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90354" w14:textId="44427B03" w:rsidR="00E05B98" w:rsidRPr="003C6DAE" w:rsidRDefault="00B01E0C" w:rsidP="00B76582">
      <w:pPr>
        <w:spacing w:before="1353" w:line="1382" w:lineRule="exact"/>
        <w:ind w:left="68" w:right="4"/>
        <w:rPr>
          <w:rFonts w:ascii="Trebuchet MS"/>
          <w:sz w:val="121"/>
          <w:lang w:val="uk-UA"/>
        </w:rPr>
      </w:pPr>
      <w:r w:rsidRPr="003C6DAE">
        <w:rPr>
          <w:rFonts w:ascii="Trebuchet MS"/>
          <w:noProof/>
          <w:sz w:val="121"/>
          <w:lang w:val="uk-UA"/>
        </w:rPr>
        <w:drawing>
          <wp:anchor distT="0" distB="0" distL="0" distR="0" simplePos="0" relativeHeight="481354240" behindDoc="1" locked="0" layoutInCell="1" allowOverlap="1" wp14:anchorId="13E97D5D" wp14:editId="6540AF55">
            <wp:simplePos x="0" y="0"/>
            <wp:positionH relativeFrom="page">
              <wp:posOffset>0</wp:posOffset>
            </wp:positionH>
            <wp:positionV relativeFrom="page">
              <wp:posOffset>0</wp:posOffset>
            </wp:positionV>
            <wp:extent cx="7560005" cy="10692003"/>
            <wp:effectExtent l="0" t="0" r="3175"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60005" cy="10692003"/>
                    </a:xfrm>
                    <a:prstGeom prst="rect">
                      <a:avLst/>
                    </a:prstGeom>
                  </pic:spPr>
                </pic:pic>
              </a:graphicData>
            </a:graphic>
            <wp14:sizeRelV relativeFrom="margin">
              <wp14:pctHeight>0</wp14:pctHeight>
            </wp14:sizeRelV>
          </wp:anchor>
        </w:drawing>
      </w:r>
      <w:r w:rsidR="00B76582" w:rsidRPr="003C6DAE">
        <w:rPr>
          <w:rFonts w:ascii="Trebuchet MS"/>
          <w:color w:val="FFFFFF"/>
          <w:spacing w:val="-5"/>
          <w:w w:val="115"/>
          <w:sz w:val="121"/>
          <w:lang w:val="uk-UA"/>
        </w:rPr>
        <w:t>Консолідовані</w:t>
      </w:r>
    </w:p>
    <w:p w14:paraId="48415F91" w14:textId="0A7BF6E5" w:rsidR="00E05B98" w:rsidRPr="003C6DAE" w:rsidRDefault="00B76582" w:rsidP="00B76582">
      <w:pPr>
        <w:spacing w:before="12" w:line="232" w:lineRule="auto"/>
        <w:ind w:left="68" w:right="4"/>
        <w:jc w:val="both"/>
        <w:rPr>
          <w:rFonts w:ascii="Trebuchet MS"/>
          <w:sz w:val="121"/>
          <w:lang w:val="uk-UA"/>
        </w:rPr>
      </w:pPr>
      <w:r w:rsidRPr="003C6DAE">
        <w:rPr>
          <w:rFonts w:ascii="Trebuchet MS"/>
          <w:color w:val="EB262A"/>
          <w:spacing w:val="-20"/>
          <w:sz w:val="121"/>
          <w:lang w:val="uk-UA"/>
        </w:rPr>
        <w:t>настанови</w:t>
      </w:r>
      <w:r w:rsidRPr="003C6DAE">
        <w:rPr>
          <w:rFonts w:ascii="Trebuchet MS"/>
          <w:color w:val="EB262A"/>
          <w:spacing w:val="-20"/>
          <w:sz w:val="121"/>
          <w:lang w:val="uk-UA"/>
        </w:rPr>
        <w:t xml:space="preserve"> </w:t>
      </w:r>
      <w:r w:rsidRPr="003C6DAE">
        <w:rPr>
          <w:rFonts w:ascii="Trebuchet MS"/>
          <w:color w:val="FFFFFF"/>
          <w:spacing w:val="-20"/>
          <w:sz w:val="121"/>
          <w:lang w:val="uk-UA"/>
        </w:rPr>
        <w:t>ВООЗ</w:t>
      </w:r>
      <w:r w:rsidRPr="003C6DAE">
        <w:rPr>
          <w:rFonts w:ascii="Trebuchet MS"/>
          <w:color w:val="FFFFFF"/>
          <w:spacing w:val="-20"/>
          <w:sz w:val="121"/>
          <w:lang w:val="uk-UA"/>
        </w:rPr>
        <w:t xml:space="preserve"> </w:t>
      </w:r>
      <w:r w:rsidRPr="003C6DAE">
        <w:rPr>
          <w:rFonts w:ascii="Trebuchet MS"/>
          <w:color w:val="FFFFFF"/>
          <w:spacing w:val="-20"/>
          <w:sz w:val="121"/>
          <w:lang w:val="uk-UA"/>
        </w:rPr>
        <w:t>щодо</w:t>
      </w:r>
      <w:r w:rsidRPr="003C6DAE">
        <w:rPr>
          <w:rFonts w:ascii="Trebuchet MS"/>
          <w:color w:val="FFFFFF"/>
          <w:spacing w:val="-20"/>
          <w:sz w:val="121"/>
          <w:lang w:val="uk-UA"/>
        </w:rPr>
        <w:t xml:space="preserve"> </w:t>
      </w:r>
      <w:r w:rsidRPr="003C6DAE">
        <w:rPr>
          <w:rFonts w:ascii="Trebuchet MS"/>
          <w:color w:val="FFFFFF"/>
          <w:spacing w:val="-20"/>
          <w:sz w:val="121"/>
          <w:lang w:val="uk-UA"/>
        </w:rPr>
        <w:t>туберкульозу</w:t>
      </w:r>
    </w:p>
    <w:p w14:paraId="0EFC2468" w14:textId="77777777" w:rsidR="00E05B98" w:rsidRPr="003C6DAE" w:rsidRDefault="00E05B98">
      <w:pPr>
        <w:pStyle w:val="a3"/>
        <w:spacing w:before="376"/>
        <w:rPr>
          <w:rFonts w:ascii="Trebuchet MS"/>
          <w:sz w:val="58"/>
          <w:lang w:val="uk-UA"/>
        </w:rPr>
      </w:pPr>
    </w:p>
    <w:p w14:paraId="7A0D5E61" w14:textId="6C6DBDA2" w:rsidR="00E05B98" w:rsidRPr="003C6DAE" w:rsidRDefault="00B76582">
      <w:pPr>
        <w:ind w:left="68"/>
        <w:rPr>
          <w:rFonts w:ascii="Trebuchet MS"/>
          <w:sz w:val="58"/>
          <w:lang w:val="uk-UA"/>
        </w:rPr>
      </w:pPr>
      <w:r w:rsidRPr="003C6DAE">
        <w:rPr>
          <w:rFonts w:ascii="Trebuchet MS"/>
          <w:noProof/>
          <w:color w:val="FFFFFF"/>
          <w:spacing w:val="-2"/>
          <w:sz w:val="58"/>
          <w:lang w:val="uk-UA"/>
        </w:rPr>
        <mc:AlternateContent>
          <mc:Choice Requires="wps">
            <w:drawing>
              <wp:anchor distT="0" distB="0" distL="114300" distR="114300" simplePos="0" relativeHeight="488070656" behindDoc="0" locked="0" layoutInCell="1" allowOverlap="1" wp14:anchorId="4910E590" wp14:editId="2E7DADDC">
                <wp:simplePos x="0" y="0"/>
                <wp:positionH relativeFrom="column">
                  <wp:posOffset>5321300</wp:posOffset>
                </wp:positionH>
                <wp:positionV relativeFrom="paragraph">
                  <wp:posOffset>3252470</wp:posOffset>
                </wp:positionV>
                <wp:extent cx="1555750" cy="584200"/>
                <wp:effectExtent l="0" t="0" r="6350" b="6350"/>
                <wp:wrapNone/>
                <wp:docPr id="1204764684" name="Поле 2299"/>
                <wp:cNvGraphicFramePr/>
                <a:graphic xmlns:a="http://schemas.openxmlformats.org/drawingml/2006/main">
                  <a:graphicData uri="http://schemas.microsoft.com/office/word/2010/wordprocessingShape">
                    <wps:wsp>
                      <wps:cNvSpPr txBox="1"/>
                      <wps:spPr>
                        <a:xfrm>
                          <a:off x="0" y="0"/>
                          <a:ext cx="1555750" cy="584200"/>
                        </a:xfrm>
                        <a:prstGeom prst="rect">
                          <a:avLst/>
                        </a:prstGeom>
                        <a:solidFill>
                          <a:srgbClr val="007E39"/>
                        </a:solidFill>
                        <a:ln w="6350">
                          <a:noFill/>
                        </a:ln>
                      </wps:spPr>
                      <wps:txbx>
                        <w:txbxContent>
                          <w:p w14:paraId="268A2A32" w14:textId="77777777" w:rsidR="007372B2" w:rsidRPr="00F739A3" w:rsidRDefault="007372B2" w:rsidP="00B76582">
                            <w:pPr>
                              <w:rPr>
                                <w:rFonts w:ascii="Calibri" w:hAnsi="Calibri" w:cs="Calibri"/>
                                <w:sz w:val="14"/>
                                <w:szCs w:val="14"/>
                                <w:lang w:val="uk-UA"/>
                              </w:rPr>
                            </w:pPr>
                            <w:r w:rsidRPr="00F739A3">
                              <w:rPr>
                                <w:rFonts w:ascii="Calibri" w:hAnsi="Calibri" w:cs="Calibri"/>
                                <w:b/>
                                <w:color w:val="FFFFFF"/>
                                <w:szCs w:val="14"/>
                                <w:lang w:val="uk-UA"/>
                              </w:rPr>
                              <w:t>Всесвітня організація охорони здоров’я</w:t>
                            </w:r>
                          </w:p>
                          <w:p w14:paraId="23216961" w14:textId="77777777" w:rsidR="007372B2" w:rsidRDefault="007372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10E590" id="_x0000_t202" coordsize="21600,21600" o:spt="202" path="m,l,21600r21600,l21600,xe">
                <v:stroke joinstyle="miter"/>
                <v:path gradientshapeok="t" o:connecttype="rect"/>
              </v:shapetype>
              <v:shape id="Поле 2299" o:spid="_x0000_s1026" type="#_x0000_t202" style="position:absolute;left:0;text-align:left;margin-left:419pt;margin-top:256.1pt;width:122.5pt;height:46pt;z-index:48807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" fillcolor="#007e39" stroked="f" strokeweight=".5pt">
                <v:textbox>
                  <w:txbxContent>
                    <w:p w14:paraId="268A2A32" w14:textId="77777777" w:rsidR="007372B2" w:rsidRPr="00F739A3" w:rsidRDefault="007372B2" w:rsidP="00B76582">
                      <w:pPr>
                        <w:rPr>
                          <w:rFonts w:ascii="Calibri" w:hAnsi="Calibri" w:cs="Calibri"/>
                          <w:sz w:val="14"/>
                          <w:szCs w:val="14"/>
                          <w:lang w:val="uk-UA"/>
                        </w:rPr>
                      </w:pPr>
                      <w:r w:rsidRPr="00F739A3">
                        <w:rPr>
                          <w:rFonts w:ascii="Calibri" w:hAnsi="Calibri" w:cs="Calibri"/>
                          <w:b/>
                          <w:color w:val="FFFFFF"/>
                          <w:szCs w:val="14"/>
                          <w:lang w:val="uk-UA"/>
                        </w:rPr>
                        <w:t>Всесвітня організація охорони здоров’я</w:t>
                      </w:r>
                    </w:p>
                    <w:p w14:paraId="23216961" w14:textId="77777777" w:rsidR="007372B2" w:rsidRDefault="007372B2"/>
                  </w:txbxContent>
                </v:textbox>
              </v:shape>
            </w:pict>
          </mc:Fallback>
        </mc:AlternateContent>
      </w:r>
      <w:r w:rsidRPr="003C6DAE">
        <w:rPr>
          <w:rFonts w:ascii="Trebuchet MS"/>
          <w:color w:val="FFFFFF"/>
          <w:spacing w:val="-2"/>
          <w:w w:val="105"/>
          <w:sz w:val="58"/>
          <w:lang w:val="uk-UA"/>
        </w:rPr>
        <w:t>Модуль</w:t>
      </w:r>
      <w:r w:rsidR="00B01E0C" w:rsidRPr="003C6DAE">
        <w:rPr>
          <w:rFonts w:ascii="Trebuchet MS"/>
          <w:color w:val="FFFFFF"/>
          <w:spacing w:val="-41"/>
          <w:w w:val="105"/>
          <w:sz w:val="58"/>
          <w:lang w:val="uk-UA"/>
        </w:rPr>
        <w:t xml:space="preserve"> </w:t>
      </w:r>
      <w:r w:rsidR="00B01E0C" w:rsidRPr="003C6DAE">
        <w:rPr>
          <w:rFonts w:ascii="Trebuchet MS"/>
          <w:color w:val="FFFFFF"/>
          <w:spacing w:val="-2"/>
          <w:w w:val="105"/>
          <w:sz w:val="58"/>
          <w:lang w:val="uk-UA"/>
        </w:rPr>
        <w:t>3:</w:t>
      </w:r>
      <w:r w:rsidR="00B01E0C" w:rsidRPr="003C6DAE">
        <w:rPr>
          <w:rFonts w:ascii="Trebuchet MS"/>
          <w:color w:val="FFFFFF"/>
          <w:spacing w:val="-41"/>
          <w:w w:val="105"/>
          <w:sz w:val="58"/>
          <w:lang w:val="uk-UA"/>
        </w:rPr>
        <w:t xml:space="preserve"> </w:t>
      </w:r>
      <w:r w:rsidRPr="003C6DAE">
        <w:rPr>
          <w:rFonts w:ascii="Trebuchet MS"/>
          <w:color w:val="FFFFFF"/>
          <w:spacing w:val="-2"/>
          <w:w w:val="105"/>
          <w:sz w:val="58"/>
          <w:lang w:val="uk-UA"/>
        </w:rPr>
        <w:t>Діагностика</w:t>
      </w:r>
    </w:p>
    <w:p w14:paraId="6DEA9CB5" w14:textId="77777777" w:rsidR="00E05B98" w:rsidRPr="003C6DAE" w:rsidRDefault="00E05B98">
      <w:pPr>
        <w:rPr>
          <w:rFonts w:ascii="Trebuchet MS"/>
          <w:sz w:val="58"/>
          <w:lang w:val="uk-UA"/>
        </w:rPr>
        <w:sectPr w:rsidR="00E05B98" w:rsidRPr="003C6DAE">
          <w:footerReference w:type="default" r:id="rId9"/>
          <w:type w:val="continuous"/>
          <w:pgSz w:w="11910" w:h="16840"/>
          <w:pgMar w:top="1920" w:right="1275" w:bottom="280" w:left="850" w:header="0" w:footer="0" w:gutter="0"/>
          <w:pgNumType w:start="1"/>
          <w:cols w:space="720"/>
        </w:sectPr>
      </w:pPr>
    </w:p>
    <w:p w14:paraId="5C8AB421" w14:textId="77777777" w:rsidR="00E05B98" w:rsidRPr="003C6DAE" w:rsidRDefault="00E05B98">
      <w:pPr>
        <w:pStyle w:val="a3"/>
        <w:spacing w:before="2"/>
        <w:rPr>
          <w:rFonts w:ascii="Trebuchet MS"/>
          <w:sz w:val="17"/>
          <w:lang w:val="uk-UA"/>
        </w:rPr>
      </w:pPr>
    </w:p>
    <w:p w14:paraId="502D30E0" w14:textId="77777777" w:rsidR="00E05B98" w:rsidRPr="003C6DAE" w:rsidRDefault="00E05B98">
      <w:pPr>
        <w:pStyle w:val="a3"/>
        <w:rPr>
          <w:rFonts w:ascii="Trebuchet MS"/>
          <w:sz w:val="17"/>
          <w:lang w:val="uk-UA"/>
        </w:rPr>
        <w:sectPr w:rsidR="00E05B98" w:rsidRPr="003C6DAE">
          <w:pgSz w:w="11910" w:h="16840"/>
          <w:pgMar w:top="1920" w:right="1275" w:bottom="280" w:left="850" w:header="0" w:footer="0" w:gutter="0"/>
          <w:cols w:space="720"/>
        </w:sectPr>
      </w:pPr>
    </w:p>
    <w:p w14:paraId="70B8E7E0" w14:textId="4F928B14" w:rsidR="00E05B98" w:rsidRPr="003C6DAE" w:rsidRDefault="00E34E5C">
      <w:pPr>
        <w:spacing w:before="1353" w:line="1382" w:lineRule="exact"/>
        <w:ind w:left="40"/>
        <w:rPr>
          <w:rFonts w:ascii="Trebuchet MS"/>
          <w:sz w:val="121"/>
          <w:lang w:val="uk-UA"/>
        </w:rPr>
      </w:pPr>
      <w:r w:rsidRPr="003C6DAE">
        <w:rPr>
          <w:rFonts w:ascii="Trebuchet MS"/>
          <w:spacing w:val="-5"/>
          <w:w w:val="115"/>
          <w:sz w:val="121"/>
          <w:lang w:val="uk-UA"/>
        </w:rPr>
        <w:lastRenderedPageBreak/>
        <w:t>Консолідовані</w:t>
      </w:r>
    </w:p>
    <w:p w14:paraId="00A468CD" w14:textId="6B39B6AE" w:rsidR="00E05B98" w:rsidRPr="003C6DAE" w:rsidRDefault="00E34E5C" w:rsidP="00E34E5C">
      <w:pPr>
        <w:spacing w:before="12" w:line="232" w:lineRule="auto"/>
        <w:ind w:left="40" w:right="2272"/>
        <w:rPr>
          <w:rFonts w:ascii="Trebuchet MS"/>
          <w:sz w:val="121"/>
          <w:lang w:val="uk-UA"/>
        </w:rPr>
      </w:pPr>
      <w:r w:rsidRPr="003C6DAE">
        <w:rPr>
          <w:rFonts w:ascii="Trebuchet MS"/>
          <w:color w:val="EB262A"/>
          <w:spacing w:val="-20"/>
          <w:sz w:val="121"/>
          <w:lang w:val="uk-UA"/>
        </w:rPr>
        <w:t>настанови</w:t>
      </w:r>
      <w:r w:rsidRPr="003C6DAE">
        <w:rPr>
          <w:rFonts w:ascii="Trebuchet MS"/>
          <w:color w:val="EB262A"/>
          <w:spacing w:val="-20"/>
          <w:sz w:val="121"/>
          <w:lang w:val="uk-UA"/>
        </w:rPr>
        <w:t xml:space="preserve"> </w:t>
      </w:r>
      <w:r w:rsidRPr="003C6DAE">
        <w:rPr>
          <w:rFonts w:ascii="Trebuchet MS"/>
          <w:spacing w:val="-20"/>
          <w:sz w:val="121"/>
          <w:lang w:val="uk-UA"/>
        </w:rPr>
        <w:t>ВООЗ</w:t>
      </w:r>
      <w:r w:rsidRPr="003C6DAE">
        <w:rPr>
          <w:rFonts w:ascii="Trebuchet MS"/>
          <w:spacing w:val="-20"/>
          <w:sz w:val="121"/>
          <w:lang w:val="uk-UA"/>
        </w:rPr>
        <w:t xml:space="preserve"> </w:t>
      </w:r>
      <w:r w:rsidRPr="003C6DAE">
        <w:rPr>
          <w:rFonts w:ascii="Trebuchet MS"/>
          <w:spacing w:val="-20"/>
          <w:sz w:val="121"/>
          <w:lang w:val="uk-UA"/>
        </w:rPr>
        <w:t>щодо</w:t>
      </w:r>
      <w:r w:rsidRPr="003C6DAE">
        <w:rPr>
          <w:rFonts w:ascii="Trebuchet MS"/>
          <w:spacing w:val="-20"/>
          <w:sz w:val="121"/>
          <w:lang w:val="uk-UA"/>
        </w:rPr>
        <w:t xml:space="preserve"> </w:t>
      </w:r>
      <w:r w:rsidRPr="003C6DAE">
        <w:rPr>
          <w:rFonts w:ascii="Trebuchet MS"/>
          <w:spacing w:val="-20"/>
          <w:sz w:val="121"/>
          <w:lang w:val="uk-UA"/>
        </w:rPr>
        <w:t>туберкульозу</w:t>
      </w:r>
      <w:r w:rsidRPr="003C6DAE">
        <w:rPr>
          <w:rFonts w:ascii="Trebuchet MS"/>
          <w:spacing w:val="-20"/>
          <w:sz w:val="121"/>
          <w:lang w:val="uk-UA"/>
        </w:rPr>
        <w:t xml:space="preserve"> </w:t>
      </w:r>
    </w:p>
    <w:p w14:paraId="3E552DA8" w14:textId="77CD4E9A" w:rsidR="00E05B98" w:rsidRPr="003C6DAE" w:rsidRDefault="00E34E5C">
      <w:pPr>
        <w:spacing w:before="1051"/>
        <w:ind w:left="40"/>
        <w:jc w:val="both"/>
        <w:rPr>
          <w:rFonts w:ascii="Trebuchet MS"/>
          <w:sz w:val="58"/>
          <w:lang w:val="uk-UA"/>
        </w:rPr>
      </w:pPr>
      <w:r w:rsidRPr="003C6DAE">
        <w:rPr>
          <w:rFonts w:ascii="Trebuchet MS"/>
          <w:noProof/>
          <w:sz w:val="121"/>
          <w:lang w:val="uk-UA"/>
        </w:rPr>
        <mc:AlternateContent>
          <mc:Choice Requires="wps">
            <w:drawing>
              <wp:anchor distT="0" distB="0" distL="114300" distR="114300" simplePos="0" relativeHeight="488071680" behindDoc="0" locked="0" layoutInCell="1" allowOverlap="1" wp14:anchorId="04335957" wp14:editId="7BCB9001">
                <wp:simplePos x="0" y="0"/>
                <wp:positionH relativeFrom="column">
                  <wp:posOffset>4743450</wp:posOffset>
                </wp:positionH>
                <wp:positionV relativeFrom="paragraph">
                  <wp:posOffset>3778885</wp:posOffset>
                </wp:positionV>
                <wp:extent cx="2044700" cy="703580"/>
                <wp:effectExtent l="0" t="0" r="0" b="1270"/>
                <wp:wrapNone/>
                <wp:docPr id="832421799" name="Поле 2300"/>
                <wp:cNvGraphicFramePr/>
                <a:graphic xmlns:a="http://schemas.openxmlformats.org/drawingml/2006/main">
                  <a:graphicData uri="http://schemas.microsoft.com/office/word/2010/wordprocessingShape">
                    <wps:wsp>
                      <wps:cNvSpPr txBox="1"/>
                      <wps:spPr>
                        <a:xfrm>
                          <a:off x="0" y="0"/>
                          <a:ext cx="2044700" cy="703580"/>
                        </a:xfrm>
                        <a:prstGeom prst="rect">
                          <a:avLst/>
                        </a:prstGeom>
                        <a:solidFill>
                          <a:schemeClr val="bg1"/>
                        </a:solidFill>
                        <a:ln w="6350">
                          <a:noFill/>
                        </a:ln>
                      </wps:spPr>
                      <wps:txbx>
                        <w:txbxContent>
                          <w:p w14:paraId="533E1B61" w14:textId="77777777" w:rsidR="007372B2" w:rsidRPr="00E34E5C" w:rsidRDefault="007372B2" w:rsidP="00E34E5C">
                            <w:pPr>
                              <w:rPr>
                                <w:rFonts w:ascii="Calibri" w:hAnsi="Calibri" w:cs="Calibri"/>
                                <w:color w:val="007BB8"/>
                                <w:sz w:val="28"/>
                                <w:szCs w:val="28"/>
                                <w:lang w:val="uk-UA"/>
                              </w:rPr>
                            </w:pPr>
                            <w:r w:rsidRPr="00E34E5C">
                              <w:rPr>
                                <w:rFonts w:ascii="Calibri" w:hAnsi="Calibri" w:cs="Calibri"/>
                                <w:b/>
                                <w:color w:val="007BB8"/>
                                <w:sz w:val="28"/>
                                <w:szCs w:val="28"/>
                                <w:lang w:val="uk-UA"/>
                              </w:rPr>
                              <w:t>Всесвітня організація охорони здоров’я</w:t>
                            </w:r>
                          </w:p>
                          <w:p w14:paraId="6DFAD303" w14:textId="77777777" w:rsidR="007372B2" w:rsidRDefault="007372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35957" id="Поле 2300" o:spid="_x0000_s1027" type="#_x0000_t202" style="position:absolute;left:0;text-align:left;margin-left:373.5pt;margin-top:297.55pt;width:161pt;height:55.4pt;z-index:4880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" fillcolor="white [3212]" stroked="f" strokeweight=".5pt">
                <v:textbox>
                  <w:txbxContent>
                    <w:p w14:paraId="533E1B61" w14:textId="77777777" w:rsidR="007372B2" w:rsidRPr="00E34E5C" w:rsidRDefault="007372B2" w:rsidP="00E34E5C">
                      <w:pPr>
                        <w:rPr>
                          <w:rFonts w:ascii="Calibri" w:hAnsi="Calibri" w:cs="Calibri"/>
                          <w:color w:val="007BB8"/>
                          <w:sz w:val="28"/>
                          <w:szCs w:val="28"/>
                          <w:lang w:val="uk-UA"/>
                        </w:rPr>
                      </w:pPr>
                      <w:r w:rsidRPr="00E34E5C">
                        <w:rPr>
                          <w:rFonts w:ascii="Calibri" w:hAnsi="Calibri" w:cs="Calibri"/>
                          <w:b/>
                          <w:color w:val="007BB8"/>
                          <w:sz w:val="28"/>
                          <w:szCs w:val="28"/>
                          <w:lang w:val="uk-UA"/>
                        </w:rPr>
                        <w:t>Всесвітня організація охорони здоров’я</w:t>
                      </w:r>
                    </w:p>
                    <w:p w14:paraId="6DFAD303" w14:textId="77777777" w:rsidR="007372B2" w:rsidRDefault="007372B2"/>
                  </w:txbxContent>
                </v:textbox>
              </v:shape>
            </w:pict>
          </mc:Fallback>
        </mc:AlternateContent>
      </w:r>
      <w:r w:rsidRPr="003C6DAE">
        <w:rPr>
          <w:rFonts w:ascii="Trebuchet MS"/>
          <w:noProof/>
          <w:sz w:val="121"/>
          <w:lang w:val="uk-UA"/>
        </w:rPr>
        <mc:AlternateContent>
          <mc:Choice Requires="wpg">
            <w:drawing>
              <wp:anchor distT="0" distB="0" distL="0" distR="0" simplePos="0" relativeHeight="15729152" behindDoc="0" locked="0" layoutInCell="1" allowOverlap="1" wp14:anchorId="2F4A2FBC" wp14:editId="02CF797E">
                <wp:simplePos x="0" y="0"/>
                <wp:positionH relativeFrom="margin">
                  <wp:align>right</wp:align>
                </wp:positionH>
                <wp:positionV relativeFrom="page">
                  <wp:posOffset>9194800</wp:posOffset>
                </wp:positionV>
                <wp:extent cx="2282190" cy="773430"/>
                <wp:effectExtent l="0" t="0" r="3810"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2190" cy="773430"/>
                          <a:chOff x="0" y="0"/>
                          <a:chExt cx="1800007" cy="551507"/>
                        </a:xfrm>
                      </wpg:grpSpPr>
                      <pic:pic xmlns:pic="http://schemas.openxmlformats.org/drawingml/2006/picture">
                        <pic:nvPicPr>
                          <pic:cNvPr id="3" name="Image 3"/>
                          <pic:cNvPicPr/>
                        </pic:nvPicPr>
                        <pic:blipFill>
                          <a:blip r:embed="rId10" cstate="print"/>
                          <a:stretch>
                            <a:fillRect/>
                          </a:stretch>
                        </pic:blipFill>
                        <pic:spPr>
                          <a:xfrm>
                            <a:off x="0" y="0"/>
                            <a:ext cx="1194277" cy="551507"/>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1591224" y="91108"/>
                            <a:ext cx="208460" cy="169790"/>
                          </a:xfrm>
                          <a:prstGeom prst="rect">
                            <a:avLst/>
                          </a:prstGeom>
                        </pic:spPr>
                      </pic:pic>
                      <wps:wsp>
                        <wps:cNvPr id="6" name="Graphic 6"/>
                        <wps:cNvSpPr/>
                        <wps:spPr>
                          <a:xfrm>
                            <a:off x="1218137" y="294910"/>
                            <a:ext cx="355600" cy="166370"/>
                          </a:xfrm>
                          <a:custGeom>
                            <a:avLst/>
                            <a:gdLst/>
                            <a:ahLst/>
                            <a:cxnLst/>
                            <a:rect l="l" t="t" r="r" b="b"/>
                            <a:pathLst>
                              <a:path w="355600" h="166370">
                                <a:moveTo>
                                  <a:pt x="26873" y="49060"/>
                                </a:moveTo>
                                <a:lnTo>
                                  <a:pt x="431" y="49060"/>
                                </a:lnTo>
                                <a:lnTo>
                                  <a:pt x="431" y="164439"/>
                                </a:lnTo>
                                <a:lnTo>
                                  <a:pt x="26873" y="164439"/>
                                </a:lnTo>
                                <a:lnTo>
                                  <a:pt x="26873" y="49060"/>
                                </a:lnTo>
                                <a:close/>
                              </a:path>
                              <a:path w="355600" h="166370">
                                <a:moveTo>
                                  <a:pt x="27305" y="0"/>
                                </a:moveTo>
                                <a:lnTo>
                                  <a:pt x="0" y="0"/>
                                </a:lnTo>
                                <a:lnTo>
                                  <a:pt x="0" y="27330"/>
                                </a:lnTo>
                                <a:lnTo>
                                  <a:pt x="27305" y="27330"/>
                                </a:lnTo>
                                <a:lnTo>
                                  <a:pt x="27305" y="0"/>
                                </a:lnTo>
                                <a:close/>
                              </a:path>
                              <a:path w="355600" h="166370">
                                <a:moveTo>
                                  <a:pt x="126365" y="143370"/>
                                </a:moveTo>
                                <a:lnTo>
                                  <a:pt x="78790" y="143370"/>
                                </a:lnTo>
                                <a:lnTo>
                                  <a:pt x="124879" y="72821"/>
                                </a:lnTo>
                                <a:lnTo>
                                  <a:pt x="124879" y="49060"/>
                                </a:lnTo>
                                <a:lnTo>
                                  <a:pt x="52971" y="49060"/>
                                </a:lnTo>
                                <a:lnTo>
                                  <a:pt x="52971" y="70116"/>
                                </a:lnTo>
                                <a:lnTo>
                                  <a:pt x="98412" y="70116"/>
                                </a:lnTo>
                                <a:lnTo>
                                  <a:pt x="51485" y="140462"/>
                                </a:lnTo>
                                <a:lnTo>
                                  <a:pt x="51485" y="164426"/>
                                </a:lnTo>
                                <a:lnTo>
                                  <a:pt x="126365" y="164426"/>
                                </a:lnTo>
                                <a:lnTo>
                                  <a:pt x="126365" y="143370"/>
                                </a:lnTo>
                                <a:close/>
                              </a:path>
                              <a:path w="355600" h="166370">
                                <a:moveTo>
                                  <a:pt x="229704" y="164426"/>
                                </a:moveTo>
                                <a:lnTo>
                                  <a:pt x="229069" y="159943"/>
                                </a:lnTo>
                                <a:lnTo>
                                  <a:pt x="228219" y="152323"/>
                                </a:lnTo>
                                <a:lnTo>
                                  <a:pt x="228219" y="148755"/>
                                </a:lnTo>
                                <a:lnTo>
                                  <a:pt x="228219" y="147408"/>
                                </a:lnTo>
                                <a:lnTo>
                                  <a:pt x="228219" y="107975"/>
                                </a:lnTo>
                                <a:lnTo>
                                  <a:pt x="228180" y="93192"/>
                                </a:lnTo>
                                <a:lnTo>
                                  <a:pt x="226491" y="74549"/>
                                </a:lnTo>
                                <a:lnTo>
                                  <a:pt x="226453" y="74206"/>
                                </a:lnTo>
                                <a:lnTo>
                                  <a:pt x="223266" y="66992"/>
                                </a:lnTo>
                                <a:lnTo>
                                  <a:pt x="220014" y="59626"/>
                                </a:lnTo>
                                <a:lnTo>
                                  <a:pt x="207175" y="50457"/>
                                </a:lnTo>
                                <a:lnTo>
                                  <a:pt x="186207" y="47282"/>
                                </a:lnTo>
                                <a:lnTo>
                                  <a:pt x="174701" y="48107"/>
                                </a:lnTo>
                                <a:lnTo>
                                  <a:pt x="165277" y="50190"/>
                                </a:lnTo>
                                <a:lnTo>
                                  <a:pt x="157619" y="52946"/>
                                </a:lnTo>
                                <a:lnTo>
                                  <a:pt x="151396" y="55791"/>
                                </a:lnTo>
                                <a:lnTo>
                                  <a:pt x="152908" y="78181"/>
                                </a:lnTo>
                                <a:lnTo>
                                  <a:pt x="157911" y="74549"/>
                                </a:lnTo>
                                <a:lnTo>
                                  <a:pt x="164909" y="70916"/>
                                </a:lnTo>
                                <a:lnTo>
                                  <a:pt x="173431" y="68110"/>
                                </a:lnTo>
                                <a:lnTo>
                                  <a:pt x="183007" y="66992"/>
                                </a:lnTo>
                                <a:lnTo>
                                  <a:pt x="192582" y="68808"/>
                                </a:lnTo>
                                <a:lnTo>
                                  <a:pt x="198907" y="73685"/>
                                </a:lnTo>
                                <a:lnTo>
                                  <a:pt x="202399" y="80695"/>
                                </a:lnTo>
                                <a:lnTo>
                                  <a:pt x="203466" y="88950"/>
                                </a:lnTo>
                                <a:lnTo>
                                  <a:pt x="203466" y="93192"/>
                                </a:lnTo>
                                <a:lnTo>
                                  <a:pt x="203466" y="107975"/>
                                </a:lnTo>
                                <a:lnTo>
                                  <a:pt x="203466" y="114477"/>
                                </a:lnTo>
                                <a:lnTo>
                                  <a:pt x="202323" y="128320"/>
                                </a:lnTo>
                                <a:lnTo>
                                  <a:pt x="198615" y="138671"/>
                                </a:lnTo>
                                <a:lnTo>
                                  <a:pt x="191947" y="145161"/>
                                </a:lnTo>
                                <a:lnTo>
                                  <a:pt x="181914" y="147408"/>
                                </a:lnTo>
                                <a:lnTo>
                                  <a:pt x="171691" y="147408"/>
                                </a:lnTo>
                                <a:lnTo>
                                  <a:pt x="165074" y="140246"/>
                                </a:lnTo>
                                <a:lnTo>
                                  <a:pt x="165074" y="129705"/>
                                </a:lnTo>
                                <a:lnTo>
                                  <a:pt x="167525" y="119227"/>
                                </a:lnTo>
                                <a:lnTo>
                                  <a:pt x="174625" y="112547"/>
                                </a:lnTo>
                                <a:lnTo>
                                  <a:pt x="185953" y="109004"/>
                                </a:lnTo>
                                <a:lnTo>
                                  <a:pt x="201129" y="107975"/>
                                </a:lnTo>
                                <a:lnTo>
                                  <a:pt x="203466" y="107975"/>
                                </a:lnTo>
                                <a:lnTo>
                                  <a:pt x="203466" y="93192"/>
                                </a:lnTo>
                                <a:lnTo>
                                  <a:pt x="198132" y="93192"/>
                                </a:lnTo>
                                <a:lnTo>
                                  <a:pt x="174980" y="94907"/>
                                </a:lnTo>
                                <a:lnTo>
                                  <a:pt x="156679" y="101028"/>
                                </a:lnTo>
                                <a:lnTo>
                                  <a:pt x="144653" y="113042"/>
                                </a:lnTo>
                                <a:lnTo>
                                  <a:pt x="140335" y="132410"/>
                                </a:lnTo>
                                <a:lnTo>
                                  <a:pt x="143065" y="146761"/>
                                </a:lnTo>
                                <a:lnTo>
                                  <a:pt x="150355" y="157391"/>
                                </a:lnTo>
                                <a:lnTo>
                                  <a:pt x="160845" y="163982"/>
                                </a:lnTo>
                                <a:lnTo>
                                  <a:pt x="173177" y="166243"/>
                                </a:lnTo>
                                <a:lnTo>
                                  <a:pt x="183705" y="164833"/>
                                </a:lnTo>
                                <a:lnTo>
                                  <a:pt x="191973" y="161023"/>
                                </a:lnTo>
                                <a:lnTo>
                                  <a:pt x="198526" y="155448"/>
                                </a:lnTo>
                                <a:lnTo>
                                  <a:pt x="203885" y="148755"/>
                                </a:lnTo>
                                <a:lnTo>
                                  <a:pt x="204330" y="148755"/>
                                </a:lnTo>
                                <a:lnTo>
                                  <a:pt x="204444" y="157391"/>
                                </a:lnTo>
                                <a:lnTo>
                                  <a:pt x="204533" y="159943"/>
                                </a:lnTo>
                                <a:lnTo>
                                  <a:pt x="205816" y="164426"/>
                                </a:lnTo>
                                <a:lnTo>
                                  <a:pt x="229704" y="164426"/>
                                </a:lnTo>
                                <a:close/>
                              </a:path>
                              <a:path w="355600" h="166370">
                                <a:moveTo>
                                  <a:pt x="307086" y="49060"/>
                                </a:moveTo>
                                <a:lnTo>
                                  <a:pt x="285102" y="49060"/>
                                </a:lnTo>
                                <a:lnTo>
                                  <a:pt x="285102" y="16814"/>
                                </a:lnTo>
                                <a:lnTo>
                                  <a:pt x="258660" y="25323"/>
                                </a:lnTo>
                                <a:lnTo>
                                  <a:pt x="258660" y="49060"/>
                                </a:lnTo>
                                <a:lnTo>
                                  <a:pt x="241147" y="49060"/>
                                </a:lnTo>
                                <a:lnTo>
                                  <a:pt x="241147" y="69456"/>
                                </a:lnTo>
                                <a:lnTo>
                                  <a:pt x="258660" y="69456"/>
                                </a:lnTo>
                                <a:lnTo>
                                  <a:pt x="258660" y="132626"/>
                                </a:lnTo>
                                <a:lnTo>
                                  <a:pt x="260692" y="148082"/>
                                </a:lnTo>
                                <a:lnTo>
                                  <a:pt x="266649" y="158508"/>
                                </a:lnTo>
                                <a:lnTo>
                                  <a:pt x="276288" y="164388"/>
                                </a:lnTo>
                                <a:lnTo>
                                  <a:pt x="289369" y="166243"/>
                                </a:lnTo>
                                <a:lnTo>
                                  <a:pt x="297281" y="166243"/>
                                </a:lnTo>
                                <a:lnTo>
                                  <a:pt x="303034" y="164426"/>
                                </a:lnTo>
                                <a:lnTo>
                                  <a:pt x="307086" y="162420"/>
                                </a:lnTo>
                                <a:lnTo>
                                  <a:pt x="307086" y="142697"/>
                                </a:lnTo>
                                <a:lnTo>
                                  <a:pt x="305168" y="143814"/>
                                </a:lnTo>
                                <a:lnTo>
                                  <a:pt x="301752" y="145161"/>
                                </a:lnTo>
                                <a:lnTo>
                                  <a:pt x="289369" y="145161"/>
                                </a:lnTo>
                                <a:lnTo>
                                  <a:pt x="285102" y="141579"/>
                                </a:lnTo>
                                <a:lnTo>
                                  <a:pt x="285102" y="69456"/>
                                </a:lnTo>
                                <a:lnTo>
                                  <a:pt x="307086" y="69456"/>
                                </a:lnTo>
                                <a:lnTo>
                                  <a:pt x="307086" y="49060"/>
                                </a:lnTo>
                                <a:close/>
                              </a:path>
                              <a:path w="355600" h="166370">
                                <a:moveTo>
                                  <a:pt x="352577" y="0"/>
                                </a:moveTo>
                                <a:lnTo>
                                  <a:pt x="325272" y="0"/>
                                </a:lnTo>
                                <a:lnTo>
                                  <a:pt x="325272" y="27330"/>
                                </a:lnTo>
                                <a:lnTo>
                                  <a:pt x="352577" y="27330"/>
                                </a:lnTo>
                                <a:lnTo>
                                  <a:pt x="352577" y="0"/>
                                </a:lnTo>
                                <a:close/>
                              </a:path>
                              <a:path w="355600" h="166370">
                                <a:moveTo>
                                  <a:pt x="355079" y="49060"/>
                                </a:moveTo>
                                <a:lnTo>
                                  <a:pt x="328637" y="49060"/>
                                </a:lnTo>
                                <a:lnTo>
                                  <a:pt x="328637" y="164439"/>
                                </a:lnTo>
                                <a:lnTo>
                                  <a:pt x="355079" y="164439"/>
                                </a:lnTo>
                                <a:lnTo>
                                  <a:pt x="355079" y="49060"/>
                                </a:lnTo>
                                <a:close/>
                              </a:path>
                            </a:pathLst>
                          </a:custGeom>
                          <a:solidFill>
                            <a:srgbClr val="0093D5"/>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1712327" y="342177"/>
                            <a:ext cx="87680" cy="1171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BA5967" id="Group 2" o:spid="_x0000_s1026" style="position:absolute;margin-left:128.5pt;margin-top:724pt;width:179.7pt;height:60.9pt;z-index:15729152;mso-wrap-distance-left:0;mso-wrap-distance-right:0;mso-position-horizontal:right;mso-position-horizontal-relative:margin;mso-position-vertical-relative:page;mso-width-relative:margin;mso-height-relative:margin" coordsize="18000,5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11942;height:5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">
                  <v:imagedata r:id="rId13" o:title=""/>
                </v:shape>
                <v:shape id="Image 5" o:spid="_x0000_s1028" type="#_x0000_t75" style="position:absolute;left:15912;top:911;width:2084;height: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">
                  <v:imagedata r:id="rId14" o:title=""/>
                </v:shape>
                <v:shape id="Graphic 6" o:spid="_x0000_s1029" style="position:absolute;left:12181;top:2949;width:3556;height:1663;visibility:visible;mso-wrap-style:square;v-text-anchor:top" coordsize="35560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" path="m26873,49060r-26442,l431,164439r26442,l26873,49060xem27305,l,,,27330r27305,l27305,xem126365,143370r-47575,l124879,72821r,-23761l52971,49060r,21056l98412,70116,51485,140462r,23964l126365,164426r,-21056xem229704,164426r-635,-4483l228219,152323r,-3568l228219,147408r,-39433l228180,93192,226491,74549r-38,-343l223266,66992r-3252,-7366l207175,50457,186207,47282r-11506,825l165277,50190r-7658,2756l151396,55791r1512,22390l157911,74549r6998,-3633l173431,68110r9576,-1118l192582,68808r6325,4877l202399,80695r1067,8255l203466,93192r,14783l203466,114477r-1143,13843l198615,138671r-6668,6490l181914,147408r-10223,l165074,140246r,-10541l167525,119227r7100,-6680l185953,109004r15176,-1029l203466,107975r,-14783l198132,93192r-23152,1715l156679,101028r-12026,12014l140335,132410r2730,14351l150355,157391r10490,6591l173177,166243r10528,-1410l191973,161023r6553,-5575l203885,148755r445,l204444,157391r89,2552l205816,164426r23888,xem307086,49060r-21984,l285102,16814r-26442,8509l258660,49060r-17513,l241147,69456r17513,l258660,132626r2032,15456l266649,158508r9639,5880l289369,166243r7912,l303034,164426r4052,-2006l307086,142697r-1918,1117l301752,145161r-12383,l285102,141579r,-72123l307086,69456r,-20396xem352577,l325272,r,27330l352577,27330,352577,xem355079,49060r-26442,l328637,164439r26442,l355079,49060xe" fillcolor="#0093d5" stroked="f">
                  <v:path arrowok="t"/>
                </v:shape>
                <v:shape id="Image 8" o:spid="_x0000_s1030" type="#_x0000_t75" style="position:absolute;left:17123;top:3421;width:877;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">
                  <v:imagedata r:id="rId15" o:title=""/>
                </v:shape>
                <w10:wrap anchorx="margin" anchory="page"/>
              </v:group>
            </w:pict>
          </mc:Fallback>
        </mc:AlternateContent>
      </w:r>
      <w:r w:rsidRPr="003C6DAE">
        <w:rPr>
          <w:rFonts w:ascii="Trebuchet MS"/>
          <w:w w:val="105"/>
          <w:sz w:val="58"/>
          <w:lang w:val="uk-UA"/>
        </w:rPr>
        <w:t>Модуль</w:t>
      </w:r>
      <w:r w:rsidRPr="003C6DAE">
        <w:rPr>
          <w:rFonts w:ascii="Trebuchet MS"/>
          <w:w w:val="105"/>
          <w:sz w:val="58"/>
          <w:lang w:val="uk-UA"/>
        </w:rPr>
        <w:t xml:space="preserve"> </w:t>
      </w:r>
      <w:r w:rsidR="00B01E0C" w:rsidRPr="003C6DAE">
        <w:rPr>
          <w:rFonts w:ascii="Trebuchet MS"/>
          <w:w w:val="105"/>
          <w:sz w:val="58"/>
          <w:lang w:val="uk-UA"/>
        </w:rPr>
        <w:t>3:</w:t>
      </w:r>
      <w:r w:rsidR="00B01E0C" w:rsidRPr="003C6DAE">
        <w:rPr>
          <w:rFonts w:ascii="Trebuchet MS"/>
          <w:spacing w:val="-26"/>
          <w:w w:val="105"/>
          <w:sz w:val="58"/>
          <w:lang w:val="uk-UA"/>
        </w:rPr>
        <w:t xml:space="preserve"> </w:t>
      </w:r>
      <w:r w:rsidRPr="003C6DAE">
        <w:rPr>
          <w:rFonts w:ascii="Trebuchet MS"/>
          <w:spacing w:val="-2"/>
          <w:w w:val="105"/>
          <w:sz w:val="58"/>
          <w:lang w:val="uk-UA"/>
        </w:rPr>
        <w:t>Діагностика</w:t>
      </w:r>
    </w:p>
    <w:p w14:paraId="64C54DD0" w14:textId="77777777" w:rsidR="00E05B98" w:rsidRPr="003C6DAE" w:rsidRDefault="00E05B98">
      <w:pPr>
        <w:jc w:val="both"/>
        <w:rPr>
          <w:rFonts w:ascii="Trebuchet MS"/>
          <w:sz w:val="58"/>
          <w:lang w:val="uk-UA"/>
        </w:rPr>
        <w:sectPr w:rsidR="00E05B98" w:rsidRPr="003C6DAE">
          <w:pgSz w:w="11910" w:h="16840"/>
          <w:pgMar w:top="1920" w:right="1275" w:bottom="280" w:left="850" w:header="0" w:footer="0" w:gutter="0"/>
          <w:cols w:space="720"/>
        </w:sectPr>
      </w:pPr>
    </w:p>
    <w:p w14:paraId="00470A52" w14:textId="77777777" w:rsidR="00E05B98" w:rsidRPr="003C6DAE" w:rsidRDefault="00E05B98">
      <w:pPr>
        <w:pStyle w:val="a3"/>
        <w:rPr>
          <w:rFonts w:ascii="Trebuchet MS"/>
          <w:sz w:val="16"/>
          <w:lang w:val="uk-UA"/>
        </w:rPr>
      </w:pPr>
    </w:p>
    <w:p w14:paraId="40639287" w14:textId="77777777" w:rsidR="00E05B98" w:rsidRPr="003C6DAE" w:rsidRDefault="00E05B98">
      <w:pPr>
        <w:pStyle w:val="a3"/>
        <w:rPr>
          <w:rFonts w:ascii="Trebuchet MS"/>
          <w:sz w:val="16"/>
          <w:lang w:val="uk-UA"/>
        </w:rPr>
      </w:pPr>
    </w:p>
    <w:p w14:paraId="46F91B5D" w14:textId="77777777" w:rsidR="00E05B98" w:rsidRPr="003C6DAE" w:rsidRDefault="00E05B98">
      <w:pPr>
        <w:pStyle w:val="a3"/>
        <w:rPr>
          <w:rFonts w:ascii="Trebuchet MS"/>
          <w:sz w:val="16"/>
          <w:lang w:val="uk-UA"/>
        </w:rPr>
      </w:pPr>
    </w:p>
    <w:p w14:paraId="5D9B8A3D" w14:textId="77777777" w:rsidR="00E05B98" w:rsidRPr="003C6DAE" w:rsidRDefault="00E05B98">
      <w:pPr>
        <w:pStyle w:val="a3"/>
        <w:rPr>
          <w:rFonts w:ascii="Trebuchet MS"/>
          <w:sz w:val="16"/>
          <w:lang w:val="uk-UA"/>
        </w:rPr>
      </w:pPr>
    </w:p>
    <w:p w14:paraId="33131CA1" w14:textId="77777777" w:rsidR="00E05B98" w:rsidRPr="003C6DAE" w:rsidRDefault="00E05B98">
      <w:pPr>
        <w:pStyle w:val="a3"/>
        <w:rPr>
          <w:rFonts w:ascii="Trebuchet MS"/>
          <w:sz w:val="16"/>
          <w:lang w:val="uk-UA"/>
        </w:rPr>
      </w:pPr>
    </w:p>
    <w:p w14:paraId="1222C27B" w14:textId="77777777" w:rsidR="00E05B98" w:rsidRPr="003C6DAE" w:rsidRDefault="00E05B98">
      <w:pPr>
        <w:pStyle w:val="a3"/>
        <w:rPr>
          <w:rFonts w:ascii="Trebuchet MS"/>
          <w:sz w:val="16"/>
          <w:lang w:val="uk-UA"/>
        </w:rPr>
      </w:pPr>
    </w:p>
    <w:p w14:paraId="3FA067DE" w14:textId="77777777" w:rsidR="00E05B98" w:rsidRPr="003C6DAE" w:rsidRDefault="00E05B98">
      <w:pPr>
        <w:pStyle w:val="a3"/>
        <w:rPr>
          <w:rFonts w:ascii="Trebuchet MS"/>
          <w:sz w:val="16"/>
          <w:lang w:val="uk-UA"/>
        </w:rPr>
      </w:pPr>
    </w:p>
    <w:p w14:paraId="07BD7F87" w14:textId="77777777" w:rsidR="00E05B98" w:rsidRPr="003C6DAE" w:rsidRDefault="00E05B98">
      <w:pPr>
        <w:pStyle w:val="a3"/>
        <w:rPr>
          <w:rFonts w:ascii="Trebuchet MS"/>
          <w:sz w:val="16"/>
          <w:lang w:val="uk-UA"/>
        </w:rPr>
      </w:pPr>
    </w:p>
    <w:p w14:paraId="0BD20349" w14:textId="77777777" w:rsidR="00E05B98" w:rsidRPr="003C6DAE" w:rsidRDefault="00E05B98">
      <w:pPr>
        <w:pStyle w:val="a3"/>
        <w:spacing w:before="84"/>
        <w:rPr>
          <w:rFonts w:ascii="Trebuchet MS"/>
          <w:sz w:val="16"/>
          <w:lang w:val="uk-UA"/>
        </w:rPr>
      </w:pPr>
    </w:p>
    <w:p w14:paraId="71B91069" w14:textId="77777777" w:rsidR="00E34E5C" w:rsidRPr="003C6DAE" w:rsidRDefault="00E34E5C" w:rsidP="00E34E5C">
      <w:pPr>
        <w:spacing w:line="400" w:lineRule="atLeast"/>
        <w:ind w:left="567" w:right="2981"/>
        <w:rPr>
          <w:rFonts w:ascii="Arial" w:hAnsi="Arial" w:cs="Arial"/>
          <w:sz w:val="16"/>
          <w:lang w:val="uk-UA"/>
        </w:rPr>
      </w:pPr>
      <w:r w:rsidRPr="003C6DAE">
        <w:rPr>
          <w:rFonts w:ascii="Arial" w:hAnsi="Arial" w:cs="Arial"/>
          <w:sz w:val="16"/>
          <w:lang w:val="uk-UA"/>
        </w:rPr>
        <w:t>Консолідовані настанови ВООЗ щодо туберкульозу</w:t>
      </w:r>
      <w:r w:rsidR="00B01E0C" w:rsidRPr="003C6DAE">
        <w:rPr>
          <w:rFonts w:ascii="Arial" w:hAnsi="Arial" w:cs="Arial"/>
          <w:sz w:val="16"/>
          <w:lang w:val="uk-UA"/>
        </w:rPr>
        <w:t xml:space="preserve">. </w:t>
      </w:r>
      <w:r w:rsidRPr="003C6DAE">
        <w:rPr>
          <w:rFonts w:ascii="Arial" w:hAnsi="Arial" w:cs="Arial"/>
          <w:sz w:val="16"/>
          <w:lang w:val="uk-UA"/>
        </w:rPr>
        <w:t>Модуль</w:t>
      </w:r>
      <w:r w:rsidR="00B01E0C" w:rsidRPr="003C6DAE">
        <w:rPr>
          <w:rFonts w:ascii="Arial" w:hAnsi="Arial" w:cs="Arial"/>
          <w:sz w:val="16"/>
          <w:lang w:val="uk-UA"/>
        </w:rPr>
        <w:t xml:space="preserve"> 3: </w:t>
      </w:r>
      <w:r w:rsidRPr="003C6DAE">
        <w:rPr>
          <w:rFonts w:ascii="Arial" w:hAnsi="Arial" w:cs="Arial"/>
          <w:sz w:val="16"/>
          <w:lang w:val="uk-UA"/>
        </w:rPr>
        <w:t>діагностика</w:t>
      </w:r>
      <w:r w:rsidR="00B01E0C" w:rsidRPr="003C6DAE">
        <w:rPr>
          <w:rFonts w:ascii="Arial" w:hAnsi="Arial" w:cs="Arial"/>
          <w:sz w:val="16"/>
          <w:lang w:val="uk-UA"/>
        </w:rPr>
        <w:t xml:space="preserve"> </w:t>
      </w:r>
    </w:p>
    <w:p w14:paraId="12D4C590" w14:textId="03DDA515" w:rsidR="00E05B98" w:rsidRPr="003C6DAE" w:rsidRDefault="00B01E0C" w:rsidP="00E34E5C">
      <w:pPr>
        <w:spacing w:line="400" w:lineRule="atLeast"/>
        <w:ind w:left="567" w:right="2981"/>
        <w:rPr>
          <w:rFonts w:ascii="Arial" w:hAnsi="Arial" w:cs="Arial"/>
          <w:sz w:val="16"/>
          <w:lang w:val="uk-UA"/>
        </w:rPr>
      </w:pPr>
      <w:r w:rsidRPr="003C6DAE">
        <w:rPr>
          <w:rFonts w:ascii="Arial" w:hAnsi="Arial" w:cs="Arial"/>
          <w:sz w:val="16"/>
          <w:lang w:val="uk-UA"/>
        </w:rPr>
        <w:t>ISBN 978-92-4-010798-4 (</w:t>
      </w:r>
      <w:r w:rsidR="00E34E5C" w:rsidRPr="003C6DAE">
        <w:rPr>
          <w:rFonts w:ascii="Arial" w:hAnsi="Arial" w:cs="Arial"/>
          <w:sz w:val="16"/>
          <w:lang w:val="uk-UA"/>
        </w:rPr>
        <w:t>електронна версія</w:t>
      </w:r>
      <w:r w:rsidRPr="003C6DAE">
        <w:rPr>
          <w:rFonts w:ascii="Arial" w:hAnsi="Arial" w:cs="Arial"/>
          <w:sz w:val="16"/>
          <w:lang w:val="uk-UA"/>
        </w:rPr>
        <w:t>)</w:t>
      </w:r>
    </w:p>
    <w:p w14:paraId="07ABE814" w14:textId="17A16AC8" w:rsidR="00E05B98" w:rsidRPr="003C6DAE" w:rsidRDefault="00B01E0C">
      <w:pPr>
        <w:spacing w:before="49"/>
        <w:ind w:left="567"/>
        <w:rPr>
          <w:rFonts w:ascii="Arial" w:hAnsi="Arial" w:cs="Arial"/>
          <w:sz w:val="16"/>
          <w:lang w:val="uk-UA"/>
        </w:rPr>
      </w:pPr>
      <w:r w:rsidRPr="003C6DAE">
        <w:rPr>
          <w:rFonts w:ascii="Arial" w:hAnsi="Arial" w:cs="Arial"/>
          <w:sz w:val="16"/>
          <w:lang w:val="uk-UA"/>
        </w:rPr>
        <w:t>ISBN</w:t>
      </w:r>
      <w:r w:rsidRPr="003C6DAE">
        <w:rPr>
          <w:rFonts w:ascii="Arial" w:hAnsi="Arial" w:cs="Arial"/>
          <w:spacing w:val="-3"/>
          <w:sz w:val="16"/>
          <w:lang w:val="uk-UA"/>
        </w:rPr>
        <w:t xml:space="preserve"> </w:t>
      </w:r>
      <w:r w:rsidRPr="003C6DAE">
        <w:rPr>
          <w:rFonts w:ascii="Arial" w:hAnsi="Arial" w:cs="Arial"/>
          <w:sz w:val="16"/>
          <w:lang w:val="uk-UA"/>
        </w:rPr>
        <w:t>978-92-4-010799-1</w:t>
      </w:r>
      <w:r w:rsidRPr="003C6DAE">
        <w:rPr>
          <w:rFonts w:ascii="Arial" w:hAnsi="Arial" w:cs="Arial"/>
          <w:spacing w:val="-2"/>
          <w:sz w:val="16"/>
          <w:lang w:val="uk-UA"/>
        </w:rPr>
        <w:t xml:space="preserve"> </w:t>
      </w:r>
      <w:r w:rsidRPr="003C6DAE">
        <w:rPr>
          <w:rFonts w:ascii="Arial" w:hAnsi="Arial" w:cs="Arial"/>
          <w:sz w:val="16"/>
          <w:lang w:val="uk-UA"/>
        </w:rPr>
        <w:t>(</w:t>
      </w:r>
      <w:r w:rsidR="00E34E5C" w:rsidRPr="003C6DAE">
        <w:rPr>
          <w:rFonts w:ascii="Arial" w:hAnsi="Arial" w:cs="Arial"/>
          <w:sz w:val="16"/>
          <w:lang w:val="uk-UA"/>
        </w:rPr>
        <w:t>друкована версія</w:t>
      </w:r>
      <w:r w:rsidRPr="003C6DAE">
        <w:rPr>
          <w:rFonts w:ascii="Arial" w:hAnsi="Arial" w:cs="Arial"/>
          <w:spacing w:val="-2"/>
          <w:sz w:val="16"/>
          <w:lang w:val="uk-UA"/>
        </w:rPr>
        <w:t>)</w:t>
      </w:r>
    </w:p>
    <w:p w14:paraId="68F2F4AC" w14:textId="77777777" w:rsidR="00E05B98" w:rsidRPr="003C6DAE" w:rsidRDefault="00E05B98">
      <w:pPr>
        <w:pStyle w:val="a3"/>
        <w:spacing w:before="35"/>
        <w:rPr>
          <w:rFonts w:ascii="Arial" w:hAnsi="Arial" w:cs="Arial"/>
          <w:sz w:val="16"/>
          <w:lang w:val="uk-UA"/>
        </w:rPr>
      </w:pPr>
    </w:p>
    <w:p w14:paraId="4BA1472C" w14:textId="390E07C6" w:rsidR="00E05B98" w:rsidRPr="003C6DAE" w:rsidRDefault="00B01E0C">
      <w:pPr>
        <w:ind w:left="1662" w:right="1237"/>
        <w:jc w:val="center"/>
        <w:rPr>
          <w:rFonts w:ascii="Arial" w:hAnsi="Arial" w:cs="Arial"/>
          <w:b/>
          <w:sz w:val="16"/>
          <w:lang w:val="uk-UA"/>
        </w:rPr>
      </w:pPr>
      <w:r w:rsidRPr="003C6DAE">
        <w:rPr>
          <w:rFonts w:ascii="Arial" w:hAnsi="Arial" w:cs="Arial"/>
          <w:b/>
          <w:sz w:val="16"/>
          <w:lang w:val="uk-UA"/>
        </w:rPr>
        <w:t>©</w:t>
      </w:r>
      <w:r w:rsidRPr="003C6DAE">
        <w:rPr>
          <w:rFonts w:ascii="Arial" w:hAnsi="Arial" w:cs="Arial"/>
          <w:b/>
          <w:spacing w:val="14"/>
          <w:sz w:val="16"/>
          <w:lang w:val="uk-UA"/>
        </w:rPr>
        <w:t xml:space="preserve"> </w:t>
      </w:r>
      <w:r w:rsidR="00E34E5C" w:rsidRPr="003C6DAE">
        <w:rPr>
          <w:rFonts w:ascii="Arial" w:hAnsi="Arial" w:cs="Arial"/>
          <w:b/>
          <w:sz w:val="16"/>
          <w:lang w:val="uk-UA"/>
        </w:rPr>
        <w:t>Всесвітня організація охорони здоров’я,</w:t>
      </w:r>
      <w:r w:rsidRPr="003C6DAE">
        <w:rPr>
          <w:rFonts w:ascii="Arial" w:hAnsi="Arial" w:cs="Arial"/>
          <w:b/>
          <w:spacing w:val="15"/>
          <w:sz w:val="16"/>
          <w:lang w:val="uk-UA"/>
        </w:rPr>
        <w:t xml:space="preserve"> </w:t>
      </w:r>
      <w:r w:rsidRPr="003C6DAE">
        <w:rPr>
          <w:rFonts w:ascii="Arial" w:hAnsi="Arial" w:cs="Arial"/>
          <w:b/>
          <w:spacing w:val="-4"/>
          <w:sz w:val="16"/>
          <w:lang w:val="uk-UA"/>
        </w:rPr>
        <w:t>2025</w:t>
      </w:r>
      <w:r w:rsidR="00E34E5C" w:rsidRPr="003C6DAE">
        <w:rPr>
          <w:rFonts w:ascii="Arial" w:hAnsi="Arial" w:cs="Arial"/>
          <w:b/>
          <w:spacing w:val="-4"/>
          <w:sz w:val="16"/>
          <w:lang w:val="uk-UA"/>
        </w:rPr>
        <w:t xml:space="preserve"> рік</w:t>
      </w:r>
    </w:p>
    <w:p w14:paraId="053430EA" w14:textId="77777777" w:rsidR="00E05B98" w:rsidRPr="003C6DAE" w:rsidRDefault="00E05B98">
      <w:pPr>
        <w:pStyle w:val="a3"/>
        <w:spacing w:before="35"/>
        <w:rPr>
          <w:rFonts w:ascii="Arial" w:hAnsi="Arial" w:cs="Arial"/>
          <w:b/>
          <w:sz w:val="16"/>
          <w:lang w:val="uk-UA"/>
        </w:rPr>
      </w:pPr>
    </w:p>
    <w:p w14:paraId="3E4530E3" w14:textId="42A1D4C2" w:rsidR="00E05B98" w:rsidRPr="003C6DAE" w:rsidRDefault="002D6E6F">
      <w:pPr>
        <w:spacing w:line="304" w:lineRule="auto"/>
        <w:ind w:left="567" w:right="136"/>
        <w:jc w:val="both"/>
        <w:rPr>
          <w:rFonts w:ascii="Arial" w:hAnsi="Arial" w:cs="Arial"/>
          <w:sz w:val="16"/>
          <w:lang w:val="uk-UA"/>
        </w:rPr>
      </w:pPr>
      <w:r w:rsidRPr="003C6DAE">
        <w:rPr>
          <w:rFonts w:ascii="Arial" w:hAnsi="Arial" w:cs="Arial"/>
          <w:color w:val="000000"/>
          <w:sz w:val="16"/>
          <w:lang w:val="uk-UA"/>
        </w:rPr>
        <w:t>Деякі права захищені. Це керівництво доступно на умовах ліцензії Creative Commons Attribution-NonCommercial-ShareAlike 3.0 IGO (CC BY-NC-SA 3.0 IGO;</w:t>
      </w:r>
      <w:r w:rsidR="00B01E0C" w:rsidRPr="003C6DAE">
        <w:rPr>
          <w:rFonts w:ascii="Arial" w:hAnsi="Arial" w:cs="Arial"/>
          <w:sz w:val="16"/>
          <w:lang w:val="uk-UA"/>
        </w:rPr>
        <w:t xml:space="preserve"> </w:t>
      </w:r>
      <w:hyperlink r:id="rId16">
        <w:r w:rsidR="00B01E0C" w:rsidRPr="003C6DAE">
          <w:rPr>
            <w:rFonts w:ascii="Arial" w:hAnsi="Arial" w:cs="Arial"/>
            <w:color w:val="019648"/>
            <w:sz w:val="16"/>
            <w:lang w:val="uk-UA"/>
          </w:rPr>
          <w:t>https://creativecommons.org/licenses/by-nc-sa/3.0/igo</w:t>
        </w:r>
      </w:hyperlink>
      <w:r w:rsidR="00B01E0C" w:rsidRPr="003C6DAE">
        <w:rPr>
          <w:rFonts w:ascii="Arial" w:hAnsi="Arial" w:cs="Arial"/>
          <w:sz w:val="16"/>
          <w:lang w:val="uk-UA"/>
        </w:rPr>
        <w:t>).</w:t>
      </w:r>
    </w:p>
    <w:p w14:paraId="7F7150EC" w14:textId="0A27B493" w:rsidR="00E05B98" w:rsidRPr="003C6DAE" w:rsidRDefault="002D6E6F">
      <w:pPr>
        <w:spacing w:before="170" w:line="304" w:lineRule="auto"/>
        <w:ind w:left="567" w:right="139"/>
        <w:jc w:val="both"/>
        <w:rPr>
          <w:rFonts w:ascii="Arial" w:hAnsi="Arial" w:cs="Arial"/>
          <w:sz w:val="16"/>
          <w:lang w:val="uk-UA"/>
        </w:rPr>
      </w:pPr>
      <w:r w:rsidRPr="003C6DAE">
        <w:rPr>
          <w:rFonts w:ascii="Arial" w:hAnsi="Arial" w:cs="Arial"/>
          <w:color w:val="000000"/>
          <w:sz w:val="16"/>
          <w:lang w:val="uk-UA"/>
        </w:rPr>
        <w:t>Згідно з умовами цієї ліцензії копіювання, поширення та адаптація роботи для некомерційних цілей дозволяється за умови відповідного цитування цього керівництва, як зазначено нижче. Використання цього керівництва не означає, що ВООЗ схвалює будь-яку конкретну організацію, продукцію чи послуги. Використання логотипу ВООЗ заборонене. У разі адаптації керівництва необхідно ліцензувати свою роботу відповідно до умов тієї ж або аналогічної ліцензії Creative Commons. У разі перекладу цього керівництва слід додати наступну відмову від відповідальності разом із запропонованим цитуванням: «Всесвітня організація охорони здоров’я (ВООЗ) не є автором цього перекладу. ВООЗ не несе відповідальності за зміст або точність цього перекладу. Оригінальне видання англійською мовою є автентичним виданням.</w:t>
      </w:r>
    </w:p>
    <w:p w14:paraId="393A737B" w14:textId="4D8107E5" w:rsidR="00E05B98" w:rsidRPr="003C6DAE" w:rsidRDefault="002D6E6F">
      <w:pPr>
        <w:spacing w:before="167" w:line="304" w:lineRule="auto"/>
        <w:ind w:left="567" w:right="141"/>
        <w:jc w:val="both"/>
        <w:rPr>
          <w:rFonts w:ascii="Arial" w:hAnsi="Arial" w:cs="Arial"/>
          <w:sz w:val="16"/>
          <w:lang w:val="uk-UA"/>
        </w:rPr>
      </w:pPr>
      <w:r w:rsidRPr="003C6DAE">
        <w:rPr>
          <w:rFonts w:ascii="Arial" w:hAnsi="Arial" w:cs="Arial"/>
          <w:color w:val="000000"/>
          <w:sz w:val="16"/>
          <w:lang w:val="uk-UA"/>
        </w:rPr>
        <w:t>Будь-яке посередництво, що стосується суперечок, які виникають у зв’язку з ліцензією, здійснюється відповідно до правил посередництва Всесвітньої організації інтелектуальної власності</w:t>
      </w:r>
      <w:r w:rsidR="00B01E0C" w:rsidRPr="003C6DAE">
        <w:rPr>
          <w:rFonts w:ascii="Arial" w:hAnsi="Arial" w:cs="Arial"/>
          <w:spacing w:val="-11"/>
          <w:w w:val="110"/>
          <w:sz w:val="16"/>
          <w:lang w:val="uk-UA"/>
        </w:rPr>
        <w:t xml:space="preserve"> </w:t>
      </w:r>
      <w:r w:rsidR="00B01E0C" w:rsidRPr="003C6DAE">
        <w:rPr>
          <w:rFonts w:ascii="Arial" w:hAnsi="Arial" w:cs="Arial"/>
          <w:w w:val="110"/>
          <w:sz w:val="16"/>
          <w:lang w:val="uk-UA"/>
        </w:rPr>
        <w:t>(</w:t>
      </w:r>
      <w:hyperlink r:id="rId17">
        <w:r w:rsidR="00B01E0C" w:rsidRPr="003C6DAE">
          <w:rPr>
            <w:rFonts w:ascii="Arial" w:hAnsi="Arial" w:cs="Arial"/>
            <w:color w:val="019648"/>
            <w:w w:val="110"/>
            <w:sz w:val="16"/>
            <w:lang w:val="uk-UA"/>
          </w:rPr>
          <w:t>http://www.wipo.int/amc/en/mediation/rules/</w:t>
        </w:r>
      </w:hyperlink>
      <w:r w:rsidR="00B01E0C" w:rsidRPr="003C6DAE">
        <w:rPr>
          <w:rFonts w:ascii="Arial" w:hAnsi="Arial" w:cs="Arial"/>
          <w:w w:val="110"/>
          <w:sz w:val="16"/>
          <w:lang w:val="uk-UA"/>
        </w:rPr>
        <w:t>).</w:t>
      </w:r>
    </w:p>
    <w:p w14:paraId="126D185E" w14:textId="57FB423C" w:rsidR="00E05B98" w:rsidRPr="003C6DAE" w:rsidRDefault="002D6E6F">
      <w:pPr>
        <w:spacing w:before="167" w:line="302" w:lineRule="auto"/>
        <w:ind w:left="567" w:right="140"/>
        <w:jc w:val="both"/>
        <w:rPr>
          <w:rFonts w:ascii="Arial" w:hAnsi="Arial" w:cs="Arial"/>
          <w:sz w:val="16"/>
          <w:lang w:val="uk-UA"/>
        </w:rPr>
      </w:pPr>
      <w:r w:rsidRPr="003C6DAE">
        <w:rPr>
          <w:rFonts w:ascii="Arial" w:hAnsi="Arial" w:cs="Arial"/>
          <w:b/>
          <w:sz w:val="16"/>
          <w:lang w:val="uk-UA"/>
        </w:rPr>
        <w:t>Пропоноване цитування</w:t>
      </w:r>
      <w:r w:rsidR="00B01E0C" w:rsidRPr="003C6DAE">
        <w:rPr>
          <w:rFonts w:ascii="Arial" w:hAnsi="Arial" w:cs="Arial"/>
          <w:sz w:val="16"/>
          <w:lang w:val="uk-UA"/>
        </w:rPr>
        <w:t xml:space="preserve">. </w:t>
      </w:r>
      <w:r w:rsidRPr="003C6DAE">
        <w:rPr>
          <w:rFonts w:ascii="Arial" w:hAnsi="Arial" w:cs="Arial"/>
          <w:sz w:val="16"/>
          <w:lang w:val="uk-UA"/>
        </w:rPr>
        <w:t>Консолідовані настанови ВООЗ щодо туберкульозу</w:t>
      </w:r>
      <w:r w:rsidR="00B01E0C" w:rsidRPr="003C6DAE">
        <w:rPr>
          <w:rFonts w:ascii="Arial" w:hAnsi="Arial" w:cs="Arial"/>
          <w:sz w:val="16"/>
          <w:lang w:val="uk-UA"/>
        </w:rPr>
        <w:t xml:space="preserve">. </w:t>
      </w:r>
      <w:r w:rsidRPr="003C6DAE">
        <w:rPr>
          <w:rFonts w:ascii="Arial" w:hAnsi="Arial" w:cs="Arial"/>
          <w:sz w:val="16"/>
          <w:lang w:val="uk-UA"/>
        </w:rPr>
        <w:t>Модуль</w:t>
      </w:r>
      <w:r w:rsidR="00B01E0C" w:rsidRPr="003C6DAE">
        <w:rPr>
          <w:rFonts w:ascii="Arial" w:hAnsi="Arial" w:cs="Arial"/>
          <w:sz w:val="16"/>
          <w:lang w:val="uk-UA"/>
        </w:rPr>
        <w:t xml:space="preserve"> 3: </w:t>
      </w:r>
      <w:r w:rsidRPr="003C6DAE">
        <w:rPr>
          <w:rFonts w:ascii="Arial" w:hAnsi="Arial" w:cs="Arial"/>
          <w:sz w:val="16"/>
          <w:lang w:val="uk-UA"/>
        </w:rPr>
        <w:t>діагностика</w:t>
      </w:r>
      <w:r w:rsidR="00B01E0C" w:rsidRPr="003C6DAE">
        <w:rPr>
          <w:rFonts w:ascii="Arial" w:hAnsi="Arial" w:cs="Arial"/>
          <w:sz w:val="16"/>
          <w:lang w:val="uk-UA"/>
        </w:rPr>
        <w:t xml:space="preserve">. </w:t>
      </w:r>
      <w:r w:rsidRPr="003C6DAE">
        <w:rPr>
          <w:rFonts w:ascii="Arial" w:hAnsi="Arial" w:cs="Arial"/>
          <w:sz w:val="16"/>
          <w:lang w:val="uk-UA"/>
        </w:rPr>
        <w:t>Женева</w:t>
      </w:r>
      <w:r w:rsidR="00B01E0C" w:rsidRPr="003C6DAE">
        <w:rPr>
          <w:rFonts w:ascii="Arial" w:hAnsi="Arial" w:cs="Arial"/>
          <w:sz w:val="16"/>
          <w:lang w:val="uk-UA"/>
        </w:rPr>
        <w:t xml:space="preserve">: </w:t>
      </w:r>
      <w:r w:rsidRPr="003C6DAE">
        <w:rPr>
          <w:rFonts w:ascii="Arial" w:hAnsi="Arial" w:cs="Arial"/>
          <w:sz w:val="16"/>
          <w:lang w:val="uk-UA"/>
        </w:rPr>
        <w:t>Всесвітня організація охорони здоров’я</w:t>
      </w:r>
      <w:r w:rsidR="00B01E0C" w:rsidRPr="003C6DAE">
        <w:rPr>
          <w:rFonts w:ascii="Arial" w:hAnsi="Arial" w:cs="Arial"/>
          <w:sz w:val="16"/>
          <w:lang w:val="uk-UA"/>
        </w:rPr>
        <w:t>; 2025</w:t>
      </w:r>
      <w:r w:rsidRPr="003C6DAE">
        <w:rPr>
          <w:rFonts w:ascii="Arial" w:hAnsi="Arial" w:cs="Arial"/>
          <w:sz w:val="16"/>
          <w:lang w:val="uk-UA"/>
        </w:rPr>
        <w:t xml:space="preserve"> рік</w:t>
      </w:r>
      <w:r w:rsidR="00B01E0C" w:rsidRPr="003C6DAE">
        <w:rPr>
          <w:rFonts w:ascii="Arial" w:hAnsi="Arial" w:cs="Arial"/>
          <w:sz w:val="16"/>
          <w:lang w:val="uk-UA"/>
        </w:rPr>
        <w:t>.</w:t>
      </w:r>
      <w:r w:rsidR="00B01E0C" w:rsidRPr="003C6DAE">
        <w:rPr>
          <w:rFonts w:ascii="Arial" w:hAnsi="Arial" w:cs="Arial"/>
          <w:spacing w:val="-5"/>
          <w:sz w:val="16"/>
          <w:lang w:val="uk-UA"/>
        </w:rPr>
        <w:t xml:space="preserve"> </w:t>
      </w:r>
      <w:r w:rsidRPr="003C6DAE">
        <w:rPr>
          <w:rFonts w:ascii="Arial" w:hAnsi="Arial" w:cs="Arial"/>
          <w:sz w:val="16"/>
          <w:lang w:val="uk-UA"/>
        </w:rPr>
        <w:t>Ліцензія</w:t>
      </w:r>
      <w:r w:rsidR="00B01E0C" w:rsidRPr="003C6DAE">
        <w:rPr>
          <w:rFonts w:ascii="Arial" w:hAnsi="Arial" w:cs="Arial"/>
          <w:sz w:val="16"/>
          <w:lang w:val="uk-UA"/>
        </w:rPr>
        <w:t>:</w:t>
      </w:r>
      <w:r w:rsidR="00B01E0C" w:rsidRPr="003C6DAE">
        <w:rPr>
          <w:rFonts w:ascii="Arial" w:hAnsi="Arial" w:cs="Arial"/>
          <w:spacing w:val="-5"/>
          <w:sz w:val="16"/>
          <w:lang w:val="uk-UA"/>
        </w:rPr>
        <w:t xml:space="preserve"> </w:t>
      </w:r>
      <w:hyperlink r:id="rId18">
        <w:r w:rsidR="00B01E0C" w:rsidRPr="003C6DAE">
          <w:rPr>
            <w:rFonts w:ascii="Arial" w:hAnsi="Arial" w:cs="Arial"/>
            <w:color w:val="019648"/>
            <w:sz w:val="16"/>
            <w:lang w:val="uk-UA"/>
          </w:rPr>
          <w:t>CC</w:t>
        </w:r>
        <w:r w:rsidR="00B01E0C" w:rsidRPr="003C6DAE">
          <w:rPr>
            <w:rFonts w:ascii="Arial" w:hAnsi="Arial" w:cs="Arial"/>
            <w:color w:val="019648"/>
            <w:spacing w:val="-5"/>
            <w:sz w:val="16"/>
            <w:lang w:val="uk-UA"/>
          </w:rPr>
          <w:t xml:space="preserve"> </w:t>
        </w:r>
        <w:r w:rsidR="00B01E0C" w:rsidRPr="003C6DAE">
          <w:rPr>
            <w:rFonts w:ascii="Arial" w:hAnsi="Arial" w:cs="Arial"/>
            <w:color w:val="019648"/>
            <w:sz w:val="16"/>
            <w:lang w:val="uk-UA"/>
          </w:rPr>
          <w:t>BY-NC-SA</w:t>
        </w:r>
        <w:r w:rsidR="00B01E0C" w:rsidRPr="003C6DAE">
          <w:rPr>
            <w:rFonts w:ascii="Arial" w:hAnsi="Arial" w:cs="Arial"/>
            <w:color w:val="019648"/>
            <w:spacing w:val="-5"/>
            <w:sz w:val="16"/>
            <w:lang w:val="uk-UA"/>
          </w:rPr>
          <w:t xml:space="preserve"> </w:t>
        </w:r>
        <w:r w:rsidR="00B01E0C" w:rsidRPr="003C6DAE">
          <w:rPr>
            <w:rFonts w:ascii="Arial" w:hAnsi="Arial" w:cs="Arial"/>
            <w:color w:val="019648"/>
            <w:sz w:val="16"/>
            <w:lang w:val="uk-UA"/>
          </w:rPr>
          <w:t>3.0</w:t>
        </w:r>
        <w:r w:rsidR="00B01E0C" w:rsidRPr="003C6DAE">
          <w:rPr>
            <w:rFonts w:ascii="Arial" w:hAnsi="Arial" w:cs="Arial"/>
            <w:color w:val="019648"/>
            <w:spacing w:val="-5"/>
            <w:sz w:val="16"/>
            <w:lang w:val="uk-UA"/>
          </w:rPr>
          <w:t xml:space="preserve"> </w:t>
        </w:r>
        <w:r w:rsidR="00B01E0C" w:rsidRPr="003C6DAE">
          <w:rPr>
            <w:rFonts w:ascii="Arial" w:hAnsi="Arial" w:cs="Arial"/>
            <w:color w:val="019648"/>
            <w:sz w:val="16"/>
            <w:lang w:val="uk-UA"/>
          </w:rPr>
          <w:t>IGO</w:t>
        </w:r>
      </w:hyperlink>
      <w:r w:rsidR="00B01E0C" w:rsidRPr="003C6DAE">
        <w:rPr>
          <w:rFonts w:ascii="Arial" w:hAnsi="Arial" w:cs="Arial"/>
          <w:sz w:val="16"/>
          <w:lang w:val="uk-UA"/>
        </w:rPr>
        <w:t>.</w:t>
      </w:r>
    </w:p>
    <w:p w14:paraId="7E4C8A16" w14:textId="218D9D92" w:rsidR="00E05B98" w:rsidRPr="003C6DAE" w:rsidRDefault="002D6E6F">
      <w:pPr>
        <w:spacing w:before="170"/>
        <w:ind w:left="567"/>
        <w:rPr>
          <w:rFonts w:ascii="Arial" w:hAnsi="Arial" w:cs="Arial"/>
          <w:sz w:val="16"/>
          <w:lang w:val="uk-UA"/>
        </w:rPr>
      </w:pPr>
      <w:r w:rsidRPr="003C6DAE">
        <w:rPr>
          <w:rFonts w:ascii="Arial" w:hAnsi="Arial" w:cs="Arial"/>
          <w:b/>
          <w:spacing w:val="-2"/>
          <w:sz w:val="16"/>
          <w:lang w:val="uk-UA"/>
        </w:rPr>
        <w:t>Дані бібліографічного запису</w:t>
      </w:r>
      <w:r w:rsidR="00B01E0C" w:rsidRPr="003C6DAE">
        <w:rPr>
          <w:rFonts w:ascii="Arial" w:hAnsi="Arial" w:cs="Arial"/>
          <w:b/>
          <w:spacing w:val="4"/>
          <w:sz w:val="16"/>
          <w:lang w:val="uk-UA"/>
        </w:rPr>
        <w:t xml:space="preserve"> </w:t>
      </w:r>
      <w:r w:rsidR="00B01E0C" w:rsidRPr="003C6DAE">
        <w:rPr>
          <w:rFonts w:ascii="Arial" w:hAnsi="Arial" w:cs="Arial"/>
          <w:b/>
          <w:spacing w:val="-2"/>
          <w:sz w:val="16"/>
          <w:lang w:val="uk-UA"/>
        </w:rPr>
        <w:t>(CIP).</w:t>
      </w:r>
      <w:r w:rsidR="00B01E0C" w:rsidRPr="003C6DAE">
        <w:rPr>
          <w:rFonts w:ascii="Arial" w:hAnsi="Arial" w:cs="Arial"/>
          <w:b/>
          <w:spacing w:val="1"/>
          <w:sz w:val="16"/>
          <w:lang w:val="uk-UA"/>
        </w:rPr>
        <w:t xml:space="preserve"> </w:t>
      </w:r>
      <w:r w:rsidRPr="003C6DAE">
        <w:rPr>
          <w:rFonts w:ascii="Arial" w:hAnsi="Arial" w:cs="Arial"/>
          <w:spacing w:val="-2"/>
          <w:sz w:val="16"/>
          <w:lang w:val="uk-UA"/>
        </w:rPr>
        <w:t>Дані бібліографічного запису доступі за посиланням:</w:t>
      </w:r>
      <w:r w:rsidR="00B01E0C" w:rsidRPr="003C6DAE">
        <w:rPr>
          <w:rFonts w:ascii="Arial" w:hAnsi="Arial" w:cs="Arial"/>
          <w:spacing w:val="3"/>
          <w:sz w:val="16"/>
          <w:lang w:val="uk-UA"/>
        </w:rPr>
        <w:t xml:space="preserve"> </w:t>
      </w:r>
      <w:hyperlink r:id="rId19">
        <w:r w:rsidR="00B01E0C" w:rsidRPr="003C6DAE">
          <w:rPr>
            <w:rFonts w:ascii="Arial" w:hAnsi="Arial" w:cs="Arial"/>
            <w:color w:val="019648"/>
            <w:spacing w:val="-2"/>
            <w:sz w:val="16"/>
            <w:lang w:val="uk-UA"/>
          </w:rPr>
          <w:t>https://iris.who.int/</w:t>
        </w:r>
      </w:hyperlink>
      <w:r w:rsidR="00B01E0C" w:rsidRPr="003C6DAE">
        <w:rPr>
          <w:rFonts w:ascii="Arial" w:hAnsi="Arial" w:cs="Arial"/>
          <w:spacing w:val="-2"/>
          <w:sz w:val="16"/>
          <w:lang w:val="uk-UA"/>
        </w:rPr>
        <w:t>.</w:t>
      </w:r>
    </w:p>
    <w:p w14:paraId="595A7A2F" w14:textId="77777777" w:rsidR="00E05B98" w:rsidRPr="003C6DAE" w:rsidRDefault="00E05B98">
      <w:pPr>
        <w:pStyle w:val="a3"/>
        <w:spacing w:before="35"/>
        <w:rPr>
          <w:rFonts w:ascii="Arial" w:hAnsi="Arial" w:cs="Arial"/>
          <w:sz w:val="16"/>
          <w:lang w:val="uk-UA"/>
        </w:rPr>
      </w:pPr>
    </w:p>
    <w:p w14:paraId="7F0E3137" w14:textId="44C78372" w:rsidR="00E05B98" w:rsidRPr="003C6DAE" w:rsidRDefault="002D6E6F">
      <w:pPr>
        <w:spacing w:line="302" w:lineRule="auto"/>
        <w:ind w:left="567" w:right="138"/>
        <w:jc w:val="both"/>
        <w:rPr>
          <w:rFonts w:ascii="Arial" w:hAnsi="Arial" w:cs="Arial"/>
          <w:sz w:val="16"/>
          <w:lang w:val="uk-UA"/>
        </w:rPr>
      </w:pPr>
      <w:r w:rsidRPr="003C6DAE">
        <w:rPr>
          <w:rFonts w:ascii="Arial" w:hAnsi="Arial" w:cs="Arial"/>
          <w:b/>
          <w:w w:val="105"/>
          <w:sz w:val="16"/>
          <w:lang w:val="uk-UA"/>
        </w:rPr>
        <w:t>Продажі, права та ліцензування</w:t>
      </w:r>
      <w:r w:rsidR="00B01E0C" w:rsidRPr="003C6DAE">
        <w:rPr>
          <w:rFonts w:ascii="Arial" w:hAnsi="Arial" w:cs="Arial"/>
          <w:b/>
          <w:w w:val="105"/>
          <w:sz w:val="16"/>
          <w:lang w:val="uk-UA"/>
        </w:rPr>
        <w:t>.</w:t>
      </w:r>
      <w:r w:rsidR="00B01E0C" w:rsidRPr="003C6DAE">
        <w:rPr>
          <w:rFonts w:ascii="Arial" w:hAnsi="Arial" w:cs="Arial"/>
          <w:b/>
          <w:spacing w:val="-5"/>
          <w:w w:val="105"/>
          <w:sz w:val="16"/>
          <w:lang w:val="uk-UA"/>
        </w:rPr>
        <w:t xml:space="preserve"> </w:t>
      </w:r>
      <w:r w:rsidRPr="003C6DAE">
        <w:rPr>
          <w:rFonts w:ascii="Arial" w:hAnsi="Arial" w:cs="Arial"/>
          <w:w w:val="105"/>
          <w:sz w:val="16"/>
          <w:lang w:val="uk-UA"/>
        </w:rPr>
        <w:t>Щоб придбати публікації ВООЗ</w:t>
      </w:r>
      <w:r w:rsidR="00B01E0C" w:rsidRPr="003C6DAE">
        <w:rPr>
          <w:rFonts w:ascii="Arial" w:hAnsi="Arial" w:cs="Arial"/>
          <w:w w:val="105"/>
          <w:sz w:val="16"/>
          <w:lang w:val="uk-UA"/>
        </w:rPr>
        <w:t>,</w:t>
      </w:r>
      <w:r w:rsidR="00B01E0C" w:rsidRPr="003C6DAE">
        <w:rPr>
          <w:rFonts w:ascii="Arial" w:hAnsi="Arial" w:cs="Arial"/>
          <w:spacing w:val="-6"/>
          <w:w w:val="105"/>
          <w:sz w:val="16"/>
          <w:lang w:val="uk-UA"/>
        </w:rPr>
        <w:t xml:space="preserve"> </w:t>
      </w:r>
      <w:r w:rsidRPr="003C6DAE">
        <w:rPr>
          <w:rFonts w:ascii="Arial" w:hAnsi="Arial" w:cs="Arial"/>
          <w:w w:val="105"/>
          <w:sz w:val="16"/>
          <w:lang w:val="uk-UA"/>
        </w:rPr>
        <w:t>перейдіть за посиланням:</w:t>
      </w:r>
      <w:r w:rsidR="00B01E0C" w:rsidRPr="003C6DAE">
        <w:rPr>
          <w:rFonts w:ascii="Arial" w:hAnsi="Arial" w:cs="Arial"/>
          <w:spacing w:val="-7"/>
          <w:w w:val="105"/>
          <w:sz w:val="16"/>
          <w:lang w:val="uk-UA"/>
        </w:rPr>
        <w:t xml:space="preserve"> </w:t>
      </w:r>
      <w:hyperlink r:id="rId20">
        <w:r w:rsidR="00B01E0C" w:rsidRPr="003C6DAE">
          <w:rPr>
            <w:rFonts w:ascii="Arial" w:hAnsi="Arial" w:cs="Arial"/>
            <w:color w:val="019648"/>
            <w:w w:val="105"/>
            <w:sz w:val="16"/>
            <w:lang w:val="uk-UA"/>
          </w:rPr>
          <w:t>https://www.who.int/publications/book-orders</w:t>
        </w:r>
      </w:hyperlink>
      <w:r w:rsidR="00B01E0C" w:rsidRPr="003C6DAE">
        <w:rPr>
          <w:rFonts w:ascii="Arial" w:hAnsi="Arial" w:cs="Arial"/>
          <w:w w:val="105"/>
          <w:sz w:val="16"/>
          <w:lang w:val="uk-UA"/>
        </w:rPr>
        <w:t>.</w:t>
      </w:r>
      <w:r w:rsidR="00B01E0C" w:rsidRPr="003C6DAE">
        <w:rPr>
          <w:rFonts w:ascii="Arial" w:hAnsi="Arial" w:cs="Arial"/>
          <w:spacing w:val="-6"/>
          <w:w w:val="105"/>
          <w:sz w:val="16"/>
          <w:lang w:val="uk-UA"/>
        </w:rPr>
        <w:t xml:space="preserve"> </w:t>
      </w:r>
      <w:r w:rsidRPr="003C6DAE">
        <w:rPr>
          <w:rFonts w:ascii="Arial" w:hAnsi="Arial" w:cs="Arial"/>
          <w:color w:val="000000"/>
          <w:sz w:val="16"/>
          <w:lang w:val="uk-UA"/>
        </w:rPr>
        <w:t>Інформація щодо подання запитів стосовно комерційного використання, а також стосовно прав і ліцензування міститься за посиланням:</w:t>
      </w:r>
      <w:r w:rsidR="00B01E0C" w:rsidRPr="003C6DAE">
        <w:rPr>
          <w:rFonts w:ascii="Arial" w:hAnsi="Arial" w:cs="Arial"/>
          <w:spacing w:val="-3"/>
          <w:w w:val="105"/>
          <w:sz w:val="16"/>
          <w:lang w:val="uk-UA"/>
        </w:rPr>
        <w:t xml:space="preserve"> </w:t>
      </w:r>
      <w:hyperlink r:id="rId21">
        <w:r w:rsidR="00B01E0C" w:rsidRPr="003C6DAE">
          <w:rPr>
            <w:rFonts w:ascii="Arial" w:hAnsi="Arial" w:cs="Arial"/>
            <w:color w:val="019648"/>
            <w:w w:val="105"/>
            <w:sz w:val="16"/>
            <w:lang w:val="uk-UA"/>
          </w:rPr>
          <w:t>https://www.who.int/copyright</w:t>
        </w:r>
      </w:hyperlink>
      <w:r w:rsidR="00B01E0C" w:rsidRPr="003C6DAE">
        <w:rPr>
          <w:rFonts w:ascii="Arial" w:hAnsi="Arial" w:cs="Arial"/>
          <w:w w:val="105"/>
          <w:sz w:val="16"/>
          <w:lang w:val="uk-UA"/>
        </w:rPr>
        <w:t>.</w:t>
      </w:r>
    </w:p>
    <w:p w14:paraId="5E830A82" w14:textId="037AE922" w:rsidR="00E05B98" w:rsidRPr="003C6DAE" w:rsidRDefault="002D6E6F">
      <w:pPr>
        <w:spacing w:before="170" w:line="304" w:lineRule="auto"/>
        <w:ind w:left="567" w:right="138"/>
        <w:jc w:val="both"/>
        <w:rPr>
          <w:rFonts w:ascii="Arial" w:hAnsi="Arial" w:cs="Arial"/>
          <w:sz w:val="16"/>
          <w:lang w:val="uk-UA"/>
        </w:rPr>
      </w:pPr>
      <w:r w:rsidRPr="003C6DAE">
        <w:rPr>
          <w:rFonts w:ascii="Arial" w:hAnsi="Arial" w:cs="Arial"/>
          <w:b/>
          <w:sz w:val="16"/>
          <w:lang w:val="uk-UA"/>
        </w:rPr>
        <w:t>Матеріали третіх сторін</w:t>
      </w:r>
      <w:r w:rsidR="00B01E0C" w:rsidRPr="003C6DAE">
        <w:rPr>
          <w:rFonts w:ascii="Arial" w:hAnsi="Arial" w:cs="Arial"/>
          <w:b/>
          <w:sz w:val="16"/>
          <w:lang w:val="uk-UA"/>
        </w:rPr>
        <w:t xml:space="preserve">. </w:t>
      </w:r>
      <w:r w:rsidR="009D0BB5" w:rsidRPr="003C6DAE">
        <w:rPr>
          <w:rFonts w:ascii="Arial" w:hAnsi="Arial" w:cs="Arial"/>
          <w:color w:val="000000"/>
          <w:sz w:val="16"/>
          <w:lang w:val="uk-UA"/>
        </w:rPr>
        <w:t>Якщо ви хочете повторно використовувати матеріали з цього керівництва, які належать третім сторонам, наприклад, таблиці, рисунки чи зображення, ви несете відповідальність за визначення необхідності отримання дозволу для цього повторного використання та отримання дозволу від власника авторських прав. Ризик претензій внаслідок порушення будь-якого зі сторонніх компонентів у роботі покладається виключно на користувача</w:t>
      </w:r>
      <w:r w:rsidR="00B01E0C" w:rsidRPr="003C6DAE">
        <w:rPr>
          <w:rFonts w:ascii="Arial" w:hAnsi="Arial" w:cs="Arial"/>
          <w:sz w:val="16"/>
          <w:lang w:val="uk-UA"/>
        </w:rPr>
        <w:t>.</w:t>
      </w:r>
    </w:p>
    <w:p w14:paraId="556C967C" w14:textId="77777777" w:rsidR="009D0BB5" w:rsidRPr="003C6DAE" w:rsidRDefault="009D0BB5" w:rsidP="00284039">
      <w:pPr>
        <w:spacing w:before="200"/>
        <w:ind w:left="567"/>
        <w:jc w:val="both"/>
        <w:rPr>
          <w:rFonts w:ascii="Arial" w:hAnsi="Arial" w:cs="Arial"/>
          <w:lang w:val="uk-UA"/>
        </w:rPr>
      </w:pPr>
      <w:r w:rsidRPr="003C6DAE">
        <w:rPr>
          <w:rFonts w:ascii="Arial" w:hAnsi="Arial" w:cs="Arial"/>
          <w:b/>
          <w:color w:val="000000"/>
          <w:sz w:val="16"/>
          <w:lang w:val="uk-UA"/>
        </w:rPr>
        <w:t>Загальні відмови від відповідальності.</w:t>
      </w:r>
      <w:r w:rsidRPr="003C6DAE">
        <w:rPr>
          <w:rFonts w:ascii="Arial" w:hAnsi="Arial" w:cs="Arial"/>
          <w:color w:val="000000"/>
          <w:sz w:val="16"/>
          <w:lang w:val="uk-UA"/>
        </w:rPr>
        <w:t xml:space="preserve"> Використані позначення та подання матеріалів у цій публікації не означають висловлення будь-якої думки з боку ВООЗ щодо правового статусу будь-якої країни, території, міста чи району чи їхніх органів влади, або щодо розмежування їхніх меж або кордонів. Пунктирні лінії на картах – це приблизні межі, які, можливо, ще не є повністю погодженими.</w:t>
      </w:r>
    </w:p>
    <w:p w14:paraId="41D5FBCC" w14:textId="77777777" w:rsidR="009D0BB5" w:rsidRPr="003C6DAE" w:rsidRDefault="009D0BB5" w:rsidP="00284039">
      <w:pPr>
        <w:spacing w:before="200"/>
        <w:ind w:left="567"/>
        <w:jc w:val="both"/>
        <w:rPr>
          <w:rFonts w:ascii="Arial" w:hAnsi="Arial" w:cs="Arial"/>
          <w:lang w:val="uk-UA"/>
        </w:rPr>
      </w:pPr>
      <w:r w:rsidRPr="003C6DAE">
        <w:rPr>
          <w:rFonts w:ascii="Arial" w:hAnsi="Arial" w:cs="Arial"/>
          <w:color w:val="000000"/>
          <w:sz w:val="16"/>
          <w:lang w:val="uk-UA"/>
        </w:rPr>
        <w:t>Згадка про конкретні компанії чи продукцію певних виробників не означає, що ВООЗ затвердила або рекомендує їх, надаючи перевагу іншим виробникам аналогічної продукції, не згаданим у цьому керівництві. За винятком помилок та упущень, назви фірмових продуктів вирізняються першими великими літерами.</w:t>
      </w:r>
    </w:p>
    <w:p w14:paraId="3A142D7A" w14:textId="49299867" w:rsidR="00E05B98" w:rsidRPr="003C6DAE" w:rsidRDefault="009D0BB5" w:rsidP="009D0BB5">
      <w:pPr>
        <w:spacing w:before="170" w:line="304" w:lineRule="auto"/>
        <w:ind w:left="567" w:right="136"/>
        <w:jc w:val="both"/>
        <w:rPr>
          <w:rFonts w:ascii="Arial" w:hAnsi="Arial" w:cs="Arial"/>
          <w:sz w:val="16"/>
          <w:lang w:val="uk-UA"/>
        </w:rPr>
      </w:pPr>
      <w:r w:rsidRPr="003C6DAE">
        <w:rPr>
          <w:rFonts w:ascii="Arial" w:hAnsi="Arial" w:cs="Arial"/>
          <w:color w:val="000000"/>
          <w:sz w:val="16"/>
          <w:lang w:val="uk-UA"/>
        </w:rPr>
        <w:t>ВООЗ вжила всіх розумних запобіжних заходів для перевірки інформації, що міститься у цій публікації. Проте опублікований матеріал поширюється без жодних явних чи неявних гарантій. Відповідальність за інтерпретацію та використання матеріалу покладається на читача. ВООЗ у жодному разі не несе відповідальності за збитки, що виникли внаслідок використання цього матеріалу.</w:t>
      </w:r>
    </w:p>
    <w:p w14:paraId="33216728" w14:textId="1CDC9651" w:rsidR="00E05B98" w:rsidRPr="003C6DAE" w:rsidRDefault="009D0BB5" w:rsidP="009D0BB5">
      <w:pPr>
        <w:spacing w:before="170" w:line="530" w:lineRule="auto"/>
        <w:ind w:left="567" w:right="6241"/>
        <w:rPr>
          <w:sz w:val="16"/>
          <w:lang w:val="uk-UA"/>
        </w:rPr>
      </w:pPr>
      <w:r w:rsidRPr="003C6DAE">
        <w:rPr>
          <w:sz w:val="16"/>
          <w:lang w:val="uk-UA"/>
        </w:rPr>
        <w:t>Технічний дизайн компанії</w:t>
      </w:r>
      <w:r w:rsidR="00B01E0C" w:rsidRPr="003C6DAE">
        <w:rPr>
          <w:sz w:val="16"/>
          <w:lang w:val="uk-UA"/>
        </w:rPr>
        <w:t xml:space="preserve"> </w:t>
      </w:r>
      <w:proofErr w:type="spellStart"/>
      <w:r w:rsidR="00B01E0C" w:rsidRPr="003C6DAE">
        <w:rPr>
          <w:sz w:val="16"/>
          <w:lang w:val="uk-UA"/>
        </w:rPr>
        <w:t>Cadman</w:t>
      </w:r>
      <w:proofErr w:type="spellEnd"/>
      <w:r w:rsidR="00B01E0C" w:rsidRPr="003C6DAE">
        <w:rPr>
          <w:sz w:val="16"/>
          <w:lang w:val="uk-UA"/>
        </w:rPr>
        <w:t xml:space="preserve"> </w:t>
      </w:r>
      <w:r w:rsidRPr="003C6DAE">
        <w:rPr>
          <w:spacing w:val="-2"/>
          <w:sz w:val="16"/>
          <w:lang w:val="uk-UA"/>
        </w:rPr>
        <w:t xml:space="preserve">Дизайн компанії </w:t>
      </w:r>
      <w:r w:rsidR="00B01E0C" w:rsidRPr="003C6DAE">
        <w:rPr>
          <w:spacing w:val="-4"/>
          <w:sz w:val="16"/>
          <w:lang w:val="uk-UA"/>
        </w:rPr>
        <w:t xml:space="preserve"> </w:t>
      </w:r>
      <w:proofErr w:type="spellStart"/>
      <w:r w:rsidR="00B01E0C" w:rsidRPr="003C6DAE">
        <w:rPr>
          <w:spacing w:val="-2"/>
          <w:sz w:val="16"/>
          <w:lang w:val="uk-UA"/>
        </w:rPr>
        <w:t>Inis</w:t>
      </w:r>
      <w:proofErr w:type="spellEnd"/>
      <w:r w:rsidR="00B01E0C" w:rsidRPr="003C6DAE">
        <w:rPr>
          <w:spacing w:val="-4"/>
          <w:sz w:val="16"/>
          <w:lang w:val="uk-UA"/>
        </w:rPr>
        <w:t xml:space="preserve"> </w:t>
      </w:r>
      <w:proofErr w:type="spellStart"/>
      <w:r w:rsidR="00B01E0C" w:rsidRPr="003C6DAE">
        <w:rPr>
          <w:spacing w:val="-2"/>
          <w:sz w:val="16"/>
          <w:lang w:val="uk-UA"/>
        </w:rPr>
        <w:t>Communication</w:t>
      </w:r>
      <w:proofErr w:type="spellEnd"/>
    </w:p>
    <w:p w14:paraId="237F2819" w14:textId="77777777" w:rsidR="00E05B98" w:rsidRPr="003C6DAE" w:rsidRDefault="00E05B98">
      <w:pPr>
        <w:spacing w:line="530" w:lineRule="auto"/>
        <w:jc w:val="both"/>
        <w:rPr>
          <w:sz w:val="16"/>
          <w:lang w:val="uk-UA"/>
        </w:rPr>
        <w:sectPr w:rsidR="00E05B98" w:rsidRPr="003C6DAE">
          <w:pgSz w:w="11910" w:h="16840"/>
          <w:pgMar w:top="1920" w:right="1275" w:bottom="280" w:left="850" w:header="0" w:footer="0" w:gutter="0"/>
          <w:cols w:space="720"/>
        </w:sectPr>
      </w:pPr>
    </w:p>
    <w:p w14:paraId="60321442" w14:textId="570A0AC2" w:rsidR="00E05B98" w:rsidRPr="003C6DAE" w:rsidRDefault="009D0BB5">
      <w:pPr>
        <w:pStyle w:val="1"/>
        <w:spacing w:before="1"/>
        <w:rPr>
          <w:lang w:val="uk-UA"/>
        </w:rPr>
      </w:pPr>
      <w:r w:rsidRPr="003C6DAE">
        <w:rPr>
          <w:color w:val="019648"/>
          <w:spacing w:val="-2"/>
          <w:w w:val="105"/>
          <w:lang w:val="uk-UA"/>
        </w:rPr>
        <w:lastRenderedPageBreak/>
        <w:t>Зміст</w:t>
      </w:r>
    </w:p>
    <w:p w14:paraId="7C400542" w14:textId="77777777" w:rsidR="00E05B98" w:rsidRPr="00C9292C" w:rsidRDefault="00E05B98">
      <w:pPr>
        <w:pStyle w:val="a3"/>
        <w:spacing w:before="20"/>
        <w:rPr>
          <w:sz w:val="52"/>
          <w:szCs w:val="52"/>
          <w:lang w:val="uk-UA"/>
        </w:rPr>
      </w:pPr>
    </w:p>
    <w:p w14:paraId="3F16BAA6" w14:textId="396436FC" w:rsidR="00E05B98" w:rsidRPr="00C9292C" w:rsidRDefault="00B01E0C">
      <w:pPr>
        <w:pStyle w:val="6"/>
        <w:tabs>
          <w:tab w:val="left" w:pos="9325"/>
          <w:tab w:val="left" w:pos="9394"/>
          <w:tab w:val="left" w:pos="9463"/>
        </w:tabs>
        <w:spacing w:before="0" w:line="417" w:lineRule="auto"/>
        <w:ind w:right="140"/>
        <w:jc w:val="both"/>
        <w:rPr>
          <w:sz w:val="22"/>
          <w:szCs w:val="22"/>
          <w:lang w:val="uk-UA"/>
        </w:rPr>
      </w:pPr>
      <w:r w:rsidRPr="00C9292C">
        <w:rPr>
          <w:noProof/>
          <w:sz w:val="22"/>
          <w:szCs w:val="22"/>
          <w:lang w:val="uk-UA"/>
        </w:rPr>
        <mc:AlternateContent>
          <mc:Choice Requires="wps">
            <w:drawing>
              <wp:anchor distT="0" distB="0" distL="0" distR="0" simplePos="0" relativeHeight="481355776" behindDoc="1" locked="0" layoutInCell="1" allowOverlap="1" wp14:anchorId="37FADD73" wp14:editId="7E44E707">
                <wp:simplePos x="0" y="0"/>
                <wp:positionH relativeFrom="page">
                  <wp:posOffset>2352659</wp:posOffset>
                </wp:positionH>
                <wp:positionV relativeFrom="paragraph">
                  <wp:posOffset>141904</wp:posOffset>
                </wp:positionV>
                <wp:extent cx="12700" cy="1270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1F22D1E0" id="Graphic 16" o:spid="_x0000_s1026" style="position:absolute;margin-left:185.25pt;margin-top:11.15pt;width:1pt;height:1pt;z-index:-2196070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" path="m,6350l1859,1859,6350,r4490,1859l12700,6350r-1860,4490l6350,12700,1859,10840,,6350xe" fillcolor="#8bb98c"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56288" behindDoc="1" locked="0" layoutInCell="1" allowOverlap="1" wp14:anchorId="79089CCA" wp14:editId="345FF1E7">
                <wp:simplePos x="0" y="0"/>
                <wp:positionH relativeFrom="page">
                  <wp:posOffset>6562112</wp:posOffset>
                </wp:positionH>
                <wp:positionV relativeFrom="paragraph">
                  <wp:posOffset>141904</wp:posOffset>
                </wp:positionV>
                <wp:extent cx="12700" cy="1270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085C40F8" id="Graphic 17" o:spid="_x0000_s1026" style="position:absolute;margin-left:516.7pt;margin-top:11.15pt;width:1pt;height:1pt;z-index:-2196019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" path="m,6350l1859,1859,6350,r4490,1859l12700,6350r-1860,4490l6350,12700,1859,10840,,6350xe" fillcolor="#8bb98c"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56800" behindDoc="1" locked="0" layoutInCell="1" allowOverlap="1" wp14:anchorId="2DAE91BD" wp14:editId="5FCFF638">
                <wp:simplePos x="0" y="0"/>
                <wp:positionH relativeFrom="page">
                  <wp:posOffset>2978561</wp:posOffset>
                </wp:positionH>
                <wp:positionV relativeFrom="paragraph">
                  <wp:posOffset>446754</wp:posOffset>
                </wp:positionV>
                <wp:extent cx="12700" cy="1270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57968F62" id="Graphic 18" o:spid="_x0000_s1026" style="position:absolute;margin-left:234.55pt;margin-top:35.2pt;width:1pt;height:1pt;z-index:-2195968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" path="m,6350l1859,1859,6350,r4490,1859l12700,6350r-1860,4490l6350,12700,1859,10840,,6350xe" fillcolor="#8bb98c"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57312" behindDoc="1" locked="0" layoutInCell="1" allowOverlap="1" wp14:anchorId="0360B92F" wp14:editId="4825B13D">
                <wp:simplePos x="0" y="0"/>
                <wp:positionH relativeFrom="page">
                  <wp:posOffset>6474325</wp:posOffset>
                </wp:positionH>
                <wp:positionV relativeFrom="paragraph">
                  <wp:posOffset>446754</wp:posOffset>
                </wp:positionV>
                <wp:extent cx="12700" cy="1270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6ED2CDB5" id="Graphic 19" o:spid="_x0000_s1026" style="position:absolute;margin-left:509.8pt;margin-top:35.2pt;width:1pt;height:1pt;z-index:-2195916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" path="m,6350l1859,1859,6350,r4490,1859l12700,6350r-1860,4490l6350,12700,1859,10840,,6350xe" fillcolor="#8bb98c"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57824" behindDoc="1" locked="0" layoutInCell="1" allowOverlap="1" wp14:anchorId="77DCC4D0" wp14:editId="690D4467">
                <wp:simplePos x="0" y="0"/>
                <wp:positionH relativeFrom="page">
                  <wp:posOffset>1700395</wp:posOffset>
                </wp:positionH>
                <wp:positionV relativeFrom="paragraph">
                  <wp:posOffset>751603</wp:posOffset>
                </wp:positionV>
                <wp:extent cx="12700" cy="127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58C98F17" id="Graphic 20" o:spid="_x0000_s1026" style="position:absolute;margin-left:133.9pt;margin-top:59.2pt;width:1pt;height:1pt;z-index:-2195865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" path="m,6350l1859,1859,6350,r4490,1859l12700,6350r-1860,4490l6350,12700,1859,10840,,6350xe" fillcolor="#8bb98c"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58336" behindDoc="1" locked="0" layoutInCell="1" allowOverlap="1" wp14:anchorId="5AA23667" wp14:editId="3D061C0E">
                <wp:simplePos x="0" y="0"/>
                <wp:positionH relativeFrom="page">
                  <wp:posOffset>6518216</wp:posOffset>
                </wp:positionH>
                <wp:positionV relativeFrom="paragraph">
                  <wp:posOffset>751603</wp:posOffset>
                </wp:positionV>
                <wp:extent cx="12700" cy="1270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182730E6" id="Graphic 21" o:spid="_x0000_s1026" style="position:absolute;margin-left:513.25pt;margin-top:59.2pt;width:1pt;height:1pt;z-index:-2195814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" path="m,6350l1859,1859,6350,r4490,1859l12700,6350r-1860,4490l6350,12700,1859,10840,,6350xe" fillcolor="#8bb98c"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58848" behindDoc="1" locked="0" layoutInCell="1" allowOverlap="1" wp14:anchorId="604A7429" wp14:editId="2E6F097F">
                <wp:simplePos x="0" y="0"/>
                <wp:positionH relativeFrom="page">
                  <wp:posOffset>2312885</wp:posOffset>
                </wp:positionH>
                <wp:positionV relativeFrom="paragraph">
                  <wp:posOffset>1056454</wp:posOffset>
                </wp:positionV>
                <wp:extent cx="12700" cy="1270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1B96A477" id="Graphic 22" o:spid="_x0000_s1026" style="position:absolute;margin-left:182.1pt;margin-top:83.2pt;width:1pt;height:1pt;z-index:-2195763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" path="m,6350l1859,1859,6350,r4490,1859l12700,6350r-1860,4490l6350,12700,1859,10840,,6350xe" fillcolor="#8bb98c"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59360" behindDoc="1" locked="0" layoutInCell="1" allowOverlap="1" wp14:anchorId="611015A4" wp14:editId="74CC20C1">
                <wp:simplePos x="0" y="0"/>
                <wp:positionH relativeFrom="page">
                  <wp:posOffset>6562115</wp:posOffset>
                </wp:positionH>
                <wp:positionV relativeFrom="paragraph">
                  <wp:posOffset>1056454</wp:posOffset>
                </wp:positionV>
                <wp:extent cx="12700" cy="1270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7019775F" id="Graphic 23" o:spid="_x0000_s1026" style="position:absolute;margin-left:516.7pt;margin-top:83.2pt;width:1pt;height:1pt;z-index:-2195712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" path="m,6350l1859,1859,6349,r4491,1859l12699,6350r-1859,4490l6349,12700,1859,10840,,6350xe" fillcolor="#8bb98c"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59872" behindDoc="1" locked="0" layoutInCell="1" allowOverlap="1" wp14:anchorId="46556CEC" wp14:editId="5611813A">
                <wp:simplePos x="0" y="0"/>
                <wp:positionH relativeFrom="page">
                  <wp:posOffset>1979891</wp:posOffset>
                </wp:positionH>
                <wp:positionV relativeFrom="paragraph">
                  <wp:posOffset>1361304</wp:posOffset>
                </wp:positionV>
                <wp:extent cx="12700" cy="1270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1EE1398D" id="Graphic 24" o:spid="_x0000_s1026" style="position:absolute;margin-left:155.9pt;margin-top:107.2pt;width:1pt;height:1pt;z-index:-2195660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" path="m,6350l1859,1859,6350,r4490,1859l12700,6350r-1860,4490l6350,12700,1859,10840,,6350xe" fillcolor="#8bb98c"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60384" behindDoc="1" locked="0" layoutInCell="1" allowOverlap="1" wp14:anchorId="0181E15F" wp14:editId="7897644F">
                <wp:simplePos x="0" y="0"/>
                <wp:positionH relativeFrom="page">
                  <wp:posOffset>6556464</wp:posOffset>
                </wp:positionH>
                <wp:positionV relativeFrom="paragraph">
                  <wp:posOffset>1361304</wp:posOffset>
                </wp:positionV>
                <wp:extent cx="12700" cy="1270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56C29FAE" id="Graphic 25" o:spid="_x0000_s1026" style="position:absolute;margin-left:516.25pt;margin-top:107.2pt;width:1pt;height:1pt;z-index:-2195609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" path="m,6350l1859,1859,6349,r4491,1859l12699,6350r-1859,4490l6349,12700,1859,10840,,6350xe" fillcolor="#8bb98c"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60896" behindDoc="1" locked="0" layoutInCell="1" allowOverlap="1" wp14:anchorId="64E83371" wp14:editId="62F02D86">
                <wp:simplePos x="0" y="0"/>
                <wp:positionH relativeFrom="page">
                  <wp:posOffset>2067307</wp:posOffset>
                </wp:positionH>
                <wp:positionV relativeFrom="paragraph">
                  <wp:posOffset>1666153</wp:posOffset>
                </wp:positionV>
                <wp:extent cx="12700" cy="1270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197B6759" id="Graphic 26" o:spid="_x0000_s1026" style="position:absolute;margin-left:162.8pt;margin-top:131.2pt;width:1pt;height:1pt;z-index:-2195558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61408" behindDoc="1" locked="0" layoutInCell="1" allowOverlap="1" wp14:anchorId="1A8CF71E" wp14:editId="330F4D37">
                <wp:simplePos x="0" y="0"/>
                <wp:positionH relativeFrom="page">
                  <wp:posOffset>6570358</wp:posOffset>
                </wp:positionH>
                <wp:positionV relativeFrom="paragraph">
                  <wp:posOffset>1666153</wp:posOffset>
                </wp:positionV>
                <wp:extent cx="12700" cy="1270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76682A17" id="Graphic 27" o:spid="_x0000_s1026" style="position:absolute;margin-left:517.35pt;margin-top:131.2pt;width:1pt;height:1pt;z-index:-2195507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" path="m,6350l1859,1859,6349,r4491,1859l12699,6350r-1859,4490l6349,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61920" behindDoc="1" locked="0" layoutInCell="1" allowOverlap="1" wp14:anchorId="32AF8376" wp14:editId="6D120128">
                <wp:simplePos x="0" y="0"/>
                <wp:positionH relativeFrom="page">
                  <wp:posOffset>5511412</wp:posOffset>
                </wp:positionH>
                <wp:positionV relativeFrom="paragraph">
                  <wp:posOffset>1899004</wp:posOffset>
                </wp:positionV>
                <wp:extent cx="12700" cy="1270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085863FF" id="Graphic 28" o:spid="_x0000_s1026" style="position:absolute;margin-left:433.95pt;margin-top:149.55pt;width:1pt;height:1pt;z-index:-2195456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62432" behindDoc="1" locked="0" layoutInCell="1" allowOverlap="1" wp14:anchorId="17B54E4B" wp14:editId="66C354FD">
                <wp:simplePos x="0" y="0"/>
                <wp:positionH relativeFrom="page">
                  <wp:posOffset>6570351</wp:posOffset>
                </wp:positionH>
                <wp:positionV relativeFrom="paragraph">
                  <wp:posOffset>1899004</wp:posOffset>
                </wp:positionV>
                <wp:extent cx="12700" cy="1270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5E1C4DF3" id="Graphic 29" o:spid="_x0000_s1026" style="position:absolute;margin-left:517.35pt;margin-top:149.55pt;width:1pt;height:1pt;z-index:-2195404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" path="m,6350l1859,1859,6349,r4491,1859l12699,6350r-1859,4490l6349,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62944" behindDoc="1" locked="0" layoutInCell="1" allowOverlap="1" wp14:anchorId="2D229995" wp14:editId="6EA058AE">
                <wp:simplePos x="0" y="0"/>
                <wp:positionH relativeFrom="page">
                  <wp:posOffset>2309712</wp:posOffset>
                </wp:positionH>
                <wp:positionV relativeFrom="paragraph">
                  <wp:posOffset>2131853</wp:posOffset>
                </wp:positionV>
                <wp:extent cx="12700" cy="1270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152CC74A" id="Graphic 30" o:spid="_x0000_s1026" style="position:absolute;margin-left:181.85pt;margin-top:167.85pt;width:1pt;height:1pt;z-index:-2195353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63456" behindDoc="1" locked="0" layoutInCell="1" allowOverlap="1" wp14:anchorId="51BAF648" wp14:editId="18770532">
                <wp:simplePos x="0" y="0"/>
                <wp:positionH relativeFrom="page">
                  <wp:posOffset>6550762</wp:posOffset>
                </wp:positionH>
                <wp:positionV relativeFrom="paragraph">
                  <wp:posOffset>2131853</wp:posOffset>
                </wp:positionV>
                <wp:extent cx="12700" cy="1270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5984CD3D" id="Graphic 31" o:spid="_x0000_s1026" style="position:absolute;margin-left:515.8pt;margin-top:167.85pt;width:1pt;height:1pt;z-index:-2195302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63968" behindDoc="1" locked="0" layoutInCell="1" allowOverlap="1" wp14:anchorId="34CB89A2" wp14:editId="290F1DEA">
                <wp:simplePos x="0" y="0"/>
                <wp:positionH relativeFrom="page">
                  <wp:posOffset>2294909</wp:posOffset>
                </wp:positionH>
                <wp:positionV relativeFrom="paragraph">
                  <wp:posOffset>2364704</wp:posOffset>
                </wp:positionV>
                <wp:extent cx="12700" cy="1270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5080C4A5" id="Graphic 32" o:spid="_x0000_s1026" style="position:absolute;margin-left:180.7pt;margin-top:186.2pt;width:1pt;height:1pt;z-index:-2195251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64480" behindDoc="1" locked="0" layoutInCell="1" allowOverlap="1" wp14:anchorId="695788F8" wp14:editId="43FB702D">
                <wp:simplePos x="0" y="0"/>
                <wp:positionH relativeFrom="page">
                  <wp:posOffset>6550755</wp:posOffset>
                </wp:positionH>
                <wp:positionV relativeFrom="paragraph">
                  <wp:posOffset>2364704</wp:posOffset>
                </wp:positionV>
                <wp:extent cx="12700" cy="1270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6E64B253" id="Graphic 33" o:spid="_x0000_s1026" style="position:absolute;margin-left:515.8pt;margin-top:186.2pt;width:1pt;height:1pt;z-index:-2195200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64992" behindDoc="1" locked="0" layoutInCell="1" allowOverlap="1" wp14:anchorId="3BA3BFCD" wp14:editId="200B43D8">
                <wp:simplePos x="0" y="0"/>
                <wp:positionH relativeFrom="page">
                  <wp:posOffset>3044347</wp:posOffset>
                </wp:positionH>
                <wp:positionV relativeFrom="paragraph">
                  <wp:posOffset>2597553</wp:posOffset>
                </wp:positionV>
                <wp:extent cx="12700" cy="1270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40368DFA" id="Graphic 34" o:spid="_x0000_s1026" style="position:absolute;margin-left:239.7pt;margin-top:204.55pt;width:1pt;height:1pt;z-index:-2195148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65504" behindDoc="1" locked="0" layoutInCell="1" allowOverlap="1" wp14:anchorId="26D43646" wp14:editId="6B36729C">
                <wp:simplePos x="0" y="0"/>
                <wp:positionH relativeFrom="page">
                  <wp:posOffset>6570362</wp:posOffset>
                </wp:positionH>
                <wp:positionV relativeFrom="paragraph">
                  <wp:posOffset>2597553</wp:posOffset>
                </wp:positionV>
                <wp:extent cx="12700" cy="1270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585AF349" id="Graphic 35" o:spid="_x0000_s1026" style="position:absolute;margin-left:517.35pt;margin-top:204.55pt;width:1pt;height:1pt;z-index:-2195097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66016" behindDoc="1" locked="0" layoutInCell="1" allowOverlap="1" wp14:anchorId="5BF829BD" wp14:editId="22D7ACE8">
                <wp:simplePos x="0" y="0"/>
                <wp:positionH relativeFrom="page">
                  <wp:posOffset>5193348</wp:posOffset>
                </wp:positionH>
                <wp:positionV relativeFrom="paragraph">
                  <wp:posOffset>2830403</wp:posOffset>
                </wp:positionV>
                <wp:extent cx="12700" cy="1270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13FFC7DA" id="Graphic 36" o:spid="_x0000_s1026" style="position:absolute;margin-left:408.95pt;margin-top:222.85pt;width:1pt;height:1pt;z-index:-2195046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66528" behindDoc="1" locked="0" layoutInCell="1" allowOverlap="1" wp14:anchorId="18A8EDF3" wp14:editId="4710F8DA">
                <wp:simplePos x="0" y="0"/>
                <wp:positionH relativeFrom="page">
                  <wp:posOffset>6550762</wp:posOffset>
                </wp:positionH>
                <wp:positionV relativeFrom="paragraph">
                  <wp:posOffset>2830403</wp:posOffset>
                </wp:positionV>
                <wp:extent cx="12700" cy="1270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1A48ECE5" id="Graphic 37" o:spid="_x0000_s1026" style="position:absolute;margin-left:515.8pt;margin-top:222.85pt;width:1pt;height:1pt;z-index:-2194995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67040" behindDoc="1" locked="0" layoutInCell="1" allowOverlap="1" wp14:anchorId="308DB1E3" wp14:editId="7127A25A">
                <wp:simplePos x="0" y="0"/>
                <wp:positionH relativeFrom="page">
                  <wp:posOffset>5404837</wp:posOffset>
                </wp:positionH>
                <wp:positionV relativeFrom="paragraph">
                  <wp:posOffset>3063253</wp:posOffset>
                </wp:positionV>
                <wp:extent cx="12700" cy="1270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0782C9C7" id="Graphic 38" o:spid="_x0000_s1026" style="position:absolute;margin-left:425.6pt;margin-top:241.2pt;width:1pt;height:1pt;z-index:-2194944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67552" behindDoc="1" locked="0" layoutInCell="1" allowOverlap="1" wp14:anchorId="354E9711" wp14:editId="188C4AC3">
                <wp:simplePos x="0" y="0"/>
                <wp:positionH relativeFrom="page">
                  <wp:posOffset>6550759</wp:posOffset>
                </wp:positionH>
                <wp:positionV relativeFrom="paragraph">
                  <wp:posOffset>3063253</wp:posOffset>
                </wp:positionV>
                <wp:extent cx="12700" cy="1270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6ACC177B" id="Graphic 39" o:spid="_x0000_s1026" style="position:absolute;margin-left:515.8pt;margin-top:241.2pt;width:1pt;height:1pt;z-index:-2194892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" path="m,6350l1859,1859,6349,r4491,1859l12699,6350r-1859,4490l6349,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68064" behindDoc="1" locked="0" layoutInCell="1" allowOverlap="1" wp14:anchorId="41580F5E" wp14:editId="591CDC40">
                <wp:simplePos x="0" y="0"/>
                <wp:positionH relativeFrom="page">
                  <wp:posOffset>4711561</wp:posOffset>
                </wp:positionH>
                <wp:positionV relativeFrom="paragraph">
                  <wp:posOffset>3296103</wp:posOffset>
                </wp:positionV>
                <wp:extent cx="12700" cy="1270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3E5E07BB" id="Graphic 40" o:spid="_x0000_s1026" style="position:absolute;margin-left:371pt;margin-top:259.55pt;width:1pt;height:1pt;z-index:-2194841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68576" behindDoc="1" locked="0" layoutInCell="1" allowOverlap="1" wp14:anchorId="75B21552" wp14:editId="433A730B">
                <wp:simplePos x="0" y="0"/>
                <wp:positionH relativeFrom="page">
                  <wp:posOffset>6550762</wp:posOffset>
                </wp:positionH>
                <wp:positionV relativeFrom="paragraph">
                  <wp:posOffset>3296103</wp:posOffset>
                </wp:positionV>
                <wp:extent cx="12700" cy="1270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5540324D" id="Graphic 41" o:spid="_x0000_s1026" style="position:absolute;margin-left:515.8pt;margin-top:259.55pt;width:1pt;height:1pt;z-index:-2194790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69088" behindDoc="1" locked="0" layoutInCell="1" allowOverlap="1" wp14:anchorId="403E7306" wp14:editId="345C4723">
                <wp:simplePos x="0" y="0"/>
                <wp:positionH relativeFrom="page">
                  <wp:posOffset>2929106</wp:posOffset>
                </wp:positionH>
                <wp:positionV relativeFrom="paragraph">
                  <wp:posOffset>3528953</wp:posOffset>
                </wp:positionV>
                <wp:extent cx="12700" cy="1270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628514C0" id="Graphic 42" o:spid="_x0000_s1026" style="position:absolute;margin-left:230.65pt;margin-top:277.85pt;width:1pt;height:1pt;z-index:-2194739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69600" behindDoc="1" locked="0" layoutInCell="1" allowOverlap="1" wp14:anchorId="505C54EE" wp14:editId="5321D0E5">
                <wp:simplePos x="0" y="0"/>
                <wp:positionH relativeFrom="page">
                  <wp:posOffset>6550752</wp:posOffset>
                </wp:positionH>
                <wp:positionV relativeFrom="paragraph">
                  <wp:posOffset>3528953</wp:posOffset>
                </wp:positionV>
                <wp:extent cx="12700" cy="1270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3326437A" id="Graphic 43" o:spid="_x0000_s1026" style="position:absolute;margin-left:515.8pt;margin-top:277.85pt;width:1pt;height:1pt;z-index:-2194688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0112" behindDoc="1" locked="0" layoutInCell="1" allowOverlap="1" wp14:anchorId="1F7E9061" wp14:editId="5357D076">
                <wp:simplePos x="0" y="0"/>
                <wp:positionH relativeFrom="page">
                  <wp:posOffset>2746179</wp:posOffset>
                </wp:positionH>
                <wp:positionV relativeFrom="paragraph">
                  <wp:posOffset>3761803</wp:posOffset>
                </wp:positionV>
                <wp:extent cx="12700" cy="1270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6E1892B9" id="Graphic 44" o:spid="_x0000_s1026" style="position:absolute;margin-left:216.25pt;margin-top:296.2pt;width:1pt;height:1pt;z-index:-2194636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0624" behindDoc="1" locked="0" layoutInCell="1" allowOverlap="1" wp14:anchorId="198A46D2" wp14:editId="6AE50E97">
                <wp:simplePos x="0" y="0"/>
                <wp:positionH relativeFrom="page">
                  <wp:posOffset>6570352</wp:posOffset>
                </wp:positionH>
                <wp:positionV relativeFrom="paragraph">
                  <wp:posOffset>3761803</wp:posOffset>
                </wp:positionV>
                <wp:extent cx="12700" cy="1270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6433438E" id="Graphic 45" o:spid="_x0000_s1026" style="position:absolute;margin-left:517.35pt;margin-top:296.2pt;width:1pt;height:1pt;z-index:-2194585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1136" behindDoc="1" locked="0" layoutInCell="1" allowOverlap="1" wp14:anchorId="67C80F80" wp14:editId="706D9AE2">
                <wp:simplePos x="0" y="0"/>
                <wp:positionH relativeFrom="page">
                  <wp:posOffset>2316533</wp:posOffset>
                </wp:positionH>
                <wp:positionV relativeFrom="paragraph">
                  <wp:posOffset>3994654</wp:posOffset>
                </wp:positionV>
                <wp:extent cx="12700" cy="1270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4156801C" id="Graphic 46" o:spid="_x0000_s1026" style="position:absolute;margin-left:182.4pt;margin-top:314.55pt;width:1pt;height:1pt;z-index:-2194534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1648" behindDoc="1" locked="0" layoutInCell="1" allowOverlap="1" wp14:anchorId="19668F82" wp14:editId="37DBBCD3">
                <wp:simplePos x="0" y="0"/>
                <wp:positionH relativeFrom="page">
                  <wp:posOffset>6570360</wp:posOffset>
                </wp:positionH>
                <wp:positionV relativeFrom="paragraph">
                  <wp:posOffset>3994654</wp:posOffset>
                </wp:positionV>
                <wp:extent cx="12700" cy="1270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1121AA86" id="Graphic 47" o:spid="_x0000_s1026" style="position:absolute;margin-left:517.35pt;margin-top:314.55pt;width:1pt;height:1pt;z-index:-2194483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" path="m,6350l1859,1859,6349,r4491,1859l12699,6350r-1859,4490l6349,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2160" behindDoc="1" locked="0" layoutInCell="1" allowOverlap="1" wp14:anchorId="1B1881C7" wp14:editId="03E7B3B6">
                <wp:simplePos x="0" y="0"/>
                <wp:positionH relativeFrom="page">
                  <wp:posOffset>2746179</wp:posOffset>
                </wp:positionH>
                <wp:positionV relativeFrom="paragraph">
                  <wp:posOffset>4227503</wp:posOffset>
                </wp:positionV>
                <wp:extent cx="12700" cy="1270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28CAA3B5" id="Graphic 48" o:spid="_x0000_s1026" style="position:absolute;margin-left:216.25pt;margin-top:332.85pt;width:1pt;height:1pt;z-index:-2194432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2672" behindDoc="1" locked="0" layoutInCell="1" allowOverlap="1" wp14:anchorId="65E7A065" wp14:editId="6AE60469">
                <wp:simplePos x="0" y="0"/>
                <wp:positionH relativeFrom="page">
                  <wp:posOffset>6570352</wp:posOffset>
                </wp:positionH>
                <wp:positionV relativeFrom="paragraph">
                  <wp:posOffset>4227503</wp:posOffset>
                </wp:positionV>
                <wp:extent cx="12700" cy="1270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380C955A" id="Graphic 49" o:spid="_x0000_s1026" style="position:absolute;margin-left:517.35pt;margin-top:332.85pt;width:1pt;height:1pt;z-index:-2194380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3184" behindDoc="1" locked="0" layoutInCell="1" allowOverlap="1" wp14:anchorId="043B1ABB" wp14:editId="1544324C">
                <wp:simplePos x="0" y="0"/>
                <wp:positionH relativeFrom="page">
                  <wp:posOffset>2316533</wp:posOffset>
                </wp:positionH>
                <wp:positionV relativeFrom="paragraph">
                  <wp:posOffset>4460352</wp:posOffset>
                </wp:positionV>
                <wp:extent cx="12700" cy="1270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3ACEA44B" id="Graphic 50" o:spid="_x0000_s1026" style="position:absolute;margin-left:182.4pt;margin-top:351.2pt;width:1pt;height:1pt;z-index:-2194329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3696" behindDoc="1" locked="0" layoutInCell="1" allowOverlap="1" wp14:anchorId="6186A652" wp14:editId="744A54B7">
                <wp:simplePos x="0" y="0"/>
                <wp:positionH relativeFrom="page">
                  <wp:posOffset>6550764</wp:posOffset>
                </wp:positionH>
                <wp:positionV relativeFrom="paragraph">
                  <wp:posOffset>4460352</wp:posOffset>
                </wp:positionV>
                <wp:extent cx="12700" cy="1270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671381D5" id="Graphic 51" o:spid="_x0000_s1026" style="position:absolute;margin-left:515.8pt;margin-top:351.2pt;width:1pt;height:1pt;z-index:-2194278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4208" behindDoc="1" locked="0" layoutInCell="1" allowOverlap="1" wp14:anchorId="08B2A622" wp14:editId="62A0D8C7">
                <wp:simplePos x="0" y="0"/>
                <wp:positionH relativeFrom="page">
                  <wp:posOffset>4386568</wp:posOffset>
                </wp:positionH>
                <wp:positionV relativeFrom="paragraph">
                  <wp:posOffset>4801203</wp:posOffset>
                </wp:positionV>
                <wp:extent cx="12700" cy="1270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49"/>
                              </a:moveTo>
                              <a:lnTo>
                                <a:pt x="1859" y="1859"/>
                              </a:lnTo>
                              <a:lnTo>
                                <a:pt x="6350" y="0"/>
                              </a:lnTo>
                              <a:lnTo>
                                <a:pt x="10840" y="1859"/>
                              </a:lnTo>
                              <a:lnTo>
                                <a:pt x="12700" y="6349"/>
                              </a:lnTo>
                              <a:lnTo>
                                <a:pt x="10840" y="10840"/>
                              </a:lnTo>
                              <a:lnTo>
                                <a:pt x="6350" y="12699"/>
                              </a:lnTo>
                              <a:lnTo>
                                <a:pt x="1859" y="10840"/>
                              </a:lnTo>
                              <a:lnTo>
                                <a:pt x="0" y="6349"/>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6F3B70EE" id="Graphic 52" o:spid="_x0000_s1026" style="position:absolute;margin-left:345.4pt;margin-top:378.05pt;width:1pt;height:1pt;z-index:-2194227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" path="m,6349l1859,1859,6350,r4490,1859l12700,6349r-1860,4491l6350,12699,1859,10840,,6349xe" fillcolor="#8bb98c"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4720" behindDoc="1" locked="0" layoutInCell="1" allowOverlap="1" wp14:anchorId="2561652B" wp14:editId="4FA94480">
                <wp:simplePos x="0" y="0"/>
                <wp:positionH relativeFrom="page">
                  <wp:posOffset>6556464</wp:posOffset>
                </wp:positionH>
                <wp:positionV relativeFrom="paragraph">
                  <wp:posOffset>4801203</wp:posOffset>
                </wp:positionV>
                <wp:extent cx="12700" cy="1270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49"/>
                              </a:moveTo>
                              <a:lnTo>
                                <a:pt x="1859" y="1859"/>
                              </a:lnTo>
                              <a:lnTo>
                                <a:pt x="6349" y="0"/>
                              </a:lnTo>
                              <a:lnTo>
                                <a:pt x="10840" y="1859"/>
                              </a:lnTo>
                              <a:lnTo>
                                <a:pt x="12699" y="6349"/>
                              </a:lnTo>
                              <a:lnTo>
                                <a:pt x="10840" y="10840"/>
                              </a:lnTo>
                              <a:lnTo>
                                <a:pt x="6349" y="12699"/>
                              </a:lnTo>
                              <a:lnTo>
                                <a:pt x="1859" y="10840"/>
                              </a:lnTo>
                              <a:lnTo>
                                <a:pt x="0" y="6349"/>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61F85F63" id="Graphic 53" o:spid="_x0000_s1026" style="position:absolute;margin-left:516.25pt;margin-top:378.05pt;width:1pt;height:1pt;z-index:-2194176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" path="m,6349l1859,1859,6349,r4491,1859l12699,6349r-1859,4491l6349,12699,1859,10840,,6349xe" fillcolor="#8bb98c"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5232" behindDoc="1" locked="0" layoutInCell="1" allowOverlap="1" wp14:anchorId="6569A4CB" wp14:editId="2BB5C628">
                <wp:simplePos x="0" y="0"/>
                <wp:positionH relativeFrom="page">
                  <wp:posOffset>5700228</wp:posOffset>
                </wp:positionH>
                <wp:positionV relativeFrom="paragraph">
                  <wp:posOffset>5106054</wp:posOffset>
                </wp:positionV>
                <wp:extent cx="12700" cy="1270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0D5BA0B5" id="Graphic 54" o:spid="_x0000_s1026" style="position:absolute;margin-left:448.85pt;margin-top:402.05pt;width:1pt;height:1pt;z-index:-2194124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5744" behindDoc="1" locked="0" layoutInCell="1" allowOverlap="1" wp14:anchorId="643E11B3" wp14:editId="777FB655">
                <wp:simplePos x="0" y="0"/>
                <wp:positionH relativeFrom="page">
                  <wp:posOffset>6570356</wp:posOffset>
                </wp:positionH>
                <wp:positionV relativeFrom="paragraph">
                  <wp:posOffset>5106054</wp:posOffset>
                </wp:positionV>
                <wp:extent cx="12700" cy="1270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767C7D16" id="Graphic 55" o:spid="_x0000_s1026" style="position:absolute;margin-left:517.35pt;margin-top:402.05pt;width:1pt;height:1pt;z-index:-2194073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" path="m,6350l1859,1859,6349,r4491,1859l12699,6350r-1859,4490l6349,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6256" behindDoc="1" locked="0" layoutInCell="1" allowOverlap="1" wp14:anchorId="15A6A5F3" wp14:editId="7982D7DB">
                <wp:simplePos x="0" y="0"/>
                <wp:positionH relativeFrom="page">
                  <wp:posOffset>5216288</wp:posOffset>
                </wp:positionH>
                <wp:positionV relativeFrom="paragraph">
                  <wp:posOffset>5338903</wp:posOffset>
                </wp:positionV>
                <wp:extent cx="12700" cy="1270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17F787CD" id="Graphic 56" o:spid="_x0000_s1026" style="position:absolute;margin-left:410.75pt;margin-top:420.4pt;width:1pt;height:1pt;z-index:-2194022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6768" behindDoc="1" locked="0" layoutInCell="1" allowOverlap="1" wp14:anchorId="68A47789" wp14:editId="2B9FEBDD">
                <wp:simplePos x="0" y="0"/>
                <wp:positionH relativeFrom="page">
                  <wp:posOffset>6550753</wp:posOffset>
                </wp:positionH>
                <wp:positionV relativeFrom="paragraph">
                  <wp:posOffset>5338903</wp:posOffset>
                </wp:positionV>
                <wp:extent cx="12700" cy="1270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03A8B017" id="Graphic 57" o:spid="_x0000_s1026" style="position:absolute;margin-left:515.8pt;margin-top:420.4pt;width:1pt;height:1pt;z-index:-2193971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" path="m,6350l1859,1859,6349,r4491,1859l12699,6350r-1859,4490l6349,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7280" behindDoc="1" locked="0" layoutInCell="1" allowOverlap="1" wp14:anchorId="493F377D" wp14:editId="31284824">
                <wp:simplePos x="0" y="0"/>
                <wp:positionH relativeFrom="page">
                  <wp:posOffset>4552443</wp:posOffset>
                </wp:positionH>
                <wp:positionV relativeFrom="paragraph">
                  <wp:posOffset>5768604</wp:posOffset>
                </wp:positionV>
                <wp:extent cx="12700" cy="1270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1C362471" id="Graphic 58" o:spid="_x0000_s1026" style="position:absolute;margin-left:358.45pt;margin-top:454.2pt;width:1pt;height:1pt;z-index:-2193920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7792" behindDoc="1" locked="0" layoutInCell="1" allowOverlap="1" wp14:anchorId="5E9CC564" wp14:editId="71645229">
                <wp:simplePos x="0" y="0"/>
                <wp:positionH relativeFrom="page">
                  <wp:posOffset>6473813</wp:posOffset>
                </wp:positionH>
                <wp:positionV relativeFrom="paragraph">
                  <wp:posOffset>5768604</wp:posOffset>
                </wp:positionV>
                <wp:extent cx="12700" cy="1270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458892D8" id="Graphic 59" o:spid="_x0000_s1026" style="position:absolute;margin-left:509.75pt;margin-top:454.2pt;width:1pt;height:1pt;z-index:-2193868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8304" behindDoc="1" locked="0" layoutInCell="1" allowOverlap="1" wp14:anchorId="1BE55B78" wp14:editId="30B0DADE">
                <wp:simplePos x="0" y="0"/>
                <wp:positionH relativeFrom="page">
                  <wp:posOffset>5911717</wp:posOffset>
                </wp:positionH>
                <wp:positionV relativeFrom="paragraph">
                  <wp:posOffset>6001453</wp:posOffset>
                </wp:positionV>
                <wp:extent cx="12700" cy="1270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49"/>
                              </a:moveTo>
                              <a:lnTo>
                                <a:pt x="1859" y="1859"/>
                              </a:lnTo>
                              <a:lnTo>
                                <a:pt x="6350" y="0"/>
                              </a:lnTo>
                              <a:lnTo>
                                <a:pt x="10840" y="1859"/>
                              </a:lnTo>
                              <a:lnTo>
                                <a:pt x="12700" y="6349"/>
                              </a:lnTo>
                              <a:lnTo>
                                <a:pt x="10840" y="10840"/>
                              </a:lnTo>
                              <a:lnTo>
                                <a:pt x="6350" y="12699"/>
                              </a:lnTo>
                              <a:lnTo>
                                <a:pt x="1859" y="10840"/>
                              </a:lnTo>
                              <a:lnTo>
                                <a:pt x="0" y="6349"/>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6EF344B1" id="Graphic 60" o:spid="_x0000_s1026" style="position:absolute;margin-left:465.5pt;margin-top:472.55pt;width:1pt;height:1pt;z-index:-2193817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" path="m,6349l1859,1859,6350,r4490,1859l12700,6349r-1860,4491l6350,12699,1859,10840,,6349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8816" behindDoc="1" locked="0" layoutInCell="1" allowOverlap="1" wp14:anchorId="27E1F721" wp14:editId="0BC946C0">
                <wp:simplePos x="0" y="0"/>
                <wp:positionH relativeFrom="page">
                  <wp:posOffset>6493416</wp:posOffset>
                </wp:positionH>
                <wp:positionV relativeFrom="paragraph">
                  <wp:posOffset>6001453</wp:posOffset>
                </wp:positionV>
                <wp:extent cx="12700" cy="1270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49"/>
                              </a:moveTo>
                              <a:lnTo>
                                <a:pt x="1859" y="1859"/>
                              </a:lnTo>
                              <a:lnTo>
                                <a:pt x="6350" y="0"/>
                              </a:lnTo>
                              <a:lnTo>
                                <a:pt x="10840" y="1859"/>
                              </a:lnTo>
                              <a:lnTo>
                                <a:pt x="12700" y="6349"/>
                              </a:lnTo>
                              <a:lnTo>
                                <a:pt x="10840" y="10840"/>
                              </a:lnTo>
                              <a:lnTo>
                                <a:pt x="6350" y="12699"/>
                              </a:lnTo>
                              <a:lnTo>
                                <a:pt x="1859" y="10840"/>
                              </a:lnTo>
                              <a:lnTo>
                                <a:pt x="0" y="6349"/>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3AF70252" id="Graphic 61" o:spid="_x0000_s1026" style="position:absolute;margin-left:511.3pt;margin-top:472.55pt;width:1pt;height:1pt;z-index:-2193766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" path="m,6349l1859,1859,6350,r4490,1859l12700,6349r-1860,4491l6350,12699,1859,10840,,6349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9328" behindDoc="1" locked="0" layoutInCell="1" allowOverlap="1" wp14:anchorId="7EFEC20A" wp14:editId="43ABEDE5">
                <wp:simplePos x="0" y="0"/>
                <wp:positionH relativeFrom="page">
                  <wp:posOffset>4750510</wp:posOffset>
                </wp:positionH>
                <wp:positionV relativeFrom="paragraph">
                  <wp:posOffset>6234303</wp:posOffset>
                </wp:positionV>
                <wp:extent cx="12700" cy="1270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49"/>
                              </a:moveTo>
                              <a:lnTo>
                                <a:pt x="1859" y="1859"/>
                              </a:lnTo>
                              <a:lnTo>
                                <a:pt x="6350" y="0"/>
                              </a:lnTo>
                              <a:lnTo>
                                <a:pt x="10840" y="1859"/>
                              </a:lnTo>
                              <a:lnTo>
                                <a:pt x="12700" y="6349"/>
                              </a:lnTo>
                              <a:lnTo>
                                <a:pt x="10840" y="10840"/>
                              </a:lnTo>
                              <a:lnTo>
                                <a:pt x="6350" y="12699"/>
                              </a:lnTo>
                              <a:lnTo>
                                <a:pt x="1859" y="10840"/>
                              </a:lnTo>
                              <a:lnTo>
                                <a:pt x="0" y="6349"/>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2A838510" id="Graphic 62" o:spid="_x0000_s1026" style="position:absolute;margin-left:374.05pt;margin-top:490.9pt;width:1pt;height:1pt;z-index:-2193715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" path="m,6349l1859,1859,6350,r4490,1859l12700,6349r-1860,4491l6350,12699,1859,10840,,6349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79840" behindDoc="1" locked="0" layoutInCell="1" allowOverlap="1" wp14:anchorId="21B05FDD" wp14:editId="35D2423C">
                <wp:simplePos x="0" y="0"/>
                <wp:positionH relativeFrom="page">
                  <wp:posOffset>6473811</wp:posOffset>
                </wp:positionH>
                <wp:positionV relativeFrom="paragraph">
                  <wp:posOffset>6234303</wp:posOffset>
                </wp:positionV>
                <wp:extent cx="12700" cy="1270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49"/>
                              </a:moveTo>
                              <a:lnTo>
                                <a:pt x="1859" y="1859"/>
                              </a:lnTo>
                              <a:lnTo>
                                <a:pt x="6349" y="0"/>
                              </a:lnTo>
                              <a:lnTo>
                                <a:pt x="10840" y="1859"/>
                              </a:lnTo>
                              <a:lnTo>
                                <a:pt x="12699" y="6349"/>
                              </a:lnTo>
                              <a:lnTo>
                                <a:pt x="10840" y="10840"/>
                              </a:lnTo>
                              <a:lnTo>
                                <a:pt x="6349" y="12699"/>
                              </a:lnTo>
                              <a:lnTo>
                                <a:pt x="1859" y="10840"/>
                              </a:lnTo>
                              <a:lnTo>
                                <a:pt x="0" y="6349"/>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6D6152C0" id="Graphic 63" o:spid="_x0000_s1026" style="position:absolute;margin-left:509.75pt;margin-top:490.9pt;width:1pt;height:1pt;z-index:-2193664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" path="m,6349l1859,1859,6349,r4491,1859l12699,6349r-1859,4491l6349,12699,1859,10840,,6349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80352" behindDoc="1" locked="0" layoutInCell="1" allowOverlap="1" wp14:anchorId="573DF74A" wp14:editId="5E43BBAE">
                <wp:simplePos x="0" y="0"/>
                <wp:positionH relativeFrom="page">
                  <wp:posOffset>2652007</wp:posOffset>
                </wp:positionH>
                <wp:positionV relativeFrom="paragraph">
                  <wp:posOffset>6664003</wp:posOffset>
                </wp:positionV>
                <wp:extent cx="12700" cy="1270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699E5A4D" id="Graphic 64" o:spid="_x0000_s1026" style="position:absolute;margin-left:208.8pt;margin-top:524.7pt;width:1pt;height:1pt;z-index:-2193612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" path="m,6350l1859,1859,6350,r4490,1859l12700,6350r-1860,4490l6350,12700,1859,10840,,6350xe" fillcolor="#8a8c8e" stroked="f">
                <v:path arrowok="t"/>
                <w10:wrap anchorx="page"/>
              </v:shape>
            </w:pict>
          </mc:Fallback>
        </mc:AlternateContent>
      </w:r>
      <w:r w:rsidRPr="00C9292C">
        <w:rPr>
          <w:noProof/>
          <w:sz w:val="22"/>
          <w:szCs w:val="22"/>
          <w:lang w:val="uk-UA"/>
        </w:rPr>
        <mc:AlternateContent>
          <mc:Choice Requires="wps">
            <w:drawing>
              <wp:anchor distT="0" distB="0" distL="0" distR="0" simplePos="0" relativeHeight="481380864" behindDoc="1" locked="0" layoutInCell="1" allowOverlap="1" wp14:anchorId="092C01FE" wp14:editId="6783F1C7">
                <wp:simplePos x="0" y="0"/>
                <wp:positionH relativeFrom="page">
                  <wp:posOffset>6493414</wp:posOffset>
                </wp:positionH>
                <wp:positionV relativeFrom="paragraph">
                  <wp:posOffset>6664003</wp:posOffset>
                </wp:positionV>
                <wp:extent cx="12700" cy="1270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6F6522B9" id="Graphic 65" o:spid="_x0000_s1026" style="position:absolute;margin-left:511.3pt;margin-top:524.7pt;width:1pt;height:1pt;z-index:-2193561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" path="m,6350l1859,1859,6350,r4490,1859l12700,6350r-1860,4490l6350,12700,1859,10840,,6350xe" fillcolor="#8a8c8e" stroked="f">
                <v:path arrowok="t"/>
                <w10:wrap anchorx="page"/>
              </v:shape>
            </w:pict>
          </mc:Fallback>
        </mc:AlternateContent>
      </w:r>
      <w:hyperlink w:anchor="_bookmark0" w:history="1">
        <w:r w:rsidR="009D0BB5" w:rsidRPr="00C9292C">
          <w:rPr>
            <w:color w:val="019648"/>
            <w:sz w:val="22"/>
            <w:szCs w:val="22"/>
            <w:lang w:val="uk-UA"/>
          </w:rPr>
          <w:t>Подяки</w:t>
        </w:r>
        <w:r w:rsidRPr="00C9292C">
          <w:rPr>
            <w:color w:val="019648"/>
            <w:sz w:val="22"/>
            <w:szCs w:val="22"/>
            <w:lang w:val="uk-UA"/>
          </w:rPr>
          <w:t xml:space="preserve"> </w:t>
        </w:r>
        <w:r w:rsidRPr="00C9292C">
          <w:rPr>
            <w:color w:val="019648"/>
            <w:sz w:val="22"/>
            <w:szCs w:val="22"/>
            <w:u w:val="dotted" w:color="8BB98C"/>
            <w:lang w:val="uk-UA"/>
          </w:rPr>
          <w:tab/>
        </w:r>
        <w:r w:rsidRPr="00C9292C">
          <w:rPr>
            <w:color w:val="019648"/>
            <w:sz w:val="22"/>
            <w:szCs w:val="22"/>
            <w:u w:val="dotted" w:color="8BB98C"/>
            <w:lang w:val="uk-UA"/>
          </w:rPr>
          <w:tab/>
        </w:r>
        <w:r w:rsidRPr="00C9292C">
          <w:rPr>
            <w:color w:val="019648"/>
            <w:sz w:val="22"/>
            <w:szCs w:val="22"/>
            <w:u w:val="dotted" w:color="8BB98C"/>
            <w:lang w:val="uk-UA"/>
          </w:rPr>
          <w:tab/>
        </w:r>
        <w:r w:rsidRPr="00C9292C">
          <w:rPr>
            <w:color w:val="019648"/>
            <w:spacing w:val="-17"/>
            <w:sz w:val="22"/>
            <w:szCs w:val="22"/>
            <w:lang w:val="uk-UA"/>
          </w:rPr>
          <w:t xml:space="preserve"> </w:t>
        </w:r>
        <w:r w:rsidRPr="00C9292C">
          <w:rPr>
            <w:color w:val="019648"/>
            <w:spacing w:val="-12"/>
            <w:sz w:val="22"/>
            <w:szCs w:val="22"/>
            <w:lang w:val="uk-UA"/>
          </w:rPr>
          <w:t>v</w:t>
        </w:r>
      </w:hyperlink>
      <w:r w:rsidRPr="00C9292C">
        <w:rPr>
          <w:color w:val="019648"/>
          <w:spacing w:val="-12"/>
          <w:sz w:val="22"/>
          <w:szCs w:val="22"/>
          <w:lang w:val="uk-UA"/>
        </w:rPr>
        <w:t xml:space="preserve"> </w:t>
      </w:r>
      <w:hyperlink w:anchor="_bookmark1" w:history="1">
        <w:r w:rsidRPr="00C9292C">
          <w:rPr>
            <w:color w:val="019648"/>
            <w:sz w:val="22"/>
            <w:szCs w:val="22"/>
            <w:lang w:val="uk-UA"/>
          </w:rPr>
          <w:t>A</w:t>
        </w:r>
        <w:r w:rsidR="009D0BB5" w:rsidRPr="00C9292C">
          <w:rPr>
            <w:color w:val="019648"/>
            <w:sz w:val="22"/>
            <w:szCs w:val="22"/>
            <w:lang w:val="uk-UA"/>
          </w:rPr>
          <w:t>бревіатури та акроніми</w:t>
        </w:r>
        <w:r w:rsidRPr="00C9292C">
          <w:rPr>
            <w:color w:val="019648"/>
            <w:sz w:val="22"/>
            <w:szCs w:val="22"/>
            <w:lang w:val="uk-UA"/>
          </w:rPr>
          <w:t xml:space="preserve"> </w:t>
        </w:r>
        <w:r w:rsidRPr="00C9292C">
          <w:rPr>
            <w:color w:val="019648"/>
            <w:sz w:val="22"/>
            <w:szCs w:val="22"/>
            <w:u w:val="dotted" w:color="8BB98C"/>
            <w:lang w:val="uk-UA"/>
          </w:rPr>
          <w:tab/>
        </w:r>
        <w:r w:rsidRPr="00C9292C">
          <w:rPr>
            <w:color w:val="019648"/>
            <w:spacing w:val="-17"/>
            <w:sz w:val="22"/>
            <w:szCs w:val="22"/>
            <w:lang w:val="uk-UA"/>
          </w:rPr>
          <w:t xml:space="preserve"> </w:t>
        </w:r>
        <w:r w:rsidRPr="00C9292C">
          <w:rPr>
            <w:color w:val="019648"/>
            <w:spacing w:val="-4"/>
            <w:sz w:val="22"/>
            <w:szCs w:val="22"/>
            <w:lang w:val="uk-UA"/>
          </w:rPr>
          <w:t>vii</w:t>
        </w:r>
      </w:hyperlink>
      <w:r w:rsidRPr="00C9292C">
        <w:rPr>
          <w:color w:val="019648"/>
          <w:spacing w:val="-4"/>
          <w:sz w:val="22"/>
          <w:szCs w:val="22"/>
          <w:lang w:val="uk-UA"/>
        </w:rPr>
        <w:t xml:space="preserve"> </w:t>
      </w:r>
      <w:hyperlink w:anchor="_bookmark2" w:history="1">
        <w:r w:rsidR="009D0BB5" w:rsidRPr="00C9292C">
          <w:rPr>
            <w:color w:val="019648"/>
            <w:sz w:val="22"/>
            <w:szCs w:val="22"/>
            <w:lang w:val="uk-UA"/>
          </w:rPr>
          <w:t>Визначення</w:t>
        </w:r>
        <w:r w:rsidRPr="00C9292C">
          <w:rPr>
            <w:color w:val="019648"/>
            <w:sz w:val="22"/>
            <w:szCs w:val="22"/>
            <w:lang w:val="uk-UA"/>
          </w:rPr>
          <w:t xml:space="preserve"> </w:t>
        </w:r>
        <w:r w:rsidRPr="00C9292C">
          <w:rPr>
            <w:rFonts w:ascii="Times New Roman"/>
            <w:b w:val="0"/>
            <w:color w:val="019648"/>
            <w:sz w:val="22"/>
            <w:szCs w:val="22"/>
            <w:u w:val="dotted" w:color="8BB98C"/>
            <w:lang w:val="uk-UA"/>
          </w:rPr>
          <w:tab/>
        </w:r>
        <w:r w:rsidRPr="00C9292C">
          <w:rPr>
            <w:rFonts w:ascii="Times New Roman"/>
            <w:b w:val="0"/>
            <w:color w:val="019648"/>
            <w:sz w:val="22"/>
            <w:szCs w:val="22"/>
            <w:u w:val="dotted" w:color="8BB98C"/>
            <w:lang w:val="uk-UA"/>
          </w:rPr>
          <w:tab/>
        </w:r>
        <w:r w:rsidRPr="00C9292C">
          <w:rPr>
            <w:rFonts w:ascii="Times New Roman"/>
            <w:b w:val="0"/>
            <w:color w:val="019648"/>
            <w:spacing w:val="-17"/>
            <w:sz w:val="22"/>
            <w:szCs w:val="22"/>
            <w:lang w:val="uk-UA"/>
          </w:rPr>
          <w:t xml:space="preserve"> </w:t>
        </w:r>
        <w:r w:rsidRPr="00C9292C">
          <w:rPr>
            <w:color w:val="019648"/>
            <w:spacing w:val="-4"/>
            <w:sz w:val="22"/>
            <w:szCs w:val="22"/>
            <w:lang w:val="uk-UA"/>
          </w:rPr>
          <w:t>ix</w:t>
        </w:r>
      </w:hyperlink>
      <w:r w:rsidRPr="00C9292C">
        <w:rPr>
          <w:color w:val="019648"/>
          <w:spacing w:val="-4"/>
          <w:sz w:val="22"/>
          <w:szCs w:val="22"/>
          <w:lang w:val="uk-UA"/>
        </w:rPr>
        <w:t xml:space="preserve"> </w:t>
      </w:r>
      <w:hyperlink w:anchor="_bookmark3" w:history="1">
        <w:r w:rsidR="009D0BB5" w:rsidRPr="00C9292C">
          <w:rPr>
            <w:color w:val="019648"/>
            <w:spacing w:val="-4"/>
            <w:sz w:val="22"/>
            <w:szCs w:val="22"/>
            <w:lang w:val="uk-UA"/>
          </w:rPr>
          <w:t>Стислий виклад документа</w:t>
        </w:r>
        <w:r w:rsidRPr="00C9292C">
          <w:rPr>
            <w:color w:val="019648"/>
            <w:sz w:val="22"/>
            <w:szCs w:val="22"/>
            <w:lang w:val="uk-UA"/>
          </w:rPr>
          <w:t xml:space="preserve"> </w:t>
        </w:r>
        <w:r w:rsidRPr="00C9292C">
          <w:rPr>
            <w:color w:val="019648"/>
            <w:sz w:val="22"/>
            <w:szCs w:val="22"/>
            <w:u w:val="dotted" w:color="8BB98C"/>
            <w:lang w:val="uk-UA"/>
          </w:rPr>
          <w:tab/>
        </w:r>
        <w:r w:rsidRPr="00C9292C">
          <w:rPr>
            <w:color w:val="019648"/>
            <w:sz w:val="22"/>
            <w:szCs w:val="22"/>
            <w:u w:val="dotted" w:color="8BB98C"/>
            <w:lang w:val="uk-UA"/>
          </w:rPr>
          <w:tab/>
        </w:r>
        <w:r w:rsidRPr="00C9292C">
          <w:rPr>
            <w:color w:val="019648"/>
            <w:sz w:val="22"/>
            <w:szCs w:val="22"/>
            <w:u w:val="dotted" w:color="8BB98C"/>
            <w:lang w:val="uk-UA"/>
          </w:rPr>
          <w:tab/>
        </w:r>
        <w:r w:rsidRPr="00C9292C">
          <w:rPr>
            <w:color w:val="019648"/>
            <w:spacing w:val="-67"/>
            <w:sz w:val="22"/>
            <w:szCs w:val="22"/>
            <w:u w:val="dotted" w:color="8BB98C"/>
            <w:lang w:val="uk-UA"/>
          </w:rPr>
          <w:t xml:space="preserve"> </w:t>
        </w:r>
        <w:r w:rsidRPr="00C9292C">
          <w:rPr>
            <w:color w:val="019648"/>
            <w:spacing w:val="-27"/>
            <w:sz w:val="22"/>
            <w:szCs w:val="22"/>
            <w:lang w:val="uk-UA"/>
          </w:rPr>
          <w:t xml:space="preserve"> </w:t>
        </w:r>
        <w:r w:rsidRPr="00C9292C">
          <w:rPr>
            <w:color w:val="019648"/>
            <w:spacing w:val="-2"/>
            <w:sz w:val="22"/>
            <w:szCs w:val="22"/>
            <w:lang w:val="uk-UA"/>
          </w:rPr>
          <w:t>x</w:t>
        </w:r>
      </w:hyperlink>
    </w:p>
    <w:sdt>
      <w:sdtPr>
        <w:rPr>
          <w:rFonts w:ascii="Microsoft Sans Serif" w:eastAsia="Microsoft Sans Serif" w:hAnsi="Microsoft Sans Serif" w:cs="Microsoft Sans Serif"/>
          <w:b w:val="0"/>
          <w:bCs w:val="0"/>
          <w:sz w:val="22"/>
          <w:szCs w:val="22"/>
          <w:lang w:val="uk-UA"/>
        </w:rPr>
        <w:id w:val="512725326"/>
        <w:docPartObj>
          <w:docPartGallery w:val="Table of Contents"/>
          <w:docPartUnique/>
        </w:docPartObj>
      </w:sdtPr>
      <w:sdtEndPr>
        <w:rPr>
          <w:sz w:val="20"/>
          <w:szCs w:val="20"/>
        </w:rPr>
      </w:sdtEndPr>
      <w:sdtContent>
        <w:p w14:paraId="66034DF1" w14:textId="47F45044" w:rsidR="00E05B98" w:rsidRPr="00C9292C" w:rsidRDefault="00B01E0C">
          <w:pPr>
            <w:pStyle w:val="10"/>
            <w:tabs>
              <w:tab w:val="right" w:leader="underscore" w:pos="9638"/>
            </w:tabs>
            <w:spacing w:before="0" w:line="275" w:lineRule="exact"/>
            <w:jc w:val="both"/>
            <w:rPr>
              <w:sz w:val="22"/>
              <w:szCs w:val="22"/>
              <w:lang w:val="uk-UA"/>
            </w:rPr>
          </w:pPr>
          <w:hyperlink w:anchor="_bookmark5" w:history="1">
            <w:r w:rsidRPr="00C9292C">
              <w:rPr>
                <w:color w:val="019648"/>
                <w:sz w:val="22"/>
                <w:szCs w:val="22"/>
                <w:lang w:val="uk-UA"/>
              </w:rPr>
              <w:t>1.</w:t>
            </w:r>
            <w:r w:rsidRPr="00C9292C">
              <w:rPr>
                <w:color w:val="019648"/>
                <w:spacing w:val="-3"/>
                <w:sz w:val="22"/>
                <w:szCs w:val="22"/>
                <w:lang w:val="uk-UA"/>
              </w:rPr>
              <w:t xml:space="preserve"> </w:t>
            </w:r>
            <w:r w:rsidR="009D0BB5" w:rsidRPr="00C9292C">
              <w:rPr>
                <w:color w:val="019648"/>
                <w:spacing w:val="-2"/>
                <w:sz w:val="22"/>
                <w:szCs w:val="22"/>
                <w:lang w:val="uk-UA"/>
              </w:rPr>
              <w:t>Вступ</w:t>
            </w:r>
            <w:r w:rsidRPr="00C9292C">
              <w:rPr>
                <w:color w:val="019648"/>
                <w:sz w:val="22"/>
                <w:szCs w:val="22"/>
                <w:lang w:val="uk-UA"/>
              </w:rPr>
              <w:tab/>
            </w:r>
            <w:r w:rsidRPr="00C9292C">
              <w:rPr>
                <w:color w:val="019648"/>
                <w:spacing w:val="-10"/>
                <w:sz w:val="22"/>
                <w:szCs w:val="22"/>
                <w:lang w:val="uk-UA"/>
              </w:rPr>
              <w:t>1</w:t>
            </w:r>
          </w:hyperlink>
        </w:p>
        <w:p w14:paraId="27D1F603" w14:textId="15C0B2C7" w:rsidR="00E05B98" w:rsidRPr="00C9292C" w:rsidRDefault="009D0BB5" w:rsidP="004A2937">
          <w:pPr>
            <w:pStyle w:val="20"/>
            <w:numPr>
              <w:ilvl w:val="1"/>
              <w:numId w:val="35"/>
            </w:numPr>
            <w:tabs>
              <w:tab w:val="left" w:pos="1240"/>
              <w:tab w:val="right" w:leader="underscore" w:pos="9638"/>
            </w:tabs>
            <w:spacing w:before="236"/>
            <w:ind w:left="1240" w:hanging="390"/>
            <w:rPr>
              <w:sz w:val="20"/>
              <w:szCs w:val="20"/>
              <w:lang w:val="uk-UA"/>
            </w:rPr>
          </w:pPr>
          <w:hyperlink w:anchor="_bookmark5" w:history="1">
            <w:r w:rsidRPr="00C9292C">
              <w:rPr>
                <w:spacing w:val="-2"/>
                <w:sz w:val="20"/>
                <w:szCs w:val="20"/>
                <w:lang w:val="uk-UA"/>
              </w:rPr>
              <w:t>Передумови</w:t>
            </w:r>
            <w:r w:rsidR="00B01E0C" w:rsidRPr="00C9292C">
              <w:rPr>
                <w:sz w:val="20"/>
                <w:szCs w:val="20"/>
                <w:lang w:val="uk-UA"/>
              </w:rPr>
              <w:tab/>
            </w:r>
            <w:r w:rsidR="00B01E0C" w:rsidRPr="00C9292C">
              <w:rPr>
                <w:spacing w:val="-10"/>
                <w:sz w:val="20"/>
                <w:szCs w:val="20"/>
                <w:lang w:val="uk-UA"/>
              </w:rPr>
              <w:t>1</w:t>
            </w:r>
          </w:hyperlink>
        </w:p>
        <w:p w14:paraId="3CD7944D" w14:textId="71C52628" w:rsidR="00E05B98" w:rsidRPr="00C9292C" w:rsidRDefault="009D0BB5" w:rsidP="004A2937">
          <w:pPr>
            <w:pStyle w:val="20"/>
            <w:numPr>
              <w:ilvl w:val="1"/>
              <w:numId w:val="35"/>
            </w:numPr>
            <w:tabs>
              <w:tab w:val="left" w:pos="1240"/>
              <w:tab w:val="right" w:leader="underscore" w:pos="9638"/>
            </w:tabs>
            <w:ind w:left="1240" w:hanging="390"/>
            <w:rPr>
              <w:sz w:val="20"/>
              <w:szCs w:val="20"/>
              <w:lang w:val="uk-UA"/>
            </w:rPr>
          </w:pPr>
          <w:hyperlink w:anchor="_bookmark6" w:history="1">
            <w:r w:rsidRPr="00C9292C">
              <w:rPr>
                <w:sz w:val="20"/>
                <w:szCs w:val="20"/>
                <w:lang w:val="uk-UA"/>
              </w:rPr>
              <w:t>Визначення класу діагностики ТБ ВООЗ та попередня кваліфікація продукції</w:t>
            </w:r>
            <w:r w:rsidR="00B01E0C" w:rsidRPr="00C9292C">
              <w:rPr>
                <w:rFonts w:ascii="Times New Roman"/>
                <w:sz w:val="20"/>
                <w:szCs w:val="20"/>
                <w:lang w:val="uk-UA"/>
              </w:rPr>
              <w:tab/>
            </w:r>
            <w:r w:rsidR="00B01E0C" w:rsidRPr="00C9292C">
              <w:rPr>
                <w:spacing w:val="-10"/>
                <w:sz w:val="20"/>
                <w:szCs w:val="20"/>
                <w:lang w:val="uk-UA"/>
              </w:rPr>
              <w:t>2</w:t>
            </w:r>
          </w:hyperlink>
        </w:p>
        <w:p w14:paraId="35612531" w14:textId="7C5141DD" w:rsidR="00E05B98" w:rsidRPr="00C9292C" w:rsidRDefault="00CF3922" w:rsidP="004A2937">
          <w:pPr>
            <w:pStyle w:val="30"/>
            <w:numPr>
              <w:ilvl w:val="2"/>
              <w:numId w:val="35"/>
            </w:numPr>
            <w:tabs>
              <w:tab w:val="left" w:pos="1758"/>
              <w:tab w:val="right" w:leader="underscore" w:pos="9607"/>
            </w:tabs>
            <w:ind w:left="1758" w:hanging="511"/>
            <w:rPr>
              <w:sz w:val="20"/>
              <w:szCs w:val="20"/>
              <w:lang w:val="uk-UA"/>
            </w:rPr>
          </w:pPr>
          <w:hyperlink w:anchor="_bookmark6" w:history="1">
            <w:r>
              <w:rPr>
                <w:sz w:val="20"/>
                <w:szCs w:val="20"/>
                <w:lang w:val="uk-UA"/>
              </w:rPr>
              <w:t>Процедура перевірки</w:t>
            </w:r>
            <w:r w:rsidR="00B01E0C" w:rsidRPr="00C9292C">
              <w:rPr>
                <w:spacing w:val="9"/>
                <w:sz w:val="20"/>
                <w:szCs w:val="20"/>
                <w:lang w:val="uk-UA"/>
              </w:rPr>
              <w:t xml:space="preserve"> </w:t>
            </w:r>
            <w:r w:rsidR="00B01E0C" w:rsidRPr="00C9292C">
              <w:rPr>
                <w:spacing w:val="-10"/>
                <w:sz w:val="20"/>
                <w:szCs w:val="20"/>
                <w:lang w:val="uk-UA"/>
              </w:rPr>
              <w:t>A</w:t>
            </w:r>
            <w:r w:rsidR="00B01E0C" w:rsidRPr="00C9292C">
              <w:rPr>
                <w:sz w:val="20"/>
                <w:szCs w:val="20"/>
                <w:lang w:val="uk-UA"/>
              </w:rPr>
              <w:tab/>
            </w:r>
            <w:r w:rsidR="00B01E0C" w:rsidRPr="00C9292C">
              <w:rPr>
                <w:spacing w:val="-10"/>
                <w:sz w:val="20"/>
                <w:szCs w:val="20"/>
                <w:lang w:val="uk-UA"/>
              </w:rPr>
              <w:t>2</w:t>
            </w:r>
          </w:hyperlink>
        </w:p>
        <w:p w14:paraId="6ADC8CC2" w14:textId="53800CC8" w:rsidR="00E05B98" w:rsidRPr="00C9292C" w:rsidRDefault="00CF3922" w:rsidP="004A2937">
          <w:pPr>
            <w:pStyle w:val="30"/>
            <w:numPr>
              <w:ilvl w:val="2"/>
              <w:numId w:val="35"/>
            </w:numPr>
            <w:tabs>
              <w:tab w:val="left" w:pos="1758"/>
              <w:tab w:val="right" w:leader="underscore" w:pos="9607"/>
            </w:tabs>
            <w:ind w:left="1758" w:hanging="511"/>
            <w:rPr>
              <w:sz w:val="20"/>
              <w:szCs w:val="20"/>
              <w:lang w:val="uk-UA"/>
            </w:rPr>
          </w:pPr>
          <w:hyperlink w:anchor="_bookmark7" w:history="1">
            <w:proofErr w:type="spellStart"/>
            <w:r>
              <w:rPr>
                <w:sz w:val="20"/>
                <w:szCs w:val="20"/>
                <w:lang w:val="uk-UA"/>
              </w:rPr>
              <w:t>Профедура</w:t>
            </w:r>
            <w:proofErr w:type="spellEnd"/>
            <w:r>
              <w:rPr>
                <w:sz w:val="20"/>
                <w:szCs w:val="20"/>
                <w:lang w:val="uk-UA"/>
              </w:rPr>
              <w:t xml:space="preserve"> перевірки</w:t>
            </w:r>
            <w:r w:rsidR="00B01E0C" w:rsidRPr="00C9292C">
              <w:rPr>
                <w:spacing w:val="9"/>
                <w:sz w:val="20"/>
                <w:szCs w:val="20"/>
                <w:lang w:val="uk-UA"/>
              </w:rPr>
              <w:t xml:space="preserve"> </w:t>
            </w:r>
            <w:r w:rsidR="00B01E0C" w:rsidRPr="00C9292C">
              <w:rPr>
                <w:spacing w:val="-10"/>
                <w:sz w:val="20"/>
                <w:szCs w:val="20"/>
                <w:lang w:val="uk-UA"/>
              </w:rPr>
              <w:t>B</w:t>
            </w:r>
            <w:r w:rsidR="00B01E0C" w:rsidRPr="00C9292C">
              <w:rPr>
                <w:sz w:val="20"/>
                <w:szCs w:val="20"/>
                <w:lang w:val="uk-UA"/>
              </w:rPr>
              <w:tab/>
            </w:r>
            <w:r w:rsidR="00B01E0C" w:rsidRPr="00C9292C">
              <w:rPr>
                <w:spacing w:val="-10"/>
                <w:sz w:val="20"/>
                <w:szCs w:val="20"/>
                <w:lang w:val="uk-UA"/>
              </w:rPr>
              <w:t>3</w:t>
            </w:r>
          </w:hyperlink>
        </w:p>
        <w:p w14:paraId="2A10E504" w14:textId="5CECD8B0" w:rsidR="00E05B98" w:rsidRPr="00C9292C" w:rsidRDefault="00CF3922" w:rsidP="004A2937">
          <w:pPr>
            <w:pStyle w:val="20"/>
            <w:numPr>
              <w:ilvl w:val="1"/>
              <w:numId w:val="35"/>
            </w:numPr>
            <w:tabs>
              <w:tab w:val="left" w:pos="1240"/>
              <w:tab w:val="right" w:leader="underscore" w:pos="9638"/>
            </w:tabs>
            <w:ind w:left="1240" w:hanging="390"/>
            <w:rPr>
              <w:sz w:val="20"/>
              <w:szCs w:val="20"/>
              <w:lang w:val="uk-UA"/>
            </w:rPr>
          </w:pPr>
          <w:hyperlink w:anchor="_bookmark7" w:history="1">
            <w:r>
              <w:rPr>
                <w:spacing w:val="-2"/>
                <w:sz w:val="20"/>
                <w:szCs w:val="20"/>
                <w:lang w:val="uk-UA"/>
              </w:rPr>
              <w:t>К</w:t>
            </w:r>
            <w:r w:rsidR="004828A2" w:rsidRPr="00C9292C">
              <w:rPr>
                <w:spacing w:val="-2"/>
                <w:sz w:val="20"/>
                <w:szCs w:val="20"/>
                <w:lang w:val="uk-UA"/>
              </w:rPr>
              <w:t>лас</w:t>
            </w:r>
            <w:r>
              <w:rPr>
                <w:spacing w:val="-2"/>
                <w:sz w:val="20"/>
                <w:szCs w:val="20"/>
                <w:lang w:val="uk-UA"/>
              </w:rPr>
              <w:t>и</w:t>
            </w:r>
            <w:r w:rsidR="004828A2" w:rsidRPr="00C9292C">
              <w:rPr>
                <w:spacing w:val="-2"/>
                <w:sz w:val="20"/>
                <w:szCs w:val="20"/>
                <w:lang w:val="uk-UA"/>
              </w:rPr>
              <w:t xml:space="preserve"> </w:t>
            </w:r>
            <w:r>
              <w:rPr>
                <w:spacing w:val="-2"/>
                <w:sz w:val="20"/>
                <w:szCs w:val="20"/>
                <w:lang w:val="uk-UA"/>
              </w:rPr>
              <w:t>та</w:t>
            </w:r>
            <w:r w:rsidR="004828A2" w:rsidRPr="00C9292C">
              <w:rPr>
                <w:spacing w:val="-2"/>
                <w:sz w:val="20"/>
                <w:szCs w:val="20"/>
                <w:lang w:val="uk-UA"/>
              </w:rPr>
              <w:t xml:space="preserve"> продукт</w:t>
            </w:r>
            <w:r>
              <w:rPr>
                <w:spacing w:val="-2"/>
                <w:sz w:val="20"/>
                <w:szCs w:val="20"/>
                <w:lang w:val="uk-UA"/>
              </w:rPr>
              <w:t>и тестування</w:t>
            </w:r>
            <w:r w:rsidR="00B01E0C" w:rsidRPr="00C9292C">
              <w:rPr>
                <w:sz w:val="20"/>
                <w:szCs w:val="20"/>
                <w:lang w:val="uk-UA"/>
              </w:rPr>
              <w:tab/>
            </w:r>
            <w:r w:rsidR="00B01E0C" w:rsidRPr="00C9292C">
              <w:rPr>
                <w:spacing w:val="-10"/>
                <w:sz w:val="20"/>
                <w:szCs w:val="20"/>
                <w:lang w:val="uk-UA"/>
              </w:rPr>
              <w:t>3</w:t>
            </w:r>
          </w:hyperlink>
        </w:p>
        <w:p w14:paraId="652E8BB7" w14:textId="250A19A0" w:rsidR="00E05B98" w:rsidRPr="00C9292C" w:rsidRDefault="00FE4F6D" w:rsidP="004A2937">
          <w:pPr>
            <w:pStyle w:val="30"/>
            <w:numPr>
              <w:ilvl w:val="2"/>
              <w:numId w:val="35"/>
            </w:numPr>
            <w:tabs>
              <w:tab w:val="left" w:pos="1758"/>
              <w:tab w:val="right" w:leader="underscore" w:pos="9607"/>
            </w:tabs>
            <w:ind w:left="1758" w:hanging="511"/>
            <w:rPr>
              <w:sz w:val="20"/>
              <w:szCs w:val="20"/>
              <w:lang w:val="uk-UA"/>
            </w:rPr>
          </w:pPr>
          <w:hyperlink w:anchor="_bookmark9" w:history="1">
            <w:r>
              <w:rPr>
                <w:sz w:val="20"/>
                <w:szCs w:val="20"/>
                <w:lang w:val="uk-UA"/>
              </w:rPr>
              <w:t>Т</w:t>
            </w:r>
            <w:r w:rsidR="004828A2" w:rsidRPr="00C9292C">
              <w:rPr>
                <w:sz w:val="20"/>
                <w:szCs w:val="20"/>
                <w:lang w:val="uk-UA"/>
              </w:rPr>
              <w:t xml:space="preserve">ести для </w:t>
            </w:r>
            <w:r>
              <w:rPr>
                <w:sz w:val="20"/>
                <w:szCs w:val="20"/>
                <w:lang w:val="uk-UA"/>
              </w:rPr>
              <w:t xml:space="preserve">первинної </w:t>
            </w:r>
            <w:r w:rsidR="004828A2" w:rsidRPr="00C9292C">
              <w:rPr>
                <w:sz w:val="20"/>
                <w:szCs w:val="20"/>
                <w:lang w:val="uk-UA"/>
              </w:rPr>
              <w:t>діагностики ТБ з виявленням стійкості до                                  лікарських засобів</w:t>
            </w:r>
            <w:r w:rsidR="00B01E0C" w:rsidRPr="00C9292C">
              <w:rPr>
                <w:sz w:val="20"/>
                <w:szCs w:val="20"/>
                <w:lang w:val="uk-UA"/>
              </w:rPr>
              <w:tab/>
            </w:r>
            <w:r w:rsidR="00B01E0C" w:rsidRPr="00C9292C">
              <w:rPr>
                <w:spacing w:val="-10"/>
                <w:sz w:val="20"/>
                <w:szCs w:val="20"/>
                <w:lang w:val="uk-UA"/>
              </w:rPr>
              <w:t>4</w:t>
            </w:r>
          </w:hyperlink>
        </w:p>
        <w:p w14:paraId="45B2CD56" w14:textId="7F66B05D" w:rsidR="00E05B98" w:rsidRPr="00C9292C" w:rsidRDefault="008A2EFE" w:rsidP="004A2937">
          <w:pPr>
            <w:pStyle w:val="30"/>
            <w:numPr>
              <w:ilvl w:val="2"/>
              <w:numId w:val="35"/>
            </w:numPr>
            <w:tabs>
              <w:tab w:val="left" w:pos="1758"/>
              <w:tab w:val="right" w:leader="underscore" w:pos="9607"/>
            </w:tabs>
            <w:ind w:left="1758" w:hanging="511"/>
            <w:rPr>
              <w:sz w:val="20"/>
              <w:szCs w:val="20"/>
              <w:lang w:val="uk-UA"/>
            </w:rPr>
          </w:pPr>
          <w:hyperlink w:anchor="_bookmark10" w:history="1">
            <w:r>
              <w:rPr>
                <w:sz w:val="20"/>
                <w:szCs w:val="20"/>
                <w:lang w:val="uk-UA"/>
              </w:rPr>
              <w:t>Т</w:t>
            </w:r>
            <w:r w:rsidR="004F2FB2" w:rsidRPr="00C9292C">
              <w:rPr>
                <w:sz w:val="20"/>
                <w:szCs w:val="20"/>
                <w:lang w:val="uk-UA"/>
              </w:rPr>
              <w:t xml:space="preserve">ести для </w:t>
            </w:r>
            <w:r>
              <w:rPr>
                <w:sz w:val="20"/>
                <w:szCs w:val="20"/>
                <w:lang w:val="uk-UA"/>
              </w:rPr>
              <w:t xml:space="preserve">первинної </w:t>
            </w:r>
            <w:r w:rsidR="004F2FB2" w:rsidRPr="00C9292C">
              <w:rPr>
                <w:sz w:val="20"/>
                <w:szCs w:val="20"/>
                <w:lang w:val="uk-UA"/>
              </w:rPr>
              <w:t xml:space="preserve">діагностики ТБ без виявлення стійкості до лікарських </w:t>
            </w:r>
            <w:r w:rsidR="00C9292C">
              <w:rPr>
                <w:sz w:val="20"/>
                <w:szCs w:val="20"/>
                <w:lang w:val="uk-UA"/>
              </w:rPr>
              <w:t xml:space="preserve">                           </w:t>
            </w:r>
            <w:r w:rsidR="004F2FB2" w:rsidRPr="00C9292C">
              <w:rPr>
                <w:sz w:val="20"/>
                <w:szCs w:val="20"/>
                <w:lang w:val="uk-UA"/>
              </w:rPr>
              <w:t>засобів</w:t>
            </w:r>
            <w:r w:rsidR="00B01E0C" w:rsidRPr="00C9292C">
              <w:rPr>
                <w:sz w:val="20"/>
                <w:szCs w:val="20"/>
                <w:lang w:val="uk-UA"/>
              </w:rPr>
              <w:tab/>
            </w:r>
            <w:r w:rsidR="00B01E0C" w:rsidRPr="00C9292C">
              <w:rPr>
                <w:spacing w:val="-10"/>
                <w:sz w:val="20"/>
                <w:szCs w:val="20"/>
                <w:lang w:val="uk-UA"/>
              </w:rPr>
              <w:t>5</w:t>
            </w:r>
          </w:hyperlink>
        </w:p>
        <w:p w14:paraId="777C3E9F" w14:textId="46511C99" w:rsidR="00E05B98" w:rsidRPr="00C9292C" w:rsidRDefault="004F2FB2" w:rsidP="004A2937">
          <w:pPr>
            <w:pStyle w:val="30"/>
            <w:numPr>
              <w:ilvl w:val="2"/>
              <w:numId w:val="35"/>
            </w:numPr>
            <w:tabs>
              <w:tab w:val="left" w:pos="1758"/>
              <w:tab w:val="right" w:leader="underscore" w:pos="9607"/>
            </w:tabs>
            <w:ind w:left="1758" w:hanging="511"/>
            <w:rPr>
              <w:sz w:val="20"/>
              <w:szCs w:val="20"/>
              <w:lang w:val="uk-UA"/>
            </w:rPr>
          </w:pPr>
          <w:hyperlink w:anchor="_bookmark10" w:history="1">
            <w:r w:rsidRPr="00C9292C">
              <w:rPr>
                <w:sz w:val="20"/>
                <w:szCs w:val="20"/>
                <w:lang w:val="uk-UA"/>
              </w:rPr>
              <w:t>Подальші тести для виявлення стійкості до туберкульозних препаратів</w:t>
            </w:r>
            <w:r w:rsidR="00B01E0C" w:rsidRPr="00C9292C">
              <w:rPr>
                <w:sz w:val="20"/>
                <w:szCs w:val="20"/>
                <w:lang w:val="uk-UA"/>
              </w:rPr>
              <w:tab/>
            </w:r>
            <w:r w:rsidR="00B01E0C" w:rsidRPr="00C9292C">
              <w:rPr>
                <w:spacing w:val="-10"/>
                <w:sz w:val="20"/>
                <w:szCs w:val="20"/>
                <w:lang w:val="uk-UA"/>
              </w:rPr>
              <w:t>5</w:t>
            </w:r>
          </w:hyperlink>
        </w:p>
        <w:p w14:paraId="747B468E" w14:textId="72F8AD72" w:rsidR="00E05B98" w:rsidRPr="00C9292C" w:rsidRDefault="004F2FB2" w:rsidP="004A2937">
          <w:pPr>
            <w:pStyle w:val="30"/>
            <w:numPr>
              <w:ilvl w:val="2"/>
              <w:numId w:val="35"/>
            </w:numPr>
            <w:tabs>
              <w:tab w:val="left" w:pos="1758"/>
              <w:tab w:val="right" w:leader="underscore" w:pos="9607"/>
            </w:tabs>
            <w:ind w:left="1758" w:hanging="511"/>
            <w:rPr>
              <w:sz w:val="20"/>
              <w:szCs w:val="20"/>
              <w:lang w:val="uk-UA"/>
            </w:rPr>
          </w:pPr>
          <w:hyperlink w:anchor="_bookmark11" w:history="1">
            <w:r w:rsidRPr="00C9292C">
              <w:rPr>
                <w:spacing w:val="-2"/>
                <w:sz w:val="20"/>
                <w:szCs w:val="20"/>
                <w:lang w:val="uk-UA"/>
              </w:rPr>
              <w:t xml:space="preserve">Тести </w:t>
            </w:r>
            <w:r w:rsidR="00CF3922">
              <w:rPr>
                <w:spacing w:val="-2"/>
                <w:sz w:val="20"/>
                <w:szCs w:val="20"/>
                <w:lang w:val="uk-UA"/>
              </w:rPr>
              <w:t>для діагностики</w:t>
            </w:r>
            <w:r w:rsidRPr="00C9292C">
              <w:rPr>
                <w:spacing w:val="-2"/>
                <w:sz w:val="20"/>
                <w:szCs w:val="20"/>
                <w:lang w:val="uk-UA"/>
              </w:rPr>
              <w:t xml:space="preserve"> </w:t>
            </w:r>
            <w:r w:rsidR="00CF3922">
              <w:rPr>
                <w:spacing w:val="-2"/>
                <w:sz w:val="20"/>
                <w:szCs w:val="20"/>
                <w:lang w:val="uk-UA"/>
              </w:rPr>
              <w:t xml:space="preserve">інфекції </w:t>
            </w:r>
            <w:r w:rsidRPr="00C9292C">
              <w:rPr>
                <w:spacing w:val="-2"/>
                <w:sz w:val="20"/>
                <w:szCs w:val="20"/>
                <w:lang w:val="uk-UA"/>
              </w:rPr>
              <w:t>ТБ</w:t>
            </w:r>
            <w:r w:rsidR="00B01E0C" w:rsidRPr="00C9292C">
              <w:rPr>
                <w:sz w:val="20"/>
                <w:szCs w:val="20"/>
                <w:lang w:val="uk-UA"/>
              </w:rPr>
              <w:tab/>
            </w:r>
            <w:r w:rsidR="00B01E0C" w:rsidRPr="00C9292C">
              <w:rPr>
                <w:spacing w:val="-10"/>
                <w:sz w:val="20"/>
                <w:szCs w:val="20"/>
                <w:lang w:val="uk-UA"/>
              </w:rPr>
              <w:t>6</w:t>
            </w:r>
          </w:hyperlink>
        </w:p>
        <w:p w14:paraId="384EABE6" w14:textId="14F2948A" w:rsidR="00E05B98" w:rsidRPr="00C9292C" w:rsidRDefault="004F2FB2" w:rsidP="004A2937">
          <w:pPr>
            <w:pStyle w:val="20"/>
            <w:numPr>
              <w:ilvl w:val="1"/>
              <w:numId w:val="35"/>
            </w:numPr>
            <w:tabs>
              <w:tab w:val="left" w:pos="1240"/>
              <w:tab w:val="right" w:leader="underscore" w:pos="9638"/>
            </w:tabs>
            <w:ind w:left="1240" w:hanging="390"/>
            <w:rPr>
              <w:sz w:val="20"/>
              <w:szCs w:val="20"/>
              <w:lang w:val="uk-UA"/>
            </w:rPr>
          </w:pPr>
          <w:hyperlink w:anchor="_bookmark12" w:history="1">
            <w:r w:rsidRPr="00C9292C">
              <w:rPr>
                <w:sz w:val="20"/>
                <w:szCs w:val="20"/>
                <w:lang w:val="uk-UA"/>
              </w:rPr>
              <w:t>Сфера застосування документа</w:t>
            </w:r>
            <w:r w:rsidR="00B01E0C" w:rsidRPr="00C9292C">
              <w:rPr>
                <w:sz w:val="20"/>
                <w:szCs w:val="20"/>
                <w:lang w:val="uk-UA"/>
              </w:rPr>
              <w:tab/>
            </w:r>
            <w:r w:rsidR="00B01E0C" w:rsidRPr="00C9292C">
              <w:rPr>
                <w:spacing w:val="-10"/>
                <w:sz w:val="20"/>
                <w:szCs w:val="20"/>
                <w:lang w:val="uk-UA"/>
              </w:rPr>
              <w:t>7</w:t>
            </w:r>
          </w:hyperlink>
        </w:p>
        <w:p w14:paraId="3D256933" w14:textId="76CEA0D9" w:rsidR="00E05B98" w:rsidRPr="00C9292C" w:rsidRDefault="004F2FB2" w:rsidP="004A2937">
          <w:pPr>
            <w:pStyle w:val="20"/>
            <w:numPr>
              <w:ilvl w:val="1"/>
              <w:numId w:val="35"/>
            </w:numPr>
            <w:tabs>
              <w:tab w:val="left" w:pos="1240"/>
              <w:tab w:val="right" w:leader="underscore" w:pos="9638"/>
            </w:tabs>
            <w:ind w:left="1240" w:hanging="390"/>
            <w:rPr>
              <w:sz w:val="20"/>
              <w:szCs w:val="20"/>
              <w:lang w:val="uk-UA"/>
            </w:rPr>
          </w:pPr>
          <w:hyperlink w:anchor="_bookmark12" w:history="1">
            <w:r w:rsidRPr="00C9292C">
              <w:rPr>
                <w:sz w:val="20"/>
                <w:szCs w:val="20"/>
                <w:lang w:val="uk-UA"/>
              </w:rPr>
              <w:t>Цільова авдиторія</w:t>
            </w:r>
            <w:r w:rsidR="00B01E0C" w:rsidRPr="00C9292C">
              <w:rPr>
                <w:sz w:val="20"/>
                <w:szCs w:val="20"/>
                <w:lang w:val="uk-UA"/>
              </w:rPr>
              <w:tab/>
            </w:r>
            <w:r w:rsidR="00B01E0C" w:rsidRPr="00C9292C">
              <w:rPr>
                <w:spacing w:val="-10"/>
                <w:sz w:val="20"/>
                <w:szCs w:val="20"/>
                <w:lang w:val="uk-UA"/>
              </w:rPr>
              <w:t>7</w:t>
            </w:r>
          </w:hyperlink>
        </w:p>
        <w:p w14:paraId="5F41B0C7" w14:textId="6FBB97FF" w:rsidR="00E05B98" w:rsidRPr="00C9292C" w:rsidRDefault="004F2FB2" w:rsidP="004A2937">
          <w:pPr>
            <w:pStyle w:val="20"/>
            <w:numPr>
              <w:ilvl w:val="1"/>
              <w:numId w:val="35"/>
            </w:numPr>
            <w:tabs>
              <w:tab w:val="left" w:pos="1240"/>
              <w:tab w:val="right" w:leader="underscore" w:pos="9638"/>
            </w:tabs>
            <w:ind w:left="1240" w:hanging="390"/>
            <w:rPr>
              <w:sz w:val="20"/>
              <w:szCs w:val="20"/>
              <w:lang w:val="uk-UA"/>
            </w:rPr>
          </w:pPr>
          <w:hyperlink w:anchor="_bookmark12" w:history="1">
            <w:r w:rsidRPr="00C9292C">
              <w:rPr>
                <w:sz w:val="20"/>
                <w:szCs w:val="20"/>
                <w:lang w:val="uk-UA"/>
              </w:rPr>
              <w:t>Сфера застосування документа</w:t>
            </w:r>
            <w:r w:rsidR="00B01E0C" w:rsidRPr="00C9292C">
              <w:rPr>
                <w:sz w:val="20"/>
                <w:szCs w:val="20"/>
                <w:lang w:val="uk-UA"/>
              </w:rPr>
              <w:tab/>
            </w:r>
            <w:r w:rsidR="00B01E0C" w:rsidRPr="00C9292C">
              <w:rPr>
                <w:spacing w:val="-10"/>
                <w:sz w:val="20"/>
                <w:szCs w:val="20"/>
                <w:lang w:val="uk-UA"/>
              </w:rPr>
              <w:t>7</w:t>
            </w:r>
          </w:hyperlink>
        </w:p>
        <w:p w14:paraId="7627A7AB" w14:textId="5AAC1A74" w:rsidR="00E05B98" w:rsidRPr="003C6DAE" w:rsidRDefault="004F2FB2" w:rsidP="004A2937">
          <w:pPr>
            <w:pStyle w:val="20"/>
            <w:numPr>
              <w:ilvl w:val="1"/>
              <w:numId w:val="35"/>
            </w:numPr>
            <w:tabs>
              <w:tab w:val="left" w:pos="1240"/>
              <w:tab w:val="right" w:leader="underscore" w:pos="9607"/>
            </w:tabs>
            <w:ind w:left="1240" w:hanging="390"/>
            <w:rPr>
              <w:lang w:val="uk-UA"/>
            </w:rPr>
          </w:pPr>
          <w:hyperlink w:anchor="_bookmark12" w:history="1">
            <w:r w:rsidRPr="00C9292C">
              <w:rPr>
                <w:sz w:val="20"/>
                <w:szCs w:val="20"/>
                <w:lang w:val="uk-UA"/>
              </w:rPr>
              <w:t>Цільова авдиторія</w:t>
            </w:r>
            <w:r w:rsidR="00B01E0C" w:rsidRPr="00C9292C">
              <w:rPr>
                <w:sz w:val="20"/>
                <w:szCs w:val="20"/>
                <w:lang w:val="uk-UA"/>
              </w:rPr>
              <w:tab/>
            </w:r>
            <w:r w:rsidR="00B01E0C" w:rsidRPr="00C9292C">
              <w:rPr>
                <w:spacing w:val="-10"/>
                <w:sz w:val="20"/>
                <w:szCs w:val="20"/>
                <w:lang w:val="uk-UA"/>
              </w:rPr>
              <w:t>7</w:t>
            </w:r>
          </w:hyperlink>
        </w:p>
        <w:p w14:paraId="6A58421B" w14:textId="312D8F44" w:rsidR="00E05B98" w:rsidRPr="00C9292C" w:rsidRDefault="004F2FB2" w:rsidP="004A2937">
          <w:pPr>
            <w:pStyle w:val="10"/>
            <w:numPr>
              <w:ilvl w:val="0"/>
              <w:numId w:val="34"/>
            </w:numPr>
            <w:tabs>
              <w:tab w:val="left" w:pos="832"/>
              <w:tab w:val="right" w:leader="underscore" w:pos="9638"/>
            </w:tabs>
            <w:spacing w:before="267"/>
            <w:ind w:hanging="265"/>
            <w:jc w:val="both"/>
            <w:rPr>
              <w:sz w:val="22"/>
              <w:szCs w:val="22"/>
              <w:lang w:val="uk-UA"/>
            </w:rPr>
          </w:pPr>
          <w:hyperlink w:anchor="_bookmark13" w:history="1">
            <w:r w:rsidRPr="00C9292C">
              <w:rPr>
                <w:color w:val="019648"/>
                <w:spacing w:val="-2"/>
                <w:sz w:val="22"/>
                <w:szCs w:val="22"/>
                <w:lang w:val="uk-UA"/>
              </w:rPr>
              <w:t>Рекомендації з діагностики захворювання на туберкульоз</w:t>
            </w:r>
            <w:r w:rsidR="00043AEF">
              <w:rPr>
                <w:color w:val="019648"/>
                <w:spacing w:val="-2"/>
                <w:sz w:val="22"/>
                <w:szCs w:val="22"/>
                <w:lang w:val="uk-UA"/>
              </w:rPr>
              <w:t xml:space="preserve"> </w:t>
            </w:r>
            <w:r w:rsidR="00043AEF">
              <w:rPr>
                <w:color w:val="019648"/>
                <w:sz w:val="22"/>
                <w:szCs w:val="22"/>
                <w:lang w:val="uk-UA"/>
              </w:rPr>
              <w:t>___________________</w:t>
            </w:r>
            <w:r w:rsidR="00B01E0C" w:rsidRPr="00C9292C">
              <w:rPr>
                <w:color w:val="019648"/>
                <w:spacing w:val="-10"/>
                <w:sz w:val="22"/>
                <w:szCs w:val="22"/>
                <w:lang w:val="uk-UA"/>
              </w:rPr>
              <w:t>9</w:t>
            </w:r>
          </w:hyperlink>
        </w:p>
        <w:p w14:paraId="56ECF0BB" w14:textId="08D94355" w:rsidR="00E05B98" w:rsidRPr="00C9292C" w:rsidRDefault="008A2EFE" w:rsidP="004A2937">
          <w:pPr>
            <w:pStyle w:val="20"/>
            <w:numPr>
              <w:ilvl w:val="1"/>
              <w:numId w:val="34"/>
            </w:numPr>
            <w:tabs>
              <w:tab w:val="left" w:pos="1240"/>
              <w:tab w:val="right" w:leader="underscore" w:pos="9638"/>
            </w:tabs>
            <w:spacing w:before="236"/>
            <w:ind w:left="1240" w:hanging="390"/>
            <w:rPr>
              <w:sz w:val="20"/>
              <w:szCs w:val="20"/>
              <w:lang w:val="uk-UA"/>
            </w:rPr>
          </w:pPr>
          <w:hyperlink w:anchor="_bookmark13" w:history="1">
            <w:r>
              <w:rPr>
                <w:sz w:val="20"/>
                <w:szCs w:val="20"/>
                <w:lang w:val="uk-UA"/>
              </w:rPr>
              <w:t>Тести для первинної</w:t>
            </w:r>
            <w:r w:rsidR="004F2FB2" w:rsidRPr="00C9292C">
              <w:rPr>
                <w:sz w:val="20"/>
                <w:szCs w:val="20"/>
                <w:lang w:val="uk-UA"/>
              </w:rPr>
              <w:t xml:space="preserve"> діагностики ТБ з виявленням стійкості до</w:t>
            </w:r>
            <w:r>
              <w:rPr>
                <w:sz w:val="20"/>
                <w:szCs w:val="20"/>
                <w:lang w:val="uk-UA"/>
              </w:rPr>
              <w:t xml:space="preserve"> </w:t>
            </w:r>
            <w:r w:rsidR="004F2FB2" w:rsidRPr="00C9292C">
              <w:rPr>
                <w:sz w:val="20"/>
                <w:szCs w:val="20"/>
                <w:lang w:val="uk-UA"/>
              </w:rPr>
              <w:t>лікарських засобів</w:t>
            </w:r>
            <w:r w:rsidR="00043AEF">
              <w:rPr>
                <w:sz w:val="20"/>
                <w:szCs w:val="20"/>
                <w:lang w:val="uk-UA"/>
              </w:rPr>
              <w:t xml:space="preserve"> _____</w:t>
            </w:r>
            <w:r w:rsidR="00B01E0C" w:rsidRPr="00C9292C">
              <w:rPr>
                <w:spacing w:val="-10"/>
                <w:sz w:val="20"/>
                <w:szCs w:val="20"/>
                <w:lang w:val="uk-UA"/>
              </w:rPr>
              <w:t>9</w:t>
            </w:r>
          </w:hyperlink>
        </w:p>
        <w:p w14:paraId="5ADC177D" w14:textId="27E65E95" w:rsidR="00E05B98" w:rsidRPr="00C9292C" w:rsidRDefault="004F2FB2" w:rsidP="004A2937">
          <w:pPr>
            <w:pStyle w:val="30"/>
            <w:numPr>
              <w:ilvl w:val="2"/>
              <w:numId w:val="34"/>
            </w:numPr>
            <w:tabs>
              <w:tab w:val="left" w:pos="1758"/>
              <w:tab w:val="right" w:leader="underscore" w:pos="9607"/>
            </w:tabs>
            <w:ind w:left="1758" w:hanging="511"/>
            <w:rPr>
              <w:sz w:val="20"/>
              <w:szCs w:val="20"/>
              <w:lang w:val="uk-UA"/>
            </w:rPr>
          </w:pPr>
          <w:hyperlink w:anchor="_bookmark13" w:history="1">
            <w:r w:rsidRPr="00C9292C">
              <w:rPr>
                <w:sz w:val="20"/>
                <w:szCs w:val="20"/>
                <w:lang w:val="uk-UA"/>
              </w:rPr>
              <w:t xml:space="preserve">Автоматизовані тести ампліфікації нуклеїнових кислот низької складності              </w:t>
            </w:r>
            <w:r w:rsidR="00C9292C">
              <w:rPr>
                <w:sz w:val="20"/>
                <w:szCs w:val="20"/>
                <w:lang w:val="uk-UA"/>
              </w:rPr>
              <w:t xml:space="preserve">               </w:t>
            </w:r>
            <w:r w:rsidR="00CF3922">
              <w:rPr>
                <w:sz w:val="20"/>
                <w:szCs w:val="20"/>
                <w:lang w:val="uk-UA"/>
              </w:rPr>
              <w:t xml:space="preserve">(аТАНК-НС) </w:t>
            </w:r>
            <w:r w:rsidRPr="00C9292C">
              <w:rPr>
                <w:sz w:val="20"/>
                <w:szCs w:val="20"/>
                <w:lang w:val="uk-UA"/>
              </w:rPr>
              <w:t>для виявлення ТБ та стійкості до рифампіцину</w:t>
            </w:r>
            <w:r w:rsidR="00B01E0C" w:rsidRPr="00C9292C">
              <w:rPr>
                <w:sz w:val="20"/>
                <w:szCs w:val="20"/>
                <w:lang w:val="uk-UA"/>
              </w:rPr>
              <w:tab/>
            </w:r>
            <w:r w:rsidR="00B01E0C" w:rsidRPr="00C9292C">
              <w:rPr>
                <w:spacing w:val="-10"/>
                <w:sz w:val="20"/>
                <w:szCs w:val="20"/>
                <w:lang w:val="uk-UA"/>
              </w:rPr>
              <w:t>9</w:t>
            </w:r>
          </w:hyperlink>
        </w:p>
        <w:p w14:paraId="2550B813" w14:textId="7D2354CD" w:rsidR="00E05B98" w:rsidRPr="00C9292C" w:rsidRDefault="0044520C" w:rsidP="004A2937">
          <w:pPr>
            <w:pStyle w:val="30"/>
            <w:numPr>
              <w:ilvl w:val="2"/>
              <w:numId w:val="34"/>
            </w:numPr>
            <w:tabs>
              <w:tab w:val="left" w:pos="1758"/>
            </w:tabs>
            <w:ind w:left="1758" w:hanging="511"/>
            <w:rPr>
              <w:sz w:val="20"/>
              <w:szCs w:val="20"/>
              <w:lang w:val="uk-UA"/>
            </w:rPr>
          </w:pPr>
          <w:r w:rsidRPr="00C9292C">
            <w:rPr>
              <w:sz w:val="20"/>
              <w:szCs w:val="20"/>
              <w:lang w:val="uk-UA"/>
            </w:rPr>
            <w:t xml:space="preserve">Автоматизовані тести ампліфікації нуклеїнових кислот </w:t>
          </w:r>
          <w:r w:rsidR="00CF3922">
            <w:rPr>
              <w:sz w:val="20"/>
              <w:szCs w:val="20"/>
              <w:lang w:val="uk-UA"/>
            </w:rPr>
            <w:t>помірної</w:t>
          </w:r>
          <w:r w:rsidRPr="00C9292C">
            <w:rPr>
              <w:sz w:val="20"/>
              <w:szCs w:val="20"/>
              <w:lang w:val="uk-UA"/>
            </w:rPr>
            <w:t xml:space="preserve"> </w:t>
          </w:r>
          <w:r w:rsidR="00CF3922">
            <w:rPr>
              <w:sz w:val="20"/>
              <w:szCs w:val="20"/>
              <w:lang w:val="uk-UA"/>
            </w:rPr>
            <w:t xml:space="preserve">                                              </w:t>
          </w:r>
          <w:r w:rsidRPr="00C9292C">
            <w:rPr>
              <w:sz w:val="20"/>
              <w:szCs w:val="20"/>
              <w:lang w:val="uk-UA"/>
            </w:rPr>
            <w:t xml:space="preserve">складності </w:t>
          </w:r>
          <w:r w:rsidR="00CF3922">
            <w:rPr>
              <w:sz w:val="20"/>
              <w:szCs w:val="20"/>
              <w:lang w:val="uk-UA"/>
            </w:rPr>
            <w:t xml:space="preserve">(аТАНК-ПС) </w:t>
          </w:r>
          <w:r w:rsidRPr="00C9292C">
            <w:rPr>
              <w:sz w:val="20"/>
              <w:szCs w:val="20"/>
              <w:lang w:val="uk-UA"/>
            </w:rPr>
            <w:t xml:space="preserve">для виявлення ТБ та стійкості до рифампіцину </w:t>
          </w:r>
          <w:r w:rsidR="00CF3922">
            <w:rPr>
              <w:sz w:val="20"/>
              <w:szCs w:val="20"/>
              <w:lang w:val="uk-UA"/>
            </w:rPr>
            <w:t xml:space="preserve">                                </w:t>
          </w:r>
          <w:r w:rsidRPr="00C9292C">
            <w:rPr>
              <w:sz w:val="20"/>
              <w:szCs w:val="20"/>
              <w:lang w:val="uk-UA"/>
            </w:rPr>
            <w:t>та ізоніазиду</w:t>
          </w:r>
          <w:r w:rsidR="00C9292C">
            <w:rPr>
              <w:sz w:val="20"/>
              <w:szCs w:val="20"/>
              <w:lang w:val="uk-UA"/>
            </w:rPr>
            <w:t>__</w:t>
          </w:r>
          <w:r w:rsidRPr="00C9292C">
            <w:rPr>
              <w:sz w:val="20"/>
              <w:szCs w:val="20"/>
              <w:lang w:val="uk-UA"/>
            </w:rPr>
            <w:t>_________</w:t>
          </w:r>
          <w:r w:rsidR="00CF3922">
            <w:rPr>
              <w:sz w:val="20"/>
              <w:szCs w:val="20"/>
              <w:lang w:val="uk-UA"/>
            </w:rPr>
            <w:t>_________________________________________</w:t>
          </w:r>
          <w:r w:rsidRPr="00C9292C">
            <w:rPr>
              <w:sz w:val="20"/>
              <w:szCs w:val="20"/>
              <w:lang w:val="uk-UA"/>
            </w:rPr>
            <w:t>_</w:t>
          </w:r>
          <w:hyperlink w:anchor="_bookmark17" w:history="1">
            <w:r w:rsidRPr="00C9292C">
              <w:rPr>
                <w:sz w:val="20"/>
                <w:szCs w:val="20"/>
                <w:lang w:val="uk-UA"/>
              </w:rPr>
              <w:t>_____</w:t>
            </w:r>
            <w:r w:rsidR="00B01E0C" w:rsidRPr="00C9292C">
              <w:rPr>
                <w:spacing w:val="-5"/>
                <w:sz w:val="20"/>
                <w:szCs w:val="20"/>
                <w:lang w:val="uk-UA"/>
              </w:rPr>
              <w:t>24</w:t>
            </w:r>
          </w:hyperlink>
        </w:p>
        <w:p w14:paraId="24B27F5B" w14:textId="2BF147E3" w:rsidR="00E05B98" w:rsidRPr="00C9292C" w:rsidRDefault="008A2EFE" w:rsidP="004A2937">
          <w:pPr>
            <w:pStyle w:val="20"/>
            <w:numPr>
              <w:ilvl w:val="1"/>
              <w:numId w:val="34"/>
            </w:numPr>
            <w:tabs>
              <w:tab w:val="left" w:pos="1240"/>
              <w:tab w:val="left" w:pos="9355"/>
            </w:tabs>
            <w:ind w:left="1240" w:hanging="390"/>
            <w:rPr>
              <w:sz w:val="20"/>
              <w:szCs w:val="20"/>
              <w:lang w:val="uk-UA"/>
            </w:rPr>
          </w:pPr>
          <w:hyperlink w:anchor="_bookmark18" w:history="1">
            <w:r>
              <w:rPr>
                <w:w w:val="105"/>
                <w:sz w:val="20"/>
                <w:szCs w:val="20"/>
                <w:lang w:val="uk-UA"/>
              </w:rPr>
              <w:t>Т</w:t>
            </w:r>
            <w:r w:rsidR="0044520C" w:rsidRPr="00C9292C">
              <w:rPr>
                <w:w w:val="105"/>
                <w:sz w:val="20"/>
                <w:szCs w:val="20"/>
                <w:lang w:val="uk-UA"/>
              </w:rPr>
              <w:t xml:space="preserve">ести для </w:t>
            </w:r>
            <w:r>
              <w:rPr>
                <w:w w:val="105"/>
                <w:sz w:val="20"/>
                <w:szCs w:val="20"/>
                <w:lang w:val="uk-UA"/>
              </w:rPr>
              <w:t xml:space="preserve">первинної </w:t>
            </w:r>
            <w:r w:rsidR="0044520C" w:rsidRPr="00C9292C">
              <w:rPr>
                <w:w w:val="105"/>
                <w:sz w:val="20"/>
                <w:szCs w:val="20"/>
                <w:lang w:val="uk-UA"/>
              </w:rPr>
              <w:t>діагностики ТБ без виявлення стійкості до</w:t>
            </w:r>
            <w:r w:rsidR="00C9292C">
              <w:rPr>
                <w:w w:val="105"/>
                <w:sz w:val="20"/>
                <w:szCs w:val="20"/>
                <w:lang w:val="uk-UA"/>
              </w:rPr>
              <w:t xml:space="preserve"> </w:t>
            </w:r>
            <w:r w:rsidR="0044520C" w:rsidRPr="00C9292C">
              <w:rPr>
                <w:w w:val="105"/>
                <w:sz w:val="20"/>
                <w:szCs w:val="20"/>
                <w:lang w:val="uk-UA"/>
              </w:rPr>
              <w:t>лікарських</w:t>
            </w:r>
            <w:r w:rsidR="00C9292C">
              <w:rPr>
                <w:w w:val="105"/>
                <w:sz w:val="20"/>
                <w:szCs w:val="20"/>
                <w:lang w:val="uk-UA"/>
              </w:rPr>
              <w:t xml:space="preserve"> </w:t>
            </w:r>
            <w:r>
              <w:rPr>
                <w:w w:val="105"/>
                <w:sz w:val="20"/>
                <w:szCs w:val="20"/>
                <w:lang w:val="uk-UA"/>
              </w:rPr>
              <w:t xml:space="preserve">                            </w:t>
            </w:r>
            <w:r w:rsidR="0044520C" w:rsidRPr="00C9292C">
              <w:rPr>
                <w:w w:val="105"/>
                <w:sz w:val="20"/>
                <w:szCs w:val="20"/>
                <w:lang w:val="uk-UA"/>
              </w:rPr>
              <w:t>засобів</w:t>
            </w:r>
            <w:r w:rsidR="00CF3922">
              <w:rPr>
                <w:w w:val="105"/>
                <w:sz w:val="20"/>
                <w:szCs w:val="20"/>
                <w:lang w:val="uk-UA"/>
              </w:rPr>
              <w:t xml:space="preserve"> </w:t>
            </w:r>
            <w:r>
              <w:rPr>
                <w:spacing w:val="11"/>
                <w:w w:val="105"/>
                <w:sz w:val="20"/>
                <w:szCs w:val="20"/>
                <w:lang w:val="uk-UA"/>
              </w:rPr>
              <w:t>__________________________________________________________</w:t>
            </w:r>
            <w:r w:rsidR="00B01E0C" w:rsidRPr="00C9292C">
              <w:rPr>
                <w:w w:val="105"/>
                <w:sz w:val="20"/>
                <w:szCs w:val="20"/>
                <w:lang w:val="uk-UA"/>
              </w:rPr>
              <w:t>37</w:t>
            </w:r>
          </w:hyperlink>
        </w:p>
        <w:p w14:paraId="6ECC805A" w14:textId="625F8E2E" w:rsidR="00E05B98" w:rsidRPr="00C9292C" w:rsidRDefault="0044520C" w:rsidP="004A2937">
          <w:pPr>
            <w:pStyle w:val="30"/>
            <w:numPr>
              <w:ilvl w:val="2"/>
              <w:numId w:val="34"/>
            </w:numPr>
            <w:tabs>
              <w:tab w:val="left" w:pos="1758"/>
              <w:tab w:val="right" w:leader="underscore" w:pos="9607"/>
            </w:tabs>
            <w:ind w:left="1758" w:hanging="511"/>
            <w:rPr>
              <w:sz w:val="20"/>
              <w:szCs w:val="20"/>
              <w:lang w:val="uk-UA"/>
            </w:rPr>
          </w:pPr>
          <w:hyperlink w:anchor="_bookmark18" w:history="1">
            <w:r w:rsidRPr="00C9292C">
              <w:rPr>
                <w:sz w:val="20"/>
                <w:szCs w:val="20"/>
                <w:lang w:val="uk-UA"/>
              </w:rPr>
              <w:t xml:space="preserve">Ручні тести ампліфікації нуклеїнових кислот низької складності </w:t>
            </w:r>
            <w:r w:rsidR="00C9292C">
              <w:rPr>
                <w:sz w:val="20"/>
                <w:szCs w:val="20"/>
                <w:lang w:val="uk-UA"/>
              </w:rPr>
              <w:t xml:space="preserve">                                              </w:t>
            </w:r>
            <w:r w:rsidRPr="00C9292C">
              <w:rPr>
                <w:sz w:val="20"/>
                <w:szCs w:val="20"/>
                <w:lang w:val="uk-UA"/>
              </w:rPr>
              <w:t>для виявлення Т</w:t>
            </w:r>
            <w:r w:rsidR="00CF3922">
              <w:rPr>
                <w:sz w:val="20"/>
                <w:szCs w:val="20"/>
                <w:lang w:val="uk-UA"/>
              </w:rPr>
              <w:t>Б _____________________________________________________</w:t>
            </w:r>
            <w:r w:rsidR="00B01E0C" w:rsidRPr="00C9292C">
              <w:rPr>
                <w:spacing w:val="-5"/>
                <w:sz w:val="20"/>
                <w:szCs w:val="20"/>
                <w:lang w:val="uk-UA"/>
              </w:rPr>
              <w:t>37</w:t>
            </w:r>
          </w:hyperlink>
        </w:p>
        <w:p w14:paraId="5758C290" w14:textId="2EDB5DCD" w:rsidR="00E05B98" w:rsidRPr="007372B2" w:rsidRDefault="007372B2" w:rsidP="004A2937">
          <w:pPr>
            <w:pStyle w:val="20"/>
            <w:numPr>
              <w:ilvl w:val="1"/>
              <w:numId w:val="34"/>
            </w:numPr>
            <w:tabs>
              <w:tab w:val="left" w:pos="1240"/>
            </w:tabs>
            <w:ind w:left="1240" w:hanging="390"/>
            <w:rPr>
              <w:sz w:val="20"/>
              <w:szCs w:val="20"/>
              <w:lang w:val="uk-UA"/>
            </w:rPr>
          </w:pPr>
          <w:hyperlink w:anchor="_bookmark22" w:history="1">
            <w:r>
              <w:rPr>
                <w:sz w:val="20"/>
                <w:szCs w:val="20"/>
                <w:lang w:val="uk-UA"/>
              </w:rPr>
              <w:t xml:space="preserve">Одночасне використання </w:t>
            </w:r>
            <w:r w:rsidR="00CF3922">
              <w:rPr>
                <w:sz w:val="20"/>
                <w:szCs w:val="20"/>
                <w:lang w:val="uk-UA"/>
              </w:rPr>
              <w:t xml:space="preserve">різних </w:t>
            </w:r>
            <w:r>
              <w:rPr>
                <w:sz w:val="20"/>
                <w:szCs w:val="20"/>
                <w:lang w:val="uk-UA"/>
              </w:rPr>
              <w:t>тестів для первинної діагностики ТБ</w:t>
            </w:r>
            <w:r w:rsidR="00B01E0C" w:rsidRPr="00C9292C">
              <w:rPr>
                <w:spacing w:val="9"/>
                <w:sz w:val="20"/>
                <w:szCs w:val="20"/>
                <w:lang w:val="uk-UA"/>
              </w:rPr>
              <w:t xml:space="preserve"> </w:t>
            </w:r>
            <w:r>
              <w:rPr>
                <w:spacing w:val="9"/>
                <w:sz w:val="20"/>
                <w:szCs w:val="20"/>
                <w:lang w:val="uk-UA"/>
              </w:rPr>
              <w:t xml:space="preserve">у людей, </w:t>
            </w:r>
            <w:r w:rsidR="00CF3922">
              <w:rPr>
                <w:spacing w:val="9"/>
                <w:sz w:val="20"/>
                <w:szCs w:val="20"/>
                <w:lang w:val="uk-UA"/>
              </w:rPr>
              <w:t xml:space="preserve">                        </w:t>
            </w:r>
            <w:r>
              <w:rPr>
                <w:spacing w:val="9"/>
                <w:sz w:val="20"/>
                <w:szCs w:val="20"/>
                <w:lang w:val="uk-UA"/>
              </w:rPr>
              <w:t>які живуть</w:t>
            </w:r>
            <w:r w:rsidR="00CF3922">
              <w:rPr>
                <w:spacing w:val="9"/>
                <w:sz w:val="20"/>
                <w:szCs w:val="20"/>
                <w:lang w:val="uk-UA"/>
              </w:rPr>
              <w:t xml:space="preserve"> </w:t>
            </w:r>
            <w:r>
              <w:rPr>
                <w:spacing w:val="9"/>
                <w:sz w:val="20"/>
                <w:szCs w:val="20"/>
                <w:lang w:val="uk-UA"/>
              </w:rPr>
              <w:t xml:space="preserve">з ВІЛ, та дітей </w:t>
            </w:r>
          </w:hyperlink>
          <w:r w:rsidR="00C9292C" w:rsidRPr="00C9292C">
            <w:rPr>
              <w:noProof/>
              <w:sz w:val="20"/>
              <w:szCs w:val="20"/>
              <w:lang w:val="uk-UA"/>
            </w:rPr>
            <mc:AlternateContent>
              <mc:Choice Requires="wpg">
                <w:drawing>
                  <wp:anchor distT="0" distB="0" distL="0" distR="0" simplePos="0" relativeHeight="15729664" behindDoc="0" locked="0" layoutInCell="1" allowOverlap="1" wp14:anchorId="077B9DA2" wp14:editId="220A5558">
                    <wp:simplePos x="0" y="0"/>
                    <wp:positionH relativeFrom="page">
                      <wp:align>left</wp:align>
                    </wp:positionH>
                    <wp:positionV relativeFrom="page">
                      <wp:posOffset>9246310</wp:posOffset>
                    </wp:positionV>
                    <wp:extent cx="7559675" cy="1445300"/>
                    <wp:effectExtent l="0" t="0" r="3175" b="254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445300"/>
                              <a:chOff x="0" y="0"/>
                              <a:chExt cx="7560309" cy="1889760"/>
                            </a:xfrm>
                          </wpg:grpSpPr>
                          <wps:wsp>
                            <wps:cNvPr id="832421763" name="Graphic 10"/>
                            <wps:cNvSpPr/>
                            <wps:spPr>
                              <a:xfrm>
                                <a:off x="0" y="0"/>
                                <a:ext cx="7560309" cy="1889760"/>
                              </a:xfrm>
                              <a:custGeom>
                                <a:avLst/>
                                <a:gdLst/>
                                <a:ahLst/>
                                <a:cxnLst/>
                                <a:rect l="l" t="t" r="r" b="b"/>
                                <a:pathLst>
                                  <a:path w="7560309" h="1889760">
                                    <a:moveTo>
                                      <a:pt x="7559992" y="0"/>
                                    </a:moveTo>
                                    <a:lnTo>
                                      <a:pt x="0" y="0"/>
                                    </a:lnTo>
                                    <a:lnTo>
                                      <a:pt x="0" y="1889556"/>
                                    </a:lnTo>
                                    <a:lnTo>
                                      <a:pt x="7559992" y="1889556"/>
                                    </a:lnTo>
                                    <a:lnTo>
                                      <a:pt x="7559992" y="0"/>
                                    </a:lnTo>
                                    <a:close/>
                                  </a:path>
                                </a:pathLst>
                              </a:custGeom>
                              <a:solidFill>
                                <a:srgbClr val="019648"/>
                              </a:solidFill>
                            </wps:spPr>
                            <wps:bodyPr wrap="square" lIns="0" tIns="0" rIns="0" bIns="0" rtlCol="0">
                              <a:prstTxWarp prst="textNoShape">
                                <a:avLst/>
                              </a:prstTxWarp>
                              <a:noAutofit/>
                            </wps:bodyPr>
                          </wps:wsp>
                          <pic:pic xmlns:pic="http://schemas.openxmlformats.org/drawingml/2006/picture">
                            <pic:nvPicPr>
                              <pic:cNvPr id="832421764" name="Image 11"/>
                              <pic:cNvPicPr/>
                            </pic:nvPicPr>
                            <pic:blipFill>
                              <a:blip r:embed="rId22" cstate="print"/>
                              <a:stretch>
                                <a:fillRect/>
                              </a:stretch>
                            </pic:blipFill>
                            <pic:spPr>
                              <a:xfrm>
                                <a:off x="0" y="0"/>
                                <a:ext cx="639121" cy="394415"/>
                              </a:xfrm>
                              <a:prstGeom prst="rect">
                                <a:avLst/>
                              </a:prstGeom>
                            </pic:spPr>
                          </pic:pic>
                          <pic:pic xmlns:pic="http://schemas.openxmlformats.org/drawingml/2006/picture">
                            <pic:nvPicPr>
                              <pic:cNvPr id="832421765" name="Image 12"/>
                              <pic:cNvPicPr/>
                            </pic:nvPicPr>
                            <pic:blipFill>
                              <a:blip r:embed="rId23" cstate="print"/>
                              <a:stretch>
                                <a:fillRect/>
                              </a:stretch>
                            </pic:blipFill>
                            <pic:spPr>
                              <a:xfrm>
                                <a:off x="762785" y="2961"/>
                                <a:ext cx="6797219" cy="1886594"/>
                              </a:xfrm>
                              <a:prstGeom prst="rect">
                                <a:avLst/>
                              </a:prstGeom>
                            </pic:spPr>
                          </pic:pic>
                          <wps:wsp>
                            <wps:cNvPr id="832421766" name="Graphic 13"/>
                            <wps:cNvSpPr/>
                            <wps:spPr>
                              <a:xfrm>
                                <a:off x="6926764" y="175512"/>
                                <a:ext cx="633730" cy="1714500"/>
                              </a:xfrm>
                              <a:custGeom>
                                <a:avLst/>
                                <a:gdLst/>
                                <a:ahLst/>
                                <a:cxnLst/>
                                <a:rect l="l" t="t" r="r" b="b"/>
                                <a:pathLst>
                                  <a:path w="633730" h="1714500">
                                    <a:moveTo>
                                      <a:pt x="633240" y="0"/>
                                    </a:moveTo>
                                    <a:lnTo>
                                      <a:pt x="412184" y="948675"/>
                                    </a:lnTo>
                                    <a:lnTo>
                                      <a:pt x="0" y="1714044"/>
                                    </a:lnTo>
                                    <a:lnTo>
                                      <a:pt x="633240" y="1714044"/>
                                    </a:lnTo>
                                    <a:lnTo>
                                      <a:pt x="633240" y="0"/>
                                    </a:lnTo>
                                    <a:close/>
                                  </a:path>
                                </a:pathLst>
                              </a:custGeom>
                              <a:solidFill>
                                <a:srgbClr val="62A86B">
                                  <a:alpha val="66998"/>
                                </a:srgbClr>
                              </a:solidFill>
                            </wps:spPr>
                            <wps:bodyPr wrap="square" lIns="0" tIns="0" rIns="0" bIns="0" rtlCol="0">
                              <a:prstTxWarp prst="textNoShape">
                                <a:avLst/>
                              </a:prstTxWarp>
                              <a:noAutofit/>
                            </wps:bodyPr>
                          </wps:wsp>
                          <wps:wsp>
                            <wps:cNvPr id="832421767" name="Graphic 14"/>
                            <wps:cNvSpPr/>
                            <wps:spPr>
                              <a:xfrm>
                                <a:off x="4839449" y="34124"/>
                                <a:ext cx="2720975" cy="1855470"/>
                              </a:xfrm>
                              <a:custGeom>
                                <a:avLst/>
                                <a:gdLst/>
                                <a:ahLst/>
                                <a:cxnLst/>
                                <a:rect l="l" t="t" r="r" b="b"/>
                                <a:pathLst>
                                  <a:path w="2720975" h="1855470">
                                    <a:moveTo>
                                      <a:pt x="2720556" y="0"/>
                                    </a:moveTo>
                                    <a:lnTo>
                                      <a:pt x="2633141" y="13906"/>
                                    </a:lnTo>
                                    <a:lnTo>
                                      <a:pt x="2577300" y="23888"/>
                                    </a:lnTo>
                                    <a:lnTo>
                                      <a:pt x="2520429" y="34925"/>
                                    </a:lnTo>
                                    <a:lnTo>
                                      <a:pt x="2462593" y="47078"/>
                                    </a:lnTo>
                                    <a:lnTo>
                                      <a:pt x="2403843" y="60375"/>
                                    </a:lnTo>
                                    <a:lnTo>
                                      <a:pt x="2344216" y="74879"/>
                                    </a:lnTo>
                                    <a:lnTo>
                                      <a:pt x="2283764" y="90627"/>
                                    </a:lnTo>
                                    <a:lnTo>
                                      <a:pt x="2222550" y="107670"/>
                                    </a:lnTo>
                                    <a:lnTo>
                                      <a:pt x="2160625" y="126060"/>
                                    </a:lnTo>
                                    <a:lnTo>
                                      <a:pt x="2098014" y="145821"/>
                                    </a:lnTo>
                                    <a:lnTo>
                                      <a:pt x="2034794" y="167017"/>
                                    </a:lnTo>
                                    <a:lnTo>
                                      <a:pt x="1971001" y="189699"/>
                                    </a:lnTo>
                                    <a:lnTo>
                                      <a:pt x="1906689" y="213906"/>
                                    </a:lnTo>
                                    <a:lnTo>
                                      <a:pt x="1841906" y="239674"/>
                                    </a:lnTo>
                                    <a:lnTo>
                                      <a:pt x="1776704" y="267068"/>
                                    </a:lnTo>
                                    <a:lnTo>
                                      <a:pt x="1711147" y="296125"/>
                                    </a:lnTo>
                                    <a:lnTo>
                                      <a:pt x="1645259" y="326898"/>
                                    </a:lnTo>
                                    <a:lnTo>
                                      <a:pt x="1579105" y="359422"/>
                                    </a:lnTo>
                                    <a:lnTo>
                                      <a:pt x="1512735" y="393750"/>
                                    </a:lnTo>
                                    <a:lnTo>
                                      <a:pt x="1446199" y="429933"/>
                                    </a:lnTo>
                                    <a:lnTo>
                                      <a:pt x="1412887" y="448729"/>
                                    </a:lnTo>
                                    <a:lnTo>
                                      <a:pt x="1379550" y="468007"/>
                                    </a:lnTo>
                                    <a:lnTo>
                                      <a:pt x="1346200" y="487768"/>
                                    </a:lnTo>
                                    <a:lnTo>
                                      <a:pt x="1312837" y="508025"/>
                                    </a:lnTo>
                                    <a:lnTo>
                                      <a:pt x="1279461" y="528777"/>
                                    </a:lnTo>
                                    <a:lnTo>
                                      <a:pt x="1246098" y="550024"/>
                                    </a:lnTo>
                                    <a:lnTo>
                                      <a:pt x="1212748" y="571792"/>
                                    </a:lnTo>
                                    <a:lnTo>
                                      <a:pt x="1179398" y="594067"/>
                                    </a:lnTo>
                                    <a:lnTo>
                                      <a:pt x="1146073" y="616877"/>
                                    </a:lnTo>
                                    <a:lnTo>
                                      <a:pt x="1112786" y="640194"/>
                                    </a:lnTo>
                                    <a:lnTo>
                                      <a:pt x="1079525" y="664057"/>
                                    </a:lnTo>
                                    <a:lnTo>
                                      <a:pt x="1046302" y="688454"/>
                                    </a:lnTo>
                                    <a:lnTo>
                                      <a:pt x="1013129" y="713384"/>
                                    </a:lnTo>
                                    <a:lnTo>
                                      <a:pt x="980008" y="738873"/>
                                    </a:lnTo>
                                    <a:lnTo>
                                      <a:pt x="946937" y="764921"/>
                                    </a:lnTo>
                                    <a:lnTo>
                                      <a:pt x="913942" y="791527"/>
                                    </a:lnTo>
                                    <a:lnTo>
                                      <a:pt x="881011" y="818705"/>
                                    </a:lnTo>
                                    <a:lnTo>
                                      <a:pt x="848169" y="846442"/>
                                    </a:lnTo>
                                    <a:lnTo>
                                      <a:pt x="815403" y="874776"/>
                                    </a:lnTo>
                                    <a:lnTo>
                                      <a:pt x="782726" y="903681"/>
                                    </a:lnTo>
                                    <a:lnTo>
                                      <a:pt x="750150" y="933183"/>
                                    </a:lnTo>
                                    <a:lnTo>
                                      <a:pt x="717664" y="963269"/>
                                    </a:lnTo>
                                    <a:lnTo>
                                      <a:pt x="685304" y="993965"/>
                                    </a:lnTo>
                                    <a:lnTo>
                                      <a:pt x="653046" y="1025271"/>
                                    </a:lnTo>
                                    <a:lnTo>
                                      <a:pt x="620915" y="1057186"/>
                                    </a:lnTo>
                                    <a:lnTo>
                                      <a:pt x="588911" y="1089723"/>
                                    </a:lnTo>
                                    <a:lnTo>
                                      <a:pt x="557047" y="1122883"/>
                                    </a:lnTo>
                                    <a:lnTo>
                                      <a:pt x="525322" y="1156677"/>
                                    </a:lnTo>
                                    <a:lnTo>
                                      <a:pt x="493737" y="1191107"/>
                                    </a:lnTo>
                                    <a:lnTo>
                                      <a:pt x="462305" y="1226172"/>
                                    </a:lnTo>
                                    <a:lnTo>
                                      <a:pt x="431038" y="1261897"/>
                                    </a:lnTo>
                                    <a:lnTo>
                                      <a:pt x="399935" y="1298270"/>
                                    </a:lnTo>
                                    <a:lnTo>
                                      <a:pt x="368998" y="1335303"/>
                                    </a:lnTo>
                                    <a:lnTo>
                                      <a:pt x="338251" y="1372997"/>
                                    </a:lnTo>
                                    <a:lnTo>
                                      <a:pt x="307682" y="1411363"/>
                                    </a:lnTo>
                                    <a:lnTo>
                                      <a:pt x="277304" y="1450416"/>
                                    </a:lnTo>
                                    <a:lnTo>
                                      <a:pt x="247116" y="1490141"/>
                                    </a:lnTo>
                                    <a:lnTo>
                                      <a:pt x="217144" y="1530565"/>
                                    </a:lnTo>
                                    <a:lnTo>
                                      <a:pt x="187375" y="1571675"/>
                                    </a:lnTo>
                                    <a:lnTo>
                                      <a:pt x="157822" y="1613496"/>
                                    </a:lnTo>
                                    <a:lnTo>
                                      <a:pt x="128485" y="1656016"/>
                                    </a:lnTo>
                                    <a:lnTo>
                                      <a:pt x="99390" y="1699247"/>
                                    </a:lnTo>
                                    <a:lnTo>
                                      <a:pt x="70510" y="1743189"/>
                                    </a:lnTo>
                                    <a:lnTo>
                                      <a:pt x="41884" y="1787867"/>
                                    </a:lnTo>
                                    <a:lnTo>
                                      <a:pt x="13512" y="1833270"/>
                                    </a:lnTo>
                                    <a:lnTo>
                                      <a:pt x="0" y="1855431"/>
                                    </a:lnTo>
                                    <a:lnTo>
                                      <a:pt x="231660" y="1855431"/>
                                    </a:lnTo>
                                    <a:lnTo>
                                      <a:pt x="1260373" y="1855431"/>
                                    </a:lnTo>
                                    <a:lnTo>
                                      <a:pt x="2720543" y="1855431"/>
                                    </a:lnTo>
                                    <a:lnTo>
                                      <a:pt x="2720543" y="1559610"/>
                                    </a:lnTo>
                                    <a:lnTo>
                                      <a:pt x="2720556" y="0"/>
                                    </a:lnTo>
                                    <a:close/>
                                  </a:path>
                                </a:pathLst>
                              </a:custGeom>
                              <a:solidFill>
                                <a:srgbClr val="019648">
                                  <a:alpha val="52999"/>
                                </a:srgbClr>
                              </a:solidFill>
                            </wps:spPr>
                            <wps:bodyPr wrap="square" lIns="0" tIns="0" rIns="0" bIns="0" rtlCol="0">
                              <a:prstTxWarp prst="textNoShape">
                                <a:avLst/>
                              </a:prstTxWarp>
                              <a:noAutofit/>
                            </wps:bodyPr>
                          </wps:wsp>
                          <wps:wsp>
                            <wps:cNvPr id="832421768" name="Textbox 15"/>
                            <wps:cNvSpPr txBox="1"/>
                            <wps:spPr>
                              <a:xfrm>
                                <a:off x="6946512" y="1398916"/>
                                <a:ext cx="88265" cy="101600"/>
                              </a:xfrm>
                              <a:prstGeom prst="rect">
                                <a:avLst/>
                              </a:prstGeom>
                            </wps:spPr>
                            <wps:txbx>
                              <w:txbxContent>
                                <w:p w14:paraId="29083615" w14:textId="77777777" w:rsidR="007372B2" w:rsidRDefault="007372B2">
                                  <w:pPr>
                                    <w:spacing w:line="160" w:lineRule="exact"/>
                                    <w:rPr>
                                      <w:sz w:val="16"/>
                                    </w:rPr>
                                  </w:pPr>
                                  <w:r>
                                    <w:rPr>
                                      <w:color w:val="FFFFFF"/>
                                      <w:spacing w:val="-5"/>
                                      <w:w w:val="105"/>
                                      <w:sz w:val="16"/>
                                    </w:rPr>
                                    <w:t>iii</w:t>
                                  </w:r>
                                </w:p>
                              </w:txbxContent>
                            </wps:txbx>
                            <wps:bodyPr wrap="square" lIns="0" tIns="0" rIns="0" bIns="0" rtlCol="0">
                              <a:noAutofit/>
                            </wps:bodyPr>
                          </wps:wsp>
                        </wpg:wgp>
                      </a:graphicData>
                    </a:graphic>
                    <wp14:sizeRelV relativeFrom="margin">
                      <wp14:pctHeight>0</wp14:pctHeight>
                    </wp14:sizeRelV>
                  </wp:anchor>
                </w:drawing>
              </mc:Choice>
              <mc:Fallback>
                <w:pict>
                  <v:group w14:anchorId="077B9DA2" id="Group 9" o:spid="_x0000_s1028" style="position:absolute;left:0;text-align:left;margin-left:0;margin-top:728.05pt;width:595.25pt;height:113.8pt;z-index:15729664;mso-wrap-distance-left:0;mso-wrap-distance-right:0;mso-position-horizontal:left;mso-position-horizontal-relative:page;mso-position-vertical-relative:page;mso-height-relative:margin" coordsize="75603,18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">
                    <v:shape id="Graphic 10" o:spid="_x0000_s1029" style="position:absolute;width:75603;height:18897;visibility:visible;mso-wrap-style:square;v-text-anchor:top" coordsize="7560309,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" path="m7559992,l,,,1889556r7559992,l7559992,xe" fillcolor="#01964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30" type="#_x0000_t75" style="position:absolute;width:6391;height:3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">
                      <v:imagedata r:id="rId24" o:title=""/>
                    </v:shape>
                    <v:shape id="Image 12" o:spid="_x0000_s1031" type="#_x0000_t75" style="position:absolute;left:7627;top:29;width:67973;height:18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">
                      <v:imagedata r:id="rId25" o:title=""/>
                    </v:shape>
                    <v:shape id="Graphic 13" o:spid="_x0000_s1032" style="position:absolute;left:69267;top:1755;width:6337;height:17145;visibility:visible;mso-wrap-style:square;v-text-anchor:top" coordsize="63373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" path="m633240,l412184,948675,,1714044r633240,l633240,xe" fillcolor="#62a86b" stroked="f">
                      <v:fill opacity="43947f"/>
                      <v:path arrowok="t"/>
                    </v:shape>
                    <v:shape id="Graphic 14" o:spid="_x0000_s1033" style="position:absolute;left:48394;top:341;width:27210;height:18554;visibility:visible;mso-wrap-style:square;v-text-anchor:top" coordsize="2720975,185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" path="m2720556,r-87415,13906l2577300,23888r-56871,11037l2462593,47078r-58750,13297l2344216,74879r-60452,15748l2222550,107670r-61925,18390l2098014,145821r-63220,21196l1971001,189699r-64312,24207l1841906,239674r-65202,27394l1711147,296125r-65888,30773l1579105,359422r-66370,34328l1446199,429933r-33312,18796l1379550,468007r-33350,19761l1312837,508025r-33376,20752l1246098,550024r-33350,21768l1179398,594067r-33325,22810l1112786,640194r-33261,23863l1046302,688454r-33173,24930l980008,738873r-33071,26048l913942,791527r-32931,27178l848169,846442r-32766,28334l782726,903681r-32576,29502l717664,963269r-32360,30696l653046,1025271r-32131,31915l588911,1089723r-31864,33160l525322,1156677r-31585,34430l462305,1226172r-31267,35725l399935,1298270r-30937,37033l338251,1372997r-30569,38366l277304,1450416r-30188,39725l217144,1530565r-29769,41110l157822,1613496r-29337,42520l99390,1699247r-28880,43942l41884,1787867r-28372,45403l,1855431r231660,l1260373,1855431r1460170,l2720543,1559610,2720556,xe" fillcolor="#019648" stroked="f">
                      <v:fill opacity="34695f"/>
                      <v:path arrowok="t"/>
                    </v:shape>
                    <v:shape id="Textbox 15" o:spid="_x0000_s1034" type="#_x0000_t202" style="position:absolute;left:69465;top:13989;width:88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" filled="f" stroked="f">
                      <v:textbox inset="0,0,0,0">
                        <w:txbxContent>
                          <w:p w14:paraId="29083615" w14:textId="77777777" w:rsidR="007372B2" w:rsidRDefault="007372B2">
                            <w:pPr>
                              <w:spacing w:line="160" w:lineRule="exact"/>
                              <w:rPr>
                                <w:sz w:val="16"/>
                              </w:rPr>
                            </w:pPr>
                            <w:r>
                              <w:rPr>
                                <w:color w:val="FFFFFF"/>
                                <w:spacing w:val="-5"/>
                                <w:w w:val="105"/>
                                <w:sz w:val="16"/>
                              </w:rPr>
                              <w:t>iii</w:t>
                            </w:r>
                          </w:p>
                        </w:txbxContent>
                      </v:textbox>
                    </v:shape>
                    <w10:wrap anchorx="page" anchory="page"/>
                  </v:group>
                </w:pict>
              </mc:Fallback>
            </mc:AlternateContent>
          </w:r>
          <w:r>
            <w:rPr>
              <w:spacing w:val="-2"/>
              <w:sz w:val="20"/>
              <w:szCs w:val="20"/>
              <w:lang w:val="uk-UA"/>
            </w:rPr>
            <w:t>__________________________________________________</w:t>
          </w:r>
          <w:hyperlink w:anchor="_bookmark22" w:history="1">
            <w:r w:rsidR="00B01E0C" w:rsidRPr="007372B2">
              <w:rPr>
                <w:spacing w:val="-5"/>
                <w:sz w:val="20"/>
                <w:szCs w:val="20"/>
                <w:lang w:val="uk-UA"/>
              </w:rPr>
              <w:t>48</w:t>
            </w:r>
          </w:hyperlink>
          <w:r>
            <w:rPr>
              <w:spacing w:val="-5"/>
              <w:sz w:val="20"/>
              <w:szCs w:val="20"/>
              <w:lang w:val="uk-UA"/>
            </w:rPr>
            <w:t xml:space="preserve">        </w:t>
          </w:r>
          <w:r w:rsidR="00CF3922">
            <w:rPr>
              <w:spacing w:val="-5"/>
              <w:sz w:val="20"/>
              <w:szCs w:val="20"/>
              <w:lang w:val="uk-UA"/>
            </w:rPr>
            <w:t xml:space="preserve">  </w:t>
          </w:r>
          <w:r>
            <w:rPr>
              <w:spacing w:val="-5"/>
              <w:sz w:val="20"/>
              <w:szCs w:val="20"/>
              <w:lang w:val="uk-UA"/>
            </w:rPr>
            <w:t xml:space="preserve">  </w:t>
          </w:r>
          <w:r w:rsidR="00CF3922">
            <w:rPr>
              <w:spacing w:val="-5"/>
              <w:sz w:val="20"/>
              <w:szCs w:val="20"/>
              <w:lang w:val="uk-UA"/>
            </w:rPr>
            <w:t xml:space="preserve"> </w:t>
          </w:r>
        </w:p>
      </w:sdtContent>
    </w:sdt>
    <w:p w14:paraId="032D059A" w14:textId="77777777" w:rsidR="00E05B98" w:rsidRPr="00C9292C" w:rsidRDefault="00E05B98">
      <w:pPr>
        <w:pStyle w:val="30"/>
        <w:rPr>
          <w:sz w:val="20"/>
          <w:szCs w:val="20"/>
          <w:lang w:val="uk-UA"/>
        </w:rPr>
        <w:sectPr w:rsidR="00E05B98" w:rsidRPr="00C9292C" w:rsidSect="00C9292C">
          <w:pgSz w:w="11910" w:h="16840"/>
          <w:pgMar w:top="1320" w:right="853" w:bottom="0" w:left="850" w:header="0" w:footer="0" w:gutter="0"/>
          <w:cols w:space="720"/>
        </w:sectPr>
      </w:pPr>
    </w:p>
    <w:p w14:paraId="713C9F03" w14:textId="5E902460" w:rsidR="00E05B98" w:rsidRPr="00C9292C" w:rsidRDefault="00B01E0C" w:rsidP="004A2937">
      <w:pPr>
        <w:pStyle w:val="a4"/>
        <w:numPr>
          <w:ilvl w:val="2"/>
          <w:numId w:val="34"/>
        </w:numPr>
        <w:tabs>
          <w:tab w:val="left" w:pos="1758"/>
          <w:tab w:val="left" w:leader="underscore" w:pos="9364"/>
        </w:tabs>
        <w:spacing w:before="54"/>
        <w:ind w:left="1758" w:hanging="511"/>
        <w:rPr>
          <w:sz w:val="20"/>
          <w:szCs w:val="20"/>
          <w:lang w:val="uk-UA"/>
        </w:rPr>
      </w:pPr>
      <w:r w:rsidRPr="00C9292C">
        <w:rPr>
          <w:noProof/>
          <w:sz w:val="20"/>
          <w:szCs w:val="20"/>
          <w:lang w:val="uk-UA"/>
        </w:rPr>
        <w:lastRenderedPageBreak/>
        <mc:AlternateContent>
          <mc:Choice Requires="wps">
            <w:drawing>
              <wp:anchor distT="0" distB="0" distL="0" distR="0" simplePos="0" relativeHeight="481381376" behindDoc="1" locked="0" layoutInCell="1" allowOverlap="1" wp14:anchorId="775A1A73" wp14:editId="4BDF4AE4">
                <wp:simplePos x="0" y="0"/>
                <wp:positionH relativeFrom="page">
                  <wp:posOffset>539475</wp:posOffset>
                </wp:positionH>
                <wp:positionV relativeFrom="page">
                  <wp:posOffset>10201362</wp:posOffset>
                </wp:positionV>
                <wp:extent cx="3123565" cy="1016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3565" cy="101600"/>
                        </a:xfrm>
                        <a:prstGeom prst="rect">
                          <a:avLst/>
                        </a:prstGeom>
                      </wps:spPr>
                      <wps:txbx>
                        <w:txbxContent>
                          <w:p w14:paraId="5ED9F021" w14:textId="77777777" w:rsidR="007372B2" w:rsidRDefault="007372B2">
                            <w:pPr>
                              <w:tabs>
                                <w:tab w:val="left" w:pos="567"/>
                              </w:tabs>
                              <w:spacing w:line="160" w:lineRule="exact"/>
                              <w:rPr>
                                <w:sz w:val="16"/>
                              </w:rPr>
                            </w:pPr>
                            <w:r>
                              <w:rPr>
                                <w:color w:val="019648"/>
                                <w:spacing w:val="-5"/>
                                <w:sz w:val="16"/>
                              </w:rPr>
                              <w:t>iv</w:t>
                            </w:r>
                            <w:r>
                              <w:rPr>
                                <w:color w:val="019648"/>
                                <w:sz w:val="16"/>
                              </w:rPr>
                              <w:tab/>
                              <w:t>WHO</w:t>
                            </w:r>
                            <w:r>
                              <w:rPr>
                                <w:color w:val="019648"/>
                                <w:spacing w:val="2"/>
                                <w:sz w:val="16"/>
                              </w:rPr>
                              <w:t xml:space="preserve"> </w:t>
                            </w:r>
                            <w:r>
                              <w:rPr>
                                <w:color w:val="019648"/>
                                <w:sz w:val="16"/>
                              </w:rPr>
                              <w:t>consolidated</w:t>
                            </w:r>
                            <w:r>
                              <w:rPr>
                                <w:color w:val="019648"/>
                                <w:spacing w:val="2"/>
                                <w:sz w:val="16"/>
                              </w:rPr>
                              <w:t xml:space="preserve"> </w:t>
                            </w:r>
                            <w:r>
                              <w:rPr>
                                <w:color w:val="F07A72"/>
                                <w:sz w:val="16"/>
                              </w:rPr>
                              <w:t>guidelines</w:t>
                            </w:r>
                            <w:r>
                              <w:rPr>
                                <w:color w:val="F07A72"/>
                                <w:spacing w:val="2"/>
                                <w:sz w:val="16"/>
                              </w:rPr>
                              <w:t xml:space="preserve"> </w:t>
                            </w:r>
                            <w:r>
                              <w:rPr>
                                <w:color w:val="019648"/>
                                <w:sz w:val="16"/>
                              </w:rPr>
                              <w:t>on</w:t>
                            </w:r>
                            <w:r>
                              <w:rPr>
                                <w:color w:val="019648"/>
                                <w:spacing w:val="3"/>
                                <w:sz w:val="16"/>
                              </w:rPr>
                              <w:t xml:space="preserve"> </w:t>
                            </w:r>
                            <w:r>
                              <w:rPr>
                                <w:color w:val="019648"/>
                                <w:sz w:val="16"/>
                              </w:rPr>
                              <w:t>tuberculosis:</w:t>
                            </w:r>
                            <w:r>
                              <w:rPr>
                                <w:color w:val="019648"/>
                                <w:spacing w:val="2"/>
                                <w:sz w:val="16"/>
                              </w:rPr>
                              <w:t xml:space="preserve"> </w:t>
                            </w:r>
                            <w:r>
                              <w:rPr>
                                <w:color w:val="019648"/>
                                <w:sz w:val="16"/>
                              </w:rPr>
                              <w:t>Fourth</w:t>
                            </w:r>
                            <w:r>
                              <w:rPr>
                                <w:color w:val="019648"/>
                                <w:spacing w:val="2"/>
                                <w:sz w:val="16"/>
                              </w:rPr>
                              <w:t xml:space="preserve"> </w:t>
                            </w:r>
                            <w:r>
                              <w:rPr>
                                <w:color w:val="019648"/>
                                <w:spacing w:val="-2"/>
                                <w:sz w:val="16"/>
                              </w:rPr>
                              <w:t>edition</w:t>
                            </w:r>
                          </w:p>
                        </w:txbxContent>
                      </wps:txbx>
                      <wps:bodyPr wrap="square" lIns="0" tIns="0" rIns="0" bIns="0" rtlCol="0">
                        <a:noAutofit/>
                      </wps:bodyPr>
                    </wps:wsp>
                  </a:graphicData>
                </a:graphic>
              </wp:anchor>
            </w:drawing>
          </mc:Choice>
          <mc:Fallback>
            <w:pict>
              <v:shape w14:anchorId="775A1A73" id="Textbox 66" o:spid="_x0000_s1035" type="#_x0000_t202" style="position:absolute;left:0;text-align:left;margin-left:42.5pt;margin-top:803.25pt;width:245.95pt;height:8pt;z-index:-2193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" filled="f" stroked="f">
                <v:textbox inset="0,0,0,0">
                  <w:txbxContent>
                    <w:p w14:paraId="5ED9F021" w14:textId="77777777" w:rsidR="007372B2" w:rsidRDefault="007372B2">
                      <w:pPr>
                        <w:tabs>
                          <w:tab w:val="left" w:pos="567"/>
                        </w:tabs>
                        <w:spacing w:line="160" w:lineRule="exact"/>
                        <w:rPr>
                          <w:sz w:val="16"/>
                        </w:rPr>
                      </w:pPr>
                      <w:r>
                        <w:rPr>
                          <w:color w:val="019648"/>
                          <w:spacing w:val="-5"/>
                          <w:sz w:val="16"/>
                        </w:rPr>
                        <w:t>iv</w:t>
                      </w:r>
                      <w:r>
                        <w:rPr>
                          <w:color w:val="019648"/>
                          <w:sz w:val="16"/>
                        </w:rPr>
                        <w:tab/>
                        <w:t>WHO</w:t>
                      </w:r>
                      <w:r>
                        <w:rPr>
                          <w:color w:val="019648"/>
                          <w:spacing w:val="2"/>
                          <w:sz w:val="16"/>
                        </w:rPr>
                        <w:t xml:space="preserve"> </w:t>
                      </w:r>
                      <w:r>
                        <w:rPr>
                          <w:color w:val="019648"/>
                          <w:sz w:val="16"/>
                        </w:rPr>
                        <w:t>consolidated</w:t>
                      </w:r>
                      <w:r>
                        <w:rPr>
                          <w:color w:val="019648"/>
                          <w:spacing w:val="2"/>
                          <w:sz w:val="16"/>
                        </w:rPr>
                        <w:t xml:space="preserve"> </w:t>
                      </w:r>
                      <w:r>
                        <w:rPr>
                          <w:color w:val="F07A72"/>
                          <w:sz w:val="16"/>
                        </w:rPr>
                        <w:t>guidelines</w:t>
                      </w:r>
                      <w:r>
                        <w:rPr>
                          <w:color w:val="F07A72"/>
                          <w:spacing w:val="2"/>
                          <w:sz w:val="16"/>
                        </w:rPr>
                        <w:t xml:space="preserve"> </w:t>
                      </w:r>
                      <w:r>
                        <w:rPr>
                          <w:color w:val="019648"/>
                          <w:sz w:val="16"/>
                        </w:rPr>
                        <w:t>on</w:t>
                      </w:r>
                      <w:r>
                        <w:rPr>
                          <w:color w:val="019648"/>
                          <w:spacing w:val="3"/>
                          <w:sz w:val="16"/>
                        </w:rPr>
                        <w:t xml:space="preserve"> </w:t>
                      </w:r>
                      <w:r>
                        <w:rPr>
                          <w:color w:val="019648"/>
                          <w:sz w:val="16"/>
                        </w:rPr>
                        <w:t>tuberculosis:</w:t>
                      </w:r>
                      <w:r>
                        <w:rPr>
                          <w:color w:val="019648"/>
                          <w:spacing w:val="2"/>
                          <w:sz w:val="16"/>
                        </w:rPr>
                        <w:t xml:space="preserve"> </w:t>
                      </w:r>
                      <w:r>
                        <w:rPr>
                          <w:color w:val="019648"/>
                          <w:sz w:val="16"/>
                        </w:rPr>
                        <w:t>Fourth</w:t>
                      </w:r>
                      <w:r>
                        <w:rPr>
                          <w:color w:val="019648"/>
                          <w:spacing w:val="2"/>
                          <w:sz w:val="16"/>
                        </w:rPr>
                        <w:t xml:space="preserve"> </w:t>
                      </w:r>
                      <w:r>
                        <w:rPr>
                          <w:color w:val="019648"/>
                          <w:spacing w:val="-2"/>
                          <w:sz w:val="16"/>
                        </w:rPr>
                        <w:t>edition</w:t>
                      </w:r>
                    </w:p>
                  </w:txbxContent>
                </v:textbox>
                <w10:wrap anchorx="page" anchory="page"/>
              </v:shape>
            </w:pict>
          </mc:Fallback>
        </mc:AlternateContent>
      </w:r>
      <w:r w:rsidRPr="00C9292C">
        <w:rPr>
          <w:noProof/>
          <w:sz w:val="20"/>
          <w:szCs w:val="20"/>
          <w:lang w:val="uk-UA"/>
        </w:rPr>
        <mc:AlternateContent>
          <mc:Choice Requires="wpg">
            <w:drawing>
              <wp:anchor distT="0" distB="0" distL="0" distR="0" simplePos="0" relativeHeight="15756288" behindDoc="0" locked="0" layoutInCell="1" allowOverlap="1" wp14:anchorId="1278CC97" wp14:editId="501631D6">
                <wp:simplePos x="0" y="0"/>
                <wp:positionH relativeFrom="page">
                  <wp:posOffset>0</wp:posOffset>
                </wp:positionH>
                <wp:positionV relativeFrom="page">
                  <wp:posOffset>8431200</wp:posOffset>
                </wp:positionV>
                <wp:extent cx="7560309" cy="226123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992" cy="2260803"/>
                          <a:chOff x="0" y="0"/>
                          <a:chExt cx="7559992" cy="2260803"/>
                        </a:xfrm>
                      </wpg:grpSpPr>
                      <pic:pic xmlns:pic="http://schemas.openxmlformats.org/drawingml/2006/picture">
                        <pic:nvPicPr>
                          <pic:cNvPr id="68" name="Image 68"/>
                          <pic:cNvPicPr/>
                        </pic:nvPicPr>
                        <pic:blipFill>
                          <a:blip r:embed="rId26" cstate="print"/>
                          <a:stretch>
                            <a:fillRect/>
                          </a:stretch>
                        </pic:blipFill>
                        <pic:spPr>
                          <a:xfrm>
                            <a:off x="0" y="0"/>
                            <a:ext cx="7559992" cy="2260803"/>
                          </a:xfrm>
                          <a:prstGeom prst="rect">
                            <a:avLst/>
                          </a:prstGeom>
                        </pic:spPr>
                      </pic:pic>
                      <pic:pic xmlns:pic="http://schemas.openxmlformats.org/drawingml/2006/picture">
                        <pic:nvPicPr>
                          <pic:cNvPr id="69" name="Image 69"/>
                          <pic:cNvPicPr/>
                        </pic:nvPicPr>
                        <pic:blipFill>
                          <a:blip r:embed="rId27" cstate="print"/>
                          <a:stretch>
                            <a:fillRect/>
                          </a:stretch>
                        </pic:blipFill>
                        <pic:spPr>
                          <a:xfrm>
                            <a:off x="0" y="0"/>
                            <a:ext cx="3589137" cy="2260803"/>
                          </a:xfrm>
                          <a:prstGeom prst="rect">
                            <a:avLst/>
                          </a:prstGeom>
                        </pic:spPr>
                      </pic:pic>
                      <wps:wsp>
                        <wps:cNvPr id="70" name="Textbox 70"/>
                        <wps:cNvSpPr txBox="1"/>
                        <wps:spPr>
                          <a:xfrm>
                            <a:off x="539475" y="1770162"/>
                            <a:ext cx="86360" cy="101600"/>
                          </a:xfrm>
                          <a:prstGeom prst="rect">
                            <a:avLst/>
                          </a:prstGeom>
                        </wps:spPr>
                        <wps:txbx>
                          <w:txbxContent>
                            <w:p w14:paraId="06CA6665" w14:textId="77777777" w:rsidR="007372B2" w:rsidRDefault="007372B2">
                              <w:pPr>
                                <w:spacing w:line="160" w:lineRule="exact"/>
                                <w:rPr>
                                  <w:sz w:val="16"/>
                                </w:rPr>
                              </w:pPr>
                              <w:r>
                                <w:rPr>
                                  <w:color w:val="FFFFFF"/>
                                  <w:spacing w:val="-5"/>
                                  <w:sz w:val="16"/>
                                </w:rPr>
                                <w:t>iv</w:t>
                              </w:r>
                            </w:p>
                          </w:txbxContent>
                        </wps:txbx>
                        <wps:bodyPr wrap="square" lIns="0" tIns="0" rIns="0" bIns="0" rtlCol="0">
                          <a:noAutofit/>
                        </wps:bodyPr>
                      </wps:wsp>
                    </wpg:wgp>
                  </a:graphicData>
                </a:graphic>
              </wp:anchor>
            </w:drawing>
          </mc:Choice>
          <mc:Fallback>
            <w:pict>
              <v:group w14:anchorId="1278CC97" id="Group 67" o:spid="_x0000_s1036" style="position:absolute;left:0;text-align:left;margin-left:0;margin-top:663.85pt;width:595.3pt;height:178.05pt;z-index:15756288;mso-wrap-distance-left:0;mso-wrap-distance-right:0;mso-position-horizontal-relative:page;mso-position-vertical-relative:page" coordsize="75599,2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">
                <v:shape id="Image 68" o:spid="_x0000_s1037" type="#_x0000_t75" style="position:absolute;width:75599;height:22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">
                  <v:imagedata r:id="rId28" o:title=""/>
                </v:shape>
                <v:shape id="Image 69" o:spid="_x0000_s1038" type="#_x0000_t75" style="position:absolute;width:35891;height:22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">
                  <v:imagedata r:id="rId29" o:title=""/>
                </v:shape>
                <v:shape id="Textbox 70" o:spid="_x0000_s1039" type="#_x0000_t202" style="position:absolute;left:5394;top:17701;width:864;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6CA6665" w14:textId="77777777" w:rsidR="007372B2" w:rsidRDefault="007372B2">
                        <w:pPr>
                          <w:spacing w:line="160" w:lineRule="exact"/>
                          <w:rPr>
                            <w:sz w:val="16"/>
                          </w:rPr>
                        </w:pPr>
                        <w:r>
                          <w:rPr>
                            <w:color w:val="FFFFFF"/>
                            <w:spacing w:val="-5"/>
                            <w:sz w:val="16"/>
                          </w:rPr>
                          <w:t>iv</w:t>
                        </w:r>
                      </w:p>
                    </w:txbxContent>
                  </v:textbox>
                </v:shape>
                <w10:wrap anchorx="page" anchory="page"/>
              </v:group>
            </w:pict>
          </mc:Fallback>
        </mc:AlternateContent>
      </w:r>
      <w:r w:rsidRPr="00C9292C">
        <w:rPr>
          <w:noProof/>
          <w:sz w:val="20"/>
          <w:szCs w:val="20"/>
          <w:lang w:val="uk-UA"/>
        </w:rPr>
        <mc:AlternateContent>
          <mc:Choice Requires="wps">
            <w:drawing>
              <wp:anchor distT="0" distB="0" distL="0" distR="0" simplePos="0" relativeHeight="481382400" behindDoc="1" locked="0" layoutInCell="1" allowOverlap="1" wp14:anchorId="1911DC19" wp14:editId="5048E05F">
                <wp:simplePos x="0" y="0"/>
                <wp:positionH relativeFrom="page">
                  <wp:posOffset>4578479</wp:posOffset>
                </wp:positionH>
                <wp:positionV relativeFrom="page">
                  <wp:posOffset>1005410</wp:posOffset>
                </wp:positionV>
                <wp:extent cx="12700" cy="1270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52B894BD" id="Graphic 71" o:spid="_x0000_s1026" style="position:absolute;margin-left:360.5pt;margin-top:79.15pt;width:1pt;height:1pt;z-index:-21934080;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82912" behindDoc="1" locked="0" layoutInCell="1" allowOverlap="1" wp14:anchorId="632BC91C" wp14:editId="16D48AA9">
                <wp:simplePos x="0" y="0"/>
                <wp:positionH relativeFrom="page">
                  <wp:posOffset>6473814</wp:posOffset>
                </wp:positionH>
                <wp:positionV relativeFrom="page">
                  <wp:posOffset>1005410</wp:posOffset>
                </wp:positionV>
                <wp:extent cx="12700" cy="1270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34EC002D" id="Graphic 72" o:spid="_x0000_s1026" style="position:absolute;margin-left:509.75pt;margin-top:79.15pt;width:1pt;height:1pt;z-index:-21933568;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83424" behindDoc="1" locked="0" layoutInCell="1" allowOverlap="1" wp14:anchorId="24E856EC" wp14:editId="72D82951">
                <wp:simplePos x="0" y="0"/>
                <wp:positionH relativeFrom="page">
                  <wp:posOffset>3388850</wp:posOffset>
                </wp:positionH>
                <wp:positionV relativeFrom="page">
                  <wp:posOffset>1435110</wp:posOffset>
                </wp:positionV>
                <wp:extent cx="12700" cy="1270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1871DF7D" id="Graphic 73" o:spid="_x0000_s1026" style="position:absolute;margin-left:266.85pt;margin-top:113pt;width:1pt;height:1pt;z-index:-21933056;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83936" behindDoc="1" locked="0" layoutInCell="1" allowOverlap="1" wp14:anchorId="4A9E74EB" wp14:editId="69B603E8">
                <wp:simplePos x="0" y="0"/>
                <wp:positionH relativeFrom="page">
                  <wp:posOffset>6473819</wp:posOffset>
                </wp:positionH>
                <wp:positionV relativeFrom="page">
                  <wp:posOffset>1435110</wp:posOffset>
                </wp:positionV>
                <wp:extent cx="12700" cy="1270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01F00F0E" id="Graphic 74" o:spid="_x0000_s1026" style="position:absolute;margin-left:509.75pt;margin-top:113pt;width:1pt;height:1pt;z-index:-21932544;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84448" behindDoc="1" locked="0" layoutInCell="1" allowOverlap="1" wp14:anchorId="3B57E199" wp14:editId="06C0C250">
                <wp:simplePos x="0" y="0"/>
                <wp:positionH relativeFrom="page">
                  <wp:posOffset>4288713</wp:posOffset>
                </wp:positionH>
                <wp:positionV relativeFrom="page">
                  <wp:posOffset>1667960</wp:posOffset>
                </wp:positionV>
                <wp:extent cx="12700" cy="1270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0C1E128D" id="Graphic 75" o:spid="_x0000_s1026" style="position:absolute;margin-left:337.7pt;margin-top:131.35pt;width:1pt;height:1pt;z-index:-21932032;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84960" behindDoc="1" locked="0" layoutInCell="1" allowOverlap="1" wp14:anchorId="205842AC" wp14:editId="2BEB212C">
                <wp:simplePos x="0" y="0"/>
                <wp:positionH relativeFrom="page">
                  <wp:posOffset>6473812</wp:posOffset>
                </wp:positionH>
                <wp:positionV relativeFrom="page">
                  <wp:posOffset>1667960</wp:posOffset>
                </wp:positionV>
                <wp:extent cx="12700" cy="1270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52BAF7AC" id="Graphic 76" o:spid="_x0000_s1026" style="position:absolute;margin-left:509.75pt;margin-top:131.35pt;width:1pt;height:1pt;z-index:-21931520;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15759872" behindDoc="0" locked="0" layoutInCell="1" allowOverlap="1" wp14:anchorId="7EFE5E4C" wp14:editId="7E82AEFD">
                <wp:simplePos x="0" y="0"/>
                <wp:positionH relativeFrom="page">
                  <wp:posOffset>2124351</wp:posOffset>
                </wp:positionH>
                <wp:positionV relativeFrom="page">
                  <wp:posOffset>2169661</wp:posOffset>
                </wp:positionV>
                <wp:extent cx="12700" cy="1270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441147A9" id="Graphic 77" o:spid="_x0000_s1026" style="position:absolute;margin-left:167.25pt;margin-top:170.85pt;width:1pt;height:1pt;z-index:15759872;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15760384" behindDoc="0" locked="0" layoutInCell="1" allowOverlap="1" wp14:anchorId="331196BE" wp14:editId="76800E5A">
                <wp:simplePos x="0" y="0"/>
                <wp:positionH relativeFrom="page">
                  <wp:posOffset>6493418</wp:posOffset>
                </wp:positionH>
                <wp:positionV relativeFrom="page">
                  <wp:posOffset>2169661</wp:posOffset>
                </wp:positionV>
                <wp:extent cx="12700" cy="1270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473060D9" id="Graphic 78" o:spid="_x0000_s1026" style="position:absolute;margin-left:511.3pt;margin-top:170.85pt;width:1pt;height:1pt;z-index:15760384;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" path="m,6350l1859,1859,6349,r4491,1859l12699,6350r-1859,4490l6349,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86496" behindDoc="1" locked="0" layoutInCell="1" allowOverlap="1" wp14:anchorId="1ABE3664" wp14:editId="766471F8">
                <wp:simplePos x="0" y="0"/>
                <wp:positionH relativeFrom="page">
                  <wp:posOffset>4297345</wp:posOffset>
                </wp:positionH>
                <wp:positionV relativeFrom="page">
                  <wp:posOffset>2599361</wp:posOffset>
                </wp:positionV>
                <wp:extent cx="12700" cy="1270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51CB652A" id="Graphic 79" o:spid="_x0000_s1026" style="position:absolute;margin-left:338.35pt;margin-top:204.65pt;width:1pt;height:1pt;z-index:-21929984;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87008" behindDoc="1" locked="0" layoutInCell="1" allowOverlap="1" wp14:anchorId="47A426EC" wp14:editId="067520E5">
                <wp:simplePos x="0" y="0"/>
                <wp:positionH relativeFrom="page">
                  <wp:posOffset>6473821</wp:posOffset>
                </wp:positionH>
                <wp:positionV relativeFrom="page">
                  <wp:posOffset>2599361</wp:posOffset>
                </wp:positionV>
                <wp:extent cx="12700" cy="1270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29E5AF99" id="Graphic 80" o:spid="_x0000_s1026" style="position:absolute;margin-left:509.75pt;margin-top:204.65pt;width:1pt;height:1pt;z-index:-21929472;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87520" behindDoc="1" locked="0" layoutInCell="1" allowOverlap="1" wp14:anchorId="6CD4F4AD" wp14:editId="567BB6F3">
                <wp:simplePos x="0" y="0"/>
                <wp:positionH relativeFrom="page">
                  <wp:posOffset>2498929</wp:posOffset>
                </wp:positionH>
                <wp:positionV relativeFrom="page">
                  <wp:posOffset>2832210</wp:posOffset>
                </wp:positionV>
                <wp:extent cx="12700" cy="1270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568BC475" id="Graphic 81" o:spid="_x0000_s1026" style="position:absolute;margin-left:196.75pt;margin-top:223pt;width:1pt;height:1pt;z-index:-21928960;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88032" behindDoc="1" locked="0" layoutInCell="1" allowOverlap="1" wp14:anchorId="758D7EEB" wp14:editId="6326663C">
                <wp:simplePos x="0" y="0"/>
                <wp:positionH relativeFrom="page">
                  <wp:posOffset>6473813</wp:posOffset>
                </wp:positionH>
                <wp:positionV relativeFrom="page">
                  <wp:posOffset>2832210</wp:posOffset>
                </wp:positionV>
                <wp:extent cx="12700" cy="1270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458B8B04" id="Graphic 82" o:spid="_x0000_s1026" style="position:absolute;margin-left:509.75pt;margin-top:223pt;width:1pt;height:1pt;z-index:-21928448;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88544" behindDoc="1" locked="0" layoutInCell="1" allowOverlap="1" wp14:anchorId="64260DCE" wp14:editId="532D0375">
                <wp:simplePos x="0" y="0"/>
                <wp:positionH relativeFrom="page">
                  <wp:posOffset>2688681</wp:posOffset>
                </wp:positionH>
                <wp:positionV relativeFrom="page">
                  <wp:posOffset>3065061</wp:posOffset>
                </wp:positionV>
                <wp:extent cx="12700" cy="1270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0C49562A" id="Graphic 83" o:spid="_x0000_s1026" style="position:absolute;margin-left:211.7pt;margin-top:241.35pt;width:1pt;height:1pt;z-index:-21927936;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89056" behindDoc="1" locked="0" layoutInCell="1" allowOverlap="1" wp14:anchorId="66FF46EB" wp14:editId="00EA7C6B">
                <wp:simplePos x="0" y="0"/>
                <wp:positionH relativeFrom="page">
                  <wp:posOffset>6473814</wp:posOffset>
                </wp:positionH>
                <wp:positionV relativeFrom="page">
                  <wp:posOffset>3065061</wp:posOffset>
                </wp:positionV>
                <wp:extent cx="12700" cy="1270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72E76B37" id="Graphic 84" o:spid="_x0000_s1026" style="position:absolute;margin-left:509.75pt;margin-top:241.35pt;width:1pt;height:1pt;z-index:-21927424;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89568" behindDoc="1" locked="0" layoutInCell="1" allowOverlap="1" wp14:anchorId="308E455D" wp14:editId="3EB3D157">
                <wp:simplePos x="0" y="0"/>
                <wp:positionH relativeFrom="page">
                  <wp:posOffset>3317110</wp:posOffset>
                </wp:positionH>
                <wp:positionV relativeFrom="page">
                  <wp:posOffset>3494760</wp:posOffset>
                </wp:positionV>
                <wp:extent cx="12700" cy="1270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6AD646DB" id="Graphic 85" o:spid="_x0000_s1026" style="position:absolute;margin-left:261.2pt;margin-top:275.2pt;width:1pt;height:1pt;z-index:-21926912;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0080" behindDoc="1" locked="0" layoutInCell="1" allowOverlap="1" wp14:anchorId="0F5E34B1" wp14:editId="1372C07D">
                <wp:simplePos x="0" y="0"/>
                <wp:positionH relativeFrom="page">
                  <wp:posOffset>6473809</wp:posOffset>
                </wp:positionH>
                <wp:positionV relativeFrom="page">
                  <wp:posOffset>3494760</wp:posOffset>
                </wp:positionV>
                <wp:extent cx="12700" cy="1270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5BF047E4" id="Graphic 86" o:spid="_x0000_s1026" style="position:absolute;margin-left:509.75pt;margin-top:275.2pt;width:1pt;height:1pt;z-index:-21926400;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0592" behindDoc="1" locked="0" layoutInCell="1" allowOverlap="1" wp14:anchorId="343E0CD6" wp14:editId="344F3E19">
                <wp:simplePos x="0" y="0"/>
                <wp:positionH relativeFrom="page">
                  <wp:posOffset>3964279</wp:posOffset>
                </wp:positionH>
                <wp:positionV relativeFrom="page">
                  <wp:posOffset>3727611</wp:posOffset>
                </wp:positionV>
                <wp:extent cx="12700" cy="1270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5540F2AC" id="Graphic 87" o:spid="_x0000_s1026" style="position:absolute;margin-left:312.15pt;margin-top:293.5pt;width:1pt;height:1pt;z-index:-21925888;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1104" behindDoc="1" locked="0" layoutInCell="1" allowOverlap="1" wp14:anchorId="6C3A98B0" wp14:editId="5F0E11E2">
                <wp:simplePos x="0" y="0"/>
                <wp:positionH relativeFrom="page">
                  <wp:posOffset>6396875</wp:posOffset>
                </wp:positionH>
                <wp:positionV relativeFrom="page">
                  <wp:posOffset>3727611</wp:posOffset>
                </wp:positionV>
                <wp:extent cx="12700" cy="1270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7CB572D3" id="Graphic 88" o:spid="_x0000_s1026" style="position:absolute;margin-left:503.7pt;margin-top:293.5pt;width:1pt;height:1pt;z-index:-21925376;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1616" behindDoc="1" locked="0" layoutInCell="1" allowOverlap="1" wp14:anchorId="7235ED24" wp14:editId="39D0EBE9">
                <wp:simplePos x="0" y="0"/>
                <wp:positionH relativeFrom="page">
                  <wp:posOffset>1995431</wp:posOffset>
                </wp:positionH>
                <wp:positionV relativeFrom="page">
                  <wp:posOffset>3960460</wp:posOffset>
                </wp:positionV>
                <wp:extent cx="12700" cy="1270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1401DD91" id="Graphic 89" o:spid="_x0000_s1026" style="position:absolute;margin-left:157.1pt;margin-top:311.85pt;width:1pt;height:1pt;z-index:-21924864;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2128" behindDoc="1" locked="0" layoutInCell="1" allowOverlap="1" wp14:anchorId="76AAB4CD" wp14:editId="1EF71733">
                <wp:simplePos x="0" y="0"/>
                <wp:positionH relativeFrom="page">
                  <wp:posOffset>6416466</wp:posOffset>
                </wp:positionH>
                <wp:positionV relativeFrom="page">
                  <wp:posOffset>3960460</wp:posOffset>
                </wp:positionV>
                <wp:extent cx="12700" cy="1270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7CF0A23C" id="Graphic 90" o:spid="_x0000_s1026" style="position:absolute;margin-left:505.25pt;margin-top:311.85pt;width:1pt;height:1pt;z-index:-21924352;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" path="m,6350l1859,1859,6349,r4491,1859l12699,6350r-1859,4490l6349,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2640" behindDoc="1" locked="0" layoutInCell="1" allowOverlap="1" wp14:anchorId="73C8A73F" wp14:editId="0841B2EF">
                <wp:simplePos x="0" y="0"/>
                <wp:positionH relativeFrom="page">
                  <wp:posOffset>4501936</wp:posOffset>
                </wp:positionH>
                <wp:positionV relativeFrom="page">
                  <wp:posOffset>4301311</wp:posOffset>
                </wp:positionV>
                <wp:extent cx="12700" cy="1270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558E6ABF" id="Graphic 91" o:spid="_x0000_s1026" style="position:absolute;margin-left:354.5pt;margin-top:338.7pt;width:1pt;height:1pt;z-index:-21923840;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" path="m,6350l1859,1859,6350,r4490,1859l12700,6350r-1860,4490l6350,12700,1859,10840,,6350xe" fillcolor="#8bb98c"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3152" behindDoc="1" locked="0" layoutInCell="1" allowOverlap="1" wp14:anchorId="6C5A8A19" wp14:editId="5B7A1F2A">
                <wp:simplePos x="0" y="0"/>
                <wp:positionH relativeFrom="page">
                  <wp:posOffset>6374818</wp:posOffset>
                </wp:positionH>
                <wp:positionV relativeFrom="page">
                  <wp:posOffset>4301311</wp:posOffset>
                </wp:positionV>
                <wp:extent cx="12700" cy="1270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75926302" id="Graphic 92" o:spid="_x0000_s1026" style="position:absolute;margin-left:501.95pt;margin-top:338.7pt;width:1pt;height:1pt;z-index:-21923328;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" path="m,6350l1859,1859,6350,r4490,1859l12700,6350r-1860,4490l6350,12700,1859,10840,,6350xe" fillcolor="#8bb98c"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3664" behindDoc="1" locked="0" layoutInCell="1" allowOverlap="1" wp14:anchorId="49802D4E" wp14:editId="770A6BC4">
                <wp:simplePos x="0" y="0"/>
                <wp:positionH relativeFrom="page">
                  <wp:posOffset>2219961</wp:posOffset>
                </wp:positionH>
                <wp:positionV relativeFrom="page">
                  <wp:posOffset>4803010</wp:posOffset>
                </wp:positionV>
                <wp:extent cx="12700" cy="1270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0E0A8470" id="Graphic 93" o:spid="_x0000_s1026" style="position:absolute;margin-left:174.8pt;margin-top:378.2pt;width:1pt;height:1pt;z-index:-21922816;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4176" behindDoc="1" locked="0" layoutInCell="1" allowOverlap="1" wp14:anchorId="03B48BBC" wp14:editId="65D5326A">
                <wp:simplePos x="0" y="0"/>
                <wp:positionH relativeFrom="page">
                  <wp:posOffset>6416473</wp:posOffset>
                </wp:positionH>
                <wp:positionV relativeFrom="page">
                  <wp:posOffset>4803010</wp:posOffset>
                </wp:positionV>
                <wp:extent cx="12700" cy="1270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30FCFD00" id="Graphic 94" o:spid="_x0000_s1026" style="position:absolute;margin-left:505.25pt;margin-top:378.2pt;width:1pt;height:1pt;z-index:-21922304;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4688" behindDoc="1" locked="0" layoutInCell="1" allowOverlap="1" wp14:anchorId="7457EE43" wp14:editId="3EFC0238">
                <wp:simplePos x="0" y="0"/>
                <wp:positionH relativeFrom="page">
                  <wp:posOffset>6214694</wp:posOffset>
                </wp:positionH>
                <wp:positionV relativeFrom="page">
                  <wp:posOffset>5268710</wp:posOffset>
                </wp:positionV>
                <wp:extent cx="12700" cy="1270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001BC4FE" id="Graphic 95" o:spid="_x0000_s1026" style="position:absolute;margin-left:489.35pt;margin-top:414.85pt;width:1pt;height:1pt;z-index:-21921792;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5200" behindDoc="1" locked="0" layoutInCell="1" allowOverlap="1" wp14:anchorId="2F807713" wp14:editId="64EE05E5">
                <wp:simplePos x="0" y="0"/>
                <wp:positionH relativeFrom="page">
                  <wp:posOffset>6416471</wp:posOffset>
                </wp:positionH>
                <wp:positionV relativeFrom="page">
                  <wp:posOffset>5268710</wp:posOffset>
                </wp:positionV>
                <wp:extent cx="12700" cy="1270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661196DA" id="Graphic 96" o:spid="_x0000_s1026" style="position:absolute;margin-left:505.25pt;margin-top:414.85pt;width:1pt;height:1pt;z-index:-21921280;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5712" behindDoc="1" locked="0" layoutInCell="1" allowOverlap="1" wp14:anchorId="3026ED86" wp14:editId="1A64FD15">
                <wp:simplePos x="0" y="0"/>
                <wp:positionH relativeFrom="page">
                  <wp:posOffset>1995431</wp:posOffset>
                </wp:positionH>
                <wp:positionV relativeFrom="page">
                  <wp:posOffset>5501560</wp:posOffset>
                </wp:positionV>
                <wp:extent cx="12700" cy="1270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28E03133" id="Graphic 97" o:spid="_x0000_s1026" style="position:absolute;margin-left:157.1pt;margin-top:433.2pt;width:1pt;height:1pt;z-index:-21920768;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" path="m,6350l1859,1859,6350,r4490,1859l12700,6350r-1860,4490l6350,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6224" behindDoc="1" locked="0" layoutInCell="1" allowOverlap="1" wp14:anchorId="38DA40A5" wp14:editId="2F4DCEC5">
                <wp:simplePos x="0" y="0"/>
                <wp:positionH relativeFrom="page">
                  <wp:posOffset>6416466</wp:posOffset>
                </wp:positionH>
                <wp:positionV relativeFrom="page">
                  <wp:posOffset>5501560</wp:posOffset>
                </wp:positionV>
                <wp:extent cx="12700" cy="1270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8A8C8E"/>
                        </a:solidFill>
                      </wps:spPr>
                      <wps:bodyPr wrap="square" lIns="0" tIns="0" rIns="0" bIns="0" rtlCol="0">
                        <a:prstTxWarp prst="textNoShape">
                          <a:avLst/>
                        </a:prstTxWarp>
                        <a:noAutofit/>
                      </wps:bodyPr>
                    </wps:wsp>
                  </a:graphicData>
                </a:graphic>
              </wp:anchor>
            </w:drawing>
          </mc:Choice>
          <mc:Fallback>
            <w:pict>
              <v:shape w14:anchorId="1B19AE25" id="Graphic 98" o:spid="_x0000_s1026" style="position:absolute;margin-left:505.25pt;margin-top:433.2pt;width:1pt;height:1pt;z-index:-21920256;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" path="m,6350l1859,1859,6349,r4491,1859l12699,6350r-1859,4490l6349,12700,1859,10840,,6350xe" fillcolor="#8a8c8e"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6736" behindDoc="1" locked="0" layoutInCell="1" allowOverlap="1" wp14:anchorId="0CC4596C" wp14:editId="570221A0">
                <wp:simplePos x="0" y="0"/>
                <wp:positionH relativeFrom="page">
                  <wp:posOffset>3968696</wp:posOffset>
                </wp:positionH>
                <wp:positionV relativeFrom="page">
                  <wp:posOffset>5842410</wp:posOffset>
                </wp:positionV>
                <wp:extent cx="12700" cy="1270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3150E060" id="Graphic 99" o:spid="_x0000_s1026" style="position:absolute;margin-left:312.5pt;margin-top:460.05pt;width:1pt;height:1pt;z-index:-21919744;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" path="m,6350l1859,1859,6350,r4490,1859l12700,6350r-1860,4490l6350,12700,1859,10840,,6350xe" fillcolor="#8bb98c"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7248" behindDoc="1" locked="0" layoutInCell="1" allowOverlap="1" wp14:anchorId="22BA7FA7" wp14:editId="07D0CA99">
                <wp:simplePos x="0" y="0"/>
                <wp:positionH relativeFrom="page">
                  <wp:posOffset>6374813</wp:posOffset>
                </wp:positionH>
                <wp:positionV relativeFrom="page">
                  <wp:posOffset>5842410</wp:posOffset>
                </wp:positionV>
                <wp:extent cx="12700" cy="1270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221D56DD" id="Graphic 100" o:spid="_x0000_s1026" style="position:absolute;margin-left:501.95pt;margin-top:460.05pt;width:1pt;height:1pt;z-index:-21919232;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" path="m,6350l1859,1859,6349,r4491,1859l12699,6350r-1859,4490l6349,12700,1859,10840,,6350xe" fillcolor="#8bb98c"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7760" behindDoc="1" locked="0" layoutInCell="1" allowOverlap="1" wp14:anchorId="4717E02A" wp14:editId="6FF91064">
                <wp:simplePos x="0" y="0"/>
                <wp:positionH relativeFrom="page">
                  <wp:posOffset>4093058</wp:posOffset>
                </wp:positionH>
                <wp:positionV relativeFrom="page">
                  <wp:posOffset>6344111</wp:posOffset>
                </wp:positionV>
                <wp:extent cx="12700" cy="1270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296B0400" id="Graphic 101" o:spid="_x0000_s1026" style="position:absolute;margin-left:322.3pt;margin-top:499.55pt;width:1pt;height:1pt;z-index:-21918720;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" path="m,6350l1859,1859,6350,r4490,1859l12700,6350r-1860,4490l6350,12700,1859,10840,,6350xe" fillcolor="#8bb98c"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8272" behindDoc="1" locked="0" layoutInCell="1" allowOverlap="1" wp14:anchorId="5AE6DEA6" wp14:editId="40F6D11A">
                <wp:simplePos x="0" y="0"/>
                <wp:positionH relativeFrom="page">
                  <wp:posOffset>6374817</wp:posOffset>
                </wp:positionH>
                <wp:positionV relativeFrom="page">
                  <wp:posOffset>6344111</wp:posOffset>
                </wp:positionV>
                <wp:extent cx="12700" cy="1270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252E9757" id="Graphic 102" o:spid="_x0000_s1026" style="position:absolute;margin-left:501.95pt;margin-top:499.55pt;width:1pt;height:1pt;z-index:-21918208;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" path="m,6350l1859,1859,6350,r4490,1859l12700,6350r-1860,4490l6350,12700,1859,10840,,6350xe" fillcolor="#8bb98c"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8784" behindDoc="1" locked="0" layoutInCell="1" allowOverlap="1" wp14:anchorId="06EEA1B3" wp14:editId="57C0A730">
                <wp:simplePos x="0" y="0"/>
                <wp:positionH relativeFrom="page">
                  <wp:posOffset>4488987</wp:posOffset>
                </wp:positionH>
                <wp:positionV relativeFrom="page">
                  <wp:posOffset>6648960</wp:posOffset>
                </wp:positionV>
                <wp:extent cx="12700" cy="1270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49"/>
                              </a:moveTo>
                              <a:lnTo>
                                <a:pt x="1859" y="1859"/>
                              </a:lnTo>
                              <a:lnTo>
                                <a:pt x="6350" y="0"/>
                              </a:lnTo>
                              <a:lnTo>
                                <a:pt x="10840" y="1859"/>
                              </a:lnTo>
                              <a:lnTo>
                                <a:pt x="12700" y="6349"/>
                              </a:lnTo>
                              <a:lnTo>
                                <a:pt x="10840" y="10840"/>
                              </a:lnTo>
                              <a:lnTo>
                                <a:pt x="6350" y="12699"/>
                              </a:lnTo>
                              <a:lnTo>
                                <a:pt x="1859" y="10840"/>
                              </a:lnTo>
                              <a:lnTo>
                                <a:pt x="0" y="6349"/>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6D3A7E3A" id="Graphic 103" o:spid="_x0000_s1026" style="position:absolute;margin-left:353.45pt;margin-top:523.55pt;width:1pt;height:1pt;z-index:-21917696;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" path="m,6349l1859,1859,6350,r4490,1859l12700,6349r-1860,4491l6350,12699,1859,10840,,6349xe" fillcolor="#8bb98c"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9296" behindDoc="1" locked="0" layoutInCell="1" allowOverlap="1" wp14:anchorId="14D56F50" wp14:editId="14DAC6FD">
                <wp:simplePos x="0" y="0"/>
                <wp:positionH relativeFrom="page">
                  <wp:posOffset>6374810</wp:posOffset>
                </wp:positionH>
                <wp:positionV relativeFrom="page">
                  <wp:posOffset>6648960</wp:posOffset>
                </wp:positionV>
                <wp:extent cx="12700" cy="1270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49"/>
                              </a:moveTo>
                              <a:lnTo>
                                <a:pt x="1859" y="1859"/>
                              </a:lnTo>
                              <a:lnTo>
                                <a:pt x="6350" y="0"/>
                              </a:lnTo>
                              <a:lnTo>
                                <a:pt x="10840" y="1859"/>
                              </a:lnTo>
                              <a:lnTo>
                                <a:pt x="12700" y="6349"/>
                              </a:lnTo>
                              <a:lnTo>
                                <a:pt x="10840" y="10840"/>
                              </a:lnTo>
                              <a:lnTo>
                                <a:pt x="6350" y="12699"/>
                              </a:lnTo>
                              <a:lnTo>
                                <a:pt x="1859" y="10840"/>
                              </a:lnTo>
                              <a:lnTo>
                                <a:pt x="0" y="6349"/>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5D47F0F2" id="Graphic 104" o:spid="_x0000_s1026" style="position:absolute;margin-left:501.95pt;margin-top:523.55pt;width:1pt;height:1pt;z-index:-21917184;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" path="m,6349l1859,1859,6350,r4490,1859l12700,6349r-1860,4491l6350,12699,1859,10840,,6349xe" fillcolor="#8bb98c"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399808" behindDoc="1" locked="0" layoutInCell="1" allowOverlap="1" wp14:anchorId="5DBD8B6C" wp14:editId="281096A0">
                <wp:simplePos x="0" y="0"/>
                <wp:positionH relativeFrom="page">
                  <wp:posOffset>1904612</wp:posOffset>
                </wp:positionH>
                <wp:positionV relativeFrom="page">
                  <wp:posOffset>6953810</wp:posOffset>
                </wp:positionV>
                <wp:extent cx="12700" cy="1270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158C262B" id="Graphic 105" o:spid="_x0000_s1026" style="position:absolute;margin-left:149.95pt;margin-top:547.55pt;width:1pt;height:1pt;z-index:-21916672;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" path="m,6350l1859,1859,6350,r4490,1859l12700,6350r-1860,4490l6350,12700,1859,10840,,6350xe" fillcolor="#8bb98c" stroked="f">
                <v:path arrowok="t"/>
                <w10:wrap anchorx="page" anchory="page"/>
              </v:shape>
            </w:pict>
          </mc:Fallback>
        </mc:AlternateContent>
      </w:r>
      <w:r w:rsidRPr="00C9292C">
        <w:rPr>
          <w:noProof/>
          <w:sz w:val="20"/>
          <w:szCs w:val="20"/>
          <w:lang w:val="uk-UA"/>
        </w:rPr>
        <mc:AlternateContent>
          <mc:Choice Requires="wps">
            <w:drawing>
              <wp:anchor distT="0" distB="0" distL="0" distR="0" simplePos="0" relativeHeight="481400320" behindDoc="1" locked="0" layoutInCell="1" allowOverlap="1" wp14:anchorId="0576AF25" wp14:editId="1F6F533D">
                <wp:simplePos x="0" y="0"/>
                <wp:positionH relativeFrom="page">
                  <wp:posOffset>6374809</wp:posOffset>
                </wp:positionH>
                <wp:positionV relativeFrom="page">
                  <wp:posOffset>6953810</wp:posOffset>
                </wp:positionV>
                <wp:extent cx="12700" cy="1270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8BB98C"/>
                        </a:solidFill>
                      </wps:spPr>
                      <wps:bodyPr wrap="square" lIns="0" tIns="0" rIns="0" bIns="0" rtlCol="0">
                        <a:prstTxWarp prst="textNoShape">
                          <a:avLst/>
                        </a:prstTxWarp>
                        <a:noAutofit/>
                      </wps:bodyPr>
                    </wps:wsp>
                  </a:graphicData>
                </a:graphic>
              </wp:anchor>
            </w:drawing>
          </mc:Choice>
          <mc:Fallback>
            <w:pict>
              <v:shape w14:anchorId="466153DC" id="Graphic 106" o:spid="_x0000_s1026" style="position:absolute;margin-left:501.95pt;margin-top:547.55pt;width:1pt;height:1pt;z-index:-21916160;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" path="m,6350l1859,1859,6350,r4490,1859l12700,6350r-1860,4490l6350,12700,1859,10840,,6350xe" fillcolor="#8bb98c" stroked="f">
                <v:path arrowok="t"/>
                <w10:wrap anchorx="page" anchory="page"/>
              </v:shape>
            </w:pict>
          </mc:Fallback>
        </mc:AlternateContent>
      </w:r>
      <w:hyperlink w:anchor="_bookmark24" w:history="1">
        <w:r w:rsidR="0044520C" w:rsidRPr="00C9292C">
          <w:rPr>
            <w:w w:val="105"/>
            <w:sz w:val="20"/>
            <w:szCs w:val="20"/>
            <w:lang w:val="uk-UA"/>
          </w:rPr>
          <w:t xml:space="preserve">Одночасне використання </w:t>
        </w:r>
        <w:r w:rsidR="00CF3922">
          <w:rPr>
            <w:w w:val="105"/>
            <w:sz w:val="20"/>
            <w:szCs w:val="20"/>
            <w:lang w:val="uk-UA"/>
          </w:rPr>
          <w:t xml:space="preserve">різних </w:t>
        </w:r>
        <w:r w:rsidR="0044520C" w:rsidRPr="00C9292C">
          <w:rPr>
            <w:w w:val="105"/>
            <w:sz w:val="20"/>
            <w:szCs w:val="20"/>
            <w:lang w:val="uk-UA"/>
          </w:rPr>
          <w:t>тестів у людей, які живуть з ВІЛ</w:t>
        </w:r>
        <w:r w:rsidR="00CF3922">
          <w:rPr>
            <w:sz w:val="20"/>
            <w:szCs w:val="20"/>
            <w:lang w:val="uk-UA"/>
          </w:rPr>
          <w:t>________________</w:t>
        </w:r>
        <w:r w:rsidRPr="00C9292C">
          <w:rPr>
            <w:spacing w:val="-5"/>
            <w:w w:val="105"/>
            <w:sz w:val="20"/>
            <w:szCs w:val="20"/>
            <w:lang w:val="uk-UA"/>
          </w:rPr>
          <w:t>50</w:t>
        </w:r>
      </w:hyperlink>
    </w:p>
    <w:p w14:paraId="37B87321" w14:textId="01380E7B" w:rsidR="00E05B98" w:rsidRPr="00C9292C" w:rsidRDefault="00445662" w:rsidP="004A2937">
      <w:pPr>
        <w:pStyle w:val="a4"/>
        <w:numPr>
          <w:ilvl w:val="2"/>
          <w:numId w:val="34"/>
        </w:numPr>
        <w:tabs>
          <w:tab w:val="left" w:pos="1758"/>
        </w:tabs>
        <w:spacing w:before="129"/>
        <w:ind w:left="1758" w:hanging="511"/>
        <w:jc w:val="left"/>
        <w:rPr>
          <w:sz w:val="20"/>
          <w:szCs w:val="20"/>
          <w:lang w:val="uk-UA"/>
        </w:rPr>
      </w:pPr>
      <w:r w:rsidRPr="00C9292C">
        <w:rPr>
          <w:sz w:val="20"/>
          <w:szCs w:val="20"/>
          <w:lang w:val="uk-UA"/>
        </w:rPr>
        <w:t xml:space="preserve">Одночасне використання </w:t>
      </w:r>
      <w:r w:rsidR="00CF3922">
        <w:rPr>
          <w:sz w:val="20"/>
          <w:szCs w:val="20"/>
          <w:lang w:val="uk-UA"/>
        </w:rPr>
        <w:t xml:space="preserve">різних </w:t>
      </w:r>
      <w:r w:rsidRPr="00C9292C">
        <w:rPr>
          <w:sz w:val="20"/>
          <w:szCs w:val="20"/>
          <w:lang w:val="uk-UA"/>
        </w:rPr>
        <w:t>тестів у дітей без ВІЛ або з невідомим                                                                ВІЛ-статусом</w:t>
      </w:r>
      <w:r w:rsidR="00C9292C">
        <w:rPr>
          <w:sz w:val="20"/>
          <w:szCs w:val="20"/>
          <w:lang w:val="uk-UA"/>
        </w:rPr>
        <w:t xml:space="preserve"> </w:t>
      </w:r>
      <w:hyperlink w:anchor="_bookmark26" w:history="1">
        <w:r w:rsidRPr="00C9292C">
          <w:rPr>
            <w:sz w:val="20"/>
            <w:szCs w:val="20"/>
            <w:lang w:val="uk-UA"/>
          </w:rPr>
          <w:t>______________________________________________</w:t>
        </w:r>
        <w:r w:rsidR="00C9292C">
          <w:rPr>
            <w:sz w:val="20"/>
            <w:szCs w:val="20"/>
            <w:lang w:val="uk-UA"/>
          </w:rPr>
          <w:t>___</w:t>
        </w:r>
        <w:r w:rsidRPr="00C9292C">
          <w:rPr>
            <w:sz w:val="20"/>
            <w:szCs w:val="20"/>
            <w:lang w:val="uk-UA"/>
          </w:rPr>
          <w:t>____</w:t>
        </w:r>
        <w:r w:rsidR="00CF3922">
          <w:rPr>
            <w:sz w:val="20"/>
            <w:szCs w:val="20"/>
            <w:lang w:val="uk-UA"/>
          </w:rPr>
          <w:t>________</w:t>
        </w:r>
        <w:r w:rsidRPr="00C9292C">
          <w:rPr>
            <w:sz w:val="20"/>
            <w:szCs w:val="20"/>
            <w:lang w:val="uk-UA"/>
          </w:rPr>
          <w:t xml:space="preserve"> </w:t>
        </w:r>
        <w:r w:rsidR="00B01E0C" w:rsidRPr="00C9292C">
          <w:rPr>
            <w:spacing w:val="-5"/>
            <w:w w:val="110"/>
            <w:sz w:val="20"/>
            <w:szCs w:val="20"/>
            <w:lang w:val="uk-UA"/>
          </w:rPr>
          <w:t>57</w:t>
        </w:r>
      </w:hyperlink>
    </w:p>
    <w:p w14:paraId="3A257FB9" w14:textId="2D642979" w:rsidR="00E05B98" w:rsidRPr="00C9292C" w:rsidRDefault="00445662" w:rsidP="004A2937">
      <w:pPr>
        <w:pStyle w:val="a4"/>
        <w:numPr>
          <w:ilvl w:val="2"/>
          <w:numId w:val="34"/>
        </w:numPr>
        <w:tabs>
          <w:tab w:val="left" w:pos="1758"/>
          <w:tab w:val="left" w:leader="underscore" w:pos="9364"/>
        </w:tabs>
        <w:spacing w:before="129"/>
        <w:ind w:left="1758" w:hanging="511"/>
        <w:rPr>
          <w:sz w:val="20"/>
          <w:szCs w:val="20"/>
          <w:lang w:val="uk-UA"/>
        </w:rPr>
      </w:pPr>
      <w:hyperlink w:anchor="_bookmark29" w:history="1">
        <w:r w:rsidRPr="00C9292C">
          <w:rPr>
            <w:w w:val="105"/>
            <w:sz w:val="20"/>
            <w:szCs w:val="20"/>
            <w:lang w:val="uk-UA"/>
          </w:rPr>
          <w:t xml:space="preserve">Одночасне використання </w:t>
        </w:r>
        <w:r w:rsidR="00CF3922">
          <w:rPr>
            <w:w w:val="105"/>
            <w:sz w:val="20"/>
            <w:szCs w:val="20"/>
            <w:lang w:val="uk-UA"/>
          </w:rPr>
          <w:t xml:space="preserve">різних </w:t>
        </w:r>
        <w:r w:rsidRPr="00C9292C">
          <w:rPr>
            <w:w w:val="105"/>
            <w:sz w:val="20"/>
            <w:szCs w:val="20"/>
            <w:lang w:val="uk-UA"/>
          </w:rPr>
          <w:t>тестів у дітей з ВІЛ</w:t>
        </w:r>
        <w:r w:rsidR="00CF3922">
          <w:rPr>
            <w:sz w:val="20"/>
            <w:szCs w:val="20"/>
            <w:lang w:val="uk-UA"/>
          </w:rPr>
          <w:t>___________________________</w:t>
        </w:r>
        <w:r w:rsidR="00B01E0C" w:rsidRPr="00C9292C">
          <w:rPr>
            <w:spacing w:val="-5"/>
            <w:w w:val="105"/>
            <w:sz w:val="20"/>
            <w:szCs w:val="20"/>
            <w:lang w:val="uk-UA"/>
          </w:rPr>
          <w:t>66</w:t>
        </w:r>
      </w:hyperlink>
    </w:p>
    <w:p w14:paraId="4BA1A1AA" w14:textId="3DD8F3D8" w:rsidR="00E05B98" w:rsidRPr="00C9292C" w:rsidRDefault="00445662" w:rsidP="004A2937">
      <w:pPr>
        <w:pStyle w:val="a4"/>
        <w:numPr>
          <w:ilvl w:val="1"/>
          <w:numId w:val="34"/>
        </w:numPr>
        <w:tabs>
          <w:tab w:val="left" w:pos="1240"/>
          <w:tab w:val="left" w:pos="1247"/>
          <w:tab w:val="left" w:leader="underscore" w:pos="9395"/>
        </w:tabs>
        <w:spacing w:before="242" w:line="312" w:lineRule="auto"/>
        <w:ind w:left="1247" w:right="140" w:hanging="397"/>
        <w:jc w:val="left"/>
        <w:rPr>
          <w:sz w:val="20"/>
          <w:szCs w:val="20"/>
          <w:lang w:val="uk-UA"/>
        </w:rPr>
      </w:pPr>
      <w:r w:rsidRPr="00C9292C">
        <w:rPr>
          <w:sz w:val="20"/>
          <w:szCs w:val="20"/>
          <w:lang w:val="uk-UA"/>
        </w:rPr>
        <w:t xml:space="preserve">Подальші діагностичні тести для виявлення додаткової медикаментозної                    </w:t>
      </w:r>
      <w:r w:rsidR="00B30329">
        <w:rPr>
          <w:sz w:val="20"/>
          <w:szCs w:val="20"/>
          <w:lang w:val="uk-UA"/>
        </w:rPr>
        <w:t xml:space="preserve">                  </w:t>
      </w:r>
      <w:r w:rsidRPr="00C9292C">
        <w:rPr>
          <w:sz w:val="20"/>
          <w:szCs w:val="20"/>
          <w:lang w:val="uk-UA"/>
        </w:rPr>
        <w:t>стійкості після підтвердження ТБ</w:t>
      </w:r>
      <w:r w:rsidR="00CF3922">
        <w:rPr>
          <w:sz w:val="20"/>
          <w:szCs w:val="20"/>
          <w:lang w:val="uk-UA"/>
        </w:rPr>
        <w:t>_________________________________________________</w:t>
      </w:r>
      <w:r w:rsidR="00B01E0C" w:rsidRPr="00C9292C">
        <w:rPr>
          <w:w w:val="105"/>
          <w:sz w:val="20"/>
          <w:szCs w:val="20"/>
          <w:lang w:val="uk-UA"/>
        </w:rPr>
        <w:t xml:space="preserve"> </w:t>
      </w:r>
      <w:hyperlink w:anchor="_bookmark30" w:history="1">
        <w:r w:rsidR="00B01E0C" w:rsidRPr="00C9292C">
          <w:rPr>
            <w:spacing w:val="-5"/>
            <w:w w:val="105"/>
            <w:sz w:val="20"/>
            <w:szCs w:val="20"/>
            <w:lang w:val="uk-UA"/>
          </w:rPr>
          <w:t>71</w:t>
        </w:r>
      </w:hyperlink>
    </w:p>
    <w:p w14:paraId="7F56D608" w14:textId="301E3DDA" w:rsidR="00E05B98" w:rsidRPr="00C9292C" w:rsidRDefault="00445662" w:rsidP="004A2937">
      <w:pPr>
        <w:pStyle w:val="a4"/>
        <w:numPr>
          <w:ilvl w:val="2"/>
          <w:numId w:val="34"/>
        </w:numPr>
        <w:tabs>
          <w:tab w:val="left" w:pos="1758"/>
          <w:tab w:val="left" w:leader="underscore" w:pos="9364"/>
        </w:tabs>
        <w:spacing w:before="72"/>
        <w:ind w:left="1814" w:right="142" w:hanging="511"/>
        <w:jc w:val="left"/>
        <w:rPr>
          <w:sz w:val="20"/>
          <w:szCs w:val="20"/>
          <w:lang w:val="uk-UA"/>
        </w:rPr>
      </w:pPr>
      <w:r w:rsidRPr="00C9292C">
        <w:rPr>
          <w:sz w:val="20"/>
          <w:szCs w:val="20"/>
          <w:lang w:val="uk-UA"/>
        </w:rPr>
        <w:t>Автоматизовані тести ампліфікації нуклеїнових кислот низької                                       складності для виявлення стійкості ТБ до ізоніазиду та                        протитуберкульозних препаратів другого ряду</w:t>
      </w:r>
      <w:hyperlink w:anchor="_bookmark30" w:history="1">
        <w:r w:rsidR="0046531B">
          <w:rPr>
            <w:sz w:val="20"/>
            <w:szCs w:val="20"/>
            <w:lang w:val="uk-UA"/>
          </w:rPr>
          <w:t>___</w:t>
        </w:r>
        <w:r w:rsidR="00043AEF">
          <w:rPr>
            <w:sz w:val="20"/>
            <w:szCs w:val="20"/>
            <w:lang w:val="uk-UA"/>
          </w:rPr>
          <w:t>_</w:t>
        </w:r>
        <w:r w:rsidR="0046531B">
          <w:rPr>
            <w:sz w:val="20"/>
            <w:szCs w:val="20"/>
            <w:lang w:val="uk-UA"/>
          </w:rPr>
          <w:t>_____________________</w:t>
        </w:r>
        <w:r w:rsidR="00043AEF">
          <w:rPr>
            <w:sz w:val="20"/>
            <w:szCs w:val="20"/>
            <w:lang w:val="uk-UA"/>
          </w:rPr>
          <w:t>_</w:t>
        </w:r>
        <w:r w:rsidR="0046531B">
          <w:rPr>
            <w:sz w:val="20"/>
            <w:szCs w:val="20"/>
            <w:lang w:val="uk-UA"/>
          </w:rPr>
          <w:t>_______</w:t>
        </w:r>
        <w:r w:rsidR="00B01E0C" w:rsidRPr="00C9292C">
          <w:rPr>
            <w:spacing w:val="-5"/>
            <w:sz w:val="20"/>
            <w:szCs w:val="20"/>
            <w:lang w:val="uk-UA"/>
          </w:rPr>
          <w:t>71</w:t>
        </w:r>
      </w:hyperlink>
    </w:p>
    <w:p w14:paraId="415DF2AF" w14:textId="6EFCC120" w:rsidR="00E05B98" w:rsidRPr="00770751" w:rsidRDefault="00770751" w:rsidP="004A2937">
      <w:pPr>
        <w:pStyle w:val="a4"/>
        <w:numPr>
          <w:ilvl w:val="2"/>
          <w:numId w:val="34"/>
        </w:numPr>
        <w:tabs>
          <w:tab w:val="left" w:pos="1758"/>
          <w:tab w:val="left" w:leader="underscore" w:pos="9364"/>
        </w:tabs>
        <w:spacing w:before="129"/>
        <w:ind w:left="1758" w:right="142" w:hanging="511"/>
        <w:rPr>
          <w:sz w:val="20"/>
          <w:szCs w:val="20"/>
          <w:lang w:val="uk-UA"/>
        </w:rPr>
      </w:pPr>
      <w:r w:rsidRPr="00770751">
        <w:rPr>
          <w:sz w:val="20"/>
          <w:szCs w:val="20"/>
        </w:rPr>
        <w:t>LPA</w:t>
      </w:r>
      <w:r w:rsidRPr="00770751">
        <w:rPr>
          <w:sz w:val="20"/>
          <w:szCs w:val="20"/>
          <w:lang w:val="uk-UA"/>
        </w:rPr>
        <w:t xml:space="preserve"> </w:t>
      </w:r>
      <w:hyperlink w:anchor="_bookmark33" w:history="1">
        <w:r w:rsidR="009A7D60" w:rsidRPr="00770751">
          <w:rPr>
            <w:sz w:val="20"/>
            <w:szCs w:val="20"/>
            <w:lang w:val="uk-UA"/>
          </w:rPr>
          <w:t xml:space="preserve"> </w:t>
        </w:r>
        <w:r w:rsidRPr="00770751">
          <w:rPr>
            <w:bCs/>
            <w:spacing w:val="-3"/>
            <w:w w:val="115"/>
            <w:sz w:val="20"/>
            <w:szCs w:val="20"/>
            <w:lang w:val="uk-UA"/>
          </w:rPr>
          <w:t>для лікарських засобів першого ряду</w:t>
        </w:r>
        <w:r>
          <w:rPr>
            <w:bCs/>
            <w:spacing w:val="-3"/>
            <w:w w:val="115"/>
            <w:sz w:val="20"/>
            <w:szCs w:val="20"/>
            <w:lang w:val="uk-UA"/>
          </w:rPr>
          <w:t xml:space="preserve"> </w:t>
        </w:r>
        <w:r w:rsidRPr="00770751">
          <w:rPr>
            <w:bCs/>
            <w:sz w:val="20"/>
            <w:szCs w:val="20"/>
            <w:lang w:val="uk-UA"/>
          </w:rPr>
          <w:t xml:space="preserve"> </w:t>
        </w:r>
        <w:r w:rsidR="0046531B" w:rsidRPr="00770751">
          <w:rPr>
            <w:sz w:val="20"/>
            <w:szCs w:val="20"/>
            <w:lang w:val="uk-UA"/>
          </w:rPr>
          <w:t>_______</w:t>
        </w:r>
        <w:r w:rsidR="00043AEF" w:rsidRPr="00770751">
          <w:rPr>
            <w:sz w:val="20"/>
            <w:szCs w:val="20"/>
            <w:lang w:val="uk-UA"/>
          </w:rPr>
          <w:t>_</w:t>
        </w:r>
        <w:r w:rsidR="0046531B" w:rsidRPr="00770751">
          <w:rPr>
            <w:sz w:val="20"/>
            <w:szCs w:val="20"/>
            <w:lang w:val="uk-UA"/>
          </w:rPr>
          <w:t>__</w:t>
        </w:r>
        <w:r w:rsidRPr="00770751">
          <w:rPr>
            <w:sz w:val="20"/>
            <w:szCs w:val="20"/>
            <w:lang w:val="ru-RU"/>
          </w:rPr>
          <w:t>_________________</w:t>
        </w:r>
        <w:r w:rsidR="0046531B" w:rsidRPr="00770751">
          <w:rPr>
            <w:sz w:val="20"/>
            <w:szCs w:val="20"/>
            <w:lang w:val="uk-UA"/>
          </w:rPr>
          <w:t>_____</w:t>
        </w:r>
        <w:r w:rsidR="00B01E0C" w:rsidRPr="00770751">
          <w:rPr>
            <w:spacing w:val="-5"/>
            <w:sz w:val="20"/>
            <w:szCs w:val="20"/>
            <w:lang w:val="uk-UA"/>
          </w:rPr>
          <w:t>83</w:t>
        </w:r>
      </w:hyperlink>
    </w:p>
    <w:p w14:paraId="4C33EE21" w14:textId="47BE6A31" w:rsidR="00E05B98" w:rsidRPr="00C9292C" w:rsidRDefault="00770751" w:rsidP="004A2937">
      <w:pPr>
        <w:pStyle w:val="a4"/>
        <w:numPr>
          <w:ilvl w:val="2"/>
          <w:numId w:val="34"/>
        </w:numPr>
        <w:tabs>
          <w:tab w:val="left" w:pos="1758"/>
          <w:tab w:val="left" w:leader="underscore" w:pos="9364"/>
        </w:tabs>
        <w:spacing w:before="129"/>
        <w:ind w:left="1758" w:right="142" w:hanging="511"/>
        <w:rPr>
          <w:sz w:val="20"/>
          <w:szCs w:val="20"/>
          <w:lang w:val="uk-UA"/>
        </w:rPr>
      </w:pPr>
      <w:hyperlink w:anchor="_bookmark35" w:history="1">
        <w:r>
          <w:t>LPA</w:t>
        </w:r>
        <w:r w:rsidRPr="00770751">
          <w:rPr>
            <w:lang w:val="ru-RU"/>
          </w:rPr>
          <w:t xml:space="preserve"> </w:t>
        </w:r>
        <w:r w:rsidR="00587A05" w:rsidRPr="00587A05">
          <w:rPr>
            <w:sz w:val="20"/>
            <w:szCs w:val="20"/>
            <w:lang w:val="uk-UA"/>
          </w:rPr>
          <w:t xml:space="preserve"> </w:t>
        </w:r>
        <w:r>
          <w:rPr>
            <w:sz w:val="20"/>
            <w:szCs w:val="20"/>
            <w:lang w:val="uk-UA"/>
          </w:rPr>
          <w:t>для лікарських</w:t>
        </w:r>
        <w:r w:rsidR="00587A05" w:rsidRPr="00587A05">
          <w:rPr>
            <w:sz w:val="20"/>
            <w:szCs w:val="20"/>
            <w:lang w:val="uk-UA"/>
          </w:rPr>
          <w:t xml:space="preserve"> засобів</w:t>
        </w:r>
        <w:r w:rsidR="00E34C4B" w:rsidRPr="00C9292C">
          <w:rPr>
            <w:sz w:val="20"/>
            <w:szCs w:val="20"/>
            <w:lang w:val="uk-UA"/>
          </w:rPr>
          <w:t xml:space="preserve"> </w:t>
        </w:r>
        <w:r w:rsidR="008A2EFE">
          <w:rPr>
            <w:sz w:val="20"/>
            <w:szCs w:val="20"/>
            <w:lang w:val="uk-UA"/>
          </w:rPr>
          <w:t>другого ряду</w:t>
        </w:r>
        <w:r>
          <w:rPr>
            <w:sz w:val="20"/>
            <w:szCs w:val="20"/>
            <w:lang w:val="uk-UA"/>
          </w:rPr>
          <w:t>_____________________</w:t>
        </w:r>
        <w:r w:rsidR="0046531B">
          <w:rPr>
            <w:sz w:val="20"/>
            <w:szCs w:val="20"/>
            <w:lang w:val="uk-UA"/>
          </w:rPr>
          <w:t>____</w:t>
        </w:r>
        <w:r w:rsidR="008A2EFE">
          <w:rPr>
            <w:sz w:val="20"/>
            <w:szCs w:val="20"/>
            <w:lang w:val="uk-UA"/>
          </w:rPr>
          <w:t>___</w:t>
        </w:r>
        <w:r w:rsidR="00043AEF">
          <w:rPr>
            <w:sz w:val="20"/>
            <w:szCs w:val="20"/>
            <w:lang w:val="uk-UA"/>
          </w:rPr>
          <w:t>_</w:t>
        </w:r>
        <w:r w:rsidR="008A2EFE">
          <w:rPr>
            <w:sz w:val="20"/>
            <w:szCs w:val="20"/>
            <w:lang w:val="uk-UA"/>
          </w:rPr>
          <w:t>________</w:t>
        </w:r>
        <w:r w:rsidR="00B01E0C" w:rsidRPr="00C9292C">
          <w:rPr>
            <w:spacing w:val="-5"/>
            <w:sz w:val="20"/>
            <w:szCs w:val="20"/>
            <w:lang w:val="uk-UA"/>
          </w:rPr>
          <w:t>87</w:t>
        </w:r>
      </w:hyperlink>
    </w:p>
    <w:p w14:paraId="7F43378F" w14:textId="00F2A8FA" w:rsidR="00E05B98" w:rsidRPr="00C9292C" w:rsidRDefault="00770751" w:rsidP="004A2937">
      <w:pPr>
        <w:pStyle w:val="a4"/>
        <w:numPr>
          <w:ilvl w:val="2"/>
          <w:numId w:val="34"/>
        </w:numPr>
        <w:tabs>
          <w:tab w:val="left" w:pos="1758"/>
        </w:tabs>
        <w:spacing w:before="129"/>
        <w:ind w:left="1758" w:right="142" w:hanging="511"/>
        <w:rPr>
          <w:sz w:val="20"/>
          <w:szCs w:val="20"/>
          <w:lang w:val="uk-UA"/>
        </w:rPr>
      </w:pPr>
      <w:r>
        <w:rPr>
          <w:lang w:val="uk-UA"/>
        </w:rPr>
        <w:t>ТАНК високої складності на основі гібридизації</w:t>
      </w:r>
      <w:hyperlink w:anchor="_bookmark36" w:history="1">
        <w:r>
          <w:rPr>
            <w:lang w:val="uk-UA"/>
          </w:rPr>
          <w:t xml:space="preserve"> для виявлення </w:t>
        </w:r>
      </w:hyperlink>
    </w:p>
    <w:p w14:paraId="50B76568" w14:textId="5BA94135" w:rsidR="00E05B98" w:rsidRPr="00C9292C" w:rsidRDefault="00770751" w:rsidP="00043AEF">
      <w:pPr>
        <w:tabs>
          <w:tab w:val="left" w:leader="underscore" w:pos="9364"/>
        </w:tabs>
        <w:spacing w:before="73"/>
        <w:ind w:left="1814" w:right="142"/>
        <w:rPr>
          <w:sz w:val="20"/>
          <w:szCs w:val="20"/>
          <w:lang w:val="uk-UA"/>
        </w:rPr>
      </w:pPr>
      <w:hyperlink w:anchor="_bookmark36" w:history="1">
        <w:proofErr w:type="spellStart"/>
        <w:r>
          <w:rPr>
            <w:w w:val="105"/>
            <w:sz w:val="20"/>
            <w:szCs w:val="20"/>
            <w:lang w:val="uk-UA"/>
          </w:rPr>
          <w:t>стіфкості</w:t>
        </w:r>
        <w:proofErr w:type="spellEnd"/>
        <w:r>
          <w:rPr>
            <w:w w:val="105"/>
            <w:sz w:val="20"/>
            <w:szCs w:val="20"/>
            <w:lang w:val="uk-UA"/>
          </w:rPr>
          <w:t xml:space="preserve"> до піразинаміду</w:t>
        </w:r>
        <w:r w:rsidR="0046531B">
          <w:rPr>
            <w:sz w:val="20"/>
            <w:szCs w:val="20"/>
            <w:lang w:val="uk-UA"/>
          </w:rPr>
          <w:t>__________________________________________</w:t>
        </w:r>
        <w:r w:rsidR="00043AEF">
          <w:rPr>
            <w:sz w:val="20"/>
            <w:szCs w:val="20"/>
            <w:lang w:val="uk-UA"/>
          </w:rPr>
          <w:t>_</w:t>
        </w:r>
        <w:r w:rsidR="0046531B">
          <w:rPr>
            <w:sz w:val="20"/>
            <w:szCs w:val="20"/>
            <w:lang w:val="uk-UA"/>
          </w:rPr>
          <w:t>______</w:t>
        </w:r>
        <w:r w:rsidR="00B01E0C" w:rsidRPr="00C9292C">
          <w:rPr>
            <w:spacing w:val="-5"/>
            <w:w w:val="105"/>
            <w:sz w:val="20"/>
            <w:szCs w:val="20"/>
            <w:lang w:val="uk-UA"/>
          </w:rPr>
          <w:t>92</w:t>
        </w:r>
      </w:hyperlink>
    </w:p>
    <w:p w14:paraId="26BA1562" w14:textId="5E746242" w:rsidR="00E05B98" w:rsidRPr="00CF3922" w:rsidRDefault="008A2EFE" w:rsidP="004A2937">
      <w:pPr>
        <w:pStyle w:val="a4"/>
        <w:numPr>
          <w:ilvl w:val="2"/>
          <w:numId w:val="34"/>
        </w:numPr>
        <w:tabs>
          <w:tab w:val="left" w:pos="1758"/>
          <w:tab w:val="left" w:leader="underscore" w:pos="9243"/>
        </w:tabs>
        <w:spacing w:before="129"/>
        <w:ind w:left="1758" w:right="142" w:hanging="511"/>
        <w:rPr>
          <w:sz w:val="20"/>
          <w:szCs w:val="20"/>
          <w:lang w:val="uk-UA"/>
        </w:rPr>
      </w:pPr>
      <w:r w:rsidRPr="00CF3922">
        <w:rPr>
          <w:sz w:val="20"/>
          <w:szCs w:val="20"/>
          <w:lang w:val="uk-UA"/>
        </w:rPr>
        <w:t>Таргетне</w:t>
      </w:r>
      <w:r w:rsidR="00587A05" w:rsidRPr="00CF3922">
        <w:rPr>
          <w:sz w:val="20"/>
          <w:szCs w:val="20"/>
          <w:lang w:val="uk-UA"/>
        </w:rPr>
        <w:t xml:space="preserve"> секвенування наступного покоління</w:t>
      </w:r>
      <w:hyperlink w:anchor="_bookmark37" w:history="1">
        <w:r w:rsidR="0046531B">
          <w:rPr>
            <w:sz w:val="20"/>
            <w:szCs w:val="20"/>
            <w:lang w:val="uk-UA"/>
          </w:rPr>
          <w:t>_</w:t>
        </w:r>
        <w:r w:rsidR="00043AEF">
          <w:rPr>
            <w:sz w:val="20"/>
            <w:szCs w:val="20"/>
            <w:lang w:val="uk-UA"/>
          </w:rPr>
          <w:t>_</w:t>
        </w:r>
        <w:r w:rsidR="0046531B">
          <w:rPr>
            <w:sz w:val="20"/>
            <w:szCs w:val="20"/>
            <w:lang w:val="uk-UA"/>
          </w:rPr>
          <w:t>_______________________________</w:t>
        </w:r>
        <w:r w:rsidR="00B01E0C" w:rsidRPr="00CF3922">
          <w:rPr>
            <w:spacing w:val="-5"/>
            <w:w w:val="105"/>
            <w:sz w:val="20"/>
            <w:szCs w:val="20"/>
            <w:lang w:val="uk-UA"/>
          </w:rPr>
          <w:t>100</w:t>
        </w:r>
      </w:hyperlink>
    </w:p>
    <w:p w14:paraId="4BD318D5" w14:textId="33263B22" w:rsidR="00E05B98" w:rsidRPr="003C6DAE" w:rsidRDefault="00C9292C" w:rsidP="004A2937">
      <w:pPr>
        <w:pStyle w:val="a4"/>
        <w:numPr>
          <w:ilvl w:val="1"/>
          <w:numId w:val="34"/>
        </w:numPr>
        <w:tabs>
          <w:tab w:val="left" w:pos="1240"/>
          <w:tab w:val="left" w:leader="underscore" w:pos="9274"/>
        </w:tabs>
        <w:spacing w:before="129"/>
        <w:ind w:left="1240" w:right="142" w:hanging="390"/>
        <w:rPr>
          <w:sz w:val="21"/>
          <w:lang w:val="uk-UA"/>
        </w:rPr>
      </w:pPr>
      <w:hyperlink w:anchor="_bookmark43" w:history="1">
        <w:r w:rsidRPr="00C9292C">
          <w:rPr>
            <w:spacing w:val="-2"/>
            <w:sz w:val="20"/>
            <w:szCs w:val="20"/>
            <w:lang w:val="uk-UA"/>
          </w:rPr>
          <w:t>Список літератури</w:t>
        </w:r>
        <w:r w:rsidR="0046531B">
          <w:rPr>
            <w:sz w:val="20"/>
            <w:szCs w:val="20"/>
            <w:lang w:val="uk-UA"/>
          </w:rPr>
          <w:t>______________________________</w:t>
        </w:r>
        <w:r w:rsidR="00043AEF">
          <w:rPr>
            <w:sz w:val="20"/>
            <w:szCs w:val="20"/>
            <w:lang w:val="uk-UA"/>
          </w:rPr>
          <w:t>_</w:t>
        </w:r>
        <w:r w:rsidR="0046531B">
          <w:rPr>
            <w:sz w:val="20"/>
            <w:szCs w:val="20"/>
            <w:lang w:val="uk-UA"/>
          </w:rPr>
          <w:t>______________________________</w:t>
        </w:r>
        <w:r w:rsidR="00B01E0C" w:rsidRPr="00C9292C">
          <w:rPr>
            <w:spacing w:val="-5"/>
            <w:sz w:val="20"/>
            <w:szCs w:val="20"/>
            <w:lang w:val="uk-UA"/>
          </w:rPr>
          <w:t>119</w:t>
        </w:r>
      </w:hyperlink>
    </w:p>
    <w:p w14:paraId="7C6C811C" w14:textId="5E99F004" w:rsidR="00E05B98" w:rsidRPr="00C9292C" w:rsidRDefault="00587A05" w:rsidP="004A2937">
      <w:pPr>
        <w:pStyle w:val="a4"/>
        <w:numPr>
          <w:ilvl w:val="0"/>
          <w:numId w:val="34"/>
        </w:numPr>
        <w:tabs>
          <w:tab w:val="left" w:pos="832"/>
          <w:tab w:val="left" w:leader="underscore" w:pos="9208"/>
        </w:tabs>
        <w:spacing w:before="267"/>
        <w:ind w:right="142" w:hanging="265"/>
        <w:rPr>
          <w:rFonts w:ascii="Arial"/>
          <w:b/>
          <w:lang w:val="uk-UA"/>
        </w:rPr>
      </w:pPr>
      <w:hyperlink w:anchor="_bookmark44" w:history="1">
        <w:r>
          <w:rPr>
            <w:rFonts w:ascii="Arial"/>
            <w:b/>
            <w:color w:val="019648"/>
            <w:spacing w:val="-2"/>
            <w:lang w:val="uk-UA"/>
          </w:rPr>
          <w:t>Рекомендації</w:t>
        </w:r>
        <w:r>
          <w:rPr>
            <w:rFonts w:ascii="Arial"/>
            <w:b/>
            <w:color w:val="019648"/>
            <w:spacing w:val="-2"/>
            <w:lang w:val="uk-UA"/>
          </w:rPr>
          <w:t xml:space="preserve"> </w:t>
        </w:r>
        <w:r>
          <w:rPr>
            <w:rFonts w:ascii="Arial"/>
            <w:b/>
            <w:color w:val="019648"/>
            <w:spacing w:val="-2"/>
            <w:lang w:val="uk-UA"/>
          </w:rPr>
          <w:t>щодо</w:t>
        </w:r>
        <w:r>
          <w:rPr>
            <w:rFonts w:ascii="Arial"/>
            <w:b/>
            <w:color w:val="019648"/>
            <w:spacing w:val="-2"/>
            <w:lang w:val="uk-UA"/>
          </w:rPr>
          <w:t xml:space="preserve"> </w:t>
        </w:r>
        <w:r>
          <w:rPr>
            <w:rFonts w:ascii="Arial"/>
            <w:b/>
            <w:color w:val="019648"/>
            <w:spacing w:val="-2"/>
            <w:lang w:val="uk-UA"/>
          </w:rPr>
          <w:t>діагностики</w:t>
        </w:r>
        <w:r>
          <w:rPr>
            <w:rFonts w:ascii="Arial"/>
            <w:b/>
            <w:color w:val="019648"/>
            <w:spacing w:val="-2"/>
            <w:lang w:val="uk-UA"/>
          </w:rPr>
          <w:t xml:space="preserve"> </w:t>
        </w:r>
        <w:r>
          <w:rPr>
            <w:rFonts w:ascii="Arial"/>
            <w:b/>
            <w:color w:val="019648"/>
            <w:spacing w:val="-2"/>
            <w:lang w:val="uk-UA"/>
          </w:rPr>
          <w:t>інфекції</w:t>
        </w:r>
        <w:r>
          <w:rPr>
            <w:rFonts w:ascii="Arial"/>
            <w:b/>
            <w:color w:val="019648"/>
            <w:spacing w:val="-2"/>
            <w:lang w:val="uk-UA"/>
          </w:rPr>
          <w:t xml:space="preserve"> </w:t>
        </w:r>
        <w:r>
          <w:rPr>
            <w:rFonts w:ascii="Arial"/>
            <w:b/>
            <w:color w:val="019648"/>
            <w:spacing w:val="-2"/>
            <w:lang w:val="uk-UA"/>
          </w:rPr>
          <w:t>ТБ</w:t>
        </w:r>
        <w:r w:rsidR="0046531B">
          <w:rPr>
            <w:rFonts w:ascii="Arial"/>
            <w:b/>
            <w:color w:val="019648"/>
            <w:spacing w:val="-2"/>
            <w:lang w:val="uk-UA"/>
          </w:rPr>
          <w:t>_________</w:t>
        </w:r>
        <w:r w:rsidR="00043AEF">
          <w:rPr>
            <w:rFonts w:ascii="Arial"/>
            <w:b/>
            <w:color w:val="019648"/>
            <w:spacing w:val="-2"/>
            <w:lang w:val="uk-UA"/>
          </w:rPr>
          <w:t>_</w:t>
        </w:r>
        <w:r w:rsidR="0046531B">
          <w:rPr>
            <w:rFonts w:ascii="Arial"/>
            <w:b/>
            <w:color w:val="019648"/>
            <w:spacing w:val="-2"/>
            <w:lang w:val="uk-UA"/>
          </w:rPr>
          <w:t>___________________________</w:t>
        </w:r>
        <w:r w:rsidR="00B01E0C" w:rsidRPr="00C9292C">
          <w:rPr>
            <w:rFonts w:ascii="Arial"/>
            <w:b/>
            <w:color w:val="019648"/>
            <w:spacing w:val="-5"/>
            <w:lang w:val="uk-UA"/>
          </w:rPr>
          <w:t>121</w:t>
        </w:r>
      </w:hyperlink>
    </w:p>
    <w:p w14:paraId="0A8AB84F" w14:textId="29E8B089" w:rsidR="00E05B98" w:rsidRPr="00CF3922" w:rsidRDefault="00587A05" w:rsidP="004A2937">
      <w:pPr>
        <w:pStyle w:val="a4"/>
        <w:numPr>
          <w:ilvl w:val="1"/>
          <w:numId w:val="34"/>
        </w:numPr>
        <w:tabs>
          <w:tab w:val="left" w:pos="1240"/>
          <w:tab w:val="left" w:leader="underscore" w:pos="9274"/>
        </w:tabs>
        <w:spacing w:before="72"/>
        <w:ind w:left="1247" w:right="142" w:hanging="390"/>
        <w:jc w:val="left"/>
        <w:rPr>
          <w:sz w:val="20"/>
          <w:szCs w:val="20"/>
          <w:lang w:val="uk-UA"/>
        </w:rPr>
      </w:pPr>
      <w:r w:rsidRPr="00CF3922">
        <w:rPr>
          <w:sz w:val="20"/>
          <w:szCs w:val="20"/>
          <w:lang w:val="uk-UA"/>
        </w:rPr>
        <w:t xml:space="preserve">Шкірні тести на основі антигену мікобактерії туберкульозу </w:t>
      </w:r>
      <w:hyperlink w:anchor="_bookmark44" w:history="1">
        <w:r w:rsidRPr="00CF3922">
          <w:rPr>
            <w:sz w:val="20"/>
            <w:szCs w:val="20"/>
            <w:lang w:val="uk-UA"/>
          </w:rPr>
          <w:t>для                                                                      діагностики інфекції ТБ</w:t>
        </w:r>
        <w:r w:rsidR="00CF3922">
          <w:rPr>
            <w:sz w:val="20"/>
            <w:szCs w:val="20"/>
            <w:lang w:val="uk-UA"/>
          </w:rPr>
          <w:t xml:space="preserve"> ________________</w:t>
        </w:r>
        <w:r w:rsidR="0046531B">
          <w:rPr>
            <w:sz w:val="20"/>
            <w:szCs w:val="20"/>
            <w:lang w:val="uk-UA"/>
          </w:rPr>
          <w:t>__</w:t>
        </w:r>
        <w:r w:rsidR="00CF3922">
          <w:rPr>
            <w:sz w:val="20"/>
            <w:szCs w:val="20"/>
            <w:lang w:val="uk-UA"/>
          </w:rPr>
          <w:t>_________</w:t>
        </w:r>
        <w:r w:rsidR="00043AEF">
          <w:rPr>
            <w:sz w:val="20"/>
            <w:szCs w:val="20"/>
            <w:lang w:val="uk-UA"/>
          </w:rPr>
          <w:t>_</w:t>
        </w:r>
        <w:r w:rsidR="00CF3922">
          <w:rPr>
            <w:sz w:val="20"/>
            <w:szCs w:val="20"/>
            <w:lang w:val="uk-UA"/>
          </w:rPr>
          <w:t>____________________________</w:t>
        </w:r>
        <w:r w:rsidR="00B01E0C" w:rsidRPr="00CF3922">
          <w:rPr>
            <w:spacing w:val="-5"/>
            <w:sz w:val="20"/>
            <w:szCs w:val="20"/>
            <w:lang w:val="uk-UA"/>
          </w:rPr>
          <w:t>121</w:t>
        </w:r>
      </w:hyperlink>
    </w:p>
    <w:p w14:paraId="06CD77FC" w14:textId="2747B7A0" w:rsidR="00E05B98" w:rsidRPr="00CF3922" w:rsidRDefault="00587A05" w:rsidP="004A2937">
      <w:pPr>
        <w:pStyle w:val="a4"/>
        <w:numPr>
          <w:ilvl w:val="1"/>
          <w:numId w:val="34"/>
        </w:numPr>
        <w:tabs>
          <w:tab w:val="left" w:pos="1240"/>
        </w:tabs>
        <w:spacing w:before="127"/>
        <w:ind w:left="1240" w:right="142" w:hanging="390"/>
        <w:jc w:val="left"/>
        <w:rPr>
          <w:position w:val="2"/>
          <w:sz w:val="20"/>
          <w:szCs w:val="20"/>
          <w:lang w:val="uk-UA"/>
        </w:rPr>
      </w:pPr>
      <w:r w:rsidRPr="00CF3922">
        <w:rPr>
          <w:sz w:val="20"/>
          <w:szCs w:val="20"/>
          <w:lang w:val="uk-UA"/>
        </w:rPr>
        <w:t>Туберкулінові шкірні проби та аналізи на вивільнення гамма-інтерферону                                    для діагностики інфекції ТБ</w:t>
      </w:r>
      <w:r w:rsidR="00CF3922">
        <w:rPr>
          <w:sz w:val="20"/>
          <w:szCs w:val="20"/>
          <w:lang w:val="uk-UA"/>
        </w:rPr>
        <w:t>_______</w:t>
      </w:r>
      <w:hyperlink w:anchor="_bookmark51" w:history="1">
        <w:r w:rsidRPr="00CF3922">
          <w:rPr>
            <w:sz w:val="20"/>
            <w:szCs w:val="20"/>
            <w:lang w:val="uk-UA"/>
          </w:rPr>
          <w:t>________</w:t>
        </w:r>
        <w:r w:rsidR="0046531B">
          <w:rPr>
            <w:sz w:val="20"/>
            <w:szCs w:val="20"/>
            <w:lang w:val="uk-UA"/>
          </w:rPr>
          <w:t>__</w:t>
        </w:r>
        <w:r w:rsidRPr="00CF3922">
          <w:rPr>
            <w:sz w:val="20"/>
            <w:szCs w:val="20"/>
            <w:lang w:val="uk-UA"/>
          </w:rPr>
          <w:t>________</w:t>
        </w:r>
        <w:r w:rsidR="00043AEF">
          <w:rPr>
            <w:sz w:val="20"/>
            <w:szCs w:val="20"/>
            <w:lang w:val="uk-UA"/>
          </w:rPr>
          <w:t>_</w:t>
        </w:r>
        <w:r w:rsidRPr="00CF3922">
          <w:rPr>
            <w:sz w:val="20"/>
            <w:szCs w:val="20"/>
            <w:lang w:val="uk-UA"/>
          </w:rPr>
          <w:t>______________________</w:t>
        </w:r>
        <w:r w:rsidR="00C9292C" w:rsidRPr="00CF3922">
          <w:rPr>
            <w:noProof/>
            <w:spacing w:val="-1"/>
            <w:sz w:val="20"/>
            <w:szCs w:val="20"/>
            <w:lang w:val="uk-UA"/>
          </w:rPr>
          <w:t>_____</w:t>
        </w:r>
        <w:r w:rsidR="00B01E0C" w:rsidRPr="00CF3922">
          <w:rPr>
            <w:spacing w:val="-5"/>
            <w:position w:val="2"/>
            <w:sz w:val="20"/>
            <w:szCs w:val="20"/>
            <w:lang w:val="uk-UA"/>
          </w:rPr>
          <w:t>139</w:t>
        </w:r>
      </w:hyperlink>
    </w:p>
    <w:p w14:paraId="1380A464" w14:textId="22B75FBF" w:rsidR="00E05B98" w:rsidRPr="00CF3922" w:rsidRDefault="00B01E0C" w:rsidP="00043AEF">
      <w:pPr>
        <w:spacing w:before="131"/>
        <w:ind w:left="1276" w:right="142" w:hanging="425"/>
        <w:rPr>
          <w:sz w:val="20"/>
          <w:szCs w:val="20"/>
          <w:lang w:val="uk-UA"/>
        </w:rPr>
      </w:pPr>
      <w:hyperlink w:anchor="_bookmark52" w:history="1">
        <w:r w:rsidRPr="00CF3922">
          <w:rPr>
            <w:sz w:val="20"/>
            <w:szCs w:val="20"/>
            <w:lang w:val="uk-UA"/>
          </w:rPr>
          <w:t>3</w:t>
        </w:r>
        <w:r w:rsidRPr="00CF3922">
          <w:rPr>
            <w:spacing w:val="-5"/>
            <w:sz w:val="20"/>
            <w:szCs w:val="20"/>
            <w:lang w:val="uk-UA"/>
          </w:rPr>
          <w:t xml:space="preserve"> </w:t>
        </w:r>
        <w:r w:rsidRPr="00CF3922">
          <w:rPr>
            <w:sz w:val="20"/>
            <w:szCs w:val="20"/>
            <w:lang w:val="uk-UA"/>
          </w:rPr>
          <w:t>3.</w:t>
        </w:r>
        <w:r w:rsidRPr="00CF3922">
          <w:rPr>
            <w:spacing w:val="-4"/>
            <w:sz w:val="20"/>
            <w:szCs w:val="20"/>
            <w:lang w:val="uk-UA"/>
          </w:rPr>
          <w:t xml:space="preserve"> </w:t>
        </w:r>
        <w:r w:rsidR="00587A05" w:rsidRPr="00CF3922">
          <w:rPr>
            <w:sz w:val="20"/>
            <w:szCs w:val="20"/>
            <w:lang w:val="uk-UA"/>
          </w:rPr>
          <w:t xml:space="preserve">Туберкулінові шкірні проби та аналізи на вивільнення гамма-інтерферону                       </w:t>
        </w:r>
        <w:r w:rsidR="00CF3922">
          <w:rPr>
            <w:sz w:val="20"/>
            <w:szCs w:val="20"/>
            <w:lang w:val="uk-UA"/>
          </w:rPr>
          <w:t xml:space="preserve">                           </w:t>
        </w:r>
        <w:r w:rsidR="00587A05" w:rsidRPr="00CF3922">
          <w:rPr>
            <w:sz w:val="20"/>
            <w:szCs w:val="20"/>
            <w:lang w:val="uk-UA"/>
          </w:rPr>
          <w:t>для діагностики захворювання на ТБ</w:t>
        </w:r>
        <w:r w:rsidR="0046531B">
          <w:rPr>
            <w:sz w:val="20"/>
            <w:szCs w:val="20"/>
            <w:lang w:val="uk-UA"/>
          </w:rPr>
          <w:t xml:space="preserve"> </w:t>
        </w:r>
        <w:r w:rsidR="00CF3922">
          <w:rPr>
            <w:sz w:val="20"/>
            <w:szCs w:val="20"/>
            <w:lang w:val="uk-UA"/>
          </w:rPr>
          <w:t>________</w:t>
        </w:r>
        <w:r w:rsidR="00587A05" w:rsidRPr="00CF3922">
          <w:rPr>
            <w:sz w:val="20"/>
            <w:szCs w:val="20"/>
            <w:lang w:val="uk-UA"/>
          </w:rPr>
          <w:t>_</w:t>
        </w:r>
        <w:r w:rsidR="0046531B">
          <w:rPr>
            <w:sz w:val="20"/>
            <w:szCs w:val="20"/>
            <w:lang w:val="uk-UA"/>
          </w:rPr>
          <w:t>_</w:t>
        </w:r>
        <w:r w:rsidR="00587A05" w:rsidRPr="00CF3922">
          <w:rPr>
            <w:sz w:val="20"/>
            <w:szCs w:val="20"/>
            <w:lang w:val="uk-UA"/>
          </w:rPr>
          <w:t>_______</w:t>
        </w:r>
        <w:r w:rsidR="00043AEF">
          <w:rPr>
            <w:sz w:val="20"/>
            <w:szCs w:val="20"/>
            <w:lang w:val="uk-UA"/>
          </w:rPr>
          <w:t>_</w:t>
        </w:r>
        <w:r w:rsidR="00587A05" w:rsidRPr="00CF3922">
          <w:rPr>
            <w:sz w:val="20"/>
            <w:szCs w:val="20"/>
            <w:lang w:val="uk-UA"/>
          </w:rPr>
          <w:t>__________________________</w:t>
        </w:r>
        <w:r w:rsidRPr="00CF3922">
          <w:rPr>
            <w:spacing w:val="-5"/>
            <w:sz w:val="20"/>
            <w:szCs w:val="20"/>
            <w:lang w:val="uk-UA"/>
          </w:rPr>
          <w:t>142</w:t>
        </w:r>
      </w:hyperlink>
    </w:p>
    <w:p w14:paraId="492F3963" w14:textId="216729B5" w:rsidR="00E05B98" w:rsidRPr="003C6DAE" w:rsidRDefault="00B01E0C" w:rsidP="00043AEF">
      <w:pPr>
        <w:tabs>
          <w:tab w:val="left" w:leader="underscore" w:pos="9274"/>
        </w:tabs>
        <w:spacing w:before="129"/>
        <w:ind w:left="850" w:right="142"/>
        <w:rPr>
          <w:sz w:val="21"/>
          <w:lang w:val="uk-UA"/>
        </w:rPr>
      </w:pPr>
      <w:hyperlink w:anchor="_bookmark53" w:history="1">
        <w:r w:rsidRPr="00CF3922">
          <w:rPr>
            <w:spacing w:val="-2"/>
            <w:sz w:val="20"/>
            <w:szCs w:val="20"/>
            <w:lang w:val="uk-UA"/>
          </w:rPr>
          <w:t>3.4.</w:t>
        </w:r>
        <w:r w:rsidRPr="00CF3922">
          <w:rPr>
            <w:spacing w:val="-10"/>
            <w:sz w:val="20"/>
            <w:szCs w:val="20"/>
            <w:lang w:val="uk-UA"/>
          </w:rPr>
          <w:t xml:space="preserve"> </w:t>
        </w:r>
        <w:r w:rsidR="00587A05" w:rsidRPr="00CF3922">
          <w:rPr>
            <w:spacing w:val="-2"/>
            <w:sz w:val="20"/>
            <w:szCs w:val="20"/>
            <w:lang w:val="uk-UA"/>
          </w:rPr>
          <w:t>С</w:t>
        </w:r>
        <w:r w:rsidR="00C9292C" w:rsidRPr="00CF3922">
          <w:rPr>
            <w:spacing w:val="-2"/>
            <w:sz w:val="20"/>
            <w:szCs w:val="20"/>
            <w:lang w:val="uk-UA"/>
          </w:rPr>
          <w:t>писок літератури</w:t>
        </w:r>
        <w:r w:rsidR="0046531B">
          <w:rPr>
            <w:spacing w:val="-2"/>
            <w:sz w:val="20"/>
            <w:szCs w:val="20"/>
            <w:lang w:val="uk-UA"/>
          </w:rPr>
          <w:t>_</w:t>
        </w:r>
        <w:r w:rsidR="00CF3922">
          <w:rPr>
            <w:sz w:val="20"/>
            <w:szCs w:val="20"/>
            <w:lang w:val="uk-UA"/>
          </w:rPr>
          <w:t>________________</w:t>
        </w:r>
        <w:r w:rsidR="0046531B">
          <w:rPr>
            <w:sz w:val="20"/>
            <w:szCs w:val="20"/>
            <w:lang w:val="uk-UA"/>
          </w:rPr>
          <w:t>_</w:t>
        </w:r>
        <w:r w:rsidR="00CF3922">
          <w:rPr>
            <w:sz w:val="20"/>
            <w:szCs w:val="20"/>
            <w:lang w:val="uk-UA"/>
          </w:rPr>
          <w:t>_________________</w:t>
        </w:r>
        <w:r w:rsidR="00043AEF">
          <w:rPr>
            <w:sz w:val="20"/>
            <w:szCs w:val="20"/>
            <w:lang w:val="uk-UA"/>
          </w:rPr>
          <w:t>_</w:t>
        </w:r>
        <w:r w:rsidR="00CF3922">
          <w:rPr>
            <w:sz w:val="20"/>
            <w:szCs w:val="20"/>
            <w:lang w:val="uk-UA"/>
          </w:rPr>
          <w:t>_________________________</w:t>
        </w:r>
        <w:r w:rsidRPr="00CF3922">
          <w:rPr>
            <w:spacing w:val="-5"/>
            <w:sz w:val="20"/>
            <w:szCs w:val="20"/>
            <w:lang w:val="uk-UA"/>
          </w:rPr>
          <w:t>147</w:t>
        </w:r>
      </w:hyperlink>
    </w:p>
    <w:p w14:paraId="33B9797C" w14:textId="1FED0F55" w:rsidR="00E05B98" w:rsidRPr="00C9292C" w:rsidRDefault="00284039" w:rsidP="00043AEF">
      <w:pPr>
        <w:tabs>
          <w:tab w:val="left" w:leader="underscore" w:pos="9208"/>
        </w:tabs>
        <w:spacing w:before="268"/>
        <w:ind w:left="567" w:right="142"/>
        <w:rPr>
          <w:b/>
          <w:lang w:val="uk-UA"/>
        </w:rPr>
      </w:pPr>
      <w:hyperlink w:anchor="_bookmark54" w:history="1">
        <w:r w:rsidRPr="00C9292C">
          <w:rPr>
            <w:b/>
            <w:color w:val="019648"/>
            <w:lang w:val="uk-UA"/>
          </w:rPr>
          <w:t>Додаток</w:t>
        </w:r>
        <w:r w:rsidR="00B01E0C" w:rsidRPr="00C9292C">
          <w:rPr>
            <w:b/>
            <w:color w:val="019648"/>
            <w:spacing w:val="6"/>
            <w:lang w:val="uk-UA"/>
          </w:rPr>
          <w:t xml:space="preserve"> </w:t>
        </w:r>
        <w:r w:rsidR="00B01E0C" w:rsidRPr="00C9292C">
          <w:rPr>
            <w:b/>
            <w:color w:val="019648"/>
            <w:lang w:val="uk-UA"/>
          </w:rPr>
          <w:t>1.</w:t>
        </w:r>
        <w:r w:rsidR="00B01E0C" w:rsidRPr="00C9292C">
          <w:rPr>
            <w:b/>
            <w:color w:val="019648"/>
            <w:spacing w:val="7"/>
            <w:lang w:val="uk-UA"/>
          </w:rPr>
          <w:t xml:space="preserve"> </w:t>
        </w:r>
        <w:r w:rsidRPr="00C9292C">
          <w:rPr>
            <w:b/>
            <w:color w:val="019648"/>
            <w:lang w:val="uk-UA"/>
          </w:rPr>
          <w:t>Методи розробки настанови</w:t>
        </w:r>
        <w:r w:rsidR="0046531B">
          <w:rPr>
            <w:b/>
            <w:color w:val="019648"/>
            <w:lang w:val="uk-UA"/>
          </w:rPr>
          <w:t xml:space="preserve"> __________________</w:t>
        </w:r>
        <w:r w:rsidR="00043AEF">
          <w:rPr>
            <w:b/>
            <w:color w:val="019648"/>
            <w:lang w:val="uk-UA"/>
          </w:rPr>
          <w:t>_</w:t>
        </w:r>
        <w:r w:rsidR="0046531B">
          <w:rPr>
            <w:b/>
            <w:color w:val="019648"/>
            <w:lang w:val="uk-UA"/>
          </w:rPr>
          <w:t>_____________________</w:t>
        </w:r>
        <w:r w:rsidR="00B01E0C" w:rsidRPr="00C9292C">
          <w:rPr>
            <w:b/>
            <w:color w:val="019648"/>
            <w:spacing w:val="-5"/>
            <w:lang w:val="uk-UA"/>
          </w:rPr>
          <w:t>149</w:t>
        </w:r>
      </w:hyperlink>
    </w:p>
    <w:p w14:paraId="716CF270" w14:textId="7F78972B" w:rsidR="00E05B98" w:rsidRPr="00C9292C" w:rsidRDefault="00284039" w:rsidP="00043AEF">
      <w:pPr>
        <w:spacing w:before="204"/>
        <w:ind w:left="567" w:right="142"/>
        <w:rPr>
          <w:b/>
          <w:lang w:val="uk-UA"/>
        </w:rPr>
      </w:pPr>
      <w:hyperlink w:anchor="_bookmark55" w:history="1">
        <w:r w:rsidRPr="005013D5">
          <w:rPr>
            <w:rFonts w:ascii="Arial" w:hAnsi="Arial" w:cs="Arial"/>
            <w:b/>
            <w:color w:val="019648"/>
            <w:lang w:val="uk-UA"/>
          </w:rPr>
          <w:t>Додаток</w:t>
        </w:r>
        <w:r w:rsidR="00B01E0C" w:rsidRPr="005013D5">
          <w:rPr>
            <w:rFonts w:ascii="Arial" w:hAnsi="Arial" w:cs="Arial"/>
            <w:b/>
            <w:color w:val="019648"/>
            <w:spacing w:val="-14"/>
            <w:lang w:val="uk-UA"/>
          </w:rPr>
          <w:t xml:space="preserve"> </w:t>
        </w:r>
        <w:r w:rsidR="00B01E0C" w:rsidRPr="005013D5">
          <w:rPr>
            <w:rFonts w:ascii="Arial" w:hAnsi="Arial" w:cs="Arial"/>
            <w:b/>
            <w:color w:val="019648"/>
            <w:lang w:val="uk-UA"/>
          </w:rPr>
          <w:t>2.</w:t>
        </w:r>
        <w:r w:rsidR="00B01E0C" w:rsidRPr="005013D5">
          <w:rPr>
            <w:rFonts w:ascii="Arial" w:hAnsi="Arial" w:cs="Arial"/>
            <w:b/>
            <w:color w:val="019648"/>
            <w:spacing w:val="-13"/>
            <w:lang w:val="uk-UA"/>
          </w:rPr>
          <w:t xml:space="preserve"> </w:t>
        </w:r>
        <w:r w:rsidR="00587A05" w:rsidRPr="005013D5">
          <w:rPr>
            <w:rFonts w:ascii="Arial" w:hAnsi="Arial" w:cs="Arial"/>
            <w:b/>
            <w:color w:val="019648"/>
            <w:spacing w:val="-13"/>
            <w:lang w:val="uk-UA"/>
          </w:rPr>
          <w:t xml:space="preserve">Заява про конфлікт інтересів </w:t>
        </w:r>
        <w:r w:rsidR="005013D5" w:rsidRPr="005013D5">
          <w:rPr>
            <w:rFonts w:ascii="Arial" w:hAnsi="Arial" w:cs="Arial"/>
            <w:b/>
            <w:color w:val="019648"/>
            <w:spacing w:val="-13"/>
            <w:lang w:val="uk-UA"/>
          </w:rPr>
          <w:t xml:space="preserve"> членів Групи з розробки настанов та </w:t>
        </w:r>
        <w:r w:rsidR="005013D5">
          <w:rPr>
            <w:rFonts w:ascii="Arial" w:hAnsi="Arial" w:cs="Arial"/>
            <w:b/>
            <w:color w:val="019648"/>
            <w:spacing w:val="-13"/>
            <w:lang w:val="uk-UA"/>
          </w:rPr>
          <w:t xml:space="preserve">                                                     </w:t>
        </w:r>
        <w:r w:rsidR="005013D5" w:rsidRPr="005013D5">
          <w:rPr>
            <w:rFonts w:ascii="Arial" w:hAnsi="Arial" w:cs="Arial"/>
            <w:b/>
            <w:color w:val="019648"/>
            <w:spacing w:val="-13"/>
            <w:lang w:val="uk-UA"/>
          </w:rPr>
          <w:t>Групи зовнішніх експертів з огляду настанов</w:t>
        </w:r>
      </w:hyperlink>
      <w:r w:rsidR="0046531B">
        <w:rPr>
          <w:rFonts w:ascii="Arial" w:hAnsi="Arial" w:cs="Arial"/>
          <w:b/>
          <w:color w:val="019648"/>
          <w:spacing w:val="-2"/>
          <w:lang w:val="uk-UA"/>
        </w:rPr>
        <w:t xml:space="preserve"> </w:t>
      </w:r>
      <w:r w:rsidR="005013D5" w:rsidRPr="005013D5">
        <w:rPr>
          <w:rFonts w:ascii="Arial" w:hAnsi="Arial" w:cs="Arial"/>
          <w:color w:val="019648"/>
          <w:spacing w:val="-2"/>
          <w:lang w:val="uk-UA"/>
        </w:rPr>
        <w:t>_</w:t>
      </w:r>
      <w:r w:rsidR="0046531B">
        <w:rPr>
          <w:rFonts w:ascii="Arial" w:hAnsi="Arial" w:cs="Arial"/>
          <w:color w:val="019648"/>
          <w:spacing w:val="-2"/>
          <w:lang w:val="uk-UA"/>
        </w:rPr>
        <w:t>__</w:t>
      </w:r>
      <w:r w:rsidR="005013D5" w:rsidRPr="005013D5">
        <w:rPr>
          <w:rFonts w:ascii="Arial" w:hAnsi="Arial" w:cs="Arial"/>
          <w:color w:val="019648"/>
          <w:spacing w:val="-2"/>
          <w:lang w:val="uk-UA"/>
        </w:rPr>
        <w:t>______________</w:t>
      </w:r>
      <w:r w:rsidR="00043AEF">
        <w:rPr>
          <w:rFonts w:ascii="Arial" w:hAnsi="Arial" w:cs="Arial"/>
          <w:color w:val="019648"/>
          <w:spacing w:val="-2"/>
          <w:lang w:val="uk-UA"/>
        </w:rPr>
        <w:t>_</w:t>
      </w:r>
      <w:r w:rsidR="005013D5" w:rsidRPr="005013D5">
        <w:rPr>
          <w:rFonts w:ascii="Arial" w:hAnsi="Arial" w:cs="Arial"/>
          <w:color w:val="019648"/>
          <w:spacing w:val="-2"/>
          <w:lang w:val="uk-UA"/>
        </w:rPr>
        <w:t>____________________</w:t>
      </w:r>
      <w:hyperlink w:anchor="_bookmark55" w:history="1">
        <w:r w:rsidR="00B01E0C" w:rsidRPr="00C9292C">
          <w:rPr>
            <w:b/>
            <w:color w:val="019648"/>
            <w:spacing w:val="-5"/>
            <w:lang w:val="uk-UA"/>
          </w:rPr>
          <w:t>153</w:t>
        </w:r>
      </w:hyperlink>
    </w:p>
    <w:p w14:paraId="7B9D9BA9" w14:textId="68DE2E02" w:rsidR="00E05B98" w:rsidRPr="00C9292C" w:rsidRDefault="00404AE9" w:rsidP="00043AEF">
      <w:pPr>
        <w:tabs>
          <w:tab w:val="left" w:leader="underscore" w:pos="9208"/>
        </w:tabs>
        <w:spacing w:before="204"/>
        <w:ind w:left="567" w:right="142"/>
        <w:rPr>
          <w:b/>
          <w:lang w:val="uk-UA"/>
        </w:rPr>
      </w:pPr>
      <w:hyperlink w:anchor="_bookmark56" w:history="1">
        <w:r w:rsidRPr="005013D5">
          <w:rPr>
            <w:rFonts w:ascii="Arial" w:hAnsi="Arial" w:cs="Arial"/>
            <w:b/>
            <w:color w:val="019648"/>
            <w:lang w:val="uk-UA"/>
          </w:rPr>
          <w:t>Додаток</w:t>
        </w:r>
        <w:r w:rsidR="00B01E0C" w:rsidRPr="005013D5">
          <w:rPr>
            <w:rFonts w:ascii="Arial" w:hAnsi="Arial" w:cs="Arial"/>
            <w:b/>
            <w:color w:val="019648"/>
            <w:spacing w:val="-11"/>
            <w:lang w:val="uk-UA"/>
          </w:rPr>
          <w:t xml:space="preserve"> </w:t>
        </w:r>
        <w:r w:rsidR="00B01E0C" w:rsidRPr="005013D5">
          <w:rPr>
            <w:rFonts w:ascii="Arial" w:hAnsi="Arial" w:cs="Arial"/>
            <w:b/>
            <w:color w:val="019648"/>
            <w:lang w:val="uk-UA"/>
          </w:rPr>
          <w:t>3.</w:t>
        </w:r>
        <w:r w:rsidR="00B01E0C" w:rsidRPr="005013D5">
          <w:rPr>
            <w:rFonts w:ascii="Arial" w:hAnsi="Arial" w:cs="Arial"/>
            <w:b/>
            <w:color w:val="019648"/>
            <w:spacing w:val="-10"/>
            <w:lang w:val="uk-UA"/>
          </w:rPr>
          <w:t xml:space="preserve"> </w:t>
        </w:r>
        <w:r w:rsidR="005013D5" w:rsidRPr="005013D5">
          <w:rPr>
            <w:rFonts w:ascii="Arial" w:hAnsi="Arial" w:cs="Arial"/>
            <w:b/>
            <w:color w:val="019648"/>
            <w:spacing w:val="-10"/>
            <w:lang w:val="uk-UA"/>
          </w:rPr>
          <w:t xml:space="preserve">Члени  ГРН із зазначенням сфери компетенції, регіону, </w:t>
        </w:r>
        <w:proofErr w:type="spellStart"/>
        <w:r w:rsidR="005013D5" w:rsidRPr="005013D5">
          <w:rPr>
            <w:rFonts w:ascii="Arial" w:hAnsi="Arial" w:cs="Arial"/>
            <w:b/>
            <w:color w:val="019648"/>
            <w:spacing w:val="-10"/>
            <w:lang w:val="uk-UA"/>
          </w:rPr>
          <w:t>гендера</w:t>
        </w:r>
        <w:proofErr w:type="spellEnd"/>
        <w:r w:rsidR="00043AEF">
          <w:rPr>
            <w:rFonts w:ascii="Arial" w:hAnsi="Arial" w:cs="Arial"/>
            <w:b/>
            <w:color w:val="019648"/>
            <w:spacing w:val="-10"/>
            <w:lang w:val="uk-UA"/>
          </w:rPr>
          <w:t xml:space="preserve"> </w:t>
        </w:r>
        <w:r w:rsidR="00043AEF">
          <w:rPr>
            <w:b/>
            <w:color w:val="019648"/>
            <w:lang w:val="uk-UA"/>
          </w:rPr>
          <w:t>____________</w:t>
        </w:r>
        <w:r w:rsidR="00B01E0C" w:rsidRPr="00C9292C">
          <w:rPr>
            <w:b/>
            <w:color w:val="019648"/>
            <w:spacing w:val="-5"/>
            <w:lang w:val="uk-UA"/>
          </w:rPr>
          <w:t>163</w:t>
        </w:r>
      </w:hyperlink>
    </w:p>
    <w:p w14:paraId="68698EAA" w14:textId="0849F53C" w:rsidR="00E05B98" w:rsidRPr="00C9292C" w:rsidRDefault="00404AE9" w:rsidP="00043AEF">
      <w:pPr>
        <w:tabs>
          <w:tab w:val="left" w:leader="underscore" w:pos="9208"/>
        </w:tabs>
        <w:spacing w:before="204"/>
        <w:ind w:left="567" w:right="142"/>
        <w:rPr>
          <w:b/>
          <w:lang w:val="uk-UA"/>
        </w:rPr>
      </w:pPr>
      <w:r w:rsidRPr="00C9292C">
        <w:rPr>
          <w:b/>
          <w:color w:val="019648"/>
          <w:lang w:val="uk-UA"/>
        </w:rPr>
        <w:t>Веб-додатки</w:t>
      </w:r>
      <w:r w:rsidR="00043AEF">
        <w:rPr>
          <w:b/>
          <w:color w:val="019648"/>
          <w:lang w:val="uk-UA"/>
        </w:rPr>
        <w:t xml:space="preserve"> _____________________________________________________________</w:t>
      </w:r>
      <w:r w:rsidR="0046531B">
        <w:rPr>
          <w:b/>
          <w:color w:val="019648"/>
          <w:lang w:val="uk-UA"/>
        </w:rPr>
        <w:t>__</w:t>
      </w:r>
      <w:r w:rsidR="00B01E0C" w:rsidRPr="00C9292C">
        <w:rPr>
          <w:b/>
          <w:color w:val="019648"/>
          <w:spacing w:val="-5"/>
          <w:lang w:val="uk-UA"/>
        </w:rPr>
        <w:t>166</w:t>
      </w:r>
    </w:p>
    <w:p w14:paraId="05D004F6" w14:textId="0E3896B4" w:rsidR="00E05B98" w:rsidRPr="00C67C4E" w:rsidRDefault="00404AE9" w:rsidP="00043AEF">
      <w:pPr>
        <w:spacing w:before="79" w:line="312" w:lineRule="auto"/>
        <w:ind w:left="867" w:right="142"/>
        <w:rPr>
          <w:sz w:val="20"/>
          <w:szCs w:val="20"/>
          <w:lang w:val="uk-UA"/>
        </w:rPr>
      </w:pPr>
      <w:r w:rsidRPr="00C9292C">
        <w:rPr>
          <w:sz w:val="20"/>
          <w:szCs w:val="20"/>
          <w:lang w:val="uk-UA"/>
        </w:rPr>
        <w:t xml:space="preserve">Веб-додаток </w:t>
      </w:r>
      <w:r w:rsidRPr="00C9292C">
        <w:rPr>
          <w:sz w:val="20"/>
          <w:szCs w:val="20"/>
        </w:rPr>
        <w:t>A</w:t>
      </w:r>
      <w:r w:rsidRPr="00C9292C">
        <w:rPr>
          <w:sz w:val="20"/>
          <w:szCs w:val="20"/>
          <w:lang w:val="uk-UA"/>
        </w:rPr>
        <w:t xml:space="preserve">. Список досліджень, включених до систематичного огляду, </w:t>
      </w:r>
      <w:r w:rsidR="00B30329">
        <w:rPr>
          <w:sz w:val="20"/>
          <w:szCs w:val="20"/>
          <w:lang w:val="uk-UA"/>
        </w:rPr>
        <w:t xml:space="preserve">                                              </w:t>
      </w:r>
      <w:r w:rsidRPr="00C9292C">
        <w:rPr>
          <w:sz w:val="20"/>
          <w:szCs w:val="20"/>
          <w:lang w:val="uk-UA"/>
        </w:rPr>
        <w:t xml:space="preserve">профілі </w:t>
      </w:r>
      <w:r w:rsidRPr="00C9292C">
        <w:rPr>
          <w:sz w:val="20"/>
          <w:szCs w:val="20"/>
        </w:rPr>
        <w:t>GRADE</w:t>
      </w:r>
      <w:r w:rsidRPr="00C9292C">
        <w:rPr>
          <w:sz w:val="20"/>
          <w:szCs w:val="20"/>
          <w:lang w:val="uk-UA"/>
        </w:rPr>
        <w:t>, таблиці доказів для прийняття рішень</w:t>
      </w:r>
      <w:r w:rsidR="00E128E4" w:rsidRPr="00C67C4E">
        <w:rPr>
          <w:sz w:val="20"/>
          <w:szCs w:val="20"/>
          <w:lang w:val="uk-UA"/>
        </w:rPr>
        <w:t xml:space="preserve">: </w:t>
      </w:r>
      <w:hyperlink r:id="rId30" w:history="1">
        <w:r w:rsidR="00536455" w:rsidRPr="00C67C4E">
          <w:rPr>
            <w:rStyle w:val="a5"/>
            <w:color w:val="auto"/>
            <w:spacing w:val="-2"/>
            <w:w w:val="105"/>
            <w:sz w:val="20"/>
            <w:szCs w:val="20"/>
            <w:u w:val="none"/>
            <w:lang w:val="uk-UA"/>
          </w:rPr>
          <w:t xml:space="preserve">https://doi.org/10.2471/B09340                                 </w:t>
        </w:r>
        <w:r w:rsidR="00536455" w:rsidRPr="00C67C4E">
          <w:rPr>
            <w:rStyle w:val="a5"/>
            <w:color w:val="auto"/>
            <w:sz w:val="20"/>
            <w:szCs w:val="20"/>
            <w:u w:val="none"/>
            <w:lang w:val="uk-UA"/>
          </w:rPr>
          <w:t>Веб-додаток</w:t>
        </w:r>
        <w:r w:rsidR="00536455" w:rsidRPr="00C67C4E">
          <w:rPr>
            <w:rStyle w:val="a5"/>
            <w:color w:val="auto"/>
            <w:spacing w:val="-8"/>
            <w:sz w:val="20"/>
            <w:szCs w:val="20"/>
            <w:u w:val="none"/>
            <w:lang w:val="uk-UA"/>
          </w:rPr>
          <w:t xml:space="preserve"> </w:t>
        </w:r>
        <w:r w:rsidR="00536455" w:rsidRPr="00C67C4E">
          <w:rPr>
            <w:rStyle w:val="a5"/>
            <w:color w:val="auto"/>
            <w:sz w:val="20"/>
            <w:szCs w:val="20"/>
            <w:u w:val="none"/>
            <w:lang w:val="uk-UA"/>
          </w:rPr>
          <w:t>B.</w:t>
        </w:r>
        <w:r w:rsidR="00536455" w:rsidRPr="00C67C4E">
          <w:rPr>
            <w:rStyle w:val="a5"/>
            <w:color w:val="auto"/>
            <w:spacing w:val="-8"/>
            <w:sz w:val="20"/>
            <w:szCs w:val="20"/>
            <w:u w:val="none"/>
            <w:lang w:val="uk-UA"/>
          </w:rPr>
          <w:t xml:space="preserve"> </w:t>
        </w:r>
        <w:r w:rsidR="00536455" w:rsidRPr="00C67C4E">
          <w:rPr>
            <w:rStyle w:val="a5"/>
            <w:color w:val="auto"/>
            <w:sz w:val="20"/>
            <w:szCs w:val="20"/>
            <w:u w:val="none"/>
            <w:lang w:val="uk-UA"/>
          </w:rPr>
          <w:t xml:space="preserve">Систематичні огляди: </w:t>
        </w:r>
        <w:r w:rsidR="00536455" w:rsidRPr="00C67C4E">
          <w:rPr>
            <w:rStyle w:val="a5"/>
            <w:color w:val="auto"/>
            <w:spacing w:val="-2"/>
            <w:w w:val="105"/>
            <w:sz w:val="20"/>
            <w:szCs w:val="20"/>
            <w:u w:val="none"/>
            <w:lang w:val="uk-UA"/>
          </w:rPr>
          <w:t>https://doi.org/10.2471/B09341</w:t>
        </w:r>
      </w:hyperlink>
    </w:p>
    <w:p w14:paraId="70788ED4" w14:textId="1B94F036" w:rsidR="00E05B98" w:rsidRPr="00B30329" w:rsidRDefault="00E05B98">
      <w:pPr>
        <w:spacing w:line="312" w:lineRule="auto"/>
        <w:jc w:val="both"/>
        <w:rPr>
          <w:sz w:val="21"/>
          <w:lang w:val="uk-UA"/>
        </w:rPr>
      </w:pPr>
    </w:p>
    <w:p w14:paraId="185B048C" w14:textId="197FB406" w:rsidR="00E742CC" w:rsidRPr="003C6DAE" w:rsidRDefault="00E742CC">
      <w:pPr>
        <w:spacing w:line="312" w:lineRule="auto"/>
        <w:jc w:val="both"/>
        <w:rPr>
          <w:sz w:val="21"/>
          <w:lang w:val="uk-UA"/>
        </w:rPr>
        <w:sectPr w:rsidR="00E742CC" w:rsidRPr="003C6DAE" w:rsidSect="00C9292C">
          <w:pgSz w:w="11910" w:h="16840"/>
          <w:pgMar w:top="1320" w:right="853" w:bottom="0" w:left="850" w:header="0" w:footer="0" w:gutter="0"/>
          <w:cols w:space="720"/>
        </w:sectPr>
      </w:pPr>
    </w:p>
    <w:p w14:paraId="76CA24A8" w14:textId="77777777" w:rsidR="00E05B98" w:rsidRPr="003C6DAE" w:rsidRDefault="00B01E0C">
      <w:pPr>
        <w:pStyle w:val="a3"/>
        <w:rPr>
          <w:sz w:val="64"/>
          <w:lang w:val="uk-UA"/>
        </w:rPr>
      </w:pPr>
      <w:r w:rsidRPr="003C6DAE">
        <w:rPr>
          <w:noProof/>
          <w:sz w:val="64"/>
          <w:lang w:val="uk-UA"/>
        </w:rPr>
        <w:lastRenderedPageBreak/>
        <w:drawing>
          <wp:anchor distT="0" distB="0" distL="0" distR="0" simplePos="0" relativeHeight="481400832" behindDoc="1" locked="0" layoutInCell="1" allowOverlap="1" wp14:anchorId="24B77EF6" wp14:editId="0CD92035">
            <wp:simplePos x="0" y="0"/>
            <wp:positionH relativeFrom="page">
              <wp:posOffset>1365</wp:posOffset>
            </wp:positionH>
            <wp:positionV relativeFrom="page">
              <wp:posOffset>0</wp:posOffset>
            </wp:positionV>
            <wp:extent cx="7558640" cy="1470902"/>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31" cstate="print"/>
                    <a:stretch>
                      <a:fillRect/>
                    </a:stretch>
                  </pic:blipFill>
                  <pic:spPr>
                    <a:xfrm>
                      <a:off x="0" y="0"/>
                      <a:ext cx="7558640" cy="1470902"/>
                    </a:xfrm>
                    <a:prstGeom prst="rect">
                      <a:avLst/>
                    </a:prstGeom>
                  </pic:spPr>
                </pic:pic>
              </a:graphicData>
            </a:graphic>
          </wp:anchor>
        </w:drawing>
      </w:r>
      <w:r w:rsidRPr="003C6DAE">
        <w:rPr>
          <w:noProof/>
          <w:sz w:val="64"/>
          <w:lang w:val="uk-UA"/>
        </w:rPr>
        <mc:AlternateContent>
          <mc:Choice Requires="wps">
            <w:drawing>
              <wp:anchor distT="0" distB="0" distL="0" distR="0" simplePos="0" relativeHeight="15775744" behindDoc="0" locked="0" layoutInCell="1" allowOverlap="1" wp14:anchorId="28E248E5" wp14:editId="29B38902">
                <wp:simplePos x="0" y="0"/>
                <wp:positionH relativeFrom="page">
                  <wp:posOffset>0</wp:posOffset>
                </wp:positionH>
                <wp:positionV relativeFrom="page">
                  <wp:posOffset>8431194</wp:posOffset>
                </wp:positionV>
                <wp:extent cx="1270" cy="226123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61235"/>
                        </a:xfrm>
                        <a:custGeom>
                          <a:avLst/>
                          <a:gdLst/>
                          <a:ahLst/>
                          <a:cxnLst/>
                          <a:rect l="l" t="t" r="r" b="b"/>
                          <a:pathLst>
                            <a:path h="2261235">
                              <a:moveTo>
                                <a:pt x="0" y="0"/>
                              </a:moveTo>
                              <a:lnTo>
                                <a:pt x="0" y="2260803"/>
                              </a:lnTo>
                            </a:path>
                          </a:pathLst>
                        </a:custGeom>
                        <a:solidFill>
                          <a:srgbClr val="019648"/>
                        </a:solidFill>
                      </wps:spPr>
                      <wps:bodyPr wrap="square" lIns="0" tIns="0" rIns="0" bIns="0" rtlCol="0">
                        <a:prstTxWarp prst="textNoShape">
                          <a:avLst/>
                        </a:prstTxWarp>
                        <a:noAutofit/>
                      </wps:bodyPr>
                    </wps:wsp>
                  </a:graphicData>
                </a:graphic>
              </wp:anchor>
            </w:drawing>
          </mc:Choice>
          <mc:Fallback>
            <w:pict>
              <v:shape w14:anchorId="6714B055" id="Graphic 112" o:spid="_x0000_s1026" style="position:absolute;margin-left:0;margin-top:663.85pt;width:.1pt;height:178.05pt;z-index:15775744;visibility:visible;mso-wrap-style:square;mso-wrap-distance-left:0;mso-wrap-distance-top:0;mso-wrap-distance-right:0;mso-wrap-distance-bottom:0;mso-position-horizontal:absolute;mso-position-horizontal-relative:page;mso-position-vertical:absolute;mso-position-vertical-relative:page;v-text-anchor:top" coordsize="1270,226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" path="m,l,2260803e" fillcolor="#019648" stroked="f">
                <v:path arrowok="t"/>
                <w10:wrap anchorx="page" anchory="page"/>
              </v:shape>
            </w:pict>
          </mc:Fallback>
        </mc:AlternateContent>
      </w:r>
    </w:p>
    <w:p w14:paraId="43ED2AE8" w14:textId="77777777" w:rsidR="00E05B98" w:rsidRPr="003C6DAE" w:rsidRDefault="00E05B98">
      <w:pPr>
        <w:pStyle w:val="a3"/>
        <w:rPr>
          <w:sz w:val="64"/>
          <w:lang w:val="uk-UA"/>
        </w:rPr>
      </w:pPr>
    </w:p>
    <w:p w14:paraId="4E15AD70" w14:textId="7E8B60CA" w:rsidR="00E05B98" w:rsidRPr="003C6DAE" w:rsidRDefault="00E34C4B">
      <w:pPr>
        <w:pStyle w:val="1"/>
        <w:rPr>
          <w:lang w:val="uk-UA"/>
        </w:rPr>
      </w:pPr>
      <w:bookmarkStart w:id="0" w:name="Acknowledgements"/>
      <w:bookmarkStart w:id="1" w:name="_bookmark0"/>
      <w:bookmarkEnd w:id="0"/>
      <w:bookmarkEnd w:id="1"/>
      <w:r w:rsidRPr="003C6DAE">
        <w:rPr>
          <w:color w:val="019648"/>
          <w:spacing w:val="-4"/>
          <w:w w:val="105"/>
          <w:lang w:val="uk-UA"/>
        </w:rPr>
        <w:t>Подяки</w:t>
      </w:r>
    </w:p>
    <w:p w14:paraId="30AB6F3D" w14:textId="77777777" w:rsidR="00E05B98" w:rsidRPr="003C6DAE" w:rsidRDefault="00E05B98">
      <w:pPr>
        <w:pStyle w:val="a3"/>
        <w:spacing w:before="42"/>
        <w:rPr>
          <w:sz w:val="36"/>
          <w:szCs w:val="36"/>
          <w:lang w:val="uk-UA"/>
        </w:rPr>
      </w:pPr>
    </w:p>
    <w:p w14:paraId="3BD750ED" w14:textId="673CAFA6" w:rsidR="00E05B98" w:rsidRPr="003C6DAE" w:rsidRDefault="00E34C4B" w:rsidP="00F84246">
      <w:pPr>
        <w:pStyle w:val="a3"/>
        <w:spacing w:line="269" w:lineRule="auto"/>
        <w:ind w:left="567" w:right="134"/>
        <w:jc w:val="both"/>
        <w:rPr>
          <w:sz w:val="20"/>
          <w:szCs w:val="20"/>
          <w:lang w:val="uk-UA"/>
        </w:rPr>
      </w:pPr>
      <w:r w:rsidRPr="003C6DAE">
        <w:rPr>
          <w:sz w:val="20"/>
          <w:szCs w:val="20"/>
          <w:lang w:val="uk-UA"/>
        </w:rPr>
        <w:t>Рекомендації та зауваження, що містяться в настановах щодо політики, є результатом спільних зусиль фахівців різних спеціальностей. Всесвітня організація охорони здоров'я (ВООЗ) вдячна їм за приділений час та надання підтримки.  Були створені окремі Групи з розробки настанов (ГРН) для розробки кожної з настанов, що увійшли до цих консолідованих настанов. Висловлення подяки фахівцям, представленим нижче, стосуються лише тих настанов ВООЗ, які є новими в цьому виданні. Подяки за попередні настанови наведені у веб-додатку А.</w:t>
      </w:r>
    </w:p>
    <w:p w14:paraId="4E485ECD" w14:textId="04430917" w:rsidR="00E05B98" w:rsidRPr="003C6DAE" w:rsidRDefault="00522B8F" w:rsidP="00F84246">
      <w:pPr>
        <w:pStyle w:val="a3"/>
        <w:spacing w:before="145" w:line="269" w:lineRule="auto"/>
        <w:ind w:left="567" w:right="139"/>
        <w:jc w:val="both"/>
        <w:rPr>
          <w:sz w:val="20"/>
          <w:szCs w:val="20"/>
          <w:lang w:val="uk-UA"/>
        </w:rPr>
      </w:pPr>
      <w:r w:rsidRPr="003C6DAE">
        <w:rPr>
          <w:sz w:val="20"/>
          <w:szCs w:val="20"/>
          <w:lang w:val="uk-UA"/>
        </w:rPr>
        <w:t>Підготовку та написання цього документу - Консолідовані настанови ВООЗ з туберкульозу - здійснювали під керівництвом Олексія Біцишина та Патриції Холл-Ейдс. Модуль 3: Діагностика - координували Олексій Коробіцин та Патриція Холл-Ейдсон за підтримки Карла-Майкла Натансона, під керівництвом Маттео Зіньоля та загальним керівництвом Терези Касаєвої, директора Глобальної програми ВООЗ з туберкульозу та здоров'я легень (ВООЗ/ГПТБ).</w:t>
      </w:r>
    </w:p>
    <w:p w14:paraId="4969BBFC" w14:textId="77777777" w:rsidR="00E05B98" w:rsidRPr="003C6DAE" w:rsidRDefault="00E05B98" w:rsidP="00F84246">
      <w:pPr>
        <w:pStyle w:val="a3"/>
        <w:spacing w:before="5" w:line="269" w:lineRule="auto"/>
        <w:rPr>
          <w:lang w:val="uk-UA"/>
        </w:rPr>
      </w:pPr>
    </w:p>
    <w:p w14:paraId="785D8065" w14:textId="775C085E" w:rsidR="00E05B98" w:rsidRPr="003C6DAE" w:rsidRDefault="00522B8F" w:rsidP="00E742CC">
      <w:pPr>
        <w:pStyle w:val="3"/>
        <w:spacing w:line="216" w:lineRule="auto"/>
        <w:ind w:right="6"/>
        <w:rPr>
          <w:sz w:val="36"/>
          <w:szCs w:val="36"/>
          <w:lang w:val="uk-UA"/>
        </w:rPr>
      </w:pPr>
      <w:r w:rsidRPr="003C6DAE">
        <w:rPr>
          <w:color w:val="019648"/>
          <w:sz w:val="36"/>
          <w:szCs w:val="36"/>
          <w:lang w:val="uk-UA"/>
        </w:rPr>
        <w:t>Проведення тестів ампліфікації нуклеїнових кислот  низької складності для виявлення туберкульозу та стійкості до рифампіцину</w:t>
      </w:r>
    </w:p>
    <w:p w14:paraId="36139854" w14:textId="53EDBE0D" w:rsidR="00E05B98" w:rsidRPr="003C6DAE" w:rsidRDefault="00522B8F" w:rsidP="00F84246">
      <w:pPr>
        <w:pStyle w:val="5"/>
        <w:spacing w:before="165" w:line="269" w:lineRule="auto"/>
        <w:rPr>
          <w:lang w:val="uk-UA"/>
        </w:rPr>
      </w:pPr>
      <w:r w:rsidRPr="003C6DAE">
        <w:rPr>
          <w:color w:val="019648"/>
          <w:w w:val="105"/>
          <w:lang w:val="uk-UA"/>
        </w:rPr>
        <w:t>Одночасне тестування</w:t>
      </w:r>
    </w:p>
    <w:p w14:paraId="28C7AF40" w14:textId="3B0EA3ED" w:rsidR="00E05B98" w:rsidRPr="00B40441" w:rsidRDefault="00522B8F" w:rsidP="00F84246">
      <w:pPr>
        <w:spacing w:before="212" w:line="269" w:lineRule="auto"/>
        <w:ind w:left="567"/>
        <w:rPr>
          <w:rFonts w:ascii="Arial" w:hAnsi="Arial" w:cs="Arial"/>
          <w:b/>
          <w:bCs/>
          <w:color w:val="019648"/>
          <w:lang w:val="uk-UA"/>
        </w:rPr>
      </w:pPr>
      <w:r w:rsidRPr="00B40441">
        <w:rPr>
          <w:rFonts w:ascii="Arial" w:hAnsi="Arial" w:cs="Arial"/>
          <w:b/>
          <w:bCs/>
          <w:color w:val="019648"/>
          <w:lang w:val="uk-UA"/>
        </w:rPr>
        <w:t>Керівний комітет ВООЗ</w:t>
      </w:r>
    </w:p>
    <w:p w14:paraId="0F9AF0D6" w14:textId="4FB8FE97" w:rsidR="00E05B98" w:rsidRPr="003C6DAE" w:rsidRDefault="00522B8F" w:rsidP="00E742CC">
      <w:pPr>
        <w:pStyle w:val="a3"/>
        <w:spacing w:before="185" w:line="269" w:lineRule="auto"/>
        <w:ind w:left="567"/>
        <w:jc w:val="both"/>
        <w:rPr>
          <w:sz w:val="20"/>
          <w:szCs w:val="20"/>
          <w:lang w:val="uk-UA"/>
        </w:rPr>
      </w:pPr>
      <w:r w:rsidRPr="003C6DAE">
        <w:rPr>
          <w:sz w:val="20"/>
          <w:szCs w:val="20"/>
          <w:lang w:val="uk-UA"/>
        </w:rPr>
        <w:t>Підготовк</w:t>
      </w:r>
      <w:r w:rsidR="00536455">
        <w:rPr>
          <w:sz w:val="20"/>
          <w:szCs w:val="20"/>
          <w:lang w:val="uk-UA"/>
        </w:rPr>
        <w:t>у</w:t>
      </w:r>
      <w:r w:rsidRPr="003C6DAE">
        <w:rPr>
          <w:sz w:val="20"/>
          <w:szCs w:val="20"/>
          <w:lang w:val="uk-UA"/>
        </w:rPr>
        <w:t xml:space="preserve"> цього розділу настанов здійснювал</w:t>
      </w:r>
      <w:r w:rsidR="00536455">
        <w:rPr>
          <w:sz w:val="20"/>
          <w:szCs w:val="20"/>
          <w:lang w:val="uk-UA"/>
        </w:rPr>
        <w:t>и</w:t>
      </w:r>
      <w:r w:rsidRPr="003C6DAE">
        <w:rPr>
          <w:sz w:val="20"/>
          <w:szCs w:val="20"/>
          <w:lang w:val="uk-UA"/>
        </w:rPr>
        <w:t xml:space="preserve"> під керівництвом Олексія Коробіцини за участю Аннабель Бадделі, Аннеміке Брандс, Денніса Фальзона, Терези Касаєвої, Сесілі Міллер, Карла-Міхаеля Натансона, Жасмін </w:t>
      </w:r>
      <w:proofErr w:type="spellStart"/>
      <w:r w:rsidRPr="003C6DAE">
        <w:rPr>
          <w:sz w:val="20"/>
          <w:szCs w:val="20"/>
          <w:lang w:val="uk-UA"/>
        </w:rPr>
        <w:t>Солангон</w:t>
      </w:r>
      <w:proofErr w:type="spellEnd"/>
      <w:r w:rsidRPr="003C6DAE">
        <w:rPr>
          <w:sz w:val="20"/>
          <w:szCs w:val="20"/>
          <w:lang w:val="uk-UA"/>
        </w:rPr>
        <w:t xml:space="preserve">, Марії де </w:t>
      </w:r>
      <w:proofErr w:type="spellStart"/>
      <w:r w:rsidRPr="003C6DAE">
        <w:rPr>
          <w:sz w:val="20"/>
          <w:szCs w:val="20"/>
          <w:lang w:val="uk-UA"/>
        </w:rPr>
        <w:t>лос</w:t>
      </w:r>
      <w:proofErr w:type="spellEnd"/>
      <w:r w:rsidRPr="003C6DAE">
        <w:rPr>
          <w:sz w:val="20"/>
          <w:szCs w:val="20"/>
          <w:lang w:val="uk-UA"/>
        </w:rPr>
        <w:t xml:space="preserve"> </w:t>
      </w:r>
      <w:proofErr w:type="spellStart"/>
      <w:r w:rsidRPr="003C6DAE">
        <w:rPr>
          <w:sz w:val="20"/>
          <w:szCs w:val="20"/>
          <w:lang w:val="uk-UA"/>
        </w:rPr>
        <w:t>Анхелес</w:t>
      </w:r>
      <w:proofErr w:type="spellEnd"/>
      <w:r w:rsidRPr="003C6DAE">
        <w:rPr>
          <w:sz w:val="20"/>
          <w:szCs w:val="20"/>
          <w:lang w:val="uk-UA"/>
        </w:rPr>
        <w:t xml:space="preserve"> </w:t>
      </w:r>
      <w:proofErr w:type="spellStart"/>
      <w:r w:rsidRPr="003C6DAE">
        <w:rPr>
          <w:sz w:val="20"/>
          <w:szCs w:val="20"/>
          <w:lang w:val="uk-UA"/>
        </w:rPr>
        <w:t>Варгас</w:t>
      </w:r>
      <w:proofErr w:type="spellEnd"/>
      <w:r w:rsidRPr="003C6DAE">
        <w:rPr>
          <w:sz w:val="20"/>
          <w:szCs w:val="20"/>
          <w:lang w:val="uk-UA"/>
        </w:rPr>
        <w:t xml:space="preserve">, Сабіни </w:t>
      </w:r>
      <w:proofErr w:type="spellStart"/>
      <w:r w:rsidRPr="003C6DAE">
        <w:rPr>
          <w:sz w:val="20"/>
          <w:szCs w:val="20"/>
          <w:lang w:val="uk-UA"/>
        </w:rPr>
        <w:t>Веркюйль</w:t>
      </w:r>
      <w:proofErr w:type="spellEnd"/>
      <w:r w:rsidRPr="003C6DAE">
        <w:rPr>
          <w:sz w:val="20"/>
          <w:szCs w:val="20"/>
          <w:lang w:val="uk-UA"/>
        </w:rPr>
        <w:t xml:space="preserve">, Керрі </w:t>
      </w:r>
      <w:proofErr w:type="spellStart"/>
      <w:r w:rsidRPr="003C6DAE">
        <w:rPr>
          <w:sz w:val="20"/>
          <w:szCs w:val="20"/>
          <w:lang w:val="uk-UA"/>
        </w:rPr>
        <w:t>Вайні</w:t>
      </w:r>
      <w:proofErr w:type="spellEnd"/>
      <w:r w:rsidRPr="003C6DAE">
        <w:rPr>
          <w:sz w:val="20"/>
          <w:szCs w:val="20"/>
          <w:lang w:val="uk-UA"/>
        </w:rPr>
        <w:t xml:space="preserve"> та Маттео Зіньоля (усі є учасниками Глобальної програми ВООЗ боротьби з ТБ); </w:t>
      </w:r>
      <w:proofErr w:type="spellStart"/>
      <w:r w:rsidRPr="003C6DAE">
        <w:rPr>
          <w:sz w:val="20"/>
          <w:szCs w:val="20"/>
          <w:lang w:val="uk-UA"/>
        </w:rPr>
        <w:t>Аджай</w:t>
      </w:r>
      <w:proofErr w:type="spellEnd"/>
      <w:r w:rsidRPr="003C6DAE">
        <w:rPr>
          <w:sz w:val="20"/>
          <w:szCs w:val="20"/>
          <w:lang w:val="uk-UA"/>
        </w:rPr>
        <w:t xml:space="preserve"> </w:t>
      </w:r>
      <w:proofErr w:type="spellStart"/>
      <w:r w:rsidRPr="003C6DAE">
        <w:rPr>
          <w:sz w:val="20"/>
          <w:szCs w:val="20"/>
          <w:lang w:val="uk-UA"/>
        </w:rPr>
        <w:t>Рангарадж</w:t>
      </w:r>
      <w:proofErr w:type="spellEnd"/>
      <w:r w:rsidRPr="003C6DAE">
        <w:rPr>
          <w:sz w:val="20"/>
          <w:szCs w:val="20"/>
          <w:lang w:val="uk-UA"/>
        </w:rPr>
        <w:t xml:space="preserve"> та Олена Вовк (Глобальна програма ВООЗ з ВІЛ); </w:t>
      </w:r>
      <w:proofErr w:type="spellStart"/>
      <w:r w:rsidRPr="003C6DAE">
        <w:rPr>
          <w:sz w:val="20"/>
          <w:szCs w:val="20"/>
          <w:lang w:val="uk-UA"/>
        </w:rPr>
        <w:t>Судех</w:t>
      </w:r>
      <w:proofErr w:type="spellEnd"/>
      <w:r w:rsidRPr="003C6DAE">
        <w:rPr>
          <w:sz w:val="20"/>
          <w:szCs w:val="20"/>
          <w:lang w:val="uk-UA"/>
        </w:rPr>
        <w:t xml:space="preserve"> </w:t>
      </w:r>
      <w:proofErr w:type="spellStart"/>
      <w:r w:rsidRPr="003C6DAE">
        <w:rPr>
          <w:sz w:val="20"/>
          <w:szCs w:val="20"/>
          <w:lang w:val="uk-UA"/>
        </w:rPr>
        <w:t>Ехсані</w:t>
      </w:r>
      <w:proofErr w:type="spellEnd"/>
      <w:r w:rsidRPr="003C6DAE">
        <w:rPr>
          <w:sz w:val="20"/>
          <w:szCs w:val="20"/>
          <w:lang w:val="uk-UA"/>
        </w:rPr>
        <w:t xml:space="preserve"> (Європейське регіональне бюро ВООЗ); Амос </w:t>
      </w:r>
      <w:proofErr w:type="spellStart"/>
      <w:r w:rsidRPr="003C6DAE">
        <w:rPr>
          <w:sz w:val="20"/>
          <w:szCs w:val="20"/>
          <w:lang w:val="uk-UA"/>
        </w:rPr>
        <w:t>Фадаре</w:t>
      </w:r>
      <w:proofErr w:type="spellEnd"/>
      <w:r w:rsidRPr="003C6DAE">
        <w:rPr>
          <w:sz w:val="20"/>
          <w:szCs w:val="20"/>
          <w:lang w:val="uk-UA"/>
        </w:rPr>
        <w:t xml:space="preserve"> (Бюро ВООЗ у Нігерії).</w:t>
      </w:r>
    </w:p>
    <w:p w14:paraId="4615F944" w14:textId="59FB314C" w:rsidR="00E05B98" w:rsidRPr="00B40441" w:rsidRDefault="00522B8F" w:rsidP="00E742CC">
      <w:pPr>
        <w:pStyle w:val="5"/>
        <w:spacing w:before="170" w:line="269" w:lineRule="auto"/>
        <w:rPr>
          <w:rFonts w:ascii="Arial" w:hAnsi="Arial" w:cs="Arial"/>
          <w:b/>
          <w:bCs/>
          <w:sz w:val="22"/>
          <w:szCs w:val="22"/>
          <w:lang w:val="uk-UA"/>
        </w:rPr>
      </w:pPr>
      <w:r w:rsidRPr="00B40441">
        <w:rPr>
          <w:rFonts w:ascii="Arial" w:hAnsi="Arial" w:cs="Arial"/>
          <w:b/>
          <w:bCs/>
          <w:color w:val="019648"/>
          <w:spacing w:val="4"/>
          <w:sz w:val="22"/>
          <w:szCs w:val="22"/>
          <w:lang w:val="uk-UA"/>
        </w:rPr>
        <w:t>Група з розробки настанови</w:t>
      </w:r>
    </w:p>
    <w:p w14:paraId="251FB2FF" w14:textId="112F75BD" w:rsidR="00E742CC" w:rsidRPr="003C6DAE" w:rsidRDefault="007D6313" w:rsidP="00E742CC">
      <w:pPr>
        <w:pStyle w:val="a3"/>
        <w:spacing w:before="185" w:line="269" w:lineRule="auto"/>
        <w:ind w:left="567"/>
        <w:jc w:val="both"/>
        <w:rPr>
          <w:lang w:val="uk-UA"/>
        </w:rPr>
      </w:pPr>
      <w:proofErr w:type="spellStart"/>
      <w:r w:rsidRPr="003C6DAE">
        <w:rPr>
          <w:sz w:val="20"/>
          <w:szCs w:val="20"/>
          <w:lang w:val="uk-UA"/>
        </w:rPr>
        <w:t>Кобто</w:t>
      </w:r>
      <w:proofErr w:type="spellEnd"/>
      <w:r w:rsidRPr="003C6DAE">
        <w:rPr>
          <w:sz w:val="20"/>
          <w:szCs w:val="20"/>
          <w:lang w:val="uk-UA"/>
        </w:rPr>
        <w:t xml:space="preserve"> </w:t>
      </w:r>
      <w:proofErr w:type="spellStart"/>
      <w:r w:rsidRPr="003C6DAE">
        <w:rPr>
          <w:sz w:val="20"/>
          <w:szCs w:val="20"/>
          <w:lang w:val="uk-UA"/>
        </w:rPr>
        <w:t>Коура</w:t>
      </w:r>
      <w:proofErr w:type="spellEnd"/>
      <w:r w:rsidRPr="003C6DAE">
        <w:rPr>
          <w:sz w:val="20"/>
          <w:szCs w:val="20"/>
          <w:lang w:val="uk-UA"/>
        </w:rPr>
        <w:t xml:space="preserve"> (співголова), Міжнародний союз боротьби з туберкульозом і легеневими захворюваннями, Париж, Франція; </w:t>
      </w:r>
      <w:proofErr w:type="spellStart"/>
      <w:r w:rsidR="00166097" w:rsidRPr="00166097">
        <w:rPr>
          <w:sz w:val="20"/>
          <w:szCs w:val="20"/>
          <w:lang w:val="uk-UA"/>
        </w:rPr>
        <w:t>Джеремайя</w:t>
      </w:r>
      <w:proofErr w:type="spellEnd"/>
      <w:r w:rsidR="00166097" w:rsidRPr="00166097">
        <w:rPr>
          <w:sz w:val="20"/>
          <w:szCs w:val="20"/>
          <w:lang w:val="uk-UA"/>
        </w:rPr>
        <w:t xml:space="preserve"> </w:t>
      </w:r>
      <w:proofErr w:type="spellStart"/>
      <w:r w:rsidR="00166097" w:rsidRPr="00166097">
        <w:rPr>
          <w:sz w:val="20"/>
          <w:szCs w:val="20"/>
          <w:lang w:val="uk-UA"/>
        </w:rPr>
        <w:t>Чакая</w:t>
      </w:r>
      <w:proofErr w:type="spellEnd"/>
      <w:r w:rsidR="00166097" w:rsidRPr="00166097">
        <w:rPr>
          <w:sz w:val="20"/>
          <w:szCs w:val="20"/>
        </w:rPr>
        <w:t> </w:t>
      </w:r>
      <w:r w:rsidR="00166097" w:rsidRPr="00166097">
        <w:rPr>
          <w:sz w:val="20"/>
          <w:szCs w:val="20"/>
          <w:lang w:val="uk-UA"/>
        </w:rPr>
        <w:t xml:space="preserve"> </w:t>
      </w:r>
      <w:proofErr w:type="spellStart"/>
      <w:r w:rsidR="00166097" w:rsidRPr="00166097">
        <w:rPr>
          <w:sz w:val="20"/>
          <w:szCs w:val="20"/>
          <w:lang w:val="uk-UA"/>
        </w:rPr>
        <w:t>Мухва</w:t>
      </w:r>
      <w:proofErr w:type="spellEnd"/>
      <w:r w:rsidRPr="003C6DAE">
        <w:rPr>
          <w:sz w:val="20"/>
          <w:szCs w:val="20"/>
          <w:lang w:val="uk-UA"/>
        </w:rPr>
        <w:t xml:space="preserve">, Товариство з респіраторних захворювань Кенії, Найробі, Кенія; </w:t>
      </w:r>
      <w:proofErr w:type="spellStart"/>
      <w:r w:rsidR="00166097" w:rsidRPr="00166097">
        <w:rPr>
          <w:sz w:val="20"/>
          <w:szCs w:val="20"/>
          <w:lang w:val="uk-UA"/>
        </w:rPr>
        <w:t>Чамроун</w:t>
      </w:r>
      <w:proofErr w:type="spellEnd"/>
      <w:r w:rsidR="00166097" w:rsidRPr="00166097">
        <w:rPr>
          <w:sz w:val="20"/>
          <w:szCs w:val="20"/>
          <w:lang w:val="uk-UA"/>
        </w:rPr>
        <w:t xml:space="preserve"> Сок Чуб</w:t>
      </w:r>
      <w:r w:rsidRPr="003C6DAE">
        <w:rPr>
          <w:sz w:val="20"/>
          <w:szCs w:val="20"/>
          <w:lang w:val="uk-UA"/>
        </w:rPr>
        <w:t xml:space="preserve">, захисник пацієнтів, Пномпень, Камбоджа; </w:t>
      </w:r>
      <w:proofErr w:type="spellStart"/>
      <w:r w:rsidRPr="003C6DAE">
        <w:rPr>
          <w:sz w:val="20"/>
          <w:szCs w:val="20"/>
          <w:lang w:val="uk-UA"/>
        </w:rPr>
        <w:t>Даніела</w:t>
      </w:r>
      <w:proofErr w:type="spellEnd"/>
      <w:r w:rsidRPr="003C6DAE">
        <w:rPr>
          <w:sz w:val="20"/>
          <w:szCs w:val="20"/>
          <w:lang w:val="uk-UA"/>
        </w:rPr>
        <w:t xml:space="preserve"> </w:t>
      </w:r>
      <w:proofErr w:type="spellStart"/>
      <w:r w:rsidRPr="003C6DAE">
        <w:rPr>
          <w:sz w:val="20"/>
          <w:szCs w:val="20"/>
          <w:lang w:val="uk-UA"/>
        </w:rPr>
        <w:t>Чірілло</w:t>
      </w:r>
      <w:proofErr w:type="spellEnd"/>
      <w:r w:rsidRPr="003C6DAE">
        <w:rPr>
          <w:sz w:val="20"/>
          <w:szCs w:val="20"/>
          <w:lang w:val="uk-UA"/>
        </w:rPr>
        <w:t>, Науковий інститут Сан-</w:t>
      </w:r>
      <w:proofErr w:type="spellStart"/>
      <w:r w:rsidRPr="003C6DAE">
        <w:rPr>
          <w:sz w:val="20"/>
          <w:szCs w:val="20"/>
          <w:lang w:val="uk-UA"/>
        </w:rPr>
        <w:t>Рафаеле</w:t>
      </w:r>
      <w:proofErr w:type="spellEnd"/>
      <w:r w:rsidRPr="003C6DAE">
        <w:rPr>
          <w:sz w:val="20"/>
          <w:szCs w:val="20"/>
          <w:lang w:val="uk-UA"/>
        </w:rPr>
        <w:t xml:space="preserve">, Мілан, Італія; </w:t>
      </w:r>
      <w:proofErr w:type="spellStart"/>
      <w:r w:rsidR="00166097" w:rsidRPr="00166097">
        <w:rPr>
          <w:sz w:val="20"/>
          <w:szCs w:val="20"/>
          <w:lang w:val="uk-UA"/>
        </w:rPr>
        <w:t>Кертан</w:t>
      </w:r>
      <w:proofErr w:type="spellEnd"/>
      <w:r w:rsidR="00166097" w:rsidRPr="00166097">
        <w:rPr>
          <w:sz w:val="20"/>
          <w:szCs w:val="20"/>
          <w:lang w:val="uk-UA"/>
        </w:rPr>
        <w:t xml:space="preserve"> </w:t>
      </w:r>
      <w:proofErr w:type="spellStart"/>
      <w:r w:rsidR="00166097" w:rsidRPr="00166097">
        <w:rPr>
          <w:sz w:val="20"/>
          <w:szCs w:val="20"/>
          <w:lang w:val="uk-UA"/>
        </w:rPr>
        <w:t>Дхеда</w:t>
      </w:r>
      <w:proofErr w:type="spellEnd"/>
      <w:r w:rsidRPr="003C6DAE">
        <w:rPr>
          <w:sz w:val="20"/>
          <w:szCs w:val="20"/>
          <w:lang w:val="uk-UA"/>
        </w:rPr>
        <w:t xml:space="preserve">, </w:t>
      </w:r>
      <w:proofErr w:type="spellStart"/>
      <w:r w:rsidRPr="003C6DAE">
        <w:rPr>
          <w:sz w:val="20"/>
          <w:szCs w:val="20"/>
          <w:lang w:val="uk-UA"/>
        </w:rPr>
        <w:t>Кейптаунський</w:t>
      </w:r>
      <w:proofErr w:type="spellEnd"/>
      <w:r w:rsidRPr="003C6DAE">
        <w:rPr>
          <w:sz w:val="20"/>
          <w:szCs w:val="20"/>
          <w:lang w:val="uk-UA"/>
        </w:rPr>
        <w:t xml:space="preserve"> університет, Кейптаун, Південна Африка; Кетрін </w:t>
      </w:r>
      <w:proofErr w:type="spellStart"/>
      <w:r w:rsidRPr="003C6DAE">
        <w:rPr>
          <w:sz w:val="20"/>
          <w:szCs w:val="20"/>
          <w:lang w:val="uk-UA"/>
        </w:rPr>
        <w:t>Філдінг</w:t>
      </w:r>
      <w:proofErr w:type="spellEnd"/>
      <w:r w:rsidRPr="003C6DAE">
        <w:rPr>
          <w:sz w:val="20"/>
          <w:szCs w:val="20"/>
          <w:lang w:val="uk-UA"/>
        </w:rPr>
        <w:t xml:space="preserve">, Лондонська школа гігієни та тропічної медицини, Лондон, Сполучене Королівство Великої Британії та Північної Ірландії; </w:t>
      </w:r>
      <w:proofErr w:type="spellStart"/>
      <w:r w:rsidRPr="003C6DAE">
        <w:rPr>
          <w:sz w:val="20"/>
          <w:szCs w:val="20"/>
          <w:lang w:val="uk-UA"/>
        </w:rPr>
        <w:t>Руміна</w:t>
      </w:r>
      <w:proofErr w:type="spellEnd"/>
      <w:r w:rsidRPr="003C6DAE">
        <w:rPr>
          <w:sz w:val="20"/>
          <w:szCs w:val="20"/>
          <w:lang w:val="uk-UA"/>
        </w:rPr>
        <w:t xml:space="preserve"> Хасан, Університет Ага Хана, Карачі, Пакистан;</w:t>
      </w:r>
      <w:r w:rsidR="00B01E0C" w:rsidRPr="003C6DAE">
        <w:rPr>
          <w:sz w:val="20"/>
          <w:szCs w:val="20"/>
          <w:lang w:val="uk-UA"/>
        </w:rPr>
        <w:t xml:space="preserve"> </w:t>
      </w:r>
      <w:proofErr w:type="spellStart"/>
      <w:r w:rsidRPr="003C6DAE">
        <w:rPr>
          <w:sz w:val="20"/>
          <w:szCs w:val="20"/>
          <w:lang w:val="uk-UA"/>
        </w:rPr>
        <w:t>Сірінафа</w:t>
      </w:r>
      <w:proofErr w:type="spellEnd"/>
      <w:r w:rsidRPr="003C6DAE">
        <w:rPr>
          <w:sz w:val="20"/>
          <w:szCs w:val="20"/>
          <w:lang w:val="uk-UA"/>
        </w:rPr>
        <w:t xml:space="preserve"> </w:t>
      </w:r>
      <w:proofErr w:type="spellStart"/>
      <w:r w:rsidRPr="003C6DAE">
        <w:rPr>
          <w:sz w:val="20"/>
          <w:szCs w:val="20"/>
          <w:lang w:val="uk-UA"/>
        </w:rPr>
        <w:t>Джіттімані</w:t>
      </w:r>
      <w:proofErr w:type="spellEnd"/>
      <w:r w:rsidRPr="003C6DAE">
        <w:rPr>
          <w:sz w:val="20"/>
          <w:szCs w:val="20"/>
          <w:lang w:val="uk-UA"/>
        </w:rPr>
        <w:t xml:space="preserve">, факультет </w:t>
      </w:r>
      <w:proofErr w:type="spellStart"/>
      <w:r w:rsidRPr="003C6DAE">
        <w:rPr>
          <w:sz w:val="20"/>
          <w:szCs w:val="20"/>
          <w:lang w:val="uk-UA"/>
        </w:rPr>
        <w:t>медсестринства</w:t>
      </w:r>
      <w:proofErr w:type="spellEnd"/>
      <w:r w:rsidRPr="003C6DAE">
        <w:rPr>
          <w:sz w:val="20"/>
          <w:szCs w:val="20"/>
          <w:lang w:val="uk-UA"/>
        </w:rPr>
        <w:t xml:space="preserve"> НТП Таїланду, </w:t>
      </w:r>
      <w:r w:rsidR="00F84246" w:rsidRPr="003C6DAE">
        <w:rPr>
          <w:sz w:val="20"/>
          <w:szCs w:val="20"/>
          <w:lang w:val="uk-UA"/>
        </w:rPr>
        <w:t xml:space="preserve"> Університет </w:t>
      </w:r>
      <w:proofErr w:type="spellStart"/>
      <w:r w:rsidR="00F84246" w:rsidRPr="003C6DAE">
        <w:rPr>
          <w:sz w:val="20"/>
          <w:szCs w:val="20"/>
          <w:lang w:val="uk-UA"/>
        </w:rPr>
        <w:t>Чулалонгкорн</w:t>
      </w:r>
      <w:proofErr w:type="spellEnd"/>
      <w:r w:rsidR="00F84246" w:rsidRPr="003C6DAE">
        <w:rPr>
          <w:sz w:val="20"/>
          <w:szCs w:val="20"/>
          <w:lang w:val="uk-UA"/>
        </w:rPr>
        <w:t xml:space="preserve">, Бангкок, Таїланд; Катаріна </w:t>
      </w:r>
      <w:proofErr w:type="spellStart"/>
      <w:r w:rsidR="00F84246" w:rsidRPr="003C6DAE">
        <w:rPr>
          <w:sz w:val="20"/>
          <w:szCs w:val="20"/>
          <w:lang w:val="uk-UA"/>
        </w:rPr>
        <w:t>Кранцер</w:t>
      </w:r>
      <w:proofErr w:type="spellEnd"/>
      <w:r w:rsidR="00F84246" w:rsidRPr="003C6DAE">
        <w:rPr>
          <w:sz w:val="20"/>
          <w:szCs w:val="20"/>
          <w:lang w:val="uk-UA"/>
        </w:rPr>
        <w:t xml:space="preserve">, Лондонська школа </w:t>
      </w:r>
      <w:r w:rsidR="00E742CC" w:rsidRPr="003C6DAE">
        <w:rPr>
          <w:sz w:val="20"/>
          <w:szCs w:val="20"/>
          <w:lang w:val="uk-UA"/>
        </w:rPr>
        <w:t xml:space="preserve">  </w:t>
      </w:r>
      <w:r w:rsidR="00F84246" w:rsidRPr="003C6DAE">
        <w:rPr>
          <w:lang w:val="uk-UA"/>
        </w:rPr>
        <w:t xml:space="preserve">гігієни і тропічної медицини, Лондон, Сполучене Королівство Великої Британії та Північної Ірландії; Андрій </w:t>
      </w:r>
      <w:proofErr w:type="spellStart"/>
      <w:r w:rsidR="00F84246" w:rsidRPr="003C6DAE">
        <w:rPr>
          <w:lang w:val="uk-UA"/>
        </w:rPr>
        <w:t>Мар'яндишев</w:t>
      </w:r>
      <w:proofErr w:type="spellEnd"/>
      <w:r w:rsidR="00F84246" w:rsidRPr="003C6DAE">
        <w:rPr>
          <w:lang w:val="uk-UA"/>
        </w:rPr>
        <w:t xml:space="preserve">, Північний державний медичний університет, </w:t>
      </w:r>
      <w:r w:rsidRPr="003C6DAE">
        <w:rPr>
          <w:lang w:val="uk-UA"/>
        </w:rPr>
        <w:t xml:space="preserve">Міністерство охорони здоров'я Росії, Архангельськ, Російська Федерація; Норберт </w:t>
      </w:r>
      <w:proofErr w:type="spellStart"/>
      <w:r w:rsidRPr="003C6DAE">
        <w:rPr>
          <w:lang w:val="uk-UA"/>
        </w:rPr>
        <w:t>Нджека</w:t>
      </w:r>
      <w:proofErr w:type="spellEnd"/>
      <w:r w:rsidRPr="003C6DAE">
        <w:rPr>
          <w:lang w:val="uk-UA"/>
        </w:rPr>
        <w:t>,</w:t>
      </w:r>
      <w:r w:rsidR="00F84246" w:rsidRPr="003C6DAE">
        <w:rPr>
          <w:lang w:val="uk-UA"/>
        </w:rPr>
        <w:t xml:space="preserve"> </w:t>
      </w:r>
      <w:r w:rsidRPr="003C6DAE">
        <w:rPr>
          <w:lang w:val="uk-UA"/>
        </w:rPr>
        <w:t xml:space="preserve">Національна програма боротьби з ТБ Південної Африки, Преторія, Південна Африка; Шахід Валлі Омар, Національний інститут інфекційних захворювань, Національна служба медичних лабораторій, Йоганнесбург, Південна Африка; </w:t>
      </w:r>
      <w:proofErr w:type="spellStart"/>
      <w:r w:rsidRPr="003C6DAE">
        <w:rPr>
          <w:lang w:val="uk-UA"/>
        </w:rPr>
        <w:t>Ходжун</w:t>
      </w:r>
      <w:proofErr w:type="spellEnd"/>
      <w:r w:rsidRPr="003C6DAE">
        <w:rPr>
          <w:lang w:val="uk-UA"/>
        </w:rPr>
        <w:t xml:space="preserve"> Сон, Сеульський </w:t>
      </w:r>
    </w:p>
    <w:p w14:paraId="66FA7E4C" w14:textId="5C22511B" w:rsidR="00E742CC" w:rsidRPr="003C6DAE" w:rsidRDefault="00E742CC" w:rsidP="00E742CC">
      <w:pPr>
        <w:pStyle w:val="a3"/>
        <w:spacing w:before="185" w:line="269" w:lineRule="auto"/>
        <w:ind w:left="567"/>
        <w:jc w:val="both"/>
        <w:rPr>
          <w:lang w:val="uk-UA"/>
        </w:rPr>
      </w:pPr>
      <w:r w:rsidRPr="003C6DAE">
        <w:rPr>
          <w:noProof/>
          <w:lang w:val="uk-UA"/>
        </w:rPr>
        <mc:AlternateContent>
          <mc:Choice Requires="wps">
            <w:drawing>
              <wp:anchor distT="0" distB="0" distL="114300" distR="114300" simplePos="0" relativeHeight="488072704" behindDoc="0" locked="0" layoutInCell="1" allowOverlap="1" wp14:anchorId="2B8E5FC3" wp14:editId="28E65DF2">
                <wp:simplePos x="0" y="0"/>
                <wp:positionH relativeFrom="column">
                  <wp:posOffset>6292850</wp:posOffset>
                </wp:positionH>
                <wp:positionV relativeFrom="paragraph">
                  <wp:posOffset>329565</wp:posOffset>
                </wp:positionV>
                <wp:extent cx="381000" cy="311150"/>
                <wp:effectExtent l="0" t="0" r="0" b="0"/>
                <wp:wrapNone/>
                <wp:docPr id="631987759" name="Поле 2301"/>
                <wp:cNvGraphicFramePr/>
                <a:graphic xmlns:a="http://schemas.openxmlformats.org/drawingml/2006/main">
                  <a:graphicData uri="http://schemas.microsoft.com/office/word/2010/wordprocessingShape">
                    <wps:wsp>
                      <wps:cNvSpPr txBox="1"/>
                      <wps:spPr>
                        <a:xfrm>
                          <a:off x="0" y="0"/>
                          <a:ext cx="381000" cy="311150"/>
                        </a:xfrm>
                        <a:prstGeom prst="rect">
                          <a:avLst/>
                        </a:prstGeom>
                        <a:solidFill>
                          <a:schemeClr val="lt1"/>
                        </a:solidFill>
                        <a:ln w="6350">
                          <a:noFill/>
                        </a:ln>
                      </wps:spPr>
                      <wps:txbx>
                        <w:txbxContent>
                          <w:p w14:paraId="08835C55" w14:textId="10D56492" w:rsidR="007372B2" w:rsidRPr="00E742CC" w:rsidRDefault="007372B2">
                            <w:pPr>
                              <w:rPr>
                                <w:color w:val="388600"/>
                                <w:sz w:val="16"/>
                                <w:szCs w:val="16"/>
                              </w:rPr>
                            </w:pPr>
                            <w:r w:rsidRPr="00E742CC">
                              <w:rPr>
                                <w:color w:val="388600"/>
                                <w:sz w:val="16"/>
                                <w:szCs w:val="1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8E5FC3" id="Поле 2301" o:spid="_x0000_s1040" type="#_x0000_t202" style="position:absolute;left:0;text-align:left;margin-left:495.5pt;margin-top:25.95pt;width:30pt;height:24.5pt;z-index:48807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" fillcolor="white [3201]" stroked="f" strokeweight=".5pt">
                <v:textbox>
                  <w:txbxContent>
                    <w:p w14:paraId="08835C55" w14:textId="10D56492" w:rsidR="007372B2" w:rsidRPr="00E742CC" w:rsidRDefault="007372B2">
                      <w:pPr>
                        <w:rPr>
                          <w:color w:val="388600"/>
                          <w:sz w:val="16"/>
                          <w:szCs w:val="16"/>
                        </w:rPr>
                      </w:pPr>
                      <w:r w:rsidRPr="00E742CC">
                        <w:rPr>
                          <w:color w:val="388600"/>
                          <w:sz w:val="16"/>
                          <w:szCs w:val="16"/>
                        </w:rPr>
                        <w:t>v</w:t>
                      </w:r>
                    </w:p>
                  </w:txbxContent>
                </v:textbox>
              </v:shape>
            </w:pict>
          </mc:Fallback>
        </mc:AlternateContent>
      </w:r>
    </w:p>
    <w:p w14:paraId="3F9F04AF" w14:textId="77777777" w:rsidR="00536455" w:rsidRDefault="007D6313" w:rsidP="00536455">
      <w:pPr>
        <w:pStyle w:val="a3"/>
        <w:spacing w:before="185" w:line="269" w:lineRule="auto"/>
        <w:ind w:left="567"/>
        <w:jc w:val="both"/>
        <w:rPr>
          <w:sz w:val="20"/>
          <w:szCs w:val="20"/>
          <w:lang w:val="uk-UA"/>
        </w:rPr>
      </w:pPr>
      <w:r w:rsidRPr="003C6DAE">
        <w:rPr>
          <w:sz w:val="20"/>
          <w:szCs w:val="20"/>
          <w:lang w:val="uk-UA"/>
        </w:rPr>
        <w:lastRenderedPageBreak/>
        <w:t xml:space="preserve">національний університет, Сеул, Республіка Корея; Томас Шинник, консультант, Атланта, США; </w:t>
      </w:r>
      <w:proofErr w:type="spellStart"/>
      <w:r w:rsidRPr="003C6DAE">
        <w:rPr>
          <w:sz w:val="20"/>
          <w:szCs w:val="20"/>
          <w:lang w:val="uk-UA"/>
        </w:rPr>
        <w:t>Сабіра</w:t>
      </w:r>
      <w:proofErr w:type="spellEnd"/>
      <w:r w:rsidRPr="003C6DAE">
        <w:rPr>
          <w:sz w:val="20"/>
          <w:szCs w:val="20"/>
          <w:lang w:val="uk-UA"/>
        </w:rPr>
        <w:t xml:space="preserve"> </w:t>
      </w:r>
      <w:proofErr w:type="spellStart"/>
      <w:r w:rsidRPr="003C6DAE">
        <w:rPr>
          <w:sz w:val="20"/>
          <w:szCs w:val="20"/>
          <w:lang w:val="uk-UA"/>
        </w:rPr>
        <w:t>Тахсін</w:t>
      </w:r>
      <w:proofErr w:type="spellEnd"/>
      <w:r w:rsidRPr="003C6DAE">
        <w:rPr>
          <w:sz w:val="20"/>
          <w:szCs w:val="20"/>
          <w:lang w:val="uk-UA"/>
        </w:rPr>
        <w:t xml:space="preserve">, Національна програма боротьби з ТБ, Міністерство регулювання та координації національних служб охорони здоров'я, уряд Пакистану, Ісламабад, Пакистан; Тімоті Вокер, Оксфордський університет, Хошимін, В'єтнам; </w:t>
      </w:r>
      <w:proofErr w:type="spellStart"/>
      <w:r w:rsidRPr="003C6DAE">
        <w:rPr>
          <w:sz w:val="20"/>
          <w:szCs w:val="20"/>
          <w:lang w:val="uk-UA"/>
        </w:rPr>
        <w:t>Січао</w:t>
      </w:r>
      <w:proofErr w:type="spellEnd"/>
      <w:r w:rsidRPr="003C6DAE">
        <w:rPr>
          <w:sz w:val="20"/>
          <w:szCs w:val="20"/>
          <w:lang w:val="uk-UA"/>
        </w:rPr>
        <w:t xml:space="preserve"> У, Національний центр контролю та профілактики туберкульозу, Китайський центр контролю та профілактики захворювань; Пекін, Китай</w:t>
      </w:r>
      <w:r w:rsidR="00B01E0C" w:rsidRPr="003C6DAE">
        <w:rPr>
          <w:sz w:val="20"/>
          <w:szCs w:val="20"/>
          <w:lang w:val="uk-UA"/>
        </w:rPr>
        <w:t>.</w:t>
      </w:r>
    </w:p>
    <w:p w14:paraId="1CE8A86C" w14:textId="77777777" w:rsidR="00536455" w:rsidRPr="00536455" w:rsidRDefault="00536455" w:rsidP="00536455">
      <w:pPr>
        <w:pStyle w:val="a3"/>
        <w:spacing w:before="185" w:line="269" w:lineRule="auto"/>
        <w:ind w:left="567"/>
        <w:jc w:val="both"/>
        <w:rPr>
          <w:sz w:val="6"/>
          <w:szCs w:val="6"/>
          <w:lang w:val="uk-UA"/>
        </w:rPr>
      </w:pPr>
    </w:p>
    <w:p w14:paraId="16D87758" w14:textId="70A15FAA" w:rsidR="00E05B98" w:rsidRPr="00B40441" w:rsidRDefault="007D6313" w:rsidP="00536455">
      <w:pPr>
        <w:pStyle w:val="a3"/>
        <w:spacing w:before="185" w:line="269" w:lineRule="auto"/>
        <w:ind w:left="567"/>
        <w:jc w:val="both"/>
        <w:rPr>
          <w:rFonts w:ascii="Arial" w:hAnsi="Arial" w:cs="Arial"/>
          <w:b/>
          <w:bCs/>
          <w:lang w:val="ru-RU"/>
        </w:rPr>
      </w:pPr>
      <w:r w:rsidRPr="00B40441">
        <w:rPr>
          <w:rFonts w:ascii="Arial" w:hAnsi="Arial" w:cs="Arial"/>
          <w:b/>
          <w:bCs/>
          <w:color w:val="019648"/>
          <w:lang w:val="uk-UA"/>
        </w:rPr>
        <w:t xml:space="preserve">Група зовнішніх </w:t>
      </w:r>
      <w:r w:rsidR="001D5E59" w:rsidRPr="00B40441">
        <w:rPr>
          <w:rFonts w:ascii="Arial" w:hAnsi="Arial" w:cs="Arial"/>
          <w:b/>
          <w:bCs/>
          <w:color w:val="019648"/>
          <w:lang w:val="uk-UA"/>
        </w:rPr>
        <w:t>експертів з огляду настанов</w:t>
      </w:r>
    </w:p>
    <w:p w14:paraId="096736CD" w14:textId="303B6477" w:rsidR="00E05B98" w:rsidRPr="003C6DAE" w:rsidRDefault="00D000C0" w:rsidP="00F84246">
      <w:pPr>
        <w:pStyle w:val="a3"/>
        <w:spacing w:before="184" w:line="269" w:lineRule="auto"/>
        <w:ind w:left="567" w:right="140"/>
        <w:jc w:val="both"/>
        <w:rPr>
          <w:sz w:val="20"/>
          <w:szCs w:val="20"/>
          <w:lang w:val="uk-UA"/>
        </w:rPr>
      </w:pPr>
      <w:r w:rsidRPr="00C67C4E">
        <w:rPr>
          <w:sz w:val="20"/>
          <w:szCs w:val="20"/>
          <w:lang w:val="uk-UA"/>
        </w:rPr>
        <w:t xml:space="preserve">Мартіна </w:t>
      </w:r>
      <w:proofErr w:type="spellStart"/>
      <w:r w:rsidRPr="00C67C4E">
        <w:rPr>
          <w:sz w:val="20"/>
          <w:szCs w:val="20"/>
          <w:lang w:val="uk-UA"/>
        </w:rPr>
        <w:t>Казенгі</w:t>
      </w:r>
      <w:proofErr w:type="spellEnd"/>
      <w:r w:rsidRPr="00C67C4E">
        <w:rPr>
          <w:sz w:val="20"/>
          <w:szCs w:val="20"/>
          <w:lang w:val="uk-UA"/>
        </w:rPr>
        <w:t xml:space="preserve"> (Дитячий Фонд Елізабет</w:t>
      </w:r>
      <w:r w:rsidRPr="003C6DAE">
        <w:rPr>
          <w:sz w:val="20"/>
          <w:szCs w:val="20"/>
          <w:lang w:val="uk-UA"/>
        </w:rPr>
        <w:t xml:space="preserve"> </w:t>
      </w:r>
      <w:proofErr w:type="spellStart"/>
      <w:r w:rsidRPr="003C6DAE">
        <w:rPr>
          <w:sz w:val="20"/>
          <w:szCs w:val="20"/>
          <w:lang w:val="uk-UA"/>
        </w:rPr>
        <w:t>Глейзер</w:t>
      </w:r>
      <w:proofErr w:type="spellEnd"/>
      <w:r w:rsidRPr="003C6DAE">
        <w:rPr>
          <w:sz w:val="20"/>
          <w:szCs w:val="20"/>
          <w:lang w:val="uk-UA"/>
        </w:rPr>
        <w:t xml:space="preserve"> по боротьбі зі СНІДом, Вашингтон, США), </w:t>
      </w:r>
      <w:proofErr w:type="spellStart"/>
      <w:r w:rsidRPr="003C6DAE">
        <w:rPr>
          <w:sz w:val="20"/>
          <w:szCs w:val="20"/>
          <w:lang w:val="uk-UA"/>
        </w:rPr>
        <w:t>Джаміля</w:t>
      </w:r>
      <w:proofErr w:type="spellEnd"/>
      <w:r w:rsidRPr="003C6DAE">
        <w:rPr>
          <w:sz w:val="20"/>
          <w:szCs w:val="20"/>
          <w:lang w:val="uk-UA"/>
        </w:rPr>
        <w:t xml:space="preserve"> </w:t>
      </w:r>
      <w:proofErr w:type="spellStart"/>
      <w:r w:rsidRPr="003C6DAE">
        <w:rPr>
          <w:sz w:val="20"/>
          <w:szCs w:val="20"/>
          <w:lang w:val="uk-UA"/>
        </w:rPr>
        <w:t>Ісмаїлова</w:t>
      </w:r>
      <w:proofErr w:type="spellEnd"/>
      <w:r w:rsidRPr="003C6DAE">
        <w:rPr>
          <w:sz w:val="20"/>
          <w:szCs w:val="20"/>
          <w:lang w:val="uk-UA"/>
        </w:rPr>
        <w:t xml:space="preserve"> (Національна програма боротьби з ТБ, Душанбе, Таджикистан), </w:t>
      </w:r>
      <w:proofErr w:type="spellStart"/>
      <w:r w:rsidRPr="003C6DAE">
        <w:rPr>
          <w:sz w:val="20"/>
          <w:szCs w:val="20"/>
          <w:lang w:val="uk-UA"/>
        </w:rPr>
        <w:t>Блесі</w:t>
      </w:r>
      <w:proofErr w:type="spellEnd"/>
      <w:r w:rsidRPr="003C6DAE">
        <w:rPr>
          <w:sz w:val="20"/>
          <w:szCs w:val="20"/>
          <w:lang w:val="uk-UA"/>
        </w:rPr>
        <w:t xml:space="preserve"> Кумар (Глобальна коаліція захисників прав людини у сфері боротьби з ТБ, Делі, Індія), </w:t>
      </w:r>
      <w:proofErr w:type="spellStart"/>
      <w:r w:rsidRPr="003C6DAE">
        <w:rPr>
          <w:sz w:val="20"/>
          <w:szCs w:val="20"/>
          <w:lang w:val="uk-UA"/>
        </w:rPr>
        <w:t>Фернанда</w:t>
      </w:r>
      <w:proofErr w:type="spellEnd"/>
      <w:r w:rsidRPr="003C6DAE">
        <w:rPr>
          <w:sz w:val="20"/>
          <w:szCs w:val="20"/>
          <w:lang w:val="uk-UA"/>
        </w:rPr>
        <w:t xml:space="preserve"> </w:t>
      </w:r>
      <w:proofErr w:type="spellStart"/>
      <w:r w:rsidRPr="003C6DAE">
        <w:rPr>
          <w:sz w:val="20"/>
          <w:szCs w:val="20"/>
          <w:lang w:val="uk-UA"/>
        </w:rPr>
        <w:t>Докхорн</w:t>
      </w:r>
      <w:proofErr w:type="spellEnd"/>
      <w:r w:rsidRPr="003C6DAE">
        <w:rPr>
          <w:sz w:val="20"/>
          <w:szCs w:val="20"/>
          <w:lang w:val="uk-UA"/>
        </w:rPr>
        <w:t xml:space="preserve"> да Коста </w:t>
      </w:r>
      <w:proofErr w:type="spellStart"/>
      <w:r w:rsidRPr="003C6DAE">
        <w:rPr>
          <w:sz w:val="20"/>
          <w:szCs w:val="20"/>
          <w:lang w:val="uk-UA"/>
        </w:rPr>
        <w:t>Йохансен</w:t>
      </w:r>
      <w:proofErr w:type="spellEnd"/>
      <w:r w:rsidRPr="003C6DAE">
        <w:rPr>
          <w:sz w:val="20"/>
          <w:szCs w:val="20"/>
          <w:lang w:val="uk-UA"/>
        </w:rPr>
        <w:t xml:space="preserve"> (Національна програма боротьби з ТБ, Ріо-де-Жанейро, Бразилія), Петра де Хаас (Фонд боротьби з ТБ KNCV, Гаага, Нідерланди), Платон Єлисєєв (Національний центр фтизіатрії і пульмонології, Москва, Росія).</w:t>
      </w:r>
    </w:p>
    <w:p w14:paraId="3A89111A" w14:textId="77777777" w:rsidR="001E37C4" w:rsidRPr="00B40441" w:rsidRDefault="001E37C4" w:rsidP="00F84246">
      <w:pPr>
        <w:pStyle w:val="a3"/>
        <w:spacing w:before="184" w:line="269" w:lineRule="auto"/>
        <w:ind w:left="567"/>
        <w:jc w:val="both"/>
        <w:rPr>
          <w:rFonts w:ascii="Arial" w:eastAsia="Arial" w:hAnsi="Arial" w:cs="Arial"/>
          <w:b/>
          <w:bCs/>
          <w:color w:val="019648"/>
          <w:spacing w:val="-2"/>
          <w:w w:val="105"/>
          <w:lang w:val="uk-UA"/>
        </w:rPr>
      </w:pPr>
      <w:r w:rsidRPr="00B40441">
        <w:rPr>
          <w:rFonts w:ascii="Arial" w:eastAsia="Arial" w:hAnsi="Arial" w:cs="Arial"/>
          <w:b/>
          <w:bCs/>
          <w:color w:val="019648"/>
          <w:spacing w:val="-2"/>
          <w:w w:val="105"/>
          <w:lang w:val="uk-UA"/>
        </w:rPr>
        <w:t>Спеціаліст з методології</w:t>
      </w:r>
    </w:p>
    <w:p w14:paraId="6BDAB2DB" w14:textId="77777777" w:rsidR="00536455" w:rsidRDefault="001E37C4" w:rsidP="00536455">
      <w:pPr>
        <w:pStyle w:val="a3"/>
        <w:spacing w:before="184" w:line="269" w:lineRule="auto"/>
        <w:ind w:left="567"/>
        <w:jc w:val="both"/>
        <w:rPr>
          <w:rFonts w:eastAsia="Arial"/>
          <w:spacing w:val="-2"/>
          <w:w w:val="105"/>
          <w:sz w:val="20"/>
          <w:szCs w:val="20"/>
          <w:lang w:val="uk-UA"/>
        </w:rPr>
      </w:pPr>
      <w:r w:rsidRPr="003C6DAE">
        <w:rPr>
          <w:rFonts w:eastAsia="Arial"/>
          <w:spacing w:val="-2"/>
          <w:w w:val="105"/>
          <w:sz w:val="20"/>
          <w:szCs w:val="20"/>
          <w:lang w:val="uk-UA"/>
        </w:rPr>
        <w:t xml:space="preserve">Лоуренс </w:t>
      </w:r>
      <w:proofErr w:type="spellStart"/>
      <w:r w:rsidRPr="003C6DAE">
        <w:rPr>
          <w:rFonts w:eastAsia="Arial"/>
          <w:spacing w:val="-2"/>
          <w:w w:val="105"/>
          <w:sz w:val="20"/>
          <w:szCs w:val="20"/>
          <w:lang w:val="uk-UA"/>
        </w:rPr>
        <w:t>Мбуагбау</w:t>
      </w:r>
      <w:proofErr w:type="spellEnd"/>
      <w:r w:rsidRPr="003C6DAE">
        <w:rPr>
          <w:rFonts w:eastAsia="Arial"/>
          <w:spacing w:val="-2"/>
          <w:w w:val="105"/>
          <w:sz w:val="20"/>
          <w:szCs w:val="20"/>
          <w:lang w:val="uk-UA"/>
        </w:rPr>
        <w:t>, Університет Макмастера, Гамільтон, Канада</w:t>
      </w:r>
    </w:p>
    <w:p w14:paraId="36FDDBBB" w14:textId="77777777" w:rsidR="00536455" w:rsidRPr="00536455" w:rsidRDefault="00536455" w:rsidP="00536455">
      <w:pPr>
        <w:pStyle w:val="a3"/>
        <w:spacing w:before="184" w:line="269" w:lineRule="auto"/>
        <w:ind w:left="567"/>
        <w:jc w:val="both"/>
        <w:rPr>
          <w:rFonts w:eastAsia="Arial"/>
          <w:spacing w:val="-2"/>
          <w:w w:val="105"/>
          <w:sz w:val="6"/>
          <w:szCs w:val="6"/>
          <w:lang w:val="uk-UA"/>
        </w:rPr>
      </w:pPr>
    </w:p>
    <w:p w14:paraId="68830569" w14:textId="400C67FB" w:rsidR="001E37C4" w:rsidRPr="00B40441" w:rsidRDefault="001E37C4" w:rsidP="00536455">
      <w:pPr>
        <w:pStyle w:val="a3"/>
        <w:spacing w:before="184" w:line="269" w:lineRule="auto"/>
        <w:ind w:left="567"/>
        <w:jc w:val="both"/>
        <w:rPr>
          <w:rFonts w:ascii="Arial" w:hAnsi="Arial" w:cs="Arial"/>
          <w:b/>
          <w:bCs/>
          <w:lang w:val="uk-UA"/>
        </w:rPr>
      </w:pPr>
      <w:r w:rsidRPr="00B40441">
        <w:rPr>
          <w:rFonts w:ascii="Arial" w:hAnsi="Arial" w:cs="Arial"/>
          <w:b/>
          <w:bCs/>
          <w:color w:val="019648"/>
          <w:spacing w:val="-2"/>
          <w:lang w:val="uk-UA"/>
        </w:rPr>
        <w:t>Група з проведення систематичного огляду</w:t>
      </w:r>
    </w:p>
    <w:p w14:paraId="6C3572B0" w14:textId="47B4AE4F" w:rsidR="00E05B98" w:rsidRPr="003C6DAE" w:rsidRDefault="001E37C4" w:rsidP="00F84246">
      <w:pPr>
        <w:pStyle w:val="a3"/>
        <w:spacing w:before="184" w:line="269" w:lineRule="auto"/>
        <w:ind w:left="567" w:right="135"/>
        <w:jc w:val="both"/>
        <w:rPr>
          <w:sz w:val="20"/>
          <w:szCs w:val="20"/>
          <w:lang w:val="uk-UA"/>
        </w:rPr>
      </w:pPr>
      <w:r w:rsidRPr="003C6DAE">
        <w:rPr>
          <w:sz w:val="20"/>
          <w:szCs w:val="20"/>
          <w:lang w:val="uk-UA"/>
        </w:rPr>
        <w:t xml:space="preserve">Огляд діагностичної точності: </w:t>
      </w:r>
      <w:proofErr w:type="spellStart"/>
      <w:r w:rsidRPr="003C6DAE">
        <w:rPr>
          <w:sz w:val="20"/>
          <w:szCs w:val="20"/>
          <w:lang w:val="uk-UA"/>
        </w:rPr>
        <w:t>Йоханна</w:t>
      </w:r>
      <w:proofErr w:type="spellEnd"/>
      <w:r w:rsidRPr="003C6DAE">
        <w:rPr>
          <w:sz w:val="20"/>
          <w:szCs w:val="20"/>
          <w:lang w:val="uk-UA"/>
        </w:rPr>
        <w:t xml:space="preserve"> </w:t>
      </w:r>
      <w:proofErr w:type="spellStart"/>
      <w:r w:rsidRPr="003C6DAE">
        <w:rPr>
          <w:sz w:val="20"/>
          <w:szCs w:val="20"/>
          <w:lang w:val="uk-UA"/>
        </w:rPr>
        <w:t>Ахсберг</w:t>
      </w:r>
      <w:proofErr w:type="spellEnd"/>
      <w:r w:rsidRPr="003C6DAE">
        <w:rPr>
          <w:sz w:val="20"/>
          <w:szCs w:val="20"/>
          <w:lang w:val="uk-UA"/>
        </w:rPr>
        <w:t xml:space="preserve"> (Університет Південної Данії, </w:t>
      </w:r>
      <w:proofErr w:type="spellStart"/>
      <w:r w:rsidRPr="003C6DAE">
        <w:rPr>
          <w:sz w:val="20"/>
          <w:szCs w:val="20"/>
          <w:lang w:val="uk-UA"/>
        </w:rPr>
        <w:t>Оденсе</w:t>
      </w:r>
      <w:proofErr w:type="spellEnd"/>
      <w:r w:rsidRPr="003C6DAE">
        <w:rPr>
          <w:sz w:val="20"/>
          <w:szCs w:val="20"/>
          <w:lang w:val="uk-UA"/>
        </w:rPr>
        <w:t xml:space="preserve">, Данія), Стефані </w:t>
      </w:r>
      <w:proofErr w:type="spellStart"/>
      <w:r w:rsidRPr="003C6DAE">
        <w:rPr>
          <w:sz w:val="20"/>
          <w:szCs w:val="20"/>
          <w:lang w:val="uk-UA"/>
        </w:rPr>
        <w:t>Б’єррум</w:t>
      </w:r>
      <w:proofErr w:type="spellEnd"/>
      <w:r w:rsidRPr="003C6DAE">
        <w:rPr>
          <w:sz w:val="20"/>
          <w:szCs w:val="20"/>
          <w:lang w:val="uk-UA"/>
        </w:rPr>
        <w:t xml:space="preserve"> (Університет Південної Данії, </w:t>
      </w:r>
      <w:proofErr w:type="spellStart"/>
      <w:r w:rsidRPr="003C6DAE">
        <w:rPr>
          <w:sz w:val="20"/>
          <w:szCs w:val="20"/>
          <w:lang w:val="uk-UA"/>
        </w:rPr>
        <w:t>Оденсе</w:t>
      </w:r>
      <w:proofErr w:type="spellEnd"/>
      <w:r w:rsidRPr="003C6DAE">
        <w:rPr>
          <w:sz w:val="20"/>
          <w:szCs w:val="20"/>
          <w:lang w:val="uk-UA"/>
        </w:rPr>
        <w:t xml:space="preserve">, Данія), Девід </w:t>
      </w:r>
      <w:proofErr w:type="spellStart"/>
      <w:r w:rsidRPr="003C6DAE">
        <w:rPr>
          <w:sz w:val="20"/>
          <w:szCs w:val="20"/>
          <w:lang w:val="uk-UA"/>
        </w:rPr>
        <w:t>Хорн</w:t>
      </w:r>
      <w:proofErr w:type="spellEnd"/>
      <w:r w:rsidRPr="003C6DAE">
        <w:rPr>
          <w:sz w:val="20"/>
          <w:szCs w:val="20"/>
          <w:lang w:val="uk-UA"/>
        </w:rPr>
        <w:t xml:space="preserve"> (Університет </w:t>
      </w:r>
      <w:proofErr w:type="spellStart"/>
      <w:r w:rsidRPr="003C6DAE">
        <w:rPr>
          <w:sz w:val="20"/>
          <w:szCs w:val="20"/>
          <w:lang w:val="uk-UA"/>
        </w:rPr>
        <w:t>Вашингтона</w:t>
      </w:r>
      <w:proofErr w:type="spellEnd"/>
      <w:r w:rsidRPr="003C6DAE">
        <w:rPr>
          <w:sz w:val="20"/>
          <w:szCs w:val="20"/>
          <w:lang w:val="uk-UA"/>
        </w:rPr>
        <w:t xml:space="preserve">, </w:t>
      </w:r>
      <w:proofErr w:type="spellStart"/>
      <w:r w:rsidRPr="003C6DAE">
        <w:rPr>
          <w:sz w:val="20"/>
          <w:szCs w:val="20"/>
          <w:lang w:val="uk-UA"/>
        </w:rPr>
        <w:t>Сіетл</w:t>
      </w:r>
      <w:proofErr w:type="spellEnd"/>
      <w:r w:rsidRPr="003C6DAE">
        <w:rPr>
          <w:sz w:val="20"/>
          <w:szCs w:val="20"/>
          <w:lang w:val="uk-UA"/>
        </w:rPr>
        <w:t xml:space="preserve">, США), </w:t>
      </w:r>
      <w:proofErr w:type="spellStart"/>
      <w:r w:rsidRPr="003C6DAE">
        <w:rPr>
          <w:sz w:val="20"/>
          <w:szCs w:val="20"/>
          <w:lang w:val="uk-UA"/>
        </w:rPr>
        <w:t>Ліберк</w:t>
      </w:r>
      <w:proofErr w:type="spellEnd"/>
      <w:r w:rsidRPr="003C6DAE">
        <w:rPr>
          <w:sz w:val="20"/>
          <w:szCs w:val="20"/>
          <w:lang w:val="uk-UA"/>
        </w:rPr>
        <w:t xml:space="preserve"> Раджа </w:t>
      </w:r>
      <w:proofErr w:type="spellStart"/>
      <w:r w:rsidRPr="003C6DAE">
        <w:rPr>
          <w:sz w:val="20"/>
          <w:szCs w:val="20"/>
          <w:lang w:val="uk-UA"/>
        </w:rPr>
        <w:t>Інбарадж</w:t>
      </w:r>
      <w:proofErr w:type="spellEnd"/>
      <w:r w:rsidRPr="003C6DAE">
        <w:rPr>
          <w:sz w:val="20"/>
          <w:szCs w:val="20"/>
          <w:lang w:val="uk-UA"/>
        </w:rPr>
        <w:t xml:space="preserve"> (ICMR-Національний інститут дослідження туберкульозу, Ченнаї, Індія), </w:t>
      </w:r>
      <w:proofErr w:type="spellStart"/>
      <w:r w:rsidRPr="003C6DAE">
        <w:rPr>
          <w:sz w:val="20"/>
          <w:szCs w:val="20"/>
          <w:lang w:val="uk-UA"/>
        </w:rPr>
        <w:t>Назір</w:t>
      </w:r>
      <w:proofErr w:type="spellEnd"/>
      <w:r w:rsidRPr="003C6DAE">
        <w:rPr>
          <w:sz w:val="20"/>
          <w:szCs w:val="20"/>
          <w:lang w:val="uk-UA"/>
        </w:rPr>
        <w:t xml:space="preserve"> Ісмаїл (Університет </w:t>
      </w:r>
      <w:proofErr w:type="spellStart"/>
      <w:r w:rsidRPr="003C6DAE">
        <w:rPr>
          <w:sz w:val="20"/>
          <w:szCs w:val="20"/>
          <w:lang w:val="uk-UA"/>
        </w:rPr>
        <w:t>Вітса</w:t>
      </w:r>
      <w:proofErr w:type="spellEnd"/>
      <w:r w:rsidRPr="003C6DAE">
        <w:rPr>
          <w:sz w:val="20"/>
          <w:szCs w:val="20"/>
          <w:lang w:val="uk-UA"/>
        </w:rPr>
        <w:t xml:space="preserve">, Йоганнесбург, Південна Африка), Олександр Кей (Медичний коледж </w:t>
      </w:r>
      <w:proofErr w:type="spellStart"/>
      <w:r w:rsidRPr="003C6DAE">
        <w:rPr>
          <w:sz w:val="20"/>
          <w:szCs w:val="20"/>
          <w:lang w:val="uk-UA"/>
        </w:rPr>
        <w:t>Бейлор</w:t>
      </w:r>
      <w:proofErr w:type="spellEnd"/>
      <w:r w:rsidRPr="003C6DAE">
        <w:rPr>
          <w:sz w:val="20"/>
          <w:szCs w:val="20"/>
          <w:lang w:val="uk-UA"/>
        </w:rPr>
        <w:t xml:space="preserve">, Х’юстон, США), </w:t>
      </w:r>
      <w:proofErr w:type="spellStart"/>
      <w:r w:rsidRPr="003C6DAE">
        <w:rPr>
          <w:sz w:val="20"/>
          <w:szCs w:val="20"/>
          <w:lang w:val="uk-UA"/>
        </w:rPr>
        <w:t>Мікашмі</w:t>
      </w:r>
      <w:proofErr w:type="spellEnd"/>
      <w:r w:rsidRPr="003C6DAE">
        <w:rPr>
          <w:sz w:val="20"/>
          <w:szCs w:val="20"/>
          <w:lang w:val="uk-UA"/>
        </w:rPr>
        <w:t xml:space="preserve"> Колі (Фонд </w:t>
      </w:r>
      <w:proofErr w:type="spellStart"/>
      <w:r w:rsidRPr="003C6DAE">
        <w:rPr>
          <w:sz w:val="20"/>
          <w:szCs w:val="20"/>
          <w:lang w:val="uk-UA"/>
        </w:rPr>
        <w:t>іноваційних</w:t>
      </w:r>
      <w:proofErr w:type="spellEnd"/>
      <w:r w:rsidRPr="003C6DAE">
        <w:rPr>
          <w:sz w:val="20"/>
          <w:szCs w:val="20"/>
          <w:lang w:val="uk-UA"/>
        </w:rPr>
        <w:t xml:space="preserve"> нових діагностичних засобів (FIND), Женева, Швейцарія), Майя </w:t>
      </w:r>
      <w:proofErr w:type="spellStart"/>
      <w:r w:rsidRPr="003C6DAE">
        <w:rPr>
          <w:sz w:val="20"/>
          <w:szCs w:val="20"/>
          <w:lang w:val="uk-UA"/>
        </w:rPr>
        <w:t>Медісон</w:t>
      </w:r>
      <w:proofErr w:type="spellEnd"/>
      <w:r w:rsidRPr="003C6DAE">
        <w:rPr>
          <w:sz w:val="20"/>
          <w:szCs w:val="20"/>
          <w:lang w:val="uk-UA"/>
        </w:rPr>
        <w:t xml:space="preserve"> (Медичний коледж </w:t>
      </w:r>
      <w:proofErr w:type="spellStart"/>
      <w:r w:rsidRPr="003C6DAE">
        <w:rPr>
          <w:sz w:val="20"/>
          <w:szCs w:val="20"/>
          <w:lang w:val="uk-UA"/>
        </w:rPr>
        <w:t>Бейлор</w:t>
      </w:r>
      <w:proofErr w:type="spellEnd"/>
      <w:r w:rsidRPr="003C6DAE">
        <w:rPr>
          <w:sz w:val="20"/>
          <w:szCs w:val="20"/>
          <w:lang w:val="uk-UA"/>
        </w:rPr>
        <w:t>, Х’юстон, США),</w:t>
      </w:r>
      <w:r w:rsidR="00B01E0C" w:rsidRPr="003C6DAE">
        <w:rPr>
          <w:spacing w:val="-3"/>
          <w:sz w:val="20"/>
          <w:szCs w:val="20"/>
          <w:lang w:val="uk-UA"/>
        </w:rPr>
        <w:t xml:space="preserve"> </w:t>
      </w:r>
      <w:r w:rsidRPr="003C6DAE">
        <w:rPr>
          <w:sz w:val="20"/>
          <w:szCs w:val="20"/>
          <w:lang w:val="uk-UA"/>
        </w:rPr>
        <w:t xml:space="preserve">Лаура </w:t>
      </w:r>
      <w:proofErr w:type="spellStart"/>
      <w:r w:rsidRPr="003C6DAE">
        <w:rPr>
          <w:sz w:val="20"/>
          <w:szCs w:val="20"/>
          <w:lang w:val="uk-UA"/>
        </w:rPr>
        <w:t>Ольбріх</w:t>
      </w:r>
      <w:proofErr w:type="spellEnd"/>
      <w:r w:rsidRPr="003C6DAE">
        <w:rPr>
          <w:sz w:val="20"/>
          <w:szCs w:val="20"/>
          <w:lang w:val="uk-UA"/>
        </w:rPr>
        <w:t xml:space="preserve"> (Клініка Мюнхенського університету, Мюнхен, Німеччина), Кеті </w:t>
      </w:r>
      <w:proofErr w:type="spellStart"/>
      <w:r w:rsidRPr="003C6DAE">
        <w:rPr>
          <w:sz w:val="20"/>
          <w:szCs w:val="20"/>
          <w:lang w:val="uk-UA"/>
        </w:rPr>
        <w:t>Скендретт</w:t>
      </w:r>
      <w:proofErr w:type="spellEnd"/>
      <w:r w:rsidRPr="003C6DAE">
        <w:rPr>
          <w:sz w:val="20"/>
          <w:szCs w:val="20"/>
          <w:lang w:val="uk-UA"/>
        </w:rPr>
        <w:t xml:space="preserve"> (</w:t>
      </w:r>
      <w:proofErr w:type="spellStart"/>
      <w:r w:rsidRPr="003C6DAE">
        <w:rPr>
          <w:sz w:val="20"/>
          <w:szCs w:val="20"/>
          <w:lang w:val="uk-UA"/>
        </w:rPr>
        <w:t>Бірмінгемський</w:t>
      </w:r>
      <w:proofErr w:type="spellEnd"/>
      <w:r w:rsidRPr="003C6DAE">
        <w:rPr>
          <w:sz w:val="20"/>
          <w:szCs w:val="20"/>
          <w:lang w:val="uk-UA"/>
        </w:rPr>
        <w:t xml:space="preserve"> університет, Бірмінгем, Сполучене Королівство Великої Британії та Північної Ірландії), </w:t>
      </w:r>
      <w:proofErr w:type="spellStart"/>
      <w:r w:rsidRPr="003C6DAE">
        <w:rPr>
          <w:sz w:val="20"/>
          <w:szCs w:val="20"/>
          <w:lang w:val="uk-UA"/>
        </w:rPr>
        <w:t>Маунанк</w:t>
      </w:r>
      <w:proofErr w:type="spellEnd"/>
      <w:r w:rsidRPr="003C6DAE">
        <w:rPr>
          <w:sz w:val="20"/>
          <w:szCs w:val="20"/>
          <w:lang w:val="uk-UA"/>
        </w:rPr>
        <w:t xml:space="preserve"> Шах (Університет Джона Гопкінса, </w:t>
      </w:r>
      <w:proofErr w:type="spellStart"/>
      <w:r w:rsidRPr="003C6DAE">
        <w:rPr>
          <w:sz w:val="20"/>
          <w:szCs w:val="20"/>
          <w:lang w:val="uk-UA"/>
        </w:rPr>
        <w:t>Елкрідж</w:t>
      </w:r>
      <w:proofErr w:type="spellEnd"/>
      <w:r w:rsidRPr="003C6DAE">
        <w:rPr>
          <w:sz w:val="20"/>
          <w:szCs w:val="20"/>
          <w:lang w:val="uk-UA"/>
        </w:rPr>
        <w:t xml:space="preserve">, США), </w:t>
      </w:r>
      <w:proofErr w:type="spellStart"/>
      <w:r w:rsidRPr="003C6DAE">
        <w:rPr>
          <w:sz w:val="20"/>
          <w:szCs w:val="20"/>
          <w:lang w:val="uk-UA"/>
        </w:rPr>
        <w:t>Ємісі</w:t>
      </w:r>
      <w:proofErr w:type="spellEnd"/>
      <w:r w:rsidRPr="003C6DAE">
        <w:rPr>
          <w:sz w:val="20"/>
          <w:szCs w:val="20"/>
          <w:lang w:val="uk-UA"/>
        </w:rPr>
        <w:t xml:space="preserve"> </w:t>
      </w:r>
      <w:proofErr w:type="spellStart"/>
      <w:r w:rsidRPr="003C6DAE">
        <w:rPr>
          <w:sz w:val="20"/>
          <w:szCs w:val="20"/>
          <w:lang w:val="uk-UA"/>
        </w:rPr>
        <w:t>Таквоінгі</w:t>
      </w:r>
      <w:proofErr w:type="spellEnd"/>
      <w:r w:rsidRPr="003C6DAE">
        <w:rPr>
          <w:sz w:val="20"/>
          <w:szCs w:val="20"/>
          <w:lang w:val="uk-UA"/>
        </w:rPr>
        <w:t xml:space="preserve"> (</w:t>
      </w:r>
      <w:proofErr w:type="spellStart"/>
      <w:r w:rsidRPr="003C6DAE">
        <w:rPr>
          <w:sz w:val="20"/>
          <w:szCs w:val="20"/>
          <w:lang w:val="uk-UA"/>
        </w:rPr>
        <w:t>Бірмінгемський</w:t>
      </w:r>
      <w:proofErr w:type="spellEnd"/>
      <w:r w:rsidRPr="003C6DAE">
        <w:rPr>
          <w:sz w:val="20"/>
          <w:szCs w:val="20"/>
          <w:lang w:val="uk-UA"/>
        </w:rPr>
        <w:t xml:space="preserve"> університет, Бірмінгем, Сполучене Королівство Великої Британії та Північної Ірландії).</w:t>
      </w:r>
    </w:p>
    <w:p w14:paraId="597DCD23" w14:textId="4419CFBC" w:rsidR="00E05B98" w:rsidRPr="003C6DAE" w:rsidRDefault="001E37C4" w:rsidP="00F84246">
      <w:pPr>
        <w:pStyle w:val="a3"/>
        <w:spacing w:before="148" w:line="269" w:lineRule="auto"/>
        <w:ind w:left="567" w:right="138"/>
        <w:jc w:val="both"/>
        <w:rPr>
          <w:sz w:val="20"/>
          <w:szCs w:val="20"/>
          <w:lang w:val="uk-UA"/>
        </w:rPr>
      </w:pPr>
      <w:r w:rsidRPr="003C6DAE">
        <w:rPr>
          <w:sz w:val="20"/>
          <w:szCs w:val="20"/>
          <w:lang w:val="uk-UA"/>
        </w:rPr>
        <w:t xml:space="preserve">Огляд досліджень витрат та економічної ефективності: </w:t>
      </w:r>
      <w:proofErr w:type="spellStart"/>
      <w:r w:rsidRPr="003C6DAE">
        <w:rPr>
          <w:sz w:val="20"/>
          <w:szCs w:val="20"/>
          <w:lang w:val="uk-UA"/>
        </w:rPr>
        <w:t>Сувеш</w:t>
      </w:r>
      <w:proofErr w:type="spellEnd"/>
      <w:r w:rsidRPr="003C6DAE">
        <w:rPr>
          <w:sz w:val="20"/>
          <w:szCs w:val="20"/>
          <w:lang w:val="uk-UA"/>
        </w:rPr>
        <w:t xml:space="preserve"> </w:t>
      </w:r>
      <w:proofErr w:type="spellStart"/>
      <w:r w:rsidRPr="003C6DAE">
        <w:rPr>
          <w:sz w:val="20"/>
          <w:szCs w:val="20"/>
          <w:lang w:val="uk-UA"/>
        </w:rPr>
        <w:t>Шрестха</w:t>
      </w:r>
      <w:proofErr w:type="spellEnd"/>
      <w:r w:rsidRPr="003C6DAE">
        <w:rPr>
          <w:sz w:val="20"/>
          <w:szCs w:val="20"/>
          <w:lang w:val="uk-UA"/>
        </w:rPr>
        <w:t xml:space="preserve"> та Аліса </w:t>
      </w:r>
      <w:proofErr w:type="spellStart"/>
      <w:r w:rsidRPr="003C6DAE">
        <w:rPr>
          <w:sz w:val="20"/>
          <w:szCs w:val="20"/>
          <w:lang w:val="uk-UA"/>
        </w:rPr>
        <w:t>Цверлінг</w:t>
      </w:r>
      <w:proofErr w:type="spellEnd"/>
      <w:r w:rsidRPr="003C6DAE">
        <w:rPr>
          <w:sz w:val="20"/>
          <w:szCs w:val="20"/>
          <w:lang w:val="uk-UA"/>
        </w:rPr>
        <w:t xml:space="preserve"> (Університет Оттави, Канада).</w:t>
      </w:r>
    </w:p>
    <w:p w14:paraId="4A3393A7" w14:textId="58F6DB29" w:rsidR="00E05B98" w:rsidRPr="003C6DAE" w:rsidRDefault="00F84246" w:rsidP="00F84246">
      <w:pPr>
        <w:pStyle w:val="a3"/>
        <w:spacing w:before="139" w:line="269" w:lineRule="auto"/>
        <w:ind w:left="567" w:right="140"/>
        <w:jc w:val="both"/>
        <w:rPr>
          <w:w w:val="105"/>
          <w:sz w:val="20"/>
          <w:szCs w:val="20"/>
          <w:lang w:val="uk-UA"/>
        </w:rPr>
      </w:pPr>
      <w:r w:rsidRPr="003C6DAE">
        <w:rPr>
          <w:w w:val="105"/>
          <w:sz w:val="20"/>
          <w:szCs w:val="20"/>
          <w:lang w:val="uk-UA"/>
        </w:rPr>
        <w:t xml:space="preserve">Огляд і дослідження перспектив, реалізації та прийнятності для користувачів: Нора </w:t>
      </w:r>
      <w:proofErr w:type="spellStart"/>
      <w:r w:rsidRPr="003C6DAE">
        <w:rPr>
          <w:w w:val="105"/>
          <w:sz w:val="20"/>
          <w:szCs w:val="20"/>
          <w:lang w:val="uk-UA"/>
        </w:rPr>
        <w:t>Енгель</w:t>
      </w:r>
      <w:proofErr w:type="spellEnd"/>
      <w:r w:rsidRPr="003C6DAE">
        <w:rPr>
          <w:w w:val="105"/>
          <w:sz w:val="20"/>
          <w:szCs w:val="20"/>
          <w:lang w:val="uk-UA"/>
        </w:rPr>
        <w:t xml:space="preserve"> (Маастрихтський університет, </w:t>
      </w:r>
      <w:proofErr w:type="spellStart"/>
      <w:r w:rsidRPr="003C6DAE">
        <w:rPr>
          <w:w w:val="105"/>
          <w:sz w:val="20"/>
          <w:szCs w:val="20"/>
          <w:lang w:val="uk-UA"/>
        </w:rPr>
        <w:t>Маастрихт</w:t>
      </w:r>
      <w:proofErr w:type="spellEnd"/>
      <w:r w:rsidRPr="003C6DAE">
        <w:rPr>
          <w:w w:val="105"/>
          <w:sz w:val="20"/>
          <w:szCs w:val="20"/>
          <w:lang w:val="uk-UA"/>
        </w:rPr>
        <w:t xml:space="preserve">, Нідерланди) та Елеонора </w:t>
      </w:r>
      <w:proofErr w:type="spellStart"/>
      <w:r w:rsidRPr="003C6DAE">
        <w:rPr>
          <w:w w:val="105"/>
          <w:sz w:val="20"/>
          <w:szCs w:val="20"/>
          <w:lang w:val="uk-UA"/>
        </w:rPr>
        <w:t>Оходо</w:t>
      </w:r>
      <w:proofErr w:type="spellEnd"/>
      <w:r w:rsidRPr="003C6DAE">
        <w:rPr>
          <w:w w:val="105"/>
          <w:sz w:val="20"/>
          <w:szCs w:val="20"/>
          <w:lang w:val="uk-UA"/>
        </w:rPr>
        <w:t xml:space="preserve"> (Кенійський медичний дослідницький інститут, </w:t>
      </w:r>
      <w:proofErr w:type="spellStart"/>
      <w:r w:rsidRPr="003C6DAE">
        <w:rPr>
          <w:w w:val="105"/>
          <w:sz w:val="20"/>
          <w:szCs w:val="20"/>
          <w:lang w:val="uk-UA"/>
        </w:rPr>
        <w:t>Кісуму</w:t>
      </w:r>
      <w:proofErr w:type="spellEnd"/>
      <w:r w:rsidRPr="003C6DAE">
        <w:rPr>
          <w:w w:val="105"/>
          <w:sz w:val="20"/>
          <w:szCs w:val="20"/>
          <w:lang w:val="uk-UA"/>
        </w:rPr>
        <w:t>, Кенія).</w:t>
      </w:r>
    </w:p>
    <w:p w14:paraId="52BBF41A" w14:textId="77777777" w:rsidR="00536455" w:rsidRPr="00536455" w:rsidRDefault="00536455" w:rsidP="00F84246">
      <w:pPr>
        <w:pStyle w:val="4"/>
        <w:spacing w:before="162" w:line="269" w:lineRule="auto"/>
        <w:rPr>
          <w:color w:val="019648"/>
          <w:spacing w:val="-2"/>
          <w:sz w:val="6"/>
          <w:szCs w:val="6"/>
          <w:lang w:val="uk-UA"/>
        </w:rPr>
      </w:pPr>
    </w:p>
    <w:p w14:paraId="37B442A3" w14:textId="5B728096" w:rsidR="00E05B98" w:rsidRPr="00B40441" w:rsidRDefault="00F84246" w:rsidP="00F84246">
      <w:pPr>
        <w:pStyle w:val="4"/>
        <w:spacing w:before="162" w:line="269" w:lineRule="auto"/>
        <w:rPr>
          <w:sz w:val="22"/>
          <w:szCs w:val="22"/>
          <w:lang w:val="uk-UA"/>
        </w:rPr>
      </w:pPr>
      <w:r w:rsidRPr="00B40441">
        <w:rPr>
          <w:color w:val="019648"/>
          <w:spacing w:val="-2"/>
          <w:sz w:val="22"/>
          <w:szCs w:val="22"/>
          <w:lang w:val="uk-UA"/>
        </w:rPr>
        <w:t>Спостерігачі</w:t>
      </w:r>
    </w:p>
    <w:p w14:paraId="196D404F" w14:textId="5BC27150" w:rsidR="00E05B98" w:rsidRDefault="00F84246" w:rsidP="00F84246">
      <w:pPr>
        <w:pStyle w:val="a3"/>
        <w:spacing w:before="184" w:line="269" w:lineRule="auto"/>
        <w:ind w:left="567" w:right="134"/>
        <w:jc w:val="both"/>
        <w:rPr>
          <w:sz w:val="20"/>
          <w:szCs w:val="20"/>
          <w:lang w:val="uk-UA"/>
        </w:rPr>
      </w:pPr>
      <w:proofErr w:type="spellStart"/>
      <w:r w:rsidRPr="003C6DAE">
        <w:rPr>
          <w:sz w:val="20"/>
          <w:szCs w:val="20"/>
          <w:lang w:val="uk-UA"/>
        </w:rPr>
        <w:t>Гранія</w:t>
      </w:r>
      <w:proofErr w:type="spellEnd"/>
      <w:r w:rsidRPr="003C6DAE">
        <w:rPr>
          <w:sz w:val="20"/>
          <w:szCs w:val="20"/>
          <w:lang w:val="uk-UA"/>
        </w:rPr>
        <w:t xml:space="preserve"> </w:t>
      </w:r>
      <w:proofErr w:type="spellStart"/>
      <w:r w:rsidRPr="003C6DAE">
        <w:rPr>
          <w:sz w:val="20"/>
          <w:szCs w:val="20"/>
          <w:lang w:val="uk-UA"/>
        </w:rPr>
        <w:t>Бріджен</w:t>
      </w:r>
      <w:proofErr w:type="spellEnd"/>
      <w:r w:rsidRPr="003C6DAE">
        <w:rPr>
          <w:sz w:val="20"/>
          <w:szCs w:val="20"/>
          <w:lang w:val="uk-UA"/>
        </w:rPr>
        <w:t xml:space="preserve">, Глобальний фонд для боротьби зі СНІДом, туберкульозом та малярією, Женева, Швейцарія; Смілка де </w:t>
      </w:r>
      <w:proofErr w:type="spellStart"/>
      <w:r w:rsidRPr="003C6DAE">
        <w:rPr>
          <w:sz w:val="20"/>
          <w:szCs w:val="20"/>
          <w:lang w:val="uk-UA"/>
        </w:rPr>
        <w:t>Люссіньї</w:t>
      </w:r>
      <w:proofErr w:type="spellEnd"/>
      <w:r w:rsidRPr="003C6DAE">
        <w:rPr>
          <w:sz w:val="20"/>
          <w:szCs w:val="20"/>
          <w:lang w:val="uk-UA"/>
        </w:rPr>
        <w:t xml:space="preserve">, Офіс Unitaid, Женева, Швейцарія; </w:t>
      </w:r>
      <w:proofErr w:type="spellStart"/>
      <w:r w:rsidRPr="003C6DAE">
        <w:rPr>
          <w:sz w:val="20"/>
          <w:szCs w:val="20"/>
          <w:lang w:val="uk-UA"/>
        </w:rPr>
        <w:t>Аніса</w:t>
      </w:r>
      <w:proofErr w:type="spellEnd"/>
      <w:r w:rsidRPr="003C6DAE">
        <w:rPr>
          <w:sz w:val="20"/>
          <w:szCs w:val="20"/>
          <w:lang w:val="uk-UA"/>
        </w:rPr>
        <w:t xml:space="preserve"> </w:t>
      </w:r>
      <w:proofErr w:type="spellStart"/>
      <w:r w:rsidRPr="003C6DAE">
        <w:rPr>
          <w:sz w:val="20"/>
          <w:szCs w:val="20"/>
          <w:lang w:val="uk-UA"/>
        </w:rPr>
        <w:t>Гадршенас</w:t>
      </w:r>
      <w:proofErr w:type="spellEnd"/>
      <w:r w:rsidRPr="003C6DAE">
        <w:rPr>
          <w:sz w:val="20"/>
          <w:szCs w:val="20"/>
          <w:lang w:val="uk-UA"/>
        </w:rPr>
        <w:t xml:space="preserve">, Офіс Unitaid, Женева, Швейцарія; Брайан Кайзер, Глобальний фонд для боротьби зі СНІДом, туберкульозом та малярією, Женева, Швейцарія; Мелані </w:t>
      </w:r>
      <w:proofErr w:type="spellStart"/>
      <w:r w:rsidRPr="003C6DAE">
        <w:rPr>
          <w:sz w:val="20"/>
          <w:szCs w:val="20"/>
          <w:lang w:val="uk-UA"/>
        </w:rPr>
        <w:t>Кітонго</w:t>
      </w:r>
      <w:proofErr w:type="spellEnd"/>
      <w:r w:rsidRPr="003C6DAE">
        <w:rPr>
          <w:sz w:val="20"/>
          <w:szCs w:val="20"/>
          <w:lang w:val="uk-UA"/>
        </w:rPr>
        <w:t xml:space="preserve">, Глобальний фонд для боротьби зі СНІДом, туберкульозом та малярією, Женева, Швейцарія; Адам </w:t>
      </w:r>
      <w:proofErr w:type="spellStart"/>
      <w:r w:rsidRPr="003C6DAE">
        <w:rPr>
          <w:sz w:val="20"/>
          <w:szCs w:val="20"/>
          <w:lang w:val="uk-UA"/>
        </w:rPr>
        <w:t>Пенн</w:t>
      </w:r>
      <w:proofErr w:type="spellEnd"/>
      <w:r w:rsidRPr="003C6DAE">
        <w:rPr>
          <w:sz w:val="20"/>
          <w:szCs w:val="20"/>
          <w:lang w:val="uk-UA"/>
        </w:rPr>
        <w:t xml:space="preserve">-Ніколсон, FIND, Женева, Швейцарія; </w:t>
      </w:r>
      <w:proofErr w:type="spellStart"/>
      <w:r w:rsidRPr="003C6DAE">
        <w:rPr>
          <w:sz w:val="20"/>
          <w:szCs w:val="20"/>
          <w:lang w:val="uk-UA"/>
        </w:rPr>
        <w:t>Мортен</w:t>
      </w:r>
      <w:proofErr w:type="spellEnd"/>
      <w:r w:rsidRPr="003C6DAE">
        <w:rPr>
          <w:sz w:val="20"/>
          <w:szCs w:val="20"/>
          <w:lang w:val="uk-UA"/>
        </w:rPr>
        <w:t xml:space="preserve"> </w:t>
      </w:r>
      <w:proofErr w:type="spellStart"/>
      <w:r w:rsidRPr="003C6DAE">
        <w:rPr>
          <w:sz w:val="20"/>
          <w:szCs w:val="20"/>
          <w:lang w:val="uk-UA"/>
        </w:rPr>
        <w:t>Рювальд</w:t>
      </w:r>
      <w:proofErr w:type="spellEnd"/>
      <w:r w:rsidRPr="003C6DAE">
        <w:rPr>
          <w:sz w:val="20"/>
          <w:szCs w:val="20"/>
          <w:lang w:val="uk-UA"/>
        </w:rPr>
        <w:t>, FIND, Женева, Швейцарія.</w:t>
      </w:r>
    </w:p>
    <w:p w14:paraId="7043286B" w14:textId="77777777" w:rsidR="00536455" w:rsidRPr="00536455" w:rsidRDefault="00536455" w:rsidP="00F84246">
      <w:pPr>
        <w:pStyle w:val="a3"/>
        <w:spacing w:before="184" w:line="269" w:lineRule="auto"/>
        <w:ind w:left="567" w:right="134"/>
        <w:jc w:val="both"/>
        <w:rPr>
          <w:sz w:val="6"/>
          <w:szCs w:val="6"/>
          <w:lang w:val="uk-UA"/>
        </w:rPr>
      </w:pPr>
    </w:p>
    <w:p w14:paraId="0F48C90E" w14:textId="0F6F710C" w:rsidR="00E05B98" w:rsidRPr="00B40441" w:rsidRDefault="00F84246" w:rsidP="00F84246">
      <w:pPr>
        <w:pStyle w:val="4"/>
        <w:spacing w:before="165" w:line="269" w:lineRule="auto"/>
        <w:rPr>
          <w:sz w:val="22"/>
          <w:szCs w:val="22"/>
          <w:lang w:val="uk-UA"/>
        </w:rPr>
      </w:pPr>
      <w:r w:rsidRPr="00B40441">
        <w:rPr>
          <w:color w:val="019648"/>
          <w:spacing w:val="-2"/>
          <w:sz w:val="22"/>
          <w:szCs w:val="22"/>
          <w:lang w:val="uk-UA"/>
        </w:rPr>
        <w:t>Фінансування</w:t>
      </w:r>
    </w:p>
    <w:p w14:paraId="7655D3F5" w14:textId="1534B32A" w:rsidR="00E05B98" w:rsidRPr="003C6DAE" w:rsidRDefault="00F84246" w:rsidP="00F84246">
      <w:pPr>
        <w:pStyle w:val="a3"/>
        <w:spacing w:before="184" w:line="269" w:lineRule="auto"/>
        <w:ind w:left="567" w:right="140"/>
        <w:jc w:val="both"/>
        <w:rPr>
          <w:sz w:val="20"/>
          <w:szCs w:val="20"/>
          <w:lang w:val="uk-UA"/>
        </w:rPr>
      </w:pPr>
      <w:r w:rsidRPr="003C6DAE">
        <w:rPr>
          <w:spacing w:val="-6"/>
          <w:sz w:val="20"/>
          <w:szCs w:val="20"/>
          <w:lang w:val="uk-UA"/>
        </w:rPr>
        <w:t xml:space="preserve">Висловлюємо подяку Фонду Гейтса за надання фінансування. Погляди </w:t>
      </w:r>
      <w:proofErr w:type="spellStart"/>
      <w:r w:rsidRPr="003C6DAE">
        <w:rPr>
          <w:spacing w:val="-6"/>
          <w:sz w:val="20"/>
          <w:szCs w:val="20"/>
          <w:lang w:val="uk-UA"/>
        </w:rPr>
        <w:t>фінансуючих</w:t>
      </w:r>
      <w:proofErr w:type="spellEnd"/>
      <w:r w:rsidRPr="003C6DAE">
        <w:rPr>
          <w:spacing w:val="-6"/>
          <w:sz w:val="20"/>
          <w:szCs w:val="20"/>
          <w:lang w:val="uk-UA"/>
        </w:rPr>
        <w:t xml:space="preserve"> організацій не вплинули на розробку та зміст цих настанов.</w:t>
      </w:r>
    </w:p>
    <w:p w14:paraId="55B14ED8" w14:textId="77777777" w:rsidR="00E05B98" w:rsidRPr="003C6DAE" w:rsidRDefault="00E05B98">
      <w:pPr>
        <w:pStyle w:val="a3"/>
        <w:spacing w:line="297" w:lineRule="auto"/>
        <w:jc w:val="both"/>
        <w:rPr>
          <w:sz w:val="20"/>
          <w:szCs w:val="20"/>
          <w:lang w:val="uk-UA"/>
        </w:rPr>
        <w:sectPr w:rsidR="00E05B98" w:rsidRPr="003C6DAE" w:rsidSect="00E742CC">
          <w:footerReference w:type="even" r:id="rId32"/>
          <w:footerReference w:type="default" r:id="rId33"/>
          <w:pgSz w:w="11910" w:h="16840"/>
          <w:pgMar w:top="1320" w:right="995" w:bottom="760" w:left="850" w:header="0" w:footer="573" w:gutter="0"/>
          <w:cols w:space="720"/>
        </w:sectPr>
      </w:pPr>
    </w:p>
    <w:p w14:paraId="0E2AA397" w14:textId="77777777" w:rsidR="00E05B98" w:rsidRPr="003C6DAE" w:rsidRDefault="00B01E0C">
      <w:pPr>
        <w:pStyle w:val="a3"/>
        <w:rPr>
          <w:sz w:val="64"/>
          <w:lang w:val="uk-UA"/>
        </w:rPr>
      </w:pPr>
      <w:r w:rsidRPr="003C6DAE">
        <w:rPr>
          <w:noProof/>
          <w:sz w:val="64"/>
          <w:lang w:val="uk-UA"/>
        </w:rPr>
        <w:lastRenderedPageBreak/>
        <w:drawing>
          <wp:anchor distT="0" distB="0" distL="0" distR="0" simplePos="0" relativeHeight="481401856" behindDoc="1" locked="0" layoutInCell="1" allowOverlap="1" wp14:anchorId="5CAFE837" wp14:editId="00B54AF4">
            <wp:simplePos x="0" y="0"/>
            <wp:positionH relativeFrom="page">
              <wp:align>right</wp:align>
            </wp:positionH>
            <wp:positionV relativeFrom="margin">
              <wp:align>top</wp:align>
            </wp:positionV>
            <wp:extent cx="7557135" cy="1162050"/>
            <wp:effectExtent l="0" t="0" r="5715"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31" cstate="print"/>
                    <a:stretch>
                      <a:fillRect/>
                    </a:stretch>
                  </pic:blipFill>
                  <pic:spPr>
                    <a:xfrm>
                      <a:off x="0" y="0"/>
                      <a:ext cx="7557135" cy="1162050"/>
                    </a:xfrm>
                    <a:prstGeom prst="rect">
                      <a:avLst/>
                    </a:prstGeom>
                  </pic:spPr>
                </pic:pic>
              </a:graphicData>
            </a:graphic>
            <wp14:sizeRelV relativeFrom="margin">
              <wp14:pctHeight>0</wp14:pctHeight>
            </wp14:sizeRelV>
          </wp:anchor>
        </w:drawing>
      </w:r>
    </w:p>
    <w:p w14:paraId="14D299A5" w14:textId="77777777" w:rsidR="00E05B98" w:rsidRPr="003C6DAE" w:rsidRDefault="00E05B98">
      <w:pPr>
        <w:pStyle w:val="a3"/>
        <w:rPr>
          <w:sz w:val="64"/>
          <w:lang w:val="uk-UA"/>
        </w:rPr>
      </w:pPr>
    </w:p>
    <w:p w14:paraId="586E8F4B" w14:textId="77777777" w:rsidR="00881EC8" w:rsidRPr="003C6DAE" w:rsidRDefault="00881EC8" w:rsidP="00F84246">
      <w:pPr>
        <w:pStyle w:val="1"/>
        <w:rPr>
          <w:color w:val="019648"/>
          <w:sz w:val="20"/>
          <w:szCs w:val="20"/>
          <w:lang w:val="uk-UA"/>
        </w:rPr>
      </w:pPr>
      <w:bookmarkStart w:id="2" w:name="Abbreviations_and_acronyms"/>
      <w:bookmarkStart w:id="3" w:name="_bookmark1"/>
      <w:bookmarkEnd w:id="2"/>
      <w:bookmarkEnd w:id="3"/>
    </w:p>
    <w:p w14:paraId="36D507FF" w14:textId="77777777" w:rsidR="00881EC8" w:rsidRPr="003C6DAE" w:rsidRDefault="00F84246" w:rsidP="00881EC8">
      <w:pPr>
        <w:pStyle w:val="1"/>
        <w:rPr>
          <w:color w:val="019648"/>
          <w:lang w:val="uk-UA"/>
        </w:rPr>
      </w:pPr>
      <w:bookmarkStart w:id="4" w:name="_Hlk196113940"/>
      <w:r w:rsidRPr="003C6DAE">
        <w:rPr>
          <w:color w:val="019648"/>
          <w:lang w:val="uk-UA"/>
        </w:rPr>
        <w:t>Абревіатури та акроніми</w:t>
      </w:r>
    </w:p>
    <w:p w14:paraId="1BC75C86" w14:textId="77777777" w:rsidR="00881EC8" w:rsidRPr="003C6DAE" w:rsidRDefault="00881EC8" w:rsidP="00881EC8">
      <w:pPr>
        <w:pStyle w:val="1"/>
        <w:rPr>
          <w:color w:val="019648"/>
          <w:sz w:val="28"/>
          <w:szCs w:val="28"/>
          <w:lang w:val="uk-UA"/>
        </w:rPr>
      </w:pPr>
    </w:p>
    <w:tbl>
      <w:tblPr>
        <w:tblStyle w:val="ac"/>
        <w:tblW w:w="10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376"/>
      </w:tblGrid>
      <w:tr w:rsidR="00954A44" w:rsidRPr="00D029FF" w14:paraId="5191D7CE" w14:textId="77777777" w:rsidTr="00954A44">
        <w:tc>
          <w:tcPr>
            <w:tcW w:w="2835" w:type="dxa"/>
          </w:tcPr>
          <w:p w14:paraId="54373518" w14:textId="77777777" w:rsidR="00954A44" w:rsidRPr="00954A44" w:rsidRDefault="00954A44" w:rsidP="00954A44">
            <w:pPr>
              <w:spacing w:line="298" w:lineRule="auto"/>
              <w:ind w:left="460"/>
              <w:rPr>
                <w:rFonts w:ascii="Arial" w:hAnsi="Arial" w:cs="Arial"/>
                <w:b/>
                <w:color w:val="019648"/>
                <w:spacing w:val="-2"/>
                <w:sz w:val="18"/>
                <w:szCs w:val="18"/>
                <w:lang w:val="uk-UA"/>
              </w:rPr>
            </w:pPr>
            <w:r w:rsidRPr="00954A44">
              <w:rPr>
                <w:rFonts w:ascii="Arial" w:hAnsi="Arial" w:cs="Arial"/>
                <w:b/>
                <w:color w:val="019648"/>
                <w:spacing w:val="-4"/>
                <w:sz w:val="18"/>
                <w:szCs w:val="18"/>
                <w:lang w:val="uk-UA"/>
              </w:rPr>
              <w:t>АВГІ</w:t>
            </w:r>
          </w:p>
        </w:tc>
        <w:tc>
          <w:tcPr>
            <w:tcW w:w="7376" w:type="dxa"/>
          </w:tcPr>
          <w:p w14:paraId="64FCCEAE"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аналіз на вивільнення гамма-інтерферону</w:t>
            </w:r>
          </w:p>
        </w:tc>
      </w:tr>
      <w:tr w:rsidR="00954A44" w:rsidRPr="00D029FF" w14:paraId="3FB1FB05" w14:textId="77777777" w:rsidTr="00954A44">
        <w:tc>
          <w:tcPr>
            <w:tcW w:w="2835" w:type="dxa"/>
          </w:tcPr>
          <w:p w14:paraId="6310D792"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2"/>
                <w:sz w:val="18"/>
                <w:szCs w:val="18"/>
                <w:lang w:val="uk-UA"/>
              </w:rPr>
              <w:t>aТАНК</w:t>
            </w:r>
          </w:p>
        </w:tc>
        <w:tc>
          <w:tcPr>
            <w:tcW w:w="7376" w:type="dxa"/>
          </w:tcPr>
          <w:p w14:paraId="182ADECC"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автоматизований тест ампліфікації нуклеїнових кислот</w:t>
            </w:r>
          </w:p>
        </w:tc>
      </w:tr>
      <w:tr w:rsidR="00954A44" w:rsidRPr="00D029FF" w14:paraId="598C4C2C" w14:textId="77777777" w:rsidTr="00954A44">
        <w:tc>
          <w:tcPr>
            <w:tcW w:w="2835" w:type="dxa"/>
          </w:tcPr>
          <w:p w14:paraId="29F7D086"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4"/>
                <w:sz w:val="18"/>
                <w:szCs w:val="18"/>
                <w:lang w:val="uk-UA"/>
              </w:rPr>
              <w:t>аТАНК-НС</w:t>
            </w:r>
          </w:p>
        </w:tc>
        <w:tc>
          <w:tcPr>
            <w:tcW w:w="7376" w:type="dxa"/>
          </w:tcPr>
          <w:p w14:paraId="23077920" w14:textId="09077CC9" w:rsidR="00954A44" w:rsidRPr="00536455" w:rsidRDefault="00954A44" w:rsidP="00954A44">
            <w:pPr>
              <w:ind w:left="175"/>
              <w:rPr>
                <w:rFonts w:ascii="Arial" w:hAnsi="Arial" w:cs="Arial"/>
                <w:bCs/>
                <w:sz w:val="18"/>
                <w:szCs w:val="18"/>
                <w:lang w:val="uk-UA"/>
              </w:rPr>
            </w:pPr>
            <w:r w:rsidRPr="00954A44">
              <w:rPr>
                <w:rFonts w:ascii="Arial" w:hAnsi="Arial" w:cs="Arial"/>
                <w:bCs/>
                <w:sz w:val="18"/>
                <w:szCs w:val="18"/>
                <w:lang w:val="uk-UA"/>
              </w:rPr>
              <w:t>автоматизований тест ампліфікаці</w:t>
            </w:r>
            <w:r w:rsidR="00536455">
              <w:rPr>
                <w:rFonts w:ascii="Arial" w:hAnsi="Arial" w:cs="Arial"/>
                <w:bCs/>
                <w:sz w:val="18"/>
                <w:szCs w:val="18"/>
                <w:lang w:val="uk-UA"/>
              </w:rPr>
              <w:t>ї</w:t>
            </w:r>
            <w:r w:rsidRPr="00954A44">
              <w:rPr>
                <w:rFonts w:ascii="Arial" w:hAnsi="Arial" w:cs="Arial"/>
                <w:bCs/>
                <w:sz w:val="18"/>
                <w:szCs w:val="18"/>
                <w:lang w:val="uk-UA"/>
              </w:rPr>
              <w:t xml:space="preserve"> нуклеїнових кислот низької складності</w:t>
            </w:r>
          </w:p>
          <w:p w14:paraId="70BE8F4C" w14:textId="77777777" w:rsidR="00954A44" w:rsidRPr="006D69A1" w:rsidRDefault="00954A44" w:rsidP="00954A44">
            <w:pPr>
              <w:spacing w:line="298" w:lineRule="auto"/>
              <w:ind w:left="175"/>
              <w:rPr>
                <w:rFonts w:ascii="Arial" w:hAnsi="Arial" w:cs="Arial"/>
                <w:sz w:val="10"/>
                <w:szCs w:val="10"/>
                <w:lang w:val="uk-UA"/>
              </w:rPr>
            </w:pPr>
          </w:p>
        </w:tc>
      </w:tr>
      <w:tr w:rsidR="00954A44" w:rsidRPr="00D029FF" w14:paraId="4AE9B864" w14:textId="77777777" w:rsidTr="00954A44">
        <w:tc>
          <w:tcPr>
            <w:tcW w:w="2835" w:type="dxa"/>
          </w:tcPr>
          <w:p w14:paraId="76530DAC"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2"/>
                <w:sz w:val="18"/>
                <w:szCs w:val="18"/>
                <w:lang w:val="uk-UA"/>
              </w:rPr>
              <w:t>аТАНК-ПС</w:t>
            </w:r>
          </w:p>
        </w:tc>
        <w:tc>
          <w:tcPr>
            <w:tcW w:w="7376" w:type="dxa"/>
          </w:tcPr>
          <w:p w14:paraId="6B406995" w14:textId="2164D546" w:rsidR="00954A44" w:rsidRPr="00536455" w:rsidRDefault="00954A44" w:rsidP="00954A44">
            <w:pPr>
              <w:ind w:left="175"/>
              <w:rPr>
                <w:rFonts w:ascii="Arial" w:hAnsi="Arial" w:cs="Arial"/>
                <w:bCs/>
                <w:sz w:val="18"/>
                <w:szCs w:val="18"/>
                <w:lang w:val="uk-UA"/>
              </w:rPr>
            </w:pPr>
            <w:r w:rsidRPr="00954A44">
              <w:rPr>
                <w:rFonts w:ascii="Arial" w:hAnsi="Arial" w:cs="Arial"/>
                <w:bCs/>
                <w:sz w:val="18"/>
                <w:szCs w:val="18"/>
                <w:lang w:val="uk-UA"/>
              </w:rPr>
              <w:t>автоматизований тест ампліфікаці</w:t>
            </w:r>
            <w:r w:rsidR="00536455">
              <w:rPr>
                <w:rFonts w:ascii="Arial" w:hAnsi="Arial" w:cs="Arial"/>
                <w:bCs/>
                <w:sz w:val="18"/>
                <w:szCs w:val="18"/>
                <w:lang w:val="uk-UA"/>
              </w:rPr>
              <w:t>ї</w:t>
            </w:r>
            <w:r w:rsidRPr="00954A44">
              <w:rPr>
                <w:rFonts w:ascii="Arial" w:hAnsi="Arial" w:cs="Arial"/>
                <w:bCs/>
                <w:sz w:val="18"/>
                <w:szCs w:val="18"/>
                <w:lang w:val="uk-UA"/>
              </w:rPr>
              <w:t xml:space="preserve"> нуклеїнових кислот помірної складності</w:t>
            </w:r>
          </w:p>
          <w:p w14:paraId="211F5AC3" w14:textId="77777777" w:rsidR="00954A44" w:rsidRPr="006D69A1" w:rsidRDefault="00954A44" w:rsidP="00954A44">
            <w:pPr>
              <w:spacing w:line="298" w:lineRule="auto"/>
              <w:ind w:left="175"/>
              <w:rPr>
                <w:rFonts w:ascii="Arial" w:hAnsi="Arial" w:cs="Arial"/>
                <w:sz w:val="10"/>
                <w:szCs w:val="10"/>
                <w:lang w:val="uk-UA"/>
              </w:rPr>
            </w:pPr>
          </w:p>
        </w:tc>
      </w:tr>
      <w:tr w:rsidR="00954A44" w14:paraId="14ECA1C0" w14:textId="77777777" w:rsidTr="00954A44">
        <w:tc>
          <w:tcPr>
            <w:tcW w:w="2835" w:type="dxa"/>
          </w:tcPr>
          <w:p w14:paraId="0353AE19"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2"/>
                <w:sz w:val="18"/>
                <w:szCs w:val="18"/>
                <w:lang w:val="uk-UA"/>
              </w:rPr>
              <w:t>БАЛ</w:t>
            </w:r>
          </w:p>
        </w:tc>
        <w:tc>
          <w:tcPr>
            <w:tcW w:w="7376" w:type="dxa"/>
          </w:tcPr>
          <w:p w14:paraId="3C4A996C"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бронхоальвеолярний лаваж</w:t>
            </w:r>
          </w:p>
        </w:tc>
      </w:tr>
      <w:tr w:rsidR="00954A44" w14:paraId="28008058" w14:textId="77777777" w:rsidTr="00954A44">
        <w:tc>
          <w:tcPr>
            <w:tcW w:w="2835" w:type="dxa"/>
          </w:tcPr>
          <w:p w14:paraId="5506013D"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5"/>
                <w:sz w:val="18"/>
                <w:szCs w:val="18"/>
                <w:lang w:val="uk-UA"/>
              </w:rPr>
              <w:t>БЦЖ</w:t>
            </w:r>
          </w:p>
        </w:tc>
        <w:tc>
          <w:tcPr>
            <w:tcW w:w="7376" w:type="dxa"/>
          </w:tcPr>
          <w:p w14:paraId="626A6DBB"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вакцина bacille</w:t>
            </w:r>
            <w:r w:rsidRPr="00954A44">
              <w:rPr>
                <w:rFonts w:ascii="Arial" w:hAnsi="Arial" w:cs="Arial"/>
                <w:spacing w:val="-8"/>
                <w:sz w:val="18"/>
                <w:szCs w:val="18"/>
                <w:lang w:val="uk-UA"/>
              </w:rPr>
              <w:t xml:space="preserve"> </w:t>
            </w:r>
            <w:r w:rsidRPr="00954A44">
              <w:rPr>
                <w:rFonts w:ascii="Arial" w:hAnsi="Arial" w:cs="Arial"/>
                <w:spacing w:val="-2"/>
                <w:sz w:val="18"/>
                <w:szCs w:val="18"/>
                <w:lang w:val="uk-UA"/>
              </w:rPr>
              <w:t>Calmette–Guérin</w:t>
            </w:r>
          </w:p>
        </w:tc>
      </w:tr>
      <w:tr w:rsidR="00954A44" w14:paraId="1CD7EBF3" w14:textId="77777777" w:rsidTr="00954A44">
        <w:tc>
          <w:tcPr>
            <w:tcW w:w="2835" w:type="dxa"/>
          </w:tcPr>
          <w:p w14:paraId="3648688A"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2"/>
                <w:sz w:val="18"/>
                <w:szCs w:val="18"/>
                <w:lang w:val="uk-UA"/>
              </w:rPr>
              <w:t>ВІЛ</w:t>
            </w:r>
          </w:p>
        </w:tc>
        <w:tc>
          <w:tcPr>
            <w:tcW w:w="7376" w:type="dxa"/>
          </w:tcPr>
          <w:p w14:paraId="12DF554B"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color w:val="000000"/>
                <w:sz w:val="18"/>
                <w:szCs w:val="18"/>
                <w:lang w:val="uk-UA"/>
              </w:rPr>
              <w:t>вірус імунодефіциту людини</w:t>
            </w:r>
          </w:p>
        </w:tc>
      </w:tr>
      <w:tr w:rsidR="00954A44" w14:paraId="0C0D832F" w14:textId="77777777" w:rsidTr="00954A44">
        <w:tc>
          <w:tcPr>
            <w:tcW w:w="2835" w:type="dxa"/>
          </w:tcPr>
          <w:p w14:paraId="22838A9E" w14:textId="77777777" w:rsidR="00954A44" w:rsidRPr="00954A44" w:rsidRDefault="00954A44" w:rsidP="00954A44">
            <w:pPr>
              <w:spacing w:line="298" w:lineRule="auto"/>
              <w:ind w:left="460"/>
              <w:rPr>
                <w:rFonts w:ascii="Arial" w:hAnsi="Arial" w:cs="Arial"/>
                <w:b/>
                <w:color w:val="019648"/>
                <w:spacing w:val="-2"/>
                <w:sz w:val="18"/>
                <w:szCs w:val="18"/>
                <w:lang w:val="uk-UA"/>
              </w:rPr>
            </w:pPr>
            <w:r w:rsidRPr="00954A44">
              <w:rPr>
                <w:rFonts w:ascii="Arial" w:hAnsi="Arial" w:cs="Arial"/>
                <w:b/>
                <w:color w:val="019648"/>
                <w:spacing w:val="-5"/>
                <w:w w:val="105"/>
                <w:sz w:val="18"/>
                <w:szCs w:val="18"/>
                <w:lang w:val="uk-UA"/>
              </w:rPr>
              <w:t>ВООЗ</w:t>
            </w:r>
          </w:p>
        </w:tc>
        <w:tc>
          <w:tcPr>
            <w:tcW w:w="7376" w:type="dxa"/>
          </w:tcPr>
          <w:p w14:paraId="2B6991DD" w14:textId="77777777" w:rsidR="00954A44" w:rsidRPr="00954A44" w:rsidRDefault="00954A44" w:rsidP="00954A44">
            <w:pPr>
              <w:spacing w:line="298" w:lineRule="auto"/>
              <w:ind w:left="175"/>
              <w:rPr>
                <w:rFonts w:ascii="Arial" w:hAnsi="Arial" w:cs="Arial"/>
                <w:color w:val="000000"/>
                <w:sz w:val="18"/>
                <w:szCs w:val="18"/>
                <w:lang w:val="uk-UA"/>
              </w:rPr>
            </w:pPr>
            <w:r w:rsidRPr="00954A44">
              <w:rPr>
                <w:rFonts w:ascii="Arial" w:hAnsi="Arial" w:cs="Arial"/>
                <w:sz w:val="18"/>
                <w:szCs w:val="18"/>
                <w:lang w:val="uk-UA"/>
              </w:rPr>
              <w:t>Всесвітня організація охорони здоров’я</w:t>
            </w:r>
          </w:p>
        </w:tc>
      </w:tr>
      <w:tr w:rsidR="00954A44" w:rsidRPr="00D029FF" w14:paraId="6E4AE3AA" w14:textId="77777777" w:rsidTr="00954A44">
        <w:tc>
          <w:tcPr>
            <w:tcW w:w="2835" w:type="dxa"/>
          </w:tcPr>
          <w:p w14:paraId="7D6E68E1" w14:textId="77777777" w:rsidR="00954A44" w:rsidRPr="00954A44" w:rsidRDefault="00954A44" w:rsidP="00954A44">
            <w:pPr>
              <w:spacing w:line="360" w:lineRule="auto"/>
              <w:ind w:left="460"/>
              <w:rPr>
                <w:rFonts w:ascii="Arial" w:hAnsi="Arial" w:cs="Arial"/>
                <w:b/>
                <w:color w:val="019648"/>
                <w:spacing w:val="-2"/>
                <w:sz w:val="18"/>
                <w:szCs w:val="18"/>
                <w:lang w:val="uk-UA"/>
              </w:rPr>
            </w:pPr>
            <w:r w:rsidRPr="00954A44">
              <w:rPr>
                <w:rFonts w:ascii="Arial" w:hAnsi="Arial" w:cs="Arial"/>
                <w:b/>
                <w:color w:val="019648"/>
                <w:spacing w:val="-4"/>
                <w:sz w:val="18"/>
                <w:szCs w:val="18"/>
                <w:lang w:val="uk-UA"/>
              </w:rPr>
              <w:t>Глобальний фонд (ГФ)</w:t>
            </w:r>
          </w:p>
        </w:tc>
        <w:tc>
          <w:tcPr>
            <w:tcW w:w="7376" w:type="dxa"/>
          </w:tcPr>
          <w:p w14:paraId="0FBA7288" w14:textId="77777777" w:rsidR="00954A44" w:rsidRPr="00954A44" w:rsidRDefault="00954A44" w:rsidP="00954A44">
            <w:pPr>
              <w:ind w:left="175"/>
              <w:rPr>
                <w:rFonts w:ascii="Arial" w:hAnsi="Arial" w:cs="Arial"/>
                <w:spacing w:val="-2"/>
                <w:sz w:val="18"/>
                <w:szCs w:val="18"/>
                <w:lang w:val="ru-RU"/>
              </w:rPr>
            </w:pPr>
            <w:r w:rsidRPr="00954A44">
              <w:rPr>
                <w:rFonts w:ascii="Arial" w:hAnsi="Arial" w:cs="Arial"/>
                <w:spacing w:val="-2"/>
                <w:sz w:val="18"/>
                <w:szCs w:val="18"/>
                <w:lang w:val="uk-UA"/>
              </w:rPr>
              <w:t>Глобальний фонд для боротьби зі СНІДом, туберкульозом і малярією</w:t>
            </w:r>
          </w:p>
          <w:p w14:paraId="7EC8895E" w14:textId="77777777" w:rsidR="00954A44" w:rsidRPr="006D69A1" w:rsidRDefault="00954A44" w:rsidP="00954A44">
            <w:pPr>
              <w:ind w:left="175"/>
              <w:rPr>
                <w:rFonts w:ascii="Arial" w:hAnsi="Arial" w:cs="Arial"/>
                <w:color w:val="000000"/>
                <w:sz w:val="10"/>
                <w:szCs w:val="10"/>
                <w:lang w:val="uk-UA"/>
              </w:rPr>
            </w:pPr>
          </w:p>
        </w:tc>
      </w:tr>
      <w:tr w:rsidR="00954A44" w14:paraId="46D64E84" w14:textId="77777777" w:rsidTr="00954A44">
        <w:tc>
          <w:tcPr>
            <w:tcW w:w="2835" w:type="dxa"/>
          </w:tcPr>
          <w:p w14:paraId="4A0CEF29" w14:textId="77777777" w:rsidR="00954A44" w:rsidRPr="00954A44" w:rsidRDefault="00954A44" w:rsidP="00954A44">
            <w:pPr>
              <w:spacing w:line="298" w:lineRule="auto"/>
              <w:ind w:left="460"/>
              <w:rPr>
                <w:rFonts w:ascii="Arial" w:hAnsi="Arial" w:cs="Arial"/>
                <w:b/>
                <w:color w:val="019648"/>
                <w:spacing w:val="-2"/>
                <w:sz w:val="18"/>
                <w:szCs w:val="18"/>
                <w:lang w:val="uk-UA"/>
              </w:rPr>
            </w:pPr>
            <w:r w:rsidRPr="00954A44">
              <w:rPr>
                <w:rFonts w:ascii="Arial" w:hAnsi="Arial" w:cs="Arial"/>
                <w:b/>
                <w:color w:val="019648"/>
                <w:spacing w:val="-5"/>
                <w:sz w:val="18"/>
                <w:szCs w:val="18"/>
                <w:lang w:val="uk-UA"/>
              </w:rPr>
              <w:t>ГРН</w:t>
            </w:r>
          </w:p>
        </w:tc>
        <w:tc>
          <w:tcPr>
            <w:tcW w:w="7376" w:type="dxa"/>
          </w:tcPr>
          <w:p w14:paraId="6D3FE237" w14:textId="77777777" w:rsidR="00954A44" w:rsidRPr="00954A44" w:rsidRDefault="00954A44" w:rsidP="00954A44">
            <w:pPr>
              <w:spacing w:line="298" w:lineRule="auto"/>
              <w:ind w:left="175"/>
              <w:rPr>
                <w:rFonts w:ascii="Arial" w:hAnsi="Arial" w:cs="Arial"/>
                <w:color w:val="000000"/>
                <w:sz w:val="18"/>
                <w:szCs w:val="18"/>
                <w:lang w:val="uk-UA"/>
              </w:rPr>
            </w:pPr>
            <w:r w:rsidRPr="00954A44">
              <w:rPr>
                <w:rFonts w:ascii="Arial" w:hAnsi="Arial" w:cs="Arial"/>
                <w:sz w:val="18"/>
                <w:szCs w:val="18"/>
                <w:lang w:val="uk-UA"/>
              </w:rPr>
              <w:t>Група з розробки настанов</w:t>
            </w:r>
          </w:p>
        </w:tc>
      </w:tr>
      <w:tr w:rsidR="00954A44" w14:paraId="43171625" w14:textId="77777777" w:rsidTr="00954A44">
        <w:tc>
          <w:tcPr>
            <w:tcW w:w="2835" w:type="dxa"/>
          </w:tcPr>
          <w:p w14:paraId="268F0595" w14:textId="77777777" w:rsidR="00954A44" w:rsidRPr="00954A44" w:rsidRDefault="00954A44" w:rsidP="00954A44">
            <w:pPr>
              <w:spacing w:line="298" w:lineRule="auto"/>
              <w:ind w:left="460"/>
              <w:rPr>
                <w:rFonts w:ascii="Arial" w:hAnsi="Arial" w:cs="Arial"/>
                <w:b/>
                <w:color w:val="019648"/>
                <w:spacing w:val="-2"/>
                <w:sz w:val="18"/>
                <w:szCs w:val="18"/>
                <w:lang w:val="uk-UA"/>
              </w:rPr>
            </w:pPr>
            <w:r w:rsidRPr="00954A44">
              <w:rPr>
                <w:rFonts w:ascii="Arial" w:hAnsi="Arial" w:cs="Arial"/>
                <w:b/>
                <w:color w:val="019648"/>
                <w:spacing w:val="-5"/>
                <w:sz w:val="18"/>
                <w:szCs w:val="18"/>
                <w:lang w:val="uk-UA"/>
              </w:rPr>
              <w:t>ДІ</w:t>
            </w:r>
          </w:p>
        </w:tc>
        <w:tc>
          <w:tcPr>
            <w:tcW w:w="7376" w:type="dxa"/>
          </w:tcPr>
          <w:p w14:paraId="57D5E09F" w14:textId="77777777" w:rsidR="00954A44" w:rsidRPr="00954A44" w:rsidRDefault="00954A44" w:rsidP="00954A44">
            <w:pPr>
              <w:spacing w:line="298" w:lineRule="auto"/>
              <w:ind w:left="175"/>
              <w:rPr>
                <w:rFonts w:ascii="Arial" w:hAnsi="Arial" w:cs="Arial"/>
                <w:color w:val="000000"/>
                <w:sz w:val="18"/>
                <w:szCs w:val="18"/>
                <w:lang w:val="uk-UA"/>
              </w:rPr>
            </w:pPr>
            <w:r w:rsidRPr="00954A44">
              <w:rPr>
                <w:rFonts w:ascii="Arial" w:hAnsi="Arial" w:cs="Arial"/>
                <w:sz w:val="18"/>
                <w:szCs w:val="18"/>
                <w:lang w:val="uk-UA"/>
              </w:rPr>
              <w:t>довірчий інтервал</w:t>
            </w:r>
          </w:p>
        </w:tc>
      </w:tr>
      <w:tr w:rsidR="00954A44" w14:paraId="0E2A86BA" w14:textId="77777777" w:rsidTr="00954A44">
        <w:tc>
          <w:tcPr>
            <w:tcW w:w="2835" w:type="dxa"/>
          </w:tcPr>
          <w:p w14:paraId="67B94FDF" w14:textId="77777777" w:rsidR="00954A44" w:rsidRPr="00954A44" w:rsidRDefault="00954A44" w:rsidP="00954A44">
            <w:pPr>
              <w:spacing w:line="298" w:lineRule="auto"/>
              <w:ind w:left="460"/>
              <w:rPr>
                <w:rFonts w:ascii="Arial" w:hAnsi="Arial" w:cs="Arial"/>
                <w:b/>
                <w:color w:val="019648"/>
                <w:spacing w:val="-2"/>
                <w:sz w:val="18"/>
                <w:szCs w:val="18"/>
                <w:lang w:val="uk-UA"/>
              </w:rPr>
            </w:pPr>
            <w:r w:rsidRPr="00954A44">
              <w:rPr>
                <w:rFonts w:ascii="Arial" w:hAnsi="Arial" w:cs="Arial"/>
                <w:b/>
                <w:color w:val="019648"/>
                <w:spacing w:val="-5"/>
                <w:sz w:val="18"/>
                <w:szCs w:val="18"/>
                <w:lang w:val="uk-UA"/>
              </w:rPr>
              <w:t>ДНК</w:t>
            </w:r>
          </w:p>
        </w:tc>
        <w:tc>
          <w:tcPr>
            <w:tcW w:w="7376" w:type="dxa"/>
          </w:tcPr>
          <w:p w14:paraId="4B3A1453" w14:textId="77777777" w:rsidR="00954A44" w:rsidRPr="00954A44" w:rsidRDefault="00954A44" w:rsidP="00954A44">
            <w:pPr>
              <w:spacing w:line="298" w:lineRule="auto"/>
              <w:ind w:left="175"/>
              <w:rPr>
                <w:rFonts w:ascii="Arial" w:hAnsi="Arial" w:cs="Arial"/>
                <w:color w:val="000000"/>
                <w:sz w:val="18"/>
                <w:szCs w:val="18"/>
                <w:lang w:val="uk-UA"/>
              </w:rPr>
            </w:pPr>
            <w:r w:rsidRPr="00954A44">
              <w:rPr>
                <w:rFonts w:ascii="Arial" w:hAnsi="Arial" w:cs="Arial"/>
                <w:sz w:val="18"/>
                <w:szCs w:val="18"/>
                <w:lang w:val="uk-UA"/>
              </w:rPr>
              <w:t>дезоксирибонуклеїнова кислота</w:t>
            </w:r>
          </w:p>
        </w:tc>
      </w:tr>
      <w:tr w:rsidR="00954A44" w:rsidRPr="00D029FF" w14:paraId="0C600DE5" w14:textId="77777777" w:rsidTr="00954A44">
        <w:tc>
          <w:tcPr>
            <w:tcW w:w="2835" w:type="dxa"/>
          </w:tcPr>
          <w:p w14:paraId="107F477E"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4"/>
                <w:sz w:val="18"/>
                <w:szCs w:val="18"/>
                <w:lang w:val="uk-UA"/>
              </w:rPr>
              <w:t>КНСРД</w:t>
            </w:r>
          </w:p>
        </w:tc>
        <w:tc>
          <w:tcPr>
            <w:tcW w:w="7376" w:type="dxa"/>
          </w:tcPr>
          <w:p w14:paraId="7DE66FE8"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країни з низьким і середнім рівнем доходу</w:t>
            </w:r>
          </w:p>
        </w:tc>
      </w:tr>
      <w:tr w:rsidR="00954A44" w14:paraId="19B8E0F6" w14:textId="77777777" w:rsidTr="00954A44">
        <w:tc>
          <w:tcPr>
            <w:tcW w:w="2835" w:type="dxa"/>
          </w:tcPr>
          <w:p w14:paraId="5C01D259" w14:textId="77777777" w:rsidR="00954A44" w:rsidRPr="00954A44" w:rsidRDefault="00954A44" w:rsidP="00954A44">
            <w:pPr>
              <w:spacing w:line="298" w:lineRule="auto"/>
              <w:ind w:left="460"/>
              <w:rPr>
                <w:rFonts w:ascii="Arial" w:hAnsi="Arial" w:cs="Arial"/>
                <w:b/>
                <w:color w:val="019648"/>
                <w:spacing w:val="-2"/>
                <w:sz w:val="18"/>
                <w:szCs w:val="18"/>
                <w:lang w:val="uk-UA"/>
              </w:rPr>
            </w:pPr>
            <w:r w:rsidRPr="00954A44">
              <w:rPr>
                <w:rFonts w:ascii="Arial" w:hAnsi="Arial" w:cs="Arial"/>
                <w:b/>
                <w:color w:val="019648"/>
                <w:spacing w:val="-5"/>
                <w:sz w:val="18"/>
                <w:szCs w:val="18"/>
                <w:lang w:val="uk-UA"/>
              </w:rPr>
              <w:t>куо</w:t>
            </w:r>
          </w:p>
        </w:tc>
        <w:tc>
          <w:tcPr>
            <w:tcW w:w="7376" w:type="dxa"/>
          </w:tcPr>
          <w:p w14:paraId="4CEF7719" w14:textId="77777777" w:rsidR="00954A44" w:rsidRPr="00954A44" w:rsidRDefault="00954A44" w:rsidP="00954A44">
            <w:pPr>
              <w:spacing w:line="298" w:lineRule="auto"/>
              <w:ind w:left="175"/>
              <w:rPr>
                <w:rFonts w:ascii="Arial" w:hAnsi="Arial" w:cs="Arial"/>
                <w:color w:val="000000"/>
                <w:sz w:val="18"/>
                <w:szCs w:val="18"/>
                <w:lang w:val="uk-UA"/>
              </w:rPr>
            </w:pPr>
            <w:r w:rsidRPr="00954A44">
              <w:rPr>
                <w:rFonts w:ascii="Arial" w:hAnsi="Arial" w:cs="Arial"/>
                <w:sz w:val="18"/>
                <w:szCs w:val="18"/>
                <w:lang w:val="uk-UA"/>
              </w:rPr>
              <w:t>колонієутворюючі одиниці</w:t>
            </w:r>
          </w:p>
        </w:tc>
      </w:tr>
      <w:tr w:rsidR="00954A44" w14:paraId="35BC427E" w14:textId="77777777" w:rsidTr="00954A44">
        <w:tc>
          <w:tcPr>
            <w:tcW w:w="2835" w:type="dxa"/>
          </w:tcPr>
          <w:p w14:paraId="649AFFE7" w14:textId="77777777" w:rsidR="00954A44" w:rsidRPr="00954A44" w:rsidRDefault="00954A44" w:rsidP="00954A44">
            <w:pPr>
              <w:spacing w:line="298" w:lineRule="auto"/>
              <w:ind w:left="460"/>
              <w:rPr>
                <w:rFonts w:ascii="Arial" w:hAnsi="Arial" w:cs="Arial"/>
                <w:b/>
                <w:color w:val="019648"/>
                <w:spacing w:val="-2"/>
                <w:sz w:val="18"/>
                <w:szCs w:val="18"/>
                <w:lang w:val="uk-UA"/>
              </w:rPr>
            </w:pPr>
            <w:r w:rsidRPr="00954A44">
              <w:rPr>
                <w:rFonts w:ascii="Arial" w:hAnsi="Arial" w:cs="Arial"/>
                <w:b/>
                <w:color w:val="019648"/>
                <w:w w:val="90"/>
                <w:sz w:val="18"/>
                <w:szCs w:val="18"/>
                <w:lang w:val="uk-UA"/>
              </w:rPr>
              <w:t>ЛС-ТБ</w:t>
            </w:r>
          </w:p>
        </w:tc>
        <w:tc>
          <w:tcPr>
            <w:tcW w:w="7376" w:type="dxa"/>
          </w:tcPr>
          <w:p w14:paraId="29582626" w14:textId="77777777" w:rsidR="00954A44" w:rsidRPr="00954A44" w:rsidRDefault="00954A44" w:rsidP="00954A44">
            <w:pPr>
              <w:spacing w:line="298" w:lineRule="auto"/>
              <w:ind w:left="175"/>
              <w:rPr>
                <w:rFonts w:ascii="Arial" w:hAnsi="Arial" w:cs="Arial"/>
                <w:color w:val="000000"/>
                <w:sz w:val="18"/>
                <w:szCs w:val="18"/>
                <w:lang w:val="uk-UA"/>
              </w:rPr>
            </w:pPr>
            <w:r w:rsidRPr="00954A44">
              <w:rPr>
                <w:rFonts w:ascii="Arial" w:hAnsi="Arial" w:cs="Arial"/>
                <w:sz w:val="18"/>
                <w:szCs w:val="18"/>
                <w:lang w:val="uk-UA"/>
              </w:rPr>
              <w:t>лікарсько-стійкий туберкульоз</w:t>
            </w:r>
          </w:p>
        </w:tc>
      </w:tr>
      <w:tr w:rsidR="00954A44" w:rsidRPr="00BE34C7" w14:paraId="2CC6152B" w14:textId="77777777" w:rsidTr="00954A44">
        <w:tc>
          <w:tcPr>
            <w:tcW w:w="2835" w:type="dxa"/>
          </w:tcPr>
          <w:p w14:paraId="124FA894"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4"/>
                <w:sz w:val="18"/>
                <w:szCs w:val="18"/>
                <w:lang w:val="uk-UA"/>
              </w:rPr>
              <w:t>MБТК</w:t>
            </w:r>
          </w:p>
        </w:tc>
        <w:tc>
          <w:tcPr>
            <w:tcW w:w="7376" w:type="dxa"/>
          </w:tcPr>
          <w:p w14:paraId="1502F036"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iCs/>
                <w:sz w:val="18"/>
                <w:szCs w:val="18"/>
                <w:lang w:val="uk-UA"/>
              </w:rPr>
              <w:t>мікобактерії туберкульозного комплексу</w:t>
            </w:r>
          </w:p>
        </w:tc>
      </w:tr>
      <w:tr w:rsidR="00954A44" w14:paraId="72BAE9A1" w14:textId="77777777" w:rsidTr="00954A44">
        <w:tc>
          <w:tcPr>
            <w:tcW w:w="2835" w:type="dxa"/>
          </w:tcPr>
          <w:p w14:paraId="4626EC63" w14:textId="77777777" w:rsidR="00954A44" w:rsidRPr="00954A44" w:rsidRDefault="00954A44" w:rsidP="00954A44">
            <w:pPr>
              <w:spacing w:line="298" w:lineRule="auto"/>
              <w:ind w:left="460"/>
              <w:rPr>
                <w:rFonts w:ascii="Arial" w:hAnsi="Arial" w:cs="Arial"/>
                <w:b/>
                <w:color w:val="019648"/>
                <w:spacing w:val="-2"/>
                <w:sz w:val="18"/>
                <w:szCs w:val="18"/>
                <w:lang w:val="uk-UA"/>
              </w:rPr>
            </w:pPr>
            <w:r w:rsidRPr="00954A44">
              <w:rPr>
                <w:rFonts w:ascii="Arial" w:hAnsi="Arial" w:cs="Arial"/>
                <w:b/>
                <w:color w:val="019648"/>
                <w:spacing w:val="-5"/>
                <w:sz w:val="18"/>
                <w:szCs w:val="18"/>
                <w:lang w:val="uk-UA"/>
              </w:rPr>
              <w:t>МЛС</w:t>
            </w:r>
          </w:p>
        </w:tc>
        <w:tc>
          <w:tcPr>
            <w:tcW w:w="7376" w:type="dxa"/>
          </w:tcPr>
          <w:p w14:paraId="5E475CAB" w14:textId="77777777" w:rsidR="00954A44" w:rsidRPr="00954A44" w:rsidRDefault="00954A44" w:rsidP="00954A44">
            <w:pPr>
              <w:spacing w:line="298" w:lineRule="auto"/>
              <w:ind w:left="175"/>
              <w:rPr>
                <w:rFonts w:ascii="Arial" w:hAnsi="Arial" w:cs="Arial"/>
                <w:color w:val="000000"/>
                <w:sz w:val="18"/>
                <w:szCs w:val="18"/>
                <w:lang w:val="uk-UA"/>
              </w:rPr>
            </w:pPr>
            <w:r w:rsidRPr="00954A44">
              <w:rPr>
                <w:rFonts w:ascii="Arial" w:hAnsi="Arial" w:cs="Arial"/>
                <w:sz w:val="18"/>
                <w:szCs w:val="18"/>
                <w:lang w:val="uk-UA"/>
              </w:rPr>
              <w:t>множинна лікарська стійкість</w:t>
            </w:r>
          </w:p>
        </w:tc>
      </w:tr>
      <w:tr w:rsidR="00954A44" w:rsidRPr="00D029FF" w14:paraId="4ADC2336" w14:textId="77777777" w:rsidTr="00954A44">
        <w:tc>
          <w:tcPr>
            <w:tcW w:w="2835" w:type="dxa"/>
          </w:tcPr>
          <w:p w14:paraId="07A1B9B5" w14:textId="77777777" w:rsidR="00954A44" w:rsidRPr="00954A44" w:rsidRDefault="00954A44" w:rsidP="00954A44">
            <w:pPr>
              <w:spacing w:line="298" w:lineRule="auto"/>
              <w:ind w:left="460"/>
              <w:rPr>
                <w:rFonts w:ascii="Arial" w:hAnsi="Arial" w:cs="Arial"/>
                <w:b/>
                <w:color w:val="019648"/>
                <w:spacing w:val="-2"/>
                <w:sz w:val="18"/>
                <w:szCs w:val="18"/>
                <w:lang w:val="uk-UA"/>
              </w:rPr>
            </w:pPr>
            <w:r w:rsidRPr="00954A44">
              <w:rPr>
                <w:rFonts w:ascii="Arial" w:hAnsi="Arial" w:cs="Arial"/>
                <w:b/>
                <w:color w:val="019648"/>
                <w:spacing w:val="-5"/>
                <w:sz w:val="18"/>
                <w:szCs w:val="18"/>
                <w:lang w:val="uk-UA"/>
              </w:rPr>
              <w:t>МЛС/Риф-ТБ</w:t>
            </w:r>
          </w:p>
        </w:tc>
        <w:tc>
          <w:tcPr>
            <w:tcW w:w="7376" w:type="dxa"/>
          </w:tcPr>
          <w:p w14:paraId="625DFDBD" w14:textId="77777777" w:rsidR="00954A44" w:rsidRPr="00954A44" w:rsidRDefault="00954A44" w:rsidP="00954A44">
            <w:pPr>
              <w:spacing w:line="298" w:lineRule="auto"/>
              <w:ind w:left="175"/>
              <w:rPr>
                <w:rFonts w:ascii="Arial" w:hAnsi="Arial" w:cs="Arial"/>
                <w:color w:val="000000"/>
                <w:sz w:val="18"/>
                <w:szCs w:val="18"/>
                <w:lang w:val="uk-UA"/>
              </w:rPr>
            </w:pPr>
            <w:r w:rsidRPr="00954A44">
              <w:rPr>
                <w:rFonts w:ascii="Arial" w:hAnsi="Arial" w:cs="Arial"/>
                <w:sz w:val="18"/>
                <w:szCs w:val="18"/>
                <w:lang w:val="uk-UA"/>
              </w:rPr>
              <w:t>ТБ з множинною лікарською стійкістю/ТБ стійкий до рифампіцину</w:t>
            </w:r>
          </w:p>
        </w:tc>
      </w:tr>
      <w:tr w:rsidR="00954A44" w:rsidRPr="00D029FF" w14:paraId="5152FC35" w14:textId="77777777" w:rsidTr="00954A44">
        <w:tc>
          <w:tcPr>
            <w:tcW w:w="2835" w:type="dxa"/>
          </w:tcPr>
          <w:p w14:paraId="7A3FA981" w14:textId="77777777" w:rsidR="00954A44" w:rsidRPr="00954A44" w:rsidRDefault="00954A44" w:rsidP="00954A44">
            <w:pPr>
              <w:spacing w:line="298" w:lineRule="auto"/>
              <w:ind w:left="460"/>
              <w:rPr>
                <w:rFonts w:ascii="Arial" w:hAnsi="Arial" w:cs="Arial"/>
                <w:b/>
                <w:color w:val="019648"/>
                <w:spacing w:val="-2"/>
                <w:sz w:val="18"/>
                <w:szCs w:val="18"/>
                <w:lang w:val="uk-UA"/>
              </w:rPr>
            </w:pPr>
            <w:r w:rsidRPr="00954A44">
              <w:rPr>
                <w:rFonts w:ascii="Arial" w:hAnsi="Arial" w:cs="Arial"/>
                <w:b/>
                <w:color w:val="019648"/>
                <w:spacing w:val="-6"/>
                <w:sz w:val="18"/>
                <w:szCs w:val="18"/>
                <w:lang w:val="uk-UA"/>
              </w:rPr>
              <w:t>МЛС-ТБ</w:t>
            </w:r>
          </w:p>
        </w:tc>
        <w:tc>
          <w:tcPr>
            <w:tcW w:w="7376" w:type="dxa"/>
          </w:tcPr>
          <w:p w14:paraId="7756A05D" w14:textId="77777777" w:rsidR="00954A44" w:rsidRPr="00954A44" w:rsidRDefault="00954A44" w:rsidP="00954A44">
            <w:pPr>
              <w:spacing w:line="298" w:lineRule="auto"/>
              <w:ind w:left="175"/>
              <w:rPr>
                <w:rFonts w:ascii="Arial" w:hAnsi="Arial" w:cs="Arial"/>
                <w:color w:val="000000"/>
                <w:sz w:val="18"/>
                <w:szCs w:val="18"/>
                <w:lang w:val="uk-UA"/>
              </w:rPr>
            </w:pPr>
            <w:r w:rsidRPr="00954A44">
              <w:rPr>
                <w:rFonts w:ascii="Arial" w:hAnsi="Arial" w:cs="Arial"/>
                <w:sz w:val="18"/>
                <w:szCs w:val="18"/>
                <w:lang w:val="uk-UA"/>
              </w:rPr>
              <w:t>ТБ з множинною лікарською стійкістю</w:t>
            </w:r>
          </w:p>
        </w:tc>
      </w:tr>
      <w:tr w:rsidR="00954A44" w:rsidRPr="00D029FF" w14:paraId="6264E80D" w14:textId="77777777" w:rsidTr="00954A44">
        <w:tc>
          <w:tcPr>
            <w:tcW w:w="2835" w:type="dxa"/>
          </w:tcPr>
          <w:p w14:paraId="77A250CC"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5"/>
                <w:sz w:val="18"/>
                <w:szCs w:val="18"/>
                <w:lang w:val="uk-UA"/>
              </w:rPr>
              <w:t>НТП</w:t>
            </w:r>
          </w:p>
        </w:tc>
        <w:tc>
          <w:tcPr>
            <w:tcW w:w="7376" w:type="dxa"/>
          </w:tcPr>
          <w:p w14:paraId="29029041"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color w:val="000000"/>
                <w:sz w:val="18"/>
                <w:szCs w:val="18"/>
                <w:lang w:val="uk-UA"/>
              </w:rPr>
              <w:t>національна програма боротьби з туберкульозом</w:t>
            </w:r>
          </w:p>
        </w:tc>
      </w:tr>
      <w:tr w:rsidR="00954A44" w14:paraId="65F6E27C" w14:textId="77777777" w:rsidTr="00954A44">
        <w:tc>
          <w:tcPr>
            <w:tcW w:w="2835" w:type="dxa"/>
          </w:tcPr>
          <w:p w14:paraId="54271DC7" w14:textId="77777777" w:rsidR="00954A44" w:rsidRPr="00954A44" w:rsidRDefault="00954A44" w:rsidP="00954A44">
            <w:pPr>
              <w:spacing w:line="298" w:lineRule="auto"/>
              <w:ind w:left="460"/>
              <w:rPr>
                <w:rFonts w:ascii="Arial" w:hAnsi="Arial" w:cs="Arial"/>
                <w:b/>
                <w:color w:val="019648"/>
                <w:spacing w:val="-2"/>
                <w:sz w:val="18"/>
                <w:szCs w:val="18"/>
                <w:lang w:val="uk-UA"/>
              </w:rPr>
            </w:pPr>
            <w:r w:rsidRPr="00954A44">
              <w:rPr>
                <w:rFonts w:ascii="Arial" w:hAnsi="Arial" w:cs="Arial"/>
                <w:b/>
                <w:color w:val="019648"/>
                <w:spacing w:val="-5"/>
                <w:sz w:val="18"/>
                <w:szCs w:val="18"/>
                <w:lang w:val="uk-UA"/>
              </w:rPr>
              <w:t>ООН</w:t>
            </w:r>
          </w:p>
        </w:tc>
        <w:tc>
          <w:tcPr>
            <w:tcW w:w="7376" w:type="dxa"/>
          </w:tcPr>
          <w:p w14:paraId="7BAE3A13" w14:textId="77777777" w:rsidR="00954A44" w:rsidRPr="00954A44" w:rsidRDefault="00954A44" w:rsidP="00954A44">
            <w:pPr>
              <w:spacing w:line="298" w:lineRule="auto"/>
              <w:ind w:left="175"/>
              <w:rPr>
                <w:rFonts w:ascii="Arial" w:hAnsi="Arial" w:cs="Arial"/>
                <w:color w:val="000000"/>
                <w:sz w:val="18"/>
                <w:szCs w:val="18"/>
                <w:lang w:val="uk-UA"/>
              </w:rPr>
            </w:pPr>
            <w:r w:rsidRPr="00954A44">
              <w:rPr>
                <w:rFonts w:ascii="Arial" w:hAnsi="Arial" w:cs="Arial"/>
                <w:sz w:val="18"/>
                <w:szCs w:val="18"/>
                <w:lang w:val="uk-UA"/>
              </w:rPr>
              <w:t>Організація Об'єднаних Націй</w:t>
            </w:r>
          </w:p>
        </w:tc>
      </w:tr>
      <w:tr w:rsidR="00954A44" w:rsidRPr="00BE34C7" w14:paraId="4BA5E3CF" w14:textId="77777777" w:rsidTr="00954A44">
        <w:tc>
          <w:tcPr>
            <w:tcW w:w="2835" w:type="dxa"/>
          </w:tcPr>
          <w:p w14:paraId="4B5BAB5A"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5"/>
                <w:sz w:val="18"/>
                <w:szCs w:val="18"/>
                <w:lang w:val="uk-UA"/>
              </w:rPr>
              <w:t>ПЛТ</w:t>
            </w:r>
          </w:p>
        </w:tc>
        <w:tc>
          <w:tcPr>
            <w:tcW w:w="7376" w:type="dxa"/>
          </w:tcPr>
          <w:p w14:paraId="16C982A6"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профілактичне лікування туберкульозу</w:t>
            </w:r>
          </w:p>
        </w:tc>
      </w:tr>
      <w:tr w:rsidR="00954A44" w14:paraId="1EAA9C1F" w14:textId="77777777" w:rsidTr="00954A44">
        <w:tc>
          <w:tcPr>
            <w:tcW w:w="2835" w:type="dxa"/>
          </w:tcPr>
          <w:p w14:paraId="36215D4F" w14:textId="77777777" w:rsidR="00954A44" w:rsidRPr="00954A44" w:rsidRDefault="00954A44" w:rsidP="00954A44">
            <w:pPr>
              <w:spacing w:line="298" w:lineRule="auto"/>
              <w:ind w:left="460"/>
              <w:rPr>
                <w:rFonts w:ascii="Arial" w:hAnsi="Arial" w:cs="Arial"/>
                <w:b/>
                <w:color w:val="019648"/>
                <w:spacing w:val="-2"/>
                <w:sz w:val="18"/>
                <w:szCs w:val="18"/>
                <w:lang w:val="uk-UA"/>
              </w:rPr>
            </w:pPr>
            <w:r w:rsidRPr="00954A44">
              <w:rPr>
                <w:rFonts w:ascii="Arial" w:hAnsi="Arial" w:cs="Arial"/>
                <w:b/>
                <w:color w:val="019648"/>
                <w:spacing w:val="-5"/>
                <w:sz w:val="18"/>
                <w:szCs w:val="18"/>
                <w:lang w:val="uk-UA"/>
              </w:rPr>
              <w:t>ПГС</w:t>
            </w:r>
          </w:p>
        </w:tc>
        <w:tc>
          <w:tcPr>
            <w:tcW w:w="7376" w:type="dxa"/>
          </w:tcPr>
          <w:p w14:paraId="390562C3" w14:textId="77777777" w:rsidR="00954A44" w:rsidRPr="00954A44" w:rsidRDefault="00954A44" w:rsidP="00954A44">
            <w:pPr>
              <w:spacing w:line="298" w:lineRule="auto"/>
              <w:ind w:left="175"/>
              <w:rPr>
                <w:rFonts w:ascii="Arial" w:hAnsi="Arial" w:cs="Arial"/>
                <w:color w:val="000000"/>
                <w:sz w:val="18"/>
                <w:szCs w:val="18"/>
                <w:lang w:val="uk-UA"/>
              </w:rPr>
            </w:pPr>
            <w:r w:rsidRPr="00954A44">
              <w:rPr>
                <w:rFonts w:ascii="Arial" w:hAnsi="Arial" w:cs="Arial"/>
                <w:sz w:val="18"/>
                <w:szCs w:val="18"/>
                <w:lang w:val="uk-UA"/>
              </w:rPr>
              <w:t>повногеномне секвенування</w:t>
            </w:r>
          </w:p>
        </w:tc>
      </w:tr>
      <w:tr w:rsidR="00954A44" w:rsidRPr="00BE34C7" w14:paraId="68F34E2F" w14:textId="77777777" w:rsidTr="00954A44">
        <w:tc>
          <w:tcPr>
            <w:tcW w:w="2835" w:type="dxa"/>
          </w:tcPr>
          <w:p w14:paraId="12341D78"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5"/>
                <w:sz w:val="18"/>
                <w:szCs w:val="18"/>
                <w:lang w:val="uk-UA"/>
              </w:rPr>
              <w:t>Риф</w:t>
            </w:r>
          </w:p>
        </w:tc>
        <w:tc>
          <w:tcPr>
            <w:tcW w:w="7376" w:type="dxa"/>
          </w:tcPr>
          <w:p w14:paraId="745B2DA7"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pacing w:val="-2"/>
                <w:w w:val="105"/>
                <w:sz w:val="18"/>
                <w:szCs w:val="18"/>
                <w:lang w:val="uk-UA"/>
              </w:rPr>
              <w:t>рифампіцин</w:t>
            </w:r>
          </w:p>
        </w:tc>
      </w:tr>
      <w:tr w:rsidR="00954A44" w:rsidRPr="00BE34C7" w14:paraId="628DCCFE" w14:textId="77777777" w:rsidTr="00954A44">
        <w:tc>
          <w:tcPr>
            <w:tcW w:w="2835" w:type="dxa"/>
          </w:tcPr>
          <w:p w14:paraId="590B5E47"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5"/>
                <w:sz w:val="18"/>
                <w:szCs w:val="18"/>
                <w:lang w:val="uk-UA"/>
              </w:rPr>
              <w:t>Риф-ТБ</w:t>
            </w:r>
          </w:p>
        </w:tc>
        <w:tc>
          <w:tcPr>
            <w:tcW w:w="7376" w:type="dxa"/>
          </w:tcPr>
          <w:p w14:paraId="242CB7A4"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ТБ стійкий до рифампіцину</w:t>
            </w:r>
          </w:p>
        </w:tc>
      </w:tr>
      <w:tr w:rsidR="00954A44" w:rsidRPr="00BE34C7" w14:paraId="7D9CB38D" w14:textId="77777777" w:rsidTr="00954A44">
        <w:tc>
          <w:tcPr>
            <w:tcW w:w="2835" w:type="dxa"/>
          </w:tcPr>
          <w:p w14:paraId="74FE11E0"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5"/>
                <w:sz w:val="18"/>
                <w:szCs w:val="18"/>
                <w:lang w:val="uk-UA"/>
              </w:rPr>
              <w:t>РНК</w:t>
            </w:r>
          </w:p>
        </w:tc>
        <w:tc>
          <w:tcPr>
            <w:tcW w:w="7376" w:type="dxa"/>
          </w:tcPr>
          <w:p w14:paraId="5200A3E7"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рибонуклеїнова кислота</w:t>
            </w:r>
          </w:p>
        </w:tc>
      </w:tr>
      <w:tr w:rsidR="00954A44" w14:paraId="27C4022F" w14:textId="77777777" w:rsidTr="00954A44">
        <w:tc>
          <w:tcPr>
            <w:tcW w:w="2835" w:type="dxa"/>
          </w:tcPr>
          <w:p w14:paraId="7FA111DE" w14:textId="77777777" w:rsidR="00954A44" w:rsidRPr="00954A44" w:rsidRDefault="00954A44" w:rsidP="00954A44">
            <w:pPr>
              <w:spacing w:line="298" w:lineRule="auto"/>
              <w:ind w:left="460"/>
              <w:rPr>
                <w:rFonts w:ascii="Arial" w:hAnsi="Arial" w:cs="Arial"/>
                <w:b/>
                <w:color w:val="019648"/>
                <w:spacing w:val="-5"/>
                <w:sz w:val="18"/>
                <w:szCs w:val="18"/>
                <w:lang w:val="uk-UA"/>
              </w:rPr>
            </w:pPr>
            <w:r w:rsidRPr="00954A44">
              <w:rPr>
                <w:rFonts w:ascii="Arial" w:hAnsi="Arial" w:cs="Arial"/>
                <w:b/>
                <w:color w:val="019648"/>
                <w:spacing w:val="-5"/>
                <w:w w:val="95"/>
                <w:sz w:val="18"/>
                <w:szCs w:val="18"/>
                <w:lang w:val="uk-UA"/>
              </w:rPr>
              <w:t>ПЛР</w:t>
            </w:r>
          </w:p>
        </w:tc>
        <w:tc>
          <w:tcPr>
            <w:tcW w:w="7376" w:type="dxa"/>
          </w:tcPr>
          <w:p w14:paraId="61377658"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полімеразна ланцюгова реакція</w:t>
            </w:r>
          </w:p>
        </w:tc>
      </w:tr>
      <w:tr w:rsidR="00954A44" w:rsidRPr="00D029FF" w14:paraId="5010F994" w14:textId="77777777" w:rsidTr="00954A44">
        <w:tc>
          <w:tcPr>
            <w:tcW w:w="2835" w:type="dxa"/>
          </w:tcPr>
          <w:p w14:paraId="2594945A" w14:textId="77777777" w:rsidR="00954A44" w:rsidRPr="00954A44" w:rsidRDefault="00954A44" w:rsidP="00954A44">
            <w:pPr>
              <w:spacing w:line="360" w:lineRule="auto"/>
              <w:ind w:left="460"/>
              <w:rPr>
                <w:rFonts w:ascii="Arial" w:hAnsi="Arial" w:cs="Arial"/>
                <w:b/>
                <w:color w:val="019648"/>
                <w:spacing w:val="-5"/>
                <w:sz w:val="18"/>
                <w:szCs w:val="18"/>
                <w:lang w:val="uk-UA"/>
              </w:rPr>
            </w:pPr>
            <w:r w:rsidRPr="00954A44">
              <w:rPr>
                <w:rFonts w:ascii="Arial" w:hAnsi="Arial" w:cs="Arial"/>
                <w:b/>
                <w:color w:val="019648"/>
                <w:spacing w:val="-6"/>
                <w:sz w:val="18"/>
                <w:szCs w:val="18"/>
                <w:lang w:val="uk-UA"/>
              </w:rPr>
              <w:t>рТАНК-НС</w:t>
            </w:r>
          </w:p>
        </w:tc>
        <w:tc>
          <w:tcPr>
            <w:tcW w:w="7376" w:type="dxa"/>
          </w:tcPr>
          <w:p w14:paraId="500BFAEA" w14:textId="03D86D22" w:rsidR="00954A44" w:rsidRPr="00954A44" w:rsidRDefault="00954A44" w:rsidP="00954A44">
            <w:pPr>
              <w:ind w:left="175"/>
              <w:rPr>
                <w:rFonts w:ascii="Arial" w:hAnsi="Arial" w:cs="Arial"/>
                <w:bCs/>
                <w:sz w:val="18"/>
                <w:szCs w:val="18"/>
                <w:lang w:val="uk-UA"/>
              </w:rPr>
            </w:pPr>
            <w:r w:rsidRPr="00954A44">
              <w:rPr>
                <w:rFonts w:ascii="Arial" w:hAnsi="Arial" w:cs="Arial"/>
                <w:bCs/>
                <w:sz w:val="18"/>
                <w:szCs w:val="18"/>
                <w:lang w:val="uk-UA"/>
              </w:rPr>
              <w:t>ручний тест ампліфікаці</w:t>
            </w:r>
            <w:r w:rsidR="00536455">
              <w:rPr>
                <w:rFonts w:ascii="Arial" w:hAnsi="Arial" w:cs="Arial"/>
                <w:bCs/>
                <w:sz w:val="18"/>
                <w:szCs w:val="18"/>
                <w:lang w:val="uk-UA"/>
              </w:rPr>
              <w:t>ї</w:t>
            </w:r>
            <w:r w:rsidRPr="00954A44">
              <w:rPr>
                <w:rFonts w:ascii="Arial" w:hAnsi="Arial" w:cs="Arial"/>
                <w:bCs/>
                <w:sz w:val="18"/>
                <w:szCs w:val="18"/>
                <w:lang w:val="uk-UA"/>
              </w:rPr>
              <w:t xml:space="preserve"> нуклеїнових кислот низької складності</w:t>
            </w:r>
          </w:p>
          <w:p w14:paraId="76A5C204" w14:textId="77777777" w:rsidR="00954A44" w:rsidRPr="006D69A1" w:rsidRDefault="00954A44" w:rsidP="00954A44">
            <w:pPr>
              <w:ind w:left="175"/>
              <w:rPr>
                <w:rFonts w:ascii="Arial" w:hAnsi="Arial" w:cs="Arial"/>
                <w:sz w:val="10"/>
                <w:szCs w:val="10"/>
                <w:lang w:val="uk-UA"/>
              </w:rPr>
            </w:pPr>
          </w:p>
        </w:tc>
      </w:tr>
      <w:tr w:rsidR="00954A44" w14:paraId="43DF4136" w14:textId="77777777" w:rsidTr="00954A44">
        <w:tc>
          <w:tcPr>
            <w:tcW w:w="2835" w:type="dxa"/>
          </w:tcPr>
          <w:p w14:paraId="364392C9"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5"/>
                <w:sz w:val="18"/>
                <w:szCs w:val="18"/>
                <w:lang w:val="uk-UA"/>
              </w:rPr>
              <w:t>СМР</w:t>
            </w:r>
          </w:p>
        </w:tc>
        <w:tc>
          <w:tcPr>
            <w:tcW w:w="7376" w:type="dxa"/>
          </w:tcPr>
          <w:p w14:paraId="5962F1B3"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спинномозкова рідина</w:t>
            </w:r>
          </w:p>
        </w:tc>
      </w:tr>
      <w:tr w:rsidR="00954A44" w14:paraId="6BEF80CE" w14:textId="77777777" w:rsidTr="00954A44">
        <w:tc>
          <w:tcPr>
            <w:tcW w:w="2835" w:type="dxa"/>
          </w:tcPr>
          <w:p w14:paraId="66D57EA5"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4"/>
                <w:sz w:val="18"/>
                <w:szCs w:val="18"/>
                <w:lang w:val="uk-UA"/>
              </w:rPr>
              <w:t>CНІД</w:t>
            </w:r>
          </w:p>
        </w:tc>
        <w:tc>
          <w:tcPr>
            <w:tcW w:w="7376" w:type="dxa"/>
          </w:tcPr>
          <w:p w14:paraId="27686B77"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синдром набутого імунодефіциту</w:t>
            </w:r>
          </w:p>
        </w:tc>
      </w:tr>
      <w:tr w:rsidR="00954A44" w:rsidRPr="00BE34C7" w14:paraId="41EE7DEF" w14:textId="77777777" w:rsidTr="00954A44">
        <w:tc>
          <w:tcPr>
            <w:tcW w:w="2835" w:type="dxa"/>
          </w:tcPr>
          <w:p w14:paraId="5E2D511A"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5"/>
                <w:sz w:val="18"/>
                <w:szCs w:val="18"/>
                <w:lang w:val="uk-UA"/>
              </w:rPr>
              <w:t>СНП</w:t>
            </w:r>
          </w:p>
        </w:tc>
        <w:tc>
          <w:tcPr>
            <w:tcW w:w="7376" w:type="dxa"/>
          </w:tcPr>
          <w:p w14:paraId="0B8D2C70" w14:textId="619C2455" w:rsidR="00954A44" w:rsidRPr="00954A44" w:rsidRDefault="00954A44" w:rsidP="00954A44">
            <w:pPr>
              <w:spacing w:line="298" w:lineRule="auto"/>
              <w:ind w:left="175"/>
              <w:rPr>
                <w:rFonts w:ascii="Arial" w:hAnsi="Arial" w:cs="Arial"/>
                <w:sz w:val="18"/>
                <w:szCs w:val="18"/>
                <w:lang w:val="uk-UA"/>
              </w:rPr>
            </w:pPr>
            <w:r w:rsidRPr="001D5E59">
              <w:rPr>
                <w:rFonts w:ascii="Arial" w:hAnsi="Arial" w:cs="Arial"/>
                <w:color w:val="000000"/>
                <w:sz w:val="18"/>
                <w:szCs w:val="18"/>
                <w:lang w:val="uk-UA"/>
              </w:rPr>
              <w:t>секвенування нового</w:t>
            </w:r>
            <w:r w:rsidRPr="00954A44">
              <w:rPr>
                <w:rFonts w:ascii="Arial" w:hAnsi="Arial" w:cs="Arial"/>
                <w:color w:val="000000"/>
                <w:sz w:val="18"/>
                <w:szCs w:val="18"/>
                <w:lang w:val="uk-UA"/>
              </w:rPr>
              <w:t xml:space="preserve"> покоління</w:t>
            </w:r>
          </w:p>
        </w:tc>
      </w:tr>
      <w:tr w:rsidR="00954A44" w:rsidRPr="00D029FF" w14:paraId="6E48842E" w14:textId="77777777" w:rsidTr="00954A44">
        <w:tc>
          <w:tcPr>
            <w:tcW w:w="2835" w:type="dxa"/>
          </w:tcPr>
          <w:p w14:paraId="75620AF8"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5"/>
                <w:sz w:val="18"/>
                <w:szCs w:val="18"/>
                <w:lang w:val="uk-UA"/>
              </w:rPr>
              <w:t>СНРЛ-ТБ</w:t>
            </w:r>
          </w:p>
        </w:tc>
        <w:tc>
          <w:tcPr>
            <w:tcW w:w="7376" w:type="dxa"/>
          </w:tcPr>
          <w:p w14:paraId="4D4BC16E"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супранаціональна референс-лабораторія з ТБ</w:t>
            </w:r>
          </w:p>
        </w:tc>
      </w:tr>
      <w:tr w:rsidR="00954A44" w:rsidRPr="00D029FF" w14:paraId="4F6D1076" w14:textId="77777777" w:rsidTr="00954A44">
        <w:tc>
          <w:tcPr>
            <w:tcW w:w="2835" w:type="dxa"/>
          </w:tcPr>
          <w:p w14:paraId="6F03D623" w14:textId="77777777" w:rsidR="00954A44" w:rsidRPr="00954A44" w:rsidRDefault="00954A44" w:rsidP="00954A44">
            <w:pPr>
              <w:spacing w:line="298" w:lineRule="auto"/>
              <w:ind w:left="460"/>
              <w:rPr>
                <w:rFonts w:ascii="Arial" w:hAnsi="Arial" w:cs="Arial"/>
                <w:b/>
                <w:color w:val="019648"/>
                <w:spacing w:val="-5"/>
                <w:sz w:val="18"/>
                <w:szCs w:val="18"/>
                <w:lang w:val="uk-UA"/>
              </w:rPr>
            </w:pPr>
            <w:r w:rsidRPr="00954A44">
              <w:rPr>
                <w:rFonts w:ascii="Arial" w:hAnsi="Arial" w:cs="Arial"/>
                <w:b/>
                <w:color w:val="019648"/>
                <w:sz w:val="18"/>
                <w:szCs w:val="18"/>
                <w:lang w:val="uk-UA"/>
              </w:rPr>
              <w:t>Сполучене Королівство</w:t>
            </w:r>
          </w:p>
        </w:tc>
        <w:tc>
          <w:tcPr>
            <w:tcW w:w="7376" w:type="dxa"/>
          </w:tcPr>
          <w:p w14:paraId="013AFF9E"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Сполучене Королівство Великої Британії та Північної Ірландії</w:t>
            </w:r>
          </w:p>
        </w:tc>
      </w:tr>
      <w:tr w:rsidR="00954A44" w14:paraId="6BC1BD40" w14:textId="77777777" w:rsidTr="00954A44">
        <w:tc>
          <w:tcPr>
            <w:tcW w:w="2835" w:type="dxa"/>
          </w:tcPr>
          <w:p w14:paraId="261D6453" w14:textId="77777777" w:rsidR="00954A44" w:rsidRPr="00954A44" w:rsidRDefault="00954A44" w:rsidP="00954A44">
            <w:pPr>
              <w:spacing w:line="298" w:lineRule="auto"/>
              <w:ind w:left="460"/>
              <w:rPr>
                <w:rFonts w:ascii="Arial" w:hAnsi="Arial" w:cs="Arial"/>
                <w:b/>
                <w:color w:val="019648"/>
                <w:spacing w:val="-5"/>
                <w:sz w:val="18"/>
                <w:szCs w:val="18"/>
                <w:lang w:val="uk-UA"/>
              </w:rPr>
            </w:pPr>
            <w:r w:rsidRPr="00954A44">
              <w:rPr>
                <w:rFonts w:ascii="Arial" w:hAnsi="Arial" w:cs="Arial"/>
                <w:b/>
                <w:color w:val="019648"/>
                <w:spacing w:val="-5"/>
                <w:sz w:val="18"/>
                <w:szCs w:val="18"/>
                <w:lang w:val="uk-UA"/>
              </w:rPr>
              <w:t>США</w:t>
            </w:r>
          </w:p>
        </w:tc>
        <w:tc>
          <w:tcPr>
            <w:tcW w:w="7376" w:type="dxa"/>
          </w:tcPr>
          <w:p w14:paraId="509E80D8"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Сполучені Штати Америки</w:t>
            </w:r>
          </w:p>
        </w:tc>
      </w:tr>
      <w:tr w:rsidR="00954A44" w:rsidRPr="00D029FF" w14:paraId="3FBD3A87" w14:textId="77777777" w:rsidTr="00954A44">
        <w:tc>
          <w:tcPr>
            <w:tcW w:w="2835" w:type="dxa"/>
          </w:tcPr>
          <w:p w14:paraId="028637D7"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4"/>
                <w:sz w:val="18"/>
                <w:szCs w:val="18"/>
                <w:lang w:val="uk-UA"/>
              </w:rPr>
              <w:t>ТАНК</w:t>
            </w:r>
          </w:p>
        </w:tc>
        <w:tc>
          <w:tcPr>
            <w:tcW w:w="7376" w:type="dxa"/>
          </w:tcPr>
          <w:p w14:paraId="7218E2AF"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тест на ампліфікацію нуклеїнових кислот</w:t>
            </w:r>
          </w:p>
        </w:tc>
      </w:tr>
      <w:tr w:rsidR="00954A44" w:rsidRPr="00D029FF" w14:paraId="349A287B" w14:textId="77777777" w:rsidTr="00954A44">
        <w:tc>
          <w:tcPr>
            <w:tcW w:w="2835" w:type="dxa"/>
          </w:tcPr>
          <w:p w14:paraId="597B2DA0" w14:textId="77777777" w:rsidR="00954A44" w:rsidRPr="00954A44" w:rsidRDefault="00954A44" w:rsidP="00954A44">
            <w:pPr>
              <w:spacing w:line="298" w:lineRule="auto"/>
              <w:ind w:left="460"/>
              <w:rPr>
                <w:rFonts w:ascii="Arial" w:hAnsi="Arial" w:cs="Arial"/>
                <w:b/>
                <w:color w:val="019648"/>
                <w:spacing w:val="-5"/>
                <w:sz w:val="18"/>
                <w:szCs w:val="18"/>
                <w:lang w:val="uk-UA"/>
              </w:rPr>
            </w:pPr>
            <w:r w:rsidRPr="00954A44">
              <w:rPr>
                <w:rFonts w:ascii="Arial" w:hAnsi="Arial" w:cs="Arial"/>
                <w:b/>
                <w:color w:val="019648"/>
                <w:spacing w:val="-7"/>
                <w:sz w:val="18"/>
                <w:szCs w:val="18"/>
                <w:lang w:val="uk-UA"/>
              </w:rPr>
              <w:t>ТАНК-НС</w:t>
            </w:r>
          </w:p>
        </w:tc>
        <w:tc>
          <w:tcPr>
            <w:tcW w:w="7376" w:type="dxa"/>
          </w:tcPr>
          <w:p w14:paraId="65923222" w14:textId="3B7489B9"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bCs/>
                <w:sz w:val="18"/>
                <w:szCs w:val="18"/>
                <w:lang w:val="uk-UA"/>
              </w:rPr>
              <w:t>тест ампліфікаці</w:t>
            </w:r>
            <w:r w:rsidR="00536455">
              <w:rPr>
                <w:rFonts w:ascii="Arial" w:hAnsi="Arial" w:cs="Arial"/>
                <w:bCs/>
                <w:sz w:val="18"/>
                <w:szCs w:val="18"/>
                <w:lang w:val="uk-UA"/>
              </w:rPr>
              <w:t>ї</w:t>
            </w:r>
            <w:r w:rsidRPr="00954A44">
              <w:rPr>
                <w:rFonts w:ascii="Arial" w:hAnsi="Arial" w:cs="Arial"/>
                <w:bCs/>
                <w:sz w:val="18"/>
                <w:szCs w:val="18"/>
                <w:lang w:val="uk-UA"/>
              </w:rPr>
              <w:t xml:space="preserve"> нуклеїнових кислот низької складності</w:t>
            </w:r>
          </w:p>
        </w:tc>
      </w:tr>
      <w:tr w:rsidR="00954A44" w:rsidRPr="00BE34C7" w14:paraId="687C71CF" w14:textId="77777777" w:rsidTr="00954A44">
        <w:tc>
          <w:tcPr>
            <w:tcW w:w="2835" w:type="dxa"/>
          </w:tcPr>
          <w:p w14:paraId="190FC044"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5"/>
                <w:sz w:val="18"/>
                <w:szCs w:val="18"/>
                <w:lang w:val="uk-UA"/>
              </w:rPr>
              <w:t>TБ</w:t>
            </w:r>
          </w:p>
        </w:tc>
        <w:tc>
          <w:tcPr>
            <w:tcW w:w="7376" w:type="dxa"/>
          </w:tcPr>
          <w:p w14:paraId="0C4FB26B"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туберкульоз</w:t>
            </w:r>
          </w:p>
        </w:tc>
      </w:tr>
      <w:tr w:rsidR="00954A44" w14:paraId="1087B25D" w14:textId="77777777" w:rsidTr="00954A44">
        <w:tc>
          <w:tcPr>
            <w:tcW w:w="2835" w:type="dxa"/>
          </w:tcPr>
          <w:p w14:paraId="09270238" w14:textId="77777777" w:rsidR="00954A44" w:rsidRPr="00954A44" w:rsidRDefault="00954A44" w:rsidP="00954A44">
            <w:pPr>
              <w:spacing w:line="298" w:lineRule="auto"/>
              <w:ind w:left="460"/>
              <w:rPr>
                <w:rFonts w:ascii="Arial" w:hAnsi="Arial" w:cs="Arial"/>
                <w:sz w:val="18"/>
                <w:szCs w:val="18"/>
                <w:lang w:val="uk-UA"/>
              </w:rPr>
            </w:pPr>
            <w:r w:rsidRPr="00954A44">
              <w:rPr>
                <w:rFonts w:ascii="Arial" w:hAnsi="Arial" w:cs="Arial"/>
                <w:b/>
                <w:color w:val="019648"/>
                <w:spacing w:val="-5"/>
                <w:sz w:val="18"/>
                <w:szCs w:val="18"/>
                <w:lang w:val="uk-UA"/>
              </w:rPr>
              <w:t>ТМЧ</w:t>
            </w:r>
          </w:p>
        </w:tc>
        <w:tc>
          <w:tcPr>
            <w:tcW w:w="7376" w:type="dxa"/>
          </w:tcPr>
          <w:p w14:paraId="388CE706"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тестування на медикаментозну чутливість</w:t>
            </w:r>
          </w:p>
        </w:tc>
      </w:tr>
      <w:tr w:rsidR="00954A44" w14:paraId="1AC52E92" w14:textId="77777777" w:rsidTr="00954A44">
        <w:tc>
          <w:tcPr>
            <w:tcW w:w="2835" w:type="dxa"/>
          </w:tcPr>
          <w:p w14:paraId="40D263D1" w14:textId="77777777" w:rsidR="00954A44" w:rsidRPr="00954A44" w:rsidRDefault="00954A44" w:rsidP="00954A44">
            <w:pPr>
              <w:spacing w:line="298" w:lineRule="auto"/>
              <w:ind w:left="460"/>
              <w:rPr>
                <w:rFonts w:ascii="Arial" w:hAnsi="Arial" w:cs="Arial"/>
                <w:b/>
                <w:color w:val="019648"/>
                <w:spacing w:val="-5"/>
                <w:sz w:val="18"/>
                <w:szCs w:val="18"/>
                <w:lang w:val="uk-UA"/>
              </w:rPr>
            </w:pPr>
            <w:r w:rsidRPr="00954A44">
              <w:rPr>
                <w:rFonts w:ascii="Arial" w:hAnsi="Arial" w:cs="Arial"/>
                <w:b/>
                <w:color w:val="019648"/>
                <w:spacing w:val="-5"/>
                <w:sz w:val="18"/>
                <w:szCs w:val="18"/>
                <w:lang w:val="uk-UA"/>
              </w:rPr>
              <w:t>ТНК</w:t>
            </w:r>
          </w:p>
        </w:tc>
        <w:tc>
          <w:tcPr>
            <w:tcW w:w="7376" w:type="dxa"/>
          </w:tcPr>
          <w:p w14:paraId="624C0E15"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тест на нуклеїнові кислоти</w:t>
            </w:r>
          </w:p>
        </w:tc>
      </w:tr>
      <w:tr w:rsidR="001D5E59" w:rsidRPr="00D029FF" w14:paraId="2924DA45" w14:textId="77777777" w:rsidTr="001D5E59">
        <w:tc>
          <w:tcPr>
            <w:tcW w:w="2835" w:type="dxa"/>
            <w:shd w:val="clear" w:color="auto" w:fill="auto"/>
          </w:tcPr>
          <w:p w14:paraId="32BB4F7B" w14:textId="2B3F7091" w:rsidR="001D5E59" w:rsidRPr="001D5E59" w:rsidRDefault="001D5E59" w:rsidP="001D5E59">
            <w:pPr>
              <w:spacing w:line="298" w:lineRule="auto"/>
              <w:ind w:left="460"/>
              <w:rPr>
                <w:rFonts w:ascii="Arial" w:hAnsi="Arial" w:cs="Arial"/>
                <w:b/>
                <w:color w:val="019648"/>
                <w:spacing w:val="-5"/>
                <w:sz w:val="18"/>
                <w:szCs w:val="18"/>
                <w:lang w:val="uk-UA"/>
              </w:rPr>
            </w:pPr>
            <w:r w:rsidRPr="001D5E59">
              <w:rPr>
                <w:rFonts w:ascii="Arial" w:hAnsi="Arial" w:cs="Arial"/>
                <w:b/>
                <w:color w:val="019648"/>
                <w:spacing w:val="-5"/>
                <w:sz w:val="18"/>
                <w:szCs w:val="18"/>
                <w:lang w:val="uk-UA"/>
              </w:rPr>
              <w:t>ТШП</w:t>
            </w:r>
          </w:p>
        </w:tc>
        <w:tc>
          <w:tcPr>
            <w:tcW w:w="7376" w:type="dxa"/>
            <w:shd w:val="clear" w:color="auto" w:fill="auto"/>
          </w:tcPr>
          <w:p w14:paraId="56E4F8AD" w14:textId="3BCE2DAA" w:rsidR="001D5E59" w:rsidRPr="00954A44" w:rsidRDefault="001D5E59" w:rsidP="001D5E59">
            <w:pPr>
              <w:spacing w:line="298" w:lineRule="auto"/>
              <w:ind w:left="175"/>
              <w:rPr>
                <w:rFonts w:ascii="Arial" w:hAnsi="Arial" w:cs="Arial"/>
                <w:sz w:val="18"/>
                <w:szCs w:val="18"/>
                <w:lang w:val="uk-UA"/>
              </w:rPr>
            </w:pPr>
            <w:r w:rsidRPr="001D5E59">
              <w:rPr>
                <w:rFonts w:ascii="Arial" w:hAnsi="Arial" w:cs="Arial"/>
                <w:sz w:val="18"/>
                <w:szCs w:val="18"/>
                <w:lang w:val="uk-UA"/>
              </w:rPr>
              <w:t>туберкулінова шкірна проба (проба Манту)</w:t>
            </w:r>
          </w:p>
        </w:tc>
      </w:tr>
      <w:tr w:rsidR="00954A44" w14:paraId="77915ADE" w14:textId="77777777" w:rsidTr="00954A44">
        <w:tc>
          <w:tcPr>
            <w:tcW w:w="2835" w:type="dxa"/>
          </w:tcPr>
          <w:p w14:paraId="199862F2" w14:textId="77777777" w:rsidR="00954A44" w:rsidRPr="00954A44" w:rsidRDefault="00954A44" w:rsidP="00954A44">
            <w:pPr>
              <w:spacing w:line="298" w:lineRule="auto"/>
              <w:ind w:left="460"/>
              <w:rPr>
                <w:rFonts w:ascii="Arial" w:hAnsi="Arial" w:cs="Arial"/>
                <w:b/>
                <w:color w:val="019648"/>
                <w:spacing w:val="-5"/>
                <w:sz w:val="18"/>
                <w:szCs w:val="18"/>
                <w:lang w:val="uk-UA"/>
              </w:rPr>
            </w:pPr>
            <w:r w:rsidRPr="00954A44">
              <w:rPr>
                <w:rFonts w:ascii="Arial" w:hAnsi="Arial" w:cs="Arial"/>
                <w:b/>
                <w:color w:val="019648"/>
                <w:spacing w:val="-5"/>
                <w:sz w:val="18"/>
                <w:szCs w:val="18"/>
                <w:lang w:val="uk-UA"/>
              </w:rPr>
              <w:t>УФ</w:t>
            </w:r>
          </w:p>
        </w:tc>
        <w:tc>
          <w:tcPr>
            <w:tcW w:w="7376" w:type="dxa"/>
          </w:tcPr>
          <w:p w14:paraId="06189178"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pacing w:val="-2"/>
                <w:w w:val="105"/>
                <w:sz w:val="18"/>
                <w:szCs w:val="18"/>
                <w:lang w:val="uk-UA"/>
              </w:rPr>
              <w:t>ультрафіолет</w:t>
            </w:r>
          </w:p>
        </w:tc>
      </w:tr>
      <w:tr w:rsidR="00954A44" w:rsidRPr="00D029FF" w14:paraId="4208D473" w14:textId="77777777" w:rsidTr="00954A44">
        <w:tc>
          <w:tcPr>
            <w:tcW w:w="2835" w:type="dxa"/>
          </w:tcPr>
          <w:p w14:paraId="1E57F248" w14:textId="77777777" w:rsidR="00954A44" w:rsidRPr="00954A44" w:rsidRDefault="00954A44" w:rsidP="00954A44">
            <w:pPr>
              <w:spacing w:line="298" w:lineRule="auto"/>
              <w:ind w:left="460"/>
              <w:rPr>
                <w:rFonts w:ascii="Arial" w:hAnsi="Arial" w:cs="Arial"/>
                <w:b/>
                <w:color w:val="019648"/>
                <w:spacing w:val="-5"/>
                <w:sz w:val="18"/>
                <w:szCs w:val="18"/>
                <w:lang w:val="uk-UA"/>
              </w:rPr>
            </w:pPr>
            <w:r w:rsidRPr="00954A44">
              <w:rPr>
                <w:rFonts w:ascii="Arial" w:hAnsi="Arial" w:cs="Arial"/>
                <w:b/>
                <w:color w:val="019648"/>
                <w:spacing w:val="-5"/>
                <w:sz w:val="18"/>
                <w:szCs w:val="18"/>
                <w:lang w:val="uk-UA"/>
              </w:rPr>
              <w:t>ШЛС</w:t>
            </w:r>
          </w:p>
        </w:tc>
        <w:tc>
          <w:tcPr>
            <w:tcW w:w="7376" w:type="dxa"/>
          </w:tcPr>
          <w:p w14:paraId="2EF682E8"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стійкість до широкого спектру лікарських засобів</w:t>
            </w:r>
          </w:p>
        </w:tc>
      </w:tr>
      <w:tr w:rsidR="00954A44" w:rsidRPr="00D029FF" w14:paraId="7D235244" w14:textId="77777777" w:rsidTr="00954A44">
        <w:tc>
          <w:tcPr>
            <w:tcW w:w="2835" w:type="dxa"/>
          </w:tcPr>
          <w:p w14:paraId="67CB1545" w14:textId="77777777" w:rsidR="00954A44" w:rsidRPr="00954A44" w:rsidRDefault="00954A44" w:rsidP="00954A44">
            <w:pPr>
              <w:spacing w:line="298" w:lineRule="auto"/>
              <w:ind w:left="460"/>
              <w:rPr>
                <w:rFonts w:ascii="Arial" w:hAnsi="Arial" w:cs="Arial"/>
                <w:b/>
                <w:color w:val="019648"/>
                <w:spacing w:val="-5"/>
                <w:sz w:val="18"/>
                <w:szCs w:val="18"/>
                <w:lang w:val="uk-UA"/>
              </w:rPr>
            </w:pPr>
            <w:r w:rsidRPr="00954A44">
              <w:rPr>
                <w:rFonts w:ascii="Arial" w:hAnsi="Arial" w:cs="Arial"/>
                <w:b/>
                <w:color w:val="019648"/>
                <w:spacing w:val="-5"/>
                <w:sz w:val="18"/>
                <w:szCs w:val="18"/>
                <w:lang w:val="uk-UA"/>
              </w:rPr>
              <w:t>ШЛС-ТБ</w:t>
            </w:r>
          </w:p>
        </w:tc>
        <w:tc>
          <w:tcPr>
            <w:tcW w:w="7376" w:type="dxa"/>
          </w:tcPr>
          <w:p w14:paraId="74FBDB91" w14:textId="77777777" w:rsidR="00954A44" w:rsidRPr="00954A44" w:rsidRDefault="00954A44" w:rsidP="00954A44">
            <w:pPr>
              <w:spacing w:line="298" w:lineRule="auto"/>
              <w:ind w:left="175"/>
              <w:rPr>
                <w:rFonts w:ascii="Arial" w:hAnsi="Arial" w:cs="Arial"/>
                <w:sz w:val="18"/>
                <w:szCs w:val="18"/>
                <w:lang w:val="uk-UA"/>
              </w:rPr>
            </w:pPr>
            <w:r w:rsidRPr="00954A44">
              <w:rPr>
                <w:rFonts w:ascii="Arial" w:hAnsi="Arial" w:cs="Arial"/>
                <w:sz w:val="18"/>
                <w:szCs w:val="18"/>
                <w:lang w:val="uk-UA"/>
              </w:rPr>
              <w:t>ТБ з широкою лікарською стійкістю</w:t>
            </w:r>
          </w:p>
        </w:tc>
      </w:tr>
      <w:tr w:rsidR="00954A44" w:rsidRPr="00D029FF" w14:paraId="29B4D578" w14:textId="77777777" w:rsidTr="00954A44">
        <w:tc>
          <w:tcPr>
            <w:tcW w:w="2835" w:type="dxa"/>
          </w:tcPr>
          <w:p w14:paraId="4F180000" w14:textId="63F5A3DC" w:rsidR="00954A44" w:rsidRPr="00536455" w:rsidRDefault="00954A44" w:rsidP="00954A44">
            <w:pPr>
              <w:spacing w:line="298" w:lineRule="auto"/>
              <w:ind w:left="460"/>
              <w:rPr>
                <w:rFonts w:ascii="Arial" w:hAnsi="Arial" w:cs="Arial"/>
                <w:b/>
                <w:color w:val="019648"/>
                <w:spacing w:val="-5"/>
                <w:sz w:val="18"/>
                <w:szCs w:val="18"/>
                <w:highlight w:val="yellow"/>
                <w:lang w:val="uk-UA"/>
              </w:rPr>
            </w:pPr>
          </w:p>
        </w:tc>
        <w:tc>
          <w:tcPr>
            <w:tcW w:w="7376" w:type="dxa"/>
          </w:tcPr>
          <w:p w14:paraId="66C4DF3B" w14:textId="6FBA9511" w:rsidR="00954A44" w:rsidRPr="00536455" w:rsidRDefault="00954A44" w:rsidP="00954A44">
            <w:pPr>
              <w:spacing w:line="298" w:lineRule="auto"/>
              <w:ind w:left="175"/>
              <w:rPr>
                <w:rFonts w:ascii="Arial" w:hAnsi="Arial" w:cs="Arial"/>
                <w:sz w:val="18"/>
                <w:szCs w:val="18"/>
                <w:highlight w:val="yellow"/>
                <w:lang w:val="uk-UA"/>
              </w:rPr>
            </w:pPr>
          </w:p>
        </w:tc>
      </w:tr>
    </w:tbl>
    <w:p w14:paraId="5FFFB13C" w14:textId="23565985" w:rsidR="00E05B98" w:rsidRPr="0031544C" w:rsidRDefault="00EB1EDB" w:rsidP="00881EC8">
      <w:pPr>
        <w:tabs>
          <w:tab w:val="left" w:pos="2707"/>
        </w:tabs>
        <w:spacing w:before="93" w:line="216" w:lineRule="auto"/>
        <w:ind w:left="567" w:right="-420"/>
        <w:rPr>
          <w:rFonts w:ascii="Arial" w:hAnsi="Arial" w:cs="Arial"/>
          <w:sz w:val="18"/>
          <w:szCs w:val="18"/>
          <w:lang w:val="uk-UA"/>
        </w:rPr>
      </w:pPr>
      <w:r w:rsidRPr="00536455">
        <w:rPr>
          <w:rFonts w:ascii="Arial" w:hAnsi="Arial" w:cs="Arial"/>
          <w:b/>
          <w:noProof/>
          <w:color w:val="019648"/>
          <w:sz w:val="18"/>
          <w:szCs w:val="18"/>
          <w:highlight w:val="yellow"/>
          <w:lang w:val="uk-UA"/>
        </w:rPr>
        <mc:AlternateContent>
          <mc:Choice Requires="wps">
            <w:drawing>
              <wp:anchor distT="0" distB="0" distL="114300" distR="114300" simplePos="0" relativeHeight="488073728" behindDoc="0" locked="0" layoutInCell="1" allowOverlap="1" wp14:anchorId="63C1B584" wp14:editId="2CFC6EDD">
                <wp:simplePos x="0" y="0"/>
                <wp:positionH relativeFrom="column">
                  <wp:posOffset>5881522</wp:posOffset>
                </wp:positionH>
                <wp:positionV relativeFrom="paragraph">
                  <wp:posOffset>904733</wp:posOffset>
                </wp:positionV>
                <wp:extent cx="804080" cy="438718"/>
                <wp:effectExtent l="0" t="0" r="0" b="0"/>
                <wp:wrapNone/>
                <wp:docPr id="332934439" name="Поле 2303"/>
                <wp:cNvGraphicFramePr/>
                <a:graphic xmlns:a="http://schemas.openxmlformats.org/drawingml/2006/main">
                  <a:graphicData uri="http://schemas.microsoft.com/office/word/2010/wordprocessingShape">
                    <wps:wsp>
                      <wps:cNvSpPr txBox="1"/>
                      <wps:spPr>
                        <a:xfrm>
                          <a:off x="0" y="0"/>
                          <a:ext cx="804080" cy="438718"/>
                        </a:xfrm>
                        <a:prstGeom prst="rect">
                          <a:avLst/>
                        </a:prstGeom>
                        <a:solidFill>
                          <a:schemeClr val="lt1"/>
                        </a:solidFill>
                        <a:ln w="6350">
                          <a:noFill/>
                        </a:ln>
                      </wps:spPr>
                      <wps:txbx>
                        <w:txbxContent>
                          <w:p w14:paraId="32A3750A" w14:textId="65161A99" w:rsidR="007372B2" w:rsidRDefault="007372B2" w:rsidP="00B40441">
                            <w:pPr>
                              <w:jc w:val="center"/>
                            </w:pPr>
                            <w:r>
                              <w:rPr>
                                <w:color w:val="019648"/>
                                <w:spacing w:val="-2"/>
                                <w:sz w:val="16"/>
                              </w:rPr>
                              <w:t>vii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1B584" id="Поле 2303" o:spid="_x0000_s1041" type="#_x0000_t202" style="position:absolute;left:0;text-align:left;margin-left:463.1pt;margin-top:71.25pt;width:63.3pt;height:34.55pt;z-index:4880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" fillcolor="white [3201]" stroked="f" strokeweight=".5pt">
                <v:textbox>
                  <w:txbxContent>
                    <w:p w14:paraId="32A3750A" w14:textId="65161A99" w:rsidR="007372B2" w:rsidRDefault="007372B2" w:rsidP="00B40441">
                      <w:pPr>
                        <w:jc w:val="center"/>
                      </w:pPr>
                      <w:r>
                        <w:rPr>
                          <w:color w:val="019648"/>
                          <w:spacing w:val="-2"/>
                          <w:sz w:val="16"/>
                        </w:rPr>
                        <w:t>vii</w:t>
                      </w:r>
                    </w:p>
                  </w:txbxContent>
                </v:textbox>
              </v:shape>
            </w:pict>
          </mc:Fallback>
        </mc:AlternateContent>
      </w:r>
      <w:r w:rsidR="00B01E0C" w:rsidRPr="0031544C">
        <w:rPr>
          <w:rFonts w:ascii="Arial" w:hAnsi="Arial" w:cs="Arial"/>
          <w:b/>
          <w:color w:val="019648"/>
          <w:sz w:val="18"/>
          <w:szCs w:val="18"/>
          <w:lang w:val="uk-UA"/>
        </w:rPr>
        <w:tab/>
      </w:r>
    </w:p>
    <w:p w14:paraId="6F3F4753" w14:textId="77777777" w:rsidR="00E05B98" w:rsidRPr="0031544C" w:rsidRDefault="00E05B98" w:rsidP="00881EC8">
      <w:pPr>
        <w:spacing w:line="216" w:lineRule="auto"/>
        <w:rPr>
          <w:rFonts w:ascii="Arial" w:hAnsi="Arial" w:cs="Arial"/>
          <w:sz w:val="18"/>
          <w:szCs w:val="18"/>
          <w:lang w:val="uk-UA"/>
        </w:rPr>
        <w:sectPr w:rsidR="00E05B98" w:rsidRPr="0031544C">
          <w:pgSz w:w="11910" w:h="16840"/>
          <w:pgMar w:top="0" w:right="1275" w:bottom="760" w:left="850" w:header="0" w:footer="573" w:gutter="0"/>
          <w:cols w:space="720"/>
        </w:sectPr>
      </w:pPr>
    </w:p>
    <w:tbl>
      <w:tblPr>
        <w:tblStyle w:val="TableNormal"/>
        <w:tblW w:w="9399" w:type="dxa"/>
        <w:tblInd w:w="524" w:type="dxa"/>
        <w:tblLayout w:type="fixed"/>
        <w:tblLook w:val="01E0" w:firstRow="1" w:lastRow="1" w:firstColumn="1" w:lastColumn="1" w:noHBand="0" w:noVBand="0"/>
      </w:tblPr>
      <w:tblGrid>
        <w:gridCol w:w="1461"/>
        <w:gridCol w:w="486"/>
        <w:gridCol w:w="7452"/>
      </w:tblGrid>
      <w:tr w:rsidR="00954A44" w:rsidRPr="00D029FF" w14:paraId="706A87BF" w14:textId="77777777" w:rsidTr="00954A44">
        <w:trPr>
          <w:trHeight w:val="335"/>
        </w:trPr>
        <w:tc>
          <w:tcPr>
            <w:tcW w:w="1461" w:type="dxa"/>
          </w:tcPr>
          <w:p w14:paraId="6CB23DE5" w14:textId="34549802"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2"/>
                <w:sz w:val="18"/>
                <w:szCs w:val="18"/>
              </w:rPr>
              <w:lastRenderedPageBreak/>
              <w:t>AlereLAM</w:t>
            </w:r>
          </w:p>
        </w:tc>
        <w:tc>
          <w:tcPr>
            <w:tcW w:w="7938" w:type="dxa"/>
            <w:gridSpan w:val="2"/>
          </w:tcPr>
          <w:p w14:paraId="563366B5" w14:textId="77777777" w:rsidR="00954A44" w:rsidRPr="00954A44" w:rsidRDefault="00954A44" w:rsidP="00954A44">
            <w:pPr>
              <w:ind w:left="220"/>
              <w:rPr>
                <w:rFonts w:ascii="Arial" w:hAnsi="Arial" w:cs="Arial"/>
                <w:sz w:val="18"/>
                <w:szCs w:val="18"/>
                <w:lang w:val="ru-RU"/>
              </w:rPr>
            </w:pPr>
            <w:r w:rsidRPr="00954A44">
              <w:rPr>
                <w:rFonts w:ascii="Arial" w:hAnsi="Arial" w:cs="Arial"/>
                <w:sz w:val="18"/>
                <w:szCs w:val="18"/>
                <w:lang w:val="uk-UA"/>
              </w:rPr>
              <w:t>ліпоарабіноманнановий тест бокового зсуву (тест сечі LF-LAM) для діагностики ТБ у осіб, що живуть з ВІЛ</w:t>
            </w:r>
          </w:p>
          <w:p w14:paraId="0CFD6724" w14:textId="2C586550" w:rsidR="00954A44" w:rsidRPr="00954A44" w:rsidRDefault="00954A44" w:rsidP="00954A44">
            <w:pPr>
              <w:pStyle w:val="TableParagraph"/>
              <w:spacing w:before="37" w:line="216" w:lineRule="auto"/>
              <w:ind w:left="220"/>
              <w:rPr>
                <w:rFonts w:ascii="Arial" w:hAnsi="Arial" w:cs="Arial"/>
                <w:sz w:val="10"/>
                <w:szCs w:val="10"/>
                <w:lang w:val="uk-UA"/>
              </w:rPr>
            </w:pPr>
          </w:p>
        </w:tc>
      </w:tr>
      <w:tr w:rsidR="00954A44" w:rsidRPr="00D029FF" w14:paraId="0DCA0879" w14:textId="77777777" w:rsidTr="00954A44">
        <w:trPr>
          <w:trHeight w:val="335"/>
        </w:trPr>
        <w:tc>
          <w:tcPr>
            <w:tcW w:w="1461" w:type="dxa"/>
          </w:tcPr>
          <w:p w14:paraId="41E6A904" w14:textId="241F8EAF" w:rsidR="00954A44" w:rsidRPr="00954A44" w:rsidRDefault="00954A44" w:rsidP="00954A44">
            <w:pPr>
              <w:pStyle w:val="TableParagraph"/>
              <w:spacing w:before="33" w:line="216" w:lineRule="auto"/>
              <w:ind w:left="50"/>
              <w:rPr>
                <w:rFonts w:ascii="Arial" w:hAnsi="Arial" w:cs="Arial"/>
                <w:b/>
                <w:i/>
                <w:sz w:val="18"/>
                <w:szCs w:val="18"/>
                <w:lang w:val="uk-UA"/>
              </w:rPr>
            </w:pPr>
            <w:r w:rsidRPr="00954A44">
              <w:rPr>
                <w:rFonts w:ascii="Arial" w:hAnsi="Arial" w:cs="Arial"/>
                <w:b/>
                <w:color w:val="019648"/>
                <w:spacing w:val="-5"/>
                <w:sz w:val="18"/>
                <w:szCs w:val="18"/>
              </w:rPr>
              <w:t>BD</w:t>
            </w:r>
          </w:p>
        </w:tc>
        <w:tc>
          <w:tcPr>
            <w:tcW w:w="7938" w:type="dxa"/>
            <w:gridSpan w:val="2"/>
          </w:tcPr>
          <w:p w14:paraId="5C1F82D2" w14:textId="77777777" w:rsidR="00954A44" w:rsidRPr="00954A44" w:rsidRDefault="00954A44" w:rsidP="00954A44">
            <w:pPr>
              <w:ind w:left="220"/>
              <w:rPr>
                <w:rFonts w:ascii="Arial" w:hAnsi="Arial" w:cs="Arial"/>
                <w:bCs/>
                <w:sz w:val="18"/>
                <w:szCs w:val="18"/>
                <w:lang w:val="uk-UA"/>
              </w:rPr>
            </w:pPr>
            <w:r w:rsidRPr="00954A44">
              <w:rPr>
                <w:rFonts w:ascii="Arial" w:hAnsi="Arial" w:cs="Arial"/>
                <w:bCs/>
                <w:sz w:val="18"/>
                <w:szCs w:val="18"/>
                <w:lang w:val="uk-UA"/>
              </w:rPr>
              <w:t>Американська медична технологічна компанія «Becton</w:t>
            </w:r>
            <w:r w:rsidRPr="00954A44">
              <w:rPr>
                <w:rFonts w:ascii="Arial" w:hAnsi="Arial" w:cs="Arial"/>
                <w:bCs/>
                <w:spacing w:val="-8"/>
                <w:sz w:val="18"/>
                <w:szCs w:val="18"/>
                <w:lang w:val="uk-UA"/>
              </w:rPr>
              <w:t xml:space="preserve"> </w:t>
            </w:r>
            <w:r w:rsidRPr="00954A44">
              <w:rPr>
                <w:rFonts w:ascii="Arial" w:hAnsi="Arial" w:cs="Arial"/>
                <w:bCs/>
                <w:spacing w:val="-2"/>
                <w:sz w:val="18"/>
                <w:szCs w:val="18"/>
                <w:lang w:val="uk-UA"/>
              </w:rPr>
              <w:t>Dickinson»</w:t>
            </w:r>
            <w:r w:rsidRPr="00954A44">
              <w:rPr>
                <w:rFonts w:ascii="Arial" w:hAnsi="Arial" w:cs="Arial"/>
                <w:bCs/>
                <w:sz w:val="18"/>
                <w:szCs w:val="18"/>
                <w:lang w:val="uk-UA"/>
              </w:rPr>
              <w:t>, що виробляє та продає медичні прилади, інструменти, реагент</w:t>
            </w:r>
          </w:p>
          <w:p w14:paraId="48EED765" w14:textId="69B19149" w:rsidR="00954A44" w:rsidRPr="00954A44" w:rsidRDefault="00954A44" w:rsidP="00954A44">
            <w:pPr>
              <w:pStyle w:val="TableParagraph"/>
              <w:spacing w:before="33" w:line="216" w:lineRule="auto"/>
              <w:ind w:left="220"/>
              <w:rPr>
                <w:rFonts w:ascii="Arial" w:hAnsi="Arial" w:cs="Arial"/>
                <w:i/>
                <w:sz w:val="10"/>
                <w:szCs w:val="10"/>
                <w:lang w:val="uk-UA"/>
              </w:rPr>
            </w:pPr>
          </w:p>
        </w:tc>
      </w:tr>
      <w:tr w:rsidR="00954A44" w:rsidRPr="0031544C" w14:paraId="2BAEF880" w14:textId="77777777" w:rsidTr="00954A44">
        <w:trPr>
          <w:trHeight w:val="335"/>
        </w:trPr>
        <w:tc>
          <w:tcPr>
            <w:tcW w:w="1461" w:type="dxa"/>
          </w:tcPr>
          <w:p w14:paraId="1AB3C813" w14:textId="27617962"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5"/>
                <w:sz w:val="18"/>
                <w:szCs w:val="18"/>
              </w:rPr>
              <w:t>CrI</w:t>
            </w:r>
          </w:p>
        </w:tc>
        <w:tc>
          <w:tcPr>
            <w:tcW w:w="7938" w:type="dxa"/>
            <w:gridSpan w:val="2"/>
          </w:tcPr>
          <w:p w14:paraId="2EAB7C44" w14:textId="78E82B3B" w:rsidR="00954A44" w:rsidRPr="00954A44" w:rsidRDefault="00176989" w:rsidP="00954A44">
            <w:pPr>
              <w:spacing w:line="298" w:lineRule="auto"/>
              <w:ind w:left="220"/>
              <w:rPr>
                <w:rFonts w:ascii="Arial" w:hAnsi="Arial" w:cs="Arial"/>
                <w:sz w:val="18"/>
                <w:szCs w:val="18"/>
              </w:rPr>
            </w:pPr>
            <w:r>
              <w:rPr>
                <w:rFonts w:ascii="Arial" w:hAnsi="Arial" w:cs="Arial"/>
                <w:sz w:val="18"/>
                <w:szCs w:val="18"/>
                <w:lang w:val="uk-UA"/>
              </w:rPr>
              <w:t xml:space="preserve">інтервал </w:t>
            </w:r>
            <w:r w:rsidR="00954A44" w:rsidRPr="00954A44">
              <w:rPr>
                <w:rFonts w:ascii="Arial" w:hAnsi="Arial" w:cs="Arial"/>
                <w:sz w:val="18"/>
                <w:szCs w:val="18"/>
                <w:lang w:val="uk-UA"/>
              </w:rPr>
              <w:t>достовірн</w:t>
            </w:r>
            <w:r>
              <w:rPr>
                <w:rFonts w:ascii="Arial" w:hAnsi="Arial" w:cs="Arial"/>
                <w:sz w:val="18"/>
                <w:szCs w:val="18"/>
                <w:lang w:val="uk-UA"/>
              </w:rPr>
              <w:t>ості</w:t>
            </w:r>
          </w:p>
          <w:p w14:paraId="7E0F4AA1" w14:textId="617A5F6B" w:rsidR="00954A44" w:rsidRPr="00954A44" w:rsidRDefault="00954A44" w:rsidP="00954A44">
            <w:pPr>
              <w:pStyle w:val="TableParagraph"/>
              <w:spacing w:before="33" w:line="216" w:lineRule="auto"/>
              <w:ind w:left="220"/>
              <w:rPr>
                <w:rFonts w:ascii="Arial" w:hAnsi="Arial" w:cs="Arial"/>
                <w:iCs/>
                <w:sz w:val="10"/>
                <w:szCs w:val="10"/>
                <w:lang w:val="uk-UA"/>
              </w:rPr>
            </w:pPr>
          </w:p>
        </w:tc>
      </w:tr>
      <w:tr w:rsidR="00954A44" w:rsidRPr="0031544C" w14:paraId="1C515F86" w14:textId="77777777" w:rsidTr="00954A44">
        <w:trPr>
          <w:trHeight w:val="335"/>
        </w:trPr>
        <w:tc>
          <w:tcPr>
            <w:tcW w:w="1461" w:type="dxa"/>
          </w:tcPr>
          <w:p w14:paraId="728023A2" w14:textId="1E1347DD"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5"/>
                <w:sz w:val="18"/>
                <w:szCs w:val="18"/>
              </w:rPr>
              <w:t>CRS</w:t>
            </w:r>
          </w:p>
        </w:tc>
        <w:tc>
          <w:tcPr>
            <w:tcW w:w="7938" w:type="dxa"/>
            <w:gridSpan w:val="2"/>
          </w:tcPr>
          <w:p w14:paraId="38E3F596" w14:textId="1D0BCC5B"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sz w:val="18"/>
                <w:szCs w:val="18"/>
                <w:lang w:val="uk-UA"/>
              </w:rPr>
              <w:t>композитний (змішаний) еталонний стандарт</w:t>
            </w:r>
          </w:p>
        </w:tc>
      </w:tr>
      <w:tr w:rsidR="00954A44" w:rsidRPr="00D029FF" w14:paraId="0007E9EA" w14:textId="77777777" w:rsidTr="00954A44">
        <w:trPr>
          <w:trHeight w:val="335"/>
        </w:trPr>
        <w:tc>
          <w:tcPr>
            <w:tcW w:w="1461" w:type="dxa"/>
          </w:tcPr>
          <w:p w14:paraId="78CA5DF6" w14:textId="1427C583"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4"/>
                <w:sz w:val="18"/>
                <w:szCs w:val="18"/>
              </w:rPr>
              <w:t>DALY</w:t>
            </w:r>
          </w:p>
        </w:tc>
        <w:tc>
          <w:tcPr>
            <w:tcW w:w="7938" w:type="dxa"/>
            <w:gridSpan w:val="2"/>
          </w:tcPr>
          <w:p w14:paraId="06838EBF" w14:textId="00655354"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sz w:val="18"/>
                <w:szCs w:val="18"/>
                <w:lang w:val="uk-UA"/>
              </w:rPr>
              <w:t>рік життя з поправкою на непрацездатність</w:t>
            </w:r>
          </w:p>
        </w:tc>
      </w:tr>
      <w:tr w:rsidR="00954A44" w:rsidRPr="00D029FF" w14:paraId="7C94E064" w14:textId="77777777" w:rsidTr="00954A44">
        <w:trPr>
          <w:trHeight w:val="335"/>
        </w:trPr>
        <w:tc>
          <w:tcPr>
            <w:tcW w:w="1461" w:type="dxa"/>
          </w:tcPr>
          <w:p w14:paraId="4AA57625" w14:textId="47EB6B69"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2"/>
                <w:sz w:val="18"/>
                <w:szCs w:val="18"/>
              </w:rPr>
              <w:t>DIAMA</w:t>
            </w:r>
          </w:p>
        </w:tc>
        <w:tc>
          <w:tcPr>
            <w:tcW w:w="7938" w:type="dxa"/>
            <w:gridSpan w:val="2"/>
          </w:tcPr>
          <w:p w14:paraId="4B2474C4" w14:textId="77777777" w:rsidR="00954A44" w:rsidRPr="00954A44" w:rsidRDefault="00954A44" w:rsidP="00954A44">
            <w:pPr>
              <w:ind w:left="220"/>
              <w:rPr>
                <w:rFonts w:ascii="Arial" w:hAnsi="Arial" w:cs="Arial"/>
                <w:sz w:val="18"/>
                <w:szCs w:val="18"/>
                <w:lang w:val="ru-RU"/>
              </w:rPr>
            </w:pPr>
            <w:r w:rsidRPr="00954A44">
              <w:rPr>
                <w:rFonts w:ascii="Arial" w:hAnsi="Arial" w:cs="Arial"/>
                <w:sz w:val="18"/>
                <w:szCs w:val="18"/>
                <w:lang w:val="uk-UA"/>
              </w:rPr>
              <w:t>діагностика туберкульозу з множинною лікарською стійкістю в Африці</w:t>
            </w:r>
          </w:p>
          <w:p w14:paraId="48B255DD" w14:textId="2D846506" w:rsidR="00954A44" w:rsidRPr="00954A44" w:rsidRDefault="00954A44" w:rsidP="00954A44">
            <w:pPr>
              <w:pStyle w:val="TableParagraph"/>
              <w:spacing w:before="37" w:line="216" w:lineRule="auto"/>
              <w:ind w:left="220"/>
              <w:rPr>
                <w:rFonts w:ascii="Arial" w:hAnsi="Arial" w:cs="Arial"/>
                <w:sz w:val="10"/>
                <w:szCs w:val="10"/>
                <w:lang w:val="uk-UA"/>
              </w:rPr>
            </w:pPr>
          </w:p>
        </w:tc>
      </w:tr>
      <w:tr w:rsidR="00954A44" w:rsidRPr="00D029FF" w14:paraId="4403BCD7" w14:textId="77777777" w:rsidTr="00954A44">
        <w:trPr>
          <w:trHeight w:val="335"/>
        </w:trPr>
        <w:tc>
          <w:tcPr>
            <w:tcW w:w="1461" w:type="dxa"/>
          </w:tcPr>
          <w:p w14:paraId="767145C0" w14:textId="325DA955"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5"/>
                <w:sz w:val="18"/>
                <w:szCs w:val="18"/>
              </w:rPr>
              <w:t>ERG</w:t>
            </w:r>
          </w:p>
        </w:tc>
        <w:tc>
          <w:tcPr>
            <w:tcW w:w="7938" w:type="dxa"/>
            <w:gridSpan w:val="2"/>
          </w:tcPr>
          <w:p w14:paraId="728DC677" w14:textId="2B24016C" w:rsidR="00954A44" w:rsidRPr="00954A44" w:rsidRDefault="00954A44" w:rsidP="00954A44">
            <w:pPr>
              <w:pStyle w:val="TableParagraph"/>
              <w:spacing w:before="37" w:line="216" w:lineRule="auto"/>
              <w:ind w:left="220"/>
              <w:rPr>
                <w:rFonts w:ascii="Arial" w:hAnsi="Arial" w:cs="Arial"/>
                <w:sz w:val="18"/>
                <w:szCs w:val="18"/>
                <w:lang w:val="uk-UA"/>
              </w:rPr>
            </w:pPr>
            <w:r w:rsidRPr="001D5E59">
              <w:rPr>
                <w:rFonts w:ascii="Arial" w:hAnsi="Arial" w:cs="Arial"/>
                <w:spacing w:val="-2"/>
                <w:sz w:val="18"/>
                <w:szCs w:val="18"/>
                <w:lang w:val="uk-UA"/>
              </w:rPr>
              <w:t xml:space="preserve">Зовнішня група </w:t>
            </w:r>
            <w:r w:rsidR="001D5E59" w:rsidRPr="001D5E59">
              <w:rPr>
                <w:rFonts w:ascii="Arial" w:hAnsi="Arial" w:cs="Arial"/>
                <w:spacing w:val="-2"/>
                <w:sz w:val="18"/>
                <w:szCs w:val="18"/>
                <w:lang w:val="uk-UA"/>
              </w:rPr>
              <w:t xml:space="preserve">експертів </w:t>
            </w:r>
            <w:r w:rsidRPr="001D5E59">
              <w:rPr>
                <w:rFonts w:ascii="Arial" w:hAnsi="Arial" w:cs="Arial"/>
                <w:spacing w:val="-2"/>
                <w:sz w:val="18"/>
                <w:szCs w:val="18"/>
                <w:lang w:val="uk-UA"/>
              </w:rPr>
              <w:t>з огляду настанов</w:t>
            </w:r>
          </w:p>
        </w:tc>
      </w:tr>
      <w:tr w:rsidR="00954A44" w:rsidRPr="00D029FF" w14:paraId="2F769CD1" w14:textId="77777777" w:rsidTr="00954A44">
        <w:trPr>
          <w:trHeight w:val="335"/>
        </w:trPr>
        <w:tc>
          <w:tcPr>
            <w:tcW w:w="1461" w:type="dxa"/>
          </w:tcPr>
          <w:p w14:paraId="5E705673" w14:textId="5BDCA975"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4"/>
                <w:sz w:val="18"/>
                <w:szCs w:val="18"/>
              </w:rPr>
              <w:t>FIND</w:t>
            </w:r>
          </w:p>
        </w:tc>
        <w:tc>
          <w:tcPr>
            <w:tcW w:w="7938" w:type="dxa"/>
            <w:gridSpan w:val="2"/>
          </w:tcPr>
          <w:p w14:paraId="16B16B85" w14:textId="3B5DC40C"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color w:val="000000"/>
                <w:sz w:val="18"/>
                <w:szCs w:val="18"/>
                <w:lang w:val="uk-UA"/>
              </w:rPr>
              <w:t>Фонд інноваційних нових методів діагностики</w:t>
            </w:r>
          </w:p>
        </w:tc>
      </w:tr>
      <w:tr w:rsidR="00954A44" w:rsidRPr="00D029FF" w14:paraId="54EA8379" w14:textId="77777777" w:rsidTr="00954A44">
        <w:trPr>
          <w:trHeight w:val="335"/>
        </w:trPr>
        <w:tc>
          <w:tcPr>
            <w:tcW w:w="1461" w:type="dxa"/>
          </w:tcPr>
          <w:p w14:paraId="746ACD0C" w14:textId="2D2FD5C8"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w w:val="85"/>
                <w:sz w:val="18"/>
                <w:szCs w:val="18"/>
              </w:rPr>
              <w:t>FL-</w:t>
            </w:r>
            <w:r w:rsidRPr="00954A44">
              <w:rPr>
                <w:rFonts w:ascii="Arial" w:hAnsi="Arial" w:cs="Arial"/>
                <w:b/>
                <w:color w:val="019648"/>
                <w:spacing w:val="-5"/>
                <w:w w:val="95"/>
                <w:sz w:val="18"/>
                <w:szCs w:val="18"/>
              </w:rPr>
              <w:t>LPA</w:t>
            </w:r>
          </w:p>
        </w:tc>
        <w:tc>
          <w:tcPr>
            <w:tcW w:w="7938" w:type="dxa"/>
            <w:gridSpan w:val="2"/>
          </w:tcPr>
          <w:p w14:paraId="40493E5E" w14:textId="48EBB279" w:rsidR="00954A44" w:rsidRPr="00954A44" w:rsidRDefault="00176989" w:rsidP="00954A44">
            <w:pPr>
              <w:pStyle w:val="TableParagraph"/>
              <w:spacing w:before="37" w:line="216" w:lineRule="auto"/>
              <w:ind w:left="220"/>
              <w:rPr>
                <w:rFonts w:ascii="Arial" w:hAnsi="Arial" w:cs="Arial"/>
                <w:sz w:val="18"/>
                <w:szCs w:val="18"/>
                <w:lang w:val="uk-UA"/>
              </w:rPr>
            </w:pPr>
            <w:r>
              <w:rPr>
                <w:rFonts w:ascii="Arial" w:hAnsi="Arial" w:cs="Arial"/>
                <w:color w:val="000000"/>
                <w:sz w:val="18"/>
                <w:szCs w:val="18"/>
                <w:lang w:val="uk-UA"/>
              </w:rPr>
              <w:t>лінійний зонд-аналіз</w:t>
            </w:r>
            <w:r w:rsidR="00954A44" w:rsidRPr="00954A44">
              <w:rPr>
                <w:rFonts w:ascii="Arial" w:hAnsi="Arial" w:cs="Arial"/>
                <w:color w:val="000000"/>
                <w:sz w:val="18"/>
                <w:szCs w:val="18"/>
                <w:lang w:val="uk-UA"/>
              </w:rPr>
              <w:t xml:space="preserve"> </w:t>
            </w:r>
            <w:r w:rsidR="005013D5">
              <w:rPr>
                <w:rFonts w:ascii="Arial" w:hAnsi="Arial" w:cs="Arial"/>
                <w:color w:val="000000"/>
                <w:sz w:val="18"/>
                <w:szCs w:val="18"/>
                <w:lang w:val="uk-UA"/>
              </w:rPr>
              <w:t>стійкості до</w:t>
            </w:r>
            <w:r w:rsidR="00954A44" w:rsidRPr="00954A44">
              <w:rPr>
                <w:rFonts w:ascii="Arial" w:hAnsi="Arial" w:cs="Arial"/>
                <w:color w:val="000000"/>
                <w:sz w:val="18"/>
                <w:szCs w:val="18"/>
                <w:lang w:val="uk-UA"/>
              </w:rPr>
              <w:t xml:space="preserve"> лікарських засобів першого ряду</w:t>
            </w:r>
          </w:p>
        </w:tc>
      </w:tr>
      <w:tr w:rsidR="00954A44" w:rsidRPr="00D029FF" w14:paraId="181E960B" w14:textId="77777777" w:rsidTr="00954A44">
        <w:trPr>
          <w:trHeight w:val="335"/>
        </w:trPr>
        <w:tc>
          <w:tcPr>
            <w:tcW w:w="1461" w:type="dxa"/>
          </w:tcPr>
          <w:p w14:paraId="43C2A54E" w14:textId="3319F90B"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2"/>
                <w:sz w:val="18"/>
                <w:szCs w:val="18"/>
              </w:rPr>
              <w:t>GRADE</w:t>
            </w:r>
          </w:p>
        </w:tc>
        <w:tc>
          <w:tcPr>
            <w:tcW w:w="7938" w:type="dxa"/>
            <w:gridSpan w:val="2"/>
          </w:tcPr>
          <w:p w14:paraId="1D4C6DD7" w14:textId="29D7E3AA"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sz w:val="18"/>
                <w:szCs w:val="18"/>
                <w:lang w:val="uk-UA"/>
              </w:rPr>
              <w:t>ранжування оцінки, розробки та аналізу рекомендацій</w:t>
            </w:r>
          </w:p>
        </w:tc>
      </w:tr>
      <w:tr w:rsidR="00954A44" w:rsidRPr="001D5E59" w14:paraId="699E39C1" w14:textId="77777777" w:rsidTr="00954A44">
        <w:trPr>
          <w:trHeight w:val="335"/>
        </w:trPr>
        <w:tc>
          <w:tcPr>
            <w:tcW w:w="1461" w:type="dxa"/>
          </w:tcPr>
          <w:p w14:paraId="686EDBAA" w14:textId="41BF49A9"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4"/>
                <w:sz w:val="18"/>
                <w:szCs w:val="18"/>
              </w:rPr>
              <w:t>ICER</w:t>
            </w:r>
          </w:p>
        </w:tc>
        <w:tc>
          <w:tcPr>
            <w:tcW w:w="7938" w:type="dxa"/>
            <w:gridSpan w:val="2"/>
          </w:tcPr>
          <w:p w14:paraId="718C5B68" w14:textId="21767382" w:rsidR="00954A44" w:rsidRPr="00954A44" w:rsidRDefault="00176989" w:rsidP="00954A44">
            <w:pPr>
              <w:ind w:left="220"/>
              <w:rPr>
                <w:rFonts w:ascii="Arial" w:hAnsi="Arial" w:cs="Arial"/>
                <w:spacing w:val="-2"/>
                <w:sz w:val="18"/>
                <w:szCs w:val="18"/>
                <w:lang w:val="uk-UA"/>
              </w:rPr>
            </w:pPr>
            <w:r>
              <w:rPr>
                <w:rFonts w:ascii="Arial" w:hAnsi="Arial" w:cs="Arial"/>
                <w:sz w:val="18"/>
                <w:szCs w:val="18"/>
                <w:lang w:val="uk-UA"/>
              </w:rPr>
              <w:t>і</w:t>
            </w:r>
            <w:r w:rsidR="001D5E59" w:rsidRPr="001D5E59">
              <w:rPr>
                <w:rFonts w:ascii="Arial" w:hAnsi="Arial" w:cs="Arial"/>
                <w:sz w:val="18"/>
                <w:szCs w:val="18"/>
                <w:lang w:val="uk-UA"/>
              </w:rPr>
              <w:t xml:space="preserve">нкрементний </w:t>
            </w:r>
            <w:r w:rsidR="00954A44" w:rsidRPr="001D5E59">
              <w:rPr>
                <w:rFonts w:ascii="Arial" w:hAnsi="Arial" w:cs="Arial"/>
                <w:sz w:val="18"/>
                <w:szCs w:val="18"/>
                <w:lang w:val="uk-UA"/>
              </w:rPr>
              <w:t>коефіцієнт ефективності</w:t>
            </w:r>
            <w:r w:rsidR="001D5E59" w:rsidRPr="001D5E59">
              <w:rPr>
                <w:rFonts w:ascii="Arial" w:hAnsi="Arial" w:cs="Arial"/>
                <w:sz w:val="18"/>
                <w:szCs w:val="18"/>
                <w:lang w:val="uk-UA"/>
              </w:rPr>
              <w:t xml:space="preserve"> витрат</w:t>
            </w:r>
          </w:p>
          <w:p w14:paraId="7FEE0762" w14:textId="6279B11C" w:rsidR="00954A44" w:rsidRPr="00954A44" w:rsidRDefault="00954A44" w:rsidP="00954A44">
            <w:pPr>
              <w:pStyle w:val="TableParagraph"/>
              <w:spacing w:before="37" w:line="216" w:lineRule="auto"/>
              <w:ind w:left="220"/>
              <w:rPr>
                <w:rFonts w:ascii="Arial" w:hAnsi="Arial" w:cs="Arial"/>
                <w:sz w:val="10"/>
                <w:szCs w:val="10"/>
                <w:lang w:val="uk-UA"/>
              </w:rPr>
            </w:pPr>
          </w:p>
        </w:tc>
      </w:tr>
      <w:tr w:rsidR="00954A44" w:rsidRPr="001D5E59" w14:paraId="641958AC" w14:textId="77777777" w:rsidTr="00954A44">
        <w:trPr>
          <w:trHeight w:val="335"/>
        </w:trPr>
        <w:tc>
          <w:tcPr>
            <w:tcW w:w="1461" w:type="dxa"/>
          </w:tcPr>
          <w:p w14:paraId="761A8464" w14:textId="5BC7E3E1"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5"/>
                <w:w w:val="105"/>
                <w:sz w:val="18"/>
                <w:szCs w:val="18"/>
              </w:rPr>
              <w:t>IVD</w:t>
            </w:r>
          </w:p>
        </w:tc>
        <w:tc>
          <w:tcPr>
            <w:tcW w:w="7938" w:type="dxa"/>
            <w:gridSpan w:val="2"/>
          </w:tcPr>
          <w:p w14:paraId="7255E404" w14:textId="79963D6A"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bCs/>
                <w:sz w:val="18"/>
                <w:szCs w:val="18"/>
                <w:lang w:val="uk-UA"/>
              </w:rPr>
              <w:t xml:space="preserve">діагностика </w:t>
            </w:r>
            <w:r w:rsidRPr="001D5E59">
              <w:rPr>
                <w:rFonts w:ascii="Arial" w:hAnsi="Arial" w:cs="Arial"/>
                <w:i/>
                <w:iCs/>
                <w:w w:val="105"/>
                <w:sz w:val="18"/>
                <w:szCs w:val="18"/>
                <w:lang w:val="uk-UA"/>
              </w:rPr>
              <w:t>in</w:t>
            </w:r>
            <w:r w:rsidRPr="001D5E59">
              <w:rPr>
                <w:rFonts w:ascii="Arial" w:hAnsi="Arial" w:cs="Arial"/>
                <w:i/>
                <w:iCs/>
                <w:spacing w:val="-8"/>
                <w:w w:val="105"/>
                <w:sz w:val="18"/>
                <w:szCs w:val="18"/>
                <w:lang w:val="uk-UA"/>
              </w:rPr>
              <w:t xml:space="preserve"> </w:t>
            </w:r>
            <w:r w:rsidRPr="001D5E59">
              <w:rPr>
                <w:rFonts w:ascii="Arial" w:hAnsi="Arial" w:cs="Arial"/>
                <w:i/>
                <w:iCs/>
                <w:w w:val="105"/>
                <w:sz w:val="18"/>
                <w:szCs w:val="18"/>
                <w:lang w:val="uk-UA"/>
              </w:rPr>
              <w:t>vitro</w:t>
            </w:r>
            <w:r w:rsidRPr="00954A44">
              <w:rPr>
                <w:rFonts w:ascii="Arial" w:hAnsi="Arial" w:cs="Arial"/>
                <w:spacing w:val="-8"/>
                <w:w w:val="105"/>
                <w:sz w:val="18"/>
                <w:szCs w:val="18"/>
                <w:lang w:val="uk-UA"/>
              </w:rPr>
              <w:t xml:space="preserve"> </w:t>
            </w:r>
          </w:p>
        </w:tc>
      </w:tr>
      <w:tr w:rsidR="00954A44" w:rsidRPr="0031544C" w14:paraId="3C9E50FF" w14:textId="77777777" w:rsidTr="00954A44">
        <w:trPr>
          <w:trHeight w:val="335"/>
        </w:trPr>
        <w:tc>
          <w:tcPr>
            <w:tcW w:w="1461" w:type="dxa"/>
          </w:tcPr>
          <w:p w14:paraId="3B6BBBFD" w14:textId="5D42DD38"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5"/>
                <w:w w:val="105"/>
                <w:sz w:val="18"/>
                <w:szCs w:val="18"/>
              </w:rPr>
              <w:t>LAM</w:t>
            </w:r>
          </w:p>
        </w:tc>
        <w:tc>
          <w:tcPr>
            <w:tcW w:w="7938" w:type="dxa"/>
            <w:gridSpan w:val="2"/>
          </w:tcPr>
          <w:p w14:paraId="2F17BC44" w14:textId="133A8127"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spacing w:val="-2"/>
                <w:w w:val="105"/>
                <w:sz w:val="18"/>
                <w:szCs w:val="18"/>
                <w:lang w:val="uk-UA"/>
              </w:rPr>
              <w:t>ліпоарабіноманнан</w:t>
            </w:r>
          </w:p>
        </w:tc>
      </w:tr>
      <w:tr w:rsidR="00954A44" w:rsidRPr="0031544C" w14:paraId="1D635550" w14:textId="77777777" w:rsidTr="00954A44">
        <w:trPr>
          <w:trHeight w:val="335"/>
        </w:trPr>
        <w:tc>
          <w:tcPr>
            <w:tcW w:w="1461" w:type="dxa"/>
          </w:tcPr>
          <w:p w14:paraId="20962DBE" w14:textId="3D9E91DC"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4"/>
                <w:sz w:val="18"/>
                <w:szCs w:val="18"/>
              </w:rPr>
              <w:t>LAMP</w:t>
            </w:r>
          </w:p>
        </w:tc>
        <w:tc>
          <w:tcPr>
            <w:tcW w:w="7938" w:type="dxa"/>
            <w:gridSpan w:val="2"/>
          </w:tcPr>
          <w:p w14:paraId="3C65831A" w14:textId="6919F3BE"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color w:val="000000"/>
                <w:sz w:val="18"/>
                <w:szCs w:val="18"/>
                <w:lang w:val="uk-UA"/>
              </w:rPr>
              <w:t>петльова ізотермічна ампліфікація</w:t>
            </w:r>
          </w:p>
        </w:tc>
      </w:tr>
      <w:tr w:rsidR="00954A44" w:rsidRPr="00D029FF" w14:paraId="63D1E063" w14:textId="77777777" w:rsidTr="00954A44">
        <w:trPr>
          <w:trHeight w:val="335"/>
        </w:trPr>
        <w:tc>
          <w:tcPr>
            <w:tcW w:w="1461" w:type="dxa"/>
          </w:tcPr>
          <w:p w14:paraId="06CCA1E0" w14:textId="1A033858"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7"/>
                <w:sz w:val="18"/>
                <w:szCs w:val="18"/>
              </w:rPr>
              <w:t>LF-</w:t>
            </w:r>
            <w:r w:rsidRPr="00954A44">
              <w:rPr>
                <w:rFonts w:ascii="Arial" w:hAnsi="Arial" w:cs="Arial"/>
                <w:b/>
                <w:color w:val="019648"/>
                <w:spacing w:val="-5"/>
                <w:sz w:val="18"/>
                <w:szCs w:val="18"/>
              </w:rPr>
              <w:t>LAM</w:t>
            </w:r>
          </w:p>
        </w:tc>
        <w:tc>
          <w:tcPr>
            <w:tcW w:w="7938" w:type="dxa"/>
            <w:gridSpan w:val="2"/>
          </w:tcPr>
          <w:p w14:paraId="736AD09C" w14:textId="5FABFADF"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sz w:val="18"/>
                <w:szCs w:val="18"/>
                <w:lang w:val="uk-UA"/>
              </w:rPr>
              <w:t>ліпоарабіноманнановий тест бокового зсуву на зразках сечі</w:t>
            </w:r>
          </w:p>
        </w:tc>
      </w:tr>
      <w:tr w:rsidR="00954A44" w:rsidRPr="0031544C" w14:paraId="6EC76D41" w14:textId="77777777" w:rsidTr="00954A44">
        <w:trPr>
          <w:trHeight w:val="335"/>
        </w:trPr>
        <w:tc>
          <w:tcPr>
            <w:tcW w:w="1461" w:type="dxa"/>
          </w:tcPr>
          <w:p w14:paraId="059A2F94" w14:textId="7476DD52"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5"/>
                <w:sz w:val="18"/>
                <w:szCs w:val="18"/>
              </w:rPr>
              <w:t>LPA</w:t>
            </w:r>
          </w:p>
        </w:tc>
        <w:tc>
          <w:tcPr>
            <w:tcW w:w="7938" w:type="dxa"/>
            <w:gridSpan w:val="2"/>
          </w:tcPr>
          <w:p w14:paraId="071FECAD" w14:textId="49E00A28"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sz w:val="18"/>
                <w:szCs w:val="18"/>
                <w:lang w:val="uk-UA"/>
              </w:rPr>
              <w:t>лінійний зонд-аналіз</w:t>
            </w:r>
          </w:p>
        </w:tc>
      </w:tr>
      <w:tr w:rsidR="00954A44" w:rsidRPr="00D029FF" w14:paraId="25FAAF20" w14:textId="77777777" w:rsidTr="00954A44">
        <w:trPr>
          <w:trHeight w:val="335"/>
        </w:trPr>
        <w:tc>
          <w:tcPr>
            <w:tcW w:w="1461" w:type="dxa"/>
          </w:tcPr>
          <w:p w14:paraId="73B75098" w14:textId="19CF1163"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2"/>
                <w:sz w:val="18"/>
                <w:szCs w:val="18"/>
              </w:rPr>
              <w:t>LSHTM</w:t>
            </w:r>
          </w:p>
        </w:tc>
        <w:tc>
          <w:tcPr>
            <w:tcW w:w="7938" w:type="dxa"/>
            <w:gridSpan w:val="2"/>
          </w:tcPr>
          <w:p w14:paraId="5A9BCC55" w14:textId="5E2B2C7C"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sz w:val="18"/>
                <w:szCs w:val="18"/>
                <w:lang w:val="uk-UA"/>
              </w:rPr>
              <w:t>Лондонська школа гігієни та тропічної медицини</w:t>
            </w:r>
          </w:p>
        </w:tc>
      </w:tr>
      <w:tr w:rsidR="00954A44" w:rsidRPr="0031544C" w14:paraId="3F0B6F76" w14:textId="77777777" w:rsidTr="00954A44">
        <w:trPr>
          <w:trHeight w:val="335"/>
        </w:trPr>
        <w:tc>
          <w:tcPr>
            <w:tcW w:w="1461" w:type="dxa"/>
          </w:tcPr>
          <w:p w14:paraId="1D1D14BA" w14:textId="48264066"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5"/>
                <w:sz w:val="18"/>
                <w:szCs w:val="18"/>
              </w:rPr>
              <w:t>MRS</w:t>
            </w:r>
          </w:p>
        </w:tc>
        <w:tc>
          <w:tcPr>
            <w:tcW w:w="7938" w:type="dxa"/>
            <w:gridSpan w:val="2"/>
          </w:tcPr>
          <w:p w14:paraId="7FB0DC96" w14:textId="42F2B16D"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sz w:val="18"/>
                <w:szCs w:val="18"/>
                <w:lang w:val="uk-UA"/>
              </w:rPr>
              <w:t>мікробіологічний еталонний стандарт</w:t>
            </w:r>
          </w:p>
        </w:tc>
      </w:tr>
      <w:tr w:rsidR="00954A44" w:rsidRPr="0031544C" w14:paraId="7837F4CC" w14:textId="77777777" w:rsidTr="00954A44">
        <w:trPr>
          <w:trHeight w:val="335"/>
        </w:trPr>
        <w:tc>
          <w:tcPr>
            <w:tcW w:w="1461" w:type="dxa"/>
          </w:tcPr>
          <w:p w14:paraId="34BFDD35" w14:textId="165321B5"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i/>
                <w:color w:val="019648"/>
                <w:spacing w:val="-5"/>
                <w:w w:val="110"/>
                <w:sz w:val="18"/>
                <w:szCs w:val="18"/>
              </w:rPr>
              <w:t>Mtb</w:t>
            </w:r>
          </w:p>
        </w:tc>
        <w:tc>
          <w:tcPr>
            <w:tcW w:w="7938" w:type="dxa"/>
            <w:gridSpan w:val="2"/>
          </w:tcPr>
          <w:p w14:paraId="3F95FDD7" w14:textId="683930D4"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i/>
                <w:sz w:val="18"/>
                <w:szCs w:val="18"/>
                <w:lang w:val="uk-UA"/>
              </w:rPr>
              <w:t>Mycobacterium</w:t>
            </w:r>
            <w:r w:rsidRPr="00954A44">
              <w:rPr>
                <w:rFonts w:ascii="Arial" w:hAnsi="Arial" w:cs="Arial"/>
                <w:i/>
                <w:spacing w:val="4"/>
                <w:sz w:val="18"/>
                <w:szCs w:val="18"/>
                <w:lang w:val="uk-UA"/>
              </w:rPr>
              <w:t xml:space="preserve"> </w:t>
            </w:r>
            <w:r w:rsidRPr="00954A44">
              <w:rPr>
                <w:rFonts w:ascii="Arial" w:hAnsi="Arial" w:cs="Arial"/>
                <w:i/>
                <w:spacing w:val="-2"/>
                <w:sz w:val="18"/>
                <w:szCs w:val="18"/>
                <w:lang w:val="uk-UA"/>
              </w:rPr>
              <w:t xml:space="preserve">tuberculosis - </w:t>
            </w:r>
            <w:r w:rsidRPr="00954A44">
              <w:rPr>
                <w:rFonts w:ascii="Arial" w:hAnsi="Arial" w:cs="Arial"/>
                <w:iCs/>
                <w:spacing w:val="-2"/>
                <w:sz w:val="18"/>
                <w:szCs w:val="18"/>
                <w:lang w:val="uk-UA"/>
              </w:rPr>
              <w:t>мікобактерії туберкульозу</w:t>
            </w:r>
          </w:p>
        </w:tc>
      </w:tr>
      <w:tr w:rsidR="00954A44" w:rsidRPr="00D029FF" w14:paraId="0A5681B4" w14:textId="77777777" w:rsidTr="00954A44">
        <w:trPr>
          <w:trHeight w:val="335"/>
        </w:trPr>
        <w:tc>
          <w:tcPr>
            <w:tcW w:w="1461" w:type="dxa"/>
          </w:tcPr>
          <w:p w14:paraId="15B73232" w14:textId="77D471BA"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4"/>
                <w:sz w:val="18"/>
                <w:szCs w:val="18"/>
              </w:rPr>
              <w:t>mWRD</w:t>
            </w:r>
          </w:p>
        </w:tc>
        <w:tc>
          <w:tcPr>
            <w:tcW w:w="7938" w:type="dxa"/>
            <w:gridSpan w:val="2"/>
          </w:tcPr>
          <w:p w14:paraId="300D53D9" w14:textId="44F2C9B6"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sz w:val="18"/>
                <w:szCs w:val="18"/>
                <w:lang w:val="uk-UA"/>
              </w:rPr>
              <w:t>молекулярний швидкий діагностичний тест, рекомендований ВООЗ</w:t>
            </w:r>
          </w:p>
        </w:tc>
      </w:tr>
      <w:tr w:rsidR="00954A44" w:rsidRPr="0031544C" w14:paraId="30439D37" w14:textId="77777777" w:rsidTr="00954A44">
        <w:trPr>
          <w:trHeight w:val="335"/>
        </w:trPr>
        <w:tc>
          <w:tcPr>
            <w:tcW w:w="1461" w:type="dxa"/>
          </w:tcPr>
          <w:p w14:paraId="33BA9003" w14:textId="48351C37"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5"/>
                <w:sz w:val="18"/>
                <w:szCs w:val="18"/>
              </w:rPr>
              <w:t>PI</w:t>
            </w:r>
          </w:p>
        </w:tc>
        <w:tc>
          <w:tcPr>
            <w:tcW w:w="7938" w:type="dxa"/>
            <w:gridSpan w:val="2"/>
          </w:tcPr>
          <w:p w14:paraId="173390B8" w14:textId="5EC3FF47"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w w:val="105"/>
                <w:sz w:val="18"/>
                <w:szCs w:val="18"/>
                <w:lang w:val="uk-UA"/>
              </w:rPr>
              <w:t>інтервал прогнозування</w:t>
            </w:r>
          </w:p>
        </w:tc>
      </w:tr>
      <w:tr w:rsidR="00954A44" w:rsidRPr="00D029FF" w14:paraId="01F20DDC" w14:textId="77777777" w:rsidTr="00954A44">
        <w:trPr>
          <w:trHeight w:val="335"/>
        </w:trPr>
        <w:tc>
          <w:tcPr>
            <w:tcW w:w="1461" w:type="dxa"/>
          </w:tcPr>
          <w:p w14:paraId="2CF30D90" w14:textId="4EC8B156"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4"/>
                <w:sz w:val="18"/>
                <w:szCs w:val="18"/>
              </w:rPr>
              <w:t>PICO</w:t>
            </w:r>
          </w:p>
        </w:tc>
        <w:tc>
          <w:tcPr>
            <w:tcW w:w="7938" w:type="dxa"/>
            <w:gridSpan w:val="2"/>
          </w:tcPr>
          <w:p w14:paraId="035C2B34" w14:textId="5D3E5C33"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sz w:val="18"/>
                <w:szCs w:val="18"/>
                <w:lang w:val="uk-UA"/>
              </w:rPr>
              <w:t>популяція, інтервенція, порівняння (компаратор) та результат</w:t>
            </w:r>
          </w:p>
        </w:tc>
      </w:tr>
      <w:tr w:rsidR="00954A44" w:rsidRPr="0031544C" w14:paraId="789E7B77" w14:textId="77777777" w:rsidTr="00954A44">
        <w:trPr>
          <w:trHeight w:val="335"/>
        </w:trPr>
        <w:tc>
          <w:tcPr>
            <w:tcW w:w="1461" w:type="dxa"/>
          </w:tcPr>
          <w:p w14:paraId="3E0A6B97" w14:textId="64D753A1"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5"/>
                <w:sz w:val="18"/>
                <w:szCs w:val="18"/>
              </w:rPr>
              <w:t>PQ</w:t>
            </w:r>
          </w:p>
        </w:tc>
        <w:tc>
          <w:tcPr>
            <w:tcW w:w="7938" w:type="dxa"/>
            <w:gridSpan w:val="2"/>
          </w:tcPr>
          <w:p w14:paraId="30CE6251" w14:textId="0C9B8466"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sz w:val="18"/>
                <w:szCs w:val="18"/>
                <w:lang w:val="uk-UA"/>
              </w:rPr>
              <w:t>прекваліфікація</w:t>
            </w:r>
          </w:p>
        </w:tc>
      </w:tr>
      <w:tr w:rsidR="00954A44" w:rsidRPr="0031544C" w14:paraId="2CE9F4A6" w14:textId="77777777" w:rsidTr="00954A44">
        <w:trPr>
          <w:trHeight w:val="335"/>
        </w:trPr>
        <w:tc>
          <w:tcPr>
            <w:tcW w:w="1461" w:type="dxa"/>
          </w:tcPr>
          <w:p w14:paraId="72F36D5A" w14:textId="4F3C77D3"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5"/>
                <w:sz w:val="18"/>
                <w:szCs w:val="18"/>
              </w:rPr>
              <w:t>PZA</w:t>
            </w:r>
          </w:p>
        </w:tc>
        <w:tc>
          <w:tcPr>
            <w:tcW w:w="7938" w:type="dxa"/>
            <w:gridSpan w:val="2"/>
          </w:tcPr>
          <w:p w14:paraId="7FB70FE6" w14:textId="3B1D6FE6"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spacing w:val="-2"/>
                <w:sz w:val="18"/>
                <w:szCs w:val="18"/>
                <w:lang w:val="uk-UA"/>
              </w:rPr>
              <w:t>піразинамід</w:t>
            </w:r>
          </w:p>
        </w:tc>
      </w:tr>
      <w:tr w:rsidR="00954A44" w:rsidRPr="0031544C" w14:paraId="2DAC260C" w14:textId="77777777" w:rsidTr="00954A44">
        <w:trPr>
          <w:trHeight w:val="335"/>
        </w:trPr>
        <w:tc>
          <w:tcPr>
            <w:tcW w:w="1461" w:type="dxa"/>
          </w:tcPr>
          <w:p w14:paraId="265B5527" w14:textId="75593FC5"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5"/>
                <w:sz w:val="18"/>
                <w:szCs w:val="18"/>
              </w:rPr>
              <w:t>QES</w:t>
            </w:r>
          </w:p>
        </w:tc>
        <w:tc>
          <w:tcPr>
            <w:tcW w:w="7938" w:type="dxa"/>
            <w:gridSpan w:val="2"/>
          </w:tcPr>
          <w:p w14:paraId="18DE92A3" w14:textId="4DAE84D1" w:rsidR="00954A44" w:rsidRPr="00954A44" w:rsidRDefault="00954A44" w:rsidP="00954A44">
            <w:pPr>
              <w:pStyle w:val="TableParagraph"/>
              <w:spacing w:before="33" w:line="216" w:lineRule="auto"/>
              <w:ind w:left="220"/>
              <w:rPr>
                <w:rFonts w:ascii="Arial" w:hAnsi="Arial" w:cs="Arial"/>
                <w:iCs/>
                <w:sz w:val="18"/>
                <w:szCs w:val="18"/>
                <w:lang w:val="uk-UA"/>
              </w:rPr>
            </w:pPr>
            <w:r w:rsidRPr="00954A44">
              <w:rPr>
                <w:rFonts w:ascii="Arial" w:hAnsi="Arial" w:cs="Arial"/>
                <w:sz w:val="18"/>
                <w:szCs w:val="18"/>
                <w:lang w:val="uk-UA"/>
              </w:rPr>
              <w:t>синтез якісних доказів</w:t>
            </w:r>
          </w:p>
        </w:tc>
      </w:tr>
      <w:tr w:rsidR="00954A44" w:rsidRPr="00D029FF" w14:paraId="6B4BEC7C" w14:textId="77777777" w:rsidTr="00954A44">
        <w:trPr>
          <w:trHeight w:val="335"/>
        </w:trPr>
        <w:tc>
          <w:tcPr>
            <w:tcW w:w="1461" w:type="dxa"/>
          </w:tcPr>
          <w:p w14:paraId="403C61FE" w14:textId="5BEE9E68"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2"/>
                <w:sz w:val="18"/>
                <w:szCs w:val="18"/>
              </w:rPr>
              <w:t>QUADAS</w:t>
            </w:r>
          </w:p>
        </w:tc>
        <w:tc>
          <w:tcPr>
            <w:tcW w:w="7938" w:type="dxa"/>
            <w:gridSpan w:val="2"/>
          </w:tcPr>
          <w:p w14:paraId="678819A0" w14:textId="68D8FC16"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spacing w:val="-2"/>
                <w:sz w:val="18"/>
                <w:szCs w:val="18"/>
                <w:lang w:val="uk-UA"/>
              </w:rPr>
              <w:t>оцінка якості точності діагностичних досліджень</w:t>
            </w:r>
          </w:p>
        </w:tc>
      </w:tr>
      <w:tr w:rsidR="00954A44" w:rsidRPr="00D029FF" w14:paraId="6F4459D3" w14:textId="77777777" w:rsidTr="00954A44">
        <w:trPr>
          <w:trHeight w:val="335"/>
        </w:trPr>
        <w:tc>
          <w:tcPr>
            <w:tcW w:w="1461" w:type="dxa"/>
          </w:tcPr>
          <w:p w14:paraId="5ABC3753" w14:textId="603C6FAB"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4"/>
                <w:sz w:val="18"/>
                <w:szCs w:val="18"/>
              </w:rPr>
              <w:t>RRDR</w:t>
            </w:r>
          </w:p>
        </w:tc>
        <w:tc>
          <w:tcPr>
            <w:tcW w:w="7938" w:type="dxa"/>
            <w:gridSpan w:val="2"/>
          </w:tcPr>
          <w:p w14:paraId="01A342BF" w14:textId="2CF50620"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color w:val="000000"/>
                <w:sz w:val="18"/>
                <w:szCs w:val="18"/>
                <w:lang w:val="uk-UA"/>
              </w:rPr>
              <w:t>ділянка гена, що визначає резистентність до рифампіцину</w:t>
            </w:r>
          </w:p>
        </w:tc>
      </w:tr>
      <w:tr w:rsidR="00954A44" w:rsidRPr="00D029FF" w14:paraId="510622F3" w14:textId="77777777" w:rsidTr="00954A44">
        <w:trPr>
          <w:trHeight w:val="335"/>
        </w:trPr>
        <w:tc>
          <w:tcPr>
            <w:tcW w:w="1461" w:type="dxa"/>
          </w:tcPr>
          <w:p w14:paraId="2C36D596" w14:textId="3A4B541C"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5"/>
                <w:sz w:val="18"/>
                <w:szCs w:val="18"/>
              </w:rPr>
              <w:t>SL-LPA</w:t>
            </w:r>
          </w:p>
        </w:tc>
        <w:tc>
          <w:tcPr>
            <w:tcW w:w="7938" w:type="dxa"/>
            <w:gridSpan w:val="2"/>
          </w:tcPr>
          <w:p w14:paraId="4EACAA17" w14:textId="1343E9E9"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color w:val="000000"/>
                <w:sz w:val="18"/>
                <w:szCs w:val="18"/>
                <w:lang w:val="uk-UA"/>
              </w:rPr>
              <w:t xml:space="preserve">лінійний зонд аналіз </w:t>
            </w:r>
            <w:r w:rsidR="005013D5">
              <w:rPr>
                <w:rFonts w:ascii="Arial" w:hAnsi="Arial" w:cs="Arial"/>
                <w:color w:val="000000"/>
                <w:sz w:val="18"/>
                <w:szCs w:val="18"/>
                <w:lang w:val="uk-UA"/>
              </w:rPr>
              <w:t>стійкості до</w:t>
            </w:r>
            <w:r w:rsidRPr="00954A44">
              <w:rPr>
                <w:rFonts w:ascii="Arial" w:hAnsi="Arial" w:cs="Arial"/>
                <w:color w:val="000000"/>
                <w:sz w:val="18"/>
                <w:szCs w:val="18"/>
                <w:lang w:val="uk-UA"/>
              </w:rPr>
              <w:t xml:space="preserve"> лікарських засобів </w:t>
            </w:r>
            <w:r w:rsidR="005013D5">
              <w:rPr>
                <w:rFonts w:ascii="Arial" w:hAnsi="Arial" w:cs="Arial"/>
                <w:color w:val="000000"/>
                <w:sz w:val="18"/>
                <w:szCs w:val="18"/>
                <w:lang w:val="uk-UA"/>
              </w:rPr>
              <w:t>другого</w:t>
            </w:r>
            <w:r w:rsidRPr="00954A44">
              <w:rPr>
                <w:rFonts w:ascii="Arial" w:hAnsi="Arial" w:cs="Arial"/>
                <w:color w:val="000000"/>
                <w:sz w:val="18"/>
                <w:szCs w:val="18"/>
                <w:lang w:val="uk-UA"/>
              </w:rPr>
              <w:t xml:space="preserve"> ряду</w:t>
            </w:r>
          </w:p>
        </w:tc>
      </w:tr>
      <w:tr w:rsidR="00954A44" w:rsidRPr="0031544C" w14:paraId="432B5AE5" w14:textId="77777777" w:rsidTr="00954A44">
        <w:trPr>
          <w:trHeight w:val="335"/>
        </w:trPr>
        <w:tc>
          <w:tcPr>
            <w:tcW w:w="1461" w:type="dxa"/>
          </w:tcPr>
          <w:p w14:paraId="7377A203" w14:textId="4AC57223"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5"/>
                <w:sz w:val="18"/>
                <w:szCs w:val="18"/>
              </w:rPr>
              <w:t>SSM</w:t>
            </w:r>
          </w:p>
        </w:tc>
        <w:tc>
          <w:tcPr>
            <w:tcW w:w="7938" w:type="dxa"/>
            <w:gridSpan w:val="2"/>
          </w:tcPr>
          <w:p w14:paraId="4F8F2FD8" w14:textId="2ADF5774"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sz w:val="18"/>
                <w:szCs w:val="18"/>
                <w:lang w:val="uk-UA"/>
              </w:rPr>
              <w:t>мікроскопія мазка мокротиння</w:t>
            </w:r>
          </w:p>
        </w:tc>
      </w:tr>
      <w:tr w:rsidR="00954A44" w:rsidRPr="00D029FF" w14:paraId="6CF99664" w14:textId="77777777" w:rsidTr="00954A44">
        <w:trPr>
          <w:trHeight w:val="335"/>
        </w:trPr>
        <w:tc>
          <w:tcPr>
            <w:tcW w:w="1461" w:type="dxa"/>
          </w:tcPr>
          <w:p w14:paraId="714ACC78" w14:textId="66E813F7"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2"/>
                <w:sz w:val="18"/>
                <w:szCs w:val="18"/>
              </w:rPr>
              <w:t>STARD</w:t>
            </w:r>
          </w:p>
        </w:tc>
        <w:tc>
          <w:tcPr>
            <w:tcW w:w="7938" w:type="dxa"/>
            <w:gridSpan w:val="2"/>
          </w:tcPr>
          <w:p w14:paraId="5D930A28" w14:textId="37734B5A"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sz w:val="18"/>
                <w:szCs w:val="18"/>
                <w:lang w:val="uk-UA"/>
              </w:rPr>
              <w:t>стандарти звітування про дослідження діагностичної точності</w:t>
            </w:r>
          </w:p>
        </w:tc>
      </w:tr>
      <w:tr w:rsidR="00954A44" w:rsidRPr="00D029FF" w14:paraId="0071034B" w14:textId="77777777" w:rsidTr="00954A44">
        <w:trPr>
          <w:trHeight w:val="335"/>
        </w:trPr>
        <w:tc>
          <w:tcPr>
            <w:tcW w:w="1461" w:type="dxa"/>
          </w:tcPr>
          <w:p w14:paraId="3E0B6FD1" w14:textId="7789CF64"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4"/>
                <w:sz w:val="18"/>
                <w:szCs w:val="18"/>
              </w:rPr>
              <w:t>TBST</w:t>
            </w:r>
          </w:p>
        </w:tc>
        <w:tc>
          <w:tcPr>
            <w:tcW w:w="7938" w:type="dxa"/>
            <w:gridSpan w:val="2"/>
          </w:tcPr>
          <w:p w14:paraId="57CD7792" w14:textId="3E2AC2EC"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iCs/>
                <w:sz w:val="18"/>
                <w:szCs w:val="18"/>
                <w:lang w:val="uk-UA"/>
              </w:rPr>
              <w:t xml:space="preserve">шкірний тест на антиген мікобактерій туберкульозу </w:t>
            </w:r>
            <w:r w:rsidR="00536455">
              <w:rPr>
                <w:rFonts w:ascii="Arial" w:hAnsi="Arial" w:cs="Arial"/>
                <w:iCs/>
                <w:sz w:val="18"/>
                <w:szCs w:val="18"/>
                <w:lang w:val="uk-UA"/>
              </w:rPr>
              <w:t xml:space="preserve">– </w:t>
            </w:r>
            <w:r w:rsidR="00536455" w:rsidRPr="001D5E59">
              <w:rPr>
                <w:rFonts w:ascii="Arial" w:hAnsi="Arial" w:cs="Arial"/>
                <w:iCs/>
                <w:sz w:val="18"/>
                <w:szCs w:val="18"/>
                <w:lang w:val="uk-UA"/>
              </w:rPr>
              <w:t>ШПТБ</w:t>
            </w:r>
          </w:p>
        </w:tc>
      </w:tr>
      <w:tr w:rsidR="00954A44" w:rsidRPr="0031544C" w14:paraId="1B48F0CB" w14:textId="77777777" w:rsidTr="00954A44">
        <w:trPr>
          <w:trHeight w:val="335"/>
        </w:trPr>
        <w:tc>
          <w:tcPr>
            <w:tcW w:w="1461" w:type="dxa"/>
          </w:tcPr>
          <w:p w14:paraId="0A981344" w14:textId="122DF3C2"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5"/>
                <w:sz w:val="18"/>
                <w:szCs w:val="18"/>
              </w:rPr>
              <w:t>UR</w:t>
            </w:r>
          </w:p>
        </w:tc>
        <w:tc>
          <w:tcPr>
            <w:tcW w:w="7938" w:type="dxa"/>
            <w:gridSpan w:val="2"/>
          </w:tcPr>
          <w:p w14:paraId="0727C1F8" w14:textId="2D1972AD"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sz w:val="18"/>
                <w:szCs w:val="18"/>
                <w:lang w:val="uk-UA"/>
              </w:rPr>
              <w:t>діапазон невизначеності</w:t>
            </w:r>
          </w:p>
        </w:tc>
      </w:tr>
      <w:tr w:rsidR="00954A44" w:rsidRPr="00D029FF" w14:paraId="524B4E07" w14:textId="77777777" w:rsidTr="00954A44">
        <w:trPr>
          <w:trHeight w:val="335"/>
        </w:trPr>
        <w:tc>
          <w:tcPr>
            <w:tcW w:w="1461" w:type="dxa"/>
          </w:tcPr>
          <w:p w14:paraId="584A6596" w14:textId="75DD4E9D"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2"/>
                <w:sz w:val="18"/>
                <w:szCs w:val="18"/>
              </w:rPr>
              <w:t>USAID</w:t>
            </w:r>
          </w:p>
        </w:tc>
        <w:tc>
          <w:tcPr>
            <w:tcW w:w="7938" w:type="dxa"/>
            <w:gridSpan w:val="2"/>
          </w:tcPr>
          <w:p w14:paraId="392818C7" w14:textId="7F1FA88C" w:rsidR="00954A44" w:rsidRPr="00954A44" w:rsidRDefault="00954A44" w:rsidP="00954A44">
            <w:pPr>
              <w:pStyle w:val="TableParagraph"/>
              <w:spacing w:before="37" w:line="216" w:lineRule="auto"/>
              <w:ind w:left="220"/>
              <w:rPr>
                <w:rFonts w:ascii="Arial" w:hAnsi="Arial" w:cs="Arial"/>
                <w:spacing w:val="-2"/>
                <w:w w:val="105"/>
                <w:sz w:val="18"/>
                <w:szCs w:val="18"/>
                <w:lang w:val="uk-UA"/>
              </w:rPr>
            </w:pPr>
            <w:r w:rsidRPr="00954A44">
              <w:rPr>
                <w:rFonts w:ascii="Arial" w:hAnsi="Arial" w:cs="Arial"/>
                <w:sz w:val="18"/>
                <w:szCs w:val="18"/>
                <w:lang w:val="uk-UA"/>
              </w:rPr>
              <w:t>Агентство США з міжнародного розвитку</w:t>
            </w:r>
          </w:p>
        </w:tc>
      </w:tr>
      <w:tr w:rsidR="00954A44" w:rsidRPr="00D029FF" w14:paraId="2AF65473" w14:textId="77777777" w:rsidTr="00954A44">
        <w:trPr>
          <w:trHeight w:val="335"/>
        </w:trPr>
        <w:tc>
          <w:tcPr>
            <w:tcW w:w="1461" w:type="dxa"/>
          </w:tcPr>
          <w:p w14:paraId="2DFD442D" w14:textId="072ABE65"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2"/>
                <w:sz w:val="18"/>
                <w:szCs w:val="18"/>
              </w:rPr>
              <w:t>WHO/GTB</w:t>
            </w:r>
          </w:p>
        </w:tc>
        <w:tc>
          <w:tcPr>
            <w:tcW w:w="7938" w:type="dxa"/>
            <w:gridSpan w:val="2"/>
          </w:tcPr>
          <w:p w14:paraId="07F421D9" w14:textId="77777777" w:rsidR="00954A44" w:rsidRPr="00954A44" w:rsidRDefault="00954A44" w:rsidP="00954A44">
            <w:pPr>
              <w:ind w:left="220"/>
              <w:rPr>
                <w:rFonts w:ascii="Arial" w:hAnsi="Arial" w:cs="Arial"/>
                <w:w w:val="105"/>
                <w:sz w:val="18"/>
                <w:szCs w:val="18"/>
                <w:lang w:val="ru-RU"/>
              </w:rPr>
            </w:pPr>
            <w:r w:rsidRPr="00954A44">
              <w:rPr>
                <w:rFonts w:ascii="Arial" w:hAnsi="Arial" w:cs="Arial"/>
                <w:w w:val="105"/>
                <w:sz w:val="18"/>
                <w:szCs w:val="18"/>
                <w:lang w:val="uk-UA"/>
              </w:rPr>
              <w:t>Глобальна програма боротьби з туберкульозом та ТБ легень Всесвітньої організації охорони здоров'я</w:t>
            </w:r>
          </w:p>
          <w:p w14:paraId="682D3FD2" w14:textId="0DD6E3F7" w:rsidR="00954A44" w:rsidRPr="00954A44" w:rsidRDefault="00954A44" w:rsidP="00954A44">
            <w:pPr>
              <w:pStyle w:val="TableParagraph"/>
              <w:spacing w:before="37" w:line="216" w:lineRule="auto"/>
              <w:ind w:left="220"/>
              <w:rPr>
                <w:rFonts w:ascii="Arial" w:hAnsi="Arial" w:cs="Arial"/>
                <w:sz w:val="10"/>
                <w:szCs w:val="10"/>
                <w:lang w:val="uk-UA"/>
              </w:rPr>
            </w:pPr>
          </w:p>
        </w:tc>
      </w:tr>
      <w:tr w:rsidR="00954A44" w:rsidRPr="00D029FF" w14:paraId="3F4C0200" w14:textId="77777777" w:rsidTr="00954A44">
        <w:trPr>
          <w:trHeight w:val="335"/>
        </w:trPr>
        <w:tc>
          <w:tcPr>
            <w:tcW w:w="1461" w:type="dxa"/>
          </w:tcPr>
          <w:p w14:paraId="47128E9A" w14:textId="49D2B587"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5"/>
                <w:sz w:val="18"/>
                <w:szCs w:val="18"/>
              </w:rPr>
              <w:t>WRD</w:t>
            </w:r>
          </w:p>
        </w:tc>
        <w:tc>
          <w:tcPr>
            <w:tcW w:w="7938" w:type="dxa"/>
            <w:gridSpan w:val="2"/>
          </w:tcPr>
          <w:p w14:paraId="2DF58715" w14:textId="70BA8B15"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sz w:val="18"/>
                <w:szCs w:val="18"/>
                <w:lang w:val="uk-UA"/>
              </w:rPr>
              <w:t>рекомендований ВООЗ швидкий діагностичний тест</w:t>
            </w:r>
          </w:p>
        </w:tc>
      </w:tr>
      <w:tr w:rsidR="00954A44" w:rsidRPr="0031544C" w14:paraId="470FC908" w14:textId="77777777" w:rsidTr="00954A44">
        <w:trPr>
          <w:trHeight w:val="585"/>
        </w:trPr>
        <w:tc>
          <w:tcPr>
            <w:tcW w:w="1461" w:type="dxa"/>
          </w:tcPr>
          <w:p w14:paraId="61F59DE1" w14:textId="415FC203" w:rsidR="00954A44" w:rsidRPr="00954A44" w:rsidRDefault="00954A44" w:rsidP="00954A44">
            <w:pPr>
              <w:pStyle w:val="TableParagraph"/>
              <w:spacing w:before="33" w:line="216" w:lineRule="auto"/>
              <w:ind w:left="50"/>
              <w:rPr>
                <w:rFonts w:ascii="Arial" w:hAnsi="Arial" w:cs="Arial"/>
                <w:b/>
                <w:sz w:val="18"/>
                <w:szCs w:val="18"/>
                <w:lang w:val="uk-UA"/>
              </w:rPr>
            </w:pPr>
            <w:r w:rsidRPr="00954A44">
              <w:rPr>
                <w:rFonts w:ascii="Arial" w:hAnsi="Arial" w:cs="Arial"/>
                <w:b/>
                <w:color w:val="019648"/>
                <w:spacing w:val="-5"/>
                <w:sz w:val="18"/>
                <w:szCs w:val="18"/>
              </w:rPr>
              <w:t>WTP</w:t>
            </w:r>
          </w:p>
        </w:tc>
        <w:tc>
          <w:tcPr>
            <w:tcW w:w="7938" w:type="dxa"/>
            <w:gridSpan w:val="2"/>
          </w:tcPr>
          <w:p w14:paraId="26B69F73" w14:textId="2B6BD902" w:rsidR="00954A44" w:rsidRPr="00954A44" w:rsidRDefault="00954A44" w:rsidP="00954A44">
            <w:pPr>
              <w:pStyle w:val="TableParagraph"/>
              <w:spacing w:before="37" w:line="216" w:lineRule="auto"/>
              <w:ind w:left="220"/>
              <w:rPr>
                <w:rFonts w:ascii="Arial" w:hAnsi="Arial" w:cs="Arial"/>
                <w:sz w:val="18"/>
                <w:szCs w:val="18"/>
                <w:lang w:val="uk-UA"/>
              </w:rPr>
            </w:pPr>
            <w:r w:rsidRPr="00954A44">
              <w:rPr>
                <w:rFonts w:ascii="Arial" w:hAnsi="Arial" w:cs="Arial"/>
                <w:sz w:val="18"/>
                <w:szCs w:val="18"/>
                <w:lang w:val="uk-UA"/>
              </w:rPr>
              <w:t>готовність платити</w:t>
            </w:r>
          </w:p>
        </w:tc>
      </w:tr>
      <w:tr w:rsidR="00954A44" w:rsidRPr="0031544C" w14:paraId="5EF0BC82" w14:textId="77777777" w:rsidTr="005D4FB0">
        <w:trPr>
          <w:trHeight w:val="335"/>
        </w:trPr>
        <w:tc>
          <w:tcPr>
            <w:tcW w:w="1947" w:type="dxa"/>
            <w:gridSpan w:val="2"/>
          </w:tcPr>
          <w:p w14:paraId="43A011F8" w14:textId="4369B3B6" w:rsidR="00954A44" w:rsidRPr="00954A44" w:rsidRDefault="00954A44" w:rsidP="00954A44">
            <w:pPr>
              <w:pStyle w:val="TableParagraph"/>
              <w:spacing w:before="33" w:line="216" w:lineRule="auto"/>
              <w:ind w:left="50"/>
              <w:rPr>
                <w:rFonts w:ascii="Arial" w:hAnsi="Arial" w:cs="Arial"/>
                <w:b/>
                <w:sz w:val="18"/>
                <w:szCs w:val="18"/>
                <w:lang w:val="uk-UA"/>
              </w:rPr>
            </w:pPr>
          </w:p>
        </w:tc>
        <w:tc>
          <w:tcPr>
            <w:tcW w:w="7452" w:type="dxa"/>
          </w:tcPr>
          <w:p w14:paraId="6EDE3DAB" w14:textId="2EC1B992" w:rsidR="00954A44" w:rsidRPr="00954A44" w:rsidRDefault="00954A44" w:rsidP="00954A44">
            <w:pPr>
              <w:pStyle w:val="TableParagraph"/>
              <w:spacing w:before="37" w:line="216" w:lineRule="auto"/>
              <w:ind w:left="243"/>
              <w:rPr>
                <w:rFonts w:ascii="Arial" w:hAnsi="Arial" w:cs="Arial"/>
                <w:sz w:val="18"/>
                <w:szCs w:val="18"/>
                <w:lang w:val="uk-UA"/>
              </w:rPr>
            </w:pPr>
          </w:p>
        </w:tc>
      </w:tr>
      <w:tr w:rsidR="00954A44" w:rsidRPr="00954A44" w14:paraId="6D996F8C" w14:textId="77777777" w:rsidTr="005D4FB0">
        <w:trPr>
          <w:trHeight w:val="335"/>
        </w:trPr>
        <w:tc>
          <w:tcPr>
            <w:tcW w:w="1947" w:type="dxa"/>
            <w:gridSpan w:val="2"/>
          </w:tcPr>
          <w:p w14:paraId="547CBCF0" w14:textId="4920357E" w:rsidR="00954A44" w:rsidRPr="00954A44" w:rsidRDefault="00954A44" w:rsidP="00954A44">
            <w:pPr>
              <w:pStyle w:val="TableParagraph"/>
              <w:spacing w:before="33" w:line="216" w:lineRule="auto"/>
              <w:ind w:left="50"/>
              <w:rPr>
                <w:rFonts w:ascii="Arial" w:hAnsi="Arial" w:cs="Arial"/>
                <w:b/>
                <w:sz w:val="18"/>
                <w:szCs w:val="18"/>
                <w:lang w:val="uk-UA"/>
              </w:rPr>
            </w:pPr>
          </w:p>
        </w:tc>
        <w:tc>
          <w:tcPr>
            <w:tcW w:w="7452" w:type="dxa"/>
          </w:tcPr>
          <w:p w14:paraId="50692ABD" w14:textId="6645755A" w:rsidR="00954A44" w:rsidRPr="00954A44" w:rsidRDefault="00954A44" w:rsidP="00954A44">
            <w:pPr>
              <w:pStyle w:val="TableParagraph"/>
              <w:spacing w:before="37" w:line="216" w:lineRule="auto"/>
              <w:ind w:left="243"/>
              <w:rPr>
                <w:rFonts w:ascii="Arial" w:hAnsi="Arial" w:cs="Arial"/>
                <w:sz w:val="18"/>
                <w:szCs w:val="18"/>
                <w:lang w:val="uk-UA"/>
              </w:rPr>
            </w:pPr>
          </w:p>
        </w:tc>
      </w:tr>
      <w:tr w:rsidR="00954A44" w:rsidRPr="0031544C" w14:paraId="1A2CC6F1" w14:textId="77777777" w:rsidTr="005D4FB0">
        <w:trPr>
          <w:trHeight w:val="335"/>
        </w:trPr>
        <w:tc>
          <w:tcPr>
            <w:tcW w:w="1947" w:type="dxa"/>
            <w:gridSpan w:val="2"/>
          </w:tcPr>
          <w:p w14:paraId="3259345D" w14:textId="73B0FD95" w:rsidR="00954A44" w:rsidRPr="00954A44" w:rsidRDefault="00954A44" w:rsidP="00954A44">
            <w:pPr>
              <w:pStyle w:val="TableParagraph"/>
              <w:spacing w:before="33" w:line="216" w:lineRule="auto"/>
              <w:ind w:left="50"/>
              <w:rPr>
                <w:rFonts w:ascii="Arial" w:hAnsi="Arial" w:cs="Arial"/>
                <w:b/>
                <w:sz w:val="18"/>
                <w:szCs w:val="18"/>
                <w:lang w:val="uk-UA"/>
              </w:rPr>
            </w:pPr>
          </w:p>
        </w:tc>
        <w:tc>
          <w:tcPr>
            <w:tcW w:w="7452" w:type="dxa"/>
          </w:tcPr>
          <w:p w14:paraId="233A99D8" w14:textId="4F44F13D" w:rsidR="00954A44" w:rsidRPr="00954A44" w:rsidRDefault="00954A44" w:rsidP="00954A44">
            <w:pPr>
              <w:pStyle w:val="TableParagraph"/>
              <w:spacing w:before="37" w:line="216" w:lineRule="auto"/>
              <w:ind w:left="243"/>
              <w:rPr>
                <w:rFonts w:ascii="Arial" w:hAnsi="Arial" w:cs="Arial"/>
                <w:sz w:val="18"/>
                <w:szCs w:val="18"/>
                <w:lang w:val="uk-UA"/>
              </w:rPr>
            </w:pPr>
          </w:p>
        </w:tc>
      </w:tr>
      <w:tr w:rsidR="00954A44" w:rsidRPr="0031544C" w14:paraId="2D3954E9" w14:textId="77777777" w:rsidTr="005D4FB0">
        <w:trPr>
          <w:trHeight w:val="272"/>
        </w:trPr>
        <w:tc>
          <w:tcPr>
            <w:tcW w:w="1947" w:type="dxa"/>
            <w:gridSpan w:val="2"/>
          </w:tcPr>
          <w:p w14:paraId="42D8CC5D" w14:textId="02F09C2B" w:rsidR="00954A44" w:rsidRPr="00954A44" w:rsidRDefault="00954A44" w:rsidP="00954A44">
            <w:pPr>
              <w:pStyle w:val="TableParagraph"/>
              <w:spacing w:before="33" w:line="216" w:lineRule="auto"/>
              <w:ind w:left="50"/>
              <w:rPr>
                <w:rFonts w:ascii="Arial" w:hAnsi="Arial" w:cs="Arial"/>
                <w:b/>
                <w:sz w:val="18"/>
                <w:szCs w:val="18"/>
                <w:lang w:val="uk-UA"/>
              </w:rPr>
            </w:pPr>
          </w:p>
        </w:tc>
        <w:tc>
          <w:tcPr>
            <w:tcW w:w="7452" w:type="dxa"/>
          </w:tcPr>
          <w:p w14:paraId="1224EA33" w14:textId="67FD4306" w:rsidR="00954A44" w:rsidRPr="00954A44" w:rsidRDefault="00954A44" w:rsidP="00954A44">
            <w:pPr>
              <w:pStyle w:val="TableParagraph"/>
              <w:spacing w:before="37" w:line="216" w:lineRule="auto"/>
              <w:ind w:left="243"/>
              <w:rPr>
                <w:rFonts w:ascii="Arial" w:hAnsi="Arial" w:cs="Arial"/>
                <w:sz w:val="18"/>
                <w:szCs w:val="18"/>
                <w:lang w:val="uk-UA"/>
              </w:rPr>
            </w:pPr>
          </w:p>
        </w:tc>
      </w:tr>
    </w:tbl>
    <w:bookmarkEnd w:id="4"/>
    <w:p w14:paraId="0B7B32D5" w14:textId="63A3BCB7" w:rsidR="00E05B98" w:rsidRPr="003C6DAE" w:rsidRDefault="00954A44" w:rsidP="00881EC8">
      <w:pPr>
        <w:pStyle w:val="TableParagraph"/>
        <w:spacing w:line="216" w:lineRule="auto"/>
        <w:rPr>
          <w:sz w:val="21"/>
          <w:lang w:val="uk-UA"/>
        </w:rPr>
        <w:sectPr w:rsidR="00E05B98" w:rsidRPr="003C6DAE" w:rsidSect="00CB0367">
          <w:pgSz w:w="11910" w:h="16840"/>
          <w:pgMar w:top="1135" w:right="1275" w:bottom="760" w:left="850" w:header="0" w:footer="573" w:gutter="0"/>
          <w:cols w:space="720"/>
        </w:sectPr>
      </w:pPr>
      <w:r w:rsidRPr="003C6DAE">
        <w:rPr>
          <w:noProof/>
          <w:sz w:val="21"/>
          <w:lang w:val="uk-UA"/>
        </w:rPr>
        <mc:AlternateContent>
          <mc:Choice Requires="wps">
            <w:drawing>
              <wp:anchor distT="0" distB="0" distL="114300" distR="114300" simplePos="0" relativeHeight="488076800" behindDoc="0" locked="0" layoutInCell="1" allowOverlap="1" wp14:anchorId="6B8CD0C8" wp14:editId="29C49FB2">
                <wp:simplePos x="0" y="0"/>
                <wp:positionH relativeFrom="column">
                  <wp:posOffset>-123291</wp:posOffset>
                </wp:positionH>
                <wp:positionV relativeFrom="paragraph">
                  <wp:posOffset>5909</wp:posOffset>
                </wp:positionV>
                <wp:extent cx="6826250" cy="832919"/>
                <wp:effectExtent l="0" t="0" r="0" b="5715"/>
                <wp:wrapNone/>
                <wp:docPr id="455241127" name="Поле 2304"/>
                <wp:cNvGraphicFramePr/>
                <a:graphic xmlns:a="http://schemas.openxmlformats.org/drawingml/2006/main">
                  <a:graphicData uri="http://schemas.microsoft.com/office/word/2010/wordprocessingShape">
                    <wps:wsp>
                      <wps:cNvSpPr txBox="1"/>
                      <wps:spPr>
                        <a:xfrm>
                          <a:off x="0" y="0"/>
                          <a:ext cx="6826250" cy="832919"/>
                        </a:xfrm>
                        <a:prstGeom prst="rect">
                          <a:avLst/>
                        </a:prstGeom>
                        <a:solidFill>
                          <a:schemeClr val="lt1"/>
                        </a:solidFill>
                        <a:ln w="6350">
                          <a:noFill/>
                        </a:ln>
                      </wps:spPr>
                      <wps:txbx>
                        <w:txbxContent>
                          <w:p w14:paraId="7E47E564" w14:textId="1B5A7C32" w:rsidR="007372B2" w:rsidRPr="009B5E1D" w:rsidRDefault="007372B2" w:rsidP="009B5E1D">
                            <w:pPr>
                              <w:ind w:left="20"/>
                              <w:rPr>
                                <w:sz w:val="16"/>
                                <w:lang w:val="uk-UA"/>
                              </w:rPr>
                            </w:pPr>
                            <w:r>
                              <w:rPr>
                                <w:color w:val="019648"/>
                                <w:spacing w:val="-2"/>
                                <w:sz w:val="16"/>
                              </w:rPr>
                              <w:t>viii</w:t>
                            </w:r>
                            <w:r>
                              <w:rPr>
                                <w:color w:val="019648"/>
                                <w:spacing w:val="-2"/>
                                <w:sz w:val="16"/>
                                <w:lang w:val="uk-UA"/>
                              </w:rPr>
                              <w:t xml:space="preserve">  </w:t>
                            </w: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r w:rsidRPr="009B5E1D">
                              <w:rPr>
                                <w:color w:val="019648"/>
                                <w:spacing w:val="2"/>
                                <w:sz w:val="16"/>
                                <w:lang w:val="uk-UA"/>
                              </w:rPr>
                              <w:t xml:space="preserve"> </w:t>
                            </w:r>
                          </w:p>
                          <w:p w14:paraId="0C13875F" w14:textId="27381EEC" w:rsidR="007372B2" w:rsidRPr="009B5E1D" w:rsidRDefault="007372B2" w:rsidP="00EB1EDB">
                            <w:pPr>
                              <w:rPr>
                                <w:lang w:val="uk-UA"/>
                              </w:rPr>
                            </w:pPr>
                          </w:p>
                          <w:p w14:paraId="6D3BC43F" w14:textId="77777777" w:rsidR="007372B2" w:rsidRPr="009B5E1D" w:rsidRDefault="007372B2">
                            <w:pPr>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CD0C8" id="Поле 2304" o:spid="_x0000_s1042" type="#_x0000_t202" style="position:absolute;left:0;text-align:left;margin-left:-9.7pt;margin-top:.45pt;width:537.5pt;height:65.6pt;z-index:4880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" fillcolor="white [3201]" stroked="f" strokeweight=".5pt">
                <v:textbox>
                  <w:txbxContent>
                    <w:p w14:paraId="7E47E564" w14:textId="1B5A7C32" w:rsidR="007372B2" w:rsidRPr="009B5E1D" w:rsidRDefault="007372B2" w:rsidP="009B5E1D">
                      <w:pPr>
                        <w:ind w:left="20"/>
                        <w:rPr>
                          <w:sz w:val="16"/>
                          <w:lang w:val="uk-UA"/>
                        </w:rPr>
                      </w:pPr>
                      <w:r>
                        <w:rPr>
                          <w:color w:val="019648"/>
                          <w:spacing w:val="-2"/>
                          <w:sz w:val="16"/>
                        </w:rPr>
                        <w:t>viii</w:t>
                      </w:r>
                      <w:r>
                        <w:rPr>
                          <w:color w:val="019648"/>
                          <w:spacing w:val="-2"/>
                          <w:sz w:val="16"/>
                          <w:lang w:val="uk-UA"/>
                        </w:rPr>
                        <w:t xml:space="preserve">  </w:t>
                      </w: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r w:rsidRPr="009B5E1D">
                        <w:rPr>
                          <w:color w:val="019648"/>
                          <w:spacing w:val="2"/>
                          <w:sz w:val="16"/>
                          <w:lang w:val="uk-UA"/>
                        </w:rPr>
                        <w:t xml:space="preserve"> </w:t>
                      </w:r>
                    </w:p>
                    <w:p w14:paraId="0C13875F" w14:textId="27381EEC" w:rsidR="007372B2" w:rsidRPr="009B5E1D" w:rsidRDefault="007372B2" w:rsidP="00EB1EDB">
                      <w:pPr>
                        <w:rPr>
                          <w:lang w:val="uk-UA"/>
                        </w:rPr>
                      </w:pPr>
                    </w:p>
                    <w:p w14:paraId="6D3BC43F" w14:textId="77777777" w:rsidR="007372B2" w:rsidRPr="009B5E1D" w:rsidRDefault="007372B2">
                      <w:pPr>
                        <w:rPr>
                          <w:lang w:val="ru-RU"/>
                        </w:rPr>
                      </w:pPr>
                    </w:p>
                  </w:txbxContent>
                </v:textbox>
              </v:shape>
            </w:pict>
          </mc:Fallback>
        </mc:AlternateContent>
      </w:r>
    </w:p>
    <w:p w14:paraId="1059D419" w14:textId="77777777" w:rsidR="00E05B98" w:rsidRPr="003C6DAE" w:rsidRDefault="00B01E0C">
      <w:pPr>
        <w:pStyle w:val="a3"/>
        <w:rPr>
          <w:sz w:val="64"/>
          <w:lang w:val="uk-UA"/>
        </w:rPr>
      </w:pPr>
      <w:r w:rsidRPr="003C6DAE">
        <w:rPr>
          <w:noProof/>
          <w:sz w:val="64"/>
          <w:lang w:val="uk-UA"/>
        </w:rPr>
        <w:lastRenderedPageBreak/>
        <w:drawing>
          <wp:anchor distT="0" distB="0" distL="0" distR="0" simplePos="0" relativeHeight="481402368" behindDoc="1" locked="0" layoutInCell="1" allowOverlap="1" wp14:anchorId="50C44007" wp14:editId="460920DF">
            <wp:simplePos x="0" y="0"/>
            <wp:positionH relativeFrom="page">
              <wp:posOffset>1365</wp:posOffset>
            </wp:positionH>
            <wp:positionV relativeFrom="page">
              <wp:posOffset>0</wp:posOffset>
            </wp:positionV>
            <wp:extent cx="7558640" cy="1470902"/>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31" cstate="print"/>
                    <a:stretch>
                      <a:fillRect/>
                    </a:stretch>
                  </pic:blipFill>
                  <pic:spPr>
                    <a:xfrm>
                      <a:off x="0" y="0"/>
                      <a:ext cx="7558640" cy="1470902"/>
                    </a:xfrm>
                    <a:prstGeom prst="rect">
                      <a:avLst/>
                    </a:prstGeom>
                  </pic:spPr>
                </pic:pic>
              </a:graphicData>
            </a:graphic>
          </wp:anchor>
        </w:drawing>
      </w:r>
    </w:p>
    <w:p w14:paraId="612A77D4" w14:textId="77777777" w:rsidR="00E05B98" w:rsidRPr="003C6DAE" w:rsidRDefault="00E05B98">
      <w:pPr>
        <w:pStyle w:val="a3"/>
        <w:rPr>
          <w:sz w:val="64"/>
          <w:lang w:val="uk-UA"/>
        </w:rPr>
      </w:pPr>
    </w:p>
    <w:p w14:paraId="3543FB6C" w14:textId="77777777" w:rsidR="00E05B98" w:rsidRPr="003C6DAE" w:rsidRDefault="00E05B98">
      <w:pPr>
        <w:pStyle w:val="a3"/>
        <w:spacing w:before="47"/>
        <w:rPr>
          <w:sz w:val="64"/>
          <w:lang w:val="uk-UA"/>
        </w:rPr>
      </w:pPr>
    </w:p>
    <w:p w14:paraId="2F5EB3CE" w14:textId="77777777" w:rsidR="00FB6915" w:rsidRPr="003C6DAE" w:rsidRDefault="00FB6915" w:rsidP="00FB6915">
      <w:pPr>
        <w:pStyle w:val="1"/>
        <w:rPr>
          <w:color w:val="019648"/>
          <w:spacing w:val="-2"/>
          <w:w w:val="105"/>
          <w:lang w:val="uk-UA"/>
        </w:rPr>
      </w:pPr>
      <w:bookmarkStart w:id="5" w:name="Definitions"/>
      <w:bookmarkStart w:id="6" w:name="_bookmark2"/>
      <w:bookmarkEnd w:id="5"/>
      <w:bookmarkEnd w:id="6"/>
      <w:r w:rsidRPr="003C6DAE">
        <w:rPr>
          <w:color w:val="019648"/>
          <w:spacing w:val="-2"/>
          <w:w w:val="105"/>
          <w:lang w:val="uk-UA"/>
        </w:rPr>
        <w:t>Визначення</w:t>
      </w:r>
    </w:p>
    <w:p w14:paraId="0C8F97D8" w14:textId="77777777" w:rsidR="00E05B98" w:rsidRPr="003C6DAE" w:rsidRDefault="00E05B98">
      <w:pPr>
        <w:pStyle w:val="a3"/>
        <w:spacing w:before="39"/>
        <w:rPr>
          <w:sz w:val="64"/>
          <w:lang w:val="uk-UA"/>
        </w:rPr>
      </w:pPr>
    </w:p>
    <w:p w14:paraId="7BC0EFB7" w14:textId="13BF1707" w:rsidR="00E05B98" w:rsidRPr="003C6DAE" w:rsidRDefault="00F343CF" w:rsidP="00CB0367">
      <w:pPr>
        <w:pStyle w:val="a3"/>
        <w:spacing w:line="297" w:lineRule="auto"/>
        <w:ind w:left="567"/>
        <w:jc w:val="both"/>
        <w:rPr>
          <w:sz w:val="20"/>
          <w:szCs w:val="20"/>
          <w:lang w:val="uk-UA"/>
        </w:rPr>
      </w:pPr>
      <w:r w:rsidRPr="001D5E59">
        <w:rPr>
          <w:b/>
          <w:spacing w:val="-2"/>
          <w:sz w:val="20"/>
          <w:szCs w:val="20"/>
          <w:lang w:val="uk-UA"/>
        </w:rPr>
        <w:t xml:space="preserve">Прогресуюча </w:t>
      </w:r>
      <w:r w:rsidRPr="003C6DAE">
        <w:rPr>
          <w:b/>
          <w:spacing w:val="-2"/>
          <w:sz w:val="20"/>
          <w:szCs w:val="20"/>
          <w:lang w:val="uk-UA"/>
        </w:rPr>
        <w:t>стадія ВІЛ-інфекції:</w:t>
      </w:r>
      <w:r w:rsidRPr="003C6DAE">
        <w:rPr>
          <w:bCs/>
          <w:spacing w:val="-2"/>
          <w:sz w:val="20"/>
          <w:szCs w:val="20"/>
          <w:lang w:val="uk-UA"/>
        </w:rPr>
        <w:t xml:space="preserve"> для дорослих, підлітків та дітей віком від 5 років «прогресуюча стадія ВІЛ-інфекції» визначається як кількість клітин CD4 менше 200 клітин/мм</w:t>
      </w:r>
      <w:r w:rsidRPr="00B90A18">
        <w:rPr>
          <w:bCs/>
          <w:spacing w:val="-2"/>
          <w:sz w:val="20"/>
          <w:szCs w:val="20"/>
          <w:vertAlign w:val="superscript"/>
          <w:lang w:val="uk-UA"/>
        </w:rPr>
        <w:t>3</w:t>
      </w:r>
      <w:r w:rsidRPr="003C6DAE">
        <w:rPr>
          <w:bCs/>
          <w:spacing w:val="-2"/>
          <w:sz w:val="20"/>
          <w:szCs w:val="20"/>
          <w:lang w:val="uk-UA"/>
        </w:rPr>
        <w:t xml:space="preserve"> або 3-я чи 4-та клінічна стадія за класифікацією ВООЗ на момент звернення за медичною допомогою. Усіх дітей, які живуть з ВІЛ, віком до 5 років, слід вважати такими, що мають </w:t>
      </w:r>
      <w:r w:rsidRPr="001D5E59">
        <w:rPr>
          <w:bCs/>
          <w:spacing w:val="-2"/>
          <w:sz w:val="20"/>
          <w:szCs w:val="20"/>
          <w:lang w:val="uk-UA"/>
        </w:rPr>
        <w:t>прогресуючу х</w:t>
      </w:r>
      <w:r w:rsidRPr="003C6DAE">
        <w:rPr>
          <w:bCs/>
          <w:spacing w:val="-2"/>
          <w:sz w:val="20"/>
          <w:szCs w:val="20"/>
          <w:lang w:val="uk-UA"/>
        </w:rPr>
        <w:t>воробу на момент звернення за медичною допомогою.</w:t>
      </w:r>
    </w:p>
    <w:p w14:paraId="33B92CCD" w14:textId="3D56D994" w:rsidR="00E05B98" w:rsidRPr="003C6DAE" w:rsidRDefault="00F343CF" w:rsidP="00CB0367">
      <w:pPr>
        <w:pStyle w:val="a3"/>
        <w:spacing w:before="140" w:line="268" w:lineRule="auto"/>
        <w:ind w:left="567"/>
        <w:jc w:val="both"/>
        <w:rPr>
          <w:sz w:val="20"/>
          <w:szCs w:val="20"/>
          <w:lang w:val="uk-UA"/>
        </w:rPr>
      </w:pPr>
      <w:r w:rsidRPr="003C6DAE">
        <w:rPr>
          <w:b/>
          <w:sz w:val="20"/>
          <w:szCs w:val="20"/>
          <w:lang w:val="uk-UA"/>
        </w:rPr>
        <w:t>Вікові групи:</w:t>
      </w:r>
      <w:r w:rsidRPr="003C6DAE">
        <w:rPr>
          <w:sz w:val="20"/>
          <w:szCs w:val="20"/>
          <w:lang w:val="uk-UA"/>
        </w:rPr>
        <w:t xml:space="preserve"> </w:t>
      </w:r>
      <w:r w:rsidRPr="003C6DAE">
        <w:rPr>
          <w:bCs/>
          <w:sz w:val="20"/>
          <w:szCs w:val="20"/>
          <w:lang w:val="uk-UA"/>
        </w:rPr>
        <w:t>наступні визначення для дорослих та дітей використовуються в цих настановах з метою реалізації рекомендацій (країни можуть мати інші визначення відповідно до своїх національних норм):</w:t>
      </w:r>
    </w:p>
    <w:p w14:paraId="5FD77C53" w14:textId="77777777" w:rsidR="00F343CF" w:rsidRPr="003C6DAE" w:rsidRDefault="00F343CF" w:rsidP="004A2937">
      <w:pPr>
        <w:pStyle w:val="a4"/>
        <w:numPr>
          <w:ilvl w:val="0"/>
          <w:numId w:val="33"/>
        </w:numPr>
        <w:tabs>
          <w:tab w:val="left" w:pos="850"/>
        </w:tabs>
        <w:rPr>
          <w:sz w:val="20"/>
          <w:szCs w:val="20"/>
          <w:lang w:val="uk-UA"/>
        </w:rPr>
      </w:pPr>
      <w:r w:rsidRPr="003C6DAE">
        <w:rPr>
          <w:sz w:val="20"/>
          <w:szCs w:val="20"/>
          <w:lang w:val="uk-UA"/>
        </w:rPr>
        <w:t>дорослий - особа віком від 10 років і старше;</w:t>
      </w:r>
    </w:p>
    <w:p w14:paraId="178F63B4" w14:textId="7F9A13B5" w:rsidR="00E05B98" w:rsidRPr="003C6DAE" w:rsidRDefault="00F343CF" w:rsidP="004A2937">
      <w:pPr>
        <w:pStyle w:val="a4"/>
        <w:numPr>
          <w:ilvl w:val="0"/>
          <w:numId w:val="33"/>
        </w:numPr>
        <w:tabs>
          <w:tab w:val="left" w:pos="850"/>
        </w:tabs>
        <w:rPr>
          <w:sz w:val="20"/>
          <w:szCs w:val="20"/>
          <w:lang w:val="uk-UA"/>
        </w:rPr>
      </w:pPr>
      <w:r w:rsidRPr="003C6DAE">
        <w:rPr>
          <w:sz w:val="20"/>
          <w:szCs w:val="20"/>
          <w:lang w:val="uk-UA"/>
        </w:rPr>
        <w:t>дитина - особа віком до 10 років.</w:t>
      </w:r>
    </w:p>
    <w:p w14:paraId="72F0A8CF" w14:textId="77777777" w:rsidR="00E05B98" w:rsidRPr="003C6DAE" w:rsidRDefault="00E05B98" w:rsidP="00CB0367">
      <w:pPr>
        <w:pStyle w:val="a3"/>
        <w:spacing w:before="35"/>
        <w:rPr>
          <w:sz w:val="20"/>
          <w:szCs w:val="20"/>
          <w:lang w:val="uk-UA"/>
        </w:rPr>
      </w:pPr>
    </w:p>
    <w:p w14:paraId="158904CA" w14:textId="2415390A" w:rsidR="00E05B98" w:rsidRPr="003C6DAE" w:rsidRDefault="00F343CF" w:rsidP="00CB0367">
      <w:pPr>
        <w:spacing w:before="1" w:line="297" w:lineRule="auto"/>
        <w:ind w:left="567"/>
        <w:jc w:val="both"/>
        <w:rPr>
          <w:sz w:val="20"/>
          <w:szCs w:val="20"/>
          <w:lang w:val="uk-UA"/>
        </w:rPr>
      </w:pPr>
      <w:r w:rsidRPr="003C6DAE">
        <w:rPr>
          <w:b/>
          <w:sz w:val="20"/>
          <w:szCs w:val="20"/>
          <w:lang w:val="uk-UA"/>
        </w:rPr>
        <w:t>Град</w:t>
      </w:r>
      <w:r w:rsidR="00B90A18">
        <w:rPr>
          <w:b/>
          <w:sz w:val="20"/>
          <w:szCs w:val="20"/>
          <w:lang w:val="uk-UA"/>
        </w:rPr>
        <w:t>уювання</w:t>
      </w:r>
      <w:r w:rsidRPr="003C6DAE">
        <w:rPr>
          <w:b/>
          <w:sz w:val="20"/>
          <w:szCs w:val="20"/>
          <w:lang w:val="uk-UA"/>
        </w:rPr>
        <w:t xml:space="preserve"> оцінки, розробки та </w:t>
      </w:r>
      <w:r w:rsidR="00B90A18">
        <w:rPr>
          <w:b/>
          <w:sz w:val="20"/>
          <w:szCs w:val="20"/>
          <w:lang w:val="uk-UA"/>
        </w:rPr>
        <w:t>аналізу</w:t>
      </w:r>
      <w:r w:rsidRPr="003C6DAE">
        <w:rPr>
          <w:b/>
          <w:sz w:val="20"/>
          <w:szCs w:val="20"/>
          <w:lang w:val="uk-UA"/>
        </w:rPr>
        <w:t xml:space="preserve"> рекомендацій (GRADE):</w:t>
      </w:r>
      <w:r w:rsidRPr="003C6DAE">
        <w:rPr>
          <w:bCs/>
          <w:sz w:val="20"/>
          <w:szCs w:val="20"/>
          <w:lang w:val="uk-UA"/>
        </w:rPr>
        <w:t xml:space="preserve"> система оцінювання якості доказів і сили рекомендацій; Підхід GRADE є чітким, всеосяжним, прозорим і прагматичним, і все частіше приймається організаціями по всьому світу.</w:t>
      </w:r>
    </w:p>
    <w:p w14:paraId="448968F6" w14:textId="0427FA0D" w:rsidR="00E05B98" w:rsidRPr="003C6DAE" w:rsidRDefault="00FE1F6A" w:rsidP="00CB0367">
      <w:pPr>
        <w:pStyle w:val="a3"/>
        <w:spacing w:before="170" w:line="297" w:lineRule="auto"/>
        <w:ind w:left="567"/>
        <w:jc w:val="both"/>
        <w:rPr>
          <w:sz w:val="20"/>
          <w:szCs w:val="20"/>
          <w:lang w:val="uk-UA"/>
        </w:rPr>
      </w:pPr>
      <w:r w:rsidRPr="003C6DAE">
        <w:rPr>
          <w:b/>
          <w:sz w:val="20"/>
          <w:szCs w:val="20"/>
          <w:lang w:val="uk-UA"/>
        </w:rPr>
        <w:t>Серйозне захворювання, пов'язане з ВІЛ:</w:t>
      </w:r>
      <w:r w:rsidRPr="003C6DAE">
        <w:rPr>
          <w:bCs/>
          <w:sz w:val="20"/>
          <w:szCs w:val="20"/>
          <w:lang w:val="uk-UA"/>
        </w:rPr>
        <w:t xml:space="preserve"> серйозне захворювання на ВІЛ визначається на основі будь-якого з наступних симптомів: частота дихання ≥ 30/хв, температура ≥ 39°C, частота серцевих скорочень ≥ 120/хв або нездатність ходити без сторонньої допомоги.</w:t>
      </w:r>
      <w:r w:rsidR="00B01E0C" w:rsidRPr="003C6DAE">
        <w:rPr>
          <w:w w:val="105"/>
          <w:sz w:val="20"/>
          <w:szCs w:val="20"/>
          <w:lang w:val="uk-UA"/>
        </w:rPr>
        <w:t>.</w:t>
      </w:r>
    </w:p>
    <w:p w14:paraId="668C8C51" w14:textId="5BB5F226" w:rsidR="00E05B98" w:rsidRPr="003C6DAE" w:rsidRDefault="00FE1F6A" w:rsidP="00CB0367">
      <w:pPr>
        <w:pStyle w:val="a3"/>
        <w:spacing w:before="168" w:line="297" w:lineRule="auto"/>
        <w:ind w:left="567"/>
        <w:jc w:val="both"/>
        <w:rPr>
          <w:sz w:val="20"/>
          <w:szCs w:val="20"/>
          <w:lang w:val="uk-UA"/>
        </w:rPr>
      </w:pPr>
      <w:r w:rsidRPr="003C6DAE">
        <w:rPr>
          <w:b/>
          <w:w w:val="105"/>
          <w:sz w:val="20"/>
          <w:szCs w:val="20"/>
          <w:lang w:val="uk-UA"/>
        </w:rPr>
        <w:t>Стаціонарний заклад охорони здоров'я (ЗОЗ)</w:t>
      </w:r>
      <w:r w:rsidRPr="003C6DAE">
        <w:rPr>
          <w:bCs/>
          <w:w w:val="105"/>
          <w:sz w:val="20"/>
          <w:szCs w:val="20"/>
          <w:lang w:val="uk-UA"/>
        </w:rPr>
        <w:t xml:space="preserve">: лікувально-профілактичний заклад, куди приймають пацієнтів та надають </w:t>
      </w:r>
      <w:r w:rsidR="00B90A18">
        <w:rPr>
          <w:bCs/>
          <w:w w:val="105"/>
          <w:sz w:val="20"/>
          <w:szCs w:val="20"/>
          <w:lang w:val="uk-UA"/>
        </w:rPr>
        <w:t xml:space="preserve">їм </w:t>
      </w:r>
      <w:r w:rsidRPr="003C6DAE">
        <w:rPr>
          <w:bCs/>
          <w:w w:val="105"/>
          <w:sz w:val="20"/>
          <w:szCs w:val="20"/>
          <w:lang w:val="uk-UA"/>
        </w:rPr>
        <w:t>ліжко-місце під час діагностики, лікування та догляду, принаймні протягом однієї ночі.</w:t>
      </w:r>
    </w:p>
    <w:p w14:paraId="38EFEF4B" w14:textId="5B7539B5" w:rsidR="00E05B98" w:rsidRPr="003C6DAE" w:rsidRDefault="00EB1EDB" w:rsidP="00CB0367">
      <w:pPr>
        <w:pStyle w:val="a3"/>
        <w:spacing w:before="169" w:line="297" w:lineRule="auto"/>
        <w:ind w:left="567"/>
        <w:jc w:val="both"/>
        <w:rPr>
          <w:sz w:val="20"/>
          <w:szCs w:val="20"/>
          <w:lang w:val="uk-UA"/>
        </w:rPr>
      </w:pPr>
      <w:r w:rsidRPr="003C6DAE">
        <w:rPr>
          <w:b/>
          <w:noProof/>
          <w:sz w:val="20"/>
          <w:szCs w:val="20"/>
          <w:lang w:val="uk-UA"/>
        </w:rPr>
        <mc:AlternateContent>
          <mc:Choice Requires="wps">
            <w:drawing>
              <wp:anchor distT="0" distB="0" distL="114300" distR="114300" simplePos="0" relativeHeight="488077824" behindDoc="0" locked="0" layoutInCell="1" allowOverlap="1" wp14:anchorId="1D161ADB" wp14:editId="7976CB71">
                <wp:simplePos x="0" y="0"/>
                <wp:positionH relativeFrom="column">
                  <wp:posOffset>6248400</wp:posOffset>
                </wp:positionH>
                <wp:positionV relativeFrom="paragraph">
                  <wp:posOffset>4008755</wp:posOffset>
                </wp:positionV>
                <wp:extent cx="438150" cy="311150"/>
                <wp:effectExtent l="0" t="0" r="0" b="0"/>
                <wp:wrapNone/>
                <wp:docPr id="1018274572" name="Поле 2305"/>
                <wp:cNvGraphicFramePr/>
                <a:graphic xmlns:a="http://schemas.openxmlformats.org/drawingml/2006/main">
                  <a:graphicData uri="http://schemas.microsoft.com/office/word/2010/wordprocessingShape">
                    <wps:wsp>
                      <wps:cNvSpPr txBox="1"/>
                      <wps:spPr>
                        <a:xfrm>
                          <a:off x="0" y="0"/>
                          <a:ext cx="438150" cy="311150"/>
                        </a:xfrm>
                        <a:prstGeom prst="rect">
                          <a:avLst/>
                        </a:prstGeom>
                        <a:solidFill>
                          <a:schemeClr val="lt1"/>
                        </a:solidFill>
                        <a:ln w="6350">
                          <a:noFill/>
                        </a:ln>
                      </wps:spPr>
                      <wps:txbx>
                        <w:txbxContent>
                          <w:p w14:paraId="3D8223C6" w14:textId="597DE141" w:rsidR="007372B2" w:rsidRDefault="007372B2" w:rsidP="00EB1EDB">
                            <w:r>
                              <w:rPr>
                                <w:color w:val="019648"/>
                                <w:spacing w:val="-2"/>
                                <w:sz w:val="16"/>
                              </w:rPr>
                              <w:t>ix</w:t>
                            </w:r>
                          </w:p>
                          <w:p w14:paraId="5CBEE247" w14:textId="77777777" w:rsidR="007372B2" w:rsidRDefault="007372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161ADB" id="Поле 2305" o:spid="_x0000_s1043" type="#_x0000_t202" style="position:absolute;left:0;text-align:left;margin-left:492pt;margin-top:315.65pt;width:34.5pt;height:24.5pt;z-index:48807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" fillcolor="white [3201]" stroked="f" strokeweight=".5pt">
                <v:textbox>
                  <w:txbxContent>
                    <w:p w14:paraId="3D8223C6" w14:textId="597DE141" w:rsidR="007372B2" w:rsidRDefault="007372B2" w:rsidP="00EB1EDB">
                      <w:r>
                        <w:rPr>
                          <w:color w:val="019648"/>
                          <w:spacing w:val="-2"/>
                          <w:sz w:val="16"/>
                        </w:rPr>
                        <w:t>ix</w:t>
                      </w:r>
                    </w:p>
                    <w:p w14:paraId="5CBEE247" w14:textId="77777777" w:rsidR="007372B2" w:rsidRDefault="007372B2"/>
                  </w:txbxContent>
                </v:textbox>
              </v:shape>
            </w:pict>
          </mc:Fallback>
        </mc:AlternateContent>
      </w:r>
      <w:r w:rsidR="00FE1F6A" w:rsidRPr="003C6DAE">
        <w:rPr>
          <w:b/>
          <w:sz w:val="20"/>
          <w:szCs w:val="20"/>
          <w:lang w:val="uk-UA"/>
        </w:rPr>
        <w:t>Амбулаторний заклад охорони здоров'я:</w:t>
      </w:r>
      <w:r w:rsidR="00FE1F6A" w:rsidRPr="003C6DAE">
        <w:rPr>
          <w:bCs/>
          <w:sz w:val="20"/>
          <w:szCs w:val="20"/>
          <w:lang w:val="uk-UA"/>
        </w:rPr>
        <w:t xml:space="preserve"> медичний заклад, в якому пацієнти проходять діагностику, отримують лікування та догляд, але не </w:t>
      </w:r>
      <w:r w:rsidR="00B90A18">
        <w:rPr>
          <w:bCs/>
          <w:sz w:val="20"/>
          <w:szCs w:val="20"/>
          <w:lang w:val="uk-UA"/>
        </w:rPr>
        <w:t xml:space="preserve">перебувають у медичному закладі протягом ночі </w:t>
      </w:r>
      <w:r w:rsidR="00FE1F6A" w:rsidRPr="003C6DAE">
        <w:rPr>
          <w:bCs/>
          <w:sz w:val="20"/>
          <w:szCs w:val="20"/>
          <w:lang w:val="uk-UA"/>
        </w:rPr>
        <w:t>(наприклад, амбулаторна клініка чи диспансер).</w:t>
      </w:r>
    </w:p>
    <w:p w14:paraId="67BBF15A" w14:textId="77777777" w:rsidR="00E05B98" w:rsidRPr="003C6DAE" w:rsidRDefault="00E05B98" w:rsidP="00CB0367">
      <w:pPr>
        <w:pStyle w:val="a3"/>
        <w:spacing w:line="297" w:lineRule="auto"/>
        <w:jc w:val="both"/>
        <w:rPr>
          <w:sz w:val="20"/>
          <w:szCs w:val="20"/>
          <w:lang w:val="uk-UA"/>
        </w:rPr>
        <w:sectPr w:rsidR="00E05B98" w:rsidRPr="003C6DAE" w:rsidSect="00CB0367">
          <w:pgSz w:w="11910" w:h="16840"/>
          <w:pgMar w:top="0" w:right="995" w:bottom="760" w:left="850" w:header="0" w:footer="573" w:gutter="0"/>
          <w:cols w:space="720"/>
        </w:sectPr>
      </w:pPr>
    </w:p>
    <w:p w14:paraId="3026F31F" w14:textId="77777777" w:rsidR="00E05B98" w:rsidRPr="003C6DAE" w:rsidRDefault="00B01E0C" w:rsidP="00CB0367">
      <w:pPr>
        <w:pStyle w:val="a3"/>
        <w:rPr>
          <w:sz w:val="64"/>
          <w:lang w:val="uk-UA"/>
        </w:rPr>
      </w:pPr>
      <w:r w:rsidRPr="003C6DAE">
        <w:rPr>
          <w:noProof/>
          <w:sz w:val="64"/>
          <w:lang w:val="uk-UA"/>
        </w:rPr>
        <w:lastRenderedPageBreak/>
        <w:drawing>
          <wp:anchor distT="0" distB="0" distL="0" distR="0" simplePos="0" relativeHeight="481402880" behindDoc="1" locked="0" layoutInCell="1" allowOverlap="1" wp14:anchorId="0E0C7EFB" wp14:editId="673EE79F">
            <wp:simplePos x="0" y="0"/>
            <wp:positionH relativeFrom="page">
              <wp:align>left</wp:align>
            </wp:positionH>
            <wp:positionV relativeFrom="page">
              <wp:align>top</wp:align>
            </wp:positionV>
            <wp:extent cx="7557391" cy="1244600"/>
            <wp:effectExtent l="0" t="0" r="5715"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34" cstate="print"/>
                    <a:stretch>
                      <a:fillRect/>
                    </a:stretch>
                  </pic:blipFill>
                  <pic:spPr>
                    <a:xfrm>
                      <a:off x="0" y="0"/>
                      <a:ext cx="7557391" cy="1244600"/>
                    </a:xfrm>
                    <a:prstGeom prst="rect">
                      <a:avLst/>
                    </a:prstGeom>
                  </pic:spPr>
                </pic:pic>
              </a:graphicData>
            </a:graphic>
            <wp14:sizeRelV relativeFrom="margin">
              <wp14:pctHeight>0</wp14:pctHeight>
            </wp14:sizeRelV>
          </wp:anchor>
        </w:drawing>
      </w:r>
    </w:p>
    <w:p w14:paraId="4C9EDF73" w14:textId="586C3769" w:rsidR="00E05B98" w:rsidRPr="003C6DAE" w:rsidRDefault="00FE1F6A" w:rsidP="00CB0367">
      <w:pPr>
        <w:pStyle w:val="1"/>
        <w:jc w:val="both"/>
        <w:rPr>
          <w:lang w:val="uk-UA"/>
        </w:rPr>
      </w:pPr>
      <w:bookmarkStart w:id="7" w:name="Executive_summary"/>
      <w:bookmarkStart w:id="8" w:name="_bookmark3"/>
      <w:bookmarkEnd w:id="7"/>
      <w:bookmarkEnd w:id="8"/>
      <w:r w:rsidRPr="003C6DAE">
        <w:rPr>
          <w:color w:val="019648"/>
          <w:spacing w:val="-19"/>
          <w:lang w:val="uk-UA"/>
        </w:rPr>
        <w:t>Стислий виклад</w:t>
      </w:r>
      <w:r w:rsidR="00A57B86" w:rsidRPr="003C6DAE">
        <w:rPr>
          <w:color w:val="019648"/>
          <w:spacing w:val="-19"/>
          <w:lang w:val="uk-UA"/>
        </w:rPr>
        <w:t xml:space="preserve"> документа</w:t>
      </w:r>
    </w:p>
    <w:p w14:paraId="05EF2D4D" w14:textId="77777777" w:rsidR="00E05B98" w:rsidRPr="003C6DAE" w:rsidRDefault="00E05B98" w:rsidP="00CB0367">
      <w:pPr>
        <w:pStyle w:val="a3"/>
        <w:spacing w:before="38"/>
        <w:rPr>
          <w:sz w:val="28"/>
          <w:szCs w:val="28"/>
          <w:lang w:val="uk-UA"/>
        </w:rPr>
      </w:pPr>
    </w:p>
    <w:p w14:paraId="43A99360" w14:textId="55D9ED7B" w:rsidR="00E05B98" w:rsidRPr="003C6DAE" w:rsidRDefault="00427BD2" w:rsidP="00733F91">
      <w:pPr>
        <w:pStyle w:val="a3"/>
        <w:spacing w:line="269" w:lineRule="auto"/>
        <w:ind w:left="567"/>
        <w:jc w:val="both"/>
        <w:rPr>
          <w:sz w:val="20"/>
          <w:szCs w:val="20"/>
          <w:lang w:val="uk-UA"/>
        </w:rPr>
      </w:pPr>
      <w:r w:rsidRPr="003C6DAE">
        <w:rPr>
          <w:sz w:val="20"/>
          <w:szCs w:val="20"/>
          <w:lang w:val="uk-UA"/>
        </w:rPr>
        <w:t xml:space="preserve">За оцінками, близько чверті населення світу інфіковано мікобактерією туберкульозу - бактерією, що викликає захворювання на туберкульоз (ТБ). Тестування на ТБ може виявити осіб, які отримають найбільшу користь від профілактичного лікування туберкульозу (ПЛТ). Однак, незважаючи на доступність профілактичних заходів і лікування хвороби, ТБ залишається головною причиною смерті від одного інфекційного агента. Вперше з початку глобальної пандемії туберкульоз, ймовірно, витіснив коронавірусну хворобу (COVID-19) як основну причину смертності у всьому світі </w:t>
      </w:r>
      <w:r w:rsidR="00B01E0C" w:rsidRPr="003C6DAE">
        <w:rPr>
          <w:rFonts w:ascii="Arial" w:hAnsi="Arial"/>
          <w:i/>
          <w:spacing w:val="-2"/>
          <w:sz w:val="20"/>
          <w:szCs w:val="20"/>
          <w:lang w:val="uk-UA"/>
        </w:rPr>
        <w:t>(1)</w:t>
      </w:r>
      <w:r w:rsidR="00B01E0C" w:rsidRPr="003C6DAE">
        <w:rPr>
          <w:spacing w:val="-2"/>
          <w:sz w:val="20"/>
          <w:szCs w:val="20"/>
          <w:lang w:val="uk-UA"/>
        </w:rPr>
        <w:t>.</w:t>
      </w:r>
    </w:p>
    <w:p w14:paraId="5B87B0C0" w14:textId="61CE8784" w:rsidR="00E05B98" w:rsidRPr="003C6DAE" w:rsidRDefault="008965B7" w:rsidP="00733F91">
      <w:pPr>
        <w:pStyle w:val="a3"/>
        <w:spacing w:before="110" w:line="269" w:lineRule="auto"/>
        <w:ind w:left="567"/>
        <w:jc w:val="both"/>
        <w:rPr>
          <w:sz w:val="20"/>
          <w:szCs w:val="20"/>
          <w:lang w:val="uk-UA"/>
        </w:rPr>
      </w:pPr>
      <w:r w:rsidRPr="003C6DAE">
        <w:rPr>
          <w:sz w:val="20"/>
          <w:szCs w:val="20"/>
          <w:lang w:val="uk-UA"/>
        </w:rPr>
        <w:t>Визнаючи необхідність подолання туберкульозу в усьому світі, Організація Об'єднаних Націй (ООН) провела першу в світі зустріч високого рівня з питань туберкульозу у 2018 році. Політична декларація цієї зустрічі включала зобов'язання держав-членів щодо досягнення чотирьох нових глобальних цілей (</w:t>
      </w:r>
      <w:r w:rsidRPr="00DF0EAD">
        <w:rPr>
          <w:i/>
          <w:iCs/>
          <w:sz w:val="20"/>
          <w:szCs w:val="20"/>
          <w:lang w:val="uk-UA"/>
        </w:rPr>
        <w:t>2</w:t>
      </w:r>
      <w:r w:rsidRPr="003C6DAE">
        <w:rPr>
          <w:sz w:val="20"/>
          <w:szCs w:val="20"/>
          <w:lang w:val="uk-UA"/>
        </w:rPr>
        <w:t xml:space="preserve">), які згодом були поновлені на другій зустрічі високого рівня ООН у 2023 році. </w:t>
      </w:r>
      <w:r w:rsidR="008E0187" w:rsidRPr="008E0187">
        <w:rPr>
          <w:sz w:val="20"/>
          <w:szCs w:val="20"/>
          <w:lang w:val="uk-UA"/>
        </w:rPr>
        <w:t>Серед зобов'язань були два, що ґрунтувалися на діагностиці туберкульозної інфекції та захворювання на ТБ: надання ПЛТ принаймні 45 мільйонам людей у період з 2024 по 2027 рік та охоплення 90% передбачуваної кількості людей, в яких розвинувся ТБ, якісною діагностикою та лікуванням у період з 2023 по 2027 рік</w:t>
      </w:r>
      <w:r w:rsidR="00B01E0C" w:rsidRPr="003C6DAE">
        <w:rPr>
          <w:sz w:val="20"/>
          <w:szCs w:val="20"/>
          <w:lang w:val="uk-UA"/>
        </w:rPr>
        <w:t xml:space="preserve"> </w:t>
      </w:r>
      <w:r w:rsidR="00B01E0C" w:rsidRPr="003C6DAE">
        <w:rPr>
          <w:rFonts w:ascii="Arial" w:hAnsi="Arial"/>
          <w:i/>
          <w:sz w:val="20"/>
          <w:szCs w:val="20"/>
          <w:lang w:val="uk-UA"/>
        </w:rPr>
        <w:t>(</w:t>
      </w:r>
      <w:r w:rsidR="00B01E0C" w:rsidRPr="00DF0EAD">
        <w:rPr>
          <w:rFonts w:ascii="Arial" w:hAnsi="Arial"/>
          <w:i/>
          <w:sz w:val="20"/>
          <w:szCs w:val="20"/>
          <w:lang w:val="uk-UA"/>
        </w:rPr>
        <w:t>2</w:t>
      </w:r>
      <w:r w:rsidR="00B01E0C" w:rsidRPr="003C6DAE">
        <w:rPr>
          <w:rFonts w:ascii="Arial" w:hAnsi="Arial"/>
          <w:i/>
          <w:sz w:val="20"/>
          <w:szCs w:val="20"/>
          <w:lang w:val="uk-UA"/>
        </w:rPr>
        <w:t>)</w:t>
      </w:r>
      <w:r w:rsidR="00B01E0C" w:rsidRPr="003C6DAE">
        <w:rPr>
          <w:sz w:val="20"/>
          <w:szCs w:val="20"/>
          <w:lang w:val="uk-UA"/>
        </w:rPr>
        <w:t xml:space="preserve">. </w:t>
      </w:r>
      <w:r w:rsidR="00E26760" w:rsidRPr="003C6DAE">
        <w:rPr>
          <w:sz w:val="20"/>
          <w:szCs w:val="20"/>
          <w:lang w:val="uk-UA"/>
        </w:rPr>
        <w:t>Ці зобов'язання узгоджуються зі Стратегією Всесвітньої організації охорони здоров'я (ВООЗ) «Покласти край туберкульозу», яка закликає до виявлення осіб, які живуть з ТБ-інфекцією і мають високий ризик розвитку активної форми ТБ, щоб вони могли отримувати П</w:t>
      </w:r>
      <w:r w:rsidR="008E0187">
        <w:rPr>
          <w:sz w:val="20"/>
          <w:szCs w:val="20"/>
          <w:lang w:val="uk-UA"/>
        </w:rPr>
        <w:t>ЛТ</w:t>
      </w:r>
      <w:r w:rsidR="00E26760" w:rsidRPr="003C6DAE">
        <w:rPr>
          <w:sz w:val="20"/>
          <w:szCs w:val="20"/>
          <w:lang w:val="uk-UA"/>
        </w:rPr>
        <w:t xml:space="preserve">, а також до ранньої діагностики туберкульозу та лікарсько-стійкого ТБ (ЛС-ТБ) за допомогою універсального тестування на медикаментозну чутливість (ТМЧ). Ці глобальні зобов'язання та плани підкреслюють критично важливу роль тестування на ТБ для швидкого та точного виявлення туберкульозної інфекції, захворювання та стійкості ТБ до лікарських засобів </w:t>
      </w:r>
      <w:r w:rsidR="00B01E0C" w:rsidRPr="003C6DAE">
        <w:rPr>
          <w:sz w:val="20"/>
          <w:szCs w:val="20"/>
          <w:lang w:val="uk-UA"/>
        </w:rPr>
        <w:t xml:space="preserve"> </w:t>
      </w:r>
      <w:r w:rsidR="00B01E0C" w:rsidRPr="003C6DAE">
        <w:rPr>
          <w:rFonts w:ascii="Arial" w:hAnsi="Arial"/>
          <w:i/>
          <w:sz w:val="20"/>
          <w:szCs w:val="20"/>
          <w:lang w:val="uk-UA"/>
        </w:rPr>
        <w:t>(3)</w:t>
      </w:r>
      <w:r w:rsidR="00B01E0C" w:rsidRPr="003C6DAE">
        <w:rPr>
          <w:sz w:val="20"/>
          <w:szCs w:val="20"/>
          <w:lang w:val="uk-UA"/>
        </w:rPr>
        <w:t>.</w:t>
      </w:r>
    </w:p>
    <w:p w14:paraId="7F949EA5" w14:textId="1B7B4310" w:rsidR="00E05B98" w:rsidRPr="003C6DAE" w:rsidRDefault="005B6E9D" w:rsidP="00733F91">
      <w:pPr>
        <w:pStyle w:val="a3"/>
        <w:spacing w:before="85" w:line="269" w:lineRule="auto"/>
        <w:ind w:left="567"/>
        <w:jc w:val="both"/>
        <w:rPr>
          <w:sz w:val="20"/>
          <w:szCs w:val="20"/>
          <w:lang w:val="uk-UA"/>
        </w:rPr>
      </w:pPr>
      <w:r w:rsidRPr="003C6DAE">
        <w:rPr>
          <w:sz w:val="20"/>
          <w:szCs w:val="20"/>
          <w:lang w:val="uk-UA"/>
        </w:rPr>
        <w:t>Щоб підтримати країни в їхніх зусиллях щодо посилення виявлення інфікування, захворювання на ТБ та лікарської стійкості до ТБ, Глобальна програма ВООЗ з боротьби з туберкульозом видає науково-обґрунтовані політичні настанови щодо стратегій і технологій тестування на ТБ; ці настанови регулярно оновлюються. Останн</w:t>
      </w:r>
      <w:r w:rsidR="008E0187">
        <w:rPr>
          <w:sz w:val="20"/>
          <w:szCs w:val="20"/>
          <w:lang w:val="uk-UA"/>
        </w:rPr>
        <w:t>і</w:t>
      </w:r>
      <w:r w:rsidRPr="003C6DAE">
        <w:rPr>
          <w:sz w:val="20"/>
          <w:szCs w:val="20"/>
          <w:lang w:val="uk-UA"/>
        </w:rPr>
        <w:t xml:space="preserve"> консолідован</w:t>
      </w:r>
      <w:r w:rsidR="008E0187">
        <w:rPr>
          <w:sz w:val="20"/>
          <w:szCs w:val="20"/>
          <w:lang w:val="uk-UA"/>
        </w:rPr>
        <w:t xml:space="preserve">і настанови </w:t>
      </w:r>
      <w:r w:rsidRPr="003C6DAE">
        <w:rPr>
          <w:sz w:val="20"/>
          <w:szCs w:val="20"/>
          <w:lang w:val="uk-UA"/>
        </w:rPr>
        <w:t>з діагностики ТБ бул</w:t>
      </w:r>
      <w:r w:rsidR="008E0187">
        <w:rPr>
          <w:sz w:val="20"/>
          <w:szCs w:val="20"/>
          <w:lang w:val="uk-UA"/>
        </w:rPr>
        <w:t>и</w:t>
      </w:r>
      <w:r w:rsidRPr="003C6DAE">
        <w:rPr>
          <w:sz w:val="20"/>
          <w:szCs w:val="20"/>
          <w:lang w:val="uk-UA"/>
        </w:rPr>
        <w:t xml:space="preserve"> </w:t>
      </w:r>
      <w:r w:rsidR="00A87671">
        <w:rPr>
          <w:sz w:val="20"/>
          <w:szCs w:val="20"/>
          <w:lang w:val="uk-UA"/>
        </w:rPr>
        <w:t>опубліковані</w:t>
      </w:r>
      <w:r w:rsidRPr="003C6DAE">
        <w:rPr>
          <w:sz w:val="20"/>
          <w:szCs w:val="20"/>
          <w:lang w:val="uk-UA"/>
        </w:rPr>
        <w:t xml:space="preserve"> </w:t>
      </w:r>
      <w:r w:rsidR="00A87671">
        <w:rPr>
          <w:sz w:val="20"/>
          <w:szCs w:val="20"/>
          <w:lang w:val="uk-UA"/>
        </w:rPr>
        <w:t>в</w:t>
      </w:r>
      <w:r w:rsidRPr="003C6DAE">
        <w:rPr>
          <w:sz w:val="20"/>
          <w:szCs w:val="20"/>
          <w:lang w:val="uk-UA"/>
        </w:rPr>
        <w:t xml:space="preserve"> 2024 році:</w:t>
      </w:r>
    </w:p>
    <w:p w14:paraId="03972B89" w14:textId="7688C6D3" w:rsidR="00E05B98" w:rsidRPr="003C6DAE" w:rsidRDefault="005921CA" w:rsidP="004A2937">
      <w:pPr>
        <w:pStyle w:val="a4"/>
        <w:numPr>
          <w:ilvl w:val="0"/>
          <w:numId w:val="33"/>
        </w:numPr>
        <w:tabs>
          <w:tab w:val="left" w:pos="850"/>
        </w:tabs>
        <w:spacing w:before="147" w:line="269" w:lineRule="auto"/>
        <w:rPr>
          <w:sz w:val="20"/>
          <w:szCs w:val="20"/>
          <w:lang w:val="uk-UA"/>
        </w:rPr>
      </w:pPr>
      <w:r w:rsidRPr="003C6DAE">
        <w:rPr>
          <w:spacing w:val="-2"/>
          <w:sz w:val="20"/>
          <w:szCs w:val="20"/>
          <w:lang w:val="uk-UA"/>
        </w:rPr>
        <w:t xml:space="preserve">з'явилися нові доказові дані щодо використання рекомендованих ВООЗ швидких діагностичних тестів (ШТ) для первинного виявлення ТБ та </w:t>
      </w:r>
      <w:r w:rsidR="00A87671">
        <w:rPr>
          <w:spacing w:val="-2"/>
          <w:sz w:val="20"/>
          <w:szCs w:val="20"/>
          <w:lang w:val="uk-UA"/>
        </w:rPr>
        <w:t xml:space="preserve">його </w:t>
      </w:r>
      <w:r w:rsidRPr="003C6DAE">
        <w:rPr>
          <w:spacing w:val="-2"/>
          <w:sz w:val="20"/>
          <w:szCs w:val="20"/>
          <w:lang w:val="uk-UA"/>
        </w:rPr>
        <w:t>стійкості до рифампіцину серед груп населення з високим ризиком захворюваності та смертності, пов'язаних з ТБ (наприклад, люди, які живуть з ВІЛ, та діти);</w:t>
      </w:r>
    </w:p>
    <w:p w14:paraId="596DE988" w14:textId="71B60288" w:rsidR="00E05B98" w:rsidRPr="003C6DAE" w:rsidRDefault="005921CA" w:rsidP="004A2937">
      <w:pPr>
        <w:pStyle w:val="a4"/>
        <w:numPr>
          <w:ilvl w:val="0"/>
          <w:numId w:val="33"/>
        </w:numPr>
        <w:tabs>
          <w:tab w:val="left" w:pos="850"/>
        </w:tabs>
        <w:spacing w:before="4" w:line="269" w:lineRule="auto"/>
        <w:rPr>
          <w:sz w:val="20"/>
          <w:szCs w:val="20"/>
          <w:lang w:val="uk-UA"/>
        </w:rPr>
      </w:pPr>
      <w:r w:rsidRPr="003C6DAE">
        <w:rPr>
          <w:spacing w:val="-4"/>
          <w:sz w:val="20"/>
          <w:szCs w:val="20"/>
          <w:lang w:val="uk-UA"/>
        </w:rPr>
        <w:t xml:space="preserve">завершено систематичну оцінку доказів щодо молекулярних швидких тестів, рекомендованих ВООЗ (mWRDs), раніше рекомендованих як окремі продукти, з метою визначення місця mWRDs в рамках існуючих або нових класів </w:t>
      </w:r>
      <w:r w:rsidR="00A87671">
        <w:rPr>
          <w:spacing w:val="-4"/>
          <w:sz w:val="20"/>
          <w:szCs w:val="20"/>
          <w:lang w:val="uk-UA"/>
        </w:rPr>
        <w:t xml:space="preserve">методів </w:t>
      </w:r>
      <w:r w:rsidRPr="003C6DAE">
        <w:rPr>
          <w:spacing w:val="-4"/>
          <w:sz w:val="20"/>
          <w:szCs w:val="20"/>
          <w:lang w:val="uk-UA"/>
        </w:rPr>
        <w:t>діагностики ТБ; та</w:t>
      </w:r>
    </w:p>
    <w:p w14:paraId="68A4DA2D" w14:textId="082C9937" w:rsidR="00E05B98" w:rsidRPr="003C6DAE" w:rsidRDefault="00512AC8" w:rsidP="004A2937">
      <w:pPr>
        <w:pStyle w:val="a4"/>
        <w:numPr>
          <w:ilvl w:val="0"/>
          <w:numId w:val="33"/>
        </w:numPr>
        <w:tabs>
          <w:tab w:val="left" w:pos="850"/>
        </w:tabs>
        <w:spacing w:before="4" w:line="269" w:lineRule="auto"/>
        <w:rPr>
          <w:sz w:val="20"/>
          <w:szCs w:val="20"/>
          <w:lang w:val="uk-UA"/>
        </w:rPr>
      </w:pPr>
      <w:r w:rsidRPr="003C6DAE">
        <w:rPr>
          <w:sz w:val="20"/>
          <w:szCs w:val="20"/>
          <w:lang w:val="uk-UA"/>
        </w:rPr>
        <w:t>від країн надійшов заклик об'єднати політичні настанови щодо тестування на ТБ інфекцію, захворювання та стійкість ТБ до лікарських засобів з цими консолідованими настановами стосовно діагностики ТБ для оптимізації реалізації національних програм тестування</w:t>
      </w:r>
      <w:r w:rsidR="00B01E0C" w:rsidRPr="003C6DAE">
        <w:rPr>
          <w:sz w:val="20"/>
          <w:szCs w:val="20"/>
          <w:lang w:val="uk-UA"/>
        </w:rPr>
        <w:t>.</w:t>
      </w:r>
    </w:p>
    <w:p w14:paraId="6D5E7467" w14:textId="0531D43B" w:rsidR="00E05B98" w:rsidRPr="003C6DAE" w:rsidRDefault="00AC5753" w:rsidP="00EB1EDB">
      <w:pPr>
        <w:pStyle w:val="a3"/>
        <w:spacing w:before="52" w:line="269" w:lineRule="auto"/>
        <w:ind w:left="567"/>
        <w:jc w:val="both"/>
        <w:rPr>
          <w:sz w:val="20"/>
          <w:szCs w:val="20"/>
          <w:lang w:val="uk-UA"/>
        </w:rPr>
      </w:pPr>
      <w:r w:rsidRPr="003C6DAE">
        <w:rPr>
          <w:sz w:val="20"/>
          <w:szCs w:val="20"/>
          <w:lang w:val="uk-UA"/>
        </w:rPr>
        <w:t xml:space="preserve">У зв'язку з цим даний документ публікується в якості четвертого видання консолідованих настанов з діагностики ТБ. Порівняно з третім виданням (опублікованим у 2024 році), ця настанова вперше об'єднує політичні рекомендації ВООЗ щодо діагностики інфекції, захворювання та стійкості ТБ до лікарських засобів в єдиний довідковий документ; крім того, в документі встановлюються два нові класи технологій діагностики ТБ (для первинного виявлення ТБ та резистентності до рифампіцину), а також містяться нові рекомендації щодо одночасного тестування респіраторних та нереспіраторних зразків, взятих у дорослих та підлітків з ВІЛ, дітей з ВІЛ, </w:t>
      </w:r>
      <w:r w:rsidR="00A87671">
        <w:rPr>
          <w:sz w:val="20"/>
          <w:szCs w:val="20"/>
          <w:lang w:val="uk-UA"/>
        </w:rPr>
        <w:t>т</w:t>
      </w:r>
      <w:r w:rsidRPr="003C6DAE">
        <w:rPr>
          <w:sz w:val="20"/>
          <w:szCs w:val="20"/>
          <w:lang w:val="uk-UA"/>
        </w:rPr>
        <w:t xml:space="preserve">а дітей без ВІЛ-інфекції або з невідомим ВІЛ-статусом. </w:t>
      </w:r>
      <w:r w:rsidR="00A87671">
        <w:rPr>
          <w:sz w:val="20"/>
          <w:szCs w:val="20"/>
          <w:lang w:val="uk-UA"/>
        </w:rPr>
        <w:t xml:space="preserve">В </w:t>
      </w:r>
      <w:r w:rsidRPr="003C6DAE">
        <w:rPr>
          <w:b/>
          <w:bCs/>
          <w:sz w:val="20"/>
          <w:szCs w:val="20"/>
          <w:lang w:val="uk-UA"/>
        </w:rPr>
        <w:t>Інформаційному блоці А</w:t>
      </w:r>
      <w:r w:rsidR="00A87671">
        <w:rPr>
          <w:sz w:val="20"/>
          <w:szCs w:val="20"/>
          <w:lang w:val="uk-UA"/>
        </w:rPr>
        <w:t xml:space="preserve"> наведено основні зміни порівняно з попередніми настановами ВООЗ.</w:t>
      </w:r>
    </w:p>
    <w:p w14:paraId="1562F161" w14:textId="2CF9D058" w:rsidR="00EB1EDB" w:rsidRPr="003C6DAE" w:rsidRDefault="00EB1EDB" w:rsidP="00733F91">
      <w:pPr>
        <w:pStyle w:val="a3"/>
        <w:spacing w:before="114" w:line="269" w:lineRule="auto"/>
        <w:ind w:left="567"/>
        <w:jc w:val="both"/>
        <w:rPr>
          <w:lang w:val="uk-UA"/>
        </w:rPr>
      </w:pPr>
    </w:p>
    <w:p w14:paraId="23E4CAEA" w14:textId="3508B6EF" w:rsidR="00EB1EDB" w:rsidRPr="003C6DAE" w:rsidRDefault="00EB1EDB" w:rsidP="00733F91">
      <w:pPr>
        <w:pStyle w:val="a3"/>
        <w:spacing w:before="114" w:line="269" w:lineRule="auto"/>
        <w:ind w:left="567"/>
        <w:jc w:val="both"/>
        <w:rPr>
          <w:lang w:val="uk-UA"/>
        </w:rPr>
      </w:pPr>
    </w:p>
    <w:p w14:paraId="62D45802" w14:textId="2A5EAD04" w:rsidR="00EB1EDB" w:rsidRPr="003C6DAE" w:rsidRDefault="00EB1EDB" w:rsidP="00733F91">
      <w:pPr>
        <w:pStyle w:val="a3"/>
        <w:spacing w:before="114" w:line="269" w:lineRule="auto"/>
        <w:ind w:left="567"/>
        <w:jc w:val="both"/>
        <w:rPr>
          <w:lang w:val="uk-UA"/>
        </w:rPr>
      </w:pPr>
      <w:r w:rsidRPr="003C6DAE">
        <w:rPr>
          <w:noProof/>
          <w:lang w:val="uk-UA"/>
        </w:rPr>
        <mc:AlternateContent>
          <mc:Choice Requires="wps">
            <w:drawing>
              <wp:anchor distT="0" distB="0" distL="114300" distR="114300" simplePos="0" relativeHeight="488079872" behindDoc="0" locked="0" layoutInCell="1" allowOverlap="1" wp14:anchorId="7AF4BAF8" wp14:editId="25E4A44F">
                <wp:simplePos x="0" y="0"/>
                <wp:positionH relativeFrom="column">
                  <wp:posOffset>101600</wp:posOffset>
                </wp:positionH>
                <wp:positionV relativeFrom="paragraph">
                  <wp:posOffset>137795</wp:posOffset>
                </wp:positionV>
                <wp:extent cx="6483350" cy="381000"/>
                <wp:effectExtent l="0" t="0" r="0" b="0"/>
                <wp:wrapNone/>
                <wp:docPr id="1761975015" name="Поле 2307"/>
                <wp:cNvGraphicFramePr/>
                <a:graphic xmlns:a="http://schemas.openxmlformats.org/drawingml/2006/main">
                  <a:graphicData uri="http://schemas.microsoft.com/office/word/2010/wordprocessingShape">
                    <wps:wsp>
                      <wps:cNvSpPr txBox="1"/>
                      <wps:spPr>
                        <a:xfrm>
                          <a:off x="0" y="0"/>
                          <a:ext cx="6483350" cy="381000"/>
                        </a:xfrm>
                        <a:prstGeom prst="rect">
                          <a:avLst/>
                        </a:prstGeom>
                        <a:solidFill>
                          <a:schemeClr val="bg1"/>
                        </a:solidFill>
                        <a:ln w="6350">
                          <a:noFill/>
                        </a:ln>
                      </wps:spPr>
                      <wps:txbx>
                        <w:txbxContent>
                          <w:p w14:paraId="3CBA49DA" w14:textId="77777777" w:rsidR="007372B2" w:rsidRPr="009B5E1D" w:rsidRDefault="007372B2" w:rsidP="009B5E1D">
                            <w:pPr>
                              <w:ind w:left="20"/>
                              <w:rPr>
                                <w:sz w:val="16"/>
                                <w:lang w:val="uk-UA"/>
                              </w:rPr>
                            </w:pPr>
                            <w:r>
                              <w:rPr>
                                <w:color w:val="019648"/>
                                <w:spacing w:val="-2"/>
                                <w:sz w:val="16"/>
                                <w:lang w:val="uk-UA"/>
                              </w:rPr>
                              <w:t xml:space="preserve">х    </w:t>
                            </w: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r w:rsidRPr="009B5E1D">
                              <w:rPr>
                                <w:color w:val="019648"/>
                                <w:spacing w:val="2"/>
                                <w:sz w:val="16"/>
                                <w:lang w:val="uk-UA"/>
                              </w:rPr>
                              <w:t xml:space="preserve"> </w:t>
                            </w:r>
                          </w:p>
                          <w:p w14:paraId="02C131DC" w14:textId="51B016EC" w:rsidR="007372B2" w:rsidRPr="009B5E1D" w:rsidRDefault="007372B2">
                            <w:pP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4BAF8" id="Поле 2307" o:spid="_x0000_s1044" type="#_x0000_t202" style="position:absolute;left:0;text-align:left;margin-left:8pt;margin-top:10.85pt;width:510.5pt;height:30pt;z-index:4880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" fillcolor="white [3212]" stroked="f" strokeweight=".5pt">
                <v:textbox>
                  <w:txbxContent>
                    <w:p w14:paraId="3CBA49DA" w14:textId="77777777" w:rsidR="007372B2" w:rsidRPr="009B5E1D" w:rsidRDefault="007372B2" w:rsidP="009B5E1D">
                      <w:pPr>
                        <w:ind w:left="20"/>
                        <w:rPr>
                          <w:sz w:val="16"/>
                          <w:lang w:val="uk-UA"/>
                        </w:rPr>
                      </w:pPr>
                      <w:r>
                        <w:rPr>
                          <w:color w:val="019648"/>
                          <w:spacing w:val="-2"/>
                          <w:sz w:val="16"/>
                          <w:lang w:val="uk-UA"/>
                        </w:rPr>
                        <w:t xml:space="preserve">х    </w:t>
                      </w: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r w:rsidRPr="009B5E1D">
                        <w:rPr>
                          <w:color w:val="019648"/>
                          <w:spacing w:val="2"/>
                          <w:sz w:val="16"/>
                          <w:lang w:val="uk-UA"/>
                        </w:rPr>
                        <w:t xml:space="preserve"> </w:t>
                      </w:r>
                    </w:p>
                    <w:p w14:paraId="02C131DC" w14:textId="51B016EC" w:rsidR="007372B2" w:rsidRPr="009B5E1D" w:rsidRDefault="007372B2">
                      <w:pPr>
                        <w:rPr>
                          <w:lang w:val="uk-UA"/>
                        </w:rPr>
                      </w:pPr>
                    </w:p>
                  </w:txbxContent>
                </v:textbox>
              </v:shape>
            </w:pict>
          </mc:Fallback>
        </mc:AlternateContent>
      </w:r>
    </w:p>
    <w:p w14:paraId="5BA4963E" w14:textId="47EAAFB3" w:rsidR="00E05B98" w:rsidRPr="003C6DAE" w:rsidRDefault="0060471E" w:rsidP="00733F91">
      <w:pPr>
        <w:pStyle w:val="a3"/>
        <w:spacing w:before="114" w:line="269" w:lineRule="auto"/>
        <w:ind w:left="567"/>
        <w:jc w:val="both"/>
        <w:rPr>
          <w:sz w:val="20"/>
          <w:szCs w:val="20"/>
          <w:lang w:val="uk-UA"/>
        </w:rPr>
      </w:pPr>
      <w:r>
        <w:rPr>
          <w:sz w:val="20"/>
          <w:szCs w:val="20"/>
          <w:lang w:val="uk-UA"/>
        </w:rPr>
        <w:lastRenderedPageBreak/>
        <w:t xml:space="preserve">У </w:t>
      </w:r>
      <w:r w:rsidRPr="003C6DAE">
        <w:rPr>
          <w:b/>
          <w:bCs/>
          <w:sz w:val="20"/>
          <w:szCs w:val="20"/>
          <w:lang w:val="uk-UA"/>
        </w:rPr>
        <w:t>Таблиці А</w:t>
      </w:r>
      <w:r w:rsidRPr="003C6DAE">
        <w:rPr>
          <w:sz w:val="20"/>
          <w:szCs w:val="20"/>
          <w:lang w:val="uk-UA"/>
        </w:rPr>
        <w:t xml:space="preserve"> </w:t>
      </w:r>
      <w:r>
        <w:rPr>
          <w:sz w:val="20"/>
          <w:szCs w:val="20"/>
          <w:lang w:val="uk-UA"/>
        </w:rPr>
        <w:t>наведено набір керівних принципів, який включає</w:t>
      </w:r>
      <w:r w:rsidR="00733F91" w:rsidRPr="003C6DAE">
        <w:rPr>
          <w:sz w:val="20"/>
          <w:szCs w:val="20"/>
          <w:lang w:val="uk-UA"/>
        </w:rPr>
        <w:t xml:space="preserve"> 21 нов</w:t>
      </w:r>
      <w:r>
        <w:rPr>
          <w:sz w:val="20"/>
          <w:szCs w:val="20"/>
          <w:lang w:val="uk-UA"/>
        </w:rPr>
        <w:t>у</w:t>
      </w:r>
      <w:r w:rsidR="00733F91" w:rsidRPr="003C6DAE">
        <w:rPr>
          <w:sz w:val="20"/>
          <w:szCs w:val="20"/>
          <w:lang w:val="uk-UA"/>
        </w:rPr>
        <w:t xml:space="preserve"> та існуючі рекомендації з діагностики інфекції, захворювання та ЛС-ТБ. Ці рекомендації замінюють </w:t>
      </w:r>
      <w:r>
        <w:rPr>
          <w:sz w:val="20"/>
          <w:szCs w:val="20"/>
          <w:lang w:val="uk-UA"/>
        </w:rPr>
        <w:t xml:space="preserve">ті, що були </w:t>
      </w:r>
      <w:r w:rsidR="00733F91" w:rsidRPr="003C6DAE">
        <w:rPr>
          <w:sz w:val="20"/>
          <w:szCs w:val="20"/>
          <w:lang w:val="uk-UA"/>
        </w:rPr>
        <w:t xml:space="preserve">представлені в попередніх виданнях настанов, і підкріплені оновленим оперативним керівництвом, опублікованим в якості четвертого видання </w:t>
      </w:r>
      <w:r w:rsidR="00733F91" w:rsidRPr="0060471E">
        <w:rPr>
          <w:i/>
          <w:iCs/>
          <w:sz w:val="20"/>
          <w:szCs w:val="20"/>
          <w:lang w:val="uk-UA"/>
        </w:rPr>
        <w:t>Опера</w:t>
      </w:r>
      <w:r w:rsidR="00B40441">
        <w:rPr>
          <w:i/>
          <w:iCs/>
          <w:sz w:val="20"/>
          <w:szCs w:val="20"/>
          <w:lang w:val="uk-UA"/>
        </w:rPr>
        <w:t>ційного</w:t>
      </w:r>
      <w:r w:rsidR="00733F91" w:rsidRPr="0060471E">
        <w:rPr>
          <w:i/>
          <w:iCs/>
          <w:sz w:val="20"/>
          <w:szCs w:val="20"/>
          <w:lang w:val="uk-UA"/>
        </w:rPr>
        <w:t xml:space="preserve"> керівництва ВООЗ з туберкульозу. Модуль 3: діагностика</w:t>
      </w:r>
      <w:r w:rsidR="00733F91" w:rsidRPr="003C6DAE">
        <w:rPr>
          <w:sz w:val="20"/>
          <w:szCs w:val="20"/>
          <w:lang w:val="uk-UA"/>
        </w:rPr>
        <w:t>. Оперативне керівництво містить більш детальну інформацію про окремі тести, рекомендовані для використання; вибір, впровадження та проведення тестів на ТБ-інфекцію, діагностування та визначення стійкості ТБ до лікарських засобів; а також оновлені діагностичні алгоритми, які відображають оновлення, що містяться в цих настановах.</w:t>
      </w:r>
    </w:p>
    <w:p w14:paraId="5424A80E" w14:textId="77777777" w:rsidR="00E05B98" w:rsidRPr="003C6DAE" w:rsidRDefault="00E05B98" w:rsidP="00733F91">
      <w:pPr>
        <w:pStyle w:val="a3"/>
        <w:spacing w:line="269" w:lineRule="auto"/>
        <w:rPr>
          <w:lang w:val="uk-UA"/>
        </w:rPr>
      </w:pPr>
    </w:p>
    <w:p w14:paraId="1D5011A1" w14:textId="38D9633C" w:rsidR="00E05B98" w:rsidRPr="003C6DAE" w:rsidRDefault="00CB0367" w:rsidP="00733F91">
      <w:pPr>
        <w:pStyle w:val="a3"/>
        <w:spacing w:line="269" w:lineRule="auto"/>
        <w:rPr>
          <w:lang w:val="uk-UA"/>
        </w:rPr>
      </w:pPr>
      <w:r w:rsidRPr="003C6DAE">
        <w:rPr>
          <w:rFonts w:ascii="Arial"/>
          <w:b/>
          <w:noProof/>
          <w:lang w:val="uk-UA"/>
        </w:rPr>
        <mc:AlternateContent>
          <mc:Choice Requires="wpg">
            <w:drawing>
              <wp:anchor distT="0" distB="0" distL="0" distR="0" simplePos="0" relativeHeight="481403392" behindDoc="1" locked="0" layoutInCell="1" allowOverlap="1" wp14:anchorId="39BD0510" wp14:editId="3BFFC2DC">
                <wp:simplePos x="0" y="0"/>
                <wp:positionH relativeFrom="margin">
                  <wp:align>right</wp:align>
                </wp:positionH>
                <wp:positionV relativeFrom="paragraph">
                  <wp:posOffset>108585</wp:posOffset>
                </wp:positionV>
                <wp:extent cx="6032920" cy="5981700"/>
                <wp:effectExtent l="0" t="0" r="635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920" cy="5981700"/>
                          <a:chOff x="-1" y="0"/>
                          <a:chExt cx="5760486" cy="5586095"/>
                        </a:xfrm>
                      </wpg:grpSpPr>
                      <wps:wsp>
                        <wps:cNvPr id="121" name="Graphic 121"/>
                        <wps:cNvSpPr/>
                        <wps:spPr>
                          <a:xfrm>
                            <a:off x="108350" y="0"/>
                            <a:ext cx="5652135" cy="5586095"/>
                          </a:xfrm>
                          <a:custGeom>
                            <a:avLst/>
                            <a:gdLst/>
                            <a:ahLst/>
                            <a:cxnLst/>
                            <a:rect l="l" t="t" r="r" b="b"/>
                            <a:pathLst>
                              <a:path w="5652135" h="5586095">
                                <a:moveTo>
                                  <a:pt x="5363654" y="0"/>
                                </a:moveTo>
                                <a:lnTo>
                                  <a:pt x="0" y="0"/>
                                </a:lnTo>
                                <a:lnTo>
                                  <a:pt x="0" y="5585777"/>
                                </a:lnTo>
                                <a:lnTo>
                                  <a:pt x="5363654" y="5585777"/>
                                </a:lnTo>
                                <a:lnTo>
                                  <a:pt x="5410368" y="5582008"/>
                                </a:lnTo>
                                <a:lnTo>
                                  <a:pt x="5454683" y="5571094"/>
                                </a:lnTo>
                                <a:lnTo>
                                  <a:pt x="5496005" y="5553631"/>
                                </a:lnTo>
                                <a:lnTo>
                                  <a:pt x="5533741" y="5530210"/>
                                </a:lnTo>
                                <a:lnTo>
                                  <a:pt x="5567299" y="5501424"/>
                                </a:lnTo>
                                <a:lnTo>
                                  <a:pt x="5596084" y="5467866"/>
                                </a:lnTo>
                                <a:lnTo>
                                  <a:pt x="5619506" y="5430130"/>
                                </a:lnTo>
                                <a:lnTo>
                                  <a:pt x="5636969" y="5388808"/>
                                </a:lnTo>
                                <a:lnTo>
                                  <a:pt x="5647882" y="5344493"/>
                                </a:lnTo>
                                <a:lnTo>
                                  <a:pt x="5651652" y="5297779"/>
                                </a:lnTo>
                                <a:lnTo>
                                  <a:pt x="5651652" y="287997"/>
                                </a:lnTo>
                                <a:lnTo>
                                  <a:pt x="5647882" y="241283"/>
                                </a:lnTo>
                                <a:lnTo>
                                  <a:pt x="5636969" y="196969"/>
                                </a:lnTo>
                                <a:lnTo>
                                  <a:pt x="5619506" y="155647"/>
                                </a:lnTo>
                                <a:lnTo>
                                  <a:pt x="5596084" y="117910"/>
                                </a:lnTo>
                                <a:lnTo>
                                  <a:pt x="5567298" y="84353"/>
                                </a:lnTo>
                                <a:lnTo>
                                  <a:pt x="5533741" y="55567"/>
                                </a:lnTo>
                                <a:lnTo>
                                  <a:pt x="5496005" y="32146"/>
                                </a:lnTo>
                                <a:lnTo>
                                  <a:pt x="5454683" y="14682"/>
                                </a:lnTo>
                                <a:lnTo>
                                  <a:pt x="5410368" y="3769"/>
                                </a:lnTo>
                                <a:lnTo>
                                  <a:pt x="5363654" y="0"/>
                                </a:lnTo>
                                <a:close/>
                              </a:path>
                            </a:pathLst>
                          </a:custGeom>
                          <a:solidFill>
                            <a:srgbClr val="C6E0CE"/>
                          </a:solidFill>
                        </wps:spPr>
                        <wps:bodyPr wrap="square" lIns="0" tIns="0" rIns="0" bIns="0" rtlCol="0">
                          <a:prstTxWarp prst="textNoShape">
                            <a:avLst/>
                          </a:prstTxWarp>
                          <a:noAutofit/>
                        </wps:bodyPr>
                      </wps:wsp>
                      <wps:wsp>
                        <wps:cNvPr id="122" name="Graphic 122"/>
                        <wps:cNvSpPr/>
                        <wps:spPr>
                          <a:xfrm>
                            <a:off x="-1" y="157087"/>
                            <a:ext cx="5075413" cy="330200"/>
                          </a:xfrm>
                          <a:custGeom>
                            <a:avLst/>
                            <a:gdLst/>
                            <a:ahLst/>
                            <a:cxnLst/>
                            <a:rect l="l" t="t" r="r" b="b"/>
                            <a:pathLst>
                              <a:path w="3708400" h="330200">
                                <a:moveTo>
                                  <a:pt x="3543134" y="0"/>
                                </a:moveTo>
                                <a:lnTo>
                                  <a:pt x="0" y="0"/>
                                </a:lnTo>
                                <a:lnTo>
                                  <a:pt x="0" y="329730"/>
                                </a:lnTo>
                                <a:lnTo>
                                  <a:pt x="3543134" y="329730"/>
                                </a:lnTo>
                                <a:lnTo>
                                  <a:pt x="3586960" y="323840"/>
                                </a:lnTo>
                                <a:lnTo>
                                  <a:pt x="3626344" y="307220"/>
                                </a:lnTo>
                                <a:lnTo>
                                  <a:pt x="3659712" y="281441"/>
                                </a:lnTo>
                                <a:lnTo>
                                  <a:pt x="3685494" y="248073"/>
                                </a:lnTo>
                                <a:lnTo>
                                  <a:pt x="3702116" y="208689"/>
                                </a:lnTo>
                                <a:lnTo>
                                  <a:pt x="3708006" y="164858"/>
                                </a:lnTo>
                                <a:lnTo>
                                  <a:pt x="3702116" y="121033"/>
                                </a:lnTo>
                                <a:lnTo>
                                  <a:pt x="3685494" y="81652"/>
                                </a:lnTo>
                                <a:lnTo>
                                  <a:pt x="3659712" y="48286"/>
                                </a:lnTo>
                                <a:lnTo>
                                  <a:pt x="3626344" y="22508"/>
                                </a:lnTo>
                                <a:lnTo>
                                  <a:pt x="3586960" y="5889"/>
                                </a:lnTo>
                                <a:lnTo>
                                  <a:pt x="3543134" y="0"/>
                                </a:lnTo>
                                <a:close/>
                              </a:path>
                            </a:pathLst>
                          </a:custGeom>
                          <a:solidFill>
                            <a:srgbClr val="009649"/>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FA1FAD" id="Group 120" o:spid="_x0000_s1026" style="position:absolute;margin-left:423.85pt;margin-top:8.55pt;width:475.05pt;height:471pt;z-index:-21913088;mso-wrap-distance-left:0;mso-wrap-distance-right:0;mso-position-horizontal:right;mso-position-horizontal-relative:margin;mso-width-relative:margin;mso-height-relative:margin" coordorigin="" coordsize="57604,5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">
                <v:shape id="Graphic 121" o:spid="_x0000_s1027" style="position:absolute;left:1083;width:56521;height:55860;visibility:visible;mso-wrap-style:square;v-text-anchor:top" coordsize="5652135,558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" path="m5363654,l,,,5585777r5363654,l5410368,5582008r44315,-10914l5496005,5553631r37736,-23421l5567299,5501424r28785,-33558l5619506,5430130r17463,-41322l5647882,5344493r3770,-46714l5651652,287997r-3770,-46714l5636969,196969r-17463,-41322l5596084,117910,5567298,84353,5533741,55567,5496005,32146,5454683,14682,5410368,3769,5363654,xe" fillcolor="#c6e0ce" stroked="f">
                  <v:path arrowok="t"/>
                </v:shape>
                <v:shape id="Graphic 122" o:spid="_x0000_s1028" style="position:absolute;top:1570;width:50754;height:3302;visibility:visible;mso-wrap-style:square;v-text-anchor:top" coordsize="370840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" path="m3543134,l,,,329730r3543134,l3586960,323840r39384,-16620l3659712,281441r25782,-33368l3702116,208689r5890,-43831l3702116,121033,3685494,81652,3659712,48286,3626344,22508,3586960,5889,3543134,xe" fillcolor="#009649" stroked="f">
                  <v:path arrowok="t"/>
                </v:shape>
                <w10:wrap anchorx="margin"/>
              </v:group>
            </w:pict>
          </mc:Fallback>
        </mc:AlternateContent>
      </w:r>
    </w:p>
    <w:p w14:paraId="23C12096" w14:textId="77777777" w:rsidR="00E05B98" w:rsidRPr="003C6DAE" w:rsidRDefault="00E05B98" w:rsidP="00733F91">
      <w:pPr>
        <w:pStyle w:val="a3"/>
        <w:spacing w:before="62" w:line="269" w:lineRule="auto"/>
        <w:rPr>
          <w:lang w:val="uk-UA"/>
        </w:rPr>
      </w:pPr>
    </w:p>
    <w:p w14:paraId="5E81EEB8" w14:textId="5A73DC10" w:rsidR="00733F91" w:rsidRPr="003C6DAE" w:rsidRDefault="00733F91" w:rsidP="00733F91">
      <w:pPr>
        <w:spacing w:before="1" w:line="269" w:lineRule="auto"/>
        <w:ind w:left="737"/>
        <w:rPr>
          <w:rFonts w:ascii="Arial"/>
          <w:b/>
          <w:color w:val="FFFFFF"/>
          <w:lang w:val="uk-UA"/>
        </w:rPr>
      </w:pPr>
      <w:r w:rsidRPr="003C6DAE">
        <w:rPr>
          <w:rFonts w:ascii="Arial"/>
          <w:b/>
          <w:color w:val="FFFFFF"/>
          <w:lang w:val="uk-UA"/>
        </w:rPr>
        <w:t>Інформаційний</w:t>
      </w:r>
      <w:r w:rsidRPr="003C6DAE">
        <w:rPr>
          <w:rFonts w:ascii="Arial"/>
          <w:b/>
          <w:color w:val="FFFFFF"/>
          <w:lang w:val="uk-UA"/>
        </w:rPr>
        <w:t xml:space="preserve"> </w:t>
      </w:r>
      <w:r w:rsidRPr="003C6DAE">
        <w:rPr>
          <w:rFonts w:ascii="Arial"/>
          <w:b/>
          <w:color w:val="FFFFFF"/>
          <w:lang w:val="uk-UA"/>
        </w:rPr>
        <w:t>блок</w:t>
      </w:r>
      <w:r w:rsidR="00B01E0C" w:rsidRPr="003C6DAE">
        <w:rPr>
          <w:rFonts w:ascii="Arial"/>
          <w:b/>
          <w:color w:val="FFFFFF"/>
          <w:spacing w:val="-9"/>
          <w:lang w:val="uk-UA"/>
        </w:rPr>
        <w:t xml:space="preserve"> </w:t>
      </w:r>
      <w:r w:rsidR="00B01E0C" w:rsidRPr="003C6DAE">
        <w:rPr>
          <w:rFonts w:ascii="Arial"/>
          <w:b/>
          <w:color w:val="FFFFFF"/>
          <w:lang w:val="uk-UA"/>
        </w:rPr>
        <w:t>A.</w:t>
      </w:r>
      <w:r w:rsidR="00B01E0C" w:rsidRPr="003C6DAE">
        <w:rPr>
          <w:rFonts w:ascii="Arial"/>
          <w:b/>
          <w:color w:val="FFFFFF"/>
          <w:spacing w:val="-9"/>
          <w:lang w:val="uk-UA"/>
        </w:rPr>
        <w:t xml:space="preserve"> </w:t>
      </w:r>
      <w:r w:rsidRPr="003C6DAE">
        <w:rPr>
          <w:rFonts w:ascii="Arial"/>
          <w:b/>
          <w:color w:val="FFFFFF"/>
          <w:lang w:val="uk-UA"/>
        </w:rPr>
        <w:t>Основні</w:t>
      </w:r>
      <w:r w:rsidRPr="003C6DAE">
        <w:rPr>
          <w:rFonts w:ascii="Arial"/>
          <w:b/>
          <w:color w:val="FFFFFF"/>
          <w:lang w:val="uk-UA"/>
        </w:rPr>
        <w:t xml:space="preserve"> </w:t>
      </w:r>
      <w:r w:rsidRPr="003C6DAE">
        <w:rPr>
          <w:rFonts w:ascii="Arial"/>
          <w:b/>
          <w:color w:val="FFFFFF"/>
          <w:lang w:val="uk-UA"/>
        </w:rPr>
        <w:t>зміни</w:t>
      </w:r>
      <w:r w:rsidRPr="003C6DAE">
        <w:rPr>
          <w:rFonts w:ascii="Arial"/>
          <w:b/>
          <w:color w:val="FFFFFF"/>
          <w:lang w:val="uk-UA"/>
        </w:rPr>
        <w:t xml:space="preserve"> </w:t>
      </w:r>
      <w:r w:rsidRPr="003C6DAE">
        <w:rPr>
          <w:rFonts w:ascii="Arial"/>
          <w:b/>
          <w:color w:val="FFFFFF"/>
          <w:lang w:val="uk-UA"/>
        </w:rPr>
        <w:t>в</w:t>
      </w:r>
      <w:r w:rsidRPr="003C6DAE">
        <w:rPr>
          <w:rFonts w:ascii="Arial"/>
          <w:b/>
          <w:color w:val="FFFFFF"/>
          <w:lang w:val="uk-UA"/>
        </w:rPr>
        <w:t xml:space="preserve"> </w:t>
      </w:r>
      <w:r w:rsidRPr="003C6DAE">
        <w:rPr>
          <w:rFonts w:ascii="Arial"/>
          <w:b/>
          <w:color w:val="FFFFFF"/>
          <w:lang w:val="uk-UA"/>
        </w:rPr>
        <w:t>настанові</w:t>
      </w:r>
      <w:r w:rsidRPr="003C6DAE">
        <w:rPr>
          <w:rFonts w:ascii="Arial"/>
          <w:b/>
          <w:color w:val="FFFFFF"/>
          <w:lang w:val="uk-UA"/>
        </w:rPr>
        <w:t xml:space="preserve"> </w:t>
      </w:r>
      <w:r w:rsidRPr="003C6DAE">
        <w:rPr>
          <w:rFonts w:ascii="Arial"/>
          <w:b/>
          <w:color w:val="FFFFFF"/>
          <w:lang w:val="uk-UA"/>
        </w:rPr>
        <w:t>в</w:t>
      </w:r>
      <w:r w:rsidRPr="003C6DAE">
        <w:rPr>
          <w:rFonts w:ascii="Arial"/>
          <w:b/>
          <w:color w:val="FFFFFF"/>
          <w:lang w:val="uk-UA"/>
        </w:rPr>
        <w:t xml:space="preserve"> </w:t>
      </w:r>
      <w:r w:rsidRPr="003C6DAE">
        <w:rPr>
          <w:rFonts w:ascii="Arial"/>
          <w:b/>
          <w:color w:val="FFFFFF"/>
          <w:lang w:val="uk-UA"/>
        </w:rPr>
        <w:t>цьому</w:t>
      </w:r>
      <w:r w:rsidRPr="003C6DAE">
        <w:rPr>
          <w:rFonts w:ascii="Arial"/>
          <w:b/>
          <w:color w:val="FFFFFF"/>
          <w:lang w:val="uk-UA"/>
        </w:rPr>
        <w:t xml:space="preserve"> </w:t>
      </w:r>
      <w:r w:rsidRPr="003C6DAE">
        <w:rPr>
          <w:rFonts w:ascii="Arial"/>
          <w:b/>
          <w:color w:val="FFFFFF"/>
          <w:lang w:val="uk-UA"/>
        </w:rPr>
        <w:t>оновлен</w:t>
      </w:r>
      <w:r w:rsidR="0060471E">
        <w:rPr>
          <w:rFonts w:ascii="Arial"/>
          <w:b/>
          <w:color w:val="FFFFFF"/>
          <w:lang w:val="uk-UA"/>
        </w:rPr>
        <w:t>ому</w:t>
      </w:r>
      <w:r w:rsidR="0060471E">
        <w:rPr>
          <w:rFonts w:ascii="Arial"/>
          <w:b/>
          <w:color w:val="FFFFFF"/>
          <w:lang w:val="uk-UA"/>
        </w:rPr>
        <w:t xml:space="preserve"> </w:t>
      </w:r>
      <w:r w:rsidR="0060471E">
        <w:rPr>
          <w:rFonts w:ascii="Arial"/>
          <w:b/>
          <w:color w:val="FFFFFF"/>
          <w:lang w:val="uk-UA"/>
        </w:rPr>
        <w:t>виданні</w:t>
      </w:r>
    </w:p>
    <w:p w14:paraId="397037AB" w14:textId="77777777" w:rsidR="00E05B98" w:rsidRPr="003C6DAE" w:rsidRDefault="00E05B98" w:rsidP="00733F91">
      <w:pPr>
        <w:pStyle w:val="a3"/>
        <w:spacing w:before="73" w:line="269" w:lineRule="auto"/>
        <w:rPr>
          <w:rFonts w:ascii="Arial"/>
          <w:b/>
          <w:lang w:val="uk-UA"/>
        </w:rPr>
      </w:pPr>
    </w:p>
    <w:p w14:paraId="21146DFE" w14:textId="3986AF57" w:rsidR="00E05B98" w:rsidRPr="003C6DAE" w:rsidRDefault="00B01E0C" w:rsidP="00EC2651">
      <w:pPr>
        <w:pStyle w:val="a3"/>
        <w:spacing w:line="269" w:lineRule="auto"/>
        <w:ind w:left="1134" w:right="426" w:hanging="340"/>
        <w:rPr>
          <w:sz w:val="20"/>
          <w:szCs w:val="20"/>
          <w:lang w:val="uk-UA"/>
        </w:rPr>
      </w:pPr>
      <w:r w:rsidRPr="003C6DAE">
        <w:rPr>
          <w:rFonts w:ascii="Wingdings" w:hAnsi="Wingdings"/>
          <w:color w:val="019648"/>
          <w:lang w:val="uk-UA"/>
        </w:rPr>
        <w:t></w:t>
      </w:r>
      <w:r w:rsidRPr="003C6DAE">
        <w:rPr>
          <w:rFonts w:ascii="Times New Roman" w:hAnsi="Times New Roman"/>
          <w:color w:val="019648"/>
          <w:spacing w:val="-3"/>
          <w:lang w:val="uk-UA"/>
        </w:rPr>
        <w:t xml:space="preserve"> </w:t>
      </w:r>
      <w:r w:rsidR="00B15971" w:rsidRPr="003C6DAE">
        <w:rPr>
          <w:rFonts w:ascii="Times New Roman" w:hAnsi="Times New Roman"/>
          <w:color w:val="019648"/>
          <w:spacing w:val="-3"/>
          <w:lang w:val="uk-UA"/>
        </w:rPr>
        <w:t xml:space="preserve"> </w:t>
      </w:r>
      <w:r w:rsidR="00B15971" w:rsidRPr="003C6DAE">
        <w:rPr>
          <w:sz w:val="20"/>
          <w:szCs w:val="20"/>
          <w:lang w:val="uk-UA"/>
        </w:rPr>
        <w:t>Створено два нових класи діагностичних тестів для первинного виявлення ТБ та резистентності до рифампіцину; ці класи відрізняються рівнем автоматизації процедури та результатів тестування, а також включають тести, які були раніше рекомендовані в якості окремих продуктів. Новий клас автоматизованих тестів на ампліфікацію нуклеїнових кислот низької складності (аТАНК-НС) включає тести Xpert® MTB/RIF та Xpert MTB/ RIF Ultra, а також Truenat® MTB Plus та MTB-RIF Dx.</w:t>
      </w:r>
      <w:r w:rsidRPr="003C6DAE">
        <w:rPr>
          <w:spacing w:val="-3"/>
          <w:sz w:val="20"/>
          <w:szCs w:val="20"/>
          <w:lang w:val="uk-UA"/>
        </w:rPr>
        <w:t xml:space="preserve"> </w:t>
      </w:r>
      <w:r w:rsidR="00B15971" w:rsidRPr="003C6DAE">
        <w:rPr>
          <w:spacing w:val="-3"/>
          <w:sz w:val="20"/>
          <w:szCs w:val="20"/>
          <w:lang w:val="uk-UA"/>
        </w:rPr>
        <w:t xml:space="preserve">Клас ручних тестів на ампліфікацію нуклеїнових кислот низької складності (рТАНК-НС) включає набір </w:t>
      </w:r>
      <w:r w:rsidR="00B15971" w:rsidRPr="003C6DAE">
        <w:rPr>
          <w:sz w:val="20"/>
          <w:szCs w:val="20"/>
          <w:lang w:val="uk-UA"/>
        </w:rPr>
        <w:t>Loopamp</w:t>
      </w:r>
      <w:r w:rsidR="00B15971" w:rsidRPr="003C6DAE">
        <w:rPr>
          <w:sz w:val="20"/>
          <w:szCs w:val="20"/>
          <w:vertAlign w:val="superscript"/>
          <w:lang w:val="uk-UA"/>
        </w:rPr>
        <w:t>TM</w:t>
      </w:r>
      <w:r w:rsidR="00B15971" w:rsidRPr="003C6DAE">
        <w:rPr>
          <w:spacing w:val="-3"/>
          <w:sz w:val="20"/>
          <w:szCs w:val="20"/>
          <w:lang w:val="uk-UA"/>
        </w:rPr>
        <w:t xml:space="preserve"> для виявлення МБТК (</w:t>
      </w:r>
      <w:r w:rsidR="0060471E">
        <w:rPr>
          <w:spacing w:val="-3"/>
          <w:sz w:val="20"/>
          <w:szCs w:val="20"/>
          <w:lang w:val="uk-UA"/>
        </w:rPr>
        <w:t xml:space="preserve">тест на ТБ методом петльової ізотермічної ампліфікації - </w:t>
      </w:r>
      <w:r w:rsidR="00B15971" w:rsidRPr="003C6DAE">
        <w:rPr>
          <w:spacing w:val="-3"/>
          <w:sz w:val="20"/>
          <w:szCs w:val="20"/>
          <w:lang w:val="uk-UA"/>
        </w:rPr>
        <w:t>TB LAMP) (</w:t>
      </w:r>
      <w:r w:rsidR="0060471E">
        <w:rPr>
          <w:spacing w:val="-3"/>
          <w:sz w:val="20"/>
          <w:szCs w:val="20"/>
          <w:lang w:val="uk-UA"/>
        </w:rPr>
        <w:t>компанія «</w:t>
      </w:r>
      <w:r w:rsidR="00B15971" w:rsidRPr="003C6DAE">
        <w:rPr>
          <w:spacing w:val="-3"/>
          <w:sz w:val="20"/>
          <w:szCs w:val="20"/>
          <w:lang w:val="uk-UA"/>
        </w:rPr>
        <w:t>Eiken Chemical</w:t>
      </w:r>
      <w:r w:rsidR="0060471E">
        <w:rPr>
          <w:spacing w:val="-3"/>
          <w:sz w:val="20"/>
          <w:szCs w:val="20"/>
          <w:lang w:val="uk-UA"/>
        </w:rPr>
        <w:t>»</w:t>
      </w:r>
      <w:r w:rsidR="00B15971" w:rsidRPr="003C6DAE">
        <w:rPr>
          <w:spacing w:val="-3"/>
          <w:sz w:val="20"/>
          <w:szCs w:val="20"/>
          <w:lang w:val="uk-UA"/>
        </w:rPr>
        <w:t>). Ці нові рекомендації на основі класів замінюють попередні рекомендації щодо конкретних продуктів</w:t>
      </w:r>
      <w:r w:rsidRPr="003C6DAE">
        <w:rPr>
          <w:sz w:val="20"/>
          <w:szCs w:val="20"/>
          <w:lang w:val="uk-UA"/>
        </w:rPr>
        <w:t>.</w:t>
      </w:r>
    </w:p>
    <w:p w14:paraId="27CC7F11" w14:textId="781E2BF1" w:rsidR="00E05B98" w:rsidRPr="003C6DAE" w:rsidRDefault="00B01E0C" w:rsidP="00EC2651">
      <w:pPr>
        <w:pStyle w:val="a3"/>
        <w:spacing w:before="123" w:line="269" w:lineRule="auto"/>
        <w:ind w:left="1134" w:right="426" w:hanging="340"/>
        <w:rPr>
          <w:sz w:val="20"/>
          <w:szCs w:val="20"/>
          <w:lang w:val="uk-UA"/>
        </w:rPr>
      </w:pPr>
      <w:r w:rsidRPr="003C6DAE">
        <w:rPr>
          <w:rFonts w:ascii="Wingdings" w:hAnsi="Wingdings"/>
          <w:color w:val="019648"/>
          <w:sz w:val="20"/>
          <w:szCs w:val="20"/>
          <w:lang w:val="uk-UA"/>
        </w:rPr>
        <w:t></w:t>
      </w:r>
      <w:r w:rsidRPr="003C6DAE">
        <w:rPr>
          <w:rFonts w:ascii="Times New Roman" w:hAnsi="Times New Roman"/>
          <w:color w:val="019648"/>
          <w:spacing w:val="40"/>
          <w:sz w:val="20"/>
          <w:szCs w:val="20"/>
          <w:lang w:val="uk-UA"/>
        </w:rPr>
        <w:t xml:space="preserve"> </w:t>
      </w:r>
      <w:r w:rsidR="00B15971" w:rsidRPr="003C6DAE">
        <w:rPr>
          <w:rFonts w:ascii="Times New Roman" w:hAnsi="Times New Roman"/>
          <w:color w:val="019648"/>
          <w:spacing w:val="40"/>
          <w:sz w:val="20"/>
          <w:szCs w:val="20"/>
          <w:lang w:val="uk-UA"/>
        </w:rPr>
        <w:t xml:space="preserve"> </w:t>
      </w:r>
      <w:r w:rsidR="00B15971" w:rsidRPr="003C6DAE">
        <w:rPr>
          <w:sz w:val="20"/>
          <w:szCs w:val="20"/>
          <w:lang w:val="uk-UA"/>
        </w:rPr>
        <w:t>Одночасне тестування респіраторних та нереспіраторних зразків для первинного виявлення ТБ та резистентності до рифампіцину рекомендовано дорослим та підліткам, які живуть з ВІЛ, дітям, які живуть з ВІЛ, а також дітям без ВІЛ або з невідомим ВІЛ-статусом</w:t>
      </w:r>
      <w:r w:rsidRPr="003C6DAE">
        <w:rPr>
          <w:sz w:val="20"/>
          <w:szCs w:val="20"/>
          <w:lang w:val="uk-UA"/>
        </w:rPr>
        <w:t>.</w:t>
      </w:r>
    </w:p>
    <w:p w14:paraId="6B338830" w14:textId="3015C620" w:rsidR="00E05B98" w:rsidRPr="003C6DAE" w:rsidRDefault="00B01E0C" w:rsidP="00EC2651">
      <w:pPr>
        <w:pStyle w:val="a3"/>
        <w:spacing w:before="118" w:line="269" w:lineRule="auto"/>
        <w:ind w:left="1134" w:right="426" w:hanging="340"/>
        <w:rPr>
          <w:sz w:val="20"/>
          <w:szCs w:val="20"/>
          <w:lang w:val="uk-UA"/>
        </w:rPr>
      </w:pPr>
      <w:r w:rsidRPr="003C6DAE">
        <w:rPr>
          <w:rFonts w:ascii="Wingdings" w:hAnsi="Wingdings"/>
          <w:color w:val="019648"/>
          <w:w w:val="105"/>
          <w:sz w:val="20"/>
          <w:szCs w:val="20"/>
          <w:lang w:val="uk-UA"/>
        </w:rPr>
        <w:t></w:t>
      </w:r>
      <w:r w:rsidRPr="003C6DAE">
        <w:rPr>
          <w:rFonts w:ascii="Times New Roman" w:hAnsi="Times New Roman"/>
          <w:color w:val="019648"/>
          <w:spacing w:val="40"/>
          <w:w w:val="105"/>
          <w:sz w:val="20"/>
          <w:szCs w:val="20"/>
          <w:lang w:val="uk-UA"/>
        </w:rPr>
        <w:t xml:space="preserve"> </w:t>
      </w:r>
      <w:r w:rsidR="00772F51" w:rsidRPr="003C6DAE">
        <w:rPr>
          <w:w w:val="105"/>
          <w:sz w:val="20"/>
          <w:szCs w:val="20"/>
          <w:lang w:val="uk-UA"/>
        </w:rPr>
        <w:t>Існуючі настанови щодо тестування на ТБ були доповнені</w:t>
      </w:r>
      <w:r w:rsidR="00EC2651">
        <w:rPr>
          <w:w w:val="105"/>
          <w:sz w:val="20"/>
          <w:szCs w:val="20"/>
          <w:lang w:val="uk-UA"/>
        </w:rPr>
        <w:t xml:space="preserve"> </w:t>
      </w:r>
      <w:r w:rsidR="00C87CBF">
        <w:rPr>
          <w:w w:val="105"/>
          <w:sz w:val="20"/>
          <w:szCs w:val="20"/>
          <w:lang w:val="uk-UA"/>
        </w:rPr>
        <w:t xml:space="preserve">для </w:t>
      </w:r>
      <w:r w:rsidR="00EC2651">
        <w:rPr>
          <w:w w:val="105"/>
          <w:sz w:val="20"/>
          <w:szCs w:val="20"/>
          <w:lang w:val="uk-UA"/>
        </w:rPr>
        <w:t xml:space="preserve">консолідації </w:t>
      </w:r>
      <w:r w:rsidR="00C87CBF">
        <w:rPr>
          <w:w w:val="105"/>
          <w:sz w:val="20"/>
          <w:szCs w:val="20"/>
          <w:lang w:val="uk-UA"/>
        </w:rPr>
        <w:t xml:space="preserve">рекомендацій щодо політики </w:t>
      </w:r>
      <w:r w:rsidR="00EC2651">
        <w:rPr>
          <w:w w:val="105"/>
          <w:sz w:val="20"/>
          <w:szCs w:val="20"/>
          <w:lang w:val="uk-UA"/>
        </w:rPr>
        <w:t xml:space="preserve">у сфері </w:t>
      </w:r>
      <w:r w:rsidR="00772F51" w:rsidRPr="003C6DAE">
        <w:rPr>
          <w:w w:val="105"/>
          <w:sz w:val="20"/>
          <w:szCs w:val="20"/>
          <w:lang w:val="uk-UA"/>
        </w:rPr>
        <w:t>тестування для діагностики ТБ, виявлення лікарської стійкості та інфікування ТБ</w:t>
      </w:r>
      <w:r w:rsidRPr="003C6DAE">
        <w:rPr>
          <w:w w:val="105"/>
          <w:sz w:val="20"/>
          <w:szCs w:val="20"/>
          <w:lang w:val="uk-UA"/>
        </w:rPr>
        <w:t>.</w:t>
      </w:r>
    </w:p>
    <w:p w14:paraId="32FC918C" w14:textId="4A7DB5ED" w:rsidR="00E05B98" w:rsidRPr="003C6DAE" w:rsidRDefault="00B01E0C" w:rsidP="00EC2651">
      <w:pPr>
        <w:pStyle w:val="a3"/>
        <w:spacing w:before="115" w:line="269" w:lineRule="auto"/>
        <w:ind w:left="1134" w:right="426" w:hanging="340"/>
        <w:rPr>
          <w:sz w:val="20"/>
          <w:szCs w:val="20"/>
          <w:lang w:val="uk-UA"/>
        </w:rPr>
      </w:pPr>
      <w:r w:rsidRPr="003C6DAE">
        <w:rPr>
          <w:rFonts w:ascii="Wingdings" w:hAnsi="Wingdings"/>
          <w:color w:val="019648"/>
          <w:w w:val="105"/>
          <w:sz w:val="20"/>
          <w:szCs w:val="20"/>
          <w:lang w:val="uk-UA"/>
        </w:rPr>
        <w:t></w:t>
      </w:r>
      <w:r w:rsidRPr="003C6DAE">
        <w:rPr>
          <w:rFonts w:ascii="Times New Roman" w:hAnsi="Times New Roman"/>
          <w:color w:val="019648"/>
          <w:spacing w:val="40"/>
          <w:w w:val="105"/>
          <w:sz w:val="20"/>
          <w:szCs w:val="20"/>
          <w:lang w:val="uk-UA"/>
        </w:rPr>
        <w:t xml:space="preserve"> </w:t>
      </w:r>
      <w:r w:rsidR="00772F51" w:rsidRPr="003C6DAE">
        <w:rPr>
          <w:w w:val="105"/>
          <w:sz w:val="20"/>
          <w:szCs w:val="20"/>
          <w:lang w:val="uk-UA"/>
        </w:rPr>
        <w:t xml:space="preserve">До розділу «Передумови» було додано опис визначення діагностичних тестів на ТБ та шляхів попередньої кваліфікації </w:t>
      </w:r>
      <w:r w:rsidR="00176989" w:rsidRPr="003C6DAE">
        <w:rPr>
          <w:w w:val="105"/>
          <w:sz w:val="20"/>
          <w:szCs w:val="20"/>
          <w:lang w:val="uk-UA"/>
        </w:rPr>
        <w:t>продуктів</w:t>
      </w:r>
      <w:r w:rsidR="00772F51" w:rsidRPr="003C6DAE">
        <w:rPr>
          <w:w w:val="105"/>
          <w:sz w:val="20"/>
          <w:szCs w:val="20"/>
          <w:lang w:val="uk-UA"/>
        </w:rPr>
        <w:t xml:space="preserve"> для діагностики ТБ, представленої ВООЗ.</w:t>
      </w:r>
    </w:p>
    <w:p w14:paraId="1E68884B" w14:textId="556DC41F" w:rsidR="00E05B98" w:rsidRPr="003C6DAE" w:rsidRDefault="00B01E0C" w:rsidP="00EC2651">
      <w:pPr>
        <w:pStyle w:val="a3"/>
        <w:spacing w:before="116" w:line="269" w:lineRule="auto"/>
        <w:ind w:left="1134" w:right="426" w:hanging="340"/>
        <w:rPr>
          <w:sz w:val="20"/>
          <w:szCs w:val="20"/>
          <w:lang w:val="uk-UA"/>
        </w:rPr>
      </w:pPr>
      <w:r w:rsidRPr="003C6DAE">
        <w:rPr>
          <w:rFonts w:ascii="Wingdings" w:hAnsi="Wingdings"/>
          <w:color w:val="019648"/>
          <w:sz w:val="20"/>
          <w:szCs w:val="20"/>
          <w:lang w:val="uk-UA"/>
        </w:rPr>
        <w:t></w:t>
      </w:r>
      <w:r w:rsidRPr="003C6DAE">
        <w:rPr>
          <w:rFonts w:ascii="Times New Roman" w:hAnsi="Times New Roman"/>
          <w:color w:val="019648"/>
          <w:spacing w:val="40"/>
          <w:sz w:val="20"/>
          <w:szCs w:val="20"/>
          <w:lang w:val="uk-UA"/>
        </w:rPr>
        <w:t xml:space="preserve"> </w:t>
      </w:r>
      <w:r w:rsidR="00772F51" w:rsidRPr="003C6DAE">
        <w:rPr>
          <w:sz w:val="20"/>
          <w:szCs w:val="20"/>
          <w:lang w:val="uk-UA"/>
        </w:rPr>
        <w:t xml:space="preserve">Таблиці опису класів тестів </w:t>
      </w:r>
      <w:r w:rsidR="00B40441">
        <w:rPr>
          <w:sz w:val="20"/>
          <w:szCs w:val="20"/>
          <w:lang w:val="uk-UA"/>
        </w:rPr>
        <w:t>для діагностики</w:t>
      </w:r>
      <w:r w:rsidR="00772F51" w:rsidRPr="003C6DAE">
        <w:rPr>
          <w:sz w:val="20"/>
          <w:szCs w:val="20"/>
          <w:lang w:val="uk-UA"/>
        </w:rPr>
        <w:t xml:space="preserve"> ТБ були переглянуті для приведення їх у відповідність до критеріїв визначення класів, представлених у розділі «Передумови».</w:t>
      </w:r>
    </w:p>
    <w:p w14:paraId="2B417652" w14:textId="216AA420" w:rsidR="00E05B98" w:rsidRPr="003C6DAE" w:rsidRDefault="00EB1EDB" w:rsidP="00EC2651">
      <w:pPr>
        <w:pStyle w:val="a3"/>
        <w:spacing w:before="115" w:line="269" w:lineRule="auto"/>
        <w:ind w:left="1134" w:right="426" w:hanging="340"/>
        <w:rPr>
          <w:sz w:val="20"/>
          <w:szCs w:val="20"/>
          <w:lang w:val="uk-UA"/>
        </w:rPr>
      </w:pPr>
      <w:r w:rsidRPr="003C6DAE">
        <w:rPr>
          <w:noProof/>
          <w:lang w:val="uk-UA"/>
        </w:rPr>
        <mc:AlternateContent>
          <mc:Choice Requires="wps">
            <w:drawing>
              <wp:anchor distT="0" distB="0" distL="114300" distR="114300" simplePos="0" relativeHeight="488081920" behindDoc="0" locked="0" layoutInCell="1" allowOverlap="1" wp14:anchorId="38B2A6DD" wp14:editId="22AE2818">
                <wp:simplePos x="0" y="0"/>
                <wp:positionH relativeFrom="column">
                  <wp:posOffset>-48431</wp:posOffset>
                </wp:positionH>
                <wp:positionV relativeFrom="paragraph">
                  <wp:posOffset>2970312</wp:posOffset>
                </wp:positionV>
                <wp:extent cx="6483350" cy="791305"/>
                <wp:effectExtent l="0" t="0" r="0" b="8890"/>
                <wp:wrapNone/>
                <wp:docPr id="1767012823" name="Поле 2307"/>
                <wp:cNvGraphicFramePr/>
                <a:graphic xmlns:a="http://schemas.openxmlformats.org/drawingml/2006/main">
                  <a:graphicData uri="http://schemas.microsoft.com/office/word/2010/wordprocessingShape">
                    <wps:wsp>
                      <wps:cNvSpPr txBox="1"/>
                      <wps:spPr>
                        <a:xfrm>
                          <a:off x="0" y="0"/>
                          <a:ext cx="6483350" cy="791305"/>
                        </a:xfrm>
                        <a:prstGeom prst="rect">
                          <a:avLst/>
                        </a:prstGeom>
                        <a:solidFill>
                          <a:schemeClr val="bg1"/>
                        </a:solidFill>
                        <a:ln w="6350">
                          <a:noFill/>
                        </a:ln>
                      </wps:spPr>
                      <wps:txbx>
                        <w:txbxContent>
                          <w:p w14:paraId="5A1ED4F0" w14:textId="7003AB01" w:rsidR="007372B2" w:rsidRPr="009B5E1D" w:rsidRDefault="007372B2" w:rsidP="009B5E1D">
                            <w:pPr>
                              <w:ind w:left="20"/>
                              <w:jc w:val="right"/>
                              <w:rPr>
                                <w:sz w:val="16"/>
                                <w:lang w:val="uk-UA"/>
                              </w:rPr>
                            </w:pPr>
                            <w:r>
                              <w:rPr>
                                <w:color w:val="019648"/>
                                <w:spacing w:val="-2"/>
                                <w:sz w:val="16"/>
                                <w:lang w:val="uk-UA"/>
                              </w:rPr>
                              <w:t xml:space="preserve">Стислий виклад     хі    </w:t>
                            </w:r>
                          </w:p>
                          <w:p w14:paraId="47B04646" w14:textId="6BDBD0D4" w:rsidR="007372B2" w:rsidRPr="00EB1EDB" w:rsidRDefault="007372B2" w:rsidP="00EB1EDB">
                            <w:pPr>
                              <w:rPr>
                                <w:lang w:val="uk-UA"/>
                              </w:rPr>
                            </w:pPr>
                            <w:r w:rsidRPr="00EB1EDB">
                              <w:rPr>
                                <w:color w:val="019648"/>
                                <w:spacing w:val="-2"/>
                                <w:sz w:val="16"/>
                                <w:lang w:val="uk-UA"/>
                              </w:rPr>
                              <w:t xml:space="preserve"> </w:t>
                            </w:r>
                          </w:p>
                          <w:p w14:paraId="5084C6C4" w14:textId="77777777" w:rsidR="007372B2" w:rsidRPr="00EB1EDB" w:rsidRDefault="007372B2" w:rsidP="00EB1EDB">
                            <w:pPr>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2A6DD" id="_x0000_s1045" type="#_x0000_t202" style="position:absolute;left:0;text-align:left;margin-left:-3.8pt;margin-top:233.9pt;width:510.5pt;height:62.3pt;z-index:4880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" fillcolor="white [3212]" stroked="f" strokeweight=".5pt">
                <v:textbox>
                  <w:txbxContent>
                    <w:p w14:paraId="5A1ED4F0" w14:textId="7003AB01" w:rsidR="007372B2" w:rsidRPr="009B5E1D" w:rsidRDefault="007372B2" w:rsidP="009B5E1D">
                      <w:pPr>
                        <w:ind w:left="20"/>
                        <w:jc w:val="right"/>
                        <w:rPr>
                          <w:sz w:val="16"/>
                          <w:lang w:val="uk-UA"/>
                        </w:rPr>
                      </w:pPr>
                      <w:r>
                        <w:rPr>
                          <w:color w:val="019648"/>
                          <w:spacing w:val="-2"/>
                          <w:sz w:val="16"/>
                          <w:lang w:val="uk-UA"/>
                        </w:rPr>
                        <w:t xml:space="preserve">Стислий виклад     хі    </w:t>
                      </w:r>
                    </w:p>
                    <w:p w14:paraId="47B04646" w14:textId="6BDBD0D4" w:rsidR="007372B2" w:rsidRPr="00EB1EDB" w:rsidRDefault="007372B2" w:rsidP="00EB1EDB">
                      <w:pPr>
                        <w:rPr>
                          <w:lang w:val="uk-UA"/>
                        </w:rPr>
                      </w:pPr>
                      <w:r w:rsidRPr="00EB1EDB">
                        <w:rPr>
                          <w:color w:val="019648"/>
                          <w:spacing w:val="-2"/>
                          <w:sz w:val="16"/>
                          <w:lang w:val="uk-UA"/>
                        </w:rPr>
                        <w:t xml:space="preserve"> </w:t>
                      </w:r>
                    </w:p>
                    <w:p w14:paraId="5084C6C4" w14:textId="77777777" w:rsidR="007372B2" w:rsidRPr="00EB1EDB" w:rsidRDefault="007372B2" w:rsidP="00EB1EDB">
                      <w:pPr>
                        <w:rPr>
                          <w:lang w:val="ru-RU"/>
                        </w:rPr>
                      </w:pPr>
                    </w:p>
                  </w:txbxContent>
                </v:textbox>
              </v:shape>
            </w:pict>
          </mc:Fallback>
        </mc:AlternateContent>
      </w:r>
      <w:r w:rsidR="00B01E0C" w:rsidRPr="003C6DAE">
        <w:rPr>
          <w:rFonts w:ascii="Wingdings" w:hAnsi="Wingdings"/>
          <w:color w:val="019648"/>
          <w:sz w:val="20"/>
          <w:szCs w:val="20"/>
          <w:lang w:val="uk-UA"/>
        </w:rPr>
        <w:t></w:t>
      </w:r>
      <w:r w:rsidR="00B01E0C" w:rsidRPr="003C6DAE">
        <w:rPr>
          <w:rFonts w:ascii="Times New Roman" w:hAnsi="Times New Roman"/>
          <w:color w:val="019648"/>
          <w:spacing w:val="-14"/>
          <w:sz w:val="20"/>
          <w:szCs w:val="20"/>
          <w:lang w:val="uk-UA"/>
        </w:rPr>
        <w:t xml:space="preserve"> </w:t>
      </w:r>
      <w:r w:rsidR="00956944" w:rsidRPr="003C6DAE">
        <w:rPr>
          <w:sz w:val="20"/>
          <w:szCs w:val="20"/>
          <w:lang w:val="uk-UA"/>
        </w:rPr>
        <w:t xml:space="preserve">Чотири попередні веб-додатки, які охоплювали систематичні огляди та докази, отримані групою з розробки настанов (ГРН) з метою інформування про оновлення політики, були об'єднані в два веб-додатки. Веб-додаток А містить систематичні огляди, таблиці Градації </w:t>
      </w:r>
      <w:r w:rsidR="00C87CBF">
        <w:rPr>
          <w:sz w:val="20"/>
          <w:szCs w:val="20"/>
          <w:lang w:val="uk-UA"/>
        </w:rPr>
        <w:t>оцінки</w:t>
      </w:r>
      <w:r w:rsidR="00956944" w:rsidRPr="003C6DAE">
        <w:rPr>
          <w:sz w:val="20"/>
          <w:szCs w:val="20"/>
          <w:lang w:val="uk-UA"/>
        </w:rPr>
        <w:t xml:space="preserve">, розробки та </w:t>
      </w:r>
      <w:r w:rsidR="00C87CBF">
        <w:rPr>
          <w:sz w:val="20"/>
          <w:szCs w:val="20"/>
          <w:lang w:val="uk-UA"/>
        </w:rPr>
        <w:t xml:space="preserve">аналізу </w:t>
      </w:r>
      <w:r w:rsidR="00956944" w:rsidRPr="003C6DAE">
        <w:rPr>
          <w:sz w:val="20"/>
          <w:szCs w:val="20"/>
          <w:lang w:val="uk-UA"/>
        </w:rPr>
        <w:t>рекомендацій (GRADE) і таблиці «Докази для прийняття рішень» (EtD), а веб-додаток Б містить результати синтезу та аналізу доказів. Обидва веб-додатки тепер містять інформацію з розбивкою за класами діагностики ТБ.</w:t>
      </w:r>
    </w:p>
    <w:p w14:paraId="0964EFCC" w14:textId="55A4F85E" w:rsidR="00E05B98" w:rsidRPr="003C6DAE" w:rsidRDefault="00E05B98" w:rsidP="00EC2651">
      <w:pPr>
        <w:pStyle w:val="a3"/>
        <w:spacing w:line="269" w:lineRule="auto"/>
        <w:ind w:left="1134" w:hanging="340"/>
        <w:rPr>
          <w:lang w:val="uk-UA"/>
        </w:rPr>
        <w:sectPr w:rsidR="00E05B98" w:rsidRPr="003C6DAE" w:rsidSect="00CB0367">
          <w:footerReference w:type="even" r:id="rId35"/>
          <w:footerReference w:type="default" r:id="rId36"/>
          <w:pgSz w:w="11910" w:h="16840"/>
          <w:pgMar w:top="1320" w:right="995" w:bottom="760" w:left="850" w:header="0" w:footer="573" w:gutter="0"/>
          <w:pgNumType w:start="11"/>
          <w:cols w:space="720"/>
        </w:sectPr>
      </w:pPr>
    </w:p>
    <w:p w14:paraId="00502DF2" w14:textId="4CB2111F" w:rsidR="00E05B98" w:rsidRPr="003C6DAE" w:rsidRDefault="00956944" w:rsidP="00E75E29">
      <w:pPr>
        <w:pStyle w:val="6"/>
        <w:spacing w:line="269" w:lineRule="auto"/>
        <w:rPr>
          <w:lang w:val="uk-UA"/>
        </w:rPr>
      </w:pPr>
      <w:bookmarkStart w:id="9" w:name="_bookmark4"/>
      <w:bookmarkEnd w:id="9"/>
      <w:r w:rsidRPr="003C6DAE">
        <w:rPr>
          <w:color w:val="636466"/>
          <w:spacing w:val="-2"/>
          <w:lang w:val="uk-UA"/>
        </w:rPr>
        <w:lastRenderedPageBreak/>
        <w:t>Таблиця</w:t>
      </w:r>
      <w:r w:rsidR="00B01E0C" w:rsidRPr="003C6DAE">
        <w:rPr>
          <w:color w:val="636466"/>
          <w:spacing w:val="-7"/>
          <w:lang w:val="uk-UA"/>
        </w:rPr>
        <w:t xml:space="preserve"> </w:t>
      </w:r>
      <w:r w:rsidR="00B01E0C" w:rsidRPr="003C6DAE">
        <w:rPr>
          <w:color w:val="636466"/>
          <w:spacing w:val="-2"/>
          <w:lang w:val="uk-UA"/>
        </w:rPr>
        <w:t>A.</w:t>
      </w:r>
      <w:r w:rsidR="00B01E0C" w:rsidRPr="003C6DAE">
        <w:rPr>
          <w:color w:val="636466"/>
          <w:spacing w:val="-7"/>
          <w:lang w:val="uk-UA"/>
        </w:rPr>
        <w:t xml:space="preserve"> </w:t>
      </w:r>
      <w:r w:rsidRPr="003C6DAE">
        <w:rPr>
          <w:color w:val="636466"/>
          <w:spacing w:val="-2"/>
          <w:lang w:val="uk-UA"/>
        </w:rPr>
        <w:t>Рекомендації, представлені в консолідованих настановах ВООЗ з туберкульозу. Модуль 3: діагностика, четверте видання</w:t>
      </w:r>
    </w:p>
    <w:p w14:paraId="1EFF3F4F" w14:textId="77777777" w:rsidR="00E05B98" w:rsidRPr="003C6DAE" w:rsidRDefault="00B01E0C" w:rsidP="00E75E29">
      <w:pPr>
        <w:pStyle w:val="a3"/>
        <w:spacing w:before="4" w:line="269" w:lineRule="auto"/>
        <w:rPr>
          <w:rFonts w:ascii="Arial"/>
          <w:b/>
          <w:sz w:val="14"/>
          <w:lang w:val="uk-UA"/>
        </w:rPr>
      </w:pPr>
      <w:r w:rsidRPr="003C6DAE">
        <w:rPr>
          <w:rFonts w:ascii="Arial"/>
          <w:b/>
          <w:noProof/>
          <w:sz w:val="14"/>
          <w:lang w:val="uk-UA"/>
        </w:rPr>
        <mc:AlternateContent>
          <mc:Choice Requires="wpg">
            <w:drawing>
              <wp:anchor distT="0" distB="0" distL="0" distR="0" simplePos="0" relativeHeight="487637504" behindDoc="1" locked="0" layoutInCell="1" allowOverlap="1" wp14:anchorId="508563F1" wp14:editId="57221DA0">
                <wp:simplePos x="0" y="0"/>
                <wp:positionH relativeFrom="margin">
                  <wp:align>right</wp:align>
                </wp:positionH>
                <wp:positionV relativeFrom="paragraph">
                  <wp:posOffset>117475</wp:posOffset>
                </wp:positionV>
                <wp:extent cx="6019800" cy="215900"/>
                <wp:effectExtent l="0" t="0" r="1905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215900"/>
                          <a:chOff x="0" y="0"/>
                          <a:chExt cx="5760085" cy="250190"/>
                        </a:xfrm>
                      </wpg:grpSpPr>
                      <wps:wsp>
                        <wps:cNvPr id="124" name="Graphic 124"/>
                        <wps:cNvSpPr/>
                        <wps:spPr>
                          <a:xfrm>
                            <a:off x="0" y="4762"/>
                            <a:ext cx="5760085" cy="1270"/>
                          </a:xfrm>
                          <a:custGeom>
                            <a:avLst/>
                            <a:gdLst/>
                            <a:ahLst/>
                            <a:cxnLst/>
                            <a:rect l="l" t="t" r="r" b="b"/>
                            <a:pathLst>
                              <a:path w="5760085">
                                <a:moveTo>
                                  <a:pt x="0" y="0"/>
                                </a:moveTo>
                                <a:lnTo>
                                  <a:pt x="5759996" y="0"/>
                                </a:lnTo>
                              </a:path>
                            </a:pathLst>
                          </a:custGeom>
                          <a:ln w="9525">
                            <a:solidFill>
                              <a:srgbClr val="019648"/>
                            </a:solidFill>
                            <a:prstDash val="solid"/>
                          </a:ln>
                        </wps:spPr>
                        <wps:bodyPr wrap="square" lIns="0" tIns="0" rIns="0" bIns="0" rtlCol="0">
                          <a:prstTxWarp prst="textNoShape">
                            <a:avLst/>
                          </a:prstTxWarp>
                          <a:noAutofit/>
                        </wps:bodyPr>
                      </wps:wsp>
                      <wps:wsp>
                        <wps:cNvPr id="125" name="Graphic 125"/>
                        <wps:cNvSpPr/>
                        <wps:spPr>
                          <a:xfrm>
                            <a:off x="5244458" y="4403"/>
                            <a:ext cx="515620" cy="245745"/>
                          </a:xfrm>
                          <a:custGeom>
                            <a:avLst/>
                            <a:gdLst/>
                            <a:ahLst/>
                            <a:cxnLst/>
                            <a:rect l="l" t="t" r="r" b="b"/>
                            <a:pathLst>
                              <a:path w="515620" h="245745">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a:prstTxWarp prst="textNoShape">
                            <a:avLst/>
                          </a:prstTxWarp>
                          <a:noAutofit/>
                        </wps:bodyPr>
                      </wps:wsp>
                      <wps:wsp>
                        <wps:cNvPr id="126" name="Textbox 126"/>
                        <wps:cNvSpPr txBox="1"/>
                        <wps:spPr>
                          <a:xfrm>
                            <a:off x="0" y="0"/>
                            <a:ext cx="5760085" cy="250190"/>
                          </a:xfrm>
                          <a:prstGeom prst="rect">
                            <a:avLst/>
                          </a:prstGeom>
                        </wps:spPr>
                        <wps:txbx>
                          <w:txbxContent>
                            <w:p w14:paraId="722097CF" w14:textId="03794D91" w:rsidR="007372B2" w:rsidRPr="00956944" w:rsidRDefault="007372B2">
                              <w:pPr>
                                <w:spacing w:before="96"/>
                                <w:ind w:right="172"/>
                                <w:jc w:val="right"/>
                                <w:rPr>
                                  <w:sz w:val="20"/>
                                  <w:lang w:val="uk-UA"/>
                                </w:rPr>
                              </w:pPr>
                              <w:r>
                                <w:rPr>
                                  <w:color w:val="FFFFFF"/>
                                  <w:spacing w:val="-5"/>
                                  <w:sz w:val="20"/>
                                  <w:lang w:val="uk-UA"/>
                                </w:rPr>
                                <w:t>НОВА</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8563F1" id="Group 123" o:spid="_x0000_s1046" style="position:absolute;margin-left:422.8pt;margin-top:9.25pt;width:474pt;height:17pt;z-index:-15678976;mso-wrap-distance-left:0;mso-wrap-distance-right:0;mso-position-horizontal:right;mso-position-horizontal-relative:margin;mso-width-relative:margin;mso-height-relative:margin" coordsize="57600,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">
                <v:shape id="Graphic 124" o:spid="_x0000_s1047" style="position:absolute;top:47;width:57600;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" path="m,l5759996,e" filled="f" strokecolor="#019648">
                  <v:path arrowok="t"/>
                </v:shape>
                <v:shape id="Graphic 125" o:spid="_x0000_s1048" style="position:absolute;left:52444;top:44;width:5156;height:2457;visibility:visible;mso-wrap-style:square;v-text-anchor:top" coordsize="51562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" path="m515543,l,,,122796r9650,47797l35966,209626r39032,26316l122796,245592r269951,l440545,235942r39032,-26316l505893,170593r9650,-47797l515543,xe" fillcolor="#0c8140" stroked="f">
                  <v:path arrowok="t"/>
                </v:shape>
                <v:shape id="Textbox 126" o:spid="_x0000_s1049" type="#_x0000_t202" style="position:absolute;width:57600;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22097CF" w14:textId="03794D91" w:rsidR="007372B2" w:rsidRPr="00956944" w:rsidRDefault="007372B2">
                        <w:pPr>
                          <w:spacing w:before="96"/>
                          <w:ind w:right="172"/>
                          <w:jc w:val="right"/>
                          <w:rPr>
                            <w:sz w:val="20"/>
                            <w:lang w:val="uk-UA"/>
                          </w:rPr>
                        </w:pPr>
                        <w:r>
                          <w:rPr>
                            <w:color w:val="FFFFFF"/>
                            <w:spacing w:val="-5"/>
                            <w:sz w:val="20"/>
                            <w:lang w:val="uk-UA"/>
                          </w:rPr>
                          <w:t>НОВА</w:t>
                        </w:r>
                      </w:p>
                    </w:txbxContent>
                  </v:textbox>
                </v:shape>
                <w10:wrap type="topAndBottom" anchorx="margin"/>
              </v:group>
            </w:pict>
          </mc:Fallback>
        </mc:AlternateContent>
      </w:r>
    </w:p>
    <w:p w14:paraId="412C7B7D" w14:textId="016BF0BA" w:rsidR="00E05B98" w:rsidRPr="003C6DAE" w:rsidRDefault="00956944" w:rsidP="004A2937">
      <w:pPr>
        <w:pStyle w:val="a4"/>
        <w:numPr>
          <w:ilvl w:val="0"/>
          <w:numId w:val="32"/>
        </w:numPr>
        <w:tabs>
          <w:tab w:val="left" w:pos="1077"/>
        </w:tabs>
        <w:spacing w:before="40" w:line="269" w:lineRule="auto"/>
        <w:rPr>
          <w:sz w:val="20"/>
          <w:szCs w:val="20"/>
          <w:lang w:val="uk-UA"/>
        </w:rPr>
      </w:pPr>
      <w:r w:rsidRPr="003C6DAE">
        <w:rPr>
          <w:sz w:val="20"/>
          <w:szCs w:val="20"/>
          <w:lang w:val="uk-UA"/>
        </w:rPr>
        <w:t>Для дорослих і підлітків з ознаками чи симптомами ТБ або з позитивним результатом скринінгу</w:t>
      </w:r>
      <w:r w:rsidRPr="003C6DAE">
        <w:rPr>
          <w:sz w:val="20"/>
          <w:szCs w:val="20"/>
          <w:vertAlign w:val="superscript"/>
          <w:lang w:val="uk-UA"/>
        </w:rPr>
        <w:t>1</w:t>
      </w:r>
      <w:r w:rsidRPr="003C6DAE">
        <w:rPr>
          <w:sz w:val="20"/>
          <w:szCs w:val="20"/>
          <w:lang w:val="uk-UA"/>
        </w:rPr>
        <w:t xml:space="preserve"> на ТБ </w:t>
      </w:r>
      <w:r w:rsidR="00DE0080">
        <w:rPr>
          <w:sz w:val="20"/>
          <w:szCs w:val="20"/>
          <w:lang w:val="uk-UA"/>
        </w:rPr>
        <w:t>л</w:t>
      </w:r>
      <w:r w:rsidR="005636E1">
        <w:rPr>
          <w:sz w:val="20"/>
          <w:szCs w:val="20"/>
          <w:lang w:val="uk-UA"/>
        </w:rPr>
        <w:t xml:space="preserve">егень </w:t>
      </w:r>
      <w:r w:rsidRPr="003C6DAE">
        <w:rPr>
          <w:sz w:val="20"/>
          <w:szCs w:val="20"/>
          <w:lang w:val="uk-UA"/>
        </w:rPr>
        <w:t xml:space="preserve">слід використовувати </w:t>
      </w:r>
      <w:r w:rsidRPr="003C6DAE">
        <w:rPr>
          <w:b/>
          <w:bCs/>
          <w:sz w:val="20"/>
          <w:szCs w:val="20"/>
          <w:lang w:val="uk-UA"/>
        </w:rPr>
        <w:t>автоматизовані</w:t>
      </w:r>
      <w:r w:rsidRPr="003C6DAE">
        <w:rPr>
          <w:sz w:val="20"/>
          <w:szCs w:val="20"/>
          <w:lang w:val="uk-UA"/>
        </w:rPr>
        <w:t xml:space="preserve"> ТАНК низької складності для дослідження зразків з дихальних шляхів в якості тесту </w:t>
      </w:r>
      <w:r w:rsidR="00B40441">
        <w:rPr>
          <w:sz w:val="20"/>
          <w:szCs w:val="20"/>
          <w:lang w:val="uk-UA"/>
        </w:rPr>
        <w:t>для первинної діагностики</w:t>
      </w:r>
      <w:r w:rsidRPr="003C6DAE">
        <w:rPr>
          <w:sz w:val="20"/>
          <w:szCs w:val="20"/>
          <w:lang w:val="uk-UA"/>
        </w:rPr>
        <w:t xml:space="preserve"> ТБ, а не мікроскопію мазка або </w:t>
      </w:r>
      <w:r w:rsidR="00E75E29" w:rsidRPr="003C6DAE">
        <w:rPr>
          <w:sz w:val="20"/>
          <w:szCs w:val="20"/>
          <w:lang w:val="uk-UA"/>
        </w:rPr>
        <w:t>бакпосів</w:t>
      </w:r>
      <w:r w:rsidRPr="003C6DAE">
        <w:rPr>
          <w:sz w:val="20"/>
          <w:szCs w:val="20"/>
          <w:lang w:val="uk-UA"/>
        </w:rPr>
        <w:t>.</w:t>
      </w:r>
    </w:p>
    <w:p w14:paraId="628A3EB4" w14:textId="55176E24" w:rsidR="00E05B98" w:rsidRPr="003C6DAE" w:rsidRDefault="00B01E0C" w:rsidP="00E75E29">
      <w:pPr>
        <w:spacing w:before="81" w:line="269" w:lineRule="auto"/>
        <w:ind w:left="1077"/>
        <w:rPr>
          <w:rFonts w:ascii="Arial"/>
          <w:i/>
          <w:sz w:val="20"/>
          <w:szCs w:val="20"/>
          <w:lang w:val="uk-UA"/>
        </w:rPr>
      </w:pPr>
      <w:r w:rsidRPr="003C6DAE">
        <w:rPr>
          <w:rFonts w:ascii="Arial"/>
          <w:i/>
          <w:noProof/>
          <w:sz w:val="20"/>
          <w:szCs w:val="20"/>
          <w:lang w:val="uk-UA"/>
        </w:rPr>
        <mc:AlternateContent>
          <mc:Choice Requires="wpg">
            <w:drawing>
              <wp:anchor distT="0" distB="0" distL="0" distR="0" simplePos="0" relativeHeight="487638016" behindDoc="1" locked="0" layoutInCell="1" allowOverlap="1" wp14:anchorId="524FADC1" wp14:editId="52D7640B">
                <wp:simplePos x="0" y="0"/>
                <wp:positionH relativeFrom="page">
                  <wp:posOffset>901700</wp:posOffset>
                </wp:positionH>
                <wp:positionV relativeFrom="paragraph">
                  <wp:posOffset>250190</wp:posOffset>
                </wp:positionV>
                <wp:extent cx="6051550" cy="215900"/>
                <wp:effectExtent l="0" t="0" r="2540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1550" cy="215900"/>
                          <a:chOff x="0" y="0"/>
                          <a:chExt cx="5760085" cy="246379"/>
                        </a:xfrm>
                      </wpg:grpSpPr>
                      <wps:wsp>
                        <wps:cNvPr id="128" name="Graphic 128"/>
                        <wps:cNvSpPr/>
                        <wps:spPr>
                          <a:xfrm>
                            <a:off x="0" y="4762"/>
                            <a:ext cx="5760085" cy="1270"/>
                          </a:xfrm>
                          <a:custGeom>
                            <a:avLst/>
                            <a:gdLst/>
                            <a:ahLst/>
                            <a:cxnLst/>
                            <a:rect l="l" t="t" r="r" b="b"/>
                            <a:pathLst>
                              <a:path w="5760085">
                                <a:moveTo>
                                  <a:pt x="0" y="0"/>
                                </a:moveTo>
                                <a:lnTo>
                                  <a:pt x="5759996" y="0"/>
                                </a:lnTo>
                              </a:path>
                            </a:pathLst>
                          </a:custGeom>
                          <a:ln w="9525">
                            <a:solidFill>
                              <a:srgbClr val="019648"/>
                            </a:solidFill>
                            <a:prstDash val="solid"/>
                          </a:ln>
                        </wps:spPr>
                        <wps:bodyPr wrap="square" lIns="0" tIns="0" rIns="0" bIns="0" rtlCol="0">
                          <a:prstTxWarp prst="textNoShape">
                            <a:avLst/>
                          </a:prstTxWarp>
                          <a:noAutofit/>
                        </wps:bodyPr>
                      </wps:wsp>
                      <wps:wsp>
                        <wps:cNvPr id="129" name="Graphic 129"/>
                        <wps:cNvSpPr/>
                        <wps:spPr>
                          <a:xfrm>
                            <a:off x="5244458" y="664"/>
                            <a:ext cx="515620" cy="245745"/>
                          </a:xfrm>
                          <a:custGeom>
                            <a:avLst/>
                            <a:gdLst/>
                            <a:ahLst/>
                            <a:cxnLst/>
                            <a:rect l="l" t="t" r="r" b="b"/>
                            <a:pathLst>
                              <a:path w="515620" h="245745">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a:prstTxWarp prst="textNoShape">
                            <a:avLst/>
                          </a:prstTxWarp>
                          <a:noAutofit/>
                        </wps:bodyPr>
                      </wps:wsp>
                      <wps:wsp>
                        <wps:cNvPr id="130" name="Textbox 130"/>
                        <wps:cNvSpPr txBox="1"/>
                        <wps:spPr>
                          <a:xfrm>
                            <a:off x="0" y="0"/>
                            <a:ext cx="5760085" cy="246379"/>
                          </a:xfrm>
                          <a:prstGeom prst="rect">
                            <a:avLst/>
                          </a:prstGeom>
                        </wps:spPr>
                        <wps:txbx>
                          <w:txbxContent>
                            <w:p w14:paraId="539107B4" w14:textId="5941FFFC" w:rsidR="007372B2" w:rsidRPr="0041509F" w:rsidRDefault="007372B2">
                              <w:pPr>
                                <w:spacing w:before="90"/>
                                <w:ind w:right="172"/>
                                <w:jc w:val="right"/>
                                <w:rPr>
                                  <w:sz w:val="20"/>
                                  <w:lang w:val="uk-UA"/>
                                </w:rPr>
                              </w:pPr>
                              <w:r>
                                <w:rPr>
                                  <w:color w:val="FFFFFF"/>
                                  <w:spacing w:val="-5"/>
                                  <w:sz w:val="20"/>
                                  <w:lang w:val="uk-UA"/>
                                </w:rPr>
                                <w:t>НОВА</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4FADC1" id="Group 127" o:spid="_x0000_s1050" style="position:absolute;left:0;text-align:left;margin-left:71pt;margin-top:19.7pt;width:476.5pt;height:17pt;z-index:-15678464;mso-wrap-distance-left:0;mso-wrap-distance-right:0;mso-position-horizontal-relative:page;mso-width-relative:margin;mso-height-relative:margin" coordsize="57600,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">
                <v:shape id="Graphic 128" o:spid="_x0000_s1051" style="position:absolute;top:47;width:57600;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" path="m,l5759996,e" filled="f" strokecolor="#019648">
                  <v:path arrowok="t"/>
                </v:shape>
                <v:shape id="Graphic 129" o:spid="_x0000_s1052" style="position:absolute;left:52444;top:6;width:5156;height:2458;visibility:visible;mso-wrap-style:square;v-text-anchor:top" coordsize="51562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" path="m515543,l,,,122796r9650,47797l35966,209626r39032,26316l122796,245592r269951,l440545,235942r39032,-26316l505893,170593r9650,-47797l515543,xe" fillcolor="#0c8140" stroked="f">
                  <v:path arrowok="t"/>
                </v:shape>
                <v:shape id="Textbox 130" o:spid="_x0000_s1053" type="#_x0000_t202" style="position:absolute;width:5760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539107B4" w14:textId="5941FFFC" w:rsidR="007372B2" w:rsidRPr="0041509F" w:rsidRDefault="007372B2">
                        <w:pPr>
                          <w:spacing w:before="90"/>
                          <w:ind w:right="172"/>
                          <w:jc w:val="right"/>
                          <w:rPr>
                            <w:sz w:val="20"/>
                            <w:lang w:val="uk-UA"/>
                          </w:rPr>
                        </w:pPr>
                        <w:r>
                          <w:rPr>
                            <w:color w:val="FFFFFF"/>
                            <w:spacing w:val="-5"/>
                            <w:sz w:val="20"/>
                            <w:lang w:val="uk-UA"/>
                          </w:rPr>
                          <w:t>НОВА</w:t>
                        </w:r>
                      </w:p>
                    </w:txbxContent>
                  </v:textbox>
                </v:shape>
                <w10:wrap type="topAndBottom" anchorx="page"/>
              </v:group>
            </w:pict>
          </mc:Fallback>
        </mc:AlternateContent>
      </w:r>
      <w:r w:rsidRPr="003C6DAE">
        <w:rPr>
          <w:rFonts w:ascii="Arial"/>
          <w:i/>
          <w:sz w:val="20"/>
          <w:szCs w:val="20"/>
          <w:lang w:val="uk-UA"/>
        </w:rPr>
        <w:t>(</w:t>
      </w:r>
      <w:r w:rsidR="00956944" w:rsidRPr="003C6DAE">
        <w:rPr>
          <w:rFonts w:ascii="Arial"/>
          <w:i/>
          <w:sz w:val="20"/>
          <w:szCs w:val="20"/>
          <w:lang w:val="uk-UA"/>
        </w:rPr>
        <w:t>Настійна</w:t>
      </w:r>
      <w:r w:rsidR="00956944" w:rsidRPr="003C6DAE">
        <w:rPr>
          <w:rFonts w:ascii="Arial"/>
          <w:i/>
          <w:sz w:val="20"/>
          <w:szCs w:val="20"/>
          <w:lang w:val="uk-UA"/>
        </w:rPr>
        <w:t xml:space="preserve"> </w:t>
      </w:r>
      <w:r w:rsidR="00956944" w:rsidRPr="003C6DAE">
        <w:rPr>
          <w:rFonts w:ascii="Arial"/>
          <w:i/>
          <w:sz w:val="20"/>
          <w:szCs w:val="20"/>
          <w:lang w:val="uk-UA"/>
        </w:rPr>
        <w:t>рекомендація</w:t>
      </w:r>
      <w:r w:rsidRPr="003C6DAE">
        <w:rPr>
          <w:rFonts w:ascii="Arial"/>
          <w:i/>
          <w:sz w:val="20"/>
          <w:szCs w:val="20"/>
          <w:lang w:val="uk-UA"/>
        </w:rPr>
        <w:t>,</w:t>
      </w:r>
      <w:r w:rsidRPr="003C6DAE">
        <w:rPr>
          <w:rFonts w:ascii="Arial"/>
          <w:i/>
          <w:spacing w:val="-2"/>
          <w:sz w:val="20"/>
          <w:szCs w:val="20"/>
          <w:lang w:val="uk-UA"/>
        </w:rPr>
        <w:t xml:space="preserve"> </w:t>
      </w:r>
      <w:r w:rsidR="00956944" w:rsidRPr="003C6DAE">
        <w:rPr>
          <w:rFonts w:ascii="Arial"/>
          <w:i/>
          <w:sz w:val="20"/>
          <w:szCs w:val="20"/>
          <w:lang w:val="uk-UA"/>
        </w:rPr>
        <w:t>висока</w:t>
      </w:r>
      <w:r w:rsidR="00956944" w:rsidRPr="003C6DAE">
        <w:rPr>
          <w:rFonts w:ascii="Arial"/>
          <w:i/>
          <w:sz w:val="20"/>
          <w:szCs w:val="20"/>
          <w:lang w:val="uk-UA"/>
        </w:rPr>
        <w:t xml:space="preserve"> </w:t>
      </w:r>
      <w:r w:rsidR="00956944" w:rsidRPr="003C6DAE">
        <w:rPr>
          <w:rFonts w:ascii="Arial"/>
          <w:i/>
          <w:sz w:val="20"/>
          <w:szCs w:val="20"/>
          <w:lang w:val="uk-UA"/>
        </w:rPr>
        <w:t>достовірність</w:t>
      </w:r>
      <w:r w:rsidR="00956944" w:rsidRPr="003C6DAE">
        <w:rPr>
          <w:rFonts w:ascii="Arial"/>
          <w:i/>
          <w:sz w:val="20"/>
          <w:szCs w:val="20"/>
          <w:lang w:val="uk-UA"/>
        </w:rPr>
        <w:t xml:space="preserve"> </w:t>
      </w:r>
      <w:r w:rsidR="00956944" w:rsidRPr="003C6DAE">
        <w:rPr>
          <w:rFonts w:ascii="Arial"/>
          <w:i/>
          <w:sz w:val="20"/>
          <w:szCs w:val="20"/>
          <w:lang w:val="uk-UA"/>
        </w:rPr>
        <w:t>доказів</w:t>
      </w:r>
      <w:r w:rsidRPr="003C6DAE">
        <w:rPr>
          <w:rFonts w:ascii="Arial"/>
          <w:i/>
          <w:spacing w:val="-2"/>
          <w:sz w:val="20"/>
          <w:szCs w:val="20"/>
          <w:lang w:val="uk-UA"/>
        </w:rPr>
        <w:t>)</w:t>
      </w:r>
    </w:p>
    <w:p w14:paraId="6C94667D" w14:textId="3A6AF9F1" w:rsidR="00E05B98" w:rsidRPr="003C6DAE" w:rsidRDefault="0041509F" w:rsidP="004A2937">
      <w:pPr>
        <w:pStyle w:val="a4"/>
        <w:numPr>
          <w:ilvl w:val="0"/>
          <w:numId w:val="32"/>
        </w:numPr>
        <w:tabs>
          <w:tab w:val="left" w:pos="1077"/>
        </w:tabs>
        <w:spacing w:before="43" w:line="269" w:lineRule="auto"/>
        <w:rPr>
          <w:sz w:val="20"/>
          <w:szCs w:val="20"/>
          <w:lang w:val="uk-UA"/>
        </w:rPr>
      </w:pPr>
      <w:r w:rsidRPr="003C6DAE">
        <w:rPr>
          <w:sz w:val="20"/>
          <w:szCs w:val="20"/>
          <w:lang w:val="uk-UA"/>
        </w:rPr>
        <w:t>Для людей з бактеріологічно підтвердженим туберкульозом</w:t>
      </w:r>
      <w:r w:rsidRPr="003C6DAE">
        <w:rPr>
          <w:sz w:val="20"/>
          <w:szCs w:val="20"/>
          <w:vertAlign w:val="superscript"/>
          <w:lang w:val="uk-UA"/>
        </w:rPr>
        <w:t>2</w:t>
      </w:r>
      <w:r w:rsidRPr="003C6DAE">
        <w:rPr>
          <w:sz w:val="20"/>
          <w:szCs w:val="20"/>
          <w:lang w:val="uk-UA"/>
        </w:rPr>
        <w:t xml:space="preserve"> слід використовувати </w:t>
      </w:r>
      <w:r w:rsidRPr="00DE0080">
        <w:rPr>
          <w:b/>
          <w:bCs/>
          <w:sz w:val="20"/>
          <w:szCs w:val="20"/>
          <w:lang w:val="uk-UA"/>
        </w:rPr>
        <w:t>автоматизовані</w:t>
      </w:r>
      <w:r w:rsidRPr="003C6DAE">
        <w:rPr>
          <w:sz w:val="20"/>
          <w:szCs w:val="20"/>
          <w:lang w:val="uk-UA"/>
        </w:rPr>
        <w:t xml:space="preserve"> </w:t>
      </w:r>
      <w:r w:rsidR="008B7FC9" w:rsidRPr="003C6DAE">
        <w:rPr>
          <w:sz w:val="20"/>
          <w:szCs w:val="20"/>
          <w:lang w:val="uk-UA"/>
        </w:rPr>
        <w:t>ТАНК</w:t>
      </w:r>
      <w:r w:rsidRPr="003C6DAE">
        <w:rPr>
          <w:sz w:val="20"/>
          <w:szCs w:val="20"/>
          <w:lang w:val="uk-UA"/>
        </w:rPr>
        <w:t xml:space="preserve"> низької складності для зразків </w:t>
      </w:r>
      <w:r w:rsidR="00DE0080">
        <w:rPr>
          <w:sz w:val="20"/>
          <w:szCs w:val="20"/>
          <w:lang w:val="uk-UA"/>
        </w:rPr>
        <w:t>з дихальних шляхів у</w:t>
      </w:r>
      <w:r w:rsidRPr="003C6DAE">
        <w:rPr>
          <w:sz w:val="20"/>
          <w:szCs w:val="20"/>
          <w:lang w:val="uk-UA"/>
        </w:rPr>
        <w:t xml:space="preserve"> якості початкових тестів для виявлення резистентності до рифампіцину, а не ТМЧ на основі дослідження культури.</w:t>
      </w:r>
    </w:p>
    <w:p w14:paraId="142CC738" w14:textId="6DD40DC0" w:rsidR="00E05B98" w:rsidRPr="003C6DAE" w:rsidRDefault="00B01E0C" w:rsidP="00E75E29">
      <w:pPr>
        <w:spacing w:before="84" w:line="269" w:lineRule="auto"/>
        <w:ind w:left="1077"/>
        <w:rPr>
          <w:rFonts w:ascii="Arial"/>
          <w:i/>
          <w:sz w:val="20"/>
          <w:szCs w:val="20"/>
          <w:lang w:val="uk-UA"/>
        </w:rPr>
      </w:pPr>
      <w:r w:rsidRPr="003C6DAE">
        <w:rPr>
          <w:rFonts w:ascii="Arial"/>
          <w:i/>
          <w:noProof/>
          <w:sz w:val="20"/>
          <w:szCs w:val="20"/>
          <w:lang w:val="uk-UA"/>
        </w:rPr>
        <mc:AlternateContent>
          <mc:Choice Requires="wpg">
            <w:drawing>
              <wp:anchor distT="0" distB="0" distL="0" distR="0" simplePos="0" relativeHeight="487638528" behindDoc="1" locked="0" layoutInCell="1" allowOverlap="1" wp14:anchorId="35D4E66E" wp14:editId="2C25E525">
                <wp:simplePos x="0" y="0"/>
                <wp:positionH relativeFrom="margin">
                  <wp:posOffset>355600</wp:posOffset>
                </wp:positionH>
                <wp:positionV relativeFrom="paragraph">
                  <wp:posOffset>254635</wp:posOffset>
                </wp:positionV>
                <wp:extent cx="6057900" cy="209550"/>
                <wp:effectExtent l="0" t="0" r="1905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209550"/>
                          <a:chOff x="0" y="0"/>
                          <a:chExt cx="5760085" cy="247650"/>
                        </a:xfrm>
                      </wpg:grpSpPr>
                      <wps:wsp>
                        <wps:cNvPr id="132" name="Graphic 132"/>
                        <wps:cNvSpPr/>
                        <wps:spPr>
                          <a:xfrm>
                            <a:off x="0" y="4762"/>
                            <a:ext cx="5760085" cy="1270"/>
                          </a:xfrm>
                          <a:custGeom>
                            <a:avLst/>
                            <a:gdLst/>
                            <a:ahLst/>
                            <a:cxnLst/>
                            <a:rect l="l" t="t" r="r" b="b"/>
                            <a:pathLst>
                              <a:path w="5760085">
                                <a:moveTo>
                                  <a:pt x="0" y="0"/>
                                </a:moveTo>
                                <a:lnTo>
                                  <a:pt x="5759996" y="0"/>
                                </a:lnTo>
                              </a:path>
                            </a:pathLst>
                          </a:custGeom>
                          <a:ln w="9525">
                            <a:solidFill>
                              <a:srgbClr val="019648"/>
                            </a:solidFill>
                            <a:prstDash val="solid"/>
                          </a:ln>
                        </wps:spPr>
                        <wps:bodyPr wrap="square" lIns="0" tIns="0" rIns="0" bIns="0" rtlCol="0">
                          <a:prstTxWarp prst="textNoShape">
                            <a:avLst/>
                          </a:prstTxWarp>
                          <a:noAutofit/>
                        </wps:bodyPr>
                      </wps:wsp>
                      <wps:wsp>
                        <wps:cNvPr id="133" name="Graphic 133"/>
                        <wps:cNvSpPr/>
                        <wps:spPr>
                          <a:xfrm>
                            <a:off x="5244458" y="2006"/>
                            <a:ext cx="515620" cy="245745"/>
                          </a:xfrm>
                          <a:custGeom>
                            <a:avLst/>
                            <a:gdLst/>
                            <a:ahLst/>
                            <a:cxnLst/>
                            <a:rect l="l" t="t" r="r" b="b"/>
                            <a:pathLst>
                              <a:path w="515620" h="245745">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a:prstTxWarp prst="textNoShape">
                            <a:avLst/>
                          </a:prstTxWarp>
                          <a:noAutofit/>
                        </wps:bodyPr>
                      </wps:wsp>
                      <wps:wsp>
                        <wps:cNvPr id="134" name="Textbox 134"/>
                        <wps:cNvSpPr txBox="1"/>
                        <wps:spPr>
                          <a:xfrm>
                            <a:off x="0" y="0"/>
                            <a:ext cx="5760085" cy="247650"/>
                          </a:xfrm>
                          <a:prstGeom prst="rect">
                            <a:avLst/>
                          </a:prstGeom>
                        </wps:spPr>
                        <wps:txbx>
                          <w:txbxContent>
                            <w:p w14:paraId="4AF42314" w14:textId="46E5F119" w:rsidR="007372B2" w:rsidRPr="0041509F" w:rsidRDefault="007372B2">
                              <w:pPr>
                                <w:spacing w:before="92"/>
                                <w:ind w:right="172"/>
                                <w:jc w:val="right"/>
                                <w:rPr>
                                  <w:sz w:val="20"/>
                                  <w:lang w:val="uk-UA"/>
                                </w:rPr>
                              </w:pPr>
                              <w:r>
                                <w:rPr>
                                  <w:color w:val="FFFFFF"/>
                                  <w:spacing w:val="-5"/>
                                  <w:sz w:val="20"/>
                                  <w:lang w:val="uk-UA"/>
                                </w:rPr>
                                <w:t>НОВА</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5D4E66E" id="Group 131" o:spid="_x0000_s1054" style="position:absolute;left:0;text-align:left;margin-left:28pt;margin-top:20.05pt;width:477pt;height:16.5pt;z-index:-15677952;mso-wrap-distance-left:0;mso-wrap-distance-right:0;mso-position-horizontal-relative:margin;mso-width-relative:margin;mso-height-relative:margin" coordsize="57600,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">
                <v:shape id="Graphic 132" o:spid="_x0000_s1055" style="position:absolute;top:47;width:57600;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" path="m,l5759996,e" filled="f" strokecolor="#019648">
                  <v:path arrowok="t"/>
                </v:shape>
                <v:shape id="Graphic 133" o:spid="_x0000_s1056" style="position:absolute;left:52444;top:20;width:5156;height:2457;visibility:visible;mso-wrap-style:square;v-text-anchor:top" coordsize="51562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" path="m515543,l,,,122796r9650,47797l35966,209626r39032,26316l122796,245592r269951,l440545,235942r39032,-26316l505893,170593r9650,-47797l515543,xe" fillcolor="#0c8140" stroked="f">
                  <v:path arrowok="t"/>
                </v:shape>
                <v:shape id="Textbox 134" o:spid="_x0000_s1057" type="#_x0000_t202" style="position:absolute;width:5760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4AF42314" w14:textId="46E5F119" w:rsidR="007372B2" w:rsidRPr="0041509F" w:rsidRDefault="007372B2">
                        <w:pPr>
                          <w:spacing w:before="92"/>
                          <w:ind w:right="172"/>
                          <w:jc w:val="right"/>
                          <w:rPr>
                            <w:sz w:val="20"/>
                            <w:lang w:val="uk-UA"/>
                          </w:rPr>
                        </w:pPr>
                        <w:r>
                          <w:rPr>
                            <w:color w:val="FFFFFF"/>
                            <w:spacing w:val="-5"/>
                            <w:sz w:val="20"/>
                            <w:lang w:val="uk-UA"/>
                          </w:rPr>
                          <w:t>НОВА</w:t>
                        </w:r>
                      </w:p>
                    </w:txbxContent>
                  </v:textbox>
                </v:shape>
                <w10:wrap type="topAndBottom" anchorx="margin"/>
              </v:group>
            </w:pict>
          </mc:Fallback>
        </mc:AlternateContent>
      </w:r>
      <w:r w:rsidRPr="003C6DAE">
        <w:rPr>
          <w:rFonts w:ascii="Arial"/>
          <w:i/>
          <w:sz w:val="20"/>
          <w:szCs w:val="20"/>
          <w:lang w:val="uk-UA"/>
        </w:rPr>
        <w:t>(</w:t>
      </w:r>
      <w:r w:rsidR="0041509F" w:rsidRPr="003C6DAE">
        <w:rPr>
          <w:rFonts w:ascii="Arial"/>
          <w:i/>
          <w:sz w:val="20"/>
          <w:szCs w:val="20"/>
          <w:lang w:val="uk-UA"/>
        </w:rPr>
        <w:t xml:space="preserve"> </w:t>
      </w:r>
      <w:r w:rsidR="0041509F" w:rsidRPr="003C6DAE">
        <w:rPr>
          <w:rFonts w:ascii="Arial"/>
          <w:i/>
          <w:sz w:val="20"/>
          <w:szCs w:val="20"/>
          <w:lang w:val="uk-UA"/>
        </w:rPr>
        <w:t>Настійна</w:t>
      </w:r>
      <w:r w:rsidR="0041509F" w:rsidRPr="003C6DAE">
        <w:rPr>
          <w:rFonts w:ascii="Arial"/>
          <w:i/>
          <w:sz w:val="20"/>
          <w:szCs w:val="20"/>
          <w:lang w:val="uk-UA"/>
        </w:rPr>
        <w:t xml:space="preserve"> </w:t>
      </w:r>
      <w:r w:rsidR="0041509F" w:rsidRPr="003C6DAE">
        <w:rPr>
          <w:rFonts w:ascii="Arial"/>
          <w:i/>
          <w:sz w:val="20"/>
          <w:szCs w:val="20"/>
          <w:lang w:val="uk-UA"/>
        </w:rPr>
        <w:t>рекомендація</w:t>
      </w:r>
      <w:r w:rsidR="0041509F" w:rsidRPr="003C6DAE">
        <w:rPr>
          <w:rFonts w:ascii="Arial"/>
          <w:i/>
          <w:sz w:val="20"/>
          <w:szCs w:val="20"/>
          <w:lang w:val="uk-UA"/>
        </w:rPr>
        <w:t>,</w:t>
      </w:r>
      <w:r w:rsidR="0041509F" w:rsidRPr="003C6DAE">
        <w:rPr>
          <w:rFonts w:ascii="Arial"/>
          <w:i/>
          <w:spacing w:val="-2"/>
          <w:sz w:val="20"/>
          <w:szCs w:val="20"/>
          <w:lang w:val="uk-UA"/>
        </w:rPr>
        <w:t xml:space="preserve"> </w:t>
      </w:r>
      <w:r w:rsidR="0041509F" w:rsidRPr="003C6DAE">
        <w:rPr>
          <w:rFonts w:ascii="Arial"/>
          <w:i/>
          <w:sz w:val="20"/>
          <w:szCs w:val="20"/>
          <w:lang w:val="uk-UA"/>
        </w:rPr>
        <w:t>висок</w:t>
      </w:r>
      <w:r w:rsidR="008B7FC9" w:rsidRPr="003C6DAE">
        <w:rPr>
          <w:rFonts w:ascii="Arial"/>
          <w:i/>
          <w:sz w:val="20"/>
          <w:szCs w:val="20"/>
          <w:lang w:val="uk-UA"/>
        </w:rPr>
        <w:t>ий</w:t>
      </w:r>
      <w:r w:rsidR="008B7FC9" w:rsidRPr="003C6DAE">
        <w:rPr>
          <w:rFonts w:ascii="Arial"/>
          <w:i/>
          <w:sz w:val="20"/>
          <w:szCs w:val="20"/>
          <w:lang w:val="uk-UA"/>
        </w:rPr>
        <w:t xml:space="preserve"> </w:t>
      </w:r>
      <w:r w:rsidR="008B7FC9" w:rsidRPr="003C6DAE">
        <w:rPr>
          <w:rFonts w:ascii="Arial"/>
          <w:i/>
          <w:sz w:val="20"/>
          <w:szCs w:val="20"/>
          <w:lang w:val="uk-UA"/>
        </w:rPr>
        <w:t>ступінь</w:t>
      </w:r>
      <w:r w:rsidR="0041509F" w:rsidRPr="003C6DAE">
        <w:rPr>
          <w:rFonts w:ascii="Arial"/>
          <w:i/>
          <w:sz w:val="20"/>
          <w:szCs w:val="20"/>
          <w:lang w:val="uk-UA"/>
        </w:rPr>
        <w:t xml:space="preserve"> </w:t>
      </w:r>
      <w:r w:rsidR="0041509F" w:rsidRPr="003C6DAE">
        <w:rPr>
          <w:rFonts w:ascii="Arial"/>
          <w:i/>
          <w:sz w:val="20"/>
          <w:szCs w:val="20"/>
          <w:lang w:val="uk-UA"/>
        </w:rPr>
        <w:t>достовірн</w:t>
      </w:r>
      <w:r w:rsidR="008B7FC9" w:rsidRPr="003C6DAE">
        <w:rPr>
          <w:rFonts w:ascii="Arial"/>
          <w:i/>
          <w:sz w:val="20"/>
          <w:szCs w:val="20"/>
          <w:lang w:val="uk-UA"/>
        </w:rPr>
        <w:t>ості</w:t>
      </w:r>
      <w:r w:rsidR="0041509F" w:rsidRPr="003C6DAE">
        <w:rPr>
          <w:rFonts w:ascii="Arial"/>
          <w:i/>
          <w:sz w:val="20"/>
          <w:szCs w:val="20"/>
          <w:lang w:val="uk-UA"/>
        </w:rPr>
        <w:t xml:space="preserve"> </w:t>
      </w:r>
      <w:r w:rsidR="0041509F" w:rsidRPr="003C6DAE">
        <w:rPr>
          <w:rFonts w:ascii="Arial"/>
          <w:i/>
          <w:sz w:val="20"/>
          <w:szCs w:val="20"/>
          <w:lang w:val="uk-UA"/>
        </w:rPr>
        <w:t>доказів</w:t>
      </w:r>
      <w:r w:rsidRPr="003C6DAE">
        <w:rPr>
          <w:rFonts w:ascii="Arial"/>
          <w:i/>
          <w:spacing w:val="-2"/>
          <w:sz w:val="20"/>
          <w:szCs w:val="20"/>
          <w:lang w:val="uk-UA"/>
        </w:rPr>
        <w:t>)</w:t>
      </w:r>
    </w:p>
    <w:p w14:paraId="14E361EC" w14:textId="7B9C424E" w:rsidR="00E05B98" w:rsidRPr="003C6DAE" w:rsidRDefault="0041509F" w:rsidP="004A2937">
      <w:pPr>
        <w:pStyle w:val="a4"/>
        <w:numPr>
          <w:ilvl w:val="0"/>
          <w:numId w:val="32"/>
        </w:numPr>
        <w:tabs>
          <w:tab w:val="left" w:pos="1077"/>
        </w:tabs>
        <w:spacing w:before="40" w:line="276" w:lineRule="auto"/>
        <w:rPr>
          <w:sz w:val="20"/>
          <w:szCs w:val="20"/>
          <w:lang w:val="uk-UA"/>
        </w:rPr>
      </w:pPr>
      <w:r w:rsidRPr="003C6DAE">
        <w:rPr>
          <w:sz w:val="20"/>
          <w:szCs w:val="20"/>
          <w:lang w:val="uk-UA"/>
        </w:rPr>
        <w:t xml:space="preserve">Для людей з ознаками та симптомами туберкульозного менінгіту для первинної діагностики туберкульозного менінгіту слід використовувати </w:t>
      </w:r>
      <w:r w:rsidRPr="00DE0080">
        <w:rPr>
          <w:b/>
          <w:bCs/>
          <w:sz w:val="20"/>
          <w:szCs w:val="20"/>
          <w:lang w:val="uk-UA"/>
        </w:rPr>
        <w:t>автоматизовані</w:t>
      </w:r>
      <w:r w:rsidRPr="003C6DAE">
        <w:rPr>
          <w:sz w:val="20"/>
          <w:szCs w:val="20"/>
          <w:lang w:val="uk-UA"/>
        </w:rPr>
        <w:t xml:space="preserve"> ТАНК низької складності для дослідження спинномозкової рідини, а не мікроскопію мазка або </w:t>
      </w:r>
      <w:r w:rsidR="00E75E29" w:rsidRPr="003C6DAE">
        <w:rPr>
          <w:sz w:val="20"/>
          <w:szCs w:val="20"/>
          <w:lang w:val="uk-UA"/>
        </w:rPr>
        <w:t>бак</w:t>
      </w:r>
      <w:r w:rsidRPr="003C6DAE">
        <w:rPr>
          <w:sz w:val="20"/>
          <w:szCs w:val="20"/>
          <w:lang w:val="uk-UA"/>
        </w:rPr>
        <w:t>посів.</w:t>
      </w:r>
    </w:p>
    <w:p w14:paraId="72306583" w14:textId="53B32A54" w:rsidR="00E05B98" w:rsidRPr="003C6DAE" w:rsidRDefault="00B01E0C" w:rsidP="00E75E29">
      <w:pPr>
        <w:spacing w:before="84"/>
        <w:ind w:left="1077"/>
        <w:rPr>
          <w:rFonts w:ascii="Arial"/>
          <w:i/>
          <w:sz w:val="20"/>
          <w:szCs w:val="20"/>
          <w:lang w:val="uk-UA"/>
        </w:rPr>
      </w:pPr>
      <w:r w:rsidRPr="003C6DAE">
        <w:rPr>
          <w:rFonts w:ascii="Arial"/>
          <w:i/>
          <w:noProof/>
          <w:sz w:val="20"/>
          <w:szCs w:val="20"/>
          <w:lang w:val="uk-UA"/>
        </w:rPr>
        <mc:AlternateContent>
          <mc:Choice Requires="wpg">
            <w:drawing>
              <wp:anchor distT="0" distB="0" distL="0" distR="0" simplePos="0" relativeHeight="487639040" behindDoc="1" locked="0" layoutInCell="1" allowOverlap="1" wp14:anchorId="5A820B7D" wp14:editId="44D48C8A">
                <wp:simplePos x="0" y="0"/>
                <wp:positionH relativeFrom="margin">
                  <wp:align>right</wp:align>
                </wp:positionH>
                <wp:positionV relativeFrom="paragraph">
                  <wp:posOffset>250190</wp:posOffset>
                </wp:positionV>
                <wp:extent cx="6013450" cy="190500"/>
                <wp:effectExtent l="0" t="0" r="25400" b="0"/>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3450" cy="190500"/>
                          <a:chOff x="0" y="0"/>
                          <a:chExt cx="5760085" cy="245745"/>
                        </a:xfrm>
                      </wpg:grpSpPr>
                      <wps:wsp>
                        <wps:cNvPr id="136" name="Graphic 136"/>
                        <wps:cNvSpPr/>
                        <wps:spPr>
                          <a:xfrm>
                            <a:off x="0" y="5015"/>
                            <a:ext cx="5760085" cy="1270"/>
                          </a:xfrm>
                          <a:custGeom>
                            <a:avLst/>
                            <a:gdLst/>
                            <a:ahLst/>
                            <a:cxnLst/>
                            <a:rect l="l" t="t" r="r" b="b"/>
                            <a:pathLst>
                              <a:path w="5760085">
                                <a:moveTo>
                                  <a:pt x="0" y="0"/>
                                </a:moveTo>
                                <a:lnTo>
                                  <a:pt x="5759996" y="0"/>
                                </a:lnTo>
                              </a:path>
                            </a:pathLst>
                          </a:custGeom>
                          <a:ln w="9525">
                            <a:solidFill>
                              <a:srgbClr val="019648"/>
                            </a:solidFill>
                            <a:prstDash val="solid"/>
                          </a:ln>
                        </wps:spPr>
                        <wps:bodyPr wrap="square" lIns="0" tIns="0" rIns="0" bIns="0" rtlCol="0">
                          <a:prstTxWarp prst="textNoShape">
                            <a:avLst/>
                          </a:prstTxWarp>
                          <a:noAutofit/>
                        </wps:bodyPr>
                      </wps:wsp>
                      <wps:wsp>
                        <wps:cNvPr id="137" name="Graphic 137"/>
                        <wps:cNvSpPr/>
                        <wps:spPr>
                          <a:xfrm>
                            <a:off x="5244458" y="0"/>
                            <a:ext cx="515620" cy="245745"/>
                          </a:xfrm>
                          <a:custGeom>
                            <a:avLst/>
                            <a:gdLst/>
                            <a:ahLst/>
                            <a:cxnLst/>
                            <a:rect l="l" t="t" r="r" b="b"/>
                            <a:pathLst>
                              <a:path w="515620" h="245745">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a:prstTxWarp prst="textNoShape">
                            <a:avLst/>
                          </a:prstTxWarp>
                          <a:noAutofit/>
                        </wps:bodyPr>
                      </wps:wsp>
                      <wps:wsp>
                        <wps:cNvPr id="138" name="Textbox 138"/>
                        <wps:cNvSpPr txBox="1"/>
                        <wps:spPr>
                          <a:xfrm>
                            <a:off x="0" y="0"/>
                            <a:ext cx="5760085" cy="245745"/>
                          </a:xfrm>
                          <a:prstGeom prst="rect">
                            <a:avLst/>
                          </a:prstGeom>
                        </wps:spPr>
                        <wps:txbx>
                          <w:txbxContent>
                            <w:p w14:paraId="7E8F2D7A" w14:textId="00C14945" w:rsidR="007372B2" w:rsidRPr="0041509F" w:rsidRDefault="007372B2">
                              <w:pPr>
                                <w:spacing w:before="89"/>
                                <w:ind w:right="172"/>
                                <w:jc w:val="right"/>
                                <w:rPr>
                                  <w:sz w:val="20"/>
                                  <w:lang w:val="uk-UA"/>
                                </w:rPr>
                              </w:pPr>
                              <w:r>
                                <w:rPr>
                                  <w:color w:val="FFFFFF"/>
                                  <w:spacing w:val="-5"/>
                                  <w:sz w:val="20"/>
                                  <w:lang w:val="uk-UA"/>
                                </w:rPr>
                                <w:t>НОВА</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A820B7D" id="Group 135" o:spid="_x0000_s1058" style="position:absolute;left:0;text-align:left;margin-left:422.3pt;margin-top:19.7pt;width:473.5pt;height:15pt;z-index:-15677440;mso-wrap-distance-left:0;mso-wrap-distance-right:0;mso-position-horizontal:right;mso-position-horizontal-relative:margin;mso-width-relative:margin;mso-height-relative:margin" coordsize="57600,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">
                <v:shape id="Graphic 136" o:spid="_x0000_s1059" style="position:absolute;top:50;width:57600;height:12;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" path="m,l5759996,e" filled="f" strokecolor="#019648">
                  <v:path arrowok="t"/>
                </v:shape>
                <v:shape id="Graphic 137" o:spid="_x0000_s1060" style="position:absolute;left:52444;width:5156;height:2457;visibility:visible;mso-wrap-style:square;v-text-anchor:top" coordsize="51562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" path="m515543,l,,,122796r9650,47797l35966,209626r39032,26316l122796,245592r269951,l440545,235942r39032,-26316l505893,170593r9650,-47797l515543,xe" fillcolor="#0c8140" stroked="f">
                  <v:path arrowok="t"/>
                </v:shape>
                <v:shape id="Textbox 138" o:spid="_x0000_s1061" type="#_x0000_t202" style="position:absolute;width:57600;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7E8F2D7A" w14:textId="00C14945" w:rsidR="007372B2" w:rsidRPr="0041509F" w:rsidRDefault="007372B2">
                        <w:pPr>
                          <w:spacing w:before="89"/>
                          <w:ind w:right="172"/>
                          <w:jc w:val="right"/>
                          <w:rPr>
                            <w:sz w:val="20"/>
                            <w:lang w:val="uk-UA"/>
                          </w:rPr>
                        </w:pPr>
                        <w:r>
                          <w:rPr>
                            <w:color w:val="FFFFFF"/>
                            <w:spacing w:val="-5"/>
                            <w:sz w:val="20"/>
                            <w:lang w:val="uk-UA"/>
                          </w:rPr>
                          <w:t>НОВА</w:t>
                        </w:r>
                      </w:p>
                    </w:txbxContent>
                  </v:textbox>
                </v:shape>
                <w10:wrap type="topAndBottom" anchorx="margin"/>
              </v:group>
            </w:pict>
          </mc:Fallback>
        </mc:AlternateContent>
      </w:r>
      <w:r w:rsidRPr="003C6DAE">
        <w:rPr>
          <w:rFonts w:ascii="Arial"/>
          <w:i/>
          <w:sz w:val="20"/>
          <w:szCs w:val="20"/>
          <w:lang w:val="uk-UA"/>
        </w:rPr>
        <w:t>(</w:t>
      </w:r>
      <w:r w:rsidR="0041509F" w:rsidRPr="003C6DAE">
        <w:rPr>
          <w:rFonts w:ascii="Arial"/>
          <w:i/>
          <w:sz w:val="20"/>
          <w:szCs w:val="20"/>
          <w:lang w:val="uk-UA"/>
        </w:rPr>
        <w:t>Настійна</w:t>
      </w:r>
      <w:r w:rsidR="0041509F" w:rsidRPr="003C6DAE">
        <w:rPr>
          <w:rFonts w:ascii="Arial"/>
          <w:i/>
          <w:sz w:val="20"/>
          <w:szCs w:val="20"/>
          <w:lang w:val="uk-UA"/>
        </w:rPr>
        <w:t xml:space="preserve"> </w:t>
      </w:r>
      <w:r w:rsidR="0041509F" w:rsidRPr="003C6DAE">
        <w:rPr>
          <w:rFonts w:ascii="Arial"/>
          <w:i/>
          <w:sz w:val="20"/>
          <w:szCs w:val="20"/>
          <w:lang w:val="uk-UA"/>
        </w:rPr>
        <w:t>рекомендація</w:t>
      </w:r>
      <w:r w:rsidRPr="003C6DAE">
        <w:rPr>
          <w:rFonts w:ascii="Arial"/>
          <w:i/>
          <w:sz w:val="20"/>
          <w:szCs w:val="20"/>
          <w:lang w:val="uk-UA"/>
        </w:rPr>
        <w:t>,</w:t>
      </w:r>
      <w:r w:rsidRPr="003C6DAE">
        <w:rPr>
          <w:rFonts w:ascii="Arial"/>
          <w:i/>
          <w:spacing w:val="-3"/>
          <w:sz w:val="20"/>
          <w:szCs w:val="20"/>
          <w:lang w:val="uk-UA"/>
        </w:rPr>
        <w:t xml:space="preserve"> </w:t>
      </w:r>
      <w:r w:rsidR="0041509F" w:rsidRPr="003C6DAE">
        <w:rPr>
          <w:rFonts w:ascii="Arial"/>
          <w:i/>
          <w:sz w:val="20"/>
          <w:szCs w:val="20"/>
          <w:lang w:val="uk-UA"/>
        </w:rPr>
        <w:t>помірний</w:t>
      </w:r>
      <w:r w:rsidR="0041509F" w:rsidRPr="003C6DAE">
        <w:rPr>
          <w:rFonts w:ascii="Arial"/>
          <w:i/>
          <w:sz w:val="20"/>
          <w:szCs w:val="20"/>
          <w:lang w:val="uk-UA"/>
        </w:rPr>
        <w:t xml:space="preserve"> </w:t>
      </w:r>
      <w:r w:rsidR="0041509F" w:rsidRPr="003C6DAE">
        <w:rPr>
          <w:rFonts w:ascii="Arial"/>
          <w:i/>
          <w:sz w:val="20"/>
          <w:szCs w:val="20"/>
          <w:lang w:val="uk-UA"/>
        </w:rPr>
        <w:t>ступінь</w:t>
      </w:r>
      <w:r w:rsidR="0041509F" w:rsidRPr="003C6DAE">
        <w:rPr>
          <w:rFonts w:ascii="Arial"/>
          <w:i/>
          <w:sz w:val="20"/>
          <w:szCs w:val="20"/>
          <w:lang w:val="uk-UA"/>
        </w:rPr>
        <w:t xml:space="preserve"> </w:t>
      </w:r>
      <w:r w:rsidR="0041509F" w:rsidRPr="003C6DAE">
        <w:rPr>
          <w:rFonts w:ascii="Arial"/>
          <w:i/>
          <w:sz w:val="20"/>
          <w:szCs w:val="20"/>
          <w:lang w:val="uk-UA"/>
        </w:rPr>
        <w:t>достовірності</w:t>
      </w:r>
      <w:r w:rsidR="0041509F" w:rsidRPr="003C6DAE">
        <w:rPr>
          <w:rFonts w:ascii="Arial"/>
          <w:i/>
          <w:sz w:val="20"/>
          <w:szCs w:val="20"/>
          <w:lang w:val="uk-UA"/>
        </w:rPr>
        <w:t xml:space="preserve"> </w:t>
      </w:r>
      <w:r w:rsidR="0041509F" w:rsidRPr="003C6DAE">
        <w:rPr>
          <w:rFonts w:ascii="Arial"/>
          <w:i/>
          <w:sz w:val="20"/>
          <w:szCs w:val="20"/>
          <w:lang w:val="uk-UA"/>
        </w:rPr>
        <w:t>доказів</w:t>
      </w:r>
      <w:r w:rsidRPr="003C6DAE">
        <w:rPr>
          <w:rFonts w:ascii="Arial"/>
          <w:i/>
          <w:spacing w:val="-2"/>
          <w:sz w:val="20"/>
          <w:szCs w:val="20"/>
          <w:lang w:val="uk-UA"/>
        </w:rPr>
        <w:t>)</w:t>
      </w:r>
    </w:p>
    <w:p w14:paraId="45B33712" w14:textId="29EB43C9" w:rsidR="00E05B98" w:rsidRPr="003C6DAE" w:rsidRDefault="008B7FC9" w:rsidP="004A2937">
      <w:pPr>
        <w:pStyle w:val="a4"/>
        <w:numPr>
          <w:ilvl w:val="0"/>
          <w:numId w:val="32"/>
        </w:numPr>
        <w:tabs>
          <w:tab w:val="left" w:pos="1077"/>
        </w:tabs>
        <w:spacing w:before="48" w:line="249" w:lineRule="auto"/>
        <w:rPr>
          <w:sz w:val="20"/>
          <w:szCs w:val="20"/>
          <w:lang w:val="uk-UA"/>
        </w:rPr>
      </w:pPr>
      <w:r w:rsidRPr="003C6DAE">
        <w:rPr>
          <w:w w:val="105"/>
          <w:sz w:val="20"/>
          <w:szCs w:val="20"/>
          <w:lang w:val="uk-UA"/>
        </w:rPr>
        <w:t xml:space="preserve">Для людей з ознаками та симптомами позалегеневого ТБ для первинної діагностики ТБ слід використовувати </w:t>
      </w:r>
      <w:r w:rsidRPr="00DE0080">
        <w:rPr>
          <w:b/>
          <w:bCs/>
          <w:w w:val="105"/>
          <w:sz w:val="20"/>
          <w:szCs w:val="20"/>
          <w:lang w:val="uk-UA"/>
        </w:rPr>
        <w:t>автоматизовані</w:t>
      </w:r>
      <w:r w:rsidRPr="003C6DAE">
        <w:rPr>
          <w:w w:val="105"/>
          <w:sz w:val="20"/>
          <w:szCs w:val="20"/>
          <w:lang w:val="uk-UA"/>
        </w:rPr>
        <w:t xml:space="preserve"> ТАНК низької складності для дослідження </w:t>
      </w:r>
      <w:r w:rsidR="00DE0080">
        <w:rPr>
          <w:w w:val="105"/>
          <w:sz w:val="20"/>
          <w:szCs w:val="20"/>
          <w:lang w:val="uk-UA"/>
        </w:rPr>
        <w:t xml:space="preserve">зразків </w:t>
      </w:r>
      <w:r w:rsidRPr="003C6DAE">
        <w:rPr>
          <w:w w:val="105"/>
          <w:sz w:val="20"/>
          <w:szCs w:val="20"/>
          <w:lang w:val="uk-UA"/>
        </w:rPr>
        <w:t xml:space="preserve">аспірату тканини лімфатичних вузлів, плевральної тканини, плевральної рідини, синовіальної рідини, перитонеальної рідини або рідини перикарда, а не мікроскопію мазка або </w:t>
      </w:r>
      <w:r w:rsidR="00E75E29" w:rsidRPr="003C6DAE">
        <w:rPr>
          <w:w w:val="105"/>
          <w:sz w:val="20"/>
          <w:szCs w:val="20"/>
          <w:lang w:val="uk-UA"/>
        </w:rPr>
        <w:t>бак</w:t>
      </w:r>
      <w:r w:rsidRPr="003C6DAE">
        <w:rPr>
          <w:w w:val="105"/>
          <w:sz w:val="20"/>
          <w:szCs w:val="20"/>
          <w:lang w:val="uk-UA"/>
        </w:rPr>
        <w:t>посів.</w:t>
      </w:r>
    </w:p>
    <w:p w14:paraId="07547759" w14:textId="0331B2A9" w:rsidR="00E05B98" w:rsidRPr="003C6DAE" w:rsidRDefault="00E75E29" w:rsidP="00E75E29">
      <w:pPr>
        <w:spacing w:before="81" w:line="247" w:lineRule="auto"/>
        <w:ind w:left="1077"/>
        <w:rPr>
          <w:rFonts w:ascii="Arial"/>
          <w:i/>
          <w:sz w:val="20"/>
          <w:szCs w:val="20"/>
          <w:lang w:val="uk-UA"/>
        </w:rPr>
      </w:pPr>
      <w:r w:rsidRPr="003C6DAE">
        <w:rPr>
          <w:rFonts w:ascii="Arial"/>
          <w:i/>
          <w:noProof/>
          <w:sz w:val="20"/>
          <w:szCs w:val="20"/>
          <w:lang w:val="uk-UA"/>
        </w:rPr>
        <mc:AlternateContent>
          <mc:Choice Requires="wps">
            <w:drawing>
              <wp:anchor distT="0" distB="0" distL="0" distR="0" simplePos="0" relativeHeight="487639552" behindDoc="1" locked="0" layoutInCell="1" allowOverlap="1" wp14:anchorId="703FC661" wp14:editId="29206AA4">
                <wp:simplePos x="0" y="0"/>
                <wp:positionH relativeFrom="page">
                  <wp:posOffset>901700</wp:posOffset>
                </wp:positionH>
                <wp:positionV relativeFrom="paragraph">
                  <wp:posOffset>723900</wp:posOffset>
                </wp:positionV>
                <wp:extent cx="6026150" cy="45085"/>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6150" cy="45085"/>
                        </a:xfrm>
                        <a:custGeom>
                          <a:avLst/>
                          <a:gdLst/>
                          <a:ahLst/>
                          <a:cxnLst/>
                          <a:rect l="l" t="t" r="r" b="b"/>
                          <a:pathLst>
                            <a:path w="5760085">
                              <a:moveTo>
                                <a:pt x="0" y="0"/>
                              </a:moveTo>
                              <a:lnTo>
                                <a:pt x="5759996" y="0"/>
                              </a:lnTo>
                            </a:path>
                          </a:pathLst>
                        </a:custGeom>
                        <a:ln w="9525">
                          <a:solidFill>
                            <a:srgbClr val="019648"/>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AE8B" id="Graphic 139" o:spid="_x0000_s1026" style="position:absolute;margin-left:71pt;margin-top:57pt;width:474.5pt;height:3.55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760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" path="m,l5759996,e" filled="f" strokecolor="#019648">
                <v:path arrowok="t"/>
                <w10:wrap type="topAndBottom" anchorx="page"/>
              </v:shape>
            </w:pict>
          </mc:Fallback>
        </mc:AlternateContent>
      </w:r>
      <w:r w:rsidR="00B01E0C" w:rsidRPr="003C6DAE">
        <w:rPr>
          <w:rFonts w:ascii="Arial"/>
          <w:i/>
          <w:sz w:val="20"/>
          <w:szCs w:val="20"/>
          <w:lang w:val="uk-UA"/>
        </w:rPr>
        <w:t>(</w:t>
      </w:r>
      <w:r w:rsidR="008B7FC9" w:rsidRPr="003C6DAE">
        <w:rPr>
          <w:rFonts w:ascii="Arial"/>
          <w:i/>
          <w:sz w:val="20"/>
          <w:szCs w:val="20"/>
          <w:lang w:val="uk-UA"/>
        </w:rPr>
        <w:t>Настійна</w:t>
      </w:r>
      <w:r w:rsidR="008B7FC9" w:rsidRPr="003C6DAE">
        <w:rPr>
          <w:rFonts w:ascii="Arial"/>
          <w:i/>
          <w:sz w:val="20"/>
          <w:szCs w:val="20"/>
          <w:lang w:val="uk-UA"/>
        </w:rPr>
        <w:t xml:space="preserve"> </w:t>
      </w:r>
      <w:r w:rsidR="008B7FC9" w:rsidRPr="003C6DAE">
        <w:rPr>
          <w:rFonts w:ascii="Arial"/>
          <w:i/>
          <w:sz w:val="20"/>
          <w:szCs w:val="20"/>
          <w:lang w:val="uk-UA"/>
        </w:rPr>
        <w:t>рекомендація</w:t>
      </w:r>
      <w:r w:rsidR="008B7FC9" w:rsidRPr="003C6DAE">
        <w:rPr>
          <w:rFonts w:ascii="Arial"/>
          <w:i/>
          <w:sz w:val="20"/>
          <w:szCs w:val="20"/>
          <w:lang w:val="uk-UA"/>
        </w:rPr>
        <w:t xml:space="preserve">, </w:t>
      </w:r>
      <w:r w:rsidR="008B7FC9" w:rsidRPr="003C6DAE">
        <w:rPr>
          <w:rFonts w:ascii="Arial"/>
          <w:i/>
          <w:sz w:val="20"/>
          <w:szCs w:val="20"/>
          <w:lang w:val="uk-UA"/>
        </w:rPr>
        <w:t>низький</w:t>
      </w:r>
      <w:r w:rsidR="008B7FC9" w:rsidRPr="003C6DAE">
        <w:rPr>
          <w:rFonts w:ascii="Arial"/>
          <w:i/>
          <w:sz w:val="20"/>
          <w:szCs w:val="20"/>
          <w:lang w:val="uk-UA"/>
        </w:rPr>
        <w:t xml:space="preserve"> </w:t>
      </w:r>
      <w:r w:rsidR="008B7FC9" w:rsidRPr="003C6DAE">
        <w:rPr>
          <w:rFonts w:ascii="Arial"/>
          <w:i/>
          <w:sz w:val="20"/>
          <w:szCs w:val="20"/>
          <w:lang w:val="uk-UA"/>
        </w:rPr>
        <w:t>ступінь</w:t>
      </w:r>
      <w:r w:rsidR="008B7FC9" w:rsidRPr="003C6DAE">
        <w:rPr>
          <w:rFonts w:ascii="Arial"/>
          <w:i/>
          <w:sz w:val="20"/>
          <w:szCs w:val="20"/>
          <w:lang w:val="uk-UA"/>
        </w:rPr>
        <w:t xml:space="preserve"> </w:t>
      </w:r>
      <w:r w:rsidR="008B7FC9" w:rsidRPr="003C6DAE">
        <w:rPr>
          <w:rFonts w:ascii="Arial"/>
          <w:i/>
          <w:sz w:val="20"/>
          <w:szCs w:val="20"/>
          <w:lang w:val="uk-UA"/>
        </w:rPr>
        <w:t>достовірності</w:t>
      </w:r>
      <w:r w:rsidR="008B7FC9" w:rsidRPr="003C6DAE">
        <w:rPr>
          <w:rFonts w:ascii="Arial"/>
          <w:i/>
          <w:sz w:val="20"/>
          <w:szCs w:val="20"/>
          <w:lang w:val="uk-UA"/>
        </w:rPr>
        <w:t xml:space="preserve"> </w:t>
      </w:r>
      <w:r w:rsidR="008B7FC9" w:rsidRPr="003C6DAE">
        <w:rPr>
          <w:rFonts w:ascii="Arial"/>
          <w:i/>
          <w:sz w:val="20"/>
          <w:szCs w:val="20"/>
          <w:lang w:val="uk-UA"/>
        </w:rPr>
        <w:t>доказів</w:t>
      </w:r>
      <w:r w:rsidR="008B7FC9" w:rsidRPr="003C6DAE">
        <w:rPr>
          <w:rFonts w:ascii="Arial"/>
          <w:i/>
          <w:sz w:val="20"/>
          <w:szCs w:val="20"/>
          <w:lang w:val="uk-UA"/>
        </w:rPr>
        <w:t xml:space="preserve"> </w:t>
      </w:r>
      <w:r w:rsidR="008B7FC9" w:rsidRPr="003C6DAE">
        <w:rPr>
          <w:rFonts w:ascii="Arial"/>
          <w:i/>
          <w:sz w:val="20"/>
          <w:szCs w:val="20"/>
          <w:lang w:val="uk-UA"/>
        </w:rPr>
        <w:t>для</w:t>
      </w:r>
      <w:r w:rsidR="008B7FC9" w:rsidRPr="003C6DAE">
        <w:rPr>
          <w:rFonts w:ascii="Arial"/>
          <w:i/>
          <w:sz w:val="20"/>
          <w:szCs w:val="20"/>
          <w:lang w:val="uk-UA"/>
        </w:rPr>
        <w:t xml:space="preserve"> </w:t>
      </w:r>
      <w:r w:rsidR="008B7FC9" w:rsidRPr="003C6DAE">
        <w:rPr>
          <w:rFonts w:ascii="Arial"/>
          <w:i/>
          <w:sz w:val="20"/>
          <w:szCs w:val="20"/>
          <w:lang w:val="uk-UA"/>
        </w:rPr>
        <w:t>синовіальної</w:t>
      </w:r>
      <w:r w:rsidR="008B7FC9" w:rsidRPr="003C6DAE">
        <w:rPr>
          <w:rFonts w:ascii="Arial"/>
          <w:i/>
          <w:sz w:val="20"/>
          <w:szCs w:val="20"/>
          <w:lang w:val="uk-UA"/>
        </w:rPr>
        <w:t xml:space="preserve"> </w:t>
      </w:r>
      <w:r w:rsidR="008B7FC9" w:rsidRPr="003C6DAE">
        <w:rPr>
          <w:rFonts w:ascii="Arial"/>
          <w:i/>
          <w:sz w:val="20"/>
          <w:szCs w:val="20"/>
          <w:lang w:val="uk-UA"/>
        </w:rPr>
        <w:t>рідини</w:t>
      </w:r>
      <w:r w:rsidR="008B7FC9" w:rsidRPr="003C6DAE">
        <w:rPr>
          <w:rFonts w:ascii="Arial"/>
          <w:i/>
          <w:sz w:val="20"/>
          <w:szCs w:val="20"/>
          <w:lang w:val="uk-UA"/>
        </w:rPr>
        <w:t xml:space="preserve"> </w:t>
      </w:r>
      <w:r w:rsidR="008B7FC9" w:rsidRPr="003C6DAE">
        <w:rPr>
          <w:rFonts w:ascii="Arial"/>
          <w:i/>
          <w:sz w:val="20"/>
          <w:szCs w:val="20"/>
          <w:lang w:val="uk-UA"/>
        </w:rPr>
        <w:t>та</w:t>
      </w:r>
      <w:r w:rsidR="008B7FC9" w:rsidRPr="003C6DAE">
        <w:rPr>
          <w:rFonts w:ascii="Arial"/>
          <w:i/>
          <w:sz w:val="20"/>
          <w:szCs w:val="20"/>
          <w:lang w:val="uk-UA"/>
        </w:rPr>
        <w:t xml:space="preserve"> </w:t>
      </w:r>
      <w:r w:rsidR="008B7FC9" w:rsidRPr="003C6DAE">
        <w:rPr>
          <w:rFonts w:ascii="Arial"/>
          <w:i/>
          <w:sz w:val="20"/>
          <w:szCs w:val="20"/>
          <w:lang w:val="uk-UA"/>
        </w:rPr>
        <w:t>перикардіальної</w:t>
      </w:r>
      <w:r w:rsidR="008B7FC9" w:rsidRPr="003C6DAE">
        <w:rPr>
          <w:rFonts w:ascii="Arial"/>
          <w:i/>
          <w:sz w:val="20"/>
          <w:szCs w:val="20"/>
          <w:lang w:val="uk-UA"/>
        </w:rPr>
        <w:t xml:space="preserve"> </w:t>
      </w:r>
      <w:r w:rsidR="008B7FC9" w:rsidRPr="003C6DAE">
        <w:rPr>
          <w:rFonts w:ascii="Arial"/>
          <w:i/>
          <w:sz w:val="20"/>
          <w:szCs w:val="20"/>
          <w:lang w:val="uk-UA"/>
        </w:rPr>
        <w:t>рідини</w:t>
      </w:r>
      <w:r w:rsidR="008B7FC9" w:rsidRPr="003C6DAE">
        <w:rPr>
          <w:rFonts w:ascii="Arial"/>
          <w:i/>
          <w:sz w:val="20"/>
          <w:szCs w:val="20"/>
          <w:lang w:val="uk-UA"/>
        </w:rPr>
        <w:t xml:space="preserve">; </w:t>
      </w:r>
      <w:r w:rsidR="008B7FC9" w:rsidRPr="003C6DAE">
        <w:rPr>
          <w:rFonts w:ascii="Arial"/>
          <w:i/>
          <w:sz w:val="20"/>
          <w:szCs w:val="20"/>
          <w:lang w:val="uk-UA"/>
        </w:rPr>
        <w:t>дуже</w:t>
      </w:r>
      <w:r w:rsidR="008B7FC9" w:rsidRPr="003C6DAE">
        <w:rPr>
          <w:rFonts w:ascii="Arial"/>
          <w:i/>
          <w:sz w:val="20"/>
          <w:szCs w:val="20"/>
          <w:lang w:val="uk-UA"/>
        </w:rPr>
        <w:t xml:space="preserve"> </w:t>
      </w:r>
      <w:r w:rsidR="008B7FC9" w:rsidRPr="003C6DAE">
        <w:rPr>
          <w:rFonts w:ascii="Arial"/>
          <w:i/>
          <w:sz w:val="20"/>
          <w:szCs w:val="20"/>
          <w:lang w:val="uk-UA"/>
        </w:rPr>
        <w:t>низька</w:t>
      </w:r>
      <w:r w:rsidR="008B7FC9" w:rsidRPr="003C6DAE">
        <w:rPr>
          <w:rFonts w:ascii="Arial"/>
          <w:i/>
          <w:sz w:val="20"/>
          <w:szCs w:val="20"/>
          <w:lang w:val="uk-UA"/>
        </w:rPr>
        <w:t xml:space="preserve"> </w:t>
      </w:r>
      <w:r w:rsidR="008B7FC9" w:rsidRPr="003C6DAE">
        <w:rPr>
          <w:rFonts w:ascii="Arial"/>
          <w:i/>
          <w:sz w:val="20"/>
          <w:szCs w:val="20"/>
          <w:lang w:val="uk-UA"/>
        </w:rPr>
        <w:t>достовірність</w:t>
      </w:r>
      <w:r w:rsidR="008B7FC9" w:rsidRPr="003C6DAE">
        <w:rPr>
          <w:rFonts w:ascii="Arial"/>
          <w:i/>
          <w:sz w:val="20"/>
          <w:szCs w:val="20"/>
          <w:lang w:val="uk-UA"/>
        </w:rPr>
        <w:t xml:space="preserve"> </w:t>
      </w:r>
      <w:r w:rsidR="008B7FC9" w:rsidRPr="003C6DAE">
        <w:rPr>
          <w:rFonts w:ascii="Arial"/>
          <w:i/>
          <w:sz w:val="20"/>
          <w:szCs w:val="20"/>
          <w:lang w:val="uk-UA"/>
        </w:rPr>
        <w:t>доказів</w:t>
      </w:r>
      <w:r w:rsidR="008B7FC9" w:rsidRPr="003C6DAE">
        <w:rPr>
          <w:rFonts w:ascii="Arial"/>
          <w:i/>
          <w:sz w:val="20"/>
          <w:szCs w:val="20"/>
          <w:lang w:val="uk-UA"/>
        </w:rPr>
        <w:t xml:space="preserve"> </w:t>
      </w:r>
      <w:r w:rsidR="008B7FC9" w:rsidRPr="003C6DAE">
        <w:rPr>
          <w:rFonts w:ascii="Arial"/>
          <w:i/>
          <w:sz w:val="20"/>
          <w:szCs w:val="20"/>
          <w:lang w:val="uk-UA"/>
        </w:rPr>
        <w:t>для</w:t>
      </w:r>
      <w:r w:rsidR="008B7FC9" w:rsidRPr="003C6DAE">
        <w:rPr>
          <w:rFonts w:ascii="Arial"/>
          <w:i/>
          <w:sz w:val="20"/>
          <w:szCs w:val="20"/>
          <w:lang w:val="uk-UA"/>
        </w:rPr>
        <w:t xml:space="preserve"> </w:t>
      </w:r>
      <w:r w:rsidR="008B7FC9" w:rsidRPr="003C6DAE">
        <w:rPr>
          <w:rFonts w:ascii="Arial"/>
          <w:i/>
          <w:sz w:val="20"/>
          <w:szCs w:val="20"/>
          <w:lang w:val="uk-UA"/>
        </w:rPr>
        <w:t>аспірату</w:t>
      </w:r>
      <w:r w:rsidR="008B7FC9" w:rsidRPr="003C6DAE">
        <w:rPr>
          <w:rFonts w:ascii="Arial"/>
          <w:i/>
          <w:sz w:val="20"/>
          <w:szCs w:val="20"/>
          <w:lang w:val="uk-UA"/>
        </w:rPr>
        <w:t xml:space="preserve"> </w:t>
      </w:r>
      <w:r w:rsidR="008B7FC9" w:rsidRPr="003C6DAE">
        <w:rPr>
          <w:rFonts w:ascii="Arial"/>
          <w:i/>
          <w:sz w:val="20"/>
          <w:szCs w:val="20"/>
          <w:lang w:val="uk-UA"/>
        </w:rPr>
        <w:t>тканини</w:t>
      </w:r>
      <w:r w:rsidR="008B7FC9" w:rsidRPr="003C6DAE">
        <w:rPr>
          <w:rFonts w:ascii="Arial"/>
          <w:i/>
          <w:sz w:val="20"/>
          <w:szCs w:val="20"/>
          <w:lang w:val="uk-UA"/>
        </w:rPr>
        <w:t xml:space="preserve"> </w:t>
      </w:r>
      <w:r w:rsidR="008B7FC9" w:rsidRPr="003C6DAE">
        <w:rPr>
          <w:rFonts w:ascii="Arial"/>
          <w:i/>
          <w:sz w:val="20"/>
          <w:szCs w:val="20"/>
          <w:lang w:val="uk-UA"/>
        </w:rPr>
        <w:t>лімфатичних</w:t>
      </w:r>
      <w:r w:rsidR="008B7FC9" w:rsidRPr="003C6DAE">
        <w:rPr>
          <w:rFonts w:ascii="Arial"/>
          <w:i/>
          <w:sz w:val="20"/>
          <w:szCs w:val="20"/>
          <w:lang w:val="uk-UA"/>
        </w:rPr>
        <w:t xml:space="preserve"> </w:t>
      </w:r>
      <w:r w:rsidR="008B7FC9" w:rsidRPr="003C6DAE">
        <w:rPr>
          <w:rFonts w:ascii="Arial"/>
          <w:i/>
          <w:sz w:val="20"/>
          <w:szCs w:val="20"/>
          <w:lang w:val="uk-UA"/>
        </w:rPr>
        <w:t>вузлів</w:t>
      </w:r>
      <w:r w:rsidR="008B7FC9" w:rsidRPr="003C6DAE">
        <w:rPr>
          <w:rFonts w:ascii="Arial"/>
          <w:i/>
          <w:sz w:val="20"/>
          <w:szCs w:val="20"/>
          <w:lang w:val="uk-UA"/>
        </w:rPr>
        <w:t xml:space="preserve">, </w:t>
      </w:r>
      <w:r w:rsidR="008B7FC9" w:rsidRPr="003C6DAE">
        <w:rPr>
          <w:rFonts w:ascii="Arial"/>
          <w:i/>
          <w:sz w:val="20"/>
          <w:szCs w:val="20"/>
          <w:lang w:val="uk-UA"/>
        </w:rPr>
        <w:t>плевральної</w:t>
      </w:r>
      <w:r w:rsidR="008B7FC9" w:rsidRPr="003C6DAE">
        <w:rPr>
          <w:rFonts w:ascii="Arial"/>
          <w:i/>
          <w:sz w:val="20"/>
          <w:szCs w:val="20"/>
          <w:lang w:val="uk-UA"/>
        </w:rPr>
        <w:t xml:space="preserve"> </w:t>
      </w:r>
      <w:r w:rsidR="008B7FC9" w:rsidRPr="003C6DAE">
        <w:rPr>
          <w:rFonts w:ascii="Arial"/>
          <w:i/>
          <w:sz w:val="20"/>
          <w:szCs w:val="20"/>
          <w:lang w:val="uk-UA"/>
        </w:rPr>
        <w:t>тканини</w:t>
      </w:r>
      <w:r w:rsidR="008B7FC9" w:rsidRPr="003C6DAE">
        <w:rPr>
          <w:rFonts w:ascii="Arial"/>
          <w:i/>
          <w:sz w:val="20"/>
          <w:szCs w:val="20"/>
          <w:lang w:val="uk-UA"/>
        </w:rPr>
        <w:t xml:space="preserve">, </w:t>
      </w:r>
      <w:r w:rsidR="008B7FC9" w:rsidRPr="003C6DAE">
        <w:rPr>
          <w:rFonts w:ascii="Arial"/>
          <w:i/>
          <w:sz w:val="20"/>
          <w:szCs w:val="20"/>
          <w:lang w:val="uk-UA"/>
        </w:rPr>
        <w:t>плевральної</w:t>
      </w:r>
      <w:r w:rsidR="008B7FC9" w:rsidRPr="003C6DAE">
        <w:rPr>
          <w:rFonts w:ascii="Arial"/>
          <w:i/>
          <w:sz w:val="20"/>
          <w:szCs w:val="20"/>
          <w:lang w:val="uk-UA"/>
        </w:rPr>
        <w:t xml:space="preserve"> </w:t>
      </w:r>
      <w:r w:rsidR="008B7FC9" w:rsidRPr="003C6DAE">
        <w:rPr>
          <w:rFonts w:ascii="Arial"/>
          <w:i/>
          <w:sz w:val="20"/>
          <w:szCs w:val="20"/>
          <w:lang w:val="uk-UA"/>
        </w:rPr>
        <w:t>рідини</w:t>
      </w:r>
      <w:r w:rsidR="008B7FC9" w:rsidRPr="003C6DAE">
        <w:rPr>
          <w:rFonts w:ascii="Arial"/>
          <w:i/>
          <w:sz w:val="20"/>
          <w:szCs w:val="20"/>
          <w:lang w:val="uk-UA"/>
        </w:rPr>
        <w:t xml:space="preserve"> </w:t>
      </w:r>
      <w:r w:rsidR="008B7FC9" w:rsidRPr="003C6DAE">
        <w:rPr>
          <w:rFonts w:ascii="Arial"/>
          <w:i/>
          <w:sz w:val="20"/>
          <w:szCs w:val="20"/>
          <w:lang w:val="uk-UA"/>
        </w:rPr>
        <w:t>та</w:t>
      </w:r>
      <w:r w:rsidR="008B7FC9" w:rsidRPr="003C6DAE">
        <w:rPr>
          <w:rFonts w:ascii="Arial"/>
          <w:i/>
          <w:sz w:val="20"/>
          <w:szCs w:val="20"/>
          <w:lang w:val="uk-UA"/>
        </w:rPr>
        <w:t xml:space="preserve"> </w:t>
      </w:r>
      <w:r w:rsidR="008B7FC9" w:rsidRPr="003C6DAE">
        <w:rPr>
          <w:rFonts w:ascii="Arial"/>
          <w:i/>
          <w:sz w:val="20"/>
          <w:szCs w:val="20"/>
          <w:lang w:val="uk-UA"/>
        </w:rPr>
        <w:t>перитонеальної</w:t>
      </w:r>
      <w:r w:rsidR="008B7FC9" w:rsidRPr="003C6DAE">
        <w:rPr>
          <w:rFonts w:ascii="Arial"/>
          <w:i/>
          <w:sz w:val="20"/>
          <w:szCs w:val="20"/>
          <w:lang w:val="uk-UA"/>
        </w:rPr>
        <w:t xml:space="preserve"> </w:t>
      </w:r>
      <w:r w:rsidR="008B7FC9" w:rsidRPr="003C6DAE">
        <w:rPr>
          <w:rFonts w:ascii="Arial"/>
          <w:i/>
          <w:sz w:val="20"/>
          <w:szCs w:val="20"/>
          <w:lang w:val="uk-UA"/>
        </w:rPr>
        <w:t>рідини</w:t>
      </w:r>
      <w:r w:rsidR="00B01E0C" w:rsidRPr="003C6DAE">
        <w:rPr>
          <w:rFonts w:ascii="Arial"/>
          <w:i/>
          <w:sz w:val="20"/>
          <w:szCs w:val="20"/>
          <w:lang w:val="uk-UA"/>
        </w:rPr>
        <w:t>)</w:t>
      </w:r>
    </w:p>
    <w:p w14:paraId="4E734196" w14:textId="4E6FF2A3" w:rsidR="00E05B98" w:rsidRPr="003C6DAE" w:rsidRDefault="008B7FC9" w:rsidP="004A2937">
      <w:pPr>
        <w:pStyle w:val="a4"/>
        <w:numPr>
          <w:ilvl w:val="0"/>
          <w:numId w:val="32"/>
        </w:numPr>
        <w:tabs>
          <w:tab w:val="left" w:pos="1077"/>
        </w:tabs>
        <w:spacing w:before="249" w:line="249" w:lineRule="auto"/>
        <w:rPr>
          <w:sz w:val="20"/>
          <w:szCs w:val="20"/>
          <w:lang w:val="uk-UA"/>
        </w:rPr>
      </w:pPr>
      <w:r w:rsidRPr="003C6DAE">
        <w:rPr>
          <w:sz w:val="20"/>
          <w:szCs w:val="20"/>
          <w:lang w:val="uk-UA"/>
        </w:rPr>
        <w:t xml:space="preserve">Для людей з ознаками та симптомами легеневого ТБ можна використовувати автоматизовані ТАНК </w:t>
      </w:r>
      <w:r w:rsidR="00B40441">
        <w:rPr>
          <w:sz w:val="20"/>
          <w:szCs w:val="20"/>
          <w:lang w:val="uk-UA"/>
        </w:rPr>
        <w:t>помірної</w:t>
      </w:r>
      <w:r w:rsidRPr="003C6DAE">
        <w:rPr>
          <w:sz w:val="20"/>
          <w:szCs w:val="20"/>
          <w:lang w:val="uk-UA"/>
        </w:rPr>
        <w:t xml:space="preserve"> складності </w:t>
      </w:r>
      <w:r w:rsidR="00DE0080">
        <w:rPr>
          <w:sz w:val="20"/>
          <w:szCs w:val="20"/>
          <w:lang w:val="uk-UA"/>
        </w:rPr>
        <w:t>при</w:t>
      </w:r>
      <w:r w:rsidRPr="003C6DAE">
        <w:rPr>
          <w:sz w:val="20"/>
          <w:szCs w:val="20"/>
          <w:lang w:val="uk-UA"/>
        </w:rPr>
        <w:t xml:space="preserve"> дослідженн</w:t>
      </w:r>
      <w:r w:rsidR="00DE0080">
        <w:rPr>
          <w:sz w:val="20"/>
          <w:szCs w:val="20"/>
          <w:lang w:val="uk-UA"/>
        </w:rPr>
        <w:t>і</w:t>
      </w:r>
      <w:r w:rsidRPr="003C6DAE">
        <w:rPr>
          <w:sz w:val="20"/>
          <w:szCs w:val="20"/>
          <w:lang w:val="uk-UA"/>
        </w:rPr>
        <w:t xml:space="preserve"> зразків з дихальних шляхів для виявлення легеневого ТБ, а також резистентності до рифампіцину та ізоніазиду, а не </w:t>
      </w:r>
      <w:r w:rsidR="00E75E29" w:rsidRPr="003C6DAE">
        <w:rPr>
          <w:sz w:val="20"/>
          <w:szCs w:val="20"/>
          <w:lang w:val="uk-UA"/>
        </w:rPr>
        <w:t>бакпосів</w:t>
      </w:r>
      <w:r w:rsidRPr="003C6DAE">
        <w:rPr>
          <w:sz w:val="20"/>
          <w:szCs w:val="20"/>
          <w:lang w:val="uk-UA"/>
        </w:rPr>
        <w:t xml:space="preserve"> та </w:t>
      </w:r>
      <w:proofErr w:type="spellStart"/>
      <w:r w:rsidRPr="003C6DAE">
        <w:rPr>
          <w:sz w:val="20"/>
          <w:szCs w:val="20"/>
          <w:lang w:val="uk-UA"/>
        </w:rPr>
        <w:t>фенотип</w:t>
      </w:r>
      <w:r w:rsidR="0061310B">
        <w:rPr>
          <w:sz w:val="20"/>
          <w:szCs w:val="20"/>
          <w:lang w:val="uk-UA"/>
        </w:rPr>
        <w:t>ов</w:t>
      </w:r>
      <w:r w:rsidRPr="003C6DAE">
        <w:rPr>
          <w:sz w:val="20"/>
          <w:szCs w:val="20"/>
          <w:lang w:val="uk-UA"/>
        </w:rPr>
        <w:t>ий</w:t>
      </w:r>
      <w:proofErr w:type="spellEnd"/>
      <w:r w:rsidRPr="003C6DAE">
        <w:rPr>
          <w:sz w:val="20"/>
          <w:szCs w:val="20"/>
          <w:lang w:val="uk-UA"/>
        </w:rPr>
        <w:t xml:space="preserve"> ТМЧ</w:t>
      </w:r>
      <w:r w:rsidR="00B01E0C" w:rsidRPr="003C6DAE">
        <w:rPr>
          <w:sz w:val="20"/>
          <w:szCs w:val="20"/>
          <w:lang w:val="uk-UA"/>
        </w:rPr>
        <w:t>.</w:t>
      </w:r>
    </w:p>
    <w:p w14:paraId="36A7F06F" w14:textId="5D4664DC" w:rsidR="00E05B98" w:rsidRPr="003C6DAE" w:rsidRDefault="00B01E0C" w:rsidP="00E75E29">
      <w:pPr>
        <w:spacing w:before="84"/>
        <w:ind w:left="1077"/>
        <w:rPr>
          <w:rFonts w:ascii="Arial"/>
          <w:i/>
          <w:sz w:val="20"/>
          <w:szCs w:val="20"/>
          <w:lang w:val="uk-UA"/>
        </w:rPr>
      </w:pPr>
      <w:r w:rsidRPr="003C6DAE">
        <w:rPr>
          <w:rFonts w:ascii="Arial"/>
          <w:i/>
          <w:noProof/>
          <w:sz w:val="20"/>
          <w:szCs w:val="20"/>
          <w:lang w:val="uk-UA"/>
        </w:rPr>
        <mc:AlternateContent>
          <mc:Choice Requires="wpg">
            <w:drawing>
              <wp:anchor distT="0" distB="0" distL="0" distR="0" simplePos="0" relativeHeight="487640064" behindDoc="1" locked="0" layoutInCell="1" allowOverlap="1" wp14:anchorId="7B927D59" wp14:editId="5BA7ED9E">
                <wp:simplePos x="0" y="0"/>
                <wp:positionH relativeFrom="page">
                  <wp:posOffset>901700</wp:posOffset>
                </wp:positionH>
                <wp:positionV relativeFrom="paragraph">
                  <wp:posOffset>252095</wp:posOffset>
                </wp:positionV>
                <wp:extent cx="6057900" cy="215900"/>
                <wp:effectExtent l="0" t="0" r="1905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215900"/>
                          <a:chOff x="0" y="0"/>
                          <a:chExt cx="5760085" cy="247015"/>
                        </a:xfrm>
                      </wpg:grpSpPr>
                      <wps:wsp>
                        <wps:cNvPr id="141" name="Graphic 141"/>
                        <wps:cNvSpPr/>
                        <wps:spPr>
                          <a:xfrm>
                            <a:off x="0" y="4762"/>
                            <a:ext cx="5760085" cy="1270"/>
                          </a:xfrm>
                          <a:custGeom>
                            <a:avLst/>
                            <a:gdLst/>
                            <a:ahLst/>
                            <a:cxnLst/>
                            <a:rect l="l" t="t" r="r" b="b"/>
                            <a:pathLst>
                              <a:path w="5760085">
                                <a:moveTo>
                                  <a:pt x="0" y="0"/>
                                </a:moveTo>
                                <a:lnTo>
                                  <a:pt x="5759996" y="0"/>
                                </a:lnTo>
                              </a:path>
                            </a:pathLst>
                          </a:custGeom>
                          <a:ln w="9525">
                            <a:solidFill>
                              <a:srgbClr val="019648"/>
                            </a:solidFill>
                            <a:prstDash val="solid"/>
                          </a:ln>
                        </wps:spPr>
                        <wps:bodyPr wrap="square" lIns="0" tIns="0" rIns="0" bIns="0" rtlCol="0">
                          <a:prstTxWarp prst="textNoShape">
                            <a:avLst/>
                          </a:prstTxWarp>
                          <a:noAutofit/>
                        </wps:bodyPr>
                      </wps:wsp>
                      <wps:wsp>
                        <wps:cNvPr id="142" name="Graphic 142"/>
                        <wps:cNvSpPr/>
                        <wps:spPr>
                          <a:xfrm>
                            <a:off x="5244458" y="1131"/>
                            <a:ext cx="515620" cy="245745"/>
                          </a:xfrm>
                          <a:custGeom>
                            <a:avLst/>
                            <a:gdLst/>
                            <a:ahLst/>
                            <a:cxnLst/>
                            <a:rect l="l" t="t" r="r" b="b"/>
                            <a:pathLst>
                              <a:path w="515620" h="245745">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a:prstTxWarp prst="textNoShape">
                            <a:avLst/>
                          </a:prstTxWarp>
                          <a:noAutofit/>
                        </wps:bodyPr>
                      </wps:wsp>
                      <wps:wsp>
                        <wps:cNvPr id="143" name="Textbox 143"/>
                        <wps:cNvSpPr txBox="1"/>
                        <wps:spPr>
                          <a:xfrm>
                            <a:off x="0" y="0"/>
                            <a:ext cx="5760085" cy="247015"/>
                          </a:xfrm>
                          <a:prstGeom prst="rect">
                            <a:avLst/>
                          </a:prstGeom>
                        </wps:spPr>
                        <wps:txbx>
                          <w:txbxContent>
                            <w:p w14:paraId="3FC02434" w14:textId="52951AE9" w:rsidR="007372B2" w:rsidRPr="008B7FC9" w:rsidRDefault="007372B2">
                              <w:pPr>
                                <w:spacing w:before="90"/>
                                <w:ind w:right="172"/>
                                <w:jc w:val="right"/>
                                <w:rPr>
                                  <w:sz w:val="20"/>
                                  <w:lang w:val="uk-UA"/>
                                </w:rPr>
                              </w:pPr>
                              <w:r>
                                <w:rPr>
                                  <w:color w:val="FFFFFF"/>
                                  <w:spacing w:val="-5"/>
                                  <w:sz w:val="20"/>
                                  <w:lang w:val="uk-UA"/>
                                </w:rPr>
                                <w:t>НОВА</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B927D59" id="Group 140" o:spid="_x0000_s1062" style="position:absolute;left:0;text-align:left;margin-left:71pt;margin-top:19.85pt;width:477pt;height:17pt;z-index:-15676416;mso-wrap-distance-left:0;mso-wrap-distance-right:0;mso-position-horizontal-relative:page;mso-width-relative:margin;mso-height-relative:margin" coordsize="57600,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">
                <v:shape id="Graphic 141" o:spid="_x0000_s1063" style="position:absolute;top:47;width:57600;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" path="m,l5759996,e" filled="f" strokecolor="#019648">
                  <v:path arrowok="t"/>
                </v:shape>
                <v:shape id="Graphic 142" o:spid="_x0000_s1064" style="position:absolute;left:52444;top:11;width:5156;height:2457;visibility:visible;mso-wrap-style:square;v-text-anchor:top" coordsize="51562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" path="m515543,l,,,122796r9650,47797l35966,209626r39032,26316l122796,245592r269951,l440545,235942r39032,-26316l505893,170593r9650,-47797l515543,xe" fillcolor="#0c8140" stroked="f">
                  <v:path arrowok="t"/>
                </v:shape>
                <v:shape id="Textbox 143" o:spid="_x0000_s1065" type="#_x0000_t202" style="position:absolute;width:5760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3FC02434" w14:textId="52951AE9" w:rsidR="007372B2" w:rsidRPr="008B7FC9" w:rsidRDefault="007372B2">
                        <w:pPr>
                          <w:spacing w:before="90"/>
                          <w:ind w:right="172"/>
                          <w:jc w:val="right"/>
                          <w:rPr>
                            <w:sz w:val="20"/>
                            <w:lang w:val="uk-UA"/>
                          </w:rPr>
                        </w:pPr>
                        <w:r>
                          <w:rPr>
                            <w:color w:val="FFFFFF"/>
                            <w:spacing w:val="-5"/>
                            <w:sz w:val="20"/>
                            <w:lang w:val="uk-UA"/>
                          </w:rPr>
                          <w:t>НОВА</w:t>
                        </w:r>
                      </w:p>
                    </w:txbxContent>
                  </v:textbox>
                </v:shape>
                <w10:wrap type="topAndBottom" anchorx="page"/>
              </v:group>
            </w:pict>
          </mc:Fallback>
        </mc:AlternateContent>
      </w:r>
      <w:r w:rsidRPr="003C6DAE">
        <w:rPr>
          <w:rFonts w:ascii="Arial"/>
          <w:i/>
          <w:sz w:val="20"/>
          <w:szCs w:val="20"/>
          <w:lang w:val="uk-UA"/>
        </w:rPr>
        <w:t>(</w:t>
      </w:r>
      <w:r w:rsidR="008B7FC9" w:rsidRPr="003C6DAE">
        <w:rPr>
          <w:sz w:val="20"/>
          <w:szCs w:val="20"/>
          <w:lang w:val="uk-UA"/>
        </w:rPr>
        <w:t xml:space="preserve"> </w:t>
      </w:r>
      <w:r w:rsidR="008B7FC9" w:rsidRPr="003C6DAE">
        <w:rPr>
          <w:rFonts w:ascii="Arial"/>
          <w:i/>
          <w:sz w:val="20"/>
          <w:szCs w:val="20"/>
          <w:lang w:val="uk-UA"/>
        </w:rPr>
        <w:t>Умовна</w:t>
      </w:r>
      <w:r w:rsidR="008B7FC9" w:rsidRPr="003C6DAE">
        <w:rPr>
          <w:rFonts w:ascii="Arial"/>
          <w:i/>
          <w:sz w:val="20"/>
          <w:szCs w:val="20"/>
          <w:lang w:val="uk-UA"/>
        </w:rPr>
        <w:t xml:space="preserve"> </w:t>
      </w:r>
      <w:r w:rsidR="008B7FC9" w:rsidRPr="003C6DAE">
        <w:rPr>
          <w:rFonts w:ascii="Arial"/>
          <w:i/>
          <w:sz w:val="20"/>
          <w:szCs w:val="20"/>
          <w:lang w:val="uk-UA"/>
        </w:rPr>
        <w:t>рекомендація</w:t>
      </w:r>
      <w:r w:rsidR="008B7FC9" w:rsidRPr="003C6DAE">
        <w:rPr>
          <w:rFonts w:ascii="Arial"/>
          <w:i/>
          <w:sz w:val="20"/>
          <w:szCs w:val="20"/>
          <w:lang w:val="uk-UA"/>
        </w:rPr>
        <w:t xml:space="preserve">, </w:t>
      </w:r>
      <w:r w:rsidR="008B7FC9" w:rsidRPr="003C6DAE">
        <w:rPr>
          <w:rFonts w:ascii="Arial"/>
          <w:i/>
          <w:sz w:val="20"/>
          <w:szCs w:val="20"/>
          <w:lang w:val="uk-UA"/>
        </w:rPr>
        <w:t>помірний</w:t>
      </w:r>
      <w:r w:rsidR="008B7FC9" w:rsidRPr="003C6DAE">
        <w:rPr>
          <w:rFonts w:ascii="Arial"/>
          <w:i/>
          <w:sz w:val="20"/>
          <w:szCs w:val="20"/>
          <w:lang w:val="uk-UA"/>
        </w:rPr>
        <w:t xml:space="preserve"> </w:t>
      </w:r>
      <w:r w:rsidR="008B7FC9" w:rsidRPr="003C6DAE">
        <w:rPr>
          <w:rFonts w:ascii="Arial"/>
          <w:i/>
          <w:sz w:val="20"/>
          <w:szCs w:val="20"/>
          <w:lang w:val="uk-UA"/>
        </w:rPr>
        <w:t>ступінь</w:t>
      </w:r>
      <w:r w:rsidR="008B7FC9" w:rsidRPr="003C6DAE">
        <w:rPr>
          <w:rFonts w:ascii="Arial"/>
          <w:i/>
          <w:sz w:val="20"/>
          <w:szCs w:val="20"/>
          <w:lang w:val="uk-UA"/>
        </w:rPr>
        <w:t xml:space="preserve"> </w:t>
      </w:r>
      <w:r w:rsidR="008B7FC9" w:rsidRPr="003C6DAE">
        <w:rPr>
          <w:rFonts w:ascii="Arial"/>
          <w:i/>
          <w:sz w:val="20"/>
          <w:szCs w:val="20"/>
          <w:lang w:val="uk-UA"/>
        </w:rPr>
        <w:t>достовірності</w:t>
      </w:r>
      <w:r w:rsidR="008B7FC9" w:rsidRPr="003C6DAE">
        <w:rPr>
          <w:rFonts w:ascii="Arial"/>
          <w:i/>
          <w:sz w:val="20"/>
          <w:szCs w:val="20"/>
          <w:lang w:val="uk-UA"/>
        </w:rPr>
        <w:t xml:space="preserve"> </w:t>
      </w:r>
      <w:r w:rsidR="008B7FC9" w:rsidRPr="003C6DAE">
        <w:rPr>
          <w:rFonts w:ascii="Arial"/>
          <w:i/>
          <w:sz w:val="20"/>
          <w:szCs w:val="20"/>
          <w:lang w:val="uk-UA"/>
        </w:rPr>
        <w:t>доказів</w:t>
      </w:r>
      <w:r w:rsidRPr="003C6DAE">
        <w:rPr>
          <w:rFonts w:ascii="Arial"/>
          <w:i/>
          <w:spacing w:val="-2"/>
          <w:sz w:val="20"/>
          <w:szCs w:val="20"/>
          <w:lang w:val="uk-UA"/>
        </w:rPr>
        <w:t>)</w:t>
      </w:r>
    </w:p>
    <w:p w14:paraId="63BF9D1A" w14:textId="6570206D" w:rsidR="00E05B98" w:rsidRPr="003C6DAE" w:rsidRDefault="00E75E29" w:rsidP="004A2937">
      <w:pPr>
        <w:pStyle w:val="a4"/>
        <w:numPr>
          <w:ilvl w:val="0"/>
          <w:numId w:val="32"/>
        </w:numPr>
        <w:tabs>
          <w:tab w:val="left" w:pos="1077"/>
        </w:tabs>
        <w:spacing w:before="45" w:line="249" w:lineRule="auto"/>
        <w:rPr>
          <w:sz w:val="20"/>
          <w:szCs w:val="20"/>
          <w:lang w:val="uk-UA"/>
        </w:rPr>
      </w:pPr>
      <w:r w:rsidRPr="003C6DAE">
        <w:rPr>
          <w:sz w:val="20"/>
          <w:szCs w:val="20"/>
          <w:lang w:val="uk-UA"/>
        </w:rPr>
        <w:t xml:space="preserve">Для дорослих і підлітків з ознаками або симптомами або з позитивним результатом скринінгу на ТБ легень слід використовувати </w:t>
      </w:r>
      <w:r w:rsidRPr="003C6DAE">
        <w:rPr>
          <w:b/>
          <w:bCs/>
          <w:sz w:val="20"/>
          <w:szCs w:val="20"/>
          <w:lang w:val="uk-UA"/>
        </w:rPr>
        <w:t>ручні</w:t>
      </w:r>
      <w:r w:rsidRPr="003C6DAE">
        <w:rPr>
          <w:sz w:val="20"/>
          <w:szCs w:val="20"/>
          <w:lang w:val="uk-UA"/>
        </w:rPr>
        <w:t xml:space="preserve"> ТАНК низької складності для дослідження зразків з дихальних шляхів в якості початкових діагностичних тестів на ТБ, а не мікроскопію мазка або бакпосів.</w:t>
      </w:r>
    </w:p>
    <w:p w14:paraId="48FAD2ED" w14:textId="4F13EB50" w:rsidR="00E05B98" w:rsidRPr="003C6DAE" w:rsidRDefault="00E75E29" w:rsidP="00E75E29">
      <w:pPr>
        <w:spacing w:before="81"/>
        <w:ind w:left="1077"/>
        <w:rPr>
          <w:rFonts w:ascii="Arial"/>
          <w:i/>
          <w:sz w:val="20"/>
          <w:szCs w:val="20"/>
          <w:lang w:val="uk-UA"/>
        </w:rPr>
      </w:pPr>
      <w:r w:rsidRPr="003C6DAE">
        <w:rPr>
          <w:rFonts w:ascii="Arial"/>
          <w:i/>
          <w:noProof/>
          <w:sz w:val="20"/>
          <w:szCs w:val="20"/>
          <w:lang w:val="uk-UA"/>
        </w:rPr>
        <mc:AlternateContent>
          <mc:Choice Requires="wps">
            <w:drawing>
              <wp:anchor distT="0" distB="0" distL="0" distR="0" simplePos="0" relativeHeight="487640576" behindDoc="1" locked="0" layoutInCell="1" allowOverlap="1" wp14:anchorId="48A7806A" wp14:editId="5453B0A5">
                <wp:simplePos x="0" y="0"/>
                <wp:positionH relativeFrom="margin">
                  <wp:align>right</wp:align>
                </wp:positionH>
                <wp:positionV relativeFrom="paragraph">
                  <wp:posOffset>231140</wp:posOffset>
                </wp:positionV>
                <wp:extent cx="6026150" cy="45085"/>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6150" cy="45085"/>
                        </a:xfrm>
                        <a:custGeom>
                          <a:avLst/>
                          <a:gdLst/>
                          <a:ahLst/>
                          <a:cxnLst/>
                          <a:rect l="l" t="t" r="r" b="b"/>
                          <a:pathLst>
                            <a:path w="5760085">
                              <a:moveTo>
                                <a:pt x="0" y="0"/>
                              </a:moveTo>
                              <a:lnTo>
                                <a:pt x="5759996" y="0"/>
                              </a:lnTo>
                            </a:path>
                          </a:pathLst>
                        </a:custGeom>
                        <a:ln w="9525">
                          <a:solidFill>
                            <a:srgbClr val="019648"/>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D612C" id="Graphic 144" o:spid="_x0000_s1026" style="position:absolute;margin-left:423.3pt;margin-top:18.2pt;width:474.5pt;height:3.55pt;z-index:-156759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coordsize="5760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" path="m,l5759996,e" filled="f" strokecolor="#019648">
                <v:path arrowok="t"/>
                <w10:wrap type="topAndBottom" anchorx="margin"/>
              </v:shape>
            </w:pict>
          </mc:Fallback>
        </mc:AlternateContent>
      </w:r>
      <w:r w:rsidR="00B01E0C" w:rsidRPr="003C6DAE">
        <w:rPr>
          <w:rFonts w:ascii="Arial"/>
          <w:i/>
          <w:sz w:val="20"/>
          <w:szCs w:val="20"/>
          <w:lang w:val="uk-UA"/>
        </w:rPr>
        <w:t>(</w:t>
      </w:r>
      <w:r w:rsidR="0041509F" w:rsidRPr="003C6DAE">
        <w:rPr>
          <w:rFonts w:ascii="Arial"/>
          <w:i/>
          <w:sz w:val="20"/>
          <w:szCs w:val="20"/>
          <w:lang w:val="uk-UA"/>
        </w:rPr>
        <w:t>Настійна</w:t>
      </w:r>
      <w:r w:rsidR="0041509F" w:rsidRPr="003C6DAE">
        <w:rPr>
          <w:rFonts w:ascii="Arial"/>
          <w:i/>
          <w:sz w:val="20"/>
          <w:szCs w:val="20"/>
          <w:lang w:val="uk-UA"/>
        </w:rPr>
        <w:t xml:space="preserve"> </w:t>
      </w:r>
      <w:r w:rsidR="0041509F" w:rsidRPr="003C6DAE">
        <w:rPr>
          <w:rFonts w:ascii="Arial"/>
          <w:i/>
          <w:sz w:val="20"/>
          <w:szCs w:val="20"/>
          <w:lang w:val="uk-UA"/>
        </w:rPr>
        <w:t>рекомендація</w:t>
      </w:r>
      <w:r w:rsidR="0041509F" w:rsidRPr="003C6DAE">
        <w:rPr>
          <w:rFonts w:ascii="Arial"/>
          <w:i/>
          <w:sz w:val="20"/>
          <w:szCs w:val="20"/>
          <w:lang w:val="uk-UA"/>
        </w:rPr>
        <w:t>,</w:t>
      </w:r>
      <w:r w:rsidR="0041509F" w:rsidRPr="003C6DAE">
        <w:rPr>
          <w:rFonts w:ascii="Arial"/>
          <w:i/>
          <w:spacing w:val="-2"/>
          <w:sz w:val="20"/>
          <w:szCs w:val="20"/>
          <w:lang w:val="uk-UA"/>
        </w:rPr>
        <w:t xml:space="preserve"> </w:t>
      </w:r>
      <w:r w:rsidR="0041509F" w:rsidRPr="003C6DAE">
        <w:rPr>
          <w:rFonts w:ascii="Arial"/>
          <w:i/>
          <w:sz w:val="20"/>
          <w:szCs w:val="20"/>
          <w:lang w:val="uk-UA"/>
        </w:rPr>
        <w:t>висока</w:t>
      </w:r>
      <w:r w:rsidR="0041509F" w:rsidRPr="003C6DAE">
        <w:rPr>
          <w:rFonts w:ascii="Arial"/>
          <w:i/>
          <w:sz w:val="20"/>
          <w:szCs w:val="20"/>
          <w:lang w:val="uk-UA"/>
        </w:rPr>
        <w:t xml:space="preserve"> </w:t>
      </w:r>
      <w:r w:rsidR="0041509F" w:rsidRPr="003C6DAE">
        <w:rPr>
          <w:rFonts w:ascii="Arial"/>
          <w:i/>
          <w:sz w:val="20"/>
          <w:szCs w:val="20"/>
          <w:lang w:val="uk-UA"/>
        </w:rPr>
        <w:t>достовірність</w:t>
      </w:r>
      <w:r w:rsidR="0041509F" w:rsidRPr="003C6DAE">
        <w:rPr>
          <w:rFonts w:ascii="Arial"/>
          <w:i/>
          <w:sz w:val="20"/>
          <w:szCs w:val="20"/>
          <w:lang w:val="uk-UA"/>
        </w:rPr>
        <w:t xml:space="preserve"> </w:t>
      </w:r>
      <w:r w:rsidR="0041509F" w:rsidRPr="003C6DAE">
        <w:rPr>
          <w:rFonts w:ascii="Arial"/>
          <w:i/>
          <w:sz w:val="20"/>
          <w:szCs w:val="20"/>
          <w:lang w:val="uk-UA"/>
        </w:rPr>
        <w:t>доказів</w:t>
      </w:r>
      <w:r w:rsidR="00B01E0C" w:rsidRPr="003C6DAE">
        <w:rPr>
          <w:rFonts w:ascii="Arial"/>
          <w:i/>
          <w:spacing w:val="-2"/>
          <w:sz w:val="20"/>
          <w:szCs w:val="20"/>
          <w:lang w:val="uk-UA"/>
        </w:rPr>
        <w:t>)</w:t>
      </w:r>
    </w:p>
    <w:p w14:paraId="3F9C2F6A" w14:textId="44E2FC0C" w:rsidR="00E75E29" w:rsidRPr="003C6DAE" w:rsidRDefault="00E75E29" w:rsidP="00E75E29">
      <w:pPr>
        <w:pStyle w:val="a3"/>
        <w:spacing w:before="8" w:line="216" w:lineRule="auto"/>
        <w:rPr>
          <w:sz w:val="20"/>
          <w:szCs w:val="20"/>
          <w:vertAlign w:val="superscript"/>
          <w:lang w:val="uk-UA"/>
        </w:rPr>
      </w:pPr>
      <w:r w:rsidRPr="003C6DAE">
        <w:rPr>
          <w:rFonts w:ascii="Arial"/>
          <w:i/>
          <w:noProof/>
          <w:sz w:val="20"/>
          <w:szCs w:val="20"/>
          <w:lang w:val="uk-UA"/>
        </w:rPr>
        <mc:AlternateContent>
          <mc:Choice Requires="wps">
            <w:drawing>
              <wp:anchor distT="0" distB="0" distL="0" distR="0" simplePos="0" relativeHeight="487641088" behindDoc="1" locked="0" layoutInCell="1" allowOverlap="1" wp14:anchorId="6E140CE3" wp14:editId="29AC9983">
                <wp:simplePos x="0" y="0"/>
                <wp:positionH relativeFrom="page">
                  <wp:posOffset>899795</wp:posOffset>
                </wp:positionH>
                <wp:positionV relativeFrom="paragraph">
                  <wp:posOffset>104775</wp:posOffset>
                </wp:positionV>
                <wp:extent cx="1440180" cy="127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BD01EE" id="Graphic 145" o:spid="_x0000_s1026" style="position:absolute;margin-left:70.85pt;margin-top:8.25pt;width:113.4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1440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" path="m,l1440002,e" filled="f" strokeweight=".5pt">
                <v:path arrowok="t"/>
                <w10:wrap type="topAndBottom" anchorx="page"/>
              </v:shape>
            </w:pict>
          </mc:Fallback>
        </mc:AlternateContent>
      </w:r>
    </w:p>
    <w:p w14:paraId="0E7B7D50" w14:textId="78F14365" w:rsidR="00E05B98" w:rsidRPr="003C6DAE" w:rsidRDefault="00B01E0C" w:rsidP="005A424B">
      <w:pPr>
        <w:pStyle w:val="a3"/>
        <w:spacing w:before="8" w:line="216" w:lineRule="auto"/>
        <w:ind w:left="709" w:right="-141" w:hanging="142"/>
        <w:jc w:val="both"/>
        <w:rPr>
          <w:sz w:val="15"/>
          <w:szCs w:val="15"/>
          <w:lang w:val="uk-UA"/>
        </w:rPr>
      </w:pPr>
      <w:r w:rsidRPr="00DE0080">
        <w:rPr>
          <w:sz w:val="15"/>
          <w:szCs w:val="15"/>
          <w:vertAlign w:val="superscript"/>
          <w:lang w:val="uk-UA"/>
        </w:rPr>
        <w:t>1</w:t>
      </w:r>
      <w:r w:rsidR="00DE0080">
        <w:rPr>
          <w:spacing w:val="65"/>
          <w:sz w:val="20"/>
          <w:szCs w:val="20"/>
          <w:lang w:val="uk-UA"/>
        </w:rPr>
        <w:tab/>
      </w:r>
      <w:r w:rsidR="005A424B" w:rsidRPr="003C6DAE">
        <w:rPr>
          <w:sz w:val="15"/>
          <w:szCs w:val="15"/>
          <w:lang w:val="uk-UA"/>
        </w:rPr>
        <w:t xml:space="preserve">Наявність позитивного результату тесту, обстеження або іншої процедури, </w:t>
      </w:r>
      <w:r w:rsidR="00DE0080">
        <w:rPr>
          <w:sz w:val="15"/>
          <w:szCs w:val="15"/>
          <w:lang w:val="uk-UA"/>
        </w:rPr>
        <w:t>яка</w:t>
      </w:r>
      <w:r w:rsidR="005A424B" w:rsidRPr="003C6DAE">
        <w:rPr>
          <w:sz w:val="15"/>
          <w:szCs w:val="15"/>
          <w:lang w:val="uk-UA"/>
        </w:rPr>
        <w:t xml:space="preserve"> використовується для того, щоб відрізнити людей з високою ймовірністю захворювання на ТБ від людей з низькою ймовірністю захворювання на ТБ. Наразі ВООЗ рекомендує такі скринінгові тести: рентгенографія органів грудної клітки (Р</w:t>
      </w:r>
      <w:r w:rsidR="00DE0080">
        <w:rPr>
          <w:sz w:val="15"/>
          <w:szCs w:val="15"/>
          <w:lang w:val="uk-UA"/>
        </w:rPr>
        <w:t>О</w:t>
      </w:r>
      <w:r w:rsidR="005A424B" w:rsidRPr="003C6DAE">
        <w:rPr>
          <w:sz w:val="15"/>
          <w:szCs w:val="15"/>
          <w:lang w:val="uk-UA"/>
        </w:rPr>
        <w:t>ГК) з комп'ютерною діагностикою (КД) або без неї, визначення рівня С-реактивного білка (СРБ) у людей, які живуть з ВІЛ, та молекулярний швидкий тест на ТБ, рекомендований ВООЗ (mWRD).</w:t>
      </w:r>
      <w:r w:rsidRPr="003C6DAE">
        <w:rPr>
          <w:sz w:val="15"/>
          <w:szCs w:val="15"/>
          <w:lang w:val="uk-UA"/>
        </w:rPr>
        <w:t xml:space="preserve"> (</w:t>
      </w:r>
      <w:r>
        <w:fldChar w:fldCharType="begin"/>
      </w:r>
      <w:r>
        <w:instrText>HYPERLINK</w:instrText>
      </w:r>
      <w:r w:rsidRPr="00D029FF">
        <w:rPr>
          <w:lang w:val="uk-UA"/>
        </w:rPr>
        <w:instrText xml:space="preserve"> "</w:instrText>
      </w:r>
      <w:r>
        <w:instrText>https</w:instrText>
      </w:r>
      <w:r w:rsidRPr="00D029FF">
        <w:rPr>
          <w:lang w:val="uk-UA"/>
        </w:rPr>
        <w:instrText>://</w:instrText>
      </w:r>
      <w:r>
        <w:instrText>www</w:instrText>
      </w:r>
      <w:r w:rsidRPr="00D029FF">
        <w:rPr>
          <w:lang w:val="uk-UA"/>
        </w:rPr>
        <w:instrText>.</w:instrText>
      </w:r>
      <w:r>
        <w:instrText>who</w:instrText>
      </w:r>
      <w:r w:rsidRPr="00D029FF">
        <w:rPr>
          <w:lang w:val="uk-UA"/>
        </w:rPr>
        <w:instrText>.</w:instrText>
      </w:r>
      <w:r>
        <w:instrText>int</w:instrText>
      </w:r>
      <w:r w:rsidRPr="00D029FF">
        <w:rPr>
          <w:lang w:val="uk-UA"/>
        </w:rPr>
        <w:instrText>/</w:instrText>
      </w:r>
      <w:r>
        <w:instrText>publications</w:instrText>
      </w:r>
      <w:r w:rsidRPr="00D029FF">
        <w:rPr>
          <w:lang w:val="uk-UA"/>
        </w:rPr>
        <w:instrText>/</w:instrText>
      </w:r>
      <w:r>
        <w:instrText>i</w:instrText>
      </w:r>
      <w:r w:rsidRPr="00D029FF">
        <w:rPr>
          <w:lang w:val="uk-UA"/>
        </w:rPr>
        <w:instrText>/</w:instrText>
      </w:r>
      <w:r>
        <w:instrText>item</w:instrText>
      </w:r>
      <w:r w:rsidRPr="00D029FF">
        <w:rPr>
          <w:lang w:val="uk-UA"/>
        </w:rPr>
        <w:instrText>/9789240022676" \</w:instrText>
      </w:r>
      <w:r>
        <w:instrText>h</w:instrText>
      </w:r>
      <w:r>
        <w:fldChar w:fldCharType="separate"/>
      </w:r>
      <w:r w:rsidRPr="003C6DAE">
        <w:rPr>
          <w:color w:val="019648"/>
          <w:sz w:val="15"/>
          <w:szCs w:val="15"/>
          <w:lang w:val="uk-UA"/>
        </w:rPr>
        <w:t>https://www.who.</w:t>
      </w:r>
      <w:r>
        <w:fldChar w:fldCharType="end"/>
      </w:r>
      <w:r>
        <w:fldChar w:fldCharType="begin"/>
      </w:r>
      <w:r>
        <w:instrText>HYPERLINK</w:instrText>
      </w:r>
      <w:r w:rsidRPr="00D029FF">
        <w:rPr>
          <w:lang w:val="uk-UA"/>
        </w:rPr>
        <w:instrText xml:space="preserve"> "</w:instrText>
      </w:r>
      <w:r>
        <w:instrText>https</w:instrText>
      </w:r>
      <w:r w:rsidRPr="00D029FF">
        <w:rPr>
          <w:lang w:val="uk-UA"/>
        </w:rPr>
        <w:instrText>://</w:instrText>
      </w:r>
      <w:r>
        <w:instrText>www</w:instrText>
      </w:r>
      <w:r w:rsidRPr="00D029FF">
        <w:rPr>
          <w:lang w:val="uk-UA"/>
        </w:rPr>
        <w:instrText>.</w:instrText>
      </w:r>
      <w:r>
        <w:instrText>who</w:instrText>
      </w:r>
      <w:r w:rsidRPr="00D029FF">
        <w:rPr>
          <w:lang w:val="uk-UA"/>
        </w:rPr>
        <w:instrText>.</w:instrText>
      </w:r>
      <w:r>
        <w:instrText>int</w:instrText>
      </w:r>
      <w:r w:rsidRPr="00D029FF">
        <w:rPr>
          <w:lang w:val="uk-UA"/>
        </w:rPr>
        <w:instrText>/</w:instrText>
      </w:r>
      <w:r>
        <w:instrText>publications</w:instrText>
      </w:r>
      <w:r w:rsidRPr="00D029FF">
        <w:rPr>
          <w:lang w:val="uk-UA"/>
        </w:rPr>
        <w:instrText>/</w:instrText>
      </w:r>
      <w:r>
        <w:instrText>i</w:instrText>
      </w:r>
      <w:r w:rsidRPr="00D029FF">
        <w:rPr>
          <w:lang w:val="uk-UA"/>
        </w:rPr>
        <w:instrText>/</w:instrText>
      </w:r>
      <w:r>
        <w:instrText>item</w:instrText>
      </w:r>
      <w:r w:rsidRPr="00D029FF">
        <w:rPr>
          <w:lang w:val="uk-UA"/>
        </w:rPr>
        <w:instrText>/9789240022676" \</w:instrText>
      </w:r>
      <w:r>
        <w:instrText>h</w:instrText>
      </w:r>
      <w:r>
        <w:fldChar w:fldCharType="separate"/>
      </w:r>
      <w:r w:rsidRPr="003C6DAE">
        <w:rPr>
          <w:color w:val="019648"/>
          <w:spacing w:val="-2"/>
          <w:sz w:val="15"/>
          <w:szCs w:val="15"/>
          <w:lang w:val="uk-UA"/>
        </w:rPr>
        <w:t>int/publications/i/item/9789240022676</w:t>
      </w:r>
      <w:r>
        <w:fldChar w:fldCharType="end"/>
      </w:r>
      <w:r w:rsidRPr="003C6DAE">
        <w:rPr>
          <w:spacing w:val="-2"/>
          <w:sz w:val="15"/>
          <w:szCs w:val="15"/>
          <w:lang w:val="uk-UA"/>
        </w:rPr>
        <w:t>).</w:t>
      </w:r>
    </w:p>
    <w:p w14:paraId="32830D8D" w14:textId="1E99873B" w:rsidR="00E05B98" w:rsidRPr="003C6DAE" w:rsidRDefault="009B5E1D" w:rsidP="00E75E29">
      <w:pPr>
        <w:spacing w:before="61" w:line="216" w:lineRule="auto"/>
        <w:ind w:left="709" w:hanging="142"/>
        <w:jc w:val="both"/>
        <w:rPr>
          <w:sz w:val="15"/>
          <w:szCs w:val="15"/>
          <w:lang w:val="uk-UA"/>
        </w:rPr>
      </w:pPr>
      <w:r w:rsidRPr="003C6DAE">
        <w:rPr>
          <w:noProof/>
          <w:sz w:val="15"/>
          <w:szCs w:val="15"/>
          <w:vertAlign w:val="superscript"/>
          <w:lang w:val="uk-UA"/>
        </w:rPr>
        <mc:AlternateContent>
          <mc:Choice Requires="wps">
            <w:drawing>
              <wp:anchor distT="0" distB="0" distL="114300" distR="114300" simplePos="0" relativeHeight="488082944" behindDoc="0" locked="0" layoutInCell="1" allowOverlap="1" wp14:anchorId="0FEF2D90" wp14:editId="62F1D4BD">
                <wp:simplePos x="0" y="0"/>
                <wp:positionH relativeFrom="column">
                  <wp:posOffset>194147</wp:posOffset>
                </wp:positionH>
                <wp:positionV relativeFrom="paragraph">
                  <wp:posOffset>1112835</wp:posOffset>
                </wp:positionV>
                <wp:extent cx="6394450" cy="374650"/>
                <wp:effectExtent l="0" t="0" r="6350" b="6350"/>
                <wp:wrapNone/>
                <wp:docPr id="1114014189" name="Поле 2308"/>
                <wp:cNvGraphicFramePr/>
                <a:graphic xmlns:a="http://schemas.openxmlformats.org/drawingml/2006/main">
                  <a:graphicData uri="http://schemas.microsoft.com/office/word/2010/wordprocessingShape">
                    <wps:wsp>
                      <wps:cNvSpPr txBox="1"/>
                      <wps:spPr>
                        <a:xfrm>
                          <a:off x="0" y="0"/>
                          <a:ext cx="6394450" cy="374650"/>
                        </a:xfrm>
                        <a:prstGeom prst="rect">
                          <a:avLst/>
                        </a:prstGeom>
                        <a:solidFill>
                          <a:schemeClr val="bg1"/>
                        </a:solidFill>
                        <a:ln w="6350">
                          <a:noFill/>
                        </a:ln>
                      </wps:spPr>
                      <wps:txbx>
                        <w:txbxContent>
                          <w:p w14:paraId="35F5C506" w14:textId="5D5D1AC1" w:rsidR="007372B2" w:rsidRPr="009B5E1D" w:rsidRDefault="007372B2">
                            <w:pPr>
                              <w:rPr>
                                <w:lang w:val="ru-RU"/>
                              </w:rPr>
                            </w:pPr>
                            <w:r w:rsidRPr="004E11CC">
                              <w:rPr>
                                <w:color w:val="019648"/>
                                <w:sz w:val="16"/>
                                <w:lang w:val="ru-RU"/>
                              </w:rPr>
                              <w:t>хіі</w:t>
                            </w:r>
                            <w:r>
                              <w:rPr>
                                <w:color w:val="019648"/>
                                <w:sz w:val="16"/>
                                <w:lang w:val="uk-UA"/>
                              </w:rPr>
                              <w:t xml:space="preserve">       </w:t>
                            </w: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F2D90" id="Поле 2308" o:spid="_x0000_s1066" type="#_x0000_t202" style="position:absolute;left:0;text-align:left;margin-left:15.3pt;margin-top:87.6pt;width:503.5pt;height:29.5pt;z-index:48808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" fillcolor="white [3212]" stroked="f" strokeweight=".5pt">
                <v:textbox>
                  <w:txbxContent>
                    <w:p w14:paraId="35F5C506" w14:textId="5D5D1AC1" w:rsidR="007372B2" w:rsidRPr="009B5E1D" w:rsidRDefault="007372B2">
                      <w:pPr>
                        <w:rPr>
                          <w:lang w:val="ru-RU"/>
                        </w:rPr>
                      </w:pPr>
                      <w:r w:rsidRPr="004E11CC">
                        <w:rPr>
                          <w:color w:val="019648"/>
                          <w:sz w:val="16"/>
                          <w:lang w:val="ru-RU"/>
                        </w:rPr>
                        <w:t>хіі</w:t>
                      </w:r>
                      <w:r>
                        <w:rPr>
                          <w:color w:val="019648"/>
                          <w:sz w:val="16"/>
                          <w:lang w:val="uk-UA"/>
                        </w:rPr>
                        <w:t xml:space="preserve">       </w:t>
                      </w: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txbxContent>
                </v:textbox>
              </v:shape>
            </w:pict>
          </mc:Fallback>
        </mc:AlternateContent>
      </w:r>
      <w:r w:rsidR="00B01E0C" w:rsidRPr="003C6DAE">
        <w:rPr>
          <w:sz w:val="15"/>
          <w:szCs w:val="15"/>
          <w:vertAlign w:val="superscript"/>
          <w:lang w:val="uk-UA"/>
        </w:rPr>
        <w:t>2</w:t>
      </w:r>
      <w:r w:rsidR="00DE0080">
        <w:rPr>
          <w:spacing w:val="80"/>
          <w:w w:val="150"/>
          <w:sz w:val="15"/>
          <w:szCs w:val="15"/>
          <w:lang w:val="uk-UA"/>
        </w:rPr>
        <w:tab/>
      </w:r>
      <w:r w:rsidR="005A424B" w:rsidRPr="003C6DAE">
        <w:rPr>
          <w:sz w:val="15"/>
          <w:szCs w:val="15"/>
          <w:lang w:val="uk-UA"/>
        </w:rPr>
        <w:t>Бактеріологічно підтверджений випадок ТБ - це випадок, коли біологічний зразок є позитивним за результатами мікроскопії мазка, бакпосіву або ТМЧ (наприклад, тест Xpert MTB/RIF). Про всі такі випадки слід повідомляти незалежно від того, чи було розпочато лікування ТБ</w:t>
      </w:r>
      <w:r w:rsidR="00B01E0C" w:rsidRPr="003C6DAE">
        <w:rPr>
          <w:spacing w:val="-2"/>
          <w:sz w:val="15"/>
          <w:szCs w:val="15"/>
          <w:lang w:val="uk-UA"/>
        </w:rPr>
        <w:t xml:space="preserve"> </w:t>
      </w:r>
      <w:r w:rsidR="00B01E0C" w:rsidRPr="003C6DAE">
        <w:rPr>
          <w:sz w:val="15"/>
          <w:szCs w:val="15"/>
          <w:lang w:val="uk-UA"/>
        </w:rPr>
        <w:t>(</w:t>
      </w:r>
      <w:r w:rsidR="00B01E0C">
        <w:fldChar w:fldCharType="begin"/>
      </w:r>
      <w:r w:rsidR="00B01E0C">
        <w:instrText>HYPERLINK</w:instrText>
      </w:r>
      <w:r w:rsidR="00B01E0C" w:rsidRPr="00D029FF">
        <w:rPr>
          <w:lang w:val="ru-RU"/>
        </w:rPr>
        <w:instrText xml:space="preserve"> "</w:instrText>
      </w:r>
      <w:r w:rsidR="00B01E0C">
        <w:instrText>https</w:instrText>
      </w:r>
      <w:r w:rsidR="00B01E0C" w:rsidRPr="00D029FF">
        <w:rPr>
          <w:lang w:val="ru-RU"/>
        </w:rPr>
        <w:instrText>://</w:instrText>
      </w:r>
      <w:r w:rsidR="00B01E0C">
        <w:instrText>www</w:instrText>
      </w:r>
      <w:r w:rsidR="00B01E0C" w:rsidRPr="00D029FF">
        <w:rPr>
          <w:lang w:val="ru-RU"/>
        </w:rPr>
        <w:instrText>.</w:instrText>
      </w:r>
      <w:r w:rsidR="00B01E0C">
        <w:instrText>who</w:instrText>
      </w:r>
      <w:r w:rsidR="00B01E0C" w:rsidRPr="00D029FF">
        <w:rPr>
          <w:lang w:val="ru-RU"/>
        </w:rPr>
        <w:instrText>.</w:instrText>
      </w:r>
      <w:r w:rsidR="00B01E0C">
        <w:instrText>int</w:instrText>
      </w:r>
      <w:r w:rsidR="00B01E0C" w:rsidRPr="00D029FF">
        <w:rPr>
          <w:lang w:val="ru-RU"/>
        </w:rPr>
        <w:instrText>/</w:instrText>
      </w:r>
      <w:r w:rsidR="00B01E0C">
        <w:instrText>publications</w:instrText>
      </w:r>
      <w:r w:rsidR="00B01E0C" w:rsidRPr="00D029FF">
        <w:rPr>
          <w:lang w:val="ru-RU"/>
        </w:rPr>
        <w:instrText>/</w:instrText>
      </w:r>
      <w:r w:rsidR="00B01E0C">
        <w:instrText>i</w:instrText>
      </w:r>
      <w:r w:rsidR="00B01E0C" w:rsidRPr="00D029FF">
        <w:rPr>
          <w:lang w:val="ru-RU"/>
        </w:rPr>
        <w:instrText>/</w:instrText>
      </w:r>
      <w:r w:rsidR="00B01E0C">
        <w:instrText>item</w:instrText>
      </w:r>
      <w:r w:rsidR="00B01E0C" w:rsidRPr="00D029FF">
        <w:rPr>
          <w:lang w:val="ru-RU"/>
        </w:rPr>
        <w:instrText>/9789241505345" \</w:instrText>
      </w:r>
      <w:r w:rsidR="00B01E0C">
        <w:instrText>h</w:instrText>
      </w:r>
      <w:r w:rsidR="00B01E0C">
        <w:fldChar w:fldCharType="separate"/>
      </w:r>
      <w:r w:rsidR="00B01E0C" w:rsidRPr="003C6DAE">
        <w:rPr>
          <w:color w:val="019648"/>
          <w:sz w:val="15"/>
          <w:szCs w:val="15"/>
          <w:lang w:val="uk-UA"/>
        </w:rPr>
        <w:t>https://www.who.</w:t>
      </w:r>
      <w:r w:rsidR="00B01E0C">
        <w:fldChar w:fldCharType="end"/>
      </w:r>
      <w:r w:rsidR="00B01E0C">
        <w:fldChar w:fldCharType="begin"/>
      </w:r>
      <w:r w:rsidR="00B01E0C">
        <w:instrText>HYPERLINK</w:instrText>
      </w:r>
      <w:r w:rsidR="00B01E0C" w:rsidRPr="00D029FF">
        <w:rPr>
          <w:lang w:val="ru-RU"/>
        </w:rPr>
        <w:instrText xml:space="preserve"> "</w:instrText>
      </w:r>
      <w:r w:rsidR="00B01E0C">
        <w:instrText>https</w:instrText>
      </w:r>
      <w:r w:rsidR="00B01E0C" w:rsidRPr="00D029FF">
        <w:rPr>
          <w:lang w:val="ru-RU"/>
        </w:rPr>
        <w:instrText>://</w:instrText>
      </w:r>
      <w:r w:rsidR="00B01E0C">
        <w:instrText>www</w:instrText>
      </w:r>
      <w:r w:rsidR="00B01E0C" w:rsidRPr="00D029FF">
        <w:rPr>
          <w:lang w:val="ru-RU"/>
        </w:rPr>
        <w:instrText>.</w:instrText>
      </w:r>
      <w:r w:rsidR="00B01E0C">
        <w:instrText>who</w:instrText>
      </w:r>
      <w:r w:rsidR="00B01E0C" w:rsidRPr="00D029FF">
        <w:rPr>
          <w:lang w:val="ru-RU"/>
        </w:rPr>
        <w:instrText>.</w:instrText>
      </w:r>
      <w:r w:rsidR="00B01E0C">
        <w:instrText>int</w:instrText>
      </w:r>
      <w:r w:rsidR="00B01E0C" w:rsidRPr="00D029FF">
        <w:rPr>
          <w:lang w:val="ru-RU"/>
        </w:rPr>
        <w:instrText>/</w:instrText>
      </w:r>
      <w:r w:rsidR="00B01E0C">
        <w:instrText>publications</w:instrText>
      </w:r>
      <w:r w:rsidR="00B01E0C" w:rsidRPr="00D029FF">
        <w:rPr>
          <w:lang w:val="ru-RU"/>
        </w:rPr>
        <w:instrText>/</w:instrText>
      </w:r>
      <w:r w:rsidR="00B01E0C">
        <w:instrText>i</w:instrText>
      </w:r>
      <w:r w:rsidR="00B01E0C" w:rsidRPr="00D029FF">
        <w:rPr>
          <w:lang w:val="ru-RU"/>
        </w:rPr>
        <w:instrText>/</w:instrText>
      </w:r>
      <w:r w:rsidR="00B01E0C">
        <w:instrText>item</w:instrText>
      </w:r>
      <w:r w:rsidR="00B01E0C" w:rsidRPr="00D029FF">
        <w:rPr>
          <w:lang w:val="ru-RU"/>
        </w:rPr>
        <w:instrText>/9789241505345" \</w:instrText>
      </w:r>
      <w:r w:rsidR="00B01E0C">
        <w:instrText>h</w:instrText>
      </w:r>
      <w:r w:rsidR="00B01E0C">
        <w:fldChar w:fldCharType="separate"/>
      </w:r>
      <w:r w:rsidR="00B01E0C" w:rsidRPr="003C6DAE">
        <w:rPr>
          <w:color w:val="019648"/>
          <w:spacing w:val="-2"/>
          <w:sz w:val="15"/>
          <w:szCs w:val="15"/>
          <w:lang w:val="uk-UA"/>
        </w:rPr>
        <w:t>int/publications/i/item/9789241505345</w:t>
      </w:r>
      <w:r w:rsidR="00B01E0C">
        <w:fldChar w:fldCharType="end"/>
      </w:r>
      <w:r w:rsidR="00B01E0C" w:rsidRPr="003C6DAE">
        <w:rPr>
          <w:spacing w:val="-2"/>
          <w:sz w:val="15"/>
          <w:szCs w:val="15"/>
          <w:lang w:val="uk-UA"/>
        </w:rPr>
        <w:t>).</w:t>
      </w:r>
    </w:p>
    <w:p w14:paraId="68ABA97F" w14:textId="77777777" w:rsidR="00E05B98" w:rsidRPr="003C6DAE" w:rsidRDefault="00E05B98" w:rsidP="00E75E29">
      <w:pPr>
        <w:spacing w:line="290" w:lineRule="auto"/>
        <w:ind w:left="709" w:hanging="142"/>
        <w:jc w:val="both"/>
        <w:rPr>
          <w:sz w:val="15"/>
          <w:szCs w:val="15"/>
          <w:lang w:val="uk-UA"/>
        </w:rPr>
        <w:sectPr w:rsidR="00E05B98" w:rsidRPr="003C6DAE" w:rsidSect="00CB0367">
          <w:pgSz w:w="11910" w:h="16840"/>
          <w:pgMar w:top="1320" w:right="995" w:bottom="760" w:left="850" w:header="0" w:footer="573" w:gutter="0"/>
          <w:cols w:space="720"/>
        </w:sectPr>
      </w:pPr>
    </w:p>
    <w:p w14:paraId="1C924DB9" w14:textId="77777777" w:rsidR="00E05B98" w:rsidRPr="003C6DAE" w:rsidRDefault="00B01E0C" w:rsidP="00CA43FC">
      <w:pPr>
        <w:pStyle w:val="a3"/>
        <w:spacing w:after="43" w:line="269" w:lineRule="auto"/>
        <w:ind w:left="559"/>
        <w:rPr>
          <w:sz w:val="20"/>
          <w:szCs w:val="20"/>
          <w:lang w:val="uk-UA"/>
        </w:rPr>
      </w:pPr>
      <w:r w:rsidRPr="003C6DAE">
        <w:rPr>
          <w:noProof/>
          <w:sz w:val="20"/>
          <w:szCs w:val="20"/>
          <w:lang w:val="uk-UA"/>
        </w:rPr>
        <w:lastRenderedPageBreak/>
        <mc:AlternateContent>
          <mc:Choice Requires="wpg">
            <w:drawing>
              <wp:inline distT="0" distB="0" distL="0" distR="0" wp14:anchorId="24E22C7E" wp14:editId="5E99141F">
                <wp:extent cx="6054725" cy="228600"/>
                <wp:effectExtent l="0" t="0" r="22225" b="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4725" cy="228600"/>
                          <a:chOff x="0" y="0"/>
                          <a:chExt cx="5760085" cy="245745"/>
                        </a:xfrm>
                      </wpg:grpSpPr>
                      <wps:wsp>
                        <wps:cNvPr id="147" name="Graphic 147"/>
                        <wps:cNvSpPr/>
                        <wps:spPr>
                          <a:xfrm>
                            <a:off x="0" y="4762"/>
                            <a:ext cx="5760085" cy="1270"/>
                          </a:xfrm>
                          <a:custGeom>
                            <a:avLst/>
                            <a:gdLst/>
                            <a:ahLst/>
                            <a:cxnLst/>
                            <a:rect l="l" t="t" r="r" b="b"/>
                            <a:pathLst>
                              <a:path w="5760085">
                                <a:moveTo>
                                  <a:pt x="0" y="0"/>
                                </a:moveTo>
                                <a:lnTo>
                                  <a:pt x="5759996" y="0"/>
                                </a:lnTo>
                              </a:path>
                            </a:pathLst>
                          </a:custGeom>
                          <a:ln w="9525">
                            <a:solidFill>
                              <a:srgbClr val="019648"/>
                            </a:solidFill>
                            <a:prstDash val="solid"/>
                          </a:ln>
                        </wps:spPr>
                        <wps:bodyPr wrap="square" lIns="0" tIns="0" rIns="0" bIns="0" rtlCol="0">
                          <a:prstTxWarp prst="textNoShape">
                            <a:avLst/>
                          </a:prstTxWarp>
                          <a:noAutofit/>
                        </wps:bodyPr>
                      </wps:wsp>
                      <wps:wsp>
                        <wps:cNvPr id="148" name="Graphic 148"/>
                        <wps:cNvSpPr/>
                        <wps:spPr>
                          <a:xfrm>
                            <a:off x="5244458" y="0"/>
                            <a:ext cx="515620" cy="245745"/>
                          </a:xfrm>
                          <a:custGeom>
                            <a:avLst/>
                            <a:gdLst/>
                            <a:ahLst/>
                            <a:cxnLst/>
                            <a:rect l="l" t="t" r="r" b="b"/>
                            <a:pathLst>
                              <a:path w="515620" h="245745">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a:prstTxWarp prst="textNoShape">
                            <a:avLst/>
                          </a:prstTxWarp>
                          <a:noAutofit/>
                        </wps:bodyPr>
                      </wps:wsp>
                      <wps:wsp>
                        <wps:cNvPr id="149" name="Textbox 149"/>
                        <wps:cNvSpPr txBox="1"/>
                        <wps:spPr>
                          <a:xfrm>
                            <a:off x="0" y="0"/>
                            <a:ext cx="5760085" cy="245745"/>
                          </a:xfrm>
                          <a:prstGeom prst="rect">
                            <a:avLst/>
                          </a:prstGeom>
                        </wps:spPr>
                        <wps:txbx>
                          <w:txbxContent>
                            <w:p w14:paraId="455F9BE4" w14:textId="0A287D91" w:rsidR="007372B2" w:rsidRPr="005A424B" w:rsidRDefault="007372B2">
                              <w:pPr>
                                <w:spacing w:before="89"/>
                                <w:ind w:right="172"/>
                                <w:jc w:val="right"/>
                                <w:rPr>
                                  <w:sz w:val="20"/>
                                  <w:lang w:val="uk-UA"/>
                                </w:rPr>
                              </w:pPr>
                              <w:r>
                                <w:rPr>
                                  <w:color w:val="FFFFFF"/>
                                  <w:spacing w:val="-5"/>
                                  <w:sz w:val="20"/>
                                  <w:lang w:val="uk-UA"/>
                                </w:rPr>
                                <w:t>НОВА</w:t>
                              </w:r>
                            </w:p>
                          </w:txbxContent>
                        </wps:txbx>
                        <wps:bodyPr wrap="square" lIns="0" tIns="0" rIns="0" bIns="0" rtlCol="0">
                          <a:noAutofit/>
                        </wps:bodyPr>
                      </wps:wsp>
                    </wpg:wgp>
                  </a:graphicData>
                </a:graphic>
              </wp:inline>
            </w:drawing>
          </mc:Choice>
          <mc:Fallback>
            <w:pict>
              <v:group w14:anchorId="24E22C7E" id="Group 146" o:spid="_x0000_s1067" style="width:476.75pt;height:18pt;mso-position-horizontal-relative:char;mso-position-vertical-relative:line" coordsize="57600,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">
                <v:shape id="Graphic 147" o:spid="_x0000_s1068" style="position:absolute;top:47;width:57600;height:13;visibility:visible;mso-wrap-style:square;v-text-anchor:top" coordsize="576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" path="m,l5759996,e" filled="f" strokecolor="#019648">
                  <v:path arrowok="t"/>
                </v:shape>
                <v:shape id="Graphic 148" o:spid="_x0000_s1069" style="position:absolute;left:52444;width:5156;height:2457;visibility:visible;mso-wrap-style:square;v-text-anchor:top" coordsize="51562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" path="m515543,l,,,122796r9650,47797l35966,209626r39032,26316l122796,245592r269951,l440545,235942r39032,-26316l505893,170593r9650,-47797l515543,xe" fillcolor="#0c8140" stroked="f">
                  <v:path arrowok="t"/>
                </v:shape>
                <v:shape id="Textbox 149" o:spid="_x0000_s1070" type="#_x0000_t202" style="position:absolute;width:57600;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55F9BE4" w14:textId="0A287D91" w:rsidR="007372B2" w:rsidRPr="005A424B" w:rsidRDefault="007372B2">
                        <w:pPr>
                          <w:spacing w:before="89"/>
                          <w:ind w:right="172"/>
                          <w:jc w:val="right"/>
                          <w:rPr>
                            <w:sz w:val="20"/>
                            <w:lang w:val="uk-UA"/>
                          </w:rPr>
                        </w:pPr>
                        <w:r>
                          <w:rPr>
                            <w:color w:val="FFFFFF"/>
                            <w:spacing w:val="-5"/>
                            <w:sz w:val="20"/>
                            <w:lang w:val="uk-UA"/>
                          </w:rPr>
                          <w:t>НОВА</w:t>
                        </w:r>
                      </w:p>
                    </w:txbxContent>
                  </v:textbox>
                </v:shape>
                <w10:anchorlock/>
              </v:group>
            </w:pict>
          </mc:Fallback>
        </mc:AlternateContent>
      </w:r>
    </w:p>
    <w:tbl>
      <w:tblPr>
        <w:tblStyle w:val="TableNormal"/>
        <w:tblW w:w="9511" w:type="dxa"/>
        <w:tblInd w:w="574" w:type="dxa"/>
        <w:tblLayout w:type="fixed"/>
        <w:tblLook w:val="01E0" w:firstRow="1" w:lastRow="1" w:firstColumn="1" w:lastColumn="1" w:noHBand="0" w:noVBand="0"/>
      </w:tblPr>
      <w:tblGrid>
        <w:gridCol w:w="9511"/>
      </w:tblGrid>
      <w:tr w:rsidR="00E05B98" w:rsidRPr="00D029FF" w14:paraId="6F1A8E02" w14:textId="77777777" w:rsidTr="005A424B">
        <w:trPr>
          <w:trHeight w:val="1666"/>
        </w:trPr>
        <w:tc>
          <w:tcPr>
            <w:tcW w:w="9511" w:type="dxa"/>
            <w:tcBorders>
              <w:bottom w:val="single" w:sz="6" w:space="0" w:color="019648"/>
            </w:tcBorders>
          </w:tcPr>
          <w:p w14:paraId="5E5C1352" w14:textId="6425B42C" w:rsidR="00E05B98" w:rsidRPr="003C6DAE" w:rsidRDefault="00B01E0C" w:rsidP="008C19E4">
            <w:pPr>
              <w:pStyle w:val="TableParagraph"/>
              <w:spacing w:before="7" w:line="233" w:lineRule="auto"/>
              <w:ind w:left="510" w:right="111" w:hanging="371"/>
              <w:jc w:val="both"/>
              <w:rPr>
                <w:sz w:val="20"/>
                <w:szCs w:val="20"/>
                <w:lang w:val="uk-UA"/>
              </w:rPr>
            </w:pPr>
            <w:r w:rsidRPr="003C6DAE">
              <w:rPr>
                <w:spacing w:val="-5"/>
                <w:sz w:val="20"/>
                <w:szCs w:val="20"/>
                <w:lang w:val="uk-UA"/>
              </w:rPr>
              <w:t>7.</w:t>
            </w:r>
            <w:r w:rsidRPr="003C6DAE">
              <w:rPr>
                <w:sz w:val="20"/>
                <w:szCs w:val="20"/>
                <w:lang w:val="uk-UA"/>
              </w:rPr>
              <w:tab/>
            </w:r>
            <w:r w:rsidR="005A424B" w:rsidRPr="003C6DAE">
              <w:rPr>
                <w:sz w:val="20"/>
                <w:szCs w:val="20"/>
                <w:lang w:val="uk-UA"/>
              </w:rPr>
              <w:t xml:space="preserve">Для дорослих та підлітків з ВІЛ, які мають ознаки або симптоми ТБ, мають позитивний результат скринінгу на ТБ, серйозно хворіють або мають прогресуючу ВІЛ-інфекцію, в якості стратегії </w:t>
            </w:r>
            <w:r w:rsidR="00AA57D7">
              <w:rPr>
                <w:sz w:val="20"/>
                <w:szCs w:val="20"/>
                <w:lang w:val="uk-UA"/>
              </w:rPr>
              <w:t xml:space="preserve">первинної </w:t>
            </w:r>
            <w:r w:rsidR="005A424B" w:rsidRPr="003C6DAE">
              <w:rPr>
                <w:sz w:val="20"/>
                <w:szCs w:val="20"/>
                <w:lang w:val="uk-UA"/>
              </w:rPr>
              <w:t xml:space="preserve">діагностики ТБ слід використовувати одночасне тестування з використанням автоматизованих </w:t>
            </w:r>
            <w:r w:rsidR="00DE0080">
              <w:rPr>
                <w:sz w:val="20"/>
                <w:szCs w:val="20"/>
                <w:lang w:val="uk-UA"/>
              </w:rPr>
              <w:t>ТАНК</w:t>
            </w:r>
            <w:r w:rsidR="005A424B" w:rsidRPr="003C6DAE">
              <w:rPr>
                <w:sz w:val="20"/>
                <w:szCs w:val="20"/>
                <w:lang w:val="uk-UA"/>
              </w:rPr>
              <w:t xml:space="preserve"> низької складності для дослідження респіраторних зразках та тест LF-LAM </w:t>
            </w:r>
            <w:r w:rsidR="00DE0080">
              <w:rPr>
                <w:sz w:val="20"/>
                <w:szCs w:val="20"/>
                <w:lang w:val="uk-UA"/>
              </w:rPr>
              <w:t>на</w:t>
            </w:r>
            <w:r w:rsidR="005A424B" w:rsidRPr="003C6DAE">
              <w:rPr>
                <w:sz w:val="20"/>
                <w:szCs w:val="20"/>
                <w:lang w:val="uk-UA"/>
              </w:rPr>
              <w:t xml:space="preserve"> зразк</w:t>
            </w:r>
            <w:r w:rsidR="00DE0080">
              <w:rPr>
                <w:sz w:val="20"/>
                <w:szCs w:val="20"/>
                <w:lang w:val="uk-UA"/>
              </w:rPr>
              <w:t>ах</w:t>
            </w:r>
            <w:r w:rsidR="005A424B" w:rsidRPr="003C6DAE">
              <w:rPr>
                <w:sz w:val="20"/>
                <w:szCs w:val="20"/>
                <w:lang w:val="uk-UA"/>
              </w:rPr>
              <w:t xml:space="preserve"> сечі, а не лише автоматизовані ТАНК низької складності на </w:t>
            </w:r>
            <w:r w:rsidR="00DE0080">
              <w:rPr>
                <w:sz w:val="20"/>
                <w:szCs w:val="20"/>
                <w:lang w:val="uk-UA"/>
              </w:rPr>
              <w:t>зразках із дихальних шляхів.</w:t>
            </w:r>
          </w:p>
          <w:p w14:paraId="0D5E20BC" w14:textId="407D0AAD" w:rsidR="00E05B98" w:rsidRPr="003C6DAE" w:rsidRDefault="00B01E0C" w:rsidP="00E742CC">
            <w:pPr>
              <w:pStyle w:val="TableParagraph"/>
              <w:spacing w:before="85" w:line="233" w:lineRule="auto"/>
              <w:ind w:left="510"/>
              <w:rPr>
                <w:rFonts w:ascii="Arial"/>
                <w:i/>
                <w:sz w:val="20"/>
                <w:szCs w:val="20"/>
                <w:lang w:val="uk-UA"/>
              </w:rPr>
            </w:pPr>
            <w:r w:rsidRPr="003C6DAE">
              <w:rPr>
                <w:rFonts w:ascii="Arial"/>
                <w:i/>
                <w:sz w:val="20"/>
                <w:szCs w:val="20"/>
                <w:lang w:val="uk-UA"/>
              </w:rPr>
              <w:t>(</w:t>
            </w:r>
            <w:r w:rsidR="00CA43FC" w:rsidRPr="003C6DAE">
              <w:rPr>
                <w:rFonts w:ascii="Arial"/>
                <w:i/>
                <w:sz w:val="20"/>
                <w:szCs w:val="20"/>
                <w:lang w:val="uk-UA"/>
              </w:rPr>
              <w:t>Настійна</w:t>
            </w:r>
            <w:r w:rsidR="00CA43FC" w:rsidRPr="003C6DAE">
              <w:rPr>
                <w:rFonts w:ascii="Arial"/>
                <w:i/>
                <w:sz w:val="20"/>
                <w:szCs w:val="20"/>
                <w:lang w:val="uk-UA"/>
              </w:rPr>
              <w:t xml:space="preserve"> </w:t>
            </w:r>
            <w:r w:rsidR="00CA43FC" w:rsidRPr="003C6DAE">
              <w:rPr>
                <w:rFonts w:ascii="Arial"/>
                <w:i/>
                <w:sz w:val="20"/>
                <w:szCs w:val="20"/>
                <w:lang w:val="uk-UA"/>
              </w:rPr>
              <w:t>рекомендація</w:t>
            </w:r>
            <w:r w:rsidRPr="003C6DAE">
              <w:rPr>
                <w:rFonts w:ascii="Arial"/>
                <w:i/>
                <w:sz w:val="20"/>
                <w:szCs w:val="20"/>
                <w:lang w:val="uk-UA"/>
              </w:rPr>
              <w:t>,</w:t>
            </w:r>
            <w:r w:rsidRPr="003C6DAE">
              <w:rPr>
                <w:rFonts w:ascii="Arial"/>
                <w:i/>
                <w:spacing w:val="-1"/>
                <w:sz w:val="20"/>
                <w:szCs w:val="20"/>
                <w:lang w:val="uk-UA"/>
              </w:rPr>
              <w:t xml:space="preserve"> </w:t>
            </w:r>
            <w:r w:rsidR="00CA43FC" w:rsidRPr="003C6DAE">
              <w:rPr>
                <w:rFonts w:ascii="Arial"/>
                <w:i/>
                <w:sz w:val="20"/>
                <w:szCs w:val="20"/>
                <w:lang w:val="uk-UA"/>
              </w:rPr>
              <w:t>низький</w:t>
            </w:r>
            <w:r w:rsidR="00CA43FC" w:rsidRPr="003C6DAE">
              <w:rPr>
                <w:rFonts w:ascii="Arial"/>
                <w:i/>
                <w:sz w:val="20"/>
                <w:szCs w:val="20"/>
                <w:lang w:val="uk-UA"/>
              </w:rPr>
              <w:t xml:space="preserve"> </w:t>
            </w:r>
            <w:r w:rsidR="00CA43FC" w:rsidRPr="003C6DAE">
              <w:rPr>
                <w:rFonts w:ascii="Arial"/>
                <w:i/>
                <w:sz w:val="20"/>
                <w:szCs w:val="20"/>
                <w:lang w:val="uk-UA"/>
              </w:rPr>
              <w:t>ступінь</w:t>
            </w:r>
            <w:r w:rsidR="00CA43FC" w:rsidRPr="003C6DAE">
              <w:rPr>
                <w:rFonts w:ascii="Arial"/>
                <w:i/>
                <w:sz w:val="20"/>
                <w:szCs w:val="20"/>
                <w:lang w:val="uk-UA"/>
              </w:rPr>
              <w:t xml:space="preserve"> </w:t>
            </w:r>
            <w:r w:rsidR="00CA43FC" w:rsidRPr="003C6DAE">
              <w:rPr>
                <w:rFonts w:ascii="Arial"/>
                <w:i/>
                <w:sz w:val="20"/>
                <w:szCs w:val="20"/>
                <w:lang w:val="uk-UA"/>
              </w:rPr>
              <w:t>достовірності</w:t>
            </w:r>
            <w:r w:rsidR="00CA43FC" w:rsidRPr="003C6DAE">
              <w:rPr>
                <w:rFonts w:ascii="Arial"/>
                <w:i/>
                <w:sz w:val="20"/>
                <w:szCs w:val="20"/>
                <w:lang w:val="uk-UA"/>
              </w:rPr>
              <w:t xml:space="preserve"> </w:t>
            </w:r>
            <w:r w:rsidR="00CA43FC" w:rsidRPr="003C6DAE">
              <w:rPr>
                <w:rFonts w:ascii="Arial"/>
                <w:i/>
                <w:sz w:val="20"/>
                <w:szCs w:val="20"/>
                <w:lang w:val="uk-UA"/>
              </w:rPr>
              <w:t>доказів</w:t>
            </w:r>
            <w:r w:rsidRPr="003C6DAE">
              <w:rPr>
                <w:rFonts w:ascii="Arial"/>
                <w:i/>
                <w:spacing w:val="-2"/>
                <w:sz w:val="20"/>
                <w:szCs w:val="20"/>
                <w:lang w:val="uk-UA"/>
              </w:rPr>
              <w:t>)</w:t>
            </w:r>
          </w:p>
        </w:tc>
      </w:tr>
      <w:tr w:rsidR="00E05B98" w:rsidRPr="00D029FF" w14:paraId="09334F89" w14:textId="77777777" w:rsidTr="005A424B">
        <w:trPr>
          <w:trHeight w:val="2112"/>
        </w:trPr>
        <w:tc>
          <w:tcPr>
            <w:tcW w:w="9511" w:type="dxa"/>
            <w:tcBorders>
              <w:top w:val="single" w:sz="6" w:space="0" w:color="019648"/>
              <w:bottom w:val="single" w:sz="6" w:space="0" w:color="019648"/>
            </w:tcBorders>
          </w:tcPr>
          <w:p w14:paraId="68C6C807" w14:textId="0219AED8" w:rsidR="00E05B98" w:rsidRPr="003C6DAE" w:rsidRDefault="00B01E0C" w:rsidP="00E742CC">
            <w:pPr>
              <w:pStyle w:val="TableParagraph"/>
              <w:tabs>
                <w:tab w:val="left" w:pos="8928"/>
              </w:tabs>
              <w:spacing w:before="80" w:line="233" w:lineRule="auto"/>
              <w:ind w:left="0"/>
              <w:jc w:val="center"/>
              <w:rPr>
                <w:color w:val="FFFFFF"/>
                <w:spacing w:val="-5"/>
                <w:sz w:val="20"/>
                <w:szCs w:val="20"/>
                <w:lang w:val="uk-UA"/>
              </w:rPr>
            </w:pPr>
            <w:r w:rsidRPr="003C6DAE">
              <w:rPr>
                <w:noProof/>
                <w:sz w:val="20"/>
                <w:szCs w:val="20"/>
                <w:lang w:val="uk-UA"/>
              </w:rPr>
              <mc:AlternateContent>
                <mc:Choice Requires="wpg">
                  <w:drawing>
                    <wp:anchor distT="0" distB="0" distL="0" distR="0" simplePos="0" relativeHeight="481408512" behindDoc="1" locked="0" layoutInCell="1" allowOverlap="1" wp14:anchorId="6D198F40" wp14:editId="47B64835">
                      <wp:simplePos x="0" y="0"/>
                      <wp:positionH relativeFrom="column">
                        <wp:posOffset>5490210</wp:posOffset>
                      </wp:positionH>
                      <wp:positionV relativeFrom="paragraph">
                        <wp:posOffset>-2540</wp:posOffset>
                      </wp:positionV>
                      <wp:extent cx="565150" cy="222250"/>
                      <wp:effectExtent l="0" t="0" r="6350" b="635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0" cy="222250"/>
                                <a:chOff x="0" y="0"/>
                                <a:chExt cx="515620" cy="245745"/>
                              </a:xfrm>
                            </wpg:grpSpPr>
                            <wps:wsp>
                              <wps:cNvPr id="151" name="Graphic 151"/>
                              <wps:cNvSpPr/>
                              <wps:spPr>
                                <a:xfrm>
                                  <a:off x="0" y="0"/>
                                  <a:ext cx="515620" cy="245745"/>
                                </a:xfrm>
                                <a:custGeom>
                                  <a:avLst/>
                                  <a:gdLst/>
                                  <a:ahLst/>
                                  <a:cxnLst/>
                                  <a:rect l="l" t="t" r="r" b="b"/>
                                  <a:pathLst>
                                    <a:path w="515620" h="245745">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D6AB98" id="Group 150" o:spid="_x0000_s1026" style="position:absolute;margin-left:432.3pt;margin-top:-.2pt;width:44.5pt;height:17.5pt;z-index:-21907968;mso-wrap-distance-left:0;mso-wrap-distance-right:0;mso-width-relative:margin;mso-height-relative:margin" coordsize="51562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">
                      <v:shape id="Graphic 151" o:spid="_x0000_s1027" style="position:absolute;width:515620;height:245745;visibility:visible;mso-wrap-style:square;v-text-anchor:top" coordsize="51562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" path="m515543,l,,,122796r9650,47797l35966,209626r39032,26316l122796,245592r269951,l440545,235942r39032,-26316l505893,170593r9650,-47797l515543,xe" fillcolor="#0c8140" stroked="f">
                        <v:path arrowok="t"/>
                      </v:shape>
                    </v:group>
                  </w:pict>
                </mc:Fallback>
              </mc:AlternateContent>
            </w:r>
            <w:r w:rsidR="005A424B" w:rsidRPr="003C6DAE">
              <w:rPr>
                <w:color w:val="FFFFFF"/>
                <w:spacing w:val="-5"/>
                <w:sz w:val="20"/>
                <w:szCs w:val="20"/>
                <w:lang w:val="uk-UA"/>
              </w:rPr>
              <w:t xml:space="preserve">                                                                                                                                                                                      НОВА</w:t>
            </w:r>
          </w:p>
          <w:p w14:paraId="4059F0FE" w14:textId="01F44EE7" w:rsidR="00E05B98" w:rsidRPr="003C6DAE" w:rsidRDefault="00B01E0C" w:rsidP="008C19E4">
            <w:pPr>
              <w:pStyle w:val="TableParagraph"/>
              <w:spacing w:before="3" w:line="233" w:lineRule="auto"/>
              <w:ind w:left="510" w:hanging="371"/>
              <w:rPr>
                <w:sz w:val="20"/>
                <w:szCs w:val="20"/>
                <w:lang w:val="uk-UA"/>
              </w:rPr>
            </w:pPr>
            <w:r w:rsidRPr="003C6DAE">
              <w:rPr>
                <w:spacing w:val="-6"/>
                <w:sz w:val="20"/>
                <w:szCs w:val="20"/>
                <w:lang w:val="uk-UA"/>
              </w:rPr>
              <w:t>8.</w:t>
            </w:r>
            <w:r w:rsidRPr="003C6DAE">
              <w:rPr>
                <w:sz w:val="20"/>
                <w:szCs w:val="20"/>
                <w:lang w:val="uk-UA"/>
              </w:rPr>
              <w:tab/>
            </w:r>
            <w:r w:rsidR="00A642CC" w:rsidRPr="003C6DAE">
              <w:rPr>
                <w:sz w:val="20"/>
                <w:szCs w:val="20"/>
                <w:lang w:val="uk-UA"/>
              </w:rPr>
              <w:t xml:space="preserve">Для дітей, які є ВІЛ-негативними або мають невідомий ВІЛ-статус, мають ознаки чи симптоми або позитивний результат скринінгу на ТБ легень, в якості стратегії </w:t>
            </w:r>
            <w:r w:rsidR="00AA57D7">
              <w:rPr>
                <w:sz w:val="20"/>
                <w:szCs w:val="20"/>
                <w:lang w:val="uk-UA"/>
              </w:rPr>
              <w:t xml:space="preserve">первинної </w:t>
            </w:r>
            <w:r w:rsidR="00A642CC" w:rsidRPr="003C6DAE">
              <w:rPr>
                <w:sz w:val="20"/>
                <w:szCs w:val="20"/>
                <w:lang w:val="uk-UA"/>
              </w:rPr>
              <w:t xml:space="preserve">діагностики ТБ слід використовувати одночасне тестування </w:t>
            </w:r>
            <w:r w:rsidR="00AA6793" w:rsidRPr="003C6DAE">
              <w:rPr>
                <w:sz w:val="20"/>
                <w:szCs w:val="20"/>
                <w:lang w:val="uk-UA"/>
              </w:rPr>
              <w:t xml:space="preserve">на зразках мокротиння та калу </w:t>
            </w:r>
            <w:r w:rsidR="00A642CC" w:rsidRPr="003C6DAE">
              <w:rPr>
                <w:sz w:val="20"/>
                <w:szCs w:val="20"/>
                <w:lang w:val="uk-UA"/>
              </w:rPr>
              <w:t>з</w:t>
            </w:r>
            <w:r w:rsidR="00AA6793">
              <w:rPr>
                <w:sz w:val="20"/>
                <w:szCs w:val="20"/>
                <w:lang w:val="uk-UA"/>
              </w:rPr>
              <w:t xml:space="preserve">а допомогою </w:t>
            </w:r>
            <w:r w:rsidR="00A642CC" w:rsidRPr="003C6DAE">
              <w:rPr>
                <w:sz w:val="20"/>
                <w:szCs w:val="20"/>
                <w:lang w:val="uk-UA"/>
              </w:rPr>
              <w:t>автоматизованих ТАНК низької складності, а не лише автоматизованих ТАНК низької складності на зразках мокротиння або калу.</w:t>
            </w:r>
          </w:p>
          <w:p w14:paraId="557F2174" w14:textId="0FAB628B" w:rsidR="00E05B98" w:rsidRPr="003C6DAE" w:rsidRDefault="00B01E0C" w:rsidP="00E742CC">
            <w:pPr>
              <w:pStyle w:val="TableParagraph"/>
              <w:spacing w:before="84" w:line="233" w:lineRule="auto"/>
              <w:ind w:left="510"/>
              <w:rPr>
                <w:rFonts w:ascii="Arial"/>
                <w:i/>
                <w:sz w:val="20"/>
                <w:szCs w:val="20"/>
                <w:lang w:val="uk-UA"/>
              </w:rPr>
            </w:pPr>
            <w:r w:rsidRPr="003C6DAE">
              <w:rPr>
                <w:rFonts w:ascii="Arial"/>
                <w:i/>
                <w:sz w:val="20"/>
                <w:szCs w:val="20"/>
                <w:lang w:val="uk-UA"/>
              </w:rPr>
              <w:t>(</w:t>
            </w:r>
            <w:r w:rsidR="00CA43FC" w:rsidRPr="003C6DAE">
              <w:rPr>
                <w:rFonts w:ascii="Arial"/>
                <w:i/>
                <w:sz w:val="20"/>
                <w:szCs w:val="20"/>
                <w:lang w:val="uk-UA"/>
              </w:rPr>
              <w:t>Настійна</w:t>
            </w:r>
            <w:r w:rsidR="00CA43FC" w:rsidRPr="003C6DAE">
              <w:rPr>
                <w:rFonts w:ascii="Arial"/>
                <w:i/>
                <w:sz w:val="20"/>
                <w:szCs w:val="20"/>
                <w:lang w:val="uk-UA"/>
              </w:rPr>
              <w:t xml:space="preserve"> </w:t>
            </w:r>
            <w:r w:rsidR="00CA43FC" w:rsidRPr="003C6DAE">
              <w:rPr>
                <w:rFonts w:ascii="Arial"/>
                <w:i/>
                <w:sz w:val="20"/>
                <w:szCs w:val="20"/>
                <w:lang w:val="uk-UA"/>
              </w:rPr>
              <w:t>рекомендація</w:t>
            </w:r>
            <w:r w:rsidR="00CA43FC" w:rsidRPr="003C6DAE">
              <w:rPr>
                <w:rFonts w:ascii="Arial"/>
                <w:i/>
                <w:sz w:val="20"/>
                <w:szCs w:val="20"/>
                <w:lang w:val="uk-UA"/>
              </w:rPr>
              <w:t>,</w:t>
            </w:r>
            <w:r w:rsidR="00CA43FC" w:rsidRPr="003C6DAE">
              <w:rPr>
                <w:rFonts w:ascii="Arial"/>
                <w:i/>
                <w:spacing w:val="-1"/>
                <w:sz w:val="20"/>
                <w:szCs w:val="20"/>
                <w:lang w:val="uk-UA"/>
              </w:rPr>
              <w:t xml:space="preserve"> </w:t>
            </w:r>
            <w:r w:rsidR="00CA43FC" w:rsidRPr="003C6DAE">
              <w:rPr>
                <w:rFonts w:ascii="Arial"/>
                <w:i/>
                <w:sz w:val="20"/>
                <w:szCs w:val="20"/>
                <w:lang w:val="uk-UA"/>
              </w:rPr>
              <w:t>низький</w:t>
            </w:r>
            <w:r w:rsidR="00CA43FC" w:rsidRPr="003C6DAE">
              <w:rPr>
                <w:rFonts w:ascii="Arial"/>
                <w:i/>
                <w:sz w:val="20"/>
                <w:szCs w:val="20"/>
                <w:lang w:val="uk-UA"/>
              </w:rPr>
              <w:t xml:space="preserve"> </w:t>
            </w:r>
            <w:r w:rsidR="00CA43FC" w:rsidRPr="003C6DAE">
              <w:rPr>
                <w:rFonts w:ascii="Arial"/>
                <w:i/>
                <w:sz w:val="20"/>
                <w:szCs w:val="20"/>
                <w:lang w:val="uk-UA"/>
              </w:rPr>
              <w:t>ступінь</w:t>
            </w:r>
            <w:r w:rsidR="00CA43FC" w:rsidRPr="003C6DAE">
              <w:rPr>
                <w:rFonts w:ascii="Arial"/>
                <w:i/>
                <w:sz w:val="20"/>
                <w:szCs w:val="20"/>
                <w:lang w:val="uk-UA"/>
              </w:rPr>
              <w:t xml:space="preserve"> </w:t>
            </w:r>
            <w:r w:rsidR="00CA43FC" w:rsidRPr="003C6DAE">
              <w:rPr>
                <w:rFonts w:ascii="Arial"/>
                <w:i/>
                <w:sz w:val="20"/>
                <w:szCs w:val="20"/>
                <w:lang w:val="uk-UA"/>
              </w:rPr>
              <w:t>достовірності</w:t>
            </w:r>
            <w:r w:rsidR="00CA43FC" w:rsidRPr="003C6DAE">
              <w:rPr>
                <w:rFonts w:ascii="Arial"/>
                <w:i/>
                <w:sz w:val="20"/>
                <w:szCs w:val="20"/>
                <w:lang w:val="uk-UA"/>
              </w:rPr>
              <w:t xml:space="preserve"> </w:t>
            </w:r>
            <w:r w:rsidR="00CA43FC" w:rsidRPr="003C6DAE">
              <w:rPr>
                <w:rFonts w:ascii="Arial"/>
                <w:i/>
                <w:sz w:val="20"/>
                <w:szCs w:val="20"/>
                <w:lang w:val="uk-UA"/>
              </w:rPr>
              <w:t>доказів</w:t>
            </w:r>
            <w:r w:rsidRPr="003C6DAE">
              <w:rPr>
                <w:rFonts w:ascii="Arial"/>
                <w:i/>
                <w:spacing w:val="-2"/>
                <w:sz w:val="20"/>
                <w:szCs w:val="20"/>
                <w:lang w:val="uk-UA"/>
              </w:rPr>
              <w:t>)</w:t>
            </w:r>
          </w:p>
        </w:tc>
      </w:tr>
      <w:tr w:rsidR="00E05B98" w:rsidRPr="00D029FF" w14:paraId="2F100AC3" w14:textId="77777777" w:rsidTr="005A424B">
        <w:trPr>
          <w:trHeight w:val="2112"/>
        </w:trPr>
        <w:tc>
          <w:tcPr>
            <w:tcW w:w="9511" w:type="dxa"/>
            <w:tcBorders>
              <w:top w:val="single" w:sz="6" w:space="0" w:color="019648"/>
              <w:bottom w:val="single" w:sz="6" w:space="0" w:color="019648"/>
            </w:tcBorders>
          </w:tcPr>
          <w:p w14:paraId="107EFFEE" w14:textId="5CF2A1AF" w:rsidR="00E05B98" w:rsidRPr="003C6DAE" w:rsidRDefault="00B01E0C" w:rsidP="00E742CC">
            <w:pPr>
              <w:pStyle w:val="TableParagraph"/>
              <w:spacing w:before="70" w:line="233" w:lineRule="auto"/>
              <w:ind w:left="0"/>
              <w:jc w:val="center"/>
              <w:rPr>
                <w:sz w:val="20"/>
                <w:szCs w:val="20"/>
                <w:lang w:val="uk-UA"/>
              </w:rPr>
            </w:pPr>
            <w:r w:rsidRPr="003C6DAE">
              <w:rPr>
                <w:noProof/>
                <w:sz w:val="20"/>
                <w:szCs w:val="20"/>
                <w:lang w:val="uk-UA"/>
              </w:rPr>
              <mc:AlternateContent>
                <mc:Choice Requires="wpg">
                  <w:drawing>
                    <wp:anchor distT="0" distB="0" distL="0" distR="0" simplePos="0" relativeHeight="481409024" behindDoc="1" locked="0" layoutInCell="1" allowOverlap="1" wp14:anchorId="04A0BE7B" wp14:editId="36FCE4B5">
                      <wp:simplePos x="0" y="0"/>
                      <wp:positionH relativeFrom="column">
                        <wp:posOffset>5528310</wp:posOffset>
                      </wp:positionH>
                      <wp:positionV relativeFrom="paragraph">
                        <wp:posOffset>-13335</wp:posOffset>
                      </wp:positionV>
                      <wp:extent cx="527050" cy="260350"/>
                      <wp:effectExtent l="0" t="0" r="6350" b="635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050" cy="260350"/>
                                <a:chOff x="0" y="0"/>
                                <a:chExt cx="515620" cy="245745"/>
                              </a:xfrm>
                            </wpg:grpSpPr>
                            <wps:wsp>
                              <wps:cNvPr id="153" name="Graphic 153"/>
                              <wps:cNvSpPr/>
                              <wps:spPr>
                                <a:xfrm>
                                  <a:off x="0" y="0"/>
                                  <a:ext cx="515620" cy="245745"/>
                                </a:xfrm>
                                <a:custGeom>
                                  <a:avLst/>
                                  <a:gdLst/>
                                  <a:ahLst/>
                                  <a:cxnLst/>
                                  <a:rect l="l" t="t" r="r" b="b"/>
                                  <a:pathLst>
                                    <a:path w="515620" h="245745">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A008FB" id="Group 152" o:spid="_x0000_s1026" style="position:absolute;margin-left:435.3pt;margin-top:-1.05pt;width:41.5pt;height:20.5pt;z-index:-21907456;mso-wrap-distance-left:0;mso-wrap-distance-right:0;mso-width-relative:margin;mso-height-relative:margin" coordsize="51562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">
                      <v:shape id="Graphic 153" o:spid="_x0000_s1027" style="position:absolute;width:515620;height:245745;visibility:visible;mso-wrap-style:square;v-text-anchor:top" coordsize="51562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" path="m515543,l,,,122796r9650,47797l35966,209626r39032,26316l122796,245592r269951,l440545,235942r39032,-26316l505893,170593r9650,-47797l515543,xe" fillcolor="#0c8140" stroked="f">
                        <v:path arrowok="t"/>
                      </v:shape>
                    </v:group>
                  </w:pict>
                </mc:Fallback>
              </mc:AlternateContent>
            </w:r>
            <w:r w:rsidR="005A424B" w:rsidRPr="003C6DAE">
              <w:rPr>
                <w:color w:val="FFFFFF"/>
                <w:spacing w:val="-5"/>
                <w:sz w:val="20"/>
                <w:szCs w:val="20"/>
                <w:lang w:val="uk-UA"/>
              </w:rPr>
              <w:t xml:space="preserve">                                                                                                                                                                                    НОВА</w:t>
            </w:r>
          </w:p>
          <w:p w14:paraId="732D1A09" w14:textId="3D07E38C" w:rsidR="00E05B98" w:rsidRPr="003C6DAE" w:rsidRDefault="00B01E0C" w:rsidP="00E742CC">
            <w:pPr>
              <w:pStyle w:val="TableParagraph"/>
              <w:spacing w:before="123" w:line="233" w:lineRule="auto"/>
              <w:ind w:left="510" w:right="25" w:hanging="397"/>
              <w:jc w:val="both"/>
              <w:rPr>
                <w:sz w:val="20"/>
                <w:szCs w:val="20"/>
                <w:lang w:val="uk-UA"/>
              </w:rPr>
            </w:pPr>
            <w:r w:rsidRPr="003C6DAE">
              <w:rPr>
                <w:sz w:val="20"/>
                <w:szCs w:val="20"/>
                <w:lang w:val="uk-UA"/>
              </w:rPr>
              <w:t>9.</w:t>
            </w:r>
            <w:r w:rsidRPr="003C6DAE">
              <w:rPr>
                <w:spacing w:val="80"/>
                <w:w w:val="150"/>
                <w:sz w:val="20"/>
                <w:szCs w:val="20"/>
                <w:lang w:val="uk-UA"/>
              </w:rPr>
              <w:t xml:space="preserve"> </w:t>
            </w:r>
            <w:r w:rsidR="00E94E99" w:rsidRPr="003C6DAE">
              <w:rPr>
                <w:sz w:val="20"/>
                <w:szCs w:val="20"/>
                <w:lang w:val="uk-UA"/>
              </w:rPr>
              <w:t xml:space="preserve">Для дітей з ВІЛ, які мають ознаки або симптоми </w:t>
            </w:r>
            <w:r w:rsidR="00AA6793">
              <w:rPr>
                <w:sz w:val="20"/>
                <w:szCs w:val="20"/>
                <w:lang w:val="uk-UA"/>
              </w:rPr>
              <w:t xml:space="preserve">ТБ, </w:t>
            </w:r>
            <w:r w:rsidR="00E94E99" w:rsidRPr="003C6DAE">
              <w:rPr>
                <w:sz w:val="20"/>
                <w:szCs w:val="20"/>
                <w:lang w:val="uk-UA"/>
              </w:rPr>
              <w:t xml:space="preserve">або мають позитивний результат скринінгу на ТБ легень, в якості стратегії </w:t>
            </w:r>
            <w:r w:rsidR="00AA57D7">
              <w:rPr>
                <w:sz w:val="20"/>
                <w:szCs w:val="20"/>
                <w:lang w:val="uk-UA"/>
              </w:rPr>
              <w:t xml:space="preserve">первинної </w:t>
            </w:r>
            <w:r w:rsidR="00E94E99" w:rsidRPr="003C6DAE">
              <w:rPr>
                <w:sz w:val="20"/>
                <w:szCs w:val="20"/>
                <w:lang w:val="uk-UA"/>
              </w:rPr>
              <w:t xml:space="preserve">діагностики ТБ можна використовувати </w:t>
            </w:r>
            <w:r w:rsidR="00E94E99" w:rsidRPr="003C6DAE">
              <w:rPr>
                <w:b/>
                <w:bCs/>
                <w:sz w:val="20"/>
                <w:szCs w:val="20"/>
                <w:lang w:val="uk-UA"/>
              </w:rPr>
              <w:t>одночасне тестування</w:t>
            </w:r>
            <w:r w:rsidR="00E94E99" w:rsidRPr="003C6DAE">
              <w:rPr>
                <w:sz w:val="20"/>
                <w:szCs w:val="20"/>
                <w:lang w:val="uk-UA"/>
              </w:rPr>
              <w:t xml:space="preserve"> із застосуванням  автоматизованих ТАНК низької складності для дослідження зразків дихальних шляхів і калу та ліпоарабіноманнановий тест бокового зсуву (LF-LAM) для дослідження </w:t>
            </w:r>
            <w:r w:rsidR="00AA6793">
              <w:rPr>
                <w:sz w:val="20"/>
                <w:szCs w:val="20"/>
                <w:lang w:val="uk-UA"/>
              </w:rPr>
              <w:t xml:space="preserve">зразків </w:t>
            </w:r>
            <w:r w:rsidR="00E94E99" w:rsidRPr="003C6DAE">
              <w:rPr>
                <w:sz w:val="20"/>
                <w:szCs w:val="20"/>
                <w:lang w:val="uk-UA"/>
              </w:rPr>
              <w:t xml:space="preserve">сечі, а не лише автоматизованих ТАНК низької складності для дослідження зразків </w:t>
            </w:r>
            <w:r w:rsidR="00AA6793">
              <w:rPr>
                <w:sz w:val="20"/>
                <w:szCs w:val="20"/>
                <w:lang w:val="uk-UA"/>
              </w:rPr>
              <w:t xml:space="preserve">із </w:t>
            </w:r>
            <w:r w:rsidR="00E94E99" w:rsidRPr="003C6DAE">
              <w:rPr>
                <w:sz w:val="20"/>
                <w:szCs w:val="20"/>
                <w:lang w:val="uk-UA"/>
              </w:rPr>
              <w:t>дихальних шляхів або калу.</w:t>
            </w:r>
          </w:p>
          <w:p w14:paraId="244CBD8A" w14:textId="19ADA94B" w:rsidR="00E05B98" w:rsidRPr="003C6DAE" w:rsidRDefault="00B01E0C" w:rsidP="00E742CC">
            <w:pPr>
              <w:pStyle w:val="TableParagraph"/>
              <w:spacing w:before="82" w:line="233" w:lineRule="auto"/>
              <w:ind w:left="510"/>
              <w:rPr>
                <w:rFonts w:ascii="Arial"/>
                <w:i/>
                <w:sz w:val="20"/>
                <w:szCs w:val="20"/>
                <w:lang w:val="uk-UA"/>
              </w:rPr>
            </w:pPr>
            <w:r w:rsidRPr="003C6DAE">
              <w:rPr>
                <w:rFonts w:ascii="Arial"/>
                <w:i/>
                <w:sz w:val="20"/>
                <w:szCs w:val="20"/>
                <w:lang w:val="uk-UA"/>
              </w:rPr>
              <w:t>(</w:t>
            </w:r>
            <w:r w:rsidR="00CA43FC" w:rsidRPr="003C6DAE">
              <w:rPr>
                <w:rFonts w:ascii="Arial"/>
                <w:i/>
                <w:sz w:val="20"/>
                <w:szCs w:val="20"/>
                <w:lang w:val="uk-UA"/>
              </w:rPr>
              <w:t>Умовна</w:t>
            </w:r>
            <w:r w:rsidR="00CA43FC" w:rsidRPr="003C6DAE">
              <w:rPr>
                <w:rFonts w:ascii="Arial"/>
                <w:i/>
                <w:sz w:val="20"/>
                <w:szCs w:val="20"/>
                <w:lang w:val="uk-UA"/>
              </w:rPr>
              <w:t xml:space="preserve"> </w:t>
            </w:r>
            <w:r w:rsidR="00CA43FC" w:rsidRPr="003C6DAE">
              <w:rPr>
                <w:rFonts w:ascii="Arial"/>
                <w:i/>
                <w:sz w:val="20"/>
                <w:szCs w:val="20"/>
                <w:lang w:val="uk-UA"/>
              </w:rPr>
              <w:t>рекомендація</w:t>
            </w:r>
            <w:r w:rsidR="00CA43FC" w:rsidRPr="003C6DAE">
              <w:rPr>
                <w:rFonts w:ascii="Arial"/>
                <w:i/>
                <w:sz w:val="20"/>
                <w:szCs w:val="20"/>
                <w:lang w:val="uk-UA"/>
              </w:rPr>
              <w:t>,</w:t>
            </w:r>
            <w:r w:rsidR="00CA43FC" w:rsidRPr="003C6DAE">
              <w:rPr>
                <w:rFonts w:ascii="Arial"/>
                <w:i/>
                <w:spacing w:val="-1"/>
                <w:sz w:val="20"/>
                <w:szCs w:val="20"/>
                <w:lang w:val="uk-UA"/>
              </w:rPr>
              <w:t xml:space="preserve"> </w:t>
            </w:r>
            <w:r w:rsidR="00CA43FC" w:rsidRPr="003C6DAE">
              <w:rPr>
                <w:rFonts w:ascii="Arial"/>
                <w:i/>
                <w:sz w:val="20"/>
                <w:szCs w:val="20"/>
                <w:lang w:val="uk-UA"/>
              </w:rPr>
              <w:t>низький</w:t>
            </w:r>
            <w:r w:rsidR="00CA43FC" w:rsidRPr="003C6DAE">
              <w:rPr>
                <w:rFonts w:ascii="Arial"/>
                <w:i/>
                <w:sz w:val="20"/>
                <w:szCs w:val="20"/>
                <w:lang w:val="uk-UA"/>
              </w:rPr>
              <w:t xml:space="preserve"> </w:t>
            </w:r>
            <w:r w:rsidR="00CA43FC" w:rsidRPr="003C6DAE">
              <w:rPr>
                <w:rFonts w:ascii="Arial"/>
                <w:i/>
                <w:sz w:val="20"/>
                <w:szCs w:val="20"/>
                <w:lang w:val="uk-UA"/>
              </w:rPr>
              <w:t>ступінь</w:t>
            </w:r>
            <w:r w:rsidR="00CA43FC" w:rsidRPr="003C6DAE">
              <w:rPr>
                <w:rFonts w:ascii="Arial"/>
                <w:i/>
                <w:sz w:val="20"/>
                <w:szCs w:val="20"/>
                <w:lang w:val="uk-UA"/>
              </w:rPr>
              <w:t xml:space="preserve"> </w:t>
            </w:r>
            <w:r w:rsidR="00CA43FC" w:rsidRPr="003C6DAE">
              <w:rPr>
                <w:rFonts w:ascii="Arial"/>
                <w:i/>
                <w:sz w:val="20"/>
                <w:szCs w:val="20"/>
                <w:lang w:val="uk-UA"/>
              </w:rPr>
              <w:t>достовірності</w:t>
            </w:r>
            <w:r w:rsidR="00CA43FC" w:rsidRPr="003C6DAE">
              <w:rPr>
                <w:rFonts w:ascii="Arial"/>
                <w:i/>
                <w:sz w:val="20"/>
                <w:szCs w:val="20"/>
                <w:lang w:val="uk-UA"/>
              </w:rPr>
              <w:t xml:space="preserve"> </w:t>
            </w:r>
            <w:r w:rsidR="00CA43FC" w:rsidRPr="003C6DAE">
              <w:rPr>
                <w:rFonts w:ascii="Arial"/>
                <w:i/>
                <w:sz w:val="20"/>
                <w:szCs w:val="20"/>
                <w:lang w:val="uk-UA"/>
              </w:rPr>
              <w:t>доказів</w:t>
            </w:r>
            <w:r w:rsidRPr="003C6DAE">
              <w:rPr>
                <w:rFonts w:ascii="Arial"/>
                <w:i/>
                <w:spacing w:val="-2"/>
                <w:sz w:val="20"/>
                <w:szCs w:val="20"/>
                <w:lang w:val="uk-UA"/>
              </w:rPr>
              <w:t>)</w:t>
            </w:r>
          </w:p>
        </w:tc>
      </w:tr>
      <w:tr w:rsidR="00E05B98" w:rsidRPr="00D029FF" w14:paraId="4F736AF2" w14:textId="77777777" w:rsidTr="005A424B">
        <w:trPr>
          <w:trHeight w:val="1422"/>
        </w:trPr>
        <w:tc>
          <w:tcPr>
            <w:tcW w:w="9511" w:type="dxa"/>
            <w:tcBorders>
              <w:top w:val="single" w:sz="6" w:space="0" w:color="019648"/>
              <w:bottom w:val="single" w:sz="6" w:space="0" w:color="019648"/>
            </w:tcBorders>
          </w:tcPr>
          <w:p w14:paraId="15799417" w14:textId="77777777" w:rsidR="00E05B98" w:rsidRPr="003C6DAE" w:rsidRDefault="00E05B98" w:rsidP="00E742CC">
            <w:pPr>
              <w:pStyle w:val="TableParagraph"/>
              <w:spacing w:before="0" w:line="233" w:lineRule="auto"/>
              <w:ind w:left="0"/>
              <w:rPr>
                <w:sz w:val="20"/>
                <w:szCs w:val="20"/>
                <w:lang w:val="uk-UA"/>
              </w:rPr>
            </w:pPr>
          </w:p>
          <w:p w14:paraId="7432E123" w14:textId="78323604" w:rsidR="00E05B98" w:rsidRPr="003C6DAE" w:rsidRDefault="00B01E0C" w:rsidP="008C19E4">
            <w:pPr>
              <w:pStyle w:val="TableParagraph"/>
              <w:spacing w:before="0" w:line="233" w:lineRule="auto"/>
              <w:ind w:left="423" w:hanging="397"/>
              <w:jc w:val="both"/>
              <w:rPr>
                <w:sz w:val="20"/>
                <w:szCs w:val="20"/>
                <w:lang w:val="uk-UA"/>
              </w:rPr>
            </w:pPr>
            <w:r w:rsidRPr="003C6DAE">
              <w:rPr>
                <w:sz w:val="20"/>
                <w:szCs w:val="20"/>
                <w:lang w:val="uk-UA"/>
              </w:rPr>
              <w:t>10.</w:t>
            </w:r>
            <w:r w:rsidR="008C19E4" w:rsidRPr="003C6DAE">
              <w:rPr>
                <w:sz w:val="20"/>
                <w:szCs w:val="20"/>
                <w:lang w:val="uk-UA"/>
              </w:rPr>
              <w:t xml:space="preserve">   </w:t>
            </w:r>
            <w:r w:rsidR="00E94E99" w:rsidRPr="003C6DAE">
              <w:rPr>
                <w:sz w:val="20"/>
                <w:szCs w:val="20"/>
                <w:lang w:val="uk-UA"/>
              </w:rPr>
              <w:t xml:space="preserve">Для людей з бактеріологічно підтвердженим ТБ легень для первинного виявлення резистентності до ізоніазиду та фторхінолонів можна використовувати автоматизовані ТАНК низької складності для дослідження зразків мокротиння, а не </w:t>
            </w:r>
            <w:proofErr w:type="spellStart"/>
            <w:r w:rsidR="00E94E99" w:rsidRPr="003C6DAE">
              <w:rPr>
                <w:sz w:val="20"/>
                <w:szCs w:val="20"/>
                <w:lang w:val="uk-UA"/>
              </w:rPr>
              <w:t>фенотип</w:t>
            </w:r>
            <w:r w:rsidR="0061310B">
              <w:rPr>
                <w:sz w:val="20"/>
                <w:szCs w:val="20"/>
                <w:lang w:val="uk-UA"/>
              </w:rPr>
              <w:t>ов</w:t>
            </w:r>
            <w:r w:rsidR="00E94E99" w:rsidRPr="003C6DAE">
              <w:rPr>
                <w:sz w:val="20"/>
                <w:szCs w:val="20"/>
                <w:lang w:val="uk-UA"/>
              </w:rPr>
              <w:t>ий</w:t>
            </w:r>
            <w:proofErr w:type="spellEnd"/>
            <w:r w:rsidR="00E94E99" w:rsidRPr="003C6DAE">
              <w:rPr>
                <w:sz w:val="20"/>
                <w:szCs w:val="20"/>
                <w:lang w:val="uk-UA"/>
              </w:rPr>
              <w:t xml:space="preserve"> ТМЧ на основі бакпосіву.</w:t>
            </w:r>
          </w:p>
          <w:p w14:paraId="5EF3F10D" w14:textId="47D8E99A" w:rsidR="00E05B98" w:rsidRPr="003C6DAE" w:rsidRDefault="00AA6793" w:rsidP="00AA6793">
            <w:pPr>
              <w:pStyle w:val="TableParagraph"/>
              <w:spacing w:before="84" w:line="233" w:lineRule="auto"/>
              <w:rPr>
                <w:rFonts w:ascii="Arial"/>
                <w:i/>
                <w:sz w:val="20"/>
                <w:szCs w:val="20"/>
                <w:lang w:val="uk-UA"/>
              </w:rPr>
            </w:pPr>
            <w:r>
              <w:rPr>
                <w:rFonts w:ascii="Arial"/>
                <w:i/>
                <w:sz w:val="20"/>
                <w:szCs w:val="20"/>
                <w:lang w:val="uk-UA"/>
              </w:rPr>
              <w:t xml:space="preserve">     </w:t>
            </w:r>
            <w:r w:rsidR="00B01E0C" w:rsidRPr="003C6DAE">
              <w:rPr>
                <w:rFonts w:ascii="Arial"/>
                <w:i/>
                <w:sz w:val="20"/>
                <w:szCs w:val="20"/>
                <w:lang w:val="uk-UA"/>
              </w:rPr>
              <w:t>(</w:t>
            </w:r>
            <w:r w:rsidR="00CA43FC" w:rsidRPr="003C6DAE">
              <w:rPr>
                <w:rFonts w:ascii="Arial"/>
                <w:i/>
                <w:sz w:val="20"/>
                <w:szCs w:val="20"/>
                <w:lang w:val="uk-UA"/>
              </w:rPr>
              <w:t>Умовна</w:t>
            </w:r>
            <w:r w:rsidR="00CA43FC" w:rsidRPr="003C6DAE">
              <w:rPr>
                <w:rFonts w:ascii="Arial"/>
                <w:i/>
                <w:sz w:val="20"/>
                <w:szCs w:val="20"/>
                <w:lang w:val="uk-UA"/>
              </w:rPr>
              <w:t xml:space="preserve"> </w:t>
            </w:r>
            <w:r w:rsidR="00CA43FC" w:rsidRPr="003C6DAE">
              <w:rPr>
                <w:rFonts w:ascii="Arial"/>
                <w:i/>
                <w:sz w:val="20"/>
                <w:szCs w:val="20"/>
                <w:lang w:val="uk-UA"/>
              </w:rPr>
              <w:t>рекомендація</w:t>
            </w:r>
            <w:r w:rsidR="00B01E0C" w:rsidRPr="003C6DAE">
              <w:rPr>
                <w:rFonts w:ascii="Arial"/>
                <w:i/>
                <w:sz w:val="20"/>
                <w:szCs w:val="20"/>
                <w:lang w:val="uk-UA"/>
              </w:rPr>
              <w:t>,</w:t>
            </w:r>
            <w:r w:rsidR="00B01E0C" w:rsidRPr="003C6DAE">
              <w:rPr>
                <w:rFonts w:ascii="Arial"/>
                <w:i/>
                <w:spacing w:val="3"/>
                <w:sz w:val="20"/>
                <w:szCs w:val="20"/>
                <w:lang w:val="uk-UA"/>
              </w:rPr>
              <w:t xml:space="preserve"> </w:t>
            </w:r>
            <w:r w:rsidR="00CA43FC" w:rsidRPr="003C6DAE">
              <w:rPr>
                <w:rFonts w:ascii="Arial"/>
                <w:i/>
                <w:sz w:val="20"/>
                <w:szCs w:val="20"/>
                <w:lang w:val="uk-UA"/>
              </w:rPr>
              <w:t>помірний</w:t>
            </w:r>
            <w:r w:rsidR="00CA43FC" w:rsidRPr="003C6DAE">
              <w:rPr>
                <w:rFonts w:ascii="Arial"/>
                <w:i/>
                <w:sz w:val="20"/>
                <w:szCs w:val="20"/>
                <w:lang w:val="uk-UA"/>
              </w:rPr>
              <w:t xml:space="preserve"> </w:t>
            </w:r>
            <w:r w:rsidR="00CA43FC" w:rsidRPr="003C6DAE">
              <w:rPr>
                <w:rFonts w:ascii="Arial"/>
                <w:i/>
                <w:sz w:val="20"/>
                <w:szCs w:val="20"/>
                <w:lang w:val="uk-UA"/>
              </w:rPr>
              <w:t>ступінь</w:t>
            </w:r>
            <w:r w:rsidR="00CA43FC" w:rsidRPr="003C6DAE">
              <w:rPr>
                <w:rFonts w:ascii="Arial"/>
                <w:i/>
                <w:sz w:val="20"/>
                <w:szCs w:val="20"/>
                <w:lang w:val="uk-UA"/>
              </w:rPr>
              <w:t xml:space="preserve"> </w:t>
            </w:r>
            <w:r w:rsidR="00CA43FC" w:rsidRPr="003C6DAE">
              <w:rPr>
                <w:rFonts w:ascii="Arial"/>
                <w:i/>
                <w:sz w:val="20"/>
                <w:szCs w:val="20"/>
                <w:lang w:val="uk-UA"/>
              </w:rPr>
              <w:t>достовірності</w:t>
            </w:r>
            <w:r w:rsidR="00CA43FC" w:rsidRPr="003C6DAE">
              <w:rPr>
                <w:rFonts w:ascii="Arial"/>
                <w:i/>
                <w:sz w:val="20"/>
                <w:szCs w:val="20"/>
                <w:lang w:val="uk-UA"/>
              </w:rPr>
              <w:t xml:space="preserve"> </w:t>
            </w:r>
            <w:r w:rsidR="00CA43FC" w:rsidRPr="003C6DAE">
              <w:rPr>
                <w:rFonts w:ascii="Arial"/>
                <w:i/>
                <w:sz w:val="20"/>
                <w:szCs w:val="20"/>
                <w:lang w:val="uk-UA"/>
              </w:rPr>
              <w:t>доказів</w:t>
            </w:r>
            <w:r w:rsidR="00B01E0C" w:rsidRPr="003C6DAE">
              <w:rPr>
                <w:rFonts w:ascii="Arial"/>
                <w:i/>
                <w:spacing w:val="-2"/>
                <w:sz w:val="20"/>
                <w:szCs w:val="20"/>
                <w:lang w:val="uk-UA"/>
              </w:rPr>
              <w:t>)</w:t>
            </w:r>
          </w:p>
        </w:tc>
      </w:tr>
      <w:tr w:rsidR="00E05B98" w:rsidRPr="00D029FF" w14:paraId="624C8ADE" w14:textId="77777777" w:rsidTr="008C19E4">
        <w:trPr>
          <w:trHeight w:val="1412"/>
        </w:trPr>
        <w:tc>
          <w:tcPr>
            <w:tcW w:w="9511" w:type="dxa"/>
            <w:tcBorders>
              <w:top w:val="single" w:sz="6" w:space="0" w:color="019648"/>
              <w:bottom w:val="single" w:sz="6" w:space="0" w:color="019648"/>
            </w:tcBorders>
          </w:tcPr>
          <w:p w14:paraId="19DA9CFC" w14:textId="77777777" w:rsidR="00E05B98" w:rsidRPr="003C6DAE" w:rsidRDefault="00E05B98" w:rsidP="00E742CC">
            <w:pPr>
              <w:pStyle w:val="TableParagraph"/>
              <w:spacing w:before="0" w:line="233" w:lineRule="auto"/>
              <w:ind w:left="0"/>
              <w:rPr>
                <w:sz w:val="20"/>
                <w:szCs w:val="20"/>
                <w:lang w:val="uk-UA"/>
              </w:rPr>
            </w:pPr>
          </w:p>
          <w:p w14:paraId="72C52591" w14:textId="5BFECCC4" w:rsidR="00E05B98" w:rsidRPr="003C6DAE" w:rsidRDefault="00B01E0C" w:rsidP="00E742CC">
            <w:pPr>
              <w:pStyle w:val="TableParagraph"/>
              <w:spacing w:before="0" w:line="233" w:lineRule="auto"/>
              <w:ind w:left="510" w:right="25" w:hanging="397"/>
              <w:jc w:val="both"/>
              <w:rPr>
                <w:sz w:val="20"/>
                <w:szCs w:val="20"/>
                <w:lang w:val="uk-UA"/>
              </w:rPr>
            </w:pPr>
            <w:r w:rsidRPr="003C6DAE">
              <w:rPr>
                <w:sz w:val="20"/>
                <w:szCs w:val="20"/>
                <w:lang w:val="uk-UA"/>
              </w:rPr>
              <w:t>11.</w:t>
            </w:r>
            <w:r w:rsidRPr="003C6DAE">
              <w:rPr>
                <w:spacing w:val="40"/>
                <w:sz w:val="20"/>
                <w:szCs w:val="20"/>
                <w:lang w:val="uk-UA"/>
              </w:rPr>
              <w:t xml:space="preserve"> </w:t>
            </w:r>
            <w:r w:rsidR="00A520EF" w:rsidRPr="003C6DAE">
              <w:rPr>
                <w:sz w:val="20"/>
                <w:szCs w:val="20"/>
                <w:lang w:val="uk-UA"/>
              </w:rPr>
              <w:t xml:space="preserve">Для людей з бактеріологічно підтвердженим ТБ легень та резистентністю до рифампіцину в якості первинного виявлення резистентності до етіонаміду можна використовувати автоматизовані ТАНК низької складності </w:t>
            </w:r>
            <w:r w:rsidR="00AA6793">
              <w:rPr>
                <w:sz w:val="20"/>
                <w:szCs w:val="20"/>
                <w:lang w:val="uk-UA"/>
              </w:rPr>
              <w:t xml:space="preserve">для дослідження зразків мокротиння </w:t>
            </w:r>
            <w:r w:rsidR="00A520EF" w:rsidRPr="003C6DAE">
              <w:rPr>
                <w:sz w:val="20"/>
                <w:szCs w:val="20"/>
                <w:lang w:val="uk-UA"/>
              </w:rPr>
              <w:t xml:space="preserve">замість секвенування ДНК </w:t>
            </w:r>
            <w:r w:rsidR="00AA6793">
              <w:rPr>
                <w:sz w:val="20"/>
                <w:szCs w:val="20"/>
                <w:lang w:val="uk-UA"/>
              </w:rPr>
              <w:t>у ділянці</w:t>
            </w:r>
            <w:r w:rsidR="00A520EF" w:rsidRPr="003C6DAE">
              <w:rPr>
                <w:sz w:val="20"/>
                <w:szCs w:val="20"/>
                <w:lang w:val="uk-UA"/>
              </w:rPr>
              <w:t xml:space="preserve">  промотора </w:t>
            </w:r>
            <w:r w:rsidR="00A520EF" w:rsidRPr="00AA6793">
              <w:rPr>
                <w:i/>
                <w:iCs/>
                <w:sz w:val="20"/>
                <w:szCs w:val="20"/>
                <w:lang w:val="uk-UA"/>
              </w:rPr>
              <w:t>inhA</w:t>
            </w:r>
            <w:r w:rsidR="00A520EF" w:rsidRPr="003C6DAE">
              <w:rPr>
                <w:sz w:val="20"/>
                <w:szCs w:val="20"/>
                <w:lang w:val="uk-UA"/>
              </w:rPr>
              <w:t>.</w:t>
            </w:r>
          </w:p>
          <w:p w14:paraId="103F2A75" w14:textId="0E0A0ACD" w:rsidR="00E05B98" w:rsidRPr="003C6DAE" w:rsidRDefault="00B01E0C" w:rsidP="00E742CC">
            <w:pPr>
              <w:pStyle w:val="TableParagraph"/>
              <w:spacing w:before="81" w:line="233" w:lineRule="auto"/>
              <w:ind w:left="510"/>
              <w:rPr>
                <w:rFonts w:ascii="Arial"/>
                <w:i/>
                <w:sz w:val="20"/>
                <w:szCs w:val="20"/>
                <w:lang w:val="uk-UA"/>
              </w:rPr>
            </w:pPr>
            <w:r w:rsidRPr="003C6DAE">
              <w:rPr>
                <w:rFonts w:ascii="Arial"/>
                <w:i/>
                <w:sz w:val="20"/>
                <w:szCs w:val="20"/>
                <w:lang w:val="uk-UA"/>
              </w:rPr>
              <w:t>(</w:t>
            </w:r>
            <w:r w:rsidR="00CA43FC" w:rsidRPr="003C6DAE">
              <w:rPr>
                <w:rFonts w:ascii="Arial"/>
                <w:i/>
                <w:sz w:val="20"/>
                <w:szCs w:val="20"/>
                <w:lang w:val="uk-UA"/>
              </w:rPr>
              <w:t>Умовна</w:t>
            </w:r>
            <w:r w:rsidR="00CA43FC" w:rsidRPr="003C6DAE">
              <w:rPr>
                <w:rFonts w:ascii="Arial"/>
                <w:i/>
                <w:sz w:val="20"/>
                <w:szCs w:val="20"/>
                <w:lang w:val="uk-UA"/>
              </w:rPr>
              <w:t xml:space="preserve"> </w:t>
            </w:r>
            <w:r w:rsidR="00CA43FC" w:rsidRPr="003C6DAE">
              <w:rPr>
                <w:rFonts w:ascii="Arial"/>
                <w:i/>
                <w:sz w:val="20"/>
                <w:szCs w:val="20"/>
                <w:lang w:val="uk-UA"/>
              </w:rPr>
              <w:t>рекомендація</w:t>
            </w:r>
            <w:r w:rsidR="00CA43FC" w:rsidRPr="003C6DAE">
              <w:rPr>
                <w:rFonts w:ascii="Arial"/>
                <w:i/>
                <w:sz w:val="20"/>
                <w:szCs w:val="20"/>
                <w:lang w:val="uk-UA"/>
              </w:rPr>
              <w:t>,</w:t>
            </w:r>
            <w:r w:rsidR="00CA43FC" w:rsidRPr="003C6DAE">
              <w:rPr>
                <w:rFonts w:ascii="Arial"/>
                <w:i/>
                <w:spacing w:val="3"/>
                <w:sz w:val="20"/>
                <w:szCs w:val="20"/>
                <w:lang w:val="uk-UA"/>
              </w:rPr>
              <w:t xml:space="preserve"> </w:t>
            </w:r>
            <w:r w:rsidR="00CA43FC" w:rsidRPr="003C6DAE">
              <w:rPr>
                <w:rFonts w:ascii="Arial"/>
                <w:i/>
                <w:sz w:val="20"/>
                <w:szCs w:val="20"/>
                <w:lang w:val="uk-UA"/>
              </w:rPr>
              <w:t>дуже</w:t>
            </w:r>
            <w:r w:rsidR="00CA43FC" w:rsidRPr="003C6DAE">
              <w:rPr>
                <w:rFonts w:ascii="Arial"/>
                <w:i/>
                <w:sz w:val="20"/>
                <w:szCs w:val="20"/>
                <w:lang w:val="uk-UA"/>
              </w:rPr>
              <w:t xml:space="preserve"> </w:t>
            </w:r>
            <w:r w:rsidR="00CA43FC" w:rsidRPr="003C6DAE">
              <w:rPr>
                <w:rFonts w:ascii="Arial"/>
                <w:i/>
                <w:sz w:val="20"/>
                <w:szCs w:val="20"/>
                <w:lang w:val="uk-UA"/>
              </w:rPr>
              <w:t>низький</w:t>
            </w:r>
            <w:r w:rsidR="00CA43FC" w:rsidRPr="003C6DAE">
              <w:rPr>
                <w:rFonts w:ascii="Arial"/>
                <w:i/>
                <w:sz w:val="20"/>
                <w:szCs w:val="20"/>
                <w:lang w:val="uk-UA"/>
              </w:rPr>
              <w:t xml:space="preserve"> </w:t>
            </w:r>
            <w:r w:rsidR="00CA43FC" w:rsidRPr="003C6DAE">
              <w:rPr>
                <w:rFonts w:ascii="Arial"/>
                <w:i/>
                <w:sz w:val="20"/>
                <w:szCs w:val="20"/>
                <w:lang w:val="uk-UA"/>
              </w:rPr>
              <w:t>ступінь</w:t>
            </w:r>
            <w:r w:rsidR="00CA43FC" w:rsidRPr="003C6DAE">
              <w:rPr>
                <w:rFonts w:ascii="Arial"/>
                <w:i/>
                <w:sz w:val="20"/>
                <w:szCs w:val="20"/>
                <w:lang w:val="uk-UA"/>
              </w:rPr>
              <w:t xml:space="preserve"> </w:t>
            </w:r>
            <w:r w:rsidR="00CA43FC" w:rsidRPr="003C6DAE">
              <w:rPr>
                <w:rFonts w:ascii="Arial"/>
                <w:i/>
                <w:sz w:val="20"/>
                <w:szCs w:val="20"/>
                <w:lang w:val="uk-UA"/>
              </w:rPr>
              <w:t>достовірності</w:t>
            </w:r>
            <w:r w:rsidR="00CA43FC" w:rsidRPr="003C6DAE">
              <w:rPr>
                <w:rFonts w:ascii="Arial"/>
                <w:i/>
                <w:sz w:val="20"/>
                <w:szCs w:val="20"/>
                <w:lang w:val="uk-UA"/>
              </w:rPr>
              <w:t xml:space="preserve"> </w:t>
            </w:r>
            <w:r w:rsidR="00CA43FC" w:rsidRPr="003C6DAE">
              <w:rPr>
                <w:rFonts w:ascii="Arial"/>
                <w:i/>
                <w:sz w:val="20"/>
                <w:szCs w:val="20"/>
                <w:lang w:val="uk-UA"/>
              </w:rPr>
              <w:t>доказів</w:t>
            </w:r>
            <w:r w:rsidRPr="003C6DAE">
              <w:rPr>
                <w:rFonts w:ascii="Arial"/>
                <w:i/>
                <w:spacing w:val="-2"/>
                <w:sz w:val="20"/>
                <w:szCs w:val="20"/>
                <w:lang w:val="uk-UA"/>
              </w:rPr>
              <w:t>)</w:t>
            </w:r>
          </w:p>
        </w:tc>
      </w:tr>
      <w:tr w:rsidR="00E05B98" w:rsidRPr="00D029FF" w14:paraId="6067D915" w14:textId="77777777" w:rsidTr="005A424B">
        <w:trPr>
          <w:trHeight w:val="1422"/>
        </w:trPr>
        <w:tc>
          <w:tcPr>
            <w:tcW w:w="9511" w:type="dxa"/>
            <w:tcBorders>
              <w:top w:val="single" w:sz="6" w:space="0" w:color="019648"/>
              <w:bottom w:val="single" w:sz="6" w:space="0" w:color="019648"/>
            </w:tcBorders>
          </w:tcPr>
          <w:p w14:paraId="2D78419D" w14:textId="77777777" w:rsidR="00E05B98" w:rsidRPr="003C6DAE" w:rsidRDefault="00E05B98" w:rsidP="00E742CC">
            <w:pPr>
              <w:pStyle w:val="TableParagraph"/>
              <w:spacing w:before="0" w:line="233" w:lineRule="auto"/>
              <w:ind w:left="0"/>
              <w:rPr>
                <w:sz w:val="20"/>
                <w:szCs w:val="20"/>
                <w:lang w:val="uk-UA"/>
              </w:rPr>
            </w:pPr>
          </w:p>
          <w:p w14:paraId="7979EB24" w14:textId="0C53B183" w:rsidR="00E05B98" w:rsidRPr="003C6DAE" w:rsidRDefault="00B01E0C" w:rsidP="00E742CC">
            <w:pPr>
              <w:pStyle w:val="TableParagraph"/>
              <w:spacing w:before="0" w:line="233" w:lineRule="auto"/>
              <w:ind w:left="510" w:hanging="397"/>
              <w:jc w:val="both"/>
              <w:rPr>
                <w:sz w:val="20"/>
                <w:szCs w:val="20"/>
                <w:lang w:val="uk-UA"/>
              </w:rPr>
            </w:pPr>
            <w:r w:rsidRPr="003C6DAE">
              <w:rPr>
                <w:sz w:val="20"/>
                <w:szCs w:val="20"/>
                <w:lang w:val="uk-UA"/>
              </w:rPr>
              <w:t>12.</w:t>
            </w:r>
            <w:r w:rsidRPr="003C6DAE">
              <w:rPr>
                <w:spacing w:val="40"/>
                <w:sz w:val="20"/>
                <w:szCs w:val="20"/>
                <w:lang w:val="uk-UA"/>
              </w:rPr>
              <w:t xml:space="preserve"> </w:t>
            </w:r>
            <w:r w:rsidR="00A520EF" w:rsidRPr="003C6DAE">
              <w:rPr>
                <w:sz w:val="20"/>
                <w:szCs w:val="20"/>
                <w:lang w:val="uk-UA"/>
              </w:rPr>
              <w:t xml:space="preserve">Для людей з бактеріологічно підтвердженим ТБ легень та стійкістю до рифампіцину для первинного виявлення резистентності до амікацину можна використовувати автоматизовані ТАНК низької складності на </w:t>
            </w:r>
            <w:r w:rsidR="00AA6793">
              <w:rPr>
                <w:sz w:val="20"/>
                <w:szCs w:val="20"/>
                <w:lang w:val="uk-UA"/>
              </w:rPr>
              <w:t xml:space="preserve">зразках </w:t>
            </w:r>
            <w:r w:rsidR="00A520EF" w:rsidRPr="003C6DAE">
              <w:rPr>
                <w:sz w:val="20"/>
                <w:szCs w:val="20"/>
                <w:lang w:val="uk-UA"/>
              </w:rPr>
              <w:t>мокротинн</w:t>
            </w:r>
            <w:r w:rsidR="00AA6793">
              <w:rPr>
                <w:sz w:val="20"/>
                <w:szCs w:val="20"/>
                <w:lang w:val="uk-UA"/>
              </w:rPr>
              <w:t>я</w:t>
            </w:r>
            <w:r w:rsidR="00A520EF" w:rsidRPr="003C6DAE">
              <w:rPr>
                <w:sz w:val="20"/>
                <w:szCs w:val="20"/>
                <w:lang w:val="uk-UA"/>
              </w:rPr>
              <w:t xml:space="preserve"> замість фенотипічного ТМЧ на основі бакпосіву</w:t>
            </w:r>
            <w:r w:rsidRPr="003C6DAE">
              <w:rPr>
                <w:sz w:val="20"/>
                <w:szCs w:val="20"/>
                <w:lang w:val="uk-UA"/>
              </w:rPr>
              <w:t>.</w:t>
            </w:r>
          </w:p>
          <w:p w14:paraId="553EAC61" w14:textId="09F46AE0" w:rsidR="00E05B98" w:rsidRPr="003C6DAE" w:rsidRDefault="00B01E0C" w:rsidP="00E742CC">
            <w:pPr>
              <w:pStyle w:val="TableParagraph"/>
              <w:spacing w:before="84" w:line="233" w:lineRule="auto"/>
              <w:ind w:left="510"/>
              <w:rPr>
                <w:rFonts w:ascii="Arial"/>
                <w:i/>
                <w:sz w:val="20"/>
                <w:szCs w:val="20"/>
                <w:lang w:val="uk-UA"/>
              </w:rPr>
            </w:pPr>
            <w:r w:rsidRPr="003C6DAE">
              <w:rPr>
                <w:rFonts w:ascii="Arial"/>
                <w:i/>
                <w:sz w:val="20"/>
                <w:szCs w:val="20"/>
                <w:lang w:val="uk-UA"/>
              </w:rPr>
              <w:t>(</w:t>
            </w:r>
            <w:r w:rsidR="00CA43FC" w:rsidRPr="003C6DAE">
              <w:rPr>
                <w:rFonts w:ascii="Arial"/>
                <w:i/>
                <w:sz w:val="20"/>
                <w:szCs w:val="20"/>
                <w:lang w:val="uk-UA"/>
              </w:rPr>
              <w:t>Умовна</w:t>
            </w:r>
            <w:r w:rsidR="00CA43FC" w:rsidRPr="003C6DAE">
              <w:rPr>
                <w:rFonts w:ascii="Arial"/>
                <w:i/>
                <w:sz w:val="20"/>
                <w:szCs w:val="20"/>
                <w:lang w:val="uk-UA"/>
              </w:rPr>
              <w:t xml:space="preserve"> </w:t>
            </w:r>
            <w:r w:rsidR="00CA43FC" w:rsidRPr="003C6DAE">
              <w:rPr>
                <w:rFonts w:ascii="Arial"/>
                <w:i/>
                <w:sz w:val="20"/>
                <w:szCs w:val="20"/>
                <w:lang w:val="uk-UA"/>
              </w:rPr>
              <w:t>рекомендація</w:t>
            </w:r>
            <w:r w:rsidR="00CA43FC" w:rsidRPr="003C6DAE">
              <w:rPr>
                <w:rFonts w:ascii="Arial"/>
                <w:i/>
                <w:sz w:val="20"/>
                <w:szCs w:val="20"/>
                <w:lang w:val="uk-UA"/>
              </w:rPr>
              <w:t>,</w:t>
            </w:r>
            <w:r w:rsidR="00CA43FC" w:rsidRPr="003C6DAE">
              <w:rPr>
                <w:rFonts w:ascii="Arial"/>
                <w:i/>
                <w:spacing w:val="3"/>
                <w:sz w:val="20"/>
                <w:szCs w:val="20"/>
                <w:lang w:val="uk-UA"/>
              </w:rPr>
              <w:t xml:space="preserve"> </w:t>
            </w:r>
            <w:r w:rsidR="00CA43FC" w:rsidRPr="003C6DAE">
              <w:rPr>
                <w:rFonts w:ascii="Arial"/>
                <w:i/>
                <w:sz w:val="20"/>
                <w:szCs w:val="20"/>
                <w:lang w:val="uk-UA"/>
              </w:rPr>
              <w:t>низький</w:t>
            </w:r>
            <w:r w:rsidR="00CA43FC" w:rsidRPr="003C6DAE">
              <w:rPr>
                <w:rFonts w:ascii="Arial"/>
                <w:i/>
                <w:sz w:val="20"/>
                <w:szCs w:val="20"/>
                <w:lang w:val="uk-UA"/>
              </w:rPr>
              <w:t xml:space="preserve"> </w:t>
            </w:r>
            <w:r w:rsidR="00CA43FC" w:rsidRPr="003C6DAE">
              <w:rPr>
                <w:rFonts w:ascii="Arial"/>
                <w:i/>
                <w:sz w:val="20"/>
                <w:szCs w:val="20"/>
                <w:lang w:val="uk-UA"/>
              </w:rPr>
              <w:t>ступінь</w:t>
            </w:r>
            <w:r w:rsidR="00CA43FC" w:rsidRPr="003C6DAE">
              <w:rPr>
                <w:rFonts w:ascii="Arial"/>
                <w:i/>
                <w:sz w:val="20"/>
                <w:szCs w:val="20"/>
                <w:lang w:val="uk-UA"/>
              </w:rPr>
              <w:t xml:space="preserve"> </w:t>
            </w:r>
            <w:r w:rsidR="00CA43FC" w:rsidRPr="003C6DAE">
              <w:rPr>
                <w:rFonts w:ascii="Arial"/>
                <w:i/>
                <w:sz w:val="20"/>
                <w:szCs w:val="20"/>
                <w:lang w:val="uk-UA"/>
              </w:rPr>
              <w:t>достовірності</w:t>
            </w:r>
            <w:r w:rsidR="00CA43FC" w:rsidRPr="003C6DAE">
              <w:rPr>
                <w:rFonts w:ascii="Arial"/>
                <w:i/>
                <w:sz w:val="20"/>
                <w:szCs w:val="20"/>
                <w:lang w:val="uk-UA"/>
              </w:rPr>
              <w:t xml:space="preserve"> </w:t>
            </w:r>
            <w:r w:rsidR="00CA43FC" w:rsidRPr="003C6DAE">
              <w:rPr>
                <w:rFonts w:ascii="Arial"/>
                <w:i/>
                <w:sz w:val="20"/>
                <w:szCs w:val="20"/>
                <w:lang w:val="uk-UA"/>
              </w:rPr>
              <w:t>доказів</w:t>
            </w:r>
            <w:r w:rsidRPr="003C6DAE">
              <w:rPr>
                <w:rFonts w:ascii="Arial"/>
                <w:i/>
                <w:spacing w:val="-2"/>
                <w:sz w:val="20"/>
                <w:szCs w:val="20"/>
                <w:lang w:val="uk-UA"/>
              </w:rPr>
              <w:t>)</w:t>
            </w:r>
          </w:p>
        </w:tc>
      </w:tr>
      <w:tr w:rsidR="00E05B98" w:rsidRPr="00D029FF" w14:paraId="5A1F2C81" w14:textId="77777777" w:rsidTr="005A424B">
        <w:trPr>
          <w:trHeight w:val="1422"/>
        </w:trPr>
        <w:tc>
          <w:tcPr>
            <w:tcW w:w="9511" w:type="dxa"/>
            <w:tcBorders>
              <w:top w:val="single" w:sz="6" w:space="0" w:color="019648"/>
              <w:bottom w:val="single" w:sz="6" w:space="0" w:color="019648"/>
            </w:tcBorders>
          </w:tcPr>
          <w:p w14:paraId="0AFFDE49" w14:textId="77777777" w:rsidR="00E05B98" w:rsidRPr="003C6DAE" w:rsidRDefault="00E05B98" w:rsidP="00E742CC">
            <w:pPr>
              <w:pStyle w:val="TableParagraph"/>
              <w:spacing w:before="0" w:line="233" w:lineRule="auto"/>
              <w:ind w:left="0"/>
              <w:rPr>
                <w:sz w:val="20"/>
                <w:szCs w:val="20"/>
                <w:lang w:val="uk-UA"/>
              </w:rPr>
            </w:pPr>
          </w:p>
          <w:p w14:paraId="14FF6054" w14:textId="26C4DFA2" w:rsidR="00E05B98" w:rsidRPr="003C6DAE" w:rsidRDefault="00B01E0C" w:rsidP="00E742CC">
            <w:pPr>
              <w:pStyle w:val="TableParagraph"/>
              <w:spacing w:before="0" w:line="233" w:lineRule="auto"/>
              <w:ind w:left="510" w:hanging="397"/>
              <w:jc w:val="both"/>
              <w:rPr>
                <w:sz w:val="20"/>
                <w:szCs w:val="20"/>
                <w:lang w:val="uk-UA"/>
              </w:rPr>
            </w:pPr>
            <w:r w:rsidRPr="003C6DAE">
              <w:rPr>
                <w:sz w:val="20"/>
                <w:szCs w:val="20"/>
                <w:lang w:val="uk-UA"/>
              </w:rPr>
              <w:t>13.</w:t>
            </w:r>
            <w:r w:rsidRPr="003C6DAE">
              <w:rPr>
                <w:spacing w:val="40"/>
                <w:sz w:val="20"/>
                <w:szCs w:val="20"/>
                <w:lang w:val="uk-UA"/>
              </w:rPr>
              <w:t xml:space="preserve"> </w:t>
            </w:r>
            <w:r w:rsidR="00C13E83" w:rsidRPr="003C6DAE">
              <w:rPr>
                <w:sz w:val="20"/>
                <w:szCs w:val="20"/>
                <w:lang w:val="uk-UA"/>
              </w:rPr>
              <w:t>Для людей з позитивним мазком мокротиння або культуральним ізолятом МБ</w:t>
            </w:r>
            <w:r w:rsidR="00AA6793">
              <w:rPr>
                <w:sz w:val="20"/>
                <w:szCs w:val="20"/>
                <w:lang w:val="uk-UA"/>
              </w:rPr>
              <w:t>Т</w:t>
            </w:r>
            <w:r w:rsidR="00C13E83" w:rsidRPr="003C6DAE">
              <w:rPr>
                <w:sz w:val="20"/>
                <w:szCs w:val="20"/>
                <w:lang w:val="uk-UA"/>
              </w:rPr>
              <w:t xml:space="preserve">К можуть бути використані  комерційні молекулярні лінійні зонд-аналізи </w:t>
            </w:r>
            <w:r w:rsidR="00AA6793">
              <w:rPr>
                <w:sz w:val="20"/>
                <w:szCs w:val="20"/>
                <w:lang w:val="uk-UA"/>
              </w:rPr>
              <w:t xml:space="preserve">в </w:t>
            </w:r>
            <w:r w:rsidR="00C13E83" w:rsidRPr="003C6DAE">
              <w:rPr>
                <w:sz w:val="20"/>
                <w:szCs w:val="20"/>
                <w:lang w:val="uk-UA"/>
              </w:rPr>
              <w:t>як</w:t>
            </w:r>
            <w:r w:rsidR="00AA6793">
              <w:rPr>
                <w:sz w:val="20"/>
                <w:szCs w:val="20"/>
                <w:lang w:val="uk-UA"/>
              </w:rPr>
              <w:t>ості</w:t>
            </w:r>
            <w:r w:rsidR="00C13E83" w:rsidRPr="003C6DAE">
              <w:rPr>
                <w:sz w:val="20"/>
                <w:szCs w:val="20"/>
                <w:lang w:val="uk-UA"/>
              </w:rPr>
              <w:t xml:space="preserve"> </w:t>
            </w:r>
            <w:r w:rsidR="00AA57D7">
              <w:rPr>
                <w:sz w:val="20"/>
                <w:szCs w:val="20"/>
                <w:lang w:val="uk-UA"/>
              </w:rPr>
              <w:t>первинного</w:t>
            </w:r>
            <w:r w:rsidR="00C13E83" w:rsidRPr="003C6DAE">
              <w:rPr>
                <w:sz w:val="20"/>
                <w:szCs w:val="20"/>
                <w:lang w:val="uk-UA"/>
              </w:rPr>
              <w:t xml:space="preserve"> тест</w:t>
            </w:r>
            <w:r w:rsidR="00AA6793">
              <w:rPr>
                <w:sz w:val="20"/>
                <w:szCs w:val="20"/>
                <w:lang w:val="uk-UA"/>
              </w:rPr>
              <w:t>у</w:t>
            </w:r>
            <w:r w:rsidR="00C13E83" w:rsidRPr="003C6DAE">
              <w:rPr>
                <w:sz w:val="20"/>
                <w:szCs w:val="20"/>
                <w:lang w:val="uk-UA"/>
              </w:rPr>
              <w:t xml:space="preserve"> замість фенотипічного ТМЧ на основі бакпосіву для виявлення резистентності до рифампіцину та ізоніазиду.</w:t>
            </w:r>
          </w:p>
          <w:p w14:paraId="241F26C5" w14:textId="3575F25A" w:rsidR="00E05B98" w:rsidRPr="003C6DAE" w:rsidRDefault="00B01E0C" w:rsidP="00E742CC">
            <w:pPr>
              <w:pStyle w:val="TableParagraph"/>
              <w:spacing w:before="84" w:line="233" w:lineRule="auto"/>
              <w:ind w:left="510"/>
              <w:rPr>
                <w:rFonts w:ascii="Arial"/>
                <w:i/>
                <w:sz w:val="20"/>
                <w:szCs w:val="20"/>
                <w:lang w:val="uk-UA"/>
              </w:rPr>
            </w:pPr>
            <w:r w:rsidRPr="003C6DAE">
              <w:rPr>
                <w:rFonts w:ascii="Arial"/>
                <w:i/>
                <w:sz w:val="20"/>
                <w:szCs w:val="20"/>
                <w:lang w:val="uk-UA"/>
              </w:rPr>
              <w:t>(</w:t>
            </w:r>
            <w:r w:rsidR="00CA43FC" w:rsidRPr="003C6DAE">
              <w:rPr>
                <w:rFonts w:ascii="Arial"/>
                <w:i/>
                <w:sz w:val="20"/>
                <w:szCs w:val="20"/>
                <w:lang w:val="uk-UA"/>
              </w:rPr>
              <w:t>Умовна</w:t>
            </w:r>
            <w:r w:rsidR="00CA43FC" w:rsidRPr="003C6DAE">
              <w:rPr>
                <w:rFonts w:ascii="Arial"/>
                <w:i/>
                <w:sz w:val="20"/>
                <w:szCs w:val="20"/>
                <w:lang w:val="uk-UA"/>
              </w:rPr>
              <w:t xml:space="preserve"> </w:t>
            </w:r>
            <w:r w:rsidR="00CA43FC" w:rsidRPr="003C6DAE">
              <w:rPr>
                <w:rFonts w:ascii="Arial"/>
                <w:i/>
                <w:sz w:val="20"/>
                <w:szCs w:val="20"/>
                <w:lang w:val="uk-UA"/>
              </w:rPr>
              <w:t>рекомендація</w:t>
            </w:r>
            <w:r w:rsidR="00CA43FC" w:rsidRPr="003C6DAE">
              <w:rPr>
                <w:rFonts w:ascii="Arial"/>
                <w:i/>
                <w:sz w:val="20"/>
                <w:szCs w:val="20"/>
                <w:lang w:val="uk-UA"/>
              </w:rPr>
              <w:t>,</w:t>
            </w:r>
            <w:r w:rsidR="00CA43FC" w:rsidRPr="003C6DAE">
              <w:rPr>
                <w:rFonts w:ascii="Arial"/>
                <w:i/>
                <w:spacing w:val="3"/>
                <w:sz w:val="20"/>
                <w:szCs w:val="20"/>
                <w:lang w:val="uk-UA"/>
              </w:rPr>
              <w:t xml:space="preserve"> </w:t>
            </w:r>
            <w:r w:rsidR="00CA43FC" w:rsidRPr="003C6DAE">
              <w:rPr>
                <w:rFonts w:ascii="Arial"/>
                <w:i/>
                <w:sz w:val="20"/>
                <w:szCs w:val="20"/>
                <w:lang w:val="uk-UA"/>
              </w:rPr>
              <w:t>помірний</w:t>
            </w:r>
            <w:r w:rsidR="00CA43FC" w:rsidRPr="003C6DAE">
              <w:rPr>
                <w:rFonts w:ascii="Arial"/>
                <w:i/>
                <w:sz w:val="20"/>
                <w:szCs w:val="20"/>
                <w:lang w:val="uk-UA"/>
              </w:rPr>
              <w:t xml:space="preserve"> </w:t>
            </w:r>
            <w:r w:rsidR="00CA43FC" w:rsidRPr="003C6DAE">
              <w:rPr>
                <w:rFonts w:ascii="Arial"/>
                <w:i/>
                <w:sz w:val="20"/>
                <w:szCs w:val="20"/>
                <w:lang w:val="uk-UA"/>
              </w:rPr>
              <w:t>ступінь</w:t>
            </w:r>
            <w:r w:rsidR="00CA43FC" w:rsidRPr="003C6DAE">
              <w:rPr>
                <w:rFonts w:ascii="Arial"/>
                <w:i/>
                <w:sz w:val="20"/>
                <w:szCs w:val="20"/>
                <w:lang w:val="uk-UA"/>
              </w:rPr>
              <w:t xml:space="preserve"> </w:t>
            </w:r>
            <w:r w:rsidR="00CA43FC" w:rsidRPr="003C6DAE">
              <w:rPr>
                <w:rFonts w:ascii="Arial"/>
                <w:i/>
                <w:sz w:val="20"/>
                <w:szCs w:val="20"/>
                <w:lang w:val="uk-UA"/>
              </w:rPr>
              <w:t>достовірності</w:t>
            </w:r>
            <w:r w:rsidR="00CA43FC" w:rsidRPr="003C6DAE">
              <w:rPr>
                <w:rFonts w:ascii="Arial"/>
                <w:i/>
                <w:sz w:val="20"/>
                <w:szCs w:val="20"/>
                <w:lang w:val="uk-UA"/>
              </w:rPr>
              <w:t xml:space="preserve"> </w:t>
            </w:r>
            <w:r w:rsidR="00CA43FC" w:rsidRPr="003C6DAE">
              <w:rPr>
                <w:rFonts w:ascii="Arial"/>
                <w:i/>
                <w:sz w:val="20"/>
                <w:szCs w:val="20"/>
                <w:lang w:val="uk-UA"/>
              </w:rPr>
              <w:t>доказів</w:t>
            </w:r>
            <w:r w:rsidRPr="003C6DAE">
              <w:rPr>
                <w:rFonts w:ascii="Arial"/>
                <w:i/>
                <w:spacing w:val="-2"/>
                <w:sz w:val="20"/>
                <w:szCs w:val="20"/>
                <w:lang w:val="uk-UA"/>
              </w:rPr>
              <w:t>)</w:t>
            </w:r>
          </w:p>
        </w:tc>
      </w:tr>
      <w:tr w:rsidR="00E05B98" w:rsidRPr="00D029FF" w14:paraId="1086000D" w14:textId="77777777" w:rsidTr="005A424B">
        <w:trPr>
          <w:trHeight w:val="1162"/>
        </w:trPr>
        <w:tc>
          <w:tcPr>
            <w:tcW w:w="9511" w:type="dxa"/>
            <w:tcBorders>
              <w:top w:val="single" w:sz="6" w:space="0" w:color="019648"/>
              <w:bottom w:val="single" w:sz="6" w:space="0" w:color="019648"/>
            </w:tcBorders>
          </w:tcPr>
          <w:p w14:paraId="78FB4200" w14:textId="77777777" w:rsidR="00E05B98" w:rsidRPr="003C6DAE" w:rsidRDefault="00E05B98" w:rsidP="00E742CC">
            <w:pPr>
              <w:pStyle w:val="TableParagraph"/>
              <w:spacing w:before="0" w:line="233" w:lineRule="auto"/>
              <w:ind w:left="0"/>
              <w:rPr>
                <w:sz w:val="20"/>
                <w:szCs w:val="20"/>
                <w:lang w:val="uk-UA"/>
              </w:rPr>
            </w:pPr>
          </w:p>
          <w:p w14:paraId="5A2004D7" w14:textId="605CDC52" w:rsidR="00E05B98" w:rsidRPr="003C6DAE" w:rsidRDefault="00B01E0C" w:rsidP="00E742CC">
            <w:pPr>
              <w:pStyle w:val="TableParagraph"/>
              <w:spacing w:before="0" w:line="233" w:lineRule="auto"/>
              <w:ind w:left="510" w:right="111" w:hanging="397"/>
              <w:rPr>
                <w:sz w:val="20"/>
                <w:szCs w:val="20"/>
                <w:lang w:val="uk-UA"/>
              </w:rPr>
            </w:pPr>
            <w:r w:rsidRPr="003C6DAE">
              <w:rPr>
                <w:sz w:val="20"/>
                <w:szCs w:val="20"/>
                <w:lang w:val="uk-UA"/>
              </w:rPr>
              <w:t>14.</w:t>
            </w:r>
            <w:r w:rsidRPr="003C6DAE">
              <w:rPr>
                <w:spacing w:val="24"/>
                <w:sz w:val="20"/>
                <w:szCs w:val="20"/>
                <w:lang w:val="uk-UA"/>
              </w:rPr>
              <w:t xml:space="preserve"> </w:t>
            </w:r>
            <w:r w:rsidR="00C13E83" w:rsidRPr="003C6DAE">
              <w:rPr>
                <w:sz w:val="20"/>
                <w:szCs w:val="20"/>
                <w:lang w:val="uk-UA"/>
              </w:rPr>
              <w:t>Для людей з підтвердженим М</w:t>
            </w:r>
            <w:r w:rsidR="00AA6793">
              <w:rPr>
                <w:sz w:val="20"/>
                <w:szCs w:val="20"/>
                <w:lang w:val="uk-UA"/>
              </w:rPr>
              <w:t>ЛС</w:t>
            </w:r>
            <w:r w:rsidR="00C13E83" w:rsidRPr="003C6DAE">
              <w:rPr>
                <w:sz w:val="20"/>
                <w:szCs w:val="20"/>
                <w:lang w:val="uk-UA"/>
              </w:rPr>
              <w:t xml:space="preserve">/Риф-ТБ може бути використано </w:t>
            </w:r>
            <w:r w:rsidR="00AA6793">
              <w:rPr>
                <w:sz w:val="20"/>
                <w:szCs w:val="20"/>
                <w:lang w:val="uk-UA"/>
              </w:rPr>
              <w:t xml:space="preserve">лінійний зонд-аналіз </w:t>
            </w:r>
            <w:r w:rsidR="000676B8">
              <w:rPr>
                <w:sz w:val="20"/>
                <w:szCs w:val="20"/>
                <w:lang w:val="uk-UA"/>
              </w:rPr>
              <w:t xml:space="preserve">для </w:t>
            </w:r>
            <w:r w:rsidR="00AA6793">
              <w:rPr>
                <w:sz w:val="20"/>
                <w:szCs w:val="20"/>
                <w:lang w:val="uk-UA"/>
              </w:rPr>
              <w:t>лікарських засобів другого ряду (</w:t>
            </w:r>
            <w:bookmarkStart w:id="10" w:name="_Hlk198285545"/>
            <w:r w:rsidR="00C13E83" w:rsidRPr="003C6DAE">
              <w:rPr>
                <w:sz w:val="20"/>
                <w:szCs w:val="20"/>
                <w:lang w:val="uk-UA"/>
              </w:rPr>
              <w:t>SL-LPA</w:t>
            </w:r>
            <w:bookmarkEnd w:id="10"/>
            <w:r w:rsidR="00AA6793">
              <w:rPr>
                <w:sz w:val="20"/>
                <w:szCs w:val="20"/>
                <w:lang w:val="uk-UA"/>
              </w:rPr>
              <w:t>)</w:t>
            </w:r>
            <w:r w:rsidR="00A61BE6">
              <w:rPr>
                <w:sz w:val="20"/>
                <w:szCs w:val="20"/>
                <w:lang w:val="uk-UA"/>
              </w:rPr>
              <w:t xml:space="preserve"> в</w:t>
            </w:r>
            <w:r w:rsidR="00C13E83" w:rsidRPr="003C6DAE">
              <w:rPr>
                <w:sz w:val="20"/>
                <w:szCs w:val="20"/>
                <w:lang w:val="uk-UA"/>
              </w:rPr>
              <w:t xml:space="preserve"> як</w:t>
            </w:r>
            <w:r w:rsidR="00A61BE6">
              <w:rPr>
                <w:sz w:val="20"/>
                <w:szCs w:val="20"/>
                <w:lang w:val="uk-UA"/>
              </w:rPr>
              <w:t>ості</w:t>
            </w:r>
            <w:r w:rsidR="00C13E83" w:rsidRPr="003C6DAE">
              <w:rPr>
                <w:sz w:val="20"/>
                <w:szCs w:val="20"/>
                <w:lang w:val="uk-UA"/>
              </w:rPr>
              <w:t xml:space="preserve"> </w:t>
            </w:r>
            <w:r w:rsidR="000676B8">
              <w:rPr>
                <w:sz w:val="20"/>
                <w:szCs w:val="20"/>
                <w:lang w:val="uk-UA"/>
              </w:rPr>
              <w:t xml:space="preserve">первинного </w:t>
            </w:r>
            <w:r w:rsidR="00C13E83" w:rsidRPr="003C6DAE">
              <w:rPr>
                <w:sz w:val="20"/>
                <w:szCs w:val="20"/>
                <w:lang w:val="uk-UA"/>
              </w:rPr>
              <w:t>тест</w:t>
            </w:r>
            <w:r w:rsidR="00A61BE6">
              <w:rPr>
                <w:sz w:val="20"/>
                <w:szCs w:val="20"/>
                <w:lang w:val="uk-UA"/>
              </w:rPr>
              <w:t>у</w:t>
            </w:r>
            <w:r w:rsidR="00C13E83" w:rsidRPr="003C6DAE">
              <w:rPr>
                <w:sz w:val="20"/>
                <w:szCs w:val="20"/>
                <w:lang w:val="uk-UA"/>
              </w:rPr>
              <w:t>, замість фенотипічного ТМЧ на основі бакпосіву</w:t>
            </w:r>
            <w:r w:rsidR="000676B8">
              <w:rPr>
                <w:sz w:val="20"/>
                <w:szCs w:val="20"/>
                <w:lang w:val="uk-UA"/>
              </w:rPr>
              <w:t xml:space="preserve">, </w:t>
            </w:r>
            <w:r w:rsidR="00C13E83" w:rsidRPr="003C6DAE">
              <w:rPr>
                <w:sz w:val="20"/>
                <w:szCs w:val="20"/>
                <w:lang w:val="uk-UA"/>
              </w:rPr>
              <w:t>для виявлення стійкості до фторхінолонів.</w:t>
            </w:r>
          </w:p>
          <w:p w14:paraId="19669C47" w14:textId="0D93978E" w:rsidR="00E05B98" w:rsidRPr="003C6DAE" w:rsidRDefault="00B01E0C" w:rsidP="00E742CC">
            <w:pPr>
              <w:pStyle w:val="TableParagraph"/>
              <w:spacing w:before="83" w:line="233" w:lineRule="auto"/>
              <w:ind w:left="510"/>
              <w:rPr>
                <w:rFonts w:ascii="Arial"/>
                <w:i/>
                <w:sz w:val="20"/>
                <w:szCs w:val="20"/>
                <w:lang w:val="uk-UA"/>
              </w:rPr>
            </w:pPr>
            <w:r w:rsidRPr="003C6DAE">
              <w:rPr>
                <w:rFonts w:ascii="Arial"/>
                <w:i/>
                <w:sz w:val="20"/>
                <w:szCs w:val="20"/>
                <w:lang w:val="uk-UA"/>
              </w:rPr>
              <w:t>(</w:t>
            </w:r>
            <w:r w:rsidR="00CA43FC" w:rsidRPr="003C6DAE">
              <w:rPr>
                <w:rFonts w:ascii="Arial"/>
                <w:i/>
                <w:sz w:val="20"/>
                <w:szCs w:val="20"/>
                <w:lang w:val="uk-UA"/>
              </w:rPr>
              <w:t>Умовна</w:t>
            </w:r>
            <w:r w:rsidR="00CA43FC" w:rsidRPr="003C6DAE">
              <w:rPr>
                <w:rFonts w:ascii="Arial"/>
                <w:i/>
                <w:sz w:val="20"/>
                <w:szCs w:val="20"/>
                <w:lang w:val="uk-UA"/>
              </w:rPr>
              <w:t xml:space="preserve"> </w:t>
            </w:r>
            <w:r w:rsidR="00CA43FC" w:rsidRPr="003C6DAE">
              <w:rPr>
                <w:rFonts w:ascii="Arial"/>
                <w:i/>
                <w:sz w:val="20"/>
                <w:szCs w:val="20"/>
                <w:lang w:val="uk-UA"/>
              </w:rPr>
              <w:t>рекомендація</w:t>
            </w:r>
            <w:r w:rsidR="00CA43FC" w:rsidRPr="003C6DAE">
              <w:rPr>
                <w:rFonts w:ascii="Arial"/>
                <w:i/>
                <w:sz w:val="20"/>
                <w:szCs w:val="20"/>
                <w:lang w:val="uk-UA"/>
              </w:rPr>
              <w:t xml:space="preserve">, </w:t>
            </w:r>
            <w:r w:rsidR="00CA43FC" w:rsidRPr="003C6DAE">
              <w:rPr>
                <w:rFonts w:ascii="Arial"/>
                <w:i/>
                <w:sz w:val="20"/>
                <w:szCs w:val="20"/>
                <w:lang w:val="uk-UA"/>
              </w:rPr>
              <w:t>помірний</w:t>
            </w:r>
            <w:r w:rsidR="00CA43FC" w:rsidRPr="003C6DAE">
              <w:rPr>
                <w:rFonts w:ascii="Arial"/>
                <w:i/>
                <w:sz w:val="20"/>
                <w:szCs w:val="20"/>
                <w:lang w:val="uk-UA"/>
              </w:rPr>
              <w:t xml:space="preserve"> </w:t>
            </w:r>
            <w:r w:rsidR="00CA43FC" w:rsidRPr="003C6DAE">
              <w:rPr>
                <w:rFonts w:ascii="Arial"/>
                <w:i/>
                <w:sz w:val="20"/>
                <w:szCs w:val="20"/>
                <w:lang w:val="uk-UA"/>
              </w:rPr>
              <w:t>ступінь</w:t>
            </w:r>
            <w:r w:rsidR="00CA43FC" w:rsidRPr="003C6DAE">
              <w:rPr>
                <w:rFonts w:ascii="Arial"/>
                <w:i/>
                <w:sz w:val="20"/>
                <w:szCs w:val="20"/>
                <w:lang w:val="uk-UA"/>
              </w:rPr>
              <w:t xml:space="preserve"> </w:t>
            </w:r>
            <w:r w:rsidR="00CA43FC" w:rsidRPr="003C6DAE">
              <w:rPr>
                <w:rFonts w:ascii="Arial"/>
                <w:i/>
                <w:sz w:val="20"/>
                <w:szCs w:val="20"/>
                <w:lang w:val="uk-UA"/>
              </w:rPr>
              <w:t>достовірності</w:t>
            </w:r>
            <w:r w:rsidR="00CA43FC" w:rsidRPr="003C6DAE">
              <w:rPr>
                <w:rFonts w:ascii="Arial"/>
                <w:i/>
                <w:sz w:val="20"/>
                <w:szCs w:val="20"/>
                <w:lang w:val="uk-UA"/>
              </w:rPr>
              <w:t xml:space="preserve"> </w:t>
            </w:r>
            <w:r w:rsidR="00CA43FC" w:rsidRPr="003C6DAE">
              <w:rPr>
                <w:rFonts w:ascii="Arial"/>
                <w:i/>
                <w:sz w:val="20"/>
                <w:szCs w:val="20"/>
                <w:lang w:val="uk-UA"/>
              </w:rPr>
              <w:t>доказів</w:t>
            </w:r>
            <w:r w:rsidR="00CA43FC" w:rsidRPr="003C6DAE">
              <w:rPr>
                <w:rFonts w:ascii="Arial"/>
                <w:i/>
                <w:sz w:val="20"/>
                <w:szCs w:val="20"/>
                <w:lang w:val="uk-UA"/>
              </w:rPr>
              <w:t xml:space="preserve"> </w:t>
            </w:r>
            <w:r w:rsidR="00CA43FC" w:rsidRPr="003C6DAE">
              <w:rPr>
                <w:rFonts w:ascii="Arial"/>
                <w:i/>
                <w:sz w:val="20"/>
                <w:szCs w:val="20"/>
                <w:lang w:val="uk-UA"/>
              </w:rPr>
              <w:t>точності</w:t>
            </w:r>
            <w:r w:rsidR="00CA43FC" w:rsidRPr="003C6DAE">
              <w:rPr>
                <w:rFonts w:ascii="Arial"/>
                <w:i/>
                <w:sz w:val="20"/>
                <w:szCs w:val="20"/>
                <w:lang w:val="uk-UA"/>
              </w:rPr>
              <w:t xml:space="preserve"> </w:t>
            </w:r>
            <w:r w:rsidR="00CA43FC" w:rsidRPr="003C6DAE">
              <w:rPr>
                <w:rFonts w:ascii="Arial"/>
                <w:i/>
                <w:sz w:val="20"/>
                <w:szCs w:val="20"/>
                <w:lang w:val="uk-UA"/>
              </w:rPr>
              <w:t>тесту</w:t>
            </w:r>
            <w:r w:rsidRPr="003C6DAE">
              <w:rPr>
                <w:rFonts w:ascii="Arial"/>
                <w:i/>
                <w:spacing w:val="-2"/>
                <w:sz w:val="20"/>
                <w:szCs w:val="20"/>
                <w:lang w:val="uk-UA"/>
              </w:rPr>
              <w:t>)</w:t>
            </w:r>
          </w:p>
        </w:tc>
      </w:tr>
    </w:tbl>
    <w:p w14:paraId="7FBCA54C" w14:textId="14BF8B15" w:rsidR="00E05B98" w:rsidRPr="003C6DAE" w:rsidRDefault="009B5E1D" w:rsidP="00E742CC">
      <w:pPr>
        <w:pStyle w:val="TableParagraph"/>
        <w:spacing w:line="233" w:lineRule="auto"/>
        <w:rPr>
          <w:rFonts w:ascii="Arial"/>
          <w:i/>
          <w:sz w:val="20"/>
          <w:szCs w:val="20"/>
          <w:lang w:val="uk-UA"/>
        </w:rPr>
        <w:sectPr w:rsidR="00E05B98" w:rsidRPr="003C6DAE">
          <w:pgSz w:w="11910" w:h="16840"/>
          <w:pgMar w:top="1400" w:right="1275" w:bottom="1285" w:left="850" w:header="0" w:footer="573" w:gutter="0"/>
          <w:cols w:space="720"/>
        </w:sectPr>
      </w:pPr>
      <w:r w:rsidRPr="003C6DAE">
        <w:rPr>
          <w:rFonts w:ascii="Arial"/>
          <w:i/>
          <w:noProof/>
          <w:sz w:val="20"/>
          <w:szCs w:val="20"/>
          <w:lang w:val="uk-UA"/>
        </w:rPr>
        <mc:AlternateContent>
          <mc:Choice Requires="wps">
            <w:drawing>
              <wp:anchor distT="0" distB="0" distL="114300" distR="114300" simplePos="0" relativeHeight="488083968" behindDoc="0" locked="0" layoutInCell="1" allowOverlap="1" wp14:anchorId="13475B2E" wp14:editId="7D455BD6">
                <wp:simplePos x="0" y="0"/>
                <wp:positionH relativeFrom="column">
                  <wp:posOffset>-38100</wp:posOffset>
                </wp:positionH>
                <wp:positionV relativeFrom="paragraph">
                  <wp:posOffset>425450</wp:posOffset>
                </wp:positionV>
                <wp:extent cx="6680200" cy="679450"/>
                <wp:effectExtent l="0" t="0" r="6350" b="6350"/>
                <wp:wrapNone/>
                <wp:docPr id="162421001" name="Поле 2309"/>
                <wp:cNvGraphicFramePr/>
                <a:graphic xmlns:a="http://schemas.openxmlformats.org/drawingml/2006/main">
                  <a:graphicData uri="http://schemas.microsoft.com/office/word/2010/wordprocessingShape">
                    <wps:wsp>
                      <wps:cNvSpPr txBox="1"/>
                      <wps:spPr>
                        <a:xfrm>
                          <a:off x="0" y="0"/>
                          <a:ext cx="6680200" cy="679450"/>
                        </a:xfrm>
                        <a:prstGeom prst="rect">
                          <a:avLst/>
                        </a:prstGeom>
                        <a:solidFill>
                          <a:schemeClr val="bg1"/>
                        </a:solidFill>
                        <a:ln w="6350">
                          <a:noFill/>
                        </a:ln>
                      </wps:spPr>
                      <wps:txbx>
                        <w:txbxContent>
                          <w:p w14:paraId="1EC280C9" w14:textId="77777777" w:rsidR="007372B2" w:rsidRDefault="007372B2" w:rsidP="009B5E1D">
                            <w:pPr>
                              <w:jc w:val="right"/>
                              <w:rPr>
                                <w:color w:val="019648"/>
                                <w:sz w:val="16"/>
                                <w:lang w:val="uk-UA"/>
                              </w:rPr>
                            </w:pPr>
                          </w:p>
                          <w:p w14:paraId="166968C8" w14:textId="77777777" w:rsidR="007372B2" w:rsidRDefault="007372B2" w:rsidP="009B5E1D">
                            <w:pPr>
                              <w:jc w:val="right"/>
                              <w:rPr>
                                <w:color w:val="019648"/>
                                <w:sz w:val="16"/>
                                <w:lang w:val="uk-UA"/>
                              </w:rPr>
                            </w:pPr>
                          </w:p>
                          <w:p w14:paraId="54BB8A75" w14:textId="77777777" w:rsidR="007372B2" w:rsidRDefault="007372B2" w:rsidP="009B5E1D">
                            <w:pPr>
                              <w:jc w:val="right"/>
                              <w:rPr>
                                <w:color w:val="019648"/>
                                <w:sz w:val="16"/>
                                <w:lang w:val="uk-UA"/>
                              </w:rPr>
                            </w:pPr>
                          </w:p>
                          <w:p w14:paraId="5CE0E471" w14:textId="64E588BC" w:rsidR="007372B2" w:rsidRPr="009B5E1D" w:rsidRDefault="007372B2" w:rsidP="009B5E1D">
                            <w:pPr>
                              <w:jc w:val="right"/>
                              <w:rPr>
                                <w:lang w:val="ru-RU"/>
                              </w:rPr>
                            </w:pPr>
                            <w:r>
                              <w:rPr>
                                <w:color w:val="019648"/>
                                <w:sz w:val="16"/>
                                <w:lang w:val="uk-UA"/>
                              </w:rPr>
                              <w:t xml:space="preserve">Стислий виклад       </w:t>
                            </w:r>
                            <w:r w:rsidRPr="009B5E1D">
                              <w:rPr>
                                <w:color w:val="019648"/>
                                <w:sz w:val="16"/>
                              </w:rPr>
                              <w:t xml:space="preserve"> </w:t>
                            </w:r>
                            <w:r w:rsidRPr="009B5E1D">
                              <w:rPr>
                                <w:color w:val="019648"/>
                                <w:sz w:val="16"/>
                              </w:rPr>
                              <w:t>хііі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475B2E" id="Поле 2309" o:spid="_x0000_s1071" type="#_x0000_t202" style="position:absolute;left:0;text-align:left;margin-left:-3pt;margin-top:33.5pt;width:526pt;height:53.5pt;z-index:48808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" fillcolor="white [3212]" stroked="f" strokeweight=".5pt">
                <v:textbox>
                  <w:txbxContent>
                    <w:p w14:paraId="1EC280C9" w14:textId="77777777" w:rsidR="007372B2" w:rsidRDefault="007372B2" w:rsidP="009B5E1D">
                      <w:pPr>
                        <w:jc w:val="right"/>
                        <w:rPr>
                          <w:color w:val="019648"/>
                          <w:sz w:val="16"/>
                          <w:lang w:val="uk-UA"/>
                        </w:rPr>
                      </w:pPr>
                    </w:p>
                    <w:p w14:paraId="166968C8" w14:textId="77777777" w:rsidR="007372B2" w:rsidRDefault="007372B2" w:rsidP="009B5E1D">
                      <w:pPr>
                        <w:jc w:val="right"/>
                        <w:rPr>
                          <w:color w:val="019648"/>
                          <w:sz w:val="16"/>
                          <w:lang w:val="uk-UA"/>
                        </w:rPr>
                      </w:pPr>
                    </w:p>
                    <w:p w14:paraId="54BB8A75" w14:textId="77777777" w:rsidR="007372B2" w:rsidRDefault="007372B2" w:rsidP="009B5E1D">
                      <w:pPr>
                        <w:jc w:val="right"/>
                        <w:rPr>
                          <w:color w:val="019648"/>
                          <w:sz w:val="16"/>
                          <w:lang w:val="uk-UA"/>
                        </w:rPr>
                      </w:pPr>
                    </w:p>
                    <w:p w14:paraId="5CE0E471" w14:textId="64E588BC" w:rsidR="007372B2" w:rsidRPr="009B5E1D" w:rsidRDefault="007372B2" w:rsidP="009B5E1D">
                      <w:pPr>
                        <w:jc w:val="right"/>
                        <w:rPr>
                          <w:lang w:val="ru-RU"/>
                        </w:rPr>
                      </w:pPr>
                      <w:r>
                        <w:rPr>
                          <w:color w:val="019648"/>
                          <w:sz w:val="16"/>
                          <w:lang w:val="uk-UA"/>
                        </w:rPr>
                        <w:t xml:space="preserve">Стислий виклад       </w:t>
                      </w:r>
                      <w:r w:rsidRPr="009B5E1D">
                        <w:rPr>
                          <w:color w:val="019648"/>
                          <w:sz w:val="16"/>
                        </w:rPr>
                        <w:t xml:space="preserve"> </w:t>
                      </w:r>
                      <w:r w:rsidRPr="009B5E1D">
                        <w:rPr>
                          <w:color w:val="019648"/>
                          <w:sz w:val="16"/>
                        </w:rPr>
                        <w:t>хііі</w:t>
                      </w:r>
                    </w:p>
                  </w:txbxContent>
                </v:textbox>
              </v:shape>
            </w:pict>
          </mc:Fallback>
        </mc:AlternateContent>
      </w:r>
    </w:p>
    <w:tbl>
      <w:tblPr>
        <w:tblStyle w:val="TableNormal"/>
        <w:tblW w:w="9349" w:type="dxa"/>
        <w:tblInd w:w="574" w:type="dxa"/>
        <w:tblLayout w:type="fixed"/>
        <w:tblLook w:val="01E0" w:firstRow="1" w:lastRow="1" w:firstColumn="1" w:lastColumn="1" w:noHBand="0" w:noVBand="0"/>
      </w:tblPr>
      <w:tblGrid>
        <w:gridCol w:w="9349"/>
      </w:tblGrid>
      <w:tr w:rsidR="00E05B98" w:rsidRPr="00D029FF" w14:paraId="051955B2" w14:textId="77777777" w:rsidTr="00F91AD3">
        <w:trPr>
          <w:trHeight w:val="1162"/>
        </w:trPr>
        <w:tc>
          <w:tcPr>
            <w:tcW w:w="9349" w:type="dxa"/>
            <w:tcBorders>
              <w:top w:val="single" w:sz="6" w:space="0" w:color="019648"/>
              <w:bottom w:val="single" w:sz="6" w:space="0" w:color="019648"/>
            </w:tcBorders>
          </w:tcPr>
          <w:p w14:paraId="031E45C1" w14:textId="77777777" w:rsidR="00E05B98" w:rsidRPr="003C6DAE" w:rsidRDefault="00E05B98" w:rsidP="00E742CC">
            <w:pPr>
              <w:pStyle w:val="TableParagraph"/>
              <w:spacing w:before="0" w:line="233" w:lineRule="auto"/>
              <w:ind w:left="0"/>
              <w:jc w:val="both"/>
              <w:rPr>
                <w:sz w:val="20"/>
                <w:szCs w:val="20"/>
                <w:lang w:val="uk-UA"/>
              </w:rPr>
            </w:pPr>
          </w:p>
          <w:p w14:paraId="3B66BB61" w14:textId="4D3B7FE3" w:rsidR="00E05B98" w:rsidRPr="003C6DAE" w:rsidRDefault="00B01E0C" w:rsidP="00C13E83">
            <w:pPr>
              <w:pStyle w:val="TableParagraph"/>
              <w:spacing w:before="0" w:line="233" w:lineRule="auto"/>
              <w:ind w:left="423" w:right="111" w:hanging="423"/>
              <w:jc w:val="both"/>
              <w:rPr>
                <w:sz w:val="20"/>
                <w:szCs w:val="20"/>
                <w:lang w:val="uk-UA"/>
              </w:rPr>
            </w:pPr>
            <w:r w:rsidRPr="003C6DAE">
              <w:rPr>
                <w:sz w:val="20"/>
                <w:szCs w:val="20"/>
                <w:lang w:val="uk-UA"/>
              </w:rPr>
              <w:t>15.</w:t>
            </w:r>
            <w:r w:rsidR="00C13E83" w:rsidRPr="003C6DAE">
              <w:rPr>
                <w:sz w:val="20"/>
                <w:szCs w:val="20"/>
                <w:lang w:val="uk-UA"/>
              </w:rPr>
              <w:t xml:space="preserve">  Для людей з підтвердженим М</w:t>
            </w:r>
            <w:r w:rsidR="00A61BE6">
              <w:rPr>
                <w:sz w:val="20"/>
                <w:szCs w:val="20"/>
                <w:lang w:val="uk-UA"/>
              </w:rPr>
              <w:t>ЛС</w:t>
            </w:r>
            <w:r w:rsidR="00C13E83" w:rsidRPr="003C6DAE">
              <w:rPr>
                <w:sz w:val="20"/>
                <w:szCs w:val="20"/>
                <w:lang w:val="uk-UA"/>
              </w:rPr>
              <w:t xml:space="preserve">/Риф-ТБ може бути використано </w:t>
            </w:r>
            <w:r w:rsidR="0007279C">
              <w:rPr>
                <w:sz w:val="20"/>
                <w:szCs w:val="20"/>
                <w:lang w:val="uk-UA"/>
              </w:rPr>
              <w:t>лінійний зонд-</w:t>
            </w:r>
            <w:r w:rsidR="00C13E83" w:rsidRPr="003C6DAE">
              <w:rPr>
                <w:sz w:val="20"/>
                <w:szCs w:val="20"/>
                <w:lang w:val="uk-UA"/>
              </w:rPr>
              <w:t xml:space="preserve">аналіз для лікарських засобів другого ряду (SL-LPA) як </w:t>
            </w:r>
            <w:r w:rsidR="000676B8">
              <w:rPr>
                <w:sz w:val="20"/>
                <w:szCs w:val="20"/>
                <w:lang w:val="uk-UA"/>
              </w:rPr>
              <w:t>первинний</w:t>
            </w:r>
            <w:r w:rsidR="00C13E83" w:rsidRPr="003C6DAE">
              <w:rPr>
                <w:sz w:val="20"/>
                <w:szCs w:val="20"/>
                <w:lang w:val="uk-UA"/>
              </w:rPr>
              <w:t xml:space="preserve"> тест, замість фенотипічного ТЧМ на основі бакпосіву</w:t>
            </w:r>
            <w:r w:rsidR="000676B8">
              <w:rPr>
                <w:sz w:val="20"/>
                <w:szCs w:val="20"/>
                <w:lang w:val="uk-UA"/>
              </w:rPr>
              <w:t>,</w:t>
            </w:r>
            <w:r w:rsidR="00C13E83" w:rsidRPr="003C6DAE">
              <w:rPr>
                <w:sz w:val="20"/>
                <w:szCs w:val="20"/>
                <w:lang w:val="uk-UA"/>
              </w:rPr>
              <w:t xml:space="preserve"> для виявлення стійкості до</w:t>
            </w:r>
            <w:r w:rsidR="0007279C">
              <w:rPr>
                <w:sz w:val="20"/>
                <w:szCs w:val="20"/>
                <w:lang w:val="uk-UA"/>
              </w:rPr>
              <w:t xml:space="preserve"> ін’єкційних лікарських препаратів другого ряду </w:t>
            </w:r>
            <w:r w:rsidR="0007279C" w:rsidRPr="0007279C">
              <w:rPr>
                <w:sz w:val="20"/>
                <w:szCs w:val="20"/>
                <w:lang w:val="uk-UA"/>
              </w:rPr>
              <w:t>(</w:t>
            </w:r>
            <w:r w:rsidR="0007279C" w:rsidRPr="0007279C">
              <w:rPr>
                <w:sz w:val="20"/>
                <w:szCs w:val="20"/>
              </w:rPr>
              <w:t>SLIDs</w:t>
            </w:r>
            <w:r w:rsidR="0007279C" w:rsidRPr="0007279C">
              <w:rPr>
                <w:sz w:val="20"/>
                <w:szCs w:val="20"/>
                <w:lang w:val="uk-UA"/>
              </w:rPr>
              <w:t>)</w:t>
            </w:r>
            <w:r w:rsidR="00C13E83" w:rsidRPr="0007279C">
              <w:rPr>
                <w:sz w:val="20"/>
                <w:szCs w:val="20"/>
                <w:lang w:val="uk-UA"/>
              </w:rPr>
              <w:t>.</w:t>
            </w:r>
          </w:p>
          <w:p w14:paraId="6F2F4FE7" w14:textId="79805873" w:rsidR="00E05B98" w:rsidRPr="003C6DAE" w:rsidRDefault="00C13E83" w:rsidP="00C13E83">
            <w:pPr>
              <w:pStyle w:val="TableParagraph"/>
              <w:spacing w:before="83" w:line="233" w:lineRule="auto"/>
              <w:jc w:val="both"/>
              <w:rPr>
                <w:rFonts w:ascii="Arial"/>
                <w:i/>
                <w:sz w:val="20"/>
                <w:szCs w:val="20"/>
                <w:lang w:val="uk-UA"/>
              </w:rPr>
            </w:pPr>
            <w:r w:rsidRPr="003C6DAE">
              <w:rPr>
                <w:rFonts w:ascii="Arial"/>
                <w:i/>
                <w:sz w:val="20"/>
                <w:szCs w:val="20"/>
                <w:lang w:val="uk-UA"/>
              </w:rPr>
              <w:t xml:space="preserve">    </w:t>
            </w:r>
            <w:r w:rsidR="00B01E0C" w:rsidRPr="003C6DAE">
              <w:rPr>
                <w:rFonts w:ascii="Arial"/>
                <w:i/>
                <w:sz w:val="20"/>
                <w:szCs w:val="20"/>
                <w:lang w:val="uk-UA"/>
              </w:rPr>
              <w:t>(</w:t>
            </w:r>
            <w:r w:rsidR="00CA43FC" w:rsidRPr="003C6DAE">
              <w:rPr>
                <w:rFonts w:ascii="Arial"/>
                <w:i/>
                <w:sz w:val="20"/>
                <w:szCs w:val="20"/>
                <w:lang w:val="uk-UA"/>
              </w:rPr>
              <w:t>Умовна</w:t>
            </w:r>
            <w:r w:rsidR="00CA43FC" w:rsidRPr="003C6DAE">
              <w:rPr>
                <w:rFonts w:ascii="Arial"/>
                <w:i/>
                <w:sz w:val="20"/>
                <w:szCs w:val="20"/>
                <w:lang w:val="uk-UA"/>
              </w:rPr>
              <w:t xml:space="preserve"> </w:t>
            </w:r>
            <w:r w:rsidR="00CA43FC" w:rsidRPr="003C6DAE">
              <w:rPr>
                <w:rFonts w:ascii="Arial"/>
                <w:i/>
                <w:sz w:val="20"/>
                <w:szCs w:val="20"/>
                <w:lang w:val="uk-UA"/>
              </w:rPr>
              <w:t>рекомендація</w:t>
            </w:r>
            <w:r w:rsidR="00CA43FC" w:rsidRPr="003C6DAE">
              <w:rPr>
                <w:rFonts w:ascii="Arial"/>
                <w:i/>
                <w:sz w:val="20"/>
                <w:szCs w:val="20"/>
                <w:lang w:val="uk-UA"/>
              </w:rPr>
              <w:t xml:space="preserve">, </w:t>
            </w:r>
            <w:r w:rsidR="00CA43FC" w:rsidRPr="003C6DAE">
              <w:rPr>
                <w:rFonts w:ascii="Arial"/>
                <w:i/>
                <w:sz w:val="20"/>
                <w:szCs w:val="20"/>
                <w:lang w:val="uk-UA"/>
              </w:rPr>
              <w:t>низький</w:t>
            </w:r>
            <w:r w:rsidR="00CA43FC" w:rsidRPr="003C6DAE">
              <w:rPr>
                <w:rFonts w:ascii="Arial"/>
                <w:i/>
                <w:sz w:val="20"/>
                <w:szCs w:val="20"/>
                <w:lang w:val="uk-UA"/>
              </w:rPr>
              <w:t xml:space="preserve"> </w:t>
            </w:r>
            <w:r w:rsidR="00CA43FC" w:rsidRPr="003C6DAE">
              <w:rPr>
                <w:rFonts w:ascii="Arial"/>
                <w:i/>
                <w:sz w:val="20"/>
                <w:szCs w:val="20"/>
                <w:lang w:val="uk-UA"/>
              </w:rPr>
              <w:t>ступінь</w:t>
            </w:r>
            <w:r w:rsidR="00CA43FC" w:rsidRPr="003C6DAE">
              <w:rPr>
                <w:rFonts w:ascii="Arial"/>
                <w:i/>
                <w:sz w:val="20"/>
                <w:szCs w:val="20"/>
                <w:lang w:val="uk-UA"/>
              </w:rPr>
              <w:t xml:space="preserve"> </w:t>
            </w:r>
            <w:r w:rsidR="00CA43FC" w:rsidRPr="003C6DAE">
              <w:rPr>
                <w:rFonts w:ascii="Arial"/>
                <w:i/>
                <w:sz w:val="20"/>
                <w:szCs w:val="20"/>
                <w:lang w:val="uk-UA"/>
              </w:rPr>
              <w:t>достовірності</w:t>
            </w:r>
            <w:r w:rsidR="00CA43FC" w:rsidRPr="003C6DAE">
              <w:rPr>
                <w:rFonts w:ascii="Arial"/>
                <w:i/>
                <w:sz w:val="20"/>
                <w:szCs w:val="20"/>
                <w:lang w:val="uk-UA"/>
              </w:rPr>
              <w:t xml:space="preserve"> </w:t>
            </w:r>
            <w:r w:rsidR="00CA43FC" w:rsidRPr="003C6DAE">
              <w:rPr>
                <w:rFonts w:ascii="Arial"/>
                <w:i/>
                <w:sz w:val="20"/>
                <w:szCs w:val="20"/>
                <w:lang w:val="uk-UA"/>
              </w:rPr>
              <w:t>доказів</w:t>
            </w:r>
            <w:r w:rsidR="00CA43FC" w:rsidRPr="003C6DAE">
              <w:rPr>
                <w:rFonts w:ascii="Arial"/>
                <w:i/>
                <w:sz w:val="20"/>
                <w:szCs w:val="20"/>
                <w:lang w:val="uk-UA"/>
              </w:rPr>
              <w:t xml:space="preserve"> </w:t>
            </w:r>
            <w:r w:rsidR="00CA43FC" w:rsidRPr="003C6DAE">
              <w:rPr>
                <w:rFonts w:ascii="Arial"/>
                <w:i/>
                <w:sz w:val="20"/>
                <w:szCs w:val="20"/>
                <w:lang w:val="uk-UA"/>
              </w:rPr>
              <w:t>точності</w:t>
            </w:r>
            <w:r w:rsidR="00CA43FC" w:rsidRPr="003C6DAE">
              <w:rPr>
                <w:rFonts w:ascii="Arial"/>
                <w:i/>
                <w:sz w:val="20"/>
                <w:szCs w:val="20"/>
                <w:lang w:val="uk-UA"/>
              </w:rPr>
              <w:t xml:space="preserve"> </w:t>
            </w:r>
            <w:r w:rsidR="00CA43FC" w:rsidRPr="003C6DAE">
              <w:rPr>
                <w:rFonts w:ascii="Arial"/>
                <w:i/>
                <w:sz w:val="20"/>
                <w:szCs w:val="20"/>
                <w:lang w:val="uk-UA"/>
              </w:rPr>
              <w:t>тесту</w:t>
            </w:r>
            <w:r w:rsidR="00B01E0C" w:rsidRPr="003C6DAE">
              <w:rPr>
                <w:rFonts w:ascii="Arial"/>
                <w:i/>
                <w:spacing w:val="-2"/>
                <w:sz w:val="20"/>
                <w:szCs w:val="20"/>
                <w:lang w:val="uk-UA"/>
              </w:rPr>
              <w:t>)</w:t>
            </w:r>
          </w:p>
        </w:tc>
      </w:tr>
      <w:tr w:rsidR="00E05B98" w:rsidRPr="00D029FF" w14:paraId="29565397" w14:textId="77777777" w:rsidTr="00F91AD3">
        <w:trPr>
          <w:trHeight w:val="1422"/>
        </w:trPr>
        <w:tc>
          <w:tcPr>
            <w:tcW w:w="9349" w:type="dxa"/>
            <w:tcBorders>
              <w:top w:val="single" w:sz="6" w:space="0" w:color="019648"/>
              <w:bottom w:val="single" w:sz="6" w:space="0" w:color="019648"/>
            </w:tcBorders>
          </w:tcPr>
          <w:p w14:paraId="37F93C0C" w14:textId="77777777" w:rsidR="00E05B98" w:rsidRPr="003C6DAE" w:rsidRDefault="00E05B98" w:rsidP="00C13E83">
            <w:pPr>
              <w:pStyle w:val="TableParagraph"/>
              <w:spacing w:before="0" w:line="233" w:lineRule="auto"/>
              <w:ind w:left="423" w:hanging="423"/>
              <w:jc w:val="both"/>
              <w:rPr>
                <w:sz w:val="20"/>
                <w:szCs w:val="20"/>
                <w:lang w:val="uk-UA"/>
              </w:rPr>
            </w:pPr>
          </w:p>
          <w:p w14:paraId="6F815C8B" w14:textId="01463EF5" w:rsidR="00E05B98" w:rsidRPr="003C6DAE" w:rsidRDefault="00B01E0C" w:rsidP="00C13E83">
            <w:pPr>
              <w:pStyle w:val="TableParagraph"/>
              <w:spacing w:before="0" w:line="233" w:lineRule="auto"/>
              <w:ind w:left="423" w:hanging="423"/>
              <w:jc w:val="both"/>
              <w:rPr>
                <w:sz w:val="20"/>
                <w:szCs w:val="20"/>
                <w:lang w:val="uk-UA"/>
              </w:rPr>
            </w:pPr>
            <w:r w:rsidRPr="003C6DAE">
              <w:rPr>
                <w:sz w:val="20"/>
                <w:szCs w:val="20"/>
                <w:lang w:val="uk-UA"/>
              </w:rPr>
              <w:t>16.</w:t>
            </w:r>
            <w:r w:rsidRPr="003C6DAE">
              <w:rPr>
                <w:spacing w:val="40"/>
                <w:sz w:val="20"/>
                <w:szCs w:val="20"/>
                <w:lang w:val="uk-UA"/>
              </w:rPr>
              <w:t xml:space="preserve"> </w:t>
            </w:r>
            <w:r w:rsidR="00E13A9B" w:rsidRPr="003C6DAE">
              <w:rPr>
                <w:sz w:val="20"/>
                <w:szCs w:val="20"/>
                <w:lang w:val="uk-UA"/>
              </w:rPr>
              <w:t xml:space="preserve">Для людей з бактеріологічно підтвердженим ТБ можна використовувати ТАНК високої складності на основі </w:t>
            </w:r>
            <w:r w:rsidR="00176989" w:rsidRPr="003C6DAE">
              <w:rPr>
                <w:sz w:val="20"/>
                <w:szCs w:val="20"/>
                <w:lang w:val="uk-UA"/>
              </w:rPr>
              <w:t>зворотної</w:t>
            </w:r>
            <w:r w:rsidR="00E13A9B" w:rsidRPr="003C6DAE">
              <w:rPr>
                <w:sz w:val="20"/>
                <w:szCs w:val="20"/>
                <w:lang w:val="uk-UA"/>
              </w:rPr>
              <w:t xml:space="preserve"> гібридизації для виявлення стійкості до піразинаміду на  ізолятах культури </w:t>
            </w:r>
            <w:r w:rsidR="00E13A9B" w:rsidRPr="0007279C">
              <w:rPr>
                <w:i/>
                <w:iCs/>
                <w:sz w:val="20"/>
                <w:szCs w:val="20"/>
                <w:lang w:val="uk-UA"/>
              </w:rPr>
              <w:t>Mtb</w:t>
            </w:r>
            <w:r w:rsidR="00E13A9B" w:rsidRPr="003C6DAE">
              <w:rPr>
                <w:sz w:val="20"/>
                <w:szCs w:val="20"/>
                <w:lang w:val="uk-UA"/>
              </w:rPr>
              <w:t xml:space="preserve"> для виявлення стійкості до пірамізиду замість фенотипічного ТМЧ на основі культури</w:t>
            </w:r>
            <w:r w:rsidRPr="003C6DAE">
              <w:rPr>
                <w:sz w:val="20"/>
                <w:szCs w:val="20"/>
                <w:lang w:val="uk-UA"/>
              </w:rPr>
              <w:t>.</w:t>
            </w:r>
          </w:p>
          <w:p w14:paraId="50C82593" w14:textId="111B6356" w:rsidR="00E05B98" w:rsidRPr="003C6DAE" w:rsidRDefault="00C13E83" w:rsidP="00C13E83">
            <w:pPr>
              <w:pStyle w:val="TableParagraph"/>
              <w:spacing w:before="80" w:line="233" w:lineRule="auto"/>
              <w:ind w:left="423" w:hanging="423"/>
              <w:jc w:val="both"/>
              <w:rPr>
                <w:rFonts w:ascii="Arial"/>
                <w:i/>
                <w:sz w:val="20"/>
                <w:szCs w:val="20"/>
                <w:lang w:val="uk-UA"/>
              </w:rPr>
            </w:pPr>
            <w:r w:rsidRPr="003C6DAE">
              <w:rPr>
                <w:rFonts w:ascii="Arial"/>
                <w:i/>
                <w:sz w:val="20"/>
                <w:szCs w:val="20"/>
                <w:lang w:val="uk-UA"/>
              </w:rPr>
              <w:t xml:space="preserve">       </w:t>
            </w:r>
            <w:r w:rsidR="00B01E0C" w:rsidRPr="003C6DAE">
              <w:rPr>
                <w:rFonts w:ascii="Arial"/>
                <w:i/>
                <w:sz w:val="20"/>
                <w:szCs w:val="20"/>
                <w:lang w:val="uk-UA"/>
              </w:rPr>
              <w:t>(</w:t>
            </w:r>
            <w:r w:rsidR="00CA43FC" w:rsidRPr="003C6DAE">
              <w:rPr>
                <w:rFonts w:ascii="Arial"/>
                <w:i/>
                <w:sz w:val="20"/>
                <w:szCs w:val="20"/>
                <w:lang w:val="uk-UA"/>
              </w:rPr>
              <w:t>Умовна</w:t>
            </w:r>
            <w:r w:rsidR="00CA43FC" w:rsidRPr="003C6DAE">
              <w:rPr>
                <w:rFonts w:ascii="Arial"/>
                <w:i/>
                <w:sz w:val="20"/>
                <w:szCs w:val="20"/>
                <w:lang w:val="uk-UA"/>
              </w:rPr>
              <w:t xml:space="preserve"> </w:t>
            </w:r>
            <w:r w:rsidR="00CA43FC" w:rsidRPr="003C6DAE">
              <w:rPr>
                <w:rFonts w:ascii="Arial"/>
                <w:i/>
                <w:sz w:val="20"/>
                <w:szCs w:val="20"/>
                <w:lang w:val="uk-UA"/>
              </w:rPr>
              <w:t>рекомендація</w:t>
            </w:r>
            <w:r w:rsidR="00CA43FC" w:rsidRPr="003C6DAE">
              <w:rPr>
                <w:rFonts w:ascii="Arial"/>
                <w:i/>
                <w:sz w:val="20"/>
                <w:szCs w:val="20"/>
                <w:lang w:val="uk-UA"/>
              </w:rPr>
              <w:t xml:space="preserve">, </w:t>
            </w:r>
            <w:r w:rsidR="00CA43FC" w:rsidRPr="003C6DAE">
              <w:rPr>
                <w:rFonts w:ascii="Arial"/>
                <w:i/>
                <w:sz w:val="20"/>
                <w:szCs w:val="20"/>
                <w:lang w:val="uk-UA"/>
              </w:rPr>
              <w:t>дуже</w:t>
            </w:r>
            <w:r w:rsidR="00CA43FC" w:rsidRPr="003C6DAE">
              <w:rPr>
                <w:rFonts w:ascii="Arial"/>
                <w:i/>
                <w:sz w:val="20"/>
                <w:szCs w:val="20"/>
                <w:lang w:val="uk-UA"/>
              </w:rPr>
              <w:t xml:space="preserve"> </w:t>
            </w:r>
            <w:r w:rsidR="00CA43FC" w:rsidRPr="003C6DAE">
              <w:rPr>
                <w:rFonts w:ascii="Arial"/>
                <w:i/>
                <w:sz w:val="20"/>
                <w:szCs w:val="20"/>
                <w:lang w:val="uk-UA"/>
              </w:rPr>
              <w:t>низький</w:t>
            </w:r>
            <w:r w:rsidR="00CA43FC" w:rsidRPr="003C6DAE">
              <w:rPr>
                <w:rFonts w:ascii="Arial"/>
                <w:i/>
                <w:sz w:val="20"/>
                <w:szCs w:val="20"/>
                <w:lang w:val="uk-UA"/>
              </w:rPr>
              <w:t xml:space="preserve"> </w:t>
            </w:r>
            <w:r w:rsidR="00CA43FC" w:rsidRPr="003C6DAE">
              <w:rPr>
                <w:rFonts w:ascii="Arial"/>
                <w:i/>
                <w:sz w:val="20"/>
                <w:szCs w:val="20"/>
                <w:lang w:val="uk-UA"/>
              </w:rPr>
              <w:t>ступінь</w:t>
            </w:r>
            <w:r w:rsidR="00CA43FC" w:rsidRPr="003C6DAE">
              <w:rPr>
                <w:rFonts w:ascii="Arial"/>
                <w:i/>
                <w:sz w:val="20"/>
                <w:szCs w:val="20"/>
                <w:lang w:val="uk-UA"/>
              </w:rPr>
              <w:t xml:space="preserve"> </w:t>
            </w:r>
            <w:r w:rsidR="00CA43FC" w:rsidRPr="003C6DAE">
              <w:rPr>
                <w:rFonts w:ascii="Arial"/>
                <w:i/>
                <w:sz w:val="20"/>
                <w:szCs w:val="20"/>
                <w:lang w:val="uk-UA"/>
              </w:rPr>
              <w:t>достовірності</w:t>
            </w:r>
            <w:r w:rsidR="00CA43FC" w:rsidRPr="003C6DAE">
              <w:rPr>
                <w:rFonts w:ascii="Arial"/>
                <w:i/>
                <w:sz w:val="20"/>
                <w:szCs w:val="20"/>
                <w:lang w:val="uk-UA"/>
              </w:rPr>
              <w:t xml:space="preserve"> </w:t>
            </w:r>
            <w:r w:rsidR="00CA43FC" w:rsidRPr="003C6DAE">
              <w:rPr>
                <w:rFonts w:ascii="Arial"/>
                <w:i/>
                <w:sz w:val="20"/>
                <w:szCs w:val="20"/>
                <w:lang w:val="uk-UA"/>
              </w:rPr>
              <w:t>доказів</w:t>
            </w:r>
            <w:r w:rsidR="00B01E0C" w:rsidRPr="003C6DAE">
              <w:rPr>
                <w:rFonts w:ascii="Arial"/>
                <w:i/>
                <w:spacing w:val="-2"/>
                <w:sz w:val="20"/>
                <w:szCs w:val="20"/>
                <w:lang w:val="uk-UA"/>
              </w:rPr>
              <w:t>)</w:t>
            </w:r>
          </w:p>
        </w:tc>
      </w:tr>
      <w:tr w:rsidR="00E05B98" w:rsidRPr="00D029FF" w14:paraId="48F669D4" w14:textId="77777777" w:rsidTr="00F91AD3">
        <w:trPr>
          <w:trHeight w:val="1942"/>
        </w:trPr>
        <w:tc>
          <w:tcPr>
            <w:tcW w:w="9349" w:type="dxa"/>
            <w:tcBorders>
              <w:top w:val="single" w:sz="6" w:space="0" w:color="019648"/>
              <w:bottom w:val="single" w:sz="6" w:space="0" w:color="019648"/>
            </w:tcBorders>
          </w:tcPr>
          <w:p w14:paraId="6FD1A3DD" w14:textId="77777777" w:rsidR="00E05B98" w:rsidRPr="003C6DAE" w:rsidRDefault="00E05B98" w:rsidP="00C13E83">
            <w:pPr>
              <w:pStyle w:val="TableParagraph"/>
              <w:spacing w:before="0" w:line="233" w:lineRule="auto"/>
              <w:ind w:left="423" w:hanging="423"/>
              <w:jc w:val="both"/>
              <w:rPr>
                <w:sz w:val="20"/>
                <w:szCs w:val="20"/>
                <w:lang w:val="uk-UA"/>
              </w:rPr>
            </w:pPr>
          </w:p>
          <w:p w14:paraId="58885796" w14:textId="1F010F0F" w:rsidR="00E05B98" w:rsidRPr="003C6DAE" w:rsidRDefault="00B01E0C" w:rsidP="00C13E83">
            <w:pPr>
              <w:pStyle w:val="TableParagraph"/>
              <w:spacing w:before="0" w:line="233" w:lineRule="auto"/>
              <w:ind w:left="423" w:hanging="423"/>
              <w:jc w:val="both"/>
              <w:rPr>
                <w:sz w:val="20"/>
                <w:szCs w:val="20"/>
                <w:lang w:val="uk-UA"/>
              </w:rPr>
            </w:pPr>
            <w:r w:rsidRPr="003C6DAE">
              <w:rPr>
                <w:sz w:val="20"/>
                <w:szCs w:val="20"/>
                <w:lang w:val="uk-UA"/>
              </w:rPr>
              <w:t>17.</w:t>
            </w:r>
            <w:r w:rsidRPr="003C6DAE">
              <w:rPr>
                <w:spacing w:val="40"/>
                <w:sz w:val="20"/>
                <w:szCs w:val="20"/>
                <w:lang w:val="uk-UA"/>
              </w:rPr>
              <w:t xml:space="preserve"> </w:t>
            </w:r>
            <w:r w:rsidR="00E13A9B" w:rsidRPr="003C6DAE">
              <w:rPr>
                <w:sz w:val="20"/>
                <w:szCs w:val="20"/>
                <w:lang w:val="uk-UA"/>
              </w:rPr>
              <w:t xml:space="preserve">Для людей з бактеріологічно підтвердженим ТБ легень можна використовувати </w:t>
            </w:r>
            <w:r w:rsidR="0007279C">
              <w:rPr>
                <w:sz w:val="20"/>
                <w:szCs w:val="20"/>
                <w:lang w:val="uk-UA"/>
              </w:rPr>
              <w:t xml:space="preserve">методи </w:t>
            </w:r>
            <w:r w:rsidR="000676B8">
              <w:rPr>
                <w:sz w:val="20"/>
                <w:szCs w:val="20"/>
                <w:lang w:val="uk-UA"/>
              </w:rPr>
              <w:t>таргетного</w:t>
            </w:r>
            <w:r w:rsidR="00E13A9B" w:rsidRPr="003C6DAE">
              <w:rPr>
                <w:sz w:val="20"/>
                <w:szCs w:val="20"/>
                <w:lang w:val="uk-UA"/>
              </w:rPr>
              <w:t xml:space="preserve"> секвенування наступного покоління на зразках </w:t>
            </w:r>
            <w:r w:rsidR="0007279C">
              <w:rPr>
                <w:sz w:val="20"/>
                <w:szCs w:val="20"/>
                <w:lang w:val="uk-UA"/>
              </w:rPr>
              <w:t xml:space="preserve">із </w:t>
            </w:r>
            <w:r w:rsidR="00E13A9B" w:rsidRPr="003C6DAE">
              <w:rPr>
                <w:sz w:val="20"/>
                <w:szCs w:val="20"/>
                <w:lang w:val="uk-UA"/>
              </w:rPr>
              <w:t>дихальних шляхів для діагностики стійкості до рифампіцину, ізоніазиду, фторхінолонів, піразинаміду та етамбутолу замість фенотипічного ТМЧ на основі бакпосіву</w:t>
            </w:r>
            <w:r w:rsidRPr="003C6DAE">
              <w:rPr>
                <w:sz w:val="20"/>
                <w:szCs w:val="20"/>
                <w:lang w:val="uk-UA"/>
              </w:rPr>
              <w:t>.</w:t>
            </w:r>
          </w:p>
          <w:p w14:paraId="0194EA8A" w14:textId="55D53B90" w:rsidR="00E05B98" w:rsidRPr="003C6DAE" w:rsidRDefault="00C13E83" w:rsidP="00C13E83">
            <w:pPr>
              <w:pStyle w:val="TableParagraph"/>
              <w:spacing w:before="85" w:line="233" w:lineRule="auto"/>
              <w:ind w:left="423" w:hanging="423"/>
              <w:jc w:val="both"/>
              <w:rPr>
                <w:rFonts w:ascii="Arial"/>
                <w:i/>
                <w:sz w:val="20"/>
                <w:szCs w:val="20"/>
                <w:lang w:val="uk-UA"/>
              </w:rPr>
            </w:pPr>
            <w:r w:rsidRPr="003C6DAE">
              <w:rPr>
                <w:rFonts w:ascii="Arial"/>
                <w:i/>
                <w:sz w:val="20"/>
                <w:szCs w:val="20"/>
                <w:lang w:val="uk-UA"/>
              </w:rPr>
              <w:t xml:space="preserve">        </w:t>
            </w:r>
            <w:r w:rsidR="00B01E0C" w:rsidRPr="003C6DAE">
              <w:rPr>
                <w:rFonts w:ascii="Arial"/>
                <w:i/>
                <w:sz w:val="20"/>
                <w:szCs w:val="20"/>
                <w:lang w:val="uk-UA"/>
              </w:rPr>
              <w:t>(</w:t>
            </w:r>
            <w:r w:rsidR="00FC09A9" w:rsidRPr="003C6DAE">
              <w:rPr>
                <w:rFonts w:ascii="Arial"/>
                <w:i/>
                <w:sz w:val="20"/>
                <w:szCs w:val="20"/>
                <w:lang w:val="uk-UA"/>
              </w:rPr>
              <w:t>Умовна</w:t>
            </w:r>
            <w:r w:rsidR="00FC09A9" w:rsidRPr="003C6DAE">
              <w:rPr>
                <w:rFonts w:ascii="Arial"/>
                <w:i/>
                <w:sz w:val="20"/>
                <w:szCs w:val="20"/>
                <w:lang w:val="uk-UA"/>
              </w:rPr>
              <w:t xml:space="preserve"> </w:t>
            </w:r>
            <w:r w:rsidR="00FC09A9" w:rsidRPr="003C6DAE">
              <w:rPr>
                <w:rFonts w:ascii="Arial"/>
                <w:i/>
                <w:sz w:val="20"/>
                <w:szCs w:val="20"/>
                <w:lang w:val="uk-UA"/>
              </w:rPr>
              <w:t>рекомендація</w:t>
            </w:r>
            <w:r w:rsidR="00FC09A9" w:rsidRPr="003C6DAE">
              <w:rPr>
                <w:rFonts w:ascii="Arial"/>
                <w:i/>
                <w:sz w:val="20"/>
                <w:szCs w:val="20"/>
                <w:lang w:val="uk-UA"/>
              </w:rPr>
              <w:t xml:space="preserve">, </w:t>
            </w:r>
            <w:r w:rsidR="00FC09A9" w:rsidRPr="003C6DAE">
              <w:rPr>
                <w:rFonts w:ascii="Arial"/>
                <w:i/>
                <w:sz w:val="20"/>
                <w:szCs w:val="20"/>
                <w:lang w:val="uk-UA"/>
              </w:rPr>
              <w:t>помірний</w:t>
            </w:r>
            <w:r w:rsidR="00FC09A9" w:rsidRPr="003C6DAE">
              <w:rPr>
                <w:rFonts w:ascii="Arial"/>
                <w:i/>
                <w:sz w:val="20"/>
                <w:szCs w:val="20"/>
                <w:lang w:val="uk-UA"/>
              </w:rPr>
              <w:t xml:space="preserve"> </w:t>
            </w:r>
            <w:r w:rsidR="00FC09A9" w:rsidRPr="003C6DAE">
              <w:rPr>
                <w:rFonts w:ascii="Arial"/>
                <w:i/>
                <w:sz w:val="20"/>
                <w:szCs w:val="20"/>
                <w:lang w:val="uk-UA"/>
              </w:rPr>
              <w:t>ступінь</w:t>
            </w:r>
            <w:r w:rsidR="00FC09A9" w:rsidRPr="003C6DAE">
              <w:rPr>
                <w:rFonts w:ascii="Arial"/>
                <w:i/>
                <w:sz w:val="20"/>
                <w:szCs w:val="20"/>
                <w:lang w:val="uk-UA"/>
              </w:rPr>
              <w:t xml:space="preserve"> </w:t>
            </w:r>
            <w:r w:rsidR="00FC09A9" w:rsidRPr="003C6DAE">
              <w:rPr>
                <w:rFonts w:ascii="Arial"/>
                <w:i/>
                <w:sz w:val="20"/>
                <w:szCs w:val="20"/>
                <w:lang w:val="uk-UA"/>
              </w:rPr>
              <w:t>достовірності</w:t>
            </w:r>
            <w:r w:rsidR="00FC09A9" w:rsidRPr="003C6DAE">
              <w:rPr>
                <w:rFonts w:ascii="Arial"/>
                <w:i/>
                <w:sz w:val="20"/>
                <w:szCs w:val="20"/>
                <w:lang w:val="uk-UA"/>
              </w:rPr>
              <w:t xml:space="preserve"> </w:t>
            </w:r>
            <w:r w:rsidR="00FC09A9" w:rsidRPr="003C6DAE">
              <w:rPr>
                <w:rFonts w:ascii="Arial"/>
                <w:i/>
                <w:sz w:val="20"/>
                <w:szCs w:val="20"/>
                <w:lang w:val="uk-UA"/>
              </w:rPr>
              <w:t>доказів</w:t>
            </w:r>
            <w:r w:rsidR="00FC09A9" w:rsidRPr="003C6DAE">
              <w:rPr>
                <w:rFonts w:ascii="Arial"/>
                <w:i/>
                <w:sz w:val="20"/>
                <w:szCs w:val="20"/>
                <w:lang w:val="uk-UA"/>
              </w:rPr>
              <w:t xml:space="preserve"> [</w:t>
            </w:r>
            <w:r w:rsidR="00FC09A9" w:rsidRPr="003C6DAE">
              <w:rPr>
                <w:rFonts w:ascii="Arial"/>
                <w:i/>
                <w:sz w:val="20"/>
                <w:szCs w:val="20"/>
                <w:lang w:val="uk-UA"/>
              </w:rPr>
              <w:t>ізоніазид</w:t>
            </w:r>
            <w:r w:rsidR="00FC09A9" w:rsidRPr="003C6DAE">
              <w:rPr>
                <w:rFonts w:ascii="Arial"/>
                <w:i/>
                <w:sz w:val="20"/>
                <w:szCs w:val="20"/>
                <w:lang w:val="uk-UA"/>
              </w:rPr>
              <w:t xml:space="preserve"> </w:t>
            </w:r>
            <w:r w:rsidR="00FC09A9" w:rsidRPr="003C6DAE">
              <w:rPr>
                <w:rFonts w:ascii="Arial"/>
                <w:i/>
                <w:sz w:val="20"/>
                <w:szCs w:val="20"/>
                <w:lang w:val="uk-UA"/>
              </w:rPr>
              <w:t>та</w:t>
            </w:r>
            <w:r w:rsidR="00FC09A9" w:rsidRPr="003C6DAE">
              <w:rPr>
                <w:rFonts w:ascii="Arial"/>
                <w:i/>
                <w:sz w:val="20"/>
                <w:szCs w:val="20"/>
                <w:lang w:val="uk-UA"/>
              </w:rPr>
              <w:t xml:space="preserve"> </w:t>
            </w:r>
            <w:r w:rsidR="00FC09A9" w:rsidRPr="003C6DAE">
              <w:rPr>
                <w:rFonts w:ascii="Arial"/>
                <w:i/>
                <w:sz w:val="20"/>
                <w:szCs w:val="20"/>
                <w:lang w:val="uk-UA"/>
              </w:rPr>
              <w:t>піразинамід</w:t>
            </w:r>
            <w:r w:rsidR="00FC09A9" w:rsidRPr="003C6DAE">
              <w:rPr>
                <w:rFonts w:ascii="Arial"/>
                <w:i/>
                <w:sz w:val="20"/>
                <w:szCs w:val="20"/>
                <w:lang w:val="uk-UA"/>
              </w:rPr>
              <w:t xml:space="preserve">] </w:t>
            </w:r>
            <w:r w:rsidR="00FC09A9" w:rsidRPr="003C6DAE">
              <w:rPr>
                <w:rFonts w:ascii="Arial"/>
                <w:i/>
                <w:sz w:val="20"/>
                <w:szCs w:val="20"/>
                <w:lang w:val="uk-UA"/>
              </w:rPr>
              <w:t>та</w:t>
            </w:r>
            <w:r w:rsidR="00FC09A9" w:rsidRPr="003C6DAE">
              <w:rPr>
                <w:rFonts w:ascii="Arial"/>
                <w:i/>
                <w:sz w:val="20"/>
                <w:szCs w:val="20"/>
                <w:lang w:val="uk-UA"/>
              </w:rPr>
              <w:t xml:space="preserve"> </w:t>
            </w:r>
            <w:r w:rsidR="00FC09A9" w:rsidRPr="003C6DAE">
              <w:rPr>
                <w:rFonts w:ascii="Arial"/>
                <w:i/>
                <w:sz w:val="20"/>
                <w:szCs w:val="20"/>
                <w:lang w:val="uk-UA"/>
              </w:rPr>
              <w:t>низький</w:t>
            </w:r>
            <w:r w:rsidR="00FC09A9" w:rsidRPr="003C6DAE">
              <w:rPr>
                <w:rFonts w:ascii="Arial"/>
                <w:i/>
                <w:sz w:val="20"/>
                <w:szCs w:val="20"/>
                <w:lang w:val="uk-UA"/>
              </w:rPr>
              <w:t xml:space="preserve"> </w:t>
            </w:r>
            <w:r w:rsidR="00FC09A9" w:rsidRPr="003C6DAE">
              <w:rPr>
                <w:rFonts w:ascii="Arial"/>
                <w:i/>
                <w:sz w:val="20"/>
                <w:szCs w:val="20"/>
                <w:lang w:val="uk-UA"/>
              </w:rPr>
              <w:t>ступінь</w:t>
            </w:r>
            <w:r w:rsidR="00FC09A9" w:rsidRPr="003C6DAE">
              <w:rPr>
                <w:rFonts w:ascii="Arial"/>
                <w:i/>
                <w:sz w:val="20"/>
                <w:szCs w:val="20"/>
                <w:lang w:val="uk-UA"/>
              </w:rPr>
              <w:t xml:space="preserve"> [</w:t>
            </w:r>
            <w:r w:rsidR="00FC09A9" w:rsidRPr="003C6DAE">
              <w:rPr>
                <w:rFonts w:ascii="Arial"/>
                <w:i/>
                <w:sz w:val="20"/>
                <w:szCs w:val="20"/>
                <w:lang w:val="uk-UA"/>
              </w:rPr>
              <w:t>рифампіцин</w:t>
            </w:r>
            <w:r w:rsidR="00FC09A9" w:rsidRPr="003C6DAE">
              <w:rPr>
                <w:rFonts w:ascii="Arial"/>
                <w:i/>
                <w:sz w:val="20"/>
                <w:szCs w:val="20"/>
                <w:lang w:val="uk-UA"/>
              </w:rPr>
              <w:t xml:space="preserve">, </w:t>
            </w:r>
            <w:r w:rsidR="00FC09A9" w:rsidRPr="003C6DAE">
              <w:rPr>
                <w:rFonts w:ascii="Arial"/>
                <w:i/>
                <w:sz w:val="20"/>
                <w:szCs w:val="20"/>
                <w:lang w:val="uk-UA"/>
              </w:rPr>
              <w:t>фторхінолони</w:t>
            </w:r>
            <w:r w:rsidR="00FC09A9" w:rsidRPr="003C6DAE">
              <w:rPr>
                <w:rFonts w:ascii="Arial"/>
                <w:i/>
                <w:sz w:val="20"/>
                <w:szCs w:val="20"/>
                <w:lang w:val="uk-UA"/>
              </w:rPr>
              <w:t xml:space="preserve"> </w:t>
            </w:r>
            <w:r w:rsidR="00FC09A9" w:rsidRPr="003C6DAE">
              <w:rPr>
                <w:rFonts w:ascii="Arial"/>
                <w:i/>
                <w:sz w:val="20"/>
                <w:szCs w:val="20"/>
                <w:lang w:val="uk-UA"/>
              </w:rPr>
              <w:t>та</w:t>
            </w:r>
            <w:r w:rsidR="00FC09A9" w:rsidRPr="003C6DAE">
              <w:rPr>
                <w:rFonts w:ascii="Arial"/>
                <w:i/>
                <w:sz w:val="20"/>
                <w:szCs w:val="20"/>
                <w:lang w:val="uk-UA"/>
              </w:rPr>
              <w:t xml:space="preserve"> </w:t>
            </w:r>
            <w:r w:rsidR="00FC09A9" w:rsidRPr="003C6DAE">
              <w:rPr>
                <w:rFonts w:ascii="Arial"/>
                <w:i/>
                <w:sz w:val="20"/>
                <w:szCs w:val="20"/>
                <w:lang w:val="uk-UA"/>
              </w:rPr>
              <w:t>етамбутол</w:t>
            </w:r>
            <w:r w:rsidR="00FC09A9" w:rsidRPr="003C6DAE">
              <w:rPr>
                <w:rFonts w:ascii="Arial"/>
                <w:i/>
                <w:sz w:val="20"/>
                <w:szCs w:val="20"/>
                <w:lang w:val="uk-UA"/>
              </w:rPr>
              <w:t>]</w:t>
            </w:r>
            <w:r w:rsidR="00B01E0C" w:rsidRPr="003C6DAE">
              <w:rPr>
                <w:rFonts w:ascii="Arial"/>
                <w:i/>
                <w:sz w:val="20"/>
                <w:szCs w:val="20"/>
                <w:lang w:val="uk-UA"/>
              </w:rPr>
              <w:t>)</w:t>
            </w:r>
          </w:p>
        </w:tc>
      </w:tr>
      <w:tr w:rsidR="00E05B98" w:rsidRPr="00D029FF" w14:paraId="434A81F5" w14:textId="77777777" w:rsidTr="00F91AD3">
        <w:trPr>
          <w:trHeight w:val="2462"/>
        </w:trPr>
        <w:tc>
          <w:tcPr>
            <w:tcW w:w="9349" w:type="dxa"/>
            <w:tcBorders>
              <w:top w:val="single" w:sz="6" w:space="0" w:color="019648"/>
              <w:bottom w:val="single" w:sz="6" w:space="0" w:color="019648"/>
            </w:tcBorders>
          </w:tcPr>
          <w:p w14:paraId="3046BE9D" w14:textId="77777777" w:rsidR="00E05B98" w:rsidRPr="003C6DAE" w:rsidRDefault="00E05B98" w:rsidP="00C13E83">
            <w:pPr>
              <w:pStyle w:val="TableParagraph"/>
              <w:spacing w:before="0" w:line="233" w:lineRule="auto"/>
              <w:ind w:left="423" w:hanging="423"/>
              <w:jc w:val="both"/>
              <w:rPr>
                <w:sz w:val="20"/>
                <w:szCs w:val="20"/>
                <w:lang w:val="uk-UA"/>
              </w:rPr>
            </w:pPr>
          </w:p>
          <w:p w14:paraId="250B4EC0" w14:textId="2E4E58F3" w:rsidR="00E05B98" w:rsidRPr="003C6DAE" w:rsidRDefault="00B01E0C" w:rsidP="00F91AD3">
            <w:pPr>
              <w:pStyle w:val="TableParagraph"/>
              <w:spacing w:before="0" w:line="233" w:lineRule="auto"/>
              <w:ind w:left="423" w:hanging="423"/>
              <w:jc w:val="both"/>
              <w:rPr>
                <w:sz w:val="20"/>
                <w:szCs w:val="20"/>
                <w:lang w:val="uk-UA"/>
              </w:rPr>
            </w:pPr>
            <w:r w:rsidRPr="003C6DAE">
              <w:rPr>
                <w:sz w:val="20"/>
                <w:szCs w:val="20"/>
                <w:lang w:val="uk-UA"/>
              </w:rPr>
              <w:t>18.</w:t>
            </w:r>
            <w:r w:rsidRPr="003C6DAE">
              <w:rPr>
                <w:spacing w:val="40"/>
                <w:sz w:val="20"/>
                <w:szCs w:val="20"/>
                <w:lang w:val="uk-UA"/>
              </w:rPr>
              <w:t xml:space="preserve"> </w:t>
            </w:r>
            <w:r w:rsidR="00FC09A9" w:rsidRPr="003C6DAE">
              <w:rPr>
                <w:sz w:val="20"/>
                <w:szCs w:val="20"/>
                <w:lang w:val="uk-UA"/>
              </w:rPr>
              <w:t xml:space="preserve">Для людей з бактеріологічно підтвердженим рифампіцин-резистентним ТБ легень можна використовувати </w:t>
            </w:r>
            <w:r w:rsidR="0007279C">
              <w:rPr>
                <w:sz w:val="20"/>
                <w:szCs w:val="20"/>
                <w:lang w:val="uk-UA"/>
              </w:rPr>
              <w:t xml:space="preserve">технології </w:t>
            </w:r>
            <w:r w:rsidR="000676B8">
              <w:rPr>
                <w:sz w:val="20"/>
                <w:szCs w:val="20"/>
                <w:lang w:val="uk-UA"/>
              </w:rPr>
              <w:t>таргетного</w:t>
            </w:r>
            <w:r w:rsidR="00FC09A9" w:rsidRPr="003C6DAE">
              <w:rPr>
                <w:sz w:val="20"/>
                <w:szCs w:val="20"/>
                <w:lang w:val="uk-UA"/>
              </w:rPr>
              <w:t xml:space="preserve"> секвенування наступного покоління на зразках </w:t>
            </w:r>
            <w:r w:rsidR="0007279C">
              <w:rPr>
                <w:sz w:val="20"/>
                <w:szCs w:val="20"/>
                <w:lang w:val="uk-UA"/>
              </w:rPr>
              <w:t xml:space="preserve">із </w:t>
            </w:r>
            <w:r w:rsidR="00FC09A9" w:rsidRPr="003C6DAE">
              <w:rPr>
                <w:sz w:val="20"/>
                <w:szCs w:val="20"/>
                <w:lang w:val="uk-UA"/>
              </w:rPr>
              <w:t>дихальних шляхів для діагностики стійкості до ізоніазиду, фторхінолонів, бедаквіліну, лінезоліду, клофазиміну, піразинаміду, етамбутолу, амікацину та стрептоміцину замість фенотипічного ТМЧ на основі бакпосіву</w:t>
            </w:r>
            <w:r w:rsidRPr="003C6DAE">
              <w:rPr>
                <w:sz w:val="20"/>
                <w:szCs w:val="20"/>
                <w:lang w:val="uk-UA"/>
              </w:rPr>
              <w:t>.</w:t>
            </w:r>
          </w:p>
          <w:p w14:paraId="3DD8DAB1" w14:textId="3435062F" w:rsidR="00E05B98" w:rsidRPr="003C6DAE" w:rsidRDefault="00C13E83" w:rsidP="00C13E83">
            <w:pPr>
              <w:pStyle w:val="TableParagraph"/>
              <w:spacing w:before="87" w:line="233" w:lineRule="auto"/>
              <w:ind w:left="423" w:right="252" w:hanging="423"/>
              <w:jc w:val="both"/>
              <w:rPr>
                <w:rFonts w:ascii="Arial"/>
                <w:i/>
                <w:sz w:val="20"/>
                <w:szCs w:val="20"/>
                <w:lang w:val="uk-UA"/>
              </w:rPr>
            </w:pPr>
            <w:r w:rsidRPr="003C6DAE">
              <w:rPr>
                <w:rFonts w:ascii="Arial"/>
                <w:i/>
                <w:sz w:val="20"/>
                <w:szCs w:val="20"/>
                <w:lang w:val="uk-UA"/>
              </w:rPr>
              <w:t xml:space="preserve">       </w:t>
            </w:r>
            <w:r w:rsidR="00B01E0C" w:rsidRPr="003C6DAE">
              <w:rPr>
                <w:rFonts w:ascii="Arial"/>
                <w:i/>
                <w:sz w:val="20"/>
                <w:szCs w:val="20"/>
                <w:lang w:val="uk-UA"/>
              </w:rPr>
              <w:t>(</w:t>
            </w:r>
            <w:r w:rsidR="00FC09A9" w:rsidRPr="003C6DAE">
              <w:rPr>
                <w:rFonts w:ascii="Arial"/>
                <w:i/>
                <w:sz w:val="20"/>
                <w:szCs w:val="20"/>
                <w:lang w:val="uk-UA"/>
              </w:rPr>
              <w:t>Умовна</w:t>
            </w:r>
            <w:r w:rsidR="00FC09A9" w:rsidRPr="003C6DAE">
              <w:rPr>
                <w:rFonts w:ascii="Arial"/>
                <w:i/>
                <w:sz w:val="20"/>
                <w:szCs w:val="20"/>
                <w:lang w:val="uk-UA"/>
              </w:rPr>
              <w:t xml:space="preserve"> </w:t>
            </w:r>
            <w:r w:rsidR="00FC09A9" w:rsidRPr="003C6DAE">
              <w:rPr>
                <w:rFonts w:ascii="Arial"/>
                <w:i/>
                <w:sz w:val="20"/>
                <w:szCs w:val="20"/>
                <w:lang w:val="uk-UA"/>
              </w:rPr>
              <w:t>рекомендація</w:t>
            </w:r>
            <w:r w:rsidR="00FC09A9" w:rsidRPr="003C6DAE">
              <w:rPr>
                <w:rFonts w:ascii="Arial"/>
                <w:i/>
                <w:sz w:val="20"/>
                <w:szCs w:val="20"/>
                <w:lang w:val="uk-UA"/>
              </w:rPr>
              <w:t xml:space="preserve">, </w:t>
            </w:r>
            <w:r w:rsidR="00FC09A9" w:rsidRPr="003C6DAE">
              <w:rPr>
                <w:rFonts w:ascii="Arial"/>
                <w:i/>
                <w:sz w:val="20"/>
                <w:szCs w:val="20"/>
                <w:lang w:val="uk-UA"/>
              </w:rPr>
              <w:t>достовірність</w:t>
            </w:r>
            <w:r w:rsidR="00FC09A9" w:rsidRPr="003C6DAE">
              <w:rPr>
                <w:rFonts w:ascii="Arial"/>
                <w:i/>
                <w:sz w:val="20"/>
                <w:szCs w:val="20"/>
                <w:lang w:val="uk-UA"/>
              </w:rPr>
              <w:t xml:space="preserve"> </w:t>
            </w:r>
            <w:r w:rsidR="00FC09A9" w:rsidRPr="003C6DAE">
              <w:rPr>
                <w:rFonts w:ascii="Arial"/>
                <w:i/>
                <w:sz w:val="20"/>
                <w:szCs w:val="20"/>
                <w:lang w:val="uk-UA"/>
              </w:rPr>
              <w:t>доказів</w:t>
            </w:r>
            <w:r w:rsidR="00FC09A9" w:rsidRPr="003C6DAE">
              <w:rPr>
                <w:rFonts w:ascii="Arial"/>
                <w:i/>
                <w:sz w:val="20"/>
                <w:szCs w:val="20"/>
                <w:lang w:val="uk-UA"/>
              </w:rPr>
              <w:t xml:space="preserve"> </w:t>
            </w:r>
            <w:r w:rsidR="00FC09A9" w:rsidRPr="003C6DAE">
              <w:rPr>
                <w:rFonts w:ascii="Arial"/>
                <w:i/>
                <w:sz w:val="20"/>
                <w:szCs w:val="20"/>
                <w:lang w:val="uk-UA"/>
              </w:rPr>
              <w:t>висока</w:t>
            </w:r>
            <w:r w:rsidR="00FC09A9" w:rsidRPr="003C6DAE">
              <w:rPr>
                <w:rFonts w:ascii="Arial"/>
                <w:i/>
                <w:sz w:val="20"/>
                <w:szCs w:val="20"/>
                <w:lang w:val="uk-UA"/>
              </w:rPr>
              <w:t xml:space="preserve"> [</w:t>
            </w:r>
            <w:r w:rsidR="00FC09A9" w:rsidRPr="003C6DAE">
              <w:rPr>
                <w:rFonts w:ascii="Arial"/>
                <w:i/>
                <w:sz w:val="20"/>
                <w:szCs w:val="20"/>
                <w:lang w:val="uk-UA"/>
              </w:rPr>
              <w:t>ізоніазид</w:t>
            </w:r>
            <w:r w:rsidR="00FC09A9" w:rsidRPr="003C6DAE">
              <w:rPr>
                <w:rFonts w:ascii="Arial"/>
                <w:i/>
                <w:sz w:val="20"/>
                <w:szCs w:val="20"/>
                <w:lang w:val="uk-UA"/>
              </w:rPr>
              <w:t xml:space="preserve">, </w:t>
            </w:r>
            <w:r w:rsidR="00FC09A9" w:rsidRPr="003C6DAE">
              <w:rPr>
                <w:rFonts w:ascii="Arial"/>
                <w:i/>
                <w:sz w:val="20"/>
                <w:szCs w:val="20"/>
                <w:lang w:val="uk-UA"/>
              </w:rPr>
              <w:t>фторхінолони</w:t>
            </w:r>
            <w:r w:rsidR="00FC09A9" w:rsidRPr="003C6DAE">
              <w:rPr>
                <w:rFonts w:ascii="Arial"/>
                <w:i/>
                <w:sz w:val="20"/>
                <w:szCs w:val="20"/>
                <w:lang w:val="uk-UA"/>
              </w:rPr>
              <w:t xml:space="preserve"> </w:t>
            </w:r>
            <w:r w:rsidR="00FC09A9" w:rsidRPr="003C6DAE">
              <w:rPr>
                <w:rFonts w:ascii="Arial"/>
                <w:i/>
                <w:sz w:val="20"/>
                <w:szCs w:val="20"/>
                <w:lang w:val="uk-UA"/>
              </w:rPr>
              <w:t>та</w:t>
            </w:r>
            <w:r w:rsidR="00FC09A9" w:rsidRPr="003C6DAE">
              <w:rPr>
                <w:rFonts w:ascii="Arial"/>
                <w:i/>
                <w:sz w:val="20"/>
                <w:szCs w:val="20"/>
                <w:lang w:val="uk-UA"/>
              </w:rPr>
              <w:t xml:space="preserve"> </w:t>
            </w:r>
            <w:r w:rsidR="00FC09A9" w:rsidRPr="003C6DAE">
              <w:rPr>
                <w:rFonts w:ascii="Arial"/>
                <w:i/>
                <w:sz w:val="20"/>
                <w:szCs w:val="20"/>
                <w:lang w:val="uk-UA"/>
              </w:rPr>
              <w:t>піразинамід</w:t>
            </w:r>
            <w:r w:rsidR="00FC09A9" w:rsidRPr="003C6DAE">
              <w:rPr>
                <w:rFonts w:ascii="Arial"/>
                <w:i/>
                <w:sz w:val="20"/>
                <w:szCs w:val="20"/>
                <w:lang w:val="uk-UA"/>
              </w:rPr>
              <w:t xml:space="preserve">], </w:t>
            </w:r>
            <w:r w:rsidR="00FC09A9" w:rsidRPr="003C6DAE">
              <w:rPr>
                <w:rFonts w:ascii="Arial"/>
                <w:i/>
                <w:sz w:val="20"/>
                <w:szCs w:val="20"/>
                <w:lang w:val="uk-UA"/>
              </w:rPr>
              <w:t>помірна</w:t>
            </w:r>
            <w:r w:rsidR="00FC09A9" w:rsidRPr="003C6DAE">
              <w:rPr>
                <w:rFonts w:ascii="Arial"/>
                <w:i/>
                <w:sz w:val="20"/>
                <w:szCs w:val="20"/>
                <w:lang w:val="uk-UA"/>
              </w:rPr>
              <w:t xml:space="preserve"> [</w:t>
            </w:r>
            <w:r w:rsidR="00FC09A9" w:rsidRPr="003C6DAE">
              <w:rPr>
                <w:rFonts w:ascii="Arial"/>
                <w:i/>
                <w:sz w:val="20"/>
                <w:szCs w:val="20"/>
                <w:lang w:val="uk-UA"/>
              </w:rPr>
              <w:t>етамбутол</w:t>
            </w:r>
            <w:r w:rsidR="00FC09A9" w:rsidRPr="003C6DAE">
              <w:rPr>
                <w:rFonts w:ascii="Arial"/>
                <w:i/>
                <w:sz w:val="20"/>
                <w:szCs w:val="20"/>
                <w:lang w:val="uk-UA"/>
              </w:rPr>
              <w:t xml:space="preserve">], </w:t>
            </w:r>
            <w:r w:rsidR="00FC09A9" w:rsidRPr="003C6DAE">
              <w:rPr>
                <w:rFonts w:ascii="Arial"/>
                <w:i/>
                <w:sz w:val="20"/>
                <w:szCs w:val="20"/>
                <w:lang w:val="uk-UA"/>
              </w:rPr>
              <w:t>низька</w:t>
            </w:r>
            <w:r w:rsidR="00FC09A9" w:rsidRPr="003C6DAE">
              <w:rPr>
                <w:rFonts w:ascii="Arial"/>
                <w:i/>
                <w:sz w:val="20"/>
                <w:szCs w:val="20"/>
                <w:lang w:val="uk-UA"/>
              </w:rPr>
              <w:t xml:space="preserve"> [</w:t>
            </w:r>
            <w:r w:rsidR="00FC09A9" w:rsidRPr="003C6DAE">
              <w:rPr>
                <w:rFonts w:ascii="Arial"/>
                <w:i/>
                <w:sz w:val="20"/>
                <w:szCs w:val="20"/>
                <w:lang w:val="uk-UA"/>
              </w:rPr>
              <w:t>бедаквілін</w:t>
            </w:r>
            <w:r w:rsidR="00FC09A9" w:rsidRPr="003C6DAE">
              <w:rPr>
                <w:rFonts w:ascii="Arial"/>
                <w:i/>
                <w:sz w:val="20"/>
                <w:szCs w:val="20"/>
                <w:lang w:val="uk-UA"/>
              </w:rPr>
              <w:t xml:space="preserve">, </w:t>
            </w:r>
            <w:r w:rsidR="00FC09A9" w:rsidRPr="003C6DAE">
              <w:rPr>
                <w:rFonts w:ascii="Arial"/>
                <w:i/>
                <w:sz w:val="20"/>
                <w:szCs w:val="20"/>
                <w:lang w:val="uk-UA"/>
              </w:rPr>
              <w:t>лінезолід</w:t>
            </w:r>
            <w:r w:rsidR="00FC09A9" w:rsidRPr="003C6DAE">
              <w:rPr>
                <w:rFonts w:ascii="Arial"/>
                <w:i/>
                <w:sz w:val="20"/>
                <w:szCs w:val="20"/>
                <w:lang w:val="uk-UA"/>
              </w:rPr>
              <w:t xml:space="preserve">, </w:t>
            </w:r>
            <w:r w:rsidR="00FC09A9" w:rsidRPr="003C6DAE">
              <w:rPr>
                <w:rFonts w:ascii="Arial"/>
                <w:i/>
                <w:sz w:val="20"/>
                <w:szCs w:val="20"/>
                <w:lang w:val="uk-UA"/>
              </w:rPr>
              <w:t>клофазимін</w:t>
            </w:r>
            <w:r w:rsidR="00FC09A9" w:rsidRPr="003C6DAE">
              <w:rPr>
                <w:rFonts w:ascii="Arial"/>
                <w:i/>
                <w:sz w:val="20"/>
                <w:szCs w:val="20"/>
                <w:lang w:val="uk-UA"/>
              </w:rPr>
              <w:t xml:space="preserve"> </w:t>
            </w:r>
            <w:r w:rsidR="00FC09A9" w:rsidRPr="003C6DAE">
              <w:rPr>
                <w:rFonts w:ascii="Arial"/>
                <w:i/>
                <w:sz w:val="20"/>
                <w:szCs w:val="20"/>
                <w:lang w:val="uk-UA"/>
              </w:rPr>
              <w:t>і</w:t>
            </w:r>
            <w:r w:rsidR="00FC09A9" w:rsidRPr="003C6DAE">
              <w:rPr>
                <w:rFonts w:ascii="Arial"/>
                <w:i/>
                <w:sz w:val="20"/>
                <w:szCs w:val="20"/>
                <w:lang w:val="uk-UA"/>
              </w:rPr>
              <w:t xml:space="preserve"> </w:t>
            </w:r>
            <w:r w:rsidR="00FC09A9" w:rsidRPr="003C6DAE">
              <w:rPr>
                <w:rFonts w:ascii="Arial"/>
                <w:i/>
                <w:sz w:val="20"/>
                <w:szCs w:val="20"/>
                <w:lang w:val="uk-UA"/>
              </w:rPr>
              <w:t>стрептоміцин</w:t>
            </w:r>
            <w:r w:rsidR="00FC09A9" w:rsidRPr="003C6DAE">
              <w:rPr>
                <w:rFonts w:ascii="Arial"/>
                <w:i/>
                <w:sz w:val="20"/>
                <w:szCs w:val="20"/>
                <w:lang w:val="uk-UA"/>
              </w:rPr>
              <w:t xml:space="preserve">] </w:t>
            </w:r>
            <w:r w:rsidR="00FC09A9" w:rsidRPr="003C6DAE">
              <w:rPr>
                <w:rFonts w:ascii="Arial"/>
                <w:i/>
                <w:sz w:val="20"/>
                <w:szCs w:val="20"/>
                <w:lang w:val="uk-UA"/>
              </w:rPr>
              <w:t>і</w:t>
            </w:r>
            <w:r w:rsidR="00FC09A9" w:rsidRPr="003C6DAE">
              <w:rPr>
                <w:rFonts w:ascii="Arial"/>
                <w:i/>
                <w:sz w:val="20"/>
                <w:szCs w:val="20"/>
                <w:lang w:val="uk-UA"/>
              </w:rPr>
              <w:t xml:space="preserve"> </w:t>
            </w:r>
            <w:r w:rsidR="00FC09A9" w:rsidRPr="003C6DAE">
              <w:rPr>
                <w:rFonts w:ascii="Arial"/>
                <w:i/>
                <w:sz w:val="20"/>
                <w:szCs w:val="20"/>
                <w:lang w:val="uk-UA"/>
              </w:rPr>
              <w:t>дуже</w:t>
            </w:r>
            <w:r w:rsidR="00FC09A9" w:rsidRPr="003C6DAE">
              <w:rPr>
                <w:rFonts w:ascii="Arial"/>
                <w:i/>
                <w:sz w:val="20"/>
                <w:szCs w:val="20"/>
                <w:lang w:val="uk-UA"/>
              </w:rPr>
              <w:t xml:space="preserve"> </w:t>
            </w:r>
            <w:r w:rsidR="00FC09A9" w:rsidRPr="003C6DAE">
              <w:rPr>
                <w:rFonts w:ascii="Arial"/>
                <w:i/>
                <w:sz w:val="20"/>
                <w:szCs w:val="20"/>
                <w:lang w:val="uk-UA"/>
              </w:rPr>
              <w:t>низька</w:t>
            </w:r>
            <w:r w:rsidR="00FC09A9" w:rsidRPr="003C6DAE">
              <w:rPr>
                <w:rFonts w:ascii="Arial"/>
                <w:i/>
                <w:sz w:val="20"/>
                <w:szCs w:val="20"/>
                <w:lang w:val="uk-UA"/>
              </w:rPr>
              <w:t xml:space="preserve"> [</w:t>
            </w:r>
            <w:r w:rsidR="00FC09A9" w:rsidRPr="003C6DAE">
              <w:rPr>
                <w:rFonts w:ascii="Arial"/>
                <w:i/>
                <w:sz w:val="20"/>
                <w:szCs w:val="20"/>
                <w:lang w:val="uk-UA"/>
              </w:rPr>
              <w:t>амікацин</w:t>
            </w:r>
            <w:r w:rsidR="00FC09A9" w:rsidRPr="003C6DAE">
              <w:rPr>
                <w:rFonts w:ascii="Arial"/>
                <w:i/>
                <w:sz w:val="20"/>
                <w:szCs w:val="20"/>
                <w:lang w:val="uk-UA"/>
              </w:rPr>
              <w:t>]</w:t>
            </w:r>
            <w:r w:rsidR="00B01E0C" w:rsidRPr="003C6DAE">
              <w:rPr>
                <w:rFonts w:ascii="Arial"/>
                <w:i/>
                <w:sz w:val="20"/>
                <w:szCs w:val="20"/>
                <w:lang w:val="uk-UA"/>
              </w:rPr>
              <w:t>)</w:t>
            </w:r>
          </w:p>
        </w:tc>
      </w:tr>
      <w:tr w:rsidR="00E05B98" w:rsidRPr="00D029FF" w14:paraId="44168A81" w14:textId="77777777" w:rsidTr="00F91AD3">
        <w:trPr>
          <w:trHeight w:val="902"/>
        </w:trPr>
        <w:tc>
          <w:tcPr>
            <w:tcW w:w="9349" w:type="dxa"/>
            <w:tcBorders>
              <w:top w:val="single" w:sz="6" w:space="0" w:color="019648"/>
              <w:bottom w:val="single" w:sz="6" w:space="0" w:color="019648"/>
            </w:tcBorders>
          </w:tcPr>
          <w:p w14:paraId="1C685CB0" w14:textId="44B7EE06" w:rsidR="00E05B98" w:rsidRPr="003C6DAE" w:rsidRDefault="00B01E0C" w:rsidP="00FC09A9">
            <w:pPr>
              <w:pStyle w:val="TableParagraph"/>
              <w:spacing w:before="245" w:line="233" w:lineRule="auto"/>
              <w:ind w:left="423" w:hanging="423"/>
              <w:jc w:val="both"/>
              <w:rPr>
                <w:iCs/>
                <w:sz w:val="20"/>
                <w:szCs w:val="20"/>
                <w:lang w:val="uk-UA"/>
              </w:rPr>
            </w:pPr>
            <w:r w:rsidRPr="003C6DAE">
              <w:rPr>
                <w:spacing w:val="-2"/>
                <w:sz w:val="20"/>
                <w:szCs w:val="20"/>
                <w:lang w:val="uk-UA"/>
              </w:rPr>
              <w:t>19.</w:t>
            </w:r>
            <w:r w:rsidRPr="003C6DAE">
              <w:rPr>
                <w:spacing w:val="9"/>
                <w:sz w:val="20"/>
                <w:szCs w:val="20"/>
                <w:lang w:val="uk-UA"/>
              </w:rPr>
              <w:t xml:space="preserve"> </w:t>
            </w:r>
            <w:r w:rsidR="00FC09A9" w:rsidRPr="003C6DAE">
              <w:rPr>
                <w:rFonts w:ascii="Arial"/>
                <w:iCs/>
                <w:spacing w:val="-2"/>
                <w:sz w:val="20"/>
                <w:szCs w:val="20"/>
                <w:lang w:val="uk-UA"/>
              </w:rPr>
              <w:t>Шкірні</w:t>
            </w:r>
            <w:r w:rsidR="00FC09A9" w:rsidRPr="003C6DAE">
              <w:rPr>
                <w:rFonts w:ascii="Arial"/>
                <w:iCs/>
                <w:spacing w:val="-2"/>
                <w:sz w:val="20"/>
                <w:szCs w:val="20"/>
                <w:lang w:val="uk-UA"/>
              </w:rPr>
              <w:t xml:space="preserve"> </w:t>
            </w:r>
            <w:r w:rsidR="00FC09A9" w:rsidRPr="003C6DAE">
              <w:rPr>
                <w:rFonts w:ascii="Arial"/>
                <w:iCs/>
                <w:spacing w:val="-2"/>
                <w:sz w:val="20"/>
                <w:szCs w:val="20"/>
                <w:lang w:val="uk-UA"/>
              </w:rPr>
              <w:t>тести</w:t>
            </w:r>
            <w:r w:rsidR="00FC09A9" w:rsidRPr="003C6DAE">
              <w:rPr>
                <w:rFonts w:ascii="Arial"/>
                <w:iCs/>
                <w:spacing w:val="-2"/>
                <w:sz w:val="20"/>
                <w:szCs w:val="20"/>
                <w:lang w:val="uk-UA"/>
              </w:rPr>
              <w:t xml:space="preserve"> </w:t>
            </w:r>
            <w:r w:rsidR="00FC09A9" w:rsidRPr="003C6DAE">
              <w:rPr>
                <w:rFonts w:ascii="Arial"/>
                <w:iCs/>
                <w:spacing w:val="-2"/>
                <w:sz w:val="20"/>
                <w:szCs w:val="20"/>
                <w:lang w:val="uk-UA"/>
              </w:rPr>
              <w:t>на</w:t>
            </w:r>
            <w:r w:rsidR="00FC09A9" w:rsidRPr="003C6DAE">
              <w:rPr>
                <w:rFonts w:ascii="Arial"/>
                <w:iCs/>
                <w:spacing w:val="-2"/>
                <w:sz w:val="20"/>
                <w:szCs w:val="20"/>
                <w:lang w:val="uk-UA"/>
              </w:rPr>
              <w:t xml:space="preserve"> </w:t>
            </w:r>
            <w:r w:rsidR="000676B8">
              <w:rPr>
                <w:rFonts w:ascii="Arial"/>
                <w:iCs/>
                <w:spacing w:val="-2"/>
                <w:sz w:val="20"/>
                <w:szCs w:val="20"/>
                <w:lang w:val="uk-UA"/>
              </w:rPr>
              <w:t>основі</w:t>
            </w:r>
            <w:r w:rsidR="000676B8">
              <w:rPr>
                <w:rFonts w:ascii="Arial"/>
                <w:iCs/>
                <w:spacing w:val="-2"/>
                <w:sz w:val="20"/>
                <w:szCs w:val="20"/>
                <w:lang w:val="uk-UA"/>
              </w:rPr>
              <w:t xml:space="preserve"> </w:t>
            </w:r>
            <w:r w:rsidR="00FC09A9" w:rsidRPr="003C6DAE">
              <w:rPr>
                <w:rFonts w:ascii="Arial"/>
                <w:iCs/>
                <w:spacing w:val="-2"/>
                <w:sz w:val="20"/>
                <w:szCs w:val="20"/>
                <w:lang w:val="uk-UA"/>
              </w:rPr>
              <w:t>антиген</w:t>
            </w:r>
            <w:r w:rsidR="000676B8">
              <w:rPr>
                <w:rFonts w:ascii="Arial"/>
                <w:iCs/>
                <w:spacing w:val="-2"/>
                <w:sz w:val="20"/>
                <w:szCs w:val="20"/>
                <w:lang w:val="uk-UA"/>
              </w:rPr>
              <w:t>у</w:t>
            </w:r>
            <w:r w:rsidR="00FC09A9" w:rsidRPr="003C6DAE">
              <w:rPr>
                <w:rFonts w:ascii="Arial"/>
                <w:iCs/>
                <w:spacing w:val="-2"/>
                <w:sz w:val="20"/>
                <w:szCs w:val="20"/>
                <w:lang w:val="uk-UA"/>
              </w:rPr>
              <w:t xml:space="preserve"> </w:t>
            </w:r>
            <w:r w:rsidR="00FC09A9" w:rsidRPr="003C6DAE">
              <w:rPr>
                <w:rFonts w:ascii="Arial"/>
                <w:i/>
                <w:spacing w:val="-2"/>
                <w:sz w:val="20"/>
                <w:szCs w:val="20"/>
                <w:lang w:val="uk-UA"/>
              </w:rPr>
              <w:t>Mycobacterium tuberculosis</w:t>
            </w:r>
            <w:r w:rsidR="00FC09A9" w:rsidRPr="003C6DAE">
              <w:rPr>
                <w:rFonts w:ascii="Arial"/>
                <w:iCs/>
                <w:spacing w:val="-2"/>
                <w:sz w:val="20"/>
                <w:szCs w:val="20"/>
                <w:lang w:val="uk-UA"/>
              </w:rPr>
              <w:t xml:space="preserve"> </w:t>
            </w:r>
            <w:r w:rsidR="00FC09A9" w:rsidRPr="003C6DAE">
              <w:rPr>
                <w:rFonts w:ascii="Arial"/>
                <w:iCs/>
                <w:spacing w:val="-2"/>
                <w:sz w:val="20"/>
                <w:szCs w:val="20"/>
                <w:lang w:val="uk-UA"/>
              </w:rPr>
              <w:t>можуть</w:t>
            </w:r>
            <w:r w:rsidR="00FC09A9" w:rsidRPr="003C6DAE">
              <w:rPr>
                <w:rFonts w:ascii="Arial"/>
                <w:iCs/>
                <w:spacing w:val="-2"/>
                <w:sz w:val="20"/>
                <w:szCs w:val="20"/>
                <w:lang w:val="uk-UA"/>
              </w:rPr>
              <w:t xml:space="preserve"> </w:t>
            </w:r>
            <w:r w:rsidR="00FC09A9" w:rsidRPr="003C6DAE">
              <w:rPr>
                <w:rFonts w:ascii="Arial"/>
                <w:iCs/>
                <w:spacing w:val="-2"/>
                <w:sz w:val="20"/>
                <w:szCs w:val="20"/>
                <w:lang w:val="uk-UA"/>
              </w:rPr>
              <w:t>бути</w:t>
            </w:r>
            <w:r w:rsidR="00FC09A9" w:rsidRPr="003C6DAE">
              <w:rPr>
                <w:rFonts w:ascii="Arial"/>
                <w:iCs/>
                <w:spacing w:val="-2"/>
                <w:sz w:val="20"/>
                <w:szCs w:val="20"/>
                <w:lang w:val="uk-UA"/>
              </w:rPr>
              <w:t xml:space="preserve"> </w:t>
            </w:r>
            <w:r w:rsidR="00FC09A9" w:rsidRPr="003C6DAE">
              <w:rPr>
                <w:rFonts w:ascii="Arial"/>
                <w:iCs/>
                <w:spacing w:val="-2"/>
                <w:sz w:val="20"/>
                <w:szCs w:val="20"/>
                <w:lang w:val="uk-UA"/>
              </w:rPr>
              <w:t>використані</w:t>
            </w:r>
            <w:r w:rsidR="00FC09A9" w:rsidRPr="003C6DAE">
              <w:rPr>
                <w:rFonts w:ascii="Arial"/>
                <w:iCs/>
                <w:spacing w:val="-2"/>
                <w:sz w:val="20"/>
                <w:szCs w:val="20"/>
                <w:lang w:val="uk-UA"/>
              </w:rPr>
              <w:t xml:space="preserve"> </w:t>
            </w:r>
            <w:r w:rsidR="00FC09A9" w:rsidRPr="003C6DAE">
              <w:rPr>
                <w:rFonts w:ascii="Arial"/>
                <w:iCs/>
                <w:spacing w:val="-2"/>
                <w:sz w:val="20"/>
                <w:szCs w:val="20"/>
                <w:lang w:val="uk-UA"/>
              </w:rPr>
              <w:t>для</w:t>
            </w:r>
            <w:r w:rsidR="00FC09A9" w:rsidRPr="003C6DAE">
              <w:rPr>
                <w:rFonts w:ascii="Arial"/>
                <w:iCs/>
                <w:spacing w:val="-2"/>
                <w:sz w:val="20"/>
                <w:szCs w:val="20"/>
                <w:lang w:val="uk-UA"/>
              </w:rPr>
              <w:t xml:space="preserve"> </w:t>
            </w:r>
            <w:r w:rsidR="00FC09A9" w:rsidRPr="003C6DAE">
              <w:rPr>
                <w:rFonts w:ascii="Arial"/>
                <w:iCs/>
                <w:spacing w:val="-2"/>
                <w:sz w:val="20"/>
                <w:szCs w:val="20"/>
                <w:lang w:val="uk-UA"/>
              </w:rPr>
              <w:t>діагностики</w:t>
            </w:r>
            <w:r w:rsidR="00FC09A9" w:rsidRPr="003C6DAE">
              <w:rPr>
                <w:rFonts w:ascii="Arial"/>
                <w:iCs/>
                <w:spacing w:val="-2"/>
                <w:sz w:val="20"/>
                <w:szCs w:val="20"/>
                <w:lang w:val="uk-UA"/>
              </w:rPr>
              <w:t xml:space="preserve"> </w:t>
            </w:r>
            <w:r w:rsidR="00FC09A9" w:rsidRPr="003C6DAE">
              <w:rPr>
                <w:rFonts w:ascii="Arial"/>
                <w:iCs/>
                <w:spacing w:val="-2"/>
                <w:sz w:val="20"/>
                <w:szCs w:val="20"/>
                <w:lang w:val="uk-UA"/>
              </w:rPr>
              <w:t>туберкульозної</w:t>
            </w:r>
            <w:r w:rsidR="00FC09A9" w:rsidRPr="003C6DAE">
              <w:rPr>
                <w:rFonts w:ascii="Arial"/>
                <w:iCs/>
                <w:spacing w:val="-2"/>
                <w:sz w:val="20"/>
                <w:szCs w:val="20"/>
                <w:lang w:val="uk-UA"/>
              </w:rPr>
              <w:t xml:space="preserve"> </w:t>
            </w:r>
            <w:r w:rsidR="00FC09A9" w:rsidRPr="003C6DAE">
              <w:rPr>
                <w:rFonts w:ascii="Arial"/>
                <w:iCs/>
                <w:spacing w:val="-2"/>
                <w:sz w:val="20"/>
                <w:szCs w:val="20"/>
                <w:lang w:val="uk-UA"/>
              </w:rPr>
              <w:t>інфекції</w:t>
            </w:r>
            <w:r w:rsidR="00FC09A9" w:rsidRPr="003C6DAE">
              <w:rPr>
                <w:rFonts w:ascii="Arial"/>
                <w:iCs/>
                <w:spacing w:val="-2"/>
                <w:sz w:val="20"/>
                <w:szCs w:val="20"/>
                <w:lang w:val="uk-UA"/>
              </w:rPr>
              <w:t>.</w:t>
            </w:r>
          </w:p>
          <w:p w14:paraId="6AB886C1" w14:textId="672A2DA9" w:rsidR="00E05B98" w:rsidRPr="003C6DAE" w:rsidRDefault="00FC09A9" w:rsidP="00FC09A9">
            <w:pPr>
              <w:pStyle w:val="TableParagraph"/>
              <w:spacing w:before="92" w:line="233" w:lineRule="auto"/>
              <w:ind w:left="423" w:hanging="423"/>
              <w:jc w:val="both"/>
              <w:rPr>
                <w:rFonts w:ascii="Arial"/>
                <w:i/>
                <w:sz w:val="20"/>
                <w:szCs w:val="20"/>
                <w:lang w:val="uk-UA"/>
              </w:rPr>
            </w:pPr>
            <w:r w:rsidRPr="003C6DAE">
              <w:rPr>
                <w:rFonts w:ascii="Arial"/>
                <w:i/>
                <w:sz w:val="20"/>
                <w:szCs w:val="20"/>
                <w:lang w:val="uk-UA"/>
              </w:rPr>
              <w:t xml:space="preserve">       </w:t>
            </w:r>
            <w:r w:rsidR="00B01E0C" w:rsidRPr="003C6DAE">
              <w:rPr>
                <w:rFonts w:ascii="Arial"/>
                <w:i/>
                <w:sz w:val="20"/>
                <w:szCs w:val="20"/>
                <w:lang w:val="uk-UA"/>
              </w:rPr>
              <w:t>(</w:t>
            </w:r>
            <w:r w:rsidR="00CA43FC" w:rsidRPr="003C6DAE">
              <w:rPr>
                <w:rFonts w:ascii="Arial"/>
                <w:i/>
                <w:sz w:val="20"/>
                <w:szCs w:val="20"/>
                <w:lang w:val="uk-UA"/>
              </w:rPr>
              <w:t>Умовна</w:t>
            </w:r>
            <w:r w:rsidR="00CA43FC" w:rsidRPr="003C6DAE">
              <w:rPr>
                <w:rFonts w:ascii="Arial"/>
                <w:i/>
                <w:sz w:val="20"/>
                <w:szCs w:val="20"/>
                <w:lang w:val="uk-UA"/>
              </w:rPr>
              <w:t xml:space="preserve"> </w:t>
            </w:r>
            <w:r w:rsidR="00CA43FC" w:rsidRPr="003C6DAE">
              <w:rPr>
                <w:rFonts w:ascii="Arial"/>
                <w:i/>
                <w:sz w:val="20"/>
                <w:szCs w:val="20"/>
                <w:lang w:val="uk-UA"/>
              </w:rPr>
              <w:t>рекомендація</w:t>
            </w:r>
            <w:r w:rsidR="00CA43FC" w:rsidRPr="003C6DAE">
              <w:rPr>
                <w:rFonts w:ascii="Arial"/>
                <w:i/>
                <w:sz w:val="20"/>
                <w:szCs w:val="20"/>
                <w:lang w:val="uk-UA"/>
              </w:rPr>
              <w:t xml:space="preserve">, </w:t>
            </w:r>
            <w:r w:rsidR="00CA43FC" w:rsidRPr="003C6DAE">
              <w:rPr>
                <w:rFonts w:ascii="Arial"/>
                <w:i/>
                <w:sz w:val="20"/>
                <w:szCs w:val="20"/>
                <w:lang w:val="uk-UA"/>
              </w:rPr>
              <w:t>дуже</w:t>
            </w:r>
            <w:r w:rsidR="00CA43FC" w:rsidRPr="003C6DAE">
              <w:rPr>
                <w:rFonts w:ascii="Arial"/>
                <w:i/>
                <w:sz w:val="20"/>
                <w:szCs w:val="20"/>
                <w:lang w:val="uk-UA"/>
              </w:rPr>
              <w:t xml:space="preserve"> </w:t>
            </w:r>
            <w:r w:rsidR="00CA43FC" w:rsidRPr="003C6DAE">
              <w:rPr>
                <w:rFonts w:ascii="Arial"/>
                <w:i/>
                <w:sz w:val="20"/>
                <w:szCs w:val="20"/>
                <w:lang w:val="uk-UA"/>
              </w:rPr>
              <w:t>низький</w:t>
            </w:r>
            <w:r w:rsidR="00CA43FC" w:rsidRPr="003C6DAE">
              <w:rPr>
                <w:rFonts w:ascii="Arial"/>
                <w:i/>
                <w:sz w:val="20"/>
                <w:szCs w:val="20"/>
                <w:lang w:val="uk-UA"/>
              </w:rPr>
              <w:t xml:space="preserve"> </w:t>
            </w:r>
            <w:r w:rsidR="00CA43FC" w:rsidRPr="003C6DAE">
              <w:rPr>
                <w:rFonts w:ascii="Arial"/>
                <w:i/>
                <w:sz w:val="20"/>
                <w:szCs w:val="20"/>
                <w:lang w:val="uk-UA"/>
              </w:rPr>
              <w:t>ступінь</w:t>
            </w:r>
            <w:r w:rsidR="00CA43FC" w:rsidRPr="003C6DAE">
              <w:rPr>
                <w:rFonts w:ascii="Arial"/>
                <w:i/>
                <w:sz w:val="20"/>
                <w:szCs w:val="20"/>
                <w:lang w:val="uk-UA"/>
              </w:rPr>
              <w:t xml:space="preserve"> </w:t>
            </w:r>
            <w:r w:rsidR="00CA43FC" w:rsidRPr="003C6DAE">
              <w:rPr>
                <w:rFonts w:ascii="Arial"/>
                <w:i/>
                <w:sz w:val="20"/>
                <w:szCs w:val="20"/>
                <w:lang w:val="uk-UA"/>
              </w:rPr>
              <w:t>достовірності</w:t>
            </w:r>
            <w:r w:rsidR="00CA43FC" w:rsidRPr="003C6DAE">
              <w:rPr>
                <w:rFonts w:ascii="Arial"/>
                <w:i/>
                <w:sz w:val="20"/>
                <w:szCs w:val="20"/>
                <w:lang w:val="uk-UA"/>
              </w:rPr>
              <w:t xml:space="preserve"> </w:t>
            </w:r>
            <w:r w:rsidR="00CA43FC" w:rsidRPr="003C6DAE">
              <w:rPr>
                <w:rFonts w:ascii="Arial"/>
                <w:i/>
                <w:sz w:val="20"/>
                <w:szCs w:val="20"/>
                <w:lang w:val="uk-UA"/>
              </w:rPr>
              <w:t>доказів</w:t>
            </w:r>
            <w:r w:rsidR="00CA43FC" w:rsidRPr="003C6DAE">
              <w:rPr>
                <w:rFonts w:ascii="Arial"/>
                <w:i/>
                <w:sz w:val="20"/>
                <w:szCs w:val="20"/>
                <w:lang w:val="uk-UA"/>
              </w:rPr>
              <w:t xml:space="preserve"> </w:t>
            </w:r>
            <w:r w:rsidR="00CA43FC" w:rsidRPr="003C6DAE">
              <w:rPr>
                <w:rFonts w:ascii="Arial"/>
                <w:i/>
                <w:sz w:val="20"/>
                <w:szCs w:val="20"/>
                <w:lang w:val="uk-UA"/>
              </w:rPr>
              <w:t>точності</w:t>
            </w:r>
            <w:r w:rsidR="00CA43FC" w:rsidRPr="003C6DAE">
              <w:rPr>
                <w:rFonts w:ascii="Arial"/>
                <w:i/>
                <w:sz w:val="20"/>
                <w:szCs w:val="20"/>
                <w:lang w:val="uk-UA"/>
              </w:rPr>
              <w:t xml:space="preserve"> </w:t>
            </w:r>
            <w:r w:rsidR="00CA43FC" w:rsidRPr="003C6DAE">
              <w:rPr>
                <w:rFonts w:ascii="Arial"/>
                <w:i/>
                <w:sz w:val="20"/>
                <w:szCs w:val="20"/>
                <w:lang w:val="uk-UA"/>
              </w:rPr>
              <w:t>тесту</w:t>
            </w:r>
            <w:r w:rsidR="00B01E0C" w:rsidRPr="003C6DAE">
              <w:rPr>
                <w:rFonts w:ascii="Arial"/>
                <w:i/>
                <w:spacing w:val="-2"/>
                <w:sz w:val="20"/>
                <w:szCs w:val="20"/>
                <w:lang w:val="uk-UA"/>
              </w:rPr>
              <w:t>)</w:t>
            </w:r>
          </w:p>
        </w:tc>
      </w:tr>
      <w:tr w:rsidR="00E05B98" w:rsidRPr="00D029FF" w14:paraId="62ED5EF8" w14:textId="77777777" w:rsidTr="00F91AD3">
        <w:trPr>
          <w:trHeight w:val="1162"/>
        </w:trPr>
        <w:tc>
          <w:tcPr>
            <w:tcW w:w="9349" w:type="dxa"/>
            <w:tcBorders>
              <w:top w:val="single" w:sz="6" w:space="0" w:color="019648"/>
              <w:bottom w:val="single" w:sz="6" w:space="0" w:color="019648"/>
            </w:tcBorders>
          </w:tcPr>
          <w:p w14:paraId="2FCC6263" w14:textId="77777777" w:rsidR="00E05B98" w:rsidRPr="003C6DAE" w:rsidRDefault="00E05B98" w:rsidP="00E742CC">
            <w:pPr>
              <w:pStyle w:val="TableParagraph"/>
              <w:spacing w:before="0" w:line="233" w:lineRule="auto"/>
              <w:ind w:left="0"/>
              <w:jc w:val="both"/>
              <w:rPr>
                <w:sz w:val="20"/>
                <w:szCs w:val="20"/>
                <w:lang w:val="uk-UA"/>
              </w:rPr>
            </w:pPr>
          </w:p>
          <w:p w14:paraId="4EE73C8A" w14:textId="62898699" w:rsidR="00E05B98" w:rsidRPr="003C6DAE" w:rsidRDefault="00B01E0C" w:rsidP="00E742CC">
            <w:pPr>
              <w:pStyle w:val="TableParagraph"/>
              <w:spacing w:before="0" w:line="233" w:lineRule="auto"/>
              <w:ind w:left="510" w:right="111" w:hanging="397"/>
              <w:jc w:val="both"/>
              <w:rPr>
                <w:sz w:val="20"/>
                <w:szCs w:val="20"/>
                <w:lang w:val="uk-UA"/>
              </w:rPr>
            </w:pPr>
            <w:r w:rsidRPr="003C6DAE">
              <w:rPr>
                <w:sz w:val="20"/>
                <w:szCs w:val="20"/>
                <w:lang w:val="uk-UA"/>
              </w:rPr>
              <w:t>20.</w:t>
            </w:r>
            <w:r w:rsidRPr="003C6DAE">
              <w:rPr>
                <w:spacing w:val="40"/>
                <w:sz w:val="20"/>
                <w:szCs w:val="20"/>
                <w:lang w:val="uk-UA"/>
              </w:rPr>
              <w:t xml:space="preserve"> </w:t>
            </w:r>
            <w:r w:rsidR="00FC09A9" w:rsidRPr="003C6DAE">
              <w:rPr>
                <w:sz w:val="20"/>
                <w:szCs w:val="20"/>
                <w:lang w:val="uk-UA"/>
              </w:rPr>
              <w:t xml:space="preserve">Для перевірки наявності ТБ-інфекції можна використовувати або туберкулінову </w:t>
            </w:r>
            <w:r w:rsidR="000676B8">
              <w:rPr>
                <w:sz w:val="20"/>
                <w:szCs w:val="20"/>
                <w:lang w:val="uk-UA"/>
              </w:rPr>
              <w:t xml:space="preserve">шкірну </w:t>
            </w:r>
            <w:r w:rsidR="00FC09A9" w:rsidRPr="003C6DAE">
              <w:rPr>
                <w:sz w:val="20"/>
                <w:szCs w:val="20"/>
                <w:lang w:val="uk-UA"/>
              </w:rPr>
              <w:t>пробу</w:t>
            </w:r>
            <w:r w:rsidR="00914FB4">
              <w:rPr>
                <w:sz w:val="20"/>
                <w:szCs w:val="20"/>
                <w:lang w:val="uk-UA"/>
              </w:rPr>
              <w:t xml:space="preserve"> (</w:t>
            </w:r>
            <w:r w:rsidR="00D45FA2">
              <w:rPr>
                <w:sz w:val="20"/>
                <w:szCs w:val="20"/>
                <w:lang w:val="uk-UA"/>
              </w:rPr>
              <w:t>ТШП</w:t>
            </w:r>
            <w:r w:rsidR="00914FB4">
              <w:rPr>
                <w:sz w:val="20"/>
                <w:szCs w:val="20"/>
                <w:lang w:val="uk-UA"/>
              </w:rPr>
              <w:t>)</w:t>
            </w:r>
            <w:r w:rsidR="00FC09A9" w:rsidRPr="003C6DAE">
              <w:rPr>
                <w:sz w:val="20"/>
                <w:szCs w:val="20"/>
                <w:lang w:val="uk-UA"/>
              </w:rPr>
              <w:t xml:space="preserve"> чи аналіз </w:t>
            </w:r>
            <w:r w:rsidR="000676B8">
              <w:rPr>
                <w:sz w:val="20"/>
                <w:szCs w:val="20"/>
                <w:lang w:val="uk-UA"/>
              </w:rPr>
              <w:t xml:space="preserve">на </w:t>
            </w:r>
            <w:r w:rsidR="00FC09A9" w:rsidRPr="003C6DAE">
              <w:rPr>
                <w:sz w:val="20"/>
                <w:szCs w:val="20"/>
                <w:lang w:val="uk-UA"/>
              </w:rPr>
              <w:t>вивільнення гамма-інтерферону</w:t>
            </w:r>
            <w:r w:rsidR="00914FB4">
              <w:rPr>
                <w:sz w:val="20"/>
                <w:szCs w:val="20"/>
                <w:lang w:val="uk-UA"/>
              </w:rPr>
              <w:t xml:space="preserve"> (АВГІ)</w:t>
            </w:r>
            <w:r w:rsidR="00FC09A9" w:rsidRPr="003C6DAE">
              <w:rPr>
                <w:sz w:val="20"/>
                <w:szCs w:val="20"/>
                <w:lang w:val="uk-UA"/>
              </w:rPr>
              <w:t>.</w:t>
            </w:r>
          </w:p>
          <w:p w14:paraId="180A6C67" w14:textId="6AA722FA" w:rsidR="00E05B98" w:rsidRPr="003C6DAE" w:rsidRDefault="00B01E0C" w:rsidP="00E742CC">
            <w:pPr>
              <w:pStyle w:val="TableParagraph"/>
              <w:spacing w:before="83" w:line="233" w:lineRule="auto"/>
              <w:ind w:left="510"/>
              <w:jc w:val="both"/>
              <w:rPr>
                <w:rFonts w:ascii="Arial"/>
                <w:i/>
                <w:sz w:val="20"/>
                <w:szCs w:val="20"/>
                <w:lang w:val="uk-UA"/>
              </w:rPr>
            </w:pPr>
            <w:r w:rsidRPr="003C6DAE">
              <w:rPr>
                <w:rFonts w:ascii="Arial"/>
                <w:i/>
                <w:sz w:val="20"/>
                <w:szCs w:val="20"/>
                <w:lang w:val="uk-UA"/>
              </w:rPr>
              <w:t>(</w:t>
            </w:r>
            <w:r w:rsidR="00CA43FC" w:rsidRPr="003C6DAE">
              <w:rPr>
                <w:rFonts w:ascii="Arial"/>
                <w:i/>
                <w:sz w:val="20"/>
                <w:szCs w:val="20"/>
                <w:lang w:val="uk-UA"/>
              </w:rPr>
              <w:t>Настійна</w:t>
            </w:r>
            <w:r w:rsidR="00CA43FC" w:rsidRPr="003C6DAE">
              <w:rPr>
                <w:rFonts w:ascii="Arial"/>
                <w:i/>
                <w:sz w:val="20"/>
                <w:szCs w:val="20"/>
                <w:lang w:val="uk-UA"/>
              </w:rPr>
              <w:t xml:space="preserve"> </w:t>
            </w:r>
            <w:r w:rsidR="00CA43FC" w:rsidRPr="003C6DAE">
              <w:rPr>
                <w:rFonts w:ascii="Arial"/>
                <w:i/>
                <w:sz w:val="20"/>
                <w:szCs w:val="20"/>
                <w:lang w:val="uk-UA"/>
              </w:rPr>
              <w:t>рекомендація</w:t>
            </w:r>
            <w:r w:rsidR="00CA43FC" w:rsidRPr="003C6DAE">
              <w:rPr>
                <w:rFonts w:ascii="Arial"/>
                <w:i/>
                <w:sz w:val="20"/>
                <w:szCs w:val="20"/>
                <w:lang w:val="uk-UA"/>
              </w:rPr>
              <w:t xml:space="preserve">, </w:t>
            </w:r>
            <w:r w:rsidR="00CA43FC" w:rsidRPr="003C6DAE">
              <w:rPr>
                <w:rFonts w:ascii="Arial"/>
                <w:i/>
                <w:sz w:val="20"/>
                <w:szCs w:val="20"/>
                <w:lang w:val="uk-UA"/>
              </w:rPr>
              <w:t>дуже</w:t>
            </w:r>
            <w:r w:rsidR="00CA43FC" w:rsidRPr="003C6DAE">
              <w:rPr>
                <w:rFonts w:ascii="Arial"/>
                <w:i/>
                <w:sz w:val="20"/>
                <w:szCs w:val="20"/>
                <w:lang w:val="uk-UA"/>
              </w:rPr>
              <w:t xml:space="preserve"> </w:t>
            </w:r>
            <w:r w:rsidR="00CA43FC" w:rsidRPr="003C6DAE">
              <w:rPr>
                <w:rFonts w:ascii="Arial"/>
                <w:i/>
                <w:sz w:val="20"/>
                <w:szCs w:val="20"/>
                <w:lang w:val="uk-UA"/>
              </w:rPr>
              <w:t>низький</w:t>
            </w:r>
            <w:r w:rsidR="00CA43FC" w:rsidRPr="003C6DAE">
              <w:rPr>
                <w:rFonts w:ascii="Arial"/>
                <w:i/>
                <w:sz w:val="20"/>
                <w:szCs w:val="20"/>
                <w:lang w:val="uk-UA"/>
              </w:rPr>
              <w:t xml:space="preserve"> </w:t>
            </w:r>
            <w:r w:rsidR="00CA43FC" w:rsidRPr="003C6DAE">
              <w:rPr>
                <w:rFonts w:ascii="Arial"/>
                <w:i/>
                <w:sz w:val="20"/>
                <w:szCs w:val="20"/>
                <w:lang w:val="uk-UA"/>
              </w:rPr>
              <w:t>ступінь</w:t>
            </w:r>
            <w:r w:rsidR="00CA43FC" w:rsidRPr="003C6DAE">
              <w:rPr>
                <w:rFonts w:ascii="Arial"/>
                <w:i/>
                <w:sz w:val="20"/>
                <w:szCs w:val="20"/>
                <w:lang w:val="uk-UA"/>
              </w:rPr>
              <w:t xml:space="preserve"> </w:t>
            </w:r>
            <w:r w:rsidR="00CA43FC" w:rsidRPr="003C6DAE">
              <w:rPr>
                <w:rFonts w:ascii="Arial"/>
                <w:i/>
                <w:sz w:val="20"/>
                <w:szCs w:val="20"/>
                <w:lang w:val="uk-UA"/>
              </w:rPr>
              <w:t>достовірності</w:t>
            </w:r>
            <w:r w:rsidR="00CA43FC" w:rsidRPr="003C6DAE">
              <w:rPr>
                <w:rFonts w:ascii="Arial"/>
                <w:i/>
                <w:sz w:val="20"/>
                <w:szCs w:val="20"/>
                <w:lang w:val="uk-UA"/>
              </w:rPr>
              <w:t xml:space="preserve"> </w:t>
            </w:r>
            <w:r w:rsidR="00CA43FC" w:rsidRPr="003C6DAE">
              <w:rPr>
                <w:rFonts w:ascii="Arial"/>
                <w:i/>
                <w:sz w:val="20"/>
                <w:szCs w:val="20"/>
                <w:lang w:val="uk-UA"/>
              </w:rPr>
              <w:t>доказів</w:t>
            </w:r>
            <w:r w:rsidR="00CA43FC" w:rsidRPr="003C6DAE">
              <w:rPr>
                <w:rFonts w:ascii="Arial"/>
                <w:i/>
                <w:sz w:val="20"/>
                <w:szCs w:val="20"/>
                <w:lang w:val="uk-UA"/>
              </w:rPr>
              <w:t xml:space="preserve"> </w:t>
            </w:r>
            <w:r w:rsidR="00CA43FC" w:rsidRPr="003C6DAE">
              <w:rPr>
                <w:rFonts w:ascii="Arial"/>
                <w:i/>
                <w:sz w:val="20"/>
                <w:szCs w:val="20"/>
                <w:lang w:val="uk-UA"/>
              </w:rPr>
              <w:t>точності</w:t>
            </w:r>
            <w:r w:rsidR="00CA43FC" w:rsidRPr="003C6DAE">
              <w:rPr>
                <w:rFonts w:ascii="Arial"/>
                <w:i/>
                <w:sz w:val="20"/>
                <w:szCs w:val="20"/>
                <w:lang w:val="uk-UA"/>
              </w:rPr>
              <w:t xml:space="preserve"> </w:t>
            </w:r>
            <w:r w:rsidR="00CA43FC" w:rsidRPr="003C6DAE">
              <w:rPr>
                <w:rFonts w:ascii="Arial"/>
                <w:i/>
                <w:sz w:val="20"/>
                <w:szCs w:val="20"/>
                <w:lang w:val="uk-UA"/>
              </w:rPr>
              <w:t>тесту</w:t>
            </w:r>
            <w:r w:rsidRPr="003C6DAE">
              <w:rPr>
                <w:rFonts w:ascii="Arial"/>
                <w:i/>
                <w:spacing w:val="-2"/>
                <w:sz w:val="20"/>
                <w:szCs w:val="20"/>
                <w:lang w:val="uk-UA"/>
              </w:rPr>
              <w:t>)</w:t>
            </w:r>
          </w:p>
        </w:tc>
      </w:tr>
      <w:tr w:rsidR="00E05B98" w:rsidRPr="003C6DAE" w14:paraId="330DC21A" w14:textId="77777777" w:rsidTr="00F91AD3">
        <w:trPr>
          <w:trHeight w:val="1682"/>
        </w:trPr>
        <w:tc>
          <w:tcPr>
            <w:tcW w:w="9349" w:type="dxa"/>
            <w:tcBorders>
              <w:top w:val="single" w:sz="6" w:space="0" w:color="019648"/>
              <w:bottom w:val="single" w:sz="6" w:space="0" w:color="019648"/>
            </w:tcBorders>
          </w:tcPr>
          <w:p w14:paraId="476128BC" w14:textId="77777777" w:rsidR="00E05B98" w:rsidRPr="003C6DAE" w:rsidRDefault="00E05B98" w:rsidP="00E742CC">
            <w:pPr>
              <w:pStyle w:val="TableParagraph"/>
              <w:spacing w:before="0" w:line="233" w:lineRule="auto"/>
              <w:ind w:left="0"/>
              <w:rPr>
                <w:sz w:val="20"/>
                <w:szCs w:val="20"/>
                <w:lang w:val="uk-UA"/>
              </w:rPr>
            </w:pPr>
          </w:p>
          <w:p w14:paraId="75648990" w14:textId="0A400F99" w:rsidR="00E05B98" w:rsidRPr="003C6DAE" w:rsidRDefault="00B01E0C" w:rsidP="00F91AD3">
            <w:pPr>
              <w:pStyle w:val="TableParagraph"/>
              <w:spacing w:before="0" w:line="233" w:lineRule="auto"/>
              <w:ind w:left="510" w:right="-3" w:hanging="397"/>
              <w:jc w:val="both"/>
              <w:rPr>
                <w:sz w:val="20"/>
                <w:szCs w:val="20"/>
                <w:lang w:val="uk-UA"/>
              </w:rPr>
            </w:pPr>
            <w:r w:rsidRPr="003C6DAE">
              <w:rPr>
                <w:sz w:val="20"/>
                <w:szCs w:val="20"/>
                <w:lang w:val="uk-UA"/>
              </w:rPr>
              <w:t>21.</w:t>
            </w:r>
            <w:r w:rsidRPr="003C6DAE">
              <w:rPr>
                <w:spacing w:val="35"/>
                <w:sz w:val="20"/>
                <w:szCs w:val="20"/>
                <w:lang w:val="uk-UA"/>
              </w:rPr>
              <w:t xml:space="preserve"> </w:t>
            </w:r>
            <w:r w:rsidR="00FC09A9" w:rsidRPr="003C6DAE">
              <w:rPr>
                <w:sz w:val="20"/>
                <w:szCs w:val="20"/>
                <w:lang w:val="uk-UA"/>
              </w:rPr>
              <w:t xml:space="preserve">Аналіз </w:t>
            </w:r>
            <w:r w:rsidR="000676B8">
              <w:rPr>
                <w:sz w:val="20"/>
                <w:szCs w:val="20"/>
                <w:lang w:val="uk-UA"/>
              </w:rPr>
              <w:t xml:space="preserve">на </w:t>
            </w:r>
            <w:r w:rsidR="00FC09A9" w:rsidRPr="003C6DAE">
              <w:rPr>
                <w:sz w:val="20"/>
                <w:szCs w:val="20"/>
                <w:lang w:val="uk-UA"/>
              </w:rPr>
              <w:t>вивільнення гамма-інтерферону (</w:t>
            </w:r>
            <w:r w:rsidR="00914FB4">
              <w:rPr>
                <w:sz w:val="20"/>
                <w:szCs w:val="20"/>
                <w:lang w:val="uk-UA"/>
              </w:rPr>
              <w:t>АВГІ</w:t>
            </w:r>
            <w:r w:rsidR="00FC09A9" w:rsidRPr="003C6DAE">
              <w:rPr>
                <w:sz w:val="20"/>
                <w:szCs w:val="20"/>
                <w:lang w:val="uk-UA"/>
              </w:rPr>
              <w:t xml:space="preserve">) </w:t>
            </w:r>
            <w:r w:rsidR="000676B8">
              <w:rPr>
                <w:sz w:val="20"/>
                <w:szCs w:val="20"/>
                <w:lang w:val="uk-UA"/>
              </w:rPr>
              <w:t>і</w:t>
            </w:r>
            <w:r w:rsidR="00FC09A9" w:rsidRPr="003C6DAE">
              <w:rPr>
                <w:sz w:val="20"/>
                <w:szCs w:val="20"/>
                <w:lang w:val="uk-UA"/>
              </w:rPr>
              <w:t xml:space="preserve"> туберкулінові </w:t>
            </w:r>
            <w:r w:rsidR="000676B8">
              <w:rPr>
                <w:sz w:val="20"/>
                <w:szCs w:val="20"/>
                <w:lang w:val="uk-UA"/>
              </w:rPr>
              <w:t xml:space="preserve">шкірні </w:t>
            </w:r>
            <w:r w:rsidR="00FC09A9" w:rsidRPr="003C6DAE">
              <w:rPr>
                <w:sz w:val="20"/>
                <w:szCs w:val="20"/>
                <w:lang w:val="uk-UA"/>
              </w:rPr>
              <w:t>проби (</w:t>
            </w:r>
            <w:r w:rsidR="00D45FA2">
              <w:rPr>
                <w:sz w:val="20"/>
                <w:szCs w:val="20"/>
                <w:lang w:val="uk-UA"/>
              </w:rPr>
              <w:t>ТШП</w:t>
            </w:r>
            <w:r w:rsidR="00FC09A9" w:rsidRPr="003C6DAE">
              <w:rPr>
                <w:sz w:val="20"/>
                <w:szCs w:val="20"/>
                <w:lang w:val="uk-UA"/>
              </w:rPr>
              <w:t xml:space="preserve">) не слід використовувати в країнах з низьким та середнім рівнем доходу для діагностики легеневого </w:t>
            </w:r>
            <w:r w:rsidR="00914FB4">
              <w:rPr>
                <w:sz w:val="20"/>
                <w:szCs w:val="20"/>
                <w:lang w:val="uk-UA"/>
              </w:rPr>
              <w:t>чи</w:t>
            </w:r>
            <w:r w:rsidR="00FC09A9" w:rsidRPr="003C6DAE">
              <w:rPr>
                <w:sz w:val="20"/>
                <w:szCs w:val="20"/>
                <w:lang w:val="uk-UA"/>
              </w:rPr>
              <w:t xml:space="preserve"> позалегеневого ТБ</w:t>
            </w:r>
            <w:r w:rsidR="00914FB4">
              <w:rPr>
                <w:sz w:val="20"/>
                <w:szCs w:val="20"/>
                <w:lang w:val="uk-UA"/>
              </w:rPr>
              <w:t>,</w:t>
            </w:r>
            <w:r w:rsidR="00FC09A9" w:rsidRPr="003C6DAE">
              <w:rPr>
                <w:sz w:val="20"/>
                <w:szCs w:val="20"/>
                <w:lang w:val="uk-UA"/>
              </w:rPr>
              <w:t xml:space="preserve"> або для діагностичного обстеження дорослих (включаючи людей, які живуть з ВІЛ) з підозрою на активну форму ТБ.</w:t>
            </w:r>
          </w:p>
          <w:p w14:paraId="2CFE4E47" w14:textId="0D0E3EDC" w:rsidR="00E05B98" w:rsidRPr="003C6DAE" w:rsidRDefault="00B01E0C" w:rsidP="00F91AD3">
            <w:pPr>
              <w:pStyle w:val="TableParagraph"/>
              <w:spacing w:before="85" w:line="233" w:lineRule="auto"/>
              <w:ind w:left="510"/>
              <w:jc w:val="both"/>
              <w:rPr>
                <w:rFonts w:ascii="Arial"/>
                <w:i/>
                <w:sz w:val="20"/>
                <w:szCs w:val="20"/>
                <w:lang w:val="uk-UA"/>
              </w:rPr>
            </w:pPr>
            <w:r w:rsidRPr="003C6DAE">
              <w:rPr>
                <w:rFonts w:ascii="Arial"/>
                <w:i/>
                <w:spacing w:val="-2"/>
                <w:sz w:val="20"/>
                <w:szCs w:val="20"/>
                <w:lang w:val="uk-UA"/>
              </w:rPr>
              <w:t>(</w:t>
            </w:r>
            <w:r w:rsidR="00CA43FC" w:rsidRPr="003C6DAE">
              <w:rPr>
                <w:rFonts w:ascii="Arial"/>
                <w:i/>
                <w:spacing w:val="-2"/>
                <w:sz w:val="20"/>
                <w:szCs w:val="20"/>
                <w:lang w:val="uk-UA"/>
              </w:rPr>
              <w:t>Настійна</w:t>
            </w:r>
            <w:r w:rsidR="00CA43FC" w:rsidRPr="003C6DAE">
              <w:rPr>
                <w:rFonts w:ascii="Arial"/>
                <w:i/>
                <w:spacing w:val="-2"/>
                <w:sz w:val="20"/>
                <w:szCs w:val="20"/>
                <w:lang w:val="uk-UA"/>
              </w:rPr>
              <w:t xml:space="preserve"> </w:t>
            </w:r>
            <w:r w:rsidR="00CA43FC" w:rsidRPr="003C6DAE">
              <w:rPr>
                <w:rFonts w:ascii="Arial"/>
                <w:i/>
                <w:spacing w:val="-2"/>
                <w:sz w:val="20"/>
                <w:szCs w:val="20"/>
                <w:lang w:val="uk-UA"/>
              </w:rPr>
              <w:t>рекомендація</w:t>
            </w:r>
            <w:r w:rsidRPr="003C6DAE">
              <w:rPr>
                <w:rFonts w:ascii="Arial"/>
                <w:i/>
                <w:spacing w:val="-2"/>
                <w:sz w:val="20"/>
                <w:szCs w:val="20"/>
                <w:lang w:val="uk-UA"/>
              </w:rPr>
              <w:t>)</w:t>
            </w:r>
          </w:p>
        </w:tc>
      </w:tr>
    </w:tbl>
    <w:p w14:paraId="31DC1DC9" w14:textId="77777777" w:rsidR="00E05B98" w:rsidRPr="003C6DAE" w:rsidRDefault="00E05B98">
      <w:pPr>
        <w:pStyle w:val="a3"/>
        <w:spacing w:before="63"/>
        <w:rPr>
          <w:sz w:val="16"/>
          <w:lang w:val="uk-UA"/>
        </w:rPr>
      </w:pPr>
    </w:p>
    <w:p w14:paraId="646F86A7" w14:textId="651BE08C" w:rsidR="00E05B98" w:rsidRPr="003C6DAE" w:rsidRDefault="009B5E1D">
      <w:pPr>
        <w:spacing w:before="1" w:line="288" w:lineRule="auto"/>
        <w:ind w:left="567" w:right="139"/>
        <w:jc w:val="both"/>
        <w:rPr>
          <w:sz w:val="16"/>
          <w:lang w:val="uk-UA"/>
        </w:rPr>
      </w:pPr>
      <w:r w:rsidRPr="003C6DAE">
        <w:rPr>
          <w:noProof/>
          <w:sz w:val="16"/>
          <w:lang w:val="uk-UA"/>
        </w:rPr>
        <mc:AlternateContent>
          <mc:Choice Requires="wps">
            <w:drawing>
              <wp:anchor distT="0" distB="0" distL="114300" distR="114300" simplePos="0" relativeHeight="488084992" behindDoc="0" locked="0" layoutInCell="1" allowOverlap="1" wp14:anchorId="7D8B562C" wp14:editId="76D65268">
                <wp:simplePos x="0" y="0"/>
                <wp:positionH relativeFrom="column">
                  <wp:posOffset>184150</wp:posOffset>
                </wp:positionH>
                <wp:positionV relativeFrom="paragraph">
                  <wp:posOffset>2052320</wp:posOffset>
                </wp:positionV>
                <wp:extent cx="6521450" cy="393700"/>
                <wp:effectExtent l="0" t="0" r="0" b="6350"/>
                <wp:wrapNone/>
                <wp:docPr id="964709503" name="Поле 2310"/>
                <wp:cNvGraphicFramePr/>
                <a:graphic xmlns:a="http://schemas.openxmlformats.org/drawingml/2006/main">
                  <a:graphicData uri="http://schemas.microsoft.com/office/word/2010/wordprocessingShape">
                    <wps:wsp>
                      <wps:cNvSpPr txBox="1"/>
                      <wps:spPr>
                        <a:xfrm>
                          <a:off x="0" y="0"/>
                          <a:ext cx="6521450" cy="393700"/>
                        </a:xfrm>
                        <a:prstGeom prst="rect">
                          <a:avLst/>
                        </a:prstGeom>
                        <a:solidFill>
                          <a:schemeClr val="lt1"/>
                        </a:solidFill>
                        <a:ln w="6350">
                          <a:noFill/>
                        </a:ln>
                      </wps:spPr>
                      <wps:txbx>
                        <w:txbxContent>
                          <w:p w14:paraId="04F947F6" w14:textId="7634616C" w:rsidR="007372B2" w:rsidRPr="009B5E1D" w:rsidRDefault="007372B2">
                            <w:pPr>
                              <w:rPr>
                                <w:lang w:val="uk-UA"/>
                              </w:rPr>
                            </w:pPr>
                            <w:r>
                              <w:rPr>
                                <w:color w:val="019648"/>
                                <w:sz w:val="16"/>
                              </w:rPr>
                              <w:t>xiv</w:t>
                            </w:r>
                            <w:r w:rsidRPr="009B5E1D">
                              <w:rPr>
                                <w:color w:val="019648"/>
                                <w:sz w:val="16"/>
                                <w:lang w:val="ru-RU"/>
                              </w:rPr>
                              <w:t xml:space="preserve">         </w:t>
                            </w: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562C" id="Поле 2310" o:spid="_x0000_s1072" type="#_x0000_t202" style="position:absolute;left:0;text-align:left;margin-left:14.5pt;margin-top:161.6pt;width:513.5pt;height:31pt;z-index:4880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" fillcolor="white [3201]" stroked="f" strokeweight=".5pt">
                <v:textbox>
                  <w:txbxContent>
                    <w:p w14:paraId="04F947F6" w14:textId="7634616C" w:rsidR="007372B2" w:rsidRPr="009B5E1D" w:rsidRDefault="007372B2">
                      <w:pPr>
                        <w:rPr>
                          <w:lang w:val="uk-UA"/>
                        </w:rPr>
                      </w:pPr>
                      <w:r>
                        <w:rPr>
                          <w:color w:val="019648"/>
                          <w:sz w:val="16"/>
                        </w:rPr>
                        <w:t>xiv</w:t>
                      </w:r>
                      <w:r w:rsidRPr="009B5E1D">
                        <w:rPr>
                          <w:color w:val="019648"/>
                          <w:sz w:val="16"/>
                          <w:lang w:val="ru-RU"/>
                        </w:rPr>
                        <w:t xml:space="preserve">         </w:t>
                      </w: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txbxContent>
                </v:textbox>
              </v:shape>
            </w:pict>
          </mc:Fallback>
        </mc:AlternateContent>
      </w:r>
      <w:r w:rsidR="00750549" w:rsidRPr="003C6DAE">
        <w:rPr>
          <w:sz w:val="16"/>
          <w:lang w:val="uk-UA"/>
        </w:rPr>
        <w:t xml:space="preserve">ДНК: дезоксирибонуклеїнова кислота; ТМЧ: тест на медикаментозну чутливість; ВІЛ: вірус імунодефіциту людини; </w:t>
      </w:r>
      <w:r w:rsidR="002825D5">
        <w:rPr>
          <w:sz w:val="16"/>
        </w:rPr>
        <w:t>LF</w:t>
      </w:r>
      <w:r w:rsidR="002825D5" w:rsidRPr="002825D5">
        <w:rPr>
          <w:sz w:val="16"/>
          <w:lang w:val="uk-UA"/>
        </w:rPr>
        <w:t>-</w:t>
      </w:r>
      <w:r w:rsidR="002825D5">
        <w:rPr>
          <w:sz w:val="16"/>
        </w:rPr>
        <w:t>LAM</w:t>
      </w:r>
      <w:r w:rsidR="00750549" w:rsidRPr="003C6DAE">
        <w:rPr>
          <w:sz w:val="16"/>
          <w:lang w:val="uk-UA"/>
        </w:rPr>
        <w:t xml:space="preserve">: ліпоарабіноманнановий тест бокового зсуву </w:t>
      </w:r>
      <w:r w:rsidR="00914FB4">
        <w:rPr>
          <w:sz w:val="16"/>
          <w:lang w:val="uk-UA"/>
        </w:rPr>
        <w:t>на зразках</w:t>
      </w:r>
      <w:r w:rsidR="00750549" w:rsidRPr="003C6DAE">
        <w:rPr>
          <w:sz w:val="16"/>
          <w:lang w:val="uk-UA"/>
        </w:rPr>
        <w:t xml:space="preserve"> сечі; LPA: лінійний зонд-аналіз; М</w:t>
      </w:r>
      <w:r w:rsidR="00914FB4">
        <w:rPr>
          <w:sz w:val="16"/>
          <w:lang w:val="uk-UA"/>
        </w:rPr>
        <w:t>ЛС</w:t>
      </w:r>
      <w:r w:rsidR="00750549" w:rsidRPr="003C6DAE">
        <w:rPr>
          <w:sz w:val="16"/>
          <w:lang w:val="uk-UA"/>
        </w:rPr>
        <w:t xml:space="preserve">/Риф-ТБ: ТБ </w:t>
      </w:r>
      <w:r w:rsidR="00914FB4">
        <w:rPr>
          <w:sz w:val="16"/>
          <w:lang w:val="uk-UA"/>
        </w:rPr>
        <w:t xml:space="preserve">із множинною лікарською стійкістю чи </w:t>
      </w:r>
      <w:r w:rsidR="00750549" w:rsidRPr="003C6DAE">
        <w:rPr>
          <w:sz w:val="16"/>
          <w:lang w:val="uk-UA"/>
        </w:rPr>
        <w:t>стійк</w:t>
      </w:r>
      <w:r w:rsidR="002825D5">
        <w:rPr>
          <w:sz w:val="16"/>
          <w:lang w:val="uk-UA"/>
        </w:rPr>
        <w:t xml:space="preserve">ий </w:t>
      </w:r>
      <w:r w:rsidR="00750549" w:rsidRPr="003C6DAE">
        <w:rPr>
          <w:sz w:val="16"/>
          <w:lang w:val="uk-UA"/>
        </w:rPr>
        <w:t>до рифампіцину</w:t>
      </w:r>
      <w:r w:rsidR="002825D5">
        <w:rPr>
          <w:sz w:val="16"/>
          <w:lang w:val="uk-UA"/>
        </w:rPr>
        <w:t xml:space="preserve"> ТБ</w:t>
      </w:r>
      <w:r w:rsidR="00750549" w:rsidRPr="003C6DAE">
        <w:rPr>
          <w:sz w:val="16"/>
          <w:lang w:val="uk-UA"/>
        </w:rPr>
        <w:t xml:space="preserve">; Mtb: мікобактерія туберкульозу; МБТК: </w:t>
      </w:r>
      <w:r w:rsidR="00914FB4">
        <w:rPr>
          <w:sz w:val="16"/>
          <w:lang w:val="uk-UA"/>
        </w:rPr>
        <w:t xml:space="preserve">мікобактерії туберкульозного </w:t>
      </w:r>
      <w:r w:rsidR="00750549" w:rsidRPr="003C6DAE">
        <w:rPr>
          <w:sz w:val="16"/>
          <w:lang w:val="uk-UA"/>
        </w:rPr>
        <w:t>комплексу; ТАНК: тест ампліфікаці</w:t>
      </w:r>
      <w:r w:rsidR="002825D5">
        <w:rPr>
          <w:sz w:val="16"/>
          <w:lang w:val="uk-UA"/>
        </w:rPr>
        <w:t>ї</w:t>
      </w:r>
      <w:r w:rsidR="00750549" w:rsidRPr="003C6DAE">
        <w:rPr>
          <w:sz w:val="16"/>
          <w:lang w:val="uk-UA"/>
        </w:rPr>
        <w:t xml:space="preserve"> нуклеїнових кислот; СНП: секвенування наступного покоління; SL-LPA: лінійний зонд-аналіз для </w:t>
      </w:r>
      <w:proofErr w:type="spellStart"/>
      <w:r w:rsidR="002825D5">
        <w:rPr>
          <w:sz w:val="16"/>
          <w:lang w:val="uk-UA"/>
        </w:rPr>
        <w:t>виявленнй</w:t>
      </w:r>
      <w:proofErr w:type="spellEnd"/>
      <w:r w:rsidR="002825D5">
        <w:rPr>
          <w:sz w:val="16"/>
          <w:lang w:val="uk-UA"/>
        </w:rPr>
        <w:t xml:space="preserve"> стійкості до </w:t>
      </w:r>
      <w:r w:rsidR="00750549" w:rsidRPr="003C6DAE">
        <w:rPr>
          <w:sz w:val="16"/>
          <w:lang w:val="uk-UA"/>
        </w:rPr>
        <w:t xml:space="preserve">лікарських засобів другого ряду; SLID: ін'єкційний </w:t>
      </w:r>
      <w:r w:rsidR="00176989">
        <w:rPr>
          <w:sz w:val="16"/>
          <w:lang w:val="uk-UA"/>
        </w:rPr>
        <w:t>лікарський</w:t>
      </w:r>
      <w:r w:rsidR="00914FB4">
        <w:rPr>
          <w:sz w:val="16"/>
          <w:lang w:val="uk-UA"/>
        </w:rPr>
        <w:t xml:space="preserve"> </w:t>
      </w:r>
      <w:r w:rsidR="00750549" w:rsidRPr="003C6DAE">
        <w:rPr>
          <w:sz w:val="16"/>
          <w:lang w:val="uk-UA"/>
        </w:rPr>
        <w:t>препарат другого ряду; ТБ: туберкульоз; ВООЗ: Всесвітня організація охорони здоров'я</w:t>
      </w:r>
      <w:r w:rsidR="00B01E0C" w:rsidRPr="003C6DAE">
        <w:rPr>
          <w:sz w:val="16"/>
          <w:lang w:val="uk-UA"/>
        </w:rPr>
        <w:t>.</w:t>
      </w:r>
    </w:p>
    <w:p w14:paraId="258D9E52" w14:textId="77777777" w:rsidR="00E05B98" w:rsidRPr="003C6DAE" w:rsidRDefault="00E05B98">
      <w:pPr>
        <w:spacing w:line="288" w:lineRule="auto"/>
        <w:jc w:val="both"/>
        <w:rPr>
          <w:sz w:val="16"/>
          <w:lang w:val="uk-UA"/>
        </w:rPr>
        <w:sectPr w:rsidR="00E05B98" w:rsidRPr="003C6DAE">
          <w:type w:val="continuous"/>
          <w:pgSz w:w="11910" w:h="16840"/>
          <w:pgMar w:top="1380" w:right="1275" w:bottom="760" w:left="850" w:header="0" w:footer="573" w:gutter="0"/>
          <w:cols w:space="720"/>
        </w:sectPr>
      </w:pPr>
    </w:p>
    <w:p w14:paraId="44FF679C" w14:textId="77777777" w:rsidR="00E05B98" w:rsidRPr="003C6DAE" w:rsidRDefault="00B01E0C">
      <w:pPr>
        <w:pStyle w:val="a3"/>
        <w:rPr>
          <w:sz w:val="64"/>
          <w:lang w:val="uk-UA"/>
        </w:rPr>
      </w:pPr>
      <w:r w:rsidRPr="003C6DAE">
        <w:rPr>
          <w:noProof/>
          <w:sz w:val="64"/>
          <w:lang w:val="uk-UA"/>
        </w:rPr>
        <w:lastRenderedPageBreak/>
        <w:drawing>
          <wp:anchor distT="0" distB="0" distL="0" distR="0" simplePos="0" relativeHeight="481409536" behindDoc="1" locked="0" layoutInCell="1" allowOverlap="1" wp14:anchorId="25FA9248" wp14:editId="1EDECA39">
            <wp:simplePos x="0" y="0"/>
            <wp:positionH relativeFrom="page">
              <wp:posOffset>1365</wp:posOffset>
            </wp:positionH>
            <wp:positionV relativeFrom="page">
              <wp:posOffset>0</wp:posOffset>
            </wp:positionV>
            <wp:extent cx="7558640" cy="1470902"/>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31" cstate="print"/>
                    <a:stretch>
                      <a:fillRect/>
                    </a:stretch>
                  </pic:blipFill>
                  <pic:spPr>
                    <a:xfrm>
                      <a:off x="0" y="0"/>
                      <a:ext cx="7558640" cy="1470902"/>
                    </a:xfrm>
                    <a:prstGeom prst="rect">
                      <a:avLst/>
                    </a:prstGeom>
                  </pic:spPr>
                </pic:pic>
              </a:graphicData>
            </a:graphic>
          </wp:anchor>
        </w:drawing>
      </w:r>
    </w:p>
    <w:p w14:paraId="1536B1E1" w14:textId="77777777" w:rsidR="00E05B98" w:rsidRPr="003C6DAE" w:rsidRDefault="00E05B98">
      <w:pPr>
        <w:pStyle w:val="a3"/>
        <w:rPr>
          <w:sz w:val="64"/>
          <w:lang w:val="uk-UA"/>
        </w:rPr>
      </w:pPr>
    </w:p>
    <w:p w14:paraId="6E52AEEC" w14:textId="77777777" w:rsidR="00E05B98" w:rsidRPr="003C6DAE" w:rsidRDefault="00E05B98">
      <w:pPr>
        <w:pStyle w:val="a3"/>
        <w:spacing w:before="47"/>
        <w:rPr>
          <w:sz w:val="64"/>
          <w:lang w:val="uk-UA"/>
        </w:rPr>
      </w:pPr>
    </w:p>
    <w:p w14:paraId="750D77B0" w14:textId="4F9FD819" w:rsidR="00E05B98" w:rsidRPr="003C6DAE" w:rsidRDefault="00750549" w:rsidP="004A2937">
      <w:pPr>
        <w:pStyle w:val="1"/>
        <w:numPr>
          <w:ilvl w:val="0"/>
          <w:numId w:val="31"/>
        </w:numPr>
        <w:tabs>
          <w:tab w:val="left" w:pos="1201"/>
        </w:tabs>
        <w:ind w:left="1201" w:hanging="634"/>
        <w:rPr>
          <w:lang w:val="uk-UA"/>
        </w:rPr>
      </w:pPr>
      <w:bookmarkStart w:id="11" w:name="1._Introduction"/>
      <w:bookmarkStart w:id="12" w:name="1.1._Background"/>
      <w:bookmarkStart w:id="13" w:name="_bookmark5"/>
      <w:bookmarkEnd w:id="11"/>
      <w:bookmarkEnd w:id="12"/>
      <w:bookmarkEnd w:id="13"/>
      <w:r w:rsidRPr="003C6DAE">
        <w:rPr>
          <w:color w:val="019648"/>
          <w:spacing w:val="-2"/>
          <w:w w:val="110"/>
          <w:lang w:val="uk-UA"/>
        </w:rPr>
        <w:t>Вступ</w:t>
      </w:r>
    </w:p>
    <w:p w14:paraId="20B580C4" w14:textId="77777777" w:rsidR="00E05B98" w:rsidRPr="003C6DAE" w:rsidRDefault="00E05B98">
      <w:pPr>
        <w:pStyle w:val="a3"/>
        <w:spacing w:before="154"/>
        <w:rPr>
          <w:sz w:val="32"/>
          <w:szCs w:val="32"/>
          <w:lang w:val="uk-UA"/>
        </w:rPr>
      </w:pPr>
    </w:p>
    <w:p w14:paraId="6E19B358" w14:textId="09D71C38" w:rsidR="00E05B98" w:rsidRPr="003C6DAE" w:rsidRDefault="004645F6" w:rsidP="004A2937">
      <w:pPr>
        <w:pStyle w:val="3"/>
        <w:numPr>
          <w:ilvl w:val="1"/>
          <w:numId w:val="31"/>
        </w:numPr>
        <w:tabs>
          <w:tab w:val="left" w:pos="1229"/>
        </w:tabs>
        <w:ind w:left="1229" w:hanging="662"/>
        <w:rPr>
          <w:color w:val="019648"/>
          <w:lang w:val="uk-UA"/>
        </w:rPr>
      </w:pPr>
      <w:r>
        <w:rPr>
          <w:color w:val="019648"/>
          <w:spacing w:val="-2"/>
          <w:w w:val="105"/>
          <w:lang w:val="uk-UA"/>
        </w:rPr>
        <w:t>Передумови</w:t>
      </w:r>
    </w:p>
    <w:p w14:paraId="6B02367F" w14:textId="14758AB7" w:rsidR="00E05B98" w:rsidRPr="003C6DAE" w:rsidRDefault="000548D2" w:rsidP="000548D2">
      <w:pPr>
        <w:pStyle w:val="a3"/>
        <w:spacing w:before="194" w:line="269" w:lineRule="auto"/>
        <w:ind w:left="567" w:right="137"/>
        <w:jc w:val="both"/>
        <w:rPr>
          <w:sz w:val="20"/>
          <w:szCs w:val="20"/>
          <w:lang w:val="uk-UA"/>
        </w:rPr>
      </w:pPr>
      <w:r w:rsidRPr="003C6DAE">
        <w:rPr>
          <w:sz w:val="20"/>
          <w:szCs w:val="20"/>
          <w:lang w:val="uk-UA"/>
        </w:rPr>
        <w:t>За оцінками, близько чверті населення світу інфіковані мікобактерією туберкульозу (</w:t>
      </w:r>
      <w:r w:rsidRPr="00914FB4">
        <w:rPr>
          <w:i/>
          <w:iCs/>
          <w:sz w:val="20"/>
          <w:szCs w:val="20"/>
          <w:lang w:val="uk-UA"/>
        </w:rPr>
        <w:t>Mtb</w:t>
      </w:r>
      <w:r w:rsidRPr="003C6DAE">
        <w:rPr>
          <w:sz w:val="20"/>
          <w:szCs w:val="20"/>
          <w:lang w:val="uk-UA"/>
        </w:rPr>
        <w:t xml:space="preserve">) - бактерією, що викликає захворювання на туберкульоз (ТБ). </w:t>
      </w:r>
      <w:r w:rsidR="00914FB4">
        <w:rPr>
          <w:sz w:val="20"/>
          <w:szCs w:val="20"/>
          <w:lang w:val="uk-UA"/>
        </w:rPr>
        <w:t>При проведенні тесту</w:t>
      </w:r>
      <w:r w:rsidRPr="003C6DAE">
        <w:rPr>
          <w:sz w:val="20"/>
          <w:szCs w:val="20"/>
          <w:lang w:val="uk-UA"/>
        </w:rPr>
        <w:t xml:space="preserve"> на </w:t>
      </w:r>
      <w:r w:rsidR="00176989">
        <w:rPr>
          <w:sz w:val="20"/>
          <w:szCs w:val="20"/>
          <w:lang w:val="uk-UA"/>
        </w:rPr>
        <w:t>інфікування</w:t>
      </w:r>
      <w:r w:rsidR="00914FB4">
        <w:rPr>
          <w:sz w:val="20"/>
          <w:szCs w:val="20"/>
          <w:lang w:val="uk-UA"/>
        </w:rPr>
        <w:t xml:space="preserve"> </w:t>
      </w:r>
      <w:r w:rsidRPr="003C6DAE">
        <w:rPr>
          <w:sz w:val="20"/>
          <w:szCs w:val="20"/>
          <w:lang w:val="uk-UA"/>
        </w:rPr>
        <w:t>ТБ може виявити людей, які отримають найбільшу користь від профілактичного лікування туберкульозу (ПЛТ). За оцінками, без ПЛТ приблизно у 5-10% інфікованих людей протягом життя розвинеться ТБ, зазвичай протягом 5 років після первинного інфікування.</w:t>
      </w:r>
      <w:r w:rsidR="00B01E0C" w:rsidRPr="003C6DAE">
        <w:rPr>
          <w:sz w:val="20"/>
          <w:szCs w:val="20"/>
          <w:lang w:val="uk-UA"/>
        </w:rPr>
        <w:t xml:space="preserve"> </w:t>
      </w:r>
      <w:r w:rsidR="00B01E0C" w:rsidRPr="003C6DAE">
        <w:rPr>
          <w:rFonts w:ascii="Arial" w:hAnsi="Arial"/>
          <w:i/>
          <w:sz w:val="20"/>
          <w:szCs w:val="20"/>
          <w:lang w:val="uk-UA"/>
        </w:rPr>
        <w:t>(1)</w:t>
      </w:r>
      <w:r w:rsidR="00B01E0C" w:rsidRPr="003C6DAE">
        <w:rPr>
          <w:sz w:val="20"/>
          <w:szCs w:val="20"/>
          <w:lang w:val="uk-UA"/>
        </w:rPr>
        <w:t>.</w:t>
      </w:r>
    </w:p>
    <w:p w14:paraId="22AD6139" w14:textId="3EB1B5D3" w:rsidR="00E05B98" w:rsidRPr="003C6DAE" w:rsidRDefault="002F0BC9" w:rsidP="00071025">
      <w:pPr>
        <w:pStyle w:val="a3"/>
        <w:spacing w:before="165" w:line="269" w:lineRule="auto"/>
        <w:ind w:left="567" w:right="139"/>
        <w:jc w:val="both"/>
        <w:rPr>
          <w:sz w:val="20"/>
          <w:szCs w:val="20"/>
          <w:lang w:val="uk-UA"/>
        </w:rPr>
      </w:pPr>
      <w:r w:rsidRPr="003C6DAE">
        <w:rPr>
          <w:sz w:val="20"/>
          <w:szCs w:val="20"/>
          <w:lang w:val="uk-UA"/>
        </w:rPr>
        <w:t xml:space="preserve">Незважаючи на доступність профілактичних заходів та лікування хвороби, туберкульоз залишається </w:t>
      </w:r>
      <w:r w:rsidR="00176989" w:rsidRPr="003C6DAE">
        <w:rPr>
          <w:sz w:val="20"/>
          <w:szCs w:val="20"/>
          <w:lang w:val="uk-UA"/>
        </w:rPr>
        <w:t>основною</w:t>
      </w:r>
      <w:r w:rsidRPr="003C6DAE">
        <w:rPr>
          <w:sz w:val="20"/>
          <w:szCs w:val="20"/>
          <w:lang w:val="uk-UA"/>
        </w:rPr>
        <w:t xml:space="preserve"> причиною смерті від одного інфекційного агента</w:t>
      </w:r>
      <w:r w:rsidR="00914FB4">
        <w:rPr>
          <w:sz w:val="20"/>
          <w:szCs w:val="20"/>
          <w:lang w:val="uk-UA"/>
        </w:rPr>
        <w:t>,</w:t>
      </w:r>
      <w:r w:rsidRPr="003C6DAE">
        <w:rPr>
          <w:sz w:val="20"/>
          <w:szCs w:val="20"/>
          <w:lang w:val="uk-UA"/>
        </w:rPr>
        <w:t xml:space="preserve"> і, ймовірно, вперше з початку глобальної пандемії витіснив коронавірусну хворобу (COVID-19)</w:t>
      </w:r>
      <w:r w:rsidR="00914FB4">
        <w:rPr>
          <w:sz w:val="20"/>
          <w:szCs w:val="20"/>
          <w:lang w:val="uk-UA"/>
        </w:rPr>
        <w:t>,</w:t>
      </w:r>
      <w:r w:rsidRPr="003C6DAE">
        <w:rPr>
          <w:sz w:val="20"/>
          <w:szCs w:val="20"/>
          <w:lang w:val="uk-UA"/>
        </w:rPr>
        <w:t xml:space="preserve"> як головну причину смерті в усьому світі (1). За оцінками, у 2023 році 10,8 мільйона людей захворіли на туберкульоз, але </w:t>
      </w:r>
      <w:r w:rsidR="00914FB4">
        <w:rPr>
          <w:sz w:val="20"/>
          <w:szCs w:val="20"/>
          <w:lang w:val="uk-UA"/>
        </w:rPr>
        <w:t xml:space="preserve">було діагностовано </w:t>
      </w:r>
      <w:r w:rsidRPr="003C6DAE">
        <w:rPr>
          <w:sz w:val="20"/>
          <w:szCs w:val="20"/>
          <w:lang w:val="uk-UA"/>
        </w:rPr>
        <w:t xml:space="preserve">лише 8,2 мільйона </w:t>
      </w:r>
      <w:r w:rsidR="00914FB4">
        <w:rPr>
          <w:sz w:val="20"/>
          <w:szCs w:val="20"/>
          <w:lang w:val="uk-UA"/>
        </w:rPr>
        <w:t>людей</w:t>
      </w:r>
      <w:r w:rsidRPr="003C6DAE">
        <w:rPr>
          <w:sz w:val="20"/>
          <w:szCs w:val="20"/>
          <w:lang w:val="uk-UA"/>
        </w:rPr>
        <w:t>.</w:t>
      </w:r>
      <w:r w:rsidR="00B01E0C" w:rsidRPr="003C6DAE">
        <w:rPr>
          <w:spacing w:val="32"/>
          <w:sz w:val="20"/>
          <w:szCs w:val="20"/>
          <w:lang w:val="uk-UA"/>
        </w:rPr>
        <w:t xml:space="preserve"> </w:t>
      </w:r>
      <w:r w:rsidR="00071025" w:rsidRPr="003C6DAE">
        <w:rPr>
          <w:sz w:val="20"/>
          <w:szCs w:val="20"/>
          <w:lang w:val="uk-UA"/>
        </w:rPr>
        <w:t>Крім того, проблемою залишається стійкість до антибіотиків, які використовуються для лікування ТБ: за оцінками, у 400 000 людей (95% довірчий інтервал [ДІ]: 370 000-450 000) розвинувся стійкий до рифампіцину ТБ (Риф-ТБ), або ТБ, стійкий як до рифампіцину, так і до ізоніазиду, визначений як ТБ із множинною лікарською стійкістю (МЛС-ТБ).</w:t>
      </w:r>
    </w:p>
    <w:p w14:paraId="271CDA14" w14:textId="6187D902" w:rsidR="00264BB7" w:rsidRPr="003C6DAE" w:rsidRDefault="00071025" w:rsidP="00071025">
      <w:pPr>
        <w:pStyle w:val="a3"/>
        <w:spacing w:before="175" w:line="269" w:lineRule="auto"/>
        <w:ind w:left="567" w:right="139"/>
        <w:jc w:val="both"/>
        <w:rPr>
          <w:sz w:val="20"/>
          <w:szCs w:val="20"/>
          <w:lang w:val="uk-UA"/>
        </w:rPr>
      </w:pPr>
      <w:r w:rsidRPr="003C6DAE">
        <w:rPr>
          <w:sz w:val="20"/>
          <w:szCs w:val="20"/>
          <w:lang w:val="uk-UA"/>
        </w:rPr>
        <w:t>У 2018 році Організація Об'єднаних Націй (ООН) провела першу в світі зустріч високого рівня з питань ТБ. Політична декларація цієї зустрічі включала зобов'язання держав-членів досягти чотирьох нових глобальних цілей (2). Ці зобов'язання були згодом поновлені на другій нараді високого рівня ООН у 2023 році; вони включали надання П</w:t>
      </w:r>
      <w:r w:rsidR="003F5350">
        <w:rPr>
          <w:sz w:val="20"/>
          <w:szCs w:val="20"/>
          <w:lang w:val="uk-UA"/>
        </w:rPr>
        <w:t>ЛТ</w:t>
      </w:r>
      <w:r w:rsidRPr="003C6DAE">
        <w:rPr>
          <w:sz w:val="20"/>
          <w:szCs w:val="20"/>
          <w:lang w:val="uk-UA"/>
        </w:rPr>
        <w:t xml:space="preserve"> </w:t>
      </w:r>
      <w:r w:rsidR="003F5350">
        <w:rPr>
          <w:sz w:val="20"/>
          <w:szCs w:val="20"/>
          <w:lang w:val="uk-UA"/>
        </w:rPr>
        <w:t>принаймні</w:t>
      </w:r>
      <w:r w:rsidRPr="003C6DAE">
        <w:rPr>
          <w:sz w:val="20"/>
          <w:szCs w:val="20"/>
          <w:lang w:val="uk-UA"/>
        </w:rPr>
        <w:t xml:space="preserve"> 45 мільйонам людей у період з 2024 по 2027 рік, а також охоплення </w:t>
      </w:r>
      <w:r w:rsidR="003F5350" w:rsidRPr="003C6DAE">
        <w:rPr>
          <w:sz w:val="20"/>
          <w:szCs w:val="20"/>
          <w:lang w:val="uk-UA"/>
        </w:rPr>
        <w:t xml:space="preserve">у період з 2023 по 2027 рік </w:t>
      </w:r>
      <w:r w:rsidRPr="003C6DAE">
        <w:rPr>
          <w:sz w:val="20"/>
          <w:szCs w:val="20"/>
          <w:lang w:val="uk-UA"/>
        </w:rPr>
        <w:t xml:space="preserve">якісною діагностикою та лікуванням 90% </w:t>
      </w:r>
      <w:r w:rsidR="003F5350">
        <w:rPr>
          <w:sz w:val="20"/>
          <w:szCs w:val="20"/>
          <w:lang w:val="uk-UA"/>
        </w:rPr>
        <w:t xml:space="preserve">передбачуваної </w:t>
      </w:r>
      <w:r w:rsidRPr="003C6DAE">
        <w:rPr>
          <w:sz w:val="20"/>
          <w:szCs w:val="20"/>
          <w:lang w:val="uk-UA"/>
        </w:rPr>
        <w:t>кількості людей, у яких розвинувся ТБ</w:t>
      </w:r>
      <w:r w:rsidR="00B01E0C" w:rsidRPr="003C6DAE">
        <w:rPr>
          <w:sz w:val="20"/>
          <w:szCs w:val="20"/>
          <w:lang w:val="uk-UA"/>
        </w:rPr>
        <w:t xml:space="preserve"> </w:t>
      </w:r>
      <w:r w:rsidR="00B01E0C" w:rsidRPr="003C6DAE">
        <w:rPr>
          <w:rFonts w:ascii="Arial" w:hAnsi="Arial"/>
          <w:i/>
          <w:sz w:val="20"/>
          <w:szCs w:val="20"/>
          <w:lang w:val="uk-UA"/>
        </w:rPr>
        <w:t>(3)</w:t>
      </w:r>
      <w:r w:rsidR="00B01E0C" w:rsidRPr="003C6DAE">
        <w:rPr>
          <w:sz w:val="20"/>
          <w:szCs w:val="20"/>
          <w:lang w:val="uk-UA"/>
        </w:rPr>
        <w:t xml:space="preserve">. </w:t>
      </w:r>
      <w:r w:rsidR="00066054" w:rsidRPr="003C6DAE">
        <w:rPr>
          <w:sz w:val="20"/>
          <w:szCs w:val="20"/>
          <w:lang w:val="uk-UA"/>
        </w:rPr>
        <w:t xml:space="preserve">Крім того, Стратегія Всесвітньої організації охорони здоров'я (ВООЗ) щодо ліквідації ТБ закликає до виявлення осіб, які живуть з туберкульозом і мають підвищений ризик розвитку активної форми ТБ, щоб вони могли отримувати ПЛТ, а також до </w:t>
      </w:r>
      <w:r w:rsidR="003F5350">
        <w:rPr>
          <w:sz w:val="20"/>
          <w:szCs w:val="20"/>
          <w:lang w:val="uk-UA"/>
        </w:rPr>
        <w:t xml:space="preserve">впровадження </w:t>
      </w:r>
      <w:r w:rsidR="00066054" w:rsidRPr="003C6DAE">
        <w:rPr>
          <w:sz w:val="20"/>
          <w:szCs w:val="20"/>
          <w:lang w:val="uk-UA"/>
        </w:rPr>
        <w:t xml:space="preserve">ранньої діагностики ТБ та універсального тестування на медикаментозну чутливість (ТМЧ). Ці глобальні зобов'язання та плани підкреслюють критичну роль тестування на ТБ для швидкого і точного виявлення </w:t>
      </w:r>
      <w:r w:rsidR="003F5350">
        <w:rPr>
          <w:sz w:val="20"/>
          <w:szCs w:val="20"/>
          <w:lang w:val="uk-UA"/>
        </w:rPr>
        <w:t>інфікування</w:t>
      </w:r>
      <w:r w:rsidR="00066054" w:rsidRPr="003C6DAE">
        <w:rPr>
          <w:sz w:val="20"/>
          <w:szCs w:val="20"/>
          <w:lang w:val="uk-UA"/>
        </w:rPr>
        <w:t xml:space="preserve"> та захворювання на ТБ. Протягом останніх років Глобальна програма ВООЗ </w:t>
      </w:r>
      <w:r w:rsidR="003F5350">
        <w:rPr>
          <w:sz w:val="20"/>
          <w:szCs w:val="20"/>
          <w:lang w:val="uk-UA"/>
        </w:rPr>
        <w:t>і</w:t>
      </w:r>
      <w:r w:rsidR="00066054" w:rsidRPr="003C6DAE">
        <w:rPr>
          <w:sz w:val="20"/>
          <w:szCs w:val="20"/>
          <w:lang w:val="uk-UA"/>
        </w:rPr>
        <w:t xml:space="preserve">з боротьби з туберкульозом (ВООЗ/ГПТБ) випустила науково обґрунтовані керівні принципи у сфері політики діагностичного тестування, щоб підтримати країни в їхніх зусиллях у виявленні туберкульозної інфекції, захворювання та медикаментозної стійкості ТБ до </w:t>
      </w:r>
      <w:r w:rsidR="00264BB7" w:rsidRPr="003C6DAE">
        <w:rPr>
          <w:sz w:val="20"/>
          <w:szCs w:val="20"/>
          <w:lang w:val="uk-UA"/>
        </w:rPr>
        <w:t>лікарських засобів.</w:t>
      </w:r>
      <w:r w:rsidR="00066054" w:rsidRPr="003C6DAE">
        <w:rPr>
          <w:sz w:val="20"/>
          <w:szCs w:val="20"/>
          <w:lang w:val="uk-UA"/>
        </w:rPr>
        <w:t xml:space="preserve"> </w:t>
      </w:r>
      <w:r w:rsidR="00264BB7" w:rsidRPr="003C6DAE">
        <w:rPr>
          <w:sz w:val="20"/>
          <w:szCs w:val="20"/>
          <w:lang w:val="uk-UA"/>
        </w:rPr>
        <w:t>Коли розробляються нові діагностичні інструменти та з'являються докази їх використання та впливу, ВООЗ/Г</w:t>
      </w:r>
      <w:r w:rsidR="003F5350">
        <w:rPr>
          <w:sz w:val="20"/>
          <w:szCs w:val="20"/>
          <w:lang w:val="uk-UA"/>
        </w:rPr>
        <w:t>П</w:t>
      </w:r>
      <w:r w:rsidR="00264BB7" w:rsidRPr="003C6DAE">
        <w:rPr>
          <w:sz w:val="20"/>
          <w:szCs w:val="20"/>
          <w:lang w:val="uk-UA"/>
        </w:rPr>
        <w:t xml:space="preserve">ТБ замовляє проведення систематичних оглядів та скликає групи з розробки настанов (ГРН), щоб інформувати про оновлення настанов. Починаючи з 2021 року, ці оновлення випускаються у вигляді консолідованих настанов на основі модулів. До 2024 року рекомендації стосовно політики </w:t>
      </w:r>
      <w:r w:rsidR="003F5350">
        <w:rPr>
          <w:sz w:val="20"/>
          <w:szCs w:val="20"/>
          <w:lang w:val="uk-UA"/>
        </w:rPr>
        <w:t xml:space="preserve">у сфері </w:t>
      </w:r>
      <w:r w:rsidR="00264BB7" w:rsidRPr="003C6DAE">
        <w:rPr>
          <w:sz w:val="20"/>
          <w:szCs w:val="20"/>
          <w:lang w:val="uk-UA"/>
        </w:rPr>
        <w:t>тестування на ТБ-інфекцію, ТБ-захворювання та медикаментозну стійкість були представлені окремо (у консолідованих настановах з профілактики та діагностики відповідно).</w:t>
      </w:r>
    </w:p>
    <w:p w14:paraId="360D8599" w14:textId="1497EF69" w:rsidR="00E05B98" w:rsidRPr="003C6DAE" w:rsidRDefault="00E05B98" w:rsidP="00071025">
      <w:pPr>
        <w:pStyle w:val="a3"/>
        <w:spacing w:before="175" w:line="269" w:lineRule="auto"/>
        <w:ind w:left="567" w:right="139"/>
        <w:jc w:val="both"/>
        <w:rPr>
          <w:sz w:val="20"/>
          <w:szCs w:val="20"/>
          <w:lang w:val="uk-UA"/>
        </w:rPr>
      </w:pPr>
    </w:p>
    <w:p w14:paraId="3FCAFD99" w14:textId="77777777" w:rsidR="00E05B98" w:rsidRPr="003C6DAE" w:rsidRDefault="00E05B98" w:rsidP="000548D2">
      <w:pPr>
        <w:pStyle w:val="a3"/>
        <w:spacing w:line="269" w:lineRule="auto"/>
        <w:jc w:val="both"/>
        <w:rPr>
          <w:sz w:val="20"/>
          <w:szCs w:val="20"/>
          <w:lang w:val="uk-UA"/>
        </w:rPr>
        <w:sectPr w:rsidR="00E05B98" w:rsidRPr="003C6DAE" w:rsidSect="009B5E1D">
          <w:footerReference w:type="even" r:id="rId37"/>
          <w:footerReference w:type="default" r:id="rId38"/>
          <w:pgSz w:w="11910" w:h="16840"/>
          <w:pgMar w:top="0" w:right="995" w:bottom="760" w:left="850" w:header="0" w:footer="573" w:gutter="0"/>
          <w:pgNumType w:start="1"/>
          <w:cols w:space="720"/>
        </w:sectPr>
      </w:pPr>
    </w:p>
    <w:p w14:paraId="696FA734" w14:textId="351CFBEF" w:rsidR="00E05B98" w:rsidRPr="003C6DAE" w:rsidRDefault="00264BB7" w:rsidP="000548D2">
      <w:pPr>
        <w:pStyle w:val="a3"/>
        <w:spacing w:before="52" w:line="269" w:lineRule="auto"/>
        <w:ind w:left="567" w:right="145"/>
        <w:jc w:val="both"/>
        <w:rPr>
          <w:sz w:val="20"/>
          <w:szCs w:val="20"/>
          <w:lang w:val="uk-UA"/>
        </w:rPr>
      </w:pPr>
      <w:bookmarkStart w:id="14" w:name="1.2._WHO_TB_diagnostic_class_determinati"/>
      <w:bookmarkStart w:id="15" w:name="1.2.1_Pathway_A"/>
      <w:bookmarkStart w:id="16" w:name="_bookmark6"/>
      <w:bookmarkEnd w:id="14"/>
      <w:bookmarkEnd w:id="15"/>
      <w:bookmarkEnd w:id="16"/>
      <w:r w:rsidRPr="003C6DAE">
        <w:rPr>
          <w:sz w:val="20"/>
          <w:szCs w:val="20"/>
          <w:lang w:val="uk-UA"/>
        </w:rPr>
        <w:lastRenderedPageBreak/>
        <w:t>Цей документ є четвертим виданням настанов ВООЗ щодо діагностики туберкульозу. У порівнянні з третім виданням, виданим у 2024 році, цей документ:</w:t>
      </w:r>
    </w:p>
    <w:p w14:paraId="7B6E60CF" w14:textId="165795B0" w:rsidR="00E05B98" w:rsidRPr="003C6DAE" w:rsidRDefault="00264BB7" w:rsidP="004A2937">
      <w:pPr>
        <w:pStyle w:val="a4"/>
        <w:numPr>
          <w:ilvl w:val="0"/>
          <w:numId w:val="29"/>
        </w:numPr>
        <w:tabs>
          <w:tab w:val="left" w:pos="850"/>
        </w:tabs>
        <w:spacing w:before="118" w:line="269" w:lineRule="auto"/>
        <w:ind w:right="140"/>
        <w:rPr>
          <w:sz w:val="20"/>
          <w:szCs w:val="20"/>
          <w:lang w:val="uk-UA"/>
        </w:rPr>
      </w:pPr>
      <w:r w:rsidRPr="003C6DAE">
        <w:rPr>
          <w:sz w:val="20"/>
          <w:szCs w:val="20"/>
          <w:lang w:val="uk-UA"/>
        </w:rPr>
        <w:t>є першим, який поєднав настанови з діагностики туберкульозної інфекції, захворювання та стійкості до лікарських засобів в єдиний довідковий документ;</w:t>
      </w:r>
    </w:p>
    <w:p w14:paraId="5484ED1E" w14:textId="5BDEBED9" w:rsidR="00E05B98" w:rsidRPr="003C6DAE" w:rsidRDefault="00264BB7" w:rsidP="004A2937">
      <w:pPr>
        <w:pStyle w:val="a4"/>
        <w:numPr>
          <w:ilvl w:val="0"/>
          <w:numId w:val="29"/>
        </w:numPr>
        <w:tabs>
          <w:tab w:val="left" w:pos="850"/>
        </w:tabs>
        <w:spacing w:before="2" w:line="269" w:lineRule="auto"/>
        <w:ind w:right="141"/>
        <w:rPr>
          <w:sz w:val="20"/>
          <w:szCs w:val="20"/>
          <w:lang w:val="uk-UA"/>
        </w:rPr>
      </w:pPr>
      <w:r w:rsidRPr="003C6DAE">
        <w:rPr>
          <w:sz w:val="20"/>
          <w:szCs w:val="20"/>
          <w:lang w:val="uk-UA"/>
        </w:rPr>
        <w:t>встановлює два нових класи технологій діагностики туберкульозу (для первинного виявлення ТБ та стійкості до рифампіцину), які включають тести, рекомендовані раніше для використання як окремі продукти;   та</w:t>
      </w:r>
    </w:p>
    <w:p w14:paraId="0A8984EC" w14:textId="2AE82E79" w:rsidR="00E05B98" w:rsidRPr="003C6DAE" w:rsidRDefault="00264BB7" w:rsidP="004A2937">
      <w:pPr>
        <w:pStyle w:val="a4"/>
        <w:numPr>
          <w:ilvl w:val="0"/>
          <w:numId w:val="29"/>
        </w:numPr>
        <w:tabs>
          <w:tab w:val="left" w:pos="850"/>
        </w:tabs>
        <w:spacing w:before="4" w:line="269" w:lineRule="auto"/>
        <w:ind w:right="139"/>
        <w:rPr>
          <w:sz w:val="20"/>
          <w:szCs w:val="20"/>
          <w:lang w:val="uk-UA"/>
        </w:rPr>
      </w:pPr>
      <w:r w:rsidRPr="003C6DAE">
        <w:rPr>
          <w:sz w:val="20"/>
          <w:szCs w:val="20"/>
          <w:lang w:val="uk-UA"/>
        </w:rPr>
        <w:t>містить нові рекомендації щодо одночасного тестування респіраторних і нереспіраторних зразків у дорослих і підлітків з ВІЛ, дітей з ВІЛ і дітей без ВІЛ або з невідомим ВІЛ-статусом.</w:t>
      </w:r>
    </w:p>
    <w:p w14:paraId="673AC3B0" w14:textId="77777777" w:rsidR="005779F1" w:rsidRPr="003C6DAE" w:rsidRDefault="005779F1" w:rsidP="005779F1">
      <w:pPr>
        <w:pStyle w:val="a4"/>
        <w:tabs>
          <w:tab w:val="left" w:pos="850"/>
        </w:tabs>
        <w:spacing w:before="4" w:line="269" w:lineRule="auto"/>
        <w:ind w:right="139" w:firstLine="0"/>
        <w:rPr>
          <w:sz w:val="20"/>
          <w:szCs w:val="20"/>
          <w:lang w:val="uk-UA"/>
        </w:rPr>
      </w:pPr>
    </w:p>
    <w:p w14:paraId="58BD1039" w14:textId="77777777" w:rsidR="00E05B98" w:rsidRPr="003C6DAE" w:rsidRDefault="00E05B98">
      <w:pPr>
        <w:pStyle w:val="a3"/>
        <w:spacing w:before="93"/>
        <w:rPr>
          <w:lang w:val="uk-UA"/>
        </w:rPr>
      </w:pPr>
    </w:p>
    <w:p w14:paraId="68244747" w14:textId="584214DB" w:rsidR="00E05B98" w:rsidRPr="003C6DAE" w:rsidRDefault="00264BB7" w:rsidP="004A2937">
      <w:pPr>
        <w:pStyle w:val="3"/>
        <w:numPr>
          <w:ilvl w:val="1"/>
          <w:numId w:val="31"/>
        </w:numPr>
        <w:tabs>
          <w:tab w:val="left" w:pos="1294"/>
        </w:tabs>
        <w:spacing w:line="254" w:lineRule="auto"/>
        <w:ind w:firstLine="0"/>
        <w:rPr>
          <w:color w:val="019648"/>
          <w:sz w:val="36"/>
          <w:szCs w:val="36"/>
          <w:lang w:val="uk-UA"/>
        </w:rPr>
      </w:pPr>
      <w:r w:rsidRPr="003C6DAE">
        <w:rPr>
          <w:color w:val="019648"/>
          <w:sz w:val="36"/>
          <w:szCs w:val="36"/>
          <w:lang w:val="uk-UA"/>
        </w:rPr>
        <w:t xml:space="preserve">Визначення </w:t>
      </w:r>
      <w:r w:rsidR="00F871E4">
        <w:rPr>
          <w:color w:val="019648"/>
          <w:sz w:val="36"/>
          <w:szCs w:val="36"/>
          <w:lang w:val="uk-UA"/>
        </w:rPr>
        <w:t xml:space="preserve">ВООЗ класу тесту </w:t>
      </w:r>
      <w:r w:rsidR="002825D5">
        <w:rPr>
          <w:color w:val="019648"/>
          <w:sz w:val="36"/>
          <w:szCs w:val="36"/>
          <w:lang w:val="uk-UA"/>
        </w:rPr>
        <w:t xml:space="preserve">для діагностики </w:t>
      </w:r>
      <w:r w:rsidRPr="003C6DAE">
        <w:rPr>
          <w:color w:val="019648"/>
          <w:sz w:val="36"/>
          <w:szCs w:val="36"/>
          <w:lang w:val="uk-UA"/>
        </w:rPr>
        <w:t>ТБ та п</w:t>
      </w:r>
      <w:r w:rsidR="00F717DD">
        <w:rPr>
          <w:color w:val="019648"/>
          <w:sz w:val="36"/>
          <w:szCs w:val="36"/>
          <w:lang w:val="uk-UA"/>
        </w:rPr>
        <w:t>ре</w:t>
      </w:r>
      <w:r w:rsidRPr="003C6DAE">
        <w:rPr>
          <w:color w:val="019648"/>
          <w:sz w:val="36"/>
          <w:szCs w:val="36"/>
          <w:lang w:val="uk-UA"/>
        </w:rPr>
        <w:t>кваліфікація</w:t>
      </w:r>
      <w:r w:rsidR="00F871E4">
        <w:rPr>
          <w:color w:val="019648"/>
          <w:sz w:val="36"/>
          <w:szCs w:val="36"/>
          <w:lang w:val="uk-UA"/>
        </w:rPr>
        <w:t xml:space="preserve"> </w:t>
      </w:r>
      <w:r w:rsidRPr="003C6DAE">
        <w:rPr>
          <w:color w:val="019648"/>
          <w:sz w:val="36"/>
          <w:szCs w:val="36"/>
          <w:lang w:val="uk-UA"/>
        </w:rPr>
        <w:t>продукту</w:t>
      </w:r>
      <w:r w:rsidR="002825D5">
        <w:rPr>
          <w:color w:val="019648"/>
          <w:sz w:val="36"/>
          <w:szCs w:val="36"/>
          <w:lang w:val="uk-UA"/>
        </w:rPr>
        <w:t xml:space="preserve"> ВООЗ</w:t>
      </w:r>
    </w:p>
    <w:p w14:paraId="52CF5033" w14:textId="7B38C93A" w:rsidR="00E05B98" w:rsidRPr="003C6DAE" w:rsidRDefault="004A1565" w:rsidP="000548D2">
      <w:pPr>
        <w:pStyle w:val="a3"/>
        <w:spacing w:before="138" w:line="269" w:lineRule="auto"/>
        <w:ind w:left="567" w:right="139"/>
        <w:jc w:val="both"/>
        <w:rPr>
          <w:sz w:val="20"/>
          <w:szCs w:val="20"/>
          <w:lang w:val="uk-UA"/>
        </w:rPr>
      </w:pPr>
      <w:r w:rsidRPr="003C6DAE">
        <w:rPr>
          <w:spacing w:val="-4"/>
          <w:sz w:val="20"/>
          <w:szCs w:val="20"/>
          <w:lang w:val="uk-UA"/>
        </w:rPr>
        <w:t>За останні 16 років ВООЗ схвалила низку технологій</w:t>
      </w:r>
      <w:r w:rsidR="002825D5">
        <w:rPr>
          <w:spacing w:val="-4"/>
          <w:sz w:val="20"/>
          <w:szCs w:val="20"/>
          <w:lang w:val="uk-UA"/>
        </w:rPr>
        <w:t xml:space="preserve"> з діагностики</w:t>
      </w:r>
      <w:r w:rsidRPr="003C6DAE">
        <w:rPr>
          <w:spacing w:val="-4"/>
          <w:sz w:val="20"/>
          <w:szCs w:val="20"/>
          <w:lang w:val="uk-UA"/>
        </w:rPr>
        <w:t xml:space="preserve"> (Таблиця 1.1.1). Останнім часом процес оцінки ВООЗ у сфері діагностики ТБ еволюціонував і зосередився на оцінюванні класів технологій </w:t>
      </w:r>
      <w:r w:rsidR="002825D5">
        <w:rPr>
          <w:spacing w:val="-4"/>
          <w:sz w:val="20"/>
          <w:szCs w:val="20"/>
          <w:lang w:val="uk-UA"/>
        </w:rPr>
        <w:t xml:space="preserve">з </w:t>
      </w:r>
      <w:r w:rsidRPr="003C6DAE">
        <w:rPr>
          <w:spacing w:val="-4"/>
          <w:sz w:val="20"/>
          <w:szCs w:val="20"/>
          <w:lang w:val="uk-UA"/>
        </w:rPr>
        <w:t xml:space="preserve">діагностики ТБ, а не конкретних продуктів. Визначення класів нових технологій діагностики ТБ здійснюється під керівництвом </w:t>
      </w:r>
      <w:r w:rsidR="001D5E59">
        <w:rPr>
          <w:spacing w:val="-4"/>
          <w:sz w:val="20"/>
          <w:szCs w:val="20"/>
          <w:lang w:val="uk-UA"/>
        </w:rPr>
        <w:t>Глобальної програми</w:t>
      </w:r>
      <w:r w:rsidR="00D45FA2">
        <w:rPr>
          <w:spacing w:val="-4"/>
          <w:sz w:val="20"/>
          <w:szCs w:val="20"/>
          <w:lang w:val="uk-UA"/>
        </w:rPr>
        <w:t xml:space="preserve"> ВООЗ</w:t>
      </w:r>
      <w:r w:rsidR="001D5E59">
        <w:rPr>
          <w:spacing w:val="-4"/>
          <w:sz w:val="20"/>
          <w:szCs w:val="20"/>
          <w:lang w:val="uk-UA"/>
        </w:rPr>
        <w:t xml:space="preserve"> із боротьби з ТБ (ВООЗ</w:t>
      </w:r>
      <w:r w:rsidRPr="003C6DAE">
        <w:rPr>
          <w:spacing w:val="-4"/>
          <w:sz w:val="20"/>
          <w:szCs w:val="20"/>
          <w:lang w:val="uk-UA"/>
        </w:rPr>
        <w:t>/ГПТБ</w:t>
      </w:r>
      <w:r w:rsidR="001D5E59">
        <w:rPr>
          <w:spacing w:val="-4"/>
          <w:sz w:val="20"/>
          <w:szCs w:val="20"/>
          <w:lang w:val="uk-UA"/>
        </w:rPr>
        <w:t>)</w:t>
      </w:r>
      <w:r w:rsidRPr="003C6DAE">
        <w:rPr>
          <w:spacing w:val="-4"/>
          <w:sz w:val="20"/>
          <w:szCs w:val="20"/>
          <w:lang w:val="uk-UA"/>
        </w:rPr>
        <w:t xml:space="preserve"> і включає оцінку наступних характеристик:</w:t>
      </w:r>
    </w:p>
    <w:p w14:paraId="4075B444" w14:textId="10D93DB6" w:rsidR="004A1565" w:rsidRPr="003C6DAE" w:rsidRDefault="004A1565" w:rsidP="004A2937">
      <w:pPr>
        <w:pStyle w:val="a4"/>
        <w:numPr>
          <w:ilvl w:val="0"/>
          <w:numId w:val="30"/>
        </w:numPr>
        <w:tabs>
          <w:tab w:val="left" w:pos="850"/>
        </w:tabs>
        <w:spacing w:line="269" w:lineRule="auto"/>
        <w:rPr>
          <w:sz w:val="20"/>
          <w:szCs w:val="20"/>
          <w:lang w:val="uk-UA"/>
        </w:rPr>
      </w:pPr>
      <w:r w:rsidRPr="003C6DAE">
        <w:rPr>
          <w:sz w:val="20"/>
          <w:szCs w:val="20"/>
          <w:lang w:val="uk-UA"/>
        </w:rPr>
        <w:t xml:space="preserve">мета використання (тобто виявлення ТБ або стійкості до конкретного </w:t>
      </w:r>
      <w:r w:rsidR="00F871E4">
        <w:rPr>
          <w:sz w:val="20"/>
          <w:szCs w:val="20"/>
          <w:lang w:val="uk-UA"/>
        </w:rPr>
        <w:t xml:space="preserve">лікарського </w:t>
      </w:r>
      <w:r w:rsidRPr="003C6DAE">
        <w:rPr>
          <w:sz w:val="20"/>
          <w:szCs w:val="20"/>
          <w:lang w:val="uk-UA"/>
        </w:rPr>
        <w:t>препарату);</w:t>
      </w:r>
    </w:p>
    <w:p w14:paraId="7E917CC6" w14:textId="3D756CAB" w:rsidR="004A1565" w:rsidRPr="003C6DAE" w:rsidRDefault="004A1565" w:rsidP="004A2937">
      <w:pPr>
        <w:pStyle w:val="a4"/>
        <w:numPr>
          <w:ilvl w:val="0"/>
          <w:numId w:val="30"/>
        </w:numPr>
        <w:tabs>
          <w:tab w:val="left" w:pos="850"/>
        </w:tabs>
        <w:spacing w:line="269" w:lineRule="auto"/>
        <w:rPr>
          <w:sz w:val="20"/>
          <w:szCs w:val="20"/>
          <w:lang w:val="uk-UA"/>
        </w:rPr>
      </w:pPr>
      <w:r w:rsidRPr="003C6DAE">
        <w:rPr>
          <w:sz w:val="20"/>
          <w:szCs w:val="20"/>
          <w:lang w:val="uk-UA"/>
        </w:rPr>
        <w:t>принцип дії;</w:t>
      </w:r>
    </w:p>
    <w:p w14:paraId="2E6CC399" w14:textId="5CD6A05A" w:rsidR="004A1565" w:rsidRPr="003C6DAE" w:rsidRDefault="004A1565" w:rsidP="004A2937">
      <w:pPr>
        <w:pStyle w:val="a4"/>
        <w:numPr>
          <w:ilvl w:val="0"/>
          <w:numId w:val="30"/>
        </w:numPr>
        <w:tabs>
          <w:tab w:val="left" w:pos="850"/>
        </w:tabs>
        <w:spacing w:line="269" w:lineRule="auto"/>
        <w:rPr>
          <w:sz w:val="20"/>
          <w:szCs w:val="20"/>
          <w:lang w:val="uk-UA"/>
        </w:rPr>
      </w:pPr>
      <w:r w:rsidRPr="003C6DAE">
        <w:rPr>
          <w:sz w:val="20"/>
          <w:szCs w:val="20"/>
          <w:lang w:val="uk-UA"/>
        </w:rPr>
        <w:t>вимоги до інфраструктури та людських ресурсів;</w:t>
      </w:r>
    </w:p>
    <w:p w14:paraId="1D988E3D" w14:textId="30D275DC" w:rsidR="004A1565" w:rsidRPr="003C6DAE" w:rsidRDefault="004A1565" w:rsidP="004A2937">
      <w:pPr>
        <w:pStyle w:val="a4"/>
        <w:numPr>
          <w:ilvl w:val="0"/>
          <w:numId w:val="30"/>
        </w:numPr>
        <w:tabs>
          <w:tab w:val="left" w:pos="850"/>
        </w:tabs>
        <w:spacing w:line="269" w:lineRule="auto"/>
        <w:rPr>
          <w:sz w:val="20"/>
          <w:szCs w:val="20"/>
          <w:lang w:val="uk-UA"/>
        </w:rPr>
      </w:pPr>
      <w:r w:rsidRPr="003C6DAE">
        <w:rPr>
          <w:sz w:val="20"/>
          <w:szCs w:val="20"/>
          <w:lang w:val="uk-UA"/>
        </w:rPr>
        <w:t>складність процедури тестування та відповідного обладнання;</w:t>
      </w:r>
    </w:p>
    <w:p w14:paraId="009582D8" w14:textId="1500589C" w:rsidR="004A1565" w:rsidRPr="003C6DAE" w:rsidRDefault="004A1565" w:rsidP="004A2937">
      <w:pPr>
        <w:pStyle w:val="a4"/>
        <w:numPr>
          <w:ilvl w:val="0"/>
          <w:numId w:val="30"/>
        </w:numPr>
        <w:tabs>
          <w:tab w:val="left" w:pos="850"/>
        </w:tabs>
        <w:spacing w:line="269" w:lineRule="auto"/>
        <w:rPr>
          <w:sz w:val="20"/>
          <w:szCs w:val="20"/>
          <w:lang w:val="uk-UA"/>
        </w:rPr>
      </w:pPr>
      <w:r w:rsidRPr="003C6DAE">
        <w:rPr>
          <w:sz w:val="20"/>
          <w:szCs w:val="20"/>
          <w:lang w:val="uk-UA"/>
        </w:rPr>
        <w:t>метод звітування (автоматичний чи ручний);   та</w:t>
      </w:r>
    </w:p>
    <w:p w14:paraId="17073013" w14:textId="6D372671" w:rsidR="00E05B98" w:rsidRPr="003C6DAE" w:rsidRDefault="004A1565" w:rsidP="004A2937">
      <w:pPr>
        <w:pStyle w:val="a4"/>
        <w:numPr>
          <w:ilvl w:val="0"/>
          <w:numId w:val="30"/>
        </w:numPr>
        <w:tabs>
          <w:tab w:val="left" w:pos="850"/>
        </w:tabs>
        <w:spacing w:line="269" w:lineRule="auto"/>
        <w:jc w:val="left"/>
        <w:rPr>
          <w:sz w:val="20"/>
          <w:szCs w:val="20"/>
          <w:lang w:val="uk-UA"/>
        </w:rPr>
      </w:pPr>
      <w:r w:rsidRPr="003C6DAE">
        <w:rPr>
          <w:sz w:val="20"/>
          <w:szCs w:val="20"/>
          <w:lang w:val="uk-UA"/>
        </w:rPr>
        <w:t xml:space="preserve">передбачувані умови використання (наприклад, еталонний чи периферійний метод низької складності, </w:t>
      </w:r>
      <w:r w:rsidR="00F871E4">
        <w:rPr>
          <w:sz w:val="20"/>
          <w:szCs w:val="20"/>
          <w:lang w:val="uk-UA"/>
        </w:rPr>
        <w:t xml:space="preserve">проведення тесту </w:t>
      </w:r>
      <w:r w:rsidRPr="003C6DAE">
        <w:rPr>
          <w:sz w:val="20"/>
          <w:szCs w:val="20"/>
          <w:lang w:val="uk-UA"/>
        </w:rPr>
        <w:t>поблизу пункту надання медичної допомоги)</w:t>
      </w:r>
      <w:r w:rsidR="00B01E0C" w:rsidRPr="003C6DAE">
        <w:rPr>
          <w:spacing w:val="-2"/>
          <w:sz w:val="20"/>
          <w:szCs w:val="20"/>
          <w:lang w:val="uk-UA"/>
        </w:rPr>
        <w:t>.</w:t>
      </w:r>
    </w:p>
    <w:p w14:paraId="09CC08AC" w14:textId="77777777" w:rsidR="00E05B98" w:rsidRPr="003C6DAE" w:rsidRDefault="00E05B98" w:rsidP="000548D2">
      <w:pPr>
        <w:pStyle w:val="a3"/>
        <w:spacing w:before="39" w:line="269" w:lineRule="auto"/>
        <w:rPr>
          <w:sz w:val="20"/>
          <w:szCs w:val="20"/>
          <w:lang w:val="uk-UA"/>
        </w:rPr>
      </w:pPr>
    </w:p>
    <w:p w14:paraId="737551B3" w14:textId="0F60309C" w:rsidR="00E05B98" w:rsidRPr="003C6DAE" w:rsidRDefault="00F871E4" w:rsidP="000548D2">
      <w:pPr>
        <w:pStyle w:val="a3"/>
        <w:spacing w:line="269" w:lineRule="auto"/>
        <w:ind w:left="567" w:right="140"/>
        <w:jc w:val="both"/>
        <w:rPr>
          <w:sz w:val="20"/>
          <w:szCs w:val="20"/>
          <w:lang w:val="uk-UA"/>
        </w:rPr>
      </w:pPr>
      <w:r>
        <w:rPr>
          <w:sz w:val="20"/>
          <w:szCs w:val="20"/>
          <w:lang w:val="uk-UA"/>
        </w:rPr>
        <w:t>Проводиться порівн</w:t>
      </w:r>
      <w:r w:rsidR="00176989">
        <w:rPr>
          <w:sz w:val="20"/>
          <w:szCs w:val="20"/>
          <w:lang w:val="uk-UA"/>
        </w:rPr>
        <w:t>ян</w:t>
      </w:r>
      <w:r>
        <w:rPr>
          <w:sz w:val="20"/>
          <w:szCs w:val="20"/>
          <w:lang w:val="uk-UA"/>
        </w:rPr>
        <w:t>ня з</w:t>
      </w:r>
      <w:r w:rsidR="005779F1" w:rsidRPr="003C6DAE">
        <w:rPr>
          <w:sz w:val="20"/>
          <w:szCs w:val="20"/>
          <w:lang w:val="uk-UA"/>
        </w:rPr>
        <w:t>азначен</w:t>
      </w:r>
      <w:r>
        <w:rPr>
          <w:sz w:val="20"/>
          <w:szCs w:val="20"/>
          <w:lang w:val="uk-UA"/>
        </w:rPr>
        <w:t>их</w:t>
      </w:r>
      <w:r w:rsidR="005779F1" w:rsidRPr="003C6DAE">
        <w:rPr>
          <w:sz w:val="20"/>
          <w:szCs w:val="20"/>
          <w:lang w:val="uk-UA"/>
        </w:rPr>
        <w:t xml:space="preserve"> характеристик між нов</w:t>
      </w:r>
      <w:r>
        <w:rPr>
          <w:sz w:val="20"/>
          <w:szCs w:val="20"/>
          <w:lang w:val="uk-UA"/>
        </w:rPr>
        <w:t>ою технологією</w:t>
      </w:r>
      <w:r w:rsidR="005779F1" w:rsidRPr="003C6DAE">
        <w:rPr>
          <w:sz w:val="20"/>
          <w:szCs w:val="20"/>
          <w:lang w:val="uk-UA"/>
        </w:rPr>
        <w:t xml:space="preserve"> та кожним із існуючих класів</w:t>
      </w:r>
      <w:r>
        <w:rPr>
          <w:sz w:val="20"/>
          <w:szCs w:val="20"/>
          <w:lang w:val="uk-UA"/>
        </w:rPr>
        <w:t xml:space="preserve"> методів діагностики</w:t>
      </w:r>
      <w:r w:rsidR="005779F1" w:rsidRPr="003C6DAE">
        <w:rPr>
          <w:sz w:val="20"/>
          <w:szCs w:val="20"/>
          <w:lang w:val="uk-UA"/>
        </w:rPr>
        <w:t xml:space="preserve">, вже рекомендованих ВООЗ. Якщо характеристики відрізняються від існуючих класів, нова технологія підлягатиме перевірці на предмет огляду доказів як «перша в своєму класі» за допомогою </w:t>
      </w:r>
      <w:r w:rsidR="000317CC">
        <w:rPr>
          <w:sz w:val="20"/>
          <w:szCs w:val="20"/>
          <w:lang w:val="uk-UA"/>
        </w:rPr>
        <w:t>Процедури</w:t>
      </w:r>
      <w:r w:rsidR="005779F1" w:rsidRPr="003C6DAE">
        <w:rPr>
          <w:sz w:val="20"/>
          <w:szCs w:val="20"/>
          <w:lang w:val="uk-UA"/>
        </w:rPr>
        <w:t xml:space="preserve"> </w:t>
      </w:r>
      <w:r w:rsidR="000317CC">
        <w:rPr>
          <w:sz w:val="20"/>
          <w:szCs w:val="20"/>
          <w:lang w:val="uk-UA"/>
        </w:rPr>
        <w:t xml:space="preserve">перевірки </w:t>
      </w:r>
      <w:r w:rsidR="005779F1" w:rsidRPr="003C6DAE">
        <w:rPr>
          <w:sz w:val="20"/>
          <w:szCs w:val="20"/>
          <w:lang w:val="uk-UA"/>
        </w:rPr>
        <w:t>А (описано нижче). Якщо характеристики збігаються з характеристиками існуючого класу, оцінку нової технології буде здійснено «в межах класу» (</w:t>
      </w:r>
      <w:r w:rsidR="000317CC">
        <w:rPr>
          <w:sz w:val="20"/>
          <w:szCs w:val="20"/>
          <w:lang w:val="uk-UA"/>
        </w:rPr>
        <w:t>Процедура</w:t>
      </w:r>
      <w:r w:rsidR="005779F1" w:rsidRPr="003C6DAE">
        <w:rPr>
          <w:sz w:val="20"/>
          <w:szCs w:val="20"/>
          <w:lang w:val="uk-UA"/>
        </w:rPr>
        <w:t xml:space="preserve"> </w:t>
      </w:r>
      <w:r w:rsidR="000317CC">
        <w:rPr>
          <w:sz w:val="20"/>
          <w:szCs w:val="20"/>
          <w:lang w:val="uk-UA"/>
        </w:rPr>
        <w:t xml:space="preserve">перевірки </w:t>
      </w:r>
      <w:r w:rsidR="005779F1" w:rsidRPr="003C6DAE">
        <w:rPr>
          <w:sz w:val="20"/>
          <w:szCs w:val="20"/>
          <w:lang w:val="uk-UA"/>
        </w:rPr>
        <w:t>В, описаний нижче).</w:t>
      </w:r>
    </w:p>
    <w:p w14:paraId="3BE85B31" w14:textId="77777777" w:rsidR="005779F1" w:rsidRPr="003C6DAE" w:rsidRDefault="005779F1" w:rsidP="000548D2">
      <w:pPr>
        <w:pStyle w:val="a3"/>
        <w:spacing w:line="269" w:lineRule="auto"/>
        <w:ind w:left="567" w:right="140"/>
        <w:jc w:val="both"/>
        <w:rPr>
          <w:sz w:val="20"/>
          <w:szCs w:val="20"/>
          <w:lang w:val="uk-UA"/>
        </w:rPr>
      </w:pPr>
    </w:p>
    <w:p w14:paraId="76CC281A" w14:textId="06470120" w:rsidR="00E05B98" w:rsidRPr="001D5E59" w:rsidRDefault="000317CC" w:rsidP="004A2937">
      <w:pPr>
        <w:pStyle w:val="5"/>
        <w:numPr>
          <w:ilvl w:val="2"/>
          <w:numId w:val="31"/>
        </w:numPr>
        <w:tabs>
          <w:tab w:val="left" w:pos="1245"/>
        </w:tabs>
        <w:spacing w:before="204"/>
        <w:ind w:left="1245" w:hanging="678"/>
        <w:rPr>
          <w:color w:val="019648"/>
          <w:sz w:val="26"/>
          <w:szCs w:val="26"/>
          <w:lang w:val="uk-UA"/>
        </w:rPr>
      </w:pPr>
      <w:r>
        <w:rPr>
          <w:color w:val="019648"/>
          <w:w w:val="105"/>
          <w:sz w:val="26"/>
          <w:szCs w:val="26"/>
          <w:lang w:val="uk-UA"/>
        </w:rPr>
        <w:t>Процедура</w:t>
      </w:r>
      <w:r w:rsidR="00B01E0C" w:rsidRPr="001D5E59">
        <w:rPr>
          <w:color w:val="019648"/>
          <w:spacing w:val="-20"/>
          <w:w w:val="105"/>
          <w:sz w:val="26"/>
          <w:szCs w:val="26"/>
          <w:lang w:val="uk-UA"/>
        </w:rPr>
        <w:t xml:space="preserve"> </w:t>
      </w:r>
      <w:r w:rsidR="00B01E0C" w:rsidRPr="001D5E59">
        <w:rPr>
          <w:color w:val="019648"/>
          <w:spacing w:val="-10"/>
          <w:w w:val="110"/>
          <w:sz w:val="26"/>
          <w:szCs w:val="26"/>
          <w:lang w:val="uk-UA"/>
        </w:rPr>
        <w:t>A</w:t>
      </w:r>
    </w:p>
    <w:p w14:paraId="112B52D4" w14:textId="6B7483BD" w:rsidR="00E05B98" w:rsidRPr="003C6DAE" w:rsidRDefault="005779F1" w:rsidP="000548D2">
      <w:pPr>
        <w:pStyle w:val="a3"/>
        <w:spacing w:before="218" w:line="269" w:lineRule="auto"/>
        <w:ind w:left="567" w:right="136"/>
        <w:jc w:val="both"/>
        <w:rPr>
          <w:sz w:val="20"/>
          <w:szCs w:val="20"/>
          <w:lang w:val="uk-UA"/>
        </w:rPr>
      </w:pPr>
      <w:r w:rsidRPr="003C6DAE">
        <w:rPr>
          <w:sz w:val="20"/>
          <w:szCs w:val="20"/>
          <w:lang w:val="uk-UA"/>
        </w:rPr>
        <w:t xml:space="preserve">Нові технології вимагатимуть проведення огляду за допомогою </w:t>
      </w:r>
      <w:r w:rsidR="000317CC">
        <w:rPr>
          <w:sz w:val="20"/>
          <w:szCs w:val="20"/>
          <w:lang w:val="uk-UA"/>
        </w:rPr>
        <w:t>Процедури</w:t>
      </w:r>
      <w:r w:rsidR="000A50CE">
        <w:rPr>
          <w:sz w:val="20"/>
          <w:szCs w:val="20"/>
          <w:lang w:val="uk-UA"/>
        </w:rPr>
        <w:t xml:space="preserve"> перевірки</w:t>
      </w:r>
      <w:r w:rsidRPr="003C6DAE">
        <w:rPr>
          <w:sz w:val="20"/>
          <w:szCs w:val="20"/>
          <w:lang w:val="uk-UA"/>
        </w:rPr>
        <w:t xml:space="preserve"> А, якщо вони відрізняються від існуючих класів </w:t>
      </w:r>
      <w:r w:rsidR="002370DE">
        <w:rPr>
          <w:sz w:val="20"/>
          <w:szCs w:val="20"/>
          <w:lang w:val="uk-UA"/>
        </w:rPr>
        <w:t xml:space="preserve">методів </w:t>
      </w:r>
      <w:r w:rsidRPr="003C6DAE">
        <w:rPr>
          <w:sz w:val="20"/>
          <w:szCs w:val="20"/>
          <w:lang w:val="uk-UA"/>
        </w:rPr>
        <w:t>з точки зору перелічених вище характеристик. Синтез доказів, огляд і розробка рекомендацій будуть проводити в рамках встановленого процесу розробки настанов ВООЗ/ГП</w:t>
      </w:r>
      <w:r w:rsidR="00F717DD">
        <w:rPr>
          <w:sz w:val="20"/>
          <w:szCs w:val="20"/>
          <w:lang w:val="uk-UA"/>
        </w:rPr>
        <w:t>ТБ</w:t>
      </w:r>
      <w:r w:rsidRPr="003C6DAE">
        <w:rPr>
          <w:sz w:val="20"/>
          <w:szCs w:val="20"/>
          <w:lang w:val="uk-UA"/>
        </w:rPr>
        <w:t xml:space="preserve"> з використанням методології «Градація оцінки, розробки та аналізу рекомендацій» (GRADE).</w:t>
      </w:r>
      <w:r w:rsidR="00B01E0C" w:rsidRPr="003C6DAE">
        <w:rPr>
          <w:spacing w:val="-10"/>
          <w:sz w:val="20"/>
          <w:szCs w:val="20"/>
          <w:lang w:val="uk-UA"/>
        </w:rPr>
        <w:t xml:space="preserve"> </w:t>
      </w:r>
      <w:r w:rsidRPr="003C6DAE">
        <w:rPr>
          <w:spacing w:val="-2"/>
          <w:sz w:val="20"/>
          <w:szCs w:val="20"/>
          <w:lang w:val="uk-UA"/>
        </w:rPr>
        <w:t xml:space="preserve">Якщо технології рекомендовані ГРН після огляду доказів, </w:t>
      </w:r>
      <w:r w:rsidR="000A50CE">
        <w:rPr>
          <w:spacing w:val="-2"/>
          <w:sz w:val="20"/>
          <w:szCs w:val="20"/>
          <w:lang w:val="uk-UA"/>
        </w:rPr>
        <w:t xml:space="preserve">тоді </w:t>
      </w:r>
      <w:r w:rsidRPr="003C6DAE">
        <w:rPr>
          <w:spacing w:val="-2"/>
          <w:sz w:val="20"/>
          <w:szCs w:val="20"/>
          <w:lang w:val="uk-UA"/>
        </w:rPr>
        <w:t xml:space="preserve">вони будуть </w:t>
      </w:r>
      <w:r w:rsidR="000A50CE">
        <w:rPr>
          <w:spacing w:val="-2"/>
          <w:sz w:val="20"/>
          <w:szCs w:val="20"/>
          <w:lang w:val="uk-UA"/>
        </w:rPr>
        <w:t>направлені</w:t>
      </w:r>
      <w:r w:rsidRPr="003C6DAE">
        <w:rPr>
          <w:spacing w:val="-2"/>
          <w:sz w:val="20"/>
          <w:szCs w:val="20"/>
          <w:lang w:val="uk-UA"/>
        </w:rPr>
        <w:t xml:space="preserve"> для </w:t>
      </w:r>
      <w:r w:rsidR="000A50CE">
        <w:rPr>
          <w:spacing w:val="-2"/>
          <w:sz w:val="20"/>
          <w:szCs w:val="20"/>
          <w:lang w:val="uk-UA"/>
        </w:rPr>
        <w:t xml:space="preserve">виконання </w:t>
      </w:r>
      <w:r w:rsidRPr="003C6DAE">
        <w:rPr>
          <w:spacing w:val="-2"/>
          <w:sz w:val="20"/>
          <w:szCs w:val="20"/>
          <w:lang w:val="uk-UA"/>
        </w:rPr>
        <w:t>попередньої кваліфікаційної оцінки ВООЗ (за наявності). Якщо процедура попередньої кваліфікаційної оцінки недоступна, рекомендація ВООЗ/Г</w:t>
      </w:r>
      <w:r w:rsidR="001D5E59">
        <w:rPr>
          <w:spacing w:val="-2"/>
          <w:sz w:val="20"/>
          <w:szCs w:val="20"/>
          <w:lang w:val="uk-UA"/>
        </w:rPr>
        <w:t>П</w:t>
      </w:r>
      <w:r w:rsidRPr="003C6DAE">
        <w:rPr>
          <w:spacing w:val="-2"/>
          <w:sz w:val="20"/>
          <w:szCs w:val="20"/>
          <w:lang w:val="uk-UA"/>
        </w:rPr>
        <w:t>ТБ залишається в силі доти, поки процедура п</w:t>
      </w:r>
      <w:r w:rsidR="002370DE">
        <w:rPr>
          <w:spacing w:val="-2"/>
          <w:sz w:val="20"/>
          <w:szCs w:val="20"/>
          <w:lang w:val="uk-UA"/>
        </w:rPr>
        <w:t>ре</w:t>
      </w:r>
      <w:r w:rsidRPr="003C6DAE">
        <w:rPr>
          <w:spacing w:val="-2"/>
          <w:sz w:val="20"/>
          <w:szCs w:val="20"/>
          <w:lang w:val="uk-UA"/>
        </w:rPr>
        <w:t>кваліфікації не стане доступною і не буде успішно завершена</w:t>
      </w:r>
      <w:r w:rsidR="00B01E0C" w:rsidRPr="003C6DAE">
        <w:rPr>
          <w:sz w:val="20"/>
          <w:szCs w:val="20"/>
          <w:lang w:val="uk-UA"/>
        </w:rPr>
        <w:t>.</w:t>
      </w:r>
    </w:p>
    <w:p w14:paraId="4615395A" w14:textId="77777777" w:rsidR="00E05B98" w:rsidRPr="003C6DAE" w:rsidRDefault="00E05B98">
      <w:pPr>
        <w:pStyle w:val="a3"/>
        <w:spacing w:line="297" w:lineRule="auto"/>
        <w:jc w:val="both"/>
        <w:rPr>
          <w:lang w:val="uk-UA"/>
        </w:rPr>
        <w:sectPr w:rsidR="00E05B98" w:rsidRPr="003C6DAE" w:rsidSect="009B5E1D">
          <w:pgSz w:w="11910" w:h="16840"/>
          <w:pgMar w:top="1320" w:right="995" w:bottom="760" w:left="850" w:header="0" w:footer="573" w:gutter="0"/>
          <w:cols w:space="720"/>
        </w:sectPr>
      </w:pPr>
    </w:p>
    <w:p w14:paraId="3745FD39" w14:textId="028B63B4" w:rsidR="00E05B98" w:rsidRPr="00434724" w:rsidRDefault="000317CC" w:rsidP="004A2937">
      <w:pPr>
        <w:pStyle w:val="5"/>
        <w:numPr>
          <w:ilvl w:val="2"/>
          <w:numId w:val="31"/>
        </w:numPr>
        <w:tabs>
          <w:tab w:val="left" w:pos="1276"/>
        </w:tabs>
        <w:spacing w:before="45" w:line="269" w:lineRule="auto"/>
        <w:ind w:left="1276" w:hanging="709"/>
        <w:rPr>
          <w:color w:val="019648"/>
          <w:sz w:val="26"/>
          <w:szCs w:val="26"/>
          <w:lang w:val="uk-UA"/>
        </w:rPr>
      </w:pPr>
      <w:bookmarkStart w:id="17" w:name="1.2.2_Pathway_B"/>
      <w:bookmarkStart w:id="18" w:name="1.3._Testing_classes_and_products"/>
      <w:bookmarkStart w:id="19" w:name="_bookmark7"/>
      <w:bookmarkEnd w:id="17"/>
      <w:bookmarkEnd w:id="18"/>
      <w:bookmarkEnd w:id="19"/>
      <w:r>
        <w:rPr>
          <w:color w:val="019648"/>
          <w:w w:val="105"/>
          <w:sz w:val="26"/>
          <w:szCs w:val="26"/>
          <w:lang w:val="uk-UA"/>
        </w:rPr>
        <w:lastRenderedPageBreak/>
        <w:t>Процедура</w:t>
      </w:r>
      <w:r w:rsidR="000A50CE">
        <w:rPr>
          <w:color w:val="019648"/>
          <w:w w:val="105"/>
          <w:sz w:val="26"/>
          <w:szCs w:val="26"/>
          <w:lang w:val="uk-UA"/>
        </w:rPr>
        <w:t xml:space="preserve"> перевірки</w:t>
      </w:r>
      <w:r w:rsidR="001D5E59">
        <w:rPr>
          <w:color w:val="019648"/>
          <w:w w:val="105"/>
          <w:sz w:val="26"/>
          <w:szCs w:val="26"/>
          <w:lang w:val="uk-UA"/>
        </w:rPr>
        <w:t xml:space="preserve"> </w:t>
      </w:r>
      <w:r w:rsidR="00B01E0C" w:rsidRPr="00434724">
        <w:rPr>
          <w:color w:val="019648"/>
          <w:spacing w:val="-10"/>
          <w:w w:val="105"/>
          <w:sz w:val="26"/>
          <w:szCs w:val="26"/>
          <w:lang w:val="uk-UA"/>
        </w:rPr>
        <w:t>B</w:t>
      </w:r>
    </w:p>
    <w:p w14:paraId="13105125" w14:textId="51FFFEAD" w:rsidR="00E05B98" w:rsidRPr="003C6DAE" w:rsidRDefault="0060588E" w:rsidP="000548D2">
      <w:pPr>
        <w:pStyle w:val="a3"/>
        <w:spacing w:before="189" w:line="269" w:lineRule="auto"/>
        <w:ind w:left="567" w:right="140"/>
        <w:jc w:val="both"/>
        <w:rPr>
          <w:sz w:val="20"/>
          <w:szCs w:val="20"/>
          <w:lang w:val="uk-UA"/>
        </w:rPr>
      </w:pPr>
      <w:r w:rsidRPr="003C6DAE">
        <w:rPr>
          <w:w w:val="105"/>
          <w:sz w:val="20"/>
          <w:szCs w:val="20"/>
          <w:lang w:val="uk-UA"/>
        </w:rPr>
        <w:t xml:space="preserve">Якщо технології мають спільні характеристики з існуючим класом </w:t>
      </w:r>
      <w:r w:rsidR="002370DE">
        <w:rPr>
          <w:w w:val="105"/>
          <w:sz w:val="20"/>
          <w:szCs w:val="20"/>
          <w:lang w:val="uk-UA"/>
        </w:rPr>
        <w:t>методу діагностики</w:t>
      </w:r>
      <w:r w:rsidRPr="003C6DAE">
        <w:rPr>
          <w:w w:val="105"/>
          <w:sz w:val="20"/>
          <w:szCs w:val="20"/>
          <w:lang w:val="uk-UA"/>
        </w:rPr>
        <w:t xml:space="preserve">,  відповідно, не є першими в своєму класі, тоді вони потребуватимуть розгляду за </w:t>
      </w:r>
      <w:r w:rsidR="000317CC">
        <w:rPr>
          <w:w w:val="105"/>
          <w:sz w:val="20"/>
          <w:szCs w:val="20"/>
          <w:lang w:val="uk-UA"/>
        </w:rPr>
        <w:t>П</w:t>
      </w:r>
      <w:r w:rsidRPr="003C6DAE">
        <w:rPr>
          <w:w w:val="105"/>
          <w:sz w:val="20"/>
          <w:szCs w:val="20"/>
          <w:lang w:val="uk-UA"/>
        </w:rPr>
        <w:t xml:space="preserve">роцедурою </w:t>
      </w:r>
      <w:r w:rsidR="000317CC">
        <w:rPr>
          <w:w w:val="105"/>
          <w:sz w:val="20"/>
          <w:szCs w:val="20"/>
          <w:lang w:val="uk-UA"/>
        </w:rPr>
        <w:t>перевірки</w:t>
      </w:r>
      <w:r w:rsidRPr="003C6DAE">
        <w:rPr>
          <w:w w:val="105"/>
          <w:sz w:val="20"/>
          <w:szCs w:val="20"/>
          <w:lang w:val="uk-UA"/>
        </w:rPr>
        <w:t xml:space="preserve"> В. Аналіз цих технологій всередині класу залежить від наявності процедури п</w:t>
      </w:r>
      <w:r w:rsidR="002370DE">
        <w:rPr>
          <w:w w:val="105"/>
          <w:sz w:val="20"/>
          <w:szCs w:val="20"/>
          <w:lang w:val="uk-UA"/>
        </w:rPr>
        <w:t>ре</w:t>
      </w:r>
      <w:r w:rsidRPr="003C6DAE">
        <w:rPr>
          <w:w w:val="105"/>
          <w:sz w:val="20"/>
          <w:szCs w:val="20"/>
          <w:lang w:val="uk-UA"/>
        </w:rPr>
        <w:t>кваліфікаційної оцінки для класу</w:t>
      </w:r>
      <w:r w:rsidR="00B01E0C" w:rsidRPr="003C6DAE">
        <w:rPr>
          <w:spacing w:val="-2"/>
          <w:w w:val="105"/>
          <w:sz w:val="20"/>
          <w:szCs w:val="20"/>
          <w:lang w:val="uk-UA"/>
        </w:rPr>
        <w:t>:</w:t>
      </w:r>
    </w:p>
    <w:p w14:paraId="1B182325" w14:textId="734400B1" w:rsidR="0060588E" w:rsidRPr="003C6DAE" w:rsidRDefault="0060588E" w:rsidP="004A2937">
      <w:pPr>
        <w:pStyle w:val="a4"/>
        <w:numPr>
          <w:ilvl w:val="3"/>
          <w:numId w:val="31"/>
        </w:numPr>
        <w:tabs>
          <w:tab w:val="left" w:pos="850"/>
        </w:tabs>
        <w:spacing w:before="118" w:line="269" w:lineRule="auto"/>
        <w:ind w:right="140" w:hanging="284"/>
        <w:rPr>
          <w:sz w:val="20"/>
          <w:szCs w:val="20"/>
          <w:lang w:val="uk-UA"/>
        </w:rPr>
      </w:pPr>
      <w:r w:rsidRPr="003C6DAE">
        <w:rPr>
          <w:sz w:val="20"/>
          <w:szCs w:val="20"/>
          <w:lang w:val="uk-UA"/>
        </w:rPr>
        <w:t>Якщо існує процедура попередньої кваліфікаційної оцінки, виробники можуть приступити безпосередньо до оцінки.</w:t>
      </w:r>
    </w:p>
    <w:p w14:paraId="1B89A68D" w14:textId="3AC6A74D" w:rsidR="00E05B98" w:rsidRPr="003C6DAE" w:rsidRDefault="0060588E" w:rsidP="004A2937">
      <w:pPr>
        <w:pStyle w:val="a4"/>
        <w:numPr>
          <w:ilvl w:val="3"/>
          <w:numId w:val="31"/>
        </w:numPr>
        <w:tabs>
          <w:tab w:val="left" w:pos="850"/>
        </w:tabs>
        <w:spacing w:before="2" w:line="269" w:lineRule="auto"/>
        <w:ind w:right="139" w:hanging="284"/>
        <w:rPr>
          <w:sz w:val="20"/>
          <w:szCs w:val="20"/>
          <w:lang w:val="uk-UA"/>
        </w:rPr>
      </w:pPr>
      <w:r w:rsidRPr="003C6DAE">
        <w:rPr>
          <w:sz w:val="20"/>
          <w:szCs w:val="20"/>
          <w:lang w:val="uk-UA"/>
        </w:rPr>
        <w:t>Якщо процедура попередньої кваліфікаційної оцінки ще недоступна, огляд доказів буде проведено в рамках процесу оцінки доказів ВООЗ/Г</w:t>
      </w:r>
      <w:r w:rsidR="00F717DD">
        <w:rPr>
          <w:sz w:val="20"/>
          <w:szCs w:val="20"/>
          <w:lang w:val="uk-UA"/>
        </w:rPr>
        <w:t>П</w:t>
      </w:r>
      <w:r w:rsidRPr="003C6DAE">
        <w:rPr>
          <w:sz w:val="20"/>
          <w:szCs w:val="20"/>
          <w:lang w:val="uk-UA"/>
        </w:rPr>
        <w:t>ТБ за сприяння Технічної консультативної групи з питань діагностики ТБ та зміцнення лабораторій. Якщо технологія буде рекомендована ВООЗ/Г</w:t>
      </w:r>
      <w:r w:rsidR="00F717DD">
        <w:rPr>
          <w:sz w:val="20"/>
          <w:szCs w:val="20"/>
          <w:lang w:val="uk-UA"/>
        </w:rPr>
        <w:t>П</w:t>
      </w:r>
      <w:r w:rsidRPr="003C6DAE">
        <w:rPr>
          <w:sz w:val="20"/>
          <w:szCs w:val="20"/>
          <w:lang w:val="uk-UA"/>
        </w:rPr>
        <w:t>ТБ, вона буде додана до відповідного класу</w:t>
      </w:r>
      <w:r w:rsidR="002370DE">
        <w:rPr>
          <w:sz w:val="20"/>
          <w:szCs w:val="20"/>
          <w:lang w:val="uk-UA"/>
        </w:rPr>
        <w:t xml:space="preserve"> методів діагностики</w:t>
      </w:r>
      <w:r w:rsidRPr="003C6DAE">
        <w:rPr>
          <w:sz w:val="20"/>
          <w:szCs w:val="20"/>
          <w:lang w:val="uk-UA"/>
        </w:rPr>
        <w:t xml:space="preserve"> в останньому керівництві щодо політики. Рекомендація буде чинною до тих пір, поки не стане доступною і не буде успішно завершена процедура попередньої кваліфікаційної оцінки</w:t>
      </w:r>
      <w:r w:rsidR="00B01E0C" w:rsidRPr="003C6DAE">
        <w:rPr>
          <w:spacing w:val="-2"/>
          <w:w w:val="105"/>
          <w:sz w:val="20"/>
          <w:szCs w:val="20"/>
          <w:lang w:val="uk-UA"/>
        </w:rPr>
        <w:t>.</w:t>
      </w:r>
    </w:p>
    <w:p w14:paraId="0AC72925" w14:textId="77777777" w:rsidR="00E05B98" w:rsidRPr="003C6DAE" w:rsidRDefault="00E05B98" w:rsidP="000548D2">
      <w:pPr>
        <w:pStyle w:val="a3"/>
        <w:spacing w:before="97" w:line="269" w:lineRule="auto"/>
        <w:rPr>
          <w:lang w:val="uk-UA"/>
        </w:rPr>
      </w:pPr>
    </w:p>
    <w:p w14:paraId="15823394" w14:textId="02C7CF70" w:rsidR="00E05B98" w:rsidRPr="00434724" w:rsidRDefault="00F717DD" w:rsidP="004A2937">
      <w:pPr>
        <w:pStyle w:val="3"/>
        <w:numPr>
          <w:ilvl w:val="1"/>
          <w:numId w:val="31"/>
        </w:numPr>
        <w:tabs>
          <w:tab w:val="left" w:pos="1285"/>
        </w:tabs>
        <w:spacing w:line="269" w:lineRule="auto"/>
        <w:ind w:left="1285" w:hanging="718"/>
        <w:rPr>
          <w:color w:val="019648"/>
          <w:sz w:val="36"/>
          <w:szCs w:val="36"/>
          <w:lang w:val="uk-UA"/>
        </w:rPr>
      </w:pPr>
      <w:r w:rsidRPr="00434724">
        <w:rPr>
          <w:color w:val="019648"/>
          <w:sz w:val="36"/>
          <w:szCs w:val="36"/>
          <w:lang w:val="uk-UA"/>
        </w:rPr>
        <w:t>К</w:t>
      </w:r>
      <w:r w:rsidR="0060588E" w:rsidRPr="00434724">
        <w:rPr>
          <w:color w:val="019648"/>
          <w:sz w:val="36"/>
          <w:szCs w:val="36"/>
          <w:lang w:val="uk-UA"/>
        </w:rPr>
        <w:t>лас</w:t>
      </w:r>
      <w:r w:rsidRPr="00434724">
        <w:rPr>
          <w:color w:val="019648"/>
          <w:sz w:val="36"/>
          <w:szCs w:val="36"/>
          <w:lang w:val="uk-UA"/>
        </w:rPr>
        <w:t>и та продукти</w:t>
      </w:r>
      <w:r w:rsidR="0060588E" w:rsidRPr="00434724">
        <w:rPr>
          <w:color w:val="019648"/>
          <w:sz w:val="36"/>
          <w:szCs w:val="36"/>
          <w:lang w:val="uk-UA"/>
        </w:rPr>
        <w:t xml:space="preserve"> </w:t>
      </w:r>
      <w:r w:rsidRPr="00434724">
        <w:rPr>
          <w:color w:val="019648"/>
          <w:sz w:val="36"/>
          <w:szCs w:val="36"/>
          <w:lang w:val="uk-UA"/>
        </w:rPr>
        <w:t>тестування</w:t>
      </w:r>
    </w:p>
    <w:p w14:paraId="015649E2" w14:textId="51079438" w:rsidR="004F7E90" w:rsidRPr="003C6DAE" w:rsidRDefault="004F7E90" w:rsidP="000548D2">
      <w:pPr>
        <w:pStyle w:val="6"/>
        <w:spacing w:before="239" w:line="269" w:lineRule="auto"/>
        <w:ind w:right="139"/>
        <w:jc w:val="both"/>
        <w:rPr>
          <w:rFonts w:ascii="Microsoft Sans Serif" w:eastAsia="Microsoft Sans Serif" w:hAnsi="Microsoft Sans Serif" w:cs="Microsoft Sans Serif"/>
          <w:b w:val="0"/>
          <w:bCs w:val="0"/>
          <w:sz w:val="20"/>
          <w:szCs w:val="20"/>
          <w:lang w:val="uk-UA"/>
        </w:rPr>
      </w:pPr>
      <w:bookmarkStart w:id="20" w:name="_bookmark8"/>
      <w:bookmarkEnd w:id="20"/>
      <w:r w:rsidRPr="003C6DAE">
        <w:rPr>
          <w:rFonts w:ascii="Microsoft Sans Serif" w:eastAsia="Microsoft Sans Serif" w:hAnsi="Microsoft Sans Serif" w:cs="Microsoft Sans Serif"/>
          <w:b w:val="0"/>
          <w:bCs w:val="0"/>
          <w:sz w:val="20"/>
          <w:szCs w:val="20"/>
          <w:lang w:val="uk-UA"/>
        </w:rPr>
        <w:t xml:space="preserve">Як було зазначено вище, очікується, що всі технології, рекомендовані </w:t>
      </w:r>
      <w:r w:rsidR="00F717DD">
        <w:rPr>
          <w:rFonts w:ascii="Microsoft Sans Serif" w:eastAsia="Microsoft Sans Serif" w:hAnsi="Microsoft Sans Serif" w:cs="Microsoft Sans Serif"/>
          <w:b w:val="0"/>
          <w:bCs w:val="0"/>
          <w:sz w:val="20"/>
          <w:szCs w:val="20"/>
          <w:lang w:val="uk-UA"/>
        </w:rPr>
        <w:t>Глобальною програмою ВООЗ із боротьби з ТБ (</w:t>
      </w:r>
      <w:r w:rsidRPr="003C6DAE">
        <w:rPr>
          <w:rFonts w:ascii="Microsoft Sans Serif" w:eastAsia="Microsoft Sans Serif" w:hAnsi="Microsoft Sans Serif" w:cs="Microsoft Sans Serif"/>
          <w:b w:val="0"/>
          <w:bCs w:val="0"/>
          <w:sz w:val="20"/>
          <w:szCs w:val="20"/>
          <w:lang w:val="uk-UA"/>
        </w:rPr>
        <w:t>ВООЗ</w:t>
      </w:r>
      <w:r w:rsidR="00F717DD">
        <w:rPr>
          <w:rFonts w:ascii="Microsoft Sans Serif" w:eastAsia="Microsoft Sans Serif" w:hAnsi="Microsoft Sans Serif" w:cs="Microsoft Sans Serif"/>
          <w:b w:val="0"/>
          <w:bCs w:val="0"/>
          <w:sz w:val="20"/>
          <w:szCs w:val="20"/>
          <w:lang w:val="uk-UA"/>
        </w:rPr>
        <w:t>/ГПТБ)</w:t>
      </w:r>
      <w:r w:rsidRPr="003C6DAE">
        <w:rPr>
          <w:rFonts w:ascii="Microsoft Sans Serif" w:eastAsia="Microsoft Sans Serif" w:hAnsi="Microsoft Sans Serif" w:cs="Microsoft Sans Serif"/>
          <w:b w:val="0"/>
          <w:bCs w:val="0"/>
          <w:sz w:val="20"/>
          <w:szCs w:val="20"/>
          <w:lang w:val="uk-UA"/>
        </w:rPr>
        <w:t>, пройдуть попередню кваліфікаційну оцінку за доступності. Успішна оцінка буде необхідною для збереження рекомендації ВООЗ/</w:t>
      </w:r>
      <w:r w:rsidR="00F717DD">
        <w:rPr>
          <w:rFonts w:ascii="Microsoft Sans Serif" w:eastAsia="Microsoft Sans Serif" w:hAnsi="Microsoft Sans Serif" w:cs="Microsoft Sans Serif"/>
          <w:b w:val="0"/>
          <w:bCs w:val="0"/>
          <w:sz w:val="20"/>
          <w:szCs w:val="20"/>
          <w:lang w:val="uk-UA"/>
        </w:rPr>
        <w:t>ГП</w:t>
      </w:r>
      <w:r w:rsidRPr="003C6DAE">
        <w:rPr>
          <w:rFonts w:ascii="Microsoft Sans Serif" w:eastAsia="Microsoft Sans Serif" w:hAnsi="Microsoft Sans Serif" w:cs="Microsoft Sans Serif"/>
          <w:b w:val="0"/>
          <w:bCs w:val="0"/>
          <w:sz w:val="20"/>
          <w:szCs w:val="20"/>
          <w:lang w:val="uk-UA"/>
        </w:rPr>
        <w:t xml:space="preserve">ТБ. Поточний набір класів діагностичних тестів на ТБ та включені до них продукти наведено в </w:t>
      </w:r>
      <w:r w:rsidRPr="003C6DAE">
        <w:rPr>
          <w:rFonts w:ascii="Microsoft Sans Serif" w:eastAsia="Microsoft Sans Serif" w:hAnsi="Microsoft Sans Serif" w:cs="Microsoft Sans Serif"/>
          <w:sz w:val="20"/>
          <w:szCs w:val="20"/>
          <w:lang w:val="uk-UA"/>
        </w:rPr>
        <w:t>Таблиці 1.1.1</w:t>
      </w:r>
      <w:r w:rsidRPr="003C6DAE">
        <w:rPr>
          <w:rFonts w:ascii="Microsoft Sans Serif" w:eastAsia="Microsoft Sans Serif" w:hAnsi="Microsoft Sans Serif" w:cs="Microsoft Sans Serif"/>
          <w:b w:val="0"/>
          <w:bCs w:val="0"/>
          <w:sz w:val="20"/>
          <w:szCs w:val="20"/>
          <w:lang w:val="uk-UA"/>
        </w:rPr>
        <w:t>, а два нових класи обговорюються нижче.</w:t>
      </w:r>
    </w:p>
    <w:p w14:paraId="3858B289" w14:textId="7EBBED2A" w:rsidR="00E05B98" w:rsidRPr="00F717DD" w:rsidRDefault="004F7E90" w:rsidP="000548D2">
      <w:pPr>
        <w:pStyle w:val="6"/>
        <w:spacing w:before="239" w:line="269" w:lineRule="auto"/>
        <w:ind w:right="139"/>
        <w:jc w:val="both"/>
        <w:rPr>
          <w:sz w:val="22"/>
          <w:szCs w:val="22"/>
          <w:lang w:val="uk-UA"/>
        </w:rPr>
      </w:pPr>
      <w:r w:rsidRPr="00F717DD">
        <w:rPr>
          <w:color w:val="636466"/>
          <w:sz w:val="22"/>
          <w:szCs w:val="22"/>
          <w:lang w:val="uk-UA"/>
        </w:rPr>
        <w:t>Таблиця</w:t>
      </w:r>
      <w:r w:rsidR="00B01E0C" w:rsidRPr="00F717DD">
        <w:rPr>
          <w:color w:val="636466"/>
          <w:spacing w:val="-6"/>
          <w:sz w:val="22"/>
          <w:szCs w:val="22"/>
          <w:lang w:val="uk-UA"/>
        </w:rPr>
        <w:t xml:space="preserve"> </w:t>
      </w:r>
      <w:r w:rsidR="00B01E0C" w:rsidRPr="00F717DD">
        <w:rPr>
          <w:color w:val="636466"/>
          <w:sz w:val="22"/>
          <w:szCs w:val="22"/>
          <w:lang w:val="uk-UA"/>
        </w:rPr>
        <w:t>1.1.1.</w:t>
      </w:r>
      <w:r w:rsidR="00B01E0C" w:rsidRPr="00F717DD">
        <w:rPr>
          <w:color w:val="636466"/>
          <w:spacing w:val="-6"/>
          <w:sz w:val="22"/>
          <w:szCs w:val="22"/>
          <w:lang w:val="uk-UA"/>
        </w:rPr>
        <w:t xml:space="preserve"> </w:t>
      </w:r>
      <w:r w:rsidRPr="00F717DD">
        <w:rPr>
          <w:color w:val="636466"/>
          <w:sz w:val="22"/>
          <w:szCs w:val="22"/>
          <w:lang w:val="uk-UA"/>
        </w:rPr>
        <w:t>Класи та продукти тестування на ТБ для виявлення ТБ, лікарсько-стійкого ТБ та туберкульозної інфекції, включені до чинних настанов</w:t>
      </w:r>
    </w:p>
    <w:p w14:paraId="3DC60192" w14:textId="77777777" w:rsidR="00E05B98" w:rsidRPr="00434724" w:rsidRDefault="00E05B98" w:rsidP="000548D2">
      <w:pPr>
        <w:pStyle w:val="a3"/>
        <w:spacing w:before="73" w:line="269" w:lineRule="auto"/>
        <w:rPr>
          <w:rFonts w:ascii="Arial"/>
          <w:b/>
          <w:sz w:val="10"/>
          <w:szCs w:val="10"/>
          <w:lang w:val="uk-UA"/>
        </w:rPr>
      </w:pPr>
    </w:p>
    <w:tbl>
      <w:tblPr>
        <w:tblStyle w:val="TableNormal"/>
        <w:tblW w:w="9609" w:type="dxa"/>
        <w:tblInd w:w="58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3514"/>
        <w:gridCol w:w="6095"/>
      </w:tblGrid>
      <w:tr w:rsidR="00E05B98" w:rsidRPr="003C6DAE" w14:paraId="6BBF5A8D" w14:textId="77777777" w:rsidTr="00434724">
        <w:trPr>
          <w:trHeight w:val="428"/>
        </w:trPr>
        <w:tc>
          <w:tcPr>
            <w:tcW w:w="3514" w:type="dxa"/>
            <w:tcBorders>
              <w:right w:val="single" w:sz="6" w:space="0" w:color="019648"/>
            </w:tcBorders>
            <w:shd w:val="clear" w:color="auto" w:fill="62A86B"/>
          </w:tcPr>
          <w:p w14:paraId="703702AC" w14:textId="422EF350" w:rsidR="00E05B98" w:rsidRPr="00434724" w:rsidRDefault="004F7E90" w:rsidP="004F7E90">
            <w:pPr>
              <w:pStyle w:val="TableParagraph"/>
              <w:spacing w:before="95" w:line="269" w:lineRule="auto"/>
              <w:ind w:left="136"/>
              <w:rPr>
                <w:rFonts w:ascii="Arial"/>
                <w:b/>
                <w:color w:val="FFFFFF"/>
                <w:spacing w:val="-2"/>
                <w:sz w:val="20"/>
                <w:szCs w:val="20"/>
                <w:lang w:val="uk-UA"/>
              </w:rPr>
            </w:pPr>
            <w:r w:rsidRPr="00434724">
              <w:rPr>
                <w:rFonts w:ascii="Arial"/>
                <w:b/>
                <w:color w:val="FFFFFF"/>
                <w:spacing w:val="-2"/>
                <w:sz w:val="20"/>
                <w:szCs w:val="20"/>
                <w:lang w:val="uk-UA"/>
              </w:rPr>
              <w:t>Клас</w:t>
            </w:r>
            <w:r w:rsidRPr="00434724">
              <w:rPr>
                <w:rFonts w:ascii="Arial"/>
                <w:b/>
                <w:color w:val="FFFFFF"/>
                <w:spacing w:val="-2"/>
                <w:sz w:val="20"/>
                <w:szCs w:val="20"/>
                <w:lang w:val="uk-UA"/>
              </w:rPr>
              <w:t xml:space="preserve"> </w:t>
            </w:r>
            <w:r w:rsidRPr="00434724">
              <w:rPr>
                <w:rFonts w:ascii="Arial"/>
                <w:b/>
                <w:color w:val="FFFFFF"/>
                <w:spacing w:val="-2"/>
                <w:sz w:val="20"/>
                <w:szCs w:val="20"/>
                <w:lang w:val="uk-UA"/>
              </w:rPr>
              <w:t>технології</w:t>
            </w:r>
          </w:p>
        </w:tc>
        <w:tc>
          <w:tcPr>
            <w:tcW w:w="6095" w:type="dxa"/>
            <w:tcBorders>
              <w:left w:val="single" w:sz="6" w:space="0" w:color="019648"/>
              <w:right w:val="single" w:sz="6" w:space="0" w:color="019648"/>
            </w:tcBorders>
            <w:shd w:val="clear" w:color="auto" w:fill="62A86B"/>
          </w:tcPr>
          <w:p w14:paraId="096E6903" w14:textId="139AA765" w:rsidR="00E05B98" w:rsidRPr="00434724" w:rsidRDefault="004F7E90" w:rsidP="000548D2">
            <w:pPr>
              <w:pStyle w:val="TableParagraph"/>
              <w:spacing w:before="95" w:line="269" w:lineRule="auto"/>
              <w:ind w:left="138"/>
              <w:rPr>
                <w:rFonts w:ascii="Arial"/>
                <w:b/>
                <w:sz w:val="20"/>
                <w:szCs w:val="20"/>
                <w:lang w:val="uk-UA"/>
              </w:rPr>
            </w:pPr>
            <w:r w:rsidRPr="00434724">
              <w:rPr>
                <w:rFonts w:ascii="Arial"/>
                <w:b/>
                <w:color w:val="FFFFFF"/>
                <w:sz w:val="20"/>
                <w:szCs w:val="20"/>
                <w:lang w:val="uk-UA"/>
              </w:rPr>
              <w:t>Включені</w:t>
            </w:r>
            <w:r w:rsidRPr="00434724">
              <w:rPr>
                <w:rFonts w:ascii="Arial"/>
                <w:b/>
                <w:color w:val="FFFFFF"/>
                <w:sz w:val="20"/>
                <w:szCs w:val="20"/>
                <w:lang w:val="uk-UA"/>
              </w:rPr>
              <w:t xml:space="preserve"> </w:t>
            </w:r>
            <w:r w:rsidRPr="00434724">
              <w:rPr>
                <w:rFonts w:ascii="Arial"/>
                <w:b/>
                <w:color w:val="FFFFFF"/>
                <w:sz w:val="20"/>
                <w:szCs w:val="20"/>
                <w:lang w:val="uk-UA"/>
              </w:rPr>
              <w:t>продукти</w:t>
            </w:r>
          </w:p>
        </w:tc>
      </w:tr>
      <w:tr w:rsidR="00E05B98" w:rsidRPr="00D029FF" w14:paraId="0702A902" w14:textId="77777777" w:rsidTr="00434724">
        <w:trPr>
          <w:trHeight w:val="428"/>
        </w:trPr>
        <w:tc>
          <w:tcPr>
            <w:tcW w:w="9609" w:type="dxa"/>
            <w:gridSpan w:val="2"/>
            <w:shd w:val="clear" w:color="auto" w:fill="9FC39D"/>
          </w:tcPr>
          <w:p w14:paraId="2701B17C" w14:textId="2136C821" w:rsidR="00E05B98" w:rsidRPr="00434724" w:rsidRDefault="004F7E90" w:rsidP="000548D2">
            <w:pPr>
              <w:pStyle w:val="TableParagraph"/>
              <w:spacing w:before="95" w:line="269" w:lineRule="auto"/>
              <w:ind w:left="136"/>
              <w:rPr>
                <w:rFonts w:ascii="Arial"/>
                <w:b/>
                <w:sz w:val="20"/>
                <w:szCs w:val="20"/>
                <w:lang w:val="uk-UA"/>
              </w:rPr>
            </w:pPr>
            <w:r w:rsidRPr="00434724">
              <w:rPr>
                <w:rFonts w:ascii="Arial"/>
                <w:b/>
                <w:sz w:val="20"/>
                <w:szCs w:val="20"/>
                <w:lang w:val="uk-UA"/>
              </w:rPr>
              <w:t>Початкові</w:t>
            </w:r>
            <w:r w:rsidRPr="00434724">
              <w:rPr>
                <w:rFonts w:ascii="Arial"/>
                <w:b/>
                <w:sz w:val="20"/>
                <w:szCs w:val="20"/>
                <w:lang w:val="uk-UA"/>
              </w:rPr>
              <w:t xml:space="preserve"> </w:t>
            </w:r>
            <w:r w:rsidRPr="00434724">
              <w:rPr>
                <w:rFonts w:ascii="Arial"/>
                <w:b/>
                <w:sz w:val="20"/>
                <w:szCs w:val="20"/>
                <w:lang w:val="uk-UA"/>
              </w:rPr>
              <w:t>тести</w:t>
            </w:r>
            <w:r w:rsidRPr="00434724">
              <w:rPr>
                <w:rFonts w:ascii="Arial"/>
                <w:b/>
                <w:sz w:val="20"/>
                <w:szCs w:val="20"/>
                <w:lang w:val="uk-UA"/>
              </w:rPr>
              <w:t xml:space="preserve"> </w:t>
            </w:r>
            <w:r w:rsidRPr="00434724">
              <w:rPr>
                <w:rFonts w:ascii="Arial"/>
                <w:b/>
                <w:sz w:val="20"/>
                <w:szCs w:val="20"/>
                <w:lang w:val="uk-UA"/>
              </w:rPr>
              <w:t>для</w:t>
            </w:r>
            <w:r w:rsidRPr="00434724">
              <w:rPr>
                <w:rFonts w:ascii="Arial"/>
                <w:b/>
                <w:sz w:val="20"/>
                <w:szCs w:val="20"/>
                <w:lang w:val="uk-UA"/>
              </w:rPr>
              <w:t xml:space="preserve"> </w:t>
            </w:r>
            <w:r w:rsidRPr="00434724">
              <w:rPr>
                <w:rFonts w:ascii="Arial"/>
                <w:b/>
                <w:sz w:val="20"/>
                <w:szCs w:val="20"/>
                <w:lang w:val="uk-UA"/>
              </w:rPr>
              <w:t>діагностики</w:t>
            </w:r>
            <w:r w:rsidRPr="00434724">
              <w:rPr>
                <w:rFonts w:ascii="Arial"/>
                <w:b/>
                <w:sz w:val="20"/>
                <w:szCs w:val="20"/>
                <w:lang w:val="uk-UA"/>
              </w:rPr>
              <w:t xml:space="preserve"> </w:t>
            </w:r>
            <w:r w:rsidRPr="00434724">
              <w:rPr>
                <w:rFonts w:ascii="Arial"/>
                <w:b/>
                <w:sz w:val="20"/>
                <w:szCs w:val="20"/>
                <w:lang w:val="uk-UA"/>
              </w:rPr>
              <w:t>ТБ</w:t>
            </w:r>
            <w:r w:rsidRPr="00434724">
              <w:rPr>
                <w:rFonts w:ascii="Arial"/>
                <w:b/>
                <w:sz w:val="20"/>
                <w:szCs w:val="20"/>
                <w:lang w:val="uk-UA"/>
              </w:rPr>
              <w:t xml:space="preserve"> </w:t>
            </w:r>
            <w:r w:rsidRPr="00434724">
              <w:rPr>
                <w:rFonts w:ascii="Arial"/>
                <w:b/>
                <w:sz w:val="20"/>
                <w:szCs w:val="20"/>
                <w:lang w:val="uk-UA"/>
              </w:rPr>
              <w:t>з</w:t>
            </w:r>
            <w:r w:rsidRPr="00434724">
              <w:rPr>
                <w:rFonts w:ascii="Arial"/>
                <w:b/>
                <w:sz w:val="20"/>
                <w:szCs w:val="20"/>
                <w:lang w:val="uk-UA"/>
              </w:rPr>
              <w:t xml:space="preserve"> </w:t>
            </w:r>
            <w:r w:rsidRPr="00434724">
              <w:rPr>
                <w:rFonts w:ascii="Arial"/>
                <w:b/>
                <w:sz w:val="20"/>
                <w:szCs w:val="20"/>
                <w:lang w:val="uk-UA"/>
              </w:rPr>
              <w:t>виявленням</w:t>
            </w:r>
            <w:r w:rsidRPr="00434724">
              <w:rPr>
                <w:rFonts w:ascii="Arial"/>
                <w:b/>
                <w:sz w:val="20"/>
                <w:szCs w:val="20"/>
                <w:lang w:val="uk-UA"/>
              </w:rPr>
              <w:t xml:space="preserve"> </w:t>
            </w:r>
            <w:r w:rsidRPr="00434724">
              <w:rPr>
                <w:rFonts w:ascii="Arial"/>
                <w:b/>
                <w:sz w:val="20"/>
                <w:szCs w:val="20"/>
                <w:lang w:val="uk-UA"/>
              </w:rPr>
              <w:t>стійкості</w:t>
            </w:r>
            <w:r w:rsidRPr="00434724">
              <w:rPr>
                <w:rFonts w:ascii="Arial"/>
                <w:b/>
                <w:sz w:val="20"/>
                <w:szCs w:val="20"/>
                <w:lang w:val="uk-UA"/>
              </w:rPr>
              <w:t xml:space="preserve"> </w:t>
            </w:r>
            <w:r w:rsidRPr="00434724">
              <w:rPr>
                <w:rFonts w:ascii="Arial"/>
                <w:b/>
                <w:sz w:val="20"/>
                <w:szCs w:val="20"/>
                <w:lang w:val="uk-UA"/>
              </w:rPr>
              <w:t>до</w:t>
            </w:r>
            <w:r w:rsidRPr="00434724">
              <w:rPr>
                <w:rFonts w:ascii="Arial"/>
                <w:b/>
                <w:sz w:val="20"/>
                <w:szCs w:val="20"/>
                <w:lang w:val="uk-UA"/>
              </w:rPr>
              <w:t xml:space="preserve"> </w:t>
            </w:r>
            <w:r w:rsidRPr="00434724">
              <w:rPr>
                <w:rFonts w:ascii="Arial"/>
                <w:b/>
                <w:sz w:val="20"/>
                <w:szCs w:val="20"/>
                <w:lang w:val="uk-UA"/>
              </w:rPr>
              <w:t>лікарських</w:t>
            </w:r>
            <w:r w:rsidRPr="00434724">
              <w:rPr>
                <w:rFonts w:ascii="Arial"/>
                <w:b/>
                <w:sz w:val="20"/>
                <w:szCs w:val="20"/>
                <w:lang w:val="uk-UA"/>
              </w:rPr>
              <w:t xml:space="preserve"> </w:t>
            </w:r>
            <w:r w:rsidRPr="00434724">
              <w:rPr>
                <w:rFonts w:ascii="Arial"/>
                <w:b/>
                <w:sz w:val="20"/>
                <w:szCs w:val="20"/>
                <w:lang w:val="uk-UA"/>
              </w:rPr>
              <w:t>засобів</w:t>
            </w:r>
          </w:p>
        </w:tc>
      </w:tr>
      <w:tr w:rsidR="00E05B98" w:rsidRPr="00D029FF" w14:paraId="5CFE4BEF" w14:textId="77777777" w:rsidTr="00434724">
        <w:trPr>
          <w:trHeight w:val="1165"/>
        </w:trPr>
        <w:tc>
          <w:tcPr>
            <w:tcW w:w="3514" w:type="dxa"/>
            <w:tcBorders>
              <w:left w:val="nil"/>
              <w:bottom w:val="single" w:sz="8" w:space="0" w:color="388600"/>
              <w:right w:val="nil"/>
            </w:tcBorders>
          </w:tcPr>
          <w:p w14:paraId="0C1A65BB" w14:textId="00868602" w:rsidR="00E05B98" w:rsidRPr="00434724" w:rsidRDefault="004F7E90" w:rsidP="00434724">
            <w:pPr>
              <w:pStyle w:val="TableParagraph"/>
              <w:spacing w:before="73" w:line="269" w:lineRule="auto"/>
              <w:ind w:left="125"/>
              <w:rPr>
                <w:sz w:val="18"/>
                <w:szCs w:val="18"/>
                <w:lang w:val="uk-UA"/>
              </w:rPr>
            </w:pPr>
            <w:r w:rsidRPr="00434724">
              <w:rPr>
                <w:rFonts w:ascii="Arial"/>
                <w:b/>
                <w:sz w:val="18"/>
                <w:szCs w:val="18"/>
                <w:lang w:val="uk-UA"/>
              </w:rPr>
              <w:t>НОВИЙ</w:t>
            </w:r>
            <w:r w:rsidR="00B01E0C" w:rsidRPr="00434724">
              <w:rPr>
                <w:rFonts w:ascii="Arial"/>
                <w:b/>
                <w:sz w:val="18"/>
                <w:szCs w:val="18"/>
                <w:lang w:val="uk-UA"/>
              </w:rPr>
              <w:t xml:space="preserve">: </w:t>
            </w:r>
            <w:r w:rsidRPr="00434724">
              <w:rPr>
                <w:sz w:val="18"/>
                <w:szCs w:val="18"/>
                <w:lang w:val="uk-UA"/>
              </w:rPr>
              <w:t>Автоматизовані тести ампліфікаці</w:t>
            </w:r>
            <w:r w:rsidR="00434724" w:rsidRPr="00434724">
              <w:rPr>
                <w:sz w:val="18"/>
                <w:szCs w:val="18"/>
                <w:lang w:val="uk-UA"/>
              </w:rPr>
              <w:t>ї</w:t>
            </w:r>
            <w:r w:rsidRPr="00434724">
              <w:rPr>
                <w:sz w:val="18"/>
                <w:szCs w:val="18"/>
                <w:lang w:val="uk-UA"/>
              </w:rPr>
              <w:t xml:space="preserve"> нуклеїнових кислот (ТАНК)  низької складності для виявлення ТБ та стійкості до рифампіцину</w:t>
            </w:r>
          </w:p>
        </w:tc>
        <w:tc>
          <w:tcPr>
            <w:tcW w:w="6095" w:type="dxa"/>
            <w:tcBorders>
              <w:left w:val="nil"/>
              <w:bottom w:val="single" w:sz="8" w:space="0" w:color="388600"/>
              <w:right w:val="nil"/>
            </w:tcBorders>
          </w:tcPr>
          <w:p w14:paraId="6BBD6CA8" w14:textId="0F02CFF7" w:rsidR="00E05B98" w:rsidRPr="00434724" w:rsidRDefault="004F7E90" w:rsidP="00434724">
            <w:pPr>
              <w:pStyle w:val="TableParagraph"/>
              <w:spacing w:before="76" w:line="269" w:lineRule="auto"/>
              <w:rPr>
                <w:sz w:val="18"/>
                <w:szCs w:val="18"/>
                <w:lang w:val="uk-UA"/>
              </w:rPr>
            </w:pPr>
            <w:r w:rsidRPr="00434724">
              <w:rPr>
                <w:sz w:val="18"/>
                <w:szCs w:val="18"/>
                <w:lang w:val="uk-UA"/>
              </w:rPr>
              <w:t xml:space="preserve">Тести </w:t>
            </w:r>
            <w:r w:rsidR="00B01E0C" w:rsidRPr="00434724">
              <w:rPr>
                <w:sz w:val="18"/>
                <w:szCs w:val="18"/>
                <w:lang w:val="uk-UA"/>
              </w:rPr>
              <w:t>Xpert</w:t>
            </w:r>
            <w:r w:rsidR="00B01E0C" w:rsidRPr="00434724">
              <w:rPr>
                <w:sz w:val="18"/>
                <w:szCs w:val="18"/>
                <w:vertAlign w:val="superscript"/>
                <w:lang w:val="uk-UA"/>
              </w:rPr>
              <w:t>®</w:t>
            </w:r>
            <w:r w:rsidR="00B01E0C" w:rsidRPr="00434724">
              <w:rPr>
                <w:spacing w:val="-3"/>
                <w:sz w:val="18"/>
                <w:szCs w:val="18"/>
                <w:lang w:val="uk-UA"/>
              </w:rPr>
              <w:t xml:space="preserve"> </w:t>
            </w:r>
            <w:r w:rsidR="00B01E0C" w:rsidRPr="00434724">
              <w:rPr>
                <w:sz w:val="18"/>
                <w:szCs w:val="18"/>
                <w:lang w:val="uk-UA"/>
              </w:rPr>
              <w:t>MTB/RIF</w:t>
            </w:r>
            <w:r w:rsidR="00B01E0C" w:rsidRPr="00434724">
              <w:rPr>
                <w:spacing w:val="-3"/>
                <w:sz w:val="18"/>
                <w:szCs w:val="18"/>
                <w:lang w:val="uk-UA"/>
              </w:rPr>
              <w:t xml:space="preserve"> </w:t>
            </w:r>
            <w:r w:rsidRPr="00434724">
              <w:rPr>
                <w:sz w:val="18"/>
                <w:szCs w:val="18"/>
                <w:lang w:val="uk-UA"/>
              </w:rPr>
              <w:t>і</w:t>
            </w:r>
            <w:r w:rsidR="00B01E0C" w:rsidRPr="00434724">
              <w:rPr>
                <w:spacing w:val="-3"/>
                <w:sz w:val="18"/>
                <w:szCs w:val="18"/>
                <w:lang w:val="uk-UA"/>
              </w:rPr>
              <w:t xml:space="preserve"> </w:t>
            </w:r>
            <w:r w:rsidR="00B01E0C" w:rsidRPr="00434724">
              <w:rPr>
                <w:sz w:val="18"/>
                <w:szCs w:val="18"/>
                <w:lang w:val="uk-UA"/>
              </w:rPr>
              <w:t>Xpert</w:t>
            </w:r>
            <w:r w:rsidR="00B01E0C" w:rsidRPr="00434724">
              <w:rPr>
                <w:spacing w:val="-3"/>
                <w:sz w:val="18"/>
                <w:szCs w:val="18"/>
                <w:lang w:val="uk-UA"/>
              </w:rPr>
              <w:t xml:space="preserve"> </w:t>
            </w:r>
            <w:r w:rsidR="00B01E0C" w:rsidRPr="00434724">
              <w:rPr>
                <w:sz w:val="18"/>
                <w:szCs w:val="18"/>
                <w:lang w:val="uk-UA"/>
              </w:rPr>
              <w:t>MTB/RIF</w:t>
            </w:r>
            <w:r w:rsidR="00B01E0C" w:rsidRPr="00434724">
              <w:rPr>
                <w:spacing w:val="-3"/>
                <w:sz w:val="18"/>
                <w:szCs w:val="18"/>
                <w:lang w:val="uk-UA"/>
              </w:rPr>
              <w:t xml:space="preserve"> </w:t>
            </w:r>
            <w:r w:rsidR="00B01E0C" w:rsidRPr="00434724">
              <w:rPr>
                <w:sz w:val="18"/>
                <w:szCs w:val="18"/>
                <w:lang w:val="uk-UA"/>
              </w:rPr>
              <w:t>Ultra</w:t>
            </w:r>
            <w:r w:rsidR="00B01E0C" w:rsidRPr="00434724">
              <w:rPr>
                <w:spacing w:val="-3"/>
                <w:sz w:val="18"/>
                <w:szCs w:val="18"/>
                <w:lang w:val="uk-UA"/>
              </w:rPr>
              <w:t xml:space="preserve"> </w:t>
            </w:r>
            <w:r w:rsidR="00B01E0C" w:rsidRPr="00434724">
              <w:rPr>
                <w:sz w:val="18"/>
                <w:szCs w:val="18"/>
                <w:lang w:val="uk-UA"/>
              </w:rPr>
              <w:t>(</w:t>
            </w:r>
            <w:r w:rsidR="00A87AD9">
              <w:rPr>
                <w:sz w:val="18"/>
                <w:szCs w:val="18"/>
                <w:lang w:val="uk-UA"/>
              </w:rPr>
              <w:t>виробник</w:t>
            </w:r>
            <w:r w:rsidR="00434724" w:rsidRPr="00434724">
              <w:rPr>
                <w:sz w:val="18"/>
                <w:szCs w:val="18"/>
                <w:lang w:val="uk-UA"/>
              </w:rPr>
              <w:t xml:space="preserve"> «</w:t>
            </w:r>
            <w:r w:rsidR="00B01E0C" w:rsidRPr="00434724">
              <w:rPr>
                <w:sz w:val="18"/>
                <w:szCs w:val="18"/>
                <w:lang w:val="uk-UA"/>
              </w:rPr>
              <w:t>Cepheid</w:t>
            </w:r>
            <w:r w:rsidR="00434724" w:rsidRPr="00434724">
              <w:rPr>
                <w:sz w:val="18"/>
                <w:szCs w:val="18"/>
                <w:lang w:val="uk-UA"/>
              </w:rPr>
              <w:t>»</w:t>
            </w:r>
            <w:r w:rsidR="00B01E0C" w:rsidRPr="00434724">
              <w:rPr>
                <w:sz w:val="18"/>
                <w:szCs w:val="18"/>
                <w:lang w:val="uk-UA"/>
              </w:rPr>
              <w:t xml:space="preserve">) </w:t>
            </w:r>
            <w:r w:rsidRPr="00434724">
              <w:rPr>
                <w:sz w:val="18"/>
                <w:szCs w:val="18"/>
                <w:lang w:val="uk-UA"/>
              </w:rPr>
              <w:t xml:space="preserve"> </w:t>
            </w:r>
            <w:r w:rsidR="0099249B" w:rsidRPr="00434724">
              <w:rPr>
                <w:sz w:val="18"/>
                <w:szCs w:val="18"/>
                <w:lang w:val="uk-UA"/>
              </w:rPr>
              <w:t xml:space="preserve">                                                                                                   </w:t>
            </w:r>
            <w:r w:rsidRPr="00434724">
              <w:rPr>
                <w:sz w:val="18"/>
                <w:szCs w:val="18"/>
                <w:lang w:val="uk-UA"/>
              </w:rPr>
              <w:t xml:space="preserve">Тести </w:t>
            </w:r>
            <w:r w:rsidR="00B01E0C" w:rsidRPr="00434724">
              <w:rPr>
                <w:spacing w:val="-2"/>
                <w:sz w:val="18"/>
                <w:szCs w:val="18"/>
                <w:lang w:val="uk-UA"/>
              </w:rPr>
              <w:t>Truenat</w:t>
            </w:r>
            <w:r w:rsidR="00B01E0C" w:rsidRPr="00434724">
              <w:rPr>
                <w:spacing w:val="-2"/>
                <w:sz w:val="18"/>
                <w:szCs w:val="18"/>
                <w:vertAlign w:val="superscript"/>
                <w:lang w:val="uk-UA"/>
              </w:rPr>
              <w:t>®</w:t>
            </w:r>
            <w:r w:rsidR="00B01E0C" w:rsidRPr="00434724">
              <w:rPr>
                <w:spacing w:val="-13"/>
                <w:sz w:val="18"/>
                <w:szCs w:val="18"/>
                <w:lang w:val="uk-UA"/>
              </w:rPr>
              <w:t xml:space="preserve"> </w:t>
            </w:r>
            <w:r w:rsidR="00B01E0C" w:rsidRPr="00434724">
              <w:rPr>
                <w:spacing w:val="-2"/>
                <w:sz w:val="18"/>
                <w:szCs w:val="18"/>
                <w:lang w:val="uk-UA"/>
              </w:rPr>
              <w:t>MTB</w:t>
            </w:r>
            <w:r w:rsidR="00B01E0C" w:rsidRPr="00434724">
              <w:rPr>
                <w:spacing w:val="-13"/>
                <w:sz w:val="18"/>
                <w:szCs w:val="18"/>
                <w:lang w:val="uk-UA"/>
              </w:rPr>
              <w:t xml:space="preserve"> </w:t>
            </w:r>
            <w:r w:rsidR="00B01E0C" w:rsidRPr="00434724">
              <w:rPr>
                <w:spacing w:val="-2"/>
                <w:sz w:val="18"/>
                <w:szCs w:val="18"/>
                <w:lang w:val="uk-UA"/>
              </w:rPr>
              <w:t>Plus</w:t>
            </w:r>
            <w:r w:rsidR="00B01E0C" w:rsidRPr="00434724">
              <w:rPr>
                <w:spacing w:val="-12"/>
                <w:sz w:val="18"/>
                <w:szCs w:val="18"/>
                <w:lang w:val="uk-UA"/>
              </w:rPr>
              <w:t xml:space="preserve"> </w:t>
            </w:r>
            <w:r w:rsidRPr="00434724">
              <w:rPr>
                <w:spacing w:val="-2"/>
                <w:sz w:val="18"/>
                <w:szCs w:val="18"/>
                <w:lang w:val="uk-UA"/>
              </w:rPr>
              <w:t>і</w:t>
            </w:r>
            <w:r w:rsidR="00B01E0C" w:rsidRPr="00434724">
              <w:rPr>
                <w:spacing w:val="-13"/>
                <w:sz w:val="18"/>
                <w:szCs w:val="18"/>
                <w:lang w:val="uk-UA"/>
              </w:rPr>
              <w:t xml:space="preserve"> </w:t>
            </w:r>
            <w:r w:rsidR="00B01E0C" w:rsidRPr="00434724">
              <w:rPr>
                <w:spacing w:val="-2"/>
                <w:sz w:val="18"/>
                <w:szCs w:val="18"/>
                <w:lang w:val="uk-UA"/>
              </w:rPr>
              <w:t>Truenat</w:t>
            </w:r>
            <w:r w:rsidR="00B01E0C" w:rsidRPr="00434724">
              <w:rPr>
                <w:spacing w:val="-13"/>
                <w:sz w:val="18"/>
                <w:szCs w:val="18"/>
                <w:lang w:val="uk-UA"/>
              </w:rPr>
              <w:t xml:space="preserve"> </w:t>
            </w:r>
            <w:r w:rsidR="00B01E0C" w:rsidRPr="00434724">
              <w:rPr>
                <w:spacing w:val="-2"/>
                <w:sz w:val="18"/>
                <w:szCs w:val="18"/>
                <w:lang w:val="uk-UA"/>
              </w:rPr>
              <w:t>MTB-RIF</w:t>
            </w:r>
            <w:r w:rsidR="00B01E0C" w:rsidRPr="00434724">
              <w:rPr>
                <w:spacing w:val="-12"/>
                <w:sz w:val="18"/>
                <w:szCs w:val="18"/>
                <w:lang w:val="uk-UA"/>
              </w:rPr>
              <w:t xml:space="preserve"> </w:t>
            </w:r>
            <w:r w:rsidR="00B01E0C" w:rsidRPr="00434724">
              <w:rPr>
                <w:spacing w:val="-2"/>
                <w:sz w:val="18"/>
                <w:szCs w:val="18"/>
                <w:lang w:val="uk-UA"/>
              </w:rPr>
              <w:t>Dx</w:t>
            </w:r>
            <w:r w:rsidR="00B01E0C" w:rsidRPr="00434724">
              <w:rPr>
                <w:spacing w:val="-13"/>
                <w:sz w:val="18"/>
                <w:szCs w:val="18"/>
                <w:lang w:val="uk-UA"/>
              </w:rPr>
              <w:t xml:space="preserve"> </w:t>
            </w:r>
            <w:r w:rsidR="00B01E0C" w:rsidRPr="00434724">
              <w:rPr>
                <w:spacing w:val="-2"/>
                <w:sz w:val="18"/>
                <w:szCs w:val="18"/>
                <w:lang w:val="uk-UA"/>
              </w:rPr>
              <w:t>(</w:t>
            </w:r>
            <w:r w:rsidR="00A87AD9">
              <w:rPr>
                <w:spacing w:val="-2"/>
                <w:sz w:val="18"/>
                <w:szCs w:val="18"/>
                <w:lang w:val="uk-UA"/>
              </w:rPr>
              <w:t>виробник</w:t>
            </w:r>
            <w:r w:rsidR="00434724" w:rsidRPr="00434724">
              <w:rPr>
                <w:spacing w:val="-2"/>
                <w:sz w:val="18"/>
                <w:szCs w:val="18"/>
                <w:lang w:val="uk-UA"/>
              </w:rPr>
              <w:t xml:space="preserve"> «</w:t>
            </w:r>
            <w:r w:rsidR="00B01E0C" w:rsidRPr="00434724">
              <w:rPr>
                <w:spacing w:val="-2"/>
                <w:sz w:val="18"/>
                <w:szCs w:val="18"/>
                <w:lang w:val="uk-UA"/>
              </w:rPr>
              <w:t>Molbio</w:t>
            </w:r>
            <w:r w:rsidR="00434724" w:rsidRPr="00434724">
              <w:rPr>
                <w:spacing w:val="-2"/>
                <w:sz w:val="18"/>
                <w:szCs w:val="18"/>
                <w:lang w:val="uk-UA"/>
              </w:rPr>
              <w:t>»</w:t>
            </w:r>
            <w:r w:rsidR="00B01E0C" w:rsidRPr="00434724">
              <w:rPr>
                <w:spacing w:val="-2"/>
                <w:sz w:val="18"/>
                <w:szCs w:val="18"/>
                <w:lang w:val="uk-UA"/>
              </w:rPr>
              <w:t>)</w:t>
            </w:r>
          </w:p>
        </w:tc>
      </w:tr>
      <w:tr w:rsidR="00E05B98" w:rsidRPr="00D029FF" w14:paraId="78C62113" w14:textId="77777777" w:rsidTr="00434724">
        <w:trPr>
          <w:trHeight w:val="1940"/>
        </w:trPr>
        <w:tc>
          <w:tcPr>
            <w:tcW w:w="3514" w:type="dxa"/>
            <w:tcBorders>
              <w:top w:val="single" w:sz="8" w:space="0" w:color="388600"/>
              <w:left w:val="nil"/>
              <w:right w:val="nil"/>
            </w:tcBorders>
          </w:tcPr>
          <w:p w14:paraId="22B4070A" w14:textId="40D411AB" w:rsidR="00E05B98" w:rsidRPr="00434724" w:rsidRDefault="00EB1811" w:rsidP="00434724">
            <w:pPr>
              <w:pStyle w:val="TableParagraph"/>
              <w:spacing w:line="269" w:lineRule="auto"/>
              <w:rPr>
                <w:sz w:val="18"/>
                <w:szCs w:val="18"/>
                <w:lang w:val="uk-UA"/>
              </w:rPr>
            </w:pPr>
            <w:r w:rsidRPr="00434724">
              <w:rPr>
                <w:spacing w:val="-2"/>
                <w:w w:val="105"/>
                <w:sz w:val="18"/>
                <w:szCs w:val="18"/>
                <w:lang w:val="uk-UA"/>
              </w:rPr>
              <w:t>Автоматизовані ТАНК помірної складності для виявлення ТБ та стійкості до рифампіцину та ізоніазиду</w:t>
            </w:r>
          </w:p>
        </w:tc>
        <w:tc>
          <w:tcPr>
            <w:tcW w:w="6095" w:type="dxa"/>
            <w:tcBorders>
              <w:top w:val="single" w:sz="8" w:space="0" w:color="388600"/>
              <w:left w:val="nil"/>
              <w:right w:val="nil"/>
            </w:tcBorders>
          </w:tcPr>
          <w:p w14:paraId="52EE3D99" w14:textId="48D31A5C" w:rsidR="0099249B" w:rsidRPr="00434724" w:rsidRDefault="0099249B" w:rsidP="00434724">
            <w:pPr>
              <w:pStyle w:val="TableParagraph"/>
              <w:spacing w:before="75" w:line="269" w:lineRule="auto"/>
              <w:ind w:right="5"/>
              <w:jc w:val="both"/>
              <w:rPr>
                <w:sz w:val="18"/>
                <w:szCs w:val="18"/>
                <w:lang w:val="uk-UA"/>
              </w:rPr>
            </w:pPr>
            <w:r w:rsidRPr="00434724">
              <w:rPr>
                <w:sz w:val="18"/>
                <w:szCs w:val="18"/>
                <w:lang w:val="uk-UA"/>
              </w:rPr>
              <w:t>Аналіз Abbott RealTime® на МБТ і Abbott RealTime MTB RIF/INH (</w:t>
            </w:r>
            <w:r w:rsidR="00A87AD9">
              <w:rPr>
                <w:sz w:val="18"/>
                <w:szCs w:val="18"/>
                <w:lang w:val="uk-UA"/>
              </w:rPr>
              <w:t>виробник</w:t>
            </w:r>
            <w:r w:rsidR="00434724" w:rsidRPr="00434724">
              <w:rPr>
                <w:sz w:val="18"/>
                <w:szCs w:val="18"/>
                <w:lang w:val="uk-UA"/>
              </w:rPr>
              <w:t xml:space="preserve"> «</w:t>
            </w:r>
            <w:r w:rsidRPr="00434724">
              <w:rPr>
                <w:sz w:val="18"/>
                <w:szCs w:val="18"/>
                <w:lang w:val="uk-UA"/>
              </w:rPr>
              <w:t>Abbott</w:t>
            </w:r>
            <w:r w:rsidR="00434724" w:rsidRPr="00434724">
              <w:rPr>
                <w:sz w:val="18"/>
                <w:szCs w:val="18"/>
                <w:lang w:val="uk-UA"/>
              </w:rPr>
              <w:t>»</w:t>
            </w:r>
            <w:r w:rsidRPr="00434724">
              <w:rPr>
                <w:sz w:val="18"/>
                <w:szCs w:val="18"/>
                <w:lang w:val="uk-UA"/>
              </w:rPr>
              <w:t>) [аналізи на виявлення стійкості МБТ та стійкості МБТ до рифампіцину/ізоніазиду]</w:t>
            </w:r>
          </w:p>
          <w:p w14:paraId="18BE08C7" w14:textId="690E1DA8" w:rsidR="0099249B" w:rsidRPr="00434724" w:rsidRDefault="0099249B" w:rsidP="00434724">
            <w:pPr>
              <w:pStyle w:val="TableParagraph"/>
              <w:spacing w:before="75" w:line="269" w:lineRule="auto"/>
              <w:ind w:right="5"/>
              <w:jc w:val="both"/>
              <w:rPr>
                <w:sz w:val="18"/>
                <w:szCs w:val="18"/>
                <w:lang w:val="uk-UA"/>
              </w:rPr>
            </w:pPr>
            <w:r w:rsidRPr="00434724">
              <w:rPr>
                <w:sz w:val="18"/>
                <w:szCs w:val="18"/>
                <w:lang w:val="uk-UA"/>
              </w:rPr>
              <w:t>Тести BD MAX™ MDR-TB (</w:t>
            </w:r>
            <w:r w:rsidR="00A87AD9">
              <w:rPr>
                <w:sz w:val="18"/>
                <w:szCs w:val="18"/>
                <w:lang w:val="uk-UA"/>
              </w:rPr>
              <w:t>виробник</w:t>
            </w:r>
            <w:r w:rsidR="00434724" w:rsidRPr="00434724">
              <w:rPr>
                <w:sz w:val="18"/>
                <w:szCs w:val="18"/>
                <w:lang w:val="uk-UA"/>
              </w:rPr>
              <w:t xml:space="preserve"> «</w:t>
            </w:r>
            <w:r w:rsidRPr="00434724">
              <w:rPr>
                <w:sz w:val="18"/>
                <w:szCs w:val="18"/>
                <w:lang w:val="uk-UA"/>
              </w:rPr>
              <w:t>Becton Dickinson</w:t>
            </w:r>
            <w:r w:rsidR="00434724" w:rsidRPr="00434724">
              <w:rPr>
                <w:sz w:val="18"/>
                <w:szCs w:val="18"/>
                <w:lang w:val="uk-UA"/>
              </w:rPr>
              <w:t>»</w:t>
            </w:r>
            <w:r w:rsidRPr="00434724">
              <w:rPr>
                <w:sz w:val="18"/>
                <w:szCs w:val="18"/>
                <w:lang w:val="uk-UA"/>
              </w:rPr>
              <w:t>) cobas® MTB і cobas MTB-RIF/INH (</w:t>
            </w:r>
            <w:r w:rsidR="00A87AD9">
              <w:rPr>
                <w:sz w:val="18"/>
                <w:szCs w:val="18"/>
                <w:lang w:val="uk-UA"/>
              </w:rPr>
              <w:t>виробник</w:t>
            </w:r>
            <w:r w:rsidR="00434724" w:rsidRPr="00434724">
              <w:rPr>
                <w:sz w:val="18"/>
                <w:szCs w:val="18"/>
                <w:lang w:val="uk-UA"/>
              </w:rPr>
              <w:t xml:space="preserve"> «</w:t>
            </w:r>
            <w:r w:rsidRPr="00434724">
              <w:rPr>
                <w:sz w:val="18"/>
                <w:szCs w:val="18"/>
                <w:lang w:val="uk-UA"/>
              </w:rPr>
              <w:t>Roche</w:t>
            </w:r>
            <w:r w:rsidR="00434724" w:rsidRPr="00434724">
              <w:rPr>
                <w:sz w:val="18"/>
                <w:szCs w:val="18"/>
                <w:lang w:val="uk-UA"/>
              </w:rPr>
              <w:t>»</w:t>
            </w:r>
            <w:r w:rsidRPr="00434724">
              <w:rPr>
                <w:sz w:val="18"/>
                <w:szCs w:val="18"/>
                <w:lang w:val="uk-UA"/>
              </w:rPr>
              <w:t xml:space="preserve">) [тести призначені для виявлення комплексу </w:t>
            </w:r>
            <w:r w:rsidRPr="00434724">
              <w:rPr>
                <w:i/>
                <w:iCs/>
                <w:sz w:val="18"/>
                <w:szCs w:val="18"/>
                <w:lang w:val="uk-UA"/>
              </w:rPr>
              <w:t>Mycobacterium tuberculosis</w:t>
            </w:r>
            <w:r w:rsidRPr="00434724">
              <w:rPr>
                <w:sz w:val="18"/>
                <w:szCs w:val="18"/>
                <w:lang w:val="uk-UA"/>
              </w:rPr>
              <w:t>, а також стійкості до ТБ до рифампіцину/ізоніазиду]</w:t>
            </w:r>
          </w:p>
          <w:p w14:paraId="2E366B7B" w14:textId="2DC3623E" w:rsidR="00E05B98" w:rsidRPr="00434724" w:rsidRDefault="0099249B" w:rsidP="00434724">
            <w:pPr>
              <w:pStyle w:val="TableParagraph"/>
              <w:spacing w:before="0" w:line="269" w:lineRule="auto"/>
              <w:ind w:right="5"/>
              <w:jc w:val="both"/>
              <w:rPr>
                <w:sz w:val="18"/>
                <w:szCs w:val="18"/>
                <w:lang w:val="uk-UA"/>
              </w:rPr>
            </w:pPr>
            <w:r w:rsidRPr="00434724">
              <w:rPr>
                <w:sz w:val="18"/>
                <w:szCs w:val="18"/>
                <w:lang w:val="uk-UA"/>
              </w:rPr>
              <w:t>Тести FluoroType® MTB і FluoroType MTBDR (</w:t>
            </w:r>
            <w:r w:rsidR="00A87AD9">
              <w:rPr>
                <w:sz w:val="18"/>
                <w:szCs w:val="18"/>
                <w:lang w:val="uk-UA"/>
              </w:rPr>
              <w:t>виробники</w:t>
            </w:r>
            <w:r w:rsidR="00434724" w:rsidRPr="00434724">
              <w:rPr>
                <w:sz w:val="18"/>
                <w:szCs w:val="18"/>
                <w:lang w:val="uk-UA"/>
              </w:rPr>
              <w:t xml:space="preserve"> «</w:t>
            </w:r>
            <w:r w:rsidRPr="00434724">
              <w:rPr>
                <w:sz w:val="18"/>
                <w:szCs w:val="18"/>
                <w:lang w:val="uk-UA"/>
              </w:rPr>
              <w:t>Hain Lifescience</w:t>
            </w:r>
            <w:r w:rsidR="00434724" w:rsidRPr="00434724">
              <w:rPr>
                <w:sz w:val="18"/>
                <w:szCs w:val="18"/>
                <w:lang w:val="uk-UA"/>
              </w:rPr>
              <w:t>»</w:t>
            </w:r>
            <w:r w:rsidRPr="00434724">
              <w:rPr>
                <w:sz w:val="18"/>
                <w:szCs w:val="18"/>
                <w:lang w:val="uk-UA"/>
              </w:rPr>
              <w:t>/</w:t>
            </w:r>
            <w:r w:rsidR="00434724" w:rsidRPr="00434724">
              <w:rPr>
                <w:sz w:val="18"/>
                <w:szCs w:val="18"/>
                <w:lang w:val="uk-UA"/>
              </w:rPr>
              <w:t>«</w:t>
            </w:r>
            <w:r w:rsidRPr="00434724">
              <w:rPr>
                <w:sz w:val="18"/>
                <w:szCs w:val="18"/>
                <w:lang w:val="uk-UA"/>
              </w:rPr>
              <w:t>Bruker</w:t>
            </w:r>
            <w:r w:rsidR="00434724" w:rsidRPr="00434724">
              <w:rPr>
                <w:sz w:val="18"/>
                <w:szCs w:val="18"/>
                <w:lang w:val="uk-UA"/>
              </w:rPr>
              <w:t>»</w:t>
            </w:r>
            <w:r w:rsidRPr="00434724">
              <w:rPr>
                <w:sz w:val="18"/>
                <w:szCs w:val="18"/>
                <w:lang w:val="uk-UA"/>
              </w:rPr>
              <w:t xml:space="preserve">) [тести для виявлення комплексу </w:t>
            </w:r>
            <w:r w:rsidRPr="00434724">
              <w:rPr>
                <w:i/>
                <w:iCs/>
                <w:sz w:val="18"/>
                <w:szCs w:val="18"/>
                <w:lang w:val="uk-UA"/>
              </w:rPr>
              <w:t>Mycobacterium tuberculosis</w:t>
            </w:r>
            <w:r w:rsidRPr="00434724">
              <w:rPr>
                <w:sz w:val="18"/>
                <w:szCs w:val="18"/>
                <w:lang w:val="uk-UA"/>
              </w:rPr>
              <w:t>, а також стійкості до лікарс</w:t>
            </w:r>
            <w:r w:rsidR="00E74047" w:rsidRPr="00434724">
              <w:rPr>
                <w:sz w:val="18"/>
                <w:szCs w:val="18"/>
                <w:lang w:val="uk-UA"/>
              </w:rPr>
              <w:t>ь</w:t>
            </w:r>
            <w:r w:rsidRPr="00434724">
              <w:rPr>
                <w:sz w:val="18"/>
                <w:szCs w:val="18"/>
                <w:lang w:val="uk-UA"/>
              </w:rPr>
              <w:t>ких засобів]</w:t>
            </w:r>
          </w:p>
        </w:tc>
      </w:tr>
      <w:tr w:rsidR="00E05B98" w:rsidRPr="00D029FF" w14:paraId="03E9F07E" w14:textId="77777777" w:rsidTr="00434724">
        <w:trPr>
          <w:trHeight w:val="428"/>
        </w:trPr>
        <w:tc>
          <w:tcPr>
            <w:tcW w:w="9609" w:type="dxa"/>
            <w:gridSpan w:val="2"/>
            <w:shd w:val="clear" w:color="auto" w:fill="9FC39D"/>
          </w:tcPr>
          <w:p w14:paraId="63EFDC79" w14:textId="323DA820" w:rsidR="00E05B98" w:rsidRPr="00434724" w:rsidRDefault="0099249B" w:rsidP="0099249B">
            <w:pPr>
              <w:pStyle w:val="TableParagraph"/>
              <w:spacing w:before="95" w:line="228" w:lineRule="auto"/>
              <w:ind w:left="136"/>
              <w:rPr>
                <w:rFonts w:ascii="Arial"/>
                <w:b/>
                <w:sz w:val="18"/>
                <w:szCs w:val="18"/>
                <w:lang w:val="uk-UA"/>
              </w:rPr>
            </w:pPr>
            <w:r w:rsidRPr="00434724">
              <w:rPr>
                <w:rFonts w:ascii="Arial"/>
                <w:b/>
                <w:sz w:val="18"/>
                <w:szCs w:val="18"/>
                <w:lang w:val="uk-UA"/>
              </w:rPr>
              <w:t>Початкові</w:t>
            </w:r>
            <w:r w:rsidRPr="00434724">
              <w:rPr>
                <w:rFonts w:ascii="Arial"/>
                <w:b/>
                <w:sz w:val="18"/>
                <w:szCs w:val="18"/>
                <w:lang w:val="uk-UA"/>
              </w:rPr>
              <w:t xml:space="preserve"> </w:t>
            </w:r>
            <w:r w:rsidRPr="00434724">
              <w:rPr>
                <w:rFonts w:ascii="Arial"/>
                <w:b/>
                <w:sz w:val="18"/>
                <w:szCs w:val="18"/>
                <w:lang w:val="uk-UA"/>
              </w:rPr>
              <w:t>тести</w:t>
            </w:r>
            <w:r w:rsidRPr="00434724">
              <w:rPr>
                <w:rFonts w:ascii="Arial"/>
                <w:b/>
                <w:sz w:val="18"/>
                <w:szCs w:val="18"/>
                <w:lang w:val="uk-UA"/>
              </w:rPr>
              <w:t xml:space="preserve"> </w:t>
            </w:r>
            <w:r w:rsidRPr="00434724">
              <w:rPr>
                <w:rFonts w:ascii="Arial"/>
                <w:b/>
                <w:sz w:val="18"/>
                <w:szCs w:val="18"/>
                <w:lang w:val="uk-UA"/>
              </w:rPr>
              <w:t>для</w:t>
            </w:r>
            <w:r w:rsidRPr="00434724">
              <w:rPr>
                <w:rFonts w:ascii="Arial"/>
                <w:b/>
                <w:sz w:val="18"/>
                <w:szCs w:val="18"/>
                <w:lang w:val="uk-UA"/>
              </w:rPr>
              <w:t xml:space="preserve"> </w:t>
            </w:r>
            <w:r w:rsidRPr="00434724">
              <w:rPr>
                <w:rFonts w:ascii="Arial"/>
                <w:b/>
                <w:sz w:val="18"/>
                <w:szCs w:val="18"/>
                <w:lang w:val="uk-UA"/>
              </w:rPr>
              <w:t>діагностики</w:t>
            </w:r>
            <w:r w:rsidRPr="00434724">
              <w:rPr>
                <w:rFonts w:ascii="Arial"/>
                <w:b/>
                <w:sz w:val="18"/>
                <w:szCs w:val="18"/>
                <w:lang w:val="uk-UA"/>
              </w:rPr>
              <w:t xml:space="preserve"> </w:t>
            </w:r>
            <w:r w:rsidRPr="00434724">
              <w:rPr>
                <w:rFonts w:ascii="Arial"/>
                <w:b/>
                <w:sz w:val="18"/>
                <w:szCs w:val="18"/>
                <w:lang w:val="uk-UA"/>
              </w:rPr>
              <w:t>ТБ</w:t>
            </w:r>
            <w:r w:rsidRPr="00434724">
              <w:rPr>
                <w:rFonts w:ascii="Arial"/>
                <w:b/>
                <w:sz w:val="18"/>
                <w:szCs w:val="18"/>
                <w:lang w:val="uk-UA"/>
              </w:rPr>
              <w:t xml:space="preserve"> </w:t>
            </w:r>
            <w:r w:rsidRPr="00434724">
              <w:rPr>
                <w:rFonts w:ascii="Arial"/>
                <w:b/>
                <w:sz w:val="18"/>
                <w:szCs w:val="18"/>
                <w:lang w:val="uk-UA"/>
              </w:rPr>
              <w:t>без</w:t>
            </w:r>
            <w:r w:rsidRPr="00434724">
              <w:rPr>
                <w:rFonts w:ascii="Arial"/>
                <w:b/>
                <w:sz w:val="18"/>
                <w:szCs w:val="18"/>
                <w:lang w:val="uk-UA"/>
              </w:rPr>
              <w:t xml:space="preserve"> </w:t>
            </w:r>
            <w:r w:rsidRPr="00434724">
              <w:rPr>
                <w:rFonts w:ascii="Arial"/>
                <w:b/>
                <w:sz w:val="18"/>
                <w:szCs w:val="18"/>
                <w:lang w:val="uk-UA"/>
              </w:rPr>
              <w:t>виявлення</w:t>
            </w:r>
            <w:r w:rsidRPr="00434724">
              <w:rPr>
                <w:rFonts w:ascii="Arial"/>
                <w:b/>
                <w:sz w:val="18"/>
                <w:szCs w:val="18"/>
                <w:lang w:val="uk-UA"/>
              </w:rPr>
              <w:t xml:space="preserve"> </w:t>
            </w:r>
            <w:r w:rsidRPr="00434724">
              <w:rPr>
                <w:rFonts w:ascii="Arial"/>
                <w:b/>
                <w:sz w:val="18"/>
                <w:szCs w:val="18"/>
                <w:lang w:val="uk-UA"/>
              </w:rPr>
              <w:t>стійкості</w:t>
            </w:r>
            <w:r w:rsidRPr="00434724">
              <w:rPr>
                <w:rFonts w:ascii="Arial"/>
                <w:b/>
                <w:sz w:val="18"/>
                <w:szCs w:val="18"/>
                <w:lang w:val="uk-UA"/>
              </w:rPr>
              <w:t xml:space="preserve"> </w:t>
            </w:r>
            <w:r w:rsidRPr="00434724">
              <w:rPr>
                <w:rFonts w:ascii="Arial"/>
                <w:b/>
                <w:sz w:val="18"/>
                <w:szCs w:val="18"/>
                <w:lang w:val="uk-UA"/>
              </w:rPr>
              <w:t>до</w:t>
            </w:r>
            <w:r w:rsidRPr="00434724">
              <w:rPr>
                <w:rFonts w:ascii="Arial"/>
                <w:b/>
                <w:sz w:val="18"/>
                <w:szCs w:val="18"/>
                <w:lang w:val="uk-UA"/>
              </w:rPr>
              <w:t xml:space="preserve"> </w:t>
            </w:r>
            <w:r w:rsidRPr="00434724">
              <w:rPr>
                <w:rFonts w:ascii="Arial"/>
                <w:b/>
                <w:sz w:val="18"/>
                <w:szCs w:val="18"/>
                <w:lang w:val="uk-UA"/>
              </w:rPr>
              <w:t>лікарських</w:t>
            </w:r>
            <w:r w:rsidRPr="00434724">
              <w:rPr>
                <w:rFonts w:ascii="Arial"/>
                <w:b/>
                <w:sz w:val="18"/>
                <w:szCs w:val="18"/>
                <w:lang w:val="uk-UA"/>
              </w:rPr>
              <w:t xml:space="preserve"> </w:t>
            </w:r>
            <w:r w:rsidRPr="00434724">
              <w:rPr>
                <w:rFonts w:ascii="Arial"/>
                <w:b/>
                <w:sz w:val="18"/>
                <w:szCs w:val="18"/>
                <w:lang w:val="uk-UA"/>
              </w:rPr>
              <w:t>засобів</w:t>
            </w:r>
          </w:p>
        </w:tc>
      </w:tr>
      <w:tr w:rsidR="00E05B98" w:rsidRPr="00D029FF" w14:paraId="428E7A1B" w14:textId="77777777" w:rsidTr="00434724">
        <w:trPr>
          <w:trHeight w:val="645"/>
        </w:trPr>
        <w:tc>
          <w:tcPr>
            <w:tcW w:w="3514" w:type="dxa"/>
            <w:tcBorders>
              <w:left w:val="nil"/>
              <w:bottom w:val="single" w:sz="8" w:space="0" w:color="388600"/>
              <w:right w:val="nil"/>
            </w:tcBorders>
          </w:tcPr>
          <w:p w14:paraId="40BBBFC8" w14:textId="79EE8599" w:rsidR="00E05B98" w:rsidRPr="00434724" w:rsidRDefault="0099249B" w:rsidP="0099249B">
            <w:pPr>
              <w:pStyle w:val="TableParagraph"/>
              <w:spacing w:before="73" w:line="228" w:lineRule="auto"/>
              <w:ind w:left="125"/>
              <w:rPr>
                <w:sz w:val="18"/>
                <w:szCs w:val="18"/>
                <w:lang w:val="uk-UA"/>
              </w:rPr>
            </w:pPr>
            <w:r w:rsidRPr="00434724">
              <w:rPr>
                <w:rFonts w:ascii="Arial"/>
                <w:b/>
                <w:sz w:val="18"/>
                <w:szCs w:val="18"/>
                <w:lang w:val="uk-UA"/>
              </w:rPr>
              <w:t>НОВИЙ</w:t>
            </w:r>
            <w:r w:rsidR="00B01E0C" w:rsidRPr="00434724">
              <w:rPr>
                <w:rFonts w:ascii="Arial"/>
                <w:b/>
                <w:sz w:val="18"/>
                <w:szCs w:val="18"/>
                <w:lang w:val="uk-UA"/>
              </w:rPr>
              <w:t>:</w:t>
            </w:r>
            <w:r w:rsidR="00B01E0C" w:rsidRPr="00434724">
              <w:rPr>
                <w:rFonts w:ascii="Arial"/>
                <w:b/>
                <w:spacing w:val="-3"/>
                <w:sz w:val="18"/>
                <w:szCs w:val="18"/>
                <w:lang w:val="uk-UA"/>
              </w:rPr>
              <w:t xml:space="preserve"> </w:t>
            </w:r>
            <w:r w:rsidRPr="00434724">
              <w:rPr>
                <w:sz w:val="18"/>
                <w:szCs w:val="18"/>
                <w:lang w:val="uk-UA"/>
              </w:rPr>
              <w:t xml:space="preserve">Ручний ТАНК низької складності для виявлення </w:t>
            </w:r>
            <w:r w:rsidR="00E30129">
              <w:rPr>
                <w:sz w:val="18"/>
                <w:szCs w:val="18"/>
                <w:lang w:val="uk-UA"/>
              </w:rPr>
              <w:t>ТБ</w:t>
            </w:r>
          </w:p>
        </w:tc>
        <w:tc>
          <w:tcPr>
            <w:tcW w:w="6095" w:type="dxa"/>
            <w:tcBorders>
              <w:left w:val="nil"/>
              <w:bottom w:val="single" w:sz="8" w:space="0" w:color="388600"/>
              <w:right w:val="nil"/>
            </w:tcBorders>
          </w:tcPr>
          <w:p w14:paraId="7DB9235C" w14:textId="2DD56723" w:rsidR="00E05B98" w:rsidRPr="00434724" w:rsidRDefault="0099249B" w:rsidP="000548D2">
            <w:pPr>
              <w:pStyle w:val="TableParagraph"/>
              <w:spacing w:before="76" w:line="269" w:lineRule="auto"/>
              <w:ind w:right="113"/>
              <w:rPr>
                <w:sz w:val="18"/>
                <w:szCs w:val="18"/>
                <w:lang w:val="uk-UA"/>
              </w:rPr>
            </w:pPr>
            <w:r w:rsidRPr="00434724">
              <w:rPr>
                <w:spacing w:val="-2"/>
                <w:sz w:val="18"/>
                <w:szCs w:val="18"/>
                <w:lang w:val="uk-UA"/>
              </w:rPr>
              <w:t>Набір LoopampTM для виявлення МБТК (TB LAMP) (</w:t>
            </w:r>
            <w:r w:rsidR="00A87AD9">
              <w:rPr>
                <w:spacing w:val="-2"/>
                <w:sz w:val="18"/>
                <w:szCs w:val="18"/>
                <w:lang w:val="uk-UA"/>
              </w:rPr>
              <w:t>виробник</w:t>
            </w:r>
            <w:r w:rsidRPr="00434724">
              <w:rPr>
                <w:spacing w:val="-2"/>
                <w:sz w:val="18"/>
                <w:szCs w:val="18"/>
                <w:lang w:val="uk-UA"/>
              </w:rPr>
              <w:t xml:space="preserve"> </w:t>
            </w:r>
            <w:r w:rsidR="00A87AD9">
              <w:rPr>
                <w:spacing w:val="-2"/>
                <w:sz w:val="18"/>
                <w:szCs w:val="18"/>
                <w:lang w:val="uk-UA"/>
              </w:rPr>
              <w:t>«</w:t>
            </w:r>
            <w:r w:rsidRPr="00434724">
              <w:rPr>
                <w:spacing w:val="-2"/>
                <w:sz w:val="18"/>
                <w:szCs w:val="18"/>
                <w:lang w:val="uk-UA"/>
              </w:rPr>
              <w:t>Eiken Chemical</w:t>
            </w:r>
            <w:r w:rsidR="00A87AD9">
              <w:rPr>
                <w:spacing w:val="-2"/>
                <w:sz w:val="18"/>
                <w:szCs w:val="18"/>
                <w:lang w:val="uk-UA"/>
              </w:rPr>
              <w:t>»</w:t>
            </w:r>
            <w:r w:rsidRPr="00434724">
              <w:rPr>
                <w:spacing w:val="-2"/>
                <w:sz w:val="18"/>
                <w:szCs w:val="18"/>
                <w:lang w:val="uk-UA"/>
              </w:rPr>
              <w:t>)</w:t>
            </w:r>
          </w:p>
        </w:tc>
      </w:tr>
      <w:tr w:rsidR="00E05B98" w:rsidRPr="00D029FF" w14:paraId="5C637D3C" w14:textId="77777777" w:rsidTr="00434724">
        <w:trPr>
          <w:trHeight w:val="1165"/>
        </w:trPr>
        <w:tc>
          <w:tcPr>
            <w:tcW w:w="3514" w:type="dxa"/>
            <w:tcBorders>
              <w:top w:val="single" w:sz="8" w:space="0" w:color="388600"/>
              <w:left w:val="nil"/>
              <w:bottom w:val="single" w:sz="8" w:space="0" w:color="388600"/>
              <w:right w:val="nil"/>
            </w:tcBorders>
          </w:tcPr>
          <w:p w14:paraId="6EEF370C" w14:textId="04B20140" w:rsidR="00E05B98" w:rsidRPr="00434724" w:rsidRDefault="00E74047" w:rsidP="00E74047">
            <w:pPr>
              <w:pStyle w:val="TableParagraph"/>
              <w:spacing w:line="228" w:lineRule="auto"/>
              <w:ind w:left="125" w:right="87"/>
              <w:rPr>
                <w:sz w:val="18"/>
                <w:szCs w:val="18"/>
                <w:lang w:val="uk-UA"/>
              </w:rPr>
            </w:pPr>
            <w:r w:rsidRPr="00434724">
              <w:rPr>
                <w:sz w:val="18"/>
                <w:szCs w:val="18"/>
                <w:lang w:val="uk-UA"/>
              </w:rPr>
              <w:t>Виявлення антигенів у форматі бокового зсуву (виявлення на основі біомаркерів) (ліпоарабіноманнановий тест бокового зсуву на основі зразка сечі (LF-LAM)) для виявлення ТБ</w:t>
            </w:r>
          </w:p>
        </w:tc>
        <w:tc>
          <w:tcPr>
            <w:tcW w:w="6095" w:type="dxa"/>
            <w:tcBorders>
              <w:top w:val="single" w:sz="8" w:space="0" w:color="388600"/>
              <w:left w:val="nil"/>
              <w:bottom w:val="single" w:sz="8" w:space="0" w:color="388600"/>
              <w:right w:val="nil"/>
            </w:tcBorders>
          </w:tcPr>
          <w:p w14:paraId="6A1FAE02" w14:textId="7FC58198" w:rsidR="00E05B98" w:rsidRPr="00434724" w:rsidRDefault="00E74047" w:rsidP="000548D2">
            <w:pPr>
              <w:pStyle w:val="TableParagraph"/>
              <w:spacing w:line="269" w:lineRule="auto"/>
              <w:rPr>
                <w:sz w:val="18"/>
                <w:szCs w:val="18"/>
                <w:lang w:val="uk-UA"/>
              </w:rPr>
            </w:pPr>
            <w:r w:rsidRPr="00434724">
              <w:rPr>
                <w:sz w:val="18"/>
                <w:szCs w:val="18"/>
                <w:lang w:val="uk-UA"/>
              </w:rPr>
              <w:t xml:space="preserve">Тест-система Alere Determine™ TB LAM Ag – набір для якісного імунологічного аналізу </w:t>
            </w:r>
            <w:r w:rsidRPr="00A87AD9">
              <w:rPr>
                <w:i/>
                <w:iCs/>
                <w:sz w:val="18"/>
                <w:szCs w:val="18"/>
                <w:lang w:val="uk-UA"/>
              </w:rPr>
              <w:t>іn vitro</w:t>
            </w:r>
            <w:r w:rsidRPr="00434724">
              <w:rPr>
                <w:sz w:val="18"/>
                <w:szCs w:val="18"/>
                <w:lang w:val="uk-UA"/>
              </w:rPr>
              <w:t xml:space="preserve"> на виявлення антитіл до ліпоарабіноманнану (ЛАМ) – антигену мікобактерій у сечі людини</w:t>
            </w:r>
            <w:r w:rsidR="00B01E0C" w:rsidRPr="00434724">
              <w:rPr>
                <w:spacing w:val="3"/>
                <w:sz w:val="18"/>
                <w:szCs w:val="18"/>
                <w:lang w:val="uk-UA"/>
              </w:rPr>
              <w:t xml:space="preserve"> </w:t>
            </w:r>
            <w:r w:rsidR="00B01E0C" w:rsidRPr="00434724">
              <w:rPr>
                <w:spacing w:val="-2"/>
                <w:sz w:val="18"/>
                <w:szCs w:val="18"/>
                <w:lang w:val="uk-UA"/>
              </w:rPr>
              <w:t>(</w:t>
            </w:r>
            <w:r w:rsidR="00A87AD9">
              <w:rPr>
                <w:spacing w:val="-2"/>
                <w:sz w:val="18"/>
                <w:szCs w:val="18"/>
                <w:lang w:val="uk-UA"/>
              </w:rPr>
              <w:t>виробники</w:t>
            </w:r>
            <w:r w:rsidRPr="00434724">
              <w:rPr>
                <w:spacing w:val="-2"/>
                <w:sz w:val="18"/>
                <w:szCs w:val="18"/>
                <w:lang w:val="uk-UA"/>
              </w:rPr>
              <w:t xml:space="preserve"> </w:t>
            </w:r>
            <w:r w:rsidR="00A87AD9">
              <w:rPr>
                <w:spacing w:val="-2"/>
                <w:sz w:val="18"/>
                <w:szCs w:val="18"/>
                <w:lang w:val="uk-UA"/>
              </w:rPr>
              <w:t>«</w:t>
            </w:r>
            <w:r w:rsidR="00B01E0C" w:rsidRPr="00434724">
              <w:rPr>
                <w:spacing w:val="-2"/>
                <w:sz w:val="18"/>
                <w:szCs w:val="18"/>
                <w:lang w:val="uk-UA"/>
              </w:rPr>
              <w:t>Alere</w:t>
            </w:r>
            <w:r w:rsidR="00A87AD9">
              <w:rPr>
                <w:spacing w:val="-2"/>
                <w:sz w:val="18"/>
                <w:szCs w:val="18"/>
                <w:lang w:val="uk-UA"/>
              </w:rPr>
              <w:t>»</w:t>
            </w:r>
            <w:r w:rsidR="00B01E0C" w:rsidRPr="00434724">
              <w:rPr>
                <w:spacing w:val="-2"/>
                <w:sz w:val="18"/>
                <w:szCs w:val="18"/>
                <w:lang w:val="uk-UA"/>
              </w:rPr>
              <w:t>/</w:t>
            </w:r>
            <w:r w:rsidR="00A87AD9">
              <w:rPr>
                <w:spacing w:val="-2"/>
                <w:sz w:val="18"/>
                <w:szCs w:val="18"/>
                <w:lang w:val="uk-UA"/>
              </w:rPr>
              <w:t>«</w:t>
            </w:r>
            <w:r w:rsidR="00B01E0C" w:rsidRPr="00434724">
              <w:rPr>
                <w:spacing w:val="-2"/>
                <w:sz w:val="18"/>
                <w:szCs w:val="18"/>
                <w:lang w:val="uk-UA"/>
              </w:rPr>
              <w:t>Abbott</w:t>
            </w:r>
            <w:r w:rsidR="00A87AD9">
              <w:rPr>
                <w:spacing w:val="-2"/>
                <w:sz w:val="18"/>
                <w:szCs w:val="18"/>
                <w:lang w:val="uk-UA"/>
              </w:rPr>
              <w:t>»</w:t>
            </w:r>
            <w:r w:rsidR="00B01E0C" w:rsidRPr="00434724">
              <w:rPr>
                <w:spacing w:val="-2"/>
                <w:sz w:val="18"/>
                <w:szCs w:val="18"/>
                <w:lang w:val="uk-UA"/>
              </w:rPr>
              <w:t>)</w:t>
            </w:r>
          </w:p>
        </w:tc>
      </w:tr>
    </w:tbl>
    <w:p w14:paraId="6FC83FF5" w14:textId="77777777" w:rsidR="00E05B98" w:rsidRPr="00434724" w:rsidRDefault="00E05B98" w:rsidP="000548D2">
      <w:pPr>
        <w:pStyle w:val="TableParagraph"/>
        <w:spacing w:line="269" w:lineRule="auto"/>
        <w:rPr>
          <w:sz w:val="18"/>
          <w:szCs w:val="18"/>
          <w:lang w:val="uk-UA"/>
        </w:rPr>
        <w:sectPr w:rsidR="00E05B98" w:rsidRPr="00434724" w:rsidSect="00E74047">
          <w:footerReference w:type="even" r:id="rId39"/>
          <w:footerReference w:type="default" r:id="rId40"/>
          <w:pgSz w:w="11910" w:h="16840"/>
          <w:pgMar w:top="1135" w:right="853" w:bottom="1649" w:left="850" w:header="0" w:footer="573" w:gutter="0"/>
          <w:pgNumType w:start="3"/>
          <w:cols w:space="720"/>
        </w:sectPr>
      </w:pPr>
    </w:p>
    <w:tbl>
      <w:tblPr>
        <w:tblStyle w:val="TableNormal"/>
        <w:tblW w:w="9632" w:type="dxa"/>
        <w:tblInd w:w="574"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30"/>
        <w:gridCol w:w="3725"/>
        <w:gridCol w:w="5877"/>
      </w:tblGrid>
      <w:tr w:rsidR="00E74047" w:rsidRPr="003C6DAE" w14:paraId="55546049" w14:textId="77777777" w:rsidTr="00EB0537">
        <w:trPr>
          <w:trHeight w:val="428"/>
        </w:trPr>
        <w:tc>
          <w:tcPr>
            <w:tcW w:w="30" w:type="dxa"/>
            <w:tcBorders>
              <w:left w:val="nil"/>
            </w:tcBorders>
            <w:shd w:val="clear" w:color="auto" w:fill="62A86B"/>
          </w:tcPr>
          <w:p w14:paraId="704AA00C" w14:textId="77777777" w:rsidR="00E74047" w:rsidRPr="003C6DAE" w:rsidRDefault="00E74047" w:rsidP="00E74047">
            <w:pPr>
              <w:pStyle w:val="TableParagraph"/>
              <w:spacing w:before="0" w:line="269" w:lineRule="auto"/>
              <w:ind w:left="0"/>
              <w:rPr>
                <w:rFonts w:ascii="Times New Roman"/>
                <w:sz w:val="20"/>
                <w:lang w:val="uk-UA"/>
              </w:rPr>
            </w:pPr>
          </w:p>
        </w:tc>
        <w:tc>
          <w:tcPr>
            <w:tcW w:w="3725" w:type="dxa"/>
            <w:tcBorders>
              <w:right w:val="single" w:sz="6" w:space="0" w:color="019648"/>
            </w:tcBorders>
            <w:shd w:val="clear" w:color="auto" w:fill="62A86B"/>
          </w:tcPr>
          <w:p w14:paraId="79EAEAE9" w14:textId="175D4094" w:rsidR="00E74047" w:rsidRPr="003C6DAE" w:rsidRDefault="00E74047" w:rsidP="00E74047">
            <w:pPr>
              <w:pStyle w:val="TableParagraph"/>
              <w:spacing w:before="95" w:line="269" w:lineRule="auto"/>
              <w:ind w:left="118"/>
              <w:rPr>
                <w:rFonts w:ascii="Arial"/>
                <w:b/>
                <w:sz w:val="20"/>
                <w:szCs w:val="20"/>
                <w:lang w:val="uk-UA"/>
              </w:rPr>
            </w:pPr>
            <w:bookmarkStart w:id="21" w:name="1.3.1_Initial_tests_for_TB_diagnosis_wit"/>
            <w:bookmarkStart w:id="22" w:name="_bookmark9"/>
            <w:bookmarkEnd w:id="21"/>
            <w:bookmarkEnd w:id="22"/>
            <w:r w:rsidRPr="003C6DAE">
              <w:rPr>
                <w:rFonts w:ascii="Arial"/>
                <w:b/>
                <w:color w:val="FFFFFF"/>
                <w:spacing w:val="-2"/>
                <w:sz w:val="20"/>
                <w:szCs w:val="20"/>
                <w:lang w:val="uk-UA"/>
              </w:rPr>
              <w:t>Клас</w:t>
            </w:r>
            <w:r w:rsidRPr="003C6DAE">
              <w:rPr>
                <w:rFonts w:ascii="Arial"/>
                <w:b/>
                <w:color w:val="FFFFFF"/>
                <w:spacing w:val="-2"/>
                <w:sz w:val="20"/>
                <w:szCs w:val="20"/>
                <w:lang w:val="uk-UA"/>
              </w:rPr>
              <w:t xml:space="preserve"> </w:t>
            </w:r>
            <w:r w:rsidRPr="003C6DAE">
              <w:rPr>
                <w:rFonts w:ascii="Arial"/>
                <w:b/>
                <w:color w:val="FFFFFF"/>
                <w:spacing w:val="-2"/>
                <w:sz w:val="20"/>
                <w:szCs w:val="20"/>
                <w:lang w:val="uk-UA"/>
              </w:rPr>
              <w:t>технології</w:t>
            </w:r>
          </w:p>
        </w:tc>
        <w:tc>
          <w:tcPr>
            <w:tcW w:w="5877" w:type="dxa"/>
            <w:tcBorders>
              <w:left w:val="single" w:sz="6" w:space="0" w:color="019648"/>
              <w:right w:val="single" w:sz="6" w:space="0" w:color="019648"/>
            </w:tcBorders>
            <w:shd w:val="clear" w:color="auto" w:fill="62A86B"/>
          </w:tcPr>
          <w:p w14:paraId="4442E4E8" w14:textId="17C9B4BA" w:rsidR="00E74047" w:rsidRPr="003C6DAE" w:rsidRDefault="00E74047" w:rsidP="00E74047">
            <w:pPr>
              <w:pStyle w:val="TableParagraph"/>
              <w:spacing w:before="95" w:line="269" w:lineRule="auto"/>
              <w:ind w:left="137"/>
              <w:rPr>
                <w:rFonts w:ascii="Arial"/>
                <w:b/>
                <w:sz w:val="20"/>
                <w:szCs w:val="20"/>
                <w:lang w:val="uk-UA"/>
              </w:rPr>
            </w:pPr>
            <w:r w:rsidRPr="003C6DAE">
              <w:rPr>
                <w:rFonts w:ascii="Arial"/>
                <w:b/>
                <w:color w:val="FFFFFF"/>
                <w:sz w:val="20"/>
                <w:szCs w:val="20"/>
                <w:lang w:val="uk-UA"/>
              </w:rPr>
              <w:t>Включені</w:t>
            </w:r>
            <w:r w:rsidRPr="003C6DAE">
              <w:rPr>
                <w:rFonts w:ascii="Arial"/>
                <w:b/>
                <w:color w:val="FFFFFF"/>
                <w:sz w:val="20"/>
                <w:szCs w:val="20"/>
                <w:lang w:val="uk-UA"/>
              </w:rPr>
              <w:t xml:space="preserve"> </w:t>
            </w:r>
            <w:r w:rsidRPr="003C6DAE">
              <w:rPr>
                <w:rFonts w:ascii="Arial"/>
                <w:b/>
                <w:color w:val="FFFFFF"/>
                <w:sz w:val="20"/>
                <w:szCs w:val="20"/>
                <w:lang w:val="uk-UA"/>
              </w:rPr>
              <w:t>продукти</w:t>
            </w:r>
          </w:p>
        </w:tc>
      </w:tr>
      <w:tr w:rsidR="00E05B98" w:rsidRPr="00D029FF" w14:paraId="6C961DF2" w14:textId="77777777" w:rsidTr="00EB0537">
        <w:trPr>
          <w:trHeight w:val="428"/>
        </w:trPr>
        <w:tc>
          <w:tcPr>
            <w:tcW w:w="30" w:type="dxa"/>
            <w:tcBorders>
              <w:left w:val="nil"/>
            </w:tcBorders>
            <w:shd w:val="clear" w:color="auto" w:fill="9FC39D"/>
          </w:tcPr>
          <w:p w14:paraId="20FEBFB7" w14:textId="77777777" w:rsidR="00E05B98" w:rsidRPr="003C6DAE" w:rsidRDefault="00E05B98" w:rsidP="000548D2">
            <w:pPr>
              <w:pStyle w:val="TableParagraph"/>
              <w:spacing w:before="0" w:line="269" w:lineRule="auto"/>
              <w:ind w:left="0"/>
              <w:rPr>
                <w:rFonts w:ascii="Times New Roman"/>
                <w:sz w:val="20"/>
                <w:lang w:val="uk-UA"/>
              </w:rPr>
            </w:pPr>
          </w:p>
        </w:tc>
        <w:tc>
          <w:tcPr>
            <w:tcW w:w="9602" w:type="dxa"/>
            <w:gridSpan w:val="2"/>
            <w:shd w:val="clear" w:color="auto" w:fill="9FC39D"/>
          </w:tcPr>
          <w:p w14:paraId="680D983C" w14:textId="1A364253" w:rsidR="00E05B98" w:rsidRPr="003C6DAE" w:rsidRDefault="00B62B4C" w:rsidP="000548D2">
            <w:pPr>
              <w:pStyle w:val="TableParagraph"/>
              <w:spacing w:before="95" w:line="269" w:lineRule="auto"/>
              <w:ind w:left="118"/>
              <w:rPr>
                <w:rFonts w:ascii="Arial"/>
                <w:b/>
                <w:sz w:val="20"/>
                <w:szCs w:val="20"/>
                <w:lang w:val="uk-UA"/>
              </w:rPr>
            </w:pPr>
            <w:r w:rsidRPr="003C6DAE">
              <w:rPr>
                <w:rFonts w:ascii="Arial"/>
                <w:b/>
                <w:sz w:val="20"/>
                <w:szCs w:val="20"/>
                <w:lang w:val="uk-UA"/>
              </w:rPr>
              <w:t>Подальші</w:t>
            </w:r>
            <w:r w:rsidRPr="003C6DAE">
              <w:rPr>
                <w:rFonts w:ascii="Arial"/>
                <w:b/>
                <w:sz w:val="20"/>
                <w:szCs w:val="20"/>
                <w:lang w:val="uk-UA"/>
              </w:rPr>
              <w:t xml:space="preserve"> </w:t>
            </w:r>
            <w:r w:rsidRPr="003C6DAE">
              <w:rPr>
                <w:rFonts w:ascii="Arial"/>
                <w:b/>
                <w:sz w:val="20"/>
                <w:szCs w:val="20"/>
                <w:lang w:val="uk-UA"/>
              </w:rPr>
              <w:t>тести</w:t>
            </w:r>
            <w:r w:rsidRPr="003C6DAE">
              <w:rPr>
                <w:rFonts w:ascii="Arial"/>
                <w:b/>
                <w:sz w:val="20"/>
                <w:szCs w:val="20"/>
                <w:lang w:val="uk-UA"/>
              </w:rPr>
              <w:t xml:space="preserve"> </w:t>
            </w:r>
            <w:r w:rsidRPr="003C6DAE">
              <w:rPr>
                <w:rFonts w:ascii="Arial"/>
                <w:b/>
                <w:sz w:val="20"/>
                <w:szCs w:val="20"/>
                <w:lang w:val="uk-UA"/>
              </w:rPr>
              <w:t>для</w:t>
            </w:r>
            <w:r w:rsidRPr="003C6DAE">
              <w:rPr>
                <w:rFonts w:ascii="Arial"/>
                <w:b/>
                <w:sz w:val="20"/>
                <w:szCs w:val="20"/>
                <w:lang w:val="uk-UA"/>
              </w:rPr>
              <w:t xml:space="preserve"> </w:t>
            </w:r>
            <w:r w:rsidRPr="003C6DAE">
              <w:rPr>
                <w:rFonts w:ascii="Arial"/>
                <w:b/>
                <w:sz w:val="20"/>
                <w:szCs w:val="20"/>
                <w:lang w:val="uk-UA"/>
              </w:rPr>
              <w:t>виявлення</w:t>
            </w:r>
            <w:r w:rsidRPr="003C6DAE">
              <w:rPr>
                <w:rFonts w:ascii="Arial"/>
                <w:b/>
                <w:sz w:val="20"/>
                <w:szCs w:val="20"/>
                <w:lang w:val="uk-UA"/>
              </w:rPr>
              <w:t xml:space="preserve"> </w:t>
            </w:r>
            <w:r w:rsidRPr="003C6DAE">
              <w:rPr>
                <w:rFonts w:ascii="Arial"/>
                <w:b/>
                <w:sz w:val="20"/>
                <w:szCs w:val="20"/>
                <w:lang w:val="uk-UA"/>
              </w:rPr>
              <w:t>стійкості</w:t>
            </w:r>
            <w:r w:rsidRPr="003C6DAE">
              <w:rPr>
                <w:rFonts w:ascii="Arial"/>
                <w:b/>
                <w:sz w:val="20"/>
                <w:szCs w:val="20"/>
                <w:lang w:val="uk-UA"/>
              </w:rPr>
              <w:t xml:space="preserve"> </w:t>
            </w:r>
            <w:r w:rsidRPr="003C6DAE">
              <w:rPr>
                <w:rFonts w:ascii="Arial"/>
                <w:b/>
                <w:sz w:val="20"/>
                <w:szCs w:val="20"/>
                <w:lang w:val="uk-UA"/>
              </w:rPr>
              <w:t>ТБ</w:t>
            </w:r>
            <w:r w:rsidRPr="003C6DAE">
              <w:rPr>
                <w:rFonts w:ascii="Arial"/>
                <w:b/>
                <w:sz w:val="20"/>
                <w:szCs w:val="20"/>
                <w:lang w:val="uk-UA"/>
              </w:rPr>
              <w:t xml:space="preserve"> </w:t>
            </w:r>
            <w:r w:rsidRPr="003C6DAE">
              <w:rPr>
                <w:rFonts w:ascii="Arial"/>
                <w:b/>
                <w:sz w:val="20"/>
                <w:szCs w:val="20"/>
                <w:lang w:val="uk-UA"/>
              </w:rPr>
              <w:t>до</w:t>
            </w:r>
            <w:r w:rsidRPr="003C6DAE">
              <w:rPr>
                <w:rFonts w:ascii="Arial"/>
                <w:b/>
                <w:sz w:val="20"/>
                <w:szCs w:val="20"/>
                <w:lang w:val="uk-UA"/>
              </w:rPr>
              <w:t xml:space="preserve"> </w:t>
            </w:r>
            <w:r w:rsidR="00176989" w:rsidRPr="003C6DAE">
              <w:rPr>
                <w:rFonts w:ascii="Arial"/>
                <w:b/>
                <w:sz w:val="20"/>
                <w:szCs w:val="20"/>
                <w:lang w:val="uk-UA"/>
              </w:rPr>
              <w:t>лікарських</w:t>
            </w:r>
            <w:r w:rsidRPr="003C6DAE">
              <w:rPr>
                <w:rFonts w:ascii="Arial"/>
                <w:b/>
                <w:sz w:val="20"/>
                <w:szCs w:val="20"/>
                <w:lang w:val="uk-UA"/>
              </w:rPr>
              <w:t xml:space="preserve"> </w:t>
            </w:r>
            <w:r w:rsidRPr="003C6DAE">
              <w:rPr>
                <w:rFonts w:ascii="Arial"/>
                <w:b/>
                <w:sz w:val="20"/>
                <w:szCs w:val="20"/>
                <w:lang w:val="uk-UA"/>
              </w:rPr>
              <w:t>препаратів</w:t>
            </w:r>
          </w:p>
        </w:tc>
      </w:tr>
      <w:tr w:rsidR="00E05B98" w:rsidRPr="00D029FF" w14:paraId="1548C125" w14:textId="77777777" w:rsidTr="005372A6">
        <w:trPr>
          <w:trHeight w:val="1061"/>
        </w:trPr>
        <w:tc>
          <w:tcPr>
            <w:tcW w:w="30" w:type="dxa"/>
            <w:tcBorders>
              <w:left w:val="nil"/>
              <w:bottom w:val="single" w:sz="6" w:space="0" w:color="019648"/>
              <w:right w:val="nil"/>
            </w:tcBorders>
          </w:tcPr>
          <w:p w14:paraId="5607B92F" w14:textId="77777777" w:rsidR="00E05B98" w:rsidRPr="003C6DAE" w:rsidRDefault="00E05B98" w:rsidP="000548D2">
            <w:pPr>
              <w:pStyle w:val="TableParagraph"/>
              <w:spacing w:before="0" w:line="269" w:lineRule="auto"/>
              <w:ind w:left="0"/>
              <w:rPr>
                <w:rFonts w:ascii="Times New Roman"/>
                <w:sz w:val="20"/>
                <w:lang w:val="uk-UA"/>
              </w:rPr>
            </w:pPr>
          </w:p>
        </w:tc>
        <w:tc>
          <w:tcPr>
            <w:tcW w:w="3725" w:type="dxa"/>
            <w:tcBorders>
              <w:left w:val="nil"/>
              <w:bottom w:val="single" w:sz="8" w:space="0" w:color="388600"/>
              <w:right w:val="nil"/>
            </w:tcBorders>
          </w:tcPr>
          <w:p w14:paraId="01582C0D" w14:textId="0E727A15" w:rsidR="00E05B98" w:rsidRPr="00A87AD9" w:rsidRDefault="00B62B4C" w:rsidP="00B62B4C">
            <w:pPr>
              <w:pStyle w:val="TableParagraph"/>
              <w:spacing w:before="76" w:line="228" w:lineRule="auto"/>
              <w:ind w:left="108" w:right="96"/>
              <w:rPr>
                <w:sz w:val="18"/>
                <w:szCs w:val="18"/>
                <w:lang w:val="uk-UA"/>
              </w:rPr>
            </w:pPr>
            <w:r w:rsidRPr="00A87AD9">
              <w:rPr>
                <w:sz w:val="18"/>
                <w:szCs w:val="18"/>
                <w:lang w:val="uk-UA"/>
              </w:rPr>
              <w:t>Автоматизовані ТАНК низької складності для виявлення стійкості до ізоніазиду та протитуберкульозних препаратів другого ряду</w:t>
            </w:r>
          </w:p>
        </w:tc>
        <w:tc>
          <w:tcPr>
            <w:tcW w:w="5877" w:type="dxa"/>
            <w:tcBorders>
              <w:left w:val="nil"/>
              <w:bottom w:val="single" w:sz="8" w:space="0" w:color="388600"/>
              <w:right w:val="nil"/>
            </w:tcBorders>
          </w:tcPr>
          <w:p w14:paraId="2E9E9862" w14:textId="28E6AB13" w:rsidR="00E05B98" w:rsidRPr="00A87AD9" w:rsidRDefault="00B62B4C" w:rsidP="000548D2">
            <w:pPr>
              <w:pStyle w:val="TableParagraph"/>
              <w:spacing w:before="77" w:line="269" w:lineRule="auto"/>
              <w:ind w:left="122"/>
              <w:rPr>
                <w:sz w:val="18"/>
                <w:szCs w:val="18"/>
                <w:lang w:val="uk-UA"/>
              </w:rPr>
            </w:pPr>
            <w:r w:rsidRPr="00A87AD9">
              <w:rPr>
                <w:spacing w:val="-4"/>
                <w:sz w:val="18"/>
                <w:szCs w:val="18"/>
                <w:lang w:val="uk-UA"/>
              </w:rPr>
              <w:t xml:space="preserve">Тест </w:t>
            </w:r>
            <w:r w:rsidR="00B01E0C" w:rsidRPr="00A87AD9">
              <w:rPr>
                <w:spacing w:val="-4"/>
                <w:sz w:val="18"/>
                <w:szCs w:val="18"/>
                <w:lang w:val="uk-UA"/>
              </w:rPr>
              <w:t>Xpert</w:t>
            </w:r>
            <w:r w:rsidR="00B01E0C" w:rsidRPr="00A87AD9">
              <w:rPr>
                <w:spacing w:val="-4"/>
                <w:sz w:val="18"/>
                <w:szCs w:val="18"/>
                <w:vertAlign w:val="superscript"/>
                <w:lang w:val="uk-UA"/>
              </w:rPr>
              <w:t>®</w:t>
            </w:r>
            <w:r w:rsidR="00B01E0C" w:rsidRPr="00A87AD9">
              <w:rPr>
                <w:spacing w:val="-7"/>
                <w:sz w:val="18"/>
                <w:szCs w:val="18"/>
                <w:lang w:val="uk-UA"/>
              </w:rPr>
              <w:t xml:space="preserve"> </w:t>
            </w:r>
            <w:r w:rsidR="00B01E0C" w:rsidRPr="00A87AD9">
              <w:rPr>
                <w:spacing w:val="-4"/>
                <w:sz w:val="18"/>
                <w:szCs w:val="18"/>
                <w:lang w:val="uk-UA"/>
              </w:rPr>
              <w:t>MTB/XDR</w:t>
            </w:r>
            <w:r w:rsidR="00B01E0C" w:rsidRPr="00A87AD9">
              <w:rPr>
                <w:spacing w:val="-7"/>
                <w:sz w:val="18"/>
                <w:szCs w:val="18"/>
                <w:lang w:val="uk-UA"/>
              </w:rPr>
              <w:t xml:space="preserve"> </w:t>
            </w:r>
            <w:r w:rsidR="00B01E0C" w:rsidRPr="00A87AD9">
              <w:rPr>
                <w:spacing w:val="-4"/>
                <w:sz w:val="18"/>
                <w:szCs w:val="18"/>
                <w:lang w:val="uk-UA"/>
              </w:rPr>
              <w:t>(</w:t>
            </w:r>
            <w:r w:rsidRPr="00A87AD9">
              <w:rPr>
                <w:spacing w:val="-4"/>
                <w:sz w:val="18"/>
                <w:szCs w:val="18"/>
                <w:lang w:val="uk-UA"/>
              </w:rPr>
              <w:t xml:space="preserve">виробник </w:t>
            </w:r>
            <w:r w:rsidR="00A87AD9">
              <w:rPr>
                <w:spacing w:val="-4"/>
                <w:sz w:val="18"/>
                <w:szCs w:val="18"/>
                <w:lang w:val="uk-UA"/>
              </w:rPr>
              <w:t>«</w:t>
            </w:r>
            <w:r w:rsidR="00B01E0C" w:rsidRPr="00A87AD9">
              <w:rPr>
                <w:spacing w:val="-4"/>
                <w:sz w:val="18"/>
                <w:szCs w:val="18"/>
                <w:lang w:val="uk-UA"/>
              </w:rPr>
              <w:t>Cepheid</w:t>
            </w:r>
            <w:r w:rsidR="00A87AD9">
              <w:rPr>
                <w:spacing w:val="-4"/>
                <w:sz w:val="18"/>
                <w:szCs w:val="18"/>
                <w:lang w:val="uk-UA"/>
              </w:rPr>
              <w:t>»</w:t>
            </w:r>
            <w:r w:rsidR="00B01E0C" w:rsidRPr="00A87AD9">
              <w:rPr>
                <w:spacing w:val="-4"/>
                <w:sz w:val="18"/>
                <w:szCs w:val="18"/>
                <w:lang w:val="uk-UA"/>
              </w:rPr>
              <w:t>)</w:t>
            </w:r>
          </w:p>
        </w:tc>
      </w:tr>
      <w:tr w:rsidR="00E05B98" w:rsidRPr="00D029FF" w14:paraId="036C1E2D" w14:textId="77777777" w:rsidTr="005372A6">
        <w:trPr>
          <w:trHeight w:val="1252"/>
        </w:trPr>
        <w:tc>
          <w:tcPr>
            <w:tcW w:w="30" w:type="dxa"/>
            <w:tcBorders>
              <w:top w:val="single" w:sz="6" w:space="0" w:color="019648"/>
              <w:left w:val="nil"/>
              <w:bottom w:val="single" w:sz="6" w:space="0" w:color="019648"/>
              <w:right w:val="nil"/>
            </w:tcBorders>
          </w:tcPr>
          <w:p w14:paraId="232669BE" w14:textId="77777777" w:rsidR="00E05B98" w:rsidRPr="003C6DAE" w:rsidRDefault="00E05B98" w:rsidP="000548D2">
            <w:pPr>
              <w:pStyle w:val="TableParagraph"/>
              <w:spacing w:before="0" w:line="269" w:lineRule="auto"/>
              <w:ind w:left="0"/>
              <w:rPr>
                <w:rFonts w:ascii="Times New Roman"/>
                <w:sz w:val="20"/>
                <w:lang w:val="uk-UA"/>
              </w:rPr>
            </w:pPr>
          </w:p>
        </w:tc>
        <w:tc>
          <w:tcPr>
            <w:tcW w:w="3725" w:type="dxa"/>
            <w:tcBorders>
              <w:top w:val="single" w:sz="8" w:space="0" w:color="388600"/>
              <w:left w:val="nil"/>
              <w:bottom w:val="single" w:sz="8" w:space="0" w:color="388600"/>
              <w:right w:val="nil"/>
            </w:tcBorders>
          </w:tcPr>
          <w:p w14:paraId="13B3702F" w14:textId="05545CB3" w:rsidR="00E05B98" w:rsidRPr="00A87AD9" w:rsidRDefault="00C458B6" w:rsidP="000548D2">
            <w:pPr>
              <w:pStyle w:val="TableParagraph"/>
              <w:spacing w:line="269" w:lineRule="auto"/>
              <w:ind w:left="105" w:right="99"/>
              <w:rPr>
                <w:sz w:val="18"/>
                <w:szCs w:val="18"/>
                <w:lang w:val="uk-UA"/>
              </w:rPr>
            </w:pPr>
            <w:r w:rsidRPr="00A87AD9">
              <w:rPr>
                <w:sz w:val="18"/>
                <w:szCs w:val="18"/>
                <w:lang w:val="uk-UA"/>
              </w:rPr>
              <w:t>Лінійні зонд-аналізи (LPA) для виявлення стійкості ТБ до лікарських препаратів</w:t>
            </w:r>
          </w:p>
        </w:tc>
        <w:tc>
          <w:tcPr>
            <w:tcW w:w="5877" w:type="dxa"/>
            <w:tcBorders>
              <w:top w:val="single" w:sz="8" w:space="0" w:color="388600"/>
              <w:left w:val="nil"/>
              <w:bottom w:val="single" w:sz="8" w:space="0" w:color="388600"/>
              <w:right w:val="nil"/>
            </w:tcBorders>
          </w:tcPr>
          <w:p w14:paraId="30A27093" w14:textId="79F0F36B" w:rsidR="00C458B6" w:rsidRPr="00A87AD9" w:rsidRDefault="00C458B6" w:rsidP="00C458B6">
            <w:pPr>
              <w:pStyle w:val="TableParagraph"/>
              <w:spacing w:before="75" w:line="228" w:lineRule="auto"/>
              <w:ind w:left="125"/>
              <w:jc w:val="both"/>
              <w:rPr>
                <w:spacing w:val="-4"/>
                <w:sz w:val="18"/>
                <w:szCs w:val="18"/>
                <w:lang w:val="uk-UA"/>
              </w:rPr>
            </w:pPr>
            <w:r w:rsidRPr="00A87AD9">
              <w:rPr>
                <w:spacing w:val="-4"/>
                <w:sz w:val="18"/>
                <w:szCs w:val="18"/>
                <w:lang w:val="uk-UA"/>
              </w:rPr>
              <w:t>Тест GenoType® MTBDRplus версія 1 і версія 2; і тест GenoType MTBDRsl (виробник</w:t>
            </w:r>
            <w:r w:rsidR="00A87AD9">
              <w:rPr>
                <w:spacing w:val="-4"/>
                <w:sz w:val="18"/>
                <w:szCs w:val="18"/>
                <w:lang w:val="uk-UA"/>
              </w:rPr>
              <w:t>и</w:t>
            </w:r>
            <w:r w:rsidRPr="00A87AD9">
              <w:rPr>
                <w:spacing w:val="-4"/>
                <w:sz w:val="18"/>
                <w:szCs w:val="18"/>
                <w:lang w:val="uk-UA"/>
              </w:rPr>
              <w:t xml:space="preserve"> </w:t>
            </w:r>
            <w:r w:rsidR="00A87AD9">
              <w:rPr>
                <w:spacing w:val="-4"/>
                <w:sz w:val="18"/>
                <w:szCs w:val="18"/>
                <w:lang w:val="uk-UA"/>
              </w:rPr>
              <w:t>«</w:t>
            </w:r>
            <w:r w:rsidRPr="00A87AD9">
              <w:rPr>
                <w:spacing w:val="-4"/>
                <w:sz w:val="18"/>
                <w:szCs w:val="18"/>
                <w:lang w:val="uk-UA"/>
              </w:rPr>
              <w:t>Hain Lifescience</w:t>
            </w:r>
            <w:r w:rsidR="00A87AD9">
              <w:rPr>
                <w:spacing w:val="-4"/>
                <w:sz w:val="18"/>
                <w:szCs w:val="18"/>
                <w:lang w:val="uk-UA"/>
              </w:rPr>
              <w:t>»</w:t>
            </w:r>
            <w:r w:rsidRPr="00A87AD9">
              <w:rPr>
                <w:spacing w:val="-4"/>
                <w:sz w:val="18"/>
                <w:szCs w:val="18"/>
                <w:lang w:val="uk-UA"/>
              </w:rPr>
              <w:t>/</w:t>
            </w:r>
            <w:r w:rsidR="00A87AD9">
              <w:rPr>
                <w:spacing w:val="-4"/>
                <w:sz w:val="18"/>
                <w:szCs w:val="18"/>
                <w:lang w:val="uk-UA"/>
              </w:rPr>
              <w:t xml:space="preserve"> «</w:t>
            </w:r>
            <w:r w:rsidRPr="00A87AD9">
              <w:rPr>
                <w:spacing w:val="-4"/>
                <w:sz w:val="18"/>
                <w:szCs w:val="18"/>
                <w:lang w:val="uk-UA"/>
              </w:rPr>
              <w:t>Bruker</w:t>
            </w:r>
            <w:r w:rsidR="00A87AD9">
              <w:rPr>
                <w:spacing w:val="-4"/>
                <w:sz w:val="18"/>
                <w:szCs w:val="18"/>
                <w:lang w:val="uk-UA"/>
              </w:rPr>
              <w:t>»</w:t>
            </w:r>
            <w:r w:rsidRPr="00A87AD9">
              <w:rPr>
                <w:spacing w:val="-4"/>
                <w:sz w:val="18"/>
                <w:szCs w:val="18"/>
                <w:lang w:val="uk-UA"/>
              </w:rPr>
              <w:t>)</w:t>
            </w:r>
          </w:p>
          <w:p w14:paraId="64ED6C99" w14:textId="65C721C9" w:rsidR="00E05B98" w:rsidRPr="00A87AD9" w:rsidRDefault="00C458B6" w:rsidP="00C458B6">
            <w:pPr>
              <w:pStyle w:val="TableParagraph"/>
              <w:spacing w:before="88" w:line="228" w:lineRule="auto"/>
              <w:ind w:left="125"/>
              <w:jc w:val="both"/>
              <w:rPr>
                <w:sz w:val="18"/>
                <w:szCs w:val="18"/>
                <w:lang w:val="uk-UA"/>
              </w:rPr>
            </w:pPr>
            <w:r w:rsidRPr="00A87AD9">
              <w:rPr>
                <w:spacing w:val="-4"/>
                <w:sz w:val="18"/>
                <w:szCs w:val="18"/>
                <w:lang w:val="uk-UA"/>
              </w:rPr>
              <w:t xml:space="preserve">Genoscholar™ NTM+MDRTB II і Genoscholar PZA-TB II (виробник </w:t>
            </w:r>
            <w:r w:rsidR="00A87AD9">
              <w:rPr>
                <w:spacing w:val="-4"/>
                <w:sz w:val="18"/>
                <w:szCs w:val="18"/>
                <w:lang w:val="uk-UA"/>
              </w:rPr>
              <w:t>«</w:t>
            </w:r>
            <w:r w:rsidRPr="00A87AD9">
              <w:rPr>
                <w:spacing w:val="-4"/>
                <w:sz w:val="18"/>
                <w:szCs w:val="18"/>
                <w:lang w:val="uk-UA"/>
              </w:rPr>
              <w:t>Nipro</w:t>
            </w:r>
            <w:r w:rsidR="00A87AD9">
              <w:rPr>
                <w:spacing w:val="-4"/>
                <w:sz w:val="18"/>
                <w:szCs w:val="18"/>
                <w:lang w:val="uk-UA"/>
              </w:rPr>
              <w:t>»</w:t>
            </w:r>
            <w:r w:rsidRPr="00A87AD9">
              <w:rPr>
                <w:spacing w:val="-4"/>
                <w:sz w:val="18"/>
                <w:szCs w:val="18"/>
                <w:lang w:val="uk-UA"/>
              </w:rPr>
              <w:t>) [виявлення МЛС-ТБ та стійкості ТБ до пірамізиду]</w:t>
            </w:r>
          </w:p>
        </w:tc>
      </w:tr>
      <w:tr w:rsidR="00E05B98" w:rsidRPr="003C6DAE" w14:paraId="10E1BD97" w14:textId="77777777" w:rsidTr="005372A6">
        <w:trPr>
          <w:trHeight w:val="1075"/>
        </w:trPr>
        <w:tc>
          <w:tcPr>
            <w:tcW w:w="30" w:type="dxa"/>
            <w:tcBorders>
              <w:top w:val="single" w:sz="6" w:space="0" w:color="019648"/>
              <w:left w:val="nil"/>
              <w:right w:val="nil"/>
            </w:tcBorders>
          </w:tcPr>
          <w:p w14:paraId="65CE49BC" w14:textId="77777777" w:rsidR="00E05B98" w:rsidRPr="003C6DAE" w:rsidRDefault="00E05B98" w:rsidP="000548D2">
            <w:pPr>
              <w:pStyle w:val="TableParagraph"/>
              <w:spacing w:before="0" w:line="269" w:lineRule="auto"/>
              <w:ind w:left="0"/>
              <w:rPr>
                <w:rFonts w:ascii="Times New Roman"/>
                <w:sz w:val="20"/>
                <w:lang w:val="uk-UA"/>
              </w:rPr>
            </w:pPr>
          </w:p>
        </w:tc>
        <w:tc>
          <w:tcPr>
            <w:tcW w:w="3725" w:type="dxa"/>
            <w:tcBorders>
              <w:top w:val="single" w:sz="8" w:space="0" w:color="388600"/>
              <w:left w:val="nil"/>
              <w:right w:val="nil"/>
            </w:tcBorders>
          </w:tcPr>
          <w:p w14:paraId="35EFA3A3" w14:textId="7367F4C0" w:rsidR="00E05B98" w:rsidRPr="00A87AD9" w:rsidRDefault="00A87AD9" w:rsidP="000548D2">
            <w:pPr>
              <w:pStyle w:val="TableParagraph"/>
              <w:spacing w:line="269" w:lineRule="auto"/>
              <w:ind w:left="105" w:right="99"/>
              <w:rPr>
                <w:sz w:val="18"/>
                <w:szCs w:val="18"/>
                <w:lang w:val="uk-UA"/>
              </w:rPr>
            </w:pPr>
            <w:r>
              <w:rPr>
                <w:sz w:val="18"/>
                <w:szCs w:val="18"/>
                <w:lang w:val="uk-UA"/>
              </w:rPr>
              <w:t>Тести ц</w:t>
            </w:r>
            <w:r w:rsidR="00C458B6" w:rsidRPr="00A87AD9">
              <w:rPr>
                <w:sz w:val="18"/>
                <w:szCs w:val="18"/>
                <w:lang w:val="uk-UA"/>
              </w:rPr>
              <w:t>ільов</w:t>
            </w:r>
            <w:r>
              <w:rPr>
                <w:sz w:val="18"/>
                <w:szCs w:val="18"/>
                <w:lang w:val="uk-UA"/>
              </w:rPr>
              <w:t>ого</w:t>
            </w:r>
            <w:r w:rsidR="00C458B6" w:rsidRPr="00A87AD9">
              <w:rPr>
                <w:sz w:val="18"/>
                <w:szCs w:val="18"/>
                <w:lang w:val="uk-UA"/>
              </w:rPr>
              <w:t xml:space="preserve"> секвенування наступ-ного покоління (СНП) для виявлення стійкості ТБ до лікарських препаратів</w:t>
            </w:r>
          </w:p>
        </w:tc>
        <w:tc>
          <w:tcPr>
            <w:tcW w:w="5877" w:type="dxa"/>
            <w:tcBorders>
              <w:top w:val="single" w:sz="8" w:space="0" w:color="388600"/>
              <w:left w:val="nil"/>
              <w:right w:val="nil"/>
            </w:tcBorders>
          </w:tcPr>
          <w:p w14:paraId="45658519" w14:textId="6A719EF1" w:rsidR="00E05B98" w:rsidRPr="00A87AD9" w:rsidRDefault="00B01E0C" w:rsidP="000548D2">
            <w:pPr>
              <w:pStyle w:val="TableParagraph"/>
              <w:spacing w:line="269" w:lineRule="auto"/>
              <w:ind w:left="122" w:right="682"/>
              <w:rPr>
                <w:sz w:val="18"/>
                <w:szCs w:val="18"/>
                <w:lang w:val="uk-UA"/>
              </w:rPr>
            </w:pPr>
            <w:r w:rsidRPr="00A87AD9">
              <w:rPr>
                <w:sz w:val="18"/>
                <w:szCs w:val="18"/>
                <w:lang w:val="uk-UA"/>
              </w:rPr>
              <w:t>Deeplex</w:t>
            </w:r>
            <w:r w:rsidRPr="00A87AD9">
              <w:rPr>
                <w:sz w:val="18"/>
                <w:szCs w:val="18"/>
                <w:vertAlign w:val="superscript"/>
                <w:lang w:val="uk-UA"/>
              </w:rPr>
              <w:t>®</w:t>
            </w:r>
            <w:r w:rsidRPr="00A87AD9">
              <w:rPr>
                <w:sz w:val="18"/>
                <w:szCs w:val="18"/>
                <w:lang w:val="uk-UA"/>
              </w:rPr>
              <w:t xml:space="preserve"> Myc-TB (GenoScreen/Illumina) </w:t>
            </w:r>
            <w:r w:rsidRPr="00A87AD9">
              <w:rPr>
                <w:spacing w:val="-4"/>
                <w:sz w:val="18"/>
                <w:szCs w:val="18"/>
                <w:lang w:val="uk-UA"/>
              </w:rPr>
              <w:t>AmPORE-TB</w:t>
            </w:r>
            <w:r w:rsidRPr="00A87AD9">
              <w:rPr>
                <w:spacing w:val="-4"/>
                <w:sz w:val="18"/>
                <w:szCs w:val="18"/>
                <w:vertAlign w:val="superscript"/>
                <w:lang w:val="uk-UA"/>
              </w:rPr>
              <w:t>®</w:t>
            </w:r>
            <w:r w:rsidRPr="00A87AD9">
              <w:rPr>
                <w:spacing w:val="-9"/>
                <w:sz w:val="18"/>
                <w:szCs w:val="18"/>
                <w:lang w:val="uk-UA"/>
              </w:rPr>
              <w:t xml:space="preserve"> </w:t>
            </w:r>
            <w:r w:rsidRPr="00A87AD9">
              <w:rPr>
                <w:spacing w:val="-4"/>
                <w:sz w:val="18"/>
                <w:szCs w:val="18"/>
                <w:lang w:val="uk-UA"/>
              </w:rPr>
              <w:t>(</w:t>
            </w:r>
            <w:r w:rsidR="00C458B6" w:rsidRPr="00A87AD9">
              <w:rPr>
                <w:spacing w:val="-4"/>
                <w:sz w:val="18"/>
                <w:szCs w:val="18"/>
                <w:lang w:val="uk-UA"/>
              </w:rPr>
              <w:t xml:space="preserve">компанія </w:t>
            </w:r>
            <w:r w:rsidR="00A87AD9">
              <w:rPr>
                <w:spacing w:val="-4"/>
                <w:sz w:val="18"/>
                <w:szCs w:val="18"/>
                <w:lang w:val="uk-UA"/>
              </w:rPr>
              <w:t>«</w:t>
            </w:r>
            <w:r w:rsidRPr="00A87AD9">
              <w:rPr>
                <w:spacing w:val="-4"/>
                <w:sz w:val="18"/>
                <w:szCs w:val="18"/>
                <w:lang w:val="uk-UA"/>
              </w:rPr>
              <w:t>Oxford</w:t>
            </w:r>
            <w:r w:rsidRPr="00A87AD9">
              <w:rPr>
                <w:spacing w:val="-9"/>
                <w:sz w:val="18"/>
                <w:szCs w:val="18"/>
                <w:lang w:val="uk-UA"/>
              </w:rPr>
              <w:t xml:space="preserve"> </w:t>
            </w:r>
            <w:r w:rsidRPr="00A87AD9">
              <w:rPr>
                <w:spacing w:val="-4"/>
                <w:sz w:val="18"/>
                <w:szCs w:val="18"/>
                <w:lang w:val="uk-UA"/>
              </w:rPr>
              <w:t>Nanopore</w:t>
            </w:r>
            <w:r w:rsidRPr="00A87AD9">
              <w:rPr>
                <w:spacing w:val="-9"/>
                <w:sz w:val="18"/>
                <w:szCs w:val="18"/>
                <w:lang w:val="uk-UA"/>
              </w:rPr>
              <w:t xml:space="preserve"> </w:t>
            </w:r>
            <w:r w:rsidRPr="00A87AD9">
              <w:rPr>
                <w:spacing w:val="-4"/>
                <w:sz w:val="18"/>
                <w:szCs w:val="18"/>
                <w:lang w:val="uk-UA"/>
              </w:rPr>
              <w:t>Technologies</w:t>
            </w:r>
            <w:r w:rsidR="00A87AD9">
              <w:rPr>
                <w:spacing w:val="-4"/>
                <w:sz w:val="18"/>
                <w:szCs w:val="18"/>
                <w:lang w:val="uk-UA"/>
              </w:rPr>
              <w:t>»</w:t>
            </w:r>
            <w:r w:rsidRPr="00A87AD9">
              <w:rPr>
                <w:spacing w:val="-4"/>
                <w:sz w:val="18"/>
                <w:szCs w:val="18"/>
                <w:lang w:val="uk-UA"/>
              </w:rPr>
              <w:t>)</w:t>
            </w:r>
          </w:p>
          <w:p w14:paraId="62AFE499" w14:textId="129C189F" w:rsidR="00E05B98" w:rsidRPr="00A87AD9" w:rsidRDefault="00B01E0C" w:rsidP="000548D2">
            <w:pPr>
              <w:pStyle w:val="TableParagraph"/>
              <w:spacing w:before="0" w:line="269" w:lineRule="auto"/>
              <w:ind w:left="122"/>
              <w:rPr>
                <w:sz w:val="18"/>
                <w:szCs w:val="18"/>
                <w:lang w:val="uk-UA"/>
              </w:rPr>
            </w:pPr>
            <w:r w:rsidRPr="00A87AD9">
              <w:rPr>
                <w:spacing w:val="-2"/>
                <w:sz w:val="18"/>
                <w:szCs w:val="18"/>
                <w:lang w:val="uk-UA"/>
              </w:rPr>
              <w:t>TBseq</w:t>
            </w:r>
            <w:r w:rsidRPr="00A87AD9">
              <w:rPr>
                <w:spacing w:val="-2"/>
                <w:sz w:val="18"/>
                <w:szCs w:val="18"/>
                <w:vertAlign w:val="superscript"/>
                <w:lang w:val="uk-UA"/>
              </w:rPr>
              <w:t>®</w:t>
            </w:r>
            <w:r w:rsidRPr="00A87AD9">
              <w:rPr>
                <w:spacing w:val="-10"/>
                <w:sz w:val="18"/>
                <w:szCs w:val="18"/>
                <w:lang w:val="uk-UA"/>
              </w:rPr>
              <w:t xml:space="preserve"> </w:t>
            </w:r>
            <w:r w:rsidRPr="00A87AD9">
              <w:rPr>
                <w:spacing w:val="-2"/>
                <w:sz w:val="18"/>
                <w:szCs w:val="18"/>
                <w:lang w:val="uk-UA"/>
              </w:rPr>
              <w:t>(</w:t>
            </w:r>
            <w:r w:rsidR="00A87AD9">
              <w:rPr>
                <w:spacing w:val="-2"/>
                <w:sz w:val="18"/>
                <w:szCs w:val="18"/>
                <w:lang w:val="uk-UA"/>
              </w:rPr>
              <w:t>компанія</w:t>
            </w:r>
            <w:r w:rsidR="00EB0537" w:rsidRPr="00A87AD9">
              <w:rPr>
                <w:spacing w:val="-2"/>
                <w:sz w:val="18"/>
                <w:szCs w:val="18"/>
                <w:lang w:val="uk-UA"/>
              </w:rPr>
              <w:t xml:space="preserve"> </w:t>
            </w:r>
            <w:r w:rsidR="00A87AD9">
              <w:rPr>
                <w:spacing w:val="-2"/>
                <w:sz w:val="18"/>
                <w:szCs w:val="18"/>
                <w:lang w:val="uk-UA"/>
              </w:rPr>
              <w:t>«</w:t>
            </w:r>
            <w:r w:rsidRPr="00A87AD9">
              <w:rPr>
                <w:spacing w:val="-2"/>
                <w:sz w:val="18"/>
                <w:szCs w:val="18"/>
                <w:lang w:val="uk-UA"/>
              </w:rPr>
              <w:t>Shengting</w:t>
            </w:r>
            <w:r w:rsidRPr="00A87AD9">
              <w:rPr>
                <w:spacing w:val="-10"/>
                <w:sz w:val="18"/>
                <w:szCs w:val="18"/>
                <w:lang w:val="uk-UA"/>
              </w:rPr>
              <w:t xml:space="preserve"> </w:t>
            </w:r>
            <w:r w:rsidRPr="00A87AD9">
              <w:rPr>
                <w:spacing w:val="-2"/>
                <w:sz w:val="18"/>
                <w:szCs w:val="18"/>
                <w:lang w:val="uk-UA"/>
              </w:rPr>
              <w:t>Medical</w:t>
            </w:r>
            <w:r w:rsidRPr="00A87AD9">
              <w:rPr>
                <w:spacing w:val="-9"/>
                <w:sz w:val="18"/>
                <w:szCs w:val="18"/>
                <w:lang w:val="uk-UA"/>
              </w:rPr>
              <w:t xml:space="preserve"> </w:t>
            </w:r>
            <w:r w:rsidRPr="00A87AD9">
              <w:rPr>
                <w:spacing w:val="-2"/>
                <w:sz w:val="18"/>
                <w:szCs w:val="18"/>
                <w:lang w:val="uk-UA"/>
              </w:rPr>
              <w:t>Technology</w:t>
            </w:r>
            <w:r w:rsidR="00A87AD9">
              <w:rPr>
                <w:spacing w:val="-10"/>
                <w:sz w:val="18"/>
                <w:szCs w:val="18"/>
                <w:lang w:val="uk-UA"/>
              </w:rPr>
              <w:t>»</w:t>
            </w:r>
            <w:r w:rsidRPr="00A87AD9">
              <w:rPr>
                <w:spacing w:val="-2"/>
                <w:sz w:val="18"/>
                <w:szCs w:val="18"/>
                <w:lang w:val="uk-UA"/>
              </w:rPr>
              <w:t>)</w:t>
            </w:r>
          </w:p>
        </w:tc>
      </w:tr>
      <w:tr w:rsidR="00E05B98" w:rsidRPr="00D029FF" w14:paraId="400C4622" w14:textId="77777777" w:rsidTr="00EB0537">
        <w:trPr>
          <w:trHeight w:val="428"/>
        </w:trPr>
        <w:tc>
          <w:tcPr>
            <w:tcW w:w="30" w:type="dxa"/>
            <w:tcBorders>
              <w:left w:val="nil"/>
            </w:tcBorders>
            <w:shd w:val="clear" w:color="auto" w:fill="9FC39D"/>
          </w:tcPr>
          <w:p w14:paraId="3F3314EF" w14:textId="77777777" w:rsidR="00E05B98" w:rsidRPr="003C6DAE" w:rsidRDefault="00E05B98" w:rsidP="000548D2">
            <w:pPr>
              <w:pStyle w:val="TableParagraph"/>
              <w:spacing w:before="0" w:line="269" w:lineRule="auto"/>
              <w:ind w:left="0"/>
              <w:rPr>
                <w:rFonts w:ascii="Times New Roman"/>
                <w:sz w:val="20"/>
                <w:lang w:val="uk-UA"/>
              </w:rPr>
            </w:pPr>
          </w:p>
        </w:tc>
        <w:tc>
          <w:tcPr>
            <w:tcW w:w="3725" w:type="dxa"/>
            <w:tcBorders>
              <w:right w:val="nil"/>
            </w:tcBorders>
            <w:shd w:val="clear" w:color="auto" w:fill="9FC39D"/>
          </w:tcPr>
          <w:p w14:paraId="25B6EED1" w14:textId="073AA618" w:rsidR="00E05B98" w:rsidRPr="00A87AD9" w:rsidRDefault="00EB0537" w:rsidP="000548D2">
            <w:pPr>
              <w:pStyle w:val="TableParagraph"/>
              <w:spacing w:before="95" w:line="269" w:lineRule="auto"/>
              <w:ind w:left="118"/>
              <w:rPr>
                <w:rFonts w:ascii="Arial"/>
                <w:b/>
                <w:sz w:val="20"/>
                <w:szCs w:val="20"/>
                <w:lang w:val="uk-UA"/>
              </w:rPr>
            </w:pPr>
            <w:r w:rsidRPr="00A87AD9">
              <w:rPr>
                <w:rFonts w:ascii="Arial"/>
                <w:b/>
                <w:spacing w:val="-6"/>
                <w:sz w:val="20"/>
                <w:szCs w:val="20"/>
                <w:lang w:val="uk-UA"/>
              </w:rPr>
              <w:t>Тести</w:t>
            </w:r>
            <w:r w:rsidRPr="00A87AD9">
              <w:rPr>
                <w:rFonts w:ascii="Arial"/>
                <w:b/>
                <w:spacing w:val="-6"/>
                <w:sz w:val="20"/>
                <w:szCs w:val="20"/>
                <w:lang w:val="uk-UA"/>
              </w:rPr>
              <w:t xml:space="preserve"> </w:t>
            </w:r>
            <w:r w:rsidRPr="00A87AD9">
              <w:rPr>
                <w:rFonts w:ascii="Arial"/>
                <w:b/>
                <w:spacing w:val="-6"/>
                <w:sz w:val="20"/>
                <w:szCs w:val="20"/>
                <w:lang w:val="uk-UA"/>
              </w:rPr>
              <w:t>на</w:t>
            </w:r>
            <w:r w:rsidRPr="00A87AD9">
              <w:rPr>
                <w:rFonts w:ascii="Arial"/>
                <w:b/>
                <w:spacing w:val="-6"/>
                <w:sz w:val="20"/>
                <w:szCs w:val="20"/>
                <w:lang w:val="uk-UA"/>
              </w:rPr>
              <w:t xml:space="preserve"> </w:t>
            </w:r>
            <w:r w:rsidRPr="00A87AD9">
              <w:rPr>
                <w:rFonts w:ascii="Arial"/>
                <w:b/>
                <w:spacing w:val="-6"/>
                <w:sz w:val="20"/>
                <w:szCs w:val="20"/>
                <w:lang w:val="uk-UA"/>
              </w:rPr>
              <w:t>виявлення</w:t>
            </w:r>
            <w:r w:rsidRPr="00A87AD9">
              <w:rPr>
                <w:rFonts w:ascii="Arial"/>
                <w:b/>
                <w:spacing w:val="-6"/>
                <w:sz w:val="20"/>
                <w:szCs w:val="20"/>
                <w:lang w:val="uk-UA"/>
              </w:rPr>
              <w:t xml:space="preserve">  </w:t>
            </w:r>
            <w:r w:rsidRPr="00A87AD9">
              <w:rPr>
                <w:rFonts w:ascii="Arial"/>
                <w:b/>
                <w:spacing w:val="-6"/>
                <w:sz w:val="20"/>
                <w:szCs w:val="20"/>
                <w:lang w:val="uk-UA"/>
              </w:rPr>
              <w:t>ТБ</w:t>
            </w:r>
            <w:r w:rsidRPr="00A87AD9">
              <w:rPr>
                <w:rFonts w:ascii="Arial"/>
                <w:b/>
                <w:spacing w:val="-6"/>
                <w:sz w:val="20"/>
                <w:szCs w:val="20"/>
                <w:lang w:val="uk-UA"/>
              </w:rPr>
              <w:t>-</w:t>
            </w:r>
            <w:r w:rsidRPr="00A87AD9">
              <w:rPr>
                <w:rFonts w:ascii="Arial"/>
                <w:b/>
                <w:spacing w:val="-6"/>
                <w:sz w:val="20"/>
                <w:szCs w:val="20"/>
                <w:lang w:val="uk-UA"/>
              </w:rPr>
              <w:t>інфекції</w:t>
            </w:r>
          </w:p>
        </w:tc>
        <w:tc>
          <w:tcPr>
            <w:tcW w:w="5877" w:type="dxa"/>
            <w:tcBorders>
              <w:left w:val="nil"/>
            </w:tcBorders>
            <w:shd w:val="clear" w:color="auto" w:fill="9FC39D"/>
          </w:tcPr>
          <w:p w14:paraId="75F4812B" w14:textId="77777777" w:rsidR="00E05B98" w:rsidRPr="00A87AD9" w:rsidRDefault="00E05B98" w:rsidP="000548D2">
            <w:pPr>
              <w:pStyle w:val="TableParagraph"/>
              <w:spacing w:before="0" w:line="269" w:lineRule="auto"/>
              <w:ind w:left="0"/>
              <w:rPr>
                <w:rFonts w:ascii="Times New Roman"/>
                <w:sz w:val="18"/>
                <w:szCs w:val="18"/>
                <w:lang w:val="uk-UA"/>
              </w:rPr>
            </w:pPr>
          </w:p>
        </w:tc>
      </w:tr>
      <w:tr w:rsidR="00E05B98" w:rsidRPr="00D029FF" w14:paraId="07B05BEB" w14:textId="77777777" w:rsidTr="005372A6">
        <w:trPr>
          <w:trHeight w:val="1075"/>
        </w:trPr>
        <w:tc>
          <w:tcPr>
            <w:tcW w:w="30" w:type="dxa"/>
            <w:tcBorders>
              <w:left w:val="nil"/>
              <w:bottom w:val="single" w:sz="6" w:space="0" w:color="019648"/>
              <w:right w:val="nil"/>
            </w:tcBorders>
          </w:tcPr>
          <w:p w14:paraId="31EB5567" w14:textId="77777777" w:rsidR="00E05B98" w:rsidRPr="003C6DAE" w:rsidRDefault="00E05B98" w:rsidP="000548D2">
            <w:pPr>
              <w:pStyle w:val="TableParagraph"/>
              <w:spacing w:before="0" w:line="269" w:lineRule="auto"/>
              <w:ind w:left="0"/>
              <w:rPr>
                <w:rFonts w:ascii="Times New Roman"/>
                <w:sz w:val="20"/>
                <w:lang w:val="uk-UA"/>
              </w:rPr>
            </w:pPr>
          </w:p>
        </w:tc>
        <w:tc>
          <w:tcPr>
            <w:tcW w:w="3725" w:type="dxa"/>
            <w:tcBorders>
              <w:left w:val="nil"/>
              <w:bottom w:val="single" w:sz="8" w:space="0" w:color="388600"/>
              <w:right w:val="nil"/>
            </w:tcBorders>
          </w:tcPr>
          <w:p w14:paraId="7F9AB016" w14:textId="507A4798" w:rsidR="00E05B98" w:rsidRPr="00A87AD9" w:rsidRDefault="00EB0537" w:rsidP="000548D2">
            <w:pPr>
              <w:pStyle w:val="TableParagraph"/>
              <w:spacing w:before="10" w:line="269" w:lineRule="auto"/>
              <w:ind w:left="105"/>
              <w:rPr>
                <w:sz w:val="18"/>
                <w:szCs w:val="18"/>
                <w:lang w:val="uk-UA"/>
              </w:rPr>
            </w:pPr>
            <w:r w:rsidRPr="00A87AD9">
              <w:rPr>
                <w:rFonts w:ascii="Arial"/>
                <w:iCs/>
                <w:sz w:val="18"/>
                <w:szCs w:val="18"/>
                <w:lang w:val="uk-UA"/>
              </w:rPr>
              <w:t>Шкірні</w:t>
            </w:r>
            <w:r w:rsidRPr="00A87AD9">
              <w:rPr>
                <w:rFonts w:ascii="Arial"/>
                <w:iCs/>
                <w:sz w:val="18"/>
                <w:szCs w:val="18"/>
                <w:lang w:val="uk-UA"/>
              </w:rPr>
              <w:t xml:space="preserve"> </w:t>
            </w:r>
            <w:r w:rsidR="00E30129">
              <w:rPr>
                <w:rFonts w:ascii="Arial"/>
                <w:iCs/>
                <w:sz w:val="18"/>
                <w:szCs w:val="18"/>
                <w:lang w:val="uk-UA"/>
              </w:rPr>
              <w:t>проби</w:t>
            </w:r>
            <w:r w:rsidRPr="00A87AD9">
              <w:rPr>
                <w:rFonts w:ascii="Arial"/>
                <w:iCs/>
                <w:sz w:val="18"/>
                <w:szCs w:val="18"/>
                <w:lang w:val="uk-UA"/>
              </w:rPr>
              <w:t xml:space="preserve"> </w:t>
            </w:r>
            <w:r w:rsidRPr="00A87AD9">
              <w:rPr>
                <w:rFonts w:ascii="Arial"/>
                <w:iCs/>
                <w:sz w:val="18"/>
                <w:szCs w:val="18"/>
                <w:lang w:val="uk-UA"/>
              </w:rPr>
              <w:t>на</w:t>
            </w:r>
            <w:r w:rsidRPr="00A87AD9">
              <w:rPr>
                <w:rFonts w:ascii="Arial"/>
                <w:iCs/>
                <w:sz w:val="18"/>
                <w:szCs w:val="18"/>
                <w:lang w:val="uk-UA"/>
              </w:rPr>
              <w:t xml:space="preserve"> </w:t>
            </w:r>
            <w:r w:rsidR="00E30129">
              <w:rPr>
                <w:rFonts w:ascii="Arial"/>
                <w:iCs/>
                <w:sz w:val="18"/>
                <w:szCs w:val="18"/>
                <w:lang w:val="uk-UA"/>
              </w:rPr>
              <w:t>основі</w:t>
            </w:r>
            <w:r w:rsidR="00E30129">
              <w:rPr>
                <w:rFonts w:ascii="Arial"/>
                <w:iCs/>
                <w:sz w:val="18"/>
                <w:szCs w:val="18"/>
                <w:lang w:val="uk-UA"/>
              </w:rPr>
              <w:t xml:space="preserve"> </w:t>
            </w:r>
            <w:r w:rsidRPr="00A87AD9">
              <w:rPr>
                <w:rFonts w:ascii="Arial"/>
                <w:iCs/>
                <w:sz w:val="18"/>
                <w:szCs w:val="18"/>
                <w:lang w:val="uk-UA"/>
              </w:rPr>
              <w:t>антиген</w:t>
            </w:r>
            <w:r w:rsidR="00E30129">
              <w:rPr>
                <w:rFonts w:ascii="Arial"/>
                <w:iCs/>
                <w:sz w:val="18"/>
                <w:szCs w:val="18"/>
                <w:lang w:val="uk-UA"/>
              </w:rPr>
              <w:t>у</w:t>
            </w:r>
            <w:r w:rsidRPr="00A87AD9">
              <w:rPr>
                <w:rFonts w:ascii="Arial"/>
                <w:iCs/>
                <w:sz w:val="18"/>
                <w:szCs w:val="18"/>
                <w:lang w:val="uk-UA"/>
              </w:rPr>
              <w:t xml:space="preserve"> </w:t>
            </w:r>
            <w:r w:rsidRPr="00A87AD9">
              <w:rPr>
                <w:rFonts w:ascii="Arial"/>
                <w:i/>
                <w:sz w:val="18"/>
                <w:szCs w:val="18"/>
                <w:lang w:val="uk-UA"/>
              </w:rPr>
              <w:t>Mycobacterium tuberculosis</w:t>
            </w:r>
            <w:r w:rsidRPr="00A87AD9">
              <w:rPr>
                <w:rFonts w:ascii="Arial"/>
                <w:iCs/>
                <w:sz w:val="18"/>
                <w:szCs w:val="18"/>
                <w:lang w:val="uk-UA"/>
              </w:rPr>
              <w:t xml:space="preserve"> </w:t>
            </w:r>
            <w:r w:rsidRPr="00A87AD9">
              <w:rPr>
                <w:rFonts w:ascii="Arial"/>
                <w:iCs/>
                <w:sz w:val="18"/>
                <w:szCs w:val="18"/>
                <w:lang w:val="uk-UA"/>
              </w:rPr>
              <w:t>для</w:t>
            </w:r>
            <w:r w:rsidRPr="00A87AD9">
              <w:rPr>
                <w:rFonts w:ascii="Arial"/>
                <w:iCs/>
                <w:sz w:val="18"/>
                <w:szCs w:val="18"/>
                <w:lang w:val="uk-UA"/>
              </w:rPr>
              <w:t xml:space="preserve"> </w:t>
            </w:r>
            <w:r w:rsidRPr="00A87AD9">
              <w:rPr>
                <w:rFonts w:ascii="Arial"/>
                <w:iCs/>
                <w:sz w:val="18"/>
                <w:szCs w:val="18"/>
                <w:lang w:val="uk-UA"/>
              </w:rPr>
              <w:t>діагностики</w:t>
            </w:r>
            <w:r w:rsidRPr="00A87AD9">
              <w:rPr>
                <w:rFonts w:ascii="Arial"/>
                <w:iCs/>
                <w:sz w:val="18"/>
                <w:szCs w:val="18"/>
                <w:lang w:val="uk-UA"/>
              </w:rPr>
              <w:t xml:space="preserve"> </w:t>
            </w:r>
            <w:r w:rsidRPr="00A87AD9">
              <w:rPr>
                <w:rFonts w:ascii="Arial"/>
                <w:iCs/>
                <w:sz w:val="18"/>
                <w:szCs w:val="18"/>
                <w:lang w:val="uk-UA"/>
              </w:rPr>
              <w:t>туберкульозної</w:t>
            </w:r>
            <w:r w:rsidRPr="00A87AD9">
              <w:rPr>
                <w:rFonts w:ascii="Arial"/>
                <w:iCs/>
                <w:sz w:val="18"/>
                <w:szCs w:val="18"/>
                <w:lang w:val="uk-UA"/>
              </w:rPr>
              <w:t xml:space="preserve"> </w:t>
            </w:r>
            <w:r w:rsidRPr="00A87AD9">
              <w:rPr>
                <w:rFonts w:ascii="Arial"/>
                <w:iCs/>
                <w:sz w:val="18"/>
                <w:szCs w:val="18"/>
                <w:lang w:val="uk-UA"/>
              </w:rPr>
              <w:t>інфекції</w:t>
            </w:r>
            <w:r w:rsidR="00B01E0C" w:rsidRPr="00A87AD9">
              <w:rPr>
                <w:spacing w:val="-10"/>
                <w:sz w:val="18"/>
                <w:szCs w:val="18"/>
                <w:lang w:val="uk-UA"/>
              </w:rPr>
              <w:t xml:space="preserve"> </w:t>
            </w:r>
            <w:r w:rsidR="00B01E0C" w:rsidRPr="00A87AD9">
              <w:rPr>
                <w:spacing w:val="-2"/>
                <w:sz w:val="18"/>
                <w:szCs w:val="18"/>
                <w:lang w:val="uk-UA"/>
              </w:rPr>
              <w:t>(</w:t>
            </w:r>
            <w:r w:rsidR="00E30129">
              <w:rPr>
                <w:spacing w:val="-2"/>
                <w:sz w:val="18"/>
                <w:szCs w:val="18"/>
                <w:lang w:val="uk-UA"/>
              </w:rPr>
              <w:t>ШПТБ</w:t>
            </w:r>
            <w:r w:rsidR="00B01E0C" w:rsidRPr="00A87AD9">
              <w:rPr>
                <w:spacing w:val="-2"/>
                <w:sz w:val="18"/>
                <w:szCs w:val="18"/>
                <w:lang w:val="uk-UA"/>
              </w:rPr>
              <w:t>)</w:t>
            </w:r>
          </w:p>
        </w:tc>
        <w:tc>
          <w:tcPr>
            <w:tcW w:w="5877" w:type="dxa"/>
            <w:tcBorders>
              <w:left w:val="nil"/>
              <w:bottom w:val="single" w:sz="8" w:space="0" w:color="388600"/>
              <w:right w:val="nil"/>
            </w:tcBorders>
          </w:tcPr>
          <w:p w14:paraId="6C62475B" w14:textId="749E8DB6" w:rsidR="00E05B98" w:rsidRPr="00A87AD9" w:rsidRDefault="00EB0537" w:rsidP="000548D2">
            <w:pPr>
              <w:pStyle w:val="TableParagraph"/>
              <w:spacing w:before="76" w:line="269" w:lineRule="auto"/>
              <w:ind w:left="122"/>
              <w:rPr>
                <w:sz w:val="18"/>
                <w:szCs w:val="18"/>
                <w:lang w:val="uk-UA"/>
              </w:rPr>
            </w:pPr>
            <w:r w:rsidRPr="00A87AD9">
              <w:rPr>
                <w:spacing w:val="-5"/>
                <w:sz w:val="18"/>
                <w:szCs w:val="18"/>
                <w:lang w:val="uk-UA"/>
              </w:rPr>
              <w:t xml:space="preserve">Тест </w:t>
            </w:r>
            <w:r w:rsidR="00B01E0C" w:rsidRPr="00A87AD9">
              <w:rPr>
                <w:spacing w:val="-5"/>
                <w:sz w:val="18"/>
                <w:szCs w:val="18"/>
                <w:lang w:val="uk-UA"/>
              </w:rPr>
              <w:t>Diaskintest</w:t>
            </w:r>
            <w:r w:rsidR="00B01E0C" w:rsidRPr="00A87AD9">
              <w:rPr>
                <w:spacing w:val="-5"/>
                <w:sz w:val="18"/>
                <w:szCs w:val="18"/>
                <w:vertAlign w:val="superscript"/>
                <w:lang w:val="uk-UA"/>
              </w:rPr>
              <w:t>®</w:t>
            </w:r>
            <w:r w:rsidR="00B01E0C" w:rsidRPr="00A87AD9">
              <w:rPr>
                <w:spacing w:val="-1"/>
                <w:sz w:val="18"/>
                <w:szCs w:val="18"/>
                <w:lang w:val="uk-UA"/>
              </w:rPr>
              <w:t xml:space="preserve"> </w:t>
            </w:r>
            <w:r w:rsidR="00B01E0C" w:rsidRPr="00A87AD9">
              <w:rPr>
                <w:spacing w:val="-2"/>
                <w:sz w:val="18"/>
                <w:szCs w:val="18"/>
                <w:lang w:val="uk-UA"/>
              </w:rPr>
              <w:t>(</w:t>
            </w:r>
            <w:r w:rsidR="00A87AD9">
              <w:rPr>
                <w:spacing w:val="-2"/>
                <w:sz w:val="18"/>
                <w:szCs w:val="18"/>
                <w:lang w:val="uk-UA"/>
              </w:rPr>
              <w:t>компанія</w:t>
            </w:r>
            <w:r w:rsidRPr="00A87AD9">
              <w:rPr>
                <w:spacing w:val="-2"/>
                <w:sz w:val="18"/>
                <w:szCs w:val="18"/>
                <w:lang w:val="uk-UA"/>
              </w:rPr>
              <w:t xml:space="preserve"> </w:t>
            </w:r>
            <w:r w:rsidR="00A87AD9">
              <w:rPr>
                <w:spacing w:val="-2"/>
                <w:sz w:val="18"/>
                <w:szCs w:val="18"/>
                <w:lang w:val="uk-UA"/>
              </w:rPr>
              <w:t>«</w:t>
            </w:r>
            <w:r w:rsidR="00B01E0C" w:rsidRPr="00A87AD9">
              <w:rPr>
                <w:spacing w:val="-2"/>
                <w:sz w:val="18"/>
                <w:szCs w:val="18"/>
                <w:lang w:val="uk-UA"/>
              </w:rPr>
              <w:t>Generium</w:t>
            </w:r>
            <w:r w:rsidR="00A87AD9">
              <w:rPr>
                <w:spacing w:val="-2"/>
                <w:sz w:val="18"/>
                <w:szCs w:val="18"/>
                <w:lang w:val="uk-UA"/>
              </w:rPr>
              <w:t>»</w:t>
            </w:r>
            <w:r w:rsidR="00B01E0C" w:rsidRPr="00A87AD9">
              <w:rPr>
                <w:spacing w:val="-2"/>
                <w:sz w:val="18"/>
                <w:szCs w:val="18"/>
                <w:lang w:val="uk-UA"/>
              </w:rPr>
              <w:t>)</w:t>
            </w:r>
          </w:p>
          <w:p w14:paraId="11586892" w14:textId="7A7E9103" w:rsidR="00E05B98" w:rsidRPr="00A87AD9" w:rsidRDefault="00B01E0C" w:rsidP="000548D2">
            <w:pPr>
              <w:pStyle w:val="TableParagraph"/>
              <w:spacing w:before="5" w:line="269" w:lineRule="auto"/>
              <w:ind w:left="122" w:right="1776"/>
              <w:rPr>
                <w:sz w:val="18"/>
                <w:szCs w:val="18"/>
                <w:lang w:val="uk-UA"/>
              </w:rPr>
            </w:pPr>
            <w:r w:rsidRPr="00A87AD9">
              <w:rPr>
                <w:sz w:val="18"/>
                <w:szCs w:val="18"/>
                <w:lang w:val="uk-UA"/>
              </w:rPr>
              <w:t>Siiltibcy™ (</w:t>
            </w:r>
            <w:r w:rsidR="00EB0537" w:rsidRPr="00A87AD9">
              <w:rPr>
                <w:sz w:val="18"/>
                <w:szCs w:val="18"/>
                <w:lang w:val="uk-UA"/>
              </w:rPr>
              <w:t>Інститут сироватки Індії</w:t>
            </w:r>
            <w:r w:rsidRPr="00A87AD9">
              <w:rPr>
                <w:sz w:val="18"/>
                <w:szCs w:val="18"/>
                <w:lang w:val="uk-UA"/>
              </w:rPr>
              <w:t xml:space="preserve">) </w:t>
            </w:r>
            <w:r w:rsidR="00EB0537" w:rsidRPr="00A87AD9">
              <w:rPr>
                <w:sz w:val="18"/>
                <w:szCs w:val="18"/>
                <w:lang w:val="uk-UA"/>
              </w:rPr>
              <w:t xml:space="preserve">                          </w:t>
            </w:r>
            <w:r w:rsidRPr="00A87AD9">
              <w:rPr>
                <w:sz w:val="18"/>
                <w:szCs w:val="18"/>
                <w:lang w:val="uk-UA"/>
              </w:rPr>
              <w:t>C-TST (</w:t>
            </w:r>
            <w:r w:rsidR="00EB0537" w:rsidRPr="00A87AD9">
              <w:rPr>
                <w:sz w:val="18"/>
                <w:szCs w:val="18"/>
                <w:lang w:val="uk-UA"/>
              </w:rPr>
              <w:t xml:space="preserve">виробник </w:t>
            </w:r>
            <w:r w:rsidR="00A87AD9">
              <w:rPr>
                <w:sz w:val="18"/>
                <w:szCs w:val="18"/>
                <w:lang w:val="uk-UA"/>
              </w:rPr>
              <w:t>«</w:t>
            </w:r>
            <w:r w:rsidRPr="00A87AD9">
              <w:rPr>
                <w:sz w:val="18"/>
                <w:szCs w:val="18"/>
                <w:lang w:val="uk-UA"/>
              </w:rPr>
              <w:t>Anhui Zhifei Longcom</w:t>
            </w:r>
            <w:r w:rsidR="00A87AD9">
              <w:rPr>
                <w:sz w:val="18"/>
                <w:szCs w:val="18"/>
                <w:lang w:val="uk-UA"/>
              </w:rPr>
              <w:t>»</w:t>
            </w:r>
            <w:r w:rsidRPr="00A87AD9">
              <w:rPr>
                <w:sz w:val="18"/>
                <w:szCs w:val="18"/>
                <w:lang w:val="uk-UA"/>
              </w:rPr>
              <w:t>)</w:t>
            </w:r>
          </w:p>
        </w:tc>
      </w:tr>
      <w:tr w:rsidR="00E05B98" w:rsidRPr="00D029FF" w14:paraId="757718D9" w14:textId="77777777" w:rsidTr="005372A6">
        <w:trPr>
          <w:trHeight w:val="1334"/>
        </w:trPr>
        <w:tc>
          <w:tcPr>
            <w:tcW w:w="30" w:type="dxa"/>
            <w:tcBorders>
              <w:top w:val="single" w:sz="6" w:space="0" w:color="019648"/>
              <w:left w:val="nil"/>
              <w:bottom w:val="nil"/>
              <w:right w:val="nil"/>
            </w:tcBorders>
          </w:tcPr>
          <w:p w14:paraId="13C306AA" w14:textId="77777777" w:rsidR="00E05B98" w:rsidRPr="003C6DAE" w:rsidRDefault="00E05B98" w:rsidP="000548D2">
            <w:pPr>
              <w:pStyle w:val="TableParagraph"/>
              <w:spacing w:before="0" w:line="269" w:lineRule="auto"/>
              <w:ind w:left="0"/>
              <w:rPr>
                <w:rFonts w:ascii="Times New Roman"/>
                <w:sz w:val="20"/>
                <w:lang w:val="uk-UA"/>
              </w:rPr>
            </w:pPr>
          </w:p>
        </w:tc>
        <w:tc>
          <w:tcPr>
            <w:tcW w:w="3725" w:type="dxa"/>
            <w:tcBorders>
              <w:top w:val="single" w:sz="8" w:space="0" w:color="388600"/>
              <w:left w:val="nil"/>
              <w:bottom w:val="single" w:sz="8" w:space="0" w:color="388600"/>
              <w:right w:val="nil"/>
            </w:tcBorders>
          </w:tcPr>
          <w:p w14:paraId="3BE35564" w14:textId="36782027" w:rsidR="00E05B98" w:rsidRPr="00A87AD9" w:rsidRDefault="00EB0537" w:rsidP="000548D2">
            <w:pPr>
              <w:pStyle w:val="TableParagraph"/>
              <w:spacing w:line="269" w:lineRule="auto"/>
              <w:ind w:left="105" w:right="99"/>
              <w:rPr>
                <w:sz w:val="18"/>
                <w:szCs w:val="18"/>
                <w:lang w:val="uk-UA"/>
              </w:rPr>
            </w:pPr>
            <w:r w:rsidRPr="00A87AD9">
              <w:rPr>
                <w:spacing w:val="-2"/>
                <w:sz w:val="18"/>
                <w:szCs w:val="18"/>
                <w:lang w:val="uk-UA"/>
              </w:rPr>
              <w:t xml:space="preserve">Аналізи </w:t>
            </w:r>
            <w:r w:rsidR="00D85DF9" w:rsidRPr="00D45FA2">
              <w:rPr>
                <w:spacing w:val="-2"/>
                <w:sz w:val="18"/>
                <w:szCs w:val="18"/>
                <w:lang w:val="uk-UA"/>
              </w:rPr>
              <w:t xml:space="preserve">на </w:t>
            </w:r>
            <w:r w:rsidRPr="00D45FA2">
              <w:rPr>
                <w:spacing w:val="-2"/>
                <w:sz w:val="18"/>
                <w:szCs w:val="18"/>
                <w:lang w:val="uk-UA"/>
              </w:rPr>
              <w:t>вивільнення гамма-інтерферону</w:t>
            </w:r>
            <w:r w:rsidR="00B01E0C" w:rsidRPr="00D45FA2">
              <w:rPr>
                <w:spacing w:val="-2"/>
                <w:sz w:val="18"/>
                <w:szCs w:val="18"/>
                <w:lang w:val="uk-UA"/>
              </w:rPr>
              <w:t xml:space="preserve"> (</w:t>
            </w:r>
            <w:r w:rsidR="00A87AD9" w:rsidRPr="00D45FA2">
              <w:rPr>
                <w:spacing w:val="-2"/>
                <w:sz w:val="18"/>
                <w:szCs w:val="18"/>
                <w:lang w:val="uk-UA"/>
              </w:rPr>
              <w:t>АВГІ</w:t>
            </w:r>
            <w:r w:rsidR="00B01E0C" w:rsidRPr="00D45FA2">
              <w:rPr>
                <w:spacing w:val="-2"/>
                <w:sz w:val="18"/>
                <w:szCs w:val="18"/>
                <w:lang w:val="uk-UA"/>
              </w:rPr>
              <w:t>)</w:t>
            </w:r>
          </w:p>
        </w:tc>
        <w:tc>
          <w:tcPr>
            <w:tcW w:w="5877" w:type="dxa"/>
            <w:tcBorders>
              <w:top w:val="single" w:sz="8" w:space="0" w:color="388600"/>
              <w:left w:val="nil"/>
              <w:bottom w:val="single" w:sz="8" w:space="0" w:color="388600"/>
              <w:right w:val="nil"/>
            </w:tcBorders>
          </w:tcPr>
          <w:p w14:paraId="1B4FA88F" w14:textId="35E35E8C" w:rsidR="00E05B98" w:rsidRPr="00A87AD9" w:rsidRDefault="00B01E0C" w:rsidP="00EB0537">
            <w:pPr>
              <w:pStyle w:val="TableParagraph"/>
              <w:spacing w:line="228" w:lineRule="auto"/>
              <w:ind w:left="122" w:right="-136"/>
              <w:rPr>
                <w:sz w:val="18"/>
                <w:szCs w:val="18"/>
                <w:lang w:val="uk-UA"/>
              </w:rPr>
            </w:pPr>
            <w:hyperlink r:id="rId41">
              <w:r w:rsidRPr="00A87AD9">
                <w:rPr>
                  <w:w w:val="90"/>
                  <w:sz w:val="18"/>
                  <w:szCs w:val="18"/>
                  <w:lang w:val="uk-UA"/>
                </w:rPr>
                <w:t>T-SPOT.TB</w:t>
              </w:r>
            </w:hyperlink>
            <w:r w:rsidRPr="00A87AD9">
              <w:rPr>
                <w:w w:val="90"/>
                <w:sz w:val="18"/>
                <w:szCs w:val="18"/>
                <w:lang w:val="uk-UA"/>
              </w:rPr>
              <w:t xml:space="preserve"> (T-Spot) (Revvity) </w:t>
            </w:r>
            <w:r w:rsidRPr="00A87AD9">
              <w:rPr>
                <w:spacing w:val="-6"/>
                <w:sz w:val="18"/>
                <w:szCs w:val="18"/>
                <w:lang w:val="uk-UA"/>
              </w:rPr>
              <w:t>TB-IGRA</w:t>
            </w:r>
            <w:r w:rsidRPr="00A87AD9">
              <w:rPr>
                <w:sz w:val="18"/>
                <w:szCs w:val="18"/>
                <w:lang w:val="uk-UA"/>
              </w:rPr>
              <w:t xml:space="preserve"> </w:t>
            </w:r>
            <w:r w:rsidRPr="00A87AD9">
              <w:rPr>
                <w:spacing w:val="-6"/>
                <w:sz w:val="18"/>
                <w:szCs w:val="18"/>
                <w:lang w:val="uk-UA"/>
              </w:rPr>
              <w:t>(</w:t>
            </w:r>
            <w:r w:rsidR="00A87AD9">
              <w:rPr>
                <w:spacing w:val="-6"/>
                <w:sz w:val="18"/>
                <w:szCs w:val="18"/>
                <w:lang w:val="uk-UA"/>
              </w:rPr>
              <w:t>компанія</w:t>
            </w:r>
            <w:r w:rsidR="00EB0537" w:rsidRPr="00A87AD9">
              <w:rPr>
                <w:spacing w:val="-6"/>
                <w:sz w:val="18"/>
                <w:szCs w:val="18"/>
                <w:lang w:val="uk-UA"/>
              </w:rPr>
              <w:t xml:space="preserve"> </w:t>
            </w:r>
            <w:r w:rsidR="00A87AD9">
              <w:rPr>
                <w:spacing w:val="-6"/>
                <w:sz w:val="18"/>
                <w:szCs w:val="18"/>
                <w:lang w:val="uk-UA"/>
              </w:rPr>
              <w:t>«</w:t>
            </w:r>
            <w:r w:rsidRPr="00A87AD9">
              <w:rPr>
                <w:spacing w:val="-6"/>
                <w:sz w:val="18"/>
                <w:szCs w:val="18"/>
                <w:lang w:val="uk-UA"/>
              </w:rPr>
              <w:t>Wantai</w:t>
            </w:r>
            <w:r w:rsidRPr="00A87AD9">
              <w:rPr>
                <w:spacing w:val="1"/>
                <w:sz w:val="18"/>
                <w:szCs w:val="18"/>
                <w:lang w:val="uk-UA"/>
              </w:rPr>
              <w:t xml:space="preserve"> </w:t>
            </w:r>
            <w:r w:rsidRPr="00A87AD9">
              <w:rPr>
                <w:spacing w:val="-6"/>
                <w:sz w:val="18"/>
                <w:szCs w:val="18"/>
                <w:lang w:val="uk-UA"/>
              </w:rPr>
              <w:t>BioPharm</w:t>
            </w:r>
            <w:r w:rsidR="00A87AD9">
              <w:rPr>
                <w:spacing w:val="-6"/>
                <w:sz w:val="18"/>
                <w:szCs w:val="18"/>
                <w:lang w:val="uk-UA"/>
              </w:rPr>
              <w:t>»</w:t>
            </w:r>
            <w:r w:rsidRPr="00A87AD9">
              <w:rPr>
                <w:spacing w:val="-6"/>
                <w:sz w:val="18"/>
                <w:szCs w:val="18"/>
                <w:lang w:val="uk-UA"/>
              </w:rPr>
              <w:t>)</w:t>
            </w:r>
          </w:p>
          <w:p w14:paraId="5A023783" w14:textId="4EF06DF7" w:rsidR="00E05B98" w:rsidRPr="00A87AD9" w:rsidRDefault="00B01E0C" w:rsidP="00EB0537">
            <w:pPr>
              <w:pStyle w:val="TableParagraph"/>
              <w:spacing w:before="52" w:line="228" w:lineRule="auto"/>
              <w:ind w:left="82"/>
              <w:rPr>
                <w:rFonts w:ascii="Calibri"/>
                <w:sz w:val="18"/>
                <w:szCs w:val="18"/>
                <w:lang w:val="uk-UA"/>
              </w:rPr>
            </w:pPr>
            <w:r w:rsidRPr="00A87AD9">
              <w:rPr>
                <w:sz w:val="18"/>
                <w:szCs w:val="18"/>
                <w:lang w:val="uk-UA"/>
              </w:rPr>
              <w:t>QuantiFERON-TB</w:t>
            </w:r>
            <w:r w:rsidRPr="00A87AD9">
              <w:rPr>
                <w:spacing w:val="-6"/>
                <w:sz w:val="18"/>
                <w:szCs w:val="18"/>
                <w:lang w:val="uk-UA"/>
              </w:rPr>
              <w:t xml:space="preserve"> </w:t>
            </w:r>
            <w:r w:rsidRPr="00A87AD9">
              <w:rPr>
                <w:sz w:val="18"/>
                <w:szCs w:val="18"/>
                <w:lang w:val="uk-UA"/>
              </w:rPr>
              <w:t>Gold</w:t>
            </w:r>
            <w:r w:rsidRPr="00A87AD9">
              <w:rPr>
                <w:spacing w:val="-5"/>
                <w:sz w:val="18"/>
                <w:szCs w:val="18"/>
                <w:lang w:val="uk-UA"/>
              </w:rPr>
              <w:t xml:space="preserve"> </w:t>
            </w:r>
            <w:r w:rsidRPr="00A87AD9">
              <w:rPr>
                <w:sz w:val="18"/>
                <w:szCs w:val="18"/>
                <w:lang w:val="uk-UA"/>
              </w:rPr>
              <w:t>Plus</w:t>
            </w:r>
            <w:r w:rsidRPr="00A87AD9">
              <w:rPr>
                <w:spacing w:val="-5"/>
                <w:sz w:val="18"/>
                <w:szCs w:val="18"/>
                <w:lang w:val="uk-UA"/>
              </w:rPr>
              <w:t xml:space="preserve"> </w:t>
            </w:r>
            <w:r w:rsidRPr="00A87AD9">
              <w:rPr>
                <w:sz w:val="18"/>
                <w:szCs w:val="18"/>
                <w:lang w:val="uk-UA"/>
              </w:rPr>
              <w:t>(QFT-Plus)</w:t>
            </w:r>
            <w:r w:rsidRPr="00A87AD9">
              <w:rPr>
                <w:spacing w:val="-4"/>
                <w:sz w:val="18"/>
                <w:szCs w:val="18"/>
                <w:lang w:val="uk-UA"/>
              </w:rPr>
              <w:t xml:space="preserve"> </w:t>
            </w:r>
            <w:r w:rsidRPr="00A87AD9">
              <w:rPr>
                <w:spacing w:val="-2"/>
                <w:sz w:val="18"/>
                <w:szCs w:val="18"/>
                <w:lang w:val="uk-UA"/>
              </w:rPr>
              <w:t>(</w:t>
            </w:r>
            <w:r w:rsidR="00A87AD9">
              <w:rPr>
                <w:spacing w:val="-2"/>
                <w:sz w:val="18"/>
                <w:szCs w:val="18"/>
                <w:lang w:val="uk-UA"/>
              </w:rPr>
              <w:t>компанія</w:t>
            </w:r>
            <w:r w:rsidR="00EB0537" w:rsidRPr="00A87AD9">
              <w:rPr>
                <w:rFonts w:ascii="Calibri"/>
                <w:spacing w:val="-2"/>
                <w:sz w:val="18"/>
                <w:szCs w:val="18"/>
                <w:lang w:val="uk-UA"/>
              </w:rPr>
              <w:t xml:space="preserve"> </w:t>
            </w:r>
            <w:r w:rsidR="00A87AD9">
              <w:rPr>
                <w:rFonts w:ascii="Calibri"/>
                <w:spacing w:val="-2"/>
                <w:sz w:val="18"/>
                <w:szCs w:val="18"/>
                <w:lang w:val="uk-UA"/>
              </w:rPr>
              <w:t>«</w:t>
            </w:r>
            <w:r w:rsidRPr="00A87AD9">
              <w:rPr>
                <w:rFonts w:ascii="Calibri"/>
                <w:spacing w:val="-2"/>
                <w:sz w:val="18"/>
                <w:szCs w:val="18"/>
                <w:lang w:val="uk-UA"/>
              </w:rPr>
              <w:t>QIAGEN</w:t>
            </w:r>
            <w:r w:rsidR="00A87AD9">
              <w:rPr>
                <w:rFonts w:ascii="Calibri"/>
                <w:spacing w:val="-2"/>
                <w:sz w:val="18"/>
                <w:szCs w:val="18"/>
                <w:lang w:val="uk-UA"/>
              </w:rPr>
              <w:t>»</w:t>
            </w:r>
            <w:r w:rsidRPr="00A87AD9">
              <w:rPr>
                <w:rFonts w:ascii="Calibri"/>
                <w:spacing w:val="-2"/>
                <w:sz w:val="18"/>
                <w:szCs w:val="18"/>
                <w:lang w:val="uk-UA"/>
              </w:rPr>
              <w:t>)</w:t>
            </w:r>
          </w:p>
          <w:p w14:paraId="221873F5" w14:textId="5FF18BF9" w:rsidR="00E05B98" w:rsidRPr="00A87AD9" w:rsidRDefault="00B01E0C" w:rsidP="00EB0537">
            <w:pPr>
              <w:pStyle w:val="TableParagraph"/>
              <w:spacing w:before="98" w:line="228" w:lineRule="auto"/>
              <w:ind w:left="82"/>
              <w:rPr>
                <w:sz w:val="18"/>
                <w:szCs w:val="18"/>
                <w:lang w:val="uk-UA"/>
              </w:rPr>
            </w:pPr>
            <w:r w:rsidRPr="00A87AD9">
              <w:rPr>
                <w:w w:val="90"/>
                <w:sz w:val="18"/>
                <w:szCs w:val="18"/>
                <w:lang w:val="uk-UA"/>
              </w:rPr>
              <w:t>STANDARD</w:t>
            </w:r>
            <w:r w:rsidRPr="00A87AD9">
              <w:rPr>
                <w:spacing w:val="-5"/>
                <w:sz w:val="18"/>
                <w:szCs w:val="18"/>
                <w:lang w:val="uk-UA"/>
              </w:rPr>
              <w:t xml:space="preserve"> </w:t>
            </w:r>
            <w:r w:rsidRPr="00A87AD9">
              <w:rPr>
                <w:w w:val="90"/>
                <w:sz w:val="18"/>
                <w:szCs w:val="18"/>
                <w:lang w:val="uk-UA"/>
              </w:rPr>
              <w:t>E</w:t>
            </w:r>
            <w:r w:rsidRPr="00A87AD9">
              <w:rPr>
                <w:spacing w:val="-5"/>
                <w:sz w:val="18"/>
                <w:szCs w:val="18"/>
                <w:lang w:val="uk-UA"/>
              </w:rPr>
              <w:t xml:space="preserve"> </w:t>
            </w:r>
            <w:r w:rsidRPr="00A87AD9">
              <w:rPr>
                <w:w w:val="90"/>
                <w:sz w:val="18"/>
                <w:szCs w:val="18"/>
                <w:lang w:val="uk-UA"/>
              </w:rPr>
              <w:t>TB-Feron</w:t>
            </w:r>
            <w:r w:rsidRPr="00A87AD9">
              <w:rPr>
                <w:spacing w:val="-5"/>
                <w:sz w:val="18"/>
                <w:szCs w:val="18"/>
                <w:lang w:val="uk-UA"/>
              </w:rPr>
              <w:t xml:space="preserve"> </w:t>
            </w:r>
            <w:r w:rsidRPr="00A87AD9">
              <w:rPr>
                <w:w w:val="90"/>
                <w:sz w:val="18"/>
                <w:szCs w:val="18"/>
                <w:lang w:val="uk-UA"/>
              </w:rPr>
              <w:t>ELISA</w:t>
            </w:r>
            <w:r w:rsidRPr="00A87AD9">
              <w:rPr>
                <w:spacing w:val="-5"/>
                <w:sz w:val="18"/>
                <w:szCs w:val="18"/>
                <w:lang w:val="uk-UA"/>
              </w:rPr>
              <w:t xml:space="preserve"> </w:t>
            </w:r>
            <w:r w:rsidRPr="00A87AD9">
              <w:rPr>
                <w:w w:val="90"/>
                <w:sz w:val="18"/>
                <w:szCs w:val="18"/>
                <w:lang w:val="uk-UA"/>
              </w:rPr>
              <w:t>(</w:t>
            </w:r>
            <w:r w:rsidR="00A87AD9">
              <w:rPr>
                <w:w w:val="90"/>
                <w:sz w:val="18"/>
                <w:szCs w:val="18"/>
                <w:lang w:val="uk-UA"/>
              </w:rPr>
              <w:t>компанія</w:t>
            </w:r>
            <w:r w:rsidR="00EB0537" w:rsidRPr="00A87AD9">
              <w:rPr>
                <w:w w:val="90"/>
                <w:sz w:val="18"/>
                <w:szCs w:val="18"/>
                <w:lang w:val="uk-UA"/>
              </w:rPr>
              <w:t xml:space="preserve"> </w:t>
            </w:r>
            <w:r w:rsidR="00A87AD9">
              <w:rPr>
                <w:w w:val="90"/>
                <w:sz w:val="18"/>
                <w:szCs w:val="18"/>
                <w:lang w:val="uk-UA"/>
              </w:rPr>
              <w:t>«</w:t>
            </w:r>
            <w:r w:rsidRPr="00A87AD9">
              <w:rPr>
                <w:w w:val="90"/>
                <w:sz w:val="18"/>
                <w:szCs w:val="18"/>
                <w:lang w:val="uk-UA"/>
              </w:rPr>
              <w:t>SD</w:t>
            </w:r>
            <w:r w:rsidRPr="00A87AD9">
              <w:rPr>
                <w:spacing w:val="-5"/>
                <w:sz w:val="18"/>
                <w:szCs w:val="18"/>
                <w:lang w:val="uk-UA"/>
              </w:rPr>
              <w:t xml:space="preserve"> </w:t>
            </w:r>
            <w:r w:rsidRPr="00A87AD9">
              <w:rPr>
                <w:spacing w:val="-2"/>
                <w:w w:val="90"/>
                <w:sz w:val="18"/>
                <w:szCs w:val="18"/>
                <w:lang w:val="uk-UA"/>
              </w:rPr>
              <w:t>BIOSENSOR</w:t>
            </w:r>
            <w:r w:rsidR="00A87AD9">
              <w:rPr>
                <w:spacing w:val="-2"/>
                <w:w w:val="90"/>
                <w:sz w:val="18"/>
                <w:szCs w:val="18"/>
                <w:lang w:val="uk-UA"/>
              </w:rPr>
              <w:t>»</w:t>
            </w:r>
            <w:r w:rsidRPr="00A87AD9">
              <w:rPr>
                <w:spacing w:val="-2"/>
                <w:w w:val="90"/>
                <w:sz w:val="18"/>
                <w:szCs w:val="18"/>
                <w:lang w:val="uk-UA"/>
              </w:rPr>
              <w:t>)</w:t>
            </w:r>
            <w:r w:rsidRPr="00A87AD9">
              <w:rPr>
                <w:spacing w:val="-2"/>
                <w:w w:val="90"/>
                <w:sz w:val="18"/>
                <w:szCs w:val="18"/>
                <w:vertAlign w:val="superscript"/>
                <w:lang w:val="uk-UA"/>
              </w:rPr>
              <w:t>3</w:t>
            </w:r>
          </w:p>
          <w:p w14:paraId="1F254FE7" w14:textId="15BE5F58" w:rsidR="00E05B98" w:rsidRPr="00A87AD9" w:rsidRDefault="00B01E0C" w:rsidP="00EB0537">
            <w:pPr>
              <w:pStyle w:val="TableParagraph"/>
              <w:spacing w:before="96" w:line="228" w:lineRule="auto"/>
              <w:ind w:left="82"/>
              <w:rPr>
                <w:sz w:val="18"/>
                <w:szCs w:val="18"/>
                <w:lang w:val="uk-UA"/>
              </w:rPr>
            </w:pPr>
            <w:r w:rsidRPr="00A87AD9">
              <w:rPr>
                <w:w w:val="90"/>
                <w:sz w:val="18"/>
                <w:szCs w:val="18"/>
                <w:lang w:val="uk-UA"/>
              </w:rPr>
              <w:t>LIAISON</w:t>
            </w:r>
            <w:r w:rsidRPr="00A87AD9">
              <w:rPr>
                <w:spacing w:val="2"/>
                <w:sz w:val="18"/>
                <w:szCs w:val="18"/>
                <w:lang w:val="uk-UA"/>
              </w:rPr>
              <w:t xml:space="preserve"> </w:t>
            </w:r>
            <w:r w:rsidRPr="00A87AD9">
              <w:rPr>
                <w:w w:val="90"/>
                <w:sz w:val="18"/>
                <w:szCs w:val="18"/>
                <w:lang w:val="uk-UA"/>
              </w:rPr>
              <w:t>QFT-Plus</w:t>
            </w:r>
            <w:r w:rsidRPr="00A87AD9">
              <w:rPr>
                <w:spacing w:val="2"/>
                <w:sz w:val="18"/>
                <w:szCs w:val="18"/>
                <w:lang w:val="uk-UA"/>
              </w:rPr>
              <w:t xml:space="preserve"> </w:t>
            </w:r>
            <w:r w:rsidRPr="00A87AD9">
              <w:rPr>
                <w:w w:val="90"/>
                <w:sz w:val="18"/>
                <w:szCs w:val="18"/>
                <w:lang w:val="uk-UA"/>
              </w:rPr>
              <w:t>CLIA</w:t>
            </w:r>
            <w:r w:rsidRPr="00A87AD9">
              <w:rPr>
                <w:spacing w:val="2"/>
                <w:sz w:val="18"/>
                <w:szCs w:val="18"/>
                <w:lang w:val="uk-UA"/>
              </w:rPr>
              <w:t xml:space="preserve"> </w:t>
            </w:r>
            <w:r w:rsidRPr="00A87AD9">
              <w:rPr>
                <w:spacing w:val="-2"/>
                <w:w w:val="90"/>
                <w:sz w:val="18"/>
                <w:szCs w:val="18"/>
                <w:lang w:val="uk-UA"/>
              </w:rPr>
              <w:t>(</w:t>
            </w:r>
            <w:r w:rsidR="00A87AD9">
              <w:rPr>
                <w:spacing w:val="-2"/>
                <w:w w:val="90"/>
                <w:sz w:val="18"/>
                <w:szCs w:val="18"/>
                <w:lang w:val="uk-UA"/>
              </w:rPr>
              <w:t>компанія</w:t>
            </w:r>
            <w:r w:rsidR="00EB0537" w:rsidRPr="00A87AD9">
              <w:rPr>
                <w:spacing w:val="-2"/>
                <w:w w:val="90"/>
                <w:sz w:val="18"/>
                <w:szCs w:val="18"/>
                <w:lang w:val="uk-UA"/>
              </w:rPr>
              <w:t xml:space="preserve"> </w:t>
            </w:r>
            <w:r w:rsidR="00421A24">
              <w:rPr>
                <w:spacing w:val="-2"/>
                <w:w w:val="90"/>
                <w:sz w:val="18"/>
                <w:szCs w:val="18"/>
                <w:lang w:val="uk-UA"/>
              </w:rPr>
              <w:t>«</w:t>
            </w:r>
            <w:r w:rsidRPr="00A87AD9">
              <w:rPr>
                <w:spacing w:val="-2"/>
                <w:w w:val="90"/>
                <w:sz w:val="18"/>
                <w:szCs w:val="18"/>
                <w:lang w:val="uk-UA"/>
              </w:rPr>
              <w:t>Diasorin</w:t>
            </w:r>
            <w:r w:rsidR="00421A24">
              <w:rPr>
                <w:spacing w:val="-2"/>
                <w:w w:val="90"/>
                <w:sz w:val="18"/>
                <w:szCs w:val="18"/>
                <w:lang w:val="uk-UA"/>
              </w:rPr>
              <w:t>»</w:t>
            </w:r>
            <w:r w:rsidRPr="00A87AD9">
              <w:rPr>
                <w:spacing w:val="-2"/>
                <w:w w:val="90"/>
                <w:sz w:val="18"/>
                <w:szCs w:val="18"/>
                <w:lang w:val="uk-UA"/>
              </w:rPr>
              <w:t>)</w:t>
            </w:r>
            <w:r w:rsidRPr="00A87AD9">
              <w:rPr>
                <w:spacing w:val="-2"/>
                <w:w w:val="90"/>
                <w:sz w:val="18"/>
                <w:szCs w:val="18"/>
                <w:vertAlign w:val="superscript"/>
                <w:lang w:val="uk-UA"/>
              </w:rPr>
              <w:t>3</w:t>
            </w:r>
          </w:p>
        </w:tc>
      </w:tr>
      <w:tr w:rsidR="00E05B98" w:rsidRPr="00D029FF" w14:paraId="20327DA7" w14:textId="77777777" w:rsidTr="005372A6">
        <w:trPr>
          <w:trHeight w:val="709"/>
        </w:trPr>
        <w:tc>
          <w:tcPr>
            <w:tcW w:w="30" w:type="dxa"/>
            <w:tcBorders>
              <w:top w:val="nil"/>
              <w:left w:val="nil"/>
              <w:bottom w:val="single" w:sz="6" w:space="0" w:color="019648"/>
              <w:right w:val="nil"/>
            </w:tcBorders>
          </w:tcPr>
          <w:p w14:paraId="7501250E" w14:textId="77777777" w:rsidR="00E05B98" w:rsidRPr="003C6DAE" w:rsidRDefault="00E05B98" w:rsidP="000548D2">
            <w:pPr>
              <w:pStyle w:val="TableParagraph"/>
              <w:spacing w:before="0" w:line="269" w:lineRule="auto"/>
              <w:ind w:left="0"/>
              <w:rPr>
                <w:rFonts w:ascii="Times New Roman"/>
                <w:sz w:val="20"/>
                <w:lang w:val="uk-UA"/>
              </w:rPr>
            </w:pPr>
          </w:p>
        </w:tc>
        <w:tc>
          <w:tcPr>
            <w:tcW w:w="3725" w:type="dxa"/>
            <w:tcBorders>
              <w:top w:val="single" w:sz="8" w:space="0" w:color="388600"/>
              <w:left w:val="nil"/>
              <w:bottom w:val="single" w:sz="8" w:space="0" w:color="388600"/>
              <w:right w:val="nil"/>
            </w:tcBorders>
          </w:tcPr>
          <w:p w14:paraId="47F77D67" w14:textId="60349B8D" w:rsidR="00E05B98" w:rsidRPr="00A87AD9" w:rsidRDefault="00E30129" w:rsidP="000548D2">
            <w:pPr>
              <w:pStyle w:val="TableParagraph"/>
              <w:spacing w:before="202" w:line="269" w:lineRule="auto"/>
              <w:ind w:left="122"/>
              <w:rPr>
                <w:sz w:val="18"/>
                <w:szCs w:val="18"/>
                <w:lang w:val="uk-UA"/>
              </w:rPr>
            </w:pPr>
            <w:r>
              <w:rPr>
                <w:sz w:val="18"/>
                <w:szCs w:val="18"/>
                <w:lang w:val="uk-UA"/>
              </w:rPr>
              <w:t>Т</w:t>
            </w:r>
            <w:r w:rsidR="005372A6" w:rsidRPr="00A87AD9">
              <w:rPr>
                <w:sz w:val="18"/>
                <w:szCs w:val="18"/>
                <w:lang w:val="uk-UA"/>
              </w:rPr>
              <w:t xml:space="preserve">уберкулінові </w:t>
            </w:r>
            <w:r>
              <w:rPr>
                <w:sz w:val="18"/>
                <w:szCs w:val="18"/>
                <w:lang w:val="uk-UA"/>
              </w:rPr>
              <w:t xml:space="preserve">шкірні </w:t>
            </w:r>
            <w:r w:rsidR="005372A6" w:rsidRPr="00A87AD9">
              <w:rPr>
                <w:sz w:val="18"/>
                <w:szCs w:val="18"/>
                <w:lang w:val="uk-UA"/>
              </w:rPr>
              <w:t>проби</w:t>
            </w:r>
            <w:r>
              <w:rPr>
                <w:sz w:val="18"/>
                <w:szCs w:val="18"/>
                <w:lang w:val="uk-UA"/>
              </w:rPr>
              <w:t xml:space="preserve"> (ТШП)</w:t>
            </w:r>
          </w:p>
        </w:tc>
        <w:tc>
          <w:tcPr>
            <w:tcW w:w="5877" w:type="dxa"/>
            <w:tcBorders>
              <w:top w:val="single" w:sz="8" w:space="0" w:color="388600"/>
              <w:left w:val="nil"/>
              <w:bottom w:val="single" w:sz="8" w:space="0" w:color="388600"/>
              <w:right w:val="nil"/>
            </w:tcBorders>
          </w:tcPr>
          <w:p w14:paraId="7C92A0DF" w14:textId="153012C1" w:rsidR="00E05B98" w:rsidRPr="00A87AD9" w:rsidRDefault="005372A6" w:rsidP="005372A6">
            <w:pPr>
              <w:pStyle w:val="TableParagraph"/>
              <w:spacing w:line="269" w:lineRule="auto"/>
              <w:ind w:left="139" w:right="4"/>
              <w:rPr>
                <w:sz w:val="18"/>
                <w:szCs w:val="18"/>
                <w:lang w:val="uk-UA"/>
              </w:rPr>
            </w:pPr>
            <w:r w:rsidRPr="00A87AD9">
              <w:rPr>
                <w:sz w:val="18"/>
                <w:szCs w:val="18"/>
                <w:lang w:val="uk-UA"/>
              </w:rPr>
              <w:t>Продукти очищеного білкового деривату туберкуліну (PPD)</w:t>
            </w:r>
          </w:p>
        </w:tc>
      </w:tr>
    </w:tbl>
    <w:p w14:paraId="4C0B4636" w14:textId="77777777" w:rsidR="00E05B98" w:rsidRPr="003C6DAE" w:rsidRDefault="00E05B98" w:rsidP="000548D2">
      <w:pPr>
        <w:pStyle w:val="a3"/>
        <w:spacing w:before="193" w:line="269" w:lineRule="auto"/>
        <w:rPr>
          <w:rFonts w:ascii="Arial"/>
          <w:b/>
          <w:sz w:val="18"/>
          <w:lang w:val="uk-UA"/>
        </w:rPr>
      </w:pPr>
    </w:p>
    <w:p w14:paraId="67915796" w14:textId="1F825ADA" w:rsidR="00E05B98" w:rsidRPr="003C6DAE" w:rsidRDefault="005372A6" w:rsidP="000548D2">
      <w:pPr>
        <w:spacing w:line="269" w:lineRule="auto"/>
        <w:ind w:left="602"/>
        <w:jc w:val="both"/>
        <w:rPr>
          <w:sz w:val="18"/>
          <w:lang w:val="uk-UA"/>
        </w:rPr>
      </w:pPr>
      <w:r w:rsidRPr="003C6DAE">
        <w:rPr>
          <w:sz w:val="18"/>
          <w:lang w:val="uk-UA"/>
        </w:rPr>
        <w:t>ТАНК</w:t>
      </w:r>
      <w:r w:rsidR="00B01E0C" w:rsidRPr="003C6DAE">
        <w:rPr>
          <w:sz w:val="18"/>
          <w:lang w:val="uk-UA"/>
        </w:rPr>
        <w:t>:</w:t>
      </w:r>
      <w:r w:rsidR="00B01E0C" w:rsidRPr="003C6DAE">
        <w:rPr>
          <w:spacing w:val="-8"/>
          <w:sz w:val="18"/>
          <w:lang w:val="uk-UA"/>
        </w:rPr>
        <w:t xml:space="preserve"> </w:t>
      </w:r>
      <w:r w:rsidRPr="003C6DAE">
        <w:rPr>
          <w:sz w:val="18"/>
          <w:lang w:val="uk-UA"/>
        </w:rPr>
        <w:t>тест ампліфікаці</w:t>
      </w:r>
      <w:r w:rsidR="00421A24">
        <w:rPr>
          <w:sz w:val="18"/>
          <w:lang w:val="uk-UA"/>
        </w:rPr>
        <w:t>ї</w:t>
      </w:r>
      <w:r w:rsidRPr="003C6DAE">
        <w:rPr>
          <w:sz w:val="18"/>
          <w:lang w:val="uk-UA"/>
        </w:rPr>
        <w:t xml:space="preserve"> нуклеїнових кислот</w:t>
      </w:r>
      <w:r w:rsidR="00B01E0C" w:rsidRPr="003C6DAE">
        <w:rPr>
          <w:sz w:val="18"/>
          <w:lang w:val="uk-UA"/>
        </w:rPr>
        <w:t>;</w:t>
      </w:r>
      <w:r w:rsidR="00B01E0C" w:rsidRPr="003C6DAE">
        <w:rPr>
          <w:spacing w:val="-7"/>
          <w:sz w:val="18"/>
          <w:lang w:val="uk-UA"/>
        </w:rPr>
        <w:t xml:space="preserve"> </w:t>
      </w:r>
      <w:r w:rsidRPr="003C6DAE">
        <w:rPr>
          <w:sz w:val="18"/>
          <w:lang w:val="uk-UA"/>
        </w:rPr>
        <w:t>ТБ</w:t>
      </w:r>
      <w:r w:rsidR="00B01E0C" w:rsidRPr="003C6DAE">
        <w:rPr>
          <w:sz w:val="18"/>
          <w:lang w:val="uk-UA"/>
        </w:rPr>
        <w:t>:</w:t>
      </w:r>
      <w:r w:rsidR="00B01E0C" w:rsidRPr="003C6DAE">
        <w:rPr>
          <w:spacing w:val="-7"/>
          <w:sz w:val="18"/>
          <w:lang w:val="uk-UA"/>
        </w:rPr>
        <w:t xml:space="preserve"> </w:t>
      </w:r>
      <w:r w:rsidRPr="003C6DAE">
        <w:rPr>
          <w:spacing w:val="-2"/>
          <w:sz w:val="18"/>
          <w:lang w:val="uk-UA"/>
        </w:rPr>
        <w:t>туберкульоз</w:t>
      </w:r>
      <w:r w:rsidR="00B01E0C" w:rsidRPr="003C6DAE">
        <w:rPr>
          <w:spacing w:val="-2"/>
          <w:sz w:val="18"/>
          <w:lang w:val="uk-UA"/>
        </w:rPr>
        <w:t>.</w:t>
      </w:r>
    </w:p>
    <w:p w14:paraId="4DDA0AC1" w14:textId="77777777" w:rsidR="00E05B98" w:rsidRPr="003C6DAE" w:rsidRDefault="00E05B98" w:rsidP="000548D2">
      <w:pPr>
        <w:pStyle w:val="a3"/>
        <w:spacing w:line="269" w:lineRule="auto"/>
        <w:rPr>
          <w:sz w:val="18"/>
          <w:lang w:val="uk-UA"/>
        </w:rPr>
      </w:pPr>
    </w:p>
    <w:p w14:paraId="40DB7238" w14:textId="77777777" w:rsidR="00E05B98" w:rsidRPr="003C6DAE" w:rsidRDefault="00E05B98" w:rsidP="000548D2">
      <w:pPr>
        <w:pStyle w:val="a3"/>
        <w:spacing w:before="138" w:line="269" w:lineRule="auto"/>
        <w:rPr>
          <w:sz w:val="18"/>
          <w:lang w:val="uk-UA"/>
        </w:rPr>
      </w:pPr>
    </w:p>
    <w:p w14:paraId="3DB99B98" w14:textId="3B4E7A5E" w:rsidR="00E05B98" w:rsidRPr="00421A24" w:rsidRDefault="00D85DF9" w:rsidP="004A2937">
      <w:pPr>
        <w:pStyle w:val="4"/>
        <w:numPr>
          <w:ilvl w:val="2"/>
          <w:numId w:val="31"/>
        </w:numPr>
        <w:tabs>
          <w:tab w:val="left" w:pos="1298"/>
        </w:tabs>
        <w:spacing w:before="1" w:line="269" w:lineRule="auto"/>
        <w:ind w:left="1298" w:hanging="696"/>
        <w:rPr>
          <w:rFonts w:ascii="Microsoft Sans Serif" w:hAnsi="Microsoft Sans Serif" w:cs="Microsoft Sans Serif"/>
          <w:color w:val="019648"/>
          <w:sz w:val="26"/>
          <w:szCs w:val="26"/>
          <w:lang w:val="uk-UA"/>
        </w:rPr>
      </w:pPr>
      <w:r>
        <w:rPr>
          <w:rFonts w:ascii="Microsoft Sans Serif" w:hAnsi="Microsoft Sans Serif" w:cs="Microsoft Sans Serif"/>
          <w:color w:val="019648"/>
          <w:spacing w:val="-2"/>
          <w:sz w:val="26"/>
          <w:szCs w:val="26"/>
          <w:lang w:val="uk-UA"/>
        </w:rPr>
        <w:t>Т</w:t>
      </w:r>
      <w:r w:rsidR="005372A6" w:rsidRPr="00421A24">
        <w:rPr>
          <w:rFonts w:ascii="Microsoft Sans Serif" w:hAnsi="Microsoft Sans Serif" w:cs="Microsoft Sans Serif"/>
          <w:color w:val="019648"/>
          <w:spacing w:val="-2"/>
          <w:sz w:val="26"/>
          <w:szCs w:val="26"/>
          <w:lang w:val="uk-UA"/>
        </w:rPr>
        <w:t xml:space="preserve">ести для </w:t>
      </w:r>
      <w:r>
        <w:rPr>
          <w:rFonts w:ascii="Microsoft Sans Serif" w:hAnsi="Microsoft Sans Serif" w:cs="Microsoft Sans Serif"/>
          <w:color w:val="019648"/>
          <w:spacing w:val="-2"/>
          <w:sz w:val="26"/>
          <w:szCs w:val="26"/>
          <w:lang w:val="uk-UA"/>
        </w:rPr>
        <w:t xml:space="preserve">первинної </w:t>
      </w:r>
      <w:r w:rsidR="005372A6" w:rsidRPr="00421A24">
        <w:rPr>
          <w:rFonts w:ascii="Microsoft Sans Serif" w:hAnsi="Microsoft Sans Serif" w:cs="Microsoft Sans Serif"/>
          <w:color w:val="019648"/>
          <w:spacing w:val="-2"/>
          <w:sz w:val="26"/>
          <w:szCs w:val="26"/>
          <w:lang w:val="uk-UA"/>
        </w:rPr>
        <w:t xml:space="preserve">діагностики ТБ з виявленням стійкості до лікарських </w:t>
      </w:r>
      <w:r w:rsidR="00A3261D">
        <w:rPr>
          <w:rFonts w:ascii="Microsoft Sans Serif" w:hAnsi="Microsoft Sans Serif" w:cs="Microsoft Sans Serif"/>
          <w:color w:val="019648"/>
          <w:spacing w:val="-2"/>
          <w:sz w:val="26"/>
          <w:szCs w:val="26"/>
          <w:lang w:val="uk-UA"/>
        </w:rPr>
        <w:t>засобів</w:t>
      </w:r>
    </w:p>
    <w:p w14:paraId="1492FA7A" w14:textId="3899EA06" w:rsidR="00E05B98" w:rsidRPr="003C6DAE" w:rsidRDefault="005372A6" w:rsidP="005372A6">
      <w:pPr>
        <w:pStyle w:val="7"/>
        <w:spacing w:before="230" w:line="269" w:lineRule="auto"/>
        <w:ind w:left="602" w:right="226"/>
        <w:jc w:val="both"/>
        <w:rPr>
          <w:rFonts w:ascii="Microsoft Sans Serif" w:hAnsi="Microsoft Sans Serif" w:cs="Microsoft Sans Serif"/>
          <w:lang w:val="uk-UA"/>
        </w:rPr>
      </w:pPr>
      <w:r w:rsidRPr="003C6DAE">
        <w:rPr>
          <w:rFonts w:ascii="Microsoft Sans Serif" w:hAnsi="Microsoft Sans Serif" w:cs="Microsoft Sans Serif"/>
          <w:color w:val="019648"/>
          <w:lang w:val="uk-UA"/>
        </w:rPr>
        <w:t>Автоматизовані тести ампліфікаці</w:t>
      </w:r>
      <w:r w:rsidR="00421A24">
        <w:rPr>
          <w:rFonts w:ascii="Microsoft Sans Serif" w:hAnsi="Microsoft Sans Serif" w:cs="Microsoft Sans Serif"/>
          <w:color w:val="019648"/>
          <w:lang w:val="uk-UA"/>
        </w:rPr>
        <w:t>ї</w:t>
      </w:r>
      <w:r w:rsidRPr="003C6DAE">
        <w:rPr>
          <w:rFonts w:ascii="Microsoft Sans Serif" w:hAnsi="Microsoft Sans Serif" w:cs="Microsoft Sans Serif"/>
          <w:color w:val="019648"/>
          <w:lang w:val="uk-UA"/>
        </w:rPr>
        <w:t xml:space="preserve"> нуклеїнових кислот (ТАНК) низької складності для виявлення ТБ та стійкості до рифампіцину</w:t>
      </w:r>
    </w:p>
    <w:p w14:paraId="3EDA9A74" w14:textId="4D3DC33E" w:rsidR="00E05B98" w:rsidRPr="003C6DAE" w:rsidRDefault="00EE54EE" w:rsidP="00EE54EE">
      <w:pPr>
        <w:pStyle w:val="a3"/>
        <w:spacing w:before="216" w:line="269" w:lineRule="auto"/>
        <w:ind w:left="602"/>
        <w:jc w:val="both"/>
        <w:rPr>
          <w:sz w:val="20"/>
          <w:szCs w:val="20"/>
          <w:lang w:val="uk-UA"/>
        </w:rPr>
      </w:pPr>
      <w:r w:rsidRPr="003C6DAE">
        <w:rPr>
          <w:spacing w:val="-4"/>
          <w:sz w:val="20"/>
          <w:szCs w:val="20"/>
          <w:lang w:val="uk-UA"/>
        </w:rPr>
        <w:t>Автоматизовані тести ампліфікаці</w:t>
      </w:r>
      <w:r w:rsidR="00421A24">
        <w:rPr>
          <w:spacing w:val="-4"/>
          <w:sz w:val="20"/>
          <w:szCs w:val="20"/>
          <w:lang w:val="uk-UA"/>
        </w:rPr>
        <w:t>ї</w:t>
      </w:r>
      <w:r w:rsidRPr="003C6DAE">
        <w:rPr>
          <w:spacing w:val="-4"/>
          <w:sz w:val="20"/>
          <w:szCs w:val="20"/>
          <w:lang w:val="uk-UA"/>
        </w:rPr>
        <w:t xml:space="preserve"> нуклеїнових кислот низької складності (аТАНК-НС) включають такі інструменти, як Xpert® MTB/RIF Ultra (Cepheid) і Truenat® MTB Plus з MTB-RIF Dx (Molbio). Ці тести надають значною мірою автоматизовані рішення, придатні для децентралізованих лабораторій, і наразі є такими, що найбільш широко використовуються для первинно</w:t>
      </w:r>
      <w:r w:rsidR="00421A24">
        <w:rPr>
          <w:spacing w:val="-4"/>
          <w:sz w:val="20"/>
          <w:szCs w:val="20"/>
          <w:lang w:val="uk-UA"/>
        </w:rPr>
        <w:t xml:space="preserve">ї діагностики </w:t>
      </w:r>
      <w:r w:rsidRPr="003C6DAE">
        <w:rPr>
          <w:spacing w:val="-4"/>
          <w:sz w:val="20"/>
          <w:szCs w:val="20"/>
          <w:lang w:val="uk-UA"/>
        </w:rPr>
        <w:t xml:space="preserve">ТБ і </w:t>
      </w:r>
      <w:r w:rsidR="00421A24">
        <w:rPr>
          <w:spacing w:val="-4"/>
          <w:sz w:val="20"/>
          <w:szCs w:val="20"/>
          <w:lang w:val="uk-UA"/>
        </w:rPr>
        <w:t xml:space="preserve">виявлення </w:t>
      </w:r>
      <w:r w:rsidRPr="003C6DAE">
        <w:rPr>
          <w:spacing w:val="-4"/>
          <w:sz w:val="20"/>
          <w:szCs w:val="20"/>
          <w:lang w:val="uk-UA"/>
        </w:rPr>
        <w:t xml:space="preserve">стійкості до рифампіцину. Інструменти для тестування використовують програмне та апаратне забезпечення (комп'ютери) для надання результатів, і для їх використання необхідні добре </w:t>
      </w:r>
      <w:r w:rsidR="00421A24">
        <w:rPr>
          <w:spacing w:val="-4"/>
          <w:sz w:val="20"/>
          <w:szCs w:val="20"/>
          <w:lang w:val="uk-UA"/>
        </w:rPr>
        <w:t>налагоджена робота</w:t>
      </w:r>
      <w:r w:rsidRPr="003C6DAE">
        <w:rPr>
          <w:spacing w:val="-4"/>
          <w:sz w:val="20"/>
          <w:szCs w:val="20"/>
          <w:lang w:val="uk-UA"/>
        </w:rPr>
        <w:t xml:space="preserve"> </w:t>
      </w:r>
      <w:r w:rsidR="00421A24">
        <w:rPr>
          <w:spacing w:val="-4"/>
          <w:sz w:val="20"/>
          <w:szCs w:val="20"/>
          <w:lang w:val="uk-UA"/>
        </w:rPr>
        <w:t xml:space="preserve">мережі </w:t>
      </w:r>
      <w:r w:rsidRPr="003C6DAE">
        <w:rPr>
          <w:spacing w:val="-4"/>
          <w:sz w:val="20"/>
          <w:szCs w:val="20"/>
          <w:lang w:val="uk-UA"/>
        </w:rPr>
        <w:t>лаборатор</w:t>
      </w:r>
      <w:r w:rsidR="00421A24">
        <w:rPr>
          <w:spacing w:val="-4"/>
          <w:sz w:val="20"/>
          <w:szCs w:val="20"/>
          <w:lang w:val="uk-UA"/>
        </w:rPr>
        <w:t>ій</w:t>
      </w:r>
      <w:r w:rsidRPr="003C6DAE">
        <w:rPr>
          <w:spacing w:val="-4"/>
          <w:sz w:val="20"/>
          <w:szCs w:val="20"/>
          <w:lang w:val="uk-UA"/>
        </w:rPr>
        <w:t xml:space="preserve"> та навчений персонал.</w:t>
      </w:r>
    </w:p>
    <w:p w14:paraId="63643013" w14:textId="77777777" w:rsidR="00E05B98" w:rsidRPr="003C6DAE" w:rsidRDefault="00E05B98" w:rsidP="000548D2">
      <w:pPr>
        <w:pStyle w:val="a3"/>
        <w:spacing w:line="269" w:lineRule="auto"/>
        <w:rPr>
          <w:sz w:val="20"/>
          <w:lang w:val="uk-UA"/>
        </w:rPr>
      </w:pPr>
    </w:p>
    <w:p w14:paraId="1595443D" w14:textId="77777777" w:rsidR="00E05B98" w:rsidRPr="003C6DAE" w:rsidRDefault="00B01E0C" w:rsidP="000548D2">
      <w:pPr>
        <w:pStyle w:val="a3"/>
        <w:spacing w:before="71" w:line="269" w:lineRule="auto"/>
        <w:rPr>
          <w:sz w:val="20"/>
          <w:lang w:val="uk-UA"/>
        </w:rPr>
      </w:pPr>
      <w:r w:rsidRPr="003C6DAE">
        <w:rPr>
          <w:noProof/>
          <w:sz w:val="20"/>
          <w:lang w:val="uk-UA"/>
        </w:rPr>
        <mc:AlternateContent>
          <mc:Choice Requires="wps">
            <w:drawing>
              <wp:anchor distT="0" distB="0" distL="0" distR="0" simplePos="0" relativeHeight="487643648" behindDoc="1" locked="0" layoutInCell="1" allowOverlap="1" wp14:anchorId="3142CFAA" wp14:editId="5D89FBD2">
                <wp:simplePos x="0" y="0"/>
                <wp:positionH relativeFrom="page">
                  <wp:posOffset>900000</wp:posOffset>
                </wp:positionH>
                <wp:positionV relativeFrom="paragraph">
                  <wp:posOffset>204220</wp:posOffset>
                </wp:positionV>
                <wp:extent cx="1440180"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E265BD" id="Graphic 162" o:spid="_x0000_s1026" style="position:absolute;margin-left:70.85pt;margin-top:16.1pt;width:113.4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1440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" path="m,l1440002,e" filled="f" strokeweight=".5pt">
                <v:path arrowok="t"/>
                <w10:wrap type="topAndBottom" anchorx="page"/>
              </v:shape>
            </w:pict>
          </mc:Fallback>
        </mc:AlternateContent>
      </w:r>
    </w:p>
    <w:p w14:paraId="1A678AE4" w14:textId="31ABA53F" w:rsidR="00E05B98" w:rsidRPr="003C6DAE" w:rsidRDefault="00B01E0C" w:rsidP="000548D2">
      <w:pPr>
        <w:spacing w:before="124" w:line="269" w:lineRule="auto"/>
        <w:ind w:left="787" w:right="5" w:hanging="220"/>
        <w:rPr>
          <w:sz w:val="16"/>
          <w:lang w:val="uk-UA"/>
        </w:rPr>
      </w:pPr>
      <w:r w:rsidRPr="003C6DAE">
        <w:rPr>
          <w:sz w:val="16"/>
          <w:vertAlign w:val="superscript"/>
          <w:lang w:val="uk-UA"/>
        </w:rPr>
        <w:t>3</w:t>
      </w:r>
      <w:r w:rsidRPr="003C6DAE">
        <w:rPr>
          <w:spacing w:val="80"/>
          <w:w w:val="150"/>
          <w:sz w:val="16"/>
          <w:lang w:val="uk-UA"/>
        </w:rPr>
        <w:t xml:space="preserve"> </w:t>
      </w:r>
      <w:r w:rsidR="00671EF3" w:rsidRPr="003C6DAE">
        <w:rPr>
          <w:sz w:val="16"/>
          <w:lang w:val="uk-UA"/>
        </w:rPr>
        <w:t xml:space="preserve">Заяву ВООЗ та оцінку доказів щодо нових </w:t>
      </w:r>
      <w:r w:rsidR="00421A24">
        <w:rPr>
          <w:sz w:val="16"/>
          <w:lang w:val="uk-UA"/>
        </w:rPr>
        <w:t xml:space="preserve">АВГІ </w:t>
      </w:r>
      <w:r w:rsidR="00671EF3" w:rsidRPr="003C6DAE">
        <w:rPr>
          <w:sz w:val="16"/>
          <w:lang w:val="uk-UA"/>
        </w:rPr>
        <w:t>див. в Операційному посібнику ВООЗ з туберкульозу. Модуль 3: діагностика</w:t>
      </w:r>
    </w:p>
    <w:p w14:paraId="1147FF2F" w14:textId="77777777" w:rsidR="00E05B98" w:rsidRPr="003C6DAE" w:rsidRDefault="00E05B98" w:rsidP="000548D2">
      <w:pPr>
        <w:spacing w:line="269" w:lineRule="auto"/>
        <w:rPr>
          <w:sz w:val="16"/>
          <w:lang w:val="uk-UA"/>
        </w:rPr>
        <w:sectPr w:rsidR="00E05B98" w:rsidRPr="003C6DAE" w:rsidSect="000548D2">
          <w:type w:val="continuous"/>
          <w:pgSz w:w="11910" w:h="16840"/>
          <w:pgMar w:top="1380" w:right="853" w:bottom="760" w:left="850" w:header="0" w:footer="573" w:gutter="0"/>
          <w:cols w:space="720"/>
        </w:sectPr>
      </w:pPr>
    </w:p>
    <w:p w14:paraId="121563F3" w14:textId="5B0B549A" w:rsidR="00E05B98" w:rsidRPr="003C6DAE" w:rsidRDefault="00671EF3" w:rsidP="000548D2">
      <w:pPr>
        <w:pStyle w:val="7"/>
        <w:spacing w:before="46" w:line="269" w:lineRule="auto"/>
        <w:rPr>
          <w:lang w:val="uk-UA"/>
        </w:rPr>
      </w:pPr>
      <w:bookmarkStart w:id="23" w:name="1.3.2_Initial_tests_for_TB_diagnosis_wit"/>
      <w:bookmarkStart w:id="24" w:name="1.3.3_Follow-on_tests_for_detection_of_T"/>
      <w:bookmarkStart w:id="25" w:name="_bookmark10"/>
      <w:bookmarkEnd w:id="23"/>
      <w:bookmarkEnd w:id="24"/>
      <w:bookmarkEnd w:id="25"/>
      <w:r w:rsidRPr="003C6DAE">
        <w:rPr>
          <w:color w:val="019648"/>
          <w:lang w:val="uk-UA"/>
        </w:rPr>
        <w:lastRenderedPageBreak/>
        <w:t>Автоматизовані ТАНК помірної складності для виявлення ТБ і стійкості до рифампіцину та ізоніазиду</w:t>
      </w:r>
    </w:p>
    <w:p w14:paraId="59A82BC1" w14:textId="7F3986CC" w:rsidR="00E05B98" w:rsidRPr="003C6DAE" w:rsidRDefault="0050463C" w:rsidP="000548D2">
      <w:pPr>
        <w:pStyle w:val="a3"/>
        <w:spacing w:before="216" w:line="269" w:lineRule="auto"/>
        <w:ind w:left="567" w:right="134"/>
        <w:jc w:val="both"/>
        <w:rPr>
          <w:sz w:val="20"/>
          <w:szCs w:val="20"/>
          <w:lang w:val="uk-UA"/>
        </w:rPr>
      </w:pPr>
      <w:r w:rsidRPr="003C6DAE">
        <w:rPr>
          <w:sz w:val="20"/>
          <w:szCs w:val="20"/>
          <w:lang w:val="uk-UA"/>
        </w:rPr>
        <w:t xml:space="preserve">Автоматизовані ТАНК помірної складності (аТАНК-ПС) є більш швидкими </w:t>
      </w:r>
      <w:r w:rsidR="00456A4B">
        <w:rPr>
          <w:sz w:val="20"/>
          <w:szCs w:val="20"/>
          <w:lang w:val="uk-UA"/>
        </w:rPr>
        <w:t>та</w:t>
      </w:r>
      <w:r w:rsidRPr="003C6DAE">
        <w:rPr>
          <w:sz w:val="20"/>
          <w:szCs w:val="20"/>
          <w:lang w:val="uk-UA"/>
        </w:rPr>
        <w:t xml:space="preserve"> менш складними при виконанні, ніж фенотипічні ТЧМ на основі бакпосіву та лінійні зонд-аналізи (LPA), і в значній мірі автоматизовані після етапу підготовки зразка. Ці тести можна використовувати в якості початкового тесту для одночасного виявлення ТБ і стійкості до рифампіцину та ізоніазиду.</w:t>
      </w:r>
      <w:r w:rsidR="00B01E0C" w:rsidRPr="003C6DAE">
        <w:rPr>
          <w:spacing w:val="-8"/>
          <w:sz w:val="20"/>
          <w:szCs w:val="20"/>
          <w:lang w:val="uk-UA"/>
        </w:rPr>
        <w:t xml:space="preserve"> </w:t>
      </w:r>
      <w:r w:rsidRPr="003C6DAE">
        <w:rPr>
          <w:spacing w:val="-2"/>
          <w:sz w:val="20"/>
          <w:szCs w:val="20"/>
          <w:lang w:val="uk-UA"/>
        </w:rPr>
        <w:t>Цей тип ТАНК надає можливість швидко отримати точні результати та забезпечує ефективність тестування там, де щодня потрібно проводити велику кількість тестів. Тому вони підходять для районів з високою щільністю населення та системами швидкого направлення зразків для дослідження</w:t>
      </w:r>
      <w:r w:rsidR="00456A4B">
        <w:rPr>
          <w:spacing w:val="-2"/>
          <w:sz w:val="20"/>
          <w:szCs w:val="20"/>
          <w:lang w:val="uk-UA"/>
        </w:rPr>
        <w:t>.</w:t>
      </w:r>
    </w:p>
    <w:p w14:paraId="23A37A16" w14:textId="075B0892" w:rsidR="00E05B98" w:rsidRPr="003C6DAE" w:rsidRDefault="00D85DF9" w:rsidP="004A2937">
      <w:pPr>
        <w:pStyle w:val="4"/>
        <w:numPr>
          <w:ilvl w:val="2"/>
          <w:numId w:val="31"/>
        </w:numPr>
        <w:tabs>
          <w:tab w:val="left" w:pos="1286"/>
        </w:tabs>
        <w:spacing w:before="202" w:line="269" w:lineRule="auto"/>
        <w:ind w:left="1286" w:hanging="719"/>
        <w:rPr>
          <w:color w:val="019648"/>
          <w:lang w:val="uk-UA"/>
        </w:rPr>
      </w:pPr>
      <w:r>
        <w:rPr>
          <w:color w:val="019648"/>
          <w:lang w:val="uk-UA"/>
        </w:rPr>
        <w:t>Т</w:t>
      </w:r>
      <w:r w:rsidR="0050463C" w:rsidRPr="003C6DAE">
        <w:rPr>
          <w:color w:val="019648"/>
          <w:lang w:val="uk-UA"/>
        </w:rPr>
        <w:t xml:space="preserve">ести для </w:t>
      </w:r>
      <w:r>
        <w:rPr>
          <w:color w:val="019648"/>
          <w:lang w:val="uk-UA"/>
        </w:rPr>
        <w:t xml:space="preserve">первинної </w:t>
      </w:r>
      <w:r w:rsidR="0050463C" w:rsidRPr="003C6DAE">
        <w:rPr>
          <w:color w:val="019648"/>
          <w:lang w:val="uk-UA"/>
        </w:rPr>
        <w:t>діагностики ТБ без виявлення стійкості до лікарських засобів</w:t>
      </w:r>
    </w:p>
    <w:p w14:paraId="518F51D8" w14:textId="5CF54DA6" w:rsidR="00E05B98" w:rsidRPr="003C6DAE" w:rsidRDefault="0050463C" w:rsidP="000548D2">
      <w:pPr>
        <w:pStyle w:val="7"/>
        <w:spacing w:before="230" w:line="269" w:lineRule="auto"/>
        <w:rPr>
          <w:lang w:val="uk-UA"/>
        </w:rPr>
      </w:pPr>
      <w:r w:rsidRPr="003C6DAE">
        <w:rPr>
          <w:color w:val="019648"/>
          <w:w w:val="105"/>
          <w:lang w:val="uk-UA"/>
        </w:rPr>
        <w:t>Ручні ТАНК низької складності</w:t>
      </w:r>
    </w:p>
    <w:p w14:paraId="024399A0" w14:textId="76090139" w:rsidR="00E05B98" w:rsidRPr="003C6DAE" w:rsidRDefault="00231F80" w:rsidP="000548D2">
      <w:pPr>
        <w:pStyle w:val="a3"/>
        <w:spacing w:before="227" w:line="269" w:lineRule="auto"/>
        <w:ind w:left="567" w:right="134"/>
        <w:jc w:val="both"/>
        <w:rPr>
          <w:sz w:val="20"/>
          <w:szCs w:val="20"/>
          <w:lang w:val="uk-UA"/>
        </w:rPr>
      </w:pPr>
      <w:r w:rsidRPr="003C6DAE">
        <w:rPr>
          <w:w w:val="105"/>
          <w:sz w:val="20"/>
          <w:szCs w:val="20"/>
          <w:lang w:val="uk-UA"/>
        </w:rPr>
        <w:t>Ручний ТАНК низької складності (рТАНК-НС), петльова ізотермічна ампліфікація (LAMP), заснована на ампліфікації ДНК в одному температурному діапазоні, на відміну від полімеразної ланцюгової реакції (ПЛР), для якої потрібен термоциклер. Виявлення ампліфікованого продукту здійснюється візуально за допомогою ультрафіолетової (УФ) лампи безпосередньо в реакційних пробірках.</w:t>
      </w:r>
      <w:r w:rsidR="00B01E0C" w:rsidRPr="003C6DAE">
        <w:rPr>
          <w:spacing w:val="-2"/>
          <w:w w:val="105"/>
          <w:sz w:val="20"/>
          <w:szCs w:val="20"/>
          <w:lang w:val="uk-UA"/>
        </w:rPr>
        <w:t xml:space="preserve"> </w:t>
      </w:r>
      <w:r w:rsidRPr="003C6DAE">
        <w:rPr>
          <w:w w:val="105"/>
          <w:sz w:val="20"/>
          <w:szCs w:val="20"/>
          <w:lang w:val="uk-UA"/>
        </w:rPr>
        <w:t>Метод потребує лише наявності базового обладнання і може бути реалізований на найнижчих рівнях лабораторної мережі. Однак виявлення мутацій в генах, асоційованих зі стійкістю, не є доступним за допомогою рекомендованої наразі технології.</w:t>
      </w:r>
    </w:p>
    <w:p w14:paraId="76692D8B" w14:textId="16098535" w:rsidR="00E05B98" w:rsidRPr="003C6DAE" w:rsidRDefault="00762212" w:rsidP="000548D2">
      <w:pPr>
        <w:pStyle w:val="7"/>
        <w:spacing w:before="191" w:line="269" w:lineRule="auto"/>
        <w:rPr>
          <w:lang w:val="uk-UA"/>
        </w:rPr>
      </w:pPr>
      <w:r w:rsidRPr="003C6DAE">
        <w:rPr>
          <w:color w:val="019648"/>
          <w:lang w:val="uk-UA"/>
        </w:rPr>
        <w:t>Виявлення антигену у форматі бокового зсуву (виявлення на основі біомаркерів)</w:t>
      </w:r>
    </w:p>
    <w:p w14:paraId="3C0523F6" w14:textId="4A8C8A93" w:rsidR="00E05B98" w:rsidRPr="003C6DAE" w:rsidRDefault="00762212" w:rsidP="000548D2">
      <w:pPr>
        <w:pStyle w:val="a3"/>
        <w:spacing w:before="226" w:line="269" w:lineRule="auto"/>
        <w:ind w:left="567" w:right="140"/>
        <w:jc w:val="both"/>
        <w:rPr>
          <w:sz w:val="20"/>
          <w:szCs w:val="20"/>
          <w:lang w:val="uk-UA"/>
        </w:rPr>
      </w:pPr>
      <w:r w:rsidRPr="003C6DAE">
        <w:rPr>
          <w:sz w:val="20"/>
          <w:szCs w:val="20"/>
          <w:lang w:val="uk-UA"/>
        </w:rPr>
        <w:t>Наявний на сьогоднішній день ліпоарабіноманнановий аналіз бокового зсуву (LF-LAM) для дослідження зразка сечі має недостатньо оптимальну чутливість і специфічність, тому він не підходить для діагностики ТБ у всіх групах населення. Однак, на відміну від традиційних методів діагностики, дослідження сечі за допомогою аналізу LF-LAM демонструє покращену чутливість для діагностики ТБ серед осіб з ко-інфекцією ВІЛ.</w:t>
      </w:r>
    </w:p>
    <w:p w14:paraId="2C416584" w14:textId="77777777" w:rsidR="00E05B98" w:rsidRPr="003C6DAE" w:rsidRDefault="00E05B98" w:rsidP="000548D2">
      <w:pPr>
        <w:pStyle w:val="a3"/>
        <w:spacing w:before="119" w:line="269" w:lineRule="auto"/>
        <w:rPr>
          <w:lang w:val="uk-UA"/>
        </w:rPr>
      </w:pPr>
    </w:p>
    <w:p w14:paraId="63E047ED" w14:textId="35D59561" w:rsidR="00E05B98" w:rsidRPr="00456A4B" w:rsidRDefault="00762212" w:rsidP="004A2937">
      <w:pPr>
        <w:pStyle w:val="4"/>
        <w:numPr>
          <w:ilvl w:val="2"/>
          <w:numId w:val="31"/>
        </w:numPr>
        <w:tabs>
          <w:tab w:val="left" w:pos="1286"/>
        </w:tabs>
        <w:spacing w:before="0" w:line="269" w:lineRule="auto"/>
        <w:ind w:left="1286" w:hanging="719"/>
        <w:rPr>
          <w:color w:val="019648"/>
          <w:sz w:val="26"/>
          <w:szCs w:val="26"/>
          <w:lang w:val="uk-UA"/>
        </w:rPr>
      </w:pPr>
      <w:r w:rsidRPr="00456A4B">
        <w:rPr>
          <w:color w:val="019648"/>
          <w:sz w:val="26"/>
          <w:szCs w:val="26"/>
          <w:lang w:val="uk-UA"/>
        </w:rPr>
        <w:t xml:space="preserve">Подальші тести для виявлення стійкості до </w:t>
      </w:r>
      <w:r w:rsidR="00A3261D">
        <w:rPr>
          <w:color w:val="019648"/>
          <w:sz w:val="26"/>
          <w:szCs w:val="26"/>
          <w:lang w:val="uk-UA"/>
        </w:rPr>
        <w:t xml:space="preserve">протитуберкульозних </w:t>
      </w:r>
      <w:r w:rsidRPr="00456A4B">
        <w:rPr>
          <w:color w:val="019648"/>
          <w:sz w:val="26"/>
          <w:szCs w:val="26"/>
          <w:lang w:val="uk-UA"/>
        </w:rPr>
        <w:t>препаратів</w:t>
      </w:r>
    </w:p>
    <w:p w14:paraId="2E343A2C" w14:textId="53EE592C" w:rsidR="00E05B98" w:rsidRPr="003C6DAE" w:rsidRDefault="00762212" w:rsidP="000548D2">
      <w:pPr>
        <w:pStyle w:val="7"/>
        <w:spacing w:before="231" w:line="269" w:lineRule="auto"/>
        <w:ind w:right="157"/>
        <w:rPr>
          <w:lang w:val="uk-UA"/>
        </w:rPr>
      </w:pPr>
      <w:r w:rsidRPr="003C6DAE">
        <w:rPr>
          <w:color w:val="019648"/>
          <w:lang w:val="uk-UA"/>
        </w:rPr>
        <w:t>Автоматизовані ТАНК низької складності для виявлення стійкості ТБ до ізоніазиду та протитуберкульозних препаратів другого ряду</w:t>
      </w:r>
    </w:p>
    <w:p w14:paraId="24A8731E" w14:textId="4A648FFF" w:rsidR="00E05B98" w:rsidRPr="003C6DAE" w:rsidRDefault="00F81625" w:rsidP="000548D2">
      <w:pPr>
        <w:pStyle w:val="a3"/>
        <w:spacing w:before="216" w:line="269" w:lineRule="auto"/>
        <w:ind w:left="567" w:right="137"/>
        <w:jc w:val="both"/>
        <w:rPr>
          <w:sz w:val="20"/>
          <w:szCs w:val="20"/>
          <w:lang w:val="uk-UA"/>
        </w:rPr>
      </w:pPr>
      <w:r w:rsidRPr="003C6DAE">
        <w:rPr>
          <w:spacing w:val="-4"/>
          <w:sz w:val="20"/>
          <w:szCs w:val="20"/>
          <w:lang w:val="uk-UA"/>
        </w:rPr>
        <w:t xml:space="preserve">Рекомендується використовувати аТАНК низької складності в якості </w:t>
      </w:r>
      <w:r w:rsidR="00456A4B">
        <w:rPr>
          <w:spacing w:val="-4"/>
          <w:sz w:val="20"/>
          <w:szCs w:val="20"/>
          <w:lang w:val="uk-UA"/>
        </w:rPr>
        <w:t>контрольного</w:t>
      </w:r>
      <w:r w:rsidRPr="003C6DAE">
        <w:rPr>
          <w:spacing w:val="-4"/>
          <w:sz w:val="20"/>
          <w:szCs w:val="20"/>
          <w:lang w:val="uk-UA"/>
        </w:rPr>
        <w:t xml:space="preserve"> тесту для зразків з позитивним результатом на комплекс </w:t>
      </w:r>
      <w:r w:rsidRPr="00456A4B">
        <w:rPr>
          <w:i/>
          <w:iCs/>
          <w:spacing w:val="-4"/>
          <w:sz w:val="20"/>
          <w:szCs w:val="20"/>
          <w:lang w:val="uk-UA"/>
        </w:rPr>
        <w:t>Mtb</w:t>
      </w:r>
      <w:r w:rsidRPr="003C6DAE">
        <w:rPr>
          <w:spacing w:val="-4"/>
          <w:sz w:val="20"/>
          <w:szCs w:val="20"/>
          <w:lang w:val="uk-UA"/>
        </w:rPr>
        <w:t xml:space="preserve"> (MБТК); ці тести надають можливість швидко провести ТМЧ  у проміжних і периферійних лабораторіях. Перший продукт цього класу одночасно визначає стійкість до ізоніазиду, фторхінолонів, етіонаміду та амікацину. Результати можна отримати менш ніж за 90 хвилин; це швидше порівняно з поточним стандартом лікування, який включає проведення лінійного зонд-аналізу та фенотипічного ТМЧ на основі бакпосіву.</w:t>
      </w:r>
    </w:p>
    <w:p w14:paraId="6D550429" w14:textId="3AF8AC25" w:rsidR="00E05B98" w:rsidRPr="003C6DAE" w:rsidRDefault="00F81625" w:rsidP="000548D2">
      <w:pPr>
        <w:pStyle w:val="7"/>
        <w:spacing w:before="184" w:line="269" w:lineRule="auto"/>
        <w:rPr>
          <w:lang w:val="uk-UA"/>
        </w:rPr>
      </w:pPr>
      <w:r w:rsidRPr="003C6DAE">
        <w:rPr>
          <w:color w:val="019648"/>
          <w:lang w:val="uk-UA"/>
        </w:rPr>
        <w:t>Лінійні зонд-аналізи</w:t>
      </w:r>
    </w:p>
    <w:p w14:paraId="0765BD03" w14:textId="77777777" w:rsidR="000D5E66" w:rsidRDefault="006C53CC" w:rsidP="006C53CC">
      <w:pPr>
        <w:pStyle w:val="a3"/>
        <w:spacing w:before="226" w:line="269" w:lineRule="auto"/>
        <w:ind w:left="567" w:right="134"/>
        <w:jc w:val="both"/>
        <w:rPr>
          <w:sz w:val="20"/>
          <w:szCs w:val="20"/>
          <w:lang w:val="uk-UA"/>
        </w:rPr>
      </w:pPr>
      <w:r w:rsidRPr="003C6DAE">
        <w:rPr>
          <w:sz w:val="20"/>
          <w:szCs w:val="20"/>
          <w:lang w:val="uk-UA"/>
        </w:rPr>
        <w:t xml:space="preserve">Лінійні зонд-аналізи (LPA) - це сімейство тестів на основі ДНК-смужок, які можуть виявити ДНК MБТК і визначити її профіль лікарської стійкості. Тести роблять це </w:t>
      </w:r>
      <w:r w:rsidR="000D5E66">
        <w:rPr>
          <w:sz w:val="20"/>
          <w:szCs w:val="20"/>
          <w:lang w:val="uk-UA"/>
        </w:rPr>
        <w:t>за допомогою схеми</w:t>
      </w:r>
      <w:r w:rsidRPr="003C6DAE">
        <w:rPr>
          <w:sz w:val="20"/>
          <w:szCs w:val="20"/>
          <w:lang w:val="uk-UA"/>
        </w:rPr>
        <w:t xml:space="preserve"> зв'язування ампліконів (продуктів ампліфікації ДНК) із зондами, націленими на певні ділянки геному МБТК, тобто на поширені мутації, пов'язані з резистентністю до протитуберкульозних препаратів, або на відповідну послідовність ДНК дикого типу.</w:t>
      </w:r>
      <w:r w:rsidR="00B01E0C" w:rsidRPr="003C6DAE">
        <w:rPr>
          <w:sz w:val="20"/>
          <w:szCs w:val="20"/>
          <w:lang w:val="uk-UA"/>
        </w:rPr>
        <w:t xml:space="preserve"> </w:t>
      </w:r>
      <w:r w:rsidR="00B01E0C" w:rsidRPr="003C6DAE">
        <w:rPr>
          <w:rFonts w:ascii="Arial"/>
          <w:i/>
          <w:sz w:val="20"/>
          <w:szCs w:val="20"/>
          <w:lang w:val="uk-UA"/>
        </w:rPr>
        <w:t>(5)</w:t>
      </w:r>
      <w:r w:rsidR="00B01E0C" w:rsidRPr="003C6DAE">
        <w:rPr>
          <w:sz w:val="20"/>
          <w:szCs w:val="20"/>
          <w:lang w:val="uk-UA"/>
        </w:rPr>
        <w:t xml:space="preserve">. </w:t>
      </w:r>
      <w:r w:rsidRPr="003C6DAE">
        <w:rPr>
          <w:sz w:val="20"/>
          <w:szCs w:val="20"/>
          <w:lang w:val="uk-UA"/>
        </w:rPr>
        <w:t xml:space="preserve">LPA технічно є складнішими для виконанні, ніж аналіз Xpert MTB/RIF, проте вони дозволяють виявити стійкість до ширшого спектру </w:t>
      </w:r>
      <w:r w:rsidR="000D5E66">
        <w:rPr>
          <w:sz w:val="20"/>
          <w:szCs w:val="20"/>
          <w:lang w:val="uk-UA"/>
        </w:rPr>
        <w:t xml:space="preserve">лікарських </w:t>
      </w:r>
      <w:r w:rsidRPr="003C6DAE">
        <w:rPr>
          <w:sz w:val="20"/>
          <w:szCs w:val="20"/>
          <w:lang w:val="uk-UA"/>
        </w:rPr>
        <w:t xml:space="preserve">препаратів </w:t>
      </w:r>
    </w:p>
    <w:p w14:paraId="4F4892BF" w14:textId="77777777" w:rsidR="000D5E66" w:rsidRDefault="000D5E66" w:rsidP="006C53CC">
      <w:pPr>
        <w:pStyle w:val="a3"/>
        <w:spacing w:before="226" w:line="269" w:lineRule="auto"/>
        <w:ind w:left="567" w:right="134"/>
        <w:jc w:val="both"/>
        <w:rPr>
          <w:sz w:val="20"/>
          <w:szCs w:val="20"/>
          <w:lang w:val="uk-UA"/>
        </w:rPr>
      </w:pPr>
    </w:p>
    <w:p w14:paraId="40BBF77D" w14:textId="1EBA0118" w:rsidR="00E05B98" w:rsidRPr="003C6DAE" w:rsidRDefault="006C53CC" w:rsidP="006C53CC">
      <w:pPr>
        <w:pStyle w:val="a3"/>
        <w:spacing w:before="226" w:line="269" w:lineRule="auto"/>
        <w:ind w:left="567" w:right="134"/>
        <w:jc w:val="both"/>
        <w:rPr>
          <w:lang w:val="uk-UA"/>
        </w:rPr>
      </w:pPr>
      <w:r w:rsidRPr="003C6DAE">
        <w:rPr>
          <w:sz w:val="20"/>
          <w:szCs w:val="20"/>
          <w:lang w:val="uk-UA"/>
        </w:rPr>
        <w:lastRenderedPageBreak/>
        <w:t xml:space="preserve">першого та другого ряду, а також надають специфічні для мутацій дані для поширених варіантів. </w:t>
      </w:r>
      <w:r w:rsidR="000D5E66" w:rsidRPr="000D5E66">
        <w:rPr>
          <w:sz w:val="20"/>
          <w:szCs w:val="20"/>
          <w:lang w:val="uk-UA"/>
        </w:rPr>
        <w:t>Платформи для тестування були розроблені для референс-лабораторій та є найбільш придатними для країн з високим тягарем ТБ. Результати можна отримати за 5 годин</w:t>
      </w:r>
      <w:r w:rsidR="00B01E0C" w:rsidRPr="003C6DAE">
        <w:rPr>
          <w:sz w:val="20"/>
          <w:szCs w:val="20"/>
          <w:lang w:val="uk-UA"/>
        </w:rPr>
        <w:t xml:space="preserve"> </w:t>
      </w:r>
      <w:r w:rsidR="00B01E0C" w:rsidRPr="003C6DAE">
        <w:rPr>
          <w:rFonts w:ascii="Arial"/>
          <w:i/>
          <w:sz w:val="20"/>
          <w:szCs w:val="20"/>
          <w:lang w:val="uk-UA"/>
        </w:rPr>
        <w:t>(5)</w:t>
      </w:r>
      <w:r w:rsidR="00B01E0C" w:rsidRPr="003C6DAE">
        <w:rPr>
          <w:sz w:val="20"/>
          <w:szCs w:val="20"/>
          <w:lang w:val="uk-UA"/>
        </w:rPr>
        <w:t>.</w:t>
      </w:r>
    </w:p>
    <w:p w14:paraId="06125EDD" w14:textId="222141F6" w:rsidR="00E05B98" w:rsidRPr="003C6DAE" w:rsidRDefault="000D5E66" w:rsidP="000548D2">
      <w:pPr>
        <w:pStyle w:val="7"/>
        <w:spacing w:before="182" w:line="269" w:lineRule="auto"/>
        <w:rPr>
          <w:lang w:val="uk-UA"/>
        </w:rPr>
      </w:pPr>
      <w:r>
        <w:rPr>
          <w:color w:val="019648"/>
          <w:spacing w:val="2"/>
          <w:lang w:val="uk-UA"/>
        </w:rPr>
        <w:t>Тести цільового</w:t>
      </w:r>
      <w:r w:rsidR="006C53CC" w:rsidRPr="003C6DAE">
        <w:rPr>
          <w:color w:val="019648"/>
          <w:spacing w:val="2"/>
          <w:lang w:val="uk-UA"/>
        </w:rPr>
        <w:t xml:space="preserve"> секвенування наступного покоління</w:t>
      </w:r>
    </w:p>
    <w:p w14:paraId="09CDFFB5" w14:textId="0A6E9153" w:rsidR="00E05B98" w:rsidRPr="003C6DAE" w:rsidRDefault="00B74471" w:rsidP="000548D2">
      <w:pPr>
        <w:pStyle w:val="a3"/>
        <w:spacing w:before="226" w:line="269" w:lineRule="auto"/>
        <w:ind w:left="567" w:right="139"/>
        <w:jc w:val="both"/>
        <w:rPr>
          <w:lang w:val="uk-UA"/>
        </w:rPr>
      </w:pPr>
      <w:r w:rsidRPr="003C6DAE">
        <w:rPr>
          <w:sz w:val="20"/>
          <w:szCs w:val="20"/>
          <w:lang w:val="uk-UA"/>
        </w:rPr>
        <w:t xml:space="preserve">Тести на основі цільового секвенування наступного покоління (СНП) використовуються для подальшого виявлення лікарської стійкості до широкого спектру протитуберкульозних препаратів після первинного виявлення ТБ або стійкості до рифампіцину. Цей клас тестів ґрунтується на технології, яка поєднує ампліфікацію обраних генів із СНП для виявлення </w:t>
      </w:r>
      <w:r w:rsidR="00176989" w:rsidRPr="003C6DAE">
        <w:rPr>
          <w:sz w:val="20"/>
          <w:szCs w:val="20"/>
          <w:lang w:val="uk-UA"/>
        </w:rPr>
        <w:t>стійкості</w:t>
      </w:r>
      <w:r w:rsidRPr="003C6DAE">
        <w:rPr>
          <w:sz w:val="20"/>
          <w:szCs w:val="20"/>
          <w:lang w:val="uk-UA"/>
        </w:rPr>
        <w:t xml:space="preserve"> до багатьох препаратів за допомогою одного тесту.</w:t>
      </w:r>
      <w:r w:rsidR="00B01E0C" w:rsidRPr="003C6DAE">
        <w:rPr>
          <w:spacing w:val="-1"/>
          <w:sz w:val="20"/>
          <w:szCs w:val="20"/>
          <w:lang w:val="uk-UA"/>
        </w:rPr>
        <w:t xml:space="preserve"> </w:t>
      </w:r>
      <w:r w:rsidR="00520A70" w:rsidRPr="003C6DAE">
        <w:rPr>
          <w:sz w:val="20"/>
          <w:szCs w:val="20"/>
          <w:lang w:val="uk-UA"/>
        </w:rPr>
        <w:t xml:space="preserve">Оскільки цільове СНП може досліджувати цілі гени для виявлення конкретних мутацій, пов’язаних зі стійкістю, точність може бути вищою, ніж під час проведення існуючих рекомендованих ВООЗ швидких діагностичних тестів (WRD). Крім того, нові тести, засновані на цільовому СНП, можуть виявити стійкість до нових і перепрофільованих </w:t>
      </w:r>
      <w:r w:rsidR="000D5E66">
        <w:rPr>
          <w:sz w:val="20"/>
          <w:szCs w:val="20"/>
          <w:lang w:val="uk-UA"/>
        </w:rPr>
        <w:t>лікарських засобів</w:t>
      </w:r>
      <w:r w:rsidR="00520A70" w:rsidRPr="003C6DAE">
        <w:rPr>
          <w:sz w:val="20"/>
          <w:szCs w:val="20"/>
          <w:lang w:val="uk-UA"/>
        </w:rPr>
        <w:t>, які наразі не включені до інших молекулярних аналізів. Отже, цей клас тестів пропонує великий потенціал для забезпечення комплексного виявлення стійкості, що відповідає сучасним схемам лікування</w:t>
      </w:r>
      <w:r w:rsidR="00B01E0C" w:rsidRPr="003C6DAE">
        <w:rPr>
          <w:lang w:val="uk-UA"/>
        </w:rPr>
        <w:t>.</w:t>
      </w:r>
    </w:p>
    <w:p w14:paraId="3ED777CE" w14:textId="243E18A9" w:rsidR="00E05B98" w:rsidRPr="000D5E66" w:rsidRDefault="00520A70" w:rsidP="00520A70">
      <w:pPr>
        <w:pStyle w:val="4"/>
        <w:tabs>
          <w:tab w:val="left" w:pos="1284"/>
        </w:tabs>
        <w:spacing w:before="205" w:line="269" w:lineRule="auto"/>
        <w:rPr>
          <w:color w:val="019648"/>
          <w:sz w:val="26"/>
          <w:szCs w:val="26"/>
          <w:lang w:val="uk-UA"/>
        </w:rPr>
      </w:pPr>
      <w:r w:rsidRPr="000D5E66">
        <w:rPr>
          <w:color w:val="019648"/>
          <w:spacing w:val="-12"/>
          <w:sz w:val="26"/>
          <w:szCs w:val="26"/>
          <w:lang w:val="uk-UA"/>
        </w:rPr>
        <w:t xml:space="preserve">1.3.4 </w:t>
      </w:r>
      <w:r w:rsidR="000D5E66">
        <w:rPr>
          <w:color w:val="019648"/>
          <w:spacing w:val="-12"/>
          <w:sz w:val="26"/>
          <w:szCs w:val="26"/>
          <w:lang w:val="uk-UA"/>
        </w:rPr>
        <w:t xml:space="preserve"> </w:t>
      </w:r>
      <w:r w:rsidR="00027C07">
        <w:rPr>
          <w:color w:val="019648"/>
          <w:spacing w:val="-12"/>
          <w:sz w:val="26"/>
          <w:szCs w:val="26"/>
          <w:lang w:val="uk-UA"/>
        </w:rPr>
        <w:t>Тести для діагностики</w:t>
      </w:r>
      <w:r w:rsidRPr="000D5E66">
        <w:rPr>
          <w:color w:val="019648"/>
          <w:spacing w:val="-12"/>
          <w:sz w:val="26"/>
          <w:szCs w:val="26"/>
          <w:lang w:val="uk-UA"/>
        </w:rPr>
        <w:t xml:space="preserve"> інфекці</w:t>
      </w:r>
      <w:r w:rsidR="00027C07">
        <w:rPr>
          <w:color w:val="019648"/>
          <w:spacing w:val="-12"/>
          <w:sz w:val="26"/>
          <w:szCs w:val="26"/>
          <w:lang w:val="uk-UA"/>
        </w:rPr>
        <w:t>ї ТБ</w:t>
      </w:r>
    </w:p>
    <w:p w14:paraId="6B1BE463" w14:textId="4D574841" w:rsidR="00E05B98" w:rsidRPr="003C6DAE" w:rsidRDefault="00520A70" w:rsidP="000548D2">
      <w:pPr>
        <w:pStyle w:val="7"/>
        <w:spacing w:before="231" w:line="269" w:lineRule="auto"/>
        <w:rPr>
          <w:lang w:val="uk-UA"/>
        </w:rPr>
      </w:pPr>
      <w:r w:rsidRPr="003C6DAE">
        <w:rPr>
          <w:color w:val="019648"/>
          <w:lang w:val="uk-UA"/>
        </w:rPr>
        <w:t xml:space="preserve">Шкірні тести на </w:t>
      </w:r>
      <w:r w:rsidR="00E30129">
        <w:rPr>
          <w:color w:val="019648"/>
          <w:lang w:val="uk-UA"/>
        </w:rPr>
        <w:t xml:space="preserve">основі </w:t>
      </w:r>
      <w:r w:rsidRPr="003C6DAE">
        <w:rPr>
          <w:color w:val="019648"/>
          <w:lang w:val="uk-UA"/>
        </w:rPr>
        <w:t>антиген</w:t>
      </w:r>
      <w:r w:rsidR="00E30129">
        <w:rPr>
          <w:color w:val="019648"/>
          <w:lang w:val="uk-UA"/>
        </w:rPr>
        <w:t>у</w:t>
      </w:r>
      <w:r w:rsidRPr="003C6DAE">
        <w:rPr>
          <w:color w:val="019648"/>
          <w:lang w:val="uk-UA"/>
        </w:rPr>
        <w:t xml:space="preserve"> Mtb</w:t>
      </w:r>
    </w:p>
    <w:p w14:paraId="28159FE7" w14:textId="3DE590DF" w:rsidR="00E05B98" w:rsidRPr="003C6DAE" w:rsidRDefault="005E49CF" w:rsidP="000548D2">
      <w:pPr>
        <w:pStyle w:val="a3"/>
        <w:spacing w:before="223" w:line="269" w:lineRule="auto"/>
        <w:ind w:left="567" w:right="139"/>
        <w:jc w:val="both"/>
        <w:rPr>
          <w:iCs/>
          <w:sz w:val="20"/>
          <w:szCs w:val="20"/>
          <w:lang w:val="uk-UA"/>
        </w:rPr>
      </w:pPr>
      <w:r w:rsidRPr="003C6DAE">
        <w:rPr>
          <w:rFonts w:ascii="Arial" w:hAnsi="Arial"/>
          <w:iCs/>
          <w:sz w:val="20"/>
          <w:szCs w:val="20"/>
          <w:lang w:val="uk-UA"/>
        </w:rPr>
        <w:t xml:space="preserve">Шкірні тести на </w:t>
      </w:r>
      <w:r w:rsidR="00E30129">
        <w:rPr>
          <w:rFonts w:ascii="Arial" w:hAnsi="Arial"/>
          <w:iCs/>
          <w:sz w:val="20"/>
          <w:szCs w:val="20"/>
          <w:lang w:val="uk-UA"/>
        </w:rPr>
        <w:t xml:space="preserve">основі </w:t>
      </w:r>
      <w:r w:rsidRPr="003C6DAE">
        <w:rPr>
          <w:rFonts w:ascii="Arial" w:hAnsi="Arial"/>
          <w:iCs/>
          <w:sz w:val="20"/>
          <w:szCs w:val="20"/>
          <w:lang w:val="uk-UA"/>
        </w:rPr>
        <w:t>антиген</w:t>
      </w:r>
      <w:r w:rsidR="00E30129">
        <w:rPr>
          <w:rFonts w:ascii="Arial" w:hAnsi="Arial"/>
          <w:iCs/>
          <w:sz w:val="20"/>
          <w:szCs w:val="20"/>
          <w:lang w:val="uk-UA"/>
        </w:rPr>
        <w:t>у</w:t>
      </w:r>
      <w:r w:rsidRPr="003C6DAE">
        <w:rPr>
          <w:rFonts w:ascii="Arial" w:hAnsi="Arial"/>
          <w:iCs/>
          <w:sz w:val="20"/>
          <w:szCs w:val="20"/>
          <w:lang w:val="uk-UA"/>
        </w:rPr>
        <w:t xml:space="preserve"> </w:t>
      </w:r>
      <w:r w:rsidRPr="003C6DAE">
        <w:rPr>
          <w:rFonts w:ascii="Arial" w:hAnsi="Arial"/>
          <w:i/>
          <w:sz w:val="20"/>
          <w:szCs w:val="20"/>
          <w:lang w:val="uk-UA"/>
        </w:rPr>
        <w:t xml:space="preserve">Mtb </w:t>
      </w:r>
      <w:r w:rsidRPr="003C6DAE">
        <w:rPr>
          <w:rFonts w:ascii="Arial" w:hAnsi="Arial"/>
          <w:iCs/>
          <w:sz w:val="20"/>
          <w:szCs w:val="20"/>
          <w:lang w:val="uk-UA"/>
        </w:rPr>
        <w:t>(</w:t>
      </w:r>
      <w:r w:rsidR="00E30129">
        <w:rPr>
          <w:rFonts w:ascii="Arial" w:hAnsi="Arial"/>
          <w:iCs/>
          <w:sz w:val="20"/>
          <w:szCs w:val="20"/>
          <w:lang w:val="uk-UA"/>
        </w:rPr>
        <w:t>ШПТБ</w:t>
      </w:r>
      <w:r w:rsidRPr="003C6DAE">
        <w:rPr>
          <w:rFonts w:ascii="Arial" w:hAnsi="Arial"/>
          <w:iCs/>
          <w:sz w:val="20"/>
          <w:szCs w:val="20"/>
          <w:lang w:val="uk-UA"/>
        </w:rPr>
        <w:t xml:space="preserve">) використовуються для непрямого виявлення туберкульозної інфекції. </w:t>
      </w:r>
      <w:r w:rsidR="00E30129">
        <w:rPr>
          <w:rFonts w:ascii="Arial" w:hAnsi="Arial"/>
          <w:iCs/>
          <w:sz w:val="20"/>
          <w:szCs w:val="20"/>
          <w:lang w:val="uk-UA"/>
        </w:rPr>
        <w:t>ШПТБ</w:t>
      </w:r>
      <w:r w:rsidRPr="003C6DAE">
        <w:rPr>
          <w:rFonts w:ascii="Arial" w:hAnsi="Arial"/>
          <w:iCs/>
          <w:sz w:val="20"/>
          <w:szCs w:val="20"/>
          <w:lang w:val="uk-UA"/>
        </w:rPr>
        <w:t xml:space="preserve"> ґрунтуються на внутрішньошкірному введенні специфічних антигенів </w:t>
      </w:r>
      <w:r w:rsidRPr="003C6DAE">
        <w:rPr>
          <w:rFonts w:ascii="Arial" w:hAnsi="Arial"/>
          <w:i/>
          <w:sz w:val="20"/>
          <w:szCs w:val="20"/>
          <w:lang w:val="uk-UA"/>
        </w:rPr>
        <w:t xml:space="preserve">Mtb; </w:t>
      </w:r>
      <w:r w:rsidRPr="003C6DAE">
        <w:rPr>
          <w:rFonts w:ascii="Arial" w:hAnsi="Arial"/>
          <w:iCs/>
          <w:sz w:val="20"/>
          <w:szCs w:val="20"/>
          <w:lang w:val="uk-UA"/>
        </w:rPr>
        <w:t xml:space="preserve">антигени викликають локальну шкірну реакцію в інфікованих осіб, яка виявляється шляхом вимірювання утворення локального ущільнення  через 48-72 години після введення. Незважаючи на те, що ці тести все ще потребують введення препарату пацієнту та повторних візитів </w:t>
      </w:r>
      <w:r w:rsidR="00027C07">
        <w:rPr>
          <w:rFonts w:ascii="Arial" w:hAnsi="Arial"/>
          <w:iCs/>
          <w:sz w:val="20"/>
          <w:szCs w:val="20"/>
          <w:lang w:val="uk-UA"/>
        </w:rPr>
        <w:t xml:space="preserve">до лікаря </w:t>
      </w:r>
      <w:r w:rsidRPr="003C6DAE">
        <w:rPr>
          <w:rFonts w:ascii="Arial" w:hAnsi="Arial"/>
          <w:iCs/>
          <w:sz w:val="20"/>
          <w:szCs w:val="20"/>
          <w:lang w:val="uk-UA"/>
        </w:rPr>
        <w:t>для інтерпретації результатів, вони є більш специфічними, ніж рекомендовані ВО</w:t>
      </w:r>
      <w:r w:rsidR="00027C07">
        <w:rPr>
          <w:rFonts w:ascii="Arial" w:hAnsi="Arial"/>
          <w:iCs/>
          <w:sz w:val="20"/>
          <w:szCs w:val="20"/>
          <w:lang w:val="uk-UA"/>
        </w:rPr>
        <w:t>О</w:t>
      </w:r>
      <w:r w:rsidRPr="003C6DAE">
        <w:rPr>
          <w:rFonts w:ascii="Arial" w:hAnsi="Arial"/>
          <w:iCs/>
          <w:sz w:val="20"/>
          <w:szCs w:val="20"/>
          <w:lang w:val="uk-UA"/>
        </w:rPr>
        <w:t>З шкірні туберкулінові проби (</w:t>
      </w:r>
      <w:r w:rsidR="00D45FA2">
        <w:rPr>
          <w:rFonts w:ascii="Arial" w:hAnsi="Arial"/>
          <w:iCs/>
          <w:sz w:val="20"/>
          <w:szCs w:val="20"/>
          <w:lang w:val="uk-UA"/>
        </w:rPr>
        <w:t>ТШП</w:t>
      </w:r>
      <w:r w:rsidRPr="003C6DAE">
        <w:rPr>
          <w:rFonts w:ascii="Arial" w:hAnsi="Arial"/>
          <w:iCs/>
          <w:sz w:val="20"/>
          <w:szCs w:val="20"/>
          <w:lang w:val="uk-UA"/>
        </w:rPr>
        <w:t>).</w:t>
      </w:r>
    </w:p>
    <w:p w14:paraId="60A43729" w14:textId="5AC31184" w:rsidR="00E05B98" w:rsidRPr="003C6DAE" w:rsidRDefault="005E49CF" w:rsidP="000548D2">
      <w:pPr>
        <w:pStyle w:val="7"/>
        <w:spacing w:before="183" w:line="269" w:lineRule="auto"/>
        <w:rPr>
          <w:lang w:val="uk-UA"/>
        </w:rPr>
      </w:pPr>
      <w:r w:rsidRPr="003C6DAE">
        <w:rPr>
          <w:color w:val="019648"/>
          <w:w w:val="105"/>
          <w:lang w:val="uk-UA"/>
        </w:rPr>
        <w:t xml:space="preserve">Аналізи </w:t>
      </w:r>
      <w:r w:rsidR="00D85DF9">
        <w:rPr>
          <w:color w:val="019648"/>
          <w:w w:val="105"/>
          <w:lang w:val="uk-UA"/>
        </w:rPr>
        <w:t xml:space="preserve">на </w:t>
      </w:r>
      <w:r w:rsidRPr="003C6DAE">
        <w:rPr>
          <w:color w:val="019648"/>
          <w:w w:val="105"/>
          <w:lang w:val="uk-UA"/>
        </w:rPr>
        <w:t>вивільнення гамма-інтерферону</w:t>
      </w:r>
    </w:p>
    <w:p w14:paraId="16E4FC5C" w14:textId="5F032355" w:rsidR="00E05B98" w:rsidRPr="003C6DAE" w:rsidRDefault="00024F48" w:rsidP="000548D2">
      <w:pPr>
        <w:pStyle w:val="a3"/>
        <w:spacing w:before="227" w:line="269" w:lineRule="auto"/>
        <w:ind w:left="567" w:right="137"/>
        <w:jc w:val="both"/>
        <w:rPr>
          <w:sz w:val="20"/>
          <w:szCs w:val="20"/>
          <w:lang w:val="uk-UA"/>
        </w:rPr>
      </w:pPr>
      <w:r w:rsidRPr="003C6DAE">
        <w:rPr>
          <w:spacing w:val="-4"/>
          <w:sz w:val="20"/>
          <w:szCs w:val="20"/>
          <w:lang w:val="uk-UA"/>
        </w:rPr>
        <w:t xml:space="preserve">Аналіз </w:t>
      </w:r>
      <w:r w:rsidR="00D85DF9">
        <w:rPr>
          <w:spacing w:val="-4"/>
          <w:sz w:val="20"/>
          <w:szCs w:val="20"/>
          <w:lang w:val="uk-UA"/>
        </w:rPr>
        <w:t xml:space="preserve">на </w:t>
      </w:r>
      <w:r w:rsidRPr="003C6DAE">
        <w:rPr>
          <w:spacing w:val="-4"/>
          <w:sz w:val="20"/>
          <w:szCs w:val="20"/>
          <w:lang w:val="uk-UA"/>
        </w:rPr>
        <w:t>вивільнення гамма-інтерферону (</w:t>
      </w:r>
      <w:r w:rsidR="00027C07">
        <w:rPr>
          <w:spacing w:val="-4"/>
          <w:sz w:val="20"/>
          <w:szCs w:val="20"/>
          <w:lang w:val="uk-UA"/>
        </w:rPr>
        <w:t>АВГІ</w:t>
      </w:r>
      <w:r w:rsidRPr="003C6DAE">
        <w:rPr>
          <w:spacing w:val="-4"/>
          <w:sz w:val="20"/>
          <w:szCs w:val="20"/>
          <w:lang w:val="uk-UA"/>
        </w:rPr>
        <w:t xml:space="preserve"> - це </w:t>
      </w:r>
      <w:r w:rsidR="00027C07">
        <w:rPr>
          <w:spacing w:val="-4"/>
          <w:sz w:val="20"/>
          <w:szCs w:val="20"/>
          <w:lang w:val="uk-UA"/>
        </w:rPr>
        <w:t>аналіз</w:t>
      </w:r>
      <w:r w:rsidRPr="003C6DAE">
        <w:rPr>
          <w:spacing w:val="-4"/>
          <w:sz w:val="20"/>
          <w:szCs w:val="20"/>
          <w:lang w:val="uk-UA"/>
        </w:rPr>
        <w:t xml:space="preserve"> крові </w:t>
      </w:r>
      <w:r w:rsidRPr="00027C07">
        <w:rPr>
          <w:i/>
          <w:iCs/>
          <w:spacing w:val="-4"/>
          <w:sz w:val="20"/>
          <w:szCs w:val="20"/>
          <w:lang w:val="uk-UA"/>
        </w:rPr>
        <w:t>in vitro</w:t>
      </w:r>
      <w:r w:rsidRPr="003C6DAE">
        <w:rPr>
          <w:spacing w:val="-4"/>
          <w:sz w:val="20"/>
          <w:szCs w:val="20"/>
          <w:lang w:val="uk-UA"/>
        </w:rPr>
        <w:t>, як</w:t>
      </w:r>
      <w:r w:rsidR="00027C07">
        <w:rPr>
          <w:spacing w:val="-4"/>
          <w:sz w:val="20"/>
          <w:szCs w:val="20"/>
          <w:lang w:val="uk-UA"/>
        </w:rPr>
        <w:t>ий</w:t>
      </w:r>
      <w:r w:rsidRPr="003C6DAE">
        <w:rPr>
          <w:spacing w:val="-4"/>
          <w:sz w:val="20"/>
          <w:szCs w:val="20"/>
          <w:lang w:val="uk-UA"/>
        </w:rPr>
        <w:t xml:space="preserve"> використову</w:t>
      </w:r>
      <w:r w:rsidR="00027C07">
        <w:rPr>
          <w:spacing w:val="-4"/>
          <w:sz w:val="20"/>
          <w:szCs w:val="20"/>
          <w:lang w:val="uk-UA"/>
        </w:rPr>
        <w:t>є</w:t>
      </w:r>
      <w:r w:rsidRPr="003C6DAE">
        <w:rPr>
          <w:spacing w:val="-4"/>
          <w:sz w:val="20"/>
          <w:szCs w:val="20"/>
          <w:lang w:val="uk-UA"/>
        </w:rPr>
        <w:t xml:space="preserve">ться для непрямого тестування на ТБ-інфекцію. Вони вимірюють або кількість гамма-інтерферону, який вивільняється лімфоцитами в цільній крові після впливу специфічних антигенів </w:t>
      </w:r>
      <w:r w:rsidRPr="00027C07">
        <w:rPr>
          <w:i/>
          <w:iCs/>
          <w:spacing w:val="-4"/>
          <w:sz w:val="20"/>
          <w:szCs w:val="20"/>
          <w:lang w:val="uk-UA"/>
        </w:rPr>
        <w:t>Mtb</w:t>
      </w:r>
      <w:r w:rsidRPr="003C6DAE">
        <w:rPr>
          <w:spacing w:val="-4"/>
          <w:sz w:val="20"/>
          <w:szCs w:val="20"/>
          <w:lang w:val="uk-UA"/>
        </w:rPr>
        <w:t>, або кількість Т-лімфоцитів у цільній крові, які виробляють гамма-інтерферон.</w:t>
      </w:r>
      <w:r w:rsidR="00B01E0C" w:rsidRPr="003C6DAE">
        <w:rPr>
          <w:spacing w:val="-14"/>
          <w:sz w:val="20"/>
          <w:szCs w:val="20"/>
          <w:lang w:val="uk-UA"/>
        </w:rPr>
        <w:t xml:space="preserve"> </w:t>
      </w:r>
      <w:r w:rsidRPr="003C6DAE">
        <w:rPr>
          <w:sz w:val="20"/>
          <w:szCs w:val="20"/>
          <w:lang w:val="uk-UA"/>
        </w:rPr>
        <w:t xml:space="preserve">Для проведення </w:t>
      </w:r>
      <w:r w:rsidR="00027C07">
        <w:rPr>
          <w:sz w:val="20"/>
          <w:szCs w:val="20"/>
          <w:lang w:val="uk-UA"/>
        </w:rPr>
        <w:t>АВГІ</w:t>
      </w:r>
      <w:r w:rsidRPr="003C6DAE">
        <w:rPr>
          <w:sz w:val="20"/>
          <w:szCs w:val="20"/>
          <w:lang w:val="uk-UA"/>
        </w:rPr>
        <w:t xml:space="preserve">-тестування потрібно кілька днів через етапи інкубації крові, і його може бути складно проводити пацієнтам, яким важко проводити флеботомію (наприклад, дітям); однак це єдиний тип тесту для виявлення інфекції ТБ, на результати якого не впливає попередня вакцинація проти туберкульозу бактеріями Кальметта-Герена (БЦЖ). Таким чином, </w:t>
      </w:r>
      <w:r w:rsidR="00027C07">
        <w:rPr>
          <w:sz w:val="20"/>
          <w:szCs w:val="20"/>
          <w:lang w:val="uk-UA"/>
        </w:rPr>
        <w:t xml:space="preserve">АВГІ </w:t>
      </w:r>
      <w:r w:rsidRPr="003C6DAE">
        <w:rPr>
          <w:sz w:val="20"/>
          <w:szCs w:val="20"/>
          <w:lang w:val="uk-UA"/>
        </w:rPr>
        <w:t>є перспективною альтернативою для виявлення туберкульозної інфекції в умовах високого рівня вакцинації БЦЖ.</w:t>
      </w:r>
    </w:p>
    <w:p w14:paraId="69B20E71" w14:textId="63202B74" w:rsidR="00E05B98" w:rsidRPr="003C6DAE" w:rsidRDefault="00D45FA2" w:rsidP="000548D2">
      <w:pPr>
        <w:pStyle w:val="7"/>
        <w:spacing w:before="188" w:line="269" w:lineRule="auto"/>
        <w:rPr>
          <w:lang w:val="uk-UA"/>
        </w:rPr>
      </w:pPr>
      <w:r>
        <w:rPr>
          <w:color w:val="019648"/>
          <w:lang w:val="uk-UA"/>
        </w:rPr>
        <w:t>Т</w:t>
      </w:r>
      <w:r w:rsidR="00024F48" w:rsidRPr="003C6DAE">
        <w:rPr>
          <w:color w:val="019648"/>
          <w:lang w:val="uk-UA"/>
        </w:rPr>
        <w:t xml:space="preserve">уберкулінові </w:t>
      </w:r>
      <w:r>
        <w:rPr>
          <w:color w:val="019648"/>
          <w:lang w:val="uk-UA"/>
        </w:rPr>
        <w:t xml:space="preserve">шкірні </w:t>
      </w:r>
      <w:r w:rsidR="00024F48" w:rsidRPr="003C6DAE">
        <w:rPr>
          <w:color w:val="019648"/>
          <w:lang w:val="uk-UA"/>
        </w:rPr>
        <w:t>проби (</w:t>
      </w:r>
      <w:r>
        <w:rPr>
          <w:color w:val="019648"/>
          <w:lang w:val="uk-UA"/>
        </w:rPr>
        <w:t>Т</w:t>
      </w:r>
      <w:r w:rsidR="00024F48" w:rsidRPr="003C6DAE">
        <w:rPr>
          <w:color w:val="019648"/>
          <w:lang w:val="uk-UA"/>
        </w:rPr>
        <w:t>ШП)</w:t>
      </w:r>
    </w:p>
    <w:p w14:paraId="6EE0E7A7" w14:textId="38B2D51E" w:rsidR="00E05B98" w:rsidRPr="003C6DAE" w:rsidRDefault="00D45FA2" w:rsidP="000548D2">
      <w:pPr>
        <w:pStyle w:val="a3"/>
        <w:spacing w:before="227" w:line="269" w:lineRule="auto"/>
        <w:ind w:left="567" w:right="133"/>
        <w:jc w:val="both"/>
        <w:rPr>
          <w:sz w:val="20"/>
          <w:szCs w:val="20"/>
          <w:lang w:val="uk-UA"/>
        </w:rPr>
      </w:pPr>
      <w:r>
        <w:rPr>
          <w:sz w:val="20"/>
          <w:szCs w:val="20"/>
          <w:lang w:val="uk-UA"/>
        </w:rPr>
        <w:t>ТШП</w:t>
      </w:r>
      <w:r w:rsidR="00364C92" w:rsidRPr="003C6DAE">
        <w:rPr>
          <w:sz w:val="20"/>
          <w:szCs w:val="20"/>
          <w:lang w:val="uk-UA"/>
        </w:rPr>
        <w:t xml:space="preserve"> були першим класом тестів, рекомендованих для виявлення ТБ-інфекції; вони базуються на внутрішньошкірному введенні суміші антигенів мікобактерій туберкульозу, нетуберкульозних мікобактерій та вакцини БЦЖ з подальшим виявленням локальної шкірної реакції на основі індурації через 48-72 години. Як і </w:t>
      </w:r>
      <w:r w:rsidR="00027C07">
        <w:rPr>
          <w:sz w:val="20"/>
          <w:szCs w:val="20"/>
          <w:lang w:val="uk-UA"/>
        </w:rPr>
        <w:t>Ш</w:t>
      </w:r>
      <w:r w:rsidR="00E30129">
        <w:rPr>
          <w:sz w:val="20"/>
          <w:szCs w:val="20"/>
          <w:lang w:val="uk-UA"/>
        </w:rPr>
        <w:t>П</w:t>
      </w:r>
      <w:r w:rsidR="00027C07">
        <w:rPr>
          <w:sz w:val="20"/>
          <w:szCs w:val="20"/>
          <w:lang w:val="uk-UA"/>
        </w:rPr>
        <w:t>ТБ</w:t>
      </w:r>
      <w:r w:rsidR="00364C92" w:rsidRPr="003C6DAE">
        <w:rPr>
          <w:sz w:val="20"/>
          <w:szCs w:val="20"/>
          <w:lang w:val="uk-UA"/>
        </w:rPr>
        <w:t xml:space="preserve">, ці тести можуть полегшити діагностику туберкульозної інфекції у дітей та інших пацієнтів, для яких флеботомія є складним завданням, але вони також можуть давати хибнопозитивні результати у людей, інфікованих іншими мікобактеріями, крім туберкульозу, та у тих, </w:t>
      </w:r>
      <w:r w:rsidR="00027C07">
        <w:rPr>
          <w:sz w:val="20"/>
          <w:szCs w:val="20"/>
          <w:lang w:val="uk-UA"/>
        </w:rPr>
        <w:t>хто</w:t>
      </w:r>
      <w:r w:rsidR="00364C92" w:rsidRPr="003C6DAE">
        <w:rPr>
          <w:sz w:val="20"/>
          <w:szCs w:val="20"/>
          <w:lang w:val="uk-UA"/>
        </w:rPr>
        <w:t xml:space="preserve"> отримав щеплення БЦЖ.</w:t>
      </w:r>
    </w:p>
    <w:p w14:paraId="4523F35E" w14:textId="77777777" w:rsidR="00E05B98" w:rsidRPr="003C6DAE" w:rsidRDefault="00E05B98" w:rsidP="000548D2">
      <w:pPr>
        <w:pStyle w:val="a3"/>
        <w:spacing w:line="269" w:lineRule="auto"/>
        <w:jc w:val="both"/>
        <w:rPr>
          <w:lang w:val="uk-UA"/>
        </w:rPr>
        <w:sectPr w:rsidR="00E05B98" w:rsidRPr="003C6DAE" w:rsidSect="000548D2">
          <w:pgSz w:w="11910" w:h="16840"/>
          <w:pgMar w:top="1320" w:right="853" w:bottom="760" w:left="850" w:header="0" w:footer="573" w:gutter="0"/>
          <w:cols w:space="720"/>
        </w:sectPr>
      </w:pPr>
    </w:p>
    <w:p w14:paraId="0F3C472D" w14:textId="77777777" w:rsidR="00E05B98" w:rsidRPr="003C6DAE" w:rsidRDefault="00B01E0C" w:rsidP="000548D2">
      <w:pPr>
        <w:pStyle w:val="a3"/>
        <w:spacing w:line="269" w:lineRule="auto"/>
        <w:ind w:left="566"/>
        <w:rPr>
          <w:sz w:val="20"/>
          <w:lang w:val="uk-UA"/>
        </w:rPr>
      </w:pPr>
      <w:r w:rsidRPr="003C6DAE">
        <w:rPr>
          <w:noProof/>
          <w:sz w:val="20"/>
          <w:lang w:val="uk-UA"/>
        </w:rPr>
        <w:lastRenderedPageBreak/>
        <mc:AlternateContent>
          <mc:Choice Requires="wps">
            <w:drawing>
              <wp:inline distT="0" distB="0" distL="0" distR="0" wp14:anchorId="19281314" wp14:editId="6DC92370">
                <wp:extent cx="5965825" cy="668655"/>
                <wp:effectExtent l="0" t="0" r="15875" b="17145"/>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5825" cy="668655"/>
                        </a:xfrm>
                        <a:prstGeom prst="rect">
                          <a:avLst/>
                        </a:prstGeom>
                        <a:ln w="9525">
                          <a:solidFill>
                            <a:srgbClr val="009649"/>
                          </a:solidFill>
                          <a:prstDash val="solid"/>
                        </a:ln>
                      </wps:spPr>
                      <wps:txbx>
                        <w:txbxContent>
                          <w:p w14:paraId="296F2BFE" w14:textId="77777777" w:rsidR="007372B2" w:rsidRDefault="007372B2">
                            <w:pPr>
                              <w:pStyle w:val="a3"/>
                            </w:pPr>
                          </w:p>
                          <w:p w14:paraId="28F77063" w14:textId="2BCF7DA7" w:rsidR="007372B2" w:rsidRPr="00027C07" w:rsidRDefault="007372B2" w:rsidP="00364C92">
                            <w:pPr>
                              <w:pStyle w:val="a3"/>
                              <w:spacing w:line="297" w:lineRule="auto"/>
                              <w:ind w:left="275" w:right="166"/>
                              <w:jc w:val="both"/>
                              <w:rPr>
                                <w:sz w:val="20"/>
                                <w:szCs w:val="20"/>
                                <w:lang w:val="ru-RU"/>
                              </w:rPr>
                            </w:pPr>
                            <w:bookmarkStart w:id="26" w:name="1.4._Scope_of_the_document"/>
                            <w:bookmarkStart w:id="27" w:name="1.5._Target_audience"/>
                            <w:bookmarkStart w:id="28" w:name="1.6._Scope_of_the_document"/>
                            <w:bookmarkStart w:id="29" w:name="1.7._Target_audience"/>
                            <w:bookmarkStart w:id="30" w:name="_bookmark12"/>
                            <w:bookmarkEnd w:id="26"/>
                            <w:bookmarkEnd w:id="27"/>
                            <w:bookmarkEnd w:id="28"/>
                            <w:bookmarkEnd w:id="29"/>
                            <w:bookmarkEnd w:id="30"/>
                            <w:r w:rsidRPr="00027C07">
                              <w:rPr>
                                <w:w w:val="105"/>
                                <w:sz w:val="20"/>
                                <w:szCs w:val="20"/>
                                <w:lang w:val="ru-RU"/>
                              </w:rPr>
                              <w:t xml:space="preserve">Перед </w:t>
                            </w:r>
                            <w:r w:rsidRPr="00027C07">
                              <w:rPr>
                                <w:w w:val="105"/>
                                <w:sz w:val="20"/>
                                <w:szCs w:val="20"/>
                                <w:lang w:val="ru-RU"/>
                              </w:rPr>
                              <w:t>впровадженням нових діагностичних тестів необхідно отримати схвалення від національних регуляторних органів або інших відповідних органів.</w:t>
                            </w:r>
                          </w:p>
                        </w:txbxContent>
                      </wps:txbx>
                      <wps:bodyPr wrap="square" lIns="0" tIns="0" rIns="0" bIns="0" rtlCol="0">
                        <a:noAutofit/>
                      </wps:bodyPr>
                    </wps:wsp>
                  </a:graphicData>
                </a:graphic>
              </wp:inline>
            </w:drawing>
          </mc:Choice>
          <mc:Fallback>
            <w:pict>
              <v:shape w14:anchorId="19281314" id="Textbox 163" o:spid="_x0000_s1073" type="#_x0000_t202" style="width:469.75pt;height:5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" filled="f" strokecolor="#009649">
                <v:path arrowok="t"/>
                <v:textbox inset="0,0,0,0">
                  <w:txbxContent>
                    <w:p w14:paraId="296F2BFE" w14:textId="77777777" w:rsidR="007372B2" w:rsidRDefault="007372B2">
                      <w:pPr>
                        <w:pStyle w:val="a3"/>
                      </w:pPr>
                    </w:p>
                    <w:p w14:paraId="28F77063" w14:textId="2BCF7DA7" w:rsidR="007372B2" w:rsidRPr="00027C07" w:rsidRDefault="007372B2" w:rsidP="00364C92">
                      <w:pPr>
                        <w:pStyle w:val="a3"/>
                        <w:spacing w:line="297" w:lineRule="auto"/>
                        <w:ind w:left="275" w:right="166"/>
                        <w:jc w:val="both"/>
                        <w:rPr>
                          <w:sz w:val="20"/>
                          <w:szCs w:val="20"/>
                          <w:lang w:val="ru-RU"/>
                        </w:rPr>
                      </w:pPr>
                      <w:bookmarkStart w:id="31" w:name="1.4._Scope_of_the_document"/>
                      <w:bookmarkStart w:id="32" w:name="1.5._Target_audience"/>
                      <w:bookmarkStart w:id="33" w:name="1.6._Scope_of_the_document"/>
                      <w:bookmarkStart w:id="34" w:name="1.7._Target_audience"/>
                      <w:bookmarkStart w:id="35" w:name="_bookmark12"/>
                      <w:bookmarkEnd w:id="31"/>
                      <w:bookmarkEnd w:id="32"/>
                      <w:bookmarkEnd w:id="33"/>
                      <w:bookmarkEnd w:id="34"/>
                      <w:bookmarkEnd w:id="35"/>
                      <w:r w:rsidRPr="00027C07">
                        <w:rPr>
                          <w:w w:val="105"/>
                          <w:sz w:val="20"/>
                          <w:szCs w:val="20"/>
                          <w:lang w:val="ru-RU"/>
                        </w:rPr>
                        <w:t xml:space="preserve">Перед </w:t>
                      </w:r>
                      <w:r w:rsidRPr="00027C07">
                        <w:rPr>
                          <w:w w:val="105"/>
                          <w:sz w:val="20"/>
                          <w:szCs w:val="20"/>
                          <w:lang w:val="ru-RU"/>
                        </w:rPr>
                        <w:t>впровадженням нових діагностичних тестів необхідно отримати схвалення від національних регуляторних органів або інших відповідних органів.</w:t>
                      </w:r>
                    </w:p>
                  </w:txbxContent>
                </v:textbox>
                <w10:anchorlock/>
              </v:shape>
            </w:pict>
          </mc:Fallback>
        </mc:AlternateContent>
      </w:r>
    </w:p>
    <w:p w14:paraId="16833DA7" w14:textId="47E8EE8B" w:rsidR="00E05B98" w:rsidRPr="003C6DAE" w:rsidRDefault="00364C92" w:rsidP="004A2937">
      <w:pPr>
        <w:pStyle w:val="2"/>
        <w:numPr>
          <w:ilvl w:val="1"/>
          <w:numId w:val="31"/>
        </w:numPr>
        <w:tabs>
          <w:tab w:val="left" w:pos="1308"/>
        </w:tabs>
        <w:spacing w:before="270" w:line="269" w:lineRule="auto"/>
        <w:ind w:left="1308" w:hanging="741"/>
        <w:rPr>
          <w:color w:val="019648"/>
          <w:sz w:val="36"/>
          <w:szCs w:val="36"/>
          <w:lang w:val="uk-UA"/>
        </w:rPr>
      </w:pPr>
      <w:r w:rsidRPr="003C6DAE">
        <w:rPr>
          <w:color w:val="019648"/>
          <w:sz w:val="36"/>
          <w:szCs w:val="36"/>
          <w:lang w:val="uk-UA"/>
        </w:rPr>
        <w:t>Сфера застосування документа</w:t>
      </w:r>
    </w:p>
    <w:p w14:paraId="43E0DAE7" w14:textId="527A1522" w:rsidR="00E05B98" w:rsidRPr="003C6DAE" w:rsidRDefault="00364C92" w:rsidP="000548D2">
      <w:pPr>
        <w:pStyle w:val="a3"/>
        <w:spacing w:before="197" w:line="269" w:lineRule="auto"/>
        <w:ind w:left="567" w:right="140"/>
        <w:jc w:val="both"/>
        <w:rPr>
          <w:sz w:val="20"/>
          <w:szCs w:val="20"/>
          <w:lang w:val="uk-UA"/>
        </w:rPr>
      </w:pPr>
      <w:r w:rsidRPr="003C6DAE">
        <w:rPr>
          <w:sz w:val="20"/>
          <w:szCs w:val="20"/>
          <w:lang w:val="uk-UA"/>
        </w:rPr>
        <w:t>У цьому документі наведено передумови, обґрунтування та рекомендації стосовно нових діагностичних інструментів для виявлення МБТК, наявності або відсутності мутацій у генах-мішенях, які, як доведено, пов'язані з резистентністю до протитуберкульозних препаратів та інфекцією ТБ.</w:t>
      </w:r>
    </w:p>
    <w:p w14:paraId="243AA257" w14:textId="77777777" w:rsidR="00E05B98" w:rsidRPr="003C6DAE" w:rsidRDefault="00E05B98" w:rsidP="000548D2">
      <w:pPr>
        <w:pStyle w:val="a3"/>
        <w:spacing w:before="25" w:line="269" w:lineRule="auto"/>
        <w:rPr>
          <w:lang w:val="uk-UA"/>
        </w:rPr>
      </w:pPr>
    </w:p>
    <w:p w14:paraId="7872B5F3" w14:textId="0600800F" w:rsidR="00E05B98" w:rsidRPr="003C6DAE" w:rsidRDefault="00364C92" w:rsidP="004A2937">
      <w:pPr>
        <w:pStyle w:val="2"/>
        <w:numPr>
          <w:ilvl w:val="1"/>
          <w:numId w:val="31"/>
        </w:numPr>
        <w:tabs>
          <w:tab w:val="left" w:pos="1298"/>
        </w:tabs>
        <w:spacing w:before="1" w:line="269" w:lineRule="auto"/>
        <w:ind w:left="1298" w:hanging="731"/>
        <w:rPr>
          <w:color w:val="019648"/>
          <w:sz w:val="36"/>
          <w:szCs w:val="36"/>
          <w:lang w:val="uk-UA"/>
        </w:rPr>
      </w:pPr>
      <w:r w:rsidRPr="003C6DAE">
        <w:rPr>
          <w:color w:val="019648"/>
          <w:spacing w:val="-2"/>
          <w:sz w:val="36"/>
          <w:szCs w:val="36"/>
          <w:lang w:val="uk-UA"/>
        </w:rPr>
        <w:t>Цільова авдиторія</w:t>
      </w:r>
    </w:p>
    <w:p w14:paraId="39715927" w14:textId="5C3AF88C" w:rsidR="00EF544E" w:rsidRPr="003C6DAE" w:rsidRDefault="00EF544E" w:rsidP="00EF544E">
      <w:pPr>
        <w:pStyle w:val="a3"/>
        <w:spacing w:before="174" w:line="269" w:lineRule="auto"/>
        <w:ind w:left="567" w:right="142"/>
        <w:jc w:val="both"/>
        <w:rPr>
          <w:sz w:val="20"/>
          <w:szCs w:val="20"/>
          <w:lang w:val="uk-UA"/>
        </w:rPr>
      </w:pPr>
      <w:r w:rsidRPr="003C6DAE">
        <w:rPr>
          <w:sz w:val="20"/>
          <w:szCs w:val="20"/>
          <w:lang w:val="uk-UA"/>
        </w:rPr>
        <w:t>Цільов</w:t>
      </w:r>
      <w:r w:rsidR="00F8697A">
        <w:rPr>
          <w:sz w:val="20"/>
          <w:szCs w:val="20"/>
          <w:lang w:val="uk-UA"/>
        </w:rPr>
        <w:t>а</w:t>
      </w:r>
      <w:r w:rsidRPr="003C6DAE">
        <w:rPr>
          <w:sz w:val="20"/>
          <w:szCs w:val="20"/>
          <w:lang w:val="uk-UA"/>
        </w:rPr>
        <w:t xml:space="preserve"> авдиторія цих настанов включає керівників лабораторій, клініцистів та інший медичний персонал, менеджерів програм з ВІЛ і ТБ, осіб, відповідальних за формування політики, технічні агентства, донорів і партнерів з реалізації, які підтримують використання тестів для діагностики ТБ </w:t>
      </w:r>
      <w:r w:rsidR="00F8697A">
        <w:rPr>
          <w:sz w:val="20"/>
          <w:szCs w:val="20"/>
          <w:lang w:val="uk-UA"/>
        </w:rPr>
        <w:t>у країнах з</w:t>
      </w:r>
      <w:r w:rsidRPr="003C6DAE">
        <w:rPr>
          <w:sz w:val="20"/>
          <w:szCs w:val="20"/>
          <w:lang w:val="uk-UA"/>
        </w:rPr>
        <w:t xml:space="preserve"> обмежени</w:t>
      </w:r>
      <w:r w:rsidR="00F8697A">
        <w:rPr>
          <w:sz w:val="20"/>
          <w:szCs w:val="20"/>
          <w:lang w:val="uk-UA"/>
        </w:rPr>
        <w:t>ми</w:t>
      </w:r>
      <w:r w:rsidRPr="003C6DAE">
        <w:rPr>
          <w:sz w:val="20"/>
          <w:szCs w:val="20"/>
          <w:lang w:val="uk-UA"/>
        </w:rPr>
        <w:t xml:space="preserve"> ресурс</w:t>
      </w:r>
      <w:r w:rsidR="00F8697A">
        <w:rPr>
          <w:sz w:val="20"/>
          <w:szCs w:val="20"/>
          <w:lang w:val="uk-UA"/>
        </w:rPr>
        <w:t>ами</w:t>
      </w:r>
      <w:r w:rsidRPr="003C6DAE">
        <w:rPr>
          <w:sz w:val="20"/>
          <w:szCs w:val="20"/>
          <w:lang w:val="uk-UA"/>
        </w:rPr>
        <w:t>.</w:t>
      </w:r>
    </w:p>
    <w:p w14:paraId="1C551878" w14:textId="4C76000A" w:rsidR="00E05B98" w:rsidRPr="003C6DAE" w:rsidRDefault="00EF544E" w:rsidP="00EF544E">
      <w:pPr>
        <w:pStyle w:val="a3"/>
        <w:spacing w:before="174" w:line="269" w:lineRule="auto"/>
        <w:ind w:left="567" w:right="142"/>
        <w:jc w:val="both"/>
        <w:rPr>
          <w:lang w:val="uk-UA"/>
        </w:rPr>
      </w:pPr>
      <w:r w:rsidRPr="003C6DAE">
        <w:rPr>
          <w:sz w:val="20"/>
          <w:szCs w:val="20"/>
          <w:lang w:val="uk-UA"/>
        </w:rPr>
        <w:t>Документ також може бути корисним для осіб, відповідальних за планування програм, бюджетування, мобілізацію ресурсів та проведення навчальних заходів з програмного лікування лікарсько-стійкого туберкульозу (ЛС-ТБ).</w:t>
      </w:r>
    </w:p>
    <w:p w14:paraId="07986A4C" w14:textId="77777777" w:rsidR="00E05B98" w:rsidRPr="003C6DAE" w:rsidRDefault="00E05B98" w:rsidP="000548D2">
      <w:pPr>
        <w:pStyle w:val="a3"/>
        <w:spacing w:before="30" w:line="269" w:lineRule="auto"/>
        <w:rPr>
          <w:lang w:val="uk-UA"/>
        </w:rPr>
      </w:pPr>
    </w:p>
    <w:p w14:paraId="7D3289A5" w14:textId="0E8B8914" w:rsidR="00E05B98" w:rsidRPr="003C6DAE" w:rsidRDefault="00EF544E" w:rsidP="004A2937">
      <w:pPr>
        <w:pStyle w:val="2"/>
        <w:numPr>
          <w:ilvl w:val="1"/>
          <w:numId w:val="31"/>
        </w:numPr>
        <w:tabs>
          <w:tab w:val="left" w:pos="1299"/>
        </w:tabs>
        <w:spacing w:before="1" w:line="269" w:lineRule="auto"/>
        <w:ind w:left="1299" w:hanging="732"/>
        <w:rPr>
          <w:color w:val="019648"/>
          <w:sz w:val="36"/>
          <w:szCs w:val="36"/>
          <w:lang w:val="uk-UA"/>
        </w:rPr>
      </w:pPr>
      <w:r w:rsidRPr="003C6DAE">
        <w:rPr>
          <w:color w:val="019648"/>
          <w:sz w:val="36"/>
          <w:szCs w:val="36"/>
          <w:lang w:val="uk-UA"/>
        </w:rPr>
        <w:t>Сфера застосування документа</w:t>
      </w:r>
    </w:p>
    <w:p w14:paraId="16D78D4F" w14:textId="39039540" w:rsidR="00E05B98" w:rsidRPr="003C6DAE" w:rsidRDefault="00EF544E" w:rsidP="000548D2">
      <w:pPr>
        <w:pStyle w:val="a3"/>
        <w:spacing w:before="196" w:line="269" w:lineRule="auto"/>
        <w:ind w:left="567" w:right="139"/>
        <w:jc w:val="both"/>
        <w:rPr>
          <w:sz w:val="20"/>
          <w:szCs w:val="20"/>
          <w:lang w:val="uk-UA"/>
        </w:rPr>
      </w:pPr>
      <w:r w:rsidRPr="003C6DAE">
        <w:rPr>
          <w:sz w:val="20"/>
          <w:szCs w:val="20"/>
          <w:lang w:val="uk-UA"/>
        </w:rPr>
        <w:t>У цьому документі наведено передумови, обґрунтування та рекомендації щодо нових діагностичних інструментів для виявлення MБТК, наявності або відсутності мутацій у генах-мішенях, які, як доведено, пов’язані зі стійкістю до протитуберкульозних препаратів та інфекцією туберкульозу.</w:t>
      </w:r>
    </w:p>
    <w:p w14:paraId="6654C7AB" w14:textId="77777777" w:rsidR="00E05B98" w:rsidRPr="003C6DAE" w:rsidRDefault="00E05B98" w:rsidP="000548D2">
      <w:pPr>
        <w:pStyle w:val="a3"/>
        <w:spacing w:before="31" w:line="269" w:lineRule="auto"/>
        <w:rPr>
          <w:lang w:val="uk-UA"/>
        </w:rPr>
      </w:pPr>
    </w:p>
    <w:p w14:paraId="5D7CDF42" w14:textId="239B843E" w:rsidR="00E05B98" w:rsidRPr="003C6DAE" w:rsidRDefault="00F8697A" w:rsidP="004A2937">
      <w:pPr>
        <w:pStyle w:val="2"/>
        <w:numPr>
          <w:ilvl w:val="1"/>
          <w:numId w:val="31"/>
        </w:numPr>
        <w:tabs>
          <w:tab w:val="left" w:pos="1253"/>
        </w:tabs>
        <w:spacing w:line="269" w:lineRule="auto"/>
        <w:ind w:left="1253" w:hanging="686"/>
        <w:rPr>
          <w:color w:val="019648"/>
          <w:sz w:val="36"/>
          <w:szCs w:val="36"/>
          <w:lang w:val="uk-UA"/>
        </w:rPr>
      </w:pPr>
      <w:r w:rsidRPr="003C6DAE">
        <w:rPr>
          <w:color w:val="019648"/>
          <w:spacing w:val="-2"/>
          <w:sz w:val="36"/>
          <w:szCs w:val="36"/>
          <w:lang w:val="uk-UA"/>
        </w:rPr>
        <w:t>Цільова авдиторія</w:t>
      </w:r>
    </w:p>
    <w:p w14:paraId="05482369" w14:textId="7ABF33F7" w:rsidR="00EF544E" w:rsidRPr="003C6DAE" w:rsidRDefault="00EF544E" w:rsidP="00EF544E">
      <w:pPr>
        <w:pStyle w:val="a3"/>
        <w:spacing w:before="173" w:line="269" w:lineRule="auto"/>
        <w:ind w:left="567" w:right="130"/>
        <w:jc w:val="both"/>
        <w:rPr>
          <w:lang w:val="uk-UA"/>
        </w:rPr>
      </w:pPr>
      <w:r w:rsidRPr="003C6DAE">
        <w:rPr>
          <w:lang w:val="uk-UA"/>
        </w:rPr>
        <w:t>Цільова а</w:t>
      </w:r>
      <w:r w:rsidR="00F8697A">
        <w:rPr>
          <w:lang w:val="uk-UA"/>
        </w:rPr>
        <w:t>в</w:t>
      </w:r>
      <w:r w:rsidRPr="003C6DAE">
        <w:rPr>
          <w:lang w:val="uk-UA"/>
        </w:rPr>
        <w:t>диторія цих настанов включає керівників лабораторій, клініцистів та інший медичний персонал, керівників програм з ВІЛ і ТБ, осіб з формування політики, технічні агентства, донорів і партнерів з реалізації, які підтримують використання діагностики туберкульозу в умовах обмежених ресурсів.</w:t>
      </w:r>
    </w:p>
    <w:p w14:paraId="4E49FFA5" w14:textId="3B832F2A" w:rsidR="00E05B98" w:rsidRPr="003C6DAE" w:rsidRDefault="00EF544E" w:rsidP="00EF544E">
      <w:pPr>
        <w:pStyle w:val="a3"/>
        <w:spacing w:before="173" w:line="269" w:lineRule="auto"/>
        <w:ind w:left="567" w:right="130"/>
        <w:jc w:val="both"/>
        <w:rPr>
          <w:lang w:val="uk-UA"/>
        </w:rPr>
      </w:pPr>
      <w:r w:rsidRPr="003C6DAE">
        <w:rPr>
          <w:lang w:val="uk-UA"/>
        </w:rPr>
        <w:t>Особи, відповідальні за програмне планування, складання бюджету, мобілізацію ресурсів і проведення навчальних заходів для програмного лікування лікарсько-стійкого туберкульозу, також можуть вважати цей документ корисним.</w:t>
      </w:r>
    </w:p>
    <w:p w14:paraId="07E13B94" w14:textId="77777777" w:rsidR="00E05B98" w:rsidRPr="003C6DAE" w:rsidRDefault="00E05B98" w:rsidP="000548D2">
      <w:pPr>
        <w:pStyle w:val="a3"/>
        <w:spacing w:line="269" w:lineRule="auto"/>
        <w:jc w:val="both"/>
        <w:rPr>
          <w:lang w:val="uk-UA"/>
        </w:rPr>
        <w:sectPr w:rsidR="00E05B98" w:rsidRPr="003C6DAE" w:rsidSect="000548D2">
          <w:pgSz w:w="11910" w:h="16840"/>
          <w:pgMar w:top="1400" w:right="853" w:bottom="760" w:left="850" w:header="0" w:footer="573" w:gutter="0"/>
          <w:cols w:space="720"/>
        </w:sectPr>
      </w:pPr>
    </w:p>
    <w:p w14:paraId="66B7600D" w14:textId="77777777" w:rsidR="00E05B98" w:rsidRPr="003C6DAE" w:rsidRDefault="00E05B98" w:rsidP="000548D2">
      <w:pPr>
        <w:pStyle w:val="a3"/>
        <w:spacing w:before="7" w:line="269" w:lineRule="auto"/>
        <w:rPr>
          <w:sz w:val="17"/>
          <w:lang w:val="uk-UA"/>
        </w:rPr>
      </w:pPr>
    </w:p>
    <w:p w14:paraId="23ECB0E9" w14:textId="77777777" w:rsidR="00E05B98" w:rsidRPr="003C6DAE" w:rsidRDefault="00E05B98" w:rsidP="000548D2">
      <w:pPr>
        <w:pStyle w:val="a3"/>
        <w:spacing w:line="269" w:lineRule="auto"/>
        <w:rPr>
          <w:sz w:val="17"/>
          <w:lang w:val="uk-UA"/>
        </w:rPr>
        <w:sectPr w:rsidR="00E05B98" w:rsidRPr="003C6DAE" w:rsidSect="000548D2">
          <w:footerReference w:type="even" r:id="rId42"/>
          <w:pgSz w:w="11910" w:h="16840"/>
          <w:pgMar w:top="1920" w:right="853" w:bottom="280" w:left="850" w:header="0" w:footer="0" w:gutter="0"/>
          <w:cols w:space="720"/>
        </w:sectPr>
      </w:pPr>
    </w:p>
    <w:p w14:paraId="4A4B9A7C" w14:textId="77777777" w:rsidR="00E05B98" w:rsidRPr="003C6DAE" w:rsidRDefault="00B01E0C" w:rsidP="000548D2">
      <w:pPr>
        <w:pStyle w:val="a3"/>
        <w:spacing w:line="269" w:lineRule="auto"/>
        <w:rPr>
          <w:sz w:val="64"/>
          <w:lang w:val="uk-UA"/>
        </w:rPr>
      </w:pPr>
      <w:r w:rsidRPr="003C6DAE">
        <w:rPr>
          <w:noProof/>
          <w:sz w:val="64"/>
          <w:lang w:val="uk-UA"/>
        </w:rPr>
        <w:lastRenderedPageBreak/>
        <w:drawing>
          <wp:anchor distT="0" distB="0" distL="0" distR="0" simplePos="0" relativeHeight="481411584" behindDoc="1" locked="0" layoutInCell="1" allowOverlap="1" wp14:anchorId="46C42B56" wp14:editId="6400B7B5">
            <wp:simplePos x="0" y="0"/>
            <wp:positionH relativeFrom="page">
              <wp:posOffset>1365</wp:posOffset>
            </wp:positionH>
            <wp:positionV relativeFrom="page">
              <wp:posOffset>0</wp:posOffset>
            </wp:positionV>
            <wp:extent cx="7558640" cy="1470902"/>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31" cstate="print"/>
                    <a:stretch>
                      <a:fillRect/>
                    </a:stretch>
                  </pic:blipFill>
                  <pic:spPr>
                    <a:xfrm>
                      <a:off x="0" y="0"/>
                      <a:ext cx="7558640" cy="1470902"/>
                    </a:xfrm>
                    <a:prstGeom prst="rect">
                      <a:avLst/>
                    </a:prstGeom>
                  </pic:spPr>
                </pic:pic>
              </a:graphicData>
            </a:graphic>
          </wp:anchor>
        </w:drawing>
      </w:r>
    </w:p>
    <w:p w14:paraId="51725798" w14:textId="77777777" w:rsidR="00E05B98" w:rsidRPr="003C6DAE" w:rsidRDefault="00E05B98" w:rsidP="000548D2">
      <w:pPr>
        <w:pStyle w:val="a3"/>
        <w:spacing w:line="269" w:lineRule="auto"/>
        <w:rPr>
          <w:sz w:val="64"/>
          <w:lang w:val="uk-UA"/>
        </w:rPr>
      </w:pPr>
    </w:p>
    <w:p w14:paraId="2A97462D" w14:textId="77777777" w:rsidR="00E05B98" w:rsidRPr="003C6DAE" w:rsidRDefault="00E05B98" w:rsidP="000548D2">
      <w:pPr>
        <w:pStyle w:val="a3"/>
        <w:spacing w:before="55" w:line="269" w:lineRule="auto"/>
        <w:rPr>
          <w:sz w:val="64"/>
          <w:lang w:val="uk-UA"/>
        </w:rPr>
      </w:pPr>
    </w:p>
    <w:p w14:paraId="086BEBAA" w14:textId="7AD5F511" w:rsidR="00E05B98" w:rsidRPr="003C6DAE" w:rsidRDefault="006418EC" w:rsidP="004A2937">
      <w:pPr>
        <w:pStyle w:val="1"/>
        <w:numPr>
          <w:ilvl w:val="0"/>
          <w:numId w:val="31"/>
        </w:numPr>
        <w:tabs>
          <w:tab w:val="left" w:pos="1237"/>
        </w:tabs>
        <w:spacing w:line="269" w:lineRule="auto"/>
        <w:ind w:left="567" w:right="284" w:firstLine="0"/>
        <w:rPr>
          <w:sz w:val="56"/>
          <w:szCs w:val="56"/>
          <w:lang w:val="uk-UA"/>
        </w:rPr>
      </w:pPr>
      <w:bookmarkStart w:id="36" w:name="2._Recommendations_for_diagnosis_of_TB_d"/>
      <w:bookmarkStart w:id="37" w:name="2.1._Initial_diagnostic_tests_for_diagno"/>
      <w:bookmarkStart w:id="38" w:name="2.1.1_LC-aNAATs_for_detection_of_TB_and_"/>
      <w:bookmarkStart w:id="39" w:name="_bookmark13"/>
      <w:bookmarkEnd w:id="36"/>
      <w:bookmarkEnd w:id="37"/>
      <w:bookmarkEnd w:id="38"/>
      <w:bookmarkEnd w:id="39"/>
      <w:r w:rsidRPr="003C6DAE">
        <w:rPr>
          <w:color w:val="019648"/>
          <w:sz w:val="56"/>
          <w:szCs w:val="56"/>
          <w:lang w:val="uk-UA"/>
        </w:rPr>
        <w:t>Рекомендації з діагностики захворювання на туберкульоз</w:t>
      </w:r>
    </w:p>
    <w:p w14:paraId="2F3C9EE4" w14:textId="77777777" w:rsidR="00E05B98" w:rsidRPr="003C6DAE" w:rsidRDefault="00E05B98" w:rsidP="000548D2">
      <w:pPr>
        <w:pStyle w:val="a3"/>
        <w:spacing w:before="111" w:line="269" w:lineRule="auto"/>
        <w:rPr>
          <w:sz w:val="64"/>
          <w:lang w:val="uk-UA"/>
        </w:rPr>
      </w:pPr>
    </w:p>
    <w:p w14:paraId="43A86B44" w14:textId="2C816593" w:rsidR="00E05B98" w:rsidRPr="003C6DAE" w:rsidRDefault="008A2EFE" w:rsidP="004A2937">
      <w:pPr>
        <w:pStyle w:val="3"/>
        <w:numPr>
          <w:ilvl w:val="1"/>
          <w:numId w:val="31"/>
        </w:numPr>
        <w:tabs>
          <w:tab w:val="left" w:pos="1252"/>
        </w:tabs>
        <w:spacing w:line="269" w:lineRule="auto"/>
        <w:ind w:left="1276" w:right="376" w:hanging="851"/>
        <w:rPr>
          <w:color w:val="019648"/>
          <w:sz w:val="36"/>
          <w:szCs w:val="36"/>
          <w:lang w:val="uk-UA"/>
        </w:rPr>
      </w:pPr>
      <w:r>
        <w:rPr>
          <w:color w:val="019648"/>
          <w:spacing w:val="-4"/>
          <w:w w:val="110"/>
          <w:sz w:val="36"/>
          <w:szCs w:val="36"/>
          <w:lang w:val="uk-UA"/>
        </w:rPr>
        <w:t>Т</w:t>
      </w:r>
      <w:r w:rsidR="006418EC" w:rsidRPr="003C6DAE">
        <w:rPr>
          <w:color w:val="019648"/>
          <w:spacing w:val="-4"/>
          <w:w w:val="110"/>
          <w:sz w:val="36"/>
          <w:szCs w:val="36"/>
          <w:lang w:val="uk-UA"/>
        </w:rPr>
        <w:t xml:space="preserve">ести для </w:t>
      </w:r>
      <w:r w:rsidR="00E30129">
        <w:rPr>
          <w:color w:val="019648"/>
          <w:spacing w:val="-4"/>
          <w:w w:val="110"/>
          <w:sz w:val="36"/>
          <w:szCs w:val="36"/>
          <w:lang w:val="uk-UA"/>
        </w:rPr>
        <w:t xml:space="preserve">первинної </w:t>
      </w:r>
      <w:r w:rsidR="006418EC" w:rsidRPr="003C6DAE">
        <w:rPr>
          <w:color w:val="019648"/>
          <w:spacing w:val="-4"/>
          <w:w w:val="110"/>
          <w:sz w:val="36"/>
          <w:szCs w:val="36"/>
          <w:lang w:val="uk-UA"/>
        </w:rPr>
        <w:t>діагностики ТБ з виявленням стійкості</w:t>
      </w:r>
      <w:r w:rsidR="00A3261D">
        <w:rPr>
          <w:color w:val="019648"/>
          <w:spacing w:val="-4"/>
          <w:w w:val="110"/>
          <w:sz w:val="36"/>
          <w:szCs w:val="36"/>
          <w:lang w:val="uk-UA"/>
        </w:rPr>
        <w:t xml:space="preserve"> до </w:t>
      </w:r>
      <w:proofErr w:type="spellStart"/>
      <w:r w:rsidR="00A3261D">
        <w:rPr>
          <w:color w:val="019648"/>
          <w:spacing w:val="-4"/>
          <w:w w:val="110"/>
          <w:sz w:val="36"/>
          <w:szCs w:val="36"/>
          <w:lang w:val="uk-UA"/>
        </w:rPr>
        <w:t>лікарьских</w:t>
      </w:r>
      <w:proofErr w:type="spellEnd"/>
      <w:r w:rsidR="00A3261D">
        <w:rPr>
          <w:color w:val="019648"/>
          <w:spacing w:val="-4"/>
          <w:w w:val="110"/>
          <w:sz w:val="36"/>
          <w:szCs w:val="36"/>
          <w:lang w:val="uk-UA"/>
        </w:rPr>
        <w:t xml:space="preserve"> засобів</w:t>
      </w:r>
    </w:p>
    <w:p w14:paraId="2F27F2C2" w14:textId="7B228B6B" w:rsidR="00E05B98" w:rsidRPr="003C6DAE" w:rsidRDefault="00B01E0C" w:rsidP="004A2937">
      <w:pPr>
        <w:pStyle w:val="5"/>
        <w:numPr>
          <w:ilvl w:val="2"/>
          <w:numId w:val="31"/>
        </w:numPr>
        <w:tabs>
          <w:tab w:val="left" w:pos="1214"/>
        </w:tabs>
        <w:spacing w:before="199" w:line="269" w:lineRule="auto"/>
        <w:ind w:right="2320" w:firstLine="0"/>
        <w:rPr>
          <w:color w:val="019648"/>
          <w:lang w:val="uk-UA"/>
        </w:rPr>
      </w:pPr>
      <w:r w:rsidRPr="003C6DAE">
        <w:rPr>
          <w:noProof/>
          <w:lang w:val="uk-UA"/>
        </w:rPr>
        <mc:AlternateContent>
          <mc:Choice Requires="wpg">
            <w:drawing>
              <wp:anchor distT="0" distB="0" distL="0" distR="0" simplePos="0" relativeHeight="15786496" behindDoc="0" locked="0" layoutInCell="1" allowOverlap="1" wp14:anchorId="3C427A10" wp14:editId="679BE45F">
                <wp:simplePos x="0" y="0"/>
                <wp:positionH relativeFrom="page">
                  <wp:posOffset>6144458</wp:posOffset>
                </wp:positionH>
                <wp:positionV relativeFrom="paragraph">
                  <wp:posOffset>176825</wp:posOffset>
                </wp:positionV>
                <wp:extent cx="515620" cy="24574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620" cy="245745"/>
                          <a:chOff x="0" y="0"/>
                          <a:chExt cx="515620" cy="245745"/>
                        </a:xfrm>
                      </wpg:grpSpPr>
                      <wps:wsp>
                        <wps:cNvPr id="169" name="Graphic 169"/>
                        <wps:cNvSpPr/>
                        <wps:spPr>
                          <a:xfrm>
                            <a:off x="0" y="0"/>
                            <a:ext cx="515620" cy="245745"/>
                          </a:xfrm>
                          <a:custGeom>
                            <a:avLst/>
                            <a:gdLst/>
                            <a:ahLst/>
                            <a:cxnLst/>
                            <a:rect l="l" t="t" r="r" b="b"/>
                            <a:pathLst>
                              <a:path w="515620" h="245745">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a:prstTxWarp prst="textNoShape">
                            <a:avLst/>
                          </a:prstTxWarp>
                          <a:noAutofit/>
                        </wps:bodyPr>
                      </wps:wsp>
                      <wps:wsp>
                        <wps:cNvPr id="170" name="Textbox 170"/>
                        <wps:cNvSpPr txBox="1"/>
                        <wps:spPr>
                          <a:xfrm>
                            <a:off x="0" y="0"/>
                            <a:ext cx="515620" cy="245745"/>
                          </a:xfrm>
                          <a:prstGeom prst="rect">
                            <a:avLst/>
                          </a:prstGeom>
                        </wps:spPr>
                        <wps:txbx>
                          <w:txbxContent>
                            <w:p w14:paraId="77481DB9" w14:textId="7BE8D732" w:rsidR="007372B2" w:rsidRPr="006418EC" w:rsidRDefault="007372B2">
                              <w:pPr>
                                <w:spacing w:before="89"/>
                                <w:ind w:left="169"/>
                                <w:rPr>
                                  <w:sz w:val="20"/>
                                  <w:lang w:val="uk-UA"/>
                                </w:rPr>
                              </w:pPr>
                              <w:r>
                                <w:rPr>
                                  <w:color w:val="FFFFFF"/>
                                  <w:spacing w:val="-5"/>
                                  <w:sz w:val="20"/>
                                  <w:lang w:val="uk-UA"/>
                                </w:rPr>
                                <w:t>НОВА</w:t>
                              </w:r>
                            </w:p>
                          </w:txbxContent>
                        </wps:txbx>
                        <wps:bodyPr wrap="square" lIns="0" tIns="0" rIns="0" bIns="0" rtlCol="0">
                          <a:noAutofit/>
                        </wps:bodyPr>
                      </wps:wsp>
                    </wpg:wgp>
                  </a:graphicData>
                </a:graphic>
              </wp:anchor>
            </w:drawing>
          </mc:Choice>
          <mc:Fallback>
            <w:pict>
              <v:group w14:anchorId="3C427A10" id="Group 168" o:spid="_x0000_s1074" style="position:absolute;left:0;text-align:left;margin-left:483.8pt;margin-top:13.9pt;width:40.6pt;height:19.35pt;z-index:15786496;mso-wrap-distance-left:0;mso-wrap-distance-right:0;mso-position-horizontal-relative:page;mso-position-vertical-relative:text" coordsize="51562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">
                <v:shape id="Graphic 169" o:spid="_x0000_s1075" style="position:absolute;width:515620;height:245745;visibility:visible;mso-wrap-style:square;v-text-anchor:top" coordsize="51562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" path="m515543,l,,,122796r9650,47797l35966,209626r39032,26316l122796,245592r269951,l440545,235942r39032,-26316l505893,170593r9650,-47797l515543,xe" fillcolor="#0c8140" stroked="f">
                  <v:path arrowok="t"/>
                </v:shape>
                <v:shape id="Textbox 170" o:spid="_x0000_s1076" type="#_x0000_t202" style="position:absolute;width:515620;height:245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77481DB9" w14:textId="7BE8D732" w:rsidR="007372B2" w:rsidRPr="006418EC" w:rsidRDefault="007372B2">
                        <w:pPr>
                          <w:spacing w:before="89"/>
                          <w:ind w:left="169"/>
                          <w:rPr>
                            <w:sz w:val="20"/>
                            <w:lang w:val="uk-UA"/>
                          </w:rPr>
                        </w:pPr>
                        <w:r>
                          <w:rPr>
                            <w:color w:val="FFFFFF"/>
                            <w:spacing w:val="-5"/>
                            <w:sz w:val="20"/>
                            <w:lang w:val="uk-UA"/>
                          </w:rPr>
                          <w:t>НОВА</w:t>
                        </w:r>
                      </w:p>
                    </w:txbxContent>
                  </v:textbox>
                </v:shape>
                <w10:wrap anchorx="page"/>
              </v:group>
            </w:pict>
          </mc:Fallback>
        </mc:AlternateContent>
      </w:r>
      <w:r w:rsidR="006418EC" w:rsidRPr="003C6DAE">
        <w:rPr>
          <w:lang w:val="uk-UA"/>
        </w:rPr>
        <w:t xml:space="preserve"> </w:t>
      </w:r>
      <w:r w:rsidR="006418EC" w:rsidRPr="003C6DAE">
        <w:rPr>
          <w:color w:val="019648"/>
          <w:lang w:val="uk-UA"/>
        </w:rPr>
        <w:t>аТАНК-НС для виявлення ТБ та стійкості до рифампіцину</w:t>
      </w:r>
    </w:p>
    <w:p w14:paraId="2A98DB43" w14:textId="54A6FC91" w:rsidR="00E05B98" w:rsidRPr="003C6DAE" w:rsidRDefault="006418EC" w:rsidP="000548D2">
      <w:pPr>
        <w:pStyle w:val="a3"/>
        <w:spacing w:before="200" w:line="269" w:lineRule="auto"/>
        <w:ind w:left="567" w:right="133"/>
        <w:jc w:val="both"/>
        <w:rPr>
          <w:sz w:val="20"/>
          <w:szCs w:val="20"/>
          <w:lang w:val="uk-UA"/>
        </w:rPr>
      </w:pPr>
      <w:r w:rsidRPr="003C6DAE">
        <w:rPr>
          <w:spacing w:val="-4"/>
          <w:sz w:val="20"/>
          <w:szCs w:val="20"/>
          <w:lang w:val="uk-UA"/>
        </w:rPr>
        <w:t>Швидке виявлення ТБ та стійкості до рифампіцину є критично важливим пріоритетом на глобальному рівні. Понад десять років тому перша рекомендація щодо молекулярного тестування для діагностики ТБ та виявлення стійкості до рифампіцину суттєво змінила ландшафт діагностики туберкульозу. Ці технології довели свою високу точність порівняно з мікроскопією мазка і дозволяють швидко виявляти стійкість до рифампіцину.</w:t>
      </w:r>
      <w:r w:rsidR="00B01E0C" w:rsidRPr="003C6DAE">
        <w:rPr>
          <w:sz w:val="20"/>
          <w:szCs w:val="20"/>
          <w:lang w:val="uk-UA"/>
        </w:rPr>
        <w:t xml:space="preserve"> </w:t>
      </w:r>
      <w:r w:rsidR="004A00D2" w:rsidRPr="003C6DAE">
        <w:rPr>
          <w:sz w:val="20"/>
          <w:szCs w:val="20"/>
          <w:lang w:val="uk-UA"/>
        </w:rPr>
        <w:t xml:space="preserve">Вони не потребують висококваліфікованих фахівців або спеціальної інфраструктури лабораторії </w:t>
      </w:r>
      <w:r w:rsidR="00F8697A">
        <w:rPr>
          <w:sz w:val="20"/>
          <w:szCs w:val="20"/>
          <w:lang w:val="uk-UA"/>
        </w:rPr>
        <w:t xml:space="preserve">з молекулярних досліджень </w:t>
      </w:r>
      <w:r w:rsidR="004A00D2" w:rsidRPr="003C6DAE">
        <w:rPr>
          <w:sz w:val="20"/>
          <w:szCs w:val="20"/>
          <w:lang w:val="uk-UA"/>
        </w:rPr>
        <w:t xml:space="preserve">для проведення тестування. Крім того, </w:t>
      </w:r>
      <w:r w:rsidR="00F8697A">
        <w:rPr>
          <w:sz w:val="20"/>
          <w:szCs w:val="20"/>
          <w:lang w:val="uk-UA"/>
        </w:rPr>
        <w:t>дані тести</w:t>
      </w:r>
      <w:r w:rsidR="004A00D2" w:rsidRPr="003C6DAE">
        <w:rPr>
          <w:sz w:val="20"/>
          <w:szCs w:val="20"/>
          <w:lang w:val="uk-UA"/>
        </w:rPr>
        <w:t xml:space="preserve"> значною мірою автоматизовані після завантаження зразка і аж до формування остаточного звіту. Такі особливості роблять цей клас автоматизованих тестів низької складності привабливим для використання в країнах з низьким і середнім рівнем доходу (</w:t>
      </w:r>
      <w:r w:rsidR="00F8697A">
        <w:rPr>
          <w:sz w:val="20"/>
          <w:szCs w:val="20"/>
          <w:lang w:val="uk-UA"/>
        </w:rPr>
        <w:t>КНСРД</w:t>
      </w:r>
      <w:r w:rsidR="004A00D2" w:rsidRPr="003C6DAE">
        <w:rPr>
          <w:sz w:val="20"/>
          <w:szCs w:val="20"/>
          <w:lang w:val="uk-UA"/>
        </w:rPr>
        <w:t>).</w:t>
      </w:r>
    </w:p>
    <w:p w14:paraId="45206A90" w14:textId="285BF35F" w:rsidR="00E05B98" w:rsidRPr="003C6DAE" w:rsidRDefault="002E4FF1" w:rsidP="000548D2">
      <w:pPr>
        <w:pStyle w:val="a3"/>
        <w:spacing w:before="180" w:line="269" w:lineRule="auto"/>
        <w:ind w:left="567" w:right="135"/>
        <w:jc w:val="both"/>
        <w:rPr>
          <w:sz w:val="20"/>
          <w:szCs w:val="20"/>
          <w:lang w:val="uk-UA"/>
        </w:rPr>
      </w:pPr>
      <w:r w:rsidRPr="003C6DAE">
        <w:rPr>
          <w:sz w:val="20"/>
          <w:szCs w:val="20"/>
          <w:lang w:val="uk-UA"/>
        </w:rPr>
        <w:t xml:space="preserve">Рівень використання цих технологій сповільнився через бар'єри, пов'язані з витратами, ланцюгом постачання, технічним обслуговуванням обладнання та </w:t>
      </w:r>
      <w:r w:rsidR="00F8697A">
        <w:rPr>
          <w:sz w:val="20"/>
          <w:szCs w:val="20"/>
          <w:lang w:val="uk-UA"/>
        </w:rPr>
        <w:t xml:space="preserve">наданням </w:t>
      </w:r>
      <w:r w:rsidRPr="003C6DAE">
        <w:rPr>
          <w:sz w:val="20"/>
          <w:szCs w:val="20"/>
          <w:lang w:val="uk-UA"/>
        </w:rPr>
        <w:t>технічно</w:t>
      </w:r>
      <w:r w:rsidR="00F8697A">
        <w:rPr>
          <w:sz w:val="20"/>
          <w:szCs w:val="20"/>
          <w:lang w:val="uk-UA"/>
        </w:rPr>
        <w:t>ї</w:t>
      </w:r>
      <w:r w:rsidRPr="003C6DAE">
        <w:rPr>
          <w:sz w:val="20"/>
          <w:szCs w:val="20"/>
          <w:lang w:val="uk-UA"/>
        </w:rPr>
        <w:t xml:space="preserve"> підтримк</w:t>
      </w:r>
      <w:r w:rsidR="00F8697A">
        <w:rPr>
          <w:sz w:val="20"/>
          <w:szCs w:val="20"/>
          <w:lang w:val="uk-UA"/>
        </w:rPr>
        <w:t>и</w:t>
      </w:r>
      <w:r w:rsidRPr="003C6DAE">
        <w:rPr>
          <w:sz w:val="20"/>
          <w:szCs w:val="20"/>
          <w:lang w:val="uk-UA"/>
        </w:rPr>
        <w:t xml:space="preserve">. Відсутність здорового конкурентного середовища також є фактором, який сприяв цьому. Програма попередньої кваліфікації ВООЗ (PQ) для діагностики ТБ </w:t>
      </w:r>
      <w:r w:rsidRPr="00F8697A">
        <w:rPr>
          <w:i/>
          <w:iCs/>
          <w:sz w:val="20"/>
          <w:szCs w:val="20"/>
          <w:lang w:val="uk-UA"/>
        </w:rPr>
        <w:t>in vitro</w:t>
      </w:r>
      <w:r w:rsidRPr="003C6DAE">
        <w:rPr>
          <w:sz w:val="20"/>
          <w:szCs w:val="20"/>
          <w:lang w:val="uk-UA"/>
        </w:rPr>
        <w:t xml:space="preserve"> (IVD) відкрила шлях, який дозволить вивести на ринок більше продуктів  та забезпечити якість. Поточні настанови полегшили процес шляхом введення рекомендацій на основі класів ТАНК низької складності. </w:t>
      </w:r>
      <w:r w:rsidR="002E6852">
        <w:rPr>
          <w:sz w:val="20"/>
          <w:szCs w:val="20"/>
          <w:lang w:val="uk-UA"/>
        </w:rPr>
        <w:t>Інформацію п</w:t>
      </w:r>
      <w:r w:rsidRPr="003C6DAE">
        <w:rPr>
          <w:sz w:val="20"/>
          <w:szCs w:val="20"/>
          <w:lang w:val="uk-UA"/>
        </w:rPr>
        <w:t xml:space="preserve">ро хід оцінки попередньої кваліфікації  ВООЗ для всіх ТАНК низької складності </w:t>
      </w:r>
      <w:r w:rsidR="002E6852">
        <w:rPr>
          <w:sz w:val="20"/>
          <w:szCs w:val="20"/>
          <w:lang w:val="uk-UA"/>
        </w:rPr>
        <w:t>представлено</w:t>
      </w:r>
      <w:r w:rsidRPr="003C6DAE">
        <w:rPr>
          <w:sz w:val="20"/>
          <w:szCs w:val="20"/>
          <w:lang w:val="uk-UA"/>
        </w:rPr>
        <w:t xml:space="preserve"> на веб-сайті ВООЗ стосовно попередньої кваліфікації</w:t>
      </w:r>
      <w:r w:rsidR="00B01E0C" w:rsidRPr="003C6DAE">
        <w:rPr>
          <w:sz w:val="20"/>
          <w:szCs w:val="20"/>
          <w:lang w:val="uk-UA"/>
        </w:rPr>
        <w:t>.</w:t>
      </w:r>
      <w:r w:rsidR="00B01E0C" w:rsidRPr="003C6DAE">
        <w:rPr>
          <w:sz w:val="20"/>
          <w:szCs w:val="20"/>
          <w:vertAlign w:val="superscript"/>
          <w:lang w:val="uk-UA"/>
        </w:rPr>
        <w:t>4</w:t>
      </w:r>
    </w:p>
    <w:p w14:paraId="07A4EC42" w14:textId="77777777" w:rsidR="00E05B98" w:rsidRPr="003C6DAE" w:rsidRDefault="00E05B98">
      <w:pPr>
        <w:pStyle w:val="a3"/>
        <w:rPr>
          <w:sz w:val="20"/>
          <w:szCs w:val="20"/>
          <w:lang w:val="uk-UA"/>
        </w:rPr>
      </w:pPr>
    </w:p>
    <w:p w14:paraId="5D086090" w14:textId="77777777" w:rsidR="00E05B98" w:rsidRPr="003C6DAE" w:rsidRDefault="00E05B98">
      <w:pPr>
        <w:pStyle w:val="a3"/>
        <w:rPr>
          <w:sz w:val="20"/>
          <w:lang w:val="uk-UA"/>
        </w:rPr>
      </w:pPr>
    </w:p>
    <w:p w14:paraId="256D642F" w14:textId="77777777" w:rsidR="00E05B98" w:rsidRPr="003C6DAE" w:rsidRDefault="00E05B98">
      <w:pPr>
        <w:pStyle w:val="a3"/>
        <w:rPr>
          <w:sz w:val="20"/>
          <w:lang w:val="uk-UA"/>
        </w:rPr>
      </w:pPr>
    </w:p>
    <w:p w14:paraId="70A919D1" w14:textId="77777777" w:rsidR="00E05B98" w:rsidRPr="003C6DAE" w:rsidRDefault="00E05B98">
      <w:pPr>
        <w:pStyle w:val="a3"/>
        <w:rPr>
          <w:sz w:val="20"/>
          <w:lang w:val="uk-UA"/>
        </w:rPr>
      </w:pPr>
    </w:p>
    <w:p w14:paraId="2250505A" w14:textId="77777777" w:rsidR="00E05B98" w:rsidRPr="003C6DAE" w:rsidRDefault="00E05B98">
      <w:pPr>
        <w:pStyle w:val="a3"/>
        <w:rPr>
          <w:sz w:val="20"/>
          <w:lang w:val="uk-UA"/>
        </w:rPr>
      </w:pPr>
    </w:p>
    <w:p w14:paraId="7E27560C" w14:textId="77777777" w:rsidR="00E05B98" w:rsidRPr="003C6DAE" w:rsidRDefault="00E05B98">
      <w:pPr>
        <w:pStyle w:val="a3"/>
        <w:rPr>
          <w:sz w:val="20"/>
          <w:lang w:val="uk-UA"/>
        </w:rPr>
      </w:pPr>
    </w:p>
    <w:p w14:paraId="461D03E5" w14:textId="77777777" w:rsidR="00E05B98" w:rsidRPr="003C6DAE" w:rsidRDefault="00E05B98">
      <w:pPr>
        <w:pStyle w:val="a3"/>
        <w:rPr>
          <w:sz w:val="20"/>
          <w:lang w:val="uk-UA"/>
        </w:rPr>
      </w:pPr>
    </w:p>
    <w:p w14:paraId="622B33A4" w14:textId="77777777" w:rsidR="00E05B98" w:rsidRPr="003C6DAE" w:rsidRDefault="00E05B98">
      <w:pPr>
        <w:pStyle w:val="a3"/>
        <w:rPr>
          <w:sz w:val="20"/>
          <w:lang w:val="uk-UA"/>
        </w:rPr>
      </w:pPr>
    </w:p>
    <w:p w14:paraId="2E691769" w14:textId="77777777" w:rsidR="00E05B98" w:rsidRPr="003C6DAE" w:rsidRDefault="00E05B98">
      <w:pPr>
        <w:pStyle w:val="a3"/>
        <w:rPr>
          <w:sz w:val="20"/>
          <w:lang w:val="uk-UA"/>
        </w:rPr>
      </w:pPr>
    </w:p>
    <w:p w14:paraId="10B3E227" w14:textId="77777777" w:rsidR="00E05B98" w:rsidRPr="003C6DAE" w:rsidRDefault="00E05B98">
      <w:pPr>
        <w:pStyle w:val="a3"/>
        <w:rPr>
          <w:sz w:val="20"/>
          <w:lang w:val="uk-UA"/>
        </w:rPr>
      </w:pPr>
    </w:p>
    <w:p w14:paraId="5FF79ED3" w14:textId="77777777" w:rsidR="00E05B98" w:rsidRPr="003C6DAE" w:rsidRDefault="00E05B98">
      <w:pPr>
        <w:pStyle w:val="a3"/>
        <w:rPr>
          <w:sz w:val="20"/>
          <w:lang w:val="uk-UA"/>
        </w:rPr>
      </w:pPr>
    </w:p>
    <w:p w14:paraId="3994E862" w14:textId="77777777" w:rsidR="00E05B98" w:rsidRPr="003C6DAE" w:rsidRDefault="00E05B98">
      <w:pPr>
        <w:pStyle w:val="a3"/>
        <w:rPr>
          <w:sz w:val="20"/>
          <w:lang w:val="uk-UA"/>
        </w:rPr>
      </w:pPr>
    </w:p>
    <w:p w14:paraId="20A3C860" w14:textId="77777777" w:rsidR="00E05B98" w:rsidRPr="003C6DAE" w:rsidRDefault="00E05B98">
      <w:pPr>
        <w:pStyle w:val="a3"/>
        <w:rPr>
          <w:sz w:val="20"/>
          <w:lang w:val="uk-UA"/>
        </w:rPr>
      </w:pPr>
    </w:p>
    <w:p w14:paraId="464ADD5F" w14:textId="77777777" w:rsidR="00E05B98" w:rsidRPr="003C6DAE" w:rsidRDefault="00E05B98">
      <w:pPr>
        <w:pStyle w:val="a3"/>
        <w:rPr>
          <w:sz w:val="20"/>
          <w:lang w:val="uk-UA"/>
        </w:rPr>
      </w:pPr>
    </w:p>
    <w:p w14:paraId="411B5ED4" w14:textId="77777777" w:rsidR="00E05B98" w:rsidRPr="003C6DAE" w:rsidRDefault="00B01E0C">
      <w:pPr>
        <w:pStyle w:val="a3"/>
        <w:spacing w:before="93"/>
        <w:rPr>
          <w:sz w:val="20"/>
          <w:lang w:val="uk-UA"/>
        </w:rPr>
      </w:pPr>
      <w:r w:rsidRPr="003C6DAE">
        <w:rPr>
          <w:noProof/>
          <w:sz w:val="20"/>
          <w:lang w:val="uk-UA"/>
        </w:rPr>
        <mc:AlternateContent>
          <mc:Choice Requires="wps">
            <w:drawing>
              <wp:anchor distT="0" distB="0" distL="0" distR="0" simplePos="0" relativeHeight="487644672" behindDoc="1" locked="0" layoutInCell="1" allowOverlap="1" wp14:anchorId="1CB80C11" wp14:editId="118EA133">
                <wp:simplePos x="0" y="0"/>
                <wp:positionH relativeFrom="page">
                  <wp:posOffset>899999</wp:posOffset>
                </wp:positionH>
                <wp:positionV relativeFrom="paragraph">
                  <wp:posOffset>218140</wp:posOffset>
                </wp:positionV>
                <wp:extent cx="1440180" cy="127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D17DFD" id="Graphic 171" o:spid="_x0000_s1026" style="position:absolute;margin-left:70.85pt;margin-top:17.2pt;width:113.4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1440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" path="m,l1440002,e" filled="f" strokeweight=".5pt">
                <v:path arrowok="t"/>
                <w10:wrap type="topAndBottom" anchorx="page"/>
              </v:shape>
            </w:pict>
          </mc:Fallback>
        </mc:AlternateContent>
      </w:r>
    </w:p>
    <w:p w14:paraId="5211B246" w14:textId="1052636E" w:rsidR="00E05B98" w:rsidRPr="003C6DAE" w:rsidRDefault="00B01E0C">
      <w:pPr>
        <w:spacing w:before="124" w:line="290" w:lineRule="auto"/>
        <w:ind w:left="787" w:hanging="220"/>
        <w:rPr>
          <w:sz w:val="16"/>
          <w:szCs w:val="16"/>
          <w:lang w:val="uk-UA"/>
        </w:rPr>
      </w:pPr>
      <w:r w:rsidRPr="003C6DAE">
        <w:rPr>
          <w:spacing w:val="-2"/>
          <w:sz w:val="16"/>
          <w:szCs w:val="16"/>
          <w:vertAlign w:val="superscript"/>
          <w:lang w:val="uk-UA"/>
        </w:rPr>
        <w:t>4</w:t>
      </w:r>
      <w:r w:rsidRPr="003C6DAE">
        <w:rPr>
          <w:spacing w:val="40"/>
          <w:sz w:val="16"/>
          <w:szCs w:val="16"/>
          <w:lang w:val="uk-UA"/>
        </w:rPr>
        <w:t xml:space="preserve">  </w:t>
      </w:r>
      <w:r w:rsidR="002E4FF1" w:rsidRPr="003C6DAE">
        <w:rPr>
          <w:sz w:val="16"/>
          <w:szCs w:val="16"/>
          <w:lang w:val="uk-UA"/>
        </w:rPr>
        <w:t xml:space="preserve">Діагностика </w:t>
      </w:r>
      <w:r w:rsidR="002E4FF1" w:rsidRPr="003C6DAE">
        <w:rPr>
          <w:i/>
          <w:iCs/>
          <w:sz w:val="16"/>
          <w:szCs w:val="16"/>
          <w:lang w:val="uk-UA"/>
        </w:rPr>
        <w:t>in vitro</w:t>
      </w:r>
      <w:r w:rsidR="002E4FF1" w:rsidRPr="003C6DAE">
        <w:rPr>
          <w:sz w:val="16"/>
          <w:szCs w:val="16"/>
          <w:lang w:val="uk-UA"/>
        </w:rPr>
        <w:t xml:space="preserve"> в стадії оцінки | ВООЗ – Попередня кваліфікація виробів медичного призначення (діагностика </w:t>
      </w:r>
      <w:r w:rsidR="002E4FF1" w:rsidRPr="003C6DAE">
        <w:rPr>
          <w:i/>
          <w:iCs/>
          <w:sz w:val="16"/>
          <w:szCs w:val="16"/>
          <w:lang w:val="uk-UA"/>
        </w:rPr>
        <w:t>in vitro</w:t>
      </w:r>
      <w:r w:rsidR="002E4FF1" w:rsidRPr="003C6DAE">
        <w:rPr>
          <w:sz w:val="16"/>
          <w:szCs w:val="16"/>
          <w:lang w:val="uk-UA"/>
        </w:rPr>
        <w:t xml:space="preserve"> (IVD), лікарські препарати, вакцини та пристрої для імунізації, контроль переносників)</w:t>
      </w:r>
    </w:p>
    <w:p w14:paraId="0BF0F74F" w14:textId="77777777" w:rsidR="00E05B98" w:rsidRPr="003C6DAE" w:rsidRDefault="00E05B98">
      <w:pPr>
        <w:spacing w:line="290" w:lineRule="auto"/>
        <w:rPr>
          <w:sz w:val="16"/>
          <w:lang w:val="uk-UA"/>
        </w:rPr>
        <w:sectPr w:rsidR="00E05B98" w:rsidRPr="003C6DAE" w:rsidSect="000548D2">
          <w:footerReference w:type="even" r:id="rId43"/>
          <w:footerReference w:type="default" r:id="rId44"/>
          <w:pgSz w:w="11910" w:h="16840"/>
          <w:pgMar w:top="0" w:right="853" w:bottom="760" w:left="850" w:header="0" w:footer="573" w:gutter="0"/>
          <w:pgNumType w:start="9"/>
          <w:cols w:space="720"/>
        </w:sectPr>
      </w:pPr>
    </w:p>
    <w:p w14:paraId="364C36F1" w14:textId="27DF4760" w:rsidR="00E05B98" w:rsidRPr="003C6DAE" w:rsidRDefault="002E4FF1">
      <w:pPr>
        <w:pStyle w:val="5"/>
        <w:spacing w:before="45"/>
        <w:rPr>
          <w:lang w:val="uk-UA"/>
        </w:rPr>
      </w:pPr>
      <w:r w:rsidRPr="003C6DAE">
        <w:rPr>
          <w:color w:val="019648"/>
          <w:lang w:val="uk-UA"/>
        </w:rPr>
        <w:lastRenderedPageBreak/>
        <w:t xml:space="preserve">Опис </w:t>
      </w:r>
      <w:r w:rsidR="00E93E3D">
        <w:rPr>
          <w:color w:val="019648"/>
          <w:lang w:val="uk-UA"/>
        </w:rPr>
        <w:t xml:space="preserve">класу </w:t>
      </w:r>
      <w:r w:rsidRPr="003C6DAE">
        <w:rPr>
          <w:color w:val="019648"/>
          <w:lang w:val="uk-UA"/>
        </w:rPr>
        <w:t>діагности</w:t>
      </w:r>
      <w:r w:rsidR="00E93E3D">
        <w:rPr>
          <w:color w:val="019648"/>
          <w:lang w:val="uk-UA"/>
        </w:rPr>
        <w:t>ки</w:t>
      </w:r>
    </w:p>
    <w:p w14:paraId="24E47998" w14:textId="04EEC50F" w:rsidR="00E05B98" w:rsidRPr="003C6DAE" w:rsidRDefault="002C440A" w:rsidP="002E4FF1">
      <w:pPr>
        <w:spacing w:before="215"/>
        <w:ind w:left="567"/>
        <w:jc w:val="both"/>
        <w:rPr>
          <w:sz w:val="20"/>
          <w:szCs w:val="20"/>
          <w:lang w:val="uk-UA"/>
        </w:rPr>
      </w:pPr>
      <w:r>
        <w:rPr>
          <w:sz w:val="20"/>
          <w:szCs w:val="20"/>
          <w:lang w:val="uk-UA"/>
        </w:rPr>
        <w:t>Функціональні особливості</w:t>
      </w:r>
      <w:r w:rsidR="002E4FF1" w:rsidRPr="003C6DAE">
        <w:rPr>
          <w:sz w:val="20"/>
          <w:szCs w:val="20"/>
          <w:lang w:val="uk-UA"/>
        </w:rPr>
        <w:t xml:space="preserve">, </w:t>
      </w:r>
      <w:r>
        <w:rPr>
          <w:sz w:val="20"/>
          <w:szCs w:val="20"/>
          <w:lang w:val="uk-UA"/>
        </w:rPr>
        <w:t xml:space="preserve">що характеризують клас аТАНК-НС, </w:t>
      </w:r>
      <w:r w:rsidR="002E4FF1" w:rsidRPr="003C6DAE">
        <w:rPr>
          <w:sz w:val="20"/>
          <w:szCs w:val="20"/>
          <w:lang w:val="uk-UA"/>
        </w:rPr>
        <w:t>наведен</w:t>
      </w:r>
      <w:r>
        <w:rPr>
          <w:sz w:val="20"/>
          <w:szCs w:val="20"/>
          <w:lang w:val="uk-UA"/>
        </w:rPr>
        <w:t>о</w:t>
      </w:r>
      <w:r w:rsidR="002E4FF1" w:rsidRPr="003C6DAE">
        <w:rPr>
          <w:sz w:val="20"/>
          <w:szCs w:val="20"/>
          <w:lang w:val="uk-UA"/>
        </w:rPr>
        <w:t xml:space="preserve"> в </w:t>
      </w:r>
      <w:r w:rsidR="002E4FF1" w:rsidRPr="003C6DAE">
        <w:rPr>
          <w:b/>
          <w:bCs/>
          <w:sz w:val="20"/>
          <w:szCs w:val="20"/>
          <w:lang w:val="uk-UA"/>
        </w:rPr>
        <w:t>Таблиці 2.1.1.1</w:t>
      </w:r>
      <w:r w:rsidR="002E4FF1" w:rsidRPr="003C6DAE">
        <w:rPr>
          <w:sz w:val="20"/>
          <w:szCs w:val="20"/>
          <w:lang w:val="uk-UA"/>
        </w:rPr>
        <w:t>:</w:t>
      </w:r>
    </w:p>
    <w:p w14:paraId="6C197EFA" w14:textId="77777777" w:rsidR="00E05B98" w:rsidRPr="003C6DAE" w:rsidRDefault="00E05B98" w:rsidP="002E4FF1">
      <w:pPr>
        <w:pStyle w:val="a3"/>
        <w:spacing w:before="51"/>
        <w:jc w:val="both"/>
        <w:rPr>
          <w:sz w:val="20"/>
          <w:szCs w:val="20"/>
          <w:lang w:val="uk-UA"/>
        </w:rPr>
      </w:pPr>
    </w:p>
    <w:p w14:paraId="292936F5" w14:textId="199A5842" w:rsidR="00E05B98" w:rsidRPr="003C6DAE" w:rsidRDefault="002E4FF1" w:rsidP="002E4FF1">
      <w:pPr>
        <w:pStyle w:val="6"/>
        <w:spacing w:before="0"/>
        <w:jc w:val="both"/>
        <w:rPr>
          <w:sz w:val="20"/>
          <w:szCs w:val="20"/>
          <w:lang w:val="uk-UA"/>
        </w:rPr>
      </w:pPr>
      <w:r w:rsidRPr="003C6DAE">
        <w:rPr>
          <w:color w:val="636466"/>
          <w:spacing w:val="-2"/>
          <w:sz w:val="20"/>
          <w:szCs w:val="20"/>
          <w:lang w:val="uk-UA"/>
        </w:rPr>
        <w:t>Таблиця</w:t>
      </w:r>
      <w:r w:rsidR="00B01E0C" w:rsidRPr="003C6DAE">
        <w:rPr>
          <w:color w:val="636466"/>
          <w:spacing w:val="-11"/>
          <w:sz w:val="20"/>
          <w:szCs w:val="20"/>
          <w:lang w:val="uk-UA"/>
        </w:rPr>
        <w:t xml:space="preserve"> </w:t>
      </w:r>
      <w:r w:rsidR="00B01E0C" w:rsidRPr="003C6DAE">
        <w:rPr>
          <w:color w:val="636466"/>
          <w:spacing w:val="-2"/>
          <w:sz w:val="20"/>
          <w:szCs w:val="20"/>
          <w:lang w:val="uk-UA"/>
        </w:rPr>
        <w:t>2.1.1.1</w:t>
      </w:r>
      <w:r w:rsidR="00B01E0C" w:rsidRPr="003C6DAE">
        <w:rPr>
          <w:color w:val="636466"/>
          <w:spacing w:val="-10"/>
          <w:sz w:val="20"/>
          <w:szCs w:val="20"/>
          <w:lang w:val="uk-UA"/>
        </w:rPr>
        <w:t xml:space="preserve"> </w:t>
      </w:r>
      <w:r w:rsidR="009D22B1" w:rsidRPr="003C6DAE">
        <w:rPr>
          <w:color w:val="636466"/>
          <w:spacing w:val="-10"/>
          <w:sz w:val="20"/>
          <w:szCs w:val="20"/>
          <w:lang w:val="uk-UA"/>
        </w:rPr>
        <w:t xml:space="preserve">    </w:t>
      </w:r>
      <w:r w:rsidR="00AD6499" w:rsidRPr="003C6DAE">
        <w:rPr>
          <w:color w:val="636466"/>
          <w:spacing w:val="-2"/>
          <w:sz w:val="20"/>
          <w:szCs w:val="20"/>
          <w:lang w:val="uk-UA"/>
        </w:rPr>
        <w:t>Критерії класу для аТАНК-НС</w:t>
      </w:r>
    </w:p>
    <w:p w14:paraId="2D2E0B7A" w14:textId="77777777" w:rsidR="00E05B98" w:rsidRPr="003C6DAE" w:rsidRDefault="00E05B98" w:rsidP="002E4FF1">
      <w:pPr>
        <w:pStyle w:val="a3"/>
        <w:spacing w:before="3"/>
        <w:jc w:val="both"/>
        <w:rPr>
          <w:rFonts w:ascii="Arial"/>
          <w:b/>
          <w:sz w:val="20"/>
          <w:szCs w:val="20"/>
          <w:lang w:val="uk-UA"/>
        </w:rPr>
      </w:pPr>
    </w:p>
    <w:tbl>
      <w:tblPr>
        <w:tblStyle w:val="TableNormal"/>
        <w:tblW w:w="0" w:type="auto"/>
        <w:tblInd w:w="577" w:type="dxa"/>
        <w:tblLayout w:type="fixed"/>
        <w:tblLook w:val="01E0" w:firstRow="1" w:lastRow="1" w:firstColumn="1" w:lastColumn="1" w:noHBand="0" w:noVBand="0"/>
      </w:tblPr>
      <w:tblGrid>
        <w:gridCol w:w="1548"/>
        <w:gridCol w:w="1201"/>
        <w:gridCol w:w="6320"/>
      </w:tblGrid>
      <w:tr w:rsidR="00E05B98" w:rsidRPr="00D029FF" w14:paraId="66545EE0" w14:textId="77777777">
        <w:trPr>
          <w:trHeight w:val="430"/>
        </w:trPr>
        <w:tc>
          <w:tcPr>
            <w:tcW w:w="1548" w:type="dxa"/>
            <w:tcBorders>
              <w:top w:val="single" w:sz="8" w:space="0" w:color="019648"/>
              <w:left w:val="single" w:sz="8" w:space="0" w:color="019648"/>
              <w:bottom w:val="single" w:sz="6" w:space="0" w:color="019648"/>
            </w:tcBorders>
            <w:shd w:val="clear" w:color="auto" w:fill="62A86B"/>
          </w:tcPr>
          <w:p w14:paraId="5A7B232E" w14:textId="11227E9C" w:rsidR="00E05B98" w:rsidRPr="003C6DAE" w:rsidRDefault="00AD6499" w:rsidP="002E4FF1">
            <w:pPr>
              <w:pStyle w:val="TableParagraph"/>
              <w:spacing w:before="95"/>
              <w:ind w:left="145"/>
              <w:jc w:val="both"/>
              <w:rPr>
                <w:rFonts w:ascii="Arial"/>
                <w:b/>
                <w:sz w:val="20"/>
                <w:szCs w:val="20"/>
                <w:lang w:val="uk-UA"/>
              </w:rPr>
            </w:pPr>
            <w:r w:rsidRPr="003C6DAE">
              <w:rPr>
                <w:rFonts w:ascii="Arial"/>
                <w:b/>
                <w:color w:val="FFFFFF"/>
                <w:spacing w:val="-2"/>
                <w:sz w:val="20"/>
                <w:szCs w:val="20"/>
                <w:lang w:val="uk-UA"/>
              </w:rPr>
              <w:t>Призначення</w:t>
            </w:r>
          </w:p>
        </w:tc>
        <w:tc>
          <w:tcPr>
            <w:tcW w:w="1201" w:type="dxa"/>
            <w:tcBorders>
              <w:top w:val="single" w:sz="8" w:space="0" w:color="019648"/>
              <w:bottom w:val="single" w:sz="6" w:space="0" w:color="019648"/>
              <w:right w:val="single" w:sz="6" w:space="0" w:color="019648"/>
            </w:tcBorders>
            <w:shd w:val="clear" w:color="auto" w:fill="62A86B"/>
          </w:tcPr>
          <w:p w14:paraId="41019013" w14:textId="77777777" w:rsidR="00E05B98" w:rsidRPr="003C6DAE" w:rsidRDefault="00E05B98" w:rsidP="002E4FF1">
            <w:pPr>
              <w:pStyle w:val="TableParagraph"/>
              <w:spacing w:before="0"/>
              <w:ind w:left="0"/>
              <w:jc w:val="both"/>
              <w:rPr>
                <w:rFonts w:ascii="Times New Roman"/>
                <w:sz w:val="20"/>
                <w:szCs w:val="20"/>
                <w:lang w:val="uk-UA"/>
              </w:rPr>
            </w:pPr>
          </w:p>
        </w:tc>
        <w:tc>
          <w:tcPr>
            <w:tcW w:w="6320" w:type="dxa"/>
            <w:tcBorders>
              <w:top w:val="single" w:sz="8" w:space="0" w:color="019648"/>
              <w:left w:val="single" w:sz="6" w:space="0" w:color="019648"/>
              <w:bottom w:val="single" w:sz="6" w:space="0" w:color="019648"/>
              <w:right w:val="single" w:sz="6" w:space="0" w:color="019648"/>
            </w:tcBorders>
            <w:shd w:val="clear" w:color="auto" w:fill="62A86B"/>
          </w:tcPr>
          <w:p w14:paraId="7401061C" w14:textId="617BDEDB" w:rsidR="00E05B98" w:rsidRPr="003C6DAE" w:rsidRDefault="00AD6499" w:rsidP="002E4FF1">
            <w:pPr>
              <w:pStyle w:val="TableParagraph"/>
              <w:spacing w:before="95"/>
              <w:ind w:left="138"/>
              <w:jc w:val="both"/>
              <w:rPr>
                <w:rFonts w:ascii="Arial"/>
                <w:b/>
                <w:sz w:val="20"/>
                <w:szCs w:val="20"/>
                <w:lang w:val="uk-UA"/>
              </w:rPr>
            </w:pPr>
            <w:r w:rsidRPr="003C6DAE">
              <w:rPr>
                <w:rFonts w:ascii="Arial"/>
                <w:b/>
                <w:color w:val="FFFFFF"/>
                <w:sz w:val="20"/>
                <w:szCs w:val="20"/>
                <w:lang w:val="uk-UA"/>
              </w:rPr>
              <w:t>Виявлення</w:t>
            </w:r>
            <w:r w:rsidRPr="003C6DAE">
              <w:rPr>
                <w:rFonts w:ascii="Arial"/>
                <w:b/>
                <w:color w:val="FFFFFF"/>
                <w:sz w:val="20"/>
                <w:szCs w:val="20"/>
                <w:lang w:val="uk-UA"/>
              </w:rPr>
              <w:t xml:space="preserve"> </w:t>
            </w:r>
            <w:r w:rsidRPr="003C6DAE">
              <w:rPr>
                <w:rFonts w:ascii="Arial"/>
                <w:b/>
                <w:color w:val="FFFFFF"/>
                <w:sz w:val="20"/>
                <w:szCs w:val="20"/>
                <w:lang w:val="uk-UA"/>
              </w:rPr>
              <w:t>туберкульозу</w:t>
            </w:r>
            <w:r w:rsidRPr="003C6DAE">
              <w:rPr>
                <w:rFonts w:ascii="Arial"/>
                <w:b/>
                <w:color w:val="FFFFFF"/>
                <w:sz w:val="20"/>
                <w:szCs w:val="20"/>
                <w:lang w:val="uk-UA"/>
              </w:rPr>
              <w:t xml:space="preserve"> </w:t>
            </w:r>
            <w:r w:rsidRPr="003C6DAE">
              <w:rPr>
                <w:rFonts w:ascii="Arial"/>
                <w:b/>
                <w:color w:val="FFFFFF"/>
                <w:sz w:val="20"/>
                <w:szCs w:val="20"/>
                <w:lang w:val="uk-UA"/>
              </w:rPr>
              <w:t>та</w:t>
            </w:r>
            <w:r w:rsidRPr="003C6DAE">
              <w:rPr>
                <w:rFonts w:ascii="Arial"/>
                <w:b/>
                <w:color w:val="FFFFFF"/>
                <w:sz w:val="20"/>
                <w:szCs w:val="20"/>
                <w:lang w:val="uk-UA"/>
              </w:rPr>
              <w:t xml:space="preserve"> </w:t>
            </w:r>
            <w:r w:rsidRPr="003C6DAE">
              <w:rPr>
                <w:rFonts w:ascii="Arial"/>
                <w:b/>
                <w:color w:val="FFFFFF"/>
                <w:sz w:val="20"/>
                <w:szCs w:val="20"/>
                <w:lang w:val="uk-UA"/>
              </w:rPr>
              <w:t>стійкості</w:t>
            </w:r>
            <w:r w:rsidRPr="003C6DAE">
              <w:rPr>
                <w:rFonts w:ascii="Arial"/>
                <w:b/>
                <w:color w:val="FFFFFF"/>
                <w:sz w:val="20"/>
                <w:szCs w:val="20"/>
                <w:lang w:val="uk-UA"/>
              </w:rPr>
              <w:t xml:space="preserve"> </w:t>
            </w:r>
            <w:r w:rsidRPr="003C6DAE">
              <w:rPr>
                <w:rFonts w:ascii="Arial"/>
                <w:b/>
                <w:color w:val="FFFFFF"/>
                <w:sz w:val="20"/>
                <w:szCs w:val="20"/>
                <w:lang w:val="uk-UA"/>
              </w:rPr>
              <w:t>до</w:t>
            </w:r>
            <w:r w:rsidRPr="003C6DAE">
              <w:rPr>
                <w:rFonts w:ascii="Arial"/>
                <w:b/>
                <w:color w:val="FFFFFF"/>
                <w:sz w:val="20"/>
                <w:szCs w:val="20"/>
                <w:lang w:val="uk-UA"/>
              </w:rPr>
              <w:t xml:space="preserve"> </w:t>
            </w:r>
            <w:r w:rsidRPr="003C6DAE">
              <w:rPr>
                <w:rFonts w:ascii="Arial"/>
                <w:b/>
                <w:color w:val="FFFFFF"/>
                <w:sz w:val="20"/>
                <w:szCs w:val="20"/>
                <w:lang w:val="uk-UA"/>
              </w:rPr>
              <w:t>рифампіцину</w:t>
            </w:r>
          </w:p>
        </w:tc>
      </w:tr>
      <w:tr w:rsidR="00E05B98" w:rsidRPr="00D029FF" w14:paraId="5C8E434F" w14:textId="77777777">
        <w:trPr>
          <w:trHeight w:val="387"/>
        </w:trPr>
        <w:tc>
          <w:tcPr>
            <w:tcW w:w="2749" w:type="dxa"/>
            <w:gridSpan w:val="2"/>
            <w:tcBorders>
              <w:top w:val="single" w:sz="6" w:space="0" w:color="019648"/>
              <w:bottom w:val="single" w:sz="6" w:space="0" w:color="019648"/>
            </w:tcBorders>
          </w:tcPr>
          <w:p w14:paraId="4DC89735" w14:textId="24E0A3EB" w:rsidR="00E05B98" w:rsidRPr="003C6DAE" w:rsidRDefault="00AD6499" w:rsidP="002E4FF1">
            <w:pPr>
              <w:pStyle w:val="TableParagraph"/>
              <w:spacing w:before="75"/>
              <w:ind w:left="132"/>
              <w:jc w:val="both"/>
              <w:rPr>
                <w:rFonts w:ascii="Arial"/>
                <w:b/>
                <w:sz w:val="20"/>
                <w:szCs w:val="20"/>
                <w:lang w:val="uk-UA"/>
              </w:rPr>
            </w:pPr>
            <w:r w:rsidRPr="003C6DAE">
              <w:rPr>
                <w:rFonts w:ascii="Arial"/>
                <w:b/>
                <w:sz w:val="20"/>
                <w:szCs w:val="20"/>
                <w:lang w:val="uk-UA"/>
              </w:rPr>
              <w:t>Принцип</w:t>
            </w:r>
            <w:r w:rsidRPr="003C6DAE">
              <w:rPr>
                <w:rFonts w:ascii="Arial"/>
                <w:b/>
                <w:sz w:val="20"/>
                <w:szCs w:val="20"/>
                <w:lang w:val="uk-UA"/>
              </w:rPr>
              <w:t xml:space="preserve"> </w:t>
            </w:r>
            <w:r w:rsidRPr="003C6DAE">
              <w:rPr>
                <w:rFonts w:ascii="Arial"/>
                <w:b/>
                <w:sz w:val="20"/>
                <w:szCs w:val="20"/>
                <w:lang w:val="uk-UA"/>
              </w:rPr>
              <w:t>дії</w:t>
            </w:r>
          </w:p>
        </w:tc>
        <w:tc>
          <w:tcPr>
            <w:tcW w:w="6320" w:type="dxa"/>
            <w:tcBorders>
              <w:top w:val="single" w:sz="6" w:space="0" w:color="019648"/>
              <w:bottom w:val="single" w:sz="6" w:space="0" w:color="019648"/>
            </w:tcBorders>
          </w:tcPr>
          <w:p w14:paraId="235DB24F" w14:textId="23243A3A" w:rsidR="00E05B98" w:rsidRPr="003C6DAE" w:rsidRDefault="00DB46BC" w:rsidP="002E4FF1">
            <w:pPr>
              <w:pStyle w:val="TableParagraph"/>
              <w:jc w:val="both"/>
              <w:rPr>
                <w:sz w:val="20"/>
                <w:szCs w:val="20"/>
                <w:lang w:val="uk-UA"/>
              </w:rPr>
            </w:pPr>
            <w:r>
              <w:rPr>
                <w:sz w:val="20"/>
                <w:szCs w:val="20"/>
                <w:lang w:val="uk-UA"/>
              </w:rPr>
              <w:t xml:space="preserve">Проведення діагностичного тесту </w:t>
            </w:r>
            <w:r w:rsidR="00AD6499" w:rsidRPr="003C6DAE">
              <w:rPr>
                <w:sz w:val="20"/>
                <w:szCs w:val="20"/>
                <w:lang w:val="uk-UA"/>
              </w:rPr>
              <w:t>ампліфікаці</w:t>
            </w:r>
            <w:r>
              <w:rPr>
                <w:sz w:val="20"/>
                <w:szCs w:val="20"/>
                <w:lang w:val="uk-UA"/>
              </w:rPr>
              <w:t>ї</w:t>
            </w:r>
            <w:r w:rsidR="00AD6499" w:rsidRPr="003C6DAE">
              <w:rPr>
                <w:sz w:val="20"/>
                <w:szCs w:val="20"/>
                <w:lang w:val="uk-UA"/>
              </w:rPr>
              <w:t xml:space="preserve"> нуклеїнових кислот</w:t>
            </w:r>
          </w:p>
        </w:tc>
      </w:tr>
      <w:tr w:rsidR="00E05B98" w:rsidRPr="003C6DAE" w14:paraId="7674F2F8" w14:textId="77777777">
        <w:trPr>
          <w:trHeight w:val="907"/>
        </w:trPr>
        <w:tc>
          <w:tcPr>
            <w:tcW w:w="1548" w:type="dxa"/>
            <w:tcBorders>
              <w:top w:val="single" w:sz="6" w:space="0" w:color="019648"/>
            </w:tcBorders>
          </w:tcPr>
          <w:p w14:paraId="58B919E5" w14:textId="10FE95BF" w:rsidR="00E05B98" w:rsidRPr="003C6DAE" w:rsidRDefault="00E30129" w:rsidP="002E4FF1">
            <w:pPr>
              <w:pStyle w:val="TableParagraph"/>
              <w:spacing w:before="75"/>
              <w:ind w:left="132"/>
              <w:jc w:val="both"/>
              <w:rPr>
                <w:rFonts w:ascii="Arial"/>
                <w:b/>
                <w:sz w:val="20"/>
                <w:szCs w:val="20"/>
                <w:lang w:val="uk-UA"/>
              </w:rPr>
            </w:pPr>
            <w:r>
              <w:rPr>
                <w:rFonts w:ascii="Arial"/>
                <w:b/>
                <w:spacing w:val="-2"/>
                <w:sz w:val="20"/>
                <w:szCs w:val="20"/>
                <w:lang w:val="uk-UA"/>
              </w:rPr>
              <w:t>Показник</w:t>
            </w:r>
            <w:r>
              <w:rPr>
                <w:rFonts w:ascii="Arial"/>
                <w:b/>
                <w:spacing w:val="-2"/>
                <w:sz w:val="20"/>
                <w:szCs w:val="20"/>
                <w:lang w:val="uk-UA"/>
              </w:rPr>
              <w:t xml:space="preserve"> </w:t>
            </w:r>
            <w:r>
              <w:rPr>
                <w:rFonts w:ascii="Arial"/>
                <w:b/>
                <w:spacing w:val="-2"/>
                <w:sz w:val="20"/>
                <w:szCs w:val="20"/>
                <w:lang w:val="uk-UA"/>
              </w:rPr>
              <w:t>с</w:t>
            </w:r>
            <w:r w:rsidR="00AD6499" w:rsidRPr="003C6DAE">
              <w:rPr>
                <w:rFonts w:ascii="Arial"/>
                <w:b/>
                <w:spacing w:val="-2"/>
                <w:sz w:val="20"/>
                <w:szCs w:val="20"/>
                <w:lang w:val="uk-UA"/>
              </w:rPr>
              <w:t>кладн</w:t>
            </w:r>
            <w:r>
              <w:rPr>
                <w:rFonts w:ascii="Arial"/>
                <w:b/>
                <w:spacing w:val="-2"/>
                <w:sz w:val="20"/>
                <w:szCs w:val="20"/>
                <w:lang w:val="uk-UA"/>
              </w:rPr>
              <w:t>ості</w:t>
            </w:r>
          </w:p>
        </w:tc>
        <w:tc>
          <w:tcPr>
            <w:tcW w:w="1201" w:type="dxa"/>
            <w:tcBorders>
              <w:top w:val="single" w:sz="6" w:space="0" w:color="019648"/>
              <w:bottom w:val="single" w:sz="6" w:space="0" w:color="019648"/>
            </w:tcBorders>
          </w:tcPr>
          <w:p w14:paraId="50234B1F" w14:textId="170CB1C7" w:rsidR="00E05B98" w:rsidRPr="003C6DAE" w:rsidRDefault="00AD6499" w:rsidP="002E4FF1">
            <w:pPr>
              <w:pStyle w:val="TableParagraph"/>
              <w:ind w:left="-13"/>
              <w:jc w:val="both"/>
              <w:rPr>
                <w:sz w:val="20"/>
                <w:szCs w:val="20"/>
                <w:lang w:val="uk-UA"/>
              </w:rPr>
            </w:pPr>
            <w:r w:rsidRPr="003C6DAE">
              <w:rPr>
                <w:spacing w:val="-2"/>
                <w:sz w:val="20"/>
                <w:szCs w:val="20"/>
                <w:lang w:val="uk-UA"/>
              </w:rPr>
              <w:t>Реагенти</w:t>
            </w:r>
          </w:p>
        </w:tc>
        <w:tc>
          <w:tcPr>
            <w:tcW w:w="6320" w:type="dxa"/>
            <w:tcBorders>
              <w:top w:val="single" w:sz="6" w:space="0" w:color="019648"/>
              <w:bottom w:val="single" w:sz="6" w:space="0" w:color="019648"/>
            </w:tcBorders>
          </w:tcPr>
          <w:p w14:paraId="7505B16F" w14:textId="4229E390" w:rsidR="00E05B98" w:rsidRPr="003C6DAE" w:rsidRDefault="00AD6499" w:rsidP="002E4FF1">
            <w:pPr>
              <w:pStyle w:val="TableParagraph"/>
              <w:spacing w:line="249" w:lineRule="auto"/>
              <w:jc w:val="both"/>
              <w:rPr>
                <w:sz w:val="20"/>
                <w:szCs w:val="20"/>
                <w:lang w:val="uk-UA"/>
              </w:rPr>
            </w:pPr>
            <w:r w:rsidRPr="003C6DAE">
              <w:rPr>
                <w:sz w:val="20"/>
                <w:szCs w:val="20"/>
                <w:lang w:val="uk-UA"/>
              </w:rPr>
              <w:t>Більшість реагентів поміщено в одноразовий герметичний контейнер, до якого додається клінічний зразок. Одноразовий герметичний контейнер не має особливих вимог щодо зберігання</w:t>
            </w:r>
          </w:p>
        </w:tc>
      </w:tr>
      <w:tr w:rsidR="00E05B98" w:rsidRPr="00D029FF" w14:paraId="47DC1466" w14:textId="77777777">
        <w:trPr>
          <w:trHeight w:val="387"/>
        </w:trPr>
        <w:tc>
          <w:tcPr>
            <w:tcW w:w="2749" w:type="dxa"/>
            <w:gridSpan w:val="2"/>
          </w:tcPr>
          <w:p w14:paraId="7F9A19D6" w14:textId="223978B2" w:rsidR="00E05B98" w:rsidRPr="003C6DAE" w:rsidRDefault="00DB46BC" w:rsidP="002E4FF1">
            <w:pPr>
              <w:pStyle w:val="TableParagraph"/>
              <w:ind w:left="1535"/>
              <w:jc w:val="both"/>
              <w:rPr>
                <w:sz w:val="20"/>
                <w:szCs w:val="20"/>
                <w:lang w:val="uk-UA"/>
              </w:rPr>
            </w:pPr>
            <w:r>
              <w:rPr>
                <w:spacing w:val="-2"/>
                <w:sz w:val="20"/>
                <w:szCs w:val="20"/>
                <w:lang w:val="uk-UA"/>
              </w:rPr>
              <w:t>Практичн</w:t>
            </w:r>
            <w:r w:rsidR="00E30129">
              <w:rPr>
                <w:spacing w:val="-2"/>
                <w:sz w:val="20"/>
                <w:szCs w:val="20"/>
                <w:lang w:val="uk-UA"/>
              </w:rPr>
              <w:t>і</w:t>
            </w:r>
            <w:r>
              <w:rPr>
                <w:spacing w:val="-2"/>
                <w:sz w:val="20"/>
                <w:szCs w:val="20"/>
                <w:lang w:val="uk-UA"/>
              </w:rPr>
              <w:t xml:space="preserve"> </w:t>
            </w:r>
            <w:r w:rsidR="00E30129">
              <w:rPr>
                <w:spacing w:val="-2"/>
                <w:sz w:val="20"/>
                <w:szCs w:val="20"/>
                <w:lang w:val="uk-UA"/>
              </w:rPr>
              <w:t>навички</w:t>
            </w:r>
          </w:p>
        </w:tc>
        <w:tc>
          <w:tcPr>
            <w:tcW w:w="6320" w:type="dxa"/>
            <w:tcBorders>
              <w:top w:val="single" w:sz="6" w:space="0" w:color="019648"/>
              <w:bottom w:val="single" w:sz="6" w:space="0" w:color="019648"/>
            </w:tcBorders>
          </w:tcPr>
          <w:p w14:paraId="55DE2FC9" w14:textId="4236B43D" w:rsidR="00E05B98" w:rsidRPr="003C6DAE" w:rsidRDefault="00AD6499" w:rsidP="002E4FF1">
            <w:pPr>
              <w:pStyle w:val="TableParagraph"/>
              <w:jc w:val="both"/>
              <w:rPr>
                <w:sz w:val="20"/>
                <w:szCs w:val="20"/>
                <w:lang w:val="uk-UA"/>
              </w:rPr>
            </w:pPr>
            <w:r w:rsidRPr="003C6DAE">
              <w:rPr>
                <w:sz w:val="20"/>
                <w:szCs w:val="20"/>
                <w:lang w:val="uk-UA"/>
              </w:rPr>
              <w:t>Базові технічні навички (наприклад, базове піпетування, точність не критична)</w:t>
            </w:r>
          </w:p>
        </w:tc>
      </w:tr>
      <w:tr w:rsidR="00E05B98" w:rsidRPr="00D029FF" w14:paraId="350D0E03" w14:textId="77777777">
        <w:trPr>
          <w:trHeight w:val="387"/>
        </w:trPr>
        <w:tc>
          <w:tcPr>
            <w:tcW w:w="2749" w:type="dxa"/>
            <w:gridSpan w:val="2"/>
            <w:tcBorders>
              <w:top w:val="single" w:sz="6" w:space="0" w:color="019648"/>
            </w:tcBorders>
          </w:tcPr>
          <w:p w14:paraId="610779D9" w14:textId="28E2C840" w:rsidR="00E05B98" w:rsidRPr="003C6DAE" w:rsidRDefault="00AD6499" w:rsidP="002E4FF1">
            <w:pPr>
              <w:pStyle w:val="TableParagraph"/>
              <w:ind w:left="1535"/>
              <w:jc w:val="both"/>
              <w:rPr>
                <w:sz w:val="20"/>
                <w:szCs w:val="20"/>
                <w:lang w:val="uk-UA"/>
              </w:rPr>
            </w:pPr>
            <w:r w:rsidRPr="003C6DAE">
              <w:rPr>
                <w:spacing w:val="-2"/>
                <w:w w:val="105"/>
                <w:sz w:val="20"/>
                <w:szCs w:val="20"/>
                <w:lang w:val="uk-UA"/>
              </w:rPr>
              <w:t xml:space="preserve">Піпетування </w:t>
            </w:r>
          </w:p>
        </w:tc>
        <w:tc>
          <w:tcPr>
            <w:tcW w:w="6320" w:type="dxa"/>
            <w:tcBorders>
              <w:top w:val="single" w:sz="6" w:space="0" w:color="019648"/>
              <w:bottom w:val="single" w:sz="6" w:space="0" w:color="019648"/>
            </w:tcBorders>
          </w:tcPr>
          <w:p w14:paraId="76DA7024" w14:textId="492F5120" w:rsidR="00E05B98" w:rsidRPr="003C6DAE" w:rsidRDefault="00AD6499" w:rsidP="002E4FF1">
            <w:pPr>
              <w:pStyle w:val="TableParagraph"/>
              <w:jc w:val="both"/>
              <w:rPr>
                <w:sz w:val="20"/>
                <w:szCs w:val="20"/>
                <w:lang w:val="uk-UA"/>
              </w:rPr>
            </w:pPr>
            <w:r w:rsidRPr="003C6DAE">
              <w:rPr>
                <w:sz w:val="20"/>
                <w:szCs w:val="20"/>
                <w:lang w:val="uk-UA"/>
              </w:rPr>
              <w:t>Або відсутність, або лише один етап піпетування в процесі</w:t>
            </w:r>
          </w:p>
        </w:tc>
      </w:tr>
      <w:tr w:rsidR="00E05B98" w:rsidRPr="003C6DAE" w14:paraId="57BC531B" w14:textId="77777777">
        <w:trPr>
          <w:trHeight w:val="1942"/>
        </w:trPr>
        <w:tc>
          <w:tcPr>
            <w:tcW w:w="2749" w:type="dxa"/>
            <w:gridSpan w:val="2"/>
            <w:tcBorders>
              <w:top w:val="single" w:sz="6" w:space="0" w:color="019648"/>
              <w:bottom w:val="single" w:sz="6" w:space="0" w:color="019648"/>
            </w:tcBorders>
          </w:tcPr>
          <w:p w14:paraId="50DF6986" w14:textId="6297C5DE" w:rsidR="00E05B98" w:rsidRPr="003C6DAE" w:rsidRDefault="00AD6499" w:rsidP="002E4FF1">
            <w:pPr>
              <w:pStyle w:val="TableParagraph"/>
              <w:spacing w:line="249" w:lineRule="auto"/>
              <w:ind w:left="1535"/>
              <w:jc w:val="both"/>
              <w:rPr>
                <w:sz w:val="20"/>
                <w:szCs w:val="20"/>
                <w:lang w:val="uk-UA"/>
              </w:rPr>
            </w:pPr>
            <w:r w:rsidRPr="003C6DAE">
              <w:rPr>
                <w:spacing w:val="-2"/>
                <w:sz w:val="20"/>
                <w:szCs w:val="20"/>
                <w:lang w:val="uk-UA"/>
              </w:rPr>
              <w:t>Процедура тестування</w:t>
            </w:r>
          </w:p>
        </w:tc>
        <w:tc>
          <w:tcPr>
            <w:tcW w:w="6320" w:type="dxa"/>
            <w:tcBorders>
              <w:top w:val="single" w:sz="6" w:space="0" w:color="019648"/>
              <w:bottom w:val="single" w:sz="6" w:space="0" w:color="019648"/>
            </w:tcBorders>
          </w:tcPr>
          <w:p w14:paraId="31F196DE" w14:textId="77777777" w:rsidR="00443D32" w:rsidRPr="003C6DAE" w:rsidRDefault="00443D32" w:rsidP="004A2937">
            <w:pPr>
              <w:pStyle w:val="TableParagraph"/>
              <w:numPr>
                <w:ilvl w:val="0"/>
                <w:numId w:val="28"/>
              </w:numPr>
              <w:tabs>
                <w:tab w:val="left" w:pos="291"/>
                <w:tab w:val="left" w:pos="293"/>
              </w:tabs>
              <w:spacing w:line="249" w:lineRule="auto"/>
              <w:jc w:val="both"/>
              <w:rPr>
                <w:w w:val="105"/>
                <w:sz w:val="20"/>
                <w:szCs w:val="20"/>
                <w:lang w:val="uk-UA"/>
              </w:rPr>
            </w:pPr>
            <w:r w:rsidRPr="003C6DAE">
              <w:rPr>
                <w:w w:val="105"/>
                <w:sz w:val="20"/>
                <w:szCs w:val="20"/>
                <w:lang w:val="uk-UA"/>
              </w:rPr>
              <w:t>Може виникнути необхідність у проведенні початкової ручної обробки зразка перед перенесенням зразка в одноразовий герметичний контейнер для автоматизованої обробки</w:t>
            </w:r>
          </w:p>
          <w:p w14:paraId="1C358137" w14:textId="537D216F" w:rsidR="00443D32" w:rsidRPr="003C6DAE" w:rsidRDefault="00443D32" w:rsidP="004A2937">
            <w:pPr>
              <w:pStyle w:val="TableParagraph"/>
              <w:numPr>
                <w:ilvl w:val="0"/>
                <w:numId w:val="28"/>
              </w:numPr>
              <w:tabs>
                <w:tab w:val="left" w:pos="291"/>
                <w:tab w:val="left" w:pos="293"/>
              </w:tabs>
              <w:spacing w:line="249" w:lineRule="auto"/>
              <w:jc w:val="both"/>
              <w:rPr>
                <w:w w:val="105"/>
                <w:sz w:val="20"/>
                <w:szCs w:val="20"/>
                <w:lang w:val="uk-UA"/>
              </w:rPr>
            </w:pPr>
            <w:r w:rsidRPr="003C6DAE">
              <w:rPr>
                <w:w w:val="105"/>
                <w:sz w:val="20"/>
                <w:szCs w:val="20"/>
                <w:lang w:val="uk-UA"/>
              </w:rPr>
              <w:t>Автоматизоване виділення ДНК</w:t>
            </w:r>
          </w:p>
          <w:p w14:paraId="4BAAE828" w14:textId="02787EDD" w:rsidR="00443D32" w:rsidRPr="003C6DAE" w:rsidRDefault="00443D32" w:rsidP="004A2937">
            <w:pPr>
              <w:pStyle w:val="TableParagraph"/>
              <w:numPr>
                <w:ilvl w:val="0"/>
                <w:numId w:val="28"/>
              </w:numPr>
              <w:tabs>
                <w:tab w:val="left" w:pos="291"/>
                <w:tab w:val="left" w:pos="293"/>
              </w:tabs>
              <w:spacing w:line="249" w:lineRule="auto"/>
              <w:jc w:val="both"/>
              <w:rPr>
                <w:w w:val="105"/>
                <w:sz w:val="20"/>
                <w:szCs w:val="20"/>
                <w:lang w:val="uk-UA"/>
              </w:rPr>
            </w:pPr>
            <w:r w:rsidRPr="003C6DAE">
              <w:rPr>
                <w:w w:val="105"/>
                <w:sz w:val="20"/>
                <w:szCs w:val="20"/>
                <w:lang w:val="uk-UA"/>
              </w:rPr>
              <w:t>Автоматизована ПЛР у реальному часі</w:t>
            </w:r>
          </w:p>
          <w:p w14:paraId="738BDD79" w14:textId="63A78819" w:rsidR="00E05B98" w:rsidRPr="003C6DAE" w:rsidRDefault="00443D32" w:rsidP="004A2937">
            <w:pPr>
              <w:pStyle w:val="TableParagraph"/>
              <w:numPr>
                <w:ilvl w:val="0"/>
                <w:numId w:val="28"/>
              </w:numPr>
              <w:tabs>
                <w:tab w:val="left" w:pos="292"/>
              </w:tabs>
              <w:spacing w:before="95"/>
              <w:jc w:val="both"/>
              <w:rPr>
                <w:sz w:val="20"/>
                <w:szCs w:val="20"/>
                <w:lang w:val="uk-UA"/>
              </w:rPr>
            </w:pPr>
            <w:r w:rsidRPr="003C6DAE">
              <w:rPr>
                <w:w w:val="105"/>
                <w:sz w:val="20"/>
                <w:szCs w:val="20"/>
                <w:lang w:val="uk-UA"/>
              </w:rPr>
              <w:t>Генерація результатів</w:t>
            </w:r>
          </w:p>
        </w:tc>
      </w:tr>
      <w:tr w:rsidR="00E05B98" w:rsidRPr="003C6DAE" w14:paraId="393A9E3F" w14:textId="77777777">
        <w:trPr>
          <w:trHeight w:val="647"/>
        </w:trPr>
        <w:tc>
          <w:tcPr>
            <w:tcW w:w="2749" w:type="dxa"/>
            <w:gridSpan w:val="2"/>
            <w:tcBorders>
              <w:top w:val="single" w:sz="6" w:space="0" w:color="019648"/>
              <w:bottom w:val="single" w:sz="6" w:space="0" w:color="019648"/>
            </w:tcBorders>
          </w:tcPr>
          <w:p w14:paraId="6ECD1F3A" w14:textId="5EF0698C" w:rsidR="00E05B98" w:rsidRPr="003C6DAE" w:rsidRDefault="00443D32" w:rsidP="002E4FF1">
            <w:pPr>
              <w:pStyle w:val="TableParagraph"/>
              <w:spacing w:before="75" w:line="247" w:lineRule="auto"/>
              <w:ind w:left="132"/>
              <w:jc w:val="both"/>
              <w:rPr>
                <w:b/>
                <w:sz w:val="20"/>
                <w:szCs w:val="20"/>
                <w:lang w:val="uk-UA"/>
              </w:rPr>
            </w:pPr>
            <w:r w:rsidRPr="003C6DAE">
              <w:rPr>
                <w:b/>
                <w:sz w:val="20"/>
                <w:szCs w:val="20"/>
                <w:lang w:val="uk-UA"/>
              </w:rPr>
              <w:t>Тип представлення даних про результати тестування</w:t>
            </w:r>
          </w:p>
        </w:tc>
        <w:tc>
          <w:tcPr>
            <w:tcW w:w="6320" w:type="dxa"/>
            <w:tcBorders>
              <w:top w:val="single" w:sz="6" w:space="0" w:color="019648"/>
              <w:bottom w:val="single" w:sz="6" w:space="0" w:color="019648"/>
            </w:tcBorders>
          </w:tcPr>
          <w:p w14:paraId="4E33EDE7" w14:textId="2E6414A5" w:rsidR="00E05B98" w:rsidRPr="003C6DAE" w:rsidRDefault="00443D32" w:rsidP="002E4FF1">
            <w:pPr>
              <w:pStyle w:val="TableParagraph"/>
              <w:jc w:val="both"/>
              <w:rPr>
                <w:sz w:val="20"/>
                <w:szCs w:val="20"/>
                <w:lang w:val="uk-UA"/>
              </w:rPr>
            </w:pPr>
            <w:r w:rsidRPr="003C6DAE">
              <w:rPr>
                <w:spacing w:val="-2"/>
                <w:w w:val="105"/>
                <w:sz w:val="20"/>
                <w:szCs w:val="20"/>
                <w:lang w:val="uk-UA"/>
              </w:rPr>
              <w:t xml:space="preserve">Автоматичний </w:t>
            </w:r>
          </w:p>
        </w:tc>
      </w:tr>
      <w:tr w:rsidR="00DB46BC" w:rsidRPr="00D029FF" w14:paraId="6F5A6CB8" w14:textId="77777777">
        <w:trPr>
          <w:trHeight w:val="647"/>
        </w:trPr>
        <w:tc>
          <w:tcPr>
            <w:tcW w:w="2749" w:type="dxa"/>
            <w:gridSpan w:val="2"/>
            <w:tcBorders>
              <w:top w:val="single" w:sz="6" w:space="0" w:color="019648"/>
              <w:bottom w:val="single" w:sz="6" w:space="0" w:color="019648"/>
            </w:tcBorders>
          </w:tcPr>
          <w:p w14:paraId="11BA8D65" w14:textId="4E4334A7" w:rsidR="00DB46BC" w:rsidRPr="003C6DAE" w:rsidRDefault="00DB46BC" w:rsidP="00DB46BC">
            <w:pPr>
              <w:pStyle w:val="TableParagraph"/>
              <w:spacing w:before="75" w:line="247" w:lineRule="auto"/>
              <w:ind w:left="132"/>
              <w:rPr>
                <w:b/>
                <w:sz w:val="20"/>
                <w:szCs w:val="20"/>
                <w:lang w:val="uk-UA"/>
              </w:rPr>
            </w:pPr>
            <w:r w:rsidRPr="003C6DAE">
              <w:rPr>
                <w:b/>
                <w:sz w:val="20"/>
                <w:szCs w:val="20"/>
                <w:lang w:val="uk-UA"/>
              </w:rPr>
              <w:t>Заклад, в якому використовують тест</w:t>
            </w:r>
          </w:p>
        </w:tc>
        <w:tc>
          <w:tcPr>
            <w:tcW w:w="6320" w:type="dxa"/>
            <w:tcBorders>
              <w:top w:val="single" w:sz="6" w:space="0" w:color="019648"/>
              <w:bottom w:val="single" w:sz="6" w:space="0" w:color="019648"/>
            </w:tcBorders>
          </w:tcPr>
          <w:p w14:paraId="3CCF14B6" w14:textId="39569615" w:rsidR="00DB46BC" w:rsidRPr="003C6DAE" w:rsidRDefault="00DB46BC" w:rsidP="002E4FF1">
            <w:pPr>
              <w:pStyle w:val="TableParagraph"/>
              <w:jc w:val="both"/>
              <w:rPr>
                <w:spacing w:val="-2"/>
                <w:w w:val="105"/>
                <w:sz w:val="20"/>
                <w:szCs w:val="20"/>
                <w:lang w:val="uk-UA"/>
              </w:rPr>
            </w:pPr>
            <w:r w:rsidRPr="003C6DAE">
              <w:rPr>
                <w:sz w:val="20"/>
                <w:szCs w:val="20"/>
                <w:lang w:val="uk-UA"/>
              </w:rPr>
              <w:t>Базова лабораторія (спеціальна інфраструктура не потрібна)</w:t>
            </w:r>
          </w:p>
        </w:tc>
      </w:tr>
    </w:tbl>
    <w:p w14:paraId="68A57BD7" w14:textId="4AF5C395" w:rsidR="00E05B98" w:rsidRPr="003C6DAE" w:rsidRDefault="00443D32" w:rsidP="002E4FF1">
      <w:pPr>
        <w:spacing w:before="146" w:line="254" w:lineRule="auto"/>
        <w:ind w:left="567"/>
        <w:jc w:val="both"/>
        <w:rPr>
          <w:sz w:val="16"/>
          <w:szCs w:val="16"/>
          <w:lang w:val="uk-UA"/>
        </w:rPr>
      </w:pPr>
      <w:r w:rsidRPr="003C6DAE">
        <w:rPr>
          <w:sz w:val="16"/>
          <w:szCs w:val="16"/>
          <w:lang w:val="uk-UA"/>
        </w:rPr>
        <w:t>ДНК: дезоксирибонуклеїнова кислота; аТАНК-НС: автоматизований тест ампліфікаці</w:t>
      </w:r>
      <w:r w:rsidR="00DB46BC">
        <w:rPr>
          <w:sz w:val="16"/>
          <w:szCs w:val="16"/>
          <w:lang w:val="uk-UA"/>
        </w:rPr>
        <w:t>ї</w:t>
      </w:r>
      <w:r w:rsidRPr="003C6DAE">
        <w:rPr>
          <w:sz w:val="16"/>
          <w:szCs w:val="16"/>
          <w:lang w:val="uk-UA"/>
        </w:rPr>
        <w:t xml:space="preserve"> нуклеїнових кислот низької складності; ПЛР: полімеразна ланцюгова реакція; ТБ: туберкульоз.</w:t>
      </w:r>
    </w:p>
    <w:p w14:paraId="2F8CC6DD" w14:textId="77777777" w:rsidR="00E05B98" w:rsidRPr="003C6DAE" w:rsidRDefault="00E05B98" w:rsidP="002E4FF1">
      <w:pPr>
        <w:pStyle w:val="a3"/>
        <w:spacing w:before="107"/>
        <w:jc w:val="both"/>
        <w:rPr>
          <w:sz w:val="20"/>
          <w:szCs w:val="20"/>
          <w:lang w:val="uk-UA"/>
        </w:rPr>
      </w:pPr>
    </w:p>
    <w:p w14:paraId="46B5EB5E" w14:textId="3BD63010" w:rsidR="00E05B98" w:rsidRPr="003C6DAE" w:rsidRDefault="00443D32" w:rsidP="002E4FF1">
      <w:pPr>
        <w:pStyle w:val="a3"/>
        <w:ind w:left="567"/>
        <w:jc w:val="both"/>
        <w:rPr>
          <w:sz w:val="20"/>
          <w:szCs w:val="20"/>
          <w:lang w:val="uk-UA"/>
        </w:rPr>
      </w:pPr>
      <w:r w:rsidRPr="003C6DAE">
        <w:rPr>
          <w:spacing w:val="-4"/>
          <w:sz w:val="20"/>
          <w:szCs w:val="20"/>
          <w:lang w:val="uk-UA"/>
        </w:rPr>
        <w:t>Продукти, для яких прийнятні дані відповідали критеріям ефективності на основі класу для аТАНК-НС, були:</w:t>
      </w:r>
    </w:p>
    <w:p w14:paraId="246914A8" w14:textId="5D63114E" w:rsidR="008566AE" w:rsidRPr="003C6DAE" w:rsidRDefault="008566AE" w:rsidP="004A2937">
      <w:pPr>
        <w:pStyle w:val="a4"/>
        <w:numPr>
          <w:ilvl w:val="3"/>
          <w:numId w:val="31"/>
        </w:numPr>
        <w:tabs>
          <w:tab w:val="left" w:pos="1418"/>
        </w:tabs>
        <w:spacing w:before="2" w:line="297" w:lineRule="auto"/>
        <w:ind w:hanging="283"/>
        <w:rPr>
          <w:sz w:val="20"/>
          <w:szCs w:val="20"/>
          <w:lang w:val="uk-UA"/>
        </w:rPr>
      </w:pPr>
      <w:r w:rsidRPr="003C6DAE">
        <w:rPr>
          <w:sz w:val="20"/>
          <w:szCs w:val="20"/>
          <w:lang w:val="uk-UA"/>
        </w:rPr>
        <w:t xml:space="preserve">Тести Xpert MTB/RIF Ultra (компанія </w:t>
      </w:r>
      <w:r w:rsidR="00DB46BC">
        <w:rPr>
          <w:sz w:val="20"/>
          <w:szCs w:val="20"/>
          <w:lang w:val="uk-UA"/>
        </w:rPr>
        <w:t>«</w:t>
      </w:r>
      <w:r w:rsidRPr="003C6DAE">
        <w:rPr>
          <w:sz w:val="20"/>
          <w:szCs w:val="20"/>
          <w:lang w:val="uk-UA"/>
        </w:rPr>
        <w:t>Cepheid</w:t>
      </w:r>
      <w:r w:rsidR="00DB46BC">
        <w:rPr>
          <w:sz w:val="20"/>
          <w:szCs w:val="20"/>
          <w:lang w:val="uk-UA"/>
        </w:rPr>
        <w:t>»</w:t>
      </w:r>
      <w:r w:rsidRPr="003C6DAE">
        <w:rPr>
          <w:sz w:val="20"/>
          <w:szCs w:val="20"/>
          <w:lang w:val="uk-UA"/>
        </w:rPr>
        <w:t>, Sunnyvale, Сполучені Штати Америки [США]) – для виявлення ТБ</w:t>
      </w:r>
      <w:r w:rsidR="00DB46BC">
        <w:rPr>
          <w:sz w:val="20"/>
          <w:szCs w:val="20"/>
          <w:lang w:val="uk-UA"/>
        </w:rPr>
        <w:t xml:space="preserve"> легень</w:t>
      </w:r>
      <w:r w:rsidRPr="003C6DAE">
        <w:rPr>
          <w:sz w:val="20"/>
          <w:szCs w:val="20"/>
          <w:lang w:val="uk-UA"/>
        </w:rPr>
        <w:t>, позалегеневого ТБ та стійкості до рифампіцину; а  також</w:t>
      </w:r>
    </w:p>
    <w:p w14:paraId="1EACD059" w14:textId="165FA59A" w:rsidR="00E05B98" w:rsidRPr="003C6DAE" w:rsidRDefault="008566AE" w:rsidP="004A2937">
      <w:pPr>
        <w:pStyle w:val="a4"/>
        <w:numPr>
          <w:ilvl w:val="3"/>
          <w:numId w:val="31"/>
        </w:numPr>
        <w:tabs>
          <w:tab w:val="left" w:pos="1418"/>
        </w:tabs>
        <w:spacing w:before="2" w:line="297" w:lineRule="auto"/>
        <w:ind w:hanging="283"/>
        <w:rPr>
          <w:sz w:val="20"/>
          <w:szCs w:val="20"/>
          <w:lang w:val="uk-UA"/>
        </w:rPr>
      </w:pPr>
      <w:r w:rsidRPr="003C6DAE">
        <w:rPr>
          <w:sz w:val="20"/>
          <w:szCs w:val="20"/>
          <w:lang w:val="uk-UA"/>
        </w:rPr>
        <w:t xml:space="preserve">Тести Truenat MTB Plus і Truenat MTB-RIF Dx (компанія </w:t>
      </w:r>
      <w:r w:rsidR="00DB46BC">
        <w:rPr>
          <w:sz w:val="20"/>
          <w:szCs w:val="20"/>
          <w:lang w:val="uk-UA"/>
        </w:rPr>
        <w:t>«</w:t>
      </w:r>
      <w:r w:rsidRPr="003C6DAE">
        <w:rPr>
          <w:sz w:val="20"/>
          <w:szCs w:val="20"/>
          <w:lang w:val="uk-UA"/>
        </w:rPr>
        <w:t>Molbio</w:t>
      </w:r>
      <w:r w:rsidR="00DB46BC">
        <w:rPr>
          <w:sz w:val="20"/>
          <w:szCs w:val="20"/>
          <w:lang w:val="uk-UA"/>
        </w:rPr>
        <w:t>»</w:t>
      </w:r>
      <w:r w:rsidRPr="003C6DAE">
        <w:rPr>
          <w:sz w:val="20"/>
          <w:szCs w:val="20"/>
          <w:lang w:val="uk-UA"/>
        </w:rPr>
        <w:t xml:space="preserve">, Гоа, Індія) – для виявлення ТБ </w:t>
      </w:r>
      <w:r w:rsidR="00DB46BC">
        <w:rPr>
          <w:sz w:val="20"/>
          <w:szCs w:val="20"/>
          <w:lang w:val="uk-UA"/>
        </w:rPr>
        <w:t xml:space="preserve">легень </w:t>
      </w:r>
      <w:r w:rsidRPr="003C6DAE">
        <w:rPr>
          <w:sz w:val="20"/>
          <w:szCs w:val="20"/>
          <w:lang w:val="uk-UA"/>
        </w:rPr>
        <w:t>та стійкості до рифампіцину</w:t>
      </w:r>
      <w:r w:rsidR="00B01E0C" w:rsidRPr="003C6DAE">
        <w:rPr>
          <w:w w:val="105"/>
          <w:sz w:val="20"/>
          <w:szCs w:val="20"/>
          <w:lang w:val="uk-UA"/>
        </w:rPr>
        <w:t>.</w:t>
      </w:r>
    </w:p>
    <w:p w14:paraId="66C1A86B" w14:textId="310ADF14" w:rsidR="00E05B98" w:rsidRPr="003C6DAE" w:rsidRDefault="008566AE" w:rsidP="002E4FF1">
      <w:pPr>
        <w:pStyle w:val="a3"/>
        <w:spacing w:before="230"/>
        <w:ind w:left="567"/>
        <w:jc w:val="both"/>
        <w:rPr>
          <w:sz w:val="20"/>
          <w:szCs w:val="20"/>
          <w:lang w:val="uk-UA"/>
        </w:rPr>
      </w:pPr>
      <w:r w:rsidRPr="003C6DAE">
        <w:rPr>
          <w:sz w:val="20"/>
          <w:szCs w:val="20"/>
          <w:lang w:val="uk-UA"/>
        </w:rPr>
        <w:t>Дані щодо тестів Truenat MTB Plus і MTB-RIF Dx були більш обмеженими, ніж для тесту Xpert Ultra.</w:t>
      </w:r>
    </w:p>
    <w:p w14:paraId="2E66F2A7" w14:textId="05ECCFCF" w:rsidR="00E05B98" w:rsidRPr="003C6DAE" w:rsidRDefault="008566AE" w:rsidP="002E4FF1">
      <w:pPr>
        <w:pStyle w:val="a3"/>
        <w:spacing w:before="231" w:line="297" w:lineRule="auto"/>
        <w:ind w:left="567"/>
        <w:jc w:val="both"/>
        <w:rPr>
          <w:sz w:val="20"/>
          <w:szCs w:val="20"/>
          <w:lang w:val="uk-UA"/>
        </w:rPr>
      </w:pPr>
      <w:r w:rsidRPr="003C6DAE">
        <w:rPr>
          <w:sz w:val="20"/>
          <w:szCs w:val="20"/>
          <w:lang w:val="uk-UA"/>
        </w:rPr>
        <w:t xml:space="preserve">Перед впровадженням цих діагностичних тестів необхідно отримати схвалення від національних регуляторних органів або інших відповідних органів. Екстраполяція на інші специфічні тести для брендів неможлива, і будь-які нові технології в </w:t>
      </w:r>
      <w:r w:rsidR="005F2C24">
        <w:rPr>
          <w:sz w:val="20"/>
          <w:szCs w:val="20"/>
          <w:lang w:val="uk-UA"/>
        </w:rPr>
        <w:t>межах</w:t>
      </w:r>
      <w:r w:rsidR="00DB46BC">
        <w:rPr>
          <w:sz w:val="20"/>
          <w:szCs w:val="20"/>
          <w:lang w:val="uk-UA"/>
        </w:rPr>
        <w:t xml:space="preserve"> </w:t>
      </w:r>
      <w:r w:rsidRPr="003C6DAE">
        <w:rPr>
          <w:sz w:val="20"/>
          <w:szCs w:val="20"/>
          <w:lang w:val="uk-UA"/>
        </w:rPr>
        <w:t>клас</w:t>
      </w:r>
      <w:r w:rsidR="00DB46BC">
        <w:rPr>
          <w:sz w:val="20"/>
          <w:szCs w:val="20"/>
          <w:lang w:val="uk-UA"/>
        </w:rPr>
        <w:t>у</w:t>
      </w:r>
      <w:r w:rsidRPr="003C6DAE">
        <w:rPr>
          <w:sz w:val="20"/>
          <w:szCs w:val="20"/>
          <w:lang w:val="uk-UA"/>
        </w:rPr>
        <w:t xml:space="preserve"> </w:t>
      </w:r>
      <w:r w:rsidR="00DB46BC">
        <w:rPr>
          <w:sz w:val="20"/>
          <w:szCs w:val="20"/>
          <w:lang w:val="uk-UA"/>
        </w:rPr>
        <w:t>чи</w:t>
      </w:r>
      <w:r w:rsidRPr="003C6DAE">
        <w:rPr>
          <w:sz w:val="20"/>
          <w:szCs w:val="20"/>
          <w:lang w:val="uk-UA"/>
        </w:rPr>
        <w:t xml:space="preserve"> нові індикатори для технологій, які наразі включені в цей клас, мають бути оцінені в рамках прекваліфікації ВООЗ та ВООЗ/ГПТБ відповідно.</w:t>
      </w:r>
    </w:p>
    <w:p w14:paraId="3E77CC15" w14:textId="3D8ADCAD" w:rsidR="00E05B98" w:rsidRPr="003C6DAE" w:rsidRDefault="008566AE" w:rsidP="002E4FF1">
      <w:pPr>
        <w:spacing w:before="171" w:line="297" w:lineRule="auto"/>
        <w:ind w:left="567"/>
        <w:jc w:val="both"/>
        <w:rPr>
          <w:sz w:val="20"/>
          <w:szCs w:val="20"/>
          <w:lang w:val="uk-UA"/>
        </w:rPr>
      </w:pPr>
      <w:r w:rsidRPr="003C6DAE">
        <w:rPr>
          <w:sz w:val="20"/>
          <w:szCs w:val="20"/>
          <w:lang w:val="uk-UA"/>
        </w:rPr>
        <w:t xml:space="preserve">У публікації </w:t>
      </w:r>
      <w:r w:rsidR="00E93E3D">
        <w:rPr>
          <w:sz w:val="20"/>
          <w:szCs w:val="20"/>
          <w:lang w:val="uk-UA"/>
        </w:rPr>
        <w:t>«</w:t>
      </w:r>
      <w:r w:rsidRPr="003C6DAE">
        <w:rPr>
          <w:i/>
          <w:iCs/>
          <w:sz w:val="20"/>
          <w:szCs w:val="20"/>
          <w:lang w:val="uk-UA"/>
        </w:rPr>
        <w:t>Опера</w:t>
      </w:r>
      <w:r w:rsidR="00E93E3D">
        <w:rPr>
          <w:i/>
          <w:iCs/>
          <w:sz w:val="20"/>
          <w:szCs w:val="20"/>
          <w:lang w:val="uk-UA"/>
        </w:rPr>
        <w:t>ційний</w:t>
      </w:r>
      <w:r w:rsidRPr="003C6DAE">
        <w:rPr>
          <w:i/>
          <w:iCs/>
          <w:sz w:val="20"/>
          <w:szCs w:val="20"/>
          <w:lang w:val="uk-UA"/>
        </w:rPr>
        <w:t xml:space="preserve"> посібник ВООЗ з туберкульозу. Модуль 3: Діагностика</w:t>
      </w:r>
      <w:r w:rsidR="00E93E3D">
        <w:rPr>
          <w:i/>
          <w:iCs/>
          <w:sz w:val="20"/>
          <w:szCs w:val="20"/>
          <w:lang w:val="uk-UA"/>
        </w:rPr>
        <w:t>»</w:t>
      </w:r>
      <w:r w:rsidRPr="003C6DAE">
        <w:rPr>
          <w:sz w:val="20"/>
          <w:szCs w:val="20"/>
          <w:lang w:val="uk-UA"/>
        </w:rPr>
        <w:t xml:space="preserve"> надано опис тестів, включених </w:t>
      </w:r>
      <w:r w:rsidR="005F2C24">
        <w:rPr>
          <w:sz w:val="20"/>
          <w:szCs w:val="20"/>
          <w:lang w:val="uk-UA"/>
        </w:rPr>
        <w:t>до цього класу</w:t>
      </w:r>
      <w:r w:rsidR="00B01E0C" w:rsidRPr="003C6DAE">
        <w:rPr>
          <w:sz w:val="20"/>
          <w:szCs w:val="20"/>
          <w:lang w:val="uk-UA"/>
        </w:rPr>
        <w:t>.</w:t>
      </w:r>
    </w:p>
    <w:p w14:paraId="14DD0C2F" w14:textId="77777777" w:rsidR="00E05B98" w:rsidRPr="003C6DAE" w:rsidRDefault="00E05B98">
      <w:pPr>
        <w:spacing w:line="297" w:lineRule="auto"/>
        <w:jc w:val="both"/>
        <w:rPr>
          <w:lang w:val="uk-UA"/>
        </w:rPr>
        <w:sectPr w:rsidR="00E05B98" w:rsidRPr="003C6DAE">
          <w:pgSz w:w="11910" w:h="16840"/>
          <w:pgMar w:top="1320" w:right="1275" w:bottom="760" w:left="850" w:header="0" w:footer="573" w:gutter="0"/>
          <w:cols w:space="720"/>
        </w:sectPr>
      </w:pPr>
    </w:p>
    <w:p w14:paraId="7F2936A5" w14:textId="7634119C" w:rsidR="00E05B98" w:rsidRPr="005F2C24" w:rsidRDefault="00CB37A3">
      <w:pPr>
        <w:pStyle w:val="5"/>
        <w:spacing w:before="45"/>
        <w:rPr>
          <w:sz w:val="26"/>
          <w:szCs w:val="26"/>
          <w:lang w:val="uk-UA"/>
        </w:rPr>
      </w:pPr>
      <w:r w:rsidRPr="005F2C24">
        <w:rPr>
          <w:noProof/>
          <w:sz w:val="26"/>
          <w:szCs w:val="26"/>
          <w:lang w:val="uk-UA"/>
        </w:rPr>
        <w:lastRenderedPageBreak/>
        <mc:AlternateContent>
          <mc:Choice Requires="wps">
            <w:drawing>
              <wp:anchor distT="0" distB="0" distL="0" distR="0" simplePos="0" relativeHeight="487646208" behindDoc="1" locked="0" layoutInCell="1" allowOverlap="1" wp14:anchorId="17B44152" wp14:editId="73912498">
                <wp:simplePos x="0" y="0"/>
                <wp:positionH relativeFrom="page">
                  <wp:posOffset>908050</wp:posOffset>
                </wp:positionH>
                <wp:positionV relativeFrom="paragraph">
                  <wp:posOffset>327107</wp:posOffset>
                </wp:positionV>
                <wp:extent cx="5962650" cy="1435100"/>
                <wp:effectExtent l="0" t="0" r="19050" b="12700"/>
                <wp:wrapTopAndBottom/>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1435100"/>
                        </a:xfrm>
                        <a:prstGeom prst="rect">
                          <a:avLst/>
                        </a:prstGeom>
                        <a:ln w="9525">
                          <a:solidFill>
                            <a:srgbClr val="009649"/>
                          </a:solidFill>
                          <a:prstDash val="solid"/>
                        </a:ln>
                      </wps:spPr>
                      <wps:txbx>
                        <w:txbxContent>
                          <w:p w14:paraId="09604AC2" w14:textId="40CC4E78" w:rsidR="007372B2" w:rsidRPr="005F2C24" w:rsidRDefault="007372B2">
                            <w:pPr>
                              <w:spacing w:before="245" w:line="295" w:lineRule="auto"/>
                              <w:ind w:left="559" w:right="268" w:hanging="284"/>
                              <w:jc w:val="both"/>
                              <w:rPr>
                                <w:b/>
                                <w:sz w:val="20"/>
                                <w:szCs w:val="20"/>
                                <w:lang w:val="uk-UA"/>
                              </w:rPr>
                            </w:pPr>
                            <w:r w:rsidRPr="00E32D88">
                              <w:t xml:space="preserve">1. </w:t>
                            </w:r>
                            <w:r w:rsidRPr="005F2C24">
                              <w:rPr>
                                <w:b/>
                                <w:sz w:val="20"/>
                                <w:szCs w:val="20"/>
                                <w:lang w:val="uk-UA"/>
                              </w:rPr>
                              <w:t xml:space="preserve">Для дорослих і підлітків з ознаками або симптомами ТБ або з позитивним результатом скринінгу на легеневий ТБ слід використовувати автоматизовані ТАНК низької складності для дослідження зразків </w:t>
                            </w:r>
                            <w:r>
                              <w:rPr>
                                <w:b/>
                                <w:sz w:val="20"/>
                                <w:szCs w:val="20"/>
                                <w:lang w:val="uk-UA"/>
                              </w:rPr>
                              <w:t xml:space="preserve">із дихальних шляхів </w:t>
                            </w:r>
                            <w:r w:rsidRPr="005F2C24">
                              <w:rPr>
                                <w:b/>
                                <w:sz w:val="20"/>
                                <w:szCs w:val="20"/>
                                <w:lang w:val="uk-UA"/>
                              </w:rPr>
                              <w:t xml:space="preserve">в якості початкових діагностичних тестів на виявлення ТБ замість мікроскопії </w:t>
                            </w:r>
                            <w:r>
                              <w:rPr>
                                <w:b/>
                                <w:sz w:val="20"/>
                                <w:szCs w:val="20"/>
                                <w:lang w:val="uk-UA"/>
                              </w:rPr>
                              <w:t xml:space="preserve">мазка </w:t>
                            </w:r>
                            <w:r w:rsidRPr="005F2C24">
                              <w:rPr>
                                <w:b/>
                                <w:sz w:val="20"/>
                                <w:szCs w:val="20"/>
                                <w:lang w:val="uk-UA"/>
                              </w:rPr>
                              <w:t>чи бакпосіву.</w:t>
                            </w:r>
                          </w:p>
                          <w:p w14:paraId="4E20B178" w14:textId="78BA1932" w:rsidR="007372B2" w:rsidRPr="005F2C24" w:rsidRDefault="007372B2">
                            <w:pPr>
                              <w:spacing w:before="166"/>
                              <w:ind w:left="672"/>
                              <w:rPr>
                                <w:i/>
                                <w:sz w:val="20"/>
                                <w:szCs w:val="20"/>
                                <w:lang w:val="uk-UA"/>
                              </w:rPr>
                            </w:pPr>
                            <w:r w:rsidRPr="005F2C24">
                              <w:rPr>
                                <w:i/>
                                <w:sz w:val="20"/>
                                <w:szCs w:val="20"/>
                                <w:lang w:val="ru-RU"/>
                              </w:rPr>
                              <w:t>(</w:t>
                            </w:r>
                            <w:r w:rsidRPr="005F2C24">
                              <w:rPr>
                                <w:i/>
                                <w:sz w:val="20"/>
                                <w:szCs w:val="20"/>
                                <w:lang w:val="uk-UA"/>
                              </w:rPr>
                              <w:t>Настійна рекомендація, висок</w:t>
                            </w:r>
                            <w:r>
                              <w:rPr>
                                <w:i/>
                                <w:sz w:val="20"/>
                                <w:szCs w:val="20"/>
                                <w:lang w:val="uk-UA"/>
                              </w:rPr>
                              <w:t>ий ступінь</w:t>
                            </w:r>
                            <w:r w:rsidRPr="005F2C24">
                              <w:rPr>
                                <w:i/>
                                <w:sz w:val="20"/>
                                <w:szCs w:val="20"/>
                                <w:lang w:val="uk-UA"/>
                              </w:rPr>
                              <w:t xml:space="preserve"> достовірн</w:t>
                            </w:r>
                            <w:r>
                              <w:rPr>
                                <w:i/>
                                <w:sz w:val="20"/>
                                <w:szCs w:val="20"/>
                                <w:lang w:val="uk-UA"/>
                              </w:rPr>
                              <w:t>ості</w:t>
                            </w:r>
                            <w:r w:rsidRPr="005F2C24">
                              <w:rPr>
                                <w:i/>
                                <w:sz w:val="20"/>
                                <w:szCs w:val="20"/>
                                <w:lang w:val="uk-UA"/>
                              </w:rPr>
                              <w:t xml:space="preserve"> доказів</w:t>
                            </w:r>
                            <w:r w:rsidRPr="005F2C24">
                              <w:rPr>
                                <w:i/>
                                <w:spacing w:val="-2"/>
                                <w:sz w:val="20"/>
                                <w:szCs w:val="20"/>
                                <w:lang w:val="uk-UA"/>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7B44152" id="Textbox 176" o:spid="_x0000_s1077" type="#_x0000_t202" style="position:absolute;left:0;text-align:left;margin-left:71.5pt;margin-top:25.75pt;width:469.5pt;height:113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" filled="f" strokecolor="#009649">
                <v:path arrowok="t"/>
                <v:textbox inset="0,0,0,0">
                  <w:txbxContent>
                    <w:p w14:paraId="09604AC2" w14:textId="40CC4E78" w:rsidR="007372B2" w:rsidRPr="005F2C24" w:rsidRDefault="007372B2">
                      <w:pPr>
                        <w:spacing w:before="245" w:line="295" w:lineRule="auto"/>
                        <w:ind w:left="559" w:right="268" w:hanging="284"/>
                        <w:jc w:val="both"/>
                        <w:rPr>
                          <w:b/>
                          <w:sz w:val="20"/>
                          <w:szCs w:val="20"/>
                          <w:lang w:val="uk-UA"/>
                        </w:rPr>
                      </w:pPr>
                      <w:r w:rsidRPr="00E32D88">
                        <w:t xml:space="preserve">1. </w:t>
                      </w:r>
                      <w:r w:rsidRPr="005F2C24">
                        <w:rPr>
                          <w:b/>
                          <w:sz w:val="20"/>
                          <w:szCs w:val="20"/>
                          <w:lang w:val="uk-UA"/>
                        </w:rPr>
                        <w:t xml:space="preserve">Для дорослих і підлітків з ознаками або симптомами ТБ або з позитивним результатом скринінгу на легеневий ТБ слід використовувати автоматизовані ТАНК низької складності для дослідження зразків </w:t>
                      </w:r>
                      <w:r>
                        <w:rPr>
                          <w:b/>
                          <w:sz w:val="20"/>
                          <w:szCs w:val="20"/>
                          <w:lang w:val="uk-UA"/>
                        </w:rPr>
                        <w:t xml:space="preserve">із дихальних шляхів </w:t>
                      </w:r>
                      <w:r w:rsidRPr="005F2C24">
                        <w:rPr>
                          <w:b/>
                          <w:sz w:val="20"/>
                          <w:szCs w:val="20"/>
                          <w:lang w:val="uk-UA"/>
                        </w:rPr>
                        <w:t xml:space="preserve">в якості початкових діагностичних тестів на виявлення ТБ замість мікроскопії </w:t>
                      </w:r>
                      <w:r>
                        <w:rPr>
                          <w:b/>
                          <w:sz w:val="20"/>
                          <w:szCs w:val="20"/>
                          <w:lang w:val="uk-UA"/>
                        </w:rPr>
                        <w:t xml:space="preserve">мазка </w:t>
                      </w:r>
                      <w:r w:rsidRPr="005F2C24">
                        <w:rPr>
                          <w:b/>
                          <w:sz w:val="20"/>
                          <w:szCs w:val="20"/>
                          <w:lang w:val="uk-UA"/>
                        </w:rPr>
                        <w:t>чи бакпосіву.</w:t>
                      </w:r>
                    </w:p>
                    <w:p w14:paraId="4E20B178" w14:textId="78BA1932" w:rsidR="007372B2" w:rsidRPr="005F2C24" w:rsidRDefault="007372B2">
                      <w:pPr>
                        <w:spacing w:before="166"/>
                        <w:ind w:left="672"/>
                        <w:rPr>
                          <w:i/>
                          <w:sz w:val="20"/>
                          <w:szCs w:val="20"/>
                          <w:lang w:val="uk-UA"/>
                        </w:rPr>
                      </w:pPr>
                      <w:r w:rsidRPr="005F2C24">
                        <w:rPr>
                          <w:i/>
                          <w:sz w:val="20"/>
                          <w:szCs w:val="20"/>
                          <w:lang w:val="ru-RU"/>
                        </w:rPr>
                        <w:t>(</w:t>
                      </w:r>
                      <w:r w:rsidRPr="005F2C24">
                        <w:rPr>
                          <w:i/>
                          <w:sz w:val="20"/>
                          <w:szCs w:val="20"/>
                          <w:lang w:val="uk-UA"/>
                        </w:rPr>
                        <w:t>Настійна рекомендація, висок</w:t>
                      </w:r>
                      <w:r>
                        <w:rPr>
                          <w:i/>
                          <w:sz w:val="20"/>
                          <w:szCs w:val="20"/>
                          <w:lang w:val="uk-UA"/>
                        </w:rPr>
                        <w:t>ий ступінь</w:t>
                      </w:r>
                      <w:r w:rsidRPr="005F2C24">
                        <w:rPr>
                          <w:i/>
                          <w:sz w:val="20"/>
                          <w:szCs w:val="20"/>
                          <w:lang w:val="uk-UA"/>
                        </w:rPr>
                        <w:t xml:space="preserve"> достовірн</w:t>
                      </w:r>
                      <w:r>
                        <w:rPr>
                          <w:i/>
                          <w:sz w:val="20"/>
                          <w:szCs w:val="20"/>
                          <w:lang w:val="uk-UA"/>
                        </w:rPr>
                        <w:t>ості</w:t>
                      </w:r>
                      <w:r w:rsidRPr="005F2C24">
                        <w:rPr>
                          <w:i/>
                          <w:sz w:val="20"/>
                          <w:szCs w:val="20"/>
                          <w:lang w:val="uk-UA"/>
                        </w:rPr>
                        <w:t xml:space="preserve"> доказів</w:t>
                      </w:r>
                      <w:r w:rsidRPr="005F2C24">
                        <w:rPr>
                          <w:i/>
                          <w:spacing w:val="-2"/>
                          <w:sz w:val="20"/>
                          <w:szCs w:val="20"/>
                          <w:lang w:val="uk-UA"/>
                        </w:rPr>
                        <w:t>)</w:t>
                      </w:r>
                    </w:p>
                  </w:txbxContent>
                </v:textbox>
                <w10:wrap type="topAndBottom" anchorx="page"/>
              </v:shape>
            </w:pict>
          </mc:Fallback>
        </mc:AlternateContent>
      </w:r>
      <w:r w:rsidR="00E32D88" w:rsidRPr="005F2C24">
        <w:rPr>
          <w:color w:val="019648"/>
          <w:spacing w:val="-2"/>
          <w:w w:val="105"/>
          <w:sz w:val="26"/>
          <w:szCs w:val="26"/>
          <w:lang w:val="uk-UA"/>
        </w:rPr>
        <w:t>Рекомендації</w:t>
      </w:r>
    </w:p>
    <w:p w14:paraId="6B225465" w14:textId="7B0FB24B" w:rsidR="00E05B98" w:rsidRPr="003C6DAE" w:rsidRDefault="00E05B98">
      <w:pPr>
        <w:pStyle w:val="a3"/>
        <w:spacing w:before="8"/>
        <w:rPr>
          <w:sz w:val="14"/>
          <w:lang w:val="uk-UA"/>
        </w:rPr>
      </w:pPr>
    </w:p>
    <w:p w14:paraId="1F0C9BA8" w14:textId="75DAAD71" w:rsidR="00E05B98" w:rsidRPr="003C6DAE" w:rsidRDefault="00DA5A55">
      <w:pPr>
        <w:pStyle w:val="6"/>
        <w:spacing w:before="217"/>
        <w:rPr>
          <w:rFonts w:ascii="Microsoft Sans Serif" w:hAnsi="Microsoft Sans Serif" w:cs="Microsoft Sans Serif"/>
          <w:sz w:val="22"/>
          <w:szCs w:val="22"/>
          <w:lang w:val="uk-UA"/>
        </w:rPr>
      </w:pPr>
      <w:r>
        <w:rPr>
          <w:rFonts w:ascii="Microsoft Sans Serif" w:hAnsi="Microsoft Sans Serif" w:cs="Microsoft Sans Serif"/>
          <w:spacing w:val="-2"/>
          <w:sz w:val="22"/>
          <w:szCs w:val="22"/>
          <w:lang w:val="uk-UA"/>
        </w:rPr>
        <w:t>Примітки</w:t>
      </w:r>
    </w:p>
    <w:p w14:paraId="41BC4456" w14:textId="0BFA3907" w:rsidR="00E05B98" w:rsidRPr="003C6DAE" w:rsidRDefault="004E11CC" w:rsidP="004A2937">
      <w:pPr>
        <w:pStyle w:val="a4"/>
        <w:numPr>
          <w:ilvl w:val="3"/>
          <w:numId w:val="31"/>
        </w:numPr>
        <w:tabs>
          <w:tab w:val="left" w:pos="850"/>
        </w:tabs>
        <w:spacing w:before="226" w:line="297" w:lineRule="auto"/>
        <w:ind w:right="141" w:hanging="284"/>
        <w:rPr>
          <w:sz w:val="20"/>
          <w:szCs w:val="20"/>
          <w:lang w:val="uk-UA"/>
        </w:rPr>
      </w:pPr>
      <w:r w:rsidRPr="003C6DAE">
        <w:rPr>
          <w:sz w:val="20"/>
          <w:szCs w:val="20"/>
          <w:lang w:val="uk-UA"/>
        </w:rPr>
        <w:t>У дорослих зразки з дихальних шляхів включають мокротиння (відхаркуване або індуковане), аспірат з трахеї або бронхоальвеолярний лаваж (БАЛ).</w:t>
      </w:r>
    </w:p>
    <w:p w14:paraId="6E967BF1" w14:textId="669D928F" w:rsidR="00E05B98" w:rsidRPr="003C6DAE" w:rsidRDefault="004E11CC" w:rsidP="004A2937">
      <w:pPr>
        <w:pStyle w:val="a4"/>
        <w:numPr>
          <w:ilvl w:val="3"/>
          <w:numId w:val="31"/>
        </w:numPr>
        <w:tabs>
          <w:tab w:val="left" w:pos="850"/>
        </w:tabs>
        <w:spacing w:before="3" w:line="297" w:lineRule="auto"/>
        <w:ind w:right="141" w:hanging="284"/>
        <w:rPr>
          <w:sz w:val="20"/>
          <w:szCs w:val="20"/>
          <w:lang w:val="uk-UA"/>
        </w:rPr>
      </w:pPr>
      <w:r w:rsidRPr="003C6DAE">
        <w:rPr>
          <w:sz w:val="20"/>
          <w:szCs w:val="20"/>
          <w:lang w:val="uk-UA"/>
        </w:rPr>
        <w:t xml:space="preserve">Термін «особа з позитивним результатом скринінгу» стосується </w:t>
      </w:r>
      <w:r w:rsidR="005F2C24">
        <w:rPr>
          <w:sz w:val="20"/>
          <w:szCs w:val="20"/>
          <w:lang w:val="uk-UA"/>
        </w:rPr>
        <w:t>людини</w:t>
      </w:r>
      <w:r w:rsidRPr="003C6DAE">
        <w:rPr>
          <w:sz w:val="20"/>
          <w:szCs w:val="20"/>
          <w:lang w:val="uk-UA"/>
        </w:rPr>
        <w:t xml:space="preserve">, скринінговий тест </w:t>
      </w:r>
      <w:r w:rsidR="007E3C8F">
        <w:rPr>
          <w:sz w:val="20"/>
          <w:szCs w:val="20"/>
          <w:lang w:val="uk-UA"/>
        </w:rPr>
        <w:t xml:space="preserve">якої </w:t>
      </w:r>
      <w:r w:rsidRPr="003C6DAE">
        <w:rPr>
          <w:sz w:val="20"/>
          <w:szCs w:val="20"/>
          <w:lang w:val="uk-UA"/>
        </w:rPr>
        <w:t>дав позитивний результат</w:t>
      </w:r>
      <w:r w:rsidR="00B01E0C" w:rsidRPr="003C6DAE">
        <w:rPr>
          <w:sz w:val="20"/>
          <w:szCs w:val="20"/>
          <w:lang w:val="uk-UA"/>
        </w:rPr>
        <w:t>.</w:t>
      </w:r>
      <w:r w:rsidR="00B01E0C" w:rsidRPr="003C6DAE">
        <w:rPr>
          <w:sz w:val="20"/>
          <w:szCs w:val="20"/>
          <w:vertAlign w:val="superscript"/>
          <w:lang w:val="uk-UA"/>
        </w:rPr>
        <w:t>5</w:t>
      </w:r>
    </w:p>
    <w:p w14:paraId="1E1DD18D" w14:textId="5DA15DA1" w:rsidR="00E05B98" w:rsidRPr="003C6DAE" w:rsidRDefault="004E11CC" w:rsidP="004A2937">
      <w:pPr>
        <w:pStyle w:val="a4"/>
        <w:numPr>
          <w:ilvl w:val="3"/>
          <w:numId w:val="31"/>
        </w:numPr>
        <w:tabs>
          <w:tab w:val="left" w:pos="850"/>
        </w:tabs>
        <w:spacing w:before="2" w:line="297" w:lineRule="auto"/>
        <w:ind w:right="141" w:hanging="284"/>
        <w:rPr>
          <w:sz w:val="20"/>
          <w:szCs w:val="20"/>
          <w:lang w:val="uk-UA"/>
        </w:rPr>
      </w:pPr>
      <w:r w:rsidRPr="003C6DAE">
        <w:rPr>
          <w:spacing w:val="-4"/>
          <w:sz w:val="20"/>
          <w:szCs w:val="20"/>
          <w:lang w:val="uk-UA"/>
        </w:rPr>
        <w:t>Діти та особливо діти, які живуть з ВІЛ, обговорюються в розділі, присвяченому одночасному використанню первинних діагностичних тестів на туберкульоз у дітей</w:t>
      </w:r>
      <w:r w:rsidR="00B01E0C" w:rsidRPr="003C6DAE">
        <w:rPr>
          <w:sz w:val="20"/>
          <w:szCs w:val="20"/>
          <w:lang w:val="uk-UA"/>
        </w:rPr>
        <w:t>.</w:t>
      </w:r>
    </w:p>
    <w:p w14:paraId="78FCD194" w14:textId="09F18DA8" w:rsidR="00E05B98" w:rsidRPr="003C6DAE" w:rsidRDefault="004E11CC" w:rsidP="004A2937">
      <w:pPr>
        <w:pStyle w:val="a4"/>
        <w:numPr>
          <w:ilvl w:val="3"/>
          <w:numId w:val="31"/>
        </w:numPr>
        <w:tabs>
          <w:tab w:val="left" w:pos="850"/>
        </w:tabs>
        <w:spacing w:before="3" w:line="297" w:lineRule="auto"/>
        <w:ind w:right="141" w:hanging="284"/>
        <w:rPr>
          <w:sz w:val="20"/>
          <w:szCs w:val="20"/>
          <w:lang w:val="uk-UA"/>
        </w:rPr>
      </w:pPr>
      <w:r w:rsidRPr="003C6DAE">
        <w:rPr>
          <w:sz w:val="20"/>
          <w:szCs w:val="20"/>
          <w:lang w:val="uk-UA"/>
        </w:rPr>
        <w:t>Дорослі та підлітки, які живуть з ВІЛ, обговорюються в розділі, присвяченому одночасному використанню первинних діагностичних тестів на туберкульоз у людей, які живуть з ВІЛ.</w:t>
      </w:r>
    </w:p>
    <w:p w14:paraId="16012649" w14:textId="50CBA706" w:rsidR="00E05B98" w:rsidRPr="003C6DAE" w:rsidRDefault="00C42EC8" w:rsidP="004A2937">
      <w:pPr>
        <w:pStyle w:val="a4"/>
        <w:numPr>
          <w:ilvl w:val="3"/>
          <w:numId w:val="31"/>
        </w:numPr>
        <w:tabs>
          <w:tab w:val="left" w:pos="850"/>
        </w:tabs>
        <w:spacing w:before="2" w:line="297" w:lineRule="auto"/>
        <w:ind w:right="141" w:hanging="284"/>
        <w:rPr>
          <w:sz w:val="20"/>
          <w:szCs w:val="20"/>
          <w:lang w:val="uk-UA"/>
        </w:rPr>
      </w:pPr>
      <w:r w:rsidRPr="003C6DAE">
        <w:rPr>
          <w:spacing w:val="-2"/>
          <w:sz w:val="20"/>
          <w:szCs w:val="20"/>
          <w:lang w:val="uk-UA"/>
        </w:rPr>
        <w:t xml:space="preserve">Продукти, для яких прийнятні дані відповідали критеріям ефективності на основі класу аТАНК-НС для цієї рекомендації, </w:t>
      </w:r>
      <w:r w:rsidR="007E3C8F">
        <w:rPr>
          <w:spacing w:val="-2"/>
          <w:sz w:val="20"/>
          <w:szCs w:val="20"/>
          <w:lang w:val="uk-UA"/>
        </w:rPr>
        <w:t>включали</w:t>
      </w:r>
      <w:r w:rsidRPr="003C6DAE">
        <w:rPr>
          <w:spacing w:val="-2"/>
          <w:sz w:val="20"/>
          <w:szCs w:val="20"/>
          <w:lang w:val="uk-UA"/>
        </w:rPr>
        <w:t xml:space="preserve"> тести Xpert MTB/RIF Ultra (</w:t>
      </w:r>
      <w:r w:rsidR="007E3C8F">
        <w:rPr>
          <w:spacing w:val="-2"/>
          <w:sz w:val="20"/>
          <w:szCs w:val="20"/>
          <w:lang w:val="uk-UA"/>
        </w:rPr>
        <w:t>компанія «</w:t>
      </w:r>
      <w:r w:rsidRPr="003C6DAE">
        <w:rPr>
          <w:spacing w:val="-2"/>
          <w:sz w:val="20"/>
          <w:szCs w:val="20"/>
          <w:lang w:val="uk-UA"/>
        </w:rPr>
        <w:t>Cepheid</w:t>
      </w:r>
      <w:r w:rsidR="007E3C8F">
        <w:rPr>
          <w:spacing w:val="-2"/>
          <w:sz w:val="20"/>
          <w:szCs w:val="20"/>
          <w:lang w:val="uk-UA"/>
        </w:rPr>
        <w:t>»</w:t>
      </w:r>
      <w:r w:rsidRPr="003C6DAE">
        <w:rPr>
          <w:spacing w:val="-2"/>
          <w:sz w:val="20"/>
          <w:szCs w:val="20"/>
          <w:lang w:val="uk-UA"/>
        </w:rPr>
        <w:t>, Sunnyvale, Сполучені Штати Америки [США]) і Truenat MTB Plus (</w:t>
      </w:r>
      <w:r w:rsidR="007E3C8F">
        <w:rPr>
          <w:spacing w:val="-2"/>
          <w:sz w:val="20"/>
          <w:szCs w:val="20"/>
          <w:lang w:val="uk-UA"/>
        </w:rPr>
        <w:t>компанія «</w:t>
      </w:r>
      <w:r w:rsidRPr="003C6DAE">
        <w:rPr>
          <w:spacing w:val="-2"/>
          <w:sz w:val="20"/>
          <w:szCs w:val="20"/>
          <w:lang w:val="uk-UA"/>
        </w:rPr>
        <w:t>Molbio</w:t>
      </w:r>
      <w:r w:rsidR="007E3C8F">
        <w:rPr>
          <w:spacing w:val="-2"/>
          <w:sz w:val="20"/>
          <w:szCs w:val="20"/>
          <w:lang w:val="uk-UA"/>
        </w:rPr>
        <w:t>»</w:t>
      </w:r>
      <w:r w:rsidRPr="003C6DAE">
        <w:rPr>
          <w:spacing w:val="-2"/>
          <w:sz w:val="20"/>
          <w:szCs w:val="20"/>
          <w:lang w:val="uk-UA"/>
        </w:rPr>
        <w:t>, Гоа, Індія). Дані щодо тестів Truenat MTB Plus і MTB-RIF Dx були більш обмеженими, ніж для Xpert Ultra</w:t>
      </w:r>
      <w:r w:rsidR="00B01E0C" w:rsidRPr="003C6DAE">
        <w:rPr>
          <w:w w:val="105"/>
          <w:sz w:val="20"/>
          <w:szCs w:val="20"/>
          <w:lang w:val="uk-UA"/>
        </w:rPr>
        <w:t>.</w:t>
      </w:r>
    </w:p>
    <w:p w14:paraId="45267A63" w14:textId="77777777" w:rsidR="00E05B98" w:rsidRPr="003C6DAE" w:rsidRDefault="00E05B98">
      <w:pPr>
        <w:pStyle w:val="a3"/>
        <w:spacing w:before="1"/>
        <w:rPr>
          <w:sz w:val="18"/>
          <w:lang w:val="uk-UA"/>
        </w:rPr>
      </w:pPr>
    </w:p>
    <w:tbl>
      <w:tblPr>
        <w:tblStyle w:val="TableNormal"/>
        <w:tblW w:w="0" w:type="auto"/>
        <w:tblInd w:w="58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333"/>
      </w:tblGrid>
      <w:tr w:rsidR="00E05B98" w:rsidRPr="00D029FF" w14:paraId="138CC45E" w14:textId="77777777" w:rsidTr="007E3C8F">
        <w:trPr>
          <w:trHeight w:val="1612"/>
        </w:trPr>
        <w:tc>
          <w:tcPr>
            <w:tcW w:w="9333" w:type="dxa"/>
          </w:tcPr>
          <w:p w14:paraId="703206D2" w14:textId="25B40187" w:rsidR="00E05B98" w:rsidRPr="007E3C8F" w:rsidRDefault="00B01E0C" w:rsidP="007E3C8F">
            <w:pPr>
              <w:pStyle w:val="TableParagraph"/>
              <w:spacing w:before="245" w:line="276" w:lineRule="auto"/>
              <w:ind w:left="681" w:right="262" w:hanging="283"/>
              <w:jc w:val="both"/>
              <w:rPr>
                <w:b/>
                <w:sz w:val="20"/>
                <w:szCs w:val="20"/>
                <w:lang w:val="uk-UA"/>
              </w:rPr>
            </w:pPr>
            <w:r w:rsidRPr="003C6DAE">
              <w:rPr>
                <w:rFonts w:ascii="Arial"/>
                <w:b/>
                <w:lang w:val="uk-UA"/>
              </w:rPr>
              <w:t>2.</w:t>
            </w:r>
            <w:r w:rsidR="007E3C8F">
              <w:rPr>
                <w:rFonts w:ascii="Arial"/>
                <w:b/>
                <w:lang w:val="uk-UA"/>
              </w:rPr>
              <w:t xml:space="preserve"> </w:t>
            </w:r>
            <w:r w:rsidR="00C42EC8" w:rsidRPr="007E3C8F">
              <w:rPr>
                <w:b/>
                <w:sz w:val="20"/>
                <w:szCs w:val="20"/>
                <w:lang w:val="uk-UA"/>
              </w:rPr>
              <w:t xml:space="preserve">Для людей з бактеріологічно підтвердженим ТБ слід використовувати автоматизовані ТАНК низької складності </w:t>
            </w:r>
            <w:r w:rsidR="007E3C8F">
              <w:rPr>
                <w:b/>
                <w:sz w:val="20"/>
                <w:szCs w:val="20"/>
                <w:lang w:val="uk-UA"/>
              </w:rPr>
              <w:t>на зразках</w:t>
            </w:r>
            <w:r w:rsidR="00C42EC8" w:rsidRPr="007E3C8F">
              <w:rPr>
                <w:b/>
                <w:sz w:val="20"/>
                <w:szCs w:val="20"/>
                <w:lang w:val="uk-UA"/>
              </w:rPr>
              <w:t xml:space="preserve"> із </w:t>
            </w:r>
            <w:r w:rsidR="007E3C8F">
              <w:rPr>
                <w:b/>
                <w:sz w:val="20"/>
                <w:szCs w:val="20"/>
                <w:lang w:val="uk-UA"/>
              </w:rPr>
              <w:t>дихальних</w:t>
            </w:r>
            <w:r w:rsidR="00C42EC8" w:rsidRPr="007E3C8F">
              <w:rPr>
                <w:b/>
                <w:sz w:val="20"/>
                <w:szCs w:val="20"/>
                <w:lang w:val="uk-UA"/>
              </w:rPr>
              <w:t xml:space="preserve"> шляхів у якості первинних тестів </w:t>
            </w:r>
            <w:r w:rsidR="007E3C8F">
              <w:rPr>
                <w:b/>
                <w:sz w:val="20"/>
                <w:szCs w:val="20"/>
                <w:lang w:val="uk-UA"/>
              </w:rPr>
              <w:t>для</w:t>
            </w:r>
            <w:r w:rsidR="00C42EC8" w:rsidRPr="007E3C8F">
              <w:rPr>
                <w:b/>
                <w:sz w:val="20"/>
                <w:szCs w:val="20"/>
                <w:lang w:val="uk-UA"/>
              </w:rPr>
              <w:t xml:space="preserve"> виявлення стійкості до рифампіцину замість </w:t>
            </w:r>
            <w:r w:rsidR="007E3C8F">
              <w:rPr>
                <w:b/>
                <w:sz w:val="20"/>
                <w:szCs w:val="20"/>
                <w:lang w:val="uk-UA"/>
              </w:rPr>
              <w:t xml:space="preserve">виконання </w:t>
            </w:r>
            <w:r w:rsidR="00C42EC8" w:rsidRPr="007E3C8F">
              <w:rPr>
                <w:b/>
                <w:sz w:val="20"/>
                <w:szCs w:val="20"/>
                <w:lang w:val="uk-UA"/>
              </w:rPr>
              <w:t>ТМЧ на основі бакпосіву.</w:t>
            </w:r>
          </w:p>
          <w:p w14:paraId="4A3CA4D8" w14:textId="7A4FA675" w:rsidR="00E05B98" w:rsidRPr="003C6DAE" w:rsidRDefault="00B01E0C" w:rsidP="007E3C8F">
            <w:pPr>
              <w:pStyle w:val="TableParagraph"/>
              <w:spacing w:before="54" w:line="276" w:lineRule="auto"/>
              <w:ind w:left="680"/>
              <w:jc w:val="both"/>
              <w:rPr>
                <w:rFonts w:ascii="Arial"/>
                <w:i/>
                <w:lang w:val="uk-UA"/>
              </w:rPr>
            </w:pPr>
            <w:r w:rsidRPr="007E3C8F">
              <w:rPr>
                <w:i/>
                <w:sz w:val="20"/>
                <w:szCs w:val="20"/>
                <w:lang w:val="uk-UA"/>
              </w:rPr>
              <w:t>(</w:t>
            </w:r>
            <w:r w:rsidR="00C42EC8" w:rsidRPr="007E3C8F">
              <w:rPr>
                <w:i/>
                <w:sz w:val="20"/>
                <w:szCs w:val="20"/>
                <w:lang w:val="uk-UA"/>
              </w:rPr>
              <w:t xml:space="preserve">Настійна рекомендація, висока </w:t>
            </w:r>
            <w:r w:rsidR="007E3C8F">
              <w:rPr>
                <w:i/>
                <w:sz w:val="20"/>
                <w:szCs w:val="20"/>
                <w:lang w:val="uk-UA"/>
              </w:rPr>
              <w:t xml:space="preserve">ступінь </w:t>
            </w:r>
            <w:r w:rsidR="00C42EC8" w:rsidRPr="007E3C8F">
              <w:rPr>
                <w:i/>
                <w:sz w:val="20"/>
                <w:szCs w:val="20"/>
                <w:lang w:val="uk-UA"/>
              </w:rPr>
              <w:t>достовірн</w:t>
            </w:r>
            <w:r w:rsidR="007E3C8F">
              <w:rPr>
                <w:i/>
                <w:sz w:val="20"/>
                <w:szCs w:val="20"/>
                <w:lang w:val="uk-UA"/>
              </w:rPr>
              <w:t>ості</w:t>
            </w:r>
            <w:r w:rsidR="00C42EC8" w:rsidRPr="007E3C8F">
              <w:rPr>
                <w:i/>
                <w:sz w:val="20"/>
                <w:szCs w:val="20"/>
                <w:lang w:val="uk-UA"/>
              </w:rPr>
              <w:t xml:space="preserve"> доказів</w:t>
            </w:r>
            <w:r w:rsidRPr="007E3C8F">
              <w:rPr>
                <w:i/>
                <w:spacing w:val="-2"/>
                <w:sz w:val="20"/>
                <w:szCs w:val="20"/>
                <w:lang w:val="uk-UA"/>
              </w:rPr>
              <w:t>)</w:t>
            </w:r>
          </w:p>
        </w:tc>
      </w:tr>
    </w:tbl>
    <w:p w14:paraId="1A561215" w14:textId="3D4230A0" w:rsidR="00E05B98" w:rsidRPr="003C6DAE" w:rsidRDefault="00DA5A55">
      <w:pPr>
        <w:pStyle w:val="6"/>
        <w:spacing w:before="210"/>
        <w:rPr>
          <w:rFonts w:ascii="Microsoft Sans Serif" w:hAnsi="Microsoft Sans Serif" w:cs="Microsoft Sans Serif"/>
          <w:sz w:val="22"/>
          <w:szCs w:val="22"/>
          <w:lang w:val="uk-UA"/>
        </w:rPr>
      </w:pPr>
      <w:r>
        <w:rPr>
          <w:rFonts w:ascii="Microsoft Sans Serif" w:hAnsi="Microsoft Sans Serif" w:cs="Microsoft Sans Serif"/>
          <w:spacing w:val="-2"/>
          <w:sz w:val="22"/>
          <w:szCs w:val="22"/>
          <w:lang w:val="uk-UA"/>
        </w:rPr>
        <w:t xml:space="preserve">Примітки </w:t>
      </w:r>
    </w:p>
    <w:p w14:paraId="2B95052E" w14:textId="77777777" w:rsidR="00806E74" w:rsidRPr="003C6DAE" w:rsidRDefault="00806E74" w:rsidP="004A2937">
      <w:pPr>
        <w:pStyle w:val="a4"/>
        <w:numPr>
          <w:ilvl w:val="3"/>
          <w:numId w:val="31"/>
        </w:numPr>
        <w:tabs>
          <w:tab w:val="left" w:pos="850"/>
        </w:tabs>
        <w:spacing w:line="297" w:lineRule="auto"/>
        <w:ind w:hanging="283"/>
        <w:rPr>
          <w:sz w:val="20"/>
          <w:szCs w:val="20"/>
          <w:lang w:val="uk-UA"/>
        </w:rPr>
      </w:pPr>
      <w:r w:rsidRPr="003C6DAE">
        <w:rPr>
          <w:sz w:val="20"/>
          <w:szCs w:val="20"/>
          <w:lang w:val="uk-UA"/>
        </w:rPr>
        <w:t>Ця рекомендація застовна для всіх людей, які живуть з ВІЛ.</w:t>
      </w:r>
    </w:p>
    <w:p w14:paraId="730EBBA6" w14:textId="31A2C7A6" w:rsidR="00E05B98" w:rsidRPr="003C6DAE" w:rsidRDefault="00806E74" w:rsidP="004A2937">
      <w:pPr>
        <w:pStyle w:val="a4"/>
        <w:numPr>
          <w:ilvl w:val="3"/>
          <w:numId w:val="31"/>
        </w:numPr>
        <w:tabs>
          <w:tab w:val="left" w:pos="850"/>
        </w:tabs>
        <w:spacing w:line="297" w:lineRule="auto"/>
        <w:ind w:hanging="283"/>
        <w:rPr>
          <w:sz w:val="20"/>
          <w:szCs w:val="20"/>
          <w:lang w:val="uk-UA"/>
        </w:rPr>
      </w:pPr>
      <w:r w:rsidRPr="003C6DAE">
        <w:rPr>
          <w:sz w:val="20"/>
          <w:szCs w:val="20"/>
          <w:lang w:val="uk-UA"/>
        </w:rPr>
        <w:t xml:space="preserve">Рекомендацію було екстрапольовано на дітей на основі узагальнення даних дорослих і обмежених даних дітей. У дітей зразки з </w:t>
      </w:r>
      <w:r w:rsidR="007E3C8F">
        <w:rPr>
          <w:sz w:val="20"/>
          <w:szCs w:val="20"/>
          <w:lang w:val="uk-UA"/>
        </w:rPr>
        <w:t>дихальних</w:t>
      </w:r>
      <w:r w:rsidRPr="003C6DAE">
        <w:rPr>
          <w:sz w:val="20"/>
          <w:szCs w:val="20"/>
          <w:lang w:val="uk-UA"/>
        </w:rPr>
        <w:t xml:space="preserve"> </w:t>
      </w:r>
      <w:r w:rsidR="00176989" w:rsidRPr="003C6DAE">
        <w:rPr>
          <w:sz w:val="20"/>
          <w:szCs w:val="20"/>
          <w:lang w:val="uk-UA"/>
        </w:rPr>
        <w:t>шляхів</w:t>
      </w:r>
      <w:r w:rsidRPr="003C6DAE">
        <w:rPr>
          <w:sz w:val="20"/>
          <w:szCs w:val="20"/>
          <w:lang w:val="uk-UA"/>
        </w:rPr>
        <w:t xml:space="preserve"> включають мокротиння, БАЛ, індуковане мокротиння, назофарингеальний аспірат і шлунковий аспірат.</w:t>
      </w:r>
    </w:p>
    <w:p w14:paraId="1741B73C" w14:textId="029B8CC8" w:rsidR="00E05B98" w:rsidRPr="003C6DAE" w:rsidRDefault="00806E74" w:rsidP="004A2937">
      <w:pPr>
        <w:pStyle w:val="a4"/>
        <w:numPr>
          <w:ilvl w:val="3"/>
          <w:numId w:val="31"/>
        </w:numPr>
        <w:tabs>
          <w:tab w:val="left" w:pos="850"/>
        </w:tabs>
        <w:spacing w:before="4" w:line="297" w:lineRule="auto"/>
        <w:ind w:hanging="284"/>
        <w:rPr>
          <w:sz w:val="20"/>
          <w:szCs w:val="20"/>
          <w:lang w:val="uk-UA"/>
        </w:rPr>
      </w:pPr>
      <w:r w:rsidRPr="003C6DAE">
        <w:rPr>
          <w:w w:val="105"/>
          <w:sz w:val="20"/>
          <w:szCs w:val="20"/>
          <w:lang w:val="uk-UA"/>
        </w:rPr>
        <w:t xml:space="preserve">Рекомендацію було екстрапольовано на людей із позалегеневим туберкульозом на основі узагальнення даних дорослих з </w:t>
      </w:r>
      <w:r w:rsidR="007E3C8F">
        <w:rPr>
          <w:w w:val="105"/>
          <w:sz w:val="20"/>
          <w:szCs w:val="20"/>
          <w:lang w:val="uk-UA"/>
        </w:rPr>
        <w:t>ТБ легень</w:t>
      </w:r>
      <w:r w:rsidR="00B01E0C" w:rsidRPr="003C6DAE">
        <w:rPr>
          <w:w w:val="105"/>
          <w:sz w:val="20"/>
          <w:szCs w:val="20"/>
          <w:lang w:val="uk-UA"/>
        </w:rPr>
        <w:t>.</w:t>
      </w:r>
    </w:p>
    <w:p w14:paraId="4F1F29E0" w14:textId="5CAE2D45" w:rsidR="00E05B98" w:rsidRPr="003C6DAE" w:rsidRDefault="00C44C58" w:rsidP="004A2937">
      <w:pPr>
        <w:pStyle w:val="a4"/>
        <w:numPr>
          <w:ilvl w:val="3"/>
          <w:numId w:val="31"/>
        </w:numPr>
        <w:tabs>
          <w:tab w:val="left" w:pos="850"/>
        </w:tabs>
        <w:spacing w:before="3" w:line="297" w:lineRule="auto"/>
        <w:ind w:hanging="284"/>
        <w:rPr>
          <w:lang w:val="uk-UA"/>
        </w:rPr>
      </w:pPr>
      <w:r w:rsidRPr="003C6DAE">
        <w:rPr>
          <w:spacing w:val="-2"/>
          <w:sz w:val="20"/>
          <w:szCs w:val="20"/>
          <w:lang w:val="uk-UA"/>
        </w:rPr>
        <w:t>Продукти, для яких при</w:t>
      </w:r>
      <w:r w:rsidR="007E3C8F">
        <w:rPr>
          <w:spacing w:val="-2"/>
          <w:sz w:val="20"/>
          <w:szCs w:val="20"/>
          <w:lang w:val="uk-UA"/>
        </w:rPr>
        <w:t>йнятні</w:t>
      </w:r>
      <w:r w:rsidRPr="003C6DAE">
        <w:rPr>
          <w:spacing w:val="-2"/>
          <w:sz w:val="20"/>
          <w:szCs w:val="20"/>
          <w:lang w:val="uk-UA"/>
        </w:rPr>
        <w:t xml:space="preserve"> дані відповідали критеріям ефективності на основі класу аТАНК-НС для цієї рекомендації, </w:t>
      </w:r>
      <w:r w:rsidR="00595B7C">
        <w:rPr>
          <w:spacing w:val="-2"/>
          <w:sz w:val="20"/>
          <w:szCs w:val="20"/>
          <w:lang w:val="uk-UA"/>
        </w:rPr>
        <w:t>включали</w:t>
      </w:r>
      <w:r w:rsidRPr="003C6DAE">
        <w:rPr>
          <w:spacing w:val="-2"/>
          <w:sz w:val="20"/>
          <w:szCs w:val="20"/>
          <w:lang w:val="uk-UA"/>
        </w:rPr>
        <w:t xml:space="preserve"> тести Xpert MTB/RIF Ultra (</w:t>
      </w:r>
      <w:r w:rsidR="00595B7C">
        <w:rPr>
          <w:spacing w:val="-2"/>
          <w:sz w:val="20"/>
          <w:szCs w:val="20"/>
          <w:lang w:val="uk-UA"/>
        </w:rPr>
        <w:t>компанія «</w:t>
      </w:r>
      <w:r w:rsidRPr="003C6DAE">
        <w:rPr>
          <w:spacing w:val="-2"/>
          <w:sz w:val="20"/>
          <w:szCs w:val="20"/>
          <w:lang w:val="uk-UA"/>
        </w:rPr>
        <w:t>Cepheid</w:t>
      </w:r>
      <w:r w:rsidR="00595B7C">
        <w:rPr>
          <w:spacing w:val="-2"/>
          <w:sz w:val="20"/>
          <w:szCs w:val="20"/>
          <w:lang w:val="uk-UA"/>
        </w:rPr>
        <w:t>»</w:t>
      </w:r>
      <w:r w:rsidRPr="003C6DAE">
        <w:rPr>
          <w:spacing w:val="-2"/>
          <w:sz w:val="20"/>
          <w:szCs w:val="20"/>
          <w:lang w:val="uk-UA"/>
        </w:rPr>
        <w:t>, Sunnyvale, Сполучені Штати Америки [США]) і Truenat MTB-RIF Dx (</w:t>
      </w:r>
      <w:r w:rsidR="00595B7C">
        <w:rPr>
          <w:spacing w:val="-2"/>
          <w:sz w:val="20"/>
          <w:szCs w:val="20"/>
          <w:lang w:val="uk-UA"/>
        </w:rPr>
        <w:t>компанія «</w:t>
      </w:r>
      <w:r w:rsidRPr="003C6DAE">
        <w:rPr>
          <w:spacing w:val="-2"/>
          <w:sz w:val="20"/>
          <w:szCs w:val="20"/>
          <w:lang w:val="uk-UA"/>
        </w:rPr>
        <w:t>Molbio</w:t>
      </w:r>
      <w:r w:rsidR="00595B7C">
        <w:rPr>
          <w:spacing w:val="-2"/>
          <w:sz w:val="20"/>
          <w:szCs w:val="20"/>
          <w:lang w:val="uk-UA"/>
        </w:rPr>
        <w:t>»</w:t>
      </w:r>
      <w:r w:rsidRPr="003C6DAE">
        <w:rPr>
          <w:spacing w:val="-2"/>
          <w:sz w:val="20"/>
          <w:szCs w:val="20"/>
          <w:lang w:val="uk-UA"/>
        </w:rPr>
        <w:t xml:space="preserve">, Гоа, Індія). Дані </w:t>
      </w:r>
      <w:r w:rsidR="00595B7C">
        <w:rPr>
          <w:spacing w:val="-2"/>
          <w:sz w:val="20"/>
          <w:szCs w:val="20"/>
          <w:lang w:val="uk-UA"/>
        </w:rPr>
        <w:t>стосовно</w:t>
      </w:r>
      <w:r w:rsidRPr="003C6DAE">
        <w:rPr>
          <w:spacing w:val="-2"/>
          <w:sz w:val="20"/>
          <w:szCs w:val="20"/>
          <w:lang w:val="uk-UA"/>
        </w:rPr>
        <w:t xml:space="preserve"> тест</w:t>
      </w:r>
      <w:r w:rsidR="00595B7C">
        <w:rPr>
          <w:spacing w:val="-2"/>
          <w:sz w:val="20"/>
          <w:szCs w:val="20"/>
          <w:lang w:val="uk-UA"/>
        </w:rPr>
        <w:t>у</w:t>
      </w:r>
      <w:r w:rsidRPr="003C6DAE">
        <w:rPr>
          <w:spacing w:val="-2"/>
          <w:sz w:val="20"/>
          <w:szCs w:val="20"/>
          <w:lang w:val="uk-UA"/>
        </w:rPr>
        <w:t xml:space="preserve"> MTB-RIF Dx були більш обмеженими, ніж дані для тесту Xpert Ultra.</w:t>
      </w:r>
    </w:p>
    <w:p w14:paraId="166AC156" w14:textId="77777777" w:rsidR="00E05B98" w:rsidRPr="003C6DAE" w:rsidRDefault="00B01E0C">
      <w:pPr>
        <w:pStyle w:val="a3"/>
        <w:spacing w:before="161"/>
        <w:rPr>
          <w:sz w:val="20"/>
          <w:lang w:val="uk-UA"/>
        </w:rPr>
      </w:pPr>
      <w:r w:rsidRPr="003C6DAE">
        <w:rPr>
          <w:noProof/>
          <w:sz w:val="20"/>
          <w:lang w:val="uk-UA"/>
        </w:rPr>
        <mc:AlternateContent>
          <mc:Choice Requires="wps">
            <w:drawing>
              <wp:anchor distT="0" distB="0" distL="0" distR="0" simplePos="0" relativeHeight="487646720" behindDoc="1" locked="0" layoutInCell="1" allowOverlap="1" wp14:anchorId="5A92D979" wp14:editId="2E6555FD">
                <wp:simplePos x="0" y="0"/>
                <wp:positionH relativeFrom="page">
                  <wp:posOffset>900000</wp:posOffset>
                </wp:positionH>
                <wp:positionV relativeFrom="paragraph">
                  <wp:posOffset>261652</wp:posOffset>
                </wp:positionV>
                <wp:extent cx="1440180" cy="127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55401C" id="Graphic 177" o:spid="_x0000_s1026" style="position:absolute;margin-left:70.85pt;margin-top:20.6pt;width:113.4pt;height:.1pt;z-index:-15669760;visibility:visible;mso-wrap-style:square;mso-wrap-distance-left:0;mso-wrap-distance-top:0;mso-wrap-distance-right:0;mso-wrap-distance-bottom:0;mso-position-horizontal:absolute;mso-position-horizontal-relative:page;mso-position-vertical:absolute;mso-position-vertical-relative:text;v-text-anchor:top" coordsize="1440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" path="m,l1440002,e" filled="f" strokeweight=".5pt">
                <v:path arrowok="t"/>
                <w10:wrap type="topAndBottom" anchorx="page"/>
              </v:shape>
            </w:pict>
          </mc:Fallback>
        </mc:AlternateContent>
      </w:r>
    </w:p>
    <w:p w14:paraId="1887C28E" w14:textId="377EBF4D" w:rsidR="00E05B98" w:rsidRPr="003C6DAE" w:rsidRDefault="00B01E0C" w:rsidP="00CB37A3">
      <w:pPr>
        <w:spacing w:before="124" w:line="290" w:lineRule="auto"/>
        <w:ind w:left="787" w:hanging="220"/>
        <w:jc w:val="both"/>
        <w:rPr>
          <w:sz w:val="16"/>
          <w:lang w:val="uk-UA"/>
        </w:rPr>
      </w:pPr>
      <w:r w:rsidRPr="003C6DAE">
        <w:rPr>
          <w:sz w:val="16"/>
          <w:vertAlign w:val="superscript"/>
          <w:lang w:val="uk-UA"/>
        </w:rPr>
        <w:t>5</w:t>
      </w:r>
      <w:r w:rsidRPr="003C6DAE">
        <w:rPr>
          <w:spacing w:val="65"/>
          <w:sz w:val="16"/>
          <w:lang w:val="uk-UA"/>
        </w:rPr>
        <w:t xml:space="preserve"> </w:t>
      </w:r>
      <w:r w:rsidR="00C44C58" w:rsidRPr="003C6DAE">
        <w:rPr>
          <w:sz w:val="16"/>
          <w:lang w:val="uk-UA"/>
        </w:rPr>
        <w:t>Наявність позитивного результату тесту, обстеження чи інш</w:t>
      </w:r>
      <w:r w:rsidR="00595B7C">
        <w:rPr>
          <w:sz w:val="16"/>
          <w:lang w:val="uk-UA"/>
        </w:rPr>
        <w:t>а</w:t>
      </w:r>
      <w:r w:rsidR="00C44C58" w:rsidRPr="003C6DAE">
        <w:rPr>
          <w:sz w:val="16"/>
          <w:lang w:val="uk-UA"/>
        </w:rPr>
        <w:t xml:space="preserve"> процедур</w:t>
      </w:r>
      <w:r w:rsidR="00595B7C">
        <w:rPr>
          <w:sz w:val="16"/>
          <w:lang w:val="uk-UA"/>
        </w:rPr>
        <w:t>а</w:t>
      </w:r>
      <w:r w:rsidR="00C44C58" w:rsidRPr="003C6DAE">
        <w:rPr>
          <w:sz w:val="16"/>
          <w:lang w:val="uk-UA"/>
        </w:rPr>
        <w:t xml:space="preserve">, яка використовується для того, щоб відрізнити людей з високою ймовірністю захворювання на ТБ від людей, які вкрай малоймовірно мають захворювання на ТБ. У даний час ВООЗ рекомендує такі тести в якості скринінгових тестів: рентгенографія органів грудної клітки (рентген </w:t>
      </w:r>
      <w:r w:rsidR="00595B7C">
        <w:rPr>
          <w:sz w:val="16"/>
          <w:lang w:val="uk-UA"/>
        </w:rPr>
        <w:t xml:space="preserve">органів </w:t>
      </w:r>
      <w:r w:rsidR="00C44C58" w:rsidRPr="003C6DAE">
        <w:rPr>
          <w:sz w:val="16"/>
          <w:lang w:val="uk-UA"/>
        </w:rPr>
        <w:t>грудної клітки; Р</w:t>
      </w:r>
      <w:r w:rsidR="00595B7C">
        <w:rPr>
          <w:sz w:val="16"/>
          <w:lang w:val="uk-UA"/>
        </w:rPr>
        <w:t>О</w:t>
      </w:r>
      <w:r w:rsidR="00C44C58" w:rsidRPr="003C6DAE">
        <w:rPr>
          <w:sz w:val="16"/>
          <w:lang w:val="uk-UA"/>
        </w:rPr>
        <w:t xml:space="preserve">ГК) з комп’ютерним виявленням (CAD) чи без нього, С-реактивний білок (СРБ) у людей, які живуть з ВІЛ, і рекомендований ВООЗ молекулярний швидкий </w:t>
      </w:r>
      <w:r w:rsidR="00A62F8C">
        <w:rPr>
          <w:sz w:val="16"/>
          <w:lang w:val="uk-UA"/>
        </w:rPr>
        <w:t xml:space="preserve">тест для діагностики </w:t>
      </w:r>
      <w:r w:rsidR="00C44C58" w:rsidRPr="003C6DAE">
        <w:rPr>
          <w:sz w:val="16"/>
          <w:lang w:val="uk-UA"/>
        </w:rPr>
        <w:t>ТБ (mWRD).</w:t>
      </w:r>
      <w:r w:rsidRPr="003C6DAE">
        <w:rPr>
          <w:sz w:val="16"/>
          <w:lang w:val="uk-UA"/>
        </w:rPr>
        <w:t xml:space="preserve"> (</w:t>
      </w:r>
      <w:hyperlink r:id="rId45">
        <w:r w:rsidRPr="003C6DAE">
          <w:rPr>
            <w:color w:val="019648"/>
            <w:sz w:val="16"/>
            <w:lang w:val="uk-UA"/>
          </w:rPr>
          <w:t>https://www.who.</w:t>
        </w:r>
      </w:hyperlink>
      <w:r w:rsidRPr="003C6DAE">
        <w:rPr>
          <w:color w:val="019648"/>
          <w:sz w:val="16"/>
          <w:lang w:val="uk-UA"/>
        </w:rPr>
        <w:t xml:space="preserve"> </w:t>
      </w:r>
      <w:hyperlink r:id="rId46">
        <w:proofErr w:type="spellStart"/>
        <w:r w:rsidRPr="003C6DAE">
          <w:rPr>
            <w:color w:val="019648"/>
            <w:spacing w:val="-2"/>
            <w:sz w:val="16"/>
            <w:lang w:val="uk-UA"/>
          </w:rPr>
          <w:t>int</w:t>
        </w:r>
        <w:proofErr w:type="spellEnd"/>
        <w:r w:rsidRPr="003C6DAE">
          <w:rPr>
            <w:color w:val="019648"/>
            <w:spacing w:val="-2"/>
            <w:sz w:val="16"/>
            <w:lang w:val="uk-UA"/>
          </w:rPr>
          <w:t>/</w:t>
        </w:r>
        <w:proofErr w:type="spellStart"/>
        <w:r w:rsidRPr="003C6DAE">
          <w:rPr>
            <w:color w:val="019648"/>
            <w:spacing w:val="-2"/>
            <w:sz w:val="16"/>
            <w:lang w:val="uk-UA"/>
          </w:rPr>
          <w:t>publications</w:t>
        </w:r>
        <w:proofErr w:type="spellEnd"/>
        <w:r w:rsidRPr="003C6DAE">
          <w:rPr>
            <w:color w:val="019648"/>
            <w:spacing w:val="-2"/>
            <w:sz w:val="16"/>
            <w:lang w:val="uk-UA"/>
          </w:rPr>
          <w:t>/i/</w:t>
        </w:r>
        <w:proofErr w:type="spellStart"/>
        <w:r w:rsidRPr="003C6DAE">
          <w:rPr>
            <w:color w:val="019648"/>
            <w:spacing w:val="-2"/>
            <w:sz w:val="16"/>
            <w:lang w:val="uk-UA"/>
          </w:rPr>
          <w:t>item</w:t>
        </w:r>
        <w:proofErr w:type="spellEnd"/>
        <w:r w:rsidRPr="003C6DAE">
          <w:rPr>
            <w:color w:val="019648"/>
            <w:spacing w:val="-2"/>
            <w:sz w:val="16"/>
            <w:lang w:val="uk-UA"/>
          </w:rPr>
          <w:t>/9789240022676</w:t>
        </w:r>
      </w:hyperlink>
      <w:r w:rsidRPr="003C6DAE">
        <w:rPr>
          <w:spacing w:val="-2"/>
          <w:sz w:val="16"/>
          <w:lang w:val="uk-UA"/>
        </w:rPr>
        <w:t>).</w:t>
      </w:r>
    </w:p>
    <w:p w14:paraId="2B3F91E9" w14:textId="77777777" w:rsidR="00E05B98" w:rsidRPr="003C6DAE" w:rsidRDefault="00E05B98">
      <w:pPr>
        <w:spacing w:line="290" w:lineRule="auto"/>
        <w:jc w:val="both"/>
        <w:rPr>
          <w:sz w:val="16"/>
          <w:lang w:val="uk-UA"/>
        </w:rPr>
        <w:sectPr w:rsidR="00E05B98" w:rsidRPr="003C6DAE" w:rsidSect="00CB37A3">
          <w:footerReference w:type="even" r:id="rId47"/>
          <w:footerReference w:type="default" r:id="rId48"/>
          <w:pgSz w:w="11910" w:h="16840"/>
          <w:pgMar w:top="1320" w:right="995" w:bottom="760" w:left="850" w:header="0" w:footer="573" w:gutter="0"/>
          <w:pgNumType w:start="11"/>
          <w:cols w:space="720"/>
        </w:sectPr>
      </w:pPr>
    </w:p>
    <w:tbl>
      <w:tblPr>
        <w:tblStyle w:val="TableNormal"/>
        <w:tblW w:w="9475" w:type="dxa"/>
        <w:tblInd w:w="58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475"/>
      </w:tblGrid>
      <w:tr w:rsidR="00E05B98" w:rsidRPr="00D029FF" w14:paraId="03BDB3CD" w14:textId="77777777" w:rsidTr="00CB37A3">
        <w:trPr>
          <w:trHeight w:val="1714"/>
        </w:trPr>
        <w:tc>
          <w:tcPr>
            <w:tcW w:w="9475" w:type="dxa"/>
          </w:tcPr>
          <w:p w14:paraId="73D3A2FA" w14:textId="579AC491" w:rsidR="00E05B98" w:rsidRPr="003C6DAE" w:rsidRDefault="00B01E0C" w:rsidP="00C44C58">
            <w:pPr>
              <w:pStyle w:val="TableParagraph"/>
              <w:spacing w:before="245" w:line="295" w:lineRule="auto"/>
              <w:ind w:left="403" w:right="266" w:hanging="284"/>
              <w:jc w:val="both"/>
              <w:rPr>
                <w:b/>
                <w:sz w:val="20"/>
                <w:szCs w:val="20"/>
                <w:lang w:val="uk-UA"/>
              </w:rPr>
            </w:pPr>
            <w:r w:rsidRPr="003C6DAE">
              <w:rPr>
                <w:rFonts w:ascii="Arial"/>
                <w:b/>
                <w:lang w:val="uk-UA"/>
              </w:rPr>
              <w:lastRenderedPageBreak/>
              <w:t>3.</w:t>
            </w:r>
            <w:r w:rsidRPr="003C6DAE">
              <w:rPr>
                <w:rFonts w:ascii="Arial"/>
                <w:b/>
                <w:spacing w:val="40"/>
                <w:lang w:val="uk-UA"/>
              </w:rPr>
              <w:t xml:space="preserve"> </w:t>
            </w:r>
            <w:r w:rsidR="004F72F3" w:rsidRPr="003C6DAE">
              <w:rPr>
                <w:b/>
                <w:sz w:val="20"/>
                <w:szCs w:val="20"/>
                <w:lang w:val="uk-UA"/>
              </w:rPr>
              <w:t>Для людей з ознаками та симптомами туберкульозного менінгіту для первинної діагностики туберкульозного менінгіту слід використовувати автоматизовані ТАНК низької складності для дослідження спинномозкової рідини</w:t>
            </w:r>
            <w:r w:rsidR="00595B7C">
              <w:rPr>
                <w:b/>
                <w:sz w:val="20"/>
                <w:szCs w:val="20"/>
                <w:lang w:val="uk-UA"/>
              </w:rPr>
              <w:t xml:space="preserve"> замість</w:t>
            </w:r>
            <w:r w:rsidR="004F72F3" w:rsidRPr="003C6DAE">
              <w:rPr>
                <w:b/>
                <w:sz w:val="20"/>
                <w:szCs w:val="20"/>
                <w:lang w:val="uk-UA"/>
              </w:rPr>
              <w:t xml:space="preserve"> мікроскопі</w:t>
            </w:r>
            <w:r w:rsidR="00595B7C">
              <w:rPr>
                <w:b/>
                <w:sz w:val="20"/>
                <w:szCs w:val="20"/>
                <w:lang w:val="uk-UA"/>
              </w:rPr>
              <w:t>ї</w:t>
            </w:r>
            <w:r w:rsidR="004F72F3" w:rsidRPr="003C6DAE">
              <w:rPr>
                <w:b/>
                <w:sz w:val="20"/>
                <w:szCs w:val="20"/>
                <w:lang w:val="uk-UA"/>
              </w:rPr>
              <w:t xml:space="preserve"> мазка чи бакпосів</w:t>
            </w:r>
            <w:r w:rsidR="00595B7C">
              <w:rPr>
                <w:b/>
                <w:sz w:val="20"/>
                <w:szCs w:val="20"/>
                <w:lang w:val="uk-UA"/>
              </w:rPr>
              <w:t>у</w:t>
            </w:r>
            <w:r w:rsidR="004F72F3" w:rsidRPr="003C6DAE">
              <w:rPr>
                <w:b/>
                <w:sz w:val="20"/>
                <w:szCs w:val="20"/>
                <w:lang w:val="uk-UA"/>
              </w:rPr>
              <w:t>.</w:t>
            </w:r>
          </w:p>
          <w:p w14:paraId="192035D4" w14:textId="7F78B394" w:rsidR="00E05B98" w:rsidRPr="003C6DAE" w:rsidRDefault="00B01E0C" w:rsidP="004F72F3">
            <w:pPr>
              <w:pStyle w:val="TableParagraph"/>
              <w:spacing w:before="54"/>
              <w:ind w:left="403"/>
              <w:jc w:val="both"/>
              <w:rPr>
                <w:rFonts w:ascii="Arial"/>
                <w:i/>
                <w:lang w:val="uk-UA"/>
              </w:rPr>
            </w:pPr>
            <w:r w:rsidRPr="003C6DAE">
              <w:rPr>
                <w:i/>
                <w:sz w:val="20"/>
                <w:szCs w:val="20"/>
                <w:lang w:val="uk-UA"/>
              </w:rPr>
              <w:t>(</w:t>
            </w:r>
            <w:r w:rsidR="004F72F3" w:rsidRPr="003C6DAE">
              <w:rPr>
                <w:i/>
                <w:sz w:val="20"/>
                <w:szCs w:val="20"/>
                <w:lang w:val="uk-UA"/>
              </w:rPr>
              <w:t>Настійна рекомендація, висок</w:t>
            </w:r>
            <w:r w:rsidR="00595B7C">
              <w:rPr>
                <w:i/>
                <w:sz w:val="20"/>
                <w:szCs w:val="20"/>
                <w:lang w:val="uk-UA"/>
              </w:rPr>
              <w:t>ий ступінь</w:t>
            </w:r>
            <w:r w:rsidR="004F72F3" w:rsidRPr="003C6DAE">
              <w:rPr>
                <w:i/>
                <w:sz w:val="20"/>
                <w:szCs w:val="20"/>
                <w:lang w:val="uk-UA"/>
              </w:rPr>
              <w:t xml:space="preserve"> достовірн</w:t>
            </w:r>
            <w:r w:rsidR="00595B7C">
              <w:rPr>
                <w:i/>
                <w:sz w:val="20"/>
                <w:szCs w:val="20"/>
                <w:lang w:val="uk-UA"/>
              </w:rPr>
              <w:t>ості</w:t>
            </w:r>
            <w:r w:rsidR="004F72F3" w:rsidRPr="003C6DAE">
              <w:rPr>
                <w:i/>
                <w:sz w:val="20"/>
                <w:szCs w:val="20"/>
                <w:lang w:val="uk-UA"/>
              </w:rPr>
              <w:t xml:space="preserve"> доказів</w:t>
            </w:r>
            <w:r w:rsidRPr="003C6DAE">
              <w:rPr>
                <w:i/>
                <w:spacing w:val="-2"/>
                <w:sz w:val="20"/>
                <w:szCs w:val="20"/>
                <w:lang w:val="uk-UA"/>
              </w:rPr>
              <w:t>)</w:t>
            </w:r>
          </w:p>
        </w:tc>
      </w:tr>
    </w:tbl>
    <w:p w14:paraId="1FA77247" w14:textId="26915066" w:rsidR="00E05B98" w:rsidRPr="003C6DAE" w:rsidRDefault="00DA5A55">
      <w:pPr>
        <w:pStyle w:val="6"/>
        <w:spacing w:before="210"/>
        <w:rPr>
          <w:rFonts w:ascii="Microsoft Sans Serif" w:hAnsi="Microsoft Sans Serif" w:cs="Microsoft Sans Serif"/>
          <w:sz w:val="22"/>
          <w:szCs w:val="22"/>
          <w:lang w:val="uk-UA"/>
        </w:rPr>
      </w:pPr>
      <w:r>
        <w:rPr>
          <w:rFonts w:ascii="Microsoft Sans Serif" w:hAnsi="Microsoft Sans Serif" w:cs="Microsoft Sans Serif"/>
          <w:spacing w:val="-2"/>
          <w:sz w:val="22"/>
          <w:szCs w:val="22"/>
          <w:lang w:val="uk-UA"/>
        </w:rPr>
        <w:t>Примітки</w:t>
      </w:r>
    </w:p>
    <w:p w14:paraId="2E0C9E17" w14:textId="77777777" w:rsidR="004F72F3" w:rsidRPr="003C6DAE" w:rsidRDefault="004F72F3" w:rsidP="004A2937">
      <w:pPr>
        <w:pStyle w:val="a4"/>
        <w:numPr>
          <w:ilvl w:val="3"/>
          <w:numId w:val="31"/>
        </w:numPr>
        <w:tabs>
          <w:tab w:val="left" w:pos="850"/>
        </w:tabs>
        <w:spacing w:before="3" w:line="297" w:lineRule="auto"/>
        <w:ind w:hanging="283"/>
        <w:rPr>
          <w:w w:val="105"/>
          <w:sz w:val="20"/>
          <w:szCs w:val="20"/>
          <w:lang w:val="uk-UA"/>
        </w:rPr>
      </w:pPr>
      <w:r w:rsidRPr="003C6DAE">
        <w:rPr>
          <w:w w:val="105"/>
          <w:sz w:val="20"/>
          <w:szCs w:val="20"/>
          <w:lang w:val="uk-UA"/>
        </w:rPr>
        <w:t>Ця рекомендація застосовується до всіх людей з ознаками та симптомами туберкульозного менінгіту, включаючи людей, які живуть з ВІЛ, і дітей.</w:t>
      </w:r>
    </w:p>
    <w:p w14:paraId="71FE7BA6" w14:textId="3519A3BC" w:rsidR="00E05B98" w:rsidRPr="003C6DAE" w:rsidRDefault="004F72F3" w:rsidP="004A2937">
      <w:pPr>
        <w:pStyle w:val="a4"/>
        <w:numPr>
          <w:ilvl w:val="3"/>
          <w:numId w:val="31"/>
        </w:numPr>
        <w:tabs>
          <w:tab w:val="left" w:pos="850"/>
        </w:tabs>
        <w:spacing w:before="3" w:line="297" w:lineRule="auto"/>
        <w:ind w:hanging="283"/>
        <w:rPr>
          <w:sz w:val="20"/>
          <w:szCs w:val="20"/>
          <w:lang w:val="uk-UA"/>
        </w:rPr>
      </w:pPr>
      <w:r w:rsidRPr="003C6DAE">
        <w:rPr>
          <w:w w:val="105"/>
          <w:sz w:val="20"/>
          <w:szCs w:val="20"/>
          <w:lang w:val="uk-UA"/>
        </w:rPr>
        <w:t>Там, де це можливо, на додаток до тестування за допомогою автоматизованого ТАНК можна проводити бакпосів, щоб максимізувати можливості діагностики та виявлення ЛС-ТБ</w:t>
      </w:r>
      <w:r w:rsidR="00B01E0C" w:rsidRPr="003C6DAE">
        <w:rPr>
          <w:w w:val="105"/>
          <w:sz w:val="20"/>
          <w:szCs w:val="20"/>
          <w:lang w:val="uk-UA"/>
        </w:rPr>
        <w:t>.</w:t>
      </w:r>
    </w:p>
    <w:p w14:paraId="4ADA8085" w14:textId="4F7BA8A6" w:rsidR="00E05B98" w:rsidRPr="003C6DAE" w:rsidRDefault="006B04BC" w:rsidP="004A2937">
      <w:pPr>
        <w:pStyle w:val="a4"/>
        <w:numPr>
          <w:ilvl w:val="3"/>
          <w:numId w:val="31"/>
        </w:numPr>
        <w:tabs>
          <w:tab w:val="left" w:pos="850"/>
        </w:tabs>
        <w:spacing w:before="2" w:line="297" w:lineRule="auto"/>
        <w:ind w:hanging="284"/>
        <w:rPr>
          <w:sz w:val="20"/>
          <w:szCs w:val="20"/>
          <w:lang w:val="uk-UA"/>
        </w:rPr>
      </w:pPr>
      <w:r w:rsidRPr="003C6DAE">
        <w:rPr>
          <w:sz w:val="20"/>
          <w:szCs w:val="20"/>
          <w:lang w:val="uk-UA"/>
        </w:rPr>
        <w:t>Продуктом, для якого при</w:t>
      </w:r>
      <w:r w:rsidR="00595B7C">
        <w:rPr>
          <w:sz w:val="20"/>
          <w:szCs w:val="20"/>
          <w:lang w:val="uk-UA"/>
        </w:rPr>
        <w:t>йнятні</w:t>
      </w:r>
      <w:r w:rsidRPr="003C6DAE">
        <w:rPr>
          <w:sz w:val="20"/>
          <w:szCs w:val="20"/>
          <w:lang w:val="uk-UA"/>
        </w:rPr>
        <w:t xml:space="preserve"> дані відповідали критеріям ефективності на основі класу аТАНК-НС для цієї рекомендації, був тест Xpert MTB/RIF Ultra (компанія </w:t>
      </w:r>
      <w:r w:rsidR="00595B7C">
        <w:rPr>
          <w:sz w:val="20"/>
          <w:szCs w:val="20"/>
          <w:lang w:val="uk-UA"/>
        </w:rPr>
        <w:t>«</w:t>
      </w:r>
      <w:r w:rsidRPr="003C6DAE">
        <w:rPr>
          <w:sz w:val="20"/>
          <w:szCs w:val="20"/>
          <w:lang w:val="uk-UA"/>
        </w:rPr>
        <w:t>Cepheid</w:t>
      </w:r>
      <w:r w:rsidR="00595B7C">
        <w:rPr>
          <w:sz w:val="20"/>
          <w:szCs w:val="20"/>
          <w:lang w:val="uk-UA"/>
        </w:rPr>
        <w:t>»</w:t>
      </w:r>
      <w:r w:rsidRPr="003C6DAE">
        <w:rPr>
          <w:sz w:val="20"/>
          <w:szCs w:val="20"/>
          <w:lang w:val="uk-UA"/>
        </w:rPr>
        <w:t>, Саннівейл, Сполучені Штати Америки [США]). Дані щодо тестів Truenat MTB Plus і MTB-RIF Dx були обмеженими та різними, тому їх було недостатньо для оцінки.</w:t>
      </w:r>
    </w:p>
    <w:p w14:paraId="3B8159D7" w14:textId="77777777" w:rsidR="00E05B98" w:rsidRPr="003C6DAE" w:rsidRDefault="00E05B98">
      <w:pPr>
        <w:pStyle w:val="a3"/>
        <w:spacing w:before="1"/>
        <w:rPr>
          <w:sz w:val="18"/>
          <w:lang w:val="uk-UA"/>
        </w:rPr>
      </w:pPr>
    </w:p>
    <w:tbl>
      <w:tblPr>
        <w:tblStyle w:val="TableNormal"/>
        <w:tblW w:w="9475" w:type="dxa"/>
        <w:tblInd w:w="58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475"/>
      </w:tblGrid>
      <w:tr w:rsidR="00E05B98" w:rsidRPr="00D029FF" w14:paraId="6364D44F" w14:textId="77777777" w:rsidTr="00CB37A3">
        <w:trPr>
          <w:trHeight w:val="2024"/>
        </w:trPr>
        <w:tc>
          <w:tcPr>
            <w:tcW w:w="9475" w:type="dxa"/>
          </w:tcPr>
          <w:p w14:paraId="6C6059AE" w14:textId="1B535F11" w:rsidR="00E05B98" w:rsidRPr="003C6DAE" w:rsidRDefault="00B01E0C" w:rsidP="006B04BC">
            <w:pPr>
              <w:pStyle w:val="TableParagraph"/>
              <w:spacing w:before="245" w:line="295" w:lineRule="auto"/>
              <w:ind w:left="403" w:right="266" w:hanging="284"/>
              <w:jc w:val="both"/>
              <w:rPr>
                <w:b/>
                <w:sz w:val="21"/>
                <w:szCs w:val="21"/>
                <w:lang w:val="uk-UA"/>
              </w:rPr>
            </w:pPr>
            <w:r w:rsidRPr="003C6DAE">
              <w:rPr>
                <w:rFonts w:ascii="Arial"/>
                <w:b/>
                <w:lang w:val="uk-UA"/>
              </w:rPr>
              <w:t>4.</w:t>
            </w:r>
            <w:r w:rsidRPr="003C6DAE">
              <w:rPr>
                <w:rFonts w:ascii="Arial"/>
                <w:b/>
                <w:spacing w:val="80"/>
                <w:lang w:val="uk-UA"/>
              </w:rPr>
              <w:t xml:space="preserve"> </w:t>
            </w:r>
            <w:r w:rsidR="006B04BC" w:rsidRPr="003C6DAE">
              <w:rPr>
                <w:b/>
                <w:sz w:val="21"/>
                <w:szCs w:val="21"/>
                <w:lang w:val="uk-UA"/>
              </w:rPr>
              <w:t xml:space="preserve">Для людей з ознаками та симптомами позалегеневого ТБ для первинної діагностики ТБ слід використовувати автоматизовані ТАНК низької складності </w:t>
            </w:r>
            <w:r w:rsidR="00595B7C">
              <w:rPr>
                <w:b/>
                <w:sz w:val="21"/>
                <w:szCs w:val="21"/>
                <w:lang w:val="uk-UA"/>
              </w:rPr>
              <w:t>при</w:t>
            </w:r>
            <w:r w:rsidR="006B04BC" w:rsidRPr="003C6DAE">
              <w:rPr>
                <w:b/>
                <w:sz w:val="21"/>
                <w:szCs w:val="21"/>
                <w:lang w:val="uk-UA"/>
              </w:rPr>
              <w:t xml:space="preserve"> дослідженн</w:t>
            </w:r>
            <w:r w:rsidR="00595B7C">
              <w:rPr>
                <w:b/>
                <w:sz w:val="21"/>
                <w:szCs w:val="21"/>
                <w:lang w:val="uk-UA"/>
              </w:rPr>
              <w:t>і</w:t>
            </w:r>
            <w:r w:rsidR="006B04BC" w:rsidRPr="003C6DAE">
              <w:rPr>
                <w:b/>
                <w:sz w:val="21"/>
                <w:szCs w:val="21"/>
                <w:lang w:val="uk-UA"/>
              </w:rPr>
              <w:t xml:space="preserve"> </w:t>
            </w:r>
            <w:r w:rsidR="00595B7C">
              <w:rPr>
                <w:b/>
                <w:sz w:val="21"/>
                <w:szCs w:val="21"/>
                <w:lang w:val="uk-UA"/>
              </w:rPr>
              <w:t xml:space="preserve">зразків </w:t>
            </w:r>
            <w:r w:rsidR="006B04BC" w:rsidRPr="003C6DAE">
              <w:rPr>
                <w:b/>
                <w:sz w:val="21"/>
                <w:szCs w:val="21"/>
                <w:lang w:val="uk-UA"/>
              </w:rPr>
              <w:t>аспірату тканини лімфатичних вузлів, плевральної тканини, плевральної рідини, синовіальної рідини, перитонеальної чи перикардіальної рідини, а не мікроскопію мазка чи бакпосів.</w:t>
            </w:r>
          </w:p>
          <w:p w14:paraId="475D5A7A" w14:textId="3805DE28" w:rsidR="00E05B98" w:rsidRPr="003C6DAE" w:rsidRDefault="00B01E0C" w:rsidP="006B04BC">
            <w:pPr>
              <w:pStyle w:val="TableParagraph"/>
              <w:spacing w:before="52"/>
              <w:ind w:left="403"/>
              <w:jc w:val="both"/>
              <w:rPr>
                <w:rFonts w:ascii="Arial"/>
                <w:i/>
                <w:lang w:val="uk-UA"/>
              </w:rPr>
            </w:pPr>
            <w:r w:rsidRPr="003C6DAE">
              <w:rPr>
                <w:i/>
                <w:sz w:val="21"/>
                <w:szCs w:val="21"/>
                <w:lang w:val="uk-UA"/>
              </w:rPr>
              <w:t>(</w:t>
            </w:r>
            <w:r w:rsidR="006B04BC" w:rsidRPr="003C6DAE">
              <w:rPr>
                <w:i/>
                <w:sz w:val="21"/>
                <w:szCs w:val="21"/>
                <w:lang w:val="uk-UA"/>
              </w:rPr>
              <w:t>Настійна рекомендація, висок</w:t>
            </w:r>
            <w:r w:rsidR="00595B7C">
              <w:rPr>
                <w:i/>
                <w:sz w:val="21"/>
                <w:szCs w:val="21"/>
                <w:lang w:val="uk-UA"/>
              </w:rPr>
              <w:t>ий ступінь</w:t>
            </w:r>
            <w:r w:rsidR="006B04BC" w:rsidRPr="003C6DAE">
              <w:rPr>
                <w:i/>
                <w:sz w:val="21"/>
                <w:szCs w:val="21"/>
                <w:lang w:val="uk-UA"/>
              </w:rPr>
              <w:t xml:space="preserve"> достовірн</w:t>
            </w:r>
            <w:r w:rsidR="00595B7C">
              <w:rPr>
                <w:i/>
                <w:sz w:val="21"/>
                <w:szCs w:val="21"/>
                <w:lang w:val="uk-UA"/>
              </w:rPr>
              <w:t>ості</w:t>
            </w:r>
            <w:r w:rsidR="006B04BC" w:rsidRPr="003C6DAE">
              <w:rPr>
                <w:i/>
                <w:sz w:val="21"/>
                <w:szCs w:val="21"/>
                <w:lang w:val="uk-UA"/>
              </w:rPr>
              <w:t xml:space="preserve"> доказів</w:t>
            </w:r>
            <w:r w:rsidRPr="003C6DAE">
              <w:rPr>
                <w:i/>
                <w:spacing w:val="-2"/>
                <w:sz w:val="21"/>
                <w:szCs w:val="21"/>
                <w:lang w:val="uk-UA"/>
              </w:rPr>
              <w:t>)</w:t>
            </w:r>
          </w:p>
        </w:tc>
      </w:tr>
    </w:tbl>
    <w:p w14:paraId="2E31BA4F" w14:textId="5E3AC7FB" w:rsidR="00E05B98" w:rsidRDefault="00DA5A55">
      <w:pPr>
        <w:pStyle w:val="6"/>
        <w:spacing w:before="210"/>
        <w:rPr>
          <w:rFonts w:ascii="Microsoft Sans Serif" w:hAnsi="Microsoft Sans Serif" w:cs="Microsoft Sans Serif"/>
          <w:spacing w:val="-2"/>
          <w:sz w:val="22"/>
          <w:szCs w:val="22"/>
          <w:lang w:val="uk-UA"/>
        </w:rPr>
      </w:pPr>
      <w:r>
        <w:rPr>
          <w:rFonts w:ascii="Microsoft Sans Serif" w:hAnsi="Microsoft Sans Serif" w:cs="Microsoft Sans Serif"/>
          <w:spacing w:val="-2"/>
          <w:sz w:val="22"/>
          <w:szCs w:val="22"/>
          <w:lang w:val="uk-UA"/>
        </w:rPr>
        <w:t>Примітки</w:t>
      </w:r>
    </w:p>
    <w:p w14:paraId="53D183B0" w14:textId="77777777" w:rsidR="00C45799" w:rsidRPr="00C45799" w:rsidRDefault="00C45799">
      <w:pPr>
        <w:pStyle w:val="6"/>
        <w:spacing w:before="210"/>
        <w:rPr>
          <w:rFonts w:ascii="Microsoft Sans Serif" w:hAnsi="Microsoft Sans Serif" w:cs="Microsoft Sans Serif"/>
          <w:sz w:val="4"/>
          <w:szCs w:val="4"/>
          <w:lang w:val="uk-UA"/>
        </w:rPr>
      </w:pPr>
    </w:p>
    <w:p w14:paraId="6FF16231" w14:textId="77777777" w:rsidR="0088044B" w:rsidRPr="003C6DAE" w:rsidRDefault="0088044B" w:rsidP="004A2937">
      <w:pPr>
        <w:pStyle w:val="a4"/>
        <w:numPr>
          <w:ilvl w:val="3"/>
          <w:numId w:val="31"/>
        </w:numPr>
        <w:tabs>
          <w:tab w:val="left" w:pos="850"/>
        </w:tabs>
        <w:spacing w:before="3" w:line="297" w:lineRule="auto"/>
        <w:ind w:right="135" w:hanging="283"/>
        <w:rPr>
          <w:sz w:val="20"/>
          <w:szCs w:val="20"/>
          <w:lang w:val="uk-UA"/>
        </w:rPr>
      </w:pPr>
      <w:r w:rsidRPr="003C6DAE">
        <w:rPr>
          <w:sz w:val="20"/>
          <w:szCs w:val="20"/>
          <w:lang w:val="uk-UA"/>
        </w:rPr>
        <w:t>Ця рекомендація поширюється на всіх людей з ознаками та симптомами відповідної форми позалегеневого ТБ, включаючи людей, які живуть з ВІЛ, і дітей.</w:t>
      </w:r>
    </w:p>
    <w:p w14:paraId="5D4908CE" w14:textId="038294EA" w:rsidR="00E05B98" w:rsidRPr="003C6DAE" w:rsidRDefault="0088044B" w:rsidP="004A2937">
      <w:pPr>
        <w:pStyle w:val="a4"/>
        <w:numPr>
          <w:ilvl w:val="3"/>
          <w:numId w:val="31"/>
        </w:numPr>
        <w:tabs>
          <w:tab w:val="left" w:pos="850"/>
        </w:tabs>
        <w:spacing w:before="3" w:line="297" w:lineRule="auto"/>
        <w:ind w:right="135" w:hanging="283"/>
        <w:rPr>
          <w:sz w:val="20"/>
          <w:szCs w:val="20"/>
          <w:lang w:val="uk-UA"/>
        </w:rPr>
      </w:pPr>
      <w:r w:rsidRPr="003C6DAE">
        <w:rPr>
          <w:sz w:val="20"/>
          <w:szCs w:val="20"/>
          <w:lang w:val="uk-UA"/>
        </w:rPr>
        <w:t xml:space="preserve">Дані щодо ефективності аТАНК-НС при </w:t>
      </w:r>
      <w:r w:rsidR="00595B7C">
        <w:rPr>
          <w:sz w:val="20"/>
          <w:szCs w:val="20"/>
          <w:lang w:val="uk-UA"/>
        </w:rPr>
        <w:t xml:space="preserve">дослідженні </w:t>
      </w:r>
      <w:r w:rsidRPr="003C6DAE">
        <w:rPr>
          <w:sz w:val="20"/>
          <w:szCs w:val="20"/>
          <w:lang w:val="uk-UA"/>
        </w:rPr>
        <w:t>зразк</w:t>
      </w:r>
      <w:r w:rsidR="00595B7C">
        <w:rPr>
          <w:sz w:val="20"/>
          <w:szCs w:val="20"/>
          <w:lang w:val="uk-UA"/>
        </w:rPr>
        <w:t>ів</w:t>
      </w:r>
      <w:r w:rsidRPr="003C6DAE">
        <w:rPr>
          <w:sz w:val="20"/>
          <w:szCs w:val="20"/>
          <w:lang w:val="uk-UA"/>
        </w:rPr>
        <w:t xml:space="preserve"> сечі та крові були обмеженими або суперечливими.</w:t>
      </w:r>
    </w:p>
    <w:p w14:paraId="55E3B1E8" w14:textId="6C25B34A" w:rsidR="00E05B98" w:rsidRPr="003C6DAE" w:rsidRDefault="0088044B" w:rsidP="004A2937">
      <w:pPr>
        <w:pStyle w:val="a4"/>
        <w:numPr>
          <w:ilvl w:val="3"/>
          <w:numId w:val="31"/>
        </w:numPr>
        <w:tabs>
          <w:tab w:val="left" w:pos="850"/>
        </w:tabs>
        <w:spacing w:before="2" w:line="297" w:lineRule="auto"/>
        <w:ind w:right="133" w:hanging="284"/>
        <w:rPr>
          <w:sz w:val="20"/>
          <w:szCs w:val="20"/>
          <w:lang w:val="uk-UA"/>
        </w:rPr>
      </w:pPr>
      <w:r w:rsidRPr="003C6DAE">
        <w:rPr>
          <w:w w:val="105"/>
          <w:sz w:val="20"/>
          <w:szCs w:val="20"/>
          <w:lang w:val="uk-UA"/>
        </w:rPr>
        <w:t>Там, де це можливо, на додаток до тестування за допомогою автоматизованого ТАНК,  можна проводити бакпосів, щоб максимально збільшити можливості діагностики та виявлення ЛС-ТБ.</w:t>
      </w:r>
    </w:p>
    <w:p w14:paraId="1B2D00C7" w14:textId="73600184" w:rsidR="00E05B98" w:rsidRPr="003C6DAE" w:rsidRDefault="0088044B" w:rsidP="004A2937">
      <w:pPr>
        <w:pStyle w:val="a4"/>
        <w:numPr>
          <w:ilvl w:val="3"/>
          <w:numId w:val="31"/>
        </w:numPr>
        <w:tabs>
          <w:tab w:val="left" w:pos="850"/>
        </w:tabs>
        <w:spacing w:before="3" w:line="297" w:lineRule="auto"/>
        <w:ind w:right="134" w:hanging="284"/>
        <w:rPr>
          <w:lang w:val="uk-UA"/>
        </w:rPr>
      </w:pPr>
      <w:r w:rsidRPr="003C6DAE">
        <w:rPr>
          <w:sz w:val="20"/>
          <w:szCs w:val="20"/>
          <w:lang w:val="uk-UA"/>
        </w:rPr>
        <w:t>Продуктом, для якого при</w:t>
      </w:r>
      <w:r w:rsidR="00595B7C">
        <w:rPr>
          <w:sz w:val="20"/>
          <w:szCs w:val="20"/>
          <w:lang w:val="uk-UA"/>
        </w:rPr>
        <w:t>йнятні</w:t>
      </w:r>
      <w:r w:rsidRPr="003C6DAE">
        <w:rPr>
          <w:sz w:val="20"/>
          <w:szCs w:val="20"/>
          <w:lang w:val="uk-UA"/>
        </w:rPr>
        <w:t xml:space="preserve"> дані відповідали критеріям ефективності на основі класу аТАНК-НС для цієї рекомендації, був аналіз Xpert MTB/RIF Ultra (компанія </w:t>
      </w:r>
      <w:r w:rsidR="00595B7C">
        <w:rPr>
          <w:sz w:val="20"/>
          <w:szCs w:val="20"/>
          <w:lang w:val="uk-UA"/>
        </w:rPr>
        <w:t>«</w:t>
      </w:r>
      <w:r w:rsidRPr="003C6DAE">
        <w:rPr>
          <w:sz w:val="20"/>
          <w:szCs w:val="20"/>
          <w:lang w:val="uk-UA"/>
        </w:rPr>
        <w:t>Cepheid</w:t>
      </w:r>
      <w:r w:rsidR="00595B7C">
        <w:rPr>
          <w:sz w:val="20"/>
          <w:szCs w:val="20"/>
          <w:lang w:val="uk-UA"/>
        </w:rPr>
        <w:t>»</w:t>
      </w:r>
      <w:r w:rsidRPr="003C6DAE">
        <w:rPr>
          <w:sz w:val="20"/>
          <w:szCs w:val="20"/>
          <w:lang w:val="uk-UA"/>
        </w:rPr>
        <w:t>, Саннівейл, Сполучені Штати Америки [США]). Дані щодо тестів Truenat MTB Plus і MTB-RIF Dx були обмеженими та різними, тому їх було недостатньо для оцінки.</w:t>
      </w:r>
    </w:p>
    <w:p w14:paraId="2883908F" w14:textId="77777777" w:rsidR="00E05B98" w:rsidRPr="003C6DAE" w:rsidRDefault="00E05B98">
      <w:pPr>
        <w:pStyle w:val="a3"/>
        <w:spacing w:before="10"/>
        <w:rPr>
          <w:lang w:val="uk-UA"/>
        </w:rPr>
      </w:pPr>
    </w:p>
    <w:p w14:paraId="5A4D959D" w14:textId="60E69894" w:rsidR="00E05B98" w:rsidRPr="00595B7C" w:rsidRDefault="0088044B">
      <w:pPr>
        <w:pStyle w:val="5"/>
        <w:rPr>
          <w:sz w:val="26"/>
          <w:szCs w:val="26"/>
          <w:lang w:val="uk-UA"/>
        </w:rPr>
      </w:pPr>
      <w:r w:rsidRPr="00595B7C">
        <w:rPr>
          <w:color w:val="019648"/>
          <w:sz w:val="26"/>
          <w:szCs w:val="26"/>
          <w:lang w:val="uk-UA"/>
        </w:rPr>
        <w:t>Обґрунтування та докази</w:t>
      </w:r>
    </w:p>
    <w:p w14:paraId="068E6D0D" w14:textId="2BB9E9E1" w:rsidR="00CB37A3" w:rsidRPr="003C6DAE" w:rsidRDefault="00077D30" w:rsidP="00077D30">
      <w:pPr>
        <w:pStyle w:val="a3"/>
        <w:spacing w:before="218" w:line="297" w:lineRule="auto"/>
        <w:ind w:left="567" w:right="136"/>
        <w:jc w:val="both"/>
        <w:rPr>
          <w:spacing w:val="-2"/>
          <w:sz w:val="20"/>
          <w:szCs w:val="20"/>
          <w:lang w:val="uk-UA"/>
        </w:rPr>
      </w:pPr>
      <w:r w:rsidRPr="003C6DAE">
        <w:rPr>
          <w:spacing w:val="-2"/>
          <w:sz w:val="20"/>
          <w:szCs w:val="20"/>
          <w:lang w:val="uk-UA"/>
        </w:rPr>
        <w:t xml:space="preserve">Глобальна програма ВООЗ </w:t>
      </w:r>
      <w:r w:rsidR="00595B7C">
        <w:rPr>
          <w:spacing w:val="-2"/>
          <w:sz w:val="20"/>
          <w:szCs w:val="20"/>
          <w:lang w:val="uk-UA"/>
        </w:rPr>
        <w:t>із</w:t>
      </w:r>
      <w:r w:rsidRPr="003C6DAE">
        <w:rPr>
          <w:spacing w:val="-2"/>
          <w:sz w:val="20"/>
          <w:szCs w:val="20"/>
          <w:lang w:val="uk-UA"/>
        </w:rPr>
        <w:t xml:space="preserve"> боротьб</w:t>
      </w:r>
      <w:r w:rsidR="00595B7C">
        <w:rPr>
          <w:spacing w:val="-2"/>
          <w:sz w:val="20"/>
          <w:szCs w:val="20"/>
          <w:lang w:val="uk-UA"/>
        </w:rPr>
        <w:t>и</w:t>
      </w:r>
      <w:r w:rsidRPr="003C6DAE">
        <w:rPr>
          <w:spacing w:val="-2"/>
          <w:sz w:val="20"/>
          <w:szCs w:val="20"/>
          <w:lang w:val="uk-UA"/>
        </w:rPr>
        <w:t xml:space="preserve"> з ТБ ініціювала оновлення попередніх настанов і замовили систематичний огляд використання аТАНК-НС (аналізи Xpert Ultra, Truenat MTB Plus і Truenat MTB-RIF Dx) для діагностики ТБ та </w:t>
      </w:r>
      <w:r w:rsidR="00595B7C">
        <w:rPr>
          <w:spacing w:val="-2"/>
          <w:sz w:val="20"/>
          <w:szCs w:val="20"/>
          <w:lang w:val="uk-UA"/>
        </w:rPr>
        <w:t xml:space="preserve">виявлення </w:t>
      </w:r>
      <w:r w:rsidRPr="003C6DAE">
        <w:rPr>
          <w:spacing w:val="-2"/>
          <w:sz w:val="20"/>
          <w:szCs w:val="20"/>
          <w:lang w:val="uk-UA"/>
        </w:rPr>
        <w:t>стійкості до рифампіцину у людей з ознаками та симптомами ТБ або з позитивним результатом скринінгу на ТБ.</w:t>
      </w:r>
      <w:r w:rsidR="00B01E0C" w:rsidRPr="003C6DAE">
        <w:rPr>
          <w:spacing w:val="-19"/>
          <w:sz w:val="20"/>
          <w:szCs w:val="20"/>
          <w:lang w:val="uk-UA"/>
        </w:rPr>
        <w:t xml:space="preserve"> </w:t>
      </w:r>
      <w:r w:rsidRPr="003C6DAE">
        <w:rPr>
          <w:spacing w:val="-2"/>
          <w:sz w:val="20"/>
          <w:szCs w:val="20"/>
          <w:lang w:val="uk-UA"/>
        </w:rPr>
        <w:t xml:space="preserve">Дані про ефективність лише аТАНК-НС у цих популяціях </w:t>
      </w:r>
      <w:r w:rsidR="00176989" w:rsidRPr="003C6DAE">
        <w:rPr>
          <w:spacing w:val="-2"/>
          <w:sz w:val="20"/>
          <w:szCs w:val="20"/>
          <w:lang w:val="uk-UA"/>
        </w:rPr>
        <w:t>порівняно</w:t>
      </w:r>
      <w:r w:rsidRPr="003C6DAE">
        <w:rPr>
          <w:spacing w:val="-2"/>
          <w:sz w:val="20"/>
          <w:szCs w:val="20"/>
          <w:lang w:val="uk-UA"/>
        </w:rPr>
        <w:t xml:space="preserve"> з мікроскопією мазка та бакпосівом представлені у веб-додатках B.1–B.4. До рекомендації щодо одночасного тестування дітей та людей, які живуть з ВІЛ, було внесено  зміну </w:t>
      </w:r>
      <w:r w:rsidR="00595B7C">
        <w:rPr>
          <w:spacing w:val="-2"/>
          <w:sz w:val="20"/>
          <w:szCs w:val="20"/>
          <w:lang w:val="uk-UA"/>
        </w:rPr>
        <w:t>по</w:t>
      </w:r>
      <w:r w:rsidRPr="003C6DAE">
        <w:rPr>
          <w:spacing w:val="-2"/>
          <w:sz w:val="20"/>
          <w:szCs w:val="20"/>
          <w:lang w:val="uk-UA"/>
        </w:rPr>
        <w:t xml:space="preserve"> використанн</w:t>
      </w:r>
      <w:r w:rsidR="00595B7C">
        <w:rPr>
          <w:spacing w:val="-2"/>
          <w:sz w:val="20"/>
          <w:szCs w:val="20"/>
          <w:lang w:val="uk-UA"/>
        </w:rPr>
        <w:t>ю</w:t>
      </w:r>
      <w:r w:rsidRPr="003C6DAE">
        <w:rPr>
          <w:spacing w:val="-2"/>
          <w:sz w:val="20"/>
          <w:szCs w:val="20"/>
          <w:lang w:val="uk-UA"/>
        </w:rPr>
        <w:t xml:space="preserve"> лише аТАНК-НС у цих групах населення (див. Розділ 2.3 цього документа).</w:t>
      </w:r>
    </w:p>
    <w:p w14:paraId="398CDDA6" w14:textId="77777777" w:rsidR="00E05B98" w:rsidRPr="003C6DAE" w:rsidRDefault="00E05B98">
      <w:pPr>
        <w:pStyle w:val="a3"/>
        <w:spacing w:line="297" w:lineRule="auto"/>
        <w:jc w:val="both"/>
        <w:rPr>
          <w:lang w:val="uk-UA"/>
        </w:rPr>
        <w:sectPr w:rsidR="00E05B98" w:rsidRPr="003C6DAE" w:rsidSect="00CB37A3">
          <w:pgSz w:w="11910" w:h="16840"/>
          <w:pgMar w:top="1320" w:right="853" w:bottom="760" w:left="850" w:header="0" w:footer="573" w:gutter="0"/>
          <w:cols w:space="720"/>
        </w:sectPr>
      </w:pPr>
    </w:p>
    <w:p w14:paraId="1FC71AEA" w14:textId="6CD46EE2" w:rsidR="00E05B98" w:rsidRPr="003C6DAE" w:rsidRDefault="00077D30">
      <w:pPr>
        <w:pStyle w:val="5"/>
        <w:spacing w:before="197"/>
        <w:jc w:val="both"/>
        <w:rPr>
          <w:sz w:val="26"/>
          <w:szCs w:val="26"/>
          <w:lang w:val="uk-UA"/>
        </w:rPr>
      </w:pPr>
      <w:r w:rsidRPr="003C6DAE">
        <w:rPr>
          <w:color w:val="019648"/>
          <w:w w:val="110"/>
          <w:sz w:val="26"/>
          <w:szCs w:val="26"/>
          <w:lang w:val="uk-UA"/>
        </w:rPr>
        <w:lastRenderedPageBreak/>
        <w:t>Виявлення туберкульозу легень</w:t>
      </w:r>
    </w:p>
    <w:p w14:paraId="34603EE0" w14:textId="5A8CF305" w:rsidR="00E05B98" w:rsidRPr="003C6DAE" w:rsidRDefault="00C43926" w:rsidP="00C43926">
      <w:pPr>
        <w:pStyle w:val="7"/>
        <w:spacing w:before="231" w:line="228" w:lineRule="auto"/>
        <w:ind w:right="142"/>
        <w:jc w:val="both"/>
        <w:rPr>
          <w:sz w:val="23"/>
          <w:szCs w:val="23"/>
          <w:lang w:val="uk-UA"/>
        </w:rPr>
      </w:pPr>
      <w:r w:rsidRPr="003C6DAE">
        <w:rPr>
          <w:color w:val="019648"/>
          <w:sz w:val="23"/>
          <w:szCs w:val="23"/>
          <w:lang w:val="uk-UA"/>
        </w:rPr>
        <w:t xml:space="preserve">Чи слід використовувати аТАНК-НС при дослідженні </w:t>
      </w:r>
      <w:r w:rsidR="00595B7C">
        <w:rPr>
          <w:color w:val="019648"/>
          <w:sz w:val="23"/>
          <w:szCs w:val="23"/>
          <w:lang w:val="uk-UA"/>
        </w:rPr>
        <w:t>з</w:t>
      </w:r>
      <w:r w:rsidRPr="003C6DAE">
        <w:rPr>
          <w:color w:val="019648"/>
          <w:sz w:val="23"/>
          <w:szCs w:val="23"/>
          <w:lang w:val="uk-UA"/>
        </w:rPr>
        <w:t>разків</w:t>
      </w:r>
      <w:r w:rsidR="00595B7C">
        <w:rPr>
          <w:color w:val="019648"/>
          <w:sz w:val="23"/>
          <w:szCs w:val="23"/>
          <w:lang w:val="uk-UA"/>
        </w:rPr>
        <w:t xml:space="preserve"> із дихальних шляхів</w:t>
      </w:r>
      <w:r w:rsidRPr="003C6DAE">
        <w:rPr>
          <w:color w:val="019648"/>
          <w:sz w:val="23"/>
          <w:szCs w:val="23"/>
          <w:lang w:val="uk-UA"/>
        </w:rPr>
        <w:t xml:space="preserve"> для діагностики ТБ </w:t>
      </w:r>
      <w:r w:rsidR="007A21BF">
        <w:rPr>
          <w:color w:val="019648"/>
          <w:sz w:val="23"/>
          <w:szCs w:val="23"/>
          <w:lang w:val="uk-UA"/>
        </w:rPr>
        <w:t xml:space="preserve">легень </w:t>
      </w:r>
      <w:r w:rsidRPr="003C6DAE">
        <w:rPr>
          <w:color w:val="019648"/>
          <w:sz w:val="23"/>
          <w:szCs w:val="23"/>
          <w:lang w:val="uk-UA"/>
        </w:rPr>
        <w:t xml:space="preserve">у дорослих і підлітків з ознаками та симптомами </w:t>
      </w:r>
      <w:r w:rsidR="007A21BF">
        <w:rPr>
          <w:color w:val="019648"/>
          <w:sz w:val="23"/>
          <w:szCs w:val="23"/>
          <w:lang w:val="uk-UA"/>
        </w:rPr>
        <w:t xml:space="preserve">ТБ </w:t>
      </w:r>
      <w:r w:rsidRPr="003C6DAE">
        <w:rPr>
          <w:color w:val="019648"/>
          <w:sz w:val="23"/>
          <w:szCs w:val="23"/>
          <w:lang w:val="uk-UA"/>
        </w:rPr>
        <w:t xml:space="preserve">або з позитивним результатом скринінгу на легеневий ТБ </w:t>
      </w:r>
      <w:r w:rsidR="005E7827" w:rsidRPr="003C6DAE">
        <w:rPr>
          <w:color w:val="019648"/>
          <w:sz w:val="23"/>
          <w:szCs w:val="23"/>
          <w:lang w:val="uk-UA"/>
        </w:rPr>
        <w:t>порівняно з</w:t>
      </w:r>
      <w:r w:rsidRPr="003C6DAE">
        <w:rPr>
          <w:color w:val="019648"/>
          <w:sz w:val="23"/>
          <w:szCs w:val="23"/>
          <w:lang w:val="uk-UA"/>
        </w:rPr>
        <w:t xml:space="preserve"> мікробіологічн</w:t>
      </w:r>
      <w:r w:rsidR="005E7827" w:rsidRPr="003C6DAE">
        <w:rPr>
          <w:color w:val="019648"/>
          <w:sz w:val="23"/>
          <w:szCs w:val="23"/>
          <w:lang w:val="uk-UA"/>
        </w:rPr>
        <w:t>им</w:t>
      </w:r>
      <w:r w:rsidRPr="003C6DAE">
        <w:rPr>
          <w:color w:val="019648"/>
          <w:sz w:val="23"/>
          <w:szCs w:val="23"/>
          <w:lang w:val="uk-UA"/>
        </w:rPr>
        <w:t xml:space="preserve"> еталонн</w:t>
      </w:r>
      <w:r w:rsidR="005E7827" w:rsidRPr="003C6DAE">
        <w:rPr>
          <w:color w:val="019648"/>
          <w:sz w:val="23"/>
          <w:szCs w:val="23"/>
          <w:lang w:val="uk-UA"/>
        </w:rPr>
        <w:t>им</w:t>
      </w:r>
      <w:r w:rsidRPr="003C6DAE">
        <w:rPr>
          <w:color w:val="019648"/>
          <w:sz w:val="23"/>
          <w:szCs w:val="23"/>
          <w:lang w:val="uk-UA"/>
        </w:rPr>
        <w:t xml:space="preserve"> стандарт</w:t>
      </w:r>
      <w:r w:rsidR="005E7827" w:rsidRPr="003C6DAE">
        <w:rPr>
          <w:color w:val="019648"/>
          <w:sz w:val="23"/>
          <w:szCs w:val="23"/>
          <w:lang w:val="uk-UA"/>
        </w:rPr>
        <w:t>ом(MRS)</w:t>
      </w:r>
      <w:r w:rsidRPr="003C6DAE">
        <w:rPr>
          <w:color w:val="019648"/>
          <w:sz w:val="23"/>
          <w:szCs w:val="23"/>
          <w:lang w:val="uk-UA"/>
        </w:rPr>
        <w:t>?</w:t>
      </w:r>
    </w:p>
    <w:p w14:paraId="6B58F63B" w14:textId="78330BF8" w:rsidR="00E05B98" w:rsidRPr="003C6DAE" w:rsidRDefault="006732C5">
      <w:pPr>
        <w:pStyle w:val="a3"/>
        <w:spacing w:before="217" w:line="297" w:lineRule="auto"/>
        <w:ind w:left="567" w:right="137"/>
        <w:jc w:val="both"/>
        <w:rPr>
          <w:sz w:val="20"/>
          <w:szCs w:val="20"/>
          <w:lang w:val="uk-UA"/>
        </w:rPr>
      </w:pPr>
      <w:r w:rsidRPr="003C6DAE">
        <w:rPr>
          <w:spacing w:val="-2"/>
          <w:sz w:val="20"/>
          <w:szCs w:val="20"/>
          <w:lang w:val="uk-UA"/>
        </w:rPr>
        <w:t>Під час проведення тридцяти п'яти досліджень (14 845 учасників) оцінювали діагностичну точність</w:t>
      </w:r>
      <w:r w:rsidR="007A21BF">
        <w:rPr>
          <w:spacing w:val="-2"/>
          <w:sz w:val="20"/>
          <w:szCs w:val="20"/>
          <w:lang w:val="uk-UA"/>
        </w:rPr>
        <w:t xml:space="preserve"> тестування </w:t>
      </w:r>
      <w:r w:rsidRPr="003C6DAE">
        <w:rPr>
          <w:spacing w:val="-2"/>
          <w:sz w:val="20"/>
          <w:szCs w:val="20"/>
          <w:lang w:val="uk-UA"/>
        </w:rPr>
        <w:t>зразк</w:t>
      </w:r>
      <w:r w:rsidR="007A21BF">
        <w:rPr>
          <w:spacing w:val="-2"/>
          <w:sz w:val="20"/>
          <w:szCs w:val="20"/>
          <w:lang w:val="uk-UA"/>
        </w:rPr>
        <w:t>ів</w:t>
      </w:r>
      <w:r w:rsidRPr="003C6DAE">
        <w:rPr>
          <w:spacing w:val="-2"/>
          <w:sz w:val="20"/>
          <w:szCs w:val="20"/>
          <w:lang w:val="uk-UA"/>
        </w:rPr>
        <w:t xml:space="preserve"> мокротиння, та порівнюючи з  мікробіологічним еталонним стандартом (MRS); однак в одному з цих досліджень не брали участь люди з ТБ (Zar</w:t>
      </w:r>
      <w:r w:rsidR="007A21BF">
        <w:rPr>
          <w:spacing w:val="-2"/>
          <w:sz w:val="20"/>
          <w:szCs w:val="20"/>
          <w:lang w:val="uk-UA"/>
        </w:rPr>
        <w:t>,</w:t>
      </w:r>
      <w:r w:rsidRPr="003C6DAE">
        <w:rPr>
          <w:spacing w:val="-2"/>
          <w:sz w:val="20"/>
          <w:szCs w:val="20"/>
          <w:lang w:val="uk-UA"/>
        </w:rPr>
        <w:t xml:space="preserve"> 2019</w:t>
      </w:r>
      <w:r w:rsidR="007A21BF">
        <w:rPr>
          <w:spacing w:val="-2"/>
          <w:sz w:val="20"/>
          <w:szCs w:val="20"/>
          <w:lang w:val="uk-UA"/>
        </w:rPr>
        <w:t xml:space="preserve"> р.</w:t>
      </w:r>
      <w:r w:rsidRPr="003C6DAE">
        <w:rPr>
          <w:spacing w:val="-2"/>
          <w:sz w:val="20"/>
          <w:szCs w:val="20"/>
          <w:lang w:val="uk-UA"/>
        </w:rPr>
        <w:t>), тому чутливість не підлягал</w:t>
      </w:r>
      <w:r w:rsidR="007A21BF">
        <w:rPr>
          <w:spacing w:val="-2"/>
          <w:sz w:val="20"/>
          <w:szCs w:val="20"/>
          <w:lang w:val="uk-UA"/>
        </w:rPr>
        <w:t>а</w:t>
      </w:r>
      <w:r w:rsidRPr="003C6DAE">
        <w:rPr>
          <w:spacing w:val="-2"/>
          <w:sz w:val="20"/>
          <w:szCs w:val="20"/>
          <w:lang w:val="uk-UA"/>
        </w:rPr>
        <w:t xml:space="preserve"> оцінці. Чутливість у решті 34 досліджень (14 840 учасників), включених до метааналізу, становила від 54% до 100%, а специфічність – від 71% до 100% (</w:t>
      </w:r>
      <w:r w:rsidRPr="003C6DAE">
        <w:rPr>
          <w:b/>
          <w:bCs/>
          <w:spacing w:val="-2"/>
          <w:sz w:val="20"/>
          <w:szCs w:val="20"/>
          <w:lang w:val="uk-UA"/>
        </w:rPr>
        <w:t>рис. 2.1.1</w:t>
      </w:r>
      <w:r w:rsidRPr="003C6DAE">
        <w:rPr>
          <w:spacing w:val="-2"/>
          <w:sz w:val="20"/>
          <w:szCs w:val="20"/>
          <w:lang w:val="uk-UA"/>
        </w:rPr>
        <w:t>).</w:t>
      </w:r>
      <w:r w:rsidR="00B01E0C" w:rsidRPr="003C6DAE">
        <w:rPr>
          <w:spacing w:val="-5"/>
          <w:sz w:val="20"/>
          <w:szCs w:val="20"/>
          <w:lang w:val="uk-UA"/>
        </w:rPr>
        <w:t xml:space="preserve"> </w:t>
      </w:r>
      <w:r w:rsidRPr="003C6DAE">
        <w:rPr>
          <w:sz w:val="20"/>
          <w:szCs w:val="20"/>
          <w:lang w:val="uk-UA"/>
        </w:rPr>
        <w:t xml:space="preserve">Сумарна чутливість становила 90,4% (95% довірчий інтервал [ДІ]: 88,0–92,4), а сумарна специфічність становила 94,9% (95% ДІ: 93,0–96,3). Достовірність доказів щодо чутливості та специфічності була оцінена як «висока». Для отримання детальної інформації див. </w:t>
      </w:r>
      <w:r w:rsidRPr="003C6DAE">
        <w:rPr>
          <w:b/>
          <w:bCs/>
          <w:sz w:val="20"/>
          <w:szCs w:val="20"/>
          <w:lang w:val="uk-UA"/>
        </w:rPr>
        <w:t>веб-додаток B.1</w:t>
      </w:r>
      <w:r w:rsidRPr="003C6DAE">
        <w:rPr>
          <w:sz w:val="20"/>
          <w:szCs w:val="20"/>
          <w:lang w:val="uk-UA"/>
        </w:rPr>
        <w:t>.</w:t>
      </w:r>
    </w:p>
    <w:p w14:paraId="4EEB33FD" w14:textId="5D4460D9" w:rsidR="00E05B98" w:rsidRPr="003C6DAE" w:rsidRDefault="00EA1B77">
      <w:pPr>
        <w:pStyle w:val="6"/>
        <w:spacing w:before="239" w:line="249" w:lineRule="auto"/>
        <w:rPr>
          <w:rFonts w:ascii="Microsoft Sans Serif" w:hAnsi="Microsoft Sans Serif" w:cs="Microsoft Sans Serif"/>
          <w:sz w:val="20"/>
          <w:szCs w:val="20"/>
          <w:lang w:val="uk-UA"/>
        </w:rPr>
      </w:pPr>
      <w:r w:rsidRPr="003C6DAE">
        <w:rPr>
          <w:rFonts w:ascii="Microsoft Sans Serif" w:hAnsi="Microsoft Sans Serif" w:cs="Microsoft Sans Serif"/>
          <w:color w:val="636466"/>
          <w:sz w:val="20"/>
          <w:szCs w:val="20"/>
          <w:lang w:val="uk-UA"/>
        </w:rPr>
        <w:t>Рис. 2.1.1. Лісова діаграма чутливості та специфічності аТАНК-НС для виявлення легеневого ТБ в зразках мокротиння та мікроскопічного еталонного стандарту (MRS)</w:t>
      </w:r>
      <w:r w:rsidR="00B01E0C" w:rsidRPr="003C6DAE">
        <w:rPr>
          <w:rFonts w:ascii="Microsoft Sans Serif" w:hAnsi="Microsoft Sans Serif" w:cs="Microsoft Sans Serif"/>
          <w:color w:val="636466"/>
          <w:sz w:val="20"/>
          <w:szCs w:val="20"/>
          <w:vertAlign w:val="superscript"/>
          <w:lang w:val="uk-UA"/>
        </w:rPr>
        <w:t>a</w:t>
      </w:r>
    </w:p>
    <w:p w14:paraId="303642CF" w14:textId="010C8092" w:rsidR="00E05B98" w:rsidRPr="003C6DAE" w:rsidRDefault="00E05B98">
      <w:pPr>
        <w:pStyle w:val="a3"/>
        <w:spacing w:before="6"/>
        <w:rPr>
          <w:rFonts w:ascii="Arial"/>
          <w:b/>
          <w:sz w:val="20"/>
          <w:lang w:val="uk-UA"/>
        </w:rPr>
      </w:pPr>
    </w:p>
    <w:p w14:paraId="36E32491" w14:textId="57AD1783" w:rsidR="00E05B98" w:rsidRPr="003C6DAE" w:rsidRDefault="0017456D">
      <w:pPr>
        <w:pStyle w:val="a3"/>
        <w:rPr>
          <w:rFonts w:ascii="Arial"/>
          <w:bCs/>
          <w:sz w:val="13"/>
          <w:szCs w:val="13"/>
          <w:lang w:val="uk-UA"/>
        </w:rPr>
      </w:pPr>
      <w:r>
        <w:rPr>
          <w:rFonts w:ascii="Arial"/>
          <w:b/>
          <w:noProof/>
          <w:sz w:val="20"/>
          <w:lang w:val="uk-UA"/>
        </w:rPr>
        <mc:AlternateContent>
          <mc:Choice Requires="wps">
            <w:drawing>
              <wp:anchor distT="0" distB="0" distL="114300" distR="114300" simplePos="0" relativeHeight="488195584" behindDoc="0" locked="0" layoutInCell="1" allowOverlap="1" wp14:anchorId="2DD5C970" wp14:editId="597BA36C">
                <wp:simplePos x="0" y="0"/>
                <wp:positionH relativeFrom="column">
                  <wp:posOffset>308305</wp:posOffset>
                </wp:positionH>
                <wp:positionV relativeFrom="paragraph">
                  <wp:posOffset>10414</wp:posOffset>
                </wp:positionV>
                <wp:extent cx="6049239" cy="263347"/>
                <wp:effectExtent l="0" t="0" r="8890" b="3810"/>
                <wp:wrapNone/>
                <wp:docPr id="332934435" name="Поле 332934435"/>
                <wp:cNvGraphicFramePr/>
                <a:graphic xmlns:a="http://schemas.openxmlformats.org/drawingml/2006/main">
                  <a:graphicData uri="http://schemas.microsoft.com/office/word/2010/wordprocessingShape">
                    <wps:wsp>
                      <wps:cNvSpPr txBox="1"/>
                      <wps:spPr>
                        <a:xfrm>
                          <a:off x="0" y="0"/>
                          <a:ext cx="6049239" cy="263347"/>
                        </a:xfrm>
                        <a:prstGeom prst="rect">
                          <a:avLst/>
                        </a:prstGeom>
                        <a:solidFill>
                          <a:schemeClr val="bg1"/>
                        </a:solidFill>
                        <a:ln w="6350">
                          <a:noFill/>
                        </a:ln>
                      </wps:spPr>
                      <wps:txbx>
                        <w:txbxContent>
                          <w:p w14:paraId="21DDB878" w14:textId="266BD874" w:rsidR="0017456D" w:rsidRPr="0017456D" w:rsidRDefault="0017456D" w:rsidP="0017456D">
                            <w:pPr>
                              <w:tabs>
                                <w:tab w:val="left" w:pos="1615"/>
                              </w:tabs>
                              <w:spacing w:before="119" w:line="204" w:lineRule="auto"/>
                              <w:rPr>
                                <w:rFonts w:ascii="Trebuchet MS"/>
                                <w:sz w:val="13"/>
                                <w:szCs w:val="13"/>
                                <w:lang w:val="uk-UA"/>
                              </w:rPr>
                            </w:pPr>
                            <w:r w:rsidRPr="0017456D">
                              <w:rPr>
                                <w:sz w:val="13"/>
                                <w:szCs w:val="13"/>
                                <w:lang w:val="uk-UA"/>
                              </w:rPr>
                              <w:t xml:space="preserve">Дослідження           </w:t>
                            </w:r>
                            <w:r>
                              <w:rPr>
                                <w:sz w:val="13"/>
                                <w:szCs w:val="13"/>
                                <w:lang w:val="uk-UA"/>
                              </w:rPr>
                              <w:t xml:space="preserve">         </w:t>
                            </w:r>
                            <w:r w:rsidRPr="0017456D">
                              <w:rPr>
                                <w:rFonts w:ascii="Trebuchet MS"/>
                                <w:color w:val="333333"/>
                                <w:sz w:val="13"/>
                                <w:szCs w:val="13"/>
                                <w:lang w:val="uk-UA"/>
                              </w:rPr>
                              <w:t>TP</w:t>
                            </w:r>
                            <w:r w:rsidRPr="0017456D">
                              <w:rPr>
                                <w:rFonts w:ascii="Trebuchet MS"/>
                                <w:color w:val="333333"/>
                                <w:spacing w:val="48"/>
                                <w:sz w:val="13"/>
                                <w:szCs w:val="13"/>
                                <w:lang w:val="uk-UA"/>
                              </w:rPr>
                              <w:t xml:space="preserve">  </w:t>
                            </w:r>
                            <w:r w:rsidRPr="0017456D">
                              <w:rPr>
                                <w:rFonts w:ascii="Trebuchet MS"/>
                                <w:color w:val="333333"/>
                                <w:sz w:val="13"/>
                                <w:szCs w:val="13"/>
                                <w:lang w:val="uk-UA"/>
                              </w:rPr>
                              <w:t>FP</w:t>
                            </w:r>
                            <w:r w:rsidRPr="0017456D">
                              <w:rPr>
                                <w:rFonts w:ascii="Trebuchet MS"/>
                                <w:color w:val="333333"/>
                                <w:spacing w:val="76"/>
                                <w:sz w:val="13"/>
                                <w:szCs w:val="13"/>
                                <w:lang w:val="uk-UA"/>
                              </w:rPr>
                              <w:t xml:space="preserve"> </w:t>
                            </w:r>
                            <w:r w:rsidRPr="0017456D">
                              <w:rPr>
                                <w:rFonts w:ascii="Trebuchet MS"/>
                                <w:color w:val="333333"/>
                                <w:spacing w:val="-5"/>
                                <w:sz w:val="13"/>
                                <w:szCs w:val="13"/>
                                <w:lang w:val="uk-UA"/>
                              </w:rPr>
                              <w:t>FN</w:t>
                            </w:r>
                            <w:r>
                              <w:rPr>
                                <w:rFonts w:ascii="Trebuchet MS"/>
                                <w:color w:val="333333"/>
                                <w:spacing w:val="-5"/>
                                <w:sz w:val="13"/>
                                <w:szCs w:val="13"/>
                                <w:lang w:val="uk-UA"/>
                              </w:rPr>
                              <w:t xml:space="preserve">     </w:t>
                            </w:r>
                            <w:r w:rsidRPr="0017456D">
                              <w:rPr>
                                <w:rFonts w:ascii="Trebuchet MS"/>
                                <w:color w:val="333333"/>
                                <w:spacing w:val="-5"/>
                                <w:sz w:val="13"/>
                                <w:szCs w:val="13"/>
                                <w:lang w:val="uk-UA"/>
                              </w:rPr>
                              <w:t>TN</w:t>
                            </w:r>
                            <w:r>
                              <w:rPr>
                                <w:rFonts w:ascii="Trebuchet MS"/>
                                <w:color w:val="333333"/>
                                <w:spacing w:val="-5"/>
                                <w:sz w:val="13"/>
                                <w:szCs w:val="13"/>
                                <w:lang w:val="uk-UA"/>
                              </w:rPr>
                              <w:t xml:space="preserve">        </w:t>
                            </w:r>
                            <w:r>
                              <w:rPr>
                                <w:rFonts w:ascii="Trebuchet MS"/>
                                <w:color w:val="333333"/>
                                <w:spacing w:val="-5"/>
                                <w:sz w:val="13"/>
                                <w:szCs w:val="13"/>
                                <w:lang w:val="uk-UA"/>
                              </w:rPr>
                              <w:t>Бренд</w:t>
                            </w:r>
                            <w:r>
                              <w:rPr>
                                <w:rFonts w:ascii="Trebuchet MS"/>
                                <w:color w:val="333333"/>
                                <w:spacing w:val="-5"/>
                                <w:sz w:val="13"/>
                                <w:szCs w:val="13"/>
                                <w:lang w:val="uk-UA"/>
                              </w:rPr>
                              <w:t xml:space="preserve"> </w:t>
                            </w:r>
                            <w:r>
                              <w:rPr>
                                <w:rFonts w:ascii="Trebuchet MS"/>
                                <w:color w:val="333333"/>
                                <w:spacing w:val="-5"/>
                                <w:sz w:val="13"/>
                                <w:szCs w:val="13"/>
                                <w:lang w:val="uk-UA"/>
                              </w:rPr>
                              <w:t>тесту</w:t>
                            </w:r>
                            <w:r>
                              <w:rPr>
                                <w:rFonts w:ascii="Trebuchet MS"/>
                                <w:color w:val="333333"/>
                                <w:spacing w:val="-5"/>
                                <w:sz w:val="13"/>
                                <w:szCs w:val="13"/>
                                <w:lang w:val="uk-UA"/>
                              </w:rPr>
                              <w:t xml:space="preserve">        </w:t>
                            </w:r>
                            <w:r>
                              <w:rPr>
                                <w:rFonts w:ascii="Trebuchet MS"/>
                                <w:color w:val="333333"/>
                                <w:spacing w:val="-5"/>
                                <w:sz w:val="13"/>
                                <w:szCs w:val="13"/>
                                <w:lang w:val="uk-UA"/>
                              </w:rPr>
                              <w:t>Чутливість</w:t>
                            </w:r>
                            <w:r>
                              <w:rPr>
                                <w:rFonts w:ascii="Trebuchet MS"/>
                                <w:color w:val="333333"/>
                                <w:spacing w:val="-5"/>
                                <w:sz w:val="13"/>
                                <w:szCs w:val="13"/>
                                <w:lang w:val="uk-UA"/>
                              </w:rPr>
                              <w:t xml:space="preserve"> (95% </w:t>
                            </w:r>
                            <w:r>
                              <w:rPr>
                                <w:rFonts w:ascii="Trebuchet MS"/>
                                <w:color w:val="333333"/>
                                <w:spacing w:val="-5"/>
                                <w:sz w:val="13"/>
                                <w:szCs w:val="13"/>
                                <w:lang w:val="uk-UA"/>
                              </w:rPr>
                              <w:t>ДІ</w:t>
                            </w:r>
                            <w:r>
                              <w:rPr>
                                <w:rFonts w:ascii="Trebuchet MS"/>
                                <w:color w:val="333333"/>
                                <w:spacing w:val="-5"/>
                                <w:sz w:val="13"/>
                                <w:szCs w:val="13"/>
                                <w:lang w:val="uk-UA"/>
                              </w:rPr>
                              <w:t xml:space="preserve">)  </w:t>
                            </w:r>
                            <w:r>
                              <w:rPr>
                                <w:rFonts w:ascii="Trebuchet MS"/>
                                <w:color w:val="333333"/>
                                <w:spacing w:val="-5"/>
                                <w:sz w:val="13"/>
                                <w:szCs w:val="13"/>
                                <w:lang w:val="uk-UA"/>
                              </w:rPr>
                              <w:t>Специфічність</w:t>
                            </w:r>
                            <w:r>
                              <w:rPr>
                                <w:rFonts w:ascii="Trebuchet MS"/>
                                <w:color w:val="333333"/>
                                <w:spacing w:val="-5"/>
                                <w:sz w:val="13"/>
                                <w:szCs w:val="13"/>
                                <w:lang w:val="uk-UA"/>
                              </w:rPr>
                              <w:t xml:space="preserve"> (95% </w:t>
                            </w:r>
                            <w:r>
                              <w:rPr>
                                <w:rFonts w:ascii="Trebuchet MS"/>
                                <w:color w:val="333333"/>
                                <w:spacing w:val="-5"/>
                                <w:sz w:val="13"/>
                                <w:szCs w:val="13"/>
                                <w:lang w:val="uk-UA"/>
                              </w:rPr>
                              <w:t>ДІ</w:t>
                            </w:r>
                            <w:r>
                              <w:rPr>
                                <w:rFonts w:ascii="Trebuchet MS"/>
                                <w:color w:val="333333"/>
                                <w:spacing w:val="-5"/>
                                <w:sz w:val="13"/>
                                <w:szCs w:val="13"/>
                                <w:lang w:val="uk-UA"/>
                              </w:rPr>
                              <w:t xml:space="preserve">)     </w:t>
                            </w:r>
                            <w:r>
                              <w:rPr>
                                <w:rFonts w:ascii="Trebuchet MS"/>
                                <w:color w:val="333333"/>
                                <w:spacing w:val="-5"/>
                                <w:sz w:val="13"/>
                                <w:szCs w:val="13"/>
                                <w:lang w:val="uk-UA"/>
                              </w:rPr>
                              <w:t>Чутливість</w:t>
                            </w:r>
                            <w:r>
                              <w:rPr>
                                <w:rFonts w:ascii="Trebuchet MS"/>
                                <w:color w:val="333333"/>
                                <w:spacing w:val="-5"/>
                                <w:sz w:val="13"/>
                                <w:szCs w:val="13"/>
                                <w:lang w:val="uk-UA"/>
                              </w:rPr>
                              <w:t xml:space="preserve"> (95% </w:t>
                            </w:r>
                            <w:r>
                              <w:rPr>
                                <w:rFonts w:ascii="Trebuchet MS"/>
                                <w:color w:val="333333"/>
                                <w:spacing w:val="-5"/>
                                <w:sz w:val="13"/>
                                <w:szCs w:val="13"/>
                                <w:lang w:val="uk-UA"/>
                              </w:rPr>
                              <w:t>ДІ</w:t>
                            </w:r>
                            <w:r>
                              <w:rPr>
                                <w:rFonts w:ascii="Trebuchet MS"/>
                                <w:color w:val="333333"/>
                                <w:spacing w:val="-5"/>
                                <w:sz w:val="13"/>
                                <w:szCs w:val="13"/>
                                <w:lang w:val="uk-UA"/>
                              </w:rPr>
                              <w:t xml:space="preserve">)          </w:t>
                            </w:r>
                            <w:r>
                              <w:rPr>
                                <w:rFonts w:ascii="Trebuchet MS"/>
                                <w:color w:val="333333"/>
                                <w:spacing w:val="-5"/>
                                <w:sz w:val="13"/>
                                <w:szCs w:val="13"/>
                                <w:lang w:val="uk-UA"/>
                              </w:rPr>
                              <w:t>Специфічність</w:t>
                            </w:r>
                            <w:r>
                              <w:rPr>
                                <w:rFonts w:ascii="Trebuchet MS"/>
                                <w:color w:val="333333"/>
                                <w:spacing w:val="-5"/>
                                <w:sz w:val="13"/>
                                <w:szCs w:val="13"/>
                                <w:lang w:val="uk-UA"/>
                              </w:rPr>
                              <w:t xml:space="preserve"> (95% </w:t>
                            </w:r>
                            <w:r>
                              <w:rPr>
                                <w:rFonts w:ascii="Trebuchet MS"/>
                                <w:color w:val="333333"/>
                                <w:spacing w:val="-5"/>
                                <w:sz w:val="13"/>
                                <w:szCs w:val="13"/>
                                <w:lang w:val="uk-UA"/>
                              </w:rPr>
                              <w:t>ДІ</w:t>
                            </w:r>
                            <w:r>
                              <w:rPr>
                                <w:rFonts w:ascii="Trebuchet MS"/>
                                <w:color w:val="333333"/>
                                <w:spacing w:val="-5"/>
                                <w:sz w:val="13"/>
                                <w:szCs w:val="13"/>
                                <w:lang w:val="uk-UA"/>
                              </w:rPr>
                              <w:t>)</w:t>
                            </w:r>
                          </w:p>
                          <w:p w14:paraId="51FA8665" w14:textId="77777777" w:rsidR="0017456D" w:rsidRPr="003C6DAE" w:rsidRDefault="0017456D" w:rsidP="0017456D">
                            <w:pPr>
                              <w:spacing w:before="113" w:line="204" w:lineRule="auto"/>
                              <w:ind w:left="284"/>
                              <w:rPr>
                                <w:rFonts w:ascii="Trebuchet MS"/>
                                <w:sz w:val="13"/>
                                <w:lang w:val="uk-UA"/>
                              </w:rPr>
                            </w:pPr>
                            <w:r w:rsidRPr="003C6DAE">
                              <w:rPr>
                                <w:lang w:val="uk-UA"/>
                              </w:rPr>
                              <w:br w:type="column"/>
                            </w:r>
                            <w:r w:rsidRPr="003C6DAE">
                              <w:rPr>
                                <w:rFonts w:ascii="Trebuchet MS"/>
                                <w:color w:val="333333"/>
                                <w:w w:val="90"/>
                                <w:sz w:val="13"/>
                                <w:lang w:val="uk-UA"/>
                              </w:rPr>
                              <w:t>Бренд</w:t>
                            </w:r>
                            <w:r>
                              <w:rPr>
                                <w:rFonts w:ascii="Trebuchet MS"/>
                                <w:color w:val="333333"/>
                                <w:w w:val="90"/>
                                <w:sz w:val="13"/>
                                <w:lang w:val="uk-UA"/>
                              </w:rPr>
                              <w:t xml:space="preserve"> </w:t>
                            </w:r>
                            <w:r>
                              <w:rPr>
                                <w:rFonts w:ascii="Trebuchet MS"/>
                                <w:color w:val="333333"/>
                                <w:w w:val="90"/>
                                <w:sz w:val="13"/>
                                <w:lang w:val="uk-UA"/>
                              </w:rPr>
                              <w:t>тесту</w:t>
                            </w:r>
                          </w:p>
                          <w:p w14:paraId="2070A2E9" w14:textId="1302B061" w:rsidR="0017456D" w:rsidRPr="0017456D" w:rsidRDefault="0017456D" w:rsidP="0017456D">
                            <w:pPr>
                              <w:rPr>
                                <w:sz w:val="15"/>
                                <w:szCs w:val="15"/>
                                <w:lang w:val="uk-UA"/>
                              </w:rPr>
                            </w:pPr>
                            <w:r w:rsidRPr="003C6DAE">
                              <w:rPr>
                                <w:lang w:val="uk-UA"/>
                              </w:rPr>
                              <w:br w:type="column"/>
                              <w:t xml:space="preserve">       </w:t>
                            </w:r>
                            <w:r w:rsidRPr="003C6DAE">
                              <w:rPr>
                                <w:rFonts w:ascii="Trebuchet MS"/>
                                <w:color w:val="333333"/>
                                <w:sz w:val="13"/>
                                <w:lang w:val="uk-UA"/>
                              </w:rPr>
                              <w:t>Чутливість</w:t>
                            </w:r>
                            <w:r>
                              <w:rPr>
                                <w:rFonts w:ascii="Trebuchet MS"/>
                                <w:color w:val="333333"/>
                                <w:sz w:val="13"/>
                                <w:lang w:val="uk-UA"/>
                              </w:rPr>
                              <w:t xml:space="preserve"> (95% </w:t>
                            </w:r>
                            <w:r>
                              <w:rPr>
                                <w:rFonts w:ascii="Trebuchet MS"/>
                                <w:color w:val="333333"/>
                                <w:sz w:val="13"/>
                                <w:lang w:val="uk-UA"/>
                              </w:rPr>
                              <w:t>ДІ</w:t>
                            </w:r>
                            <w:r>
                              <w:rPr>
                                <w:rFonts w:ascii="Trebuchet MS"/>
                                <w:color w:val="333333"/>
                                <w:sz w:val="13"/>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D5C970" id="Поле 332934435" o:spid="_x0000_s1078" type="#_x0000_t202" style="position:absolute;margin-left:24.3pt;margin-top:.8pt;width:476.3pt;height:20.75pt;z-index:48819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" fillcolor="white [3212]" stroked="f" strokeweight=".5pt">
                <v:textbox>
                  <w:txbxContent>
                    <w:p w14:paraId="21DDB878" w14:textId="266BD874" w:rsidR="0017456D" w:rsidRPr="0017456D" w:rsidRDefault="0017456D" w:rsidP="0017456D">
                      <w:pPr>
                        <w:tabs>
                          <w:tab w:val="left" w:pos="1615"/>
                        </w:tabs>
                        <w:spacing w:before="119" w:line="204" w:lineRule="auto"/>
                        <w:rPr>
                          <w:rFonts w:ascii="Trebuchet MS"/>
                          <w:sz w:val="13"/>
                          <w:szCs w:val="13"/>
                          <w:lang w:val="uk-UA"/>
                        </w:rPr>
                      </w:pPr>
                      <w:r w:rsidRPr="0017456D">
                        <w:rPr>
                          <w:sz w:val="13"/>
                          <w:szCs w:val="13"/>
                          <w:lang w:val="uk-UA"/>
                        </w:rPr>
                        <w:t xml:space="preserve">Дослідження           </w:t>
                      </w:r>
                      <w:r>
                        <w:rPr>
                          <w:sz w:val="13"/>
                          <w:szCs w:val="13"/>
                          <w:lang w:val="uk-UA"/>
                        </w:rPr>
                        <w:t xml:space="preserve">         </w:t>
                      </w:r>
                      <w:r w:rsidRPr="0017456D">
                        <w:rPr>
                          <w:rFonts w:ascii="Trebuchet MS"/>
                          <w:color w:val="333333"/>
                          <w:sz w:val="13"/>
                          <w:szCs w:val="13"/>
                          <w:lang w:val="uk-UA"/>
                        </w:rPr>
                        <w:t>TP</w:t>
                      </w:r>
                      <w:r w:rsidRPr="0017456D">
                        <w:rPr>
                          <w:rFonts w:ascii="Trebuchet MS"/>
                          <w:color w:val="333333"/>
                          <w:spacing w:val="48"/>
                          <w:sz w:val="13"/>
                          <w:szCs w:val="13"/>
                          <w:lang w:val="uk-UA"/>
                        </w:rPr>
                        <w:t xml:space="preserve">  </w:t>
                      </w:r>
                      <w:r w:rsidRPr="0017456D">
                        <w:rPr>
                          <w:rFonts w:ascii="Trebuchet MS"/>
                          <w:color w:val="333333"/>
                          <w:sz w:val="13"/>
                          <w:szCs w:val="13"/>
                          <w:lang w:val="uk-UA"/>
                        </w:rPr>
                        <w:t>FP</w:t>
                      </w:r>
                      <w:r w:rsidRPr="0017456D">
                        <w:rPr>
                          <w:rFonts w:ascii="Trebuchet MS"/>
                          <w:color w:val="333333"/>
                          <w:spacing w:val="76"/>
                          <w:sz w:val="13"/>
                          <w:szCs w:val="13"/>
                          <w:lang w:val="uk-UA"/>
                        </w:rPr>
                        <w:t xml:space="preserve"> </w:t>
                      </w:r>
                      <w:r w:rsidRPr="0017456D">
                        <w:rPr>
                          <w:rFonts w:ascii="Trebuchet MS"/>
                          <w:color w:val="333333"/>
                          <w:spacing w:val="-5"/>
                          <w:sz w:val="13"/>
                          <w:szCs w:val="13"/>
                          <w:lang w:val="uk-UA"/>
                        </w:rPr>
                        <w:t>FN</w:t>
                      </w:r>
                      <w:r>
                        <w:rPr>
                          <w:rFonts w:ascii="Trebuchet MS"/>
                          <w:color w:val="333333"/>
                          <w:spacing w:val="-5"/>
                          <w:sz w:val="13"/>
                          <w:szCs w:val="13"/>
                          <w:lang w:val="uk-UA"/>
                        </w:rPr>
                        <w:t xml:space="preserve">     </w:t>
                      </w:r>
                      <w:r w:rsidRPr="0017456D">
                        <w:rPr>
                          <w:rFonts w:ascii="Trebuchet MS"/>
                          <w:color w:val="333333"/>
                          <w:spacing w:val="-5"/>
                          <w:sz w:val="13"/>
                          <w:szCs w:val="13"/>
                          <w:lang w:val="uk-UA"/>
                        </w:rPr>
                        <w:t>TN</w:t>
                      </w:r>
                      <w:r>
                        <w:rPr>
                          <w:rFonts w:ascii="Trebuchet MS"/>
                          <w:color w:val="333333"/>
                          <w:spacing w:val="-5"/>
                          <w:sz w:val="13"/>
                          <w:szCs w:val="13"/>
                          <w:lang w:val="uk-UA"/>
                        </w:rPr>
                        <w:t xml:space="preserve">        </w:t>
                      </w:r>
                      <w:r>
                        <w:rPr>
                          <w:rFonts w:ascii="Trebuchet MS"/>
                          <w:color w:val="333333"/>
                          <w:spacing w:val="-5"/>
                          <w:sz w:val="13"/>
                          <w:szCs w:val="13"/>
                          <w:lang w:val="uk-UA"/>
                        </w:rPr>
                        <w:t>Бренд</w:t>
                      </w:r>
                      <w:r>
                        <w:rPr>
                          <w:rFonts w:ascii="Trebuchet MS"/>
                          <w:color w:val="333333"/>
                          <w:spacing w:val="-5"/>
                          <w:sz w:val="13"/>
                          <w:szCs w:val="13"/>
                          <w:lang w:val="uk-UA"/>
                        </w:rPr>
                        <w:t xml:space="preserve"> </w:t>
                      </w:r>
                      <w:r>
                        <w:rPr>
                          <w:rFonts w:ascii="Trebuchet MS"/>
                          <w:color w:val="333333"/>
                          <w:spacing w:val="-5"/>
                          <w:sz w:val="13"/>
                          <w:szCs w:val="13"/>
                          <w:lang w:val="uk-UA"/>
                        </w:rPr>
                        <w:t>тесту</w:t>
                      </w:r>
                      <w:r>
                        <w:rPr>
                          <w:rFonts w:ascii="Trebuchet MS"/>
                          <w:color w:val="333333"/>
                          <w:spacing w:val="-5"/>
                          <w:sz w:val="13"/>
                          <w:szCs w:val="13"/>
                          <w:lang w:val="uk-UA"/>
                        </w:rPr>
                        <w:t xml:space="preserve">        </w:t>
                      </w:r>
                      <w:r>
                        <w:rPr>
                          <w:rFonts w:ascii="Trebuchet MS"/>
                          <w:color w:val="333333"/>
                          <w:spacing w:val="-5"/>
                          <w:sz w:val="13"/>
                          <w:szCs w:val="13"/>
                          <w:lang w:val="uk-UA"/>
                        </w:rPr>
                        <w:t>Чутливість</w:t>
                      </w:r>
                      <w:r>
                        <w:rPr>
                          <w:rFonts w:ascii="Trebuchet MS"/>
                          <w:color w:val="333333"/>
                          <w:spacing w:val="-5"/>
                          <w:sz w:val="13"/>
                          <w:szCs w:val="13"/>
                          <w:lang w:val="uk-UA"/>
                        </w:rPr>
                        <w:t xml:space="preserve"> (95% </w:t>
                      </w:r>
                      <w:r>
                        <w:rPr>
                          <w:rFonts w:ascii="Trebuchet MS"/>
                          <w:color w:val="333333"/>
                          <w:spacing w:val="-5"/>
                          <w:sz w:val="13"/>
                          <w:szCs w:val="13"/>
                          <w:lang w:val="uk-UA"/>
                        </w:rPr>
                        <w:t>ДІ</w:t>
                      </w:r>
                      <w:r>
                        <w:rPr>
                          <w:rFonts w:ascii="Trebuchet MS"/>
                          <w:color w:val="333333"/>
                          <w:spacing w:val="-5"/>
                          <w:sz w:val="13"/>
                          <w:szCs w:val="13"/>
                          <w:lang w:val="uk-UA"/>
                        </w:rPr>
                        <w:t xml:space="preserve">)  </w:t>
                      </w:r>
                      <w:r>
                        <w:rPr>
                          <w:rFonts w:ascii="Trebuchet MS"/>
                          <w:color w:val="333333"/>
                          <w:spacing w:val="-5"/>
                          <w:sz w:val="13"/>
                          <w:szCs w:val="13"/>
                          <w:lang w:val="uk-UA"/>
                        </w:rPr>
                        <w:t>Специфічність</w:t>
                      </w:r>
                      <w:r>
                        <w:rPr>
                          <w:rFonts w:ascii="Trebuchet MS"/>
                          <w:color w:val="333333"/>
                          <w:spacing w:val="-5"/>
                          <w:sz w:val="13"/>
                          <w:szCs w:val="13"/>
                          <w:lang w:val="uk-UA"/>
                        </w:rPr>
                        <w:t xml:space="preserve"> (95% </w:t>
                      </w:r>
                      <w:r>
                        <w:rPr>
                          <w:rFonts w:ascii="Trebuchet MS"/>
                          <w:color w:val="333333"/>
                          <w:spacing w:val="-5"/>
                          <w:sz w:val="13"/>
                          <w:szCs w:val="13"/>
                          <w:lang w:val="uk-UA"/>
                        </w:rPr>
                        <w:t>ДІ</w:t>
                      </w:r>
                      <w:r>
                        <w:rPr>
                          <w:rFonts w:ascii="Trebuchet MS"/>
                          <w:color w:val="333333"/>
                          <w:spacing w:val="-5"/>
                          <w:sz w:val="13"/>
                          <w:szCs w:val="13"/>
                          <w:lang w:val="uk-UA"/>
                        </w:rPr>
                        <w:t xml:space="preserve">)     </w:t>
                      </w:r>
                      <w:r>
                        <w:rPr>
                          <w:rFonts w:ascii="Trebuchet MS"/>
                          <w:color w:val="333333"/>
                          <w:spacing w:val="-5"/>
                          <w:sz w:val="13"/>
                          <w:szCs w:val="13"/>
                          <w:lang w:val="uk-UA"/>
                        </w:rPr>
                        <w:t>Чутливість</w:t>
                      </w:r>
                      <w:r>
                        <w:rPr>
                          <w:rFonts w:ascii="Trebuchet MS"/>
                          <w:color w:val="333333"/>
                          <w:spacing w:val="-5"/>
                          <w:sz w:val="13"/>
                          <w:szCs w:val="13"/>
                          <w:lang w:val="uk-UA"/>
                        </w:rPr>
                        <w:t xml:space="preserve"> (95% </w:t>
                      </w:r>
                      <w:r>
                        <w:rPr>
                          <w:rFonts w:ascii="Trebuchet MS"/>
                          <w:color w:val="333333"/>
                          <w:spacing w:val="-5"/>
                          <w:sz w:val="13"/>
                          <w:szCs w:val="13"/>
                          <w:lang w:val="uk-UA"/>
                        </w:rPr>
                        <w:t>ДІ</w:t>
                      </w:r>
                      <w:r>
                        <w:rPr>
                          <w:rFonts w:ascii="Trebuchet MS"/>
                          <w:color w:val="333333"/>
                          <w:spacing w:val="-5"/>
                          <w:sz w:val="13"/>
                          <w:szCs w:val="13"/>
                          <w:lang w:val="uk-UA"/>
                        </w:rPr>
                        <w:t xml:space="preserve">)          </w:t>
                      </w:r>
                      <w:r>
                        <w:rPr>
                          <w:rFonts w:ascii="Trebuchet MS"/>
                          <w:color w:val="333333"/>
                          <w:spacing w:val="-5"/>
                          <w:sz w:val="13"/>
                          <w:szCs w:val="13"/>
                          <w:lang w:val="uk-UA"/>
                        </w:rPr>
                        <w:t>Специфічність</w:t>
                      </w:r>
                      <w:r>
                        <w:rPr>
                          <w:rFonts w:ascii="Trebuchet MS"/>
                          <w:color w:val="333333"/>
                          <w:spacing w:val="-5"/>
                          <w:sz w:val="13"/>
                          <w:szCs w:val="13"/>
                          <w:lang w:val="uk-UA"/>
                        </w:rPr>
                        <w:t xml:space="preserve"> (95% </w:t>
                      </w:r>
                      <w:r>
                        <w:rPr>
                          <w:rFonts w:ascii="Trebuchet MS"/>
                          <w:color w:val="333333"/>
                          <w:spacing w:val="-5"/>
                          <w:sz w:val="13"/>
                          <w:szCs w:val="13"/>
                          <w:lang w:val="uk-UA"/>
                        </w:rPr>
                        <w:t>ДІ</w:t>
                      </w:r>
                      <w:r>
                        <w:rPr>
                          <w:rFonts w:ascii="Trebuchet MS"/>
                          <w:color w:val="333333"/>
                          <w:spacing w:val="-5"/>
                          <w:sz w:val="13"/>
                          <w:szCs w:val="13"/>
                          <w:lang w:val="uk-UA"/>
                        </w:rPr>
                        <w:t>)</w:t>
                      </w:r>
                    </w:p>
                    <w:p w14:paraId="51FA8665" w14:textId="77777777" w:rsidR="0017456D" w:rsidRPr="003C6DAE" w:rsidRDefault="0017456D" w:rsidP="0017456D">
                      <w:pPr>
                        <w:spacing w:before="113" w:line="204" w:lineRule="auto"/>
                        <w:ind w:left="284"/>
                        <w:rPr>
                          <w:rFonts w:ascii="Trebuchet MS"/>
                          <w:sz w:val="13"/>
                          <w:lang w:val="uk-UA"/>
                        </w:rPr>
                      </w:pPr>
                      <w:r w:rsidRPr="003C6DAE">
                        <w:rPr>
                          <w:lang w:val="uk-UA"/>
                        </w:rPr>
                        <w:br w:type="column"/>
                      </w:r>
                      <w:r w:rsidRPr="003C6DAE">
                        <w:rPr>
                          <w:rFonts w:ascii="Trebuchet MS"/>
                          <w:color w:val="333333"/>
                          <w:w w:val="90"/>
                          <w:sz w:val="13"/>
                          <w:lang w:val="uk-UA"/>
                        </w:rPr>
                        <w:t>Бренд</w:t>
                      </w:r>
                      <w:r>
                        <w:rPr>
                          <w:rFonts w:ascii="Trebuchet MS"/>
                          <w:color w:val="333333"/>
                          <w:w w:val="90"/>
                          <w:sz w:val="13"/>
                          <w:lang w:val="uk-UA"/>
                        </w:rPr>
                        <w:t xml:space="preserve"> </w:t>
                      </w:r>
                      <w:r>
                        <w:rPr>
                          <w:rFonts w:ascii="Trebuchet MS"/>
                          <w:color w:val="333333"/>
                          <w:w w:val="90"/>
                          <w:sz w:val="13"/>
                          <w:lang w:val="uk-UA"/>
                        </w:rPr>
                        <w:t>тесту</w:t>
                      </w:r>
                    </w:p>
                    <w:p w14:paraId="2070A2E9" w14:textId="1302B061" w:rsidR="0017456D" w:rsidRPr="0017456D" w:rsidRDefault="0017456D" w:rsidP="0017456D">
                      <w:pPr>
                        <w:rPr>
                          <w:sz w:val="15"/>
                          <w:szCs w:val="15"/>
                          <w:lang w:val="uk-UA"/>
                        </w:rPr>
                      </w:pPr>
                      <w:r w:rsidRPr="003C6DAE">
                        <w:rPr>
                          <w:lang w:val="uk-UA"/>
                        </w:rPr>
                        <w:br w:type="column"/>
                        <w:t xml:space="preserve">       </w:t>
                      </w:r>
                      <w:r w:rsidRPr="003C6DAE">
                        <w:rPr>
                          <w:rFonts w:ascii="Trebuchet MS"/>
                          <w:color w:val="333333"/>
                          <w:sz w:val="13"/>
                          <w:lang w:val="uk-UA"/>
                        </w:rPr>
                        <w:t>Чутливість</w:t>
                      </w:r>
                      <w:r>
                        <w:rPr>
                          <w:rFonts w:ascii="Trebuchet MS"/>
                          <w:color w:val="333333"/>
                          <w:sz w:val="13"/>
                          <w:lang w:val="uk-UA"/>
                        </w:rPr>
                        <w:t xml:space="preserve"> (95% </w:t>
                      </w:r>
                      <w:r>
                        <w:rPr>
                          <w:rFonts w:ascii="Trebuchet MS"/>
                          <w:color w:val="333333"/>
                          <w:sz w:val="13"/>
                          <w:lang w:val="uk-UA"/>
                        </w:rPr>
                        <w:t>ДІ</w:t>
                      </w:r>
                      <w:r>
                        <w:rPr>
                          <w:rFonts w:ascii="Trebuchet MS"/>
                          <w:color w:val="333333"/>
                          <w:sz w:val="13"/>
                          <w:lang w:val="uk-UA"/>
                        </w:rPr>
                        <w:t>)</w:t>
                      </w:r>
                    </w:p>
                  </w:txbxContent>
                </v:textbox>
              </v:shape>
            </w:pict>
          </mc:Fallback>
        </mc:AlternateContent>
      </w:r>
    </w:p>
    <w:p w14:paraId="2CADC722" w14:textId="77777777" w:rsidR="00EA1B77" w:rsidRPr="003C6DAE" w:rsidRDefault="00EA1B77">
      <w:pPr>
        <w:pStyle w:val="a3"/>
        <w:rPr>
          <w:rFonts w:ascii="Arial"/>
          <w:b/>
          <w:sz w:val="20"/>
          <w:lang w:val="uk-UA"/>
        </w:rPr>
        <w:sectPr w:rsidR="00EA1B77" w:rsidRPr="003C6DAE" w:rsidSect="00C45799">
          <w:pgSz w:w="11910" w:h="16840"/>
          <w:pgMar w:top="993" w:right="853" w:bottom="760" w:left="850" w:header="0" w:footer="573" w:gutter="0"/>
          <w:cols w:space="720"/>
        </w:sectPr>
      </w:pPr>
    </w:p>
    <w:p w14:paraId="4E216855" w14:textId="24680491" w:rsidR="00E05B98" w:rsidRPr="003C6DAE" w:rsidRDefault="00B01E0C" w:rsidP="00E93E3D">
      <w:pPr>
        <w:spacing w:before="113" w:line="204" w:lineRule="auto"/>
        <w:ind w:left="284"/>
        <w:rPr>
          <w:rFonts w:ascii="Trebuchet MS"/>
          <w:sz w:val="13"/>
          <w:lang w:val="uk-UA"/>
        </w:rPr>
      </w:pPr>
      <w:r w:rsidRPr="003C6DAE">
        <w:rPr>
          <w:lang w:val="uk-UA"/>
        </w:rPr>
        <w:br w:type="column"/>
      </w:r>
    </w:p>
    <w:p w14:paraId="7CBFBF7E" w14:textId="6FE7A313" w:rsidR="00815A80" w:rsidRPr="003C6DAE" w:rsidRDefault="00B01E0C" w:rsidP="00E93E3D">
      <w:pPr>
        <w:spacing w:before="111" w:line="204" w:lineRule="auto"/>
        <w:ind w:left="-142"/>
        <w:rPr>
          <w:rFonts w:ascii="Trebuchet MS"/>
          <w:color w:val="333333"/>
          <w:spacing w:val="-3"/>
          <w:sz w:val="13"/>
          <w:lang w:val="uk-UA"/>
        </w:rPr>
      </w:pPr>
      <w:r w:rsidRPr="003C6DAE">
        <w:rPr>
          <w:lang w:val="uk-UA"/>
        </w:rPr>
        <w:br w:type="column"/>
      </w:r>
      <w:r w:rsidR="00815A80" w:rsidRPr="003C6DAE">
        <w:rPr>
          <w:rFonts w:ascii="Trebuchet MS"/>
          <w:color w:val="333333"/>
          <w:spacing w:val="38"/>
          <w:sz w:val="13"/>
          <w:lang w:val="uk-UA"/>
        </w:rPr>
        <w:t xml:space="preserve"> </w:t>
      </w:r>
    </w:p>
    <w:p w14:paraId="5D07A47E" w14:textId="0C59E660" w:rsidR="00E05B98" w:rsidRPr="003C6DAE" w:rsidRDefault="00B01E0C" w:rsidP="00815A80">
      <w:pPr>
        <w:spacing w:before="108" w:line="204" w:lineRule="auto"/>
        <w:ind w:left="141"/>
        <w:rPr>
          <w:rFonts w:ascii="Trebuchet MS"/>
          <w:sz w:val="13"/>
          <w:lang w:val="uk-UA"/>
        </w:rPr>
      </w:pPr>
      <w:r w:rsidRPr="003C6DAE">
        <w:rPr>
          <w:lang w:val="uk-UA"/>
        </w:rPr>
        <w:br w:type="column"/>
      </w:r>
    </w:p>
    <w:p w14:paraId="093E5F34" w14:textId="3128FC0A" w:rsidR="00E05B98" w:rsidRPr="003C6DAE" w:rsidRDefault="00B01E0C" w:rsidP="00815A80">
      <w:pPr>
        <w:spacing w:before="120" w:line="204" w:lineRule="auto"/>
        <w:rPr>
          <w:rFonts w:ascii="Trebuchet MS"/>
          <w:sz w:val="13"/>
          <w:lang w:val="uk-UA"/>
        </w:rPr>
      </w:pPr>
      <w:r w:rsidRPr="003C6DAE">
        <w:rPr>
          <w:lang w:val="uk-UA"/>
        </w:rPr>
        <w:br w:type="column"/>
      </w:r>
    </w:p>
    <w:p w14:paraId="38D6F0CF" w14:textId="77777777" w:rsidR="00E05B98" w:rsidRPr="003C6DAE" w:rsidRDefault="00E05B98">
      <w:pPr>
        <w:rPr>
          <w:rFonts w:ascii="Trebuchet MS"/>
          <w:sz w:val="13"/>
          <w:lang w:val="uk-UA"/>
        </w:rPr>
        <w:sectPr w:rsidR="00E05B98" w:rsidRPr="003C6DAE" w:rsidSect="00815A80">
          <w:type w:val="continuous"/>
          <w:pgSz w:w="11910" w:h="16840"/>
          <w:pgMar w:top="1920" w:right="1275" w:bottom="280" w:left="850" w:header="0" w:footer="573" w:gutter="0"/>
          <w:cols w:num="6" w:space="379" w:equalWidth="0">
            <w:col w:w="1046" w:space="397"/>
            <w:col w:w="1788" w:space="59"/>
            <w:col w:w="1031" w:space="40"/>
            <w:col w:w="2471" w:space="39"/>
            <w:col w:w="1279" w:space="40"/>
            <w:col w:w="1595"/>
          </w:cols>
        </w:sectPr>
      </w:pPr>
    </w:p>
    <w:p w14:paraId="28E10167" w14:textId="77777777" w:rsidR="00E05B98" w:rsidRPr="003C6DAE" w:rsidRDefault="00B01E0C">
      <w:pPr>
        <w:spacing w:before="55"/>
        <w:ind w:left="671"/>
        <w:rPr>
          <w:rFonts w:ascii="Trebuchet MS"/>
          <w:sz w:val="13"/>
          <w:lang w:val="uk-UA"/>
        </w:rPr>
      </w:pPr>
      <w:r w:rsidRPr="003C6DAE">
        <w:rPr>
          <w:rFonts w:ascii="Trebuchet MS"/>
          <w:w w:val="90"/>
          <w:sz w:val="13"/>
          <w:lang w:val="uk-UA"/>
        </w:rPr>
        <w:t>J</w:t>
      </w:r>
      <w:r w:rsidRPr="003C6DAE">
        <w:rPr>
          <w:rFonts w:ascii="Trebuchet MS"/>
          <w:spacing w:val="-17"/>
          <w:w w:val="90"/>
          <w:sz w:val="13"/>
          <w:lang w:val="uk-UA"/>
        </w:rPr>
        <w:t xml:space="preserve"> </w:t>
      </w:r>
      <w:proofErr w:type="spellStart"/>
      <w:r w:rsidRPr="003C6DAE">
        <w:rPr>
          <w:rFonts w:ascii="Trebuchet MS"/>
          <w:w w:val="90"/>
          <w:sz w:val="13"/>
          <w:lang w:val="uk-UA"/>
        </w:rPr>
        <w:t>ose</w:t>
      </w:r>
      <w:proofErr w:type="spellEnd"/>
      <w:r w:rsidRPr="003C6DAE">
        <w:rPr>
          <w:rFonts w:ascii="Trebuchet MS"/>
          <w:spacing w:val="6"/>
          <w:sz w:val="13"/>
          <w:lang w:val="uk-UA"/>
        </w:rPr>
        <w:t xml:space="preserve"> </w:t>
      </w:r>
      <w:r w:rsidRPr="003C6DAE">
        <w:rPr>
          <w:rFonts w:ascii="Trebuchet MS"/>
          <w:spacing w:val="-4"/>
          <w:w w:val="90"/>
          <w:sz w:val="13"/>
          <w:lang w:val="uk-UA"/>
        </w:rPr>
        <w:t>2024</w:t>
      </w:r>
    </w:p>
    <w:p w14:paraId="5AFF9BD7" w14:textId="77777777" w:rsidR="00E05B98" w:rsidRPr="003C6DAE" w:rsidRDefault="00B01E0C">
      <w:pPr>
        <w:spacing w:before="31"/>
        <w:ind w:left="671"/>
        <w:rPr>
          <w:rFonts w:ascii="Trebuchet MS"/>
          <w:sz w:val="13"/>
          <w:lang w:val="uk-UA"/>
        </w:rPr>
      </w:pPr>
      <w:proofErr w:type="spellStart"/>
      <w:r w:rsidRPr="003C6DAE">
        <w:rPr>
          <w:rFonts w:ascii="Trebuchet MS"/>
          <w:sz w:val="13"/>
          <w:lang w:val="uk-UA"/>
        </w:rPr>
        <w:t>Ngangue</w:t>
      </w:r>
      <w:proofErr w:type="spellEnd"/>
      <w:r w:rsidRPr="003C6DAE">
        <w:rPr>
          <w:rFonts w:ascii="Trebuchet MS"/>
          <w:spacing w:val="-3"/>
          <w:sz w:val="13"/>
          <w:lang w:val="uk-UA"/>
        </w:rPr>
        <w:t xml:space="preserve"> </w:t>
      </w:r>
      <w:r w:rsidRPr="003C6DAE">
        <w:rPr>
          <w:rFonts w:ascii="Trebuchet MS"/>
          <w:spacing w:val="-4"/>
          <w:sz w:val="13"/>
          <w:lang w:val="uk-UA"/>
        </w:rPr>
        <w:t>2022</w:t>
      </w:r>
    </w:p>
    <w:p w14:paraId="1B0A75A1" w14:textId="77777777" w:rsidR="00E05B98" w:rsidRPr="003C6DAE" w:rsidRDefault="00B01E0C">
      <w:pPr>
        <w:spacing w:before="54"/>
        <w:jc w:val="right"/>
        <w:rPr>
          <w:rFonts w:ascii="Trebuchet MS"/>
          <w:sz w:val="13"/>
          <w:lang w:val="uk-UA"/>
        </w:rPr>
      </w:pPr>
      <w:r w:rsidRPr="003C6DAE">
        <w:rPr>
          <w:lang w:val="uk-UA"/>
        </w:rPr>
        <w:br w:type="column"/>
      </w:r>
      <w:r w:rsidRPr="003C6DAE">
        <w:rPr>
          <w:rFonts w:ascii="Trebuchet MS"/>
          <w:spacing w:val="-5"/>
          <w:sz w:val="13"/>
          <w:lang w:val="uk-UA"/>
        </w:rPr>
        <w:t>18</w:t>
      </w:r>
    </w:p>
    <w:p w14:paraId="7B4F51E3" w14:textId="77777777" w:rsidR="00E05B98" w:rsidRPr="003C6DAE" w:rsidRDefault="00B01E0C">
      <w:pPr>
        <w:spacing w:before="31"/>
        <w:jc w:val="right"/>
        <w:rPr>
          <w:rFonts w:ascii="Trebuchet MS"/>
          <w:sz w:val="13"/>
          <w:lang w:val="uk-UA"/>
        </w:rPr>
      </w:pPr>
      <w:r w:rsidRPr="003C6DAE">
        <w:rPr>
          <w:rFonts w:ascii="Trebuchet MS"/>
          <w:spacing w:val="-5"/>
          <w:sz w:val="13"/>
          <w:lang w:val="uk-UA"/>
        </w:rPr>
        <w:t>224</w:t>
      </w:r>
    </w:p>
    <w:p w14:paraId="2D057EB5" w14:textId="77777777" w:rsidR="00E05B98" w:rsidRPr="003C6DAE" w:rsidRDefault="00B01E0C">
      <w:pPr>
        <w:spacing w:before="52"/>
        <w:ind w:left="202"/>
        <w:rPr>
          <w:rFonts w:ascii="Trebuchet MS"/>
          <w:sz w:val="13"/>
          <w:lang w:val="uk-UA"/>
        </w:rPr>
      </w:pPr>
      <w:r w:rsidRPr="003C6DAE">
        <w:rPr>
          <w:lang w:val="uk-UA"/>
        </w:rPr>
        <w:br w:type="column"/>
      </w:r>
      <w:r w:rsidRPr="003C6DAE">
        <w:rPr>
          <w:rFonts w:ascii="Trebuchet MS"/>
          <w:sz w:val="13"/>
          <w:lang w:val="uk-UA"/>
        </w:rPr>
        <w:t>3</w:t>
      </w:r>
      <w:r w:rsidRPr="003C6DAE">
        <w:rPr>
          <w:rFonts w:ascii="Trebuchet MS"/>
          <w:spacing w:val="55"/>
          <w:sz w:val="13"/>
          <w:lang w:val="uk-UA"/>
        </w:rPr>
        <w:t xml:space="preserve">  </w:t>
      </w:r>
      <w:r w:rsidRPr="003C6DAE">
        <w:rPr>
          <w:rFonts w:ascii="Trebuchet MS"/>
          <w:spacing w:val="-10"/>
          <w:sz w:val="13"/>
          <w:lang w:val="uk-UA"/>
        </w:rPr>
        <w:t>1</w:t>
      </w:r>
    </w:p>
    <w:p w14:paraId="46DAA85D" w14:textId="77777777" w:rsidR="00E05B98" w:rsidRPr="003C6DAE" w:rsidRDefault="00B01E0C">
      <w:pPr>
        <w:spacing w:before="31"/>
        <w:ind w:left="133"/>
        <w:rPr>
          <w:rFonts w:ascii="Trebuchet MS"/>
          <w:sz w:val="13"/>
          <w:lang w:val="uk-UA"/>
        </w:rPr>
      </w:pPr>
      <w:r w:rsidRPr="003C6DAE">
        <w:rPr>
          <w:rFonts w:ascii="Trebuchet MS"/>
          <w:sz w:val="13"/>
          <w:lang w:val="uk-UA"/>
        </w:rPr>
        <w:t>35</w:t>
      </w:r>
      <w:r w:rsidRPr="003C6DAE">
        <w:rPr>
          <w:rFonts w:ascii="Trebuchet MS"/>
          <w:spacing w:val="62"/>
          <w:w w:val="150"/>
          <w:sz w:val="13"/>
          <w:lang w:val="uk-UA"/>
        </w:rPr>
        <w:t xml:space="preserve"> </w:t>
      </w:r>
      <w:r w:rsidRPr="003C6DAE">
        <w:rPr>
          <w:rFonts w:ascii="Trebuchet MS"/>
          <w:spacing w:val="-5"/>
          <w:sz w:val="13"/>
          <w:lang w:val="uk-UA"/>
        </w:rPr>
        <w:t>10</w:t>
      </w:r>
    </w:p>
    <w:p w14:paraId="4D79E3FB" w14:textId="4CF052B8" w:rsidR="00E05B98" w:rsidRPr="003C6DAE" w:rsidRDefault="00B01E0C">
      <w:pPr>
        <w:spacing w:before="35" w:line="290" w:lineRule="auto"/>
        <w:ind w:left="126" w:right="-8"/>
        <w:rPr>
          <w:rFonts w:ascii="Trebuchet MS"/>
          <w:sz w:val="13"/>
          <w:lang w:val="uk-UA"/>
        </w:rPr>
      </w:pPr>
      <w:r w:rsidRPr="003C6DAE">
        <w:rPr>
          <w:lang w:val="uk-UA"/>
        </w:rPr>
        <w:br w:type="column"/>
      </w:r>
      <w:r w:rsidRPr="003C6DAE">
        <w:rPr>
          <w:rFonts w:ascii="Trebuchet MS"/>
          <w:sz w:val="13"/>
          <w:lang w:val="uk-UA"/>
        </w:rPr>
        <w:t>181</w:t>
      </w:r>
      <w:r w:rsidRPr="003C6DAE">
        <w:rPr>
          <w:rFonts w:ascii="Trebuchet MS"/>
          <w:spacing w:val="26"/>
          <w:sz w:val="13"/>
          <w:lang w:val="uk-UA"/>
        </w:rPr>
        <w:t xml:space="preserve"> </w:t>
      </w:r>
      <w:r w:rsidRPr="003C6DAE">
        <w:rPr>
          <w:rFonts w:ascii="Trebuchet MS"/>
          <w:sz w:val="13"/>
          <w:lang w:val="uk-UA"/>
        </w:rPr>
        <w:t>Truenat</w:t>
      </w:r>
      <w:r w:rsidRPr="003C6DAE">
        <w:rPr>
          <w:rFonts w:ascii="Trebuchet MS"/>
          <w:spacing w:val="-12"/>
          <w:sz w:val="13"/>
          <w:lang w:val="uk-UA"/>
        </w:rPr>
        <w:t xml:space="preserve"> </w:t>
      </w:r>
      <w:r w:rsidRPr="003C6DAE">
        <w:rPr>
          <w:rFonts w:ascii="Trebuchet MS"/>
          <w:sz w:val="13"/>
          <w:lang w:val="uk-UA"/>
        </w:rPr>
        <w:t>MTB</w:t>
      </w:r>
      <w:r w:rsidRPr="003C6DAE">
        <w:rPr>
          <w:rFonts w:ascii="Trebuchet MS"/>
          <w:spacing w:val="-7"/>
          <w:sz w:val="13"/>
          <w:lang w:val="uk-UA"/>
        </w:rPr>
        <w:t xml:space="preserve"> </w:t>
      </w:r>
      <w:r w:rsidRPr="003C6DAE">
        <w:rPr>
          <w:rFonts w:ascii="Trebuchet MS"/>
          <w:sz w:val="13"/>
          <w:lang w:val="uk-UA"/>
        </w:rPr>
        <w:t>Plus</w:t>
      </w:r>
      <w:r w:rsidRPr="003C6DAE">
        <w:rPr>
          <w:rFonts w:ascii="Trebuchet MS"/>
          <w:spacing w:val="40"/>
          <w:sz w:val="13"/>
          <w:lang w:val="uk-UA"/>
        </w:rPr>
        <w:t xml:space="preserve"> </w:t>
      </w:r>
      <w:r w:rsidRPr="003C6DAE">
        <w:rPr>
          <w:rFonts w:ascii="Trebuchet MS"/>
          <w:sz w:val="13"/>
          <w:lang w:val="uk-UA"/>
        </w:rPr>
        <w:t>676</w:t>
      </w:r>
      <w:r w:rsidRPr="003C6DAE">
        <w:rPr>
          <w:rFonts w:ascii="Trebuchet MS"/>
          <w:spacing w:val="33"/>
          <w:sz w:val="13"/>
          <w:lang w:val="uk-UA"/>
        </w:rPr>
        <w:t xml:space="preserve"> </w:t>
      </w:r>
      <w:r w:rsidRPr="003C6DAE">
        <w:rPr>
          <w:rFonts w:ascii="Trebuchet MS"/>
          <w:sz w:val="13"/>
          <w:lang w:val="uk-UA"/>
        </w:rPr>
        <w:t>Truenat</w:t>
      </w:r>
      <w:r w:rsidRPr="003C6DAE">
        <w:rPr>
          <w:rFonts w:ascii="Trebuchet MS"/>
          <w:spacing w:val="-12"/>
          <w:sz w:val="13"/>
          <w:lang w:val="uk-UA"/>
        </w:rPr>
        <w:t xml:space="preserve"> </w:t>
      </w:r>
      <w:r w:rsidRPr="003C6DAE">
        <w:rPr>
          <w:rFonts w:ascii="Trebuchet MS"/>
          <w:sz w:val="13"/>
          <w:lang w:val="uk-UA"/>
        </w:rPr>
        <w:t>MTB P</w:t>
      </w:r>
      <w:r w:rsidRPr="003C6DAE">
        <w:rPr>
          <w:rFonts w:ascii="Trebuchet MS"/>
          <w:spacing w:val="-6"/>
          <w:sz w:val="13"/>
          <w:lang w:val="uk-UA"/>
        </w:rPr>
        <w:t>lus</w:t>
      </w:r>
    </w:p>
    <w:p w14:paraId="582BF91C" w14:textId="77777777" w:rsidR="00E05B98" w:rsidRPr="003C6DAE" w:rsidRDefault="00B01E0C">
      <w:pPr>
        <w:spacing w:before="46"/>
        <w:ind w:left="321"/>
        <w:rPr>
          <w:rFonts w:ascii="Trebuchet MS"/>
          <w:sz w:val="13"/>
          <w:lang w:val="uk-UA"/>
        </w:rPr>
      </w:pPr>
      <w:r w:rsidRPr="003C6DAE">
        <w:rPr>
          <w:lang w:val="uk-UA"/>
        </w:rPr>
        <w:br w:type="column"/>
      </w:r>
      <w:r w:rsidRPr="003C6DAE">
        <w:rPr>
          <w:rFonts w:ascii="Trebuchet MS"/>
          <w:w w:val="85"/>
          <w:sz w:val="13"/>
          <w:lang w:val="uk-UA"/>
        </w:rPr>
        <w:t>0.95</w:t>
      </w:r>
      <w:r w:rsidRPr="003C6DAE">
        <w:rPr>
          <w:rFonts w:ascii="Trebuchet MS"/>
          <w:spacing w:val="10"/>
          <w:sz w:val="13"/>
          <w:lang w:val="uk-UA"/>
        </w:rPr>
        <w:t xml:space="preserve"> </w:t>
      </w:r>
      <w:r w:rsidRPr="003C6DAE">
        <w:rPr>
          <w:rFonts w:ascii="Trebuchet MS"/>
          <w:w w:val="85"/>
          <w:sz w:val="13"/>
          <w:lang w:val="uk-UA"/>
        </w:rPr>
        <w:t>[0.74,</w:t>
      </w:r>
      <w:r w:rsidRPr="003C6DAE">
        <w:rPr>
          <w:rFonts w:ascii="Trebuchet MS"/>
          <w:spacing w:val="15"/>
          <w:sz w:val="13"/>
          <w:lang w:val="uk-UA"/>
        </w:rPr>
        <w:t xml:space="preserve"> </w:t>
      </w:r>
      <w:r w:rsidRPr="003C6DAE">
        <w:rPr>
          <w:rFonts w:ascii="Trebuchet MS"/>
          <w:spacing w:val="-2"/>
          <w:w w:val="85"/>
          <w:sz w:val="13"/>
          <w:lang w:val="uk-UA"/>
        </w:rPr>
        <w:t>1.00]</w:t>
      </w:r>
    </w:p>
    <w:p w14:paraId="2A009AB7" w14:textId="77777777" w:rsidR="00E05B98" w:rsidRPr="003C6DAE" w:rsidRDefault="00B01E0C">
      <w:pPr>
        <w:spacing w:before="31"/>
        <w:ind w:left="321"/>
        <w:rPr>
          <w:rFonts w:ascii="Trebuchet MS"/>
          <w:sz w:val="13"/>
          <w:lang w:val="uk-UA"/>
        </w:rPr>
      </w:pPr>
      <w:r w:rsidRPr="003C6DAE">
        <w:rPr>
          <w:rFonts w:ascii="Trebuchet MS"/>
          <w:w w:val="85"/>
          <w:sz w:val="13"/>
          <w:lang w:val="uk-UA"/>
        </w:rPr>
        <w:t>0.96</w:t>
      </w:r>
      <w:r w:rsidRPr="003C6DAE">
        <w:rPr>
          <w:rFonts w:ascii="Trebuchet MS"/>
          <w:spacing w:val="10"/>
          <w:sz w:val="13"/>
          <w:lang w:val="uk-UA"/>
        </w:rPr>
        <w:t xml:space="preserve"> </w:t>
      </w:r>
      <w:r w:rsidRPr="003C6DAE">
        <w:rPr>
          <w:rFonts w:ascii="Trebuchet MS"/>
          <w:w w:val="85"/>
          <w:sz w:val="13"/>
          <w:lang w:val="uk-UA"/>
        </w:rPr>
        <w:t>[0.92,</w:t>
      </w:r>
      <w:r w:rsidRPr="003C6DAE">
        <w:rPr>
          <w:rFonts w:ascii="Trebuchet MS"/>
          <w:spacing w:val="15"/>
          <w:sz w:val="13"/>
          <w:lang w:val="uk-UA"/>
        </w:rPr>
        <w:t xml:space="preserve"> </w:t>
      </w:r>
      <w:r w:rsidRPr="003C6DAE">
        <w:rPr>
          <w:rFonts w:ascii="Trebuchet MS"/>
          <w:spacing w:val="-2"/>
          <w:w w:val="85"/>
          <w:sz w:val="13"/>
          <w:lang w:val="uk-UA"/>
        </w:rPr>
        <w:t>0.98]</w:t>
      </w:r>
    </w:p>
    <w:p w14:paraId="743C1566" w14:textId="77777777" w:rsidR="00E05B98" w:rsidRPr="003C6DAE" w:rsidRDefault="00B01E0C">
      <w:pPr>
        <w:spacing w:before="45"/>
        <w:ind w:left="304"/>
        <w:rPr>
          <w:rFonts w:ascii="Trebuchet MS"/>
          <w:sz w:val="13"/>
          <w:lang w:val="uk-UA"/>
        </w:rPr>
      </w:pPr>
      <w:r w:rsidRPr="003C6DAE">
        <w:rPr>
          <w:lang w:val="uk-UA"/>
        </w:rPr>
        <w:br w:type="column"/>
      </w:r>
      <w:r w:rsidRPr="003C6DAE">
        <w:rPr>
          <w:rFonts w:ascii="Trebuchet MS"/>
          <w:w w:val="85"/>
          <w:sz w:val="13"/>
          <w:lang w:val="uk-UA"/>
        </w:rPr>
        <w:t>0.98</w:t>
      </w:r>
      <w:r w:rsidRPr="003C6DAE">
        <w:rPr>
          <w:rFonts w:ascii="Trebuchet MS"/>
          <w:spacing w:val="10"/>
          <w:sz w:val="13"/>
          <w:lang w:val="uk-UA"/>
        </w:rPr>
        <w:t xml:space="preserve"> </w:t>
      </w:r>
      <w:r w:rsidRPr="003C6DAE">
        <w:rPr>
          <w:rFonts w:ascii="Trebuchet MS"/>
          <w:w w:val="85"/>
          <w:sz w:val="13"/>
          <w:lang w:val="uk-UA"/>
        </w:rPr>
        <w:t>[0.95,</w:t>
      </w:r>
      <w:r w:rsidRPr="003C6DAE">
        <w:rPr>
          <w:rFonts w:ascii="Trebuchet MS"/>
          <w:spacing w:val="15"/>
          <w:sz w:val="13"/>
          <w:lang w:val="uk-UA"/>
        </w:rPr>
        <w:t xml:space="preserve"> </w:t>
      </w:r>
      <w:r w:rsidRPr="003C6DAE">
        <w:rPr>
          <w:rFonts w:ascii="Trebuchet MS"/>
          <w:spacing w:val="-2"/>
          <w:w w:val="85"/>
          <w:sz w:val="13"/>
          <w:lang w:val="uk-UA"/>
        </w:rPr>
        <w:t>1.00]</w:t>
      </w:r>
    </w:p>
    <w:p w14:paraId="400DEFBA" w14:textId="77777777" w:rsidR="00E05B98" w:rsidRPr="003C6DAE" w:rsidRDefault="00B01E0C">
      <w:pPr>
        <w:spacing w:before="31"/>
        <w:ind w:left="304"/>
        <w:rPr>
          <w:rFonts w:ascii="Trebuchet MS"/>
          <w:sz w:val="13"/>
          <w:lang w:val="uk-UA"/>
        </w:rPr>
      </w:pPr>
      <w:r w:rsidRPr="003C6DAE">
        <w:rPr>
          <w:rFonts w:ascii="Trebuchet MS"/>
          <w:noProof/>
          <w:sz w:val="13"/>
          <w:lang w:val="uk-UA"/>
        </w:rPr>
        <mc:AlternateContent>
          <mc:Choice Requires="wpg">
            <w:drawing>
              <wp:anchor distT="0" distB="0" distL="0" distR="0" simplePos="0" relativeHeight="15817728" behindDoc="0" locked="0" layoutInCell="1" allowOverlap="1" wp14:anchorId="00EA48D9" wp14:editId="6294F7C3">
                <wp:simplePos x="0" y="0"/>
                <wp:positionH relativeFrom="page">
                  <wp:posOffset>5531409</wp:posOffset>
                </wp:positionH>
                <wp:positionV relativeFrom="paragraph">
                  <wp:posOffset>-84965</wp:posOffset>
                </wp:positionV>
                <wp:extent cx="205104" cy="5080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04" cy="50800"/>
                          <a:chOff x="0" y="0"/>
                          <a:chExt cx="205104" cy="50800"/>
                        </a:xfrm>
                      </wpg:grpSpPr>
                      <wps:wsp>
                        <wps:cNvPr id="179" name="Graphic 179"/>
                        <wps:cNvSpPr/>
                        <wps:spPr>
                          <a:xfrm>
                            <a:off x="0" y="21666"/>
                            <a:ext cx="205104" cy="1270"/>
                          </a:xfrm>
                          <a:custGeom>
                            <a:avLst/>
                            <a:gdLst/>
                            <a:ahLst/>
                            <a:cxnLst/>
                            <a:rect l="l" t="t" r="r" b="b"/>
                            <a:pathLst>
                              <a:path w="205104">
                                <a:moveTo>
                                  <a:pt x="0" y="0"/>
                                </a:moveTo>
                                <a:lnTo>
                                  <a:pt x="204631" y="0"/>
                                </a:lnTo>
                              </a:path>
                            </a:pathLst>
                          </a:custGeom>
                          <a:ln w="7221">
                            <a:solidFill>
                              <a:srgbClr val="000000"/>
                            </a:solidFill>
                            <a:prstDash val="solid"/>
                          </a:ln>
                        </wps:spPr>
                        <wps:bodyPr wrap="square" lIns="0" tIns="0" rIns="0" bIns="0" rtlCol="0">
                          <a:prstTxWarp prst="textNoShape">
                            <a:avLst/>
                          </a:prstTxWarp>
                          <a:noAutofit/>
                        </wps:bodyPr>
                      </wps:wsp>
                      <wps:wsp>
                        <wps:cNvPr id="180" name="Graphic 180"/>
                        <wps:cNvSpPr/>
                        <wps:spPr>
                          <a:xfrm>
                            <a:off x="144329" y="0"/>
                            <a:ext cx="46355" cy="50800"/>
                          </a:xfrm>
                          <a:custGeom>
                            <a:avLst/>
                            <a:gdLst/>
                            <a:ahLst/>
                            <a:cxnLst/>
                            <a:rect l="l" t="t" r="r" b="b"/>
                            <a:pathLst>
                              <a:path w="46355" h="50800">
                                <a:moveTo>
                                  <a:pt x="46132" y="50554"/>
                                </a:moveTo>
                                <a:lnTo>
                                  <a:pt x="0" y="50554"/>
                                </a:lnTo>
                                <a:lnTo>
                                  <a:pt x="0" y="0"/>
                                </a:lnTo>
                                <a:lnTo>
                                  <a:pt x="46132" y="0"/>
                                </a:lnTo>
                                <a:lnTo>
                                  <a:pt x="46132" y="5055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7CB34D3" id="Group 178" o:spid="_x0000_s1026" style="position:absolute;margin-left:435.55pt;margin-top:-6.7pt;width:16.15pt;height:4pt;z-index:15817728;mso-wrap-distance-left:0;mso-wrap-distance-right:0;mso-position-horizontal-relative:page" coordsize="20510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">
                <v:shape id="Graphic 179" o:spid="_x0000_s1027" style="position:absolute;top:21666;width:205104;height:1270;visibility:visible;mso-wrap-style:square;v-text-anchor:top" coordsize="205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" path="m,l204631,e" filled="f" strokeweight=".20058mm">
                  <v:path arrowok="t"/>
                </v:shape>
                <v:shape id="Graphic 180" o:spid="_x0000_s1028" style="position:absolute;left:144329;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" path="m46132,50554l,50554,,,46132,r,50554xe" fillcolor="#0000c0" stroked="f">
                  <v:path arrowok="t"/>
                </v:shape>
                <w10:wrap anchorx="page"/>
              </v:group>
            </w:pict>
          </mc:Fallback>
        </mc:AlternateContent>
      </w:r>
      <w:r w:rsidRPr="003C6DAE">
        <w:rPr>
          <w:rFonts w:ascii="Trebuchet MS"/>
          <w:noProof/>
          <w:sz w:val="13"/>
          <w:lang w:val="uk-UA"/>
        </w:rPr>
        <mc:AlternateContent>
          <mc:Choice Requires="wpg">
            <w:drawing>
              <wp:anchor distT="0" distB="0" distL="0" distR="0" simplePos="0" relativeHeight="15818240" behindDoc="0" locked="0" layoutInCell="1" allowOverlap="1" wp14:anchorId="19CDB2E8" wp14:editId="07F1D939">
                <wp:simplePos x="0" y="0"/>
                <wp:positionH relativeFrom="page">
                  <wp:posOffset>5676067</wp:posOffset>
                </wp:positionH>
                <wp:positionV relativeFrom="paragraph">
                  <wp:posOffset>30586</wp:posOffset>
                </wp:positionV>
                <wp:extent cx="53975" cy="5080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 cy="50800"/>
                          <a:chOff x="0" y="0"/>
                          <a:chExt cx="53975" cy="50800"/>
                        </a:xfrm>
                      </wpg:grpSpPr>
                      <wps:wsp>
                        <wps:cNvPr id="182" name="Graphic 182"/>
                        <wps:cNvSpPr/>
                        <wps:spPr>
                          <a:xfrm>
                            <a:off x="0" y="21665"/>
                            <a:ext cx="45085" cy="1270"/>
                          </a:xfrm>
                          <a:custGeom>
                            <a:avLst/>
                            <a:gdLst/>
                            <a:ahLst/>
                            <a:cxnLst/>
                            <a:rect l="l" t="t" r="r" b="b"/>
                            <a:pathLst>
                              <a:path w="45085">
                                <a:moveTo>
                                  <a:pt x="0" y="0"/>
                                </a:moveTo>
                                <a:lnTo>
                                  <a:pt x="44814" y="0"/>
                                </a:lnTo>
                              </a:path>
                            </a:pathLst>
                          </a:custGeom>
                          <a:ln w="7221">
                            <a:solidFill>
                              <a:srgbClr val="000000"/>
                            </a:solidFill>
                            <a:prstDash val="solid"/>
                          </a:ln>
                        </wps:spPr>
                        <wps:bodyPr wrap="square" lIns="0" tIns="0" rIns="0" bIns="0" rtlCol="0">
                          <a:prstTxWarp prst="textNoShape">
                            <a:avLst/>
                          </a:prstTxWarp>
                          <a:noAutofit/>
                        </wps:bodyPr>
                      </wps:wsp>
                      <wps:wsp>
                        <wps:cNvPr id="183" name="Graphic 183"/>
                        <wps:cNvSpPr/>
                        <wps:spPr>
                          <a:xfrm>
                            <a:off x="7579" y="0"/>
                            <a:ext cx="46355" cy="50800"/>
                          </a:xfrm>
                          <a:custGeom>
                            <a:avLst/>
                            <a:gdLst/>
                            <a:ahLst/>
                            <a:cxnLst/>
                            <a:rect l="l" t="t" r="r" b="b"/>
                            <a:pathLst>
                              <a:path w="46355" h="50800">
                                <a:moveTo>
                                  <a:pt x="46132" y="50552"/>
                                </a:moveTo>
                                <a:lnTo>
                                  <a:pt x="0" y="50552"/>
                                </a:lnTo>
                                <a:lnTo>
                                  <a:pt x="0" y="0"/>
                                </a:lnTo>
                                <a:lnTo>
                                  <a:pt x="46132" y="0"/>
                                </a:lnTo>
                                <a:lnTo>
                                  <a:pt x="46132" y="50552"/>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BB0970A" id="Group 181" o:spid="_x0000_s1026" style="position:absolute;margin-left:446.95pt;margin-top:2.4pt;width:4.25pt;height:4pt;z-index:15818240;mso-wrap-distance-left:0;mso-wrap-distance-right:0;mso-position-horizontal-relative:page" coordsize="5397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">
                <v:shape id="Graphic 182" o:spid="_x0000_s1027" style="position:absolute;top:21665;width:45085;height:1270;visibility:visible;mso-wrap-style:square;v-text-anchor:top" coordsize="45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" path="m,l44814,e" filled="f" strokeweight=".20058mm">
                  <v:path arrowok="t"/>
                </v:shape>
                <v:shape id="Graphic 183" o:spid="_x0000_s1028" style="position:absolute;left:7579;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" path="m46132,50552l,50552,,,46132,r,50552xe" fillcolor="#0000c0" stroked="f">
                  <v:path arrowok="t"/>
                </v:shape>
                <w10:wrap anchorx="page"/>
              </v:group>
            </w:pict>
          </mc:Fallback>
        </mc:AlternateContent>
      </w:r>
      <w:r w:rsidRPr="003C6DAE">
        <w:rPr>
          <w:rFonts w:ascii="Trebuchet MS"/>
          <w:noProof/>
          <w:sz w:val="13"/>
          <w:lang w:val="uk-UA"/>
        </w:rPr>
        <mc:AlternateContent>
          <mc:Choice Requires="wpg">
            <w:drawing>
              <wp:anchor distT="0" distB="0" distL="0" distR="0" simplePos="0" relativeHeight="15818752" behindDoc="0" locked="0" layoutInCell="1" allowOverlap="1" wp14:anchorId="769AA303" wp14:editId="642709F7">
                <wp:simplePos x="0" y="0"/>
                <wp:positionH relativeFrom="page">
                  <wp:posOffset>5587427</wp:posOffset>
                </wp:positionH>
                <wp:positionV relativeFrom="paragraph">
                  <wp:posOffset>146138</wp:posOffset>
                </wp:positionV>
                <wp:extent cx="61594" cy="5080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4" cy="50800"/>
                          <a:chOff x="0" y="0"/>
                          <a:chExt cx="61594" cy="50800"/>
                        </a:xfrm>
                      </wpg:grpSpPr>
                      <wps:wsp>
                        <wps:cNvPr id="185" name="Graphic 185"/>
                        <wps:cNvSpPr/>
                        <wps:spPr>
                          <a:xfrm>
                            <a:off x="0" y="21665"/>
                            <a:ext cx="61594" cy="1270"/>
                          </a:xfrm>
                          <a:custGeom>
                            <a:avLst/>
                            <a:gdLst/>
                            <a:ahLst/>
                            <a:cxnLst/>
                            <a:rect l="l" t="t" r="r" b="b"/>
                            <a:pathLst>
                              <a:path w="61594">
                                <a:moveTo>
                                  <a:pt x="0" y="0"/>
                                </a:moveTo>
                                <a:lnTo>
                                  <a:pt x="61290" y="0"/>
                                </a:lnTo>
                              </a:path>
                            </a:pathLst>
                          </a:custGeom>
                          <a:ln w="7221">
                            <a:solidFill>
                              <a:srgbClr val="000000"/>
                            </a:solidFill>
                            <a:prstDash val="solid"/>
                          </a:ln>
                        </wps:spPr>
                        <wps:bodyPr wrap="square" lIns="0" tIns="0" rIns="0" bIns="0" rtlCol="0">
                          <a:prstTxWarp prst="textNoShape">
                            <a:avLst/>
                          </a:prstTxWarp>
                          <a:noAutofit/>
                        </wps:bodyPr>
                      </wps:wsp>
                      <wps:wsp>
                        <wps:cNvPr id="186" name="Graphic 186"/>
                        <wps:cNvSpPr/>
                        <wps:spPr>
                          <a:xfrm>
                            <a:off x="13510"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2DDA2CF" id="Group 184" o:spid="_x0000_s1026" style="position:absolute;margin-left:439.95pt;margin-top:11.5pt;width:4.85pt;height:4pt;z-index:15818752;mso-wrap-distance-left:0;mso-wrap-distance-right:0;mso-position-horizontal-relative:page" coordsize="61594,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">
                <v:shape id="Graphic 185" o:spid="_x0000_s1027" style="position:absolute;top:21665;width:61594;height:1270;visibility:visible;mso-wrap-style:square;v-text-anchor:top" coordsize="61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" path="m,l61290,e" filled="f" strokeweight=".20058mm">
                  <v:path arrowok="t"/>
                </v:shape>
                <v:shape id="Graphic 186" o:spid="_x0000_s1028" style="position:absolute;left:13510;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" path="m46132,50553l,50553,,,46132,r,50553xe" fillcolor="#0000c0" stroked="f">
                  <v:path arrowok="t"/>
                </v:shape>
                <w10:wrap anchorx="page"/>
              </v:group>
            </w:pict>
          </mc:Fallback>
        </mc:AlternateContent>
      </w:r>
      <w:r w:rsidRPr="003C6DAE">
        <w:rPr>
          <w:rFonts w:ascii="Trebuchet MS"/>
          <w:noProof/>
          <w:sz w:val="13"/>
          <w:lang w:val="uk-UA"/>
        </w:rPr>
        <mc:AlternateContent>
          <mc:Choice Requires="wpg">
            <w:drawing>
              <wp:anchor distT="0" distB="0" distL="0" distR="0" simplePos="0" relativeHeight="15821312" behindDoc="0" locked="0" layoutInCell="1" allowOverlap="1" wp14:anchorId="54918AB6" wp14:editId="776F1605">
                <wp:simplePos x="0" y="0"/>
                <wp:positionH relativeFrom="page">
                  <wp:posOffset>6556873</wp:posOffset>
                </wp:positionH>
                <wp:positionV relativeFrom="paragraph">
                  <wp:posOffset>-84964</wp:posOffset>
                </wp:positionV>
                <wp:extent cx="50800" cy="5080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 cy="50800"/>
                          <a:chOff x="0" y="0"/>
                          <a:chExt cx="50800" cy="50800"/>
                        </a:xfrm>
                      </wpg:grpSpPr>
                      <wps:wsp>
                        <wps:cNvPr id="188" name="Graphic 188"/>
                        <wps:cNvSpPr/>
                        <wps:spPr>
                          <a:xfrm>
                            <a:off x="0" y="21665"/>
                            <a:ext cx="34290" cy="1270"/>
                          </a:xfrm>
                          <a:custGeom>
                            <a:avLst/>
                            <a:gdLst/>
                            <a:ahLst/>
                            <a:cxnLst/>
                            <a:rect l="l" t="t" r="r" b="b"/>
                            <a:pathLst>
                              <a:path w="34290">
                                <a:moveTo>
                                  <a:pt x="0" y="0"/>
                                </a:moveTo>
                                <a:lnTo>
                                  <a:pt x="34270" y="0"/>
                                </a:lnTo>
                              </a:path>
                            </a:pathLst>
                          </a:custGeom>
                          <a:ln w="7221">
                            <a:solidFill>
                              <a:srgbClr val="000000"/>
                            </a:solidFill>
                            <a:prstDash val="solid"/>
                          </a:ln>
                        </wps:spPr>
                        <wps:bodyPr wrap="square" lIns="0" tIns="0" rIns="0" bIns="0" rtlCol="0">
                          <a:prstTxWarp prst="textNoShape">
                            <a:avLst/>
                          </a:prstTxWarp>
                          <a:noAutofit/>
                        </wps:bodyPr>
                      </wps:wsp>
                      <wps:wsp>
                        <wps:cNvPr id="189" name="Graphic 189"/>
                        <wps:cNvSpPr/>
                        <wps:spPr>
                          <a:xfrm>
                            <a:off x="4282" y="0"/>
                            <a:ext cx="46355" cy="50800"/>
                          </a:xfrm>
                          <a:custGeom>
                            <a:avLst/>
                            <a:gdLst/>
                            <a:ahLst/>
                            <a:cxnLst/>
                            <a:rect l="l" t="t" r="r" b="b"/>
                            <a:pathLst>
                              <a:path w="46355" h="50800">
                                <a:moveTo>
                                  <a:pt x="46134" y="50552"/>
                                </a:moveTo>
                                <a:lnTo>
                                  <a:pt x="0" y="50552"/>
                                </a:lnTo>
                                <a:lnTo>
                                  <a:pt x="0" y="0"/>
                                </a:lnTo>
                                <a:lnTo>
                                  <a:pt x="46134" y="0"/>
                                </a:lnTo>
                                <a:lnTo>
                                  <a:pt x="46134" y="50552"/>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5804993" id="Group 187" o:spid="_x0000_s1026" style="position:absolute;margin-left:516.3pt;margin-top:-6.7pt;width:4pt;height:4pt;z-index:15821312;mso-wrap-distance-left:0;mso-wrap-distance-right:0;mso-position-horizontal-relative:page"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">
                <v:shape id="Graphic 188" o:spid="_x0000_s1027" style="position:absolute;top:21665;width:34290;height:1270;visibility:visible;mso-wrap-style:square;v-text-anchor:top" coordsize="34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" path="m,l34270,e" filled="f" strokeweight=".20058mm">
                  <v:path arrowok="t"/>
                </v:shape>
                <v:shape id="Graphic 189" o:spid="_x0000_s1028" style="position:absolute;left:4282;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" path="m46134,50552l,50552,,,46134,r,50552xe" fillcolor="#0000c0" stroked="f">
                  <v:path arrowok="t"/>
                </v:shape>
                <w10:wrap anchorx="page"/>
              </v:group>
            </w:pict>
          </mc:Fallback>
        </mc:AlternateContent>
      </w:r>
      <w:r w:rsidRPr="003C6DAE">
        <w:rPr>
          <w:rFonts w:ascii="Trebuchet MS"/>
          <w:noProof/>
          <w:sz w:val="13"/>
          <w:lang w:val="uk-UA"/>
        </w:rPr>
        <mc:AlternateContent>
          <mc:Choice Requires="wpg">
            <w:drawing>
              <wp:anchor distT="0" distB="0" distL="0" distR="0" simplePos="0" relativeHeight="15821824" behindDoc="0" locked="0" layoutInCell="1" allowOverlap="1" wp14:anchorId="3D9CF922" wp14:editId="7BACC4D5">
                <wp:simplePos x="0" y="0"/>
                <wp:positionH relativeFrom="page">
                  <wp:posOffset>6535125</wp:posOffset>
                </wp:positionH>
                <wp:positionV relativeFrom="paragraph">
                  <wp:posOffset>30586</wp:posOffset>
                </wp:positionV>
                <wp:extent cx="46355" cy="5080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 cy="50800"/>
                          <a:chOff x="0" y="0"/>
                          <a:chExt cx="46355" cy="50800"/>
                        </a:xfrm>
                      </wpg:grpSpPr>
                      <wps:wsp>
                        <wps:cNvPr id="191" name="Graphic 191"/>
                        <wps:cNvSpPr/>
                        <wps:spPr>
                          <a:xfrm>
                            <a:off x="5272" y="21665"/>
                            <a:ext cx="26670" cy="1270"/>
                          </a:xfrm>
                          <a:custGeom>
                            <a:avLst/>
                            <a:gdLst/>
                            <a:ahLst/>
                            <a:cxnLst/>
                            <a:rect l="l" t="t" r="r" b="b"/>
                            <a:pathLst>
                              <a:path w="26670">
                                <a:moveTo>
                                  <a:pt x="0" y="0"/>
                                </a:moveTo>
                                <a:lnTo>
                                  <a:pt x="26361" y="0"/>
                                </a:lnTo>
                              </a:path>
                            </a:pathLst>
                          </a:custGeom>
                          <a:ln w="7221">
                            <a:solidFill>
                              <a:srgbClr val="000000"/>
                            </a:solidFill>
                            <a:prstDash val="solid"/>
                          </a:ln>
                        </wps:spPr>
                        <wps:bodyPr wrap="square" lIns="0" tIns="0" rIns="0" bIns="0" rtlCol="0">
                          <a:prstTxWarp prst="textNoShape">
                            <a:avLst/>
                          </a:prstTxWarp>
                          <a:noAutofit/>
                        </wps:bodyPr>
                      </wps:wsp>
                      <wps:wsp>
                        <wps:cNvPr id="192" name="Graphic 192"/>
                        <wps:cNvSpPr/>
                        <wps:spPr>
                          <a:xfrm>
                            <a:off x="0"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4EFC47B" id="Group 190" o:spid="_x0000_s1026" style="position:absolute;margin-left:514.6pt;margin-top:2.4pt;width:3.65pt;height:4pt;z-index:15821824;mso-wrap-distance-left:0;mso-wrap-distance-right:0;mso-position-horizontal-relative:page" coordsize="463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">
                <v:shape id="Graphic 191" o:spid="_x0000_s1027" style="position:absolute;left:5272;top:21665;width:26670;height:1270;visibility:visible;mso-wrap-style:square;v-text-anchor:top" coordsize="26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" path="m,l26361,e" filled="f" strokeweight=".20058mm">
                  <v:path arrowok="t"/>
                </v:shape>
                <v:shape id="Graphic 192" o:spid="_x0000_s1028" style="position:absolute;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" path="m46132,50553l,50553,,,46132,r,50553xe" fillcolor="#0000c0" stroked="f">
                  <v:path arrowok="t"/>
                </v:shape>
                <w10:wrap anchorx="page"/>
              </v:group>
            </w:pict>
          </mc:Fallback>
        </mc:AlternateContent>
      </w:r>
      <w:r w:rsidRPr="003C6DAE">
        <w:rPr>
          <w:rFonts w:ascii="Trebuchet MS"/>
          <w:noProof/>
          <w:sz w:val="13"/>
          <w:lang w:val="uk-UA"/>
        </w:rPr>
        <mc:AlternateContent>
          <mc:Choice Requires="wpg">
            <w:drawing>
              <wp:anchor distT="0" distB="0" distL="0" distR="0" simplePos="0" relativeHeight="15822336" behindDoc="0" locked="0" layoutInCell="1" allowOverlap="1" wp14:anchorId="232130ED" wp14:editId="2E082BDF">
                <wp:simplePos x="0" y="0"/>
                <wp:positionH relativeFrom="page">
                  <wp:posOffset>6540396</wp:posOffset>
                </wp:positionH>
                <wp:positionV relativeFrom="paragraph">
                  <wp:posOffset>146137</wp:posOffset>
                </wp:positionV>
                <wp:extent cx="46355" cy="5080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 cy="50800"/>
                          <a:chOff x="0" y="0"/>
                          <a:chExt cx="46355" cy="50800"/>
                        </a:xfrm>
                      </wpg:grpSpPr>
                      <wps:wsp>
                        <wps:cNvPr id="194" name="Graphic 194"/>
                        <wps:cNvSpPr/>
                        <wps:spPr>
                          <a:xfrm>
                            <a:off x="9556" y="21666"/>
                            <a:ext cx="19050" cy="1270"/>
                          </a:xfrm>
                          <a:custGeom>
                            <a:avLst/>
                            <a:gdLst/>
                            <a:ahLst/>
                            <a:cxnLst/>
                            <a:rect l="l" t="t" r="r" b="b"/>
                            <a:pathLst>
                              <a:path w="19050">
                                <a:moveTo>
                                  <a:pt x="0" y="0"/>
                                </a:moveTo>
                                <a:lnTo>
                                  <a:pt x="18782" y="0"/>
                                </a:lnTo>
                              </a:path>
                            </a:pathLst>
                          </a:custGeom>
                          <a:ln w="7221">
                            <a:solidFill>
                              <a:srgbClr val="000000"/>
                            </a:solidFill>
                            <a:prstDash val="solid"/>
                          </a:ln>
                        </wps:spPr>
                        <wps:bodyPr wrap="square" lIns="0" tIns="0" rIns="0" bIns="0" rtlCol="0">
                          <a:prstTxWarp prst="textNoShape">
                            <a:avLst/>
                          </a:prstTxWarp>
                          <a:noAutofit/>
                        </wps:bodyPr>
                      </wps:wsp>
                      <wps:wsp>
                        <wps:cNvPr id="195" name="Graphic 195"/>
                        <wps:cNvSpPr/>
                        <wps:spPr>
                          <a:xfrm>
                            <a:off x="0" y="0"/>
                            <a:ext cx="46355" cy="50800"/>
                          </a:xfrm>
                          <a:custGeom>
                            <a:avLst/>
                            <a:gdLst/>
                            <a:ahLst/>
                            <a:cxnLst/>
                            <a:rect l="l" t="t" r="r" b="b"/>
                            <a:pathLst>
                              <a:path w="46355" h="50800">
                                <a:moveTo>
                                  <a:pt x="46134" y="50555"/>
                                </a:moveTo>
                                <a:lnTo>
                                  <a:pt x="0" y="50555"/>
                                </a:lnTo>
                                <a:lnTo>
                                  <a:pt x="0" y="0"/>
                                </a:lnTo>
                                <a:lnTo>
                                  <a:pt x="46134" y="0"/>
                                </a:lnTo>
                                <a:lnTo>
                                  <a:pt x="46134" y="50555"/>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9AC41EC" id="Group 193" o:spid="_x0000_s1026" style="position:absolute;margin-left:515pt;margin-top:11.5pt;width:3.65pt;height:4pt;z-index:15822336;mso-wrap-distance-left:0;mso-wrap-distance-right:0;mso-position-horizontal-relative:page" coordsize="463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">
                <v:shape id="Graphic 194" o:spid="_x0000_s1027" style="position:absolute;left:9556;top:21666;width:19050;height:1270;visibility:visible;mso-wrap-style:square;v-text-anchor:top" coordsize="19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" path="m,l18782,e" filled="f" strokeweight=".20058mm">
                  <v:path arrowok="t"/>
                </v:shape>
                <v:shape id="Graphic 195" o:spid="_x0000_s1028" style="position:absolute;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" path="m46134,50555l,50555,,,46134,r,50555xe" fillcolor="#0000c0" stroked="f">
                  <v:path arrowok="t"/>
                </v:shape>
                <w10:wrap anchorx="page"/>
              </v:group>
            </w:pict>
          </mc:Fallback>
        </mc:AlternateContent>
      </w:r>
      <w:r w:rsidRPr="003C6DAE">
        <w:rPr>
          <w:rFonts w:ascii="Trebuchet MS"/>
          <w:w w:val="85"/>
          <w:sz w:val="13"/>
          <w:lang w:val="uk-UA"/>
        </w:rPr>
        <w:t>0.95</w:t>
      </w:r>
      <w:r w:rsidRPr="003C6DAE">
        <w:rPr>
          <w:rFonts w:ascii="Trebuchet MS"/>
          <w:spacing w:val="10"/>
          <w:sz w:val="13"/>
          <w:lang w:val="uk-UA"/>
        </w:rPr>
        <w:t xml:space="preserve"> </w:t>
      </w:r>
      <w:r w:rsidRPr="003C6DAE">
        <w:rPr>
          <w:rFonts w:ascii="Trebuchet MS"/>
          <w:w w:val="85"/>
          <w:sz w:val="13"/>
          <w:lang w:val="uk-UA"/>
        </w:rPr>
        <w:t>[0.93,</w:t>
      </w:r>
      <w:r w:rsidRPr="003C6DAE">
        <w:rPr>
          <w:rFonts w:ascii="Trebuchet MS"/>
          <w:spacing w:val="15"/>
          <w:sz w:val="13"/>
          <w:lang w:val="uk-UA"/>
        </w:rPr>
        <w:t xml:space="preserve"> </w:t>
      </w:r>
      <w:r w:rsidRPr="003C6DAE">
        <w:rPr>
          <w:rFonts w:ascii="Trebuchet MS"/>
          <w:spacing w:val="-2"/>
          <w:w w:val="85"/>
          <w:sz w:val="13"/>
          <w:lang w:val="uk-UA"/>
        </w:rPr>
        <w:t>0.97]</w:t>
      </w:r>
    </w:p>
    <w:p w14:paraId="71B28E34" w14:textId="77777777" w:rsidR="00E05B98" w:rsidRPr="003C6DAE" w:rsidRDefault="00E05B98">
      <w:pPr>
        <w:rPr>
          <w:rFonts w:ascii="Trebuchet MS"/>
          <w:sz w:val="13"/>
          <w:lang w:val="uk-UA"/>
        </w:rPr>
        <w:sectPr w:rsidR="00E05B98" w:rsidRPr="003C6DAE">
          <w:type w:val="continuous"/>
          <w:pgSz w:w="11910" w:h="16840"/>
          <w:pgMar w:top="1920" w:right="1275" w:bottom="280" w:left="850" w:header="0" w:footer="573" w:gutter="0"/>
          <w:cols w:num="6" w:space="720" w:equalWidth="0">
            <w:col w:w="1486" w:space="40"/>
            <w:col w:w="744" w:space="39"/>
            <w:col w:w="532" w:space="39"/>
            <w:col w:w="1418" w:space="39"/>
            <w:col w:w="1224" w:space="40"/>
            <w:col w:w="4184"/>
          </w:cols>
        </w:sectPr>
      </w:pPr>
    </w:p>
    <w:p w14:paraId="6A0666B6" w14:textId="22FDAABD" w:rsidR="00E05B98" w:rsidRPr="003C6DAE" w:rsidRDefault="00B01E0C">
      <w:pPr>
        <w:spacing w:before="18"/>
        <w:ind w:left="671"/>
        <w:rPr>
          <w:rFonts w:ascii="Trebuchet MS"/>
          <w:sz w:val="13"/>
          <w:lang w:val="uk-UA"/>
        </w:rPr>
      </w:pPr>
      <w:r w:rsidRPr="003C6DAE">
        <w:rPr>
          <w:rFonts w:ascii="Trebuchet MS"/>
          <w:noProof/>
          <w:sz w:val="13"/>
          <w:lang w:val="uk-UA"/>
        </w:rPr>
        <mc:AlternateContent>
          <mc:Choice Requires="wpg">
            <w:drawing>
              <wp:anchor distT="0" distB="0" distL="0" distR="0" simplePos="0" relativeHeight="15819264" behindDoc="0" locked="0" layoutInCell="1" allowOverlap="1" wp14:anchorId="0CE19AF4" wp14:editId="48B633A7">
                <wp:simplePos x="0" y="0"/>
                <wp:positionH relativeFrom="page">
                  <wp:posOffset>5581166</wp:posOffset>
                </wp:positionH>
                <wp:positionV relativeFrom="paragraph">
                  <wp:posOffset>131929</wp:posOffset>
                </wp:positionV>
                <wp:extent cx="90805" cy="5080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50800"/>
                          <a:chOff x="0" y="0"/>
                          <a:chExt cx="90805" cy="50800"/>
                        </a:xfrm>
                      </wpg:grpSpPr>
                      <wps:wsp>
                        <wps:cNvPr id="197" name="Graphic 197"/>
                        <wps:cNvSpPr/>
                        <wps:spPr>
                          <a:xfrm>
                            <a:off x="0" y="21666"/>
                            <a:ext cx="90805" cy="1270"/>
                          </a:xfrm>
                          <a:custGeom>
                            <a:avLst/>
                            <a:gdLst/>
                            <a:ahLst/>
                            <a:cxnLst/>
                            <a:rect l="l" t="t" r="r" b="b"/>
                            <a:pathLst>
                              <a:path w="90805">
                                <a:moveTo>
                                  <a:pt x="0" y="0"/>
                                </a:moveTo>
                                <a:lnTo>
                                  <a:pt x="90617" y="0"/>
                                </a:lnTo>
                              </a:path>
                            </a:pathLst>
                          </a:custGeom>
                          <a:ln w="7221">
                            <a:solidFill>
                              <a:srgbClr val="000000"/>
                            </a:solidFill>
                            <a:prstDash val="solid"/>
                          </a:ln>
                        </wps:spPr>
                        <wps:bodyPr wrap="square" lIns="0" tIns="0" rIns="0" bIns="0" rtlCol="0">
                          <a:prstTxWarp prst="textNoShape">
                            <a:avLst/>
                          </a:prstTxWarp>
                          <a:noAutofit/>
                        </wps:bodyPr>
                      </wps:wsp>
                      <wps:wsp>
                        <wps:cNvPr id="198" name="Graphic 198"/>
                        <wps:cNvSpPr/>
                        <wps:spPr>
                          <a:xfrm>
                            <a:off x="31633" y="0"/>
                            <a:ext cx="46355" cy="50800"/>
                          </a:xfrm>
                          <a:custGeom>
                            <a:avLst/>
                            <a:gdLst/>
                            <a:ahLst/>
                            <a:cxnLst/>
                            <a:rect l="l" t="t" r="r" b="b"/>
                            <a:pathLst>
                              <a:path w="46355" h="50800">
                                <a:moveTo>
                                  <a:pt x="46132" y="50555"/>
                                </a:moveTo>
                                <a:lnTo>
                                  <a:pt x="0" y="50555"/>
                                </a:lnTo>
                                <a:lnTo>
                                  <a:pt x="0" y="0"/>
                                </a:lnTo>
                                <a:lnTo>
                                  <a:pt x="46132" y="0"/>
                                </a:lnTo>
                                <a:lnTo>
                                  <a:pt x="46132" y="50555"/>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FB32640" id="Group 196" o:spid="_x0000_s1026" style="position:absolute;margin-left:439.45pt;margin-top:10.4pt;width:7.15pt;height:4pt;z-index:15819264;mso-wrap-distance-left:0;mso-wrap-distance-right:0;mso-position-horizontal-relative:page" coordsize="9080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">
                <v:shape id="Graphic 197" o:spid="_x0000_s1027" style="position:absolute;top:21666;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" path="m,l90617,e" filled="f" strokeweight=".20058mm">
                  <v:path arrowok="t"/>
                </v:shape>
                <v:shape id="Graphic 198" o:spid="_x0000_s1028" style="position:absolute;left:31633;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" path="m46132,50555l,50555,,,46132,r,50555xe" fillcolor="#0000c0" stroked="f">
                  <v:path arrowok="t"/>
                </v:shape>
                <w10:wrap anchorx="page"/>
              </v:group>
            </w:pict>
          </mc:Fallback>
        </mc:AlternateContent>
      </w:r>
      <w:r w:rsidRPr="003C6DAE">
        <w:rPr>
          <w:rFonts w:ascii="Trebuchet MS"/>
          <w:noProof/>
          <w:sz w:val="13"/>
          <w:lang w:val="uk-UA"/>
        </w:rPr>
        <mc:AlternateContent>
          <mc:Choice Requires="wpg">
            <w:drawing>
              <wp:anchor distT="0" distB="0" distL="0" distR="0" simplePos="0" relativeHeight="15822848" behindDoc="0" locked="0" layoutInCell="1" allowOverlap="1" wp14:anchorId="5CE5F9F3" wp14:editId="0A87D3AB">
                <wp:simplePos x="0" y="0"/>
                <wp:positionH relativeFrom="page">
                  <wp:posOffset>6528534</wp:posOffset>
                </wp:positionH>
                <wp:positionV relativeFrom="paragraph">
                  <wp:posOffset>131930</wp:posOffset>
                </wp:positionV>
                <wp:extent cx="54610" cy="5080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0800"/>
                          <a:chOff x="0" y="0"/>
                          <a:chExt cx="54610" cy="50800"/>
                        </a:xfrm>
                      </wpg:grpSpPr>
                      <wps:wsp>
                        <wps:cNvPr id="200" name="Graphic 200"/>
                        <wps:cNvSpPr/>
                        <wps:spPr>
                          <a:xfrm>
                            <a:off x="0" y="21665"/>
                            <a:ext cx="46990" cy="1270"/>
                          </a:xfrm>
                          <a:custGeom>
                            <a:avLst/>
                            <a:gdLst/>
                            <a:ahLst/>
                            <a:cxnLst/>
                            <a:rect l="l" t="t" r="r" b="b"/>
                            <a:pathLst>
                              <a:path w="46990">
                                <a:moveTo>
                                  <a:pt x="0" y="0"/>
                                </a:moveTo>
                                <a:lnTo>
                                  <a:pt x="46462" y="0"/>
                                </a:lnTo>
                              </a:path>
                            </a:pathLst>
                          </a:custGeom>
                          <a:ln w="7221">
                            <a:solidFill>
                              <a:srgbClr val="000000"/>
                            </a:solidFill>
                            <a:prstDash val="solid"/>
                          </a:ln>
                        </wps:spPr>
                        <wps:bodyPr wrap="square" lIns="0" tIns="0" rIns="0" bIns="0" rtlCol="0">
                          <a:prstTxWarp prst="textNoShape">
                            <a:avLst/>
                          </a:prstTxWarp>
                          <a:noAutofit/>
                        </wps:bodyPr>
                      </wps:wsp>
                      <wps:wsp>
                        <wps:cNvPr id="201" name="Graphic 201"/>
                        <wps:cNvSpPr/>
                        <wps:spPr>
                          <a:xfrm>
                            <a:off x="8237"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2E87318" id="Group 199" o:spid="_x0000_s1026" style="position:absolute;margin-left:514.05pt;margin-top:10.4pt;width:4.3pt;height:4pt;z-index:15822848;mso-wrap-distance-left:0;mso-wrap-distance-right:0;mso-position-horizontal-relative:page" coordsize="5461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">
                <v:shape id="Graphic 200" o:spid="_x0000_s1027" style="position:absolute;top:21665;width:46990;height:1270;visibility:visible;mso-wrap-style:square;v-text-anchor:top" coordsize="4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" path="m,l46462,e" filled="f" strokeweight=".20058mm">
                  <v:path arrowok="t"/>
                </v:shape>
                <v:shape id="Graphic 201" o:spid="_x0000_s1028" style="position:absolute;left:8237;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" path="m46132,50553l,50553,,,46132,r,50553xe" fillcolor="#0000c0" stroked="f">
                  <v:path arrowok="t"/>
                </v:shape>
                <w10:wrap anchorx="page"/>
              </v:group>
            </w:pict>
          </mc:Fallback>
        </mc:AlternateContent>
      </w:r>
      <w:proofErr w:type="spellStart"/>
      <w:r w:rsidRPr="003C6DAE">
        <w:rPr>
          <w:rFonts w:ascii="Trebuchet MS"/>
          <w:w w:val="90"/>
          <w:sz w:val="13"/>
          <w:lang w:val="uk-UA"/>
        </w:rPr>
        <w:t>Penn-Nichols</w:t>
      </w:r>
      <w:proofErr w:type="spellEnd"/>
      <w:r w:rsidRPr="003C6DAE">
        <w:rPr>
          <w:rFonts w:ascii="Trebuchet MS"/>
          <w:spacing w:val="-16"/>
          <w:w w:val="90"/>
          <w:sz w:val="13"/>
          <w:lang w:val="uk-UA"/>
        </w:rPr>
        <w:t xml:space="preserve"> </w:t>
      </w:r>
      <w:r w:rsidRPr="003C6DAE">
        <w:rPr>
          <w:rFonts w:ascii="Trebuchet MS"/>
          <w:w w:val="90"/>
          <w:sz w:val="13"/>
          <w:lang w:val="uk-UA"/>
        </w:rPr>
        <w:t>on</w:t>
      </w:r>
      <w:r w:rsidRPr="003C6DAE">
        <w:rPr>
          <w:rFonts w:ascii="Trebuchet MS"/>
          <w:spacing w:val="12"/>
          <w:sz w:val="13"/>
          <w:lang w:val="uk-UA"/>
        </w:rPr>
        <w:t xml:space="preserve"> </w:t>
      </w:r>
      <w:r w:rsidRPr="003C6DAE">
        <w:rPr>
          <w:rFonts w:ascii="Trebuchet MS"/>
          <w:spacing w:val="-4"/>
          <w:w w:val="90"/>
          <w:sz w:val="13"/>
          <w:lang w:val="uk-UA"/>
        </w:rPr>
        <w:t>2021</w:t>
      </w:r>
    </w:p>
    <w:p w14:paraId="129F3DD8" w14:textId="77777777" w:rsidR="00E05B98" w:rsidRPr="003C6DAE" w:rsidRDefault="00B01E0C">
      <w:pPr>
        <w:spacing w:before="17"/>
        <w:ind w:left="168"/>
        <w:rPr>
          <w:rFonts w:ascii="Trebuchet MS"/>
          <w:sz w:val="13"/>
          <w:lang w:val="uk-UA"/>
        </w:rPr>
      </w:pPr>
      <w:r w:rsidRPr="003C6DAE">
        <w:rPr>
          <w:lang w:val="uk-UA"/>
        </w:rPr>
        <w:br w:type="column"/>
      </w:r>
      <w:r w:rsidRPr="003C6DAE">
        <w:rPr>
          <w:rFonts w:ascii="Trebuchet MS"/>
          <w:spacing w:val="-5"/>
          <w:w w:val="90"/>
          <w:sz w:val="13"/>
          <w:lang w:val="uk-UA"/>
        </w:rPr>
        <w:t>295</w:t>
      </w:r>
    </w:p>
    <w:p w14:paraId="02144643" w14:textId="1BDD7EA5" w:rsidR="00E05B98" w:rsidRPr="003C6DAE" w:rsidRDefault="00B01E0C">
      <w:pPr>
        <w:spacing w:before="16"/>
        <w:ind w:left="133"/>
        <w:rPr>
          <w:rFonts w:ascii="Trebuchet MS"/>
          <w:sz w:val="13"/>
          <w:lang w:val="uk-UA"/>
        </w:rPr>
      </w:pPr>
      <w:r w:rsidRPr="003C6DAE">
        <w:rPr>
          <w:lang w:val="uk-UA"/>
        </w:rPr>
        <w:br w:type="column"/>
      </w:r>
      <w:r w:rsidRPr="003C6DAE">
        <w:rPr>
          <w:rFonts w:ascii="Trebuchet MS"/>
          <w:sz w:val="13"/>
          <w:lang w:val="uk-UA"/>
        </w:rPr>
        <w:t>51</w:t>
      </w:r>
      <w:r w:rsidRPr="003C6DAE">
        <w:rPr>
          <w:rFonts w:ascii="Trebuchet MS"/>
          <w:spacing w:val="67"/>
          <w:sz w:val="13"/>
          <w:lang w:val="uk-UA"/>
        </w:rPr>
        <w:t xml:space="preserve"> </w:t>
      </w:r>
      <w:r w:rsidRPr="003C6DAE">
        <w:rPr>
          <w:rFonts w:ascii="Trebuchet MS"/>
          <w:sz w:val="13"/>
          <w:lang w:val="uk-UA"/>
        </w:rPr>
        <w:t>51</w:t>
      </w:r>
      <w:r w:rsidRPr="003C6DAE">
        <w:rPr>
          <w:rFonts w:ascii="Trebuchet MS"/>
          <w:spacing w:val="51"/>
          <w:sz w:val="13"/>
          <w:lang w:val="uk-UA"/>
        </w:rPr>
        <w:t xml:space="preserve"> </w:t>
      </w:r>
      <w:r w:rsidRPr="003C6DAE">
        <w:rPr>
          <w:rFonts w:ascii="Trebuchet MS"/>
          <w:sz w:val="13"/>
          <w:lang w:val="uk-UA"/>
        </w:rPr>
        <w:t>1144</w:t>
      </w:r>
      <w:r w:rsidRPr="003C6DAE">
        <w:rPr>
          <w:rFonts w:ascii="Trebuchet MS"/>
          <w:spacing w:val="52"/>
          <w:sz w:val="13"/>
          <w:lang w:val="uk-UA"/>
        </w:rPr>
        <w:t xml:space="preserve"> </w:t>
      </w:r>
      <w:r w:rsidRPr="003C6DAE">
        <w:rPr>
          <w:rFonts w:ascii="Trebuchet MS"/>
          <w:sz w:val="13"/>
          <w:lang w:val="uk-UA"/>
        </w:rPr>
        <w:t>Truenat</w:t>
      </w:r>
      <w:r w:rsidRPr="003C6DAE">
        <w:rPr>
          <w:rFonts w:ascii="Trebuchet MS"/>
          <w:spacing w:val="-12"/>
          <w:sz w:val="13"/>
          <w:lang w:val="uk-UA"/>
        </w:rPr>
        <w:t xml:space="preserve"> </w:t>
      </w:r>
      <w:r w:rsidRPr="003C6DAE">
        <w:rPr>
          <w:rFonts w:ascii="Trebuchet MS"/>
          <w:sz w:val="13"/>
          <w:lang w:val="uk-UA"/>
        </w:rPr>
        <w:t>MTB</w:t>
      </w:r>
      <w:r w:rsidRPr="003C6DAE">
        <w:rPr>
          <w:rFonts w:ascii="Trebuchet MS"/>
          <w:spacing w:val="4"/>
          <w:sz w:val="13"/>
          <w:lang w:val="uk-UA"/>
        </w:rPr>
        <w:t xml:space="preserve"> </w:t>
      </w:r>
      <w:r w:rsidRPr="003C6DAE">
        <w:rPr>
          <w:rFonts w:ascii="Trebuchet MS"/>
          <w:spacing w:val="-23"/>
          <w:sz w:val="13"/>
          <w:lang w:val="uk-UA"/>
        </w:rPr>
        <w:t xml:space="preserve"> </w:t>
      </w:r>
      <w:proofErr w:type="spellStart"/>
      <w:r w:rsidR="00176989">
        <w:rPr>
          <w:rFonts w:ascii="Trebuchet MS"/>
          <w:spacing w:val="-23"/>
          <w:sz w:val="13"/>
          <w:lang w:val="uk-UA"/>
        </w:rPr>
        <w:t>Р</w:t>
      </w:r>
      <w:r w:rsidRPr="003C6DAE">
        <w:rPr>
          <w:rFonts w:ascii="Trebuchet MS"/>
          <w:spacing w:val="-5"/>
          <w:sz w:val="13"/>
          <w:lang w:val="uk-UA"/>
        </w:rPr>
        <w:t>lus</w:t>
      </w:r>
      <w:proofErr w:type="spellEnd"/>
    </w:p>
    <w:p w14:paraId="5ED8340E" w14:textId="77777777" w:rsidR="00E05B98" w:rsidRPr="003C6DAE" w:rsidRDefault="00B01E0C">
      <w:pPr>
        <w:spacing w:before="10"/>
        <w:ind w:left="321"/>
        <w:rPr>
          <w:rFonts w:ascii="Trebuchet MS"/>
          <w:sz w:val="13"/>
          <w:lang w:val="uk-UA"/>
        </w:rPr>
      </w:pPr>
      <w:r w:rsidRPr="003C6DAE">
        <w:rPr>
          <w:lang w:val="uk-UA"/>
        </w:rPr>
        <w:br w:type="column"/>
      </w:r>
      <w:r w:rsidRPr="003C6DAE">
        <w:rPr>
          <w:rFonts w:ascii="Trebuchet MS"/>
          <w:w w:val="85"/>
          <w:sz w:val="13"/>
          <w:lang w:val="uk-UA"/>
        </w:rPr>
        <w:t>0.85</w:t>
      </w:r>
      <w:r w:rsidRPr="003C6DAE">
        <w:rPr>
          <w:rFonts w:ascii="Trebuchet MS"/>
          <w:spacing w:val="10"/>
          <w:sz w:val="13"/>
          <w:lang w:val="uk-UA"/>
        </w:rPr>
        <w:t xml:space="preserve"> </w:t>
      </w:r>
      <w:r w:rsidRPr="003C6DAE">
        <w:rPr>
          <w:rFonts w:ascii="Trebuchet MS"/>
          <w:w w:val="85"/>
          <w:sz w:val="13"/>
          <w:lang w:val="uk-UA"/>
        </w:rPr>
        <w:t>[0.81,</w:t>
      </w:r>
      <w:r w:rsidRPr="003C6DAE">
        <w:rPr>
          <w:rFonts w:ascii="Trebuchet MS"/>
          <w:spacing w:val="15"/>
          <w:sz w:val="13"/>
          <w:lang w:val="uk-UA"/>
        </w:rPr>
        <w:t xml:space="preserve"> </w:t>
      </w:r>
      <w:r w:rsidRPr="003C6DAE">
        <w:rPr>
          <w:rFonts w:ascii="Trebuchet MS"/>
          <w:spacing w:val="-2"/>
          <w:w w:val="85"/>
          <w:sz w:val="13"/>
          <w:lang w:val="uk-UA"/>
        </w:rPr>
        <w:t>0.89]</w:t>
      </w:r>
    </w:p>
    <w:p w14:paraId="2751F460" w14:textId="77777777" w:rsidR="00E05B98" w:rsidRPr="003C6DAE" w:rsidRDefault="00B01E0C">
      <w:pPr>
        <w:spacing w:before="8"/>
        <w:ind w:left="304"/>
        <w:rPr>
          <w:rFonts w:ascii="Trebuchet MS"/>
          <w:sz w:val="13"/>
          <w:lang w:val="uk-UA"/>
        </w:rPr>
      </w:pPr>
      <w:r w:rsidRPr="003C6DAE">
        <w:rPr>
          <w:lang w:val="uk-UA"/>
        </w:rPr>
        <w:br w:type="column"/>
      </w:r>
      <w:r w:rsidRPr="003C6DAE">
        <w:rPr>
          <w:rFonts w:ascii="Trebuchet MS"/>
          <w:w w:val="85"/>
          <w:sz w:val="13"/>
          <w:lang w:val="uk-UA"/>
        </w:rPr>
        <w:t>0.96</w:t>
      </w:r>
      <w:r w:rsidRPr="003C6DAE">
        <w:rPr>
          <w:rFonts w:ascii="Trebuchet MS"/>
          <w:spacing w:val="10"/>
          <w:sz w:val="13"/>
          <w:lang w:val="uk-UA"/>
        </w:rPr>
        <w:t xml:space="preserve"> </w:t>
      </w:r>
      <w:r w:rsidRPr="003C6DAE">
        <w:rPr>
          <w:rFonts w:ascii="Trebuchet MS"/>
          <w:w w:val="85"/>
          <w:sz w:val="13"/>
          <w:lang w:val="uk-UA"/>
        </w:rPr>
        <w:t>[0.94,</w:t>
      </w:r>
      <w:r w:rsidRPr="003C6DAE">
        <w:rPr>
          <w:rFonts w:ascii="Trebuchet MS"/>
          <w:spacing w:val="15"/>
          <w:sz w:val="13"/>
          <w:lang w:val="uk-UA"/>
        </w:rPr>
        <w:t xml:space="preserve"> </w:t>
      </w:r>
      <w:r w:rsidRPr="003C6DAE">
        <w:rPr>
          <w:rFonts w:ascii="Trebuchet MS"/>
          <w:spacing w:val="-2"/>
          <w:w w:val="85"/>
          <w:sz w:val="13"/>
          <w:lang w:val="uk-UA"/>
        </w:rPr>
        <w:t>0.97]</w:t>
      </w:r>
    </w:p>
    <w:p w14:paraId="0E18D7F3" w14:textId="77777777" w:rsidR="00E05B98" w:rsidRPr="003C6DAE" w:rsidRDefault="00E05B98">
      <w:pPr>
        <w:rPr>
          <w:rFonts w:ascii="Trebuchet MS"/>
          <w:sz w:val="13"/>
          <w:lang w:val="uk-UA"/>
        </w:rPr>
        <w:sectPr w:rsidR="00E05B98" w:rsidRPr="003C6DAE">
          <w:type w:val="continuous"/>
          <w:pgSz w:w="11910" w:h="16840"/>
          <w:pgMar w:top="1920" w:right="1275" w:bottom="280" w:left="850" w:header="0" w:footer="573" w:gutter="0"/>
          <w:cols w:num="5" w:space="720" w:equalWidth="0">
            <w:col w:w="1853" w:space="40"/>
            <w:col w:w="376" w:space="39"/>
            <w:col w:w="1989" w:space="40"/>
            <w:col w:w="1224" w:space="40"/>
            <w:col w:w="4184"/>
          </w:cols>
        </w:sectPr>
      </w:pPr>
    </w:p>
    <w:p w14:paraId="6A214D48" w14:textId="77777777" w:rsidR="00E05B98" w:rsidRPr="003C6DAE" w:rsidRDefault="00B01E0C">
      <w:pPr>
        <w:spacing w:before="31"/>
        <w:ind w:left="671"/>
        <w:rPr>
          <w:rFonts w:ascii="Trebuchet MS"/>
          <w:sz w:val="13"/>
          <w:lang w:val="uk-UA"/>
        </w:rPr>
      </w:pPr>
      <w:r w:rsidRPr="003C6DAE">
        <w:rPr>
          <w:rFonts w:ascii="Trebuchet MS"/>
          <w:noProof/>
          <w:sz w:val="13"/>
          <w:lang w:val="uk-UA"/>
        </w:rPr>
        <mc:AlternateContent>
          <mc:Choice Requires="wpg">
            <w:drawing>
              <wp:anchor distT="0" distB="0" distL="0" distR="0" simplePos="0" relativeHeight="15819776" behindDoc="0" locked="0" layoutInCell="1" allowOverlap="1" wp14:anchorId="4EFE2858" wp14:editId="10E86F3A">
                <wp:simplePos x="0" y="0"/>
                <wp:positionH relativeFrom="page">
                  <wp:posOffset>5177505</wp:posOffset>
                </wp:positionH>
                <wp:positionV relativeFrom="paragraph">
                  <wp:posOffset>1295712</wp:posOffset>
                </wp:positionV>
                <wp:extent cx="586740" cy="5080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50800"/>
                          <a:chOff x="0" y="0"/>
                          <a:chExt cx="586740" cy="50800"/>
                        </a:xfrm>
                      </wpg:grpSpPr>
                      <wps:wsp>
                        <wps:cNvPr id="203" name="Graphic 203"/>
                        <wps:cNvSpPr/>
                        <wps:spPr>
                          <a:xfrm>
                            <a:off x="0" y="21666"/>
                            <a:ext cx="560070" cy="1270"/>
                          </a:xfrm>
                          <a:custGeom>
                            <a:avLst/>
                            <a:gdLst/>
                            <a:ahLst/>
                            <a:cxnLst/>
                            <a:rect l="l" t="t" r="r" b="b"/>
                            <a:pathLst>
                              <a:path w="560070">
                                <a:moveTo>
                                  <a:pt x="0" y="0"/>
                                </a:moveTo>
                                <a:lnTo>
                                  <a:pt x="559853" y="0"/>
                                </a:lnTo>
                              </a:path>
                            </a:pathLst>
                          </a:custGeom>
                          <a:ln w="7221">
                            <a:solidFill>
                              <a:srgbClr val="000000"/>
                            </a:solidFill>
                            <a:prstDash val="solid"/>
                          </a:ln>
                        </wps:spPr>
                        <wps:bodyPr wrap="square" lIns="0" tIns="0" rIns="0" bIns="0" rtlCol="0">
                          <a:prstTxWarp prst="textNoShape">
                            <a:avLst/>
                          </a:prstTxWarp>
                          <a:noAutofit/>
                        </wps:bodyPr>
                      </wps:wsp>
                      <wps:wsp>
                        <wps:cNvPr id="204" name="Graphic 204"/>
                        <wps:cNvSpPr/>
                        <wps:spPr>
                          <a:xfrm>
                            <a:off x="540082" y="0"/>
                            <a:ext cx="46355" cy="50800"/>
                          </a:xfrm>
                          <a:custGeom>
                            <a:avLst/>
                            <a:gdLst/>
                            <a:ahLst/>
                            <a:cxnLst/>
                            <a:rect l="l" t="t" r="r" b="b"/>
                            <a:pathLst>
                              <a:path w="46355" h="50800">
                                <a:moveTo>
                                  <a:pt x="46132" y="50554"/>
                                </a:moveTo>
                                <a:lnTo>
                                  <a:pt x="0" y="50554"/>
                                </a:lnTo>
                                <a:lnTo>
                                  <a:pt x="0" y="0"/>
                                </a:lnTo>
                                <a:lnTo>
                                  <a:pt x="46132" y="0"/>
                                </a:lnTo>
                                <a:lnTo>
                                  <a:pt x="46132" y="5055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745D9D2" id="Group 202" o:spid="_x0000_s1026" style="position:absolute;margin-left:407.7pt;margin-top:102pt;width:46.2pt;height:4pt;z-index:15819776;mso-wrap-distance-left:0;mso-wrap-distance-right:0;mso-position-horizontal-relative:page" coordsize="5867,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">
                <v:shape id="Graphic 203" o:spid="_x0000_s1027" style="position:absolute;top:216;width:5600;height:13;visibility:visible;mso-wrap-style:square;v-text-anchor:top" coordsize="560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" path="m,l559853,e" filled="f" strokeweight=".20058mm">
                  <v:path arrowok="t"/>
                </v:shape>
                <v:shape id="Graphic 204" o:spid="_x0000_s1028" style="position:absolute;left:5400;width:464;height:508;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" path="m46132,50554l,50554,,,46132,r,50554xe" fillcolor="#0000c0" stroked="f">
                  <v:path arrowok="t"/>
                </v:shape>
                <w10:wrap anchorx="page"/>
              </v:group>
            </w:pict>
          </mc:Fallback>
        </mc:AlternateContent>
      </w:r>
      <w:proofErr w:type="spellStart"/>
      <w:r w:rsidRPr="003C6DAE">
        <w:rPr>
          <w:rFonts w:ascii="Trebuchet MS"/>
          <w:w w:val="90"/>
          <w:sz w:val="13"/>
          <w:lang w:val="uk-UA"/>
        </w:rPr>
        <w:t>Theron</w:t>
      </w:r>
      <w:proofErr w:type="spellEnd"/>
      <w:r w:rsidRPr="003C6DAE">
        <w:rPr>
          <w:rFonts w:ascii="Trebuchet MS"/>
          <w:spacing w:val="15"/>
          <w:sz w:val="13"/>
          <w:lang w:val="uk-UA"/>
        </w:rPr>
        <w:t xml:space="preserve"> </w:t>
      </w:r>
      <w:r w:rsidRPr="003C6DAE">
        <w:rPr>
          <w:rFonts w:ascii="Trebuchet MS"/>
          <w:spacing w:val="-4"/>
          <w:sz w:val="13"/>
          <w:lang w:val="uk-UA"/>
        </w:rPr>
        <w:t>2024</w:t>
      </w:r>
    </w:p>
    <w:p w14:paraId="1A9EB25A" w14:textId="77777777" w:rsidR="00E05B98" w:rsidRPr="003C6DAE" w:rsidRDefault="00B01E0C">
      <w:pPr>
        <w:spacing w:before="30"/>
        <w:jc w:val="right"/>
        <w:rPr>
          <w:rFonts w:ascii="Trebuchet MS"/>
          <w:sz w:val="13"/>
          <w:lang w:val="uk-UA"/>
        </w:rPr>
      </w:pPr>
      <w:r w:rsidRPr="003C6DAE">
        <w:rPr>
          <w:lang w:val="uk-UA"/>
        </w:rPr>
        <w:br w:type="column"/>
      </w:r>
      <w:r w:rsidRPr="003C6DAE">
        <w:rPr>
          <w:rFonts w:ascii="Trebuchet MS"/>
          <w:spacing w:val="-5"/>
          <w:sz w:val="13"/>
          <w:lang w:val="uk-UA"/>
        </w:rPr>
        <w:t>131</w:t>
      </w:r>
    </w:p>
    <w:p w14:paraId="552CEF73" w14:textId="77777777" w:rsidR="00E05B98" w:rsidRPr="003C6DAE" w:rsidRDefault="00B01E0C">
      <w:pPr>
        <w:spacing w:before="29"/>
        <w:ind w:left="133"/>
        <w:rPr>
          <w:rFonts w:ascii="Trebuchet MS"/>
          <w:sz w:val="13"/>
          <w:lang w:val="uk-UA"/>
        </w:rPr>
      </w:pPr>
      <w:r w:rsidRPr="003C6DAE">
        <w:rPr>
          <w:lang w:val="uk-UA"/>
        </w:rPr>
        <w:br w:type="column"/>
      </w:r>
      <w:r w:rsidRPr="003C6DAE">
        <w:rPr>
          <w:rFonts w:ascii="Trebuchet MS"/>
          <w:sz w:val="13"/>
          <w:lang w:val="uk-UA"/>
        </w:rPr>
        <w:t>11</w:t>
      </w:r>
      <w:r w:rsidRPr="003C6DAE">
        <w:rPr>
          <w:rFonts w:ascii="Trebuchet MS"/>
          <w:spacing w:val="62"/>
          <w:w w:val="150"/>
          <w:sz w:val="13"/>
          <w:lang w:val="uk-UA"/>
        </w:rPr>
        <w:t xml:space="preserve"> </w:t>
      </w:r>
      <w:r w:rsidRPr="003C6DAE">
        <w:rPr>
          <w:rFonts w:ascii="Trebuchet MS"/>
          <w:spacing w:val="-5"/>
          <w:sz w:val="13"/>
          <w:lang w:val="uk-UA"/>
        </w:rPr>
        <w:t>20</w:t>
      </w:r>
    </w:p>
    <w:p w14:paraId="37EAF6EE" w14:textId="1B503CF0" w:rsidR="00E05B98" w:rsidRPr="003C6DAE" w:rsidRDefault="00B01E0C">
      <w:pPr>
        <w:spacing w:before="26"/>
        <w:ind w:left="126"/>
        <w:rPr>
          <w:rFonts w:ascii="Trebuchet MS"/>
          <w:sz w:val="13"/>
          <w:lang w:val="uk-UA"/>
        </w:rPr>
      </w:pPr>
      <w:r w:rsidRPr="003C6DAE">
        <w:rPr>
          <w:lang w:val="uk-UA"/>
        </w:rPr>
        <w:br w:type="column"/>
      </w:r>
      <w:r w:rsidRPr="003C6DAE">
        <w:rPr>
          <w:rFonts w:ascii="Trebuchet MS"/>
          <w:sz w:val="13"/>
          <w:lang w:val="uk-UA"/>
        </w:rPr>
        <w:t>222</w:t>
      </w:r>
      <w:r w:rsidRPr="003C6DAE">
        <w:rPr>
          <w:rFonts w:ascii="Trebuchet MS"/>
          <w:spacing w:val="33"/>
          <w:sz w:val="13"/>
          <w:lang w:val="uk-UA"/>
        </w:rPr>
        <w:t xml:space="preserve"> </w:t>
      </w:r>
      <w:r w:rsidRPr="003C6DAE">
        <w:rPr>
          <w:rFonts w:ascii="Trebuchet MS"/>
          <w:sz w:val="13"/>
          <w:lang w:val="uk-UA"/>
        </w:rPr>
        <w:t>Truenat</w:t>
      </w:r>
      <w:r w:rsidRPr="003C6DAE">
        <w:rPr>
          <w:rFonts w:ascii="Trebuchet MS"/>
          <w:spacing w:val="-12"/>
          <w:sz w:val="13"/>
          <w:lang w:val="uk-UA"/>
        </w:rPr>
        <w:t xml:space="preserve"> </w:t>
      </w:r>
      <w:r w:rsidRPr="003C6DAE">
        <w:rPr>
          <w:rFonts w:ascii="Trebuchet MS"/>
          <w:sz w:val="13"/>
          <w:lang w:val="uk-UA"/>
        </w:rPr>
        <w:t>MTB P</w:t>
      </w:r>
      <w:r w:rsidRPr="003C6DAE">
        <w:rPr>
          <w:rFonts w:ascii="Trebuchet MS"/>
          <w:spacing w:val="-6"/>
          <w:sz w:val="13"/>
          <w:lang w:val="uk-UA"/>
        </w:rPr>
        <w:t>lus</w:t>
      </w:r>
    </w:p>
    <w:p w14:paraId="4C0FCE5E" w14:textId="77777777" w:rsidR="00E05B98" w:rsidRPr="003C6DAE" w:rsidRDefault="00B01E0C">
      <w:pPr>
        <w:spacing w:before="23"/>
        <w:ind w:left="321"/>
        <w:rPr>
          <w:rFonts w:ascii="Trebuchet MS"/>
          <w:sz w:val="13"/>
          <w:lang w:val="uk-UA"/>
        </w:rPr>
      </w:pPr>
      <w:r w:rsidRPr="003C6DAE">
        <w:rPr>
          <w:lang w:val="uk-UA"/>
        </w:rPr>
        <w:br w:type="column"/>
      </w:r>
      <w:r w:rsidRPr="003C6DAE">
        <w:rPr>
          <w:rFonts w:ascii="Trebuchet MS"/>
          <w:w w:val="85"/>
          <w:sz w:val="13"/>
          <w:lang w:val="uk-UA"/>
        </w:rPr>
        <w:t>0.87</w:t>
      </w:r>
      <w:r w:rsidRPr="003C6DAE">
        <w:rPr>
          <w:rFonts w:ascii="Trebuchet MS"/>
          <w:spacing w:val="10"/>
          <w:sz w:val="13"/>
          <w:lang w:val="uk-UA"/>
        </w:rPr>
        <w:t xml:space="preserve"> </w:t>
      </w:r>
      <w:r w:rsidRPr="003C6DAE">
        <w:rPr>
          <w:rFonts w:ascii="Trebuchet MS"/>
          <w:w w:val="85"/>
          <w:sz w:val="13"/>
          <w:lang w:val="uk-UA"/>
        </w:rPr>
        <w:t>[0.80,</w:t>
      </w:r>
      <w:r w:rsidRPr="003C6DAE">
        <w:rPr>
          <w:rFonts w:ascii="Trebuchet MS"/>
          <w:spacing w:val="15"/>
          <w:sz w:val="13"/>
          <w:lang w:val="uk-UA"/>
        </w:rPr>
        <w:t xml:space="preserve"> </w:t>
      </w:r>
      <w:r w:rsidRPr="003C6DAE">
        <w:rPr>
          <w:rFonts w:ascii="Trebuchet MS"/>
          <w:spacing w:val="-2"/>
          <w:w w:val="85"/>
          <w:sz w:val="13"/>
          <w:lang w:val="uk-UA"/>
        </w:rPr>
        <w:t>0.92]</w:t>
      </w:r>
    </w:p>
    <w:p w14:paraId="156CD80C" w14:textId="77777777" w:rsidR="00E05B98" w:rsidRPr="003C6DAE" w:rsidRDefault="00B01E0C">
      <w:pPr>
        <w:spacing w:before="21"/>
        <w:ind w:left="304"/>
        <w:rPr>
          <w:rFonts w:ascii="Trebuchet MS"/>
          <w:sz w:val="13"/>
          <w:lang w:val="uk-UA"/>
        </w:rPr>
      </w:pPr>
      <w:r w:rsidRPr="003C6DAE">
        <w:rPr>
          <w:lang w:val="uk-UA"/>
        </w:rPr>
        <w:br w:type="column"/>
      </w:r>
      <w:r w:rsidRPr="003C6DAE">
        <w:rPr>
          <w:rFonts w:ascii="Trebuchet MS"/>
          <w:w w:val="85"/>
          <w:sz w:val="13"/>
          <w:lang w:val="uk-UA"/>
        </w:rPr>
        <w:t>0.95</w:t>
      </w:r>
      <w:r w:rsidRPr="003C6DAE">
        <w:rPr>
          <w:rFonts w:ascii="Trebuchet MS"/>
          <w:spacing w:val="10"/>
          <w:sz w:val="13"/>
          <w:lang w:val="uk-UA"/>
        </w:rPr>
        <w:t xml:space="preserve"> </w:t>
      </w:r>
      <w:r w:rsidRPr="003C6DAE">
        <w:rPr>
          <w:rFonts w:ascii="Trebuchet MS"/>
          <w:w w:val="85"/>
          <w:sz w:val="13"/>
          <w:lang w:val="uk-UA"/>
        </w:rPr>
        <w:t>[0.92,</w:t>
      </w:r>
      <w:r w:rsidRPr="003C6DAE">
        <w:rPr>
          <w:rFonts w:ascii="Trebuchet MS"/>
          <w:spacing w:val="15"/>
          <w:sz w:val="13"/>
          <w:lang w:val="uk-UA"/>
        </w:rPr>
        <w:t xml:space="preserve"> </w:t>
      </w:r>
      <w:r w:rsidRPr="003C6DAE">
        <w:rPr>
          <w:rFonts w:ascii="Trebuchet MS"/>
          <w:spacing w:val="-2"/>
          <w:w w:val="85"/>
          <w:sz w:val="13"/>
          <w:lang w:val="uk-UA"/>
        </w:rPr>
        <w:t>0.98]</w:t>
      </w:r>
    </w:p>
    <w:p w14:paraId="0BA90D6B" w14:textId="77777777" w:rsidR="00E05B98" w:rsidRPr="003C6DAE" w:rsidRDefault="00E05B98">
      <w:pPr>
        <w:rPr>
          <w:rFonts w:ascii="Trebuchet MS"/>
          <w:sz w:val="13"/>
          <w:lang w:val="uk-UA"/>
        </w:rPr>
        <w:sectPr w:rsidR="00E05B98" w:rsidRPr="003C6DAE">
          <w:type w:val="continuous"/>
          <w:pgSz w:w="11910" w:h="16840"/>
          <w:pgMar w:top="1920" w:right="1275" w:bottom="280" w:left="850" w:header="0" w:footer="573" w:gutter="0"/>
          <w:cols w:num="6" w:space="720" w:equalWidth="0">
            <w:col w:w="1375" w:space="40"/>
            <w:col w:w="855" w:space="39"/>
            <w:col w:w="532" w:space="39"/>
            <w:col w:w="1418" w:space="39"/>
            <w:col w:w="1224" w:space="40"/>
            <w:col w:w="4184"/>
          </w:cols>
        </w:sectPr>
      </w:pPr>
    </w:p>
    <w:p w14:paraId="6F74792A" w14:textId="77777777" w:rsidR="00E05B98" w:rsidRPr="003C6DAE" w:rsidRDefault="00B01E0C">
      <w:pPr>
        <w:spacing w:before="31" w:line="290" w:lineRule="auto"/>
        <w:ind w:left="671"/>
        <w:jc w:val="both"/>
        <w:rPr>
          <w:rFonts w:ascii="Trebuchet MS"/>
          <w:sz w:val="13"/>
          <w:lang w:val="uk-UA"/>
        </w:rPr>
      </w:pPr>
      <w:proofErr w:type="spellStart"/>
      <w:r w:rsidRPr="003C6DAE">
        <w:rPr>
          <w:rFonts w:ascii="Trebuchet MS"/>
          <w:w w:val="90"/>
          <w:sz w:val="13"/>
          <w:lang w:val="uk-UA"/>
        </w:rPr>
        <w:t>Aguilera-Alonso</w:t>
      </w:r>
      <w:proofErr w:type="spellEnd"/>
      <w:r w:rsidRPr="003C6DAE">
        <w:rPr>
          <w:rFonts w:ascii="Trebuchet MS"/>
          <w:spacing w:val="-6"/>
          <w:w w:val="90"/>
          <w:sz w:val="13"/>
          <w:lang w:val="uk-UA"/>
        </w:rPr>
        <w:t xml:space="preserve"> </w:t>
      </w:r>
      <w:r w:rsidRPr="003C6DAE">
        <w:rPr>
          <w:rFonts w:ascii="Trebuchet MS"/>
          <w:w w:val="90"/>
          <w:sz w:val="13"/>
          <w:lang w:val="uk-UA"/>
        </w:rPr>
        <w:t>2022</w:t>
      </w:r>
      <w:r w:rsidRPr="003C6DAE">
        <w:rPr>
          <w:rFonts w:ascii="Trebuchet MS"/>
          <w:spacing w:val="40"/>
          <w:sz w:val="13"/>
          <w:lang w:val="uk-UA"/>
        </w:rPr>
        <w:t xml:space="preserve"> </w:t>
      </w:r>
      <w:proofErr w:type="spellStart"/>
      <w:r w:rsidRPr="003C6DAE">
        <w:rPr>
          <w:rFonts w:ascii="Trebuchet MS"/>
          <w:sz w:val="13"/>
          <w:lang w:val="uk-UA"/>
        </w:rPr>
        <w:t>Berhanu</w:t>
      </w:r>
      <w:proofErr w:type="spellEnd"/>
      <w:r w:rsidRPr="003C6DAE">
        <w:rPr>
          <w:rFonts w:ascii="Trebuchet MS"/>
          <w:spacing w:val="-10"/>
          <w:sz w:val="13"/>
          <w:lang w:val="uk-UA"/>
        </w:rPr>
        <w:t xml:space="preserve"> </w:t>
      </w:r>
      <w:r w:rsidRPr="003C6DAE">
        <w:rPr>
          <w:rFonts w:ascii="Trebuchet MS"/>
          <w:sz w:val="13"/>
          <w:lang w:val="uk-UA"/>
        </w:rPr>
        <w:t>2018</w:t>
      </w:r>
    </w:p>
    <w:p w14:paraId="62594268" w14:textId="77777777" w:rsidR="00E05B98" w:rsidRPr="003C6DAE" w:rsidRDefault="00B01E0C">
      <w:pPr>
        <w:spacing w:line="150" w:lineRule="exact"/>
        <w:ind w:left="671"/>
        <w:jc w:val="both"/>
        <w:rPr>
          <w:rFonts w:ascii="Trebuchet MS"/>
          <w:sz w:val="13"/>
          <w:lang w:val="uk-UA"/>
        </w:rPr>
      </w:pPr>
      <w:proofErr w:type="spellStart"/>
      <w:r w:rsidRPr="003C6DAE">
        <w:rPr>
          <w:rFonts w:ascii="Trebuchet MS"/>
          <w:w w:val="90"/>
          <w:sz w:val="13"/>
          <w:lang w:val="uk-UA"/>
        </w:rPr>
        <w:t>Boyles</w:t>
      </w:r>
      <w:proofErr w:type="spellEnd"/>
      <w:r w:rsidRPr="003C6DAE">
        <w:rPr>
          <w:rFonts w:ascii="Trebuchet MS"/>
          <w:spacing w:val="31"/>
          <w:sz w:val="13"/>
          <w:lang w:val="uk-UA"/>
        </w:rPr>
        <w:t xml:space="preserve"> </w:t>
      </w:r>
      <w:r w:rsidRPr="003C6DAE">
        <w:rPr>
          <w:rFonts w:ascii="Trebuchet MS"/>
          <w:spacing w:val="-4"/>
          <w:sz w:val="13"/>
          <w:lang w:val="uk-UA"/>
        </w:rPr>
        <w:t>2020</w:t>
      </w:r>
    </w:p>
    <w:p w14:paraId="15557D41" w14:textId="3FC86592" w:rsidR="00E05B98" w:rsidRPr="003C6DAE" w:rsidRDefault="00B01E0C">
      <w:pPr>
        <w:spacing w:before="31" w:line="290" w:lineRule="auto"/>
        <w:ind w:left="671" w:right="205"/>
        <w:jc w:val="both"/>
        <w:rPr>
          <w:rFonts w:ascii="Trebuchet MS"/>
          <w:sz w:val="13"/>
          <w:lang w:val="uk-UA"/>
        </w:rPr>
      </w:pPr>
      <w:proofErr w:type="spellStart"/>
      <w:r w:rsidRPr="003C6DAE">
        <w:rPr>
          <w:rFonts w:ascii="Trebuchet MS"/>
          <w:w w:val="90"/>
          <w:sz w:val="13"/>
          <w:lang w:val="uk-UA"/>
        </w:rPr>
        <w:t>Calderwood</w:t>
      </w:r>
      <w:proofErr w:type="spellEnd"/>
      <w:r w:rsidRPr="003C6DAE">
        <w:rPr>
          <w:rFonts w:ascii="Trebuchet MS"/>
          <w:sz w:val="13"/>
          <w:lang w:val="uk-UA"/>
        </w:rPr>
        <w:t xml:space="preserve"> </w:t>
      </w:r>
      <w:r w:rsidRPr="003C6DAE">
        <w:rPr>
          <w:rFonts w:ascii="Trebuchet MS"/>
          <w:w w:val="90"/>
          <w:sz w:val="13"/>
          <w:lang w:val="uk-UA"/>
        </w:rPr>
        <w:t>2023</w:t>
      </w:r>
      <w:r w:rsidRPr="003C6DAE">
        <w:rPr>
          <w:rFonts w:ascii="Trebuchet MS"/>
          <w:spacing w:val="40"/>
          <w:sz w:val="13"/>
          <w:lang w:val="uk-UA"/>
        </w:rPr>
        <w:t xml:space="preserve"> </w:t>
      </w:r>
      <w:proofErr w:type="spellStart"/>
      <w:r w:rsidRPr="003C6DAE">
        <w:rPr>
          <w:rFonts w:ascii="Trebuchet MS"/>
          <w:w w:val="90"/>
          <w:sz w:val="13"/>
          <w:lang w:val="uk-UA"/>
        </w:rPr>
        <w:t>Chakravorty</w:t>
      </w:r>
      <w:proofErr w:type="spellEnd"/>
      <w:r w:rsidRPr="003C6DAE">
        <w:rPr>
          <w:rFonts w:ascii="Trebuchet MS"/>
          <w:spacing w:val="-4"/>
          <w:sz w:val="13"/>
          <w:lang w:val="uk-UA"/>
        </w:rPr>
        <w:t xml:space="preserve"> </w:t>
      </w:r>
      <w:r w:rsidRPr="003C6DAE">
        <w:rPr>
          <w:rFonts w:ascii="Trebuchet MS"/>
          <w:w w:val="90"/>
          <w:sz w:val="13"/>
          <w:lang w:val="uk-UA"/>
        </w:rPr>
        <w:t>2017</w:t>
      </w:r>
      <w:r w:rsidRPr="003C6DAE">
        <w:rPr>
          <w:rFonts w:ascii="Trebuchet MS"/>
          <w:spacing w:val="40"/>
          <w:sz w:val="13"/>
          <w:lang w:val="uk-UA"/>
        </w:rPr>
        <w:t xml:space="preserve"> </w:t>
      </w:r>
      <w:proofErr w:type="spellStart"/>
      <w:r w:rsidRPr="003C6DAE">
        <w:rPr>
          <w:rFonts w:ascii="Trebuchet MS"/>
          <w:sz w:val="13"/>
          <w:lang w:val="uk-UA"/>
        </w:rPr>
        <w:t>Chien</w:t>
      </w:r>
      <w:proofErr w:type="spellEnd"/>
      <w:r w:rsidRPr="003C6DAE">
        <w:rPr>
          <w:rFonts w:ascii="Trebuchet MS"/>
          <w:sz w:val="13"/>
          <w:lang w:val="uk-UA"/>
        </w:rPr>
        <w:t xml:space="preserve"> 2020</w:t>
      </w:r>
    </w:p>
    <w:p w14:paraId="0BB2E88E" w14:textId="05ED716D" w:rsidR="00E05B98" w:rsidRPr="003C6DAE" w:rsidRDefault="00B01E0C">
      <w:pPr>
        <w:spacing w:line="149" w:lineRule="exact"/>
        <w:ind w:left="671"/>
        <w:jc w:val="both"/>
        <w:rPr>
          <w:rFonts w:ascii="Trebuchet MS"/>
          <w:sz w:val="13"/>
          <w:lang w:val="uk-UA"/>
        </w:rPr>
      </w:pPr>
      <w:proofErr w:type="spellStart"/>
      <w:r w:rsidRPr="003C6DAE">
        <w:rPr>
          <w:rFonts w:ascii="Trebuchet MS"/>
          <w:spacing w:val="-2"/>
          <w:w w:val="90"/>
          <w:sz w:val="13"/>
          <w:lang w:val="uk-UA"/>
        </w:rPr>
        <w:t>Chilukutu</w:t>
      </w:r>
      <w:proofErr w:type="spellEnd"/>
      <w:r w:rsidRPr="003C6DAE">
        <w:rPr>
          <w:rFonts w:ascii="Trebuchet MS"/>
          <w:spacing w:val="3"/>
          <w:sz w:val="13"/>
          <w:lang w:val="uk-UA"/>
        </w:rPr>
        <w:t xml:space="preserve"> </w:t>
      </w:r>
      <w:r w:rsidRPr="003C6DAE">
        <w:rPr>
          <w:rFonts w:ascii="Trebuchet MS"/>
          <w:spacing w:val="-4"/>
          <w:w w:val="90"/>
          <w:sz w:val="13"/>
          <w:lang w:val="uk-UA"/>
        </w:rPr>
        <w:t>2022</w:t>
      </w:r>
    </w:p>
    <w:p w14:paraId="69903D11" w14:textId="01251ED8" w:rsidR="00E05B98" w:rsidRPr="003C6DAE" w:rsidRDefault="00B01E0C">
      <w:pPr>
        <w:spacing w:before="31" w:line="290" w:lineRule="auto"/>
        <w:ind w:left="671" w:right="374"/>
        <w:rPr>
          <w:rFonts w:ascii="Trebuchet MS"/>
          <w:sz w:val="13"/>
          <w:lang w:val="uk-UA"/>
        </w:rPr>
      </w:pPr>
      <w:proofErr w:type="spellStart"/>
      <w:r w:rsidRPr="003C6DAE">
        <w:rPr>
          <w:rFonts w:ascii="Trebuchet MS"/>
          <w:sz w:val="13"/>
          <w:lang w:val="uk-UA"/>
        </w:rPr>
        <w:t>Dorman</w:t>
      </w:r>
      <w:proofErr w:type="spellEnd"/>
      <w:r w:rsidRPr="003C6DAE">
        <w:rPr>
          <w:rFonts w:ascii="Trebuchet MS"/>
          <w:spacing w:val="-10"/>
          <w:sz w:val="13"/>
          <w:lang w:val="uk-UA"/>
        </w:rPr>
        <w:t xml:space="preserve"> </w:t>
      </w:r>
      <w:r w:rsidRPr="003C6DAE">
        <w:rPr>
          <w:rFonts w:ascii="Trebuchet MS"/>
          <w:sz w:val="13"/>
          <w:lang w:val="uk-UA"/>
        </w:rPr>
        <w:t>2018</w:t>
      </w:r>
      <w:r w:rsidRPr="003C6DAE">
        <w:rPr>
          <w:rFonts w:ascii="Trebuchet MS"/>
          <w:spacing w:val="40"/>
          <w:sz w:val="13"/>
          <w:lang w:val="uk-UA"/>
        </w:rPr>
        <w:t xml:space="preserve"> </w:t>
      </w:r>
      <w:proofErr w:type="spellStart"/>
      <w:r w:rsidRPr="003C6DAE">
        <w:rPr>
          <w:rFonts w:ascii="Trebuchet MS"/>
          <w:w w:val="90"/>
          <w:sz w:val="13"/>
          <w:lang w:val="uk-UA"/>
        </w:rPr>
        <w:t>Jaganath</w:t>
      </w:r>
      <w:proofErr w:type="spellEnd"/>
      <w:r w:rsidRPr="003C6DAE">
        <w:rPr>
          <w:rFonts w:ascii="Trebuchet MS"/>
          <w:w w:val="90"/>
          <w:sz w:val="13"/>
          <w:lang w:val="uk-UA"/>
        </w:rPr>
        <w:t xml:space="preserve"> 2021</w:t>
      </w:r>
      <w:r w:rsidRPr="003C6DAE">
        <w:rPr>
          <w:rFonts w:ascii="Trebuchet MS"/>
          <w:spacing w:val="40"/>
          <w:sz w:val="13"/>
          <w:lang w:val="uk-UA"/>
        </w:rPr>
        <w:t xml:space="preserve"> </w:t>
      </w:r>
      <w:proofErr w:type="spellStart"/>
      <w:r w:rsidRPr="003C6DAE">
        <w:rPr>
          <w:rFonts w:ascii="Trebuchet MS"/>
          <w:sz w:val="13"/>
          <w:lang w:val="uk-UA"/>
        </w:rPr>
        <w:t>Li</w:t>
      </w:r>
      <w:proofErr w:type="spellEnd"/>
      <w:r w:rsidRPr="003C6DAE">
        <w:rPr>
          <w:rFonts w:ascii="Trebuchet MS"/>
          <w:spacing w:val="-10"/>
          <w:sz w:val="13"/>
          <w:lang w:val="uk-UA"/>
        </w:rPr>
        <w:t xml:space="preserve"> </w:t>
      </w:r>
      <w:r w:rsidRPr="003C6DAE">
        <w:rPr>
          <w:rFonts w:ascii="Trebuchet MS"/>
          <w:sz w:val="13"/>
          <w:lang w:val="uk-UA"/>
        </w:rPr>
        <w:t>2023</w:t>
      </w:r>
    </w:p>
    <w:p w14:paraId="5D8398D4" w14:textId="77777777" w:rsidR="00E05B98" w:rsidRPr="003C6DAE" w:rsidRDefault="00B01E0C">
      <w:pPr>
        <w:spacing w:line="149" w:lineRule="exact"/>
        <w:ind w:left="671"/>
        <w:rPr>
          <w:rFonts w:ascii="Trebuchet MS"/>
          <w:sz w:val="13"/>
          <w:lang w:val="uk-UA"/>
        </w:rPr>
      </w:pPr>
      <w:proofErr w:type="spellStart"/>
      <w:r w:rsidRPr="003C6DAE">
        <w:rPr>
          <w:rFonts w:ascii="Trebuchet MS"/>
          <w:w w:val="90"/>
          <w:sz w:val="13"/>
          <w:lang w:val="uk-UA"/>
        </w:rPr>
        <w:t>Liu</w:t>
      </w:r>
      <w:proofErr w:type="spellEnd"/>
      <w:r w:rsidRPr="003C6DAE">
        <w:rPr>
          <w:rFonts w:ascii="Trebuchet MS"/>
          <w:spacing w:val="2"/>
          <w:sz w:val="13"/>
          <w:lang w:val="uk-UA"/>
        </w:rPr>
        <w:t xml:space="preserve"> </w:t>
      </w:r>
      <w:r w:rsidRPr="003C6DAE">
        <w:rPr>
          <w:rFonts w:ascii="Trebuchet MS"/>
          <w:spacing w:val="-4"/>
          <w:sz w:val="13"/>
          <w:lang w:val="uk-UA"/>
        </w:rPr>
        <w:t>2021</w:t>
      </w:r>
    </w:p>
    <w:p w14:paraId="1C8AED30" w14:textId="77777777" w:rsidR="00E05B98" w:rsidRPr="003C6DAE" w:rsidRDefault="00B01E0C">
      <w:pPr>
        <w:spacing w:before="31" w:line="290" w:lineRule="auto"/>
        <w:ind w:left="671" w:right="296"/>
        <w:rPr>
          <w:rFonts w:ascii="Trebuchet MS"/>
          <w:sz w:val="13"/>
          <w:lang w:val="uk-UA"/>
        </w:rPr>
      </w:pPr>
      <w:proofErr w:type="spellStart"/>
      <w:r w:rsidRPr="003C6DAE">
        <w:rPr>
          <w:rFonts w:ascii="Trebuchet MS"/>
          <w:sz w:val="13"/>
          <w:lang w:val="uk-UA"/>
        </w:rPr>
        <w:t>MacLean</w:t>
      </w:r>
      <w:proofErr w:type="spellEnd"/>
      <w:r w:rsidRPr="003C6DAE">
        <w:rPr>
          <w:rFonts w:ascii="Trebuchet MS"/>
          <w:spacing w:val="-10"/>
          <w:sz w:val="13"/>
          <w:lang w:val="uk-UA"/>
        </w:rPr>
        <w:t xml:space="preserve"> </w:t>
      </w:r>
      <w:r w:rsidRPr="003C6DAE">
        <w:rPr>
          <w:rFonts w:ascii="Trebuchet MS"/>
          <w:sz w:val="13"/>
          <w:lang w:val="uk-UA"/>
        </w:rPr>
        <w:t>2023</w:t>
      </w:r>
      <w:r w:rsidRPr="003C6DAE">
        <w:rPr>
          <w:rFonts w:ascii="Trebuchet MS"/>
          <w:spacing w:val="40"/>
          <w:sz w:val="13"/>
          <w:lang w:val="uk-UA"/>
        </w:rPr>
        <w:t xml:space="preserve"> </w:t>
      </w:r>
      <w:proofErr w:type="spellStart"/>
      <w:r w:rsidRPr="003C6DAE">
        <w:rPr>
          <w:rFonts w:ascii="Trebuchet MS"/>
          <w:sz w:val="13"/>
          <w:lang w:val="uk-UA"/>
        </w:rPr>
        <w:t>Mishra</w:t>
      </w:r>
      <w:proofErr w:type="spellEnd"/>
      <w:r w:rsidRPr="003C6DAE">
        <w:rPr>
          <w:rFonts w:ascii="Trebuchet MS"/>
          <w:sz w:val="13"/>
          <w:lang w:val="uk-UA"/>
        </w:rPr>
        <w:t xml:space="preserve"> 2020a</w:t>
      </w:r>
      <w:r w:rsidRPr="003C6DAE">
        <w:rPr>
          <w:rFonts w:ascii="Trebuchet MS"/>
          <w:spacing w:val="40"/>
          <w:sz w:val="13"/>
          <w:lang w:val="uk-UA"/>
        </w:rPr>
        <w:t xml:space="preserve"> </w:t>
      </w:r>
      <w:proofErr w:type="spellStart"/>
      <w:r w:rsidRPr="003C6DAE">
        <w:rPr>
          <w:rFonts w:ascii="Trebuchet MS"/>
          <w:sz w:val="13"/>
          <w:lang w:val="uk-UA"/>
        </w:rPr>
        <w:t>Mishra</w:t>
      </w:r>
      <w:proofErr w:type="spellEnd"/>
      <w:r w:rsidRPr="003C6DAE">
        <w:rPr>
          <w:rFonts w:ascii="Trebuchet MS"/>
          <w:sz w:val="13"/>
          <w:lang w:val="uk-UA"/>
        </w:rPr>
        <w:t xml:space="preserve"> 2020b</w:t>
      </w:r>
      <w:r w:rsidRPr="003C6DAE">
        <w:rPr>
          <w:rFonts w:ascii="Trebuchet MS"/>
          <w:spacing w:val="40"/>
          <w:sz w:val="13"/>
          <w:lang w:val="uk-UA"/>
        </w:rPr>
        <w:t xml:space="preserve"> </w:t>
      </w:r>
      <w:proofErr w:type="spellStart"/>
      <w:r w:rsidRPr="003C6DAE">
        <w:rPr>
          <w:rFonts w:ascii="Trebuchet MS"/>
          <w:spacing w:val="-2"/>
          <w:sz w:val="13"/>
          <w:lang w:val="uk-UA"/>
        </w:rPr>
        <w:t>Moodley</w:t>
      </w:r>
      <w:proofErr w:type="spellEnd"/>
      <w:r w:rsidRPr="003C6DAE">
        <w:rPr>
          <w:rFonts w:ascii="Trebuchet MS"/>
          <w:spacing w:val="-5"/>
          <w:sz w:val="13"/>
          <w:lang w:val="uk-UA"/>
        </w:rPr>
        <w:t xml:space="preserve"> </w:t>
      </w:r>
      <w:r w:rsidRPr="003C6DAE">
        <w:rPr>
          <w:rFonts w:ascii="Trebuchet MS"/>
          <w:spacing w:val="-4"/>
          <w:sz w:val="13"/>
          <w:lang w:val="uk-UA"/>
        </w:rPr>
        <w:t>2022</w:t>
      </w:r>
    </w:p>
    <w:p w14:paraId="18B9FAB2" w14:textId="77777777" w:rsidR="00E05B98" w:rsidRPr="003C6DAE" w:rsidRDefault="00B01E0C">
      <w:pPr>
        <w:spacing w:line="148" w:lineRule="exact"/>
        <w:ind w:left="671"/>
        <w:rPr>
          <w:rFonts w:ascii="Trebuchet MS"/>
          <w:sz w:val="13"/>
          <w:lang w:val="uk-UA"/>
        </w:rPr>
      </w:pPr>
      <w:proofErr w:type="spellStart"/>
      <w:r w:rsidRPr="003C6DAE">
        <w:rPr>
          <w:rFonts w:ascii="Trebuchet MS"/>
          <w:sz w:val="13"/>
          <w:lang w:val="uk-UA"/>
        </w:rPr>
        <w:t>Mukoka</w:t>
      </w:r>
      <w:proofErr w:type="spellEnd"/>
      <w:r w:rsidRPr="003C6DAE">
        <w:rPr>
          <w:rFonts w:ascii="Trebuchet MS"/>
          <w:spacing w:val="-8"/>
          <w:sz w:val="13"/>
          <w:lang w:val="uk-UA"/>
        </w:rPr>
        <w:t xml:space="preserve"> </w:t>
      </w:r>
      <w:r w:rsidRPr="003C6DAE">
        <w:rPr>
          <w:rFonts w:ascii="Trebuchet MS"/>
          <w:spacing w:val="-4"/>
          <w:sz w:val="13"/>
          <w:lang w:val="uk-UA"/>
        </w:rPr>
        <w:t>2023</w:t>
      </w:r>
    </w:p>
    <w:p w14:paraId="31D3313E" w14:textId="081CF972" w:rsidR="00E05B98" w:rsidRPr="003C6DAE" w:rsidRDefault="00B01E0C">
      <w:pPr>
        <w:spacing w:before="31" w:line="290" w:lineRule="auto"/>
        <w:ind w:left="671" w:right="531"/>
        <w:rPr>
          <w:rFonts w:ascii="Trebuchet MS"/>
          <w:sz w:val="13"/>
          <w:lang w:val="uk-UA"/>
        </w:rPr>
      </w:pPr>
      <w:proofErr w:type="spellStart"/>
      <w:r w:rsidRPr="003C6DAE">
        <w:rPr>
          <w:rFonts w:ascii="Trebuchet MS"/>
          <w:spacing w:val="-2"/>
          <w:sz w:val="13"/>
          <w:lang w:val="uk-UA"/>
        </w:rPr>
        <w:t>Opota</w:t>
      </w:r>
      <w:proofErr w:type="spellEnd"/>
      <w:r w:rsidRPr="003C6DAE">
        <w:rPr>
          <w:rFonts w:ascii="Trebuchet MS"/>
          <w:spacing w:val="-8"/>
          <w:sz w:val="13"/>
          <w:lang w:val="uk-UA"/>
        </w:rPr>
        <w:t xml:space="preserve"> </w:t>
      </w:r>
      <w:r w:rsidRPr="003C6DAE">
        <w:rPr>
          <w:rFonts w:ascii="Trebuchet MS"/>
          <w:spacing w:val="-2"/>
          <w:sz w:val="13"/>
          <w:lang w:val="uk-UA"/>
        </w:rPr>
        <w:t>2019</w:t>
      </w:r>
      <w:r w:rsidRPr="003C6DAE">
        <w:rPr>
          <w:rFonts w:ascii="Trebuchet MS"/>
          <w:spacing w:val="40"/>
          <w:sz w:val="13"/>
          <w:lang w:val="uk-UA"/>
        </w:rPr>
        <w:t xml:space="preserve"> </w:t>
      </w:r>
      <w:proofErr w:type="spellStart"/>
      <w:r w:rsidRPr="003C6DAE">
        <w:rPr>
          <w:rFonts w:ascii="Trebuchet MS"/>
          <w:sz w:val="13"/>
          <w:lang w:val="uk-UA"/>
        </w:rPr>
        <w:t>Park</w:t>
      </w:r>
      <w:proofErr w:type="spellEnd"/>
      <w:r w:rsidRPr="003C6DAE">
        <w:rPr>
          <w:rFonts w:ascii="Trebuchet MS"/>
          <w:sz w:val="13"/>
          <w:lang w:val="uk-UA"/>
        </w:rPr>
        <w:t xml:space="preserve"> 2019</w:t>
      </w:r>
    </w:p>
    <w:p w14:paraId="0E14E24E" w14:textId="77777777" w:rsidR="00E05B98" w:rsidRPr="003C6DAE" w:rsidRDefault="00B01E0C">
      <w:pPr>
        <w:spacing w:line="150" w:lineRule="exact"/>
        <w:ind w:left="671"/>
        <w:rPr>
          <w:rFonts w:ascii="Trebuchet MS"/>
          <w:sz w:val="13"/>
          <w:lang w:val="uk-UA"/>
        </w:rPr>
      </w:pPr>
      <w:r w:rsidRPr="003C6DAE">
        <w:rPr>
          <w:rFonts w:ascii="Trebuchet MS"/>
          <w:w w:val="85"/>
          <w:sz w:val="13"/>
          <w:lang w:val="uk-UA"/>
        </w:rPr>
        <w:t>P</w:t>
      </w:r>
      <w:r w:rsidRPr="003C6DAE">
        <w:rPr>
          <w:rFonts w:ascii="Trebuchet MS"/>
          <w:spacing w:val="-14"/>
          <w:w w:val="85"/>
          <w:sz w:val="13"/>
          <w:lang w:val="uk-UA"/>
        </w:rPr>
        <w:t xml:space="preserve"> </w:t>
      </w:r>
      <w:proofErr w:type="spellStart"/>
      <w:r w:rsidRPr="003C6DAE">
        <w:rPr>
          <w:rFonts w:ascii="Trebuchet MS"/>
          <w:w w:val="85"/>
          <w:sz w:val="13"/>
          <w:lang w:val="uk-UA"/>
        </w:rPr>
        <w:t>ereira</w:t>
      </w:r>
      <w:proofErr w:type="spellEnd"/>
      <w:r w:rsidRPr="003C6DAE">
        <w:rPr>
          <w:rFonts w:ascii="Trebuchet MS"/>
          <w:spacing w:val="13"/>
          <w:sz w:val="13"/>
          <w:lang w:val="uk-UA"/>
        </w:rPr>
        <w:t xml:space="preserve"> </w:t>
      </w:r>
      <w:r w:rsidRPr="003C6DAE">
        <w:rPr>
          <w:rFonts w:ascii="Trebuchet MS"/>
          <w:spacing w:val="-4"/>
          <w:w w:val="85"/>
          <w:sz w:val="13"/>
          <w:lang w:val="uk-UA"/>
        </w:rPr>
        <w:t>2020</w:t>
      </w:r>
    </w:p>
    <w:p w14:paraId="523A8873" w14:textId="1898A392" w:rsidR="00E05B98" w:rsidRPr="003C6DAE" w:rsidRDefault="00B01E0C">
      <w:pPr>
        <w:spacing w:before="31" w:line="290" w:lineRule="auto"/>
        <w:ind w:left="671" w:right="296"/>
        <w:rPr>
          <w:rFonts w:ascii="Trebuchet MS"/>
          <w:sz w:val="13"/>
          <w:lang w:val="uk-UA"/>
        </w:rPr>
      </w:pPr>
      <w:proofErr w:type="spellStart"/>
      <w:r w:rsidRPr="003C6DAE">
        <w:rPr>
          <w:rFonts w:ascii="Trebuchet MS"/>
          <w:w w:val="90"/>
          <w:sz w:val="13"/>
          <w:lang w:val="uk-UA"/>
        </w:rPr>
        <w:t>Piers</w:t>
      </w:r>
      <w:proofErr w:type="spellEnd"/>
      <w:r w:rsidRPr="003C6DAE">
        <w:rPr>
          <w:rFonts w:ascii="Trebuchet MS"/>
          <w:spacing w:val="-23"/>
          <w:w w:val="90"/>
          <w:sz w:val="13"/>
          <w:lang w:val="uk-UA"/>
        </w:rPr>
        <w:t xml:space="preserve"> </w:t>
      </w:r>
      <w:proofErr w:type="spellStart"/>
      <w:r w:rsidRPr="003C6DAE">
        <w:rPr>
          <w:rFonts w:ascii="Trebuchet MS"/>
          <w:w w:val="90"/>
          <w:sz w:val="13"/>
          <w:lang w:val="uk-UA"/>
        </w:rPr>
        <w:t>imoni</w:t>
      </w:r>
      <w:proofErr w:type="spellEnd"/>
      <w:r w:rsidRPr="003C6DAE">
        <w:rPr>
          <w:rFonts w:ascii="Trebuchet MS"/>
          <w:spacing w:val="-6"/>
          <w:w w:val="90"/>
          <w:sz w:val="13"/>
          <w:lang w:val="uk-UA"/>
        </w:rPr>
        <w:t xml:space="preserve"> </w:t>
      </w:r>
      <w:r w:rsidRPr="003C6DAE">
        <w:rPr>
          <w:rFonts w:ascii="Trebuchet MS"/>
          <w:w w:val="90"/>
          <w:sz w:val="13"/>
          <w:lang w:val="uk-UA"/>
        </w:rPr>
        <w:t>2019</w:t>
      </w:r>
      <w:r w:rsidRPr="003C6DAE">
        <w:rPr>
          <w:rFonts w:ascii="Trebuchet MS"/>
          <w:spacing w:val="40"/>
          <w:sz w:val="13"/>
          <w:lang w:val="uk-UA"/>
        </w:rPr>
        <w:t xml:space="preserve"> </w:t>
      </w:r>
      <w:proofErr w:type="spellStart"/>
      <w:r w:rsidRPr="003C6DAE">
        <w:rPr>
          <w:rFonts w:ascii="Trebuchet MS"/>
          <w:sz w:val="13"/>
          <w:lang w:val="uk-UA"/>
        </w:rPr>
        <w:t>Saavedra</w:t>
      </w:r>
      <w:proofErr w:type="spellEnd"/>
      <w:r w:rsidRPr="003C6DAE">
        <w:rPr>
          <w:rFonts w:ascii="Trebuchet MS"/>
          <w:spacing w:val="-10"/>
          <w:sz w:val="13"/>
          <w:lang w:val="uk-UA"/>
        </w:rPr>
        <w:t xml:space="preserve"> </w:t>
      </w:r>
      <w:r w:rsidRPr="003C6DAE">
        <w:rPr>
          <w:rFonts w:ascii="Trebuchet MS"/>
          <w:sz w:val="13"/>
          <w:lang w:val="uk-UA"/>
        </w:rPr>
        <w:t>2021</w:t>
      </w:r>
      <w:r w:rsidRPr="003C6DAE">
        <w:rPr>
          <w:rFonts w:ascii="Trebuchet MS"/>
          <w:spacing w:val="40"/>
          <w:sz w:val="13"/>
          <w:lang w:val="uk-UA"/>
        </w:rPr>
        <w:t xml:space="preserve"> </w:t>
      </w:r>
      <w:proofErr w:type="spellStart"/>
      <w:r w:rsidRPr="003C6DAE">
        <w:rPr>
          <w:rFonts w:ascii="Trebuchet MS"/>
          <w:sz w:val="13"/>
          <w:lang w:val="uk-UA"/>
        </w:rPr>
        <w:t>Sabi</w:t>
      </w:r>
      <w:proofErr w:type="spellEnd"/>
      <w:r w:rsidRPr="003C6DAE">
        <w:rPr>
          <w:rFonts w:ascii="Trebuchet MS"/>
          <w:sz w:val="13"/>
          <w:lang w:val="uk-UA"/>
        </w:rPr>
        <w:t xml:space="preserve"> 2018</w:t>
      </w:r>
    </w:p>
    <w:p w14:paraId="2A9193DF" w14:textId="3821BE3E" w:rsidR="00E05B98" w:rsidRPr="003C6DAE" w:rsidRDefault="00B01E0C">
      <w:pPr>
        <w:spacing w:line="290" w:lineRule="auto"/>
        <w:ind w:left="671" w:right="581"/>
        <w:rPr>
          <w:rFonts w:ascii="Trebuchet MS"/>
          <w:sz w:val="13"/>
          <w:lang w:val="uk-UA"/>
        </w:rPr>
      </w:pPr>
      <w:proofErr w:type="spellStart"/>
      <w:r w:rsidRPr="003C6DAE">
        <w:rPr>
          <w:rFonts w:ascii="Trebuchet MS"/>
          <w:sz w:val="13"/>
          <w:lang w:val="uk-UA"/>
        </w:rPr>
        <w:t>Sabi</w:t>
      </w:r>
      <w:proofErr w:type="spellEnd"/>
      <w:r w:rsidRPr="003C6DAE">
        <w:rPr>
          <w:rFonts w:ascii="Trebuchet MS"/>
          <w:spacing w:val="-10"/>
          <w:sz w:val="13"/>
          <w:lang w:val="uk-UA"/>
        </w:rPr>
        <w:t xml:space="preserve"> </w:t>
      </w:r>
      <w:r w:rsidRPr="003C6DAE">
        <w:rPr>
          <w:rFonts w:ascii="Trebuchet MS"/>
          <w:sz w:val="13"/>
          <w:lang w:val="uk-UA"/>
        </w:rPr>
        <w:t>2022</w:t>
      </w:r>
      <w:r w:rsidRPr="003C6DAE">
        <w:rPr>
          <w:rFonts w:ascii="Trebuchet MS"/>
          <w:spacing w:val="40"/>
          <w:sz w:val="13"/>
          <w:lang w:val="uk-UA"/>
        </w:rPr>
        <w:t xml:space="preserve"> </w:t>
      </w:r>
      <w:proofErr w:type="spellStart"/>
      <w:r w:rsidRPr="003C6DAE">
        <w:rPr>
          <w:rFonts w:ascii="Trebuchet MS"/>
          <w:sz w:val="13"/>
          <w:lang w:val="uk-UA"/>
        </w:rPr>
        <w:t>Sava</w:t>
      </w:r>
      <w:proofErr w:type="spellEnd"/>
      <w:r w:rsidRPr="003C6DAE">
        <w:rPr>
          <w:rFonts w:ascii="Trebuchet MS"/>
          <w:spacing w:val="-9"/>
          <w:sz w:val="13"/>
          <w:lang w:val="uk-UA"/>
        </w:rPr>
        <w:t xml:space="preserve"> </w:t>
      </w:r>
      <w:r w:rsidRPr="003C6DAE">
        <w:rPr>
          <w:rFonts w:ascii="Trebuchet MS"/>
          <w:spacing w:val="-4"/>
          <w:sz w:val="13"/>
          <w:lang w:val="uk-UA"/>
        </w:rPr>
        <w:t>2023</w:t>
      </w:r>
    </w:p>
    <w:p w14:paraId="2DE2A1A9" w14:textId="018C2D37" w:rsidR="00E05B98" w:rsidRPr="003C6DAE" w:rsidRDefault="00B01E0C">
      <w:pPr>
        <w:spacing w:line="150" w:lineRule="exact"/>
        <w:ind w:left="671"/>
        <w:rPr>
          <w:rFonts w:ascii="Trebuchet MS"/>
          <w:sz w:val="13"/>
          <w:lang w:val="uk-UA"/>
        </w:rPr>
      </w:pPr>
      <w:proofErr w:type="spellStart"/>
      <w:r w:rsidRPr="003C6DAE">
        <w:rPr>
          <w:rFonts w:ascii="Trebuchet MS"/>
          <w:w w:val="90"/>
          <w:sz w:val="13"/>
          <w:lang w:val="uk-UA"/>
        </w:rPr>
        <w:t>Sessolo</w:t>
      </w:r>
      <w:proofErr w:type="spellEnd"/>
      <w:r w:rsidRPr="003C6DAE">
        <w:rPr>
          <w:rFonts w:ascii="Trebuchet MS"/>
          <w:spacing w:val="20"/>
          <w:sz w:val="13"/>
          <w:lang w:val="uk-UA"/>
        </w:rPr>
        <w:t xml:space="preserve"> </w:t>
      </w:r>
      <w:r w:rsidRPr="003C6DAE">
        <w:rPr>
          <w:rFonts w:ascii="Trebuchet MS"/>
          <w:spacing w:val="-4"/>
          <w:w w:val="90"/>
          <w:sz w:val="13"/>
          <w:lang w:val="uk-UA"/>
        </w:rPr>
        <w:t>2023</w:t>
      </w:r>
    </w:p>
    <w:p w14:paraId="6A60AD74" w14:textId="52FF30BD" w:rsidR="00E05B98" w:rsidRPr="003C6DAE" w:rsidRDefault="00B01E0C">
      <w:pPr>
        <w:spacing w:before="29" w:line="290" w:lineRule="auto"/>
        <w:ind w:left="671" w:right="245"/>
        <w:jc w:val="both"/>
        <w:rPr>
          <w:rFonts w:ascii="Trebuchet MS"/>
          <w:sz w:val="13"/>
          <w:lang w:val="uk-UA"/>
        </w:rPr>
      </w:pPr>
      <w:proofErr w:type="spellStart"/>
      <w:r w:rsidRPr="003C6DAE">
        <w:rPr>
          <w:rFonts w:ascii="Trebuchet MS"/>
          <w:spacing w:val="-2"/>
          <w:sz w:val="13"/>
          <w:lang w:val="uk-UA"/>
        </w:rPr>
        <w:t>Ssengooba</w:t>
      </w:r>
      <w:proofErr w:type="spellEnd"/>
      <w:r w:rsidRPr="003C6DAE">
        <w:rPr>
          <w:rFonts w:ascii="Trebuchet MS"/>
          <w:spacing w:val="-8"/>
          <w:sz w:val="13"/>
          <w:lang w:val="uk-UA"/>
        </w:rPr>
        <w:t xml:space="preserve"> </w:t>
      </w:r>
      <w:r w:rsidRPr="003C6DAE">
        <w:rPr>
          <w:rFonts w:ascii="Trebuchet MS"/>
          <w:spacing w:val="-2"/>
          <w:sz w:val="13"/>
          <w:lang w:val="uk-UA"/>
        </w:rPr>
        <w:t>2020</w:t>
      </w:r>
      <w:r w:rsidRPr="003C6DAE">
        <w:rPr>
          <w:rFonts w:ascii="Trebuchet MS"/>
          <w:spacing w:val="40"/>
          <w:sz w:val="13"/>
          <w:lang w:val="uk-UA"/>
        </w:rPr>
        <w:t xml:space="preserve"> </w:t>
      </w:r>
      <w:proofErr w:type="spellStart"/>
      <w:r w:rsidRPr="003C6DAE">
        <w:rPr>
          <w:rFonts w:ascii="Trebuchet MS"/>
          <w:spacing w:val="-2"/>
          <w:sz w:val="13"/>
          <w:lang w:val="uk-UA"/>
        </w:rPr>
        <w:t>Ssengooba</w:t>
      </w:r>
      <w:proofErr w:type="spellEnd"/>
      <w:r w:rsidRPr="003C6DAE">
        <w:rPr>
          <w:rFonts w:ascii="Trebuchet MS"/>
          <w:spacing w:val="-8"/>
          <w:sz w:val="13"/>
          <w:lang w:val="uk-UA"/>
        </w:rPr>
        <w:t xml:space="preserve"> </w:t>
      </w:r>
      <w:r w:rsidRPr="003C6DAE">
        <w:rPr>
          <w:rFonts w:ascii="Trebuchet MS"/>
          <w:spacing w:val="-2"/>
          <w:sz w:val="13"/>
          <w:lang w:val="uk-UA"/>
        </w:rPr>
        <w:t>2024</w:t>
      </w:r>
      <w:r w:rsidRPr="003C6DAE">
        <w:rPr>
          <w:rFonts w:ascii="Trebuchet MS"/>
          <w:spacing w:val="40"/>
          <w:sz w:val="13"/>
          <w:lang w:val="uk-UA"/>
        </w:rPr>
        <w:t xml:space="preserve"> </w:t>
      </w:r>
      <w:proofErr w:type="spellStart"/>
      <w:r w:rsidRPr="003C6DAE">
        <w:rPr>
          <w:rFonts w:ascii="Trebuchet MS"/>
          <w:sz w:val="13"/>
          <w:lang w:val="uk-UA"/>
        </w:rPr>
        <w:t>Wang</w:t>
      </w:r>
      <w:proofErr w:type="spellEnd"/>
      <w:r w:rsidRPr="003C6DAE">
        <w:rPr>
          <w:rFonts w:ascii="Trebuchet MS"/>
          <w:spacing w:val="-10"/>
          <w:sz w:val="13"/>
          <w:lang w:val="uk-UA"/>
        </w:rPr>
        <w:t xml:space="preserve"> </w:t>
      </w:r>
      <w:r w:rsidRPr="003C6DAE">
        <w:rPr>
          <w:rFonts w:ascii="Trebuchet MS"/>
          <w:sz w:val="13"/>
          <w:lang w:val="uk-UA"/>
        </w:rPr>
        <w:t>2019</w:t>
      </w:r>
    </w:p>
    <w:p w14:paraId="19EB2BE9" w14:textId="77777777" w:rsidR="00E05B98" w:rsidRPr="003C6DAE" w:rsidRDefault="00B01E0C">
      <w:pPr>
        <w:spacing w:line="290" w:lineRule="auto"/>
        <w:ind w:left="671" w:right="549"/>
        <w:jc w:val="both"/>
        <w:rPr>
          <w:rFonts w:ascii="Trebuchet MS"/>
          <w:sz w:val="13"/>
          <w:lang w:val="uk-UA"/>
        </w:rPr>
      </w:pPr>
      <w:proofErr w:type="spellStart"/>
      <w:r w:rsidRPr="003C6DAE">
        <w:rPr>
          <w:rFonts w:ascii="Trebuchet MS"/>
          <w:sz w:val="13"/>
          <w:lang w:val="uk-UA"/>
        </w:rPr>
        <w:t>Wang</w:t>
      </w:r>
      <w:proofErr w:type="spellEnd"/>
      <w:r w:rsidRPr="003C6DAE">
        <w:rPr>
          <w:rFonts w:ascii="Trebuchet MS"/>
          <w:spacing w:val="-10"/>
          <w:sz w:val="13"/>
          <w:lang w:val="uk-UA"/>
        </w:rPr>
        <w:t xml:space="preserve"> </w:t>
      </w:r>
      <w:r w:rsidRPr="003C6DAE">
        <w:rPr>
          <w:rFonts w:ascii="Trebuchet MS"/>
          <w:sz w:val="13"/>
          <w:lang w:val="uk-UA"/>
        </w:rPr>
        <w:t>2022</w:t>
      </w:r>
      <w:r w:rsidRPr="003C6DAE">
        <w:rPr>
          <w:rFonts w:ascii="Trebuchet MS"/>
          <w:spacing w:val="40"/>
          <w:sz w:val="13"/>
          <w:lang w:val="uk-UA"/>
        </w:rPr>
        <w:t xml:space="preserve"> </w:t>
      </w:r>
      <w:r w:rsidRPr="003C6DAE">
        <w:rPr>
          <w:rFonts w:ascii="Trebuchet MS"/>
          <w:sz w:val="13"/>
          <w:lang w:val="uk-UA"/>
        </w:rPr>
        <w:t>Zar</w:t>
      </w:r>
      <w:r w:rsidRPr="003C6DAE">
        <w:rPr>
          <w:rFonts w:ascii="Trebuchet MS"/>
          <w:spacing w:val="-10"/>
          <w:sz w:val="13"/>
          <w:lang w:val="uk-UA"/>
        </w:rPr>
        <w:t xml:space="preserve"> </w:t>
      </w:r>
      <w:r w:rsidRPr="003C6DAE">
        <w:rPr>
          <w:rFonts w:ascii="Trebuchet MS"/>
          <w:sz w:val="13"/>
          <w:lang w:val="uk-UA"/>
        </w:rPr>
        <w:t>2019</w:t>
      </w:r>
    </w:p>
    <w:p w14:paraId="6E004B47" w14:textId="77777777" w:rsidR="00E05B98" w:rsidRPr="003C6DAE" w:rsidRDefault="00B01E0C">
      <w:pPr>
        <w:spacing w:line="150" w:lineRule="exact"/>
        <w:ind w:left="671"/>
        <w:jc w:val="both"/>
        <w:rPr>
          <w:rFonts w:ascii="Trebuchet MS"/>
          <w:sz w:val="13"/>
          <w:lang w:val="uk-UA"/>
        </w:rPr>
      </w:pPr>
      <w:proofErr w:type="spellStart"/>
      <w:r w:rsidRPr="003C6DAE">
        <w:rPr>
          <w:rFonts w:ascii="Trebuchet MS"/>
          <w:sz w:val="13"/>
          <w:lang w:val="uk-UA"/>
        </w:rPr>
        <w:t>Zhang</w:t>
      </w:r>
      <w:proofErr w:type="spellEnd"/>
      <w:r w:rsidRPr="003C6DAE">
        <w:rPr>
          <w:rFonts w:ascii="Trebuchet MS"/>
          <w:spacing w:val="-6"/>
          <w:sz w:val="13"/>
          <w:lang w:val="uk-UA"/>
        </w:rPr>
        <w:t xml:space="preserve"> </w:t>
      </w:r>
      <w:r w:rsidRPr="003C6DAE">
        <w:rPr>
          <w:rFonts w:ascii="Trebuchet MS"/>
          <w:spacing w:val="-4"/>
          <w:sz w:val="13"/>
          <w:lang w:val="uk-UA"/>
        </w:rPr>
        <w:t>2021</w:t>
      </w:r>
    </w:p>
    <w:p w14:paraId="1C54E77E" w14:textId="77777777" w:rsidR="00E05B98" w:rsidRPr="003C6DAE" w:rsidRDefault="00B01E0C">
      <w:pPr>
        <w:spacing w:before="30"/>
        <w:ind w:right="2"/>
        <w:jc w:val="right"/>
        <w:rPr>
          <w:rFonts w:ascii="Trebuchet MS"/>
          <w:sz w:val="13"/>
          <w:lang w:val="uk-UA"/>
        </w:rPr>
      </w:pPr>
      <w:r w:rsidRPr="003C6DAE">
        <w:rPr>
          <w:lang w:val="uk-UA"/>
        </w:rPr>
        <w:br w:type="column"/>
      </w:r>
      <w:r w:rsidRPr="003C6DAE">
        <w:rPr>
          <w:rFonts w:ascii="Trebuchet MS"/>
          <w:spacing w:val="-10"/>
          <w:sz w:val="13"/>
          <w:lang w:val="uk-UA"/>
        </w:rPr>
        <w:t>2</w:t>
      </w:r>
    </w:p>
    <w:p w14:paraId="00419AA1" w14:textId="77777777" w:rsidR="00E05B98" w:rsidRPr="003C6DAE" w:rsidRDefault="00B01E0C">
      <w:pPr>
        <w:spacing w:before="31"/>
        <w:jc w:val="right"/>
        <w:rPr>
          <w:rFonts w:ascii="Trebuchet MS"/>
          <w:sz w:val="13"/>
          <w:lang w:val="uk-UA"/>
        </w:rPr>
      </w:pPr>
      <w:r w:rsidRPr="003C6DAE">
        <w:rPr>
          <w:rFonts w:ascii="Trebuchet MS"/>
          <w:spacing w:val="-5"/>
          <w:sz w:val="13"/>
          <w:lang w:val="uk-UA"/>
        </w:rPr>
        <w:t>50</w:t>
      </w:r>
    </w:p>
    <w:p w14:paraId="6FD5BB66" w14:textId="77777777" w:rsidR="00E05B98" w:rsidRPr="003C6DAE" w:rsidRDefault="00B01E0C">
      <w:pPr>
        <w:spacing w:before="31"/>
        <w:jc w:val="right"/>
        <w:rPr>
          <w:rFonts w:ascii="Trebuchet MS"/>
          <w:sz w:val="13"/>
          <w:lang w:val="uk-UA"/>
        </w:rPr>
      </w:pPr>
      <w:r w:rsidRPr="003C6DAE">
        <w:rPr>
          <w:rFonts w:ascii="Trebuchet MS"/>
          <w:spacing w:val="-5"/>
          <w:sz w:val="13"/>
          <w:lang w:val="uk-UA"/>
        </w:rPr>
        <w:t>62</w:t>
      </w:r>
    </w:p>
    <w:p w14:paraId="758318A3" w14:textId="77777777" w:rsidR="00E05B98" w:rsidRPr="003C6DAE" w:rsidRDefault="00B01E0C">
      <w:pPr>
        <w:spacing w:before="31"/>
        <w:jc w:val="right"/>
        <w:rPr>
          <w:rFonts w:ascii="Trebuchet MS"/>
          <w:sz w:val="13"/>
          <w:lang w:val="uk-UA"/>
        </w:rPr>
      </w:pPr>
      <w:r w:rsidRPr="003C6DAE">
        <w:rPr>
          <w:rFonts w:ascii="Trebuchet MS"/>
          <w:spacing w:val="-5"/>
          <w:sz w:val="13"/>
          <w:lang w:val="uk-UA"/>
        </w:rPr>
        <w:t>223</w:t>
      </w:r>
    </w:p>
    <w:p w14:paraId="415512AF" w14:textId="77777777" w:rsidR="00E05B98" w:rsidRPr="003C6DAE" w:rsidRDefault="00B01E0C">
      <w:pPr>
        <w:spacing w:before="31"/>
        <w:jc w:val="right"/>
        <w:rPr>
          <w:rFonts w:ascii="Trebuchet MS"/>
          <w:sz w:val="13"/>
          <w:lang w:val="uk-UA"/>
        </w:rPr>
      </w:pPr>
      <w:r w:rsidRPr="003C6DAE">
        <w:rPr>
          <w:rFonts w:ascii="Trebuchet MS"/>
          <w:spacing w:val="-5"/>
          <w:sz w:val="13"/>
          <w:lang w:val="uk-UA"/>
        </w:rPr>
        <w:t>175</w:t>
      </w:r>
    </w:p>
    <w:p w14:paraId="77BAABF2" w14:textId="77777777" w:rsidR="00E05B98" w:rsidRPr="003C6DAE" w:rsidRDefault="00B01E0C">
      <w:pPr>
        <w:spacing w:before="31"/>
        <w:jc w:val="right"/>
        <w:rPr>
          <w:rFonts w:ascii="Trebuchet MS"/>
          <w:sz w:val="13"/>
          <w:lang w:val="uk-UA"/>
        </w:rPr>
      </w:pPr>
      <w:r w:rsidRPr="003C6DAE">
        <w:rPr>
          <w:rFonts w:ascii="Trebuchet MS"/>
          <w:spacing w:val="-5"/>
          <w:sz w:val="13"/>
          <w:lang w:val="uk-UA"/>
        </w:rPr>
        <w:t>10</w:t>
      </w:r>
    </w:p>
    <w:p w14:paraId="4F636417" w14:textId="77777777" w:rsidR="00E05B98" w:rsidRPr="003C6DAE" w:rsidRDefault="00B01E0C">
      <w:pPr>
        <w:spacing w:before="31"/>
        <w:jc w:val="right"/>
        <w:rPr>
          <w:rFonts w:ascii="Trebuchet MS"/>
          <w:sz w:val="13"/>
          <w:lang w:val="uk-UA"/>
        </w:rPr>
      </w:pPr>
      <w:r w:rsidRPr="003C6DAE">
        <w:rPr>
          <w:rFonts w:ascii="Trebuchet MS"/>
          <w:spacing w:val="-5"/>
          <w:sz w:val="13"/>
          <w:lang w:val="uk-UA"/>
        </w:rPr>
        <w:t>76</w:t>
      </w:r>
    </w:p>
    <w:p w14:paraId="3303A5E4" w14:textId="77777777" w:rsidR="00E05B98" w:rsidRPr="003C6DAE" w:rsidRDefault="00B01E0C">
      <w:pPr>
        <w:spacing w:before="31"/>
        <w:jc w:val="right"/>
        <w:rPr>
          <w:rFonts w:ascii="Trebuchet MS"/>
          <w:sz w:val="13"/>
          <w:lang w:val="uk-UA"/>
        </w:rPr>
      </w:pPr>
      <w:r w:rsidRPr="003C6DAE">
        <w:rPr>
          <w:rFonts w:ascii="Trebuchet MS"/>
          <w:spacing w:val="-5"/>
          <w:sz w:val="13"/>
          <w:lang w:val="uk-UA"/>
        </w:rPr>
        <w:t>408</w:t>
      </w:r>
    </w:p>
    <w:p w14:paraId="2DFFE602"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5</w:t>
      </w:r>
    </w:p>
    <w:p w14:paraId="4D27ADD2" w14:textId="77777777" w:rsidR="00E05B98" w:rsidRPr="003C6DAE" w:rsidRDefault="00B01E0C">
      <w:pPr>
        <w:spacing w:before="31"/>
        <w:jc w:val="right"/>
        <w:rPr>
          <w:rFonts w:ascii="Trebuchet MS"/>
          <w:sz w:val="13"/>
          <w:lang w:val="uk-UA"/>
        </w:rPr>
      </w:pPr>
      <w:r w:rsidRPr="003C6DAE">
        <w:rPr>
          <w:rFonts w:ascii="Trebuchet MS"/>
          <w:spacing w:val="-5"/>
          <w:sz w:val="13"/>
          <w:lang w:val="uk-UA"/>
        </w:rPr>
        <w:t>96</w:t>
      </w:r>
    </w:p>
    <w:p w14:paraId="06443BFE"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3</w:t>
      </w:r>
    </w:p>
    <w:p w14:paraId="02BE2591" w14:textId="77777777" w:rsidR="00E05B98" w:rsidRPr="003C6DAE" w:rsidRDefault="00B01E0C">
      <w:pPr>
        <w:spacing w:before="31"/>
        <w:jc w:val="right"/>
        <w:rPr>
          <w:rFonts w:ascii="Trebuchet MS"/>
          <w:sz w:val="13"/>
          <w:lang w:val="uk-UA"/>
        </w:rPr>
      </w:pPr>
      <w:r w:rsidRPr="003C6DAE">
        <w:rPr>
          <w:rFonts w:ascii="Trebuchet MS"/>
          <w:spacing w:val="-5"/>
          <w:sz w:val="13"/>
          <w:lang w:val="uk-UA"/>
        </w:rPr>
        <w:t>77</w:t>
      </w:r>
    </w:p>
    <w:p w14:paraId="53B3D82F" w14:textId="77777777" w:rsidR="00E05B98" w:rsidRPr="003C6DAE" w:rsidRDefault="00B01E0C">
      <w:pPr>
        <w:spacing w:before="31"/>
        <w:jc w:val="right"/>
        <w:rPr>
          <w:rFonts w:ascii="Trebuchet MS"/>
          <w:sz w:val="13"/>
          <w:lang w:val="uk-UA"/>
        </w:rPr>
      </w:pPr>
      <w:r w:rsidRPr="003C6DAE">
        <w:rPr>
          <w:rFonts w:ascii="Trebuchet MS"/>
          <w:spacing w:val="-5"/>
          <w:sz w:val="13"/>
          <w:lang w:val="uk-UA"/>
        </w:rPr>
        <w:t>62</w:t>
      </w:r>
    </w:p>
    <w:p w14:paraId="357958DF" w14:textId="77777777" w:rsidR="00E05B98" w:rsidRPr="003C6DAE" w:rsidRDefault="00B01E0C">
      <w:pPr>
        <w:spacing w:before="31"/>
        <w:jc w:val="right"/>
        <w:rPr>
          <w:rFonts w:ascii="Trebuchet MS"/>
          <w:sz w:val="13"/>
          <w:lang w:val="uk-UA"/>
        </w:rPr>
      </w:pPr>
      <w:r w:rsidRPr="003C6DAE">
        <w:rPr>
          <w:rFonts w:ascii="Trebuchet MS"/>
          <w:spacing w:val="-5"/>
          <w:sz w:val="13"/>
          <w:lang w:val="uk-UA"/>
        </w:rPr>
        <w:t>38</w:t>
      </w:r>
    </w:p>
    <w:p w14:paraId="0B532CAB" w14:textId="77777777" w:rsidR="00E05B98" w:rsidRPr="003C6DAE" w:rsidRDefault="00B01E0C">
      <w:pPr>
        <w:spacing w:before="31"/>
        <w:jc w:val="right"/>
        <w:rPr>
          <w:rFonts w:ascii="Trebuchet MS"/>
          <w:sz w:val="13"/>
          <w:lang w:val="uk-UA"/>
        </w:rPr>
      </w:pPr>
      <w:r w:rsidRPr="003C6DAE">
        <w:rPr>
          <w:rFonts w:ascii="Trebuchet MS"/>
          <w:spacing w:val="-5"/>
          <w:sz w:val="13"/>
          <w:lang w:val="uk-UA"/>
        </w:rPr>
        <w:t>59</w:t>
      </w:r>
    </w:p>
    <w:p w14:paraId="10E564CE"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7</w:t>
      </w:r>
    </w:p>
    <w:p w14:paraId="4B58EDA7" w14:textId="77777777" w:rsidR="00E05B98" w:rsidRPr="003C6DAE" w:rsidRDefault="00B01E0C">
      <w:pPr>
        <w:spacing w:before="31"/>
        <w:jc w:val="right"/>
        <w:rPr>
          <w:rFonts w:ascii="Trebuchet MS"/>
          <w:sz w:val="13"/>
          <w:lang w:val="uk-UA"/>
        </w:rPr>
      </w:pPr>
      <w:r w:rsidRPr="003C6DAE">
        <w:rPr>
          <w:rFonts w:ascii="Trebuchet MS"/>
          <w:spacing w:val="-5"/>
          <w:sz w:val="13"/>
          <w:lang w:val="uk-UA"/>
        </w:rPr>
        <w:t>45</w:t>
      </w:r>
    </w:p>
    <w:p w14:paraId="2DA21010" w14:textId="77777777" w:rsidR="00E05B98" w:rsidRPr="003C6DAE" w:rsidRDefault="00B01E0C">
      <w:pPr>
        <w:spacing w:before="31"/>
        <w:jc w:val="right"/>
        <w:rPr>
          <w:rFonts w:ascii="Trebuchet MS"/>
          <w:sz w:val="13"/>
          <w:lang w:val="uk-UA"/>
        </w:rPr>
      </w:pPr>
      <w:r w:rsidRPr="003C6DAE">
        <w:rPr>
          <w:rFonts w:ascii="Trebuchet MS"/>
          <w:spacing w:val="-5"/>
          <w:sz w:val="13"/>
          <w:lang w:val="uk-UA"/>
        </w:rPr>
        <w:t>19</w:t>
      </w:r>
    </w:p>
    <w:p w14:paraId="3D4EFAF9" w14:textId="77777777" w:rsidR="00E05B98" w:rsidRPr="003C6DAE" w:rsidRDefault="00B01E0C">
      <w:pPr>
        <w:spacing w:before="31"/>
        <w:jc w:val="right"/>
        <w:rPr>
          <w:rFonts w:ascii="Trebuchet MS"/>
          <w:sz w:val="13"/>
          <w:lang w:val="uk-UA"/>
        </w:rPr>
      </w:pPr>
      <w:r w:rsidRPr="003C6DAE">
        <w:rPr>
          <w:rFonts w:ascii="Trebuchet MS"/>
          <w:spacing w:val="-5"/>
          <w:sz w:val="13"/>
          <w:lang w:val="uk-UA"/>
        </w:rPr>
        <w:t>23</w:t>
      </w:r>
    </w:p>
    <w:p w14:paraId="19FEEF09" w14:textId="77777777" w:rsidR="00E05B98" w:rsidRPr="003C6DAE" w:rsidRDefault="00B01E0C">
      <w:pPr>
        <w:spacing w:before="31"/>
        <w:jc w:val="right"/>
        <w:rPr>
          <w:rFonts w:ascii="Trebuchet MS"/>
          <w:sz w:val="13"/>
          <w:lang w:val="uk-UA"/>
        </w:rPr>
      </w:pPr>
      <w:r w:rsidRPr="003C6DAE">
        <w:rPr>
          <w:rFonts w:ascii="Trebuchet MS"/>
          <w:spacing w:val="-5"/>
          <w:sz w:val="13"/>
          <w:lang w:val="uk-UA"/>
        </w:rPr>
        <w:t>116</w:t>
      </w:r>
    </w:p>
    <w:p w14:paraId="6424F82C" w14:textId="77777777" w:rsidR="00E05B98" w:rsidRPr="003C6DAE" w:rsidRDefault="00B01E0C">
      <w:pPr>
        <w:spacing w:before="31"/>
        <w:jc w:val="right"/>
        <w:rPr>
          <w:rFonts w:ascii="Trebuchet MS"/>
          <w:sz w:val="13"/>
          <w:lang w:val="uk-UA"/>
        </w:rPr>
      </w:pPr>
      <w:r w:rsidRPr="003C6DAE">
        <w:rPr>
          <w:rFonts w:ascii="Trebuchet MS"/>
          <w:spacing w:val="-5"/>
          <w:sz w:val="13"/>
          <w:lang w:val="uk-UA"/>
        </w:rPr>
        <w:t>149</w:t>
      </w:r>
    </w:p>
    <w:p w14:paraId="795189E5"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4</w:t>
      </w:r>
    </w:p>
    <w:p w14:paraId="48241532" w14:textId="77777777" w:rsidR="00E05B98" w:rsidRPr="003C6DAE" w:rsidRDefault="00B01E0C">
      <w:pPr>
        <w:spacing w:before="31"/>
        <w:jc w:val="right"/>
        <w:rPr>
          <w:rFonts w:ascii="Trebuchet MS"/>
          <w:sz w:val="13"/>
          <w:lang w:val="uk-UA"/>
        </w:rPr>
      </w:pPr>
      <w:r w:rsidRPr="003C6DAE">
        <w:rPr>
          <w:rFonts w:ascii="Trebuchet MS"/>
          <w:spacing w:val="-5"/>
          <w:sz w:val="13"/>
          <w:lang w:val="uk-UA"/>
        </w:rPr>
        <w:t>13</w:t>
      </w:r>
    </w:p>
    <w:p w14:paraId="2B4DF482" w14:textId="77777777" w:rsidR="00E05B98" w:rsidRPr="003C6DAE" w:rsidRDefault="00B01E0C">
      <w:pPr>
        <w:spacing w:before="31"/>
        <w:jc w:val="right"/>
        <w:rPr>
          <w:rFonts w:ascii="Trebuchet MS"/>
          <w:sz w:val="13"/>
          <w:lang w:val="uk-UA"/>
        </w:rPr>
      </w:pPr>
      <w:r w:rsidRPr="003C6DAE">
        <w:rPr>
          <w:rFonts w:ascii="Trebuchet MS"/>
          <w:spacing w:val="-5"/>
          <w:sz w:val="13"/>
          <w:lang w:val="uk-UA"/>
        </w:rPr>
        <w:t>270</w:t>
      </w:r>
    </w:p>
    <w:p w14:paraId="68A9F4CB" w14:textId="77777777" w:rsidR="00E05B98" w:rsidRPr="003C6DAE" w:rsidRDefault="00B01E0C">
      <w:pPr>
        <w:spacing w:before="31"/>
        <w:jc w:val="right"/>
        <w:rPr>
          <w:rFonts w:ascii="Trebuchet MS"/>
          <w:sz w:val="13"/>
          <w:lang w:val="uk-UA"/>
        </w:rPr>
      </w:pPr>
      <w:r w:rsidRPr="003C6DAE">
        <w:rPr>
          <w:rFonts w:ascii="Trebuchet MS"/>
          <w:spacing w:val="-5"/>
          <w:sz w:val="13"/>
          <w:lang w:val="uk-UA"/>
        </w:rPr>
        <w:t>103</w:t>
      </w:r>
    </w:p>
    <w:p w14:paraId="5B20FA38"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1</w:t>
      </w:r>
    </w:p>
    <w:p w14:paraId="1B2C1475" w14:textId="77777777" w:rsidR="00E05B98" w:rsidRPr="003C6DAE" w:rsidRDefault="00B01E0C">
      <w:pPr>
        <w:spacing w:before="31"/>
        <w:jc w:val="right"/>
        <w:rPr>
          <w:rFonts w:ascii="Trebuchet MS"/>
          <w:sz w:val="13"/>
          <w:lang w:val="uk-UA"/>
        </w:rPr>
      </w:pPr>
      <w:r w:rsidRPr="003C6DAE">
        <w:rPr>
          <w:rFonts w:ascii="Trebuchet MS"/>
          <w:spacing w:val="-5"/>
          <w:sz w:val="13"/>
          <w:lang w:val="uk-UA"/>
        </w:rPr>
        <w:t>66</w:t>
      </w:r>
    </w:p>
    <w:p w14:paraId="05198561" w14:textId="77777777" w:rsidR="00E05B98" w:rsidRPr="003C6DAE" w:rsidRDefault="00B01E0C">
      <w:pPr>
        <w:spacing w:before="30"/>
        <w:jc w:val="right"/>
        <w:rPr>
          <w:rFonts w:ascii="Trebuchet MS"/>
          <w:sz w:val="13"/>
          <w:lang w:val="uk-UA"/>
        </w:rPr>
      </w:pPr>
      <w:r w:rsidRPr="003C6DAE">
        <w:rPr>
          <w:rFonts w:ascii="Trebuchet MS"/>
          <w:spacing w:val="-5"/>
          <w:sz w:val="13"/>
          <w:lang w:val="uk-UA"/>
        </w:rPr>
        <w:t>102</w:t>
      </w:r>
    </w:p>
    <w:p w14:paraId="3F1E888B" w14:textId="77777777" w:rsidR="00E05B98" w:rsidRPr="003C6DAE" w:rsidRDefault="00B01E0C">
      <w:pPr>
        <w:spacing w:before="31"/>
        <w:jc w:val="right"/>
        <w:rPr>
          <w:rFonts w:ascii="Trebuchet MS"/>
          <w:sz w:val="13"/>
          <w:lang w:val="uk-UA"/>
        </w:rPr>
      </w:pPr>
      <w:r w:rsidRPr="003C6DAE">
        <w:rPr>
          <w:rFonts w:ascii="Trebuchet MS"/>
          <w:spacing w:val="-5"/>
          <w:sz w:val="13"/>
          <w:lang w:val="uk-UA"/>
        </w:rPr>
        <w:t>322</w:t>
      </w:r>
    </w:p>
    <w:p w14:paraId="11692014"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0</w:t>
      </w:r>
    </w:p>
    <w:p w14:paraId="0900621B" w14:textId="77777777" w:rsidR="00E05B98" w:rsidRPr="003C6DAE" w:rsidRDefault="00B01E0C">
      <w:pPr>
        <w:spacing w:before="31"/>
        <w:jc w:val="right"/>
        <w:rPr>
          <w:rFonts w:ascii="Trebuchet MS"/>
          <w:sz w:val="13"/>
          <w:lang w:val="uk-UA"/>
        </w:rPr>
      </w:pPr>
      <w:r w:rsidRPr="003C6DAE">
        <w:rPr>
          <w:rFonts w:ascii="Trebuchet MS"/>
          <w:spacing w:val="-5"/>
          <w:sz w:val="13"/>
          <w:lang w:val="uk-UA"/>
        </w:rPr>
        <w:t>24</w:t>
      </w:r>
    </w:p>
    <w:p w14:paraId="6EC05A2E" w14:textId="77777777" w:rsidR="00E05B98" w:rsidRPr="003C6DAE" w:rsidRDefault="00B01E0C">
      <w:pPr>
        <w:spacing w:before="29"/>
        <w:ind w:right="2"/>
        <w:jc w:val="right"/>
        <w:rPr>
          <w:rFonts w:ascii="Trebuchet MS"/>
          <w:sz w:val="13"/>
          <w:lang w:val="uk-UA"/>
        </w:rPr>
      </w:pPr>
      <w:r w:rsidRPr="003C6DAE">
        <w:rPr>
          <w:lang w:val="uk-UA"/>
        </w:rPr>
        <w:br w:type="column"/>
      </w:r>
      <w:r w:rsidRPr="003C6DAE">
        <w:rPr>
          <w:rFonts w:ascii="Trebuchet MS"/>
          <w:spacing w:val="-10"/>
          <w:sz w:val="13"/>
          <w:lang w:val="uk-UA"/>
        </w:rPr>
        <w:t>0</w:t>
      </w:r>
    </w:p>
    <w:p w14:paraId="645095A3"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8</w:t>
      </w:r>
    </w:p>
    <w:p w14:paraId="02898308"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1</w:t>
      </w:r>
    </w:p>
    <w:p w14:paraId="70748433" w14:textId="77777777" w:rsidR="00E05B98" w:rsidRPr="003C6DAE" w:rsidRDefault="00B01E0C">
      <w:pPr>
        <w:spacing w:before="31"/>
        <w:jc w:val="right"/>
        <w:rPr>
          <w:rFonts w:ascii="Trebuchet MS"/>
          <w:sz w:val="13"/>
          <w:lang w:val="uk-UA"/>
        </w:rPr>
      </w:pPr>
      <w:r w:rsidRPr="003C6DAE">
        <w:rPr>
          <w:rFonts w:ascii="Trebuchet MS"/>
          <w:spacing w:val="-5"/>
          <w:sz w:val="13"/>
          <w:lang w:val="uk-UA"/>
        </w:rPr>
        <w:t>37</w:t>
      </w:r>
    </w:p>
    <w:p w14:paraId="41007E82"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1</w:t>
      </w:r>
    </w:p>
    <w:p w14:paraId="4B0213DF" w14:textId="77777777" w:rsidR="00E05B98" w:rsidRPr="003C6DAE" w:rsidRDefault="00B01E0C">
      <w:pPr>
        <w:spacing w:before="30"/>
        <w:ind w:right="2"/>
        <w:jc w:val="right"/>
        <w:rPr>
          <w:rFonts w:ascii="Trebuchet MS"/>
          <w:sz w:val="13"/>
          <w:lang w:val="uk-UA"/>
        </w:rPr>
      </w:pPr>
      <w:r w:rsidRPr="003C6DAE">
        <w:rPr>
          <w:rFonts w:ascii="Trebuchet MS"/>
          <w:spacing w:val="-10"/>
          <w:sz w:val="13"/>
          <w:lang w:val="uk-UA"/>
        </w:rPr>
        <w:t>8</w:t>
      </w:r>
    </w:p>
    <w:p w14:paraId="29C13944" w14:textId="77777777" w:rsidR="00E05B98" w:rsidRPr="003C6DAE" w:rsidRDefault="00B01E0C">
      <w:pPr>
        <w:spacing w:before="31"/>
        <w:jc w:val="right"/>
        <w:rPr>
          <w:rFonts w:ascii="Trebuchet MS"/>
          <w:sz w:val="13"/>
          <w:lang w:val="uk-UA"/>
        </w:rPr>
      </w:pPr>
      <w:r w:rsidRPr="003C6DAE">
        <w:rPr>
          <w:rFonts w:ascii="Trebuchet MS"/>
          <w:spacing w:val="-5"/>
          <w:sz w:val="13"/>
          <w:lang w:val="uk-UA"/>
        </w:rPr>
        <w:t>39</w:t>
      </w:r>
    </w:p>
    <w:p w14:paraId="74BEA4B7" w14:textId="77777777" w:rsidR="00E05B98" w:rsidRPr="003C6DAE" w:rsidRDefault="00B01E0C">
      <w:pPr>
        <w:spacing w:before="31"/>
        <w:jc w:val="right"/>
        <w:rPr>
          <w:rFonts w:ascii="Trebuchet MS"/>
          <w:sz w:val="13"/>
          <w:lang w:val="uk-UA"/>
        </w:rPr>
      </w:pPr>
      <w:r w:rsidRPr="003C6DAE">
        <w:rPr>
          <w:rFonts w:ascii="Trebuchet MS"/>
          <w:spacing w:val="-5"/>
          <w:sz w:val="13"/>
          <w:lang w:val="uk-UA"/>
        </w:rPr>
        <w:t>43</w:t>
      </w:r>
    </w:p>
    <w:p w14:paraId="50C1F777"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3</w:t>
      </w:r>
    </w:p>
    <w:p w14:paraId="3C3F7B27" w14:textId="77777777" w:rsidR="00E05B98" w:rsidRPr="003C6DAE" w:rsidRDefault="00B01E0C">
      <w:pPr>
        <w:spacing w:before="31"/>
        <w:jc w:val="right"/>
        <w:rPr>
          <w:rFonts w:ascii="Trebuchet MS"/>
          <w:sz w:val="13"/>
          <w:lang w:val="uk-UA"/>
        </w:rPr>
      </w:pPr>
      <w:r w:rsidRPr="003C6DAE">
        <w:rPr>
          <w:rFonts w:ascii="Trebuchet MS"/>
          <w:spacing w:val="-5"/>
          <w:sz w:val="13"/>
          <w:lang w:val="uk-UA"/>
        </w:rPr>
        <w:t>21</w:t>
      </w:r>
    </w:p>
    <w:p w14:paraId="6A6468B9"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0</w:t>
      </w:r>
    </w:p>
    <w:p w14:paraId="29126E14" w14:textId="77777777" w:rsidR="00E05B98" w:rsidRPr="003C6DAE" w:rsidRDefault="00B01E0C">
      <w:pPr>
        <w:spacing w:before="31"/>
        <w:jc w:val="right"/>
        <w:rPr>
          <w:rFonts w:ascii="Trebuchet MS"/>
          <w:sz w:val="13"/>
          <w:lang w:val="uk-UA"/>
        </w:rPr>
      </w:pPr>
      <w:r w:rsidRPr="003C6DAE">
        <w:rPr>
          <w:rFonts w:ascii="Trebuchet MS"/>
          <w:spacing w:val="-5"/>
          <w:sz w:val="13"/>
          <w:lang w:val="uk-UA"/>
        </w:rPr>
        <w:t>13</w:t>
      </w:r>
    </w:p>
    <w:p w14:paraId="4315CC2F" w14:textId="77777777" w:rsidR="00E05B98" w:rsidRPr="003C6DAE" w:rsidRDefault="00B01E0C">
      <w:pPr>
        <w:spacing w:before="31"/>
        <w:jc w:val="right"/>
        <w:rPr>
          <w:rFonts w:ascii="Trebuchet MS"/>
          <w:sz w:val="13"/>
          <w:lang w:val="uk-UA"/>
        </w:rPr>
      </w:pPr>
      <w:r w:rsidRPr="003C6DAE">
        <w:rPr>
          <w:rFonts w:ascii="Trebuchet MS"/>
          <w:spacing w:val="-5"/>
          <w:sz w:val="13"/>
          <w:lang w:val="uk-UA"/>
        </w:rPr>
        <w:t>18</w:t>
      </w:r>
    </w:p>
    <w:p w14:paraId="3646F586" w14:textId="77777777" w:rsidR="00E05B98" w:rsidRPr="003C6DAE" w:rsidRDefault="00B01E0C">
      <w:pPr>
        <w:spacing w:before="31"/>
        <w:jc w:val="right"/>
        <w:rPr>
          <w:rFonts w:ascii="Trebuchet MS"/>
          <w:sz w:val="13"/>
          <w:lang w:val="uk-UA"/>
        </w:rPr>
      </w:pPr>
      <w:r w:rsidRPr="003C6DAE">
        <w:rPr>
          <w:rFonts w:ascii="Trebuchet MS"/>
          <w:spacing w:val="-5"/>
          <w:sz w:val="13"/>
          <w:lang w:val="uk-UA"/>
        </w:rPr>
        <w:t>38</w:t>
      </w:r>
    </w:p>
    <w:p w14:paraId="5B45F656" w14:textId="77777777" w:rsidR="00E05B98" w:rsidRPr="003C6DAE" w:rsidRDefault="00B01E0C">
      <w:pPr>
        <w:spacing w:before="31"/>
        <w:jc w:val="right"/>
        <w:rPr>
          <w:rFonts w:ascii="Trebuchet MS"/>
          <w:sz w:val="13"/>
          <w:lang w:val="uk-UA"/>
        </w:rPr>
      </w:pPr>
      <w:r w:rsidRPr="003C6DAE">
        <w:rPr>
          <w:rFonts w:ascii="Trebuchet MS"/>
          <w:spacing w:val="-5"/>
          <w:sz w:val="13"/>
          <w:lang w:val="uk-UA"/>
        </w:rPr>
        <w:t>13</w:t>
      </w:r>
    </w:p>
    <w:p w14:paraId="26082739" w14:textId="77777777" w:rsidR="00E05B98" w:rsidRPr="003C6DAE" w:rsidRDefault="00B01E0C">
      <w:pPr>
        <w:spacing w:before="31"/>
        <w:jc w:val="right"/>
        <w:rPr>
          <w:rFonts w:ascii="Trebuchet MS"/>
          <w:sz w:val="13"/>
          <w:lang w:val="uk-UA"/>
        </w:rPr>
      </w:pPr>
      <w:r w:rsidRPr="003C6DAE">
        <w:rPr>
          <w:rFonts w:ascii="Trebuchet MS"/>
          <w:spacing w:val="-5"/>
          <w:sz w:val="13"/>
          <w:lang w:val="uk-UA"/>
        </w:rPr>
        <w:t>17</w:t>
      </w:r>
    </w:p>
    <w:p w14:paraId="21D5715A"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5</w:t>
      </w:r>
    </w:p>
    <w:p w14:paraId="146A53A7"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1</w:t>
      </w:r>
    </w:p>
    <w:p w14:paraId="4E17EBDC" w14:textId="77777777" w:rsidR="00E05B98" w:rsidRPr="003C6DAE" w:rsidRDefault="00B01E0C">
      <w:pPr>
        <w:spacing w:before="31"/>
        <w:jc w:val="right"/>
        <w:rPr>
          <w:rFonts w:ascii="Trebuchet MS"/>
          <w:sz w:val="13"/>
          <w:lang w:val="uk-UA"/>
        </w:rPr>
      </w:pPr>
      <w:r w:rsidRPr="003C6DAE">
        <w:rPr>
          <w:rFonts w:ascii="Trebuchet MS"/>
          <w:spacing w:val="-5"/>
          <w:sz w:val="13"/>
          <w:lang w:val="uk-UA"/>
        </w:rPr>
        <w:t>10</w:t>
      </w:r>
    </w:p>
    <w:p w14:paraId="06C027A0"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3</w:t>
      </w:r>
    </w:p>
    <w:p w14:paraId="14BCCA4B" w14:textId="77777777" w:rsidR="00E05B98" w:rsidRPr="003C6DAE" w:rsidRDefault="00B01E0C">
      <w:pPr>
        <w:spacing w:before="31"/>
        <w:jc w:val="right"/>
        <w:rPr>
          <w:rFonts w:ascii="Trebuchet MS"/>
          <w:sz w:val="13"/>
          <w:lang w:val="uk-UA"/>
        </w:rPr>
      </w:pPr>
      <w:r w:rsidRPr="003C6DAE">
        <w:rPr>
          <w:rFonts w:ascii="Trebuchet MS"/>
          <w:spacing w:val="-5"/>
          <w:sz w:val="13"/>
          <w:lang w:val="uk-UA"/>
        </w:rPr>
        <w:t>52</w:t>
      </w:r>
    </w:p>
    <w:p w14:paraId="29A95652"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1</w:t>
      </w:r>
    </w:p>
    <w:p w14:paraId="60614EAB"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4</w:t>
      </w:r>
    </w:p>
    <w:p w14:paraId="1013EFE2" w14:textId="77777777" w:rsidR="00E05B98" w:rsidRPr="003C6DAE" w:rsidRDefault="00B01E0C">
      <w:pPr>
        <w:spacing w:before="31"/>
        <w:jc w:val="right"/>
        <w:rPr>
          <w:rFonts w:ascii="Trebuchet MS"/>
          <w:sz w:val="13"/>
          <w:lang w:val="uk-UA"/>
        </w:rPr>
      </w:pPr>
      <w:r w:rsidRPr="003C6DAE">
        <w:rPr>
          <w:rFonts w:ascii="Trebuchet MS"/>
          <w:spacing w:val="-5"/>
          <w:sz w:val="13"/>
          <w:lang w:val="uk-UA"/>
        </w:rPr>
        <w:t>20</w:t>
      </w:r>
    </w:p>
    <w:p w14:paraId="67E66AF2"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7</w:t>
      </w:r>
    </w:p>
    <w:p w14:paraId="0DA1A873"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0</w:t>
      </w:r>
    </w:p>
    <w:p w14:paraId="0DC7F1C9" w14:textId="77777777" w:rsidR="00E05B98" w:rsidRPr="003C6DAE" w:rsidRDefault="00B01E0C">
      <w:pPr>
        <w:spacing w:before="31"/>
        <w:jc w:val="right"/>
        <w:rPr>
          <w:rFonts w:ascii="Trebuchet MS"/>
          <w:sz w:val="13"/>
          <w:lang w:val="uk-UA"/>
        </w:rPr>
      </w:pPr>
      <w:r w:rsidRPr="003C6DAE">
        <w:rPr>
          <w:rFonts w:ascii="Trebuchet MS"/>
          <w:spacing w:val="-5"/>
          <w:sz w:val="13"/>
          <w:lang w:val="uk-UA"/>
        </w:rPr>
        <w:t>18</w:t>
      </w:r>
    </w:p>
    <w:p w14:paraId="4A9373BA" w14:textId="77777777" w:rsidR="00E05B98" w:rsidRPr="003C6DAE" w:rsidRDefault="00B01E0C">
      <w:pPr>
        <w:spacing w:before="31"/>
        <w:jc w:val="right"/>
        <w:rPr>
          <w:rFonts w:ascii="Trebuchet MS"/>
          <w:sz w:val="13"/>
          <w:lang w:val="uk-UA"/>
        </w:rPr>
      </w:pPr>
      <w:r w:rsidRPr="003C6DAE">
        <w:rPr>
          <w:rFonts w:ascii="Trebuchet MS"/>
          <w:spacing w:val="-5"/>
          <w:sz w:val="13"/>
          <w:lang w:val="uk-UA"/>
        </w:rPr>
        <w:t>112</w:t>
      </w:r>
    </w:p>
    <w:p w14:paraId="15CB79E5" w14:textId="77777777" w:rsidR="00E05B98" w:rsidRPr="003C6DAE" w:rsidRDefault="00B01E0C">
      <w:pPr>
        <w:spacing w:before="31"/>
        <w:jc w:val="right"/>
        <w:rPr>
          <w:rFonts w:ascii="Trebuchet MS"/>
          <w:sz w:val="13"/>
          <w:lang w:val="uk-UA"/>
        </w:rPr>
      </w:pPr>
      <w:r w:rsidRPr="003C6DAE">
        <w:rPr>
          <w:rFonts w:ascii="Trebuchet MS"/>
          <w:spacing w:val="-5"/>
          <w:sz w:val="13"/>
          <w:lang w:val="uk-UA"/>
        </w:rPr>
        <w:t>102</w:t>
      </w:r>
    </w:p>
    <w:p w14:paraId="3A0FF912"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0</w:t>
      </w:r>
    </w:p>
    <w:p w14:paraId="11D2E7D5" w14:textId="77777777" w:rsidR="00E05B98" w:rsidRPr="003C6DAE" w:rsidRDefault="00B01E0C">
      <w:pPr>
        <w:spacing w:before="31"/>
        <w:ind w:right="2"/>
        <w:jc w:val="right"/>
        <w:rPr>
          <w:rFonts w:ascii="Trebuchet MS"/>
          <w:sz w:val="13"/>
          <w:lang w:val="uk-UA"/>
        </w:rPr>
      </w:pPr>
      <w:r w:rsidRPr="003C6DAE">
        <w:rPr>
          <w:rFonts w:ascii="Trebuchet MS"/>
          <w:spacing w:val="-10"/>
          <w:sz w:val="13"/>
          <w:lang w:val="uk-UA"/>
        </w:rPr>
        <w:t>6</w:t>
      </w:r>
    </w:p>
    <w:p w14:paraId="63148402" w14:textId="77777777" w:rsidR="00E05B98" w:rsidRPr="003C6DAE" w:rsidRDefault="00B01E0C">
      <w:pPr>
        <w:tabs>
          <w:tab w:val="left" w:pos="524"/>
        </w:tabs>
        <w:spacing w:before="27"/>
        <w:ind w:left="150"/>
        <w:rPr>
          <w:rFonts w:ascii="Trebuchet MS"/>
          <w:sz w:val="13"/>
          <w:lang w:val="uk-UA"/>
        </w:rPr>
      </w:pPr>
      <w:r w:rsidRPr="003C6DAE">
        <w:rPr>
          <w:lang w:val="uk-UA"/>
        </w:rPr>
        <w:br w:type="column"/>
      </w:r>
      <w:r w:rsidRPr="003C6DAE">
        <w:rPr>
          <w:rFonts w:ascii="Trebuchet MS"/>
          <w:spacing w:val="-10"/>
          <w:sz w:val="13"/>
          <w:lang w:val="uk-UA"/>
        </w:rPr>
        <w:t>1</w:t>
      </w:r>
      <w:r w:rsidRPr="003C6DAE">
        <w:rPr>
          <w:rFonts w:ascii="Trebuchet MS"/>
          <w:sz w:val="13"/>
          <w:lang w:val="uk-UA"/>
        </w:rPr>
        <w:tab/>
      </w:r>
      <w:r w:rsidRPr="003C6DAE">
        <w:rPr>
          <w:rFonts w:ascii="Trebuchet MS"/>
          <w:spacing w:val="-10"/>
          <w:sz w:val="13"/>
          <w:lang w:val="uk-UA"/>
        </w:rPr>
        <w:t>2</w:t>
      </w:r>
    </w:p>
    <w:p w14:paraId="25193252" w14:textId="77777777" w:rsidR="00E05B98" w:rsidRPr="003C6DAE" w:rsidRDefault="00B01E0C">
      <w:pPr>
        <w:spacing w:before="31"/>
        <w:ind w:left="150"/>
        <w:rPr>
          <w:rFonts w:ascii="Trebuchet MS"/>
          <w:sz w:val="13"/>
          <w:lang w:val="uk-UA"/>
        </w:rPr>
      </w:pPr>
      <w:r w:rsidRPr="003C6DAE">
        <w:rPr>
          <w:rFonts w:ascii="Trebuchet MS"/>
          <w:sz w:val="13"/>
          <w:lang w:val="uk-UA"/>
        </w:rPr>
        <w:t>6</w:t>
      </w:r>
      <w:r w:rsidRPr="003C6DAE">
        <w:rPr>
          <w:rFonts w:ascii="Trebuchet MS"/>
          <w:spacing w:val="43"/>
          <w:sz w:val="13"/>
          <w:lang w:val="uk-UA"/>
        </w:rPr>
        <w:t xml:space="preserve">  </w:t>
      </w:r>
      <w:r w:rsidRPr="003C6DAE">
        <w:rPr>
          <w:rFonts w:ascii="Trebuchet MS"/>
          <w:spacing w:val="-5"/>
          <w:sz w:val="13"/>
          <w:lang w:val="uk-UA"/>
        </w:rPr>
        <w:t>173</w:t>
      </w:r>
    </w:p>
    <w:p w14:paraId="52AC355A" w14:textId="77777777" w:rsidR="00E05B98" w:rsidRPr="003C6DAE" w:rsidRDefault="00B01E0C">
      <w:pPr>
        <w:spacing w:before="31"/>
        <w:ind w:left="81"/>
        <w:rPr>
          <w:rFonts w:ascii="Trebuchet MS"/>
          <w:sz w:val="13"/>
          <w:lang w:val="uk-UA"/>
        </w:rPr>
      </w:pPr>
      <w:r w:rsidRPr="003C6DAE">
        <w:rPr>
          <w:rFonts w:ascii="Trebuchet MS"/>
          <w:sz w:val="13"/>
          <w:lang w:val="uk-UA"/>
        </w:rPr>
        <w:t>13</w:t>
      </w:r>
      <w:r w:rsidRPr="003C6DAE">
        <w:rPr>
          <w:rFonts w:ascii="Trebuchet MS"/>
          <w:spacing w:val="43"/>
          <w:sz w:val="13"/>
          <w:lang w:val="uk-UA"/>
        </w:rPr>
        <w:t xml:space="preserve">  </w:t>
      </w:r>
      <w:r w:rsidRPr="003C6DAE">
        <w:rPr>
          <w:rFonts w:ascii="Trebuchet MS"/>
          <w:spacing w:val="-5"/>
          <w:sz w:val="13"/>
          <w:lang w:val="uk-UA"/>
        </w:rPr>
        <w:t>131</w:t>
      </w:r>
    </w:p>
    <w:p w14:paraId="33879510" w14:textId="77777777" w:rsidR="00E05B98" w:rsidRPr="003C6DAE" w:rsidRDefault="00B01E0C">
      <w:pPr>
        <w:spacing w:before="31"/>
        <w:ind w:left="81"/>
        <w:rPr>
          <w:rFonts w:ascii="Trebuchet MS"/>
          <w:sz w:val="13"/>
          <w:lang w:val="uk-UA"/>
        </w:rPr>
      </w:pPr>
      <w:r w:rsidRPr="003C6DAE">
        <w:rPr>
          <w:rFonts w:ascii="Trebuchet MS"/>
          <w:sz w:val="13"/>
          <w:lang w:val="uk-UA"/>
        </w:rPr>
        <w:t>24</w:t>
      </w:r>
      <w:r w:rsidRPr="003C6DAE">
        <w:rPr>
          <w:rFonts w:ascii="Trebuchet MS"/>
          <w:spacing w:val="43"/>
          <w:sz w:val="13"/>
          <w:lang w:val="uk-UA"/>
        </w:rPr>
        <w:t xml:space="preserve">  </w:t>
      </w:r>
      <w:r w:rsidRPr="003C6DAE">
        <w:rPr>
          <w:rFonts w:ascii="Trebuchet MS"/>
          <w:spacing w:val="-5"/>
          <w:sz w:val="13"/>
          <w:lang w:val="uk-UA"/>
        </w:rPr>
        <w:t>612</w:t>
      </w:r>
    </w:p>
    <w:p w14:paraId="736E58B5" w14:textId="77777777" w:rsidR="00E05B98" w:rsidRPr="003C6DAE" w:rsidRDefault="00B01E0C">
      <w:pPr>
        <w:tabs>
          <w:tab w:val="left" w:pos="455"/>
        </w:tabs>
        <w:spacing w:before="31"/>
        <w:ind w:left="81"/>
        <w:rPr>
          <w:rFonts w:ascii="Trebuchet MS"/>
          <w:sz w:val="13"/>
          <w:lang w:val="uk-UA"/>
        </w:rPr>
      </w:pPr>
      <w:r w:rsidRPr="003C6DAE">
        <w:rPr>
          <w:rFonts w:ascii="Trebuchet MS"/>
          <w:spacing w:val="-5"/>
          <w:sz w:val="13"/>
          <w:lang w:val="uk-UA"/>
        </w:rPr>
        <w:t>25</w:t>
      </w:r>
      <w:r w:rsidRPr="003C6DAE">
        <w:rPr>
          <w:rFonts w:ascii="Trebuchet MS"/>
          <w:sz w:val="13"/>
          <w:lang w:val="uk-UA"/>
        </w:rPr>
        <w:tab/>
      </w:r>
      <w:r w:rsidRPr="003C6DAE">
        <w:rPr>
          <w:rFonts w:ascii="Trebuchet MS"/>
          <w:spacing w:val="-5"/>
          <w:sz w:val="13"/>
          <w:lang w:val="uk-UA"/>
        </w:rPr>
        <w:t>76</w:t>
      </w:r>
    </w:p>
    <w:p w14:paraId="6B4E060C" w14:textId="77777777" w:rsidR="00E05B98" w:rsidRPr="003C6DAE" w:rsidRDefault="00B01E0C">
      <w:pPr>
        <w:spacing w:before="31"/>
        <w:ind w:left="150"/>
        <w:rPr>
          <w:rFonts w:ascii="Trebuchet MS"/>
          <w:sz w:val="13"/>
          <w:lang w:val="uk-UA"/>
        </w:rPr>
      </w:pPr>
      <w:r w:rsidRPr="003C6DAE">
        <w:rPr>
          <w:rFonts w:ascii="Trebuchet MS"/>
          <w:sz w:val="13"/>
          <w:lang w:val="uk-UA"/>
        </w:rPr>
        <w:t>6</w:t>
      </w:r>
      <w:r w:rsidRPr="003C6DAE">
        <w:rPr>
          <w:rFonts w:ascii="Trebuchet MS"/>
          <w:spacing w:val="43"/>
          <w:sz w:val="13"/>
          <w:lang w:val="uk-UA"/>
        </w:rPr>
        <w:t xml:space="preserve">  </w:t>
      </w:r>
      <w:r w:rsidRPr="003C6DAE">
        <w:rPr>
          <w:rFonts w:ascii="Trebuchet MS"/>
          <w:spacing w:val="-5"/>
          <w:sz w:val="13"/>
          <w:lang w:val="uk-UA"/>
        </w:rPr>
        <w:t>141</w:t>
      </w:r>
    </w:p>
    <w:p w14:paraId="2B4AE296" w14:textId="77777777" w:rsidR="00E05B98" w:rsidRPr="003C6DAE" w:rsidRDefault="00B01E0C">
      <w:pPr>
        <w:spacing w:before="31"/>
        <w:ind w:left="81"/>
        <w:rPr>
          <w:rFonts w:ascii="Trebuchet MS"/>
          <w:sz w:val="13"/>
          <w:lang w:val="uk-UA"/>
        </w:rPr>
      </w:pPr>
      <w:r w:rsidRPr="003C6DAE">
        <w:rPr>
          <w:rFonts w:ascii="Trebuchet MS"/>
          <w:sz w:val="13"/>
          <w:lang w:val="uk-UA"/>
        </w:rPr>
        <w:t>16</w:t>
      </w:r>
      <w:r w:rsidRPr="003C6DAE">
        <w:rPr>
          <w:rFonts w:ascii="Trebuchet MS"/>
          <w:spacing w:val="43"/>
          <w:sz w:val="13"/>
          <w:lang w:val="uk-UA"/>
        </w:rPr>
        <w:t xml:space="preserve">  </w:t>
      </w:r>
      <w:r w:rsidRPr="003C6DAE">
        <w:rPr>
          <w:rFonts w:ascii="Trebuchet MS"/>
          <w:spacing w:val="-5"/>
          <w:sz w:val="13"/>
          <w:lang w:val="uk-UA"/>
        </w:rPr>
        <w:t>608</w:t>
      </w:r>
    </w:p>
    <w:p w14:paraId="72E36171" w14:textId="77777777" w:rsidR="00E05B98" w:rsidRPr="003C6DAE" w:rsidRDefault="00B01E0C">
      <w:pPr>
        <w:spacing w:before="31"/>
        <w:ind w:left="81"/>
        <w:rPr>
          <w:rFonts w:ascii="Trebuchet MS"/>
          <w:sz w:val="13"/>
          <w:lang w:val="uk-UA"/>
        </w:rPr>
      </w:pPr>
      <w:r w:rsidRPr="003C6DAE">
        <w:rPr>
          <w:rFonts w:ascii="Trebuchet MS"/>
          <w:sz w:val="13"/>
          <w:lang w:val="uk-UA"/>
        </w:rPr>
        <w:t>54</w:t>
      </w:r>
      <w:r w:rsidRPr="003C6DAE">
        <w:rPr>
          <w:rFonts w:ascii="Trebuchet MS"/>
          <w:spacing w:val="43"/>
          <w:sz w:val="13"/>
          <w:lang w:val="uk-UA"/>
        </w:rPr>
        <w:t xml:space="preserve">  </w:t>
      </w:r>
      <w:r w:rsidRPr="003C6DAE">
        <w:rPr>
          <w:rFonts w:ascii="Trebuchet MS"/>
          <w:spacing w:val="-5"/>
          <w:sz w:val="13"/>
          <w:lang w:val="uk-UA"/>
        </w:rPr>
        <w:t>934</w:t>
      </w:r>
    </w:p>
    <w:p w14:paraId="181E1ACC" w14:textId="77777777" w:rsidR="00E05B98" w:rsidRPr="003C6DAE" w:rsidRDefault="00B01E0C">
      <w:pPr>
        <w:tabs>
          <w:tab w:val="left" w:pos="455"/>
        </w:tabs>
        <w:spacing w:before="31"/>
        <w:ind w:left="150"/>
        <w:rPr>
          <w:rFonts w:ascii="Trebuchet MS"/>
          <w:sz w:val="13"/>
          <w:lang w:val="uk-UA"/>
        </w:rPr>
      </w:pPr>
      <w:r w:rsidRPr="003C6DAE">
        <w:rPr>
          <w:rFonts w:ascii="Trebuchet MS"/>
          <w:spacing w:val="-10"/>
          <w:sz w:val="13"/>
          <w:lang w:val="uk-UA"/>
        </w:rPr>
        <w:t>1</w:t>
      </w:r>
      <w:r w:rsidRPr="003C6DAE">
        <w:rPr>
          <w:rFonts w:ascii="Trebuchet MS"/>
          <w:sz w:val="13"/>
          <w:lang w:val="uk-UA"/>
        </w:rPr>
        <w:tab/>
      </w:r>
      <w:r w:rsidRPr="003C6DAE">
        <w:rPr>
          <w:rFonts w:ascii="Trebuchet MS"/>
          <w:spacing w:val="-5"/>
          <w:sz w:val="13"/>
          <w:lang w:val="uk-UA"/>
        </w:rPr>
        <w:t>12</w:t>
      </w:r>
    </w:p>
    <w:p w14:paraId="55F6C991" w14:textId="77777777" w:rsidR="00E05B98" w:rsidRPr="003C6DAE" w:rsidRDefault="00B01E0C">
      <w:pPr>
        <w:spacing w:before="31"/>
        <w:ind w:left="150"/>
        <w:rPr>
          <w:rFonts w:ascii="Trebuchet MS"/>
          <w:sz w:val="13"/>
          <w:lang w:val="uk-UA"/>
        </w:rPr>
      </w:pPr>
      <w:r w:rsidRPr="003C6DAE">
        <w:rPr>
          <w:rFonts w:ascii="Trebuchet MS"/>
          <w:sz w:val="13"/>
          <w:lang w:val="uk-UA"/>
        </w:rPr>
        <w:t>4</w:t>
      </w:r>
      <w:r w:rsidRPr="003C6DAE">
        <w:rPr>
          <w:rFonts w:ascii="Trebuchet MS"/>
          <w:spacing w:val="43"/>
          <w:sz w:val="13"/>
          <w:lang w:val="uk-UA"/>
        </w:rPr>
        <w:t xml:space="preserve">  </w:t>
      </w:r>
      <w:r w:rsidRPr="003C6DAE">
        <w:rPr>
          <w:rFonts w:ascii="Trebuchet MS"/>
          <w:spacing w:val="-5"/>
          <w:sz w:val="13"/>
          <w:lang w:val="uk-UA"/>
        </w:rPr>
        <w:t>247</w:t>
      </w:r>
    </w:p>
    <w:p w14:paraId="779FA81F" w14:textId="77777777" w:rsidR="00E05B98" w:rsidRPr="003C6DAE" w:rsidRDefault="00B01E0C">
      <w:pPr>
        <w:tabs>
          <w:tab w:val="left" w:pos="524"/>
        </w:tabs>
        <w:spacing w:before="31"/>
        <w:ind w:left="150"/>
        <w:rPr>
          <w:rFonts w:ascii="Trebuchet MS"/>
          <w:sz w:val="13"/>
          <w:lang w:val="uk-UA"/>
        </w:rPr>
      </w:pPr>
      <w:r w:rsidRPr="003C6DAE">
        <w:rPr>
          <w:rFonts w:ascii="Trebuchet MS"/>
          <w:spacing w:val="-10"/>
          <w:sz w:val="13"/>
          <w:lang w:val="uk-UA"/>
        </w:rPr>
        <w:t>0</w:t>
      </w:r>
      <w:r w:rsidRPr="003C6DAE">
        <w:rPr>
          <w:rFonts w:ascii="Trebuchet MS"/>
          <w:sz w:val="13"/>
          <w:lang w:val="uk-UA"/>
        </w:rPr>
        <w:tab/>
      </w:r>
      <w:r w:rsidRPr="003C6DAE">
        <w:rPr>
          <w:rFonts w:ascii="Trebuchet MS"/>
          <w:spacing w:val="-10"/>
          <w:sz w:val="13"/>
          <w:lang w:val="uk-UA"/>
        </w:rPr>
        <w:t>4</w:t>
      </w:r>
    </w:p>
    <w:p w14:paraId="4301B568" w14:textId="77777777" w:rsidR="00E05B98" w:rsidRPr="003C6DAE" w:rsidRDefault="00B01E0C">
      <w:pPr>
        <w:spacing w:before="31"/>
        <w:ind w:left="150"/>
        <w:rPr>
          <w:rFonts w:ascii="Trebuchet MS"/>
          <w:sz w:val="13"/>
          <w:lang w:val="uk-UA"/>
        </w:rPr>
      </w:pPr>
      <w:r w:rsidRPr="003C6DAE">
        <w:rPr>
          <w:rFonts w:ascii="Trebuchet MS"/>
          <w:sz w:val="13"/>
          <w:lang w:val="uk-UA"/>
        </w:rPr>
        <w:t>2</w:t>
      </w:r>
      <w:r w:rsidRPr="003C6DAE">
        <w:rPr>
          <w:rFonts w:ascii="Trebuchet MS"/>
          <w:spacing w:val="43"/>
          <w:sz w:val="13"/>
          <w:lang w:val="uk-UA"/>
        </w:rPr>
        <w:t xml:space="preserve">  </w:t>
      </w:r>
      <w:r w:rsidRPr="003C6DAE">
        <w:rPr>
          <w:rFonts w:ascii="Trebuchet MS"/>
          <w:spacing w:val="-5"/>
          <w:sz w:val="13"/>
          <w:lang w:val="uk-UA"/>
        </w:rPr>
        <w:t>498</w:t>
      </w:r>
    </w:p>
    <w:p w14:paraId="33993245" w14:textId="77777777" w:rsidR="00E05B98" w:rsidRPr="003C6DAE" w:rsidRDefault="00B01E0C">
      <w:pPr>
        <w:spacing w:before="31"/>
        <w:ind w:left="81"/>
        <w:rPr>
          <w:rFonts w:ascii="Trebuchet MS"/>
          <w:sz w:val="13"/>
          <w:lang w:val="uk-UA"/>
        </w:rPr>
      </w:pPr>
      <w:r w:rsidRPr="003C6DAE">
        <w:rPr>
          <w:rFonts w:ascii="Trebuchet MS"/>
          <w:sz w:val="13"/>
          <w:lang w:val="uk-UA"/>
        </w:rPr>
        <w:t>10</w:t>
      </w:r>
      <w:r w:rsidRPr="003C6DAE">
        <w:rPr>
          <w:rFonts w:ascii="Trebuchet MS"/>
          <w:spacing w:val="43"/>
          <w:sz w:val="13"/>
          <w:lang w:val="uk-UA"/>
        </w:rPr>
        <w:t xml:space="preserve">  </w:t>
      </w:r>
      <w:r w:rsidRPr="003C6DAE">
        <w:rPr>
          <w:rFonts w:ascii="Trebuchet MS"/>
          <w:spacing w:val="-5"/>
          <w:sz w:val="13"/>
          <w:lang w:val="uk-UA"/>
        </w:rPr>
        <w:t>149</w:t>
      </w:r>
    </w:p>
    <w:p w14:paraId="172A5297" w14:textId="77777777" w:rsidR="00E05B98" w:rsidRPr="003C6DAE" w:rsidRDefault="00B01E0C">
      <w:pPr>
        <w:tabs>
          <w:tab w:val="left" w:pos="455"/>
        </w:tabs>
        <w:spacing w:before="31"/>
        <w:ind w:left="150"/>
        <w:rPr>
          <w:rFonts w:ascii="Trebuchet MS"/>
          <w:sz w:val="13"/>
          <w:lang w:val="uk-UA"/>
        </w:rPr>
      </w:pPr>
      <w:r w:rsidRPr="003C6DAE">
        <w:rPr>
          <w:rFonts w:ascii="Trebuchet MS"/>
          <w:spacing w:val="-10"/>
          <w:sz w:val="13"/>
          <w:lang w:val="uk-UA"/>
        </w:rPr>
        <w:t>6</w:t>
      </w:r>
      <w:r w:rsidRPr="003C6DAE">
        <w:rPr>
          <w:rFonts w:ascii="Trebuchet MS"/>
          <w:sz w:val="13"/>
          <w:lang w:val="uk-UA"/>
        </w:rPr>
        <w:tab/>
      </w:r>
      <w:r w:rsidRPr="003C6DAE">
        <w:rPr>
          <w:rFonts w:ascii="Trebuchet MS"/>
          <w:spacing w:val="-5"/>
          <w:sz w:val="13"/>
          <w:lang w:val="uk-UA"/>
        </w:rPr>
        <w:t>86</w:t>
      </w:r>
    </w:p>
    <w:p w14:paraId="4DAF364F" w14:textId="77777777" w:rsidR="00E05B98" w:rsidRPr="003C6DAE" w:rsidRDefault="00B01E0C">
      <w:pPr>
        <w:spacing w:before="31"/>
        <w:ind w:left="81"/>
        <w:rPr>
          <w:rFonts w:ascii="Trebuchet MS"/>
          <w:sz w:val="13"/>
          <w:lang w:val="uk-UA"/>
        </w:rPr>
      </w:pPr>
      <w:r w:rsidRPr="003C6DAE">
        <w:rPr>
          <w:rFonts w:ascii="Trebuchet MS"/>
          <w:sz w:val="13"/>
          <w:lang w:val="uk-UA"/>
        </w:rPr>
        <w:t>11</w:t>
      </w:r>
      <w:r w:rsidRPr="003C6DAE">
        <w:rPr>
          <w:rFonts w:ascii="Trebuchet MS"/>
          <w:spacing w:val="43"/>
          <w:sz w:val="13"/>
          <w:lang w:val="uk-UA"/>
        </w:rPr>
        <w:t xml:space="preserve">  </w:t>
      </w:r>
      <w:r w:rsidRPr="003C6DAE">
        <w:rPr>
          <w:rFonts w:ascii="Trebuchet MS"/>
          <w:spacing w:val="-5"/>
          <w:sz w:val="13"/>
          <w:lang w:val="uk-UA"/>
        </w:rPr>
        <w:t>706</w:t>
      </w:r>
    </w:p>
    <w:p w14:paraId="55C34B2A" w14:textId="77777777" w:rsidR="00E05B98" w:rsidRPr="003C6DAE" w:rsidRDefault="00B01E0C">
      <w:pPr>
        <w:spacing w:before="31"/>
        <w:ind w:left="150"/>
        <w:rPr>
          <w:rFonts w:ascii="Trebuchet MS"/>
          <w:sz w:val="13"/>
          <w:lang w:val="uk-UA"/>
        </w:rPr>
      </w:pPr>
      <w:r w:rsidRPr="003C6DAE">
        <w:rPr>
          <w:rFonts w:ascii="Trebuchet MS"/>
          <w:sz w:val="13"/>
          <w:lang w:val="uk-UA"/>
        </w:rPr>
        <w:t>6</w:t>
      </w:r>
      <w:r w:rsidRPr="003C6DAE">
        <w:rPr>
          <w:rFonts w:ascii="Trebuchet MS"/>
          <w:spacing w:val="43"/>
          <w:sz w:val="13"/>
          <w:lang w:val="uk-UA"/>
        </w:rPr>
        <w:t xml:space="preserve">  </w:t>
      </w:r>
      <w:r w:rsidRPr="003C6DAE">
        <w:rPr>
          <w:rFonts w:ascii="Trebuchet MS"/>
          <w:spacing w:val="-5"/>
          <w:sz w:val="13"/>
          <w:lang w:val="uk-UA"/>
        </w:rPr>
        <w:t>289</w:t>
      </w:r>
    </w:p>
    <w:p w14:paraId="40277BA0" w14:textId="77777777" w:rsidR="00E05B98" w:rsidRPr="003C6DAE" w:rsidRDefault="00B01E0C">
      <w:pPr>
        <w:spacing w:before="31"/>
        <w:ind w:left="150"/>
        <w:rPr>
          <w:rFonts w:ascii="Trebuchet MS"/>
          <w:sz w:val="13"/>
          <w:lang w:val="uk-UA"/>
        </w:rPr>
      </w:pPr>
      <w:r w:rsidRPr="003C6DAE">
        <w:rPr>
          <w:rFonts w:ascii="Trebuchet MS"/>
          <w:sz w:val="13"/>
          <w:lang w:val="uk-UA"/>
        </w:rPr>
        <w:t>2</w:t>
      </w:r>
      <w:r w:rsidRPr="003C6DAE">
        <w:rPr>
          <w:rFonts w:ascii="Trebuchet MS"/>
          <w:spacing w:val="43"/>
          <w:sz w:val="13"/>
          <w:lang w:val="uk-UA"/>
        </w:rPr>
        <w:t xml:space="preserve">  </w:t>
      </w:r>
      <w:r w:rsidRPr="003C6DAE">
        <w:rPr>
          <w:rFonts w:ascii="Trebuchet MS"/>
          <w:spacing w:val="-5"/>
          <w:sz w:val="13"/>
          <w:lang w:val="uk-UA"/>
        </w:rPr>
        <w:t>144</w:t>
      </w:r>
    </w:p>
    <w:p w14:paraId="45BE7C25" w14:textId="77777777" w:rsidR="00E05B98" w:rsidRPr="003C6DAE" w:rsidRDefault="00B01E0C">
      <w:pPr>
        <w:spacing w:before="31"/>
        <w:ind w:left="150"/>
        <w:rPr>
          <w:rFonts w:ascii="Trebuchet MS"/>
          <w:sz w:val="13"/>
          <w:lang w:val="uk-UA"/>
        </w:rPr>
      </w:pPr>
      <w:r w:rsidRPr="003C6DAE">
        <w:rPr>
          <w:rFonts w:ascii="Trebuchet MS"/>
          <w:sz w:val="13"/>
          <w:lang w:val="uk-UA"/>
        </w:rPr>
        <w:t>2</w:t>
      </w:r>
      <w:r w:rsidRPr="003C6DAE">
        <w:rPr>
          <w:rFonts w:ascii="Trebuchet MS"/>
          <w:spacing w:val="43"/>
          <w:sz w:val="13"/>
          <w:lang w:val="uk-UA"/>
        </w:rPr>
        <w:t xml:space="preserve">  </w:t>
      </w:r>
      <w:r w:rsidRPr="003C6DAE">
        <w:rPr>
          <w:rFonts w:ascii="Trebuchet MS"/>
          <w:spacing w:val="-5"/>
          <w:sz w:val="13"/>
          <w:lang w:val="uk-UA"/>
        </w:rPr>
        <w:t>260</w:t>
      </w:r>
    </w:p>
    <w:p w14:paraId="37AD7B2C" w14:textId="77777777" w:rsidR="00E05B98" w:rsidRPr="003C6DAE" w:rsidRDefault="00B01E0C">
      <w:pPr>
        <w:spacing w:before="31"/>
        <w:ind w:left="150"/>
        <w:rPr>
          <w:rFonts w:ascii="Trebuchet MS"/>
          <w:sz w:val="13"/>
          <w:lang w:val="uk-UA"/>
        </w:rPr>
      </w:pPr>
      <w:r w:rsidRPr="003C6DAE">
        <w:rPr>
          <w:rFonts w:ascii="Trebuchet MS"/>
          <w:sz w:val="13"/>
          <w:lang w:val="uk-UA"/>
        </w:rPr>
        <w:t>0</w:t>
      </w:r>
      <w:r w:rsidRPr="003C6DAE">
        <w:rPr>
          <w:rFonts w:ascii="Trebuchet MS"/>
          <w:spacing w:val="43"/>
          <w:sz w:val="13"/>
          <w:lang w:val="uk-UA"/>
        </w:rPr>
        <w:t xml:space="preserve">  </w:t>
      </w:r>
      <w:r w:rsidRPr="003C6DAE">
        <w:rPr>
          <w:rFonts w:ascii="Trebuchet MS"/>
          <w:spacing w:val="-5"/>
          <w:sz w:val="13"/>
          <w:lang w:val="uk-UA"/>
        </w:rPr>
        <w:t>147</w:t>
      </w:r>
    </w:p>
    <w:p w14:paraId="155B17C3" w14:textId="77777777" w:rsidR="00E05B98" w:rsidRPr="003C6DAE" w:rsidRDefault="00B01E0C">
      <w:pPr>
        <w:spacing w:before="31"/>
        <w:ind w:left="150"/>
        <w:rPr>
          <w:rFonts w:ascii="Trebuchet MS"/>
          <w:sz w:val="13"/>
          <w:lang w:val="uk-UA"/>
        </w:rPr>
      </w:pPr>
      <w:r w:rsidRPr="003C6DAE">
        <w:rPr>
          <w:rFonts w:ascii="Trebuchet MS"/>
          <w:sz w:val="13"/>
          <w:lang w:val="uk-UA"/>
        </w:rPr>
        <w:t>7</w:t>
      </w:r>
      <w:r w:rsidRPr="003C6DAE">
        <w:rPr>
          <w:rFonts w:ascii="Trebuchet MS"/>
          <w:spacing w:val="43"/>
          <w:sz w:val="13"/>
          <w:lang w:val="uk-UA"/>
        </w:rPr>
        <w:t xml:space="preserve">  </w:t>
      </w:r>
      <w:r w:rsidRPr="003C6DAE">
        <w:rPr>
          <w:rFonts w:ascii="Trebuchet MS"/>
          <w:spacing w:val="-5"/>
          <w:sz w:val="13"/>
          <w:lang w:val="uk-UA"/>
        </w:rPr>
        <w:t>140</w:t>
      </w:r>
    </w:p>
    <w:p w14:paraId="62AB3FF9" w14:textId="77777777" w:rsidR="00E05B98" w:rsidRPr="003C6DAE" w:rsidRDefault="00B01E0C">
      <w:pPr>
        <w:spacing w:before="31"/>
        <w:ind w:left="150"/>
        <w:rPr>
          <w:rFonts w:ascii="Trebuchet MS"/>
          <w:sz w:val="13"/>
          <w:lang w:val="uk-UA"/>
        </w:rPr>
      </w:pPr>
      <w:r w:rsidRPr="003C6DAE">
        <w:rPr>
          <w:rFonts w:ascii="Trebuchet MS"/>
          <w:sz w:val="13"/>
          <w:lang w:val="uk-UA"/>
        </w:rPr>
        <w:t>8</w:t>
      </w:r>
      <w:r w:rsidRPr="003C6DAE">
        <w:rPr>
          <w:rFonts w:ascii="Trebuchet MS"/>
          <w:spacing w:val="57"/>
          <w:sz w:val="13"/>
          <w:lang w:val="uk-UA"/>
        </w:rPr>
        <w:t xml:space="preserve"> </w:t>
      </w:r>
      <w:r w:rsidRPr="003C6DAE">
        <w:rPr>
          <w:rFonts w:ascii="Trebuchet MS"/>
          <w:spacing w:val="-4"/>
          <w:sz w:val="13"/>
          <w:lang w:val="uk-UA"/>
        </w:rPr>
        <w:t>1210</w:t>
      </w:r>
    </w:p>
    <w:p w14:paraId="5EC20CC5" w14:textId="77777777" w:rsidR="00E05B98" w:rsidRPr="003C6DAE" w:rsidRDefault="00B01E0C">
      <w:pPr>
        <w:tabs>
          <w:tab w:val="left" w:pos="455"/>
        </w:tabs>
        <w:spacing w:before="31"/>
        <w:ind w:left="150"/>
        <w:rPr>
          <w:rFonts w:ascii="Trebuchet MS"/>
          <w:sz w:val="13"/>
          <w:lang w:val="uk-UA"/>
        </w:rPr>
      </w:pPr>
      <w:r w:rsidRPr="003C6DAE">
        <w:rPr>
          <w:rFonts w:ascii="Trebuchet MS"/>
          <w:spacing w:val="-10"/>
          <w:sz w:val="13"/>
          <w:lang w:val="uk-UA"/>
        </w:rPr>
        <w:t>1</w:t>
      </w:r>
      <w:r w:rsidRPr="003C6DAE">
        <w:rPr>
          <w:rFonts w:ascii="Trebuchet MS"/>
          <w:sz w:val="13"/>
          <w:lang w:val="uk-UA"/>
        </w:rPr>
        <w:tab/>
      </w:r>
      <w:r w:rsidRPr="003C6DAE">
        <w:rPr>
          <w:rFonts w:ascii="Trebuchet MS"/>
          <w:spacing w:val="-5"/>
          <w:sz w:val="13"/>
          <w:lang w:val="uk-UA"/>
        </w:rPr>
        <w:t>33</w:t>
      </w:r>
    </w:p>
    <w:p w14:paraId="5570CF2F" w14:textId="77777777" w:rsidR="00E05B98" w:rsidRPr="003C6DAE" w:rsidRDefault="00B01E0C">
      <w:pPr>
        <w:tabs>
          <w:tab w:val="left" w:pos="455"/>
        </w:tabs>
        <w:spacing w:before="31"/>
        <w:ind w:left="150"/>
        <w:rPr>
          <w:rFonts w:ascii="Trebuchet MS"/>
          <w:sz w:val="13"/>
          <w:lang w:val="uk-UA"/>
        </w:rPr>
      </w:pPr>
      <w:r w:rsidRPr="003C6DAE">
        <w:rPr>
          <w:rFonts w:ascii="Trebuchet MS"/>
          <w:spacing w:val="-10"/>
          <w:sz w:val="13"/>
          <w:lang w:val="uk-UA"/>
        </w:rPr>
        <w:t>4</w:t>
      </w:r>
      <w:r w:rsidRPr="003C6DAE">
        <w:rPr>
          <w:rFonts w:ascii="Trebuchet MS"/>
          <w:sz w:val="13"/>
          <w:lang w:val="uk-UA"/>
        </w:rPr>
        <w:tab/>
      </w:r>
      <w:r w:rsidRPr="003C6DAE">
        <w:rPr>
          <w:rFonts w:ascii="Trebuchet MS"/>
          <w:spacing w:val="-5"/>
          <w:sz w:val="13"/>
          <w:lang w:val="uk-UA"/>
        </w:rPr>
        <w:t>61</w:t>
      </w:r>
    </w:p>
    <w:p w14:paraId="63C9344F" w14:textId="77777777" w:rsidR="00E05B98" w:rsidRPr="003C6DAE" w:rsidRDefault="00B01E0C">
      <w:pPr>
        <w:spacing w:before="31"/>
        <w:ind w:left="81"/>
        <w:rPr>
          <w:rFonts w:ascii="Trebuchet MS"/>
          <w:sz w:val="13"/>
          <w:lang w:val="uk-UA"/>
        </w:rPr>
      </w:pPr>
      <w:r w:rsidRPr="003C6DAE">
        <w:rPr>
          <w:rFonts w:ascii="Trebuchet MS"/>
          <w:sz w:val="13"/>
          <w:lang w:val="uk-UA"/>
        </w:rPr>
        <w:t>14</w:t>
      </w:r>
      <w:r w:rsidRPr="003C6DAE">
        <w:rPr>
          <w:rFonts w:ascii="Trebuchet MS"/>
          <w:spacing w:val="43"/>
          <w:sz w:val="13"/>
          <w:lang w:val="uk-UA"/>
        </w:rPr>
        <w:t xml:space="preserve">  </w:t>
      </w:r>
      <w:r w:rsidRPr="003C6DAE">
        <w:rPr>
          <w:rFonts w:ascii="Trebuchet MS"/>
          <w:spacing w:val="-5"/>
          <w:sz w:val="13"/>
          <w:lang w:val="uk-UA"/>
        </w:rPr>
        <w:t>426</w:t>
      </w:r>
    </w:p>
    <w:p w14:paraId="38E8ACAA" w14:textId="77777777" w:rsidR="00E05B98" w:rsidRPr="003C6DAE" w:rsidRDefault="00B01E0C">
      <w:pPr>
        <w:tabs>
          <w:tab w:val="left" w:pos="455"/>
        </w:tabs>
        <w:spacing w:before="31"/>
        <w:ind w:left="150"/>
        <w:rPr>
          <w:rFonts w:ascii="Trebuchet MS"/>
          <w:sz w:val="13"/>
          <w:lang w:val="uk-UA"/>
        </w:rPr>
      </w:pPr>
      <w:r w:rsidRPr="003C6DAE">
        <w:rPr>
          <w:rFonts w:ascii="Trebuchet MS"/>
          <w:spacing w:val="-10"/>
          <w:sz w:val="13"/>
          <w:lang w:val="uk-UA"/>
        </w:rPr>
        <w:t>5</w:t>
      </w:r>
      <w:r w:rsidRPr="003C6DAE">
        <w:rPr>
          <w:rFonts w:ascii="Trebuchet MS"/>
          <w:sz w:val="13"/>
          <w:lang w:val="uk-UA"/>
        </w:rPr>
        <w:tab/>
      </w:r>
      <w:r w:rsidRPr="003C6DAE">
        <w:rPr>
          <w:rFonts w:ascii="Trebuchet MS"/>
          <w:spacing w:val="-5"/>
          <w:sz w:val="13"/>
          <w:lang w:val="uk-UA"/>
        </w:rPr>
        <w:t>62</w:t>
      </w:r>
    </w:p>
    <w:p w14:paraId="5134DA29" w14:textId="77777777" w:rsidR="00E05B98" w:rsidRPr="003C6DAE" w:rsidRDefault="00B01E0C">
      <w:pPr>
        <w:tabs>
          <w:tab w:val="left" w:pos="524"/>
        </w:tabs>
        <w:spacing w:before="31"/>
        <w:ind w:left="150"/>
        <w:rPr>
          <w:rFonts w:ascii="Trebuchet MS"/>
          <w:sz w:val="13"/>
          <w:lang w:val="uk-UA"/>
        </w:rPr>
      </w:pPr>
      <w:r w:rsidRPr="003C6DAE">
        <w:rPr>
          <w:rFonts w:ascii="Trebuchet MS"/>
          <w:spacing w:val="-10"/>
          <w:sz w:val="13"/>
          <w:lang w:val="uk-UA"/>
        </w:rPr>
        <w:t>0</w:t>
      </w:r>
      <w:r w:rsidRPr="003C6DAE">
        <w:rPr>
          <w:rFonts w:ascii="Trebuchet MS"/>
          <w:sz w:val="13"/>
          <w:lang w:val="uk-UA"/>
        </w:rPr>
        <w:tab/>
      </w:r>
      <w:r w:rsidRPr="003C6DAE">
        <w:rPr>
          <w:rFonts w:ascii="Trebuchet MS"/>
          <w:spacing w:val="-10"/>
          <w:sz w:val="13"/>
          <w:lang w:val="uk-UA"/>
        </w:rPr>
        <w:t>5</w:t>
      </w:r>
    </w:p>
    <w:p w14:paraId="73A24004" w14:textId="77777777" w:rsidR="00E05B98" w:rsidRPr="003C6DAE" w:rsidRDefault="00B01E0C">
      <w:pPr>
        <w:spacing w:before="31"/>
        <w:ind w:left="150"/>
        <w:rPr>
          <w:rFonts w:ascii="Trebuchet MS"/>
          <w:sz w:val="13"/>
          <w:lang w:val="uk-UA"/>
        </w:rPr>
      </w:pPr>
      <w:r w:rsidRPr="003C6DAE">
        <w:rPr>
          <w:rFonts w:ascii="Trebuchet MS"/>
          <w:sz w:val="13"/>
          <w:lang w:val="uk-UA"/>
        </w:rPr>
        <w:t>5</w:t>
      </w:r>
      <w:r w:rsidRPr="003C6DAE">
        <w:rPr>
          <w:rFonts w:ascii="Trebuchet MS"/>
          <w:spacing w:val="43"/>
          <w:sz w:val="13"/>
          <w:lang w:val="uk-UA"/>
        </w:rPr>
        <w:t xml:space="preserve">  </w:t>
      </w:r>
      <w:r w:rsidRPr="003C6DAE">
        <w:rPr>
          <w:rFonts w:ascii="Trebuchet MS"/>
          <w:spacing w:val="-5"/>
          <w:sz w:val="13"/>
          <w:lang w:val="uk-UA"/>
        </w:rPr>
        <w:t>160</w:t>
      </w:r>
    </w:p>
    <w:p w14:paraId="327ED396" w14:textId="77777777" w:rsidR="00E05B98" w:rsidRPr="003C6DAE" w:rsidRDefault="00B01E0C">
      <w:pPr>
        <w:spacing w:before="30"/>
        <w:ind w:left="81"/>
        <w:rPr>
          <w:rFonts w:ascii="Trebuchet MS"/>
          <w:sz w:val="13"/>
          <w:lang w:val="uk-UA"/>
        </w:rPr>
      </w:pPr>
      <w:r w:rsidRPr="003C6DAE">
        <w:rPr>
          <w:rFonts w:ascii="Trebuchet MS"/>
          <w:sz w:val="13"/>
          <w:lang w:val="uk-UA"/>
        </w:rPr>
        <w:t>15</w:t>
      </w:r>
      <w:r w:rsidRPr="003C6DAE">
        <w:rPr>
          <w:rFonts w:ascii="Trebuchet MS"/>
          <w:spacing w:val="43"/>
          <w:sz w:val="13"/>
          <w:lang w:val="uk-UA"/>
        </w:rPr>
        <w:t xml:space="preserve">  </w:t>
      </w:r>
      <w:r w:rsidRPr="003C6DAE">
        <w:rPr>
          <w:rFonts w:ascii="Trebuchet MS"/>
          <w:spacing w:val="-5"/>
          <w:sz w:val="13"/>
          <w:lang w:val="uk-UA"/>
        </w:rPr>
        <w:t>269</w:t>
      </w:r>
    </w:p>
    <w:p w14:paraId="4687FE54" w14:textId="77777777" w:rsidR="00E05B98" w:rsidRPr="003C6DAE" w:rsidRDefault="00B01E0C">
      <w:pPr>
        <w:spacing w:before="31"/>
        <w:ind w:left="81"/>
        <w:rPr>
          <w:rFonts w:ascii="Trebuchet MS"/>
          <w:sz w:val="13"/>
          <w:lang w:val="uk-UA"/>
        </w:rPr>
      </w:pPr>
      <w:r w:rsidRPr="003C6DAE">
        <w:rPr>
          <w:rFonts w:ascii="Trebuchet MS"/>
          <w:sz w:val="13"/>
          <w:lang w:val="uk-UA"/>
        </w:rPr>
        <w:t>27</w:t>
      </w:r>
      <w:r w:rsidRPr="003C6DAE">
        <w:rPr>
          <w:rFonts w:ascii="Trebuchet MS"/>
          <w:spacing w:val="43"/>
          <w:sz w:val="13"/>
          <w:lang w:val="uk-UA"/>
        </w:rPr>
        <w:t xml:space="preserve">  </w:t>
      </w:r>
      <w:r w:rsidRPr="003C6DAE">
        <w:rPr>
          <w:rFonts w:ascii="Trebuchet MS"/>
          <w:spacing w:val="-5"/>
          <w:sz w:val="13"/>
          <w:lang w:val="uk-UA"/>
        </w:rPr>
        <w:t>627</w:t>
      </w:r>
    </w:p>
    <w:p w14:paraId="6A34B860" w14:textId="77777777" w:rsidR="00E05B98" w:rsidRPr="003C6DAE" w:rsidRDefault="00B01E0C">
      <w:pPr>
        <w:tabs>
          <w:tab w:val="left" w:pos="524"/>
        </w:tabs>
        <w:spacing w:before="31"/>
        <w:ind w:left="150"/>
        <w:rPr>
          <w:rFonts w:ascii="Trebuchet MS"/>
          <w:sz w:val="13"/>
          <w:lang w:val="uk-UA"/>
        </w:rPr>
      </w:pPr>
      <w:r w:rsidRPr="003C6DAE">
        <w:rPr>
          <w:rFonts w:ascii="Trebuchet MS"/>
          <w:spacing w:val="-10"/>
          <w:sz w:val="13"/>
          <w:lang w:val="uk-UA"/>
        </w:rPr>
        <w:t>0</w:t>
      </w:r>
      <w:r w:rsidRPr="003C6DAE">
        <w:rPr>
          <w:rFonts w:ascii="Trebuchet MS"/>
          <w:sz w:val="13"/>
          <w:lang w:val="uk-UA"/>
        </w:rPr>
        <w:tab/>
      </w:r>
      <w:r w:rsidRPr="003C6DAE">
        <w:rPr>
          <w:rFonts w:ascii="Trebuchet MS"/>
          <w:spacing w:val="-10"/>
          <w:sz w:val="13"/>
          <w:lang w:val="uk-UA"/>
        </w:rPr>
        <w:t>5</w:t>
      </w:r>
    </w:p>
    <w:p w14:paraId="03922F3E" w14:textId="77777777" w:rsidR="00E05B98" w:rsidRPr="003C6DAE" w:rsidRDefault="00B01E0C">
      <w:pPr>
        <w:tabs>
          <w:tab w:val="left" w:pos="455"/>
        </w:tabs>
        <w:spacing w:before="31"/>
        <w:ind w:left="150"/>
        <w:rPr>
          <w:rFonts w:ascii="Trebuchet MS"/>
          <w:sz w:val="13"/>
          <w:lang w:val="uk-UA"/>
        </w:rPr>
      </w:pPr>
      <w:r w:rsidRPr="003C6DAE">
        <w:rPr>
          <w:rFonts w:ascii="Trebuchet MS"/>
          <w:spacing w:val="-10"/>
          <w:sz w:val="13"/>
          <w:lang w:val="uk-UA"/>
        </w:rPr>
        <w:t>1</w:t>
      </w:r>
      <w:r w:rsidRPr="003C6DAE">
        <w:rPr>
          <w:rFonts w:ascii="Trebuchet MS"/>
          <w:sz w:val="13"/>
          <w:lang w:val="uk-UA"/>
        </w:rPr>
        <w:tab/>
      </w:r>
      <w:r w:rsidRPr="003C6DAE">
        <w:rPr>
          <w:rFonts w:ascii="Trebuchet MS"/>
          <w:spacing w:val="-5"/>
          <w:sz w:val="13"/>
          <w:lang w:val="uk-UA"/>
        </w:rPr>
        <w:t>68</w:t>
      </w:r>
    </w:p>
    <w:p w14:paraId="1A2B1460" w14:textId="77777777" w:rsidR="00E05B98" w:rsidRPr="003C6DAE" w:rsidRDefault="00B01E0C">
      <w:pPr>
        <w:spacing w:before="24" w:line="290" w:lineRule="auto"/>
        <w:ind w:left="465"/>
        <w:jc w:val="both"/>
        <w:rPr>
          <w:rFonts w:ascii="Trebuchet MS"/>
          <w:sz w:val="13"/>
          <w:lang w:val="uk-UA"/>
        </w:rPr>
      </w:pPr>
      <w:r w:rsidRPr="003C6DAE">
        <w:rPr>
          <w:lang w:val="uk-UA"/>
        </w:rPr>
        <w:br w:type="column"/>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90"/>
          <w:sz w:val="13"/>
          <w:lang w:val="uk-UA"/>
        </w:rPr>
        <w:t>Xpert</w:t>
      </w:r>
      <w:r w:rsidRPr="003C6DAE">
        <w:rPr>
          <w:rFonts w:ascii="Trebuchet MS"/>
          <w:spacing w:val="-4"/>
          <w:w w:val="90"/>
          <w:sz w:val="13"/>
          <w:lang w:val="uk-UA"/>
        </w:rPr>
        <w:t xml:space="preserve"> </w:t>
      </w:r>
      <w:r w:rsidRPr="003C6DAE">
        <w:rPr>
          <w:rFonts w:ascii="Trebuchet MS"/>
          <w:spacing w:val="-2"/>
          <w:w w:val="90"/>
          <w:sz w:val="13"/>
          <w:lang w:val="uk-UA"/>
        </w:rPr>
        <w:t>Ultra</w:t>
      </w:r>
      <w:r w:rsidRPr="003C6DAE">
        <w:rPr>
          <w:rFonts w:ascii="Trebuchet MS"/>
          <w:spacing w:val="40"/>
          <w:sz w:val="13"/>
          <w:lang w:val="uk-UA"/>
        </w:rPr>
        <w:t xml:space="preserve"> </w:t>
      </w:r>
      <w:r w:rsidRPr="003C6DAE">
        <w:rPr>
          <w:rFonts w:ascii="Trebuchet MS"/>
          <w:spacing w:val="2"/>
          <w:w w:val="85"/>
          <w:sz w:val="13"/>
          <w:lang w:val="uk-UA"/>
        </w:rPr>
        <w:t>Xpert</w:t>
      </w:r>
      <w:r w:rsidRPr="003C6DAE">
        <w:rPr>
          <w:rFonts w:ascii="Trebuchet MS"/>
          <w:spacing w:val="7"/>
          <w:sz w:val="13"/>
          <w:lang w:val="uk-UA"/>
        </w:rPr>
        <w:t xml:space="preserve"> </w:t>
      </w:r>
      <w:r w:rsidRPr="003C6DAE">
        <w:rPr>
          <w:rFonts w:ascii="Trebuchet MS"/>
          <w:spacing w:val="-5"/>
          <w:w w:val="90"/>
          <w:sz w:val="13"/>
          <w:lang w:val="uk-UA"/>
        </w:rPr>
        <w:t>Ultra</w:t>
      </w:r>
    </w:p>
    <w:p w14:paraId="01B958DB" w14:textId="77777777" w:rsidR="00E05B98" w:rsidRPr="003C6DAE" w:rsidRDefault="00B01E0C">
      <w:pPr>
        <w:spacing w:before="23"/>
        <w:ind w:left="317"/>
        <w:rPr>
          <w:rFonts w:ascii="Trebuchet MS"/>
          <w:sz w:val="13"/>
          <w:lang w:val="uk-UA"/>
        </w:rPr>
      </w:pPr>
      <w:r w:rsidRPr="003C6DAE">
        <w:rPr>
          <w:lang w:val="uk-UA"/>
        </w:rPr>
        <w:br w:type="column"/>
      </w:r>
      <w:r w:rsidRPr="003C6DAE">
        <w:rPr>
          <w:rFonts w:ascii="Trebuchet MS"/>
          <w:w w:val="85"/>
          <w:sz w:val="13"/>
          <w:lang w:val="uk-UA"/>
        </w:rPr>
        <w:t>0.67</w:t>
      </w:r>
      <w:r w:rsidRPr="003C6DAE">
        <w:rPr>
          <w:rFonts w:ascii="Trebuchet MS"/>
          <w:spacing w:val="10"/>
          <w:sz w:val="13"/>
          <w:lang w:val="uk-UA"/>
        </w:rPr>
        <w:t xml:space="preserve"> </w:t>
      </w:r>
      <w:r w:rsidRPr="003C6DAE">
        <w:rPr>
          <w:rFonts w:ascii="Trebuchet MS"/>
          <w:w w:val="85"/>
          <w:sz w:val="13"/>
          <w:lang w:val="uk-UA"/>
        </w:rPr>
        <w:t>[0.09,</w:t>
      </w:r>
      <w:r w:rsidRPr="003C6DAE">
        <w:rPr>
          <w:rFonts w:ascii="Trebuchet MS"/>
          <w:spacing w:val="15"/>
          <w:sz w:val="13"/>
          <w:lang w:val="uk-UA"/>
        </w:rPr>
        <w:t xml:space="preserve"> </w:t>
      </w:r>
      <w:r w:rsidRPr="003C6DAE">
        <w:rPr>
          <w:rFonts w:ascii="Trebuchet MS"/>
          <w:spacing w:val="-2"/>
          <w:w w:val="85"/>
          <w:sz w:val="13"/>
          <w:lang w:val="uk-UA"/>
        </w:rPr>
        <w:t>0.99]</w:t>
      </w:r>
    </w:p>
    <w:p w14:paraId="3E9282F4" w14:textId="77777777" w:rsidR="00E05B98" w:rsidRPr="003C6DAE" w:rsidRDefault="00B01E0C">
      <w:pPr>
        <w:spacing w:before="31"/>
        <w:ind w:left="317"/>
        <w:rPr>
          <w:rFonts w:ascii="Trebuchet MS"/>
          <w:sz w:val="13"/>
          <w:lang w:val="uk-UA"/>
        </w:rPr>
      </w:pPr>
      <w:r w:rsidRPr="003C6DAE">
        <w:rPr>
          <w:rFonts w:ascii="Trebuchet MS"/>
          <w:w w:val="85"/>
          <w:sz w:val="13"/>
          <w:lang w:val="uk-UA"/>
        </w:rPr>
        <w:t>0.89</w:t>
      </w:r>
      <w:r w:rsidRPr="003C6DAE">
        <w:rPr>
          <w:rFonts w:ascii="Trebuchet MS"/>
          <w:spacing w:val="10"/>
          <w:sz w:val="13"/>
          <w:lang w:val="uk-UA"/>
        </w:rPr>
        <w:t xml:space="preserve"> </w:t>
      </w:r>
      <w:r w:rsidRPr="003C6DAE">
        <w:rPr>
          <w:rFonts w:ascii="Trebuchet MS"/>
          <w:w w:val="85"/>
          <w:sz w:val="13"/>
          <w:lang w:val="uk-UA"/>
        </w:rPr>
        <w:t>[0.78,</w:t>
      </w:r>
      <w:r w:rsidRPr="003C6DAE">
        <w:rPr>
          <w:rFonts w:ascii="Trebuchet MS"/>
          <w:spacing w:val="15"/>
          <w:sz w:val="13"/>
          <w:lang w:val="uk-UA"/>
        </w:rPr>
        <w:t xml:space="preserve"> </w:t>
      </w:r>
      <w:r w:rsidRPr="003C6DAE">
        <w:rPr>
          <w:rFonts w:ascii="Trebuchet MS"/>
          <w:spacing w:val="-2"/>
          <w:w w:val="85"/>
          <w:sz w:val="13"/>
          <w:lang w:val="uk-UA"/>
        </w:rPr>
        <w:t>0.96]</w:t>
      </w:r>
    </w:p>
    <w:p w14:paraId="15B6A9BB" w14:textId="77777777" w:rsidR="00E05B98" w:rsidRPr="003C6DAE" w:rsidRDefault="00B01E0C">
      <w:pPr>
        <w:spacing w:before="31"/>
        <w:ind w:left="317"/>
        <w:rPr>
          <w:rFonts w:ascii="Trebuchet MS"/>
          <w:sz w:val="13"/>
          <w:lang w:val="uk-UA"/>
        </w:rPr>
      </w:pPr>
      <w:r w:rsidRPr="003C6DAE">
        <w:rPr>
          <w:rFonts w:ascii="Trebuchet MS"/>
          <w:w w:val="85"/>
          <w:sz w:val="13"/>
          <w:lang w:val="uk-UA"/>
        </w:rPr>
        <w:t>0.83</w:t>
      </w:r>
      <w:r w:rsidRPr="003C6DAE">
        <w:rPr>
          <w:rFonts w:ascii="Trebuchet MS"/>
          <w:spacing w:val="10"/>
          <w:sz w:val="13"/>
          <w:lang w:val="uk-UA"/>
        </w:rPr>
        <w:t xml:space="preserve"> </w:t>
      </w:r>
      <w:r w:rsidRPr="003C6DAE">
        <w:rPr>
          <w:rFonts w:ascii="Trebuchet MS"/>
          <w:w w:val="85"/>
          <w:sz w:val="13"/>
          <w:lang w:val="uk-UA"/>
        </w:rPr>
        <w:t>[0.72,</w:t>
      </w:r>
      <w:r w:rsidRPr="003C6DAE">
        <w:rPr>
          <w:rFonts w:ascii="Trebuchet MS"/>
          <w:spacing w:val="15"/>
          <w:sz w:val="13"/>
          <w:lang w:val="uk-UA"/>
        </w:rPr>
        <w:t xml:space="preserve"> </w:t>
      </w:r>
      <w:r w:rsidRPr="003C6DAE">
        <w:rPr>
          <w:rFonts w:ascii="Trebuchet MS"/>
          <w:spacing w:val="-2"/>
          <w:w w:val="85"/>
          <w:sz w:val="13"/>
          <w:lang w:val="uk-UA"/>
        </w:rPr>
        <w:t>0.90]</w:t>
      </w:r>
    </w:p>
    <w:p w14:paraId="1B9A224F" w14:textId="77777777" w:rsidR="00E05B98" w:rsidRPr="003C6DAE" w:rsidRDefault="00B01E0C">
      <w:pPr>
        <w:spacing w:before="31"/>
        <w:ind w:left="317"/>
        <w:rPr>
          <w:rFonts w:ascii="Trebuchet MS"/>
          <w:sz w:val="13"/>
          <w:lang w:val="uk-UA"/>
        </w:rPr>
      </w:pPr>
      <w:r w:rsidRPr="003C6DAE">
        <w:rPr>
          <w:rFonts w:ascii="Trebuchet MS"/>
          <w:w w:val="85"/>
          <w:sz w:val="13"/>
          <w:lang w:val="uk-UA"/>
        </w:rPr>
        <w:t>0.90</w:t>
      </w:r>
      <w:r w:rsidRPr="003C6DAE">
        <w:rPr>
          <w:rFonts w:ascii="Trebuchet MS"/>
          <w:spacing w:val="10"/>
          <w:sz w:val="13"/>
          <w:lang w:val="uk-UA"/>
        </w:rPr>
        <w:t xml:space="preserve"> </w:t>
      </w:r>
      <w:r w:rsidRPr="003C6DAE">
        <w:rPr>
          <w:rFonts w:ascii="Trebuchet MS"/>
          <w:w w:val="85"/>
          <w:sz w:val="13"/>
          <w:lang w:val="uk-UA"/>
        </w:rPr>
        <w:t>[0.86,</w:t>
      </w:r>
      <w:r w:rsidRPr="003C6DAE">
        <w:rPr>
          <w:rFonts w:ascii="Trebuchet MS"/>
          <w:spacing w:val="15"/>
          <w:sz w:val="13"/>
          <w:lang w:val="uk-UA"/>
        </w:rPr>
        <w:t xml:space="preserve"> </w:t>
      </w:r>
      <w:r w:rsidRPr="003C6DAE">
        <w:rPr>
          <w:rFonts w:ascii="Trebuchet MS"/>
          <w:spacing w:val="-2"/>
          <w:w w:val="85"/>
          <w:sz w:val="13"/>
          <w:lang w:val="uk-UA"/>
        </w:rPr>
        <w:t>0.94]</w:t>
      </w:r>
    </w:p>
    <w:p w14:paraId="0322ED18" w14:textId="77777777" w:rsidR="00E05B98" w:rsidRPr="003C6DAE" w:rsidRDefault="00B01E0C">
      <w:pPr>
        <w:spacing w:before="31"/>
        <w:ind w:left="317"/>
        <w:rPr>
          <w:rFonts w:ascii="Trebuchet MS"/>
          <w:sz w:val="13"/>
          <w:lang w:val="uk-UA"/>
        </w:rPr>
      </w:pPr>
      <w:r w:rsidRPr="003C6DAE">
        <w:rPr>
          <w:rFonts w:ascii="Trebuchet MS"/>
          <w:w w:val="85"/>
          <w:sz w:val="13"/>
          <w:lang w:val="uk-UA"/>
        </w:rPr>
        <w:t>0.88</w:t>
      </w:r>
      <w:r w:rsidRPr="003C6DAE">
        <w:rPr>
          <w:rFonts w:ascii="Trebuchet MS"/>
          <w:spacing w:val="10"/>
          <w:sz w:val="13"/>
          <w:lang w:val="uk-UA"/>
        </w:rPr>
        <w:t xml:space="preserve"> </w:t>
      </w:r>
      <w:r w:rsidRPr="003C6DAE">
        <w:rPr>
          <w:rFonts w:ascii="Trebuchet MS"/>
          <w:w w:val="85"/>
          <w:sz w:val="13"/>
          <w:lang w:val="uk-UA"/>
        </w:rPr>
        <w:t>[0.82,</w:t>
      </w:r>
      <w:r w:rsidRPr="003C6DAE">
        <w:rPr>
          <w:rFonts w:ascii="Trebuchet MS"/>
          <w:spacing w:val="15"/>
          <w:sz w:val="13"/>
          <w:lang w:val="uk-UA"/>
        </w:rPr>
        <w:t xml:space="preserve"> </w:t>
      </w:r>
      <w:r w:rsidRPr="003C6DAE">
        <w:rPr>
          <w:rFonts w:ascii="Trebuchet MS"/>
          <w:spacing w:val="-2"/>
          <w:w w:val="85"/>
          <w:sz w:val="13"/>
          <w:lang w:val="uk-UA"/>
        </w:rPr>
        <w:t>0.92]</w:t>
      </w:r>
    </w:p>
    <w:p w14:paraId="6DEE74A1" w14:textId="77777777" w:rsidR="00E05B98" w:rsidRPr="003C6DAE" w:rsidRDefault="00B01E0C">
      <w:pPr>
        <w:spacing w:before="30"/>
        <w:ind w:left="317"/>
        <w:rPr>
          <w:rFonts w:ascii="Trebuchet MS"/>
          <w:sz w:val="13"/>
          <w:lang w:val="uk-UA"/>
        </w:rPr>
      </w:pPr>
      <w:r w:rsidRPr="003C6DAE">
        <w:rPr>
          <w:rFonts w:ascii="Trebuchet MS"/>
          <w:w w:val="85"/>
          <w:sz w:val="13"/>
          <w:lang w:val="uk-UA"/>
        </w:rPr>
        <w:t>0.63</w:t>
      </w:r>
      <w:r w:rsidRPr="003C6DAE">
        <w:rPr>
          <w:rFonts w:ascii="Trebuchet MS"/>
          <w:spacing w:val="10"/>
          <w:sz w:val="13"/>
          <w:lang w:val="uk-UA"/>
        </w:rPr>
        <w:t xml:space="preserve"> </w:t>
      </w:r>
      <w:r w:rsidRPr="003C6DAE">
        <w:rPr>
          <w:rFonts w:ascii="Trebuchet MS"/>
          <w:w w:val="85"/>
          <w:sz w:val="13"/>
          <w:lang w:val="uk-UA"/>
        </w:rPr>
        <w:t>[0.35,</w:t>
      </w:r>
      <w:r w:rsidRPr="003C6DAE">
        <w:rPr>
          <w:rFonts w:ascii="Trebuchet MS"/>
          <w:spacing w:val="15"/>
          <w:sz w:val="13"/>
          <w:lang w:val="uk-UA"/>
        </w:rPr>
        <w:t xml:space="preserve"> </w:t>
      </w:r>
      <w:r w:rsidRPr="003C6DAE">
        <w:rPr>
          <w:rFonts w:ascii="Trebuchet MS"/>
          <w:spacing w:val="-2"/>
          <w:w w:val="85"/>
          <w:sz w:val="13"/>
          <w:lang w:val="uk-UA"/>
        </w:rPr>
        <w:t>0.85]</w:t>
      </w:r>
    </w:p>
    <w:p w14:paraId="6FFD2632" w14:textId="77777777" w:rsidR="00E05B98" w:rsidRPr="003C6DAE" w:rsidRDefault="00B01E0C">
      <w:pPr>
        <w:spacing w:before="31"/>
        <w:ind w:left="317"/>
        <w:rPr>
          <w:rFonts w:ascii="Trebuchet MS"/>
          <w:sz w:val="13"/>
          <w:lang w:val="uk-UA"/>
        </w:rPr>
      </w:pPr>
      <w:r w:rsidRPr="003C6DAE">
        <w:rPr>
          <w:rFonts w:ascii="Trebuchet MS"/>
          <w:w w:val="85"/>
          <w:sz w:val="13"/>
          <w:lang w:val="uk-UA"/>
        </w:rPr>
        <w:t>0.83</w:t>
      </w:r>
      <w:r w:rsidRPr="003C6DAE">
        <w:rPr>
          <w:rFonts w:ascii="Trebuchet MS"/>
          <w:spacing w:val="10"/>
          <w:sz w:val="13"/>
          <w:lang w:val="uk-UA"/>
        </w:rPr>
        <w:t xml:space="preserve"> </w:t>
      </w:r>
      <w:r w:rsidRPr="003C6DAE">
        <w:rPr>
          <w:rFonts w:ascii="Trebuchet MS"/>
          <w:w w:val="85"/>
          <w:sz w:val="13"/>
          <w:lang w:val="uk-UA"/>
        </w:rPr>
        <w:t>[0.73,</w:t>
      </w:r>
      <w:r w:rsidRPr="003C6DAE">
        <w:rPr>
          <w:rFonts w:ascii="Trebuchet MS"/>
          <w:spacing w:val="15"/>
          <w:sz w:val="13"/>
          <w:lang w:val="uk-UA"/>
        </w:rPr>
        <w:t xml:space="preserve"> </w:t>
      </w:r>
      <w:r w:rsidRPr="003C6DAE">
        <w:rPr>
          <w:rFonts w:ascii="Trebuchet MS"/>
          <w:spacing w:val="-2"/>
          <w:w w:val="85"/>
          <w:sz w:val="13"/>
          <w:lang w:val="uk-UA"/>
        </w:rPr>
        <w:t>0.90]</w:t>
      </w:r>
    </w:p>
    <w:p w14:paraId="5DAF37AF" w14:textId="77777777" w:rsidR="00E05B98" w:rsidRPr="003C6DAE" w:rsidRDefault="00B01E0C">
      <w:pPr>
        <w:spacing w:before="31"/>
        <w:ind w:left="317"/>
        <w:rPr>
          <w:rFonts w:ascii="Trebuchet MS"/>
          <w:sz w:val="13"/>
          <w:lang w:val="uk-UA"/>
        </w:rPr>
      </w:pPr>
      <w:r w:rsidRPr="003C6DAE">
        <w:rPr>
          <w:rFonts w:ascii="Trebuchet MS"/>
          <w:w w:val="85"/>
          <w:sz w:val="13"/>
          <w:lang w:val="uk-UA"/>
        </w:rPr>
        <w:t>0.88</w:t>
      </w:r>
      <w:r w:rsidRPr="003C6DAE">
        <w:rPr>
          <w:rFonts w:ascii="Trebuchet MS"/>
          <w:spacing w:val="10"/>
          <w:sz w:val="13"/>
          <w:lang w:val="uk-UA"/>
        </w:rPr>
        <w:t xml:space="preserve"> </w:t>
      </w:r>
      <w:r w:rsidRPr="003C6DAE">
        <w:rPr>
          <w:rFonts w:ascii="Trebuchet MS"/>
          <w:w w:val="85"/>
          <w:sz w:val="13"/>
          <w:lang w:val="uk-UA"/>
        </w:rPr>
        <w:t>[0.85,</w:t>
      </w:r>
      <w:r w:rsidRPr="003C6DAE">
        <w:rPr>
          <w:rFonts w:ascii="Trebuchet MS"/>
          <w:spacing w:val="15"/>
          <w:sz w:val="13"/>
          <w:lang w:val="uk-UA"/>
        </w:rPr>
        <w:t xml:space="preserve"> </w:t>
      </w:r>
      <w:r w:rsidRPr="003C6DAE">
        <w:rPr>
          <w:rFonts w:ascii="Trebuchet MS"/>
          <w:spacing w:val="-2"/>
          <w:w w:val="85"/>
          <w:sz w:val="13"/>
          <w:lang w:val="uk-UA"/>
        </w:rPr>
        <w:t>0.91]</w:t>
      </w:r>
    </w:p>
    <w:p w14:paraId="25F82797" w14:textId="77777777" w:rsidR="00E05B98" w:rsidRPr="003C6DAE" w:rsidRDefault="00B01E0C">
      <w:pPr>
        <w:spacing w:before="31"/>
        <w:ind w:left="317"/>
        <w:rPr>
          <w:rFonts w:ascii="Trebuchet MS"/>
          <w:sz w:val="13"/>
          <w:lang w:val="uk-UA"/>
        </w:rPr>
      </w:pPr>
      <w:r w:rsidRPr="003C6DAE">
        <w:rPr>
          <w:rFonts w:ascii="Trebuchet MS"/>
          <w:w w:val="85"/>
          <w:sz w:val="13"/>
          <w:lang w:val="uk-UA"/>
        </w:rPr>
        <w:t>0.83</w:t>
      </w:r>
      <w:r w:rsidRPr="003C6DAE">
        <w:rPr>
          <w:rFonts w:ascii="Trebuchet MS"/>
          <w:spacing w:val="10"/>
          <w:sz w:val="13"/>
          <w:lang w:val="uk-UA"/>
        </w:rPr>
        <w:t xml:space="preserve"> </w:t>
      </w:r>
      <w:r w:rsidRPr="003C6DAE">
        <w:rPr>
          <w:rFonts w:ascii="Trebuchet MS"/>
          <w:w w:val="85"/>
          <w:sz w:val="13"/>
          <w:lang w:val="uk-UA"/>
        </w:rPr>
        <w:t>[0.36,</w:t>
      </w:r>
      <w:r w:rsidRPr="003C6DAE">
        <w:rPr>
          <w:rFonts w:ascii="Trebuchet MS"/>
          <w:spacing w:val="15"/>
          <w:sz w:val="13"/>
          <w:lang w:val="uk-UA"/>
        </w:rPr>
        <w:t xml:space="preserve"> </w:t>
      </w:r>
      <w:r w:rsidRPr="003C6DAE">
        <w:rPr>
          <w:rFonts w:ascii="Trebuchet MS"/>
          <w:spacing w:val="-2"/>
          <w:w w:val="85"/>
          <w:sz w:val="13"/>
          <w:lang w:val="uk-UA"/>
        </w:rPr>
        <w:t>1.00]</w:t>
      </w:r>
    </w:p>
    <w:p w14:paraId="3C139EBA" w14:textId="77777777" w:rsidR="00E05B98" w:rsidRPr="003C6DAE" w:rsidRDefault="00B01E0C">
      <w:pPr>
        <w:spacing w:before="31"/>
        <w:ind w:left="317"/>
        <w:rPr>
          <w:rFonts w:ascii="Trebuchet MS"/>
          <w:sz w:val="13"/>
          <w:lang w:val="uk-UA"/>
        </w:rPr>
      </w:pPr>
      <w:r w:rsidRPr="003C6DAE">
        <w:rPr>
          <w:rFonts w:ascii="Trebuchet MS"/>
          <w:w w:val="85"/>
          <w:sz w:val="13"/>
          <w:lang w:val="uk-UA"/>
        </w:rPr>
        <w:t>0.96</w:t>
      </w:r>
      <w:r w:rsidRPr="003C6DAE">
        <w:rPr>
          <w:rFonts w:ascii="Trebuchet MS"/>
          <w:spacing w:val="10"/>
          <w:sz w:val="13"/>
          <w:lang w:val="uk-UA"/>
        </w:rPr>
        <w:t xml:space="preserve"> </w:t>
      </w:r>
      <w:r w:rsidRPr="003C6DAE">
        <w:rPr>
          <w:rFonts w:ascii="Trebuchet MS"/>
          <w:w w:val="85"/>
          <w:sz w:val="13"/>
          <w:lang w:val="uk-UA"/>
        </w:rPr>
        <w:t>[0.90,</w:t>
      </w:r>
      <w:r w:rsidRPr="003C6DAE">
        <w:rPr>
          <w:rFonts w:ascii="Trebuchet MS"/>
          <w:spacing w:val="15"/>
          <w:sz w:val="13"/>
          <w:lang w:val="uk-UA"/>
        </w:rPr>
        <w:t xml:space="preserve"> </w:t>
      </w:r>
      <w:r w:rsidRPr="003C6DAE">
        <w:rPr>
          <w:rFonts w:ascii="Trebuchet MS"/>
          <w:spacing w:val="-2"/>
          <w:w w:val="85"/>
          <w:sz w:val="13"/>
          <w:lang w:val="uk-UA"/>
        </w:rPr>
        <w:t>0.99]</w:t>
      </w:r>
    </w:p>
    <w:p w14:paraId="57BD1B5D" w14:textId="77777777" w:rsidR="00E05B98" w:rsidRPr="003C6DAE" w:rsidRDefault="00B01E0C">
      <w:pPr>
        <w:spacing w:before="31"/>
        <w:ind w:left="317"/>
        <w:rPr>
          <w:rFonts w:ascii="Trebuchet MS"/>
          <w:sz w:val="13"/>
          <w:lang w:val="uk-UA"/>
        </w:rPr>
      </w:pPr>
      <w:r w:rsidRPr="003C6DAE">
        <w:rPr>
          <w:rFonts w:ascii="Trebuchet MS"/>
          <w:w w:val="85"/>
          <w:sz w:val="13"/>
          <w:lang w:val="uk-UA"/>
        </w:rPr>
        <w:t>1.00</w:t>
      </w:r>
      <w:r w:rsidRPr="003C6DAE">
        <w:rPr>
          <w:rFonts w:ascii="Trebuchet MS"/>
          <w:spacing w:val="10"/>
          <w:sz w:val="13"/>
          <w:lang w:val="uk-UA"/>
        </w:rPr>
        <w:t xml:space="preserve"> </w:t>
      </w:r>
      <w:r w:rsidRPr="003C6DAE">
        <w:rPr>
          <w:rFonts w:ascii="Trebuchet MS"/>
          <w:w w:val="85"/>
          <w:sz w:val="13"/>
          <w:lang w:val="uk-UA"/>
        </w:rPr>
        <w:t>[0.29,</w:t>
      </w:r>
      <w:r w:rsidRPr="003C6DAE">
        <w:rPr>
          <w:rFonts w:ascii="Trebuchet MS"/>
          <w:spacing w:val="15"/>
          <w:sz w:val="13"/>
          <w:lang w:val="uk-UA"/>
        </w:rPr>
        <w:t xml:space="preserve"> </w:t>
      </w:r>
      <w:r w:rsidRPr="003C6DAE">
        <w:rPr>
          <w:rFonts w:ascii="Trebuchet MS"/>
          <w:spacing w:val="-2"/>
          <w:w w:val="85"/>
          <w:sz w:val="13"/>
          <w:lang w:val="uk-UA"/>
        </w:rPr>
        <w:t>1.00]</w:t>
      </w:r>
    </w:p>
    <w:p w14:paraId="0CCF97CE" w14:textId="77777777" w:rsidR="00E05B98" w:rsidRPr="003C6DAE" w:rsidRDefault="00B01E0C">
      <w:pPr>
        <w:spacing w:before="31"/>
        <w:ind w:left="317"/>
        <w:rPr>
          <w:rFonts w:ascii="Trebuchet MS"/>
          <w:sz w:val="13"/>
          <w:lang w:val="uk-UA"/>
        </w:rPr>
      </w:pPr>
      <w:r w:rsidRPr="003C6DAE">
        <w:rPr>
          <w:rFonts w:ascii="Trebuchet MS"/>
          <w:w w:val="85"/>
          <w:sz w:val="13"/>
          <w:lang w:val="uk-UA"/>
        </w:rPr>
        <w:t>0.97</w:t>
      </w:r>
      <w:r w:rsidRPr="003C6DAE">
        <w:rPr>
          <w:rFonts w:ascii="Trebuchet MS"/>
          <w:spacing w:val="10"/>
          <w:sz w:val="13"/>
          <w:lang w:val="uk-UA"/>
        </w:rPr>
        <w:t xml:space="preserve"> </w:t>
      </w:r>
      <w:r w:rsidRPr="003C6DAE">
        <w:rPr>
          <w:rFonts w:ascii="Trebuchet MS"/>
          <w:w w:val="85"/>
          <w:sz w:val="13"/>
          <w:lang w:val="uk-UA"/>
        </w:rPr>
        <w:t>[0.91,</w:t>
      </w:r>
      <w:r w:rsidRPr="003C6DAE">
        <w:rPr>
          <w:rFonts w:ascii="Trebuchet MS"/>
          <w:spacing w:val="15"/>
          <w:sz w:val="13"/>
          <w:lang w:val="uk-UA"/>
        </w:rPr>
        <w:t xml:space="preserve"> </w:t>
      </w:r>
      <w:r w:rsidRPr="003C6DAE">
        <w:rPr>
          <w:rFonts w:ascii="Trebuchet MS"/>
          <w:spacing w:val="-2"/>
          <w:w w:val="85"/>
          <w:sz w:val="13"/>
          <w:lang w:val="uk-UA"/>
        </w:rPr>
        <w:t>1.00]</w:t>
      </w:r>
    </w:p>
    <w:p w14:paraId="12FF6539" w14:textId="77777777" w:rsidR="00E05B98" w:rsidRPr="003C6DAE" w:rsidRDefault="00B01E0C">
      <w:pPr>
        <w:spacing w:before="31"/>
        <w:ind w:left="317"/>
        <w:rPr>
          <w:rFonts w:ascii="Trebuchet MS"/>
          <w:sz w:val="13"/>
          <w:lang w:val="uk-UA"/>
        </w:rPr>
      </w:pPr>
      <w:r w:rsidRPr="003C6DAE">
        <w:rPr>
          <w:rFonts w:ascii="Trebuchet MS"/>
          <w:w w:val="85"/>
          <w:sz w:val="13"/>
          <w:lang w:val="uk-UA"/>
        </w:rPr>
        <w:t>0.86</w:t>
      </w:r>
      <w:r w:rsidRPr="003C6DAE">
        <w:rPr>
          <w:rFonts w:ascii="Trebuchet MS"/>
          <w:spacing w:val="10"/>
          <w:sz w:val="13"/>
          <w:lang w:val="uk-UA"/>
        </w:rPr>
        <w:t xml:space="preserve"> </w:t>
      </w:r>
      <w:r w:rsidRPr="003C6DAE">
        <w:rPr>
          <w:rFonts w:ascii="Trebuchet MS"/>
          <w:w w:val="85"/>
          <w:sz w:val="13"/>
          <w:lang w:val="uk-UA"/>
        </w:rPr>
        <w:t>[0.76,</w:t>
      </w:r>
      <w:r w:rsidRPr="003C6DAE">
        <w:rPr>
          <w:rFonts w:ascii="Trebuchet MS"/>
          <w:spacing w:val="15"/>
          <w:sz w:val="13"/>
          <w:lang w:val="uk-UA"/>
        </w:rPr>
        <w:t xml:space="preserve"> </w:t>
      </w:r>
      <w:r w:rsidRPr="003C6DAE">
        <w:rPr>
          <w:rFonts w:ascii="Trebuchet MS"/>
          <w:spacing w:val="-2"/>
          <w:w w:val="85"/>
          <w:sz w:val="13"/>
          <w:lang w:val="uk-UA"/>
        </w:rPr>
        <w:t>0.93]</w:t>
      </w:r>
    </w:p>
    <w:p w14:paraId="6ADAF5B3" w14:textId="77777777" w:rsidR="00E05B98" w:rsidRPr="003C6DAE" w:rsidRDefault="00B01E0C">
      <w:pPr>
        <w:spacing w:before="31"/>
        <w:ind w:left="317"/>
        <w:rPr>
          <w:rFonts w:ascii="Trebuchet MS"/>
          <w:sz w:val="13"/>
          <w:lang w:val="uk-UA"/>
        </w:rPr>
      </w:pPr>
      <w:r w:rsidRPr="003C6DAE">
        <w:rPr>
          <w:rFonts w:ascii="Trebuchet MS"/>
          <w:w w:val="85"/>
          <w:sz w:val="13"/>
          <w:lang w:val="uk-UA"/>
        </w:rPr>
        <w:t>0.86</w:t>
      </w:r>
      <w:r w:rsidRPr="003C6DAE">
        <w:rPr>
          <w:rFonts w:ascii="Trebuchet MS"/>
          <w:spacing w:val="10"/>
          <w:sz w:val="13"/>
          <w:lang w:val="uk-UA"/>
        </w:rPr>
        <w:t xml:space="preserve"> </w:t>
      </w:r>
      <w:r w:rsidRPr="003C6DAE">
        <w:rPr>
          <w:rFonts w:ascii="Trebuchet MS"/>
          <w:w w:val="85"/>
          <w:sz w:val="13"/>
          <w:lang w:val="uk-UA"/>
        </w:rPr>
        <w:t>[0.73,</w:t>
      </w:r>
      <w:r w:rsidRPr="003C6DAE">
        <w:rPr>
          <w:rFonts w:ascii="Trebuchet MS"/>
          <w:spacing w:val="15"/>
          <w:sz w:val="13"/>
          <w:lang w:val="uk-UA"/>
        </w:rPr>
        <w:t xml:space="preserve"> </w:t>
      </w:r>
      <w:r w:rsidRPr="003C6DAE">
        <w:rPr>
          <w:rFonts w:ascii="Trebuchet MS"/>
          <w:spacing w:val="-2"/>
          <w:w w:val="85"/>
          <w:sz w:val="13"/>
          <w:lang w:val="uk-UA"/>
        </w:rPr>
        <w:t>0.95]</w:t>
      </w:r>
    </w:p>
    <w:p w14:paraId="6D10C47E" w14:textId="77777777" w:rsidR="00E05B98" w:rsidRPr="003C6DAE" w:rsidRDefault="00B01E0C">
      <w:pPr>
        <w:spacing w:before="31"/>
        <w:ind w:left="317"/>
        <w:rPr>
          <w:rFonts w:ascii="Trebuchet MS"/>
          <w:sz w:val="13"/>
          <w:lang w:val="uk-UA"/>
        </w:rPr>
      </w:pPr>
      <w:r w:rsidRPr="003C6DAE">
        <w:rPr>
          <w:rFonts w:ascii="Trebuchet MS"/>
          <w:w w:val="85"/>
          <w:sz w:val="13"/>
          <w:lang w:val="uk-UA"/>
        </w:rPr>
        <w:t>0.84</w:t>
      </w:r>
      <w:r w:rsidRPr="003C6DAE">
        <w:rPr>
          <w:rFonts w:ascii="Trebuchet MS"/>
          <w:spacing w:val="10"/>
          <w:sz w:val="13"/>
          <w:lang w:val="uk-UA"/>
        </w:rPr>
        <w:t xml:space="preserve"> </w:t>
      </w:r>
      <w:r w:rsidRPr="003C6DAE">
        <w:rPr>
          <w:rFonts w:ascii="Trebuchet MS"/>
          <w:w w:val="85"/>
          <w:sz w:val="13"/>
          <w:lang w:val="uk-UA"/>
        </w:rPr>
        <w:t>[0.74,</w:t>
      </w:r>
      <w:r w:rsidRPr="003C6DAE">
        <w:rPr>
          <w:rFonts w:ascii="Trebuchet MS"/>
          <w:spacing w:val="15"/>
          <w:sz w:val="13"/>
          <w:lang w:val="uk-UA"/>
        </w:rPr>
        <w:t xml:space="preserve"> </w:t>
      </w:r>
      <w:r w:rsidRPr="003C6DAE">
        <w:rPr>
          <w:rFonts w:ascii="Trebuchet MS"/>
          <w:spacing w:val="-2"/>
          <w:w w:val="85"/>
          <w:sz w:val="13"/>
          <w:lang w:val="uk-UA"/>
        </w:rPr>
        <w:t>0.92]</w:t>
      </w:r>
    </w:p>
    <w:p w14:paraId="374F0857" w14:textId="77777777" w:rsidR="00E05B98" w:rsidRPr="003C6DAE" w:rsidRDefault="00B01E0C">
      <w:pPr>
        <w:spacing w:before="31"/>
        <w:ind w:left="317"/>
        <w:rPr>
          <w:rFonts w:ascii="Trebuchet MS"/>
          <w:sz w:val="13"/>
          <w:lang w:val="uk-UA"/>
        </w:rPr>
      </w:pPr>
      <w:r w:rsidRPr="003C6DAE">
        <w:rPr>
          <w:rFonts w:ascii="Trebuchet MS"/>
          <w:w w:val="85"/>
          <w:sz w:val="13"/>
          <w:lang w:val="uk-UA"/>
        </w:rPr>
        <w:t>0.54</w:t>
      </w:r>
      <w:r w:rsidRPr="003C6DAE">
        <w:rPr>
          <w:rFonts w:ascii="Trebuchet MS"/>
          <w:spacing w:val="10"/>
          <w:sz w:val="13"/>
          <w:lang w:val="uk-UA"/>
        </w:rPr>
        <w:t xml:space="preserve"> </w:t>
      </w:r>
      <w:r w:rsidRPr="003C6DAE">
        <w:rPr>
          <w:rFonts w:ascii="Trebuchet MS"/>
          <w:w w:val="85"/>
          <w:sz w:val="13"/>
          <w:lang w:val="uk-UA"/>
        </w:rPr>
        <w:t>[0.25,</w:t>
      </w:r>
      <w:r w:rsidRPr="003C6DAE">
        <w:rPr>
          <w:rFonts w:ascii="Trebuchet MS"/>
          <w:spacing w:val="15"/>
          <w:sz w:val="13"/>
          <w:lang w:val="uk-UA"/>
        </w:rPr>
        <w:t xml:space="preserve"> </w:t>
      </w:r>
      <w:r w:rsidRPr="003C6DAE">
        <w:rPr>
          <w:rFonts w:ascii="Trebuchet MS"/>
          <w:spacing w:val="-2"/>
          <w:w w:val="85"/>
          <w:sz w:val="13"/>
          <w:lang w:val="uk-UA"/>
        </w:rPr>
        <w:t>0.81]</w:t>
      </w:r>
    </w:p>
    <w:p w14:paraId="6DFFC11A" w14:textId="77777777" w:rsidR="00E05B98" w:rsidRPr="003C6DAE" w:rsidRDefault="00B01E0C">
      <w:pPr>
        <w:spacing w:before="31"/>
        <w:ind w:left="317"/>
        <w:rPr>
          <w:rFonts w:ascii="Trebuchet MS"/>
          <w:sz w:val="13"/>
          <w:lang w:val="uk-UA"/>
        </w:rPr>
      </w:pPr>
      <w:r w:rsidRPr="003C6DAE">
        <w:rPr>
          <w:rFonts w:ascii="Trebuchet MS"/>
          <w:w w:val="85"/>
          <w:sz w:val="13"/>
          <w:lang w:val="uk-UA"/>
        </w:rPr>
        <w:t>0.96</w:t>
      </w:r>
      <w:r w:rsidRPr="003C6DAE">
        <w:rPr>
          <w:rFonts w:ascii="Trebuchet MS"/>
          <w:spacing w:val="10"/>
          <w:sz w:val="13"/>
          <w:lang w:val="uk-UA"/>
        </w:rPr>
        <w:t xml:space="preserve"> </w:t>
      </w:r>
      <w:r w:rsidRPr="003C6DAE">
        <w:rPr>
          <w:rFonts w:ascii="Trebuchet MS"/>
          <w:w w:val="85"/>
          <w:sz w:val="13"/>
          <w:lang w:val="uk-UA"/>
        </w:rPr>
        <w:t>[0.85,</w:t>
      </w:r>
      <w:r w:rsidRPr="003C6DAE">
        <w:rPr>
          <w:rFonts w:ascii="Trebuchet MS"/>
          <w:spacing w:val="15"/>
          <w:sz w:val="13"/>
          <w:lang w:val="uk-UA"/>
        </w:rPr>
        <w:t xml:space="preserve"> </w:t>
      </w:r>
      <w:r w:rsidRPr="003C6DAE">
        <w:rPr>
          <w:rFonts w:ascii="Trebuchet MS"/>
          <w:spacing w:val="-2"/>
          <w:w w:val="85"/>
          <w:sz w:val="13"/>
          <w:lang w:val="uk-UA"/>
        </w:rPr>
        <w:t>0.99]</w:t>
      </w:r>
    </w:p>
    <w:p w14:paraId="079FF7F0" w14:textId="77777777" w:rsidR="00E05B98" w:rsidRPr="003C6DAE" w:rsidRDefault="00B01E0C">
      <w:pPr>
        <w:spacing w:before="31"/>
        <w:ind w:left="317"/>
        <w:rPr>
          <w:rFonts w:ascii="Trebuchet MS"/>
          <w:sz w:val="13"/>
          <w:lang w:val="uk-UA"/>
        </w:rPr>
      </w:pPr>
      <w:r w:rsidRPr="003C6DAE">
        <w:rPr>
          <w:rFonts w:ascii="Trebuchet MS"/>
          <w:w w:val="85"/>
          <w:sz w:val="13"/>
          <w:lang w:val="uk-UA"/>
        </w:rPr>
        <w:t>0.90</w:t>
      </w:r>
      <w:r w:rsidRPr="003C6DAE">
        <w:rPr>
          <w:rFonts w:ascii="Trebuchet MS"/>
          <w:spacing w:val="10"/>
          <w:sz w:val="13"/>
          <w:lang w:val="uk-UA"/>
        </w:rPr>
        <w:t xml:space="preserve"> </w:t>
      </w:r>
      <w:r w:rsidRPr="003C6DAE">
        <w:rPr>
          <w:rFonts w:ascii="Trebuchet MS"/>
          <w:w w:val="85"/>
          <w:sz w:val="13"/>
          <w:lang w:val="uk-UA"/>
        </w:rPr>
        <w:t>[0.70,</w:t>
      </w:r>
      <w:r w:rsidRPr="003C6DAE">
        <w:rPr>
          <w:rFonts w:ascii="Trebuchet MS"/>
          <w:spacing w:val="15"/>
          <w:sz w:val="13"/>
          <w:lang w:val="uk-UA"/>
        </w:rPr>
        <w:t xml:space="preserve"> </w:t>
      </w:r>
      <w:r w:rsidRPr="003C6DAE">
        <w:rPr>
          <w:rFonts w:ascii="Trebuchet MS"/>
          <w:spacing w:val="-2"/>
          <w:w w:val="85"/>
          <w:sz w:val="13"/>
          <w:lang w:val="uk-UA"/>
        </w:rPr>
        <w:t>0.99]</w:t>
      </w:r>
    </w:p>
    <w:p w14:paraId="1EF75E79" w14:textId="77777777" w:rsidR="00E05B98" w:rsidRPr="003C6DAE" w:rsidRDefault="00B01E0C">
      <w:pPr>
        <w:spacing w:before="31"/>
        <w:ind w:left="317"/>
        <w:rPr>
          <w:rFonts w:ascii="Trebuchet MS"/>
          <w:sz w:val="13"/>
          <w:lang w:val="uk-UA"/>
        </w:rPr>
      </w:pPr>
      <w:r w:rsidRPr="003C6DAE">
        <w:rPr>
          <w:rFonts w:ascii="Trebuchet MS"/>
          <w:w w:val="85"/>
          <w:sz w:val="13"/>
          <w:lang w:val="uk-UA"/>
        </w:rPr>
        <w:t>1.00</w:t>
      </w:r>
      <w:r w:rsidRPr="003C6DAE">
        <w:rPr>
          <w:rFonts w:ascii="Trebuchet MS"/>
          <w:spacing w:val="10"/>
          <w:sz w:val="13"/>
          <w:lang w:val="uk-UA"/>
        </w:rPr>
        <w:t xml:space="preserve"> </w:t>
      </w:r>
      <w:r w:rsidRPr="003C6DAE">
        <w:rPr>
          <w:rFonts w:ascii="Trebuchet MS"/>
          <w:w w:val="85"/>
          <w:sz w:val="13"/>
          <w:lang w:val="uk-UA"/>
        </w:rPr>
        <w:t>[0.85,</w:t>
      </w:r>
      <w:r w:rsidRPr="003C6DAE">
        <w:rPr>
          <w:rFonts w:ascii="Trebuchet MS"/>
          <w:spacing w:val="15"/>
          <w:sz w:val="13"/>
          <w:lang w:val="uk-UA"/>
        </w:rPr>
        <w:t xml:space="preserve"> </w:t>
      </w:r>
      <w:r w:rsidRPr="003C6DAE">
        <w:rPr>
          <w:rFonts w:ascii="Trebuchet MS"/>
          <w:spacing w:val="-2"/>
          <w:w w:val="85"/>
          <w:sz w:val="13"/>
          <w:lang w:val="uk-UA"/>
        </w:rPr>
        <w:t>1.00]</w:t>
      </w:r>
    </w:p>
    <w:p w14:paraId="12F008D9" w14:textId="77777777" w:rsidR="00E05B98" w:rsidRPr="003C6DAE" w:rsidRDefault="00B01E0C">
      <w:pPr>
        <w:spacing w:before="31"/>
        <w:ind w:left="317"/>
        <w:rPr>
          <w:rFonts w:ascii="Trebuchet MS"/>
          <w:sz w:val="13"/>
          <w:lang w:val="uk-UA"/>
        </w:rPr>
      </w:pPr>
      <w:r w:rsidRPr="003C6DAE">
        <w:rPr>
          <w:rFonts w:ascii="Trebuchet MS"/>
          <w:w w:val="85"/>
          <w:sz w:val="13"/>
          <w:lang w:val="uk-UA"/>
        </w:rPr>
        <w:t>0.94</w:t>
      </w:r>
      <w:r w:rsidRPr="003C6DAE">
        <w:rPr>
          <w:rFonts w:ascii="Trebuchet MS"/>
          <w:spacing w:val="10"/>
          <w:sz w:val="13"/>
          <w:lang w:val="uk-UA"/>
        </w:rPr>
        <w:t xml:space="preserve"> </w:t>
      </w:r>
      <w:r w:rsidRPr="003C6DAE">
        <w:rPr>
          <w:rFonts w:ascii="Trebuchet MS"/>
          <w:w w:val="85"/>
          <w:sz w:val="13"/>
          <w:lang w:val="uk-UA"/>
        </w:rPr>
        <w:t>[0.89,</w:t>
      </w:r>
      <w:r w:rsidRPr="003C6DAE">
        <w:rPr>
          <w:rFonts w:ascii="Trebuchet MS"/>
          <w:spacing w:val="15"/>
          <w:sz w:val="13"/>
          <w:lang w:val="uk-UA"/>
        </w:rPr>
        <w:t xml:space="preserve"> </w:t>
      </w:r>
      <w:r w:rsidRPr="003C6DAE">
        <w:rPr>
          <w:rFonts w:ascii="Trebuchet MS"/>
          <w:spacing w:val="-2"/>
          <w:w w:val="85"/>
          <w:sz w:val="13"/>
          <w:lang w:val="uk-UA"/>
        </w:rPr>
        <w:t>0.98]</w:t>
      </w:r>
    </w:p>
    <w:p w14:paraId="1D902BD9" w14:textId="77777777" w:rsidR="00E05B98" w:rsidRPr="003C6DAE" w:rsidRDefault="00B01E0C">
      <w:pPr>
        <w:spacing w:before="31"/>
        <w:ind w:left="317"/>
        <w:rPr>
          <w:rFonts w:ascii="Trebuchet MS"/>
          <w:sz w:val="13"/>
          <w:lang w:val="uk-UA"/>
        </w:rPr>
      </w:pPr>
      <w:r w:rsidRPr="003C6DAE">
        <w:rPr>
          <w:rFonts w:ascii="Trebuchet MS"/>
          <w:w w:val="85"/>
          <w:sz w:val="13"/>
          <w:lang w:val="uk-UA"/>
        </w:rPr>
        <w:t>0.95</w:t>
      </w:r>
      <w:r w:rsidRPr="003C6DAE">
        <w:rPr>
          <w:rFonts w:ascii="Trebuchet MS"/>
          <w:spacing w:val="10"/>
          <w:sz w:val="13"/>
          <w:lang w:val="uk-UA"/>
        </w:rPr>
        <w:t xml:space="preserve"> </w:t>
      </w:r>
      <w:r w:rsidRPr="003C6DAE">
        <w:rPr>
          <w:rFonts w:ascii="Trebuchet MS"/>
          <w:w w:val="85"/>
          <w:sz w:val="13"/>
          <w:lang w:val="uk-UA"/>
        </w:rPr>
        <w:t>[0.90,</w:t>
      </w:r>
      <w:r w:rsidRPr="003C6DAE">
        <w:rPr>
          <w:rFonts w:ascii="Trebuchet MS"/>
          <w:spacing w:val="15"/>
          <w:sz w:val="13"/>
          <w:lang w:val="uk-UA"/>
        </w:rPr>
        <w:t xml:space="preserve"> </w:t>
      </w:r>
      <w:r w:rsidRPr="003C6DAE">
        <w:rPr>
          <w:rFonts w:ascii="Trebuchet MS"/>
          <w:spacing w:val="-2"/>
          <w:w w:val="85"/>
          <w:sz w:val="13"/>
          <w:lang w:val="uk-UA"/>
        </w:rPr>
        <w:t>0.98]</w:t>
      </w:r>
    </w:p>
    <w:p w14:paraId="3EEEF475" w14:textId="77777777" w:rsidR="00E05B98" w:rsidRPr="003C6DAE" w:rsidRDefault="00B01E0C">
      <w:pPr>
        <w:spacing w:before="31"/>
        <w:ind w:left="317"/>
        <w:rPr>
          <w:rFonts w:ascii="Trebuchet MS"/>
          <w:sz w:val="13"/>
          <w:lang w:val="uk-UA"/>
        </w:rPr>
      </w:pPr>
      <w:r w:rsidRPr="003C6DAE">
        <w:rPr>
          <w:rFonts w:ascii="Trebuchet MS"/>
          <w:w w:val="85"/>
          <w:sz w:val="13"/>
          <w:lang w:val="uk-UA"/>
        </w:rPr>
        <w:t>0.80</w:t>
      </w:r>
      <w:r w:rsidRPr="003C6DAE">
        <w:rPr>
          <w:rFonts w:ascii="Trebuchet MS"/>
          <w:spacing w:val="10"/>
          <w:sz w:val="13"/>
          <w:lang w:val="uk-UA"/>
        </w:rPr>
        <w:t xml:space="preserve"> </w:t>
      </w:r>
      <w:r w:rsidRPr="003C6DAE">
        <w:rPr>
          <w:rFonts w:ascii="Trebuchet MS"/>
          <w:w w:val="85"/>
          <w:sz w:val="13"/>
          <w:lang w:val="uk-UA"/>
        </w:rPr>
        <w:t>[0.28,</w:t>
      </w:r>
      <w:r w:rsidRPr="003C6DAE">
        <w:rPr>
          <w:rFonts w:ascii="Trebuchet MS"/>
          <w:spacing w:val="15"/>
          <w:sz w:val="13"/>
          <w:lang w:val="uk-UA"/>
        </w:rPr>
        <w:t xml:space="preserve"> </w:t>
      </w:r>
      <w:r w:rsidRPr="003C6DAE">
        <w:rPr>
          <w:rFonts w:ascii="Trebuchet MS"/>
          <w:spacing w:val="-2"/>
          <w:w w:val="85"/>
          <w:sz w:val="13"/>
          <w:lang w:val="uk-UA"/>
        </w:rPr>
        <w:t>0.99]</w:t>
      </w:r>
    </w:p>
    <w:p w14:paraId="7024F110" w14:textId="77777777" w:rsidR="00E05B98" w:rsidRPr="003C6DAE" w:rsidRDefault="00B01E0C">
      <w:pPr>
        <w:spacing w:before="31"/>
        <w:ind w:left="317"/>
        <w:rPr>
          <w:rFonts w:ascii="Trebuchet MS"/>
          <w:sz w:val="13"/>
          <w:lang w:val="uk-UA"/>
        </w:rPr>
      </w:pPr>
      <w:r w:rsidRPr="003C6DAE">
        <w:rPr>
          <w:rFonts w:ascii="Trebuchet MS"/>
          <w:w w:val="85"/>
          <w:sz w:val="13"/>
          <w:lang w:val="uk-UA"/>
        </w:rPr>
        <w:t>0.76</w:t>
      </w:r>
      <w:r w:rsidRPr="003C6DAE">
        <w:rPr>
          <w:rFonts w:ascii="Trebuchet MS"/>
          <w:spacing w:val="10"/>
          <w:sz w:val="13"/>
          <w:lang w:val="uk-UA"/>
        </w:rPr>
        <w:t xml:space="preserve"> </w:t>
      </w:r>
      <w:r w:rsidRPr="003C6DAE">
        <w:rPr>
          <w:rFonts w:ascii="Trebuchet MS"/>
          <w:w w:val="85"/>
          <w:sz w:val="13"/>
          <w:lang w:val="uk-UA"/>
        </w:rPr>
        <w:t>[0.50,</w:t>
      </w:r>
      <w:r w:rsidRPr="003C6DAE">
        <w:rPr>
          <w:rFonts w:ascii="Trebuchet MS"/>
          <w:spacing w:val="15"/>
          <w:sz w:val="13"/>
          <w:lang w:val="uk-UA"/>
        </w:rPr>
        <w:t xml:space="preserve"> </w:t>
      </w:r>
      <w:r w:rsidRPr="003C6DAE">
        <w:rPr>
          <w:rFonts w:ascii="Trebuchet MS"/>
          <w:spacing w:val="-2"/>
          <w:w w:val="85"/>
          <w:sz w:val="13"/>
          <w:lang w:val="uk-UA"/>
        </w:rPr>
        <w:t>0.93]</w:t>
      </w:r>
    </w:p>
    <w:p w14:paraId="5440D45E" w14:textId="77777777" w:rsidR="00E05B98" w:rsidRPr="003C6DAE" w:rsidRDefault="00B01E0C">
      <w:pPr>
        <w:spacing w:before="31"/>
        <w:ind w:left="317"/>
        <w:rPr>
          <w:rFonts w:ascii="Trebuchet MS"/>
          <w:sz w:val="13"/>
          <w:lang w:val="uk-UA"/>
        </w:rPr>
      </w:pPr>
      <w:r w:rsidRPr="003C6DAE">
        <w:rPr>
          <w:rFonts w:ascii="Trebuchet MS"/>
          <w:w w:val="85"/>
          <w:sz w:val="13"/>
          <w:lang w:val="uk-UA"/>
        </w:rPr>
        <w:t>0.95</w:t>
      </w:r>
      <w:r w:rsidRPr="003C6DAE">
        <w:rPr>
          <w:rFonts w:ascii="Trebuchet MS"/>
          <w:spacing w:val="10"/>
          <w:sz w:val="13"/>
          <w:lang w:val="uk-UA"/>
        </w:rPr>
        <w:t xml:space="preserve"> </w:t>
      </w:r>
      <w:r w:rsidRPr="003C6DAE">
        <w:rPr>
          <w:rFonts w:ascii="Trebuchet MS"/>
          <w:w w:val="85"/>
          <w:sz w:val="13"/>
          <w:lang w:val="uk-UA"/>
        </w:rPr>
        <w:t>[0.92,</w:t>
      </w:r>
      <w:r w:rsidRPr="003C6DAE">
        <w:rPr>
          <w:rFonts w:ascii="Trebuchet MS"/>
          <w:spacing w:val="15"/>
          <w:sz w:val="13"/>
          <w:lang w:val="uk-UA"/>
        </w:rPr>
        <w:t xml:space="preserve"> </w:t>
      </w:r>
      <w:r w:rsidRPr="003C6DAE">
        <w:rPr>
          <w:rFonts w:ascii="Trebuchet MS"/>
          <w:spacing w:val="-2"/>
          <w:w w:val="85"/>
          <w:sz w:val="13"/>
          <w:lang w:val="uk-UA"/>
        </w:rPr>
        <w:t>0.97]</w:t>
      </w:r>
    </w:p>
    <w:p w14:paraId="5620072B" w14:textId="77777777" w:rsidR="00E05B98" w:rsidRPr="003C6DAE" w:rsidRDefault="00B01E0C">
      <w:pPr>
        <w:spacing w:before="31"/>
        <w:ind w:left="317"/>
        <w:rPr>
          <w:rFonts w:ascii="Trebuchet MS"/>
          <w:sz w:val="13"/>
          <w:lang w:val="uk-UA"/>
        </w:rPr>
      </w:pPr>
      <w:r w:rsidRPr="003C6DAE">
        <w:rPr>
          <w:rFonts w:ascii="Trebuchet MS"/>
          <w:w w:val="85"/>
          <w:sz w:val="13"/>
          <w:lang w:val="uk-UA"/>
        </w:rPr>
        <w:t>0.95</w:t>
      </w:r>
      <w:r w:rsidRPr="003C6DAE">
        <w:rPr>
          <w:rFonts w:ascii="Trebuchet MS"/>
          <w:spacing w:val="10"/>
          <w:sz w:val="13"/>
          <w:lang w:val="uk-UA"/>
        </w:rPr>
        <w:t xml:space="preserve"> </w:t>
      </w:r>
      <w:r w:rsidRPr="003C6DAE">
        <w:rPr>
          <w:rFonts w:ascii="Trebuchet MS"/>
          <w:w w:val="85"/>
          <w:sz w:val="13"/>
          <w:lang w:val="uk-UA"/>
        </w:rPr>
        <w:t>[0.90,</w:t>
      </w:r>
      <w:r w:rsidRPr="003C6DAE">
        <w:rPr>
          <w:rFonts w:ascii="Trebuchet MS"/>
          <w:spacing w:val="15"/>
          <w:sz w:val="13"/>
          <w:lang w:val="uk-UA"/>
        </w:rPr>
        <w:t xml:space="preserve"> </w:t>
      </w:r>
      <w:r w:rsidRPr="003C6DAE">
        <w:rPr>
          <w:rFonts w:ascii="Trebuchet MS"/>
          <w:spacing w:val="-2"/>
          <w:w w:val="85"/>
          <w:sz w:val="13"/>
          <w:lang w:val="uk-UA"/>
        </w:rPr>
        <w:t>0.98]</w:t>
      </w:r>
    </w:p>
    <w:p w14:paraId="25BFE17A" w14:textId="77777777" w:rsidR="00E05B98" w:rsidRPr="003C6DAE" w:rsidRDefault="00B01E0C">
      <w:pPr>
        <w:spacing w:before="31"/>
        <w:ind w:left="317"/>
        <w:rPr>
          <w:rFonts w:ascii="Trebuchet MS"/>
          <w:sz w:val="13"/>
          <w:lang w:val="uk-UA"/>
        </w:rPr>
      </w:pPr>
      <w:r w:rsidRPr="003C6DAE">
        <w:rPr>
          <w:rFonts w:ascii="Trebuchet MS"/>
          <w:w w:val="85"/>
          <w:sz w:val="13"/>
          <w:lang w:val="uk-UA"/>
        </w:rPr>
        <w:t>1.00</w:t>
      </w:r>
      <w:r w:rsidRPr="003C6DAE">
        <w:rPr>
          <w:rFonts w:ascii="Trebuchet MS"/>
          <w:spacing w:val="10"/>
          <w:sz w:val="13"/>
          <w:lang w:val="uk-UA"/>
        </w:rPr>
        <w:t xml:space="preserve"> </w:t>
      </w:r>
      <w:r w:rsidRPr="003C6DAE">
        <w:rPr>
          <w:rFonts w:ascii="Trebuchet MS"/>
          <w:w w:val="85"/>
          <w:sz w:val="13"/>
          <w:lang w:val="uk-UA"/>
        </w:rPr>
        <w:t>[0.03,</w:t>
      </w:r>
      <w:r w:rsidRPr="003C6DAE">
        <w:rPr>
          <w:rFonts w:ascii="Trebuchet MS"/>
          <w:spacing w:val="15"/>
          <w:sz w:val="13"/>
          <w:lang w:val="uk-UA"/>
        </w:rPr>
        <w:t xml:space="preserve"> </w:t>
      </w:r>
      <w:r w:rsidRPr="003C6DAE">
        <w:rPr>
          <w:rFonts w:ascii="Trebuchet MS"/>
          <w:spacing w:val="-2"/>
          <w:w w:val="85"/>
          <w:sz w:val="13"/>
          <w:lang w:val="uk-UA"/>
        </w:rPr>
        <w:t>1.00]</w:t>
      </w:r>
    </w:p>
    <w:p w14:paraId="4D39CB87" w14:textId="77777777" w:rsidR="00E05B98" w:rsidRPr="003C6DAE" w:rsidRDefault="00B01E0C">
      <w:pPr>
        <w:spacing w:before="31"/>
        <w:ind w:left="317"/>
        <w:rPr>
          <w:rFonts w:ascii="Trebuchet MS"/>
          <w:sz w:val="13"/>
          <w:lang w:val="uk-UA"/>
        </w:rPr>
      </w:pPr>
      <w:r w:rsidRPr="003C6DAE">
        <w:rPr>
          <w:rFonts w:ascii="Trebuchet MS"/>
          <w:w w:val="85"/>
          <w:sz w:val="13"/>
          <w:lang w:val="uk-UA"/>
        </w:rPr>
        <w:t>0.93</w:t>
      </w:r>
      <w:r w:rsidRPr="003C6DAE">
        <w:rPr>
          <w:rFonts w:ascii="Trebuchet MS"/>
          <w:spacing w:val="10"/>
          <w:sz w:val="13"/>
          <w:lang w:val="uk-UA"/>
        </w:rPr>
        <w:t xml:space="preserve"> </w:t>
      </w:r>
      <w:r w:rsidRPr="003C6DAE">
        <w:rPr>
          <w:rFonts w:ascii="Trebuchet MS"/>
          <w:w w:val="85"/>
          <w:sz w:val="13"/>
          <w:lang w:val="uk-UA"/>
        </w:rPr>
        <w:t>[0.84,</w:t>
      </w:r>
      <w:r w:rsidRPr="003C6DAE">
        <w:rPr>
          <w:rFonts w:ascii="Trebuchet MS"/>
          <w:spacing w:val="15"/>
          <w:sz w:val="13"/>
          <w:lang w:val="uk-UA"/>
        </w:rPr>
        <w:t xml:space="preserve"> </w:t>
      </w:r>
      <w:r w:rsidRPr="003C6DAE">
        <w:rPr>
          <w:rFonts w:ascii="Trebuchet MS"/>
          <w:spacing w:val="-2"/>
          <w:w w:val="85"/>
          <w:sz w:val="13"/>
          <w:lang w:val="uk-UA"/>
        </w:rPr>
        <w:t>0.98]</w:t>
      </w:r>
    </w:p>
    <w:p w14:paraId="3D41DB73" w14:textId="77777777" w:rsidR="00E05B98" w:rsidRPr="003C6DAE" w:rsidRDefault="00B01E0C">
      <w:pPr>
        <w:spacing w:before="31"/>
        <w:ind w:left="317"/>
        <w:rPr>
          <w:rFonts w:ascii="Trebuchet MS"/>
          <w:sz w:val="13"/>
          <w:lang w:val="uk-UA"/>
        </w:rPr>
      </w:pPr>
      <w:r w:rsidRPr="003C6DAE">
        <w:rPr>
          <w:rFonts w:ascii="Trebuchet MS"/>
          <w:w w:val="85"/>
          <w:sz w:val="13"/>
          <w:lang w:val="uk-UA"/>
        </w:rPr>
        <w:t>0.87</w:t>
      </w:r>
      <w:r w:rsidRPr="003C6DAE">
        <w:rPr>
          <w:rFonts w:ascii="Trebuchet MS"/>
          <w:spacing w:val="10"/>
          <w:sz w:val="13"/>
          <w:lang w:val="uk-UA"/>
        </w:rPr>
        <w:t xml:space="preserve"> </w:t>
      </w:r>
      <w:r w:rsidRPr="003C6DAE">
        <w:rPr>
          <w:rFonts w:ascii="Trebuchet MS"/>
          <w:w w:val="85"/>
          <w:sz w:val="13"/>
          <w:lang w:val="uk-UA"/>
        </w:rPr>
        <w:t>[0.80,</w:t>
      </w:r>
      <w:r w:rsidRPr="003C6DAE">
        <w:rPr>
          <w:rFonts w:ascii="Trebuchet MS"/>
          <w:spacing w:val="15"/>
          <w:sz w:val="13"/>
          <w:lang w:val="uk-UA"/>
        </w:rPr>
        <w:t xml:space="preserve"> </w:t>
      </w:r>
      <w:r w:rsidRPr="003C6DAE">
        <w:rPr>
          <w:rFonts w:ascii="Trebuchet MS"/>
          <w:spacing w:val="-2"/>
          <w:w w:val="85"/>
          <w:sz w:val="13"/>
          <w:lang w:val="uk-UA"/>
        </w:rPr>
        <w:t>0.93]</w:t>
      </w:r>
    </w:p>
    <w:p w14:paraId="228CA9B7" w14:textId="77777777" w:rsidR="00E05B98" w:rsidRPr="003C6DAE" w:rsidRDefault="00B01E0C">
      <w:pPr>
        <w:spacing w:before="31"/>
        <w:ind w:left="317"/>
        <w:rPr>
          <w:rFonts w:ascii="Trebuchet MS"/>
          <w:sz w:val="13"/>
          <w:lang w:val="uk-UA"/>
        </w:rPr>
      </w:pPr>
      <w:r w:rsidRPr="003C6DAE">
        <w:rPr>
          <w:rFonts w:ascii="Trebuchet MS"/>
          <w:w w:val="85"/>
          <w:sz w:val="13"/>
          <w:lang w:val="uk-UA"/>
        </w:rPr>
        <w:t>0.92</w:t>
      </w:r>
      <w:r w:rsidRPr="003C6DAE">
        <w:rPr>
          <w:rFonts w:ascii="Trebuchet MS"/>
          <w:spacing w:val="10"/>
          <w:sz w:val="13"/>
          <w:lang w:val="uk-UA"/>
        </w:rPr>
        <w:t xml:space="preserve"> </w:t>
      </w:r>
      <w:r w:rsidRPr="003C6DAE">
        <w:rPr>
          <w:rFonts w:ascii="Trebuchet MS"/>
          <w:w w:val="85"/>
          <w:sz w:val="13"/>
          <w:lang w:val="uk-UA"/>
        </w:rPr>
        <w:t>[0.89,</w:t>
      </w:r>
      <w:r w:rsidRPr="003C6DAE">
        <w:rPr>
          <w:rFonts w:ascii="Trebuchet MS"/>
          <w:spacing w:val="15"/>
          <w:sz w:val="13"/>
          <w:lang w:val="uk-UA"/>
        </w:rPr>
        <w:t xml:space="preserve"> </w:t>
      </w:r>
      <w:r w:rsidRPr="003C6DAE">
        <w:rPr>
          <w:rFonts w:ascii="Trebuchet MS"/>
          <w:spacing w:val="-2"/>
          <w:w w:val="85"/>
          <w:sz w:val="13"/>
          <w:lang w:val="uk-UA"/>
        </w:rPr>
        <w:t>0.95]</w:t>
      </w:r>
    </w:p>
    <w:p w14:paraId="09578A48" w14:textId="4D1855CC" w:rsidR="00E05B98" w:rsidRPr="003C6DAE" w:rsidRDefault="00815A80">
      <w:pPr>
        <w:spacing w:before="31"/>
        <w:ind w:right="8"/>
        <w:jc w:val="right"/>
        <w:rPr>
          <w:rFonts w:ascii="Trebuchet MS"/>
          <w:sz w:val="13"/>
          <w:lang w:val="uk-UA"/>
        </w:rPr>
      </w:pPr>
      <w:r w:rsidRPr="003C6DAE">
        <w:rPr>
          <w:rFonts w:ascii="Trebuchet MS"/>
          <w:w w:val="90"/>
          <w:sz w:val="13"/>
          <w:lang w:val="uk-UA"/>
        </w:rPr>
        <w:t>Не</w:t>
      </w:r>
      <w:r w:rsidRPr="003C6DAE">
        <w:rPr>
          <w:rFonts w:ascii="Trebuchet MS"/>
          <w:w w:val="90"/>
          <w:sz w:val="13"/>
          <w:lang w:val="uk-UA"/>
        </w:rPr>
        <w:t xml:space="preserve"> </w:t>
      </w:r>
      <w:r w:rsidRPr="003C6DAE">
        <w:rPr>
          <w:rFonts w:ascii="Trebuchet MS"/>
          <w:w w:val="90"/>
          <w:sz w:val="13"/>
          <w:lang w:val="uk-UA"/>
        </w:rPr>
        <w:t>підлягає</w:t>
      </w:r>
      <w:r w:rsidRPr="003C6DAE">
        <w:rPr>
          <w:rFonts w:ascii="Trebuchet MS"/>
          <w:w w:val="90"/>
          <w:sz w:val="13"/>
          <w:lang w:val="uk-UA"/>
        </w:rPr>
        <w:t xml:space="preserve"> </w:t>
      </w:r>
      <w:r w:rsidRPr="003C6DAE">
        <w:rPr>
          <w:rFonts w:ascii="Trebuchet MS"/>
          <w:w w:val="90"/>
          <w:sz w:val="13"/>
          <w:lang w:val="uk-UA"/>
        </w:rPr>
        <w:t>оцінці</w:t>
      </w:r>
    </w:p>
    <w:p w14:paraId="7E60937D" w14:textId="77777777" w:rsidR="00E05B98" w:rsidRPr="003C6DAE" w:rsidRDefault="00B01E0C">
      <w:pPr>
        <w:spacing w:before="31"/>
        <w:jc w:val="right"/>
        <w:rPr>
          <w:rFonts w:ascii="Trebuchet MS"/>
          <w:sz w:val="13"/>
          <w:lang w:val="uk-UA"/>
        </w:rPr>
      </w:pPr>
      <w:r w:rsidRPr="003C6DAE">
        <w:rPr>
          <w:rFonts w:ascii="Trebuchet MS"/>
          <w:w w:val="85"/>
          <w:sz w:val="13"/>
          <w:lang w:val="uk-UA"/>
        </w:rPr>
        <w:t>0.96</w:t>
      </w:r>
      <w:r w:rsidRPr="003C6DAE">
        <w:rPr>
          <w:rFonts w:ascii="Trebuchet MS"/>
          <w:spacing w:val="10"/>
          <w:sz w:val="13"/>
          <w:lang w:val="uk-UA"/>
        </w:rPr>
        <w:t xml:space="preserve"> </w:t>
      </w:r>
      <w:r w:rsidRPr="003C6DAE">
        <w:rPr>
          <w:rFonts w:ascii="Trebuchet MS"/>
          <w:w w:val="85"/>
          <w:sz w:val="13"/>
          <w:lang w:val="uk-UA"/>
        </w:rPr>
        <w:t>[0.80,</w:t>
      </w:r>
      <w:r w:rsidRPr="003C6DAE">
        <w:rPr>
          <w:rFonts w:ascii="Trebuchet MS"/>
          <w:spacing w:val="15"/>
          <w:sz w:val="13"/>
          <w:lang w:val="uk-UA"/>
        </w:rPr>
        <w:t xml:space="preserve"> </w:t>
      </w:r>
      <w:r w:rsidRPr="003C6DAE">
        <w:rPr>
          <w:rFonts w:ascii="Trebuchet MS"/>
          <w:spacing w:val="-2"/>
          <w:w w:val="85"/>
          <w:sz w:val="13"/>
          <w:lang w:val="uk-UA"/>
        </w:rPr>
        <w:t>1.00]</w:t>
      </w:r>
    </w:p>
    <w:p w14:paraId="5A073079" w14:textId="77777777" w:rsidR="00E05B98" w:rsidRPr="003C6DAE" w:rsidRDefault="00B01E0C">
      <w:pPr>
        <w:spacing w:before="21"/>
        <w:ind w:left="304"/>
        <w:rPr>
          <w:rFonts w:ascii="Trebuchet MS"/>
          <w:sz w:val="13"/>
          <w:lang w:val="uk-UA"/>
        </w:rPr>
      </w:pPr>
      <w:r w:rsidRPr="003C6DAE">
        <w:rPr>
          <w:lang w:val="uk-UA"/>
        </w:rPr>
        <w:br w:type="column"/>
      </w:r>
      <w:r w:rsidRPr="003C6DAE">
        <w:rPr>
          <w:rFonts w:ascii="Trebuchet MS"/>
          <w:w w:val="85"/>
          <w:sz w:val="13"/>
          <w:lang w:val="uk-UA"/>
        </w:rPr>
        <w:t>1.00</w:t>
      </w:r>
      <w:r w:rsidRPr="003C6DAE">
        <w:rPr>
          <w:rFonts w:ascii="Trebuchet MS"/>
          <w:spacing w:val="10"/>
          <w:sz w:val="13"/>
          <w:lang w:val="uk-UA"/>
        </w:rPr>
        <w:t xml:space="preserve"> </w:t>
      </w:r>
      <w:r w:rsidRPr="003C6DAE">
        <w:rPr>
          <w:rFonts w:ascii="Trebuchet MS"/>
          <w:w w:val="85"/>
          <w:sz w:val="13"/>
          <w:lang w:val="uk-UA"/>
        </w:rPr>
        <w:t>[0.16,</w:t>
      </w:r>
      <w:r w:rsidRPr="003C6DAE">
        <w:rPr>
          <w:rFonts w:ascii="Trebuchet MS"/>
          <w:spacing w:val="15"/>
          <w:sz w:val="13"/>
          <w:lang w:val="uk-UA"/>
        </w:rPr>
        <w:t xml:space="preserve"> </w:t>
      </w:r>
      <w:r w:rsidRPr="003C6DAE">
        <w:rPr>
          <w:rFonts w:ascii="Trebuchet MS"/>
          <w:spacing w:val="-2"/>
          <w:w w:val="85"/>
          <w:sz w:val="13"/>
          <w:lang w:val="uk-UA"/>
        </w:rPr>
        <w:t>1.00]</w:t>
      </w:r>
    </w:p>
    <w:p w14:paraId="60DB7AC8" w14:textId="77777777" w:rsidR="00E05B98" w:rsidRPr="003C6DAE" w:rsidRDefault="00B01E0C">
      <w:pPr>
        <w:spacing w:before="31"/>
        <w:ind w:left="304"/>
        <w:rPr>
          <w:rFonts w:ascii="Trebuchet MS"/>
          <w:sz w:val="13"/>
          <w:lang w:val="uk-UA"/>
        </w:rPr>
      </w:pPr>
      <w:r w:rsidRPr="003C6DAE">
        <w:rPr>
          <w:rFonts w:ascii="Trebuchet MS"/>
          <w:w w:val="85"/>
          <w:sz w:val="13"/>
          <w:lang w:val="uk-UA"/>
        </w:rPr>
        <w:t>0.96</w:t>
      </w:r>
      <w:r w:rsidRPr="003C6DAE">
        <w:rPr>
          <w:rFonts w:ascii="Trebuchet MS"/>
          <w:spacing w:val="10"/>
          <w:sz w:val="13"/>
          <w:lang w:val="uk-UA"/>
        </w:rPr>
        <w:t xml:space="preserve"> </w:t>
      </w:r>
      <w:r w:rsidRPr="003C6DAE">
        <w:rPr>
          <w:rFonts w:ascii="Trebuchet MS"/>
          <w:w w:val="85"/>
          <w:sz w:val="13"/>
          <w:lang w:val="uk-UA"/>
        </w:rPr>
        <w:t>[0.91,</w:t>
      </w:r>
      <w:r w:rsidRPr="003C6DAE">
        <w:rPr>
          <w:rFonts w:ascii="Trebuchet MS"/>
          <w:spacing w:val="15"/>
          <w:sz w:val="13"/>
          <w:lang w:val="uk-UA"/>
        </w:rPr>
        <w:t xml:space="preserve"> </w:t>
      </w:r>
      <w:r w:rsidRPr="003C6DAE">
        <w:rPr>
          <w:rFonts w:ascii="Trebuchet MS"/>
          <w:spacing w:val="-2"/>
          <w:w w:val="85"/>
          <w:sz w:val="13"/>
          <w:lang w:val="uk-UA"/>
        </w:rPr>
        <w:t>0.98]</w:t>
      </w:r>
    </w:p>
    <w:p w14:paraId="5F0228EA" w14:textId="77777777" w:rsidR="00E05B98" w:rsidRPr="003C6DAE" w:rsidRDefault="00B01E0C">
      <w:pPr>
        <w:spacing w:before="31"/>
        <w:ind w:left="304"/>
        <w:rPr>
          <w:rFonts w:ascii="Trebuchet MS"/>
          <w:sz w:val="13"/>
          <w:lang w:val="uk-UA"/>
        </w:rPr>
      </w:pPr>
      <w:r w:rsidRPr="003C6DAE">
        <w:rPr>
          <w:rFonts w:ascii="Trebuchet MS"/>
          <w:w w:val="85"/>
          <w:sz w:val="13"/>
          <w:lang w:val="uk-UA"/>
        </w:rPr>
        <w:t>0.99</w:t>
      </w:r>
      <w:r w:rsidRPr="003C6DAE">
        <w:rPr>
          <w:rFonts w:ascii="Trebuchet MS"/>
          <w:spacing w:val="10"/>
          <w:sz w:val="13"/>
          <w:lang w:val="uk-UA"/>
        </w:rPr>
        <w:t xml:space="preserve"> </w:t>
      </w:r>
      <w:r w:rsidRPr="003C6DAE">
        <w:rPr>
          <w:rFonts w:ascii="Trebuchet MS"/>
          <w:w w:val="85"/>
          <w:sz w:val="13"/>
          <w:lang w:val="uk-UA"/>
        </w:rPr>
        <w:t>[0.96,</w:t>
      </w:r>
      <w:r w:rsidRPr="003C6DAE">
        <w:rPr>
          <w:rFonts w:ascii="Trebuchet MS"/>
          <w:spacing w:val="15"/>
          <w:sz w:val="13"/>
          <w:lang w:val="uk-UA"/>
        </w:rPr>
        <w:t xml:space="preserve"> </w:t>
      </w:r>
      <w:r w:rsidRPr="003C6DAE">
        <w:rPr>
          <w:rFonts w:ascii="Trebuchet MS"/>
          <w:spacing w:val="-2"/>
          <w:w w:val="85"/>
          <w:sz w:val="13"/>
          <w:lang w:val="uk-UA"/>
        </w:rPr>
        <w:t>1.00]</w:t>
      </w:r>
    </w:p>
    <w:p w14:paraId="70E8862D" w14:textId="77777777" w:rsidR="00E05B98" w:rsidRPr="003C6DAE" w:rsidRDefault="00B01E0C">
      <w:pPr>
        <w:spacing w:before="31"/>
        <w:ind w:left="304"/>
        <w:rPr>
          <w:rFonts w:ascii="Trebuchet MS"/>
          <w:sz w:val="13"/>
          <w:lang w:val="uk-UA"/>
        </w:rPr>
      </w:pPr>
      <w:r w:rsidRPr="003C6DAE">
        <w:rPr>
          <w:rFonts w:ascii="Trebuchet MS"/>
          <w:w w:val="85"/>
          <w:sz w:val="13"/>
          <w:lang w:val="uk-UA"/>
        </w:rPr>
        <w:t>0.94</w:t>
      </w:r>
      <w:r w:rsidRPr="003C6DAE">
        <w:rPr>
          <w:rFonts w:ascii="Trebuchet MS"/>
          <w:spacing w:val="10"/>
          <w:sz w:val="13"/>
          <w:lang w:val="uk-UA"/>
        </w:rPr>
        <w:t xml:space="preserve"> </w:t>
      </w:r>
      <w:r w:rsidRPr="003C6DAE">
        <w:rPr>
          <w:rFonts w:ascii="Trebuchet MS"/>
          <w:w w:val="85"/>
          <w:sz w:val="13"/>
          <w:lang w:val="uk-UA"/>
        </w:rPr>
        <w:t>[0.92,</w:t>
      </w:r>
      <w:r w:rsidRPr="003C6DAE">
        <w:rPr>
          <w:rFonts w:ascii="Trebuchet MS"/>
          <w:spacing w:val="15"/>
          <w:sz w:val="13"/>
          <w:lang w:val="uk-UA"/>
        </w:rPr>
        <w:t xml:space="preserve"> </w:t>
      </w:r>
      <w:r w:rsidRPr="003C6DAE">
        <w:rPr>
          <w:rFonts w:ascii="Trebuchet MS"/>
          <w:spacing w:val="-2"/>
          <w:w w:val="85"/>
          <w:sz w:val="13"/>
          <w:lang w:val="uk-UA"/>
        </w:rPr>
        <w:t>0.96]</w:t>
      </w:r>
    </w:p>
    <w:p w14:paraId="23705F24" w14:textId="77777777" w:rsidR="00E05B98" w:rsidRPr="003C6DAE" w:rsidRDefault="00B01E0C">
      <w:pPr>
        <w:spacing w:before="31"/>
        <w:ind w:left="304"/>
        <w:rPr>
          <w:rFonts w:ascii="Trebuchet MS"/>
          <w:sz w:val="13"/>
          <w:lang w:val="uk-UA"/>
        </w:rPr>
      </w:pPr>
      <w:r w:rsidRPr="003C6DAE">
        <w:rPr>
          <w:rFonts w:ascii="Trebuchet MS"/>
          <w:w w:val="85"/>
          <w:sz w:val="13"/>
          <w:lang w:val="uk-UA"/>
        </w:rPr>
        <w:t>0.99</w:t>
      </w:r>
      <w:r w:rsidRPr="003C6DAE">
        <w:rPr>
          <w:rFonts w:ascii="Trebuchet MS"/>
          <w:spacing w:val="10"/>
          <w:sz w:val="13"/>
          <w:lang w:val="uk-UA"/>
        </w:rPr>
        <w:t xml:space="preserve"> </w:t>
      </w:r>
      <w:r w:rsidRPr="003C6DAE">
        <w:rPr>
          <w:rFonts w:ascii="Trebuchet MS"/>
          <w:w w:val="85"/>
          <w:sz w:val="13"/>
          <w:lang w:val="uk-UA"/>
        </w:rPr>
        <w:t>[0.93,</w:t>
      </w:r>
      <w:r w:rsidRPr="003C6DAE">
        <w:rPr>
          <w:rFonts w:ascii="Trebuchet MS"/>
          <w:spacing w:val="15"/>
          <w:sz w:val="13"/>
          <w:lang w:val="uk-UA"/>
        </w:rPr>
        <w:t xml:space="preserve"> </w:t>
      </w:r>
      <w:r w:rsidRPr="003C6DAE">
        <w:rPr>
          <w:rFonts w:ascii="Trebuchet MS"/>
          <w:spacing w:val="-2"/>
          <w:w w:val="85"/>
          <w:sz w:val="13"/>
          <w:lang w:val="uk-UA"/>
        </w:rPr>
        <w:t>1.00]</w:t>
      </w:r>
    </w:p>
    <w:p w14:paraId="28FEA60C" w14:textId="77777777" w:rsidR="00E05B98" w:rsidRPr="003C6DAE" w:rsidRDefault="00B01E0C">
      <w:pPr>
        <w:spacing w:before="31"/>
        <w:ind w:left="304"/>
        <w:rPr>
          <w:rFonts w:ascii="Trebuchet MS"/>
          <w:sz w:val="13"/>
          <w:lang w:val="uk-UA"/>
        </w:rPr>
      </w:pPr>
      <w:r w:rsidRPr="003C6DAE">
        <w:rPr>
          <w:rFonts w:ascii="Trebuchet MS"/>
          <w:w w:val="85"/>
          <w:sz w:val="13"/>
          <w:lang w:val="uk-UA"/>
        </w:rPr>
        <w:t>0.95</w:t>
      </w:r>
      <w:r w:rsidRPr="003C6DAE">
        <w:rPr>
          <w:rFonts w:ascii="Trebuchet MS"/>
          <w:spacing w:val="10"/>
          <w:sz w:val="13"/>
          <w:lang w:val="uk-UA"/>
        </w:rPr>
        <w:t xml:space="preserve"> </w:t>
      </w:r>
      <w:r w:rsidRPr="003C6DAE">
        <w:rPr>
          <w:rFonts w:ascii="Trebuchet MS"/>
          <w:w w:val="85"/>
          <w:sz w:val="13"/>
          <w:lang w:val="uk-UA"/>
        </w:rPr>
        <w:t>[0.90,</w:t>
      </w:r>
      <w:r w:rsidRPr="003C6DAE">
        <w:rPr>
          <w:rFonts w:ascii="Trebuchet MS"/>
          <w:spacing w:val="15"/>
          <w:sz w:val="13"/>
          <w:lang w:val="uk-UA"/>
        </w:rPr>
        <w:t xml:space="preserve"> </w:t>
      </w:r>
      <w:r w:rsidRPr="003C6DAE">
        <w:rPr>
          <w:rFonts w:ascii="Trebuchet MS"/>
          <w:spacing w:val="-2"/>
          <w:w w:val="85"/>
          <w:sz w:val="13"/>
          <w:lang w:val="uk-UA"/>
        </w:rPr>
        <w:t>0.98]</w:t>
      </w:r>
    </w:p>
    <w:p w14:paraId="4C34D627" w14:textId="77777777" w:rsidR="00E05B98" w:rsidRPr="003C6DAE" w:rsidRDefault="00B01E0C">
      <w:pPr>
        <w:spacing w:before="31"/>
        <w:ind w:left="304"/>
        <w:rPr>
          <w:rFonts w:ascii="Trebuchet MS"/>
          <w:sz w:val="13"/>
          <w:lang w:val="uk-UA"/>
        </w:rPr>
      </w:pPr>
      <w:r w:rsidRPr="003C6DAE">
        <w:rPr>
          <w:rFonts w:ascii="Trebuchet MS"/>
          <w:w w:val="85"/>
          <w:sz w:val="13"/>
          <w:lang w:val="uk-UA"/>
        </w:rPr>
        <w:t>0.94</w:t>
      </w:r>
      <w:r w:rsidRPr="003C6DAE">
        <w:rPr>
          <w:rFonts w:ascii="Trebuchet MS"/>
          <w:spacing w:val="10"/>
          <w:sz w:val="13"/>
          <w:lang w:val="uk-UA"/>
        </w:rPr>
        <w:t xml:space="preserve"> </w:t>
      </w:r>
      <w:r w:rsidRPr="003C6DAE">
        <w:rPr>
          <w:rFonts w:ascii="Trebuchet MS"/>
          <w:w w:val="85"/>
          <w:sz w:val="13"/>
          <w:lang w:val="uk-UA"/>
        </w:rPr>
        <w:t>[0.92,</w:t>
      </w:r>
      <w:r w:rsidRPr="003C6DAE">
        <w:rPr>
          <w:rFonts w:ascii="Trebuchet MS"/>
          <w:spacing w:val="15"/>
          <w:sz w:val="13"/>
          <w:lang w:val="uk-UA"/>
        </w:rPr>
        <w:t xml:space="preserve"> </w:t>
      </w:r>
      <w:r w:rsidRPr="003C6DAE">
        <w:rPr>
          <w:rFonts w:ascii="Trebuchet MS"/>
          <w:spacing w:val="-2"/>
          <w:w w:val="85"/>
          <w:sz w:val="13"/>
          <w:lang w:val="uk-UA"/>
        </w:rPr>
        <w:t>0.96]</w:t>
      </w:r>
    </w:p>
    <w:p w14:paraId="22086E10" w14:textId="77777777" w:rsidR="00E05B98" w:rsidRPr="003C6DAE" w:rsidRDefault="00B01E0C">
      <w:pPr>
        <w:spacing w:before="31"/>
        <w:ind w:left="304"/>
        <w:rPr>
          <w:rFonts w:ascii="Trebuchet MS"/>
          <w:sz w:val="13"/>
          <w:lang w:val="uk-UA"/>
        </w:rPr>
      </w:pPr>
      <w:r w:rsidRPr="003C6DAE">
        <w:rPr>
          <w:rFonts w:ascii="Trebuchet MS"/>
          <w:w w:val="85"/>
          <w:sz w:val="13"/>
          <w:lang w:val="uk-UA"/>
        </w:rPr>
        <w:t>0.96</w:t>
      </w:r>
      <w:r w:rsidRPr="003C6DAE">
        <w:rPr>
          <w:rFonts w:ascii="Trebuchet MS"/>
          <w:spacing w:val="10"/>
          <w:sz w:val="13"/>
          <w:lang w:val="uk-UA"/>
        </w:rPr>
        <w:t xml:space="preserve"> </w:t>
      </w:r>
      <w:r w:rsidRPr="003C6DAE">
        <w:rPr>
          <w:rFonts w:ascii="Trebuchet MS"/>
          <w:w w:val="85"/>
          <w:sz w:val="13"/>
          <w:lang w:val="uk-UA"/>
        </w:rPr>
        <w:t>[0.94,</w:t>
      </w:r>
      <w:r w:rsidRPr="003C6DAE">
        <w:rPr>
          <w:rFonts w:ascii="Trebuchet MS"/>
          <w:spacing w:val="15"/>
          <w:sz w:val="13"/>
          <w:lang w:val="uk-UA"/>
        </w:rPr>
        <w:t xml:space="preserve"> </w:t>
      </w:r>
      <w:r w:rsidRPr="003C6DAE">
        <w:rPr>
          <w:rFonts w:ascii="Trebuchet MS"/>
          <w:spacing w:val="-2"/>
          <w:w w:val="85"/>
          <w:sz w:val="13"/>
          <w:lang w:val="uk-UA"/>
        </w:rPr>
        <w:t>0.97]</w:t>
      </w:r>
    </w:p>
    <w:p w14:paraId="387311C3" w14:textId="77777777" w:rsidR="00E05B98" w:rsidRPr="003C6DAE" w:rsidRDefault="00B01E0C">
      <w:pPr>
        <w:spacing w:before="31"/>
        <w:ind w:left="304"/>
        <w:rPr>
          <w:rFonts w:ascii="Trebuchet MS"/>
          <w:sz w:val="13"/>
          <w:lang w:val="uk-UA"/>
        </w:rPr>
      </w:pPr>
      <w:r w:rsidRPr="003C6DAE">
        <w:rPr>
          <w:rFonts w:ascii="Trebuchet MS"/>
          <w:w w:val="85"/>
          <w:sz w:val="13"/>
          <w:lang w:val="uk-UA"/>
        </w:rPr>
        <w:t>0.80</w:t>
      </w:r>
      <w:r w:rsidRPr="003C6DAE">
        <w:rPr>
          <w:rFonts w:ascii="Trebuchet MS"/>
          <w:spacing w:val="10"/>
          <w:sz w:val="13"/>
          <w:lang w:val="uk-UA"/>
        </w:rPr>
        <w:t xml:space="preserve"> </w:t>
      </w:r>
      <w:r w:rsidRPr="003C6DAE">
        <w:rPr>
          <w:rFonts w:ascii="Trebuchet MS"/>
          <w:w w:val="85"/>
          <w:sz w:val="13"/>
          <w:lang w:val="uk-UA"/>
        </w:rPr>
        <w:t>[0.52,</w:t>
      </w:r>
      <w:r w:rsidRPr="003C6DAE">
        <w:rPr>
          <w:rFonts w:ascii="Trebuchet MS"/>
          <w:spacing w:val="15"/>
          <w:sz w:val="13"/>
          <w:lang w:val="uk-UA"/>
        </w:rPr>
        <w:t xml:space="preserve"> </w:t>
      </w:r>
      <w:r w:rsidRPr="003C6DAE">
        <w:rPr>
          <w:rFonts w:ascii="Trebuchet MS"/>
          <w:spacing w:val="-2"/>
          <w:w w:val="85"/>
          <w:sz w:val="13"/>
          <w:lang w:val="uk-UA"/>
        </w:rPr>
        <w:t>0.96]</w:t>
      </w:r>
    </w:p>
    <w:p w14:paraId="317D374A" w14:textId="77777777" w:rsidR="00E05B98" w:rsidRPr="003C6DAE" w:rsidRDefault="00B01E0C">
      <w:pPr>
        <w:spacing w:before="31"/>
        <w:ind w:left="304"/>
        <w:rPr>
          <w:rFonts w:ascii="Trebuchet MS"/>
          <w:sz w:val="13"/>
          <w:lang w:val="uk-UA"/>
        </w:rPr>
      </w:pPr>
      <w:r w:rsidRPr="003C6DAE">
        <w:rPr>
          <w:rFonts w:ascii="Trebuchet MS"/>
          <w:w w:val="85"/>
          <w:sz w:val="13"/>
          <w:lang w:val="uk-UA"/>
        </w:rPr>
        <w:t>0.92</w:t>
      </w:r>
      <w:r w:rsidRPr="003C6DAE">
        <w:rPr>
          <w:rFonts w:ascii="Trebuchet MS"/>
          <w:spacing w:val="10"/>
          <w:sz w:val="13"/>
          <w:lang w:val="uk-UA"/>
        </w:rPr>
        <w:t xml:space="preserve"> </w:t>
      </w:r>
      <w:r w:rsidRPr="003C6DAE">
        <w:rPr>
          <w:rFonts w:ascii="Trebuchet MS"/>
          <w:w w:val="85"/>
          <w:sz w:val="13"/>
          <w:lang w:val="uk-UA"/>
        </w:rPr>
        <w:t>[0.88,</w:t>
      </w:r>
      <w:r w:rsidRPr="003C6DAE">
        <w:rPr>
          <w:rFonts w:ascii="Trebuchet MS"/>
          <w:spacing w:val="15"/>
          <w:sz w:val="13"/>
          <w:lang w:val="uk-UA"/>
        </w:rPr>
        <w:t xml:space="preserve"> </w:t>
      </w:r>
      <w:r w:rsidRPr="003C6DAE">
        <w:rPr>
          <w:rFonts w:ascii="Trebuchet MS"/>
          <w:spacing w:val="-2"/>
          <w:w w:val="85"/>
          <w:sz w:val="13"/>
          <w:lang w:val="uk-UA"/>
        </w:rPr>
        <w:t>0.95]</w:t>
      </w:r>
    </w:p>
    <w:p w14:paraId="2BBED65E" w14:textId="77777777" w:rsidR="00E05B98" w:rsidRPr="003C6DAE" w:rsidRDefault="00B01E0C">
      <w:pPr>
        <w:spacing w:before="31"/>
        <w:ind w:left="304"/>
        <w:rPr>
          <w:rFonts w:ascii="Trebuchet MS"/>
          <w:sz w:val="13"/>
          <w:lang w:val="uk-UA"/>
        </w:rPr>
      </w:pPr>
      <w:r w:rsidRPr="003C6DAE">
        <w:rPr>
          <w:rFonts w:ascii="Trebuchet MS"/>
          <w:w w:val="85"/>
          <w:sz w:val="13"/>
          <w:lang w:val="uk-UA"/>
        </w:rPr>
        <w:t>1.00</w:t>
      </w:r>
      <w:r w:rsidRPr="003C6DAE">
        <w:rPr>
          <w:rFonts w:ascii="Trebuchet MS"/>
          <w:spacing w:val="10"/>
          <w:sz w:val="13"/>
          <w:lang w:val="uk-UA"/>
        </w:rPr>
        <w:t xml:space="preserve"> </w:t>
      </w:r>
      <w:r w:rsidRPr="003C6DAE">
        <w:rPr>
          <w:rFonts w:ascii="Trebuchet MS"/>
          <w:w w:val="85"/>
          <w:sz w:val="13"/>
          <w:lang w:val="uk-UA"/>
        </w:rPr>
        <w:t>[0.40,</w:t>
      </w:r>
      <w:r w:rsidRPr="003C6DAE">
        <w:rPr>
          <w:rFonts w:ascii="Trebuchet MS"/>
          <w:spacing w:val="15"/>
          <w:sz w:val="13"/>
          <w:lang w:val="uk-UA"/>
        </w:rPr>
        <w:t xml:space="preserve"> </w:t>
      </w:r>
      <w:r w:rsidRPr="003C6DAE">
        <w:rPr>
          <w:rFonts w:ascii="Trebuchet MS"/>
          <w:spacing w:val="-2"/>
          <w:w w:val="85"/>
          <w:sz w:val="13"/>
          <w:lang w:val="uk-UA"/>
        </w:rPr>
        <w:t>1.00]</w:t>
      </w:r>
    </w:p>
    <w:p w14:paraId="5332AEBC" w14:textId="77777777" w:rsidR="00E05B98" w:rsidRPr="003C6DAE" w:rsidRDefault="00B01E0C">
      <w:pPr>
        <w:spacing w:before="31"/>
        <w:ind w:left="304"/>
        <w:rPr>
          <w:rFonts w:ascii="Trebuchet MS"/>
          <w:sz w:val="13"/>
          <w:lang w:val="uk-UA"/>
        </w:rPr>
      </w:pPr>
      <w:r w:rsidRPr="003C6DAE">
        <w:rPr>
          <w:rFonts w:ascii="Trebuchet MS"/>
          <w:w w:val="85"/>
          <w:sz w:val="13"/>
          <w:lang w:val="uk-UA"/>
        </w:rPr>
        <w:t>0.97</w:t>
      </w:r>
      <w:r w:rsidRPr="003C6DAE">
        <w:rPr>
          <w:rFonts w:ascii="Trebuchet MS"/>
          <w:spacing w:val="10"/>
          <w:sz w:val="13"/>
          <w:lang w:val="uk-UA"/>
        </w:rPr>
        <w:t xml:space="preserve"> </w:t>
      </w:r>
      <w:r w:rsidRPr="003C6DAE">
        <w:rPr>
          <w:rFonts w:ascii="Trebuchet MS"/>
          <w:w w:val="85"/>
          <w:sz w:val="13"/>
          <w:lang w:val="uk-UA"/>
        </w:rPr>
        <w:t>[0.96,</w:t>
      </w:r>
      <w:r w:rsidRPr="003C6DAE">
        <w:rPr>
          <w:rFonts w:ascii="Trebuchet MS"/>
          <w:spacing w:val="15"/>
          <w:sz w:val="13"/>
          <w:lang w:val="uk-UA"/>
        </w:rPr>
        <w:t xml:space="preserve"> </w:t>
      </w:r>
      <w:r w:rsidRPr="003C6DAE">
        <w:rPr>
          <w:rFonts w:ascii="Trebuchet MS"/>
          <w:spacing w:val="-2"/>
          <w:w w:val="85"/>
          <w:sz w:val="13"/>
          <w:lang w:val="uk-UA"/>
        </w:rPr>
        <w:t>0.99]</w:t>
      </w:r>
    </w:p>
    <w:p w14:paraId="5A66534A" w14:textId="77777777" w:rsidR="00E05B98" w:rsidRPr="003C6DAE" w:rsidRDefault="00B01E0C">
      <w:pPr>
        <w:spacing w:before="31"/>
        <w:ind w:left="304"/>
        <w:rPr>
          <w:rFonts w:ascii="Trebuchet MS"/>
          <w:sz w:val="13"/>
          <w:lang w:val="uk-UA"/>
        </w:rPr>
      </w:pPr>
      <w:r w:rsidRPr="003C6DAE">
        <w:rPr>
          <w:rFonts w:ascii="Trebuchet MS"/>
          <w:w w:val="85"/>
          <w:sz w:val="13"/>
          <w:lang w:val="uk-UA"/>
        </w:rPr>
        <w:t>0.89</w:t>
      </w:r>
      <w:r w:rsidRPr="003C6DAE">
        <w:rPr>
          <w:rFonts w:ascii="Trebuchet MS"/>
          <w:spacing w:val="10"/>
          <w:sz w:val="13"/>
          <w:lang w:val="uk-UA"/>
        </w:rPr>
        <w:t xml:space="preserve"> </w:t>
      </w:r>
      <w:r w:rsidRPr="003C6DAE">
        <w:rPr>
          <w:rFonts w:ascii="Trebuchet MS"/>
          <w:w w:val="85"/>
          <w:sz w:val="13"/>
          <w:lang w:val="uk-UA"/>
        </w:rPr>
        <w:t>[0.84,</w:t>
      </w:r>
      <w:r w:rsidRPr="003C6DAE">
        <w:rPr>
          <w:rFonts w:ascii="Trebuchet MS"/>
          <w:spacing w:val="15"/>
          <w:sz w:val="13"/>
          <w:lang w:val="uk-UA"/>
        </w:rPr>
        <w:t xml:space="preserve"> </w:t>
      </w:r>
      <w:r w:rsidRPr="003C6DAE">
        <w:rPr>
          <w:rFonts w:ascii="Trebuchet MS"/>
          <w:spacing w:val="-2"/>
          <w:w w:val="85"/>
          <w:sz w:val="13"/>
          <w:lang w:val="uk-UA"/>
        </w:rPr>
        <w:t>0.93]</w:t>
      </w:r>
    </w:p>
    <w:p w14:paraId="2296146D" w14:textId="77777777" w:rsidR="00E05B98" w:rsidRPr="003C6DAE" w:rsidRDefault="00B01E0C">
      <w:pPr>
        <w:spacing w:before="31"/>
        <w:ind w:left="304"/>
        <w:rPr>
          <w:rFonts w:ascii="Trebuchet MS"/>
          <w:sz w:val="13"/>
          <w:lang w:val="uk-UA"/>
        </w:rPr>
      </w:pPr>
      <w:r w:rsidRPr="003C6DAE">
        <w:rPr>
          <w:rFonts w:ascii="Trebuchet MS"/>
          <w:w w:val="85"/>
          <w:sz w:val="13"/>
          <w:lang w:val="uk-UA"/>
        </w:rPr>
        <w:t>0.69</w:t>
      </w:r>
      <w:r w:rsidRPr="003C6DAE">
        <w:rPr>
          <w:rFonts w:ascii="Trebuchet MS"/>
          <w:spacing w:val="10"/>
          <w:sz w:val="13"/>
          <w:lang w:val="uk-UA"/>
        </w:rPr>
        <w:t xml:space="preserve"> </w:t>
      </w:r>
      <w:r w:rsidRPr="003C6DAE">
        <w:rPr>
          <w:rFonts w:ascii="Trebuchet MS"/>
          <w:w w:val="85"/>
          <w:sz w:val="13"/>
          <w:lang w:val="uk-UA"/>
        </w:rPr>
        <w:t>[0.60,</w:t>
      </w:r>
      <w:r w:rsidRPr="003C6DAE">
        <w:rPr>
          <w:rFonts w:ascii="Trebuchet MS"/>
          <w:spacing w:val="15"/>
          <w:sz w:val="13"/>
          <w:lang w:val="uk-UA"/>
        </w:rPr>
        <w:t xml:space="preserve"> </w:t>
      </w:r>
      <w:r w:rsidRPr="003C6DAE">
        <w:rPr>
          <w:rFonts w:ascii="Trebuchet MS"/>
          <w:spacing w:val="-2"/>
          <w:w w:val="85"/>
          <w:sz w:val="13"/>
          <w:lang w:val="uk-UA"/>
        </w:rPr>
        <w:t>0.77]</w:t>
      </w:r>
    </w:p>
    <w:p w14:paraId="729A6B91" w14:textId="77777777" w:rsidR="00E05B98" w:rsidRPr="003C6DAE" w:rsidRDefault="00B01E0C">
      <w:pPr>
        <w:spacing w:before="31"/>
        <w:ind w:left="304"/>
        <w:rPr>
          <w:rFonts w:ascii="Trebuchet MS"/>
          <w:sz w:val="13"/>
          <w:lang w:val="uk-UA"/>
        </w:rPr>
      </w:pPr>
      <w:r w:rsidRPr="003C6DAE">
        <w:rPr>
          <w:rFonts w:ascii="Trebuchet MS"/>
          <w:w w:val="85"/>
          <w:sz w:val="13"/>
          <w:lang w:val="uk-UA"/>
        </w:rPr>
        <w:t>0.98</w:t>
      </w:r>
      <w:r w:rsidRPr="003C6DAE">
        <w:rPr>
          <w:rFonts w:ascii="Trebuchet MS"/>
          <w:spacing w:val="10"/>
          <w:sz w:val="13"/>
          <w:lang w:val="uk-UA"/>
        </w:rPr>
        <w:t xml:space="preserve"> </w:t>
      </w:r>
      <w:r w:rsidRPr="003C6DAE">
        <w:rPr>
          <w:rFonts w:ascii="Trebuchet MS"/>
          <w:w w:val="85"/>
          <w:sz w:val="13"/>
          <w:lang w:val="uk-UA"/>
        </w:rPr>
        <w:t>[0.97,</w:t>
      </w:r>
      <w:r w:rsidRPr="003C6DAE">
        <w:rPr>
          <w:rFonts w:ascii="Trebuchet MS"/>
          <w:spacing w:val="15"/>
          <w:sz w:val="13"/>
          <w:lang w:val="uk-UA"/>
        </w:rPr>
        <w:t xml:space="preserve"> </w:t>
      </w:r>
      <w:r w:rsidRPr="003C6DAE">
        <w:rPr>
          <w:rFonts w:ascii="Trebuchet MS"/>
          <w:spacing w:val="-2"/>
          <w:w w:val="85"/>
          <w:sz w:val="13"/>
          <w:lang w:val="uk-UA"/>
        </w:rPr>
        <w:t>0.99]</w:t>
      </w:r>
    </w:p>
    <w:p w14:paraId="291D8EF1" w14:textId="77777777" w:rsidR="00E05B98" w:rsidRPr="003C6DAE" w:rsidRDefault="00B01E0C">
      <w:pPr>
        <w:spacing w:before="31"/>
        <w:ind w:left="304"/>
        <w:rPr>
          <w:rFonts w:ascii="Trebuchet MS"/>
          <w:sz w:val="13"/>
          <w:lang w:val="uk-UA"/>
        </w:rPr>
      </w:pPr>
      <w:r w:rsidRPr="003C6DAE">
        <w:rPr>
          <w:rFonts w:ascii="Trebuchet MS"/>
          <w:w w:val="85"/>
          <w:sz w:val="13"/>
          <w:lang w:val="uk-UA"/>
        </w:rPr>
        <w:t>0.94</w:t>
      </w:r>
      <w:r w:rsidRPr="003C6DAE">
        <w:rPr>
          <w:rFonts w:ascii="Trebuchet MS"/>
          <w:spacing w:val="10"/>
          <w:sz w:val="13"/>
          <w:lang w:val="uk-UA"/>
        </w:rPr>
        <w:t xml:space="preserve"> </w:t>
      </w:r>
      <w:r w:rsidRPr="003C6DAE">
        <w:rPr>
          <w:rFonts w:ascii="Trebuchet MS"/>
          <w:w w:val="85"/>
          <w:sz w:val="13"/>
          <w:lang w:val="uk-UA"/>
        </w:rPr>
        <w:t>[0.91,</w:t>
      </w:r>
      <w:r w:rsidRPr="003C6DAE">
        <w:rPr>
          <w:rFonts w:ascii="Trebuchet MS"/>
          <w:spacing w:val="15"/>
          <w:sz w:val="13"/>
          <w:lang w:val="uk-UA"/>
        </w:rPr>
        <w:t xml:space="preserve"> </w:t>
      </w:r>
      <w:r w:rsidRPr="003C6DAE">
        <w:rPr>
          <w:rFonts w:ascii="Trebuchet MS"/>
          <w:spacing w:val="-2"/>
          <w:w w:val="85"/>
          <w:sz w:val="13"/>
          <w:lang w:val="uk-UA"/>
        </w:rPr>
        <w:t>0.97]</w:t>
      </w:r>
    </w:p>
    <w:p w14:paraId="6E01715D" w14:textId="77777777" w:rsidR="00E05B98" w:rsidRPr="003C6DAE" w:rsidRDefault="00B01E0C">
      <w:pPr>
        <w:spacing w:before="31"/>
        <w:ind w:left="304"/>
        <w:rPr>
          <w:rFonts w:ascii="Trebuchet MS"/>
          <w:sz w:val="13"/>
          <w:lang w:val="uk-UA"/>
        </w:rPr>
      </w:pPr>
      <w:r w:rsidRPr="003C6DAE">
        <w:rPr>
          <w:rFonts w:ascii="Trebuchet MS"/>
          <w:w w:val="85"/>
          <w:sz w:val="13"/>
          <w:lang w:val="uk-UA"/>
        </w:rPr>
        <w:t>0.97</w:t>
      </w:r>
      <w:r w:rsidRPr="003C6DAE">
        <w:rPr>
          <w:rFonts w:ascii="Trebuchet MS"/>
          <w:spacing w:val="10"/>
          <w:sz w:val="13"/>
          <w:lang w:val="uk-UA"/>
        </w:rPr>
        <w:t xml:space="preserve"> </w:t>
      </w:r>
      <w:r w:rsidRPr="003C6DAE">
        <w:rPr>
          <w:rFonts w:ascii="Trebuchet MS"/>
          <w:w w:val="85"/>
          <w:sz w:val="13"/>
          <w:lang w:val="uk-UA"/>
        </w:rPr>
        <w:t>[0.92,</w:t>
      </w:r>
      <w:r w:rsidRPr="003C6DAE">
        <w:rPr>
          <w:rFonts w:ascii="Trebuchet MS"/>
          <w:spacing w:val="15"/>
          <w:sz w:val="13"/>
          <w:lang w:val="uk-UA"/>
        </w:rPr>
        <w:t xml:space="preserve"> </w:t>
      </w:r>
      <w:r w:rsidRPr="003C6DAE">
        <w:rPr>
          <w:rFonts w:ascii="Trebuchet MS"/>
          <w:spacing w:val="-2"/>
          <w:w w:val="85"/>
          <w:sz w:val="13"/>
          <w:lang w:val="uk-UA"/>
        </w:rPr>
        <w:t>0.99]</w:t>
      </w:r>
    </w:p>
    <w:p w14:paraId="4866F75E" w14:textId="77777777" w:rsidR="00E05B98" w:rsidRPr="003C6DAE" w:rsidRDefault="00B01E0C">
      <w:pPr>
        <w:spacing w:before="31"/>
        <w:ind w:left="304"/>
        <w:rPr>
          <w:rFonts w:ascii="Trebuchet MS"/>
          <w:sz w:val="13"/>
          <w:lang w:val="uk-UA"/>
        </w:rPr>
      </w:pPr>
      <w:r w:rsidRPr="003C6DAE">
        <w:rPr>
          <w:rFonts w:ascii="Trebuchet MS"/>
          <w:w w:val="85"/>
          <w:sz w:val="13"/>
          <w:lang w:val="uk-UA"/>
        </w:rPr>
        <w:t>1.00</w:t>
      </w:r>
      <w:r w:rsidRPr="003C6DAE">
        <w:rPr>
          <w:rFonts w:ascii="Trebuchet MS"/>
          <w:spacing w:val="10"/>
          <w:sz w:val="13"/>
          <w:lang w:val="uk-UA"/>
        </w:rPr>
        <w:t xml:space="preserve"> </w:t>
      </w:r>
      <w:r w:rsidRPr="003C6DAE">
        <w:rPr>
          <w:rFonts w:ascii="Trebuchet MS"/>
          <w:w w:val="85"/>
          <w:sz w:val="13"/>
          <w:lang w:val="uk-UA"/>
        </w:rPr>
        <w:t>[0.98,</w:t>
      </w:r>
      <w:r w:rsidRPr="003C6DAE">
        <w:rPr>
          <w:rFonts w:ascii="Trebuchet MS"/>
          <w:spacing w:val="15"/>
          <w:sz w:val="13"/>
          <w:lang w:val="uk-UA"/>
        </w:rPr>
        <w:t xml:space="preserve"> </w:t>
      </w:r>
      <w:r w:rsidRPr="003C6DAE">
        <w:rPr>
          <w:rFonts w:ascii="Trebuchet MS"/>
          <w:spacing w:val="-2"/>
          <w:w w:val="85"/>
          <w:sz w:val="13"/>
          <w:lang w:val="uk-UA"/>
        </w:rPr>
        <w:t>1.00]</w:t>
      </w:r>
    </w:p>
    <w:p w14:paraId="312CB148" w14:textId="77777777" w:rsidR="00E05B98" w:rsidRPr="003C6DAE" w:rsidRDefault="00B01E0C">
      <w:pPr>
        <w:spacing w:before="31"/>
        <w:ind w:left="304"/>
        <w:rPr>
          <w:rFonts w:ascii="Trebuchet MS"/>
          <w:sz w:val="13"/>
          <w:lang w:val="uk-UA"/>
        </w:rPr>
      </w:pPr>
      <w:r w:rsidRPr="003C6DAE">
        <w:rPr>
          <w:rFonts w:ascii="Trebuchet MS"/>
          <w:w w:val="85"/>
          <w:sz w:val="13"/>
          <w:lang w:val="uk-UA"/>
        </w:rPr>
        <w:t>0.94</w:t>
      </w:r>
      <w:r w:rsidRPr="003C6DAE">
        <w:rPr>
          <w:rFonts w:ascii="Trebuchet MS"/>
          <w:spacing w:val="10"/>
          <w:sz w:val="13"/>
          <w:lang w:val="uk-UA"/>
        </w:rPr>
        <w:t xml:space="preserve"> </w:t>
      </w:r>
      <w:r w:rsidRPr="003C6DAE">
        <w:rPr>
          <w:rFonts w:ascii="Trebuchet MS"/>
          <w:w w:val="85"/>
          <w:sz w:val="13"/>
          <w:lang w:val="uk-UA"/>
        </w:rPr>
        <w:t>[0.89,</w:t>
      </w:r>
      <w:r w:rsidRPr="003C6DAE">
        <w:rPr>
          <w:rFonts w:ascii="Trebuchet MS"/>
          <w:spacing w:val="15"/>
          <w:sz w:val="13"/>
          <w:lang w:val="uk-UA"/>
        </w:rPr>
        <w:t xml:space="preserve"> </w:t>
      </w:r>
      <w:r w:rsidRPr="003C6DAE">
        <w:rPr>
          <w:rFonts w:ascii="Trebuchet MS"/>
          <w:spacing w:val="-2"/>
          <w:w w:val="85"/>
          <w:sz w:val="13"/>
          <w:lang w:val="uk-UA"/>
        </w:rPr>
        <w:t>0.97]</w:t>
      </w:r>
    </w:p>
    <w:p w14:paraId="1A99F2B9" w14:textId="77777777" w:rsidR="00E05B98" w:rsidRPr="003C6DAE" w:rsidRDefault="00B01E0C">
      <w:pPr>
        <w:spacing w:before="31"/>
        <w:ind w:left="304"/>
        <w:rPr>
          <w:rFonts w:ascii="Trebuchet MS"/>
          <w:sz w:val="13"/>
          <w:lang w:val="uk-UA"/>
        </w:rPr>
      </w:pPr>
      <w:r w:rsidRPr="003C6DAE">
        <w:rPr>
          <w:rFonts w:ascii="Trebuchet MS"/>
          <w:w w:val="85"/>
          <w:sz w:val="13"/>
          <w:lang w:val="uk-UA"/>
        </w:rPr>
        <w:t>0.98</w:t>
      </w:r>
      <w:r w:rsidRPr="003C6DAE">
        <w:rPr>
          <w:rFonts w:ascii="Trebuchet MS"/>
          <w:spacing w:val="10"/>
          <w:sz w:val="13"/>
          <w:lang w:val="uk-UA"/>
        </w:rPr>
        <w:t xml:space="preserve"> </w:t>
      </w:r>
      <w:r w:rsidRPr="003C6DAE">
        <w:rPr>
          <w:rFonts w:ascii="Trebuchet MS"/>
          <w:w w:val="85"/>
          <w:sz w:val="13"/>
          <w:lang w:val="uk-UA"/>
        </w:rPr>
        <w:t>[0.94,</w:t>
      </w:r>
      <w:r w:rsidRPr="003C6DAE">
        <w:rPr>
          <w:rFonts w:ascii="Trebuchet MS"/>
          <w:spacing w:val="15"/>
          <w:sz w:val="13"/>
          <w:lang w:val="uk-UA"/>
        </w:rPr>
        <w:t xml:space="preserve"> </w:t>
      </w:r>
      <w:r w:rsidRPr="003C6DAE">
        <w:rPr>
          <w:rFonts w:ascii="Trebuchet MS"/>
          <w:spacing w:val="-2"/>
          <w:w w:val="85"/>
          <w:sz w:val="13"/>
          <w:lang w:val="uk-UA"/>
        </w:rPr>
        <w:t>1.00]</w:t>
      </w:r>
    </w:p>
    <w:p w14:paraId="1F015556" w14:textId="77777777" w:rsidR="00E05B98" w:rsidRPr="003C6DAE" w:rsidRDefault="00B01E0C">
      <w:pPr>
        <w:spacing w:before="31"/>
        <w:ind w:left="304"/>
        <w:rPr>
          <w:rFonts w:ascii="Trebuchet MS"/>
          <w:sz w:val="13"/>
          <w:lang w:val="uk-UA"/>
        </w:rPr>
      </w:pPr>
      <w:r w:rsidRPr="003C6DAE">
        <w:rPr>
          <w:rFonts w:ascii="Trebuchet MS"/>
          <w:w w:val="85"/>
          <w:sz w:val="13"/>
          <w:lang w:val="uk-UA"/>
        </w:rPr>
        <w:t>0.96</w:t>
      </w:r>
      <w:r w:rsidRPr="003C6DAE">
        <w:rPr>
          <w:rFonts w:ascii="Trebuchet MS"/>
          <w:spacing w:val="10"/>
          <w:sz w:val="13"/>
          <w:lang w:val="uk-UA"/>
        </w:rPr>
        <w:t xml:space="preserve"> </w:t>
      </w:r>
      <w:r w:rsidRPr="003C6DAE">
        <w:rPr>
          <w:rFonts w:ascii="Trebuchet MS"/>
          <w:w w:val="85"/>
          <w:sz w:val="13"/>
          <w:lang w:val="uk-UA"/>
        </w:rPr>
        <w:t>[0.95,</w:t>
      </w:r>
      <w:r w:rsidRPr="003C6DAE">
        <w:rPr>
          <w:rFonts w:ascii="Trebuchet MS"/>
          <w:spacing w:val="15"/>
          <w:sz w:val="13"/>
          <w:lang w:val="uk-UA"/>
        </w:rPr>
        <w:t xml:space="preserve"> </w:t>
      </w:r>
      <w:r w:rsidRPr="003C6DAE">
        <w:rPr>
          <w:rFonts w:ascii="Trebuchet MS"/>
          <w:spacing w:val="-2"/>
          <w:w w:val="85"/>
          <w:sz w:val="13"/>
          <w:lang w:val="uk-UA"/>
        </w:rPr>
        <w:t>0.97]</w:t>
      </w:r>
    </w:p>
    <w:p w14:paraId="11338B94" w14:textId="77777777" w:rsidR="00E05B98" w:rsidRPr="003C6DAE" w:rsidRDefault="00B01E0C">
      <w:pPr>
        <w:spacing w:before="31"/>
        <w:ind w:left="304"/>
        <w:rPr>
          <w:rFonts w:ascii="Trebuchet MS"/>
          <w:sz w:val="13"/>
          <w:lang w:val="uk-UA"/>
        </w:rPr>
      </w:pPr>
      <w:r w:rsidRPr="003C6DAE">
        <w:rPr>
          <w:rFonts w:ascii="Trebuchet MS"/>
          <w:w w:val="85"/>
          <w:sz w:val="13"/>
          <w:lang w:val="uk-UA"/>
        </w:rPr>
        <w:t>0.97</w:t>
      </w:r>
      <w:r w:rsidRPr="003C6DAE">
        <w:rPr>
          <w:rFonts w:ascii="Trebuchet MS"/>
          <w:spacing w:val="10"/>
          <w:sz w:val="13"/>
          <w:lang w:val="uk-UA"/>
        </w:rPr>
        <w:t xml:space="preserve"> </w:t>
      </w:r>
      <w:r w:rsidRPr="003C6DAE">
        <w:rPr>
          <w:rFonts w:ascii="Trebuchet MS"/>
          <w:w w:val="85"/>
          <w:sz w:val="13"/>
          <w:lang w:val="uk-UA"/>
        </w:rPr>
        <w:t>[0.85,</w:t>
      </w:r>
      <w:r w:rsidRPr="003C6DAE">
        <w:rPr>
          <w:rFonts w:ascii="Trebuchet MS"/>
          <w:spacing w:val="15"/>
          <w:sz w:val="13"/>
          <w:lang w:val="uk-UA"/>
        </w:rPr>
        <w:t xml:space="preserve"> </w:t>
      </w:r>
      <w:r w:rsidRPr="003C6DAE">
        <w:rPr>
          <w:rFonts w:ascii="Trebuchet MS"/>
          <w:spacing w:val="-2"/>
          <w:w w:val="85"/>
          <w:sz w:val="13"/>
          <w:lang w:val="uk-UA"/>
        </w:rPr>
        <w:t>1.00]</w:t>
      </w:r>
    </w:p>
    <w:p w14:paraId="017E5D40" w14:textId="77777777" w:rsidR="00E05B98" w:rsidRPr="003C6DAE" w:rsidRDefault="00B01E0C">
      <w:pPr>
        <w:spacing w:before="31"/>
        <w:ind w:left="304"/>
        <w:rPr>
          <w:rFonts w:ascii="Trebuchet MS"/>
          <w:sz w:val="13"/>
          <w:lang w:val="uk-UA"/>
        </w:rPr>
      </w:pPr>
      <w:r w:rsidRPr="003C6DAE">
        <w:rPr>
          <w:rFonts w:ascii="Trebuchet MS"/>
          <w:w w:val="85"/>
          <w:sz w:val="13"/>
          <w:lang w:val="uk-UA"/>
        </w:rPr>
        <w:t>0.94</w:t>
      </w:r>
      <w:r w:rsidRPr="003C6DAE">
        <w:rPr>
          <w:rFonts w:ascii="Trebuchet MS"/>
          <w:spacing w:val="10"/>
          <w:sz w:val="13"/>
          <w:lang w:val="uk-UA"/>
        </w:rPr>
        <w:t xml:space="preserve"> </w:t>
      </w:r>
      <w:r w:rsidRPr="003C6DAE">
        <w:rPr>
          <w:rFonts w:ascii="Trebuchet MS"/>
          <w:w w:val="85"/>
          <w:sz w:val="13"/>
          <w:lang w:val="uk-UA"/>
        </w:rPr>
        <w:t>[0.85,</w:t>
      </w:r>
      <w:r w:rsidRPr="003C6DAE">
        <w:rPr>
          <w:rFonts w:ascii="Trebuchet MS"/>
          <w:spacing w:val="15"/>
          <w:sz w:val="13"/>
          <w:lang w:val="uk-UA"/>
        </w:rPr>
        <w:t xml:space="preserve"> </w:t>
      </w:r>
      <w:r w:rsidRPr="003C6DAE">
        <w:rPr>
          <w:rFonts w:ascii="Trebuchet MS"/>
          <w:spacing w:val="-2"/>
          <w:w w:val="85"/>
          <w:sz w:val="13"/>
          <w:lang w:val="uk-UA"/>
        </w:rPr>
        <w:t>0.98]</w:t>
      </w:r>
    </w:p>
    <w:p w14:paraId="67CC015E" w14:textId="77777777" w:rsidR="00E05B98" w:rsidRPr="003C6DAE" w:rsidRDefault="00B01E0C">
      <w:pPr>
        <w:spacing w:before="31"/>
        <w:ind w:left="304"/>
        <w:rPr>
          <w:rFonts w:ascii="Trebuchet MS"/>
          <w:sz w:val="13"/>
          <w:lang w:val="uk-UA"/>
        </w:rPr>
      </w:pPr>
      <w:r w:rsidRPr="003C6DAE">
        <w:rPr>
          <w:rFonts w:ascii="Trebuchet MS"/>
          <w:w w:val="85"/>
          <w:sz w:val="13"/>
          <w:lang w:val="uk-UA"/>
        </w:rPr>
        <w:t>0.96</w:t>
      </w:r>
      <w:r w:rsidRPr="003C6DAE">
        <w:rPr>
          <w:rFonts w:ascii="Trebuchet MS"/>
          <w:spacing w:val="10"/>
          <w:sz w:val="13"/>
          <w:lang w:val="uk-UA"/>
        </w:rPr>
        <w:t xml:space="preserve"> </w:t>
      </w:r>
      <w:r w:rsidRPr="003C6DAE">
        <w:rPr>
          <w:rFonts w:ascii="Trebuchet MS"/>
          <w:w w:val="85"/>
          <w:sz w:val="13"/>
          <w:lang w:val="uk-UA"/>
        </w:rPr>
        <w:t>[0.93,</w:t>
      </w:r>
      <w:r w:rsidRPr="003C6DAE">
        <w:rPr>
          <w:rFonts w:ascii="Trebuchet MS"/>
          <w:spacing w:val="15"/>
          <w:sz w:val="13"/>
          <w:lang w:val="uk-UA"/>
        </w:rPr>
        <w:t xml:space="preserve"> </w:t>
      </w:r>
      <w:r w:rsidRPr="003C6DAE">
        <w:rPr>
          <w:rFonts w:ascii="Trebuchet MS"/>
          <w:spacing w:val="-2"/>
          <w:w w:val="85"/>
          <w:sz w:val="13"/>
          <w:lang w:val="uk-UA"/>
        </w:rPr>
        <w:t>0.97]</w:t>
      </w:r>
    </w:p>
    <w:p w14:paraId="185D57EE" w14:textId="77777777" w:rsidR="00E05B98" w:rsidRPr="003C6DAE" w:rsidRDefault="00B01E0C">
      <w:pPr>
        <w:spacing w:before="31"/>
        <w:ind w:left="304"/>
        <w:rPr>
          <w:rFonts w:ascii="Trebuchet MS"/>
          <w:sz w:val="13"/>
          <w:lang w:val="uk-UA"/>
        </w:rPr>
      </w:pPr>
      <w:r w:rsidRPr="003C6DAE">
        <w:rPr>
          <w:rFonts w:ascii="Trebuchet MS"/>
          <w:w w:val="85"/>
          <w:sz w:val="13"/>
          <w:lang w:val="uk-UA"/>
        </w:rPr>
        <w:t>0.90</w:t>
      </w:r>
      <w:r w:rsidRPr="003C6DAE">
        <w:rPr>
          <w:rFonts w:ascii="Trebuchet MS"/>
          <w:spacing w:val="10"/>
          <w:sz w:val="13"/>
          <w:lang w:val="uk-UA"/>
        </w:rPr>
        <w:t xml:space="preserve"> </w:t>
      </w:r>
      <w:r w:rsidRPr="003C6DAE">
        <w:rPr>
          <w:rFonts w:ascii="Trebuchet MS"/>
          <w:w w:val="85"/>
          <w:sz w:val="13"/>
          <w:lang w:val="uk-UA"/>
        </w:rPr>
        <w:t>[0.80,</w:t>
      </w:r>
      <w:r w:rsidRPr="003C6DAE">
        <w:rPr>
          <w:rFonts w:ascii="Trebuchet MS"/>
          <w:spacing w:val="15"/>
          <w:sz w:val="13"/>
          <w:lang w:val="uk-UA"/>
        </w:rPr>
        <w:t xml:space="preserve"> </w:t>
      </w:r>
      <w:r w:rsidRPr="003C6DAE">
        <w:rPr>
          <w:rFonts w:ascii="Trebuchet MS"/>
          <w:spacing w:val="-2"/>
          <w:w w:val="85"/>
          <w:sz w:val="13"/>
          <w:lang w:val="uk-UA"/>
        </w:rPr>
        <w:t>0.96]</w:t>
      </w:r>
    </w:p>
    <w:p w14:paraId="5003102A" w14:textId="77777777" w:rsidR="00E05B98" w:rsidRPr="003C6DAE" w:rsidRDefault="00B01E0C">
      <w:pPr>
        <w:spacing w:before="31"/>
        <w:ind w:left="304"/>
        <w:rPr>
          <w:rFonts w:ascii="Trebuchet MS"/>
          <w:sz w:val="13"/>
          <w:lang w:val="uk-UA"/>
        </w:rPr>
      </w:pPr>
      <w:r w:rsidRPr="003C6DAE">
        <w:rPr>
          <w:rFonts w:ascii="Trebuchet MS"/>
          <w:w w:val="85"/>
          <w:sz w:val="13"/>
          <w:lang w:val="uk-UA"/>
        </w:rPr>
        <w:t>1.00</w:t>
      </w:r>
      <w:r w:rsidRPr="003C6DAE">
        <w:rPr>
          <w:rFonts w:ascii="Trebuchet MS"/>
          <w:spacing w:val="10"/>
          <w:sz w:val="13"/>
          <w:lang w:val="uk-UA"/>
        </w:rPr>
        <w:t xml:space="preserve"> </w:t>
      </w:r>
      <w:r w:rsidRPr="003C6DAE">
        <w:rPr>
          <w:rFonts w:ascii="Trebuchet MS"/>
          <w:w w:val="85"/>
          <w:sz w:val="13"/>
          <w:lang w:val="uk-UA"/>
        </w:rPr>
        <w:t>[0.48,</w:t>
      </w:r>
      <w:r w:rsidRPr="003C6DAE">
        <w:rPr>
          <w:rFonts w:ascii="Trebuchet MS"/>
          <w:spacing w:val="15"/>
          <w:sz w:val="13"/>
          <w:lang w:val="uk-UA"/>
        </w:rPr>
        <w:t xml:space="preserve"> </w:t>
      </w:r>
      <w:r w:rsidRPr="003C6DAE">
        <w:rPr>
          <w:rFonts w:ascii="Trebuchet MS"/>
          <w:spacing w:val="-2"/>
          <w:w w:val="85"/>
          <w:sz w:val="13"/>
          <w:lang w:val="uk-UA"/>
        </w:rPr>
        <w:t>1.00]</w:t>
      </w:r>
    </w:p>
    <w:p w14:paraId="208FF8C5" w14:textId="77777777" w:rsidR="00E05B98" w:rsidRPr="003C6DAE" w:rsidRDefault="00B01E0C">
      <w:pPr>
        <w:spacing w:before="31"/>
        <w:ind w:left="304"/>
        <w:rPr>
          <w:rFonts w:ascii="Trebuchet MS"/>
          <w:sz w:val="13"/>
          <w:lang w:val="uk-UA"/>
        </w:rPr>
      </w:pPr>
      <w:r w:rsidRPr="003C6DAE">
        <w:rPr>
          <w:rFonts w:ascii="Trebuchet MS"/>
          <w:w w:val="85"/>
          <w:sz w:val="13"/>
          <w:lang w:val="uk-UA"/>
        </w:rPr>
        <w:t>0.90</w:t>
      </w:r>
      <w:r w:rsidRPr="003C6DAE">
        <w:rPr>
          <w:rFonts w:ascii="Trebuchet MS"/>
          <w:spacing w:val="10"/>
          <w:sz w:val="13"/>
          <w:lang w:val="uk-UA"/>
        </w:rPr>
        <w:t xml:space="preserve"> </w:t>
      </w:r>
      <w:r w:rsidRPr="003C6DAE">
        <w:rPr>
          <w:rFonts w:ascii="Trebuchet MS"/>
          <w:w w:val="85"/>
          <w:sz w:val="13"/>
          <w:lang w:val="uk-UA"/>
        </w:rPr>
        <w:t>[0.84,</w:t>
      </w:r>
      <w:r w:rsidRPr="003C6DAE">
        <w:rPr>
          <w:rFonts w:ascii="Trebuchet MS"/>
          <w:spacing w:val="15"/>
          <w:sz w:val="13"/>
          <w:lang w:val="uk-UA"/>
        </w:rPr>
        <w:t xml:space="preserve"> </w:t>
      </w:r>
      <w:r w:rsidRPr="003C6DAE">
        <w:rPr>
          <w:rFonts w:ascii="Trebuchet MS"/>
          <w:spacing w:val="-2"/>
          <w:w w:val="85"/>
          <w:sz w:val="13"/>
          <w:lang w:val="uk-UA"/>
        </w:rPr>
        <w:t>0.94]</w:t>
      </w:r>
    </w:p>
    <w:p w14:paraId="4E476B6B" w14:textId="77777777" w:rsidR="00E05B98" w:rsidRPr="003C6DAE" w:rsidRDefault="00B01E0C">
      <w:pPr>
        <w:spacing w:before="30"/>
        <w:ind w:left="304"/>
        <w:rPr>
          <w:rFonts w:ascii="Trebuchet MS"/>
          <w:sz w:val="13"/>
          <w:lang w:val="uk-UA"/>
        </w:rPr>
      </w:pPr>
      <w:r w:rsidRPr="003C6DAE">
        <w:rPr>
          <w:rFonts w:ascii="Trebuchet MS"/>
          <w:w w:val="85"/>
          <w:sz w:val="13"/>
          <w:lang w:val="uk-UA"/>
        </w:rPr>
        <w:t>0.71</w:t>
      </w:r>
      <w:r w:rsidRPr="003C6DAE">
        <w:rPr>
          <w:rFonts w:ascii="Trebuchet MS"/>
          <w:spacing w:val="10"/>
          <w:sz w:val="13"/>
          <w:lang w:val="uk-UA"/>
        </w:rPr>
        <w:t xml:space="preserve"> </w:t>
      </w:r>
      <w:r w:rsidRPr="003C6DAE">
        <w:rPr>
          <w:rFonts w:ascii="Trebuchet MS"/>
          <w:w w:val="85"/>
          <w:sz w:val="13"/>
          <w:lang w:val="uk-UA"/>
        </w:rPr>
        <w:t>[0.66,</w:t>
      </w:r>
      <w:r w:rsidRPr="003C6DAE">
        <w:rPr>
          <w:rFonts w:ascii="Trebuchet MS"/>
          <w:spacing w:val="15"/>
          <w:sz w:val="13"/>
          <w:lang w:val="uk-UA"/>
        </w:rPr>
        <w:t xml:space="preserve"> </w:t>
      </w:r>
      <w:r w:rsidRPr="003C6DAE">
        <w:rPr>
          <w:rFonts w:ascii="Trebuchet MS"/>
          <w:spacing w:val="-2"/>
          <w:w w:val="85"/>
          <w:sz w:val="13"/>
          <w:lang w:val="uk-UA"/>
        </w:rPr>
        <w:t>0.75]</w:t>
      </w:r>
    </w:p>
    <w:p w14:paraId="24F0B726" w14:textId="77777777" w:rsidR="00E05B98" w:rsidRPr="003C6DAE" w:rsidRDefault="00B01E0C">
      <w:pPr>
        <w:spacing w:before="31"/>
        <w:ind w:left="304"/>
        <w:rPr>
          <w:rFonts w:ascii="Trebuchet MS"/>
          <w:sz w:val="13"/>
          <w:lang w:val="uk-UA"/>
        </w:rPr>
      </w:pPr>
      <w:r w:rsidRPr="003C6DAE">
        <w:rPr>
          <w:rFonts w:ascii="Trebuchet MS"/>
          <w:w w:val="85"/>
          <w:sz w:val="13"/>
          <w:lang w:val="uk-UA"/>
        </w:rPr>
        <w:t>0.86</w:t>
      </w:r>
      <w:r w:rsidRPr="003C6DAE">
        <w:rPr>
          <w:rFonts w:ascii="Trebuchet MS"/>
          <w:spacing w:val="10"/>
          <w:sz w:val="13"/>
          <w:lang w:val="uk-UA"/>
        </w:rPr>
        <w:t xml:space="preserve"> </w:t>
      </w:r>
      <w:r w:rsidRPr="003C6DAE">
        <w:rPr>
          <w:rFonts w:ascii="Trebuchet MS"/>
          <w:w w:val="85"/>
          <w:sz w:val="13"/>
          <w:lang w:val="uk-UA"/>
        </w:rPr>
        <w:t>[0.83,</w:t>
      </w:r>
      <w:r w:rsidRPr="003C6DAE">
        <w:rPr>
          <w:rFonts w:ascii="Trebuchet MS"/>
          <w:spacing w:val="15"/>
          <w:sz w:val="13"/>
          <w:lang w:val="uk-UA"/>
        </w:rPr>
        <w:t xml:space="preserve"> </w:t>
      </w:r>
      <w:r w:rsidRPr="003C6DAE">
        <w:rPr>
          <w:rFonts w:ascii="Trebuchet MS"/>
          <w:spacing w:val="-2"/>
          <w:w w:val="85"/>
          <w:sz w:val="13"/>
          <w:lang w:val="uk-UA"/>
        </w:rPr>
        <w:t>0.88]</w:t>
      </w:r>
    </w:p>
    <w:p w14:paraId="41AEE706" w14:textId="77777777" w:rsidR="00E05B98" w:rsidRPr="003C6DAE" w:rsidRDefault="00B01E0C">
      <w:pPr>
        <w:spacing w:before="31"/>
        <w:ind w:left="304"/>
        <w:rPr>
          <w:rFonts w:ascii="Trebuchet MS"/>
          <w:sz w:val="13"/>
          <w:lang w:val="uk-UA"/>
        </w:rPr>
      </w:pPr>
      <w:r w:rsidRPr="003C6DAE">
        <w:rPr>
          <w:rFonts w:ascii="Trebuchet MS"/>
          <w:w w:val="85"/>
          <w:sz w:val="13"/>
          <w:lang w:val="uk-UA"/>
        </w:rPr>
        <w:t>1.00</w:t>
      </w:r>
      <w:r w:rsidRPr="003C6DAE">
        <w:rPr>
          <w:rFonts w:ascii="Trebuchet MS"/>
          <w:spacing w:val="10"/>
          <w:sz w:val="13"/>
          <w:lang w:val="uk-UA"/>
        </w:rPr>
        <w:t xml:space="preserve"> </w:t>
      </w:r>
      <w:r w:rsidRPr="003C6DAE">
        <w:rPr>
          <w:rFonts w:ascii="Trebuchet MS"/>
          <w:w w:val="85"/>
          <w:sz w:val="13"/>
          <w:lang w:val="uk-UA"/>
        </w:rPr>
        <w:t>[0.48,</w:t>
      </w:r>
      <w:r w:rsidRPr="003C6DAE">
        <w:rPr>
          <w:rFonts w:ascii="Trebuchet MS"/>
          <w:spacing w:val="15"/>
          <w:sz w:val="13"/>
          <w:lang w:val="uk-UA"/>
        </w:rPr>
        <w:t xml:space="preserve"> </w:t>
      </w:r>
      <w:r w:rsidRPr="003C6DAE">
        <w:rPr>
          <w:rFonts w:ascii="Trebuchet MS"/>
          <w:spacing w:val="-2"/>
          <w:w w:val="85"/>
          <w:sz w:val="13"/>
          <w:lang w:val="uk-UA"/>
        </w:rPr>
        <w:t>1.00]</w:t>
      </w:r>
    </w:p>
    <w:p w14:paraId="6DE1B030" w14:textId="77777777" w:rsidR="00E05B98" w:rsidRPr="003C6DAE" w:rsidRDefault="00B01E0C">
      <w:pPr>
        <w:spacing w:before="31"/>
        <w:ind w:left="304"/>
        <w:rPr>
          <w:rFonts w:ascii="Trebuchet MS"/>
          <w:sz w:val="13"/>
          <w:lang w:val="uk-UA"/>
        </w:rPr>
      </w:pPr>
      <w:r w:rsidRPr="003C6DAE">
        <w:rPr>
          <w:rFonts w:ascii="Trebuchet MS"/>
          <w:w w:val="85"/>
          <w:sz w:val="13"/>
          <w:lang w:val="uk-UA"/>
        </w:rPr>
        <w:t>0.92</w:t>
      </w:r>
      <w:r w:rsidRPr="003C6DAE">
        <w:rPr>
          <w:rFonts w:ascii="Trebuchet MS"/>
          <w:spacing w:val="10"/>
          <w:sz w:val="13"/>
          <w:lang w:val="uk-UA"/>
        </w:rPr>
        <w:t xml:space="preserve"> </w:t>
      </w:r>
      <w:r w:rsidRPr="003C6DAE">
        <w:rPr>
          <w:rFonts w:ascii="Trebuchet MS"/>
          <w:w w:val="85"/>
          <w:sz w:val="13"/>
          <w:lang w:val="uk-UA"/>
        </w:rPr>
        <w:t>[0.83,</w:t>
      </w:r>
      <w:r w:rsidRPr="003C6DAE">
        <w:rPr>
          <w:rFonts w:ascii="Trebuchet MS"/>
          <w:spacing w:val="15"/>
          <w:sz w:val="13"/>
          <w:lang w:val="uk-UA"/>
        </w:rPr>
        <w:t xml:space="preserve"> </w:t>
      </w:r>
      <w:r w:rsidRPr="003C6DAE">
        <w:rPr>
          <w:rFonts w:ascii="Trebuchet MS"/>
          <w:spacing w:val="-2"/>
          <w:w w:val="85"/>
          <w:sz w:val="13"/>
          <w:lang w:val="uk-UA"/>
        </w:rPr>
        <w:t>0.97]</w:t>
      </w:r>
    </w:p>
    <w:p w14:paraId="06310792" w14:textId="77777777" w:rsidR="00E05B98" w:rsidRPr="003C6DAE" w:rsidRDefault="00B01E0C">
      <w:pPr>
        <w:spacing w:before="4"/>
        <w:rPr>
          <w:rFonts w:ascii="Trebuchet MS"/>
          <w:sz w:val="3"/>
          <w:lang w:val="uk-UA"/>
        </w:rPr>
      </w:pPr>
      <w:r w:rsidRPr="003C6DAE">
        <w:rPr>
          <w:lang w:val="uk-UA"/>
        </w:rPr>
        <w:br w:type="column"/>
      </w:r>
    </w:p>
    <w:p w14:paraId="21FC0F55" w14:textId="77777777" w:rsidR="00E05B98" w:rsidRPr="003C6DAE" w:rsidRDefault="00B01E0C">
      <w:pPr>
        <w:pStyle w:val="a3"/>
        <w:spacing w:line="79" w:lineRule="exact"/>
        <w:ind w:left="205" w:right="-72"/>
        <w:rPr>
          <w:rFonts w:ascii="Trebuchet MS"/>
          <w:position w:val="-1"/>
          <w:sz w:val="7"/>
          <w:lang w:val="uk-UA"/>
        </w:rPr>
      </w:pPr>
      <w:r w:rsidRPr="003C6DAE">
        <w:rPr>
          <w:rFonts w:ascii="Trebuchet MS"/>
          <w:noProof/>
          <w:position w:val="-1"/>
          <w:sz w:val="7"/>
          <w:lang w:val="uk-UA"/>
        </w:rPr>
        <mc:AlternateContent>
          <mc:Choice Requires="wpg">
            <w:drawing>
              <wp:inline distT="0" distB="0" distL="0" distR="0" wp14:anchorId="50631703" wp14:editId="0476A396">
                <wp:extent cx="709930" cy="50800"/>
                <wp:effectExtent l="9525" t="0" r="0" b="635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 cy="50800"/>
                          <a:chOff x="0" y="0"/>
                          <a:chExt cx="709930" cy="50800"/>
                        </a:xfrm>
                      </wpg:grpSpPr>
                      <wps:wsp>
                        <wps:cNvPr id="206" name="Graphic 206"/>
                        <wps:cNvSpPr/>
                        <wps:spPr>
                          <a:xfrm>
                            <a:off x="0" y="21665"/>
                            <a:ext cx="709930" cy="1270"/>
                          </a:xfrm>
                          <a:custGeom>
                            <a:avLst/>
                            <a:gdLst/>
                            <a:ahLst/>
                            <a:cxnLst/>
                            <a:rect l="l" t="t" r="r" b="b"/>
                            <a:pathLst>
                              <a:path w="709930">
                                <a:moveTo>
                                  <a:pt x="0" y="0"/>
                                </a:moveTo>
                                <a:lnTo>
                                  <a:pt x="709454" y="0"/>
                                </a:lnTo>
                              </a:path>
                            </a:pathLst>
                          </a:custGeom>
                          <a:ln w="7221">
                            <a:solidFill>
                              <a:srgbClr val="000000"/>
                            </a:solidFill>
                            <a:prstDash val="solid"/>
                          </a:ln>
                        </wps:spPr>
                        <wps:bodyPr wrap="square" lIns="0" tIns="0" rIns="0" bIns="0" rtlCol="0">
                          <a:prstTxWarp prst="textNoShape">
                            <a:avLst/>
                          </a:prstTxWarp>
                          <a:noAutofit/>
                        </wps:bodyPr>
                      </wps:wsp>
                      <wps:wsp>
                        <wps:cNvPr id="207" name="Graphic 207"/>
                        <wps:cNvSpPr/>
                        <wps:spPr>
                          <a:xfrm>
                            <a:off x="432987"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0EAB544B" id="Group 205" o:spid="_x0000_s1026" style="width:55.9pt;height:4pt;mso-position-horizontal-relative:char;mso-position-vertical-relative:line" coordsize="709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">
                <v:shape id="Graphic 206" o:spid="_x0000_s1027" style="position:absolute;top:216;width:7099;height:13;visibility:visible;mso-wrap-style:square;v-text-anchor:top" coordsize="709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" path="m,l709454,e" filled="f" strokeweight=".20058mm">
                  <v:path arrowok="t"/>
                </v:shape>
                <v:shape id="Graphic 207" o:spid="_x0000_s1028" style="position:absolute;left:4329;width:464;height:508;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" path="m46132,50553l,50553,,,46132,r,50553xe" fillcolor="#0000c0" stroked="f">
                  <v:path arrowok="t"/>
                </v:shape>
                <w10:anchorlock/>
              </v:group>
            </w:pict>
          </mc:Fallback>
        </mc:AlternateContent>
      </w:r>
    </w:p>
    <w:p w14:paraId="5DE4F88F" w14:textId="77777777" w:rsidR="00E05B98" w:rsidRPr="003C6DAE" w:rsidRDefault="00B01E0C">
      <w:pPr>
        <w:pStyle w:val="a3"/>
        <w:spacing w:before="9"/>
        <w:rPr>
          <w:rFonts w:ascii="Trebuchet MS"/>
          <w:sz w:val="6"/>
          <w:lang w:val="uk-UA"/>
        </w:rPr>
      </w:pPr>
      <w:r w:rsidRPr="003C6DAE">
        <w:rPr>
          <w:rFonts w:ascii="Trebuchet MS"/>
          <w:noProof/>
          <w:sz w:val="6"/>
          <w:lang w:val="uk-UA"/>
        </w:rPr>
        <mc:AlternateContent>
          <mc:Choice Requires="wpg">
            <w:drawing>
              <wp:anchor distT="0" distB="0" distL="0" distR="0" simplePos="0" relativeHeight="487647744" behindDoc="1" locked="0" layoutInCell="1" allowOverlap="1" wp14:anchorId="566E6EA2" wp14:editId="00A0A008">
                <wp:simplePos x="0" y="0"/>
                <wp:positionH relativeFrom="page">
                  <wp:posOffset>5564031</wp:posOffset>
                </wp:positionH>
                <wp:positionV relativeFrom="paragraph">
                  <wp:posOffset>65390</wp:posOffset>
                </wp:positionV>
                <wp:extent cx="141605" cy="50800"/>
                <wp:effectExtent l="0" t="0" r="0" b="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605" cy="50800"/>
                          <a:chOff x="0" y="0"/>
                          <a:chExt cx="141605" cy="50800"/>
                        </a:xfrm>
                      </wpg:grpSpPr>
                      <wps:wsp>
                        <wps:cNvPr id="209" name="Graphic 209"/>
                        <wps:cNvSpPr/>
                        <wps:spPr>
                          <a:xfrm>
                            <a:off x="0" y="21665"/>
                            <a:ext cx="141605" cy="1270"/>
                          </a:xfrm>
                          <a:custGeom>
                            <a:avLst/>
                            <a:gdLst/>
                            <a:ahLst/>
                            <a:cxnLst/>
                            <a:rect l="l" t="t" r="r" b="b"/>
                            <a:pathLst>
                              <a:path w="141605">
                                <a:moveTo>
                                  <a:pt x="0" y="0"/>
                                </a:moveTo>
                                <a:lnTo>
                                  <a:pt x="141363" y="0"/>
                                </a:lnTo>
                              </a:path>
                            </a:pathLst>
                          </a:custGeom>
                          <a:ln w="7221">
                            <a:solidFill>
                              <a:srgbClr val="000000"/>
                            </a:solidFill>
                            <a:prstDash val="solid"/>
                          </a:ln>
                        </wps:spPr>
                        <wps:bodyPr wrap="square" lIns="0" tIns="0" rIns="0" bIns="0" rtlCol="0">
                          <a:prstTxWarp prst="textNoShape">
                            <a:avLst/>
                          </a:prstTxWarp>
                          <a:noAutofit/>
                        </wps:bodyPr>
                      </wps:wsp>
                      <wps:wsp>
                        <wps:cNvPr id="210" name="Graphic 210"/>
                        <wps:cNvSpPr/>
                        <wps:spPr>
                          <a:xfrm>
                            <a:off x="68539"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7C35B4E" id="Group 208" o:spid="_x0000_s1026" style="position:absolute;margin-left:438.1pt;margin-top:5.15pt;width:11.15pt;height:4pt;z-index:-15668736;mso-wrap-distance-left:0;mso-wrap-distance-right:0;mso-position-horizontal-relative:page" coordsize="14160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">
                <v:shape id="Graphic 209" o:spid="_x0000_s1027" style="position:absolute;top:21665;width:141605;height:1270;visibility:visible;mso-wrap-style:square;v-text-anchor:top" coordsize="141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" path="m,l141363,e" filled="f" strokeweight=".20058mm">
                  <v:path arrowok="t"/>
                </v:shape>
                <v:shape id="Graphic 210" o:spid="_x0000_s1028" style="position:absolute;left:68539;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" path="m46132,50553l,50553,,,46132,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48256" behindDoc="1" locked="0" layoutInCell="1" allowOverlap="1" wp14:anchorId="7190477C" wp14:editId="2D281392">
                <wp:simplePos x="0" y="0"/>
                <wp:positionH relativeFrom="page">
                  <wp:posOffset>5517239</wp:posOffset>
                </wp:positionH>
                <wp:positionV relativeFrom="paragraph">
                  <wp:posOffset>180940</wp:posOffset>
                </wp:positionV>
                <wp:extent cx="144780" cy="50800"/>
                <wp:effectExtent l="0" t="0" r="0" b="0"/>
                <wp:wrapTopAndBottom/>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50800"/>
                          <a:chOff x="0" y="0"/>
                          <a:chExt cx="144780" cy="50800"/>
                        </a:xfrm>
                      </wpg:grpSpPr>
                      <wps:wsp>
                        <wps:cNvPr id="212" name="Graphic 212"/>
                        <wps:cNvSpPr/>
                        <wps:spPr>
                          <a:xfrm>
                            <a:off x="0" y="21666"/>
                            <a:ext cx="144780" cy="1270"/>
                          </a:xfrm>
                          <a:custGeom>
                            <a:avLst/>
                            <a:gdLst/>
                            <a:ahLst/>
                            <a:cxnLst/>
                            <a:rect l="l" t="t" r="r" b="b"/>
                            <a:pathLst>
                              <a:path w="144780">
                                <a:moveTo>
                                  <a:pt x="0" y="0"/>
                                </a:moveTo>
                                <a:lnTo>
                                  <a:pt x="144329" y="0"/>
                                </a:lnTo>
                              </a:path>
                            </a:pathLst>
                          </a:custGeom>
                          <a:ln w="7221">
                            <a:solidFill>
                              <a:srgbClr val="000000"/>
                            </a:solidFill>
                            <a:prstDash val="solid"/>
                          </a:ln>
                        </wps:spPr>
                        <wps:bodyPr wrap="square" lIns="0" tIns="0" rIns="0" bIns="0" rtlCol="0">
                          <a:prstTxWarp prst="textNoShape">
                            <a:avLst/>
                          </a:prstTxWarp>
                          <a:noAutofit/>
                        </wps:bodyPr>
                      </wps:wsp>
                      <wps:wsp>
                        <wps:cNvPr id="213" name="Graphic 213"/>
                        <wps:cNvSpPr/>
                        <wps:spPr>
                          <a:xfrm>
                            <a:off x="63267" y="0"/>
                            <a:ext cx="46355" cy="50800"/>
                          </a:xfrm>
                          <a:custGeom>
                            <a:avLst/>
                            <a:gdLst/>
                            <a:ahLst/>
                            <a:cxnLst/>
                            <a:rect l="l" t="t" r="r" b="b"/>
                            <a:pathLst>
                              <a:path w="46355" h="50800">
                                <a:moveTo>
                                  <a:pt x="46132" y="50554"/>
                                </a:moveTo>
                                <a:lnTo>
                                  <a:pt x="0" y="50554"/>
                                </a:lnTo>
                                <a:lnTo>
                                  <a:pt x="0" y="0"/>
                                </a:lnTo>
                                <a:lnTo>
                                  <a:pt x="46132" y="0"/>
                                </a:lnTo>
                                <a:lnTo>
                                  <a:pt x="46132" y="5055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27FA205" id="Group 211" o:spid="_x0000_s1026" style="position:absolute;margin-left:434.45pt;margin-top:14.25pt;width:11.4pt;height:4pt;z-index:-15668224;mso-wrap-distance-left:0;mso-wrap-distance-right:0;mso-position-horizontal-relative:page" coordsize="14478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">
                <v:shape id="Graphic 212" o:spid="_x0000_s1027" style="position:absolute;top:21666;width:144780;height:1270;visibility:visible;mso-wrap-style:square;v-text-anchor:top" coordsize="144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" path="m,l144329,e" filled="f" strokeweight=".20058mm">
                  <v:path arrowok="t"/>
                </v:shape>
                <v:shape id="Graphic 213" o:spid="_x0000_s1028" style="position:absolute;left:63267;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" path="m46132,50554l,50554,,,46132,r,50554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48768" behindDoc="1" locked="0" layoutInCell="1" allowOverlap="1" wp14:anchorId="4D210BD7" wp14:editId="75839883">
                <wp:simplePos x="0" y="0"/>
                <wp:positionH relativeFrom="page">
                  <wp:posOffset>5625651</wp:posOffset>
                </wp:positionH>
                <wp:positionV relativeFrom="paragraph">
                  <wp:posOffset>296492</wp:posOffset>
                </wp:positionV>
                <wp:extent cx="62230" cy="50800"/>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 cy="50800"/>
                          <a:chOff x="0" y="0"/>
                          <a:chExt cx="62230" cy="50800"/>
                        </a:xfrm>
                      </wpg:grpSpPr>
                      <wps:wsp>
                        <wps:cNvPr id="215" name="Graphic 215"/>
                        <wps:cNvSpPr/>
                        <wps:spPr>
                          <a:xfrm>
                            <a:off x="0" y="21665"/>
                            <a:ext cx="62230" cy="1270"/>
                          </a:xfrm>
                          <a:custGeom>
                            <a:avLst/>
                            <a:gdLst/>
                            <a:ahLst/>
                            <a:cxnLst/>
                            <a:rect l="l" t="t" r="r" b="b"/>
                            <a:pathLst>
                              <a:path w="62230">
                                <a:moveTo>
                                  <a:pt x="0" y="0"/>
                                </a:moveTo>
                                <a:lnTo>
                                  <a:pt x="61620" y="0"/>
                                </a:lnTo>
                              </a:path>
                            </a:pathLst>
                          </a:custGeom>
                          <a:ln w="7221">
                            <a:solidFill>
                              <a:srgbClr val="000000"/>
                            </a:solidFill>
                            <a:prstDash val="solid"/>
                          </a:ln>
                        </wps:spPr>
                        <wps:bodyPr wrap="square" lIns="0" tIns="0" rIns="0" bIns="0" rtlCol="0">
                          <a:prstTxWarp prst="textNoShape">
                            <a:avLst/>
                          </a:prstTxWarp>
                          <a:noAutofit/>
                        </wps:bodyPr>
                      </wps:wsp>
                      <wps:wsp>
                        <wps:cNvPr id="216" name="Graphic 216"/>
                        <wps:cNvSpPr/>
                        <wps:spPr>
                          <a:xfrm>
                            <a:off x="14828" y="0"/>
                            <a:ext cx="46355" cy="50800"/>
                          </a:xfrm>
                          <a:custGeom>
                            <a:avLst/>
                            <a:gdLst/>
                            <a:ahLst/>
                            <a:cxnLst/>
                            <a:rect l="l" t="t" r="r" b="b"/>
                            <a:pathLst>
                              <a:path w="46355" h="50800">
                                <a:moveTo>
                                  <a:pt x="46132" y="50552"/>
                                </a:moveTo>
                                <a:lnTo>
                                  <a:pt x="0" y="50552"/>
                                </a:lnTo>
                                <a:lnTo>
                                  <a:pt x="0" y="0"/>
                                </a:lnTo>
                                <a:lnTo>
                                  <a:pt x="46132" y="0"/>
                                </a:lnTo>
                                <a:lnTo>
                                  <a:pt x="46132" y="50552"/>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6009FD6" id="Group 214" o:spid="_x0000_s1026" style="position:absolute;margin-left:442.95pt;margin-top:23.35pt;width:4.9pt;height:4pt;z-index:-15667712;mso-wrap-distance-left:0;mso-wrap-distance-right:0;mso-position-horizontal-relative:page" coordsize="6223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">
                <v:shape id="Graphic 215" o:spid="_x0000_s1027" style="position:absolute;top:21665;width:62230;height:1270;visibility:visible;mso-wrap-style:square;v-text-anchor:top" coordsize="62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" path="m,l61620,e" filled="f" strokeweight=".20058mm">
                  <v:path arrowok="t"/>
                </v:shape>
                <v:shape id="Graphic 216" o:spid="_x0000_s1028" style="position:absolute;left:14828;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" path="m46132,50552l,50552,,,46132,r,50552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49280" behindDoc="1" locked="0" layoutInCell="1" allowOverlap="1" wp14:anchorId="5737A247" wp14:editId="547EC214">
                <wp:simplePos x="0" y="0"/>
                <wp:positionH relativeFrom="page">
                  <wp:posOffset>5595665</wp:posOffset>
                </wp:positionH>
                <wp:positionV relativeFrom="paragraph">
                  <wp:posOffset>412043</wp:posOffset>
                </wp:positionV>
                <wp:extent cx="76200" cy="50800"/>
                <wp:effectExtent l="0" t="0" r="0" b="0"/>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50800"/>
                          <a:chOff x="0" y="0"/>
                          <a:chExt cx="76200" cy="50800"/>
                        </a:xfrm>
                      </wpg:grpSpPr>
                      <wps:wsp>
                        <wps:cNvPr id="218" name="Graphic 218"/>
                        <wps:cNvSpPr/>
                        <wps:spPr>
                          <a:xfrm>
                            <a:off x="0" y="21666"/>
                            <a:ext cx="76200" cy="1270"/>
                          </a:xfrm>
                          <a:custGeom>
                            <a:avLst/>
                            <a:gdLst/>
                            <a:ahLst/>
                            <a:cxnLst/>
                            <a:rect l="l" t="t" r="r" b="b"/>
                            <a:pathLst>
                              <a:path w="76200">
                                <a:moveTo>
                                  <a:pt x="0" y="0"/>
                                </a:moveTo>
                                <a:lnTo>
                                  <a:pt x="76118" y="0"/>
                                </a:lnTo>
                              </a:path>
                            </a:pathLst>
                          </a:custGeom>
                          <a:ln w="7221">
                            <a:solidFill>
                              <a:srgbClr val="000000"/>
                            </a:solidFill>
                            <a:prstDash val="solid"/>
                          </a:ln>
                        </wps:spPr>
                        <wps:bodyPr wrap="square" lIns="0" tIns="0" rIns="0" bIns="0" rtlCol="0">
                          <a:prstTxWarp prst="textNoShape">
                            <a:avLst/>
                          </a:prstTxWarp>
                          <a:noAutofit/>
                        </wps:bodyPr>
                      </wps:wsp>
                      <wps:wsp>
                        <wps:cNvPr id="219" name="Graphic 219"/>
                        <wps:cNvSpPr/>
                        <wps:spPr>
                          <a:xfrm>
                            <a:off x="23065" y="0"/>
                            <a:ext cx="46355" cy="50800"/>
                          </a:xfrm>
                          <a:custGeom>
                            <a:avLst/>
                            <a:gdLst/>
                            <a:ahLst/>
                            <a:cxnLst/>
                            <a:rect l="l" t="t" r="r" b="b"/>
                            <a:pathLst>
                              <a:path w="46355" h="50800">
                                <a:moveTo>
                                  <a:pt x="46132" y="50554"/>
                                </a:moveTo>
                                <a:lnTo>
                                  <a:pt x="0" y="50554"/>
                                </a:lnTo>
                                <a:lnTo>
                                  <a:pt x="0" y="0"/>
                                </a:lnTo>
                                <a:lnTo>
                                  <a:pt x="46132" y="0"/>
                                </a:lnTo>
                                <a:lnTo>
                                  <a:pt x="46132" y="5055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5E52003" id="Group 217" o:spid="_x0000_s1026" style="position:absolute;margin-left:440.6pt;margin-top:32.45pt;width:6pt;height:4pt;z-index:-15667200;mso-wrap-distance-left:0;mso-wrap-distance-right:0;mso-position-horizontal-relative:page" coordsize="762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">
                <v:shape id="Graphic 218" o:spid="_x0000_s1027" style="position:absolute;top:21666;width:76200;height:1270;visibility:visible;mso-wrap-style:square;v-text-anchor:top" coordsize="76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" path="m,l76118,e" filled="f" strokeweight=".20058mm">
                  <v:path arrowok="t"/>
                </v:shape>
                <v:shape id="Graphic 219" o:spid="_x0000_s1028" style="position:absolute;left:23065;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" path="m46132,50554l,50554,,,46132,r,50554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49792" behindDoc="1" locked="0" layoutInCell="1" allowOverlap="1" wp14:anchorId="5E5227AE" wp14:editId="1DE84B77">
                <wp:simplePos x="0" y="0"/>
                <wp:positionH relativeFrom="page">
                  <wp:posOffset>5226603</wp:posOffset>
                </wp:positionH>
                <wp:positionV relativeFrom="paragraph">
                  <wp:posOffset>527594</wp:posOffset>
                </wp:positionV>
                <wp:extent cx="390525" cy="50800"/>
                <wp:effectExtent l="0" t="0" r="0" b="0"/>
                <wp:wrapTopAndBottom/>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525" cy="50800"/>
                          <a:chOff x="0" y="0"/>
                          <a:chExt cx="390525" cy="50800"/>
                        </a:xfrm>
                      </wpg:grpSpPr>
                      <wps:wsp>
                        <wps:cNvPr id="221" name="Graphic 221"/>
                        <wps:cNvSpPr/>
                        <wps:spPr>
                          <a:xfrm>
                            <a:off x="0" y="21666"/>
                            <a:ext cx="390525" cy="1270"/>
                          </a:xfrm>
                          <a:custGeom>
                            <a:avLst/>
                            <a:gdLst/>
                            <a:ahLst/>
                            <a:cxnLst/>
                            <a:rect l="l" t="t" r="r" b="b"/>
                            <a:pathLst>
                              <a:path w="390525">
                                <a:moveTo>
                                  <a:pt x="0" y="0"/>
                                </a:moveTo>
                                <a:lnTo>
                                  <a:pt x="390480" y="0"/>
                                </a:lnTo>
                              </a:path>
                            </a:pathLst>
                          </a:custGeom>
                          <a:ln w="7221">
                            <a:solidFill>
                              <a:srgbClr val="000000"/>
                            </a:solidFill>
                            <a:prstDash val="solid"/>
                          </a:ln>
                        </wps:spPr>
                        <wps:bodyPr wrap="square" lIns="0" tIns="0" rIns="0" bIns="0" rtlCol="0">
                          <a:prstTxWarp prst="textNoShape">
                            <a:avLst/>
                          </a:prstTxWarp>
                          <a:noAutofit/>
                        </wps:bodyPr>
                      </wps:wsp>
                      <wps:wsp>
                        <wps:cNvPr id="222" name="Graphic 222"/>
                        <wps:cNvSpPr/>
                        <wps:spPr>
                          <a:xfrm>
                            <a:off x="194416"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3E047C8" id="Group 220" o:spid="_x0000_s1026" style="position:absolute;margin-left:411.55pt;margin-top:41.55pt;width:30.75pt;height:4pt;z-index:-15666688;mso-wrap-distance-left:0;mso-wrap-distance-right:0;mso-position-horizontal-relative:page" coordsize="39052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">
                <v:shape id="Graphic 221" o:spid="_x0000_s1027" style="position:absolute;top:21666;width:390525;height:1270;visibility:visible;mso-wrap-style:square;v-text-anchor:top" coordsize="390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" path="m,l390480,e" filled="f" strokeweight=".20058mm">
                  <v:path arrowok="t"/>
                </v:shape>
                <v:shape id="Graphic 222" o:spid="_x0000_s1028" style="position:absolute;left:194416;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" path="m46132,50553l,50553,,,46132,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50304" behindDoc="1" locked="0" layoutInCell="1" allowOverlap="1" wp14:anchorId="10F6B681" wp14:editId="73A3D1AB">
                <wp:simplePos x="0" y="0"/>
                <wp:positionH relativeFrom="page">
                  <wp:posOffset>5526136</wp:posOffset>
                </wp:positionH>
                <wp:positionV relativeFrom="paragraph">
                  <wp:posOffset>643146</wp:posOffset>
                </wp:positionV>
                <wp:extent cx="130175" cy="50800"/>
                <wp:effectExtent l="0" t="0" r="0" b="0"/>
                <wp:wrapTopAndBottom/>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50800"/>
                          <a:chOff x="0" y="0"/>
                          <a:chExt cx="130175" cy="50800"/>
                        </a:xfrm>
                      </wpg:grpSpPr>
                      <wps:wsp>
                        <wps:cNvPr id="224" name="Graphic 224"/>
                        <wps:cNvSpPr/>
                        <wps:spPr>
                          <a:xfrm>
                            <a:off x="0" y="21665"/>
                            <a:ext cx="130175" cy="1270"/>
                          </a:xfrm>
                          <a:custGeom>
                            <a:avLst/>
                            <a:gdLst/>
                            <a:ahLst/>
                            <a:cxnLst/>
                            <a:rect l="l" t="t" r="r" b="b"/>
                            <a:pathLst>
                              <a:path w="130175">
                                <a:moveTo>
                                  <a:pt x="0" y="0"/>
                                </a:moveTo>
                                <a:lnTo>
                                  <a:pt x="129830" y="0"/>
                                </a:lnTo>
                              </a:path>
                            </a:pathLst>
                          </a:custGeom>
                          <a:ln w="7221">
                            <a:solidFill>
                              <a:srgbClr val="000000"/>
                            </a:solidFill>
                            <a:prstDash val="solid"/>
                          </a:ln>
                        </wps:spPr>
                        <wps:bodyPr wrap="square" lIns="0" tIns="0" rIns="0" bIns="0" rtlCol="0">
                          <a:prstTxWarp prst="textNoShape">
                            <a:avLst/>
                          </a:prstTxWarp>
                          <a:noAutofit/>
                        </wps:bodyPr>
                      </wps:wsp>
                      <wps:wsp>
                        <wps:cNvPr id="225" name="Graphic 225"/>
                        <wps:cNvSpPr/>
                        <wps:spPr>
                          <a:xfrm>
                            <a:off x="53711"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0F3FEA2" id="Group 223" o:spid="_x0000_s1026" style="position:absolute;margin-left:435.15pt;margin-top:50.65pt;width:10.25pt;height:4pt;z-index:-15666176;mso-wrap-distance-left:0;mso-wrap-distance-right:0;mso-position-horizontal-relative:page" coordsize="13017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">
                <v:shape id="Graphic 224" o:spid="_x0000_s1027" style="position:absolute;top:21665;width:130175;height:1270;visibility:visible;mso-wrap-style:square;v-text-anchor:top" coordsize="13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" path="m,l129830,e" filled="f" strokeweight=".20058mm">
                  <v:path arrowok="t"/>
                </v:shape>
                <v:shape id="Graphic 225" o:spid="_x0000_s1028" style="position:absolute;left:53711;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" path="m46132,50553l,50553,,,46132,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50816" behindDoc="1" locked="0" layoutInCell="1" allowOverlap="1" wp14:anchorId="79F3A743" wp14:editId="6EAF8B39">
                <wp:simplePos x="0" y="0"/>
                <wp:positionH relativeFrom="page">
                  <wp:posOffset>5618731</wp:posOffset>
                </wp:positionH>
                <wp:positionV relativeFrom="paragraph">
                  <wp:posOffset>758697</wp:posOffset>
                </wp:positionV>
                <wp:extent cx="52705" cy="50800"/>
                <wp:effectExtent l="0" t="0" r="0" b="0"/>
                <wp:wrapTopAndBottom/>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05" cy="50800"/>
                          <a:chOff x="0" y="0"/>
                          <a:chExt cx="52705" cy="50800"/>
                        </a:xfrm>
                      </wpg:grpSpPr>
                      <wps:wsp>
                        <wps:cNvPr id="227" name="Graphic 227"/>
                        <wps:cNvSpPr/>
                        <wps:spPr>
                          <a:xfrm>
                            <a:off x="0" y="21666"/>
                            <a:ext cx="48260" cy="1270"/>
                          </a:xfrm>
                          <a:custGeom>
                            <a:avLst/>
                            <a:gdLst/>
                            <a:ahLst/>
                            <a:cxnLst/>
                            <a:rect l="l" t="t" r="r" b="b"/>
                            <a:pathLst>
                              <a:path w="48260">
                                <a:moveTo>
                                  <a:pt x="0" y="0"/>
                                </a:moveTo>
                                <a:lnTo>
                                  <a:pt x="48109" y="0"/>
                                </a:lnTo>
                              </a:path>
                            </a:pathLst>
                          </a:custGeom>
                          <a:ln w="7221">
                            <a:solidFill>
                              <a:srgbClr val="000000"/>
                            </a:solidFill>
                            <a:prstDash val="solid"/>
                          </a:ln>
                        </wps:spPr>
                        <wps:bodyPr wrap="square" lIns="0" tIns="0" rIns="0" bIns="0" rtlCol="0">
                          <a:prstTxWarp prst="textNoShape">
                            <a:avLst/>
                          </a:prstTxWarp>
                          <a:noAutofit/>
                        </wps:bodyPr>
                      </wps:wsp>
                      <wps:wsp>
                        <wps:cNvPr id="228" name="Graphic 228"/>
                        <wps:cNvSpPr/>
                        <wps:spPr>
                          <a:xfrm>
                            <a:off x="6260" y="0"/>
                            <a:ext cx="46355" cy="50800"/>
                          </a:xfrm>
                          <a:custGeom>
                            <a:avLst/>
                            <a:gdLst/>
                            <a:ahLst/>
                            <a:cxnLst/>
                            <a:rect l="l" t="t" r="r" b="b"/>
                            <a:pathLst>
                              <a:path w="46355" h="50800">
                                <a:moveTo>
                                  <a:pt x="46133" y="50555"/>
                                </a:moveTo>
                                <a:lnTo>
                                  <a:pt x="0" y="50555"/>
                                </a:lnTo>
                                <a:lnTo>
                                  <a:pt x="0" y="0"/>
                                </a:lnTo>
                                <a:lnTo>
                                  <a:pt x="46133" y="0"/>
                                </a:lnTo>
                                <a:lnTo>
                                  <a:pt x="46133" y="50555"/>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81A3ABE" id="Group 226" o:spid="_x0000_s1026" style="position:absolute;margin-left:442.4pt;margin-top:59.75pt;width:4.15pt;height:4pt;z-index:-15665664;mso-wrap-distance-left:0;mso-wrap-distance-right:0;mso-position-horizontal-relative:page" coordsize="5270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">
                <v:shape id="Graphic 227" o:spid="_x0000_s1027" style="position:absolute;top:21666;width:48260;height:1270;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" path="m,l48109,e" filled="f" strokeweight=".20058mm">
                  <v:path arrowok="t"/>
                </v:shape>
                <v:shape id="Graphic 228" o:spid="_x0000_s1028" style="position:absolute;left:6260;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" path="m46133,50555l,50555,,,46133,r,50555xe" fillcolor="#0000c0" stroked="f">
                  <v:path arrowok="t"/>
                </v:shape>
                <w10:wrap type="topAndBottom" anchorx="page"/>
              </v:group>
            </w:pict>
          </mc:Fallback>
        </mc:AlternateContent>
      </w:r>
    </w:p>
    <w:p w14:paraId="34206722" w14:textId="77777777" w:rsidR="00E05B98" w:rsidRPr="003C6DAE" w:rsidRDefault="00E05B98">
      <w:pPr>
        <w:pStyle w:val="a3"/>
        <w:spacing w:before="8"/>
        <w:rPr>
          <w:rFonts w:ascii="Trebuchet MS"/>
          <w:sz w:val="6"/>
          <w:lang w:val="uk-UA"/>
        </w:rPr>
      </w:pPr>
    </w:p>
    <w:p w14:paraId="5A214D61" w14:textId="77777777" w:rsidR="00E05B98" w:rsidRPr="003C6DAE" w:rsidRDefault="00E05B98">
      <w:pPr>
        <w:pStyle w:val="a3"/>
        <w:spacing w:before="8"/>
        <w:rPr>
          <w:rFonts w:ascii="Trebuchet MS"/>
          <w:sz w:val="6"/>
          <w:lang w:val="uk-UA"/>
        </w:rPr>
      </w:pPr>
    </w:p>
    <w:p w14:paraId="4AA26DC3" w14:textId="77777777" w:rsidR="00E05B98" w:rsidRPr="003C6DAE" w:rsidRDefault="00E05B98">
      <w:pPr>
        <w:pStyle w:val="a3"/>
        <w:spacing w:before="8"/>
        <w:rPr>
          <w:rFonts w:ascii="Trebuchet MS"/>
          <w:sz w:val="6"/>
          <w:lang w:val="uk-UA"/>
        </w:rPr>
      </w:pPr>
    </w:p>
    <w:p w14:paraId="54599E6A" w14:textId="77777777" w:rsidR="00E05B98" w:rsidRPr="003C6DAE" w:rsidRDefault="00E05B98">
      <w:pPr>
        <w:pStyle w:val="a3"/>
        <w:spacing w:before="8"/>
        <w:rPr>
          <w:rFonts w:ascii="Trebuchet MS"/>
          <w:sz w:val="6"/>
          <w:lang w:val="uk-UA"/>
        </w:rPr>
      </w:pPr>
    </w:p>
    <w:p w14:paraId="0D1F3AC7" w14:textId="77777777" w:rsidR="00E05B98" w:rsidRPr="003C6DAE" w:rsidRDefault="00E05B98">
      <w:pPr>
        <w:pStyle w:val="a3"/>
        <w:spacing w:before="8"/>
        <w:rPr>
          <w:rFonts w:ascii="Trebuchet MS"/>
          <w:sz w:val="6"/>
          <w:lang w:val="uk-UA"/>
        </w:rPr>
      </w:pPr>
    </w:p>
    <w:p w14:paraId="021E97D9" w14:textId="77777777" w:rsidR="00E05B98" w:rsidRPr="003C6DAE" w:rsidRDefault="00E05B98">
      <w:pPr>
        <w:pStyle w:val="a3"/>
        <w:spacing w:before="8"/>
        <w:rPr>
          <w:rFonts w:ascii="Trebuchet MS"/>
          <w:sz w:val="6"/>
          <w:lang w:val="uk-UA"/>
        </w:rPr>
      </w:pPr>
    </w:p>
    <w:p w14:paraId="6AB4121B" w14:textId="77777777" w:rsidR="00E05B98" w:rsidRPr="003C6DAE" w:rsidRDefault="00E05B98">
      <w:pPr>
        <w:pStyle w:val="a3"/>
        <w:spacing w:before="9"/>
        <w:rPr>
          <w:rFonts w:ascii="Trebuchet MS"/>
          <w:sz w:val="8"/>
          <w:lang w:val="uk-UA"/>
        </w:rPr>
      </w:pPr>
    </w:p>
    <w:p w14:paraId="19279172" w14:textId="77777777" w:rsidR="00E05B98" w:rsidRPr="003C6DAE" w:rsidRDefault="00B01E0C">
      <w:pPr>
        <w:pStyle w:val="a3"/>
        <w:spacing w:line="79" w:lineRule="exact"/>
        <w:ind w:left="534" w:right="-72"/>
        <w:rPr>
          <w:rFonts w:ascii="Trebuchet MS"/>
          <w:position w:val="-1"/>
          <w:sz w:val="7"/>
          <w:lang w:val="uk-UA"/>
        </w:rPr>
      </w:pPr>
      <w:r w:rsidRPr="003C6DAE">
        <w:rPr>
          <w:rFonts w:ascii="Trebuchet MS"/>
          <w:noProof/>
          <w:position w:val="-1"/>
          <w:sz w:val="7"/>
          <w:lang w:val="uk-UA"/>
        </w:rPr>
        <mc:AlternateContent>
          <mc:Choice Requires="wpg">
            <w:drawing>
              <wp:inline distT="0" distB="0" distL="0" distR="0" wp14:anchorId="181158A1" wp14:editId="6C81DEC5">
                <wp:extent cx="503555" cy="50800"/>
                <wp:effectExtent l="9525" t="0" r="1270" b="6350"/>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555" cy="50800"/>
                          <a:chOff x="0" y="0"/>
                          <a:chExt cx="503555" cy="50800"/>
                        </a:xfrm>
                      </wpg:grpSpPr>
                      <wps:wsp>
                        <wps:cNvPr id="230" name="Graphic 230"/>
                        <wps:cNvSpPr/>
                        <wps:spPr>
                          <a:xfrm>
                            <a:off x="0" y="21665"/>
                            <a:ext cx="503555" cy="1270"/>
                          </a:xfrm>
                          <a:custGeom>
                            <a:avLst/>
                            <a:gdLst/>
                            <a:ahLst/>
                            <a:cxnLst/>
                            <a:rect l="l" t="t" r="r" b="b"/>
                            <a:pathLst>
                              <a:path w="503555">
                                <a:moveTo>
                                  <a:pt x="0" y="0"/>
                                </a:moveTo>
                                <a:lnTo>
                                  <a:pt x="503505" y="0"/>
                                </a:lnTo>
                              </a:path>
                            </a:pathLst>
                          </a:custGeom>
                          <a:ln w="7221">
                            <a:solidFill>
                              <a:srgbClr val="000000"/>
                            </a:solidFill>
                            <a:prstDash val="solid"/>
                          </a:ln>
                        </wps:spPr>
                        <wps:bodyPr wrap="square" lIns="0" tIns="0" rIns="0" bIns="0" rtlCol="0">
                          <a:prstTxWarp prst="textNoShape">
                            <a:avLst/>
                          </a:prstTxWarp>
                          <a:noAutofit/>
                        </wps:bodyPr>
                      </wps:wsp>
                      <wps:wsp>
                        <wps:cNvPr id="231" name="Graphic 231"/>
                        <wps:cNvSpPr/>
                        <wps:spPr>
                          <a:xfrm>
                            <a:off x="355551"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1C357361" id="Group 229" o:spid="_x0000_s1026" style="width:39.65pt;height:4pt;mso-position-horizontal-relative:char;mso-position-vertical-relative:line" coordsize="5035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">
                <v:shape id="Graphic 230" o:spid="_x0000_s1027" style="position:absolute;top:21665;width:503555;height:1270;visibility:visible;mso-wrap-style:square;v-text-anchor:top" coordsize="503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" path="m,l503505,e" filled="f" strokeweight=".20058mm">
                  <v:path arrowok="t"/>
                </v:shape>
                <v:shape id="Graphic 231" o:spid="_x0000_s1028" style="position:absolute;left:355551;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" path="m46132,50553l,50553,,,46132,r,50553xe" fillcolor="#0000c0" stroked="f">
                  <v:path arrowok="t"/>
                </v:shape>
                <w10:anchorlock/>
              </v:group>
            </w:pict>
          </mc:Fallback>
        </mc:AlternateContent>
      </w:r>
    </w:p>
    <w:p w14:paraId="1E0381A8" w14:textId="77777777" w:rsidR="00E05B98" w:rsidRPr="003C6DAE" w:rsidRDefault="00E05B98">
      <w:pPr>
        <w:pStyle w:val="a3"/>
        <w:spacing w:before="10"/>
        <w:rPr>
          <w:rFonts w:ascii="Trebuchet MS"/>
          <w:sz w:val="8"/>
          <w:lang w:val="uk-UA"/>
        </w:rPr>
      </w:pPr>
    </w:p>
    <w:p w14:paraId="0791C933" w14:textId="77777777" w:rsidR="00E05B98" w:rsidRPr="003C6DAE" w:rsidRDefault="00B01E0C">
      <w:pPr>
        <w:pStyle w:val="a3"/>
        <w:spacing w:line="79" w:lineRule="exact"/>
        <w:ind w:left="1209" w:right="-72"/>
        <w:rPr>
          <w:rFonts w:ascii="Trebuchet MS"/>
          <w:position w:val="-1"/>
          <w:sz w:val="7"/>
          <w:lang w:val="uk-UA"/>
        </w:rPr>
      </w:pPr>
      <w:r w:rsidRPr="003C6DAE">
        <w:rPr>
          <w:rFonts w:ascii="Trebuchet MS"/>
          <w:noProof/>
          <w:position w:val="-1"/>
          <w:sz w:val="7"/>
          <w:lang w:val="uk-UA"/>
        </w:rPr>
        <mc:AlternateContent>
          <mc:Choice Requires="wpg">
            <w:drawing>
              <wp:inline distT="0" distB="0" distL="0" distR="0" wp14:anchorId="4D4C13F1" wp14:editId="7AA5DF6F">
                <wp:extent cx="73660" cy="50800"/>
                <wp:effectExtent l="9525" t="0" r="0" b="6350"/>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50800"/>
                          <a:chOff x="0" y="0"/>
                          <a:chExt cx="73660" cy="50800"/>
                        </a:xfrm>
                      </wpg:grpSpPr>
                      <wps:wsp>
                        <wps:cNvPr id="233" name="Graphic 233"/>
                        <wps:cNvSpPr/>
                        <wps:spPr>
                          <a:xfrm>
                            <a:off x="0" y="21665"/>
                            <a:ext cx="70485" cy="1270"/>
                          </a:xfrm>
                          <a:custGeom>
                            <a:avLst/>
                            <a:gdLst/>
                            <a:ahLst/>
                            <a:cxnLst/>
                            <a:rect l="l" t="t" r="r" b="b"/>
                            <a:pathLst>
                              <a:path w="70485">
                                <a:moveTo>
                                  <a:pt x="0" y="0"/>
                                </a:moveTo>
                                <a:lnTo>
                                  <a:pt x="69858" y="0"/>
                                </a:lnTo>
                              </a:path>
                            </a:pathLst>
                          </a:custGeom>
                          <a:ln w="7221">
                            <a:solidFill>
                              <a:srgbClr val="000000"/>
                            </a:solidFill>
                            <a:prstDash val="solid"/>
                          </a:ln>
                        </wps:spPr>
                        <wps:bodyPr wrap="square" lIns="0" tIns="0" rIns="0" bIns="0" rtlCol="0">
                          <a:prstTxWarp prst="textNoShape">
                            <a:avLst/>
                          </a:prstTxWarp>
                          <a:noAutofit/>
                        </wps:bodyPr>
                      </wps:wsp>
                      <wps:wsp>
                        <wps:cNvPr id="234" name="Graphic 234"/>
                        <wps:cNvSpPr/>
                        <wps:spPr>
                          <a:xfrm>
                            <a:off x="27349" y="0"/>
                            <a:ext cx="46355" cy="50800"/>
                          </a:xfrm>
                          <a:custGeom>
                            <a:avLst/>
                            <a:gdLst/>
                            <a:ahLst/>
                            <a:cxnLst/>
                            <a:rect l="l" t="t" r="r" b="b"/>
                            <a:pathLst>
                              <a:path w="46355" h="50800">
                                <a:moveTo>
                                  <a:pt x="46134" y="50553"/>
                                </a:moveTo>
                                <a:lnTo>
                                  <a:pt x="0" y="50553"/>
                                </a:lnTo>
                                <a:lnTo>
                                  <a:pt x="0" y="0"/>
                                </a:lnTo>
                                <a:lnTo>
                                  <a:pt x="46134" y="0"/>
                                </a:lnTo>
                                <a:lnTo>
                                  <a:pt x="46134" y="50553"/>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076ADA25" id="Group 232" o:spid="_x0000_s1026" style="width:5.8pt;height:4pt;mso-position-horizontal-relative:char;mso-position-vertical-relative:line" coordsize="7366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">
                <v:shape id="Graphic 233" o:spid="_x0000_s1027" style="position:absolute;top:21665;width:70485;height:1270;visibility:visible;mso-wrap-style:square;v-text-anchor:top" coordsize="70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" path="m,l69858,e" filled="f" strokeweight=".20058mm">
                  <v:path arrowok="t"/>
                </v:shape>
                <v:shape id="Graphic 234" o:spid="_x0000_s1028" style="position:absolute;left:27349;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" path="m46134,50553l,50553,,,46134,r,50553xe" fillcolor="#0000c0" stroked="f">
                  <v:path arrowok="t"/>
                </v:shape>
                <w10:anchorlock/>
              </v:group>
            </w:pict>
          </mc:Fallback>
        </mc:AlternateContent>
      </w:r>
    </w:p>
    <w:p w14:paraId="7EE061B8" w14:textId="77777777" w:rsidR="00E05B98" w:rsidRPr="003C6DAE" w:rsidRDefault="00E05B98">
      <w:pPr>
        <w:pStyle w:val="a3"/>
        <w:spacing w:before="52"/>
        <w:rPr>
          <w:rFonts w:ascii="Trebuchet MS"/>
          <w:sz w:val="20"/>
          <w:lang w:val="uk-UA"/>
        </w:rPr>
      </w:pPr>
    </w:p>
    <w:p w14:paraId="0111D8E4" w14:textId="77777777" w:rsidR="00E05B98" w:rsidRPr="003C6DAE" w:rsidRDefault="00B01E0C">
      <w:pPr>
        <w:pStyle w:val="a3"/>
        <w:spacing w:line="79" w:lineRule="exact"/>
        <w:ind w:left="1222" w:right="-87"/>
        <w:rPr>
          <w:rFonts w:ascii="Trebuchet MS"/>
          <w:position w:val="-1"/>
          <w:sz w:val="7"/>
          <w:lang w:val="uk-UA"/>
        </w:rPr>
      </w:pPr>
      <w:r w:rsidRPr="003C6DAE">
        <w:rPr>
          <w:rFonts w:ascii="Trebuchet MS"/>
          <w:noProof/>
          <w:position w:val="-1"/>
          <w:sz w:val="7"/>
          <w:lang w:val="uk-UA"/>
        </w:rPr>
        <mc:AlternateContent>
          <mc:Choice Requires="wpg">
            <w:drawing>
              <wp:inline distT="0" distB="0" distL="0" distR="0" wp14:anchorId="4879B230" wp14:editId="7FB5C7DB">
                <wp:extent cx="76835" cy="50800"/>
                <wp:effectExtent l="9525" t="0" r="0" b="6350"/>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 cy="50800"/>
                          <a:chOff x="0" y="0"/>
                          <a:chExt cx="76835" cy="50800"/>
                        </a:xfrm>
                      </wpg:grpSpPr>
                      <wps:wsp>
                        <wps:cNvPr id="236" name="Graphic 236"/>
                        <wps:cNvSpPr/>
                        <wps:spPr>
                          <a:xfrm>
                            <a:off x="0" y="21665"/>
                            <a:ext cx="67945" cy="1270"/>
                          </a:xfrm>
                          <a:custGeom>
                            <a:avLst/>
                            <a:gdLst/>
                            <a:ahLst/>
                            <a:cxnLst/>
                            <a:rect l="l" t="t" r="r" b="b"/>
                            <a:pathLst>
                              <a:path w="67945">
                                <a:moveTo>
                                  <a:pt x="0" y="0"/>
                                </a:moveTo>
                                <a:lnTo>
                                  <a:pt x="67551" y="0"/>
                                </a:lnTo>
                              </a:path>
                            </a:pathLst>
                          </a:custGeom>
                          <a:ln w="7221">
                            <a:solidFill>
                              <a:srgbClr val="000000"/>
                            </a:solidFill>
                            <a:prstDash val="solid"/>
                          </a:ln>
                        </wps:spPr>
                        <wps:bodyPr wrap="square" lIns="0" tIns="0" rIns="0" bIns="0" rtlCol="0">
                          <a:prstTxWarp prst="textNoShape">
                            <a:avLst/>
                          </a:prstTxWarp>
                          <a:noAutofit/>
                        </wps:bodyPr>
                      </wps:wsp>
                      <wps:wsp>
                        <wps:cNvPr id="237" name="Graphic 237"/>
                        <wps:cNvSpPr/>
                        <wps:spPr>
                          <a:xfrm>
                            <a:off x="30316"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2B759E4A" id="Group 235" o:spid="_x0000_s1026" style="width:6.05pt;height:4pt;mso-position-horizontal-relative:char;mso-position-vertical-relative:line" coordsize="7683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">
                <v:shape id="Graphic 236" o:spid="_x0000_s1027" style="position:absolute;top:21665;width:67945;height:1270;visibility:visible;mso-wrap-style:square;v-text-anchor:top" coordsize="67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" path="m,l67551,e" filled="f" strokeweight=".20058mm">
                  <v:path arrowok="t"/>
                </v:shape>
                <v:shape id="Graphic 237" o:spid="_x0000_s1028" style="position:absolute;left:30316;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" path="m46132,50553l,50553,,,46132,r,50553xe" fillcolor="#0000c0" stroked="f">
                  <v:path arrowok="t"/>
                </v:shape>
                <w10:anchorlock/>
              </v:group>
            </w:pict>
          </mc:Fallback>
        </mc:AlternateContent>
      </w:r>
    </w:p>
    <w:p w14:paraId="24BA5ED9" w14:textId="77777777" w:rsidR="00E05B98" w:rsidRPr="003C6DAE" w:rsidRDefault="00B01E0C">
      <w:pPr>
        <w:pStyle w:val="a3"/>
        <w:spacing w:before="9"/>
        <w:rPr>
          <w:rFonts w:ascii="Trebuchet MS"/>
          <w:sz w:val="6"/>
          <w:lang w:val="uk-UA"/>
        </w:rPr>
      </w:pPr>
      <w:r w:rsidRPr="003C6DAE">
        <w:rPr>
          <w:rFonts w:ascii="Trebuchet MS"/>
          <w:noProof/>
          <w:sz w:val="6"/>
          <w:lang w:val="uk-UA"/>
        </w:rPr>
        <mc:AlternateContent>
          <mc:Choice Requires="wpg">
            <w:drawing>
              <wp:anchor distT="0" distB="0" distL="0" distR="0" simplePos="0" relativeHeight="487652864" behindDoc="1" locked="0" layoutInCell="1" allowOverlap="1" wp14:anchorId="7BC11664" wp14:editId="5F7CFE85">
                <wp:simplePos x="0" y="0"/>
                <wp:positionH relativeFrom="page">
                  <wp:posOffset>5546896</wp:posOffset>
                </wp:positionH>
                <wp:positionV relativeFrom="paragraph">
                  <wp:posOffset>65387</wp:posOffset>
                </wp:positionV>
                <wp:extent cx="136525" cy="50800"/>
                <wp:effectExtent l="0" t="0" r="0" b="0"/>
                <wp:wrapTopAndBottom/>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25" cy="50800"/>
                          <a:chOff x="0" y="0"/>
                          <a:chExt cx="136525" cy="50800"/>
                        </a:xfrm>
                      </wpg:grpSpPr>
                      <wps:wsp>
                        <wps:cNvPr id="239" name="Graphic 239"/>
                        <wps:cNvSpPr/>
                        <wps:spPr>
                          <a:xfrm>
                            <a:off x="0" y="21665"/>
                            <a:ext cx="136525" cy="1270"/>
                          </a:xfrm>
                          <a:custGeom>
                            <a:avLst/>
                            <a:gdLst/>
                            <a:ahLst/>
                            <a:cxnLst/>
                            <a:rect l="l" t="t" r="r" b="b"/>
                            <a:pathLst>
                              <a:path w="136525">
                                <a:moveTo>
                                  <a:pt x="0" y="0"/>
                                </a:moveTo>
                                <a:lnTo>
                                  <a:pt x="136091" y="0"/>
                                </a:lnTo>
                              </a:path>
                            </a:pathLst>
                          </a:custGeom>
                          <a:ln w="7221">
                            <a:solidFill>
                              <a:srgbClr val="000000"/>
                            </a:solidFill>
                            <a:prstDash val="solid"/>
                          </a:ln>
                        </wps:spPr>
                        <wps:bodyPr wrap="square" lIns="0" tIns="0" rIns="0" bIns="0" rtlCol="0">
                          <a:prstTxWarp prst="textNoShape">
                            <a:avLst/>
                          </a:prstTxWarp>
                          <a:noAutofit/>
                        </wps:bodyPr>
                      </wps:wsp>
                      <wps:wsp>
                        <wps:cNvPr id="240" name="Graphic 240"/>
                        <wps:cNvSpPr/>
                        <wps:spPr>
                          <a:xfrm>
                            <a:off x="60631"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D27E342" id="Group 238" o:spid="_x0000_s1026" style="position:absolute;margin-left:436.75pt;margin-top:5.15pt;width:10.75pt;height:4pt;z-index:-15663616;mso-wrap-distance-left:0;mso-wrap-distance-right:0;mso-position-horizontal-relative:page" coordsize="13652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">
                <v:shape id="Graphic 239" o:spid="_x0000_s1027" style="position:absolute;top:21665;width:136525;height:1270;visibility:visible;mso-wrap-style:square;v-text-anchor:top" coordsize="136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" path="m,l136091,e" filled="f" strokeweight=".20058mm">
                  <v:path arrowok="t"/>
                </v:shape>
                <v:shape id="Graphic 240" o:spid="_x0000_s1028" style="position:absolute;left:60631;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" path="m46132,50553l,50553,,,46132,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53376" behindDoc="1" locked="0" layoutInCell="1" allowOverlap="1" wp14:anchorId="39D1B017" wp14:editId="593D150C">
                <wp:simplePos x="0" y="0"/>
                <wp:positionH relativeFrom="page">
                  <wp:posOffset>5520864</wp:posOffset>
                </wp:positionH>
                <wp:positionV relativeFrom="paragraph">
                  <wp:posOffset>180937</wp:posOffset>
                </wp:positionV>
                <wp:extent cx="175895" cy="50800"/>
                <wp:effectExtent l="0" t="0" r="0" b="0"/>
                <wp:wrapTopAndBottom/>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50800"/>
                          <a:chOff x="0" y="0"/>
                          <a:chExt cx="175895" cy="50800"/>
                        </a:xfrm>
                      </wpg:grpSpPr>
                      <wps:wsp>
                        <wps:cNvPr id="242" name="Graphic 242"/>
                        <wps:cNvSpPr/>
                        <wps:spPr>
                          <a:xfrm>
                            <a:off x="0" y="21665"/>
                            <a:ext cx="175895" cy="1270"/>
                          </a:xfrm>
                          <a:custGeom>
                            <a:avLst/>
                            <a:gdLst/>
                            <a:ahLst/>
                            <a:cxnLst/>
                            <a:rect l="l" t="t" r="r" b="b"/>
                            <a:pathLst>
                              <a:path w="175895">
                                <a:moveTo>
                                  <a:pt x="0" y="0"/>
                                </a:moveTo>
                                <a:lnTo>
                                  <a:pt x="175304" y="0"/>
                                </a:lnTo>
                              </a:path>
                            </a:pathLst>
                          </a:custGeom>
                          <a:ln w="7221">
                            <a:solidFill>
                              <a:srgbClr val="000000"/>
                            </a:solidFill>
                            <a:prstDash val="solid"/>
                          </a:ln>
                        </wps:spPr>
                        <wps:bodyPr wrap="square" lIns="0" tIns="0" rIns="0" bIns="0" rtlCol="0">
                          <a:prstTxWarp prst="textNoShape">
                            <a:avLst/>
                          </a:prstTxWarp>
                          <a:noAutofit/>
                        </wps:bodyPr>
                      </wps:wsp>
                      <wps:wsp>
                        <wps:cNvPr id="243" name="Graphic 243"/>
                        <wps:cNvSpPr/>
                        <wps:spPr>
                          <a:xfrm>
                            <a:off x="88639" y="0"/>
                            <a:ext cx="46355" cy="50800"/>
                          </a:xfrm>
                          <a:custGeom>
                            <a:avLst/>
                            <a:gdLst/>
                            <a:ahLst/>
                            <a:cxnLst/>
                            <a:rect l="l" t="t" r="r" b="b"/>
                            <a:pathLst>
                              <a:path w="46355" h="50800">
                                <a:moveTo>
                                  <a:pt x="46133" y="50553"/>
                                </a:moveTo>
                                <a:lnTo>
                                  <a:pt x="0" y="50553"/>
                                </a:lnTo>
                                <a:lnTo>
                                  <a:pt x="0" y="0"/>
                                </a:lnTo>
                                <a:lnTo>
                                  <a:pt x="46133" y="0"/>
                                </a:lnTo>
                                <a:lnTo>
                                  <a:pt x="46133"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2E371A0" id="Group 241" o:spid="_x0000_s1026" style="position:absolute;margin-left:434.7pt;margin-top:14.25pt;width:13.85pt;height:4pt;z-index:-15663104;mso-wrap-distance-left:0;mso-wrap-distance-right:0;mso-position-horizontal-relative:page" coordsize="17589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">
                <v:shape id="Graphic 242" o:spid="_x0000_s1027" style="position:absolute;top:21665;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" path="m,l175304,e" filled="f" strokeweight=".20058mm">
                  <v:path arrowok="t"/>
                </v:shape>
                <v:shape id="Graphic 243" o:spid="_x0000_s1028" style="position:absolute;left:88639;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" path="m46133,50553l,50553,,,46133,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53888" behindDoc="1" locked="0" layoutInCell="1" allowOverlap="1" wp14:anchorId="5EE6C6D4" wp14:editId="175D5A4F">
                <wp:simplePos x="0" y="0"/>
                <wp:positionH relativeFrom="page">
                  <wp:posOffset>5528443</wp:posOffset>
                </wp:positionH>
                <wp:positionV relativeFrom="paragraph">
                  <wp:posOffset>296489</wp:posOffset>
                </wp:positionV>
                <wp:extent cx="144780" cy="50800"/>
                <wp:effectExtent l="0" t="0" r="0" b="0"/>
                <wp:wrapTopAndBottom/>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50800"/>
                          <a:chOff x="0" y="0"/>
                          <a:chExt cx="144780" cy="50800"/>
                        </a:xfrm>
                      </wpg:grpSpPr>
                      <wps:wsp>
                        <wps:cNvPr id="245" name="Graphic 245"/>
                        <wps:cNvSpPr/>
                        <wps:spPr>
                          <a:xfrm>
                            <a:off x="0" y="21665"/>
                            <a:ext cx="144780" cy="1270"/>
                          </a:xfrm>
                          <a:custGeom>
                            <a:avLst/>
                            <a:gdLst/>
                            <a:ahLst/>
                            <a:cxnLst/>
                            <a:rect l="l" t="t" r="r" b="b"/>
                            <a:pathLst>
                              <a:path w="144780">
                                <a:moveTo>
                                  <a:pt x="0" y="0"/>
                                </a:moveTo>
                                <a:lnTo>
                                  <a:pt x="144658" y="0"/>
                                </a:lnTo>
                              </a:path>
                            </a:pathLst>
                          </a:custGeom>
                          <a:ln w="7221">
                            <a:solidFill>
                              <a:srgbClr val="000000"/>
                            </a:solidFill>
                            <a:prstDash val="solid"/>
                          </a:ln>
                        </wps:spPr>
                        <wps:bodyPr wrap="square" lIns="0" tIns="0" rIns="0" bIns="0" rtlCol="0">
                          <a:prstTxWarp prst="textNoShape">
                            <a:avLst/>
                          </a:prstTxWarp>
                          <a:noAutofit/>
                        </wps:bodyPr>
                      </wps:wsp>
                      <wps:wsp>
                        <wps:cNvPr id="246" name="Graphic 246"/>
                        <wps:cNvSpPr/>
                        <wps:spPr>
                          <a:xfrm>
                            <a:off x="64585"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504967D" id="Group 244" o:spid="_x0000_s1026" style="position:absolute;margin-left:435.3pt;margin-top:23.35pt;width:11.4pt;height:4pt;z-index:-15662592;mso-wrap-distance-left:0;mso-wrap-distance-right:0;mso-position-horizontal-relative:page" coordsize="14478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">
                <v:shape id="Graphic 245" o:spid="_x0000_s1027" style="position:absolute;top:21665;width:144780;height:1270;visibility:visible;mso-wrap-style:square;v-text-anchor:top" coordsize="144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" path="m,l144658,e" filled="f" strokeweight=".20058mm">
                  <v:path arrowok="t"/>
                </v:shape>
                <v:shape id="Graphic 246" o:spid="_x0000_s1028" style="position:absolute;left:64585;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" path="m46132,50553l,50553,,,46132,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54400" behindDoc="1" locked="0" layoutInCell="1" allowOverlap="1" wp14:anchorId="37E5D758" wp14:editId="735E4038">
                <wp:simplePos x="0" y="0"/>
                <wp:positionH relativeFrom="page">
                  <wp:posOffset>5145212</wp:posOffset>
                </wp:positionH>
                <wp:positionV relativeFrom="paragraph">
                  <wp:posOffset>412039</wp:posOffset>
                </wp:positionV>
                <wp:extent cx="440055" cy="50800"/>
                <wp:effectExtent l="0" t="0" r="0" b="0"/>
                <wp:wrapTopAndBottom/>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055" cy="50800"/>
                          <a:chOff x="0" y="0"/>
                          <a:chExt cx="440055" cy="50800"/>
                        </a:xfrm>
                      </wpg:grpSpPr>
                      <wps:wsp>
                        <wps:cNvPr id="248" name="Graphic 248"/>
                        <wps:cNvSpPr/>
                        <wps:spPr>
                          <a:xfrm>
                            <a:off x="0" y="21666"/>
                            <a:ext cx="440055" cy="1270"/>
                          </a:xfrm>
                          <a:custGeom>
                            <a:avLst/>
                            <a:gdLst/>
                            <a:ahLst/>
                            <a:cxnLst/>
                            <a:rect l="l" t="t" r="r" b="b"/>
                            <a:pathLst>
                              <a:path w="440055">
                                <a:moveTo>
                                  <a:pt x="0" y="0"/>
                                </a:moveTo>
                                <a:lnTo>
                                  <a:pt x="439908" y="0"/>
                                </a:lnTo>
                              </a:path>
                            </a:pathLst>
                          </a:custGeom>
                          <a:ln w="7221">
                            <a:solidFill>
                              <a:srgbClr val="000000"/>
                            </a:solidFill>
                            <a:prstDash val="solid"/>
                          </a:ln>
                        </wps:spPr>
                        <wps:bodyPr wrap="square" lIns="0" tIns="0" rIns="0" bIns="0" rtlCol="0">
                          <a:prstTxWarp prst="textNoShape">
                            <a:avLst/>
                          </a:prstTxWarp>
                          <a:noAutofit/>
                        </wps:bodyPr>
                      </wps:wsp>
                      <wps:wsp>
                        <wps:cNvPr id="249" name="Graphic 249"/>
                        <wps:cNvSpPr/>
                        <wps:spPr>
                          <a:xfrm>
                            <a:off x="207267" y="0"/>
                            <a:ext cx="46355" cy="50800"/>
                          </a:xfrm>
                          <a:custGeom>
                            <a:avLst/>
                            <a:gdLst/>
                            <a:ahLst/>
                            <a:cxnLst/>
                            <a:rect l="l" t="t" r="r" b="b"/>
                            <a:pathLst>
                              <a:path w="46355" h="50800">
                                <a:moveTo>
                                  <a:pt x="46132" y="50554"/>
                                </a:moveTo>
                                <a:lnTo>
                                  <a:pt x="0" y="50554"/>
                                </a:lnTo>
                                <a:lnTo>
                                  <a:pt x="0" y="0"/>
                                </a:lnTo>
                                <a:lnTo>
                                  <a:pt x="46132" y="0"/>
                                </a:lnTo>
                                <a:lnTo>
                                  <a:pt x="46132" y="5055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3B3A06B" id="Group 247" o:spid="_x0000_s1026" style="position:absolute;margin-left:405.15pt;margin-top:32.45pt;width:34.65pt;height:4pt;z-index:-15662080;mso-wrap-distance-left:0;mso-wrap-distance-right:0;mso-position-horizontal-relative:page" coordsize="4400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">
                <v:shape id="Graphic 248" o:spid="_x0000_s1027" style="position:absolute;top:21666;width:440055;height:1270;visibility:visible;mso-wrap-style:square;v-text-anchor:top" coordsize="440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" path="m,l439908,e" filled="f" strokeweight=".20058mm">
                  <v:path arrowok="t"/>
                </v:shape>
                <v:shape id="Graphic 249" o:spid="_x0000_s1028" style="position:absolute;left:207267;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" path="m46132,50554l,50554,,,46132,r,50554xe" fillcolor="#0000c0" stroked="f">
                  <v:path arrowok="t"/>
                </v:shape>
                <w10:wrap type="topAndBottom" anchorx="page"/>
              </v:group>
            </w:pict>
          </mc:Fallback>
        </mc:AlternateContent>
      </w:r>
    </w:p>
    <w:p w14:paraId="1CD57145" w14:textId="77777777" w:rsidR="00E05B98" w:rsidRPr="003C6DAE" w:rsidRDefault="00E05B98">
      <w:pPr>
        <w:pStyle w:val="a3"/>
        <w:spacing w:before="8"/>
        <w:rPr>
          <w:rFonts w:ascii="Trebuchet MS"/>
          <w:sz w:val="6"/>
          <w:lang w:val="uk-UA"/>
        </w:rPr>
      </w:pPr>
    </w:p>
    <w:p w14:paraId="43671927" w14:textId="77777777" w:rsidR="00E05B98" w:rsidRPr="003C6DAE" w:rsidRDefault="00E05B98">
      <w:pPr>
        <w:pStyle w:val="a3"/>
        <w:spacing w:before="8"/>
        <w:rPr>
          <w:rFonts w:ascii="Trebuchet MS"/>
          <w:sz w:val="6"/>
          <w:lang w:val="uk-UA"/>
        </w:rPr>
      </w:pPr>
    </w:p>
    <w:p w14:paraId="653CCE63" w14:textId="77777777" w:rsidR="00E05B98" w:rsidRPr="003C6DAE" w:rsidRDefault="00E05B98">
      <w:pPr>
        <w:pStyle w:val="a3"/>
        <w:spacing w:before="8"/>
        <w:rPr>
          <w:rFonts w:ascii="Trebuchet MS"/>
          <w:sz w:val="6"/>
          <w:lang w:val="uk-UA"/>
        </w:rPr>
      </w:pPr>
    </w:p>
    <w:p w14:paraId="68C68C9F" w14:textId="77777777" w:rsidR="00E05B98" w:rsidRPr="003C6DAE" w:rsidRDefault="00E05B98">
      <w:pPr>
        <w:pStyle w:val="a3"/>
        <w:spacing w:before="9"/>
        <w:rPr>
          <w:rFonts w:ascii="Trebuchet MS"/>
          <w:sz w:val="8"/>
          <w:lang w:val="uk-UA"/>
        </w:rPr>
      </w:pPr>
    </w:p>
    <w:p w14:paraId="240D95BE" w14:textId="77777777" w:rsidR="00E05B98" w:rsidRPr="003C6DAE" w:rsidRDefault="00B01E0C">
      <w:pPr>
        <w:pStyle w:val="a3"/>
        <w:spacing w:line="79" w:lineRule="exact"/>
        <w:ind w:left="1152" w:right="-87"/>
        <w:rPr>
          <w:rFonts w:ascii="Trebuchet MS"/>
          <w:position w:val="-1"/>
          <w:sz w:val="7"/>
          <w:lang w:val="uk-UA"/>
        </w:rPr>
      </w:pPr>
      <w:r w:rsidRPr="003C6DAE">
        <w:rPr>
          <w:rFonts w:ascii="Trebuchet MS"/>
          <w:noProof/>
          <w:position w:val="-1"/>
          <w:sz w:val="7"/>
          <w:lang w:val="uk-UA"/>
        </w:rPr>
        <mc:AlternateContent>
          <mc:Choice Requires="wpg">
            <w:drawing>
              <wp:inline distT="0" distB="0" distL="0" distR="0" wp14:anchorId="49E9303F" wp14:editId="11ECBC01">
                <wp:extent cx="111125" cy="50800"/>
                <wp:effectExtent l="9525" t="0" r="3175" b="635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50800"/>
                          <a:chOff x="0" y="0"/>
                          <a:chExt cx="111125" cy="50800"/>
                        </a:xfrm>
                      </wpg:grpSpPr>
                      <wps:wsp>
                        <wps:cNvPr id="251" name="Graphic 251"/>
                        <wps:cNvSpPr/>
                        <wps:spPr>
                          <a:xfrm>
                            <a:off x="0" y="21665"/>
                            <a:ext cx="111125" cy="1270"/>
                          </a:xfrm>
                          <a:custGeom>
                            <a:avLst/>
                            <a:gdLst/>
                            <a:ahLst/>
                            <a:cxnLst/>
                            <a:rect l="l" t="t" r="r" b="b"/>
                            <a:pathLst>
                              <a:path w="111125">
                                <a:moveTo>
                                  <a:pt x="0" y="0"/>
                                </a:moveTo>
                                <a:lnTo>
                                  <a:pt x="110718" y="0"/>
                                </a:lnTo>
                              </a:path>
                            </a:pathLst>
                          </a:custGeom>
                          <a:ln w="7221">
                            <a:solidFill>
                              <a:srgbClr val="000000"/>
                            </a:solidFill>
                            <a:prstDash val="solid"/>
                          </a:ln>
                        </wps:spPr>
                        <wps:bodyPr wrap="square" lIns="0" tIns="0" rIns="0" bIns="0" rtlCol="0">
                          <a:prstTxWarp prst="textNoShape">
                            <a:avLst/>
                          </a:prstTxWarp>
                          <a:noAutofit/>
                        </wps:bodyPr>
                      </wps:wsp>
                      <wps:wsp>
                        <wps:cNvPr id="252" name="Graphic 252"/>
                        <wps:cNvSpPr/>
                        <wps:spPr>
                          <a:xfrm>
                            <a:off x="61290"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6C373744" id="Group 250" o:spid="_x0000_s1026" style="width:8.75pt;height:4pt;mso-position-horizontal-relative:char;mso-position-vertical-relative:line" coordsize="11112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">
                <v:shape id="Graphic 251" o:spid="_x0000_s1027" style="position:absolute;top:21665;width:111125;height:1270;visibility:visible;mso-wrap-style:square;v-text-anchor:top" coordsize="111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" path="m,l110718,e" filled="f" strokeweight=".20058mm">
                  <v:path arrowok="t"/>
                </v:shape>
                <v:shape id="Graphic 252" o:spid="_x0000_s1028" style="position:absolute;left:61290;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" path="m46132,50553l,50553,,,46132,r,50553xe" fillcolor="#0000c0" stroked="f">
                  <v:path arrowok="t"/>
                </v:shape>
                <w10:anchorlock/>
              </v:group>
            </w:pict>
          </mc:Fallback>
        </mc:AlternateContent>
      </w:r>
    </w:p>
    <w:p w14:paraId="383655AB" w14:textId="77777777" w:rsidR="00E05B98" w:rsidRPr="003C6DAE" w:rsidRDefault="00E05B98">
      <w:pPr>
        <w:pStyle w:val="a3"/>
        <w:spacing w:before="10"/>
        <w:rPr>
          <w:rFonts w:ascii="Trebuchet MS"/>
          <w:sz w:val="8"/>
          <w:lang w:val="uk-UA"/>
        </w:rPr>
      </w:pPr>
    </w:p>
    <w:p w14:paraId="17814B14" w14:textId="77777777" w:rsidR="00E05B98" w:rsidRPr="003C6DAE" w:rsidRDefault="00B01E0C">
      <w:pPr>
        <w:pStyle w:val="a3"/>
        <w:spacing w:line="79" w:lineRule="exact"/>
        <w:ind w:left="954" w:right="-72"/>
        <w:rPr>
          <w:rFonts w:ascii="Trebuchet MS"/>
          <w:position w:val="-1"/>
          <w:sz w:val="7"/>
          <w:lang w:val="uk-UA"/>
        </w:rPr>
      </w:pPr>
      <w:r w:rsidRPr="003C6DAE">
        <w:rPr>
          <w:rFonts w:ascii="Trebuchet MS"/>
          <w:noProof/>
          <w:position w:val="-1"/>
          <w:sz w:val="7"/>
          <w:lang w:val="uk-UA"/>
        </w:rPr>
        <mc:AlternateContent>
          <mc:Choice Requires="wpg">
            <w:drawing>
              <wp:inline distT="0" distB="0" distL="0" distR="0" wp14:anchorId="41F5210B" wp14:editId="7401830D">
                <wp:extent cx="231140" cy="50800"/>
                <wp:effectExtent l="9525" t="0" r="0" b="6350"/>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140" cy="50800"/>
                          <a:chOff x="0" y="0"/>
                          <a:chExt cx="231140" cy="50800"/>
                        </a:xfrm>
                      </wpg:grpSpPr>
                      <wps:wsp>
                        <wps:cNvPr id="254" name="Graphic 254"/>
                        <wps:cNvSpPr/>
                        <wps:spPr>
                          <a:xfrm>
                            <a:off x="0" y="21665"/>
                            <a:ext cx="231140" cy="1270"/>
                          </a:xfrm>
                          <a:custGeom>
                            <a:avLst/>
                            <a:gdLst/>
                            <a:ahLst/>
                            <a:cxnLst/>
                            <a:rect l="l" t="t" r="r" b="b"/>
                            <a:pathLst>
                              <a:path w="231140">
                                <a:moveTo>
                                  <a:pt x="0" y="0"/>
                                </a:moveTo>
                                <a:lnTo>
                                  <a:pt x="230993" y="0"/>
                                </a:lnTo>
                              </a:path>
                            </a:pathLst>
                          </a:custGeom>
                          <a:ln w="7221">
                            <a:solidFill>
                              <a:srgbClr val="000000"/>
                            </a:solidFill>
                            <a:prstDash val="solid"/>
                          </a:ln>
                        </wps:spPr>
                        <wps:bodyPr wrap="square" lIns="0" tIns="0" rIns="0" bIns="0" rtlCol="0">
                          <a:prstTxWarp prst="textNoShape">
                            <a:avLst/>
                          </a:prstTxWarp>
                          <a:noAutofit/>
                        </wps:bodyPr>
                      </wps:wsp>
                      <wps:wsp>
                        <wps:cNvPr id="255" name="Graphic 255"/>
                        <wps:cNvSpPr/>
                        <wps:spPr>
                          <a:xfrm>
                            <a:off x="145318"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228CDC8A" id="Group 253" o:spid="_x0000_s1026" style="width:18.2pt;height:4pt;mso-position-horizontal-relative:char;mso-position-vertical-relative:line" coordsize="23114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">
                <v:shape id="Graphic 254" o:spid="_x0000_s1027" style="position:absolute;top:21665;width:231140;height:1270;visibility:visible;mso-wrap-style:square;v-text-anchor:top" coordsize="231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" path="m,l230993,e" filled="f" strokeweight=".20058mm">
                  <v:path arrowok="t"/>
                </v:shape>
                <v:shape id="Graphic 255" o:spid="_x0000_s1028" style="position:absolute;left:145318;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" path="m46132,50553l,50553,,,46132,r,50553xe" fillcolor="#0000c0" stroked="f">
                  <v:path arrowok="t"/>
                </v:shape>
                <w10:anchorlock/>
              </v:group>
            </w:pict>
          </mc:Fallback>
        </mc:AlternateContent>
      </w:r>
    </w:p>
    <w:p w14:paraId="5629FC75" w14:textId="77777777" w:rsidR="00E05B98" w:rsidRPr="003C6DAE" w:rsidRDefault="00B01E0C">
      <w:pPr>
        <w:pStyle w:val="a3"/>
        <w:spacing w:before="28"/>
        <w:rPr>
          <w:rFonts w:ascii="Trebuchet MS"/>
          <w:sz w:val="20"/>
          <w:lang w:val="uk-UA"/>
        </w:rPr>
      </w:pPr>
      <w:r w:rsidRPr="003C6DAE">
        <w:rPr>
          <w:rFonts w:ascii="Trebuchet MS"/>
          <w:noProof/>
          <w:sz w:val="20"/>
          <w:lang w:val="uk-UA"/>
        </w:rPr>
        <mc:AlternateContent>
          <mc:Choice Requires="wpg">
            <w:drawing>
              <wp:anchor distT="0" distB="0" distL="0" distR="0" simplePos="0" relativeHeight="487655936" behindDoc="1" locked="0" layoutInCell="1" allowOverlap="1" wp14:anchorId="790D84AD" wp14:editId="01D2950A">
                <wp:simplePos x="0" y="0"/>
                <wp:positionH relativeFrom="page">
                  <wp:posOffset>5647399</wp:posOffset>
                </wp:positionH>
                <wp:positionV relativeFrom="paragraph">
                  <wp:posOffset>180937</wp:posOffset>
                </wp:positionV>
                <wp:extent cx="71755" cy="50800"/>
                <wp:effectExtent l="0" t="0" r="0" b="0"/>
                <wp:wrapTopAndBottom/>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50800"/>
                          <a:chOff x="0" y="0"/>
                          <a:chExt cx="71755" cy="50800"/>
                        </a:xfrm>
                      </wpg:grpSpPr>
                      <wps:wsp>
                        <wps:cNvPr id="257" name="Graphic 257"/>
                        <wps:cNvSpPr/>
                        <wps:spPr>
                          <a:xfrm>
                            <a:off x="0" y="21665"/>
                            <a:ext cx="71755" cy="1270"/>
                          </a:xfrm>
                          <a:custGeom>
                            <a:avLst/>
                            <a:gdLst/>
                            <a:ahLst/>
                            <a:cxnLst/>
                            <a:rect l="l" t="t" r="r" b="b"/>
                            <a:pathLst>
                              <a:path w="71755">
                                <a:moveTo>
                                  <a:pt x="0" y="0"/>
                                </a:moveTo>
                                <a:lnTo>
                                  <a:pt x="71505" y="0"/>
                                </a:lnTo>
                              </a:path>
                            </a:pathLst>
                          </a:custGeom>
                          <a:ln w="7221">
                            <a:solidFill>
                              <a:srgbClr val="000000"/>
                            </a:solidFill>
                            <a:prstDash val="solid"/>
                          </a:ln>
                        </wps:spPr>
                        <wps:bodyPr wrap="square" lIns="0" tIns="0" rIns="0" bIns="0" rtlCol="0">
                          <a:prstTxWarp prst="textNoShape">
                            <a:avLst/>
                          </a:prstTxWarp>
                          <a:noAutofit/>
                        </wps:bodyPr>
                      </wps:wsp>
                      <wps:wsp>
                        <wps:cNvPr id="258" name="Graphic 258"/>
                        <wps:cNvSpPr/>
                        <wps:spPr>
                          <a:xfrm>
                            <a:off x="25042" y="0"/>
                            <a:ext cx="46355" cy="50800"/>
                          </a:xfrm>
                          <a:custGeom>
                            <a:avLst/>
                            <a:gdLst/>
                            <a:ahLst/>
                            <a:cxnLst/>
                            <a:rect l="l" t="t" r="r" b="b"/>
                            <a:pathLst>
                              <a:path w="46355" h="50800">
                                <a:moveTo>
                                  <a:pt x="46133" y="50553"/>
                                </a:moveTo>
                                <a:lnTo>
                                  <a:pt x="0" y="50553"/>
                                </a:lnTo>
                                <a:lnTo>
                                  <a:pt x="0" y="0"/>
                                </a:lnTo>
                                <a:lnTo>
                                  <a:pt x="46133" y="0"/>
                                </a:lnTo>
                                <a:lnTo>
                                  <a:pt x="46133"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92FBC43" id="Group 256" o:spid="_x0000_s1026" style="position:absolute;margin-left:444.7pt;margin-top:14.25pt;width:5.65pt;height:4pt;z-index:-15660544;mso-wrap-distance-left:0;mso-wrap-distance-right:0;mso-position-horizontal-relative:page" coordsize="717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">
                <v:shape id="Graphic 257" o:spid="_x0000_s1027" style="position:absolute;top:21665;width:71755;height:1270;visibility:visible;mso-wrap-style:square;v-text-anchor:top" coordsize="71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" path="m,l71505,e" filled="f" strokeweight=".20058mm">
                  <v:path arrowok="t"/>
                </v:shape>
                <v:shape id="Graphic 258" o:spid="_x0000_s1028" style="position:absolute;left:25042;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" path="m46133,50553l,50553,,,46133,r,50553xe" fillcolor="#0000c0" stroked="f">
                  <v:path arrowok="t"/>
                </v:shape>
                <w10:wrap type="topAndBottom" anchorx="page"/>
              </v:group>
            </w:pict>
          </mc:Fallback>
        </mc:AlternateContent>
      </w:r>
      <w:r w:rsidRPr="003C6DAE">
        <w:rPr>
          <w:rFonts w:ascii="Trebuchet MS"/>
          <w:noProof/>
          <w:sz w:val="20"/>
          <w:lang w:val="uk-UA"/>
        </w:rPr>
        <mc:AlternateContent>
          <mc:Choice Requires="wpg">
            <w:drawing>
              <wp:anchor distT="0" distB="0" distL="0" distR="0" simplePos="0" relativeHeight="487656448" behindDoc="1" locked="0" layoutInCell="1" allowOverlap="1" wp14:anchorId="41DEBC8E" wp14:editId="06AC5B4E">
                <wp:simplePos x="0" y="0"/>
                <wp:positionH relativeFrom="page">
                  <wp:posOffset>5659592</wp:posOffset>
                </wp:positionH>
                <wp:positionV relativeFrom="paragraph">
                  <wp:posOffset>296489</wp:posOffset>
                </wp:positionV>
                <wp:extent cx="64135" cy="50800"/>
                <wp:effectExtent l="0" t="0" r="0" b="0"/>
                <wp:wrapTopAndBottom/>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50800"/>
                          <a:chOff x="0" y="0"/>
                          <a:chExt cx="64135" cy="50800"/>
                        </a:xfrm>
                      </wpg:grpSpPr>
                      <wps:wsp>
                        <wps:cNvPr id="260" name="Graphic 260"/>
                        <wps:cNvSpPr/>
                        <wps:spPr>
                          <a:xfrm>
                            <a:off x="0" y="21665"/>
                            <a:ext cx="60325" cy="1270"/>
                          </a:xfrm>
                          <a:custGeom>
                            <a:avLst/>
                            <a:gdLst/>
                            <a:ahLst/>
                            <a:cxnLst/>
                            <a:rect l="l" t="t" r="r" b="b"/>
                            <a:pathLst>
                              <a:path w="60325">
                                <a:moveTo>
                                  <a:pt x="0" y="0"/>
                                </a:moveTo>
                                <a:lnTo>
                                  <a:pt x="59972" y="0"/>
                                </a:lnTo>
                              </a:path>
                            </a:pathLst>
                          </a:custGeom>
                          <a:ln w="7221">
                            <a:solidFill>
                              <a:srgbClr val="000000"/>
                            </a:solidFill>
                            <a:prstDash val="solid"/>
                          </a:ln>
                        </wps:spPr>
                        <wps:bodyPr wrap="square" lIns="0" tIns="0" rIns="0" bIns="0" rtlCol="0">
                          <a:prstTxWarp prst="textNoShape">
                            <a:avLst/>
                          </a:prstTxWarp>
                          <a:noAutofit/>
                        </wps:bodyPr>
                      </wps:wsp>
                      <wps:wsp>
                        <wps:cNvPr id="261" name="Graphic 261"/>
                        <wps:cNvSpPr/>
                        <wps:spPr>
                          <a:xfrm>
                            <a:off x="17465"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C11DCA5" id="Group 259" o:spid="_x0000_s1026" style="position:absolute;margin-left:445.65pt;margin-top:23.35pt;width:5.05pt;height:4pt;z-index:-15660032;mso-wrap-distance-left:0;mso-wrap-distance-right:0;mso-position-horizontal-relative:page" coordsize="6413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">
                <v:shape id="Graphic 260" o:spid="_x0000_s1027" style="position:absolute;top:21665;width:60325;height:1270;visibility:visible;mso-wrap-style:square;v-text-anchor:top" coordsize="6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" path="m,l59972,e" filled="f" strokeweight=".20058mm">
                  <v:path arrowok="t"/>
                </v:shape>
                <v:shape id="Graphic 261" o:spid="_x0000_s1028" style="position:absolute;left:17465;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" path="m46132,50553l,50553,,,46132,r,50553xe" fillcolor="#0000c0" stroked="f">
                  <v:path arrowok="t"/>
                </v:shape>
                <w10:wrap type="topAndBottom" anchorx="page"/>
              </v:group>
            </w:pict>
          </mc:Fallback>
        </mc:AlternateContent>
      </w:r>
    </w:p>
    <w:p w14:paraId="23C6E534" w14:textId="77777777" w:rsidR="00E05B98" w:rsidRPr="003C6DAE" w:rsidRDefault="00E05B98">
      <w:pPr>
        <w:pStyle w:val="a3"/>
        <w:spacing w:before="8"/>
        <w:rPr>
          <w:rFonts w:ascii="Trebuchet MS"/>
          <w:sz w:val="6"/>
          <w:lang w:val="uk-UA"/>
        </w:rPr>
      </w:pPr>
    </w:p>
    <w:p w14:paraId="2053C76C" w14:textId="77777777" w:rsidR="00E05B98" w:rsidRPr="003C6DAE" w:rsidRDefault="00E05B98">
      <w:pPr>
        <w:pStyle w:val="a3"/>
        <w:spacing w:before="9"/>
        <w:rPr>
          <w:rFonts w:ascii="Trebuchet MS"/>
          <w:sz w:val="8"/>
          <w:lang w:val="uk-UA"/>
        </w:rPr>
      </w:pPr>
    </w:p>
    <w:p w14:paraId="4916314E" w14:textId="77777777" w:rsidR="00E05B98" w:rsidRPr="003C6DAE" w:rsidRDefault="00B01E0C">
      <w:pPr>
        <w:pStyle w:val="a3"/>
        <w:spacing w:line="79" w:lineRule="exact"/>
        <w:ind w:left="440" w:right="-72"/>
        <w:rPr>
          <w:rFonts w:ascii="Trebuchet MS"/>
          <w:position w:val="-1"/>
          <w:sz w:val="7"/>
          <w:lang w:val="uk-UA"/>
        </w:rPr>
      </w:pPr>
      <w:r w:rsidRPr="003C6DAE">
        <w:rPr>
          <w:rFonts w:ascii="Trebuchet MS"/>
          <w:noProof/>
          <w:position w:val="-1"/>
          <w:sz w:val="7"/>
          <w:lang w:val="uk-UA"/>
        </w:rPr>
        <mc:AlternateContent>
          <mc:Choice Requires="wpg">
            <w:drawing>
              <wp:inline distT="0" distB="0" distL="0" distR="0" wp14:anchorId="74981A72" wp14:editId="0A3B8D8A">
                <wp:extent cx="562610" cy="50800"/>
                <wp:effectExtent l="9525" t="0" r="0" b="635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610" cy="50800"/>
                          <a:chOff x="0" y="0"/>
                          <a:chExt cx="562610" cy="50800"/>
                        </a:xfrm>
                      </wpg:grpSpPr>
                      <wps:wsp>
                        <wps:cNvPr id="263" name="Graphic 263"/>
                        <wps:cNvSpPr/>
                        <wps:spPr>
                          <a:xfrm>
                            <a:off x="0" y="21666"/>
                            <a:ext cx="562610" cy="1270"/>
                          </a:xfrm>
                          <a:custGeom>
                            <a:avLst/>
                            <a:gdLst/>
                            <a:ahLst/>
                            <a:cxnLst/>
                            <a:rect l="l" t="t" r="r" b="b"/>
                            <a:pathLst>
                              <a:path w="562610">
                                <a:moveTo>
                                  <a:pt x="0" y="0"/>
                                </a:moveTo>
                                <a:lnTo>
                                  <a:pt x="562489" y="0"/>
                                </a:lnTo>
                              </a:path>
                            </a:pathLst>
                          </a:custGeom>
                          <a:ln w="7221">
                            <a:solidFill>
                              <a:srgbClr val="000000"/>
                            </a:solidFill>
                            <a:prstDash val="solid"/>
                          </a:ln>
                        </wps:spPr>
                        <wps:bodyPr wrap="square" lIns="0" tIns="0" rIns="0" bIns="0" rtlCol="0">
                          <a:prstTxWarp prst="textNoShape">
                            <a:avLst/>
                          </a:prstTxWarp>
                          <a:noAutofit/>
                        </wps:bodyPr>
                      </wps:wsp>
                      <wps:wsp>
                        <wps:cNvPr id="264" name="Graphic 264"/>
                        <wps:cNvSpPr/>
                        <wps:spPr>
                          <a:xfrm>
                            <a:off x="388832"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0DA5E458" id="Group 262" o:spid="_x0000_s1026" style="width:44.3pt;height:4pt;mso-position-horizontal-relative:char;mso-position-vertical-relative:line" coordsize="562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">
                <v:shape id="Graphic 263" o:spid="_x0000_s1027" style="position:absolute;top:216;width:5626;height:13;visibility:visible;mso-wrap-style:square;v-text-anchor:top" coordsize="562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" path="m,l562489,e" filled="f" strokeweight=".20058mm">
                  <v:path arrowok="t"/>
                </v:shape>
                <v:shape id="Graphic 264" o:spid="_x0000_s1028" style="position:absolute;left:3888;width:463;height:508;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" path="m46132,50553l,50553,,,46132,r,50553xe" fillcolor="#0000c0" stroked="f">
                  <v:path arrowok="t"/>
                </v:shape>
                <w10:anchorlock/>
              </v:group>
            </w:pict>
          </mc:Fallback>
        </mc:AlternateContent>
      </w:r>
    </w:p>
    <w:p w14:paraId="736E6A94" w14:textId="77777777" w:rsidR="00E05B98" w:rsidRPr="003C6DAE" w:rsidRDefault="00B01E0C">
      <w:pPr>
        <w:pStyle w:val="a3"/>
        <w:spacing w:before="9"/>
        <w:rPr>
          <w:rFonts w:ascii="Trebuchet MS"/>
          <w:sz w:val="6"/>
          <w:lang w:val="uk-UA"/>
        </w:rPr>
      </w:pPr>
      <w:r w:rsidRPr="003C6DAE">
        <w:rPr>
          <w:rFonts w:ascii="Trebuchet MS"/>
          <w:noProof/>
          <w:sz w:val="6"/>
          <w:lang w:val="uk-UA"/>
        </w:rPr>
        <mc:AlternateContent>
          <mc:Choice Requires="wpg">
            <w:drawing>
              <wp:anchor distT="0" distB="0" distL="0" distR="0" simplePos="0" relativeHeight="487657472" behindDoc="1" locked="0" layoutInCell="1" allowOverlap="1" wp14:anchorId="29B1A001" wp14:editId="1D377B6F">
                <wp:simplePos x="0" y="0"/>
                <wp:positionH relativeFrom="page">
                  <wp:posOffset>5342594</wp:posOffset>
                </wp:positionH>
                <wp:positionV relativeFrom="paragraph">
                  <wp:posOffset>65387</wp:posOffset>
                </wp:positionV>
                <wp:extent cx="340995" cy="50800"/>
                <wp:effectExtent l="0" t="0" r="0" b="0"/>
                <wp:wrapTopAndBottom/>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995" cy="50800"/>
                          <a:chOff x="0" y="0"/>
                          <a:chExt cx="340995" cy="50800"/>
                        </a:xfrm>
                      </wpg:grpSpPr>
                      <wps:wsp>
                        <wps:cNvPr id="266" name="Graphic 266"/>
                        <wps:cNvSpPr/>
                        <wps:spPr>
                          <a:xfrm>
                            <a:off x="0" y="21665"/>
                            <a:ext cx="340995" cy="1270"/>
                          </a:xfrm>
                          <a:custGeom>
                            <a:avLst/>
                            <a:gdLst/>
                            <a:ahLst/>
                            <a:cxnLst/>
                            <a:rect l="l" t="t" r="r" b="b"/>
                            <a:pathLst>
                              <a:path w="340995">
                                <a:moveTo>
                                  <a:pt x="0" y="0"/>
                                </a:moveTo>
                                <a:lnTo>
                                  <a:pt x="340722" y="0"/>
                                </a:lnTo>
                              </a:path>
                            </a:pathLst>
                          </a:custGeom>
                          <a:ln w="7221">
                            <a:solidFill>
                              <a:srgbClr val="000000"/>
                            </a:solidFill>
                            <a:prstDash val="solid"/>
                          </a:ln>
                        </wps:spPr>
                        <wps:bodyPr wrap="square" lIns="0" tIns="0" rIns="0" bIns="0" rtlCol="0">
                          <a:prstTxWarp prst="textNoShape">
                            <a:avLst/>
                          </a:prstTxWarp>
                          <a:noAutofit/>
                        </wps:bodyPr>
                      </wps:wsp>
                      <wps:wsp>
                        <wps:cNvPr id="267" name="Graphic 267"/>
                        <wps:cNvSpPr/>
                        <wps:spPr>
                          <a:xfrm>
                            <a:off x="188814"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15B9E5E" id="Group 265" o:spid="_x0000_s1026" style="position:absolute;margin-left:420.7pt;margin-top:5.15pt;width:26.85pt;height:4pt;z-index:-15659008;mso-wrap-distance-left:0;mso-wrap-distance-right:0;mso-position-horizontal-relative:page" coordsize="34099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">
                <v:shape id="Graphic 266" o:spid="_x0000_s1027" style="position:absolute;top:21665;width:340995;height:1270;visibility:visible;mso-wrap-style:square;v-text-anchor:top" coordsize="340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" path="m,l340722,e" filled="f" strokeweight=".20058mm">
                  <v:path arrowok="t"/>
                </v:shape>
                <v:shape id="Graphic 267" o:spid="_x0000_s1028" style="position:absolute;left:188814;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" path="m46132,50553l,50553,,,46132,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57984" behindDoc="1" locked="0" layoutInCell="1" allowOverlap="1" wp14:anchorId="1B9DE57D" wp14:editId="74870F5A">
                <wp:simplePos x="0" y="0"/>
                <wp:positionH relativeFrom="page">
                  <wp:posOffset>5672772</wp:posOffset>
                </wp:positionH>
                <wp:positionV relativeFrom="paragraph">
                  <wp:posOffset>180937</wp:posOffset>
                </wp:positionV>
                <wp:extent cx="52069" cy="50800"/>
                <wp:effectExtent l="0" t="0" r="0" b="0"/>
                <wp:wrapTopAndBottom/>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50800"/>
                          <a:chOff x="0" y="0"/>
                          <a:chExt cx="52069" cy="50800"/>
                        </a:xfrm>
                      </wpg:grpSpPr>
                      <wps:wsp>
                        <wps:cNvPr id="269" name="Graphic 269"/>
                        <wps:cNvSpPr/>
                        <wps:spPr>
                          <a:xfrm>
                            <a:off x="0" y="21666"/>
                            <a:ext cx="43180" cy="1270"/>
                          </a:xfrm>
                          <a:custGeom>
                            <a:avLst/>
                            <a:gdLst/>
                            <a:ahLst/>
                            <a:cxnLst/>
                            <a:rect l="l" t="t" r="r" b="b"/>
                            <a:pathLst>
                              <a:path w="43180">
                                <a:moveTo>
                                  <a:pt x="0" y="0"/>
                                </a:moveTo>
                                <a:lnTo>
                                  <a:pt x="42837" y="0"/>
                                </a:lnTo>
                              </a:path>
                            </a:pathLst>
                          </a:custGeom>
                          <a:ln w="7221">
                            <a:solidFill>
                              <a:srgbClr val="000000"/>
                            </a:solidFill>
                            <a:prstDash val="solid"/>
                          </a:ln>
                        </wps:spPr>
                        <wps:bodyPr wrap="square" lIns="0" tIns="0" rIns="0" bIns="0" rtlCol="0">
                          <a:prstTxWarp prst="textNoShape">
                            <a:avLst/>
                          </a:prstTxWarp>
                          <a:noAutofit/>
                        </wps:bodyPr>
                      </wps:wsp>
                      <wps:wsp>
                        <wps:cNvPr id="270" name="Graphic 270"/>
                        <wps:cNvSpPr/>
                        <wps:spPr>
                          <a:xfrm>
                            <a:off x="5601" y="0"/>
                            <a:ext cx="46355" cy="50800"/>
                          </a:xfrm>
                          <a:custGeom>
                            <a:avLst/>
                            <a:gdLst/>
                            <a:ahLst/>
                            <a:cxnLst/>
                            <a:rect l="l" t="t" r="r" b="b"/>
                            <a:pathLst>
                              <a:path w="46355" h="50800">
                                <a:moveTo>
                                  <a:pt x="46133" y="50554"/>
                                </a:moveTo>
                                <a:lnTo>
                                  <a:pt x="0" y="50554"/>
                                </a:lnTo>
                                <a:lnTo>
                                  <a:pt x="0" y="0"/>
                                </a:lnTo>
                                <a:lnTo>
                                  <a:pt x="46133" y="0"/>
                                </a:lnTo>
                                <a:lnTo>
                                  <a:pt x="46133" y="5055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740C7F4" id="Group 268" o:spid="_x0000_s1026" style="position:absolute;margin-left:446.65pt;margin-top:14.25pt;width:4.1pt;height:4pt;z-index:-15658496;mso-wrap-distance-left:0;mso-wrap-distance-right:0;mso-position-horizontal-relative:page" coordsize="52069,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">
                <v:shape id="Graphic 269" o:spid="_x0000_s1027" style="position:absolute;top:21666;width:43180;height:1270;visibility:visible;mso-wrap-style:square;v-text-anchor:top" coordsize="43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" path="m,l42837,e" filled="f" strokeweight=".20058mm">
                  <v:path arrowok="t"/>
                </v:shape>
                <v:shape id="Graphic 270" o:spid="_x0000_s1028" style="position:absolute;left:5601;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" path="m46133,50554l,50554,,,46133,r,50554xe" fillcolor="#0000c0" stroked="f">
                  <v:path arrowok="t"/>
                </v:shape>
                <w10:wrap type="topAndBottom" anchorx="page"/>
              </v:group>
            </w:pict>
          </mc:Fallback>
        </mc:AlternateContent>
      </w:r>
    </w:p>
    <w:p w14:paraId="6DFBA986" w14:textId="77777777" w:rsidR="00E05B98" w:rsidRPr="003C6DAE" w:rsidRDefault="00E05B98">
      <w:pPr>
        <w:pStyle w:val="a3"/>
        <w:spacing w:before="8"/>
        <w:rPr>
          <w:rFonts w:ascii="Trebuchet MS"/>
          <w:sz w:val="6"/>
          <w:lang w:val="uk-UA"/>
        </w:rPr>
      </w:pPr>
    </w:p>
    <w:p w14:paraId="6AA359F6" w14:textId="77777777" w:rsidR="00E05B98" w:rsidRPr="003C6DAE" w:rsidRDefault="00E05B98">
      <w:pPr>
        <w:pStyle w:val="a3"/>
        <w:spacing w:before="9"/>
        <w:rPr>
          <w:rFonts w:ascii="Trebuchet MS"/>
          <w:sz w:val="8"/>
          <w:lang w:val="uk-UA"/>
        </w:rPr>
      </w:pPr>
    </w:p>
    <w:p w14:paraId="17BF1BF2" w14:textId="77777777" w:rsidR="00E05B98" w:rsidRPr="003C6DAE" w:rsidRDefault="00B01E0C">
      <w:pPr>
        <w:pStyle w:val="a3"/>
        <w:spacing w:line="79" w:lineRule="exact"/>
        <w:ind w:left="1202" w:right="-72"/>
        <w:rPr>
          <w:rFonts w:ascii="Trebuchet MS"/>
          <w:position w:val="-1"/>
          <w:sz w:val="7"/>
          <w:lang w:val="uk-UA"/>
        </w:rPr>
      </w:pPr>
      <w:r w:rsidRPr="003C6DAE">
        <w:rPr>
          <w:rFonts w:ascii="Trebuchet MS"/>
          <w:noProof/>
          <w:position w:val="-1"/>
          <w:sz w:val="7"/>
          <w:lang w:val="uk-UA"/>
        </w:rPr>
        <mc:AlternateContent>
          <mc:Choice Requires="wpg">
            <w:drawing>
              <wp:inline distT="0" distB="0" distL="0" distR="0" wp14:anchorId="3E44DEA0" wp14:editId="731D78B0">
                <wp:extent cx="73025" cy="50800"/>
                <wp:effectExtent l="9525" t="0" r="0" b="6350"/>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25" cy="50800"/>
                          <a:chOff x="0" y="0"/>
                          <a:chExt cx="73025" cy="50800"/>
                        </a:xfrm>
                      </wpg:grpSpPr>
                      <wps:wsp>
                        <wps:cNvPr id="272" name="Graphic 272"/>
                        <wps:cNvSpPr/>
                        <wps:spPr>
                          <a:xfrm>
                            <a:off x="0" y="21665"/>
                            <a:ext cx="71120" cy="1270"/>
                          </a:xfrm>
                          <a:custGeom>
                            <a:avLst/>
                            <a:gdLst/>
                            <a:ahLst/>
                            <a:cxnLst/>
                            <a:rect l="l" t="t" r="r" b="b"/>
                            <a:pathLst>
                              <a:path w="71120">
                                <a:moveTo>
                                  <a:pt x="0" y="0"/>
                                </a:moveTo>
                                <a:lnTo>
                                  <a:pt x="70846" y="0"/>
                                </a:lnTo>
                              </a:path>
                            </a:pathLst>
                          </a:custGeom>
                          <a:ln w="7221">
                            <a:solidFill>
                              <a:srgbClr val="000000"/>
                            </a:solidFill>
                            <a:prstDash val="solid"/>
                          </a:ln>
                        </wps:spPr>
                        <wps:bodyPr wrap="square" lIns="0" tIns="0" rIns="0" bIns="0" rtlCol="0">
                          <a:prstTxWarp prst="textNoShape">
                            <a:avLst/>
                          </a:prstTxWarp>
                          <a:noAutofit/>
                        </wps:bodyPr>
                      </wps:wsp>
                      <wps:wsp>
                        <wps:cNvPr id="273" name="Graphic 273"/>
                        <wps:cNvSpPr/>
                        <wps:spPr>
                          <a:xfrm>
                            <a:off x="26361"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48DE0734" id="Group 271" o:spid="_x0000_s1026" style="width:5.75pt;height:4pt;mso-position-horizontal-relative:char;mso-position-vertical-relative:line" coordsize="7302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">
                <v:shape id="Graphic 272" o:spid="_x0000_s1027" style="position:absolute;top:21665;width:71120;height:1270;visibility:visible;mso-wrap-style:square;v-text-anchor:top" coordsize="71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" path="m,l70846,e" filled="f" strokeweight=".20058mm">
                  <v:path arrowok="t"/>
                </v:shape>
                <v:shape id="Graphic 273" o:spid="_x0000_s1028" style="position:absolute;left:26361;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" path="m46132,50553l,50553,,,46132,r,50553xe" fillcolor="#0000c0" stroked="f">
                  <v:path arrowok="t"/>
                </v:shape>
                <w10:anchorlock/>
              </v:group>
            </w:pict>
          </mc:Fallback>
        </mc:AlternateContent>
      </w:r>
    </w:p>
    <w:p w14:paraId="199FC3C5" w14:textId="77777777" w:rsidR="00E05B98" w:rsidRPr="003C6DAE" w:rsidRDefault="00B01E0C">
      <w:pPr>
        <w:pStyle w:val="a3"/>
        <w:spacing w:before="28"/>
        <w:rPr>
          <w:rFonts w:ascii="Trebuchet MS"/>
          <w:sz w:val="20"/>
          <w:lang w:val="uk-UA"/>
        </w:rPr>
      </w:pPr>
      <w:r w:rsidRPr="003C6DAE">
        <w:rPr>
          <w:rFonts w:ascii="Trebuchet MS"/>
          <w:noProof/>
          <w:sz w:val="20"/>
          <w:lang w:val="uk-UA"/>
        </w:rPr>
        <mc:AlternateContent>
          <mc:Choice Requires="wpg">
            <w:drawing>
              <wp:anchor distT="0" distB="0" distL="0" distR="0" simplePos="0" relativeHeight="487659008" behindDoc="1" locked="0" layoutInCell="1" allowOverlap="1" wp14:anchorId="4CABEC9A" wp14:editId="7C64EFEF">
                <wp:simplePos x="0" y="0"/>
                <wp:positionH relativeFrom="page">
                  <wp:posOffset>5613129</wp:posOffset>
                </wp:positionH>
                <wp:positionV relativeFrom="paragraph">
                  <wp:posOffset>180937</wp:posOffset>
                </wp:positionV>
                <wp:extent cx="106045" cy="50800"/>
                <wp:effectExtent l="0" t="0" r="0" b="0"/>
                <wp:wrapTopAndBottom/>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045" cy="50800"/>
                          <a:chOff x="0" y="0"/>
                          <a:chExt cx="106045" cy="50800"/>
                        </a:xfrm>
                      </wpg:grpSpPr>
                      <wps:wsp>
                        <wps:cNvPr id="275" name="Graphic 275"/>
                        <wps:cNvSpPr/>
                        <wps:spPr>
                          <a:xfrm>
                            <a:off x="0" y="21666"/>
                            <a:ext cx="106045" cy="1270"/>
                          </a:xfrm>
                          <a:custGeom>
                            <a:avLst/>
                            <a:gdLst/>
                            <a:ahLst/>
                            <a:cxnLst/>
                            <a:rect l="l" t="t" r="r" b="b"/>
                            <a:pathLst>
                              <a:path w="106045">
                                <a:moveTo>
                                  <a:pt x="0" y="0"/>
                                </a:moveTo>
                                <a:lnTo>
                                  <a:pt x="105775" y="0"/>
                                </a:lnTo>
                              </a:path>
                            </a:pathLst>
                          </a:custGeom>
                          <a:ln w="7221">
                            <a:solidFill>
                              <a:srgbClr val="000000"/>
                            </a:solidFill>
                            <a:prstDash val="solid"/>
                          </a:ln>
                        </wps:spPr>
                        <wps:bodyPr wrap="square" lIns="0" tIns="0" rIns="0" bIns="0" rtlCol="0">
                          <a:prstTxWarp prst="textNoShape">
                            <a:avLst/>
                          </a:prstTxWarp>
                          <a:noAutofit/>
                        </wps:bodyPr>
                      </wps:wsp>
                      <wps:wsp>
                        <wps:cNvPr id="276" name="Graphic 276"/>
                        <wps:cNvSpPr/>
                        <wps:spPr>
                          <a:xfrm>
                            <a:off x="48439" y="0"/>
                            <a:ext cx="46355" cy="50800"/>
                          </a:xfrm>
                          <a:custGeom>
                            <a:avLst/>
                            <a:gdLst/>
                            <a:ahLst/>
                            <a:cxnLst/>
                            <a:rect l="l" t="t" r="r" b="b"/>
                            <a:pathLst>
                              <a:path w="46355" h="50800">
                                <a:moveTo>
                                  <a:pt x="46132" y="50554"/>
                                </a:moveTo>
                                <a:lnTo>
                                  <a:pt x="0" y="50554"/>
                                </a:lnTo>
                                <a:lnTo>
                                  <a:pt x="0" y="0"/>
                                </a:lnTo>
                                <a:lnTo>
                                  <a:pt x="46132" y="0"/>
                                </a:lnTo>
                                <a:lnTo>
                                  <a:pt x="46132" y="5055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5ADFCD0" id="Group 274" o:spid="_x0000_s1026" style="position:absolute;margin-left:442pt;margin-top:14.25pt;width:8.35pt;height:4pt;z-index:-15657472;mso-wrap-distance-left:0;mso-wrap-distance-right:0;mso-position-horizontal-relative:page" coordsize="10604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">
                <v:shape id="Graphic 275" o:spid="_x0000_s1027" style="position:absolute;top:21666;width:106045;height:1270;visibility:visible;mso-wrap-style:square;v-text-anchor:top" coordsize="10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" path="m,l105775,e" filled="f" strokeweight=".20058mm">
                  <v:path arrowok="t"/>
                </v:shape>
                <v:shape id="Graphic 276" o:spid="_x0000_s1028" style="position:absolute;left:48439;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" path="m46132,50554l,50554,,,46132,r,50554xe" fillcolor="#0000c0" stroked="f">
                  <v:path arrowok="t"/>
                </v:shape>
                <w10:wrap type="topAndBottom" anchorx="page"/>
              </v:group>
            </w:pict>
          </mc:Fallback>
        </mc:AlternateContent>
      </w:r>
      <w:r w:rsidRPr="003C6DAE">
        <w:rPr>
          <w:rFonts w:ascii="Trebuchet MS"/>
          <w:noProof/>
          <w:sz w:val="20"/>
          <w:lang w:val="uk-UA"/>
        </w:rPr>
        <mc:AlternateContent>
          <mc:Choice Requires="wpg">
            <w:drawing>
              <wp:anchor distT="0" distB="0" distL="0" distR="0" simplePos="0" relativeHeight="487659520" behindDoc="1" locked="0" layoutInCell="1" allowOverlap="1" wp14:anchorId="7F9021D8" wp14:editId="47558C33">
                <wp:simplePos x="0" y="0"/>
                <wp:positionH relativeFrom="page">
                  <wp:posOffset>5576882</wp:posOffset>
                </wp:positionH>
                <wp:positionV relativeFrom="paragraph">
                  <wp:posOffset>296488</wp:posOffset>
                </wp:positionV>
                <wp:extent cx="102235" cy="50800"/>
                <wp:effectExtent l="0" t="0" r="0" b="0"/>
                <wp:wrapTopAndBottom/>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50800"/>
                          <a:chOff x="0" y="0"/>
                          <a:chExt cx="102235" cy="50800"/>
                        </a:xfrm>
                      </wpg:grpSpPr>
                      <wps:wsp>
                        <wps:cNvPr id="278" name="Graphic 278"/>
                        <wps:cNvSpPr/>
                        <wps:spPr>
                          <a:xfrm>
                            <a:off x="0" y="21665"/>
                            <a:ext cx="102235" cy="1270"/>
                          </a:xfrm>
                          <a:custGeom>
                            <a:avLst/>
                            <a:gdLst/>
                            <a:ahLst/>
                            <a:cxnLst/>
                            <a:rect l="l" t="t" r="r" b="b"/>
                            <a:pathLst>
                              <a:path w="102235">
                                <a:moveTo>
                                  <a:pt x="0" y="0"/>
                                </a:moveTo>
                                <a:lnTo>
                                  <a:pt x="102150" y="0"/>
                                </a:lnTo>
                              </a:path>
                            </a:pathLst>
                          </a:custGeom>
                          <a:ln w="7221">
                            <a:solidFill>
                              <a:srgbClr val="000000"/>
                            </a:solidFill>
                            <a:prstDash val="solid"/>
                          </a:ln>
                        </wps:spPr>
                        <wps:bodyPr wrap="square" lIns="0" tIns="0" rIns="0" bIns="0" rtlCol="0">
                          <a:prstTxWarp prst="textNoShape">
                            <a:avLst/>
                          </a:prstTxWarp>
                          <a:noAutofit/>
                        </wps:bodyPr>
                      </wps:wsp>
                      <wps:wsp>
                        <wps:cNvPr id="279" name="Graphic 279"/>
                        <wps:cNvSpPr/>
                        <wps:spPr>
                          <a:xfrm>
                            <a:off x="39213"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37C6739" id="Group 277" o:spid="_x0000_s1026" style="position:absolute;margin-left:439.1pt;margin-top:23.35pt;width:8.05pt;height:4pt;z-index:-15656960;mso-wrap-distance-left:0;mso-wrap-distance-right:0;mso-position-horizontal-relative:page" coordsize="10223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">
                <v:shape id="Graphic 278" o:spid="_x0000_s1027" style="position:absolute;top:21665;width:102235;height:1270;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" path="m,l102150,e" filled="f" strokeweight=".20058mm">
                  <v:path arrowok="t"/>
                </v:shape>
                <v:shape id="Graphic 279" o:spid="_x0000_s1028" style="position:absolute;left:39213;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" path="m46132,50553l,50553,,,46132,r,50553xe" fillcolor="#0000c0" stroked="f">
                  <v:path arrowok="t"/>
                </v:shape>
                <w10:wrap type="topAndBottom" anchorx="page"/>
              </v:group>
            </w:pict>
          </mc:Fallback>
        </mc:AlternateContent>
      </w:r>
      <w:r w:rsidRPr="003C6DAE">
        <w:rPr>
          <w:rFonts w:ascii="Trebuchet MS"/>
          <w:noProof/>
          <w:sz w:val="20"/>
          <w:lang w:val="uk-UA"/>
        </w:rPr>
        <mc:AlternateContent>
          <mc:Choice Requires="wpg">
            <w:drawing>
              <wp:anchor distT="0" distB="0" distL="0" distR="0" simplePos="0" relativeHeight="487660032" behindDoc="1" locked="0" layoutInCell="1" allowOverlap="1" wp14:anchorId="669B218A" wp14:editId="37F05B6B">
                <wp:simplePos x="0" y="0"/>
                <wp:positionH relativeFrom="page">
                  <wp:posOffset>5649706</wp:posOffset>
                </wp:positionH>
                <wp:positionV relativeFrom="paragraph">
                  <wp:posOffset>412040</wp:posOffset>
                </wp:positionV>
                <wp:extent cx="53340" cy="50800"/>
                <wp:effectExtent l="0" t="0" r="0" b="0"/>
                <wp:wrapTopAndBottom/>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50800"/>
                          <a:chOff x="0" y="0"/>
                          <a:chExt cx="53340" cy="50800"/>
                        </a:xfrm>
                      </wpg:grpSpPr>
                      <wps:wsp>
                        <wps:cNvPr id="281" name="Graphic 281"/>
                        <wps:cNvSpPr/>
                        <wps:spPr>
                          <a:xfrm>
                            <a:off x="0" y="21665"/>
                            <a:ext cx="46990" cy="1270"/>
                          </a:xfrm>
                          <a:custGeom>
                            <a:avLst/>
                            <a:gdLst/>
                            <a:ahLst/>
                            <a:cxnLst/>
                            <a:rect l="l" t="t" r="r" b="b"/>
                            <a:pathLst>
                              <a:path w="46990">
                                <a:moveTo>
                                  <a:pt x="0" y="0"/>
                                </a:moveTo>
                                <a:lnTo>
                                  <a:pt x="46791" y="0"/>
                                </a:lnTo>
                              </a:path>
                            </a:pathLst>
                          </a:custGeom>
                          <a:ln w="7221">
                            <a:solidFill>
                              <a:srgbClr val="000000"/>
                            </a:solidFill>
                            <a:prstDash val="solid"/>
                          </a:ln>
                        </wps:spPr>
                        <wps:bodyPr wrap="square" lIns="0" tIns="0" rIns="0" bIns="0" rtlCol="0">
                          <a:prstTxWarp prst="textNoShape">
                            <a:avLst/>
                          </a:prstTxWarp>
                          <a:noAutofit/>
                        </wps:bodyPr>
                      </wps:wsp>
                      <wps:wsp>
                        <wps:cNvPr id="282" name="Graphic 282"/>
                        <wps:cNvSpPr/>
                        <wps:spPr>
                          <a:xfrm>
                            <a:off x="6590"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DEA832E" id="Group 280" o:spid="_x0000_s1026" style="position:absolute;margin-left:444.85pt;margin-top:32.45pt;width:4.2pt;height:4pt;z-index:-15656448;mso-wrap-distance-left:0;mso-wrap-distance-right:0;mso-position-horizontal-relative:page" coordsize="5334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">
                <v:shape id="Graphic 281" o:spid="_x0000_s1027" style="position:absolute;top:21665;width:46990;height:1270;visibility:visible;mso-wrap-style:square;v-text-anchor:top" coordsize="4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" path="m,l46791,e" filled="f" strokeweight=".20058mm">
                  <v:path arrowok="t"/>
                </v:shape>
                <v:shape id="Graphic 282" o:spid="_x0000_s1028" style="position:absolute;left:6590;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" path="m46132,50553l,50553,,,46132,r,50553xe" fillcolor="#0000c0" stroked="f">
                  <v:path arrowok="t"/>
                </v:shape>
                <w10:wrap type="topAndBottom" anchorx="page"/>
              </v:group>
            </w:pict>
          </mc:Fallback>
        </mc:AlternateContent>
      </w:r>
    </w:p>
    <w:p w14:paraId="21262087" w14:textId="77777777" w:rsidR="00E05B98" w:rsidRPr="003C6DAE" w:rsidRDefault="00E05B98">
      <w:pPr>
        <w:pStyle w:val="a3"/>
        <w:spacing w:before="8"/>
        <w:rPr>
          <w:rFonts w:ascii="Trebuchet MS"/>
          <w:sz w:val="6"/>
          <w:lang w:val="uk-UA"/>
        </w:rPr>
      </w:pPr>
    </w:p>
    <w:p w14:paraId="4EBAAB37" w14:textId="77777777" w:rsidR="00E05B98" w:rsidRPr="003C6DAE" w:rsidRDefault="00E05B98">
      <w:pPr>
        <w:pStyle w:val="a3"/>
        <w:spacing w:before="8"/>
        <w:rPr>
          <w:rFonts w:ascii="Trebuchet MS"/>
          <w:sz w:val="6"/>
          <w:lang w:val="uk-UA"/>
        </w:rPr>
      </w:pPr>
    </w:p>
    <w:p w14:paraId="6A474474" w14:textId="77777777" w:rsidR="00E05B98" w:rsidRPr="003C6DAE" w:rsidRDefault="00E05B98">
      <w:pPr>
        <w:pStyle w:val="a3"/>
        <w:spacing w:before="52"/>
        <w:rPr>
          <w:rFonts w:ascii="Trebuchet MS"/>
          <w:sz w:val="20"/>
          <w:lang w:val="uk-UA"/>
        </w:rPr>
      </w:pPr>
    </w:p>
    <w:p w14:paraId="4B1A106C" w14:textId="77777777" w:rsidR="00E05B98" w:rsidRPr="003C6DAE" w:rsidRDefault="00B01E0C">
      <w:pPr>
        <w:pStyle w:val="a3"/>
        <w:spacing w:line="176" w:lineRule="exact"/>
        <w:ind w:left="87" w:right="-87"/>
        <w:rPr>
          <w:rFonts w:ascii="Trebuchet MS"/>
          <w:position w:val="-3"/>
          <w:sz w:val="17"/>
          <w:lang w:val="uk-UA"/>
        </w:rPr>
      </w:pPr>
      <w:r w:rsidRPr="003C6DAE">
        <w:rPr>
          <w:rFonts w:ascii="Trebuchet MS"/>
          <w:noProof/>
          <w:position w:val="-3"/>
          <w:sz w:val="17"/>
          <w:lang w:val="uk-UA"/>
        </w:rPr>
        <mc:AlternateContent>
          <mc:Choice Requires="wpg">
            <w:drawing>
              <wp:inline distT="0" distB="0" distL="0" distR="0" wp14:anchorId="292098C6" wp14:editId="6291AE8E">
                <wp:extent cx="793750" cy="108585"/>
                <wp:effectExtent l="9525" t="0" r="0" b="5714"/>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0" cy="108585"/>
                          <a:chOff x="0" y="0"/>
                          <a:chExt cx="793750" cy="108585"/>
                        </a:xfrm>
                      </wpg:grpSpPr>
                      <wps:wsp>
                        <wps:cNvPr id="284" name="Graphic 284"/>
                        <wps:cNvSpPr/>
                        <wps:spPr>
                          <a:xfrm>
                            <a:off x="633006" y="21665"/>
                            <a:ext cx="160655" cy="1270"/>
                          </a:xfrm>
                          <a:custGeom>
                            <a:avLst/>
                            <a:gdLst/>
                            <a:ahLst/>
                            <a:cxnLst/>
                            <a:rect l="l" t="t" r="r" b="b"/>
                            <a:pathLst>
                              <a:path w="160655">
                                <a:moveTo>
                                  <a:pt x="0" y="0"/>
                                </a:moveTo>
                                <a:lnTo>
                                  <a:pt x="160146" y="0"/>
                                </a:lnTo>
                              </a:path>
                            </a:pathLst>
                          </a:custGeom>
                          <a:ln w="7221">
                            <a:solidFill>
                              <a:srgbClr val="000000"/>
                            </a:solidFill>
                            <a:prstDash val="solid"/>
                          </a:ln>
                        </wps:spPr>
                        <wps:bodyPr wrap="square" lIns="0" tIns="0" rIns="0" bIns="0" rtlCol="0">
                          <a:prstTxWarp prst="textNoShape">
                            <a:avLst/>
                          </a:prstTxWarp>
                          <a:noAutofit/>
                        </wps:bodyPr>
                      </wps:wsp>
                      <wps:wsp>
                        <wps:cNvPr id="285" name="Graphic 285"/>
                        <wps:cNvSpPr/>
                        <wps:spPr>
                          <a:xfrm>
                            <a:off x="742735" y="0"/>
                            <a:ext cx="46355" cy="50800"/>
                          </a:xfrm>
                          <a:custGeom>
                            <a:avLst/>
                            <a:gdLst/>
                            <a:ahLst/>
                            <a:cxnLst/>
                            <a:rect l="l" t="t" r="r" b="b"/>
                            <a:pathLst>
                              <a:path w="46355" h="50800">
                                <a:moveTo>
                                  <a:pt x="46134" y="50553"/>
                                </a:moveTo>
                                <a:lnTo>
                                  <a:pt x="0" y="50553"/>
                                </a:lnTo>
                                <a:lnTo>
                                  <a:pt x="0" y="0"/>
                                </a:lnTo>
                                <a:lnTo>
                                  <a:pt x="46134" y="0"/>
                                </a:lnTo>
                                <a:lnTo>
                                  <a:pt x="46134" y="50553"/>
                                </a:lnTo>
                                <a:close/>
                              </a:path>
                            </a:pathLst>
                          </a:custGeom>
                          <a:solidFill>
                            <a:srgbClr val="0000C0"/>
                          </a:solidFill>
                        </wps:spPr>
                        <wps:bodyPr wrap="square" lIns="0" tIns="0" rIns="0" bIns="0" rtlCol="0">
                          <a:prstTxWarp prst="textNoShape">
                            <a:avLst/>
                          </a:prstTxWarp>
                          <a:noAutofit/>
                        </wps:bodyPr>
                      </wps:wsp>
                      <wps:wsp>
                        <wps:cNvPr id="286" name="Graphic 286"/>
                        <wps:cNvSpPr/>
                        <wps:spPr>
                          <a:xfrm>
                            <a:off x="3295" y="79441"/>
                            <a:ext cx="784860" cy="1270"/>
                          </a:xfrm>
                          <a:custGeom>
                            <a:avLst/>
                            <a:gdLst/>
                            <a:ahLst/>
                            <a:cxnLst/>
                            <a:rect l="l" t="t" r="r" b="b"/>
                            <a:pathLst>
                              <a:path w="784860">
                                <a:moveTo>
                                  <a:pt x="0" y="0"/>
                                </a:moveTo>
                                <a:lnTo>
                                  <a:pt x="784255" y="0"/>
                                </a:lnTo>
                              </a:path>
                            </a:pathLst>
                          </a:custGeom>
                          <a:ln w="7221">
                            <a:solidFill>
                              <a:srgbClr val="000000"/>
                            </a:solidFill>
                            <a:prstDash val="solid"/>
                          </a:ln>
                        </wps:spPr>
                        <wps:bodyPr wrap="square" lIns="0" tIns="0" rIns="0" bIns="0" rtlCol="0">
                          <a:prstTxWarp prst="textNoShape">
                            <a:avLst/>
                          </a:prstTxWarp>
                          <a:noAutofit/>
                        </wps:bodyPr>
                      </wps:wsp>
                      <wps:wsp>
                        <wps:cNvPr id="287" name="Graphic 287"/>
                        <wps:cNvSpPr/>
                        <wps:spPr>
                          <a:xfrm>
                            <a:off x="3295" y="50553"/>
                            <a:ext cx="1270" cy="57785"/>
                          </a:xfrm>
                          <a:custGeom>
                            <a:avLst/>
                            <a:gdLst/>
                            <a:ahLst/>
                            <a:cxnLst/>
                            <a:rect l="l" t="t" r="r" b="b"/>
                            <a:pathLst>
                              <a:path h="57785">
                                <a:moveTo>
                                  <a:pt x="0" y="0"/>
                                </a:moveTo>
                                <a:lnTo>
                                  <a:pt x="0" y="57775"/>
                                </a:lnTo>
                              </a:path>
                            </a:pathLst>
                          </a:custGeom>
                          <a:ln w="6590">
                            <a:solidFill>
                              <a:srgbClr val="000000"/>
                            </a:solidFill>
                            <a:prstDash val="solid"/>
                          </a:ln>
                        </wps:spPr>
                        <wps:bodyPr wrap="square" lIns="0" tIns="0" rIns="0" bIns="0" rtlCol="0">
                          <a:prstTxWarp prst="textNoShape">
                            <a:avLst/>
                          </a:prstTxWarp>
                          <a:noAutofit/>
                        </wps:bodyPr>
                      </wps:wsp>
                      <wps:wsp>
                        <wps:cNvPr id="288" name="Graphic 288"/>
                        <wps:cNvSpPr/>
                        <wps:spPr>
                          <a:xfrm>
                            <a:off x="160146" y="50553"/>
                            <a:ext cx="1270" cy="57785"/>
                          </a:xfrm>
                          <a:custGeom>
                            <a:avLst/>
                            <a:gdLst/>
                            <a:ahLst/>
                            <a:cxnLst/>
                            <a:rect l="l" t="t" r="r" b="b"/>
                            <a:pathLst>
                              <a:path h="57785">
                                <a:moveTo>
                                  <a:pt x="0" y="0"/>
                                </a:moveTo>
                                <a:lnTo>
                                  <a:pt x="0" y="57775"/>
                                </a:lnTo>
                              </a:path>
                            </a:pathLst>
                          </a:custGeom>
                          <a:ln w="6590">
                            <a:solidFill>
                              <a:srgbClr val="000000"/>
                            </a:solidFill>
                            <a:prstDash val="solid"/>
                          </a:ln>
                        </wps:spPr>
                        <wps:bodyPr wrap="square" lIns="0" tIns="0" rIns="0" bIns="0" rtlCol="0">
                          <a:prstTxWarp prst="textNoShape">
                            <a:avLst/>
                          </a:prstTxWarp>
                          <a:noAutofit/>
                        </wps:bodyPr>
                      </wps:wsp>
                      <wps:wsp>
                        <wps:cNvPr id="289" name="Graphic 289"/>
                        <wps:cNvSpPr/>
                        <wps:spPr>
                          <a:xfrm>
                            <a:off x="316997" y="50553"/>
                            <a:ext cx="1270" cy="57785"/>
                          </a:xfrm>
                          <a:custGeom>
                            <a:avLst/>
                            <a:gdLst/>
                            <a:ahLst/>
                            <a:cxnLst/>
                            <a:rect l="l" t="t" r="r" b="b"/>
                            <a:pathLst>
                              <a:path h="57785">
                                <a:moveTo>
                                  <a:pt x="0" y="0"/>
                                </a:moveTo>
                                <a:lnTo>
                                  <a:pt x="0" y="57775"/>
                                </a:lnTo>
                              </a:path>
                            </a:pathLst>
                          </a:custGeom>
                          <a:ln w="6590">
                            <a:solidFill>
                              <a:srgbClr val="000000"/>
                            </a:solidFill>
                            <a:prstDash val="solid"/>
                          </a:ln>
                        </wps:spPr>
                        <wps:bodyPr wrap="square" lIns="0" tIns="0" rIns="0" bIns="0" rtlCol="0">
                          <a:prstTxWarp prst="textNoShape">
                            <a:avLst/>
                          </a:prstTxWarp>
                          <a:noAutofit/>
                        </wps:bodyPr>
                      </wps:wsp>
                      <wps:wsp>
                        <wps:cNvPr id="290" name="Graphic 290"/>
                        <wps:cNvSpPr/>
                        <wps:spPr>
                          <a:xfrm>
                            <a:off x="473519" y="50553"/>
                            <a:ext cx="1270" cy="57785"/>
                          </a:xfrm>
                          <a:custGeom>
                            <a:avLst/>
                            <a:gdLst/>
                            <a:ahLst/>
                            <a:cxnLst/>
                            <a:rect l="l" t="t" r="r" b="b"/>
                            <a:pathLst>
                              <a:path h="57785">
                                <a:moveTo>
                                  <a:pt x="0" y="0"/>
                                </a:moveTo>
                                <a:lnTo>
                                  <a:pt x="0" y="57775"/>
                                </a:lnTo>
                              </a:path>
                            </a:pathLst>
                          </a:custGeom>
                          <a:ln w="6590">
                            <a:solidFill>
                              <a:srgbClr val="000000"/>
                            </a:solidFill>
                            <a:prstDash val="solid"/>
                          </a:ln>
                        </wps:spPr>
                        <wps:bodyPr wrap="square" lIns="0" tIns="0" rIns="0" bIns="0" rtlCol="0">
                          <a:prstTxWarp prst="textNoShape">
                            <a:avLst/>
                          </a:prstTxWarp>
                          <a:noAutofit/>
                        </wps:bodyPr>
                      </wps:wsp>
                      <wps:wsp>
                        <wps:cNvPr id="291" name="Graphic 291"/>
                        <wps:cNvSpPr/>
                        <wps:spPr>
                          <a:xfrm>
                            <a:off x="630700" y="50553"/>
                            <a:ext cx="1270" cy="57785"/>
                          </a:xfrm>
                          <a:custGeom>
                            <a:avLst/>
                            <a:gdLst/>
                            <a:ahLst/>
                            <a:cxnLst/>
                            <a:rect l="l" t="t" r="r" b="b"/>
                            <a:pathLst>
                              <a:path h="57785">
                                <a:moveTo>
                                  <a:pt x="0" y="0"/>
                                </a:moveTo>
                                <a:lnTo>
                                  <a:pt x="0" y="57775"/>
                                </a:lnTo>
                              </a:path>
                            </a:pathLst>
                          </a:custGeom>
                          <a:ln w="6590">
                            <a:solidFill>
                              <a:srgbClr val="000000"/>
                            </a:solidFill>
                            <a:prstDash val="solid"/>
                          </a:ln>
                        </wps:spPr>
                        <wps:bodyPr wrap="square" lIns="0" tIns="0" rIns="0" bIns="0" rtlCol="0">
                          <a:prstTxWarp prst="textNoShape">
                            <a:avLst/>
                          </a:prstTxWarp>
                          <a:noAutofit/>
                        </wps:bodyPr>
                      </wps:wsp>
                      <wps:wsp>
                        <wps:cNvPr id="292" name="Graphic 292"/>
                        <wps:cNvSpPr/>
                        <wps:spPr>
                          <a:xfrm>
                            <a:off x="787551" y="50553"/>
                            <a:ext cx="1270" cy="57785"/>
                          </a:xfrm>
                          <a:custGeom>
                            <a:avLst/>
                            <a:gdLst/>
                            <a:ahLst/>
                            <a:cxnLst/>
                            <a:rect l="l" t="t" r="r" b="b"/>
                            <a:pathLst>
                              <a:path h="57785">
                                <a:moveTo>
                                  <a:pt x="0" y="0"/>
                                </a:moveTo>
                                <a:lnTo>
                                  <a:pt x="0" y="57775"/>
                                </a:lnTo>
                              </a:path>
                            </a:pathLst>
                          </a:custGeom>
                          <a:ln w="659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364147" id="Group 283" o:spid="_x0000_s1026" style="width:62.5pt;height:8.55pt;mso-position-horizontal-relative:char;mso-position-vertical-relative:line" coordsize="7937,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">
                <v:shape id="Graphic 284" o:spid="_x0000_s1027" style="position:absolute;left:6330;top:216;width:1606;height:13;visibility:visible;mso-wrap-style:square;v-text-anchor:top" coordsize="160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" path="m,l160146,e" filled="f" strokeweight=".20058mm">
                  <v:path arrowok="t"/>
                </v:shape>
                <v:shape id="Graphic 285" o:spid="_x0000_s1028" style="position:absolute;left:7427;width:463;height:508;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" path="m46134,50553l,50553,,,46134,r,50553xe" fillcolor="#0000c0" stroked="f">
                  <v:path arrowok="t"/>
                </v:shape>
                <v:shape id="Graphic 286" o:spid="_x0000_s1029" style="position:absolute;left:32;top:794;width:7849;height:13;visibility:visible;mso-wrap-style:square;v-text-anchor:top" coordsize="784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" path="m,l784255,e" filled="f" strokeweight=".20058mm">
                  <v:path arrowok="t"/>
                </v:shape>
                <v:shape id="Graphic 287" o:spid="_x0000_s1030" style="position:absolute;left:32;top:505;width:13;height:578;visibility:visible;mso-wrap-style:square;v-text-anchor:top" coordsize="12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" path="m,l,57775e" filled="f" strokeweight=".18306mm">
                  <v:path arrowok="t"/>
                </v:shape>
                <v:shape id="Graphic 288" o:spid="_x0000_s1031" style="position:absolute;left:1601;top:505;width:13;height:578;visibility:visible;mso-wrap-style:square;v-text-anchor:top" coordsize="12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" path="m,l,57775e" filled="f" strokeweight=".18306mm">
                  <v:path arrowok="t"/>
                </v:shape>
                <v:shape id="Graphic 289" o:spid="_x0000_s1032" style="position:absolute;left:3169;top:505;width:13;height:578;visibility:visible;mso-wrap-style:square;v-text-anchor:top" coordsize="12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" path="m,l,57775e" filled="f" strokeweight=".18306mm">
                  <v:path arrowok="t"/>
                </v:shape>
                <v:shape id="Graphic 290" o:spid="_x0000_s1033" style="position:absolute;left:4735;top:505;width:12;height:578;visibility:visible;mso-wrap-style:square;v-text-anchor:top" coordsize="12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" path="m,l,57775e" filled="f" strokeweight=".18306mm">
                  <v:path arrowok="t"/>
                </v:shape>
                <v:shape id="Graphic 291" o:spid="_x0000_s1034" style="position:absolute;left:6307;top:505;width:12;height:578;visibility:visible;mso-wrap-style:square;v-text-anchor:top" coordsize="12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" path="m,l,57775e" filled="f" strokeweight=".18306mm">
                  <v:path arrowok="t"/>
                </v:shape>
                <v:shape id="Graphic 292" o:spid="_x0000_s1035" style="position:absolute;left:7875;top:505;width:13;height:578;visibility:visible;mso-wrap-style:square;v-text-anchor:top" coordsize="12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" path="m,l,57775e" filled="f" strokeweight=".18306mm">
                  <v:path arrowok="t"/>
                </v:shape>
                <w10:anchorlock/>
              </v:group>
            </w:pict>
          </mc:Fallback>
        </mc:AlternateContent>
      </w:r>
    </w:p>
    <w:p w14:paraId="41F4E9DC" w14:textId="77777777" w:rsidR="00E05B98" w:rsidRPr="003C6DAE" w:rsidRDefault="00B01E0C">
      <w:pPr>
        <w:ind w:left="93"/>
        <w:rPr>
          <w:rFonts w:ascii="Trebuchet MS"/>
          <w:sz w:val="13"/>
          <w:lang w:val="uk-UA"/>
        </w:rPr>
      </w:pPr>
      <w:r w:rsidRPr="003C6DAE">
        <w:rPr>
          <w:rFonts w:ascii="Trebuchet MS"/>
          <w:noProof/>
          <w:sz w:val="13"/>
          <w:lang w:val="uk-UA"/>
        </w:rPr>
        <mc:AlternateContent>
          <mc:Choice Requires="wpg">
            <w:drawing>
              <wp:anchor distT="0" distB="0" distL="0" distR="0" simplePos="0" relativeHeight="15820800" behindDoc="0" locked="0" layoutInCell="1" allowOverlap="1" wp14:anchorId="09E27A7F" wp14:editId="530B66AE">
                <wp:simplePos x="0" y="0"/>
                <wp:positionH relativeFrom="page">
                  <wp:posOffset>4966283</wp:posOffset>
                </wp:positionH>
                <wp:positionV relativeFrom="paragraph">
                  <wp:posOffset>-689516</wp:posOffset>
                </wp:positionV>
                <wp:extent cx="797560" cy="50800"/>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7560" cy="50800"/>
                          <a:chOff x="0" y="0"/>
                          <a:chExt cx="797560" cy="50800"/>
                        </a:xfrm>
                      </wpg:grpSpPr>
                      <wps:wsp>
                        <wps:cNvPr id="294" name="Graphic 294"/>
                        <wps:cNvSpPr/>
                        <wps:spPr>
                          <a:xfrm>
                            <a:off x="0" y="21665"/>
                            <a:ext cx="771525" cy="1270"/>
                          </a:xfrm>
                          <a:custGeom>
                            <a:avLst/>
                            <a:gdLst/>
                            <a:ahLst/>
                            <a:cxnLst/>
                            <a:rect l="l" t="t" r="r" b="b"/>
                            <a:pathLst>
                              <a:path w="771525">
                                <a:moveTo>
                                  <a:pt x="0" y="0"/>
                                </a:moveTo>
                                <a:lnTo>
                                  <a:pt x="771075" y="0"/>
                                </a:lnTo>
                              </a:path>
                            </a:pathLst>
                          </a:custGeom>
                          <a:ln w="7221">
                            <a:solidFill>
                              <a:srgbClr val="000000"/>
                            </a:solidFill>
                            <a:prstDash val="solid"/>
                          </a:ln>
                        </wps:spPr>
                        <wps:bodyPr wrap="square" lIns="0" tIns="0" rIns="0" bIns="0" rtlCol="0">
                          <a:prstTxWarp prst="textNoShape">
                            <a:avLst/>
                          </a:prstTxWarp>
                          <a:noAutofit/>
                        </wps:bodyPr>
                      </wps:wsp>
                      <wps:wsp>
                        <wps:cNvPr id="295" name="Graphic 295"/>
                        <wps:cNvSpPr/>
                        <wps:spPr>
                          <a:xfrm>
                            <a:off x="751304"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7C3ACC3" id="Group 293" o:spid="_x0000_s1026" style="position:absolute;margin-left:391.05pt;margin-top:-54.3pt;width:62.8pt;height:4pt;z-index:15820800;mso-wrap-distance-left:0;mso-wrap-distance-right:0;mso-position-horizontal-relative:page" coordsize="7975,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">
                <v:shape id="Graphic 294" o:spid="_x0000_s1027" style="position:absolute;top:216;width:7715;height:13;visibility:visible;mso-wrap-style:square;v-text-anchor:top" coordsize="771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" path="m,l771075,e" filled="f" strokeweight=".20058mm">
                  <v:path arrowok="t"/>
                </v:shape>
                <v:shape id="Graphic 295" o:spid="_x0000_s1028" style="position:absolute;left:7513;width:463;height:508;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" path="m46132,50553l,50553,,,46132,r,50553xe" fillcolor="#0000c0" stroked="f">
                  <v:path arrowok="t"/>
                </v:shape>
                <w10:wrap anchorx="page"/>
              </v:group>
            </w:pict>
          </mc:Fallback>
        </mc:AlternateContent>
      </w:r>
      <w:r w:rsidRPr="003C6DAE">
        <w:rPr>
          <w:rFonts w:ascii="Trebuchet MS"/>
          <w:w w:val="95"/>
          <w:sz w:val="13"/>
          <w:lang w:val="uk-UA"/>
        </w:rPr>
        <w:t>0</w:t>
      </w:r>
      <w:r w:rsidRPr="003C6DAE">
        <w:rPr>
          <w:rFonts w:ascii="Trebuchet MS"/>
          <w:spacing w:val="48"/>
          <w:sz w:val="13"/>
          <w:lang w:val="uk-UA"/>
        </w:rPr>
        <w:t xml:space="preserve"> </w:t>
      </w:r>
      <w:r w:rsidRPr="003C6DAE">
        <w:rPr>
          <w:rFonts w:ascii="Trebuchet MS"/>
          <w:w w:val="95"/>
          <w:sz w:val="13"/>
          <w:lang w:val="uk-UA"/>
        </w:rPr>
        <w:t>0.2</w:t>
      </w:r>
      <w:r w:rsidRPr="003C6DAE">
        <w:rPr>
          <w:rFonts w:ascii="Trebuchet MS"/>
          <w:spacing w:val="33"/>
          <w:sz w:val="13"/>
          <w:lang w:val="uk-UA"/>
        </w:rPr>
        <w:t xml:space="preserve"> </w:t>
      </w:r>
      <w:r w:rsidRPr="003C6DAE">
        <w:rPr>
          <w:rFonts w:ascii="Trebuchet MS"/>
          <w:w w:val="95"/>
          <w:sz w:val="13"/>
          <w:lang w:val="uk-UA"/>
        </w:rPr>
        <w:t>0.4</w:t>
      </w:r>
      <w:r w:rsidRPr="003C6DAE">
        <w:rPr>
          <w:rFonts w:ascii="Trebuchet MS"/>
          <w:spacing w:val="33"/>
          <w:sz w:val="13"/>
          <w:lang w:val="uk-UA"/>
        </w:rPr>
        <w:t xml:space="preserve"> </w:t>
      </w:r>
      <w:r w:rsidRPr="003C6DAE">
        <w:rPr>
          <w:rFonts w:ascii="Trebuchet MS"/>
          <w:w w:val="95"/>
          <w:sz w:val="13"/>
          <w:lang w:val="uk-UA"/>
        </w:rPr>
        <w:t>0.6</w:t>
      </w:r>
      <w:r w:rsidRPr="003C6DAE">
        <w:rPr>
          <w:rFonts w:ascii="Trebuchet MS"/>
          <w:spacing w:val="33"/>
          <w:sz w:val="13"/>
          <w:lang w:val="uk-UA"/>
        </w:rPr>
        <w:t xml:space="preserve"> </w:t>
      </w:r>
      <w:r w:rsidRPr="003C6DAE">
        <w:rPr>
          <w:rFonts w:ascii="Trebuchet MS"/>
          <w:w w:val="95"/>
          <w:sz w:val="13"/>
          <w:lang w:val="uk-UA"/>
        </w:rPr>
        <w:t>0.8</w:t>
      </w:r>
      <w:r w:rsidRPr="003C6DAE">
        <w:rPr>
          <w:rFonts w:ascii="Trebuchet MS"/>
          <w:spacing w:val="48"/>
          <w:sz w:val="13"/>
          <w:lang w:val="uk-UA"/>
        </w:rPr>
        <w:t xml:space="preserve"> </w:t>
      </w:r>
      <w:r w:rsidRPr="003C6DAE">
        <w:rPr>
          <w:rFonts w:ascii="Trebuchet MS"/>
          <w:spacing w:val="-10"/>
          <w:w w:val="95"/>
          <w:sz w:val="13"/>
          <w:lang w:val="uk-UA"/>
        </w:rPr>
        <w:t>1</w:t>
      </w:r>
    </w:p>
    <w:p w14:paraId="6BBC629A" w14:textId="77777777" w:rsidR="00E05B98" w:rsidRPr="003C6DAE" w:rsidRDefault="00B01E0C">
      <w:pPr>
        <w:spacing w:before="4"/>
        <w:rPr>
          <w:rFonts w:ascii="Trebuchet MS"/>
          <w:sz w:val="3"/>
          <w:lang w:val="uk-UA"/>
        </w:rPr>
      </w:pPr>
      <w:r w:rsidRPr="003C6DAE">
        <w:rPr>
          <w:lang w:val="uk-UA"/>
        </w:rPr>
        <w:br w:type="column"/>
      </w:r>
    </w:p>
    <w:p w14:paraId="351FAB4D" w14:textId="77777777" w:rsidR="00E05B98" w:rsidRPr="003C6DAE" w:rsidRDefault="00B01E0C">
      <w:pPr>
        <w:pStyle w:val="a3"/>
        <w:spacing w:line="79" w:lineRule="exact"/>
        <w:ind w:left="270"/>
        <w:rPr>
          <w:rFonts w:ascii="Trebuchet MS"/>
          <w:position w:val="-1"/>
          <w:sz w:val="7"/>
          <w:lang w:val="uk-UA"/>
        </w:rPr>
      </w:pPr>
      <w:r w:rsidRPr="003C6DAE">
        <w:rPr>
          <w:rFonts w:ascii="Trebuchet MS"/>
          <w:noProof/>
          <w:position w:val="-1"/>
          <w:sz w:val="7"/>
          <w:lang w:val="uk-UA"/>
        </w:rPr>
        <mc:AlternateContent>
          <mc:Choice Requires="wpg">
            <w:drawing>
              <wp:inline distT="0" distB="0" distL="0" distR="0" wp14:anchorId="27233F4A" wp14:editId="0E3FB7A1">
                <wp:extent cx="692785" cy="50800"/>
                <wp:effectExtent l="9525" t="0" r="0" b="6350"/>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785" cy="50800"/>
                          <a:chOff x="0" y="0"/>
                          <a:chExt cx="692785" cy="50800"/>
                        </a:xfrm>
                      </wpg:grpSpPr>
                      <wps:wsp>
                        <wps:cNvPr id="297" name="Graphic 297"/>
                        <wps:cNvSpPr/>
                        <wps:spPr>
                          <a:xfrm>
                            <a:off x="0" y="21665"/>
                            <a:ext cx="666115" cy="1270"/>
                          </a:xfrm>
                          <a:custGeom>
                            <a:avLst/>
                            <a:gdLst/>
                            <a:ahLst/>
                            <a:cxnLst/>
                            <a:rect l="l" t="t" r="r" b="b"/>
                            <a:pathLst>
                              <a:path w="666115">
                                <a:moveTo>
                                  <a:pt x="0" y="0"/>
                                </a:moveTo>
                                <a:lnTo>
                                  <a:pt x="665958" y="0"/>
                                </a:lnTo>
                              </a:path>
                            </a:pathLst>
                          </a:custGeom>
                          <a:ln w="7221">
                            <a:solidFill>
                              <a:srgbClr val="000000"/>
                            </a:solidFill>
                            <a:prstDash val="solid"/>
                          </a:ln>
                        </wps:spPr>
                        <wps:bodyPr wrap="square" lIns="0" tIns="0" rIns="0" bIns="0" rtlCol="0">
                          <a:prstTxWarp prst="textNoShape">
                            <a:avLst/>
                          </a:prstTxWarp>
                          <a:noAutofit/>
                        </wps:bodyPr>
                      </wps:wsp>
                      <wps:wsp>
                        <wps:cNvPr id="298" name="Graphic 298"/>
                        <wps:cNvSpPr/>
                        <wps:spPr>
                          <a:xfrm>
                            <a:off x="646186" y="0"/>
                            <a:ext cx="46355" cy="50800"/>
                          </a:xfrm>
                          <a:custGeom>
                            <a:avLst/>
                            <a:gdLst/>
                            <a:ahLst/>
                            <a:cxnLst/>
                            <a:rect l="l" t="t" r="r" b="b"/>
                            <a:pathLst>
                              <a:path w="46355" h="50800">
                                <a:moveTo>
                                  <a:pt x="46134" y="50552"/>
                                </a:moveTo>
                                <a:lnTo>
                                  <a:pt x="0" y="50552"/>
                                </a:lnTo>
                                <a:lnTo>
                                  <a:pt x="0" y="0"/>
                                </a:lnTo>
                                <a:lnTo>
                                  <a:pt x="46134" y="0"/>
                                </a:lnTo>
                                <a:lnTo>
                                  <a:pt x="46134" y="50552"/>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5702118C" id="Group 296" o:spid="_x0000_s1026" style="width:54.55pt;height:4pt;mso-position-horizontal-relative:char;mso-position-vertical-relative:line" coordsize="6927,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">
                <v:shape id="Graphic 297" o:spid="_x0000_s1027" style="position:absolute;top:216;width:6661;height:13;visibility:visible;mso-wrap-style:square;v-text-anchor:top" coordsize="666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" path="m,l665958,e" filled="f" strokeweight=".20058mm">
                  <v:path arrowok="t"/>
                </v:shape>
                <v:shape id="Graphic 298" o:spid="_x0000_s1028" style="position:absolute;left:6461;width:464;height:508;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" path="m46134,50552l,50552,,,46134,r,50552xe" fillcolor="#0000c0" stroked="f">
                  <v:path arrowok="t"/>
                </v:shape>
                <w10:anchorlock/>
              </v:group>
            </w:pict>
          </mc:Fallback>
        </mc:AlternateContent>
      </w:r>
    </w:p>
    <w:p w14:paraId="1AFB7E78" w14:textId="77777777" w:rsidR="00E05B98" w:rsidRPr="003C6DAE" w:rsidRDefault="00B01E0C">
      <w:pPr>
        <w:pStyle w:val="a3"/>
        <w:spacing w:before="9"/>
        <w:rPr>
          <w:rFonts w:ascii="Trebuchet MS"/>
          <w:sz w:val="6"/>
          <w:lang w:val="uk-UA"/>
        </w:rPr>
      </w:pPr>
      <w:r w:rsidRPr="003C6DAE">
        <w:rPr>
          <w:rFonts w:ascii="Trebuchet MS"/>
          <w:noProof/>
          <w:sz w:val="6"/>
          <w:lang w:val="uk-UA"/>
        </w:rPr>
        <mc:AlternateContent>
          <mc:Choice Requires="wpg">
            <w:drawing>
              <wp:anchor distT="0" distB="0" distL="0" distR="0" simplePos="0" relativeHeight="487661568" behindDoc="1" locked="0" layoutInCell="1" allowOverlap="1" wp14:anchorId="3D744260" wp14:editId="1AEFD803">
                <wp:simplePos x="0" y="0"/>
                <wp:positionH relativeFrom="page">
                  <wp:posOffset>6526557</wp:posOffset>
                </wp:positionH>
                <wp:positionV relativeFrom="paragraph">
                  <wp:posOffset>65389</wp:posOffset>
                </wp:positionV>
                <wp:extent cx="59055" cy="50800"/>
                <wp:effectExtent l="0" t="0" r="0" b="0"/>
                <wp:wrapTopAndBottom/>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 cy="50800"/>
                          <a:chOff x="0" y="0"/>
                          <a:chExt cx="59055" cy="50800"/>
                        </a:xfrm>
                      </wpg:grpSpPr>
                      <wps:wsp>
                        <wps:cNvPr id="300" name="Graphic 300"/>
                        <wps:cNvSpPr/>
                        <wps:spPr>
                          <a:xfrm>
                            <a:off x="0" y="21666"/>
                            <a:ext cx="52069" cy="1270"/>
                          </a:xfrm>
                          <a:custGeom>
                            <a:avLst/>
                            <a:gdLst/>
                            <a:ahLst/>
                            <a:cxnLst/>
                            <a:rect l="l" t="t" r="r" b="b"/>
                            <a:pathLst>
                              <a:path w="52069">
                                <a:moveTo>
                                  <a:pt x="0" y="0"/>
                                </a:moveTo>
                                <a:lnTo>
                                  <a:pt x="52064" y="0"/>
                                </a:lnTo>
                              </a:path>
                            </a:pathLst>
                          </a:custGeom>
                          <a:ln w="7221">
                            <a:solidFill>
                              <a:srgbClr val="000000"/>
                            </a:solidFill>
                            <a:prstDash val="solid"/>
                          </a:ln>
                        </wps:spPr>
                        <wps:bodyPr wrap="square" lIns="0" tIns="0" rIns="0" bIns="0" rtlCol="0">
                          <a:prstTxWarp prst="textNoShape">
                            <a:avLst/>
                          </a:prstTxWarp>
                          <a:noAutofit/>
                        </wps:bodyPr>
                      </wps:wsp>
                      <wps:wsp>
                        <wps:cNvPr id="301" name="Graphic 301"/>
                        <wps:cNvSpPr/>
                        <wps:spPr>
                          <a:xfrm>
                            <a:off x="12522" y="0"/>
                            <a:ext cx="46355" cy="50800"/>
                          </a:xfrm>
                          <a:custGeom>
                            <a:avLst/>
                            <a:gdLst/>
                            <a:ahLst/>
                            <a:cxnLst/>
                            <a:rect l="l" t="t" r="r" b="b"/>
                            <a:pathLst>
                              <a:path w="46355" h="50800">
                                <a:moveTo>
                                  <a:pt x="46132" y="50554"/>
                                </a:moveTo>
                                <a:lnTo>
                                  <a:pt x="0" y="50554"/>
                                </a:lnTo>
                                <a:lnTo>
                                  <a:pt x="0" y="0"/>
                                </a:lnTo>
                                <a:lnTo>
                                  <a:pt x="46132" y="0"/>
                                </a:lnTo>
                                <a:lnTo>
                                  <a:pt x="46132" y="5055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A27B972" id="Group 299" o:spid="_x0000_s1026" style="position:absolute;margin-left:513.9pt;margin-top:5.15pt;width:4.65pt;height:4pt;z-index:-15654912;mso-wrap-distance-left:0;mso-wrap-distance-right:0;mso-position-horizontal-relative:page" coordsize="590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">
                <v:shape id="Graphic 300" o:spid="_x0000_s1027" style="position:absolute;top:21666;width:52069;height:1270;visibility:visible;mso-wrap-style:square;v-text-anchor:top" coordsize="520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" path="m,l52064,e" filled="f" strokeweight=".20058mm">
                  <v:path arrowok="t"/>
                </v:shape>
                <v:shape id="Graphic 301" o:spid="_x0000_s1028" style="position:absolute;left:12522;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" path="m46132,50554l,50554,,,46132,r,50554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62080" behindDoc="1" locked="0" layoutInCell="1" allowOverlap="1" wp14:anchorId="53866A2D" wp14:editId="7E3EB125">
                <wp:simplePos x="0" y="0"/>
                <wp:positionH relativeFrom="page">
                  <wp:posOffset>6561156</wp:posOffset>
                </wp:positionH>
                <wp:positionV relativeFrom="paragraph">
                  <wp:posOffset>180941</wp:posOffset>
                </wp:positionV>
                <wp:extent cx="53340" cy="50800"/>
                <wp:effectExtent l="0" t="0" r="0" b="0"/>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50800"/>
                          <a:chOff x="0" y="0"/>
                          <a:chExt cx="53340" cy="50800"/>
                        </a:xfrm>
                      </wpg:grpSpPr>
                      <wps:wsp>
                        <wps:cNvPr id="303" name="Graphic 303"/>
                        <wps:cNvSpPr/>
                        <wps:spPr>
                          <a:xfrm>
                            <a:off x="0" y="21665"/>
                            <a:ext cx="33020" cy="1270"/>
                          </a:xfrm>
                          <a:custGeom>
                            <a:avLst/>
                            <a:gdLst/>
                            <a:ahLst/>
                            <a:cxnLst/>
                            <a:rect l="l" t="t" r="r" b="b"/>
                            <a:pathLst>
                              <a:path w="33020">
                                <a:moveTo>
                                  <a:pt x="0" y="0"/>
                                </a:moveTo>
                                <a:lnTo>
                                  <a:pt x="32622" y="0"/>
                                </a:lnTo>
                              </a:path>
                            </a:pathLst>
                          </a:custGeom>
                          <a:ln w="7221">
                            <a:solidFill>
                              <a:srgbClr val="000000"/>
                            </a:solidFill>
                            <a:prstDash val="solid"/>
                          </a:ln>
                        </wps:spPr>
                        <wps:bodyPr wrap="square" lIns="0" tIns="0" rIns="0" bIns="0" rtlCol="0">
                          <a:prstTxWarp prst="textNoShape">
                            <a:avLst/>
                          </a:prstTxWarp>
                          <a:noAutofit/>
                        </wps:bodyPr>
                      </wps:wsp>
                      <wps:wsp>
                        <wps:cNvPr id="304" name="Graphic 304"/>
                        <wps:cNvSpPr/>
                        <wps:spPr>
                          <a:xfrm>
                            <a:off x="6919" y="0"/>
                            <a:ext cx="46355" cy="50800"/>
                          </a:xfrm>
                          <a:custGeom>
                            <a:avLst/>
                            <a:gdLst/>
                            <a:ahLst/>
                            <a:cxnLst/>
                            <a:rect l="l" t="t" r="r" b="b"/>
                            <a:pathLst>
                              <a:path w="46355" h="50800">
                                <a:moveTo>
                                  <a:pt x="46134" y="50553"/>
                                </a:moveTo>
                                <a:lnTo>
                                  <a:pt x="0" y="50553"/>
                                </a:lnTo>
                                <a:lnTo>
                                  <a:pt x="0" y="0"/>
                                </a:lnTo>
                                <a:lnTo>
                                  <a:pt x="46134" y="0"/>
                                </a:lnTo>
                                <a:lnTo>
                                  <a:pt x="46134"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982F49E" id="Group 302" o:spid="_x0000_s1026" style="position:absolute;margin-left:516.65pt;margin-top:14.25pt;width:4.2pt;height:4pt;z-index:-15654400;mso-wrap-distance-left:0;mso-wrap-distance-right:0;mso-position-horizontal-relative:page" coordsize="5334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">
                <v:shape id="Graphic 303" o:spid="_x0000_s1027" style="position:absolute;top:21665;width:33020;height:1270;visibility:visible;mso-wrap-style:square;v-text-anchor:top" coordsize="33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" path="m,l32622,e" filled="f" strokeweight=".20058mm">
                  <v:path arrowok="t"/>
                </v:shape>
                <v:shape id="Graphic 304" o:spid="_x0000_s1028" style="position:absolute;left:6919;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" path="m46134,50553l,50553,,,46134,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62592" behindDoc="1" locked="0" layoutInCell="1" allowOverlap="1" wp14:anchorId="40E0D15C" wp14:editId="461ED246">
                <wp:simplePos x="0" y="0"/>
                <wp:positionH relativeFrom="page">
                  <wp:posOffset>6529193</wp:posOffset>
                </wp:positionH>
                <wp:positionV relativeFrom="paragraph">
                  <wp:posOffset>296493</wp:posOffset>
                </wp:positionV>
                <wp:extent cx="46355" cy="50800"/>
                <wp:effectExtent l="0" t="0" r="0" b="0"/>
                <wp:wrapTopAndBottom/>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 cy="50800"/>
                          <a:chOff x="0" y="0"/>
                          <a:chExt cx="46355" cy="50800"/>
                        </a:xfrm>
                      </wpg:grpSpPr>
                      <wps:wsp>
                        <wps:cNvPr id="306" name="Graphic 306"/>
                        <wps:cNvSpPr/>
                        <wps:spPr>
                          <a:xfrm>
                            <a:off x="3295" y="21665"/>
                            <a:ext cx="29845" cy="1270"/>
                          </a:xfrm>
                          <a:custGeom>
                            <a:avLst/>
                            <a:gdLst/>
                            <a:ahLst/>
                            <a:cxnLst/>
                            <a:rect l="l" t="t" r="r" b="b"/>
                            <a:pathLst>
                              <a:path w="29845">
                                <a:moveTo>
                                  <a:pt x="0" y="0"/>
                                </a:moveTo>
                                <a:lnTo>
                                  <a:pt x="29327" y="0"/>
                                </a:lnTo>
                              </a:path>
                            </a:pathLst>
                          </a:custGeom>
                          <a:ln w="7221">
                            <a:solidFill>
                              <a:srgbClr val="000000"/>
                            </a:solidFill>
                            <a:prstDash val="solid"/>
                          </a:ln>
                        </wps:spPr>
                        <wps:bodyPr wrap="square" lIns="0" tIns="0" rIns="0" bIns="0" rtlCol="0">
                          <a:prstTxWarp prst="textNoShape">
                            <a:avLst/>
                          </a:prstTxWarp>
                          <a:noAutofit/>
                        </wps:bodyPr>
                      </wps:wsp>
                      <wps:wsp>
                        <wps:cNvPr id="307" name="Graphic 307"/>
                        <wps:cNvSpPr/>
                        <wps:spPr>
                          <a:xfrm>
                            <a:off x="0"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00304F9" id="Group 305" o:spid="_x0000_s1026" style="position:absolute;margin-left:514.1pt;margin-top:23.35pt;width:3.65pt;height:4pt;z-index:-15653888;mso-wrap-distance-left:0;mso-wrap-distance-right:0;mso-position-horizontal-relative:page" coordsize="463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">
                <v:shape id="Graphic 306" o:spid="_x0000_s1027" style="position:absolute;left:3295;top:21665;width:29845;height:1270;visibility:visible;mso-wrap-style:square;v-text-anchor:top" coordsize="29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" path="m,l29327,e" filled="f" strokeweight=".20058mm">
                  <v:path arrowok="t"/>
                </v:shape>
                <v:shape id="Graphic 307" o:spid="_x0000_s1028" style="position:absolute;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" path="m46132,50553l,50553,,,46132,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63104" behindDoc="1" locked="0" layoutInCell="1" allowOverlap="1" wp14:anchorId="410C546B" wp14:editId="2775AEC2">
                <wp:simplePos x="0" y="0"/>
                <wp:positionH relativeFrom="page">
                  <wp:posOffset>6538420</wp:posOffset>
                </wp:positionH>
                <wp:positionV relativeFrom="paragraph">
                  <wp:posOffset>412043</wp:posOffset>
                </wp:positionV>
                <wp:extent cx="71755" cy="50800"/>
                <wp:effectExtent l="0" t="0" r="0" b="0"/>
                <wp:wrapTopAndBottom/>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50800"/>
                          <a:chOff x="0" y="0"/>
                          <a:chExt cx="71755" cy="50800"/>
                        </a:xfrm>
                      </wpg:grpSpPr>
                      <wps:wsp>
                        <wps:cNvPr id="309" name="Graphic 309"/>
                        <wps:cNvSpPr/>
                        <wps:spPr>
                          <a:xfrm>
                            <a:off x="0" y="21666"/>
                            <a:ext cx="55880" cy="1270"/>
                          </a:xfrm>
                          <a:custGeom>
                            <a:avLst/>
                            <a:gdLst/>
                            <a:ahLst/>
                            <a:cxnLst/>
                            <a:rect l="l" t="t" r="r" b="b"/>
                            <a:pathLst>
                              <a:path w="55880">
                                <a:moveTo>
                                  <a:pt x="0" y="0"/>
                                </a:moveTo>
                                <a:lnTo>
                                  <a:pt x="55359" y="0"/>
                                </a:lnTo>
                              </a:path>
                            </a:pathLst>
                          </a:custGeom>
                          <a:ln w="7221">
                            <a:solidFill>
                              <a:srgbClr val="000000"/>
                            </a:solidFill>
                            <a:prstDash val="solid"/>
                          </a:ln>
                        </wps:spPr>
                        <wps:bodyPr wrap="square" lIns="0" tIns="0" rIns="0" bIns="0" rtlCol="0">
                          <a:prstTxWarp prst="textNoShape">
                            <a:avLst/>
                          </a:prstTxWarp>
                          <a:noAutofit/>
                        </wps:bodyPr>
                      </wps:wsp>
                      <wps:wsp>
                        <wps:cNvPr id="310" name="Graphic 310"/>
                        <wps:cNvSpPr/>
                        <wps:spPr>
                          <a:xfrm>
                            <a:off x="25372"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183A53D" id="Group 308" o:spid="_x0000_s1026" style="position:absolute;margin-left:514.85pt;margin-top:32.45pt;width:5.65pt;height:4pt;z-index:-15653376;mso-wrap-distance-left:0;mso-wrap-distance-right:0;mso-position-horizontal-relative:page" coordsize="717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">
                <v:shape id="Graphic 309" o:spid="_x0000_s1027" style="position:absolute;top:21666;width:55880;height:1270;visibility:visible;mso-wrap-style:square;v-text-anchor:top" coordsize="55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" path="m,l55359,e" filled="f" strokeweight=".20058mm">
                  <v:path arrowok="t"/>
                </v:shape>
                <v:shape id="Graphic 310" o:spid="_x0000_s1028" style="position:absolute;left:25372;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" path="m46132,50553l,50553,,,46132,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63616" behindDoc="1" locked="0" layoutInCell="1" allowOverlap="1" wp14:anchorId="16B907BB" wp14:editId="68BE0E75">
                <wp:simplePos x="0" y="0"/>
                <wp:positionH relativeFrom="page">
                  <wp:posOffset>6512388</wp:posOffset>
                </wp:positionH>
                <wp:positionV relativeFrom="paragraph">
                  <wp:posOffset>527595</wp:posOffset>
                </wp:positionV>
                <wp:extent cx="66040" cy="50800"/>
                <wp:effectExtent l="0" t="0" r="0" b="0"/>
                <wp:wrapTopAndBottom/>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 cy="50800"/>
                          <a:chOff x="0" y="0"/>
                          <a:chExt cx="66040" cy="50800"/>
                        </a:xfrm>
                      </wpg:grpSpPr>
                      <wps:wsp>
                        <wps:cNvPr id="312" name="Graphic 312"/>
                        <wps:cNvSpPr/>
                        <wps:spPr>
                          <a:xfrm>
                            <a:off x="0" y="21665"/>
                            <a:ext cx="63500" cy="1270"/>
                          </a:xfrm>
                          <a:custGeom>
                            <a:avLst/>
                            <a:gdLst/>
                            <a:ahLst/>
                            <a:cxnLst/>
                            <a:rect l="l" t="t" r="r" b="b"/>
                            <a:pathLst>
                              <a:path w="63500">
                                <a:moveTo>
                                  <a:pt x="0" y="0"/>
                                </a:moveTo>
                                <a:lnTo>
                                  <a:pt x="62938" y="0"/>
                                </a:lnTo>
                              </a:path>
                            </a:pathLst>
                          </a:custGeom>
                          <a:ln w="7221">
                            <a:solidFill>
                              <a:srgbClr val="000000"/>
                            </a:solidFill>
                            <a:prstDash val="solid"/>
                          </a:ln>
                        </wps:spPr>
                        <wps:bodyPr wrap="square" lIns="0" tIns="0" rIns="0" bIns="0" rtlCol="0">
                          <a:prstTxWarp prst="textNoShape">
                            <a:avLst/>
                          </a:prstTxWarp>
                          <a:noAutofit/>
                        </wps:bodyPr>
                      </wps:wsp>
                      <wps:wsp>
                        <wps:cNvPr id="313" name="Graphic 313"/>
                        <wps:cNvSpPr/>
                        <wps:spPr>
                          <a:xfrm>
                            <a:off x="19442"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315FCCB" id="Group 311" o:spid="_x0000_s1026" style="position:absolute;margin-left:512.8pt;margin-top:41.55pt;width:5.2pt;height:4pt;z-index:-15652864;mso-wrap-distance-left:0;mso-wrap-distance-right:0;mso-position-horizontal-relative:page" coordsize="6604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">
                <v:shape id="Graphic 312" o:spid="_x0000_s1027" style="position:absolute;top:21665;width:63500;height:1270;visibility:visible;mso-wrap-style:square;v-text-anchor:top" coordsize="6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" path="m,l62938,e" filled="f" strokeweight=".20058mm">
                  <v:path arrowok="t"/>
                </v:shape>
                <v:shape id="Graphic 313" o:spid="_x0000_s1028" style="position:absolute;left:19442;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" path="m46132,50553l,50553,,,46132,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64128" behindDoc="1" locked="0" layoutInCell="1" allowOverlap="1" wp14:anchorId="3241BA1D" wp14:editId="5E3D915E">
                <wp:simplePos x="0" y="0"/>
                <wp:positionH relativeFrom="page">
                  <wp:posOffset>6526556</wp:posOffset>
                </wp:positionH>
                <wp:positionV relativeFrom="paragraph">
                  <wp:posOffset>643145</wp:posOffset>
                </wp:positionV>
                <wp:extent cx="46355" cy="50800"/>
                <wp:effectExtent l="0" t="0" r="0" b="0"/>
                <wp:wrapTopAndBottom/>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 cy="50800"/>
                          <a:chOff x="0" y="0"/>
                          <a:chExt cx="46355" cy="50800"/>
                        </a:xfrm>
                      </wpg:grpSpPr>
                      <wps:wsp>
                        <wps:cNvPr id="315" name="Graphic 315"/>
                        <wps:cNvSpPr/>
                        <wps:spPr>
                          <a:xfrm>
                            <a:off x="2966" y="21666"/>
                            <a:ext cx="30480" cy="1270"/>
                          </a:xfrm>
                          <a:custGeom>
                            <a:avLst/>
                            <a:gdLst/>
                            <a:ahLst/>
                            <a:cxnLst/>
                            <a:rect l="l" t="t" r="r" b="b"/>
                            <a:pathLst>
                              <a:path w="30480">
                                <a:moveTo>
                                  <a:pt x="0" y="0"/>
                                </a:moveTo>
                                <a:lnTo>
                                  <a:pt x="30315" y="0"/>
                                </a:lnTo>
                              </a:path>
                            </a:pathLst>
                          </a:custGeom>
                          <a:ln w="7221">
                            <a:solidFill>
                              <a:srgbClr val="000000"/>
                            </a:solidFill>
                            <a:prstDash val="solid"/>
                          </a:ln>
                        </wps:spPr>
                        <wps:bodyPr wrap="square" lIns="0" tIns="0" rIns="0" bIns="0" rtlCol="0">
                          <a:prstTxWarp prst="textNoShape">
                            <a:avLst/>
                          </a:prstTxWarp>
                          <a:noAutofit/>
                        </wps:bodyPr>
                      </wps:wsp>
                      <wps:wsp>
                        <wps:cNvPr id="316" name="Graphic 316"/>
                        <wps:cNvSpPr/>
                        <wps:spPr>
                          <a:xfrm>
                            <a:off x="0" y="0"/>
                            <a:ext cx="46355" cy="50800"/>
                          </a:xfrm>
                          <a:custGeom>
                            <a:avLst/>
                            <a:gdLst/>
                            <a:ahLst/>
                            <a:cxnLst/>
                            <a:rect l="l" t="t" r="r" b="b"/>
                            <a:pathLst>
                              <a:path w="46355" h="50800">
                                <a:moveTo>
                                  <a:pt x="46134" y="50554"/>
                                </a:moveTo>
                                <a:lnTo>
                                  <a:pt x="0" y="50554"/>
                                </a:lnTo>
                                <a:lnTo>
                                  <a:pt x="0" y="0"/>
                                </a:lnTo>
                                <a:lnTo>
                                  <a:pt x="46134" y="0"/>
                                </a:lnTo>
                                <a:lnTo>
                                  <a:pt x="46134" y="5055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CDF7540" id="Group 314" o:spid="_x0000_s1026" style="position:absolute;margin-left:513.9pt;margin-top:50.65pt;width:3.65pt;height:4pt;z-index:-15652352;mso-wrap-distance-left:0;mso-wrap-distance-right:0;mso-position-horizontal-relative:page" coordsize="463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">
                <v:shape id="Graphic 315" o:spid="_x0000_s1027" style="position:absolute;left:2966;top:21666;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" path="m,l30315,e" filled="f" strokeweight=".20058mm">
                  <v:path arrowok="t"/>
                </v:shape>
                <v:shape id="Graphic 316" o:spid="_x0000_s1028" style="position:absolute;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" path="m46134,50554l,50554,,,46134,r,50554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64640" behindDoc="1" locked="0" layoutInCell="1" allowOverlap="1" wp14:anchorId="3FC1C7E7" wp14:editId="7AFEAE71">
                <wp:simplePos x="0" y="0"/>
                <wp:positionH relativeFrom="page">
                  <wp:posOffset>6539407</wp:posOffset>
                </wp:positionH>
                <wp:positionV relativeFrom="paragraph">
                  <wp:posOffset>758697</wp:posOffset>
                </wp:positionV>
                <wp:extent cx="46355" cy="50800"/>
                <wp:effectExtent l="0" t="0" r="0" b="0"/>
                <wp:wrapTopAndBottom/>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 cy="50800"/>
                          <a:chOff x="0" y="0"/>
                          <a:chExt cx="46355" cy="50800"/>
                        </a:xfrm>
                      </wpg:grpSpPr>
                      <wps:wsp>
                        <wps:cNvPr id="318" name="Graphic 318"/>
                        <wps:cNvSpPr/>
                        <wps:spPr>
                          <a:xfrm>
                            <a:off x="7909" y="21665"/>
                            <a:ext cx="21590" cy="1270"/>
                          </a:xfrm>
                          <a:custGeom>
                            <a:avLst/>
                            <a:gdLst/>
                            <a:ahLst/>
                            <a:cxnLst/>
                            <a:rect l="l" t="t" r="r" b="b"/>
                            <a:pathLst>
                              <a:path w="21590">
                                <a:moveTo>
                                  <a:pt x="0" y="0"/>
                                </a:moveTo>
                                <a:lnTo>
                                  <a:pt x="21418" y="0"/>
                                </a:lnTo>
                              </a:path>
                            </a:pathLst>
                          </a:custGeom>
                          <a:ln w="7221">
                            <a:solidFill>
                              <a:srgbClr val="000000"/>
                            </a:solidFill>
                            <a:prstDash val="solid"/>
                          </a:ln>
                        </wps:spPr>
                        <wps:bodyPr wrap="square" lIns="0" tIns="0" rIns="0" bIns="0" rtlCol="0">
                          <a:prstTxWarp prst="textNoShape">
                            <a:avLst/>
                          </a:prstTxWarp>
                          <a:noAutofit/>
                        </wps:bodyPr>
                      </wps:wsp>
                      <wps:wsp>
                        <wps:cNvPr id="319" name="Graphic 319"/>
                        <wps:cNvSpPr/>
                        <wps:spPr>
                          <a:xfrm>
                            <a:off x="0" y="0"/>
                            <a:ext cx="46355" cy="50800"/>
                          </a:xfrm>
                          <a:custGeom>
                            <a:avLst/>
                            <a:gdLst/>
                            <a:ahLst/>
                            <a:cxnLst/>
                            <a:rect l="l" t="t" r="r" b="b"/>
                            <a:pathLst>
                              <a:path w="46355" h="50800">
                                <a:moveTo>
                                  <a:pt x="46134" y="50552"/>
                                </a:moveTo>
                                <a:lnTo>
                                  <a:pt x="0" y="50552"/>
                                </a:lnTo>
                                <a:lnTo>
                                  <a:pt x="0" y="0"/>
                                </a:lnTo>
                                <a:lnTo>
                                  <a:pt x="46134" y="0"/>
                                </a:lnTo>
                                <a:lnTo>
                                  <a:pt x="46134" y="50552"/>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A6F1FF2" id="Group 317" o:spid="_x0000_s1026" style="position:absolute;margin-left:514.9pt;margin-top:59.75pt;width:3.65pt;height:4pt;z-index:-15651840;mso-wrap-distance-left:0;mso-wrap-distance-right:0;mso-position-horizontal-relative:page" coordsize="463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">
                <v:shape id="Graphic 318" o:spid="_x0000_s1027" style="position:absolute;left:7909;top:21665;width:21590;height:1270;visibility:visible;mso-wrap-style:square;v-text-anchor:top" coordsize="21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" path="m,l21418,e" filled="f" strokeweight=".20058mm">
                  <v:path arrowok="t"/>
                </v:shape>
                <v:shape id="Graphic 319" o:spid="_x0000_s1028" style="position:absolute;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" path="m46134,50552l,50552,,,46134,r,50552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65152" behindDoc="1" locked="0" layoutInCell="1" allowOverlap="1" wp14:anchorId="1BFAA27E" wp14:editId="17772974">
                <wp:simplePos x="0" y="0"/>
                <wp:positionH relativeFrom="page">
                  <wp:posOffset>6213514</wp:posOffset>
                </wp:positionH>
                <wp:positionV relativeFrom="paragraph">
                  <wp:posOffset>874249</wp:posOffset>
                </wp:positionV>
                <wp:extent cx="346710" cy="50800"/>
                <wp:effectExtent l="0" t="0" r="0" b="0"/>
                <wp:wrapTopAndBottom/>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710" cy="50800"/>
                          <a:chOff x="0" y="0"/>
                          <a:chExt cx="346710" cy="50800"/>
                        </a:xfrm>
                      </wpg:grpSpPr>
                      <wps:wsp>
                        <wps:cNvPr id="321" name="Graphic 321"/>
                        <wps:cNvSpPr/>
                        <wps:spPr>
                          <a:xfrm>
                            <a:off x="0" y="21665"/>
                            <a:ext cx="346710" cy="1270"/>
                          </a:xfrm>
                          <a:custGeom>
                            <a:avLst/>
                            <a:gdLst/>
                            <a:ahLst/>
                            <a:cxnLst/>
                            <a:rect l="l" t="t" r="r" b="b"/>
                            <a:pathLst>
                              <a:path w="346710">
                                <a:moveTo>
                                  <a:pt x="0" y="0"/>
                                </a:moveTo>
                                <a:lnTo>
                                  <a:pt x="346325" y="0"/>
                                </a:lnTo>
                              </a:path>
                            </a:pathLst>
                          </a:custGeom>
                          <a:ln w="7221">
                            <a:solidFill>
                              <a:srgbClr val="000000"/>
                            </a:solidFill>
                            <a:prstDash val="solid"/>
                          </a:ln>
                        </wps:spPr>
                        <wps:bodyPr wrap="square" lIns="0" tIns="0" rIns="0" bIns="0" rtlCol="0">
                          <a:prstTxWarp prst="textNoShape">
                            <a:avLst/>
                          </a:prstTxWarp>
                          <a:noAutofit/>
                        </wps:bodyPr>
                      </wps:wsp>
                      <wps:wsp>
                        <wps:cNvPr id="322" name="Graphic 322"/>
                        <wps:cNvSpPr/>
                        <wps:spPr>
                          <a:xfrm>
                            <a:off x="202653" y="0"/>
                            <a:ext cx="46355" cy="50800"/>
                          </a:xfrm>
                          <a:custGeom>
                            <a:avLst/>
                            <a:gdLst/>
                            <a:ahLst/>
                            <a:cxnLst/>
                            <a:rect l="l" t="t" r="r" b="b"/>
                            <a:pathLst>
                              <a:path w="46355" h="50800">
                                <a:moveTo>
                                  <a:pt x="46134" y="50553"/>
                                </a:moveTo>
                                <a:lnTo>
                                  <a:pt x="0" y="50553"/>
                                </a:lnTo>
                                <a:lnTo>
                                  <a:pt x="0" y="0"/>
                                </a:lnTo>
                                <a:lnTo>
                                  <a:pt x="46134" y="0"/>
                                </a:lnTo>
                                <a:lnTo>
                                  <a:pt x="46134"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EB4C31D" id="Group 320" o:spid="_x0000_s1026" style="position:absolute;margin-left:489.25pt;margin-top:68.85pt;width:27.3pt;height:4pt;z-index:-15651328;mso-wrap-distance-left:0;mso-wrap-distance-right:0;mso-position-horizontal-relative:page" coordsize="34671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">
                <v:shape id="Graphic 321" o:spid="_x0000_s1027" style="position:absolute;top:21665;width:346710;height:1270;visibility:visible;mso-wrap-style:square;v-text-anchor:top" coordsize="346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" path="m,l346325,e" filled="f" strokeweight=".20058mm">
                  <v:path arrowok="t"/>
                </v:shape>
                <v:shape id="Graphic 322" o:spid="_x0000_s1028" style="position:absolute;left:202653;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" path="m46134,50553l,50553,,,46134,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65664" behindDoc="1" locked="0" layoutInCell="1" allowOverlap="1" wp14:anchorId="0610906A" wp14:editId="517DF91E">
                <wp:simplePos x="0" y="0"/>
                <wp:positionH relativeFrom="page">
                  <wp:posOffset>6501184</wp:posOffset>
                </wp:positionH>
                <wp:positionV relativeFrom="paragraph">
                  <wp:posOffset>989800</wp:posOffset>
                </wp:positionV>
                <wp:extent cx="57150" cy="50800"/>
                <wp:effectExtent l="0" t="0" r="0" b="0"/>
                <wp:wrapTopAndBottom/>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 cy="50800"/>
                          <a:chOff x="0" y="0"/>
                          <a:chExt cx="57150" cy="50800"/>
                        </a:xfrm>
                      </wpg:grpSpPr>
                      <wps:wsp>
                        <wps:cNvPr id="324" name="Graphic 324"/>
                        <wps:cNvSpPr/>
                        <wps:spPr>
                          <a:xfrm>
                            <a:off x="0" y="21666"/>
                            <a:ext cx="54610" cy="1270"/>
                          </a:xfrm>
                          <a:custGeom>
                            <a:avLst/>
                            <a:gdLst/>
                            <a:ahLst/>
                            <a:cxnLst/>
                            <a:rect l="l" t="t" r="r" b="b"/>
                            <a:pathLst>
                              <a:path w="54610">
                                <a:moveTo>
                                  <a:pt x="0" y="0"/>
                                </a:moveTo>
                                <a:lnTo>
                                  <a:pt x="54041" y="0"/>
                                </a:lnTo>
                              </a:path>
                            </a:pathLst>
                          </a:custGeom>
                          <a:ln w="7221">
                            <a:solidFill>
                              <a:srgbClr val="000000"/>
                            </a:solidFill>
                            <a:prstDash val="solid"/>
                          </a:ln>
                        </wps:spPr>
                        <wps:bodyPr wrap="square" lIns="0" tIns="0" rIns="0" bIns="0" rtlCol="0">
                          <a:prstTxWarp prst="textNoShape">
                            <a:avLst/>
                          </a:prstTxWarp>
                          <a:noAutofit/>
                        </wps:bodyPr>
                      </wps:wsp>
                      <wps:wsp>
                        <wps:cNvPr id="325" name="Graphic 325"/>
                        <wps:cNvSpPr/>
                        <wps:spPr>
                          <a:xfrm>
                            <a:off x="10873" y="0"/>
                            <a:ext cx="46355" cy="50800"/>
                          </a:xfrm>
                          <a:custGeom>
                            <a:avLst/>
                            <a:gdLst/>
                            <a:ahLst/>
                            <a:cxnLst/>
                            <a:rect l="l" t="t" r="r" b="b"/>
                            <a:pathLst>
                              <a:path w="46355" h="50800">
                                <a:moveTo>
                                  <a:pt x="46134" y="50554"/>
                                </a:moveTo>
                                <a:lnTo>
                                  <a:pt x="0" y="50554"/>
                                </a:lnTo>
                                <a:lnTo>
                                  <a:pt x="0" y="0"/>
                                </a:lnTo>
                                <a:lnTo>
                                  <a:pt x="46134" y="0"/>
                                </a:lnTo>
                                <a:lnTo>
                                  <a:pt x="46134" y="5055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AA2161A" id="Group 323" o:spid="_x0000_s1026" style="position:absolute;margin-left:511.9pt;margin-top:77.95pt;width:4.5pt;height:4pt;z-index:-15650816;mso-wrap-distance-left:0;mso-wrap-distance-right:0;mso-position-horizontal-relative:page" coordsize="5715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">
                <v:shape id="Graphic 324" o:spid="_x0000_s1027" style="position:absolute;top:21666;width:54610;height:1270;visibility:visible;mso-wrap-style:square;v-text-anchor:top" coordsize="5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" path="m,l54041,e" filled="f" strokeweight=".20058mm">
                  <v:path arrowok="t"/>
                </v:shape>
                <v:shape id="Graphic 325" o:spid="_x0000_s1028" style="position:absolute;left:10873;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" path="m46134,50554l,50554,,,46134,r,50554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66176" behindDoc="1" locked="0" layoutInCell="1" allowOverlap="1" wp14:anchorId="227C29C5" wp14:editId="68CAD3A8">
                <wp:simplePos x="0" y="0"/>
                <wp:positionH relativeFrom="page">
                  <wp:posOffset>6117623</wp:posOffset>
                </wp:positionH>
                <wp:positionV relativeFrom="paragraph">
                  <wp:posOffset>1105351</wp:posOffset>
                </wp:positionV>
                <wp:extent cx="502920" cy="50800"/>
                <wp:effectExtent l="0" t="0" r="0" b="0"/>
                <wp:wrapTopAndBottom/>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 cy="50800"/>
                          <a:chOff x="0" y="0"/>
                          <a:chExt cx="502920" cy="50800"/>
                        </a:xfrm>
                      </wpg:grpSpPr>
                      <wps:wsp>
                        <wps:cNvPr id="327" name="Graphic 327"/>
                        <wps:cNvSpPr/>
                        <wps:spPr>
                          <a:xfrm>
                            <a:off x="0" y="21665"/>
                            <a:ext cx="476884" cy="1270"/>
                          </a:xfrm>
                          <a:custGeom>
                            <a:avLst/>
                            <a:gdLst/>
                            <a:ahLst/>
                            <a:cxnLst/>
                            <a:rect l="l" t="t" r="r" b="b"/>
                            <a:pathLst>
                              <a:path w="476884">
                                <a:moveTo>
                                  <a:pt x="0" y="0"/>
                                </a:moveTo>
                                <a:lnTo>
                                  <a:pt x="476485" y="0"/>
                                </a:lnTo>
                              </a:path>
                            </a:pathLst>
                          </a:custGeom>
                          <a:ln w="7221">
                            <a:solidFill>
                              <a:srgbClr val="000000"/>
                            </a:solidFill>
                            <a:prstDash val="solid"/>
                          </a:ln>
                        </wps:spPr>
                        <wps:bodyPr wrap="square" lIns="0" tIns="0" rIns="0" bIns="0" rtlCol="0">
                          <a:prstTxWarp prst="textNoShape">
                            <a:avLst/>
                          </a:prstTxWarp>
                          <a:noAutofit/>
                        </wps:bodyPr>
                      </wps:wsp>
                      <wps:wsp>
                        <wps:cNvPr id="328" name="Graphic 328"/>
                        <wps:cNvSpPr/>
                        <wps:spPr>
                          <a:xfrm>
                            <a:off x="456713" y="0"/>
                            <a:ext cx="46355" cy="50800"/>
                          </a:xfrm>
                          <a:custGeom>
                            <a:avLst/>
                            <a:gdLst/>
                            <a:ahLst/>
                            <a:cxnLst/>
                            <a:rect l="l" t="t" r="r" b="b"/>
                            <a:pathLst>
                              <a:path w="46355" h="50800">
                                <a:moveTo>
                                  <a:pt x="46134" y="50553"/>
                                </a:moveTo>
                                <a:lnTo>
                                  <a:pt x="0" y="50553"/>
                                </a:lnTo>
                                <a:lnTo>
                                  <a:pt x="0" y="0"/>
                                </a:lnTo>
                                <a:lnTo>
                                  <a:pt x="46134" y="0"/>
                                </a:lnTo>
                                <a:lnTo>
                                  <a:pt x="46134"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86CC715" id="Group 326" o:spid="_x0000_s1026" style="position:absolute;margin-left:481.7pt;margin-top:87.05pt;width:39.6pt;height:4pt;z-index:-15650304;mso-wrap-distance-left:0;mso-wrap-distance-right:0;mso-position-horizontal-relative:page" coordsize="50292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">
                <v:shape id="Graphic 327" o:spid="_x0000_s1027" style="position:absolute;top:21665;width:476884;height:1270;visibility:visible;mso-wrap-style:square;v-text-anchor:top" coordsize="4768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" path="m,l476485,e" filled="f" strokeweight=".20058mm">
                  <v:path arrowok="t"/>
                </v:shape>
                <v:shape id="Graphic 328" o:spid="_x0000_s1028" style="position:absolute;left:456713;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" path="m46134,50553l,50553,,,46134,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66688" behindDoc="1" locked="0" layoutInCell="1" allowOverlap="1" wp14:anchorId="14A78622" wp14:editId="4826B31D">
                <wp:simplePos x="0" y="0"/>
                <wp:positionH relativeFrom="page">
                  <wp:posOffset>6553906</wp:posOffset>
                </wp:positionH>
                <wp:positionV relativeFrom="paragraph">
                  <wp:posOffset>1220903</wp:posOffset>
                </wp:positionV>
                <wp:extent cx="46355" cy="50800"/>
                <wp:effectExtent l="0" t="0" r="0" b="0"/>
                <wp:wrapTopAndBottom/>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 cy="50800"/>
                          <a:chOff x="0" y="0"/>
                          <a:chExt cx="46355" cy="50800"/>
                        </a:xfrm>
                      </wpg:grpSpPr>
                      <wps:wsp>
                        <wps:cNvPr id="330" name="Graphic 330"/>
                        <wps:cNvSpPr/>
                        <wps:spPr>
                          <a:xfrm>
                            <a:off x="5932" y="21665"/>
                            <a:ext cx="23495" cy="1270"/>
                          </a:xfrm>
                          <a:custGeom>
                            <a:avLst/>
                            <a:gdLst/>
                            <a:ahLst/>
                            <a:cxnLst/>
                            <a:rect l="l" t="t" r="r" b="b"/>
                            <a:pathLst>
                              <a:path w="23495">
                                <a:moveTo>
                                  <a:pt x="0" y="0"/>
                                </a:moveTo>
                                <a:lnTo>
                                  <a:pt x="23395" y="0"/>
                                </a:lnTo>
                              </a:path>
                            </a:pathLst>
                          </a:custGeom>
                          <a:ln w="7221">
                            <a:solidFill>
                              <a:srgbClr val="000000"/>
                            </a:solidFill>
                            <a:prstDash val="solid"/>
                          </a:ln>
                        </wps:spPr>
                        <wps:bodyPr wrap="square" lIns="0" tIns="0" rIns="0" bIns="0" rtlCol="0">
                          <a:prstTxWarp prst="textNoShape">
                            <a:avLst/>
                          </a:prstTxWarp>
                          <a:noAutofit/>
                        </wps:bodyPr>
                      </wps:wsp>
                      <wps:wsp>
                        <wps:cNvPr id="331" name="Graphic 331"/>
                        <wps:cNvSpPr/>
                        <wps:spPr>
                          <a:xfrm>
                            <a:off x="0" y="0"/>
                            <a:ext cx="46355" cy="50800"/>
                          </a:xfrm>
                          <a:custGeom>
                            <a:avLst/>
                            <a:gdLst/>
                            <a:ahLst/>
                            <a:cxnLst/>
                            <a:rect l="l" t="t" r="r" b="b"/>
                            <a:pathLst>
                              <a:path w="46355" h="50800">
                                <a:moveTo>
                                  <a:pt x="46134" y="50553"/>
                                </a:moveTo>
                                <a:lnTo>
                                  <a:pt x="0" y="50553"/>
                                </a:lnTo>
                                <a:lnTo>
                                  <a:pt x="0" y="0"/>
                                </a:lnTo>
                                <a:lnTo>
                                  <a:pt x="46134" y="0"/>
                                </a:lnTo>
                                <a:lnTo>
                                  <a:pt x="46134"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77E72DF" id="Group 329" o:spid="_x0000_s1026" style="position:absolute;margin-left:516.05pt;margin-top:96.15pt;width:3.65pt;height:4pt;z-index:-15649792;mso-wrap-distance-left:0;mso-wrap-distance-right:0;mso-position-horizontal-relative:page" coordsize="463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">
                <v:shape id="Graphic 330" o:spid="_x0000_s1027" style="position:absolute;left:5932;top:21665;width:23495;height:1270;visibility:visible;mso-wrap-style:square;v-text-anchor:top" coordsize="2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" path="m,l23395,e" filled="f" strokeweight=".20058mm">
                  <v:path arrowok="t"/>
                </v:shape>
                <v:shape id="Graphic 331" o:spid="_x0000_s1028" style="position:absolute;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" path="m46134,50553l,50553,,,46134,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67200" behindDoc="1" locked="0" layoutInCell="1" allowOverlap="1" wp14:anchorId="76BF6EB7" wp14:editId="0FB24CA2">
                <wp:simplePos x="0" y="0"/>
                <wp:positionH relativeFrom="page">
                  <wp:posOffset>6463619</wp:posOffset>
                </wp:positionH>
                <wp:positionV relativeFrom="paragraph">
                  <wp:posOffset>1336453</wp:posOffset>
                </wp:positionV>
                <wp:extent cx="79375" cy="50800"/>
                <wp:effectExtent l="0" t="0" r="0" b="0"/>
                <wp:wrapTopAndBottom/>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50800"/>
                          <a:chOff x="0" y="0"/>
                          <a:chExt cx="79375" cy="50800"/>
                        </a:xfrm>
                      </wpg:grpSpPr>
                      <wps:wsp>
                        <wps:cNvPr id="333" name="Graphic 333"/>
                        <wps:cNvSpPr/>
                        <wps:spPr>
                          <a:xfrm>
                            <a:off x="0" y="21666"/>
                            <a:ext cx="79375" cy="1270"/>
                          </a:xfrm>
                          <a:custGeom>
                            <a:avLst/>
                            <a:gdLst/>
                            <a:ahLst/>
                            <a:cxnLst/>
                            <a:rect l="l" t="t" r="r" b="b"/>
                            <a:pathLst>
                              <a:path w="79375">
                                <a:moveTo>
                                  <a:pt x="0" y="0"/>
                                </a:moveTo>
                                <a:lnTo>
                                  <a:pt x="78755" y="0"/>
                                </a:lnTo>
                              </a:path>
                            </a:pathLst>
                          </a:custGeom>
                          <a:ln w="7221">
                            <a:solidFill>
                              <a:srgbClr val="000000"/>
                            </a:solidFill>
                            <a:prstDash val="solid"/>
                          </a:ln>
                        </wps:spPr>
                        <wps:bodyPr wrap="square" lIns="0" tIns="0" rIns="0" bIns="0" rtlCol="0">
                          <a:prstTxWarp prst="textNoShape">
                            <a:avLst/>
                          </a:prstTxWarp>
                          <a:noAutofit/>
                        </wps:bodyPr>
                      </wps:wsp>
                      <wps:wsp>
                        <wps:cNvPr id="334" name="Graphic 334"/>
                        <wps:cNvSpPr/>
                        <wps:spPr>
                          <a:xfrm>
                            <a:off x="25372" y="0"/>
                            <a:ext cx="46355" cy="50800"/>
                          </a:xfrm>
                          <a:custGeom>
                            <a:avLst/>
                            <a:gdLst/>
                            <a:ahLst/>
                            <a:cxnLst/>
                            <a:rect l="l" t="t" r="r" b="b"/>
                            <a:pathLst>
                              <a:path w="46355" h="50800">
                                <a:moveTo>
                                  <a:pt x="46132" y="50554"/>
                                </a:moveTo>
                                <a:lnTo>
                                  <a:pt x="0" y="50554"/>
                                </a:lnTo>
                                <a:lnTo>
                                  <a:pt x="0" y="0"/>
                                </a:lnTo>
                                <a:lnTo>
                                  <a:pt x="46132" y="0"/>
                                </a:lnTo>
                                <a:lnTo>
                                  <a:pt x="46132" y="5055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A03DDA0" id="Group 332" o:spid="_x0000_s1026" style="position:absolute;margin-left:508.95pt;margin-top:105.25pt;width:6.25pt;height:4pt;z-index:-15649280;mso-wrap-distance-left:0;mso-wrap-distance-right:0;mso-position-horizontal-relative:page" coordsize="7937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">
                <v:shape id="Graphic 333" o:spid="_x0000_s1027" style="position:absolute;top:21666;width:79375;height:1270;visibility:visible;mso-wrap-style:square;v-text-anchor:top" coordsize="79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" path="m,l78755,e" filled="f" strokeweight=".20058mm">
                  <v:path arrowok="t"/>
                </v:shape>
                <v:shape id="Graphic 334" o:spid="_x0000_s1028" style="position:absolute;left:25372;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" path="m46132,50554l,50554,,,46132,r,50554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67712" behindDoc="1" locked="0" layoutInCell="1" allowOverlap="1" wp14:anchorId="1AFA29FB" wp14:editId="4632A84F">
                <wp:simplePos x="0" y="0"/>
                <wp:positionH relativeFrom="page">
                  <wp:posOffset>6281065</wp:posOffset>
                </wp:positionH>
                <wp:positionV relativeFrom="paragraph">
                  <wp:posOffset>1452005</wp:posOffset>
                </wp:positionV>
                <wp:extent cx="133985" cy="50800"/>
                <wp:effectExtent l="0" t="0" r="0" b="0"/>
                <wp:wrapTopAndBottom/>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 cy="50800"/>
                          <a:chOff x="0" y="0"/>
                          <a:chExt cx="133985" cy="50800"/>
                        </a:xfrm>
                      </wpg:grpSpPr>
                      <wps:wsp>
                        <wps:cNvPr id="336" name="Graphic 336"/>
                        <wps:cNvSpPr/>
                        <wps:spPr>
                          <a:xfrm>
                            <a:off x="0" y="21665"/>
                            <a:ext cx="133985" cy="1270"/>
                          </a:xfrm>
                          <a:custGeom>
                            <a:avLst/>
                            <a:gdLst/>
                            <a:ahLst/>
                            <a:cxnLst/>
                            <a:rect l="l" t="t" r="r" b="b"/>
                            <a:pathLst>
                              <a:path w="133985">
                                <a:moveTo>
                                  <a:pt x="0" y="0"/>
                                </a:moveTo>
                                <a:lnTo>
                                  <a:pt x="133455" y="0"/>
                                </a:lnTo>
                              </a:path>
                            </a:pathLst>
                          </a:custGeom>
                          <a:ln w="7221">
                            <a:solidFill>
                              <a:srgbClr val="000000"/>
                            </a:solidFill>
                            <a:prstDash val="solid"/>
                          </a:ln>
                        </wps:spPr>
                        <wps:bodyPr wrap="square" lIns="0" tIns="0" rIns="0" bIns="0" rtlCol="0">
                          <a:prstTxWarp prst="textNoShape">
                            <a:avLst/>
                          </a:prstTxWarp>
                          <a:noAutofit/>
                        </wps:bodyPr>
                      </wps:wsp>
                      <wps:wsp>
                        <wps:cNvPr id="337" name="Graphic 337"/>
                        <wps:cNvSpPr/>
                        <wps:spPr>
                          <a:xfrm>
                            <a:off x="50746"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1B20627" id="Group 335" o:spid="_x0000_s1026" style="position:absolute;margin-left:494.55pt;margin-top:114.35pt;width:10.55pt;height:4pt;z-index:-15648768;mso-wrap-distance-left:0;mso-wrap-distance-right:0;mso-position-horizontal-relative:page" coordsize="13398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">
                <v:shape id="Graphic 336" o:spid="_x0000_s1027" style="position:absolute;top:21665;width:133985;height:1270;visibility:visible;mso-wrap-style:square;v-text-anchor:top" coordsize="133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" path="m,l133455,e" filled="f" strokeweight=".20058mm">
                  <v:path arrowok="t"/>
                </v:shape>
                <v:shape id="Graphic 337" o:spid="_x0000_s1028" style="position:absolute;left:50746;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" path="m46132,50553l,50553,,,46132,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68224" behindDoc="1" locked="0" layoutInCell="1" allowOverlap="1" wp14:anchorId="6A33039B" wp14:editId="206FC727">
                <wp:simplePos x="0" y="0"/>
                <wp:positionH relativeFrom="page">
                  <wp:posOffset>6559838</wp:posOffset>
                </wp:positionH>
                <wp:positionV relativeFrom="paragraph">
                  <wp:posOffset>1567557</wp:posOffset>
                </wp:positionV>
                <wp:extent cx="46355" cy="50800"/>
                <wp:effectExtent l="0" t="0" r="0" b="0"/>
                <wp:wrapTopAndBottom/>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 cy="50800"/>
                          <a:chOff x="0" y="0"/>
                          <a:chExt cx="46355" cy="50800"/>
                        </a:xfrm>
                      </wpg:grpSpPr>
                      <wps:wsp>
                        <wps:cNvPr id="339" name="Graphic 339"/>
                        <wps:cNvSpPr/>
                        <wps:spPr>
                          <a:xfrm>
                            <a:off x="9886" y="21665"/>
                            <a:ext cx="16510" cy="1270"/>
                          </a:xfrm>
                          <a:custGeom>
                            <a:avLst/>
                            <a:gdLst/>
                            <a:ahLst/>
                            <a:cxnLst/>
                            <a:rect l="l" t="t" r="r" b="b"/>
                            <a:pathLst>
                              <a:path w="16510">
                                <a:moveTo>
                                  <a:pt x="0" y="0"/>
                                </a:moveTo>
                                <a:lnTo>
                                  <a:pt x="16475" y="0"/>
                                </a:lnTo>
                              </a:path>
                            </a:pathLst>
                          </a:custGeom>
                          <a:ln w="7221">
                            <a:solidFill>
                              <a:srgbClr val="000000"/>
                            </a:solidFill>
                            <a:prstDash val="solid"/>
                          </a:ln>
                        </wps:spPr>
                        <wps:bodyPr wrap="square" lIns="0" tIns="0" rIns="0" bIns="0" rtlCol="0">
                          <a:prstTxWarp prst="textNoShape">
                            <a:avLst/>
                          </a:prstTxWarp>
                          <a:noAutofit/>
                        </wps:bodyPr>
                      </wps:wsp>
                      <wps:wsp>
                        <wps:cNvPr id="340" name="Graphic 340"/>
                        <wps:cNvSpPr/>
                        <wps:spPr>
                          <a:xfrm>
                            <a:off x="0" y="0"/>
                            <a:ext cx="46355" cy="50800"/>
                          </a:xfrm>
                          <a:custGeom>
                            <a:avLst/>
                            <a:gdLst/>
                            <a:ahLst/>
                            <a:cxnLst/>
                            <a:rect l="l" t="t" r="r" b="b"/>
                            <a:pathLst>
                              <a:path w="46355" h="50800">
                                <a:moveTo>
                                  <a:pt x="46134" y="50553"/>
                                </a:moveTo>
                                <a:lnTo>
                                  <a:pt x="0" y="50553"/>
                                </a:lnTo>
                                <a:lnTo>
                                  <a:pt x="0" y="0"/>
                                </a:lnTo>
                                <a:lnTo>
                                  <a:pt x="46134" y="0"/>
                                </a:lnTo>
                                <a:lnTo>
                                  <a:pt x="46134"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2FFCBD1" id="Group 338" o:spid="_x0000_s1026" style="position:absolute;margin-left:516.5pt;margin-top:123.45pt;width:3.65pt;height:4pt;z-index:-15648256;mso-wrap-distance-left:0;mso-wrap-distance-right:0;mso-position-horizontal-relative:page" coordsize="463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">
                <v:shape id="Graphic 339" o:spid="_x0000_s1027" style="position:absolute;left:9886;top:21665;width:16510;height:1270;visibility:visible;mso-wrap-style:square;v-text-anchor:top" coordsize="16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" path="m,l16475,e" filled="f" strokeweight=".20058mm">
                  <v:path arrowok="t"/>
                </v:shape>
                <v:shape id="Graphic 340" o:spid="_x0000_s1028" style="position:absolute;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" path="m46134,50553l,50553,,,46134,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68736" behindDoc="1" locked="0" layoutInCell="1" allowOverlap="1" wp14:anchorId="1FDC43C1" wp14:editId="7B37DE95">
                <wp:simplePos x="0" y="0"/>
                <wp:positionH relativeFrom="page">
                  <wp:posOffset>6524910</wp:posOffset>
                </wp:positionH>
                <wp:positionV relativeFrom="paragraph">
                  <wp:posOffset>1683107</wp:posOffset>
                </wp:positionV>
                <wp:extent cx="51435" cy="50800"/>
                <wp:effectExtent l="0" t="0" r="0" b="0"/>
                <wp:wrapTopAndBottom/>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35" cy="50800"/>
                          <a:chOff x="0" y="0"/>
                          <a:chExt cx="51435" cy="50800"/>
                        </a:xfrm>
                      </wpg:grpSpPr>
                      <wps:wsp>
                        <wps:cNvPr id="342" name="Graphic 342"/>
                        <wps:cNvSpPr/>
                        <wps:spPr>
                          <a:xfrm>
                            <a:off x="0" y="21666"/>
                            <a:ext cx="43180" cy="1270"/>
                          </a:xfrm>
                          <a:custGeom>
                            <a:avLst/>
                            <a:gdLst/>
                            <a:ahLst/>
                            <a:cxnLst/>
                            <a:rect l="l" t="t" r="r" b="b"/>
                            <a:pathLst>
                              <a:path w="43180">
                                <a:moveTo>
                                  <a:pt x="0" y="0"/>
                                </a:moveTo>
                                <a:lnTo>
                                  <a:pt x="43167" y="0"/>
                                </a:lnTo>
                              </a:path>
                            </a:pathLst>
                          </a:custGeom>
                          <a:ln w="7221">
                            <a:solidFill>
                              <a:srgbClr val="000000"/>
                            </a:solidFill>
                            <a:prstDash val="solid"/>
                          </a:ln>
                        </wps:spPr>
                        <wps:bodyPr wrap="square" lIns="0" tIns="0" rIns="0" bIns="0" rtlCol="0">
                          <a:prstTxWarp prst="textNoShape">
                            <a:avLst/>
                          </a:prstTxWarp>
                          <a:noAutofit/>
                        </wps:bodyPr>
                      </wps:wsp>
                      <wps:wsp>
                        <wps:cNvPr id="343" name="Graphic 343"/>
                        <wps:cNvSpPr/>
                        <wps:spPr>
                          <a:xfrm>
                            <a:off x="5272"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A85840E" id="Group 341" o:spid="_x0000_s1026" style="position:absolute;margin-left:513.75pt;margin-top:132.55pt;width:4.05pt;height:4pt;z-index:-15647744;mso-wrap-distance-left:0;mso-wrap-distance-right:0;mso-position-horizontal-relative:page" coordsize="5143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">
                <v:shape id="Graphic 342" o:spid="_x0000_s1027" style="position:absolute;top:21666;width:43180;height:1270;visibility:visible;mso-wrap-style:square;v-text-anchor:top" coordsize="43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" path="m,l43167,e" filled="f" strokeweight=".20058mm">
                  <v:path arrowok="t"/>
                </v:shape>
                <v:shape id="Graphic 343" o:spid="_x0000_s1028" style="position:absolute;left:5272;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" path="m46132,50553l,50553,,,46132,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69248" behindDoc="1" locked="0" layoutInCell="1" allowOverlap="1" wp14:anchorId="4A5FB5AF" wp14:editId="2962FBE8">
                <wp:simplePos x="0" y="0"/>
                <wp:positionH relativeFrom="page">
                  <wp:posOffset>6533477</wp:posOffset>
                </wp:positionH>
                <wp:positionV relativeFrom="paragraph">
                  <wp:posOffset>1798659</wp:posOffset>
                </wp:positionV>
                <wp:extent cx="60325" cy="50800"/>
                <wp:effectExtent l="0" t="0" r="0" b="0"/>
                <wp:wrapTopAndBottom/>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 cy="50800"/>
                          <a:chOff x="0" y="0"/>
                          <a:chExt cx="60325" cy="50800"/>
                        </a:xfrm>
                      </wpg:grpSpPr>
                      <wps:wsp>
                        <wps:cNvPr id="345" name="Graphic 345"/>
                        <wps:cNvSpPr/>
                        <wps:spPr>
                          <a:xfrm>
                            <a:off x="0" y="21665"/>
                            <a:ext cx="52069" cy="1270"/>
                          </a:xfrm>
                          <a:custGeom>
                            <a:avLst/>
                            <a:gdLst/>
                            <a:ahLst/>
                            <a:cxnLst/>
                            <a:rect l="l" t="t" r="r" b="b"/>
                            <a:pathLst>
                              <a:path w="52069">
                                <a:moveTo>
                                  <a:pt x="0" y="0"/>
                                </a:moveTo>
                                <a:lnTo>
                                  <a:pt x="51734" y="0"/>
                                </a:lnTo>
                              </a:path>
                            </a:pathLst>
                          </a:custGeom>
                          <a:ln w="7221">
                            <a:solidFill>
                              <a:srgbClr val="000000"/>
                            </a:solidFill>
                            <a:prstDash val="solid"/>
                          </a:ln>
                        </wps:spPr>
                        <wps:bodyPr wrap="square" lIns="0" tIns="0" rIns="0" bIns="0" rtlCol="0">
                          <a:prstTxWarp prst="textNoShape">
                            <a:avLst/>
                          </a:prstTxWarp>
                          <a:noAutofit/>
                        </wps:bodyPr>
                      </wps:wsp>
                      <wps:wsp>
                        <wps:cNvPr id="346" name="Graphic 346"/>
                        <wps:cNvSpPr/>
                        <wps:spPr>
                          <a:xfrm>
                            <a:off x="14168" y="0"/>
                            <a:ext cx="46355" cy="50800"/>
                          </a:xfrm>
                          <a:custGeom>
                            <a:avLst/>
                            <a:gdLst/>
                            <a:ahLst/>
                            <a:cxnLst/>
                            <a:rect l="l" t="t" r="r" b="b"/>
                            <a:pathLst>
                              <a:path w="46355" h="50800">
                                <a:moveTo>
                                  <a:pt x="46134" y="50553"/>
                                </a:moveTo>
                                <a:lnTo>
                                  <a:pt x="0" y="50553"/>
                                </a:lnTo>
                                <a:lnTo>
                                  <a:pt x="0" y="0"/>
                                </a:lnTo>
                                <a:lnTo>
                                  <a:pt x="46134" y="0"/>
                                </a:lnTo>
                                <a:lnTo>
                                  <a:pt x="46134"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6C61B74" id="Group 344" o:spid="_x0000_s1026" style="position:absolute;margin-left:514.45pt;margin-top:141.65pt;width:4.75pt;height:4pt;z-index:-15647232;mso-wrap-distance-left:0;mso-wrap-distance-right:0;mso-position-horizontal-relative:page" coordsize="6032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">
                <v:shape id="Graphic 345" o:spid="_x0000_s1027" style="position:absolute;top:21665;width:52069;height:1270;visibility:visible;mso-wrap-style:square;v-text-anchor:top" coordsize="520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" path="m,l51734,e" filled="f" strokeweight=".20058mm">
                  <v:path arrowok="t"/>
                </v:shape>
                <v:shape id="Graphic 346" o:spid="_x0000_s1028" style="position:absolute;left:14168;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" path="m46134,50553l,50553,,,46134,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69760" behindDoc="1" locked="0" layoutInCell="1" allowOverlap="1" wp14:anchorId="5E8A90CE" wp14:editId="5566BDD5">
                <wp:simplePos x="0" y="0"/>
                <wp:positionH relativeFrom="page">
                  <wp:posOffset>6571042</wp:posOffset>
                </wp:positionH>
                <wp:positionV relativeFrom="paragraph">
                  <wp:posOffset>1914210</wp:posOffset>
                </wp:positionV>
                <wp:extent cx="46355" cy="50800"/>
                <wp:effectExtent l="0" t="0" r="0"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 cy="50800"/>
                          <a:chOff x="0" y="0"/>
                          <a:chExt cx="46355" cy="50800"/>
                        </a:xfrm>
                      </wpg:grpSpPr>
                      <wps:wsp>
                        <wps:cNvPr id="348" name="Graphic 348"/>
                        <wps:cNvSpPr/>
                        <wps:spPr>
                          <a:xfrm>
                            <a:off x="6261" y="21666"/>
                            <a:ext cx="16510" cy="1270"/>
                          </a:xfrm>
                          <a:custGeom>
                            <a:avLst/>
                            <a:gdLst/>
                            <a:ahLst/>
                            <a:cxnLst/>
                            <a:rect l="l" t="t" r="r" b="b"/>
                            <a:pathLst>
                              <a:path w="16510">
                                <a:moveTo>
                                  <a:pt x="0" y="0"/>
                                </a:moveTo>
                                <a:lnTo>
                                  <a:pt x="16475" y="0"/>
                                </a:lnTo>
                              </a:path>
                            </a:pathLst>
                          </a:custGeom>
                          <a:ln w="7221">
                            <a:solidFill>
                              <a:srgbClr val="000000"/>
                            </a:solidFill>
                            <a:prstDash val="solid"/>
                          </a:ln>
                        </wps:spPr>
                        <wps:bodyPr wrap="square" lIns="0" tIns="0" rIns="0" bIns="0" rtlCol="0">
                          <a:prstTxWarp prst="textNoShape">
                            <a:avLst/>
                          </a:prstTxWarp>
                          <a:noAutofit/>
                        </wps:bodyPr>
                      </wps:wsp>
                      <wps:wsp>
                        <wps:cNvPr id="349" name="Graphic 349"/>
                        <wps:cNvSpPr/>
                        <wps:spPr>
                          <a:xfrm>
                            <a:off x="0" y="0"/>
                            <a:ext cx="46355" cy="50800"/>
                          </a:xfrm>
                          <a:custGeom>
                            <a:avLst/>
                            <a:gdLst/>
                            <a:ahLst/>
                            <a:cxnLst/>
                            <a:rect l="l" t="t" r="r" b="b"/>
                            <a:pathLst>
                              <a:path w="46355" h="50800">
                                <a:moveTo>
                                  <a:pt x="46132" y="50554"/>
                                </a:moveTo>
                                <a:lnTo>
                                  <a:pt x="0" y="50554"/>
                                </a:lnTo>
                                <a:lnTo>
                                  <a:pt x="0" y="0"/>
                                </a:lnTo>
                                <a:lnTo>
                                  <a:pt x="46132" y="0"/>
                                </a:lnTo>
                                <a:lnTo>
                                  <a:pt x="46132" y="5055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D3F7A8F" id="Group 347" o:spid="_x0000_s1026" style="position:absolute;margin-left:517.4pt;margin-top:150.75pt;width:3.65pt;height:4pt;z-index:-15646720;mso-wrap-distance-left:0;mso-wrap-distance-right:0;mso-position-horizontal-relative:page" coordsize="463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">
                <v:shape id="Graphic 348" o:spid="_x0000_s1027" style="position:absolute;left:6261;top:21666;width:16510;height:1270;visibility:visible;mso-wrap-style:square;v-text-anchor:top" coordsize="16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" path="m,l16475,e" filled="f" strokeweight=".20058mm">
                  <v:path arrowok="t"/>
                </v:shape>
                <v:shape id="Graphic 349" o:spid="_x0000_s1028" style="position:absolute;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" path="m46132,50554l,50554,,,46132,r,50554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70272" behindDoc="1" locked="0" layoutInCell="1" allowOverlap="1" wp14:anchorId="736D0D3A" wp14:editId="618D8A50">
                <wp:simplePos x="0" y="0"/>
                <wp:positionH relativeFrom="page">
                  <wp:posOffset>6503820</wp:posOffset>
                </wp:positionH>
                <wp:positionV relativeFrom="paragraph">
                  <wp:posOffset>2029762</wp:posOffset>
                </wp:positionV>
                <wp:extent cx="66675" cy="50800"/>
                <wp:effectExtent l="0" t="0" r="0" b="0"/>
                <wp:wrapTopAndBottom/>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 cy="50800"/>
                          <a:chOff x="0" y="0"/>
                          <a:chExt cx="66675" cy="50800"/>
                        </a:xfrm>
                      </wpg:grpSpPr>
                      <wps:wsp>
                        <wps:cNvPr id="351" name="Graphic 351"/>
                        <wps:cNvSpPr/>
                        <wps:spPr>
                          <a:xfrm>
                            <a:off x="0" y="21665"/>
                            <a:ext cx="66040" cy="1270"/>
                          </a:xfrm>
                          <a:custGeom>
                            <a:avLst/>
                            <a:gdLst/>
                            <a:ahLst/>
                            <a:cxnLst/>
                            <a:rect l="l" t="t" r="r" b="b"/>
                            <a:pathLst>
                              <a:path w="66040">
                                <a:moveTo>
                                  <a:pt x="0" y="0"/>
                                </a:moveTo>
                                <a:lnTo>
                                  <a:pt x="65574" y="0"/>
                                </a:lnTo>
                              </a:path>
                            </a:pathLst>
                          </a:custGeom>
                          <a:ln w="7221">
                            <a:solidFill>
                              <a:srgbClr val="000000"/>
                            </a:solidFill>
                            <a:prstDash val="solid"/>
                          </a:ln>
                        </wps:spPr>
                        <wps:bodyPr wrap="square" lIns="0" tIns="0" rIns="0" bIns="0" rtlCol="0">
                          <a:prstTxWarp prst="textNoShape">
                            <a:avLst/>
                          </a:prstTxWarp>
                          <a:noAutofit/>
                        </wps:bodyPr>
                      </wps:wsp>
                      <wps:wsp>
                        <wps:cNvPr id="352" name="Graphic 352"/>
                        <wps:cNvSpPr/>
                        <wps:spPr>
                          <a:xfrm>
                            <a:off x="20101"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5ECA43C" id="Group 350" o:spid="_x0000_s1026" style="position:absolute;margin-left:512.1pt;margin-top:159.8pt;width:5.25pt;height:4pt;z-index:-15646208;mso-wrap-distance-left:0;mso-wrap-distance-right:0;mso-position-horizontal-relative:page" coordsize="6667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">
                <v:shape id="Graphic 351" o:spid="_x0000_s1027" style="position:absolute;top:21665;width:66040;height:1270;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" path="m,l65574,e" filled="f" strokeweight=".20058mm">
                  <v:path arrowok="t"/>
                </v:shape>
                <v:shape id="Graphic 352" o:spid="_x0000_s1028" style="position:absolute;left:20101;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" path="m46132,50553l,50553,,,46132,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70784" behindDoc="1" locked="0" layoutInCell="1" allowOverlap="1" wp14:anchorId="7D0458CD" wp14:editId="0E001B86">
                <wp:simplePos x="0" y="0"/>
                <wp:positionH relativeFrom="page">
                  <wp:posOffset>6546329</wp:posOffset>
                </wp:positionH>
                <wp:positionV relativeFrom="paragraph">
                  <wp:posOffset>2145313</wp:posOffset>
                </wp:positionV>
                <wp:extent cx="57785" cy="50800"/>
                <wp:effectExtent l="0" t="0" r="0" b="0"/>
                <wp:wrapTopAndBottom/>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 cy="50800"/>
                          <a:chOff x="0" y="0"/>
                          <a:chExt cx="57785" cy="50800"/>
                        </a:xfrm>
                      </wpg:grpSpPr>
                      <wps:wsp>
                        <wps:cNvPr id="354" name="Graphic 354"/>
                        <wps:cNvSpPr/>
                        <wps:spPr>
                          <a:xfrm>
                            <a:off x="0" y="21665"/>
                            <a:ext cx="44450" cy="1270"/>
                          </a:xfrm>
                          <a:custGeom>
                            <a:avLst/>
                            <a:gdLst/>
                            <a:ahLst/>
                            <a:cxnLst/>
                            <a:rect l="l" t="t" r="r" b="b"/>
                            <a:pathLst>
                              <a:path w="44450">
                                <a:moveTo>
                                  <a:pt x="0" y="0"/>
                                </a:moveTo>
                                <a:lnTo>
                                  <a:pt x="44155" y="0"/>
                                </a:lnTo>
                              </a:path>
                            </a:pathLst>
                          </a:custGeom>
                          <a:ln w="7221">
                            <a:solidFill>
                              <a:srgbClr val="000000"/>
                            </a:solidFill>
                            <a:prstDash val="solid"/>
                          </a:ln>
                        </wps:spPr>
                        <wps:bodyPr wrap="square" lIns="0" tIns="0" rIns="0" bIns="0" rtlCol="0">
                          <a:prstTxWarp prst="textNoShape">
                            <a:avLst/>
                          </a:prstTxWarp>
                          <a:noAutofit/>
                        </wps:bodyPr>
                      </wps:wsp>
                      <wps:wsp>
                        <wps:cNvPr id="355" name="Graphic 355"/>
                        <wps:cNvSpPr/>
                        <wps:spPr>
                          <a:xfrm>
                            <a:off x="11203"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DFFEDA4" id="Group 353" o:spid="_x0000_s1026" style="position:absolute;margin-left:515.45pt;margin-top:168.9pt;width:4.55pt;height:4pt;z-index:-15645696;mso-wrap-distance-left:0;mso-wrap-distance-right:0;mso-position-horizontal-relative:page" coordsize="5778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">
                <v:shape id="Graphic 354" o:spid="_x0000_s1027" style="position:absolute;top:21665;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" path="m,l44155,e" filled="f" strokeweight=".20058mm">
                  <v:path arrowok="t"/>
                </v:shape>
                <v:shape id="Graphic 355" o:spid="_x0000_s1028" style="position:absolute;left:11203;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" path="m46132,50553l,50553,,,46132,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71296" behindDoc="1" locked="0" layoutInCell="1" allowOverlap="1" wp14:anchorId="7C88D0DD" wp14:editId="352C8BD8">
                <wp:simplePos x="0" y="0"/>
                <wp:positionH relativeFrom="page">
                  <wp:posOffset>6541715</wp:posOffset>
                </wp:positionH>
                <wp:positionV relativeFrom="paragraph">
                  <wp:posOffset>2260864</wp:posOffset>
                </wp:positionV>
                <wp:extent cx="46355" cy="50800"/>
                <wp:effectExtent l="0" t="0" r="0" b="0"/>
                <wp:wrapTopAndBottom/>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 cy="50800"/>
                          <a:chOff x="0" y="0"/>
                          <a:chExt cx="46355" cy="50800"/>
                        </a:xfrm>
                      </wpg:grpSpPr>
                      <wps:wsp>
                        <wps:cNvPr id="357" name="Graphic 357"/>
                        <wps:cNvSpPr/>
                        <wps:spPr>
                          <a:xfrm>
                            <a:off x="9885" y="21666"/>
                            <a:ext cx="18415" cy="1270"/>
                          </a:xfrm>
                          <a:custGeom>
                            <a:avLst/>
                            <a:gdLst/>
                            <a:ahLst/>
                            <a:cxnLst/>
                            <a:rect l="l" t="t" r="r" b="b"/>
                            <a:pathLst>
                              <a:path w="18415">
                                <a:moveTo>
                                  <a:pt x="0" y="0"/>
                                </a:moveTo>
                                <a:lnTo>
                                  <a:pt x="17794" y="0"/>
                                </a:lnTo>
                              </a:path>
                            </a:pathLst>
                          </a:custGeom>
                          <a:ln w="7221">
                            <a:solidFill>
                              <a:srgbClr val="000000"/>
                            </a:solidFill>
                            <a:prstDash val="solid"/>
                          </a:ln>
                        </wps:spPr>
                        <wps:bodyPr wrap="square" lIns="0" tIns="0" rIns="0" bIns="0" rtlCol="0">
                          <a:prstTxWarp prst="textNoShape">
                            <a:avLst/>
                          </a:prstTxWarp>
                          <a:noAutofit/>
                        </wps:bodyPr>
                      </wps:wsp>
                      <wps:wsp>
                        <wps:cNvPr id="358" name="Graphic 358"/>
                        <wps:cNvSpPr/>
                        <wps:spPr>
                          <a:xfrm>
                            <a:off x="0" y="0"/>
                            <a:ext cx="46355" cy="50800"/>
                          </a:xfrm>
                          <a:custGeom>
                            <a:avLst/>
                            <a:gdLst/>
                            <a:ahLst/>
                            <a:cxnLst/>
                            <a:rect l="l" t="t" r="r" b="b"/>
                            <a:pathLst>
                              <a:path w="46355" h="50800">
                                <a:moveTo>
                                  <a:pt x="46132" y="50554"/>
                                </a:moveTo>
                                <a:lnTo>
                                  <a:pt x="0" y="50554"/>
                                </a:lnTo>
                                <a:lnTo>
                                  <a:pt x="0" y="0"/>
                                </a:lnTo>
                                <a:lnTo>
                                  <a:pt x="46132" y="0"/>
                                </a:lnTo>
                                <a:lnTo>
                                  <a:pt x="46132" y="5055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A93AEB2" id="Group 356" o:spid="_x0000_s1026" style="position:absolute;margin-left:515.1pt;margin-top:178pt;width:3.65pt;height:4pt;z-index:-15645184;mso-wrap-distance-left:0;mso-wrap-distance-right:0;mso-position-horizontal-relative:page" coordsize="463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">
                <v:shape id="Graphic 357" o:spid="_x0000_s1027" style="position:absolute;left:9885;top:21666;width:18415;height:1270;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" path="m,l17794,e" filled="f" strokeweight=".20058mm">
                  <v:path arrowok="t"/>
                </v:shape>
                <v:shape id="Graphic 358" o:spid="_x0000_s1028" style="position:absolute;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" path="m46132,50554l,50554,,,46132,r,50554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71808" behindDoc="1" locked="0" layoutInCell="1" allowOverlap="1" wp14:anchorId="4D555776" wp14:editId="08FD9EBC">
                <wp:simplePos x="0" y="0"/>
                <wp:positionH relativeFrom="page">
                  <wp:posOffset>6472845</wp:posOffset>
                </wp:positionH>
                <wp:positionV relativeFrom="paragraph">
                  <wp:posOffset>2376416</wp:posOffset>
                </wp:positionV>
                <wp:extent cx="124460" cy="50800"/>
                <wp:effectExtent l="0" t="0" r="0" b="0"/>
                <wp:wrapTopAndBottom/>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460" cy="50800"/>
                          <a:chOff x="0" y="0"/>
                          <a:chExt cx="124460" cy="50800"/>
                        </a:xfrm>
                      </wpg:grpSpPr>
                      <wps:wsp>
                        <wps:cNvPr id="360" name="Graphic 360"/>
                        <wps:cNvSpPr/>
                        <wps:spPr>
                          <a:xfrm>
                            <a:off x="0" y="21665"/>
                            <a:ext cx="120650" cy="1270"/>
                          </a:xfrm>
                          <a:custGeom>
                            <a:avLst/>
                            <a:gdLst/>
                            <a:ahLst/>
                            <a:cxnLst/>
                            <a:rect l="l" t="t" r="r" b="b"/>
                            <a:pathLst>
                              <a:path w="120650">
                                <a:moveTo>
                                  <a:pt x="0" y="0"/>
                                </a:moveTo>
                                <a:lnTo>
                                  <a:pt x="120604" y="0"/>
                                </a:lnTo>
                              </a:path>
                            </a:pathLst>
                          </a:custGeom>
                          <a:ln w="7221">
                            <a:solidFill>
                              <a:srgbClr val="000000"/>
                            </a:solidFill>
                            <a:prstDash val="solid"/>
                          </a:ln>
                        </wps:spPr>
                        <wps:bodyPr wrap="square" lIns="0" tIns="0" rIns="0" bIns="0" rtlCol="0">
                          <a:prstTxWarp prst="textNoShape">
                            <a:avLst/>
                          </a:prstTxWarp>
                          <a:noAutofit/>
                        </wps:bodyPr>
                      </wps:wsp>
                      <wps:wsp>
                        <wps:cNvPr id="361" name="Graphic 361"/>
                        <wps:cNvSpPr/>
                        <wps:spPr>
                          <a:xfrm>
                            <a:off x="78096"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9771E87" id="Group 359" o:spid="_x0000_s1026" style="position:absolute;margin-left:509.65pt;margin-top:187.1pt;width:9.8pt;height:4pt;z-index:-15644672;mso-wrap-distance-left:0;mso-wrap-distance-right:0;mso-position-horizontal-relative:page" coordsize="12446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">
                <v:shape id="Graphic 360" o:spid="_x0000_s1027" style="position:absolute;top:21665;width:120650;height:1270;visibility:visible;mso-wrap-style:square;v-text-anchor:top" coordsize="120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" path="m,l120604,e" filled="f" strokeweight=".20058mm">
                  <v:path arrowok="t"/>
                </v:shape>
                <v:shape id="Graphic 361" o:spid="_x0000_s1028" style="position:absolute;left:78096;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" path="m46132,50553l,50553,,,46132,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72320" behindDoc="1" locked="0" layoutInCell="1" allowOverlap="1" wp14:anchorId="22FBA247" wp14:editId="04BF4DCB">
                <wp:simplePos x="0" y="0"/>
                <wp:positionH relativeFrom="page">
                  <wp:posOffset>6475152</wp:posOffset>
                </wp:positionH>
                <wp:positionV relativeFrom="paragraph">
                  <wp:posOffset>2491967</wp:posOffset>
                </wp:positionV>
                <wp:extent cx="106045" cy="50800"/>
                <wp:effectExtent l="0" t="0" r="0" b="0"/>
                <wp:wrapTopAndBottom/>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045" cy="50800"/>
                          <a:chOff x="0" y="0"/>
                          <a:chExt cx="106045" cy="50800"/>
                        </a:xfrm>
                      </wpg:grpSpPr>
                      <wps:wsp>
                        <wps:cNvPr id="363" name="Graphic 363"/>
                        <wps:cNvSpPr/>
                        <wps:spPr>
                          <a:xfrm>
                            <a:off x="0" y="21665"/>
                            <a:ext cx="106045" cy="1270"/>
                          </a:xfrm>
                          <a:custGeom>
                            <a:avLst/>
                            <a:gdLst/>
                            <a:ahLst/>
                            <a:cxnLst/>
                            <a:rect l="l" t="t" r="r" b="b"/>
                            <a:pathLst>
                              <a:path w="106045">
                                <a:moveTo>
                                  <a:pt x="0" y="0"/>
                                </a:moveTo>
                                <a:lnTo>
                                  <a:pt x="105446" y="0"/>
                                </a:lnTo>
                              </a:path>
                            </a:pathLst>
                          </a:custGeom>
                          <a:ln w="7221">
                            <a:solidFill>
                              <a:srgbClr val="000000"/>
                            </a:solidFill>
                            <a:prstDash val="solid"/>
                          </a:ln>
                        </wps:spPr>
                        <wps:bodyPr wrap="square" lIns="0" tIns="0" rIns="0" bIns="0" rtlCol="0">
                          <a:prstTxWarp prst="textNoShape">
                            <a:avLst/>
                          </a:prstTxWarp>
                          <a:noAutofit/>
                        </wps:bodyPr>
                      </wps:wsp>
                      <wps:wsp>
                        <wps:cNvPr id="364" name="Graphic 364"/>
                        <wps:cNvSpPr/>
                        <wps:spPr>
                          <a:xfrm>
                            <a:off x="50415" y="0"/>
                            <a:ext cx="46355" cy="50800"/>
                          </a:xfrm>
                          <a:custGeom>
                            <a:avLst/>
                            <a:gdLst/>
                            <a:ahLst/>
                            <a:cxnLst/>
                            <a:rect l="l" t="t" r="r" b="b"/>
                            <a:pathLst>
                              <a:path w="46355" h="50800">
                                <a:moveTo>
                                  <a:pt x="46134" y="50553"/>
                                </a:moveTo>
                                <a:lnTo>
                                  <a:pt x="0" y="50553"/>
                                </a:lnTo>
                                <a:lnTo>
                                  <a:pt x="0" y="0"/>
                                </a:lnTo>
                                <a:lnTo>
                                  <a:pt x="46134" y="0"/>
                                </a:lnTo>
                                <a:lnTo>
                                  <a:pt x="46134"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20A0267" id="Group 362" o:spid="_x0000_s1026" style="position:absolute;margin-left:509.85pt;margin-top:196.2pt;width:8.35pt;height:4pt;z-index:-15644160;mso-wrap-distance-left:0;mso-wrap-distance-right:0;mso-position-horizontal-relative:page" coordsize="10604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">
                <v:shape id="Graphic 363" o:spid="_x0000_s1027" style="position:absolute;top:21665;width:106045;height:1270;visibility:visible;mso-wrap-style:square;v-text-anchor:top" coordsize="10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" path="m,l105446,e" filled="f" strokeweight=".20058mm">
                  <v:path arrowok="t"/>
                </v:shape>
                <v:shape id="Graphic 364" o:spid="_x0000_s1028" style="position:absolute;left:50415;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" path="m46134,50553l,50553,,,46134,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72832" behindDoc="1" locked="0" layoutInCell="1" allowOverlap="1" wp14:anchorId="075FC1F5" wp14:editId="3A1820C4">
                <wp:simplePos x="0" y="0"/>
                <wp:positionH relativeFrom="page">
                  <wp:posOffset>6538750</wp:posOffset>
                </wp:positionH>
                <wp:positionV relativeFrom="paragraph">
                  <wp:posOffset>2607518</wp:posOffset>
                </wp:positionV>
                <wp:extent cx="46355" cy="50800"/>
                <wp:effectExtent l="0" t="0" r="0" b="0"/>
                <wp:wrapTopAndBottom/>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 cy="50800"/>
                          <a:chOff x="0" y="0"/>
                          <a:chExt cx="46355" cy="50800"/>
                        </a:xfrm>
                      </wpg:grpSpPr>
                      <wps:wsp>
                        <wps:cNvPr id="366" name="Graphic 366"/>
                        <wps:cNvSpPr/>
                        <wps:spPr>
                          <a:xfrm>
                            <a:off x="988" y="21666"/>
                            <a:ext cx="32384" cy="1270"/>
                          </a:xfrm>
                          <a:custGeom>
                            <a:avLst/>
                            <a:gdLst/>
                            <a:ahLst/>
                            <a:cxnLst/>
                            <a:rect l="l" t="t" r="r" b="b"/>
                            <a:pathLst>
                              <a:path w="32384">
                                <a:moveTo>
                                  <a:pt x="0" y="0"/>
                                </a:moveTo>
                                <a:lnTo>
                                  <a:pt x="32292" y="0"/>
                                </a:lnTo>
                              </a:path>
                            </a:pathLst>
                          </a:custGeom>
                          <a:ln w="7221">
                            <a:solidFill>
                              <a:srgbClr val="000000"/>
                            </a:solidFill>
                            <a:prstDash val="solid"/>
                          </a:ln>
                        </wps:spPr>
                        <wps:bodyPr wrap="square" lIns="0" tIns="0" rIns="0" bIns="0" rtlCol="0">
                          <a:prstTxWarp prst="textNoShape">
                            <a:avLst/>
                          </a:prstTxWarp>
                          <a:noAutofit/>
                        </wps:bodyPr>
                      </wps:wsp>
                      <wps:wsp>
                        <wps:cNvPr id="367" name="Graphic 367"/>
                        <wps:cNvSpPr/>
                        <wps:spPr>
                          <a:xfrm>
                            <a:off x="0" y="0"/>
                            <a:ext cx="46355" cy="50800"/>
                          </a:xfrm>
                          <a:custGeom>
                            <a:avLst/>
                            <a:gdLst/>
                            <a:ahLst/>
                            <a:cxnLst/>
                            <a:rect l="l" t="t" r="r" b="b"/>
                            <a:pathLst>
                              <a:path w="46355" h="50800">
                                <a:moveTo>
                                  <a:pt x="46132" y="50554"/>
                                </a:moveTo>
                                <a:lnTo>
                                  <a:pt x="0" y="50554"/>
                                </a:lnTo>
                                <a:lnTo>
                                  <a:pt x="0" y="0"/>
                                </a:lnTo>
                                <a:lnTo>
                                  <a:pt x="46132" y="0"/>
                                </a:lnTo>
                                <a:lnTo>
                                  <a:pt x="46132" y="5055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70242B5" id="Group 365" o:spid="_x0000_s1026" style="position:absolute;margin-left:514.85pt;margin-top:205.3pt;width:3.65pt;height:4pt;z-index:-15643648;mso-wrap-distance-left:0;mso-wrap-distance-right:0;mso-position-horizontal-relative:page" coordsize="463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">
                <v:shape id="Graphic 366" o:spid="_x0000_s1027" style="position:absolute;left:988;top:21666;width:32384;height:1270;visibility:visible;mso-wrap-style:square;v-text-anchor:top" coordsize="323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" path="m,l32292,e" filled="f" strokeweight=".20058mm">
                  <v:path arrowok="t"/>
                </v:shape>
                <v:shape id="Graphic 367" o:spid="_x0000_s1028" style="position:absolute;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" path="m46132,50554l,50554,,,46132,r,50554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73344" behindDoc="1" locked="0" layoutInCell="1" allowOverlap="1" wp14:anchorId="49E808F9" wp14:editId="4AADC5A3">
                <wp:simplePos x="0" y="0"/>
                <wp:positionH relativeFrom="page">
                  <wp:posOffset>6437257</wp:posOffset>
                </wp:positionH>
                <wp:positionV relativeFrom="paragraph">
                  <wp:posOffset>2723070</wp:posOffset>
                </wp:positionV>
                <wp:extent cx="123825" cy="50800"/>
                <wp:effectExtent l="0" t="0" r="0" b="0"/>
                <wp:wrapTopAndBottom/>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50800"/>
                          <a:chOff x="0" y="0"/>
                          <a:chExt cx="123825" cy="50800"/>
                        </a:xfrm>
                      </wpg:grpSpPr>
                      <wps:wsp>
                        <wps:cNvPr id="369" name="Graphic 369"/>
                        <wps:cNvSpPr/>
                        <wps:spPr>
                          <a:xfrm>
                            <a:off x="0" y="21665"/>
                            <a:ext cx="123825" cy="1270"/>
                          </a:xfrm>
                          <a:custGeom>
                            <a:avLst/>
                            <a:gdLst/>
                            <a:ahLst/>
                            <a:cxnLst/>
                            <a:rect l="l" t="t" r="r" b="b"/>
                            <a:pathLst>
                              <a:path w="123825">
                                <a:moveTo>
                                  <a:pt x="0" y="0"/>
                                </a:moveTo>
                                <a:lnTo>
                                  <a:pt x="123569" y="0"/>
                                </a:lnTo>
                              </a:path>
                            </a:pathLst>
                          </a:custGeom>
                          <a:ln w="7221">
                            <a:solidFill>
                              <a:srgbClr val="000000"/>
                            </a:solidFill>
                            <a:prstDash val="solid"/>
                          </a:ln>
                        </wps:spPr>
                        <wps:bodyPr wrap="square" lIns="0" tIns="0" rIns="0" bIns="0" rtlCol="0">
                          <a:prstTxWarp prst="textNoShape">
                            <a:avLst/>
                          </a:prstTxWarp>
                          <a:noAutofit/>
                        </wps:bodyPr>
                      </wps:wsp>
                      <wps:wsp>
                        <wps:cNvPr id="370" name="Graphic 370"/>
                        <wps:cNvSpPr/>
                        <wps:spPr>
                          <a:xfrm>
                            <a:off x="56677"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34C0B84" id="Group 368" o:spid="_x0000_s1026" style="position:absolute;margin-left:506.85pt;margin-top:214.4pt;width:9.75pt;height:4pt;z-index:-15643136;mso-wrap-distance-left:0;mso-wrap-distance-right:0;mso-position-horizontal-relative:page" coordsize="12382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">
                <v:shape id="Graphic 369" o:spid="_x0000_s1027" style="position:absolute;top:21665;width:123825;height:1270;visibility:visible;mso-wrap-style:square;v-text-anchor:top" coordsize="123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" path="m,l123569,e" filled="f" strokeweight=".20058mm">
                  <v:path arrowok="t"/>
                </v:shape>
                <v:shape id="Graphic 370" o:spid="_x0000_s1028" style="position:absolute;left:56677;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" path="m46132,50553l,50553,,,46132,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73856" behindDoc="1" locked="0" layoutInCell="1" allowOverlap="1" wp14:anchorId="39481A71" wp14:editId="0783CE2B">
                <wp:simplePos x="0" y="0"/>
                <wp:positionH relativeFrom="page">
                  <wp:posOffset>6181221</wp:posOffset>
                </wp:positionH>
                <wp:positionV relativeFrom="paragraph">
                  <wp:posOffset>2838622</wp:posOffset>
                </wp:positionV>
                <wp:extent cx="439420" cy="50800"/>
                <wp:effectExtent l="0" t="0" r="0" b="0"/>
                <wp:wrapTopAndBottom/>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 cy="50800"/>
                          <a:chOff x="0" y="0"/>
                          <a:chExt cx="439420" cy="50800"/>
                        </a:xfrm>
                      </wpg:grpSpPr>
                      <wps:wsp>
                        <wps:cNvPr id="372" name="Graphic 372"/>
                        <wps:cNvSpPr/>
                        <wps:spPr>
                          <a:xfrm>
                            <a:off x="0" y="21665"/>
                            <a:ext cx="413384" cy="1270"/>
                          </a:xfrm>
                          <a:custGeom>
                            <a:avLst/>
                            <a:gdLst/>
                            <a:ahLst/>
                            <a:cxnLst/>
                            <a:rect l="l" t="t" r="r" b="b"/>
                            <a:pathLst>
                              <a:path w="413384">
                                <a:moveTo>
                                  <a:pt x="0" y="0"/>
                                </a:moveTo>
                                <a:lnTo>
                                  <a:pt x="412887" y="0"/>
                                </a:lnTo>
                              </a:path>
                            </a:pathLst>
                          </a:custGeom>
                          <a:ln w="7221">
                            <a:solidFill>
                              <a:srgbClr val="000000"/>
                            </a:solidFill>
                            <a:prstDash val="solid"/>
                          </a:ln>
                        </wps:spPr>
                        <wps:bodyPr wrap="square" lIns="0" tIns="0" rIns="0" bIns="0" rtlCol="0">
                          <a:prstTxWarp prst="textNoShape">
                            <a:avLst/>
                          </a:prstTxWarp>
                          <a:noAutofit/>
                        </wps:bodyPr>
                      </wps:wsp>
                      <wps:wsp>
                        <wps:cNvPr id="373" name="Graphic 373"/>
                        <wps:cNvSpPr/>
                        <wps:spPr>
                          <a:xfrm>
                            <a:off x="393115" y="0"/>
                            <a:ext cx="46355" cy="50800"/>
                          </a:xfrm>
                          <a:custGeom>
                            <a:avLst/>
                            <a:gdLst/>
                            <a:ahLst/>
                            <a:cxnLst/>
                            <a:rect l="l" t="t" r="r" b="b"/>
                            <a:pathLst>
                              <a:path w="46355" h="50800">
                                <a:moveTo>
                                  <a:pt x="46134" y="50553"/>
                                </a:moveTo>
                                <a:lnTo>
                                  <a:pt x="0" y="50553"/>
                                </a:lnTo>
                                <a:lnTo>
                                  <a:pt x="0" y="0"/>
                                </a:lnTo>
                                <a:lnTo>
                                  <a:pt x="46134" y="0"/>
                                </a:lnTo>
                                <a:lnTo>
                                  <a:pt x="46134"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2758945" id="Group 371" o:spid="_x0000_s1026" style="position:absolute;margin-left:486.7pt;margin-top:223.5pt;width:34.6pt;height:4pt;z-index:-15642624;mso-wrap-distance-left:0;mso-wrap-distance-right:0;mso-position-horizontal-relative:page" coordsize="43942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">
                <v:shape id="Graphic 372" o:spid="_x0000_s1027" style="position:absolute;top:21665;width:413384;height:1270;visibility:visible;mso-wrap-style:square;v-text-anchor:top" coordsize="4133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" path="m,l412887,e" filled="f" strokeweight=".20058mm">
                  <v:path arrowok="t"/>
                </v:shape>
                <v:shape id="Graphic 373" o:spid="_x0000_s1028" style="position:absolute;left:393115;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" path="m46134,50553l,50553,,,46134,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74368" behindDoc="1" locked="0" layoutInCell="1" allowOverlap="1" wp14:anchorId="78E42C80" wp14:editId="6688F3D4">
                <wp:simplePos x="0" y="0"/>
                <wp:positionH relativeFrom="page">
                  <wp:posOffset>6471198</wp:posOffset>
                </wp:positionH>
                <wp:positionV relativeFrom="paragraph">
                  <wp:posOffset>2954172</wp:posOffset>
                </wp:positionV>
                <wp:extent cx="74930" cy="50800"/>
                <wp:effectExtent l="0" t="0" r="0" b="0"/>
                <wp:wrapTopAndBottom/>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50800"/>
                          <a:chOff x="0" y="0"/>
                          <a:chExt cx="74930" cy="50800"/>
                        </a:xfrm>
                      </wpg:grpSpPr>
                      <wps:wsp>
                        <wps:cNvPr id="375" name="Graphic 375"/>
                        <wps:cNvSpPr/>
                        <wps:spPr>
                          <a:xfrm>
                            <a:off x="0" y="21666"/>
                            <a:ext cx="74930" cy="1270"/>
                          </a:xfrm>
                          <a:custGeom>
                            <a:avLst/>
                            <a:gdLst/>
                            <a:ahLst/>
                            <a:cxnLst/>
                            <a:rect l="l" t="t" r="r" b="b"/>
                            <a:pathLst>
                              <a:path w="74930">
                                <a:moveTo>
                                  <a:pt x="0" y="0"/>
                                </a:moveTo>
                                <a:lnTo>
                                  <a:pt x="74471" y="0"/>
                                </a:lnTo>
                              </a:path>
                            </a:pathLst>
                          </a:custGeom>
                          <a:ln w="7221">
                            <a:solidFill>
                              <a:srgbClr val="000000"/>
                            </a:solidFill>
                            <a:prstDash val="solid"/>
                          </a:ln>
                        </wps:spPr>
                        <wps:bodyPr wrap="square" lIns="0" tIns="0" rIns="0" bIns="0" rtlCol="0">
                          <a:prstTxWarp prst="textNoShape">
                            <a:avLst/>
                          </a:prstTxWarp>
                          <a:noAutofit/>
                        </wps:bodyPr>
                      </wps:wsp>
                      <wps:wsp>
                        <wps:cNvPr id="376" name="Graphic 376"/>
                        <wps:cNvSpPr/>
                        <wps:spPr>
                          <a:xfrm>
                            <a:off x="23066" y="0"/>
                            <a:ext cx="46355" cy="50800"/>
                          </a:xfrm>
                          <a:custGeom>
                            <a:avLst/>
                            <a:gdLst/>
                            <a:ahLst/>
                            <a:cxnLst/>
                            <a:rect l="l" t="t" r="r" b="b"/>
                            <a:pathLst>
                              <a:path w="46355" h="50800">
                                <a:moveTo>
                                  <a:pt x="46132" y="50554"/>
                                </a:moveTo>
                                <a:lnTo>
                                  <a:pt x="0" y="50554"/>
                                </a:lnTo>
                                <a:lnTo>
                                  <a:pt x="0" y="0"/>
                                </a:lnTo>
                                <a:lnTo>
                                  <a:pt x="46132" y="0"/>
                                </a:lnTo>
                                <a:lnTo>
                                  <a:pt x="46132" y="5055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FC9197B" id="Group 374" o:spid="_x0000_s1026" style="position:absolute;margin-left:509.55pt;margin-top:232.6pt;width:5.9pt;height:4pt;z-index:-15642112;mso-wrap-distance-left:0;mso-wrap-distance-right:0;mso-position-horizontal-relative:page" coordsize="7493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">
                <v:shape id="Graphic 375" o:spid="_x0000_s1027" style="position:absolute;top:21666;width:74930;height:1270;visibility:visible;mso-wrap-style:square;v-text-anchor:top" coordsize="74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" path="m,l74471,e" filled="f" strokeweight=".20058mm">
                  <v:path arrowok="t"/>
                </v:shape>
                <v:shape id="Graphic 376" o:spid="_x0000_s1028" style="position:absolute;left:23066;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" path="m46132,50554l,50554,,,46132,r,50554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74880" behindDoc="1" locked="0" layoutInCell="1" allowOverlap="1" wp14:anchorId="6FCAD315" wp14:editId="2EFEEC4D">
                <wp:simplePos x="0" y="0"/>
                <wp:positionH relativeFrom="page">
                  <wp:posOffset>6323244</wp:posOffset>
                </wp:positionH>
                <wp:positionV relativeFrom="paragraph">
                  <wp:posOffset>3069724</wp:posOffset>
                </wp:positionV>
                <wp:extent cx="74295" cy="50800"/>
                <wp:effectExtent l="0" t="0" r="0" b="0"/>
                <wp:wrapTopAndBottom/>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95" cy="50800"/>
                          <a:chOff x="0" y="0"/>
                          <a:chExt cx="74295" cy="50800"/>
                        </a:xfrm>
                      </wpg:grpSpPr>
                      <wps:wsp>
                        <wps:cNvPr id="378" name="Graphic 378"/>
                        <wps:cNvSpPr/>
                        <wps:spPr>
                          <a:xfrm>
                            <a:off x="0" y="21665"/>
                            <a:ext cx="74295" cy="1270"/>
                          </a:xfrm>
                          <a:custGeom>
                            <a:avLst/>
                            <a:gdLst/>
                            <a:ahLst/>
                            <a:cxnLst/>
                            <a:rect l="l" t="t" r="r" b="b"/>
                            <a:pathLst>
                              <a:path w="74295">
                                <a:moveTo>
                                  <a:pt x="0" y="0"/>
                                </a:moveTo>
                                <a:lnTo>
                                  <a:pt x="74141" y="0"/>
                                </a:lnTo>
                              </a:path>
                            </a:pathLst>
                          </a:custGeom>
                          <a:ln w="7221">
                            <a:solidFill>
                              <a:srgbClr val="000000"/>
                            </a:solidFill>
                            <a:prstDash val="solid"/>
                          </a:ln>
                        </wps:spPr>
                        <wps:bodyPr wrap="square" lIns="0" tIns="0" rIns="0" bIns="0" rtlCol="0">
                          <a:prstTxWarp prst="textNoShape">
                            <a:avLst/>
                          </a:prstTxWarp>
                          <a:noAutofit/>
                        </wps:bodyPr>
                      </wps:wsp>
                      <wps:wsp>
                        <wps:cNvPr id="379" name="Graphic 379"/>
                        <wps:cNvSpPr/>
                        <wps:spPr>
                          <a:xfrm>
                            <a:off x="18452" y="0"/>
                            <a:ext cx="46355" cy="50800"/>
                          </a:xfrm>
                          <a:custGeom>
                            <a:avLst/>
                            <a:gdLst/>
                            <a:ahLst/>
                            <a:cxnLst/>
                            <a:rect l="l" t="t" r="r" b="b"/>
                            <a:pathLst>
                              <a:path w="46355" h="50800">
                                <a:moveTo>
                                  <a:pt x="46134" y="50553"/>
                                </a:moveTo>
                                <a:lnTo>
                                  <a:pt x="0" y="50553"/>
                                </a:lnTo>
                                <a:lnTo>
                                  <a:pt x="0" y="0"/>
                                </a:lnTo>
                                <a:lnTo>
                                  <a:pt x="46134" y="0"/>
                                </a:lnTo>
                                <a:lnTo>
                                  <a:pt x="46134"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47D1438" id="Group 377" o:spid="_x0000_s1026" style="position:absolute;margin-left:497.9pt;margin-top:241.7pt;width:5.85pt;height:4pt;z-index:-15641600;mso-wrap-distance-left:0;mso-wrap-distance-right:0;mso-position-horizontal-relative:page" coordsize="7429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">
                <v:shape id="Graphic 378" o:spid="_x0000_s1027" style="position:absolute;top:21665;width:74295;height:1270;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" path="m,l74141,e" filled="f" strokeweight=".20058mm">
                  <v:path arrowok="t"/>
                </v:shape>
                <v:shape id="Graphic 379" o:spid="_x0000_s1028" style="position:absolute;left:18452;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" path="m46134,50553l,50553,,,46134,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75392" behindDoc="1" locked="0" layoutInCell="1" allowOverlap="1" wp14:anchorId="4732B1AE" wp14:editId="04BC091D">
                <wp:simplePos x="0" y="0"/>
                <wp:positionH relativeFrom="page">
                  <wp:posOffset>6461642</wp:posOffset>
                </wp:positionH>
                <wp:positionV relativeFrom="paragraph">
                  <wp:posOffset>3185275</wp:posOffset>
                </wp:positionV>
                <wp:extent cx="48260" cy="50800"/>
                <wp:effectExtent l="0" t="0" r="0" b="0"/>
                <wp:wrapTopAndBottom/>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60" cy="50800"/>
                          <a:chOff x="0" y="0"/>
                          <a:chExt cx="48260" cy="50800"/>
                        </a:xfrm>
                      </wpg:grpSpPr>
                      <wps:wsp>
                        <wps:cNvPr id="381" name="Graphic 381"/>
                        <wps:cNvSpPr/>
                        <wps:spPr>
                          <a:xfrm>
                            <a:off x="0" y="21665"/>
                            <a:ext cx="41275" cy="1270"/>
                          </a:xfrm>
                          <a:custGeom>
                            <a:avLst/>
                            <a:gdLst/>
                            <a:ahLst/>
                            <a:cxnLst/>
                            <a:rect l="l" t="t" r="r" b="b"/>
                            <a:pathLst>
                              <a:path w="41275">
                                <a:moveTo>
                                  <a:pt x="0" y="0"/>
                                </a:moveTo>
                                <a:lnTo>
                                  <a:pt x="40860" y="0"/>
                                </a:lnTo>
                              </a:path>
                            </a:pathLst>
                          </a:custGeom>
                          <a:ln w="7221">
                            <a:solidFill>
                              <a:srgbClr val="000000"/>
                            </a:solidFill>
                            <a:prstDash val="solid"/>
                          </a:ln>
                        </wps:spPr>
                        <wps:bodyPr wrap="square" lIns="0" tIns="0" rIns="0" bIns="0" rtlCol="0">
                          <a:prstTxWarp prst="textNoShape">
                            <a:avLst/>
                          </a:prstTxWarp>
                          <a:noAutofit/>
                        </wps:bodyPr>
                      </wps:wsp>
                      <wps:wsp>
                        <wps:cNvPr id="382" name="Graphic 382"/>
                        <wps:cNvSpPr/>
                        <wps:spPr>
                          <a:xfrm>
                            <a:off x="1976" y="0"/>
                            <a:ext cx="46355" cy="50800"/>
                          </a:xfrm>
                          <a:custGeom>
                            <a:avLst/>
                            <a:gdLst/>
                            <a:ahLst/>
                            <a:cxnLst/>
                            <a:rect l="l" t="t" r="r" b="b"/>
                            <a:pathLst>
                              <a:path w="46355" h="50800">
                                <a:moveTo>
                                  <a:pt x="46134" y="50553"/>
                                </a:moveTo>
                                <a:lnTo>
                                  <a:pt x="0" y="50553"/>
                                </a:lnTo>
                                <a:lnTo>
                                  <a:pt x="0" y="0"/>
                                </a:lnTo>
                                <a:lnTo>
                                  <a:pt x="46134" y="0"/>
                                </a:lnTo>
                                <a:lnTo>
                                  <a:pt x="46134"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F281384" id="Group 380" o:spid="_x0000_s1026" style="position:absolute;margin-left:508.8pt;margin-top:250.8pt;width:3.8pt;height:4pt;z-index:-15641088;mso-wrap-distance-left:0;mso-wrap-distance-right:0;mso-position-horizontal-relative:page" coordsize="4826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">
                <v:shape id="Graphic 381" o:spid="_x0000_s1027" style="position:absolute;top:21665;width:41275;height:1270;visibility:visible;mso-wrap-style:square;v-text-anchor:top" coordsize="4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" path="m,l40860,e" filled="f" strokeweight=".20058mm">
                  <v:path arrowok="t"/>
                </v:shape>
                <v:shape id="Graphic 382" o:spid="_x0000_s1028" style="position:absolute;left:1976;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" path="m46134,50553l,50553,,,46134,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75904" behindDoc="1" locked="0" layoutInCell="1" allowOverlap="1" wp14:anchorId="21147F52" wp14:editId="3CB6476C">
                <wp:simplePos x="0" y="0"/>
                <wp:positionH relativeFrom="page">
                  <wp:posOffset>6181221</wp:posOffset>
                </wp:positionH>
                <wp:positionV relativeFrom="paragraph">
                  <wp:posOffset>3300826</wp:posOffset>
                </wp:positionV>
                <wp:extent cx="439420" cy="50800"/>
                <wp:effectExtent l="0" t="0" r="0" b="0"/>
                <wp:wrapTopAndBottom/>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 cy="50800"/>
                          <a:chOff x="0" y="0"/>
                          <a:chExt cx="439420" cy="50800"/>
                        </a:xfrm>
                      </wpg:grpSpPr>
                      <wps:wsp>
                        <wps:cNvPr id="384" name="Graphic 384"/>
                        <wps:cNvSpPr/>
                        <wps:spPr>
                          <a:xfrm>
                            <a:off x="0" y="21666"/>
                            <a:ext cx="413384" cy="1270"/>
                          </a:xfrm>
                          <a:custGeom>
                            <a:avLst/>
                            <a:gdLst/>
                            <a:ahLst/>
                            <a:cxnLst/>
                            <a:rect l="l" t="t" r="r" b="b"/>
                            <a:pathLst>
                              <a:path w="413384">
                                <a:moveTo>
                                  <a:pt x="0" y="0"/>
                                </a:moveTo>
                                <a:lnTo>
                                  <a:pt x="412887" y="0"/>
                                </a:lnTo>
                              </a:path>
                            </a:pathLst>
                          </a:custGeom>
                          <a:ln w="7221">
                            <a:solidFill>
                              <a:srgbClr val="000000"/>
                            </a:solidFill>
                            <a:prstDash val="solid"/>
                          </a:ln>
                        </wps:spPr>
                        <wps:bodyPr wrap="square" lIns="0" tIns="0" rIns="0" bIns="0" rtlCol="0">
                          <a:prstTxWarp prst="textNoShape">
                            <a:avLst/>
                          </a:prstTxWarp>
                          <a:noAutofit/>
                        </wps:bodyPr>
                      </wps:wsp>
                      <wps:wsp>
                        <wps:cNvPr id="385" name="Graphic 385"/>
                        <wps:cNvSpPr/>
                        <wps:spPr>
                          <a:xfrm>
                            <a:off x="393115" y="0"/>
                            <a:ext cx="46355" cy="50800"/>
                          </a:xfrm>
                          <a:custGeom>
                            <a:avLst/>
                            <a:gdLst/>
                            <a:ahLst/>
                            <a:cxnLst/>
                            <a:rect l="l" t="t" r="r" b="b"/>
                            <a:pathLst>
                              <a:path w="46355" h="50800">
                                <a:moveTo>
                                  <a:pt x="46134" y="50553"/>
                                </a:moveTo>
                                <a:lnTo>
                                  <a:pt x="0" y="50553"/>
                                </a:lnTo>
                                <a:lnTo>
                                  <a:pt x="0" y="0"/>
                                </a:lnTo>
                                <a:lnTo>
                                  <a:pt x="46134" y="0"/>
                                </a:lnTo>
                                <a:lnTo>
                                  <a:pt x="46134" y="5055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AF61450" id="Group 383" o:spid="_x0000_s1026" style="position:absolute;margin-left:486.7pt;margin-top:259.9pt;width:34.6pt;height:4pt;z-index:-15640576;mso-wrap-distance-left:0;mso-wrap-distance-right:0;mso-position-horizontal-relative:page" coordsize="43942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">
                <v:shape id="Graphic 384" o:spid="_x0000_s1027" style="position:absolute;top:21666;width:413384;height:1270;visibility:visible;mso-wrap-style:square;v-text-anchor:top" coordsize="4133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" path="m,l412887,e" filled="f" strokeweight=".20058mm">
                  <v:path arrowok="t"/>
                </v:shape>
                <v:shape id="Graphic 385" o:spid="_x0000_s1028" style="position:absolute;left:393115;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" path="m46134,50553l,50553,,,46134,r,50553xe" fillcolor="#0000c0" stroked="f">
                  <v:path arrowok="t"/>
                </v:shape>
                <w10:wrap type="topAndBottom" anchorx="page"/>
              </v:group>
            </w:pict>
          </mc:Fallback>
        </mc:AlternateContent>
      </w:r>
      <w:r w:rsidRPr="003C6DAE">
        <w:rPr>
          <w:rFonts w:ascii="Trebuchet MS"/>
          <w:noProof/>
          <w:sz w:val="6"/>
          <w:lang w:val="uk-UA"/>
        </w:rPr>
        <mc:AlternateContent>
          <mc:Choice Requires="wpg">
            <w:drawing>
              <wp:anchor distT="0" distB="0" distL="0" distR="0" simplePos="0" relativeHeight="487676416" behindDoc="1" locked="0" layoutInCell="1" allowOverlap="1" wp14:anchorId="06E3C7BD" wp14:editId="37DEC251">
                <wp:simplePos x="0" y="0"/>
                <wp:positionH relativeFrom="page">
                  <wp:posOffset>5799967</wp:posOffset>
                </wp:positionH>
                <wp:positionV relativeFrom="paragraph">
                  <wp:posOffset>3416378</wp:posOffset>
                </wp:positionV>
                <wp:extent cx="791210" cy="108585"/>
                <wp:effectExtent l="0" t="0" r="0" b="0"/>
                <wp:wrapTopAndBottom/>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210" cy="108585"/>
                          <a:chOff x="0" y="0"/>
                          <a:chExt cx="791210" cy="108585"/>
                        </a:xfrm>
                      </wpg:grpSpPr>
                      <wps:wsp>
                        <wps:cNvPr id="387" name="Graphic 387"/>
                        <wps:cNvSpPr/>
                        <wps:spPr>
                          <a:xfrm>
                            <a:off x="661015" y="21665"/>
                            <a:ext cx="109220" cy="1270"/>
                          </a:xfrm>
                          <a:custGeom>
                            <a:avLst/>
                            <a:gdLst/>
                            <a:ahLst/>
                            <a:cxnLst/>
                            <a:rect l="l" t="t" r="r" b="b"/>
                            <a:pathLst>
                              <a:path w="109220">
                                <a:moveTo>
                                  <a:pt x="0" y="0"/>
                                </a:moveTo>
                                <a:lnTo>
                                  <a:pt x="109070" y="0"/>
                                </a:lnTo>
                              </a:path>
                            </a:pathLst>
                          </a:custGeom>
                          <a:ln w="7221">
                            <a:solidFill>
                              <a:srgbClr val="000000"/>
                            </a:solidFill>
                            <a:prstDash val="solid"/>
                          </a:ln>
                        </wps:spPr>
                        <wps:bodyPr wrap="square" lIns="0" tIns="0" rIns="0" bIns="0" rtlCol="0">
                          <a:prstTxWarp prst="textNoShape">
                            <a:avLst/>
                          </a:prstTxWarp>
                          <a:noAutofit/>
                        </wps:bodyPr>
                      </wps:wsp>
                      <wps:wsp>
                        <wps:cNvPr id="388" name="Graphic 388"/>
                        <wps:cNvSpPr/>
                        <wps:spPr>
                          <a:xfrm>
                            <a:off x="710114" y="0"/>
                            <a:ext cx="46355" cy="50800"/>
                          </a:xfrm>
                          <a:custGeom>
                            <a:avLst/>
                            <a:gdLst/>
                            <a:ahLst/>
                            <a:cxnLst/>
                            <a:rect l="l" t="t" r="r" b="b"/>
                            <a:pathLst>
                              <a:path w="46355" h="50800">
                                <a:moveTo>
                                  <a:pt x="46132" y="50553"/>
                                </a:moveTo>
                                <a:lnTo>
                                  <a:pt x="0" y="50553"/>
                                </a:lnTo>
                                <a:lnTo>
                                  <a:pt x="0" y="0"/>
                                </a:lnTo>
                                <a:lnTo>
                                  <a:pt x="46132" y="0"/>
                                </a:lnTo>
                                <a:lnTo>
                                  <a:pt x="46132" y="50553"/>
                                </a:lnTo>
                                <a:close/>
                              </a:path>
                            </a:pathLst>
                          </a:custGeom>
                          <a:solidFill>
                            <a:srgbClr val="0000C0"/>
                          </a:solidFill>
                        </wps:spPr>
                        <wps:bodyPr wrap="square" lIns="0" tIns="0" rIns="0" bIns="0" rtlCol="0">
                          <a:prstTxWarp prst="textNoShape">
                            <a:avLst/>
                          </a:prstTxWarp>
                          <a:noAutofit/>
                        </wps:bodyPr>
                      </wps:wsp>
                      <wps:wsp>
                        <wps:cNvPr id="389" name="Graphic 389"/>
                        <wps:cNvSpPr/>
                        <wps:spPr>
                          <a:xfrm>
                            <a:off x="3295" y="79441"/>
                            <a:ext cx="784860" cy="1270"/>
                          </a:xfrm>
                          <a:custGeom>
                            <a:avLst/>
                            <a:gdLst/>
                            <a:ahLst/>
                            <a:cxnLst/>
                            <a:rect l="l" t="t" r="r" b="b"/>
                            <a:pathLst>
                              <a:path w="784860">
                                <a:moveTo>
                                  <a:pt x="0" y="0"/>
                                </a:moveTo>
                                <a:lnTo>
                                  <a:pt x="784256" y="0"/>
                                </a:lnTo>
                              </a:path>
                            </a:pathLst>
                          </a:custGeom>
                          <a:ln w="7221">
                            <a:solidFill>
                              <a:srgbClr val="000000"/>
                            </a:solidFill>
                            <a:prstDash val="solid"/>
                          </a:ln>
                        </wps:spPr>
                        <wps:bodyPr wrap="square" lIns="0" tIns="0" rIns="0" bIns="0" rtlCol="0">
                          <a:prstTxWarp prst="textNoShape">
                            <a:avLst/>
                          </a:prstTxWarp>
                          <a:noAutofit/>
                        </wps:bodyPr>
                      </wps:wsp>
                      <wps:wsp>
                        <wps:cNvPr id="390" name="Graphic 390"/>
                        <wps:cNvSpPr/>
                        <wps:spPr>
                          <a:xfrm>
                            <a:off x="3295" y="50553"/>
                            <a:ext cx="1270" cy="57785"/>
                          </a:xfrm>
                          <a:custGeom>
                            <a:avLst/>
                            <a:gdLst/>
                            <a:ahLst/>
                            <a:cxnLst/>
                            <a:rect l="l" t="t" r="r" b="b"/>
                            <a:pathLst>
                              <a:path h="57785">
                                <a:moveTo>
                                  <a:pt x="0" y="0"/>
                                </a:moveTo>
                                <a:lnTo>
                                  <a:pt x="0" y="57775"/>
                                </a:lnTo>
                              </a:path>
                            </a:pathLst>
                          </a:custGeom>
                          <a:ln w="6590">
                            <a:solidFill>
                              <a:srgbClr val="000000"/>
                            </a:solidFill>
                            <a:prstDash val="solid"/>
                          </a:ln>
                        </wps:spPr>
                        <wps:bodyPr wrap="square" lIns="0" tIns="0" rIns="0" bIns="0" rtlCol="0">
                          <a:prstTxWarp prst="textNoShape">
                            <a:avLst/>
                          </a:prstTxWarp>
                          <a:noAutofit/>
                        </wps:bodyPr>
                      </wps:wsp>
                      <wps:wsp>
                        <wps:cNvPr id="391" name="Graphic 391"/>
                        <wps:cNvSpPr/>
                        <wps:spPr>
                          <a:xfrm>
                            <a:off x="160146" y="50553"/>
                            <a:ext cx="1270" cy="57785"/>
                          </a:xfrm>
                          <a:custGeom>
                            <a:avLst/>
                            <a:gdLst/>
                            <a:ahLst/>
                            <a:cxnLst/>
                            <a:rect l="l" t="t" r="r" b="b"/>
                            <a:pathLst>
                              <a:path h="57785">
                                <a:moveTo>
                                  <a:pt x="0" y="0"/>
                                </a:moveTo>
                                <a:lnTo>
                                  <a:pt x="0" y="57775"/>
                                </a:lnTo>
                              </a:path>
                            </a:pathLst>
                          </a:custGeom>
                          <a:ln w="6590">
                            <a:solidFill>
                              <a:srgbClr val="000000"/>
                            </a:solidFill>
                            <a:prstDash val="solid"/>
                          </a:ln>
                        </wps:spPr>
                        <wps:bodyPr wrap="square" lIns="0" tIns="0" rIns="0" bIns="0" rtlCol="0">
                          <a:prstTxWarp prst="textNoShape">
                            <a:avLst/>
                          </a:prstTxWarp>
                          <a:noAutofit/>
                        </wps:bodyPr>
                      </wps:wsp>
                      <wps:wsp>
                        <wps:cNvPr id="392" name="Graphic 392"/>
                        <wps:cNvSpPr/>
                        <wps:spPr>
                          <a:xfrm>
                            <a:off x="316997" y="50553"/>
                            <a:ext cx="1270" cy="57785"/>
                          </a:xfrm>
                          <a:custGeom>
                            <a:avLst/>
                            <a:gdLst/>
                            <a:ahLst/>
                            <a:cxnLst/>
                            <a:rect l="l" t="t" r="r" b="b"/>
                            <a:pathLst>
                              <a:path h="57785">
                                <a:moveTo>
                                  <a:pt x="0" y="0"/>
                                </a:moveTo>
                                <a:lnTo>
                                  <a:pt x="0" y="57775"/>
                                </a:lnTo>
                              </a:path>
                            </a:pathLst>
                          </a:custGeom>
                          <a:ln w="6590">
                            <a:solidFill>
                              <a:srgbClr val="000000"/>
                            </a:solidFill>
                            <a:prstDash val="solid"/>
                          </a:ln>
                        </wps:spPr>
                        <wps:bodyPr wrap="square" lIns="0" tIns="0" rIns="0" bIns="0" rtlCol="0">
                          <a:prstTxWarp prst="textNoShape">
                            <a:avLst/>
                          </a:prstTxWarp>
                          <a:noAutofit/>
                        </wps:bodyPr>
                      </wps:wsp>
                      <wps:wsp>
                        <wps:cNvPr id="393" name="Graphic 393"/>
                        <wps:cNvSpPr/>
                        <wps:spPr>
                          <a:xfrm>
                            <a:off x="473519" y="50553"/>
                            <a:ext cx="1270" cy="57785"/>
                          </a:xfrm>
                          <a:custGeom>
                            <a:avLst/>
                            <a:gdLst/>
                            <a:ahLst/>
                            <a:cxnLst/>
                            <a:rect l="l" t="t" r="r" b="b"/>
                            <a:pathLst>
                              <a:path h="57785">
                                <a:moveTo>
                                  <a:pt x="0" y="0"/>
                                </a:moveTo>
                                <a:lnTo>
                                  <a:pt x="0" y="57775"/>
                                </a:lnTo>
                              </a:path>
                            </a:pathLst>
                          </a:custGeom>
                          <a:ln w="6590">
                            <a:solidFill>
                              <a:srgbClr val="000000"/>
                            </a:solidFill>
                            <a:prstDash val="solid"/>
                          </a:ln>
                        </wps:spPr>
                        <wps:bodyPr wrap="square" lIns="0" tIns="0" rIns="0" bIns="0" rtlCol="0">
                          <a:prstTxWarp prst="textNoShape">
                            <a:avLst/>
                          </a:prstTxWarp>
                          <a:noAutofit/>
                        </wps:bodyPr>
                      </wps:wsp>
                      <wps:wsp>
                        <wps:cNvPr id="394" name="Graphic 394"/>
                        <wps:cNvSpPr/>
                        <wps:spPr>
                          <a:xfrm>
                            <a:off x="630700" y="50553"/>
                            <a:ext cx="1270" cy="57785"/>
                          </a:xfrm>
                          <a:custGeom>
                            <a:avLst/>
                            <a:gdLst/>
                            <a:ahLst/>
                            <a:cxnLst/>
                            <a:rect l="l" t="t" r="r" b="b"/>
                            <a:pathLst>
                              <a:path h="57785">
                                <a:moveTo>
                                  <a:pt x="0" y="0"/>
                                </a:moveTo>
                                <a:lnTo>
                                  <a:pt x="0" y="57775"/>
                                </a:lnTo>
                              </a:path>
                            </a:pathLst>
                          </a:custGeom>
                          <a:ln w="6590">
                            <a:solidFill>
                              <a:srgbClr val="000000"/>
                            </a:solidFill>
                            <a:prstDash val="solid"/>
                          </a:ln>
                        </wps:spPr>
                        <wps:bodyPr wrap="square" lIns="0" tIns="0" rIns="0" bIns="0" rtlCol="0">
                          <a:prstTxWarp prst="textNoShape">
                            <a:avLst/>
                          </a:prstTxWarp>
                          <a:noAutofit/>
                        </wps:bodyPr>
                      </wps:wsp>
                      <wps:wsp>
                        <wps:cNvPr id="395" name="Graphic 395"/>
                        <wps:cNvSpPr/>
                        <wps:spPr>
                          <a:xfrm>
                            <a:off x="787551" y="50553"/>
                            <a:ext cx="1270" cy="57785"/>
                          </a:xfrm>
                          <a:custGeom>
                            <a:avLst/>
                            <a:gdLst/>
                            <a:ahLst/>
                            <a:cxnLst/>
                            <a:rect l="l" t="t" r="r" b="b"/>
                            <a:pathLst>
                              <a:path h="57785">
                                <a:moveTo>
                                  <a:pt x="0" y="0"/>
                                </a:moveTo>
                                <a:lnTo>
                                  <a:pt x="0" y="57775"/>
                                </a:lnTo>
                              </a:path>
                            </a:pathLst>
                          </a:custGeom>
                          <a:ln w="65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E7A49D" id="Group 386" o:spid="_x0000_s1026" style="position:absolute;margin-left:456.7pt;margin-top:269pt;width:62.3pt;height:8.55pt;z-index:-15640064;mso-wrap-distance-left:0;mso-wrap-distance-right:0;mso-position-horizontal-relative:page" coordsize="7912,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">
                <v:shape id="Graphic 387" o:spid="_x0000_s1027" style="position:absolute;left:6610;top:216;width:1092;height:13;visibility:visible;mso-wrap-style:square;v-text-anchor:top" coordsize="10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" path="m,l109070,e" filled="f" strokeweight=".20058mm">
                  <v:path arrowok="t"/>
                </v:shape>
                <v:shape id="Graphic 388" o:spid="_x0000_s1028" style="position:absolute;left:7101;width:463;height:508;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" path="m46132,50553l,50553,,,46132,r,50553xe" fillcolor="#0000c0" stroked="f">
                  <v:path arrowok="t"/>
                </v:shape>
                <v:shape id="Graphic 389" o:spid="_x0000_s1029" style="position:absolute;left:32;top:794;width:7849;height:13;visibility:visible;mso-wrap-style:square;v-text-anchor:top" coordsize="784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" path="m,l784256,e" filled="f" strokeweight=".20058mm">
                  <v:path arrowok="t"/>
                </v:shape>
                <v:shape id="Graphic 390" o:spid="_x0000_s1030" style="position:absolute;left:32;top:505;width:13;height:578;visibility:visible;mso-wrap-style:square;v-text-anchor:top" coordsize="12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" path="m,l,57775e" filled="f" strokeweight=".18306mm">
                  <v:path arrowok="t"/>
                </v:shape>
                <v:shape id="Graphic 391" o:spid="_x0000_s1031" style="position:absolute;left:1601;top:505;width:13;height:578;visibility:visible;mso-wrap-style:square;v-text-anchor:top" coordsize="12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" path="m,l,57775e" filled="f" strokeweight=".18306mm">
                  <v:path arrowok="t"/>
                </v:shape>
                <v:shape id="Graphic 392" o:spid="_x0000_s1032" style="position:absolute;left:3169;top:505;width:13;height:578;visibility:visible;mso-wrap-style:square;v-text-anchor:top" coordsize="12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" path="m,l,57775e" filled="f" strokeweight=".18306mm">
                  <v:path arrowok="t"/>
                </v:shape>
                <v:shape id="Graphic 393" o:spid="_x0000_s1033" style="position:absolute;left:4735;top:505;width:12;height:578;visibility:visible;mso-wrap-style:square;v-text-anchor:top" coordsize="12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" path="m,l,57775e" filled="f" strokeweight=".18306mm">
                  <v:path arrowok="t"/>
                </v:shape>
                <v:shape id="Graphic 394" o:spid="_x0000_s1034" style="position:absolute;left:6307;top:505;width:12;height:578;visibility:visible;mso-wrap-style:square;v-text-anchor:top" coordsize="12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" path="m,l,57775e" filled="f" strokeweight=".18306mm">
                  <v:path arrowok="t"/>
                </v:shape>
                <v:shape id="Graphic 395" o:spid="_x0000_s1035" style="position:absolute;left:7875;top:505;width:13;height:578;visibility:visible;mso-wrap-style:square;v-text-anchor:top" coordsize="12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" path="m,l,57775e" filled="f" strokeweight=".18306mm">
                  <v:path arrowok="t"/>
                </v:shape>
                <w10:wrap type="topAndBottom" anchorx="page"/>
              </v:group>
            </w:pict>
          </mc:Fallback>
        </mc:AlternateContent>
      </w:r>
    </w:p>
    <w:p w14:paraId="3D2F7EBC" w14:textId="77777777" w:rsidR="00E05B98" w:rsidRPr="003C6DAE" w:rsidRDefault="00E05B98">
      <w:pPr>
        <w:pStyle w:val="a3"/>
        <w:spacing w:before="8"/>
        <w:rPr>
          <w:rFonts w:ascii="Trebuchet MS"/>
          <w:sz w:val="6"/>
          <w:lang w:val="uk-UA"/>
        </w:rPr>
      </w:pPr>
    </w:p>
    <w:p w14:paraId="621DD487" w14:textId="77777777" w:rsidR="00E05B98" w:rsidRPr="003C6DAE" w:rsidRDefault="00E05B98">
      <w:pPr>
        <w:pStyle w:val="a3"/>
        <w:spacing w:before="8"/>
        <w:rPr>
          <w:rFonts w:ascii="Trebuchet MS"/>
          <w:sz w:val="6"/>
          <w:lang w:val="uk-UA"/>
        </w:rPr>
      </w:pPr>
    </w:p>
    <w:p w14:paraId="2D6F1DE7" w14:textId="77777777" w:rsidR="00E05B98" w:rsidRPr="003C6DAE" w:rsidRDefault="00E05B98">
      <w:pPr>
        <w:pStyle w:val="a3"/>
        <w:spacing w:before="8"/>
        <w:rPr>
          <w:rFonts w:ascii="Trebuchet MS"/>
          <w:sz w:val="6"/>
          <w:lang w:val="uk-UA"/>
        </w:rPr>
      </w:pPr>
    </w:p>
    <w:p w14:paraId="1ADAFF1C" w14:textId="77777777" w:rsidR="00E05B98" w:rsidRPr="003C6DAE" w:rsidRDefault="00E05B98">
      <w:pPr>
        <w:pStyle w:val="a3"/>
        <w:spacing w:before="8"/>
        <w:rPr>
          <w:rFonts w:ascii="Trebuchet MS"/>
          <w:sz w:val="6"/>
          <w:lang w:val="uk-UA"/>
        </w:rPr>
      </w:pPr>
    </w:p>
    <w:p w14:paraId="5E79A6FE" w14:textId="77777777" w:rsidR="00E05B98" w:rsidRPr="003C6DAE" w:rsidRDefault="00E05B98">
      <w:pPr>
        <w:pStyle w:val="a3"/>
        <w:spacing w:before="8"/>
        <w:rPr>
          <w:rFonts w:ascii="Trebuchet MS"/>
          <w:sz w:val="6"/>
          <w:lang w:val="uk-UA"/>
        </w:rPr>
      </w:pPr>
    </w:p>
    <w:p w14:paraId="7C084599" w14:textId="77777777" w:rsidR="00E05B98" w:rsidRPr="003C6DAE" w:rsidRDefault="00E05B98">
      <w:pPr>
        <w:pStyle w:val="a3"/>
        <w:spacing w:before="8"/>
        <w:rPr>
          <w:rFonts w:ascii="Trebuchet MS"/>
          <w:sz w:val="6"/>
          <w:lang w:val="uk-UA"/>
        </w:rPr>
      </w:pPr>
    </w:p>
    <w:p w14:paraId="6462EAED" w14:textId="77777777" w:rsidR="00E05B98" w:rsidRPr="003C6DAE" w:rsidRDefault="00E05B98">
      <w:pPr>
        <w:pStyle w:val="a3"/>
        <w:spacing w:before="8"/>
        <w:rPr>
          <w:rFonts w:ascii="Trebuchet MS"/>
          <w:sz w:val="6"/>
          <w:lang w:val="uk-UA"/>
        </w:rPr>
      </w:pPr>
    </w:p>
    <w:p w14:paraId="41DB791D" w14:textId="77777777" w:rsidR="00E05B98" w:rsidRPr="003C6DAE" w:rsidRDefault="00E05B98">
      <w:pPr>
        <w:pStyle w:val="a3"/>
        <w:spacing w:before="8"/>
        <w:rPr>
          <w:rFonts w:ascii="Trebuchet MS"/>
          <w:sz w:val="6"/>
          <w:lang w:val="uk-UA"/>
        </w:rPr>
      </w:pPr>
    </w:p>
    <w:p w14:paraId="1BC22069" w14:textId="77777777" w:rsidR="00E05B98" w:rsidRPr="003C6DAE" w:rsidRDefault="00E05B98">
      <w:pPr>
        <w:pStyle w:val="a3"/>
        <w:spacing w:before="8"/>
        <w:rPr>
          <w:rFonts w:ascii="Trebuchet MS"/>
          <w:sz w:val="6"/>
          <w:lang w:val="uk-UA"/>
        </w:rPr>
      </w:pPr>
    </w:p>
    <w:p w14:paraId="01620B94" w14:textId="77777777" w:rsidR="00E05B98" w:rsidRPr="003C6DAE" w:rsidRDefault="00E05B98">
      <w:pPr>
        <w:pStyle w:val="a3"/>
        <w:spacing w:before="8"/>
        <w:rPr>
          <w:rFonts w:ascii="Trebuchet MS"/>
          <w:sz w:val="6"/>
          <w:lang w:val="uk-UA"/>
        </w:rPr>
      </w:pPr>
    </w:p>
    <w:p w14:paraId="2962DF6B" w14:textId="77777777" w:rsidR="00E05B98" w:rsidRPr="003C6DAE" w:rsidRDefault="00E05B98">
      <w:pPr>
        <w:pStyle w:val="a3"/>
        <w:spacing w:before="8"/>
        <w:rPr>
          <w:rFonts w:ascii="Trebuchet MS"/>
          <w:sz w:val="6"/>
          <w:lang w:val="uk-UA"/>
        </w:rPr>
      </w:pPr>
    </w:p>
    <w:p w14:paraId="5121DD9E" w14:textId="77777777" w:rsidR="00E05B98" w:rsidRPr="003C6DAE" w:rsidRDefault="00E05B98">
      <w:pPr>
        <w:pStyle w:val="a3"/>
        <w:spacing w:before="8"/>
        <w:rPr>
          <w:rFonts w:ascii="Trebuchet MS"/>
          <w:sz w:val="6"/>
          <w:lang w:val="uk-UA"/>
        </w:rPr>
      </w:pPr>
    </w:p>
    <w:p w14:paraId="1B3FE243" w14:textId="77777777" w:rsidR="00E05B98" w:rsidRPr="003C6DAE" w:rsidRDefault="00E05B98">
      <w:pPr>
        <w:pStyle w:val="a3"/>
        <w:spacing w:before="8"/>
        <w:rPr>
          <w:rFonts w:ascii="Trebuchet MS"/>
          <w:sz w:val="6"/>
          <w:lang w:val="uk-UA"/>
        </w:rPr>
      </w:pPr>
    </w:p>
    <w:p w14:paraId="7CD7D6B0" w14:textId="77777777" w:rsidR="00E05B98" w:rsidRPr="003C6DAE" w:rsidRDefault="00E05B98">
      <w:pPr>
        <w:pStyle w:val="a3"/>
        <w:spacing w:before="8"/>
        <w:rPr>
          <w:rFonts w:ascii="Trebuchet MS"/>
          <w:sz w:val="6"/>
          <w:lang w:val="uk-UA"/>
        </w:rPr>
      </w:pPr>
    </w:p>
    <w:p w14:paraId="7F542089" w14:textId="77777777" w:rsidR="00E05B98" w:rsidRPr="003C6DAE" w:rsidRDefault="00E05B98">
      <w:pPr>
        <w:pStyle w:val="a3"/>
        <w:spacing w:before="8"/>
        <w:rPr>
          <w:rFonts w:ascii="Trebuchet MS"/>
          <w:sz w:val="6"/>
          <w:lang w:val="uk-UA"/>
        </w:rPr>
      </w:pPr>
    </w:p>
    <w:p w14:paraId="597118AF" w14:textId="77777777" w:rsidR="00E05B98" w:rsidRPr="003C6DAE" w:rsidRDefault="00E05B98">
      <w:pPr>
        <w:pStyle w:val="a3"/>
        <w:spacing w:before="8"/>
        <w:rPr>
          <w:rFonts w:ascii="Trebuchet MS"/>
          <w:sz w:val="6"/>
          <w:lang w:val="uk-UA"/>
        </w:rPr>
      </w:pPr>
    </w:p>
    <w:p w14:paraId="62CCE796" w14:textId="77777777" w:rsidR="00E05B98" w:rsidRPr="003C6DAE" w:rsidRDefault="00E05B98">
      <w:pPr>
        <w:pStyle w:val="a3"/>
        <w:spacing w:before="8"/>
        <w:rPr>
          <w:rFonts w:ascii="Trebuchet MS"/>
          <w:sz w:val="6"/>
          <w:lang w:val="uk-UA"/>
        </w:rPr>
      </w:pPr>
    </w:p>
    <w:p w14:paraId="69DD428D" w14:textId="77777777" w:rsidR="00E05B98" w:rsidRPr="003C6DAE" w:rsidRDefault="00E05B98">
      <w:pPr>
        <w:pStyle w:val="a3"/>
        <w:spacing w:before="8"/>
        <w:rPr>
          <w:rFonts w:ascii="Trebuchet MS"/>
          <w:sz w:val="6"/>
          <w:lang w:val="uk-UA"/>
        </w:rPr>
      </w:pPr>
    </w:p>
    <w:p w14:paraId="684F0BFD" w14:textId="77777777" w:rsidR="00E05B98" w:rsidRPr="003C6DAE" w:rsidRDefault="00E05B98">
      <w:pPr>
        <w:pStyle w:val="a3"/>
        <w:spacing w:before="8"/>
        <w:rPr>
          <w:rFonts w:ascii="Trebuchet MS"/>
          <w:sz w:val="6"/>
          <w:lang w:val="uk-UA"/>
        </w:rPr>
      </w:pPr>
    </w:p>
    <w:p w14:paraId="3B8BD0E9" w14:textId="77777777" w:rsidR="00E05B98" w:rsidRPr="003C6DAE" w:rsidRDefault="00E05B98">
      <w:pPr>
        <w:pStyle w:val="a3"/>
        <w:spacing w:before="8"/>
        <w:rPr>
          <w:rFonts w:ascii="Trebuchet MS"/>
          <w:sz w:val="6"/>
          <w:lang w:val="uk-UA"/>
        </w:rPr>
      </w:pPr>
    </w:p>
    <w:p w14:paraId="7DDA58FA" w14:textId="77777777" w:rsidR="00E05B98" w:rsidRPr="003C6DAE" w:rsidRDefault="00E05B98">
      <w:pPr>
        <w:pStyle w:val="a3"/>
        <w:spacing w:before="8"/>
        <w:rPr>
          <w:rFonts w:ascii="Trebuchet MS"/>
          <w:sz w:val="6"/>
          <w:lang w:val="uk-UA"/>
        </w:rPr>
      </w:pPr>
    </w:p>
    <w:p w14:paraId="3C9462F6" w14:textId="77777777" w:rsidR="00E05B98" w:rsidRPr="003C6DAE" w:rsidRDefault="00E05B98">
      <w:pPr>
        <w:pStyle w:val="a3"/>
        <w:spacing w:before="8"/>
        <w:rPr>
          <w:rFonts w:ascii="Trebuchet MS"/>
          <w:sz w:val="6"/>
          <w:lang w:val="uk-UA"/>
        </w:rPr>
      </w:pPr>
    </w:p>
    <w:p w14:paraId="23A53FD3" w14:textId="77777777" w:rsidR="00E05B98" w:rsidRPr="003C6DAE" w:rsidRDefault="00E05B98">
      <w:pPr>
        <w:pStyle w:val="a3"/>
        <w:spacing w:before="8"/>
        <w:rPr>
          <w:rFonts w:ascii="Trebuchet MS"/>
          <w:sz w:val="6"/>
          <w:lang w:val="uk-UA"/>
        </w:rPr>
      </w:pPr>
    </w:p>
    <w:p w14:paraId="158E4DEF" w14:textId="77777777" w:rsidR="00E05B98" w:rsidRPr="003C6DAE" w:rsidRDefault="00E05B98">
      <w:pPr>
        <w:pStyle w:val="a3"/>
        <w:spacing w:before="8"/>
        <w:rPr>
          <w:rFonts w:ascii="Trebuchet MS"/>
          <w:sz w:val="6"/>
          <w:lang w:val="uk-UA"/>
        </w:rPr>
      </w:pPr>
    </w:p>
    <w:p w14:paraId="0F5079DB" w14:textId="77777777" w:rsidR="00E05B98" w:rsidRPr="003C6DAE" w:rsidRDefault="00E05B98">
      <w:pPr>
        <w:pStyle w:val="a3"/>
        <w:spacing w:before="8"/>
        <w:rPr>
          <w:rFonts w:ascii="Trebuchet MS"/>
          <w:sz w:val="6"/>
          <w:lang w:val="uk-UA"/>
        </w:rPr>
      </w:pPr>
    </w:p>
    <w:p w14:paraId="1D5F8A99" w14:textId="77777777" w:rsidR="00E05B98" w:rsidRPr="003C6DAE" w:rsidRDefault="00E05B98">
      <w:pPr>
        <w:pStyle w:val="a3"/>
        <w:spacing w:before="8"/>
        <w:rPr>
          <w:rFonts w:ascii="Trebuchet MS"/>
          <w:sz w:val="6"/>
          <w:lang w:val="uk-UA"/>
        </w:rPr>
      </w:pPr>
    </w:p>
    <w:p w14:paraId="7554C05C" w14:textId="77777777" w:rsidR="00E05B98" w:rsidRPr="003C6DAE" w:rsidRDefault="00E05B98">
      <w:pPr>
        <w:pStyle w:val="a3"/>
        <w:spacing w:before="8"/>
        <w:rPr>
          <w:rFonts w:ascii="Trebuchet MS"/>
          <w:sz w:val="6"/>
          <w:lang w:val="uk-UA"/>
        </w:rPr>
      </w:pPr>
    </w:p>
    <w:p w14:paraId="4F646CC7" w14:textId="77777777" w:rsidR="00E05B98" w:rsidRPr="003C6DAE" w:rsidRDefault="00E05B98">
      <w:pPr>
        <w:pStyle w:val="a3"/>
        <w:spacing w:before="8"/>
        <w:rPr>
          <w:rFonts w:ascii="Trebuchet MS"/>
          <w:sz w:val="6"/>
          <w:lang w:val="uk-UA"/>
        </w:rPr>
      </w:pPr>
    </w:p>
    <w:p w14:paraId="5AADE2BC" w14:textId="77777777" w:rsidR="00E05B98" w:rsidRPr="003C6DAE" w:rsidRDefault="00E05B98">
      <w:pPr>
        <w:pStyle w:val="a3"/>
        <w:spacing w:before="8"/>
        <w:rPr>
          <w:rFonts w:ascii="Trebuchet MS"/>
          <w:sz w:val="6"/>
          <w:lang w:val="uk-UA"/>
        </w:rPr>
      </w:pPr>
    </w:p>
    <w:p w14:paraId="5BE03B55" w14:textId="77777777" w:rsidR="00E05B98" w:rsidRPr="003C6DAE" w:rsidRDefault="00B01E0C">
      <w:pPr>
        <w:spacing w:before="4"/>
        <w:ind w:left="79"/>
        <w:rPr>
          <w:rFonts w:ascii="Trebuchet MS"/>
          <w:sz w:val="13"/>
          <w:lang w:val="uk-UA"/>
        </w:rPr>
      </w:pPr>
      <w:r w:rsidRPr="003C6DAE">
        <w:rPr>
          <w:rFonts w:ascii="Trebuchet MS"/>
          <w:w w:val="95"/>
          <w:sz w:val="13"/>
          <w:lang w:val="uk-UA"/>
        </w:rPr>
        <w:t>0</w:t>
      </w:r>
      <w:r w:rsidRPr="003C6DAE">
        <w:rPr>
          <w:rFonts w:ascii="Trebuchet MS"/>
          <w:spacing w:val="48"/>
          <w:sz w:val="13"/>
          <w:lang w:val="uk-UA"/>
        </w:rPr>
        <w:t xml:space="preserve"> </w:t>
      </w:r>
      <w:r w:rsidRPr="003C6DAE">
        <w:rPr>
          <w:rFonts w:ascii="Trebuchet MS"/>
          <w:w w:val="95"/>
          <w:sz w:val="13"/>
          <w:lang w:val="uk-UA"/>
        </w:rPr>
        <w:t>0.2</w:t>
      </w:r>
      <w:r w:rsidRPr="003C6DAE">
        <w:rPr>
          <w:rFonts w:ascii="Trebuchet MS"/>
          <w:spacing w:val="33"/>
          <w:sz w:val="13"/>
          <w:lang w:val="uk-UA"/>
        </w:rPr>
        <w:t xml:space="preserve"> </w:t>
      </w:r>
      <w:r w:rsidRPr="003C6DAE">
        <w:rPr>
          <w:rFonts w:ascii="Trebuchet MS"/>
          <w:w w:val="95"/>
          <w:sz w:val="13"/>
          <w:lang w:val="uk-UA"/>
        </w:rPr>
        <w:t>0.4</w:t>
      </w:r>
      <w:r w:rsidRPr="003C6DAE">
        <w:rPr>
          <w:rFonts w:ascii="Trebuchet MS"/>
          <w:spacing w:val="33"/>
          <w:sz w:val="13"/>
          <w:lang w:val="uk-UA"/>
        </w:rPr>
        <w:t xml:space="preserve"> </w:t>
      </w:r>
      <w:r w:rsidRPr="003C6DAE">
        <w:rPr>
          <w:rFonts w:ascii="Trebuchet MS"/>
          <w:w w:val="95"/>
          <w:sz w:val="13"/>
          <w:lang w:val="uk-UA"/>
        </w:rPr>
        <w:t>0.6</w:t>
      </w:r>
      <w:r w:rsidRPr="003C6DAE">
        <w:rPr>
          <w:rFonts w:ascii="Trebuchet MS"/>
          <w:spacing w:val="33"/>
          <w:sz w:val="13"/>
          <w:lang w:val="uk-UA"/>
        </w:rPr>
        <w:t xml:space="preserve"> </w:t>
      </w:r>
      <w:r w:rsidRPr="003C6DAE">
        <w:rPr>
          <w:rFonts w:ascii="Trebuchet MS"/>
          <w:w w:val="95"/>
          <w:sz w:val="13"/>
          <w:lang w:val="uk-UA"/>
        </w:rPr>
        <w:t>0.8</w:t>
      </w:r>
      <w:r w:rsidRPr="003C6DAE">
        <w:rPr>
          <w:rFonts w:ascii="Trebuchet MS"/>
          <w:spacing w:val="48"/>
          <w:sz w:val="13"/>
          <w:lang w:val="uk-UA"/>
        </w:rPr>
        <w:t xml:space="preserve"> </w:t>
      </w:r>
      <w:r w:rsidRPr="003C6DAE">
        <w:rPr>
          <w:rFonts w:ascii="Trebuchet MS"/>
          <w:spacing w:val="-10"/>
          <w:w w:val="95"/>
          <w:sz w:val="13"/>
          <w:lang w:val="uk-UA"/>
        </w:rPr>
        <w:t>1</w:t>
      </w:r>
    </w:p>
    <w:p w14:paraId="44512171" w14:textId="77777777" w:rsidR="00E05B98" w:rsidRPr="003C6DAE" w:rsidRDefault="00E05B98">
      <w:pPr>
        <w:rPr>
          <w:rFonts w:ascii="Trebuchet MS"/>
          <w:sz w:val="13"/>
          <w:lang w:val="uk-UA"/>
        </w:rPr>
        <w:sectPr w:rsidR="00E05B98" w:rsidRPr="003C6DAE">
          <w:type w:val="continuous"/>
          <w:pgSz w:w="11910" w:h="16840"/>
          <w:pgMar w:top="1920" w:right="1275" w:bottom="280" w:left="850" w:header="0" w:footer="573" w:gutter="0"/>
          <w:cols w:num="9" w:space="720" w:equalWidth="0">
            <w:col w:w="1858" w:space="40"/>
            <w:col w:w="372" w:space="39"/>
            <w:col w:w="272" w:space="39"/>
            <w:col w:w="594" w:space="40"/>
            <w:col w:w="1049" w:space="39"/>
            <w:col w:w="1219" w:space="40"/>
            <w:col w:w="1206" w:space="39"/>
            <w:col w:w="1324" w:space="39"/>
            <w:col w:w="1576"/>
          </w:cols>
        </w:sectPr>
      </w:pPr>
    </w:p>
    <w:p w14:paraId="08B7EDE4" w14:textId="371E41A9" w:rsidR="00E05B98" w:rsidRPr="003C6DAE" w:rsidRDefault="00B01E0C" w:rsidP="00CB37A3">
      <w:pPr>
        <w:pStyle w:val="a3"/>
        <w:spacing w:before="72"/>
        <w:ind w:left="567"/>
        <w:rPr>
          <w:sz w:val="16"/>
          <w:szCs w:val="16"/>
          <w:lang w:val="uk-UA"/>
        </w:rPr>
      </w:pPr>
      <w:r w:rsidRPr="003C6DAE">
        <w:rPr>
          <w:rFonts w:ascii="Trebuchet MS"/>
          <w:noProof/>
          <w:sz w:val="18"/>
          <w:lang w:val="uk-UA"/>
        </w:rPr>
        <mc:AlternateContent>
          <mc:Choice Requires="wpg">
            <w:drawing>
              <wp:anchor distT="0" distB="0" distL="0" distR="0" simplePos="0" relativeHeight="15820288" behindDoc="0" locked="0" layoutInCell="1" allowOverlap="1" wp14:anchorId="1AD086B3" wp14:editId="3FFFCA94">
                <wp:simplePos x="0" y="0"/>
                <wp:positionH relativeFrom="page">
                  <wp:posOffset>5620049</wp:posOffset>
                </wp:positionH>
                <wp:positionV relativeFrom="page">
                  <wp:posOffset>7625978</wp:posOffset>
                </wp:positionV>
                <wp:extent cx="144145" cy="50800"/>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50800"/>
                          <a:chOff x="0" y="0"/>
                          <a:chExt cx="144145" cy="50800"/>
                        </a:xfrm>
                      </wpg:grpSpPr>
                      <wps:wsp>
                        <wps:cNvPr id="397" name="Graphic 397"/>
                        <wps:cNvSpPr/>
                        <wps:spPr>
                          <a:xfrm>
                            <a:off x="0" y="21666"/>
                            <a:ext cx="117475" cy="1270"/>
                          </a:xfrm>
                          <a:custGeom>
                            <a:avLst/>
                            <a:gdLst/>
                            <a:ahLst/>
                            <a:cxnLst/>
                            <a:rect l="l" t="t" r="r" b="b"/>
                            <a:pathLst>
                              <a:path w="117475">
                                <a:moveTo>
                                  <a:pt x="0" y="0"/>
                                </a:moveTo>
                                <a:lnTo>
                                  <a:pt x="117308" y="0"/>
                                </a:lnTo>
                              </a:path>
                            </a:pathLst>
                          </a:custGeom>
                          <a:ln w="7221">
                            <a:solidFill>
                              <a:srgbClr val="000000"/>
                            </a:solidFill>
                            <a:prstDash val="solid"/>
                          </a:ln>
                        </wps:spPr>
                        <wps:bodyPr wrap="square" lIns="0" tIns="0" rIns="0" bIns="0" rtlCol="0">
                          <a:prstTxWarp prst="textNoShape">
                            <a:avLst/>
                          </a:prstTxWarp>
                          <a:noAutofit/>
                        </wps:bodyPr>
                      </wps:wsp>
                      <wps:wsp>
                        <wps:cNvPr id="398" name="Graphic 398"/>
                        <wps:cNvSpPr/>
                        <wps:spPr>
                          <a:xfrm>
                            <a:off x="97537" y="0"/>
                            <a:ext cx="46355" cy="50800"/>
                          </a:xfrm>
                          <a:custGeom>
                            <a:avLst/>
                            <a:gdLst/>
                            <a:ahLst/>
                            <a:cxnLst/>
                            <a:rect l="l" t="t" r="r" b="b"/>
                            <a:pathLst>
                              <a:path w="46355" h="50800">
                                <a:moveTo>
                                  <a:pt x="46132" y="50554"/>
                                </a:moveTo>
                                <a:lnTo>
                                  <a:pt x="0" y="50554"/>
                                </a:lnTo>
                                <a:lnTo>
                                  <a:pt x="0" y="0"/>
                                </a:lnTo>
                                <a:lnTo>
                                  <a:pt x="46132" y="0"/>
                                </a:lnTo>
                                <a:lnTo>
                                  <a:pt x="46132" y="5055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F203E26" id="Group 396" o:spid="_x0000_s1026" style="position:absolute;margin-left:442.5pt;margin-top:600.45pt;width:11.35pt;height:4pt;z-index:15820288;mso-wrap-distance-left:0;mso-wrap-distance-right:0;mso-position-horizontal-relative:page;mso-position-vertical-relative:page" coordsize="14414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">
                <v:shape id="Graphic 397" o:spid="_x0000_s1027" style="position:absolute;top:21666;width:117475;height:1270;visibility:visible;mso-wrap-style:square;v-text-anchor:top" coordsize="117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" path="m,l117308,e" filled="f" strokeweight=".20058mm">
                  <v:path arrowok="t"/>
                </v:shape>
                <v:shape id="Graphic 398" o:spid="_x0000_s1028" style="position:absolute;left:97537;width:46355;height:50800;visibility:visible;mso-wrap-style:square;v-text-anchor:top" coordsize="463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" path="m46132,50554l,50554,,,46132,r,50554xe" fillcolor="#0000c0" stroked="f">
                  <v:path arrowok="t"/>
                </v:shape>
                <w10:wrap anchorx="page" anchory="page"/>
              </v:group>
            </w:pict>
          </mc:Fallback>
        </mc:AlternateContent>
      </w:r>
      <w:bookmarkStart w:id="40" w:name="_Hlk198639213"/>
      <w:r w:rsidR="00815A80" w:rsidRPr="003C6DAE">
        <w:rPr>
          <w:sz w:val="16"/>
          <w:szCs w:val="16"/>
          <w:lang w:val="uk-UA"/>
        </w:rPr>
        <w:t xml:space="preserve">ДІ: довірчий інтервал; FN: хибнонегативний результат; FP: хибнопозитивний результат; </w:t>
      </w:r>
      <w:r w:rsidR="007A21BF">
        <w:rPr>
          <w:sz w:val="16"/>
          <w:szCs w:val="16"/>
          <w:lang w:val="uk-UA"/>
        </w:rPr>
        <w:t>аТАНК-НС</w:t>
      </w:r>
      <w:r w:rsidR="00815A80" w:rsidRPr="003C6DAE">
        <w:rPr>
          <w:sz w:val="16"/>
          <w:szCs w:val="16"/>
          <w:lang w:val="uk-UA"/>
        </w:rPr>
        <w:t>: автоматизований тест ампліфікаці</w:t>
      </w:r>
      <w:r w:rsidR="007A21BF">
        <w:rPr>
          <w:sz w:val="16"/>
          <w:szCs w:val="16"/>
          <w:lang w:val="uk-UA"/>
        </w:rPr>
        <w:t>ї</w:t>
      </w:r>
      <w:r w:rsidR="00815A80" w:rsidRPr="003C6DAE">
        <w:rPr>
          <w:sz w:val="16"/>
          <w:szCs w:val="16"/>
          <w:lang w:val="uk-UA"/>
        </w:rPr>
        <w:t xml:space="preserve"> нуклеїнових кислот низької складності; MRS: мікробіологічний еталонний стандарт; ТБ: туберкульоз; TN: істинно негативний результат; TP: істинно позитивний результат</w:t>
      </w:r>
      <w:bookmarkEnd w:id="40"/>
      <w:r w:rsidR="00815A80" w:rsidRPr="003C6DAE">
        <w:rPr>
          <w:sz w:val="16"/>
          <w:szCs w:val="16"/>
          <w:lang w:val="uk-UA"/>
        </w:rPr>
        <w:t>.</w:t>
      </w:r>
    </w:p>
    <w:p w14:paraId="5477B1AF" w14:textId="77777777" w:rsidR="00CB37A3" w:rsidRPr="003C6DAE" w:rsidRDefault="00CB37A3">
      <w:pPr>
        <w:spacing w:line="254" w:lineRule="auto"/>
        <w:rPr>
          <w:sz w:val="8"/>
          <w:szCs w:val="8"/>
          <w:lang w:val="uk-UA"/>
        </w:rPr>
      </w:pPr>
    </w:p>
    <w:p w14:paraId="0EE86570" w14:textId="7F6E8A82" w:rsidR="00CB37A3" w:rsidRPr="003C6DAE" w:rsidRDefault="00CB37A3" w:rsidP="00CB37A3">
      <w:pPr>
        <w:spacing w:before="77"/>
        <w:ind w:left="567"/>
        <w:jc w:val="both"/>
        <w:rPr>
          <w:sz w:val="16"/>
          <w:szCs w:val="16"/>
          <w:lang w:val="uk-UA"/>
        </w:rPr>
      </w:pPr>
      <w:r w:rsidRPr="003C6DAE">
        <w:rPr>
          <w:spacing w:val="-2"/>
          <w:sz w:val="16"/>
          <w:szCs w:val="16"/>
          <w:vertAlign w:val="superscript"/>
          <w:lang w:val="uk-UA"/>
        </w:rPr>
        <w:t>a</w:t>
      </w:r>
      <w:r w:rsidRPr="003C6DAE">
        <w:rPr>
          <w:spacing w:val="-24"/>
          <w:sz w:val="16"/>
          <w:szCs w:val="16"/>
          <w:lang w:val="uk-UA"/>
        </w:rPr>
        <w:t xml:space="preserve"> </w:t>
      </w:r>
      <w:r w:rsidR="00815A80" w:rsidRPr="003C6DAE">
        <w:rPr>
          <w:spacing w:val="-2"/>
          <w:sz w:val="16"/>
          <w:szCs w:val="16"/>
          <w:lang w:val="uk-UA"/>
        </w:rPr>
        <w:t xml:space="preserve">Дослідження </w:t>
      </w:r>
      <w:r w:rsidR="007A21BF">
        <w:rPr>
          <w:spacing w:val="-2"/>
          <w:sz w:val="16"/>
          <w:szCs w:val="16"/>
          <w:lang w:val="uk-UA"/>
        </w:rPr>
        <w:t>впорядковано</w:t>
      </w:r>
      <w:r w:rsidR="00815A80" w:rsidRPr="003C6DAE">
        <w:rPr>
          <w:spacing w:val="-2"/>
          <w:sz w:val="16"/>
          <w:szCs w:val="16"/>
          <w:lang w:val="uk-UA"/>
        </w:rPr>
        <w:t xml:space="preserve"> за аналізом і автором.</w:t>
      </w:r>
    </w:p>
    <w:p w14:paraId="132E034C" w14:textId="77777777" w:rsidR="00CB37A3" w:rsidRPr="003C6DAE" w:rsidRDefault="00CB37A3">
      <w:pPr>
        <w:spacing w:line="254" w:lineRule="auto"/>
        <w:rPr>
          <w:sz w:val="16"/>
          <w:szCs w:val="16"/>
          <w:lang w:val="uk-UA"/>
        </w:rPr>
        <w:sectPr w:rsidR="00CB37A3" w:rsidRPr="003C6DAE" w:rsidSect="00CB37A3">
          <w:type w:val="continuous"/>
          <w:pgSz w:w="11910" w:h="16840"/>
          <w:pgMar w:top="1920" w:right="1137" w:bottom="280" w:left="850" w:header="0" w:footer="573" w:gutter="0"/>
          <w:cols w:space="720"/>
        </w:sectPr>
      </w:pPr>
    </w:p>
    <w:p w14:paraId="2C442091" w14:textId="3A24F7BB" w:rsidR="00E05B98" w:rsidRPr="003C6DAE" w:rsidRDefault="005E7827">
      <w:pPr>
        <w:pStyle w:val="5"/>
        <w:jc w:val="both"/>
        <w:rPr>
          <w:lang w:val="uk-UA"/>
        </w:rPr>
      </w:pPr>
      <w:r w:rsidRPr="003C6DAE">
        <w:rPr>
          <w:color w:val="019648"/>
          <w:w w:val="110"/>
          <w:lang w:val="uk-UA"/>
        </w:rPr>
        <w:lastRenderedPageBreak/>
        <w:t>Виявлення стійкості до рифампіцину</w:t>
      </w:r>
    </w:p>
    <w:p w14:paraId="4CA2326B" w14:textId="532443A0" w:rsidR="00E05B98" w:rsidRPr="003C6DAE" w:rsidRDefault="005E7827" w:rsidP="00CB37A3">
      <w:pPr>
        <w:pStyle w:val="7"/>
        <w:spacing w:before="231" w:line="249" w:lineRule="auto"/>
        <w:jc w:val="both"/>
        <w:rPr>
          <w:rFonts w:ascii="Microsoft Sans Serif" w:hAnsi="Microsoft Sans Serif" w:cs="Microsoft Sans Serif"/>
          <w:lang w:val="uk-UA"/>
        </w:rPr>
      </w:pPr>
      <w:r w:rsidRPr="003C6DAE">
        <w:rPr>
          <w:rFonts w:ascii="Microsoft Sans Serif" w:hAnsi="Microsoft Sans Serif" w:cs="Microsoft Sans Serif"/>
          <w:color w:val="019648"/>
          <w:w w:val="105"/>
          <w:lang w:val="uk-UA"/>
        </w:rPr>
        <w:t>Чи слід використовувати аТАНК-НС на зразках</w:t>
      </w:r>
      <w:r w:rsidR="0066218E">
        <w:rPr>
          <w:rFonts w:ascii="Microsoft Sans Serif" w:hAnsi="Microsoft Sans Serif" w:cs="Microsoft Sans Serif"/>
          <w:color w:val="019648"/>
          <w:w w:val="105"/>
          <w:lang w:val="uk-UA"/>
        </w:rPr>
        <w:t xml:space="preserve"> із дихальних шляхів</w:t>
      </w:r>
      <w:r w:rsidRPr="003C6DAE">
        <w:rPr>
          <w:rFonts w:ascii="Microsoft Sans Serif" w:hAnsi="Microsoft Sans Serif" w:cs="Microsoft Sans Serif"/>
          <w:color w:val="019648"/>
          <w:w w:val="105"/>
          <w:lang w:val="uk-UA"/>
        </w:rPr>
        <w:t xml:space="preserve"> для діагностики стійкості </w:t>
      </w:r>
      <w:r w:rsidR="0066218E">
        <w:rPr>
          <w:rFonts w:ascii="Microsoft Sans Serif" w:hAnsi="Microsoft Sans Serif" w:cs="Microsoft Sans Serif"/>
          <w:color w:val="019648"/>
          <w:w w:val="105"/>
          <w:lang w:val="uk-UA"/>
        </w:rPr>
        <w:t xml:space="preserve">ТБ </w:t>
      </w:r>
      <w:r w:rsidRPr="003C6DAE">
        <w:rPr>
          <w:rFonts w:ascii="Microsoft Sans Serif" w:hAnsi="Microsoft Sans Serif" w:cs="Microsoft Sans Serif"/>
          <w:color w:val="019648"/>
          <w:w w:val="105"/>
          <w:lang w:val="uk-UA"/>
        </w:rPr>
        <w:t xml:space="preserve">до рифампіцину у дорослих і підлітків з ознаками та симптомами </w:t>
      </w:r>
      <w:r w:rsidR="0066218E">
        <w:rPr>
          <w:rFonts w:ascii="Microsoft Sans Serif" w:hAnsi="Microsoft Sans Serif" w:cs="Microsoft Sans Serif"/>
          <w:color w:val="019648"/>
          <w:w w:val="105"/>
          <w:lang w:val="uk-UA"/>
        </w:rPr>
        <w:t>ТБ чи</w:t>
      </w:r>
      <w:r w:rsidRPr="003C6DAE">
        <w:rPr>
          <w:rFonts w:ascii="Microsoft Sans Serif" w:hAnsi="Microsoft Sans Serif" w:cs="Microsoft Sans Serif"/>
          <w:color w:val="019648"/>
          <w:w w:val="105"/>
          <w:lang w:val="uk-UA"/>
        </w:rPr>
        <w:t xml:space="preserve"> з позитивним результатом скринінгу на ТБ легень </w:t>
      </w:r>
      <w:r w:rsidR="0066218E">
        <w:rPr>
          <w:rFonts w:ascii="Microsoft Sans Serif" w:hAnsi="Microsoft Sans Serif" w:cs="Microsoft Sans Serif"/>
          <w:color w:val="019648"/>
          <w:w w:val="105"/>
          <w:lang w:val="uk-UA"/>
        </w:rPr>
        <w:t xml:space="preserve">на противагу </w:t>
      </w:r>
      <w:r w:rsidRPr="003C6DAE">
        <w:rPr>
          <w:color w:val="019648"/>
          <w:sz w:val="23"/>
          <w:szCs w:val="23"/>
          <w:lang w:val="uk-UA"/>
        </w:rPr>
        <w:t>мікробіологічн</w:t>
      </w:r>
      <w:r w:rsidR="0066218E">
        <w:rPr>
          <w:color w:val="019648"/>
          <w:sz w:val="23"/>
          <w:szCs w:val="23"/>
          <w:lang w:val="uk-UA"/>
        </w:rPr>
        <w:t>ому</w:t>
      </w:r>
      <w:r w:rsidRPr="003C6DAE">
        <w:rPr>
          <w:color w:val="019648"/>
          <w:sz w:val="23"/>
          <w:szCs w:val="23"/>
          <w:lang w:val="uk-UA"/>
        </w:rPr>
        <w:t xml:space="preserve"> еталонн</w:t>
      </w:r>
      <w:r w:rsidR="0066218E">
        <w:rPr>
          <w:color w:val="019648"/>
          <w:sz w:val="23"/>
          <w:szCs w:val="23"/>
          <w:lang w:val="uk-UA"/>
        </w:rPr>
        <w:t>ому</w:t>
      </w:r>
      <w:r w:rsidRPr="003C6DAE">
        <w:rPr>
          <w:color w:val="019648"/>
          <w:sz w:val="23"/>
          <w:szCs w:val="23"/>
          <w:lang w:val="uk-UA"/>
        </w:rPr>
        <w:t xml:space="preserve"> стандарт</w:t>
      </w:r>
      <w:r w:rsidR="0066218E">
        <w:rPr>
          <w:color w:val="019648"/>
          <w:sz w:val="23"/>
          <w:szCs w:val="23"/>
          <w:lang w:val="uk-UA"/>
        </w:rPr>
        <w:t>у</w:t>
      </w:r>
      <w:r w:rsidRPr="003C6DAE">
        <w:rPr>
          <w:color w:val="019648"/>
          <w:sz w:val="23"/>
          <w:szCs w:val="23"/>
          <w:lang w:val="uk-UA"/>
        </w:rPr>
        <w:t>?</w:t>
      </w:r>
    </w:p>
    <w:p w14:paraId="05750140" w14:textId="147DBAFA" w:rsidR="00E05B98" w:rsidRPr="003C6DAE" w:rsidRDefault="005E7827" w:rsidP="001178F3">
      <w:pPr>
        <w:pStyle w:val="a3"/>
        <w:spacing w:before="217" w:line="269" w:lineRule="auto"/>
        <w:ind w:left="567"/>
        <w:jc w:val="both"/>
        <w:rPr>
          <w:sz w:val="20"/>
          <w:szCs w:val="20"/>
          <w:lang w:val="uk-UA"/>
        </w:rPr>
      </w:pPr>
      <w:r w:rsidRPr="003C6DAE">
        <w:rPr>
          <w:sz w:val="20"/>
          <w:szCs w:val="20"/>
          <w:lang w:val="uk-UA"/>
        </w:rPr>
        <w:t xml:space="preserve">Із 13 досліджень (2553 учасники), під час яких </w:t>
      </w:r>
      <w:r w:rsidR="0066218E">
        <w:rPr>
          <w:sz w:val="20"/>
          <w:szCs w:val="20"/>
          <w:lang w:val="uk-UA"/>
        </w:rPr>
        <w:t>дослід</w:t>
      </w:r>
      <w:r w:rsidR="00A62F8C">
        <w:rPr>
          <w:sz w:val="20"/>
          <w:szCs w:val="20"/>
          <w:lang w:val="uk-UA"/>
        </w:rPr>
        <w:t>ж</w:t>
      </w:r>
      <w:r w:rsidR="0066218E">
        <w:rPr>
          <w:sz w:val="20"/>
          <w:szCs w:val="20"/>
          <w:lang w:val="uk-UA"/>
        </w:rPr>
        <w:t>ували</w:t>
      </w:r>
      <w:r w:rsidRPr="003C6DAE">
        <w:rPr>
          <w:sz w:val="20"/>
          <w:szCs w:val="20"/>
          <w:lang w:val="uk-UA"/>
        </w:rPr>
        <w:t xml:space="preserve"> зразки мокротиння, чутливість для визначення стійкості до рифампіцину не підлягала оцінці  для двох досліджень (</w:t>
      </w:r>
      <w:r w:rsidRPr="0066218E">
        <w:rPr>
          <w:b/>
          <w:bCs/>
          <w:sz w:val="20"/>
          <w:szCs w:val="20"/>
          <w:lang w:val="uk-UA"/>
        </w:rPr>
        <w:t>рис. 2.1.2</w:t>
      </w:r>
      <w:r w:rsidRPr="003C6DAE">
        <w:rPr>
          <w:sz w:val="20"/>
          <w:szCs w:val="20"/>
          <w:lang w:val="uk-UA"/>
        </w:rPr>
        <w:t>). Чутливість в решті 11 досліджень (2540 учасників), включених до метааналізу, становила від 53% до 100%, а специфічність – від 97% до 100%. Сумарна чутливість становила 95,1% (95% ДІ: 83,1–98,7), а сумарна специфічність становила 98,1% (95% ДІ: 97,0–98,7).</w:t>
      </w:r>
      <w:r w:rsidR="00B01E0C" w:rsidRPr="003C6DAE">
        <w:rPr>
          <w:spacing w:val="-4"/>
          <w:sz w:val="20"/>
          <w:szCs w:val="20"/>
          <w:lang w:val="uk-UA"/>
        </w:rPr>
        <w:t xml:space="preserve"> </w:t>
      </w:r>
      <w:r w:rsidR="003E1E91" w:rsidRPr="003C6DAE">
        <w:rPr>
          <w:sz w:val="20"/>
          <w:szCs w:val="20"/>
          <w:lang w:val="uk-UA"/>
        </w:rPr>
        <w:t>Тільки два з 11 включених досліджень оцінювали аналіз Truenat MTB-RIF Dx; одне з них, дослідження, проведене в одній країні, мало чутливість, що виходила за межі довірчого інтервалу (53%). Тим не менш, загалом достовірність доказів як щодо чутливості, так і специфічності була визнана високою.</w:t>
      </w:r>
    </w:p>
    <w:p w14:paraId="74BDA793" w14:textId="5F1E956C" w:rsidR="00E05B98" w:rsidRPr="003C6DAE" w:rsidRDefault="003E1E91" w:rsidP="00CB37A3">
      <w:pPr>
        <w:pStyle w:val="6"/>
        <w:spacing w:before="244" w:line="249" w:lineRule="auto"/>
        <w:rPr>
          <w:rFonts w:ascii="Microsoft Sans Serif" w:hAnsi="Microsoft Sans Serif" w:cs="Microsoft Sans Serif"/>
          <w:sz w:val="20"/>
          <w:szCs w:val="20"/>
          <w:lang w:val="uk-UA"/>
        </w:rPr>
      </w:pPr>
      <w:r w:rsidRPr="003C6DAE">
        <w:rPr>
          <w:rFonts w:ascii="Microsoft Sans Serif" w:hAnsi="Microsoft Sans Serif" w:cs="Microsoft Sans Serif"/>
          <w:color w:val="636466"/>
          <w:sz w:val="20"/>
          <w:szCs w:val="20"/>
          <w:lang w:val="uk-UA"/>
        </w:rPr>
        <w:t>Рис. 2.1.2. Лісова діаграма чутливості та специфічності аТАНК-НС для виявлення стійкості до рифампіцину при дослідженні зразків</w:t>
      </w:r>
      <w:r w:rsidR="0066218E">
        <w:rPr>
          <w:rFonts w:ascii="Microsoft Sans Serif" w:hAnsi="Microsoft Sans Serif" w:cs="Microsoft Sans Serif"/>
          <w:color w:val="636466"/>
          <w:sz w:val="20"/>
          <w:szCs w:val="20"/>
          <w:lang w:val="uk-UA"/>
        </w:rPr>
        <w:t xml:space="preserve"> із дихальних шляхів</w:t>
      </w:r>
      <w:r w:rsidRPr="003C6DAE">
        <w:rPr>
          <w:rFonts w:ascii="Microsoft Sans Serif" w:hAnsi="Microsoft Sans Serif" w:cs="Microsoft Sans Serif"/>
          <w:color w:val="636466"/>
          <w:sz w:val="20"/>
          <w:szCs w:val="20"/>
          <w:lang w:val="uk-UA"/>
        </w:rPr>
        <w:t xml:space="preserve"> і </w:t>
      </w:r>
      <w:r w:rsidR="0066218E">
        <w:rPr>
          <w:rFonts w:ascii="Microsoft Sans Serif" w:hAnsi="Microsoft Sans Serif" w:cs="Microsoft Sans Serif"/>
          <w:color w:val="636466"/>
          <w:sz w:val="20"/>
          <w:szCs w:val="20"/>
          <w:lang w:val="uk-UA"/>
        </w:rPr>
        <w:t>мікробіологічного етало</w:t>
      </w:r>
      <w:r w:rsidR="003B2827">
        <w:rPr>
          <w:rFonts w:ascii="Microsoft Sans Serif" w:hAnsi="Microsoft Sans Serif" w:cs="Microsoft Sans Serif"/>
          <w:color w:val="636466"/>
          <w:sz w:val="20"/>
          <w:szCs w:val="20"/>
          <w:lang w:val="uk-UA"/>
        </w:rPr>
        <w:t>н</w:t>
      </w:r>
      <w:r w:rsidR="0066218E">
        <w:rPr>
          <w:rFonts w:ascii="Microsoft Sans Serif" w:hAnsi="Microsoft Sans Serif" w:cs="Microsoft Sans Serif"/>
          <w:color w:val="636466"/>
          <w:sz w:val="20"/>
          <w:szCs w:val="20"/>
          <w:lang w:val="uk-UA"/>
        </w:rPr>
        <w:t xml:space="preserve">ного </w:t>
      </w:r>
      <w:r w:rsidR="003B2827">
        <w:rPr>
          <w:rFonts w:ascii="Microsoft Sans Serif" w:hAnsi="Microsoft Sans Serif" w:cs="Microsoft Sans Serif"/>
          <w:color w:val="636466"/>
          <w:sz w:val="20"/>
          <w:szCs w:val="20"/>
          <w:lang w:val="uk-UA"/>
        </w:rPr>
        <w:t>стандарту</w:t>
      </w:r>
      <w:r w:rsidR="0000617E">
        <w:rPr>
          <w:rFonts w:ascii="Microsoft Sans Serif" w:hAnsi="Microsoft Sans Serif" w:cs="Microsoft Sans Serif"/>
          <w:color w:val="636466"/>
          <w:sz w:val="20"/>
          <w:szCs w:val="20"/>
          <w:lang w:val="uk-UA"/>
        </w:rPr>
        <w:t xml:space="preserve"> </w:t>
      </w:r>
      <w:r w:rsidR="00B01E0C" w:rsidRPr="003C6DAE">
        <w:rPr>
          <w:rFonts w:ascii="Microsoft Sans Serif" w:hAnsi="Microsoft Sans Serif" w:cs="Microsoft Sans Serif"/>
          <w:color w:val="636466"/>
          <w:sz w:val="20"/>
          <w:szCs w:val="20"/>
          <w:vertAlign w:val="superscript"/>
          <w:lang w:val="uk-UA"/>
        </w:rPr>
        <w:t>a</w:t>
      </w:r>
    </w:p>
    <w:p w14:paraId="2AD29C81" w14:textId="77777777" w:rsidR="00E05B98" w:rsidRPr="003C6DAE" w:rsidRDefault="00E05B98" w:rsidP="00CB37A3">
      <w:pPr>
        <w:pStyle w:val="a3"/>
        <w:spacing w:before="66"/>
        <w:rPr>
          <w:rFonts w:ascii="Arial"/>
          <w:b/>
          <w:sz w:val="20"/>
          <w:lang w:val="uk-UA"/>
        </w:rPr>
      </w:pPr>
    </w:p>
    <w:p w14:paraId="6CCABC21" w14:textId="77777777" w:rsidR="00E05B98" w:rsidRPr="003C6DAE" w:rsidRDefault="00E05B98">
      <w:pPr>
        <w:pStyle w:val="a3"/>
        <w:rPr>
          <w:rFonts w:ascii="Arial"/>
          <w:b/>
          <w:sz w:val="20"/>
          <w:lang w:val="uk-UA"/>
        </w:rPr>
        <w:sectPr w:rsidR="00E05B98" w:rsidRPr="003C6DAE" w:rsidSect="00CB37A3">
          <w:pgSz w:w="11910" w:h="16840"/>
          <w:pgMar w:top="1300" w:right="995" w:bottom="760" w:left="850" w:header="0" w:footer="573" w:gutter="0"/>
          <w:cols w:space="720"/>
        </w:sectPr>
      </w:pPr>
    </w:p>
    <w:p w14:paraId="38A031D4" w14:textId="60BD9B74" w:rsidR="00E05B98" w:rsidRPr="003C6DAE" w:rsidRDefault="003E1E91">
      <w:pPr>
        <w:spacing w:before="109"/>
        <w:ind w:left="671"/>
        <w:rPr>
          <w:rFonts w:ascii="Trebuchet MS"/>
          <w:sz w:val="16"/>
          <w:lang w:val="uk-UA"/>
        </w:rPr>
      </w:pPr>
      <w:r w:rsidRPr="003C6DAE">
        <w:rPr>
          <w:rFonts w:ascii="Trebuchet MS"/>
          <w:noProof/>
          <w:sz w:val="16"/>
          <w:lang w:val="uk-UA"/>
        </w:rPr>
        <mc:AlternateContent>
          <mc:Choice Requires="wps">
            <w:drawing>
              <wp:anchor distT="0" distB="0" distL="114300" distR="114300" simplePos="0" relativeHeight="488087040" behindDoc="0" locked="0" layoutInCell="1" allowOverlap="1" wp14:anchorId="6501AC65" wp14:editId="322FF8F4">
                <wp:simplePos x="0" y="0"/>
                <wp:positionH relativeFrom="column">
                  <wp:posOffset>349250</wp:posOffset>
                </wp:positionH>
                <wp:positionV relativeFrom="paragraph">
                  <wp:posOffset>21590</wp:posOffset>
                </wp:positionV>
                <wp:extent cx="939800" cy="190500"/>
                <wp:effectExtent l="0" t="0" r="0" b="0"/>
                <wp:wrapNone/>
                <wp:docPr id="519809256" name="Поле 2312"/>
                <wp:cNvGraphicFramePr/>
                <a:graphic xmlns:a="http://schemas.openxmlformats.org/drawingml/2006/main">
                  <a:graphicData uri="http://schemas.microsoft.com/office/word/2010/wordprocessingShape">
                    <wps:wsp>
                      <wps:cNvSpPr txBox="1"/>
                      <wps:spPr>
                        <a:xfrm>
                          <a:off x="0" y="0"/>
                          <a:ext cx="939800" cy="190500"/>
                        </a:xfrm>
                        <a:prstGeom prst="rect">
                          <a:avLst/>
                        </a:prstGeom>
                        <a:solidFill>
                          <a:schemeClr val="bg1"/>
                        </a:solidFill>
                        <a:ln w="6350">
                          <a:noFill/>
                        </a:ln>
                      </wps:spPr>
                      <wps:txbx>
                        <w:txbxContent>
                          <w:p w14:paraId="139DC4F0" w14:textId="60AEBF58" w:rsidR="007372B2" w:rsidRPr="003E1E91" w:rsidRDefault="007372B2">
                            <w:pPr>
                              <w:rPr>
                                <w:rFonts w:ascii="Trebuchet MS" w:hAnsi="Trebuchet MS"/>
                                <w:sz w:val="13"/>
                                <w:szCs w:val="13"/>
                                <w:lang w:val="uk-UA"/>
                              </w:rPr>
                            </w:pPr>
                            <w:r w:rsidRPr="003E1E91">
                              <w:rPr>
                                <w:rFonts w:ascii="Trebuchet MS" w:hAnsi="Trebuchet MS"/>
                                <w:sz w:val="13"/>
                                <w:szCs w:val="13"/>
                                <w:lang w:val="uk-UA"/>
                              </w:rPr>
                              <w:t>Дослідження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01AC65" id="Поле 2312" o:spid="_x0000_s1079" type="#_x0000_t202" style="position:absolute;left:0;text-align:left;margin-left:27.5pt;margin-top:1.7pt;width:74pt;height:15pt;z-index:48808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" fillcolor="white [3212]" stroked="f" strokeweight=".5pt">
                <v:textbox>
                  <w:txbxContent>
                    <w:p w14:paraId="139DC4F0" w14:textId="60AEBF58" w:rsidR="007372B2" w:rsidRPr="003E1E91" w:rsidRDefault="007372B2">
                      <w:pPr>
                        <w:rPr>
                          <w:rFonts w:ascii="Trebuchet MS" w:hAnsi="Trebuchet MS"/>
                          <w:sz w:val="13"/>
                          <w:szCs w:val="13"/>
                          <w:lang w:val="uk-UA"/>
                        </w:rPr>
                      </w:pPr>
                      <w:r w:rsidRPr="003E1E91">
                        <w:rPr>
                          <w:rFonts w:ascii="Trebuchet MS" w:hAnsi="Trebuchet MS"/>
                          <w:sz w:val="13"/>
                          <w:szCs w:val="13"/>
                          <w:lang w:val="uk-UA"/>
                        </w:rPr>
                        <w:t>Дослідження</w:t>
                      </w:r>
                    </w:p>
                  </w:txbxContent>
                </v:textbox>
              </v:shape>
            </w:pict>
          </mc:Fallback>
        </mc:AlternateContent>
      </w:r>
      <w:r w:rsidR="00B01E0C" w:rsidRPr="003C6DAE">
        <w:rPr>
          <w:rFonts w:ascii="Trebuchet MS"/>
          <w:noProof/>
          <w:sz w:val="16"/>
          <w:lang w:val="uk-UA"/>
        </w:rPr>
        <mc:AlternateContent>
          <mc:Choice Requires="wpg">
            <w:drawing>
              <wp:anchor distT="0" distB="0" distL="0" distR="0" simplePos="0" relativeHeight="15832576" behindDoc="0" locked="0" layoutInCell="1" allowOverlap="1" wp14:anchorId="55345A6D" wp14:editId="17D00FCE">
                <wp:simplePos x="0" y="0"/>
                <wp:positionH relativeFrom="page">
                  <wp:posOffset>5067739</wp:posOffset>
                </wp:positionH>
                <wp:positionV relativeFrom="paragraph">
                  <wp:posOffset>657800</wp:posOffset>
                </wp:positionV>
                <wp:extent cx="694055" cy="62230"/>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055" cy="62230"/>
                          <a:chOff x="0" y="0"/>
                          <a:chExt cx="694055" cy="62230"/>
                        </a:xfrm>
                      </wpg:grpSpPr>
                      <wps:wsp>
                        <wps:cNvPr id="400" name="Graphic 400"/>
                        <wps:cNvSpPr/>
                        <wps:spPr>
                          <a:xfrm>
                            <a:off x="0" y="26422"/>
                            <a:ext cx="668020" cy="1270"/>
                          </a:xfrm>
                          <a:custGeom>
                            <a:avLst/>
                            <a:gdLst/>
                            <a:ahLst/>
                            <a:cxnLst/>
                            <a:rect l="l" t="t" r="r" b="b"/>
                            <a:pathLst>
                              <a:path w="668020">
                                <a:moveTo>
                                  <a:pt x="0" y="0"/>
                                </a:moveTo>
                                <a:lnTo>
                                  <a:pt x="667485" y="0"/>
                                </a:lnTo>
                              </a:path>
                            </a:pathLst>
                          </a:custGeom>
                          <a:ln w="8807">
                            <a:solidFill>
                              <a:srgbClr val="000000"/>
                            </a:solidFill>
                            <a:prstDash val="solid"/>
                          </a:ln>
                        </wps:spPr>
                        <wps:bodyPr wrap="square" lIns="0" tIns="0" rIns="0" bIns="0" rtlCol="0">
                          <a:prstTxWarp prst="textNoShape">
                            <a:avLst/>
                          </a:prstTxWarp>
                          <a:noAutofit/>
                        </wps:bodyPr>
                      </wps:wsp>
                      <wps:wsp>
                        <wps:cNvPr id="401" name="Graphic 401"/>
                        <wps:cNvSpPr/>
                        <wps:spPr>
                          <a:xfrm>
                            <a:off x="647668" y="0"/>
                            <a:ext cx="46355" cy="62230"/>
                          </a:xfrm>
                          <a:custGeom>
                            <a:avLst/>
                            <a:gdLst/>
                            <a:ahLst/>
                            <a:cxnLst/>
                            <a:rect l="l" t="t" r="r" b="b"/>
                            <a:pathLst>
                              <a:path w="46355" h="62230">
                                <a:moveTo>
                                  <a:pt x="46239" y="61652"/>
                                </a:moveTo>
                                <a:lnTo>
                                  <a:pt x="0" y="61652"/>
                                </a:lnTo>
                                <a:lnTo>
                                  <a:pt x="0" y="0"/>
                                </a:lnTo>
                                <a:lnTo>
                                  <a:pt x="46239" y="0"/>
                                </a:lnTo>
                                <a:lnTo>
                                  <a:pt x="46239" y="61652"/>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CA8DE42" id="Group 399" o:spid="_x0000_s1026" style="position:absolute;margin-left:399.05pt;margin-top:51.8pt;width:54.65pt;height:4.9pt;z-index:15832576;mso-wrap-distance-left:0;mso-wrap-distance-right:0;mso-position-horizontal-relative:page" coordsize="694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">
                <v:shape id="Graphic 400" o:spid="_x0000_s1027" style="position:absolute;top:264;width:6680;height:12;visibility:visible;mso-wrap-style:square;v-text-anchor:top" coordsize="66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" path="m,l667485,e" filled="f" strokeweight=".24464mm">
                  <v:path arrowok="t"/>
                </v:shape>
                <v:shape id="Graphic 401" o:spid="_x0000_s1028" style="position:absolute;left:6476;width:464;height:622;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" path="m46239,61652l,61652,,,46239,r,61652xe" fillcolor="#0000c0" stroked="f">
                  <v:path arrowok="t"/>
                </v:shape>
                <w10:wrap anchorx="page"/>
              </v:group>
            </w:pict>
          </mc:Fallback>
        </mc:AlternateContent>
      </w:r>
      <w:r w:rsidR="00B01E0C" w:rsidRPr="003C6DAE">
        <w:rPr>
          <w:rFonts w:ascii="Trebuchet MS"/>
          <w:color w:val="333333"/>
          <w:w w:val="75"/>
          <w:sz w:val="16"/>
          <w:lang w:val="uk-UA"/>
        </w:rPr>
        <w:t>S</w:t>
      </w:r>
      <w:r w:rsidR="00B01E0C" w:rsidRPr="003C6DAE">
        <w:rPr>
          <w:rFonts w:ascii="Trebuchet MS"/>
          <w:color w:val="333333"/>
          <w:spacing w:val="-12"/>
          <w:w w:val="75"/>
          <w:sz w:val="16"/>
          <w:lang w:val="uk-UA"/>
        </w:rPr>
        <w:t xml:space="preserve"> </w:t>
      </w:r>
      <w:proofErr w:type="spellStart"/>
      <w:r w:rsidR="00B01E0C" w:rsidRPr="003C6DAE">
        <w:rPr>
          <w:rFonts w:ascii="Trebuchet MS"/>
          <w:color w:val="333333"/>
          <w:spacing w:val="-4"/>
          <w:w w:val="85"/>
          <w:sz w:val="16"/>
          <w:lang w:val="uk-UA"/>
        </w:rPr>
        <w:t>tudy</w:t>
      </w:r>
      <w:proofErr w:type="spellEnd"/>
    </w:p>
    <w:p w14:paraId="74A464F5" w14:textId="77777777" w:rsidR="00E05B98" w:rsidRPr="003C6DAE" w:rsidRDefault="00B01E0C">
      <w:pPr>
        <w:spacing w:before="109"/>
        <w:ind w:left="671"/>
        <w:rPr>
          <w:rFonts w:ascii="Trebuchet MS"/>
          <w:sz w:val="16"/>
          <w:lang w:val="uk-UA"/>
        </w:rPr>
      </w:pPr>
      <w:r w:rsidRPr="003C6DAE">
        <w:rPr>
          <w:lang w:val="uk-UA"/>
        </w:rPr>
        <w:br w:type="column"/>
      </w:r>
      <w:r w:rsidRPr="003C6DAE">
        <w:rPr>
          <w:rFonts w:ascii="Trebuchet MS"/>
          <w:color w:val="333333"/>
          <w:w w:val="85"/>
          <w:sz w:val="16"/>
          <w:lang w:val="uk-UA"/>
        </w:rPr>
        <w:t>TP</w:t>
      </w:r>
      <w:r w:rsidRPr="003C6DAE">
        <w:rPr>
          <w:rFonts w:ascii="Trebuchet MS"/>
          <w:color w:val="333333"/>
          <w:spacing w:val="71"/>
          <w:sz w:val="16"/>
          <w:lang w:val="uk-UA"/>
        </w:rPr>
        <w:t xml:space="preserve"> </w:t>
      </w:r>
      <w:r w:rsidRPr="003C6DAE">
        <w:rPr>
          <w:rFonts w:ascii="Trebuchet MS"/>
          <w:color w:val="333333"/>
          <w:w w:val="85"/>
          <w:sz w:val="16"/>
          <w:lang w:val="uk-UA"/>
        </w:rPr>
        <w:t>FP</w:t>
      </w:r>
      <w:r w:rsidRPr="003C6DAE">
        <w:rPr>
          <w:rFonts w:ascii="Trebuchet MS"/>
          <w:color w:val="333333"/>
          <w:spacing w:val="63"/>
          <w:sz w:val="16"/>
          <w:lang w:val="uk-UA"/>
        </w:rPr>
        <w:t xml:space="preserve"> </w:t>
      </w:r>
      <w:r w:rsidRPr="003C6DAE">
        <w:rPr>
          <w:rFonts w:ascii="Trebuchet MS"/>
          <w:color w:val="333333"/>
          <w:w w:val="85"/>
          <w:sz w:val="16"/>
          <w:lang w:val="uk-UA"/>
        </w:rPr>
        <w:t>FN</w:t>
      </w:r>
      <w:r w:rsidRPr="003C6DAE">
        <w:rPr>
          <w:rFonts w:ascii="Trebuchet MS"/>
          <w:color w:val="333333"/>
          <w:spacing w:val="63"/>
          <w:w w:val="150"/>
          <w:sz w:val="16"/>
          <w:lang w:val="uk-UA"/>
        </w:rPr>
        <w:t xml:space="preserve"> </w:t>
      </w:r>
      <w:r w:rsidRPr="003C6DAE">
        <w:rPr>
          <w:rFonts w:ascii="Trebuchet MS"/>
          <w:color w:val="333333"/>
          <w:spacing w:val="8"/>
          <w:w w:val="85"/>
          <w:sz w:val="16"/>
          <w:lang w:val="uk-UA"/>
        </w:rPr>
        <w:t>TN</w:t>
      </w:r>
    </w:p>
    <w:p w14:paraId="61C20E20" w14:textId="14A6F7F2" w:rsidR="00E05B98" w:rsidRPr="003C6DAE" w:rsidRDefault="00B01E0C" w:rsidP="0017456D">
      <w:pPr>
        <w:spacing w:before="109"/>
        <w:ind w:left="142"/>
        <w:jc w:val="center"/>
        <w:rPr>
          <w:rFonts w:ascii="Trebuchet MS"/>
          <w:sz w:val="16"/>
          <w:lang w:val="uk-UA"/>
        </w:rPr>
      </w:pPr>
      <w:r w:rsidRPr="003C6DAE">
        <w:rPr>
          <w:lang w:val="uk-UA"/>
        </w:rPr>
        <w:br w:type="column"/>
      </w:r>
      <w:r w:rsidR="003E1E91" w:rsidRPr="003C6DAE">
        <w:rPr>
          <w:rFonts w:ascii="Trebuchet MS"/>
          <w:color w:val="333333"/>
          <w:w w:val="70"/>
          <w:sz w:val="16"/>
          <w:lang w:val="uk-UA"/>
        </w:rPr>
        <w:t>Бренд</w:t>
      </w:r>
      <w:r w:rsidR="0017456D">
        <w:rPr>
          <w:rFonts w:ascii="Trebuchet MS"/>
          <w:color w:val="333333"/>
          <w:w w:val="70"/>
          <w:sz w:val="16"/>
          <w:lang w:val="uk-UA"/>
        </w:rPr>
        <w:t xml:space="preserve"> </w:t>
      </w:r>
      <w:r w:rsidR="0017456D">
        <w:rPr>
          <w:rFonts w:ascii="Trebuchet MS"/>
          <w:color w:val="333333"/>
          <w:w w:val="70"/>
          <w:sz w:val="16"/>
          <w:lang w:val="uk-UA"/>
        </w:rPr>
        <w:t>тесту</w:t>
      </w:r>
    </w:p>
    <w:p w14:paraId="6CA4DD08" w14:textId="5BBBF73D" w:rsidR="00E05B98" w:rsidRPr="003C6DAE" w:rsidRDefault="00B01E0C" w:rsidP="003E1E91">
      <w:pPr>
        <w:spacing w:before="109"/>
        <w:ind w:left="426" w:hanging="426"/>
        <w:rPr>
          <w:rFonts w:ascii="Trebuchet MS"/>
          <w:sz w:val="16"/>
          <w:lang w:val="uk-UA"/>
        </w:rPr>
      </w:pPr>
      <w:r w:rsidRPr="003C6DAE">
        <w:rPr>
          <w:lang w:val="uk-UA"/>
        </w:rPr>
        <w:br w:type="column"/>
      </w:r>
      <w:r w:rsidR="003E1E91" w:rsidRPr="003C6DAE">
        <w:rPr>
          <w:lang w:val="uk-UA"/>
        </w:rPr>
        <w:t xml:space="preserve">       </w:t>
      </w:r>
      <w:r w:rsidR="003E1E91" w:rsidRPr="003C6DAE">
        <w:rPr>
          <w:rFonts w:ascii="Trebuchet MS"/>
          <w:color w:val="333333"/>
          <w:w w:val="75"/>
          <w:sz w:val="16"/>
          <w:lang w:val="uk-UA"/>
        </w:rPr>
        <w:t>Чутливість</w:t>
      </w:r>
      <w:r w:rsidRPr="003C6DAE">
        <w:rPr>
          <w:rFonts w:ascii="Trebuchet MS"/>
          <w:color w:val="333333"/>
          <w:spacing w:val="6"/>
          <w:sz w:val="16"/>
          <w:lang w:val="uk-UA"/>
        </w:rPr>
        <w:t xml:space="preserve"> </w:t>
      </w:r>
      <w:r w:rsidRPr="003C6DAE">
        <w:rPr>
          <w:rFonts w:ascii="Trebuchet MS"/>
          <w:color w:val="333333"/>
          <w:spacing w:val="72"/>
          <w:sz w:val="16"/>
          <w:lang w:val="uk-UA"/>
        </w:rPr>
        <w:t xml:space="preserve"> </w:t>
      </w:r>
      <w:r w:rsidR="003E1E91" w:rsidRPr="003C6DAE">
        <w:rPr>
          <w:rFonts w:ascii="Trebuchet MS"/>
          <w:color w:val="333333"/>
          <w:spacing w:val="72"/>
          <w:sz w:val="16"/>
          <w:lang w:val="uk-UA"/>
        </w:rPr>
        <w:t xml:space="preserve">   </w:t>
      </w:r>
      <w:r w:rsidR="003E1E91" w:rsidRPr="003C6DAE">
        <w:rPr>
          <w:rFonts w:ascii="Trebuchet MS"/>
          <w:color w:val="333333"/>
          <w:w w:val="75"/>
          <w:sz w:val="16"/>
          <w:lang w:val="uk-UA"/>
        </w:rPr>
        <w:t>Специфічність</w:t>
      </w:r>
      <w:r w:rsidR="003E1E91" w:rsidRPr="003C6DAE">
        <w:rPr>
          <w:rFonts w:ascii="Trebuchet MS"/>
          <w:color w:val="333333"/>
          <w:w w:val="75"/>
          <w:sz w:val="16"/>
          <w:lang w:val="uk-UA"/>
        </w:rPr>
        <w:t xml:space="preserve"> </w:t>
      </w:r>
      <w:r w:rsidRPr="003C6DAE">
        <w:rPr>
          <w:rFonts w:ascii="Trebuchet MS"/>
          <w:color w:val="333333"/>
          <w:spacing w:val="6"/>
          <w:sz w:val="16"/>
          <w:lang w:val="uk-UA"/>
        </w:rPr>
        <w:t xml:space="preserve"> </w:t>
      </w:r>
      <w:r w:rsidR="003E1E91" w:rsidRPr="003C6DAE">
        <w:rPr>
          <w:rFonts w:ascii="Trebuchet MS"/>
          <w:color w:val="333333"/>
          <w:spacing w:val="6"/>
          <w:sz w:val="16"/>
          <w:lang w:val="uk-UA"/>
        </w:rPr>
        <w:t xml:space="preserve">        </w:t>
      </w:r>
      <w:r w:rsidRPr="003C6DAE">
        <w:rPr>
          <w:rFonts w:ascii="Trebuchet MS"/>
          <w:color w:val="333333"/>
          <w:w w:val="75"/>
          <w:sz w:val="16"/>
          <w:lang w:val="uk-UA"/>
        </w:rPr>
        <w:t>(95%</w:t>
      </w:r>
      <w:r w:rsidRPr="003C6DAE">
        <w:rPr>
          <w:rFonts w:ascii="Trebuchet MS"/>
          <w:color w:val="333333"/>
          <w:spacing w:val="9"/>
          <w:sz w:val="16"/>
          <w:lang w:val="uk-UA"/>
        </w:rPr>
        <w:t xml:space="preserve"> </w:t>
      </w:r>
      <w:r w:rsidR="003E1E91" w:rsidRPr="003C6DAE">
        <w:rPr>
          <w:rFonts w:ascii="Trebuchet MS"/>
          <w:color w:val="333333"/>
          <w:w w:val="75"/>
          <w:sz w:val="16"/>
          <w:lang w:val="uk-UA"/>
        </w:rPr>
        <w:t>ДІ</w:t>
      </w:r>
      <w:r w:rsidRPr="003C6DAE">
        <w:rPr>
          <w:rFonts w:ascii="Trebuchet MS"/>
          <w:color w:val="333333"/>
          <w:spacing w:val="-5"/>
          <w:w w:val="75"/>
          <w:sz w:val="16"/>
          <w:lang w:val="uk-UA"/>
        </w:rPr>
        <w:t>I)</w:t>
      </w:r>
      <w:r w:rsidR="003E1E91" w:rsidRPr="003C6DAE">
        <w:rPr>
          <w:rFonts w:ascii="Trebuchet MS"/>
          <w:color w:val="333333"/>
          <w:spacing w:val="-5"/>
          <w:w w:val="75"/>
          <w:sz w:val="16"/>
          <w:lang w:val="uk-UA"/>
        </w:rPr>
        <w:t xml:space="preserve">                         </w:t>
      </w:r>
      <w:r w:rsidR="003E1E91" w:rsidRPr="003C6DAE">
        <w:rPr>
          <w:rFonts w:ascii="Trebuchet MS"/>
          <w:color w:val="333333"/>
          <w:w w:val="75"/>
          <w:sz w:val="16"/>
          <w:lang w:val="uk-UA"/>
        </w:rPr>
        <w:t>(95%</w:t>
      </w:r>
      <w:r w:rsidR="003E1E91" w:rsidRPr="003C6DAE">
        <w:rPr>
          <w:rFonts w:ascii="Trebuchet MS"/>
          <w:color w:val="333333"/>
          <w:spacing w:val="9"/>
          <w:sz w:val="16"/>
          <w:lang w:val="uk-UA"/>
        </w:rPr>
        <w:t xml:space="preserve"> </w:t>
      </w:r>
      <w:r w:rsidR="003E1E91" w:rsidRPr="003C6DAE">
        <w:rPr>
          <w:rFonts w:ascii="Trebuchet MS"/>
          <w:color w:val="333333"/>
          <w:w w:val="75"/>
          <w:sz w:val="16"/>
          <w:lang w:val="uk-UA"/>
        </w:rPr>
        <w:t>Д</w:t>
      </w:r>
      <w:r w:rsidR="003E1E91" w:rsidRPr="003C6DAE">
        <w:rPr>
          <w:rFonts w:ascii="Trebuchet MS"/>
          <w:color w:val="333333"/>
          <w:w w:val="75"/>
          <w:sz w:val="16"/>
          <w:lang w:val="uk-UA"/>
        </w:rPr>
        <w:t>I)</w:t>
      </w:r>
    </w:p>
    <w:p w14:paraId="0BC05BF8" w14:textId="10D7BE1D" w:rsidR="00E05B98" w:rsidRPr="003C6DAE" w:rsidRDefault="00B01E0C">
      <w:pPr>
        <w:spacing w:before="109"/>
        <w:ind w:left="79"/>
        <w:rPr>
          <w:rFonts w:ascii="Trebuchet MS"/>
          <w:sz w:val="16"/>
          <w:lang w:val="uk-UA"/>
        </w:rPr>
      </w:pPr>
      <w:r w:rsidRPr="003C6DAE">
        <w:rPr>
          <w:lang w:val="uk-UA"/>
        </w:rPr>
        <w:br w:type="column"/>
      </w:r>
      <w:r w:rsidR="003E1E91" w:rsidRPr="003C6DAE">
        <w:rPr>
          <w:rFonts w:ascii="Trebuchet MS"/>
          <w:color w:val="333333"/>
          <w:w w:val="75"/>
          <w:sz w:val="16"/>
          <w:lang w:val="uk-UA"/>
        </w:rPr>
        <w:t>Чутливість</w:t>
      </w:r>
      <w:r w:rsidRPr="003C6DAE">
        <w:rPr>
          <w:rFonts w:ascii="Trebuchet MS"/>
          <w:color w:val="333333"/>
          <w:spacing w:val="9"/>
          <w:sz w:val="16"/>
          <w:lang w:val="uk-UA"/>
        </w:rPr>
        <w:t xml:space="preserve"> </w:t>
      </w:r>
      <w:r w:rsidRPr="003C6DAE">
        <w:rPr>
          <w:rFonts w:ascii="Trebuchet MS"/>
          <w:color w:val="333333"/>
          <w:w w:val="75"/>
          <w:sz w:val="16"/>
          <w:lang w:val="uk-UA"/>
        </w:rPr>
        <w:t>(95%</w:t>
      </w:r>
      <w:r w:rsidRPr="003C6DAE">
        <w:rPr>
          <w:rFonts w:ascii="Trebuchet MS"/>
          <w:color w:val="333333"/>
          <w:spacing w:val="12"/>
          <w:sz w:val="16"/>
          <w:lang w:val="uk-UA"/>
        </w:rPr>
        <w:t xml:space="preserve"> </w:t>
      </w:r>
      <w:r w:rsidR="003E1E91" w:rsidRPr="003C6DAE">
        <w:rPr>
          <w:rFonts w:ascii="Trebuchet MS"/>
          <w:color w:val="333333"/>
          <w:w w:val="75"/>
          <w:sz w:val="16"/>
          <w:lang w:val="uk-UA"/>
        </w:rPr>
        <w:t>ДІ</w:t>
      </w:r>
      <w:r w:rsidRPr="003C6DAE">
        <w:rPr>
          <w:rFonts w:ascii="Trebuchet MS"/>
          <w:color w:val="333333"/>
          <w:spacing w:val="-5"/>
          <w:w w:val="75"/>
          <w:sz w:val="16"/>
          <w:lang w:val="uk-UA"/>
        </w:rPr>
        <w:t>)</w:t>
      </w:r>
    </w:p>
    <w:p w14:paraId="6D94E779" w14:textId="1DDD1937" w:rsidR="00E05B98" w:rsidRPr="003C6DAE" w:rsidRDefault="00B01E0C">
      <w:pPr>
        <w:spacing w:before="109"/>
        <w:ind w:left="167"/>
        <w:rPr>
          <w:rFonts w:ascii="Trebuchet MS"/>
          <w:sz w:val="16"/>
          <w:lang w:val="uk-UA"/>
        </w:rPr>
      </w:pPr>
      <w:r w:rsidRPr="003C6DAE">
        <w:rPr>
          <w:lang w:val="uk-UA"/>
        </w:rPr>
        <w:br w:type="column"/>
      </w:r>
      <w:r w:rsidR="003E1E91" w:rsidRPr="003C6DAE">
        <w:rPr>
          <w:rFonts w:ascii="Trebuchet MS"/>
          <w:color w:val="333333"/>
          <w:w w:val="75"/>
          <w:sz w:val="16"/>
          <w:lang w:val="uk-UA"/>
        </w:rPr>
        <w:t>Специфічність</w:t>
      </w:r>
      <w:r w:rsidRPr="003C6DAE">
        <w:rPr>
          <w:rFonts w:ascii="Trebuchet MS"/>
          <w:color w:val="333333"/>
          <w:spacing w:val="15"/>
          <w:sz w:val="16"/>
          <w:lang w:val="uk-UA"/>
        </w:rPr>
        <w:t xml:space="preserve"> </w:t>
      </w:r>
      <w:r w:rsidRPr="003C6DAE">
        <w:rPr>
          <w:rFonts w:ascii="Trebuchet MS"/>
          <w:color w:val="333333"/>
          <w:w w:val="75"/>
          <w:sz w:val="16"/>
          <w:lang w:val="uk-UA"/>
        </w:rPr>
        <w:t>(95%</w:t>
      </w:r>
      <w:r w:rsidRPr="003C6DAE">
        <w:rPr>
          <w:rFonts w:ascii="Trebuchet MS"/>
          <w:color w:val="333333"/>
          <w:spacing w:val="17"/>
          <w:sz w:val="16"/>
          <w:lang w:val="uk-UA"/>
        </w:rPr>
        <w:t xml:space="preserve"> </w:t>
      </w:r>
      <w:r w:rsidR="003E1E91" w:rsidRPr="003C6DAE">
        <w:rPr>
          <w:rFonts w:ascii="Trebuchet MS"/>
          <w:color w:val="333333"/>
          <w:w w:val="75"/>
          <w:sz w:val="16"/>
          <w:lang w:val="uk-UA"/>
        </w:rPr>
        <w:t>ДІ</w:t>
      </w:r>
      <w:r w:rsidRPr="003C6DAE">
        <w:rPr>
          <w:rFonts w:ascii="Trebuchet MS"/>
          <w:color w:val="333333"/>
          <w:spacing w:val="-5"/>
          <w:w w:val="75"/>
          <w:sz w:val="16"/>
          <w:lang w:val="uk-UA"/>
        </w:rPr>
        <w:t>)</w:t>
      </w:r>
    </w:p>
    <w:p w14:paraId="0480F782" w14:textId="77777777" w:rsidR="00E05B98" w:rsidRPr="003C6DAE" w:rsidRDefault="00E05B98">
      <w:pPr>
        <w:rPr>
          <w:rFonts w:ascii="Trebuchet MS"/>
          <w:sz w:val="16"/>
          <w:lang w:val="uk-UA"/>
        </w:rPr>
        <w:sectPr w:rsidR="00E05B98" w:rsidRPr="003C6DAE">
          <w:type w:val="continuous"/>
          <w:pgSz w:w="11910" w:h="16840"/>
          <w:pgMar w:top="1920" w:right="1275" w:bottom="280" w:left="850" w:header="0" w:footer="573" w:gutter="0"/>
          <w:cols w:num="6" w:space="720" w:equalWidth="0">
            <w:col w:w="1047" w:space="399"/>
            <w:col w:w="1716" w:space="177"/>
            <w:col w:w="1032" w:space="40"/>
            <w:col w:w="2477" w:space="39"/>
            <w:col w:w="1219" w:space="40"/>
            <w:col w:w="1599"/>
          </w:cols>
        </w:sectPr>
      </w:pPr>
    </w:p>
    <w:p w14:paraId="62A3F517" w14:textId="788BD399" w:rsidR="00E05B98" w:rsidRPr="003C6DAE" w:rsidRDefault="00B01E0C">
      <w:pPr>
        <w:spacing w:before="65"/>
        <w:ind w:left="671"/>
        <w:rPr>
          <w:rFonts w:ascii="Trebuchet MS"/>
          <w:sz w:val="16"/>
          <w:lang w:val="uk-UA"/>
        </w:rPr>
      </w:pPr>
      <w:proofErr w:type="spellStart"/>
      <w:r w:rsidRPr="003C6DAE">
        <w:rPr>
          <w:rFonts w:ascii="Trebuchet MS"/>
          <w:w w:val="70"/>
          <w:sz w:val="16"/>
          <w:lang w:val="uk-UA"/>
        </w:rPr>
        <w:t>Gomathi</w:t>
      </w:r>
      <w:proofErr w:type="spellEnd"/>
      <w:r w:rsidRPr="003C6DAE">
        <w:rPr>
          <w:rFonts w:ascii="Trebuchet MS"/>
          <w:spacing w:val="1"/>
          <w:sz w:val="16"/>
          <w:lang w:val="uk-UA"/>
        </w:rPr>
        <w:t xml:space="preserve"> </w:t>
      </w:r>
      <w:r w:rsidRPr="003C6DAE">
        <w:rPr>
          <w:rFonts w:ascii="Trebuchet MS"/>
          <w:spacing w:val="-4"/>
          <w:w w:val="70"/>
          <w:sz w:val="16"/>
          <w:lang w:val="uk-UA"/>
        </w:rPr>
        <w:t>2020</w:t>
      </w:r>
    </w:p>
    <w:p w14:paraId="46FE5C68" w14:textId="2741849A" w:rsidR="00E05B98" w:rsidRPr="003C6DAE" w:rsidRDefault="00B01E0C">
      <w:pPr>
        <w:spacing w:before="36" w:line="285" w:lineRule="auto"/>
        <w:ind w:left="671"/>
        <w:rPr>
          <w:rFonts w:ascii="Trebuchet MS"/>
          <w:sz w:val="16"/>
          <w:lang w:val="uk-UA"/>
        </w:rPr>
      </w:pPr>
      <w:proofErr w:type="spellStart"/>
      <w:r w:rsidRPr="003C6DAE">
        <w:rPr>
          <w:rFonts w:ascii="Trebuchet MS"/>
          <w:w w:val="75"/>
          <w:sz w:val="16"/>
          <w:lang w:val="uk-UA"/>
        </w:rPr>
        <w:t>Penn-Nicholson</w:t>
      </w:r>
      <w:proofErr w:type="spellEnd"/>
      <w:r w:rsidRPr="003C6DAE">
        <w:rPr>
          <w:rFonts w:ascii="Trebuchet MS"/>
          <w:w w:val="75"/>
          <w:sz w:val="16"/>
          <w:lang w:val="uk-UA"/>
        </w:rPr>
        <w:t xml:space="preserve"> 2021</w:t>
      </w:r>
      <w:r w:rsidRPr="003C6DAE">
        <w:rPr>
          <w:rFonts w:ascii="Trebuchet MS"/>
          <w:sz w:val="16"/>
          <w:lang w:val="uk-UA"/>
        </w:rPr>
        <w:t xml:space="preserve"> </w:t>
      </w:r>
      <w:proofErr w:type="spellStart"/>
      <w:r w:rsidRPr="003C6DAE">
        <w:rPr>
          <w:rFonts w:ascii="Trebuchet MS"/>
          <w:spacing w:val="4"/>
          <w:w w:val="70"/>
          <w:sz w:val="16"/>
          <w:lang w:val="uk-UA"/>
        </w:rPr>
        <w:t>Aguilera-Alonso</w:t>
      </w:r>
      <w:proofErr w:type="spellEnd"/>
      <w:r w:rsidRPr="003C6DAE">
        <w:rPr>
          <w:rFonts w:ascii="Trebuchet MS"/>
          <w:spacing w:val="10"/>
          <w:sz w:val="16"/>
          <w:lang w:val="uk-UA"/>
        </w:rPr>
        <w:t xml:space="preserve"> </w:t>
      </w:r>
      <w:r w:rsidRPr="003C6DAE">
        <w:rPr>
          <w:rFonts w:ascii="Trebuchet MS"/>
          <w:spacing w:val="-4"/>
          <w:w w:val="70"/>
          <w:sz w:val="16"/>
          <w:lang w:val="uk-UA"/>
        </w:rPr>
        <w:t>2022</w:t>
      </w:r>
    </w:p>
    <w:p w14:paraId="272BCE96" w14:textId="1788D0B4" w:rsidR="00E05B98" w:rsidRPr="003C6DAE" w:rsidRDefault="00B01E0C">
      <w:pPr>
        <w:spacing w:before="2"/>
        <w:ind w:left="671"/>
        <w:rPr>
          <w:rFonts w:ascii="Trebuchet MS"/>
          <w:sz w:val="16"/>
          <w:lang w:val="uk-UA"/>
        </w:rPr>
      </w:pPr>
      <w:proofErr w:type="spellStart"/>
      <w:r w:rsidRPr="003C6DAE">
        <w:rPr>
          <w:rFonts w:ascii="Trebuchet MS"/>
          <w:w w:val="70"/>
          <w:sz w:val="16"/>
          <w:lang w:val="uk-UA"/>
        </w:rPr>
        <w:t>Berhanu</w:t>
      </w:r>
      <w:proofErr w:type="spellEnd"/>
      <w:r w:rsidRPr="003C6DAE">
        <w:rPr>
          <w:rFonts w:ascii="Trebuchet MS"/>
          <w:spacing w:val="12"/>
          <w:sz w:val="16"/>
          <w:lang w:val="uk-UA"/>
        </w:rPr>
        <w:t xml:space="preserve"> </w:t>
      </w:r>
      <w:r w:rsidRPr="003C6DAE">
        <w:rPr>
          <w:rFonts w:ascii="Trebuchet MS"/>
          <w:spacing w:val="-4"/>
          <w:w w:val="70"/>
          <w:sz w:val="16"/>
          <w:lang w:val="uk-UA"/>
        </w:rPr>
        <w:t>2018</w:t>
      </w:r>
    </w:p>
    <w:p w14:paraId="56A10AEF" w14:textId="0A3FE99F" w:rsidR="00E05B98" w:rsidRPr="003C6DAE" w:rsidRDefault="00B01E0C">
      <w:pPr>
        <w:spacing w:before="36" w:line="285" w:lineRule="auto"/>
        <w:ind w:left="671" w:right="176"/>
        <w:rPr>
          <w:rFonts w:ascii="Trebuchet MS"/>
          <w:sz w:val="16"/>
          <w:lang w:val="uk-UA"/>
        </w:rPr>
      </w:pPr>
      <w:proofErr w:type="spellStart"/>
      <w:r w:rsidRPr="003C6DAE">
        <w:rPr>
          <w:rFonts w:ascii="Trebuchet MS"/>
          <w:w w:val="75"/>
          <w:sz w:val="16"/>
          <w:lang w:val="uk-UA"/>
        </w:rPr>
        <w:t>Chakravorty</w:t>
      </w:r>
      <w:proofErr w:type="spellEnd"/>
      <w:r w:rsidRPr="003C6DAE">
        <w:rPr>
          <w:rFonts w:ascii="Trebuchet MS"/>
          <w:spacing w:val="-12"/>
          <w:sz w:val="16"/>
          <w:lang w:val="uk-UA"/>
        </w:rPr>
        <w:t xml:space="preserve"> </w:t>
      </w:r>
      <w:r w:rsidRPr="003C6DAE">
        <w:rPr>
          <w:rFonts w:ascii="Trebuchet MS"/>
          <w:w w:val="75"/>
          <w:sz w:val="16"/>
          <w:lang w:val="uk-UA"/>
        </w:rPr>
        <w:t>2017</w:t>
      </w:r>
      <w:r w:rsidRPr="003C6DAE">
        <w:rPr>
          <w:rFonts w:ascii="Trebuchet MS"/>
          <w:w w:val="85"/>
          <w:sz w:val="16"/>
          <w:lang w:val="uk-UA"/>
        </w:rPr>
        <w:t xml:space="preserve"> </w:t>
      </w:r>
      <w:proofErr w:type="spellStart"/>
      <w:r w:rsidRPr="003C6DAE">
        <w:rPr>
          <w:rFonts w:ascii="Trebuchet MS"/>
          <w:w w:val="85"/>
          <w:sz w:val="16"/>
          <w:lang w:val="uk-UA"/>
        </w:rPr>
        <w:t>Chien</w:t>
      </w:r>
      <w:proofErr w:type="spellEnd"/>
      <w:r w:rsidRPr="003C6DAE">
        <w:rPr>
          <w:rFonts w:ascii="Trebuchet MS"/>
          <w:w w:val="85"/>
          <w:sz w:val="16"/>
          <w:lang w:val="uk-UA"/>
        </w:rPr>
        <w:t xml:space="preserve"> 2020</w:t>
      </w:r>
    </w:p>
    <w:p w14:paraId="7B2D66BC" w14:textId="77777777" w:rsidR="00E05B98" w:rsidRPr="003C6DAE" w:rsidRDefault="00B01E0C">
      <w:pPr>
        <w:spacing w:before="1"/>
        <w:ind w:left="671"/>
        <w:rPr>
          <w:rFonts w:ascii="Trebuchet MS"/>
          <w:sz w:val="16"/>
          <w:lang w:val="uk-UA"/>
        </w:rPr>
      </w:pPr>
      <w:proofErr w:type="spellStart"/>
      <w:r w:rsidRPr="003C6DAE">
        <w:rPr>
          <w:rFonts w:ascii="Trebuchet MS"/>
          <w:w w:val="75"/>
          <w:sz w:val="16"/>
          <w:lang w:val="uk-UA"/>
        </w:rPr>
        <w:t>Dorman</w:t>
      </w:r>
      <w:proofErr w:type="spellEnd"/>
      <w:r w:rsidRPr="003C6DAE">
        <w:rPr>
          <w:rFonts w:ascii="Trebuchet MS"/>
          <w:spacing w:val="10"/>
          <w:sz w:val="16"/>
          <w:lang w:val="uk-UA"/>
        </w:rPr>
        <w:t xml:space="preserve"> </w:t>
      </w:r>
      <w:r w:rsidRPr="003C6DAE">
        <w:rPr>
          <w:rFonts w:ascii="Trebuchet MS"/>
          <w:spacing w:val="-4"/>
          <w:w w:val="85"/>
          <w:sz w:val="16"/>
          <w:lang w:val="uk-UA"/>
        </w:rPr>
        <w:t>2018</w:t>
      </w:r>
    </w:p>
    <w:p w14:paraId="17CB3A6D" w14:textId="77777777" w:rsidR="00E05B98" w:rsidRPr="003C6DAE" w:rsidRDefault="00B01E0C">
      <w:pPr>
        <w:spacing w:before="37"/>
        <w:ind w:left="671"/>
        <w:rPr>
          <w:rFonts w:ascii="Trebuchet MS"/>
          <w:sz w:val="16"/>
          <w:lang w:val="uk-UA"/>
        </w:rPr>
      </w:pPr>
      <w:proofErr w:type="spellStart"/>
      <w:r w:rsidRPr="003C6DAE">
        <w:rPr>
          <w:rFonts w:ascii="Trebuchet MS"/>
          <w:w w:val="65"/>
          <w:sz w:val="16"/>
          <w:lang w:val="uk-UA"/>
        </w:rPr>
        <w:t>Li</w:t>
      </w:r>
      <w:proofErr w:type="spellEnd"/>
      <w:r w:rsidRPr="003C6DAE">
        <w:rPr>
          <w:rFonts w:ascii="Trebuchet MS"/>
          <w:spacing w:val="-1"/>
          <w:sz w:val="16"/>
          <w:lang w:val="uk-UA"/>
        </w:rPr>
        <w:t xml:space="preserve"> </w:t>
      </w:r>
      <w:r w:rsidRPr="003C6DAE">
        <w:rPr>
          <w:rFonts w:ascii="Trebuchet MS"/>
          <w:spacing w:val="-4"/>
          <w:w w:val="85"/>
          <w:sz w:val="16"/>
          <w:lang w:val="uk-UA"/>
        </w:rPr>
        <w:t>2023</w:t>
      </w:r>
    </w:p>
    <w:p w14:paraId="6A8D3273" w14:textId="50F23E5F" w:rsidR="00E05B98" w:rsidRPr="003C6DAE" w:rsidRDefault="00B01E0C">
      <w:pPr>
        <w:spacing w:before="36" w:line="285" w:lineRule="auto"/>
        <w:ind w:left="671" w:right="365"/>
        <w:rPr>
          <w:rFonts w:ascii="Trebuchet MS"/>
          <w:sz w:val="16"/>
          <w:lang w:val="uk-UA"/>
        </w:rPr>
      </w:pPr>
      <w:proofErr w:type="spellStart"/>
      <w:r w:rsidRPr="003C6DAE">
        <w:rPr>
          <w:rFonts w:ascii="Trebuchet MS"/>
          <w:w w:val="75"/>
          <w:sz w:val="16"/>
          <w:lang w:val="uk-UA"/>
        </w:rPr>
        <w:t>MacLean</w:t>
      </w:r>
      <w:proofErr w:type="spellEnd"/>
      <w:r w:rsidRPr="003C6DAE">
        <w:rPr>
          <w:rFonts w:ascii="Trebuchet MS"/>
          <w:spacing w:val="-2"/>
          <w:w w:val="75"/>
          <w:sz w:val="16"/>
          <w:lang w:val="uk-UA"/>
        </w:rPr>
        <w:t xml:space="preserve"> </w:t>
      </w:r>
      <w:r w:rsidRPr="003C6DAE">
        <w:rPr>
          <w:rFonts w:ascii="Trebuchet MS"/>
          <w:w w:val="75"/>
          <w:sz w:val="16"/>
          <w:lang w:val="uk-UA"/>
        </w:rPr>
        <w:t>2023</w:t>
      </w:r>
      <w:r w:rsidRPr="003C6DAE">
        <w:rPr>
          <w:rFonts w:ascii="Trebuchet MS"/>
          <w:sz w:val="16"/>
          <w:lang w:val="uk-UA"/>
        </w:rPr>
        <w:t xml:space="preserve"> </w:t>
      </w:r>
      <w:proofErr w:type="spellStart"/>
      <w:r w:rsidRPr="003C6DAE">
        <w:rPr>
          <w:rFonts w:ascii="Trebuchet MS"/>
          <w:w w:val="85"/>
          <w:sz w:val="16"/>
          <w:lang w:val="uk-UA"/>
        </w:rPr>
        <w:t>Park</w:t>
      </w:r>
      <w:proofErr w:type="spellEnd"/>
      <w:r w:rsidRPr="003C6DAE">
        <w:rPr>
          <w:rFonts w:ascii="Trebuchet MS"/>
          <w:w w:val="85"/>
          <w:sz w:val="16"/>
          <w:lang w:val="uk-UA"/>
        </w:rPr>
        <w:t xml:space="preserve"> 2019</w:t>
      </w:r>
    </w:p>
    <w:p w14:paraId="45D55139" w14:textId="784F9288" w:rsidR="00E05B98" w:rsidRPr="003C6DAE" w:rsidRDefault="00B01E0C">
      <w:pPr>
        <w:spacing w:before="1" w:line="285" w:lineRule="auto"/>
        <w:ind w:left="671" w:right="176"/>
        <w:rPr>
          <w:rFonts w:ascii="Trebuchet MS"/>
          <w:sz w:val="16"/>
          <w:lang w:val="uk-UA"/>
        </w:rPr>
      </w:pPr>
      <w:proofErr w:type="spellStart"/>
      <w:r w:rsidRPr="003C6DAE">
        <w:rPr>
          <w:rFonts w:ascii="Trebuchet MS"/>
          <w:w w:val="75"/>
          <w:sz w:val="16"/>
          <w:lang w:val="uk-UA"/>
        </w:rPr>
        <w:t>Piersimoni</w:t>
      </w:r>
      <w:proofErr w:type="spellEnd"/>
      <w:r w:rsidRPr="003C6DAE">
        <w:rPr>
          <w:rFonts w:ascii="Trebuchet MS"/>
          <w:spacing w:val="-4"/>
          <w:w w:val="75"/>
          <w:sz w:val="16"/>
          <w:lang w:val="uk-UA"/>
        </w:rPr>
        <w:t xml:space="preserve"> </w:t>
      </w:r>
      <w:r w:rsidRPr="003C6DAE">
        <w:rPr>
          <w:rFonts w:ascii="Trebuchet MS"/>
          <w:w w:val="75"/>
          <w:sz w:val="16"/>
          <w:lang w:val="uk-UA"/>
        </w:rPr>
        <w:t>2019</w:t>
      </w:r>
      <w:r w:rsidRPr="003C6DAE">
        <w:rPr>
          <w:rFonts w:ascii="Trebuchet MS"/>
          <w:w w:val="85"/>
          <w:sz w:val="16"/>
          <w:lang w:val="uk-UA"/>
        </w:rPr>
        <w:t xml:space="preserve"> </w:t>
      </w:r>
      <w:proofErr w:type="spellStart"/>
      <w:r w:rsidRPr="003C6DAE">
        <w:rPr>
          <w:rFonts w:ascii="Trebuchet MS"/>
          <w:w w:val="85"/>
          <w:sz w:val="16"/>
          <w:lang w:val="uk-UA"/>
        </w:rPr>
        <w:t>Wang</w:t>
      </w:r>
      <w:proofErr w:type="spellEnd"/>
      <w:r w:rsidRPr="003C6DAE">
        <w:rPr>
          <w:rFonts w:ascii="Trebuchet MS"/>
          <w:spacing w:val="-8"/>
          <w:w w:val="85"/>
          <w:sz w:val="16"/>
          <w:lang w:val="uk-UA"/>
        </w:rPr>
        <w:t xml:space="preserve"> </w:t>
      </w:r>
      <w:r w:rsidRPr="003C6DAE">
        <w:rPr>
          <w:rFonts w:ascii="Trebuchet MS"/>
          <w:w w:val="85"/>
          <w:sz w:val="16"/>
          <w:lang w:val="uk-UA"/>
        </w:rPr>
        <w:t>2019</w:t>
      </w:r>
    </w:p>
    <w:p w14:paraId="2399E3AE" w14:textId="77777777" w:rsidR="00E05B98" w:rsidRPr="003C6DAE" w:rsidRDefault="00B01E0C">
      <w:pPr>
        <w:spacing w:before="2"/>
        <w:ind w:left="671"/>
        <w:rPr>
          <w:rFonts w:ascii="Trebuchet MS"/>
          <w:sz w:val="16"/>
          <w:lang w:val="uk-UA"/>
        </w:rPr>
      </w:pPr>
      <w:proofErr w:type="spellStart"/>
      <w:r w:rsidRPr="003C6DAE">
        <w:rPr>
          <w:rFonts w:ascii="Trebuchet MS"/>
          <w:w w:val="75"/>
          <w:sz w:val="16"/>
          <w:lang w:val="uk-UA"/>
        </w:rPr>
        <w:t>Wang</w:t>
      </w:r>
      <w:proofErr w:type="spellEnd"/>
      <w:r w:rsidRPr="003C6DAE">
        <w:rPr>
          <w:rFonts w:ascii="Trebuchet MS"/>
          <w:spacing w:val="15"/>
          <w:sz w:val="16"/>
          <w:lang w:val="uk-UA"/>
        </w:rPr>
        <w:t xml:space="preserve"> </w:t>
      </w:r>
      <w:r w:rsidRPr="003C6DAE">
        <w:rPr>
          <w:rFonts w:ascii="Trebuchet MS"/>
          <w:spacing w:val="-4"/>
          <w:w w:val="85"/>
          <w:sz w:val="16"/>
          <w:lang w:val="uk-UA"/>
        </w:rPr>
        <w:t>2022</w:t>
      </w:r>
    </w:p>
    <w:p w14:paraId="61C05A3C" w14:textId="77777777" w:rsidR="00E05B98" w:rsidRPr="003C6DAE" w:rsidRDefault="00B01E0C">
      <w:pPr>
        <w:spacing w:before="65"/>
        <w:ind w:left="234"/>
        <w:rPr>
          <w:rFonts w:ascii="Trebuchet MS"/>
          <w:sz w:val="16"/>
          <w:lang w:val="uk-UA"/>
        </w:rPr>
      </w:pPr>
      <w:r w:rsidRPr="003C6DAE">
        <w:rPr>
          <w:lang w:val="uk-UA"/>
        </w:rPr>
        <w:br w:type="column"/>
      </w:r>
      <w:r w:rsidRPr="003C6DAE">
        <w:rPr>
          <w:rFonts w:ascii="Trebuchet MS"/>
          <w:w w:val="85"/>
          <w:sz w:val="16"/>
          <w:lang w:val="uk-UA"/>
        </w:rPr>
        <w:t>31</w:t>
      </w:r>
      <w:r w:rsidRPr="003C6DAE">
        <w:rPr>
          <w:rFonts w:ascii="Trebuchet MS"/>
          <w:spacing w:val="67"/>
          <w:sz w:val="16"/>
          <w:lang w:val="uk-UA"/>
        </w:rPr>
        <w:t xml:space="preserve"> </w:t>
      </w:r>
      <w:r w:rsidRPr="003C6DAE">
        <w:rPr>
          <w:rFonts w:ascii="Trebuchet MS"/>
          <w:spacing w:val="-8"/>
          <w:w w:val="85"/>
          <w:sz w:val="16"/>
          <w:lang w:val="uk-UA"/>
        </w:rPr>
        <w:t>17</w:t>
      </w:r>
    </w:p>
    <w:p w14:paraId="2B528956" w14:textId="77777777" w:rsidR="00E05B98" w:rsidRPr="003C6DAE" w:rsidRDefault="00B01E0C">
      <w:pPr>
        <w:spacing w:before="36"/>
        <w:ind w:left="234"/>
        <w:rPr>
          <w:rFonts w:ascii="Trebuchet MS"/>
          <w:sz w:val="16"/>
          <w:lang w:val="uk-UA"/>
        </w:rPr>
      </w:pPr>
      <w:r w:rsidRPr="003C6DAE">
        <w:rPr>
          <w:rFonts w:ascii="Trebuchet MS"/>
          <w:w w:val="85"/>
          <w:sz w:val="16"/>
          <w:lang w:val="uk-UA"/>
        </w:rPr>
        <w:t>44</w:t>
      </w:r>
      <w:r w:rsidRPr="003C6DAE">
        <w:rPr>
          <w:rFonts w:ascii="Trebuchet MS"/>
          <w:spacing w:val="44"/>
          <w:sz w:val="16"/>
          <w:lang w:val="uk-UA"/>
        </w:rPr>
        <w:t xml:space="preserve">  </w:t>
      </w:r>
      <w:r w:rsidRPr="003C6DAE">
        <w:rPr>
          <w:rFonts w:ascii="Trebuchet MS"/>
          <w:spacing w:val="-12"/>
          <w:w w:val="85"/>
          <w:sz w:val="16"/>
          <w:lang w:val="uk-UA"/>
        </w:rPr>
        <w:t>9</w:t>
      </w:r>
    </w:p>
    <w:p w14:paraId="186B8468" w14:textId="77777777" w:rsidR="00E05B98" w:rsidRPr="003C6DAE" w:rsidRDefault="00B01E0C">
      <w:pPr>
        <w:spacing w:before="36"/>
        <w:ind w:left="303"/>
        <w:rPr>
          <w:rFonts w:ascii="Trebuchet MS"/>
          <w:sz w:val="16"/>
          <w:lang w:val="uk-UA"/>
        </w:rPr>
      </w:pPr>
      <w:r w:rsidRPr="003C6DAE">
        <w:rPr>
          <w:rFonts w:ascii="Trebuchet MS"/>
          <w:w w:val="85"/>
          <w:sz w:val="16"/>
          <w:lang w:val="uk-UA"/>
        </w:rPr>
        <w:t>0</w:t>
      </w:r>
      <w:r w:rsidRPr="003C6DAE">
        <w:rPr>
          <w:rFonts w:ascii="Trebuchet MS"/>
          <w:spacing w:val="45"/>
          <w:sz w:val="16"/>
          <w:lang w:val="uk-UA"/>
        </w:rPr>
        <w:t xml:space="preserve">  </w:t>
      </w:r>
      <w:r w:rsidRPr="003C6DAE">
        <w:rPr>
          <w:rFonts w:ascii="Trebuchet MS"/>
          <w:spacing w:val="-12"/>
          <w:w w:val="85"/>
          <w:sz w:val="16"/>
          <w:lang w:val="uk-UA"/>
        </w:rPr>
        <w:t>0</w:t>
      </w:r>
    </w:p>
    <w:p w14:paraId="6FC34D4A" w14:textId="77777777" w:rsidR="00E05B98" w:rsidRPr="003C6DAE" w:rsidRDefault="00B01E0C">
      <w:pPr>
        <w:spacing w:before="36"/>
        <w:ind w:left="303"/>
        <w:rPr>
          <w:rFonts w:ascii="Trebuchet MS"/>
          <w:sz w:val="16"/>
          <w:lang w:val="uk-UA"/>
        </w:rPr>
      </w:pPr>
      <w:r w:rsidRPr="003C6DAE">
        <w:rPr>
          <w:rFonts w:ascii="Trebuchet MS"/>
          <w:w w:val="85"/>
          <w:sz w:val="16"/>
          <w:lang w:val="uk-UA"/>
        </w:rPr>
        <w:t>2</w:t>
      </w:r>
      <w:r w:rsidRPr="003C6DAE">
        <w:rPr>
          <w:rFonts w:ascii="Trebuchet MS"/>
          <w:spacing w:val="45"/>
          <w:sz w:val="16"/>
          <w:lang w:val="uk-UA"/>
        </w:rPr>
        <w:t xml:space="preserve">  </w:t>
      </w:r>
      <w:r w:rsidRPr="003C6DAE">
        <w:rPr>
          <w:rFonts w:ascii="Trebuchet MS"/>
          <w:spacing w:val="-12"/>
          <w:w w:val="85"/>
          <w:sz w:val="16"/>
          <w:lang w:val="uk-UA"/>
        </w:rPr>
        <w:t>1</w:t>
      </w:r>
    </w:p>
    <w:p w14:paraId="327902F9" w14:textId="77777777" w:rsidR="00E05B98" w:rsidRPr="003C6DAE" w:rsidRDefault="00B01E0C">
      <w:pPr>
        <w:spacing w:before="36"/>
        <w:ind w:left="234"/>
        <w:rPr>
          <w:rFonts w:ascii="Trebuchet MS"/>
          <w:sz w:val="16"/>
          <w:lang w:val="uk-UA"/>
        </w:rPr>
      </w:pPr>
      <w:r w:rsidRPr="003C6DAE">
        <w:rPr>
          <w:rFonts w:ascii="Trebuchet MS"/>
          <w:w w:val="85"/>
          <w:sz w:val="16"/>
          <w:lang w:val="uk-UA"/>
        </w:rPr>
        <w:t>38</w:t>
      </w:r>
      <w:r w:rsidRPr="003C6DAE">
        <w:rPr>
          <w:rFonts w:ascii="Trebuchet MS"/>
          <w:spacing w:val="44"/>
          <w:sz w:val="16"/>
          <w:lang w:val="uk-UA"/>
        </w:rPr>
        <w:t xml:space="preserve">  </w:t>
      </w:r>
      <w:r w:rsidRPr="003C6DAE">
        <w:rPr>
          <w:rFonts w:ascii="Trebuchet MS"/>
          <w:spacing w:val="-12"/>
          <w:w w:val="85"/>
          <w:sz w:val="16"/>
          <w:lang w:val="uk-UA"/>
        </w:rPr>
        <w:t>2</w:t>
      </w:r>
    </w:p>
    <w:p w14:paraId="6773E44B" w14:textId="77777777" w:rsidR="00E05B98" w:rsidRPr="003C6DAE" w:rsidRDefault="00B01E0C">
      <w:pPr>
        <w:spacing w:before="37"/>
        <w:ind w:left="303"/>
        <w:rPr>
          <w:rFonts w:ascii="Trebuchet MS"/>
          <w:sz w:val="16"/>
          <w:lang w:val="uk-UA"/>
        </w:rPr>
      </w:pPr>
      <w:r w:rsidRPr="003C6DAE">
        <w:rPr>
          <w:rFonts w:ascii="Trebuchet MS"/>
          <w:w w:val="85"/>
          <w:sz w:val="16"/>
          <w:lang w:val="uk-UA"/>
        </w:rPr>
        <w:t>0</w:t>
      </w:r>
      <w:r w:rsidRPr="003C6DAE">
        <w:rPr>
          <w:rFonts w:ascii="Trebuchet MS"/>
          <w:spacing w:val="45"/>
          <w:sz w:val="16"/>
          <w:lang w:val="uk-UA"/>
        </w:rPr>
        <w:t xml:space="preserve">  </w:t>
      </w:r>
      <w:r w:rsidRPr="003C6DAE">
        <w:rPr>
          <w:rFonts w:ascii="Trebuchet MS"/>
          <w:spacing w:val="-12"/>
          <w:w w:val="85"/>
          <w:sz w:val="16"/>
          <w:lang w:val="uk-UA"/>
        </w:rPr>
        <w:t>0</w:t>
      </w:r>
    </w:p>
    <w:p w14:paraId="640A0948" w14:textId="77777777" w:rsidR="00E05B98" w:rsidRPr="003C6DAE" w:rsidRDefault="00B01E0C">
      <w:pPr>
        <w:spacing w:before="36"/>
        <w:ind w:left="164"/>
        <w:rPr>
          <w:rFonts w:ascii="Trebuchet MS"/>
          <w:sz w:val="16"/>
          <w:lang w:val="uk-UA"/>
        </w:rPr>
      </w:pPr>
      <w:r w:rsidRPr="003C6DAE">
        <w:rPr>
          <w:rFonts w:ascii="Trebuchet MS"/>
          <w:w w:val="85"/>
          <w:sz w:val="16"/>
          <w:lang w:val="uk-UA"/>
        </w:rPr>
        <w:t>166</w:t>
      </w:r>
      <w:r w:rsidRPr="003C6DAE">
        <w:rPr>
          <w:rFonts w:ascii="Trebuchet MS"/>
          <w:spacing w:val="43"/>
          <w:sz w:val="16"/>
          <w:lang w:val="uk-UA"/>
        </w:rPr>
        <w:t xml:space="preserve">  </w:t>
      </w:r>
      <w:r w:rsidRPr="003C6DAE">
        <w:rPr>
          <w:rFonts w:ascii="Trebuchet MS"/>
          <w:spacing w:val="-10"/>
          <w:w w:val="85"/>
          <w:sz w:val="16"/>
          <w:lang w:val="uk-UA"/>
        </w:rPr>
        <w:t>6</w:t>
      </w:r>
    </w:p>
    <w:p w14:paraId="7012E88B" w14:textId="77777777" w:rsidR="00E05B98" w:rsidRPr="003C6DAE" w:rsidRDefault="00B01E0C">
      <w:pPr>
        <w:spacing w:before="36"/>
        <w:ind w:left="303"/>
        <w:rPr>
          <w:rFonts w:ascii="Trebuchet MS"/>
          <w:sz w:val="16"/>
          <w:lang w:val="uk-UA"/>
        </w:rPr>
      </w:pPr>
      <w:r w:rsidRPr="003C6DAE">
        <w:rPr>
          <w:rFonts w:ascii="Trebuchet MS"/>
          <w:w w:val="85"/>
          <w:sz w:val="16"/>
          <w:lang w:val="uk-UA"/>
        </w:rPr>
        <w:t>8</w:t>
      </w:r>
      <w:r w:rsidRPr="003C6DAE">
        <w:rPr>
          <w:rFonts w:ascii="Trebuchet MS"/>
          <w:spacing w:val="45"/>
          <w:sz w:val="16"/>
          <w:lang w:val="uk-UA"/>
        </w:rPr>
        <w:t xml:space="preserve">  </w:t>
      </w:r>
      <w:r w:rsidRPr="003C6DAE">
        <w:rPr>
          <w:rFonts w:ascii="Trebuchet MS"/>
          <w:spacing w:val="-12"/>
          <w:w w:val="85"/>
          <w:sz w:val="16"/>
          <w:lang w:val="uk-UA"/>
        </w:rPr>
        <w:t>0</w:t>
      </w:r>
    </w:p>
    <w:p w14:paraId="20701116" w14:textId="77777777" w:rsidR="00E05B98" w:rsidRPr="003C6DAE" w:rsidRDefault="00B01E0C">
      <w:pPr>
        <w:spacing w:before="36"/>
        <w:ind w:left="303"/>
        <w:rPr>
          <w:rFonts w:ascii="Trebuchet MS"/>
          <w:sz w:val="16"/>
          <w:lang w:val="uk-UA"/>
        </w:rPr>
      </w:pPr>
      <w:r w:rsidRPr="003C6DAE">
        <w:rPr>
          <w:rFonts w:ascii="Trebuchet MS"/>
          <w:w w:val="85"/>
          <w:sz w:val="16"/>
          <w:lang w:val="uk-UA"/>
        </w:rPr>
        <w:t>4</w:t>
      </w:r>
      <w:r w:rsidRPr="003C6DAE">
        <w:rPr>
          <w:rFonts w:ascii="Trebuchet MS"/>
          <w:spacing w:val="45"/>
          <w:sz w:val="16"/>
          <w:lang w:val="uk-UA"/>
        </w:rPr>
        <w:t xml:space="preserve">  </w:t>
      </w:r>
      <w:r w:rsidRPr="003C6DAE">
        <w:rPr>
          <w:rFonts w:ascii="Trebuchet MS"/>
          <w:spacing w:val="-12"/>
          <w:w w:val="85"/>
          <w:sz w:val="16"/>
          <w:lang w:val="uk-UA"/>
        </w:rPr>
        <w:t>2</w:t>
      </w:r>
    </w:p>
    <w:p w14:paraId="064C44C0" w14:textId="77777777" w:rsidR="00E05B98" w:rsidRPr="003C6DAE" w:rsidRDefault="00B01E0C">
      <w:pPr>
        <w:spacing w:before="36"/>
        <w:ind w:left="303"/>
        <w:rPr>
          <w:rFonts w:ascii="Trebuchet MS"/>
          <w:sz w:val="16"/>
          <w:lang w:val="uk-UA"/>
        </w:rPr>
      </w:pPr>
      <w:r w:rsidRPr="003C6DAE">
        <w:rPr>
          <w:rFonts w:ascii="Trebuchet MS"/>
          <w:w w:val="85"/>
          <w:sz w:val="16"/>
          <w:lang w:val="uk-UA"/>
        </w:rPr>
        <w:t>1</w:t>
      </w:r>
      <w:r w:rsidRPr="003C6DAE">
        <w:rPr>
          <w:rFonts w:ascii="Trebuchet MS"/>
          <w:spacing w:val="45"/>
          <w:sz w:val="16"/>
          <w:lang w:val="uk-UA"/>
        </w:rPr>
        <w:t xml:space="preserve">  </w:t>
      </w:r>
      <w:r w:rsidRPr="003C6DAE">
        <w:rPr>
          <w:rFonts w:ascii="Trebuchet MS"/>
          <w:spacing w:val="-12"/>
          <w:w w:val="85"/>
          <w:sz w:val="16"/>
          <w:lang w:val="uk-UA"/>
        </w:rPr>
        <w:t>0</w:t>
      </w:r>
    </w:p>
    <w:p w14:paraId="36F61F5D" w14:textId="77777777" w:rsidR="00E05B98" w:rsidRPr="003C6DAE" w:rsidRDefault="00B01E0C">
      <w:pPr>
        <w:spacing w:before="36"/>
        <w:ind w:left="303"/>
        <w:rPr>
          <w:rFonts w:ascii="Trebuchet MS"/>
          <w:sz w:val="16"/>
          <w:lang w:val="uk-UA"/>
        </w:rPr>
      </w:pPr>
      <w:r w:rsidRPr="003C6DAE">
        <w:rPr>
          <w:rFonts w:ascii="Trebuchet MS"/>
          <w:w w:val="85"/>
          <w:sz w:val="16"/>
          <w:lang w:val="uk-UA"/>
        </w:rPr>
        <w:t>2</w:t>
      </w:r>
      <w:r w:rsidRPr="003C6DAE">
        <w:rPr>
          <w:rFonts w:ascii="Trebuchet MS"/>
          <w:spacing w:val="45"/>
          <w:sz w:val="16"/>
          <w:lang w:val="uk-UA"/>
        </w:rPr>
        <w:t xml:space="preserve">  </w:t>
      </w:r>
      <w:r w:rsidRPr="003C6DAE">
        <w:rPr>
          <w:rFonts w:ascii="Trebuchet MS"/>
          <w:spacing w:val="-12"/>
          <w:w w:val="85"/>
          <w:sz w:val="16"/>
          <w:lang w:val="uk-UA"/>
        </w:rPr>
        <w:t>0</w:t>
      </w:r>
    </w:p>
    <w:p w14:paraId="1B1E13AC" w14:textId="77777777" w:rsidR="00E05B98" w:rsidRPr="003C6DAE" w:rsidRDefault="00B01E0C">
      <w:pPr>
        <w:spacing w:before="36"/>
        <w:ind w:left="234"/>
        <w:rPr>
          <w:rFonts w:ascii="Trebuchet MS"/>
          <w:sz w:val="16"/>
          <w:lang w:val="uk-UA"/>
        </w:rPr>
      </w:pPr>
      <w:r w:rsidRPr="003C6DAE">
        <w:rPr>
          <w:rFonts w:ascii="Trebuchet MS"/>
          <w:w w:val="85"/>
          <w:sz w:val="16"/>
          <w:lang w:val="uk-UA"/>
        </w:rPr>
        <w:t>16</w:t>
      </w:r>
      <w:r w:rsidRPr="003C6DAE">
        <w:rPr>
          <w:rFonts w:ascii="Trebuchet MS"/>
          <w:spacing w:val="44"/>
          <w:sz w:val="16"/>
          <w:lang w:val="uk-UA"/>
        </w:rPr>
        <w:t xml:space="preserve">  </w:t>
      </w:r>
      <w:r w:rsidRPr="003C6DAE">
        <w:rPr>
          <w:rFonts w:ascii="Trebuchet MS"/>
          <w:spacing w:val="-12"/>
          <w:w w:val="85"/>
          <w:sz w:val="16"/>
          <w:lang w:val="uk-UA"/>
        </w:rPr>
        <w:t>0</w:t>
      </w:r>
    </w:p>
    <w:p w14:paraId="6BE55BA3" w14:textId="77777777" w:rsidR="00E05B98" w:rsidRPr="003C6DAE" w:rsidRDefault="00B01E0C">
      <w:pPr>
        <w:spacing w:before="36"/>
        <w:ind w:left="164"/>
        <w:rPr>
          <w:rFonts w:ascii="Trebuchet MS"/>
          <w:sz w:val="16"/>
          <w:lang w:val="uk-UA"/>
        </w:rPr>
      </w:pPr>
      <w:r w:rsidRPr="003C6DAE">
        <w:rPr>
          <w:rFonts w:ascii="Trebuchet MS"/>
          <w:w w:val="85"/>
          <w:sz w:val="16"/>
          <w:lang w:val="uk-UA"/>
        </w:rPr>
        <w:t>123</w:t>
      </w:r>
      <w:r w:rsidRPr="003C6DAE">
        <w:rPr>
          <w:rFonts w:ascii="Trebuchet MS"/>
          <w:spacing w:val="65"/>
          <w:sz w:val="16"/>
          <w:lang w:val="uk-UA"/>
        </w:rPr>
        <w:t xml:space="preserve"> </w:t>
      </w:r>
      <w:r w:rsidRPr="003C6DAE">
        <w:rPr>
          <w:rFonts w:ascii="Trebuchet MS"/>
          <w:spacing w:val="-7"/>
          <w:w w:val="85"/>
          <w:sz w:val="16"/>
          <w:lang w:val="uk-UA"/>
        </w:rPr>
        <w:t>10</w:t>
      </w:r>
    </w:p>
    <w:p w14:paraId="58F97838" w14:textId="77777777" w:rsidR="00E05B98" w:rsidRPr="003C6DAE" w:rsidRDefault="00B01E0C">
      <w:pPr>
        <w:spacing w:before="65"/>
        <w:ind w:left="81"/>
        <w:rPr>
          <w:rFonts w:ascii="Trebuchet MS"/>
          <w:sz w:val="16"/>
          <w:lang w:val="uk-UA"/>
        </w:rPr>
      </w:pPr>
      <w:r w:rsidRPr="003C6DAE">
        <w:rPr>
          <w:lang w:val="uk-UA"/>
        </w:rPr>
        <w:br w:type="column"/>
      </w:r>
      <w:r w:rsidRPr="003C6DAE">
        <w:rPr>
          <w:rFonts w:ascii="Trebuchet MS"/>
          <w:w w:val="85"/>
          <w:sz w:val="16"/>
          <w:lang w:val="uk-UA"/>
        </w:rPr>
        <w:t>28</w:t>
      </w:r>
      <w:r w:rsidRPr="003C6DAE">
        <w:rPr>
          <w:rFonts w:ascii="Trebuchet MS"/>
          <w:spacing w:val="50"/>
          <w:sz w:val="16"/>
          <w:lang w:val="uk-UA"/>
        </w:rPr>
        <w:t xml:space="preserve"> </w:t>
      </w:r>
      <w:r w:rsidRPr="003C6DAE">
        <w:rPr>
          <w:rFonts w:ascii="Trebuchet MS"/>
          <w:spacing w:val="-6"/>
          <w:w w:val="85"/>
          <w:sz w:val="16"/>
          <w:lang w:val="uk-UA"/>
        </w:rPr>
        <w:t>558</w:t>
      </w:r>
    </w:p>
    <w:p w14:paraId="7585EDDB" w14:textId="77777777" w:rsidR="00E05B98" w:rsidRPr="003C6DAE" w:rsidRDefault="00B01E0C">
      <w:pPr>
        <w:spacing w:before="36"/>
        <w:ind w:left="151"/>
        <w:rPr>
          <w:rFonts w:ascii="Trebuchet MS"/>
          <w:sz w:val="16"/>
          <w:lang w:val="uk-UA"/>
        </w:rPr>
      </w:pPr>
      <w:r w:rsidRPr="003C6DAE">
        <w:rPr>
          <w:rFonts w:ascii="Trebuchet MS"/>
          <w:w w:val="85"/>
          <w:sz w:val="16"/>
          <w:lang w:val="uk-UA"/>
        </w:rPr>
        <w:t>8</w:t>
      </w:r>
      <w:r w:rsidRPr="003C6DAE">
        <w:rPr>
          <w:rFonts w:ascii="Trebuchet MS"/>
          <w:spacing w:val="52"/>
          <w:sz w:val="16"/>
          <w:lang w:val="uk-UA"/>
        </w:rPr>
        <w:t xml:space="preserve"> </w:t>
      </w:r>
      <w:r w:rsidRPr="003C6DAE">
        <w:rPr>
          <w:rFonts w:ascii="Trebuchet MS"/>
          <w:spacing w:val="-6"/>
          <w:w w:val="85"/>
          <w:sz w:val="16"/>
          <w:lang w:val="uk-UA"/>
        </w:rPr>
        <w:t>271</w:t>
      </w:r>
    </w:p>
    <w:p w14:paraId="2E02F1E1" w14:textId="77777777" w:rsidR="00E05B98" w:rsidRPr="003C6DAE" w:rsidRDefault="00B01E0C">
      <w:pPr>
        <w:tabs>
          <w:tab w:val="left" w:pos="463"/>
        </w:tabs>
        <w:spacing w:before="36"/>
        <w:ind w:left="151"/>
        <w:rPr>
          <w:rFonts w:ascii="Trebuchet MS"/>
          <w:sz w:val="16"/>
          <w:lang w:val="uk-UA"/>
        </w:rPr>
      </w:pPr>
      <w:r w:rsidRPr="003C6DAE">
        <w:rPr>
          <w:rFonts w:ascii="Trebuchet MS"/>
          <w:spacing w:val="-10"/>
          <w:w w:val="85"/>
          <w:sz w:val="16"/>
          <w:lang w:val="uk-UA"/>
        </w:rPr>
        <w:t>0</w:t>
      </w:r>
      <w:r w:rsidRPr="003C6DAE">
        <w:rPr>
          <w:rFonts w:ascii="Trebuchet MS"/>
          <w:sz w:val="16"/>
          <w:lang w:val="uk-UA"/>
        </w:rPr>
        <w:tab/>
      </w:r>
      <w:r w:rsidRPr="003C6DAE">
        <w:rPr>
          <w:rFonts w:ascii="Trebuchet MS"/>
          <w:spacing w:val="-13"/>
          <w:w w:val="85"/>
          <w:sz w:val="16"/>
          <w:lang w:val="uk-UA"/>
        </w:rPr>
        <w:t>3</w:t>
      </w:r>
    </w:p>
    <w:p w14:paraId="42062060" w14:textId="77777777" w:rsidR="00E05B98" w:rsidRPr="003C6DAE" w:rsidRDefault="00B01E0C">
      <w:pPr>
        <w:spacing w:before="36"/>
        <w:ind w:left="151"/>
        <w:rPr>
          <w:rFonts w:ascii="Trebuchet MS"/>
          <w:sz w:val="16"/>
          <w:lang w:val="uk-UA"/>
        </w:rPr>
      </w:pPr>
      <w:r w:rsidRPr="003C6DAE">
        <w:rPr>
          <w:rFonts w:ascii="Trebuchet MS"/>
          <w:w w:val="85"/>
          <w:sz w:val="16"/>
          <w:lang w:val="uk-UA"/>
        </w:rPr>
        <w:t>0</w:t>
      </w:r>
      <w:r w:rsidRPr="003C6DAE">
        <w:rPr>
          <w:rFonts w:ascii="Trebuchet MS"/>
          <w:spacing w:val="36"/>
          <w:sz w:val="16"/>
          <w:lang w:val="uk-UA"/>
        </w:rPr>
        <w:t xml:space="preserve">  </w:t>
      </w:r>
      <w:r w:rsidRPr="003C6DAE">
        <w:rPr>
          <w:rFonts w:ascii="Trebuchet MS"/>
          <w:spacing w:val="-7"/>
          <w:w w:val="85"/>
          <w:sz w:val="16"/>
          <w:lang w:val="uk-UA"/>
        </w:rPr>
        <w:t>54</w:t>
      </w:r>
    </w:p>
    <w:p w14:paraId="0014E256" w14:textId="77777777" w:rsidR="00E05B98" w:rsidRPr="003C6DAE" w:rsidRDefault="00B01E0C">
      <w:pPr>
        <w:spacing w:before="36"/>
        <w:ind w:left="151"/>
        <w:rPr>
          <w:rFonts w:ascii="Trebuchet MS"/>
          <w:sz w:val="16"/>
          <w:lang w:val="uk-UA"/>
        </w:rPr>
      </w:pPr>
      <w:r w:rsidRPr="003C6DAE">
        <w:rPr>
          <w:rFonts w:ascii="Trebuchet MS"/>
          <w:w w:val="85"/>
          <w:sz w:val="16"/>
          <w:lang w:val="uk-UA"/>
        </w:rPr>
        <w:t>3</w:t>
      </w:r>
      <w:r w:rsidRPr="003C6DAE">
        <w:rPr>
          <w:rFonts w:ascii="Trebuchet MS"/>
          <w:spacing w:val="36"/>
          <w:sz w:val="16"/>
          <w:lang w:val="uk-UA"/>
        </w:rPr>
        <w:t xml:space="preserve">  </w:t>
      </w:r>
      <w:r w:rsidRPr="003C6DAE">
        <w:rPr>
          <w:rFonts w:ascii="Trebuchet MS"/>
          <w:spacing w:val="-7"/>
          <w:w w:val="85"/>
          <w:sz w:val="16"/>
          <w:lang w:val="uk-UA"/>
        </w:rPr>
        <w:t>96</w:t>
      </w:r>
    </w:p>
    <w:p w14:paraId="3C3BC074" w14:textId="77777777" w:rsidR="00E05B98" w:rsidRPr="003C6DAE" w:rsidRDefault="00B01E0C">
      <w:pPr>
        <w:spacing w:before="37"/>
        <w:ind w:left="151"/>
        <w:rPr>
          <w:rFonts w:ascii="Trebuchet MS"/>
          <w:sz w:val="16"/>
          <w:lang w:val="uk-UA"/>
        </w:rPr>
      </w:pPr>
      <w:r w:rsidRPr="003C6DAE">
        <w:rPr>
          <w:rFonts w:ascii="Trebuchet MS"/>
          <w:w w:val="85"/>
          <w:sz w:val="16"/>
          <w:lang w:val="uk-UA"/>
        </w:rPr>
        <w:t>0</w:t>
      </w:r>
      <w:r w:rsidRPr="003C6DAE">
        <w:rPr>
          <w:rFonts w:ascii="Trebuchet MS"/>
          <w:spacing w:val="36"/>
          <w:sz w:val="16"/>
          <w:lang w:val="uk-UA"/>
        </w:rPr>
        <w:t xml:space="preserve">  </w:t>
      </w:r>
      <w:r w:rsidRPr="003C6DAE">
        <w:rPr>
          <w:rFonts w:ascii="Trebuchet MS"/>
          <w:spacing w:val="-7"/>
          <w:w w:val="85"/>
          <w:sz w:val="16"/>
          <w:lang w:val="uk-UA"/>
        </w:rPr>
        <w:t>10</w:t>
      </w:r>
    </w:p>
    <w:p w14:paraId="5B52F95B" w14:textId="77777777" w:rsidR="00E05B98" w:rsidRPr="003C6DAE" w:rsidRDefault="00B01E0C">
      <w:pPr>
        <w:spacing w:before="36"/>
        <w:ind w:left="151"/>
        <w:rPr>
          <w:rFonts w:ascii="Trebuchet MS"/>
          <w:sz w:val="16"/>
          <w:lang w:val="uk-UA"/>
        </w:rPr>
      </w:pPr>
      <w:r w:rsidRPr="003C6DAE">
        <w:rPr>
          <w:rFonts w:ascii="Trebuchet MS"/>
          <w:w w:val="85"/>
          <w:sz w:val="16"/>
          <w:lang w:val="uk-UA"/>
        </w:rPr>
        <w:t>9</w:t>
      </w:r>
      <w:r w:rsidRPr="003C6DAE">
        <w:rPr>
          <w:rFonts w:ascii="Trebuchet MS"/>
          <w:spacing w:val="52"/>
          <w:sz w:val="16"/>
          <w:lang w:val="uk-UA"/>
        </w:rPr>
        <w:t xml:space="preserve"> </w:t>
      </w:r>
      <w:r w:rsidRPr="003C6DAE">
        <w:rPr>
          <w:rFonts w:ascii="Trebuchet MS"/>
          <w:spacing w:val="-6"/>
          <w:w w:val="85"/>
          <w:sz w:val="16"/>
          <w:lang w:val="uk-UA"/>
        </w:rPr>
        <w:t>370</w:t>
      </w:r>
    </w:p>
    <w:p w14:paraId="19351005" w14:textId="77777777" w:rsidR="00E05B98" w:rsidRPr="003C6DAE" w:rsidRDefault="00B01E0C">
      <w:pPr>
        <w:spacing w:before="36"/>
        <w:ind w:left="151"/>
        <w:rPr>
          <w:rFonts w:ascii="Trebuchet MS"/>
          <w:sz w:val="16"/>
          <w:lang w:val="uk-UA"/>
        </w:rPr>
      </w:pPr>
      <w:r w:rsidRPr="003C6DAE">
        <w:rPr>
          <w:rFonts w:ascii="Trebuchet MS"/>
          <w:w w:val="85"/>
          <w:sz w:val="16"/>
          <w:lang w:val="uk-UA"/>
        </w:rPr>
        <w:t>0</w:t>
      </w:r>
      <w:r w:rsidRPr="003C6DAE">
        <w:rPr>
          <w:rFonts w:ascii="Trebuchet MS"/>
          <w:spacing w:val="36"/>
          <w:sz w:val="16"/>
          <w:lang w:val="uk-UA"/>
        </w:rPr>
        <w:t xml:space="preserve">  </w:t>
      </w:r>
      <w:r w:rsidRPr="003C6DAE">
        <w:rPr>
          <w:rFonts w:ascii="Trebuchet MS"/>
          <w:spacing w:val="-7"/>
          <w:w w:val="85"/>
          <w:sz w:val="16"/>
          <w:lang w:val="uk-UA"/>
        </w:rPr>
        <w:t>79</w:t>
      </w:r>
    </w:p>
    <w:p w14:paraId="23B4623D" w14:textId="77777777" w:rsidR="00E05B98" w:rsidRPr="003C6DAE" w:rsidRDefault="00B01E0C">
      <w:pPr>
        <w:spacing w:before="36"/>
        <w:ind w:left="151"/>
        <w:rPr>
          <w:rFonts w:ascii="Trebuchet MS"/>
          <w:sz w:val="16"/>
          <w:lang w:val="uk-UA"/>
        </w:rPr>
      </w:pPr>
      <w:r w:rsidRPr="003C6DAE">
        <w:rPr>
          <w:rFonts w:ascii="Trebuchet MS"/>
          <w:w w:val="85"/>
          <w:sz w:val="16"/>
          <w:lang w:val="uk-UA"/>
        </w:rPr>
        <w:t>0</w:t>
      </w:r>
      <w:r w:rsidRPr="003C6DAE">
        <w:rPr>
          <w:rFonts w:ascii="Trebuchet MS"/>
          <w:spacing w:val="36"/>
          <w:sz w:val="16"/>
          <w:lang w:val="uk-UA"/>
        </w:rPr>
        <w:t xml:space="preserve">  </w:t>
      </w:r>
      <w:r w:rsidRPr="003C6DAE">
        <w:rPr>
          <w:rFonts w:ascii="Trebuchet MS"/>
          <w:spacing w:val="-7"/>
          <w:w w:val="85"/>
          <w:sz w:val="16"/>
          <w:lang w:val="uk-UA"/>
        </w:rPr>
        <w:t>66</w:t>
      </w:r>
    </w:p>
    <w:p w14:paraId="5A299081" w14:textId="77777777" w:rsidR="00E05B98" w:rsidRPr="003C6DAE" w:rsidRDefault="00B01E0C">
      <w:pPr>
        <w:spacing w:before="36"/>
        <w:ind w:left="151"/>
        <w:rPr>
          <w:rFonts w:ascii="Trebuchet MS"/>
          <w:sz w:val="16"/>
          <w:lang w:val="uk-UA"/>
        </w:rPr>
      </w:pPr>
      <w:r w:rsidRPr="003C6DAE">
        <w:rPr>
          <w:rFonts w:ascii="Trebuchet MS"/>
          <w:w w:val="85"/>
          <w:sz w:val="16"/>
          <w:lang w:val="uk-UA"/>
        </w:rPr>
        <w:t>0</w:t>
      </w:r>
      <w:r w:rsidRPr="003C6DAE">
        <w:rPr>
          <w:rFonts w:ascii="Trebuchet MS"/>
          <w:spacing w:val="36"/>
          <w:sz w:val="16"/>
          <w:lang w:val="uk-UA"/>
        </w:rPr>
        <w:t xml:space="preserve">  </w:t>
      </w:r>
      <w:r w:rsidRPr="003C6DAE">
        <w:rPr>
          <w:rFonts w:ascii="Trebuchet MS"/>
          <w:spacing w:val="-7"/>
          <w:w w:val="85"/>
          <w:sz w:val="16"/>
          <w:lang w:val="uk-UA"/>
        </w:rPr>
        <w:t>20</w:t>
      </w:r>
    </w:p>
    <w:p w14:paraId="0799969C" w14:textId="77777777" w:rsidR="00E05B98" w:rsidRPr="003C6DAE" w:rsidRDefault="00B01E0C">
      <w:pPr>
        <w:spacing w:before="36"/>
        <w:ind w:left="151"/>
        <w:rPr>
          <w:rFonts w:ascii="Trebuchet MS"/>
          <w:sz w:val="16"/>
          <w:lang w:val="uk-UA"/>
        </w:rPr>
      </w:pPr>
      <w:r w:rsidRPr="003C6DAE">
        <w:rPr>
          <w:rFonts w:ascii="Trebuchet MS"/>
          <w:w w:val="85"/>
          <w:sz w:val="16"/>
          <w:lang w:val="uk-UA"/>
        </w:rPr>
        <w:t>0</w:t>
      </w:r>
      <w:r w:rsidRPr="003C6DAE">
        <w:rPr>
          <w:rFonts w:ascii="Trebuchet MS"/>
          <w:spacing w:val="52"/>
          <w:sz w:val="16"/>
          <w:lang w:val="uk-UA"/>
        </w:rPr>
        <w:t xml:space="preserve"> </w:t>
      </w:r>
      <w:r w:rsidRPr="003C6DAE">
        <w:rPr>
          <w:rFonts w:ascii="Trebuchet MS"/>
          <w:spacing w:val="-6"/>
          <w:w w:val="85"/>
          <w:sz w:val="16"/>
          <w:lang w:val="uk-UA"/>
        </w:rPr>
        <w:t>105</w:t>
      </w:r>
    </w:p>
    <w:p w14:paraId="2A3387CF" w14:textId="77777777" w:rsidR="00E05B98" w:rsidRPr="003C6DAE" w:rsidRDefault="00B01E0C">
      <w:pPr>
        <w:spacing w:before="36"/>
        <w:ind w:left="151"/>
        <w:rPr>
          <w:rFonts w:ascii="Trebuchet MS"/>
          <w:sz w:val="16"/>
          <w:lang w:val="uk-UA"/>
        </w:rPr>
      </w:pPr>
      <w:r w:rsidRPr="003C6DAE">
        <w:rPr>
          <w:rFonts w:ascii="Trebuchet MS"/>
          <w:w w:val="85"/>
          <w:sz w:val="16"/>
          <w:lang w:val="uk-UA"/>
        </w:rPr>
        <w:t>0</w:t>
      </w:r>
      <w:r w:rsidRPr="003C6DAE">
        <w:rPr>
          <w:rFonts w:ascii="Trebuchet MS"/>
          <w:spacing w:val="36"/>
          <w:sz w:val="16"/>
          <w:lang w:val="uk-UA"/>
        </w:rPr>
        <w:t xml:space="preserve">  </w:t>
      </w:r>
      <w:r w:rsidRPr="003C6DAE">
        <w:rPr>
          <w:rFonts w:ascii="Trebuchet MS"/>
          <w:spacing w:val="-7"/>
          <w:w w:val="85"/>
          <w:sz w:val="16"/>
          <w:lang w:val="uk-UA"/>
        </w:rPr>
        <w:t>74</w:t>
      </w:r>
    </w:p>
    <w:p w14:paraId="15EDDF54" w14:textId="77777777" w:rsidR="00E05B98" w:rsidRPr="003C6DAE" w:rsidRDefault="00B01E0C">
      <w:pPr>
        <w:spacing w:before="36"/>
        <w:ind w:left="151"/>
        <w:rPr>
          <w:rFonts w:ascii="Trebuchet MS"/>
          <w:sz w:val="16"/>
          <w:lang w:val="uk-UA"/>
        </w:rPr>
      </w:pPr>
      <w:r w:rsidRPr="003C6DAE">
        <w:rPr>
          <w:rFonts w:ascii="Trebuchet MS"/>
          <w:w w:val="85"/>
          <w:sz w:val="16"/>
          <w:lang w:val="uk-UA"/>
        </w:rPr>
        <w:t>4</w:t>
      </w:r>
      <w:r w:rsidRPr="003C6DAE">
        <w:rPr>
          <w:rFonts w:ascii="Trebuchet MS"/>
          <w:spacing w:val="52"/>
          <w:sz w:val="16"/>
          <w:lang w:val="uk-UA"/>
        </w:rPr>
        <w:t xml:space="preserve"> </w:t>
      </w:r>
      <w:r w:rsidRPr="003C6DAE">
        <w:rPr>
          <w:rFonts w:ascii="Trebuchet MS"/>
          <w:spacing w:val="-6"/>
          <w:w w:val="85"/>
          <w:sz w:val="16"/>
          <w:lang w:val="uk-UA"/>
        </w:rPr>
        <w:t>313</w:t>
      </w:r>
    </w:p>
    <w:p w14:paraId="619D45CC" w14:textId="77777777" w:rsidR="00E05B98" w:rsidRPr="003C6DAE" w:rsidRDefault="00B01E0C">
      <w:pPr>
        <w:spacing w:before="65" w:line="285" w:lineRule="auto"/>
        <w:ind w:left="60"/>
        <w:rPr>
          <w:rFonts w:ascii="Trebuchet MS"/>
          <w:sz w:val="16"/>
          <w:lang w:val="uk-UA"/>
        </w:rPr>
      </w:pPr>
      <w:r w:rsidRPr="003C6DAE">
        <w:rPr>
          <w:lang w:val="uk-UA"/>
        </w:rPr>
        <w:br w:type="column"/>
      </w:r>
      <w:r w:rsidRPr="003C6DAE">
        <w:rPr>
          <w:rFonts w:ascii="Trebuchet MS"/>
          <w:w w:val="75"/>
          <w:sz w:val="16"/>
          <w:lang w:val="uk-UA"/>
        </w:rPr>
        <w:t>Truenat</w:t>
      </w:r>
      <w:r w:rsidRPr="003C6DAE">
        <w:rPr>
          <w:rFonts w:ascii="Trebuchet MS"/>
          <w:spacing w:val="-8"/>
          <w:w w:val="75"/>
          <w:sz w:val="16"/>
          <w:lang w:val="uk-UA"/>
        </w:rPr>
        <w:t xml:space="preserve"> </w:t>
      </w:r>
      <w:r w:rsidRPr="003C6DAE">
        <w:rPr>
          <w:rFonts w:ascii="Trebuchet MS"/>
          <w:w w:val="75"/>
          <w:sz w:val="16"/>
          <w:lang w:val="uk-UA"/>
        </w:rPr>
        <w:t>MTB</w:t>
      </w:r>
      <w:r w:rsidRPr="003C6DAE">
        <w:rPr>
          <w:rFonts w:ascii="Trebuchet MS"/>
          <w:spacing w:val="-21"/>
          <w:w w:val="75"/>
          <w:sz w:val="16"/>
          <w:lang w:val="uk-UA"/>
        </w:rPr>
        <w:t xml:space="preserve"> </w:t>
      </w:r>
      <w:r w:rsidRPr="003C6DAE">
        <w:rPr>
          <w:rFonts w:ascii="Trebuchet MS"/>
          <w:w w:val="75"/>
          <w:sz w:val="16"/>
          <w:lang w:val="uk-UA"/>
        </w:rPr>
        <w:t>-R</w:t>
      </w:r>
      <w:r w:rsidRPr="003C6DAE">
        <w:rPr>
          <w:rFonts w:ascii="Trebuchet MS"/>
          <w:spacing w:val="-13"/>
          <w:w w:val="75"/>
          <w:sz w:val="16"/>
          <w:lang w:val="uk-UA"/>
        </w:rPr>
        <w:t xml:space="preserve"> </w:t>
      </w:r>
      <w:r w:rsidRPr="003C6DAE">
        <w:rPr>
          <w:rFonts w:ascii="Trebuchet MS"/>
          <w:w w:val="75"/>
          <w:sz w:val="16"/>
          <w:lang w:val="uk-UA"/>
        </w:rPr>
        <w:t>IF</w:t>
      </w:r>
      <w:r w:rsidRPr="003C6DAE">
        <w:rPr>
          <w:rFonts w:ascii="Trebuchet MS"/>
          <w:sz w:val="16"/>
          <w:lang w:val="uk-UA"/>
        </w:rPr>
        <w:t xml:space="preserve"> </w:t>
      </w:r>
      <w:r w:rsidRPr="003C6DAE">
        <w:rPr>
          <w:rFonts w:ascii="Trebuchet MS"/>
          <w:w w:val="75"/>
          <w:sz w:val="16"/>
          <w:lang w:val="uk-UA"/>
        </w:rPr>
        <w:t>Dx</w:t>
      </w:r>
      <w:r w:rsidRPr="003C6DAE">
        <w:rPr>
          <w:rFonts w:ascii="Trebuchet MS"/>
          <w:sz w:val="16"/>
          <w:lang w:val="uk-UA"/>
        </w:rPr>
        <w:t xml:space="preserve"> </w:t>
      </w:r>
      <w:r w:rsidRPr="003C6DAE">
        <w:rPr>
          <w:rFonts w:ascii="Trebuchet MS"/>
          <w:w w:val="70"/>
          <w:sz w:val="16"/>
          <w:lang w:val="uk-UA"/>
        </w:rPr>
        <w:t>Truenat</w:t>
      </w:r>
      <w:r w:rsidRPr="003C6DAE">
        <w:rPr>
          <w:rFonts w:ascii="Trebuchet MS"/>
          <w:spacing w:val="-3"/>
          <w:sz w:val="16"/>
          <w:lang w:val="uk-UA"/>
        </w:rPr>
        <w:t xml:space="preserve"> </w:t>
      </w:r>
      <w:r w:rsidRPr="003C6DAE">
        <w:rPr>
          <w:rFonts w:ascii="Trebuchet MS"/>
          <w:w w:val="70"/>
          <w:sz w:val="16"/>
          <w:lang w:val="uk-UA"/>
        </w:rPr>
        <w:t>MTB</w:t>
      </w:r>
      <w:r w:rsidRPr="003C6DAE">
        <w:rPr>
          <w:rFonts w:ascii="Trebuchet MS"/>
          <w:spacing w:val="-9"/>
          <w:w w:val="70"/>
          <w:sz w:val="16"/>
          <w:lang w:val="uk-UA"/>
        </w:rPr>
        <w:t xml:space="preserve"> </w:t>
      </w:r>
      <w:r w:rsidRPr="003C6DAE">
        <w:rPr>
          <w:rFonts w:ascii="Trebuchet MS"/>
          <w:w w:val="70"/>
          <w:sz w:val="16"/>
          <w:lang w:val="uk-UA"/>
        </w:rPr>
        <w:t>-R</w:t>
      </w:r>
      <w:r w:rsidRPr="003C6DAE">
        <w:rPr>
          <w:rFonts w:ascii="Trebuchet MS"/>
          <w:spacing w:val="-11"/>
          <w:sz w:val="16"/>
          <w:lang w:val="uk-UA"/>
        </w:rPr>
        <w:t xml:space="preserve"> </w:t>
      </w:r>
      <w:r w:rsidRPr="003C6DAE">
        <w:rPr>
          <w:rFonts w:ascii="Trebuchet MS"/>
          <w:w w:val="70"/>
          <w:sz w:val="16"/>
          <w:lang w:val="uk-UA"/>
        </w:rPr>
        <w:t>IF</w:t>
      </w:r>
      <w:r w:rsidRPr="003C6DAE">
        <w:rPr>
          <w:rFonts w:ascii="Trebuchet MS"/>
          <w:spacing w:val="33"/>
          <w:sz w:val="16"/>
          <w:lang w:val="uk-UA"/>
        </w:rPr>
        <w:t xml:space="preserve"> </w:t>
      </w:r>
      <w:r w:rsidRPr="003C6DAE">
        <w:rPr>
          <w:rFonts w:ascii="Trebuchet MS"/>
          <w:spacing w:val="-5"/>
          <w:w w:val="70"/>
          <w:sz w:val="16"/>
          <w:lang w:val="uk-UA"/>
        </w:rPr>
        <w:t>Dx</w:t>
      </w:r>
    </w:p>
    <w:p w14:paraId="698B8A5C" w14:textId="77777777" w:rsidR="00E05B98" w:rsidRPr="003C6DAE" w:rsidRDefault="00B01E0C">
      <w:pPr>
        <w:spacing w:before="2" w:line="285" w:lineRule="auto"/>
        <w:ind w:left="622"/>
        <w:jc w:val="both"/>
        <w:rPr>
          <w:rFonts w:ascii="Trebuchet MS"/>
          <w:sz w:val="16"/>
          <w:lang w:val="uk-UA"/>
        </w:rPr>
      </w:pPr>
      <w:r w:rsidRPr="003C6DAE">
        <w:rPr>
          <w:rFonts w:ascii="Trebuchet MS"/>
          <w:w w:val="70"/>
          <w:sz w:val="16"/>
          <w:lang w:val="uk-UA"/>
        </w:rPr>
        <w:t>Xpert</w:t>
      </w:r>
      <w:r w:rsidRPr="003C6DAE">
        <w:rPr>
          <w:rFonts w:ascii="Trebuchet MS"/>
          <w:spacing w:val="-13"/>
          <w:sz w:val="16"/>
          <w:lang w:val="uk-UA"/>
        </w:rPr>
        <w:t xml:space="preserve"> </w:t>
      </w:r>
      <w:r w:rsidRPr="003C6DAE">
        <w:rPr>
          <w:rFonts w:ascii="Trebuchet MS"/>
          <w:w w:val="70"/>
          <w:sz w:val="16"/>
          <w:lang w:val="uk-UA"/>
        </w:rPr>
        <w:t>Ultra</w:t>
      </w:r>
      <w:r w:rsidRPr="003C6DAE">
        <w:rPr>
          <w:rFonts w:ascii="Trebuchet MS"/>
          <w:sz w:val="16"/>
          <w:lang w:val="uk-UA"/>
        </w:rPr>
        <w:t xml:space="preserve"> </w:t>
      </w:r>
      <w:r w:rsidRPr="003C6DAE">
        <w:rPr>
          <w:rFonts w:ascii="Trebuchet MS"/>
          <w:w w:val="70"/>
          <w:sz w:val="16"/>
          <w:lang w:val="uk-UA"/>
        </w:rPr>
        <w:t>Xpert</w:t>
      </w:r>
      <w:r w:rsidRPr="003C6DAE">
        <w:rPr>
          <w:rFonts w:ascii="Trebuchet MS"/>
          <w:spacing w:val="-13"/>
          <w:sz w:val="16"/>
          <w:lang w:val="uk-UA"/>
        </w:rPr>
        <w:t xml:space="preserve"> </w:t>
      </w:r>
      <w:r w:rsidRPr="003C6DAE">
        <w:rPr>
          <w:rFonts w:ascii="Trebuchet MS"/>
          <w:w w:val="70"/>
          <w:sz w:val="16"/>
          <w:lang w:val="uk-UA"/>
        </w:rPr>
        <w:t>Ultra</w:t>
      </w:r>
      <w:r w:rsidRPr="003C6DAE">
        <w:rPr>
          <w:rFonts w:ascii="Trebuchet MS"/>
          <w:sz w:val="16"/>
          <w:lang w:val="uk-UA"/>
        </w:rPr>
        <w:t xml:space="preserve"> </w:t>
      </w:r>
      <w:r w:rsidRPr="003C6DAE">
        <w:rPr>
          <w:rFonts w:ascii="Trebuchet MS"/>
          <w:w w:val="70"/>
          <w:sz w:val="16"/>
          <w:lang w:val="uk-UA"/>
        </w:rPr>
        <w:t>Xpert</w:t>
      </w:r>
      <w:r w:rsidRPr="003C6DAE">
        <w:rPr>
          <w:rFonts w:ascii="Trebuchet MS"/>
          <w:spacing w:val="-13"/>
          <w:sz w:val="16"/>
          <w:lang w:val="uk-UA"/>
        </w:rPr>
        <w:t xml:space="preserve"> </w:t>
      </w:r>
      <w:r w:rsidRPr="003C6DAE">
        <w:rPr>
          <w:rFonts w:ascii="Trebuchet MS"/>
          <w:w w:val="70"/>
          <w:sz w:val="16"/>
          <w:lang w:val="uk-UA"/>
        </w:rPr>
        <w:t>Ultra</w:t>
      </w:r>
      <w:r w:rsidRPr="003C6DAE">
        <w:rPr>
          <w:rFonts w:ascii="Trebuchet MS"/>
          <w:sz w:val="16"/>
          <w:lang w:val="uk-UA"/>
        </w:rPr>
        <w:t xml:space="preserve"> </w:t>
      </w:r>
      <w:r w:rsidRPr="003C6DAE">
        <w:rPr>
          <w:rFonts w:ascii="Trebuchet MS"/>
          <w:w w:val="70"/>
          <w:sz w:val="16"/>
          <w:lang w:val="uk-UA"/>
        </w:rPr>
        <w:t>Xpert</w:t>
      </w:r>
      <w:r w:rsidRPr="003C6DAE">
        <w:rPr>
          <w:rFonts w:ascii="Trebuchet MS"/>
          <w:spacing w:val="-13"/>
          <w:sz w:val="16"/>
          <w:lang w:val="uk-UA"/>
        </w:rPr>
        <w:t xml:space="preserve"> </w:t>
      </w:r>
      <w:r w:rsidRPr="003C6DAE">
        <w:rPr>
          <w:rFonts w:ascii="Trebuchet MS"/>
          <w:w w:val="70"/>
          <w:sz w:val="16"/>
          <w:lang w:val="uk-UA"/>
        </w:rPr>
        <w:t>Ultra</w:t>
      </w:r>
      <w:r w:rsidRPr="003C6DAE">
        <w:rPr>
          <w:rFonts w:ascii="Trebuchet MS"/>
          <w:sz w:val="16"/>
          <w:lang w:val="uk-UA"/>
        </w:rPr>
        <w:t xml:space="preserve"> </w:t>
      </w:r>
      <w:r w:rsidRPr="003C6DAE">
        <w:rPr>
          <w:rFonts w:ascii="Trebuchet MS"/>
          <w:w w:val="70"/>
          <w:sz w:val="16"/>
          <w:lang w:val="uk-UA"/>
        </w:rPr>
        <w:t>Xpert</w:t>
      </w:r>
      <w:r w:rsidRPr="003C6DAE">
        <w:rPr>
          <w:rFonts w:ascii="Trebuchet MS"/>
          <w:spacing w:val="-13"/>
          <w:sz w:val="16"/>
          <w:lang w:val="uk-UA"/>
        </w:rPr>
        <w:t xml:space="preserve"> </w:t>
      </w:r>
      <w:r w:rsidRPr="003C6DAE">
        <w:rPr>
          <w:rFonts w:ascii="Trebuchet MS"/>
          <w:w w:val="70"/>
          <w:sz w:val="16"/>
          <w:lang w:val="uk-UA"/>
        </w:rPr>
        <w:t>Ultra</w:t>
      </w:r>
      <w:r w:rsidRPr="003C6DAE">
        <w:rPr>
          <w:rFonts w:ascii="Trebuchet MS"/>
          <w:sz w:val="16"/>
          <w:lang w:val="uk-UA"/>
        </w:rPr>
        <w:t xml:space="preserve"> </w:t>
      </w:r>
      <w:r w:rsidRPr="003C6DAE">
        <w:rPr>
          <w:rFonts w:ascii="Trebuchet MS"/>
          <w:w w:val="70"/>
          <w:sz w:val="16"/>
          <w:lang w:val="uk-UA"/>
        </w:rPr>
        <w:t>Xpert</w:t>
      </w:r>
      <w:r w:rsidRPr="003C6DAE">
        <w:rPr>
          <w:rFonts w:ascii="Trebuchet MS"/>
          <w:spacing w:val="-13"/>
          <w:sz w:val="16"/>
          <w:lang w:val="uk-UA"/>
        </w:rPr>
        <w:t xml:space="preserve"> </w:t>
      </w:r>
      <w:r w:rsidRPr="003C6DAE">
        <w:rPr>
          <w:rFonts w:ascii="Trebuchet MS"/>
          <w:w w:val="70"/>
          <w:sz w:val="16"/>
          <w:lang w:val="uk-UA"/>
        </w:rPr>
        <w:t>Ultra</w:t>
      </w:r>
      <w:r w:rsidRPr="003C6DAE">
        <w:rPr>
          <w:rFonts w:ascii="Trebuchet MS"/>
          <w:sz w:val="16"/>
          <w:lang w:val="uk-UA"/>
        </w:rPr>
        <w:t xml:space="preserve"> </w:t>
      </w:r>
      <w:r w:rsidRPr="003C6DAE">
        <w:rPr>
          <w:rFonts w:ascii="Trebuchet MS"/>
          <w:w w:val="70"/>
          <w:sz w:val="16"/>
          <w:lang w:val="uk-UA"/>
        </w:rPr>
        <w:t>Xpert</w:t>
      </w:r>
      <w:r w:rsidRPr="003C6DAE">
        <w:rPr>
          <w:rFonts w:ascii="Trebuchet MS"/>
          <w:spacing w:val="-13"/>
          <w:sz w:val="16"/>
          <w:lang w:val="uk-UA"/>
        </w:rPr>
        <w:t xml:space="preserve"> </w:t>
      </w:r>
      <w:r w:rsidRPr="003C6DAE">
        <w:rPr>
          <w:rFonts w:ascii="Trebuchet MS"/>
          <w:w w:val="70"/>
          <w:sz w:val="16"/>
          <w:lang w:val="uk-UA"/>
        </w:rPr>
        <w:t>Ultra</w:t>
      </w:r>
      <w:r w:rsidRPr="003C6DAE">
        <w:rPr>
          <w:rFonts w:ascii="Trebuchet MS"/>
          <w:sz w:val="16"/>
          <w:lang w:val="uk-UA"/>
        </w:rPr>
        <w:t xml:space="preserve"> </w:t>
      </w:r>
      <w:r w:rsidRPr="003C6DAE">
        <w:rPr>
          <w:rFonts w:ascii="Trebuchet MS"/>
          <w:w w:val="70"/>
          <w:sz w:val="16"/>
          <w:lang w:val="uk-UA"/>
        </w:rPr>
        <w:t>Xpert</w:t>
      </w:r>
      <w:r w:rsidRPr="003C6DAE">
        <w:rPr>
          <w:rFonts w:ascii="Trebuchet MS"/>
          <w:spacing w:val="-13"/>
          <w:sz w:val="16"/>
          <w:lang w:val="uk-UA"/>
        </w:rPr>
        <w:t xml:space="preserve"> </w:t>
      </w:r>
      <w:r w:rsidRPr="003C6DAE">
        <w:rPr>
          <w:rFonts w:ascii="Trebuchet MS"/>
          <w:w w:val="70"/>
          <w:sz w:val="16"/>
          <w:lang w:val="uk-UA"/>
        </w:rPr>
        <w:t>Ultra</w:t>
      </w:r>
      <w:r w:rsidRPr="003C6DAE">
        <w:rPr>
          <w:rFonts w:ascii="Trebuchet MS"/>
          <w:sz w:val="16"/>
          <w:lang w:val="uk-UA"/>
        </w:rPr>
        <w:t xml:space="preserve"> </w:t>
      </w:r>
      <w:r w:rsidRPr="003C6DAE">
        <w:rPr>
          <w:rFonts w:ascii="Trebuchet MS"/>
          <w:w w:val="70"/>
          <w:sz w:val="16"/>
          <w:lang w:val="uk-UA"/>
        </w:rPr>
        <w:t>Xpert</w:t>
      </w:r>
      <w:r w:rsidRPr="003C6DAE">
        <w:rPr>
          <w:rFonts w:ascii="Trebuchet MS"/>
          <w:spacing w:val="-13"/>
          <w:sz w:val="16"/>
          <w:lang w:val="uk-UA"/>
        </w:rPr>
        <w:t xml:space="preserve"> </w:t>
      </w:r>
      <w:r w:rsidRPr="003C6DAE">
        <w:rPr>
          <w:rFonts w:ascii="Trebuchet MS"/>
          <w:w w:val="70"/>
          <w:sz w:val="16"/>
          <w:lang w:val="uk-UA"/>
        </w:rPr>
        <w:t>Ultra</w:t>
      </w:r>
      <w:r w:rsidRPr="003C6DAE">
        <w:rPr>
          <w:rFonts w:ascii="Trebuchet MS"/>
          <w:sz w:val="16"/>
          <w:lang w:val="uk-UA"/>
        </w:rPr>
        <w:t xml:space="preserve"> </w:t>
      </w:r>
      <w:r w:rsidRPr="003C6DAE">
        <w:rPr>
          <w:rFonts w:ascii="Trebuchet MS"/>
          <w:w w:val="70"/>
          <w:sz w:val="16"/>
          <w:lang w:val="uk-UA"/>
        </w:rPr>
        <w:t>Xpert</w:t>
      </w:r>
      <w:r w:rsidRPr="003C6DAE">
        <w:rPr>
          <w:rFonts w:ascii="Trebuchet MS"/>
          <w:spacing w:val="-13"/>
          <w:sz w:val="16"/>
          <w:lang w:val="uk-UA"/>
        </w:rPr>
        <w:t xml:space="preserve"> </w:t>
      </w:r>
      <w:r w:rsidRPr="003C6DAE">
        <w:rPr>
          <w:rFonts w:ascii="Trebuchet MS"/>
          <w:w w:val="70"/>
          <w:sz w:val="16"/>
          <w:lang w:val="uk-UA"/>
        </w:rPr>
        <w:t>Ultra</w:t>
      </w:r>
      <w:r w:rsidRPr="003C6DAE">
        <w:rPr>
          <w:rFonts w:ascii="Trebuchet MS"/>
          <w:sz w:val="16"/>
          <w:lang w:val="uk-UA"/>
        </w:rPr>
        <w:t xml:space="preserve"> </w:t>
      </w:r>
      <w:r w:rsidRPr="003C6DAE">
        <w:rPr>
          <w:rFonts w:ascii="Trebuchet MS"/>
          <w:w w:val="70"/>
          <w:sz w:val="16"/>
          <w:lang w:val="uk-UA"/>
        </w:rPr>
        <w:t>Xpert</w:t>
      </w:r>
      <w:r w:rsidRPr="003C6DAE">
        <w:rPr>
          <w:rFonts w:ascii="Trebuchet MS"/>
          <w:spacing w:val="5"/>
          <w:sz w:val="16"/>
          <w:lang w:val="uk-UA"/>
        </w:rPr>
        <w:t xml:space="preserve"> </w:t>
      </w:r>
      <w:r w:rsidRPr="003C6DAE">
        <w:rPr>
          <w:rFonts w:ascii="Trebuchet MS"/>
          <w:spacing w:val="-4"/>
          <w:w w:val="75"/>
          <w:sz w:val="16"/>
          <w:lang w:val="uk-UA"/>
        </w:rPr>
        <w:t>Ultra</w:t>
      </w:r>
    </w:p>
    <w:p w14:paraId="2947D0CD" w14:textId="77777777" w:rsidR="00E05B98" w:rsidRPr="003C6DAE" w:rsidRDefault="00B01E0C">
      <w:pPr>
        <w:spacing w:before="65"/>
        <w:jc w:val="right"/>
        <w:rPr>
          <w:rFonts w:ascii="Trebuchet MS"/>
          <w:sz w:val="16"/>
          <w:lang w:val="uk-UA"/>
        </w:rPr>
      </w:pPr>
      <w:r w:rsidRPr="003C6DAE">
        <w:rPr>
          <w:lang w:val="uk-UA"/>
        </w:rPr>
        <w:br w:type="column"/>
      </w:r>
      <w:r w:rsidRPr="003C6DAE">
        <w:rPr>
          <w:rFonts w:ascii="Trebuchet MS"/>
          <w:w w:val="65"/>
          <w:sz w:val="16"/>
          <w:lang w:val="uk-UA"/>
        </w:rPr>
        <w:t>0.53</w:t>
      </w:r>
      <w:r w:rsidRPr="003C6DAE">
        <w:rPr>
          <w:rFonts w:ascii="Trebuchet MS"/>
          <w:spacing w:val="16"/>
          <w:sz w:val="16"/>
          <w:lang w:val="uk-UA"/>
        </w:rPr>
        <w:t xml:space="preserve"> </w:t>
      </w:r>
      <w:r w:rsidRPr="003C6DAE">
        <w:rPr>
          <w:rFonts w:ascii="Trebuchet MS"/>
          <w:w w:val="65"/>
          <w:sz w:val="16"/>
          <w:lang w:val="uk-UA"/>
        </w:rPr>
        <w:t>[0.39,</w:t>
      </w:r>
      <w:r w:rsidRPr="003C6DAE">
        <w:rPr>
          <w:rFonts w:ascii="Trebuchet MS"/>
          <w:spacing w:val="22"/>
          <w:sz w:val="16"/>
          <w:lang w:val="uk-UA"/>
        </w:rPr>
        <w:t xml:space="preserve"> </w:t>
      </w:r>
      <w:r w:rsidRPr="003C6DAE">
        <w:rPr>
          <w:rFonts w:ascii="Trebuchet MS"/>
          <w:spacing w:val="-2"/>
          <w:w w:val="65"/>
          <w:sz w:val="16"/>
          <w:lang w:val="uk-UA"/>
        </w:rPr>
        <w:t>0.66]</w:t>
      </w:r>
    </w:p>
    <w:p w14:paraId="43221918" w14:textId="77777777" w:rsidR="00E05B98" w:rsidRPr="003C6DAE" w:rsidRDefault="00B01E0C">
      <w:pPr>
        <w:spacing w:before="36"/>
        <w:jc w:val="right"/>
        <w:rPr>
          <w:rFonts w:ascii="Trebuchet MS"/>
          <w:sz w:val="16"/>
          <w:lang w:val="uk-UA"/>
        </w:rPr>
      </w:pPr>
      <w:r w:rsidRPr="003C6DAE">
        <w:rPr>
          <w:rFonts w:ascii="Trebuchet MS"/>
          <w:w w:val="65"/>
          <w:sz w:val="16"/>
          <w:lang w:val="uk-UA"/>
        </w:rPr>
        <w:t>0.85</w:t>
      </w:r>
      <w:r w:rsidRPr="003C6DAE">
        <w:rPr>
          <w:rFonts w:ascii="Trebuchet MS"/>
          <w:spacing w:val="16"/>
          <w:sz w:val="16"/>
          <w:lang w:val="uk-UA"/>
        </w:rPr>
        <w:t xml:space="preserve"> </w:t>
      </w:r>
      <w:r w:rsidRPr="003C6DAE">
        <w:rPr>
          <w:rFonts w:ascii="Trebuchet MS"/>
          <w:w w:val="65"/>
          <w:sz w:val="16"/>
          <w:lang w:val="uk-UA"/>
        </w:rPr>
        <w:t>[0.72,</w:t>
      </w:r>
      <w:r w:rsidRPr="003C6DAE">
        <w:rPr>
          <w:rFonts w:ascii="Trebuchet MS"/>
          <w:spacing w:val="22"/>
          <w:sz w:val="16"/>
          <w:lang w:val="uk-UA"/>
        </w:rPr>
        <w:t xml:space="preserve"> </w:t>
      </w:r>
      <w:r w:rsidRPr="003C6DAE">
        <w:rPr>
          <w:rFonts w:ascii="Trebuchet MS"/>
          <w:spacing w:val="-2"/>
          <w:w w:val="65"/>
          <w:sz w:val="16"/>
          <w:lang w:val="uk-UA"/>
        </w:rPr>
        <w:t>0.93]</w:t>
      </w:r>
    </w:p>
    <w:p w14:paraId="0E2998A5" w14:textId="5DB46C42" w:rsidR="00E05B98" w:rsidRPr="003C6DAE" w:rsidRDefault="00845459">
      <w:pPr>
        <w:spacing w:before="36"/>
        <w:ind w:right="8"/>
        <w:jc w:val="right"/>
        <w:rPr>
          <w:rFonts w:ascii="Trebuchet MS"/>
          <w:sz w:val="16"/>
          <w:lang w:val="uk-UA"/>
        </w:rPr>
      </w:pPr>
      <w:r w:rsidRPr="003C6DAE">
        <w:rPr>
          <w:rFonts w:ascii="Trebuchet MS"/>
          <w:w w:val="75"/>
          <w:sz w:val="16"/>
          <w:lang w:val="uk-UA"/>
        </w:rPr>
        <w:t>Не</w:t>
      </w:r>
      <w:r w:rsidRPr="003C6DAE">
        <w:rPr>
          <w:rFonts w:ascii="Trebuchet MS"/>
          <w:w w:val="75"/>
          <w:sz w:val="16"/>
          <w:lang w:val="uk-UA"/>
        </w:rPr>
        <w:t xml:space="preserve"> </w:t>
      </w:r>
      <w:r w:rsidRPr="003C6DAE">
        <w:rPr>
          <w:rFonts w:ascii="Trebuchet MS"/>
          <w:w w:val="75"/>
          <w:sz w:val="16"/>
          <w:lang w:val="uk-UA"/>
        </w:rPr>
        <w:t>підлягяє</w:t>
      </w:r>
      <w:r w:rsidRPr="003C6DAE">
        <w:rPr>
          <w:rFonts w:ascii="Trebuchet MS"/>
          <w:w w:val="75"/>
          <w:sz w:val="16"/>
          <w:lang w:val="uk-UA"/>
        </w:rPr>
        <w:t xml:space="preserve"> </w:t>
      </w:r>
      <w:r w:rsidRPr="003C6DAE">
        <w:rPr>
          <w:rFonts w:ascii="Trebuchet MS"/>
          <w:w w:val="75"/>
          <w:sz w:val="16"/>
          <w:lang w:val="uk-UA"/>
        </w:rPr>
        <w:t>оцінці</w:t>
      </w:r>
    </w:p>
    <w:p w14:paraId="6CD1AD22" w14:textId="77777777" w:rsidR="00E05B98" w:rsidRPr="003C6DAE" w:rsidRDefault="00B01E0C">
      <w:pPr>
        <w:spacing w:before="36"/>
        <w:jc w:val="right"/>
        <w:rPr>
          <w:rFonts w:ascii="Trebuchet MS"/>
          <w:sz w:val="16"/>
          <w:lang w:val="uk-UA"/>
        </w:rPr>
      </w:pPr>
      <w:r w:rsidRPr="003C6DAE">
        <w:rPr>
          <w:rFonts w:ascii="Trebuchet MS"/>
          <w:w w:val="65"/>
          <w:sz w:val="16"/>
          <w:lang w:val="uk-UA"/>
        </w:rPr>
        <w:t>1.00</w:t>
      </w:r>
      <w:r w:rsidRPr="003C6DAE">
        <w:rPr>
          <w:rFonts w:ascii="Trebuchet MS"/>
          <w:spacing w:val="16"/>
          <w:sz w:val="16"/>
          <w:lang w:val="uk-UA"/>
        </w:rPr>
        <w:t xml:space="preserve"> </w:t>
      </w:r>
      <w:r w:rsidRPr="003C6DAE">
        <w:rPr>
          <w:rFonts w:ascii="Trebuchet MS"/>
          <w:w w:val="65"/>
          <w:sz w:val="16"/>
          <w:lang w:val="uk-UA"/>
        </w:rPr>
        <w:t>[0.16,</w:t>
      </w:r>
      <w:r w:rsidRPr="003C6DAE">
        <w:rPr>
          <w:rFonts w:ascii="Trebuchet MS"/>
          <w:spacing w:val="22"/>
          <w:sz w:val="16"/>
          <w:lang w:val="uk-UA"/>
        </w:rPr>
        <w:t xml:space="preserve"> </w:t>
      </w:r>
      <w:r w:rsidRPr="003C6DAE">
        <w:rPr>
          <w:rFonts w:ascii="Trebuchet MS"/>
          <w:spacing w:val="-2"/>
          <w:w w:val="65"/>
          <w:sz w:val="16"/>
          <w:lang w:val="uk-UA"/>
        </w:rPr>
        <w:t>1.00]</w:t>
      </w:r>
    </w:p>
    <w:p w14:paraId="42EBDE39" w14:textId="77777777" w:rsidR="00E05B98" w:rsidRPr="003C6DAE" w:rsidRDefault="00B01E0C">
      <w:pPr>
        <w:spacing w:before="36"/>
        <w:jc w:val="right"/>
        <w:rPr>
          <w:rFonts w:ascii="Trebuchet MS"/>
          <w:sz w:val="16"/>
          <w:lang w:val="uk-UA"/>
        </w:rPr>
      </w:pPr>
      <w:r w:rsidRPr="003C6DAE">
        <w:rPr>
          <w:rFonts w:ascii="Trebuchet MS"/>
          <w:w w:val="65"/>
          <w:sz w:val="16"/>
          <w:lang w:val="uk-UA"/>
        </w:rPr>
        <w:t>0.93</w:t>
      </w:r>
      <w:r w:rsidRPr="003C6DAE">
        <w:rPr>
          <w:rFonts w:ascii="Trebuchet MS"/>
          <w:spacing w:val="16"/>
          <w:sz w:val="16"/>
          <w:lang w:val="uk-UA"/>
        </w:rPr>
        <w:t xml:space="preserve"> </w:t>
      </w:r>
      <w:r w:rsidRPr="003C6DAE">
        <w:rPr>
          <w:rFonts w:ascii="Trebuchet MS"/>
          <w:w w:val="65"/>
          <w:sz w:val="16"/>
          <w:lang w:val="uk-UA"/>
        </w:rPr>
        <w:t>[0.80,</w:t>
      </w:r>
      <w:r w:rsidRPr="003C6DAE">
        <w:rPr>
          <w:rFonts w:ascii="Trebuchet MS"/>
          <w:spacing w:val="22"/>
          <w:sz w:val="16"/>
          <w:lang w:val="uk-UA"/>
        </w:rPr>
        <w:t xml:space="preserve"> </w:t>
      </w:r>
      <w:r w:rsidRPr="003C6DAE">
        <w:rPr>
          <w:rFonts w:ascii="Trebuchet MS"/>
          <w:spacing w:val="-2"/>
          <w:w w:val="65"/>
          <w:sz w:val="16"/>
          <w:lang w:val="uk-UA"/>
        </w:rPr>
        <w:t>0.98]</w:t>
      </w:r>
    </w:p>
    <w:p w14:paraId="6DB907B2" w14:textId="40E13918" w:rsidR="00E05B98" w:rsidRPr="003C6DAE" w:rsidRDefault="00845459">
      <w:pPr>
        <w:spacing w:before="37"/>
        <w:ind w:right="8"/>
        <w:jc w:val="right"/>
        <w:rPr>
          <w:rFonts w:ascii="Trebuchet MS"/>
          <w:sz w:val="16"/>
          <w:lang w:val="uk-UA"/>
        </w:rPr>
      </w:pPr>
      <w:r w:rsidRPr="003C6DAE">
        <w:rPr>
          <w:rFonts w:ascii="Trebuchet MS"/>
          <w:w w:val="75"/>
          <w:sz w:val="16"/>
          <w:lang w:val="uk-UA"/>
        </w:rPr>
        <w:t>Не</w:t>
      </w:r>
      <w:r w:rsidRPr="003C6DAE">
        <w:rPr>
          <w:rFonts w:ascii="Trebuchet MS"/>
          <w:w w:val="75"/>
          <w:sz w:val="16"/>
          <w:lang w:val="uk-UA"/>
        </w:rPr>
        <w:t xml:space="preserve"> </w:t>
      </w:r>
      <w:r w:rsidRPr="003C6DAE">
        <w:rPr>
          <w:rFonts w:ascii="Trebuchet MS"/>
          <w:w w:val="75"/>
          <w:sz w:val="16"/>
          <w:lang w:val="uk-UA"/>
        </w:rPr>
        <w:t>підлягає</w:t>
      </w:r>
      <w:r w:rsidRPr="003C6DAE">
        <w:rPr>
          <w:rFonts w:ascii="Trebuchet MS"/>
          <w:w w:val="75"/>
          <w:sz w:val="16"/>
          <w:lang w:val="uk-UA"/>
        </w:rPr>
        <w:t xml:space="preserve"> </w:t>
      </w:r>
      <w:r w:rsidRPr="003C6DAE">
        <w:rPr>
          <w:rFonts w:ascii="Trebuchet MS"/>
          <w:w w:val="75"/>
          <w:sz w:val="16"/>
          <w:lang w:val="uk-UA"/>
        </w:rPr>
        <w:t>оцінці</w:t>
      </w:r>
    </w:p>
    <w:p w14:paraId="6E693371" w14:textId="77777777" w:rsidR="00E05B98" w:rsidRPr="003C6DAE" w:rsidRDefault="00B01E0C">
      <w:pPr>
        <w:spacing w:before="36"/>
        <w:ind w:left="315"/>
        <w:rPr>
          <w:rFonts w:ascii="Trebuchet MS"/>
          <w:sz w:val="16"/>
          <w:lang w:val="uk-UA"/>
        </w:rPr>
      </w:pPr>
      <w:r w:rsidRPr="003C6DAE">
        <w:rPr>
          <w:rFonts w:ascii="Trebuchet MS"/>
          <w:w w:val="65"/>
          <w:sz w:val="16"/>
          <w:lang w:val="uk-UA"/>
        </w:rPr>
        <w:t>0.95</w:t>
      </w:r>
      <w:r w:rsidRPr="003C6DAE">
        <w:rPr>
          <w:rFonts w:ascii="Trebuchet MS"/>
          <w:spacing w:val="16"/>
          <w:sz w:val="16"/>
          <w:lang w:val="uk-UA"/>
        </w:rPr>
        <w:t xml:space="preserve"> </w:t>
      </w:r>
      <w:r w:rsidRPr="003C6DAE">
        <w:rPr>
          <w:rFonts w:ascii="Trebuchet MS"/>
          <w:w w:val="65"/>
          <w:sz w:val="16"/>
          <w:lang w:val="uk-UA"/>
        </w:rPr>
        <w:t>[0.90,</w:t>
      </w:r>
      <w:r w:rsidRPr="003C6DAE">
        <w:rPr>
          <w:rFonts w:ascii="Trebuchet MS"/>
          <w:spacing w:val="22"/>
          <w:sz w:val="16"/>
          <w:lang w:val="uk-UA"/>
        </w:rPr>
        <w:t xml:space="preserve"> </w:t>
      </w:r>
      <w:r w:rsidRPr="003C6DAE">
        <w:rPr>
          <w:rFonts w:ascii="Trebuchet MS"/>
          <w:spacing w:val="-2"/>
          <w:w w:val="65"/>
          <w:sz w:val="16"/>
          <w:lang w:val="uk-UA"/>
        </w:rPr>
        <w:t>0.98]</w:t>
      </w:r>
    </w:p>
    <w:p w14:paraId="54E778F3" w14:textId="77777777" w:rsidR="00E05B98" w:rsidRPr="003C6DAE" w:rsidRDefault="00B01E0C">
      <w:pPr>
        <w:spacing w:before="36"/>
        <w:ind w:left="315"/>
        <w:rPr>
          <w:rFonts w:ascii="Trebuchet MS"/>
          <w:sz w:val="16"/>
          <w:lang w:val="uk-UA"/>
        </w:rPr>
      </w:pPr>
      <w:r w:rsidRPr="003C6DAE">
        <w:rPr>
          <w:rFonts w:ascii="Trebuchet MS"/>
          <w:w w:val="65"/>
          <w:sz w:val="16"/>
          <w:lang w:val="uk-UA"/>
        </w:rPr>
        <w:t>1.00</w:t>
      </w:r>
      <w:r w:rsidRPr="003C6DAE">
        <w:rPr>
          <w:rFonts w:ascii="Trebuchet MS"/>
          <w:spacing w:val="16"/>
          <w:sz w:val="16"/>
          <w:lang w:val="uk-UA"/>
        </w:rPr>
        <w:t xml:space="preserve"> </w:t>
      </w:r>
      <w:r w:rsidRPr="003C6DAE">
        <w:rPr>
          <w:rFonts w:ascii="Trebuchet MS"/>
          <w:w w:val="65"/>
          <w:sz w:val="16"/>
          <w:lang w:val="uk-UA"/>
        </w:rPr>
        <w:t>[0.63,</w:t>
      </w:r>
      <w:r w:rsidRPr="003C6DAE">
        <w:rPr>
          <w:rFonts w:ascii="Trebuchet MS"/>
          <w:spacing w:val="22"/>
          <w:sz w:val="16"/>
          <w:lang w:val="uk-UA"/>
        </w:rPr>
        <w:t xml:space="preserve"> </w:t>
      </w:r>
      <w:r w:rsidRPr="003C6DAE">
        <w:rPr>
          <w:rFonts w:ascii="Trebuchet MS"/>
          <w:spacing w:val="-2"/>
          <w:w w:val="65"/>
          <w:sz w:val="16"/>
          <w:lang w:val="uk-UA"/>
        </w:rPr>
        <w:t>1.00]</w:t>
      </w:r>
    </w:p>
    <w:p w14:paraId="4F17E8B4" w14:textId="77777777" w:rsidR="00E05B98" w:rsidRPr="003C6DAE" w:rsidRDefault="00B01E0C">
      <w:pPr>
        <w:spacing w:before="36"/>
        <w:ind w:left="315"/>
        <w:rPr>
          <w:rFonts w:ascii="Trebuchet MS"/>
          <w:sz w:val="16"/>
          <w:lang w:val="uk-UA"/>
        </w:rPr>
      </w:pPr>
      <w:r w:rsidRPr="003C6DAE">
        <w:rPr>
          <w:rFonts w:ascii="Trebuchet MS"/>
          <w:w w:val="65"/>
          <w:sz w:val="16"/>
          <w:lang w:val="uk-UA"/>
        </w:rPr>
        <w:t>1.00</w:t>
      </w:r>
      <w:r w:rsidRPr="003C6DAE">
        <w:rPr>
          <w:rFonts w:ascii="Trebuchet MS"/>
          <w:spacing w:val="16"/>
          <w:sz w:val="16"/>
          <w:lang w:val="uk-UA"/>
        </w:rPr>
        <w:t xml:space="preserve"> </w:t>
      </w:r>
      <w:r w:rsidRPr="003C6DAE">
        <w:rPr>
          <w:rFonts w:ascii="Trebuchet MS"/>
          <w:w w:val="65"/>
          <w:sz w:val="16"/>
          <w:lang w:val="uk-UA"/>
        </w:rPr>
        <w:t>[0.40,</w:t>
      </w:r>
      <w:r w:rsidRPr="003C6DAE">
        <w:rPr>
          <w:rFonts w:ascii="Trebuchet MS"/>
          <w:spacing w:val="22"/>
          <w:sz w:val="16"/>
          <w:lang w:val="uk-UA"/>
        </w:rPr>
        <w:t xml:space="preserve"> </w:t>
      </w:r>
      <w:r w:rsidRPr="003C6DAE">
        <w:rPr>
          <w:rFonts w:ascii="Trebuchet MS"/>
          <w:spacing w:val="-2"/>
          <w:w w:val="65"/>
          <w:sz w:val="16"/>
          <w:lang w:val="uk-UA"/>
        </w:rPr>
        <w:t>1.00]</w:t>
      </w:r>
    </w:p>
    <w:p w14:paraId="634726D7" w14:textId="77777777" w:rsidR="00E05B98" w:rsidRPr="003C6DAE" w:rsidRDefault="00B01E0C">
      <w:pPr>
        <w:spacing w:before="36"/>
        <w:ind w:left="315"/>
        <w:rPr>
          <w:rFonts w:ascii="Trebuchet MS"/>
          <w:sz w:val="16"/>
          <w:lang w:val="uk-UA"/>
        </w:rPr>
      </w:pPr>
      <w:r w:rsidRPr="003C6DAE">
        <w:rPr>
          <w:rFonts w:ascii="Trebuchet MS"/>
          <w:w w:val="65"/>
          <w:sz w:val="16"/>
          <w:lang w:val="uk-UA"/>
        </w:rPr>
        <w:t>1.00</w:t>
      </w:r>
      <w:r w:rsidRPr="003C6DAE">
        <w:rPr>
          <w:rFonts w:ascii="Trebuchet MS"/>
          <w:spacing w:val="16"/>
          <w:sz w:val="16"/>
          <w:lang w:val="uk-UA"/>
        </w:rPr>
        <w:t xml:space="preserve"> </w:t>
      </w:r>
      <w:r w:rsidRPr="003C6DAE">
        <w:rPr>
          <w:rFonts w:ascii="Trebuchet MS"/>
          <w:w w:val="65"/>
          <w:sz w:val="16"/>
          <w:lang w:val="uk-UA"/>
        </w:rPr>
        <w:t>[0.03,</w:t>
      </w:r>
      <w:r w:rsidRPr="003C6DAE">
        <w:rPr>
          <w:rFonts w:ascii="Trebuchet MS"/>
          <w:spacing w:val="22"/>
          <w:sz w:val="16"/>
          <w:lang w:val="uk-UA"/>
        </w:rPr>
        <w:t xml:space="preserve"> </w:t>
      </w:r>
      <w:r w:rsidRPr="003C6DAE">
        <w:rPr>
          <w:rFonts w:ascii="Trebuchet MS"/>
          <w:spacing w:val="-2"/>
          <w:w w:val="65"/>
          <w:sz w:val="16"/>
          <w:lang w:val="uk-UA"/>
        </w:rPr>
        <w:t>1.00]</w:t>
      </w:r>
    </w:p>
    <w:p w14:paraId="3BAA040F" w14:textId="77777777" w:rsidR="00E05B98" w:rsidRPr="003C6DAE" w:rsidRDefault="00B01E0C">
      <w:pPr>
        <w:spacing w:before="36"/>
        <w:ind w:left="315"/>
        <w:rPr>
          <w:rFonts w:ascii="Trebuchet MS"/>
          <w:sz w:val="16"/>
          <w:lang w:val="uk-UA"/>
        </w:rPr>
      </w:pPr>
      <w:r w:rsidRPr="003C6DAE">
        <w:rPr>
          <w:rFonts w:ascii="Trebuchet MS"/>
          <w:w w:val="65"/>
          <w:sz w:val="16"/>
          <w:lang w:val="uk-UA"/>
        </w:rPr>
        <w:t>1.00</w:t>
      </w:r>
      <w:r w:rsidRPr="003C6DAE">
        <w:rPr>
          <w:rFonts w:ascii="Trebuchet MS"/>
          <w:spacing w:val="16"/>
          <w:sz w:val="16"/>
          <w:lang w:val="uk-UA"/>
        </w:rPr>
        <w:t xml:space="preserve"> </w:t>
      </w:r>
      <w:r w:rsidRPr="003C6DAE">
        <w:rPr>
          <w:rFonts w:ascii="Trebuchet MS"/>
          <w:w w:val="65"/>
          <w:sz w:val="16"/>
          <w:lang w:val="uk-UA"/>
        </w:rPr>
        <w:t>[0.16,</w:t>
      </w:r>
      <w:r w:rsidRPr="003C6DAE">
        <w:rPr>
          <w:rFonts w:ascii="Trebuchet MS"/>
          <w:spacing w:val="22"/>
          <w:sz w:val="16"/>
          <w:lang w:val="uk-UA"/>
        </w:rPr>
        <w:t xml:space="preserve"> </w:t>
      </w:r>
      <w:r w:rsidRPr="003C6DAE">
        <w:rPr>
          <w:rFonts w:ascii="Trebuchet MS"/>
          <w:spacing w:val="-2"/>
          <w:w w:val="65"/>
          <w:sz w:val="16"/>
          <w:lang w:val="uk-UA"/>
        </w:rPr>
        <w:t>1.00]</w:t>
      </w:r>
    </w:p>
    <w:p w14:paraId="046A9A41" w14:textId="77777777" w:rsidR="00E05B98" w:rsidRPr="003C6DAE" w:rsidRDefault="00B01E0C">
      <w:pPr>
        <w:spacing w:before="36"/>
        <w:ind w:left="315"/>
        <w:rPr>
          <w:rFonts w:ascii="Trebuchet MS"/>
          <w:sz w:val="16"/>
          <w:lang w:val="uk-UA"/>
        </w:rPr>
      </w:pPr>
      <w:r w:rsidRPr="003C6DAE">
        <w:rPr>
          <w:rFonts w:ascii="Trebuchet MS"/>
          <w:w w:val="65"/>
          <w:sz w:val="16"/>
          <w:lang w:val="uk-UA"/>
        </w:rPr>
        <w:t>1.00</w:t>
      </w:r>
      <w:r w:rsidRPr="003C6DAE">
        <w:rPr>
          <w:rFonts w:ascii="Trebuchet MS"/>
          <w:spacing w:val="16"/>
          <w:sz w:val="16"/>
          <w:lang w:val="uk-UA"/>
        </w:rPr>
        <w:t xml:space="preserve"> </w:t>
      </w:r>
      <w:r w:rsidRPr="003C6DAE">
        <w:rPr>
          <w:rFonts w:ascii="Trebuchet MS"/>
          <w:w w:val="65"/>
          <w:sz w:val="16"/>
          <w:lang w:val="uk-UA"/>
        </w:rPr>
        <w:t>[0.79,</w:t>
      </w:r>
      <w:r w:rsidRPr="003C6DAE">
        <w:rPr>
          <w:rFonts w:ascii="Trebuchet MS"/>
          <w:spacing w:val="22"/>
          <w:sz w:val="16"/>
          <w:lang w:val="uk-UA"/>
        </w:rPr>
        <w:t xml:space="preserve"> </w:t>
      </w:r>
      <w:r w:rsidRPr="003C6DAE">
        <w:rPr>
          <w:rFonts w:ascii="Trebuchet MS"/>
          <w:spacing w:val="-2"/>
          <w:w w:val="65"/>
          <w:sz w:val="16"/>
          <w:lang w:val="uk-UA"/>
        </w:rPr>
        <w:t>1.00]</w:t>
      </w:r>
    </w:p>
    <w:p w14:paraId="08AC6B2F" w14:textId="77777777" w:rsidR="00E05B98" w:rsidRPr="003C6DAE" w:rsidRDefault="00B01E0C">
      <w:pPr>
        <w:spacing w:before="36"/>
        <w:ind w:left="315"/>
        <w:rPr>
          <w:rFonts w:ascii="Trebuchet MS"/>
          <w:sz w:val="16"/>
          <w:lang w:val="uk-UA"/>
        </w:rPr>
      </w:pPr>
      <w:r w:rsidRPr="003C6DAE">
        <w:rPr>
          <w:rFonts w:ascii="Trebuchet MS"/>
          <w:w w:val="65"/>
          <w:sz w:val="16"/>
          <w:lang w:val="uk-UA"/>
        </w:rPr>
        <w:t>0.97</w:t>
      </w:r>
      <w:r w:rsidRPr="003C6DAE">
        <w:rPr>
          <w:rFonts w:ascii="Trebuchet MS"/>
          <w:spacing w:val="16"/>
          <w:sz w:val="16"/>
          <w:lang w:val="uk-UA"/>
        </w:rPr>
        <w:t xml:space="preserve"> </w:t>
      </w:r>
      <w:r w:rsidRPr="003C6DAE">
        <w:rPr>
          <w:rFonts w:ascii="Trebuchet MS"/>
          <w:w w:val="65"/>
          <w:sz w:val="16"/>
          <w:lang w:val="uk-UA"/>
        </w:rPr>
        <w:t>[0.92,</w:t>
      </w:r>
      <w:r w:rsidRPr="003C6DAE">
        <w:rPr>
          <w:rFonts w:ascii="Trebuchet MS"/>
          <w:spacing w:val="22"/>
          <w:sz w:val="16"/>
          <w:lang w:val="uk-UA"/>
        </w:rPr>
        <w:t xml:space="preserve"> </w:t>
      </w:r>
      <w:r w:rsidRPr="003C6DAE">
        <w:rPr>
          <w:rFonts w:ascii="Trebuchet MS"/>
          <w:spacing w:val="-2"/>
          <w:w w:val="65"/>
          <w:sz w:val="16"/>
          <w:lang w:val="uk-UA"/>
        </w:rPr>
        <w:t>0.99]</w:t>
      </w:r>
    </w:p>
    <w:p w14:paraId="5998AD0F" w14:textId="77777777" w:rsidR="00E05B98" w:rsidRPr="003C6DAE" w:rsidRDefault="00B01E0C">
      <w:pPr>
        <w:spacing w:before="65"/>
        <w:ind w:left="305"/>
        <w:rPr>
          <w:rFonts w:ascii="Trebuchet MS"/>
          <w:sz w:val="16"/>
          <w:lang w:val="uk-UA"/>
        </w:rPr>
      </w:pPr>
      <w:r w:rsidRPr="003C6DAE">
        <w:rPr>
          <w:lang w:val="uk-UA"/>
        </w:rPr>
        <w:br w:type="column"/>
      </w:r>
      <w:r w:rsidRPr="003C6DAE">
        <w:rPr>
          <w:rFonts w:ascii="Trebuchet MS"/>
          <w:w w:val="65"/>
          <w:sz w:val="16"/>
          <w:lang w:val="uk-UA"/>
        </w:rPr>
        <w:t>0.97</w:t>
      </w:r>
      <w:r w:rsidRPr="003C6DAE">
        <w:rPr>
          <w:rFonts w:ascii="Trebuchet MS"/>
          <w:spacing w:val="16"/>
          <w:sz w:val="16"/>
          <w:lang w:val="uk-UA"/>
        </w:rPr>
        <w:t xml:space="preserve"> </w:t>
      </w:r>
      <w:r w:rsidRPr="003C6DAE">
        <w:rPr>
          <w:rFonts w:ascii="Trebuchet MS"/>
          <w:w w:val="65"/>
          <w:sz w:val="16"/>
          <w:lang w:val="uk-UA"/>
        </w:rPr>
        <w:t>[0.95,</w:t>
      </w:r>
      <w:r w:rsidRPr="003C6DAE">
        <w:rPr>
          <w:rFonts w:ascii="Trebuchet MS"/>
          <w:spacing w:val="22"/>
          <w:sz w:val="16"/>
          <w:lang w:val="uk-UA"/>
        </w:rPr>
        <w:t xml:space="preserve"> </w:t>
      </w:r>
      <w:r w:rsidRPr="003C6DAE">
        <w:rPr>
          <w:rFonts w:ascii="Trebuchet MS"/>
          <w:spacing w:val="-2"/>
          <w:w w:val="65"/>
          <w:sz w:val="16"/>
          <w:lang w:val="uk-UA"/>
        </w:rPr>
        <w:t>0.98]</w:t>
      </w:r>
    </w:p>
    <w:p w14:paraId="51340120" w14:textId="77777777" w:rsidR="00E05B98" w:rsidRPr="003C6DAE" w:rsidRDefault="00B01E0C">
      <w:pPr>
        <w:spacing w:before="36"/>
        <w:ind w:left="305"/>
        <w:rPr>
          <w:rFonts w:ascii="Trebuchet MS"/>
          <w:sz w:val="16"/>
          <w:lang w:val="uk-UA"/>
        </w:rPr>
      </w:pPr>
      <w:r w:rsidRPr="003C6DAE">
        <w:rPr>
          <w:rFonts w:ascii="Trebuchet MS"/>
          <w:w w:val="65"/>
          <w:sz w:val="16"/>
          <w:lang w:val="uk-UA"/>
        </w:rPr>
        <w:t>0.97</w:t>
      </w:r>
      <w:r w:rsidRPr="003C6DAE">
        <w:rPr>
          <w:rFonts w:ascii="Trebuchet MS"/>
          <w:spacing w:val="16"/>
          <w:sz w:val="16"/>
          <w:lang w:val="uk-UA"/>
        </w:rPr>
        <w:t xml:space="preserve"> </w:t>
      </w:r>
      <w:r w:rsidRPr="003C6DAE">
        <w:rPr>
          <w:rFonts w:ascii="Trebuchet MS"/>
          <w:w w:val="65"/>
          <w:sz w:val="16"/>
          <w:lang w:val="uk-UA"/>
        </w:rPr>
        <w:t>[0.94,</w:t>
      </w:r>
      <w:r w:rsidRPr="003C6DAE">
        <w:rPr>
          <w:rFonts w:ascii="Trebuchet MS"/>
          <w:spacing w:val="22"/>
          <w:sz w:val="16"/>
          <w:lang w:val="uk-UA"/>
        </w:rPr>
        <w:t xml:space="preserve"> </w:t>
      </w:r>
      <w:r w:rsidRPr="003C6DAE">
        <w:rPr>
          <w:rFonts w:ascii="Trebuchet MS"/>
          <w:spacing w:val="-2"/>
          <w:w w:val="65"/>
          <w:sz w:val="16"/>
          <w:lang w:val="uk-UA"/>
        </w:rPr>
        <w:t>0.99]</w:t>
      </w:r>
    </w:p>
    <w:p w14:paraId="531BF8F3" w14:textId="77777777" w:rsidR="00E05B98" w:rsidRPr="003C6DAE" w:rsidRDefault="00B01E0C">
      <w:pPr>
        <w:spacing w:before="36"/>
        <w:ind w:left="305"/>
        <w:rPr>
          <w:rFonts w:ascii="Trebuchet MS"/>
          <w:sz w:val="16"/>
          <w:lang w:val="uk-UA"/>
        </w:rPr>
      </w:pPr>
      <w:r w:rsidRPr="003C6DAE">
        <w:rPr>
          <w:rFonts w:ascii="Trebuchet MS"/>
          <w:w w:val="65"/>
          <w:sz w:val="16"/>
          <w:lang w:val="uk-UA"/>
        </w:rPr>
        <w:t>1.00</w:t>
      </w:r>
      <w:r w:rsidRPr="003C6DAE">
        <w:rPr>
          <w:rFonts w:ascii="Trebuchet MS"/>
          <w:spacing w:val="16"/>
          <w:sz w:val="16"/>
          <w:lang w:val="uk-UA"/>
        </w:rPr>
        <w:t xml:space="preserve"> </w:t>
      </w:r>
      <w:r w:rsidRPr="003C6DAE">
        <w:rPr>
          <w:rFonts w:ascii="Trebuchet MS"/>
          <w:w w:val="65"/>
          <w:sz w:val="16"/>
          <w:lang w:val="uk-UA"/>
        </w:rPr>
        <w:t>[0.29,</w:t>
      </w:r>
      <w:r w:rsidRPr="003C6DAE">
        <w:rPr>
          <w:rFonts w:ascii="Trebuchet MS"/>
          <w:spacing w:val="22"/>
          <w:sz w:val="16"/>
          <w:lang w:val="uk-UA"/>
        </w:rPr>
        <w:t xml:space="preserve"> </w:t>
      </w:r>
      <w:r w:rsidRPr="003C6DAE">
        <w:rPr>
          <w:rFonts w:ascii="Trebuchet MS"/>
          <w:spacing w:val="-2"/>
          <w:w w:val="65"/>
          <w:sz w:val="16"/>
          <w:lang w:val="uk-UA"/>
        </w:rPr>
        <w:t>1.00]</w:t>
      </w:r>
    </w:p>
    <w:p w14:paraId="732A5153" w14:textId="77777777" w:rsidR="00E05B98" w:rsidRPr="003C6DAE" w:rsidRDefault="00B01E0C">
      <w:pPr>
        <w:spacing w:before="36"/>
        <w:ind w:left="305"/>
        <w:rPr>
          <w:rFonts w:ascii="Trebuchet MS"/>
          <w:sz w:val="16"/>
          <w:lang w:val="uk-UA"/>
        </w:rPr>
      </w:pPr>
      <w:r w:rsidRPr="003C6DAE">
        <w:rPr>
          <w:rFonts w:ascii="Trebuchet MS"/>
          <w:w w:val="65"/>
          <w:sz w:val="16"/>
          <w:lang w:val="uk-UA"/>
        </w:rPr>
        <w:t>0.98</w:t>
      </w:r>
      <w:r w:rsidRPr="003C6DAE">
        <w:rPr>
          <w:rFonts w:ascii="Trebuchet MS"/>
          <w:spacing w:val="16"/>
          <w:sz w:val="16"/>
          <w:lang w:val="uk-UA"/>
        </w:rPr>
        <w:t xml:space="preserve"> </w:t>
      </w:r>
      <w:r w:rsidRPr="003C6DAE">
        <w:rPr>
          <w:rFonts w:ascii="Trebuchet MS"/>
          <w:w w:val="65"/>
          <w:sz w:val="16"/>
          <w:lang w:val="uk-UA"/>
        </w:rPr>
        <w:t>[0.90,</w:t>
      </w:r>
      <w:r w:rsidRPr="003C6DAE">
        <w:rPr>
          <w:rFonts w:ascii="Trebuchet MS"/>
          <w:spacing w:val="22"/>
          <w:sz w:val="16"/>
          <w:lang w:val="uk-UA"/>
        </w:rPr>
        <w:t xml:space="preserve"> </w:t>
      </w:r>
      <w:r w:rsidRPr="003C6DAE">
        <w:rPr>
          <w:rFonts w:ascii="Trebuchet MS"/>
          <w:spacing w:val="-2"/>
          <w:w w:val="65"/>
          <w:sz w:val="16"/>
          <w:lang w:val="uk-UA"/>
        </w:rPr>
        <w:t>1.00]</w:t>
      </w:r>
    </w:p>
    <w:p w14:paraId="397ECF32" w14:textId="77777777" w:rsidR="00E05B98" w:rsidRPr="003C6DAE" w:rsidRDefault="00B01E0C">
      <w:pPr>
        <w:spacing w:before="36"/>
        <w:ind w:left="305"/>
        <w:rPr>
          <w:rFonts w:ascii="Trebuchet MS"/>
          <w:sz w:val="16"/>
          <w:lang w:val="uk-UA"/>
        </w:rPr>
      </w:pPr>
      <w:r w:rsidRPr="003C6DAE">
        <w:rPr>
          <w:rFonts w:ascii="Trebuchet MS"/>
          <w:w w:val="65"/>
          <w:sz w:val="16"/>
          <w:lang w:val="uk-UA"/>
        </w:rPr>
        <w:t>0.98</w:t>
      </w:r>
      <w:r w:rsidRPr="003C6DAE">
        <w:rPr>
          <w:rFonts w:ascii="Trebuchet MS"/>
          <w:spacing w:val="16"/>
          <w:sz w:val="16"/>
          <w:lang w:val="uk-UA"/>
        </w:rPr>
        <w:t xml:space="preserve"> </w:t>
      </w:r>
      <w:r w:rsidRPr="003C6DAE">
        <w:rPr>
          <w:rFonts w:ascii="Trebuchet MS"/>
          <w:w w:val="65"/>
          <w:sz w:val="16"/>
          <w:lang w:val="uk-UA"/>
        </w:rPr>
        <w:t>[0.93,</w:t>
      </w:r>
      <w:r w:rsidRPr="003C6DAE">
        <w:rPr>
          <w:rFonts w:ascii="Trebuchet MS"/>
          <w:spacing w:val="22"/>
          <w:sz w:val="16"/>
          <w:lang w:val="uk-UA"/>
        </w:rPr>
        <w:t xml:space="preserve"> </w:t>
      </w:r>
      <w:r w:rsidRPr="003C6DAE">
        <w:rPr>
          <w:rFonts w:ascii="Trebuchet MS"/>
          <w:spacing w:val="-2"/>
          <w:w w:val="65"/>
          <w:sz w:val="16"/>
          <w:lang w:val="uk-UA"/>
        </w:rPr>
        <w:t>1.00]</w:t>
      </w:r>
    </w:p>
    <w:p w14:paraId="50DF7652" w14:textId="77777777" w:rsidR="00E05B98" w:rsidRPr="003C6DAE" w:rsidRDefault="00B01E0C">
      <w:pPr>
        <w:spacing w:before="37"/>
        <w:ind w:left="305"/>
        <w:rPr>
          <w:rFonts w:ascii="Trebuchet MS"/>
          <w:sz w:val="16"/>
          <w:lang w:val="uk-UA"/>
        </w:rPr>
      </w:pPr>
      <w:r w:rsidRPr="003C6DAE">
        <w:rPr>
          <w:rFonts w:ascii="Trebuchet MS"/>
          <w:w w:val="65"/>
          <w:sz w:val="16"/>
          <w:lang w:val="uk-UA"/>
        </w:rPr>
        <w:t>1.00</w:t>
      </w:r>
      <w:r w:rsidRPr="003C6DAE">
        <w:rPr>
          <w:rFonts w:ascii="Trebuchet MS"/>
          <w:spacing w:val="16"/>
          <w:sz w:val="16"/>
          <w:lang w:val="uk-UA"/>
        </w:rPr>
        <w:t xml:space="preserve"> </w:t>
      </w:r>
      <w:r w:rsidRPr="003C6DAE">
        <w:rPr>
          <w:rFonts w:ascii="Trebuchet MS"/>
          <w:w w:val="65"/>
          <w:sz w:val="16"/>
          <w:lang w:val="uk-UA"/>
        </w:rPr>
        <w:t>[0.69,</w:t>
      </w:r>
      <w:r w:rsidRPr="003C6DAE">
        <w:rPr>
          <w:rFonts w:ascii="Trebuchet MS"/>
          <w:spacing w:val="22"/>
          <w:sz w:val="16"/>
          <w:lang w:val="uk-UA"/>
        </w:rPr>
        <w:t xml:space="preserve"> </w:t>
      </w:r>
      <w:r w:rsidRPr="003C6DAE">
        <w:rPr>
          <w:rFonts w:ascii="Trebuchet MS"/>
          <w:spacing w:val="-2"/>
          <w:w w:val="65"/>
          <w:sz w:val="16"/>
          <w:lang w:val="uk-UA"/>
        </w:rPr>
        <w:t>1.00]</w:t>
      </w:r>
    </w:p>
    <w:p w14:paraId="27CB1ABB" w14:textId="77777777" w:rsidR="00E05B98" w:rsidRPr="003C6DAE" w:rsidRDefault="00B01E0C">
      <w:pPr>
        <w:spacing w:before="36"/>
        <w:ind w:left="305"/>
        <w:rPr>
          <w:rFonts w:ascii="Trebuchet MS"/>
          <w:sz w:val="16"/>
          <w:lang w:val="uk-UA"/>
        </w:rPr>
      </w:pPr>
      <w:r w:rsidRPr="003C6DAE">
        <w:rPr>
          <w:rFonts w:ascii="Trebuchet MS"/>
          <w:w w:val="65"/>
          <w:sz w:val="16"/>
          <w:lang w:val="uk-UA"/>
        </w:rPr>
        <w:t>0.98</w:t>
      </w:r>
      <w:r w:rsidRPr="003C6DAE">
        <w:rPr>
          <w:rFonts w:ascii="Trebuchet MS"/>
          <w:spacing w:val="16"/>
          <w:sz w:val="16"/>
          <w:lang w:val="uk-UA"/>
        </w:rPr>
        <w:t xml:space="preserve"> </w:t>
      </w:r>
      <w:r w:rsidRPr="003C6DAE">
        <w:rPr>
          <w:rFonts w:ascii="Trebuchet MS"/>
          <w:w w:val="65"/>
          <w:sz w:val="16"/>
          <w:lang w:val="uk-UA"/>
        </w:rPr>
        <w:t>[0.97,</w:t>
      </w:r>
      <w:r w:rsidRPr="003C6DAE">
        <w:rPr>
          <w:rFonts w:ascii="Trebuchet MS"/>
          <w:spacing w:val="22"/>
          <w:sz w:val="16"/>
          <w:lang w:val="uk-UA"/>
        </w:rPr>
        <w:t xml:space="preserve"> </w:t>
      </w:r>
      <w:r w:rsidRPr="003C6DAE">
        <w:rPr>
          <w:rFonts w:ascii="Trebuchet MS"/>
          <w:spacing w:val="-2"/>
          <w:w w:val="65"/>
          <w:sz w:val="16"/>
          <w:lang w:val="uk-UA"/>
        </w:rPr>
        <w:t>0.99]</w:t>
      </w:r>
    </w:p>
    <w:p w14:paraId="35CD43D6" w14:textId="77777777" w:rsidR="00E05B98" w:rsidRPr="003C6DAE" w:rsidRDefault="00B01E0C">
      <w:pPr>
        <w:spacing w:before="36"/>
        <w:ind w:left="305"/>
        <w:rPr>
          <w:rFonts w:ascii="Trebuchet MS"/>
          <w:sz w:val="16"/>
          <w:lang w:val="uk-UA"/>
        </w:rPr>
      </w:pPr>
      <w:r w:rsidRPr="003C6DAE">
        <w:rPr>
          <w:rFonts w:ascii="Trebuchet MS"/>
          <w:w w:val="65"/>
          <w:sz w:val="16"/>
          <w:lang w:val="uk-UA"/>
        </w:rPr>
        <w:t>1.00</w:t>
      </w:r>
      <w:r w:rsidRPr="003C6DAE">
        <w:rPr>
          <w:rFonts w:ascii="Trebuchet MS"/>
          <w:spacing w:val="16"/>
          <w:sz w:val="16"/>
          <w:lang w:val="uk-UA"/>
        </w:rPr>
        <w:t xml:space="preserve"> </w:t>
      </w:r>
      <w:r w:rsidRPr="003C6DAE">
        <w:rPr>
          <w:rFonts w:ascii="Trebuchet MS"/>
          <w:w w:val="65"/>
          <w:sz w:val="16"/>
          <w:lang w:val="uk-UA"/>
        </w:rPr>
        <w:t>[0.95,</w:t>
      </w:r>
      <w:r w:rsidRPr="003C6DAE">
        <w:rPr>
          <w:rFonts w:ascii="Trebuchet MS"/>
          <w:spacing w:val="22"/>
          <w:sz w:val="16"/>
          <w:lang w:val="uk-UA"/>
        </w:rPr>
        <w:t xml:space="preserve"> </w:t>
      </w:r>
      <w:r w:rsidRPr="003C6DAE">
        <w:rPr>
          <w:rFonts w:ascii="Trebuchet MS"/>
          <w:spacing w:val="-2"/>
          <w:w w:val="65"/>
          <w:sz w:val="16"/>
          <w:lang w:val="uk-UA"/>
        </w:rPr>
        <w:t>1.00]</w:t>
      </w:r>
    </w:p>
    <w:p w14:paraId="1EB042A9" w14:textId="77777777" w:rsidR="00E05B98" w:rsidRPr="003C6DAE" w:rsidRDefault="00B01E0C">
      <w:pPr>
        <w:spacing w:before="36"/>
        <w:ind w:left="305"/>
        <w:rPr>
          <w:rFonts w:ascii="Trebuchet MS"/>
          <w:sz w:val="16"/>
          <w:lang w:val="uk-UA"/>
        </w:rPr>
      </w:pPr>
      <w:r w:rsidRPr="003C6DAE">
        <w:rPr>
          <w:rFonts w:ascii="Trebuchet MS"/>
          <w:w w:val="65"/>
          <w:sz w:val="16"/>
          <w:lang w:val="uk-UA"/>
        </w:rPr>
        <w:t>0.97</w:t>
      </w:r>
      <w:r w:rsidRPr="003C6DAE">
        <w:rPr>
          <w:rFonts w:ascii="Trebuchet MS"/>
          <w:spacing w:val="16"/>
          <w:sz w:val="16"/>
          <w:lang w:val="uk-UA"/>
        </w:rPr>
        <w:t xml:space="preserve"> </w:t>
      </w:r>
      <w:r w:rsidRPr="003C6DAE">
        <w:rPr>
          <w:rFonts w:ascii="Trebuchet MS"/>
          <w:w w:val="65"/>
          <w:sz w:val="16"/>
          <w:lang w:val="uk-UA"/>
        </w:rPr>
        <w:t>[0.90,</w:t>
      </w:r>
      <w:r w:rsidRPr="003C6DAE">
        <w:rPr>
          <w:rFonts w:ascii="Trebuchet MS"/>
          <w:spacing w:val="22"/>
          <w:sz w:val="16"/>
          <w:lang w:val="uk-UA"/>
        </w:rPr>
        <w:t xml:space="preserve"> </w:t>
      </w:r>
      <w:r w:rsidRPr="003C6DAE">
        <w:rPr>
          <w:rFonts w:ascii="Trebuchet MS"/>
          <w:spacing w:val="-2"/>
          <w:w w:val="65"/>
          <w:sz w:val="16"/>
          <w:lang w:val="uk-UA"/>
        </w:rPr>
        <w:t>1.00]</w:t>
      </w:r>
    </w:p>
    <w:p w14:paraId="6AF9FFAB" w14:textId="77777777" w:rsidR="00E05B98" w:rsidRPr="003C6DAE" w:rsidRDefault="00B01E0C">
      <w:pPr>
        <w:spacing w:before="36"/>
        <w:ind w:left="305"/>
        <w:rPr>
          <w:rFonts w:ascii="Trebuchet MS"/>
          <w:sz w:val="16"/>
          <w:lang w:val="uk-UA"/>
        </w:rPr>
      </w:pPr>
      <w:r w:rsidRPr="003C6DAE">
        <w:rPr>
          <w:rFonts w:ascii="Trebuchet MS"/>
          <w:w w:val="65"/>
          <w:sz w:val="16"/>
          <w:lang w:val="uk-UA"/>
        </w:rPr>
        <w:t>1.00</w:t>
      </w:r>
      <w:r w:rsidRPr="003C6DAE">
        <w:rPr>
          <w:rFonts w:ascii="Trebuchet MS"/>
          <w:spacing w:val="16"/>
          <w:sz w:val="16"/>
          <w:lang w:val="uk-UA"/>
        </w:rPr>
        <w:t xml:space="preserve"> </w:t>
      </w:r>
      <w:r w:rsidRPr="003C6DAE">
        <w:rPr>
          <w:rFonts w:ascii="Trebuchet MS"/>
          <w:w w:val="65"/>
          <w:sz w:val="16"/>
          <w:lang w:val="uk-UA"/>
        </w:rPr>
        <w:t>[0.83,</w:t>
      </w:r>
      <w:r w:rsidRPr="003C6DAE">
        <w:rPr>
          <w:rFonts w:ascii="Trebuchet MS"/>
          <w:spacing w:val="22"/>
          <w:sz w:val="16"/>
          <w:lang w:val="uk-UA"/>
        </w:rPr>
        <w:t xml:space="preserve"> </w:t>
      </w:r>
      <w:r w:rsidRPr="003C6DAE">
        <w:rPr>
          <w:rFonts w:ascii="Trebuchet MS"/>
          <w:spacing w:val="-2"/>
          <w:w w:val="65"/>
          <w:sz w:val="16"/>
          <w:lang w:val="uk-UA"/>
        </w:rPr>
        <w:t>1.00]</w:t>
      </w:r>
    </w:p>
    <w:p w14:paraId="13D23EC1" w14:textId="77777777" w:rsidR="00E05B98" w:rsidRPr="003C6DAE" w:rsidRDefault="00B01E0C">
      <w:pPr>
        <w:spacing w:before="36"/>
        <w:ind w:left="305"/>
        <w:rPr>
          <w:rFonts w:ascii="Trebuchet MS"/>
          <w:sz w:val="16"/>
          <w:lang w:val="uk-UA"/>
        </w:rPr>
      </w:pPr>
      <w:r w:rsidRPr="003C6DAE">
        <w:rPr>
          <w:rFonts w:ascii="Trebuchet MS"/>
          <w:w w:val="65"/>
          <w:sz w:val="16"/>
          <w:lang w:val="uk-UA"/>
        </w:rPr>
        <w:t>1.00</w:t>
      </w:r>
      <w:r w:rsidRPr="003C6DAE">
        <w:rPr>
          <w:rFonts w:ascii="Trebuchet MS"/>
          <w:spacing w:val="16"/>
          <w:sz w:val="16"/>
          <w:lang w:val="uk-UA"/>
        </w:rPr>
        <w:t xml:space="preserve"> </w:t>
      </w:r>
      <w:r w:rsidRPr="003C6DAE">
        <w:rPr>
          <w:rFonts w:ascii="Trebuchet MS"/>
          <w:w w:val="65"/>
          <w:sz w:val="16"/>
          <w:lang w:val="uk-UA"/>
        </w:rPr>
        <w:t>[0.97,</w:t>
      </w:r>
      <w:r w:rsidRPr="003C6DAE">
        <w:rPr>
          <w:rFonts w:ascii="Trebuchet MS"/>
          <w:spacing w:val="22"/>
          <w:sz w:val="16"/>
          <w:lang w:val="uk-UA"/>
        </w:rPr>
        <w:t xml:space="preserve"> </w:t>
      </w:r>
      <w:r w:rsidRPr="003C6DAE">
        <w:rPr>
          <w:rFonts w:ascii="Trebuchet MS"/>
          <w:spacing w:val="-2"/>
          <w:w w:val="65"/>
          <w:sz w:val="16"/>
          <w:lang w:val="uk-UA"/>
        </w:rPr>
        <w:t>1.00]</w:t>
      </w:r>
    </w:p>
    <w:p w14:paraId="03BE40DE" w14:textId="77777777" w:rsidR="00E05B98" w:rsidRPr="003C6DAE" w:rsidRDefault="00B01E0C">
      <w:pPr>
        <w:spacing w:before="36"/>
        <w:ind w:left="305"/>
        <w:rPr>
          <w:rFonts w:ascii="Trebuchet MS"/>
          <w:sz w:val="16"/>
          <w:lang w:val="uk-UA"/>
        </w:rPr>
      </w:pPr>
      <w:r w:rsidRPr="003C6DAE">
        <w:rPr>
          <w:rFonts w:ascii="Trebuchet MS"/>
          <w:w w:val="65"/>
          <w:sz w:val="16"/>
          <w:lang w:val="uk-UA"/>
        </w:rPr>
        <w:t>1.00</w:t>
      </w:r>
      <w:r w:rsidRPr="003C6DAE">
        <w:rPr>
          <w:rFonts w:ascii="Trebuchet MS"/>
          <w:spacing w:val="16"/>
          <w:sz w:val="16"/>
          <w:lang w:val="uk-UA"/>
        </w:rPr>
        <w:t xml:space="preserve"> </w:t>
      </w:r>
      <w:r w:rsidRPr="003C6DAE">
        <w:rPr>
          <w:rFonts w:ascii="Trebuchet MS"/>
          <w:w w:val="65"/>
          <w:sz w:val="16"/>
          <w:lang w:val="uk-UA"/>
        </w:rPr>
        <w:t>[0.95,</w:t>
      </w:r>
      <w:r w:rsidRPr="003C6DAE">
        <w:rPr>
          <w:rFonts w:ascii="Trebuchet MS"/>
          <w:spacing w:val="22"/>
          <w:sz w:val="16"/>
          <w:lang w:val="uk-UA"/>
        </w:rPr>
        <w:t xml:space="preserve"> </w:t>
      </w:r>
      <w:r w:rsidRPr="003C6DAE">
        <w:rPr>
          <w:rFonts w:ascii="Trebuchet MS"/>
          <w:spacing w:val="-2"/>
          <w:w w:val="65"/>
          <w:sz w:val="16"/>
          <w:lang w:val="uk-UA"/>
        </w:rPr>
        <w:t>1.00]</w:t>
      </w:r>
    </w:p>
    <w:p w14:paraId="34CB3474" w14:textId="77777777" w:rsidR="00E05B98" w:rsidRPr="003C6DAE" w:rsidRDefault="00B01E0C">
      <w:pPr>
        <w:spacing w:before="36"/>
        <w:ind w:left="305"/>
        <w:rPr>
          <w:rFonts w:ascii="Trebuchet MS"/>
          <w:sz w:val="16"/>
          <w:lang w:val="uk-UA"/>
        </w:rPr>
      </w:pPr>
      <w:r w:rsidRPr="003C6DAE">
        <w:rPr>
          <w:rFonts w:ascii="Trebuchet MS"/>
          <w:w w:val="65"/>
          <w:sz w:val="16"/>
          <w:lang w:val="uk-UA"/>
        </w:rPr>
        <w:t>0.97</w:t>
      </w:r>
      <w:r w:rsidRPr="003C6DAE">
        <w:rPr>
          <w:rFonts w:ascii="Trebuchet MS"/>
          <w:spacing w:val="16"/>
          <w:sz w:val="16"/>
          <w:lang w:val="uk-UA"/>
        </w:rPr>
        <w:t xml:space="preserve"> </w:t>
      </w:r>
      <w:r w:rsidRPr="003C6DAE">
        <w:rPr>
          <w:rFonts w:ascii="Trebuchet MS"/>
          <w:w w:val="65"/>
          <w:sz w:val="16"/>
          <w:lang w:val="uk-UA"/>
        </w:rPr>
        <w:t>[0.94,</w:t>
      </w:r>
      <w:r w:rsidRPr="003C6DAE">
        <w:rPr>
          <w:rFonts w:ascii="Trebuchet MS"/>
          <w:spacing w:val="22"/>
          <w:sz w:val="16"/>
          <w:lang w:val="uk-UA"/>
        </w:rPr>
        <w:t xml:space="preserve"> </w:t>
      </w:r>
      <w:r w:rsidRPr="003C6DAE">
        <w:rPr>
          <w:rFonts w:ascii="Trebuchet MS"/>
          <w:spacing w:val="-2"/>
          <w:w w:val="65"/>
          <w:sz w:val="16"/>
          <w:lang w:val="uk-UA"/>
        </w:rPr>
        <w:t>0.99]</w:t>
      </w:r>
    </w:p>
    <w:p w14:paraId="72A81BA2" w14:textId="77777777" w:rsidR="00E05B98" w:rsidRPr="003C6DAE" w:rsidRDefault="00B01E0C">
      <w:pPr>
        <w:spacing w:before="4" w:after="25"/>
        <w:rPr>
          <w:rFonts w:ascii="Trebuchet MS"/>
          <w:sz w:val="4"/>
          <w:lang w:val="uk-UA"/>
        </w:rPr>
      </w:pPr>
      <w:r w:rsidRPr="003C6DAE">
        <w:rPr>
          <w:lang w:val="uk-UA"/>
        </w:rPr>
        <w:br w:type="column"/>
      </w:r>
    </w:p>
    <w:p w14:paraId="3638F95B" w14:textId="77777777" w:rsidR="00E05B98" w:rsidRPr="003C6DAE" w:rsidRDefault="00B01E0C">
      <w:pPr>
        <w:pStyle w:val="a3"/>
        <w:spacing w:line="97" w:lineRule="exact"/>
        <w:ind w:left="512"/>
        <w:rPr>
          <w:rFonts w:ascii="Trebuchet MS"/>
          <w:position w:val="-1"/>
          <w:sz w:val="9"/>
          <w:lang w:val="uk-UA"/>
        </w:rPr>
      </w:pPr>
      <w:r w:rsidRPr="003C6DAE">
        <w:rPr>
          <w:rFonts w:ascii="Trebuchet MS"/>
          <w:noProof/>
          <w:position w:val="-1"/>
          <w:sz w:val="9"/>
          <w:lang w:val="uk-UA"/>
        </w:rPr>
        <mc:AlternateContent>
          <mc:Choice Requires="wpg">
            <w:drawing>
              <wp:inline distT="0" distB="0" distL="0" distR="0" wp14:anchorId="7C66958C" wp14:editId="06840849">
                <wp:extent cx="210820" cy="62230"/>
                <wp:effectExtent l="9525" t="0" r="0" b="4444"/>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62230"/>
                          <a:chOff x="0" y="0"/>
                          <a:chExt cx="210820" cy="62230"/>
                        </a:xfrm>
                      </wpg:grpSpPr>
                      <wps:wsp>
                        <wps:cNvPr id="403" name="Graphic 403"/>
                        <wps:cNvSpPr/>
                        <wps:spPr>
                          <a:xfrm>
                            <a:off x="0" y="26421"/>
                            <a:ext cx="210820" cy="1270"/>
                          </a:xfrm>
                          <a:custGeom>
                            <a:avLst/>
                            <a:gdLst/>
                            <a:ahLst/>
                            <a:cxnLst/>
                            <a:rect l="l" t="t" r="r" b="b"/>
                            <a:pathLst>
                              <a:path w="210820">
                                <a:moveTo>
                                  <a:pt x="0" y="0"/>
                                </a:moveTo>
                                <a:lnTo>
                                  <a:pt x="210715" y="0"/>
                                </a:lnTo>
                              </a:path>
                            </a:pathLst>
                          </a:custGeom>
                          <a:ln w="8807">
                            <a:solidFill>
                              <a:srgbClr val="000000"/>
                            </a:solidFill>
                            <a:prstDash val="solid"/>
                          </a:ln>
                        </wps:spPr>
                        <wps:bodyPr wrap="square" lIns="0" tIns="0" rIns="0" bIns="0" rtlCol="0">
                          <a:prstTxWarp prst="textNoShape">
                            <a:avLst/>
                          </a:prstTxWarp>
                          <a:noAutofit/>
                        </wps:bodyPr>
                      </wps:wsp>
                      <wps:wsp>
                        <wps:cNvPr id="404" name="Graphic 404"/>
                        <wps:cNvSpPr/>
                        <wps:spPr>
                          <a:xfrm>
                            <a:off x="86862" y="0"/>
                            <a:ext cx="46355" cy="62230"/>
                          </a:xfrm>
                          <a:custGeom>
                            <a:avLst/>
                            <a:gdLst/>
                            <a:ahLst/>
                            <a:cxnLst/>
                            <a:rect l="l" t="t" r="r" b="b"/>
                            <a:pathLst>
                              <a:path w="46355" h="62230">
                                <a:moveTo>
                                  <a:pt x="46237" y="61650"/>
                                </a:moveTo>
                                <a:lnTo>
                                  <a:pt x="0" y="61650"/>
                                </a:lnTo>
                                <a:lnTo>
                                  <a:pt x="0" y="0"/>
                                </a:lnTo>
                                <a:lnTo>
                                  <a:pt x="46237" y="0"/>
                                </a:lnTo>
                                <a:lnTo>
                                  <a:pt x="46237" y="61650"/>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67C9F0B6" id="Group 402" o:spid="_x0000_s1026" style="width:16.6pt;height:4.9pt;mso-position-horizontal-relative:char;mso-position-vertical-relative:line" coordsize="210820,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">
                <v:shape id="Graphic 403" o:spid="_x0000_s1027" style="position:absolute;top:26421;width:210820;height:1270;visibility:visible;mso-wrap-style:square;v-text-anchor:top" coordsize="210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" path="m,l210715,e" filled="f" strokeweight=".24464mm">
                  <v:path arrowok="t"/>
                </v:shape>
                <v:shape id="Graphic 404" o:spid="_x0000_s1028" style="position:absolute;left:86862;width:46355;height:62230;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" path="m46237,61650l,61650,,,46237,r,61650xe" fillcolor="#0000c0" stroked="f">
                  <v:path arrowok="t"/>
                </v:shape>
                <w10:anchorlock/>
              </v:group>
            </w:pict>
          </mc:Fallback>
        </mc:AlternateContent>
      </w:r>
    </w:p>
    <w:p w14:paraId="42C2FA4A" w14:textId="77777777" w:rsidR="00E05B98" w:rsidRPr="003C6DAE" w:rsidRDefault="00B01E0C">
      <w:pPr>
        <w:pStyle w:val="a3"/>
        <w:spacing w:before="8"/>
        <w:rPr>
          <w:rFonts w:ascii="Trebuchet MS"/>
          <w:sz w:val="8"/>
          <w:lang w:val="uk-UA"/>
        </w:rPr>
      </w:pPr>
      <w:r w:rsidRPr="003C6DAE">
        <w:rPr>
          <w:rFonts w:ascii="Trebuchet MS"/>
          <w:noProof/>
          <w:sz w:val="8"/>
          <w:lang w:val="uk-UA"/>
        </w:rPr>
        <mc:AlternateContent>
          <mc:Choice Requires="wpg">
            <w:drawing>
              <wp:anchor distT="0" distB="0" distL="0" distR="0" simplePos="0" relativeHeight="487683072" behindDoc="1" locked="0" layoutInCell="1" allowOverlap="1" wp14:anchorId="123E85B4" wp14:editId="77D16D39">
                <wp:simplePos x="0" y="0"/>
                <wp:positionH relativeFrom="page">
                  <wp:posOffset>5512620</wp:posOffset>
                </wp:positionH>
                <wp:positionV relativeFrom="paragraph">
                  <wp:posOffset>79323</wp:posOffset>
                </wp:positionV>
                <wp:extent cx="168275" cy="62230"/>
                <wp:effectExtent l="0" t="0" r="0" b="0"/>
                <wp:wrapTopAndBottom/>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 cy="62230"/>
                          <a:chOff x="0" y="0"/>
                          <a:chExt cx="168275" cy="62230"/>
                        </a:xfrm>
                      </wpg:grpSpPr>
                      <wps:wsp>
                        <wps:cNvPr id="406" name="Graphic 406"/>
                        <wps:cNvSpPr/>
                        <wps:spPr>
                          <a:xfrm>
                            <a:off x="0" y="26421"/>
                            <a:ext cx="168275" cy="1270"/>
                          </a:xfrm>
                          <a:custGeom>
                            <a:avLst/>
                            <a:gdLst/>
                            <a:ahLst/>
                            <a:cxnLst/>
                            <a:rect l="l" t="t" r="r" b="b"/>
                            <a:pathLst>
                              <a:path w="168275">
                                <a:moveTo>
                                  <a:pt x="0" y="0"/>
                                </a:moveTo>
                                <a:lnTo>
                                  <a:pt x="167779" y="0"/>
                                </a:lnTo>
                              </a:path>
                            </a:pathLst>
                          </a:custGeom>
                          <a:ln w="8807">
                            <a:solidFill>
                              <a:srgbClr val="000000"/>
                            </a:solidFill>
                            <a:prstDash val="solid"/>
                          </a:ln>
                        </wps:spPr>
                        <wps:bodyPr wrap="square" lIns="0" tIns="0" rIns="0" bIns="0" rtlCol="0">
                          <a:prstTxWarp prst="textNoShape">
                            <a:avLst/>
                          </a:prstTxWarp>
                          <a:noAutofit/>
                        </wps:bodyPr>
                      </wps:wsp>
                      <wps:wsp>
                        <wps:cNvPr id="407" name="Graphic 407"/>
                        <wps:cNvSpPr/>
                        <wps:spPr>
                          <a:xfrm>
                            <a:off x="80587" y="0"/>
                            <a:ext cx="46355" cy="62230"/>
                          </a:xfrm>
                          <a:custGeom>
                            <a:avLst/>
                            <a:gdLst/>
                            <a:ahLst/>
                            <a:cxnLst/>
                            <a:rect l="l" t="t" r="r" b="b"/>
                            <a:pathLst>
                              <a:path w="46355" h="62230">
                                <a:moveTo>
                                  <a:pt x="46237" y="61650"/>
                                </a:moveTo>
                                <a:lnTo>
                                  <a:pt x="0" y="61650"/>
                                </a:lnTo>
                                <a:lnTo>
                                  <a:pt x="0" y="0"/>
                                </a:lnTo>
                                <a:lnTo>
                                  <a:pt x="46237" y="0"/>
                                </a:lnTo>
                                <a:lnTo>
                                  <a:pt x="46237" y="616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EAE4134" id="Group 405" o:spid="_x0000_s1026" style="position:absolute;margin-left:434.05pt;margin-top:6.25pt;width:13.25pt;height:4.9pt;z-index:-15633408;mso-wrap-distance-left:0;mso-wrap-distance-right:0;mso-position-horizontal-relative:page" coordsize="168275,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">
                <v:shape id="Graphic 406" o:spid="_x0000_s1027" style="position:absolute;top:26421;width:168275;height:1270;visibility:visible;mso-wrap-style:square;v-text-anchor:top" coordsize="16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" path="m,l167779,e" filled="f" strokeweight=".24464mm">
                  <v:path arrowok="t"/>
                </v:shape>
                <v:shape id="Graphic 407" o:spid="_x0000_s1028" style="position:absolute;left:80587;width:46355;height:62230;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" path="m46237,61650l,61650,,,46237,r,61650xe" fillcolor="#0000c0" stroked="f">
                  <v:path arrowok="t"/>
                </v:shape>
                <w10:wrap type="topAndBottom" anchorx="page"/>
              </v:group>
            </w:pict>
          </mc:Fallback>
        </mc:AlternateContent>
      </w:r>
    </w:p>
    <w:p w14:paraId="4D08C7BE" w14:textId="77777777" w:rsidR="00E05B98" w:rsidRPr="003C6DAE" w:rsidRDefault="00E05B98">
      <w:pPr>
        <w:pStyle w:val="a3"/>
        <w:rPr>
          <w:rFonts w:ascii="Trebuchet MS"/>
          <w:sz w:val="20"/>
          <w:lang w:val="uk-UA"/>
        </w:rPr>
      </w:pPr>
    </w:p>
    <w:p w14:paraId="64E39C36" w14:textId="77777777" w:rsidR="00E05B98" w:rsidRPr="003C6DAE" w:rsidRDefault="00E05B98">
      <w:pPr>
        <w:pStyle w:val="a3"/>
        <w:spacing w:before="104"/>
        <w:rPr>
          <w:rFonts w:ascii="Trebuchet MS"/>
          <w:sz w:val="20"/>
          <w:lang w:val="uk-UA"/>
        </w:rPr>
      </w:pPr>
    </w:p>
    <w:p w14:paraId="0AECBBCE" w14:textId="77777777" w:rsidR="00E05B98" w:rsidRPr="003C6DAE" w:rsidRDefault="00B01E0C">
      <w:pPr>
        <w:pStyle w:val="a3"/>
        <w:spacing w:line="97" w:lineRule="exact"/>
        <w:ind w:left="1023" w:right="-72"/>
        <w:rPr>
          <w:rFonts w:ascii="Trebuchet MS"/>
          <w:position w:val="-1"/>
          <w:sz w:val="9"/>
          <w:lang w:val="uk-UA"/>
        </w:rPr>
      </w:pPr>
      <w:r w:rsidRPr="003C6DAE">
        <w:rPr>
          <w:rFonts w:ascii="Trebuchet MS"/>
          <w:noProof/>
          <w:position w:val="-1"/>
          <w:sz w:val="9"/>
          <w:lang w:val="uk-UA"/>
        </w:rPr>
        <mc:AlternateContent>
          <mc:Choice Requires="wpg">
            <w:drawing>
              <wp:inline distT="0" distB="0" distL="0" distR="0" wp14:anchorId="1571FC47" wp14:editId="50E7DE8C">
                <wp:extent cx="146050" cy="62230"/>
                <wp:effectExtent l="9525" t="0" r="0" b="4444"/>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050" cy="62230"/>
                          <a:chOff x="0" y="0"/>
                          <a:chExt cx="146050" cy="62230"/>
                        </a:xfrm>
                      </wpg:grpSpPr>
                      <wps:wsp>
                        <wps:cNvPr id="409" name="Graphic 409"/>
                        <wps:cNvSpPr/>
                        <wps:spPr>
                          <a:xfrm>
                            <a:off x="0" y="26421"/>
                            <a:ext cx="146050" cy="1270"/>
                          </a:xfrm>
                          <a:custGeom>
                            <a:avLst/>
                            <a:gdLst/>
                            <a:ahLst/>
                            <a:cxnLst/>
                            <a:rect l="l" t="t" r="r" b="b"/>
                            <a:pathLst>
                              <a:path w="146050">
                                <a:moveTo>
                                  <a:pt x="0" y="0"/>
                                </a:moveTo>
                                <a:lnTo>
                                  <a:pt x="145981" y="0"/>
                                </a:lnTo>
                              </a:path>
                            </a:pathLst>
                          </a:custGeom>
                          <a:ln w="8807">
                            <a:solidFill>
                              <a:srgbClr val="000000"/>
                            </a:solidFill>
                            <a:prstDash val="solid"/>
                          </a:ln>
                        </wps:spPr>
                        <wps:bodyPr wrap="square" lIns="0" tIns="0" rIns="0" bIns="0" rtlCol="0">
                          <a:prstTxWarp prst="textNoShape">
                            <a:avLst/>
                          </a:prstTxWarp>
                          <a:noAutofit/>
                        </wps:bodyPr>
                      </wps:wsp>
                      <wps:wsp>
                        <wps:cNvPr id="410" name="Graphic 410"/>
                        <wps:cNvSpPr/>
                        <wps:spPr>
                          <a:xfrm>
                            <a:off x="80257" y="0"/>
                            <a:ext cx="46355" cy="62230"/>
                          </a:xfrm>
                          <a:custGeom>
                            <a:avLst/>
                            <a:gdLst/>
                            <a:ahLst/>
                            <a:cxnLst/>
                            <a:rect l="l" t="t" r="r" b="b"/>
                            <a:pathLst>
                              <a:path w="46355" h="62230">
                                <a:moveTo>
                                  <a:pt x="46237" y="61650"/>
                                </a:moveTo>
                                <a:lnTo>
                                  <a:pt x="0" y="61650"/>
                                </a:lnTo>
                                <a:lnTo>
                                  <a:pt x="0" y="0"/>
                                </a:lnTo>
                                <a:lnTo>
                                  <a:pt x="46237" y="0"/>
                                </a:lnTo>
                                <a:lnTo>
                                  <a:pt x="46237" y="61650"/>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31063C7A" id="Group 408" o:spid="_x0000_s1026" style="width:11.5pt;height:4.9pt;mso-position-horizontal-relative:char;mso-position-vertical-relative:line" coordsize="146050,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">
                <v:shape id="Graphic 409" o:spid="_x0000_s1027" style="position:absolute;top:26421;width:146050;height:1270;visibility:visible;mso-wrap-style:square;v-text-anchor:top" coordsize="146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" path="m,l145981,e" filled="f" strokeweight=".24464mm">
                  <v:path arrowok="t"/>
                </v:shape>
                <v:shape id="Graphic 410" o:spid="_x0000_s1028" style="position:absolute;left:80257;width:46355;height:62230;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" path="m46237,61650l,61650,,,46237,r,61650xe" fillcolor="#0000c0" stroked="f">
                  <v:path arrowok="t"/>
                </v:shape>
                <w10:anchorlock/>
              </v:group>
            </w:pict>
          </mc:Fallback>
        </mc:AlternateContent>
      </w:r>
    </w:p>
    <w:p w14:paraId="36ED8ECD" w14:textId="77777777" w:rsidR="00E05B98" w:rsidRPr="003C6DAE" w:rsidRDefault="00B01E0C">
      <w:pPr>
        <w:pStyle w:val="a3"/>
        <w:spacing w:before="90"/>
        <w:rPr>
          <w:rFonts w:ascii="Trebuchet MS"/>
          <w:sz w:val="20"/>
          <w:lang w:val="uk-UA"/>
        </w:rPr>
      </w:pPr>
      <w:r w:rsidRPr="003C6DAE">
        <w:rPr>
          <w:rFonts w:ascii="Trebuchet MS"/>
          <w:noProof/>
          <w:sz w:val="20"/>
          <w:lang w:val="uk-UA"/>
        </w:rPr>
        <mc:AlternateContent>
          <mc:Choice Requires="wpg">
            <w:drawing>
              <wp:anchor distT="0" distB="0" distL="0" distR="0" simplePos="0" relativeHeight="487684096" behindDoc="1" locked="0" layoutInCell="1" allowOverlap="1" wp14:anchorId="6A5187E2" wp14:editId="38580EB5">
                <wp:simplePos x="0" y="0"/>
                <wp:positionH relativeFrom="page">
                  <wp:posOffset>5659592</wp:posOffset>
                </wp:positionH>
                <wp:positionV relativeFrom="paragraph">
                  <wp:posOffset>220239</wp:posOffset>
                </wp:positionV>
                <wp:extent cx="61594" cy="62230"/>
                <wp:effectExtent l="0" t="0" r="0" b="0"/>
                <wp:wrapTopAndBottom/>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4" cy="62230"/>
                          <a:chOff x="0" y="0"/>
                          <a:chExt cx="61594" cy="62230"/>
                        </a:xfrm>
                      </wpg:grpSpPr>
                      <wps:wsp>
                        <wps:cNvPr id="412" name="Graphic 412"/>
                        <wps:cNvSpPr/>
                        <wps:spPr>
                          <a:xfrm>
                            <a:off x="0" y="26422"/>
                            <a:ext cx="56515" cy="1270"/>
                          </a:xfrm>
                          <a:custGeom>
                            <a:avLst/>
                            <a:gdLst/>
                            <a:ahLst/>
                            <a:cxnLst/>
                            <a:rect l="l" t="t" r="r" b="b"/>
                            <a:pathLst>
                              <a:path w="56515">
                                <a:moveTo>
                                  <a:pt x="0" y="0"/>
                                </a:moveTo>
                                <a:lnTo>
                                  <a:pt x="56477" y="0"/>
                                </a:lnTo>
                              </a:path>
                            </a:pathLst>
                          </a:custGeom>
                          <a:ln w="8807">
                            <a:solidFill>
                              <a:srgbClr val="000000"/>
                            </a:solidFill>
                            <a:prstDash val="solid"/>
                          </a:ln>
                        </wps:spPr>
                        <wps:bodyPr wrap="square" lIns="0" tIns="0" rIns="0" bIns="0" rtlCol="0">
                          <a:prstTxWarp prst="textNoShape">
                            <a:avLst/>
                          </a:prstTxWarp>
                          <a:noAutofit/>
                        </wps:bodyPr>
                      </wps:wsp>
                      <wps:wsp>
                        <wps:cNvPr id="413" name="Graphic 413"/>
                        <wps:cNvSpPr/>
                        <wps:spPr>
                          <a:xfrm>
                            <a:off x="14861" y="0"/>
                            <a:ext cx="46355" cy="62230"/>
                          </a:xfrm>
                          <a:custGeom>
                            <a:avLst/>
                            <a:gdLst/>
                            <a:ahLst/>
                            <a:cxnLst/>
                            <a:rect l="l" t="t" r="r" b="b"/>
                            <a:pathLst>
                              <a:path w="46355" h="62230">
                                <a:moveTo>
                                  <a:pt x="46239" y="61652"/>
                                </a:moveTo>
                                <a:lnTo>
                                  <a:pt x="0" y="61652"/>
                                </a:lnTo>
                                <a:lnTo>
                                  <a:pt x="0" y="0"/>
                                </a:lnTo>
                                <a:lnTo>
                                  <a:pt x="46239" y="0"/>
                                </a:lnTo>
                                <a:lnTo>
                                  <a:pt x="46239" y="61652"/>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7C5D7AD" id="Group 411" o:spid="_x0000_s1026" style="position:absolute;margin-left:445.65pt;margin-top:17.35pt;width:4.85pt;height:4.9pt;z-index:-15632384;mso-wrap-distance-left:0;mso-wrap-distance-right:0;mso-position-horizontal-relative:page" coordsize="61594,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">
                <v:shape id="Graphic 412" o:spid="_x0000_s1027" style="position:absolute;top:26422;width:56515;height:1270;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" path="m,l56477,e" filled="f" strokeweight=".24464mm">
                  <v:path arrowok="t"/>
                </v:shape>
                <v:shape id="Graphic 413" o:spid="_x0000_s1028" style="position:absolute;left:14861;width:46355;height:62230;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" path="m46239,61652l,61652,,,46239,r,61652xe" fillcolor="#0000c0" stroked="f">
                  <v:path arrowok="t"/>
                </v:shape>
                <w10:wrap type="topAndBottom" anchorx="page"/>
              </v:group>
            </w:pict>
          </mc:Fallback>
        </mc:AlternateContent>
      </w:r>
    </w:p>
    <w:p w14:paraId="528C1474" w14:textId="77777777" w:rsidR="00E05B98" w:rsidRPr="003C6DAE" w:rsidRDefault="00E05B98">
      <w:pPr>
        <w:pStyle w:val="a3"/>
        <w:rPr>
          <w:rFonts w:ascii="Trebuchet MS"/>
          <w:sz w:val="20"/>
          <w:lang w:val="uk-UA"/>
        </w:rPr>
      </w:pPr>
    </w:p>
    <w:p w14:paraId="62F99901" w14:textId="77777777" w:rsidR="00E05B98" w:rsidRPr="003C6DAE" w:rsidRDefault="00E05B98">
      <w:pPr>
        <w:pStyle w:val="a3"/>
        <w:rPr>
          <w:rFonts w:ascii="Trebuchet MS"/>
          <w:sz w:val="20"/>
          <w:lang w:val="uk-UA"/>
        </w:rPr>
      </w:pPr>
    </w:p>
    <w:p w14:paraId="1C6FA6AA" w14:textId="77777777" w:rsidR="00E05B98" w:rsidRPr="003C6DAE" w:rsidRDefault="00E05B98">
      <w:pPr>
        <w:pStyle w:val="a3"/>
        <w:rPr>
          <w:rFonts w:ascii="Trebuchet MS"/>
          <w:sz w:val="20"/>
          <w:lang w:val="uk-UA"/>
        </w:rPr>
      </w:pPr>
    </w:p>
    <w:p w14:paraId="02597F6F" w14:textId="77777777" w:rsidR="00E05B98" w:rsidRPr="003C6DAE" w:rsidRDefault="00E05B98">
      <w:pPr>
        <w:pStyle w:val="a3"/>
        <w:rPr>
          <w:rFonts w:ascii="Trebuchet MS"/>
          <w:sz w:val="20"/>
          <w:lang w:val="uk-UA"/>
        </w:rPr>
      </w:pPr>
    </w:p>
    <w:p w14:paraId="3E7A773A" w14:textId="77777777" w:rsidR="00E05B98" w:rsidRPr="003C6DAE" w:rsidRDefault="00E05B98">
      <w:pPr>
        <w:pStyle w:val="a3"/>
        <w:spacing w:before="73"/>
        <w:rPr>
          <w:rFonts w:ascii="Trebuchet MS"/>
          <w:sz w:val="20"/>
          <w:lang w:val="uk-UA"/>
        </w:rPr>
      </w:pPr>
    </w:p>
    <w:p w14:paraId="7B3CC4DC" w14:textId="77777777" w:rsidR="00E05B98" w:rsidRPr="003C6DAE" w:rsidRDefault="00B01E0C">
      <w:pPr>
        <w:pStyle w:val="a3"/>
        <w:spacing w:line="214" w:lineRule="exact"/>
        <w:ind w:left="24" w:right="-72"/>
        <w:rPr>
          <w:rFonts w:ascii="Trebuchet MS"/>
          <w:position w:val="-3"/>
          <w:sz w:val="20"/>
          <w:lang w:val="uk-UA"/>
        </w:rPr>
      </w:pPr>
      <w:r w:rsidRPr="003C6DAE">
        <w:rPr>
          <w:rFonts w:ascii="Trebuchet MS"/>
          <w:noProof/>
          <w:position w:val="-3"/>
          <w:sz w:val="20"/>
          <w:lang w:val="uk-UA"/>
        </w:rPr>
        <mc:AlternateContent>
          <mc:Choice Requires="wpg">
            <w:drawing>
              <wp:inline distT="0" distB="0" distL="0" distR="0" wp14:anchorId="5259D72C" wp14:editId="5BA09CC8">
                <wp:extent cx="797560" cy="132715"/>
                <wp:effectExtent l="9525" t="0" r="0" b="10160"/>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7560" cy="132715"/>
                          <a:chOff x="0" y="0"/>
                          <a:chExt cx="797560" cy="132715"/>
                        </a:xfrm>
                      </wpg:grpSpPr>
                      <wps:wsp>
                        <wps:cNvPr id="415" name="Graphic 415"/>
                        <wps:cNvSpPr/>
                        <wps:spPr>
                          <a:xfrm>
                            <a:off x="733540" y="26421"/>
                            <a:ext cx="55880" cy="1270"/>
                          </a:xfrm>
                          <a:custGeom>
                            <a:avLst/>
                            <a:gdLst/>
                            <a:ahLst/>
                            <a:cxnLst/>
                            <a:rect l="l" t="t" r="r" b="b"/>
                            <a:pathLst>
                              <a:path w="55880">
                                <a:moveTo>
                                  <a:pt x="0" y="0"/>
                                </a:moveTo>
                                <a:lnTo>
                                  <a:pt x="55486" y="0"/>
                                </a:lnTo>
                              </a:path>
                            </a:pathLst>
                          </a:custGeom>
                          <a:ln w="8807">
                            <a:solidFill>
                              <a:srgbClr val="000000"/>
                            </a:solidFill>
                            <a:prstDash val="solid"/>
                          </a:ln>
                        </wps:spPr>
                        <wps:bodyPr wrap="square" lIns="0" tIns="0" rIns="0" bIns="0" rtlCol="0">
                          <a:prstTxWarp prst="textNoShape">
                            <a:avLst/>
                          </a:prstTxWarp>
                          <a:noAutofit/>
                        </wps:bodyPr>
                      </wps:wsp>
                      <wps:wsp>
                        <wps:cNvPr id="416" name="Graphic 416"/>
                        <wps:cNvSpPr/>
                        <wps:spPr>
                          <a:xfrm>
                            <a:off x="751044" y="0"/>
                            <a:ext cx="46355" cy="62230"/>
                          </a:xfrm>
                          <a:custGeom>
                            <a:avLst/>
                            <a:gdLst/>
                            <a:ahLst/>
                            <a:cxnLst/>
                            <a:rect l="l" t="t" r="r" b="b"/>
                            <a:pathLst>
                              <a:path w="46355" h="62230">
                                <a:moveTo>
                                  <a:pt x="46239" y="61650"/>
                                </a:moveTo>
                                <a:lnTo>
                                  <a:pt x="0" y="61650"/>
                                </a:lnTo>
                                <a:lnTo>
                                  <a:pt x="0" y="0"/>
                                </a:lnTo>
                                <a:lnTo>
                                  <a:pt x="46239" y="0"/>
                                </a:lnTo>
                                <a:lnTo>
                                  <a:pt x="46239" y="61650"/>
                                </a:lnTo>
                                <a:close/>
                              </a:path>
                            </a:pathLst>
                          </a:custGeom>
                          <a:solidFill>
                            <a:srgbClr val="0000C0"/>
                          </a:solidFill>
                        </wps:spPr>
                        <wps:bodyPr wrap="square" lIns="0" tIns="0" rIns="0" bIns="0" rtlCol="0">
                          <a:prstTxWarp prst="textNoShape">
                            <a:avLst/>
                          </a:prstTxWarp>
                          <a:noAutofit/>
                        </wps:bodyPr>
                      </wps:wsp>
                      <wps:wsp>
                        <wps:cNvPr id="417" name="Graphic 417"/>
                        <wps:cNvSpPr/>
                        <wps:spPr>
                          <a:xfrm>
                            <a:off x="3302" y="96880"/>
                            <a:ext cx="786130" cy="1270"/>
                          </a:xfrm>
                          <a:custGeom>
                            <a:avLst/>
                            <a:gdLst/>
                            <a:ahLst/>
                            <a:cxnLst/>
                            <a:rect l="l" t="t" r="r" b="b"/>
                            <a:pathLst>
                              <a:path w="786130">
                                <a:moveTo>
                                  <a:pt x="0" y="0"/>
                                </a:moveTo>
                                <a:lnTo>
                                  <a:pt x="786054" y="0"/>
                                </a:lnTo>
                              </a:path>
                            </a:pathLst>
                          </a:custGeom>
                          <a:ln w="8807">
                            <a:solidFill>
                              <a:srgbClr val="000000"/>
                            </a:solidFill>
                            <a:prstDash val="solid"/>
                          </a:ln>
                        </wps:spPr>
                        <wps:bodyPr wrap="square" lIns="0" tIns="0" rIns="0" bIns="0" rtlCol="0">
                          <a:prstTxWarp prst="textNoShape">
                            <a:avLst/>
                          </a:prstTxWarp>
                          <a:noAutofit/>
                        </wps:bodyPr>
                      </wps:wsp>
                      <wps:wsp>
                        <wps:cNvPr id="418" name="Graphic 418"/>
                        <wps:cNvSpPr/>
                        <wps:spPr>
                          <a:xfrm>
                            <a:off x="3302" y="61651"/>
                            <a:ext cx="1270" cy="70485"/>
                          </a:xfrm>
                          <a:custGeom>
                            <a:avLst/>
                            <a:gdLst/>
                            <a:ahLst/>
                            <a:cxnLst/>
                            <a:rect l="l" t="t" r="r" b="b"/>
                            <a:pathLst>
                              <a:path h="70485">
                                <a:moveTo>
                                  <a:pt x="0" y="0"/>
                                </a:moveTo>
                                <a:lnTo>
                                  <a:pt x="0" y="70458"/>
                                </a:lnTo>
                              </a:path>
                            </a:pathLst>
                          </a:custGeom>
                          <a:ln w="6605">
                            <a:solidFill>
                              <a:srgbClr val="000000"/>
                            </a:solidFill>
                            <a:prstDash val="solid"/>
                          </a:ln>
                        </wps:spPr>
                        <wps:bodyPr wrap="square" lIns="0" tIns="0" rIns="0" bIns="0" rtlCol="0">
                          <a:prstTxWarp prst="textNoShape">
                            <a:avLst/>
                          </a:prstTxWarp>
                          <a:noAutofit/>
                        </wps:bodyPr>
                      </wps:wsp>
                      <wps:wsp>
                        <wps:cNvPr id="419" name="Graphic 419"/>
                        <wps:cNvSpPr/>
                        <wps:spPr>
                          <a:xfrm>
                            <a:off x="160514" y="61651"/>
                            <a:ext cx="1270" cy="70485"/>
                          </a:xfrm>
                          <a:custGeom>
                            <a:avLst/>
                            <a:gdLst/>
                            <a:ahLst/>
                            <a:cxnLst/>
                            <a:rect l="l" t="t" r="r" b="b"/>
                            <a:pathLst>
                              <a:path h="70485">
                                <a:moveTo>
                                  <a:pt x="0" y="0"/>
                                </a:moveTo>
                                <a:lnTo>
                                  <a:pt x="0" y="70458"/>
                                </a:lnTo>
                              </a:path>
                            </a:pathLst>
                          </a:custGeom>
                          <a:ln w="6605">
                            <a:solidFill>
                              <a:srgbClr val="000000"/>
                            </a:solidFill>
                            <a:prstDash val="solid"/>
                          </a:ln>
                        </wps:spPr>
                        <wps:bodyPr wrap="square" lIns="0" tIns="0" rIns="0" bIns="0" rtlCol="0">
                          <a:prstTxWarp prst="textNoShape">
                            <a:avLst/>
                          </a:prstTxWarp>
                          <a:noAutofit/>
                        </wps:bodyPr>
                      </wps:wsp>
                      <wps:wsp>
                        <wps:cNvPr id="420" name="Graphic 420"/>
                        <wps:cNvSpPr/>
                        <wps:spPr>
                          <a:xfrm>
                            <a:off x="317724" y="61651"/>
                            <a:ext cx="1270" cy="70485"/>
                          </a:xfrm>
                          <a:custGeom>
                            <a:avLst/>
                            <a:gdLst/>
                            <a:ahLst/>
                            <a:cxnLst/>
                            <a:rect l="l" t="t" r="r" b="b"/>
                            <a:pathLst>
                              <a:path h="70485">
                                <a:moveTo>
                                  <a:pt x="0" y="0"/>
                                </a:moveTo>
                                <a:lnTo>
                                  <a:pt x="0" y="70458"/>
                                </a:lnTo>
                              </a:path>
                            </a:pathLst>
                          </a:custGeom>
                          <a:ln w="6605">
                            <a:solidFill>
                              <a:srgbClr val="000000"/>
                            </a:solidFill>
                            <a:prstDash val="solid"/>
                          </a:ln>
                        </wps:spPr>
                        <wps:bodyPr wrap="square" lIns="0" tIns="0" rIns="0" bIns="0" rtlCol="0">
                          <a:prstTxWarp prst="textNoShape">
                            <a:avLst/>
                          </a:prstTxWarp>
                          <a:noAutofit/>
                        </wps:bodyPr>
                      </wps:wsp>
                      <wps:wsp>
                        <wps:cNvPr id="421" name="Graphic 421"/>
                        <wps:cNvSpPr/>
                        <wps:spPr>
                          <a:xfrm>
                            <a:off x="474605" y="61651"/>
                            <a:ext cx="1270" cy="70485"/>
                          </a:xfrm>
                          <a:custGeom>
                            <a:avLst/>
                            <a:gdLst/>
                            <a:ahLst/>
                            <a:cxnLst/>
                            <a:rect l="l" t="t" r="r" b="b"/>
                            <a:pathLst>
                              <a:path h="70485">
                                <a:moveTo>
                                  <a:pt x="0" y="0"/>
                                </a:moveTo>
                                <a:lnTo>
                                  <a:pt x="0" y="70458"/>
                                </a:lnTo>
                              </a:path>
                            </a:pathLst>
                          </a:custGeom>
                          <a:ln w="6605">
                            <a:solidFill>
                              <a:srgbClr val="000000"/>
                            </a:solidFill>
                            <a:prstDash val="solid"/>
                          </a:ln>
                        </wps:spPr>
                        <wps:bodyPr wrap="square" lIns="0" tIns="0" rIns="0" bIns="0" rtlCol="0">
                          <a:prstTxWarp prst="textNoShape">
                            <a:avLst/>
                          </a:prstTxWarp>
                          <a:noAutofit/>
                        </wps:bodyPr>
                      </wps:wsp>
                      <wps:wsp>
                        <wps:cNvPr id="422" name="Graphic 422"/>
                        <wps:cNvSpPr/>
                        <wps:spPr>
                          <a:xfrm>
                            <a:off x="632146" y="61651"/>
                            <a:ext cx="1270" cy="70485"/>
                          </a:xfrm>
                          <a:custGeom>
                            <a:avLst/>
                            <a:gdLst/>
                            <a:ahLst/>
                            <a:cxnLst/>
                            <a:rect l="l" t="t" r="r" b="b"/>
                            <a:pathLst>
                              <a:path h="70485">
                                <a:moveTo>
                                  <a:pt x="0" y="0"/>
                                </a:moveTo>
                                <a:lnTo>
                                  <a:pt x="0" y="70458"/>
                                </a:lnTo>
                              </a:path>
                            </a:pathLst>
                          </a:custGeom>
                          <a:ln w="6605">
                            <a:solidFill>
                              <a:srgbClr val="000000"/>
                            </a:solidFill>
                            <a:prstDash val="solid"/>
                          </a:ln>
                        </wps:spPr>
                        <wps:bodyPr wrap="square" lIns="0" tIns="0" rIns="0" bIns="0" rtlCol="0">
                          <a:prstTxWarp prst="textNoShape">
                            <a:avLst/>
                          </a:prstTxWarp>
                          <a:noAutofit/>
                        </wps:bodyPr>
                      </wps:wsp>
                      <wps:wsp>
                        <wps:cNvPr id="423" name="Graphic 423"/>
                        <wps:cNvSpPr/>
                        <wps:spPr>
                          <a:xfrm>
                            <a:off x="789357" y="61651"/>
                            <a:ext cx="1270" cy="70485"/>
                          </a:xfrm>
                          <a:custGeom>
                            <a:avLst/>
                            <a:gdLst/>
                            <a:ahLst/>
                            <a:cxnLst/>
                            <a:rect l="l" t="t" r="r" b="b"/>
                            <a:pathLst>
                              <a:path h="70485">
                                <a:moveTo>
                                  <a:pt x="0" y="0"/>
                                </a:moveTo>
                                <a:lnTo>
                                  <a:pt x="0" y="70458"/>
                                </a:lnTo>
                              </a:path>
                            </a:pathLst>
                          </a:custGeom>
                          <a:ln w="66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9B2B0A" id="Group 414" o:spid="_x0000_s1026" style="width:62.8pt;height:10.45pt;mso-position-horizontal-relative:char;mso-position-vertical-relative:line" coordsize="7975,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">
                <v:shape id="Graphic 415" o:spid="_x0000_s1027" style="position:absolute;left:7335;top:264;width:559;height:12;visibility:visible;mso-wrap-style:square;v-text-anchor:top" coordsize="55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" path="m,l55486,e" filled="f" strokeweight=".24464mm">
                  <v:path arrowok="t"/>
                </v:shape>
                <v:shape id="Graphic 416" o:spid="_x0000_s1028" style="position:absolute;left:7510;width:463;height:622;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" path="m46239,61650l,61650,,,46239,r,61650xe" fillcolor="#0000c0" stroked="f">
                  <v:path arrowok="t"/>
                </v:shape>
                <v:shape id="Graphic 417" o:spid="_x0000_s1029" style="position:absolute;left:33;top:968;width:7861;height:13;visibility:visible;mso-wrap-style:square;v-text-anchor:top" coordsize="786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" path="m,l786054,e" filled="f" strokeweight=".24464mm">
                  <v:path arrowok="t"/>
                </v:shape>
                <v:shape id="Graphic 418" o:spid="_x0000_s1030" style="position:absolute;left:33;top:616;width:12;height:705;visibility:visible;mso-wrap-style:square;v-text-anchor:top" coordsize="127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" path="m,l,70458e" filled="f" strokeweight=".18347mm">
                  <v:path arrowok="t"/>
                </v:shape>
                <v:shape id="Graphic 419" o:spid="_x0000_s1031" style="position:absolute;left:1605;top:616;width:12;height:705;visibility:visible;mso-wrap-style:square;v-text-anchor:top" coordsize="127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" path="m,l,70458e" filled="f" strokeweight=".18347mm">
                  <v:path arrowok="t"/>
                </v:shape>
                <v:shape id="Graphic 420" o:spid="_x0000_s1032" style="position:absolute;left:3177;top:616;width:12;height:705;visibility:visible;mso-wrap-style:square;v-text-anchor:top" coordsize="127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" path="m,l,70458e" filled="f" strokeweight=".18347mm">
                  <v:path arrowok="t"/>
                </v:shape>
                <v:shape id="Graphic 421" o:spid="_x0000_s1033" style="position:absolute;left:4746;top:616;width:12;height:705;visibility:visible;mso-wrap-style:square;v-text-anchor:top" coordsize="127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" path="m,l,70458e" filled="f" strokeweight=".18347mm">
                  <v:path arrowok="t"/>
                </v:shape>
                <v:shape id="Graphic 422" o:spid="_x0000_s1034" style="position:absolute;left:6321;top:616;width:13;height:705;visibility:visible;mso-wrap-style:square;v-text-anchor:top" coordsize="127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" path="m,l,70458e" filled="f" strokeweight=".18347mm">
                  <v:path arrowok="t"/>
                </v:shape>
                <v:shape id="Graphic 423" o:spid="_x0000_s1035" style="position:absolute;left:7893;top:616;width:13;height:705;visibility:visible;mso-wrap-style:square;v-text-anchor:top" coordsize="127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" path="m,l,70458e" filled="f" strokeweight=".18347mm">
                  <v:path arrowok="t"/>
                </v:shape>
                <w10:anchorlock/>
              </v:group>
            </w:pict>
          </mc:Fallback>
        </mc:AlternateContent>
      </w:r>
    </w:p>
    <w:p w14:paraId="65592621" w14:textId="77777777" w:rsidR="00E05B98" w:rsidRPr="003C6DAE" w:rsidRDefault="00B01E0C">
      <w:pPr>
        <w:ind w:left="31"/>
        <w:rPr>
          <w:rFonts w:ascii="Trebuchet MS"/>
          <w:sz w:val="16"/>
          <w:lang w:val="uk-UA"/>
        </w:rPr>
      </w:pPr>
      <w:r w:rsidRPr="003C6DAE">
        <w:rPr>
          <w:rFonts w:ascii="Trebuchet MS"/>
          <w:noProof/>
          <w:sz w:val="16"/>
          <w:lang w:val="uk-UA"/>
        </w:rPr>
        <mc:AlternateContent>
          <mc:Choice Requires="wpg">
            <w:drawing>
              <wp:anchor distT="0" distB="0" distL="0" distR="0" simplePos="0" relativeHeight="15833088" behindDoc="0" locked="0" layoutInCell="1" allowOverlap="1" wp14:anchorId="3BAB90C7" wp14:editId="23FB0CA8">
                <wp:simplePos x="0" y="0"/>
                <wp:positionH relativeFrom="page">
                  <wp:posOffset>5442271</wp:posOffset>
                </wp:positionH>
                <wp:positionV relativeFrom="paragraph">
                  <wp:posOffset>-840478</wp:posOffset>
                </wp:positionV>
                <wp:extent cx="319405" cy="62230"/>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405" cy="62230"/>
                          <a:chOff x="0" y="0"/>
                          <a:chExt cx="319405" cy="62230"/>
                        </a:xfrm>
                      </wpg:grpSpPr>
                      <wps:wsp>
                        <wps:cNvPr id="425" name="Graphic 425"/>
                        <wps:cNvSpPr/>
                        <wps:spPr>
                          <a:xfrm>
                            <a:off x="0" y="26422"/>
                            <a:ext cx="293370" cy="1270"/>
                          </a:xfrm>
                          <a:custGeom>
                            <a:avLst/>
                            <a:gdLst/>
                            <a:ahLst/>
                            <a:cxnLst/>
                            <a:rect l="l" t="t" r="r" b="b"/>
                            <a:pathLst>
                              <a:path w="293370">
                                <a:moveTo>
                                  <a:pt x="0" y="0"/>
                                </a:moveTo>
                                <a:lnTo>
                                  <a:pt x="292953" y="0"/>
                                </a:lnTo>
                              </a:path>
                            </a:pathLst>
                          </a:custGeom>
                          <a:ln w="8807">
                            <a:solidFill>
                              <a:srgbClr val="000000"/>
                            </a:solidFill>
                            <a:prstDash val="solid"/>
                          </a:ln>
                        </wps:spPr>
                        <wps:bodyPr wrap="square" lIns="0" tIns="0" rIns="0" bIns="0" rtlCol="0">
                          <a:prstTxWarp prst="textNoShape">
                            <a:avLst/>
                          </a:prstTxWarp>
                          <a:noAutofit/>
                        </wps:bodyPr>
                      </wps:wsp>
                      <wps:wsp>
                        <wps:cNvPr id="426" name="Graphic 426"/>
                        <wps:cNvSpPr/>
                        <wps:spPr>
                          <a:xfrm>
                            <a:off x="273136" y="0"/>
                            <a:ext cx="46355" cy="62230"/>
                          </a:xfrm>
                          <a:custGeom>
                            <a:avLst/>
                            <a:gdLst/>
                            <a:ahLst/>
                            <a:cxnLst/>
                            <a:rect l="l" t="t" r="r" b="b"/>
                            <a:pathLst>
                              <a:path w="46355" h="62230">
                                <a:moveTo>
                                  <a:pt x="46239" y="61652"/>
                                </a:moveTo>
                                <a:lnTo>
                                  <a:pt x="0" y="61652"/>
                                </a:lnTo>
                                <a:lnTo>
                                  <a:pt x="0" y="0"/>
                                </a:lnTo>
                                <a:lnTo>
                                  <a:pt x="46239" y="0"/>
                                </a:lnTo>
                                <a:lnTo>
                                  <a:pt x="46239" y="61652"/>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C42DA8D" id="Group 424" o:spid="_x0000_s1026" style="position:absolute;margin-left:428.55pt;margin-top:-66.2pt;width:25.15pt;height:4.9pt;z-index:15833088;mso-wrap-distance-left:0;mso-wrap-distance-right:0;mso-position-horizontal-relative:page" coordsize="319405,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">
                <v:shape id="Graphic 425" o:spid="_x0000_s1027" style="position:absolute;top:26422;width:293370;height:1270;visibility:visible;mso-wrap-style:square;v-text-anchor:top" coordsize="293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" path="m,l292953,e" filled="f" strokeweight=".24464mm">
                  <v:path arrowok="t"/>
                </v:shape>
                <v:shape id="Graphic 426" o:spid="_x0000_s1028" style="position:absolute;left:273136;width:46355;height:62230;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" path="m46239,61652l,61652,,,46239,r,61652xe" fillcolor="#0000c0" stroked="f">
                  <v:path arrowok="t"/>
                </v:shape>
                <w10:wrap anchorx="page"/>
              </v:group>
            </w:pict>
          </mc:Fallback>
        </mc:AlternateContent>
      </w:r>
      <w:r w:rsidRPr="003C6DAE">
        <w:rPr>
          <w:rFonts w:ascii="Trebuchet MS"/>
          <w:noProof/>
          <w:sz w:val="16"/>
          <w:lang w:val="uk-UA"/>
        </w:rPr>
        <mc:AlternateContent>
          <mc:Choice Requires="wpg">
            <w:drawing>
              <wp:anchor distT="0" distB="0" distL="0" distR="0" simplePos="0" relativeHeight="15833600" behindDoc="0" locked="0" layoutInCell="1" allowOverlap="1" wp14:anchorId="42BC8EE9" wp14:editId="7121530F">
                <wp:simplePos x="0" y="0"/>
                <wp:positionH relativeFrom="page">
                  <wp:posOffset>5257648</wp:posOffset>
                </wp:positionH>
                <wp:positionV relativeFrom="paragraph">
                  <wp:posOffset>-699560</wp:posOffset>
                </wp:positionV>
                <wp:extent cx="504190" cy="62230"/>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190" cy="62230"/>
                          <a:chOff x="0" y="0"/>
                          <a:chExt cx="504190" cy="62230"/>
                        </a:xfrm>
                      </wpg:grpSpPr>
                      <wps:wsp>
                        <wps:cNvPr id="428" name="Graphic 428"/>
                        <wps:cNvSpPr/>
                        <wps:spPr>
                          <a:xfrm>
                            <a:off x="0" y="26421"/>
                            <a:ext cx="478155" cy="1270"/>
                          </a:xfrm>
                          <a:custGeom>
                            <a:avLst/>
                            <a:gdLst/>
                            <a:ahLst/>
                            <a:cxnLst/>
                            <a:rect l="l" t="t" r="r" b="b"/>
                            <a:pathLst>
                              <a:path w="478155">
                                <a:moveTo>
                                  <a:pt x="0" y="0"/>
                                </a:moveTo>
                                <a:lnTo>
                                  <a:pt x="477577" y="0"/>
                                </a:lnTo>
                              </a:path>
                            </a:pathLst>
                          </a:custGeom>
                          <a:ln w="8807">
                            <a:solidFill>
                              <a:srgbClr val="000000"/>
                            </a:solidFill>
                            <a:prstDash val="solid"/>
                          </a:ln>
                        </wps:spPr>
                        <wps:bodyPr wrap="square" lIns="0" tIns="0" rIns="0" bIns="0" rtlCol="0">
                          <a:prstTxWarp prst="textNoShape">
                            <a:avLst/>
                          </a:prstTxWarp>
                          <a:noAutofit/>
                        </wps:bodyPr>
                      </wps:wsp>
                      <wps:wsp>
                        <wps:cNvPr id="429" name="Graphic 429"/>
                        <wps:cNvSpPr/>
                        <wps:spPr>
                          <a:xfrm>
                            <a:off x="457760" y="0"/>
                            <a:ext cx="46355" cy="62230"/>
                          </a:xfrm>
                          <a:custGeom>
                            <a:avLst/>
                            <a:gdLst/>
                            <a:ahLst/>
                            <a:cxnLst/>
                            <a:rect l="l" t="t" r="r" b="b"/>
                            <a:pathLst>
                              <a:path w="46355" h="62230">
                                <a:moveTo>
                                  <a:pt x="46239" y="61650"/>
                                </a:moveTo>
                                <a:lnTo>
                                  <a:pt x="0" y="61650"/>
                                </a:lnTo>
                                <a:lnTo>
                                  <a:pt x="0" y="0"/>
                                </a:lnTo>
                                <a:lnTo>
                                  <a:pt x="46239" y="0"/>
                                </a:lnTo>
                                <a:lnTo>
                                  <a:pt x="46239" y="616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1C4FD0B" id="Group 427" o:spid="_x0000_s1026" style="position:absolute;margin-left:414pt;margin-top:-55.1pt;width:39.7pt;height:4.9pt;z-index:15833600;mso-wrap-distance-left:0;mso-wrap-distance-right:0;mso-position-horizontal-relative:page" coordsize="504190,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">
                <v:shape id="Graphic 428" o:spid="_x0000_s1027" style="position:absolute;top:26421;width:478155;height:1270;visibility:visible;mso-wrap-style:square;v-text-anchor:top" coordsize="478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" path="m,l477577,e" filled="f" strokeweight=".24464mm">
                  <v:path arrowok="t"/>
                </v:shape>
                <v:shape id="Graphic 429" o:spid="_x0000_s1028" style="position:absolute;left:457760;width:46355;height:62230;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" path="m46239,61650l,61650,,,46239,r,61650xe" fillcolor="#0000c0" stroked="f">
                  <v:path arrowok="t"/>
                </v:shape>
                <w10:wrap anchorx="page"/>
              </v:group>
            </w:pict>
          </mc:Fallback>
        </mc:AlternateContent>
      </w:r>
      <w:r w:rsidRPr="003C6DAE">
        <w:rPr>
          <w:rFonts w:ascii="Trebuchet MS"/>
          <w:noProof/>
          <w:sz w:val="16"/>
          <w:lang w:val="uk-UA"/>
        </w:rPr>
        <mc:AlternateContent>
          <mc:Choice Requires="wpg">
            <w:drawing>
              <wp:anchor distT="0" distB="0" distL="0" distR="0" simplePos="0" relativeHeight="15834112" behindDoc="0" locked="0" layoutInCell="1" allowOverlap="1" wp14:anchorId="1FE8F36B" wp14:editId="267C51F9">
                <wp:simplePos x="0" y="0"/>
                <wp:positionH relativeFrom="page">
                  <wp:posOffset>4962381</wp:posOffset>
                </wp:positionH>
                <wp:positionV relativeFrom="paragraph">
                  <wp:posOffset>-558642</wp:posOffset>
                </wp:positionV>
                <wp:extent cx="799465" cy="62230"/>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9465" cy="62230"/>
                          <a:chOff x="0" y="0"/>
                          <a:chExt cx="799465" cy="62230"/>
                        </a:xfrm>
                      </wpg:grpSpPr>
                      <wps:wsp>
                        <wps:cNvPr id="431" name="Graphic 431"/>
                        <wps:cNvSpPr/>
                        <wps:spPr>
                          <a:xfrm>
                            <a:off x="0" y="26421"/>
                            <a:ext cx="773430" cy="1270"/>
                          </a:xfrm>
                          <a:custGeom>
                            <a:avLst/>
                            <a:gdLst/>
                            <a:ahLst/>
                            <a:cxnLst/>
                            <a:rect l="l" t="t" r="r" b="b"/>
                            <a:pathLst>
                              <a:path w="773430">
                                <a:moveTo>
                                  <a:pt x="0" y="0"/>
                                </a:moveTo>
                                <a:lnTo>
                                  <a:pt x="772843" y="0"/>
                                </a:lnTo>
                              </a:path>
                            </a:pathLst>
                          </a:custGeom>
                          <a:ln w="8807">
                            <a:solidFill>
                              <a:srgbClr val="000000"/>
                            </a:solidFill>
                            <a:prstDash val="solid"/>
                          </a:ln>
                        </wps:spPr>
                        <wps:bodyPr wrap="square" lIns="0" tIns="0" rIns="0" bIns="0" rtlCol="0">
                          <a:prstTxWarp prst="textNoShape">
                            <a:avLst/>
                          </a:prstTxWarp>
                          <a:noAutofit/>
                        </wps:bodyPr>
                      </wps:wsp>
                      <wps:wsp>
                        <wps:cNvPr id="432" name="Graphic 432"/>
                        <wps:cNvSpPr/>
                        <wps:spPr>
                          <a:xfrm>
                            <a:off x="753026" y="0"/>
                            <a:ext cx="46355" cy="62230"/>
                          </a:xfrm>
                          <a:custGeom>
                            <a:avLst/>
                            <a:gdLst/>
                            <a:ahLst/>
                            <a:cxnLst/>
                            <a:rect l="l" t="t" r="r" b="b"/>
                            <a:pathLst>
                              <a:path w="46355" h="62230">
                                <a:moveTo>
                                  <a:pt x="46239" y="61650"/>
                                </a:moveTo>
                                <a:lnTo>
                                  <a:pt x="0" y="61650"/>
                                </a:lnTo>
                                <a:lnTo>
                                  <a:pt x="0" y="0"/>
                                </a:lnTo>
                                <a:lnTo>
                                  <a:pt x="46239" y="0"/>
                                </a:lnTo>
                                <a:lnTo>
                                  <a:pt x="46239" y="616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CEEABBC" id="Group 430" o:spid="_x0000_s1026" style="position:absolute;margin-left:390.75pt;margin-top:-44pt;width:62.95pt;height:4.9pt;z-index:15834112;mso-wrap-distance-left:0;mso-wrap-distance-right:0;mso-position-horizontal-relative:page" coordsize="799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">
                <v:shape id="Graphic 431" o:spid="_x0000_s1027" style="position:absolute;top:264;width:7734;height:12;visibility:visible;mso-wrap-style:square;v-text-anchor:top" coordsize="773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" path="m,l772843,e" filled="f" strokeweight=".24464mm">
                  <v:path arrowok="t"/>
                </v:shape>
                <v:shape id="Graphic 432" o:spid="_x0000_s1028" style="position:absolute;left:7530;width:463;height:622;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" path="m46239,61650l,61650,,,46239,r,61650xe" fillcolor="#0000c0" stroked="f">
                  <v:path arrowok="t"/>
                </v:shape>
                <w10:wrap anchorx="page"/>
              </v:group>
            </w:pict>
          </mc:Fallback>
        </mc:AlternateContent>
      </w:r>
      <w:r w:rsidRPr="003C6DAE">
        <w:rPr>
          <w:rFonts w:ascii="Trebuchet MS"/>
          <w:noProof/>
          <w:sz w:val="16"/>
          <w:lang w:val="uk-UA"/>
        </w:rPr>
        <mc:AlternateContent>
          <mc:Choice Requires="wpg">
            <w:drawing>
              <wp:anchor distT="0" distB="0" distL="0" distR="0" simplePos="0" relativeHeight="15834624" behindDoc="0" locked="0" layoutInCell="1" allowOverlap="1" wp14:anchorId="121BB857" wp14:editId="0A618A1D">
                <wp:simplePos x="0" y="0"/>
                <wp:positionH relativeFrom="page">
                  <wp:posOffset>5067739</wp:posOffset>
                </wp:positionH>
                <wp:positionV relativeFrom="paragraph">
                  <wp:posOffset>-417726</wp:posOffset>
                </wp:positionV>
                <wp:extent cx="694055" cy="62230"/>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055" cy="62230"/>
                          <a:chOff x="0" y="0"/>
                          <a:chExt cx="694055" cy="62230"/>
                        </a:xfrm>
                      </wpg:grpSpPr>
                      <wps:wsp>
                        <wps:cNvPr id="434" name="Graphic 434"/>
                        <wps:cNvSpPr/>
                        <wps:spPr>
                          <a:xfrm>
                            <a:off x="0" y="26422"/>
                            <a:ext cx="668020" cy="1270"/>
                          </a:xfrm>
                          <a:custGeom>
                            <a:avLst/>
                            <a:gdLst/>
                            <a:ahLst/>
                            <a:cxnLst/>
                            <a:rect l="l" t="t" r="r" b="b"/>
                            <a:pathLst>
                              <a:path w="668020">
                                <a:moveTo>
                                  <a:pt x="0" y="0"/>
                                </a:moveTo>
                                <a:lnTo>
                                  <a:pt x="667485" y="0"/>
                                </a:lnTo>
                              </a:path>
                            </a:pathLst>
                          </a:custGeom>
                          <a:ln w="8807">
                            <a:solidFill>
                              <a:srgbClr val="000000"/>
                            </a:solidFill>
                            <a:prstDash val="solid"/>
                          </a:ln>
                        </wps:spPr>
                        <wps:bodyPr wrap="square" lIns="0" tIns="0" rIns="0" bIns="0" rtlCol="0">
                          <a:prstTxWarp prst="textNoShape">
                            <a:avLst/>
                          </a:prstTxWarp>
                          <a:noAutofit/>
                        </wps:bodyPr>
                      </wps:wsp>
                      <wps:wsp>
                        <wps:cNvPr id="435" name="Graphic 435"/>
                        <wps:cNvSpPr/>
                        <wps:spPr>
                          <a:xfrm>
                            <a:off x="647668" y="0"/>
                            <a:ext cx="46355" cy="62230"/>
                          </a:xfrm>
                          <a:custGeom>
                            <a:avLst/>
                            <a:gdLst/>
                            <a:ahLst/>
                            <a:cxnLst/>
                            <a:rect l="l" t="t" r="r" b="b"/>
                            <a:pathLst>
                              <a:path w="46355" h="62230">
                                <a:moveTo>
                                  <a:pt x="46239" y="61652"/>
                                </a:moveTo>
                                <a:lnTo>
                                  <a:pt x="0" y="61652"/>
                                </a:lnTo>
                                <a:lnTo>
                                  <a:pt x="0" y="0"/>
                                </a:lnTo>
                                <a:lnTo>
                                  <a:pt x="46239" y="0"/>
                                </a:lnTo>
                                <a:lnTo>
                                  <a:pt x="46239" y="61652"/>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AA5CA84" id="Group 433" o:spid="_x0000_s1026" style="position:absolute;margin-left:399.05pt;margin-top:-32.9pt;width:54.65pt;height:4.9pt;z-index:15834624;mso-wrap-distance-left:0;mso-wrap-distance-right:0;mso-position-horizontal-relative:page" coordsize="694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">
                <v:shape id="Graphic 434" o:spid="_x0000_s1027" style="position:absolute;top:264;width:6680;height:12;visibility:visible;mso-wrap-style:square;v-text-anchor:top" coordsize="66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" path="m,l667485,e" filled="f" strokeweight=".24464mm">
                  <v:path arrowok="t"/>
                </v:shape>
                <v:shape id="Graphic 435" o:spid="_x0000_s1028" style="position:absolute;left:6476;width:464;height:622;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" path="m46239,61652l,61652,,,46239,r,61652xe" fillcolor="#0000c0" stroked="f">
                  <v:path arrowok="t"/>
                </v:shape>
                <w10:wrap anchorx="page"/>
              </v:group>
            </w:pict>
          </mc:Fallback>
        </mc:AlternateContent>
      </w:r>
      <w:r w:rsidRPr="003C6DAE">
        <w:rPr>
          <w:rFonts w:ascii="Trebuchet MS"/>
          <w:noProof/>
          <w:sz w:val="16"/>
          <w:lang w:val="uk-UA"/>
        </w:rPr>
        <mc:AlternateContent>
          <mc:Choice Requires="wpg">
            <w:drawing>
              <wp:anchor distT="0" distB="0" distL="0" distR="0" simplePos="0" relativeHeight="15835136" behindDoc="0" locked="0" layoutInCell="1" allowOverlap="1" wp14:anchorId="3B5280F7" wp14:editId="5AFC270B">
                <wp:simplePos x="0" y="0"/>
                <wp:positionH relativeFrom="page">
                  <wp:posOffset>5571739</wp:posOffset>
                </wp:positionH>
                <wp:positionV relativeFrom="paragraph">
                  <wp:posOffset>-276808</wp:posOffset>
                </wp:positionV>
                <wp:extent cx="190500" cy="62230"/>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62230"/>
                          <a:chOff x="0" y="0"/>
                          <a:chExt cx="190500" cy="62230"/>
                        </a:xfrm>
                      </wpg:grpSpPr>
                      <wps:wsp>
                        <wps:cNvPr id="437" name="Graphic 437"/>
                        <wps:cNvSpPr/>
                        <wps:spPr>
                          <a:xfrm>
                            <a:off x="0" y="26422"/>
                            <a:ext cx="163830" cy="1270"/>
                          </a:xfrm>
                          <a:custGeom>
                            <a:avLst/>
                            <a:gdLst/>
                            <a:ahLst/>
                            <a:cxnLst/>
                            <a:rect l="l" t="t" r="r" b="b"/>
                            <a:pathLst>
                              <a:path w="163830">
                                <a:moveTo>
                                  <a:pt x="0" y="0"/>
                                </a:moveTo>
                                <a:lnTo>
                                  <a:pt x="163486" y="0"/>
                                </a:lnTo>
                              </a:path>
                            </a:pathLst>
                          </a:custGeom>
                          <a:ln w="8807">
                            <a:solidFill>
                              <a:srgbClr val="000000"/>
                            </a:solidFill>
                            <a:prstDash val="solid"/>
                          </a:ln>
                        </wps:spPr>
                        <wps:bodyPr wrap="square" lIns="0" tIns="0" rIns="0" bIns="0" rtlCol="0">
                          <a:prstTxWarp prst="textNoShape">
                            <a:avLst/>
                          </a:prstTxWarp>
                          <a:noAutofit/>
                        </wps:bodyPr>
                      </wps:wsp>
                      <wps:wsp>
                        <wps:cNvPr id="438" name="Graphic 438"/>
                        <wps:cNvSpPr/>
                        <wps:spPr>
                          <a:xfrm>
                            <a:off x="143669" y="0"/>
                            <a:ext cx="46355" cy="62230"/>
                          </a:xfrm>
                          <a:custGeom>
                            <a:avLst/>
                            <a:gdLst/>
                            <a:ahLst/>
                            <a:cxnLst/>
                            <a:rect l="l" t="t" r="r" b="b"/>
                            <a:pathLst>
                              <a:path w="46355" h="62230">
                                <a:moveTo>
                                  <a:pt x="46239" y="61652"/>
                                </a:moveTo>
                                <a:lnTo>
                                  <a:pt x="0" y="61652"/>
                                </a:lnTo>
                                <a:lnTo>
                                  <a:pt x="0" y="0"/>
                                </a:lnTo>
                                <a:lnTo>
                                  <a:pt x="46239" y="0"/>
                                </a:lnTo>
                                <a:lnTo>
                                  <a:pt x="46239" y="61652"/>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9EB8C53" id="Group 436" o:spid="_x0000_s1026" style="position:absolute;margin-left:438.7pt;margin-top:-21.8pt;width:15pt;height:4.9pt;z-index:15835136;mso-wrap-distance-left:0;mso-wrap-distance-right:0;mso-position-horizontal-relative:page" coordsize="190500,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">
                <v:shape id="Graphic 437" o:spid="_x0000_s1027" style="position:absolute;top:26422;width:163830;height:1270;visibility:visible;mso-wrap-style:square;v-text-anchor:top" coordsize="163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" path="m,l163486,e" filled="f" strokeweight=".24464mm">
                  <v:path arrowok="t"/>
                </v:shape>
                <v:shape id="Graphic 438" o:spid="_x0000_s1028" style="position:absolute;left:143669;width:46355;height:62230;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" path="m46239,61652l,61652,,,46239,r,61652xe" fillcolor="#0000c0" stroked="f">
                  <v:path arrowok="t"/>
                </v:shape>
                <w10:wrap anchorx="page"/>
              </v:group>
            </w:pict>
          </mc:Fallback>
        </mc:AlternateContent>
      </w:r>
      <w:r w:rsidRPr="003C6DAE">
        <w:rPr>
          <w:rFonts w:ascii="Trebuchet MS"/>
          <w:w w:val="80"/>
          <w:sz w:val="16"/>
          <w:lang w:val="uk-UA"/>
        </w:rPr>
        <w:t>0</w:t>
      </w:r>
      <w:r w:rsidRPr="003C6DAE">
        <w:rPr>
          <w:rFonts w:ascii="Trebuchet MS"/>
          <w:spacing w:val="34"/>
          <w:sz w:val="16"/>
          <w:lang w:val="uk-UA"/>
        </w:rPr>
        <w:t xml:space="preserve"> </w:t>
      </w:r>
      <w:r w:rsidRPr="003C6DAE">
        <w:rPr>
          <w:rFonts w:ascii="Trebuchet MS"/>
          <w:w w:val="80"/>
          <w:sz w:val="16"/>
          <w:lang w:val="uk-UA"/>
        </w:rPr>
        <w:t>0.2</w:t>
      </w:r>
      <w:r w:rsidRPr="003C6DAE">
        <w:rPr>
          <w:rFonts w:ascii="Trebuchet MS"/>
          <w:spacing w:val="20"/>
          <w:sz w:val="16"/>
          <w:lang w:val="uk-UA"/>
        </w:rPr>
        <w:t xml:space="preserve"> </w:t>
      </w:r>
      <w:r w:rsidRPr="003C6DAE">
        <w:rPr>
          <w:rFonts w:ascii="Trebuchet MS"/>
          <w:w w:val="80"/>
          <w:sz w:val="16"/>
          <w:lang w:val="uk-UA"/>
        </w:rPr>
        <w:t>0.4</w:t>
      </w:r>
      <w:r w:rsidRPr="003C6DAE">
        <w:rPr>
          <w:rFonts w:ascii="Trebuchet MS"/>
          <w:spacing w:val="19"/>
          <w:sz w:val="16"/>
          <w:lang w:val="uk-UA"/>
        </w:rPr>
        <w:t xml:space="preserve"> </w:t>
      </w:r>
      <w:r w:rsidRPr="003C6DAE">
        <w:rPr>
          <w:rFonts w:ascii="Trebuchet MS"/>
          <w:w w:val="80"/>
          <w:sz w:val="16"/>
          <w:lang w:val="uk-UA"/>
        </w:rPr>
        <w:t>0.6</w:t>
      </w:r>
      <w:r w:rsidRPr="003C6DAE">
        <w:rPr>
          <w:rFonts w:ascii="Trebuchet MS"/>
          <w:spacing w:val="20"/>
          <w:sz w:val="16"/>
          <w:lang w:val="uk-UA"/>
        </w:rPr>
        <w:t xml:space="preserve"> </w:t>
      </w:r>
      <w:r w:rsidRPr="003C6DAE">
        <w:rPr>
          <w:rFonts w:ascii="Trebuchet MS"/>
          <w:w w:val="80"/>
          <w:sz w:val="16"/>
          <w:lang w:val="uk-UA"/>
        </w:rPr>
        <w:t>0.8</w:t>
      </w:r>
      <w:r w:rsidRPr="003C6DAE">
        <w:rPr>
          <w:rFonts w:ascii="Trebuchet MS"/>
          <w:spacing w:val="35"/>
          <w:sz w:val="16"/>
          <w:lang w:val="uk-UA"/>
        </w:rPr>
        <w:t xml:space="preserve"> </w:t>
      </w:r>
      <w:r w:rsidRPr="003C6DAE">
        <w:rPr>
          <w:rFonts w:ascii="Trebuchet MS"/>
          <w:spacing w:val="-10"/>
          <w:w w:val="80"/>
          <w:sz w:val="16"/>
          <w:lang w:val="uk-UA"/>
        </w:rPr>
        <w:t>1</w:t>
      </w:r>
    </w:p>
    <w:p w14:paraId="2818A3B8" w14:textId="77777777" w:rsidR="00E05B98" w:rsidRPr="003C6DAE" w:rsidRDefault="00B01E0C">
      <w:pPr>
        <w:spacing w:before="4" w:after="25"/>
        <w:rPr>
          <w:rFonts w:ascii="Trebuchet MS"/>
          <w:sz w:val="4"/>
          <w:lang w:val="uk-UA"/>
        </w:rPr>
      </w:pPr>
      <w:r w:rsidRPr="003C6DAE">
        <w:rPr>
          <w:lang w:val="uk-UA"/>
        </w:rPr>
        <w:br w:type="column"/>
      </w:r>
    </w:p>
    <w:p w14:paraId="544D9A9E" w14:textId="77777777" w:rsidR="00E05B98" w:rsidRPr="003C6DAE" w:rsidRDefault="00B01E0C">
      <w:pPr>
        <w:pStyle w:val="a3"/>
        <w:spacing w:line="97" w:lineRule="exact"/>
        <w:ind w:left="1259"/>
        <w:rPr>
          <w:rFonts w:ascii="Trebuchet MS"/>
          <w:position w:val="-1"/>
          <w:sz w:val="9"/>
          <w:lang w:val="uk-UA"/>
        </w:rPr>
      </w:pPr>
      <w:r w:rsidRPr="003C6DAE">
        <w:rPr>
          <w:rFonts w:ascii="Trebuchet MS"/>
          <w:noProof/>
          <w:position w:val="-1"/>
          <w:sz w:val="9"/>
          <w:lang w:val="uk-UA"/>
        </w:rPr>
        <mc:AlternateContent>
          <mc:Choice Requires="wpg">
            <w:drawing>
              <wp:inline distT="0" distB="0" distL="0" distR="0" wp14:anchorId="60658F6C" wp14:editId="333C1A1F">
                <wp:extent cx="46355" cy="62230"/>
                <wp:effectExtent l="0" t="0" r="0" b="4444"/>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 cy="62230"/>
                          <a:chOff x="0" y="0"/>
                          <a:chExt cx="46355" cy="62230"/>
                        </a:xfrm>
                      </wpg:grpSpPr>
                      <wps:wsp>
                        <wps:cNvPr id="440" name="Graphic 440"/>
                        <wps:cNvSpPr/>
                        <wps:spPr>
                          <a:xfrm>
                            <a:off x="5945" y="26421"/>
                            <a:ext cx="23495" cy="1270"/>
                          </a:xfrm>
                          <a:custGeom>
                            <a:avLst/>
                            <a:gdLst/>
                            <a:ahLst/>
                            <a:cxnLst/>
                            <a:rect l="l" t="t" r="r" b="b"/>
                            <a:pathLst>
                              <a:path w="23495">
                                <a:moveTo>
                                  <a:pt x="0" y="0"/>
                                </a:moveTo>
                                <a:lnTo>
                                  <a:pt x="23449" y="0"/>
                                </a:lnTo>
                              </a:path>
                            </a:pathLst>
                          </a:custGeom>
                          <a:ln w="8807">
                            <a:solidFill>
                              <a:srgbClr val="000000"/>
                            </a:solidFill>
                            <a:prstDash val="solid"/>
                          </a:ln>
                        </wps:spPr>
                        <wps:bodyPr wrap="square" lIns="0" tIns="0" rIns="0" bIns="0" rtlCol="0">
                          <a:prstTxWarp prst="textNoShape">
                            <a:avLst/>
                          </a:prstTxWarp>
                          <a:noAutofit/>
                        </wps:bodyPr>
                      </wps:wsp>
                      <wps:wsp>
                        <wps:cNvPr id="441" name="Graphic 441"/>
                        <wps:cNvSpPr/>
                        <wps:spPr>
                          <a:xfrm>
                            <a:off x="0" y="0"/>
                            <a:ext cx="46355" cy="62230"/>
                          </a:xfrm>
                          <a:custGeom>
                            <a:avLst/>
                            <a:gdLst/>
                            <a:ahLst/>
                            <a:cxnLst/>
                            <a:rect l="l" t="t" r="r" b="b"/>
                            <a:pathLst>
                              <a:path w="46355" h="62230">
                                <a:moveTo>
                                  <a:pt x="46238" y="61650"/>
                                </a:moveTo>
                                <a:lnTo>
                                  <a:pt x="0" y="61650"/>
                                </a:lnTo>
                                <a:lnTo>
                                  <a:pt x="0" y="0"/>
                                </a:lnTo>
                                <a:lnTo>
                                  <a:pt x="46238" y="0"/>
                                </a:lnTo>
                                <a:lnTo>
                                  <a:pt x="46238" y="61650"/>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02869CF9" id="Group 439" o:spid="_x0000_s1026" style="width:3.65pt;height:4.9pt;mso-position-horizontal-relative:char;mso-position-vertical-relative:line" coordsize="46355,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">
                <v:shape id="Graphic 440" o:spid="_x0000_s1027" style="position:absolute;left:5945;top:26421;width:23495;height:1270;visibility:visible;mso-wrap-style:square;v-text-anchor:top" coordsize="2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" path="m,l23449,e" filled="f" strokeweight=".24464mm">
                  <v:path arrowok="t"/>
                </v:shape>
                <v:shape id="Graphic 441" o:spid="_x0000_s1028" style="position:absolute;width:46355;height:62230;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" path="m46238,61650l,61650,,,46238,r,61650xe" fillcolor="#0000c0" stroked="f">
                  <v:path arrowok="t"/>
                </v:shape>
                <w10:anchorlock/>
              </v:group>
            </w:pict>
          </mc:Fallback>
        </mc:AlternateContent>
      </w:r>
    </w:p>
    <w:p w14:paraId="403171E5" w14:textId="77777777" w:rsidR="00E05B98" w:rsidRPr="003C6DAE" w:rsidRDefault="00B01E0C">
      <w:pPr>
        <w:pStyle w:val="a3"/>
        <w:spacing w:before="8"/>
        <w:rPr>
          <w:rFonts w:ascii="Trebuchet MS"/>
          <w:sz w:val="8"/>
          <w:lang w:val="uk-UA"/>
        </w:rPr>
      </w:pPr>
      <w:r w:rsidRPr="003C6DAE">
        <w:rPr>
          <w:rFonts w:ascii="Trebuchet MS"/>
          <w:noProof/>
          <w:sz w:val="8"/>
          <w:lang w:val="uk-UA"/>
        </w:rPr>
        <mc:AlternateContent>
          <mc:Choice Requires="wpg">
            <w:drawing>
              <wp:anchor distT="0" distB="0" distL="0" distR="0" simplePos="0" relativeHeight="487685632" behindDoc="1" locked="0" layoutInCell="1" allowOverlap="1" wp14:anchorId="23C2E2B7" wp14:editId="2538F7EB">
                <wp:simplePos x="0" y="0"/>
                <wp:positionH relativeFrom="page">
                  <wp:posOffset>6546050</wp:posOffset>
                </wp:positionH>
                <wp:positionV relativeFrom="paragraph">
                  <wp:posOffset>79323</wp:posOffset>
                </wp:positionV>
                <wp:extent cx="48895" cy="62230"/>
                <wp:effectExtent l="0" t="0" r="0" b="0"/>
                <wp:wrapTopAndBottom/>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62230"/>
                          <a:chOff x="0" y="0"/>
                          <a:chExt cx="48895" cy="62230"/>
                        </a:xfrm>
                      </wpg:grpSpPr>
                      <wps:wsp>
                        <wps:cNvPr id="443" name="Graphic 443"/>
                        <wps:cNvSpPr/>
                        <wps:spPr>
                          <a:xfrm>
                            <a:off x="0" y="26421"/>
                            <a:ext cx="36195" cy="1270"/>
                          </a:xfrm>
                          <a:custGeom>
                            <a:avLst/>
                            <a:gdLst/>
                            <a:ahLst/>
                            <a:cxnLst/>
                            <a:rect l="l" t="t" r="r" b="b"/>
                            <a:pathLst>
                              <a:path w="36195">
                                <a:moveTo>
                                  <a:pt x="0" y="0"/>
                                </a:moveTo>
                                <a:lnTo>
                                  <a:pt x="35999" y="0"/>
                                </a:lnTo>
                              </a:path>
                            </a:pathLst>
                          </a:custGeom>
                          <a:ln w="8807">
                            <a:solidFill>
                              <a:srgbClr val="000000"/>
                            </a:solidFill>
                            <a:prstDash val="solid"/>
                          </a:ln>
                        </wps:spPr>
                        <wps:bodyPr wrap="square" lIns="0" tIns="0" rIns="0" bIns="0" rtlCol="0">
                          <a:prstTxWarp prst="textNoShape">
                            <a:avLst/>
                          </a:prstTxWarp>
                          <a:noAutofit/>
                        </wps:bodyPr>
                      </wps:wsp>
                      <wps:wsp>
                        <wps:cNvPr id="444" name="Graphic 444"/>
                        <wps:cNvSpPr/>
                        <wps:spPr>
                          <a:xfrm>
                            <a:off x="2312" y="0"/>
                            <a:ext cx="46355" cy="62230"/>
                          </a:xfrm>
                          <a:custGeom>
                            <a:avLst/>
                            <a:gdLst/>
                            <a:ahLst/>
                            <a:cxnLst/>
                            <a:rect l="l" t="t" r="r" b="b"/>
                            <a:pathLst>
                              <a:path w="46355" h="62230">
                                <a:moveTo>
                                  <a:pt x="46237" y="61650"/>
                                </a:moveTo>
                                <a:lnTo>
                                  <a:pt x="0" y="61650"/>
                                </a:lnTo>
                                <a:lnTo>
                                  <a:pt x="0" y="0"/>
                                </a:lnTo>
                                <a:lnTo>
                                  <a:pt x="46237" y="0"/>
                                </a:lnTo>
                                <a:lnTo>
                                  <a:pt x="46237" y="616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F35130E" id="Group 442" o:spid="_x0000_s1026" style="position:absolute;margin-left:515.45pt;margin-top:6.25pt;width:3.85pt;height:4.9pt;z-index:-15630848;mso-wrap-distance-left:0;mso-wrap-distance-right:0;mso-position-horizontal-relative:page" coordsize="48895,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">
                <v:shape id="Graphic 443" o:spid="_x0000_s1027" style="position:absolute;top:26421;width:36195;height:1270;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" path="m,l35999,e" filled="f" strokeweight=".24464mm">
                  <v:path arrowok="t"/>
                </v:shape>
                <v:shape id="Graphic 444" o:spid="_x0000_s1028" style="position:absolute;left:2312;width:46355;height:62230;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" path="m46237,61650l,61650,,,46237,r,61650xe" fillcolor="#0000c0" stroked="f">
                  <v:path arrowok="t"/>
                </v:shape>
                <w10:wrap type="topAndBottom" anchorx="page"/>
              </v:group>
            </w:pict>
          </mc:Fallback>
        </mc:AlternateContent>
      </w:r>
      <w:r w:rsidRPr="003C6DAE">
        <w:rPr>
          <w:rFonts w:ascii="Trebuchet MS"/>
          <w:noProof/>
          <w:sz w:val="8"/>
          <w:lang w:val="uk-UA"/>
        </w:rPr>
        <mc:AlternateContent>
          <mc:Choice Requires="wpg">
            <w:drawing>
              <wp:anchor distT="0" distB="0" distL="0" distR="0" simplePos="0" relativeHeight="487686144" behindDoc="1" locked="0" layoutInCell="1" allowOverlap="1" wp14:anchorId="057AA149" wp14:editId="158BB4C3">
                <wp:simplePos x="0" y="0"/>
                <wp:positionH relativeFrom="page">
                  <wp:posOffset>6032803</wp:posOffset>
                </wp:positionH>
                <wp:positionV relativeFrom="paragraph">
                  <wp:posOffset>220238</wp:posOffset>
                </wp:positionV>
                <wp:extent cx="588010" cy="62230"/>
                <wp:effectExtent l="0" t="0" r="0" b="0"/>
                <wp:wrapTopAndBottom/>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010" cy="62230"/>
                          <a:chOff x="0" y="0"/>
                          <a:chExt cx="588010" cy="62230"/>
                        </a:xfrm>
                      </wpg:grpSpPr>
                      <wps:wsp>
                        <wps:cNvPr id="446" name="Graphic 446"/>
                        <wps:cNvSpPr/>
                        <wps:spPr>
                          <a:xfrm>
                            <a:off x="0" y="26422"/>
                            <a:ext cx="561340" cy="1270"/>
                          </a:xfrm>
                          <a:custGeom>
                            <a:avLst/>
                            <a:gdLst/>
                            <a:ahLst/>
                            <a:cxnLst/>
                            <a:rect l="l" t="t" r="r" b="b"/>
                            <a:pathLst>
                              <a:path w="561340">
                                <a:moveTo>
                                  <a:pt x="0" y="0"/>
                                </a:moveTo>
                                <a:lnTo>
                                  <a:pt x="561137" y="0"/>
                                </a:lnTo>
                              </a:path>
                            </a:pathLst>
                          </a:custGeom>
                          <a:ln w="8807">
                            <a:solidFill>
                              <a:srgbClr val="000000"/>
                            </a:solidFill>
                            <a:prstDash val="solid"/>
                          </a:ln>
                        </wps:spPr>
                        <wps:bodyPr wrap="square" lIns="0" tIns="0" rIns="0" bIns="0" rtlCol="0">
                          <a:prstTxWarp prst="textNoShape">
                            <a:avLst/>
                          </a:prstTxWarp>
                          <a:noAutofit/>
                        </wps:bodyPr>
                      </wps:wsp>
                      <wps:wsp>
                        <wps:cNvPr id="447" name="Graphic 447"/>
                        <wps:cNvSpPr/>
                        <wps:spPr>
                          <a:xfrm>
                            <a:off x="541319" y="0"/>
                            <a:ext cx="46355" cy="62230"/>
                          </a:xfrm>
                          <a:custGeom>
                            <a:avLst/>
                            <a:gdLst/>
                            <a:ahLst/>
                            <a:cxnLst/>
                            <a:rect l="l" t="t" r="r" b="b"/>
                            <a:pathLst>
                              <a:path w="46355" h="62230">
                                <a:moveTo>
                                  <a:pt x="46239" y="61652"/>
                                </a:moveTo>
                                <a:lnTo>
                                  <a:pt x="0" y="61652"/>
                                </a:lnTo>
                                <a:lnTo>
                                  <a:pt x="0" y="0"/>
                                </a:lnTo>
                                <a:lnTo>
                                  <a:pt x="46239" y="0"/>
                                </a:lnTo>
                                <a:lnTo>
                                  <a:pt x="46239" y="61652"/>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D11C846" id="Group 445" o:spid="_x0000_s1026" style="position:absolute;margin-left:475pt;margin-top:17.35pt;width:46.3pt;height:4.9pt;z-index:-15630336;mso-wrap-distance-left:0;mso-wrap-distance-right:0;mso-position-horizontal-relative:page" coordsize="588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">
                <v:shape id="Graphic 446" o:spid="_x0000_s1027" style="position:absolute;top:264;width:5613;height:12;visibility:visible;mso-wrap-style:square;v-text-anchor:top" coordsize="561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" path="m,l561137,e" filled="f" strokeweight=".24464mm">
                  <v:path arrowok="t"/>
                </v:shape>
                <v:shape id="Graphic 447" o:spid="_x0000_s1028" style="position:absolute;left:5413;width:463;height:622;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" path="m46239,61652l,61652,,,46239,r,61652xe" fillcolor="#0000c0" stroked="f">
                  <v:path arrowok="t"/>
                </v:shape>
                <w10:wrap type="topAndBottom" anchorx="page"/>
              </v:group>
            </w:pict>
          </mc:Fallback>
        </mc:AlternateContent>
      </w:r>
      <w:r w:rsidRPr="003C6DAE">
        <w:rPr>
          <w:rFonts w:ascii="Trebuchet MS"/>
          <w:noProof/>
          <w:sz w:val="8"/>
          <w:lang w:val="uk-UA"/>
        </w:rPr>
        <mc:AlternateContent>
          <mc:Choice Requires="wpg">
            <w:drawing>
              <wp:anchor distT="0" distB="0" distL="0" distR="0" simplePos="0" relativeHeight="487686656" behindDoc="1" locked="0" layoutInCell="1" allowOverlap="1" wp14:anchorId="691B1413" wp14:editId="2BA24DC5">
                <wp:simplePos x="0" y="0"/>
                <wp:positionH relativeFrom="page">
                  <wp:posOffset>6516656</wp:posOffset>
                </wp:positionH>
                <wp:positionV relativeFrom="paragraph">
                  <wp:posOffset>361157</wp:posOffset>
                </wp:positionV>
                <wp:extent cx="89535" cy="62230"/>
                <wp:effectExtent l="0" t="0" r="0" b="0"/>
                <wp:wrapTopAndBottom/>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62230"/>
                          <a:chOff x="0" y="0"/>
                          <a:chExt cx="89535" cy="62230"/>
                        </a:xfrm>
                      </wpg:grpSpPr>
                      <wps:wsp>
                        <wps:cNvPr id="449" name="Graphic 449"/>
                        <wps:cNvSpPr/>
                        <wps:spPr>
                          <a:xfrm>
                            <a:off x="0" y="26421"/>
                            <a:ext cx="76835" cy="1270"/>
                          </a:xfrm>
                          <a:custGeom>
                            <a:avLst/>
                            <a:gdLst/>
                            <a:ahLst/>
                            <a:cxnLst/>
                            <a:rect l="l" t="t" r="r" b="b"/>
                            <a:pathLst>
                              <a:path w="76835">
                                <a:moveTo>
                                  <a:pt x="0" y="0"/>
                                </a:moveTo>
                                <a:lnTo>
                                  <a:pt x="76623" y="0"/>
                                </a:lnTo>
                              </a:path>
                            </a:pathLst>
                          </a:custGeom>
                          <a:ln w="8807">
                            <a:solidFill>
                              <a:srgbClr val="000000"/>
                            </a:solidFill>
                            <a:prstDash val="solid"/>
                          </a:ln>
                        </wps:spPr>
                        <wps:bodyPr wrap="square" lIns="0" tIns="0" rIns="0" bIns="0" rtlCol="0">
                          <a:prstTxWarp prst="textNoShape">
                            <a:avLst/>
                          </a:prstTxWarp>
                          <a:noAutofit/>
                        </wps:bodyPr>
                      </wps:wsp>
                      <wps:wsp>
                        <wps:cNvPr id="450" name="Graphic 450"/>
                        <wps:cNvSpPr/>
                        <wps:spPr>
                          <a:xfrm>
                            <a:off x="42936" y="0"/>
                            <a:ext cx="46355" cy="62230"/>
                          </a:xfrm>
                          <a:custGeom>
                            <a:avLst/>
                            <a:gdLst/>
                            <a:ahLst/>
                            <a:cxnLst/>
                            <a:rect l="l" t="t" r="r" b="b"/>
                            <a:pathLst>
                              <a:path w="46355" h="62230">
                                <a:moveTo>
                                  <a:pt x="46237" y="61650"/>
                                </a:moveTo>
                                <a:lnTo>
                                  <a:pt x="0" y="61650"/>
                                </a:lnTo>
                                <a:lnTo>
                                  <a:pt x="0" y="0"/>
                                </a:lnTo>
                                <a:lnTo>
                                  <a:pt x="46237" y="0"/>
                                </a:lnTo>
                                <a:lnTo>
                                  <a:pt x="46237" y="616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99E1DD9" id="Group 448" o:spid="_x0000_s1026" style="position:absolute;margin-left:513.1pt;margin-top:28.45pt;width:7.05pt;height:4.9pt;z-index:-15629824;mso-wrap-distance-left:0;mso-wrap-distance-right:0;mso-position-horizontal-relative:page" coordsize="89535,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">
                <v:shape id="Graphic 449" o:spid="_x0000_s1027" style="position:absolute;top:26421;width:76835;height:1270;visibility:visible;mso-wrap-style:square;v-text-anchor:top" coordsize="76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" path="m,l76623,e" filled="f" strokeweight=".24464mm">
                  <v:path arrowok="t"/>
                </v:shape>
                <v:shape id="Graphic 450" o:spid="_x0000_s1028" style="position:absolute;left:42936;width:46355;height:62230;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" path="m46237,61650l,61650,,,46237,r,61650xe" fillcolor="#0000c0" stroked="f">
                  <v:path arrowok="t"/>
                </v:shape>
                <w10:wrap type="topAndBottom" anchorx="page"/>
              </v:group>
            </w:pict>
          </mc:Fallback>
        </mc:AlternateContent>
      </w:r>
      <w:r w:rsidRPr="003C6DAE">
        <w:rPr>
          <w:rFonts w:ascii="Trebuchet MS"/>
          <w:noProof/>
          <w:sz w:val="8"/>
          <w:lang w:val="uk-UA"/>
        </w:rPr>
        <mc:AlternateContent>
          <mc:Choice Requires="wpg">
            <w:drawing>
              <wp:anchor distT="0" distB="0" distL="0" distR="0" simplePos="0" relativeHeight="487687168" behindDoc="1" locked="0" layoutInCell="1" allowOverlap="1" wp14:anchorId="38B39621" wp14:editId="0C8E4980">
                <wp:simplePos x="0" y="0"/>
                <wp:positionH relativeFrom="page">
                  <wp:posOffset>6536803</wp:posOffset>
                </wp:positionH>
                <wp:positionV relativeFrom="paragraph">
                  <wp:posOffset>502075</wp:posOffset>
                </wp:positionV>
                <wp:extent cx="67945" cy="62230"/>
                <wp:effectExtent l="0" t="0" r="0" b="0"/>
                <wp:wrapTopAndBottom/>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 cy="62230"/>
                          <a:chOff x="0" y="0"/>
                          <a:chExt cx="67945" cy="62230"/>
                        </a:xfrm>
                      </wpg:grpSpPr>
                      <wps:wsp>
                        <wps:cNvPr id="452" name="Graphic 452"/>
                        <wps:cNvSpPr/>
                        <wps:spPr>
                          <a:xfrm>
                            <a:off x="0" y="26421"/>
                            <a:ext cx="55244" cy="1270"/>
                          </a:xfrm>
                          <a:custGeom>
                            <a:avLst/>
                            <a:gdLst/>
                            <a:ahLst/>
                            <a:cxnLst/>
                            <a:rect l="l" t="t" r="r" b="b"/>
                            <a:pathLst>
                              <a:path w="55244">
                                <a:moveTo>
                                  <a:pt x="0" y="0"/>
                                </a:moveTo>
                                <a:lnTo>
                                  <a:pt x="55155" y="0"/>
                                </a:lnTo>
                              </a:path>
                            </a:pathLst>
                          </a:custGeom>
                          <a:ln w="8807">
                            <a:solidFill>
                              <a:srgbClr val="000000"/>
                            </a:solidFill>
                            <a:prstDash val="solid"/>
                          </a:ln>
                        </wps:spPr>
                        <wps:bodyPr wrap="square" lIns="0" tIns="0" rIns="0" bIns="0" rtlCol="0">
                          <a:prstTxWarp prst="textNoShape">
                            <a:avLst/>
                          </a:prstTxWarp>
                          <a:noAutofit/>
                        </wps:bodyPr>
                      </wps:wsp>
                      <wps:wsp>
                        <wps:cNvPr id="453" name="Graphic 453"/>
                        <wps:cNvSpPr/>
                        <wps:spPr>
                          <a:xfrm>
                            <a:off x="21136" y="0"/>
                            <a:ext cx="46355" cy="62230"/>
                          </a:xfrm>
                          <a:custGeom>
                            <a:avLst/>
                            <a:gdLst/>
                            <a:ahLst/>
                            <a:cxnLst/>
                            <a:rect l="l" t="t" r="r" b="b"/>
                            <a:pathLst>
                              <a:path w="46355" h="62230">
                                <a:moveTo>
                                  <a:pt x="46239" y="61650"/>
                                </a:moveTo>
                                <a:lnTo>
                                  <a:pt x="0" y="61650"/>
                                </a:lnTo>
                                <a:lnTo>
                                  <a:pt x="0" y="0"/>
                                </a:lnTo>
                                <a:lnTo>
                                  <a:pt x="46239" y="0"/>
                                </a:lnTo>
                                <a:lnTo>
                                  <a:pt x="46239" y="616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4A651FB" id="Group 451" o:spid="_x0000_s1026" style="position:absolute;margin-left:514.7pt;margin-top:39.55pt;width:5.35pt;height:4.9pt;z-index:-15629312;mso-wrap-distance-left:0;mso-wrap-distance-right:0;mso-position-horizontal-relative:page" coordsize="67945,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">
                <v:shape id="Graphic 452" o:spid="_x0000_s1027" style="position:absolute;top:26421;width:55244;height:1270;visibility:visible;mso-wrap-style:square;v-text-anchor:top" coordsize="55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" path="m,l55155,e" filled="f" strokeweight=".24464mm">
                  <v:path arrowok="t"/>
                </v:shape>
                <v:shape id="Graphic 453" o:spid="_x0000_s1028" style="position:absolute;left:21136;width:46355;height:62230;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" path="m46239,61650l,61650,,,46239,r,61650xe" fillcolor="#0000c0" stroked="f">
                  <v:path arrowok="t"/>
                </v:shape>
                <w10:wrap type="topAndBottom" anchorx="page"/>
              </v:group>
            </w:pict>
          </mc:Fallback>
        </mc:AlternateContent>
      </w:r>
      <w:r w:rsidRPr="003C6DAE">
        <w:rPr>
          <w:rFonts w:ascii="Trebuchet MS"/>
          <w:noProof/>
          <w:sz w:val="8"/>
          <w:lang w:val="uk-UA"/>
        </w:rPr>
        <mc:AlternateContent>
          <mc:Choice Requires="wpg">
            <w:drawing>
              <wp:anchor distT="0" distB="0" distL="0" distR="0" simplePos="0" relativeHeight="487687680" behindDoc="1" locked="0" layoutInCell="1" allowOverlap="1" wp14:anchorId="196FFC98" wp14:editId="49A65930">
                <wp:simplePos x="0" y="0"/>
                <wp:positionH relativeFrom="page">
                  <wp:posOffset>6349207</wp:posOffset>
                </wp:positionH>
                <wp:positionV relativeFrom="paragraph">
                  <wp:posOffset>642993</wp:posOffset>
                </wp:positionV>
                <wp:extent cx="271780" cy="62230"/>
                <wp:effectExtent l="0" t="0" r="0" b="0"/>
                <wp:wrapTopAndBottom/>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62230"/>
                          <a:chOff x="0" y="0"/>
                          <a:chExt cx="271780" cy="62230"/>
                        </a:xfrm>
                      </wpg:grpSpPr>
                      <wps:wsp>
                        <wps:cNvPr id="455" name="Graphic 455"/>
                        <wps:cNvSpPr/>
                        <wps:spPr>
                          <a:xfrm>
                            <a:off x="0" y="26421"/>
                            <a:ext cx="245110" cy="1270"/>
                          </a:xfrm>
                          <a:custGeom>
                            <a:avLst/>
                            <a:gdLst/>
                            <a:ahLst/>
                            <a:cxnLst/>
                            <a:rect l="l" t="t" r="r" b="b"/>
                            <a:pathLst>
                              <a:path w="245110">
                                <a:moveTo>
                                  <a:pt x="0" y="0"/>
                                </a:moveTo>
                                <a:lnTo>
                                  <a:pt x="244733" y="0"/>
                                </a:lnTo>
                              </a:path>
                            </a:pathLst>
                          </a:custGeom>
                          <a:ln w="8807">
                            <a:solidFill>
                              <a:srgbClr val="000000"/>
                            </a:solidFill>
                            <a:prstDash val="solid"/>
                          </a:ln>
                        </wps:spPr>
                        <wps:bodyPr wrap="square" lIns="0" tIns="0" rIns="0" bIns="0" rtlCol="0">
                          <a:prstTxWarp prst="textNoShape">
                            <a:avLst/>
                          </a:prstTxWarp>
                          <a:noAutofit/>
                        </wps:bodyPr>
                      </wps:wsp>
                      <wps:wsp>
                        <wps:cNvPr id="456" name="Graphic 456"/>
                        <wps:cNvSpPr/>
                        <wps:spPr>
                          <a:xfrm>
                            <a:off x="224916" y="0"/>
                            <a:ext cx="46355" cy="62230"/>
                          </a:xfrm>
                          <a:custGeom>
                            <a:avLst/>
                            <a:gdLst/>
                            <a:ahLst/>
                            <a:cxnLst/>
                            <a:rect l="l" t="t" r="r" b="b"/>
                            <a:pathLst>
                              <a:path w="46355" h="62230">
                                <a:moveTo>
                                  <a:pt x="46239" y="61650"/>
                                </a:moveTo>
                                <a:lnTo>
                                  <a:pt x="0" y="61650"/>
                                </a:lnTo>
                                <a:lnTo>
                                  <a:pt x="0" y="0"/>
                                </a:lnTo>
                                <a:lnTo>
                                  <a:pt x="46239" y="0"/>
                                </a:lnTo>
                                <a:lnTo>
                                  <a:pt x="46239" y="616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1298CED" id="Group 454" o:spid="_x0000_s1026" style="position:absolute;margin-left:499.95pt;margin-top:50.65pt;width:21.4pt;height:4.9pt;z-index:-15628800;mso-wrap-distance-left:0;mso-wrap-distance-right:0;mso-position-horizontal-relative:page" coordsize="271780,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">
                <v:shape id="Graphic 455" o:spid="_x0000_s1027" style="position:absolute;top:26421;width:245110;height:1270;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" path="m,l244733,e" filled="f" strokeweight=".24464mm">
                  <v:path arrowok="t"/>
                </v:shape>
                <v:shape id="Graphic 456" o:spid="_x0000_s1028" style="position:absolute;left:224916;width:46355;height:62230;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" path="m46239,61650l,61650,,,46239,r,61650xe" fillcolor="#0000c0" stroked="f">
                  <v:path arrowok="t"/>
                </v:shape>
                <w10:wrap type="topAndBottom" anchorx="page"/>
              </v:group>
            </w:pict>
          </mc:Fallback>
        </mc:AlternateContent>
      </w:r>
      <w:r w:rsidRPr="003C6DAE">
        <w:rPr>
          <w:rFonts w:ascii="Trebuchet MS"/>
          <w:noProof/>
          <w:sz w:val="8"/>
          <w:lang w:val="uk-UA"/>
        </w:rPr>
        <mc:AlternateContent>
          <mc:Choice Requires="wpg">
            <w:drawing>
              <wp:anchor distT="0" distB="0" distL="0" distR="0" simplePos="0" relativeHeight="487688192" behindDoc="1" locked="0" layoutInCell="1" allowOverlap="1" wp14:anchorId="69611B52" wp14:editId="0DB86E4B">
                <wp:simplePos x="0" y="0"/>
                <wp:positionH relativeFrom="page">
                  <wp:posOffset>6561243</wp:posOffset>
                </wp:positionH>
                <wp:positionV relativeFrom="paragraph">
                  <wp:posOffset>783909</wp:posOffset>
                </wp:positionV>
                <wp:extent cx="46355" cy="62230"/>
                <wp:effectExtent l="0" t="0" r="0" b="0"/>
                <wp:wrapTopAndBottom/>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 cy="62230"/>
                          <a:chOff x="0" y="0"/>
                          <a:chExt cx="46355" cy="62230"/>
                        </a:xfrm>
                      </wpg:grpSpPr>
                      <wps:wsp>
                        <wps:cNvPr id="458" name="Graphic 458"/>
                        <wps:cNvSpPr/>
                        <wps:spPr>
                          <a:xfrm>
                            <a:off x="5284" y="26422"/>
                            <a:ext cx="22860" cy="1270"/>
                          </a:xfrm>
                          <a:custGeom>
                            <a:avLst/>
                            <a:gdLst/>
                            <a:ahLst/>
                            <a:cxnLst/>
                            <a:rect l="l" t="t" r="r" b="b"/>
                            <a:pathLst>
                              <a:path w="22860">
                                <a:moveTo>
                                  <a:pt x="0" y="0"/>
                                </a:moveTo>
                                <a:lnTo>
                                  <a:pt x="22458" y="0"/>
                                </a:lnTo>
                              </a:path>
                            </a:pathLst>
                          </a:custGeom>
                          <a:ln w="8807">
                            <a:solidFill>
                              <a:srgbClr val="000000"/>
                            </a:solidFill>
                            <a:prstDash val="solid"/>
                          </a:ln>
                        </wps:spPr>
                        <wps:bodyPr wrap="square" lIns="0" tIns="0" rIns="0" bIns="0" rtlCol="0">
                          <a:prstTxWarp prst="textNoShape">
                            <a:avLst/>
                          </a:prstTxWarp>
                          <a:noAutofit/>
                        </wps:bodyPr>
                      </wps:wsp>
                      <wps:wsp>
                        <wps:cNvPr id="459" name="Graphic 459"/>
                        <wps:cNvSpPr/>
                        <wps:spPr>
                          <a:xfrm>
                            <a:off x="0" y="0"/>
                            <a:ext cx="46355" cy="62230"/>
                          </a:xfrm>
                          <a:custGeom>
                            <a:avLst/>
                            <a:gdLst/>
                            <a:ahLst/>
                            <a:cxnLst/>
                            <a:rect l="l" t="t" r="r" b="b"/>
                            <a:pathLst>
                              <a:path w="46355" h="62230">
                                <a:moveTo>
                                  <a:pt x="46237" y="61652"/>
                                </a:moveTo>
                                <a:lnTo>
                                  <a:pt x="0" y="61652"/>
                                </a:lnTo>
                                <a:lnTo>
                                  <a:pt x="0" y="0"/>
                                </a:lnTo>
                                <a:lnTo>
                                  <a:pt x="46237" y="0"/>
                                </a:lnTo>
                                <a:lnTo>
                                  <a:pt x="46237" y="61652"/>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9929627" id="Group 457" o:spid="_x0000_s1026" style="position:absolute;margin-left:516.65pt;margin-top:61.75pt;width:3.65pt;height:4.9pt;z-index:-15628288;mso-wrap-distance-left:0;mso-wrap-distance-right:0;mso-position-horizontal-relative:page" coordsize="46355,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">
                <v:shape id="Graphic 458" o:spid="_x0000_s1027" style="position:absolute;left:5284;top:26422;width:22860;height:1270;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" path="m,l22458,e" filled="f" strokeweight=".24464mm">
                  <v:path arrowok="t"/>
                </v:shape>
                <v:shape id="Graphic 459" o:spid="_x0000_s1028" style="position:absolute;width:46355;height:62230;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" path="m46237,61652l,61652,,,46237,r,61652xe" fillcolor="#0000c0" stroked="f">
                  <v:path arrowok="t"/>
                </v:shape>
                <w10:wrap type="topAndBottom" anchorx="page"/>
              </v:group>
            </w:pict>
          </mc:Fallback>
        </mc:AlternateContent>
      </w:r>
      <w:r w:rsidRPr="003C6DAE">
        <w:rPr>
          <w:rFonts w:ascii="Trebuchet MS"/>
          <w:noProof/>
          <w:sz w:val="8"/>
          <w:lang w:val="uk-UA"/>
        </w:rPr>
        <mc:AlternateContent>
          <mc:Choice Requires="wpg">
            <w:drawing>
              <wp:anchor distT="0" distB="0" distL="0" distR="0" simplePos="0" relativeHeight="487688704" behindDoc="1" locked="0" layoutInCell="1" allowOverlap="1" wp14:anchorId="433E09CC" wp14:editId="776BDD47">
                <wp:simplePos x="0" y="0"/>
                <wp:positionH relativeFrom="page">
                  <wp:posOffset>6557610</wp:posOffset>
                </wp:positionH>
                <wp:positionV relativeFrom="paragraph">
                  <wp:posOffset>924827</wp:posOffset>
                </wp:positionV>
                <wp:extent cx="62865" cy="62230"/>
                <wp:effectExtent l="0" t="0" r="0" b="0"/>
                <wp:wrapTopAndBottom/>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 cy="62230"/>
                          <a:chOff x="0" y="0"/>
                          <a:chExt cx="62865" cy="62230"/>
                        </a:xfrm>
                      </wpg:grpSpPr>
                      <wps:wsp>
                        <wps:cNvPr id="461" name="Graphic 461"/>
                        <wps:cNvSpPr/>
                        <wps:spPr>
                          <a:xfrm>
                            <a:off x="0" y="26422"/>
                            <a:ext cx="36830" cy="1270"/>
                          </a:xfrm>
                          <a:custGeom>
                            <a:avLst/>
                            <a:gdLst/>
                            <a:ahLst/>
                            <a:cxnLst/>
                            <a:rect l="l" t="t" r="r" b="b"/>
                            <a:pathLst>
                              <a:path w="36830">
                                <a:moveTo>
                                  <a:pt x="0" y="0"/>
                                </a:moveTo>
                                <a:lnTo>
                                  <a:pt x="36330" y="0"/>
                                </a:lnTo>
                              </a:path>
                            </a:pathLst>
                          </a:custGeom>
                          <a:ln w="8807">
                            <a:solidFill>
                              <a:srgbClr val="000000"/>
                            </a:solidFill>
                            <a:prstDash val="solid"/>
                          </a:ln>
                        </wps:spPr>
                        <wps:bodyPr wrap="square" lIns="0" tIns="0" rIns="0" bIns="0" rtlCol="0">
                          <a:prstTxWarp prst="textNoShape">
                            <a:avLst/>
                          </a:prstTxWarp>
                          <a:noAutofit/>
                        </wps:bodyPr>
                      </wps:wsp>
                      <wps:wsp>
                        <wps:cNvPr id="462" name="Graphic 462"/>
                        <wps:cNvSpPr/>
                        <wps:spPr>
                          <a:xfrm>
                            <a:off x="16512" y="0"/>
                            <a:ext cx="46355" cy="62230"/>
                          </a:xfrm>
                          <a:custGeom>
                            <a:avLst/>
                            <a:gdLst/>
                            <a:ahLst/>
                            <a:cxnLst/>
                            <a:rect l="l" t="t" r="r" b="b"/>
                            <a:pathLst>
                              <a:path w="46355" h="62230">
                                <a:moveTo>
                                  <a:pt x="46239" y="61650"/>
                                </a:moveTo>
                                <a:lnTo>
                                  <a:pt x="0" y="61650"/>
                                </a:lnTo>
                                <a:lnTo>
                                  <a:pt x="0" y="0"/>
                                </a:lnTo>
                                <a:lnTo>
                                  <a:pt x="46239" y="0"/>
                                </a:lnTo>
                                <a:lnTo>
                                  <a:pt x="46239" y="616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1FD7B84" id="Group 460" o:spid="_x0000_s1026" style="position:absolute;margin-left:516.35pt;margin-top:72.8pt;width:4.95pt;height:4.9pt;z-index:-15627776;mso-wrap-distance-left:0;mso-wrap-distance-right:0;mso-position-horizontal-relative:page" coordsize="62865,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">
                <v:shape id="Graphic 461" o:spid="_x0000_s1027" style="position:absolute;top:26422;width:36830;height:1270;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" path="m,l36330,e" filled="f" strokeweight=".24464mm">
                  <v:path arrowok="t"/>
                </v:shape>
                <v:shape id="Graphic 462" o:spid="_x0000_s1028" style="position:absolute;left:16512;width:46355;height:62230;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" path="m46239,61650l,61650,,,46239,r,61650xe" fillcolor="#0000c0" stroked="f">
                  <v:path arrowok="t"/>
                </v:shape>
                <w10:wrap type="topAndBottom" anchorx="page"/>
              </v:group>
            </w:pict>
          </mc:Fallback>
        </mc:AlternateContent>
      </w:r>
      <w:r w:rsidRPr="003C6DAE">
        <w:rPr>
          <w:rFonts w:ascii="Trebuchet MS"/>
          <w:noProof/>
          <w:sz w:val="8"/>
          <w:lang w:val="uk-UA"/>
        </w:rPr>
        <mc:AlternateContent>
          <mc:Choice Requires="wpg">
            <w:drawing>
              <wp:anchor distT="0" distB="0" distL="0" distR="0" simplePos="0" relativeHeight="487689216" behindDoc="1" locked="0" layoutInCell="1" allowOverlap="1" wp14:anchorId="39AC3D8A" wp14:editId="0014E92E">
                <wp:simplePos x="0" y="0"/>
                <wp:positionH relativeFrom="page">
                  <wp:posOffset>6512693</wp:posOffset>
                </wp:positionH>
                <wp:positionV relativeFrom="paragraph">
                  <wp:posOffset>1065745</wp:posOffset>
                </wp:positionV>
                <wp:extent cx="84455" cy="62230"/>
                <wp:effectExtent l="0" t="0" r="0" b="0"/>
                <wp:wrapTopAndBottom/>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62230"/>
                          <a:chOff x="0" y="0"/>
                          <a:chExt cx="84455" cy="62230"/>
                        </a:xfrm>
                      </wpg:grpSpPr>
                      <wps:wsp>
                        <wps:cNvPr id="464" name="Graphic 464"/>
                        <wps:cNvSpPr/>
                        <wps:spPr>
                          <a:xfrm>
                            <a:off x="0" y="26421"/>
                            <a:ext cx="78740" cy="1270"/>
                          </a:xfrm>
                          <a:custGeom>
                            <a:avLst/>
                            <a:gdLst/>
                            <a:ahLst/>
                            <a:cxnLst/>
                            <a:rect l="l" t="t" r="r" b="b"/>
                            <a:pathLst>
                              <a:path w="78740">
                                <a:moveTo>
                                  <a:pt x="0" y="0"/>
                                </a:moveTo>
                                <a:lnTo>
                                  <a:pt x="78275" y="0"/>
                                </a:lnTo>
                              </a:path>
                            </a:pathLst>
                          </a:custGeom>
                          <a:ln w="8807">
                            <a:solidFill>
                              <a:srgbClr val="000000"/>
                            </a:solidFill>
                            <a:prstDash val="solid"/>
                          </a:ln>
                        </wps:spPr>
                        <wps:bodyPr wrap="square" lIns="0" tIns="0" rIns="0" bIns="0" rtlCol="0">
                          <a:prstTxWarp prst="textNoShape">
                            <a:avLst/>
                          </a:prstTxWarp>
                          <a:noAutofit/>
                        </wps:bodyPr>
                      </wps:wsp>
                      <wps:wsp>
                        <wps:cNvPr id="465" name="Graphic 465"/>
                        <wps:cNvSpPr/>
                        <wps:spPr>
                          <a:xfrm>
                            <a:off x="37981" y="0"/>
                            <a:ext cx="46355" cy="62230"/>
                          </a:xfrm>
                          <a:custGeom>
                            <a:avLst/>
                            <a:gdLst/>
                            <a:ahLst/>
                            <a:cxnLst/>
                            <a:rect l="l" t="t" r="r" b="b"/>
                            <a:pathLst>
                              <a:path w="46355" h="62230">
                                <a:moveTo>
                                  <a:pt x="46238" y="61650"/>
                                </a:moveTo>
                                <a:lnTo>
                                  <a:pt x="0" y="61650"/>
                                </a:lnTo>
                                <a:lnTo>
                                  <a:pt x="0" y="0"/>
                                </a:lnTo>
                                <a:lnTo>
                                  <a:pt x="46238" y="0"/>
                                </a:lnTo>
                                <a:lnTo>
                                  <a:pt x="46238" y="616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6451A8C" id="Group 463" o:spid="_x0000_s1026" style="position:absolute;margin-left:512.8pt;margin-top:83.9pt;width:6.65pt;height:4.9pt;z-index:-15627264;mso-wrap-distance-left:0;mso-wrap-distance-right:0;mso-position-horizontal-relative:page" coordsize="84455,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">
                <v:shape id="Graphic 464" o:spid="_x0000_s1027" style="position:absolute;top:26421;width:78740;height:1270;visibility:visible;mso-wrap-style:square;v-text-anchor:top" coordsize="78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" path="m,l78275,e" filled="f" strokeweight=".24464mm">
                  <v:path arrowok="t"/>
                </v:shape>
                <v:shape id="Graphic 465" o:spid="_x0000_s1028" style="position:absolute;left:37981;width:46355;height:62230;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" path="m46238,61650l,61650,,,46238,r,61650xe" fillcolor="#0000c0" stroked="f">
                  <v:path arrowok="t"/>
                </v:shape>
                <w10:wrap type="topAndBottom" anchorx="page"/>
              </v:group>
            </w:pict>
          </mc:Fallback>
        </mc:AlternateContent>
      </w:r>
      <w:r w:rsidRPr="003C6DAE">
        <w:rPr>
          <w:rFonts w:ascii="Trebuchet MS"/>
          <w:noProof/>
          <w:sz w:val="8"/>
          <w:lang w:val="uk-UA"/>
        </w:rPr>
        <mc:AlternateContent>
          <mc:Choice Requires="wpg">
            <w:drawing>
              <wp:anchor distT="0" distB="0" distL="0" distR="0" simplePos="0" relativeHeight="487689728" behindDoc="1" locked="0" layoutInCell="1" allowOverlap="1" wp14:anchorId="625EECC5" wp14:editId="3D422AE8">
                <wp:simplePos x="0" y="0"/>
                <wp:positionH relativeFrom="page">
                  <wp:posOffset>6460179</wp:posOffset>
                </wp:positionH>
                <wp:positionV relativeFrom="paragraph">
                  <wp:posOffset>1206663</wp:posOffset>
                </wp:positionV>
                <wp:extent cx="160655" cy="62230"/>
                <wp:effectExtent l="0" t="0" r="0" b="0"/>
                <wp:wrapTopAndBottom/>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 cy="62230"/>
                          <a:chOff x="0" y="0"/>
                          <a:chExt cx="160655" cy="62230"/>
                        </a:xfrm>
                      </wpg:grpSpPr>
                      <wps:wsp>
                        <wps:cNvPr id="467" name="Graphic 467"/>
                        <wps:cNvSpPr/>
                        <wps:spPr>
                          <a:xfrm>
                            <a:off x="0" y="26421"/>
                            <a:ext cx="133985" cy="1270"/>
                          </a:xfrm>
                          <a:custGeom>
                            <a:avLst/>
                            <a:gdLst/>
                            <a:ahLst/>
                            <a:cxnLst/>
                            <a:rect l="l" t="t" r="r" b="b"/>
                            <a:pathLst>
                              <a:path w="133985">
                                <a:moveTo>
                                  <a:pt x="0" y="0"/>
                                </a:moveTo>
                                <a:lnTo>
                                  <a:pt x="133761" y="0"/>
                                </a:lnTo>
                              </a:path>
                            </a:pathLst>
                          </a:custGeom>
                          <a:ln w="8807">
                            <a:solidFill>
                              <a:srgbClr val="000000"/>
                            </a:solidFill>
                            <a:prstDash val="solid"/>
                          </a:ln>
                        </wps:spPr>
                        <wps:bodyPr wrap="square" lIns="0" tIns="0" rIns="0" bIns="0" rtlCol="0">
                          <a:prstTxWarp prst="textNoShape">
                            <a:avLst/>
                          </a:prstTxWarp>
                          <a:noAutofit/>
                        </wps:bodyPr>
                      </wps:wsp>
                      <wps:wsp>
                        <wps:cNvPr id="468" name="Graphic 468"/>
                        <wps:cNvSpPr/>
                        <wps:spPr>
                          <a:xfrm>
                            <a:off x="113944" y="0"/>
                            <a:ext cx="46355" cy="62230"/>
                          </a:xfrm>
                          <a:custGeom>
                            <a:avLst/>
                            <a:gdLst/>
                            <a:ahLst/>
                            <a:cxnLst/>
                            <a:rect l="l" t="t" r="r" b="b"/>
                            <a:pathLst>
                              <a:path w="46355" h="62230">
                                <a:moveTo>
                                  <a:pt x="46239" y="61650"/>
                                </a:moveTo>
                                <a:lnTo>
                                  <a:pt x="0" y="61650"/>
                                </a:lnTo>
                                <a:lnTo>
                                  <a:pt x="0" y="0"/>
                                </a:lnTo>
                                <a:lnTo>
                                  <a:pt x="46239" y="0"/>
                                </a:lnTo>
                                <a:lnTo>
                                  <a:pt x="46239" y="616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01F6A83" id="Group 466" o:spid="_x0000_s1026" style="position:absolute;margin-left:508.7pt;margin-top:95pt;width:12.65pt;height:4.9pt;z-index:-15626752;mso-wrap-distance-left:0;mso-wrap-distance-right:0;mso-position-horizontal-relative:page" coordsize="160655,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">
                <v:shape id="Graphic 467" o:spid="_x0000_s1027" style="position:absolute;top:26421;width:133985;height:1270;visibility:visible;mso-wrap-style:square;v-text-anchor:top" coordsize="133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" path="m,l133761,e" filled="f" strokeweight=".24464mm">
                  <v:path arrowok="t"/>
                </v:shape>
                <v:shape id="Graphic 468" o:spid="_x0000_s1028" style="position:absolute;left:113944;width:46355;height:62230;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" path="m46239,61650l,61650,,,46239,r,61650xe" fillcolor="#0000c0" stroked="f">
                  <v:path arrowok="t"/>
                </v:shape>
                <w10:wrap type="topAndBottom" anchorx="page"/>
              </v:group>
            </w:pict>
          </mc:Fallback>
        </mc:AlternateContent>
      </w:r>
      <w:r w:rsidRPr="003C6DAE">
        <w:rPr>
          <w:rFonts w:ascii="Trebuchet MS"/>
          <w:noProof/>
          <w:sz w:val="8"/>
          <w:lang w:val="uk-UA"/>
        </w:rPr>
        <mc:AlternateContent>
          <mc:Choice Requires="wpg">
            <w:drawing>
              <wp:anchor distT="0" distB="0" distL="0" distR="0" simplePos="0" relativeHeight="487690240" behindDoc="1" locked="0" layoutInCell="1" allowOverlap="1" wp14:anchorId="290AAEB2" wp14:editId="2E74CBAB">
                <wp:simplePos x="0" y="0"/>
                <wp:positionH relativeFrom="page">
                  <wp:posOffset>6566527</wp:posOffset>
                </wp:positionH>
                <wp:positionV relativeFrom="paragraph">
                  <wp:posOffset>1347579</wp:posOffset>
                </wp:positionV>
                <wp:extent cx="53975" cy="62230"/>
                <wp:effectExtent l="0" t="0" r="0" b="0"/>
                <wp:wrapTopAndBottom/>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 cy="62230"/>
                          <a:chOff x="0" y="0"/>
                          <a:chExt cx="53975" cy="62230"/>
                        </a:xfrm>
                      </wpg:grpSpPr>
                      <wps:wsp>
                        <wps:cNvPr id="470" name="Graphic 470"/>
                        <wps:cNvSpPr/>
                        <wps:spPr>
                          <a:xfrm>
                            <a:off x="0" y="26422"/>
                            <a:ext cx="27940" cy="1270"/>
                          </a:xfrm>
                          <a:custGeom>
                            <a:avLst/>
                            <a:gdLst/>
                            <a:ahLst/>
                            <a:cxnLst/>
                            <a:rect l="l" t="t" r="r" b="b"/>
                            <a:pathLst>
                              <a:path w="27940">
                                <a:moveTo>
                                  <a:pt x="0" y="0"/>
                                </a:moveTo>
                                <a:lnTo>
                                  <a:pt x="27412" y="0"/>
                                </a:lnTo>
                              </a:path>
                            </a:pathLst>
                          </a:custGeom>
                          <a:ln w="8807">
                            <a:solidFill>
                              <a:srgbClr val="000000"/>
                            </a:solidFill>
                            <a:prstDash val="solid"/>
                          </a:ln>
                        </wps:spPr>
                        <wps:bodyPr wrap="square" lIns="0" tIns="0" rIns="0" bIns="0" rtlCol="0">
                          <a:prstTxWarp prst="textNoShape">
                            <a:avLst/>
                          </a:prstTxWarp>
                          <a:noAutofit/>
                        </wps:bodyPr>
                      </wps:wsp>
                      <wps:wsp>
                        <wps:cNvPr id="471" name="Graphic 471"/>
                        <wps:cNvSpPr/>
                        <wps:spPr>
                          <a:xfrm>
                            <a:off x="7595" y="0"/>
                            <a:ext cx="46355" cy="62230"/>
                          </a:xfrm>
                          <a:custGeom>
                            <a:avLst/>
                            <a:gdLst/>
                            <a:ahLst/>
                            <a:cxnLst/>
                            <a:rect l="l" t="t" r="r" b="b"/>
                            <a:pathLst>
                              <a:path w="46355" h="62230">
                                <a:moveTo>
                                  <a:pt x="46239" y="61652"/>
                                </a:moveTo>
                                <a:lnTo>
                                  <a:pt x="0" y="61652"/>
                                </a:lnTo>
                                <a:lnTo>
                                  <a:pt x="0" y="0"/>
                                </a:lnTo>
                                <a:lnTo>
                                  <a:pt x="46239" y="0"/>
                                </a:lnTo>
                                <a:lnTo>
                                  <a:pt x="46239" y="61652"/>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FB1D93C" id="Group 469" o:spid="_x0000_s1026" style="position:absolute;margin-left:517.05pt;margin-top:106.1pt;width:4.25pt;height:4.9pt;z-index:-15626240;mso-wrap-distance-left:0;mso-wrap-distance-right:0;mso-position-horizontal-relative:page" coordsize="53975,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">
                <v:shape id="Graphic 470" o:spid="_x0000_s1027" style="position:absolute;top:26422;width:27940;height:1270;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" path="m,l27412,e" filled="f" strokeweight=".24464mm">
                  <v:path arrowok="t"/>
                </v:shape>
                <v:shape id="Graphic 471" o:spid="_x0000_s1028" style="position:absolute;left:7595;width:46355;height:62230;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" path="m46239,61652l,61652,,,46239,r,61652xe" fillcolor="#0000c0" stroked="f">
                  <v:path arrowok="t"/>
                </v:shape>
                <w10:wrap type="topAndBottom" anchorx="page"/>
              </v:group>
            </w:pict>
          </mc:Fallback>
        </mc:AlternateContent>
      </w:r>
      <w:r w:rsidRPr="003C6DAE">
        <w:rPr>
          <w:rFonts w:ascii="Trebuchet MS"/>
          <w:noProof/>
          <w:sz w:val="8"/>
          <w:lang w:val="uk-UA"/>
        </w:rPr>
        <mc:AlternateContent>
          <mc:Choice Requires="wpg">
            <w:drawing>
              <wp:anchor distT="0" distB="0" distL="0" distR="0" simplePos="0" relativeHeight="487690752" behindDoc="1" locked="0" layoutInCell="1" allowOverlap="1" wp14:anchorId="419D908A" wp14:editId="51B627E0">
                <wp:simplePos x="0" y="0"/>
                <wp:positionH relativeFrom="page">
                  <wp:posOffset>6555299</wp:posOffset>
                </wp:positionH>
                <wp:positionV relativeFrom="paragraph">
                  <wp:posOffset>1488497</wp:posOffset>
                </wp:positionV>
                <wp:extent cx="65405" cy="62230"/>
                <wp:effectExtent l="0" t="0" r="0" b="0"/>
                <wp:wrapTopAndBottom/>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05" cy="62230"/>
                          <a:chOff x="0" y="0"/>
                          <a:chExt cx="65405" cy="62230"/>
                        </a:xfrm>
                      </wpg:grpSpPr>
                      <wps:wsp>
                        <wps:cNvPr id="473" name="Graphic 473"/>
                        <wps:cNvSpPr/>
                        <wps:spPr>
                          <a:xfrm>
                            <a:off x="0" y="26422"/>
                            <a:ext cx="38735" cy="1270"/>
                          </a:xfrm>
                          <a:custGeom>
                            <a:avLst/>
                            <a:gdLst/>
                            <a:ahLst/>
                            <a:cxnLst/>
                            <a:rect l="l" t="t" r="r" b="b"/>
                            <a:pathLst>
                              <a:path w="38735">
                                <a:moveTo>
                                  <a:pt x="0" y="0"/>
                                </a:moveTo>
                                <a:lnTo>
                                  <a:pt x="38642" y="0"/>
                                </a:lnTo>
                              </a:path>
                            </a:pathLst>
                          </a:custGeom>
                          <a:ln w="8807">
                            <a:solidFill>
                              <a:srgbClr val="000000"/>
                            </a:solidFill>
                            <a:prstDash val="solid"/>
                          </a:ln>
                        </wps:spPr>
                        <wps:bodyPr wrap="square" lIns="0" tIns="0" rIns="0" bIns="0" rtlCol="0">
                          <a:prstTxWarp prst="textNoShape">
                            <a:avLst/>
                          </a:prstTxWarp>
                          <a:noAutofit/>
                        </wps:bodyPr>
                      </wps:wsp>
                      <wps:wsp>
                        <wps:cNvPr id="474" name="Graphic 474"/>
                        <wps:cNvSpPr/>
                        <wps:spPr>
                          <a:xfrm>
                            <a:off x="18824" y="0"/>
                            <a:ext cx="46355" cy="62230"/>
                          </a:xfrm>
                          <a:custGeom>
                            <a:avLst/>
                            <a:gdLst/>
                            <a:ahLst/>
                            <a:cxnLst/>
                            <a:rect l="l" t="t" r="r" b="b"/>
                            <a:pathLst>
                              <a:path w="46355" h="62230">
                                <a:moveTo>
                                  <a:pt x="46239" y="61652"/>
                                </a:moveTo>
                                <a:lnTo>
                                  <a:pt x="0" y="61652"/>
                                </a:lnTo>
                                <a:lnTo>
                                  <a:pt x="0" y="0"/>
                                </a:lnTo>
                                <a:lnTo>
                                  <a:pt x="46239" y="0"/>
                                </a:lnTo>
                                <a:lnTo>
                                  <a:pt x="46239" y="61652"/>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BA5F745" id="Group 472" o:spid="_x0000_s1026" style="position:absolute;margin-left:516.15pt;margin-top:117.2pt;width:5.15pt;height:4.9pt;z-index:-15625728;mso-wrap-distance-left:0;mso-wrap-distance-right:0;mso-position-horizontal-relative:page" coordsize="65405,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">
                <v:shape id="Graphic 473" o:spid="_x0000_s1027" style="position:absolute;top:26422;width:38735;height:1270;visibility:visible;mso-wrap-style:square;v-text-anchor:top" coordsize="38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" path="m,l38642,e" filled="f" strokeweight=".24464mm">
                  <v:path arrowok="t"/>
                </v:shape>
                <v:shape id="Graphic 474" o:spid="_x0000_s1028" style="position:absolute;left:18824;width:46355;height:62230;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" path="m46239,61652l,61652,,,46239,r,61652xe" fillcolor="#0000c0" stroked="f">
                  <v:path arrowok="t"/>
                </v:shape>
                <w10:wrap type="topAndBottom" anchorx="page"/>
              </v:group>
            </w:pict>
          </mc:Fallback>
        </mc:AlternateContent>
      </w:r>
      <w:r w:rsidRPr="003C6DAE">
        <w:rPr>
          <w:rFonts w:ascii="Trebuchet MS"/>
          <w:noProof/>
          <w:sz w:val="8"/>
          <w:lang w:val="uk-UA"/>
        </w:rPr>
        <mc:AlternateContent>
          <mc:Choice Requires="wpg">
            <w:drawing>
              <wp:anchor distT="0" distB="0" distL="0" distR="0" simplePos="0" relativeHeight="487691264" behindDoc="1" locked="0" layoutInCell="1" allowOverlap="1" wp14:anchorId="37EC0314" wp14:editId="5424A486">
                <wp:simplePos x="0" y="0"/>
                <wp:positionH relativeFrom="page">
                  <wp:posOffset>5797978</wp:posOffset>
                </wp:positionH>
                <wp:positionV relativeFrom="paragraph">
                  <wp:posOffset>1629415</wp:posOffset>
                </wp:positionV>
                <wp:extent cx="798195" cy="132715"/>
                <wp:effectExtent l="0" t="0" r="0" b="0"/>
                <wp:wrapTopAndBottom/>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8195" cy="132715"/>
                          <a:chOff x="0" y="0"/>
                          <a:chExt cx="798195" cy="132715"/>
                        </a:xfrm>
                      </wpg:grpSpPr>
                      <wps:wsp>
                        <wps:cNvPr id="476" name="Graphic 476"/>
                        <wps:cNvSpPr/>
                        <wps:spPr>
                          <a:xfrm>
                            <a:off x="751375" y="26421"/>
                            <a:ext cx="33020" cy="1270"/>
                          </a:xfrm>
                          <a:custGeom>
                            <a:avLst/>
                            <a:gdLst/>
                            <a:ahLst/>
                            <a:cxnLst/>
                            <a:rect l="l" t="t" r="r" b="b"/>
                            <a:pathLst>
                              <a:path w="33020">
                                <a:moveTo>
                                  <a:pt x="0" y="0"/>
                                </a:moveTo>
                                <a:lnTo>
                                  <a:pt x="32697" y="0"/>
                                </a:lnTo>
                              </a:path>
                            </a:pathLst>
                          </a:custGeom>
                          <a:ln w="8807">
                            <a:solidFill>
                              <a:srgbClr val="000000"/>
                            </a:solidFill>
                            <a:prstDash val="solid"/>
                          </a:ln>
                        </wps:spPr>
                        <wps:bodyPr wrap="square" lIns="0" tIns="0" rIns="0" bIns="0" rtlCol="0">
                          <a:prstTxWarp prst="textNoShape">
                            <a:avLst/>
                          </a:prstTxWarp>
                          <a:noAutofit/>
                        </wps:bodyPr>
                      </wps:wsp>
                      <wps:wsp>
                        <wps:cNvPr id="477" name="Graphic 477"/>
                        <wps:cNvSpPr/>
                        <wps:spPr>
                          <a:xfrm>
                            <a:off x="751375" y="0"/>
                            <a:ext cx="46355" cy="62230"/>
                          </a:xfrm>
                          <a:custGeom>
                            <a:avLst/>
                            <a:gdLst/>
                            <a:ahLst/>
                            <a:cxnLst/>
                            <a:rect l="l" t="t" r="r" b="b"/>
                            <a:pathLst>
                              <a:path w="46355" h="62230">
                                <a:moveTo>
                                  <a:pt x="46237" y="61650"/>
                                </a:moveTo>
                                <a:lnTo>
                                  <a:pt x="0" y="61650"/>
                                </a:lnTo>
                                <a:lnTo>
                                  <a:pt x="0" y="0"/>
                                </a:lnTo>
                                <a:lnTo>
                                  <a:pt x="46237" y="0"/>
                                </a:lnTo>
                                <a:lnTo>
                                  <a:pt x="46237" y="61650"/>
                                </a:lnTo>
                                <a:close/>
                              </a:path>
                            </a:pathLst>
                          </a:custGeom>
                          <a:solidFill>
                            <a:srgbClr val="0000C0"/>
                          </a:solidFill>
                        </wps:spPr>
                        <wps:bodyPr wrap="square" lIns="0" tIns="0" rIns="0" bIns="0" rtlCol="0">
                          <a:prstTxWarp prst="textNoShape">
                            <a:avLst/>
                          </a:prstTxWarp>
                          <a:noAutofit/>
                        </wps:bodyPr>
                      </wps:wsp>
                      <wps:wsp>
                        <wps:cNvPr id="478" name="Graphic 478"/>
                        <wps:cNvSpPr/>
                        <wps:spPr>
                          <a:xfrm>
                            <a:off x="3302" y="96880"/>
                            <a:ext cx="786130" cy="1270"/>
                          </a:xfrm>
                          <a:custGeom>
                            <a:avLst/>
                            <a:gdLst/>
                            <a:ahLst/>
                            <a:cxnLst/>
                            <a:rect l="l" t="t" r="r" b="b"/>
                            <a:pathLst>
                              <a:path w="786130">
                                <a:moveTo>
                                  <a:pt x="0" y="0"/>
                                </a:moveTo>
                                <a:lnTo>
                                  <a:pt x="786054" y="0"/>
                                </a:lnTo>
                              </a:path>
                            </a:pathLst>
                          </a:custGeom>
                          <a:ln w="8807">
                            <a:solidFill>
                              <a:srgbClr val="000000"/>
                            </a:solidFill>
                            <a:prstDash val="solid"/>
                          </a:ln>
                        </wps:spPr>
                        <wps:bodyPr wrap="square" lIns="0" tIns="0" rIns="0" bIns="0" rtlCol="0">
                          <a:prstTxWarp prst="textNoShape">
                            <a:avLst/>
                          </a:prstTxWarp>
                          <a:noAutofit/>
                        </wps:bodyPr>
                      </wps:wsp>
                      <wps:wsp>
                        <wps:cNvPr id="479" name="Graphic 479"/>
                        <wps:cNvSpPr/>
                        <wps:spPr>
                          <a:xfrm>
                            <a:off x="3302" y="61651"/>
                            <a:ext cx="1270" cy="70485"/>
                          </a:xfrm>
                          <a:custGeom>
                            <a:avLst/>
                            <a:gdLst/>
                            <a:ahLst/>
                            <a:cxnLst/>
                            <a:rect l="l" t="t" r="r" b="b"/>
                            <a:pathLst>
                              <a:path h="70485">
                                <a:moveTo>
                                  <a:pt x="0" y="0"/>
                                </a:moveTo>
                                <a:lnTo>
                                  <a:pt x="0" y="70458"/>
                                </a:lnTo>
                              </a:path>
                            </a:pathLst>
                          </a:custGeom>
                          <a:ln w="6605">
                            <a:solidFill>
                              <a:srgbClr val="000000"/>
                            </a:solidFill>
                            <a:prstDash val="solid"/>
                          </a:ln>
                        </wps:spPr>
                        <wps:bodyPr wrap="square" lIns="0" tIns="0" rIns="0" bIns="0" rtlCol="0">
                          <a:prstTxWarp prst="textNoShape">
                            <a:avLst/>
                          </a:prstTxWarp>
                          <a:noAutofit/>
                        </wps:bodyPr>
                      </wps:wsp>
                      <wps:wsp>
                        <wps:cNvPr id="480" name="Graphic 480"/>
                        <wps:cNvSpPr/>
                        <wps:spPr>
                          <a:xfrm>
                            <a:off x="160513" y="61651"/>
                            <a:ext cx="1270" cy="70485"/>
                          </a:xfrm>
                          <a:custGeom>
                            <a:avLst/>
                            <a:gdLst/>
                            <a:ahLst/>
                            <a:cxnLst/>
                            <a:rect l="l" t="t" r="r" b="b"/>
                            <a:pathLst>
                              <a:path h="70485">
                                <a:moveTo>
                                  <a:pt x="0" y="0"/>
                                </a:moveTo>
                                <a:lnTo>
                                  <a:pt x="0" y="70458"/>
                                </a:lnTo>
                              </a:path>
                            </a:pathLst>
                          </a:custGeom>
                          <a:ln w="6605">
                            <a:solidFill>
                              <a:srgbClr val="000000"/>
                            </a:solidFill>
                            <a:prstDash val="solid"/>
                          </a:ln>
                        </wps:spPr>
                        <wps:bodyPr wrap="square" lIns="0" tIns="0" rIns="0" bIns="0" rtlCol="0">
                          <a:prstTxWarp prst="textNoShape">
                            <a:avLst/>
                          </a:prstTxWarp>
                          <a:noAutofit/>
                        </wps:bodyPr>
                      </wps:wsp>
                      <wps:wsp>
                        <wps:cNvPr id="481" name="Graphic 481"/>
                        <wps:cNvSpPr/>
                        <wps:spPr>
                          <a:xfrm>
                            <a:off x="317724" y="61651"/>
                            <a:ext cx="1270" cy="70485"/>
                          </a:xfrm>
                          <a:custGeom>
                            <a:avLst/>
                            <a:gdLst/>
                            <a:ahLst/>
                            <a:cxnLst/>
                            <a:rect l="l" t="t" r="r" b="b"/>
                            <a:pathLst>
                              <a:path h="70485">
                                <a:moveTo>
                                  <a:pt x="0" y="0"/>
                                </a:moveTo>
                                <a:lnTo>
                                  <a:pt x="0" y="70458"/>
                                </a:lnTo>
                              </a:path>
                            </a:pathLst>
                          </a:custGeom>
                          <a:ln w="6605">
                            <a:solidFill>
                              <a:srgbClr val="000000"/>
                            </a:solidFill>
                            <a:prstDash val="solid"/>
                          </a:ln>
                        </wps:spPr>
                        <wps:bodyPr wrap="square" lIns="0" tIns="0" rIns="0" bIns="0" rtlCol="0">
                          <a:prstTxWarp prst="textNoShape">
                            <a:avLst/>
                          </a:prstTxWarp>
                          <a:noAutofit/>
                        </wps:bodyPr>
                      </wps:wsp>
                      <wps:wsp>
                        <wps:cNvPr id="482" name="Graphic 482"/>
                        <wps:cNvSpPr/>
                        <wps:spPr>
                          <a:xfrm>
                            <a:off x="474605" y="61651"/>
                            <a:ext cx="1270" cy="70485"/>
                          </a:xfrm>
                          <a:custGeom>
                            <a:avLst/>
                            <a:gdLst/>
                            <a:ahLst/>
                            <a:cxnLst/>
                            <a:rect l="l" t="t" r="r" b="b"/>
                            <a:pathLst>
                              <a:path h="70485">
                                <a:moveTo>
                                  <a:pt x="0" y="0"/>
                                </a:moveTo>
                                <a:lnTo>
                                  <a:pt x="0" y="70458"/>
                                </a:lnTo>
                              </a:path>
                            </a:pathLst>
                          </a:custGeom>
                          <a:ln w="6605">
                            <a:solidFill>
                              <a:srgbClr val="000000"/>
                            </a:solidFill>
                            <a:prstDash val="solid"/>
                          </a:ln>
                        </wps:spPr>
                        <wps:bodyPr wrap="square" lIns="0" tIns="0" rIns="0" bIns="0" rtlCol="0">
                          <a:prstTxWarp prst="textNoShape">
                            <a:avLst/>
                          </a:prstTxWarp>
                          <a:noAutofit/>
                        </wps:bodyPr>
                      </wps:wsp>
                      <wps:wsp>
                        <wps:cNvPr id="483" name="Graphic 483"/>
                        <wps:cNvSpPr/>
                        <wps:spPr>
                          <a:xfrm>
                            <a:off x="632146" y="61651"/>
                            <a:ext cx="1270" cy="70485"/>
                          </a:xfrm>
                          <a:custGeom>
                            <a:avLst/>
                            <a:gdLst/>
                            <a:ahLst/>
                            <a:cxnLst/>
                            <a:rect l="l" t="t" r="r" b="b"/>
                            <a:pathLst>
                              <a:path h="70485">
                                <a:moveTo>
                                  <a:pt x="0" y="0"/>
                                </a:moveTo>
                                <a:lnTo>
                                  <a:pt x="0" y="70458"/>
                                </a:lnTo>
                              </a:path>
                            </a:pathLst>
                          </a:custGeom>
                          <a:ln w="6605">
                            <a:solidFill>
                              <a:srgbClr val="000000"/>
                            </a:solidFill>
                            <a:prstDash val="solid"/>
                          </a:ln>
                        </wps:spPr>
                        <wps:bodyPr wrap="square" lIns="0" tIns="0" rIns="0" bIns="0" rtlCol="0">
                          <a:prstTxWarp prst="textNoShape">
                            <a:avLst/>
                          </a:prstTxWarp>
                          <a:noAutofit/>
                        </wps:bodyPr>
                      </wps:wsp>
                      <wps:wsp>
                        <wps:cNvPr id="484" name="Graphic 484"/>
                        <wps:cNvSpPr/>
                        <wps:spPr>
                          <a:xfrm>
                            <a:off x="789357" y="61651"/>
                            <a:ext cx="1270" cy="70485"/>
                          </a:xfrm>
                          <a:custGeom>
                            <a:avLst/>
                            <a:gdLst/>
                            <a:ahLst/>
                            <a:cxnLst/>
                            <a:rect l="l" t="t" r="r" b="b"/>
                            <a:pathLst>
                              <a:path h="70485">
                                <a:moveTo>
                                  <a:pt x="0" y="0"/>
                                </a:moveTo>
                                <a:lnTo>
                                  <a:pt x="0" y="70458"/>
                                </a:lnTo>
                              </a:path>
                            </a:pathLst>
                          </a:custGeom>
                          <a:ln w="66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8EFD8A" id="Group 475" o:spid="_x0000_s1026" style="position:absolute;margin-left:456.55pt;margin-top:128.3pt;width:62.85pt;height:10.45pt;z-index:-15625216;mso-wrap-distance-left:0;mso-wrap-distance-right:0;mso-position-horizontal-relative:page" coordsize="798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">
                <v:shape id="Graphic 476" o:spid="_x0000_s1027" style="position:absolute;left:7513;top:264;width:330;height:12;visibility:visible;mso-wrap-style:square;v-text-anchor:top" coordsize="33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" path="m,l32697,e" filled="f" strokeweight=".24464mm">
                  <v:path arrowok="t"/>
                </v:shape>
                <v:shape id="Graphic 477" o:spid="_x0000_s1028" style="position:absolute;left:7513;width:464;height:622;visibility:visible;mso-wrap-style:square;v-text-anchor:top" coordsize="4635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" path="m46237,61650l,61650,,,46237,r,61650xe" fillcolor="#0000c0" stroked="f">
                  <v:path arrowok="t"/>
                </v:shape>
                <v:shape id="Graphic 478" o:spid="_x0000_s1029" style="position:absolute;left:33;top:968;width:7861;height:13;visibility:visible;mso-wrap-style:square;v-text-anchor:top" coordsize="786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" path="m,l786054,e" filled="f" strokeweight=".24464mm">
                  <v:path arrowok="t"/>
                </v:shape>
                <v:shape id="Graphic 479" o:spid="_x0000_s1030" style="position:absolute;left:33;top:616;width:12;height:705;visibility:visible;mso-wrap-style:square;v-text-anchor:top" coordsize="127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" path="m,l,70458e" filled="f" strokeweight=".18347mm">
                  <v:path arrowok="t"/>
                </v:shape>
                <v:shape id="Graphic 480" o:spid="_x0000_s1031" style="position:absolute;left:1605;top:616;width:12;height:705;visibility:visible;mso-wrap-style:square;v-text-anchor:top" coordsize="127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" path="m,l,70458e" filled="f" strokeweight=".18347mm">
                  <v:path arrowok="t"/>
                </v:shape>
                <v:shape id="Graphic 481" o:spid="_x0000_s1032" style="position:absolute;left:3177;top:616;width:12;height:705;visibility:visible;mso-wrap-style:square;v-text-anchor:top" coordsize="127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" path="m,l,70458e" filled="f" strokeweight=".18347mm">
                  <v:path arrowok="t"/>
                </v:shape>
                <v:shape id="Graphic 482" o:spid="_x0000_s1033" style="position:absolute;left:4746;top:616;width:12;height:705;visibility:visible;mso-wrap-style:square;v-text-anchor:top" coordsize="127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" path="m,l,70458e" filled="f" strokeweight=".18347mm">
                  <v:path arrowok="t"/>
                </v:shape>
                <v:shape id="Graphic 483" o:spid="_x0000_s1034" style="position:absolute;left:6321;top:616;width:13;height:705;visibility:visible;mso-wrap-style:square;v-text-anchor:top" coordsize="127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" path="m,l,70458e" filled="f" strokeweight=".18347mm">
                  <v:path arrowok="t"/>
                </v:shape>
                <v:shape id="Graphic 484" o:spid="_x0000_s1035" style="position:absolute;left:7893;top:616;width:13;height:705;visibility:visible;mso-wrap-style:square;v-text-anchor:top" coordsize="127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" path="m,l,70458e" filled="f" strokeweight=".18347mm">
                  <v:path arrowok="t"/>
                </v:shape>
                <w10:wrap type="topAndBottom" anchorx="page"/>
              </v:group>
            </w:pict>
          </mc:Fallback>
        </mc:AlternateContent>
      </w:r>
    </w:p>
    <w:p w14:paraId="43EB3782" w14:textId="77777777" w:rsidR="00E05B98" w:rsidRPr="003C6DAE" w:rsidRDefault="00E05B98">
      <w:pPr>
        <w:pStyle w:val="a3"/>
        <w:spacing w:before="7"/>
        <w:rPr>
          <w:rFonts w:ascii="Trebuchet MS"/>
          <w:sz w:val="8"/>
          <w:lang w:val="uk-UA"/>
        </w:rPr>
      </w:pPr>
    </w:p>
    <w:p w14:paraId="31BD3D7C" w14:textId="77777777" w:rsidR="00E05B98" w:rsidRPr="003C6DAE" w:rsidRDefault="00E05B98">
      <w:pPr>
        <w:pStyle w:val="a3"/>
        <w:spacing w:before="7"/>
        <w:rPr>
          <w:rFonts w:ascii="Trebuchet MS"/>
          <w:sz w:val="8"/>
          <w:lang w:val="uk-UA"/>
        </w:rPr>
      </w:pPr>
    </w:p>
    <w:p w14:paraId="43EC8DEC" w14:textId="77777777" w:rsidR="00E05B98" w:rsidRPr="003C6DAE" w:rsidRDefault="00E05B98">
      <w:pPr>
        <w:pStyle w:val="a3"/>
        <w:spacing w:before="7"/>
        <w:rPr>
          <w:rFonts w:ascii="Trebuchet MS"/>
          <w:sz w:val="8"/>
          <w:lang w:val="uk-UA"/>
        </w:rPr>
      </w:pPr>
    </w:p>
    <w:p w14:paraId="650D6256" w14:textId="77777777" w:rsidR="00E05B98" w:rsidRPr="003C6DAE" w:rsidRDefault="00E05B98">
      <w:pPr>
        <w:pStyle w:val="a3"/>
        <w:spacing w:before="7"/>
        <w:rPr>
          <w:rFonts w:ascii="Trebuchet MS"/>
          <w:sz w:val="8"/>
          <w:lang w:val="uk-UA"/>
        </w:rPr>
      </w:pPr>
    </w:p>
    <w:p w14:paraId="4D8261A5" w14:textId="77777777" w:rsidR="00E05B98" w:rsidRPr="003C6DAE" w:rsidRDefault="00E05B98">
      <w:pPr>
        <w:pStyle w:val="a3"/>
        <w:spacing w:before="7"/>
        <w:rPr>
          <w:rFonts w:ascii="Trebuchet MS"/>
          <w:sz w:val="8"/>
          <w:lang w:val="uk-UA"/>
        </w:rPr>
      </w:pPr>
    </w:p>
    <w:p w14:paraId="1DE8E011" w14:textId="77777777" w:rsidR="00E05B98" w:rsidRPr="003C6DAE" w:rsidRDefault="00E05B98">
      <w:pPr>
        <w:pStyle w:val="a3"/>
        <w:spacing w:before="7"/>
        <w:rPr>
          <w:rFonts w:ascii="Trebuchet MS"/>
          <w:sz w:val="8"/>
          <w:lang w:val="uk-UA"/>
        </w:rPr>
      </w:pPr>
    </w:p>
    <w:p w14:paraId="09E8BFF3" w14:textId="77777777" w:rsidR="00E05B98" w:rsidRPr="003C6DAE" w:rsidRDefault="00E05B98">
      <w:pPr>
        <w:pStyle w:val="a3"/>
        <w:spacing w:before="7"/>
        <w:rPr>
          <w:rFonts w:ascii="Trebuchet MS"/>
          <w:sz w:val="8"/>
          <w:lang w:val="uk-UA"/>
        </w:rPr>
      </w:pPr>
    </w:p>
    <w:p w14:paraId="4118839A" w14:textId="77777777" w:rsidR="00E05B98" w:rsidRPr="003C6DAE" w:rsidRDefault="00E05B98">
      <w:pPr>
        <w:pStyle w:val="a3"/>
        <w:spacing w:before="7"/>
        <w:rPr>
          <w:rFonts w:ascii="Trebuchet MS"/>
          <w:sz w:val="8"/>
          <w:lang w:val="uk-UA"/>
        </w:rPr>
      </w:pPr>
    </w:p>
    <w:p w14:paraId="647D78DE" w14:textId="77777777" w:rsidR="00E05B98" w:rsidRPr="003C6DAE" w:rsidRDefault="00E05B98">
      <w:pPr>
        <w:pStyle w:val="a3"/>
        <w:spacing w:before="7"/>
        <w:rPr>
          <w:rFonts w:ascii="Trebuchet MS"/>
          <w:sz w:val="8"/>
          <w:lang w:val="uk-UA"/>
        </w:rPr>
      </w:pPr>
    </w:p>
    <w:p w14:paraId="3C92D941" w14:textId="77777777" w:rsidR="00E05B98" w:rsidRPr="003C6DAE" w:rsidRDefault="00E05B98">
      <w:pPr>
        <w:pStyle w:val="a3"/>
        <w:spacing w:before="7"/>
        <w:rPr>
          <w:rFonts w:ascii="Trebuchet MS"/>
          <w:sz w:val="8"/>
          <w:lang w:val="uk-UA"/>
        </w:rPr>
      </w:pPr>
    </w:p>
    <w:p w14:paraId="68A56F13" w14:textId="77777777" w:rsidR="00E05B98" w:rsidRPr="003C6DAE" w:rsidRDefault="00E05B98">
      <w:pPr>
        <w:pStyle w:val="a3"/>
        <w:spacing w:before="7"/>
        <w:rPr>
          <w:rFonts w:ascii="Trebuchet MS"/>
          <w:sz w:val="8"/>
          <w:lang w:val="uk-UA"/>
        </w:rPr>
      </w:pPr>
    </w:p>
    <w:p w14:paraId="2DA30B4A" w14:textId="77777777" w:rsidR="00E05B98" w:rsidRPr="003C6DAE" w:rsidRDefault="00B01E0C">
      <w:pPr>
        <w:spacing w:before="3"/>
        <w:ind w:left="79"/>
        <w:rPr>
          <w:rFonts w:ascii="Trebuchet MS"/>
          <w:sz w:val="16"/>
          <w:lang w:val="uk-UA"/>
        </w:rPr>
      </w:pPr>
      <w:r w:rsidRPr="003C6DAE">
        <w:rPr>
          <w:rFonts w:ascii="Trebuchet MS"/>
          <w:w w:val="80"/>
          <w:sz w:val="16"/>
          <w:lang w:val="uk-UA"/>
        </w:rPr>
        <w:t>0</w:t>
      </w:r>
      <w:r w:rsidRPr="003C6DAE">
        <w:rPr>
          <w:rFonts w:ascii="Trebuchet MS"/>
          <w:spacing w:val="34"/>
          <w:sz w:val="16"/>
          <w:lang w:val="uk-UA"/>
        </w:rPr>
        <w:t xml:space="preserve"> </w:t>
      </w:r>
      <w:r w:rsidRPr="003C6DAE">
        <w:rPr>
          <w:rFonts w:ascii="Trebuchet MS"/>
          <w:w w:val="80"/>
          <w:sz w:val="16"/>
          <w:lang w:val="uk-UA"/>
        </w:rPr>
        <w:t>0.2</w:t>
      </w:r>
      <w:r w:rsidRPr="003C6DAE">
        <w:rPr>
          <w:rFonts w:ascii="Trebuchet MS"/>
          <w:spacing w:val="20"/>
          <w:sz w:val="16"/>
          <w:lang w:val="uk-UA"/>
        </w:rPr>
        <w:t xml:space="preserve"> </w:t>
      </w:r>
      <w:r w:rsidRPr="003C6DAE">
        <w:rPr>
          <w:rFonts w:ascii="Trebuchet MS"/>
          <w:w w:val="80"/>
          <w:sz w:val="16"/>
          <w:lang w:val="uk-UA"/>
        </w:rPr>
        <w:t>0.4</w:t>
      </w:r>
      <w:r w:rsidRPr="003C6DAE">
        <w:rPr>
          <w:rFonts w:ascii="Trebuchet MS"/>
          <w:spacing w:val="19"/>
          <w:sz w:val="16"/>
          <w:lang w:val="uk-UA"/>
        </w:rPr>
        <w:t xml:space="preserve"> </w:t>
      </w:r>
      <w:r w:rsidRPr="003C6DAE">
        <w:rPr>
          <w:rFonts w:ascii="Trebuchet MS"/>
          <w:w w:val="80"/>
          <w:sz w:val="16"/>
          <w:lang w:val="uk-UA"/>
        </w:rPr>
        <w:t>0.6</w:t>
      </w:r>
      <w:r w:rsidRPr="003C6DAE">
        <w:rPr>
          <w:rFonts w:ascii="Trebuchet MS"/>
          <w:spacing w:val="20"/>
          <w:sz w:val="16"/>
          <w:lang w:val="uk-UA"/>
        </w:rPr>
        <w:t xml:space="preserve"> </w:t>
      </w:r>
      <w:r w:rsidRPr="003C6DAE">
        <w:rPr>
          <w:rFonts w:ascii="Trebuchet MS"/>
          <w:w w:val="80"/>
          <w:sz w:val="16"/>
          <w:lang w:val="uk-UA"/>
        </w:rPr>
        <w:t>0.8</w:t>
      </w:r>
      <w:r w:rsidRPr="003C6DAE">
        <w:rPr>
          <w:rFonts w:ascii="Trebuchet MS"/>
          <w:spacing w:val="35"/>
          <w:sz w:val="16"/>
          <w:lang w:val="uk-UA"/>
        </w:rPr>
        <w:t xml:space="preserve"> </w:t>
      </w:r>
      <w:r w:rsidRPr="003C6DAE">
        <w:rPr>
          <w:rFonts w:ascii="Trebuchet MS"/>
          <w:spacing w:val="-10"/>
          <w:w w:val="80"/>
          <w:sz w:val="16"/>
          <w:lang w:val="uk-UA"/>
        </w:rPr>
        <w:t>1</w:t>
      </w:r>
    </w:p>
    <w:p w14:paraId="62F4D220" w14:textId="77777777" w:rsidR="00E05B98" w:rsidRPr="003C6DAE" w:rsidRDefault="00E05B98">
      <w:pPr>
        <w:rPr>
          <w:rFonts w:ascii="Trebuchet MS"/>
          <w:sz w:val="16"/>
          <w:lang w:val="uk-UA"/>
        </w:rPr>
        <w:sectPr w:rsidR="00E05B98" w:rsidRPr="003C6DAE">
          <w:type w:val="continuous"/>
          <w:pgSz w:w="11910" w:h="16840"/>
          <w:pgMar w:top="1920" w:right="1275" w:bottom="280" w:left="850" w:header="0" w:footer="573" w:gutter="0"/>
          <w:cols w:num="8" w:space="720" w:equalWidth="0">
            <w:col w:w="1861" w:space="40"/>
            <w:col w:w="633" w:space="39"/>
            <w:col w:w="533" w:space="39"/>
            <w:col w:w="1210" w:space="39"/>
            <w:col w:w="1220" w:space="40"/>
            <w:col w:w="1209" w:space="39"/>
            <w:col w:w="1265" w:space="39"/>
            <w:col w:w="1579"/>
          </w:cols>
        </w:sectPr>
      </w:pPr>
    </w:p>
    <w:p w14:paraId="5B1F8359" w14:textId="3DA5BF3A" w:rsidR="00863F2F" w:rsidRPr="003B2827" w:rsidRDefault="00863F2F" w:rsidP="00863F2F">
      <w:pPr>
        <w:pStyle w:val="a3"/>
        <w:spacing w:before="176"/>
        <w:ind w:left="567"/>
        <w:rPr>
          <w:sz w:val="16"/>
          <w:szCs w:val="16"/>
          <w:lang w:val="uk-UA"/>
        </w:rPr>
      </w:pPr>
      <w:r w:rsidRPr="003B2827">
        <w:rPr>
          <w:sz w:val="16"/>
          <w:szCs w:val="16"/>
          <w:lang w:val="uk-UA"/>
        </w:rPr>
        <w:t xml:space="preserve">ДІ: довірчий інтервал; FN: хибнонегативний результат; FP: хибнопозитивний результат; </w:t>
      </w:r>
      <w:r w:rsidR="003B2827">
        <w:rPr>
          <w:sz w:val="16"/>
          <w:szCs w:val="16"/>
          <w:lang w:val="uk-UA"/>
        </w:rPr>
        <w:t>аТАНК-НС</w:t>
      </w:r>
      <w:r w:rsidRPr="003B2827">
        <w:rPr>
          <w:sz w:val="16"/>
          <w:szCs w:val="16"/>
          <w:lang w:val="uk-UA"/>
        </w:rPr>
        <w:t>: автоматизований тест  ампліфікаці</w:t>
      </w:r>
      <w:r w:rsidR="003B2827">
        <w:rPr>
          <w:sz w:val="16"/>
          <w:szCs w:val="16"/>
          <w:lang w:val="uk-UA"/>
        </w:rPr>
        <w:t>ї</w:t>
      </w:r>
      <w:r w:rsidRPr="003B2827">
        <w:rPr>
          <w:sz w:val="16"/>
          <w:szCs w:val="16"/>
          <w:lang w:val="uk-UA"/>
        </w:rPr>
        <w:t xml:space="preserve"> нуклеїнових кислот низької складності; MRS: мікробіологічний еталонний стандарт; TN: істинно негативний результат; TP: істинно позитивний результат.</w:t>
      </w:r>
    </w:p>
    <w:p w14:paraId="683324FA" w14:textId="0B35616E" w:rsidR="00E05B98" w:rsidRPr="003B2827" w:rsidRDefault="00863F2F" w:rsidP="00863F2F">
      <w:pPr>
        <w:pStyle w:val="a3"/>
        <w:spacing w:before="176"/>
        <w:ind w:left="567"/>
        <w:rPr>
          <w:sz w:val="16"/>
          <w:szCs w:val="16"/>
          <w:lang w:val="uk-UA"/>
        </w:rPr>
      </w:pPr>
      <w:r w:rsidRPr="003B2827">
        <w:rPr>
          <w:sz w:val="16"/>
          <w:szCs w:val="16"/>
          <w:vertAlign w:val="superscript"/>
          <w:lang w:val="uk-UA"/>
        </w:rPr>
        <w:t xml:space="preserve">a </w:t>
      </w:r>
      <w:r w:rsidRPr="003B2827">
        <w:rPr>
          <w:sz w:val="16"/>
          <w:szCs w:val="16"/>
          <w:lang w:val="uk-UA"/>
        </w:rPr>
        <w:t xml:space="preserve">Дослідження </w:t>
      </w:r>
      <w:r w:rsidR="003B2827">
        <w:rPr>
          <w:sz w:val="16"/>
          <w:szCs w:val="16"/>
          <w:lang w:val="uk-UA"/>
        </w:rPr>
        <w:t>впорядковано</w:t>
      </w:r>
      <w:r w:rsidRPr="003B2827">
        <w:rPr>
          <w:sz w:val="16"/>
          <w:szCs w:val="16"/>
          <w:lang w:val="uk-UA"/>
        </w:rPr>
        <w:t xml:space="preserve"> за аналізом і автором.</w:t>
      </w:r>
    </w:p>
    <w:p w14:paraId="6A28EAB3" w14:textId="77777777" w:rsidR="00863F2F" w:rsidRPr="003C6DAE" w:rsidRDefault="00863F2F">
      <w:pPr>
        <w:pStyle w:val="5"/>
        <w:jc w:val="both"/>
        <w:rPr>
          <w:color w:val="019648"/>
          <w:lang w:val="uk-UA"/>
        </w:rPr>
      </w:pPr>
    </w:p>
    <w:p w14:paraId="0D1E833C" w14:textId="31B4A88D" w:rsidR="00E05B98" w:rsidRPr="003C6DAE" w:rsidRDefault="00863F2F">
      <w:pPr>
        <w:pStyle w:val="5"/>
        <w:jc w:val="both"/>
        <w:rPr>
          <w:lang w:val="uk-UA"/>
        </w:rPr>
      </w:pPr>
      <w:r w:rsidRPr="003C6DAE">
        <w:rPr>
          <w:color w:val="019648"/>
          <w:lang w:val="uk-UA"/>
        </w:rPr>
        <w:t>Виявлення туберкульозного менінгіту</w:t>
      </w:r>
    </w:p>
    <w:p w14:paraId="669D444D" w14:textId="42D8FAEF" w:rsidR="00E05B98" w:rsidRPr="003C6DAE" w:rsidRDefault="00863F2F" w:rsidP="00863F2F">
      <w:pPr>
        <w:pStyle w:val="7"/>
        <w:spacing w:before="231" w:line="249" w:lineRule="auto"/>
        <w:ind w:right="142"/>
        <w:jc w:val="both"/>
        <w:rPr>
          <w:sz w:val="22"/>
          <w:szCs w:val="22"/>
          <w:lang w:val="uk-UA"/>
        </w:rPr>
      </w:pPr>
      <w:r w:rsidRPr="003C6DAE">
        <w:rPr>
          <w:color w:val="019648"/>
          <w:sz w:val="22"/>
          <w:szCs w:val="22"/>
          <w:lang w:val="uk-UA"/>
        </w:rPr>
        <w:t xml:space="preserve">Чи слід використовувати аТАНК-НС на зразках спинномозкової рідини (СМР) для діагностики туберкульозного менінгіту у дорослих із ознаками та симптомами туберкульозного менінгіту </w:t>
      </w:r>
      <w:r w:rsidR="003B2827">
        <w:rPr>
          <w:color w:val="019648"/>
          <w:sz w:val="22"/>
          <w:szCs w:val="22"/>
          <w:lang w:val="uk-UA"/>
        </w:rPr>
        <w:t>на противагу</w:t>
      </w:r>
      <w:r w:rsidRPr="003C6DAE">
        <w:rPr>
          <w:color w:val="019648"/>
          <w:sz w:val="22"/>
          <w:szCs w:val="22"/>
          <w:lang w:val="uk-UA"/>
        </w:rPr>
        <w:t xml:space="preserve"> MRS?</w:t>
      </w:r>
    </w:p>
    <w:p w14:paraId="7B540DA0" w14:textId="7FBFDFA4" w:rsidR="00E05B98" w:rsidRPr="003C6DAE" w:rsidRDefault="001178F3" w:rsidP="001178F3">
      <w:pPr>
        <w:pStyle w:val="a3"/>
        <w:spacing w:before="217" w:line="269" w:lineRule="auto"/>
        <w:ind w:left="567" w:right="142"/>
        <w:jc w:val="both"/>
        <w:rPr>
          <w:lang w:val="uk-UA"/>
        </w:rPr>
        <w:sectPr w:rsidR="00E05B98" w:rsidRPr="003C6DAE" w:rsidSect="00863F2F">
          <w:type w:val="continuous"/>
          <w:pgSz w:w="11910" w:h="16840"/>
          <w:pgMar w:top="1920" w:right="853" w:bottom="280" w:left="850" w:header="0" w:footer="573" w:gutter="0"/>
          <w:cols w:space="720"/>
        </w:sectPr>
      </w:pPr>
      <w:r w:rsidRPr="003C6DAE">
        <w:rPr>
          <w:spacing w:val="-2"/>
          <w:sz w:val="20"/>
          <w:szCs w:val="20"/>
          <w:lang w:val="uk-UA"/>
        </w:rPr>
        <w:t>На основі даних 16 досліджень аналізу Xpert Ultra (1684 учасники) сумарна чутливість і специфічність аТАНК-НС становили 88,2% (95% ДІ: 83,7–91,6) і 96,0% (95% ДІ: 86,8–98,9), відповідно; достовірність доказів була високою для чутливості та помірною для специфічності (</w:t>
      </w:r>
      <w:r w:rsidRPr="003C6DAE">
        <w:rPr>
          <w:b/>
          <w:bCs/>
          <w:spacing w:val="-2"/>
          <w:sz w:val="20"/>
          <w:szCs w:val="20"/>
          <w:lang w:val="uk-UA"/>
        </w:rPr>
        <w:t>Рис. 2.1.3</w:t>
      </w:r>
      <w:r w:rsidRPr="003C6DAE">
        <w:rPr>
          <w:spacing w:val="-2"/>
          <w:sz w:val="20"/>
          <w:szCs w:val="20"/>
          <w:lang w:val="uk-UA"/>
        </w:rPr>
        <w:t xml:space="preserve">). </w:t>
      </w:r>
      <w:r w:rsidR="00090397" w:rsidRPr="00090397">
        <w:rPr>
          <w:spacing w:val="-2"/>
          <w:sz w:val="20"/>
          <w:szCs w:val="20"/>
          <w:lang w:val="uk-UA"/>
        </w:rPr>
        <w:t xml:space="preserve">Для відповіді на це запитання </w:t>
      </w:r>
      <w:r w:rsidR="00090397">
        <w:rPr>
          <w:spacing w:val="-2"/>
          <w:sz w:val="20"/>
          <w:szCs w:val="20"/>
          <w:lang w:val="uk-UA"/>
        </w:rPr>
        <w:t xml:space="preserve">у форматі РІСО (щодо </w:t>
      </w:r>
      <w:r w:rsidR="00090397" w:rsidRPr="00090397">
        <w:rPr>
          <w:spacing w:val="-2"/>
          <w:sz w:val="20"/>
          <w:szCs w:val="20"/>
          <w:lang w:val="uk-UA"/>
        </w:rPr>
        <w:t>структури популяції, інтервенції, порівняння та результату) в оцінку були включені лише дані про Xpert Ultra</w:t>
      </w:r>
      <w:r w:rsidRPr="003C6DAE">
        <w:rPr>
          <w:spacing w:val="-2"/>
          <w:sz w:val="20"/>
          <w:szCs w:val="20"/>
          <w:lang w:val="uk-UA"/>
        </w:rPr>
        <w:t>.</w:t>
      </w:r>
      <w:r w:rsidR="00B01E0C" w:rsidRPr="003C6DAE">
        <w:rPr>
          <w:spacing w:val="-8"/>
          <w:sz w:val="20"/>
          <w:szCs w:val="20"/>
          <w:lang w:val="uk-UA"/>
        </w:rPr>
        <w:t xml:space="preserve"> </w:t>
      </w:r>
      <w:r w:rsidRPr="003C6DAE">
        <w:rPr>
          <w:sz w:val="20"/>
          <w:szCs w:val="20"/>
          <w:lang w:val="uk-UA"/>
        </w:rPr>
        <w:t xml:space="preserve">Слід зазначити, що результати </w:t>
      </w:r>
      <w:r w:rsidR="003B2827">
        <w:rPr>
          <w:sz w:val="20"/>
          <w:szCs w:val="20"/>
          <w:lang w:val="uk-UA"/>
        </w:rPr>
        <w:t>виявлення слідового вмісту за допомогою</w:t>
      </w:r>
      <w:r w:rsidRPr="003C6DAE">
        <w:rPr>
          <w:sz w:val="20"/>
          <w:szCs w:val="20"/>
          <w:lang w:val="uk-UA"/>
        </w:rPr>
        <w:t xml:space="preserve"> Xpert Ultra вважалися позитивними та складали значну частку позитивних результатів (16–63%). Дані про аналіз Truenat були обмеженими та різними, тому не були включені. Для отримання детальнішої інформації див. </w:t>
      </w:r>
      <w:r w:rsidRPr="003C6DAE">
        <w:rPr>
          <w:b/>
          <w:bCs/>
          <w:sz w:val="20"/>
          <w:szCs w:val="20"/>
          <w:lang w:val="uk-UA"/>
        </w:rPr>
        <w:t>Веб-додаток B.3</w:t>
      </w:r>
      <w:r w:rsidRPr="003C6DAE">
        <w:rPr>
          <w:sz w:val="20"/>
          <w:szCs w:val="20"/>
          <w:lang w:val="uk-UA"/>
        </w:rPr>
        <w:t>.</w:t>
      </w:r>
    </w:p>
    <w:p w14:paraId="629BBA38" w14:textId="3357273A" w:rsidR="00E05B98" w:rsidRPr="003B2827" w:rsidRDefault="001178F3">
      <w:pPr>
        <w:pStyle w:val="6"/>
        <w:spacing w:line="268" w:lineRule="auto"/>
        <w:rPr>
          <w:sz w:val="22"/>
          <w:szCs w:val="22"/>
          <w:lang w:val="uk-UA"/>
        </w:rPr>
      </w:pPr>
      <w:bookmarkStart w:id="41" w:name="_bookmark14"/>
      <w:bookmarkEnd w:id="41"/>
      <w:r w:rsidRPr="003B2827">
        <w:rPr>
          <w:color w:val="636466"/>
          <w:sz w:val="22"/>
          <w:szCs w:val="22"/>
          <w:lang w:val="uk-UA"/>
        </w:rPr>
        <w:lastRenderedPageBreak/>
        <w:t>Рис</w:t>
      </w:r>
      <w:r w:rsidR="00B01E0C" w:rsidRPr="003B2827">
        <w:rPr>
          <w:color w:val="636466"/>
          <w:sz w:val="22"/>
          <w:szCs w:val="22"/>
          <w:lang w:val="uk-UA"/>
        </w:rPr>
        <w:t>.</w:t>
      </w:r>
      <w:r w:rsidR="00B01E0C" w:rsidRPr="003B2827">
        <w:rPr>
          <w:color w:val="636466"/>
          <w:spacing w:val="-8"/>
          <w:sz w:val="22"/>
          <w:szCs w:val="22"/>
          <w:lang w:val="uk-UA"/>
        </w:rPr>
        <w:t xml:space="preserve"> </w:t>
      </w:r>
      <w:r w:rsidR="00B01E0C" w:rsidRPr="003B2827">
        <w:rPr>
          <w:color w:val="636466"/>
          <w:sz w:val="22"/>
          <w:szCs w:val="22"/>
          <w:lang w:val="uk-UA"/>
        </w:rPr>
        <w:t>2.1.3.</w:t>
      </w:r>
      <w:r w:rsidR="00B01E0C" w:rsidRPr="003B2827">
        <w:rPr>
          <w:color w:val="636466"/>
          <w:spacing w:val="-8"/>
          <w:sz w:val="22"/>
          <w:szCs w:val="22"/>
          <w:lang w:val="uk-UA"/>
        </w:rPr>
        <w:t xml:space="preserve"> </w:t>
      </w:r>
      <w:r w:rsidRPr="003B2827">
        <w:rPr>
          <w:color w:val="636466"/>
          <w:sz w:val="22"/>
          <w:szCs w:val="22"/>
          <w:lang w:val="uk-UA"/>
        </w:rPr>
        <w:t xml:space="preserve">Лісова діаграма чутливості та специфічності аТАНК-НС </w:t>
      </w:r>
      <w:r w:rsidR="003B2827">
        <w:rPr>
          <w:color w:val="636466"/>
          <w:sz w:val="22"/>
          <w:szCs w:val="22"/>
          <w:lang w:val="uk-UA"/>
        </w:rPr>
        <w:t xml:space="preserve">при дослідженні зразків </w:t>
      </w:r>
      <w:r w:rsidR="003B2827" w:rsidRPr="003B2827">
        <w:rPr>
          <w:color w:val="636466"/>
          <w:sz w:val="22"/>
          <w:szCs w:val="22"/>
          <w:lang w:val="uk-UA"/>
        </w:rPr>
        <w:t>спинномозков</w:t>
      </w:r>
      <w:r w:rsidR="003B2827">
        <w:rPr>
          <w:color w:val="636466"/>
          <w:sz w:val="22"/>
          <w:szCs w:val="22"/>
          <w:lang w:val="uk-UA"/>
        </w:rPr>
        <w:t>ої</w:t>
      </w:r>
      <w:r w:rsidR="003B2827" w:rsidRPr="003B2827">
        <w:rPr>
          <w:color w:val="636466"/>
          <w:sz w:val="22"/>
          <w:szCs w:val="22"/>
          <w:lang w:val="uk-UA"/>
        </w:rPr>
        <w:t xml:space="preserve"> рідин</w:t>
      </w:r>
      <w:r w:rsidR="003B2827">
        <w:rPr>
          <w:color w:val="636466"/>
          <w:sz w:val="22"/>
          <w:szCs w:val="22"/>
          <w:lang w:val="uk-UA"/>
        </w:rPr>
        <w:t>и</w:t>
      </w:r>
      <w:r w:rsidR="003B2827" w:rsidRPr="003B2827">
        <w:rPr>
          <w:color w:val="636466"/>
          <w:sz w:val="22"/>
          <w:szCs w:val="22"/>
          <w:lang w:val="uk-UA"/>
        </w:rPr>
        <w:t xml:space="preserve"> </w:t>
      </w:r>
      <w:r w:rsidRPr="003B2827">
        <w:rPr>
          <w:color w:val="636466"/>
          <w:sz w:val="22"/>
          <w:szCs w:val="22"/>
          <w:lang w:val="uk-UA"/>
        </w:rPr>
        <w:t>для виявлення туберкульозного менінгіту та MRS</w:t>
      </w:r>
      <w:r w:rsidR="0000617E">
        <w:rPr>
          <w:color w:val="636466"/>
          <w:sz w:val="22"/>
          <w:szCs w:val="22"/>
          <w:lang w:val="uk-UA"/>
        </w:rPr>
        <w:t xml:space="preserve"> </w:t>
      </w:r>
      <w:r w:rsidR="00B01E0C" w:rsidRPr="003B2827">
        <w:rPr>
          <w:color w:val="636466"/>
          <w:sz w:val="22"/>
          <w:szCs w:val="22"/>
          <w:vertAlign w:val="superscript"/>
          <w:lang w:val="uk-UA"/>
        </w:rPr>
        <w:t>a</w:t>
      </w:r>
    </w:p>
    <w:p w14:paraId="0B43E35E" w14:textId="77777777" w:rsidR="00E05B98" w:rsidRPr="003B2827" w:rsidRDefault="00E05B98">
      <w:pPr>
        <w:pStyle w:val="6"/>
        <w:spacing w:line="268" w:lineRule="auto"/>
        <w:rPr>
          <w:sz w:val="22"/>
          <w:szCs w:val="22"/>
          <w:lang w:val="uk-UA"/>
        </w:rPr>
        <w:sectPr w:rsidR="00E05B98" w:rsidRPr="003B2827">
          <w:pgSz w:w="11910" w:h="16840"/>
          <w:pgMar w:top="1320" w:right="1275" w:bottom="760" w:left="850" w:header="0" w:footer="573" w:gutter="0"/>
          <w:cols w:space="720"/>
        </w:sectPr>
      </w:pPr>
    </w:p>
    <w:p w14:paraId="46764BA3" w14:textId="026498FA" w:rsidR="00E05B98" w:rsidRPr="003C6DAE" w:rsidRDefault="001178F3">
      <w:pPr>
        <w:spacing w:before="194"/>
        <w:ind w:left="688"/>
        <w:rPr>
          <w:rFonts w:ascii="Trebuchet MS"/>
          <w:sz w:val="17"/>
          <w:lang w:val="uk-UA"/>
        </w:rPr>
      </w:pPr>
      <w:r w:rsidRPr="003C6DAE">
        <w:rPr>
          <w:rFonts w:ascii="Trebuchet MS"/>
          <w:noProof/>
          <w:color w:val="333333"/>
          <w:sz w:val="17"/>
          <w:lang w:val="uk-UA"/>
        </w:rPr>
        <mc:AlternateContent>
          <mc:Choice Requires="wps">
            <w:drawing>
              <wp:anchor distT="0" distB="0" distL="114300" distR="114300" simplePos="0" relativeHeight="488088064" behindDoc="0" locked="0" layoutInCell="1" allowOverlap="1" wp14:anchorId="395CDF85" wp14:editId="355DA48E">
                <wp:simplePos x="0" y="0"/>
                <wp:positionH relativeFrom="column">
                  <wp:posOffset>323850</wp:posOffset>
                </wp:positionH>
                <wp:positionV relativeFrom="paragraph">
                  <wp:posOffset>68581</wp:posOffset>
                </wp:positionV>
                <wp:extent cx="958850" cy="215900"/>
                <wp:effectExtent l="0" t="0" r="0" b="0"/>
                <wp:wrapNone/>
                <wp:docPr id="841575776" name="Поле 2313"/>
                <wp:cNvGraphicFramePr/>
                <a:graphic xmlns:a="http://schemas.openxmlformats.org/drawingml/2006/main">
                  <a:graphicData uri="http://schemas.microsoft.com/office/word/2010/wordprocessingShape">
                    <wps:wsp>
                      <wps:cNvSpPr txBox="1"/>
                      <wps:spPr>
                        <a:xfrm>
                          <a:off x="0" y="0"/>
                          <a:ext cx="958850" cy="215900"/>
                        </a:xfrm>
                        <a:prstGeom prst="rect">
                          <a:avLst/>
                        </a:prstGeom>
                        <a:solidFill>
                          <a:schemeClr val="bg1"/>
                        </a:solidFill>
                        <a:ln w="6350">
                          <a:noFill/>
                        </a:ln>
                      </wps:spPr>
                      <wps:txbx>
                        <w:txbxContent>
                          <w:p w14:paraId="0B79A2E2" w14:textId="42DDB790" w:rsidR="007372B2" w:rsidRPr="001178F3" w:rsidRDefault="007372B2">
                            <w:pPr>
                              <w:rPr>
                                <w:rFonts w:ascii="Trebuchet MS" w:hAnsi="Trebuchet MS"/>
                                <w:sz w:val="16"/>
                                <w:szCs w:val="16"/>
                                <w:lang w:val="uk-UA"/>
                              </w:rPr>
                            </w:pPr>
                            <w:r w:rsidRPr="001178F3">
                              <w:rPr>
                                <w:rFonts w:ascii="Trebuchet MS" w:hAnsi="Trebuchet MS"/>
                                <w:sz w:val="16"/>
                                <w:szCs w:val="16"/>
                                <w:lang w:val="uk-UA"/>
                              </w:rPr>
                              <w:t>Дослідження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CDF85" id="Поле 2313" o:spid="_x0000_s1080" type="#_x0000_t202" style="position:absolute;left:0;text-align:left;margin-left:25.5pt;margin-top:5.4pt;width:75.5pt;height:17pt;z-index:4880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" fillcolor="white [3212]" stroked="f" strokeweight=".5pt">
                <v:textbox>
                  <w:txbxContent>
                    <w:p w14:paraId="0B79A2E2" w14:textId="42DDB790" w:rsidR="007372B2" w:rsidRPr="001178F3" w:rsidRDefault="007372B2">
                      <w:pPr>
                        <w:rPr>
                          <w:rFonts w:ascii="Trebuchet MS" w:hAnsi="Trebuchet MS"/>
                          <w:sz w:val="16"/>
                          <w:szCs w:val="16"/>
                          <w:lang w:val="uk-UA"/>
                        </w:rPr>
                      </w:pPr>
                      <w:r w:rsidRPr="001178F3">
                        <w:rPr>
                          <w:rFonts w:ascii="Trebuchet MS" w:hAnsi="Trebuchet MS"/>
                          <w:sz w:val="16"/>
                          <w:szCs w:val="16"/>
                          <w:lang w:val="uk-UA"/>
                        </w:rPr>
                        <w:t>Дослідження</w:t>
                      </w:r>
                    </w:p>
                  </w:txbxContent>
                </v:textbox>
              </v:shape>
            </w:pict>
          </mc:Fallback>
        </mc:AlternateContent>
      </w:r>
      <w:r w:rsidR="00B01E0C" w:rsidRPr="003C6DAE">
        <w:rPr>
          <w:rFonts w:ascii="Trebuchet MS"/>
          <w:color w:val="333333"/>
          <w:w w:val="85"/>
          <w:sz w:val="17"/>
          <w:lang w:val="uk-UA"/>
        </w:rPr>
        <w:t>S</w:t>
      </w:r>
      <w:r w:rsidR="00B01E0C" w:rsidRPr="003C6DAE">
        <w:rPr>
          <w:rFonts w:ascii="Trebuchet MS"/>
          <w:color w:val="333333"/>
          <w:spacing w:val="-17"/>
          <w:w w:val="85"/>
          <w:sz w:val="17"/>
          <w:lang w:val="uk-UA"/>
        </w:rPr>
        <w:t xml:space="preserve"> </w:t>
      </w:r>
      <w:proofErr w:type="spellStart"/>
      <w:r w:rsidR="00B01E0C" w:rsidRPr="003C6DAE">
        <w:rPr>
          <w:rFonts w:ascii="Trebuchet MS"/>
          <w:color w:val="333333"/>
          <w:spacing w:val="-4"/>
          <w:w w:val="95"/>
          <w:sz w:val="17"/>
          <w:lang w:val="uk-UA"/>
        </w:rPr>
        <w:t>tudy</w:t>
      </w:r>
      <w:proofErr w:type="spellEnd"/>
    </w:p>
    <w:p w14:paraId="434098C9" w14:textId="77777777" w:rsidR="00E05B98" w:rsidRPr="003C6DAE" w:rsidRDefault="00B01E0C">
      <w:pPr>
        <w:spacing w:before="66" w:line="283" w:lineRule="auto"/>
        <w:ind w:left="688" w:right="257"/>
        <w:rPr>
          <w:rFonts w:ascii="Trebuchet MS"/>
          <w:sz w:val="17"/>
          <w:lang w:val="uk-UA"/>
        </w:rPr>
      </w:pPr>
      <w:proofErr w:type="spellStart"/>
      <w:r w:rsidRPr="003C6DAE">
        <w:rPr>
          <w:rFonts w:ascii="Trebuchet MS"/>
          <w:w w:val="80"/>
          <w:sz w:val="17"/>
          <w:lang w:val="uk-UA"/>
        </w:rPr>
        <w:t>Mekkaoui</w:t>
      </w:r>
      <w:proofErr w:type="spellEnd"/>
      <w:r w:rsidRPr="003C6DAE">
        <w:rPr>
          <w:rFonts w:ascii="Trebuchet MS"/>
          <w:spacing w:val="-4"/>
          <w:w w:val="80"/>
          <w:sz w:val="17"/>
          <w:lang w:val="uk-UA"/>
        </w:rPr>
        <w:t xml:space="preserve"> </w:t>
      </w:r>
      <w:r w:rsidRPr="003C6DAE">
        <w:rPr>
          <w:rFonts w:ascii="Trebuchet MS"/>
          <w:w w:val="80"/>
          <w:sz w:val="17"/>
          <w:lang w:val="uk-UA"/>
        </w:rPr>
        <w:t xml:space="preserve">2021 </w:t>
      </w:r>
      <w:proofErr w:type="spellStart"/>
      <w:r w:rsidRPr="003C6DAE">
        <w:rPr>
          <w:rFonts w:ascii="Trebuchet MS"/>
          <w:w w:val="90"/>
          <w:sz w:val="17"/>
          <w:lang w:val="uk-UA"/>
        </w:rPr>
        <w:t>Osei</w:t>
      </w:r>
      <w:proofErr w:type="spellEnd"/>
      <w:r w:rsidRPr="003C6DAE">
        <w:rPr>
          <w:rFonts w:ascii="Trebuchet MS"/>
          <w:spacing w:val="-9"/>
          <w:w w:val="90"/>
          <w:sz w:val="17"/>
          <w:lang w:val="uk-UA"/>
        </w:rPr>
        <w:t xml:space="preserve"> </w:t>
      </w:r>
      <w:r w:rsidRPr="003C6DAE">
        <w:rPr>
          <w:rFonts w:ascii="Trebuchet MS"/>
          <w:w w:val="90"/>
          <w:sz w:val="17"/>
          <w:lang w:val="uk-UA"/>
        </w:rPr>
        <w:t>2019</w:t>
      </w:r>
    </w:p>
    <w:p w14:paraId="2032386E" w14:textId="21E973FE" w:rsidR="00E05B98" w:rsidRPr="003C6DAE" w:rsidRDefault="00B01E0C">
      <w:pPr>
        <w:spacing w:line="197" w:lineRule="exact"/>
        <w:ind w:left="688"/>
        <w:rPr>
          <w:rFonts w:ascii="Trebuchet MS"/>
          <w:sz w:val="17"/>
          <w:lang w:val="uk-UA"/>
        </w:rPr>
      </w:pPr>
      <w:proofErr w:type="spellStart"/>
      <w:r w:rsidRPr="003C6DAE">
        <w:rPr>
          <w:rFonts w:ascii="Trebuchet MS"/>
          <w:w w:val="75"/>
          <w:sz w:val="17"/>
          <w:lang w:val="uk-UA"/>
        </w:rPr>
        <w:t>Perez-Risco</w:t>
      </w:r>
      <w:proofErr w:type="spellEnd"/>
      <w:r w:rsidRPr="003C6DAE">
        <w:rPr>
          <w:rFonts w:ascii="Trebuchet MS"/>
          <w:spacing w:val="24"/>
          <w:sz w:val="17"/>
          <w:lang w:val="uk-UA"/>
        </w:rPr>
        <w:t xml:space="preserve"> </w:t>
      </w:r>
      <w:r w:rsidRPr="003C6DAE">
        <w:rPr>
          <w:rFonts w:ascii="Trebuchet MS"/>
          <w:spacing w:val="-4"/>
          <w:w w:val="75"/>
          <w:sz w:val="17"/>
          <w:lang w:val="uk-UA"/>
        </w:rPr>
        <w:t>2018</w:t>
      </w:r>
    </w:p>
    <w:p w14:paraId="41AB8C88" w14:textId="1B1F5505" w:rsidR="00E05B98" w:rsidRPr="003C6DAE" w:rsidRDefault="00B01E0C">
      <w:pPr>
        <w:spacing w:before="35" w:line="283" w:lineRule="auto"/>
        <w:ind w:left="688"/>
        <w:rPr>
          <w:rFonts w:ascii="Trebuchet MS"/>
          <w:sz w:val="17"/>
          <w:lang w:val="uk-UA"/>
        </w:rPr>
      </w:pPr>
      <w:proofErr w:type="spellStart"/>
      <w:r w:rsidRPr="003C6DAE">
        <w:rPr>
          <w:rFonts w:ascii="Trebuchet MS"/>
          <w:w w:val="80"/>
          <w:sz w:val="17"/>
          <w:lang w:val="uk-UA"/>
        </w:rPr>
        <w:t>Spencer-Gomes</w:t>
      </w:r>
      <w:proofErr w:type="spellEnd"/>
      <w:r w:rsidRPr="003C6DAE">
        <w:rPr>
          <w:rFonts w:ascii="Trebuchet MS"/>
          <w:sz w:val="17"/>
          <w:lang w:val="uk-UA"/>
        </w:rPr>
        <w:t xml:space="preserve"> </w:t>
      </w:r>
      <w:r w:rsidRPr="003C6DAE">
        <w:rPr>
          <w:rFonts w:ascii="Trebuchet MS"/>
          <w:w w:val="80"/>
          <w:sz w:val="17"/>
          <w:lang w:val="uk-UA"/>
        </w:rPr>
        <w:t xml:space="preserve">2021 </w:t>
      </w:r>
      <w:r w:rsidR="00845459" w:rsidRPr="003C6DAE">
        <w:rPr>
          <w:rFonts w:ascii="Trebuchet MS"/>
          <w:w w:val="80"/>
          <w:sz w:val="17"/>
          <w:lang w:val="uk-UA"/>
        </w:rPr>
        <w:t xml:space="preserve"> </w:t>
      </w:r>
      <w:proofErr w:type="spellStart"/>
      <w:r w:rsidRPr="003C6DAE">
        <w:rPr>
          <w:rFonts w:ascii="Trebuchet MS"/>
          <w:w w:val="90"/>
          <w:sz w:val="17"/>
          <w:lang w:val="uk-UA"/>
        </w:rPr>
        <w:t>Sharma</w:t>
      </w:r>
      <w:proofErr w:type="spellEnd"/>
      <w:r w:rsidRPr="003C6DAE">
        <w:rPr>
          <w:rFonts w:ascii="Trebuchet MS"/>
          <w:w w:val="90"/>
          <w:sz w:val="17"/>
          <w:lang w:val="uk-UA"/>
        </w:rPr>
        <w:t xml:space="preserve"> 2020</w:t>
      </w:r>
    </w:p>
    <w:p w14:paraId="6D3B1C90" w14:textId="1C0D703E" w:rsidR="00E05B98" w:rsidRPr="003C6DAE" w:rsidRDefault="00B01E0C">
      <w:pPr>
        <w:spacing w:line="283" w:lineRule="auto"/>
        <w:ind w:left="688"/>
        <w:rPr>
          <w:rFonts w:ascii="Trebuchet MS"/>
          <w:sz w:val="17"/>
          <w:lang w:val="uk-UA"/>
        </w:rPr>
      </w:pPr>
      <w:proofErr w:type="spellStart"/>
      <w:r w:rsidRPr="003C6DAE">
        <w:rPr>
          <w:rFonts w:ascii="Trebuchet MS"/>
          <w:w w:val="90"/>
          <w:sz w:val="17"/>
          <w:lang w:val="uk-UA"/>
        </w:rPr>
        <w:t>Sharma</w:t>
      </w:r>
      <w:proofErr w:type="spellEnd"/>
      <w:r w:rsidRPr="003C6DAE">
        <w:rPr>
          <w:rFonts w:ascii="Trebuchet MS"/>
          <w:w w:val="90"/>
          <w:sz w:val="17"/>
          <w:lang w:val="uk-UA"/>
        </w:rPr>
        <w:t xml:space="preserve"> 2021 </w:t>
      </w:r>
      <w:proofErr w:type="spellStart"/>
      <w:r w:rsidRPr="003C6DAE">
        <w:rPr>
          <w:rFonts w:ascii="Trebuchet MS"/>
          <w:w w:val="85"/>
          <w:sz w:val="17"/>
          <w:lang w:val="uk-UA"/>
        </w:rPr>
        <w:t>Donovan</w:t>
      </w:r>
      <w:proofErr w:type="spellEnd"/>
      <w:r w:rsidRPr="003C6DAE">
        <w:rPr>
          <w:rFonts w:ascii="Trebuchet MS"/>
          <w:spacing w:val="-6"/>
          <w:w w:val="85"/>
          <w:sz w:val="17"/>
          <w:lang w:val="uk-UA"/>
        </w:rPr>
        <w:t xml:space="preserve"> </w:t>
      </w:r>
      <w:r w:rsidRPr="003C6DAE">
        <w:rPr>
          <w:rFonts w:ascii="Trebuchet MS"/>
          <w:w w:val="85"/>
          <w:sz w:val="17"/>
          <w:lang w:val="uk-UA"/>
        </w:rPr>
        <w:t>2020</w:t>
      </w:r>
    </w:p>
    <w:p w14:paraId="0FC3B461" w14:textId="4A97C2AE" w:rsidR="00E05B98" w:rsidRPr="003C6DAE" w:rsidRDefault="00B01E0C">
      <w:pPr>
        <w:spacing w:line="197" w:lineRule="exact"/>
        <w:ind w:left="688"/>
        <w:rPr>
          <w:rFonts w:ascii="Trebuchet MS"/>
          <w:sz w:val="17"/>
          <w:lang w:val="uk-UA"/>
        </w:rPr>
      </w:pPr>
      <w:proofErr w:type="spellStart"/>
      <w:r w:rsidRPr="003C6DAE">
        <w:rPr>
          <w:rFonts w:ascii="Trebuchet MS"/>
          <w:w w:val="80"/>
          <w:sz w:val="17"/>
          <w:lang w:val="uk-UA"/>
        </w:rPr>
        <w:t>Bahr</w:t>
      </w:r>
      <w:proofErr w:type="spellEnd"/>
      <w:r w:rsidRPr="003C6DAE">
        <w:rPr>
          <w:rFonts w:ascii="Trebuchet MS"/>
          <w:spacing w:val="-5"/>
          <w:sz w:val="17"/>
          <w:lang w:val="uk-UA"/>
        </w:rPr>
        <w:t xml:space="preserve"> </w:t>
      </w:r>
      <w:r w:rsidRPr="003C6DAE">
        <w:rPr>
          <w:rFonts w:ascii="Trebuchet MS"/>
          <w:spacing w:val="-4"/>
          <w:w w:val="80"/>
          <w:sz w:val="17"/>
          <w:lang w:val="uk-UA"/>
        </w:rPr>
        <w:t>2017</w:t>
      </w:r>
    </w:p>
    <w:p w14:paraId="61EBAEA6" w14:textId="3B1463FB" w:rsidR="00E05B98" w:rsidRPr="003C6DAE" w:rsidRDefault="00B01E0C">
      <w:pPr>
        <w:spacing w:before="34" w:line="283" w:lineRule="auto"/>
        <w:ind w:left="688" w:right="257"/>
        <w:rPr>
          <w:rFonts w:ascii="Trebuchet MS"/>
          <w:sz w:val="17"/>
          <w:lang w:val="uk-UA"/>
        </w:rPr>
      </w:pPr>
      <w:proofErr w:type="spellStart"/>
      <w:r w:rsidRPr="003C6DAE">
        <w:rPr>
          <w:rFonts w:ascii="Trebuchet MS"/>
          <w:w w:val="80"/>
          <w:sz w:val="17"/>
          <w:lang w:val="uk-UA"/>
        </w:rPr>
        <w:t>Cresswell</w:t>
      </w:r>
      <w:proofErr w:type="spellEnd"/>
      <w:r w:rsidRPr="003C6DAE">
        <w:rPr>
          <w:rFonts w:ascii="Trebuchet MS"/>
          <w:w w:val="80"/>
          <w:sz w:val="17"/>
          <w:lang w:val="uk-UA"/>
        </w:rPr>
        <w:t xml:space="preserve"> 2020 </w:t>
      </w:r>
      <w:proofErr w:type="spellStart"/>
      <w:r w:rsidRPr="003C6DAE">
        <w:rPr>
          <w:rFonts w:ascii="Trebuchet MS"/>
          <w:w w:val="90"/>
          <w:sz w:val="17"/>
          <w:lang w:val="uk-UA"/>
        </w:rPr>
        <w:t>Quinn</w:t>
      </w:r>
      <w:proofErr w:type="spellEnd"/>
      <w:r w:rsidRPr="003C6DAE">
        <w:rPr>
          <w:rFonts w:ascii="Trebuchet MS"/>
          <w:spacing w:val="-8"/>
          <w:w w:val="90"/>
          <w:sz w:val="17"/>
          <w:lang w:val="uk-UA"/>
        </w:rPr>
        <w:t xml:space="preserve"> </w:t>
      </w:r>
      <w:r w:rsidRPr="003C6DAE">
        <w:rPr>
          <w:rFonts w:ascii="Trebuchet MS"/>
          <w:w w:val="90"/>
          <w:sz w:val="17"/>
          <w:lang w:val="uk-UA"/>
        </w:rPr>
        <w:t>2021</w:t>
      </w:r>
    </w:p>
    <w:p w14:paraId="29980619" w14:textId="435A1990" w:rsidR="00E05B98" w:rsidRPr="003C6DAE" w:rsidRDefault="00B01E0C">
      <w:pPr>
        <w:spacing w:line="283" w:lineRule="auto"/>
        <w:ind w:left="688" w:right="625"/>
        <w:jc w:val="both"/>
        <w:rPr>
          <w:rFonts w:ascii="Trebuchet MS"/>
          <w:sz w:val="17"/>
          <w:lang w:val="uk-UA"/>
        </w:rPr>
      </w:pPr>
      <w:proofErr w:type="spellStart"/>
      <w:r w:rsidRPr="003C6DAE">
        <w:rPr>
          <w:rFonts w:ascii="Trebuchet MS"/>
          <w:w w:val="90"/>
          <w:sz w:val="17"/>
          <w:lang w:val="uk-UA"/>
        </w:rPr>
        <w:t>Wang</w:t>
      </w:r>
      <w:proofErr w:type="spellEnd"/>
      <w:r w:rsidRPr="003C6DAE">
        <w:rPr>
          <w:rFonts w:ascii="Trebuchet MS"/>
          <w:spacing w:val="-8"/>
          <w:w w:val="90"/>
          <w:sz w:val="17"/>
          <w:lang w:val="uk-UA"/>
        </w:rPr>
        <w:t xml:space="preserve"> </w:t>
      </w:r>
      <w:r w:rsidRPr="003C6DAE">
        <w:rPr>
          <w:rFonts w:ascii="Trebuchet MS"/>
          <w:w w:val="90"/>
          <w:sz w:val="17"/>
          <w:lang w:val="uk-UA"/>
        </w:rPr>
        <w:t xml:space="preserve">2019 </w:t>
      </w:r>
      <w:proofErr w:type="spellStart"/>
      <w:r w:rsidRPr="003C6DAE">
        <w:rPr>
          <w:rFonts w:ascii="Trebuchet MS"/>
          <w:w w:val="80"/>
          <w:sz w:val="17"/>
          <w:lang w:val="uk-UA"/>
        </w:rPr>
        <w:t>Yadav</w:t>
      </w:r>
      <w:proofErr w:type="spellEnd"/>
      <w:r w:rsidRPr="003C6DAE">
        <w:rPr>
          <w:rFonts w:ascii="Trebuchet MS"/>
          <w:spacing w:val="14"/>
          <w:sz w:val="17"/>
          <w:lang w:val="uk-UA"/>
        </w:rPr>
        <w:t xml:space="preserve"> </w:t>
      </w:r>
      <w:r w:rsidRPr="003C6DAE">
        <w:rPr>
          <w:rFonts w:ascii="Trebuchet MS"/>
          <w:w w:val="80"/>
          <w:sz w:val="17"/>
          <w:lang w:val="uk-UA"/>
        </w:rPr>
        <w:t xml:space="preserve">2023 </w:t>
      </w:r>
      <w:proofErr w:type="spellStart"/>
      <w:r w:rsidRPr="003C6DAE">
        <w:rPr>
          <w:rFonts w:ascii="Trebuchet MS"/>
          <w:w w:val="85"/>
          <w:sz w:val="17"/>
          <w:lang w:val="uk-UA"/>
        </w:rPr>
        <w:t>Huang</w:t>
      </w:r>
      <w:proofErr w:type="spellEnd"/>
      <w:r w:rsidRPr="003C6DAE">
        <w:rPr>
          <w:rFonts w:ascii="Trebuchet MS"/>
          <w:spacing w:val="-6"/>
          <w:w w:val="85"/>
          <w:sz w:val="17"/>
          <w:lang w:val="uk-UA"/>
        </w:rPr>
        <w:t xml:space="preserve"> </w:t>
      </w:r>
      <w:r w:rsidRPr="003C6DAE">
        <w:rPr>
          <w:rFonts w:ascii="Trebuchet MS"/>
          <w:w w:val="85"/>
          <w:sz w:val="17"/>
          <w:lang w:val="uk-UA"/>
        </w:rPr>
        <w:t xml:space="preserve">2021 </w:t>
      </w:r>
      <w:proofErr w:type="spellStart"/>
      <w:r w:rsidRPr="003C6DAE">
        <w:rPr>
          <w:rFonts w:ascii="Trebuchet MS"/>
          <w:w w:val="95"/>
          <w:sz w:val="17"/>
          <w:lang w:val="uk-UA"/>
        </w:rPr>
        <w:t>Chin</w:t>
      </w:r>
      <w:proofErr w:type="spellEnd"/>
      <w:r w:rsidRPr="003C6DAE">
        <w:rPr>
          <w:rFonts w:ascii="Trebuchet MS"/>
          <w:w w:val="95"/>
          <w:sz w:val="17"/>
          <w:lang w:val="uk-UA"/>
        </w:rPr>
        <w:t xml:space="preserve"> 2019</w:t>
      </w:r>
    </w:p>
    <w:p w14:paraId="482EC738" w14:textId="21D02D2F" w:rsidR="00E05B98" w:rsidRPr="003C6DAE" w:rsidRDefault="00B01E0C">
      <w:pPr>
        <w:spacing w:line="283" w:lineRule="auto"/>
        <w:ind w:left="688" w:right="595"/>
        <w:rPr>
          <w:rFonts w:ascii="Trebuchet MS"/>
          <w:sz w:val="17"/>
          <w:lang w:val="uk-UA"/>
        </w:rPr>
      </w:pPr>
      <w:proofErr w:type="spellStart"/>
      <w:r w:rsidRPr="003C6DAE">
        <w:rPr>
          <w:rFonts w:ascii="Trebuchet MS"/>
          <w:w w:val="80"/>
          <w:sz w:val="17"/>
          <w:lang w:val="uk-UA"/>
        </w:rPr>
        <w:t>Penata</w:t>
      </w:r>
      <w:proofErr w:type="spellEnd"/>
      <w:r w:rsidRPr="003C6DAE">
        <w:rPr>
          <w:rFonts w:ascii="Trebuchet MS"/>
          <w:sz w:val="17"/>
          <w:lang w:val="uk-UA"/>
        </w:rPr>
        <w:t xml:space="preserve"> </w:t>
      </w:r>
      <w:r w:rsidRPr="003C6DAE">
        <w:rPr>
          <w:rFonts w:ascii="Trebuchet MS"/>
          <w:w w:val="80"/>
          <w:sz w:val="17"/>
          <w:lang w:val="uk-UA"/>
        </w:rPr>
        <w:t xml:space="preserve">2021 </w:t>
      </w:r>
      <w:proofErr w:type="spellStart"/>
      <w:r w:rsidRPr="003C6DAE">
        <w:rPr>
          <w:rFonts w:ascii="Trebuchet MS"/>
          <w:w w:val="90"/>
          <w:sz w:val="17"/>
          <w:lang w:val="uk-UA"/>
        </w:rPr>
        <w:t>Ninan</w:t>
      </w:r>
      <w:proofErr w:type="spellEnd"/>
      <w:r w:rsidRPr="003C6DAE">
        <w:rPr>
          <w:rFonts w:ascii="Trebuchet MS"/>
          <w:spacing w:val="-8"/>
          <w:w w:val="90"/>
          <w:sz w:val="17"/>
          <w:lang w:val="uk-UA"/>
        </w:rPr>
        <w:t xml:space="preserve"> </w:t>
      </w:r>
      <w:r w:rsidRPr="003C6DAE">
        <w:rPr>
          <w:rFonts w:ascii="Trebuchet MS"/>
          <w:w w:val="90"/>
          <w:sz w:val="17"/>
          <w:lang w:val="uk-UA"/>
        </w:rPr>
        <w:t xml:space="preserve">2022 </w:t>
      </w:r>
      <w:proofErr w:type="spellStart"/>
      <w:r w:rsidRPr="003C6DAE">
        <w:rPr>
          <w:rFonts w:ascii="Trebuchet MS"/>
          <w:w w:val="90"/>
          <w:sz w:val="17"/>
          <w:lang w:val="uk-UA"/>
        </w:rPr>
        <w:t>Slail</w:t>
      </w:r>
      <w:proofErr w:type="spellEnd"/>
      <w:r w:rsidRPr="003C6DAE">
        <w:rPr>
          <w:rFonts w:ascii="Trebuchet MS"/>
          <w:w w:val="90"/>
          <w:sz w:val="17"/>
          <w:lang w:val="uk-UA"/>
        </w:rPr>
        <w:t xml:space="preserve"> 2023</w:t>
      </w:r>
    </w:p>
    <w:p w14:paraId="459D9CE4" w14:textId="4A623106" w:rsidR="00E05B98" w:rsidRPr="003C6DAE" w:rsidRDefault="00B01E0C">
      <w:pPr>
        <w:spacing w:line="196" w:lineRule="exact"/>
        <w:ind w:left="688"/>
        <w:rPr>
          <w:rFonts w:ascii="Trebuchet MS"/>
          <w:sz w:val="17"/>
          <w:lang w:val="uk-UA"/>
        </w:rPr>
      </w:pPr>
      <w:proofErr w:type="spellStart"/>
      <w:r w:rsidRPr="003C6DAE">
        <w:rPr>
          <w:rFonts w:ascii="Trebuchet MS"/>
          <w:w w:val="80"/>
          <w:sz w:val="17"/>
          <w:lang w:val="uk-UA"/>
        </w:rPr>
        <w:t>Shao</w:t>
      </w:r>
      <w:proofErr w:type="spellEnd"/>
      <w:r w:rsidRPr="003C6DAE">
        <w:rPr>
          <w:rFonts w:ascii="Trebuchet MS"/>
          <w:spacing w:val="5"/>
          <w:sz w:val="17"/>
          <w:lang w:val="uk-UA"/>
        </w:rPr>
        <w:t xml:space="preserve"> </w:t>
      </w:r>
      <w:r w:rsidRPr="003C6DAE">
        <w:rPr>
          <w:rFonts w:ascii="Trebuchet MS"/>
          <w:spacing w:val="-4"/>
          <w:w w:val="80"/>
          <w:sz w:val="17"/>
          <w:lang w:val="uk-UA"/>
        </w:rPr>
        <w:t>2020</w:t>
      </w:r>
    </w:p>
    <w:p w14:paraId="4A989FBC" w14:textId="77777777" w:rsidR="00E05B98" w:rsidRPr="003C6DAE" w:rsidRDefault="00B01E0C">
      <w:pPr>
        <w:spacing w:before="194"/>
        <w:ind w:left="202"/>
        <w:rPr>
          <w:rFonts w:ascii="Trebuchet MS"/>
          <w:sz w:val="17"/>
          <w:lang w:val="uk-UA"/>
        </w:rPr>
      </w:pPr>
      <w:r w:rsidRPr="003C6DAE">
        <w:rPr>
          <w:lang w:val="uk-UA"/>
        </w:rPr>
        <w:br w:type="column"/>
      </w:r>
      <w:r w:rsidRPr="003C6DAE">
        <w:rPr>
          <w:rFonts w:ascii="Trebuchet MS"/>
          <w:color w:val="333333"/>
          <w:w w:val="90"/>
          <w:sz w:val="17"/>
          <w:lang w:val="uk-UA"/>
        </w:rPr>
        <w:t>TP</w:t>
      </w:r>
      <w:r w:rsidRPr="003C6DAE">
        <w:rPr>
          <w:rFonts w:ascii="Trebuchet MS"/>
          <w:color w:val="333333"/>
          <w:spacing w:val="62"/>
          <w:w w:val="150"/>
          <w:sz w:val="17"/>
          <w:lang w:val="uk-UA"/>
        </w:rPr>
        <w:t xml:space="preserve"> </w:t>
      </w:r>
      <w:r w:rsidRPr="003C6DAE">
        <w:rPr>
          <w:rFonts w:ascii="Trebuchet MS"/>
          <w:color w:val="333333"/>
          <w:spacing w:val="-5"/>
          <w:w w:val="90"/>
          <w:sz w:val="17"/>
          <w:lang w:val="uk-UA"/>
        </w:rPr>
        <w:t xml:space="preserve">FP </w:t>
      </w:r>
    </w:p>
    <w:p w14:paraId="5C34BF05" w14:textId="77777777" w:rsidR="00E05B98" w:rsidRPr="003C6DAE" w:rsidRDefault="00B01E0C">
      <w:pPr>
        <w:tabs>
          <w:tab w:val="left" w:pos="606"/>
        </w:tabs>
        <w:spacing w:before="66"/>
        <w:ind w:left="303"/>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10"/>
          <w:w w:val="95"/>
          <w:sz w:val="17"/>
          <w:lang w:val="uk-UA"/>
        </w:rPr>
        <w:t>2</w:t>
      </w:r>
    </w:p>
    <w:p w14:paraId="6E9106D8" w14:textId="77777777" w:rsidR="00E05B98" w:rsidRPr="003C6DAE" w:rsidRDefault="00B01E0C">
      <w:pPr>
        <w:tabs>
          <w:tab w:val="left" w:pos="606"/>
        </w:tabs>
        <w:spacing w:before="35"/>
        <w:ind w:left="303"/>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10"/>
          <w:w w:val="95"/>
          <w:sz w:val="17"/>
          <w:lang w:val="uk-UA"/>
        </w:rPr>
        <w:t>0</w:t>
      </w:r>
    </w:p>
    <w:p w14:paraId="4CC0791D" w14:textId="77777777" w:rsidR="00E05B98" w:rsidRPr="003C6DAE" w:rsidRDefault="00B01E0C">
      <w:pPr>
        <w:tabs>
          <w:tab w:val="left" w:pos="606"/>
        </w:tabs>
        <w:spacing w:before="35"/>
        <w:ind w:left="303"/>
        <w:rPr>
          <w:rFonts w:ascii="Trebuchet MS"/>
          <w:sz w:val="17"/>
          <w:lang w:val="uk-UA"/>
        </w:rPr>
      </w:pPr>
      <w:r w:rsidRPr="003C6DAE">
        <w:rPr>
          <w:rFonts w:ascii="Trebuchet MS"/>
          <w:spacing w:val="-10"/>
          <w:w w:val="95"/>
          <w:sz w:val="17"/>
          <w:lang w:val="uk-UA"/>
        </w:rPr>
        <w:t>3</w:t>
      </w:r>
      <w:r w:rsidRPr="003C6DAE">
        <w:rPr>
          <w:rFonts w:ascii="Trebuchet MS"/>
          <w:sz w:val="17"/>
          <w:lang w:val="uk-UA"/>
        </w:rPr>
        <w:tab/>
      </w:r>
      <w:r w:rsidRPr="003C6DAE">
        <w:rPr>
          <w:rFonts w:ascii="Trebuchet MS"/>
          <w:spacing w:val="-10"/>
          <w:w w:val="95"/>
          <w:sz w:val="17"/>
          <w:lang w:val="uk-UA"/>
        </w:rPr>
        <w:t>0</w:t>
      </w:r>
    </w:p>
    <w:p w14:paraId="0EF33610" w14:textId="77777777" w:rsidR="00E05B98" w:rsidRPr="003C6DAE" w:rsidRDefault="00B01E0C">
      <w:pPr>
        <w:tabs>
          <w:tab w:val="left" w:pos="606"/>
        </w:tabs>
        <w:spacing w:before="35"/>
        <w:ind w:left="303"/>
        <w:rPr>
          <w:rFonts w:ascii="Trebuchet MS"/>
          <w:sz w:val="17"/>
          <w:lang w:val="uk-UA"/>
        </w:rPr>
      </w:pPr>
      <w:r w:rsidRPr="003C6DAE">
        <w:rPr>
          <w:rFonts w:ascii="Trebuchet MS"/>
          <w:spacing w:val="-10"/>
          <w:w w:val="95"/>
          <w:sz w:val="17"/>
          <w:lang w:val="uk-UA"/>
        </w:rPr>
        <w:t>1</w:t>
      </w:r>
      <w:r w:rsidRPr="003C6DAE">
        <w:rPr>
          <w:rFonts w:ascii="Trebuchet MS"/>
          <w:sz w:val="17"/>
          <w:lang w:val="uk-UA"/>
        </w:rPr>
        <w:tab/>
      </w:r>
      <w:r w:rsidRPr="003C6DAE">
        <w:rPr>
          <w:rFonts w:ascii="Trebuchet MS"/>
          <w:spacing w:val="-10"/>
          <w:w w:val="95"/>
          <w:sz w:val="17"/>
          <w:lang w:val="uk-UA"/>
        </w:rPr>
        <w:t>0</w:t>
      </w:r>
    </w:p>
    <w:p w14:paraId="236DC633" w14:textId="77777777" w:rsidR="00E05B98" w:rsidRPr="003C6DAE" w:rsidRDefault="00B01E0C">
      <w:pPr>
        <w:tabs>
          <w:tab w:val="left" w:pos="606"/>
        </w:tabs>
        <w:spacing w:before="35"/>
        <w:ind w:left="222"/>
        <w:rPr>
          <w:rFonts w:ascii="Trebuchet MS"/>
          <w:sz w:val="17"/>
          <w:lang w:val="uk-UA"/>
        </w:rPr>
      </w:pPr>
      <w:r w:rsidRPr="003C6DAE">
        <w:rPr>
          <w:rFonts w:ascii="Trebuchet MS"/>
          <w:spacing w:val="-5"/>
          <w:w w:val="95"/>
          <w:sz w:val="17"/>
          <w:lang w:val="uk-UA"/>
        </w:rPr>
        <w:t>54</w:t>
      </w:r>
      <w:r w:rsidRPr="003C6DAE">
        <w:rPr>
          <w:rFonts w:ascii="Trebuchet MS"/>
          <w:sz w:val="17"/>
          <w:lang w:val="uk-UA"/>
        </w:rPr>
        <w:tab/>
      </w:r>
      <w:r w:rsidRPr="003C6DAE">
        <w:rPr>
          <w:rFonts w:ascii="Trebuchet MS"/>
          <w:spacing w:val="-10"/>
          <w:w w:val="95"/>
          <w:sz w:val="17"/>
          <w:lang w:val="uk-UA"/>
        </w:rPr>
        <w:t>0</w:t>
      </w:r>
    </w:p>
    <w:p w14:paraId="455969D2" w14:textId="77777777" w:rsidR="00E05B98" w:rsidRPr="003C6DAE" w:rsidRDefault="00B01E0C">
      <w:pPr>
        <w:spacing w:before="35"/>
        <w:ind w:left="222"/>
        <w:rPr>
          <w:rFonts w:ascii="Trebuchet MS"/>
          <w:sz w:val="17"/>
          <w:lang w:val="uk-UA"/>
        </w:rPr>
      </w:pPr>
      <w:r w:rsidRPr="003C6DAE">
        <w:rPr>
          <w:rFonts w:ascii="Trebuchet MS"/>
          <w:w w:val="95"/>
          <w:sz w:val="17"/>
          <w:lang w:val="uk-UA"/>
        </w:rPr>
        <w:t>35</w:t>
      </w:r>
      <w:r w:rsidRPr="003C6DAE">
        <w:rPr>
          <w:rFonts w:ascii="Trebuchet MS"/>
          <w:spacing w:val="79"/>
          <w:sz w:val="17"/>
          <w:lang w:val="uk-UA"/>
        </w:rPr>
        <w:t xml:space="preserve"> </w:t>
      </w:r>
      <w:r w:rsidRPr="003C6DAE">
        <w:rPr>
          <w:rFonts w:ascii="Trebuchet MS"/>
          <w:spacing w:val="-5"/>
          <w:w w:val="95"/>
          <w:sz w:val="17"/>
          <w:lang w:val="uk-UA"/>
        </w:rPr>
        <w:t>38</w:t>
      </w:r>
    </w:p>
    <w:p w14:paraId="123D6838" w14:textId="77777777" w:rsidR="00E05B98" w:rsidRPr="003C6DAE" w:rsidRDefault="00B01E0C">
      <w:pPr>
        <w:tabs>
          <w:tab w:val="left" w:pos="606"/>
        </w:tabs>
        <w:spacing w:before="35"/>
        <w:ind w:left="222"/>
        <w:rPr>
          <w:rFonts w:ascii="Trebuchet MS"/>
          <w:sz w:val="17"/>
          <w:lang w:val="uk-UA"/>
        </w:rPr>
      </w:pPr>
      <w:r w:rsidRPr="003C6DAE">
        <w:rPr>
          <w:rFonts w:ascii="Trebuchet MS"/>
          <w:spacing w:val="-5"/>
          <w:w w:val="95"/>
          <w:sz w:val="17"/>
          <w:lang w:val="uk-UA"/>
        </w:rPr>
        <w:t>20</w:t>
      </w:r>
      <w:r w:rsidRPr="003C6DAE">
        <w:rPr>
          <w:rFonts w:ascii="Trebuchet MS"/>
          <w:sz w:val="17"/>
          <w:lang w:val="uk-UA"/>
        </w:rPr>
        <w:tab/>
      </w:r>
      <w:r w:rsidRPr="003C6DAE">
        <w:rPr>
          <w:rFonts w:ascii="Trebuchet MS"/>
          <w:spacing w:val="-10"/>
          <w:w w:val="95"/>
          <w:sz w:val="17"/>
          <w:lang w:val="uk-UA"/>
        </w:rPr>
        <w:t>4</w:t>
      </w:r>
    </w:p>
    <w:p w14:paraId="58D3F865" w14:textId="77777777" w:rsidR="00E05B98" w:rsidRPr="003C6DAE" w:rsidRDefault="00B01E0C">
      <w:pPr>
        <w:spacing w:before="36"/>
        <w:ind w:left="303"/>
        <w:rPr>
          <w:rFonts w:ascii="Trebuchet MS"/>
          <w:sz w:val="17"/>
          <w:lang w:val="uk-UA"/>
        </w:rPr>
      </w:pPr>
      <w:r w:rsidRPr="003C6DAE">
        <w:rPr>
          <w:rFonts w:ascii="Trebuchet MS"/>
          <w:w w:val="95"/>
          <w:sz w:val="17"/>
          <w:lang w:val="uk-UA"/>
        </w:rPr>
        <w:t>9</w:t>
      </w:r>
      <w:r w:rsidRPr="003C6DAE">
        <w:rPr>
          <w:rFonts w:ascii="Trebuchet MS"/>
          <w:spacing w:val="58"/>
          <w:w w:val="150"/>
          <w:sz w:val="17"/>
          <w:lang w:val="uk-UA"/>
        </w:rPr>
        <w:t xml:space="preserve"> </w:t>
      </w:r>
      <w:r w:rsidRPr="003C6DAE">
        <w:rPr>
          <w:rFonts w:ascii="Trebuchet MS"/>
          <w:spacing w:val="-7"/>
          <w:w w:val="90"/>
          <w:sz w:val="17"/>
          <w:lang w:val="uk-UA"/>
        </w:rPr>
        <w:t>12</w:t>
      </w:r>
    </w:p>
    <w:p w14:paraId="56ED228A" w14:textId="77777777" w:rsidR="00E05B98" w:rsidRPr="003C6DAE" w:rsidRDefault="00B01E0C">
      <w:pPr>
        <w:spacing w:before="35"/>
        <w:ind w:left="222"/>
        <w:rPr>
          <w:rFonts w:ascii="Trebuchet MS"/>
          <w:sz w:val="17"/>
          <w:lang w:val="uk-UA"/>
        </w:rPr>
      </w:pPr>
      <w:r w:rsidRPr="003C6DAE">
        <w:rPr>
          <w:rFonts w:ascii="Trebuchet MS"/>
          <w:w w:val="95"/>
          <w:sz w:val="17"/>
          <w:lang w:val="uk-UA"/>
        </w:rPr>
        <w:t>24</w:t>
      </w:r>
      <w:r w:rsidRPr="003C6DAE">
        <w:rPr>
          <w:rFonts w:ascii="Trebuchet MS"/>
          <w:spacing w:val="79"/>
          <w:sz w:val="17"/>
          <w:lang w:val="uk-UA"/>
        </w:rPr>
        <w:t xml:space="preserve"> </w:t>
      </w:r>
      <w:r w:rsidRPr="003C6DAE">
        <w:rPr>
          <w:rFonts w:ascii="Trebuchet MS"/>
          <w:spacing w:val="-5"/>
          <w:w w:val="95"/>
          <w:sz w:val="17"/>
          <w:lang w:val="uk-UA"/>
        </w:rPr>
        <w:t>15</w:t>
      </w:r>
    </w:p>
    <w:p w14:paraId="6252FEE4" w14:textId="77777777" w:rsidR="00E05B98" w:rsidRPr="003C6DAE" w:rsidRDefault="00B01E0C">
      <w:pPr>
        <w:tabs>
          <w:tab w:val="left" w:pos="606"/>
        </w:tabs>
        <w:spacing w:before="35"/>
        <w:ind w:left="222"/>
        <w:rPr>
          <w:rFonts w:ascii="Trebuchet MS"/>
          <w:sz w:val="17"/>
          <w:lang w:val="uk-UA"/>
        </w:rPr>
      </w:pPr>
      <w:r w:rsidRPr="003C6DAE">
        <w:rPr>
          <w:rFonts w:ascii="Trebuchet MS"/>
          <w:spacing w:val="-5"/>
          <w:w w:val="95"/>
          <w:sz w:val="17"/>
          <w:lang w:val="uk-UA"/>
        </w:rPr>
        <w:t>13</w:t>
      </w:r>
      <w:r w:rsidRPr="003C6DAE">
        <w:rPr>
          <w:rFonts w:ascii="Trebuchet MS"/>
          <w:sz w:val="17"/>
          <w:lang w:val="uk-UA"/>
        </w:rPr>
        <w:tab/>
      </w:r>
      <w:r w:rsidRPr="003C6DAE">
        <w:rPr>
          <w:rFonts w:ascii="Trebuchet MS"/>
          <w:spacing w:val="-10"/>
          <w:w w:val="95"/>
          <w:sz w:val="17"/>
          <w:lang w:val="uk-UA"/>
        </w:rPr>
        <w:t>4</w:t>
      </w:r>
    </w:p>
    <w:p w14:paraId="25096D36" w14:textId="77777777" w:rsidR="00E05B98" w:rsidRPr="003C6DAE" w:rsidRDefault="00B01E0C">
      <w:pPr>
        <w:tabs>
          <w:tab w:val="left" w:pos="606"/>
        </w:tabs>
        <w:spacing w:before="35"/>
        <w:ind w:left="222"/>
        <w:rPr>
          <w:rFonts w:ascii="Trebuchet MS"/>
          <w:sz w:val="17"/>
          <w:lang w:val="uk-UA"/>
        </w:rPr>
      </w:pPr>
      <w:r w:rsidRPr="003C6DAE">
        <w:rPr>
          <w:rFonts w:ascii="Trebuchet MS"/>
          <w:spacing w:val="-5"/>
          <w:w w:val="95"/>
          <w:sz w:val="17"/>
          <w:lang w:val="uk-UA"/>
        </w:rPr>
        <w:t>19</w:t>
      </w:r>
      <w:r w:rsidRPr="003C6DAE">
        <w:rPr>
          <w:rFonts w:ascii="Trebuchet MS"/>
          <w:sz w:val="17"/>
          <w:lang w:val="uk-UA"/>
        </w:rPr>
        <w:tab/>
      </w:r>
      <w:r w:rsidRPr="003C6DAE">
        <w:rPr>
          <w:rFonts w:ascii="Trebuchet MS"/>
          <w:spacing w:val="-10"/>
          <w:w w:val="95"/>
          <w:sz w:val="17"/>
          <w:lang w:val="uk-UA"/>
        </w:rPr>
        <w:t>0</w:t>
      </w:r>
    </w:p>
    <w:p w14:paraId="75AF782C" w14:textId="77777777" w:rsidR="00E05B98" w:rsidRPr="003C6DAE" w:rsidRDefault="00B01E0C">
      <w:pPr>
        <w:tabs>
          <w:tab w:val="left" w:pos="606"/>
        </w:tabs>
        <w:spacing w:before="35"/>
        <w:ind w:left="222"/>
        <w:rPr>
          <w:rFonts w:ascii="Trebuchet MS"/>
          <w:sz w:val="17"/>
          <w:lang w:val="uk-UA"/>
        </w:rPr>
      </w:pPr>
      <w:r w:rsidRPr="003C6DAE">
        <w:rPr>
          <w:rFonts w:ascii="Trebuchet MS"/>
          <w:spacing w:val="-5"/>
          <w:w w:val="95"/>
          <w:sz w:val="17"/>
          <w:lang w:val="uk-UA"/>
        </w:rPr>
        <w:t>43</w:t>
      </w:r>
      <w:r w:rsidRPr="003C6DAE">
        <w:rPr>
          <w:rFonts w:ascii="Trebuchet MS"/>
          <w:sz w:val="17"/>
          <w:lang w:val="uk-UA"/>
        </w:rPr>
        <w:tab/>
      </w:r>
      <w:r w:rsidRPr="003C6DAE">
        <w:rPr>
          <w:rFonts w:ascii="Trebuchet MS"/>
          <w:spacing w:val="-10"/>
          <w:w w:val="95"/>
          <w:sz w:val="17"/>
          <w:lang w:val="uk-UA"/>
        </w:rPr>
        <w:t>0</w:t>
      </w:r>
    </w:p>
    <w:p w14:paraId="67A21BBB" w14:textId="77777777" w:rsidR="00E05B98" w:rsidRPr="003C6DAE" w:rsidRDefault="00B01E0C">
      <w:pPr>
        <w:spacing w:before="35"/>
        <w:ind w:left="303"/>
        <w:rPr>
          <w:rFonts w:ascii="Trebuchet MS"/>
          <w:sz w:val="17"/>
          <w:lang w:val="uk-UA"/>
        </w:rPr>
      </w:pPr>
      <w:r w:rsidRPr="003C6DAE">
        <w:rPr>
          <w:rFonts w:ascii="Trebuchet MS"/>
          <w:w w:val="95"/>
          <w:sz w:val="17"/>
          <w:lang w:val="uk-UA"/>
        </w:rPr>
        <w:t>6</w:t>
      </w:r>
      <w:r w:rsidRPr="003C6DAE">
        <w:rPr>
          <w:rFonts w:ascii="Trebuchet MS"/>
          <w:spacing w:val="58"/>
          <w:w w:val="150"/>
          <w:sz w:val="17"/>
          <w:lang w:val="uk-UA"/>
        </w:rPr>
        <w:t xml:space="preserve"> </w:t>
      </w:r>
      <w:r w:rsidRPr="003C6DAE">
        <w:rPr>
          <w:rFonts w:ascii="Trebuchet MS"/>
          <w:spacing w:val="-7"/>
          <w:w w:val="90"/>
          <w:sz w:val="17"/>
          <w:lang w:val="uk-UA"/>
        </w:rPr>
        <w:t>19</w:t>
      </w:r>
    </w:p>
    <w:p w14:paraId="510EB690" w14:textId="77777777" w:rsidR="00E05B98" w:rsidRPr="003C6DAE" w:rsidRDefault="00B01E0C">
      <w:pPr>
        <w:tabs>
          <w:tab w:val="left" w:pos="606"/>
        </w:tabs>
        <w:spacing w:before="35"/>
        <w:ind w:left="303"/>
        <w:rPr>
          <w:rFonts w:ascii="Trebuchet MS"/>
          <w:sz w:val="17"/>
          <w:lang w:val="uk-UA"/>
        </w:rPr>
      </w:pPr>
      <w:r w:rsidRPr="003C6DAE">
        <w:rPr>
          <w:rFonts w:ascii="Trebuchet MS"/>
          <w:spacing w:val="-10"/>
          <w:w w:val="95"/>
          <w:sz w:val="17"/>
          <w:lang w:val="uk-UA"/>
        </w:rPr>
        <w:t>4</w:t>
      </w:r>
      <w:r w:rsidRPr="003C6DAE">
        <w:rPr>
          <w:rFonts w:ascii="Trebuchet MS"/>
          <w:sz w:val="17"/>
          <w:lang w:val="uk-UA"/>
        </w:rPr>
        <w:tab/>
      </w:r>
      <w:r w:rsidRPr="003C6DAE">
        <w:rPr>
          <w:rFonts w:ascii="Trebuchet MS"/>
          <w:spacing w:val="-10"/>
          <w:w w:val="95"/>
          <w:sz w:val="17"/>
          <w:lang w:val="uk-UA"/>
        </w:rPr>
        <w:t>3</w:t>
      </w:r>
    </w:p>
    <w:p w14:paraId="3C7EA627" w14:textId="77777777" w:rsidR="00E05B98" w:rsidRPr="003C6DAE" w:rsidRDefault="00B01E0C">
      <w:pPr>
        <w:tabs>
          <w:tab w:val="left" w:pos="606"/>
        </w:tabs>
        <w:spacing w:before="35"/>
        <w:ind w:left="222"/>
        <w:rPr>
          <w:rFonts w:ascii="Trebuchet MS"/>
          <w:sz w:val="17"/>
          <w:lang w:val="uk-UA"/>
        </w:rPr>
      </w:pPr>
      <w:r w:rsidRPr="003C6DAE">
        <w:rPr>
          <w:rFonts w:ascii="Trebuchet MS"/>
          <w:spacing w:val="-5"/>
          <w:w w:val="95"/>
          <w:sz w:val="17"/>
          <w:lang w:val="uk-UA"/>
        </w:rPr>
        <w:t>12</w:t>
      </w:r>
      <w:r w:rsidRPr="003C6DAE">
        <w:rPr>
          <w:rFonts w:ascii="Trebuchet MS"/>
          <w:sz w:val="17"/>
          <w:lang w:val="uk-UA"/>
        </w:rPr>
        <w:tab/>
      </w:r>
      <w:r w:rsidRPr="003C6DAE">
        <w:rPr>
          <w:rFonts w:ascii="Trebuchet MS"/>
          <w:spacing w:val="-10"/>
          <w:w w:val="95"/>
          <w:sz w:val="17"/>
          <w:lang w:val="uk-UA"/>
        </w:rPr>
        <w:t>8</w:t>
      </w:r>
    </w:p>
    <w:p w14:paraId="61B8F8F6" w14:textId="77777777" w:rsidR="00E05B98" w:rsidRPr="003C6DAE" w:rsidRDefault="00B01E0C">
      <w:pPr>
        <w:tabs>
          <w:tab w:val="left" w:pos="606"/>
        </w:tabs>
        <w:spacing w:before="36"/>
        <w:ind w:left="303"/>
        <w:rPr>
          <w:rFonts w:ascii="Trebuchet MS"/>
          <w:sz w:val="17"/>
          <w:lang w:val="uk-UA"/>
        </w:rPr>
      </w:pPr>
      <w:r w:rsidRPr="003C6DAE">
        <w:rPr>
          <w:rFonts w:ascii="Trebuchet MS"/>
          <w:spacing w:val="-10"/>
          <w:w w:val="95"/>
          <w:sz w:val="17"/>
          <w:lang w:val="uk-UA"/>
        </w:rPr>
        <w:t>3</w:t>
      </w:r>
      <w:r w:rsidRPr="003C6DAE">
        <w:rPr>
          <w:rFonts w:ascii="Trebuchet MS"/>
          <w:sz w:val="17"/>
          <w:lang w:val="uk-UA"/>
        </w:rPr>
        <w:tab/>
      </w:r>
      <w:r w:rsidRPr="003C6DAE">
        <w:rPr>
          <w:rFonts w:ascii="Trebuchet MS"/>
          <w:spacing w:val="-10"/>
          <w:w w:val="95"/>
          <w:sz w:val="17"/>
          <w:lang w:val="uk-UA"/>
        </w:rPr>
        <w:t>0</w:t>
      </w:r>
    </w:p>
    <w:p w14:paraId="1033EA8F" w14:textId="77777777" w:rsidR="00E05B98" w:rsidRPr="003C6DAE" w:rsidRDefault="00B01E0C">
      <w:pPr>
        <w:tabs>
          <w:tab w:val="left" w:pos="606"/>
        </w:tabs>
        <w:spacing w:before="35"/>
        <w:ind w:left="303"/>
        <w:rPr>
          <w:rFonts w:ascii="Trebuchet MS"/>
          <w:sz w:val="17"/>
          <w:lang w:val="uk-UA"/>
        </w:rPr>
      </w:pPr>
      <w:r w:rsidRPr="003C6DAE">
        <w:rPr>
          <w:rFonts w:ascii="Trebuchet MS"/>
          <w:spacing w:val="-10"/>
          <w:w w:val="95"/>
          <w:sz w:val="17"/>
          <w:lang w:val="uk-UA"/>
        </w:rPr>
        <w:t>6</w:t>
      </w:r>
      <w:r w:rsidRPr="003C6DAE">
        <w:rPr>
          <w:rFonts w:ascii="Trebuchet MS"/>
          <w:sz w:val="17"/>
          <w:lang w:val="uk-UA"/>
        </w:rPr>
        <w:tab/>
      </w:r>
      <w:r w:rsidRPr="003C6DAE">
        <w:rPr>
          <w:rFonts w:ascii="Trebuchet MS"/>
          <w:spacing w:val="-10"/>
          <w:w w:val="95"/>
          <w:sz w:val="17"/>
          <w:lang w:val="uk-UA"/>
        </w:rPr>
        <w:t>1</w:t>
      </w:r>
    </w:p>
    <w:p w14:paraId="32BA26B9" w14:textId="77777777" w:rsidR="00E05B98" w:rsidRPr="003C6DAE" w:rsidRDefault="00B01E0C">
      <w:pPr>
        <w:spacing w:before="35"/>
        <w:ind w:left="303"/>
        <w:rPr>
          <w:rFonts w:ascii="Trebuchet MS"/>
          <w:sz w:val="17"/>
          <w:lang w:val="uk-UA"/>
        </w:rPr>
      </w:pPr>
      <w:r w:rsidRPr="003C6DAE">
        <w:rPr>
          <w:rFonts w:ascii="Trebuchet MS"/>
          <w:w w:val="95"/>
          <w:sz w:val="17"/>
          <w:lang w:val="uk-UA"/>
        </w:rPr>
        <w:t>2</w:t>
      </w:r>
      <w:r w:rsidRPr="003C6DAE">
        <w:rPr>
          <w:rFonts w:ascii="Trebuchet MS"/>
          <w:spacing w:val="58"/>
          <w:w w:val="150"/>
          <w:sz w:val="17"/>
          <w:lang w:val="uk-UA"/>
        </w:rPr>
        <w:t xml:space="preserve"> </w:t>
      </w:r>
      <w:r w:rsidRPr="003C6DAE">
        <w:rPr>
          <w:rFonts w:ascii="Trebuchet MS"/>
          <w:spacing w:val="-7"/>
          <w:w w:val="90"/>
          <w:sz w:val="17"/>
          <w:lang w:val="uk-UA"/>
        </w:rPr>
        <w:t>26</w:t>
      </w:r>
    </w:p>
    <w:p w14:paraId="2A6C5895" w14:textId="77777777" w:rsidR="00E05B98" w:rsidRPr="003C6DAE" w:rsidRDefault="00B01E0C">
      <w:pPr>
        <w:spacing w:before="194"/>
        <w:ind w:left="79"/>
        <w:rPr>
          <w:rFonts w:ascii="Trebuchet MS"/>
          <w:sz w:val="17"/>
          <w:lang w:val="uk-UA"/>
        </w:rPr>
      </w:pPr>
      <w:r w:rsidRPr="003C6DAE">
        <w:rPr>
          <w:lang w:val="uk-UA"/>
        </w:rPr>
        <w:br w:type="column"/>
      </w:r>
      <w:r w:rsidRPr="003C6DAE">
        <w:rPr>
          <w:rFonts w:ascii="Trebuchet MS"/>
          <w:color w:val="333333"/>
          <w:w w:val="95"/>
          <w:sz w:val="17"/>
          <w:lang w:val="uk-UA"/>
        </w:rPr>
        <w:t>FN</w:t>
      </w:r>
      <w:r w:rsidRPr="003C6DAE">
        <w:rPr>
          <w:rFonts w:ascii="Trebuchet MS"/>
          <w:color w:val="333333"/>
          <w:spacing w:val="29"/>
          <w:sz w:val="17"/>
          <w:lang w:val="uk-UA"/>
        </w:rPr>
        <w:t xml:space="preserve">  </w:t>
      </w:r>
      <w:r w:rsidRPr="003C6DAE">
        <w:rPr>
          <w:rFonts w:ascii="Trebuchet MS"/>
          <w:color w:val="333333"/>
          <w:spacing w:val="-7"/>
          <w:w w:val="90"/>
          <w:sz w:val="17"/>
          <w:lang w:val="uk-UA"/>
        </w:rPr>
        <w:t>TN</w:t>
      </w:r>
      <w:r w:rsidRPr="003C6DAE">
        <w:rPr>
          <w:rFonts w:ascii="Trebuchet MS"/>
          <w:color w:val="333333"/>
          <w:w w:val="90"/>
          <w:sz w:val="17"/>
          <w:lang w:val="uk-UA"/>
        </w:rPr>
        <w:t xml:space="preserve"> </w:t>
      </w:r>
    </w:p>
    <w:p w14:paraId="198F09A6" w14:textId="77777777" w:rsidR="00E05B98" w:rsidRPr="003C6DAE" w:rsidRDefault="00B01E0C">
      <w:pPr>
        <w:tabs>
          <w:tab w:val="left" w:pos="450"/>
        </w:tabs>
        <w:spacing w:before="66"/>
        <w:ind w:left="168"/>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5"/>
          <w:w w:val="95"/>
          <w:sz w:val="17"/>
          <w:lang w:val="uk-UA"/>
        </w:rPr>
        <w:t>49</w:t>
      </w:r>
    </w:p>
    <w:p w14:paraId="1F71DDA7" w14:textId="77777777" w:rsidR="00E05B98" w:rsidRPr="003C6DAE" w:rsidRDefault="00B01E0C">
      <w:pPr>
        <w:tabs>
          <w:tab w:val="left" w:pos="531"/>
        </w:tabs>
        <w:spacing w:before="35"/>
        <w:ind w:left="168"/>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10"/>
          <w:w w:val="95"/>
          <w:sz w:val="17"/>
          <w:lang w:val="uk-UA"/>
        </w:rPr>
        <w:t>6</w:t>
      </w:r>
    </w:p>
    <w:p w14:paraId="6E5119EB" w14:textId="77777777" w:rsidR="00E05B98" w:rsidRPr="003C6DAE" w:rsidRDefault="00B01E0C">
      <w:pPr>
        <w:tabs>
          <w:tab w:val="left" w:pos="531"/>
        </w:tabs>
        <w:spacing w:before="35"/>
        <w:ind w:left="168"/>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10"/>
          <w:w w:val="95"/>
          <w:sz w:val="17"/>
          <w:lang w:val="uk-UA"/>
        </w:rPr>
        <w:t>1</w:t>
      </w:r>
    </w:p>
    <w:p w14:paraId="385C4CCD" w14:textId="77777777" w:rsidR="00E05B98" w:rsidRPr="003C6DAE" w:rsidRDefault="00B01E0C">
      <w:pPr>
        <w:tabs>
          <w:tab w:val="left" w:pos="450"/>
        </w:tabs>
        <w:spacing w:before="35"/>
        <w:ind w:left="168"/>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5"/>
          <w:w w:val="95"/>
          <w:sz w:val="17"/>
          <w:lang w:val="uk-UA"/>
        </w:rPr>
        <w:t>49</w:t>
      </w:r>
    </w:p>
    <w:p w14:paraId="47FB14D6" w14:textId="77777777" w:rsidR="00E05B98" w:rsidRPr="003C6DAE" w:rsidRDefault="00B01E0C">
      <w:pPr>
        <w:spacing w:before="35"/>
        <w:ind w:left="168"/>
        <w:rPr>
          <w:rFonts w:ascii="Trebuchet MS"/>
          <w:sz w:val="17"/>
          <w:lang w:val="uk-UA"/>
        </w:rPr>
      </w:pPr>
      <w:r w:rsidRPr="003C6DAE">
        <w:rPr>
          <w:rFonts w:ascii="Trebuchet MS"/>
          <w:w w:val="95"/>
          <w:sz w:val="17"/>
          <w:lang w:val="uk-UA"/>
        </w:rPr>
        <w:t>2</w:t>
      </w:r>
      <w:r w:rsidRPr="003C6DAE">
        <w:rPr>
          <w:rFonts w:ascii="Trebuchet MS"/>
          <w:spacing w:val="64"/>
          <w:sz w:val="17"/>
          <w:lang w:val="uk-UA"/>
        </w:rPr>
        <w:t xml:space="preserve"> </w:t>
      </w:r>
      <w:r w:rsidRPr="003C6DAE">
        <w:rPr>
          <w:rFonts w:ascii="Trebuchet MS"/>
          <w:spacing w:val="-5"/>
          <w:w w:val="90"/>
          <w:sz w:val="17"/>
          <w:lang w:val="uk-UA"/>
        </w:rPr>
        <w:t>188</w:t>
      </w:r>
    </w:p>
    <w:p w14:paraId="065B30B5" w14:textId="77777777" w:rsidR="00E05B98" w:rsidRPr="003C6DAE" w:rsidRDefault="00B01E0C">
      <w:pPr>
        <w:tabs>
          <w:tab w:val="left" w:pos="450"/>
        </w:tabs>
        <w:spacing w:before="35"/>
        <w:ind w:left="168"/>
        <w:rPr>
          <w:rFonts w:ascii="Trebuchet MS"/>
          <w:sz w:val="17"/>
          <w:lang w:val="uk-UA"/>
        </w:rPr>
      </w:pPr>
      <w:r w:rsidRPr="003C6DAE">
        <w:rPr>
          <w:rFonts w:ascii="Trebuchet MS"/>
          <w:spacing w:val="-10"/>
          <w:w w:val="95"/>
          <w:sz w:val="17"/>
          <w:lang w:val="uk-UA"/>
        </w:rPr>
        <w:t>3</w:t>
      </w:r>
      <w:r w:rsidRPr="003C6DAE">
        <w:rPr>
          <w:rFonts w:ascii="Trebuchet MS"/>
          <w:sz w:val="17"/>
          <w:lang w:val="uk-UA"/>
        </w:rPr>
        <w:tab/>
      </w:r>
      <w:r w:rsidRPr="003C6DAE">
        <w:rPr>
          <w:rFonts w:ascii="Trebuchet MS"/>
          <w:spacing w:val="-5"/>
          <w:w w:val="95"/>
          <w:sz w:val="17"/>
          <w:lang w:val="uk-UA"/>
        </w:rPr>
        <w:t>40</w:t>
      </w:r>
    </w:p>
    <w:p w14:paraId="736856DC" w14:textId="77777777" w:rsidR="00E05B98" w:rsidRPr="003C6DAE" w:rsidRDefault="00B01E0C">
      <w:pPr>
        <w:tabs>
          <w:tab w:val="left" w:pos="450"/>
        </w:tabs>
        <w:spacing w:before="35"/>
        <w:ind w:left="168"/>
        <w:rPr>
          <w:rFonts w:ascii="Trebuchet MS"/>
          <w:sz w:val="17"/>
          <w:lang w:val="uk-UA"/>
        </w:rPr>
      </w:pPr>
      <w:r w:rsidRPr="003C6DAE">
        <w:rPr>
          <w:rFonts w:ascii="Trebuchet MS"/>
          <w:spacing w:val="-10"/>
          <w:w w:val="95"/>
          <w:sz w:val="17"/>
          <w:lang w:val="uk-UA"/>
        </w:rPr>
        <w:t>2</w:t>
      </w:r>
      <w:r w:rsidRPr="003C6DAE">
        <w:rPr>
          <w:rFonts w:ascii="Trebuchet MS"/>
          <w:sz w:val="17"/>
          <w:lang w:val="uk-UA"/>
        </w:rPr>
        <w:tab/>
      </w:r>
      <w:r w:rsidRPr="003C6DAE">
        <w:rPr>
          <w:rFonts w:ascii="Trebuchet MS"/>
          <w:spacing w:val="-5"/>
          <w:w w:val="95"/>
          <w:sz w:val="17"/>
          <w:lang w:val="uk-UA"/>
        </w:rPr>
        <w:t>62</w:t>
      </w:r>
    </w:p>
    <w:p w14:paraId="04D91E3A" w14:textId="77777777" w:rsidR="00E05B98" w:rsidRPr="003C6DAE" w:rsidRDefault="00B01E0C">
      <w:pPr>
        <w:spacing w:before="36"/>
        <w:ind w:left="168"/>
        <w:rPr>
          <w:rFonts w:ascii="Trebuchet MS"/>
          <w:sz w:val="17"/>
          <w:lang w:val="uk-UA"/>
        </w:rPr>
      </w:pPr>
      <w:r w:rsidRPr="003C6DAE">
        <w:rPr>
          <w:rFonts w:ascii="Trebuchet MS"/>
          <w:w w:val="95"/>
          <w:sz w:val="17"/>
          <w:lang w:val="uk-UA"/>
        </w:rPr>
        <w:t>1</w:t>
      </w:r>
      <w:r w:rsidRPr="003C6DAE">
        <w:rPr>
          <w:rFonts w:ascii="Trebuchet MS"/>
          <w:spacing w:val="64"/>
          <w:sz w:val="17"/>
          <w:lang w:val="uk-UA"/>
        </w:rPr>
        <w:t xml:space="preserve"> </w:t>
      </w:r>
      <w:r w:rsidRPr="003C6DAE">
        <w:rPr>
          <w:rFonts w:ascii="Trebuchet MS"/>
          <w:spacing w:val="-5"/>
          <w:w w:val="90"/>
          <w:sz w:val="17"/>
          <w:lang w:val="uk-UA"/>
        </w:rPr>
        <w:t>107</w:t>
      </w:r>
    </w:p>
    <w:p w14:paraId="1869448E" w14:textId="77777777" w:rsidR="00E05B98" w:rsidRPr="003C6DAE" w:rsidRDefault="00B01E0C">
      <w:pPr>
        <w:spacing w:before="35"/>
        <w:ind w:left="168"/>
        <w:rPr>
          <w:rFonts w:ascii="Trebuchet MS"/>
          <w:sz w:val="17"/>
          <w:lang w:val="uk-UA"/>
        </w:rPr>
      </w:pPr>
      <w:r w:rsidRPr="003C6DAE">
        <w:rPr>
          <w:rFonts w:ascii="Trebuchet MS"/>
          <w:w w:val="95"/>
          <w:sz w:val="17"/>
          <w:lang w:val="uk-UA"/>
        </w:rPr>
        <w:t>3</w:t>
      </w:r>
      <w:r w:rsidRPr="003C6DAE">
        <w:rPr>
          <w:rFonts w:ascii="Trebuchet MS"/>
          <w:spacing w:val="64"/>
          <w:sz w:val="17"/>
          <w:lang w:val="uk-UA"/>
        </w:rPr>
        <w:t xml:space="preserve"> </w:t>
      </w:r>
      <w:r w:rsidRPr="003C6DAE">
        <w:rPr>
          <w:rFonts w:ascii="Trebuchet MS"/>
          <w:spacing w:val="-5"/>
          <w:w w:val="90"/>
          <w:sz w:val="17"/>
          <w:lang w:val="uk-UA"/>
        </w:rPr>
        <w:t>162</w:t>
      </w:r>
    </w:p>
    <w:p w14:paraId="1977B8E1" w14:textId="77777777" w:rsidR="00E05B98" w:rsidRPr="003C6DAE" w:rsidRDefault="00B01E0C">
      <w:pPr>
        <w:tabs>
          <w:tab w:val="left" w:pos="450"/>
        </w:tabs>
        <w:spacing w:before="35"/>
        <w:ind w:left="168"/>
        <w:rPr>
          <w:rFonts w:ascii="Trebuchet MS"/>
          <w:sz w:val="17"/>
          <w:lang w:val="uk-UA"/>
        </w:rPr>
      </w:pPr>
      <w:r w:rsidRPr="003C6DAE">
        <w:rPr>
          <w:rFonts w:ascii="Trebuchet MS"/>
          <w:spacing w:val="-10"/>
          <w:w w:val="95"/>
          <w:sz w:val="17"/>
          <w:lang w:val="uk-UA"/>
        </w:rPr>
        <w:t>2</w:t>
      </w:r>
      <w:r w:rsidRPr="003C6DAE">
        <w:rPr>
          <w:rFonts w:ascii="Trebuchet MS"/>
          <w:sz w:val="17"/>
          <w:lang w:val="uk-UA"/>
        </w:rPr>
        <w:tab/>
      </w:r>
      <w:r w:rsidRPr="003C6DAE">
        <w:rPr>
          <w:rFonts w:ascii="Trebuchet MS"/>
          <w:spacing w:val="-5"/>
          <w:w w:val="95"/>
          <w:sz w:val="17"/>
          <w:lang w:val="uk-UA"/>
        </w:rPr>
        <w:t>29</w:t>
      </w:r>
    </w:p>
    <w:p w14:paraId="20FC598B" w14:textId="77777777" w:rsidR="00E05B98" w:rsidRPr="003C6DAE" w:rsidRDefault="00B01E0C">
      <w:pPr>
        <w:tabs>
          <w:tab w:val="left" w:pos="450"/>
        </w:tabs>
        <w:spacing w:before="35"/>
        <w:ind w:left="168"/>
        <w:rPr>
          <w:rFonts w:ascii="Trebuchet MS"/>
          <w:sz w:val="17"/>
          <w:lang w:val="uk-UA"/>
        </w:rPr>
      </w:pPr>
      <w:r w:rsidRPr="003C6DAE">
        <w:rPr>
          <w:rFonts w:ascii="Trebuchet MS"/>
          <w:spacing w:val="-10"/>
          <w:w w:val="95"/>
          <w:sz w:val="17"/>
          <w:lang w:val="uk-UA"/>
        </w:rPr>
        <w:t>3</w:t>
      </w:r>
      <w:r w:rsidRPr="003C6DAE">
        <w:rPr>
          <w:rFonts w:ascii="Trebuchet MS"/>
          <w:sz w:val="17"/>
          <w:lang w:val="uk-UA"/>
        </w:rPr>
        <w:tab/>
      </w:r>
      <w:r w:rsidRPr="003C6DAE">
        <w:rPr>
          <w:rFonts w:ascii="Trebuchet MS"/>
          <w:spacing w:val="-5"/>
          <w:w w:val="95"/>
          <w:sz w:val="17"/>
          <w:lang w:val="uk-UA"/>
        </w:rPr>
        <w:t>17</w:t>
      </w:r>
    </w:p>
    <w:p w14:paraId="0C04001E" w14:textId="77777777" w:rsidR="00E05B98" w:rsidRPr="003C6DAE" w:rsidRDefault="00B01E0C">
      <w:pPr>
        <w:spacing w:before="35"/>
        <w:ind w:left="168"/>
        <w:rPr>
          <w:rFonts w:ascii="Trebuchet MS"/>
          <w:sz w:val="17"/>
          <w:lang w:val="uk-UA"/>
        </w:rPr>
      </w:pPr>
      <w:r w:rsidRPr="003C6DAE">
        <w:rPr>
          <w:rFonts w:ascii="Trebuchet MS"/>
          <w:w w:val="95"/>
          <w:sz w:val="17"/>
          <w:lang w:val="uk-UA"/>
        </w:rPr>
        <w:t>7</w:t>
      </w:r>
      <w:r w:rsidRPr="003C6DAE">
        <w:rPr>
          <w:rFonts w:ascii="Trebuchet MS"/>
          <w:spacing w:val="64"/>
          <w:sz w:val="17"/>
          <w:lang w:val="uk-UA"/>
        </w:rPr>
        <w:t xml:space="preserve"> </w:t>
      </w:r>
      <w:r w:rsidRPr="003C6DAE">
        <w:rPr>
          <w:rFonts w:ascii="Trebuchet MS"/>
          <w:spacing w:val="-5"/>
          <w:w w:val="90"/>
          <w:sz w:val="17"/>
          <w:lang w:val="uk-UA"/>
        </w:rPr>
        <w:t>250</w:t>
      </w:r>
    </w:p>
    <w:p w14:paraId="1085317A" w14:textId="77777777" w:rsidR="00E05B98" w:rsidRPr="003C6DAE" w:rsidRDefault="00B01E0C">
      <w:pPr>
        <w:tabs>
          <w:tab w:val="left" w:pos="450"/>
        </w:tabs>
        <w:spacing w:before="35"/>
        <w:ind w:left="168"/>
        <w:rPr>
          <w:rFonts w:ascii="Trebuchet MS"/>
          <w:sz w:val="17"/>
          <w:lang w:val="uk-UA"/>
        </w:rPr>
      </w:pPr>
      <w:r w:rsidRPr="003C6DAE">
        <w:rPr>
          <w:rFonts w:ascii="Trebuchet MS"/>
          <w:spacing w:val="-10"/>
          <w:w w:val="95"/>
          <w:sz w:val="17"/>
          <w:lang w:val="uk-UA"/>
        </w:rPr>
        <w:t>1</w:t>
      </w:r>
      <w:r w:rsidRPr="003C6DAE">
        <w:rPr>
          <w:rFonts w:ascii="Trebuchet MS"/>
          <w:sz w:val="17"/>
          <w:lang w:val="uk-UA"/>
        </w:rPr>
        <w:tab/>
      </w:r>
      <w:r w:rsidRPr="003C6DAE">
        <w:rPr>
          <w:rFonts w:ascii="Trebuchet MS"/>
          <w:spacing w:val="-5"/>
          <w:w w:val="95"/>
          <w:sz w:val="17"/>
          <w:lang w:val="uk-UA"/>
        </w:rPr>
        <w:t>58</w:t>
      </w:r>
    </w:p>
    <w:p w14:paraId="60C7E019" w14:textId="77777777" w:rsidR="00E05B98" w:rsidRPr="003C6DAE" w:rsidRDefault="00B01E0C">
      <w:pPr>
        <w:tabs>
          <w:tab w:val="left" w:pos="531"/>
        </w:tabs>
        <w:spacing w:before="35"/>
        <w:ind w:left="168"/>
        <w:rPr>
          <w:rFonts w:ascii="Trebuchet MS"/>
          <w:sz w:val="17"/>
          <w:lang w:val="uk-UA"/>
        </w:rPr>
      </w:pPr>
      <w:r w:rsidRPr="003C6DAE">
        <w:rPr>
          <w:rFonts w:ascii="Trebuchet MS"/>
          <w:spacing w:val="-10"/>
          <w:w w:val="95"/>
          <w:sz w:val="17"/>
          <w:lang w:val="uk-UA"/>
        </w:rPr>
        <w:t>1</w:t>
      </w:r>
      <w:r w:rsidRPr="003C6DAE">
        <w:rPr>
          <w:rFonts w:ascii="Trebuchet MS"/>
          <w:sz w:val="17"/>
          <w:lang w:val="uk-UA"/>
        </w:rPr>
        <w:tab/>
      </w:r>
      <w:r w:rsidRPr="003C6DAE">
        <w:rPr>
          <w:rFonts w:ascii="Trebuchet MS"/>
          <w:spacing w:val="-10"/>
          <w:w w:val="95"/>
          <w:sz w:val="17"/>
          <w:lang w:val="uk-UA"/>
        </w:rPr>
        <w:t>3</w:t>
      </w:r>
    </w:p>
    <w:p w14:paraId="6EED038F" w14:textId="77777777" w:rsidR="00E05B98" w:rsidRPr="003C6DAE" w:rsidRDefault="00B01E0C">
      <w:pPr>
        <w:spacing w:before="35"/>
        <w:ind w:left="168"/>
        <w:rPr>
          <w:rFonts w:ascii="Trebuchet MS"/>
          <w:sz w:val="17"/>
          <w:lang w:val="uk-UA"/>
        </w:rPr>
      </w:pPr>
      <w:r w:rsidRPr="003C6DAE">
        <w:rPr>
          <w:rFonts w:ascii="Trebuchet MS"/>
          <w:w w:val="95"/>
          <w:sz w:val="17"/>
          <w:lang w:val="uk-UA"/>
        </w:rPr>
        <w:t>3</w:t>
      </w:r>
      <w:r w:rsidRPr="003C6DAE">
        <w:rPr>
          <w:rFonts w:ascii="Trebuchet MS"/>
          <w:spacing w:val="64"/>
          <w:sz w:val="17"/>
          <w:lang w:val="uk-UA"/>
        </w:rPr>
        <w:t xml:space="preserve"> </w:t>
      </w:r>
      <w:r w:rsidRPr="003C6DAE">
        <w:rPr>
          <w:rFonts w:ascii="Trebuchet MS"/>
          <w:spacing w:val="-5"/>
          <w:w w:val="90"/>
          <w:sz w:val="17"/>
          <w:lang w:val="uk-UA"/>
        </w:rPr>
        <w:t>181</w:t>
      </w:r>
    </w:p>
    <w:p w14:paraId="15AE750B" w14:textId="77777777" w:rsidR="00E05B98" w:rsidRPr="003C6DAE" w:rsidRDefault="00B01E0C">
      <w:pPr>
        <w:tabs>
          <w:tab w:val="left" w:pos="450"/>
        </w:tabs>
        <w:spacing w:before="36"/>
        <w:ind w:left="168"/>
        <w:rPr>
          <w:rFonts w:ascii="Trebuchet MS"/>
          <w:sz w:val="17"/>
          <w:lang w:val="uk-UA"/>
        </w:rPr>
      </w:pPr>
      <w:r w:rsidRPr="003C6DAE">
        <w:rPr>
          <w:rFonts w:ascii="Trebuchet MS"/>
          <w:spacing w:val="-10"/>
          <w:w w:val="95"/>
          <w:sz w:val="17"/>
          <w:lang w:val="uk-UA"/>
        </w:rPr>
        <w:t>1</w:t>
      </w:r>
      <w:r w:rsidRPr="003C6DAE">
        <w:rPr>
          <w:rFonts w:ascii="Trebuchet MS"/>
          <w:sz w:val="17"/>
          <w:lang w:val="uk-UA"/>
        </w:rPr>
        <w:tab/>
      </w:r>
      <w:r w:rsidRPr="003C6DAE">
        <w:rPr>
          <w:rFonts w:ascii="Trebuchet MS"/>
          <w:spacing w:val="-5"/>
          <w:w w:val="95"/>
          <w:sz w:val="17"/>
          <w:lang w:val="uk-UA"/>
        </w:rPr>
        <w:t>37</w:t>
      </w:r>
    </w:p>
    <w:p w14:paraId="60CCF6A5" w14:textId="77777777" w:rsidR="00E05B98" w:rsidRPr="003C6DAE" w:rsidRDefault="00B01E0C">
      <w:pPr>
        <w:tabs>
          <w:tab w:val="left" w:pos="450"/>
        </w:tabs>
        <w:spacing w:before="35"/>
        <w:ind w:left="168"/>
        <w:rPr>
          <w:rFonts w:ascii="Trebuchet MS"/>
          <w:sz w:val="17"/>
          <w:lang w:val="uk-UA"/>
        </w:rPr>
      </w:pPr>
      <w:r w:rsidRPr="003C6DAE">
        <w:rPr>
          <w:rFonts w:ascii="Trebuchet MS"/>
          <w:spacing w:val="-10"/>
          <w:w w:val="95"/>
          <w:sz w:val="17"/>
          <w:lang w:val="uk-UA"/>
        </w:rPr>
        <w:t>2</w:t>
      </w:r>
      <w:r w:rsidRPr="003C6DAE">
        <w:rPr>
          <w:rFonts w:ascii="Trebuchet MS"/>
          <w:sz w:val="17"/>
          <w:lang w:val="uk-UA"/>
        </w:rPr>
        <w:tab/>
      </w:r>
      <w:r w:rsidRPr="003C6DAE">
        <w:rPr>
          <w:rFonts w:ascii="Trebuchet MS"/>
          <w:spacing w:val="-5"/>
          <w:w w:val="95"/>
          <w:sz w:val="17"/>
          <w:lang w:val="uk-UA"/>
        </w:rPr>
        <w:t>29</w:t>
      </w:r>
    </w:p>
    <w:p w14:paraId="321EF501" w14:textId="77777777" w:rsidR="00E05B98" w:rsidRPr="003C6DAE" w:rsidRDefault="00B01E0C">
      <w:pPr>
        <w:tabs>
          <w:tab w:val="left" w:pos="450"/>
        </w:tabs>
        <w:spacing w:before="35"/>
        <w:ind w:left="168"/>
        <w:rPr>
          <w:rFonts w:ascii="Trebuchet MS"/>
          <w:sz w:val="17"/>
          <w:lang w:val="uk-UA"/>
        </w:rPr>
      </w:pPr>
      <w:r w:rsidRPr="003C6DAE">
        <w:rPr>
          <w:rFonts w:ascii="Trebuchet MS"/>
          <w:spacing w:val="-10"/>
          <w:w w:val="95"/>
          <w:sz w:val="17"/>
          <w:lang w:val="uk-UA"/>
        </w:rPr>
        <w:t>2</w:t>
      </w:r>
      <w:r w:rsidRPr="003C6DAE">
        <w:rPr>
          <w:rFonts w:ascii="Trebuchet MS"/>
          <w:sz w:val="17"/>
          <w:lang w:val="uk-UA"/>
        </w:rPr>
        <w:tab/>
      </w:r>
      <w:r w:rsidRPr="003C6DAE">
        <w:rPr>
          <w:rFonts w:ascii="Trebuchet MS"/>
          <w:spacing w:val="-5"/>
          <w:w w:val="95"/>
          <w:sz w:val="17"/>
          <w:lang w:val="uk-UA"/>
        </w:rPr>
        <w:t>54</w:t>
      </w:r>
    </w:p>
    <w:p w14:paraId="68A9F1C4" w14:textId="1D958BF1" w:rsidR="00E05B98" w:rsidRPr="003C6DAE" w:rsidRDefault="00B01E0C" w:rsidP="00CD655F">
      <w:pPr>
        <w:spacing w:before="194" w:line="302" w:lineRule="auto"/>
        <w:ind w:left="142"/>
        <w:jc w:val="center"/>
        <w:rPr>
          <w:rFonts w:ascii="Trebuchet MS"/>
          <w:sz w:val="17"/>
          <w:lang w:val="uk-UA"/>
        </w:rPr>
      </w:pPr>
      <w:r w:rsidRPr="003C6DAE">
        <w:rPr>
          <w:lang w:val="uk-UA"/>
        </w:rPr>
        <w:br w:type="column"/>
      </w:r>
      <w:r w:rsidR="00CD655F" w:rsidRPr="003C6DAE">
        <w:rPr>
          <w:rFonts w:ascii="Trebuchet MS"/>
          <w:color w:val="333333"/>
          <w:w w:val="80"/>
          <w:sz w:val="17"/>
          <w:lang w:val="uk-UA"/>
        </w:rPr>
        <w:t>Чутливість</w:t>
      </w:r>
      <w:r w:rsidRPr="003C6DAE">
        <w:rPr>
          <w:rFonts w:ascii="Trebuchet MS"/>
          <w:color w:val="333333"/>
          <w:sz w:val="17"/>
          <w:lang w:val="uk-UA"/>
        </w:rPr>
        <w:t xml:space="preserve"> </w:t>
      </w:r>
      <w:r w:rsidRPr="003C6DAE">
        <w:rPr>
          <w:rFonts w:ascii="Trebuchet MS"/>
          <w:color w:val="333333"/>
          <w:w w:val="80"/>
          <w:sz w:val="17"/>
          <w:lang w:val="uk-UA"/>
        </w:rPr>
        <w:t>(95%</w:t>
      </w:r>
      <w:r w:rsidRPr="003C6DAE">
        <w:rPr>
          <w:rFonts w:ascii="Trebuchet MS"/>
          <w:color w:val="333333"/>
          <w:sz w:val="17"/>
          <w:lang w:val="uk-UA"/>
        </w:rPr>
        <w:t xml:space="preserve"> </w:t>
      </w:r>
      <w:r w:rsidR="00CD655F" w:rsidRPr="003C6DAE">
        <w:rPr>
          <w:rFonts w:ascii="Trebuchet MS"/>
          <w:color w:val="333333"/>
          <w:w w:val="80"/>
          <w:sz w:val="17"/>
          <w:lang w:val="uk-UA"/>
        </w:rPr>
        <w:t>ДІ</w:t>
      </w:r>
      <w:r w:rsidRPr="003C6DAE">
        <w:rPr>
          <w:rFonts w:ascii="Trebuchet MS"/>
          <w:color w:val="333333"/>
          <w:w w:val="80"/>
          <w:sz w:val="17"/>
          <w:lang w:val="uk-UA"/>
        </w:rPr>
        <w:t xml:space="preserve">) </w:t>
      </w:r>
      <w:r w:rsidR="00CD655F" w:rsidRPr="003C6DAE">
        <w:rPr>
          <w:rFonts w:ascii="Trebuchet MS"/>
          <w:w w:val="85"/>
          <w:sz w:val="14"/>
          <w:szCs w:val="14"/>
          <w:lang w:val="uk-UA"/>
        </w:rPr>
        <w:t>Не</w:t>
      </w:r>
      <w:r w:rsidR="00CD655F" w:rsidRPr="003C6DAE">
        <w:rPr>
          <w:rFonts w:ascii="Trebuchet MS"/>
          <w:w w:val="85"/>
          <w:sz w:val="14"/>
          <w:szCs w:val="14"/>
          <w:lang w:val="uk-UA"/>
        </w:rPr>
        <w:t xml:space="preserve"> </w:t>
      </w:r>
      <w:r w:rsidR="00CD655F" w:rsidRPr="003C6DAE">
        <w:rPr>
          <w:rFonts w:ascii="Trebuchet MS"/>
          <w:w w:val="85"/>
          <w:sz w:val="14"/>
          <w:szCs w:val="14"/>
          <w:lang w:val="uk-UA"/>
        </w:rPr>
        <w:t>підлягає</w:t>
      </w:r>
      <w:r w:rsidR="00CD655F" w:rsidRPr="003C6DAE">
        <w:rPr>
          <w:rFonts w:ascii="Trebuchet MS"/>
          <w:w w:val="85"/>
          <w:sz w:val="14"/>
          <w:szCs w:val="14"/>
          <w:lang w:val="uk-UA"/>
        </w:rPr>
        <w:t xml:space="preserve"> </w:t>
      </w:r>
      <w:r w:rsidR="00CD655F" w:rsidRPr="003C6DAE">
        <w:rPr>
          <w:rFonts w:ascii="Trebuchet MS"/>
          <w:w w:val="85"/>
          <w:sz w:val="14"/>
          <w:szCs w:val="14"/>
          <w:lang w:val="uk-UA"/>
        </w:rPr>
        <w:t>оцінці</w:t>
      </w:r>
      <w:r w:rsidRPr="003C6DAE">
        <w:rPr>
          <w:rFonts w:ascii="Trebuchet MS"/>
          <w:w w:val="85"/>
          <w:sz w:val="14"/>
          <w:szCs w:val="14"/>
          <w:lang w:val="uk-UA"/>
        </w:rPr>
        <w:t xml:space="preserve"> </w:t>
      </w:r>
      <w:r w:rsidR="00CD655F" w:rsidRPr="003C6DAE">
        <w:rPr>
          <w:rFonts w:ascii="Trebuchet MS"/>
          <w:w w:val="85"/>
          <w:sz w:val="14"/>
          <w:szCs w:val="14"/>
          <w:lang w:val="uk-UA"/>
        </w:rPr>
        <w:t xml:space="preserve">           </w:t>
      </w:r>
      <w:r w:rsidR="00CD655F" w:rsidRPr="003C6DAE">
        <w:rPr>
          <w:rFonts w:ascii="Trebuchet MS"/>
          <w:w w:val="85"/>
          <w:sz w:val="14"/>
          <w:szCs w:val="14"/>
          <w:lang w:val="uk-UA"/>
        </w:rPr>
        <w:t>Не</w:t>
      </w:r>
      <w:r w:rsidR="00CD655F" w:rsidRPr="003C6DAE">
        <w:rPr>
          <w:rFonts w:ascii="Trebuchet MS"/>
          <w:w w:val="85"/>
          <w:sz w:val="14"/>
          <w:szCs w:val="14"/>
          <w:lang w:val="uk-UA"/>
        </w:rPr>
        <w:t xml:space="preserve"> </w:t>
      </w:r>
      <w:r w:rsidR="00CD655F" w:rsidRPr="003C6DAE">
        <w:rPr>
          <w:rFonts w:ascii="Trebuchet MS"/>
          <w:w w:val="85"/>
          <w:sz w:val="14"/>
          <w:szCs w:val="14"/>
          <w:lang w:val="uk-UA"/>
        </w:rPr>
        <w:t>підлягає</w:t>
      </w:r>
      <w:r w:rsidR="00CD655F" w:rsidRPr="003C6DAE">
        <w:rPr>
          <w:rFonts w:ascii="Trebuchet MS"/>
          <w:w w:val="85"/>
          <w:sz w:val="14"/>
          <w:szCs w:val="14"/>
          <w:lang w:val="uk-UA"/>
        </w:rPr>
        <w:t xml:space="preserve"> </w:t>
      </w:r>
      <w:r w:rsidR="00CD655F" w:rsidRPr="003C6DAE">
        <w:rPr>
          <w:rFonts w:ascii="Trebuchet MS"/>
          <w:w w:val="85"/>
          <w:sz w:val="14"/>
          <w:szCs w:val="14"/>
          <w:lang w:val="uk-UA"/>
        </w:rPr>
        <w:t>оцінці</w:t>
      </w:r>
    </w:p>
    <w:p w14:paraId="5AACD434" w14:textId="77777777" w:rsidR="00E05B98" w:rsidRPr="003C6DAE" w:rsidRDefault="00B01E0C">
      <w:pPr>
        <w:spacing w:line="179" w:lineRule="exact"/>
        <w:ind w:left="344"/>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[0.29,</w:t>
      </w:r>
      <w:r w:rsidRPr="003C6DAE">
        <w:rPr>
          <w:rFonts w:ascii="Trebuchet MS"/>
          <w:spacing w:val="14"/>
          <w:sz w:val="17"/>
          <w:lang w:val="uk-UA"/>
        </w:rPr>
        <w:t xml:space="preserve"> </w:t>
      </w:r>
      <w:r w:rsidRPr="003C6DAE">
        <w:rPr>
          <w:rFonts w:ascii="Trebuchet MS"/>
          <w:spacing w:val="-2"/>
          <w:w w:val="75"/>
          <w:sz w:val="17"/>
          <w:lang w:val="uk-UA"/>
        </w:rPr>
        <w:t>1.00]</w:t>
      </w:r>
    </w:p>
    <w:p w14:paraId="3355AD3A" w14:textId="77777777" w:rsidR="00E05B98" w:rsidRPr="003C6DAE" w:rsidRDefault="00B01E0C">
      <w:pPr>
        <w:spacing w:before="35"/>
        <w:ind w:left="344"/>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[0.03,</w:t>
      </w:r>
      <w:r w:rsidRPr="003C6DAE">
        <w:rPr>
          <w:rFonts w:ascii="Trebuchet MS"/>
          <w:spacing w:val="14"/>
          <w:sz w:val="17"/>
          <w:lang w:val="uk-UA"/>
        </w:rPr>
        <w:t xml:space="preserve"> </w:t>
      </w:r>
      <w:r w:rsidRPr="003C6DAE">
        <w:rPr>
          <w:rFonts w:ascii="Trebuchet MS"/>
          <w:spacing w:val="-2"/>
          <w:w w:val="75"/>
          <w:sz w:val="17"/>
          <w:lang w:val="uk-UA"/>
        </w:rPr>
        <w:t>1.00]</w:t>
      </w:r>
    </w:p>
    <w:p w14:paraId="78E357D8" w14:textId="77777777" w:rsidR="00E05B98" w:rsidRPr="003C6DAE" w:rsidRDefault="00B01E0C">
      <w:pPr>
        <w:spacing w:before="35"/>
        <w:ind w:left="344"/>
        <w:rPr>
          <w:rFonts w:ascii="Trebuchet MS"/>
          <w:sz w:val="17"/>
          <w:lang w:val="uk-UA"/>
        </w:rPr>
      </w:pPr>
      <w:r w:rsidRPr="003C6DAE">
        <w:rPr>
          <w:rFonts w:ascii="Trebuchet MS"/>
          <w:w w:val="75"/>
          <w:sz w:val="17"/>
          <w:lang w:val="uk-UA"/>
        </w:rPr>
        <w:t>0.96</w:t>
      </w:r>
      <w:r w:rsidRPr="003C6DAE">
        <w:rPr>
          <w:rFonts w:ascii="Trebuchet MS"/>
          <w:spacing w:val="7"/>
          <w:sz w:val="17"/>
          <w:lang w:val="uk-UA"/>
        </w:rPr>
        <w:t xml:space="preserve"> </w:t>
      </w:r>
      <w:r w:rsidRPr="003C6DAE">
        <w:rPr>
          <w:rFonts w:ascii="Trebuchet MS"/>
          <w:w w:val="75"/>
          <w:sz w:val="17"/>
          <w:lang w:val="uk-UA"/>
        </w:rPr>
        <w:t>[0.88,</w:t>
      </w:r>
      <w:r w:rsidRPr="003C6DAE">
        <w:rPr>
          <w:rFonts w:ascii="Trebuchet MS"/>
          <w:spacing w:val="14"/>
          <w:sz w:val="17"/>
          <w:lang w:val="uk-UA"/>
        </w:rPr>
        <w:t xml:space="preserve"> </w:t>
      </w:r>
      <w:r w:rsidRPr="003C6DAE">
        <w:rPr>
          <w:rFonts w:ascii="Trebuchet MS"/>
          <w:spacing w:val="-2"/>
          <w:w w:val="75"/>
          <w:sz w:val="17"/>
          <w:lang w:val="uk-UA"/>
        </w:rPr>
        <w:t>1.00]</w:t>
      </w:r>
    </w:p>
    <w:p w14:paraId="44ADE823" w14:textId="77777777" w:rsidR="00E05B98" w:rsidRPr="003C6DAE" w:rsidRDefault="00B01E0C">
      <w:pPr>
        <w:spacing w:before="35"/>
        <w:ind w:left="344"/>
        <w:rPr>
          <w:rFonts w:ascii="Trebuchet MS"/>
          <w:sz w:val="17"/>
          <w:lang w:val="uk-UA"/>
        </w:rPr>
      </w:pPr>
      <w:r w:rsidRPr="003C6DAE">
        <w:rPr>
          <w:rFonts w:ascii="Trebuchet MS"/>
          <w:w w:val="75"/>
          <w:sz w:val="17"/>
          <w:lang w:val="uk-UA"/>
        </w:rPr>
        <w:t>0.92</w:t>
      </w:r>
      <w:r w:rsidRPr="003C6DAE">
        <w:rPr>
          <w:rFonts w:ascii="Trebuchet MS"/>
          <w:spacing w:val="7"/>
          <w:sz w:val="17"/>
          <w:lang w:val="uk-UA"/>
        </w:rPr>
        <w:t xml:space="preserve"> </w:t>
      </w:r>
      <w:r w:rsidRPr="003C6DAE">
        <w:rPr>
          <w:rFonts w:ascii="Trebuchet MS"/>
          <w:w w:val="75"/>
          <w:sz w:val="17"/>
          <w:lang w:val="uk-UA"/>
        </w:rPr>
        <w:t>[0.79,</w:t>
      </w:r>
      <w:r w:rsidRPr="003C6DAE">
        <w:rPr>
          <w:rFonts w:ascii="Trebuchet MS"/>
          <w:spacing w:val="14"/>
          <w:sz w:val="17"/>
          <w:lang w:val="uk-UA"/>
        </w:rPr>
        <w:t xml:space="preserve"> </w:t>
      </w:r>
      <w:r w:rsidRPr="003C6DAE">
        <w:rPr>
          <w:rFonts w:ascii="Trebuchet MS"/>
          <w:spacing w:val="-2"/>
          <w:w w:val="75"/>
          <w:sz w:val="17"/>
          <w:lang w:val="uk-UA"/>
        </w:rPr>
        <w:t>0.98]</w:t>
      </w:r>
    </w:p>
    <w:p w14:paraId="5EAF6B7E" w14:textId="77777777" w:rsidR="00E05B98" w:rsidRPr="003C6DAE" w:rsidRDefault="00B01E0C">
      <w:pPr>
        <w:spacing w:before="36"/>
        <w:ind w:left="344"/>
        <w:rPr>
          <w:rFonts w:ascii="Trebuchet MS"/>
          <w:sz w:val="17"/>
          <w:lang w:val="uk-UA"/>
        </w:rPr>
      </w:pPr>
      <w:r w:rsidRPr="003C6DAE">
        <w:rPr>
          <w:rFonts w:ascii="Trebuchet MS"/>
          <w:w w:val="75"/>
          <w:sz w:val="17"/>
          <w:lang w:val="uk-UA"/>
        </w:rPr>
        <w:t>0.91</w:t>
      </w:r>
      <w:r w:rsidRPr="003C6DAE">
        <w:rPr>
          <w:rFonts w:ascii="Trebuchet MS"/>
          <w:spacing w:val="7"/>
          <w:sz w:val="17"/>
          <w:lang w:val="uk-UA"/>
        </w:rPr>
        <w:t xml:space="preserve"> </w:t>
      </w:r>
      <w:r w:rsidRPr="003C6DAE">
        <w:rPr>
          <w:rFonts w:ascii="Trebuchet MS"/>
          <w:w w:val="75"/>
          <w:sz w:val="17"/>
          <w:lang w:val="uk-UA"/>
        </w:rPr>
        <w:t>[0.71,</w:t>
      </w:r>
      <w:r w:rsidRPr="003C6DAE">
        <w:rPr>
          <w:rFonts w:ascii="Trebuchet MS"/>
          <w:spacing w:val="14"/>
          <w:sz w:val="17"/>
          <w:lang w:val="uk-UA"/>
        </w:rPr>
        <w:t xml:space="preserve"> </w:t>
      </w:r>
      <w:r w:rsidRPr="003C6DAE">
        <w:rPr>
          <w:rFonts w:ascii="Trebuchet MS"/>
          <w:spacing w:val="-2"/>
          <w:w w:val="75"/>
          <w:sz w:val="17"/>
          <w:lang w:val="uk-UA"/>
        </w:rPr>
        <w:t>0.99]</w:t>
      </w:r>
    </w:p>
    <w:p w14:paraId="0ABBA661" w14:textId="77777777" w:rsidR="00E05B98" w:rsidRPr="003C6DAE" w:rsidRDefault="00B01E0C">
      <w:pPr>
        <w:spacing w:before="35"/>
        <w:ind w:left="344"/>
        <w:rPr>
          <w:rFonts w:ascii="Trebuchet MS"/>
          <w:sz w:val="17"/>
          <w:lang w:val="uk-UA"/>
        </w:rPr>
      </w:pPr>
      <w:r w:rsidRPr="003C6DAE">
        <w:rPr>
          <w:rFonts w:ascii="Trebuchet MS"/>
          <w:w w:val="75"/>
          <w:sz w:val="17"/>
          <w:lang w:val="uk-UA"/>
        </w:rPr>
        <w:t>0.90</w:t>
      </w:r>
      <w:r w:rsidRPr="003C6DAE">
        <w:rPr>
          <w:rFonts w:ascii="Trebuchet MS"/>
          <w:spacing w:val="7"/>
          <w:sz w:val="17"/>
          <w:lang w:val="uk-UA"/>
        </w:rPr>
        <w:t xml:space="preserve"> </w:t>
      </w:r>
      <w:r w:rsidRPr="003C6DAE">
        <w:rPr>
          <w:rFonts w:ascii="Trebuchet MS"/>
          <w:w w:val="75"/>
          <w:sz w:val="17"/>
          <w:lang w:val="uk-UA"/>
        </w:rPr>
        <w:t>[0.55,</w:t>
      </w:r>
      <w:r w:rsidRPr="003C6DAE">
        <w:rPr>
          <w:rFonts w:ascii="Trebuchet MS"/>
          <w:spacing w:val="14"/>
          <w:sz w:val="17"/>
          <w:lang w:val="uk-UA"/>
        </w:rPr>
        <w:t xml:space="preserve"> </w:t>
      </w:r>
      <w:r w:rsidRPr="003C6DAE">
        <w:rPr>
          <w:rFonts w:ascii="Trebuchet MS"/>
          <w:spacing w:val="-2"/>
          <w:w w:val="75"/>
          <w:sz w:val="17"/>
          <w:lang w:val="uk-UA"/>
        </w:rPr>
        <w:t>1.00]</w:t>
      </w:r>
    </w:p>
    <w:p w14:paraId="5BEA9667" w14:textId="77777777" w:rsidR="00E05B98" w:rsidRPr="003C6DAE" w:rsidRDefault="00B01E0C">
      <w:pPr>
        <w:spacing w:before="35"/>
        <w:ind w:left="344"/>
        <w:rPr>
          <w:rFonts w:ascii="Trebuchet MS"/>
          <w:sz w:val="17"/>
          <w:lang w:val="uk-UA"/>
        </w:rPr>
      </w:pPr>
      <w:r w:rsidRPr="003C6DAE">
        <w:rPr>
          <w:rFonts w:ascii="Trebuchet MS"/>
          <w:w w:val="75"/>
          <w:sz w:val="17"/>
          <w:lang w:val="uk-UA"/>
        </w:rPr>
        <w:t>0.89</w:t>
      </w:r>
      <w:r w:rsidRPr="003C6DAE">
        <w:rPr>
          <w:rFonts w:ascii="Trebuchet MS"/>
          <w:spacing w:val="7"/>
          <w:sz w:val="17"/>
          <w:lang w:val="uk-UA"/>
        </w:rPr>
        <w:t xml:space="preserve"> </w:t>
      </w:r>
      <w:r w:rsidRPr="003C6DAE">
        <w:rPr>
          <w:rFonts w:ascii="Trebuchet MS"/>
          <w:w w:val="75"/>
          <w:sz w:val="17"/>
          <w:lang w:val="uk-UA"/>
        </w:rPr>
        <w:t>[0.71,</w:t>
      </w:r>
      <w:r w:rsidRPr="003C6DAE">
        <w:rPr>
          <w:rFonts w:ascii="Trebuchet MS"/>
          <w:spacing w:val="14"/>
          <w:sz w:val="17"/>
          <w:lang w:val="uk-UA"/>
        </w:rPr>
        <w:t xml:space="preserve"> </w:t>
      </w:r>
      <w:r w:rsidRPr="003C6DAE">
        <w:rPr>
          <w:rFonts w:ascii="Trebuchet MS"/>
          <w:spacing w:val="-2"/>
          <w:w w:val="75"/>
          <w:sz w:val="17"/>
          <w:lang w:val="uk-UA"/>
        </w:rPr>
        <w:t>0.98]</w:t>
      </w:r>
    </w:p>
    <w:p w14:paraId="5198CBFA" w14:textId="77777777" w:rsidR="00E05B98" w:rsidRPr="003C6DAE" w:rsidRDefault="00B01E0C">
      <w:pPr>
        <w:spacing w:before="35"/>
        <w:ind w:left="344"/>
        <w:rPr>
          <w:rFonts w:ascii="Trebuchet MS"/>
          <w:sz w:val="17"/>
          <w:lang w:val="uk-UA"/>
        </w:rPr>
      </w:pPr>
      <w:r w:rsidRPr="003C6DAE">
        <w:rPr>
          <w:rFonts w:ascii="Trebuchet MS"/>
          <w:w w:val="75"/>
          <w:sz w:val="17"/>
          <w:lang w:val="uk-UA"/>
        </w:rPr>
        <w:t>0.87</w:t>
      </w:r>
      <w:r w:rsidRPr="003C6DAE">
        <w:rPr>
          <w:rFonts w:ascii="Trebuchet MS"/>
          <w:spacing w:val="7"/>
          <w:sz w:val="17"/>
          <w:lang w:val="uk-UA"/>
        </w:rPr>
        <w:t xml:space="preserve"> </w:t>
      </w:r>
      <w:r w:rsidRPr="003C6DAE">
        <w:rPr>
          <w:rFonts w:ascii="Trebuchet MS"/>
          <w:w w:val="75"/>
          <w:sz w:val="17"/>
          <w:lang w:val="uk-UA"/>
        </w:rPr>
        <w:t>[0.60,</w:t>
      </w:r>
      <w:r w:rsidRPr="003C6DAE">
        <w:rPr>
          <w:rFonts w:ascii="Trebuchet MS"/>
          <w:spacing w:val="14"/>
          <w:sz w:val="17"/>
          <w:lang w:val="uk-UA"/>
        </w:rPr>
        <w:t xml:space="preserve"> </w:t>
      </w:r>
      <w:r w:rsidRPr="003C6DAE">
        <w:rPr>
          <w:rFonts w:ascii="Trebuchet MS"/>
          <w:spacing w:val="-2"/>
          <w:w w:val="75"/>
          <w:sz w:val="17"/>
          <w:lang w:val="uk-UA"/>
        </w:rPr>
        <w:t>0.98]</w:t>
      </w:r>
    </w:p>
    <w:p w14:paraId="6DD61880" w14:textId="77777777" w:rsidR="00E05B98" w:rsidRPr="003C6DAE" w:rsidRDefault="00B01E0C">
      <w:pPr>
        <w:spacing w:before="35"/>
        <w:ind w:left="344"/>
        <w:rPr>
          <w:rFonts w:ascii="Trebuchet MS"/>
          <w:sz w:val="17"/>
          <w:lang w:val="uk-UA"/>
        </w:rPr>
      </w:pPr>
      <w:r w:rsidRPr="003C6DAE">
        <w:rPr>
          <w:rFonts w:ascii="Trebuchet MS"/>
          <w:w w:val="75"/>
          <w:sz w:val="17"/>
          <w:lang w:val="uk-UA"/>
        </w:rPr>
        <w:t>0.86</w:t>
      </w:r>
      <w:r w:rsidRPr="003C6DAE">
        <w:rPr>
          <w:rFonts w:ascii="Trebuchet MS"/>
          <w:spacing w:val="7"/>
          <w:sz w:val="17"/>
          <w:lang w:val="uk-UA"/>
        </w:rPr>
        <w:t xml:space="preserve"> </w:t>
      </w:r>
      <w:r w:rsidRPr="003C6DAE">
        <w:rPr>
          <w:rFonts w:ascii="Trebuchet MS"/>
          <w:w w:val="75"/>
          <w:sz w:val="17"/>
          <w:lang w:val="uk-UA"/>
        </w:rPr>
        <w:t>[0.65,</w:t>
      </w:r>
      <w:r w:rsidRPr="003C6DAE">
        <w:rPr>
          <w:rFonts w:ascii="Trebuchet MS"/>
          <w:spacing w:val="14"/>
          <w:sz w:val="17"/>
          <w:lang w:val="uk-UA"/>
        </w:rPr>
        <w:t xml:space="preserve"> </w:t>
      </w:r>
      <w:r w:rsidRPr="003C6DAE">
        <w:rPr>
          <w:rFonts w:ascii="Trebuchet MS"/>
          <w:spacing w:val="-2"/>
          <w:w w:val="75"/>
          <w:sz w:val="17"/>
          <w:lang w:val="uk-UA"/>
        </w:rPr>
        <w:t>0.97]</w:t>
      </w:r>
    </w:p>
    <w:p w14:paraId="4976C8CE" w14:textId="77777777" w:rsidR="00E05B98" w:rsidRPr="003C6DAE" w:rsidRDefault="00B01E0C">
      <w:pPr>
        <w:spacing w:before="35"/>
        <w:ind w:left="344"/>
        <w:rPr>
          <w:rFonts w:ascii="Trebuchet MS"/>
          <w:sz w:val="17"/>
          <w:lang w:val="uk-UA"/>
        </w:rPr>
      </w:pPr>
      <w:r w:rsidRPr="003C6DAE">
        <w:rPr>
          <w:rFonts w:ascii="Trebuchet MS"/>
          <w:w w:val="75"/>
          <w:sz w:val="17"/>
          <w:lang w:val="uk-UA"/>
        </w:rPr>
        <w:t>0.86</w:t>
      </w:r>
      <w:r w:rsidRPr="003C6DAE">
        <w:rPr>
          <w:rFonts w:ascii="Trebuchet MS"/>
          <w:spacing w:val="7"/>
          <w:sz w:val="17"/>
          <w:lang w:val="uk-UA"/>
        </w:rPr>
        <w:t xml:space="preserve"> </w:t>
      </w:r>
      <w:r w:rsidRPr="003C6DAE">
        <w:rPr>
          <w:rFonts w:ascii="Trebuchet MS"/>
          <w:w w:val="75"/>
          <w:sz w:val="17"/>
          <w:lang w:val="uk-UA"/>
        </w:rPr>
        <w:t>[0.73,</w:t>
      </w:r>
      <w:r w:rsidRPr="003C6DAE">
        <w:rPr>
          <w:rFonts w:ascii="Trebuchet MS"/>
          <w:spacing w:val="14"/>
          <w:sz w:val="17"/>
          <w:lang w:val="uk-UA"/>
        </w:rPr>
        <w:t xml:space="preserve"> </w:t>
      </w:r>
      <w:r w:rsidRPr="003C6DAE">
        <w:rPr>
          <w:rFonts w:ascii="Trebuchet MS"/>
          <w:spacing w:val="-2"/>
          <w:w w:val="75"/>
          <w:sz w:val="17"/>
          <w:lang w:val="uk-UA"/>
        </w:rPr>
        <w:t>0.94]</w:t>
      </w:r>
    </w:p>
    <w:p w14:paraId="6D026CA9" w14:textId="77777777" w:rsidR="00E05B98" w:rsidRPr="003C6DAE" w:rsidRDefault="00B01E0C">
      <w:pPr>
        <w:spacing w:before="35"/>
        <w:ind w:left="344"/>
        <w:rPr>
          <w:rFonts w:ascii="Trebuchet MS"/>
          <w:sz w:val="17"/>
          <w:lang w:val="uk-UA"/>
        </w:rPr>
      </w:pPr>
      <w:r w:rsidRPr="003C6DAE">
        <w:rPr>
          <w:rFonts w:ascii="Trebuchet MS"/>
          <w:w w:val="75"/>
          <w:sz w:val="17"/>
          <w:lang w:val="uk-UA"/>
        </w:rPr>
        <w:t>0.86</w:t>
      </w:r>
      <w:r w:rsidRPr="003C6DAE">
        <w:rPr>
          <w:rFonts w:ascii="Trebuchet MS"/>
          <w:spacing w:val="7"/>
          <w:sz w:val="17"/>
          <w:lang w:val="uk-UA"/>
        </w:rPr>
        <w:t xml:space="preserve"> </w:t>
      </w:r>
      <w:r w:rsidRPr="003C6DAE">
        <w:rPr>
          <w:rFonts w:ascii="Trebuchet MS"/>
          <w:w w:val="75"/>
          <w:sz w:val="17"/>
          <w:lang w:val="uk-UA"/>
        </w:rPr>
        <w:t>[0.42,</w:t>
      </w:r>
      <w:r w:rsidRPr="003C6DAE">
        <w:rPr>
          <w:rFonts w:ascii="Trebuchet MS"/>
          <w:spacing w:val="14"/>
          <w:sz w:val="17"/>
          <w:lang w:val="uk-UA"/>
        </w:rPr>
        <w:t xml:space="preserve"> </w:t>
      </w:r>
      <w:r w:rsidRPr="003C6DAE">
        <w:rPr>
          <w:rFonts w:ascii="Trebuchet MS"/>
          <w:spacing w:val="-2"/>
          <w:w w:val="75"/>
          <w:sz w:val="17"/>
          <w:lang w:val="uk-UA"/>
        </w:rPr>
        <w:t>1.00]</w:t>
      </w:r>
    </w:p>
    <w:p w14:paraId="110F89D5" w14:textId="77777777" w:rsidR="00E05B98" w:rsidRPr="003C6DAE" w:rsidRDefault="00B01E0C">
      <w:pPr>
        <w:spacing w:before="36"/>
        <w:ind w:left="344"/>
        <w:rPr>
          <w:rFonts w:ascii="Trebuchet MS"/>
          <w:sz w:val="17"/>
          <w:lang w:val="uk-UA"/>
        </w:rPr>
      </w:pPr>
      <w:r w:rsidRPr="003C6DAE">
        <w:rPr>
          <w:rFonts w:ascii="Trebuchet MS"/>
          <w:w w:val="75"/>
          <w:sz w:val="17"/>
          <w:lang w:val="uk-UA"/>
        </w:rPr>
        <w:t>0.80</w:t>
      </w:r>
      <w:r w:rsidRPr="003C6DAE">
        <w:rPr>
          <w:rFonts w:ascii="Trebuchet MS"/>
          <w:spacing w:val="7"/>
          <w:sz w:val="17"/>
          <w:lang w:val="uk-UA"/>
        </w:rPr>
        <w:t xml:space="preserve"> </w:t>
      </w:r>
      <w:r w:rsidRPr="003C6DAE">
        <w:rPr>
          <w:rFonts w:ascii="Trebuchet MS"/>
          <w:w w:val="75"/>
          <w:sz w:val="17"/>
          <w:lang w:val="uk-UA"/>
        </w:rPr>
        <w:t>[0.28,</w:t>
      </w:r>
      <w:r w:rsidRPr="003C6DAE">
        <w:rPr>
          <w:rFonts w:ascii="Trebuchet MS"/>
          <w:spacing w:val="14"/>
          <w:sz w:val="17"/>
          <w:lang w:val="uk-UA"/>
        </w:rPr>
        <w:t xml:space="preserve"> </w:t>
      </w:r>
      <w:r w:rsidRPr="003C6DAE">
        <w:rPr>
          <w:rFonts w:ascii="Trebuchet MS"/>
          <w:spacing w:val="-2"/>
          <w:w w:val="75"/>
          <w:sz w:val="17"/>
          <w:lang w:val="uk-UA"/>
        </w:rPr>
        <w:t>0.99]</w:t>
      </w:r>
    </w:p>
    <w:p w14:paraId="1C275C5D" w14:textId="77777777" w:rsidR="00E05B98" w:rsidRPr="003C6DAE" w:rsidRDefault="00B01E0C">
      <w:pPr>
        <w:spacing w:before="35"/>
        <w:ind w:left="344"/>
        <w:rPr>
          <w:rFonts w:ascii="Trebuchet MS"/>
          <w:sz w:val="17"/>
          <w:lang w:val="uk-UA"/>
        </w:rPr>
      </w:pPr>
      <w:r w:rsidRPr="003C6DAE">
        <w:rPr>
          <w:rFonts w:ascii="Trebuchet MS"/>
          <w:w w:val="75"/>
          <w:sz w:val="17"/>
          <w:lang w:val="uk-UA"/>
        </w:rPr>
        <w:t>0.80</w:t>
      </w:r>
      <w:r w:rsidRPr="003C6DAE">
        <w:rPr>
          <w:rFonts w:ascii="Trebuchet MS"/>
          <w:spacing w:val="7"/>
          <w:sz w:val="17"/>
          <w:lang w:val="uk-UA"/>
        </w:rPr>
        <w:t xml:space="preserve"> </w:t>
      </w:r>
      <w:r w:rsidRPr="003C6DAE">
        <w:rPr>
          <w:rFonts w:ascii="Trebuchet MS"/>
          <w:w w:val="75"/>
          <w:sz w:val="17"/>
          <w:lang w:val="uk-UA"/>
        </w:rPr>
        <w:t>[0.52,</w:t>
      </w:r>
      <w:r w:rsidRPr="003C6DAE">
        <w:rPr>
          <w:rFonts w:ascii="Trebuchet MS"/>
          <w:spacing w:val="14"/>
          <w:sz w:val="17"/>
          <w:lang w:val="uk-UA"/>
        </w:rPr>
        <w:t xml:space="preserve"> </w:t>
      </w:r>
      <w:r w:rsidRPr="003C6DAE">
        <w:rPr>
          <w:rFonts w:ascii="Trebuchet MS"/>
          <w:spacing w:val="-2"/>
          <w:w w:val="75"/>
          <w:sz w:val="17"/>
          <w:lang w:val="uk-UA"/>
        </w:rPr>
        <w:t>0.96]</w:t>
      </w:r>
    </w:p>
    <w:p w14:paraId="2D0F272A" w14:textId="77777777" w:rsidR="00E05B98" w:rsidRPr="003C6DAE" w:rsidRDefault="00B01E0C">
      <w:pPr>
        <w:spacing w:before="35"/>
        <w:ind w:left="344"/>
        <w:rPr>
          <w:rFonts w:ascii="Trebuchet MS"/>
          <w:sz w:val="17"/>
          <w:lang w:val="uk-UA"/>
        </w:rPr>
      </w:pPr>
      <w:r w:rsidRPr="003C6DAE">
        <w:rPr>
          <w:rFonts w:ascii="Trebuchet MS"/>
          <w:w w:val="75"/>
          <w:sz w:val="17"/>
          <w:lang w:val="uk-UA"/>
        </w:rPr>
        <w:t>0.75</w:t>
      </w:r>
      <w:r w:rsidRPr="003C6DAE">
        <w:rPr>
          <w:rFonts w:ascii="Trebuchet MS"/>
          <w:spacing w:val="7"/>
          <w:sz w:val="17"/>
          <w:lang w:val="uk-UA"/>
        </w:rPr>
        <w:t xml:space="preserve"> </w:t>
      </w:r>
      <w:r w:rsidRPr="003C6DAE">
        <w:rPr>
          <w:rFonts w:ascii="Trebuchet MS"/>
          <w:w w:val="75"/>
          <w:sz w:val="17"/>
          <w:lang w:val="uk-UA"/>
        </w:rPr>
        <w:t>[0.19,</w:t>
      </w:r>
      <w:r w:rsidRPr="003C6DAE">
        <w:rPr>
          <w:rFonts w:ascii="Trebuchet MS"/>
          <w:spacing w:val="14"/>
          <w:sz w:val="17"/>
          <w:lang w:val="uk-UA"/>
        </w:rPr>
        <w:t xml:space="preserve"> </w:t>
      </w:r>
      <w:r w:rsidRPr="003C6DAE">
        <w:rPr>
          <w:rFonts w:ascii="Trebuchet MS"/>
          <w:spacing w:val="-2"/>
          <w:w w:val="75"/>
          <w:sz w:val="17"/>
          <w:lang w:val="uk-UA"/>
        </w:rPr>
        <w:t>0.99]</w:t>
      </w:r>
    </w:p>
    <w:p w14:paraId="395E45C2" w14:textId="77777777" w:rsidR="00E05B98" w:rsidRPr="003C6DAE" w:rsidRDefault="00B01E0C">
      <w:pPr>
        <w:spacing w:before="35"/>
        <w:ind w:left="344"/>
        <w:rPr>
          <w:rFonts w:ascii="Trebuchet MS"/>
          <w:sz w:val="17"/>
          <w:lang w:val="uk-UA"/>
        </w:rPr>
      </w:pPr>
      <w:r w:rsidRPr="003C6DAE">
        <w:rPr>
          <w:rFonts w:ascii="Trebuchet MS"/>
          <w:w w:val="75"/>
          <w:sz w:val="17"/>
          <w:lang w:val="uk-UA"/>
        </w:rPr>
        <w:t>0.75</w:t>
      </w:r>
      <w:r w:rsidRPr="003C6DAE">
        <w:rPr>
          <w:rFonts w:ascii="Trebuchet MS"/>
          <w:spacing w:val="7"/>
          <w:sz w:val="17"/>
          <w:lang w:val="uk-UA"/>
        </w:rPr>
        <w:t xml:space="preserve"> </w:t>
      </w:r>
      <w:r w:rsidRPr="003C6DAE">
        <w:rPr>
          <w:rFonts w:ascii="Trebuchet MS"/>
          <w:w w:val="75"/>
          <w:sz w:val="17"/>
          <w:lang w:val="uk-UA"/>
        </w:rPr>
        <w:t>[0.35,</w:t>
      </w:r>
      <w:r w:rsidRPr="003C6DAE">
        <w:rPr>
          <w:rFonts w:ascii="Trebuchet MS"/>
          <w:spacing w:val="14"/>
          <w:sz w:val="17"/>
          <w:lang w:val="uk-UA"/>
        </w:rPr>
        <w:t xml:space="preserve"> </w:t>
      </w:r>
      <w:r w:rsidRPr="003C6DAE">
        <w:rPr>
          <w:rFonts w:ascii="Trebuchet MS"/>
          <w:spacing w:val="-2"/>
          <w:w w:val="75"/>
          <w:sz w:val="17"/>
          <w:lang w:val="uk-UA"/>
        </w:rPr>
        <w:t>0.97]</w:t>
      </w:r>
    </w:p>
    <w:p w14:paraId="70A6F299" w14:textId="77777777" w:rsidR="00E05B98" w:rsidRPr="003C6DAE" w:rsidRDefault="00B01E0C">
      <w:pPr>
        <w:spacing w:before="35"/>
        <w:ind w:left="344"/>
        <w:rPr>
          <w:rFonts w:ascii="Trebuchet MS"/>
          <w:sz w:val="17"/>
          <w:lang w:val="uk-UA"/>
        </w:rPr>
      </w:pPr>
      <w:r w:rsidRPr="003C6DAE">
        <w:rPr>
          <w:rFonts w:ascii="Trebuchet MS"/>
          <w:w w:val="75"/>
          <w:sz w:val="17"/>
          <w:lang w:val="uk-UA"/>
        </w:rPr>
        <w:t>0.50</w:t>
      </w:r>
      <w:r w:rsidRPr="003C6DAE">
        <w:rPr>
          <w:rFonts w:ascii="Trebuchet MS"/>
          <w:spacing w:val="7"/>
          <w:sz w:val="17"/>
          <w:lang w:val="uk-UA"/>
        </w:rPr>
        <w:t xml:space="preserve"> </w:t>
      </w:r>
      <w:r w:rsidRPr="003C6DAE">
        <w:rPr>
          <w:rFonts w:ascii="Trebuchet MS"/>
          <w:w w:val="75"/>
          <w:sz w:val="17"/>
          <w:lang w:val="uk-UA"/>
        </w:rPr>
        <w:t>[0.07,</w:t>
      </w:r>
      <w:r w:rsidRPr="003C6DAE">
        <w:rPr>
          <w:rFonts w:ascii="Trebuchet MS"/>
          <w:spacing w:val="14"/>
          <w:sz w:val="17"/>
          <w:lang w:val="uk-UA"/>
        </w:rPr>
        <w:t xml:space="preserve"> </w:t>
      </w:r>
      <w:r w:rsidRPr="003C6DAE">
        <w:rPr>
          <w:rFonts w:ascii="Trebuchet MS"/>
          <w:spacing w:val="-2"/>
          <w:w w:val="75"/>
          <w:sz w:val="17"/>
          <w:lang w:val="uk-UA"/>
        </w:rPr>
        <w:t>0.93]</w:t>
      </w:r>
    </w:p>
    <w:p w14:paraId="4FB5D097" w14:textId="06D9C2E3" w:rsidR="00E05B98" w:rsidRPr="003C6DAE" w:rsidRDefault="00B01E0C" w:rsidP="00CD655F">
      <w:pPr>
        <w:spacing w:before="194"/>
        <w:ind w:left="-142" w:right="-158"/>
        <w:jc w:val="center"/>
        <w:rPr>
          <w:rFonts w:ascii="Trebuchet MS"/>
          <w:sz w:val="17"/>
          <w:lang w:val="uk-UA"/>
        </w:rPr>
      </w:pPr>
      <w:r w:rsidRPr="003C6DAE">
        <w:rPr>
          <w:lang w:val="uk-UA"/>
        </w:rPr>
        <w:br w:type="column"/>
      </w:r>
      <w:r w:rsidR="00CD655F" w:rsidRPr="003C6DAE">
        <w:rPr>
          <w:rFonts w:ascii="Trebuchet MS"/>
          <w:color w:val="333333"/>
          <w:w w:val="80"/>
          <w:sz w:val="17"/>
          <w:lang w:val="uk-UA"/>
        </w:rPr>
        <w:t>Специфічність</w:t>
      </w:r>
      <w:r w:rsidRPr="003C6DAE">
        <w:rPr>
          <w:rFonts w:ascii="Trebuchet MS"/>
          <w:color w:val="333333"/>
          <w:w w:val="80"/>
          <w:sz w:val="17"/>
          <w:lang w:val="uk-UA"/>
        </w:rPr>
        <w:t>(95%</w:t>
      </w:r>
      <w:r w:rsidR="00CD655F" w:rsidRPr="003C6DAE">
        <w:rPr>
          <w:rFonts w:ascii="Trebuchet MS"/>
          <w:color w:val="333333"/>
          <w:w w:val="80"/>
          <w:sz w:val="17"/>
          <w:lang w:val="uk-UA"/>
        </w:rPr>
        <w:t xml:space="preserve"> </w:t>
      </w:r>
      <w:r w:rsidR="00CD655F" w:rsidRPr="003C6DAE">
        <w:rPr>
          <w:rFonts w:ascii="Trebuchet MS"/>
          <w:color w:val="333333"/>
          <w:w w:val="80"/>
          <w:sz w:val="17"/>
          <w:lang w:val="uk-UA"/>
        </w:rPr>
        <w:t>ДІ</w:t>
      </w:r>
      <w:r w:rsidRPr="003C6DAE">
        <w:rPr>
          <w:rFonts w:ascii="Trebuchet MS"/>
          <w:color w:val="333333"/>
          <w:spacing w:val="-5"/>
          <w:w w:val="80"/>
          <w:sz w:val="17"/>
          <w:lang w:val="uk-UA"/>
        </w:rPr>
        <w:t>)</w:t>
      </w:r>
    </w:p>
    <w:p w14:paraId="0D10182F" w14:textId="77777777" w:rsidR="00E05B98" w:rsidRPr="003C6DAE" w:rsidRDefault="00B01E0C">
      <w:pPr>
        <w:spacing w:before="66"/>
        <w:ind w:left="319"/>
        <w:rPr>
          <w:rFonts w:ascii="Trebuchet MS"/>
          <w:sz w:val="17"/>
          <w:lang w:val="uk-UA"/>
        </w:rPr>
      </w:pPr>
      <w:r w:rsidRPr="003C6DAE">
        <w:rPr>
          <w:rFonts w:ascii="Trebuchet MS"/>
          <w:w w:val="75"/>
          <w:sz w:val="17"/>
          <w:lang w:val="uk-UA"/>
        </w:rPr>
        <w:t>0.96</w:t>
      </w:r>
      <w:r w:rsidRPr="003C6DAE">
        <w:rPr>
          <w:rFonts w:ascii="Trebuchet MS"/>
          <w:spacing w:val="7"/>
          <w:sz w:val="17"/>
          <w:lang w:val="uk-UA"/>
        </w:rPr>
        <w:t xml:space="preserve"> </w:t>
      </w:r>
      <w:r w:rsidRPr="003C6DAE">
        <w:rPr>
          <w:rFonts w:ascii="Trebuchet MS"/>
          <w:w w:val="75"/>
          <w:sz w:val="17"/>
          <w:lang w:val="uk-UA"/>
        </w:rPr>
        <w:t>[0.87,</w:t>
      </w:r>
      <w:r w:rsidRPr="003C6DAE">
        <w:rPr>
          <w:rFonts w:ascii="Trebuchet MS"/>
          <w:spacing w:val="14"/>
          <w:sz w:val="17"/>
          <w:lang w:val="uk-UA"/>
        </w:rPr>
        <w:t xml:space="preserve"> </w:t>
      </w:r>
      <w:r w:rsidRPr="003C6DAE">
        <w:rPr>
          <w:rFonts w:ascii="Trebuchet MS"/>
          <w:spacing w:val="-2"/>
          <w:w w:val="75"/>
          <w:sz w:val="17"/>
          <w:lang w:val="uk-UA"/>
        </w:rPr>
        <w:t>1.00]</w:t>
      </w:r>
    </w:p>
    <w:p w14:paraId="3D7C890F" w14:textId="77777777" w:rsidR="00E05B98" w:rsidRPr="003C6DAE" w:rsidRDefault="00B01E0C">
      <w:pPr>
        <w:spacing w:before="35"/>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[0.54,</w:t>
      </w:r>
      <w:r w:rsidRPr="003C6DAE">
        <w:rPr>
          <w:rFonts w:ascii="Trebuchet MS"/>
          <w:spacing w:val="14"/>
          <w:sz w:val="17"/>
          <w:lang w:val="uk-UA"/>
        </w:rPr>
        <w:t xml:space="preserve"> </w:t>
      </w:r>
      <w:r w:rsidRPr="003C6DAE">
        <w:rPr>
          <w:rFonts w:ascii="Trebuchet MS"/>
          <w:spacing w:val="-2"/>
          <w:w w:val="75"/>
          <w:sz w:val="17"/>
          <w:lang w:val="uk-UA"/>
        </w:rPr>
        <w:t>1.00]</w:t>
      </w:r>
    </w:p>
    <w:p w14:paraId="6DA2D0F3" w14:textId="77777777" w:rsidR="00E05B98" w:rsidRPr="003C6DAE" w:rsidRDefault="00B01E0C">
      <w:pPr>
        <w:spacing w:before="35"/>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[0.03,</w:t>
      </w:r>
      <w:r w:rsidRPr="003C6DAE">
        <w:rPr>
          <w:rFonts w:ascii="Trebuchet MS"/>
          <w:spacing w:val="14"/>
          <w:sz w:val="17"/>
          <w:lang w:val="uk-UA"/>
        </w:rPr>
        <w:t xml:space="preserve"> </w:t>
      </w:r>
      <w:r w:rsidRPr="003C6DAE">
        <w:rPr>
          <w:rFonts w:ascii="Trebuchet MS"/>
          <w:spacing w:val="-2"/>
          <w:w w:val="75"/>
          <w:sz w:val="17"/>
          <w:lang w:val="uk-UA"/>
        </w:rPr>
        <w:t>1.00]</w:t>
      </w:r>
    </w:p>
    <w:p w14:paraId="1A36E594" w14:textId="77777777" w:rsidR="00E05B98" w:rsidRPr="003C6DAE" w:rsidRDefault="00B01E0C">
      <w:pPr>
        <w:spacing w:before="35"/>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[0.93,</w:t>
      </w:r>
      <w:r w:rsidRPr="003C6DAE">
        <w:rPr>
          <w:rFonts w:ascii="Trebuchet MS"/>
          <w:spacing w:val="14"/>
          <w:sz w:val="17"/>
          <w:lang w:val="uk-UA"/>
        </w:rPr>
        <w:t xml:space="preserve"> </w:t>
      </w:r>
      <w:r w:rsidRPr="003C6DAE">
        <w:rPr>
          <w:rFonts w:ascii="Trebuchet MS"/>
          <w:spacing w:val="-2"/>
          <w:w w:val="75"/>
          <w:sz w:val="17"/>
          <w:lang w:val="uk-UA"/>
        </w:rPr>
        <w:t>1.00]</w:t>
      </w:r>
    </w:p>
    <w:p w14:paraId="47121670" w14:textId="77777777" w:rsidR="00E05B98" w:rsidRPr="003C6DAE" w:rsidRDefault="00B01E0C">
      <w:pPr>
        <w:spacing w:before="35"/>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[0.98,</w:t>
      </w:r>
      <w:r w:rsidRPr="003C6DAE">
        <w:rPr>
          <w:rFonts w:ascii="Trebuchet MS"/>
          <w:spacing w:val="14"/>
          <w:sz w:val="17"/>
          <w:lang w:val="uk-UA"/>
        </w:rPr>
        <w:t xml:space="preserve"> </w:t>
      </w:r>
      <w:r w:rsidRPr="003C6DAE">
        <w:rPr>
          <w:rFonts w:ascii="Trebuchet MS"/>
          <w:spacing w:val="-2"/>
          <w:w w:val="75"/>
          <w:sz w:val="17"/>
          <w:lang w:val="uk-UA"/>
        </w:rPr>
        <w:t>1.00]</w:t>
      </w:r>
    </w:p>
    <w:p w14:paraId="1BF39EF5" w14:textId="77777777" w:rsidR="00E05B98" w:rsidRPr="003C6DAE" w:rsidRDefault="00B01E0C">
      <w:pPr>
        <w:spacing w:before="35"/>
        <w:ind w:left="319"/>
        <w:rPr>
          <w:rFonts w:ascii="Trebuchet MS"/>
          <w:sz w:val="17"/>
          <w:lang w:val="uk-UA"/>
        </w:rPr>
      </w:pPr>
      <w:r w:rsidRPr="003C6DAE">
        <w:rPr>
          <w:rFonts w:ascii="Trebuchet MS"/>
          <w:w w:val="75"/>
          <w:sz w:val="17"/>
          <w:lang w:val="uk-UA"/>
        </w:rPr>
        <w:t>0.51</w:t>
      </w:r>
      <w:r w:rsidRPr="003C6DAE">
        <w:rPr>
          <w:rFonts w:ascii="Trebuchet MS"/>
          <w:spacing w:val="7"/>
          <w:sz w:val="17"/>
          <w:lang w:val="uk-UA"/>
        </w:rPr>
        <w:t xml:space="preserve"> </w:t>
      </w:r>
      <w:r w:rsidRPr="003C6DAE">
        <w:rPr>
          <w:rFonts w:ascii="Trebuchet MS"/>
          <w:w w:val="75"/>
          <w:sz w:val="17"/>
          <w:lang w:val="uk-UA"/>
        </w:rPr>
        <w:t>[0.40,</w:t>
      </w:r>
      <w:r w:rsidRPr="003C6DAE">
        <w:rPr>
          <w:rFonts w:ascii="Trebuchet MS"/>
          <w:spacing w:val="14"/>
          <w:sz w:val="17"/>
          <w:lang w:val="uk-UA"/>
        </w:rPr>
        <w:t xml:space="preserve"> </w:t>
      </w:r>
      <w:r w:rsidRPr="003C6DAE">
        <w:rPr>
          <w:rFonts w:ascii="Trebuchet MS"/>
          <w:spacing w:val="-2"/>
          <w:w w:val="75"/>
          <w:sz w:val="17"/>
          <w:lang w:val="uk-UA"/>
        </w:rPr>
        <w:t>0.63]</w:t>
      </w:r>
    </w:p>
    <w:p w14:paraId="6C25CF6E" w14:textId="77777777" w:rsidR="00E05B98" w:rsidRPr="003C6DAE" w:rsidRDefault="00B01E0C">
      <w:pPr>
        <w:spacing w:before="35"/>
        <w:ind w:left="319"/>
        <w:rPr>
          <w:rFonts w:ascii="Trebuchet MS"/>
          <w:sz w:val="17"/>
          <w:lang w:val="uk-UA"/>
        </w:rPr>
      </w:pPr>
      <w:r w:rsidRPr="003C6DAE">
        <w:rPr>
          <w:rFonts w:ascii="Trebuchet MS"/>
          <w:w w:val="75"/>
          <w:sz w:val="17"/>
          <w:lang w:val="uk-UA"/>
        </w:rPr>
        <w:t>0.94</w:t>
      </w:r>
      <w:r w:rsidRPr="003C6DAE">
        <w:rPr>
          <w:rFonts w:ascii="Trebuchet MS"/>
          <w:spacing w:val="7"/>
          <w:sz w:val="17"/>
          <w:lang w:val="uk-UA"/>
        </w:rPr>
        <w:t xml:space="preserve"> </w:t>
      </w:r>
      <w:r w:rsidRPr="003C6DAE">
        <w:rPr>
          <w:rFonts w:ascii="Trebuchet MS"/>
          <w:w w:val="75"/>
          <w:sz w:val="17"/>
          <w:lang w:val="uk-UA"/>
        </w:rPr>
        <w:t>[0.85,</w:t>
      </w:r>
      <w:r w:rsidRPr="003C6DAE">
        <w:rPr>
          <w:rFonts w:ascii="Trebuchet MS"/>
          <w:spacing w:val="14"/>
          <w:sz w:val="17"/>
          <w:lang w:val="uk-UA"/>
        </w:rPr>
        <w:t xml:space="preserve"> </w:t>
      </w:r>
      <w:r w:rsidRPr="003C6DAE">
        <w:rPr>
          <w:rFonts w:ascii="Trebuchet MS"/>
          <w:spacing w:val="-2"/>
          <w:w w:val="75"/>
          <w:sz w:val="17"/>
          <w:lang w:val="uk-UA"/>
        </w:rPr>
        <w:t>0.98]</w:t>
      </w:r>
    </w:p>
    <w:p w14:paraId="0193922C" w14:textId="77777777" w:rsidR="00E05B98" w:rsidRPr="003C6DAE" w:rsidRDefault="00B01E0C">
      <w:pPr>
        <w:spacing w:before="36"/>
        <w:ind w:left="319"/>
        <w:rPr>
          <w:rFonts w:ascii="Trebuchet MS"/>
          <w:sz w:val="17"/>
          <w:lang w:val="uk-UA"/>
        </w:rPr>
      </w:pPr>
      <w:r w:rsidRPr="003C6DAE">
        <w:rPr>
          <w:rFonts w:ascii="Trebuchet MS"/>
          <w:w w:val="75"/>
          <w:sz w:val="17"/>
          <w:lang w:val="uk-UA"/>
        </w:rPr>
        <w:t>0.90</w:t>
      </w:r>
      <w:r w:rsidRPr="003C6DAE">
        <w:rPr>
          <w:rFonts w:ascii="Trebuchet MS"/>
          <w:spacing w:val="7"/>
          <w:sz w:val="17"/>
          <w:lang w:val="uk-UA"/>
        </w:rPr>
        <w:t xml:space="preserve"> </w:t>
      </w:r>
      <w:r w:rsidRPr="003C6DAE">
        <w:rPr>
          <w:rFonts w:ascii="Trebuchet MS"/>
          <w:w w:val="75"/>
          <w:sz w:val="17"/>
          <w:lang w:val="uk-UA"/>
        </w:rPr>
        <w:t>[0.83,</w:t>
      </w:r>
      <w:r w:rsidRPr="003C6DAE">
        <w:rPr>
          <w:rFonts w:ascii="Trebuchet MS"/>
          <w:spacing w:val="14"/>
          <w:sz w:val="17"/>
          <w:lang w:val="uk-UA"/>
        </w:rPr>
        <w:t xml:space="preserve"> </w:t>
      </w:r>
      <w:r w:rsidRPr="003C6DAE">
        <w:rPr>
          <w:rFonts w:ascii="Trebuchet MS"/>
          <w:spacing w:val="-2"/>
          <w:w w:val="75"/>
          <w:sz w:val="17"/>
          <w:lang w:val="uk-UA"/>
        </w:rPr>
        <w:t>0.95]</w:t>
      </w:r>
    </w:p>
    <w:p w14:paraId="155B41FB" w14:textId="77777777" w:rsidR="00E05B98" w:rsidRPr="003C6DAE" w:rsidRDefault="00B01E0C">
      <w:pPr>
        <w:spacing w:before="35"/>
        <w:ind w:left="319"/>
        <w:rPr>
          <w:rFonts w:ascii="Trebuchet MS"/>
          <w:sz w:val="17"/>
          <w:lang w:val="uk-UA"/>
        </w:rPr>
      </w:pPr>
      <w:r w:rsidRPr="003C6DAE">
        <w:rPr>
          <w:rFonts w:ascii="Trebuchet MS"/>
          <w:w w:val="75"/>
          <w:sz w:val="17"/>
          <w:lang w:val="uk-UA"/>
        </w:rPr>
        <w:t>0.92</w:t>
      </w:r>
      <w:r w:rsidRPr="003C6DAE">
        <w:rPr>
          <w:rFonts w:ascii="Trebuchet MS"/>
          <w:spacing w:val="7"/>
          <w:sz w:val="17"/>
          <w:lang w:val="uk-UA"/>
        </w:rPr>
        <w:t xml:space="preserve"> </w:t>
      </w:r>
      <w:r w:rsidRPr="003C6DAE">
        <w:rPr>
          <w:rFonts w:ascii="Trebuchet MS"/>
          <w:w w:val="75"/>
          <w:sz w:val="17"/>
          <w:lang w:val="uk-UA"/>
        </w:rPr>
        <w:t>[0.86,</w:t>
      </w:r>
      <w:r w:rsidRPr="003C6DAE">
        <w:rPr>
          <w:rFonts w:ascii="Trebuchet MS"/>
          <w:spacing w:val="14"/>
          <w:sz w:val="17"/>
          <w:lang w:val="uk-UA"/>
        </w:rPr>
        <w:t xml:space="preserve"> </w:t>
      </w:r>
      <w:r w:rsidRPr="003C6DAE">
        <w:rPr>
          <w:rFonts w:ascii="Trebuchet MS"/>
          <w:spacing w:val="-2"/>
          <w:w w:val="75"/>
          <w:sz w:val="17"/>
          <w:lang w:val="uk-UA"/>
        </w:rPr>
        <w:t>0.95]</w:t>
      </w:r>
    </w:p>
    <w:p w14:paraId="68FF032A" w14:textId="77777777" w:rsidR="00E05B98" w:rsidRPr="003C6DAE" w:rsidRDefault="00B01E0C">
      <w:pPr>
        <w:spacing w:before="35"/>
        <w:ind w:left="319"/>
        <w:rPr>
          <w:rFonts w:ascii="Trebuchet MS"/>
          <w:sz w:val="17"/>
          <w:lang w:val="uk-UA"/>
        </w:rPr>
      </w:pPr>
      <w:r w:rsidRPr="003C6DAE">
        <w:rPr>
          <w:rFonts w:ascii="Trebuchet MS"/>
          <w:w w:val="75"/>
          <w:sz w:val="17"/>
          <w:lang w:val="uk-UA"/>
        </w:rPr>
        <w:t>0.88</w:t>
      </w:r>
      <w:r w:rsidRPr="003C6DAE">
        <w:rPr>
          <w:rFonts w:ascii="Trebuchet MS"/>
          <w:spacing w:val="7"/>
          <w:sz w:val="17"/>
          <w:lang w:val="uk-UA"/>
        </w:rPr>
        <w:t xml:space="preserve"> </w:t>
      </w:r>
      <w:r w:rsidRPr="003C6DAE">
        <w:rPr>
          <w:rFonts w:ascii="Trebuchet MS"/>
          <w:w w:val="75"/>
          <w:sz w:val="17"/>
          <w:lang w:val="uk-UA"/>
        </w:rPr>
        <w:t>[0.72,</w:t>
      </w:r>
      <w:r w:rsidRPr="003C6DAE">
        <w:rPr>
          <w:rFonts w:ascii="Trebuchet MS"/>
          <w:spacing w:val="14"/>
          <w:sz w:val="17"/>
          <w:lang w:val="uk-UA"/>
        </w:rPr>
        <w:t xml:space="preserve"> </w:t>
      </w:r>
      <w:r w:rsidRPr="003C6DAE">
        <w:rPr>
          <w:rFonts w:ascii="Trebuchet MS"/>
          <w:spacing w:val="-2"/>
          <w:w w:val="75"/>
          <w:sz w:val="17"/>
          <w:lang w:val="uk-UA"/>
        </w:rPr>
        <w:t>0.97]</w:t>
      </w:r>
    </w:p>
    <w:p w14:paraId="1A294474" w14:textId="77777777" w:rsidR="00E05B98" w:rsidRPr="003C6DAE" w:rsidRDefault="00B01E0C">
      <w:pPr>
        <w:spacing w:before="35"/>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[0.80,</w:t>
      </w:r>
      <w:r w:rsidRPr="003C6DAE">
        <w:rPr>
          <w:rFonts w:ascii="Trebuchet MS"/>
          <w:spacing w:val="14"/>
          <w:sz w:val="17"/>
          <w:lang w:val="uk-UA"/>
        </w:rPr>
        <w:t xml:space="preserve"> </w:t>
      </w:r>
      <w:r w:rsidRPr="003C6DAE">
        <w:rPr>
          <w:rFonts w:ascii="Trebuchet MS"/>
          <w:spacing w:val="-2"/>
          <w:w w:val="75"/>
          <w:sz w:val="17"/>
          <w:lang w:val="uk-UA"/>
        </w:rPr>
        <w:t>1.00]</w:t>
      </w:r>
    </w:p>
    <w:p w14:paraId="3C33DE5F" w14:textId="77777777" w:rsidR="00E05B98" w:rsidRPr="003C6DAE" w:rsidRDefault="00B01E0C">
      <w:pPr>
        <w:spacing w:before="35"/>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[0.99,</w:t>
      </w:r>
      <w:r w:rsidRPr="003C6DAE">
        <w:rPr>
          <w:rFonts w:ascii="Trebuchet MS"/>
          <w:spacing w:val="14"/>
          <w:sz w:val="17"/>
          <w:lang w:val="uk-UA"/>
        </w:rPr>
        <w:t xml:space="preserve"> </w:t>
      </w:r>
      <w:r w:rsidRPr="003C6DAE">
        <w:rPr>
          <w:rFonts w:ascii="Trebuchet MS"/>
          <w:spacing w:val="-2"/>
          <w:w w:val="75"/>
          <w:sz w:val="17"/>
          <w:lang w:val="uk-UA"/>
        </w:rPr>
        <w:t>1.00]</w:t>
      </w:r>
    </w:p>
    <w:p w14:paraId="2CE6C040" w14:textId="77777777" w:rsidR="00E05B98" w:rsidRPr="003C6DAE" w:rsidRDefault="00B01E0C">
      <w:pPr>
        <w:spacing w:before="35"/>
        <w:ind w:left="319"/>
        <w:rPr>
          <w:rFonts w:ascii="Trebuchet MS"/>
          <w:sz w:val="17"/>
          <w:lang w:val="uk-UA"/>
        </w:rPr>
      </w:pPr>
      <w:r w:rsidRPr="003C6DAE">
        <w:rPr>
          <w:rFonts w:ascii="Trebuchet MS"/>
          <w:w w:val="75"/>
          <w:sz w:val="17"/>
          <w:lang w:val="uk-UA"/>
        </w:rPr>
        <w:t>0.75</w:t>
      </w:r>
      <w:r w:rsidRPr="003C6DAE">
        <w:rPr>
          <w:rFonts w:ascii="Trebuchet MS"/>
          <w:spacing w:val="7"/>
          <w:sz w:val="17"/>
          <w:lang w:val="uk-UA"/>
        </w:rPr>
        <w:t xml:space="preserve"> </w:t>
      </w:r>
      <w:r w:rsidRPr="003C6DAE">
        <w:rPr>
          <w:rFonts w:ascii="Trebuchet MS"/>
          <w:w w:val="75"/>
          <w:sz w:val="17"/>
          <w:lang w:val="uk-UA"/>
        </w:rPr>
        <w:t>[0.64,</w:t>
      </w:r>
      <w:r w:rsidRPr="003C6DAE">
        <w:rPr>
          <w:rFonts w:ascii="Trebuchet MS"/>
          <w:spacing w:val="14"/>
          <w:sz w:val="17"/>
          <w:lang w:val="uk-UA"/>
        </w:rPr>
        <w:t xml:space="preserve"> </w:t>
      </w:r>
      <w:r w:rsidRPr="003C6DAE">
        <w:rPr>
          <w:rFonts w:ascii="Trebuchet MS"/>
          <w:spacing w:val="-2"/>
          <w:w w:val="75"/>
          <w:sz w:val="17"/>
          <w:lang w:val="uk-UA"/>
        </w:rPr>
        <w:t>0.84]</w:t>
      </w:r>
    </w:p>
    <w:p w14:paraId="2B6A13A5" w14:textId="77777777" w:rsidR="00E05B98" w:rsidRPr="003C6DAE" w:rsidRDefault="00B01E0C">
      <w:pPr>
        <w:spacing w:before="35"/>
        <w:ind w:left="319"/>
        <w:rPr>
          <w:rFonts w:ascii="Trebuchet MS"/>
          <w:sz w:val="17"/>
          <w:lang w:val="uk-UA"/>
        </w:rPr>
      </w:pPr>
      <w:r w:rsidRPr="003C6DAE">
        <w:rPr>
          <w:rFonts w:ascii="Trebuchet MS"/>
          <w:w w:val="75"/>
          <w:sz w:val="17"/>
          <w:lang w:val="uk-UA"/>
        </w:rPr>
        <w:t>0.50</w:t>
      </w:r>
      <w:r w:rsidRPr="003C6DAE">
        <w:rPr>
          <w:rFonts w:ascii="Trebuchet MS"/>
          <w:spacing w:val="7"/>
          <w:sz w:val="17"/>
          <w:lang w:val="uk-UA"/>
        </w:rPr>
        <w:t xml:space="preserve"> </w:t>
      </w:r>
      <w:r w:rsidRPr="003C6DAE">
        <w:rPr>
          <w:rFonts w:ascii="Trebuchet MS"/>
          <w:w w:val="75"/>
          <w:sz w:val="17"/>
          <w:lang w:val="uk-UA"/>
        </w:rPr>
        <w:t>[0.12,</w:t>
      </w:r>
      <w:r w:rsidRPr="003C6DAE">
        <w:rPr>
          <w:rFonts w:ascii="Trebuchet MS"/>
          <w:spacing w:val="14"/>
          <w:sz w:val="17"/>
          <w:lang w:val="uk-UA"/>
        </w:rPr>
        <w:t xml:space="preserve"> </w:t>
      </w:r>
      <w:r w:rsidRPr="003C6DAE">
        <w:rPr>
          <w:rFonts w:ascii="Trebuchet MS"/>
          <w:spacing w:val="-2"/>
          <w:w w:val="75"/>
          <w:sz w:val="17"/>
          <w:lang w:val="uk-UA"/>
        </w:rPr>
        <w:t>0.88]</w:t>
      </w:r>
    </w:p>
    <w:p w14:paraId="1F8063DB" w14:textId="77777777" w:rsidR="00E05B98" w:rsidRPr="003C6DAE" w:rsidRDefault="00B01E0C">
      <w:pPr>
        <w:spacing w:before="35"/>
        <w:ind w:left="319"/>
        <w:rPr>
          <w:rFonts w:ascii="Trebuchet MS"/>
          <w:sz w:val="17"/>
          <w:lang w:val="uk-UA"/>
        </w:rPr>
      </w:pPr>
      <w:r w:rsidRPr="003C6DAE">
        <w:rPr>
          <w:rFonts w:ascii="Trebuchet MS"/>
          <w:w w:val="75"/>
          <w:sz w:val="17"/>
          <w:lang w:val="uk-UA"/>
        </w:rPr>
        <w:t>0.96</w:t>
      </w:r>
      <w:r w:rsidRPr="003C6DAE">
        <w:rPr>
          <w:rFonts w:ascii="Trebuchet MS"/>
          <w:spacing w:val="7"/>
          <w:sz w:val="17"/>
          <w:lang w:val="uk-UA"/>
        </w:rPr>
        <w:t xml:space="preserve"> </w:t>
      </w:r>
      <w:r w:rsidRPr="003C6DAE">
        <w:rPr>
          <w:rFonts w:ascii="Trebuchet MS"/>
          <w:w w:val="75"/>
          <w:sz w:val="17"/>
          <w:lang w:val="uk-UA"/>
        </w:rPr>
        <w:t>[0.92,</w:t>
      </w:r>
      <w:r w:rsidRPr="003C6DAE">
        <w:rPr>
          <w:rFonts w:ascii="Trebuchet MS"/>
          <w:spacing w:val="14"/>
          <w:sz w:val="17"/>
          <w:lang w:val="uk-UA"/>
        </w:rPr>
        <w:t xml:space="preserve"> </w:t>
      </w:r>
      <w:r w:rsidRPr="003C6DAE">
        <w:rPr>
          <w:rFonts w:ascii="Trebuchet MS"/>
          <w:spacing w:val="-2"/>
          <w:w w:val="75"/>
          <w:sz w:val="17"/>
          <w:lang w:val="uk-UA"/>
        </w:rPr>
        <w:t>0.98]</w:t>
      </w:r>
    </w:p>
    <w:p w14:paraId="1B8383E8" w14:textId="77777777" w:rsidR="00E05B98" w:rsidRPr="003C6DAE" w:rsidRDefault="00B01E0C">
      <w:pPr>
        <w:spacing w:before="36"/>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[0.91,</w:t>
      </w:r>
      <w:r w:rsidRPr="003C6DAE">
        <w:rPr>
          <w:rFonts w:ascii="Trebuchet MS"/>
          <w:spacing w:val="14"/>
          <w:sz w:val="17"/>
          <w:lang w:val="uk-UA"/>
        </w:rPr>
        <w:t xml:space="preserve"> </w:t>
      </w:r>
      <w:r w:rsidRPr="003C6DAE">
        <w:rPr>
          <w:rFonts w:ascii="Trebuchet MS"/>
          <w:spacing w:val="-2"/>
          <w:w w:val="75"/>
          <w:sz w:val="17"/>
          <w:lang w:val="uk-UA"/>
        </w:rPr>
        <w:t>1.00]</w:t>
      </w:r>
    </w:p>
    <w:p w14:paraId="1F68095D" w14:textId="77777777" w:rsidR="00E05B98" w:rsidRPr="003C6DAE" w:rsidRDefault="00B01E0C">
      <w:pPr>
        <w:spacing w:before="35"/>
        <w:ind w:left="319"/>
        <w:rPr>
          <w:rFonts w:ascii="Trebuchet MS"/>
          <w:sz w:val="17"/>
          <w:lang w:val="uk-UA"/>
        </w:rPr>
      </w:pPr>
      <w:r w:rsidRPr="003C6DAE">
        <w:rPr>
          <w:rFonts w:ascii="Trebuchet MS"/>
          <w:w w:val="75"/>
          <w:sz w:val="17"/>
          <w:lang w:val="uk-UA"/>
        </w:rPr>
        <w:t>0.97</w:t>
      </w:r>
      <w:r w:rsidRPr="003C6DAE">
        <w:rPr>
          <w:rFonts w:ascii="Trebuchet MS"/>
          <w:spacing w:val="7"/>
          <w:sz w:val="17"/>
          <w:lang w:val="uk-UA"/>
        </w:rPr>
        <w:t xml:space="preserve"> </w:t>
      </w:r>
      <w:r w:rsidRPr="003C6DAE">
        <w:rPr>
          <w:rFonts w:ascii="Trebuchet MS"/>
          <w:w w:val="75"/>
          <w:sz w:val="17"/>
          <w:lang w:val="uk-UA"/>
        </w:rPr>
        <w:t>[0.83,</w:t>
      </w:r>
      <w:r w:rsidRPr="003C6DAE">
        <w:rPr>
          <w:rFonts w:ascii="Trebuchet MS"/>
          <w:spacing w:val="14"/>
          <w:sz w:val="17"/>
          <w:lang w:val="uk-UA"/>
        </w:rPr>
        <w:t xml:space="preserve"> </w:t>
      </w:r>
      <w:r w:rsidRPr="003C6DAE">
        <w:rPr>
          <w:rFonts w:ascii="Trebuchet MS"/>
          <w:spacing w:val="-2"/>
          <w:w w:val="75"/>
          <w:sz w:val="17"/>
          <w:lang w:val="uk-UA"/>
        </w:rPr>
        <w:t>1.00]</w:t>
      </w:r>
    </w:p>
    <w:p w14:paraId="753C0375" w14:textId="77777777" w:rsidR="00E05B98" w:rsidRPr="003C6DAE" w:rsidRDefault="00B01E0C">
      <w:pPr>
        <w:spacing w:before="35"/>
        <w:ind w:left="319"/>
        <w:rPr>
          <w:rFonts w:ascii="Trebuchet MS"/>
          <w:sz w:val="17"/>
          <w:lang w:val="uk-UA"/>
        </w:rPr>
      </w:pPr>
      <w:r w:rsidRPr="003C6DAE">
        <w:rPr>
          <w:rFonts w:ascii="Trebuchet MS"/>
          <w:w w:val="75"/>
          <w:sz w:val="17"/>
          <w:lang w:val="uk-UA"/>
        </w:rPr>
        <w:t>0.68</w:t>
      </w:r>
      <w:r w:rsidRPr="003C6DAE">
        <w:rPr>
          <w:rFonts w:ascii="Trebuchet MS"/>
          <w:spacing w:val="7"/>
          <w:sz w:val="17"/>
          <w:lang w:val="uk-UA"/>
        </w:rPr>
        <w:t xml:space="preserve"> </w:t>
      </w:r>
      <w:r w:rsidRPr="003C6DAE">
        <w:rPr>
          <w:rFonts w:ascii="Trebuchet MS"/>
          <w:w w:val="75"/>
          <w:sz w:val="17"/>
          <w:lang w:val="uk-UA"/>
        </w:rPr>
        <w:t>[0.56,</w:t>
      </w:r>
      <w:r w:rsidRPr="003C6DAE">
        <w:rPr>
          <w:rFonts w:ascii="Trebuchet MS"/>
          <w:spacing w:val="14"/>
          <w:sz w:val="17"/>
          <w:lang w:val="uk-UA"/>
        </w:rPr>
        <w:t xml:space="preserve"> </w:t>
      </w:r>
      <w:r w:rsidRPr="003C6DAE">
        <w:rPr>
          <w:rFonts w:ascii="Trebuchet MS"/>
          <w:spacing w:val="-2"/>
          <w:w w:val="75"/>
          <w:sz w:val="17"/>
          <w:lang w:val="uk-UA"/>
        </w:rPr>
        <w:t>0.78]</w:t>
      </w:r>
    </w:p>
    <w:p w14:paraId="1A5D9512" w14:textId="1776FF87" w:rsidR="00E05B98" w:rsidRPr="003C6DAE" w:rsidRDefault="00B01E0C">
      <w:pPr>
        <w:spacing w:before="194"/>
        <w:ind w:left="98"/>
        <w:rPr>
          <w:rFonts w:ascii="Trebuchet MS"/>
          <w:sz w:val="17"/>
          <w:lang w:val="uk-UA"/>
        </w:rPr>
      </w:pPr>
      <w:r w:rsidRPr="003C6DAE">
        <w:rPr>
          <w:lang w:val="uk-UA"/>
        </w:rPr>
        <w:br w:type="column"/>
      </w:r>
      <w:r w:rsidR="00CD655F" w:rsidRPr="003C6DAE">
        <w:rPr>
          <w:rFonts w:ascii="Trebuchet MS"/>
          <w:color w:val="333333"/>
          <w:w w:val="80"/>
          <w:sz w:val="17"/>
          <w:lang w:val="uk-UA"/>
        </w:rPr>
        <w:t>Чутливість</w:t>
      </w:r>
      <w:r w:rsidRPr="003C6DAE">
        <w:rPr>
          <w:rFonts w:ascii="Trebuchet MS"/>
          <w:color w:val="333333"/>
          <w:spacing w:val="21"/>
          <w:sz w:val="17"/>
          <w:lang w:val="uk-UA"/>
        </w:rPr>
        <w:t xml:space="preserve"> </w:t>
      </w:r>
      <w:r w:rsidRPr="003C6DAE">
        <w:rPr>
          <w:rFonts w:ascii="Trebuchet MS"/>
          <w:color w:val="333333"/>
          <w:w w:val="80"/>
          <w:sz w:val="17"/>
          <w:lang w:val="uk-UA"/>
        </w:rPr>
        <w:t>(95%</w:t>
      </w:r>
      <w:r w:rsidRPr="003C6DAE">
        <w:rPr>
          <w:rFonts w:ascii="Trebuchet MS"/>
          <w:color w:val="333333"/>
          <w:spacing w:val="25"/>
          <w:sz w:val="17"/>
          <w:lang w:val="uk-UA"/>
        </w:rPr>
        <w:t xml:space="preserve"> </w:t>
      </w:r>
      <w:r w:rsidR="00CD655F" w:rsidRPr="003C6DAE">
        <w:rPr>
          <w:rFonts w:ascii="Trebuchet MS"/>
          <w:color w:val="333333"/>
          <w:w w:val="80"/>
          <w:sz w:val="17"/>
          <w:lang w:val="uk-UA"/>
        </w:rPr>
        <w:t>ДІ</w:t>
      </w:r>
      <w:r w:rsidRPr="003C6DAE">
        <w:rPr>
          <w:rFonts w:ascii="Trebuchet MS"/>
          <w:color w:val="333333"/>
          <w:spacing w:val="-5"/>
          <w:w w:val="80"/>
          <w:sz w:val="17"/>
          <w:lang w:val="uk-UA"/>
        </w:rPr>
        <w:t>)</w:t>
      </w:r>
    </w:p>
    <w:p w14:paraId="132C86DE" w14:textId="77777777" w:rsidR="00E05B98" w:rsidRPr="003C6DAE" w:rsidRDefault="00E05B98">
      <w:pPr>
        <w:pStyle w:val="a3"/>
        <w:rPr>
          <w:rFonts w:ascii="Trebuchet MS"/>
          <w:sz w:val="20"/>
          <w:lang w:val="uk-UA"/>
        </w:rPr>
      </w:pPr>
    </w:p>
    <w:p w14:paraId="2E3EB663" w14:textId="77777777" w:rsidR="00E05B98" w:rsidRPr="003C6DAE" w:rsidRDefault="00E05B98">
      <w:pPr>
        <w:pStyle w:val="a3"/>
        <w:rPr>
          <w:rFonts w:ascii="Trebuchet MS"/>
          <w:sz w:val="20"/>
          <w:lang w:val="uk-UA"/>
        </w:rPr>
      </w:pPr>
    </w:p>
    <w:p w14:paraId="36E7AF3C" w14:textId="77777777" w:rsidR="00E05B98" w:rsidRPr="003C6DAE" w:rsidRDefault="00E05B98">
      <w:pPr>
        <w:pStyle w:val="a3"/>
        <w:rPr>
          <w:rFonts w:ascii="Trebuchet MS"/>
          <w:sz w:val="20"/>
          <w:lang w:val="uk-UA"/>
        </w:rPr>
      </w:pPr>
    </w:p>
    <w:p w14:paraId="713A5E45" w14:textId="77777777" w:rsidR="00E05B98" w:rsidRPr="003C6DAE" w:rsidRDefault="00E05B98">
      <w:pPr>
        <w:pStyle w:val="a3"/>
        <w:spacing w:before="80"/>
        <w:rPr>
          <w:rFonts w:ascii="Trebuchet MS"/>
          <w:sz w:val="20"/>
          <w:lang w:val="uk-UA"/>
        </w:rPr>
      </w:pPr>
    </w:p>
    <w:p w14:paraId="673F7639" w14:textId="77777777" w:rsidR="00E05B98" w:rsidRPr="003C6DAE" w:rsidRDefault="00B01E0C">
      <w:pPr>
        <w:pStyle w:val="a3"/>
        <w:spacing w:line="101" w:lineRule="exact"/>
        <w:ind w:left="1279" w:right="-72"/>
        <w:rPr>
          <w:rFonts w:ascii="Trebuchet MS"/>
          <w:position w:val="-1"/>
          <w:sz w:val="10"/>
          <w:lang w:val="uk-UA"/>
        </w:rPr>
      </w:pPr>
      <w:r w:rsidRPr="003C6DAE">
        <w:rPr>
          <w:rFonts w:ascii="Trebuchet MS"/>
          <w:noProof/>
          <w:position w:val="-1"/>
          <w:sz w:val="10"/>
          <w:lang w:val="uk-UA"/>
        </w:rPr>
        <mc:AlternateContent>
          <mc:Choice Requires="wpg">
            <w:drawing>
              <wp:inline distT="0" distB="0" distL="0" distR="0" wp14:anchorId="2D269223" wp14:editId="3BC11D29">
                <wp:extent cx="111760" cy="64769"/>
                <wp:effectExtent l="9525" t="0" r="0" b="1905"/>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64769"/>
                          <a:chOff x="0" y="0"/>
                          <a:chExt cx="111760" cy="64769"/>
                        </a:xfrm>
                      </wpg:grpSpPr>
                      <wps:wsp>
                        <wps:cNvPr id="486" name="Graphic 486"/>
                        <wps:cNvSpPr/>
                        <wps:spPr>
                          <a:xfrm>
                            <a:off x="0" y="27684"/>
                            <a:ext cx="57785" cy="1270"/>
                          </a:xfrm>
                          <a:custGeom>
                            <a:avLst/>
                            <a:gdLst/>
                            <a:ahLst/>
                            <a:cxnLst/>
                            <a:rect l="l" t="t" r="r" b="b"/>
                            <a:pathLst>
                              <a:path w="57785">
                                <a:moveTo>
                                  <a:pt x="0" y="0"/>
                                </a:moveTo>
                                <a:lnTo>
                                  <a:pt x="57677" y="0"/>
                                </a:lnTo>
                              </a:path>
                            </a:pathLst>
                          </a:custGeom>
                          <a:ln w="9228">
                            <a:solidFill>
                              <a:srgbClr val="000000"/>
                            </a:solidFill>
                            <a:prstDash val="solid"/>
                          </a:ln>
                        </wps:spPr>
                        <wps:bodyPr wrap="square" lIns="0" tIns="0" rIns="0" bIns="0" rtlCol="0">
                          <a:prstTxWarp prst="textNoShape">
                            <a:avLst/>
                          </a:prstTxWarp>
                          <a:noAutofit/>
                        </wps:bodyPr>
                      </wps:wsp>
                      <wps:wsp>
                        <wps:cNvPr id="487" name="Graphic 487"/>
                        <wps:cNvSpPr/>
                        <wps:spPr>
                          <a:xfrm>
                            <a:off x="57677"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7C980FB4" id="Group 485" o:spid="_x0000_s1026" style="width:8.8pt;height:5.1pt;mso-position-horizontal-relative:char;mso-position-vertical-relative:line" coordsize="11176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">
                <v:shape id="Graphic 486" o:spid="_x0000_s1027" style="position:absolute;top:27684;width:57785;height:1270;visibility:visible;mso-wrap-style:square;v-text-anchor:top" coordsize="57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" path="m,l57677,e" filled="f" strokeweight=".25633mm">
                  <v:path arrowok="t"/>
                </v:shape>
                <v:shape id="Graphic 487" o:spid="_x0000_s1028" style="position:absolute;left:57677;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" path="m53831,64598l,64598,,,53831,r,64598xe" fillcolor="#0000c0" stroked="f">
                  <v:path arrowok="t"/>
                </v:shape>
                <w10:anchorlock/>
              </v:group>
            </w:pict>
          </mc:Fallback>
        </mc:AlternateContent>
      </w:r>
    </w:p>
    <w:p w14:paraId="08A75DF9" w14:textId="77777777" w:rsidR="00E05B98" w:rsidRPr="003C6DAE" w:rsidRDefault="00E05B98">
      <w:pPr>
        <w:pStyle w:val="a3"/>
        <w:spacing w:before="3"/>
        <w:rPr>
          <w:rFonts w:ascii="Trebuchet MS"/>
          <w:sz w:val="11"/>
          <w:lang w:val="uk-UA"/>
        </w:rPr>
      </w:pPr>
    </w:p>
    <w:p w14:paraId="17CCD733" w14:textId="77777777" w:rsidR="00E05B98" w:rsidRPr="003C6DAE" w:rsidRDefault="00B01E0C">
      <w:pPr>
        <w:pStyle w:val="a3"/>
        <w:spacing w:line="101" w:lineRule="exact"/>
        <w:ind w:left="1147" w:right="-72"/>
        <w:rPr>
          <w:rFonts w:ascii="Trebuchet MS"/>
          <w:position w:val="-1"/>
          <w:sz w:val="10"/>
          <w:lang w:val="uk-UA"/>
        </w:rPr>
      </w:pPr>
      <w:r w:rsidRPr="003C6DAE">
        <w:rPr>
          <w:rFonts w:ascii="Trebuchet MS"/>
          <w:noProof/>
          <w:position w:val="-1"/>
          <w:sz w:val="10"/>
          <w:lang w:val="uk-UA"/>
        </w:rPr>
        <mc:AlternateContent>
          <mc:Choice Requires="wpg">
            <w:drawing>
              <wp:inline distT="0" distB="0" distL="0" distR="0" wp14:anchorId="7A887C91" wp14:editId="611FBC3D">
                <wp:extent cx="182880" cy="64769"/>
                <wp:effectExtent l="9525" t="0" r="0" b="1905"/>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64769"/>
                          <a:chOff x="0" y="0"/>
                          <a:chExt cx="182880" cy="64769"/>
                        </a:xfrm>
                      </wpg:grpSpPr>
                      <wps:wsp>
                        <wps:cNvPr id="489" name="Graphic 489"/>
                        <wps:cNvSpPr/>
                        <wps:spPr>
                          <a:xfrm>
                            <a:off x="0" y="27685"/>
                            <a:ext cx="182880" cy="1270"/>
                          </a:xfrm>
                          <a:custGeom>
                            <a:avLst/>
                            <a:gdLst/>
                            <a:ahLst/>
                            <a:cxnLst/>
                            <a:rect l="l" t="t" r="r" b="b"/>
                            <a:pathLst>
                              <a:path w="182880">
                                <a:moveTo>
                                  <a:pt x="0" y="0"/>
                                </a:moveTo>
                                <a:lnTo>
                                  <a:pt x="101512" y="0"/>
                                </a:lnTo>
                              </a:path>
                              <a:path w="182880">
                                <a:moveTo>
                                  <a:pt x="155343" y="0"/>
                                </a:moveTo>
                                <a:lnTo>
                                  <a:pt x="182259" y="0"/>
                                </a:lnTo>
                              </a:path>
                            </a:pathLst>
                          </a:custGeom>
                          <a:ln w="9228">
                            <a:solidFill>
                              <a:srgbClr val="000000"/>
                            </a:solidFill>
                            <a:prstDash val="solid"/>
                          </a:ln>
                        </wps:spPr>
                        <wps:bodyPr wrap="square" lIns="0" tIns="0" rIns="0" bIns="0" rtlCol="0">
                          <a:prstTxWarp prst="textNoShape">
                            <a:avLst/>
                          </a:prstTxWarp>
                          <a:noAutofit/>
                        </wps:bodyPr>
                      </wps:wsp>
                      <wps:wsp>
                        <wps:cNvPr id="490" name="Graphic 490"/>
                        <wps:cNvSpPr/>
                        <wps:spPr>
                          <a:xfrm>
                            <a:off x="101512" y="0"/>
                            <a:ext cx="53975" cy="64769"/>
                          </a:xfrm>
                          <a:custGeom>
                            <a:avLst/>
                            <a:gdLst/>
                            <a:ahLst/>
                            <a:cxnLst/>
                            <a:rect l="l" t="t" r="r" b="b"/>
                            <a:pathLst>
                              <a:path w="53975" h="64769">
                                <a:moveTo>
                                  <a:pt x="53831" y="64599"/>
                                </a:moveTo>
                                <a:lnTo>
                                  <a:pt x="0" y="64599"/>
                                </a:lnTo>
                                <a:lnTo>
                                  <a:pt x="0" y="0"/>
                                </a:lnTo>
                                <a:lnTo>
                                  <a:pt x="53831" y="0"/>
                                </a:lnTo>
                                <a:lnTo>
                                  <a:pt x="53831" y="64599"/>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6913A430" id="Group 488" o:spid="_x0000_s1026" style="width:14.4pt;height:5.1pt;mso-position-horizontal-relative:char;mso-position-vertical-relative:line" coordsize="18288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">
                <v:shape id="Graphic 489" o:spid="_x0000_s1027" style="position:absolute;top:27685;width:182880;height:1270;visibility:visible;mso-wrap-style:square;v-text-anchor:top" coordsize="18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" path="m,l101512,em155343,r26916,e" filled="f" strokeweight=".25633mm">
                  <v:path arrowok="t"/>
                </v:shape>
                <v:shape id="Graphic 490" o:spid="_x0000_s1028" style="position:absolute;left:101512;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" path="m53831,64599l,64599,,,53831,r,64599xe" fillcolor="#0000c0" stroked="f">
                  <v:path arrowok="t"/>
                </v:shape>
                <w10:anchorlock/>
              </v:group>
            </w:pict>
          </mc:Fallback>
        </mc:AlternateContent>
      </w:r>
    </w:p>
    <w:p w14:paraId="28688CC8" w14:textId="77777777" w:rsidR="00E05B98" w:rsidRPr="003C6DAE" w:rsidRDefault="00E05B98">
      <w:pPr>
        <w:pStyle w:val="a3"/>
        <w:spacing w:before="3" w:after="1"/>
        <w:rPr>
          <w:rFonts w:ascii="Trebuchet MS"/>
          <w:sz w:val="11"/>
          <w:lang w:val="uk-UA"/>
        </w:rPr>
      </w:pPr>
    </w:p>
    <w:p w14:paraId="4DED928C" w14:textId="77777777" w:rsidR="00E05B98" w:rsidRPr="003C6DAE" w:rsidRDefault="00B01E0C">
      <w:pPr>
        <w:pStyle w:val="a3"/>
        <w:spacing w:line="101" w:lineRule="exact"/>
        <w:ind w:left="1035" w:right="-72"/>
        <w:rPr>
          <w:rFonts w:ascii="Trebuchet MS"/>
          <w:position w:val="-1"/>
          <w:sz w:val="10"/>
          <w:lang w:val="uk-UA"/>
        </w:rPr>
      </w:pPr>
      <w:r w:rsidRPr="003C6DAE">
        <w:rPr>
          <w:rFonts w:ascii="Trebuchet MS"/>
          <w:noProof/>
          <w:position w:val="-1"/>
          <w:sz w:val="10"/>
          <w:lang w:val="uk-UA"/>
        </w:rPr>
        <mc:AlternateContent>
          <mc:Choice Requires="wpg">
            <w:drawing>
              <wp:inline distT="0" distB="0" distL="0" distR="0" wp14:anchorId="198549DA" wp14:editId="296EF3EF">
                <wp:extent cx="259079" cy="64769"/>
                <wp:effectExtent l="9525" t="0" r="0" b="1905"/>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79" cy="64769"/>
                          <a:chOff x="0" y="0"/>
                          <a:chExt cx="259079" cy="64769"/>
                        </a:xfrm>
                      </wpg:grpSpPr>
                      <wps:wsp>
                        <wps:cNvPr id="492" name="Graphic 492"/>
                        <wps:cNvSpPr/>
                        <wps:spPr>
                          <a:xfrm>
                            <a:off x="0" y="27685"/>
                            <a:ext cx="259079" cy="1270"/>
                          </a:xfrm>
                          <a:custGeom>
                            <a:avLst/>
                            <a:gdLst/>
                            <a:ahLst/>
                            <a:cxnLst/>
                            <a:rect l="l" t="t" r="r" b="b"/>
                            <a:pathLst>
                              <a:path w="259079">
                                <a:moveTo>
                                  <a:pt x="0" y="0"/>
                                </a:moveTo>
                                <a:lnTo>
                                  <a:pt x="161880" y="0"/>
                                </a:lnTo>
                              </a:path>
                              <a:path w="259079">
                                <a:moveTo>
                                  <a:pt x="215712" y="0"/>
                                </a:moveTo>
                                <a:lnTo>
                                  <a:pt x="258777" y="0"/>
                                </a:lnTo>
                              </a:path>
                            </a:pathLst>
                          </a:custGeom>
                          <a:ln w="9228">
                            <a:solidFill>
                              <a:srgbClr val="000000"/>
                            </a:solidFill>
                            <a:prstDash val="solid"/>
                          </a:ln>
                        </wps:spPr>
                        <wps:bodyPr wrap="square" lIns="0" tIns="0" rIns="0" bIns="0" rtlCol="0">
                          <a:prstTxWarp prst="textNoShape">
                            <a:avLst/>
                          </a:prstTxWarp>
                          <a:noAutofit/>
                        </wps:bodyPr>
                      </wps:wsp>
                      <wps:wsp>
                        <wps:cNvPr id="493" name="Graphic 493"/>
                        <wps:cNvSpPr/>
                        <wps:spPr>
                          <a:xfrm>
                            <a:off x="161880"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4B7D209E" id="Group 491" o:spid="_x0000_s1026" style="width:20.4pt;height:5.1pt;mso-position-horizontal-relative:char;mso-position-vertical-relative:line" coordsize="259079,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">
                <v:shape id="Graphic 492" o:spid="_x0000_s1027" style="position:absolute;top:27685;width:259079;height:1270;visibility:visible;mso-wrap-style:square;v-text-anchor:top" coordsize="2590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" path="m,l161880,em215712,r43065,e" filled="f" strokeweight=".25633mm">
                  <v:path arrowok="t"/>
                </v:shape>
                <v:shape id="Graphic 493" o:spid="_x0000_s1028" style="position:absolute;left:161880;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" path="m53831,64598l,64598,,,53831,r,64598xe" fillcolor="#0000c0" stroked="f">
                  <v:path arrowok="t"/>
                </v:shape>
                <w10:anchorlock/>
              </v:group>
            </w:pict>
          </mc:Fallback>
        </mc:AlternateContent>
      </w:r>
    </w:p>
    <w:p w14:paraId="2E1BE00C" w14:textId="77777777" w:rsidR="00E05B98" w:rsidRPr="003C6DAE" w:rsidRDefault="00E05B98">
      <w:pPr>
        <w:pStyle w:val="a3"/>
        <w:spacing w:before="3" w:after="1"/>
        <w:rPr>
          <w:rFonts w:ascii="Trebuchet MS"/>
          <w:sz w:val="11"/>
          <w:lang w:val="uk-UA"/>
        </w:rPr>
      </w:pPr>
    </w:p>
    <w:p w14:paraId="7E6F085E" w14:textId="77777777" w:rsidR="00E05B98" w:rsidRPr="003C6DAE" w:rsidRDefault="00B01E0C">
      <w:pPr>
        <w:pStyle w:val="a3"/>
        <w:spacing w:line="101" w:lineRule="exact"/>
        <w:ind w:left="811" w:right="-72"/>
        <w:rPr>
          <w:rFonts w:ascii="Trebuchet MS"/>
          <w:position w:val="-1"/>
          <w:sz w:val="10"/>
          <w:lang w:val="uk-UA"/>
        </w:rPr>
      </w:pPr>
      <w:r w:rsidRPr="003C6DAE">
        <w:rPr>
          <w:rFonts w:ascii="Trebuchet MS"/>
          <w:noProof/>
          <w:position w:val="-1"/>
          <w:sz w:val="10"/>
          <w:lang w:val="uk-UA"/>
        </w:rPr>
        <mc:AlternateContent>
          <mc:Choice Requires="wpg">
            <w:drawing>
              <wp:inline distT="0" distB="0" distL="0" distR="0" wp14:anchorId="2090D318" wp14:editId="6EFF0D31">
                <wp:extent cx="408940" cy="64769"/>
                <wp:effectExtent l="9525" t="0" r="634" b="1905"/>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940" cy="64769"/>
                          <a:chOff x="0" y="0"/>
                          <a:chExt cx="408940" cy="64769"/>
                        </a:xfrm>
                      </wpg:grpSpPr>
                      <wps:wsp>
                        <wps:cNvPr id="495" name="Graphic 495"/>
                        <wps:cNvSpPr/>
                        <wps:spPr>
                          <a:xfrm>
                            <a:off x="0" y="27684"/>
                            <a:ext cx="408940" cy="1270"/>
                          </a:xfrm>
                          <a:custGeom>
                            <a:avLst/>
                            <a:gdLst/>
                            <a:ahLst/>
                            <a:cxnLst/>
                            <a:rect l="l" t="t" r="r" b="b"/>
                            <a:pathLst>
                              <a:path w="408940">
                                <a:moveTo>
                                  <a:pt x="0" y="0"/>
                                </a:moveTo>
                                <a:lnTo>
                                  <a:pt x="295690" y="0"/>
                                </a:lnTo>
                              </a:path>
                              <a:path w="408940">
                                <a:moveTo>
                                  <a:pt x="349522" y="0"/>
                                </a:moveTo>
                                <a:lnTo>
                                  <a:pt x="408352" y="0"/>
                                </a:lnTo>
                              </a:path>
                            </a:pathLst>
                          </a:custGeom>
                          <a:ln w="9228">
                            <a:solidFill>
                              <a:srgbClr val="000000"/>
                            </a:solidFill>
                            <a:prstDash val="solid"/>
                          </a:ln>
                        </wps:spPr>
                        <wps:bodyPr wrap="square" lIns="0" tIns="0" rIns="0" bIns="0" rtlCol="0">
                          <a:prstTxWarp prst="textNoShape">
                            <a:avLst/>
                          </a:prstTxWarp>
                          <a:noAutofit/>
                        </wps:bodyPr>
                      </wps:wsp>
                      <wps:wsp>
                        <wps:cNvPr id="496" name="Graphic 496"/>
                        <wps:cNvSpPr/>
                        <wps:spPr>
                          <a:xfrm>
                            <a:off x="295690"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7500B9CA" id="Group 494" o:spid="_x0000_s1026" style="width:32.2pt;height:5.1pt;mso-position-horizontal-relative:char;mso-position-vertical-relative:line" coordsize="40894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">
                <v:shape id="Graphic 495" o:spid="_x0000_s1027" style="position:absolute;top:27684;width:408940;height:1270;visibility:visible;mso-wrap-style:square;v-text-anchor:top" coordsize="408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" path="m,l295690,em349522,r58830,e" filled="f" strokeweight=".25633mm">
                  <v:path arrowok="t"/>
                </v:shape>
                <v:shape id="Graphic 496" o:spid="_x0000_s1028" style="position:absolute;left:295690;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" path="m53831,64598l,64598,,,53831,r,64598xe" fillcolor="#0000c0" stroked="f">
                  <v:path arrowok="t"/>
                </v:shape>
                <w10:anchorlock/>
              </v:group>
            </w:pict>
          </mc:Fallback>
        </mc:AlternateContent>
      </w:r>
    </w:p>
    <w:p w14:paraId="04A10074" w14:textId="77777777" w:rsidR="00E05B98" w:rsidRPr="003C6DAE" w:rsidRDefault="00B01E0C">
      <w:pPr>
        <w:pStyle w:val="a3"/>
        <w:spacing w:before="3"/>
        <w:rPr>
          <w:rFonts w:ascii="Trebuchet MS"/>
          <w:sz w:val="9"/>
          <w:lang w:val="uk-UA"/>
        </w:rPr>
      </w:pPr>
      <w:r w:rsidRPr="003C6DAE">
        <w:rPr>
          <w:rFonts w:ascii="Trebuchet MS"/>
          <w:noProof/>
          <w:sz w:val="9"/>
          <w:lang w:val="uk-UA"/>
        </w:rPr>
        <mc:AlternateContent>
          <mc:Choice Requires="wpg">
            <w:drawing>
              <wp:anchor distT="0" distB="0" distL="0" distR="0" simplePos="0" relativeHeight="487696896" behindDoc="1" locked="0" layoutInCell="1" allowOverlap="1" wp14:anchorId="49AA09F6" wp14:editId="1CC894F4">
                <wp:simplePos x="0" y="0"/>
                <wp:positionH relativeFrom="page">
                  <wp:posOffset>5314203</wp:posOffset>
                </wp:positionH>
                <wp:positionV relativeFrom="paragraph">
                  <wp:posOffset>83517</wp:posOffset>
                </wp:positionV>
                <wp:extent cx="247650" cy="64769"/>
                <wp:effectExtent l="0" t="0" r="0" b="0"/>
                <wp:wrapTopAndBottom/>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64769"/>
                          <a:chOff x="0" y="0"/>
                          <a:chExt cx="247650" cy="64769"/>
                        </a:xfrm>
                      </wpg:grpSpPr>
                      <wps:wsp>
                        <wps:cNvPr id="498" name="Graphic 498"/>
                        <wps:cNvSpPr/>
                        <wps:spPr>
                          <a:xfrm>
                            <a:off x="0" y="27684"/>
                            <a:ext cx="247650" cy="1270"/>
                          </a:xfrm>
                          <a:custGeom>
                            <a:avLst/>
                            <a:gdLst/>
                            <a:ahLst/>
                            <a:cxnLst/>
                            <a:rect l="l" t="t" r="r" b="b"/>
                            <a:pathLst>
                              <a:path w="247650">
                                <a:moveTo>
                                  <a:pt x="0" y="0"/>
                                </a:moveTo>
                                <a:lnTo>
                                  <a:pt x="143424" y="0"/>
                                </a:lnTo>
                              </a:path>
                              <a:path w="247650">
                                <a:moveTo>
                                  <a:pt x="197255" y="0"/>
                                </a:moveTo>
                                <a:lnTo>
                                  <a:pt x="247241" y="0"/>
                                </a:lnTo>
                              </a:path>
                            </a:pathLst>
                          </a:custGeom>
                          <a:ln w="9228">
                            <a:solidFill>
                              <a:srgbClr val="000000"/>
                            </a:solidFill>
                            <a:prstDash val="solid"/>
                          </a:ln>
                        </wps:spPr>
                        <wps:bodyPr wrap="square" lIns="0" tIns="0" rIns="0" bIns="0" rtlCol="0">
                          <a:prstTxWarp prst="textNoShape">
                            <a:avLst/>
                          </a:prstTxWarp>
                          <a:noAutofit/>
                        </wps:bodyPr>
                      </wps:wsp>
                      <wps:wsp>
                        <wps:cNvPr id="499" name="Graphic 499"/>
                        <wps:cNvSpPr/>
                        <wps:spPr>
                          <a:xfrm>
                            <a:off x="143424"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583DC16" id="Group 497" o:spid="_x0000_s1026" style="position:absolute;margin-left:418.45pt;margin-top:6.6pt;width:19.5pt;height:5.1pt;z-index:-15619584;mso-wrap-distance-left:0;mso-wrap-distance-right:0;mso-position-horizontal-relative:page" coordsize="24765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">
                <v:shape id="Graphic 498" o:spid="_x0000_s1027" style="position:absolute;top:27684;width:247650;height:1270;visibility:visible;mso-wrap-style:square;v-text-anchor:top" coordsize="247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" path="m,l143424,em197255,r49986,e" filled="f" strokeweight=".25633mm">
                  <v:path arrowok="t"/>
                </v:shape>
                <v:shape id="Graphic 499" o:spid="_x0000_s1028" style="position:absolute;left:143424;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" path="m53831,64598l,64598,,,53831,r,64598xe" fillcolor="#0000c0" stroked="f">
                  <v:path arrowok="t"/>
                </v:shape>
                <w10:wrap type="topAndBottom" anchorx="page"/>
              </v:group>
            </w:pict>
          </mc:Fallback>
        </mc:AlternateContent>
      </w:r>
    </w:p>
    <w:p w14:paraId="2F9B10D3" w14:textId="77777777" w:rsidR="00E05B98" w:rsidRPr="003C6DAE" w:rsidRDefault="00E05B98">
      <w:pPr>
        <w:pStyle w:val="a3"/>
        <w:spacing w:before="3"/>
        <w:rPr>
          <w:rFonts w:ascii="Trebuchet MS"/>
          <w:sz w:val="11"/>
          <w:lang w:val="uk-UA"/>
        </w:rPr>
      </w:pPr>
    </w:p>
    <w:p w14:paraId="6AE12858" w14:textId="77777777" w:rsidR="00E05B98" w:rsidRPr="003C6DAE" w:rsidRDefault="00B01E0C">
      <w:pPr>
        <w:pStyle w:val="a3"/>
        <w:spacing w:line="101" w:lineRule="exact"/>
        <w:ind w:left="870" w:right="-58"/>
        <w:rPr>
          <w:rFonts w:ascii="Trebuchet MS"/>
          <w:position w:val="-1"/>
          <w:sz w:val="10"/>
          <w:lang w:val="uk-UA"/>
        </w:rPr>
      </w:pPr>
      <w:r w:rsidRPr="003C6DAE">
        <w:rPr>
          <w:rFonts w:ascii="Trebuchet MS"/>
          <w:noProof/>
          <w:position w:val="-1"/>
          <w:sz w:val="10"/>
          <w:lang w:val="uk-UA"/>
        </w:rPr>
        <mc:AlternateContent>
          <mc:Choice Requires="wpg">
            <w:drawing>
              <wp:inline distT="0" distB="0" distL="0" distR="0" wp14:anchorId="71D0A1CE" wp14:editId="6BDC4F73">
                <wp:extent cx="358775" cy="64769"/>
                <wp:effectExtent l="9525" t="0" r="3175" b="1905"/>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775" cy="64769"/>
                          <a:chOff x="0" y="0"/>
                          <a:chExt cx="358775" cy="64769"/>
                        </a:xfrm>
                      </wpg:grpSpPr>
                      <wps:wsp>
                        <wps:cNvPr id="501" name="Graphic 501"/>
                        <wps:cNvSpPr/>
                        <wps:spPr>
                          <a:xfrm>
                            <a:off x="0" y="27684"/>
                            <a:ext cx="358775" cy="1270"/>
                          </a:xfrm>
                          <a:custGeom>
                            <a:avLst/>
                            <a:gdLst/>
                            <a:ahLst/>
                            <a:cxnLst/>
                            <a:rect l="l" t="t" r="r" b="b"/>
                            <a:pathLst>
                              <a:path w="358775">
                                <a:moveTo>
                                  <a:pt x="0" y="0"/>
                                </a:moveTo>
                                <a:lnTo>
                                  <a:pt x="227631" y="0"/>
                                </a:lnTo>
                              </a:path>
                              <a:path w="358775">
                                <a:moveTo>
                                  <a:pt x="281463" y="0"/>
                                </a:moveTo>
                                <a:lnTo>
                                  <a:pt x="358365" y="0"/>
                                </a:lnTo>
                              </a:path>
                            </a:pathLst>
                          </a:custGeom>
                          <a:ln w="9228">
                            <a:solidFill>
                              <a:srgbClr val="000000"/>
                            </a:solidFill>
                            <a:prstDash val="solid"/>
                          </a:ln>
                        </wps:spPr>
                        <wps:bodyPr wrap="square" lIns="0" tIns="0" rIns="0" bIns="0" rtlCol="0">
                          <a:prstTxWarp prst="textNoShape">
                            <a:avLst/>
                          </a:prstTxWarp>
                          <a:noAutofit/>
                        </wps:bodyPr>
                      </wps:wsp>
                      <wps:wsp>
                        <wps:cNvPr id="502" name="Graphic 502"/>
                        <wps:cNvSpPr/>
                        <wps:spPr>
                          <a:xfrm>
                            <a:off x="227631"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6FF62A8A" id="Group 500" o:spid="_x0000_s1026" style="width:28.25pt;height:5.1pt;mso-position-horizontal-relative:char;mso-position-vertical-relative:line" coordsize="35877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">
                <v:shape id="Graphic 501" o:spid="_x0000_s1027" style="position:absolute;top:27684;width:358775;height:1270;visibility:visible;mso-wrap-style:square;v-text-anchor:top" coordsize="358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" path="m,l227631,em281463,r76902,e" filled="f" strokeweight=".25633mm">
                  <v:path arrowok="t"/>
                </v:shape>
                <v:shape id="Graphic 502" o:spid="_x0000_s1028" style="position:absolute;left:227631;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" path="m53831,64598l,64598,,,53831,r,64598xe" fillcolor="#0000c0" stroked="f">
                  <v:path arrowok="t"/>
                </v:shape>
                <w10:anchorlock/>
              </v:group>
            </w:pict>
          </mc:Fallback>
        </mc:AlternateContent>
      </w:r>
    </w:p>
    <w:p w14:paraId="5AD5B2ED" w14:textId="77777777" w:rsidR="00E05B98" w:rsidRPr="003C6DAE" w:rsidRDefault="00B01E0C">
      <w:pPr>
        <w:pStyle w:val="a3"/>
        <w:spacing w:before="3"/>
        <w:rPr>
          <w:rFonts w:ascii="Trebuchet MS"/>
          <w:sz w:val="9"/>
          <w:lang w:val="uk-UA"/>
        </w:rPr>
      </w:pPr>
      <w:r w:rsidRPr="003C6DAE">
        <w:rPr>
          <w:rFonts w:ascii="Trebuchet MS"/>
          <w:noProof/>
          <w:sz w:val="9"/>
          <w:lang w:val="uk-UA"/>
        </w:rPr>
        <mc:AlternateContent>
          <mc:Choice Requires="wpg">
            <w:drawing>
              <wp:anchor distT="0" distB="0" distL="0" distR="0" simplePos="0" relativeHeight="487697920" behindDoc="1" locked="0" layoutInCell="1" allowOverlap="1" wp14:anchorId="7DE0D31A" wp14:editId="56071A2C">
                <wp:simplePos x="0" y="0"/>
                <wp:positionH relativeFrom="page">
                  <wp:posOffset>5261142</wp:posOffset>
                </wp:positionH>
                <wp:positionV relativeFrom="paragraph">
                  <wp:posOffset>83517</wp:posOffset>
                </wp:positionV>
                <wp:extent cx="295910" cy="64769"/>
                <wp:effectExtent l="0" t="0" r="0" b="0"/>
                <wp:wrapTopAndBottom/>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64769"/>
                          <a:chOff x="0" y="0"/>
                          <a:chExt cx="295910" cy="64769"/>
                        </a:xfrm>
                      </wpg:grpSpPr>
                      <wps:wsp>
                        <wps:cNvPr id="504" name="Graphic 504"/>
                        <wps:cNvSpPr/>
                        <wps:spPr>
                          <a:xfrm>
                            <a:off x="0" y="27684"/>
                            <a:ext cx="295910" cy="1270"/>
                          </a:xfrm>
                          <a:custGeom>
                            <a:avLst/>
                            <a:gdLst/>
                            <a:ahLst/>
                            <a:cxnLst/>
                            <a:rect l="l" t="t" r="r" b="b"/>
                            <a:pathLst>
                              <a:path w="295910">
                                <a:moveTo>
                                  <a:pt x="0" y="0"/>
                                </a:moveTo>
                                <a:lnTo>
                                  <a:pt x="173031" y="0"/>
                                </a:lnTo>
                              </a:path>
                              <a:path w="295910">
                                <a:moveTo>
                                  <a:pt x="226862" y="0"/>
                                </a:moveTo>
                                <a:lnTo>
                                  <a:pt x="295305" y="0"/>
                                </a:lnTo>
                              </a:path>
                            </a:pathLst>
                          </a:custGeom>
                          <a:ln w="9228">
                            <a:solidFill>
                              <a:srgbClr val="000000"/>
                            </a:solidFill>
                            <a:prstDash val="solid"/>
                          </a:ln>
                        </wps:spPr>
                        <wps:bodyPr wrap="square" lIns="0" tIns="0" rIns="0" bIns="0" rtlCol="0">
                          <a:prstTxWarp prst="textNoShape">
                            <a:avLst/>
                          </a:prstTxWarp>
                          <a:noAutofit/>
                        </wps:bodyPr>
                      </wps:wsp>
                      <wps:wsp>
                        <wps:cNvPr id="505" name="Graphic 505"/>
                        <wps:cNvSpPr/>
                        <wps:spPr>
                          <a:xfrm>
                            <a:off x="173031" y="0"/>
                            <a:ext cx="53975" cy="64769"/>
                          </a:xfrm>
                          <a:custGeom>
                            <a:avLst/>
                            <a:gdLst/>
                            <a:ahLst/>
                            <a:cxnLst/>
                            <a:rect l="l" t="t" r="r" b="b"/>
                            <a:pathLst>
                              <a:path w="53975" h="64769">
                                <a:moveTo>
                                  <a:pt x="53831" y="64597"/>
                                </a:moveTo>
                                <a:lnTo>
                                  <a:pt x="0" y="64597"/>
                                </a:lnTo>
                                <a:lnTo>
                                  <a:pt x="0" y="0"/>
                                </a:lnTo>
                                <a:lnTo>
                                  <a:pt x="53831" y="0"/>
                                </a:lnTo>
                                <a:lnTo>
                                  <a:pt x="53831" y="6459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EF1BB03" id="Group 503" o:spid="_x0000_s1026" style="position:absolute;margin-left:414.25pt;margin-top:6.6pt;width:23.3pt;height:5.1pt;z-index:-15618560;mso-wrap-distance-left:0;mso-wrap-distance-right:0;mso-position-horizontal-relative:page" coordsize="29591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">
                <v:shape id="Graphic 504" o:spid="_x0000_s1027" style="position:absolute;top:27684;width:295910;height:1270;visibility:visible;mso-wrap-style:square;v-text-anchor:top" coordsize="295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" path="m,l173031,em226862,r68443,e" filled="f" strokeweight=".25633mm">
                  <v:path arrowok="t"/>
                </v:shape>
                <v:shape id="Graphic 505" o:spid="_x0000_s1028" style="position:absolute;left:173031;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" path="m53831,64597l,64597,,,53831,r,64597xe" fillcolor="#0000c0" stroked="f">
                  <v:path arrowok="t"/>
                </v:shape>
                <w10:wrap type="topAndBottom" anchorx="page"/>
              </v:group>
            </w:pict>
          </mc:Fallback>
        </mc:AlternateContent>
      </w:r>
      <w:r w:rsidRPr="003C6DAE">
        <w:rPr>
          <w:rFonts w:ascii="Trebuchet MS"/>
          <w:noProof/>
          <w:sz w:val="9"/>
          <w:lang w:val="uk-UA"/>
        </w:rPr>
        <mc:AlternateContent>
          <mc:Choice Requires="wpg">
            <w:drawing>
              <wp:anchor distT="0" distB="0" distL="0" distR="0" simplePos="0" relativeHeight="487698432" behindDoc="1" locked="0" layoutInCell="1" allowOverlap="1" wp14:anchorId="31D57F91" wp14:editId="6983F967">
                <wp:simplePos x="0" y="0"/>
                <wp:positionH relativeFrom="page">
                  <wp:posOffset>5336507</wp:posOffset>
                </wp:positionH>
                <wp:positionV relativeFrom="paragraph">
                  <wp:posOffset>231170</wp:posOffset>
                </wp:positionV>
                <wp:extent cx="193040" cy="64769"/>
                <wp:effectExtent l="0" t="0" r="0" b="0"/>
                <wp:wrapTopAndBottom/>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040" cy="64769"/>
                          <a:chOff x="0" y="0"/>
                          <a:chExt cx="193040" cy="64769"/>
                        </a:xfrm>
                      </wpg:grpSpPr>
                      <wps:wsp>
                        <wps:cNvPr id="507" name="Graphic 507"/>
                        <wps:cNvSpPr/>
                        <wps:spPr>
                          <a:xfrm>
                            <a:off x="0" y="27684"/>
                            <a:ext cx="193040" cy="1270"/>
                          </a:xfrm>
                          <a:custGeom>
                            <a:avLst/>
                            <a:gdLst/>
                            <a:ahLst/>
                            <a:cxnLst/>
                            <a:rect l="l" t="t" r="r" b="b"/>
                            <a:pathLst>
                              <a:path w="193040">
                                <a:moveTo>
                                  <a:pt x="0" y="0"/>
                                </a:moveTo>
                                <a:lnTo>
                                  <a:pt x="94590" y="0"/>
                                </a:lnTo>
                              </a:path>
                              <a:path w="193040">
                                <a:moveTo>
                                  <a:pt x="148421" y="0"/>
                                </a:moveTo>
                                <a:lnTo>
                                  <a:pt x="193025" y="0"/>
                                </a:lnTo>
                              </a:path>
                            </a:pathLst>
                          </a:custGeom>
                          <a:ln w="9228">
                            <a:solidFill>
                              <a:srgbClr val="000000"/>
                            </a:solidFill>
                            <a:prstDash val="solid"/>
                          </a:ln>
                        </wps:spPr>
                        <wps:bodyPr wrap="square" lIns="0" tIns="0" rIns="0" bIns="0" rtlCol="0">
                          <a:prstTxWarp prst="textNoShape">
                            <a:avLst/>
                          </a:prstTxWarp>
                          <a:noAutofit/>
                        </wps:bodyPr>
                      </wps:wsp>
                      <wps:wsp>
                        <wps:cNvPr id="508" name="Graphic 508"/>
                        <wps:cNvSpPr/>
                        <wps:spPr>
                          <a:xfrm>
                            <a:off x="94590"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6123F55" id="Group 506" o:spid="_x0000_s1026" style="position:absolute;margin-left:420.2pt;margin-top:18.2pt;width:15.2pt;height:5.1pt;z-index:-15618048;mso-wrap-distance-left:0;mso-wrap-distance-right:0;mso-position-horizontal-relative:page" coordsize="19304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">
                <v:shape id="Graphic 507" o:spid="_x0000_s1027" style="position:absolute;top:27684;width:193040;height:1270;visibility:visible;mso-wrap-style:square;v-text-anchor:top" coordsize="193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" path="m,l94590,em148421,r44604,e" filled="f" strokeweight=".25633mm">
                  <v:path arrowok="t"/>
                </v:shape>
                <v:shape id="Graphic 508" o:spid="_x0000_s1028" style="position:absolute;left:94590;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" path="m53831,64598l,64598,,,53831,r,64598xe" fillcolor="#0000c0" stroked="f">
                  <v:path arrowok="t"/>
                </v:shape>
                <w10:wrap type="topAndBottom" anchorx="page"/>
              </v:group>
            </w:pict>
          </mc:Fallback>
        </mc:AlternateContent>
      </w:r>
    </w:p>
    <w:p w14:paraId="533E0AC8" w14:textId="77777777" w:rsidR="00E05B98" w:rsidRPr="003C6DAE" w:rsidRDefault="00E05B98">
      <w:pPr>
        <w:pStyle w:val="a3"/>
        <w:spacing w:before="2"/>
        <w:rPr>
          <w:rFonts w:ascii="Trebuchet MS"/>
          <w:sz w:val="9"/>
          <w:lang w:val="uk-UA"/>
        </w:rPr>
      </w:pPr>
    </w:p>
    <w:p w14:paraId="0E308EF3" w14:textId="77777777" w:rsidR="00E05B98" w:rsidRPr="003C6DAE" w:rsidRDefault="00E05B98">
      <w:pPr>
        <w:pStyle w:val="a3"/>
        <w:spacing w:before="3"/>
        <w:rPr>
          <w:rFonts w:ascii="Trebuchet MS"/>
          <w:sz w:val="11"/>
          <w:lang w:val="uk-UA"/>
        </w:rPr>
      </w:pPr>
    </w:p>
    <w:p w14:paraId="77E8B027" w14:textId="77777777" w:rsidR="00E05B98" w:rsidRPr="003C6DAE" w:rsidRDefault="00B01E0C">
      <w:pPr>
        <w:pStyle w:val="a3"/>
        <w:spacing w:line="101" w:lineRule="exact"/>
        <w:ind w:left="618" w:right="-72"/>
        <w:rPr>
          <w:rFonts w:ascii="Trebuchet MS"/>
          <w:position w:val="-1"/>
          <w:sz w:val="10"/>
          <w:lang w:val="uk-UA"/>
        </w:rPr>
      </w:pPr>
      <w:r w:rsidRPr="003C6DAE">
        <w:rPr>
          <w:rFonts w:ascii="Trebuchet MS"/>
          <w:noProof/>
          <w:position w:val="-1"/>
          <w:sz w:val="10"/>
          <w:lang w:val="uk-UA"/>
        </w:rPr>
        <mc:AlternateContent>
          <mc:Choice Requires="wpg">
            <w:drawing>
              <wp:inline distT="0" distB="0" distL="0" distR="0" wp14:anchorId="19D82B72" wp14:editId="150775C1">
                <wp:extent cx="530860" cy="64769"/>
                <wp:effectExtent l="9525" t="0" r="2540" b="1905"/>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860" cy="64769"/>
                          <a:chOff x="0" y="0"/>
                          <a:chExt cx="530860" cy="64769"/>
                        </a:xfrm>
                      </wpg:grpSpPr>
                      <wps:wsp>
                        <wps:cNvPr id="510" name="Graphic 510"/>
                        <wps:cNvSpPr/>
                        <wps:spPr>
                          <a:xfrm>
                            <a:off x="0" y="27684"/>
                            <a:ext cx="530860" cy="1270"/>
                          </a:xfrm>
                          <a:custGeom>
                            <a:avLst/>
                            <a:gdLst/>
                            <a:ahLst/>
                            <a:cxnLst/>
                            <a:rect l="l" t="t" r="r" b="b"/>
                            <a:pathLst>
                              <a:path w="530860">
                                <a:moveTo>
                                  <a:pt x="0" y="0"/>
                                </a:moveTo>
                                <a:lnTo>
                                  <a:pt x="379130" y="0"/>
                                </a:lnTo>
                              </a:path>
                              <a:path w="530860">
                                <a:moveTo>
                                  <a:pt x="432962" y="0"/>
                                </a:moveTo>
                                <a:lnTo>
                                  <a:pt x="530627" y="0"/>
                                </a:lnTo>
                              </a:path>
                            </a:pathLst>
                          </a:custGeom>
                          <a:ln w="9228">
                            <a:solidFill>
                              <a:srgbClr val="000000"/>
                            </a:solidFill>
                            <a:prstDash val="solid"/>
                          </a:ln>
                        </wps:spPr>
                        <wps:bodyPr wrap="square" lIns="0" tIns="0" rIns="0" bIns="0" rtlCol="0">
                          <a:prstTxWarp prst="textNoShape">
                            <a:avLst/>
                          </a:prstTxWarp>
                          <a:noAutofit/>
                        </wps:bodyPr>
                      </wps:wsp>
                      <wps:wsp>
                        <wps:cNvPr id="511" name="Graphic 511"/>
                        <wps:cNvSpPr/>
                        <wps:spPr>
                          <a:xfrm>
                            <a:off x="379130"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673B195F" id="Group 509" o:spid="_x0000_s1026" style="width:41.8pt;height:5.1pt;mso-position-horizontal-relative:char;mso-position-vertical-relative:line" coordsize="530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">
                <v:shape id="Graphic 510" o:spid="_x0000_s1027" style="position:absolute;top:276;width:5308;height:13;visibility:visible;mso-wrap-style:square;v-text-anchor:top" coordsize="530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" path="m,l379130,em432962,r97665,e" filled="f" strokeweight=".25633mm">
                  <v:path arrowok="t"/>
                </v:shape>
                <v:shape id="Graphic 511" o:spid="_x0000_s1028" style="position:absolute;left:3791;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" path="m53831,64598l,64598,,,53831,r,64598xe" fillcolor="#0000c0" stroked="f">
                  <v:path arrowok="t"/>
                </v:shape>
                <w10:anchorlock/>
              </v:group>
            </w:pict>
          </mc:Fallback>
        </mc:AlternateContent>
      </w:r>
    </w:p>
    <w:p w14:paraId="34BACAFE" w14:textId="77777777" w:rsidR="00E05B98" w:rsidRPr="003C6DAE" w:rsidRDefault="00E05B98">
      <w:pPr>
        <w:pStyle w:val="a3"/>
        <w:spacing w:before="3"/>
        <w:rPr>
          <w:rFonts w:ascii="Trebuchet MS"/>
          <w:sz w:val="11"/>
          <w:lang w:val="uk-UA"/>
        </w:rPr>
      </w:pPr>
    </w:p>
    <w:p w14:paraId="7D0A51CE" w14:textId="77777777" w:rsidR="00E05B98" w:rsidRPr="003C6DAE" w:rsidRDefault="00B01E0C">
      <w:pPr>
        <w:pStyle w:val="a3"/>
        <w:spacing w:line="101" w:lineRule="exact"/>
        <w:ind w:left="417" w:right="-72"/>
        <w:rPr>
          <w:rFonts w:ascii="Trebuchet MS"/>
          <w:position w:val="-1"/>
          <w:sz w:val="10"/>
          <w:lang w:val="uk-UA"/>
        </w:rPr>
      </w:pPr>
      <w:r w:rsidRPr="003C6DAE">
        <w:rPr>
          <w:rFonts w:ascii="Trebuchet MS"/>
          <w:noProof/>
          <w:position w:val="-1"/>
          <w:sz w:val="10"/>
          <w:lang w:val="uk-UA"/>
        </w:rPr>
        <mc:AlternateContent>
          <mc:Choice Requires="wpg">
            <w:drawing>
              <wp:inline distT="0" distB="0" distL="0" distR="0" wp14:anchorId="5A3D2F93" wp14:editId="7856F8A9">
                <wp:extent cx="656590" cy="64769"/>
                <wp:effectExtent l="9525" t="0" r="634" b="1905"/>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590" cy="64769"/>
                          <a:chOff x="0" y="0"/>
                          <a:chExt cx="656590" cy="64769"/>
                        </a:xfrm>
                      </wpg:grpSpPr>
                      <wps:wsp>
                        <wps:cNvPr id="513" name="Graphic 513"/>
                        <wps:cNvSpPr/>
                        <wps:spPr>
                          <a:xfrm>
                            <a:off x="0" y="27685"/>
                            <a:ext cx="656590" cy="1270"/>
                          </a:xfrm>
                          <a:custGeom>
                            <a:avLst/>
                            <a:gdLst/>
                            <a:ahLst/>
                            <a:cxnLst/>
                            <a:rect l="l" t="t" r="r" b="b"/>
                            <a:pathLst>
                              <a:path w="656590">
                                <a:moveTo>
                                  <a:pt x="0" y="0"/>
                                </a:moveTo>
                                <a:lnTo>
                                  <a:pt x="453725" y="0"/>
                                </a:lnTo>
                              </a:path>
                              <a:path w="656590">
                                <a:moveTo>
                                  <a:pt x="507557" y="0"/>
                                </a:moveTo>
                                <a:lnTo>
                                  <a:pt x="656363" y="0"/>
                                </a:lnTo>
                              </a:path>
                            </a:pathLst>
                          </a:custGeom>
                          <a:ln w="9228">
                            <a:solidFill>
                              <a:srgbClr val="000000"/>
                            </a:solidFill>
                            <a:prstDash val="solid"/>
                          </a:ln>
                        </wps:spPr>
                        <wps:bodyPr wrap="square" lIns="0" tIns="0" rIns="0" bIns="0" rtlCol="0">
                          <a:prstTxWarp prst="textNoShape">
                            <a:avLst/>
                          </a:prstTxWarp>
                          <a:noAutofit/>
                        </wps:bodyPr>
                      </wps:wsp>
                      <wps:wsp>
                        <wps:cNvPr id="514" name="Graphic 514"/>
                        <wps:cNvSpPr/>
                        <wps:spPr>
                          <a:xfrm>
                            <a:off x="453725" y="0"/>
                            <a:ext cx="53975" cy="64769"/>
                          </a:xfrm>
                          <a:custGeom>
                            <a:avLst/>
                            <a:gdLst/>
                            <a:ahLst/>
                            <a:cxnLst/>
                            <a:rect l="l" t="t" r="r" b="b"/>
                            <a:pathLst>
                              <a:path w="53975" h="64769">
                                <a:moveTo>
                                  <a:pt x="53831" y="64599"/>
                                </a:moveTo>
                                <a:lnTo>
                                  <a:pt x="0" y="64599"/>
                                </a:lnTo>
                                <a:lnTo>
                                  <a:pt x="0" y="0"/>
                                </a:lnTo>
                                <a:lnTo>
                                  <a:pt x="53831" y="0"/>
                                </a:lnTo>
                                <a:lnTo>
                                  <a:pt x="53831" y="64599"/>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315E3B23" id="Group 512" o:spid="_x0000_s1026" style="width:51.7pt;height:5.1pt;mso-position-horizontal-relative:char;mso-position-vertical-relative:line" coordsize="656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">
                <v:shape id="Graphic 513" o:spid="_x0000_s1027" style="position:absolute;top:276;width:6565;height:13;visibility:visible;mso-wrap-style:square;v-text-anchor:top" coordsize="656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" path="m,l453725,em507557,l656363,e" filled="f" strokeweight=".25633mm">
                  <v:path arrowok="t"/>
                </v:shape>
                <v:shape id="Graphic 514" o:spid="_x0000_s1028" style="position:absolute;left:4537;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" path="m53831,64599l,64599,,,53831,r,64599xe" fillcolor="#0000c0" stroked="f">
                  <v:path arrowok="t"/>
                </v:shape>
                <w10:anchorlock/>
              </v:group>
            </w:pict>
          </mc:Fallback>
        </mc:AlternateContent>
      </w:r>
    </w:p>
    <w:p w14:paraId="0FF13C62" w14:textId="77777777" w:rsidR="00E05B98" w:rsidRPr="003C6DAE" w:rsidRDefault="00B01E0C">
      <w:pPr>
        <w:pStyle w:val="a3"/>
        <w:spacing w:before="3"/>
        <w:rPr>
          <w:rFonts w:ascii="Trebuchet MS"/>
          <w:sz w:val="9"/>
          <w:lang w:val="uk-UA"/>
        </w:rPr>
      </w:pPr>
      <w:r w:rsidRPr="003C6DAE">
        <w:rPr>
          <w:rFonts w:ascii="Trebuchet MS"/>
          <w:noProof/>
          <w:sz w:val="9"/>
          <w:lang w:val="uk-UA"/>
        </w:rPr>
        <mc:AlternateContent>
          <mc:Choice Requires="wpg">
            <w:drawing>
              <wp:anchor distT="0" distB="0" distL="0" distR="0" simplePos="0" relativeHeight="487699968" behindDoc="1" locked="0" layoutInCell="1" allowOverlap="1" wp14:anchorId="3B8E5891" wp14:editId="0703C215">
                <wp:simplePos x="0" y="0"/>
                <wp:positionH relativeFrom="page">
                  <wp:posOffset>5139255</wp:posOffset>
                </wp:positionH>
                <wp:positionV relativeFrom="paragraph">
                  <wp:posOffset>83517</wp:posOffset>
                </wp:positionV>
                <wp:extent cx="404495" cy="64769"/>
                <wp:effectExtent l="0" t="0" r="0" b="0"/>
                <wp:wrapTopAndBottom/>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495" cy="64769"/>
                          <a:chOff x="0" y="0"/>
                          <a:chExt cx="404495" cy="64769"/>
                        </a:xfrm>
                      </wpg:grpSpPr>
                      <wps:wsp>
                        <wps:cNvPr id="516" name="Graphic 516"/>
                        <wps:cNvSpPr/>
                        <wps:spPr>
                          <a:xfrm>
                            <a:off x="0" y="27685"/>
                            <a:ext cx="404495" cy="1270"/>
                          </a:xfrm>
                          <a:custGeom>
                            <a:avLst/>
                            <a:gdLst/>
                            <a:ahLst/>
                            <a:cxnLst/>
                            <a:rect l="l" t="t" r="r" b="b"/>
                            <a:pathLst>
                              <a:path w="404495">
                                <a:moveTo>
                                  <a:pt x="0" y="0"/>
                                </a:moveTo>
                                <a:lnTo>
                                  <a:pt x="236475" y="0"/>
                                </a:lnTo>
                              </a:path>
                              <a:path w="404495">
                                <a:moveTo>
                                  <a:pt x="290307" y="0"/>
                                </a:moveTo>
                                <a:lnTo>
                                  <a:pt x="404122" y="0"/>
                                </a:lnTo>
                              </a:path>
                            </a:pathLst>
                          </a:custGeom>
                          <a:ln w="9228">
                            <a:solidFill>
                              <a:srgbClr val="000000"/>
                            </a:solidFill>
                            <a:prstDash val="solid"/>
                          </a:ln>
                        </wps:spPr>
                        <wps:bodyPr wrap="square" lIns="0" tIns="0" rIns="0" bIns="0" rtlCol="0">
                          <a:prstTxWarp prst="textNoShape">
                            <a:avLst/>
                          </a:prstTxWarp>
                          <a:noAutofit/>
                        </wps:bodyPr>
                      </wps:wsp>
                      <wps:wsp>
                        <wps:cNvPr id="517" name="Graphic 517"/>
                        <wps:cNvSpPr/>
                        <wps:spPr>
                          <a:xfrm>
                            <a:off x="236475" y="0"/>
                            <a:ext cx="53975" cy="64769"/>
                          </a:xfrm>
                          <a:custGeom>
                            <a:avLst/>
                            <a:gdLst/>
                            <a:ahLst/>
                            <a:cxnLst/>
                            <a:rect l="l" t="t" r="r" b="b"/>
                            <a:pathLst>
                              <a:path w="53975" h="64769">
                                <a:moveTo>
                                  <a:pt x="53831" y="64599"/>
                                </a:moveTo>
                                <a:lnTo>
                                  <a:pt x="0" y="64599"/>
                                </a:lnTo>
                                <a:lnTo>
                                  <a:pt x="0" y="0"/>
                                </a:lnTo>
                                <a:lnTo>
                                  <a:pt x="53831" y="0"/>
                                </a:lnTo>
                                <a:lnTo>
                                  <a:pt x="53831" y="64599"/>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E37C149" id="Group 515" o:spid="_x0000_s1026" style="position:absolute;margin-left:404.65pt;margin-top:6.6pt;width:31.85pt;height:5.1pt;z-index:-15616512;mso-wrap-distance-left:0;mso-wrap-distance-right:0;mso-position-horizontal-relative:page" coordsize="40449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">
                <v:shape id="Graphic 516" o:spid="_x0000_s1027" style="position:absolute;top:27685;width:404495;height:1270;visibility:visible;mso-wrap-style:square;v-text-anchor:top" coordsize="404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" path="m,l236475,em290307,l404122,e" filled="f" strokeweight=".25633mm">
                  <v:path arrowok="t"/>
                </v:shape>
                <v:shape id="Graphic 517" o:spid="_x0000_s1028" style="position:absolute;left:236475;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" path="m53831,64599l,64599,,,53831,r,64599xe" fillcolor="#0000c0" stroked="f">
                  <v:path arrowok="t"/>
                </v:shape>
                <w10:wrap type="topAndBottom" anchorx="page"/>
              </v:group>
            </w:pict>
          </mc:Fallback>
        </mc:AlternateContent>
      </w:r>
    </w:p>
    <w:p w14:paraId="34A6287C" w14:textId="77777777" w:rsidR="00E05B98" w:rsidRPr="003C6DAE" w:rsidRDefault="00E05B98">
      <w:pPr>
        <w:pStyle w:val="a3"/>
        <w:spacing w:before="3"/>
        <w:rPr>
          <w:rFonts w:ascii="Trebuchet MS"/>
          <w:sz w:val="11"/>
          <w:lang w:val="uk-UA"/>
        </w:rPr>
      </w:pPr>
    </w:p>
    <w:p w14:paraId="656BEF51" w14:textId="77777777" w:rsidR="00E05B98" w:rsidRPr="003C6DAE" w:rsidRDefault="00B01E0C">
      <w:pPr>
        <w:pStyle w:val="a3"/>
        <w:spacing w:line="101" w:lineRule="exact"/>
        <w:ind w:left="287" w:right="-72"/>
        <w:rPr>
          <w:rFonts w:ascii="Trebuchet MS"/>
          <w:position w:val="-1"/>
          <w:sz w:val="10"/>
          <w:lang w:val="uk-UA"/>
        </w:rPr>
      </w:pPr>
      <w:r w:rsidRPr="003C6DAE">
        <w:rPr>
          <w:rFonts w:ascii="Trebuchet MS"/>
          <w:noProof/>
          <w:position w:val="-1"/>
          <w:sz w:val="10"/>
          <w:lang w:val="uk-UA"/>
        </w:rPr>
        <mc:AlternateContent>
          <mc:Choice Requires="wpg">
            <w:drawing>
              <wp:inline distT="0" distB="0" distL="0" distR="0" wp14:anchorId="1863CCA6" wp14:editId="47AEB3FA">
                <wp:extent cx="738505" cy="64769"/>
                <wp:effectExtent l="9525" t="0" r="0" b="1905"/>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505" cy="64769"/>
                          <a:chOff x="0" y="0"/>
                          <a:chExt cx="738505" cy="64769"/>
                        </a:xfrm>
                      </wpg:grpSpPr>
                      <wps:wsp>
                        <wps:cNvPr id="519" name="Graphic 519"/>
                        <wps:cNvSpPr/>
                        <wps:spPr>
                          <a:xfrm>
                            <a:off x="0" y="27685"/>
                            <a:ext cx="738505" cy="1270"/>
                          </a:xfrm>
                          <a:custGeom>
                            <a:avLst/>
                            <a:gdLst/>
                            <a:ahLst/>
                            <a:cxnLst/>
                            <a:rect l="l" t="t" r="r" b="b"/>
                            <a:pathLst>
                              <a:path w="738505">
                                <a:moveTo>
                                  <a:pt x="0" y="0"/>
                                </a:moveTo>
                                <a:lnTo>
                                  <a:pt x="490255" y="0"/>
                                </a:lnTo>
                              </a:path>
                              <a:path w="738505">
                                <a:moveTo>
                                  <a:pt x="544086" y="0"/>
                                </a:moveTo>
                                <a:lnTo>
                                  <a:pt x="737880" y="0"/>
                                </a:lnTo>
                              </a:path>
                            </a:pathLst>
                          </a:custGeom>
                          <a:ln w="9228">
                            <a:solidFill>
                              <a:srgbClr val="000000"/>
                            </a:solidFill>
                            <a:prstDash val="solid"/>
                          </a:ln>
                        </wps:spPr>
                        <wps:bodyPr wrap="square" lIns="0" tIns="0" rIns="0" bIns="0" rtlCol="0">
                          <a:prstTxWarp prst="textNoShape">
                            <a:avLst/>
                          </a:prstTxWarp>
                          <a:noAutofit/>
                        </wps:bodyPr>
                      </wps:wsp>
                      <wps:wsp>
                        <wps:cNvPr id="520" name="Graphic 520"/>
                        <wps:cNvSpPr/>
                        <wps:spPr>
                          <a:xfrm>
                            <a:off x="490255" y="0"/>
                            <a:ext cx="53975" cy="64769"/>
                          </a:xfrm>
                          <a:custGeom>
                            <a:avLst/>
                            <a:gdLst/>
                            <a:ahLst/>
                            <a:cxnLst/>
                            <a:rect l="l" t="t" r="r" b="b"/>
                            <a:pathLst>
                              <a:path w="53975" h="64769">
                                <a:moveTo>
                                  <a:pt x="53831" y="64599"/>
                                </a:moveTo>
                                <a:lnTo>
                                  <a:pt x="0" y="64599"/>
                                </a:lnTo>
                                <a:lnTo>
                                  <a:pt x="0" y="0"/>
                                </a:lnTo>
                                <a:lnTo>
                                  <a:pt x="53831" y="0"/>
                                </a:lnTo>
                                <a:lnTo>
                                  <a:pt x="53831" y="64599"/>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7B004D53" id="Group 518" o:spid="_x0000_s1026" style="width:58.15pt;height:5.1pt;mso-position-horizontal-relative:char;mso-position-vertical-relative:line" coordsize="738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">
                <v:shape id="Graphic 519" o:spid="_x0000_s1027" style="position:absolute;top:276;width:7385;height:13;visibility:visible;mso-wrap-style:square;v-text-anchor:top" coordsize="738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" path="m,l490255,em544086,l737880,e" filled="f" strokeweight=".25633mm">
                  <v:path arrowok="t"/>
                </v:shape>
                <v:shape id="Graphic 520" o:spid="_x0000_s1028" style="position:absolute;left:4902;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" path="m53831,64599l,64599,,,53831,r,64599xe" fillcolor="#0000c0" stroked="f">
                  <v:path arrowok="t"/>
                </v:shape>
                <w10:anchorlock/>
              </v:group>
            </w:pict>
          </mc:Fallback>
        </mc:AlternateContent>
      </w:r>
    </w:p>
    <w:p w14:paraId="78C8E132" w14:textId="77777777" w:rsidR="00E05B98" w:rsidRPr="003C6DAE" w:rsidRDefault="00B01E0C">
      <w:pPr>
        <w:pStyle w:val="a3"/>
        <w:spacing w:before="3"/>
        <w:rPr>
          <w:rFonts w:ascii="Trebuchet MS"/>
          <w:sz w:val="9"/>
          <w:lang w:val="uk-UA"/>
        </w:rPr>
      </w:pPr>
      <w:r w:rsidRPr="003C6DAE">
        <w:rPr>
          <w:rFonts w:ascii="Trebuchet MS"/>
          <w:noProof/>
          <w:sz w:val="9"/>
          <w:lang w:val="uk-UA"/>
        </w:rPr>
        <mc:AlternateContent>
          <mc:Choice Requires="wpg">
            <w:drawing>
              <wp:anchor distT="0" distB="0" distL="0" distR="0" simplePos="0" relativeHeight="487700992" behindDoc="1" locked="0" layoutInCell="1" allowOverlap="1" wp14:anchorId="143B5617" wp14:editId="3639550E">
                <wp:simplePos x="0" y="0"/>
                <wp:positionH relativeFrom="page">
                  <wp:posOffset>4982375</wp:posOffset>
                </wp:positionH>
                <wp:positionV relativeFrom="paragraph">
                  <wp:posOffset>83517</wp:posOffset>
                </wp:positionV>
                <wp:extent cx="571500" cy="64769"/>
                <wp:effectExtent l="0" t="0" r="0" b="0"/>
                <wp:wrapTopAndBottom/>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64769"/>
                          <a:chOff x="0" y="0"/>
                          <a:chExt cx="571500" cy="64769"/>
                        </a:xfrm>
                      </wpg:grpSpPr>
                      <wps:wsp>
                        <wps:cNvPr id="522" name="Graphic 522"/>
                        <wps:cNvSpPr/>
                        <wps:spPr>
                          <a:xfrm>
                            <a:off x="0" y="27685"/>
                            <a:ext cx="571500" cy="1270"/>
                          </a:xfrm>
                          <a:custGeom>
                            <a:avLst/>
                            <a:gdLst/>
                            <a:ahLst/>
                            <a:cxnLst/>
                            <a:rect l="l" t="t" r="r" b="b"/>
                            <a:pathLst>
                              <a:path w="571500">
                                <a:moveTo>
                                  <a:pt x="0" y="0"/>
                                </a:moveTo>
                                <a:lnTo>
                                  <a:pt x="347215" y="0"/>
                                </a:lnTo>
                              </a:path>
                              <a:path w="571500">
                                <a:moveTo>
                                  <a:pt x="401047" y="0"/>
                                </a:moveTo>
                                <a:lnTo>
                                  <a:pt x="571386" y="0"/>
                                </a:lnTo>
                              </a:path>
                            </a:pathLst>
                          </a:custGeom>
                          <a:ln w="9228">
                            <a:solidFill>
                              <a:srgbClr val="000000"/>
                            </a:solidFill>
                            <a:prstDash val="solid"/>
                          </a:ln>
                        </wps:spPr>
                        <wps:bodyPr wrap="square" lIns="0" tIns="0" rIns="0" bIns="0" rtlCol="0">
                          <a:prstTxWarp prst="textNoShape">
                            <a:avLst/>
                          </a:prstTxWarp>
                          <a:noAutofit/>
                        </wps:bodyPr>
                      </wps:wsp>
                      <wps:wsp>
                        <wps:cNvPr id="523" name="Graphic 523"/>
                        <wps:cNvSpPr/>
                        <wps:spPr>
                          <a:xfrm>
                            <a:off x="347215" y="0"/>
                            <a:ext cx="53975" cy="64769"/>
                          </a:xfrm>
                          <a:custGeom>
                            <a:avLst/>
                            <a:gdLst/>
                            <a:ahLst/>
                            <a:cxnLst/>
                            <a:rect l="l" t="t" r="r" b="b"/>
                            <a:pathLst>
                              <a:path w="53975" h="64769">
                                <a:moveTo>
                                  <a:pt x="53831" y="64599"/>
                                </a:moveTo>
                                <a:lnTo>
                                  <a:pt x="0" y="64599"/>
                                </a:lnTo>
                                <a:lnTo>
                                  <a:pt x="0" y="0"/>
                                </a:lnTo>
                                <a:lnTo>
                                  <a:pt x="53831" y="0"/>
                                </a:lnTo>
                                <a:lnTo>
                                  <a:pt x="53831" y="64599"/>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1550A1E" id="Group 521" o:spid="_x0000_s1026" style="position:absolute;margin-left:392.3pt;margin-top:6.6pt;width:45pt;height:5.1pt;z-index:-15615488;mso-wrap-distance-left:0;mso-wrap-distance-right:0;mso-position-horizontal-relative:page" coordsize="571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">
                <v:shape id="Graphic 522" o:spid="_x0000_s1027" style="position:absolute;top:276;width:5715;height:13;visibility:visible;mso-wrap-style:square;v-text-anchor:top" coordsize="571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" path="m,l347215,em401047,l571386,e" filled="f" strokeweight=".25633mm">
                  <v:path arrowok="t"/>
                </v:shape>
                <v:shape id="Graphic 523" o:spid="_x0000_s1028" style="position:absolute;left:3472;width:539;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" path="m53831,64599l,64599,,,53831,r,64599xe" fillcolor="#0000c0" stroked="f">
                  <v:path arrowok="t"/>
                </v:shape>
                <w10:wrap type="topAndBottom" anchorx="page"/>
              </v:group>
            </w:pict>
          </mc:Fallback>
        </mc:AlternateContent>
      </w:r>
    </w:p>
    <w:p w14:paraId="4D743526" w14:textId="77777777" w:rsidR="00E05B98" w:rsidRPr="003C6DAE" w:rsidRDefault="00E05B98">
      <w:pPr>
        <w:pStyle w:val="a3"/>
        <w:spacing w:before="3"/>
        <w:rPr>
          <w:rFonts w:ascii="Trebuchet MS"/>
          <w:sz w:val="11"/>
          <w:lang w:val="uk-UA"/>
        </w:rPr>
      </w:pPr>
    </w:p>
    <w:p w14:paraId="7E27C18D" w14:textId="77777777" w:rsidR="00E05B98" w:rsidRPr="003C6DAE" w:rsidRDefault="00B01E0C">
      <w:pPr>
        <w:pStyle w:val="a3"/>
        <w:spacing w:line="225" w:lineRule="exact"/>
        <w:ind w:left="5" w:right="-87"/>
        <w:rPr>
          <w:rFonts w:ascii="Trebuchet MS"/>
          <w:position w:val="-3"/>
          <w:sz w:val="20"/>
          <w:lang w:val="uk-UA"/>
        </w:rPr>
      </w:pPr>
      <w:r w:rsidRPr="003C6DAE">
        <w:rPr>
          <w:rFonts w:ascii="Trebuchet MS"/>
          <w:noProof/>
          <w:position w:val="-3"/>
          <w:sz w:val="20"/>
          <w:lang w:val="uk-UA"/>
        </w:rPr>
        <mc:AlternateContent>
          <mc:Choice Requires="wpg">
            <w:drawing>
              <wp:inline distT="0" distB="0" distL="0" distR="0" wp14:anchorId="307475DD" wp14:editId="7EDA65A4">
                <wp:extent cx="923290" cy="138430"/>
                <wp:effectExtent l="9525" t="0" r="0" b="4444"/>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290" cy="138430"/>
                          <a:chOff x="0" y="0"/>
                          <a:chExt cx="923290" cy="138430"/>
                        </a:xfrm>
                      </wpg:grpSpPr>
                      <wps:wsp>
                        <wps:cNvPr id="525" name="Graphic 525"/>
                        <wps:cNvSpPr/>
                        <wps:spPr>
                          <a:xfrm>
                            <a:off x="66135" y="27685"/>
                            <a:ext cx="798195" cy="1270"/>
                          </a:xfrm>
                          <a:custGeom>
                            <a:avLst/>
                            <a:gdLst/>
                            <a:ahLst/>
                            <a:cxnLst/>
                            <a:rect l="l" t="t" r="r" b="b"/>
                            <a:pathLst>
                              <a:path w="798195">
                                <a:moveTo>
                                  <a:pt x="0" y="0"/>
                                </a:moveTo>
                                <a:lnTo>
                                  <a:pt x="376053" y="0"/>
                                </a:lnTo>
                              </a:path>
                              <a:path w="798195">
                                <a:moveTo>
                                  <a:pt x="429885" y="0"/>
                                </a:moveTo>
                                <a:lnTo>
                                  <a:pt x="797864" y="0"/>
                                </a:lnTo>
                              </a:path>
                            </a:pathLst>
                          </a:custGeom>
                          <a:ln w="9228">
                            <a:solidFill>
                              <a:srgbClr val="000000"/>
                            </a:solidFill>
                            <a:prstDash val="solid"/>
                          </a:ln>
                        </wps:spPr>
                        <wps:bodyPr wrap="square" lIns="0" tIns="0" rIns="0" bIns="0" rtlCol="0">
                          <a:prstTxWarp prst="textNoShape">
                            <a:avLst/>
                          </a:prstTxWarp>
                          <a:noAutofit/>
                        </wps:bodyPr>
                      </wps:wsp>
                      <wps:wsp>
                        <wps:cNvPr id="526" name="Graphic 526"/>
                        <wps:cNvSpPr/>
                        <wps:spPr>
                          <a:xfrm>
                            <a:off x="442188" y="0"/>
                            <a:ext cx="53975" cy="64769"/>
                          </a:xfrm>
                          <a:custGeom>
                            <a:avLst/>
                            <a:gdLst/>
                            <a:ahLst/>
                            <a:cxnLst/>
                            <a:rect l="l" t="t" r="r" b="b"/>
                            <a:pathLst>
                              <a:path w="53975" h="64769">
                                <a:moveTo>
                                  <a:pt x="53831" y="64599"/>
                                </a:moveTo>
                                <a:lnTo>
                                  <a:pt x="0" y="64599"/>
                                </a:lnTo>
                                <a:lnTo>
                                  <a:pt x="0" y="0"/>
                                </a:lnTo>
                                <a:lnTo>
                                  <a:pt x="53831" y="0"/>
                                </a:lnTo>
                                <a:lnTo>
                                  <a:pt x="53831" y="64599"/>
                                </a:lnTo>
                                <a:close/>
                              </a:path>
                            </a:pathLst>
                          </a:custGeom>
                          <a:solidFill>
                            <a:srgbClr val="0000C0"/>
                          </a:solidFill>
                        </wps:spPr>
                        <wps:bodyPr wrap="square" lIns="0" tIns="0" rIns="0" bIns="0" rtlCol="0">
                          <a:prstTxWarp prst="textNoShape">
                            <a:avLst/>
                          </a:prstTxWarp>
                          <a:noAutofit/>
                        </wps:bodyPr>
                      </wps:wsp>
                      <wps:wsp>
                        <wps:cNvPr id="527" name="Graphic 527"/>
                        <wps:cNvSpPr/>
                        <wps:spPr>
                          <a:xfrm>
                            <a:off x="3844" y="101512"/>
                            <a:ext cx="915669" cy="1270"/>
                          </a:xfrm>
                          <a:custGeom>
                            <a:avLst/>
                            <a:gdLst/>
                            <a:ahLst/>
                            <a:cxnLst/>
                            <a:rect l="l" t="t" r="r" b="b"/>
                            <a:pathLst>
                              <a:path w="915669">
                                <a:moveTo>
                                  <a:pt x="0" y="0"/>
                                </a:moveTo>
                                <a:lnTo>
                                  <a:pt x="915140" y="0"/>
                                </a:lnTo>
                              </a:path>
                            </a:pathLst>
                          </a:custGeom>
                          <a:ln w="9228">
                            <a:solidFill>
                              <a:srgbClr val="000000"/>
                            </a:solidFill>
                            <a:prstDash val="solid"/>
                          </a:ln>
                        </wps:spPr>
                        <wps:bodyPr wrap="square" lIns="0" tIns="0" rIns="0" bIns="0" rtlCol="0">
                          <a:prstTxWarp prst="textNoShape">
                            <a:avLst/>
                          </a:prstTxWarp>
                          <a:noAutofit/>
                        </wps:bodyPr>
                      </wps:wsp>
                      <wps:wsp>
                        <wps:cNvPr id="528" name="Graphic 528"/>
                        <wps:cNvSpPr/>
                        <wps:spPr>
                          <a:xfrm>
                            <a:off x="3845" y="64598"/>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529" name="Graphic 529"/>
                        <wps:cNvSpPr/>
                        <wps:spPr>
                          <a:xfrm>
                            <a:off x="186873" y="64598"/>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530" name="Graphic 530"/>
                        <wps:cNvSpPr/>
                        <wps:spPr>
                          <a:xfrm>
                            <a:off x="369902" y="64598"/>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531" name="Graphic 531"/>
                        <wps:cNvSpPr/>
                        <wps:spPr>
                          <a:xfrm>
                            <a:off x="552546" y="64598"/>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532" name="Graphic 532"/>
                        <wps:cNvSpPr/>
                        <wps:spPr>
                          <a:xfrm>
                            <a:off x="735958" y="64598"/>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533" name="Graphic 533"/>
                        <wps:cNvSpPr/>
                        <wps:spPr>
                          <a:xfrm>
                            <a:off x="918986" y="64599"/>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8D7B12" id="Group 524" o:spid="_x0000_s1026" style="width:72.7pt;height:10.9pt;mso-position-horizontal-relative:char;mso-position-vertical-relative:line" coordsize="9232,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">
                <v:shape id="Graphic 525" o:spid="_x0000_s1027" style="position:absolute;left:661;top:276;width:7982;height:13;visibility:visible;mso-wrap-style:square;v-text-anchor:top" coordsize="798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" path="m,l376053,em429885,l797864,e" filled="f" strokeweight=".25633mm">
                  <v:path arrowok="t"/>
                </v:shape>
                <v:shape id="Graphic 526" o:spid="_x0000_s1028" style="position:absolute;left:4421;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" path="m53831,64599l,64599,,,53831,r,64599xe" fillcolor="#0000c0" stroked="f">
                  <v:path arrowok="t"/>
                </v:shape>
                <v:shape id="Graphic 527" o:spid="_x0000_s1029" style="position:absolute;left:38;top:1015;width:9157;height:12;visibility:visible;mso-wrap-style:square;v-text-anchor:top" coordsize="9156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" path="m,l915140,e" filled="f" strokeweight=".25633mm">
                  <v:path arrowok="t"/>
                </v:shape>
                <v:shape id="Graphic 528" o:spid="_x0000_s1030" style="position:absolute;left:38;top:645;width:13;height:743;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" path="m,l,73826e" filled="f" strokeweight=".21361mm">
                  <v:path arrowok="t"/>
                </v:shape>
                <v:shape id="Graphic 529" o:spid="_x0000_s1031" style="position:absolute;left:1868;top:645;width:13;height:743;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" path="m,l,73826e" filled="f" strokeweight=".21361mm">
                  <v:path arrowok="t"/>
                </v:shape>
                <v:shape id="Graphic 530" o:spid="_x0000_s1032" style="position:absolute;left:3699;top:645;width:12;height:743;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" path="m,l,73826e" filled="f" strokeweight=".21361mm">
                  <v:path arrowok="t"/>
                </v:shape>
                <v:shape id="Graphic 531" o:spid="_x0000_s1033" style="position:absolute;left:5525;top:645;width:13;height:743;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" path="m,l,73826e" filled="f" strokeweight=".21361mm">
                  <v:path arrowok="t"/>
                </v:shape>
                <v:shape id="Graphic 532" o:spid="_x0000_s1034" style="position:absolute;left:7359;top:645;width:13;height:743;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" path="m,l,73826e" filled="f" strokeweight=".21361mm">
                  <v:path arrowok="t"/>
                </v:shape>
                <v:shape id="Graphic 533" o:spid="_x0000_s1035" style="position:absolute;left:9189;top:645;width:13;height:743;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" path="m,l,73826e" filled="f" strokeweight=".21361mm">
                  <v:path arrowok="t"/>
                </v:shape>
                <w10:anchorlock/>
              </v:group>
            </w:pict>
          </mc:Fallback>
        </mc:AlternateContent>
      </w:r>
    </w:p>
    <w:p w14:paraId="56393AC1" w14:textId="77777777" w:rsidR="00E05B98" w:rsidRPr="003C6DAE" w:rsidRDefault="00B01E0C">
      <w:pPr>
        <w:ind w:left="13"/>
        <w:rPr>
          <w:rFonts w:ascii="Trebuchet MS"/>
          <w:sz w:val="17"/>
          <w:lang w:val="uk-UA"/>
        </w:rPr>
      </w:pPr>
      <w:r w:rsidRPr="003C6DAE">
        <w:rPr>
          <w:rFonts w:ascii="Trebuchet MS"/>
          <w:noProof/>
          <w:sz w:val="17"/>
          <w:lang w:val="uk-UA"/>
        </w:rPr>
        <mc:AlternateContent>
          <mc:Choice Requires="wpg">
            <w:drawing>
              <wp:anchor distT="0" distB="0" distL="0" distR="0" simplePos="0" relativeHeight="15852032" behindDoc="0" locked="0" layoutInCell="1" allowOverlap="1" wp14:anchorId="1B7A33ED" wp14:editId="1672A6CB">
                <wp:simplePos x="0" y="0"/>
                <wp:positionH relativeFrom="page">
                  <wp:posOffset>4930070</wp:posOffset>
                </wp:positionH>
                <wp:positionV relativeFrom="paragraph">
                  <wp:posOffset>-2357667</wp:posOffset>
                </wp:positionV>
                <wp:extent cx="684530" cy="64769"/>
                <wp:effectExtent l="0" t="0" r="0" b="0"/>
                <wp:wrapNone/>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530" cy="64769"/>
                          <a:chOff x="0" y="0"/>
                          <a:chExt cx="684530" cy="64769"/>
                        </a:xfrm>
                      </wpg:grpSpPr>
                      <wps:wsp>
                        <wps:cNvPr id="535" name="Graphic 535"/>
                        <wps:cNvSpPr/>
                        <wps:spPr>
                          <a:xfrm>
                            <a:off x="0" y="27685"/>
                            <a:ext cx="630555" cy="1270"/>
                          </a:xfrm>
                          <a:custGeom>
                            <a:avLst/>
                            <a:gdLst/>
                            <a:ahLst/>
                            <a:cxnLst/>
                            <a:rect l="l" t="t" r="r" b="b"/>
                            <a:pathLst>
                              <a:path w="630555">
                                <a:moveTo>
                                  <a:pt x="0" y="0"/>
                                </a:moveTo>
                                <a:lnTo>
                                  <a:pt x="630216" y="0"/>
                                </a:lnTo>
                              </a:path>
                            </a:pathLst>
                          </a:custGeom>
                          <a:ln w="9228">
                            <a:solidFill>
                              <a:srgbClr val="000000"/>
                            </a:solidFill>
                            <a:prstDash val="solid"/>
                          </a:ln>
                        </wps:spPr>
                        <wps:bodyPr wrap="square" lIns="0" tIns="0" rIns="0" bIns="0" rtlCol="0">
                          <a:prstTxWarp prst="textNoShape">
                            <a:avLst/>
                          </a:prstTxWarp>
                          <a:noAutofit/>
                        </wps:bodyPr>
                      </wps:wsp>
                      <wps:wsp>
                        <wps:cNvPr id="536" name="Graphic 536"/>
                        <wps:cNvSpPr/>
                        <wps:spPr>
                          <a:xfrm>
                            <a:off x="630216"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BAD6B19" id="Group 534" o:spid="_x0000_s1026" style="position:absolute;margin-left:388.2pt;margin-top:-185.65pt;width:53.9pt;height:5.1pt;z-index:15852032;mso-wrap-distance-left:0;mso-wrap-distance-right:0;mso-position-horizontal-relative:page" coordsize="684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">
                <v:shape id="Graphic 535" o:spid="_x0000_s1027" style="position:absolute;top:276;width:6305;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" path="m,l630216,e" filled="f" strokeweight=".25633mm">
                  <v:path arrowok="t"/>
                </v:shape>
                <v:shape id="Graphic 536" o:spid="_x0000_s1028" style="position:absolute;left:6302;width:539;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" path="m53831,64598l,64598,,,53831,r,64598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5852544" behindDoc="0" locked="0" layoutInCell="1" allowOverlap="1" wp14:anchorId="7AF6E43E" wp14:editId="47756C66">
                <wp:simplePos x="0" y="0"/>
                <wp:positionH relativeFrom="page">
                  <wp:posOffset>4683599</wp:posOffset>
                </wp:positionH>
                <wp:positionV relativeFrom="paragraph">
                  <wp:posOffset>-2210013</wp:posOffset>
                </wp:positionV>
                <wp:extent cx="930910" cy="64769"/>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910" cy="64769"/>
                          <a:chOff x="0" y="0"/>
                          <a:chExt cx="930910" cy="64769"/>
                        </a:xfrm>
                      </wpg:grpSpPr>
                      <wps:wsp>
                        <wps:cNvPr id="538" name="Graphic 538"/>
                        <wps:cNvSpPr/>
                        <wps:spPr>
                          <a:xfrm>
                            <a:off x="0" y="27684"/>
                            <a:ext cx="876935" cy="1270"/>
                          </a:xfrm>
                          <a:custGeom>
                            <a:avLst/>
                            <a:gdLst/>
                            <a:ahLst/>
                            <a:cxnLst/>
                            <a:rect l="l" t="t" r="r" b="b"/>
                            <a:pathLst>
                              <a:path w="876935">
                                <a:moveTo>
                                  <a:pt x="0" y="0"/>
                                </a:moveTo>
                                <a:lnTo>
                                  <a:pt x="876690" y="0"/>
                                </a:lnTo>
                              </a:path>
                            </a:pathLst>
                          </a:custGeom>
                          <a:ln w="9228">
                            <a:solidFill>
                              <a:srgbClr val="000000"/>
                            </a:solidFill>
                            <a:prstDash val="solid"/>
                          </a:ln>
                        </wps:spPr>
                        <wps:bodyPr wrap="square" lIns="0" tIns="0" rIns="0" bIns="0" rtlCol="0">
                          <a:prstTxWarp prst="textNoShape">
                            <a:avLst/>
                          </a:prstTxWarp>
                          <a:noAutofit/>
                        </wps:bodyPr>
                      </wps:wsp>
                      <wps:wsp>
                        <wps:cNvPr id="539" name="Graphic 539"/>
                        <wps:cNvSpPr/>
                        <wps:spPr>
                          <a:xfrm>
                            <a:off x="876689"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BE09E9E" id="Group 537" o:spid="_x0000_s1026" style="position:absolute;margin-left:368.8pt;margin-top:-174pt;width:73.3pt;height:5.1pt;z-index:15852544;mso-wrap-distance-left:0;mso-wrap-distance-right:0;mso-position-horizontal-relative:page" coordsize="930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">
                <v:shape id="Graphic 538" o:spid="_x0000_s1027" style="position:absolute;top:276;width:8769;height:13;visibility:visible;mso-wrap-style:square;v-text-anchor:top" coordsize="876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" path="m,l876690,e" filled="f" strokeweight=".25633mm">
                  <v:path arrowok="t"/>
                </v:shape>
                <v:shape id="Graphic 539" o:spid="_x0000_s1028" style="position:absolute;left:8766;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" path="m53831,64598l,64598,,,53831,r,64598xe" fillcolor="#0000c0" stroked="f">
                  <v:path arrowok="t"/>
                </v:shape>
                <w10:wrap anchorx="page"/>
              </v:group>
            </w:pict>
          </mc:Fallback>
        </mc:AlternateContent>
      </w:r>
      <w:r w:rsidRPr="003C6DAE">
        <w:rPr>
          <w:rFonts w:ascii="Trebuchet MS"/>
          <w:w w:val="85"/>
          <w:sz w:val="17"/>
          <w:lang w:val="uk-UA"/>
        </w:rPr>
        <w:t>0</w:t>
      </w:r>
      <w:r w:rsidRPr="003C6DAE">
        <w:rPr>
          <w:rFonts w:ascii="Trebuchet MS"/>
          <w:spacing w:val="49"/>
          <w:sz w:val="17"/>
          <w:lang w:val="uk-UA"/>
        </w:rPr>
        <w:t xml:space="preserve"> </w:t>
      </w:r>
      <w:r w:rsidRPr="003C6DAE">
        <w:rPr>
          <w:rFonts w:ascii="Trebuchet MS"/>
          <w:w w:val="85"/>
          <w:sz w:val="17"/>
          <w:lang w:val="uk-UA"/>
        </w:rPr>
        <w:t>0.2</w:t>
      </w:r>
      <w:r w:rsidRPr="003C6DAE">
        <w:rPr>
          <w:rFonts w:ascii="Trebuchet MS"/>
          <w:spacing w:val="32"/>
          <w:sz w:val="17"/>
          <w:lang w:val="uk-UA"/>
        </w:rPr>
        <w:t xml:space="preserve"> </w:t>
      </w:r>
      <w:r w:rsidRPr="003C6DAE">
        <w:rPr>
          <w:rFonts w:ascii="Trebuchet MS"/>
          <w:w w:val="85"/>
          <w:sz w:val="17"/>
          <w:lang w:val="uk-UA"/>
        </w:rPr>
        <w:t>0.4</w:t>
      </w:r>
      <w:r w:rsidRPr="003C6DAE">
        <w:rPr>
          <w:rFonts w:ascii="Trebuchet MS"/>
          <w:spacing w:val="32"/>
          <w:sz w:val="17"/>
          <w:lang w:val="uk-UA"/>
        </w:rPr>
        <w:t xml:space="preserve"> </w:t>
      </w:r>
      <w:r w:rsidRPr="003C6DAE">
        <w:rPr>
          <w:rFonts w:ascii="Trebuchet MS"/>
          <w:w w:val="85"/>
          <w:sz w:val="17"/>
          <w:lang w:val="uk-UA"/>
        </w:rPr>
        <w:t>0.6</w:t>
      </w:r>
      <w:r w:rsidRPr="003C6DAE">
        <w:rPr>
          <w:rFonts w:ascii="Trebuchet MS"/>
          <w:spacing w:val="32"/>
          <w:sz w:val="17"/>
          <w:lang w:val="uk-UA"/>
        </w:rPr>
        <w:t xml:space="preserve"> </w:t>
      </w:r>
      <w:r w:rsidRPr="003C6DAE">
        <w:rPr>
          <w:rFonts w:ascii="Trebuchet MS"/>
          <w:w w:val="85"/>
          <w:sz w:val="17"/>
          <w:lang w:val="uk-UA"/>
        </w:rPr>
        <w:t>0.8</w:t>
      </w:r>
      <w:r w:rsidRPr="003C6DAE">
        <w:rPr>
          <w:rFonts w:ascii="Trebuchet MS"/>
          <w:spacing w:val="50"/>
          <w:sz w:val="17"/>
          <w:lang w:val="uk-UA"/>
        </w:rPr>
        <w:t xml:space="preserve"> </w:t>
      </w:r>
      <w:r w:rsidRPr="003C6DAE">
        <w:rPr>
          <w:rFonts w:ascii="Trebuchet MS"/>
          <w:spacing w:val="-10"/>
          <w:w w:val="85"/>
          <w:sz w:val="17"/>
          <w:lang w:val="uk-UA"/>
        </w:rPr>
        <w:t>1</w:t>
      </w:r>
    </w:p>
    <w:p w14:paraId="6C8FD3C1" w14:textId="0527F797" w:rsidR="00E05B98" w:rsidRPr="003C6DAE" w:rsidRDefault="00B01E0C">
      <w:pPr>
        <w:spacing w:before="194"/>
        <w:ind w:left="178"/>
        <w:rPr>
          <w:rFonts w:ascii="Trebuchet MS"/>
          <w:sz w:val="17"/>
          <w:lang w:val="uk-UA"/>
        </w:rPr>
      </w:pPr>
      <w:r w:rsidRPr="003C6DAE">
        <w:rPr>
          <w:lang w:val="uk-UA"/>
        </w:rPr>
        <w:br w:type="column"/>
      </w:r>
      <w:r w:rsidR="00CD655F" w:rsidRPr="003C6DAE">
        <w:rPr>
          <w:rFonts w:ascii="Trebuchet MS"/>
          <w:color w:val="333333"/>
          <w:w w:val="80"/>
          <w:sz w:val="17"/>
          <w:lang w:val="uk-UA"/>
        </w:rPr>
        <w:t>Специфічність</w:t>
      </w:r>
      <w:r w:rsidRPr="003C6DAE">
        <w:rPr>
          <w:rFonts w:ascii="Trebuchet MS"/>
          <w:color w:val="333333"/>
          <w:spacing w:val="16"/>
          <w:sz w:val="17"/>
          <w:lang w:val="uk-UA"/>
        </w:rPr>
        <w:t xml:space="preserve"> </w:t>
      </w:r>
      <w:r w:rsidRPr="003C6DAE">
        <w:rPr>
          <w:rFonts w:ascii="Trebuchet MS"/>
          <w:color w:val="333333"/>
          <w:w w:val="80"/>
          <w:sz w:val="17"/>
          <w:lang w:val="uk-UA"/>
        </w:rPr>
        <w:t>(95%</w:t>
      </w:r>
      <w:r w:rsidRPr="003C6DAE">
        <w:rPr>
          <w:rFonts w:ascii="Trebuchet MS"/>
          <w:color w:val="333333"/>
          <w:spacing w:val="18"/>
          <w:sz w:val="17"/>
          <w:lang w:val="uk-UA"/>
        </w:rPr>
        <w:t xml:space="preserve"> </w:t>
      </w:r>
      <w:r w:rsidR="00CD655F" w:rsidRPr="003C6DAE">
        <w:rPr>
          <w:rFonts w:ascii="Trebuchet MS"/>
          <w:color w:val="333333"/>
          <w:w w:val="80"/>
          <w:sz w:val="17"/>
          <w:lang w:val="uk-UA"/>
        </w:rPr>
        <w:t>ДІ</w:t>
      </w:r>
      <w:r w:rsidRPr="003C6DAE">
        <w:rPr>
          <w:rFonts w:ascii="Trebuchet MS"/>
          <w:color w:val="333333"/>
          <w:spacing w:val="-5"/>
          <w:w w:val="80"/>
          <w:sz w:val="17"/>
          <w:lang w:val="uk-UA"/>
        </w:rPr>
        <w:t>)</w:t>
      </w:r>
    </w:p>
    <w:p w14:paraId="64BB848E" w14:textId="77777777" w:rsidR="00E05B98" w:rsidRPr="003C6DAE" w:rsidRDefault="00B01E0C">
      <w:pPr>
        <w:pStyle w:val="a3"/>
        <w:spacing w:before="8"/>
        <w:rPr>
          <w:rFonts w:ascii="Trebuchet MS"/>
          <w:sz w:val="4"/>
          <w:lang w:val="uk-UA"/>
        </w:rPr>
      </w:pPr>
      <w:r w:rsidRPr="003C6DAE">
        <w:rPr>
          <w:rFonts w:ascii="Trebuchet MS"/>
          <w:noProof/>
          <w:sz w:val="4"/>
          <w:lang w:val="uk-UA"/>
        </w:rPr>
        <mc:AlternateContent>
          <mc:Choice Requires="wpg">
            <w:drawing>
              <wp:anchor distT="0" distB="0" distL="0" distR="0" simplePos="0" relativeHeight="487702016" behindDoc="1" locked="0" layoutInCell="1" allowOverlap="1" wp14:anchorId="310E4470" wp14:editId="5080C11E">
                <wp:simplePos x="0" y="0"/>
                <wp:positionH relativeFrom="page">
                  <wp:posOffset>6458522</wp:posOffset>
                </wp:positionH>
                <wp:positionV relativeFrom="paragraph">
                  <wp:posOffset>50084</wp:posOffset>
                </wp:positionV>
                <wp:extent cx="120014" cy="64769"/>
                <wp:effectExtent l="0" t="0" r="0" b="0"/>
                <wp:wrapTopAndBottom/>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4" cy="64769"/>
                          <a:chOff x="0" y="0"/>
                          <a:chExt cx="120014" cy="64769"/>
                        </a:xfrm>
                      </wpg:grpSpPr>
                      <wps:wsp>
                        <wps:cNvPr id="541" name="Graphic 541"/>
                        <wps:cNvSpPr/>
                        <wps:spPr>
                          <a:xfrm>
                            <a:off x="0" y="27684"/>
                            <a:ext cx="65405" cy="1270"/>
                          </a:xfrm>
                          <a:custGeom>
                            <a:avLst/>
                            <a:gdLst/>
                            <a:ahLst/>
                            <a:cxnLst/>
                            <a:rect l="l" t="t" r="r" b="b"/>
                            <a:pathLst>
                              <a:path w="65405">
                                <a:moveTo>
                                  <a:pt x="0" y="0"/>
                                </a:moveTo>
                                <a:lnTo>
                                  <a:pt x="64982" y="0"/>
                                </a:lnTo>
                              </a:path>
                            </a:pathLst>
                          </a:custGeom>
                          <a:ln w="9228">
                            <a:solidFill>
                              <a:srgbClr val="000000"/>
                            </a:solidFill>
                            <a:prstDash val="solid"/>
                          </a:ln>
                        </wps:spPr>
                        <wps:bodyPr wrap="square" lIns="0" tIns="0" rIns="0" bIns="0" rtlCol="0">
                          <a:prstTxWarp prst="textNoShape">
                            <a:avLst/>
                          </a:prstTxWarp>
                          <a:noAutofit/>
                        </wps:bodyPr>
                      </wps:wsp>
                      <wps:wsp>
                        <wps:cNvPr id="542" name="Graphic 542"/>
                        <wps:cNvSpPr/>
                        <wps:spPr>
                          <a:xfrm>
                            <a:off x="119390" y="23070"/>
                            <a:ext cx="1270" cy="9525"/>
                          </a:xfrm>
                          <a:custGeom>
                            <a:avLst/>
                            <a:gdLst/>
                            <a:ahLst/>
                            <a:cxnLst/>
                            <a:rect l="l" t="t" r="r" b="b"/>
                            <a:pathLst>
                              <a:path h="9525">
                                <a:moveTo>
                                  <a:pt x="0" y="0"/>
                                </a:moveTo>
                                <a:lnTo>
                                  <a:pt x="0" y="9228"/>
                                </a:lnTo>
                              </a:path>
                            </a:pathLst>
                          </a:custGeom>
                          <a:ln w="1154">
                            <a:solidFill>
                              <a:srgbClr val="000000"/>
                            </a:solidFill>
                            <a:prstDash val="solid"/>
                          </a:ln>
                        </wps:spPr>
                        <wps:bodyPr wrap="square" lIns="0" tIns="0" rIns="0" bIns="0" rtlCol="0">
                          <a:prstTxWarp prst="textNoShape">
                            <a:avLst/>
                          </a:prstTxWarp>
                          <a:noAutofit/>
                        </wps:bodyPr>
                      </wps:wsp>
                      <wps:wsp>
                        <wps:cNvPr id="543" name="Graphic 543"/>
                        <wps:cNvSpPr/>
                        <wps:spPr>
                          <a:xfrm>
                            <a:off x="64982"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0EB4971" id="Group 540" o:spid="_x0000_s1026" style="position:absolute;margin-left:508.55pt;margin-top:3.95pt;width:9.45pt;height:5.1pt;z-index:-15614464;mso-wrap-distance-left:0;mso-wrap-distance-right:0;mso-position-horizontal-relative:page" coordsize="120014,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">
                <v:shape id="Graphic 541" o:spid="_x0000_s1027" style="position:absolute;top:27684;width:65405;height:1270;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" path="m,l64982,e" filled="f" strokeweight=".25633mm">
                  <v:path arrowok="t"/>
                </v:shape>
                <v:shape id="Graphic 542" o:spid="_x0000_s1028" style="position:absolute;left:119390;top:23070;width:1270;height:952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" path="m,l,9228e" filled="f" strokeweight=".03206mm">
                  <v:path arrowok="t"/>
                </v:shape>
                <v:shape id="Graphic 543" o:spid="_x0000_s1029" style="position:absolute;left:64982;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" path="m53831,64598l,64598,,,53831,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02528" behindDoc="1" locked="0" layoutInCell="1" allowOverlap="1" wp14:anchorId="20672C9A" wp14:editId="767D7D3A">
                <wp:simplePos x="0" y="0"/>
                <wp:positionH relativeFrom="page">
                  <wp:posOffset>6158986</wp:posOffset>
                </wp:positionH>
                <wp:positionV relativeFrom="paragraph">
                  <wp:posOffset>197735</wp:posOffset>
                </wp:positionV>
                <wp:extent cx="455295" cy="64769"/>
                <wp:effectExtent l="0" t="0" r="0" b="0"/>
                <wp:wrapTopAndBottom/>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295" cy="64769"/>
                          <a:chOff x="0" y="0"/>
                          <a:chExt cx="455295" cy="64769"/>
                        </a:xfrm>
                      </wpg:grpSpPr>
                      <wps:wsp>
                        <wps:cNvPr id="545" name="Graphic 545"/>
                        <wps:cNvSpPr/>
                        <wps:spPr>
                          <a:xfrm>
                            <a:off x="0" y="27685"/>
                            <a:ext cx="401320" cy="1270"/>
                          </a:xfrm>
                          <a:custGeom>
                            <a:avLst/>
                            <a:gdLst/>
                            <a:ahLst/>
                            <a:cxnLst/>
                            <a:rect l="l" t="t" r="r" b="b"/>
                            <a:pathLst>
                              <a:path w="401320">
                                <a:moveTo>
                                  <a:pt x="0" y="0"/>
                                </a:moveTo>
                                <a:lnTo>
                                  <a:pt x="401046" y="0"/>
                                </a:lnTo>
                              </a:path>
                            </a:pathLst>
                          </a:custGeom>
                          <a:ln w="9228">
                            <a:solidFill>
                              <a:srgbClr val="000000"/>
                            </a:solidFill>
                            <a:prstDash val="solid"/>
                          </a:ln>
                        </wps:spPr>
                        <wps:bodyPr wrap="square" lIns="0" tIns="0" rIns="0" bIns="0" rtlCol="0">
                          <a:prstTxWarp prst="textNoShape">
                            <a:avLst/>
                          </a:prstTxWarp>
                          <a:noAutofit/>
                        </wps:bodyPr>
                      </wps:wsp>
                      <wps:wsp>
                        <wps:cNvPr id="546" name="Graphic 546"/>
                        <wps:cNvSpPr/>
                        <wps:spPr>
                          <a:xfrm>
                            <a:off x="401046"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F482A18" id="Group 544" o:spid="_x0000_s1026" style="position:absolute;margin-left:484.95pt;margin-top:15.55pt;width:35.85pt;height:5.1pt;z-index:-15613952;mso-wrap-distance-left:0;mso-wrap-distance-right:0;mso-position-horizontal-relative:page" coordsize="45529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">
                <v:shape id="Graphic 545" o:spid="_x0000_s1027" style="position:absolute;top:27685;width:401320;height:1270;visibility:visible;mso-wrap-style:square;v-text-anchor:top" coordsize="401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" path="m,l401046,e" filled="f" strokeweight=".25633mm">
                  <v:path arrowok="t"/>
                </v:shape>
                <v:shape id="Graphic 546" o:spid="_x0000_s1028" style="position:absolute;left:401046;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" path="m53831,64598l,64598,,,53831,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03040" behindDoc="1" locked="0" layoutInCell="1" allowOverlap="1" wp14:anchorId="37E74F1D" wp14:editId="473A1866">
                <wp:simplePos x="0" y="0"/>
                <wp:positionH relativeFrom="page">
                  <wp:posOffset>5683343</wp:posOffset>
                </wp:positionH>
                <wp:positionV relativeFrom="paragraph">
                  <wp:posOffset>345388</wp:posOffset>
                </wp:positionV>
                <wp:extent cx="930910" cy="64769"/>
                <wp:effectExtent l="0" t="0" r="0" b="0"/>
                <wp:wrapTopAndBottom/>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910" cy="64769"/>
                          <a:chOff x="0" y="0"/>
                          <a:chExt cx="930910" cy="64769"/>
                        </a:xfrm>
                      </wpg:grpSpPr>
                      <wps:wsp>
                        <wps:cNvPr id="548" name="Graphic 548"/>
                        <wps:cNvSpPr/>
                        <wps:spPr>
                          <a:xfrm>
                            <a:off x="0" y="27685"/>
                            <a:ext cx="876935" cy="1270"/>
                          </a:xfrm>
                          <a:custGeom>
                            <a:avLst/>
                            <a:gdLst/>
                            <a:ahLst/>
                            <a:cxnLst/>
                            <a:rect l="l" t="t" r="r" b="b"/>
                            <a:pathLst>
                              <a:path w="876935">
                                <a:moveTo>
                                  <a:pt x="0" y="0"/>
                                </a:moveTo>
                                <a:lnTo>
                                  <a:pt x="876689" y="0"/>
                                </a:lnTo>
                              </a:path>
                            </a:pathLst>
                          </a:custGeom>
                          <a:ln w="9228">
                            <a:solidFill>
                              <a:srgbClr val="000000"/>
                            </a:solidFill>
                            <a:prstDash val="solid"/>
                          </a:ln>
                        </wps:spPr>
                        <wps:bodyPr wrap="square" lIns="0" tIns="0" rIns="0" bIns="0" rtlCol="0">
                          <a:prstTxWarp prst="textNoShape">
                            <a:avLst/>
                          </a:prstTxWarp>
                          <a:noAutofit/>
                        </wps:bodyPr>
                      </wps:wsp>
                      <wps:wsp>
                        <wps:cNvPr id="549" name="Graphic 549"/>
                        <wps:cNvSpPr/>
                        <wps:spPr>
                          <a:xfrm>
                            <a:off x="876689" y="0"/>
                            <a:ext cx="53975" cy="64769"/>
                          </a:xfrm>
                          <a:custGeom>
                            <a:avLst/>
                            <a:gdLst/>
                            <a:ahLst/>
                            <a:cxnLst/>
                            <a:rect l="l" t="t" r="r" b="b"/>
                            <a:pathLst>
                              <a:path w="53975" h="64769">
                                <a:moveTo>
                                  <a:pt x="53831" y="64599"/>
                                </a:moveTo>
                                <a:lnTo>
                                  <a:pt x="0" y="64599"/>
                                </a:lnTo>
                                <a:lnTo>
                                  <a:pt x="0" y="0"/>
                                </a:lnTo>
                                <a:lnTo>
                                  <a:pt x="53831" y="0"/>
                                </a:lnTo>
                                <a:lnTo>
                                  <a:pt x="53831" y="64599"/>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6EAD01E" id="Group 547" o:spid="_x0000_s1026" style="position:absolute;margin-left:447.5pt;margin-top:27.2pt;width:73.3pt;height:5.1pt;z-index:-15613440;mso-wrap-distance-left:0;mso-wrap-distance-right:0;mso-position-horizontal-relative:page" coordsize="930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">
                <v:shape id="Graphic 548" o:spid="_x0000_s1027" style="position:absolute;top:276;width:8769;height:13;visibility:visible;mso-wrap-style:square;v-text-anchor:top" coordsize="876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" path="m,l876689,e" filled="f" strokeweight=".25633mm">
                  <v:path arrowok="t"/>
                </v:shape>
                <v:shape id="Graphic 549" o:spid="_x0000_s1028" style="position:absolute;left:8766;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" path="m53831,64599l,64599,,,53831,r,64599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03552" behindDoc="1" locked="0" layoutInCell="1" allowOverlap="1" wp14:anchorId="16E4BA80" wp14:editId="1AC6E47D">
                <wp:simplePos x="0" y="0"/>
                <wp:positionH relativeFrom="page">
                  <wp:posOffset>6515813</wp:posOffset>
                </wp:positionH>
                <wp:positionV relativeFrom="paragraph">
                  <wp:posOffset>493042</wp:posOffset>
                </wp:positionV>
                <wp:extent cx="98425" cy="64769"/>
                <wp:effectExtent l="0" t="0" r="0" b="0"/>
                <wp:wrapTopAndBottom/>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64769"/>
                          <a:chOff x="0" y="0"/>
                          <a:chExt cx="98425" cy="64769"/>
                        </a:xfrm>
                      </wpg:grpSpPr>
                      <wps:wsp>
                        <wps:cNvPr id="551" name="Graphic 551"/>
                        <wps:cNvSpPr/>
                        <wps:spPr>
                          <a:xfrm>
                            <a:off x="0" y="27684"/>
                            <a:ext cx="44450" cy="1270"/>
                          </a:xfrm>
                          <a:custGeom>
                            <a:avLst/>
                            <a:gdLst/>
                            <a:ahLst/>
                            <a:cxnLst/>
                            <a:rect l="l" t="t" r="r" b="b"/>
                            <a:pathLst>
                              <a:path w="44450">
                                <a:moveTo>
                                  <a:pt x="0" y="0"/>
                                </a:moveTo>
                                <a:lnTo>
                                  <a:pt x="44219" y="0"/>
                                </a:lnTo>
                              </a:path>
                            </a:pathLst>
                          </a:custGeom>
                          <a:ln w="9228">
                            <a:solidFill>
                              <a:srgbClr val="000000"/>
                            </a:solidFill>
                            <a:prstDash val="solid"/>
                          </a:ln>
                        </wps:spPr>
                        <wps:bodyPr wrap="square" lIns="0" tIns="0" rIns="0" bIns="0" rtlCol="0">
                          <a:prstTxWarp prst="textNoShape">
                            <a:avLst/>
                          </a:prstTxWarp>
                          <a:noAutofit/>
                        </wps:bodyPr>
                      </wps:wsp>
                      <wps:wsp>
                        <wps:cNvPr id="552" name="Graphic 552"/>
                        <wps:cNvSpPr/>
                        <wps:spPr>
                          <a:xfrm>
                            <a:off x="44219"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8B561BE" id="Group 550" o:spid="_x0000_s1026" style="position:absolute;margin-left:513.05pt;margin-top:38.8pt;width:7.75pt;height:5.1pt;z-index:-15612928;mso-wrap-distance-left:0;mso-wrap-distance-right:0;mso-position-horizontal-relative:page" coordsize="9842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">
                <v:shape id="Graphic 551" o:spid="_x0000_s1027" style="position:absolute;top:27684;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" path="m,l44219,e" filled="f" strokeweight=".25633mm">
                  <v:path arrowok="t"/>
                </v:shape>
                <v:shape id="Graphic 552" o:spid="_x0000_s1028" style="position:absolute;left:44219;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" path="m53831,64598l,64598,,,53831,r,64598xe" fillcolor="#0000c0" stroked="f">
                  <v:path arrowok="t"/>
                </v:shape>
                <w10:wrap type="topAndBottom" anchorx="page"/>
              </v:group>
            </w:pict>
          </mc:Fallback>
        </mc:AlternateContent>
      </w:r>
      <w:r w:rsidRPr="003C6DAE">
        <w:rPr>
          <w:rFonts w:ascii="Trebuchet MS"/>
          <w:noProof/>
          <w:sz w:val="4"/>
          <w:lang w:val="uk-UA"/>
        </w:rPr>
        <mc:AlternateContent>
          <mc:Choice Requires="wps">
            <w:drawing>
              <wp:anchor distT="0" distB="0" distL="0" distR="0" simplePos="0" relativeHeight="487704064" behindDoc="1" locked="0" layoutInCell="1" allowOverlap="1" wp14:anchorId="5053F5A0" wp14:editId="5B38444F">
                <wp:simplePos x="0" y="0"/>
                <wp:positionH relativeFrom="page">
                  <wp:posOffset>6560030</wp:posOffset>
                </wp:positionH>
                <wp:positionV relativeFrom="paragraph">
                  <wp:posOffset>640694</wp:posOffset>
                </wp:positionV>
                <wp:extent cx="53975" cy="64769"/>
                <wp:effectExtent l="0" t="0" r="0" b="0"/>
                <wp:wrapTopAndBottom/>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64769"/>
                        </a:xfrm>
                        <a:custGeom>
                          <a:avLst/>
                          <a:gdLst/>
                          <a:ahLst/>
                          <a:cxnLst/>
                          <a:rect l="l" t="t" r="r" b="b"/>
                          <a:pathLst>
                            <a:path w="53975" h="64769">
                              <a:moveTo>
                                <a:pt x="53832" y="64598"/>
                              </a:moveTo>
                              <a:lnTo>
                                <a:pt x="0" y="64598"/>
                              </a:lnTo>
                              <a:lnTo>
                                <a:pt x="0" y="0"/>
                              </a:lnTo>
                              <a:lnTo>
                                <a:pt x="53832" y="0"/>
                              </a:lnTo>
                              <a:lnTo>
                                <a:pt x="53832" y="64598"/>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7EA05374" id="Graphic 553" o:spid="_x0000_s1026" style="position:absolute;margin-left:516.55pt;margin-top:50.45pt;width:4.25pt;height:5.1pt;z-index:-15612416;visibility:visible;mso-wrap-style:square;mso-wrap-distance-left:0;mso-wrap-distance-top:0;mso-wrap-distance-right:0;mso-wrap-distance-bottom:0;mso-position-horizontal:absolute;mso-position-horizontal-relative:page;mso-position-vertical:absolute;mso-position-vertical-relative:text;v-text-anchor:top" coordsize="5397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" path="m53832,64598l,64598,,,53832,r,64598xe" fillcolor="#0000c0" stroked="f">
                <v:path arrowok="t"/>
                <w10:wrap type="topAndBottom" anchorx="page"/>
              </v:shape>
            </w:pict>
          </mc:Fallback>
        </mc:AlternateContent>
      </w:r>
      <w:r w:rsidRPr="003C6DAE">
        <w:rPr>
          <w:rFonts w:ascii="Trebuchet MS"/>
          <w:noProof/>
          <w:sz w:val="4"/>
          <w:lang w:val="uk-UA"/>
        </w:rPr>
        <mc:AlternateContent>
          <mc:Choice Requires="wpg">
            <w:drawing>
              <wp:anchor distT="0" distB="0" distL="0" distR="0" simplePos="0" relativeHeight="487704576" behindDoc="1" locked="0" layoutInCell="1" allowOverlap="1" wp14:anchorId="4A967809" wp14:editId="18A16DAF">
                <wp:simplePos x="0" y="0"/>
                <wp:positionH relativeFrom="page">
                  <wp:posOffset>6026326</wp:posOffset>
                </wp:positionH>
                <wp:positionV relativeFrom="paragraph">
                  <wp:posOffset>788348</wp:posOffset>
                </wp:positionV>
                <wp:extent cx="213360" cy="64769"/>
                <wp:effectExtent l="0" t="0" r="0" b="0"/>
                <wp:wrapTopAndBottom/>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 cy="64769"/>
                          <a:chOff x="0" y="0"/>
                          <a:chExt cx="213360" cy="64769"/>
                        </a:xfrm>
                      </wpg:grpSpPr>
                      <wps:wsp>
                        <wps:cNvPr id="555" name="Graphic 555"/>
                        <wps:cNvSpPr/>
                        <wps:spPr>
                          <a:xfrm>
                            <a:off x="0" y="27684"/>
                            <a:ext cx="213360" cy="1270"/>
                          </a:xfrm>
                          <a:custGeom>
                            <a:avLst/>
                            <a:gdLst/>
                            <a:ahLst/>
                            <a:cxnLst/>
                            <a:rect l="l" t="t" r="r" b="b"/>
                            <a:pathLst>
                              <a:path w="213360">
                                <a:moveTo>
                                  <a:pt x="0" y="0"/>
                                </a:moveTo>
                                <a:lnTo>
                                  <a:pt x="83822" y="0"/>
                                </a:lnTo>
                              </a:path>
                              <a:path w="213360">
                                <a:moveTo>
                                  <a:pt x="137656" y="0"/>
                                </a:moveTo>
                                <a:lnTo>
                                  <a:pt x="213020" y="0"/>
                                </a:lnTo>
                              </a:path>
                            </a:pathLst>
                          </a:custGeom>
                          <a:ln w="9228">
                            <a:solidFill>
                              <a:srgbClr val="000000"/>
                            </a:solidFill>
                            <a:prstDash val="solid"/>
                          </a:ln>
                        </wps:spPr>
                        <wps:bodyPr wrap="square" lIns="0" tIns="0" rIns="0" bIns="0" rtlCol="0">
                          <a:prstTxWarp prst="textNoShape">
                            <a:avLst/>
                          </a:prstTxWarp>
                          <a:noAutofit/>
                        </wps:bodyPr>
                      </wps:wsp>
                      <wps:wsp>
                        <wps:cNvPr id="556" name="Graphic 556"/>
                        <wps:cNvSpPr/>
                        <wps:spPr>
                          <a:xfrm>
                            <a:off x="83822" y="0"/>
                            <a:ext cx="53975" cy="64769"/>
                          </a:xfrm>
                          <a:custGeom>
                            <a:avLst/>
                            <a:gdLst/>
                            <a:ahLst/>
                            <a:cxnLst/>
                            <a:rect l="l" t="t" r="r" b="b"/>
                            <a:pathLst>
                              <a:path w="53975" h="64769">
                                <a:moveTo>
                                  <a:pt x="53833" y="64598"/>
                                </a:moveTo>
                                <a:lnTo>
                                  <a:pt x="0" y="64598"/>
                                </a:lnTo>
                                <a:lnTo>
                                  <a:pt x="0" y="0"/>
                                </a:lnTo>
                                <a:lnTo>
                                  <a:pt x="53833" y="0"/>
                                </a:lnTo>
                                <a:lnTo>
                                  <a:pt x="53833"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A09A303" id="Group 554" o:spid="_x0000_s1026" style="position:absolute;margin-left:474.5pt;margin-top:62.05pt;width:16.8pt;height:5.1pt;z-index:-15611904;mso-wrap-distance-left:0;mso-wrap-distance-right:0;mso-position-horizontal-relative:page" coordsize="21336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">
                <v:shape id="Graphic 555" o:spid="_x0000_s1027" style="position:absolute;top:27684;width:213360;height:1270;visibility:visible;mso-wrap-style:square;v-text-anchor:top" coordsize="21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" path="m,l83822,em137656,r75364,e" filled="f" strokeweight=".25633mm">
                  <v:path arrowok="t"/>
                </v:shape>
                <v:shape id="Graphic 556" o:spid="_x0000_s1028" style="position:absolute;left:83822;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" path="m53833,64598l,64598,,,53833,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05088" behindDoc="1" locked="0" layoutInCell="1" allowOverlap="1" wp14:anchorId="3B1A30BD" wp14:editId="03F98408">
                <wp:simplePos x="0" y="0"/>
                <wp:positionH relativeFrom="page">
                  <wp:posOffset>6446213</wp:posOffset>
                </wp:positionH>
                <wp:positionV relativeFrom="paragraph">
                  <wp:posOffset>936000</wp:posOffset>
                </wp:positionV>
                <wp:extent cx="121285" cy="64769"/>
                <wp:effectExtent l="0" t="0" r="0" b="0"/>
                <wp:wrapTopAndBottom/>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285" cy="64769"/>
                          <a:chOff x="0" y="0"/>
                          <a:chExt cx="121285" cy="64769"/>
                        </a:xfrm>
                      </wpg:grpSpPr>
                      <wps:wsp>
                        <wps:cNvPr id="558" name="Graphic 558"/>
                        <wps:cNvSpPr/>
                        <wps:spPr>
                          <a:xfrm>
                            <a:off x="0" y="27684"/>
                            <a:ext cx="121285" cy="1270"/>
                          </a:xfrm>
                          <a:custGeom>
                            <a:avLst/>
                            <a:gdLst/>
                            <a:ahLst/>
                            <a:cxnLst/>
                            <a:rect l="l" t="t" r="r" b="b"/>
                            <a:pathLst>
                              <a:path w="121285">
                                <a:moveTo>
                                  <a:pt x="0" y="0"/>
                                </a:moveTo>
                                <a:lnTo>
                                  <a:pt x="57676" y="0"/>
                                </a:lnTo>
                              </a:path>
                              <a:path w="121285">
                                <a:moveTo>
                                  <a:pt x="111508" y="0"/>
                                </a:moveTo>
                                <a:lnTo>
                                  <a:pt x="121121" y="0"/>
                                </a:lnTo>
                              </a:path>
                            </a:pathLst>
                          </a:custGeom>
                          <a:ln w="9228">
                            <a:solidFill>
                              <a:srgbClr val="000000"/>
                            </a:solidFill>
                            <a:prstDash val="solid"/>
                          </a:ln>
                        </wps:spPr>
                        <wps:bodyPr wrap="square" lIns="0" tIns="0" rIns="0" bIns="0" rtlCol="0">
                          <a:prstTxWarp prst="textNoShape">
                            <a:avLst/>
                          </a:prstTxWarp>
                          <a:noAutofit/>
                        </wps:bodyPr>
                      </wps:wsp>
                      <wps:wsp>
                        <wps:cNvPr id="559" name="Graphic 559"/>
                        <wps:cNvSpPr/>
                        <wps:spPr>
                          <a:xfrm>
                            <a:off x="57676"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E7264FA" id="Group 557" o:spid="_x0000_s1026" style="position:absolute;margin-left:507.6pt;margin-top:73.7pt;width:9.55pt;height:5.1pt;z-index:-15611392;mso-wrap-distance-left:0;mso-wrap-distance-right:0;mso-position-horizontal-relative:page" coordsize="12128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">
                <v:shape id="Graphic 558" o:spid="_x0000_s1027" style="position:absolute;top:27684;width:121285;height:1270;visibility:visible;mso-wrap-style:square;v-text-anchor:top" coordsize="121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" path="m,l57676,em111508,r9613,e" filled="f" strokeweight=".25633mm">
                  <v:path arrowok="t"/>
                </v:shape>
                <v:shape id="Graphic 559" o:spid="_x0000_s1028" style="position:absolute;left:57676;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" path="m53831,64598l,64598,,,53831,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05600" behindDoc="1" locked="0" layoutInCell="1" allowOverlap="1" wp14:anchorId="2251EF89" wp14:editId="164AD5E4">
                <wp:simplePos x="0" y="0"/>
                <wp:positionH relativeFrom="page">
                  <wp:posOffset>6426602</wp:posOffset>
                </wp:positionH>
                <wp:positionV relativeFrom="paragraph">
                  <wp:posOffset>1083653</wp:posOffset>
                </wp:positionV>
                <wp:extent cx="107314" cy="64769"/>
                <wp:effectExtent l="0" t="0" r="0" b="0"/>
                <wp:wrapTopAndBottom/>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14" cy="64769"/>
                          <a:chOff x="0" y="0"/>
                          <a:chExt cx="107314" cy="64769"/>
                        </a:xfrm>
                      </wpg:grpSpPr>
                      <wps:wsp>
                        <wps:cNvPr id="561" name="Graphic 561"/>
                        <wps:cNvSpPr/>
                        <wps:spPr>
                          <a:xfrm>
                            <a:off x="0" y="27685"/>
                            <a:ext cx="107314" cy="1270"/>
                          </a:xfrm>
                          <a:custGeom>
                            <a:avLst/>
                            <a:gdLst/>
                            <a:ahLst/>
                            <a:cxnLst/>
                            <a:rect l="l" t="t" r="r" b="b"/>
                            <a:pathLst>
                              <a:path w="107314">
                                <a:moveTo>
                                  <a:pt x="0" y="0"/>
                                </a:moveTo>
                                <a:lnTo>
                                  <a:pt x="39988" y="0"/>
                                </a:lnTo>
                              </a:path>
                              <a:path w="107314">
                                <a:moveTo>
                                  <a:pt x="93820" y="0"/>
                                </a:moveTo>
                                <a:lnTo>
                                  <a:pt x="107279" y="0"/>
                                </a:lnTo>
                              </a:path>
                            </a:pathLst>
                          </a:custGeom>
                          <a:ln w="9228">
                            <a:solidFill>
                              <a:srgbClr val="000000"/>
                            </a:solidFill>
                            <a:prstDash val="solid"/>
                          </a:ln>
                        </wps:spPr>
                        <wps:bodyPr wrap="square" lIns="0" tIns="0" rIns="0" bIns="0" rtlCol="0">
                          <a:prstTxWarp prst="textNoShape">
                            <a:avLst/>
                          </a:prstTxWarp>
                          <a:noAutofit/>
                        </wps:bodyPr>
                      </wps:wsp>
                      <wps:wsp>
                        <wps:cNvPr id="562" name="Graphic 562"/>
                        <wps:cNvSpPr/>
                        <wps:spPr>
                          <a:xfrm>
                            <a:off x="39988"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87D1F98" id="Group 560" o:spid="_x0000_s1026" style="position:absolute;margin-left:506.05pt;margin-top:85.35pt;width:8.45pt;height:5.1pt;z-index:-15610880;mso-wrap-distance-left:0;mso-wrap-distance-right:0;mso-position-horizontal-relative:page" coordsize="107314,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">
                <v:shape id="Graphic 561" o:spid="_x0000_s1027" style="position:absolute;top:27685;width:107314;height:1270;visibility:visible;mso-wrap-style:square;v-text-anchor:top" coordsize="1073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" path="m,l39988,em93820,r13459,e" filled="f" strokeweight=".25633mm">
                  <v:path arrowok="t"/>
                </v:shape>
                <v:shape id="Graphic 562" o:spid="_x0000_s1028" style="position:absolute;left:39988;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" path="m53831,64598l,64598,,,53831,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06112" behindDoc="1" locked="0" layoutInCell="1" allowOverlap="1" wp14:anchorId="2A3024D4" wp14:editId="4FFC3B08">
                <wp:simplePos x="0" y="0"/>
                <wp:positionH relativeFrom="page">
                  <wp:posOffset>6457363</wp:posOffset>
                </wp:positionH>
                <wp:positionV relativeFrom="paragraph">
                  <wp:posOffset>1231305</wp:posOffset>
                </wp:positionV>
                <wp:extent cx="81280" cy="64769"/>
                <wp:effectExtent l="0" t="0" r="0" b="0"/>
                <wp:wrapTopAndBottom/>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64769"/>
                          <a:chOff x="0" y="0"/>
                          <a:chExt cx="81280" cy="64769"/>
                        </a:xfrm>
                      </wpg:grpSpPr>
                      <wps:wsp>
                        <wps:cNvPr id="564" name="Graphic 564"/>
                        <wps:cNvSpPr/>
                        <wps:spPr>
                          <a:xfrm>
                            <a:off x="0" y="27685"/>
                            <a:ext cx="24765" cy="1270"/>
                          </a:xfrm>
                          <a:custGeom>
                            <a:avLst/>
                            <a:gdLst/>
                            <a:ahLst/>
                            <a:cxnLst/>
                            <a:rect l="l" t="t" r="r" b="b"/>
                            <a:pathLst>
                              <a:path w="24765">
                                <a:moveTo>
                                  <a:pt x="0" y="0"/>
                                </a:moveTo>
                                <a:lnTo>
                                  <a:pt x="24223" y="0"/>
                                </a:lnTo>
                              </a:path>
                            </a:pathLst>
                          </a:custGeom>
                          <a:ln w="9228">
                            <a:solidFill>
                              <a:srgbClr val="000000"/>
                            </a:solidFill>
                            <a:prstDash val="solid"/>
                          </a:ln>
                        </wps:spPr>
                        <wps:bodyPr wrap="square" lIns="0" tIns="0" rIns="0" bIns="0" rtlCol="0">
                          <a:prstTxWarp prst="textNoShape">
                            <a:avLst/>
                          </a:prstTxWarp>
                          <a:noAutofit/>
                        </wps:bodyPr>
                      </wps:wsp>
                      <wps:wsp>
                        <wps:cNvPr id="565" name="Graphic 565"/>
                        <wps:cNvSpPr/>
                        <wps:spPr>
                          <a:xfrm>
                            <a:off x="79593" y="23071"/>
                            <a:ext cx="1270" cy="9525"/>
                          </a:xfrm>
                          <a:custGeom>
                            <a:avLst/>
                            <a:gdLst/>
                            <a:ahLst/>
                            <a:cxnLst/>
                            <a:rect l="l" t="t" r="r" b="b"/>
                            <a:pathLst>
                              <a:path h="9525">
                                <a:moveTo>
                                  <a:pt x="0" y="0"/>
                                </a:moveTo>
                                <a:lnTo>
                                  <a:pt x="0" y="9228"/>
                                </a:lnTo>
                              </a:path>
                            </a:pathLst>
                          </a:custGeom>
                          <a:ln w="3077">
                            <a:solidFill>
                              <a:srgbClr val="000000"/>
                            </a:solidFill>
                            <a:prstDash val="solid"/>
                          </a:ln>
                        </wps:spPr>
                        <wps:bodyPr wrap="square" lIns="0" tIns="0" rIns="0" bIns="0" rtlCol="0">
                          <a:prstTxWarp prst="textNoShape">
                            <a:avLst/>
                          </a:prstTxWarp>
                          <a:noAutofit/>
                        </wps:bodyPr>
                      </wps:wsp>
                      <wps:wsp>
                        <wps:cNvPr id="566" name="Graphic 566"/>
                        <wps:cNvSpPr/>
                        <wps:spPr>
                          <a:xfrm>
                            <a:off x="24223" y="0"/>
                            <a:ext cx="53975" cy="64769"/>
                          </a:xfrm>
                          <a:custGeom>
                            <a:avLst/>
                            <a:gdLst/>
                            <a:ahLst/>
                            <a:cxnLst/>
                            <a:rect l="l" t="t" r="r" b="b"/>
                            <a:pathLst>
                              <a:path w="53975" h="64769">
                                <a:moveTo>
                                  <a:pt x="53831" y="64599"/>
                                </a:moveTo>
                                <a:lnTo>
                                  <a:pt x="0" y="64599"/>
                                </a:lnTo>
                                <a:lnTo>
                                  <a:pt x="0" y="0"/>
                                </a:lnTo>
                                <a:lnTo>
                                  <a:pt x="53831" y="0"/>
                                </a:lnTo>
                                <a:lnTo>
                                  <a:pt x="53831" y="64599"/>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7A80593" id="Group 563" o:spid="_x0000_s1026" style="position:absolute;margin-left:508.45pt;margin-top:96.95pt;width:6.4pt;height:5.1pt;z-index:-15610368;mso-wrap-distance-left:0;mso-wrap-distance-right:0;mso-position-horizontal-relative:page" coordsize="8128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">
                <v:shape id="Graphic 564" o:spid="_x0000_s1027" style="position:absolute;top:27685;width:24765;height:1270;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" path="m,l24223,e" filled="f" strokeweight=".25633mm">
                  <v:path arrowok="t"/>
                </v:shape>
                <v:shape id="Graphic 565" o:spid="_x0000_s1028" style="position:absolute;left:79593;top:23071;width:1270;height:952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" path="m,l,9228e" filled="f" strokeweight=".08547mm">
                  <v:path arrowok="t"/>
                </v:shape>
                <v:shape id="Graphic 566" o:spid="_x0000_s1029" style="position:absolute;left:24223;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" path="m53831,64599l,64599,,,53831,r,64599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06624" behindDoc="1" locked="0" layoutInCell="1" allowOverlap="1" wp14:anchorId="20540BF0" wp14:editId="1A718C62">
                <wp:simplePos x="0" y="0"/>
                <wp:positionH relativeFrom="page">
                  <wp:posOffset>6322782</wp:posOffset>
                </wp:positionH>
                <wp:positionV relativeFrom="paragraph">
                  <wp:posOffset>1378959</wp:posOffset>
                </wp:positionV>
                <wp:extent cx="229235" cy="64769"/>
                <wp:effectExtent l="0" t="0" r="0" b="0"/>
                <wp:wrapTopAndBottom/>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235" cy="64769"/>
                          <a:chOff x="0" y="0"/>
                          <a:chExt cx="229235" cy="64769"/>
                        </a:xfrm>
                      </wpg:grpSpPr>
                      <wps:wsp>
                        <wps:cNvPr id="568" name="Graphic 568"/>
                        <wps:cNvSpPr/>
                        <wps:spPr>
                          <a:xfrm>
                            <a:off x="0" y="27684"/>
                            <a:ext cx="229235" cy="1270"/>
                          </a:xfrm>
                          <a:custGeom>
                            <a:avLst/>
                            <a:gdLst/>
                            <a:ahLst/>
                            <a:cxnLst/>
                            <a:rect l="l" t="t" r="r" b="b"/>
                            <a:pathLst>
                              <a:path w="229235">
                                <a:moveTo>
                                  <a:pt x="0" y="0"/>
                                </a:moveTo>
                                <a:lnTo>
                                  <a:pt x="125350" y="0"/>
                                </a:lnTo>
                              </a:path>
                              <a:path w="229235">
                                <a:moveTo>
                                  <a:pt x="179183" y="0"/>
                                </a:moveTo>
                                <a:lnTo>
                                  <a:pt x="228785" y="0"/>
                                </a:lnTo>
                              </a:path>
                            </a:pathLst>
                          </a:custGeom>
                          <a:ln w="9228">
                            <a:solidFill>
                              <a:srgbClr val="000000"/>
                            </a:solidFill>
                            <a:prstDash val="solid"/>
                          </a:ln>
                        </wps:spPr>
                        <wps:bodyPr wrap="square" lIns="0" tIns="0" rIns="0" bIns="0" rtlCol="0">
                          <a:prstTxWarp prst="textNoShape">
                            <a:avLst/>
                          </a:prstTxWarp>
                          <a:noAutofit/>
                        </wps:bodyPr>
                      </wps:wsp>
                      <wps:wsp>
                        <wps:cNvPr id="569" name="Graphic 569"/>
                        <wps:cNvSpPr/>
                        <wps:spPr>
                          <a:xfrm>
                            <a:off x="125350" y="0"/>
                            <a:ext cx="53975" cy="64769"/>
                          </a:xfrm>
                          <a:custGeom>
                            <a:avLst/>
                            <a:gdLst/>
                            <a:ahLst/>
                            <a:cxnLst/>
                            <a:rect l="l" t="t" r="r" b="b"/>
                            <a:pathLst>
                              <a:path w="53975" h="64769">
                                <a:moveTo>
                                  <a:pt x="53833" y="64598"/>
                                </a:moveTo>
                                <a:lnTo>
                                  <a:pt x="0" y="64598"/>
                                </a:lnTo>
                                <a:lnTo>
                                  <a:pt x="0" y="0"/>
                                </a:lnTo>
                                <a:lnTo>
                                  <a:pt x="53833" y="0"/>
                                </a:lnTo>
                                <a:lnTo>
                                  <a:pt x="53833"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7954CFC" id="Group 567" o:spid="_x0000_s1026" style="position:absolute;margin-left:497.85pt;margin-top:108.6pt;width:18.05pt;height:5.1pt;z-index:-15609856;mso-wrap-distance-left:0;mso-wrap-distance-right:0;mso-position-horizontal-relative:page" coordsize="22923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">
                <v:shape id="Graphic 568" o:spid="_x0000_s1027" style="position:absolute;top:27684;width:229235;height:1270;visibility:visible;mso-wrap-style:square;v-text-anchor:top" coordsize="229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" path="m,l125350,em179183,r49602,e" filled="f" strokeweight=".25633mm">
                  <v:path arrowok="t"/>
                </v:shape>
                <v:shape id="Graphic 569" o:spid="_x0000_s1028" style="position:absolute;left:125350;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" path="m53833,64598l,64598,,,53833,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07136" behindDoc="1" locked="0" layoutInCell="1" allowOverlap="1" wp14:anchorId="5D6CF3E7" wp14:editId="1123435A">
                <wp:simplePos x="0" y="0"/>
                <wp:positionH relativeFrom="page">
                  <wp:posOffset>6402760</wp:posOffset>
                </wp:positionH>
                <wp:positionV relativeFrom="paragraph">
                  <wp:posOffset>1526612</wp:posOffset>
                </wp:positionV>
                <wp:extent cx="211454" cy="64769"/>
                <wp:effectExtent l="0" t="0" r="0" b="0"/>
                <wp:wrapTopAndBottom/>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454" cy="64769"/>
                          <a:chOff x="0" y="0"/>
                          <a:chExt cx="211454" cy="64769"/>
                        </a:xfrm>
                      </wpg:grpSpPr>
                      <wps:wsp>
                        <wps:cNvPr id="571" name="Graphic 571"/>
                        <wps:cNvSpPr/>
                        <wps:spPr>
                          <a:xfrm>
                            <a:off x="0" y="27684"/>
                            <a:ext cx="157480" cy="1270"/>
                          </a:xfrm>
                          <a:custGeom>
                            <a:avLst/>
                            <a:gdLst/>
                            <a:ahLst/>
                            <a:cxnLst/>
                            <a:rect l="l" t="t" r="r" b="b"/>
                            <a:pathLst>
                              <a:path w="157480">
                                <a:moveTo>
                                  <a:pt x="0" y="0"/>
                                </a:moveTo>
                                <a:lnTo>
                                  <a:pt x="157265" y="0"/>
                                </a:lnTo>
                              </a:path>
                            </a:pathLst>
                          </a:custGeom>
                          <a:ln w="9228">
                            <a:solidFill>
                              <a:srgbClr val="000000"/>
                            </a:solidFill>
                            <a:prstDash val="solid"/>
                          </a:ln>
                        </wps:spPr>
                        <wps:bodyPr wrap="square" lIns="0" tIns="0" rIns="0" bIns="0" rtlCol="0">
                          <a:prstTxWarp prst="textNoShape">
                            <a:avLst/>
                          </a:prstTxWarp>
                          <a:noAutofit/>
                        </wps:bodyPr>
                      </wps:wsp>
                      <wps:wsp>
                        <wps:cNvPr id="572" name="Graphic 572"/>
                        <wps:cNvSpPr/>
                        <wps:spPr>
                          <a:xfrm>
                            <a:off x="157265" y="0"/>
                            <a:ext cx="53975" cy="64769"/>
                          </a:xfrm>
                          <a:custGeom>
                            <a:avLst/>
                            <a:gdLst/>
                            <a:ahLst/>
                            <a:cxnLst/>
                            <a:rect l="l" t="t" r="r" b="b"/>
                            <a:pathLst>
                              <a:path w="53975" h="64769">
                                <a:moveTo>
                                  <a:pt x="53831" y="64597"/>
                                </a:moveTo>
                                <a:lnTo>
                                  <a:pt x="0" y="64597"/>
                                </a:lnTo>
                                <a:lnTo>
                                  <a:pt x="0" y="0"/>
                                </a:lnTo>
                                <a:lnTo>
                                  <a:pt x="53831" y="0"/>
                                </a:lnTo>
                                <a:lnTo>
                                  <a:pt x="53831" y="6459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07280A3" id="Group 570" o:spid="_x0000_s1026" style="position:absolute;margin-left:504.15pt;margin-top:120.2pt;width:16.65pt;height:5.1pt;z-index:-15609344;mso-wrap-distance-left:0;mso-wrap-distance-right:0;mso-position-horizontal-relative:page" coordsize="211454,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">
                <v:shape id="Graphic 571" o:spid="_x0000_s1027" style="position:absolute;top:27684;width:157480;height:1270;visibility:visible;mso-wrap-style:square;v-text-anchor:top" coordsize="157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" path="m,l157265,e" filled="f" strokeweight=".25633mm">
                  <v:path arrowok="t"/>
                </v:shape>
                <v:shape id="Graphic 572" o:spid="_x0000_s1028" style="position:absolute;left:157265;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" path="m53831,64597l,64597,,,53831,r,64597xe" fillcolor="#0000c0" stroked="f">
                  <v:path arrowok="t"/>
                </v:shape>
                <w10:wrap type="topAndBottom" anchorx="page"/>
              </v:group>
            </w:pict>
          </mc:Fallback>
        </mc:AlternateContent>
      </w:r>
      <w:r w:rsidRPr="003C6DAE">
        <w:rPr>
          <w:rFonts w:ascii="Trebuchet MS"/>
          <w:noProof/>
          <w:sz w:val="4"/>
          <w:lang w:val="uk-UA"/>
        </w:rPr>
        <mc:AlternateContent>
          <mc:Choice Requires="wps">
            <w:drawing>
              <wp:anchor distT="0" distB="0" distL="0" distR="0" simplePos="0" relativeHeight="487707648" behindDoc="1" locked="0" layoutInCell="1" allowOverlap="1" wp14:anchorId="221FFAD1" wp14:editId="10DB8C92">
                <wp:simplePos x="0" y="0"/>
                <wp:positionH relativeFrom="page">
                  <wp:posOffset>6560025</wp:posOffset>
                </wp:positionH>
                <wp:positionV relativeFrom="paragraph">
                  <wp:posOffset>1674264</wp:posOffset>
                </wp:positionV>
                <wp:extent cx="53975" cy="64769"/>
                <wp:effectExtent l="0" t="0" r="0" b="0"/>
                <wp:wrapTopAndBottom/>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57A32BA5" id="Graphic 573" o:spid="_x0000_s1026" style="position:absolute;margin-left:516.55pt;margin-top:131.85pt;width:4.25pt;height:5.1pt;z-index:-15608832;visibility:visible;mso-wrap-style:square;mso-wrap-distance-left:0;mso-wrap-distance-top:0;mso-wrap-distance-right:0;mso-wrap-distance-bottom:0;mso-position-horizontal:absolute;mso-position-horizontal-relative:page;mso-position-vertical:absolute;mso-position-vertical-relative:text;v-text-anchor:top" coordsize="5397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" path="m53831,64598l,64598,,,53831,r,64598xe" fillcolor="#0000c0" stroked="f">
                <v:path arrowok="t"/>
                <w10:wrap type="topAndBottom" anchorx="page"/>
              </v:shape>
            </w:pict>
          </mc:Fallback>
        </mc:AlternateContent>
      </w:r>
      <w:r w:rsidRPr="003C6DAE">
        <w:rPr>
          <w:rFonts w:ascii="Trebuchet MS"/>
          <w:noProof/>
          <w:sz w:val="4"/>
          <w:lang w:val="uk-UA"/>
        </w:rPr>
        <mc:AlternateContent>
          <mc:Choice Requires="wpg">
            <w:drawing>
              <wp:anchor distT="0" distB="0" distL="0" distR="0" simplePos="0" relativeHeight="487708160" behindDoc="1" locked="0" layoutInCell="1" allowOverlap="1" wp14:anchorId="73622F99" wp14:editId="51AC6B58">
                <wp:simplePos x="0" y="0"/>
                <wp:positionH relativeFrom="page">
                  <wp:posOffset>6252414</wp:posOffset>
                </wp:positionH>
                <wp:positionV relativeFrom="paragraph">
                  <wp:posOffset>1821917</wp:posOffset>
                </wp:positionV>
                <wp:extent cx="187325" cy="64769"/>
                <wp:effectExtent l="0" t="0" r="0" b="0"/>
                <wp:wrapTopAndBottom/>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25" cy="64769"/>
                          <a:chOff x="0" y="0"/>
                          <a:chExt cx="187325" cy="64769"/>
                        </a:xfrm>
                      </wpg:grpSpPr>
                      <wps:wsp>
                        <wps:cNvPr id="575" name="Graphic 575"/>
                        <wps:cNvSpPr/>
                        <wps:spPr>
                          <a:xfrm>
                            <a:off x="0" y="27685"/>
                            <a:ext cx="187325" cy="1270"/>
                          </a:xfrm>
                          <a:custGeom>
                            <a:avLst/>
                            <a:gdLst/>
                            <a:ahLst/>
                            <a:cxnLst/>
                            <a:rect l="l" t="t" r="r" b="b"/>
                            <a:pathLst>
                              <a:path w="187325">
                                <a:moveTo>
                                  <a:pt x="0" y="0"/>
                                </a:moveTo>
                                <a:lnTo>
                                  <a:pt x="79593" y="0"/>
                                </a:lnTo>
                              </a:path>
                              <a:path w="187325">
                                <a:moveTo>
                                  <a:pt x="133425" y="0"/>
                                </a:moveTo>
                                <a:lnTo>
                                  <a:pt x="186873" y="0"/>
                                </a:lnTo>
                              </a:path>
                            </a:pathLst>
                          </a:custGeom>
                          <a:ln w="9228">
                            <a:solidFill>
                              <a:srgbClr val="000000"/>
                            </a:solidFill>
                            <a:prstDash val="solid"/>
                          </a:ln>
                        </wps:spPr>
                        <wps:bodyPr wrap="square" lIns="0" tIns="0" rIns="0" bIns="0" rtlCol="0">
                          <a:prstTxWarp prst="textNoShape">
                            <a:avLst/>
                          </a:prstTxWarp>
                          <a:noAutofit/>
                        </wps:bodyPr>
                      </wps:wsp>
                      <wps:wsp>
                        <wps:cNvPr id="576" name="Graphic 576"/>
                        <wps:cNvSpPr/>
                        <wps:spPr>
                          <a:xfrm>
                            <a:off x="79593"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0A2111C" id="Group 574" o:spid="_x0000_s1026" style="position:absolute;margin-left:492.3pt;margin-top:143.45pt;width:14.75pt;height:5.1pt;z-index:-15608320;mso-wrap-distance-left:0;mso-wrap-distance-right:0;mso-position-horizontal-relative:page" coordsize="18732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">
                <v:shape id="Graphic 575" o:spid="_x0000_s1027" style="position:absolute;top:27685;width:187325;height:1270;visibility:visible;mso-wrap-style:square;v-text-anchor:top" coordsize="187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" path="m,l79593,em133425,r53448,e" filled="f" strokeweight=".25633mm">
                  <v:path arrowok="t"/>
                </v:shape>
                <v:shape id="Graphic 576" o:spid="_x0000_s1028" style="position:absolute;left:79593;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" path="m53831,64598l,64598,,,53831,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08672" behindDoc="1" locked="0" layoutInCell="1" allowOverlap="1" wp14:anchorId="7263AE70" wp14:editId="5E9EF28C">
                <wp:simplePos x="0" y="0"/>
                <wp:positionH relativeFrom="page">
                  <wp:posOffset>5769081</wp:posOffset>
                </wp:positionH>
                <wp:positionV relativeFrom="paragraph">
                  <wp:posOffset>1969570</wp:posOffset>
                </wp:positionV>
                <wp:extent cx="704850" cy="64769"/>
                <wp:effectExtent l="0" t="0" r="0" b="0"/>
                <wp:wrapTopAndBottom/>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 cy="64769"/>
                          <a:chOff x="0" y="0"/>
                          <a:chExt cx="704850" cy="64769"/>
                        </a:xfrm>
                      </wpg:grpSpPr>
                      <wps:wsp>
                        <wps:cNvPr id="578" name="Graphic 578"/>
                        <wps:cNvSpPr/>
                        <wps:spPr>
                          <a:xfrm>
                            <a:off x="0" y="27685"/>
                            <a:ext cx="704850" cy="1270"/>
                          </a:xfrm>
                          <a:custGeom>
                            <a:avLst/>
                            <a:gdLst/>
                            <a:ahLst/>
                            <a:cxnLst/>
                            <a:rect l="l" t="t" r="r" b="b"/>
                            <a:pathLst>
                              <a:path w="704850">
                                <a:moveTo>
                                  <a:pt x="0" y="0"/>
                                </a:moveTo>
                                <a:lnTo>
                                  <a:pt x="329526" y="0"/>
                                </a:lnTo>
                              </a:path>
                              <a:path w="704850">
                                <a:moveTo>
                                  <a:pt x="383358" y="0"/>
                                </a:moveTo>
                                <a:lnTo>
                                  <a:pt x="704812" y="0"/>
                                </a:lnTo>
                              </a:path>
                            </a:pathLst>
                          </a:custGeom>
                          <a:ln w="9228">
                            <a:solidFill>
                              <a:srgbClr val="000000"/>
                            </a:solidFill>
                            <a:prstDash val="solid"/>
                          </a:ln>
                        </wps:spPr>
                        <wps:bodyPr wrap="square" lIns="0" tIns="0" rIns="0" bIns="0" rtlCol="0">
                          <a:prstTxWarp prst="textNoShape">
                            <a:avLst/>
                          </a:prstTxWarp>
                          <a:noAutofit/>
                        </wps:bodyPr>
                      </wps:wsp>
                      <wps:wsp>
                        <wps:cNvPr id="579" name="Graphic 579"/>
                        <wps:cNvSpPr/>
                        <wps:spPr>
                          <a:xfrm>
                            <a:off x="329526"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06E0C7C" id="Group 577" o:spid="_x0000_s1026" style="position:absolute;margin-left:454.25pt;margin-top:155.1pt;width:55.5pt;height:5.1pt;z-index:-15607808;mso-wrap-distance-left:0;mso-wrap-distance-right:0;mso-position-horizontal-relative:page" coordsize="704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">
                <v:shape id="Graphic 578" o:spid="_x0000_s1027" style="position:absolute;top:276;width:7048;height:13;visibility:visible;mso-wrap-style:square;v-text-anchor:top" coordsize="704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" path="m,l329526,em383358,l704812,e" filled="f" strokeweight=".25633mm">
                  <v:path arrowok="t"/>
                </v:shape>
                <v:shape id="Graphic 579" o:spid="_x0000_s1028" style="position:absolute;left:3295;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" path="m53831,64598l,64598,,,53831,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09184" behindDoc="1" locked="0" layoutInCell="1" allowOverlap="1" wp14:anchorId="16065512" wp14:editId="12CBCE10">
                <wp:simplePos x="0" y="0"/>
                <wp:positionH relativeFrom="page">
                  <wp:posOffset>6507345</wp:posOffset>
                </wp:positionH>
                <wp:positionV relativeFrom="paragraph">
                  <wp:posOffset>2117222</wp:posOffset>
                </wp:positionV>
                <wp:extent cx="67310" cy="64769"/>
                <wp:effectExtent l="0" t="0" r="0" b="0"/>
                <wp:wrapTopAndBottom/>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64769"/>
                          <a:chOff x="0" y="0"/>
                          <a:chExt cx="67310" cy="64769"/>
                        </a:xfrm>
                      </wpg:grpSpPr>
                      <wps:wsp>
                        <wps:cNvPr id="581" name="Graphic 581"/>
                        <wps:cNvSpPr/>
                        <wps:spPr>
                          <a:xfrm>
                            <a:off x="0" y="27685"/>
                            <a:ext cx="13970" cy="1270"/>
                          </a:xfrm>
                          <a:custGeom>
                            <a:avLst/>
                            <a:gdLst/>
                            <a:ahLst/>
                            <a:cxnLst/>
                            <a:rect l="l" t="t" r="r" b="b"/>
                            <a:pathLst>
                              <a:path w="13970">
                                <a:moveTo>
                                  <a:pt x="0" y="0"/>
                                </a:moveTo>
                                <a:lnTo>
                                  <a:pt x="13458" y="0"/>
                                </a:lnTo>
                              </a:path>
                            </a:pathLst>
                          </a:custGeom>
                          <a:ln w="9228">
                            <a:solidFill>
                              <a:srgbClr val="000000"/>
                            </a:solidFill>
                            <a:prstDash val="solid"/>
                          </a:ln>
                        </wps:spPr>
                        <wps:bodyPr wrap="square" lIns="0" tIns="0" rIns="0" bIns="0" rtlCol="0">
                          <a:prstTxWarp prst="textNoShape">
                            <a:avLst/>
                          </a:prstTxWarp>
                          <a:noAutofit/>
                        </wps:bodyPr>
                      </wps:wsp>
                      <wps:wsp>
                        <wps:cNvPr id="582" name="Graphic 582"/>
                        <wps:cNvSpPr/>
                        <wps:spPr>
                          <a:xfrm>
                            <a:off x="13458"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700F8B4" id="Group 580" o:spid="_x0000_s1026" style="position:absolute;margin-left:512.4pt;margin-top:166.7pt;width:5.3pt;height:5.1pt;z-index:-15607296;mso-wrap-distance-left:0;mso-wrap-distance-right:0;mso-position-horizontal-relative:page" coordsize="6731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">
                <v:shape id="Graphic 581" o:spid="_x0000_s1027" style="position:absolute;top:27685;width:13970;height:1270;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" path="m,l13458,e" filled="f" strokeweight=".25633mm">
                  <v:path arrowok="t"/>
                </v:shape>
                <v:shape id="Graphic 582" o:spid="_x0000_s1028" style="position:absolute;left:13458;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" path="m53831,64598l,64598,,,53831,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09696" behindDoc="1" locked="0" layoutInCell="1" allowOverlap="1" wp14:anchorId="1B77B6A5" wp14:editId="2FACF030">
                <wp:simplePos x="0" y="0"/>
                <wp:positionH relativeFrom="page">
                  <wp:posOffset>6495424</wp:posOffset>
                </wp:positionH>
                <wp:positionV relativeFrom="paragraph">
                  <wp:posOffset>2264875</wp:posOffset>
                </wp:positionV>
                <wp:extent cx="118745" cy="64769"/>
                <wp:effectExtent l="0" t="0" r="0" b="0"/>
                <wp:wrapTopAndBottom/>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 cy="64769"/>
                          <a:chOff x="0" y="0"/>
                          <a:chExt cx="118745" cy="64769"/>
                        </a:xfrm>
                      </wpg:grpSpPr>
                      <wps:wsp>
                        <wps:cNvPr id="584" name="Graphic 584"/>
                        <wps:cNvSpPr/>
                        <wps:spPr>
                          <a:xfrm>
                            <a:off x="0" y="27685"/>
                            <a:ext cx="64769" cy="1270"/>
                          </a:xfrm>
                          <a:custGeom>
                            <a:avLst/>
                            <a:gdLst/>
                            <a:ahLst/>
                            <a:cxnLst/>
                            <a:rect l="l" t="t" r="r" b="b"/>
                            <a:pathLst>
                              <a:path w="64769">
                                <a:moveTo>
                                  <a:pt x="0" y="0"/>
                                </a:moveTo>
                                <a:lnTo>
                                  <a:pt x="64597" y="0"/>
                                </a:lnTo>
                              </a:path>
                            </a:pathLst>
                          </a:custGeom>
                          <a:ln w="9228">
                            <a:solidFill>
                              <a:srgbClr val="000000"/>
                            </a:solidFill>
                            <a:prstDash val="solid"/>
                          </a:ln>
                        </wps:spPr>
                        <wps:bodyPr wrap="square" lIns="0" tIns="0" rIns="0" bIns="0" rtlCol="0">
                          <a:prstTxWarp prst="textNoShape">
                            <a:avLst/>
                          </a:prstTxWarp>
                          <a:noAutofit/>
                        </wps:bodyPr>
                      </wps:wsp>
                      <wps:wsp>
                        <wps:cNvPr id="585" name="Graphic 585"/>
                        <wps:cNvSpPr/>
                        <wps:spPr>
                          <a:xfrm>
                            <a:off x="64597" y="0"/>
                            <a:ext cx="53975" cy="64769"/>
                          </a:xfrm>
                          <a:custGeom>
                            <a:avLst/>
                            <a:gdLst/>
                            <a:ahLst/>
                            <a:cxnLst/>
                            <a:rect l="l" t="t" r="r" b="b"/>
                            <a:pathLst>
                              <a:path w="53975" h="64769">
                                <a:moveTo>
                                  <a:pt x="53833" y="64599"/>
                                </a:moveTo>
                                <a:lnTo>
                                  <a:pt x="0" y="64599"/>
                                </a:lnTo>
                                <a:lnTo>
                                  <a:pt x="0" y="0"/>
                                </a:lnTo>
                                <a:lnTo>
                                  <a:pt x="53833" y="0"/>
                                </a:lnTo>
                                <a:lnTo>
                                  <a:pt x="53833" y="64599"/>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DA234C7" id="Group 583" o:spid="_x0000_s1026" style="position:absolute;margin-left:511.45pt;margin-top:178.35pt;width:9.35pt;height:5.1pt;z-index:-15606784;mso-wrap-distance-left:0;mso-wrap-distance-right:0;mso-position-horizontal-relative:page" coordsize="11874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">
                <v:shape id="Graphic 584" o:spid="_x0000_s1027" style="position:absolute;top:27685;width:64769;height:1270;visibility:visible;mso-wrap-style:square;v-text-anchor:top" coordsize="647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" path="m,l64597,e" filled="f" strokeweight=".25633mm">
                  <v:path arrowok="t"/>
                </v:shape>
                <v:shape id="Graphic 585" o:spid="_x0000_s1028" style="position:absolute;left:64597;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" path="m53833,64599l,64599,,,53833,r,64599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10208" behindDoc="1" locked="0" layoutInCell="1" allowOverlap="1" wp14:anchorId="44A67DDE" wp14:editId="18873A01">
                <wp:simplePos x="0" y="0"/>
                <wp:positionH relativeFrom="page">
                  <wp:posOffset>6423904</wp:posOffset>
                </wp:positionH>
                <wp:positionV relativeFrom="paragraph">
                  <wp:posOffset>2412528</wp:posOffset>
                </wp:positionV>
                <wp:extent cx="159385" cy="64769"/>
                <wp:effectExtent l="0" t="0" r="0" b="0"/>
                <wp:wrapTopAndBottom/>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385" cy="64769"/>
                          <a:chOff x="0" y="0"/>
                          <a:chExt cx="159385" cy="64769"/>
                        </a:xfrm>
                      </wpg:grpSpPr>
                      <wps:wsp>
                        <wps:cNvPr id="587" name="Graphic 587"/>
                        <wps:cNvSpPr/>
                        <wps:spPr>
                          <a:xfrm>
                            <a:off x="0" y="27685"/>
                            <a:ext cx="105410" cy="1270"/>
                          </a:xfrm>
                          <a:custGeom>
                            <a:avLst/>
                            <a:gdLst/>
                            <a:ahLst/>
                            <a:cxnLst/>
                            <a:rect l="l" t="t" r="r" b="b"/>
                            <a:pathLst>
                              <a:path w="105410">
                                <a:moveTo>
                                  <a:pt x="0" y="0"/>
                                </a:moveTo>
                                <a:lnTo>
                                  <a:pt x="105356" y="0"/>
                                </a:lnTo>
                              </a:path>
                            </a:pathLst>
                          </a:custGeom>
                          <a:ln w="9228">
                            <a:solidFill>
                              <a:srgbClr val="000000"/>
                            </a:solidFill>
                            <a:prstDash val="solid"/>
                          </a:ln>
                        </wps:spPr>
                        <wps:bodyPr wrap="square" lIns="0" tIns="0" rIns="0" bIns="0" rtlCol="0">
                          <a:prstTxWarp prst="textNoShape">
                            <a:avLst/>
                          </a:prstTxWarp>
                          <a:noAutofit/>
                        </wps:bodyPr>
                      </wps:wsp>
                      <wps:wsp>
                        <wps:cNvPr id="588" name="Graphic 588"/>
                        <wps:cNvSpPr/>
                        <wps:spPr>
                          <a:xfrm>
                            <a:off x="105356" y="0"/>
                            <a:ext cx="53975" cy="64769"/>
                          </a:xfrm>
                          <a:custGeom>
                            <a:avLst/>
                            <a:gdLst/>
                            <a:ahLst/>
                            <a:cxnLst/>
                            <a:rect l="l" t="t" r="r" b="b"/>
                            <a:pathLst>
                              <a:path w="53975" h="64769">
                                <a:moveTo>
                                  <a:pt x="53831" y="64599"/>
                                </a:moveTo>
                                <a:lnTo>
                                  <a:pt x="0" y="64599"/>
                                </a:lnTo>
                                <a:lnTo>
                                  <a:pt x="0" y="0"/>
                                </a:lnTo>
                                <a:lnTo>
                                  <a:pt x="53831" y="0"/>
                                </a:lnTo>
                                <a:lnTo>
                                  <a:pt x="53831" y="64599"/>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B136BF3" id="Group 586" o:spid="_x0000_s1026" style="position:absolute;margin-left:505.8pt;margin-top:189.95pt;width:12.55pt;height:5.1pt;z-index:-15606272;mso-wrap-distance-left:0;mso-wrap-distance-right:0;mso-position-horizontal-relative:page" coordsize="15938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">
                <v:shape id="Graphic 587" o:spid="_x0000_s1027" style="position:absolute;top:27685;width:105410;height:1270;visibility:visible;mso-wrap-style:square;v-text-anchor:top" coordsize="105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" path="m,l105356,e" filled="f" strokeweight=".25633mm">
                  <v:path arrowok="t"/>
                </v:shape>
                <v:shape id="Graphic 588" o:spid="_x0000_s1028" style="position:absolute;left:105356;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" path="m53831,64599l,64599,,,53831,r,64599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10720" behindDoc="1" locked="0" layoutInCell="1" allowOverlap="1" wp14:anchorId="67559814" wp14:editId="16C906AB">
                <wp:simplePos x="0" y="0"/>
                <wp:positionH relativeFrom="page">
                  <wp:posOffset>5656414</wp:posOffset>
                </wp:positionH>
                <wp:positionV relativeFrom="paragraph">
                  <wp:posOffset>2560182</wp:posOffset>
                </wp:positionV>
                <wp:extent cx="923290" cy="138430"/>
                <wp:effectExtent l="0" t="0" r="0" b="0"/>
                <wp:wrapTopAndBottom/>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290" cy="138430"/>
                          <a:chOff x="0" y="0"/>
                          <a:chExt cx="923290" cy="138430"/>
                        </a:xfrm>
                      </wpg:grpSpPr>
                      <wps:wsp>
                        <wps:cNvPr id="590" name="Graphic 590"/>
                        <wps:cNvSpPr/>
                        <wps:spPr>
                          <a:xfrm>
                            <a:off x="521400" y="27684"/>
                            <a:ext cx="198120" cy="1270"/>
                          </a:xfrm>
                          <a:custGeom>
                            <a:avLst/>
                            <a:gdLst/>
                            <a:ahLst/>
                            <a:cxnLst/>
                            <a:rect l="l" t="t" r="r" b="b"/>
                            <a:pathLst>
                              <a:path w="198120">
                                <a:moveTo>
                                  <a:pt x="0" y="0"/>
                                </a:moveTo>
                                <a:lnTo>
                                  <a:pt x="82285" y="0"/>
                                </a:lnTo>
                              </a:path>
                              <a:path w="198120">
                                <a:moveTo>
                                  <a:pt x="136116" y="0"/>
                                </a:moveTo>
                                <a:lnTo>
                                  <a:pt x="198024" y="0"/>
                                </a:lnTo>
                              </a:path>
                            </a:pathLst>
                          </a:custGeom>
                          <a:ln w="9228">
                            <a:solidFill>
                              <a:srgbClr val="000000"/>
                            </a:solidFill>
                            <a:prstDash val="solid"/>
                          </a:ln>
                        </wps:spPr>
                        <wps:bodyPr wrap="square" lIns="0" tIns="0" rIns="0" bIns="0" rtlCol="0">
                          <a:prstTxWarp prst="textNoShape">
                            <a:avLst/>
                          </a:prstTxWarp>
                          <a:noAutofit/>
                        </wps:bodyPr>
                      </wps:wsp>
                      <wps:wsp>
                        <wps:cNvPr id="591" name="Graphic 591"/>
                        <wps:cNvSpPr/>
                        <wps:spPr>
                          <a:xfrm>
                            <a:off x="603685"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s:wsp>
                        <wps:cNvPr id="592" name="Graphic 592"/>
                        <wps:cNvSpPr/>
                        <wps:spPr>
                          <a:xfrm>
                            <a:off x="3845" y="101510"/>
                            <a:ext cx="915669" cy="1270"/>
                          </a:xfrm>
                          <a:custGeom>
                            <a:avLst/>
                            <a:gdLst/>
                            <a:ahLst/>
                            <a:cxnLst/>
                            <a:rect l="l" t="t" r="r" b="b"/>
                            <a:pathLst>
                              <a:path w="915669">
                                <a:moveTo>
                                  <a:pt x="0" y="0"/>
                                </a:moveTo>
                                <a:lnTo>
                                  <a:pt x="915140" y="0"/>
                                </a:lnTo>
                              </a:path>
                            </a:pathLst>
                          </a:custGeom>
                          <a:ln w="9228">
                            <a:solidFill>
                              <a:srgbClr val="000000"/>
                            </a:solidFill>
                            <a:prstDash val="solid"/>
                          </a:ln>
                        </wps:spPr>
                        <wps:bodyPr wrap="square" lIns="0" tIns="0" rIns="0" bIns="0" rtlCol="0">
                          <a:prstTxWarp prst="textNoShape">
                            <a:avLst/>
                          </a:prstTxWarp>
                          <a:noAutofit/>
                        </wps:bodyPr>
                      </wps:wsp>
                      <wps:wsp>
                        <wps:cNvPr id="593" name="Graphic 593"/>
                        <wps:cNvSpPr/>
                        <wps:spPr>
                          <a:xfrm>
                            <a:off x="3845" y="64597"/>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594" name="Graphic 594"/>
                        <wps:cNvSpPr/>
                        <wps:spPr>
                          <a:xfrm>
                            <a:off x="186872" y="64597"/>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595" name="Graphic 595"/>
                        <wps:cNvSpPr/>
                        <wps:spPr>
                          <a:xfrm>
                            <a:off x="369899" y="64597"/>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596" name="Graphic 596"/>
                        <wps:cNvSpPr/>
                        <wps:spPr>
                          <a:xfrm>
                            <a:off x="552542" y="64597"/>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597" name="Graphic 597"/>
                        <wps:cNvSpPr/>
                        <wps:spPr>
                          <a:xfrm>
                            <a:off x="735954" y="64597"/>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598" name="Graphic 598"/>
                        <wps:cNvSpPr/>
                        <wps:spPr>
                          <a:xfrm>
                            <a:off x="918981" y="64597"/>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32A8B3" id="Group 589" o:spid="_x0000_s1026" style="position:absolute;margin-left:445.4pt;margin-top:201.6pt;width:72.7pt;height:10.9pt;z-index:-15605760;mso-wrap-distance-left:0;mso-wrap-distance-right:0;mso-position-horizontal-relative:page" coordsize="9232,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">
                <v:shape id="Graphic 590" o:spid="_x0000_s1027" style="position:absolute;left:5214;top:276;width:1981;height:13;visibility:visible;mso-wrap-style:square;v-text-anchor:top" coordsize="198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" path="m,l82285,em136116,r61908,e" filled="f" strokeweight=".25633mm">
                  <v:path arrowok="t"/>
                </v:shape>
                <v:shape id="Graphic 591" o:spid="_x0000_s1028" style="position:absolute;left:6036;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" path="m53831,64598l,64598,,,53831,r,64598xe" fillcolor="#0000c0" stroked="f">
                  <v:path arrowok="t"/>
                </v:shape>
                <v:shape id="Graphic 592" o:spid="_x0000_s1029" style="position:absolute;left:38;top:1015;width:9157;height:12;visibility:visible;mso-wrap-style:square;v-text-anchor:top" coordsize="9156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" path="m,l915140,e" filled="f" strokeweight=".25633mm">
                  <v:path arrowok="t"/>
                </v:shape>
                <v:shape id="Graphic 593" o:spid="_x0000_s1030" style="position:absolute;left:38;top:645;width:13;height:743;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" path="m,l,73826e" filled="f" strokeweight=".21361mm">
                  <v:path arrowok="t"/>
                </v:shape>
                <v:shape id="Graphic 594" o:spid="_x0000_s1031" style="position:absolute;left:1868;top:645;width:13;height:743;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" path="m,l,73826e" filled="f" strokeweight=".21361mm">
                  <v:path arrowok="t"/>
                </v:shape>
                <v:shape id="Graphic 595" o:spid="_x0000_s1032" style="position:absolute;left:3698;top:645;width:13;height:743;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" path="m,l,73826e" filled="f" strokeweight=".21361mm">
                  <v:path arrowok="t"/>
                </v:shape>
                <v:shape id="Graphic 596" o:spid="_x0000_s1033" style="position:absolute;left:5525;top:645;width:13;height:743;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" path="m,l,73826e" filled="f" strokeweight=".21361mm">
                  <v:path arrowok="t"/>
                </v:shape>
                <v:shape id="Graphic 597" o:spid="_x0000_s1034" style="position:absolute;left:7359;top:645;width:13;height:743;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" path="m,l,73826e" filled="f" strokeweight=".21361mm">
                  <v:path arrowok="t"/>
                </v:shape>
                <v:shape id="Graphic 598" o:spid="_x0000_s1035" style="position:absolute;left:9189;top:645;width:13;height:743;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" path="m,l,73826e" filled="f" strokeweight=".21361mm">
                  <v:path arrowok="t"/>
                </v:shape>
                <w10:wrap type="topAndBottom" anchorx="page"/>
              </v:group>
            </w:pict>
          </mc:Fallback>
        </mc:AlternateContent>
      </w:r>
    </w:p>
    <w:p w14:paraId="08D915BA" w14:textId="77777777" w:rsidR="00E05B98" w:rsidRPr="003C6DAE" w:rsidRDefault="00E05B98">
      <w:pPr>
        <w:pStyle w:val="a3"/>
        <w:spacing w:before="2"/>
        <w:rPr>
          <w:rFonts w:ascii="Trebuchet MS"/>
          <w:sz w:val="9"/>
          <w:lang w:val="uk-UA"/>
        </w:rPr>
      </w:pPr>
    </w:p>
    <w:p w14:paraId="0B2347C1" w14:textId="77777777" w:rsidR="00E05B98" w:rsidRPr="003C6DAE" w:rsidRDefault="00E05B98">
      <w:pPr>
        <w:pStyle w:val="a3"/>
        <w:spacing w:before="2"/>
        <w:rPr>
          <w:rFonts w:ascii="Trebuchet MS"/>
          <w:sz w:val="9"/>
          <w:lang w:val="uk-UA"/>
        </w:rPr>
      </w:pPr>
    </w:p>
    <w:p w14:paraId="63848004" w14:textId="77777777" w:rsidR="00E05B98" w:rsidRPr="003C6DAE" w:rsidRDefault="00E05B98">
      <w:pPr>
        <w:pStyle w:val="a3"/>
        <w:spacing w:before="2"/>
        <w:rPr>
          <w:rFonts w:ascii="Trebuchet MS"/>
          <w:sz w:val="9"/>
          <w:lang w:val="uk-UA"/>
        </w:rPr>
      </w:pPr>
    </w:p>
    <w:p w14:paraId="6D300F8A" w14:textId="77777777" w:rsidR="00E05B98" w:rsidRPr="003C6DAE" w:rsidRDefault="00E05B98">
      <w:pPr>
        <w:pStyle w:val="a3"/>
        <w:spacing w:before="2"/>
        <w:rPr>
          <w:rFonts w:ascii="Trebuchet MS"/>
          <w:sz w:val="9"/>
          <w:lang w:val="uk-UA"/>
        </w:rPr>
      </w:pPr>
    </w:p>
    <w:p w14:paraId="67D10529" w14:textId="77777777" w:rsidR="00E05B98" w:rsidRPr="003C6DAE" w:rsidRDefault="00E05B98">
      <w:pPr>
        <w:pStyle w:val="a3"/>
        <w:spacing w:before="2"/>
        <w:rPr>
          <w:rFonts w:ascii="Trebuchet MS"/>
          <w:sz w:val="9"/>
          <w:lang w:val="uk-UA"/>
        </w:rPr>
      </w:pPr>
    </w:p>
    <w:p w14:paraId="58BFE29D" w14:textId="77777777" w:rsidR="00E05B98" w:rsidRPr="003C6DAE" w:rsidRDefault="00E05B98">
      <w:pPr>
        <w:pStyle w:val="a3"/>
        <w:spacing w:before="2"/>
        <w:rPr>
          <w:rFonts w:ascii="Trebuchet MS"/>
          <w:sz w:val="9"/>
          <w:lang w:val="uk-UA"/>
        </w:rPr>
      </w:pPr>
    </w:p>
    <w:p w14:paraId="54659061" w14:textId="77777777" w:rsidR="00E05B98" w:rsidRPr="003C6DAE" w:rsidRDefault="00E05B98">
      <w:pPr>
        <w:pStyle w:val="a3"/>
        <w:spacing w:before="2"/>
        <w:rPr>
          <w:rFonts w:ascii="Trebuchet MS"/>
          <w:sz w:val="9"/>
          <w:lang w:val="uk-UA"/>
        </w:rPr>
      </w:pPr>
    </w:p>
    <w:p w14:paraId="5760AFEE" w14:textId="77777777" w:rsidR="00E05B98" w:rsidRPr="003C6DAE" w:rsidRDefault="00E05B98">
      <w:pPr>
        <w:pStyle w:val="a3"/>
        <w:spacing w:before="2"/>
        <w:rPr>
          <w:rFonts w:ascii="Trebuchet MS"/>
          <w:sz w:val="9"/>
          <w:lang w:val="uk-UA"/>
        </w:rPr>
      </w:pPr>
    </w:p>
    <w:p w14:paraId="334A1D5F" w14:textId="77777777" w:rsidR="00E05B98" w:rsidRPr="003C6DAE" w:rsidRDefault="00E05B98">
      <w:pPr>
        <w:pStyle w:val="a3"/>
        <w:spacing w:before="2"/>
        <w:rPr>
          <w:rFonts w:ascii="Trebuchet MS"/>
          <w:sz w:val="9"/>
          <w:lang w:val="uk-UA"/>
        </w:rPr>
      </w:pPr>
    </w:p>
    <w:p w14:paraId="3D558C2B" w14:textId="77777777" w:rsidR="00E05B98" w:rsidRPr="003C6DAE" w:rsidRDefault="00E05B98">
      <w:pPr>
        <w:pStyle w:val="a3"/>
        <w:spacing w:before="2"/>
        <w:rPr>
          <w:rFonts w:ascii="Trebuchet MS"/>
          <w:sz w:val="9"/>
          <w:lang w:val="uk-UA"/>
        </w:rPr>
      </w:pPr>
    </w:p>
    <w:p w14:paraId="15EF327A" w14:textId="77777777" w:rsidR="00E05B98" w:rsidRPr="003C6DAE" w:rsidRDefault="00E05B98">
      <w:pPr>
        <w:pStyle w:val="a3"/>
        <w:spacing w:before="2"/>
        <w:rPr>
          <w:rFonts w:ascii="Trebuchet MS"/>
          <w:sz w:val="9"/>
          <w:lang w:val="uk-UA"/>
        </w:rPr>
      </w:pPr>
    </w:p>
    <w:p w14:paraId="14703888" w14:textId="77777777" w:rsidR="00E05B98" w:rsidRPr="003C6DAE" w:rsidRDefault="00E05B98">
      <w:pPr>
        <w:pStyle w:val="a3"/>
        <w:spacing w:before="2"/>
        <w:rPr>
          <w:rFonts w:ascii="Trebuchet MS"/>
          <w:sz w:val="9"/>
          <w:lang w:val="uk-UA"/>
        </w:rPr>
      </w:pPr>
    </w:p>
    <w:p w14:paraId="30357473" w14:textId="77777777" w:rsidR="00E05B98" w:rsidRPr="003C6DAE" w:rsidRDefault="00E05B98">
      <w:pPr>
        <w:pStyle w:val="a3"/>
        <w:spacing w:before="2"/>
        <w:rPr>
          <w:rFonts w:ascii="Trebuchet MS"/>
          <w:sz w:val="9"/>
          <w:lang w:val="uk-UA"/>
        </w:rPr>
      </w:pPr>
    </w:p>
    <w:p w14:paraId="0DC13EB7" w14:textId="77777777" w:rsidR="00E05B98" w:rsidRPr="003C6DAE" w:rsidRDefault="00E05B98">
      <w:pPr>
        <w:pStyle w:val="a3"/>
        <w:spacing w:before="2"/>
        <w:rPr>
          <w:rFonts w:ascii="Trebuchet MS"/>
          <w:sz w:val="9"/>
          <w:lang w:val="uk-UA"/>
        </w:rPr>
      </w:pPr>
    </w:p>
    <w:p w14:paraId="498FAB47" w14:textId="77777777" w:rsidR="00E05B98" w:rsidRPr="003C6DAE" w:rsidRDefault="00E05B98">
      <w:pPr>
        <w:pStyle w:val="a3"/>
        <w:spacing w:before="2"/>
        <w:rPr>
          <w:rFonts w:ascii="Trebuchet MS"/>
          <w:sz w:val="9"/>
          <w:lang w:val="uk-UA"/>
        </w:rPr>
      </w:pPr>
    </w:p>
    <w:p w14:paraId="27AA907F" w14:textId="77777777" w:rsidR="00E05B98" w:rsidRPr="003C6DAE" w:rsidRDefault="00E05B98">
      <w:pPr>
        <w:pStyle w:val="a3"/>
        <w:spacing w:before="2"/>
        <w:rPr>
          <w:rFonts w:ascii="Trebuchet MS"/>
          <w:sz w:val="9"/>
          <w:lang w:val="uk-UA"/>
        </w:rPr>
      </w:pPr>
    </w:p>
    <w:p w14:paraId="55761979" w14:textId="77777777" w:rsidR="00E05B98" w:rsidRPr="003C6DAE" w:rsidRDefault="00E05B98">
      <w:pPr>
        <w:pStyle w:val="a3"/>
        <w:spacing w:before="2"/>
        <w:rPr>
          <w:rFonts w:ascii="Trebuchet MS"/>
          <w:sz w:val="9"/>
          <w:lang w:val="uk-UA"/>
        </w:rPr>
      </w:pPr>
    </w:p>
    <w:p w14:paraId="2EBC1FC8" w14:textId="77777777" w:rsidR="00E05B98" w:rsidRPr="003C6DAE" w:rsidRDefault="00B01E0C">
      <w:pPr>
        <w:spacing w:before="1"/>
        <w:ind w:left="99"/>
        <w:rPr>
          <w:rFonts w:ascii="Trebuchet MS"/>
          <w:sz w:val="17"/>
          <w:lang w:val="uk-UA"/>
        </w:rPr>
      </w:pPr>
      <w:r w:rsidRPr="003C6DAE">
        <w:rPr>
          <w:rFonts w:ascii="Trebuchet MS"/>
          <w:w w:val="85"/>
          <w:sz w:val="17"/>
          <w:lang w:val="uk-UA"/>
        </w:rPr>
        <w:t>0</w:t>
      </w:r>
      <w:r w:rsidRPr="003C6DAE">
        <w:rPr>
          <w:rFonts w:ascii="Trebuchet MS"/>
          <w:spacing w:val="49"/>
          <w:sz w:val="17"/>
          <w:lang w:val="uk-UA"/>
        </w:rPr>
        <w:t xml:space="preserve"> </w:t>
      </w:r>
      <w:r w:rsidRPr="003C6DAE">
        <w:rPr>
          <w:rFonts w:ascii="Trebuchet MS"/>
          <w:w w:val="85"/>
          <w:sz w:val="17"/>
          <w:lang w:val="uk-UA"/>
        </w:rPr>
        <w:t>0.2</w:t>
      </w:r>
      <w:r w:rsidRPr="003C6DAE">
        <w:rPr>
          <w:rFonts w:ascii="Trebuchet MS"/>
          <w:spacing w:val="32"/>
          <w:sz w:val="17"/>
          <w:lang w:val="uk-UA"/>
        </w:rPr>
        <w:t xml:space="preserve"> </w:t>
      </w:r>
      <w:r w:rsidRPr="003C6DAE">
        <w:rPr>
          <w:rFonts w:ascii="Trebuchet MS"/>
          <w:w w:val="85"/>
          <w:sz w:val="17"/>
          <w:lang w:val="uk-UA"/>
        </w:rPr>
        <w:t>0.4</w:t>
      </w:r>
      <w:r w:rsidRPr="003C6DAE">
        <w:rPr>
          <w:rFonts w:ascii="Trebuchet MS"/>
          <w:spacing w:val="32"/>
          <w:sz w:val="17"/>
          <w:lang w:val="uk-UA"/>
        </w:rPr>
        <w:t xml:space="preserve"> </w:t>
      </w:r>
      <w:r w:rsidRPr="003C6DAE">
        <w:rPr>
          <w:rFonts w:ascii="Trebuchet MS"/>
          <w:w w:val="85"/>
          <w:sz w:val="17"/>
          <w:lang w:val="uk-UA"/>
        </w:rPr>
        <w:t>0.6</w:t>
      </w:r>
      <w:r w:rsidRPr="003C6DAE">
        <w:rPr>
          <w:rFonts w:ascii="Trebuchet MS"/>
          <w:spacing w:val="32"/>
          <w:sz w:val="17"/>
          <w:lang w:val="uk-UA"/>
        </w:rPr>
        <w:t xml:space="preserve"> </w:t>
      </w:r>
      <w:r w:rsidRPr="003C6DAE">
        <w:rPr>
          <w:rFonts w:ascii="Trebuchet MS"/>
          <w:w w:val="85"/>
          <w:sz w:val="17"/>
          <w:lang w:val="uk-UA"/>
        </w:rPr>
        <w:t>0.8</w:t>
      </w:r>
      <w:r w:rsidRPr="003C6DAE">
        <w:rPr>
          <w:rFonts w:ascii="Trebuchet MS"/>
          <w:spacing w:val="50"/>
          <w:sz w:val="17"/>
          <w:lang w:val="uk-UA"/>
        </w:rPr>
        <w:t xml:space="preserve"> </w:t>
      </w:r>
      <w:r w:rsidRPr="003C6DAE">
        <w:rPr>
          <w:rFonts w:ascii="Trebuchet MS"/>
          <w:spacing w:val="-10"/>
          <w:w w:val="85"/>
          <w:sz w:val="17"/>
          <w:lang w:val="uk-UA"/>
        </w:rPr>
        <w:t>1</w:t>
      </w:r>
    </w:p>
    <w:p w14:paraId="021C19EC" w14:textId="77777777" w:rsidR="00E05B98" w:rsidRPr="003C6DAE" w:rsidRDefault="00E05B98">
      <w:pPr>
        <w:rPr>
          <w:rFonts w:ascii="Trebuchet MS"/>
          <w:sz w:val="17"/>
          <w:lang w:val="uk-UA"/>
        </w:rPr>
        <w:sectPr w:rsidR="00E05B98" w:rsidRPr="003C6DAE">
          <w:type w:val="continuous"/>
          <w:pgSz w:w="11910" w:h="16840"/>
          <w:pgMar w:top="1920" w:right="1275" w:bottom="280" w:left="850" w:header="0" w:footer="573" w:gutter="0"/>
          <w:cols w:num="7" w:space="720" w:equalWidth="0">
            <w:col w:w="2105" w:space="40"/>
            <w:col w:w="702" w:space="39"/>
            <w:col w:w="631" w:space="39"/>
            <w:col w:w="1438" w:space="40"/>
            <w:col w:w="1402" w:space="40"/>
            <w:col w:w="1449" w:space="39"/>
            <w:col w:w="1821"/>
          </w:cols>
        </w:sectPr>
      </w:pPr>
    </w:p>
    <w:p w14:paraId="0B1B132F" w14:textId="1EB70D66" w:rsidR="00E05B98" w:rsidRPr="003C6DAE" w:rsidRDefault="00C45799">
      <w:pPr>
        <w:pStyle w:val="a3"/>
        <w:spacing w:before="82"/>
        <w:rPr>
          <w:rFonts w:ascii="Trebuchet MS"/>
          <w:sz w:val="20"/>
          <w:lang w:val="uk-UA"/>
        </w:rPr>
      </w:pPr>
      <w:r>
        <w:rPr>
          <w:rFonts w:ascii="Trebuchet MS"/>
          <w:noProof/>
          <w:sz w:val="20"/>
          <w:lang w:val="uk-UA"/>
        </w:rPr>
        <mc:AlternateContent>
          <mc:Choice Requires="wps">
            <w:drawing>
              <wp:anchor distT="0" distB="0" distL="114300" distR="114300" simplePos="0" relativeHeight="488190464" behindDoc="0" locked="0" layoutInCell="1" allowOverlap="1" wp14:anchorId="6F89C5B6" wp14:editId="7FFAC98B">
                <wp:simplePos x="0" y="0"/>
                <wp:positionH relativeFrom="column">
                  <wp:posOffset>318666</wp:posOffset>
                </wp:positionH>
                <wp:positionV relativeFrom="paragraph">
                  <wp:posOffset>170919</wp:posOffset>
                </wp:positionV>
                <wp:extent cx="6087292" cy="261257"/>
                <wp:effectExtent l="0" t="0" r="8890" b="5715"/>
                <wp:wrapNone/>
                <wp:docPr id="774940383" name="Поле 1930"/>
                <wp:cNvGraphicFramePr/>
                <a:graphic xmlns:a="http://schemas.openxmlformats.org/drawingml/2006/main">
                  <a:graphicData uri="http://schemas.microsoft.com/office/word/2010/wordprocessingShape">
                    <wps:wsp>
                      <wps:cNvSpPr txBox="1"/>
                      <wps:spPr>
                        <a:xfrm>
                          <a:off x="0" y="0"/>
                          <a:ext cx="6087292" cy="261257"/>
                        </a:xfrm>
                        <a:prstGeom prst="rect">
                          <a:avLst/>
                        </a:prstGeom>
                        <a:solidFill>
                          <a:schemeClr val="bg1"/>
                        </a:solidFill>
                        <a:ln w="6350">
                          <a:noFill/>
                        </a:ln>
                      </wps:spPr>
                      <wps:txbx>
                        <w:txbxContent>
                          <w:tbl>
                            <w:tblPr>
                              <w:tblStyle w:val="ac"/>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1612"/>
                              <w:gridCol w:w="1417"/>
                              <w:gridCol w:w="1701"/>
                              <w:gridCol w:w="1701"/>
                              <w:gridCol w:w="1701"/>
                            </w:tblGrid>
                            <w:tr w:rsidR="007372B2" w14:paraId="55796ABA" w14:textId="77777777" w:rsidTr="00B06A43">
                              <w:tc>
                                <w:tcPr>
                                  <w:tcW w:w="1371" w:type="dxa"/>
                                </w:tcPr>
                                <w:p w14:paraId="10BDF2E1" w14:textId="678EBE46" w:rsidR="007372B2" w:rsidRPr="00B06A43" w:rsidRDefault="007372B2" w:rsidP="00B06A43">
                                  <w:pPr>
                                    <w:ind w:left="172"/>
                                    <w:rPr>
                                      <w:rFonts w:ascii="Arial" w:hAnsi="Arial" w:cs="Arial"/>
                                      <w:sz w:val="15"/>
                                      <w:szCs w:val="15"/>
                                      <w:lang w:val="uk-UA"/>
                                    </w:rPr>
                                  </w:pPr>
                                  <w:r w:rsidRPr="00B06A43">
                                    <w:rPr>
                                      <w:rFonts w:ascii="Arial" w:hAnsi="Arial" w:cs="Arial"/>
                                      <w:sz w:val="15"/>
                                      <w:szCs w:val="15"/>
                                      <w:lang w:val="uk-UA"/>
                                    </w:rPr>
                                    <w:t xml:space="preserve">Дослідження      </w:t>
                                  </w:r>
                                </w:p>
                              </w:tc>
                              <w:tc>
                                <w:tcPr>
                                  <w:tcW w:w="1612" w:type="dxa"/>
                                </w:tcPr>
                                <w:p w14:paraId="621B6A31" w14:textId="6EFE9101" w:rsidR="007372B2" w:rsidRPr="00B06A43" w:rsidRDefault="007372B2" w:rsidP="00B06A43">
                                  <w:pPr>
                                    <w:rPr>
                                      <w:rFonts w:ascii="Arial" w:hAnsi="Arial" w:cs="Arial"/>
                                      <w:sz w:val="15"/>
                                      <w:szCs w:val="15"/>
                                      <w:lang w:val="uk-UA"/>
                                    </w:rPr>
                                  </w:pPr>
                                  <w:r w:rsidRPr="00B06A43">
                                    <w:rPr>
                                      <w:rFonts w:ascii="Trebuchet MS"/>
                                      <w:color w:val="333333"/>
                                      <w:w w:val="90"/>
                                      <w:sz w:val="15"/>
                                      <w:szCs w:val="15"/>
                                      <w:lang w:val="uk-UA"/>
                                    </w:rPr>
                                    <w:t xml:space="preserve">  TP</w:t>
                                  </w:r>
                                  <w:r w:rsidRPr="00B06A43">
                                    <w:rPr>
                                      <w:rFonts w:ascii="Trebuchet MS"/>
                                      <w:color w:val="333333"/>
                                      <w:spacing w:val="62"/>
                                      <w:w w:val="150"/>
                                      <w:sz w:val="15"/>
                                      <w:szCs w:val="15"/>
                                      <w:lang w:val="uk-UA"/>
                                    </w:rPr>
                                    <w:t xml:space="preserve"> </w:t>
                                  </w:r>
                                  <w:r>
                                    <w:rPr>
                                      <w:rFonts w:ascii="Trebuchet MS"/>
                                      <w:color w:val="333333"/>
                                      <w:spacing w:val="62"/>
                                      <w:w w:val="150"/>
                                      <w:sz w:val="15"/>
                                      <w:szCs w:val="15"/>
                                      <w:lang w:val="uk-UA"/>
                                    </w:rPr>
                                    <w:t xml:space="preserve"> </w:t>
                                  </w:r>
                                  <w:r w:rsidRPr="00B06A43">
                                    <w:rPr>
                                      <w:rFonts w:ascii="Trebuchet MS"/>
                                      <w:color w:val="333333"/>
                                      <w:spacing w:val="-5"/>
                                      <w:w w:val="90"/>
                                      <w:sz w:val="15"/>
                                      <w:szCs w:val="15"/>
                                      <w:lang w:val="uk-UA"/>
                                    </w:rPr>
                                    <w:t xml:space="preserve">FP    </w:t>
                                  </w:r>
                                  <w:r>
                                    <w:rPr>
                                      <w:rFonts w:ascii="Trebuchet MS"/>
                                      <w:color w:val="333333"/>
                                      <w:spacing w:val="-5"/>
                                      <w:w w:val="90"/>
                                      <w:sz w:val="15"/>
                                      <w:szCs w:val="15"/>
                                      <w:lang w:val="uk-UA"/>
                                    </w:rPr>
                                    <w:t xml:space="preserve"> </w:t>
                                  </w:r>
                                  <w:r w:rsidRPr="00B06A43">
                                    <w:rPr>
                                      <w:rFonts w:ascii="Trebuchet MS"/>
                                      <w:color w:val="333333"/>
                                      <w:w w:val="95"/>
                                      <w:sz w:val="15"/>
                                      <w:szCs w:val="15"/>
                                      <w:lang w:val="uk-UA"/>
                                    </w:rPr>
                                    <w:t>FN</w:t>
                                  </w:r>
                                  <w:r w:rsidRPr="00B06A43">
                                    <w:rPr>
                                      <w:rFonts w:ascii="Trebuchet MS"/>
                                      <w:color w:val="333333"/>
                                      <w:spacing w:val="29"/>
                                      <w:sz w:val="15"/>
                                      <w:szCs w:val="15"/>
                                      <w:lang w:val="uk-UA"/>
                                    </w:rPr>
                                    <w:t xml:space="preserve"> </w:t>
                                  </w:r>
                                  <w:r>
                                    <w:rPr>
                                      <w:rFonts w:ascii="Trebuchet MS"/>
                                      <w:color w:val="333333"/>
                                      <w:spacing w:val="29"/>
                                      <w:sz w:val="15"/>
                                      <w:szCs w:val="15"/>
                                      <w:lang w:val="uk-UA"/>
                                    </w:rPr>
                                    <w:t xml:space="preserve"> </w:t>
                                  </w:r>
                                  <w:r w:rsidRPr="00B06A43">
                                    <w:rPr>
                                      <w:rFonts w:ascii="Trebuchet MS"/>
                                      <w:color w:val="333333"/>
                                      <w:spacing w:val="-7"/>
                                      <w:w w:val="90"/>
                                      <w:sz w:val="15"/>
                                      <w:szCs w:val="15"/>
                                      <w:lang w:val="uk-UA"/>
                                    </w:rPr>
                                    <w:t>TN</w:t>
                                  </w:r>
                                </w:p>
                              </w:tc>
                              <w:tc>
                                <w:tcPr>
                                  <w:tcW w:w="1417" w:type="dxa"/>
                                </w:tcPr>
                                <w:p w14:paraId="50C5CC71" w14:textId="511431A3" w:rsidR="007372B2" w:rsidRPr="00B06A43" w:rsidRDefault="007372B2" w:rsidP="00B06A43">
                                  <w:pPr>
                                    <w:jc w:val="right"/>
                                    <w:rPr>
                                      <w:rFonts w:ascii="Arial" w:hAnsi="Arial" w:cs="Arial"/>
                                      <w:sz w:val="15"/>
                                      <w:szCs w:val="15"/>
                                      <w:lang w:val="uk-UA"/>
                                    </w:rPr>
                                  </w:pPr>
                                  <w:r w:rsidRPr="00B06A43">
                                    <w:rPr>
                                      <w:rFonts w:ascii="Trebuchet MS"/>
                                      <w:color w:val="333333"/>
                                      <w:w w:val="80"/>
                                      <w:sz w:val="15"/>
                                      <w:szCs w:val="15"/>
                                      <w:lang w:val="uk-UA"/>
                                    </w:rPr>
                                    <w:t>Чутливість</w:t>
                                  </w:r>
                                  <w:r w:rsidRPr="00B06A43">
                                    <w:rPr>
                                      <w:rFonts w:ascii="Trebuchet MS"/>
                                      <w:color w:val="333333"/>
                                      <w:sz w:val="15"/>
                                      <w:szCs w:val="15"/>
                                      <w:lang w:val="uk-UA"/>
                                    </w:rPr>
                                    <w:t xml:space="preserve"> </w:t>
                                  </w:r>
                                  <w:r w:rsidRPr="00B06A43">
                                    <w:rPr>
                                      <w:rFonts w:ascii="Trebuchet MS"/>
                                      <w:color w:val="333333"/>
                                      <w:w w:val="80"/>
                                      <w:sz w:val="15"/>
                                      <w:szCs w:val="15"/>
                                      <w:lang w:val="uk-UA"/>
                                    </w:rPr>
                                    <w:t>(95%</w:t>
                                  </w:r>
                                  <w:r w:rsidRPr="00B06A43">
                                    <w:rPr>
                                      <w:rFonts w:ascii="Trebuchet MS"/>
                                      <w:color w:val="333333"/>
                                      <w:sz w:val="15"/>
                                      <w:szCs w:val="15"/>
                                      <w:lang w:val="uk-UA"/>
                                    </w:rPr>
                                    <w:t xml:space="preserve"> </w:t>
                                  </w:r>
                                  <w:r w:rsidRPr="00B06A43">
                                    <w:rPr>
                                      <w:rFonts w:ascii="Trebuchet MS"/>
                                      <w:color w:val="333333"/>
                                      <w:w w:val="80"/>
                                      <w:sz w:val="15"/>
                                      <w:szCs w:val="15"/>
                                      <w:lang w:val="uk-UA"/>
                                    </w:rPr>
                                    <w:t>ДІ</w:t>
                                  </w:r>
                                  <w:r w:rsidRPr="00B06A43">
                                    <w:rPr>
                                      <w:rFonts w:ascii="Trebuchet MS"/>
                                      <w:color w:val="333333"/>
                                      <w:w w:val="80"/>
                                      <w:sz w:val="15"/>
                                      <w:szCs w:val="15"/>
                                      <w:lang w:val="uk-UA"/>
                                    </w:rPr>
                                    <w:t>)</w:t>
                                  </w:r>
                                </w:p>
                              </w:tc>
                              <w:tc>
                                <w:tcPr>
                                  <w:tcW w:w="1701" w:type="dxa"/>
                                </w:tcPr>
                                <w:p w14:paraId="4F40E171" w14:textId="683ED2A8" w:rsidR="007372B2" w:rsidRPr="00B06A43" w:rsidRDefault="007372B2" w:rsidP="00B06A43">
                                  <w:pPr>
                                    <w:jc w:val="right"/>
                                    <w:rPr>
                                      <w:rFonts w:ascii="Arial" w:hAnsi="Arial" w:cs="Arial"/>
                                      <w:sz w:val="15"/>
                                      <w:szCs w:val="15"/>
                                      <w:lang w:val="uk-UA"/>
                                    </w:rPr>
                                  </w:pPr>
                                  <w:r w:rsidRPr="00B06A43">
                                    <w:rPr>
                                      <w:rFonts w:ascii="Trebuchet MS"/>
                                      <w:color w:val="333333"/>
                                      <w:w w:val="80"/>
                                      <w:sz w:val="15"/>
                                      <w:szCs w:val="15"/>
                                      <w:lang w:val="uk-UA"/>
                                    </w:rPr>
                                    <w:t>Специфічність</w:t>
                                  </w:r>
                                  <w:r w:rsidRPr="00B06A43">
                                    <w:rPr>
                                      <w:rFonts w:ascii="Trebuchet MS"/>
                                      <w:color w:val="333333"/>
                                      <w:w w:val="80"/>
                                      <w:sz w:val="15"/>
                                      <w:szCs w:val="15"/>
                                      <w:lang w:val="uk-UA"/>
                                    </w:rPr>
                                    <w:t xml:space="preserve">(95% </w:t>
                                  </w:r>
                                  <w:r w:rsidRPr="00B06A43">
                                    <w:rPr>
                                      <w:rFonts w:ascii="Trebuchet MS"/>
                                      <w:color w:val="333333"/>
                                      <w:w w:val="80"/>
                                      <w:sz w:val="15"/>
                                      <w:szCs w:val="15"/>
                                      <w:lang w:val="uk-UA"/>
                                    </w:rPr>
                                    <w:t>ДІ</w:t>
                                  </w:r>
                                  <w:r w:rsidRPr="00B06A43">
                                    <w:rPr>
                                      <w:rFonts w:ascii="Trebuchet MS"/>
                                      <w:color w:val="333333"/>
                                      <w:spacing w:val="-5"/>
                                      <w:w w:val="80"/>
                                      <w:sz w:val="15"/>
                                      <w:szCs w:val="15"/>
                                      <w:lang w:val="uk-UA"/>
                                    </w:rPr>
                                    <w:t>)</w:t>
                                  </w:r>
                                </w:p>
                              </w:tc>
                              <w:tc>
                                <w:tcPr>
                                  <w:tcW w:w="1701" w:type="dxa"/>
                                </w:tcPr>
                                <w:p w14:paraId="4E4F5FC3" w14:textId="02203248" w:rsidR="007372B2" w:rsidRPr="00B06A43" w:rsidRDefault="007372B2" w:rsidP="00B06A43">
                                  <w:pPr>
                                    <w:jc w:val="right"/>
                                    <w:rPr>
                                      <w:rFonts w:ascii="Arial" w:hAnsi="Arial" w:cs="Arial"/>
                                      <w:sz w:val="15"/>
                                      <w:szCs w:val="15"/>
                                      <w:lang w:val="uk-UA"/>
                                    </w:rPr>
                                  </w:pPr>
                                  <w:r w:rsidRPr="00B06A43">
                                    <w:rPr>
                                      <w:rFonts w:ascii="Trebuchet MS"/>
                                      <w:color w:val="333333"/>
                                      <w:w w:val="80"/>
                                      <w:sz w:val="15"/>
                                      <w:szCs w:val="15"/>
                                      <w:lang w:val="uk-UA"/>
                                    </w:rPr>
                                    <w:t>Чутливість</w:t>
                                  </w:r>
                                  <w:r w:rsidRPr="00B06A43">
                                    <w:rPr>
                                      <w:rFonts w:ascii="Trebuchet MS"/>
                                      <w:color w:val="333333"/>
                                      <w:sz w:val="15"/>
                                      <w:szCs w:val="15"/>
                                      <w:lang w:val="uk-UA"/>
                                    </w:rPr>
                                    <w:t xml:space="preserve"> </w:t>
                                  </w:r>
                                  <w:r w:rsidRPr="00B06A43">
                                    <w:rPr>
                                      <w:rFonts w:ascii="Trebuchet MS"/>
                                      <w:color w:val="333333"/>
                                      <w:w w:val="80"/>
                                      <w:sz w:val="15"/>
                                      <w:szCs w:val="15"/>
                                      <w:lang w:val="uk-UA"/>
                                    </w:rPr>
                                    <w:t>(95%</w:t>
                                  </w:r>
                                  <w:r w:rsidRPr="00B06A43">
                                    <w:rPr>
                                      <w:rFonts w:ascii="Trebuchet MS"/>
                                      <w:color w:val="333333"/>
                                      <w:sz w:val="15"/>
                                      <w:szCs w:val="15"/>
                                      <w:lang w:val="uk-UA"/>
                                    </w:rPr>
                                    <w:t xml:space="preserve"> </w:t>
                                  </w:r>
                                  <w:r w:rsidRPr="00B06A43">
                                    <w:rPr>
                                      <w:rFonts w:ascii="Trebuchet MS"/>
                                      <w:color w:val="333333"/>
                                      <w:w w:val="80"/>
                                      <w:sz w:val="15"/>
                                      <w:szCs w:val="15"/>
                                      <w:lang w:val="uk-UA"/>
                                    </w:rPr>
                                    <w:t>ДІ</w:t>
                                  </w:r>
                                  <w:r w:rsidRPr="00B06A43">
                                    <w:rPr>
                                      <w:rFonts w:ascii="Trebuchet MS"/>
                                      <w:color w:val="333333"/>
                                      <w:w w:val="80"/>
                                      <w:sz w:val="15"/>
                                      <w:szCs w:val="15"/>
                                      <w:lang w:val="uk-UA"/>
                                    </w:rPr>
                                    <w:t>)</w:t>
                                  </w:r>
                                </w:p>
                              </w:tc>
                              <w:tc>
                                <w:tcPr>
                                  <w:tcW w:w="1701" w:type="dxa"/>
                                </w:tcPr>
                                <w:p w14:paraId="623990EB" w14:textId="62A4A05E" w:rsidR="007372B2" w:rsidRPr="00B06A43" w:rsidRDefault="007372B2" w:rsidP="00B06A43">
                                  <w:pPr>
                                    <w:jc w:val="right"/>
                                    <w:rPr>
                                      <w:rFonts w:ascii="Arial" w:hAnsi="Arial" w:cs="Arial"/>
                                      <w:sz w:val="15"/>
                                      <w:szCs w:val="15"/>
                                      <w:lang w:val="uk-UA"/>
                                    </w:rPr>
                                  </w:pPr>
                                  <w:r w:rsidRPr="00B06A43">
                                    <w:rPr>
                                      <w:rFonts w:ascii="Trebuchet MS"/>
                                      <w:color w:val="333333"/>
                                      <w:w w:val="80"/>
                                      <w:sz w:val="15"/>
                                      <w:szCs w:val="15"/>
                                      <w:lang w:val="uk-UA"/>
                                    </w:rPr>
                                    <w:t>Специфічність</w:t>
                                  </w:r>
                                  <w:r w:rsidRPr="00B06A43">
                                    <w:rPr>
                                      <w:rFonts w:ascii="Trebuchet MS"/>
                                      <w:color w:val="333333"/>
                                      <w:w w:val="80"/>
                                      <w:sz w:val="15"/>
                                      <w:szCs w:val="15"/>
                                      <w:lang w:val="uk-UA"/>
                                    </w:rPr>
                                    <w:t xml:space="preserve">(95% </w:t>
                                  </w:r>
                                  <w:r w:rsidRPr="00B06A43">
                                    <w:rPr>
                                      <w:rFonts w:ascii="Trebuchet MS"/>
                                      <w:color w:val="333333"/>
                                      <w:w w:val="80"/>
                                      <w:sz w:val="15"/>
                                      <w:szCs w:val="15"/>
                                      <w:lang w:val="uk-UA"/>
                                    </w:rPr>
                                    <w:t>ДІ</w:t>
                                  </w:r>
                                  <w:r w:rsidRPr="00B06A43">
                                    <w:rPr>
                                      <w:rFonts w:ascii="Trebuchet MS"/>
                                      <w:color w:val="333333"/>
                                      <w:spacing w:val="-5"/>
                                      <w:w w:val="80"/>
                                      <w:sz w:val="15"/>
                                      <w:szCs w:val="15"/>
                                      <w:lang w:val="uk-UA"/>
                                    </w:rPr>
                                    <w:t>)</w:t>
                                  </w:r>
                                </w:p>
                              </w:tc>
                            </w:tr>
                          </w:tbl>
                          <w:p w14:paraId="613172CB" w14:textId="281A7DB4" w:rsidR="007372B2" w:rsidRPr="00C45799" w:rsidRDefault="007372B2">
                            <w:pPr>
                              <w:rPr>
                                <w:sz w:val="16"/>
                                <w:szCs w:val="16"/>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9C5B6" id="Поле 1930" o:spid="_x0000_s1081" type="#_x0000_t202" style="position:absolute;margin-left:25.1pt;margin-top:13.45pt;width:479.3pt;height:20.55pt;z-index:48819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" fillcolor="white [3212]" stroked="f" strokeweight=".5pt">
                <v:textbox>
                  <w:txbxContent>
                    <w:tbl>
                      <w:tblPr>
                        <w:tblStyle w:val="ac"/>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1612"/>
                        <w:gridCol w:w="1417"/>
                        <w:gridCol w:w="1701"/>
                        <w:gridCol w:w="1701"/>
                        <w:gridCol w:w="1701"/>
                      </w:tblGrid>
                      <w:tr w:rsidR="007372B2" w14:paraId="55796ABA" w14:textId="77777777" w:rsidTr="00B06A43">
                        <w:tc>
                          <w:tcPr>
                            <w:tcW w:w="1371" w:type="dxa"/>
                          </w:tcPr>
                          <w:p w14:paraId="10BDF2E1" w14:textId="678EBE46" w:rsidR="007372B2" w:rsidRPr="00B06A43" w:rsidRDefault="007372B2" w:rsidP="00B06A43">
                            <w:pPr>
                              <w:ind w:left="172"/>
                              <w:rPr>
                                <w:rFonts w:ascii="Arial" w:hAnsi="Arial" w:cs="Arial"/>
                                <w:sz w:val="15"/>
                                <w:szCs w:val="15"/>
                                <w:lang w:val="uk-UA"/>
                              </w:rPr>
                            </w:pPr>
                            <w:r w:rsidRPr="00B06A43">
                              <w:rPr>
                                <w:rFonts w:ascii="Arial" w:hAnsi="Arial" w:cs="Arial"/>
                                <w:sz w:val="15"/>
                                <w:szCs w:val="15"/>
                                <w:lang w:val="uk-UA"/>
                              </w:rPr>
                              <w:t xml:space="preserve">Дослідження      </w:t>
                            </w:r>
                          </w:p>
                        </w:tc>
                        <w:tc>
                          <w:tcPr>
                            <w:tcW w:w="1612" w:type="dxa"/>
                          </w:tcPr>
                          <w:p w14:paraId="621B6A31" w14:textId="6EFE9101" w:rsidR="007372B2" w:rsidRPr="00B06A43" w:rsidRDefault="007372B2" w:rsidP="00B06A43">
                            <w:pPr>
                              <w:rPr>
                                <w:rFonts w:ascii="Arial" w:hAnsi="Arial" w:cs="Arial"/>
                                <w:sz w:val="15"/>
                                <w:szCs w:val="15"/>
                                <w:lang w:val="uk-UA"/>
                              </w:rPr>
                            </w:pPr>
                            <w:r w:rsidRPr="00B06A43">
                              <w:rPr>
                                <w:rFonts w:ascii="Trebuchet MS"/>
                                <w:color w:val="333333"/>
                                <w:w w:val="90"/>
                                <w:sz w:val="15"/>
                                <w:szCs w:val="15"/>
                                <w:lang w:val="uk-UA"/>
                              </w:rPr>
                              <w:t xml:space="preserve">  TP</w:t>
                            </w:r>
                            <w:r w:rsidRPr="00B06A43">
                              <w:rPr>
                                <w:rFonts w:ascii="Trebuchet MS"/>
                                <w:color w:val="333333"/>
                                <w:spacing w:val="62"/>
                                <w:w w:val="150"/>
                                <w:sz w:val="15"/>
                                <w:szCs w:val="15"/>
                                <w:lang w:val="uk-UA"/>
                              </w:rPr>
                              <w:t xml:space="preserve"> </w:t>
                            </w:r>
                            <w:r>
                              <w:rPr>
                                <w:rFonts w:ascii="Trebuchet MS"/>
                                <w:color w:val="333333"/>
                                <w:spacing w:val="62"/>
                                <w:w w:val="150"/>
                                <w:sz w:val="15"/>
                                <w:szCs w:val="15"/>
                                <w:lang w:val="uk-UA"/>
                              </w:rPr>
                              <w:t xml:space="preserve"> </w:t>
                            </w:r>
                            <w:r w:rsidRPr="00B06A43">
                              <w:rPr>
                                <w:rFonts w:ascii="Trebuchet MS"/>
                                <w:color w:val="333333"/>
                                <w:spacing w:val="-5"/>
                                <w:w w:val="90"/>
                                <w:sz w:val="15"/>
                                <w:szCs w:val="15"/>
                                <w:lang w:val="uk-UA"/>
                              </w:rPr>
                              <w:t xml:space="preserve">FP    </w:t>
                            </w:r>
                            <w:r>
                              <w:rPr>
                                <w:rFonts w:ascii="Trebuchet MS"/>
                                <w:color w:val="333333"/>
                                <w:spacing w:val="-5"/>
                                <w:w w:val="90"/>
                                <w:sz w:val="15"/>
                                <w:szCs w:val="15"/>
                                <w:lang w:val="uk-UA"/>
                              </w:rPr>
                              <w:t xml:space="preserve"> </w:t>
                            </w:r>
                            <w:r w:rsidRPr="00B06A43">
                              <w:rPr>
                                <w:rFonts w:ascii="Trebuchet MS"/>
                                <w:color w:val="333333"/>
                                <w:w w:val="95"/>
                                <w:sz w:val="15"/>
                                <w:szCs w:val="15"/>
                                <w:lang w:val="uk-UA"/>
                              </w:rPr>
                              <w:t>FN</w:t>
                            </w:r>
                            <w:r w:rsidRPr="00B06A43">
                              <w:rPr>
                                <w:rFonts w:ascii="Trebuchet MS"/>
                                <w:color w:val="333333"/>
                                <w:spacing w:val="29"/>
                                <w:sz w:val="15"/>
                                <w:szCs w:val="15"/>
                                <w:lang w:val="uk-UA"/>
                              </w:rPr>
                              <w:t xml:space="preserve"> </w:t>
                            </w:r>
                            <w:r>
                              <w:rPr>
                                <w:rFonts w:ascii="Trebuchet MS"/>
                                <w:color w:val="333333"/>
                                <w:spacing w:val="29"/>
                                <w:sz w:val="15"/>
                                <w:szCs w:val="15"/>
                                <w:lang w:val="uk-UA"/>
                              </w:rPr>
                              <w:t xml:space="preserve"> </w:t>
                            </w:r>
                            <w:r w:rsidRPr="00B06A43">
                              <w:rPr>
                                <w:rFonts w:ascii="Trebuchet MS"/>
                                <w:color w:val="333333"/>
                                <w:spacing w:val="-7"/>
                                <w:w w:val="90"/>
                                <w:sz w:val="15"/>
                                <w:szCs w:val="15"/>
                                <w:lang w:val="uk-UA"/>
                              </w:rPr>
                              <w:t>TN</w:t>
                            </w:r>
                          </w:p>
                        </w:tc>
                        <w:tc>
                          <w:tcPr>
                            <w:tcW w:w="1417" w:type="dxa"/>
                          </w:tcPr>
                          <w:p w14:paraId="50C5CC71" w14:textId="511431A3" w:rsidR="007372B2" w:rsidRPr="00B06A43" w:rsidRDefault="007372B2" w:rsidP="00B06A43">
                            <w:pPr>
                              <w:jc w:val="right"/>
                              <w:rPr>
                                <w:rFonts w:ascii="Arial" w:hAnsi="Arial" w:cs="Arial"/>
                                <w:sz w:val="15"/>
                                <w:szCs w:val="15"/>
                                <w:lang w:val="uk-UA"/>
                              </w:rPr>
                            </w:pPr>
                            <w:r w:rsidRPr="00B06A43">
                              <w:rPr>
                                <w:rFonts w:ascii="Trebuchet MS"/>
                                <w:color w:val="333333"/>
                                <w:w w:val="80"/>
                                <w:sz w:val="15"/>
                                <w:szCs w:val="15"/>
                                <w:lang w:val="uk-UA"/>
                              </w:rPr>
                              <w:t>Чутливість</w:t>
                            </w:r>
                            <w:r w:rsidRPr="00B06A43">
                              <w:rPr>
                                <w:rFonts w:ascii="Trebuchet MS"/>
                                <w:color w:val="333333"/>
                                <w:sz w:val="15"/>
                                <w:szCs w:val="15"/>
                                <w:lang w:val="uk-UA"/>
                              </w:rPr>
                              <w:t xml:space="preserve"> </w:t>
                            </w:r>
                            <w:r w:rsidRPr="00B06A43">
                              <w:rPr>
                                <w:rFonts w:ascii="Trebuchet MS"/>
                                <w:color w:val="333333"/>
                                <w:w w:val="80"/>
                                <w:sz w:val="15"/>
                                <w:szCs w:val="15"/>
                                <w:lang w:val="uk-UA"/>
                              </w:rPr>
                              <w:t>(95%</w:t>
                            </w:r>
                            <w:r w:rsidRPr="00B06A43">
                              <w:rPr>
                                <w:rFonts w:ascii="Trebuchet MS"/>
                                <w:color w:val="333333"/>
                                <w:sz w:val="15"/>
                                <w:szCs w:val="15"/>
                                <w:lang w:val="uk-UA"/>
                              </w:rPr>
                              <w:t xml:space="preserve"> </w:t>
                            </w:r>
                            <w:r w:rsidRPr="00B06A43">
                              <w:rPr>
                                <w:rFonts w:ascii="Trebuchet MS"/>
                                <w:color w:val="333333"/>
                                <w:w w:val="80"/>
                                <w:sz w:val="15"/>
                                <w:szCs w:val="15"/>
                                <w:lang w:val="uk-UA"/>
                              </w:rPr>
                              <w:t>ДІ</w:t>
                            </w:r>
                            <w:r w:rsidRPr="00B06A43">
                              <w:rPr>
                                <w:rFonts w:ascii="Trebuchet MS"/>
                                <w:color w:val="333333"/>
                                <w:w w:val="80"/>
                                <w:sz w:val="15"/>
                                <w:szCs w:val="15"/>
                                <w:lang w:val="uk-UA"/>
                              </w:rPr>
                              <w:t>)</w:t>
                            </w:r>
                          </w:p>
                        </w:tc>
                        <w:tc>
                          <w:tcPr>
                            <w:tcW w:w="1701" w:type="dxa"/>
                          </w:tcPr>
                          <w:p w14:paraId="4F40E171" w14:textId="683ED2A8" w:rsidR="007372B2" w:rsidRPr="00B06A43" w:rsidRDefault="007372B2" w:rsidP="00B06A43">
                            <w:pPr>
                              <w:jc w:val="right"/>
                              <w:rPr>
                                <w:rFonts w:ascii="Arial" w:hAnsi="Arial" w:cs="Arial"/>
                                <w:sz w:val="15"/>
                                <w:szCs w:val="15"/>
                                <w:lang w:val="uk-UA"/>
                              </w:rPr>
                            </w:pPr>
                            <w:r w:rsidRPr="00B06A43">
                              <w:rPr>
                                <w:rFonts w:ascii="Trebuchet MS"/>
                                <w:color w:val="333333"/>
                                <w:w w:val="80"/>
                                <w:sz w:val="15"/>
                                <w:szCs w:val="15"/>
                                <w:lang w:val="uk-UA"/>
                              </w:rPr>
                              <w:t>Специфічність</w:t>
                            </w:r>
                            <w:r w:rsidRPr="00B06A43">
                              <w:rPr>
                                <w:rFonts w:ascii="Trebuchet MS"/>
                                <w:color w:val="333333"/>
                                <w:w w:val="80"/>
                                <w:sz w:val="15"/>
                                <w:szCs w:val="15"/>
                                <w:lang w:val="uk-UA"/>
                              </w:rPr>
                              <w:t xml:space="preserve">(95% </w:t>
                            </w:r>
                            <w:r w:rsidRPr="00B06A43">
                              <w:rPr>
                                <w:rFonts w:ascii="Trebuchet MS"/>
                                <w:color w:val="333333"/>
                                <w:w w:val="80"/>
                                <w:sz w:val="15"/>
                                <w:szCs w:val="15"/>
                                <w:lang w:val="uk-UA"/>
                              </w:rPr>
                              <w:t>ДІ</w:t>
                            </w:r>
                            <w:r w:rsidRPr="00B06A43">
                              <w:rPr>
                                <w:rFonts w:ascii="Trebuchet MS"/>
                                <w:color w:val="333333"/>
                                <w:spacing w:val="-5"/>
                                <w:w w:val="80"/>
                                <w:sz w:val="15"/>
                                <w:szCs w:val="15"/>
                                <w:lang w:val="uk-UA"/>
                              </w:rPr>
                              <w:t>)</w:t>
                            </w:r>
                          </w:p>
                        </w:tc>
                        <w:tc>
                          <w:tcPr>
                            <w:tcW w:w="1701" w:type="dxa"/>
                          </w:tcPr>
                          <w:p w14:paraId="4E4F5FC3" w14:textId="02203248" w:rsidR="007372B2" w:rsidRPr="00B06A43" w:rsidRDefault="007372B2" w:rsidP="00B06A43">
                            <w:pPr>
                              <w:jc w:val="right"/>
                              <w:rPr>
                                <w:rFonts w:ascii="Arial" w:hAnsi="Arial" w:cs="Arial"/>
                                <w:sz w:val="15"/>
                                <w:szCs w:val="15"/>
                                <w:lang w:val="uk-UA"/>
                              </w:rPr>
                            </w:pPr>
                            <w:r w:rsidRPr="00B06A43">
                              <w:rPr>
                                <w:rFonts w:ascii="Trebuchet MS"/>
                                <w:color w:val="333333"/>
                                <w:w w:val="80"/>
                                <w:sz w:val="15"/>
                                <w:szCs w:val="15"/>
                                <w:lang w:val="uk-UA"/>
                              </w:rPr>
                              <w:t>Чутливість</w:t>
                            </w:r>
                            <w:r w:rsidRPr="00B06A43">
                              <w:rPr>
                                <w:rFonts w:ascii="Trebuchet MS"/>
                                <w:color w:val="333333"/>
                                <w:sz w:val="15"/>
                                <w:szCs w:val="15"/>
                                <w:lang w:val="uk-UA"/>
                              </w:rPr>
                              <w:t xml:space="preserve"> </w:t>
                            </w:r>
                            <w:r w:rsidRPr="00B06A43">
                              <w:rPr>
                                <w:rFonts w:ascii="Trebuchet MS"/>
                                <w:color w:val="333333"/>
                                <w:w w:val="80"/>
                                <w:sz w:val="15"/>
                                <w:szCs w:val="15"/>
                                <w:lang w:val="uk-UA"/>
                              </w:rPr>
                              <w:t>(95%</w:t>
                            </w:r>
                            <w:r w:rsidRPr="00B06A43">
                              <w:rPr>
                                <w:rFonts w:ascii="Trebuchet MS"/>
                                <w:color w:val="333333"/>
                                <w:sz w:val="15"/>
                                <w:szCs w:val="15"/>
                                <w:lang w:val="uk-UA"/>
                              </w:rPr>
                              <w:t xml:space="preserve"> </w:t>
                            </w:r>
                            <w:r w:rsidRPr="00B06A43">
                              <w:rPr>
                                <w:rFonts w:ascii="Trebuchet MS"/>
                                <w:color w:val="333333"/>
                                <w:w w:val="80"/>
                                <w:sz w:val="15"/>
                                <w:szCs w:val="15"/>
                                <w:lang w:val="uk-UA"/>
                              </w:rPr>
                              <w:t>ДІ</w:t>
                            </w:r>
                            <w:r w:rsidRPr="00B06A43">
                              <w:rPr>
                                <w:rFonts w:ascii="Trebuchet MS"/>
                                <w:color w:val="333333"/>
                                <w:w w:val="80"/>
                                <w:sz w:val="15"/>
                                <w:szCs w:val="15"/>
                                <w:lang w:val="uk-UA"/>
                              </w:rPr>
                              <w:t>)</w:t>
                            </w:r>
                          </w:p>
                        </w:tc>
                        <w:tc>
                          <w:tcPr>
                            <w:tcW w:w="1701" w:type="dxa"/>
                          </w:tcPr>
                          <w:p w14:paraId="623990EB" w14:textId="62A4A05E" w:rsidR="007372B2" w:rsidRPr="00B06A43" w:rsidRDefault="007372B2" w:rsidP="00B06A43">
                            <w:pPr>
                              <w:jc w:val="right"/>
                              <w:rPr>
                                <w:rFonts w:ascii="Arial" w:hAnsi="Arial" w:cs="Arial"/>
                                <w:sz w:val="15"/>
                                <w:szCs w:val="15"/>
                                <w:lang w:val="uk-UA"/>
                              </w:rPr>
                            </w:pPr>
                            <w:r w:rsidRPr="00B06A43">
                              <w:rPr>
                                <w:rFonts w:ascii="Trebuchet MS"/>
                                <w:color w:val="333333"/>
                                <w:w w:val="80"/>
                                <w:sz w:val="15"/>
                                <w:szCs w:val="15"/>
                                <w:lang w:val="uk-UA"/>
                              </w:rPr>
                              <w:t>Специфічність</w:t>
                            </w:r>
                            <w:r w:rsidRPr="00B06A43">
                              <w:rPr>
                                <w:rFonts w:ascii="Trebuchet MS"/>
                                <w:color w:val="333333"/>
                                <w:w w:val="80"/>
                                <w:sz w:val="15"/>
                                <w:szCs w:val="15"/>
                                <w:lang w:val="uk-UA"/>
                              </w:rPr>
                              <w:t xml:space="preserve">(95% </w:t>
                            </w:r>
                            <w:r w:rsidRPr="00B06A43">
                              <w:rPr>
                                <w:rFonts w:ascii="Trebuchet MS"/>
                                <w:color w:val="333333"/>
                                <w:w w:val="80"/>
                                <w:sz w:val="15"/>
                                <w:szCs w:val="15"/>
                                <w:lang w:val="uk-UA"/>
                              </w:rPr>
                              <w:t>ДІ</w:t>
                            </w:r>
                            <w:r w:rsidRPr="00B06A43">
                              <w:rPr>
                                <w:rFonts w:ascii="Trebuchet MS"/>
                                <w:color w:val="333333"/>
                                <w:spacing w:val="-5"/>
                                <w:w w:val="80"/>
                                <w:sz w:val="15"/>
                                <w:szCs w:val="15"/>
                                <w:lang w:val="uk-UA"/>
                              </w:rPr>
                              <w:t>)</w:t>
                            </w:r>
                          </w:p>
                        </w:tc>
                      </w:tr>
                    </w:tbl>
                    <w:p w14:paraId="613172CB" w14:textId="281A7DB4" w:rsidR="007372B2" w:rsidRPr="00C45799" w:rsidRDefault="007372B2">
                      <w:pPr>
                        <w:rPr>
                          <w:sz w:val="16"/>
                          <w:szCs w:val="16"/>
                          <w:lang w:val="uk-UA"/>
                        </w:rPr>
                      </w:pPr>
                    </w:p>
                  </w:txbxContent>
                </v:textbox>
              </v:shape>
            </w:pict>
          </mc:Fallback>
        </mc:AlternateContent>
      </w:r>
    </w:p>
    <w:p w14:paraId="28BB9824" w14:textId="77777777" w:rsidR="00E05B98" w:rsidRPr="003C6DAE" w:rsidRDefault="00B01E0C">
      <w:pPr>
        <w:pStyle w:val="a3"/>
        <w:ind w:left="567"/>
        <w:rPr>
          <w:rFonts w:ascii="Trebuchet MS"/>
          <w:sz w:val="20"/>
          <w:lang w:val="uk-UA"/>
        </w:rPr>
      </w:pPr>
      <w:r w:rsidRPr="003C6DAE">
        <w:rPr>
          <w:rFonts w:ascii="Trebuchet MS"/>
          <w:noProof/>
          <w:sz w:val="20"/>
          <w:lang w:val="uk-UA"/>
        </w:rPr>
        <w:drawing>
          <wp:inline distT="0" distB="0" distL="0" distR="0" wp14:anchorId="0B23890C" wp14:editId="2D2B3E37">
            <wp:extent cx="5915608" cy="703580"/>
            <wp:effectExtent l="0" t="0" r="9525" b="1270"/>
            <wp:docPr id="599" name="Image 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9" name="Image 599"/>
                    <pic:cNvPicPr/>
                  </pic:nvPicPr>
                  <pic:blipFill>
                    <a:blip r:embed="rId49" cstate="print"/>
                    <a:stretch>
                      <a:fillRect/>
                    </a:stretch>
                  </pic:blipFill>
                  <pic:spPr>
                    <a:xfrm>
                      <a:off x="0" y="0"/>
                      <a:ext cx="5926418" cy="704866"/>
                    </a:xfrm>
                    <a:prstGeom prst="rect">
                      <a:avLst/>
                    </a:prstGeom>
                  </pic:spPr>
                </pic:pic>
              </a:graphicData>
            </a:graphic>
          </wp:inline>
        </w:drawing>
      </w:r>
    </w:p>
    <w:p w14:paraId="3FC8720A" w14:textId="77777777" w:rsidR="00E05B98" w:rsidRPr="003C6DAE" w:rsidRDefault="00E05B98">
      <w:pPr>
        <w:pStyle w:val="a3"/>
        <w:spacing w:before="66"/>
        <w:rPr>
          <w:rFonts w:ascii="Trebuchet MS"/>
          <w:sz w:val="18"/>
          <w:lang w:val="uk-UA"/>
        </w:rPr>
      </w:pPr>
    </w:p>
    <w:p w14:paraId="35F94AB8" w14:textId="7707B498" w:rsidR="00CD655F" w:rsidRPr="003C6DAE" w:rsidRDefault="00CD655F" w:rsidP="00CD655F">
      <w:pPr>
        <w:spacing w:before="57"/>
        <w:ind w:left="567" w:right="142"/>
        <w:jc w:val="both"/>
        <w:rPr>
          <w:sz w:val="15"/>
          <w:szCs w:val="15"/>
          <w:lang w:val="uk-UA"/>
        </w:rPr>
      </w:pPr>
      <w:r w:rsidRPr="003C6DAE">
        <w:rPr>
          <w:sz w:val="15"/>
          <w:szCs w:val="15"/>
          <w:lang w:val="uk-UA"/>
        </w:rPr>
        <w:t xml:space="preserve">ДІ: довірчий інтервал; СМР: спинномозкова рідина; FN: хибнонегативний результат; FP: хибнопозитивний результат; </w:t>
      </w:r>
      <w:r w:rsidR="003B2827">
        <w:rPr>
          <w:sz w:val="15"/>
          <w:szCs w:val="15"/>
          <w:lang w:val="uk-UA"/>
        </w:rPr>
        <w:t>аТАНК-НС:</w:t>
      </w:r>
      <w:r w:rsidRPr="003C6DAE">
        <w:rPr>
          <w:sz w:val="15"/>
          <w:szCs w:val="15"/>
          <w:lang w:val="uk-UA"/>
        </w:rPr>
        <w:t xml:space="preserve"> автоматизований тест ампліфікаці</w:t>
      </w:r>
      <w:r w:rsidR="003B2827">
        <w:rPr>
          <w:sz w:val="15"/>
          <w:szCs w:val="15"/>
          <w:lang w:val="uk-UA"/>
        </w:rPr>
        <w:t>ї</w:t>
      </w:r>
      <w:r w:rsidRPr="003C6DAE">
        <w:rPr>
          <w:sz w:val="15"/>
          <w:szCs w:val="15"/>
          <w:lang w:val="uk-UA"/>
        </w:rPr>
        <w:t xml:space="preserve"> нуклеїнових кислот низької складності; MRS: мікробіологічний еталонний стандарт; ТБ: туберкульоз; TN: істинно негативний результат; TP: істинно позитивний результат.</w:t>
      </w:r>
    </w:p>
    <w:p w14:paraId="2CB11634" w14:textId="366653B1" w:rsidR="00E05B98" w:rsidRPr="003C6DAE" w:rsidRDefault="00CD655F" w:rsidP="00CD655F">
      <w:pPr>
        <w:spacing w:before="57"/>
        <w:ind w:left="567" w:right="142"/>
        <w:jc w:val="both"/>
        <w:rPr>
          <w:sz w:val="16"/>
          <w:szCs w:val="16"/>
          <w:lang w:val="uk-UA"/>
        </w:rPr>
      </w:pPr>
      <w:r w:rsidRPr="003C6DAE">
        <w:rPr>
          <w:sz w:val="16"/>
          <w:szCs w:val="16"/>
          <w:vertAlign w:val="superscript"/>
          <w:lang w:val="uk-UA"/>
        </w:rPr>
        <w:t xml:space="preserve">a </w:t>
      </w:r>
      <w:r w:rsidRPr="003C6DAE">
        <w:rPr>
          <w:sz w:val="16"/>
          <w:szCs w:val="16"/>
          <w:lang w:val="uk-UA"/>
        </w:rPr>
        <w:t xml:space="preserve">Дослідження </w:t>
      </w:r>
      <w:r w:rsidR="003B2827">
        <w:rPr>
          <w:sz w:val="16"/>
          <w:szCs w:val="16"/>
          <w:lang w:val="uk-UA"/>
        </w:rPr>
        <w:t>впорядковано</w:t>
      </w:r>
      <w:r w:rsidRPr="003C6DAE">
        <w:rPr>
          <w:sz w:val="16"/>
          <w:szCs w:val="16"/>
          <w:lang w:val="uk-UA"/>
        </w:rPr>
        <w:t xml:space="preserve"> за зменшенням чутливості</w:t>
      </w:r>
      <w:r w:rsidR="00B01E0C" w:rsidRPr="003C6DAE">
        <w:rPr>
          <w:spacing w:val="-2"/>
          <w:sz w:val="16"/>
          <w:szCs w:val="16"/>
          <w:lang w:val="uk-UA"/>
        </w:rPr>
        <w:t>.</w:t>
      </w:r>
    </w:p>
    <w:p w14:paraId="20AD9C4A" w14:textId="77777777" w:rsidR="00E05B98" w:rsidRPr="003C6DAE" w:rsidRDefault="00E05B98">
      <w:pPr>
        <w:pStyle w:val="a3"/>
        <w:spacing w:before="176"/>
        <w:rPr>
          <w:sz w:val="18"/>
          <w:lang w:val="uk-UA"/>
        </w:rPr>
      </w:pPr>
    </w:p>
    <w:p w14:paraId="3F517CBA" w14:textId="336C10F4" w:rsidR="00E05B98" w:rsidRPr="003C6DAE" w:rsidRDefault="00CD655F" w:rsidP="00CD655F">
      <w:pPr>
        <w:pStyle w:val="5"/>
        <w:jc w:val="both"/>
        <w:rPr>
          <w:lang w:val="uk-UA"/>
        </w:rPr>
      </w:pPr>
      <w:r w:rsidRPr="003C6DAE">
        <w:rPr>
          <w:color w:val="019648"/>
          <w:spacing w:val="-2"/>
          <w:w w:val="110"/>
          <w:lang w:val="uk-UA"/>
        </w:rPr>
        <w:t>Виявлення позалегеневого туберкульозу</w:t>
      </w:r>
    </w:p>
    <w:p w14:paraId="342ACE1A" w14:textId="03C1CD66" w:rsidR="00E05B98" w:rsidRPr="003C6DAE" w:rsidRDefault="00CD655F" w:rsidP="00CD655F">
      <w:pPr>
        <w:pStyle w:val="7"/>
        <w:spacing w:before="231" w:line="249" w:lineRule="auto"/>
        <w:jc w:val="both"/>
        <w:rPr>
          <w:rFonts w:ascii="Microsoft Sans Serif" w:hAnsi="Microsoft Sans Serif" w:cs="Microsoft Sans Serif"/>
          <w:sz w:val="22"/>
          <w:szCs w:val="22"/>
          <w:lang w:val="uk-UA"/>
        </w:rPr>
      </w:pPr>
      <w:r w:rsidRPr="003C6DAE">
        <w:rPr>
          <w:rFonts w:ascii="Microsoft Sans Serif" w:hAnsi="Microsoft Sans Serif" w:cs="Microsoft Sans Serif"/>
          <w:color w:val="019648"/>
          <w:w w:val="105"/>
          <w:sz w:val="22"/>
          <w:szCs w:val="22"/>
          <w:lang w:val="uk-UA"/>
        </w:rPr>
        <w:t xml:space="preserve">Чи слід використовувати аТАНК-НС </w:t>
      </w:r>
      <w:r w:rsidR="00090397">
        <w:rPr>
          <w:rFonts w:ascii="Microsoft Sans Serif" w:hAnsi="Microsoft Sans Serif" w:cs="Microsoft Sans Serif"/>
          <w:color w:val="019648"/>
          <w:w w:val="105"/>
          <w:sz w:val="22"/>
          <w:szCs w:val="22"/>
          <w:lang w:val="uk-UA"/>
        </w:rPr>
        <w:t>на</w:t>
      </w:r>
      <w:r w:rsidRPr="003C6DAE">
        <w:rPr>
          <w:rFonts w:ascii="Microsoft Sans Serif" w:hAnsi="Microsoft Sans Serif" w:cs="Microsoft Sans Serif"/>
          <w:color w:val="019648"/>
          <w:w w:val="105"/>
          <w:sz w:val="22"/>
          <w:szCs w:val="22"/>
          <w:lang w:val="uk-UA"/>
        </w:rPr>
        <w:t xml:space="preserve"> </w:t>
      </w:r>
      <w:r w:rsidR="003B2827">
        <w:rPr>
          <w:rFonts w:ascii="Microsoft Sans Serif" w:hAnsi="Microsoft Sans Serif" w:cs="Microsoft Sans Serif"/>
          <w:color w:val="019648"/>
          <w:w w:val="105"/>
          <w:sz w:val="22"/>
          <w:szCs w:val="22"/>
          <w:lang w:val="uk-UA"/>
        </w:rPr>
        <w:t>зразк</w:t>
      </w:r>
      <w:r w:rsidR="00090397">
        <w:rPr>
          <w:rFonts w:ascii="Microsoft Sans Serif" w:hAnsi="Microsoft Sans Serif" w:cs="Microsoft Sans Serif"/>
          <w:color w:val="019648"/>
          <w:w w:val="105"/>
          <w:sz w:val="22"/>
          <w:szCs w:val="22"/>
          <w:lang w:val="uk-UA"/>
        </w:rPr>
        <w:t>ах</w:t>
      </w:r>
      <w:r w:rsidR="003B2827">
        <w:rPr>
          <w:rFonts w:ascii="Microsoft Sans Serif" w:hAnsi="Microsoft Sans Serif" w:cs="Microsoft Sans Serif"/>
          <w:color w:val="019648"/>
          <w:w w:val="105"/>
          <w:sz w:val="22"/>
          <w:szCs w:val="22"/>
          <w:lang w:val="uk-UA"/>
        </w:rPr>
        <w:t xml:space="preserve"> </w:t>
      </w:r>
      <w:r w:rsidRPr="003C6DAE">
        <w:rPr>
          <w:rFonts w:ascii="Microsoft Sans Serif" w:hAnsi="Microsoft Sans Serif" w:cs="Microsoft Sans Serif"/>
          <w:color w:val="019648"/>
          <w:w w:val="105"/>
          <w:sz w:val="22"/>
          <w:szCs w:val="22"/>
          <w:lang w:val="uk-UA"/>
        </w:rPr>
        <w:t xml:space="preserve">рідини лімфатичних вузлів для діагностики ТБ лімфатичних вузлів у дорослих і підлітків із ознаками та симптомами ТБ лімфатичних вузлів </w:t>
      </w:r>
      <w:r w:rsidR="003B2827">
        <w:rPr>
          <w:rFonts w:ascii="Microsoft Sans Serif" w:hAnsi="Microsoft Sans Serif" w:cs="Microsoft Sans Serif"/>
          <w:color w:val="019648"/>
          <w:w w:val="105"/>
          <w:sz w:val="22"/>
          <w:szCs w:val="22"/>
          <w:lang w:val="uk-UA"/>
        </w:rPr>
        <w:t>на противагу</w:t>
      </w:r>
      <w:r w:rsidRPr="003C6DAE">
        <w:rPr>
          <w:rFonts w:ascii="Microsoft Sans Serif" w:hAnsi="Microsoft Sans Serif" w:cs="Microsoft Sans Serif"/>
          <w:color w:val="019648"/>
          <w:w w:val="105"/>
          <w:sz w:val="22"/>
          <w:szCs w:val="22"/>
          <w:lang w:val="uk-UA"/>
        </w:rPr>
        <w:t xml:space="preserve"> MRS?</w:t>
      </w:r>
    </w:p>
    <w:p w14:paraId="2D670CA2" w14:textId="61F289BC" w:rsidR="00E05B98" w:rsidRPr="003C6DAE" w:rsidRDefault="00C459C3" w:rsidP="00CD655F">
      <w:pPr>
        <w:pStyle w:val="a3"/>
        <w:spacing w:before="217" w:line="297" w:lineRule="auto"/>
        <w:ind w:left="567"/>
        <w:jc w:val="both"/>
        <w:rPr>
          <w:sz w:val="20"/>
          <w:szCs w:val="20"/>
          <w:lang w:val="uk-UA"/>
        </w:rPr>
      </w:pPr>
      <w:r>
        <w:rPr>
          <w:spacing w:val="-2"/>
          <w:sz w:val="20"/>
          <w:szCs w:val="20"/>
          <w:lang w:val="uk-UA"/>
        </w:rPr>
        <w:t>З</w:t>
      </w:r>
      <w:r w:rsidR="001B7D2E" w:rsidRPr="003C6DAE">
        <w:rPr>
          <w:spacing w:val="-2"/>
          <w:sz w:val="20"/>
          <w:szCs w:val="20"/>
          <w:lang w:val="uk-UA"/>
        </w:rPr>
        <w:t>а результатами дев’яти досліджень аналізу Xpert Ultra (445 учасників)</w:t>
      </w:r>
      <w:r>
        <w:rPr>
          <w:spacing w:val="-2"/>
          <w:sz w:val="20"/>
          <w:szCs w:val="20"/>
          <w:lang w:val="uk-UA"/>
        </w:rPr>
        <w:t>, с</w:t>
      </w:r>
      <w:r w:rsidRPr="003C6DAE">
        <w:rPr>
          <w:spacing w:val="-2"/>
          <w:sz w:val="20"/>
          <w:szCs w:val="20"/>
          <w:lang w:val="uk-UA"/>
        </w:rPr>
        <w:t>умарна чутливість і специфічність аТАНК-НС</w:t>
      </w:r>
      <w:r w:rsidR="001B7D2E" w:rsidRPr="003C6DAE">
        <w:rPr>
          <w:spacing w:val="-2"/>
          <w:sz w:val="20"/>
          <w:szCs w:val="20"/>
          <w:lang w:val="uk-UA"/>
        </w:rPr>
        <w:t xml:space="preserve"> </w:t>
      </w:r>
      <w:r>
        <w:rPr>
          <w:spacing w:val="-2"/>
          <w:sz w:val="20"/>
          <w:szCs w:val="20"/>
          <w:lang w:val="uk-UA"/>
        </w:rPr>
        <w:t>на зразках</w:t>
      </w:r>
      <w:r w:rsidRPr="003C6DAE">
        <w:rPr>
          <w:spacing w:val="-2"/>
          <w:sz w:val="20"/>
          <w:szCs w:val="20"/>
          <w:lang w:val="uk-UA"/>
        </w:rPr>
        <w:t xml:space="preserve"> рідин</w:t>
      </w:r>
      <w:r>
        <w:rPr>
          <w:spacing w:val="-2"/>
          <w:sz w:val="20"/>
          <w:szCs w:val="20"/>
          <w:lang w:val="uk-UA"/>
        </w:rPr>
        <w:t>и</w:t>
      </w:r>
      <w:r w:rsidRPr="003C6DAE">
        <w:rPr>
          <w:spacing w:val="-2"/>
          <w:sz w:val="20"/>
          <w:szCs w:val="20"/>
          <w:lang w:val="uk-UA"/>
        </w:rPr>
        <w:t xml:space="preserve"> лімфатичних вузлів </w:t>
      </w:r>
      <w:r w:rsidR="001B7D2E" w:rsidRPr="003C6DAE">
        <w:rPr>
          <w:spacing w:val="-2"/>
          <w:sz w:val="20"/>
          <w:szCs w:val="20"/>
          <w:lang w:val="uk-UA"/>
        </w:rPr>
        <w:t>для діагностики ТБ лімфатичних вузлів серед дорослих і підлітків із ознаками та симптомами ТБ лімфатичних вузлів (</w:t>
      </w:r>
      <w:r w:rsidR="001B7D2E" w:rsidRPr="003C6DAE">
        <w:rPr>
          <w:b/>
          <w:bCs/>
          <w:spacing w:val="-2"/>
          <w:sz w:val="20"/>
          <w:szCs w:val="20"/>
          <w:lang w:val="uk-UA"/>
        </w:rPr>
        <w:t>Рис. 2.1.4</w:t>
      </w:r>
      <w:r w:rsidR="001B7D2E" w:rsidRPr="003C6DAE">
        <w:rPr>
          <w:spacing w:val="-2"/>
          <w:sz w:val="20"/>
          <w:szCs w:val="20"/>
          <w:lang w:val="uk-UA"/>
        </w:rPr>
        <w:t>) становила 85,3% (95% ДІ: 73,4–92,4) і 74,1% (95% ДІ: 63,5–82,5) відповідно. Достовірність доказів була низькою для чутливості та дуже низькою для специфічності. Лише дані про Xpert Ultra були включені в оцінку, щоб відповісти на це запитання PICO.</w:t>
      </w:r>
      <w:r w:rsidR="00B01E0C" w:rsidRPr="003C6DAE">
        <w:rPr>
          <w:spacing w:val="-11"/>
          <w:sz w:val="20"/>
          <w:szCs w:val="20"/>
          <w:lang w:val="uk-UA"/>
        </w:rPr>
        <w:t xml:space="preserve"> </w:t>
      </w:r>
      <w:r w:rsidR="00532C19" w:rsidRPr="003C6DAE">
        <w:rPr>
          <w:spacing w:val="-2"/>
          <w:sz w:val="20"/>
          <w:szCs w:val="20"/>
          <w:lang w:val="uk-UA"/>
        </w:rPr>
        <w:t>Також розглядал</w:t>
      </w:r>
      <w:r>
        <w:rPr>
          <w:spacing w:val="-2"/>
          <w:sz w:val="20"/>
          <w:szCs w:val="20"/>
          <w:lang w:val="uk-UA"/>
        </w:rPr>
        <w:t>и</w:t>
      </w:r>
      <w:r w:rsidR="00532C19" w:rsidRPr="003C6DAE">
        <w:rPr>
          <w:spacing w:val="-2"/>
          <w:sz w:val="20"/>
          <w:szCs w:val="20"/>
          <w:lang w:val="uk-UA"/>
        </w:rPr>
        <w:t xml:space="preserve"> діагностичн</w:t>
      </w:r>
      <w:r>
        <w:rPr>
          <w:spacing w:val="-2"/>
          <w:sz w:val="20"/>
          <w:szCs w:val="20"/>
          <w:lang w:val="uk-UA"/>
        </w:rPr>
        <w:t>у</w:t>
      </w:r>
      <w:r w:rsidR="00532C19" w:rsidRPr="003C6DAE">
        <w:rPr>
          <w:spacing w:val="-2"/>
          <w:sz w:val="20"/>
          <w:szCs w:val="20"/>
          <w:lang w:val="uk-UA"/>
        </w:rPr>
        <w:t xml:space="preserve"> точність аТАНК-НС порівняно з композитним еталонним стандартом (CRS), який включав мікробіологічний еталонний стандарт плюс пацієнтів, яким були поставлені клінічні діагнози (але які не були бактеріологічно підтверджені). Використання CRS помітно підвищило специфічність до 97,4% (95% ДІ: 82,2–99,7), але знизило чутливість до 71,3% (95% ДІ: 64,3–77,4), що підкреслює відомі проблеми з підтвердженням ТБ на основі бакпосіву  при дослідженні цього типу зразка (див. </w:t>
      </w:r>
      <w:r w:rsidR="00532C19" w:rsidRPr="003C6DAE">
        <w:rPr>
          <w:b/>
          <w:bCs/>
          <w:spacing w:val="-2"/>
          <w:sz w:val="20"/>
          <w:szCs w:val="20"/>
          <w:lang w:val="uk-UA"/>
        </w:rPr>
        <w:t>Веб-додаток B.3</w:t>
      </w:r>
      <w:r w:rsidR="00532C19" w:rsidRPr="003C6DAE">
        <w:rPr>
          <w:spacing w:val="-2"/>
          <w:sz w:val="20"/>
          <w:szCs w:val="20"/>
          <w:lang w:val="uk-UA"/>
        </w:rPr>
        <w:t>). Дані щодо аналізу Truenat були обмеженими, тому не були включені.</w:t>
      </w:r>
    </w:p>
    <w:p w14:paraId="655C762B" w14:textId="77777777" w:rsidR="00E05B98" w:rsidRPr="003C6DAE" w:rsidRDefault="00E05B98">
      <w:pPr>
        <w:pStyle w:val="a3"/>
        <w:spacing w:line="297" w:lineRule="auto"/>
        <w:jc w:val="both"/>
        <w:rPr>
          <w:lang w:val="uk-UA"/>
        </w:rPr>
        <w:sectPr w:rsidR="00E05B98" w:rsidRPr="003C6DAE" w:rsidSect="00CB37A3">
          <w:type w:val="continuous"/>
          <w:pgSz w:w="11910" w:h="16840"/>
          <w:pgMar w:top="1920" w:right="995" w:bottom="280" w:left="850" w:header="0" w:footer="573" w:gutter="0"/>
          <w:cols w:space="720"/>
        </w:sectPr>
      </w:pPr>
    </w:p>
    <w:p w14:paraId="272E4F3A" w14:textId="453D273D" w:rsidR="00E05B98" w:rsidRPr="00C459C3" w:rsidRDefault="00532C19">
      <w:pPr>
        <w:pStyle w:val="6"/>
        <w:spacing w:line="249" w:lineRule="auto"/>
        <w:rPr>
          <w:sz w:val="22"/>
          <w:szCs w:val="22"/>
          <w:lang w:val="uk-UA"/>
        </w:rPr>
      </w:pPr>
      <w:bookmarkStart w:id="42" w:name="_bookmark15"/>
      <w:bookmarkEnd w:id="42"/>
      <w:r w:rsidRPr="00C459C3">
        <w:rPr>
          <w:color w:val="636466"/>
          <w:sz w:val="22"/>
          <w:szCs w:val="22"/>
          <w:lang w:val="uk-UA"/>
        </w:rPr>
        <w:lastRenderedPageBreak/>
        <w:t>Рис</w:t>
      </w:r>
      <w:r w:rsidR="00B01E0C" w:rsidRPr="00C459C3">
        <w:rPr>
          <w:color w:val="636466"/>
          <w:sz w:val="22"/>
          <w:szCs w:val="22"/>
          <w:lang w:val="uk-UA"/>
        </w:rPr>
        <w:t>.</w:t>
      </w:r>
      <w:r w:rsidR="00B01E0C" w:rsidRPr="00C459C3">
        <w:rPr>
          <w:color w:val="636466"/>
          <w:spacing w:val="-16"/>
          <w:sz w:val="22"/>
          <w:szCs w:val="22"/>
          <w:lang w:val="uk-UA"/>
        </w:rPr>
        <w:t xml:space="preserve"> </w:t>
      </w:r>
      <w:r w:rsidR="00B01E0C" w:rsidRPr="00C459C3">
        <w:rPr>
          <w:color w:val="636466"/>
          <w:sz w:val="22"/>
          <w:szCs w:val="22"/>
          <w:lang w:val="uk-UA"/>
        </w:rPr>
        <w:t>2.1.4.</w:t>
      </w:r>
      <w:r w:rsidR="00B01E0C" w:rsidRPr="00C459C3">
        <w:rPr>
          <w:color w:val="636466"/>
          <w:spacing w:val="-16"/>
          <w:sz w:val="22"/>
          <w:szCs w:val="22"/>
          <w:lang w:val="uk-UA"/>
        </w:rPr>
        <w:t xml:space="preserve"> </w:t>
      </w:r>
      <w:r w:rsidRPr="00C459C3">
        <w:rPr>
          <w:color w:val="636466"/>
          <w:sz w:val="22"/>
          <w:szCs w:val="22"/>
          <w:lang w:val="uk-UA"/>
        </w:rPr>
        <w:t xml:space="preserve">Чутливість і специфічність аТАНК-НС для виявлення ТБ лімфатичних вузлів </w:t>
      </w:r>
      <w:r w:rsidR="00C459C3">
        <w:rPr>
          <w:color w:val="636466"/>
          <w:sz w:val="22"/>
          <w:szCs w:val="22"/>
          <w:lang w:val="uk-UA"/>
        </w:rPr>
        <w:t xml:space="preserve">при дослідження зразків </w:t>
      </w:r>
      <w:r w:rsidRPr="00C459C3">
        <w:rPr>
          <w:color w:val="636466"/>
          <w:sz w:val="22"/>
          <w:szCs w:val="22"/>
          <w:lang w:val="uk-UA"/>
        </w:rPr>
        <w:t>аспірат</w:t>
      </w:r>
      <w:r w:rsidR="00C459C3">
        <w:rPr>
          <w:color w:val="636466"/>
          <w:sz w:val="22"/>
          <w:szCs w:val="22"/>
          <w:lang w:val="uk-UA"/>
        </w:rPr>
        <w:t>у</w:t>
      </w:r>
      <w:r w:rsidRPr="00C459C3">
        <w:rPr>
          <w:color w:val="636466"/>
          <w:sz w:val="22"/>
          <w:szCs w:val="22"/>
          <w:lang w:val="uk-UA"/>
        </w:rPr>
        <w:t xml:space="preserve"> лімфатичних вузлів і мікробіологічного еталонного стандарту (MRS)</w:t>
      </w:r>
      <w:r w:rsidR="00B01E0C" w:rsidRPr="00C459C3">
        <w:rPr>
          <w:color w:val="636466"/>
          <w:sz w:val="22"/>
          <w:szCs w:val="22"/>
          <w:vertAlign w:val="superscript"/>
          <w:lang w:val="uk-UA"/>
        </w:rPr>
        <w:t>a</w:t>
      </w:r>
    </w:p>
    <w:p w14:paraId="36A2245C" w14:textId="6163C4CD" w:rsidR="00E05B98" w:rsidRPr="003C6DAE" w:rsidRDefault="00E05B98">
      <w:pPr>
        <w:pStyle w:val="a3"/>
        <w:spacing w:before="1"/>
        <w:rPr>
          <w:rFonts w:ascii="Arial"/>
          <w:b/>
          <w:sz w:val="9"/>
          <w:lang w:val="uk-UA"/>
        </w:rPr>
      </w:pPr>
    </w:p>
    <w:p w14:paraId="0559B16C" w14:textId="77777777" w:rsidR="00E05B98" w:rsidRPr="003C6DAE" w:rsidRDefault="00E05B98">
      <w:pPr>
        <w:pStyle w:val="a3"/>
        <w:rPr>
          <w:rFonts w:ascii="Arial"/>
          <w:b/>
          <w:sz w:val="9"/>
          <w:lang w:val="uk-UA"/>
        </w:rPr>
        <w:sectPr w:rsidR="00E05B98" w:rsidRPr="003C6DAE" w:rsidSect="00532C19">
          <w:pgSz w:w="11910" w:h="16840"/>
          <w:pgMar w:top="1320" w:right="995" w:bottom="760" w:left="850" w:header="0" w:footer="573" w:gutter="0"/>
          <w:cols w:space="720"/>
        </w:sectPr>
      </w:pPr>
    </w:p>
    <w:p w14:paraId="07E4BB3E" w14:textId="4B81E3FC" w:rsidR="00532C19" w:rsidRPr="003C6DAE" w:rsidRDefault="00C54239">
      <w:pPr>
        <w:spacing w:before="68" w:line="285" w:lineRule="auto"/>
        <w:ind w:left="689" w:right="503"/>
        <w:rPr>
          <w:rFonts w:ascii="Trebuchet MS"/>
          <w:w w:val="90"/>
          <w:sz w:val="17"/>
          <w:lang w:val="uk-UA"/>
        </w:rPr>
      </w:pPr>
      <w:r w:rsidRPr="003C6DAE">
        <w:rPr>
          <w:rFonts w:ascii="Arial"/>
          <w:b/>
          <w:noProof/>
          <w:sz w:val="9"/>
          <w:lang w:val="uk-UA"/>
        </w:rPr>
        <mc:AlternateContent>
          <mc:Choice Requires="wps">
            <w:drawing>
              <wp:anchor distT="0" distB="0" distL="114300" distR="114300" simplePos="0" relativeHeight="488089088" behindDoc="0" locked="0" layoutInCell="1" allowOverlap="1" wp14:anchorId="53B7C283" wp14:editId="10ED9CFC">
                <wp:simplePos x="0" y="0"/>
                <wp:positionH relativeFrom="column">
                  <wp:posOffset>323850</wp:posOffset>
                </wp:positionH>
                <wp:positionV relativeFrom="paragraph">
                  <wp:posOffset>19685</wp:posOffset>
                </wp:positionV>
                <wp:extent cx="1047750" cy="222250"/>
                <wp:effectExtent l="0" t="0" r="0" b="6350"/>
                <wp:wrapNone/>
                <wp:docPr id="1905910970" name="Поле 2314"/>
                <wp:cNvGraphicFramePr/>
                <a:graphic xmlns:a="http://schemas.openxmlformats.org/drawingml/2006/main">
                  <a:graphicData uri="http://schemas.microsoft.com/office/word/2010/wordprocessingShape">
                    <wps:wsp>
                      <wps:cNvSpPr txBox="1"/>
                      <wps:spPr>
                        <a:xfrm>
                          <a:off x="0" y="0"/>
                          <a:ext cx="1047750" cy="222250"/>
                        </a:xfrm>
                        <a:prstGeom prst="rect">
                          <a:avLst/>
                        </a:prstGeom>
                        <a:solidFill>
                          <a:schemeClr val="bg1"/>
                        </a:solidFill>
                        <a:ln w="6350">
                          <a:noFill/>
                        </a:ln>
                      </wps:spPr>
                      <wps:txbx>
                        <w:txbxContent>
                          <w:p w14:paraId="651FFF94" w14:textId="5FCA4D66" w:rsidR="007372B2" w:rsidRPr="00C54239" w:rsidRDefault="007372B2">
                            <w:pPr>
                              <w:rPr>
                                <w:sz w:val="16"/>
                                <w:szCs w:val="16"/>
                                <w:lang w:val="uk-UA"/>
                              </w:rPr>
                            </w:pPr>
                            <w:r w:rsidRPr="00C54239">
                              <w:rPr>
                                <w:sz w:val="16"/>
                                <w:szCs w:val="16"/>
                                <w:lang w:val="uk-UA"/>
                              </w:rPr>
                              <w:t>Дослідження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7C283" id="Поле 2314" o:spid="_x0000_s1082" type="#_x0000_t202" style="position:absolute;left:0;text-align:left;margin-left:25.5pt;margin-top:1.55pt;width:82.5pt;height:17.5pt;z-index:4880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" fillcolor="white [3212]" stroked="f" strokeweight=".5pt">
                <v:textbox>
                  <w:txbxContent>
                    <w:p w14:paraId="651FFF94" w14:textId="5FCA4D66" w:rsidR="007372B2" w:rsidRPr="00C54239" w:rsidRDefault="007372B2">
                      <w:pPr>
                        <w:rPr>
                          <w:sz w:val="16"/>
                          <w:szCs w:val="16"/>
                          <w:lang w:val="uk-UA"/>
                        </w:rPr>
                      </w:pPr>
                      <w:r w:rsidRPr="00C54239">
                        <w:rPr>
                          <w:sz w:val="16"/>
                          <w:szCs w:val="16"/>
                          <w:lang w:val="uk-UA"/>
                        </w:rPr>
                        <w:t>Дослідження</w:t>
                      </w:r>
                    </w:p>
                  </w:txbxContent>
                </v:textbox>
              </v:shape>
            </w:pict>
          </mc:Fallback>
        </mc:AlternateContent>
      </w:r>
    </w:p>
    <w:p w14:paraId="361AA402" w14:textId="69FC1CAB" w:rsidR="00E05B98" w:rsidRPr="003C6DAE" w:rsidRDefault="00B01E0C">
      <w:pPr>
        <w:spacing w:before="68" w:line="285" w:lineRule="auto"/>
        <w:ind w:left="689" w:right="503"/>
        <w:rPr>
          <w:rFonts w:ascii="Trebuchet MS"/>
          <w:sz w:val="17"/>
          <w:lang w:val="uk-UA"/>
        </w:rPr>
      </w:pPr>
      <w:proofErr w:type="spellStart"/>
      <w:r w:rsidRPr="003C6DAE">
        <w:rPr>
          <w:rFonts w:ascii="Trebuchet MS"/>
          <w:w w:val="90"/>
          <w:sz w:val="17"/>
          <w:lang w:val="uk-UA"/>
        </w:rPr>
        <w:t>Hoel</w:t>
      </w:r>
      <w:proofErr w:type="spellEnd"/>
      <w:r w:rsidRPr="003C6DAE">
        <w:rPr>
          <w:rFonts w:ascii="Trebuchet MS"/>
          <w:spacing w:val="-9"/>
          <w:w w:val="90"/>
          <w:sz w:val="17"/>
          <w:lang w:val="uk-UA"/>
        </w:rPr>
        <w:t xml:space="preserve"> </w:t>
      </w:r>
      <w:r w:rsidRPr="003C6DAE">
        <w:rPr>
          <w:rFonts w:ascii="Trebuchet MS"/>
          <w:w w:val="90"/>
          <w:sz w:val="17"/>
          <w:lang w:val="uk-UA"/>
        </w:rPr>
        <w:t xml:space="preserve">2020 </w:t>
      </w:r>
      <w:proofErr w:type="spellStart"/>
      <w:r w:rsidRPr="003C6DAE">
        <w:rPr>
          <w:rFonts w:ascii="Trebuchet MS"/>
          <w:w w:val="80"/>
          <w:sz w:val="17"/>
          <w:lang w:val="uk-UA"/>
        </w:rPr>
        <w:t>Hoel</w:t>
      </w:r>
      <w:proofErr w:type="spellEnd"/>
      <w:r w:rsidRPr="003C6DAE">
        <w:rPr>
          <w:rFonts w:ascii="Trebuchet MS"/>
          <w:spacing w:val="8"/>
          <w:sz w:val="17"/>
          <w:lang w:val="uk-UA"/>
        </w:rPr>
        <w:t xml:space="preserve"> </w:t>
      </w:r>
      <w:r w:rsidRPr="003C6DAE">
        <w:rPr>
          <w:rFonts w:ascii="Trebuchet MS"/>
          <w:spacing w:val="-2"/>
          <w:w w:val="85"/>
          <w:sz w:val="17"/>
          <w:lang w:val="uk-UA"/>
        </w:rPr>
        <w:t>2020a</w:t>
      </w:r>
    </w:p>
    <w:p w14:paraId="3712B818" w14:textId="3360373F" w:rsidR="00E05B98" w:rsidRPr="003C6DAE" w:rsidRDefault="00B01E0C">
      <w:pPr>
        <w:spacing w:line="285" w:lineRule="auto"/>
        <w:ind w:left="689"/>
        <w:rPr>
          <w:rFonts w:ascii="Trebuchet MS"/>
          <w:sz w:val="17"/>
          <w:lang w:val="uk-UA"/>
        </w:rPr>
      </w:pPr>
      <w:proofErr w:type="spellStart"/>
      <w:r w:rsidRPr="003C6DAE">
        <w:rPr>
          <w:rFonts w:ascii="Trebuchet MS"/>
          <w:w w:val="85"/>
          <w:sz w:val="17"/>
          <w:lang w:val="uk-UA"/>
        </w:rPr>
        <w:t>Spencer-Gomes</w:t>
      </w:r>
      <w:proofErr w:type="spellEnd"/>
      <w:r w:rsidRPr="003C6DAE">
        <w:rPr>
          <w:rFonts w:ascii="Trebuchet MS"/>
          <w:spacing w:val="-1"/>
          <w:w w:val="85"/>
          <w:sz w:val="17"/>
          <w:lang w:val="uk-UA"/>
        </w:rPr>
        <w:t xml:space="preserve"> </w:t>
      </w:r>
      <w:r w:rsidRPr="003C6DAE">
        <w:rPr>
          <w:rFonts w:ascii="Trebuchet MS"/>
          <w:w w:val="85"/>
          <w:sz w:val="17"/>
          <w:lang w:val="uk-UA"/>
        </w:rPr>
        <w:t xml:space="preserve">2021 </w:t>
      </w:r>
      <w:proofErr w:type="spellStart"/>
      <w:r w:rsidRPr="003C6DAE">
        <w:rPr>
          <w:rFonts w:ascii="Trebuchet MS"/>
          <w:w w:val="90"/>
          <w:sz w:val="17"/>
          <w:lang w:val="uk-UA"/>
        </w:rPr>
        <w:t>Yu</w:t>
      </w:r>
      <w:proofErr w:type="spellEnd"/>
      <w:r w:rsidRPr="003C6DAE">
        <w:rPr>
          <w:rFonts w:ascii="Trebuchet MS"/>
          <w:w w:val="90"/>
          <w:sz w:val="17"/>
          <w:lang w:val="uk-UA"/>
        </w:rPr>
        <w:t xml:space="preserve"> 2022</w:t>
      </w:r>
    </w:p>
    <w:p w14:paraId="642D429D" w14:textId="037820C5" w:rsidR="00E05B98" w:rsidRPr="003C6DAE" w:rsidRDefault="00B01E0C">
      <w:pPr>
        <w:spacing w:line="285" w:lineRule="auto"/>
        <w:ind w:left="689" w:right="503"/>
        <w:rPr>
          <w:rFonts w:ascii="Trebuchet MS"/>
          <w:sz w:val="17"/>
          <w:lang w:val="uk-UA"/>
        </w:rPr>
      </w:pPr>
      <w:proofErr w:type="spellStart"/>
      <w:r w:rsidRPr="003C6DAE">
        <w:rPr>
          <w:rFonts w:ascii="Trebuchet MS"/>
          <w:w w:val="85"/>
          <w:sz w:val="17"/>
          <w:lang w:val="uk-UA"/>
        </w:rPr>
        <w:t>Sharma</w:t>
      </w:r>
      <w:proofErr w:type="spellEnd"/>
      <w:r w:rsidRPr="003C6DAE">
        <w:rPr>
          <w:rFonts w:ascii="Trebuchet MS"/>
          <w:spacing w:val="-5"/>
          <w:w w:val="85"/>
          <w:sz w:val="17"/>
          <w:lang w:val="uk-UA"/>
        </w:rPr>
        <w:t xml:space="preserve"> </w:t>
      </w:r>
      <w:r w:rsidRPr="003C6DAE">
        <w:rPr>
          <w:rFonts w:ascii="Trebuchet MS"/>
          <w:w w:val="85"/>
          <w:sz w:val="17"/>
          <w:lang w:val="uk-UA"/>
        </w:rPr>
        <w:t xml:space="preserve">2023 </w:t>
      </w:r>
      <w:proofErr w:type="spellStart"/>
      <w:r w:rsidRPr="003C6DAE">
        <w:rPr>
          <w:rFonts w:ascii="Trebuchet MS"/>
          <w:w w:val="85"/>
          <w:sz w:val="17"/>
          <w:lang w:val="uk-UA"/>
        </w:rPr>
        <w:t>Minnies</w:t>
      </w:r>
      <w:proofErr w:type="spellEnd"/>
      <w:r w:rsidRPr="003C6DAE">
        <w:rPr>
          <w:rFonts w:ascii="Trebuchet MS"/>
          <w:spacing w:val="5"/>
          <w:sz w:val="17"/>
          <w:lang w:val="uk-UA"/>
        </w:rPr>
        <w:t xml:space="preserve"> </w:t>
      </w:r>
      <w:r w:rsidRPr="003C6DAE">
        <w:rPr>
          <w:rFonts w:ascii="Trebuchet MS"/>
          <w:spacing w:val="-4"/>
          <w:w w:val="85"/>
          <w:sz w:val="17"/>
          <w:lang w:val="uk-UA"/>
        </w:rPr>
        <w:t>2021</w:t>
      </w:r>
    </w:p>
    <w:p w14:paraId="37616F55" w14:textId="77777777" w:rsidR="00E05B98" w:rsidRPr="003C6DAE" w:rsidRDefault="00B01E0C">
      <w:pPr>
        <w:spacing w:line="196" w:lineRule="exact"/>
        <w:ind w:left="689"/>
        <w:rPr>
          <w:rFonts w:ascii="Trebuchet MS"/>
          <w:sz w:val="17"/>
          <w:lang w:val="uk-UA"/>
        </w:rPr>
      </w:pPr>
      <w:proofErr w:type="spellStart"/>
      <w:r w:rsidRPr="003C6DAE">
        <w:rPr>
          <w:rFonts w:ascii="Trebuchet MS"/>
          <w:w w:val="80"/>
          <w:sz w:val="17"/>
          <w:lang w:val="uk-UA"/>
        </w:rPr>
        <w:t>Antel</w:t>
      </w:r>
      <w:proofErr w:type="spellEnd"/>
      <w:r w:rsidRPr="003C6DAE">
        <w:rPr>
          <w:rFonts w:ascii="Trebuchet MS"/>
          <w:spacing w:val="-2"/>
          <w:w w:val="90"/>
          <w:sz w:val="17"/>
          <w:lang w:val="uk-UA"/>
        </w:rPr>
        <w:t xml:space="preserve"> </w:t>
      </w:r>
      <w:r w:rsidRPr="003C6DAE">
        <w:rPr>
          <w:rFonts w:ascii="Trebuchet MS"/>
          <w:spacing w:val="-4"/>
          <w:w w:val="90"/>
          <w:sz w:val="17"/>
          <w:lang w:val="uk-UA"/>
        </w:rPr>
        <w:t>2020</w:t>
      </w:r>
    </w:p>
    <w:p w14:paraId="2FF8D1BE" w14:textId="3F44CC13" w:rsidR="00E05B98" w:rsidRPr="003C6DAE" w:rsidRDefault="00B01E0C">
      <w:pPr>
        <w:spacing w:before="34" w:line="285" w:lineRule="auto"/>
        <w:ind w:left="689" w:right="306"/>
        <w:rPr>
          <w:rFonts w:ascii="Trebuchet MS"/>
          <w:sz w:val="17"/>
          <w:lang w:val="uk-UA"/>
        </w:rPr>
      </w:pPr>
      <w:proofErr w:type="spellStart"/>
      <w:r w:rsidRPr="003C6DAE">
        <w:rPr>
          <w:rFonts w:ascii="Trebuchet MS"/>
          <w:w w:val="80"/>
          <w:sz w:val="17"/>
          <w:lang w:val="uk-UA"/>
        </w:rPr>
        <w:t>Chris</w:t>
      </w:r>
      <w:proofErr w:type="spellEnd"/>
      <w:r w:rsidRPr="003C6DAE">
        <w:rPr>
          <w:rFonts w:ascii="Trebuchet MS"/>
          <w:spacing w:val="-23"/>
          <w:w w:val="80"/>
          <w:sz w:val="17"/>
          <w:lang w:val="uk-UA"/>
        </w:rPr>
        <w:t xml:space="preserve"> </w:t>
      </w:r>
      <w:proofErr w:type="spellStart"/>
      <w:r w:rsidRPr="003C6DAE">
        <w:rPr>
          <w:rFonts w:ascii="Trebuchet MS"/>
          <w:w w:val="80"/>
          <w:sz w:val="17"/>
          <w:lang w:val="uk-UA"/>
        </w:rPr>
        <w:t>topher</w:t>
      </w:r>
      <w:proofErr w:type="spellEnd"/>
      <w:r w:rsidRPr="003C6DAE">
        <w:rPr>
          <w:rFonts w:ascii="Trebuchet MS"/>
          <w:w w:val="80"/>
          <w:sz w:val="17"/>
          <w:lang w:val="uk-UA"/>
        </w:rPr>
        <w:t xml:space="preserve"> 2021 </w:t>
      </w:r>
      <w:proofErr w:type="spellStart"/>
      <w:r w:rsidRPr="003C6DAE">
        <w:rPr>
          <w:rFonts w:ascii="Trebuchet MS"/>
          <w:w w:val="90"/>
          <w:sz w:val="17"/>
          <w:lang w:val="uk-UA"/>
        </w:rPr>
        <w:t>Slail</w:t>
      </w:r>
      <w:proofErr w:type="spellEnd"/>
      <w:r w:rsidRPr="003C6DAE">
        <w:rPr>
          <w:rFonts w:ascii="Trebuchet MS"/>
          <w:w w:val="90"/>
          <w:sz w:val="17"/>
          <w:lang w:val="uk-UA"/>
        </w:rPr>
        <w:t xml:space="preserve"> 2023</w:t>
      </w:r>
    </w:p>
    <w:p w14:paraId="779332E6" w14:textId="77777777" w:rsidR="00E05B98" w:rsidRPr="003C6DAE" w:rsidRDefault="00B01E0C">
      <w:pPr>
        <w:spacing w:before="110"/>
        <w:ind w:left="204"/>
        <w:rPr>
          <w:rFonts w:ascii="Trebuchet MS"/>
          <w:sz w:val="17"/>
          <w:lang w:val="uk-UA"/>
        </w:rPr>
      </w:pPr>
      <w:r w:rsidRPr="003C6DAE">
        <w:rPr>
          <w:lang w:val="uk-UA"/>
        </w:rPr>
        <w:br w:type="column"/>
      </w:r>
      <w:r w:rsidRPr="003C6DAE">
        <w:rPr>
          <w:rFonts w:ascii="Trebuchet MS"/>
          <w:color w:val="333333"/>
          <w:w w:val="90"/>
          <w:sz w:val="16"/>
          <w:szCs w:val="16"/>
          <w:lang w:val="uk-UA"/>
        </w:rPr>
        <w:t>TP</w:t>
      </w:r>
      <w:r w:rsidRPr="003C6DAE">
        <w:rPr>
          <w:rFonts w:ascii="Trebuchet MS"/>
          <w:color w:val="333333"/>
          <w:spacing w:val="63"/>
          <w:w w:val="150"/>
          <w:sz w:val="17"/>
          <w:lang w:val="uk-UA"/>
        </w:rPr>
        <w:t xml:space="preserve"> </w:t>
      </w:r>
      <w:r w:rsidRPr="003C6DAE">
        <w:rPr>
          <w:rFonts w:ascii="Trebuchet MS"/>
          <w:color w:val="333333"/>
          <w:spacing w:val="-5"/>
          <w:w w:val="90"/>
          <w:sz w:val="16"/>
          <w:szCs w:val="16"/>
          <w:lang w:val="uk-UA"/>
        </w:rPr>
        <w:t>FP</w:t>
      </w:r>
      <w:r w:rsidRPr="003C6DAE">
        <w:rPr>
          <w:rFonts w:ascii="Trebuchet MS"/>
          <w:color w:val="333333"/>
          <w:spacing w:val="-5"/>
          <w:w w:val="90"/>
          <w:sz w:val="17"/>
          <w:lang w:val="uk-UA"/>
        </w:rPr>
        <w:t xml:space="preserve"> </w:t>
      </w:r>
    </w:p>
    <w:p w14:paraId="65148954" w14:textId="77777777" w:rsidR="00E05B98" w:rsidRPr="003C6DAE" w:rsidRDefault="00B01E0C">
      <w:pPr>
        <w:tabs>
          <w:tab w:val="left" w:pos="611"/>
        </w:tabs>
        <w:spacing w:before="67"/>
        <w:ind w:left="306"/>
        <w:rPr>
          <w:rFonts w:ascii="Trebuchet MS"/>
          <w:sz w:val="17"/>
          <w:lang w:val="uk-UA"/>
        </w:rPr>
      </w:pPr>
      <w:r w:rsidRPr="003C6DAE">
        <w:rPr>
          <w:rFonts w:ascii="Trebuchet MS"/>
          <w:spacing w:val="-10"/>
          <w:w w:val="95"/>
          <w:sz w:val="17"/>
          <w:lang w:val="uk-UA"/>
        </w:rPr>
        <w:t>3</w:t>
      </w:r>
      <w:r w:rsidRPr="003C6DAE">
        <w:rPr>
          <w:rFonts w:ascii="Trebuchet MS"/>
          <w:sz w:val="17"/>
          <w:lang w:val="uk-UA"/>
        </w:rPr>
        <w:tab/>
      </w:r>
      <w:r w:rsidRPr="003C6DAE">
        <w:rPr>
          <w:rFonts w:ascii="Trebuchet MS"/>
          <w:spacing w:val="-10"/>
          <w:w w:val="95"/>
          <w:sz w:val="17"/>
          <w:lang w:val="uk-UA"/>
        </w:rPr>
        <w:t>0</w:t>
      </w:r>
    </w:p>
    <w:p w14:paraId="5FE54B62" w14:textId="77777777" w:rsidR="00E05B98" w:rsidRPr="003C6DAE" w:rsidRDefault="00B01E0C">
      <w:pPr>
        <w:tabs>
          <w:tab w:val="left" w:pos="611"/>
        </w:tabs>
        <w:spacing w:before="37"/>
        <w:ind w:left="306"/>
        <w:rPr>
          <w:rFonts w:ascii="Trebuchet MS"/>
          <w:sz w:val="17"/>
          <w:lang w:val="uk-UA"/>
        </w:rPr>
      </w:pPr>
      <w:r w:rsidRPr="003C6DAE">
        <w:rPr>
          <w:rFonts w:ascii="Trebuchet MS"/>
          <w:spacing w:val="-10"/>
          <w:w w:val="95"/>
          <w:sz w:val="17"/>
          <w:lang w:val="uk-UA"/>
        </w:rPr>
        <w:t>4</w:t>
      </w:r>
      <w:r w:rsidRPr="003C6DAE">
        <w:rPr>
          <w:rFonts w:ascii="Trebuchet MS"/>
          <w:sz w:val="17"/>
          <w:lang w:val="uk-UA"/>
        </w:rPr>
        <w:tab/>
      </w:r>
      <w:r w:rsidRPr="003C6DAE">
        <w:rPr>
          <w:rFonts w:ascii="Trebuchet MS"/>
          <w:spacing w:val="-10"/>
          <w:w w:val="95"/>
          <w:sz w:val="17"/>
          <w:lang w:val="uk-UA"/>
        </w:rPr>
        <w:t>0</w:t>
      </w:r>
    </w:p>
    <w:p w14:paraId="7A89CFB5" w14:textId="77777777" w:rsidR="00E05B98" w:rsidRPr="003C6DAE" w:rsidRDefault="00B01E0C">
      <w:pPr>
        <w:tabs>
          <w:tab w:val="left" w:pos="611"/>
        </w:tabs>
        <w:spacing w:before="37"/>
        <w:ind w:left="306"/>
        <w:rPr>
          <w:rFonts w:ascii="Trebuchet MS"/>
          <w:sz w:val="17"/>
          <w:lang w:val="uk-UA"/>
        </w:rPr>
      </w:pPr>
      <w:r w:rsidRPr="003C6DAE">
        <w:rPr>
          <w:rFonts w:ascii="Trebuchet MS"/>
          <w:spacing w:val="-10"/>
          <w:w w:val="95"/>
          <w:sz w:val="17"/>
          <w:lang w:val="uk-UA"/>
        </w:rPr>
        <w:t>7</w:t>
      </w:r>
      <w:r w:rsidRPr="003C6DAE">
        <w:rPr>
          <w:rFonts w:ascii="Trebuchet MS"/>
          <w:sz w:val="17"/>
          <w:lang w:val="uk-UA"/>
        </w:rPr>
        <w:tab/>
      </w:r>
      <w:r w:rsidRPr="003C6DAE">
        <w:rPr>
          <w:rFonts w:ascii="Trebuchet MS"/>
          <w:spacing w:val="-10"/>
          <w:w w:val="95"/>
          <w:sz w:val="17"/>
          <w:lang w:val="uk-UA"/>
        </w:rPr>
        <w:t>4</w:t>
      </w:r>
    </w:p>
    <w:p w14:paraId="13F23C2E" w14:textId="77777777" w:rsidR="00E05B98" w:rsidRPr="003C6DAE" w:rsidRDefault="00B01E0C">
      <w:pPr>
        <w:tabs>
          <w:tab w:val="left" w:pos="611"/>
        </w:tabs>
        <w:spacing w:before="37"/>
        <w:ind w:left="306"/>
        <w:rPr>
          <w:rFonts w:ascii="Trebuchet MS"/>
          <w:sz w:val="17"/>
          <w:lang w:val="uk-UA"/>
        </w:rPr>
      </w:pPr>
      <w:r w:rsidRPr="003C6DAE">
        <w:rPr>
          <w:rFonts w:ascii="Trebuchet MS"/>
          <w:spacing w:val="-10"/>
          <w:w w:val="95"/>
          <w:sz w:val="17"/>
          <w:lang w:val="uk-UA"/>
        </w:rPr>
        <w:t>3</w:t>
      </w:r>
      <w:r w:rsidRPr="003C6DAE">
        <w:rPr>
          <w:rFonts w:ascii="Trebuchet MS"/>
          <w:sz w:val="17"/>
          <w:lang w:val="uk-UA"/>
        </w:rPr>
        <w:tab/>
      </w:r>
      <w:r w:rsidRPr="003C6DAE">
        <w:rPr>
          <w:rFonts w:ascii="Trebuchet MS"/>
          <w:spacing w:val="-10"/>
          <w:w w:val="95"/>
          <w:sz w:val="17"/>
          <w:lang w:val="uk-UA"/>
        </w:rPr>
        <w:t>8</w:t>
      </w:r>
    </w:p>
    <w:p w14:paraId="4EFB7A11" w14:textId="77777777" w:rsidR="00E05B98" w:rsidRPr="003C6DAE" w:rsidRDefault="00B01E0C">
      <w:pPr>
        <w:spacing w:before="37"/>
        <w:ind w:left="225"/>
        <w:rPr>
          <w:rFonts w:ascii="Trebuchet MS"/>
          <w:sz w:val="17"/>
          <w:lang w:val="uk-UA"/>
        </w:rPr>
      </w:pPr>
      <w:r w:rsidRPr="003C6DAE">
        <w:rPr>
          <w:rFonts w:ascii="Trebuchet MS"/>
          <w:w w:val="95"/>
          <w:sz w:val="17"/>
          <w:lang w:val="uk-UA"/>
        </w:rPr>
        <w:t>16</w:t>
      </w:r>
      <w:r w:rsidRPr="003C6DAE">
        <w:rPr>
          <w:rFonts w:ascii="Trebuchet MS"/>
          <w:spacing w:val="57"/>
          <w:w w:val="150"/>
          <w:sz w:val="17"/>
          <w:lang w:val="uk-UA"/>
        </w:rPr>
        <w:t xml:space="preserve"> </w:t>
      </w:r>
      <w:r w:rsidRPr="003C6DAE">
        <w:rPr>
          <w:rFonts w:ascii="Trebuchet MS"/>
          <w:spacing w:val="-5"/>
          <w:w w:val="90"/>
          <w:sz w:val="17"/>
          <w:lang w:val="uk-UA"/>
        </w:rPr>
        <w:t>34</w:t>
      </w:r>
    </w:p>
    <w:p w14:paraId="2086B159" w14:textId="77777777" w:rsidR="00E05B98" w:rsidRPr="003C6DAE" w:rsidRDefault="00B01E0C">
      <w:pPr>
        <w:spacing w:before="37"/>
        <w:ind w:left="225"/>
        <w:rPr>
          <w:rFonts w:ascii="Trebuchet MS"/>
          <w:sz w:val="17"/>
          <w:lang w:val="uk-UA"/>
        </w:rPr>
      </w:pPr>
      <w:r w:rsidRPr="003C6DAE">
        <w:rPr>
          <w:rFonts w:ascii="Trebuchet MS"/>
          <w:w w:val="95"/>
          <w:sz w:val="17"/>
          <w:lang w:val="uk-UA"/>
        </w:rPr>
        <w:t>18</w:t>
      </w:r>
      <w:r w:rsidRPr="003C6DAE">
        <w:rPr>
          <w:rFonts w:ascii="Trebuchet MS"/>
          <w:spacing w:val="57"/>
          <w:w w:val="150"/>
          <w:sz w:val="17"/>
          <w:lang w:val="uk-UA"/>
        </w:rPr>
        <w:t xml:space="preserve"> </w:t>
      </w:r>
      <w:r w:rsidRPr="003C6DAE">
        <w:rPr>
          <w:rFonts w:ascii="Trebuchet MS"/>
          <w:spacing w:val="-5"/>
          <w:w w:val="90"/>
          <w:sz w:val="17"/>
          <w:lang w:val="uk-UA"/>
        </w:rPr>
        <w:t>16</w:t>
      </w:r>
    </w:p>
    <w:p w14:paraId="6A4E6EA2" w14:textId="77777777" w:rsidR="00E05B98" w:rsidRPr="003C6DAE" w:rsidRDefault="00B01E0C">
      <w:pPr>
        <w:spacing w:before="37"/>
        <w:ind w:left="306"/>
        <w:rPr>
          <w:rFonts w:ascii="Trebuchet MS"/>
          <w:sz w:val="17"/>
          <w:lang w:val="uk-UA"/>
        </w:rPr>
      </w:pPr>
      <w:r w:rsidRPr="003C6DAE">
        <w:rPr>
          <w:rFonts w:ascii="Trebuchet MS"/>
          <w:w w:val="95"/>
          <w:sz w:val="17"/>
          <w:lang w:val="uk-UA"/>
        </w:rPr>
        <w:t>7</w:t>
      </w:r>
      <w:r w:rsidRPr="003C6DAE">
        <w:rPr>
          <w:rFonts w:ascii="Trebuchet MS"/>
          <w:spacing w:val="61"/>
          <w:w w:val="150"/>
          <w:sz w:val="17"/>
          <w:lang w:val="uk-UA"/>
        </w:rPr>
        <w:t xml:space="preserve"> </w:t>
      </w:r>
      <w:r w:rsidRPr="003C6DAE">
        <w:rPr>
          <w:rFonts w:ascii="Trebuchet MS"/>
          <w:spacing w:val="-5"/>
          <w:w w:val="90"/>
          <w:sz w:val="17"/>
          <w:lang w:val="uk-UA"/>
        </w:rPr>
        <w:t>14</w:t>
      </w:r>
    </w:p>
    <w:p w14:paraId="5DF72BBE" w14:textId="77777777" w:rsidR="00E05B98" w:rsidRPr="003C6DAE" w:rsidRDefault="00B01E0C">
      <w:pPr>
        <w:spacing w:before="37"/>
        <w:ind w:left="225"/>
        <w:rPr>
          <w:rFonts w:ascii="Trebuchet MS"/>
          <w:sz w:val="17"/>
          <w:lang w:val="uk-UA"/>
        </w:rPr>
      </w:pPr>
      <w:r w:rsidRPr="003C6DAE">
        <w:rPr>
          <w:rFonts w:ascii="Trebuchet MS"/>
          <w:w w:val="95"/>
          <w:sz w:val="17"/>
          <w:lang w:val="uk-UA"/>
        </w:rPr>
        <w:t>15</w:t>
      </w:r>
      <w:r w:rsidRPr="003C6DAE">
        <w:rPr>
          <w:rFonts w:ascii="Trebuchet MS"/>
          <w:spacing w:val="57"/>
          <w:w w:val="150"/>
          <w:sz w:val="17"/>
          <w:lang w:val="uk-UA"/>
        </w:rPr>
        <w:t xml:space="preserve"> </w:t>
      </w:r>
      <w:r w:rsidRPr="003C6DAE">
        <w:rPr>
          <w:rFonts w:ascii="Trebuchet MS"/>
          <w:spacing w:val="-5"/>
          <w:w w:val="90"/>
          <w:sz w:val="17"/>
          <w:lang w:val="uk-UA"/>
        </w:rPr>
        <w:t>12</w:t>
      </w:r>
    </w:p>
    <w:p w14:paraId="6E5611A1" w14:textId="77777777" w:rsidR="00E05B98" w:rsidRPr="003C6DAE" w:rsidRDefault="00B01E0C">
      <w:pPr>
        <w:tabs>
          <w:tab w:val="left" w:pos="611"/>
        </w:tabs>
        <w:spacing w:before="37"/>
        <w:ind w:left="306"/>
        <w:rPr>
          <w:rFonts w:ascii="Trebuchet MS"/>
          <w:sz w:val="17"/>
          <w:lang w:val="uk-UA"/>
        </w:rPr>
      </w:pPr>
      <w:r w:rsidRPr="003C6DAE">
        <w:rPr>
          <w:rFonts w:ascii="Trebuchet MS"/>
          <w:spacing w:val="-10"/>
          <w:w w:val="95"/>
          <w:sz w:val="17"/>
          <w:lang w:val="uk-UA"/>
        </w:rPr>
        <w:t>1</w:t>
      </w:r>
      <w:r w:rsidRPr="003C6DAE">
        <w:rPr>
          <w:rFonts w:ascii="Trebuchet MS"/>
          <w:sz w:val="17"/>
          <w:lang w:val="uk-UA"/>
        </w:rPr>
        <w:tab/>
      </w:r>
      <w:r w:rsidRPr="003C6DAE">
        <w:rPr>
          <w:rFonts w:ascii="Trebuchet MS"/>
          <w:spacing w:val="-10"/>
          <w:w w:val="95"/>
          <w:sz w:val="17"/>
          <w:lang w:val="uk-UA"/>
        </w:rPr>
        <w:t>2</w:t>
      </w:r>
    </w:p>
    <w:p w14:paraId="76EF461F" w14:textId="77777777" w:rsidR="00E05B98" w:rsidRPr="003C6DAE" w:rsidRDefault="00B01E0C">
      <w:pPr>
        <w:spacing w:before="109"/>
        <w:ind w:left="80"/>
        <w:rPr>
          <w:rFonts w:ascii="Trebuchet MS"/>
          <w:sz w:val="17"/>
          <w:lang w:val="uk-UA"/>
        </w:rPr>
      </w:pPr>
      <w:r w:rsidRPr="003C6DAE">
        <w:rPr>
          <w:lang w:val="uk-UA"/>
        </w:rPr>
        <w:br w:type="column"/>
      </w:r>
      <w:r w:rsidRPr="003C6DAE">
        <w:rPr>
          <w:rFonts w:ascii="Trebuchet MS"/>
          <w:color w:val="333333"/>
          <w:w w:val="95"/>
          <w:sz w:val="16"/>
          <w:szCs w:val="16"/>
          <w:lang w:val="uk-UA"/>
        </w:rPr>
        <w:t>FN</w:t>
      </w:r>
      <w:r w:rsidRPr="003C6DAE">
        <w:rPr>
          <w:rFonts w:ascii="Trebuchet MS"/>
          <w:color w:val="333333"/>
          <w:spacing w:val="51"/>
          <w:sz w:val="17"/>
          <w:lang w:val="uk-UA"/>
        </w:rPr>
        <w:t xml:space="preserve"> </w:t>
      </w:r>
      <w:r w:rsidRPr="003C6DAE">
        <w:rPr>
          <w:rFonts w:ascii="Trebuchet MS"/>
          <w:color w:val="333333"/>
          <w:spacing w:val="-5"/>
          <w:w w:val="90"/>
          <w:sz w:val="16"/>
          <w:szCs w:val="16"/>
          <w:lang w:val="uk-UA"/>
        </w:rPr>
        <w:t>TN</w:t>
      </w:r>
      <w:r w:rsidRPr="003C6DAE">
        <w:rPr>
          <w:rFonts w:ascii="Trebuchet MS"/>
          <w:color w:val="333333"/>
          <w:spacing w:val="-5"/>
          <w:w w:val="90"/>
          <w:sz w:val="17"/>
          <w:lang w:val="uk-UA"/>
        </w:rPr>
        <w:t xml:space="preserve"> </w:t>
      </w:r>
    </w:p>
    <w:p w14:paraId="5461FE2F" w14:textId="77777777" w:rsidR="00E05B98" w:rsidRPr="003C6DAE" w:rsidRDefault="00B01E0C">
      <w:pPr>
        <w:tabs>
          <w:tab w:val="left" w:pos="475"/>
        </w:tabs>
        <w:spacing w:before="68"/>
        <w:ind w:left="170"/>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10"/>
          <w:w w:val="95"/>
          <w:sz w:val="17"/>
          <w:lang w:val="uk-UA"/>
        </w:rPr>
        <w:t>2</w:t>
      </w:r>
    </w:p>
    <w:p w14:paraId="4E6132B5" w14:textId="77777777" w:rsidR="00E05B98" w:rsidRPr="003C6DAE" w:rsidRDefault="00B01E0C">
      <w:pPr>
        <w:spacing w:before="37"/>
        <w:ind w:left="170"/>
        <w:rPr>
          <w:rFonts w:ascii="Trebuchet MS"/>
          <w:sz w:val="17"/>
          <w:lang w:val="uk-UA"/>
        </w:rPr>
      </w:pPr>
      <w:r w:rsidRPr="003C6DAE">
        <w:rPr>
          <w:rFonts w:ascii="Trebuchet MS"/>
          <w:w w:val="95"/>
          <w:sz w:val="17"/>
          <w:lang w:val="uk-UA"/>
        </w:rPr>
        <w:t>0</w:t>
      </w:r>
      <w:r w:rsidRPr="003C6DAE">
        <w:rPr>
          <w:rFonts w:ascii="Trebuchet MS"/>
          <w:spacing w:val="60"/>
          <w:w w:val="150"/>
          <w:sz w:val="17"/>
          <w:lang w:val="uk-UA"/>
        </w:rPr>
        <w:t xml:space="preserve"> </w:t>
      </w:r>
      <w:r w:rsidRPr="003C6DAE">
        <w:rPr>
          <w:rFonts w:ascii="Trebuchet MS"/>
          <w:spacing w:val="-5"/>
          <w:w w:val="95"/>
          <w:sz w:val="17"/>
          <w:lang w:val="uk-UA"/>
        </w:rPr>
        <w:t>11</w:t>
      </w:r>
    </w:p>
    <w:p w14:paraId="01E3173C" w14:textId="77777777" w:rsidR="00E05B98" w:rsidRPr="003C6DAE" w:rsidRDefault="00B01E0C">
      <w:pPr>
        <w:tabs>
          <w:tab w:val="left" w:pos="475"/>
        </w:tabs>
        <w:spacing w:before="37"/>
        <w:ind w:left="170"/>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10"/>
          <w:w w:val="95"/>
          <w:sz w:val="17"/>
          <w:lang w:val="uk-UA"/>
        </w:rPr>
        <w:t>7</w:t>
      </w:r>
    </w:p>
    <w:p w14:paraId="7FFF053A" w14:textId="77777777" w:rsidR="00E05B98" w:rsidRPr="003C6DAE" w:rsidRDefault="00B01E0C">
      <w:pPr>
        <w:spacing w:before="37"/>
        <w:ind w:left="170"/>
        <w:rPr>
          <w:rFonts w:ascii="Trebuchet MS"/>
          <w:sz w:val="17"/>
          <w:lang w:val="uk-UA"/>
        </w:rPr>
      </w:pPr>
      <w:r w:rsidRPr="003C6DAE">
        <w:rPr>
          <w:rFonts w:ascii="Trebuchet MS"/>
          <w:w w:val="95"/>
          <w:sz w:val="17"/>
          <w:lang w:val="uk-UA"/>
        </w:rPr>
        <w:t>0</w:t>
      </w:r>
      <w:r w:rsidRPr="003C6DAE">
        <w:rPr>
          <w:rFonts w:ascii="Trebuchet MS"/>
          <w:spacing w:val="60"/>
          <w:w w:val="150"/>
          <w:sz w:val="17"/>
          <w:lang w:val="uk-UA"/>
        </w:rPr>
        <w:t xml:space="preserve"> </w:t>
      </w:r>
      <w:r w:rsidRPr="003C6DAE">
        <w:rPr>
          <w:rFonts w:ascii="Trebuchet MS"/>
          <w:spacing w:val="-5"/>
          <w:w w:val="95"/>
          <w:sz w:val="17"/>
          <w:lang w:val="uk-UA"/>
        </w:rPr>
        <w:t>11</w:t>
      </w:r>
    </w:p>
    <w:p w14:paraId="75787742" w14:textId="77777777" w:rsidR="00E05B98" w:rsidRPr="003C6DAE" w:rsidRDefault="00B01E0C">
      <w:pPr>
        <w:spacing w:before="36"/>
        <w:ind w:left="170"/>
        <w:rPr>
          <w:rFonts w:ascii="Trebuchet MS"/>
          <w:sz w:val="17"/>
          <w:lang w:val="uk-UA"/>
        </w:rPr>
      </w:pPr>
      <w:r w:rsidRPr="003C6DAE">
        <w:rPr>
          <w:rFonts w:ascii="Trebuchet MS"/>
          <w:w w:val="95"/>
          <w:sz w:val="17"/>
          <w:lang w:val="uk-UA"/>
        </w:rPr>
        <w:t>2</w:t>
      </w:r>
      <w:r w:rsidRPr="003C6DAE">
        <w:rPr>
          <w:rFonts w:ascii="Trebuchet MS"/>
          <w:spacing w:val="60"/>
          <w:w w:val="150"/>
          <w:sz w:val="17"/>
          <w:lang w:val="uk-UA"/>
        </w:rPr>
        <w:t xml:space="preserve"> </w:t>
      </w:r>
      <w:r w:rsidRPr="003C6DAE">
        <w:rPr>
          <w:rFonts w:ascii="Trebuchet MS"/>
          <w:spacing w:val="-5"/>
          <w:w w:val="95"/>
          <w:sz w:val="17"/>
          <w:lang w:val="uk-UA"/>
        </w:rPr>
        <w:t>48</w:t>
      </w:r>
    </w:p>
    <w:p w14:paraId="29841331" w14:textId="77777777" w:rsidR="00E05B98" w:rsidRPr="003C6DAE" w:rsidRDefault="00B01E0C">
      <w:pPr>
        <w:spacing w:before="37"/>
        <w:ind w:left="170"/>
        <w:rPr>
          <w:rFonts w:ascii="Trebuchet MS"/>
          <w:sz w:val="17"/>
          <w:lang w:val="uk-UA"/>
        </w:rPr>
      </w:pPr>
      <w:r w:rsidRPr="003C6DAE">
        <w:rPr>
          <w:rFonts w:ascii="Trebuchet MS"/>
          <w:w w:val="95"/>
          <w:sz w:val="17"/>
          <w:lang w:val="uk-UA"/>
        </w:rPr>
        <w:t>3</w:t>
      </w:r>
      <w:r w:rsidRPr="003C6DAE">
        <w:rPr>
          <w:rFonts w:ascii="Trebuchet MS"/>
          <w:spacing w:val="60"/>
          <w:w w:val="150"/>
          <w:sz w:val="17"/>
          <w:lang w:val="uk-UA"/>
        </w:rPr>
        <w:t xml:space="preserve"> </w:t>
      </w:r>
      <w:r w:rsidRPr="003C6DAE">
        <w:rPr>
          <w:rFonts w:ascii="Trebuchet MS"/>
          <w:spacing w:val="-5"/>
          <w:w w:val="95"/>
          <w:sz w:val="17"/>
          <w:lang w:val="uk-UA"/>
        </w:rPr>
        <w:t>47</w:t>
      </w:r>
    </w:p>
    <w:p w14:paraId="4AE10E26" w14:textId="77777777" w:rsidR="00E05B98" w:rsidRPr="003C6DAE" w:rsidRDefault="00B01E0C">
      <w:pPr>
        <w:spacing w:before="37"/>
        <w:ind w:left="170"/>
        <w:rPr>
          <w:rFonts w:ascii="Trebuchet MS"/>
          <w:sz w:val="17"/>
          <w:lang w:val="uk-UA"/>
        </w:rPr>
      </w:pPr>
      <w:r w:rsidRPr="003C6DAE">
        <w:rPr>
          <w:rFonts w:ascii="Trebuchet MS"/>
          <w:w w:val="95"/>
          <w:sz w:val="17"/>
          <w:lang w:val="uk-UA"/>
        </w:rPr>
        <w:t>2</w:t>
      </w:r>
      <w:r w:rsidRPr="003C6DAE">
        <w:rPr>
          <w:rFonts w:ascii="Trebuchet MS"/>
          <w:spacing w:val="60"/>
          <w:w w:val="150"/>
          <w:sz w:val="17"/>
          <w:lang w:val="uk-UA"/>
        </w:rPr>
        <w:t xml:space="preserve"> </w:t>
      </w:r>
      <w:r w:rsidRPr="003C6DAE">
        <w:rPr>
          <w:rFonts w:ascii="Trebuchet MS"/>
          <w:spacing w:val="-5"/>
          <w:w w:val="95"/>
          <w:sz w:val="17"/>
          <w:lang w:val="uk-UA"/>
        </w:rPr>
        <w:t>50</w:t>
      </w:r>
    </w:p>
    <w:p w14:paraId="36E8AF5B" w14:textId="77777777" w:rsidR="00E05B98" w:rsidRPr="003C6DAE" w:rsidRDefault="00B01E0C">
      <w:pPr>
        <w:spacing w:before="37"/>
        <w:ind w:left="170"/>
        <w:rPr>
          <w:rFonts w:ascii="Trebuchet MS"/>
          <w:sz w:val="17"/>
          <w:lang w:val="uk-UA"/>
        </w:rPr>
      </w:pPr>
      <w:r w:rsidRPr="003C6DAE">
        <w:rPr>
          <w:rFonts w:ascii="Trebuchet MS"/>
          <w:w w:val="95"/>
          <w:sz w:val="17"/>
          <w:lang w:val="uk-UA"/>
        </w:rPr>
        <w:t>7</w:t>
      </w:r>
      <w:r w:rsidRPr="003C6DAE">
        <w:rPr>
          <w:rFonts w:ascii="Trebuchet MS"/>
          <w:spacing w:val="60"/>
          <w:w w:val="150"/>
          <w:sz w:val="17"/>
          <w:lang w:val="uk-UA"/>
        </w:rPr>
        <w:t xml:space="preserve"> </w:t>
      </w:r>
      <w:r w:rsidRPr="003C6DAE">
        <w:rPr>
          <w:rFonts w:ascii="Trebuchet MS"/>
          <w:spacing w:val="-5"/>
          <w:w w:val="95"/>
          <w:sz w:val="17"/>
          <w:lang w:val="uk-UA"/>
        </w:rPr>
        <w:t>89</w:t>
      </w:r>
    </w:p>
    <w:p w14:paraId="179C10F3" w14:textId="77777777" w:rsidR="00E05B98" w:rsidRPr="003C6DAE" w:rsidRDefault="00B01E0C">
      <w:pPr>
        <w:tabs>
          <w:tab w:val="left" w:pos="475"/>
        </w:tabs>
        <w:spacing w:before="37"/>
        <w:ind w:left="170"/>
        <w:rPr>
          <w:rFonts w:ascii="Trebuchet MS"/>
          <w:sz w:val="17"/>
          <w:lang w:val="uk-UA"/>
        </w:rPr>
      </w:pPr>
      <w:r w:rsidRPr="003C6DAE">
        <w:rPr>
          <w:rFonts w:ascii="Trebuchet MS"/>
          <w:spacing w:val="-10"/>
          <w:w w:val="95"/>
          <w:sz w:val="17"/>
          <w:lang w:val="uk-UA"/>
        </w:rPr>
        <w:t>1</w:t>
      </w:r>
      <w:r w:rsidRPr="003C6DAE">
        <w:rPr>
          <w:rFonts w:ascii="Trebuchet MS"/>
          <w:sz w:val="17"/>
          <w:lang w:val="uk-UA"/>
        </w:rPr>
        <w:tab/>
      </w:r>
      <w:r w:rsidRPr="003C6DAE">
        <w:rPr>
          <w:rFonts w:ascii="Trebuchet MS"/>
          <w:spacing w:val="-10"/>
          <w:w w:val="95"/>
          <w:sz w:val="17"/>
          <w:lang w:val="uk-UA"/>
        </w:rPr>
        <w:t>1</w:t>
      </w:r>
    </w:p>
    <w:p w14:paraId="5942FA6A" w14:textId="0CEF4A98" w:rsidR="00E05B98" w:rsidRPr="003C6DAE" w:rsidRDefault="00B01E0C">
      <w:pPr>
        <w:spacing w:before="108"/>
        <w:ind w:left="112"/>
        <w:rPr>
          <w:rFonts w:ascii="Trebuchet MS"/>
          <w:sz w:val="16"/>
          <w:szCs w:val="16"/>
          <w:lang w:val="uk-UA"/>
        </w:rPr>
      </w:pPr>
      <w:r w:rsidRPr="003C6DAE">
        <w:rPr>
          <w:lang w:val="uk-UA"/>
        </w:rPr>
        <w:br w:type="column"/>
      </w:r>
      <w:r w:rsidR="00C54239" w:rsidRPr="003C6DAE">
        <w:rPr>
          <w:rFonts w:ascii="Trebuchet MS"/>
          <w:color w:val="333333"/>
          <w:w w:val="80"/>
          <w:sz w:val="16"/>
          <w:szCs w:val="16"/>
          <w:lang w:val="uk-UA"/>
        </w:rPr>
        <w:t>Чутливість</w:t>
      </w:r>
      <w:r w:rsidRPr="003C6DAE">
        <w:rPr>
          <w:rFonts w:ascii="Trebuchet MS"/>
          <w:color w:val="333333"/>
          <w:spacing w:val="28"/>
          <w:sz w:val="16"/>
          <w:szCs w:val="16"/>
          <w:lang w:val="uk-UA"/>
        </w:rPr>
        <w:t xml:space="preserve"> </w:t>
      </w:r>
      <w:r w:rsidRPr="003C6DAE">
        <w:rPr>
          <w:rFonts w:ascii="Trebuchet MS"/>
          <w:color w:val="333333"/>
          <w:w w:val="80"/>
          <w:sz w:val="16"/>
          <w:szCs w:val="16"/>
          <w:lang w:val="uk-UA"/>
        </w:rPr>
        <w:t>(95%</w:t>
      </w:r>
      <w:r w:rsidRPr="003C6DAE">
        <w:rPr>
          <w:rFonts w:ascii="Trebuchet MS"/>
          <w:color w:val="333333"/>
          <w:spacing w:val="30"/>
          <w:sz w:val="16"/>
          <w:szCs w:val="16"/>
          <w:lang w:val="uk-UA"/>
        </w:rPr>
        <w:t xml:space="preserve"> </w:t>
      </w:r>
      <w:r w:rsidR="00C54239" w:rsidRPr="003C6DAE">
        <w:rPr>
          <w:rFonts w:ascii="Trebuchet MS"/>
          <w:color w:val="333333"/>
          <w:w w:val="80"/>
          <w:sz w:val="16"/>
          <w:szCs w:val="16"/>
          <w:lang w:val="uk-UA"/>
        </w:rPr>
        <w:t>ДІ</w:t>
      </w:r>
      <w:r w:rsidRPr="003C6DAE">
        <w:rPr>
          <w:rFonts w:ascii="Trebuchet MS"/>
          <w:color w:val="333333"/>
          <w:spacing w:val="-5"/>
          <w:w w:val="80"/>
          <w:sz w:val="16"/>
          <w:szCs w:val="16"/>
          <w:lang w:val="uk-UA"/>
        </w:rPr>
        <w:t>)</w:t>
      </w:r>
    </w:p>
    <w:p w14:paraId="798DA0ED" w14:textId="77777777" w:rsidR="00E05B98" w:rsidRPr="003C6DAE" w:rsidRDefault="00B01E0C">
      <w:pPr>
        <w:spacing w:before="68"/>
        <w:ind w:left="347"/>
        <w:rPr>
          <w:rFonts w:ascii="Trebuchet MS"/>
          <w:sz w:val="17"/>
          <w:lang w:val="uk-UA"/>
        </w:rPr>
      </w:pPr>
      <w:r w:rsidRPr="003C6DAE">
        <w:rPr>
          <w:rFonts w:ascii="Trebuchet MS"/>
          <w:w w:val="75"/>
          <w:sz w:val="17"/>
          <w:lang w:val="uk-UA"/>
        </w:rPr>
        <w:t>1.00</w:t>
      </w:r>
      <w:r w:rsidRPr="003C6DAE">
        <w:rPr>
          <w:rFonts w:ascii="Trebuchet MS"/>
          <w:spacing w:val="13"/>
          <w:sz w:val="17"/>
          <w:lang w:val="uk-UA"/>
        </w:rPr>
        <w:t xml:space="preserve"> </w:t>
      </w:r>
      <w:r w:rsidRPr="003C6DAE">
        <w:rPr>
          <w:rFonts w:ascii="Trebuchet MS"/>
          <w:w w:val="75"/>
          <w:sz w:val="17"/>
          <w:lang w:val="uk-UA"/>
        </w:rPr>
        <w:t>[0.29,</w:t>
      </w:r>
      <w:r w:rsidRPr="003C6DAE">
        <w:rPr>
          <w:rFonts w:ascii="Trebuchet MS"/>
          <w:spacing w:val="19"/>
          <w:sz w:val="17"/>
          <w:lang w:val="uk-UA"/>
        </w:rPr>
        <w:t xml:space="preserve"> </w:t>
      </w:r>
      <w:r w:rsidRPr="003C6DAE">
        <w:rPr>
          <w:rFonts w:ascii="Trebuchet MS"/>
          <w:spacing w:val="-2"/>
          <w:w w:val="75"/>
          <w:sz w:val="17"/>
          <w:lang w:val="uk-UA"/>
        </w:rPr>
        <w:t>1.00]</w:t>
      </w:r>
    </w:p>
    <w:p w14:paraId="49639DEE" w14:textId="77777777" w:rsidR="00E05B98" w:rsidRPr="003C6DAE" w:rsidRDefault="00B01E0C">
      <w:pPr>
        <w:spacing w:before="37"/>
        <w:ind w:left="347"/>
        <w:rPr>
          <w:rFonts w:ascii="Trebuchet MS"/>
          <w:sz w:val="17"/>
          <w:lang w:val="uk-UA"/>
        </w:rPr>
      </w:pPr>
      <w:r w:rsidRPr="003C6DAE">
        <w:rPr>
          <w:rFonts w:ascii="Trebuchet MS"/>
          <w:w w:val="75"/>
          <w:sz w:val="17"/>
          <w:lang w:val="uk-UA"/>
        </w:rPr>
        <w:t>1.00</w:t>
      </w:r>
      <w:r w:rsidRPr="003C6DAE">
        <w:rPr>
          <w:rFonts w:ascii="Trebuchet MS"/>
          <w:spacing w:val="13"/>
          <w:sz w:val="17"/>
          <w:lang w:val="uk-UA"/>
        </w:rPr>
        <w:t xml:space="preserve"> </w:t>
      </w:r>
      <w:r w:rsidRPr="003C6DAE">
        <w:rPr>
          <w:rFonts w:ascii="Trebuchet MS"/>
          <w:w w:val="75"/>
          <w:sz w:val="17"/>
          <w:lang w:val="uk-UA"/>
        </w:rPr>
        <w:t>[0.40,</w:t>
      </w:r>
      <w:r w:rsidRPr="003C6DAE">
        <w:rPr>
          <w:rFonts w:ascii="Trebuchet MS"/>
          <w:spacing w:val="19"/>
          <w:sz w:val="17"/>
          <w:lang w:val="uk-UA"/>
        </w:rPr>
        <w:t xml:space="preserve"> </w:t>
      </w:r>
      <w:r w:rsidRPr="003C6DAE">
        <w:rPr>
          <w:rFonts w:ascii="Trebuchet MS"/>
          <w:spacing w:val="-2"/>
          <w:w w:val="75"/>
          <w:sz w:val="17"/>
          <w:lang w:val="uk-UA"/>
        </w:rPr>
        <w:t>1.00]</w:t>
      </w:r>
    </w:p>
    <w:p w14:paraId="0DAE9ACA" w14:textId="77777777" w:rsidR="00E05B98" w:rsidRPr="003C6DAE" w:rsidRDefault="00B01E0C">
      <w:pPr>
        <w:spacing w:before="37"/>
        <w:ind w:left="347"/>
        <w:rPr>
          <w:rFonts w:ascii="Trebuchet MS"/>
          <w:sz w:val="17"/>
          <w:lang w:val="uk-UA"/>
        </w:rPr>
      </w:pPr>
      <w:r w:rsidRPr="003C6DAE">
        <w:rPr>
          <w:rFonts w:ascii="Trebuchet MS"/>
          <w:w w:val="75"/>
          <w:sz w:val="17"/>
          <w:lang w:val="uk-UA"/>
        </w:rPr>
        <w:t>1.00</w:t>
      </w:r>
      <w:r w:rsidRPr="003C6DAE">
        <w:rPr>
          <w:rFonts w:ascii="Trebuchet MS"/>
          <w:spacing w:val="13"/>
          <w:sz w:val="17"/>
          <w:lang w:val="uk-UA"/>
        </w:rPr>
        <w:t xml:space="preserve"> </w:t>
      </w:r>
      <w:r w:rsidRPr="003C6DAE">
        <w:rPr>
          <w:rFonts w:ascii="Trebuchet MS"/>
          <w:w w:val="75"/>
          <w:sz w:val="17"/>
          <w:lang w:val="uk-UA"/>
        </w:rPr>
        <w:t>[0.59,</w:t>
      </w:r>
      <w:r w:rsidRPr="003C6DAE">
        <w:rPr>
          <w:rFonts w:ascii="Trebuchet MS"/>
          <w:spacing w:val="19"/>
          <w:sz w:val="17"/>
          <w:lang w:val="uk-UA"/>
        </w:rPr>
        <w:t xml:space="preserve"> </w:t>
      </w:r>
      <w:r w:rsidRPr="003C6DAE">
        <w:rPr>
          <w:rFonts w:ascii="Trebuchet MS"/>
          <w:spacing w:val="-2"/>
          <w:w w:val="75"/>
          <w:sz w:val="17"/>
          <w:lang w:val="uk-UA"/>
        </w:rPr>
        <w:t>1.00]</w:t>
      </w:r>
    </w:p>
    <w:p w14:paraId="7E74FD5D" w14:textId="77777777" w:rsidR="00E05B98" w:rsidRPr="003C6DAE" w:rsidRDefault="00B01E0C">
      <w:pPr>
        <w:spacing w:before="37"/>
        <w:ind w:left="347"/>
        <w:rPr>
          <w:rFonts w:ascii="Trebuchet MS"/>
          <w:sz w:val="17"/>
          <w:lang w:val="uk-UA"/>
        </w:rPr>
      </w:pPr>
      <w:r w:rsidRPr="003C6DAE">
        <w:rPr>
          <w:rFonts w:ascii="Trebuchet MS"/>
          <w:w w:val="75"/>
          <w:sz w:val="17"/>
          <w:lang w:val="uk-UA"/>
        </w:rPr>
        <w:t>1.00</w:t>
      </w:r>
      <w:r w:rsidRPr="003C6DAE">
        <w:rPr>
          <w:rFonts w:ascii="Trebuchet MS"/>
          <w:spacing w:val="13"/>
          <w:sz w:val="17"/>
          <w:lang w:val="uk-UA"/>
        </w:rPr>
        <w:t xml:space="preserve"> </w:t>
      </w:r>
      <w:r w:rsidRPr="003C6DAE">
        <w:rPr>
          <w:rFonts w:ascii="Trebuchet MS"/>
          <w:w w:val="75"/>
          <w:sz w:val="17"/>
          <w:lang w:val="uk-UA"/>
        </w:rPr>
        <w:t>[0.29,</w:t>
      </w:r>
      <w:r w:rsidRPr="003C6DAE">
        <w:rPr>
          <w:rFonts w:ascii="Trebuchet MS"/>
          <w:spacing w:val="19"/>
          <w:sz w:val="17"/>
          <w:lang w:val="uk-UA"/>
        </w:rPr>
        <w:t xml:space="preserve"> </w:t>
      </w:r>
      <w:r w:rsidRPr="003C6DAE">
        <w:rPr>
          <w:rFonts w:ascii="Trebuchet MS"/>
          <w:spacing w:val="-2"/>
          <w:w w:val="75"/>
          <w:sz w:val="17"/>
          <w:lang w:val="uk-UA"/>
        </w:rPr>
        <w:t>1.00]</w:t>
      </w:r>
    </w:p>
    <w:p w14:paraId="6928CBA6" w14:textId="77777777" w:rsidR="00E05B98" w:rsidRPr="003C6DAE" w:rsidRDefault="00B01E0C">
      <w:pPr>
        <w:spacing w:before="37"/>
        <w:ind w:left="347"/>
        <w:rPr>
          <w:rFonts w:ascii="Trebuchet MS"/>
          <w:sz w:val="17"/>
          <w:lang w:val="uk-UA"/>
        </w:rPr>
      </w:pPr>
      <w:r w:rsidRPr="003C6DAE">
        <w:rPr>
          <w:rFonts w:ascii="Trebuchet MS"/>
          <w:w w:val="75"/>
          <w:sz w:val="17"/>
          <w:lang w:val="uk-UA"/>
        </w:rPr>
        <w:t>0.89</w:t>
      </w:r>
      <w:r w:rsidRPr="003C6DAE">
        <w:rPr>
          <w:rFonts w:ascii="Trebuchet MS"/>
          <w:spacing w:val="13"/>
          <w:sz w:val="17"/>
          <w:lang w:val="uk-UA"/>
        </w:rPr>
        <w:t xml:space="preserve"> </w:t>
      </w:r>
      <w:r w:rsidRPr="003C6DAE">
        <w:rPr>
          <w:rFonts w:ascii="Trebuchet MS"/>
          <w:w w:val="75"/>
          <w:sz w:val="17"/>
          <w:lang w:val="uk-UA"/>
        </w:rPr>
        <w:t>[0.65,</w:t>
      </w:r>
      <w:r w:rsidRPr="003C6DAE">
        <w:rPr>
          <w:rFonts w:ascii="Trebuchet MS"/>
          <w:spacing w:val="19"/>
          <w:sz w:val="17"/>
          <w:lang w:val="uk-UA"/>
        </w:rPr>
        <w:t xml:space="preserve"> </w:t>
      </w:r>
      <w:r w:rsidRPr="003C6DAE">
        <w:rPr>
          <w:rFonts w:ascii="Trebuchet MS"/>
          <w:spacing w:val="-2"/>
          <w:w w:val="75"/>
          <w:sz w:val="17"/>
          <w:lang w:val="uk-UA"/>
        </w:rPr>
        <w:t>0.99]</w:t>
      </w:r>
    </w:p>
    <w:p w14:paraId="5D198AAD" w14:textId="77777777" w:rsidR="00E05B98" w:rsidRPr="003C6DAE" w:rsidRDefault="00B01E0C">
      <w:pPr>
        <w:spacing w:before="37"/>
        <w:ind w:left="347"/>
        <w:rPr>
          <w:rFonts w:ascii="Trebuchet MS"/>
          <w:sz w:val="17"/>
          <w:lang w:val="uk-UA"/>
        </w:rPr>
      </w:pPr>
      <w:r w:rsidRPr="003C6DAE">
        <w:rPr>
          <w:rFonts w:ascii="Trebuchet MS"/>
          <w:w w:val="75"/>
          <w:sz w:val="17"/>
          <w:lang w:val="uk-UA"/>
        </w:rPr>
        <w:t>0.86</w:t>
      </w:r>
      <w:r w:rsidRPr="003C6DAE">
        <w:rPr>
          <w:rFonts w:ascii="Trebuchet MS"/>
          <w:spacing w:val="13"/>
          <w:sz w:val="17"/>
          <w:lang w:val="uk-UA"/>
        </w:rPr>
        <w:t xml:space="preserve"> </w:t>
      </w:r>
      <w:r w:rsidRPr="003C6DAE">
        <w:rPr>
          <w:rFonts w:ascii="Trebuchet MS"/>
          <w:w w:val="75"/>
          <w:sz w:val="17"/>
          <w:lang w:val="uk-UA"/>
        </w:rPr>
        <w:t>[0.64,</w:t>
      </w:r>
      <w:r w:rsidRPr="003C6DAE">
        <w:rPr>
          <w:rFonts w:ascii="Trebuchet MS"/>
          <w:spacing w:val="19"/>
          <w:sz w:val="17"/>
          <w:lang w:val="uk-UA"/>
        </w:rPr>
        <w:t xml:space="preserve"> </w:t>
      </w:r>
      <w:r w:rsidRPr="003C6DAE">
        <w:rPr>
          <w:rFonts w:ascii="Trebuchet MS"/>
          <w:spacing w:val="-2"/>
          <w:w w:val="75"/>
          <w:sz w:val="17"/>
          <w:lang w:val="uk-UA"/>
        </w:rPr>
        <w:t>0.97]</w:t>
      </w:r>
    </w:p>
    <w:p w14:paraId="37E9F3DA" w14:textId="77777777" w:rsidR="00E05B98" w:rsidRPr="003C6DAE" w:rsidRDefault="00B01E0C">
      <w:pPr>
        <w:spacing w:before="37"/>
        <w:ind w:left="347"/>
        <w:rPr>
          <w:rFonts w:ascii="Trebuchet MS"/>
          <w:sz w:val="17"/>
          <w:lang w:val="uk-UA"/>
        </w:rPr>
      </w:pPr>
      <w:r w:rsidRPr="003C6DAE">
        <w:rPr>
          <w:rFonts w:ascii="Trebuchet MS"/>
          <w:w w:val="75"/>
          <w:sz w:val="17"/>
          <w:lang w:val="uk-UA"/>
        </w:rPr>
        <w:t>0.78</w:t>
      </w:r>
      <w:r w:rsidRPr="003C6DAE">
        <w:rPr>
          <w:rFonts w:ascii="Trebuchet MS"/>
          <w:spacing w:val="13"/>
          <w:sz w:val="17"/>
          <w:lang w:val="uk-UA"/>
        </w:rPr>
        <w:t xml:space="preserve"> </w:t>
      </w:r>
      <w:r w:rsidRPr="003C6DAE">
        <w:rPr>
          <w:rFonts w:ascii="Trebuchet MS"/>
          <w:w w:val="75"/>
          <w:sz w:val="17"/>
          <w:lang w:val="uk-UA"/>
        </w:rPr>
        <w:t>[0.40,</w:t>
      </w:r>
      <w:r w:rsidRPr="003C6DAE">
        <w:rPr>
          <w:rFonts w:ascii="Trebuchet MS"/>
          <w:spacing w:val="19"/>
          <w:sz w:val="17"/>
          <w:lang w:val="uk-UA"/>
        </w:rPr>
        <w:t xml:space="preserve"> </w:t>
      </w:r>
      <w:r w:rsidRPr="003C6DAE">
        <w:rPr>
          <w:rFonts w:ascii="Trebuchet MS"/>
          <w:spacing w:val="-2"/>
          <w:w w:val="75"/>
          <w:sz w:val="17"/>
          <w:lang w:val="uk-UA"/>
        </w:rPr>
        <w:t>0.97]</w:t>
      </w:r>
    </w:p>
    <w:p w14:paraId="253CC657" w14:textId="77777777" w:rsidR="00E05B98" w:rsidRPr="003C6DAE" w:rsidRDefault="00B01E0C">
      <w:pPr>
        <w:spacing w:before="37"/>
        <w:ind w:left="347"/>
        <w:rPr>
          <w:rFonts w:ascii="Trebuchet MS"/>
          <w:sz w:val="17"/>
          <w:lang w:val="uk-UA"/>
        </w:rPr>
      </w:pPr>
      <w:r w:rsidRPr="003C6DAE">
        <w:rPr>
          <w:rFonts w:ascii="Trebuchet MS"/>
          <w:w w:val="75"/>
          <w:sz w:val="17"/>
          <w:lang w:val="uk-UA"/>
        </w:rPr>
        <w:t>0.68</w:t>
      </w:r>
      <w:r w:rsidRPr="003C6DAE">
        <w:rPr>
          <w:rFonts w:ascii="Trebuchet MS"/>
          <w:spacing w:val="13"/>
          <w:sz w:val="17"/>
          <w:lang w:val="uk-UA"/>
        </w:rPr>
        <w:t xml:space="preserve"> </w:t>
      </w:r>
      <w:r w:rsidRPr="003C6DAE">
        <w:rPr>
          <w:rFonts w:ascii="Trebuchet MS"/>
          <w:w w:val="75"/>
          <w:sz w:val="17"/>
          <w:lang w:val="uk-UA"/>
        </w:rPr>
        <w:t>[0.45,</w:t>
      </w:r>
      <w:r w:rsidRPr="003C6DAE">
        <w:rPr>
          <w:rFonts w:ascii="Trebuchet MS"/>
          <w:spacing w:val="19"/>
          <w:sz w:val="17"/>
          <w:lang w:val="uk-UA"/>
        </w:rPr>
        <w:t xml:space="preserve"> </w:t>
      </w:r>
      <w:r w:rsidRPr="003C6DAE">
        <w:rPr>
          <w:rFonts w:ascii="Trebuchet MS"/>
          <w:spacing w:val="-2"/>
          <w:w w:val="75"/>
          <w:sz w:val="17"/>
          <w:lang w:val="uk-UA"/>
        </w:rPr>
        <w:t>0.86]</w:t>
      </w:r>
    </w:p>
    <w:p w14:paraId="2791D0C6" w14:textId="77777777" w:rsidR="00E05B98" w:rsidRPr="003C6DAE" w:rsidRDefault="00B01E0C">
      <w:pPr>
        <w:spacing w:before="37"/>
        <w:ind w:left="347"/>
        <w:rPr>
          <w:rFonts w:ascii="Trebuchet MS"/>
          <w:sz w:val="17"/>
          <w:lang w:val="uk-UA"/>
        </w:rPr>
      </w:pPr>
      <w:r w:rsidRPr="003C6DAE">
        <w:rPr>
          <w:rFonts w:ascii="Trebuchet MS"/>
          <w:w w:val="75"/>
          <w:sz w:val="17"/>
          <w:lang w:val="uk-UA"/>
        </w:rPr>
        <w:t>0.50</w:t>
      </w:r>
      <w:r w:rsidRPr="003C6DAE">
        <w:rPr>
          <w:rFonts w:ascii="Trebuchet MS"/>
          <w:spacing w:val="13"/>
          <w:sz w:val="17"/>
          <w:lang w:val="uk-UA"/>
        </w:rPr>
        <w:t xml:space="preserve"> </w:t>
      </w:r>
      <w:r w:rsidRPr="003C6DAE">
        <w:rPr>
          <w:rFonts w:ascii="Trebuchet MS"/>
          <w:w w:val="75"/>
          <w:sz w:val="17"/>
          <w:lang w:val="uk-UA"/>
        </w:rPr>
        <w:t>[0.01,</w:t>
      </w:r>
      <w:r w:rsidRPr="003C6DAE">
        <w:rPr>
          <w:rFonts w:ascii="Trebuchet MS"/>
          <w:spacing w:val="19"/>
          <w:sz w:val="17"/>
          <w:lang w:val="uk-UA"/>
        </w:rPr>
        <w:t xml:space="preserve"> </w:t>
      </w:r>
      <w:r w:rsidRPr="003C6DAE">
        <w:rPr>
          <w:rFonts w:ascii="Trebuchet MS"/>
          <w:spacing w:val="-2"/>
          <w:w w:val="75"/>
          <w:sz w:val="17"/>
          <w:lang w:val="uk-UA"/>
        </w:rPr>
        <w:t>0.99]</w:t>
      </w:r>
    </w:p>
    <w:p w14:paraId="2002F541" w14:textId="1D4EF8D0" w:rsidR="00E05B98" w:rsidRPr="003C6DAE" w:rsidRDefault="00B01E0C" w:rsidP="00C54239">
      <w:pPr>
        <w:spacing w:before="108"/>
        <w:rPr>
          <w:rFonts w:ascii="Trebuchet MS"/>
          <w:sz w:val="16"/>
          <w:szCs w:val="16"/>
          <w:lang w:val="uk-UA"/>
        </w:rPr>
      </w:pPr>
      <w:r w:rsidRPr="003C6DAE">
        <w:rPr>
          <w:lang w:val="uk-UA"/>
        </w:rPr>
        <w:br w:type="column"/>
      </w:r>
      <w:r w:rsidR="00C54239" w:rsidRPr="003C6DAE">
        <w:rPr>
          <w:rFonts w:ascii="Trebuchet MS"/>
          <w:color w:val="333333"/>
          <w:w w:val="80"/>
          <w:sz w:val="16"/>
          <w:szCs w:val="16"/>
          <w:lang w:val="uk-UA"/>
        </w:rPr>
        <w:t>Специфічність</w:t>
      </w:r>
      <w:r w:rsidRPr="003C6DAE">
        <w:rPr>
          <w:rFonts w:ascii="Trebuchet MS"/>
          <w:color w:val="333333"/>
          <w:w w:val="80"/>
          <w:sz w:val="16"/>
          <w:szCs w:val="16"/>
          <w:lang w:val="uk-UA"/>
        </w:rPr>
        <w:t>(95%</w:t>
      </w:r>
      <w:r w:rsidRPr="003C6DAE">
        <w:rPr>
          <w:rFonts w:ascii="Trebuchet MS"/>
          <w:color w:val="333333"/>
          <w:spacing w:val="25"/>
          <w:sz w:val="16"/>
          <w:szCs w:val="16"/>
          <w:lang w:val="uk-UA"/>
        </w:rPr>
        <w:t xml:space="preserve"> </w:t>
      </w:r>
      <w:r w:rsidR="00C54239" w:rsidRPr="003C6DAE">
        <w:rPr>
          <w:rFonts w:ascii="Trebuchet MS"/>
          <w:color w:val="333333"/>
          <w:w w:val="80"/>
          <w:sz w:val="16"/>
          <w:szCs w:val="16"/>
          <w:lang w:val="uk-UA"/>
        </w:rPr>
        <w:t>ДІ</w:t>
      </w:r>
      <w:r w:rsidRPr="003C6DAE">
        <w:rPr>
          <w:rFonts w:ascii="Trebuchet MS"/>
          <w:color w:val="333333"/>
          <w:spacing w:val="-5"/>
          <w:w w:val="80"/>
          <w:sz w:val="16"/>
          <w:szCs w:val="16"/>
          <w:lang w:val="uk-UA"/>
        </w:rPr>
        <w:t>)</w:t>
      </w:r>
    </w:p>
    <w:p w14:paraId="2C87705E" w14:textId="77777777" w:rsidR="00E05B98" w:rsidRPr="003C6DAE" w:rsidRDefault="00B01E0C">
      <w:pPr>
        <w:spacing w:before="68"/>
        <w:ind w:left="322"/>
        <w:rPr>
          <w:rFonts w:ascii="Trebuchet MS"/>
          <w:sz w:val="17"/>
          <w:lang w:val="uk-UA"/>
        </w:rPr>
      </w:pPr>
      <w:r w:rsidRPr="003C6DAE">
        <w:rPr>
          <w:rFonts w:ascii="Trebuchet MS"/>
          <w:w w:val="75"/>
          <w:sz w:val="17"/>
          <w:lang w:val="uk-UA"/>
        </w:rPr>
        <w:t>1.00</w:t>
      </w:r>
      <w:r w:rsidRPr="003C6DAE">
        <w:rPr>
          <w:rFonts w:ascii="Trebuchet MS"/>
          <w:spacing w:val="13"/>
          <w:sz w:val="17"/>
          <w:lang w:val="uk-UA"/>
        </w:rPr>
        <w:t xml:space="preserve"> </w:t>
      </w:r>
      <w:r w:rsidRPr="003C6DAE">
        <w:rPr>
          <w:rFonts w:ascii="Trebuchet MS"/>
          <w:w w:val="75"/>
          <w:sz w:val="17"/>
          <w:lang w:val="uk-UA"/>
        </w:rPr>
        <w:t>[0.16,</w:t>
      </w:r>
      <w:r w:rsidRPr="003C6DAE">
        <w:rPr>
          <w:rFonts w:ascii="Trebuchet MS"/>
          <w:spacing w:val="19"/>
          <w:sz w:val="17"/>
          <w:lang w:val="uk-UA"/>
        </w:rPr>
        <w:t xml:space="preserve"> </w:t>
      </w:r>
      <w:r w:rsidRPr="003C6DAE">
        <w:rPr>
          <w:rFonts w:ascii="Trebuchet MS"/>
          <w:spacing w:val="-2"/>
          <w:w w:val="75"/>
          <w:sz w:val="17"/>
          <w:lang w:val="uk-UA"/>
        </w:rPr>
        <w:t>1.00]</w:t>
      </w:r>
    </w:p>
    <w:p w14:paraId="62EE9100" w14:textId="77777777" w:rsidR="00E05B98" w:rsidRPr="003C6DAE" w:rsidRDefault="00B01E0C">
      <w:pPr>
        <w:spacing w:before="37"/>
        <w:ind w:left="322"/>
        <w:rPr>
          <w:rFonts w:ascii="Trebuchet MS"/>
          <w:sz w:val="17"/>
          <w:lang w:val="uk-UA"/>
        </w:rPr>
      </w:pPr>
      <w:r w:rsidRPr="003C6DAE">
        <w:rPr>
          <w:rFonts w:ascii="Trebuchet MS"/>
          <w:w w:val="75"/>
          <w:sz w:val="17"/>
          <w:lang w:val="uk-UA"/>
        </w:rPr>
        <w:t>1.00</w:t>
      </w:r>
      <w:r w:rsidRPr="003C6DAE">
        <w:rPr>
          <w:rFonts w:ascii="Trebuchet MS"/>
          <w:spacing w:val="13"/>
          <w:sz w:val="17"/>
          <w:lang w:val="uk-UA"/>
        </w:rPr>
        <w:t xml:space="preserve"> </w:t>
      </w:r>
      <w:r w:rsidRPr="003C6DAE">
        <w:rPr>
          <w:rFonts w:ascii="Trebuchet MS"/>
          <w:w w:val="75"/>
          <w:sz w:val="17"/>
          <w:lang w:val="uk-UA"/>
        </w:rPr>
        <w:t>[0.72,</w:t>
      </w:r>
      <w:r w:rsidRPr="003C6DAE">
        <w:rPr>
          <w:rFonts w:ascii="Trebuchet MS"/>
          <w:spacing w:val="19"/>
          <w:sz w:val="17"/>
          <w:lang w:val="uk-UA"/>
        </w:rPr>
        <w:t xml:space="preserve"> </w:t>
      </w:r>
      <w:r w:rsidRPr="003C6DAE">
        <w:rPr>
          <w:rFonts w:ascii="Trebuchet MS"/>
          <w:spacing w:val="-2"/>
          <w:w w:val="75"/>
          <w:sz w:val="17"/>
          <w:lang w:val="uk-UA"/>
        </w:rPr>
        <w:t>1.00]</w:t>
      </w:r>
    </w:p>
    <w:p w14:paraId="753D9872" w14:textId="77777777" w:rsidR="00E05B98" w:rsidRPr="003C6DAE" w:rsidRDefault="00B01E0C">
      <w:pPr>
        <w:spacing w:before="37"/>
        <w:ind w:left="322"/>
        <w:rPr>
          <w:rFonts w:ascii="Trebuchet MS"/>
          <w:sz w:val="17"/>
          <w:lang w:val="uk-UA"/>
        </w:rPr>
      </w:pPr>
      <w:r w:rsidRPr="003C6DAE">
        <w:rPr>
          <w:rFonts w:ascii="Trebuchet MS"/>
          <w:w w:val="75"/>
          <w:sz w:val="17"/>
          <w:lang w:val="uk-UA"/>
        </w:rPr>
        <w:t>0.64</w:t>
      </w:r>
      <w:r w:rsidRPr="003C6DAE">
        <w:rPr>
          <w:rFonts w:ascii="Trebuchet MS"/>
          <w:spacing w:val="13"/>
          <w:sz w:val="17"/>
          <w:lang w:val="uk-UA"/>
        </w:rPr>
        <w:t xml:space="preserve"> </w:t>
      </w:r>
      <w:r w:rsidRPr="003C6DAE">
        <w:rPr>
          <w:rFonts w:ascii="Trebuchet MS"/>
          <w:w w:val="75"/>
          <w:sz w:val="17"/>
          <w:lang w:val="uk-UA"/>
        </w:rPr>
        <w:t>[0.31,</w:t>
      </w:r>
      <w:r w:rsidRPr="003C6DAE">
        <w:rPr>
          <w:rFonts w:ascii="Trebuchet MS"/>
          <w:spacing w:val="19"/>
          <w:sz w:val="17"/>
          <w:lang w:val="uk-UA"/>
        </w:rPr>
        <w:t xml:space="preserve"> </w:t>
      </w:r>
      <w:r w:rsidRPr="003C6DAE">
        <w:rPr>
          <w:rFonts w:ascii="Trebuchet MS"/>
          <w:spacing w:val="-2"/>
          <w:w w:val="75"/>
          <w:sz w:val="17"/>
          <w:lang w:val="uk-UA"/>
        </w:rPr>
        <w:t>0.89]</w:t>
      </w:r>
    </w:p>
    <w:p w14:paraId="570E3962" w14:textId="77777777" w:rsidR="00E05B98" w:rsidRPr="003C6DAE" w:rsidRDefault="00B01E0C">
      <w:pPr>
        <w:spacing w:before="36"/>
        <w:ind w:left="322"/>
        <w:rPr>
          <w:rFonts w:ascii="Trebuchet MS"/>
          <w:sz w:val="17"/>
          <w:lang w:val="uk-UA"/>
        </w:rPr>
      </w:pPr>
      <w:r w:rsidRPr="003C6DAE">
        <w:rPr>
          <w:rFonts w:ascii="Trebuchet MS"/>
          <w:w w:val="75"/>
          <w:sz w:val="17"/>
          <w:lang w:val="uk-UA"/>
        </w:rPr>
        <w:t>0.58</w:t>
      </w:r>
      <w:r w:rsidRPr="003C6DAE">
        <w:rPr>
          <w:rFonts w:ascii="Trebuchet MS"/>
          <w:spacing w:val="13"/>
          <w:sz w:val="17"/>
          <w:lang w:val="uk-UA"/>
        </w:rPr>
        <w:t xml:space="preserve"> </w:t>
      </w:r>
      <w:r w:rsidRPr="003C6DAE">
        <w:rPr>
          <w:rFonts w:ascii="Trebuchet MS"/>
          <w:w w:val="75"/>
          <w:sz w:val="17"/>
          <w:lang w:val="uk-UA"/>
        </w:rPr>
        <w:t>[0.33,</w:t>
      </w:r>
      <w:r w:rsidRPr="003C6DAE">
        <w:rPr>
          <w:rFonts w:ascii="Trebuchet MS"/>
          <w:spacing w:val="19"/>
          <w:sz w:val="17"/>
          <w:lang w:val="uk-UA"/>
        </w:rPr>
        <w:t xml:space="preserve"> </w:t>
      </w:r>
      <w:r w:rsidRPr="003C6DAE">
        <w:rPr>
          <w:rFonts w:ascii="Trebuchet MS"/>
          <w:spacing w:val="-2"/>
          <w:w w:val="75"/>
          <w:sz w:val="17"/>
          <w:lang w:val="uk-UA"/>
        </w:rPr>
        <w:t>0.80]</w:t>
      </w:r>
    </w:p>
    <w:p w14:paraId="57BC5B10" w14:textId="77777777" w:rsidR="00E05B98" w:rsidRPr="003C6DAE" w:rsidRDefault="00B01E0C">
      <w:pPr>
        <w:spacing w:before="37"/>
        <w:ind w:left="322"/>
        <w:rPr>
          <w:rFonts w:ascii="Trebuchet MS"/>
          <w:sz w:val="17"/>
          <w:lang w:val="uk-UA"/>
        </w:rPr>
      </w:pPr>
      <w:r w:rsidRPr="003C6DAE">
        <w:rPr>
          <w:rFonts w:ascii="Trebuchet MS"/>
          <w:w w:val="75"/>
          <w:sz w:val="17"/>
          <w:lang w:val="uk-UA"/>
        </w:rPr>
        <w:t>0.59</w:t>
      </w:r>
      <w:r w:rsidRPr="003C6DAE">
        <w:rPr>
          <w:rFonts w:ascii="Trebuchet MS"/>
          <w:spacing w:val="13"/>
          <w:sz w:val="17"/>
          <w:lang w:val="uk-UA"/>
        </w:rPr>
        <w:t xml:space="preserve"> </w:t>
      </w:r>
      <w:r w:rsidRPr="003C6DAE">
        <w:rPr>
          <w:rFonts w:ascii="Trebuchet MS"/>
          <w:w w:val="75"/>
          <w:sz w:val="17"/>
          <w:lang w:val="uk-UA"/>
        </w:rPr>
        <w:t>[0.47,</w:t>
      </w:r>
      <w:r w:rsidRPr="003C6DAE">
        <w:rPr>
          <w:rFonts w:ascii="Trebuchet MS"/>
          <w:spacing w:val="19"/>
          <w:sz w:val="17"/>
          <w:lang w:val="uk-UA"/>
        </w:rPr>
        <w:t xml:space="preserve"> </w:t>
      </w:r>
      <w:r w:rsidRPr="003C6DAE">
        <w:rPr>
          <w:rFonts w:ascii="Trebuchet MS"/>
          <w:spacing w:val="-2"/>
          <w:w w:val="75"/>
          <w:sz w:val="17"/>
          <w:lang w:val="uk-UA"/>
        </w:rPr>
        <w:t>0.69]</w:t>
      </w:r>
    </w:p>
    <w:p w14:paraId="6FFE5551" w14:textId="77777777" w:rsidR="00E05B98" w:rsidRPr="003C6DAE" w:rsidRDefault="00B01E0C">
      <w:pPr>
        <w:spacing w:before="37"/>
        <w:ind w:left="322"/>
        <w:rPr>
          <w:rFonts w:ascii="Trebuchet MS"/>
          <w:sz w:val="17"/>
          <w:lang w:val="uk-UA"/>
        </w:rPr>
      </w:pPr>
      <w:r w:rsidRPr="003C6DAE">
        <w:rPr>
          <w:rFonts w:ascii="Trebuchet MS"/>
          <w:w w:val="75"/>
          <w:sz w:val="17"/>
          <w:lang w:val="uk-UA"/>
        </w:rPr>
        <w:t>0.75</w:t>
      </w:r>
      <w:r w:rsidRPr="003C6DAE">
        <w:rPr>
          <w:rFonts w:ascii="Trebuchet MS"/>
          <w:spacing w:val="13"/>
          <w:sz w:val="17"/>
          <w:lang w:val="uk-UA"/>
        </w:rPr>
        <w:t xml:space="preserve"> </w:t>
      </w:r>
      <w:r w:rsidRPr="003C6DAE">
        <w:rPr>
          <w:rFonts w:ascii="Trebuchet MS"/>
          <w:w w:val="75"/>
          <w:sz w:val="17"/>
          <w:lang w:val="uk-UA"/>
        </w:rPr>
        <w:t>[0.62,</w:t>
      </w:r>
      <w:r w:rsidRPr="003C6DAE">
        <w:rPr>
          <w:rFonts w:ascii="Trebuchet MS"/>
          <w:spacing w:val="19"/>
          <w:sz w:val="17"/>
          <w:lang w:val="uk-UA"/>
        </w:rPr>
        <w:t xml:space="preserve"> </w:t>
      </w:r>
      <w:r w:rsidRPr="003C6DAE">
        <w:rPr>
          <w:rFonts w:ascii="Trebuchet MS"/>
          <w:spacing w:val="-2"/>
          <w:w w:val="75"/>
          <w:sz w:val="17"/>
          <w:lang w:val="uk-UA"/>
        </w:rPr>
        <w:t>0.85]</w:t>
      </w:r>
    </w:p>
    <w:p w14:paraId="0B1C02D5" w14:textId="77777777" w:rsidR="00E05B98" w:rsidRPr="003C6DAE" w:rsidRDefault="00B01E0C">
      <w:pPr>
        <w:spacing w:before="37"/>
        <w:ind w:left="322"/>
        <w:rPr>
          <w:rFonts w:ascii="Trebuchet MS"/>
          <w:sz w:val="17"/>
          <w:lang w:val="uk-UA"/>
        </w:rPr>
      </w:pPr>
      <w:r w:rsidRPr="003C6DAE">
        <w:rPr>
          <w:rFonts w:ascii="Trebuchet MS"/>
          <w:w w:val="75"/>
          <w:sz w:val="17"/>
          <w:lang w:val="uk-UA"/>
        </w:rPr>
        <w:t>0.78</w:t>
      </w:r>
      <w:r w:rsidRPr="003C6DAE">
        <w:rPr>
          <w:rFonts w:ascii="Trebuchet MS"/>
          <w:spacing w:val="13"/>
          <w:sz w:val="17"/>
          <w:lang w:val="uk-UA"/>
        </w:rPr>
        <w:t xml:space="preserve"> </w:t>
      </w:r>
      <w:r w:rsidRPr="003C6DAE">
        <w:rPr>
          <w:rFonts w:ascii="Trebuchet MS"/>
          <w:w w:val="75"/>
          <w:sz w:val="17"/>
          <w:lang w:val="uk-UA"/>
        </w:rPr>
        <w:t>[0.66,</w:t>
      </w:r>
      <w:r w:rsidRPr="003C6DAE">
        <w:rPr>
          <w:rFonts w:ascii="Trebuchet MS"/>
          <w:spacing w:val="19"/>
          <w:sz w:val="17"/>
          <w:lang w:val="uk-UA"/>
        </w:rPr>
        <w:t xml:space="preserve"> </w:t>
      </w:r>
      <w:r w:rsidRPr="003C6DAE">
        <w:rPr>
          <w:rFonts w:ascii="Trebuchet MS"/>
          <w:spacing w:val="-2"/>
          <w:w w:val="75"/>
          <w:sz w:val="17"/>
          <w:lang w:val="uk-UA"/>
        </w:rPr>
        <w:t>0.87]</w:t>
      </w:r>
    </w:p>
    <w:p w14:paraId="4CA56957" w14:textId="77777777" w:rsidR="00E05B98" w:rsidRPr="003C6DAE" w:rsidRDefault="00B01E0C">
      <w:pPr>
        <w:spacing w:before="37"/>
        <w:ind w:left="322"/>
        <w:rPr>
          <w:rFonts w:ascii="Trebuchet MS"/>
          <w:sz w:val="17"/>
          <w:lang w:val="uk-UA"/>
        </w:rPr>
      </w:pPr>
      <w:r w:rsidRPr="003C6DAE">
        <w:rPr>
          <w:rFonts w:ascii="Trebuchet MS"/>
          <w:w w:val="75"/>
          <w:sz w:val="17"/>
          <w:lang w:val="uk-UA"/>
        </w:rPr>
        <w:t>0.88</w:t>
      </w:r>
      <w:r w:rsidRPr="003C6DAE">
        <w:rPr>
          <w:rFonts w:ascii="Trebuchet MS"/>
          <w:spacing w:val="13"/>
          <w:sz w:val="17"/>
          <w:lang w:val="uk-UA"/>
        </w:rPr>
        <w:t xml:space="preserve"> </w:t>
      </w:r>
      <w:r w:rsidRPr="003C6DAE">
        <w:rPr>
          <w:rFonts w:ascii="Trebuchet MS"/>
          <w:w w:val="75"/>
          <w:sz w:val="17"/>
          <w:lang w:val="uk-UA"/>
        </w:rPr>
        <w:t>[0.80,</w:t>
      </w:r>
      <w:r w:rsidRPr="003C6DAE">
        <w:rPr>
          <w:rFonts w:ascii="Trebuchet MS"/>
          <w:spacing w:val="19"/>
          <w:sz w:val="17"/>
          <w:lang w:val="uk-UA"/>
        </w:rPr>
        <w:t xml:space="preserve"> </w:t>
      </w:r>
      <w:r w:rsidRPr="003C6DAE">
        <w:rPr>
          <w:rFonts w:ascii="Trebuchet MS"/>
          <w:spacing w:val="-2"/>
          <w:w w:val="75"/>
          <w:sz w:val="17"/>
          <w:lang w:val="uk-UA"/>
        </w:rPr>
        <w:t>0.94]</w:t>
      </w:r>
    </w:p>
    <w:p w14:paraId="00C6FEC8" w14:textId="77777777" w:rsidR="00E05B98" w:rsidRPr="003C6DAE" w:rsidRDefault="00B01E0C">
      <w:pPr>
        <w:spacing w:before="37"/>
        <w:ind w:left="322"/>
        <w:rPr>
          <w:rFonts w:ascii="Trebuchet MS"/>
          <w:sz w:val="17"/>
          <w:lang w:val="uk-UA"/>
        </w:rPr>
      </w:pPr>
      <w:r w:rsidRPr="003C6DAE">
        <w:rPr>
          <w:rFonts w:ascii="Trebuchet MS"/>
          <w:w w:val="75"/>
          <w:sz w:val="17"/>
          <w:lang w:val="uk-UA"/>
        </w:rPr>
        <w:t>0.33</w:t>
      </w:r>
      <w:r w:rsidRPr="003C6DAE">
        <w:rPr>
          <w:rFonts w:ascii="Trebuchet MS"/>
          <w:spacing w:val="13"/>
          <w:sz w:val="17"/>
          <w:lang w:val="uk-UA"/>
        </w:rPr>
        <w:t xml:space="preserve"> </w:t>
      </w:r>
      <w:r w:rsidRPr="003C6DAE">
        <w:rPr>
          <w:rFonts w:ascii="Trebuchet MS"/>
          <w:w w:val="75"/>
          <w:sz w:val="17"/>
          <w:lang w:val="uk-UA"/>
        </w:rPr>
        <w:t>[0.01,</w:t>
      </w:r>
      <w:r w:rsidRPr="003C6DAE">
        <w:rPr>
          <w:rFonts w:ascii="Trebuchet MS"/>
          <w:spacing w:val="19"/>
          <w:sz w:val="17"/>
          <w:lang w:val="uk-UA"/>
        </w:rPr>
        <w:t xml:space="preserve"> </w:t>
      </w:r>
      <w:r w:rsidRPr="003C6DAE">
        <w:rPr>
          <w:rFonts w:ascii="Trebuchet MS"/>
          <w:spacing w:val="-2"/>
          <w:w w:val="75"/>
          <w:sz w:val="17"/>
          <w:lang w:val="uk-UA"/>
        </w:rPr>
        <w:t>0.91]</w:t>
      </w:r>
    </w:p>
    <w:p w14:paraId="6D28FFC4" w14:textId="28658E76" w:rsidR="00E05B98" w:rsidRPr="003C6DAE" w:rsidRDefault="00B01E0C" w:rsidP="00C54239">
      <w:pPr>
        <w:spacing w:before="108"/>
        <w:ind w:left="87"/>
        <w:jc w:val="right"/>
        <w:rPr>
          <w:rFonts w:ascii="Trebuchet MS"/>
          <w:sz w:val="16"/>
          <w:szCs w:val="16"/>
          <w:lang w:val="uk-UA"/>
        </w:rPr>
      </w:pPr>
      <w:r w:rsidRPr="003C6DAE">
        <w:rPr>
          <w:lang w:val="uk-UA"/>
        </w:rPr>
        <w:br w:type="column"/>
      </w:r>
      <w:r w:rsidR="00C54239" w:rsidRPr="003C6DAE">
        <w:rPr>
          <w:rFonts w:ascii="Trebuchet MS"/>
          <w:color w:val="333333"/>
          <w:w w:val="80"/>
          <w:sz w:val="16"/>
          <w:szCs w:val="16"/>
          <w:lang w:val="uk-UA"/>
        </w:rPr>
        <w:t>Чутливість</w:t>
      </w:r>
      <w:r w:rsidRPr="003C6DAE">
        <w:rPr>
          <w:rFonts w:ascii="Trebuchet MS"/>
          <w:color w:val="333333"/>
          <w:spacing w:val="28"/>
          <w:sz w:val="16"/>
          <w:szCs w:val="16"/>
          <w:lang w:val="uk-UA"/>
        </w:rPr>
        <w:t xml:space="preserve"> </w:t>
      </w:r>
      <w:r w:rsidRPr="003C6DAE">
        <w:rPr>
          <w:rFonts w:ascii="Trebuchet MS"/>
          <w:color w:val="333333"/>
          <w:w w:val="80"/>
          <w:sz w:val="16"/>
          <w:szCs w:val="16"/>
          <w:lang w:val="uk-UA"/>
        </w:rPr>
        <w:t>(95%</w:t>
      </w:r>
      <w:r w:rsidRPr="003C6DAE">
        <w:rPr>
          <w:rFonts w:ascii="Trebuchet MS"/>
          <w:color w:val="333333"/>
          <w:spacing w:val="30"/>
          <w:sz w:val="16"/>
          <w:szCs w:val="16"/>
          <w:lang w:val="uk-UA"/>
        </w:rPr>
        <w:t xml:space="preserve"> </w:t>
      </w:r>
      <w:r w:rsidR="00C54239" w:rsidRPr="003C6DAE">
        <w:rPr>
          <w:rFonts w:ascii="Trebuchet MS"/>
          <w:color w:val="333333"/>
          <w:w w:val="80"/>
          <w:sz w:val="16"/>
          <w:szCs w:val="16"/>
          <w:lang w:val="uk-UA"/>
        </w:rPr>
        <w:t>ДІ</w:t>
      </w:r>
      <w:r w:rsidRPr="003C6DAE">
        <w:rPr>
          <w:rFonts w:ascii="Trebuchet MS"/>
          <w:color w:val="333333"/>
          <w:spacing w:val="-5"/>
          <w:w w:val="80"/>
          <w:sz w:val="16"/>
          <w:szCs w:val="16"/>
          <w:lang w:val="uk-UA"/>
        </w:rPr>
        <w:t>)</w:t>
      </w:r>
    </w:p>
    <w:p w14:paraId="58E8FC7C" w14:textId="77777777" w:rsidR="00E05B98" w:rsidRPr="003C6DAE" w:rsidRDefault="00E05B98">
      <w:pPr>
        <w:pStyle w:val="a3"/>
        <w:rPr>
          <w:rFonts w:ascii="Trebuchet MS"/>
          <w:sz w:val="20"/>
          <w:lang w:val="uk-UA"/>
        </w:rPr>
      </w:pPr>
    </w:p>
    <w:p w14:paraId="7D2B1735" w14:textId="77777777" w:rsidR="00E05B98" w:rsidRPr="003C6DAE" w:rsidRDefault="00E05B98">
      <w:pPr>
        <w:pStyle w:val="a3"/>
        <w:rPr>
          <w:rFonts w:ascii="Trebuchet MS"/>
          <w:sz w:val="20"/>
          <w:lang w:val="uk-UA"/>
        </w:rPr>
      </w:pPr>
    </w:p>
    <w:p w14:paraId="79263740" w14:textId="77777777" w:rsidR="00E05B98" w:rsidRPr="003C6DAE" w:rsidRDefault="00E05B98">
      <w:pPr>
        <w:pStyle w:val="a3"/>
        <w:rPr>
          <w:rFonts w:ascii="Trebuchet MS"/>
          <w:sz w:val="20"/>
          <w:lang w:val="uk-UA"/>
        </w:rPr>
      </w:pPr>
    </w:p>
    <w:p w14:paraId="4A227AC6" w14:textId="77777777" w:rsidR="00E05B98" w:rsidRPr="003C6DAE" w:rsidRDefault="00E05B98">
      <w:pPr>
        <w:pStyle w:val="a3"/>
        <w:spacing w:before="90"/>
        <w:rPr>
          <w:rFonts w:ascii="Trebuchet MS"/>
          <w:sz w:val="20"/>
          <w:lang w:val="uk-UA"/>
        </w:rPr>
      </w:pPr>
    </w:p>
    <w:p w14:paraId="27CCE6C2" w14:textId="77777777" w:rsidR="00E05B98" w:rsidRPr="003C6DAE" w:rsidRDefault="00B01E0C">
      <w:pPr>
        <w:pStyle w:val="a3"/>
        <w:spacing w:line="102" w:lineRule="exact"/>
        <w:ind w:left="949" w:right="-58"/>
        <w:rPr>
          <w:rFonts w:ascii="Trebuchet MS"/>
          <w:position w:val="-1"/>
          <w:sz w:val="10"/>
          <w:lang w:val="uk-UA"/>
        </w:rPr>
      </w:pPr>
      <w:r w:rsidRPr="003C6DAE">
        <w:rPr>
          <w:rFonts w:ascii="Trebuchet MS"/>
          <w:noProof/>
          <w:position w:val="-1"/>
          <w:sz w:val="10"/>
          <w:lang w:val="uk-UA"/>
        </w:rPr>
        <mc:AlternateContent>
          <mc:Choice Requires="wpg">
            <w:drawing>
              <wp:inline distT="0" distB="0" distL="0" distR="0" wp14:anchorId="463A2FBA" wp14:editId="4145D39A">
                <wp:extent cx="310515" cy="65405"/>
                <wp:effectExtent l="9525" t="0" r="3810" b="1269"/>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515" cy="65405"/>
                          <a:chOff x="0" y="0"/>
                          <a:chExt cx="310515" cy="65405"/>
                        </a:xfrm>
                      </wpg:grpSpPr>
                      <wps:wsp>
                        <wps:cNvPr id="601" name="Graphic 601"/>
                        <wps:cNvSpPr/>
                        <wps:spPr>
                          <a:xfrm>
                            <a:off x="0" y="27907"/>
                            <a:ext cx="310515" cy="1270"/>
                          </a:xfrm>
                          <a:custGeom>
                            <a:avLst/>
                            <a:gdLst/>
                            <a:ahLst/>
                            <a:cxnLst/>
                            <a:rect l="l" t="t" r="r" b="b"/>
                            <a:pathLst>
                              <a:path w="310515">
                                <a:moveTo>
                                  <a:pt x="0" y="0"/>
                                </a:moveTo>
                                <a:lnTo>
                                  <a:pt x="196522" y="0"/>
                                </a:lnTo>
                              </a:path>
                              <a:path w="310515">
                                <a:moveTo>
                                  <a:pt x="250788" y="0"/>
                                </a:moveTo>
                                <a:lnTo>
                                  <a:pt x="310094" y="0"/>
                                </a:lnTo>
                              </a:path>
                            </a:pathLst>
                          </a:custGeom>
                          <a:ln w="9302">
                            <a:solidFill>
                              <a:srgbClr val="000000"/>
                            </a:solidFill>
                            <a:prstDash val="solid"/>
                          </a:ln>
                        </wps:spPr>
                        <wps:bodyPr wrap="square" lIns="0" tIns="0" rIns="0" bIns="0" rtlCol="0">
                          <a:prstTxWarp prst="textNoShape">
                            <a:avLst/>
                          </a:prstTxWarp>
                          <a:noAutofit/>
                        </wps:bodyPr>
                      </wps:wsp>
                      <wps:wsp>
                        <wps:cNvPr id="602" name="Graphic 602"/>
                        <wps:cNvSpPr/>
                        <wps:spPr>
                          <a:xfrm>
                            <a:off x="196522" y="0"/>
                            <a:ext cx="54610" cy="65405"/>
                          </a:xfrm>
                          <a:custGeom>
                            <a:avLst/>
                            <a:gdLst/>
                            <a:ahLst/>
                            <a:cxnLst/>
                            <a:rect l="l" t="t" r="r" b="b"/>
                            <a:pathLst>
                              <a:path w="54610" h="65405">
                                <a:moveTo>
                                  <a:pt x="54266" y="65120"/>
                                </a:moveTo>
                                <a:lnTo>
                                  <a:pt x="0" y="65120"/>
                                </a:lnTo>
                                <a:lnTo>
                                  <a:pt x="0" y="0"/>
                                </a:lnTo>
                                <a:lnTo>
                                  <a:pt x="54266" y="0"/>
                                </a:lnTo>
                                <a:lnTo>
                                  <a:pt x="54266" y="65120"/>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3F69F611" id="Group 600" o:spid="_x0000_s1026" style="width:24.45pt;height:5.15pt;mso-position-horizontal-relative:char;mso-position-vertical-relative:line" coordsize="310515,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">
                <v:shape id="Graphic 601" o:spid="_x0000_s1027" style="position:absolute;top:27907;width:310515;height:1270;visibility:visible;mso-wrap-style:square;v-text-anchor:top" coordsize="310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" path="m,l196522,em250788,r59306,e" filled="f" strokeweight=".25839mm">
                  <v:path arrowok="t"/>
                </v:shape>
                <v:shape id="Graphic 602" o:spid="_x0000_s1028" style="position:absolute;left:196522;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" path="m54266,65120l,65120,,,54266,r,65120xe" fillcolor="#0000c0" stroked="f">
                  <v:path arrowok="t"/>
                </v:shape>
                <w10:anchorlock/>
              </v:group>
            </w:pict>
          </mc:Fallback>
        </mc:AlternateContent>
      </w:r>
    </w:p>
    <w:p w14:paraId="7ABD585F" w14:textId="77777777" w:rsidR="00E05B98" w:rsidRPr="003C6DAE" w:rsidRDefault="00B01E0C">
      <w:pPr>
        <w:pStyle w:val="a3"/>
        <w:spacing w:before="3"/>
        <w:rPr>
          <w:rFonts w:ascii="Trebuchet MS"/>
          <w:sz w:val="9"/>
          <w:lang w:val="uk-UA"/>
        </w:rPr>
      </w:pPr>
      <w:r w:rsidRPr="003C6DAE">
        <w:rPr>
          <w:rFonts w:ascii="Trebuchet MS"/>
          <w:noProof/>
          <w:sz w:val="9"/>
          <w:lang w:val="uk-UA"/>
        </w:rPr>
        <mc:AlternateContent>
          <mc:Choice Requires="wpg">
            <w:drawing>
              <wp:anchor distT="0" distB="0" distL="0" distR="0" simplePos="0" relativeHeight="487712768" behindDoc="1" locked="0" layoutInCell="1" allowOverlap="1" wp14:anchorId="2ED39D67" wp14:editId="39117A7B">
                <wp:simplePos x="0" y="0"/>
                <wp:positionH relativeFrom="page">
                  <wp:posOffset>5236274</wp:posOffset>
                </wp:positionH>
                <wp:positionV relativeFrom="paragraph">
                  <wp:posOffset>84074</wp:posOffset>
                </wp:positionV>
                <wp:extent cx="309880" cy="65405"/>
                <wp:effectExtent l="0" t="0" r="0" b="0"/>
                <wp:wrapTopAndBottom/>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880" cy="65405"/>
                          <a:chOff x="0" y="0"/>
                          <a:chExt cx="309880" cy="65405"/>
                        </a:xfrm>
                      </wpg:grpSpPr>
                      <wps:wsp>
                        <wps:cNvPr id="604" name="Graphic 604"/>
                        <wps:cNvSpPr/>
                        <wps:spPr>
                          <a:xfrm>
                            <a:off x="0" y="27908"/>
                            <a:ext cx="309880" cy="1270"/>
                          </a:xfrm>
                          <a:custGeom>
                            <a:avLst/>
                            <a:gdLst/>
                            <a:ahLst/>
                            <a:cxnLst/>
                            <a:rect l="l" t="t" r="r" b="b"/>
                            <a:pathLst>
                              <a:path w="309880">
                                <a:moveTo>
                                  <a:pt x="0" y="0"/>
                                </a:moveTo>
                                <a:lnTo>
                                  <a:pt x="182179" y="0"/>
                                </a:lnTo>
                              </a:path>
                              <a:path w="309880">
                                <a:moveTo>
                                  <a:pt x="236446" y="0"/>
                                </a:moveTo>
                                <a:lnTo>
                                  <a:pt x="309706" y="0"/>
                                </a:lnTo>
                              </a:path>
                            </a:pathLst>
                          </a:custGeom>
                          <a:ln w="9302">
                            <a:solidFill>
                              <a:srgbClr val="000000"/>
                            </a:solidFill>
                            <a:prstDash val="solid"/>
                          </a:ln>
                        </wps:spPr>
                        <wps:bodyPr wrap="square" lIns="0" tIns="0" rIns="0" bIns="0" rtlCol="0">
                          <a:prstTxWarp prst="textNoShape">
                            <a:avLst/>
                          </a:prstTxWarp>
                          <a:noAutofit/>
                        </wps:bodyPr>
                      </wps:wsp>
                      <wps:wsp>
                        <wps:cNvPr id="605" name="Graphic 605"/>
                        <wps:cNvSpPr/>
                        <wps:spPr>
                          <a:xfrm>
                            <a:off x="182179" y="0"/>
                            <a:ext cx="54610" cy="65405"/>
                          </a:xfrm>
                          <a:custGeom>
                            <a:avLst/>
                            <a:gdLst/>
                            <a:ahLst/>
                            <a:cxnLst/>
                            <a:rect l="l" t="t" r="r" b="b"/>
                            <a:pathLst>
                              <a:path w="54610" h="65405">
                                <a:moveTo>
                                  <a:pt x="54266" y="65120"/>
                                </a:moveTo>
                                <a:lnTo>
                                  <a:pt x="0" y="65120"/>
                                </a:lnTo>
                                <a:lnTo>
                                  <a:pt x="0" y="0"/>
                                </a:lnTo>
                                <a:lnTo>
                                  <a:pt x="54266" y="0"/>
                                </a:lnTo>
                                <a:lnTo>
                                  <a:pt x="54266" y="6512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9915A82" id="Group 603" o:spid="_x0000_s1026" style="position:absolute;margin-left:412.3pt;margin-top:6.6pt;width:24.4pt;height:5.15pt;z-index:-15603712;mso-wrap-distance-left:0;mso-wrap-distance-right:0;mso-position-horizontal-relative:page" coordsize="30988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">
                <v:shape id="Graphic 604" o:spid="_x0000_s1027" style="position:absolute;top:27908;width:309880;height:1270;visibility:visible;mso-wrap-style:square;v-text-anchor:top" coordsize="309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" path="m,l182179,em236446,r73260,e" filled="f" strokeweight=".25839mm">
                  <v:path arrowok="t"/>
                </v:shape>
                <v:shape id="Graphic 605" o:spid="_x0000_s1028" style="position:absolute;left:182179;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" path="m54266,65120l,65120,,,54266,r,65120xe" fillcolor="#0000c0" stroked="f">
                  <v:path arrowok="t"/>
                </v:shape>
                <w10:wrap type="topAndBottom" anchorx="page"/>
              </v:group>
            </w:pict>
          </mc:Fallback>
        </mc:AlternateContent>
      </w:r>
      <w:r w:rsidRPr="003C6DAE">
        <w:rPr>
          <w:rFonts w:ascii="Trebuchet MS"/>
          <w:noProof/>
          <w:sz w:val="9"/>
          <w:lang w:val="uk-UA"/>
        </w:rPr>
        <mc:AlternateContent>
          <mc:Choice Requires="wpg">
            <w:drawing>
              <wp:anchor distT="0" distB="0" distL="0" distR="0" simplePos="0" relativeHeight="487713280" behindDoc="1" locked="0" layoutInCell="1" allowOverlap="1" wp14:anchorId="4765551E" wp14:editId="6E94888A">
                <wp:simplePos x="0" y="0"/>
                <wp:positionH relativeFrom="page">
                  <wp:posOffset>5016106</wp:posOffset>
                </wp:positionH>
                <wp:positionV relativeFrom="paragraph">
                  <wp:posOffset>232920</wp:posOffset>
                </wp:positionV>
                <wp:extent cx="532765" cy="65405"/>
                <wp:effectExtent l="0" t="0" r="0" b="0"/>
                <wp:wrapTopAndBottom/>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765" cy="65405"/>
                          <a:chOff x="0" y="0"/>
                          <a:chExt cx="532765" cy="65405"/>
                        </a:xfrm>
                      </wpg:grpSpPr>
                      <wps:wsp>
                        <wps:cNvPr id="607" name="Graphic 607"/>
                        <wps:cNvSpPr/>
                        <wps:spPr>
                          <a:xfrm>
                            <a:off x="0" y="27907"/>
                            <a:ext cx="532765" cy="1270"/>
                          </a:xfrm>
                          <a:custGeom>
                            <a:avLst/>
                            <a:gdLst/>
                            <a:ahLst/>
                            <a:cxnLst/>
                            <a:rect l="l" t="t" r="r" b="b"/>
                            <a:pathLst>
                              <a:path w="532765">
                                <a:moveTo>
                                  <a:pt x="0" y="0"/>
                                </a:moveTo>
                                <a:lnTo>
                                  <a:pt x="328312" y="0"/>
                                </a:lnTo>
                              </a:path>
                              <a:path w="532765">
                                <a:moveTo>
                                  <a:pt x="382578" y="0"/>
                                </a:moveTo>
                                <a:lnTo>
                                  <a:pt x="532199" y="0"/>
                                </a:lnTo>
                              </a:path>
                            </a:pathLst>
                          </a:custGeom>
                          <a:ln w="9302">
                            <a:solidFill>
                              <a:srgbClr val="000000"/>
                            </a:solidFill>
                            <a:prstDash val="solid"/>
                          </a:ln>
                        </wps:spPr>
                        <wps:bodyPr wrap="square" lIns="0" tIns="0" rIns="0" bIns="0" rtlCol="0">
                          <a:prstTxWarp prst="textNoShape">
                            <a:avLst/>
                          </a:prstTxWarp>
                          <a:noAutofit/>
                        </wps:bodyPr>
                      </wps:wsp>
                      <wps:wsp>
                        <wps:cNvPr id="608" name="Graphic 608"/>
                        <wps:cNvSpPr/>
                        <wps:spPr>
                          <a:xfrm>
                            <a:off x="328312" y="0"/>
                            <a:ext cx="54610" cy="65405"/>
                          </a:xfrm>
                          <a:custGeom>
                            <a:avLst/>
                            <a:gdLst/>
                            <a:ahLst/>
                            <a:cxnLst/>
                            <a:rect l="l" t="t" r="r" b="b"/>
                            <a:pathLst>
                              <a:path w="54610" h="65405">
                                <a:moveTo>
                                  <a:pt x="54266" y="65118"/>
                                </a:moveTo>
                                <a:lnTo>
                                  <a:pt x="0" y="65118"/>
                                </a:lnTo>
                                <a:lnTo>
                                  <a:pt x="0" y="0"/>
                                </a:lnTo>
                                <a:lnTo>
                                  <a:pt x="54266" y="0"/>
                                </a:lnTo>
                                <a:lnTo>
                                  <a:pt x="54266" y="6511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A3694D6" id="Group 606" o:spid="_x0000_s1026" style="position:absolute;margin-left:394.95pt;margin-top:18.35pt;width:41.95pt;height:5.15pt;z-index:-15603200;mso-wrap-distance-left:0;mso-wrap-distance-right:0;mso-position-horizontal-relative:page" coordsize="532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">
                <v:shape id="Graphic 607" o:spid="_x0000_s1027" style="position:absolute;top:279;width:5327;height:12;visibility:visible;mso-wrap-style:square;v-text-anchor:top" coordsize="532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" path="m,l328312,em382578,l532199,e" filled="f" strokeweight=".25839mm">
                  <v:path arrowok="t"/>
                </v:shape>
                <v:shape id="Graphic 608" o:spid="_x0000_s1028" style="position:absolute;left:3283;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" path="m54266,65118l,65118,,,54266,r,65118xe" fillcolor="#0000c0" stroked="f">
                  <v:path arrowok="t"/>
                </v:shape>
                <w10:wrap type="topAndBottom" anchorx="page"/>
              </v:group>
            </w:pict>
          </mc:Fallback>
        </mc:AlternateContent>
      </w:r>
      <w:r w:rsidRPr="003C6DAE">
        <w:rPr>
          <w:rFonts w:ascii="Trebuchet MS"/>
          <w:noProof/>
          <w:sz w:val="9"/>
          <w:lang w:val="uk-UA"/>
        </w:rPr>
        <mc:AlternateContent>
          <mc:Choice Requires="wpg">
            <w:drawing>
              <wp:anchor distT="0" distB="0" distL="0" distR="0" simplePos="0" relativeHeight="487713792" behindDoc="1" locked="0" layoutInCell="1" allowOverlap="1" wp14:anchorId="4BCE653B" wp14:editId="5346F764">
                <wp:simplePos x="0" y="0"/>
                <wp:positionH relativeFrom="page">
                  <wp:posOffset>5064170</wp:posOffset>
                </wp:positionH>
                <wp:positionV relativeFrom="paragraph">
                  <wp:posOffset>381765</wp:posOffset>
                </wp:positionV>
                <wp:extent cx="381635" cy="65405"/>
                <wp:effectExtent l="0" t="0" r="0" b="0"/>
                <wp:wrapTopAndBottom/>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635" cy="65405"/>
                          <a:chOff x="0" y="0"/>
                          <a:chExt cx="381635" cy="65405"/>
                        </a:xfrm>
                      </wpg:grpSpPr>
                      <wps:wsp>
                        <wps:cNvPr id="610" name="Graphic 610"/>
                        <wps:cNvSpPr/>
                        <wps:spPr>
                          <a:xfrm>
                            <a:off x="0" y="27908"/>
                            <a:ext cx="381635" cy="1270"/>
                          </a:xfrm>
                          <a:custGeom>
                            <a:avLst/>
                            <a:gdLst/>
                            <a:ahLst/>
                            <a:cxnLst/>
                            <a:rect l="l" t="t" r="r" b="b"/>
                            <a:pathLst>
                              <a:path w="381635">
                                <a:moveTo>
                                  <a:pt x="0" y="0"/>
                                </a:moveTo>
                                <a:lnTo>
                                  <a:pt x="191095" y="0"/>
                                </a:lnTo>
                              </a:path>
                              <a:path w="381635">
                                <a:moveTo>
                                  <a:pt x="245362" y="0"/>
                                </a:moveTo>
                                <a:lnTo>
                                  <a:pt x="381416" y="0"/>
                                </a:lnTo>
                              </a:path>
                            </a:pathLst>
                          </a:custGeom>
                          <a:ln w="9302">
                            <a:solidFill>
                              <a:srgbClr val="000000"/>
                            </a:solidFill>
                            <a:prstDash val="solid"/>
                          </a:ln>
                        </wps:spPr>
                        <wps:bodyPr wrap="square" lIns="0" tIns="0" rIns="0" bIns="0" rtlCol="0">
                          <a:prstTxWarp prst="textNoShape">
                            <a:avLst/>
                          </a:prstTxWarp>
                          <a:noAutofit/>
                        </wps:bodyPr>
                      </wps:wsp>
                      <wps:wsp>
                        <wps:cNvPr id="611" name="Graphic 611"/>
                        <wps:cNvSpPr/>
                        <wps:spPr>
                          <a:xfrm>
                            <a:off x="191095" y="0"/>
                            <a:ext cx="54610" cy="65405"/>
                          </a:xfrm>
                          <a:custGeom>
                            <a:avLst/>
                            <a:gdLst/>
                            <a:ahLst/>
                            <a:cxnLst/>
                            <a:rect l="l" t="t" r="r" b="b"/>
                            <a:pathLst>
                              <a:path w="54610" h="65405">
                                <a:moveTo>
                                  <a:pt x="54266" y="65120"/>
                                </a:moveTo>
                                <a:lnTo>
                                  <a:pt x="0" y="65120"/>
                                </a:lnTo>
                                <a:lnTo>
                                  <a:pt x="0" y="0"/>
                                </a:lnTo>
                                <a:lnTo>
                                  <a:pt x="54266" y="0"/>
                                </a:lnTo>
                                <a:lnTo>
                                  <a:pt x="54266" y="6512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2DAB47B" id="Group 609" o:spid="_x0000_s1026" style="position:absolute;margin-left:398.75pt;margin-top:30.05pt;width:30.05pt;height:5.15pt;z-index:-15602688;mso-wrap-distance-left:0;mso-wrap-distance-right:0;mso-position-horizontal-relative:page" coordsize="381635,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">
                <v:shape id="Graphic 610" o:spid="_x0000_s1027" style="position:absolute;top:27908;width:381635;height:1270;visibility:visible;mso-wrap-style:square;v-text-anchor:top" coordsize="381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" path="m,l191095,em245362,l381416,e" filled="f" strokeweight=".25839mm">
                  <v:path arrowok="t"/>
                </v:shape>
                <v:shape id="Graphic 611" o:spid="_x0000_s1028" style="position:absolute;left:191095;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" path="m54266,65120l,65120,,,54266,r,65120xe" fillcolor="#0000c0" stroked="f">
                  <v:path arrowok="t"/>
                </v:shape>
                <w10:wrap type="topAndBottom" anchorx="page"/>
              </v:group>
            </w:pict>
          </mc:Fallback>
        </mc:AlternateContent>
      </w:r>
    </w:p>
    <w:p w14:paraId="4CF421AF" w14:textId="77777777" w:rsidR="00E05B98" w:rsidRPr="003C6DAE" w:rsidRDefault="00E05B98">
      <w:pPr>
        <w:pStyle w:val="a3"/>
        <w:spacing w:before="3"/>
        <w:rPr>
          <w:rFonts w:ascii="Trebuchet MS"/>
          <w:sz w:val="9"/>
          <w:lang w:val="uk-UA"/>
        </w:rPr>
      </w:pPr>
    </w:p>
    <w:p w14:paraId="4CBD0313" w14:textId="77777777" w:rsidR="00E05B98" w:rsidRPr="003C6DAE" w:rsidRDefault="00E05B98">
      <w:pPr>
        <w:pStyle w:val="a3"/>
        <w:spacing w:before="3"/>
        <w:rPr>
          <w:rFonts w:ascii="Trebuchet MS"/>
          <w:sz w:val="9"/>
          <w:lang w:val="uk-UA"/>
        </w:rPr>
      </w:pPr>
    </w:p>
    <w:p w14:paraId="0A2BDB34" w14:textId="77777777" w:rsidR="00E05B98" w:rsidRPr="003C6DAE" w:rsidRDefault="00E05B98">
      <w:pPr>
        <w:pStyle w:val="a3"/>
        <w:spacing w:before="4"/>
        <w:rPr>
          <w:rFonts w:ascii="Trebuchet MS"/>
          <w:sz w:val="11"/>
          <w:lang w:val="uk-UA"/>
        </w:rPr>
      </w:pPr>
    </w:p>
    <w:p w14:paraId="4F851190" w14:textId="77777777" w:rsidR="00E05B98" w:rsidRPr="003C6DAE" w:rsidRDefault="00B01E0C">
      <w:pPr>
        <w:pStyle w:val="a3"/>
        <w:spacing w:line="226" w:lineRule="exact"/>
        <w:ind w:left="-7" w:right="-72"/>
        <w:rPr>
          <w:rFonts w:ascii="Trebuchet MS"/>
          <w:position w:val="-4"/>
          <w:sz w:val="20"/>
          <w:lang w:val="uk-UA"/>
        </w:rPr>
      </w:pPr>
      <w:r w:rsidRPr="003C6DAE">
        <w:rPr>
          <w:rFonts w:ascii="Trebuchet MS"/>
          <w:noProof/>
          <w:position w:val="-4"/>
          <w:sz w:val="20"/>
          <w:lang w:val="uk-UA"/>
        </w:rPr>
        <mc:AlternateContent>
          <mc:Choice Requires="wpg">
            <w:drawing>
              <wp:inline distT="0" distB="0" distL="0" distR="0" wp14:anchorId="6A1F31A3" wp14:editId="49C0170D">
                <wp:extent cx="930275" cy="139700"/>
                <wp:effectExtent l="9525" t="0" r="0" b="12700"/>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275" cy="139700"/>
                          <a:chOff x="0" y="0"/>
                          <a:chExt cx="930275" cy="139700"/>
                        </a:xfrm>
                      </wpg:grpSpPr>
                      <wps:wsp>
                        <wps:cNvPr id="613" name="Graphic 613"/>
                        <wps:cNvSpPr/>
                        <wps:spPr>
                          <a:xfrm>
                            <a:off x="15505" y="27908"/>
                            <a:ext cx="906780" cy="1270"/>
                          </a:xfrm>
                          <a:custGeom>
                            <a:avLst/>
                            <a:gdLst/>
                            <a:ahLst/>
                            <a:cxnLst/>
                            <a:rect l="l" t="t" r="r" b="b"/>
                            <a:pathLst>
                              <a:path w="906780">
                                <a:moveTo>
                                  <a:pt x="0" y="0"/>
                                </a:moveTo>
                                <a:lnTo>
                                  <a:pt x="430255" y="0"/>
                                </a:lnTo>
                              </a:path>
                              <a:path w="906780">
                                <a:moveTo>
                                  <a:pt x="484522" y="0"/>
                                </a:moveTo>
                                <a:lnTo>
                                  <a:pt x="906638" y="0"/>
                                </a:lnTo>
                              </a:path>
                            </a:pathLst>
                          </a:custGeom>
                          <a:ln w="9302">
                            <a:solidFill>
                              <a:srgbClr val="000000"/>
                            </a:solidFill>
                            <a:prstDash val="solid"/>
                          </a:ln>
                        </wps:spPr>
                        <wps:bodyPr wrap="square" lIns="0" tIns="0" rIns="0" bIns="0" rtlCol="0">
                          <a:prstTxWarp prst="textNoShape">
                            <a:avLst/>
                          </a:prstTxWarp>
                          <a:noAutofit/>
                        </wps:bodyPr>
                      </wps:wsp>
                      <wps:wsp>
                        <wps:cNvPr id="614" name="Graphic 614"/>
                        <wps:cNvSpPr/>
                        <wps:spPr>
                          <a:xfrm>
                            <a:off x="445761" y="0"/>
                            <a:ext cx="54610" cy="65405"/>
                          </a:xfrm>
                          <a:custGeom>
                            <a:avLst/>
                            <a:gdLst/>
                            <a:ahLst/>
                            <a:cxnLst/>
                            <a:rect l="l" t="t" r="r" b="b"/>
                            <a:pathLst>
                              <a:path w="54610" h="65405">
                                <a:moveTo>
                                  <a:pt x="54266" y="65120"/>
                                </a:moveTo>
                                <a:lnTo>
                                  <a:pt x="0" y="65120"/>
                                </a:lnTo>
                                <a:lnTo>
                                  <a:pt x="0" y="0"/>
                                </a:lnTo>
                                <a:lnTo>
                                  <a:pt x="54266" y="0"/>
                                </a:lnTo>
                                <a:lnTo>
                                  <a:pt x="54266" y="65120"/>
                                </a:lnTo>
                                <a:close/>
                              </a:path>
                            </a:pathLst>
                          </a:custGeom>
                          <a:solidFill>
                            <a:srgbClr val="0000C0"/>
                          </a:solidFill>
                        </wps:spPr>
                        <wps:bodyPr wrap="square" lIns="0" tIns="0" rIns="0" bIns="0" rtlCol="0">
                          <a:prstTxWarp prst="textNoShape">
                            <a:avLst/>
                          </a:prstTxWarp>
                          <a:noAutofit/>
                        </wps:bodyPr>
                      </wps:wsp>
                      <wps:wsp>
                        <wps:cNvPr id="615" name="Graphic 615"/>
                        <wps:cNvSpPr/>
                        <wps:spPr>
                          <a:xfrm>
                            <a:off x="3876" y="102331"/>
                            <a:ext cx="922655" cy="1270"/>
                          </a:xfrm>
                          <a:custGeom>
                            <a:avLst/>
                            <a:gdLst/>
                            <a:ahLst/>
                            <a:cxnLst/>
                            <a:rect l="l" t="t" r="r" b="b"/>
                            <a:pathLst>
                              <a:path w="922655">
                                <a:moveTo>
                                  <a:pt x="0" y="0"/>
                                </a:moveTo>
                                <a:lnTo>
                                  <a:pt x="922530" y="0"/>
                                </a:lnTo>
                              </a:path>
                            </a:pathLst>
                          </a:custGeom>
                          <a:ln w="9302">
                            <a:solidFill>
                              <a:srgbClr val="000000"/>
                            </a:solidFill>
                            <a:prstDash val="solid"/>
                          </a:ln>
                        </wps:spPr>
                        <wps:bodyPr wrap="square" lIns="0" tIns="0" rIns="0" bIns="0" rtlCol="0">
                          <a:prstTxWarp prst="textNoShape">
                            <a:avLst/>
                          </a:prstTxWarp>
                          <a:noAutofit/>
                        </wps:bodyPr>
                      </wps:wsp>
                      <wps:wsp>
                        <wps:cNvPr id="616" name="Graphic 616"/>
                        <wps:cNvSpPr/>
                        <wps:spPr>
                          <a:xfrm>
                            <a:off x="3876" y="65120"/>
                            <a:ext cx="1270" cy="74930"/>
                          </a:xfrm>
                          <a:custGeom>
                            <a:avLst/>
                            <a:gdLst/>
                            <a:ahLst/>
                            <a:cxnLst/>
                            <a:rect l="l" t="t" r="r" b="b"/>
                            <a:pathLst>
                              <a:path h="74930">
                                <a:moveTo>
                                  <a:pt x="0" y="0"/>
                                </a:moveTo>
                                <a:lnTo>
                                  <a:pt x="0" y="74422"/>
                                </a:lnTo>
                              </a:path>
                            </a:pathLst>
                          </a:custGeom>
                          <a:ln w="7752">
                            <a:solidFill>
                              <a:srgbClr val="000000"/>
                            </a:solidFill>
                            <a:prstDash val="solid"/>
                          </a:ln>
                        </wps:spPr>
                        <wps:bodyPr wrap="square" lIns="0" tIns="0" rIns="0" bIns="0" rtlCol="0">
                          <a:prstTxWarp prst="textNoShape">
                            <a:avLst/>
                          </a:prstTxWarp>
                          <a:noAutofit/>
                        </wps:bodyPr>
                      </wps:wsp>
                      <wps:wsp>
                        <wps:cNvPr id="617" name="Graphic 617"/>
                        <wps:cNvSpPr/>
                        <wps:spPr>
                          <a:xfrm>
                            <a:off x="188381" y="65120"/>
                            <a:ext cx="1270" cy="74930"/>
                          </a:xfrm>
                          <a:custGeom>
                            <a:avLst/>
                            <a:gdLst/>
                            <a:ahLst/>
                            <a:cxnLst/>
                            <a:rect l="l" t="t" r="r" b="b"/>
                            <a:pathLst>
                              <a:path h="74930">
                                <a:moveTo>
                                  <a:pt x="0" y="0"/>
                                </a:moveTo>
                                <a:lnTo>
                                  <a:pt x="0" y="74422"/>
                                </a:lnTo>
                              </a:path>
                            </a:pathLst>
                          </a:custGeom>
                          <a:ln w="7752">
                            <a:solidFill>
                              <a:srgbClr val="000000"/>
                            </a:solidFill>
                            <a:prstDash val="solid"/>
                          </a:ln>
                        </wps:spPr>
                        <wps:bodyPr wrap="square" lIns="0" tIns="0" rIns="0" bIns="0" rtlCol="0">
                          <a:prstTxWarp prst="textNoShape">
                            <a:avLst/>
                          </a:prstTxWarp>
                          <a:noAutofit/>
                        </wps:bodyPr>
                      </wps:wsp>
                      <wps:wsp>
                        <wps:cNvPr id="618" name="Graphic 618"/>
                        <wps:cNvSpPr/>
                        <wps:spPr>
                          <a:xfrm>
                            <a:off x="372886" y="65120"/>
                            <a:ext cx="1270" cy="74930"/>
                          </a:xfrm>
                          <a:custGeom>
                            <a:avLst/>
                            <a:gdLst/>
                            <a:ahLst/>
                            <a:cxnLst/>
                            <a:rect l="l" t="t" r="r" b="b"/>
                            <a:pathLst>
                              <a:path h="74930">
                                <a:moveTo>
                                  <a:pt x="0" y="0"/>
                                </a:moveTo>
                                <a:lnTo>
                                  <a:pt x="0" y="74422"/>
                                </a:lnTo>
                              </a:path>
                            </a:pathLst>
                          </a:custGeom>
                          <a:ln w="7752">
                            <a:solidFill>
                              <a:srgbClr val="000000"/>
                            </a:solidFill>
                            <a:prstDash val="solid"/>
                          </a:ln>
                        </wps:spPr>
                        <wps:bodyPr wrap="square" lIns="0" tIns="0" rIns="0" bIns="0" rtlCol="0">
                          <a:prstTxWarp prst="textNoShape">
                            <a:avLst/>
                          </a:prstTxWarp>
                          <a:noAutofit/>
                        </wps:bodyPr>
                      </wps:wsp>
                      <wps:wsp>
                        <wps:cNvPr id="619" name="Graphic 619"/>
                        <wps:cNvSpPr/>
                        <wps:spPr>
                          <a:xfrm>
                            <a:off x="557004" y="65120"/>
                            <a:ext cx="1270" cy="74930"/>
                          </a:xfrm>
                          <a:custGeom>
                            <a:avLst/>
                            <a:gdLst/>
                            <a:ahLst/>
                            <a:cxnLst/>
                            <a:rect l="l" t="t" r="r" b="b"/>
                            <a:pathLst>
                              <a:path h="74930">
                                <a:moveTo>
                                  <a:pt x="0" y="0"/>
                                </a:moveTo>
                                <a:lnTo>
                                  <a:pt x="0" y="74422"/>
                                </a:lnTo>
                              </a:path>
                            </a:pathLst>
                          </a:custGeom>
                          <a:ln w="7752">
                            <a:solidFill>
                              <a:srgbClr val="000000"/>
                            </a:solidFill>
                            <a:prstDash val="solid"/>
                          </a:ln>
                        </wps:spPr>
                        <wps:bodyPr wrap="square" lIns="0" tIns="0" rIns="0" bIns="0" rtlCol="0">
                          <a:prstTxWarp prst="textNoShape">
                            <a:avLst/>
                          </a:prstTxWarp>
                          <a:noAutofit/>
                        </wps:bodyPr>
                      </wps:wsp>
                      <wps:wsp>
                        <wps:cNvPr id="620" name="Graphic 620"/>
                        <wps:cNvSpPr/>
                        <wps:spPr>
                          <a:xfrm>
                            <a:off x="741898" y="65120"/>
                            <a:ext cx="1270" cy="74930"/>
                          </a:xfrm>
                          <a:custGeom>
                            <a:avLst/>
                            <a:gdLst/>
                            <a:ahLst/>
                            <a:cxnLst/>
                            <a:rect l="l" t="t" r="r" b="b"/>
                            <a:pathLst>
                              <a:path h="74930">
                                <a:moveTo>
                                  <a:pt x="0" y="0"/>
                                </a:moveTo>
                                <a:lnTo>
                                  <a:pt x="0" y="74422"/>
                                </a:lnTo>
                              </a:path>
                            </a:pathLst>
                          </a:custGeom>
                          <a:ln w="7752">
                            <a:solidFill>
                              <a:srgbClr val="000000"/>
                            </a:solidFill>
                            <a:prstDash val="solid"/>
                          </a:ln>
                        </wps:spPr>
                        <wps:bodyPr wrap="square" lIns="0" tIns="0" rIns="0" bIns="0" rtlCol="0">
                          <a:prstTxWarp prst="textNoShape">
                            <a:avLst/>
                          </a:prstTxWarp>
                          <a:noAutofit/>
                        </wps:bodyPr>
                      </wps:wsp>
                      <wps:wsp>
                        <wps:cNvPr id="621" name="Graphic 621"/>
                        <wps:cNvSpPr/>
                        <wps:spPr>
                          <a:xfrm>
                            <a:off x="926403" y="65120"/>
                            <a:ext cx="1270" cy="74930"/>
                          </a:xfrm>
                          <a:custGeom>
                            <a:avLst/>
                            <a:gdLst/>
                            <a:ahLst/>
                            <a:cxnLst/>
                            <a:rect l="l" t="t" r="r" b="b"/>
                            <a:pathLst>
                              <a:path h="74930">
                                <a:moveTo>
                                  <a:pt x="0" y="0"/>
                                </a:moveTo>
                                <a:lnTo>
                                  <a:pt x="0" y="74422"/>
                                </a:lnTo>
                              </a:path>
                            </a:pathLst>
                          </a:custGeom>
                          <a:ln w="775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6BD80C" id="Group 612" o:spid="_x0000_s1026" style="width:73.25pt;height:11pt;mso-position-horizontal-relative:char;mso-position-vertical-relative:line" coordsize="9302,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">
                <v:shape id="Graphic 613" o:spid="_x0000_s1027" style="position:absolute;left:155;top:279;width:9067;height:12;visibility:visible;mso-wrap-style:square;v-text-anchor:top" coordsize="906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" path="m,l430255,em484522,l906638,e" filled="f" strokeweight=".25839mm">
                  <v:path arrowok="t"/>
                </v:shape>
                <v:shape id="Graphic 614" o:spid="_x0000_s1028" style="position:absolute;left:4457;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" path="m54266,65120l,65120,,,54266,r,65120xe" fillcolor="#0000c0" stroked="f">
                  <v:path arrowok="t"/>
                </v:shape>
                <v:shape id="Graphic 615" o:spid="_x0000_s1029" style="position:absolute;left:38;top:1023;width:9227;height:13;visibility:visible;mso-wrap-style:square;v-text-anchor:top" coordsize="922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" path="m,l922530,e" filled="f" strokeweight=".25839mm">
                  <v:path arrowok="t"/>
                </v:shape>
                <v:shape id="Graphic 616" o:spid="_x0000_s1030" style="position:absolute;left:38;top:651;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" path="m,l,74422e" filled="f" strokeweight=".21533mm">
                  <v:path arrowok="t"/>
                </v:shape>
                <v:shape id="Graphic 617" o:spid="_x0000_s1031" style="position:absolute;left:1883;top:651;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" path="m,l,74422e" filled="f" strokeweight=".21533mm">
                  <v:path arrowok="t"/>
                </v:shape>
                <v:shape id="Graphic 618" o:spid="_x0000_s1032" style="position:absolute;left:3728;top:651;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" path="m,l,74422e" filled="f" strokeweight=".21533mm">
                  <v:path arrowok="t"/>
                </v:shape>
                <v:shape id="Graphic 619" o:spid="_x0000_s1033" style="position:absolute;left:5570;top:651;width:12;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" path="m,l,74422e" filled="f" strokeweight=".21533mm">
                  <v:path arrowok="t"/>
                </v:shape>
                <v:shape id="Graphic 620" o:spid="_x0000_s1034" style="position:absolute;left:7418;top:651;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" path="m,l,74422e" filled="f" strokeweight=".21533mm">
                  <v:path arrowok="t"/>
                </v:shape>
                <v:shape id="Graphic 621" o:spid="_x0000_s1035" style="position:absolute;left:9264;top:651;width:12;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" path="m,l,74422e" filled="f" strokeweight=".21533mm">
                  <v:path arrowok="t"/>
                </v:shape>
                <w10:anchorlock/>
              </v:group>
            </w:pict>
          </mc:Fallback>
        </mc:AlternateContent>
      </w:r>
    </w:p>
    <w:p w14:paraId="3EFF9994" w14:textId="77777777" w:rsidR="00E05B98" w:rsidRPr="003C6DAE" w:rsidRDefault="00B01E0C">
      <w:pPr>
        <w:ind w:left="1"/>
        <w:rPr>
          <w:rFonts w:ascii="Trebuchet MS"/>
          <w:sz w:val="17"/>
          <w:lang w:val="uk-UA"/>
        </w:rPr>
      </w:pPr>
      <w:r w:rsidRPr="003C6DAE">
        <w:rPr>
          <w:rFonts w:ascii="Trebuchet MS"/>
          <w:noProof/>
          <w:sz w:val="17"/>
          <w:lang w:val="uk-UA"/>
        </w:rPr>
        <mc:AlternateContent>
          <mc:Choice Requires="wpg">
            <w:drawing>
              <wp:anchor distT="0" distB="0" distL="0" distR="0" simplePos="0" relativeHeight="15862272" behindDoc="0" locked="0" layoutInCell="1" allowOverlap="1" wp14:anchorId="69412995" wp14:editId="7ECC56CC">
                <wp:simplePos x="0" y="0"/>
                <wp:positionH relativeFrom="page">
                  <wp:posOffset>4916105</wp:posOffset>
                </wp:positionH>
                <wp:positionV relativeFrom="paragraph">
                  <wp:posOffset>-1334271</wp:posOffset>
                </wp:positionV>
                <wp:extent cx="689610" cy="65405"/>
                <wp:effectExtent l="0" t="0" r="0" b="0"/>
                <wp:wrapNone/>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 cy="65405"/>
                          <a:chOff x="0" y="0"/>
                          <a:chExt cx="689610" cy="65405"/>
                        </a:xfrm>
                      </wpg:grpSpPr>
                      <wps:wsp>
                        <wps:cNvPr id="623" name="Graphic 623"/>
                        <wps:cNvSpPr/>
                        <wps:spPr>
                          <a:xfrm>
                            <a:off x="0" y="27907"/>
                            <a:ext cx="635635" cy="1270"/>
                          </a:xfrm>
                          <a:custGeom>
                            <a:avLst/>
                            <a:gdLst/>
                            <a:ahLst/>
                            <a:cxnLst/>
                            <a:rect l="l" t="t" r="r" b="b"/>
                            <a:pathLst>
                              <a:path w="635635">
                                <a:moveTo>
                                  <a:pt x="0" y="0"/>
                                </a:moveTo>
                                <a:lnTo>
                                  <a:pt x="635305" y="0"/>
                                </a:lnTo>
                              </a:path>
                            </a:pathLst>
                          </a:custGeom>
                          <a:ln w="9302">
                            <a:solidFill>
                              <a:srgbClr val="000000"/>
                            </a:solidFill>
                            <a:prstDash val="solid"/>
                          </a:ln>
                        </wps:spPr>
                        <wps:bodyPr wrap="square" lIns="0" tIns="0" rIns="0" bIns="0" rtlCol="0">
                          <a:prstTxWarp prst="textNoShape">
                            <a:avLst/>
                          </a:prstTxWarp>
                          <a:noAutofit/>
                        </wps:bodyPr>
                      </wps:wsp>
                      <wps:wsp>
                        <wps:cNvPr id="624" name="Graphic 624"/>
                        <wps:cNvSpPr/>
                        <wps:spPr>
                          <a:xfrm>
                            <a:off x="635305" y="0"/>
                            <a:ext cx="54610" cy="65405"/>
                          </a:xfrm>
                          <a:custGeom>
                            <a:avLst/>
                            <a:gdLst/>
                            <a:ahLst/>
                            <a:cxnLst/>
                            <a:rect l="l" t="t" r="r" b="b"/>
                            <a:pathLst>
                              <a:path w="54610" h="65405">
                                <a:moveTo>
                                  <a:pt x="54266" y="65119"/>
                                </a:moveTo>
                                <a:lnTo>
                                  <a:pt x="0" y="65119"/>
                                </a:lnTo>
                                <a:lnTo>
                                  <a:pt x="0" y="0"/>
                                </a:lnTo>
                                <a:lnTo>
                                  <a:pt x="54266" y="0"/>
                                </a:lnTo>
                                <a:lnTo>
                                  <a:pt x="54266" y="65119"/>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53ACEBF" id="Group 622" o:spid="_x0000_s1026" style="position:absolute;margin-left:387.1pt;margin-top:-105.05pt;width:54.3pt;height:5.15pt;z-index:15862272;mso-wrap-distance-left:0;mso-wrap-distance-right:0;mso-position-horizontal-relative:page" coordsize="689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">
                <v:shape id="Graphic 623" o:spid="_x0000_s1027" style="position:absolute;top:279;width:6356;height:12;visibility:visible;mso-wrap-style:square;v-text-anchor:top" coordsize="635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" path="m,l635305,e" filled="f" strokeweight=".25839mm">
                  <v:path arrowok="t"/>
                </v:shape>
                <v:shape id="Graphic 624" o:spid="_x0000_s1028" style="position:absolute;left:6353;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" path="m54266,65119l,65119,,,54266,r,65119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5862784" behindDoc="0" locked="0" layoutInCell="1" allowOverlap="1" wp14:anchorId="0A0F17FD" wp14:editId="002AD6D6">
                <wp:simplePos x="0" y="0"/>
                <wp:positionH relativeFrom="page">
                  <wp:posOffset>5014172</wp:posOffset>
                </wp:positionH>
                <wp:positionV relativeFrom="paragraph">
                  <wp:posOffset>-1185425</wp:posOffset>
                </wp:positionV>
                <wp:extent cx="591820" cy="65405"/>
                <wp:effectExtent l="0" t="0" r="0" b="0"/>
                <wp:wrapNone/>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65405"/>
                          <a:chOff x="0" y="0"/>
                          <a:chExt cx="591820" cy="65405"/>
                        </a:xfrm>
                      </wpg:grpSpPr>
                      <wps:wsp>
                        <wps:cNvPr id="626" name="Graphic 626"/>
                        <wps:cNvSpPr/>
                        <wps:spPr>
                          <a:xfrm>
                            <a:off x="0" y="27907"/>
                            <a:ext cx="537845" cy="1270"/>
                          </a:xfrm>
                          <a:custGeom>
                            <a:avLst/>
                            <a:gdLst/>
                            <a:ahLst/>
                            <a:cxnLst/>
                            <a:rect l="l" t="t" r="r" b="b"/>
                            <a:pathLst>
                              <a:path w="537845">
                                <a:moveTo>
                                  <a:pt x="0" y="0"/>
                                </a:moveTo>
                                <a:lnTo>
                                  <a:pt x="537237" y="0"/>
                                </a:lnTo>
                              </a:path>
                            </a:pathLst>
                          </a:custGeom>
                          <a:ln w="9302">
                            <a:solidFill>
                              <a:srgbClr val="000000"/>
                            </a:solidFill>
                            <a:prstDash val="solid"/>
                          </a:ln>
                        </wps:spPr>
                        <wps:bodyPr wrap="square" lIns="0" tIns="0" rIns="0" bIns="0" rtlCol="0">
                          <a:prstTxWarp prst="textNoShape">
                            <a:avLst/>
                          </a:prstTxWarp>
                          <a:noAutofit/>
                        </wps:bodyPr>
                      </wps:wsp>
                      <wps:wsp>
                        <wps:cNvPr id="627" name="Graphic 627"/>
                        <wps:cNvSpPr/>
                        <wps:spPr>
                          <a:xfrm>
                            <a:off x="537237" y="0"/>
                            <a:ext cx="54610" cy="65405"/>
                          </a:xfrm>
                          <a:custGeom>
                            <a:avLst/>
                            <a:gdLst/>
                            <a:ahLst/>
                            <a:cxnLst/>
                            <a:rect l="l" t="t" r="r" b="b"/>
                            <a:pathLst>
                              <a:path w="54610" h="65405">
                                <a:moveTo>
                                  <a:pt x="54266" y="65118"/>
                                </a:moveTo>
                                <a:lnTo>
                                  <a:pt x="0" y="65118"/>
                                </a:lnTo>
                                <a:lnTo>
                                  <a:pt x="0" y="0"/>
                                </a:lnTo>
                                <a:lnTo>
                                  <a:pt x="54266" y="0"/>
                                </a:lnTo>
                                <a:lnTo>
                                  <a:pt x="54266" y="6511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4C76C19" id="Group 625" o:spid="_x0000_s1026" style="position:absolute;margin-left:394.8pt;margin-top:-93.35pt;width:46.6pt;height:5.15pt;z-index:15862784;mso-wrap-distance-left:0;mso-wrap-distance-right:0;mso-position-horizontal-relative:page" coordsize="5918,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">
                <v:shape id="Graphic 626" o:spid="_x0000_s1027" style="position:absolute;top:279;width:5378;height:12;visibility:visible;mso-wrap-style:square;v-text-anchor:top" coordsize="537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" path="m,l537237,e" filled="f" strokeweight=".25839mm">
                  <v:path arrowok="t"/>
                </v:shape>
                <v:shape id="Graphic 627" o:spid="_x0000_s1028" style="position:absolute;left:5372;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" path="m54266,65118l,65118,,,54266,r,65118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5863296" behindDoc="0" locked="0" layoutInCell="1" allowOverlap="1" wp14:anchorId="32674239" wp14:editId="068073A3">
                <wp:simplePos x="0" y="0"/>
                <wp:positionH relativeFrom="page">
                  <wp:posOffset>5193250</wp:posOffset>
                </wp:positionH>
                <wp:positionV relativeFrom="paragraph">
                  <wp:posOffset>-1036580</wp:posOffset>
                </wp:positionV>
                <wp:extent cx="412750" cy="65405"/>
                <wp:effectExtent l="0" t="0" r="0" b="0"/>
                <wp:wrapNone/>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 cy="65405"/>
                          <a:chOff x="0" y="0"/>
                          <a:chExt cx="412750" cy="65405"/>
                        </a:xfrm>
                      </wpg:grpSpPr>
                      <wps:wsp>
                        <wps:cNvPr id="629" name="Graphic 629"/>
                        <wps:cNvSpPr/>
                        <wps:spPr>
                          <a:xfrm>
                            <a:off x="0" y="27908"/>
                            <a:ext cx="358775" cy="1270"/>
                          </a:xfrm>
                          <a:custGeom>
                            <a:avLst/>
                            <a:gdLst/>
                            <a:ahLst/>
                            <a:cxnLst/>
                            <a:rect l="l" t="t" r="r" b="b"/>
                            <a:pathLst>
                              <a:path w="358775">
                                <a:moveTo>
                                  <a:pt x="0" y="0"/>
                                </a:moveTo>
                                <a:lnTo>
                                  <a:pt x="358158" y="0"/>
                                </a:lnTo>
                              </a:path>
                            </a:pathLst>
                          </a:custGeom>
                          <a:ln w="9302">
                            <a:solidFill>
                              <a:srgbClr val="000000"/>
                            </a:solidFill>
                            <a:prstDash val="solid"/>
                          </a:ln>
                        </wps:spPr>
                        <wps:bodyPr wrap="square" lIns="0" tIns="0" rIns="0" bIns="0" rtlCol="0">
                          <a:prstTxWarp prst="textNoShape">
                            <a:avLst/>
                          </a:prstTxWarp>
                          <a:noAutofit/>
                        </wps:bodyPr>
                      </wps:wsp>
                      <wps:wsp>
                        <wps:cNvPr id="630" name="Graphic 630"/>
                        <wps:cNvSpPr/>
                        <wps:spPr>
                          <a:xfrm>
                            <a:off x="358158" y="0"/>
                            <a:ext cx="54610" cy="65405"/>
                          </a:xfrm>
                          <a:custGeom>
                            <a:avLst/>
                            <a:gdLst/>
                            <a:ahLst/>
                            <a:cxnLst/>
                            <a:rect l="l" t="t" r="r" b="b"/>
                            <a:pathLst>
                              <a:path w="54610" h="65405">
                                <a:moveTo>
                                  <a:pt x="54266" y="65120"/>
                                </a:moveTo>
                                <a:lnTo>
                                  <a:pt x="0" y="65120"/>
                                </a:lnTo>
                                <a:lnTo>
                                  <a:pt x="0" y="0"/>
                                </a:lnTo>
                                <a:lnTo>
                                  <a:pt x="54266" y="0"/>
                                </a:lnTo>
                                <a:lnTo>
                                  <a:pt x="54266" y="6512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8BB335A" id="Group 628" o:spid="_x0000_s1026" style="position:absolute;margin-left:408.9pt;margin-top:-81.6pt;width:32.5pt;height:5.15pt;z-index:15863296;mso-wrap-distance-left:0;mso-wrap-distance-right:0;mso-position-horizontal-relative:page" coordsize="41275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">
                <v:shape id="Graphic 629" o:spid="_x0000_s1027" style="position:absolute;top:27908;width:358775;height:1270;visibility:visible;mso-wrap-style:square;v-text-anchor:top" coordsize="358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" path="m,l358158,e" filled="f" strokeweight=".25839mm">
                  <v:path arrowok="t"/>
                </v:shape>
                <v:shape id="Graphic 630" o:spid="_x0000_s1028" style="position:absolute;left:358158;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" path="m54266,65120l,65120,,,54266,r,65120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5863808" behindDoc="0" locked="0" layoutInCell="1" allowOverlap="1" wp14:anchorId="2C55371E" wp14:editId="08E0E7EC">
                <wp:simplePos x="0" y="0"/>
                <wp:positionH relativeFrom="page">
                  <wp:posOffset>4916103</wp:posOffset>
                </wp:positionH>
                <wp:positionV relativeFrom="paragraph">
                  <wp:posOffset>-887736</wp:posOffset>
                </wp:positionV>
                <wp:extent cx="689610" cy="65405"/>
                <wp:effectExtent l="0" t="0" r="0" b="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 cy="65405"/>
                          <a:chOff x="0" y="0"/>
                          <a:chExt cx="689610" cy="65405"/>
                        </a:xfrm>
                      </wpg:grpSpPr>
                      <wps:wsp>
                        <wps:cNvPr id="632" name="Graphic 632"/>
                        <wps:cNvSpPr/>
                        <wps:spPr>
                          <a:xfrm>
                            <a:off x="0" y="27909"/>
                            <a:ext cx="635635" cy="1270"/>
                          </a:xfrm>
                          <a:custGeom>
                            <a:avLst/>
                            <a:gdLst/>
                            <a:ahLst/>
                            <a:cxnLst/>
                            <a:rect l="l" t="t" r="r" b="b"/>
                            <a:pathLst>
                              <a:path w="635635">
                                <a:moveTo>
                                  <a:pt x="0" y="0"/>
                                </a:moveTo>
                                <a:lnTo>
                                  <a:pt x="635305" y="0"/>
                                </a:lnTo>
                              </a:path>
                            </a:pathLst>
                          </a:custGeom>
                          <a:ln w="9302">
                            <a:solidFill>
                              <a:srgbClr val="000000"/>
                            </a:solidFill>
                            <a:prstDash val="solid"/>
                          </a:ln>
                        </wps:spPr>
                        <wps:bodyPr wrap="square" lIns="0" tIns="0" rIns="0" bIns="0" rtlCol="0">
                          <a:prstTxWarp prst="textNoShape">
                            <a:avLst/>
                          </a:prstTxWarp>
                          <a:noAutofit/>
                        </wps:bodyPr>
                      </wps:wsp>
                      <wps:wsp>
                        <wps:cNvPr id="633" name="Graphic 633"/>
                        <wps:cNvSpPr/>
                        <wps:spPr>
                          <a:xfrm>
                            <a:off x="635305" y="0"/>
                            <a:ext cx="54610" cy="65405"/>
                          </a:xfrm>
                          <a:custGeom>
                            <a:avLst/>
                            <a:gdLst/>
                            <a:ahLst/>
                            <a:cxnLst/>
                            <a:rect l="l" t="t" r="r" b="b"/>
                            <a:pathLst>
                              <a:path w="54610" h="65405">
                                <a:moveTo>
                                  <a:pt x="54266" y="65120"/>
                                </a:moveTo>
                                <a:lnTo>
                                  <a:pt x="0" y="65120"/>
                                </a:lnTo>
                                <a:lnTo>
                                  <a:pt x="0" y="0"/>
                                </a:lnTo>
                                <a:lnTo>
                                  <a:pt x="54266" y="0"/>
                                </a:lnTo>
                                <a:lnTo>
                                  <a:pt x="54266" y="6512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91F4A0E" id="Group 631" o:spid="_x0000_s1026" style="position:absolute;margin-left:387.1pt;margin-top:-69.9pt;width:54.3pt;height:5.15pt;z-index:15863808;mso-wrap-distance-left:0;mso-wrap-distance-right:0;mso-position-horizontal-relative:page" coordsize="689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">
                <v:shape id="Graphic 632" o:spid="_x0000_s1027" style="position:absolute;top:279;width:6356;height:12;visibility:visible;mso-wrap-style:square;v-text-anchor:top" coordsize="635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" path="m,l635305,e" filled="f" strokeweight=".25839mm">
                  <v:path arrowok="t"/>
                </v:shape>
                <v:shape id="Graphic 633" o:spid="_x0000_s1028" style="position:absolute;left:6353;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" path="m54266,65120l,65120,,,54266,r,65120xe" fillcolor="#0000c0" stroked="f">
                  <v:path arrowok="t"/>
                </v:shape>
                <w10:wrap anchorx="page"/>
              </v:group>
            </w:pict>
          </mc:Fallback>
        </mc:AlternateContent>
      </w:r>
      <w:r w:rsidRPr="003C6DAE">
        <w:rPr>
          <w:rFonts w:ascii="Trebuchet MS"/>
          <w:w w:val="85"/>
          <w:sz w:val="17"/>
          <w:lang w:val="uk-UA"/>
        </w:rPr>
        <w:t>0</w:t>
      </w:r>
      <w:r w:rsidRPr="003C6DAE">
        <w:rPr>
          <w:rFonts w:ascii="Trebuchet MS"/>
          <w:spacing w:val="52"/>
          <w:sz w:val="17"/>
          <w:lang w:val="uk-UA"/>
        </w:rPr>
        <w:t xml:space="preserve"> </w:t>
      </w:r>
      <w:r w:rsidRPr="003C6DAE">
        <w:rPr>
          <w:rFonts w:ascii="Trebuchet MS"/>
          <w:w w:val="85"/>
          <w:sz w:val="17"/>
          <w:lang w:val="uk-UA"/>
        </w:rPr>
        <w:t>0.2</w:t>
      </w:r>
      <w:r w:rsidRPr="003C6DAE">
        <w:rPr>
          <w:rFonts w:ascii="Trebuchet MS"/>
          <w:spacing w:val="35"/>
          <w:sz w:val="17"/>
          <w:lang w:val="uk-UA"/>
        </w:rPr>
        <w:t xml:space="preserve"> </w:t>
      </w:r>
      <w:r w:rsidRPr="003C6DAE">
        <w:rPr>
          <w:rFonts w:ascii="Trebuchet MS"/>
          <w:w w:val="85"/>
          <w:sz w:val="17"/>
          <w:lang w:val="uk-UA"/>
        </w:rPr>
        <w:t>0.4</w:t>
      </w:r>
      <w:r w:rsidRPr="003C6DAE">
        <w:rPr>
          <w:rFonts w:ascii="Trebuchet MS"/>
          <w:spacing w:val="34"/>
          <w:sz w:val="17"/>
          <w:lang w:val="uk-UA"/>
        </w:rPr>
        <w:t xml:space="preserve"> </w:t>
      </w:r>
      <w:r w:rsidRPr="003C6DAE">
        <w:rPr>
          <w:rFonts w:ascii="Trebuchet MS"/>
          <w:w w:val="85"/>
          <w:sz w:val="17"/>
          <w:lang w:val="uk-UA"/>
        </w:rPr>
        <w:t>0.6</w:t>
      </w:r>
      <w:r w:rsidRPr="003C6DAE">
        <w:rPr>
          <w:rFonts w:ascii="Trebuchet MS"/>
          <w:spacing w:val="34"/>
          <w:sz w:val="17"/>
          <w:lang w:val="uk-UA"/>
        </w:rPr>
        <w:t xml:space="preserve"> </w:t>
      </w:r>
      <w:r w:rsidRPr="003C6DAE">
        <w:rPr>
          <w:rFonts w:ascii="Trebuchet MS"/>
          <w:w w:val="85"/>
          <w:sz w:val="17"/>
          <w:lang w:val="uk-UA"/>
        </w:rPr>
        <w:t>0.8</w:t>
      </w:r>
      <w:r w:rsidRPr="003C6DAE">
        <w:rPr>
          <w:rFonts w:ascii="Trebuchet MS"/>
          <w:spacing w:val="53"/>
          <w:sz w:val="17"/>
          <w:lang w:val="uk-UA"/>
        </w:rPr>
        <w:t xml:space="preserve"> </w:t>
      </w:r>
      <w:r w:rsidRPr="003C6DAE">
        <w:rPr>
          <w:rFonts w:ascii="Trebuchet MS"/>
          <w:spacing w:val="-10"/>
          <w:w w:val="85"/>
          <w:sz w:val="17"/>
          <w:lang w:val="uk-UA"/>
        </w:rPr>
        <w:t>1</w:t>
      </w:r>
    </w:p>
    <w:p w14:paraId="6EB39B8E" w14:textId="15F51E5C" w:rsidR="00E05B98" w:rsidRPr="003C6DAE" w:rsidRDefault="00B01E0C">
      <w:pPr>
        <w:spacing w:before="110"/>
        <w:ind w:left="179"/>
        <w:rPr>
          <w:rFonts w:ascii="Trebuchet MS"/>
          <w:sz w:val="17"/>
          <w:lang w:val="uk-UA"/>
        </w:rPr>
      </w:pPr>
      <w:r w:rsidRPr="003C6DAE">
        <w:rPr>
          <w:lang w:val="uk-UA"/>
        </w:rPr>
        <w:br w:type="column"/>
      </w:r>
      <w:r w:rsidR="00C54239" w:rsidRPr="003C6DAE">
        <w:rPr>
          <w:rFonts w:ascii="Trebuchet MS"/>
          <w:color w:val="333333"/>
          <w:w w:val="80"/>
          <w:sz w:val="17"/>
          <w:lang w:val="uk-UA"/>
        </w:rPr>
        <w:t>Специфічність</w:t>
      </w:r>
      <w:r w:rsidRPr="003C6DAE">
        <w:rPr>
          <w:rFonts w:ascii="Trebuchet MS"/>
          <w:color w:val="333333"/>
          <w:spacing w:val="21"/>
          <w:sz w:val="17"/>
          <w:lang w:val="uk-UA"/>
        </w:rPr>
        <w:t xml:space="preserve"> </w:t>
      </w:r>
      <w:r w:rsidRPr="003C6DAE">
        <w:rPr>
          <w:rFonts w:ascii="Trebuchet MS"/>
          <w:color w:val="333333"/>
          <w:w w:val="80"/>
          <w:sz w:val="17"/>
          <w:lang w:val="uk-UA"/>
        </w:rPr>
        <w:t>(95%</w:t>
      </w:r>
      <w:r w:rsidRPr="003C6DAE">
        <w:rPr>
          <w:rFonts w:ascii="Trebuchet MS"/>
          <w:color w:val="333333"/>
          <w:spacing w:val="25"/>
          <w:sz w:val="17"/>
          <w:lang w:val="uk-UA"/>
        </w:rPr>
        <w:t xml:space="preserve"> </w:t>
      </w:r>
      <w:r w:rsidR="00C54239" w:rsidRPr="003C6DAE">
        <w:rPr>
          <w:rFonts w:ascii="Trebuchet MS"/>
          <w:color w:val="333333"/>
          <w:w w:val="80"/>
          <w:sz w:val="17"/>
          <w:lang w:val="uk-UA"/>
        </w:rPr>
        <w:t>ДІ</w:t>
      </w:r>
      <w:r w:rsidRPr="003C6DAE">
        <w:rPr>
          <w:rFonts w:ascii="Trebuchet MS"/>
          <w:color w:val="333333"/>
          <w:spacing w:val="-5"/>
          <w:w w:val="80"/>
          <w:sz w:val="17"/>
          <w:lang w:val="uk-UA"/>
        </w:rPr>
        <w:t>)</w:t>
      </w:r>
    </w:p>
    <w:p w14:paraId="7B6379CA" w14:textId="77777777" w:rsidR="00E05B98" w:rsidRPr="003C6DAE" w:rsidRDefault="00B01E0C">
      <w:pPr>
        <w:pStyle w:val="a3"/>
        <w:spacing w:before="9"/>
        <w:rPr>
          <w:rFonts w:ascii="Trebuchet MS"/>
          <w:sz w:val="4"/>
          <w:lang w:val="uk-UA"/>
        </w:rPr>
      </w:pPr>
      <w:r w:rsidRPr="003C6DAE">
        <w:rPr>
          <w:rFonts w:ascii="Trebuchet MS"/>
          <w:noProof/>
          <w:sz w:val="4"/>
          <w:lang w:val="uk-UA"/>
        </w:rPr>
        <mc:AlternateContent>
          <mc:Choice Requires="wpg">
            <w:drawing>
              <wp:anchor distT="0" distB="0" distL="0" distR="0" simplePos="0" relativeHeight="487714816" behindDoc="1" locked="0" layoutInCell="1" allowOverlap="1" wp14:anchorId="4251AAA1" wp14:editId="648D8879">
                <wp:simplePos x="0" y="0"/>
                <wp:positionH relativeFrom="page">
                  <wp:posOffset>5799088</wp:posOffset>
                </wp:positionH>
                <wp:positionV relativeFrom="paragraph">
                  <wp:posOffset>50618</wp:posOffset>
                </wp:positionV>
                <wp:extent cx="814705" cy="65405"/>
                <wp:effectExtent l="0" t="0" r="0" b="0"/>
                <wp:wrapTopAndBottom/>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4705" cy="65405"/>
                          <a:chOff x="0" y="0"/>
                          <a:chExt cx="814705" cy="65405"/>
                        </a:xfrm>
                      </wpg:grpSpPr>
                      <wps:wsp>
                        <wps:cNvPr id="635" name="Graphic 635"/>
                        <wps:cNvSpPr/>
                        <wps:spPr>
                          <a:xfrm>
                            <a:off x="0" y="27908"/>
                            <a:ext cx="760730" cy="1270"/>
                          </a:xfrm>
                          <a:custGeom>
                            <a:avLst/>
                            <a:gdLst/>
                            <a:ahLst/>
                            <a:cxnLst/>
                            <a:rect l="l" t="t" r="r" b="b"/>
                            <a:pathLst>
                              <a:path w="760730">
                                <a:moveTo>
                                  <a:pt x="0" y="0"/>
                                </a:moveTo>
                                <a:lnTo>
                                  <a:pt x="760118" y="0"/>
                                </a:lnTo>
                              </a:path>
                            </a:pathLst>
                          </a:custGeom>
                          <a:ln w="9302">
                            <a:solidFill>
                              <a:srgbClr val="000000"/>
                            </a:solidFill>
                            <a:prstDash val="solid"/>
                          </a:ln>
                        </wps:spPr>
                        <wps:bodyPr wrap="square" lIns="0" tIns="0" rIns="0" bIns="0" rtlCol="0">
                          <a:prstTxWarp prst="textNoShape">
                            <a:avLst/>
                          </a:prstTxWarp>
                          <a:noAutofit/>
                        </wps:bodyPr>
                      </wps:wsp>
                      <wps:wsp>
                        <wps:cNvPr id="636" name="Graphic 636"/>
                        <wps:cNvSpPr/>
                        <wps:spPr>
                          <a:xfrm>
                            <a:off x="760118" y="0"/>
                            <a:ext cx="54610" cy="65405"/>
                          </a:xfrm>
                          <a:custGeom>
                            <a:avLst/>
                            <a:gdLst/>
                            <a:ahLst/>
                            <a:cxnLst/>
                            <a:rect l="l" t="t" r="r" b="b"/>
                            <a:pathLst>
                              <a:path w="54610" h="65405">
                                <a:moveTo>
                                  <a:pt x="54265" y="65120"/>
                                </a:moveTo>
                                <a:lnTo>
                                  <a:pt x="0" y="65120"/>
                                </a:lnTo>
                                <a:lnTo>
                                  <a:pt x="0" y="0"/>
                                </a:lnTo>
                                <a:lnTo>
                                  <a:pt x="54265" y="0"/>
                                </a:lnTo>
                                <a:lnTo>
                                  <a:pt x="54265" y="6512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4F6D989" id="Group 634" o:spid="_x0000_s1026" style="position:absolute;margin-left:456.6pt;margin-top:4pt;width:64.15pt;height:5.15pt;z-index:-15601664;mso-wrap-distance-left:0;mso-wrap-distance-right:0;mso-position-horizontal-relative:page" coordsize="814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">
                <v:shape id="Graphic 635" o:spid="_x0000_s1027" style="position:absolute;top:279;width:7607;height:12;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" path="m,l760118,e" filled="f" strokeweight=".25839mm">
                  <v:path arrowok="t"/>
                </v:shape>
                <v:shape id="Graphic 636" o:spid="_x0000_s1028" style="position:absolute;left:7601;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" path="m54265,65120l,65120,,,54265,r,6512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15328" behindDoc="1" locked="0" layoutInCell="1" allowOverlap="1" wp14:anchorId="272DB539" wp14:editId="24B97F4C">
                <wp:simplePos x="0" y="0"/>
                <wp:positionH relativeFrom="page">
                  <wp:posOffset>6317332</wp:posOffset>
                </wp:positionH>
                <wp:positionV relativeFrom="paragraph">
                  <wp:posOffset>199463</wp:posOffset>
                </wp:positionV>
                <wp:extent cx="296545" cy="65405"/>
                <wp:effectExtent l="0" t="0" r="0" b="0"/>
                <wp:wrapTopAndBottom/>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545" cy="65405"/>
                          <a:chOff x="0" y="0"/>
                          <a:chExt cx="296545" cy="65405"/>
                        </a:xfrm>
                      </wpg:grpSpPr>
                      <wps:wsp>
                        <wps:cNvPr id="638" name="Graphic 638"/>
                        <wps:cNvSpPr/>
                        <wps:spPr>
                          <a:xfrm>
                            <a:off x="0" y="27909"/>
                            <a:ext cx="241935" cy="1270"/>
                          </a:xfrm>
                          <a:custGeom>
                            <a:avLst/>
                            <a:gdLst/>
                            <a:ahLst/>
                            <a:cxnLst/>
                            <a:rect l="l" t="t" r="r" b="b"/>
                            <a:pathLst>
                              <a:path w="241935">
                                <a:moveTo>
                                  <a:pt x="0" y="0"/>
                                </a:moveTo>
                                <a:lnTo>
                                  <a:pt x="241872" y="0"/>
                                </a:lnTo>
                              </a:path>
                            </a:pathLst>
                          </a:custGeom>
                          <a:ln w="9302">
                            <a:solidFill>
                              <a:srgbClr val="000000"/>
                            </a:solidFill>
                            <a:prstDash val="solid"/>
                          </a:ln>
                        </wps:spPr>
                        <wps:bodyPr wrap="square" lIns="0" tIns="0" rIns="0" bIns="0" rtlCol="0">
                          <a:prstTxWarp prst="textNoShape">
                            <a:avLst/>
                          </a:prstTxWarp>
                          <a:noAutofit/>
                        </wps:bodyPr>
                      </wps:wsp>
                      <wps:wsp>
                        <wps:cNvPr id="639" name="Graphic 639"/>
                        <wps:cNvSpPr/>
                        <wps:spPr>
                          <a:xfrm>
                            <a:off x="241872" y="0"/>
                            <a:ext cx="54610" cy="65405"/>
                          </a:xfrm>
                          <a:custGeom>
                            <a:avLst/>
                            <a:gdLst/>
                            <a:ahLst/>
                            <a:cxnLst/>
                            <a:rect l="l" t="t" r="r" b="b"/>
                            <a:pathLst>
                              <a:path w="54610" h="65405">
                                <a:moveTo>
                                  <a:pt x="54266" y="65120"/>
                                </a:moveTo>
                                <a:lnTo>
                                  <a:pt x="0" y="65120"/>
                                </a:lnTo>
                                <a:lnTo>
                                  <a:pt x="0" y="0"/>
                                </a:lnTo>
                                <a:lnTo>
                                  <a:pt x="54266" y="0"/>
                                </a:lnTo>
                                <a:lnTo>
                                  <a:pt x="54266" y="6512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D1D9CA2" id="Group 637" o:spid="_x0000_s1026" style="position:absolute;margin-left:497.45pt;margin-top:15.7pt;width:23.35pt;height:5.15pt;z-index:-15601152;mso-wrap-distance-left:0;mso-wrap-distance-right:0;mso-position-horizontal-relative:page" coordsize="296545,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">
                <v:shape id="Graphic 638" o:spid="_x0000_s1027" style="position:absolute;top:27909;width:241935;height:1270;visibility:visible;mso-wrap-style:square;v-text-anchor:top" coordsize="241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" path="m,l241872,e" filled="f" strokeweight=".25839mm">
                  <v:path arrowok="t"/>
                </v:shape>
                <v:shape id="Graphic 639" o:spid="_x0000_s1028" style="position:absolute;left:241872;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" path="m54266,65120l,65120,,,54266,r,6512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15840" behindDoc="1" locked="0" layoutInCell="1" allowOverlap="1" wp14:anchorId="2A63079F" wp14:editId="7B554B51">
                <wp:simplePos x="0" y="0"/>
                <wp:positionH relativeFrom="page">
                  <wp:posOffset>5938241</wp:posOffset>
                </wp:positionH>
                <wp:positionV relativeFrom="paragraph">
                  <wp:posOffset>348310</wp:posOffset>
                </wp:positionV>
                <wp:extent cx="542290" cy="65405"/>
                <wp:effectExtent l="0" t="0" r="0" b="0"/>
                <wp:wrapTopAndBottom/>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 cy="65405"/>
                          <a:chOff x="0" y="0"/>
                          <a:chExt cx="542290" cy="65405"/>
                        </a:xfrm>
                      </wpg:grpSpPr>
                      <wps:wsp>
                        <wps:cNvPr id="641" name="Graphic 641"/>
                        <wps:cNvSpPr/>
                        <wps:spPr>
                          <a:xfrm>
                            <a:off x="0" y="27907"/>
                            <a:ext cx="542290" cy="1270"/>
                          </a:xfrm>
                          <a:custGeom>
                            <a:avLst/>
                            <a:gdLst/>
                            <a:ahLst/>
                            <a:cxnLst/>
                            <a:rect l="l" t="t" r="r" b="b"/>
                            <a:pathLst>
                              <a:path w="542290">
                                <a:moveTo>
                                  <a:pt x="0" y="0"/>
                                </a:moveTo>
                                <a:lnTo>
                                  <a:pt x="282573" y="0"/>
                                </a:lnTo>
                              </a:path>
                              <a:path w="542290">
                                <a:moveTo>
                                  <a:pt x="336839" y="0"/>
                                </a:moveTo>
                                <a:lnTo>
                                  <a:pt x="542277" y="0"/>
                                </a:lnTo>
                              </a:path>
                            </a:pathLst>
                          </a:custGeom>
                          <a:ln w="9302">
                            <a:solidFill>
                              <a:srgbClr val="000000"/>
                            </a:solidFill>
                            <a:prstDash val="solid"/>
                          </a:ln>
                        </wps:spPr>
                        <wps:bodyPr wrap="square" lIns="0" tIns="0" rIns="0" bIns="0" rtlCol="0">
                          <a:prstTxWarp prst="textNoShape">
                            <a:avLst/>
                          </a:prstTxWarp>
                          <a:noAutofit/>
                        </wps:bodyPr>
                      </wps:wsp>
                      <wps:wsp>
                        <wps:cNvPr id="642" name="Graphic 642"/>
                        <wps:cNvSpPr/>
                        <wps:spPr>
                          <a:xfrm>
                            <a:off x="282573" y="0"/>
                            <a:ext cx="54610" cy="65405"/>
                          </a:xfrm>
                          <a:custGeom>
                            <a:avLst/>
                            <a:gdLst/>
                            <a:ahLst/>
                            <a:cxnLst/>
                            <a:rect l="l" t="t" r="r" b="b"/>
                            <a:pathLst>
                              <a:path w="54610" h="65405">
                                <a:moveTo>
                                  <a:pt x="54266" y="65118"/>
                                </a:moveTo>
                                <a:lnTo>
                                  <a:pt x="0" y="65118"/>
                                </a:lnTo>
                                <a:lnTo>
                                  <a:pt x="0" y="0"/>
                                </a:lnTo>
                                <a:lnTo>
                                  <a:pt x="54266" y="0"/>
                                </a:lnTo>
                                <a:lnTo>
                                  <a:pt x="54266" y="6511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88EC9BE" id="Group 640" o:spid="_x0000_s1026" style="position:absolute;margin-left:467.6pt;margin-top:27.45pt;width:42.7pt;height:5.15pt;z-index:-15600640;mso-wrap-distance-left:0;mso-wrap-distance-right:0;mso-position-horizontal-relative:page" coordsize="542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">
                <v:shape id="Graphic 641" o:spid="_x0000_s1027" style="position:absolute;top:279;width:5422;height:12;visibility:visible;mso-wrap-style:square;v-text-anchor:top" coordsize="542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" path="m,l282573,em336839,l542277,e" filled="f" strokeweight=".25839mm">
                  <v:path arrowok="t"/>
                </v:shape>
                <v:shape id="Graphic 642" o:spid="_x0000_s1028" style="position:absolute;left:2825;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" path="m54266,65118l,65118,,,54266,r,6511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16352" behindDoc="1" locked="0" layoutInCell="1" allowOverlap="1" wp14:anchorId="026CE786" wp14:editId="123751EC">
                <wp:simplePos x="0" y="0"/>
                <wp:positionH relativeFrom="page">
                  <wp:posOffset>5963435</wp:posOffset>
                </wp:positionH>
                <wp:positionV relativeFrom="paragraph">
                  <wp:posOffset>497154</wp:posOffset>
                </wp:positionV>
                <wp:extent cx="430530" cy="65405"/>
                <wp:effectExtent l="0" t="0" r="0" b="0"/>
                <wp:wrapTopAndBottom/>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65405"/>
                          <a:chOff x="0" y="0"/>
                          <a:chExt cx="430530" cy="65405"/>
                        </a:xfrm>
                      </wpg:grpSpPr>
                      <wps:wsp>
                        <wps:cNvPr id="644" name="Graphic 644"/>
                        <wps:cNvSpPr/>
                        <wps:spPr>
                          <a:xfrm>
                            <a:off x="0" y="27908"/>
                            <a:ext cx="430530" cy="1270"/>
                          </a:xfrm>
                          <a:custGeom>
                            <a:avLst/>
                            <a:gdLst/>
                            <a:ahLst/>
                            <a:cxnLst/>
                            <a:rect l="l" t="t" r="r" b="b"/>
                            <a:pathLst>
                              <a:path w="430530">
                                <a:moveTo>
                                  <a:pt x="0" y="0"/>
                                </a:moveTo>
                                <a:lnTo>
                                  <a:pt x="203886" y="0"/>
                                </a:lnTo>
                              </a:path>
                              <a:path w="430530">
                                <a:moveTo>
                                  <a:pt x="258153" y="0"/>
                                </a:moveTo>
                                <a:lnTo>
                                  <a:pt x="430255" y="0"/>
                                </a:lnTo>
                              </a:path>
                            </a:pathLst>
                          </a:custGeom>
                          <a:ln w="9302">
                            <a:solidFill>
                              <a:srgbClr val="000000"/>
                            </a:solidFill>
                            <a:prstDash val="solid"/>
                          </a:ln>
                        </wps:spPr>
                        <wps:bodyPr wrap="square" lIns="0" tIns="0" rIns="0" bIns="0" rtlCol="0">
                          <a:prstTxWarp prst="textNoShape">
                            <a:avLst/>
                          </a:prstTxWarp>
                          <a:noAutofit/>
                        </wps:bodyPr>
                      </wps:wsp>
                      <wps:wsp>
                        <wps:cNvPr id="645" name="Graphic 645"/>
                        <wps:cNvSpPr/>
                        <wps:spPr>
                          <a:xfrm>
                            <a:off x="203886" y="0"/>
                            <a:ext cx="54610" cy="65405"/>
                          </a:xfrm>
                          <a:custGeom>
                            <a:avLst/>
                            <a:gdLst/>
                            <a:ahLst/>
                            <a:cxnLst/>
                            <a:rect l="l" t="t" r="r" b="b"/>
                            <a:pathLst>
                              <a:path w="54610" h="65405">
                                <a:moveTo>
                                  <a:pt x="54266" y="65120"/>
                                </a:moveTo>
                                <a:lnTo>
                                  <a:pt x="0" y="65120"/>
                                </a:lnTo>
                                <a:lnTo>
                                  <a:pt x="0" y="0"/>
                                </a:lnTo>
                                <a:lnTo>
                                  <a:pt x="54266" y="0"/>
                                </a:lnTo>
                                <a:lnTo>
                                  <a:pt x="54266" y="6512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74C37C1" id="Group 643" o:spid="_x0000_s1026" style="position:absolute;margin-left:469.55pt;margin-top:39.15pt;width:33.9pt;height:5.15pt;z-index:-15600128;mso-wrap-distance-left:0;mso-wrap-distance-right:0;mso-position-horizontal-relative:page" coordsize="43053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">
                <v:shape id="Graphic 644" o:spid="_x0000_s1027" style="position:absolute;top:27908;width:430530;height:1270;visibility:visible;mso-wrap-style:square;v-text-anchor:top" coordsize="43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" path="m,l203886,em258153,l430255,e" filled="f" strokeweight=".25839mm">
                  <v:path arrowok="t"/>
                </v:shape>
                <v:shape id="Graphic 645" o:spid="_x0000_s1028" style="position:absolute;left:203886;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" path="m54266,65120l,65120,,,54266,r,6512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16864" behindDoc="1" locked="0" layoutInCell="1" allowOverlap="1" wp14:anchorId="798724E9" wp14:editId="6F4E88FF">
                <wp:simplePos x="0" y="0"/>
                <wp:positionH relativeFrom="page">
                  <wp:posOffset>6090186</wp:posOffset>
                </wp:positionH>
                <wp:positionV relativeFrom="paragraph">
                  <wp:posOffset>645999</wp:posOffset>
                </wp:positionV>
                <wp:extent cx="207010" cy="65405"/>
                <wp:effectExtent l="0" t="0" r="0" b="0"/>
                <wp:wrapTopAndBottom/>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10" cy="65405"/>
                          <a:chOff x="0" y="0"/>
                          <a:chExt cx="207010" cy="65405"/>
                        </a:xfrm>
                      </wpg:grpSpPr>
                      <wps:wsp>
                        <wps:cNvPr id="647" name="Graphic 647"/>
                        <wps:cNvSpPr/>
                        <wps:spPr>
                          <a:xfrm>
                            <a:off x="0" y="27908"/>
                            <a:ext cx="207010" cy="1270"/>
                          </a:xfrm>
                          <a:custGeom>
                            <a:avLst/>
                            <a:gdLst/>
                            <a:ahLst/>
                            <a:cxnLst/>
                            <a:rect l="l" t="t" r="r" b="b"/>
                            <a:pathLst>
                              <a:path w="207010">
                                <a:moveTo>
                                  <a:pt x="0" y="0"/>
                                </a:moveTo>
                                <a:lnTo>
                                  <a:pt x="82949" y="0"/>
                                </a:lnTo>
                              </a:path>
                              <a:path w="207010">
                                <a:moveTo>
                                  <a:pt x="137216" y="0"/>
                                </a:moveTo>
                                <a:lnTo>
                                  <a:pt x="206600" y="0"/>
                                </a:lnTo>
                              </a:path>
                            </a:pathLst>
                          </a:custGeom>
                          <a:ln w="9302">
                            <a:solidFill>
                              <a:srgbClr val="000000"/>
                            </a:solidFill>
                            <a:prstDash val="solid"/>
                          </a:ln>
                        </wps:spPr>
                        <wps:bodyPr wrap="square" lIns="0" tIns="0" rIns="0" bIns="0" rtlCol="0">
                          <a:prstTxWarp prst="textNoShape">
                            <a:avLst/>
                          </a:prstTxWarp>
                          <a:noAutofit/>
                        </wps:bodyPr>
                      </wps:wsp>
                      <wps:wsp>
                        <wps:cNvPr id="648" name="Graphic 648"/>
                        <wps:cNvSpPr/>
                        <wps:spPr>
                          <a:xfrm>
                            <a:off x="82949" y="0"/>
                            <a:ext cx="54610" cy="65405"/>
                          </a:xfrm>
                          <a:custGeom>
                            <a:avLst/>
                            <a:gdLst/>
                            <a:ahLst/>
                            <a:cxnLst/>
                            <a:rect l="l" t="t" r="r" b="b"/>
                            <a:pathLst>
                              <a:path w="54610" h="65405">
                                <a:moveTo>
                                  <a:pt x="54266" y="65120"/>
                                </a:moveTo>
                                <a:lnTo>
                                  <a:pt x="0" y="65120"/>
                                </a:lnTo>
                                <a:lnTo>
                                  <a:pt x="0" y="0"/>
                                </a:lnTo>
                                <a:lnTo>
                                  <a:pt x="54266" y="0"/>
                                </a:lnTo>
                                <a:lnTo>
                                  <a:pt x="54266" y="6512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4565C18" id="Group 646" o:spid="_x0000_s1026" style="position:absolute;margin-left:479.55pt;margin-top:50.85pt;width:16.3pt;height:5.15pt;z-index:-15599616;mso-wrap-distance-left:0;mso-wrap-distance-right:0;mso-position-horizontal-relative:page" coordsize="20701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">
                <v:shape id="Graphic 647" o:spid="_x0000_s1027" style="position:absolute;top:27908;width:207010;height:1270;visibility:visible;mso-wrap-style:square;v-text-anchor:top" coordsize="207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" path="m,l82949,em137216,r69384,e" filled="f" strokeweight=".25839mm">
                  <v:path arrowok="t"/>
                </v:shape>
                <v:shape id="Graphic 648" o:spid="_x0000_s1028" style="position:absolute;left:82949;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" path="m54266,65120l,65120,,,54266,r,6512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17376" behindDoc="1" locked="0" layoutInCell="1" allowOverlap="1" wp14:anchorId="24DB3E56" wp14:editId="32EA9CAB">
                <wp:simplePos x="0" y="0"/>
                <wp:positionH relativeFrom="page">
                  <wp:posOffset>6229340</wp:posOffset>
                </wp:positionH>
                <wp:positionV relativeFrom="paragraph">
                  <wp:posOffset>794844</wp:posOffset>
                </wp:positionV>
                <wp:extent cx="211454" cy="65405"/>
                <wp:effectExtent l="0" t="0" r="0" b="0"/>
                <wp:wrapTopAndBottom/>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454" cy="65405"/>
                          <a:chOff x="0" y="0"/>
                          <a:chExt cx="211454" cy="65405"/>
                        </a:xfrm>
                      </wpg:grpSpPr>
                      <wps:wsp>
                        <wps:cNvPr id="650" name="Graphic 650"/>
                        <wps:cNvSpPr/>
                        <wps:spPr>
                          <a:xfrm>
                            <a:off x="0" y="27909"/>
                            <a:ext cx="211454" cy="1270"/>
                          </a:xfrm>
                          <a:custGeom>
                            <a:avLst/>
                            <a:gdLst/>
                            <a:ahLst/>
                            <a:cxnLst/>
                            <a:rect l="l" t="t" r="r" b="b"/>
                            <a:pathLst>
                              <a:path w="211454">
                                <a:moveTo>
                                  <a:pt x="0" y="0"/>
                                </a:moveTo>
                                <a:lnTo>
                                  <a:pt x="93415" y="0"/>
                                </a:lnTo>
                              </a:path>
                              <a:path w="211454">
                                <a:moveTo>
                                  <a:pt x="147682" y="0"/>
                                </a:moveTo>
                                <a:lnTo>
                                  <a:pt x="210864" y="0"/>
                                </a:lnTo>
                              </a:path>
                            </a:pathLst>
                          </a:custGeom>
                          <a:ln w="9302">
                            <a:solidFill>
                              <a:srgbClr val="000000"/>
                            </a:solidFill>
                            <a:prstDash val="solid"/>
                          </a:ln>
                        </wps:spPr>
                        <wps:bodyPr wrap="square" lIns="0" tIns="0" rIns="0" bIns="0" rtlCol="0">
                          <a:prstTxWarp prst="textNoShape">
                            <a:avLst/>
                          </a:prstTxWarp>
                          <a:noAutofit/>
                        </wps:bodyPr>
                      </wps:wsp>
                      <wps:wsp>
                        <wps:cNvPr id="651" name="Graphic 651"/>
                        <wps:cNvSpPr/>
                        <wps:spPr>
                          <a:xfrm>
                            <a:off x="93415" y="0"/>
                            <a:ext cx="54610" cy="65405"/>
                          </a:xfrm>
                          <a:custGeom>
                            <a:avLst/>
                            <a:gdLst/>
                            <a:ahLst/>
                            <a:cxnLst/>
                            <a:rect l="l" t="t" r="r" b="b"/>
                            <a:pathLst>
                              <a:path w="54610" h="65405">
                                <a:moveTo>
                                  <a:pt x="54266" y="65120"/>
                                </a:moveTo>
                                <a:lnTo>
                                  <a:pt x="0" y="65120"/>
                                </a:lnTo>
                                <a:lnTo>
                                  <a:pt x="0" y="0"/>
                                </a:lnTo>
                                <a:lnTo>
                                  <a:pt x="54266" y="0"/>
                                </a:lnTo>
                                <a:lnTo>
                                  <a:pt x="54266" y="6512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EAC829E" id="Group 649" o:spid="_x0000_s1026" style="position:absolute;margin-left:490.5pt;margin-top:62.6pt;width:16.65pt;height:5.15pt;z-index:-15599104;mso-wrap-distance-left:0;mso-wrap-distance-right:0;mso-position-horizontal-relative:page" coordsize="211454,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">
                <v:shape id="Graphic 650" o:spid="_x0000_s1027" style="position:absolute;top:27909;width:211454;height:1270;visibility:visible;mso-wrap-style:square;v-text-anchor:top" coordsize="2114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" path="m,l93415,em147682,r63182,e" filled="f" strokeweight=".25839mm">
                  <v:path arrowok="t"/>
                </v:shape>
                <v:shape id="Graphic 651" o:spid="_x0000_s1028" style="position:absolute;left:93415;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" path="m54266,65120l,65120,,,54266,r,6512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17888" behindDoc="1" locked="0" layoutInCell="1" allowOverlap="1" wp14:anchorId="52EE7EFC" wp14:editId="6D8913AD">
                <wp:simplePos x="0" y="0"/>
                <wp:positionH relativeFrom="page">
                  <wp:posOffset>6266163</wp:posOffset>
                </wp:positionH>
                <wp:positionV relativeFrom="paragraph">
                  <wp:posOffset>943691</wp:posOffset>
                </wp:positionV>
                <wp:extent cx="200025" cy="65405"/>
                <wp:effectExtent l="0" t="0" r="0" b="0"/>
                <wp:wrapTopAndBottom/>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025" cy="65405"/>
                          <a:chOff x="0" y="0"/>
                          <a:chExt cx="200025" cy="65405"/>
                        </a:xfrm>
                      </wpg:grpSpPr>
                      <wps:wsp>
                        <wps:cNvPr id="653" name="Graphic 653"/>
                        <wps:cNvSpPr/>
                        <wps:spPr>
                          <a:xfrm>
                            <a:off x="0" y="27907"/>
                            <a:ext cx="200025" cy="1270"/>
                          </a:xfrm>
                          <a:custGeom>
                            <a:avLst/>
                            <a:gdLst/>
                            <a:ahLst/>
                            <a:cxnLst/>
                            <a:rect l="l" t="t" r="r" b="b"/>
                            <a:pathLst>
                              <a:path w="200025">
                                <a:moveTo>
                                  <a:pt x="0" y="0"/>
                                </a:moveTo>
                                <a:lnTo>
                                  <a:pt x="89539" y="0"/>
                                </a:lnTo>
                              </a:path>
                              <a:path w="200025">
                                <a:moveTo>
                                  <a:pt x="143806" y="0"/>
                                </a:moveTo>
                                <a:lnTo>
                                  <a:pt x="199623" y="0"/>
                                </a:lnTo>
                              </a:path>
                            </a:pathLst>
                          </a:custGeom>
                          <a:ln w="9302">
                            <a:solidFill>
                              <a:srgbClr val="000000"/>
                            </a:solidFill>
                            <a:prstDash val="solid"/>
                          </a:ln>
                        </wps:spPr>
                        <wps:bodyPr wrap="square" lIns="0" tIns="0" rIns="0" bIns="0" rtlCol="0">
                          <a:prstTxWarp prst="textNoShape">
                            <a:avLst/>
                          </a:prstTxWarp>
                          <a:noAutofit/>
                        </wps:bodyPr>
                      </wps:wsp>
                      <wps:wsp>
                        <wps:cNvPr id="654" name="Graphic 654"/>
                        <wps:cNvSpPr/>
                        <wps:spPr>
                          <a:xfrm>
                            <a:off x="89539" y="0"/>
                            <a:ext cx="54610" cy="65405"/>
                          </a:xfrm>
                          <a:custGeom>
                            <a:avLst/>
                            <a:gdLst/>
                            <a:ahLst/>
                            <a:cxnLst/>
                            <a:rect l="l" t="t" r="r" b="b"/>
                            <a:pathLst>
                              <a:path w="54610" h="65405">
                                <a:moveTo>
                                  <a:pt x="54266" y="65118"/>
                                </a:moveTo>
                                <a:lnTo>
                                  <a:pt x="0" y="65118"/>
                                </a:lnTo>
                                <a:lnTo>
                                  <a:pt x="0" y="0"/>
                                </a:lnTo>
                                <a:lnTo>
                                  <a:pt x="54266" y="0"/>
                                </a:lnTo>
                                <a:lnTo>
                                  <a:pt x="54266" y="6511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71FEA45" id="Group 652" o:spid="_x0000_s1026" style="position:absolute;margin-left:493.4pt;margin-top:74.3pt;width:15.75pt;height:5.15pt;z-index:-15598592;mso-wrap-distance-left:0;mso-wrap-distance-right:0;mso-position-horizontal-relative:page" coordsize="200025,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">
                <v:shape id="Graphic 653" o:spid="_x0000_s1027" style="position:absolute;top:27907;width:200025;height:1270;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" path="m,l89539,em143806,r55817,e" filled="f" strokeweight=".25839mm">
                  <v:path arrowok="t"/>
                </v:shape>
                <v:shape id="Graphic 654" o:spid="_x0000_s1028" style="position:absolute;left:89539;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" path="m54266,65118l,65118,,,54266,r,6511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18400" behindDoc="1" locked="0" layoutInCell="1" allowOverlap="1" wp14:anchorId="313088DB" wp14:editId="3EC4BF98">
                <wp:simplePos x="0" y="0"/>
                <wp:positionH relativeFrom="page">
                  <wp:posOffset>6397564</wp:posOffset>
                </wp:positionH>
                <wp:positionV relativeFrom="paragraph">
                  <wp:posOffset>1092536</wp:posOffset>
                </wp:positionV>
                <wp:extent cx="126364" cy="65405"/>
                <wp:effectExtent l="0" t="0" r="0" b="0"/>
                <wp:wrapTopAndBottom/>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364" cy="65405"/>
                          <a:chOff x="0" y="0"/>
                          <a:chExt cx="126364" cy="65405"/>
                        </a:xfrm>
                      </wpg:grpSpPr>
                      <wps:wsp>
                        <wps:cNvPr id="656" name="Graphic 656"/>
                        <wps:cNvSpPr/>
                        <wps:spPr>
                          <a:xfrm>
                            <a:off x="0" y="27907"/>
                            <a:ext cx="126364" cy="1270"/>
                          </a:xfrm>
                          <a:custGeom>
                            <a:avLst/>
                            <a:gdLst/>
                            <a:ahLst/>
                            <a:cxnLst/>
                            <a:rect l="l" t="t" r="r" b="b"/>
                            <a:pathLst>
                              <a:path w="126364">
                                <a:moveTo>
                                  <a:pt x="0" y="0"/>
                                </a:moveTo>
                                <a:lnTo>
                                  <a:pt x="50778" y="0"/>
                                </a:lnTo>
                              </a:path>
                              <a:path w="126364">
                                <a:moveTo>
                                  <a:pt x="105043" y="0"/>
                                </a:moveTo>
                                <a:lnTo>
                                  <a:pt x="125975" y="0"/>
                                </a:lnTo>
                              </a:path>
                            </a:pathLst>
                          </a:custGeom>
                          <a:ln w="9302">
                            <a:solidFill>
                              <a:srgbClr val="000000"/>
                            </a:solidFill>
                            <a:prstDash val="solid"/>
                          </a:ln>
                        </wps:spPr>
                        <wps:bodyPr wrap="square" lIns="0" tIns="0" rIns="0" bIns="0" rtlCol="0">
                          <a:prstTxWarp prst="textNoShape">
                            <a:avLst/>
                          </a:prstTxWarp>
                          <a:noAutofit/>
                        </wps:bodyPr>
                      </wps:wsp>
                      <wps:wsp>
                        <wps:cNvPr id="657" name="Graphic 657"/>
                        <wps:cNvSpPr/>
                        <wps:spPr>
                          <a:xfrm>
                            <a:off x="50778" y="0"/>
                            <a:ext cx="54610" cy="65405"/>
                          </a:xfrm>
                          <a:custGeom>
                            <a:avLst/>
                            <a:gdLst/>
                            <a:ahLst/>
                            <a:cxnLst/>
                            <a:rect l="l" t="t" r="r" b="b"/>
                            <a:pathLst>
                              <a:path w="54610" h="65405">
                                <a:moveTo>
                                  <a:pt x="54265" y="65118"/>
                                </a:moveTo>
                                <a:lnTo>
                                  <a:pt x="0" y="65118"/>
                                </a:lnTo>
                                <a:lnTo>
                                  <a:pt x="0" y="0"/>
                                </a:lnTo>
                                <a:lnTo>
                                  <a:pt x="54265" y="0"/>
                                </a:lnTo>
                                <a:lnTo>
                                  <a:pt x="54265" y="6511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BAC5697" id="Group 655" o:spid="_x0000_s1026" style="position:absolute;margin-left:503.75pt;margin-top:86.05pt;width:9.95pt;height:5.15pt;z-index:-15598080;mso-wrap-distance-left:0;mso-wrap-distance-right:0;mso-position-horizontal-relative:page" coordsize="126364,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">
                <v:shape id="Graphic 656" o:spid="_x0000_s1027" style="position:absolute;top:27907;width:126364;height:1270;visibility:visible;mso-wrap-style:square;v-text-anchor:top" coordsize="1263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" path="m,l50778,em105043,r20932,e" filled="f" strokeweight=".25839mm">
                  <v:path arrowok="t"/>
                </v:shape>
                <v:shape id="Graphic 657" o:spid="_x0000_s1028" style="position:absolute;left:50778;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" path="m54265,65118l,65118,,,54265,r,6511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18912" behindDoc="1" locked="0" layoutInCell="1" allowOverlap="1" wp14:anchorId="2A92C484" wp14:editId="1CF70BDA">
                <wp:simplePos x="0" y="0"/>
                <wp:positionH relativeFrom="page">
                  <wp:posOffset>5648297</wp:posOffset>
                </wp:positionH>
                <wp:positionV relativeFrom="paragraph">
                  <wp:posOffset>1241381</wp:posOffset>
                </wp:positionV>
                <wp:extent cx="930275" cy="139700"/>
                <wp:effectExtent l="0" t="0" r="0" b="0"/>
                <wp:wrapTopAndBottom/>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275" cy="139700"/>
                          <a:chOff x="0" y="0"/>
                          <a:chExt cx="930275" cy="139700"/>
                        </a:xfrm>
                      </wpg:grpSpPr>
                      <wps:wsp>
                        <wps:cNvPr id="659" name="Graphic 659"/>
                        <wps:cNvSpPr/>
                        <wps:spPr>
                          <a:xfrm>
                            <a:off x="11629" y="27908"/>
                            <a:ext cx="835025" cy="1270"/>
                          </a:xfrm>
                          <a:custGeom>
                            <a:avLst/>
                            <a:gdLst/>
                            <a:ahLst/>
                            <a:cxnLst/>
                            <a:rect l="l" t="t" r="r" b="b"/>
                            <a:pathLst>
                              <a:path w="835025">
                                <a:moveTo>
                                  <a:pt x="0" y="0"/>
                                </a:moveTo>
                                <a:lnTo>
                                  <a:pt x="279084" y="0"/>
                                </a:lnTo>
                              </a:path>
                              <a:path w="835025">
                                <a:moveTo>
                                  <a:pt x="333351" y="0"/>
                                </a:moveTo>
                                <a:lnTo>
                                  <a:pt x="834541" y="0"/>
                                </a:lnTo>
                              </a:path>
                            </a:pathLst>
                          </a:custGeom>
                          <a:ln w="9302">
                            <a:solidFill>
                              <a:srgbClr val="000000"/>
                            </a:solidFill>
                            <a:prstDash val="solid"/>
                          </a:ln>
                        </wps:spPr>
                        <wps:bodyPr wrap="square" lIns="0" tIns="0" rIns="0" bIns="0" rtlCol="0">
                          <a:prstTxWarp prst="textNoShape">
                            <a:avLst/>
                          </a:prstTxWarp>
                          <a:noAutofit/>
                        </wps:bodyPr>
                      </wps:wsp>
                      <wps:wsp>
                        <wps:cNvPr id="660" name="Graphic 660"/>
                        <wps:cNvSpPr/>
                        <wps:spPr>
                          <a:xfrm>
                            <a:off x="290713" y="0"/>
                            <a:ext cx="54610" cy="65405"/>
                          </a:xfrm>
                          <a:custGeom>
                            <a:avLst/>
                            <a:gdLst/>
                            <a:ahLst/>
                            <a:cxnLst/>
                            <a:rect l="l" t="t" r="r" b="b"/>
                            <a:pathLst>
                              <a:path w="54610" h="65405">
                                <a:moveTo>
                                  <a:pt x="54266" y="65120"/>
                                </a:moveTo>
                                <a:lnTo>
                                  <a:pt x="0" y="65120"/>
                                </a:lnTo>
                                <a:lnTo>
                                  <a:pt x="0" y="0"/>
                                </a:lnTo>
                                <a:lnTo>
                                  <a:pt x="54266" y="0"/>
                                </a:lnTo>
                                <a:lnTo>
                                  <a:pt x="54266" y="65120"/>
                                </a:lnTo>
                                <a:close/>
                              </a:path>
                            </a:pathLst>
                          </a:custGeom>
                          <a:solidFill>
                            <a:srgbClr val="0000C0"/>
                          </a:solidFill>
                        </wps:spPr>
                        <wps:bodyPr wrap="square" lIns="0" tIns="0" rIns="0" bIns="0" rtlCol="0">
                          <a:prstTxWarp prst="textNoShape">
                            <a:avLst/>
                          </a:prstTxWarp>
                          <a:noAutofit/>
                        </wps:bodyPr>
                      </wps:wsp>
                      <wps:wsp>
                        <wps:cNvPr id="661" name="Graphic 661"/>
                        <wps:cNvSpPr/>
                        <wps:spPr>
                          <a:xfrm>
                            <a:off x="3876" y="102330"/>
                            <a:ext cx="922655" cy="1270"/>
                          </a:xfrm>
                          <a:custGeom>
                            <a:avLst/>
                            <a:gdLst/>
                            <a:ahLst/>
                            <a:cxnLst/>
                            <a:rect l="l" t="t" r="r" b="b"/>
                            <a:pathLst>
                              <a:path w="922655">
                                <a:moveTo>
                                  <a:pt x="0" y="0"/>
                                </a:moveTo>
                                <a:lnTo>
                                  <a:pt x="922530" y="0"/>
                                </a:lnTo>
                              </a:path>
                            </a:pathLst>
                          </a:custGeom>
                          <a:ln w="9302">
                            <a:solidFill>
                              <a:srgbClr val="000000"/>
                            </a:solidFill>
                            <a:prstDash val="solid"/>
                          </a:ln>
                        </wps:spPr>
                        <wps:bodyPr wrap="square" lIns="0" tIns="0" rIns="0" bIns="0" rtlCol="0">
                          <a:prstTxWarp prst="textNoShape">
                            <a:avLst/>
                          </a:prstTxWarp>
                          <a:noAutofit/>
                        </wps:bodyPr>
                      </wps:wsp>
                      <wps:wsp>
                        <wps:cNvPr id="662" name="Graphic 662"/>
                        <wps:cNvSpPr/>
                        <wps:spPr>
                          <a:xfrm>
                            <a:off x="3876" y="65119"/>
                            <a:ext cx="1270" cy="74930"/>
                          </a:xfrm>
                          <a:custGeom>
                            <a:avLst/>
                            <a:gdLst/>
                            <a:ahLst/>
                            <a:cxnLst/>
                            <a:rect l="l" t="t" r="r" b="b"/>
                            <a:pathLst>
                              <a:path h="74930">
                                <a:moveTo>
                                  <a:pt x="0" y="0"/>
                                </a:moveTo>
                                <a:lnTo>
                                  <a:pt x="0" y="74422"/>
                                </a:lnTo>
                              </a:path>
                            </a:pathLst>
                          </a:custGeom>
                          <a:ln w="7752">
                            <a:solidFill>
                              <a:srgbClr val="000000"/>
                            </a:solidFill>
                            <a:prstDash val="solid"/>
                          </a:ln>
                        </wps:spPr>
                        <wps:bodyPr wrap="square" lIns="0" tIns="0" rIns="0" bIns="0" rtlCol="0">
                          <a:prstTxWarp prst="textNoShape">
                            <a:avLst/>
                          </a:prstTxWarp>
                          <a:noAutofit/>
                        </wps:bodyPr>
                      </wps:wsp>
                      <wps:wsp>
                        <wps:cNvPr id="663" name="Graphic 663"/>
                        <wps:cNvSpPr/>
                        <wps:spPr>
                          <a:xfrm>
                            <a:off x="188381" y="65119"/>
                            <a:ext cx="1270" cy="74930"/>
                          </a:xfrm>
                          <a:custGeom>
                            <a:avLst/>
                            <a:gdLst/>
                            <a:ahLst/>
                            <a:cxnLst/>
                            <a:rect l="l" t="t" r="r" b="b"/>
                            <a:pathLst>
                              <a:path h="74930">
                                <a:moveTo>
                                  <a:pt x="0" y="0"/>
                                </a:moveTo>
                                <a:lnTo>
                                  <a:pt x="0" y="74422"/>
                                </a:lnTo>
                              </a:path>
                            </a:pathLst>
                          </a:custGeom>
                          <a:ln w="7752">
                            <a:solidFill>
                              <a:srgbClr val="000000"/>
                            </a:solidFill>
                            <a:prstDash val="solid"/>
                          </a:ln>
                        </wps:spPr>
                        <wps:bodyPr wrap="square" lIns="0" tIns="0" rIns="0" bIns="0" rtlCol="0">
                          <a:prstTxWarp prst="textNoShape">
                            <a:avLst/>
                          </a:prstTxWarp>
                          <a:noAutofit/>
                        </wps:bodyPr>
                      </wps:wsp>
                      <wps:wsp>
                        <wps:cNvPr id="664" name="Graphic 664"/>
                        <wps:cNvSpPr/>
                        <wps:spPr>
                          <a:xfrm>
                            <a:off x="372886" y="65119"/>
                            <a:ext cx="1270" cy="74930"/>
                          </a:xfrm>
                          <a:custGeom>
                            <a:avLst/>
                            <a:gdLst/>
                            <a:ahLst/>
                            <a:cxnLst/>
                            <a:rect l="l" t="t" r="r" b="b"/>
                            <a:pathLst>
                              <a:path h="74930">
                                <a:moveTo>
                                  <a:pt x="0" y="0"/>
                                </a:moveTo>
                                <a:lnTo>
                                  <a:pt x="0" y="74422"/>
                                </a:lnTo>
                              </a:path>
                            </a:pathLst>
                          </a:custGeom>
                          <a:ln w="7752">
                            <a:solidFill>
                              <a:srgbClr val="000000"/>
                            </a:solidFill>
                            <a:prstDash val="solid"/>
                          </a:ln>
                        </wps:spPr>
                        <wps:bodyPr wrap="square" lIns="0" tIns="0" rIns="0" bIns="0" rtlCol="0">
                          <a:prstTxWarp prst="textNoShape">
                            <a:avLst/>
                          </a:prstTxWarp>
                          <a:noAutofit/>
                        </wps:bodyPr>
                      </wps:wsp>
                      <wps:wsp>
                        <wps:cNvPr id="665" name="Graphic 665"/>
                        <wps:cNvSpPr/>
                        <wps:spPr>
                          <a:xfrm>
                            <a:off x="557004" y="65119"/>
                            <a:ext cx="1270" cy="74930"/>
                          </a:xfrm>
                          <a:custGeom>
                            <a:avLst/>
                            <a:gdLst/>
                            <a:ahLst/>
                            <a:cxnLst/>
                            <a:rect l="l" t="t" r="r" b="b"/>
                            <a:pathLst>
                              <a:path h="74930">
                                <a:moveTo>
                                  <a:pt x="0" y="0"/>
                                </a:moveTo>
                                <a:lnTo>
                                  <a:pt x="0" y="74422"/>
                                </a:lnTo>
                              </a:path>
                            </a:pathLst>
                          </a:custGeom>
                          <a:ln w="7752">
                            <a:solidFill>
                              <a:srgbClr val="000000"/>
                            </a:solidFill>
                            <a:prstDash val="solid"/>
                          </a:ln>
                        </wps:spPr>
                        <wps:bodyPr wrap="square" lIns="0" tIns="0" rIns="0" bIns="0" rtlCol="0">
                          <a:prstTxWarp prst="textNoShape">
                            <a:avLst/>
                          </a:prstTxWarp>
                          <a:noAutofit/>
                        </wps:bodyPr>
                      </wps:wsp>
                      <wps:wsp>
                        <wps:cNvPr id="666" name="Graphic 666"/>
                        <wps:cNvSpPr/>
                        <wps:spPr>
                          <a:xfrm>
                            <a:off x="741897" y="65119"/>
                            <a:ext cx="1270" cy="74930"/>
                          </a:xfrm>
                          <a:custGeom>
                            <a:avLst/>
                            <a:gdLst/>
                            <a:ahLst/>
                            <a:cxnLst/>
                            <a:rect l="l" t="t" r="r" b="b"/>
                            <a:pathLst>
                              <a:path h="74930">
                                <a:moveTo>
                                  <a:pt x="0" y="0"/>
                                </a:moveTo>
                                <a:lnTo>
                                  <a:pt x="0" y="74422"/>
                                </a:lnTo>
                              </a:path>
                            </a:pathLst>
                          </a:custGeom>
                          <a:ln w="7752">
                            <a:solidFill>
                              <a:srgbClr val="000000"/>
                            </a:solidFill>
                            <a:prstDash val="solid"/>
                          </a:ln>
                        </wps:spPr>
                        <wps:bodyPr wrap="square" lIns="0" tIns="0" rIns="0" bIns="0" rtlCol="0">
                          <a:prstTxWarp prst="textNoShape">
                            <a:avLst/>
                          </a:prstTxWarp>
                          <a:noAutofit/>
                        </wps:bodyPr>
                      </wps:wsp>
                      <wps:wsp>
                        <wps:cNvPr id="667" name="Graphic 667"/>
                        <wps:cNvSpPr/>
                        <wps:spPr>
                          <a:xfrm>
                            <a:off x="926403" y="65119"/>
                            <a:ext cx="1270" cy="74930"/>
                          </a:xfrm>
                          <a:custGeom>
                            <a:avLst/>
                            <a:gdLst/>
                            <a:ahLst/>
                            <a:cxnLst/>
                            <a:rect l="l" t="t" r="r" b="b"/>
                            <a:pathLst>
                              <a:path h="74930">
                                <a:moveTo>
                                  <a:pt x="0" y="0"/>
                                </a:moveTo>
                                <a:lnTo>
                                  <a:pt x="0" y="74422"/>
                                </a:lnTo>
                              </a:path>
                            </a:pathLst>
                          </a:custGeom>
                          <a:ln w="775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09D63A" id="Group 658" o:spid="_x0000_s1026" style="position:absolute;margin-left:444.75pt;margin-top:97.75pt;width:73.25pt;height:11pt;z-index:-15597568;mso-wrap-distance-left:0;mso-wrap-distance-right:0;mso-position-horizontal-relative:page" coordsize="9302,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">
                <v:shape id="Graphic 659" o:spid="_x0000_s1027" style="position:absolute;left:116;top:279;width:8350;height:12;visibility:visible;mso-wrap-style:square;v-text-anchor:top" coordsize="835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" path="m,l279084,em333351,l834541,e" filled="f" strokeweight=".25839mm">
                  <v:path arrowok="t"/>
                </v:shape>
                <v:shape id="Graphic 660" o:spid="_x0000_s1028" style="position:absolute;left:2907;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" path="m54266,65120l,65120,,,54266,r,65120xe" fillcolor="#0000c0" stroked="f">
                  <v:path arrowok="t"/>
                </v:shape>
                <v:shape id="Graphic 661" o:spid="_x0000_s1029" style="position:absolute;left:38;top:1023;width:9227;height:13;visibility:visible;mso-wrap-style:square;v-text-anchor:top" coordsize="922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" path="m,l922530,e" filled="f" strokeweight=".25839mm">
                  <v:path arrowok="t"/>
                </v:shape>
                <v:shape id="Graphic 662" o:spid="_x0000_s1030" style="position:absolute;left:38;top:651;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" path="m,l,74422e" filled="f" strokeweight=".21533mm">
                  <v:path arrowok="t"/>
                </v:shape>
                <v:shape id="Graphic 663" o:spid="_x0000_s1031" style="position:absolute;left:1883;top:651;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" path="m,l,74422e" filled="f" strokeweight=".21533mm">
                  <v:path arrowok="t"/>
                </v:shape>
                <v:shape id="Graphic 664" o:spid="_x0000_s1032" style="position:absolute;left:3728;top:651;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" path="m,l,74422e" filled="f" strokeweight=".21533mm">
                  <v:path arrowok="t"/>
                </v:shape>
                <v:shape id="Graphic 665" o:spid="_x0000_s1033" style="position:absolute;left:5570;top:651;width:12;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" path="m,l,74422e" filled="f" strokeweight=".21533mm">
                  <v:path arrowok="t"/>
                </v:shape>
                <v:shape id="Graphic 666" o:spid="_x0000_s1034" style="position:absolute;left:7418;top:651;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" path="m,l,74422e" filled="f" strokeweight=".21533mm">
                  <v:path arrowok="t"/>
                </v:shape>
                <v:shape id="Graphic 667" o:spid="_x0000_s1035" style="position:absolute;left:9264;top:651;width:12;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" path="m,l,74422e" filled="f" strokeweight=".21533mm">
                  <v:path arrowok="t"/>
                </v:shape>
                <w10:wrap type="topAndBottom" anchorx="page"/>
              </v:group>
            </w:pict>
          </mc:Fallback>
        </mc:AlternateContent>
      </w:r>
    </w:p>
    <w:p w14:paraId="3244271B" w14:textId="77777777" w:rsidR="00E05B98" w:rsidRPr="003C6DAE" w:rsidRDefault="00E05B98">
      <w:pPr>
        <w:pStyle w:val="a3"/>
        <w:spacing w:before="3"/>
        <w:rPr>
          <w:rFonts w:ascii="Trebuchet MS"/>
          <w:sz w:val="9"/>
          <w:lang w:val="uk-UA"/>
        </w:rPr>
      </w:pPr>
    </w:p>
    <w:p w14:paraId="7B9CFFDC" w14:textId="77777777" w:rsidR="00E05B98" w:rsidRPr="003C6DAE" w:rsidRDefault="00E05B98">
      <w:pPr>
        <w:pStyle w:val="a3"/>
        <w:spacing w:before="3"/>
        <w:rPr>
          <w:rFonts w:ascii="Trebuchet MS"/>
          <w:sz w:val="9"/>
          <w:lang w:val="uk-UA"/>
        </w:rPr>
      </w:pPr>
    </w:p>
    <w:p w14:paraId="51109EF2" w14:textId="77777777" w:rsidR="00E05B98" w:rsidRPr="003C6DAE" w:rsidRDefault="00E05B98">
      <w:pPr>
        <w:pStyle w:val="a3"/>
        <w:spacing w:before="3"/>
        <w:rPr>
          <w:rFonts w:ascii="Trebuchet MS"/>
          <w:sz w:val="9"/>
          <w:lang w:val="uk-UA"/>
        </w:rPr>
      </w:pPr>
    </w:p>
    <w:p w14:paraId="05AE85DB" w14:textId="77777777" w:rsidR="00E05B98" w:rsidRPr="003C6DAE" w:rsidRDefault="00E05B98">
      <w:pPr>
        <w:pStyle w:val="a3"/>
        <w:spacing w:before="3"/>
        <w:rPr>
          <w:rFonts w:ascii="Trebuchet MS"/>
          <w:sz w:val="9"/>
          <w:lang w:val="uk-UA"/>
        </w:rPr>
      </w:pPr>
    </w:p>
    <w:p w14:paraId="1351D12B" w14:textId="77777777" w:rsidR="00E05B98" w:rsidRPr="003C6DAE" w:rsidRDefault="00E05B98">
      <w:pPr>
        <w:pStyle w:val="a3"/>
        <w:spacing w:before="3"/>
        <w:rPr>
          <w:rFonts w:ascii="Trebuchet MS"/>
          <w:sz w:val="9"/>
          <w:lang w:val="uk-UA"/>
        </w:rPr>
      </w:pPr>
    </w:p>
    <w:p w14:paraId="44D21159" w14:textId="77777777" w:rsidR="00E05B98" w:rsidRPr="003C6DAE" w:rsidRDefault="00E05B98">
      <w:pPr>
        <w:pStyle w:val="a3"/>
        <w:spacing w:before="3"/>
        <w:rPr>
          <w:rFonts w:ascii="Trebuchet MS"/>
          <w:sz w:val="9"/>
          <w:lang w:val="uk-UA"/>
        </w:rPr>
      </w:pPr>
    </w:p>
    <w:p w14:paraId="49F05C0C" w14:textId="77777777" w:rsidR="00E05B98" w:rsidRPr="003C6DAE" w:rsidRDefault="00E05B98">
      <w:pPr>
        <w:pStyle w:val="a3"/>
        <w:spacing w:before="3"/>
        <w:rPr>
          <w:rFonts w:ascii="Trebuchet MS"/>
          <w:sz w:val="9"/>
          <w:lang w:val="uk-UA"/>
        </w:rPr>
      </w:pPr>
    </w:p>
    <w:p w14:paraId="25081499" w14:textId="77777777" w:rsidR="00E05B98" w:rsidRPr="003C6DAE" w:rsidRDefault="00E05B98">
      <w:pPr>
        <w:pStyle w:val="a3"/>
        <w:spacing w:before="3"/>
        <w:rPr>
          <w:rFonts w:ascii="Trebuchet MS"/>
          <w:sz w:val="9"/>
          <w:lang w:val="uk-UA"/>
        </w:rPr>
      </w:pPr>
    </w:p>
    <w:p w14:paraId="420AFC10" w14:textId="77777777" w:rsidR="00E05B98" w:rsidRPr="003C6DAE" w:rsidRDefault="00B01E0C">
      <w:pPr>
        <w:spacing w:before="3"/>
        <w:ind w:left="100"/>
        <w:rPr>
          <w:rFonts w:ascii="Trebuchet MS"/>
          <w:sz w:val="17"/>
          <w:lang w:val="uk-UA"/>
        </w:rPr>
      </w:pPr>
      <w:r w:rsidRPr="003C6DAE">
        <w:rPr>
          <w:rFonts w:ascii="Trebuchet MS"/>
          <w:w w:val="85"/>
          <w:sz w:val="17"/>
          <w:lang w:val="uk-UA"/>
        </w:rPr>
        <w:t>0</w:t>
      </w:r>
      <w:r w:rsidRPr="003C6DAE">
        <w:rPr>
          <w:rFonts w:ascii="Trebuchet MS"/>
          <w:spacing w:val="52"/>
          <w:sz w:val="17"/>
          <w:lang w:val="uk-UA"/>
        </w:rPr>
        <w:t xml:space="preserve"> </w:t>
      </w:r>
      <w:r w:rsidRPr="003C6DAE">
        <w:rPr>
          <w:rFonts w:ascii="Trebuchet MS"/>
          <w:w w:val="85"/>
          <w:sz w:val="17"/>
          <w:lang w:val="uk-UA"/>
        </w:rPr>
        <w:t>0.2</w:t>
      </w:r>
      <w:r w:rsidRPr="003C6DAE">
        <w:rPr>
          <w:rFonts w:ascii="Trebuchet MS"/>
          <w:spacing w:val="35"/>
          <w:sz w:val="17"/>
          <w:lang w:val="uk-UA"/>
        </w:rPr>
        <w:t xml:space="preserve"> </w:t>
      </w:r>
      <w:r w:rsidRPr="003C6DAE">
        <w:rPr>
          <w:rFonts w:ascii="Trebuchet MS"/>
          <w:w w:val="85"/>
          <w:sz w:val="17"/>
          <w:lang w:val="uk-UA"/>
        </w:rPr>
        <w:t>0.4</w:t>
      </w:r>
      <w:r w:rsidRPr="003C6DAE">
        <w:rPr>
          <w:rFonts w:ascii="Trebuchet MS"/>
          <w:spacing w:val="34"/>
          <w:sz w:val="17"/>
          <w:lang w:val="uk-UA"/>
        </w:rPr>
        <w:t xml:space="preserve"> </w:t>
      </w:r>
      <w:r w:rsidRPr="003C6DAE">
        <w:rPr>
          <w:rFonts w:ascii="Trebuchet MS"/>
          <w:w w:val="85"/>
          <w:sz w:val="17"/>
          <w:lang w:val="uk-UA"/>
        </w:rPr>
        <w:t>0.6</w:t>
      </w:r>
      <w:r w:rsidRPr="003C6DAE">
        <w:rPr>
          <w:rFonts w:ascii="Trebuchet MS"/>
          <w:spacing w:val="34"/>
          <w:sz w:val="17"/>
          <w:lang w:val="uk-UA"/>
        </w:rPr>
        <w:t xml:space="preserve"> </w:t>
      </w:r>
      <w:r w:rsidRPr="003C6DAE">
        <w:rPr>
          <w:rFonts w:ascii="Trebuchet MS"/>
          <w:w w:val="85"/>
          <w:sz w:val="17"/>
          <w:lang w:val="uk-UA"/>
        </w:rPr>
        <w:t>0.8</w:t>
      </w:r>
      <w:r w:rsidRPr="003C6DAE">
        <w:rPr>
          <w:rFonts w:ascii="Trebuchet MS"/>
          <w:spacing w:val="53"/>
          <w:sz w:val="17"/>
          <w:lang w:val="uk-UA"/>
        </w:rPr>
        <w:t xml:space="preserve"> </w:t>
      </w:r>
      <w:r w:rsidRPr="003C6DAE">
        <w:rPr>
          <w:rFonts w:ascii="Trebuchet MS"/>
          <w:spacing w:val="-10"/>
          <w:w w:val="85"/>
          <w:sz w:val="17"/>
          <w:lang w:val="uk-UA"/>
        </w:rPr>
        <w:t>1</w:t>
      </w:r>
    </w:p>
    <w:p w14:paraId="3A74BA6B" w14:textId="77777777" w:rsidR="00E05B98" w:rsidRPr="003C6DAE" w:rsidRDefault="00E05B98">
      <w:pPr>
        <w:rPr>
          <w:rFonts w:ascii="Trebuchet MS"/>
          <w:sz w:val="17"/>
          <w:lang w:val="uk-UA"/>
        </w:rPr>
        <w:sectPr w:rsidR="00E05B98" w:rsidRPr="003C6DAE">
          <w:type w:val="continuous"/>
          <w:pgSz w:w="11910" w:h="16840"/>
          <w:pgMar w:top="1920" w:right="1275" w:bottom="280" w:left="850" w:header="0" w:footer="573" w:gutter="0"/>
          <w:cols w:num="7" w:space="720" w:equalWidth="0">
            <w:col w:w="2118" w:space="40"/>
            <w:col w:w="708" w:space="39"/>
            <w:col w:w="576" w:space="39"/>
            <w:col w:w="1450" w:space="39"/>
            <w:col w:w="1413" w:space="40"/>
            <w:col w:w="1449" w:space="40"/>
            <w:col w:w="1834"/>
          </w:cols>
        </w:sectPr>
      </w:pPr>
    </w:p>
    <w:p w14:paraId="2B207516" w14:textId="7816596E" w:rsidR="00E05B98" w:rsidRPr="003C6DAE" w:rsidRDefault="00B01E0C" w:rsidP="00C54239">
      <w:pPr>
        <w:tabs>
          <w:tab w:val="left" w:pos="1896"/>
          <w:tab w:val="left" w:pos="2656"/>
          <w:tab w:val="left" w:pos="3503"/>
          <w:tab w:val="left" w:pos="5067"/>
          <w:tab w:val="left" w:pos="8028"/>
        </w:tabs>
        <w:spacing w:before="143" w:line="320" w:lineRule="atLeast"/>
        <w:ind w:left="697" w:right="146"/>
        <w:rPr>
          <w:rFonts w:ascii="Trebuchet MS"/>
          <w:position w:val="-7"/>
          <w:sz w:val="18"/>
          <w:lang w:val="uk-UA"/>
        </w:rPr>
      </w:pPr>
      <w:r w:rsidRPr="003C6DAE">
        <w:rPr>
          <w:rFonts w:ascii="Trebuchet MS"/>
          <w:noProof/>
          <w:position w:val="-7"/>
          <w:sz w:val="18"/>
          <w:lang w:val="uk-UA"/>
        </w:rPr>
        <mc:AlternateContent>
          <mc:Choice Requires="wpg">
            <w:drawing>
              <wp:anchor distT="0" distB="0" distL="0" distR="0" simplePos="0" relativeHeight="481489920" behindDoc="1" locked="0" layoutInCell="1" allowOverlap="1" wp14:anchorId="5132060C" wp14:editId="0A949424">
                <wp:simplePos x="0" y="0"/>
                <wp:positionH relativeFrom="page">
                  <wp:posOffset>5579986</wp:posOffset>
                </wp:positionH>
                <wp:positionV relativeFrom="paragraph">
                  <wp:posOffset>348449</wp:posOffset>
                </wp:positionV>
                <wp:extent cx="993140" cy="149225"/>
                <wp:effectExtent l="0" t="0" r="0" b="0"/>
                <wp:wrapNone/>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3140" cy="149225"/>
                          <a:chOff x="0" y="0"/>
                          <a:chExt cx="993140" cy="149225"/>
                        </a:xfrm>
                      </wpg:grpSpPr>
                      <wps:wsp>
                        <wps:cNvPr id="669" name="Graphic 669"/>
                        <wps:cNvSpPr/>
                        <wps:spPr>
                          <a:xfrm>
                            <a:off x="447724" y="29793"/>
                            <a:ext cx="222250" cy="1270"/>
                          </a:xfrm>
                          <a:custGeom>
                            <a:avLst/>
                            <a:gdLst/>
                            <a:ahLst/>
                            <a:cxnLst/>
                            <a:rect l="l" t="t" r="r" b="b"/>
                            <a:pathLst>
                              <a:path w="222250">
                                <a:moveTo>
                                  <a:pt x="0" y="0"/>
                                </a:moveTo>
                                <a:lnTo>
                                  <a:pt x="88550" y="0"/>
                                </a:lnTo>
                              </a:path>
                              <a:path w="222250">
                                <a:moveTo>
                                  <a:pt x="146482" y="0"/>
                                </a:moveTo>
                                <a:lnTo>
                                  <a:pt x="222206" y="0"/>
                                </a:lnTo>
                              </a:path>
                            </a:pathLst>
                          </a:custGeom>
                          <a:ln w="9931">
                            <a:solidFill>
                              <a:srgbClr val="000000"/>
                            </a:solidFill>
                            <a:prstDash val="solid"/>
                          </a:ln>
                        </wps:spPr>
                        <wps:bodyPr wrap="square" lIns="0" tIns="0" rIns="0" bIns="0" rtlCol="0">
                          <a:prstTxWarp prst="textNoShape">
                            <a:avLst/>
                          </a:prstTxWarp>
                          <a:noAutofit/>
                        </wps:bodyPr>
                      </wps:wsp>
                      <wps:wsp>
                        <wps:cNvPr id="670" name="Graphic 670"/>
                        <wps:cNvSpPr/>
                        <wps:spPr>
                          <a:xfrm>
                            <a:off x="536275" y="0"/>
                            <a:ext cx="58419" cy="69850"/>
                          </a:xfrm>
                          <a:custGeom>
                            <a:avLst/>
                            <a:gdLst/>
                            <a:ahLst/>
                            <a:cxnLst/>
                            <a:rect l="l" t="t" r="r" b="b"/>
                            <a:pathLst>
                              <a:path w="58419" h="69850">
                                <a:moveTo>
                                  <a:pt x="57931" y="69517"/>
                                </a:moveTo>
                                <a:lnTo>
                                  <a:pt x="0" y="69517"/>
                                </a:lnTo>
                                <a:lnTo>
                                  <a:pt x="0" y="0"/>
                                </a:lnTo>
                                <a:lnTo>
                                  <a:pt x="57931" y="0"/>
                                </a:lnTo>
                                <a:lnTo>
                                  <a:pt x="57931" y="69517"/>
                                </a:lnTo>
                                <a:close/>
                              </a:path>
                            </a:pathLst>
                          </a:custGeom>
                          <a:solidFill>
                            <a:srgbClr val="0000C0"/>
                          </a:solidFill>
                        </wps:spPr>
                        <wps:bodyPr wrap="square" lIns="0" tIns="0" rIns="0" bIns="0" rtlCol="0">
                          <a:prstTxWarp prst="textNoShape">
                            <a:avLst/>
                          </a:prstTxWarp>
                          <a:noAutofit/>
                        </wps:bodyPr>
                      </wps:wsp>
                      <wps:wsp>
                        <wps:cNvPr id="671" name="Graphic 671"/>
                        <wps:cNvSpPr/>
                        <wps:spPr>
                          <a:xfrm>
                            <a:off x="4138" y="109241"/>
                            <a:ext cx="984885" cy="1270"/>
                          </a:xfrm>
                          <a:custGeom>
                            <a:avLst/>
                            <a:gdLst/>
                            <a:ahLst/>
                            <a:cxnLst/>
                            <a:rect l="l" t="t" r="r" b="b"/>
                            <a:pathLst>
                              <a:path w="984885">
                                <a:moveTo>
                                  <a:pt x="0" y="0"/>
                                </a:moveTo>
                                <a:lnTo>
                                  <a:pt x="984826" y="0"/>
                                </a:lnTo>
                              </a:path>
                            </a:pathLst>
                          </a:custGeom>
                          <a:ln w="9931">
                            <a:solidFill>
                              <a:srgbClr val="000000"/>
                            </a:solidFill>
                            <a:prstDash val="solid"/>
                          </a:ln>
                        </wps:spPr>
                        <wps:bodyPr wrap="square" lIns="0" tIns="0" rIns="0" bIns="0" rtlCol="0">
                          <a:prstTxWarp prst="textNoShape">
                            <a:avLst/>
                          </a:prstTxWarp>
                          <a:noAutofit/>
                        </wps:bodyPr>
                      </wps:wsp>
                      <wps:wsp>
                        <wps:cNvPr id="672" name="Graphic 672"/>
                        <wps:cNvSpPr/>
                        <wps:spPr>
                          <a:xfrm>
                            <a:off x="4137" y="69517"/>
                            <a:ext cx="1270" cy="80010"/>
                          </a:xfrm>
                          <a:custGeom>
                            <a:avLst/>
                            <a:gdLst/>
                            <a:ahLst/>
                            <a:cxnLst/>
                            <a:rect l="l" t="t" r="r" b="b"/>
                            <a:pathLst>
                              <a:path h="80010">
                                <a:moveTo>
                                  <a:pt x="0" y="0"/>
                                </a:moveTo>
                                <a:lnTo>
                                  <a:pt x="0" y="79448"/>
                                </a:lnTo>
                              </a:path>
                            </a:pathLst>
                          </a:custGeom>
                          <a:ln w="8275">
                            <a:solidFill>
                              <a:srgbClr val="000000"/>
                            </a:solidFill>
                            <a:prstDash val="solid"/>
                          </a:ln>
                        </wps:spPr>
                        <wps:bodyPr wrap="square" lIns="0" tIns="0" rIns="0" bIns="0" rtlCol="0">
                          <a:prstTxWarp prst="textNoShape">
                            <a:avLst/>
                          </a:prstTxWarp>
                          <a:noAutofit/>
                        </wps:bodyPr>
                      </wps:wsp>
                      <wps:wsp>
                        <wps:cNvPr id="673" name="Graphic 673"/>
                        <wps:cNvSpPr/>
                        <wps:spPr>
                          <a:xfrm>
                            <a:off x="201102" y="69517"/>
                            <a:ext cx="1270" cy="80010"/>
                          </a:xfrm>
                          <a:custGeom>
                            <a:avLst/>
                            <a:gdLst/>
                            <a:ahLst/>
                            <a:cxnLst/>
                            <a:rect l="l" t="t" r="r" b="b"/>
                            <a:pathLst>
                              <a:path h="80010">
                                <a:moveTo>
                                  <a:pt x="0" y="0"/>
                                </a:moveTo>
                                <a:lnTo>
                                  <a:pt x="0" y="79448"/>
                                </a:lnTo>
                              </a:path>
                            </a:pathLst>
                          </a:custGeom>
                          <a:ln w="8275">
                            <a:solidFill>
                              <a:srgbClr val="000000"/>
                            </a:solidFill>
                            <a:prstDash val="solid"/>
                          </a:ln>
                        </wps:spPr>
                        <wps:bodyPr wrap="square" lIns="0" tIns="0" rIns="0" bIns="0" rtlCol="0">
                          <a:prstTxWarp prst="textNoShape">
                            <a:avLst/>
                          </a:prstTxWarp>
                          <a:noAutofit/>
                        </wps:bodyPr>
                      </wps:wsp>
                      <wps:wsp>
                        <wps:cNvPr id="674" name="Graphic 674"/>
                        <wps:cNvSpPr/>
                        <wps:spPr>
                          <a:xfrm>
                            <a:off x="398067" y="69517"/>
                            <a:ext cx="1270" cy="80010"/>
                          </a:xfrm>
                          <a:custGeom>
                            <a:avLst/>
                            <a:gdLst/>
                            <a:ahLst/>
                            <a:cxnLst/>
                            <a:rect l="l" t="t" r="r" b="b"/>
                            <a:pathLst>
                              <a:path h="80010">
                                <a:moveTo>
                                  <a:pt x="0" y="0"/>
                                </a:moveTo>
                                <a:lnTo>
                                  <a:pt x="0" y="79448"/>
                                </a:lnTo>
                              </a:path>
                            </a:pathLst>
                          </a:custGeom>
                          <a:ln w="8275">
                            <a:solidFill>
                              <a:srgbClr val="000000"/>
                            </a:solidFill>
                            <a:prstDash val="solid"/>
                          </a:ln>
                        </wps:spPr>
                        <wps:bodyPr wrap="square" lIns="0" tIns="0" rIns="0" bIns="0" rtlCol="0">
                          <a:prstTxWarp prst="textNoShape">
                            <a:avLst/>
                          </a:prstTxWarp>
                          <a:noAutofit/>
                        </wps:bodyPr>
                      </wps:wsp>
                      <wps:wsp>
                        <wps:cNvPr id="675" name="Graphic 675"/>
                        <wps:cNvSpPr/>
                        <wps:spPr>
                          <a:xfrm>
                            <a:off x="594617" y="69517"/>
                            <a:ext cx="1270" cy="80010"/>
                          </a:xfrm>
                          <a:custGeom>
                            <a:avLst/>
                            <a:gdLst/>
                            <a:ahLst/>
                            <a:cxnLst/>
                            <a:rect l="l" t="t" r="r" b="b"/>
                            <a:pathLst>
                              <a:path h="80010">
                                <a:moveTo>
                                  <a:pt x="0" y="0"/>
                                </a:moveTo>
                                <a:lnTo>
                                  <a:pt x="0" y="79448"/>
                                </a:lnTo>
                              </a:path>
                            </a:pathLst>
                          </a:custGeom>
                          <a:ln w="8275">
                            <a:solidFill>
                              <a:srgbClr val="000000"/>
                            </a:solidFill>
                            <a:prstDash val="solid"/>
                          </a:ln>
                        </wps:spPr>
                        <wps:bodyPr wrap="square" lIns="0" tIns="0" rIns="0" bIns="0" rtlCol="0">
                          <a:prstTxWarp prst="textNoShape">
                            <a:avLst/>
                          </a:prstTxWarp>
                          <a:noAutofit/>
                        </wps:bodyPr>
                      </wps:wsp>
                      <wps:wsp>
                        <wps:cNvPr id="676" name="Graphic 676"/>
                        <wps:cNvSpPr/>
                        <wps:spPr>
                          <a:xfrm>
                            <a:off x="791996" y="69517"/>
                            <a:ext cx="1270" cy="80010"/>
                          </a:xfrm>
                          <a:custGeom>
                            <a:avLst/>
                            <a:gdLst/>
                            <a:ahLst/>
                            <a:cxnLst/>
                            <a:rect l="l" t="t" r="r" b="b"/>
                            <a:pathLst>
                              <a:path h="80010">
                                <a:moveTo>
                                  <a:pt x="0" y="0"/>
                                </a:moveTo>
                                <a:lnTo>
                                  <a:pt x="0" y="79448"/>
                                </a:lnTo>
                              </a:path>
                            </a:pathLst>
                          </a:custGeom>
                          <a:ln w="8275">
                            <a:solidFill>
                              <a:srgbClr val="000000"/>
                            </a:solidFill>
                            <a:prstDash val="solid"/>
                          </a:ln>
                        </wps:spPr>
                        <wps:bodyPr wrap="square" lIns="0" tIns="0" rIns="0" bIns="0" rtlCol="0">
                          <a:prstTxWarp prst="textNoShape">
                            <a:avLst/>
                          </a:prstTxWarp>
                          <a:noAutofit/>
                        </wps:bodyPr>
                      </wps:wsp>
                      <wps:wsp>
                        <wps:cNvPr id="677" name="Graphic 677"/>
                        <wps:cNvSpPr/>
                        <wps:spPr>
                          <a:xfrm>
                            <a:off x="988960" y="69517"/>
                            <a:ext cx="1270" cy="80010"/>
                          </a:xfrm>
                          <a:custGeom>
                            <a:avLst/>
                            <a:gdLst/>
                            <a:ahLst/>
                            <a:cxnLst/>
                            <a:rect l="l" t="t" r="r" b="b"/>
                            <a:pathLst>
                              <a:path h="80010">
                                <a:moveTo>
                                  <a:pt x="0" y="0"/>
                                </a:moveTo>
                                <a:lnTo>
                                  <a:pt x="0" y="79448"/>
                                </a:lnTo>
                              </a:path>
                            </a:pathLst>
                          </a:custGeom>
                          <a:ln w="8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B61167" id="Group 668" o:spid="_x0000_s1026" style="position:absolute;margin-left:439.35pt;margin-top:27.45pt;width:78.2pt;height:11.75pt;z-index:-21826560;mso-wrap-distance-left:0;mso-wrap-distance-right:0;mso-position-horizontal-relative:page" coordsize="9931,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">
                <v:shape id="Graphic 669" o:spid="_x0000_s1027" style="position:absolute;left:4477;top:297;width:2222;height:13;visibility:visible;mso-wrap-style:square;v-text-anchor:top" coordsize="222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" path="m,l88550,em146482,r75724,e" filled="f" strokeweight=".27586mm">
                  <v:path arrowok="t"/>
                </v:shape>
                <v:shape id="Graphic 670" o:spid="_x0000_s1028" style="position:absolute;left:5362;width:584;height:698;visibility:visible;mso-wrap-style:square;v-text-anchor:top" coordsize="58419,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" path="m57931,69517l,69517,,,57931,r,69517xe" fillcolor="#0000c0" stroked="f">
                  <v:path arrowok="t"/>
                </v:shape>
                <v:shape id="Graphic 671" o:spid="_x0000_s1029" style="position:absolute;left:41;top:1092;width:9849;height:13;visibility:visible;mso-wrap-style:square;v-text-anchor:top" coordsize="984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" path="m,l984826,e" filled="f" strokeweight=".27586mm">
                  <v:path arrowok="t"/>
                </v:shape>
                <v:shape id="Graphic 672" o:spid="_x0000_s1030" style="position:absolute;left:41;top:695;width:13;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" path="m,l,79448e" filled="f" strokeweight=".22986mm">
                  <v:path arrowok="t"/>
                </v:shape>
                <v:shape id="Graphic 673" o:spid="_x0000_s1031" style="position:absolute;left:2011;top:695;width:12;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" path="m,l,79448e" filled="f" strokeweight=".22986mm">
                  <v:path arrowok="t"/>
                </v:shape>
                <v:shape id="Graphic 674" o:spid="_x0000_s1032" style="position:absolute;left:3980;top:695;width:13;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" path="m,l,79448e" filled="f" strokeweight=".22986mm">
                  <v:path arrowok="t"/>
                </v:shape>
                <v:shape id="Graphic 675" o:spid="_x0000_s1033" style="position:absolute;left:5946;top:695;width:12;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" path="m,l,79448e" filled="f" strokeweight=".22986mm">
                  <v:path arrowok="t"/>
                </v:shape>
                <v:shape id="Graphic 676" o:spid="_x0000_s1034" style="position:absolute;left:7919;top:695;width:13;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" path="m,l,79448e" filled="f" strokeweight=".22986mm">
                  <v:path arrowok="t"/>
                </v:shape>
                <v:shape id="Graphic 677" o:spid="_x0000_s1035" style="position:absolute;left:9889;top:695;width:13;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" path="m,l,79448e" filled="f" strokeweight=".22986mm">
                  <v:path arrowok="t"/>
                </v:shape>
                <w10:wrap anchorx="page"/>
              </v:group>
            </w:pict>
          </mc:Fallback>
        </mc:AlternateContent>
      </w:r>
      <w:r w:rsidR="00C54239" w:rsidRPr="003C6DAE">
        <w:rPr>
          <w:rFonts w:ascii="Trebuchet MS"/>
          <w:color w:val="333333"/>
          <w:w w:val="90"/>
          <w:sz w:val="18"/>
          <w:lang w:val="uk-UA"/>
        </w:rPr>
        <w:t>Дослідження</w:t>
      </w:r>
      <w:r w:rsidRPr="003C6DAE">
        <w:rPr>
          <w:rFonts w:ascii="Trebuchet MS"/>
          <w:color w:val="333333"/>
          <w:sz w:val="18"/>
          <w:lang w:val="uk-UA"/>
        </w:rPr>
        <w:tab/>
      </w:r>
      <w:r w:rsidRPr="003C6DAE">
        <w:rPr>
          <w:rFonts w:ascii="Trebuchet MS"/>
          <w:color w:val="333333"/>
          <w:w w:val="90"/>
          <w:sz w:val="18"/>
          <w:lang w:val="uk-UA"/>
        </w:rPr>
        <w:t>TP</w:t>
      </w:r>
      <w:r w:rsidRPr="003C6DAE">
        <w:rPr>
          <w:rFonts w:ascii="Trebuchet MS"/>
          <w:color w:val="333333"/>
          <w:spacing w:val="80"/>
          <w:sz w:val="18"/>
          <w:lang w:val="uk-UA"/>
        </w:rPr>
        <w:t xml:space="preserve"> </w:t>
      </w:r>
      <w:r w:rsidRPr="003C6DAE">
        <w:rPr>
          <w:rFonts w:ascii="Trebuchet MS"/>
          <w:color w:val="333333"/>
          <w:w w:val="90"/>
          <w:sz w:val="18"/>
          <w:lang w:val="uk-UA"/>
        </w:rPr>
        <w:t>FP</w:t>
      </w:r>
      <w:r w:rsidRPr="003C6DAE">
        <w:rPr>
          <w:rFonts w:ascii="Trebuchet MS"/>
          <w:color w:val="333333"/>
          <w:spacing w:val="80"/>
          <w:sz w:val="18"/>
          <w:lang w:val="uk-UA"/>
        </w:rPr>
        <w:t xml:space="preserve"> </w:t>
      </w:r>
      <w:r w:rsidRPr="003C6DAE">
        <w:rPr>
          <w:rFonts w:ascii="Trebuchet MS"/>
          <w:color w:val="333333"/>
          <w:w w:val="90"/>
          <w:sz w:val="18"/>
          <w:lang w:val="uk-UA"/>
        </w:rPr>
        <w:t>FN</w:t>
      </w:r>
      <w:r w:rsidRPr="003C6DAE">
        <w:rPr>
          <w:rFonts w:ascii="Trebuchet MS"/>
          <w:color w:val="333333"/>
          <w:spacing w:val="40"/>
          <w:sz w:val="18"/>
          <w:lang w:val="uk-UA"/>
        </w:rPr>
        <w:t xml:space="preserve"> </w:t>
      </w:r>
      <w:r w:rsidRPr="003C6DAE">
        <w:rPr>
          <w:rFonts w:ascii="Trebuchet MS"/>
          <w:color w:val="333333"/>
          <w:w w:val="90"/>
          <w:sz w:val="18"/>
          <w:lang w:val="uk-UA"/>
        </w:rPr>
        <w:t>TN</w:t>
      </w:r>
      <w:r w:rsidRPr="003C6DAE">
        <w:rPr>
          <w:rFonts w:ascii="Trebuchet MS"/>
          <w:color w:val="333333"/>
          <w:spacing w:val="80"/>
          <w:sz w:val="18"/>
          <w:lang w:val="uk-UA"/>
        </w:rPr>
        <w:t xml:space="preserve"> </w:t>
      </w:r>
      <w:r w:rsidR="00C54239" w:rsidRPr="003C6DAE">
        <w:rPr>
          <w:rFonts w:ascii="Trebuchet MS"/>
          <w:color w:val="333333"/>
          <w:w w:val="90"/>
          <w:sz w:val="18"/>
          <w:lang w:val="uk-UA"/>
        </w:rPr>
        <w:t>Чутливість</w:t>
      </w:r>
      <w:r w:rsidRPr="003C6DAE">
        <w:rPr>
          <w:rFonts w:ascii="Trebuchet MS"/>
          <w:color w:val="333333"/>
          <w:w w:val="90"/>
          <w:sz w:val="18"/>
          <w:lang w:val="uk-UA"/>
        </w:rPr>
        <w:t xml:space="preserve"> (95% </w:t>
      </w:r>
      <w:r w:rsidR="00C54239" w:rsidRPr="003C6DAE">
        <w:rPr>
          <w:rFonts w:ascii="Trebuchet MS"/>
          <w:color w:val="333333"/>
          <w:w w:val="90"/>
          <w:sz w:val="18"/>
          <w:lang w:val="uk-UA"/>
        </w:rPr>
        <w:t>ДІ</w:t>
      </w:r>
      <w:r w:rsidRPr="003C6DAE">
        <w:rPr>
          <w:rFonts w:ascii="Trebuchet MS"/>
          <w:color w:val="333333"/>
          <w:w w:val="90"/>
          <w:sz w:val="18"/>
          <w:lang w:val="uk-UA"/>
        </w:rPr>
        <w:t>)</w:t>
      </w:r>
      <w:r w:rsidRPr="003C6DAE">
        <w:rPr>
          <w:rFonts w:ascii="Trebuchet MS"/>
          <w:color w:val="333333"/>
          <w:spacing w:val="40"/>
          <w:sz w:val="18"/>
          <w:lang w:val="uk-UA"/>
        </w:rPr>
        <w:t xml:space="preserve"> </w:t>
      </w:r>
      <w:r w:rsidR="00C54239" w:rsidRPr="003C6DAE">
        <w:rPr>
          <w:rFonts w:ascii="Trebuchet MS"/>
          <w:color w:val="333333"/>
          <w:w w:val="90"/>
          <w:sz w:val="18"/>
          <w:lang w:val="uk-UA"/>
        </w:rPr>
        <w:t>Специфічність</w:t>
      </w:r>
      <w:r w:rsidRPr="003C6DAE">
        <w:rPr>
          <w:rFonts w:ascii="Trebuchet MS"/>
          <w:color w:val="333333"/>
          <w:w w:val="90"/>
          <w:sz w:val="18"/>
          <w:lang w:val="uk-UA"/>
        </w:rPr>
        <w:t xml:space="preserve"> (95% </w:t>
      </w:r>
      <w:r w:rsidR="00C54239" w:rsidRPr="003C6DAE">
        <w:rPr>
          <w:rFonts w:ascii="Trebuchet MS"/>
          <w:color w:val="333333"/>
          <w:w w:val="90"/>
          <w:sz w:val="18"/>
          <w:lang w:val="uk-UA"/>
        </w:rPr>
        <w:t>ДІ</w:t>
      </w:r>
      <w:r w:rsidRPr="003C6DAE">
        <w:rPr>
          <w:rFonts w:ascii="Trebuchet MS"/>
          <w:color w:val="333333"/>
          <w:w w:val="90"/>
          <w:sz w:val="18"/>
          <w:lang w:val="uk-UA"/>
        </w:rPr>
        <w:t>)</w:t>
      </w:r>
      <w:r w:rsidRPr="003C6DAE">
        <w:rPr>
          <w:rFonts w:ascii="Trebuchet MS"/>
          <w:color w:val="333333"/>
          <w:spacing w:val="40"/>
          <w:sz w:val="18"/>
          <w:lang w:val="uk-UA"/>
        </w:rPr>
        <w:t xml:space="preserve"> </w:t>
      </w:r>
      <w:r w:rsidR="00C54239" w:rsidRPr="003C6DAE">
        <w:rPr>
          <w:rFonts w:ascii="Trebuchet MS"/>
          <w:color w:val="333333"/>
          <w:w w:val="90"/>
          <w:sz w:val="18"/>
          <w:lang w:val="uk-UA"/>
        </w:rPr>
        <w:t>Чутливість</w:t>
      </w:r>
      <w:r w:rsidRPr="003C6DAE">
        <w:rPr>
          <w:rFonts w:ascii="Trebuchet MS"/>
          <w:color w:val="333333"/>
          <w:w w:val="90"/>
          <w:sz w:val="18"/>
          <w:lang w:val="uk-UA"/>
        </w:rPr>
        <w:t xml:space="preserve"> (95% </w:t>
      </w:r>
      <w:r w:rsidR="00C54239" w:rsidRPr="003C6DAE">
        <w:rPr>
          <w:rFonts w:ascii="Trebuchet MS"/>
          <w:color w:val="333333"/>
          <w:w w:val="90"/>
          <w:sz w:val="18"/>
          <w:lang w:val="uk-UA"/>
        </w:rPr>
        <w:t>ДІ</w:t>
      </w:r>
      <w:r w:rsidRPr="003C6DAE">
        <w:rPr>
          <w:rFonts w:ascii="Trebuchet MS"/>
          <w:color w:val="333333"/>
          <w:w w:val="90"/>
          <w:sz w:val="18"/>
          <w:lang w:val="uk-UA"/>
        </w:rPr>
        <w:t>)</w:t>
      </w:r>
      <w:r w:rsidRPr="003C6DAE">
        <w:rPr>
          <w:rFonts w:ascii="Trebuchet MS"/>
          <w:color w:val="333333"/>
          <w:sz w:val="18"/>
          <w:lang w:val="uk-UA"/>
        </w:rPr>
        <w:tab/>
      </w:r>
      <w:r w:rsidR="00C54239" w:rsidRPr="003C6DAE">
        <w:rPr>
          <w:rFonts w:ascii="Trebuchet MS"/>
          <w:color w:val="333333"/>
          <w:w w:val="80"/>
          <w:sz w:val="18"/>
          <w:lang w:val="uk-UA"/>
        </w:rPr>
        <w:t>Специфічність</w:t>
      </w:r>
      <w:r w:rsidRPr="003C6DAE">
        <w:rPr>
          <w:rFonts w:ascii="Trebuchet MS"/>
          <w:color w:val="333333"/>
          <w:sz w:val="18"/>
          <w:lang w:val="uk-UA"/>
        </w:rPr>
        <w:t xml:space="preserve"> </w:t>
      </w:r>
      <w:r w:rsidRPr="003C6DAE">
        <w:rPr>
          <w:rFonts w:ascii="Trebuchet MS"/>
          <w:color w:val="333333"/>
          <w:w w:val="80"/>
          <w:sz w:val="18"/>
          <w:lang w:val="uk-UA"/>
        </w:rPr>
        <w:t>(95%</w:t>
      </w:r>
      <w:r w:rsidRPr="003C6DAE">
        <w:rPr>
          <w:rFonts w:ascii="Trebuchet MS"/>
          <w:color w:val="333333"/>
          <w:sz w:val="18"/>
          <w:lang w:val="uk-UA"/>
        </w:rPr>
        <w:t xml:space="preserve"> </w:t>
      </w:r>
      <w:r w:rsidR="00C54239" w:rsidRPr="003C6DAE">
        <w:rPr>
          <w:rFonts w:ascii="Trebuchet MS"/>
          <w:color w:val="333333"/>
          <w:w w:val="80"/>
          <w:sz w:val="18"/>
          <w:lang w:val="uk-UA"/>
        </w:rPr>
        <w:t>ДІ</w:t>
      </w:r>
      <w:r w:rsidRPr="003C6DAE">
        <w:rPr>
          <w:rFonts w:ascii="Trebuchet MS"/>
          <w:color w:val="333333"/>
          <w:w w:val="80"/>
          <w:sz w:val="18"/>
          <w:lang w:val="uk-UA"/>
        </w:rPr>
        <w:t xml:space="preserve">) </w:t>
      </w:r>
      <w:proofErr w:type="spellStart"/>
      <w:r w:rsidRPr="003C6DAE">
        <w:rPr>
          <w:rFonts w:ascii="Trebuchet MS"/>
          <w:w w:val="90"/>
          <w:sz w:val="18"/>
          <w:lang w:val="uk-UA"/>
        </w:rPr>
        <w:t>Sharma</w:t>
      </w:r>
      <w:proofErr w:type="spellEnd"/>
      <w:r w:rsidRPr="003C6DAE">
        <w:rPr>
          <w:rFonts w:ascii="Trebuchet MS"/>
          <w:w w:val="90"/>
          <w:sz w:val="18"/>
          <w:lang w:val="uk-UA"/>
        </w:rPr>
        <w:t xml:space="preserve"> 2023</w:t>
      </w:r>
      <w:r w:rsidRPr="003C6DAE">
        <w:rPr>
          <w:rFonts w:ascii="Trebuchet MS"/>
          <w:sz w:val="18"/>
          <w:lang w:val="uk-UA"/>
        </w:rPr>
        <w:tab/>
      </w:r>
      <w:r w:rsidRPr="003C6DAE">
        <w:rPr>
          <w:rFonts w:ascii="Trebuchet MS"/>
          <w:spacing w:val="-16"/>
          <w:sz w:val="18"/>
          <w:lang w:val="uk-UA"/>
        </w:rPr>
        <w:t xml:space="preserve"> </w:t>
      </w:r>
      <w:r w:rsidRPr="003C6DAE">
        <w:rPr>
          <w:rFonts w:ascii="Trebuchet MS"/>
          <w:w w:val="90"/>
          <w:sz w:val="18"/>
          <w:lang w:val="uk-UA"/>
        </w:rPr>
        <w:t>18</w:t>
      </w:r>
      <w:r w:rsidRPr="003C6DAE">
        <w:rPr>
          <w:rFonts w:ascii="Trebuchet MS"/>
          <w:spacing w:val="80"/>
          <w:sz w:val="18"/>
          <w:lang w:val="uk-UA"/>
        </w:rPr>
        <w:t xml:space="preserve"> </w:t>
      </w:r>
      <w:r w:rsidRPr="003C6DAE">
        <w:rPr>
          <w:rFonts w:ascii="Trebuchet MS"/>
          <w:w w:val="90"/>
          <w:sz w:val="18"/>
          <w:lang w:val="uk-UA"/>
        </w:rPr>
        <w:t>36</w:t>
      </w:r>
      <w:r w:rsidRPr="003C6DAE">
        <w:rPr>
          <w:rFonts w:ascii="Trebuchet MS"/>
          <w:sz w:val="18"/>
          <w:lang w:val="uk-UA"/>
        </w:rPr>
        <w:tab/>
      </w:r>
      <w:r w:rsidRPr="003C6DAE">
        <w:rPr>
          <w:rFonts w:ascii="Trebuchet MS"/>
          <w:w w:val="90"/>
          <w:sz w:val="18"/>
          <w:lang w:val="uk-UA"/>
        </w:rPr>
        <w:t>0</w:t>
      </w:r>
      <w:r w:rsidRPr="003C6DAE">
        <w:rPr>
          <w:rFonts w:ascii="Trebuchet MS"/>
          <w:spacing w:val="80"/>
          <w:sz w:val="18"/>
          <w:lang w:val="uk-UA"/>
        </w:rPr>
        <w:t xml:space="preserve"> </w:t>
      </w:r>
      <w:r w:rsidRPr="003C6DAE">
        <w:rPr>
          <w:rFonts w:ascii="Trebuchet MS"/>
          <w:w w:val="90"/>
          <w:sz w:val="18"/>
          <w:lang w:val="uk-UA"/>
        </w:rPr>
        <w:t>46</w:t>
      </w:r>
      <w:r w:rsidRPr="003C6DAE">
        <w:rPr>
          <w:rFonts w:ascii="Trebuchet MS"/>
          <w:sz w:val="18"/>
          <w:lang w:val="uk-UA"/>
        </w:rPr>
        <w:tab/>
      </w:r>
      <w:r w:rsidRPr="003C6DAE">
        <w:rPr>
          <w:rFonts w:ascii="Trebuchet MS"/>
          <w:w w:val="90"/>
          <w:sz w:val="18"/>
          <w:lang w:val="uk-UA"/>
        </w:rPr>
        <w:t>1.00 [0.81, 1.00]</w:t>
      </w:r>
      <w:r w:rsidRPr="003C6DAE">
        <w:rPr>
          <w:rFonts w:ascii="Trebuchet MS"/>
          <w:sz w:val="18"/>
          <w:lang w:val="uk-UA"/>
        </w:rPr>
        <w:tab/>
      </w:r>
      <w:r w:rsidRPr="003C6DAE">
        <w:rPr>
          <w:rFonts w:ascii="Trebuchet MS"/>
          <w:w w:val="90"/>
          <w:sz w:val="18"/>
          <w:lang w:val="uk-UA"/>
        </w:rPr>
        <w:t xml:space="preserve">0.56 [0.45, 0.67] </w:t>
      </w:r>
      <w:r w:rsidRPr="003C6DAE">
        <w:rPr>
          <w:rFonts w:ascii="Trebuchet MS"/>
          <w:noProof/>
          <w:spacing w:val="-4"/>
          <w:position w:val="-7"/>
          <w:sz w:val="18"/>
          <w:lang w:val="uk-UA"/>
        </w:rPr>
        <w:drawing>
          <wp:inline distT="0" distB="0" distL="0" distR="0" wp14:anchorId="469F849A" wp14:editId="70AEE3A8">
            <wp:extent cx="1030344" cy="148965"/>
            <wp:effectExtent l="0" t="0" r="0" b="0"/>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50" cstate="print"/>
                    <a:stretch>
                      <a:fillRect/>
                    </a:stretch>
                  </pic:blipFill>
                  <pic:spPr>
                    <a:xfrm>
                      <a:off x="0" y="0"/>
                      <a:ext cx="1030344" cy="148965"/>
                    </a:xfrm>
                    <a:prstGeom prst="rect">
                      <a:avLst/>
                    </a:prstGeom>
                  </pic:spPr>
                </pic:pic>
              </a:graphicData>
            </a:graphic>
          </wp:inline>
        </w:drawing>
      </w:r>
    </w:p>
    <w:p w14:paraId="17389B25" w14:textId="77777777" w:rsidR="00E05B98" w:rsidRPr="003C6DAE" w:rsidRDefault="00B01E0C">
      <w:pPr>
        <w:spacing w:before="5"/>
        <w:ind w:left="6249"/>
        <w:rPr>
          <w:rFonts w:ascii="Trebuchet MS"/>
          <w:sz w:val="18"/>
          <w:lang w:val="uk-UA"/>
        </w:rPr>
      </w:pPr>
      <w:r w:rsidRPr="003C6DAE">
        <w:rPr>
          <w:rFonts w:ascii="Trebuchet MS"/>
          <w:w w:val="85"/>
          <w:sz w:val="18"/>
          <w:lang w:val="uk-UA"/>
        </w:rPr>
        <w:t>0</w:t>
      </w:r>
      <w:r w:rsidRPr="003C6DAE">
        <w:rPr>
          <w:rFonts w:ascii="Trebuchet MS"/>
          <w:spacing w:val="58"/>
          <w:sz w:val="18"/>
          <w:lang w:val="uk-UA"/>
        </w:rPr>
        <w:t xml:space="preserve"> </w:t>
      </w:r>
      <w:r w:rsidRPr="003C6DAE">
        <w:rPr>
          <w:rFonts w:ascii="Trebuchet MS"/>
          <w:w w:val="85"/>
          <w:sz w:val="18"/>
          <w:lang w:val="uk-UA"/>
        </w:rPr>
        <w:t>0.2</w:t>
      </w:r>
      <w:r w:rsidRPr="003C6DAE">
        <w:rPr>
          <w:rFonts w:ascii="Trebuchet MS"/>
          <w:spacing w:val="39"/>
          <w:sz w:val="18"/>
          <w:lang w:val="uk-UA"/>
        </w:rPr>
        <w:t xml:space="preserve"> </w:t>
      </w:r>
      <w:r w:rsidRPr="003C6DAE">
        <w:rPr>
          <w:rFonts w:ascii="Trebuchet MS"/>
          <w:w w:val="85"/>
          <w:sz w:val="18"/>
          <w:lang w:val="uk-UA"/>
        </w:rPr>
        <w:t>0.4</w:t>
      </w:r>
      <w:r w:rsidRPr="003C6DAE">
        <w:rPr>
          <w:rFonts w:ascii="Trebuchet MS"/>
          <w:spacing w:val="39"/>
          <w:sz w:val="18"/>
          <w:lang w:val="uk-UA"/>
        </w:rPr>
        <w:t xml:space="preserve"> </w:t>
      </w:r>
      <w:r w:rsidRPr="003C6DAE">
        <w:rPr>
          <w:rFonts w:ascii="Trebuchet MS"/>
          <w:w w:val="85"/>
          <w:sz w:val="18"/>
          <w:lang w:val="uk-UA"/>
        </w:rPr>
        <w:t>0.6</w:t>
      </w:r>
      <w:r w:rsidRPr="003C6DAE">
        <w:rPr>
          <w:rFonts w:ascii="Trebuchet MS"/>
          <w:spacing w:val="39"/>
          <w:sz w:val="18"/>
          <w:lang w:val="uk-UA"/>
        </w:rPr>
        <w:t xml:space="preserve"> </w:t>
      </w:r>
      <w:r w:rsidRPr="003C6DAE">
        <w:rPr>
          <w:rFonts w:ascii="Trebuchet MS"/>
          <w:w w:val="85"/>
          <w:sz w:val="18"/>
          <w:lang w:val="uk-UA"/>
        </w:rPr>
        <w:t>0.8</w:t>
      </w:r>
      <w:r w:rsidRPr="003C6DAE">
        <w:rPr>
          <w:rFonts w:ascii="Trebuchet MS"/>
          <w:spacing w:val="60"/>
          <w:sz w:val="18"/>
          <w:lang w:val="uk-UA"/>
        </w:rPr>
        <w:t xml:space="preserve"> </w:t>
      </w:r>
      <w:r w:rsidRPr="003C6DAE">
        <w:rPr>
          <w:rFonts w:ascii="Trebuchet MS"/>
          <w:w w:val="85"/>
          <w:sz w:val="18"/>
          <w:lang w:val="uk-UA"/>
        </w:rPr>
        <w:t>1</w:t>
      </w:r>
      <w:r w:rsidRPr="003C6DAE">
        <w:rPr>
          <w:rFonts w:ascii="Trebuchet MS"/>
          <w:spacing w:val="58"/>
          <w:w w:val="150"/>
          <w:sz w:val="18"/>
          <w:lang w:val="uk-UA"/>
        </w:rPr>
        <w:t xml:space="preserve"> </w:t>
      </w:r>
      <w:r w:rsidRPr="003C6DAE">
        <w:rPr>
          <w:rFonts w:ascii="Trebuchet MS"/>
          <w:w w:val="85"/>
          <w:sz w:val="18"/>
          <w:lang w:val="uk-UA"/>
        </w:rPr>
        <w:t>0</w:t>
      </w:r>
      <w:r w:rsidRPr="003C6DAE">
        <w:rPr>
          <w:rFonts w:ascii="Trebuchet MS"/>
          <w:spacing w:val="59"/>
          <w:sz w:val="18"/>
          <w:lang w:val="uk-UA"/>
        </w:rPr>
        <w:t xml:space="preserve"> </w:t>
      </w:r>
      <w:r w:rsidRPr="003C6DAE">
        <w:rPr>
          <w:rFonts w:ascii="Trebuchet MS"/>
          <w:w w:val="85"/>
          <w:sz w:val="18"/>
          <w:lang w:val="uk-UA"/>
        </w:rPr>
        <w:t>0.2</w:t>
      </w:r>
      <w:r w:rsidRPr="003C6DAE">
        <w:rPr>
          <w:rFonts w:ascii="Trebuchet MS"/>
          <w:spacing w:val="39"/>
          <w:sz w:val="18"/>
          <w:lang w:val="uk-UA"/>
        </w:rPr>
        <w:t xml:space="preserve"> </w:t>
      </w:r>
      <w:r w:rsidRPr="003C6DAE">
        <w:rPr>
          <w:rFonts w:ascii="Trebuchet MS"/>
          <w:w w:val="85"/>
          <w:sz w:val="18"/>
          <w:lang w:val="uk-UA"/>
        </w:rPr>
        <w:t>0.4</w:t>
      </w:r>
      <w:r w:rsidRPr="003C6DAE">
        <w:rPr>
          <w:rFonts w:ascii="Trebuchet MS"/>
          <w:spacing w:val="39"/>
          <w:sz w:val="18"/>
          <w:lang w:val="uk-UA"/>
        </w:rPr>
        <w:t xml:space="preserve"> </w:t>
      </w:r>
      <w:r w:rsidRPr="003C6DAE">
        <w:rPr>
          <w:rFonts w:ascii="Trebuchet MS"/>
          <w:w w:val="85"/>
          <w:sz w:val="18"/>
          <w:lang w:val="uk-UA"/>
        </w:rPr>
        <w:t>0.6</w:t>
      </w:r>
      <w:r w:rsidRPr="003C6DAE">
        <w:rPr>
          <w:rFonts w:ascii="Trebuchet MS"/>
          <w:spacing w:val="39"/>
          <w:sz w:val="18"/>
          <w:lang w:val="uk-UA"/>
        </w:rPr>
        <w:t xml:space="preserve"> </w:t>
      </w:r>
      <w:r w:rsidRPr="003C6DAE">
        <w:rPr>
          <w:rFonts w:ascii="Trebuchet MS"/>
          <w:w w:val="85"/>
          <w:sz w:val="18"/>
          <w:lang w:val="uk-UA"/>
        </w:rPr>
        <w:t>0.8</w:t>
      </w:r>
      <w:r w:rsidRPr="003C6DAE">
        <w:rPr>
          <w:rFonts w:ascii="Trebuchet MS"/>
          <w:spacing w:val="59"/>
          <w:sz w:val="18"/>
          <w:lang w:val="uk-UA"/>
        </w:rPr>
        <w:t xml:space="preserve"> </w:t>
      </w:r>
      <w:r w:rsidRPr="003C6DAE">
        <w:rPr>
          <w:rFonts w:ascii="Trebuchet MS"/>
          <w:spacing w:val="-10"/>
          <w:w w:val="85"/>
          <w:sz w:val="18"/>
          <w:lang w:val="uk-UA"/>
        </w:rPr>
        <w:t>1</w:t>
      </w:r>
    </w:p>
    <w:p w14:paraId="71A49F39" w14:textId="77777777" w:rsidR="00E05B98" w:rsidRPr="003C6DAE" w:rsidRDefault="00E05B98">
      <w:pPr>
        <w:pStyle w:val="a3"/>
        <w:spacing w:before="77"/>
        <w:rPr>
          <w:rFonts w:ascii="Trebuchet MS"/>
          <w:sz w:val="18"/>
          <w:lang w:val="uk-UA"/>
        </w:rPr>
      </w:pPr>
    </w:p>
    <w:p w14:paraId="537D442B" w14:textId="0414FE45" w:rsidR="00E05B98" w:rsidRPr="003C6DAE" w:rsidRDefault="00C54239" w:rsidP="00C54239">
      <w:pPr>
        <w:spacing w:line="254" w:lineRule="auto"/>
        <w:ind w:left="567" w:right="4"/>
        <w:jc w:val="both"/>
        <w:rPr>
          <w:sz w:val="16"/>
          <w:szCs w:val="16"/>
          <w:lang w:val="uk-UA"/>
        </w:rPr>
      </w:pPr>
      <w:r w:rsidRPr="003C6DAE">
        <w:rPr>
          <w:sz w:val="16"/>
          <w:szCs w:val="16"/>
          <w:lang w:val="uk-UA"/>
        </w:rPr>
        <w:t xml:space="preserve">ДІ: довірчий інтервал; FN: хибнонегативний результат; FP: хибнопозитивний результат; </w:t>
      </w:r>
      <w:r w:rsidR="00C459C3">
        <w:rPr>
          <w:sz w:val="16"/>
          <w:szCs w:val="16"/>
          <w:lang w:val="uk-UA"/>
        </w:rPr>
        <w:t>аТАНК-НС</w:t>
      </w:r>
      <w:r w:rsidRPr="003C6DAE">
        <w:rPr>
          <w:sz w:val="16"/>
          <w:szCs w:val="16"/>
          <w:lang w:val="uk-UA"/>
        </w:rPr>
        <w:t xml:space="preserve">: автоматизований тест  </w:t>
      </w:r>
      <w:r w:rsidR="0000617E" w:rsidRPr="003C6DAE">
        <w:rPr>
          <w:sz w:val="16"/>
          <w:szCs w:val="16"/>
          <w:lang w:val="uk-UA"/>
        </w:rPr>
        <w:t>ампліфікаці</w:t>
      </w:r>
      <w:r w:rsidR="0000617E">
        <w:rPr>
          <w:sz w:val="16"/>
          <w:szCs w:val="16"/>
          <w:lang w:val="uk-UA"/>
        </w:rPr>
        <w:t>ї</w:t>
      </w:r>
      <w:r w:rsidRPr="003C6DAE">
        <w:rPr>
          <w:sz w:val="16"/>
          <w:szCs w:val="16"/>
          <w:lang w:val="uk-UA"/>
        </w:rPr>
        <w:t xml:space="preserve"> нуклеїнових кислот низької складності; LN: лімфатичний вузол; MRS: мікробіологічний еталонний стандарт; ТБ: туберкульоз; TN: істинно негативний результат; TP: істинно позитивний результат.</w:t>
      </w:r>
    </w:p>
    <w:p w14:paraId="07AD0635" w14:textId="46A62AAE" w:rsidR="00E05B98" w:rsidRPr="003C6DAE" w:rsidRDefault="00B01E0C">
      <w:pPr>
        <w:spacing w:before="57"/>
        <w:ind w:left="567"/>
        <w:jc w:val="both"/>
        <w:rPr>
          <w:sz w:val="18"/>
          <w:lang w:val="uk-UA"/>
        </w:rPr>
      </w:pPr>
      <w:r w:rsidRPr="003C6DAE">
        <w:rPr>
          <w:spacing w:val="-2"/>
          <w:sz w:val="18"/>
          <w:vertAlign w:val="superscript"/>
          <w:lang w:val="uk-UA"/>
        </w:rPr>
        <w:t>a</w:t>
      </w:r>
      <w:r w:rsidRPr="003C6DAE">
        <w:rPr>
          <w:spacing w:val="-21"/>
          <w:sz w:val="18"/>
          <w:lang w:val="uk-UA"/>
        </w:rPr>
        <w:t xml:space="preserve"> </w:t>
      </w:r>
      <w:r w:rsidR="00C54239" w:rsidRPr="003C6DAE">
        <w:rPr>
          <w:sz w:val="16"/>
          <w:szCs w:val="16"/>
          <w:lang w:val="uk-UA"/>
        </w:rPr>
        <w:t xml:space="preserve">Дослідження </w:t>
      </w:r>
      <w:r w:rsidR="00C459C3">
        <w:rPr>
          <w:sz w:val="16"/>
          <w:szCs w:val="16"/>
          <w:lang w:val="uk-UA"/>
        </w:rPr>
        <w:t>впорядковано</w:t>
      </w:r>
      <w:r w:rsidR="00C54239" w:rsidRPr="003C6DAE">
        <w:rPr>
          <w:sz w:val="16"/>
          <w:szCs w:val="16"/>
          <w:lang w:val="uk-UA"/>
        </w:rPr>
        <w:t xml:space="preserve"> за зменшенням чутливості</w:t>
      </w:r>
      <w:r w:rsidRPr="003C6DAE">
        <w:rPr>
          <w:spacing w:val="-2"/>
          <w:sz w:val="18"/>
          <w:lang w:val="uk-UA"/>
        </w:rPr>
        <w:t>.</w:t>
      </w:r>
    </w:p>
    <w:p w14:paraId="13D3D7E7" w14:textId="77777777" w:rsidR="00E05B98" w:rsidRPr="003C6DAE" w:rsidRDefault="00E05B98">
      <w:pPr>
        <w:pStyle w:val="a3"/>
        <w:spacing w:before="161"/>
        <w:rPr>
          <w:sz w:val="18"/>
          <w:lang w:val="uk-UA"/>
        </w:rPr>
      </w:pPr>
    </w:p>
    <w:p w14:paraId="410E78AF" w14:textId="0A3A23BA" w:rsidR="00E05B98" w:rsidRPr="005051CF" w:rsidRDefault="00C54239">
      <w:pPr>
        <w:pStyle w:val="7"/>
        <w:spacing w:line="249" w:lineRule="auto"/>
        <w:rPr>
          <w:sz w:val="22"/>
          <w:szCs w:val="22"/>
          <w:lang w:val="uk-UA"/>
        </w:rPr>
      </w:pPr>
      <w:r w:rsidRPr="005051CF">
        <w:rPr>
          <w:color w:val="019648"/>
          <w:sz w:val="22"/>
          <w:szCs w:val="22"/>
          <w:lang w:val="uk-UA"/>
        </w:rPr>
        <w:t xml:space="preserve">Чи слід використовувати аТАНК-НС на </w:t>
      </w:r>
      <w:r w:rsidR="00C459C3" w:rsidRPr="005051CF">
        <w:rPr>
          <w:color w:val="019648"/>
          <w:sz w:val="22"/>
          <w:szCs w:val="22"/>
          <w:lang w:val="uk-UA"/>
        </w:rPr>
        <w:t xml:space="preserve">зразках </w:t>
      </w:r>
      <w:r w:rsidRPr="005051CF">
        <w:rPr>
          <w:color w:val="019648"/>
          <w:sz w:val="22"/>
          <w:szCs w:val="22"/>
          <w:lang w:val="uk-UA"/>
        </w:rPr>
        <w:t>плевральн</w:t>
      </w:r>
      <w:r w:rsidR="00C459C3" w:rsidRPr="005051CF">
        <w:rPr>
          <w:color w:val="019648"/>
          <w:sz w:val="22"/>
          <w:szCs w:val="22"/>
          <w:lang w:val="uk-UA"/>
        </w:rPr>
        <w:t>ої</w:t>
      </w:r>
      <w:r w:rsidRPr="005051CF">
        <w:rPr>
          <w:color w:val="019648"/>
          <w:sz w:val="22"/>
          <w:szCs w:val="22"/>
          <w:lang w:val="uk-UA"/>
        </w:rPr>
        <w:t xml:space="preserve"> тканин</w:t>
      </w:r>
      <w:r w:rsidR="00C459C3" w:rsidRPr="005051CF">
        <w:rPr>
          <w:color w:val="019648"/>
          <w:sz w:val="22"/>
          <w:szCs w:val="22"/>
          <w:lang w:val="uk-UA"/>
        </w:rPr>
        <w:t>и</w:t>
      </w:r>
      <w:r w:rsidRPr="005051CF">
        <w:rPr>
          <w:color w:val="019648"/>
          <w:sz w:val="22"/>
          <w:szCs w:val="22"/>
          <w:lang w:val="uk-UA"/>
        </w:rPr>
        <w:t xml:space="preserve"> для діагностики ТБ плеври у дорослих і підлітків із ознаками та симптомами ТБ плеври </w:t>
      </w:r>
      <w:r w:rsidR="00C459C3" w:rsidRPr="005051CF">
        <w:rPr>
          <w:color w:val="019648"/>
          <w:sz w:val="22"/>
          <w:szCs w:val="22"/>
          <w:lang w:val="uk-UA"/>
        </w:rPr>
        <w:t>на противагу</w:t>
      </w:r>
      <w:r w:rsidRPr="005051CF">
        <w:rPr>
          <w:color w:val="019648"/>
          <w:sz w:val="22"/>
          <w:szCs w:val="22"/>
          <w:lang w:val="uk-UA"/>
        </w:rPr>
        <w:t xml:space="preserve"> мікробіологічн</w:t>
      </w:r>
      <w:r w:rsidR="00C459C3" w:rsidRPr="005051CF">
        <w:rPr>
          <w:color w:val="019648"/>
          <w:sz w:val="22"/>
          <w:szCs w:val="22"/>
          <w:lang w:val="uk-UA"/>
        </w:rPr>
        <w:t>ому</w:t>
      </w:r>
      <w:r w:rsidRPr="005051CF">
        <w:rPr>
          <w:color w:val="019648"/>
          <w:sz w:val="22"/>
          <w:szCs w:val="22"/>
          <w:lang w:val="uk-UA"/>
        </w:rPr>
        <w:t xml:space="preserve"> еталонн</w:t>
      </w:r>
      <w:r w:rsidR="00C459C3" w:rsidRPr="005051CF">
        <w:rPr>
          <w:color w:val="019648"/>
          <w:sz w:val="22"/>
          <w:szCs w:val="22"/>
          <w:lang w:val="uk-UA"/>
        </w:rPr>
        <w:t>ому</w:t>
      </w:r>
      <w:r w:rsidRPr="005051CF">
        <w:rPr>
          <w:color w:val="019648"/>
          <w:sz w:val="22"/>
          <w:szCs w:val="22"/>
          <w:lang w:val="uk-UA"/>
        </w:rPr>
        <w:t xml:space="preserve"> стандарт</w:t>
      </w:r>
      <w:r w:rsidR="00C459C3" w:rsidRPr="005051CF">
        <w:rPr>
          <w:color w:val="019648"/>
          <w:sz w:val="22"/>
          <w:szCs w:val="22"/>
          <w:lang w:val="uk-UA"/>
        </w:rPr>
        <w:t>у</w:t>
      </w:r>
      <w:r w:rsidRPr="005051CF">
        <w:rPr>
          <w:color w:val="019648"/>
          <w:sz w:val="22"/>
          <w:szCs w:val="22"/>
          <w:lang w:val="uk-UA"/>
        </w:rPr>
        <w:t xml:space="preserve"> (MRS)?</w:t>
      </w:r>
    </w:p>
    <w:p w14:paraId="63389B27" w14:textId="29A78333" w:rsidR="00E05B98" w:rsidRPr="003C6DAE" w:rsidRDefault="003A33A4">
      <w:pPr>
        <w:pStyle w:val="a3"/>
        <w:spacing w:before="217" w:line="297" w:lineRule="auto"/>
        <w:ind w:left="567" w:right="135"/>
        <w:jc w:val="both"/>
        <w:rPr>
          <w:sz w:val="20"/>
          <w:szCs w:val="20"/>
          <w:lang w:val="uk-UA"/>
        </w:rPr>
      </w:pPr>
      <w:r w:rsidRPr="003C6DAE">
        <w:rPr>
          <w:sz w:val="20"/>
          <w:szCs w:val="20"/>
          <w:lang w:val="uk-UA"/>
        </w:rPr>
        <w:t>За даними двох досліджень Xpert Ultra (105 учасників) чутливість аТАНК-НС становила 80% і 100%, а специфічність - 75% і 86% (</w:t>
      </w:r>
      <w:r w:rsidRPr="003C6DAE">
        <w:rPr>
          <w:b/>
          <w:bCs/>
          <w:sz w:val="20"/>
          <w:szCs w:val="20"/>
          <w:lang w:val="uk-UA"/>
        </w:rPr>
        <w:t>Рис. 2.1.5</w:t>
      </w:r>
      <w:r w:rsidRPr="003C6DAE">
        <w:rPr>
          <w:sz w:val="20"/>
          <w:szCs w:val="20"/>
          <w:lang w:val="uk-UA"/>
        </w:rPr>
        <w:t xml:space="preserve">); достовірність доказів була низькою для чутливості і дуже низькою для специфічності. Для відповіді на це питання PICO в оцінку були включені тільки дані </w:t>
      </w:r>
      <w:r w:rsidR="00C459C3">
        <w:rPr>
          <w:sz w:val="20"/>
          <w:szCs w:val="20"/>
          <w:lang w:val="uk-UA"/>
        </w:rPr>
        <w:t xml:space="preserve">по </w:t>
      </w:r>
      <w:r w:rsidRPr="003C6DAE">
        <w:rPr>
          <w:sz w:val="20"/>
          <w:szCs w:val="20"/>
          <w:lang w:val="uk-UA"/>
        </w:rPr>
        <w:t>аналіз</w:t>
      </w:r>
      <w:r w:rsidR="00C459C3">
        <w:rPr>
          <w:sz w:val="20"/>
          <w:szCs w:val="20"/>
          <w:lang w:val="uk-UA"/>
        </w:rPr>
        <w:t>у</w:t>
      </w:r>
      <w:r w:rsidRPr="003C6DAE">
        <w:rPr>
          <w:sz w:val="20"/>
          <w:szCs w:val="20"/>
          <w:lang w:val="uk-UA"/>
        </w:rPr>
        <w:t xml:space="preserve"> Xpert Ultra, оскільки дані </w:t>
      </w:r>
      <w:r w:rsidR="00C459C3">
        <w:rPr>
          <w:sz w:val="20"/>
          <w:szCs w:val="20"/>
          <w:lang w:val="uk-UA"/>
        </w:rPr>
        <w:t xml:space="preserve">по </w:t>
      </w:r>
      <w:r w:rsidRPr="003C6DAE">
        <w:rPr>
          <w:sz w:val="20"/>
          <w:szCs w:val="20"/>
          <w:lang w:val="uk-UA"/>
        </w:rPr>
        <w:t>аналіз</w:t>
      </w:r>
      <w:r w:rsidR="00C459C3">
        <w:rPr>
          <w:sz w:val="20"/>
          <w:szCs w:val="20"/>
          <w:lang w:val="uk-UA"/>
        </w:rPr>
        <w:t>у</w:t>
      </w:r>
      <w:r w:rsidRPr="003C6DAE">
        <w:rPr>
          <w:sz w:val="20"/>
          <w:szCs w:val="20"/>
          <w:lang w:val="uk-UA"/>
        </w:rPr>
        <w:t xml:space="preserve"> Truenat були недоступні.</w:t>
      </w:r>
      <w:r w:rsidR="00B01E0C" w:rsidRPr="003C6DAE">
        <w:rPr>
          <w:spacing w:val="-12"/>
          <w:sz w:val="20"/>
          <w:szCs w:val="20"/>
          <w:lang w:val="uk-UA"/>
        </w:rPr>
        <w:t xml:space="preserve"> </w:t>
      </w:r>
      <w:r w:rsidRPr="003C6DAE">
        <w:rPr>
          <w:spacing w:val="-2"/>
          <w:sz w:val="20"/>
          <w:szCs w:val="20"/>
          <w:lang w:val="uk-UA"/>
        </w:rPr>
        <w:t xml:space="preserve">Враховуючи відомі проблеми з підтвердженням ТБ на основі бакпосіву з використанням цього зразка, були також розглянуті дані, отримані з використанням композитного еталонного стандарту (CRS). Використання CRS підвищило специфічність аТАНК-НС на </w:t>
      </w:r>
      <w:r w:rsidR="00C459C3">
        <w:rPr>
          <w:spacing w:val="-2"/>
          <w:sz w:val="20"/>
          <w:szCs w:val="20"/>
          <w:lang w:val="uk-UA"/>
        </w:rPr>
        <w:t xml:space="preserve">зразках </w:t>
      </w:r>
      <w:r w:rsidRPr="003C6DAE">
        <w:rPr>
          <w:spacing w:val="-2"/>
          <w:sz w:val="20"/>
          <w:szCs w:val="20"/>
          <w:lang w:val="uk-UA"/>
        </w:rPr>
        <w:t>плевральн</w:t>
      </w:r>
      <w:r w:rsidR="00C459C3">
        <w:rPr>
          <w:spacing w:val="-2"/>
          <w:sz w:val="20"/>
          <w:szCs w:val="20"/>
          <w:lang w:val="uk-UA"/>
        </w:rPr>
        <w:t>ої</w:t>
      </w:r>
      <w:r w:rsidRPr="003C6DAE">
        <w:rPr>
          <w:spacing w:val="-2"/>
          <w:sz w:val="20"/>
          <w:szCs w:val="20"/>
          <w:lang w:val="uk-UA"/>
        </w:rPr>
        <w:t xml:space="preserve"> тканин</w:t>
      </w:r>
      <w:r w:rsidR="00C459C3">
        <w:rPr>
          <w:spacing w:val="-2"/>
          <w:sz w:val="20"/>
          <w:szCs w:val="20"/>
          <w:lang w:val="uk-UA"/>
        </w:rPr>
        <w:t>и</w:t>
      </w:r>
      <w:r w:rsidRPr="003C6DAE">
        <w:rPr>
          <w:spacing w:val="-2"/>
          <w:sz w:val="20"/>
          <w:szCs w:val="20"/>
          <w:lang w:val="uk-UA"/>
        </w:rPr>
        <w:t xml:space="preserve"> до 94-97%, але знизило чутливість до 54-81%</w:t>
      </w:r>
      <w:r w:rsidRPr="003C6DAE">
        <w:rPr>
          <w:spacing w:val="-2"/>
          <w:sz w:val="20"/>
          <w:szCs w:val="20"/>
          <w:vertAlign w:val="superscript"/>
          <w:lang w:val="uk-UA"/>
        </w:rPr>
        <w:t>6</w:t>
      </w:r>
      <w:r w:rsidRPr="003C6DAE">
        <w:rPr>
          <w:spacing w:val="-2"/>
          <w:sz w:val="20"/>
          <w:szCs w:val="20"/>
          <w:lang w:val="uk-UA"/>
        </w:rPr>
        <w:t xml:space="preserve"> (див. </w:t>
      </w:r>
      <w:r w:rsidRPr="003C6DAE">
        <w:rPr>
          <w:b/>
          <w:bCs/>
          <w:spacing w:val="-2"/>
          <w:sz w:val="20"/>
          <w:szCs w:val="20"/>
          <w:lang w:val="uk-UA"/>
        </w:rPr>
        <w:t>Веб-додаток B.3</w:t>
      </w:r>
      <w:r w:rsidRPr="003C6DAE">
        <w:rPr>
          <w:spacing w:val="-2"/>
          <w:sz w:val="20"/>
          <w:szCs w:val="20"/>
          <w:lang w:val="uk-UA"/>
        </w:rPr>
        <w:t>).</w:t>
      </w:r>
    </w:p>
    <w:p w14:paraId="0DA50F3F" w14:textId="346B5530" w:rsidR="00E05B98" w:rsidRPr="003C6DAE" w:rsidRDefault="003A33A4">
      <w:pPr>
        <w:pStyle w:val="6"/>
        <w:spacing w:before="237" w:line="249" w:lineRule="auto"/>
        <w:rPr>
          <w:sz w:val="20"/>
          <w:szCs w:val="20"/>
          <w:lang w:val="uk-UA"/>
        </w:rPr>
      </w:pPr>
      <w:r w:rsidRPr="003C6DAE">
        <w:rPr>
          <w:color w:val="636466"/>
          <w:sz w:val="20"/>
          <w:szCs w:val="20"/>
          <w:lang w:val="uk-UA"/>
        </w:rPr>
        <w:t>Рис.</w:t>
      </w:r>
      <w:r w:rsidR="00B01E0C" w:rsidRPr="003C6DAE">
        <w:rPr>
          <w:color w:val="636466"/>
          <w:spacing w:val="33"/>
          <w:sz w:val="20"/>
          <w:szCs w:val="20"/>
          <w:lang w:val="uk-UA"/>
        </w:rPr>
        <w:t xml:space="preserve"> </w:t>
      </w:r>
      <w:r w:rsidR="00B01E0C" w:rsidRPr="003C6DAE">
        <w:rPr>
          <w:color w:val="636466"/>
          <w:sz w:val="20"/>
          <w:szCs w:val="20"/>
          <w:lang w:val="uk-UA"/>
        </w:rPr>
        <w:t>2.1.5.</w:t>
      </w:r>
      <w:r w:rsidR="00B01E0C" w:rsidRPr="003C6DAE">
        <w:rPr>
          <w:color w:val="636466"/>
          <w:spacing w:val="33"/>
          <w:sz w:val="20"/>
          <w:szCs w:val="20"/>
          <w:lang w:val="uk-UA"/>
        </w:rPr>
        <w:t xml:space="preserve"> </w:t>
      </w:r>
      <w:r w:rsidRPr="003C6DAE">
        <w:rPr>
          <w:color w:val="636466"/>
          <w:sz w:val="20"/>
          <w:szCs w:val="20"/>
          <w:lang w:val="uk-UA"/>
        </w:rPr>
        <w:t xml:space="preserve">Чутливість і специфічність аТАНК-НС </w:t>
      </w:r>
      <w:r w:rsidR="004A5D0E">
        <w:rPr>
          <w:color w:val="636466"/>
          <w:sz w:val="20"/>
          <w:szCs w:val="20"/>
          <w:lang w:val="uk-UA"/>
        </w:rPr>
        <w:t>при дослідженні</w:t>
      </w:r>
      <w:r w:rsidR="00C459C3">
        <w:rPr>
          <w:color w:val="636466"/>
          <w:sz w:val="20"/>
          <w:szCs w:val="20"/>
          <w:lang w:val="uk-UA"/>
        </w:rPr>
        <w:t xml:space="preserve"> зразк</w:t>
      </w:r>
      <w:r w:rsidR="004A5D0E">
        <w:rPr>
          <w:color w:val="636466"/>
          <w:sz w:val="20"/>
          <w:szCs w:val="20"/>
          <w:lang w:val="uk-UA"/>
        </w:rPr>
        <w:t>ів</w:t>
      </w:r>
      <w:r w:rsidR="00C459C3">
        <w:rPr>
          <w:color w:val="636466"/>
          <w:sz w:val="20"/>
          <w:szCs w:val="20"/>
          <w:lang w:val="uk-UA"/>
        </w:rPr>
        <w:t xml:space="preserve"> </w:t>
      </w:r>
      <w:r w:rsidR="00C459C3" w:rsidRPr="003C6DAE">
        <w:rPr>
          <w:color w:val="636466"/>
          <w:sz w:val="20"/>
          <w:szCs w:val="20"/>
          <w:lang w:val="uk-UA"/>
        </w:rPr>
        <w:t>плевральн</w:t>
      </w:r>
      <w:r w:rsidR="00C459C3">
        <w:rPr>
          <w:color w:val="636466"/>
          <w:sz w:val="20"/>
          <w:szCs w:val="20"/>
          <w:lang w:val="uk-UA"/>
        </w:rPr>
        <w:t>ої</w:t>
      </w:r>
      <w:r w:rsidR="00C459C3" w:rsidRPr="003C6DAE">
        <w:rPr>
          <w:color w:val="636466"/>
          <w:sz w:val="20"/>
          <w:szCs w:val="20"/>
          <w:lang w:val="uk-UA"/>
        </w:rPr>
        <w:t xml:space="preserve"> тканин</w:t>
      </w:r>
      <w:r w:rsidR="00C459C3">
        <w:rPr>
          <w:color w:val="636466"/>
          <w:sz w:val="20"/>
          <w:szCs w:val="20"/>
          <w:lang w:val="uk-UA"/>
        </w:rPr>
        <w:t>и</w:t>
      </w:r>
      <w:r w:rsidR="00C459C3" w:rsidRPr="003C6DAE">
        <w:rPr>
          <w:color w:val="636466"/>
          <w:sz w:val="20"/>
          <w:szCs w:val="20"/>
          <w:lang w:val="uk-UA"/>
        </w:rPr>
        <w:t xml:space="preserve"> </w:t>
      </w:r>
      <w:r w:rsidRPr="003C6DAE">
        <w:rPr>
          <w:color w:val="636466"/>
          <w:sz w:val="20"/>
          <w:szCs w:val="20"/>
          <w:lang w:val="uk-UA"/>
        </w:rPr>
        <w:t>для виявлення ТБ плеври та MRS</w:t>
      </w:r>
      <w:r w:rsidR="0000617E">
        <w:rPr>
          <w:color w:val="636466"/>
          <w:sz w:val="20"/>
          <w:szCs w:val="20"/>
          <w:lang w:val="uk-UA"/>
        </w:rPr>
        <w:t xml:space="preserve"> </w:t>
      </w:r>
      <w:r w:rsidR="00B01E0C" w:rsidRPr="003C6DAE">
        <w:rPr>
          <w:color w:val="636466"/>
          <w:sz w:val="20"/>
          <w:szCs w:val="20"/>
          <w:vertAlign w:val="superscript"/>
          <w:lang w:val="uk-UA"/>
        </w:rPr>
        <w:t>a</w:t>
      </w:r>
    </w:p>
    <w:p w14:paraId="1046A2D4" w14:textId="77777777" w:rsidR="00E05B98" w:rsidRPr="003C6DAE" w:rsidRDefault="00E05B98">
      <w:pPr>
        <w:pStyle w:val="a3"/>
        <w:spacing w:before="5"/>
        <w:rPr>
          <w:rFonts w:ascii="Arial"/>
          <w:b/>
          <w:sz w:val="20"/>
          <w:szCs w:val="20"/>
          <w:lang w:val="uk-UA"/>
        </w:rPr>
      </w:pPr>
    </w:p>
    <w:p w14:paraId="00E168AD" w14:textId="77777777" w:rsidR="00E05B98" w:rsidRPr="003C6DAE" w:rsidRDefault="00E05B98">
      <w:pPr>
        <w:pStyle w:val="a3"/>
        <w:rPr>
          <w:rFonts w:ascii="Arial"/>
          <w:b/>
          <w:sz w:val="12"/>
          <w:lang w:val="uk-UA"/>
        </w:rPr>
        <w:sectPr w:rsidR="00E05B98" w:rsidRPr="003C6DAE" w:rsidSect="00C54239">
          <w:type w:val="continuous"/>
          <w:pgSz w:w="11910" w:h="16840"/>
          <w:pgMar w:top="1920" w:right="995" w:bottom="280" w:left="850" w:header="0" w:footer="573" w:gutter="0"/>
          <w:cols w:space="720"/>
        </w:sectPr>
      </w:pPr>
    </w:p>
    <w:p w14:paraId="6279572A" w14:textId="3A1BBDE9" w:rsidR="00E05B98" w:rsidRPr="003C6DAE" w:rsidRDefault="003A33A4">
      <w:pPr>
        <w:spacing w:before="104"/>
        <w:ind w:left="693"/>
        <w:rPr>
          <w:rFonts w:ascii="Trebuchet MS"/>
          <w:sz w:val="18"/>
          <w:lang w:val="uk-UA"/>
        </w:rPr>
      </w:pPr>
      <w:r w:rsidRPr="003C6DAE">
        <w:rPr>
          <w:rFonts w:ascii="Trebuchet MS"/>
          <w:color w:val="333333"/>
          <w:w w:val="85"/>
          <w:sz w:val="18"/>
          <w:lang w:val="uk-UA"/>
        </w:rPr>
        <w:t>Дослідження</w:t>
      </w:r>
    </w:p>
    <w:p w14:paraId="6411C770" w14:textId="572B9D77" w:rsidR="00E05B98" w:rsidRPr="003C6DAE" w:rsidRDefault="00B01E0C">
      <w:pPr>
        <w:spacing w:before="66"/>
        <w:ind w:left="693"/>
        <w:rPr>
          <w:rFonts w:ascii="Trebuchet MS"/>
          <w:sz w:val="18"/>
          <w:lang w:val="uk-UA"/>
        </w:rPr>
      </w:pPr>
      <w:proofErr w:type="spellStart"/>
      <w:r w:rsidRPr="003C6DAE">
        <w:rPr>
          <w:rFonts w:ascii="Trebuchet MS"/>
          <w:w w:val="80"/>
          <w:sz w:val="18"/>
          <w:lang w:val="uk-UA"/>
        </w:rPr>
        <w:t>Gao</w:t>
      </w:r>
      <w:proofErr w:type="spellEnd"/>
      <w:r w:rsidRPr="003C6DAE">
        <w:rPr>
          <w:rFonts w:ascii="Trebuchet MS"/>
          <w:spacing w:val="-3"/>
          <w:sz w:val="18"/>
          <w:lang w:val="uk-UA"/>
        </w:rPr>
        <w:t xml:space="preserve"> </w:t>
      </w:r>
      <w:r w:rsidRPr="003C6DAE">
        <w:rPr>
          <w:rFonts w:ascii="Trebuchet MS"/>
          <w:spacing w:val="-4"/>
          <w:w w:val="80"/>
          <w:sz w:val="18"/>
          <w:lang w:val="uk-UA"/>
        </w:rPr>
        <w:t>2021</w:t>
      </w:r>
    </w:p>
    <w:p w14:paraId="191D0F8C" w14:textId="0D8C3721" w:rsidR="00E05B98" w:rsidRPr="003C6DAE" w:rsidRDefault="00B01E0C">
      <w:pPr>
        <w:spacing w:before="34"/>
        <w:ind w:left="693"/>
        <w:rPr>
          <w:rFonts w:ascii="Trebuchet MS"/>
          <w:sz w:val="18"/>
          <w:lang w:val="uk-UA"/>
        </w:rPr>
      </w:pPr>
      <w:proofErr w:type="spellStart"/>
      <w:r w:rsidRPr="003C6DAE">
        <w:rPr>
          <w:rFonts w:ascii="Trebuchet MS"/>
          <w:w w:val="75"/>
          <w:sz w:val="18"/>
          <w:lang w:val="uk-UA"/>
        </w:rPr>
        <w:t>Christopher</w:t>
      </w:r>
      <w:proofErr w:type="spellEnd"/>
      <w:r w:rsidRPr="003C6DAE">
        <w:rPr>
          <w:rFonts w:ascii="Trebuchet MS"/>
          <w:spacing w:val="19"/>
          <w:sz w:val="18"/>
          <w:lang w:val="uk-UA"/>
        </w:rPr>
        <w:t xml:space="preserve"> </w:t>
      </w:r>
      <w:r w:rsidRPr="003C6DAE">
        <w:rPr>
          <w:rFonts w:ascii="Trebuchet MS"/>
          <w:spacing w:val="-4"/>
          <w:w w:val="75"/>
          <w:sz w:val="18"/>
          <w:lang w:val="uk-UA"/>
        </w:rPr>
        <w:t>2021</w:t>
      </w:r>
    </w:p>
    <w:p w14:paraId="0AEA2B01" w14:textId="77777777" w:rsidR="00E05B98" w:rsidRPr="003C6DAE" w:rsidRDefault="00B01E0C">
      <w:pPr>
        <w:spacing w:before="104"/>
        <w:ind w:left="217"/>
        <w:rPr>
          <w:rFonts w:ascii="Trebuchet MS"/>
          <w:sz w:val="18"/>
          <w:lang w:val="uk-UA"/>
        </w:rPr>
      </w:pPr>
      <w:r w:rsidRPr="003C6DAE">
        <w:rPr>
          <w:lang w:val="uk-UA"/>
        </w:rPr>
        <w:br w:type="column"/>
      </w:r>
      <w:r w:rsidRPr="003C6DAE">
        <w:rPr>
          <w:rFonts w:ascii="Trebuchet MS"/>
          <w:color w:val="333333"/>
          <w:w w:val="90"/>
          <w:sz w:val="18"/>
          <w:lang w:val="uk-UA"/>
        </w:rPr>
        <w:t>TP</w:t>
      </w:r>
      <w:r w:rsidRPr="003C6DAE">
        <w:rPr>
          <w:rFonts w:ascii="Trebuchet MS"/>
          <w:color w:val="333333"/>
          <w:spacing w:val="61"/>
          <w:w w:val="150"/>
          <w:sz w:val="18"/>
          <w:lang w:val="uk-UA"/>
        </w:rPr>
        <w:t xml:space="preserve"> </w:t>
      </w:r>
      <w:r w:rsidRPr="003C6DAE">
        <w:rPr>
          <w:rFonts w:ascii="Trebuchet MS"/>
          <w:color w:val="333333"/>
          <w:spacing w:val="-5"/>
          <w:w w:val="90"/>
          <w:sz w:val="18"/>
          <w:lang w:val="uk-UA"/>
        </w:rPr>
        <w:t xml:space="preserve">FP </w:t>
      </w:r>
    </w:p>
    <w:p w14:paraId="5480813B" w14:textId="77777777" w:rsidR="00E05B98" w:rsidRPr="003C6DAE" w:rsidRDefault="00B01E0C">
      <w:pPr>
        <w:spacing w:before="66"/>
        <w:ind w:left="322"/>
        <w:rPr>
          <w:rFonts w:ascii="Trebuchet MS"/>
          <w:sz w:val="18"/>
          <w:lang w:val="uk-UA"/>
        </w:rPr>
      </w:pPr>
      <w:r w:rsidRPr="003C6DAE">
        <w:rPr>
          <w:rFonts w:ascii="Trebuchet MS"/>
          <w:w w:val="90"/>
          <w:sz w:val="18"/>
          <w:lang w:val="uk-UA"/>
        </w:rPr>
        <w:t>9</w:t>
      </w:r>
      <w:r w:rsidRPr="003C6DAE">
        <w:rPr>
          <w:rFonts w:ascii="Trebuchet MS"/>
          <w:spacing w:val="64"/>
          <w:w w:val="150"/>
          <w:sz w:val="18"/>
          <w:lang w:val="uk-UA"/>
        </w:rPr>
        <w:t xml:space="preserve"> </w:t>
      </w:r>
      <w:r w:rsidRPr="003C6DAE">
        <w:rPr>
          <w:rFonts w:ascii="Trebuchet MS"/>
          <w:spacing w:val="-5"/>
          <w:w w:val="90"/>
          <w:sz w:val="18"/>
          <w:lang w:val="uk-UA"/>
        </w:rPr>
        <w:t>13</w:t>
      </w:r>
    </w:p>
    <w:p w14:paraId="60EA934B" w14:textId="77777777" w:rsidR="00E05B98" w:rsidRPr="003C6DAE" w:rsidRDefault="00B01E0C">
      <w:pPr>
        <w:tabs>
          <w:tab w:val="left" w:pos="639"/>
        </w:tabs>
        <w:spacing w:before="34"/>
        <w:ind w:left="238"/>
        <w:rPr>
          <w:rFonts w:ascii="Trebuchet MS"/>
          <w:sz w:val="18"/>
          <w:lang w:val="uk-UA"/>
        </w:rPr>
      </w:pPr>
      <w:r w:rsidRPr="003C6DAE">
        <w:rPr>
          <w:rFonts w:ascii="Trebuchet MS"/>
          <w:spacing w:val="-5"/>
          <w:w w:val="90"/>
          <w:sz w:val="18"/>
          <w:lang w:val="uk-UA"/>
        </w:rPr>
        <w:t>12</w:t>
      </w:r>
      <w:r w:rsidRPr="003C6DAE">
        <w:rPr>
          <w:rFonts w:ascii="Trebuchet MS"/>
          <w:sz w:val="18"/>
          <w:lang w:val="uk-UA"/>
        </w:rPr>
        <w:tab/>
      </w:r>
      <w:r w:rsidRPr="003C6DAE">
        <w:rPr>
          <w:rFonts w:ascii="Trebuchet MS"/>
          <w:spacing w:val="-12"/>
          <w:w w:val="90"/>
          <w:sz w:val="18"/>
          <w:lang w:val="uk-UA"/>
        </w:rPr>
        <w:t>4</w:t>
      </w:r>
    </w:p>
    <w:p w14:paraId="22217C70" w14:textId="77777777" w:rsidR="00E05B98" w:rsidRPr="003C6DAE" w:rsidRDefault="00B01E0C">
      <w:pPr>
        <w:spacing w:before="104"/>
        <w:ind w:left="84"/>
        <w:rPr>
          <w:rFonts w:ascii="Trebuchet MS"/>
          <w:sz w:val="18"/>
          <w:lang w:val="uk-UA"/>
        </w:rPr>
      </w:pPr>
      <w:r w:rsidRPr="003C6DAE">
        <w:rPr>
          <w:lang w:val="uk-UA"/>
        </w:rPr>
        <w:br w:type="column"/>
      </w:r>
      <w:r w:rsidRPr="003C6DAE">
        <w:rPr>
          <w:rFonts w:ascii="Trebuchet MS"/>
          <w:color w:val="333333"/>
          <w:w w:val="90"/>
          <w:sz w:val="18"/>
          <w:lang w:val="uk-UA"/>
        </w:rPr>
        <w:t>FN</w:t>
      </w:r>
      <w:r w:rsidRPr="003C6DAE">
        <w:rPr>
          <w:rFonts w:ascii="Trebuchet MS"/>
          <w:color w:val="333333"/>
          <w:spacing w:val="59"/>
          <w:sz w:val="18"/>
          <w:lang w:val="uk-UA"/>
        </w:rPr>
        <w:t xml:space="preserve"> </w:t>
      </w:r>
      <w:r w:rsidRPr="003C6DAE">
        <w:rPr>
          <w:rFonts w:ascii="Trebuchet MS"/>
          <w:color w:val="333333"/>
          <w:spacing w:val="-5"/>
          <w:w w:val="85"/>
          <w:sz w:val="18"/>
          <w:lang w:val="uk-UA"/>
        </w:rPr>
        <w:t xml:space="preserve">TN </w:t>
      </w:r>
    </w:p>
    <w:p w14:paraId="79AFA682" w14:textId="77777777" w:rsidR="00E05B98" w:rsidRPr="003C6DAE" w:rsidRDefault="00B01E0C">
      <w:pPr>
        <w:spacing w:before="66"/>
        <w:ind w:left="177"/>
        <w:rPr>
          <w:rFonts w:ascii="Trebuchet MS"/>
          <w:sz w:val="18"/>
          <w:lang w:val="uk-UA"/>
        </w:rPr>
      </w:pPr>
      <w:r w:rsidRPr="003C6DAE">
        <w:rPr>
          <w:rFonts w:ascii="Trebuchet MS"/>
          <w:w w:val="90"/>
          <w:sz w:val="18"/>
          <w:lang w:val="uk-UA"/>
        </w:rPr>
        <w:t>0</w:t>
      </w:r>
      <w:r w:rsidRPr="003C6DAE">
        <w:rPr>
          <w:rFonts w:ascii="Trebuchet MS"/>
          <w:spacing w:val="64"/>
          <w:w w:val="150"/>
          <w:sz w:val="18"/>
          <w:lang w:val="uk-UA"/>
        </w:rPr>
        <w:t xml:space="preserve"> </w:t>
      </w:r>
      <w:r w:rsidRPr="003C6DAE">
        <w:rPr>
          <w:rFonts w:ascii="Trebuchet MS"/>
          <w:spacing w:val="-5"/>
          <w:w w:val="90"/>
          <w:sz w:val="18"/>
          <w:lang w:val="uk-UA"/>
        </w:rPr>
        <w:t>39</w:t>
      </w:r>
    </w:p>
    <w:p w14:paraId="6293B08D" w14:textId="77777777" w:rsidR="00E05B98" w:rsidRPr="003C6DAE" w:rsidRDefault="00B01E0C">
      <w:pPr>
        <w:spacing w:before="34"/>
        <w:ind w:left="177"/>
        <w:rPr>
          <w:rFonts w:ascii="Trebuchet MS"/>
          <w:sz w:val="18"/>
          <w:lang w:val="uk-UA"/>
        </w:rPr>
      </w:pPr>
      <w:r w:rsidRPr="003C6DAE">
        <w:rPr>
          <w:rFonts w:ascii="Trebuchet MS"/>
          <w:w w:val="90"/>
          <w:sz w:val="18"/>
          <w:lang w:val="uk-UA"/>
        </w:rPr>
        <w:t>3</w:t>
      </w:r>
      <w:r w:rsidRPr="003C6DAE">
        <w:rPr>
          <w:rFonts w:ascii="Trebuchet MS"/>
          <w:spacing w:val="64"/>
          <w:w w:val="150"/>
          <w:sz w:val="18"/>
          <w:lang w:val="uk-UA"/>
        </w:rPr>
        <w:t xml:space="preserve"> </w:t>
      </w:r>
      <w:r w:rsidRPr="003C6DAE">
        <w:rPr>
          <w:rFonts w:ascii="Trebuchet MS"/>
          <w:spacing w:val="-5"/>
          <w:w w:val="90"/>
          <w:sz w:val="18"/>
          <w:lang w:val="uk-UA"/>
        </w:rPr>
        <w:t>25</w:t>
      </w:r>
    </w:p>
    <w:p w14:paraId="56E8FDA5" w14:textId="10A0C78B" w:rsidR="00E05B98" w:rsidRPr="003C6DAE" w:rsidRDefault="00B01E0C">
      <w:pPr>
        <w:spacing w:before="104"/>
        <w:jc w:val="right"/>
        <w:rPr>
          <w:rFonts w:ascii="Trebuchet MS"/>
          <w:sz w:val="17"/>
          <w:szCs w:val="17"/>
          <w:lang w:val="uk-UA"/>
        </w:rPr>
      </w:pPr>
      <w:r w:rsidRPr="003C6DAE">
        <w:rPr>
          <w:lang w:val="uk-UA"/>
        </w:rPr>
        <w:br w:type="column"/>
      </w:r>
      <w:r w:rsidR="003A33A4" w:rsidRPr="003C6DAE">
        <w:rPr>
          <w:rFonts w:ascii="Trebuchet MS"/>
          <w:color w:val="333333"/>
          <w:w w:val="80"/>
          <w:sz w:val="17"/>
          <w:szCs w:val="17"/>
          <w:lang w:val="uk-UA"/>
        </w:rPr>
        <w:t>Чутливість</w:t>
      </w:r>
      <w:r w:rsidRPr="003C6DAE">
        <w:rPr>
          <w:rFonts w:ascii="Trebuchet MS"/>
          <w:color w:val="333333"/>
          <w:spacing w:val="20"/>
          <w:sz w:val="17"/>
          <w:szCs w:val="17"/>
          <w:lang w:val="uk-UA"/>
        </w:rPr>
        <w:t xml:space="preserve"> </w:t>
      </w:r>
      <w:r w:rsidRPr="003C6DAE">
        <w:rPr>
          <w:rFonts w:ascii="Trebuchet MS"/>
          <w:color w:val="333333"/>
          <w:w w:val="80"/>
          <w:sz w:val="17"/>
          <w:szCs w:val="17"/>
          <w:lang w:val="uk-UA"/>
        </w:rPr>
        <w:t>(95%</w:t>
      </w:r>
      <w:r w:rsidRPr="003C6DAE">
        <w:rPr>
          <w:rFonts w:ascii="Trebuchet MS"/>
          <w:color w:val="333333"/>
          <w:spacing w:val="22"/>
          <w:sz w:val="17"/>
          <w:szCs w:val="17"/>
          <w:lang w:val="uk-UA"/>
        </w:rPr>
        <w:t xml:space="preserve"> </w:t>
      </w:r>
      <w:r w:rsidR="003A33A4" w:rsidRPr="003C6DAE">
        <w:rPr>
          <w:rFonts w:ascii="Trebuchet MS"/>
          <w:color w:val="333333"/>
          <w:w w:val="80"/>
          <w:sz w:val="17"/>
          <w:szCs w:val="17"/>
          <w:lang w:val="uk-UA"/>
        </w:rPr>
        <w:t>ДІ</w:t>
      </w:r>
      <w:r w:rsidRPr="003C6DAE">
        <w:rPr>
          <w:rFonts w:ascii="Trebuchet MS"/>
          <w:color w:val="333333"/>
          <w:spacing w:val="-5"/>
          <w:w w:val="80"/>
          <w:sz w:val="17"/>
          <w:szCs w:val="17"/>
          <w:lang w:val="uk-UA"/>
        </w:rPr>
        <w:t>)</w:t>
      </w:r>
    </w:p>
    <w:p w14:paraId="43577669" w14:textId="77777777" w:rsidR="00E05B98" w:rsidRPr="003C6DAE" w:rsidRDefault="00B01E0C">
      <w:pPr>
        <w:spacing w:before="66"/>
        <w:ind w:right="41"/>
        <w:jc w:val="right"/>
        <w:rPr>
          <w:rFonts w:ascii="Trebuchet MS"/>
          <w:sz w:val="18"/>
          <w:lang w:val="uk-UA"/>
        </w:rPr>
      </w:pPr>
      <w:r w:rsidRPr="003C6DAE">
        <w:rPr>
          <w:rFonts w:ascii="Trebuchet MS"/>
          <w:w w:val="70"/>
          <w:sz w:val="18"/>
          <w:lang w:val="uk-UA"/>
        </w:rPr>
        <w:t>1.00</w:t>
      </w:r>
      <w:r w:rsidRPr="003C6DAE">
        <w:rPr>
          <w:rFonts w:ascii="Trebuchet MS"/>
          <w:spacing w:val="25"/>
          <w:sz w:val="18"/>
          <w:lang w:val="uk-UA"/>
        </w:rPr>
        <w:t xml:space="preserve"> </w:t>
      </w:r>
      <w:r w:rsidRPr="003C6DAE">
        <w:rPr>
          <w:rFonts w:ascii="Trebuchet MS"/>
          <w:w w:val="70"/>
          <w:sz w:val="18"/>
          <w:lang w:val="uk-UA"/>
        </w:rPr>
        <w:t>[0.66,</w:t>
      </w:r>
      <w:r w:rsidRPr="003C6DAE">
        <w:rPr>
          <w:rFonts w:ascii="Trebuchet MS"/>
          <w:spacing w:val="33"/>
          <w:sz w:val="18"/>
          <w:lang w:val="uk-UA"/>
        </w:rPr>
        <w:t xml:space="preserve"> </w:t>
      </w:r>
      <w:r w:rsidRPr="003C6DAE">
        <w:rPr>
          <w:rFonts w:ascii="Trebuchet MS"/>
          <w:spacing w:val="-2"/>
          <w:w w:val="70"/>
          <w:sz w:val="18"/>
          <w:lang w:val="uk-UA"/>
        </w:rPr>
        <w:t>1.00]</w:t>
      </w:r>
    </w:p>
    <w:p w14:paraId="0D668153" w14:textId="77777777" w:rsidR="00E05B98" w:rsidRPr="003C6DAE" w:rsidRDefault="00B01E0C">
      <w:pPr>
        <w:spacing w:before="34"/>
        <w:ind w:right="41"/>
        <w:jc w:val="right"/>
        <w:rPr>
          <w:rFonts w:ascii="Trebuchet MS"/>
          <w:sz w:val="18"/>
          <w:lang w:val="uk-UA"/>
        </w:rPr>
      </w:pPr>
      <w:r w:rsidRPr="003C6DAE">
        <w:rPr>
          <w:rFonts w:ascii="Trebuchet MS"/>
          <w:w w:val="70"/>
          <w:sz w:val="18"/>
          <w:lang w:val="uk-UA"/>
        </w:rPr>
        <w:t>0.80</w:t>
      </w:r>
      <w:r w:rsidRPr="003C6DAE">
        <w:rPr>
          <w:rFonts w:ascii="Trebuchet MS"/>
          <w:spacing w:val="25"/>
          <w:sz w:val="18"/>
          <w:lang w:val="uk-UA"/>
        </w:rPr>
        <w:t xml:space="preserve"> </w:t>
      </w:r>
      <w:r w:rsidRPr="003C6DAE">
        <w:rPr>
          <w:rFonts w:ascii="Trebuchet MS"/>
          <w:w w:val="70"/>
          <w:sz w:val="18"/>
          <w:lang w:val="uk-UA"/>
        </w:rPr>
        <w:t>[0.52,</w:t>
      </w:r>
      <w:r w:rsidRPr="003C6DAE">
        <w:rPr>
          <w:rFonts w:ascii="Trebuchet MS"/>
          <w:spacing w:val="33"/>
          <w:sz w:val="18"/>
          <w:lang w:val="uk-UA"/>
        </w:rPr>
        <w:t xml:space="preserve"> </w:t>
      </w:r>
      <w:r w:rsidRPr="003C6DAE">
        <w:rPr>
          <w:rFonts w:ascii="Trebuchet MS"/>
          <w:spacing w:val="-2"/>
          <w:w w:val="70"/>
          <w:sz w:val="18"/>
          <w:lang w:val="uk-UA"/>
        </w:rPr>
        <w:t>0.96]</w:t>
      </w:r>
    </w:p>
    <w:p w14:paraId="307C0533" w14:textId="7083704D" w:rsidR="00E05B98" w:rsidRPr="003C6DAE" w:rsidRDefault="00B01E0C">
      <w:pPr>
        <w:spacing w:before="104"/>
        <w:jc w:val="right"/>
        <w:rPr>
          <w:rFonts w:ascii="Trebuchet MS"/>
          <w:sz w:val="17"/>
          <w:szCs w:val="17"/>
          <w:lang w:val="uk-UA"/>
        </w:rPr>
      </w:pPr>
      <w:r w:rsidRPr="003C6DAE">
        <w:rPr>
          <w:lang w:val="uk-UA"/>
        </w:rPr>
        <w:br w:type="column"/>
      </w:r>
      <w:r w:rsidR="003A33A4" w:rsidRPr="003C6DAE">
        <w:rPr>
          <w:rFonts w:ascii="Trebuchet MS"/>
          <w:color w:val="333333"/>
          <w:w w:val="80"/>
          <w:sz w:val="17"/>
          <w:szCs w:val="17"/>
          <w:lang w:val="uk-UA"/>
        </w:rPr>
        <w:t>Специфічність</w:t>
      </w:r>
      <w:r w:rsidRPr="003C6DAE">
        <w:rPr>
          <w:rFonts w:ascii="Trebuchet MS"/>
          <w:color w:val="333333"/>
          <w:w w:val="80"/>
          <w:sz w:val="17"/>
          <w:szCs w:val="17"/>
          <w:lang w:val="uk-UA"/>
        </w:rPr>
        <w:t>(95%</w:t>
      </w:r>
      <w:r w:rsidRPr="003C6DAE">
        <w:rPr>
          <w:rFonts w:ascii="Trebuchet MS"/>
          <w:color w:val="333333"/>
          <w:spacing w:val="16"/>
          <w:sz w:val="17"/>
          <w:szCs w:val="17"/>
          <w:lang w:val="uk-UA"/>
        </w:rPr>
        <w:t xml:space="preserve"> </w:t>
      </w:r>
      <w:r w:rsidR="003A33A4" w:rsidRPr="003C6DAE">
        <w:rPr>
          <w:rFonts w:ascii="Trebuchet MS"/>
          <w:color w:val="333333"/>
          <w:w w:val="80"/>
          <w:sz w:val="17"/>
          <w:szCs w:val="17"/>
          <w:lang w:val="uk-UA"/>
        </w:rPr>
        <w:t>ДІ</w:t>
      </w:r>
      <w:r w:rsidRPr="003C6DAE">
        <w:rPr>
          <w:rFonts w:ascii="Trebuchet MS"/>
          <w:color w:val="333333"/>
          <w:spacing w:val="-5"/>
          <w:w w:val="80"/>
          <w:sz w:val="17"/>
          <w:szCs w:val="17"/>
          <w:lang w:val="uk-UA"/>
        </w:rPr>
        <w:t>)</w:t>
      </w:r>
    </w:p>
    <w:p w14:paraId="20E04A46" w14:textId="77777777" w:rsidR="00E05B98" w:rsidRPr="003C6DAE" w:rsidRDefault="00B01E0C">
      <w:pPr>
        <w:spacing w:before="66"/>
        <w:ind w:right="29"/>
        <w:jc w:val="right"/>
        <w:rPr>
          <w:rFonts w:ascii="Trebuchet MS"/>
          <w:sz w:val="18"/>
          <w:lang w:val="uk-UA"/>
        </w:rPr>
      </w:pPr>
      <w:r w:rsidRPr="003C6DAE">
        <w:rPr>
          <w:rFonts w:ascii="Trebuchet MS"/>
          <w:w w:val="70"/>
          <w:sz w:val="18"/>
          <w:lang w:val="uk-UA"/>
        </w:rPr>
        <w:t>0.75</w:t>
      </w:r>
      <w:r w:rsidRPr="003C6DAE">
        <w:rPr>
          <w:rFonts w:ascii="Trebuchet MS"/>
          <w:spacing w:val="25"/>
          <w:sz w:val="18"/>
          <w:lang w:val="uk-UA"/>
        </w:rPr>
        <w:t xml:space="preserve"> </w:t>
      </w:r>
      <w:r w:rsidRPr="003C6DAE">
        <w:rPr>
          <w:rFonts w:ascii="Trebuchet MS"/>
          <w:w w:val="70"/>
          <w:sz w:val="18"/>
          <w:lang w:val="uk-UA"/>
        </w:rPr>
        <w:t>[0.61,</w:t>
      </w:r>
      <w:r w:rsidRPr="003C6DAE">
        <w:rPr>
          <w:rFonts w:ascii="Trebuchet MS"/>
          <w:spacing w:val="33"/>
          <w:sz w:val="18"/>
          <w:lang w:val="uk-UA"/>
        </w:rPr>
        <w:t xml:space="preserve"> </w:t>
      </w:r>
      <w:r w:rsidRPr="003C6DAE">
        <w:rPr>
          <w:rFonts w:ascii="Trebuchet MS"/>
          <w:spacing w:val="-2"/>
          <w:w w:val="70"/>
          <w:sz w:val="18"/>
          <w:lang w:val="uk-UA"/>
        </w:rPr>
        <w:t>0.86]</w:t>
      </w:r>
    </w:p>
    <w:p w14:paraId="578E239D" w14:textId="77777777" w:rsidR="00E05B98" w:rsidRPr="003C6DAE" w:rsidRDefault="00B01E0C">
      <w:pPr>
        <w:spacing w:before="34"/>
        <w:ind w:right="29"/>
        <w:jc w:val="right"/>
        <w:rPr>
          <w:rFonts w:ascii="Trebuchet MS"/>
          <w:sz w:val="18"/>
          <w:lang w:val="uk-UA"/>
        </w:rPr>
      </w:pPr>
      <w:r w:rsidRPr="003C6DAE">
        <w:rPr>
          <w:rFonts w:ascii="Trebuchet MS"/>
          <w:w w:val="70"/>
          <w:sz w:val="18"/>
          <w:lang w:val="uk-UA"/>
        </w:rPr>
        <w:t>0.86</w:t>
      </w:r>
      <w:r w:rsidRPr="003C6DAE">
        <w:rPr>
          <w:rFonts w:ascii="Trebuchet MS"/>
          <w:spacing w:val="25"/>
          <w:sz w:val="18"/>
          <w:lang w:val="uk-UA"/>
        </w:rPr>
        <w:t xml:space="preserve"> </w:t>
      </w:r>
      <w:r w:rsidRPr="003C6DAE">
        <w:rPr>
          <w:rFonts w:ascii="Trebuchet MS"/>
          <w:w w:val="70"/>
          <w:sz w:val="18"/>
          <w:lang w:val="uk-UA"/>
        </w:rPr>
        <w:t>[0.68,</w:t>
      </w:r>
      <w:r w:rsidRPr="003C6DAE">
        <w:rPr>
          <w:rFonts w:ascii="Trebuchet MS"/>
          <w:spacing w:val="33"/>
          <w:sz w:val="18"/>
          <w:lang w:val="uk-UA"/>
        </w:rPr>
        <w:t xml:space="preserve"> </w:t>
      </w:r>
      <w:r w:rsidRPr="003C6DAE">
        <w:rPr>
          <w:rFonts w:ascii="Trebuchet MS"/>
          <w:spacing w:val="-2"/>
          <w:w w:val="70"/>
          <w:sz w:val="18"/>
          <w:lang w:val="uk-UA"/>
        </w:rPr>
        <w:t>0.96]</w:t>
      </w:r>
    </w:p>
    <w:p w14:paraId="02F9231E" w14:textId="0D5B1D33" w:rsidR="00E05B98" w:rsidRPr="003C6DAE" w:rsidRDefault="00B01E0C" w:rsidP="00B06A43">
      <w:pPr>
        <w:spacing w:before="104"/>
        <w:ind w:left="88"/>
        <w:jc w:val="right"/>
        <w:rPr>
          <w:rFonts w:ascii="Trebuchet MS"/>
          <w:sz w:val="17"/>
          <w:szCs w:val="17"/>
          <w:lang w:val="uk-UA"/>
        </w:rPr>
      </w:pPr>
      <w:r w:rsidRPr="003C6DAE">
        <w:rPr>
          <w:lang w:val="uk-UA"/>
        </w:rPr>
        <w:br w:type="column"/>
      </w:r>
      <w:r w:rsidR="003A33A4" w:rsidRPr="003C6DAE">
        <w:rPr>
          <w:rFonts w:ascii="Trebuchet MS"/>
          <w:color w:val="333333"/>
          <w:w w:val="80"/>
          <w:sz w:val="17"/>
          <w:szCs w:val="17"/>
          <w:lang w:val="uk-UA"/>
        </w:rPr>
        <w:t>Чутливість</w:t>
      </w:r>
      <w:r w:rsidRPr="003C6DAE">
        <w:rPr>
          <w:rFonts w:ascii="Trebuchet MS"/>
          <w:color w:val="333333"/>
          <w:spacing w:val="20"/>
          <w:sz w:val="17"/>
          <w:szCs w:val="17"/>
          <w:lang w:val="uk-UA"/>
        </w:rPr>
        <w:t xml:space="preserve"> </w:t>
      </w:r>
      <w:r w:rsidRPr="003C6DAE">
        <w:rPr>
          <w:rFonts w:ascii="Trebuchet MS"/>
          <w:color w:val="333333"/>
          <w:w w:val="80"/>
          <w:sz w:val="17"/>
          <w:szCs w:val="17"/>
          <w:lang w:val="uk-UA"/>
        </w:rPr>
        <w:t>(95%</w:t>
      </w:r>
      <w:r w:rsidRPr="003C6DAE">
        <w:rPr>
          <w:rFonts w:ascii="Trebuchet MS"/>
          <w:color w:val="333333"/>
          <w:spacing w:val="22"/>
          <w:sz w:val="17"/>
          <w:szCs w:val="17"/>
          <w:lang w:val="uk-UA"/>
        </w:rPr>
        <w:t xml:space="preserve"> </w:t>
      </w:r>
      <w:r w:rsidR="003A33A4" w:rsidRPr="003C6DAE">
        <w:rPr>
          <w:rFonts w:ascii="Trebuchet MS"/>
          <w:color w:val="333333"/>
          <w:w w:val="80"/>
          <w:sz w:val="17"/>
          <w:szCs w:val="17"/>
          <w:lang w:val="uk-UA"/>
        </w:rPr>
        <w:t>ДІ</w:t>
      </w:r>
      <w:r w:rsidRPr="003C6DAE">
        <w:rPr>
          <w:rFonts w:ascii="Trebuchet MS"/>
          <w:color w:val="333333"/>
          <w:spacing w:val="-5"/>
          <w:w w:val="80"/>
          <w:sz w:val="17"/>
          <w:szCs w:val="17"/>
          <w:lang w:val="uk-UA"/>
        </w:rPr>
        <w:t>)</w:t>
      </w:r>
    </w:p>
    <w:p w14:paraId="2AC4EAA6" w14:textId="77777777" w:rsidR="00E05B98" w:rsidRPr="003C6DAE" w:rsidRDefault="00E05B98">
      <w:pPr>
        <w:pStyle w:val="a3"/>
        <w:spacing w:before="92"/>
        <w:rPr>
          <w:rFonts w:ascii="Trebuchet MS"/>
          <w:sz w:val="20"/>
          <w:lang w:val="uk-UA"/>
        </w:rPr>
      </w:pPr>
    </w:p>
    <w:p w14:paraId="5F6AB759" w14:textId="77777777" w:rsidR="00E05B98" w:rsidRPr="003C6DAE" w:rsidRDefault="00B01E0C">
      <w:pPr>
        <w:pStyle w:val="a3"/>
        <w:spacing w:line="234" w:lineRule="exact"/>
        <w:ind w:left="-8" w:right="-72"/>
        <w:rPr>
          <w:rFonts w:ascii="Trebuchet MS"/>
          <w:position w:val="-4"/>
          <w:sz w:val="20"/>
          <w:lang w:val="uk-UA"/>
        </w:rPr>
      </w:pPr>
      <w:r w:rsidRPr="003C6DAE">
        <w:rPr>
          <w:rFonts w:ascii="Trebuchet MS"/>
          <w:noProof/>
          <w:position w:val="-4"/>
          <w:sz w:val="20"/>
          <w:lang w:val="uk-UA"/>
        </w:rPr>
        <mc:AlternateContent>
          <mc:Choice Requires="wpg">
            <w:drawing>
              <wp:inline distT="0" distB="0" distL="0" distR="0" wp14:anchorId="00608A76" wp14:editId="12AC9009">
                <wp:extent cx="964565" cy="144780"/>
                <wp:effectExtent l="9525" t="0" r="0" b="7619"/>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4565" cy="144780"/>
                          <a:chOff x="0" y="0"/>
                          <a:chExt cx="964565" cy="144780"/>
                        </a:xfrm>
                      </wpg:grpSpPr>
                      <wps:wsp>
                        <wps:cNvPr id="680" name="Graphic 680"/>
                        <wps:cNvSpPr/>
                        <wps:spPr>
                          <a:xfrm>
                            <a:off x="504100" y="28920"/>
                            <a:ext cx="422275" cy="1270"/>
                          </a:xfrm>
                          <a:custGeom>
                            <a:avLst/>
                            <a:gdLst/>
                            <a:ahLst/>
                            <a:cxnLst/>
                            <a:rect l="l" t="t" r="r" b="b"/>
                            <a:pathLst>
                              <a:path w="422275">
                                <a:moveTo>
                                  <a:pt x="0" y="0"/>
                                </a:moveTo>
                                <a:lnTo>
                                  <a:pt x="247028" y="0"/>
                                </a:lnTo>
                              </a:path>
                              <a:path w="422275">
                                <a:moveTo>
                                  <a:pt x="303262" y="0"/>
                                </a:moveTo>
                                <a:lnTo>
                                  <a:pt x="422158" y="0"/>
                                </a:lnTo>
                              </a:path>
                            </a:pathLst>
                          </a:custGeom>
                          <a:ln w="9640">
                            <a:solidFill>
                              <a:srgbClr val="000000"/>
                            </a:solidFill>
                            <a:prstDash val="solid"/>
                          </a:ln>
                        </wps:spPr>
                        <wps:bodyPr wrap="square" lIns="0" tIns="0" rIns="0" bIns="0" rtlCol="0">
                          <a:prstTxWarp prst="textNoShape">
                            <a:avLst/>
                          </a:prstTxWarp>
                          <a:noAutofit/>
                        </wps:bodyPr>
                      </wps:wsp>
                      <wps:wsp>
                        <wps:cNvPr id="681" name="Graphic 681"/>
                        <wps:cNvSpPr/>
                        <wps:spPr>
                          <a:xfrm>
                            <a:off x="751129" y="0"/>
                            <a:ext cx="56515" cy="67945"/>
                          </a:xfrm>
                          <a:custGeom>
                            <a:avLst/>
                            <a:gdLst/>
                            <a:ahLst/>
                            <a:cxnLst/>
                            <a:rect l="l" t="t" r="r" b="b"/>
                            <a:pathLst>
                              <a:path w="56515" h="67945">
                                <a:moveTo>
                                  <a:pt x="56233" y="67480"/>
                                </a:moveTo>
                                <a:lnTo>
                                  <a:pt x="0" y="67480"/>
                                </a:lnTo>
                                <a:lnTo>
                                  <a:pt x="0" y="0"/>
                                </a:lnTo>
                                <a:lnTo>
                                  <a:pt x="56233" y="0"/>
                                </a:lnTo>
                                <a:lnTo>
                                  <a:pt x="56233" y="67480"/>
                                </a:lnTo>
                                <a:close/>
                              </a:path>
                            </a:pathLst>
                          </a:custGeom>
                          <a:solidFill>
                            <a:srgbClr val="0000C0"/>
                          </a:solidFill>
                        </wps:spPr>
                        <wps:bodyPr wrap="square" lIns="0" tIns="0" rIns="0" bIns="0" rtlCol="0">
                          <a:prstTxWarp prst="textNoShape">
                            <a:avLst/>
                          </a:prstTxWarp>
                          <a:noAutofit/>
                        </wps:bodyPr>
                      </wps:wsp>
                      <wps:wsp>
                        <wps:cNvPr id="682" name="Graphic 682"/>
                        <wps:cNvSpPr/>
                        <wps:spPr>
                          <a:xfrm>
                            <a:off x="4017" y="106042"/>
                            <a:ext cx="956310" cy="1270"/>
                          </a:xfrm>
                          <a:custGeom>
                            <a:avLst/>
                            <a:gdLst/>
                            <a:ahLst/>
                            <a:cxnLst/>
                            <a:rect l="l" t="t" r="r" b="b"/>
                            <a:pathLst>
                              <a:path w="956310">
                                <a:moveTo>
                                  <a:pt x="0" y="0"/>
                                </a:moveTo>
                                <a:lnTo>
                                  <a:pt x="955981" y="0"/>
                                </a:lnTo>
                              </a:path>
                            </a:pathLst>
                          </a:custGeom>
                          <a:ln w="9640">
                            <a:solidFill>
                              <a:srgbClr val="000000"/>
                            </a:solidFill>
                            <a:prstDash val="solid"/>
                          </a:ln>
                        </wps:spPr>
                        <wps:bodyPr wrap="square" lIns="0" tIns="0" rIns="0" bIns="0" rtlCol="0">
                          <a:prstTxWarp prst="textNoShape">
                            <a:avLst/>
                          </a:prstTxWarp>
                          <a:noAutofit/>
                        </wps:bodyPr>
                      </wps:wsp>
                      <wps:wsp>
                        <wps:cNvPr id="683" name="Graphic 683"/>
                        <wps:cNvSpPr/>
                        <wps:spPr>
                          <a:xfrm>
                            <a:off x="4016" y="67481"/>
                            <a:ext cx="1270" cy="77470"/>
                          </a:xfrm>
                          <a:custGeom>
                            <a:avLst/>
                            <a:gdLst/>
                            <a:ahLst/>
                            <a:cxnLst/>
                            <a:rect l="l" t="t" r="r" b="b"/>
                            <a:pathLst>
                              <a:path h="77470">
                                <a:moveTo>
                                  <a:pt x="0" y="0"/>
                                </a:moveTo>
                                <a:lnTo>
                                  <a:pt x="0" y="77121"/>
                                </a:lnTo>
                              </a:path>
                            </a:pathLst>
                          </a:custGeom>
                          <a:ln w="8033">
                            <a:solidFill>
                              <a:srgbClr val="000000"/>
                            </a:solidFill>
                            <a:prstDash val="solid"/>
                          </a:ln>
                        </wps:spPr>
                        <wps:bodyPr wrap="square" lIns="0" tIns="0" rIns="0" bIns="0" rtlCol="0">
                          <a:prstTxWarp prst="textNoShape">
                            <a:avLst/>
                          </a:prstTxWarp>
                          <a:noAutofit/>
                        </wps:bodyPr>
                      </wps:wsp>
                      <wps:wsp>
                        <wps:cNvPr id="684" name="Graphic 684"/>
                        <wps:cNvSpPr/>
                        <wps:spPr>
                          <a:xfrm>
                            <a:off x="195212" y="67481"/>
                            <a:ext cx="1270" cy="77470"/>
                          </a:xfrm>
                          <a:custGeom>
                            <a:avLst/>
                            <a:gdLst/>
                            <a:ahLst/>
                            <a:cxnLst/>
                            <a:rect l="l" t="t" r="r" b="b"/>
                            <a:pathLst>
                              <a:path h="77470">
                                <a:moveTo>
                                  <a:pt x="0" y="0"/>
                                </a:moveTo>
                                <a:lnTo>
                                  <a:pt x="0" y="77121"/>
                                </a:lnTo>
                              </a:path>
                            </a:pathLst>
                          </a:custGeom>
                          <a:ln w="8033">
                            <a:solidFill>
                              <a:srgbClr val="000000"/>
                            </a:solidFill>
                            <a:prstDash val="solid"/>
                          </a:ln>
                        </wps:spPr>
                        <wps:bodyPr wrap="square" lIns="0" tIns="0" rIns="0" bIns="0" rtlCol="0">
                          <a:prstTxWarp prst="textNoShape">
                            <a:avLst/>
                          </a:prstTxWarp>
                          <a:noAutofit/>
                        </wps:bodyPr>
                      </wps:wsp>
                      <wps:wsp>
                        <wps:cNvPr id="685" name="Graphic 685"/>
                        <wps:cNvSpPr/>
                        <wps:spPr>
                          <a:xfrm>
                            <a:off x="386407" y="67481"/>
                            <a:ext cx="1270" cy="77470"/>
                          </a:xfrm>
                          <a:custGeom>
                            <a:avLst/>
                            <a:gdLst/>
                            <a:ahLst/>
                            <a:cxnLst/>
                            <a:rect l="l" t="t" r="r" b="b"/>
                            <a:pathLst>
                              <a:path h="77470">
                                <a:moveTo>
                                  <a:pt x="0" y="0"/>
                                </a:moveTo>
                                <a:lnTo>
                                  <a:pt x="0" y="77121"/>
                                </a:lnTo>
                              </a:path>
                            </a:pathLst>
                          </a:custGeom>
                          <a:ln w="8033">
                            <a:solidFill>
                              <a:srgbClr val="000000"/>
                            </a:solidFill>
                            <a:prstDash val="solid"/>
                          </a:ln>
                        </wps:spPr>
                        <wps:bodyPr wrap="square" lIns="0" tIns="0" rIns="0" bIns="0" rtlCol="0">
                          <a:prstTxWarp prst="textNoShape">
                            <a:avLst/>
                          </a:prstTxWarp>
                          <a:noAutofit/>
                        </wps:bodyPr>
                      </wps:wsp>
                      <wps:wsp>
                        <wps:cNvPr id="686" name="Graphic 686"/>
                        <wps:cNvSpPr/>
                        <wps:spPr>
                          <a:xfrm>
                            <a:off x="577201" y="67481"/>
                            <a:ext cx="1270" cy="77470"/>
                          </a:xfrm>
                          <a:custGeom>
                            <a:avLst/>
                            <a:gdLst/>
                            <a:ahLst/>
                            <a:cxnLst/>
                            <a:rect l="l" t="t" r="r" b="b"/>
                            <a:pathLst>
                              <a:path h="77470">
                                <a:moveTo>
                                  <a:pt x="0" y="0"/>
                                </a:moveTo>
                                <a:lnTo>
                                  <a:pt x="0" y="77121"/>
                                </a:lnTo>
                              </a:path>
                            </a:pathLst>
                          </a:custGeom>
                          <a:ln w="8033">
                            <a:solidFill>
                              <a:srgbClr val="000000"/>
                            </a:solidFill>
                            <a:prstDash val="solid"/>
                          </a:ln>
                        </wps:spPr>
                        <wps:bodyPr wrap="square" lIns="0" tIns="0" rIns="0" bIns="0" rtlCol="0">
                          <a:prstTxWarp prst="textNoShape">
                            <a:avLst/>
                          </a:prstTxWarp>
                          <a:noAutofit/>
                        </wps:bodyPr>
                      </wps:wsp>
                      <wps:wsp>
                        <wps:cNvPr id="687" name="Graphic 687"/>
                        <wps:cNvSpPr/>
                        <wps:spPr>
                          <a:xfrm>
                            <a:off x="768799" y="67481"/>
                            <a:ext cx="1270" cy="77470"/>
                          </a:xfrm>
                          <a:custGeom>
                            <a:avLst/>
                            <a:gdLst/>
                            <a:ahLst/>
                            <a:cxnLst/>
                            <a:rect l="l" t="t" r="r" b="b"/>
                            <a:pathLst>
                              <a:path h="77470">
                                <a:moveTo>
                                  <a:pt x="0" y="0"/>
                                </a:moveTo>
                                <a:lnTo>
                                  <a:pt x="0" y="77121"/>
                                </a:lnTo>
                              </a:path>
                            </a:pathLst>
                          </a:custGeom>
                          <a:ln w="8033">
                            <a:solidFill>
                              <a:srgbClr val="000000"/>
                            </a:solidFill>
                            <a:prstDash val="solid"/>
                          </a:ln>
                        </wps:spPr>
                        <wps:bodyPr wrap="square" lIns="0" tIns="0" rIns="0" bIns="0" rtlCol="0">
                          <a:prstTxWarp prst="textNoShape">
                            <a:avLst/>
                          </a:prstTxWarp>
                          <a:noAutofit/>
                        </wps:bodyPr>
                      </wps:wsp>
                      <wps:wsp>
                        <wps:cNvPr id="688" name="Graphic 688"/>
                        <wps:cNvSpPr/>
                        <wps:spPr>
                          <a:xfrm>
                            <a:off x="959995" y="67481"/>
                            <a:ext cx="1270" cy="77470"/>
                          </a:xfrm>
                          <a:custGeom>
                            <a:avLst/>
                            <a:gdLst/>
                            <a:ahLst/>
                            <a:cxnLst/>
                            <a:rect l="l" t="t" r="r" b="b"/>
                            <a:pathLst>
                              <a:path h="77470">
                                <a:moveTo>
                                  <a:pt x="0" y="0"/>
                                </a:moveTo>
                                <a:lnTo>
                                  <a:pt x="0" y="77121"/>
                                </a:lnTo>
                              </a:path>
                            </a:pathLst>
                          </a:custGeom>
                          <a:ln w="80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CD1EFC" id="Group 679" o:spid="_x0000_s1026" style="width:75.95pt;height:11.4pt;mso-position-horizontal-relative:char;mso-position-vertical-relative:line" coordsize="9645,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">
                <v:shape id="Graphic 680" o:spid="_x0000_s1027" style="position:absolute;left:5041;top:289;width:4222;height:12;visibility:visible;mso-wrap-style:square;v-text-anchor:top" coordsize="422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" path="m,l247028,em303262,l422158,e" filled="f" strokeweight=".26778mm">
                  <v:path arrowok="t"/>
                </v:shape>
                <v:shape id="Graphic 681" o:spid="_x0000_s1028" style="position:absolute;left:7511;width:565;height:679;visibility:visible;mso-wrap-style:square;v-text-anchor:top" coordsize="5651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" path="m56233,67480l,67480,,,56233,r,67480xe" fillcolor="#0000c0" stroked="f">
                  <v:path arrowok="t"/>
                </v:shape>
                <v:shape id="Graphic 682" o:spid="_x0000_s1029" style="position:absolute;left:40;top:1060;width:9563;height:13;visibility:visible;mso-wrap-style:square;v-text-anchor:top" coordsize="956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" path="m,l955981,e" filled="f" strokeweight=".26778mm">
                  <v:path arrowok="t"/>
                </v:shape>
                <v:shape id="Graphic 683" o:spid="_x0000_s1030" style="position:absolute;left:40;top:674;width:12;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" path="m,l,77121e" filled="f" strokeweight=".22314mm">
                  <v:path arrowok="t"/>
                </v:shape>
                <v:shape id="Graphic 684" o:spid="_x0000_s1031" style="position:absolute;left:1952;top:674;width:12;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" path="m,l,77121e" filled="f" strokeweight=".22314mm">
                  <v:path arrowok="t"/>
                </v:shape>
                <v:shape id="Graphic 685" o:spid="_x0000_s1032" style="position:absolute;left:3864;top:674;width:12;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" path="m,l,77121e" filled="f" strokeweight=".22314mm">
                  <v:path arrowok="t"/>
                </v:shape>
                <v:shape id="Graphic 686" o:spid="_x0000_s1033" style="position:absolute;left:5772;top:674;width:12;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" path="m,l,77121e" filled="f" strokeweight=".22314mm">
                  <v:path arrowok="t"/>
                </v:shape>
                <v:shape id="Graphic 687" o:spid="_x0000_s1034" style="position:absolute;left:7687;top:674;width:13;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" path="m,l,77121e" filled="f" strokeweight=".22314mm">
                  <v:path arrowok="t"/>
                </v:shape>
                <v:shape id="Graphic 688" o:spid="_x0000_s1035" style="position:absolute;left:9599;top:674;width:13;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" path="m,l,77121e" filled="f" strokeweight=".22314mm">
                  <v:path arrowok="t"/>
                </v:shape>
                <w10:anchorlock/>
              </v:group>
            </w:pict>
          </mc:Fallback>
        </mc:AlternateContent>
      </w:r>
    </w:p>
    <w:p w14:paraId="1C08C865" w14:textId="77777777" w:rsidR="00E05B98" w:rsidRPr="003C6DAE" w:rsidRDefault="00B01E0C">
      <w:pPr>
        <w:rPr>
          <w:rFonts w:ascii="Trebuchet MS"/>
          <w:sz w:val="18"/>
          <w:lang w:val="uk-UA"/>
        </w:rPr>
      </w:pPr>
      <w:r w:rsidRPr="003C6DAE">
        <w:rPr>
          <w:rFonts w:ascii="Trebuchet MS"/>
          <w:noProof/>
          <w:sz w:val="18"/>
          <w:lang w:val="uk-UA"/>
        </w:rPr>
        <mc:AlternateContent>
          <mc:Choice Requires="wpg">
            <w:drawing>
              <wp:anchor distT="0" distB="0" distL="0" distR="0" simplePos="0" relativeHeight="15864832" behindDoc="0" locked="0" layoutInCell="1" allowOverlap="1" wp14:anchorId="011E6179" wp14:editId="372DF0F5">
                <wp:simplePos x="0" y="0"/>
                <wp:positionH relativeFrom="page">
                  <wp:posOffset>5210752</wp:posOffset>
                </wp:positionH>
                <wp:positionV relativeFrom="paragraph">
                  <wp:posOffset>-302832</wp:posOffset>
                </wp:positionV>
                <wp:extent cx="356870" cy="67945"/>
                <wp:effectExtent l="0" t="0" r="0" b="0"/>
                <wp:wrapNone/>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67945"/>
                          <a:chOff x="0" y="0"/>
                          <a:chExt cx="356870" cy="67945"/>
                        </a:xfrm>
                      </wpg:grpSpPr>
                      <wps:wsp>
                        <wps:cNvPr id="690" name="Graphic 690"/>
                        <wps:cNvSpPr/>
                        <wps:spPr>
                          <a:xfrm>
                            <a:off x="0" y="28920"/>
                            <a:ext cx="300990" cy="1270"/>
                          </a:xfrm>
                          <a:custGeom>
                            <a:avLst/>
                            <a:gdLst/>
                            <a:ahLst/>
                            <a:cxnLst/>
                            <a:rect l="l" t="t" r="r" b="b"/>
                            <a:pathLst>
                              <a:path w="300990">
                                <a:moveTo>
                                  <a:pt x="0" y="0"/>
                                </a:moveTo>
                                <a:lnTo>
                                  <a:pt x="300451" y="0"/>
                                </a:lnTo>
                              </a:path>
                            </a:pathLst>
                          </a:custGeom>
                          <a:ln w="9640">
                            <a:solidFill>
                              <a:srgbClr val="000000"/>
                            </a:solidFill>
                            <a:prstDash val="solid"/>
                          </a:ln>
                        </wps:spPr>
                        <wps:bodyPr wrap="square" lIns="0" tIns="0" rIns="0" bIns="0" rtlCol="0">
                          <a:prstTxWarp prst="textNoShape">
                            <a:avLst/>
                          </a:prstTxWarp>
                          <a:noAutofit/>
                        </wps:bodyPr>
                      </wps:wsp>
                      <wps:wsp>
                        <wps:cNvPr id="691" name="Graphic 691"/>
                        <wps:cNvSpPr/>
                        <wps:spPr>
                          <a:xfrm>
                            <a:off x="300451" y="0"/>
                            <a:ext cx="56515" cy="67945"/>
                          </a:xfrm>
                          <a:custGeom>
                            <a:avLst/>
                            <a:gdLst/>
                            <a:ahLst/>
                            <a:cxnLst/>
                            <a:rect l="l" t="t" r="r" b="b"/>
                            <a:pathLst>
                              <a:path w="56515" h="67945">
                                <a:moveTo>
                                  <a:pt x="56234" y="67481"/>
                                </a:moveTo>
                                <a:lnTo>
                                  <a:pt x="0" y="67481"/>
                                </a:lnTo>
                                <a:lnTo>
                                  <a:pt x="0" y="0"/>
                                </a:lnTo>
                                <a:lnTo>
                                  <a:pt x="56234" y="0"/>
                                </a:lnTo>
                                <a:lnTo>
                                  <a:pt x="56234" y="67481"/>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0A8D29B" id="Group 689" o:spid="_x0000_s1026" style="position:absolute;margin-left:410.3pt;margin-top:-23.85pt;width:28.1pt;height:5.35pt;z-index:15864832;mso-wrap-distance-left:0;mso-wrap-distance-right:0;mso-position-horizontal-relative:page" coordsize="356870,6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">
                <v:shape id="Graphic 690" o:spid="_x0000_s1027" style="position:absolute;top:28920;width:300990;height:1270;visibility:visible;mso-wrap-style:square;v-text-anchor:top" coordsize="300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" path="m,l300451,e" filled="f" strokeweight=".26778mm">
                  <v:path arrowok="t"/>
                </v:shape>
                <v:shape id="Graphic 691" o:spid="_x0000_s1028" style="position:absolute;left:300451;width:56515;height:67945;visibility:visible;mso-wrap-style:square;v-text-anchor:top" coordsize="5651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" path="m56234,67481l,67481,,,56234,r,67481xe" fillcolor="#0000c0" stroked="f">
                  <v:path arrowok="t"/>
                </v:shape>
                <w10:wrap anchorx="page"/>
              </v:group>
            </w:pict>
          </mc:Fallback>
        </mc:AlternateContent>
      </w:r>
      <w:r w:rsidRPr="003C6DAE">
        <w:rPr>
          <w:rFonts w:ascii="Trebuchet MS"/>
          <w:w w:val="85"/>
          <w:sz w:val="18"/>
          <w:lang w:val="uk-UA"/>
        </w:rPr>
        <w:t>0</w:t>
      </w:r>
      <w:r w:rsidRPr="003C6DAE">
        <w:rPr>
          <w:rFonts w:ascii="Trebuchet MS"/>
          <w:spacing w:val="49"/>
          <w:sz w:val="18"/>
          <w:lang w:val="uk-UA"/>
        </w:rPr>
        <w:t xml:space="preserve"> </w:t>
      </w:r>
      <w:r w:rsidRPr="003C6DAE">
        <w:rPr>
          <w:rFonts w:ascii="Trebuchet MS"/>
          <w:w w:val="85"/>
          <w:sz w:val="18"/>
          <w:lang w:val="uk-UA"/>
        </w:rPr>
        <w:t>0.2</w:t>
      </w:r>
      <w:r w:rsidRPr="003C6DAE">
        <w:rPr>
          <w:rFonts w:ascii="Trebuchet MS"/>
          <w:spacing w:val="31"/>
          <w:sz w:val="18"/>
          <w:lang w:val="uk-UA"/>
        </w:rPr>
        <w:t xml:space="preserve"> </w:t>
      </w:r>
      <w:r w:rsidRPr="003C6DAE">
        <w:rPr>
          <w:rFonts w:ascii="Trebuchet MS"/>
          <w:w w:val="85"/>
          <w:sz w:val="18"/>
          <w:lang w:val="uk-UA"/>
        </w:rPr>
        <w:t>0.4</w:t>
      </w:r>
      <w:r w:rsidRPr="003C6DAE">
        <w:rPr>
          <w:rFonts w:ascii="Trebuchet MS"/>
          <w:spacing w:val="31"/>
          <w:sz w:val="18"/>
          <w:lang w:val="uk-UA"/>
        </w:rPr>
        <w:t xml:space="preserve"> </w:t>
      </w:r>
      <w:r w:rsidRPr="003C6DAE">
        <w:rPr>
          <w:rFonts w:ascii="Trebuchet MS"/>
          <w:w w:val="85"/>
          <w:sz w:val="18"/>
          <w:lang w:val="uk-UA"/>
        </w:rPr>
        <w:t>0.6</w:t>
      </w:r>
      <w:r w:rsidRPr="003C6DAE">
        <w:rPr>
          <w:rFonts w:ascii="Trebuchet MS"/>
          <w:spacing w:val="32"/>
          <w:sz w:val="18"/>
          <w:lang w:val="uk-UA"/>
        </w:rPr>
        <w:t xml:space="preserve"> </w:t>
      </w:r>
      <w:r w:rsidRPr="003C6DAE">
        <w:rPr>
          <w:rFonts w:ascii="Trebuchet MS"/>
          <w:w w:val="85"/>
          <w:sz w:val="18"/>
          <w:lang w:val="uk-UA"/>
        </w:rPr>
        <w:t>0.8</w:t>
      </w:r>
      <w:r w:rsidRPr="003C6DAE">
        <w:rPr>
          <w:rFonts w:ascii="Trebuchet MS"/>
          <w:spacing w:val="50"/>
          <w:sz w:val="18"/>
          <w:lang w:val="uk-UA"/>
        </w:rPr>
        <w:t xml:space="preserve"> </w:t>
      </w:r>
      <w:r w:rsidRPr="003C6DAE">
        <w:rPr>
          <w:rFonts w:ascii="Trebuchet MS"/>
          <w:spacing w:val="-10"/>
          <w:w w:val="85"/>
          <w:sz w:val="18"/>
          <w:lang w:val="uk-UA"/>
        </w:rPr>
        <w:t>1</w:t>
      </w:r>
    </w:p>
    <w:p w14:paraId="17FC9639" w14:textId="6B122930" w:rsidR="00E05B98" w:rsidRPr="003C6DAE" w:rsidRDefault="00B01E0C">
      <w:pPr>
        <w:spacing w:before="104"/>
        <w:ind w:left="187"/>
        <w:rPr>
          <w:rFonts w:ascii="Trebuchet MS"/>
          <w:sz w:val="17"/>
          <w:szCs w:val="17"/>
          <w:lang w:val="uk-UA"/>
        </w:rPr>
      </w:pPr>
      <w:r w:rsidRPr="003C6DAE">
        <w:rPr>
          <w:lang w:val="uk-UA"/>
        </w:rPr>
        <w:br w:type="column"/>
      </w:r>
      <w:r w:rsidR="003A33A4" w:rsidRPr="003C6DAE">
        <w:rPr>
          <w:rFonts w:ascii="Trebuchet MS"/>
          <w:color w:val="333333"/>
          <w:w w:val="80"/>
          <w:sz w:val="17"/>
          <w:szCs w:val="17"/>
          <w:lang w:val="uk-UA"/>
        </w:rPr>
        <w:t>Специфічність</w:t>
      </w:r>
      <w:r w:rsidRPr="003C6DAE">
        <w:rPr>
          <w:rFonts w:ascii="Trebuchet MS"/>
          <w:color w:val="333333"/>
          <w:spacing w:val="13"/>
          <w:sz w:val="17"/>
          <w:szCs w:val="17"/>
          <w:lang w:val="uk-UA"/>
        </w:rPr>
        <w:t xml:space="preserve"> </w:t>
      </w:r>
      <w:r w:rsidRPr="003C6DAE">
        <w:rPr>
          <w:rFonts w:ascii="Trebuchet MS"/>
          <w:color w:val="333333"/>
          <w:w w:val="80"/>
          <w:sz w:val="17"/>
          <w:szCs w:val="17"/>
          <w:lang w:val="uk-UA"/>
        </w:rPr>
        <w:t>(95%</w:t>
      </w:r>
      <w:r w:rsidRPr="003C6DAE">
        <w:rPr>
          <w:rFonts w:ascii="Trebuchet MS"/>
          <w:color w:val="333333"/>
          <w:spacing w:val="16"/>
          <w:sz w:val="17"/>
          <w:szCs w:val="17"/>
          <w:lang w:val="uk-UA"/>
        </w:rPr>
        <w:t xml:space="preserve"> </w:t>
      </w:r>
      <w:r w:rsidR="003A33A4" w:rsidRPr="003C6DAE">
        <w:rPr>
          <w:rFonts w:ascii="Trebuchet MS"/>
          <w:color w:val="333333"/>
          <w:w w:val="80"/>
          <w:sz w:val="17"/>
          <w:szCs w:val="17"/>
          <w:lang w:val="uk-UA"/>
        </w:rPr>
        <w:t>ДІ</w:t>
      </w:r>
      <w:r w:rsidRPr="003C6DAE">
        <w:rPr>
          <w:rFonts w:ascii="Trebuchet MS"/>
          <w:color w:val="333333"/>
          <w:spacing w:val="-5"/>
          <w:w w:val="80"/>
          <w:sz w:val="17"/>
          <w:szCs w:val="17"/>
          <w:lang w:val="uk-UA"/>
        </w:rPr>
        <w:t>)</w:t>
      </w:r>
    </w:p>
    <w:p w14:paraId="501BBFC7" w14:textId="77777777" w:rsidR="00E05B98" w:rsidRPr="003C6DAE" w:rsidRDefault="00B01E0C">
      <w:pPr>
        <w:pStyle w:val="a3"/>
        <w:spacing w:before="11"/>
        <w:rPr>
          <w:rFonts w:ascii="Trebuchet MS"/>
          <w:sz w:val="4"/>
          <w:lang w:val="uk-UA"/>
        </w:rPr>
      </w:pPr>
      <w:r w:rsidRPr="003C6DAE">
        <w:rPr>
          <w:rFonts w:ascii="Trebuchet MS"/>
          <w:noProof/>
          <w:sz w:val="4"/>
          <w:lang w:val="uk-UA"/>
        </w:rPr>
        <mc:AlternateContent>
          <mc:Choice Requires="wpg">
            <w:drawing>
              <wp:anchor distT="0" distB="0" distL="0" distR="0" simplePos="0" relativeHeight="487719936" behindDoc="1" locked="0" layoutInCell="1" allowOverlap="1" wp14:anchorId="3420A028" wp14:editId="4C8E77AC">
                <wp:simplePos x="0" y="0"/>
                <wp:positionH relativeFrom="page">
                  <wp:posOffset>6204084</wp:posOffset>
                </wp:positionH>
                <wp:positionV relativeFrom="paragraph">
                  <wp:posOffset>52082</wp:posOffset>
                </wp:positionV>
                <wp:extent cx="240665" cy="67945"/>
                <wp:effectExtent l="0" t="0" r="0" b="0"/>
                <wp:wrapTopAndBottom/>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67945"/>
                          <a:chOff x="0" y="0"/>
                          <a:chExt cx="240665" cy="67945"/>
                        </a:xfrm>
                      </wpg:grpSpPr>
                      <wps:wsp>
                        <wps:cNvPr id="693" name="Graphic 693"/>
                        <wps:cNvSpPr/>
                        <wps:spPr>
                          <a:xfrm>
                            <a:off x="0" y="28919"/>
                            <a:ext cx="240665" cy="1270"/>
                          </a:xfrm>
                          <a:custGeom>
                            <a:avLst/>
                            <a:gdLst/>
                            <a:ahLst/>
                            <a:cxnLst/>
                            <a:rect l="l" t="t" r="r" b="b"/>
                            <a:pathLst>
                              <a:path w="240665">
                                <a:moveTo>
                                  <a:pt x="0" y="0"/>
                                </a:moveTo>
                                <a:lnTo>
                                  <a:pt x="110459" y="0"/>
                                </a:lnTo>
                              </a:path>
                              <a:path w="240665">
                                <a:moveTo>
                                  <a:pt x="166693" y="0"/>
                                </a:moveTo>
                                <a:lnTo>
                                  <a:pt x="240200" y="0"/>
                                </a:lnTo>
                              </a:path>
                            </a:pathLst>
                          </a:custGeom>
                          <a:ln w="9640">
                            <a:solidFill>
                              <a:srgbClr val="000000"/>
                            </a:solidFill>
                            <a:prstDash val="solid"/>
                          </a:ln>
                        </wps:spPr>
                        <wps:bodyPr wrap="square" lIns="0" tIns="0" rIns="0" bIns="0" rtlCol="0">
                          <a:prstTxWarp prst="textNoShape">
                            <a:avLst/>
                          </a:prstTxWarp>
                          <a:noAutofit/>
                        </wps:bodyPr>
                      </wps:wsp>
                      <wps:wsp>
                        <wps:cNvPr id="694" name="Graphic 694"/>
                        <wps:cNvSpPr/>
                        <wps:spPr>
                          <a:xfrm>
                            <a:off x="110459" y="0"/>
                            <a:ext cx="56515" cy="67945"/>
                          </a:xfrm>
                          <a:custGeom>
                            <a:avLst/>
                            <a:gdLst/>
                            <a:ahLst/>
                            <a:cxnLst/>
                            <a:rect l="l" t="t" r="r" b="b"/>
                            <a:pathLst>
                              <a:path w="56515" h="67945">
                                <a:moveTo>
                                  <a:pt x="56233" y="67481"/>
                                </a:moveTo>
                                <a:lnTo>
                                  <a:pt x="0" y="67481"/>
                                </a:lnTo>
                                <a:lnTo>
                                  <a:pt x="0" y="0"/>
                                </a:lnTo>
                                <a:lnTo>
                                  <a:pt x="56233" y="0"/>
                                </a:lnTo>
                                <a:lnTo>
                                  <a:pt x="56233" y="67481"/>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A219667" id="Group 692" o:spid="_x0000_s1026" style="position:absolute;margin-left:488.5pt;margin-top:4.1pt;width:18.95pt;height:5.35pt;z-index:-15596544;mso-wrap-distance-left:0;mso-wrap-distance-right:0;mso-position-horizontal-relative:page" coordsize="240665,6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">
                <v:shape id="Graphic 693" o:spid="_x0000_s1027" style="position:absolute;top:28919;width:240665;height:1270;visibility:visible;mso-wrap-style:square;v-text-anchor:top" coordsize="240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" path="m,l110459,em166693,r73507,e" filled="f" strokeweight=".26778mm">
                  <v:path arrowok="t"/>
                </v:shape>
                <v:shape id="Graphic 694" o:spid="_x0000_s1028" style="position:absolute;left:110459;width:56515;height:67945;visibility:visible;mso-wrap-style:square;v-text-anchor:top" coordsize="5651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" path="m56233,67481l,67481,,,56233,r,67481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20448" behindDoc="1" locked="0" layoutInCell="1" allowOverlap="1" wp14:anchorId="1C8600EC" wp14:editId="1091D449">
                <wp:simplePos x="0" y="0"/>
                <wp:positionH relativeFrom="page">
                  <wp:posOffset>5611614</wp:posOffset>
                </wp:positionH>
                <wp:positionV relativeFrom="paragraph">
                  <wp:posOffset>206323</wp:posOffset>
                </wp:positionV>
                <wp:extent cx="964565" cy="144780"/>
                <wp:effectExtent l="0" t="0" r="0" b="0"/>
                <wp:wrapTopAndBottom/>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4565" cy="144780"/>
                          <a:chOff x="0" y="0"/>
                          <a:chExt cx="964565" cy="144780"/>
                        </a:xfrm>
                      </wpg:grpSpPr>
                      <wps:wsp>
                        <wps:cNvPr id="696" name="Graphic 696"/>
                        <wps:cNvSpPr/>
                        <wps:spPr>
                          <a:xfrm>
                            <a:off x="662761" y="28921"/>
                            <a:ext cx="267970" cy="1270"/>
                          </a:xfrm>
                          <a:custGeom>
                            <a:avLst/>
                            <a:gdLst/>
                            <a:ahLst/>
                            <a:cxnLst/>
                            <a:rect l="l" t="t" r="r" b="b"/>
                            <a:pathLst>
                              <a:path w="267970">
                                <a:moveTo>
                                  <a:pt x="0" y="0"/>
                                </a:moveTo>
                                <a:lnTo>
                                  <a:pt x="147814" y="0"/>
                                </a:lnTo>
                              </a:path>
                              <a:path w="267970">
                                <a:moveTo>
                                  <a:pt x="204048" y="0"/>
                                </a:moveTo>
                                <a:lnTo>
                                  <a:pt x="267514" y="0"/>
                                </a:lnTo>
                              </a:path>
                            </a:pathLst>
                          </a:custGeom>
                          <a:ln w="9640">
                            <a:solidFill>
                              <a:srgbClr val="000000"/>
                            </a:solidFill>
                            <a:prstDash val="solid"/>
                          </a:ln>
                        </wps:spPr>
                        <wps:bodyPr wrap="square" lIns="0" tIns="0" rIns="0" bIns="0" rtlCol="0">
                          <a:prstTxWarp prst="textNoShape">
                            <a:avLst/>
                          </a:prstTxWarp>
                          <a:noAutofit/>
                        </wps:bodyPr>
                      </wps:wsp>
                      <wps:wsp>
                        <wps:cNvPr id="697" name="Graphic 697"/>
                        <wps:cNvSpPr/>
                        <wps:spPr>
                          <a:xfrm>
                            <a:off x="810576" y="0"/>
                            <a:ext cx="56515" cy="67945"/>
                          </a:xfrm>
                          <a:custGeom>
                            <a:avLst/>
                            <a:gdLst/>
                            <a:ahLst/>
                            <a:cxnLst/>
                            <a:rect l="l" t="t" r="r" b="b"/>
                            <a:pathLst>
                              <a:path w="56515" h="67945">
                                <a:moveTo>
                                  <a:pt x="56233" y="67482"/>
                                </a:moveTo>
                                <a:lnTo>
                                  <a:pt x="0" y="67482"/>
                                </a:lnTo>
                                <a:lnTo>
                                  <a:pt x="0" y="0"/>
                                </a:lnTo>
                                <a:lnTo>
                                  <a:pt x="56233" y="0"/>
                                </a:lnTo>
                                <a:lnTo>
                                  <a:pt x="56233" y="67482"/>
                                </a:lnTo>
                                <a:close/>
                              </a:path>
                            </a:pathLst>
                          </a:custGeom>
                          <a:solidFill>
                            <a:srgbClr val="0000C0"/>
                          </a:solidFill>
                        </wps:spPr>
                        <wps:bodyPr wrap="square" lIns="0" tIns="0" rIns="0" bIns="0" rtlCol="0">
                          <a:prstTxWarp prst="textNoShape">
                            <a:avLst/>
                          </a:prstTxWarp>
                          <a:noAutofit/>
                        </wps:bodyPr>
                      </wps:wsp>
                      <wps:wsp>
                        <wps:cNvPr id="698" name="Graphic 698"/>
                        <wps:cNvSpPr/>
                        <wps:spPr>
                          <a:xfrm>
                            <a:off x="4017" y="106042"/>
                            <a:ext cx="956310" cy="1270"/>
                          </a:xfrm>
                          <a:custGeom>
                            <a:avLst/>
                            <a:gdLst/>
                            <a:ahLst/>
                            <a:cxnLst/>
                            <a:rect l="l" t="t" r="r" b="b"/>
                            <a:pathLst>
                              <a:path w="956310">
                                <a:moveTo>
                                  <a:pt x="0" y="0"/>
                                </a:moveTo>
                                <a:lnTo>
                                  <a:pt x="955981" y="0"/>
                                </a:lnTo>
                              </a:path>
                            </a:pathLst>
                          </a:custGeom>
                          <a:ln w="9640">
                            <a:solidFill>
                              <a:srgbClr val="000000"/>
                            </a:solidFill>
                            <a:prstDash val="solid"/>
                          </a:ln>
                        </wps:spPr>
                        <wps:bodyPr wrap="square" lIns="0" tIns="0" rIns="0" bIns="0" rtlCol="0">
                          <a:prstTxWarp prst="textNoShape">
                            <a:avLst/>
                          </a:prstTxWarp>
                          <a:noAutofit/>
                        </wps:bodyPr>
                      </wps:wsp>
                      <wps:wsp>
                        <wps:cNvPr id="699" name="Graphic 699"/>
                        <wps:cNvSpPr/>
                        <wps:spPr>
                          <a:xfrm>
                            <a:off x="4016" y="67481"/>
                            <a:ext cx="1270" cy="77470"/>
                          </a:xfrm>
                          <a:custGeom>
                            <a:avLst/>
                            <a:gdLst/>
                            <a:ahLst/>
                            <a:cxnLst/>
                            <a:rect l="l" t="t" r="r" b="b"/>
                            <a:pathLst>
                              <a:path h="77470">
                                <a:moveTo>
                                  <a:pt x="0" y="0"/>
                                </a:moveTo>
                                <a:lnTo>
                                  <a:pt x="0" y="77121"/>
                                </a:lnTo>
                              </a:path>
                            </a:pathLst>
                          </a:custGeom>
                          <a:ln w="8033">
                            <a:solidFill>
                              <a:srgbClr val="000000"/>
                            </a:solidFill>
                            <a:prstDash val="solid"/>
                          </a:ln>
                        </wps:spPr>
                        <wps:bodyPr wrap="square" lIns="0" tIns="0" rIns="0" bIns="0" rtlCol="0">
                          <a:prstTxWarp prst="textNoShape">
                            <a:avLst/>
                          </a:prstTxWarp>
                          <a:noAutofit/>
                        </wps:bodyPr>
                      </wps:wsp>
                      <wps:wsp>
                        <wps:cNvPr id="700" name="Graphic 700"/>
                        <wps:cNvSpPr/>
                        <wps:spPr>
                          <a:xfrm>
                            <a:off x="195212" y="67481"/>
                            <a:ext cx="1270" cy="77470"/>
                          </a:xfrm>
                          <a:custGeom>
                            <a:avLst/>
                            <a:gdLst/>
                            <a:ahLst/>
                            <a:cxnLst/>
                            <a:rect l="l" t="t" r="r" b="b"/>
                            <a:pathLst>
                              <a:path h="77470">
                                <a:moveTo>
                                  <a:pt x="0" y="0"/>
                                </a:moveTo>
                                <a:lnTo>
                                  <a:pt x="0" y="77121"/>
                                </a:lnTo>
                              </a:path>
                            </a:pathLst>
                          </a:custGeom>
                          <a:ln w="8033">
                            <a:solidFill>
                              <a:srgbClr val="000000"/>
                            </a:solidFill>
                            <a:prstDash val="solid"/>
                          </a:ln>
                        </wps:spPr>
                        <wps:bodyPr wrap="square" lIns="0" tIns="0" rIns="0" bIns="0" rtlCol="0">
                          <a:prstTxWarp prst="textNoShape">
                            <a:avLst/>
                          </a:prstTxWarp>
                          <a:noAutofit/>
                        </wps:bodyPr>
                      </wps:wsp>
                      <wps:wsp>
                        <wps:cNvPr id="701" name="Graphic 701"/>
                        <wps:cNvSpPr/>
                        <wps:spPr>
                          <a:xfrm>
                            <a:off x="386407" y="67481"/>
                            <a:ext cx="1270" cy="77470"/>
                          </a:xfrm>
                          <a:custGeom>
                            <a:avLst/>
                            <a:gdLst/>
                            <a:ahLst/>
                            <a:cxnLst/>
                            <a:rect l="l" t="t" r="r" b="b"/>
                            <a:pathLst>
                              <a:path h="77470">
                                <a:moveTo>
                                  <a:pt x="0" y="0"/>
                                </a:moveTo>
                                <a:lnTo>
                                  <a:pt x="0" y="77121"/>
                                </a:lnTo>
                              </a:path>
                            </a:pathLst>
                          </a:custGeom>
                          <a:ln w="8033">
                            <a:solidFill>
                              <a:srgbClr val="000000"/>
                            </a:solidFill>
                            <a:prstDash val="solid"/>
                          </a:ln>
                        </wps:spPr>
                        <wps:bodyPr wrap="square" lIns="0" tIns="0" rIns="0" bIns="0" rtlCol="0">
                          <a:prstTxWarp prst="textNoShape">
                            <a:avLst/>
                          </a:prstTxWarp>
                          <a:noAutofit/>
                        </wps:bodyPr>
                      </wps:wsp>
                      <wps:wsp>
                        <wps:cNvPr id="702" name="Graphic 702"/>
                        <wps:cNvSpPr/>
                        <wps:spPr>
                          <a:xfrm>
                            <a:off x="577202" y="67481"/>
                            <a:ext cx="1270" cy="77470"/>
                          </a:xfrm>
                          <a:custGeom>
                            <a:avLst/>
                            <a:gdLst/>
                            <a:ahLst/>
                            <a:cxnLst/>
                            <a:rect l="l" t="t" r="r" b="b"/>
                            <a:pathLst>
                              <a:path h="77470">
                                <a:moveTo>
                                  <a:pt x="0" y="0"/>
                                </a:moveTo>
                                <a:lnTo>
                                  <a:pt x="0" y="77121"/>
                                </a:lnTo>
                              </a:path>
                            </a:pathLst>
                          </a:custGeom>
                          <a:ln w="8033">
                            <a:solidFill>
                              <a:srgbClr val="000000"/>
                            </a:solidFill>
                            <a:prstDash val="solid"/>
                          </a:ln>
                        </wps:spPr>
                        <wps:bodyPr wrap="square" lIns="0" tIns="0" rIns="0" bIns="0" rtlCol="0">
                          <a:prstTxWarp prst="textNoShape">
                            <a:avLst/>
                          </a:prstTxWarp>
                          <a:noAutofit/>
                        </wps:bodyPr>
                      </wps:wsp>
                      <wps:wsp>
                        <wps:cNvPr id="703" name="Graphic 703"/>
                        <wps:cNvSpPr/>
                        <wps:spPr>
                          <a:xfrm>
                            <a:off x="768799" y="67481"/>
                            <a:ext cx="1270" cy="77470"/>
                          </a:xfrm>
                          <a:custGeom>
                            <a:avLst/>
                            <a:gdLst/>
                            <a:ahLst/>
                            <a:cxnLst/>
                            <a:rect l="l" t="t" r="r" b="b"/>
                            <a:pathLst>
                              <a:path h="77470">
                                <a:moveTo>
                                  <a:pt x="0" y="0"/>
                                </a:moveTo>
                                <a:lnTo>
                                  <a:pt x="0" y="77121"/>
                                </a:lnTo>
                              </a:path>
                            </a:pathLst>
                          </a:custGeom>
                          <a:ln w="8033">
                            <a:solidFill>
                              <a:srgbClr val="000000"/>
                            </a:solidFill>
                            <a:prstDash val="solid"/>
                          </a:ln>
                        </wps:spPr>
                        <wps:bodyPr wrap="square" lIns="0" tIns="0" rIns="0" bIns="0" rtlCol="0">
                          <a:prstTxWarp prst="textNoShape">
                            <a:avLst/>
                          </a:prstTxWarp>
                          <a:noAutofit/>
                        </wps:bodyPr>
                      </wps:wsp>
                      <wps:wsp>
                        <wps:cNvPr id="704" name="Graphic 704"/>
                        <wps:cNvSpPr/>
                        <wps:spPr>
                          <a:xfrm>
                            <a:off x="959995" y="67481"/>
                            <a:ext cx="1270" cy="77470"/>
                          </a:xfrm>
                          <a:custGeom>
                            <a:avLst/>
                            <a:gdLst/>
                            <a:ahLst/>
                            <a:cxnLst/>
                            <a:rect l="l" t="t" r="r" b="b"/>
                            <a:pathLst>
                              <a:path h="77470">
                                <a:moveTo>
                                  <a:pt x="0" y="0"/>
                                </a:moveTo>
                                <a:lnTo>
                                  <a:pt x="0" y="77121"/>
                                </a:lnTo>
                              </a:path>
                            </a:pathLst>
                          </a:custGeom>
                          <a:ln w="80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6773DE" id="Group 695" o:spid="_x0000_s1026" style="position:absolute;margin-left:441.85pt;margin-top:16.25pt;width:75.95pt;height:11.4pt;z-index:-15596032;mso-wrap-distance-left:0;mso-wrap-distance-right:0;mso-position-horizontal-relative:page" coordsize="9645,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">
                <v:shape id="Graphic 696" o:spid="_x0000_s1027" style="position:absolute;left:6627;top:289;width:2680;height:12;visibility:visible;mso-wrap-style:square;v-text-anchor:top" coordsize="267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" path="m,l147814,em204048,r63466,e" filled="f" strokeweight=".26778mm">
                  <v:path arrowok="t"/>
                </v:shape>
                <v:shape id="Graphic 697" o:spid="_x0000_s1028" style="position:absolute;left:8105;width:565;height:679;visibility:visible;mso-wrap-style:square;v-text-anchor:top" coordsize="5651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" path="m56233,67482l,67482,,,56233,r,67482xe" fillcolor="#0000c0" stroked="f">
                  <v:path arrowok="t"/>
                </v:shape>
                <v:shape id="Graphic 698" o:spid="_x0000_s1029" style="position:absolute;left:40;top:1060;width:9563;height:13;visibility:visible;mso-wrap-style:square;v-text-anchor:top" coordsize="956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" path="m,l955981,e" filled="f" strokeweight=".26778mm">
                  <v:path arrowok="t"/>
                </v:shape>
                <v:shape id="Graphic 699" o:spid="_x0000_s1030" style="position:absolute;left:40;top:674;width:12;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" path="m,l,77121e" filled="f" strokeweight=".22314mm">
                  <v:path arrowok="t"/>
                </v:shape>
                <v:shape id="Graphic 700" o:spid="_x0000_s1031" style="position:absolute;left:1952;top:674;width:12;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" path="m,l,77121e" filled="f" strokeweight=".22314mm">
                  <v:path arrowok="t"/>
                </v:shape>
                <v:shape id="Graphic 701" o:spid="_x0000_s1032" style="position:absolute;left:3864;top:674;width:12;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" path="m,l,77121e" filled="f" strokeweight=".22314mm">
                  <v:path arrowok="t"/>
                </v:shape>
                <v:shape id="Graphic 702" o:spid="_x0000_s1033" style="position:absolute;left:5772;top:674;width:12;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" path="m,l,77121e" filled="f" strokeweight=".22314mm">
                  <v:path arrowok="t"/>
                </v:shape>
                <v:shape id="Graphic 703" o:spid="_x0000_s1034" style="position:absolute;left:7687;top:674;width:13;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" path="m,l,77121e" filled="f" strokeweight=".22314mm">
                  <v:path arrowok="t"/>
                </v:shape>
                <v:shape id="Graphic 704" o:spid="_x0000_s1035" style="position:absolute;left:9599;top:674;width:13;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" path="m,l,77121e" filled="f" strokeweight=".22314mm">
                  <v:path arrowok="t"/>
                </v:shape>
                <w10:wrap type="topAndBottom" anchorx="page"/>
              </v:group>
            </w:pict>
          </mc:Fallback>
        </mc:AlternateContent>
      </w:r>
    </w:p>
    <w:p w14:paraId="5399228A" w14:textId="77777777" w:rsidR="00E05B98" w:rsidRPr="003C6DAE" w:rsidRDefault="00E05B98">
      <w:pPr>
        <w:pStyle w:val="a3"/>
        <w:spacing w:before="8"/>
        <w:rPr>
          <w:rFonts w:ascii="Trebuchet MS"/>
          <w:sz w:val="9"/>
          <w:lang w:val="uk-UA"/>
        </w:rPr>
      </w:pPr>
    </w:p>
    <w:p w14:paraId="34CEDB87" w14:textId="77777777" w:rsidR="00E05B98" w:rsidRPr="003C6DAE" w:rsidRDefault="00B01E0C">
      <w:pPr>
        <w:ind w:left="105"/>
        <w:rPr>
          <w:rFonts w:ascii="Trebuchet MS"/>
          <w:sz w:val="18"/>
          <w:lang w:val="uk-UA"/>
        </w:rPr>
      </w:pPr>
      <w:r w:rsidRPr="003C6DAE">
        <w:rPr>
          <w:rFonts w:ascii="Trebuchet MS"/>
          <w:w w:val="85"/>
          <w:sz w:val="18"/>
          <w:lang w:val="uk-UA"/>
        </w:rPr>
        <w:t>0</w:t>
      </w:r>
      <w:r w:rsidRPr="003C6DAE">
        <w:rPr>
          <w:rFonts w:ascii="Trebuchet MS"/>
          <w:spacing w:val="49"/>
          <w:sz w:val="18"/>
          <w:lang w:val="uk-UA"/>
        </w:rPr>
        <w:t xml:space="preserve"> </w:t>
      </w:r>
      <w:r w:rsidRPr="003C6DAE">
        <w:rPr>
          <w:rFonts w:ascii="Trebuchet MS"/>
          <w:w w:val="85"/>
          <w:sz w:val="18"/>
          <w:lang w:val="uk-UA"/>
        </w:rPr>
        <w:t>0.2</w:t>
      </w:r>
      <w:r w:rsidRPr="003C6DAE">
        <w:rPr>
          <w:rFonts w:ascii="Trebuchet MS"/>
          <w:spacing w:val="31"/>
          <w:sz w:val="18"/>
          <w:lang w:val="uk-UA"/>
        </w:rPr>
        <w:t xml:space="preserve"> </w:t>
      </w:r>
      <w:r w:rsidRPr="003C6DAE">
        <w:rPr>
          <w:rFonts w:ascii="Trebuchet MS"/>
          <w:w w:val="85"/>
          <w:sz w:val="18"/>
          <w:lang w:val="uk-UA"/>
        </w:rPr>
        <w:t>0.4</w:t>
      </w:r>
      <w:r w:rsidRPr="003C6DAE">
        <w:rPr>
          <w:rFonts w:ascii="Trebuchet MS"/>
          <w:spacing w:val="31"/>
          <w:sz w:val="18"/>
          <w:lang w:val="uk-UA"/>
        </w:rPr>
        <w:t xml:space="preserve"> </w:t>
      </w:r>
      <w:r w:rsidRPr="003C6DAE">
        <w:rPr>
          <w:rFonts w:ascii="Trebuchet MS"/>
          <w:w w:val="85"/>
          <w:sz w:val="18"/>
          <w:lang w:val="uk-UA"/>
        </w:rPr>
        <w:t>0.6</w:t>
      </w:r>
      <w:r w:rsidRPr="003C6DAE">
        <w:rPr>
          <w:rFonts w:ascii="Trebuchet MS"/>
          <w:spacing w:val="32"/>
          <w:sz w:val="18"/>
          <w:lang w:val="uk-UA"/>
        </w:rPr>
        <w:t xml:space="preserve"> </w:t>
      </w:r>
      <w:r w:rsidRPr="003C6DAE">
        <w:rPr>
          <w:rFonts w:ascii="Trebuchet MS"/>
          <w:w w:val="85"/>
          <w:sz w:val="18"/>
          <w:lang w:val="uk-UA"/>
        </w:rPr>
        <w:t>0.8</w:t>
      </w:r>
      <w:r w:rsidRPr="003C6DAE">
        <w:rPr>
          <w:rFonts w:ascii="Trebuchet MS"/>
          <w:spacing w:val="50"/>
          <w:sz w:val="18"/>
          <w:lang w:val="uk-UA"/>
        </w:rPr>
        <w:t xml:space="preserve"> </w:t>
      </w:r>
      <w:r w:rsidRPr="003C6DAE">
        <w:rPr>
          <w:rFonts w:ascii="Trebuchet MS"/>
          <w:spacing w:val="-10"/>
          <w:w w:val="85"/>
          <w:sz w:val="18"/>
          <w:lang w:val="uk-UA"/>
        </w:rPr>
        <w:t>1</w:t>
      </w:r>
    </w:p>
    <w:p w14:paraId="7EC8AA3F" w14:textId="77777777" w:rsidR="00E05B98" w:rsidRPr="003C6DAE" w:rsidRDefault="00E05B98">
      <w:pPr>
        <w:rPr>
          <w:rFonts w:ascii="Trebuchet MS"/>
          <w:sz w:val="18"/>
          <w:lang w:val="uk-UA"/>
        </w:rPr>
        <w:sectPr w:rsidR="00E05B98" w:rsidRPr="003C6DAE" w:rsidSect="003A33A4">
          <w:type w:val="continuous"/>
          <w:pgSz w:w="11910" w:h="16840"/>
          <w:pgMar w:top="1920" w:right="1137" w:bottom="280" w:left="850" w:header="0" w:footer="573" w:gutter="0"/>
          <w:cols w:num="7" w:space="720" w:equalWidth="0">
            <w:col w:w="1854" w:space="40"/>
            <w:col w:w="738" w:space="39"/>
            <w:col w:w="598" w:space="40"/>
            <w:col w:w="1504" w:space="39"/>
            <w:col w:w="1466" w:space="31"/>
            <w:col w:w="1499" w:space="39"/>
            <w:col w:w="1898"/>
          </w:cols>
        </w:sectPr>
      </w:pPr>
    </w:p>
    <w:p w14:paraId="67362485" w14:textId="156DC7B3" w:rsidR="00FA7B94" w:rsidRPr="003C6DAE" w:rsidRDefault="00FA7B94">
      <w:pPr>
        <w:spacing w:before="57"/>
        <w:ind w:left="567"/>
        <w:rPr>
          <w:sz w:val="16"/>
          <w:szCs w:val="16"/>
          <w:lang w:val="uk-UA"/>
        </w:rPr>
      </w:pPr>
      <w:r w:rsidRPr="003C6DAE">
        <w:rPr>
          <w:sz w:val="16"/>
          <w:szCs w:val="16"/>
          <w:lang w:val="uk-UA"/>
        </w:rPr>
        <w:t xml:space="preserve">ДІ: довірчий інтервал; FN: хибнонегативний результат; FP: хибнопозитивний результат; </w:t>
      </w:r>
      <w:r w:rsidR="004A5D0E">
        <w:rPr>
          <w:sz w:val="16"/>
          <w:szCs w:val="16"/>
          <w:lang w:val="uk-UA"/>
        </w:rPr>
        <w:t>аТАНК-НС</w:t>
      </w:r>
      <w:r w:rsidRPr="003C6DAE">
        <w:rPr>
          <w:sz w:val="16"/>
          <w:szCs w:val="16"/>
          <w:lang w:val="uk-UA"/>
        </w:rPr>
        <w:t>: автоматизований тест ампліфікаці</w:t>
      </w:r>
      <w:r w:rsidR="004A5D0E">
        <w:rPr>
          <w:sz w:val="16"/>
          <w:szCs w:val="16"/>
          <w:lang w:val="uk-UA"/>
        </w:rPr>
        <w:t>ї</w:t>
      </w:r>
      <w:r w:rsidRPr="003C6DAE">
        <w:rPr>
          <w:sz w:val="16"/>
          <w:szCs w:val="16"/>
          <w:lang w:val="uk-UA"/>
        </w:rPr>
        <w:t xml:space="preserve"> нуклеїнових кислот низької складності (аТАНК-НС); MRS: мікробіологічний еталонний стандарт; ТБ: туберкульоз; TN: істинно негативний результат; TP: істинно позитивний результат.</w:t>
      </w:r>
    </w:p>
    <w:p w14:paraId="53C08032" w14:textId="74AC0240" w:rsidR="00E05B98" w:rsidRPr="003C6DAE" w:rsidRDefault="00B01E0C">
      <w:pPr>
        <w:spacing w:before="57"/>
        <w:ind w:left="567"/>
        <w:rPr>
          <w:sz w:val="18"/>
          <w:lang w:val="uk-UA"/>
        </w:rPr>
      </w:pPr>
      <w:r w:rsidRPr="003C6DAE">
        <w:rPr>
          <w:spacing w:val="-2"/>
          <w:sz w:val="18"/>
          <w:vertAlign w:val="superscript"/>
          <w:lang w:val="uk-UA"/>
        </w:rPr>
        <w:t>a</w:t>
      </w:r>
      <w:r w:rsidRPr="003C6DAE">
        <w:rPr>
          <w:spacing w:val="-21"/>
          <w:sz w:val="18"/>
          <w:lang w:val="uk-UA"/>
        </w:rPr>
        <w:t xml:space="preserve"> </w:t>
      </w:r>
      <w:r w:rsidR="00FA7B94" w:rsidRPr="003C6DAE">
        <w:rPr>
          <w:sz w:val="16"/>
          <w:szCs w:val="16"/>
          <w:lang w:val="uk-UA"/>
        </w:rPr>
        <w:t xml:space="preserve">Дослідження </w:t>
      </w:r>
      <w:r w:rsidR="004A5D0E">
        <w:rPr>
          <w:sz w:val="16"/>
          <w:szCs w:val="16"/>
          <w:lang w:val="uk-UA"/>
        </w:rPr>
        <w:t>впорядковано</w:t>
      </w:r>
      <w:r w:rsidR="00FA7B94" w:rsidRPr="003C6DAE">
        <w:rPr>
          <w:sz w:val="16"/>
          <w:szCs w:val="16"/>
          <w:lang w:val="uk-UA"/>
        </w:rPr>
        <w:t xml:space="preserve"> за зменшенням чутливості</w:t>
      </w:r>
      <w:r w:rsidRPr="003C6DAE">
        <w:rPr>
          <w:spacing w:val="-2"/>
          <w:sz w:val="18"/>
          <w:lang w:val="uk-UA"/>
        </w:rPr>
        <w:t>.</w:t>
      </w:r>
    </w:p>
    <w:p w14:paraId="1B02D456" w14:textId="77777777" w:rsidR="00E05B98" w:rsidRPr="003C6DAE" w:rsidRDefault="00E05B98">
      <w:pPr>
        <w:pStyle w:val="a3"/>
        <w:rPr>
          <w:sz w:val="20"/>
          <w:lang w:val="uk-UA"/>
        </w:rPr>
      </w:pPr>
    </w:p>
    <w:p w14:paraId="142728C7" w14:textId="77777777" w:rsidR="00E05B98" w:rsidRPr="003C6DAE" w:rsidRDefault="00B01E0C">
      <w:pPr>
        <w:pStyle w:val="a3"/>
        <w:spacing w:before="146"/>
        <w:rPr>
          <w:sz w:val="20"/>
          <w:lang w:val="uk-UA"/>
        </w:rPr>
      </w:pPr>
      <w:r w:rsidRPr="003C6DAE">
        <w:rPr>
          <w:noProof/>
          <w:sz w:val="20"/>
          <w:lang w:val="uk-UA"/>
        </w:rPr>
        <mc:AlternateContent>
          <mc:Choice Requires="wps">
            <w:drawing>
              <wp:anchor distT="0" distB="0" distL="0" distR="0" simplePos="0" relativeHeight="487720960" behindDoc="1" locked="0" layoutInCell="1" allowOverlap="1" wp14:anchorId="7407569A" wp14:editId="45899CFB">
                <wp:simplePos x="0" y="0"/>
                <wp:positionH relativeFrom="page">
                  <wp:posOffset>899999</wp:posOffset>
                </wp:positionH>
                <wp:positionV relativeFrom="paragraph">
                  <wp:posOffset>251699</wp:posOffset>
                </wp:positionV>
                <wp:extent cx="1440180" cy="1270"/>
                <wp:effectExtent l="0" t="0" r="0" b="0"/>
                <wp:wrapTopAndBottom/>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F77263" id="Graphic 705" o:spid="_x0000_s1026" style="position:absolute;margin-left:70.85pt;margin-top:19.8pt;width:113.4pt;height:.1pt;z-index:-15595520;visibility:visible;mso-wrap-style:square;mso-wrap-distance-left:0;mso-wrap-distance-top:0;mso-wrap-distance-right:0;mso-wrap-distance-bottom:0;mso-position-horizontal:absolute;mso-position-horizontal-relative:page;mso-position-vertical:absolute;mso-position-vertical-relative:text;v-text-anchor:top" coordsize="1440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" path="m,l1440002,e" filled="f" strokeweight=".5pt">
                <v:path arrowok="t"/>
                <w10:wrap type="topAndBottom" anchorx="page"/>
              </v:shape>
            </w:pict>
          </mc:Fallback>
        </mc:AlternateContent>
      </w:r>
    </w:p>
    <w:p w14:paraId="3D541B42" w14:textId="6BB01BA3" w:rsidR="00E05B98" w:rsidRPr="003C6DAE" w:rsidRDefault="00B01E0C" w:rsidP="00FA7B94">
      <w:pPr>
        <w:spacing w:before="124"/>
        <w:ind w:left="567"/>
        <w:rPr>
          <w:w w:val="105"/>
          <w:sz w:val="16"/>
          <w:lang w:val="uk-UA"/>
        </w:rPr>
      </w:pPr>
      <w:r w:rsidRPr="003C6DAE">
        <w:rPr>
          <w:w w:val="105"/>
          <w:sz w:val="16"/>
          <w:vertAlign w:val="superscript"/>
          <w:lang w:val="uk-UA"/>
        </w:rPr>
        <w:t>6</w:t>
      </w:r>
      <w:r w:rsidRPr="003C6DAE">
        <w:rPr>
          <w:spacing w:val="40"/>
          <w:w w:val="105"/>
          <w:sz w:val="16"/>
          <w:lang w:val="uk-UA"/>
        </w:rPr>
        <w:t xml:space="preserve">  </w:t>
      </w:r>
      <w:r w:rsidR="00FA7B94" w:rsidRPr="003C6DAE">
        <w:rPr>
          <w:w w:val="105"/>
          <w:sz w:val="16"/>
          <w:lang w:val="uk-UA"/>
        </w:rPr>
        <w:t>Дані не були об'єднані через обмежену кількість досліджень</w:t>
      </w:r>
      <w:r w:rsidRPr="003C6DAE">
        <w:rPr>
          <w:spacing w:val="-2"/>
          <w:w w:val="105"/>
          <w:sz w:val="16"/>
          <w:lang w:val="uk-UA"/>
        </w:rPr>
        <w:t>.</w:t>
      </w:r>
    </w:p>
    <w:p w14:paraId="5EA678F5" w14:textId="77777777" w:rsidR="00E05B98" w:rsidRPr="003C6DAE" w:rsidRDefault="00E05B98">
      <w:pPr>
        <w:rPr>
          <w:sz w:val="16"/>
          <w:lang w:val="uk-UA"/>
        </w:rPr>
        <w:sectPr w:rsidR="00E05B98" w:rsidRPr="003C6DAE">
          <w:type w:val="continuous"/>
          <w:pgSz w:w="11910" w:h="16840"/>
          <w:pgMar w:top="1920" w:right="1275" w:bottom="280" w:left="850" w:header="0" w:footer="573" w:gutter="0"/>
          <w:cols w:space="720"/>
        </w:sectPr>
      </w:pPr>
    </w:p>
    <w:p w14:paraId="337B41DF" w14:textId="4D4BDBA5" w:rsidR="00E05B98" w:rsidRPr="005051CF" w:rsidRDefault="00FA7B94">
      <w:pPr>
        <w:pStyle w:val="7"/>
        <w:spacing w:before="46" w:line="249" w:lineRule="auto"/>
        <w:rPr>
          <w:sz w:val="22"/>
          <w:szCs w:val="22"/>
          <w:lang w:val="uk-UA"/>
        </w:rPr>
      </w:pPr>
      <w:r w:rsidRPr="005051CF">
        <w:rPr>
          <w:color w:val="019648"/>
          <w:spacing w:val="-2"/>
          <w:w w:val="105"/>
          <w:sz w:val="22"/>
          <w:szCs w:val="22"/>
          <w:lang w:val="uk-UA"/>
        </w:rPr>
        <w:lastRenderedPageBreak/>
        <w:t xml:space="preserve">Чи слід використовувати аТАНК-НС на </w:t>
      </w:r>
      <w:r w:rsidR="004A5D0E" w:rsidRPr="005051CF">
        <w:rPr>
          <w:color w:val="019648"/>
          <w:spacing w:val="-2"/>
          <w:w w:val="105"/>
          <w:sz w:val="22"/>
          <w:szCs w:val="22"/>
          <w:lang w:val="uk-UA"/>
        </w:rPr>
        <w:t xml:space="preserve">зразках </w:t>
      </w:r>
      <w:r w:rsidRPr="005051CF">
        <w:rPr>
          <w:color w:val="019648"/>
          <w:spacing w:val="-2"/>
          <w:w w:val="105"/>
          <w:sz w:val="22"/>
          <w:szCs w:val="22"/>
          <w:lang w:val="uk-UA"/>
        </w:rPr>
        <w:t>плевральн</w:t>
      </w:r>
      <w:r w:rsidR="004A5D0E" w:rsidRPr="005051CF">
        <w:rPr>
          <w:color w:val="019648"/>
          <w:spacing w:val="-2"/>
          <w:w w:val="105"/>
          <w:sz w:val="22"/>
          <w:szCs w:val="22"/>
          <w:lang w:val="uk-UA"/>
        </w:rPr>
        <w:t>ої</w:t>
      </w:r>
      <w:r w:rsidRPr="005051CF">
        <w:rPr>
          <w:color w:val="019648"/>
          <w:spacing w:val="-2"/>
          <w:w w:val="105"/>
          <w:sz w:val="22"/>
          <w:szCs w:val="22"/>
          <w:lang w:val="uk-UA"/>
        </w:rPr>
        <w:t xml:space="preserve"> рідин</w:t>
      </w:r>
      <w:r w:rsidR="004A5D0E" w:rsidRPr="005051CF">
        <w:rPr>
          <w:color w:val="019648"/>
          <w:spacing w:val="-2"/>
          <w:w w:val="105"/>
          <w:sz w:val="22"/>
          <w:szCs w:val="22"/>
          <w:lang w:val="uk-UA"/>
        </w:rPr>
        <w:t>и</w:t>
      </w:r>
      <w:r w:rsidRPr="005051CF">
        <w:rPr>
          <w:color w:val="019648"/>
          <w:spacing w:val="-2"/>
          <w:w w:val="105"/>
          <w:sz w:val="22"/>
          <w:szCs w:val="22"/>
          <w:lang w:val="uk-UA"/>
        </w:rPr>
        <w:t xml:space="preserve"> для діагностики ТБ плеври у дорослих і підлітків із ознаками та симптомами ТБ плеври </w:t>
      </w:r>
      <w:r w:rsidR="004A5D0E" w:rsidRPr="005051CF">
        <w:rPr>
          <w:color w:val="019648"/>
          <w:spacing w:val="-2"/>
          <w:w w:val="105"/>
          <w:sz w:val="22"/>
          <w:szCs w:val="22"/>
          <w:lang w:val="uk-UA"/>
        </w:rPr>
        <w:t>на противагу</w:t>
      </w:r>
      <w:r w:rsidRPr="005051CF">
        <w:rPr>
          <w:color w:val="019648"/>
          <w:spacing w:val="-2"/>
          <w:w w:val="105"/>
          <w:sz w:val="22"/>
          <w:szCs w:val="22"/>
          <w:lang w:val="uk-UA"/>
        </w:rPr>
        <w:t xml:space="preserve">  MRS?</w:t>
      </w:r>
    </w:p>
    <w:p w14:paraId="3FB53DF3" w14:textId="6E2A8AA5" w:rsidR="00E05B98" w:rsidRPr="003C6DAE" w:rsidRDefault="0099259A" w:rsidP="00FA7B94">
      <w:pPr>
        <w:pStyle w:val="a3"/>
        <w:spacing w:before="216" w:line="269" w:lineRule="auto"/>
        <w:ind w:left="567"/>
        <w:jc w:val="both"/>
        <w:rPr>
          <w:sz w:val="20"/>
          <w:szCs w:val="20"/>
          <w:lang w:val="uk-UA"/>
        </w:rPr>
      </w:pPr>
      <w:r w:rsidRPr="003C6DAE">
        <w:rPr>
          <w:sz w:val="20"/>
          <w:szCs w:val="20"/>
          <w:lang w:val="uk-UA"/>
        </w:rPr>
        <w:t>Сумарний показник чутливості та специфічності аТАНК-НС становила 74,0% (95% ДІ: 60,8-83,9) і 88,1% (95% ДІ: 78,8-93,6), відповідно, за даними 13 досліджень Xpert Ultra (1041 учасник) (</w:t>
      </w:r>
      <w:r w:rsidRPr="005051CF">
        <w:rPr>
          <w:b/>
          <w:bCs/>
          <w:sz w:val="20"/>
          <w:szCs w:val="20"/>
          <w:lang w:val="uk-UA"/>
        </w:rPr>
        <w:t>Рис. 2.1.6</w:t>
      </w:r>
      <w:r w:rsidRPr="003C6DAE">
        <w:rPr>
          <w:sz w:val="20"/>
          <w:szCs w:val="20"/>
          <w:lang w:val="uk-UA"/>
        </w:rPr>
        <w:t>). Достовірність доказів була низькою для чутливості і дуже низькою для специфічності. Лише одне дослідження (Jose 2024</w:t>
      </w:r>
      <w:r w:rsidR="005051CF">
        <w:rPr>
          <w:sz w:val="20"/>
          <w:szCs w:val="20"/>
          <w:lang w:val="uk-UA"/>
        </w:rPr>
        <w:t xml:space="preserve"> р.</w:t>
      </w:r>
      <w:r w:rsidRPr="003C6DAE">
        <w:rPr>
          <w:sz w:val="20"/>
          <w:szCs w:val="20"/>
          <w:lang w:val="uk-UA"/>
        </w:rPr>
        <w:t xml:space="preserve">) надало оцінку точності визначення ТБ </w:t>
      </w:r>
      <w:r w:rsidR="005051CF">
        <w:rPr>
          <w:sz w:val="20"/>
          <w:szCs w:val="20"/>
          <w:lang w:val="uk-UA"/>
        </w:rPr>
        <w:t>при  дослідженні</w:t>
      </w:r>
      <w:r w:rsidRPr="003C6DAE">
        <w:rPr>
          <w:sz w:val="20"/>
          <w:szCs w:val="20"/>
          <w:lang w:val="uk-UA"/>
        </w:rPr>
        <w:t xml:space="preserve"> </w:t>
      </w:r>
      <w:r w:rsidR="005051CF">
        <w:rPr>
          <w:sz w:val="20"/>
          <w:szCs w:val="20"/>
          <w:lang w:val="uk-UA"/>
        </w:rPr>
        <w:t xml:space="preserve">зразків </w:t>
      </w:r>
      <w:r w:rsidRPr="003C6DAE">
        <w:rPr>
          <w:sz w:val="20"/>
          <w:szCs w:val="20"/>
          <w:lang w:val="uk-UA"/>
        </w:rPr>
        <w:t>плевральн</w:t>
      </w:r>
      <w:r w:rsidR="005051CF">
        <w:rPr>
          <w:sz w:val="20"/>
          <w:szCs w:val="20"/>
          <w:lang w:val="uk-UA"/>
        </w:rPr>
        <w:t>ої</w:t>
      </w:r>
      <w:r w:rsidRPr="003C6DAE">
        <w:rPr>
          <w:sz w:val="20"/>
          <w:szCs w:val="20"/>
          <w:lang w:val="uk-UA"/>
        </w:rPr>
        <w:t xml:space="preserve"> рідин</w:t>
      </w:r>
      <w:r w:rsidR="005051CF">
        <w:rPr>
          <w:sz w:val="20"/>
          <w:szCs w:val="20"/>
          <w:lang w:val="uk-UA"/>
        </w:rPr>
        <w:t>и</w:t>
      </w:r>
      <w:r w:rsidRPr="003C6DAE">
        <w:rPr>
          <w:sz w:val="20"/>
          <w:szCs w:val="20"/>
          <w:lang w:val="uk-UA"/>
        </w:rPr>
        <w:t xml:space="preserve"> для аналізу Truenat MTB Plus (88 учасників) з чутливістю в 100% (95% ДІ: 0,03-100) і специфічністю в 100% (95% ДІ: 0,95-100).</w:t>
      </w:r>
      <w:r w:rsidR="00B01E0C" w:rsidRPr="003C6DAE">
        <w:rPr>
          <w:spacing w:val="-10"/>
          <w:sz w:val="20"/>
          <w:szCs w:val="20"/>
          <w:lang w:val="uk-UA"/>
        </w:rPr>
        <w:t xml:space="preserve"> </w:t>
      </w:r>
      <w:r w:rsidRPr="003C6DAE">
        <w:rPr>
          <w:sz w:val="20"/>
          <w:szCs w:val="20"/>
          <w:lang w:val="uk-UA"/>
        </w:rPr>
        <w:t xml:space="preserve">Як й у випадку дослідження </w:t>
      </w:r>
      <w:r w:rsidR="005051CF">
        <w:rPr>
          <w:sz w:val="20"/>
          <w:szCs w:val="20"/>
          <w:lang w:val="uk-UA"/>
        </w:rPr>
        <w:t xml:space="preserve">зразків </w:t>
      </w:r>
      <w:r w:rsidRPr="003C6DAE">
        <w:rPr>
          <w:sz w:val="20"/>
          <w:szCs w:val="20"/>
          <w:lang w:val="uk-UA"/>
        </w:rPr>
        <w:t xml:space="preserve">рідини лімфатичних вузлів і плевральної тканини, також були розглянуті дані з використанням CRS  для цього типу зразків. Використання CRS підвищило специфічність аТАНК-НС на </w:t>
      </w:r>
      <w:r w:rsidR="005051CF">
        <w:rPr>
          <w:sz w:val="20"/>
          <w:szCs w:val="20"/>
          <w:lang w:val="uk-UA"/>
        </w:rPr>
        <w:t xml:space="preserve">зразках </w:t>
      </w:r>
      <w:r w:rsidRPr="003C6DAE">
        <w:rPr>
          <w:sz w:val="20"/>
          <w:szCs w:val="20"/>
          <w:lang w:val="uk-UA"/>
        </w:rPr>
        <w:t>плевральн</w:t>
      </w:r>
      <w:r w:rsidR="005051CF">
        <w:rPr>
          <w:sz w:val="20"/>
          <w:szCs w:val="20"/>
          <w:lang w:val="uk-UA"/>
        </w:rPr>
        <w:t>ої</w:t>
      </w:r>
      <w:r w:rsidRPr="003C6DAE">
        <w:rPr>
          <w:sz w:val="20"/>
          <w:szCs w:val="20"/>
          <w:lang w:val="uk-UA"/>
        </w:rPr>
        <w:t xml:space="preserve"> рідин</w:t>
      </w:r>
      <w:r w:rsidR="005051CF">
        <w:rPr>
          <w:sz w:val="20"/>
          <w:szCs w:val="20"/>
          <w:lang w:val="uk-UA"/>
        </w:rPr>
        <w:t>и</w:t>
      </w:r>
      <w:r w:rsidRPr="003C6DAE">
        <w:rPr>
          <w:sz w:val="20"/>
          <w:szCs w:val="20"/>
          <w:lang w:val="uk-UA"/>
        </w:rPr>
        <w:t xml:space="preserve"> до 99,2% (95% ДІ: 95,2%-99,9%), але знизило чутливість до 71,3% (95% ДІ: 64,3%-77,4%) (див. </w:t>
      </w:r>
      <w:r w:rsidRPr="003C6DAE">
        <w:rPr>
          <w:b/>
          <w:bCs/>
          <w:sz w:val="20"/>
          <w:szCs w:val="20"/>
          <w:lang w:val="uk-UA"/>
        </w:rPr>
        <w:t>Веб-додаток B.3</w:t>
      </w:r>
      <w:r w:rsidRPr="003C6DAE">
        <w:rPr>
          <w:sz w:val="20"/>
          <w:szCs w:val="20"/>
          <w:lang w:val="uk-UA"/>
        </w:rPr>
        <w:t xml:space="preserve">). Для відповіді на це </w:t>
      </w:r>
      <w:r w:rsidR="005051CF">
        <w:rPr>
          <w:sz w:val="20"/>
          <w:szCs w:val="20"/>
          <w:lang w:val="uk-UA"/>
        </w:rPr>
        <w:t>за</w:t>
      </w:r>
      <w:r w:rsidRPr="003C6DAE">
        <w:rPr>
          <w:sz w:val="20"/>
          <w:szCs w:val="20"/>
          <w:lang w:val="uk-UA"/>
        </w:rPr>
        <w:t>питання PICO в оцінку були включені тільки дані про аналіз Xpert Ultra. Дані по аналіз</w:t>
      </w:r>
      <w:r w:rsidR="00067A3C" w:rsidRPr="003C6DAE">
        <w:rPr>
          <w:sz w:val="20"/>
          <w:szCs w:val="20"/>
          <w:lang w:val="uk-UA"/>
        </w:rPr>
        <w:t>у</w:t>
      </w:r>
      <w:r w:rsidRPr="003C6DAE">
        <w:rPr>
          <w:sz w:val="20"/>
          <w:szCs w:val="20"/>
          <w:lang w:val="uk-UA"/>
        </w:rPr>
        <w:t xml:space="preserve"> </w:t>
      </w:r>
      <w:r w:rsidR="00067A3C" w:rsidRPr="003C6DAE">
        <w:rPr>
          <w:spacing w:val="-2"/>
          <w:sz w:val="20"/>
          <w:szCs w:val="20"/>
          <w:lang w:val="uk-UA"/>
        </w:rPr>
        <w:t>Truenat</w:t>
      </w:r>
      <w:r w:rsidRPr="003C6DAE">
        <w:rPr>
          <w:sz w:val="20"/>
          <w:szCs w:val="20"/>
          <w:lang w:val="uk-UA"/>
        </w:rPr>
        <w:t xml:space="preserve"> були обмеженими.</w:t>
      </w:r>
    </w:p>
    <w:p w14:paraId="27166B8B" w14:textId="14AFEE27" w:rsidR="00E05B98" w:rsidRPr="003C6DAE" w:rsidRDefault="0099259A" w:rsidP="00FA7B94">
      <w:pPr>
        <w:pStyle w:val="6"/>
        <w:spacing w:before="239" w:line="249" w:lineRule="auto"/>
        <w:jc w:val="both"/>
        <w:rPr>
          <w:lang w:val="uk-UA"/>
        </w:rPr>
      </w:pPr>
      <w:r w:rsidRPr="003C6DAE">
        <w:rPr>
          <w:color w:val="636466"/>
          <w:sz w:val="20"/>
          <w:szCs w:val="20"/>
          <w:lang w:val="uk-UA"/>
        </w:rPr>
        <w:t>Рис</w:t>
      </w:r>
      <w:r w:rsidR="00B01E0C" w:rsidRPr="003C6DAE">
        <w:rPr>
          <w:color w:val="636466"/>
          <w:sz w:val="20"/>
          <w:szCs w:val="20"/>
          <w:lang w:val="uk-UA"/>
        </w:rPr>
        <w:t>.</w:t>
      </w:r>
      <w:r w:rsidR="00B01E0C" w:rsidRPr="003C6DAE">
        <w:rPr>
          <w:color w:val="636466"/>
          <w:spacing w:val="33"/>
          <w:sz w:val="20"/>
          <w:szCs w:val="20"/>
          <w:lang w:val="uk-UA"/>
        </w:rPr>
        <w:t xml:space="preserve"> </w:t>
      </w:r>
      <w:r w:rsidR="00B01E0C" w:rsidRPr="003C6DAE">
        <w:rPr>
          <w:color w:val="636466"/>
          <w:sz w:val="20"/>
          <w:szCs w:val="20"/>
          <w:lang w:val="uk-UA"/>
        </w:rPr>
        <w:t>2.1.6.</w:t>
      </w:r>
      <w:r w:rsidR="00B01E0C" w:rsidRPr="003C6DAE">
        <w:rPr>
          <w:color w:val="636466"/>
          <w:spacing w:val="33"/>
          <w:sz w:val="20"/>
          <w:szCs w:val="20"/>
          <w:lang w:val="uk-UA"/>
        </w:rPr>
        <w:t xml:space="preserve"> </w:t>
      </w:r>
      <w:r w:rsidRPr="003C6DAE">
        <w:rPr>
          <w:color w:val="636466"/>
          <w:sz w:val="20"/>
          <w:szCs w:val="20"/>
          <w:lang w:val="uk-UA"/>
        </w:rPr>
        <w:t xml:space="preserve">Чутливість і специфічність аТАНК-НС для виявлення ТБ плеври в </w:t>
      </w:r>
      <w:r w:rsidR="005051CF">
        <w:rPr>
          <w:color w:val="636466"/>
          <w:sz w:val="20"/>
          <w:szCs w:val="20"/>
          <w:lang w:val="uk-UA"/>
        </w:rPr>
        <w:t xml:space="preserve">зразках </w:t>
      </w:r>
      <w:r w:rsidRPr="003C6DAE">
        <w:rPr>
          <w:color w:val="636466"/>
          <w:sz w:val="20"/>
          <w:szCs w:val="20"/>
          <w:lang w:val="uk-UA"/>
        </w:rPr>
        <w:t>плевральн</w:t>
      </w:r>
      <w:r w:rsidR="005051CF">
        <w:rPr>
          <w:color w:val="636466"/>
          <w:sz w:val="20"/>
          <w:szCs w:val="20"/>
          <w:lang w:val="uk-UA"/>
        </w:rPr>
        <w:t>ої</w:t>
      </w:r>
      <w:r w:rsidRPr="003C6DAE">
        <w:rPr>
          <w:color w:val="636466"/>
          <w:sz w:val="20"/>
          <w:szCs w:val="20"/>
          <w:lang w:val="uk-UA"/>
        </w:rPr>
        <w:t xml:space="preserve"> рідин</w:t>
      </w:r>
      <w:r w:rsidR="005051CF">
        <w:rPr>
          <w:color w:val="636466"/>
          <w:sz w:val="20"/>
          <w:szCs w:val="20"/>
          <w:lang w:val="uk-UA"/>
        </w:rPr>
        <w:t>и</w:t>
      </w:r>
      <w:r w:rsidRPr="003C6DAE">
        <w:rPr>
          <w:color w:val="636466"/>
          <w:sz w:val="20"/>
          <w:szCs w:val="20"/>
          <w:lang w:val="uk-UA"/>
        </w:rPr>
        <w:t xml:space="preserve"> та </w:t>
      </w:r>
      <w:r w:rsidR="005051CF">
        <w:rPr>
          <w:color w:val="636466"/>
          <w:sz w:val="20"/>
          <w:szCs w:val="20"/>
          <w:lang w:val="uk-UA"/>
        </w:rPr>
        <w:t>мікробіологічного еталонного стандарту</w:t>
      </w:r>
      <w:r w:rsidR="0000617E">
        <w:rPr>
          <w:color w:val="636466"/>
          <w:sz w:val="20"/>
          <w:szCs w:val="20"/>
          <w:lang w:val="uk-UA"/>
        </w:rPr>
        <w:t xml:space="preserve"> </w:t>
      </w:r>
      <w:r w:rsidR="00B01E0C" w:rsidRPr="003C6DAE">
        <w:rPr>
          <w:color w:val="636466"/>
          <w:vertAlign w:val="superscript"/>
          <w:lang w:val="uk-UA"/>
        </w:rPr>
        <w:t>a</w:t>
      </w:r>
    </w:p>
    <w:p w14:paraId="22288C4A" w14:textId="77777777" w:rsidR="00E05B98" w:rsidRPr="003C6DAE" w:rsidRDefault="00E05B98">
      <w:pPr>
        <w:pStyle w:val="a3"/>
        <w:spacing w:before="8"/>
        <w:rPr>
          <w:rFonts w:ascii="Arial"/>
          <w:b/>
          <w:sz w:val="9"/>
          <w:lang w:val="uk-UA"/>
        </w:rPr>
      </w:pPr>
    </w:p>
    <w:p w14:paraId="089AAFBA" w14:textId="77777777" w:rsidR="00E05B98" w:rsidRPr="003C6DAE" w:rsidRDefault="00E05B98">
      <w:pPr>
        <w:pStyle w:val="a3"/>
        <w:rPr>
          <w:rFonts w:ascii="Arial"/>
          <w:b/>
          <w:sz w:val="9"/>
          <w:lang w:val="uk-UA"/>
        </w:rPr>
        <w:sectPr w:rsidR="00E05B98" w:rsidRPr="003C6DAE" w:rsidSect="00FA7B94">
          <w:pgSz w:w="11910" w:h="16840"/>
          <w:pgMar w:top="1320" w:right="995" w:bottom="760" w:left="850" w:header="0" w:footer="573" w:gutter="0"/>
          <w:cols w:space="720"/>
        </w:sectPr>
      </w:pPr>
    </w:p>
    <w:p w14:paraId="315438EE" w14:textId="4F2345A6" w:rsidR="00E05B98" w:rsidRPr="003C6DAE" w:rsidRDefault="0099259A" w:rsidP="0099259A">
      <w:pPr>
        <w:spacing w:before="106" w:line="300" w:lineRule="auto"/>
        <w:ind w:left="698" w:right="125"/>
        <w:rPr>
          <w:rFonts w:ascii="Trebuchet MS"/>
          <w:sz w:val="17"/>
          <w:lang w:val="uk-UA"/>
        </w:rPr>
      </w:pPr>
      <w:r w:rsidRPr="003C6DAE">
        <w:rPr>
          <w:rFonts w:ascii="Trebuchet MS"/>
          <w:color w:val="333333"/>
          <w:w w:val="90"/>
          <w:sz w:val="17"/>
          <w:lang w:val="uk-UA"/>
        </w:rPr>
        <w:t>Дослідження</w:t>
      </w:r>
      <w:r w:rsidR="00B01E0C" w:rsidRPr="003C6DAE">
        <w:rPr>
          <w:rFonts w:ascii="Trebuchet MS"/>
          <w:color w:val="333333"/>
          <w:w w:val="90"/>
          <w:sz w:val="17"/>
          <w:lang w:val="uk-UA"/>
        </w:rPr>
        <w:t xml:space="preserve"> </w:t>
      </w:r>
      <w:proofErr w:type="spellStart"/>
      <w:r w:rsidR="00B01E0C" w:rsidRPr="003C6DAE">
        <w:rPr>
          <w:rFonts w:ascii="Trebuchet MS"/>
          <w:w w:val="85"/>
          <w:sz w:val="17"/>
          <w:lang w:val="uk-UA"/>
        </w:rPr>
        <w:t>Minnies</w:t>
      </w:r>
      <w:proofErr w:type="spellEnd"/>
      <w:r w:rsidR="00B01E0C" w:rsidRPr="003C6DAE">
        <w:rPr>
          <w:rFonts w:ascii="Trebuchet MS"/>
          <w:spacing w:val="-6"/>
          <w:w w:val="85"/>
          <w:sz w:val="17"/>
          <w:lang w:val="uk-UA"/>
        </w:rPr>
        <w:t xml:space="preserve"> </w:t>
      </w:r>
      <w:r w:rsidR="00B01E0C" w:rsidRPr="003C6DAE">
        <w:rPr>
          <w:rFonts w:ascii="Trebuchet MS"/>
          <w:w w:val="85"/>
          <w:sz w:val="17"/>
          <w:lang w:val="uk-UA"/>
        </w:rPr>
        <w:t xml:space="preserve">2023 </w:t>
      </w:r>
      <w:r w:rsidRPr="003C6DAE">
        <w:rPr>
          <w:rFonts w:ascii="Trebuchet MS"/>
          <w:w w:val="85"/>
          <w:sz w:val="17"/>
          <w:lang w:val="uk-UA"/>
        </w:rPr>
        <w:t xml:space="preserve">         </w:t>
      </w:r>
      <w:proofErr w:type="spellStart"/>
      <w:r w:rsidR="00B01E0C" w:rsidRPr="003C6DAE">
        <w:rPr>
          <w:rFonts w:ascii="Trebuchet MS"/>
          <w:w w:val="80"/>
          <w:sz w:val="17"/>
          <w:lang w:val="uk-UA"/>
        </w:rPr>
        <w:t>Penata</w:t>
      </w:r>
      <w:proofErr w:type="spellEnd"/>
      <w:r w:rsidR="00B01E0C" w:rsidRPr="003C6DAE">
        <w:rPr>
          <w:rFonts w:ascii="Trebuchet MS"/>
          <w:spacing w:val="1"/>
          <w:sz w:val="17"/>
          <w:lang w:val="uk-UA"/>
        </w:rPr>
        <w:t xml:space="preserve"> </w:t>
      </w:r>
      <w:r w:rsidR="00B01E0C" w:rsidRPr="003C6DAE">
        <w:rPr>
          <w:rFonts w:ascii="Trebuchet MS"/>
          <w:spacing w:val="-4"/>
          <w:w w:val="80"/>
          <w:sz w:val="17"/>
          <w:lang w:val="uk-UA"/>
        </w:rPr>
        <w:t>2021</w:t>
      </w:r>
    </w:p>
    <w:p w14:paraId="0718CB72" w14:textId="62A14E8A" w:rsidR="00E05B98" w:rsidRPr="003C6DAE" w:rsidRDefault="00B01E0C">
      <w:pPr>
        <w:spacing w:line="183" w:lineRule="exact"/>
        <w:ind w:left="698"/>
        <w:rPr>
          <w:rFonts w:ascii="Trebuchet MS"/>
          <w:sz w:val="17"/>
          <w:lang w:val="uk-UA"/>
        </w:rPr>
      </w:pPr>
      <w:proofErr w:type="spellStart"/>
      <w:r w:rsidRPr="003C6DAE">
        <w:rPr>
          <w:rFonts w:ascii="Trebuchet MS"/>
          <w:w w:val="80"/>
          <w:sz w:val="17"/>
          <w:lang w:val="uk-UA"/>
        </w:rPr>
        <w:t>Spencer-Gomes</w:t>
      </w:r>
      <w:proofErr w:type="spellEnd"/>
      <w:r w:rsidRPr="003C6DAE">
        <w:rPr>
          <w:rFonts w:ascii="Trebuchet MS"/>
          <w:spacing w:val="26"/>
          <w:sz w:val="17"/>
          <w:lang w:val="uk-UA"/>
        </w:rPr>
        <w:t xml:space="preserve"> </w:t>
      </w:r>
      <w:r w:rsidRPr="003C6DAE">
        <w:rPr>
          <w:rFonts w:ascii="Trebuchet MS"/>
          <w:spacing w:val="-4"/>
          <w:w w:val="80"/>
          <w:sz w:val="17"/>
          <w:lang w:val="uk-UA"/>
        </w:rPr>
        <w:t>2021</w:t>
      </w:r>
    </w:p>
    <w:p w14:paraId="5D4184BE" w14:textId="3B01E539" w:rsidR="00E05B98" w:rsidRPr="003C6DAE" w:rsidRDefault="00B01E0C">
      <w:pPr>
        <w:spacing w:before="34" w:line="280" w:lineRule="auto"/>
        <w:ind w:left="698" w:right="549"/>
        <w:rPr>
          <w:rFonts w:ascii="Trebuchet MS"/>
          <w:sz w:val="17"/>
          <w:lang w:val="uk-UA"/>
        </w:rPr>
      </w:pPr>
      <w:proofErr w:type="spellStart"/>
      <w:r w:rsidRPr="003C6DAE">
        <w:rPr>
          <w:rFonts w:ascii="Trebuchet MS"/>
          <w:w w:val="95"/>
          <w:sz w:val="17"/>
          <w:lang w:val="uk-UA"/>
        </w:rPr>
        <w:t>Slail</w:t>
      </w:r>
      <w:proofErr w:type="spellEnd"/>
      <w:r w:rsidRPr="003C6DAE">
        <w:rPr>
          <w:rFonts w:ascii="Trebuchet MS"/>
          <w:spacing w:val="-11"/>
          <w:w w:val="95"/>
          <w:sz w:val="17"/>
          <w:lang w:val="uk-UA"/>
        </w:rPr>
        <w:t xml:space="preserve"> </w:t>
      </w:r>
      <w:r w:rsidRPr="003C6DAE">
        <w:rPr>
          <w:rFonts w:ascii="Trebuchet MS"/>
          <w:w w:val="95"/>
          <w:sz w:val="17"/>
          <w:lang w:val="uk-UA"/>
        </w:rPr>
        <w:t xml:space="preserve">2023 </w:t>
      </w:r>
      <w:proofErr w:type="spellStart"/>
      <w:r w:rsidRPr="003C6DAE">
        <w:rPr>
          <w:rFonts w:ascii="Trebuchet MS"/>
          <w:w w:val="85"/>
          <w:sz w:val="17"/>
          <w:lang w:val="uk-UA"/>
        </w:rPr>
        <w:t>Wang</w:t>
      </w:r>
      <w:proofErr w:type="spellEnd"/>
      <w:r w:rsidRPr="003C6DAE">
        <w:rPr>
          <w:rFonts w:ascii="Trebuchet MS"/>
          <w:spacing w:val="-6"/>
          <w:w w:val="85"/>
          <w:sz w:val="17"/>
          <w:lang w:val="uk-UA"/>
        </w:rPr>
        <w:t xml:space="preserve"> </w:t>
      </w:r>
      <w:r w:rsidRPr="003C6DAE">
        <w:rPr>
          <w:rFonts w:ascii="Trebuchet MS"/>
          <w:w w:val="85"/>
          <w:sz w:val="17"/>
          <w:lang w:val="uk-UA"/>
        </w:rPr>
        <w:t xml:space="preserve">2020 </w:t>
      </w:r>
      <w:proofErr w:type="spellStart"/>
      <w:r w:rsidRPr="003C6DAE">
        <w:rPr>
          <w:rFonts w:ascii="Trebuchet MS"/>
          <w:w w:val="85"/>
          <w:sz w:val="17"/>
          <w:lang w:val="uk-UA"/>
        </w:rPr>
        <w:t>Wang</w:t>
      </w:r>
      <w:proofErr w:type="spellEnd"/>
      <w:r w:rsidRPr="003C6DAE">
        <w:rPr>
          <w:rFonts w:ascii="Trebuchet MS"/>
          <w:spacing w:val="-6"/>
          <w:w w:val="85"/>
          <w:sz w:val="17"/>
          <w:lang w:val="uk-UA"/>
        </w:rPr>
        <w:t xml:space="preserve"> </w:t>
      </w:r>
      <w:r w:rsidRPr="003C6DAE">
        <w:rPr>
          <w:rFonts w:ascii="Trebuchet MS"/>
          <w:w w:val="85"/>
          <w:sz w:val="17"/>
          <w:lang w:val="uk-UA"/>
        </w:rPr>
        <w:t xml:space="preserve">2019 </w:t>
      </w:r>
      <w:r w:rsidRPr="003C6DAE">
        <w:rPr>
          <w:rFonts w:ascii="Trebuchet MS"/>
          <w:w w:val="95"/>
          <w:sz w:val="17"/>
          <w:lang w:val="uk-UA"/>
        </w:rPr>
        <w:t>Wu</w:t>
      </w:r>
      <w:r w:rsidRPr="003C6DAE">
        <w:rPr>
          <w:rFonts w:ascii="Trebuchet MS"/>
          <w:spacing w:val="-9"/>
          <w:w w:val="95"/>
          <w:sz w:val="17"/>
          <w:lang w:val="uk-UA"/>
        </w:rPr>
        <w:t xml:space="preserve"> </w:t>
      </w:r>
      <w:r w:rsidRPr="003C6DAE">
        <w:rPr>
          <w:rFonts w:ascii="Trebuchet MS"/>
          <w:w w:val="95"/>
          <w:sz w:val="17"/>
          <w:lang w:val="uk-UA"/>
        </w:rPr>
        <w:t>2019</w:t>
      </w:r>
    </w:p>
    <w:p w14:paraId="358E4CEF" w14:textId="77777777" w:rsidR="00E05B98" w:rsidRPr="003C6DAE" w:rsidRDefault="00B01E0C">
      <w:pPr>
        <w:spacing w:before="3"/>
        <w:ind w:left="698"/>
        <w:rPr>
          <w:rFonts w:ascii="Trebuchet MS"/>
          <w:sz w:val="17"/>
          <w:lang w:val="uk-UA"/>
        </w:rPr>
      </w:pPr>
      <w:proofErr w:type="spellStart"/>
      <w:r w:rsidRPr="003C6DAE">
        <w:rPr>
          <w:rFonts w:ascii="Trebuchet MS"/>
          <w:spacing w:val="2"/>
          <w:w w:val="80"/>
          <w:sz w:val="17"/>
          <w:lang w:val="uk-UA"/>
        </w:rPr>
        <w:t>Mekkaoui</w:t>
      </w:r>
      <w:proofErr w:type="spellEnd"/>
      <w:r w:rsidRPr="003C6DAE">
        <w:rPr>
          <w:rFonts w:ascii="Trebuchet MS"/>
          <w:spacing w:val="17"/>
          <w:sz w:val="17"/>
          <w:lang w:val="uk-UA"/>
        </w:rPr>
        <w:t xml:space="preserve"> </w:t>
      </w:r>
      <w:r w:rsidRPr="003C6DAE">
        <w:rPr>
          <w:rFonts w:ascii="Trebuchet MS"/>
          <w:spacing w:val="-4"/>
          <w:w w:val="90"/>
          <w:sz w:val="17"/>
          <w:lang w:val="uk-UA"/>
        </w:rPr>
        <w:t>2021</w:t>
      </w:r>
    </w:p>
    <w:p w14:paraId="2F2A337C" w14:textId="34278F37" w:rsidR="00E05B98" w:rsidRPr="003C6DAE" w:rsidRDefault="00B01E0C">
      <w:pPr>
        <w:spacing w:before="35" w:line="280" w:lineRule="auto"/>
        <w:ind w:left="698" w:right="303"/>
        <w:jc w:val="both"/>
        <w:rPr>
          <w:rFonts w:ascii="Trebuchet MS"/>
          <w:sz w:val="17"/>
          <w:lang w:val="uk-UA"/>
        </w:rPr>
      </w:pPr>
      <w:proofErr w:type="spellStart"/>
      <w:r w:rsidRPr="003C6DAE">
        <w:rPr>
          <w:rFonts w:ascii="Trebuchet MS"/>
          <w:w w:val="80"/>
          <w:sz w:val="17"/>
          <w:lang w:val="uk-UA"/>
        </w:rPr>
        <w:t>Christopher</w:t>
      </w:r>
      <w:proofErr w:type="spellEnd"/>
      <w:r w:rsidRPr="003C6DAE">
        <w:rPr>
          <w:rFonts w:ascii="Trebuchet MS"/>
          <w:spacing w:val="-2"/>
          <w:w w:val="80"/>
          <w:sz w:val="17"/>
          <w:lang w:val="uk-UA"/>
        </w:rPr>
        <w:t xml:space="preserve"> </w:t>
      </w:r>
      <w:r w:rsidRPr="003C6DAE">
        <w:rPr>
          <w:rFonts w:ascii="Trebuchet MS"/>
          <w:w w:val="80"/>
          <w:sz w:val="17"/>
          <w:lang w:val="uk-UA"/>
        </w:rPr>
        <w:t xml:space="preserve">2021 </w:t>
      </w:r>
      <w:proofErr w:type="spellStart"/>
      <w:r w:rsidRPr="003C6DAE">
        <w:rPr>
          <w:rFonts w:ascii="Trebuchet MS"/>
          <w:w w:val="90"/>
          <w:sz w:val="17"/>
          <w:lang w:val="uk-UA"/>
        </w:rPr>
        <w:t>Gao</w:t>
      </w:r>
      <w:proofErr w:type="spellEnd"/>
      <w:r w:rsidRPr="003C6DAE">
        <w:rPr>
          <w:rFonts w:ascii="Trebuchet MS"/>
          <w:w w:val="90"/>
          <w:sz w:val="17"/>
          <w:lang w:val="uk-UA"/>
        </w:rPr>
        <w:t xml:space="preserve"> 2021</w:t>
      </w:r>
    </w:p>
    <w:p w14:paraId="0105DA8B" w14:textId="685874B2" w:rsidR="00E05B98" w:rsidRPr="003C6DAE" w:rsidRDefault="00B01E0C">
      <w:pPr>
        <w:spacing w:before="1" w:line="280" w:lineRule="auto"/>
        <w:ind w:left="698" w:right="262"/>
        <w:jc w:val="both"/>
        <w:rPr>
          <w:rFonts w:ascii="Trebuchet MS"/>
          <w:sz w:val="17"/>
          <w:lang w:val="uk-UA"/>
        </w:rPr>
      </w:pPr>
      <w:proofErr w:type="spellStart"/>
      <w:r w:rsidRPr="003C6DAE">
        <w:rPr>
          <w:rFonts w:ascii="Trebuchet MS"/>
          <w:w w:val="75"/>
          <w:sz w:val="17"/>
          <w:lang w:val="uk-UA"/>
        </w:rPr>
        <w:t>Perez-Risco</w:t>
      </w:r>
      <w:proofErr w:type="spellEnd"/>
      <w:r w:rsidRPr="003C6DAE">
        <w:rPr>
          <w:rFonts w:ascii="Trebuchet MS"/>
          <w:spacing w:val="34"/>
          <w:sz w:val="17"/>
          <w:lang w:val="uk-UA"/>
        </w:rPr>
        <w:t xml:space="preserve"> </w:t>
      </w:r>
      <w:r w:rsidRPr="003C6DAE">
        <w:rPr>
          <w:rFonts w:ascii="Trebuchet MS"/>
          <w:w w:val="75"/>
          <w:sz w:val="17"/>
          <w:lang w:val="uk-UA"/>
        </w:rPr>
        <w:t>2018</w:t>
      </w:r>
      <w:r w:rsidRPr="003C6DAE">
        <w:rPr>
          <w:rFonts w:ascii="Trebuchet MS"/>
          <w:w w:val="85"/>
          <w:sz w:val="17"/>
          <w:lang w:val="uk-UA"/>
        </w:rPr>
        <w:t xml:space="preserve"> </w:t>
      </w:r>
      <w:proofErr w:type="spellStart"/>
      <w:r w:rsidRPr="003C6DAE">
        <w:rPr>
          <w:rFonts w:ascii="Trebuchet MS"/>
          <w:w w:val="85"/>
          <w:sz w:val="17"/>
          <w:lang w:val="uk-UA"/>
        </w:rPr>
        <w:t>Makambwa</w:t>
      </w:r>
      <w:proofErr w:type="spellEnd"/>
      <w:r w:rsidRPr="003C6DAE">
        <w:rPr>
          <w:rFonts w:ascii="Trebuchet MS"/>
          <w:w w:val="85"/>
          <w:sz w:val="17"/>
          <w:lang w:val="uk-UA"/>
        </w:rPr>
        <w:t xml:space="preserve"> 2019 </w:t>
      </w:r>
      <w:proofErr w:type="spellStart"/>
      <w:r w:rsidRPr="003C6DAE">
        <w:rPr>
          <w:rFonts w:ascii="Trebuchet MS"/>
          <w:w w:val="90"/>
          <w:sz w:val="17"/>
          <w:lang w:val="uk-UA"/>
        </w:rPr>
        <w:t>Hoel</w:t>
      </w:r>
      <w:proofErr w:type="spellEnd"/>
      <w:r w:rsidRPr="003C6DAE">
        <w:rPr>
          <w:rFonts w:ascii="Trebuchet MS"/>
          <w:spacing w:val="-9"/>
          <w:w w:val="90"/>
          <w:sz w:val="17"/>
          <w:lang w:val="uk-UA"/>
        </w:rPr>
        <w:t xml:space="preserve"> </w:t>
      </w:r>
      <w:r w:rsidRPr="003C6DAE">
        <w:rPr>
          <w:rFonts w:ascii="Trebuchet MS"/>
          <w:w w:val="90"/>
          <w:sz w:val="17"/>
          <w:lang w:val="uk-UA"/>
        </w:rPr>
        <w:t>2020</w:t>
      </w:r>
    </w:p>
    <w:p w14:paraId="589DA657" w14:textId="77777777" w:rsidR="00E05B98" w:rsidRPr="003C6DAE" w:rsidRDefault="00B01E0C">
      <w:pPr>
        <w:spacing w:before="106"/>
        <w:ind w:left="202"/>
        <w:rPr>
          <w:rFonts w:ascii="Trebuchet MS"/>
          <w:sz w:val="17"/>
          <w:lang w:val="uk-UA"/>
        </w:rPr>
      </w:pPr>
      <w:r w:rsidRPr="003C6DAE">
        <w:rPr>
          <w:lang w:val="uk-UA"/>
        </w:rPr>
        <w:br w:type="column"/>
      </w:r>
      <w:r w:rsidRPr="003C6DAE">
        <w:rPr>
          <w:rFonts w:ascii="Trebuchet MS"/>
          <w:color w:val="333333"/>
          <w:w w:val="90"/>
          <w:sz w:val="17"/>
          <w:lang w:val="uk-UA"/>
        </w:rPr>
        <w:t>TP</w:t>
      </w:r>
      <w:r w:rsidRPr="003C6DAE">
        <w:rPr>
          <w:rFonts w:ascii="Trebuchet MS"/>
          <w:color w:val="333333"/>
          <w:spacing w:val="62"/>
          <w:w w:val="150"/>
          <w:sz w:val="17"/>
          <w:lang w:val="uk-UA"/>
        </w:rPr>
        <w:t xml:space="preserve"> </w:t>
      </w:r>
      <w:r w:rsidRPr="003C6DAE">
        <w:rPr>
          <w:rFonts w:ascii="Trebuchet MS"/>
          <w:color w:val="333333"/>
          <w:spacing w:val="-5"/>
          <w:w w:val="90"/>
          <w:sz w:val="17"/>
          <w:lang w:val="uk-UA"/>
        </w:rPr>
        <w:t xml:space="preserve">FP </w:t>
      </w:r>
    </w:p>
    <w:p w14:paraId="33033904" w14:textId="77777777" w:rsidR="00E05B98" w:rsidRPr="003C6DAE" w:rsidRDefault="00B01E0C">
      <w:pPr>
        <w:tabs>
          <w:tab w:val="left" w:pos="604"/>
        </w:tabs>
        <w:spacing w:before="65"/>
        <w:ind w:left="222"/>
        <w:rPr>
          <w:rFonts w:ascii="Trebuchet MS"/>
          <w:sz w:val="17"/>
          <w:lang w:val="uk-UA"/>
        </w:rPr>
      </w:pPr>
      <w:r w:rsidRPr="003C6DAE">
        <w:rPr>
          <w:rFonts w:ascii="Trebuchet MS"/>
          <w:spacing w:val="-5"/>
          <w:w w:val="95"/>
          <w:sz w:val="17"/>
          <w:lang w:val="uk-UA"/>
        </w:rPr>
        <w:t>12</w:t>
      </w:r>
      <w:r w:rsidRPr="003C6DAE">
        <w:rPr>
          <w:rFonts w:ascii="Trebuchet MS"/>
          <w:sz w:val="17"/>
          <w:lang w:val="uk-UA"/>
        </w:rPr>
        <w:tab/>
      </w:r>
      <w:r w:rsidRPr="003C6DAE">
        <w:rPr>
          <w:rFonts w:ascii="Trebuchet MS"/>
          <w:spacing w:val="-10"/>
          <w:w w:val="95"/>
          <w:sz w:val="17"/>
          <w:lang w:val="uk-UA"/>
        </w:rPr>
        <w:t>9</w:t>
      </w:r>
    </w:p>
    <w:p w14:paraId="1DAF127E" w14:textId="77777777" w:rsidR="00E05B98" w:rsidRPr="003C6DAE" w:rsidRDefault="00B01E0C">
      <w:pPr>
        <w:tabs>
          <w:tab w:val="left" w:pos="604"/>
        </w:tabs>
        <w:spacing w:before="34"/>
        <w:ind w:left="302"/>
        <w:rPr>
          <w:rFonts w:ascii="Trebuchet MS"/>
          <w:sz w:val="17"/>
          <w:lang w:val="uk-UA"/>
        </w:rPr>
      </w:pPr>
      <w:r w:rsidRPr="003C6DAE">
        <w:rPr>
          <w:rFonts w:ascii="Trebuchet MS"/>
          <w:spacing w:val="-10"/>
          <w:w w:val="95"/>
          <w:sz w:val="17"/>
          <w:lang w:val="uk-UA"/>
        </w:rPr>
        <w:t>3</w:t>
      </w:r>
      <w:r w:rsidRPr="003C6DAE">
        <w:rPr>
          <w:rFonts w:ascii="Trebuchet MS"/>
          <w:sz w:val="17"/>
          <w:lang w:val="uk-UA"/>
        </w:rPr>
        <w:tab/>
      </w:r>
      <w:r w:rsidRPr="003C6DAE">
        <w:rPr>
          <w:rFonts w:ascii="Trebuchet MS"/>
          <w:spacing w:val="-10"/>
          <w:w w:val="95"/>
          <w:sz w:val="17"/>
          <w:lang w:val="uk-UA"/>
        </w:rPr>
        <w:t>6</w:t>
      </w:r>
    </w:p>
    <w:p w14:paraId="60651C8D" w14:textId="77777777" w:rsidR="00E05B98" w:rsidRPr="003C6DAE" w:rsidRDefault="00B01E0C">
      <w:pPr>
        <w:tabs>
          <w:tab w:val="left" w:pos="604"/>
        </w:tabs>
        <w:spacing w:before="34"/>
        <w:ind w:left="302"/>
        <w:rPr>
          <w:rFonts w:ascii="Trebuchet MS"/>
          <w:sz w:val="17"/>
          <w:lang w:val="uk-UA"/>
        </w:rPr>
      </w:pPr>
      <w:r w:rsidRPr="003C6DAE">
        <w:rPr>
          <w:rFonts w:ascii="Trebuchet MS"/>
          <w:spacing w:val="-10"/>
          <w:w w:val="95"/>
          <w:sz w:val="17"/>
          <w:lang w:val="uk-UA"/>
        </w:rPr>
        <w:t>3</w:t>
      </w:r>
      <w:r w:rsidRPr="003C6DAE">
        <w:rPr>
          <w:rFonts w:ascii="Trebuchet MS"/>
          <w:sz w:val="17"/>
          <w:lang w:val="uk-UA"/>
        </w:rPr>
        <w:tab/>
      </w:r>
      <w:r w:rsidRPr="003C6DAE">
        <w:rPr>
          <w:rFonts w:ascii="Trebuchet MS"/>
          <w:spacing w:val="-10"/>
          <w:w w:val="95"/>
          <w:sz w:val="17"/>
          <w:lang w:val="uk-UA"/>
        </w:rPr>
        <w:t>2</w:t>
      </w:r>
    </w:p>
    <w:p w14:paraId="22053094" w14:textId="77777777" w:rsidR="00E05B98" w:rsidRPr="003C6DAE" w:rsidRDefault="00B01E0C">
      <w:pPr>
        <w:spacing w:before="35"/>
        <w:ind w:left="222"/>
        <w:rPr>
          <w:rFonts w:ascii="Trebuchet MS"/>
          <w:sz w:val="17"/>
          <w:lang w:val="uk-UA"/>
        </w:rPr>
      </w:pPr>
      <w:r w:rsidRPr="003C6DAE">
        <w:rPr>
          <w:rFonts w:ascii="Trebuchet MS"/>
          <w:w w:val="95"/>
          <w:sz w:val="17"/>
          <w:lang w:val="uk-UA"/>
        </w:rPr>
        <w:t>26</w:t>
      </w:r>
      <w:r w:rsidRPr="003C6DAE">
        <w:rPr>
          <w:rFonts w:ascii="Trebuchet MS"/>
          <w:spacing w:val="78"/>
          <w:sz w:val="17"/>
          <w:lang w:val="uk-UA"/>
        </w:rPr>
        <w:t xml:space="preserve"> </w:t>
      </w:r>
      <w:r w:rsidRPr="003C6DAE">
        <w:rPr>
          <w:rFonts w:ascii="Trebuchet MS"/>
          <w:spacing w:val="-5"/>
          <w:w w:val="90"/>
          <w:sz w:val="17"/>
          <w:lang w:val="uk-UA"/>
        </w:rPr>
        <w:t>21</w:t>
      </w:r>
    </w:p>
    <w:p w14:paraId="3C25720F" w14:textId="77777777" w:rsidR="00E05B98" w:rsidRPr="003C6DAE" w:rsidRDefault="00B01E0C">
      <w:pPr>
        <w:tabs>
          <w:tab w:val="left" w:pos="604"/>
        </w:tabs>
        <w:spacing w:before="34"/>
        <w:ind w:left="222"/>
        <w:rPr>
          <w:rFonts w:ascii="Trebuchet MS"/>
          <w:sz w:val="17"/>
          <w:lang w:val="uk-UA"/>
        </w:rPr>
      </w:pPr>
      <w:r w:rsidRPr="003C6DAE">
        <w:rPr>
          <w:rFonts w:ascii="Trebuchet MS"/>
          <w:spacing w:val="-5"/>
          <w:w w:val="95"/>
          <w:sz w:val="17"/>
          <w:lang w:val="uk-UA"/>
        </w:rPr>
        <w:t>46</w:t>
      </w:r>
      <w:r w:rsidRPr="003C6DAE">
        <w:rPr>
          <w:rFonts w:ascii="Trebuchet MS"/>
          <w:sz w:val="17"/>
          <w:lang w:val="uk-UA"/>
        </w:rPr>
        <w:tab/>
      </w:r>
      <w:r w:rsidRPr="003C6DAE">
        <w:rPr>
          <w:rFonts w:ascii="Trebuchet MS"/>
          <w:spacing w:val="-10"/>
          <w:w w:val="95"/>
          <w:sz w:val="17"/>
          <w:lang w:val="uk-UA"/>
        </w:rPr>
        <w:t>1</w:t>
      </w:r>
    </w:p>
    <w:p w14:paraId="0395908E" w14:textId="77777777" w:rsidR="00E05B98" w:rsidRPr="003C6DAE" w:rsidRDefault="00B01E0C">
      <w:pPr>
        <w:spacing w:before="34"/>
        <w:ind w:left="222"/>
        <w:rPr>
          <w:rFonts w:ascii="Trebuchet MS"/>
          <w:sz w:val="17"/>
          <w:lang w:val="uk-UA"/>
        </w:rPr>
      </w:pPr>
      <w:r w:rsidRPr="003C6DAE">
        <w:rPr>
          <w:rFonts w:ascii="Trebuchet MS"/>
          <w:w w:val="95"/>
          <w:sz w:val="17"/>
          <w:lang w:val="uk-UA"/>
        </w:rPr>
        <w:t>48</w:t>
      </w:r>
      <w:r w:rsidRPr="003C6DAE">
        <w:rPr>
          <w:rFonts w:ascii="Trebuchet MS"/>
          <w:spacing w:val="78"/>
          <w:sz w:val="17"/>
          <w:lang w:val="uk-UA"/>
        </w:rPr>
        <w:t xml:space="preserve"> </w:t>
      </w:r>
      <w:r w:rsidRPr="003C6DAE">
        <w:rPr>
          <w:rFonts w:ascii="Trebuchet MS"/>
          <w:spacing w:val="-5"/>
          <w:w w:val="90"/>
          <w:sz w:val="17"/>
          <w:lang w:val="uk-UA"/>
        </w:rPr>
        <w:t>18</w:t>
      </w:r>
    </w:p>
    <w:p w14:paraId="1BD748AB" w14:textId="77777777" w:rsidR="00E05B98" w:rsidRPr="003C6DAE" w:rsidRDefault="00B01E0C">
      <w:pPr>
        <w:spacing w:before="34"/>
        <w:ind w:left="222"/>
        <w:rPr>
          <w:rFonts w:ascii="Trebuchet MS"/>
          <w:sz w:val="17"/>
          <w:lang w:val="uk-UA"/>
        </w:rPr>
      </w:pPr>
      <w:r w:rsidRPr="003C6DAE">
        <w:rPr>
          <w:rFonts w:ascii="Trebuchet MS"/>
          <w:w w:val="95"/>
          <w:sz w:val="17"/>
          <w:lang w:val="uk-UA"/>
        </w:rPr>
        <w:t>17</w:t>
      </w:r>
      <w:r w:rsidRPr="003C6DAE">
        <w:rPr>
          <w:rFonts w:ascii="Trebuchet MS"/>
          <w:spacing w:val="78"/>
          <w:sz w:val="17"/>
          <w:lang w:val="uk-UA"/>
        </w:rPr>
        <w:t xml:space="preserve"> </w:t>
      </w:r>
      <w:r w:rsidRPr="003C6DAE">
        <w:rPr>
          <w:rFonts w:ascii="Trebuchet MS"/>
          <w:spacing w:val="-5"/>
          <w:w w:val="90"/>
          <w:sz w:val="17"/>
          <w:lang w:val="uk-UA"/>
        </w:rPr>
        <w:t>30</w:t>
      </w:r>
    </w:p>
    <w:p w14:paraId="2D0B7AA0" w14:textId="77777777" w:rsidR="00E05B98" w:rsidRPr="003C6DAE" w:rsidRDefault="00B01E0C">
      <w:pPr>
        <w:tabs>
          <w:tab w:val="left" w:pos="604"/>
        </w:tabs>
        <w:spacing w:before="35"/>
        <w:ind w:left="302"/>
        <w:rPr>
          <w:rFonts w:ascii="Trebuchet MS"/>
          <w:sz w:val="17"/>
          <w:lang w:val="uk-UA"/>
        </w:rPr>
      </w:pPr>
      <w:r w:rsidRPr="003C6DAE">
        <w:rPr>
          <w:rFonts w:ascii="Trebuchet MS"/>
          <w:spacing w:val="-10"/>
          <w:w w:val="95"/>
          <w:sz w:val="17"/>
          <w:lang w:val="uk-UA"/>
        </w:rPr>
        <w:t>6</w:t>
      </w:r>
      <w:r w:rsidRPr="003C6DAE">
        <w:rPr>
          <w:rFonts w:ascii="Trebuchet MS"/>
          <w:sz w:val="17"/>
          <w:lang w:val="uk-UA"/>
        </w:rPr>
        <w:tab/>
      </w:r>
      <w:r w:rsidRPr="003C6DAE">
        <w:rPr>
          <w:rFonts w:ascii="Trebuchet MS"/>
          <w:spacing w:val="-10"/>
          <w:w w:val="95"/>
          <w:sz w:val="17"/>
          <w:lang w:val="uk-UA"/>
        </w:rPr>
        <w:t>1</w:t>
      </w:r>
    </w:p>
    <w:p w14:paraId="2C6C0FF0" w14:textId="77777777" w:rsidR="00E05B98" w:rsidRPr="003C6DAE" w:rsidRDefault="00B01E0C">
      <w:pPr>
        <w:tabs>
          <w:tab w:val="left" w:pos="604"/>
        </w:tabs>
        <w:spacing w:before="34"/>
        <w:ind w:left="302"/>
        <w:rPr>
          <w:rFonts w:ascii="Trebuchet MS"/>
          <w:sz w:val="17"/>
          <w:lang w:val="uk-UA"/>
        </w:rPr>
      </w:pPr>
      <w:r w:rsidRPr="003C6DAE">
        <w:rPr>
          <w:rFonts w:ascii="Trebuchet MS"/>
          <w:spacing w:val="-10"/>
          <w:w w:val="95"/>
          <w:sz w:val="17"/>
          <w:lang w:val="uk-UA"/>
        </w:rPr>
        <w:t>4</w:t>
      </w:r>
      <w:r w:rsidRPr="003C6DAE">
        <w:rPr>
          <w:rFonts w:ascii="Trebuchet MS"/>
          <w:sz w:val="17"/>
          <w:lang w:val="uk-UA"/>
        </w:rPr>
        <w:tab/>
      </w:r>
      <w:r w:rsidRPr="003C6DAE">
        <w:rPr>
          <w:rFonts w:ascii="Trebuchet MS"/>
          <w:spacing w:val="-10"/>
          <w:w w:val="95"/>
          <w:sz w:val="17"/>
          <w:lang w:val="uk-UA"/>
        </w:rPr>
        <w:t>9</w:t>
      </w:r>
    </w:p>
    <w:p w14:paraId="48AC2C6D" w14:textId="77777777" w:rsidR="00E05B98" w:rsidRPr="003C6DAE" w:rsidRDefault="00B01E0C">
      <w:pPr>
        <w:spacing w:before="34"/>
        <w:ind w:left="302"/>
        <w:rPr>
          <w:rFonts w:ascii="Trebuchet MS"/>
          <w:sz w:val="17"/>
          <w:lang w:val="uk-UA"/>
        </w:rPr>
      </w:pPr>
      <w:r w:rsidRPr="003C6DAE">
        <w:rPr>
          <w:rFonts w:ascii="Trebuchet MS"/>
          <w:w w:val="95"/>
          <w:sz w:val="17"/>
          <w:lang w:val="uk-UA"/>
        </w:rPr>
        <w:t>3</w:t>
      </w:r>
      <w:r w:rsidRPr="003C6DAE">
        <w:rPr>
          <w:rFonts w:ascii="Trebuchet MS"/>
          <w:spacing w:val="58"/>
          <w:w w:val="150"/>
          <w:sz w:val="17"/>
          <w:lang w:val="uk-UA"/>
        </w:rPr>
        <w:t xml:space="preserve"> </w:t>
      </w:r>
      <w:r w:rsidRPr="003C6DAE">
        <w:rPr>
          <w:rFonts w:ascii="Trebuchet MS"/>
          <w:spacing w:val="-7"/>
          <w:w w:val="90"/>
          <w:sz w:val="17"/>
          <w:lang w:val="uk-UA"/>
        </w:rPr>
        <w:t>10</w:t>
      </w:r>
    </w:p>
    <w:p w14:paraId="10311AF5" w14:textId="77777777" w:rsidR="00E05B98" w:rsidRPr="003C6DAE" w:rsidRDefault="00B01E0C">
      <w:pPr>
        <w:tabs>
          <w:tab w:val="left" w:pos="604"/>
        </w:tabs>
        <w:spacing w:before="35"/>
        <w:ind w:left="222"/>
        <w:rPr>
          <w:rFonts w:ascii="Trebuchet MS"/>
          <w:sz w:val="17"/>
          <w:lang w:val="uk-UA"/>
        </w:rPr>
      </w:pPr>
      <w:r w:rsidRPr="003C6DAE">
        <w:rPr>
          <w:rFonts w:ascii="Trebuchet MS"/>
          <w:spacing w:val="-5"/>
          <w:w w:val="95"/>
          <w:sz w:val="17"/>
          <w:lang w:val="uk-UA"/>
        </w:rPr>
        <w:t>10</w:t>
      </w:r>
      <w:r w:rsidRPr="003C6DAE">
        <w:rPr>
          <w:rFonts w:ascii="Trebuchet MS"/>
          <w:sz w:val="17"/>
          <w:lang w:val="uk-UA"/>
        </w:rPr>
        <w:tab/>
      </w:r>
      <w:r w:rsidRPr="003C6DAE">
        <w:rPr>
          <w:rFonts w:ascii="Trebuchet MS"/>
          <w:spacing w:val="-10"/>
          <w:w w:val="95"/>
          <w:sz w:val="17"/>
          <w:lang w:val="uk-UA"/>
        </w:rPr>
        <w:t>0</w:t>
      </w:r>
    </w:p>
    <w:p w14:paraId="46E3D5D0" w14:textId="77777777" w:rsidR="00E05B98" w:rsidRPr="003C6DAE" w:rsidRDefault="00B01E0C">
      <w:pPr>
        <w:tabs>
          <w:tab w:val="left" w:pos="604"/>
        </w:tabs>
        <w:spacing w:before="34"/>
        <w:ind w:left="221"/>
        <w:rPr>
          <w:rFonts w:ascii="Trebuchet MS"/>
          <w:sz w:val="17"/>
          <w:lang w:val="uk-UA"/>
        </w:rPr>
      </w:pPr>
      <w:r w:rsidRPr="003C6DAE">
        <w:rPr>
          <w:rFonts w:ascii="Trebuchet MS"/>
          <w:spacing w:val="-5"/>
          <w:w w:val="95"/>
          <w:sz w:val="17"/>
          <w:lang w:val="uk-UA"/>
        </w:rPr>
        <w:t>13</w:t>
      </w:r>
      <w:r w:rsidRPr="003C6DAE">
        <w:rPr>
          <w:rFonts w:ascii="Trebuchet MS"/>
          <w:sz w:val="17"/>
          <w:lang w:val="uk-UA"/>
        </w:rPr>
        <w:tab/>
      </w:r>
      <w:r w:rsidRPr="003C6DAE">
        <w:rPr>
          <w:rFonts w:ascii="Trebuchet MS"/>
          <w:spacing w:val="-10"/>
          <w:w w:val="95"/>
          <w:sz w:val="17"/>
          <w:lang w:val="uk-UA"/>
        </w:rPr>
        <w:t>6</w:t>
      </w:r>
    </w:p>
    <w:p w14:paraId="2D8E57DE" w14:textId="77777777" w:rsidR="00E05B98" w:rsidRPr="003C6DAE" w:rsidRDefault="00B01E0C">
      <w:pPr>
        <w:tabs>
          <w:tab w:val="left" w:pos="604"/>
        </w:tabs>
        <w:spacing w:before="34"/>
        <w:ind w:left="302"/>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10"/>
          <w:w w:val="95"/>
          <w:sz w:val="17"/>
          <w:lang w:val="uk-UA"/>
        </w:rPr>
        <w:t>0</w:t>
      </w:r>
    </w:p>
    <w:p w14:paraId="48CDA82E" w14:textId="77777777" w:rsidR="00E05B98" w:rsidRPr="003C6DAE" w:rsidRDefault="00B01E0C">
      <w:pPr>
        <w:spacing w:before="106"/>
        <w:ind w:left="79"/>
        <w:rPr>
          <w:rFonts w:ascii="Trebuchet MS"/>
          <w:sz w:val="17"/>
          <w:lang w:val="uk-UA"/>
        </w:rPr>
      </w:pPr>
      <w:r w:rsidRPr="003C6DAE">
        <w:rPr>
          <w:lang w:val="uk-UA"/>
        </w:rPr>
        <w:br w:type="column"/>
      </w:r>
      <w:r w:rsidRPr="003C6DAE">
        <w:rPr>
          <w:rFonts w:ascii="Trebuchet MS"/>
          <w:color w:val="333333"/>
          <w:w w:val="90"/>
          <w:sz w:val="17"/>
          <w:lang w:val="uk-UA"/>
        </w:rPr>
        <w:t>FN</w:t>
      </w:r>
      <w:r w:rsidRPr="003C6DAE">
        <w:rPr>
          <w:rFonts w:ascii="Trebuchet MS"/>
          <w:color w:val="333333"/>
          <w:spacing w:val="32"/>
          <w:sz w:val="17"/>
          <w:lang w:val="uk-UA"/>
        </w:rPr>
        <w:t xml:space="preserve">  </w:t>
      </w:r>
      <w:r w:rsidRPr="003C6DAE">
        <w:rPr>
          <w:rFonts w:ascii="Trebuchet MS"/>
          <w:color w:val="333333"/>
          <w:spacing w:val="-7"/>
          <w:w w:val="90"/>
          <w:sz w:val="17"/>
          <w:lang w:val="uk-UA"/>
        </w:rPr>
        <w:t>TN</w:t>
      </w:r>
      <w:r w:rsidRPr="003C6DAE">
        <w:rPr>
          <w:rFonts w:ascii="Trebuchet MS"/>
          <w:color w:val="333333"/>
          <w:w w:val="90"/>
          <w:sz w:val="17"/>
          <w:lang w:val="uk-UA"/>
        </w:rPr>
        <w:t xml:space="preserve"> </w:t>
      </w:r>
    </w:p>
    <w:p w14:paraId="14B9BFF6" w14:textId="77777777" w:rsidR="00E05B98" w:rsidRPr="003C6DAE" w:rsidRDefault="00B01E0C">
      <w:pPr>
        <w:tabs>
          <w:tab w:val="left" w:pos="448"/>
        </w:tabs>
        <w:spacing w:before="65"/>
        <w:ind w:left="167"/>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5"/>
          <w:w w:val="95"/>
          <w:sz w:val="17"/>
          <w:lang w:val="uk-UA"/>
        </w:rPr>
        <w:t>59</w:t>
      </w:r>
    </w:p>
    <w:p w14:paraId="3505EC47" w14:textId="77777777" w:rsidR="00E05B98" w:rsidRPr="003C6DAE" w:rsidRDefault="00B01E0C">
      <w:pPr>
        <w:tabs>
          <w:tab w:val="left" w:pos="448"/>
        </w:tabs>
        <w:spacing w:before="34"/>
        <w:ind w:left="167"/>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5"/>
          <w:w w:val="95"/>
          <w:sz w:val="17"/>
          <w:lang w:val="uk-UA"/>
        </w:rPr>
        <w:t>84</w:t>
      </w:r>
    </w:p>
    <w:p w14:paraId="3F462434" w14:textId="77777777" w:rsidR="00E05B98" w:rsidRPr="003C6DAE" w:rsidRDefault="00B01E0C">
      <w:pPr>
        <w:tabs>
          <w:tab w:val="left" w:pos="529"/>
        </w:tabs>
        <w:spacing w:before="34"/>
        <w:ind w:left="167"/>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10"/>
          <w:w w:val="95"/>
          <w:sz w:val="17"/>
          <w:lang w:val="uk-UA"/>
        </w:rPr>
        <w:t>6</w:t>
      </w:r>
    </w:p>
    <w:p w14:paraId="00E7B284" w14:textId="77777777" w:rsidR="00E05B98" w:rsidRPr="003C6DAE" w:rsidRDefault="00B01E0C">
      <w:pPr>
        <w:spacing w:before="35"/>
        <w:ind w:left="167"/>
        <w:rPr>
          <w:rFonts w:ascii="Trebuchet MS"/>
          <w:sz w:val="17"/>
          <w:lang w:val="uk-UA"/>
        </w:rPr>
      </w:pPr>
      <w:r w:rsidRPr="003C6DAE">
        <w:rPr>
          <w:rFonts w:ascii="Trebuchet MS"/>
          <w:w w:val="95"/>
          <w:sz w:val="17"/>
          <w:lang w:val="uk-UA"/>
        </w:rPr>
        <w:t>5</w:t>
      </w:r>
      <w:r w:rsidRPr="003C6DAE">
        <w:rPr>
          <w:rFonts w:ascii="Trebuchet MS"/>
          <w:spacing w:val="64"/>
          <w:sz w:val="17"/>
          <w:lang w:val="uk-UA"/>
        </w:rPr>
        <w:t xml:space="preserve"> </w:t>
      </w:r>
      <w:r w:rsidRPr="003C6DAE">
        <w:rPr>
          <w:rFonts w:ascii="Trebuchet MS"/>
          <w:spacing w:val="-5"/>
          <w:w w:val="90"/>
          <w:sz w:val="17"/>
          <w:lang w:val="uk-UA"/>
        </w:rPr>
        <w:t>127</w:t>
      </w:r>
    </w:p>
    <w:p w14:paraId="53B81A57" w14:textId="77777777" w:rsidR="00E05B98" w:rsidRPr="003C6DAE" w:rsidRDefault="00B01E0C">
      <w:pPr>
        <w:tabs>
          <w:tab w:val="left" w:pos="448"/>
        </w:tabs>
        <w:spacing w:before="34"/>
        <w:ind w:left="167"/>
        <w:rPr>
          <w:rFonts w:ascii="Trebuchet MS"/>
          <w:sz w:val="17"/>
          <w:lang w:val="uk-UA"/>
        </w:rPr>
      </w:pPr>
      <w:r w:rsidRPr="003C6DAE">
        <w:rPr>
          <w:rFonts w:ascii="Trebuchet MS"/>
          <w:spacing w:val="-10"/>
          <w:w w:val="95"/>
          <w:sz w:val="17"/>
          <w:lang w:val="uk-UA"/>
        </w:rPr>
        <w:t>9</w:t>
      </w:r>
      <w:r w:rsidRPr="003C6DAE">
        <w:rPr>
          <w:rFonts w:ascii="Trebuchet MS"/>
          <w:sz w:val="17"/>
          <w:lang w:val="uk-UA"/>
        </w:rPr>
        <w:tab/>
      </w:r>
      <w:r w:rsidRPr="003C6DAE">
        <w:rPr>
          <w:rFonts w:ascii="Trebuchet MS"/>
          <w:spacing w:val="-5"/>
          <w:w w:val="95"/>
          <w:sz w:val="17"/>
          <w:lang w:val="uk-UA"/>
        </w:rPr>
        <w:t>83</w:t>
      </w:r>
    </w:p>
    <w:p w14:paraId="58D751C6" w14:textId="77777777" w:rsidR="00E05B98" w:rsidRPr="003C6DAE" w:rsidRDefault="00B01E0C">
      <w:pPr>
        <w:tabs>
          <w:tab w:val="left" w:pos="448"/>
        </w:tabs>
        <w:spacing w:before="34"/>
        <w:ind w:left="86"/>
        <w:rPr>
          <w:rFonts w:ascii="Trebuchet MS"/>
          <w:sz w:val="17"/>
          <w:lang w:val="uk-UA"/>
        </w:rPr>
      </w:pPr>
      <w:r w:rsidRPr="003C6DAE">
        <w:rPr>
          <w:rFonts w:ascii="Trebuchet MS"/>
          <w:spacing w:val="-5"/>
          <w:w w:val="95"/>
          <w:sz w:val="17"/>
          <w:lang w:val="uk-UA"/>
        </w:rPr>
        <w:t>11</w:t>
      </w:r>
      <w:r w:rsidRPr="003C6DAE">
        <w:rPr>
          <w:rFonts w:ascii="Trebuchet MS"/>
          <w:sz w:val="17"/>
          <w:lang w:val="uk-UA"/>
        </w:rPr>
        <w:tab/>
      </w:r>
      <w:r w:rsidRPr="003C6DAE">
        <w:rPr>
          <w:rFonts w:ascii="Trebuchet MS"/>
          <w:spacing w:val="-5"/>
          <w:w w:val="95"/>
          <w:sz w:val="17"/>
          <w:lang w:val="uk-UA"/>
        </w:rPr>
        <w:t>33</w:t>
      </w:r>
    </w:p>
    <w:p w14:paraId="5768F9E3" w14:textId="77777777" w:rsidR="00E05B98" w:rsidRPr="003C6DAE" w:rsidRDefault="00B01E0C">
      <w:pPr>
        <w:tabs>
          <w:tab w:val="left" w:pos="448"/>
        </w:tabs>
        <w:spacing w:before="34"/>
        <w:ind w:left="167"/>
        <w:rPr>
          <w:rFonts w:ascii="Trebuchet MS"/>
          <w:sz w:val="17"/>
          <w:lang w:val="uk-UA"/>
        </w:rPr>
      </w:pPr>
      <w:r w:rsidRPr="003C6DAE">
        <w:rPr>
          <w:rFonts w:ascii="Trebuchet MS"/>
          <w:spacing w:val="-10"/>
          <w:w w:val="95"/>
          <w:sz w:val="17"/>
          <w:lang w:val="uk-UA"/>
        </w:rPr>
        <w:t>6</w:t>
      </w:r>
      <w:r w:rsidRPr="003C6DAE">
        <w:rPr>
          <w:rFonts w:ascii="Trebuchet MS"/>
          <w:sz w:val="17"/>
          <w:lang w:val="uk-UA"/>
        </w:rPr>
        <w:tab/>
      </w:r>
      <w:r w:rsidRPr="003C6DAE">
        <w:rPr>
          <w:rFonts w:ascii="Trebuchet MS"/>
          <w:spacing w:val="-5"/>
          <w:w w:val="95"/>
          <w:sz w:val="17"/>
          <w:lang w:val="uk-UA"/>
        </w:rPr>
        <w:t>72</w:t>
      </w:r>
    </w:p>
    <w:p w14:paraId="714754F3" w14:textId="77777777" w:rsidR="00E05B98" w:rsidRPr="003C6DAE" w:rsidRDefault="00B01E0C">
      <w:pPr>
        <w:tabs>
          <w:tab w:val="left" w:pos="448"/>
        </w:tabs>
        <w:spacing w:before="35"/>
        <w:ind w:left="167"/>
        <w:rPr>
          <w:rFonts w:ascii="Trebuchet MS"/>
          <w:sz w:val="17"/>
          <w:lang w:val="uk-UA"/>
        </w:rPr>
      </w:pPr>
      <w:r w:rsidRPr="003C6DAE">
        <w:rPr>
          <w:rFonts w:ascii="Trebuchet MS"/>
          <w:spacing w:val="-10"/>
          <w:w w:val="95"/>
          <w:sz w:val="17"/>
          <w:lang w:val="uk-UA"/>
        </w:rPr>
        <w:t>3</w:t>
      </w:r>
      <w:r w:rsidRPr="003C6DAE">
        <w:rPr>
          <w:rFonts w:ascii="Trebuchet MS"/>
          <w:sz w:val="17"/>
          <w:lang w:val="uk-UA"/>
        </w:rPr>
        <w:tab/>
      </w:r>
      <w:r w:rsidRPr="003C6DAE">
        <w:rPr>
          <w:rFonts w:ascii="Trebuchet MS"/>
          <w:spacing w:val="-5"/>
          <w:w w:val="95"/>
          <w:sz w:val="17"/>
          <w:lang w:val="uk-UA"/>
        </w:rPr>
        <w:t>67</w:t>
      </w:r>
    </w:p>
    <w:p w14:paraId="5892E629" w14:textId="77777777" w:rsidR="00E05B98" w:rsidRPr="003C6DAE" w:rsidRDefault="00B01E0C">
      <w:pPr>
        <w:tabs>
          <w:tab w:val="left" w:pos="448"/>
        </w:tabs>
        <w:spacing w:before="34"/>
        <w:ind w:left="167"/>
        <w:rPr>
          <w:rFonts w:ascii="Trebuchet MS"/>
          <w:sz w:val="17"/>
          <w:lang w:val="uk-UA"/>
        </w:rPr>
      </w:pPr>
      <w:r w:rsidRPr="003C6DAE">
        <w:rPr>
          <w:rFonts w:ascii="Trebuchet MS"/>
          <w:spacing w:val="-10"/>
          <w:w w:val="95"/>
          <w:sz w:val="17"/>
          <w:lang w:val="uk-UA"/>
        </w:rPr>
        <w:t>2</w:t>
      </w:r>
      <w:r w:rsidRPr="003C6DAE">
        <w:rPr>
          <w:rFonts w:ascii="Trebuchet MS"/>
          <w:sz w:val="17"/>
          <w:lang w:val="uk-UA"/>
        </w:rPr>
        <w:tab/>
      </w:r>
      <w:r w:rsidRPr="003C6DAE">
        <w:rPr>
          <w:rFonts w:ascii="Trebuchet MS"/>
          <w:spacing w:val="-5"/>
          <w:w w:val="95"/>
          <w:sz w:val="17"/>
          <w:lang w:val="uk-UA"/>
        </w:rPr>
        <w:t>65</w:t>
      </w:r>
    </w:p>
    <w:p w14:paraId="1694A4B7" w14:textId="77777777" w:rsidR="00E05B98" w:rsidRPr="003C6DAE" w:rsidRDefault="00B01E0C">
      <w:pPr>
        <w:tabs>
          <w:tab w:val="left" w:pos="448"/>
        </w:tabs>
        <w:spacing w:before="34"/>
        <w:ind w:left="167"/>
        <w:rPr>
          <w:rFonts w:ascii="Trebuchet MS"/>
          <w:sz w:val="17"/>
          <w:lang w:val="uk-UA"/>
        </w:rPr>
      </w:pPr>
      <w:r w:rsidRPr="003C6DAE">
        <w:rPr>
          <w:rFonts w:ascii="Trebuchet MS"/>
          <w:spacing w:val="-10"/>
          <w:w w:val="95"/>
          <w:sz w:val="17"/>
          <w:lang w:val="uk-UA"/>
        </w:rPr>
        <w:t>3</w:t>
      </w:r>
      <w:r w:rsidRPr="003C6DAE">
        <w:rPr>
          <w:rFonts w:ascii="Trebuchet MS"/>
          <w:sz w:val="17"/>
          <w:lang w:val="uk-UA"/>
        </w:rPr>
        <w:tab/>
      </w:r>
      <w:r w:rsidRPr="003C6DAE">
        <w:rPr>
          <w:rFonts w:ascii="Trebuchet MS"/>
          <w:spacing w:val="-5"/>
          <w:w w:val="95"/>
          <w:sz w:val="17"/>
          <w:lang w:val="uk-UA"/>
        </w:rPr>
        <w:t>45</w:t>
      </w:r>
    </w:p>
    <w:p w14:paraId="5F7FB095" w14:textId="77777777" w:rsidR="00E05B98" w:rsidRPr="003C6DAE" w:rsidRDefault="00B01E0C">
      <w:pPr>
        <w:tabs>
          <w:tab w:val="left" w:pos="529"/>
        </w:tabs>
        <w:spacing w:before="35"/>
        <w:ind w:left="86"/>
        <w:rPr>
          <w:rFonts w:ascii="Trebuchet MS"/>
          <w:sz w:val="17"/>
          <w:lang w:val="uk-UA"/>
        </w:rPr>
      </w:pPr>
      <w:r w:rsidRPr="003C6DAE">
        <w:rPr>
          <w:rFonts w:ascii="Trebuchet MS"/>
          <w:spacing w:val="-5"/>
          <w:w w:val="95"/>
          <w:sz w:val="17"/>
          <w:lang w:val="uk-UA"/>
        </w:rPr>
        <w:t>11</w:t>
      </w:r>
      <w:r w:rsidRPr="003C6DAE">
        <w:rPr>
          <w:rFonts w:ascii="Trebuchet MS"/>
          <w:sz w:val="17"/>
          <w:lang w:val="uk-UA"/>
        </w:rPr>
        <w:tab/>
      </w:r>
      <w:r w:rsidRPr="003C6DAE">
        <w:rPr>
          <w:rFonts w:ascii="Trebuchet MS"/>
          <w:spacing w:val="-10"/>
          <w:w w:val="95"/>
          <w:sz w:val="17"/>
          <w:lang w:val="uk-UA"/>
        </w:rPr>
        <w:t>3</w:t>
      </w:r>
    </w:p>
    <w:p w14:paraId="40A6357F" w14:textId="77777777" w:rsidR="00E05B98" w:rsidRPr="003C6DAE" w:rsidRDefault="00B01E0C">
      <w:pPr>
        <w:tabs>
          <w:tab w:val="left" w:pos="529"/>
        </w:tabs>
        <w:spacing w:before="34"/>
        <w:ind w:left="86"/>
        <w:rPr>
          <w:rFonts w:ascii="Trebuchet MS"/>
          <w:sz w:val="17"/>
          <w:lang w:val="uk-UA"/>
        </w:rPr>
      </w:pPr>
      <w:r w:rsidRPr="003C6DAE">
        <w:rPr>
          <w:rFonts w:ascii="Trebuchet MS"/>
          <w:spacing w:val="-5"/>
          <w:w w:val="95"/>
          <w:sz w:val="17"/>
          <w:lang w:val="uk-UA"/>
        </w:rPr>
        <w:t>22</w:t>
      </w:r>
      <w:r w:rsidRPr="003C6DAE">
        <w:rPr>
          <w:rFonts w:ascii="Trebuchet MS"/>
          <w:sz w:val="17"/>
          <w:lang w:val="uk-UA"/>
        </w:rPr>
        <w:tab/>
      </w:r>
      <w:r w:rsidRPr="003C6DAE">
        <w:rPr>
          <w:rFonts w:ascii="Trebuchet MS"/>
          <w:spacing w:val="-10"/>
          <w:w w:val="95"/>
          <w:sz w:val="17"/>
          <w:lang w:val="uk-UA"/>
        </w:rPr>
        <w:t>8</w:t>
      </w:r>
    </w:p>
    <w:p w14:paraId="435F1C28" w14:textId="77777777" w:rsidR="00E05B98" w:rsidRPr="003C6DAE" w:rsidRDefault="00B01E0C">
      <w:pPr>
        <w:tabs>
          <w:tab w:val="left" w:pos="448"/>
        </w:tabs>
        <w:spacing w:before="34"/>
        <w:ind w:left="167"/>
        <w:rPr>
          <w:rFonts w:ascii="Trebuchet MS"/>
          <w:sz w:val="17"/>
          <w:lang w:val="uk-UA"/>
        </w:rPr>
      </w:pPr>
      <w:r w:rsidRPr="003C6DAE">
        <w:rPr>
          <w:rFonts w:ascii="Trebuchet MS"/>
          <w:spacing w:val="-10"/>
          <w:w w:val="95"/>
          <w:sz w:val="17"/>
          <w:lang w:val="uk-UA"/>
        </w:rPr>
        <w:t>1</w:t>
      </w:r>
      <w:r w:rsidRPr="003C6DAE">
        <w:rPr>
          <w:rFonts w:ascii="Trebuchet MS"/>
          <w:sz w:val="17"/>
          <w:lang w:val="uk-UA"/>
        </w:rPr>
        <w:tab/>
      </w:r>
      <w:r w:rsidRPr="003C6DAE">
        <w:rPr>
          <w:rFonts w:ascii="Trebuchet MS"/>
          <w:spacing w:val="-5"/>
          <w:w w:val="95"/>
          <w:sz w:val="17"/>
          <w:lang w:val="uk-UA"/>
        </w:rPr>
        <w:t>12</w:t>
      </w:r>
    </w:p>
    <w:p w14:paraId="32C80E43" w14:textId="34DDB90B" w:rsidR="00E05B98" w:rsidRPr="003C6DAE" w:rsidRDefault="00B01E0C" w:rsidP="00B06A43">
      <w:pPr>
        <w:spacing w:before="106"/>
        <w:jc w:val="center"/>
        <w:rPr>
          <w:rFonts w:ascii="Trebuchet MS"/>
          <w:sz w:val="17"/>
          <w:lang w:val="uk-UA"/>
        </w:rPr>
      </w:pPr>
      <w:r w:rsidRPr="003C6DAE">
        <w:rPr>
          <w:lang w:val="uk-UA"/>
        </w:rPr>
        <w:br w:type="column"/>
      </w:r>
      <w:r w:rsidR="0099259A" w:rsidRPr="003C6DAE">
        <w:rPr>
          <w:rFonts w:ascii="Trebuchet MS"/>
          <w:color w:val="333333"/>
          <w:w w:val="80"/>
          <w:sz w:val="17"/>
          <w:lang w:val="uk-UA"/>
        </w:rPr>
        <w:t>Чутливість</w:t>
      </w:r>
      <w:r w:rsidRPr="003C6DAE">
        <w:rPr>
          <w:rFonts w:ascii="Trebuchet MS"/>
          <w:color w:val="333333"/>
          <w:spacing w:val="20"/>
          <w:sz w:val="17"/>
          <w:lang w:val="uk-UA"/>
        </w:rPr>
        <w:t xml:space="preserve"> </w:t>
      </w:r>
      <w:r w:rsidRPr="003C6DAE">
        <w:rPr>
          <w:rFonts w:ascii="Trebuchet MS"/>
          <w:color w:val="333333"/>
          <w:w w:val="80"/>
          <w:sz w:val="17"/>
          <w:lang w:val="uk-UA"/>
        </w:rPr>
        <w:t>(95%</w:t>
      </w:r>
      <w:r w:rsidRPr="003C6DAE">
        <w:rPr>
          <w:rFonts w:ascii="Trebuchet MS"/>
          <w:color w:val="333333"/>
          <w:spacing w:val="24"/>
          <w:sz w:val="17"/>
          <w:lang w:val="uk-UA"/>
        </w:rPr>
        <w:t xml:space="preserve"> </w:t>
      </w:r>
      <w:r w:rsidR="0099259A" w:rsidRPr="003C6DAE">
        <w:rPr>
          <w:rFonts w:ascii="Trebuchet MS"/>
          <w:color w:val="333333"/>
          <w:w w:val="80"/>
          <w:sz w:val="17"/>
          <w:lang w:val="uk-UA"/>
        </w:rPr>
        <w:t>ДІ</w:t>
      </w:r>
      <w:r w:rsidRPr="003C6DAE">
        <w:rPr>
          <w:rFonts w:ascii="Trebuchet MS"/>
          <w:color w:val="333333"/>
          <w:spacing w:val="-5"/>
          <w:w w:val="80"/>
          <w:sz w:val="17"/>
          <w:lang w:val="uk-UA"/>
        </w:rPr>
        <w:t>)</w:t>
      </w:r>
    </w:p>
    <w:p w14:paraId="3FD7F11D" w14:textId="77777777" w:rsidR="00E05B98" w:rsidRPr="003C6DAE" w:rsidRDefault="00B01E0C">
      <w:pPr>
        <w:spacing w:before="65"/>
        <w:ind w:left="342"/>
        <w:rPr>
          <w:rFonts w:ascii="Trebuchet MS"/>
          <w:sz w:val="17"/>
          <w:lang w:val="uk-UA"/>
        </w:rPr>
      </w:pPr>
      <w:r w:rsidRPr="003C6DAE">
        <w:rPr>
          <w:rFonts w:ascii="Trebuchet MS"/>
          <w:w w:val="75"/>
          <w:sz w:val="17"/>
          <w:lang w:val="uk-UA"/>
        </w:rPr>
        <w:t>1.00</w:t>
      </w:r>
      <w:r w:rsidRPr="003C6DAE">
        <w:rPr>
          <w:rFonts w:ascii="Trebuchet MS"/>
          <w:spacing w:val="6"/>
          <w:sz w:val="17"/>
          <w:lang w:val="uk-UA"/>
        </w:rPr>
        <w:t xml:space="preserve"> </w:t>
      </w:r>
      <w:r w:rsidRPr="003C6DAE">
        <w:rPr>
          <w:rFonts w:ascii="Trebuchet MS"/>
          <w:w w:val="75"/>
          <w:sz w:val="17"/>
          <w:lang w:val="uk-UA"/>
        </w:rPr>
        <w:t>[0.74,</w:t>
      </w:r>
      <w:r w:rsidRPr="003C6DAE">
        <w:rPr>
          <w:rFonts w:ascii="Trebuchet MS"/>
          <w:spacing w:val="11"/>
          <w:sz w:val="17"/>
          <w:lang w:val="uk-UA"/>
        </w:rPr>
        <w:t xml:space="preserve"> </w:t>
      </w:r>
      <w:r w:rsidRPr="003C6DAE">
        <w:rPr>
          <w:rFonts w:ascii="Trebuchet MS"/>
          <w:spacing w:val="-2"/>
          <w:w w:val="75"/>
          <w:sz w:val="17"/>
          <w:lang w:val="uk-UA"/>
        </w:rPr>
        <w:t>1.00]</w:t>
      </w:r>
    </w:p>
    <w:p w14:paraId="5A49B808" w14:textId="77777777" w:rsidR="00E05B98" w:rsidRPr="003C6DAE" w:rsidRDefault="00B01E0C">
      <w:pPr>
        <w:spacing w:before="34"/>
        <w:ind w:left="343"/>
        <w:rPr>
          <w:rFonts w:ascii="Trebuchet MS"/>
          <w:sz w:val="17"/>
          <w:lang w:val="uk-UA"/>
        </w:rPr>
      </w:pPr>
      <w:r w:rsidRPr="003C6DAE">
        <w:rPr>
          <w:rFonts w:ascii="Trebuchet MS"/>
          <w:w w:val="75"/>
          <w:sz w:val="17"/>
          <w:lang w:val="uk-UA"/>
        </w:rPr>
        <w:t>1.00</w:t>
      </w:r>
      <w:r w:rsidRPr="003C6DAE">
        <w:rPr>
          <w:rFonts w:ascii="Trebuchet MS"/>
          <w:spacing w:val="6"/>
          <w:sz w:val="17"/>
          <w:lang w:val="uk-UA"/>
        </w:rPr>
        <w:t xml:space="preserve"> </w:t>
      </w:r>
      <w:r w:rsidRPr="003C6DAE">
        <w:rPr>
          <w:rFonts w:ascii="Trebuchet MS"/>
          <w:w w:val="75"/>
          <w:sz w:val="17"/>
          <w:lang w:val="uk-UA"/>
        </w:rPr>
        <w:t>[0.29,</w:t>
      </w:r>
      <w:r w:rsidRPr="003C6DAE">
        <w:rPr>
          <w:rFonts w:ascii="Trebuchet MS"/>
          <w:spacing w:val="11"/>
          <w:sz w:val="17"/>
          <w:lang w:val="uk-UA"/>
        </w:rPr>
        <w:t xml:space="preserve"> </w:t>
      </w:r>
      <w:r w:rsidRPr="003C6DAE">
        <w:rPr>
          <w:rFonts w:ascii="Trebuchet MS"/>
          <w:spacing w:val="-2"/>
          <w:w w:val="75"/>
          <w:sz w:val="17"/>
          <w:lang w:val="uk-UA"/>
        </w:rPr>
        <w:t>1.00]</w:t>
      </w:r>
    </w:p>
    <w:p w14:paraId="5925E438" w14:textId="77777777" w:rsidR="00E05B98" w:rsidRPr="003C6DAE" w:rsidRDefault="00B01E0C">
      <w:pPr>
        <w:spacing w:before="34"/>
        <w:ind w:left="343"/>
        <w:rPr>
          <w:rFonts w:ascii="Trebuchet MS"/>
          <w:sz w:val="17"/>
          <w:lang w:val="uk-UA"/>
        </w:rPr>
      </w:pPr>
      <w:r w:rsidRPr="003C6DAE">
        <w:rPr>
          <w:rFonts w:ascii="Trebuchet MS"/>
          <w:w w:val="75"/>
          <w:sz w:val="17"/>
          <w:lang w:val="uk-UA"/>
        </w:rPr>
        <w:t>1.00</w:t>
      </w:r>
      <w:r w:rsidRPr="003C6DAE">
        <w:rPr>
          <w:rFonts w:ascii="Trebuchet MS"/>
          <w:spacing w:val="6"/>
          <w:sz w:val="17"/>
          <w:lang w:val="uk-UA"/>
        </w:rPr>
        <w:t xml:space="preserve"> </w:t>
      </w:r>
      <w:r w:rsidRPr="003C6DAE">
        <w:rPr>
          <w:rFonts w:ascii="Trebuchet MS"/>
          <w:w w:val="75"/>
          <w:sz w:val="17"/>
          <w:lang w:val="uk-UA"/>
        </w:rPr>
        <w:t>[0.29,</w:t>
      </w:r>
      <w:r w:rsidRPr="003C6DAE">
        <w:rPr>
          <w:rFonts w:ascii="Trebuchet MS"/>
          <w:spacing w:val="11"/>
          <w:sz w:val="17"/>
          <w:lang w:val="uk-UA"/>
        </w:rPr>
        <w:t xml:space="preserve"> </w:t>
      </w:r>
      <w:r w:rsidRPr="003C6DAE">
        <w:rPr>
          <w:rFonts w:ascii="Trebuchet MS"/>
          <w:spacing w:val="-2"/>
          <w:w w:val="75"/>
          <w:sz w:val="17"/>
          <w:lang w:val="uk-UA"/>
        </w:rPr>
        <w:t>1.00]</w:t>
      </w:r>
    </w:p>
    <w:p w14:paraId="1DB125F7" w14:textId="77777777" w:rsidR="00E05B98" w:rsidRPr="003C6DAE" w:rsidRDefault="00B01E0C">
      <w:pPr>
        <w:spacing w:before="35"/>
        <w:ind w:left="343"/>
        <w:rPr>
          <w:rFonts w:ascii="Trebuchet MS"/>
          <w:sz w:val="17"/>
          <w:lang w:val="uk-UA"/>
        </w:rPr>
      </w:pPr>
      <w:r w:rsidRPr="003C6DAE">
        <w:rPr>
          <w:rFonts w:ascii="Trebuchet MS"/>
          <w:w w:val="75"/>
          <w:sz w:val="17"/>
          <w:lang w:val="uk-UA"/>
        </w:rPr>
        <w:t>0.84</w:t>
      </w:r>
      <w:r w:rsidRPr="003C6DAE">
        <w:rPr>
          <w:rFonts w:ascii="Trebuchet MS"/>
          <w:spacing w:val="6"/>
          <w:sz w:val="17"/>
          <w:lang w:val="uk-UA"/>
        </w:rPr>
        <w:t xml:space="preserve"> </w:t>
      </w:r>
      <w:r w:rsidRPr="003C6DAE">
        <w:rPr>
          <w:rFonts w:ascii="Trebuchet MS"/>
          <w:w w:val="75"/>
          <w:sz w:val="17"/>
          <w:lang w:val="uk-UA"/>
        </w:rPr>
        <w:t>[0.66,</w:t>
      </w:r>
      <w:r w:rsidRPr="003C6DAE">
        <w:rPr>
          <w:rFonts w:ascii="Trebuchet MS"/>
          <w:spacing w:val="11"/>
          <w:sz w:val="17"/>
          <w:lang w:val="uk-UA"/>
        </w:rPr>
        <w:t xml:space="preserve"> </w:t>
      </w:r>
      <w:r w:rsidRPr="003C6DAE">
        <w:rPr>
          <w:rFonts w:ascii="Trebuchet MS"/>
          <w:spacing w:val="-2"/>
          <w:w w:val="75"/>
          <w:sz w:val="17"/>
          <w:lang w:val="uk-UA"/>
        </w:rPr>
        <w:t>0.95]</w:t>
      </w:r>
    </w:p>
    <w:p w14:paraId="300A449B" w14:textId="77777777" w:rsidR="00E05B98" w:rsidRPr="003C6DAE" w:rsidRDefault="00B01E0C">
      <w:pPr>
        <w:spacing w:before="34"/>
        <w:ind w:left="343"/>
        <w:rPr>
          <w:rFonts w:ascii="Trebuchet MS"/>
          <w:sz w:val="17"/>
          <w:lang w:val="uk-UA"/>
        </w:rPr>
      </w:pPr>
      <w:r w:rsidRPr="003C6DAE">
        <w:rPr>
          <w:rFonts w:ascii="Trebuchet MS"/>
          <w:w w:val="75"/>
          <w:sz w:val="17"/>
          <w:lang w:val="uk-UA"/>
        </w:rPr>
        <w:t>0.84</w:t>
      </w:r>
      <w:r w:rsidRPr="003C6DAE">
        <w:rPr>
          <w:rFonts w:ascii="Trebuchet MS"/>
          <w:spacing w:val="6"/>
          <w:sz w:val="17"/>
          <w:lang w:val="uk-UA"/>
        </w:rPr>
        <w:t xml:space="preserve"> </w:t>
      </w:r>
      <w:r w:rsidRPr="003C6DAE">
        <w:rPr>
          <w:rFonts w:ascii="Trebuchet MS"/>
          <w:w w:val="75"/>
          <w:sz w:val="17"/>
          <w:lang w:val="uk-UA"/>
        </w:rPr>
        <w:t>[0.71,</w:t>
      </w:r>
      <w:r w:rsidRPr="003C6DAE">
        <w:rPr>
          <w:rFonts w:ascii="Trebuchet MS"/>
          <w:spacing w:val="11"/>
          <w:sz w:val="17"/>
          <w:lang w:val="uk-UA"/>
        </w:rPr>
        <w:t xml:space="preserve"> </w:t>
      </w:r>
      <w:r w:rsidRPr="003C6DAE">
        <w:rPr>
          <w:rFonts w:ascii="Trebuchet MS"/>
          <w:spacing w:val="-2"/>
          <w:w w:val="75"/>
          <w:sz w:val="17"/>
          <w:lang w:val="uk-UA"/>
        </w:rPr>
        <w:t>0.92]</w:t>
      </w:r>
    </w:p>
    <w:p w14:paraId="14F6B9EA" w14:textId="77777777" w:rsidR="00E05B98" w:rsidRPr="003C6DAE" w:rsidRDefault="00B01E0C">
      <w:pPr>
        <w:spacing w:before="34"/>
        <w:ind w:left="343"/>
        <w:rPr>
          <w:rFonts w:ascii="Trebuchet MS"/>
          <w:sz w:val="17"/>
          <w:lang w:val="uk-UA"/>
        </w:rPr>
      </w:pPr>
      <w:r w:rsidRPr="003C6DAE">
        <w:rPr>
          <w:rFonts w:ascii="Trebuchet MS"/>
          <w:w w:val="75"/>
          <w:sz w:val="17"/>
          <w:lang w:val="uk-UA"/>
        </w:rPr>
        <w:t>0.81</w:t>
      </w:r>
      <w:r w:rsidRPr="003C6DAE">
        <w:rPr>
          <w:rFonts w:ascii="Trebuchet MS"/>
          <w:spacing w:val="6"/>
          <w:sz w:val="17"/>
          <w:lang w:val="uk-UA"/>
        </w:rPr>
        <w:t xml:space="preserve"> </w:t>
      </w:r>
      <w:r w:rsidRPr="003C6DAE">
        <w:rPr>
          <w:rFonts w:ascii="Trebuchet MS"/>
          <w:w w:val="75"/>
          <w:sz w:val="17"/>
          <w:lang w:val="uk-UA"/>
        </w:rPr>
        <w:t>[0.69,</w:t>
      </w:r>
      <w:r w:rsidRPr="003C6DAE">
        <w:rPr>
          <w:rFonts w:ascii="Trebuchet MS"/>
          <w:spacing w:val="11"/>
          <w:sz w:val="17"/>
          <w:lang w:val="uk-UA"/>
        </w:rPr>
        <w:t xml:space="preserve"> </w:t>
      </w:r>
      <w:r w:rsidRPr="003C6DAE">
        <w:rPr>
          <w:rFonts w:ascii="Trebuchet MS"/>
          <w:spacing w:val="-2"/>
          <w:w w:val="75"/>
          <w:sz w:val="17"/>
          <w:lang w:val="uk-UA"/>
        </w:rPr>
        <w:t>0.90]</w:t>
      </w:r>
    </w:p>
    <w:p w14:paraId="5847040C" w14:textId="77777777" w:rsidR="00E05B98" w:rsidRPr="003C6DAE" w:rsidRDefault="00B01E0C">
      <w:pPr>
        <w:spacing w:before="34"/>
        <w:ind w:left="343"/>
        <w:rPr>
          <w:rFonts w:ascii="Trebuchet MS"/>
          <w:sz w:val="17"/>
          <w:lang w:val="uk-UA"/>
        </w:rPr>
      </w:pPr>
      <w:r w:rsidRPr="003C6DAE">
        <w:rPr>
          <w:rFonts w:ascii="Trebuchet MS"/>
          <w:w w:val="75"/>
          <w:sz w:val="17"/>
          <w:lang w:val="uk-UA"/>
        </w:rPr>
        <w:t>0.74</w:t>
      </w:r>
      <w:r w:rsidRPr="003C6DAE">
        <w:rPr>
          <w:rFonts w:ascii="Trebuchet MS"/>
          <w:spacing w:val="6"/>
          <w:sz w:val="17"/>
          <w:lang w:val="uk-UA"/>
        </w:rPr>
        <w:t xml:space="preserve"> </w:t>
      </w:r>
      <w:r w:rsidRPr="003C6DAE">
        <w:rPr>
          <w:rFonts w:ascii="Trebuchet MS"/>
          <w:w w:val="75"/>
          <w:sz w:val="17"/>
          <w:lang w:val="uk-UA"/>
        </w:rPr>
        <w:t>[0.52,</w:t>
      </w:r>
      <w:r w:rsidRPr="003C6DAE">
        <w:rPr>
          <w:rFonts w:ascii="Trebuchet MS"/>
          <w:spacing w:val="11"/>
          <w:sz w:val="17"/>
          <w:lang w:val="uk-UA"/>
        </w:rPr>
        <w:t xml:space="preserve"> </w:t>
      </w:r>
      <w:r w:rsidRPr="003C6DAE">
        <w:rPr>
          <w:rFonts w:ascii="Trebuchet MS"/>
          <w:spacing w:val="-2"/>
          <w:w w:val="75"/>
          <w:sz w:val="17"/>
          <w:lang w:val="uk-UA"/>
        </w:rPr>
        <w:t>0.90]</w:t>
      </w:r>
    </w:p>
    <w:p w14:paraId="3773297C" w14:textId="77777777" w:rsidR="00E05B98" w:rsidRPr="003C6DAE" w:rsidRDefault="00B01E0C">
      <w:pPr>
        <w:spacing w:before="35"/>
        <w:ind w:left="343"/>
        <w:rPr>
          <w:rFonts w:ascii="Trebuchet MS"/>
          <w:sz w:val="17"/>
          <w:lang w:val="uk-UA"/>
        </w:rPr>
      </w:pPr>
      <w:r w:rsidRPr="003C6DAE">
        <w:rPr>
          <w:rFonts w:ascii="Trebuchet MS"/>
          <w:w w:val="75"/>
          <w:sz w:val="17"/>
          <w:lang w:val="uk-UA"/>
        </w:rPr>
        <w:t>0.67</w:t>
      </w:r>
      <w:r w:rsidRPr="003C6DAE">
        <w:rPr>
          <w:rFonts w:ascii="Trebuchet MS"/>
          <w:spacing w:val="6"/>
          <w:sz w:val="17"/>
          <w:lang w:val="uk-UA"/>
        </w:rPr>
        <w:t xml:space="preserve"> </w:t>
      </w:r>
      <w:r w:rsidRPr="003C6DAE">
        <w:rPr>
          <w:rFonts w:ascii="Trebuchet MS"/>
          <w:w w:val="75"/>
          <w:sz w:val="17"/>
          <w:lang w:val="uk-UA"/>
        </w:rPr>
        <w:t>[0.30,</w:t>
      </w:r>
      <w:r w:rsidRPr="003C6DAE">
        <w:rPr>
          <w:rFonts w:ascii="Trebuchet MS"/>
          <w:spacing w:val="11"/>
          <w:sz w:val="17"/>
          <w:lang w:val="uk-UA"/>
        </w:rPr>
        <w:t xml:space="preserve"> </w:t>
      </w:r>
      <w:r w:rsidRPr="003C6DAE">
        <w:rPr>
          <w:rFonts w:ascii="Trebuchet MS"/>
          <w:spacing w:val="-2"/>
          <w:w w:val="75"/>
          <w:sz w:val="17"/>
          <w:lang w:val="uk-UA"/>
        </w:rPr>
        <w:t>0.93]</w:t>
      </w:r>
    </w:p>
    <w:p w14:paraId="580B4DD1" w14:textId="77777777" w:rsidR="00E05B98" w:rsidRPr="003C6DAE" w:rsidRDefault="00B01E0C">
      <w:pPr>
        <w:spacing w:before="34"/>
        <w:ind w:left="343"/>
        <w:rPr>
          <w:rFonts w:ascii="Trebuchet MS"/>
          <w:sz w:val="17"/>
          <w:lang w:val="uk-UA"/>
        </w:rPr>
      </w:pPr>
      <w:r w:rsidRPr="003C6DAE">
        <w:rPr>
          <w:rFonts w:ascii="Trebuchet MS"/>
          <w:w w:val="75"/>
          <w:sz w:val="17"/>
          <w:lang w:val="uk-UA"/>
        </w:rPr>
        <w:t>0.67</w:t>
      </w:r>
      <w:r w:rsidRPr="003C6DAE">
        <w:rPr>
          <w:rFonts w:ascii="Trebuchet MS"/>
          <w:spacing w:val="6"/>
          <w:sz w:val="17"/>
          <w:lang w:val="uk-UA"/>
        </w:rPr>
        <w:t xml:space="preserve"> </w:t>
      </w:r>
      <w:r w:rsidRPr="003C6DAE">
        <w:rPr>
          <w:rFonts w:ascii="Trebuchet MS"/>
          <w:w w:val="75"/>
          <w:sz w:val="17"/>
          <w:lang w:val="uk-UA"/>
        </w:rPr>
        <w:t>[0.22,</w:t>
      </w:r>
      <w:r w:rsidRPr="003C6DAE">
        <w:rPr>
          <w:rFonts w:ascii="Trebuchet MS"/>
          <w:spacing w:val="11"/>
          <w:sz w:val="17"/>
          <w:lang w:val="uk-UA"/>
        </w:rPr>
        <w:t xml:space="preserve"> </w:t>
      </w:r>
      <w:r w:rsidRPr="003C6DAE">
        <w:rPr>
          <w:rFonts w:ascii="Trebuchet MS"/>
          <w:spacing w:val="-2"/>
          <w:w w:val="75"/>
          <w:sz w:val="17"/>
          <w:lang w:val="uk-UA"/>
        </w:rPr>
        <w:t>0.96]</w:t>
      </w:r>
    </w:p>
    <w:p w14:paraId="44B5279D" w14:textId="77777777" w:rsidR="00E05B98" w:rsidRPr="003C6DAE" w:rsidRDefault="00B01E0C">
      <w:pPr>
        <w:spacing w:before="34"/>
        <w:ind w:left="343"/>
        <w:rPr>
          <w:rFonts w:ascii="Trebuchet MS"/>
          <w:sz w:val="17"/>
          <w:lang w:val="uk-UA"/>
        </w:rPr>
      </w:pPr>
      <w:r w:rsidRPr="003C6DAE">
        <w:rPr>
          <w:rFonts w:ascii="Trebuchet MS"/>
          <w:w w:val="75"/>
          <w:sz w:val="17"/>
          <w:lang w:val="uk-UA"/>
        </w:rPr>
        <w:t>0.50</w:t>
      </w:r>
      <w:r w:rsidRPr="003C6DAE">
        <w:rPr>
          <w:rFonts w:ascii="Trebuchet MS"/>
          <w:spacing w:val="6"/>
          <w:sz w:val="17"/>
          <w:lang w:val="uk-UA"/>
        </w:rPr>
        <w:t xml:space="preserve"> </w:t>
      </w:r>
      <w:r w:rsidRPr="003C6DAE">
        <w:rPr>
          <w:rFonts w:ascii="Trebuchet MS"/>
          <w:w w:val="75"/>
          <w:sz w:val="17"/>
          <w:lang w:val="uk-UA"/>
        </w:rPr>
        <w:t>[0.12,</w:t>
      </w:r>
      <w:r w:rsidRPr="003C6DAE">
        <w:rPr>
          <w:rFonts w:ascii="Trebuchet MS"/>
          <w:spacing w:val="11"/>
          <w:sz w:val="17"/>
          <w:lang w:val="uk-UA"/>
        </w:rPr>
        <w:t xml:space="preserve"> </w:t>
      </w:r>
      <w:r w:rsidRPr="003C6DAE">
        <w:rPr>
          <w:rFonts w:ascii="Trebuchet MS"/>
          <w:spacing w:val="-2"/>
          <w:w w:val="75"/>
          <w:sz w:val="17"/>
          <w:lang w:val="uk-UA"/>
        </w:rPr>
        <w:t>0.88]</w:t>
      </w:r>
    </w:p>
    <w:p w14:paraId="74BD7FF5" w14:textId="77777777" w:rsidR="00E05B98" w:rsidRPr="003C6DAE" w:rsidRDefault="00B01E0C">
      <w:pPr>
        <w:spacing w:before="35"/>
        <w:ind w:left="343"/>
        <w:rPr>
          <w:rFonts w:ascii="Trebuchet MS"/>
          <w:sz w:val="17"/>
          <w:lang w:val="uk-UA"/>
        </w:rPr>
      </w:pPr>
      <w:r w:rsidRPr="003C6DAE">
        <w:rPr>
          <w:rFonts w:ascii="Trebuchet MS"/>
          <w:w w:val="75"/>
          <w:sz w:val="17"/>
          <w:lang w:val="uk-UA"/>
        </w:rPr>
        <w:t>0.48</w:t>
      </w:r>
      <w:r w:rsidRPr="003C6DAE">
        <w:rPr>
          <w:rFonts w:ascii="Trebuchet MS"/>
          <w:spacing w:val="6"/>
          <w:sz w:val="17"/>
          <w:lang w:val="uk-UA"/>
        </w:rPr>
        <w:t xml:space="preserve"> </w:t>
      </w:r>
      <w:r w:rsidRPr="003C6DAE">
        <w:rPr>
          <w:rFonts w:ascii="Trebuchet MS"/>
          <w:w w:val="75"/>
          <w:sz w:val="17"/>
          <w:lang w:val="uk-UA"/>
        </w:rPr>
        <w:t>[0.26,</w:t>
      </w:r>
      <w:r w:rsidRPr="003C6DAE">
        <w:rPr>
          <w:rFonts w:ascii="Trebuchet MS"/>
          <w:spacing w:val="11"/>
          <w:sz w:val="17"/>
          <w:lang w:val="uk-UA"/>
        </w:rPr>
        <w:t xml:space="preserve"> </w:t>
      </w:r>
      <w:r w:rsidRPr="003C6DAE">
        <w:rPr>
          <w:rFonts w:ascii="Trebuchet MS"/>
          <w:spacing w:val="-2"/>
          <w:w w:val="75"/>
          <w:sz w:val="17"/>
          <w:lang w:val="uk-UA"/>
        </w:rPr>
        <w:t>0.70]</w:t>
      </w:r>
    </w:p>
    <w:p w14:paraId="24E2D69D" w14:textId="77777777" w:rsidR="00E05B98" w:rsidRPr="003C6DAE" w:rsidRDefault="00B01E0C">
      <w:pPr>
        <w:spacing w:before="34"/>
        <w:ind w:left="343"/>
        <w:rPr>
          <w:rFonts w:ascii="Trebuchet MS"/>
          <w:sz w:val="17"/>
          <w:lang w:val="uk-UA"/>
        </w:rPr>
      </w:pPr>
      <w:r w:rsidRPr="003C6DAE">
        <w:rPr>
          <w:rFonts w:ascii="Trebuchet MS"/>
          <w:w w:val="75"/>
          <w:sz w:val="17"/>
          <w:lang w:val="uk-UA"/>
        </w:rPr>
        <w:t>0.37</w:t>
      </w:r>
      <w:r w:rsidRPr="003C6DAE">
        <w:rPr>
          <w:rFonts w:ascii="Trebuchet MS"/>
          <w:spacing w:val="6"/>
          <w:sz w:val="17"/>
          <w:lang w:val="uk-UA"/>
        </w:rPr>
        <w:t xml:space="preserve"> </w:t>
      </w:r>
      <w:r w:rsidRPr="003C6DAE">
        <w:rPr>
          <w:rFonts w:ascii="Trebuchet MS"/>
          <w:w w:val="75"/>
          <w:sz w:val="17"/>
          <w:lang w:val="uk-UA"/>
        </w:rPr>
        <w:t>[0.21,</w:t>
      </w:r>
      <w:r w:rsidRPr="003C6DAE">
        <w:rPr>
          <w:rFonts w:ascii="Trebuchet MS"/>
          <w:spacing w:val="11"/>
          <w:sz w:val="17"/>
          <w:lang w:val="uk-UA"/>
        </w:rPr>
        <w:t xml:space="preserve"> </w:t>
      </w:r>
      <w:r w:rsidRPr="003C6DAE">
        <w:rPr>
          <w:rFonts w:ascii="Trebuchet MS"/>
          <w:spacing w:val="-2"/>
          <w:w w:val="75"/>
          <w:sz w:val="17"/>
          <w:lang w:val="uk-UA"/>
        </w:rPr>
        <w:t>0.55]</w:t>
      </w:r>
    </w:p>
    <w:p w14:paraId="2D4FFB36" w14:textId="77777777" w:rsidR="00E05B98" w:rsidRPr="003C6DAE" w:rsidRDefault="00B01E0C">
      <w:pPr>
        <w:spacing w:before="34"/>
        <w:ind w:left="343"/>
        <w:rPr>
          <w:rFonts w:ascii="Trebuchet MS"/>
          <w:sz w:val="17"/>
          <w:lang w:val="uk-UA"/>
        </w:rPr>
      </w:pPr>
      <w:r w:rsidRPr="003C6DAE">
        <w:rPr>
          <w:rFonts w:ascii="Trebuchet MS"/>
          <w:w w:val="75"/>
          <w:sz w:val="17"/>
          <w:lang w:val="uk-UA"/>
        </w:rPr>
        <w:t>0.00</w:t>
      </w:r>
      <w:r w:rsidRPr="003C6DAE">
        <w:rPr>
          <w:rFonts w:ascii="Trebuchet MS"/>
          <w:spacing w:val="6"/>
          <w:sz w:val="17"/>
          <w:lang w:val="uk-UA"/>
        </w:rPr>
        <w:t xml:space="preserve"> </w:t>
      </w:r>
      <w:r w:rsidRPr="003C6DAE">
        <w:rPr>
          <w:rFonts w:ascii="Trebuchet MS"/>
          <w:w w:val="75"/>
          <w:sz w:val="17"/>
          <w:lang w:val="uk-UA"/>
        </w:rPr>
        <w:t>[0.00,</w:t>
      </w:r>
      <w:r w:rsidRPr="003C6DAE">
        <w:rPr>
          <w:rFonts w:ascii="Trebuchet MS"/>
          <w:spacing w:val="11"/>
          <w:sz w:val="17"/>
          <w:lang w:val="uk-UA"/>
        </w:rPr>
        <w:t xml:space="preserve"> </w:t>
      </w:r>
      <w:r w:rsidRPr="003C6DAE">
        <w:rPr>
          <w:rFonts w:ascii="Trebuchet MS"/>
          <w:spacing w:val="-2"/>
          <w:w w:val="75"/>
          <w:sz w:val="17"/>
          <w:lang w:val="uk-UA"/>
        </w:rPr>
        <w:t>0.97]</w:t>
      </w:r>
    </w:p>
    <w:p w14:paraId="7065069A" w14:textId="30E1D721" w:rsidR="00E05B98" w:rsidRPr="003C6DAE" w:rsidRDefault="00B01E0C" w:rsidP="0099259A">
      <w:pPr>
        <w:spacing w:before="106"/>
        <w:ind w:right="-446"/>
        <w:rPr>
          <w:rFonts w:ascii="Trebuchet MS"/>
          <w:sz w:val="17"/>
          <w:lang w:val="uk-UA"/>
        </w:rPr>
      </w:pPr>
      <w:r w:rsidRPr="003C6DAE">
        <w:rPr>
          <w:lang w:val="uk-UA"/>
        </w:rPr>
        <w:br w:type="column"/>
      </w:r>
      <w:r w:rsidR="0099259A" w:rsidRPr="003C6DAE">
        <w:rPr>
          <w:rFonts w:ascii="Trebuchet MS"/>
          <w:color w:val="333333"/>
          <w:w w:val="80"/>
          <w:sz w:val="17"/>
          <w:lang w:val="uk-UA"/>
        </w:rPr>
        <w:t>Специфічність</w:t>
      </w:r>
      <w:r w:rsidRPr="003C6DAE">
        <w:rPr>
          <w:rFonts w:ascii="Trebuchet MS"/>
          <w:color w:val="333333"/>
          <w:w w:val="80"/>
          <w:sz w:val="17"/>
          <w:lang w:val="uk-UA"/>
        </w:rPr>
        <w:t>(95%</w:t>
      </w:r>
      <w:r w:rsidR="0099259A" w:rsidRPr="003C6DAE">
        <w:rPr>
          <w:rFonts w:ascii="Trebuchet MS"/>
          <w:color w:val="333333"/>
          <w:w w:val="80"/>
          <w:sz w:val="17"/>
          <w:lang w:val="uk-UA"/>
        </w:rPr>
        <w:t>ДІ</w:t>
      </w:r>
      <w:r w:rsidR="0099259A" w:rsidRPr="003C6DAE">
        <w:rPr>
          <w:rFonts w:ascii="Trebuchet MS"/>
          <w:color w:val="333333"/>
          <w:w w:val="80"/>
          <w:sz w:val="17"/>
          <w:lang w:val="uk-UA"/>
        </w:rPr>
        <w:t>)</w:t>
      </w:r>
    </w:p>
    <w:p w14:paraId="6EBB46CA" w14:textId="77777777" w:rsidR="00E05B98" w:rsidRPr="003C6DAE" w:rsidRDefault="00B01E0C">
      <w:pPr>
        <w:spacing w:before="65"/>
        <w:ind w:left="318"/>
        <w:rPr>
          <w:rFonts w:ascii="Trebuchet MS"/>
          <w:sz w:val="17"/>
          <w:lang w:val="uk-UA"/>
        </w:rPr>
      </w:pPr>
      <w:r w:rsidRPr="003C6DAE">
        <w:rPr>
          <w:rFonts w:ascii="Trebuchet MS"/>
          <w:w w:val="75"/>
          <w:sz w:val="17"/>
          <w:lang w:val="uk-UA"/>
        </w:rPr>
        <w:t>0.87</w:t>
      </w:r>
      <w:r w:rsidRPr="003C6DAE">
        <w:rPr>
          <w:rFonts w:ascii="Trebuchet MS"/>
          <w:spacing w:val="6"/>
          <w:sz w:val="17"/>
          <w:lang w:val="uk-UA"/>
        </w:rPr>
        <w:t xml:space="preserve"> </w:t>
      </w:r>
      <w:r w:rsidRPr="003C6DAE">
        <w:rPr>
          <w:rFonts w:ascii="Trebuchet MS"/>
          <w:w w:val="75"/>
          <w:sz w:val="17"/>
          <w:lang w:val="uk-UA"/>
        </w:rPr>
        <w:t>[0.76,</w:t>
      </w:r>
      <w:r w:rsidRPr="003C6DAE">
        <w:rPr>
          <w:rFonts w:ascii="Trebuchet MS"/>
          <w:spacing w:val="11"/>
          <w:sz w:val="17"/>
          <w:lang w:val="uk-UA"/>
        </w:rPr>
        <w:t xml:space="preserve"> </w:t>
      </w:r>
      <w:r w:rsidRPr="003C6DAE">
        <w:rPr>
          <w:rFonts w:ascii="Trebuchet MS"/>
          <w:spacing w:val="-2"/>
          <w:w w:val="75"/>
          <w:sz w:val="17"/>
          <w:lang w:val="uk-UA"/>
        </w:rPr>
        <w:t>0.94]</w:t>
      </w:r>
    </w:p>
    <w:p w14:paraId="2197B589" w14:textId="77777777" w:rsidR="00E05B98" w:rsidRPr="003C6DAE" w:rsidRDefault="00B01E0C">
      <w:pPr>
        <w:spacing w:before="34"/>
        <w:ind w:left="318"/>
        <w:rPr>
          <w:rFonts w:ascii="Trebuchet MS"/>
          <w:sz w:val="17"/>
          <w:lang w:val="uk-UA"/>
        </w:rPr>
      </w:pPr>
      <w:r w:rsidRPr="003C6DAE">
        <w:rPr>
          <w:rFonts w:ascii="Trebuchet MS"/>
          <w:w w:val="75"/>
          <w:sz w:val="17"/>
          <w:lang w:val="uk-UA"/>
        </w:rPr>
        <w:t>0.93</w:t>
      </w:r>
      <w:r w:rsidRPr="003C6DAE">
        <w:rPr>
          <w:rFonts w:ascii="Trebuchet MS"/>
          <w:spacing w:val="6"/>
          <w:sz w:val="17"/>
          <w:lang w:val="uk-UA"/>
        </w:rPr>
        <w:t xml:space="preserve"> </w:t>
      </w:r>
      <w:r w:rsidRPr="003C6DAE">
        <w:rPr>
          <w:rFonts w:ascii="Trebuchet MS"/>
          <w:w w:val="75"/>
          <w:sz w:val="17"/>
          <w:lang w:val="uk-UA"/>
        </w:rPr>
        <w:t>[0.86,</w:t>
      </w:r>
      <w:r w:rsidRPr="003C6DAE">
        <w:rPr>
          <w:rFonts w:ascii="Trebuchet MS"/>
          <w:spacing w:val="11"/>
          <w:sz w:val="17"/>
          <w:lang w:val="uk-UA"/>
        </w:rPr>
        <w:t xml:space="preserve"> </w:t>
      </w:r>
      <w:r w:rsidRPr="003C6DAE">
        <w:rPr>
          <w:rFonts w:ascii="Trebuchet MS"/>
          <w:spacing w:val="-2"/>
          <w:w w:val="75"/>
          <w:sz w:val="17"/>
          <w:lang w:val="uk-UA"/>
        </w:rPr>
        <w:t>0.98]</w:t>
      </w:r>
    </w:p>
    <w:p w14:paraId="541C0FE0" w14:textId="77777777" w:rsidR="00E05B98" w:rsidRPr="003C6DAE" w:rsidRDefault="00B01E0C">
      <w:pPr>
        <w:spacing w:before="34"/>
        <w:ind w:left="318"/>
        <w:rPr>
          <w:rFonts w:ascii="Trebuchet MS"/>
          <w:sz w:val="17"/>
          <w:lang w:val="uk-UA"/>
        </w:rPr>
      </w:pPr>
      <w:r w:rsidRPr="003C6DAE">
        <w:rPr>
          <w:rFonts w:ascii="Trebuchet MS"/>
          <w:w w:val="75"/>
          <w:sz w:val="17"/>
          <w:lang w:val="uk-UA"/>
        </w:rPr>
        <w:t>0.75</w:t>
      </w:r>
      <w:r w:rsidRPr="003C6DAE">
        <w:rPr>
          <w:rFonts w:ascii="Trebuchet MS"/>
          <w:spacing w:val="6"/>
          <w:sz w:val="17"/>
          <w:lang w:val="uk-UA"/>
        </w:rPr>
        <w:t xml:space="preserve"> </w:t>
      </w:r>
      <w:r w:rsidRPr="003C6DAE">
        <w:rPr>
          <w:rFonts w:ascii="Trebuchet MS"/>
          <w:w w:val="75"/>
          <w:sz w:val="17"/>
          <w:lang w:val="uk-UA"/>
        </w:rPr>
        <w:t>[0.35,</w:t>
      </w:r>
      <w:r w:rsidRPr="003C6DAE">
        <w:rPr>
          <w:rFonts w:ascii="Trebuchet MS"/>
          <w:spacing w:val="11"/>
          <w:sz w:val="17"/>
          <w:lang w:val="uk-UA"/>
        </w:rPr>
        <w:t xml:space="preserve"> </w:t>
      </w:r>
      <w:r w:rsidRPr="003C6DAE">
        <w:rPr>
          <w:rFonts w:ascii="Trebuchet MS"/>
          <w:spacing w:val="-2"/>
          <w:w w:val="75"/>
          <w:sz w:val="17"/>
          <w:lang w:val="uk-UA"/>
        </w:rPr>
        <w:t>0.97]</w:t>
      </w:r>
    </w:p>
    <w:p w14:paraId="5399ECAD" w14:textId="77777777" w:rsidR="00E05B98" w:rsidRPr="003C6DAE" w:rsidRDefault="00B01E0C">
      <w:pPr>
        <w:spacing w:before="35"/>
        <w:ind w:left="318"/>
        <w:rPr>
          <w:rFonts w:ascii="Trebuchet MS"/>
          <w:sz w:val="17"/>
          <w:lang w:val="uk-UA"/>
        </w:rPr>
      </w:pPr>
      <w:r w:rsidRPr="003C6DAE">
        <w:rPr>
          <w:rFonts w:ascii="Trebuchet MS"/>
          <w:w w:val="75"/>
          <w:sz w:val="17"/>
          <w:lang w:val="uk-UA"/>
        </w:rPr>
        <w:t>0.86</w:t>
      </w:r>
      <w:r w:rsidRPr="003C6DAE">
        <w:rPr>
          <w:rFonts w:ascii="Trebuchet MS"/>
          <w:spacing w:val="6"/>
          <w:sz w:val="17"/>
          <w:lang w:val="uk-UA"/>
        </w:rPr>
        <w:t xml:space="preserve"> </w:t>
      </w:r>
      <w:r w:rsidRPr="003C6DAE">
        <w:rPr>
          <w:rFonts w:ascii="Trebuchet MS"/>
          <w:w w:val="75"/>
          <w:sz w:val="17"/>
          <w:lang w:val="uk-UA"/>
        </w:rPr>
        <w:t>[0.79,</w:t>
      </w:r>
      <w:r w:rsidRPr="003C6DAE">
        <w:rPr>
          <w:rFonts w:ascii="Trebuchet MS"/>
          <w:spacing w:val="11"/>
          <w:sz w:val="17"/>
          <w:lang w:val="uk-UA"/>
        </w:rPr>
        <w:t xml:space="preserve"> </w:t>
      </w:r>
      <w:r w:rsidRPr="003C6DAE">
        <w:rPr>
          <w:rFonts w:ascii="Trebuchet MS"/>
          <w:spacing w:val="-2"/>
          <w:w w:val="75"/>
          <w:sz w:val="17"/>
          <w:lang w:val="uk-UA"/>
        </w:rPr>
        <w:t>0.91]</w:t>
      </w:r>
    </w:p>
    <w:p w14:paraId="53197CB1" w14:textId="77777777" w:rsidR="00E05B98" w:rsidRPr="003C6DAE" w:rsidRDefault="00B01E0C">
      <w:pPr>
        <w:spacing w:before="34"/>
        <w:ind w:left="318"/>
        <w:rPr>
          <w:rFonts w:ascii="Trebuchet MS"/>
          <w:sz w:val="17"/>
          <w:lang w:val="uk-UA"/>
        </w:rPr>
      </w:pPr>
      <w:r w:rsidRPr="003C6DAE">
        <w:rPr>
          <w:rFonts w:ascii="Trebuchet MS"/>
          <w:w w:val="75"/>
          <w:sz w:val="17"/>
          <w:lang w:val="uk-UA"/>
        </w:rPr>
        <w:t>0.99</w:t>
      </w:r>
      <w:r w:rsidRPr="003C6DAE">
        <w:rPr>
          <w:rFonts w:ascii="Trebuchet MS"/>
          <w:spacing w:val="6"/>
          <w:sz w:val="17"/>
          <w:lang w:val="uk-UA"/>
        </w:rPr>
        <w:t xml:space="preserve"> </w:t>
      </w:r>
      <w:r w:rsidRPr="003C6DAE">
        <w:rPr>
          <w:rFonts w:ascii="Trebuchet MS"/>
          <w:w w:val="75"/>
          <w:sz w:val="17"/>
          <w:lang w:val="uk-UA"/>
        </w:rPr>
        <w:t>[0.94,</w:t>
      </w:r>
      <w:r w:rsidRPr="003C6DAE">
        <w:rPr>
          <w:rFonts w:ascii="Trebuchet MS"/>
          <w:spacing w:val="11"/>
          <w:sz w:val="17"/>
          <w:lang w:val="uk-UA"/>
        </w:rPr>
        <w:t xml:space="preserve"> </w:t>
      </w:r>
      <w:r w:rsidRPr="003C6DAE">
        <w:rPr>
          <w:rFonts w:ascii="Trebuchet MS"/>
          <w:spacing w:val="-2"/>
          <w:w w:val="75"/>
          <w:sz w:val="17"/>
          <w:lang w:val="uk-UA"/>
        </w:rPr>
        <w:t>1.00]</w:t>
      </w:r>
    </w:p>
    <w:p w14:paraId="13D175F5" w14:textId="77777777" w:rsidR="00E05B98" w:rsidRPr="003C6DAE" w:rsidRDefault="00B01E0C">
      <w:pPr>
        <w:spacing w:before="34"/>
        <w:ind w:left="318"/>
        <w:rPr>
          <w:rFonts w:ascii="Trebuchet MS"/>
          <w:sz w:val="17"/>
          <w:lang w:val="uk-UA"/>
        </w:rPr>
      </w:pPr>
      <w:r w:rsidRPr="003C6DAE">
        <w:rPr>
          <w:rFonts w:ascii="Trebuchet MS"/>
          <w:w w:val="75"/>
          <w:sz w:val="17"/>
          <w:lang w:val="uk-UA"/>
        </w:rPr>
        <w:t>0.65</w:t>
      </w:r>
      <w:r w:rsidRPr="003C6DAE">
        <w:rPr>
          <w:rFonts w:ascii="Trebuchet MS"/>
          <w:spacing w:val="6"/>
          <w:sz w:val="17"/>
          <w:lang w:val="uk-UA"/>
        </w:rPr>
        <w:t xml:space="preserve"> </w:t>
      </w:r>
      <w:r w:rsidRPr="003C6DAE">
        <w:rPr>
          <w:rFonts w:ascii="Trebuchet MS"/>
          <w:w w:val="75"/>
          <w:sz w:val="17"/>
          <w:lang w:val="uk-UA"/>
        </w:rPr>
        <w:t>[0.50,</w:t>
      </w:r>
      <w:r w:rsidRPr="003C6DAE">
        <w:rPr>
          <w:rFonts w:ascii="Trebuchet MS"/>
          <w:spacing w:val="11"/>
          <w:sz w:val="17"/>
          <w:lang w:val="uk-UA"/>
        </w:rPr>
        <w:t xml:space="preserve"> </w:t>
      </w:r>
      <w:r w:rsidRPr="003C6DAE">
        <w:rPr>
          <w:rFonts w:ascii="Trebuchet MS"/>
          <w:spacing w:val="-2"/>
          <w:w w:val="75"/>
          <w:sz w:val="17"/>
          <w:lang w:val="uk-UA"/>
        </w:rPr>
        <w:t>0.78]</w:t>
      </w:r>
    </w:p>
    <w:p w14:paraId="65A701CE" w14:textId="77777777" w:rsidR="00E05B98" w:rsidRPr="003C6DAE" w:rsidRDefault="00B01E0C">
      <w:pPr>
        <w:spacing w:before="34"/>
        <w:ind w:left="318"/>
        <w:rPr>
          <w:rFonts w:ascii="Trebuchet MS"/>
          <w:sz w:val="17"/>
          <w:lang w:val="uk-UA"/>
        </w:rPr>
      </w:pPr>
      <w:r w:rsidRPr="003C6DAE">
        <w:rPr>
          <w:rFonts w:ascii="Trebuchet MS"/>
          <w:w w:val="75"/>
          <w:sz w:val="17"/>
          <w:lang w:val="uk-UA"/>
        </w:rPr>
        <w:t>0.71</w:t>
      </w:r>
      <w:r w:rsidRPr="003C6DAE">
        <w:rPr>
          <w:rFonts w:ascii="Trebuchet MS"/>
          <w:spacing w:val="6"/>
          <w:sz w:val="17"/>
          <w:lang w:val="uk-UA"/>
        </w:rPr>
        <w:t xml:space="preserve"> </w:t>
      </w:r>
      <w:r w:rsidRPr="003C6DAE">
        <w:rPr>
          <w:rFonts w:ascii="Trebuchet MS"/>
          <w:w w:val="75"/>
          <w:sz w:val="17"/>
          <w:lang w:val="uk-UA"/>
        </w:rPr>
        <w:t>[0.61,</w:t>
      </w:r>
      <w:r w:rsidRPr="003C6DAE">
        <w:rPr>
          <w:rFonts w:ascii="Trebuchet MS"/>
          <w:spacing w:val="11"/>
          <w:sz w:val="17"/>
          <w:lang w:val="uk-UA"/>
        </w:rPr>
        <w:t xml:space="preserve"> </w:t>
      </w:r>
      <w:r w:rsidRPr="003C6DAE">
        <w:rPr>
          <w:rFonts w:ascii="Trebuchet MS"/>
          <w:spacing w:val="-2"/>
          <w:w w:val="75"/>
          <w:sz w:val="17"/>
          <w:lang w:val="uk-UA"/>
        </w:rPr>
        <w:t>0.79]</w:t>
      </w:r>
    </w:p>
    <w:p w14:paraId="52FD38D1" w14:textId="77777777" w:rsidR="00E05B98" w:rsidRPr="003C6DAE" w:rsidRDefault="00B01E0C">
      <w:pPr>
        <w:spacing w:before="35"/>
        <w:ind w:left="318"/>
        <w:rPr>
          <w:rFonts w:ascii="Trebuchet MS"/>
          <w:sz w:val="17"/>
          <w:lang w:val="uk-UA"/>
        </w:rPr>
      </w:pPr>
      <w:r w:rsidRPr="003C6DAE">
        <w:rPr>
          <w:rFonts w:ascii="Trebuchet MS"/>
          <w:w w:val="75"/>
          <w:sz w:val="17"/>
          <w:lang w:val="uk-UA"/>
        </w:rPr>
        <w:t>0.99</w:t>
      </w:r>
      <w:r w:rsidRPr="003C6DAE">
        <w:rPr>
          <w:rFonts w:ascii="Trebuchet MS"/>
          <w:spacing w:val="6"/>
          <w:sz w:val="17"/>
          <w:lang w:val="uk-UA"/>
        </w:rPr>
        <w:t xml:space="preserve"> </w:t>
      </w:r>
      <w:r w:rsidRPr="003C6DAE">
        <w:rPr>
          <w:rFonts w:ascii="Trebuchet MS"/>
          <w:w w:val="75"/>
          <w:sz w:val="17"/>
          <w:lang w:val="uk-UA"/>
        </w:rPr>
        <w:t>[0.92,</w:t>
      </w:r>
      <w:r w:rsidRPr="003C6DAE">
        <w:rPr>
          <w:rFonts w:ascii="Trebuchet MS"/>
          <w:spacing w:val="11"/>
          <w:sz w:val="17"/>
          <w:lang w:val="uk-UA"/>
        </w:rPr>
        <w:t xml:space="preserve"> </w:t>
      </w:r>
      <w:r w:rsidRPr="003C6DAE">
        <w:rPr>
          <w:rFonts w:ascii="Trebuchet MS"/>
          <w:spacing w:val="-2"/>
          <w:w w:val="75"/>
          <w:sz w:val="17"/>
          <w:lang w:val="uk-UA"/>
        </w:rPr>
        <w:t>1.00]</w:t>
      </w:r>
    </w:p>
    <w:p w14:paraId="577982DD" w14:textId="77777777" w:rsidR="00E05B98" w:rsidRPr="003C6DAE" w:rsidRDefault="00B01E0C">
      <w:pPr>
        <w:spacing w:before="34"/>
        <w:ind w:left="318"/>
        <w:rPr>
          <w:rFonts w:ascii="Trebuchet MS"/>
          <w:sz w:val="17"/>
          <w:lang w:val="uk-UA"/>
        </w:rPr>
      </w:pPr>
      <w:r w:rsidRPr="003C6DAE">
        <w:rPr>
          <w:rFonts w:ascii="Trebuchet MS"/>
          <w:w w:val="75"/>
          <w:sz w:val="17"/>
          <w:lang w:val="uk-UA"/>
        </w:rPr>
        <w:t>0.88</w:t>
      </w:r>
      <w:r w:rsidRPr="003C6DAE">
        <w:rPr>
          <w:rFonts w:ascii="Trebuchet MS"/>
          <w:spacing w:val="6"/>
          <w:sz w:val="17"/>
          <w:lang w:val="uk-UA"/>
        </w:rPr>
        <w:t xml:space="preserve"> </w:t>
      </w:r>
      <w:r w:rsidRPr="003C6DAE">
        <w:rPr>
          <w:rFonts w:ascii="Trebuchet MS"/>
          <w:w w:val="75"/>
          <w:sz w:val="17"/>
          <w:lang w:val="uk-UA"/>
        </w:rPr>
        <w:t>[0.78,</w:t>
      </w:r>
      <w:r w:rsidRPr="003C6DAE">
        <w:rPr>
          <w:rFonts w:ascii="Trebuchet MS"/>
          <w:spacing w:val="11"/>
          <w:sz w:val="17"/>
          <w:lang w:val="uk-UA"/>
        </w:rPr>
        <w:t xml:space="preserve"> </w:t>
      </w:r>
      <w:r w:rsidRPr="003C6DAE">
        <w:rPr>
          <w:rFonts w:ascii="Trebuchet MS"/>
          <w:spacing w:val="-2"/>
          <w:w w:val="75"/>
          <w:sz w:val="17"/>
          <w:lang w:val="uk-UA"/>
        </w:rPr>
        <w:t>0.94]</w:t>
      </w:r>
    </w:p>
    <w:p w14:paraId="6B9E496D" w14:textId="77777777" w:rsidR="00E05B98" w:rsidRPr="003C6DAE" w:rsidRDefault="00B01E0C">
      <w:pPr>
        <w:spacing w:before="34"/>
        <w:ind w:left="318"/>
        <w:rPr>
          <w:rFonts w:ascii="Trebuchet MS"/>
          <w:sz w:val="17"/>
          <w:lang w:val="uk-UA"/>
        </w:rPr>
      </w:pPr>
      <w:r w:rsidRPr="003C6DAE">
        <w:rPr>
          <w:rFonts w:ascii="Trebuchet MS"/>
          <w:w w:val="75"/>
          <w:sz w:val="17"/>
          <w:lang w:val="uk-UA"/>
        </w:rPr>
        <w:t>0.82</w:t>
      </w:r>
      <w:r w:rsidRPr="003C6DAE">
        <w:rPr>
          <w:rFonts w:ascii="Trebuchet MS"/>
          <w:spacing w:val="6"/>
          <w:sz w:val="17"/>
          <w:lang w:val="uk-UA"/>
        </w:rPr>
        <w:t xml:space="preserve"> </w:t>
      </w:r>
      <w:r w:rsidRPr="003C6DAE">
        <w:rPr>
          <w:rFonts w:ascii="Trebuchet MS"/>
          <w:w w:val="75"/>
          <w:sz w:val="17"/>
          <w:lang w:val="uk-UA"/>
        </w:rPr>
        <w:t>[0.69,</w:t>
      </w:r>
      <w:r w:rsidRPr="003C6DAE">
        <w:rPr>
          <w:rFonts w:ascii="Trebuchet MS"/>
          <w:spacing w:val="11"/>
          <w:sz w:val="17"/>
          <w:lang w:val="uk-UA"/>
        </w:rPr>
        <w:t xml:space="preserve"> </w:t>
      </w:r>
      <w:r w:rsidRPr="003C6DAE">
        <w:rPr>
          <w:rFonts w:ascii="Trebuchet MS"/>
          <w:spacing w:val="-2"/>
          <w:w w:val="75"/>
          <w:sz w:val="17"/>
          <w:lang w:val="uk-UA"/>
        </w:rPr>
        <w:t>0.91]</w:t>
      </w:r>
    </w:p>
    <w:p w14:paraId="3273BF14" w14:textId="77777777" w:rsidR="00E05B98" w:rsidRPr="003C6DAE" w:rsidRDefault="00B01E0C">
      <w:pPr>
        <w:spacing w:before="35"/>
        <w:ind w:left="318"/>
        <w:rPr>
          <w:rFonts w:ascii="Trebuchet MS"/>
          <w:sz w:val="17"/>
          <w:lang w:val="uk-UA"/>
        </w:rPr>
      </w:pPr>
      <w:r w:rsidRPr="003C6DAE">
        <w:rPr>
          <w:rFonts w:ascii="Trebuchet MS"/>
          <w:w w:val="75"/>
          <w:sz w:val="17"/>
          <w:lang w:val="uk-UA"/>
        </w:rPr>
        <w:t>1.00</w:t>
      </w:r>
      <w:r w:rsidRPr="003C6DAE">
        <w:rPr>
          <w:rFonts w:ascii="Trebuchet MS"/>
          <w:spacing w:val="6"/>
          <w:sz w:val="17"/>
          <w:lang w:val="uk-UA"/>
        </w:rPr>
        <w:t xml:space="preserve"> </w:t>
      </w:r>
      <w:r w:rsidRPr="003C6DAE">
        <w:rPr>
          <w:rFonts w:ascii="Trebuchet MS"/>
          <w:w w:val="75"/>
          <w:sz w:val="17"/>
          <w:lang w:val="uk-UA"/>
        </w:rPr>
        <w:t>[0.29,</w:t>
      </w:r>
      <w:r w:rsidRPr="003C6DAE">
        <w:rPr>
          <w:rFonts w:ascii="Trebuchet MS"/>
          <w:spacing w:val="11"/>
          <w:sz w:val="17"/>
          <w:lang w:val="uk-UA"/>
        </w:rPr>
        <w:t xml:space="preserve"> </w:t>
      </w:r>
      <w:r w:rsidRPr="003C6DAE">
        <w:rPr>
          <w:rFonts w:ascii="Trebuchet MS"/>
          <w:spacing w:val="-2"/>
          <w:w w:val="75"/>
          <w:sz w:val="17"/>
          <w:lang w:val="uk-UA"/>
        </w:rPr>
        <w:t>1.00]</w:t>
      </w:r>
    </w:p>
    <w:p w14:paraId="1D762C13" w14:textId="77777777" w:rsidR="00E05B98" w:rsidRPr="003C6DAE" w:rsidRDefault="00B01E0C">
      <w:pPr>
        <w:spacing w:before="34"/>
        <w:ind w:left="318"/>
        <w:rPr>
          <w:rFonts w:ascii="Trebuchet MS"/>
          <w:sz w:val="17"/>
          <w:lang w:val="uk-UA"/>
        </w:rPr>
      </w:pPr>
      <w:r w:rsidRPr="003C6DAE">
        <w:rPr>
          <w:rFonts w:ascii="Trebuchet MS"/>
          <w:w w:val="75"/>
          <w:sz w:val="17"/>
          <w:lang w:val="uk-UA"/>
        </w:rPr>
        <w:t>0.57</w:t>
      </w:r>
      <w:r w:rsidRPr="003C6DAE">
        <w:rPr>
          <w:rFonts w:ascii="Trebuchet MS"/>
          <w:spacing w:val="6"/>
          <w:sz w:val="17"/>
          <w:lang w:val="uk-UA"/>
        </w:rPr>
        <w:t xml:space="preserve"> </w:t>
      </w:r>
      <w:r w:rsidRPr="003C6DAE">
        <w:rPr>
          <w:rFonts w:ascii="Trebuchet MS"/>
          <w:w w:val="75"/>
          <w:sz w:val="17"/>
          <w:lang w:val="uk-UA"/>
        </w:rPr>
        <w:t>[0.29,</w:t>
      </w:r>
      <w:r w:rsidRPr="003C6DAE">
        <w:rPr>
          <w:rFonts w:ascii="Trebuchet MS"/>
          <w:spacing w:val="11"/>
          <w:sz w:val="17"/>
          <w:lang w:val="uk-UA"/>
        </w:rPr>
        <w:t xml:space="preserve"> </w:t>
      </w:r>
      <w:r w:rsidRPr="003C6DAE">
        <w:rPr>
          <w:rFonts w:ascii="Trebuchet MS"/>
          <w:spacing w:val="-2"/>
          <w:w w:val="75"/>
          <w:sz w:val="17"/>
          <w:lang w:val="uk-UA"/>
        </w:rPr>
        <w:t>0.82]</w:t>
      </w:r>
    </w:p>
    <w:p w14:paraId="59858528" w14:textId="77777777" w:rsidR="00E05B98" w:rsidRPr="003C6DAE" w:rsidRDefault="00B01E0C">
      <w:pPr>
        <w:spacing w:before="34"/>
        <w:ind w:left="318"/>
        <w:rPr>
          <w:rFonts w:ascii="Trebuchet MS"/>
          <w:sz w:val="17"/>
          <w:lang w:val="uk-UA"/>
        </w:rPr>
      </w:pPr>
      <w:r w:rsidRPr="003C6DAE">
        <w:rPr>
          <w:rFonts w:ascii="Trebuchet MS"/>
          <w:w w:val="75"/>
          <w:sz w:val="17"/>
          <w:lang w:val="uk-UA"/>
        </w:rPr>
        <w:t>1.00</w:t>
      </w:r>
      <w:r w:rsidRPr="003C6DAE">
        <w:rPr>
          <w:rFonts w:ascii="Trebuchet MS"/>
          <w:spacing w:val="6"/>
          <w:sz w:val="17"/>
          <w:lang w:val="uk-UA"/>
        </w:rPr>
        <w:t xml:space="preserve"> </w:t>
      </w:r>
      <w:r w:rsidRPr="003C6DAE">
        <w:rPr>
          <w:rFonts w:ascii="Trebuchet MS"/>
          <w:w w:val="75"/>
          <w:sz w:val="17"/>
          <w:lang w:val="uk-UA"/>
        </w:rPr>
        <w:t>[0.74,</w:t>
      </w:r>
      <w:r w:rsidRPr="003C6DAE">
        <w:rPr>
          <w:rFonts w:ascii="Trebuchet MS"/>
          <w:spacing w:val="11"/>
          <w:sz w:val="17"/>
          <w:lang w:val="uk-UA"/>
        </w:rPr>
        <w:t xml:space="preserve"> </w:t>
      </w:r>
      <w:r w:rsidRPr="003C6DAE">
        <w:rPr>
          <w:rFonts w:ascii="Trebuchet MS"/>
          <w:spacing w:val="-2"/>
          <w:w w:val="75"/>
          <w:sz w:val="17"/>
          <w:lang w:val="uk-UA"/>
        </w:rPr>
        <w:t>1.00]</w:t>
      </w:r>
    </w:p>
    <w:p w14:paraId="72522878" w14:textId="12C03F5D" w:rsidR="00E05B98" w:rsidRPr="003C6DAE" w:rsidRDefault="00B01E0C" w:rsidP="00B06A43">
      <w:pPr>
        <w:spacing w:before="106"/>
        <w:ind w:left="98"/>
        <w:jc w:val="right"/>
        <w:rPr>
          <w:rFonts w:ascii="Trebuchet MS"/>
          <w:sz w:val="17"/>
          <w:lang w:val="uk-UA"/>
        </w:rPr>
      </w:pPr>
      <w:r w:rsidRPr="003C6DAE">
        <w:rPr>
          <w:lang w:val="uk-UA"/>
        </w:rPr>
        <w:br w:type="column"/>
      </w:r>
      <w:r w:rsidR="0099259A" w:rsidRPr="003C6DAE">
        <w:rPr>
          <w:rFonts w:ascii="Trebuchet MS"/>
          <w:color w:val="333333"/>
          <w:w w:val="80"/>
          <w:sz w:val="17"/>
          <w:lang w:val="uk-UA"/>
        </w:rPr>
        <w:t>Чутливість</w:t>
      </w:r>
      <w:r w:rsidRPr="003C6DAE">
        <w:rPr>
          <w:rFonts w:ascii="Trebuchet MS"/>
          <w:color w:val="333333"/>
          <w:spacing w:val="20"/>
          <w:sz w:val="17"/>
          <w:lang w:val="uk-UA"/>
        </w:rPr>
        <w:t xml:space="preserve"> </w:t>
      </w:r>
      <w:r w:rsidRPr="003C6DAE">
        <w:rPr>
          <w:rFonts w:ascii="Trebuchet MS"/>
          <w:color w:val="333333"/>
          <w:w w:val="80"/>
          <w:sz w:val="17"/>
          <w:lang w:val="uk-UA"/>
        </w:rPr>
        <w:t>(95%</w:t>
      </w:r>
      <w:r w:rsidRPr="003C6DAE">
        <w:rPr>
          <w:rFonts w:ascii="Trebuchet MS"/>
          <w:color w:val="333333"/>
          <w:spacing w:val="24"/>
          <w:sz w:val="17"/>
          <w:lang w:val="uk-UA"/>
        </w:rPr>
        <w:t xml:space="preserve"> </w:t>
      </w:r>
      <w:r w:rsidR="0099259A" w:rsidRPr="003C6DAE">
        <w:rPr>
          <w:rFonts w:ascii="Trebuchet MS"/>
          <w:color w:val="333333"/>
          <w:w w:val="80"/>
          <w:sz w:val="17"/>
          <w:lang w:val="uk-UA"/>
        </w:rPr>
        <w:t>ДІ</w:t>
      </w:r>
      <w:r w:rsidRPr="003C6DAE">
        <w:rPr>
          <w:rFonts w:ascii="Trebuchet MS"/>
          <w:color w:val="333333"/>
          <w:spacing w:val="-5"/>
          <w:w w:val="80"/>
          <w:sz w:val="17"/>
          <w:lang w:val="uk-UA"/>
        </w:rPr>
        <w:t>)</w:t>
      </w:r>
    </w:p>
    <w:p w14:paraId="54E774BC" w14:textId="77777777" w:rsidR="00E05B98" w:rsidRPr="003C6DAE" w:rsidRDefault="00E05B98">
      <w:pPr>
        <w:pStyle w:val="a3"/>
        <w:rPr>
          <w:rFonts w:ascii="Trebuchet MS"/>
          <w:sz w:val="20"/>
          <w:lang w:val="uk-UA"/>
        </w:rPr>
      </w:pPr>
    </w:p>
    <w:p w14:paraId="4E7634ED" w14:textId="77777777" w:rsidR="00E05B98" w:rsidRPr="003C6DAE" w:rsidRDefault="00E05B98">
      <w:pPr>
        <w:pStyle w:val="a3"/>
        <w:rPr>
          <w:rFonts w:ascii="Trebuchet MS"/>
          <w:sz w:val="20"/>
          <w:lang w:val="uk-UA"/>
        </w:rPr>
      </w:pPr>
    </w:p>
    <w:p w14:paraId="27D93FC4" w14:textId="77777777" w:rsidR="00E05B98" w:rsidRPr="003C6DAE" w:rsidRDefault="00B01E0C">
      <w:pPr>
        <w:pStyle w:val="a3"/>
        <w:spacing w:before="52"/>
        <w:rPr>
          <w:rFonts w:ascii="Trebuchet MS"/>
          <w:sz w:val="20"/>
          <w:lang w:val="uk-UA"/>
        </w:rPr>
      </w:pPr>
      <w:r w:rsidRPr="003C6DAE">
        <w:rPr>
          <w:rFonts w:ascii="Trebuchet MS"/>
          <w:noProof/>
          <w:sz w:val="20"/>
          <w:lang w:val="uk-UA"/>
        </w:rPr>
        <mc:AlternateContent>
          <mc:Choice Requires="wpg">
            <w:drawing>
              <wp:anchor distT="0" distB="0" distL="0" distR="0" simplePos="0" relativeHeight="487724544" behindDoc="1" locked="0" layoutInCell="1" allowOverlap="1" wp14:anchorId="7E80837B" wp14:editId="4B582652">
                <wp:simplePos x="0" y="0"/>
                <wp:positionH relativeFrom="page">
                  <wp:posOffset>5263095</wp:posOffset>
                </wp:positionH>
                <wp:positionV relativeFrom="paragraph">
                  <wp:posOffset>196230</wp:posOffset>
                </wp:positionV>
                <wp:extent cx="260350" cy="64769"/>
                <wp:effectExtent l="0" t="0" r="0" b="0"/>
                <wp:wrapTopAndBottom/>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50" cy="64769"/>
                          <a:chOff x="0" y="0"/>
                          <a:chExt cx="260350" cy="64769"/>
                        </a:xfrm>
                      </wpg:grpSpPr>
                      <wps:wsp>
                        <wps:cNvPr id="707" name="Graphic 707"/>
                        <wps:cNvSpPr/>
                        <wps:spPr>
                          <a:xfrm>
                            <a:off x="0" y="27587"/>
                            <a:ext cx="260350" cy="1270"/>
                          </a:xfrm>
                          <a:custGeom>
                            <a:avLst/>
                            <a:gdLst/>
                            <a:ahLst/>
                            <a:cxnLst/>
                            <a:rect l="l" t="t" r="r" b="b"/>
                            <a:pathLst>
                              <a:path w="260350">
                                <a:moveTo>
                                  <a:pt x="0" y="0"/>
                                </a:moveTo>
                                <a:lnTo>
                                  <a:pt x="138702" y="0"/>
                                </a:lnTo>
                              </a:path>
                              <a:path w="260350">
                                <a:moveTo>
                                  <a:pt x="192344" y="0"/>
                                </a:moveTo>
                                <a:lnTo>
                                  <a:pt x="260163" y="0"/>
                                </a:lnTo>
                              </a:path>
                            </a:pathLst>
                          </a:custGeom>
                          <a:ln w="9195">
                            <a:solidFill>
                              <a:srgbClr val="000000"/>
                            </a:solidFill>
                            <a:prstDash val="solid"/>
                          </a:ln>
                        </wps:spPr>
                        <wps:bodyPr wrap="square" lIns="0" tIns="0" rIns="0" bIns="0" rtlCol="0">
                          <a:prstTxWarp prst="textNoShape">
                            <a:avLst/>
                          </a:prstTxWarp>
                          <a:noAutofit/>
                        </wps:bodyPr>
                      </wps:wsp>
                      <wps:wsp>
                        <wps:cNvPr id="708" name="Graphic 708"/>
                        <wps:cNvSpPr/>
                        <wps:spPr>
                          <a:xfrm>
                            <a:off x="138702"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E994793" id="Group 706" o:spid="_x0000_s1026" style="position:absolute;margin-left:414.4pt;margin-top:15.45pt;width:20.5pt;height:5.1pt;z-index:-15591936;mso-wrap-distance-left:0;mso-wrap-distance-right:0;mso-position-horizontal-relative:page" coordsize="26035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">
                <v:shape id="Graphic 707" o:spid="_x0000_s1027" style="position:absolute;top:27587;width:260350;height:1270;visibility:visible;mso-wrap-style:square;v-text-anchor:top" coordsize="260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" path="m,l138702,em192344,r67819,e" filled="f" strokeweight=".25542mm">
                  <v:path arrowok="t"/>
                </v:shape>
                <v:shape id="Graphic 708" o:spid="_x0000_s1028" style="position:absolute;left:138702;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" path="m53641,64370l,64370,,,53641,r,64370xe" fillcolor="#0000c0" stroked="f">
                  <v:path arrowok="t"/>
                </v:shape>
                <w10:wrap type="topAndBottom" anchorx="page"/>
              </v:group>
            </w:pict>
          </mc:Fallback>
        </mc:AlternateContent>
      </w:r>
      <w:r w:rsidRPr="003C6DAE">
        <w:rPr>
          <w:rFonts w:ascii="Trebuchet MS"/>
          <w:noProof/>
          <w:sz w:val="20"/>
          <w:lang w:val="uk-UA"/>
        </w:rPr>
        <mc:AlternateContent>
          <mc:Choice Requires="wpg">
            <w:drawing>
              <wp:anchor distT="0" distB="0" distL="0" distR="0" simplePos="0" relativeHeight="487725056" behindDoc="1" locked="0" layoutInCell="1" allowOverlap="1" wp14:anchorId="0DB46802" wp14:editId="0FC2E92A">
                <wp:simplePos x="0" y="0"/>
                <wp:positionH relativeFrom="page">
                  <wp:posOffset>5308308</wp:posOffset>
                </wp:positionH>
                <wp:positionV relativeFrom="paragraph">
                  <wp:posOffset>343363</wp:posOffset>
                </wp:positionV>
                <wp:extent cx="193675" cy="64769"/>
                <wp:effectExtent l="0" t="0" r="0" b="0"/>
                <wp:wrapTopAndBottom/>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75" cy="64769"/>
                          <a:chOff x="0" y="0"/>
                          <a:chExt cx="193675" cy="64769"/>
                        </a:xfrm>
                      </wpg:grpSpPr>
                      <wps:wsp>
                        <wps:cNvPr id="710" name="Graphic 710"/>
                        <wps:cNvSpPr/>
                        <wps:spPr>
                          <a:xfrm>
                            <a:off x="0" y="27587"/>
                            <a:ext cx="193675" cy="1270"/>
                          </a:xfrm>
                          <a:custGeom>
                            <a:avLst/>
                            <a:gdLst/>
                            <a:ahLst/>
                            <a:cxnLst/>
                            <a:rect l="l" t="t" r="r" b="b"/>
                            <a:pathLst>
                              <a:path w="193675">
                                <a:moveTo>
                                  <a:pt x="0" y="0"/>
                                </a:moveTo>
                                <a:lnTo>
                                  <a:pt x="91574" y="0"/>
                                </a:lnTo>
                              </a:path>
                              <a:path w="193675">
                                <a:moveTo>
                                  <a:pt x="145215" y="0"/>
                                </a:moveTo>
                                <a:lnTo>
                                  <a:pt x="193494" y="0"/>
                                </a:lnTo>
                              </a:path>
                            </a:pathLst>
                          </a:custGeom>
                          <a:ln w="9195">
                            <a:solidFill>
                              <a:srgbClr val="000000"/>
                            </a:solidFill>
                            <a:prstDash val="solid"/>
                          </a:ln>
                        </wps:spPr>
                        <wps:bodyPr wrap="square" lIns="0" tIns="0" rIns="0" bIns="0" rtlCol="0">
                          <a:prstTxWarp prst="textNoShape">
                            <a:avLst/>
                          </a:prstTxWarp>
                          <a:noAutofit/>
                        </wps:bodyPr>
                      </wps:wsp>
                      <wps:wsp>
                        <wps:cNvPr id="711" name="Graphic 711"/>
                        <wps:cNvSpPr/>
                        <wps:spPr>
                          <a:xfrm>
                            <a:off x="91574"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DE2D1BE" id="Group 709" o:spid="_x0000_s1026" style="position:absolute;margin-left:418pt;margin-top:27.05pt;width:15.25pt;height:5.1pt;z-index:-15591424;mso-wrap-distance-left:0;mso-wrap-distance-right:0;mso-position-horizontal-relative:page" coordsize="19367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">
                <v:shape id="Graphic 710" o:spid="_x0000_s1027" style="position:absolute;top:27587;width:193675;height:1270;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" path="m,l91574,em145215,r48279,e" filled="f" strokeweight=".25542mm">
                  <v:path arrowok="t"/>
                </v:shape>
                <v:shape id="Graphic 711" o:spid="_x0000_s1028" style="position:absolute;left:91574;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" path="m53641,64370l,64370,,,53641,r,64370xe" fillcolor="#0000c0" stroked="f">
                  <v:path arrowok="t"/>
                </v:shape>
                <w10:wrap type="topAndBottom" anchorx="page"/>
              </v:group>
            </w:pict>
          </mc:Fallback>
        </mc:AlternateContent>
      </w:r>
      <w:r w:rsidRPr="003C6DAE">
        <w:rPr>
          <w:rFonts w:ascii="Trebuchet MS"/>
          <w:noProof/>
          <w:sz w:val="20"/>
          <w:lang w:val="uk-UA"/>
        </w:rPr>
        <mc:AlternateContent>
          <mc:Choice Requires="wpg">
            <w:drawing>
              <wp:anchor distT="0" distB="0" distL="0" distR="0" simplePos="0" relativeHeight="487725568" behindDoc="1" locked="0" layoutInCell="1" allowOverlap="1" wp14:anchorId="6B464183" wp14:editId="4377ADC6">
                <wp:simplePos x="0" y="0"/>
                <wp:positionH relativeFrom="page">
                  <wp:posOffset>5289150</wp:posOffset>
                </wp:positionH>
                <wp:positionV relativeFrom="paragraph">
                  <wp:posOffset>490495</wp:posOffset>
                </wp:positionV>
                <wp:extent cx="195580" cy="64769"/>
                <wp:effectExtent l="0" t="0" r="0" b="0"/>
                <wp:wrapTopAndBottom/>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64769"/>
                          <a:chOff x="0" y="0"/>
                          <a:chExt cx="195580" cy="64769"/>
                        </a:xfrm>
                      </wpg:grpSpPr>
                      <wps:wsp>
                        <wps:cNvPr id="713" name="Graphic 713"/>
                        <wps:cNvSpPr/>
                        <wps:spPr>
                          <a:xfrm>
                            <a:off x="0" y="27587"/>
                            <a:ext cx="195580" cy="1270"/>
                          </a:xfrm>
                          <a:custGeom>
                            <a:avLst/>
                            <a:gdLst/>
                            <a:ahLst/>
                            <a:cxnLst/>
                            <a:rect l="l" t="t" r="r" b="b"/>
                            <a:pathLst>
                              <a:path w="195580">
                                <a:moveTo>
                                  <a:pt x="0" y="0"/>
                                </a:moveTo>
                                <a:lnTo>
                                  <a:pt x="89657" y="0"/>
                                </a:lnTo>
                              </a:path>
                              <a:path w="195580">
                                <a:moveTo>
                                  <a:pt x="143301" y="0"/>
                                </a:moveTo>
                                <a:lnTo>
                                  <a:pt x="195026" y="0"/>
                                </a:lnTo>
                              </a:path>
                            </a:pathLst>
                          </a:custGeom>
                          <a:ln w="9195">
                            <a:solidFill>
                              <a:srgbClr val="000000"/>
                            </a:solidFill>
                            <a:prstDash val="solid"/>
                          </a:ln>
                        </wps:spPr>
                        <wps:bodyPr wrap="square" lIns="0" tIns="0" rIns="0" bIns="0" rtlCol="0">
                          <a:prstTxWarp prst="textNoShape">
                            <a:avLst/>
                          </a:prstTxWarp>
                          <a:noAutofit/>
                        </wps:bodyPr>
                      </wps:wsp>
                      <wps:wsp>
                        <wps:cNvPr id="714" name="Graphic 714"/>
                        <wps:cNvSpPr/>
                        <wps:spPr>
                          <a:xfrm>
                            <a:off x="89657" y="0"/>
                            <a:ext cx="53975" cy="64769"/>
                          </a:xfrm>
                          <a:custGeom>
                            <a:avLst/>
                            <a:gdLst/>
                            <a:ahLst/>
                            <a:cxnLst/>
                            <a:rect l="l" t="t" r="r" b="b"/>
                            <a:pathLst>
                              <a:path w="53975" h="64769">
                                <a:moveTo>
                                  <a:pt x="53643" y="64370"/>
                                </a:moveTo>
                                <a:lnTo>
                                  <a:pt x="0" y="64370"/>
                                </a:lnTo>
                                <a:lnTo>
                                  <a:pt x="0" y="0"/>
                                </a:lnTo>
                                <a:lnTo>
                                  <a:pt x="53643" y="0"/>
                                </a:lnTo>
                                <a:lnTo>
                                  <a:pt x="53643"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8619BAA" id="Group 712" o:spid="_x0000_s1026" style="position:absolute;margin-left:416.45pt;margin-top:38.6pt;width:15.4pt;height:5.1pt;z-index:-15590912;mso-wrap-distance-left:0;mso-wrap-distance-right:0;mso-position-horizontal-relative:page" coordsize="19558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">
                <v:shape id="Graphic 713" o:spid="_x0000_s1027" style="position:absolute;top:27587;width:195580;height:1270;visibility:visible;mso-wrap-style:square;v-text-anchor:top" coordsize="195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" path="m,l89657,em143301,r51725,e" filled="f" strokeweight=".25542mm">
                  <v:path arrowok="t"/>
                </v:shape>
                <v:shape id="Graphic 714" o:spid="_x0000_s1028" style="position:absolute;left:89657;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" path="m53643,64370l,64370,,,53643,r,64370xe" fillcolor="#0000c0" stroked="f">
                  <v:path arrowok="t"/>
                </v:shape>
                <w10:wrap type="topAndBottom" anchorx="page"/>
              </v:group>
            </w:pict>
          </mc:Fallback>
        </mc:AlternateContent>
      </w:r>
      <w:r w:rsidRPr="003C6DAE">
        <w:rPr>
          <w:rFonts w:ascii="Trebuchet MS"/>
          <w:noProof/>
          <w:sz w:val="20"/>
          <w:lang w:val="uk-UA"/>
        </w:rPr>
        <mc:AlternateContent>
          <mc:Choice Requires="wpg">
            <w:drawing>
              <wp:anchor distT="0" distB="0" distL="0" distR="0" simplePos="0" relativeHeight="487726080" behindDoc="1" locked="0" layoutInCell="1" allowOverlap="1" wp14:anchorId="645CAB90" wp14:editId="615263A3">
                <wp:simplePos x="0" y="0"/>
                <wp:positionH relativeFrom="page">
                  <wp:posOffset>5128224</wp:posOffset>
                </wp:positionH>
                <wp:positionV relativeFrom="paragraph">
                  <wp:posOffset>637627</wp:posOffset>
                </wp:positionV>
                <wp:extent cx="351155" cy="64769"/>
                <wp:effectExtent l="0" t="0" r="0" b="0"/>
                <wp:wrapTopAndBottom/>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155" cy="64769"/>
                          <a:chOff x="0" y="0"/>
                          <a:chExt cx="351155" cy="64769"/>
                        </a:xfrm>
                      </wpg:grpSpPr>
                      <wps:wsp>
                        <wps:cNvPr id="716" name="Graphic 716"/>
                        <wps:cNvSpPr/>
                        <wps:spPr>
                          <a:xfrm>
                            <a:off x="0" y="27586"/>
                            <a:ext cx="351155" cy="1270"/>
                          </a:xfrm>
                          <a:custGeom>
                            <a:avLst/>
                            <a:gdLst/>
                            <a:ahLst/>
                            <a:cxnLst/>
                            <a:rect l="l" t="t" r="r" b="b"/>
                            <a:pathLst>
                              <a:path w="351155">
                                <a:moveTo>
                                  <a:pt x="0" y="0"/>
                                </a:moveTo>
                                <a:lnTo>
                                  <a:pt x="181999" y="0"/>
                                </a:lnTo>
                              </a:path>
                              <a:path w="351155">
                                <a:moveTo>
                                  <a:pt x="235641" y="0"/>
                                </a:moveTo>
                                <a:lnTo>
                                  <a:pt x="350971" y="0"/>
                                </a:lnTo>
                              </a:path>
                            </a:pathLst>
                          </a:custGeom>
                          <a:ln w="9195">
                            <a:solidFill>
                              <a:srgbClr val="000000"/>
                            </a:solidFill>
                            <a:prstDash val="solid"/>
                          </a:ln>
                        </wps:spPr>
                        <wps:bodyPr wrap="square" lIns="0" tIns="0" rIns="0" bIns="0" rtlCol="0">
                          <a:prstTxWarp prst="textNoShape">
                            <a:avLst/>
                          </a:prstTxWarp>
                          <a:noAutofit/>
                        </wps:bodyPr>
                      </wps:wsp>
                      <wps:wsp>
                        <wps:cNvPr id="717" name="Graphic 717"/>
                        <wps:cNvSpPr/>
                        <wps:spPr>
                          <a:xfrm>
                            <a:off x="181999"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FE406CB" id="Group 715" o:spid="_x0000_s1026" style="position:absolute;margin-left:403.8pt;margin-top:50.2pt;width:27.65pt;height:5.1pt;z-index:-15590400;mso-wrap-distance-left:0;mso-wrap-distance-right:0;mso-position-horizontal-relative:page" coordsize="35115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">
                <v:shape id="Graphic 716" o:spid="_x0000_s1027" style="position:absolute;top:27586;width:351155;height:1270;visibility:visible;mso-wrap-style:square;v-text-anchor:top" coordsize="351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" path="m,l181999,em235641,l350971,e" filled="f" strokeweight=".25542mm">
                  <v:path arrowok="t"/>
                </v:shape>
                <v:shape id="Graphic 717" o:spid="_x0000_s1028" style="position:absolute;left:181999;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" path="m53641,64370l,64370,,,53641,r,64370xe" fillcolor="#0000c0" stroked="f">
                  <v:path arrowok="t"/>
                </v:shape>
                <w10:wrap type="topAndBottom" anchorx="page"/>
              </v:group>
            </w:pict>
          </mc:Fallback>
        </mc:AlternateContent>
      </w:r>
      <w:r w:rsidRPr="003C6DAE">
        <w:rPr>
          <w:rFonts w:ascii="Trebuchet MS"/>
          <w:noProof/>
          <w:sz w:val="20"/>
          <w:lang w:val="uk-UA"/>
        </w:rPr>
        <mc:AlternateContent>
          <mc:Choice Requires="wpg">
            <w:drawing>
              <wp:anchor distT="0" distB="0" distL="0" distR="0" simplePos="0" relativeHeight="487726592" behindDoc="1" locked="0" layoutInCell="1" allowOverlap="1" wp14:anchorId="63425C41" wp14:editId="30C554D5">
                <wp:simplePos x="0" y="0"/>
                <wp:positionH relativeFrom="page">
                  <wp:posOffset>4928983</wp:posOffset>
                </wp:positionH>
                <wp:positionV relativeFrom="paragraph">
                  <wp:posOffset>784759</wp:posOffset>
                </wp:positionV>
                <wp:extent cx="575945" cy="64769"/>
                <wp:effectExtent l="0" t="0" r="0" b="0"/>
                <wp:wrapTopAndBottom/>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 cy="64769"/>
                          <a:chOff x="0" y="0"/>
                          <a:chExt cx="575945" cy="64769"/>
                        </a:xfrm>
                      </wpg:grpSpPr>
                      <wps:wsp>
                        <wps:cNvPr id="719" name="Graphic 719"/>
                        <wps:cNvSpPr/>
                        <wps:spPr>
                          <a:xfrm>
                            <a:off x="0" y="27586"/>
                            <a:ext cx="575945" cy="1270"/>
                          </a:xfrm>
                          <a:custGeom>
                            <a:avLst/>
                            <a:gdLst/>
                            <a:ahLst/>
                            <a:cxnLst/>
                            <a:rect l="l" t="t" r="r" b="b"/>
                            <a:pathLst>
                              <a:path w="575945">
                                <a:moveTo>
                                  <a:pt x="0" y="0"/>
                                </a:moveTo>
                                <a:lnTo>
                                  <a:pt x="314954" y="0"/>
                                </a:lnTo>
                              </a:path>
                              <a:path w="575945">
                                <a:moveTo>
                                  <a:pt x="368596" y="0"/>
                                </a:moveTo>
                                <a:lnTo>
                                  <a:pt x="575501" y="0"/>
                                </a:lnTo>
                              </a:path>
                            </a:pathLst>
                          </a:custGeom>
                          <a:ln w="9195">
                            <a:solidFill>
                              <a:srgbClr val="000000"/>
                            </a:solidFill>
                            <a:prstDash val="solid"/>
                          </a:ln>
                        </wps:spPr>
                        <wps:bodyPr wrap="square" lIns="0" tIns="0" rIns="0" bIns="0" rtlCol="0">
                          <a:prstTxWarp prst="textNoShape">
                            <a:avLst/>
                          </a:prstTxWarp>
                          <a:noAutofit/>
                        </wps:bodyPr>
                      </wps:wsp>
                      <wps:wsp>
                        <wps:cNvPr id="720" name="Graphic 720"/>
                        <wps:cNvSpPr/>
                        <wps:spPr>
                          <a:xfrm>
                            <a:off x="314954"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C944A00" id="Group 718" o:spid="_x0000_s1026" style="position:absolute;margin-left:388.1pt;margin-top:61.8pt;width:45.35pt;height:5.1pt;z-index:-15589888;mso-wrap-distance-left:0;mso-wrap-distance-right:0;mso-position-horizontal-relative:page" coordsize="575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">
                <v:shape id="Graphic 719" o:spid="_x0000_s1027" style="position:absolute;top:275;width:5759;height:13;visibility:visible;mso-wrap-style:square;v-text-anchor:top" coordsize="575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" path="m,l314954,em368596,l575501,e" filled="f" strokeweight=".25542mm">
                  <v:path arrowok="t"/>
                </v:shape>
                <v:shape id="Graphic 720" o:spid="_x0000_s1028" style="position:absolute;left:3149;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" path="m53641,64370l,64370,,,53641,r,64370xe" fillcolor="#0000c0" stroked="f">
                  <v:path arrowok="t"/>
                </v:shape>
                <w10:wrap type="topAndBottom" anchorx="page"/>
              </v:group>
            </w:pict>
          </mc:Fallback>
        </mc:AlternateContent>
      </w:r>
      <w:r w:rsidRPr="003C6DAE">
        <w:rPr>
          <w:rFonts w:ascii="Trebuchet MS"/>
          <w:noProof/>
          <w:sz w:val="20"/>
          <w:lang w:val="uk-UA"/>
        </w:rPr>
        <mc:AlternateContent>
          <mc:Choice Requires="wpg">
            <w:drawing>
              <wp:anchor distT="0" distB="0" distL="0" distR="0" simplePos="0" relativeHeight="487727104" behindDoc="1" locked="0" layoutInCell="1" allowOverlap="1" wp14:anchorId="5EF3FD1A" wp14:editId="1D544972">
                <wp:simplePos x="0" y="0"/>
                <wp:positionH relativeFrom="page">
                  <wp:posOffset>4858482</wp:posOffset>
                </wp:positionH>
                <wp:positionV relativeFrom="paragraph">
                  <wp:posOffset>931891</wp:posOffset>
                </wp:positionV>
                <wp:extent cx="675640" cy="64769"/>
                <wp:effectExtent l="0" t="0" r="0" b="0"/>
                <wp:wrapTopAndBottom/>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64769"/>
                          <a:chOff x="0" y="0"/>
                          <a:chExt cx="675640" cy="64769"/>
                        </a:xfrm>
                      </wpg:grpSpPr>
                      <wps:wsp>
                        <wps:cNvPr id="722" name="Graphic 722"/>
                        <wps:cNvSpPr/>
                        <wps:spPr>
                          <a:xfrm>
                            <a:off x="0" y="27586"/>
                            <a:ext cx="675640" cy="1270"/>
                          </a:xfrm>
                          <a:custGeom>
                            <a:avLst/>
                            <a:gdLst/>
                            <a:ahLst/>
                            <a:cxnLst/>
                            <a:rect l="l" t="t" r="r" b="b"/>
                            <a:pathLst>
                              <a:path w="675640">
                                <a:moveTo>
                                  <a:pt x="0" y="0"/>
                                </a:moveTo>
                                <a:lnTo>
                                  <a:pt x="385455" y="0"/>
                                </a:lnTo>
                              </a:path>
                              <a:path w="675640">
                                <a:moveTo>
                                  <a:pt x="439097" y="0"/>
                                </a:moveTo>
                                <a:lnTo>
                                  <a:pt x="675121" y="0"/>
                                </a:lnTo>
                              </a:path>
                            </a:pathLst>
                          </a:custGeom>
                          <a:ln w="9195">
                            <a:solidFill>
                              <a:srgbClr val="000000"/>
                            </a:solidFill>
                            <a:prstDash val="solid"/>
                          </a:ln>
                        </wps:spPr>
                        <wps:bodyPr wrap="square" lIns="0" tIns="0" rIns="0" bIns="0" rtlCol="0">
                          <a:prstTxWarp prst="textNoShape">
                            <a:avLst/>
                          </a:prstTxWarp>
                          <a:noAutofit/>
                        </wps:bodyPr>
                      </wps:wsp>
                      <wps:wsp>
                        <wps:cNvPr id="723" name="Graphic 723"/>
                        <wps:cNvSpPr/>
                        <wps:spPr>
                          <a:xfrm>
                            <a:off x="385455"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61AB787" id="Group 721" o:spid="_x0000_s1026" style="position:absolute;margin-left:382.55pt;margin-top:73.4pt;width:53.2pt;height:5.1pt;z-index:-15589376;mso-wrap-distance-left:0;mso-wrap-distance-right:0;mso-position-horizontal-relative:page" coordsize="6756,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">
                <v:shape id="Graphic 722" o:spid="_x0000_s1027" style="position:absolute;top:275;width:6756;height:13;visibility:visible;mso-wrap-style:square;v-text-anchor:top" coordsize="675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" path="m,l385455,em439097,l675121,e" filled="f" strokeweight=".25542mm">
                  <v:path arrowok="t"/>
                </v:shape>
                <v:shape id="Graphic 723" o:spid="_x0000_s1028" style="position:absolute;left:3854;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" path="m53641,64370l,64370,,,53641,r,64370xe" fillcolor="#0000c0" stroked="f">
                  <v:path arrowok="t"/>
                </v:shape>
                <w10:wrap type="topAndBottom" anchorx="page"/>
              </v:group>
            </w:pict>
          </mc:Fallback>
        </mc:AlternateContent>
      </w:r>
      <w:r w:rsidRPr="003C6DAE">
        <w:rPr>
          <w:rFonts w:ascii="Trebuchet MS"/>
          <w:noProof/>
          <w:sz w:val="20"/>
          <w:lang w:val="uk-UA"/>
        </w:rPr>
        <mc:AlternateContent>
          <mc:Choice Requires="wpg">
            <w:drawing>
              <wp:anchor distT="0" distB="0" distL="0" distR="0" simplePos="0" relativeHeight="487727616" behindDoc="1" locked="0" layoutInCell="1" allowOverlap="1" wp14:anchorId="6257225B" wp14:editId="45925AA1">
                <wp:simplePos x="0" y="0"/>
                <wp:positionH relativeFrom="page">
                  <wp:posOffset>4762310</wp:posOffset>
                </wp:positionH>
                <wp:positionV relativeFrom="paragraph">
                  <wp:posOffset>1079023</wp:posOffset>
                </wp:positionV>
                <wp:extent cx="702945" cy="64769"/>
                <wp:effectExtent l="0" t="0" r="0" b="0"/>
                <wp:wrapTopAndBottom/>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945" cy="64769"/>
                          <a:chOff x="0" y="0"/>
                          <a:chExt cx="702945" cy="64769"/>
                        </a:xfrm>
                      </wpg:grpSpPr>
                      <wps:wsp>
                        <wps:cNvPr id="725" name="Graphic 725"/>
                        <wps:cNvSpPr/>
                        <wps:spPr>
                          <a:xfrm>
                            <a:off x="0" y="27586"/>
                            <a:ext cx="702945" cy="1270"/>
                          </a:xfrm>
                          <a:custGeom>
                            <a:avLst/>
                            <a:gdLst/>
                            <a:ahLst/>
                            <a:cxnLst/>
                            <a:rect l="l" t="t" r="r" b="b"/>
                            <a:pathLst>
                              <a:path w="702945">
                                <a:moveTo>
                                  <a:pt x="0" y="0"/>
                                </a:moveTo>
                                <a:lnTo>
                                  <a:pt x="328364" y="0"/>
                                </a:lnTo>
                              </a:path>
                              <a:path w="702945">
                                <a:moveTo>
                                  <a:pt x="382006" y="0"/>
                                </a:moveTo>
                                <a:lnTo>
                                  <a:pt x="702325" y="0"/>
                                </a:lnTo>
                              </a:path>
                            </a:pathLst>
                          </a:custGeom>
                          <a:ln w="9195">
                            <a:solidFill>
                              <a:srgbClr val="000000"/>
                            </a:solidFill>
                            <a:prstDash val="solid"/>
                          </a:ln>
                        </wps:spPr>
                        <wps:bodyPr wrap="square" lIns="0" tIns="0" rIns="0" bIns="0" rtlCol="0">
                          <a:prstTxWarp prst="textNoShape">
                            <a:avLst/>
                          </a:prstTxWarp>
                          <a:noAutofit/>
                        </wps:bodyPr>
                      </wps:wsp>
                      <wps:wsp>
                        <wps:cNvPr id="726" name="Graphic 726"/>
                        <wps:cNvSpPr/>
                        <wps:spPr>
                          <a:xfrm>
                            <a:off x="328364"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C4C0395" id="Group 724" o:spid="_x0000_s1026" style="position:absolute;margin-left:375pt;margin-top:84.95pt;width:55.35pt;height:5.1pt;z-index:-15588864;mso-wrap-distance-left:0;mso-wrap-distance-right:0;mso-position-horizontal-relative:page" coordsize="702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">
                <v:shape id="Graphic 725" o:spid="_x0000_s1027" style="position:absolute;top:275;width:7029;height:13;visibility:visible;mso-wrap-style:square;v-text-anchor:top" coordsize="702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" path="m,l328364,em382006,l702325,e" filled="f" strokeweight=".25542mm">
                  <v:path arrowok="t"/>
                </v:shape>
                <v:shape id="Graphic 726" o:spid="_x0000_s1028" style="position:absolute;left:3283;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" path="m53641,64370l,64370,,,53641,r,64370xe" fillcolor="#0000c0" stroked="f">
                  <v:path arrowok="t"/>
                </v:shape>
                <w10:wrap type="topAndBottom" anchorx="page"/>
              </v:group>
            </w:pict>
          </mc:Fallback>
        </mc:AlternateContent>
      </w:r>
      <w:r w:rsidRPr="003C6DAE">
        <w:rPr>
          <w:rFonts w:ascii="Trebuchet MS"/>
          <w:noProof/>
          <w:sz w:val="20"/>
          <w:lang w:val="uk-UA"/>
        </w:rPr>
        <mc:AlternateContent>
          <mc:Choice Requires="wpg">
            <w:drawing>
              <wp:anchor distT="0" distB="0" distL="0" distR="0" simplePos="0" relativeHeight="487728128" behindDoc="1" locked="0" layoutInCell="1" allowOverlap="1" wp14:anchorId="4FEA0B7A" wp14:editId="1AAB9F84">
                <wp:simplePos x="0" y="0"/>
                <wp:positionH relativeFrom="page">
                  <wp:posOffset>4890284</wp:posOffset>
                </wp:positionH>
                <wp:positionV relativeFrom="paragraph">
                  <wp:posOffset>1226153</wp:posOffset>
                </wp:positionV>
                <wp:extent cx="409575" cy="64769"/>
                <wp:effectExtent l="0" t="0" r="0" b="0"/>
                <wp:wrapTopAndBottom/>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575" cy="64769"/>
                          <a:chOff x="0" y="0"/>
                          <a:chExt cx="409575" cy="64769"/>
                        </a:xfrm>
                      </wpg:grpSpPr>
                      <wps:wsp>
                        <wps:cNvPr id="728" name="Graphic 728"/>
                        <wps:cNvSpPr/>
                        <wps:spPr>
                          <a:xfrm>
                            <a:off x="0" y="27588"/>
                            <a:ext cx="409575" cy="1270"/>
                          </a:xfrm>
                          <a:custGeom>
                            <a:avLst/>
                            <a:gdLst/>
                            <a:ahLst/>
                            <a:cxnLst/>
                            <a:rect l="l" t="t" r="r" b="b"/>
                            <a:pathLst>
                              <a:path w="409575">
                                <a:moveTo>
                                  <a:pt x="0" y="0"/>
                                </a:moveTo>
                                <a:lnTo>
                                  <a:pt x="178168" y="0"/>
                                </a:lnTo>
                              </a:path>
                              <a:path w="409575">
                                <a:moveTo>
                                  <a:pt x="231809" y="0"/>
                                </a:moveTo>
                                <a:lnTo>
                                  <a:pt x="409211" y="0"/>
                                </a:lnTo>
                              </a:path>
                            </a:pathLst>
                          </a:custGeom>
                          <a:ln w="9195">
                            <a:solidFill>
                              <a:srgbClr val="000000"/>
                            </a:solidFill>
                            <a:prstDash val="solid"/>
                          </a:ln>
                        </wps:spPr>
                        <wps:bodyPr wrap="square" lIns="0" tIns="0" rIns="0" bIns="0" rtlCol="0">
                          <a:prstTxWarp prst="textNoShape">
                            <a:avLst/>
                          </a:prstTxWarp>
                          <a:noAutofit/>
                        </wps:bodyPr>
                      </wps:wsp>
                      <wps:wsp>
                        <wps:cNvPr id="729" name="Graphic 729"/>
                        <wps:cNvSpPr/>
                        <wps:spPr>
                          <a:xfrm>
                            <a:off x="178168"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5D01D74" id="Group 727" o:spid="_x0000_s1026" style="position:absolute;margin-left:385.05pt;margin-top:96.55pt;width:32.25pt;height:5.1pt;z-index:-15588352;mso-wrap-distance-left:0;mso-wrap-distance-right:0;mso-position-horizontal-relative:page" coordsize="40957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">
                <v:shape id="Graphic 728" o:spid="_x0000_s1027" style="position:absolute;top:27588;width:409575;height:1270;visibility:visible;mso-wrap-style:square;v-text-anchor:top" coordsize="409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" path="m,l178168,em231809,l409211,e" filled="f" strokeweight=".25542mm">
                  <v:path arrowok="t"/>
                </v:shape>
                <v:shape id="Graphic 729" o:spid="_x0000_s1028" style="position:absolute;left:178168;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" path="m53641,64370l,64370,,,53641,r,64370xe" fillcolor="#0000c0" stroked="f">
                  <v:path arrowok="t"/>
                </v:shape>
                <w10:wrap type="topAndBottom" anchorx="page"/>
              </v:group>
            </w:pict>
          </mc:Fallback>
        </mc:AlternateContent>
      </w:r>
      <w:r w:rsidRPr="003C6DAE">
        <w:rPr>
          <w:rFonts w:ascii="Trebuchet MS"/>
          <w:noProof/>
          <w:sz w:val="20"/>
          <w:lang w:val="uk-UA"/>
        </w:rPr>
        <mc:AlternateContent>
          <mc:Choice Requires="wpg">
            <w:drawing>
              <wp:anchor distT="0" distB="0" distL="0" distR="0" simplePos="0" relativeHeight="487728640" behindDoc="1" locked="0" layoutInCell="1" allowOverlap="1" wp14:anchorId="5460DBC5" wp14:editId="45135A4D">
                <wp:simplePos x="0" y="0"/>
                <wp:positionH relativeFrom="page">
                  <wp:posOffset>4851202</wp:posOffset>
                </wp:positionH>
                <wp:positionV relativeFrom="paragraph">
                  <wp:posOffset>1373285</wp:posOffset>
                </wp:positionV>
                <wp:extent cx="309245" cy="64769"/>
                <wp:effectExtent l="0" t="0" r="0" b="0"/>
                <wp:wrapTopAndBottom/>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 cy="64769"/>
                          <a:chOff x="0" y="0"/>
                          <a:chExt cx="309245" cy="64769"/>
                        </a:xfrm>
                      </wpg:grpSpPr>
                      <wps:wsp>
                        <wps:cNvPr id="731" name="Graphic 731"/>
                        <wps:cNvSpPr/>
                        <wps:spPr>
                          <a:xfrm>
                            <a:off x="0" y="27587"/>
                            <a:ext cx="309245" cy="1270"/>
                          </a:xfrm>
                          <a:custGeom>
                            <a:avLst/>
                            <a:gdLst/>
                            <a:ahLst/>
                            <a:cxnLst/>
                            <a:rect l="l" t="t" r="r" b="b"/>
                            <a:pathLst>
                              <a:path w="309245">
                                <a:moveTo>
                                  <a:pt x="0" y="0"/>
                                </a:moveTo>
                                <a:lnTo>
                                  <a:pt x="121076" y="0"/>
                                </a:lnTo>
                              </a:path>
                              <a:path w="309245">
                                <a:moveTo>
                                  <a:pt x="174720" y="0"/>
                                </a:moveTo>
                                <a:lnTo>
                                  <a:pt x="308824" y="0"/>
                                </a:lnTo>
                              </a:path>
                            </a:pathLst>
                          </a:custGeom>
                          <a:ln w="9195">
                            <a:solidFill>
                              <a:srgbClr val="000000"/>
                            </a:solidFill>
                            <a:prstDash val="solid"/>
                          </a:ln>
                        </wps:spPr>
                        <wps:bodyPr wrap="square" lIns="0" tIns="0" rIns="0" bIns="0" rtlCol="0">
                          <a:prstTxWarp prst="textNoShape">
                            <a:avLst/>
                          </a:prstTxWarp>
                          <a:noAutofit/>
                        </wps:bodyPr>
                      </wps:wsp>
                      <wps:wsp>
                        <wps:cNvPr id="732" name="Graphic 732"/>
                        <wps:cNvSpPr/>
                        <wps:spPr>
                          <a:xfrm>
                            <a:off x="121076" y="0"/>
                            <a:ext cx="53975" cy="64769"/>
                          </a:xfrm>
                          <a:custGeom>
                            <a:avLst/>
                            <a:gdLst/>
                            <a:ahLst/>
                            <a:cxnLst/>
                            <a:rect l="l" t="t" r="r" b="b"/>
                            <a:pathLst>
                              <a:path w="53975" h="64769">
                                <a:moveTo>
                                  <a:pt x="53643" y="64370"/>
                                </a:moveTo>
                                <a:lnTo>
                                  <a:pt x="0" y="64370"/>
                                </a:lnTo>
                                <a:lnTo>
                                  <a:pt x="0" y="0"/>
                                </a:lnTo>
                                <a:lnTo>
                                  <a:pt x="53643" y="0"/>
                                </a:lnTo>
                                <a:lnTo>
                                  <a:pt x="53643"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FC55B62" id="Group 730" o:spid="_x0000_s1026" style="position:absolute;margin-left:382pt;margin-top:108.15pt;width:24.35pt;height:5.1pt;z-index:-15587840;mso-wrap-distance-left:0;mso-wrap-distance-right:0;mso-position-horizontal-relative:page" coordsize="30924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">
                <v:shape id="Graphic 731" o:spid="_x0000_s1027" style="position:absolute;top:27587;width:309245;height:1270;visibility:visible;mso-wrap-style:square;v-text-anchor:top" coordsize="309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" path="m,l121076,em174720,l308824,e" filled="f" strokeweight=".25542mm">
                  <v:path arrowok="t"/>
                </v:shape>
                <v:shape id="Graphic 732" o:spid="_x0000_s1028" style="position:absolute;left:121076;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" path="m53643,64370l,64370,,,53643,r,64370xe" fillcolor="#0000c0" stroked="f">
                  <v:path arrowok="t"/>
                </v:shape>
                <w10:wrap type="topAndBottom" anchorx="page"/>
              </v:group>
            </w:pict>
          </mc:Fallback>
        </mc:AlternateContent>
      </w:r>
    </w:p>
    <w:p w14:paraId="5470099C" w14:textId="77777777" w:rsidR="00E05B98" w:rsidRPr="003C6DAE" w:rsidRDefault="00E05B98">
      <w:pPr>
        <w:pStyle w:val="a3"/>
        <w:spacing w:before="1"/>
        <w:rPr>
          <w:rFonts w:ascii="Trebuchet MS"/>
          <w:sz w:val="9"/>
          <w:lang w:val="uk-UA"/>
        </w:rPr>
      </w:pPr>
    </w:p>
    <w:p w14:paraId="692D837B" w14:textId="77777777" w:rsidR="00E05B98" w:rsidRPr="003C6DAE" w:rsidRDefault="00E05B98">
      <w:pPr>
        <w:pStyle w:val="a3"/>
        <w:spacing w:before="1"/>
        <w:rPr>
          <w:rFonts w:ascii="Trebuchet MS"/>
          <w:sz w:val="9"/>
          <w:lang w:val="uk-UA"/>
        </w:rPr>
      </w:pPr>
    </w:p>
    <w:p w14:paraId="1219EF69" w14:textId="77777777" w:rsidR="00E05B98" w:rsidRPr="003C6DAE" w:rsidRDefault="00E05B98">
      <w:pPr>
        <w:pStyle w:val="a3"/>
        <w:spacing w:before="1"/>
        <w:rPr>
          <w:rFonts w:ascii="Trebuchet MS"/>
          <w:sz w:val="9"/>
          <w:lang w:val="uk-UA"/>
        </w:rPr>
      </w:pPr>
    </w:p>
    <w:p w14:paraId="08024DF0" w14:textId="77777777" w:rsidR="00E05B98" w:rsidRPr="003C6DAE" w:rsidRDefault="00E05B98">
      <w:pPr>
        <w:pStyle w:val="a3"/>
        <w:spacing w:before="1"/>
        <w:rPr>
          <w:rFonts w:ascii="Trebuchet MS"/>
          <w:sz w:val="9"/>
          <w:lang w:val="uk-UA"/>
        </w:rPr>
      </w:pPr>
    </w:p>
    <w:p w14:paraId="5B74ABE7" w14:textId="77777777" w:rsidR="00E05B98" w:rsidRPr="003C6DAE" w:rsidRDefault="00E05B98">
      <w:pPr>
        <w:pStyle w:val="a3"/>
        <w:spacing w:before="1"/>
        <w:rPr>
          <w:rFonts w:ascii="Trebuchet MS"/>
          <w:sz w:val="9"/>
          <w:lang w:val="uk-UA"/>
        </w:rPr>
      </w:pPr>
    </w:p>
    <w:p w14:paraId="25F3B435" w14:textId="77777777" w:rsidR="00E05B98" w:rsidRPr="003C6DAE" w:rsidRDefault="00E05B98">
      <w:pPr>
        <w:pStyle w:val="a3"/>
        <w:spacing w:before="1"/>
        <w:rPr>
          <w:rFonts w:ascii="Trebuchet MS"/>
          <w:sz w:val="9"/>
          <w:lang w:val="uk-UA"/>
        </w:rPr>
      </w:pPr>
    </w:p>
    <w:p w14:paraId="11550F54" w14:textId="77777777" w:rsidR="00E05B98" w:rsidRPr="003C6DAE" w:rsidRDefault="00E05B98">
      <w:pPr>
        <w:pStyle w:val="a3"/>
        <w:spacing w:before="1"/>
        <w:rPr>
          <w:rFonts w:ascii="Trebuchet MS"/>
          <w:sz w:val="9"/>
          <w:lang w:val="uk-UA"/>
        </w:rPr>
      </w:pPr>
    </w:p>
    <w:p w14:paraId="0739B43B" w14:textId="77777777" w:rsidR="00E05B98" w:rsidRPr="003C6DAE" w:rsidRDefault="00E05B98">
      <w:pPr>
        <w:pStyle w:val="a3"/>
        <w:spacing w:before="1"/>
        <w:rPr>
          <w:rFonts w:ascii="Trebuchet MS"/>
          <w:sz w:val="9"/>
          <w:lang w:val="uk-UA"/>
        </w:rPr>
      </w:pPr>
    </w:p>
    <w:p w14:paraId="4BC3DD13" w14:textId="77777777" w:rsidR="00E05B98" w:rsidRPr="003C6DAE" w:rsidRDefault="00E05B98">
      <w:pPr>
        <w:pStyle w:val="a3"/>
        <w:spacing w:before="2"/>
        <w:rPr>
          <w:rFonts w:ascii="Trebuchet MS"/>
          <w:sz w:val="11"/>
          <w:lang w:val="uk-UA"/>
        </w:rPr>
      </w:pPr>
    </w:p>
    <w:p w14:paraId="34051119" w14:textId="77777777" w:rsidR="00E05B98" w:rsidRPr="003C6DAE" w:rsidRDefault="00B01E0C">
      <w:pPr>
        <w:pStyle w:val="a3"/>
        <w:spacing w:line="224" w:lineRule="exact"/>
        <w:ind w:left="-23" w:right="-72"/>
        <w:rPr>
          <w:rFonts w:ascii="Trebuchet MS"/>
          <w:position w:val="-3"/>
          <w:sz w:val="20"/>
          <w:lang w:val="uk-UA"/>
        </w:rPr>
      </w:pPr>
      <w:r w:rsidRPr="003C6DAE">
        <w:rPr>
          <w:rFonts w:ascii="Trebuchet MS"/>
          <w:noProof/>
          <w:position w:val="-3"/>
          <w:sz w:val="20"/>
          <w:lang w:val="uk-UA"/>
        </w:rPr>
        <mc:AlternateContent>
          <mc:Choice Requires="wpg">
            <w:drawing>
              <wp:inline distT="0" distB="0" distL="0" distR="0" wp14:anchorId="6B9D8EB5" wp14:editId="1678AC12">
                <wp:extent cx="939165" cy="138430"/>
                <wp:effectExtent l="0" t="0" r="0" b="4444"/>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165" cy="138430"/>
                          <a:chOff x="0" y="0"/>
                          <a:chExt cx="939165" cy="138430"/>
                        </a:xfrm>
                      </wpg:grpSpPr>
                      <wps:wsp>
                        <wps:cNvPr id="734" name="Graphic 734"/>
                        <wps:cNvSpPr/>
                        <wps:spPr>
                          <a:xfrm>
                            <a:off x="53641" y="27587"/>
                            <a:ext cx="866140" cy="1270"/>
                          </a:xfrm>
                          <a:custGeom>
                            <a:avLst/>
                            <a:gdLst/>
                            <a:ahLst/>
                            <a:cxnLst/>
                            <a:rect l="l" t="t" r="r" b="b"/>
                            <a:pathLst>
                              <a:path w="866140">
                                <a:moveTo>
                                  <a:pt x="0" y="0"/>
                                </a:moveTo>
                                <a:lnTo>
                                  <a:pt x="865551" y="0"/>
                                </a:lnTo>
                              </a:path>
                            </a:pathLst>
                          </a:custGeom>
                          <a:ln w="9195">
                            <a:solidFill>
                              <a:srgbClr val="000000"/>
                            </a:solidFill>
                            <a:prstDash val="solid"/>
                          </a:ln>
                        </wps:spPr>
                        <wps:bodyPr wrap="square" lIns="0" tIns="0" rIns="0" bIns="0" rtlCol="0">
                          <a:prstTxWarp prst="textNoShape">
                            <a:avLst/>
                          </a:prstTxWarp>
                          <a:noAutofit/>
                        </wps:bodyPr>
                      </wps:wsp>
                      <wps:wsp>
                        <wps:cNvPr id="735" name="Graphic 735"/>
                        <wps:cNvSpPr/>
                        <wps:spPr>
                          <a:xfrm>
                            <a:off x="0"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s:wsp>
                        <wps:cNvPr id="736" name="Graphic 736"/>
                        <wps:cNvSpPr/>
                        <wps:spPr>
                          <a:xfrm>
                            <a:off x="22989" y="101153"/>
                            <a:ext cx="912494" cy="1270"/>
                          </a:xfrm>
                          <a:custGeom>
                            <a:avLst/>
                            <a:gdLst/>
                            <a:ahLst/>
                            <a:cxnLst/>
                            <a:rect l="l" t="t" r="r" b="b"/>
                            <a:pathLst>
                              <a:path w="912494">
                                <a:moveTo>
                                  <a:pt x="0" y="0"/>
                                </a:moveTo>
                                <a:lnTo>
                                  <a:pt x="911912" y="0"/>
                                </a:lnTo>
                              </a:path>
                            </a:pathLst>
                          </a:custGeom>
                          <a:ln w="9195">
                            <a:solidFill>
                              <a:srgbClr val="000000"/>
                            </a:solidFill>
                            <a:prstDash val="solid"/>
                          </a:ln>
                        </wps:spPr>
                        <wps:bodyPr wrap="square" lIns="0" tIns="0" rIns="0" bIns="0" rtlCol="0">
                          <a:prstTxWarp prst="textNoShape">
                            <a:avLst/>
                          </a:prstTxWarp>
                          <a:noAutofit/>
                        </wps:bodyPr>
                      </wps:wsp>
                      <wps:wsp>
                        <wps:cNvPr id="737" name="Graphic 737"/>
                        <wps:cNvSpPr/>
                        <wps:spPr>
                          <a:xfrm>
                            <a:off x="22989" y="64370"/>
                            <a:ext cx="1270" cy="73660"/>
                          </a:xfrm>
                          <a:custGeom>
                            <a:avLst/>
                            <a:gdLst/>
                            <a:ahLst/>
                            <a:cxnLst/>
                            <a:rect l="l" t="t" r="r" b="b"/>
                            <a:pathLst>
                              <a:path h="73660">
                                <a:moveTo>
                                  <a:pt x="0" y="0"/>
                                </a:moveTo>
                                <a:lnTo>
                                  <a:pt x="0" y="73565"/>
                                </a:lnTo>
                              </a:path>
                            </a:pathLst>
                          </a:custGeom>
                          <a:ln w="7663">
                            <a:solidFill>
                              <a:srgbClr val="000000"/>
                            </a:solidFill>
                            <a:prstDash val="solid"/>
                          </a:ln>
                        </wps:spPr>
                        <wps:bodyPr wrap="square" lIns="0" tIns="0" rIns="0" bIns="0" rtlCol="0">
                          <a:prstTxWarp prst="textNoShape">
                            <a:avLst/>
                          </a:prstTxWarp>
                          <a:noAutofit/>
                        </wps:bodyPr>
                      </wps:wsp>
                      <wps:wsp>
                        <wps:cNvPr id="738" name="Graphic 738"/>
                        <wps:cNvSpPr/>
                        <wps:spPr>
                          <a:xfrm>
                            <a:off x="205372" y="64370"/>
                            <a:ext cx="1270" cy="73660"/>
                          </a:xfrm>
                          <a:custGeom>
                            <a:avLst/>
                            <a:gdLst/>
                            <a:ahLst/>
                            <a:cxnLst/>
                            <a:rect l="l" t="t" r="r" b="b"/>
                            <a:pathLst>
                              <a:path h="73660">
                                <a:moveTo>
                                  <a:pt x="0" y="0"/>
                                </a:moveTo>
                                <a:lnTo>
                                  <a:pt x="0" y="73565"/>
                                </a:lnTo>
                              </a:path>
                            </a:pathLst>
                          </a:custGeom>
                          <a:ln w="7663">
                            <a:solidFill>
                              <a:srgbClr val="000000"/>
                            </a:solidFill>
                            <a:prstDash val="solid"/>
                          </a:ln>
                        </wps:spPr>
                        <wps:bodyPr wrap="square" lIns="0" tIns="0" rIns="0" bIns="0" rtlCol="0">
                          <a:prstTxWarp prst="textNoShape">
                            <a:avLst/>
                          </a:prstTxWarp>
                          <a:noAutofit/>
                        </wps:bodyPr>
                      </wps:wsp>
                      <wps:wsp>
                        <wps:cNvPr id="739" name="Graphic 739"/>
                        <wps:cNvSpPr/>
                        <wps:spPr>
                          <a:xfrm>
                            <a:off x="387754" y="64370"/>
                            <a:ext cx="1270" cy="73660"/>
                          </a:xfrm>
                          <a:custGeom>
                            <a:avLst/>
                            <a:gdLst/>
                            <a:ahLst/>
                            <a:cxnLst/>
                            <a:rect l="l" t="t" r="r" b="b"/>
                            <a:pathLst>
                              <a:path h="73660">
                                <a:moveTo>
                                  <a:pt x="0" y="0"/>
                                </a:moveTo>
                                <a:lnTo>
                                  <a:pt x="0" y="73565"/>
                                </a:lnTo>
                              </a:path>
                            </a:pathLst>
                          </a:custGeom>
                          <a:ln w="7663">
                            <a:solidFill>
                              <a:srgbClr val="000000"/>
                            </a:solidFill>
                            <a:prstDash val="solid"/>
                          </a:ln>
                        </wps:spPr>
                        <wps:bodyPr wrap="square" lIns="0" tIns="0" rIns="0" bIns="0" rtlCol="0">
                          <a:prstTxWarp prst="textNoShape">
                            <a:avLst/>
                          </a:prstTxWarp>
                          <a:noAutofit/>
                        </wps:bodyPr>
                      </wps:wsp>
                      <wps:wsp>
                        <wps:cNvPr id="740" name="Graphic 740"/>
                        <wps:cNvSpPr/>
                        <wps:spPr>
                          <a:xfrm>
                            <a:off x="569754" y="64370"/>
                            <a:ext cx="1270" cy="73660"/>
                          </a:xfrm>
                          <a:custGeom>
                            <a:avLst/>
                            <a:gdLst/>
                            <a:ahLst/>
                            <a:cxnLst/>
                            <a:rect l="l" t="t" r="r" b="b"/>
                            <a:pathLst>
                              <a:path h="73660">
                                <a:moveTo>
                                  <a:pt x="0" y="0"/>
                                </a:moveTo>
                                <a:lnTo>
                                  <a:pt x="0" y="73565"/>
                                </a:lnTo>
                              </a:path>
                            </a:pathLst>
                          </a:custGeom>
                          <a:ln w="7663">
                            <a:solidFill>
                              <a:srgbClr val="000000"/>
                            </a:solidFill>
                            <a:prstDash val="solid"/>
                          </a:ln>
                        </wps:spPr>
                        <wps:bodyPr wrap="square" lIns="0" tIns="0" rIns="0" bIns="0" rtlCol="0">
                          <a:prstTxWarp prst="textNoShape">
                            <a:avLst/>
                          </a:prstTxWarp>
                          <a:noAutofit/>
                        </wps:bodyPr>
                      </wps:wsp>
                      <wps:wsp>
                        <wps:cNvPr id="741" name="Graphic 741"/>
                        <wps:cNvSpPr/>
                        <wps:spPr>
                          <a:xfrm>
                            <a:off x="752519" y="64370"/>
                            <a:ext cx="1270" cy="73660"/>
                          </a:xfrm>
                          <a:custGeom>
                            <a:avLst/>
                            <a:gdLst/>
                            <a:ahLst/>
                            <a:cxnLst/>
                            <a:rect l="l" t="t" r="r" b="b"/>
                            <a:pathLst>
                              <a:path h="73660">
                                <a:moveTo>
                                  <a:pt x="0" y="0"/>
                                </a:moveTo>
                                <a:lnTo>
                                  <a:pt x="0" y="73565"/>
                                </a:lnTo>
                              </a:path>
                            </a:pathLst>
                          </a:custGeom>
                          <a:ln w="7663">
                            <a:solidFill>
                              <a:srgbClr val="000000"/>
                            </a:solidFill>
                            <a:prstDash val="solid"/>
                          </a:ln>
                        </wps:spPr>
                        <wps:bodyPr wrap="square" lIns="0" tIns="0" rIns="0" bIns="0" rtlCol="0">
                          <a:prstTxWarp prst="textNoShape">
                            <a:avLst/>
                          </a:prstTxWarp>
                          <a:noAutofit/>
                        </wps:bodyPr>
                      </wps:wsp>
                      <wps:wsp>
                        <wps:cNvPr id="742" name="Graphic 742"/>
                        <wps:cNvSpPr/>
                        <wps:spPr>
                          <a:xfrm>
                            <a:off x="934900" y="64370"/>
                            <a:ext cx="1270" cy="73660"/>
                          </a:xfrm>
                          <a:custGeom>
                            <a:avLst/>
                            <a:gdLst/>
                            <a:ahLst/>
                            <a:cxnLst/>
                            <a:rect l="l" t="t" r="r" b="b"/>
                            <a:pathLst>
                              <a:path h="73660">
                                <a:moveTo>
                                  <a:pt x="0" y="0"/>
                                </a:moveTo>
                                <a:lnTo>
                                  <a:pt x="0" y="73565"/>
                                </a:lnTo>
                              </a:path>
                            </a:pathLst>
                          </a:custGeom>
                          <a:ln w="766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5B45CA" id="Group 733" o:spid="_x0000_s1026" style="width:73.95pt;height:10.9pt;mso-position-horizontal-relative:char;mso-position-vertical-relative:line" coordsize="9391,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">
                <v:shape id="Graphic 734" o:spid="_x0000_s1027" style="position:absolute;left:536;top:275;width:8661;height:13;visibility:visible;mso-wrap-style:square;v-text-anchor:top" coordsize="866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" path="m,l865551,e" filled="f" strokeweight=".25542mm">
                  <v:path arrowok="t"/>
                </v:shape>
                <v:shape id="Graphic 735" o:spid="_x0000_s1028" style="position:absolute;width:539;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" path="m53641,64370l,64370,,,53641,r,64370xe" fillcolor="#0000c0" stroked="f">
                  <v:path arrowok="t"/>
                </v:shape>
                <v:shape id="Graphic 736" o:spid="_x0000_s1029" style="position:absolute;left:229;top:1011;width:9125;height:13;visibility:visible;mso-wrap-style:square;v-text-anchor:top" coordsize="9124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" path="m,l911912,e" filled="f" strokeweight=".25542mm">
                  <v:path arrowok="t"/>
                </v:shape>
                <v:shape id="Graphic 737" o:spid="_x0000_s1030" style="position:absolute;left:229;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" path="m,l,73565e" filled="f" strokeweight=".21286mm">
                  <v:path arrowok="t"/>
                </v:shape>
                <v:shape id="Graphic 738" o:spid="_x0000_s1031" style="position:absolute;left:2053;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" path="m,l,73565e" filled="f" strokeweight=".21286mm">
                  <v:path arrowok="t"/>
                </v:shape>
                <v:shape id="Graphic 739" o:spid="_x0000_s1032" style="position:absolute;left:3877;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" path="m,l,73565e" filled="f" strokeweight=".21286mm">
                  <v:path arrowok="t"/>
                </v:shape>
                <v:shape id="Graphic 740" o:spid="_x0000_s1033" style="position:absolute;left:5697;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" path="m,l,73565e" filled="f" strokeweight=".21286mm">
                  <v:path arrowok="t"/>
                </v:shape>
                <v:shape id="Graphic 741" o:spid="_x0000_s1034" style="position:absolute;left:7525;top:643;width:12;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" path="m,l,73565e" filled="f" strokeweight=".21286mm">
                  <v:path arrowok="t"/>
                </v:shape>
                <v:shape id="Graphic 742" o:spid="_x0000_s1035" style="position:absolute;left:9349;top:643;width:12;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" path="m,l,73565e" filled="f" strokeweight=".21286mm">
                  <v:path arrowok="t"/>
                </v:shape>
                <w10:anchorlock/>
              </v:group>
            </w:pict>
          </mc:Fallback>
        </mc:AlternateContent>
      </w:r>
    </w:p>
    <w:p w14:paraId="416DB4D6" w14:textId="77777777" w:rsidR="00E05B98" w:rsidRPr="003C6DAE" w:rsidRDefault="00B01E0C">
      <w:pPr>
        <w:ind w:left="13"/>
        <w:rPr>
          <w:rFonts w:ascii="Trebuchet MS"/>
          <w:sz w:val="17"/>
          <w:lang w:val="uk-UA"/>
        </w:rPr>
      </w:pPr>
      <w:r w:rsidRPr="003C6DAE">
        <w:rPr>
          <w:rFonts w:ascii="Trebuchet MS"/>
          <w:noProof/>
          <w:sz w:val="17"/>
          <w:lang w:val="uk-UA"/>
        </w:rPr>
        <mc:AlternateContent>
          <mc:Choice Requires="wpg">
            <w:drawing>
              <wp:anchor distT="0" distB="0" distL="0" distR="0" simplePos="0" relativeHeight="15877120" behindDoc="0" locked="0" layoutInCell="1" allowOverlap="1" wp14:anchorId="2E6DDAD3" wp14:editId="7881BEB4">
                <wp:simplePos x="0" y="0"/>
                <wp:positionH relativeFrom="page">
                  <wp:posOffset>5329764</wp:posOffset>
                </wp:positionH>
                <wp:positionV relativeFrom="paragraph">
                  <wp:posOffset>-1907820</wp:posOffset>
                </wp:positionV>
                <wp:extent cx="274955" cy="64769"/>
                <wp:effectExtent l="0" t="0" r="0" b="0"/>
                <wp:wrapNone/>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955" cy="64769"/>
                          <a:chOff x="0" y="0"/>
                          <a:chExt cx="274955" cy="64769"/>
                        </a:xfrm>
                      </wpg:grpSpPr>
                      <wps:wsp>
                        <wps:cNvPr id="744" name="Graphic 744"/>
                        <wps:cNvSpPr/>
                        <wps:spPr>
                          <a:xfrm>
                            <a:off x="0" y="27586"/>
                            <a:ext cx="220979" cy="1270"/>
                          </a:xfrm>
                          <a:custGeom>
                            <a:avLst/>
                            <a:gdLst/>
                            <a:ahLst/>
                            <a:cxnLst/>
                            <a:rect l="l" t="t" r="r" b="b"/>
                            <a:pathLst>
                              <a:path w="220979">
                                <a:moveTo>
                                  <a:pt x="0" y="0"/>
                                </a:moveTo>
                                <a:lnTo>
                                  <a:pt x="220697" y="0"/>
                                </a:lnTo>
                              </a:path>
                            </a:pathLst>
                          </a:custGeom>
                          <a:ln w="9195">
                            <a:solidFill>
                              <a:srgbClr val="000000"/>
                            </a:solidFill>
                            <a:prstDash val="solid"/>
                          </a:ln>
                        </wps:spPr>
                        <wps:bodyPr wrap="square" lIns="0" tIns="0" rIns="0" bIns="0" rtlCol="0">
                          <a:prstTxWarp prst="textNoShape">
                            <a:avLst/>
                          </a:prstTxWarp>
                          <a:noAutofit/>
                        </wps:bodyPr>
                      </wps:wsp>
                      <wps:wsp>
                        <wps:cNvPr id="745" name="Graphic 745"/>
                        <wps:cNvSpPr/>
                        <wps:spPr>
                          <a:xfrm>
                            <a:off x="220697" y="0"/>
                            <a:ext cx="53975" cy="64769"/>
                          </a:xfrm>
                          <a:custGeom>
                            <a:avLst/>
                            <a:gdLst/>
                            <a:ahLst/>
                            <a:cxnLst/>
                            <a:rect l="l" t="t" r="r" b="b"/>
                            <a:pathLst>
                              <a:path w="53975" h="64769">
                                <a:moveTo>
                                  <a:pt x="53643" y="64370"/>
                                </a:moveTo>
                                <a:lnTo>
                                  <a:pt x="0" y="64370"/>
                                </a:lnTo>
                                <a:lnTo>
                                  <a:pt x="0" y="0"/>
                                </a:lnTo>
                                <a:lnTo>
                                  <a:pt x="53643" y="0"/>
                                </a:lnTo>
                                <a:lnTo>
                                  <a:pt x="53643"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5DC5B29" id="Group 743" o:spid="_x0000_s1026" style="position:absolute;margin-left:419.65pt;margin-top:-150.2pt;width:21.65pt;height:5.1pt;z-index:15877120;mso-wrap-distance-left:0;mso-wrap-distance-right:0;mso-position-horizontal-relative:page" coordsize="27495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">
                <v:shape id="Graphic 744" o:spid="_x0000_s1027" style="position:absolute;top:27586;width:220979;height:1270;visibility:visible;mso-wrap-style:square;v-text-anchor:top" coordsize="2209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" path="m,l220697,e" filled="f" strokeweight=".25542mm">
                  <v:path arrowok="t"/>
                </v:shape>
                <v:shape id="Graphic 745" o:spid="_x0000_s1028" style="position:absolute;left:220697;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" path="m53643,64370l,64370,,,53643,r,64370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5877632" behindDoc="0" locked="0" layoutInCell="1" allowOverlap="1" wp14:anchorId="448C4083" wp14:editId="247E03DE">
                <wp:simplePos x="0" y="0"/>
                <wp:positionH relativeFrom="page">
                  <wp:posOffset>4922469</wp:posOffset>
                </wp:positionH>
                <wp:positionV relativeFrom="paragraph">
                  <wp:posOffset>-1760690</wp:posOffset>
                </wp:positionV>
                <wp:extent cx="681990" cy="64769"/>
                <wp:effectExtent l="0" t="0" r="0" b="0"/>
                <wp:wrapNone/>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 cy="64769"/>
                          <a:chOff x="0" y="0"/>
                          <a:chExt cx="681990" cy="64769"/>
                        </a:xfrm>
                      </wpg:grpSpPr>
                      <wps:wsp>
                        <wps:cNvPr id="747" name="Graphic 747"/>
                        <wps:cNvSpPr/>
                        <wps:spPr>
                          <a:xfrm>
                            <a:off x="0" y="27588"/>
                            <a:ext cx="628015" cy="1270"/>
                          </a:xfrm>
                          <a:custGeom>
                            <a:avLst/>
                            <a:gdLst/>
                            <a:ahLst/>
                            <a:cxnLst/>
                            <a:rect l="l" t="t" r="r" b="b"/>
                            <a:pathLst>
                              <a:path w="628015">
                                <a:moveTo>
                                  <a:pt x="0" y="0"/>
                                </a:moveTo>
                                <a:lnTo>
                                  <a:pt x="627992" y="0"/>
                                </a:lnTo>
                              </a:path>
                            </a:pathLst>
                          </a:custGeom>
                          <a:ln w="9195">
                            <a:solidFill>
                              <a:srgbClr val="000000"/>
                            </a:solidFill>
                            <a:prstDash val="solid"/>
                          </a:ln>
                        </wps:spPr>
                        <wps:bodyPr wrap="square" lIns="0" tIns="0" rIns="0" bIns="0" rtlCol="0">
                          <a:prstTxWarp prst="textNoShape">
                            <a:avLst/>
                          </a:prstTxWarp>
                          <a:noAutofit/>
                        </wps:bodyPr>
                      </wps:wsp>
                      <wps:wsp>
                        <wps:cNvPr id="748" name="Graphic 748"/>
                        <wps:cNvSpPr/>
                        <wps:spPr>
                          <a:xfrm>
                            <a:off x="627992" y="0"/>
                            <a:ext cx="53975" cy="64769"/>
                          </a:xfrm>
                          <a:custGeom>
                            <a:avLst/>
                            <a:gdLst/>
                            <a:ahLst/>
                            <a:cxnLst/>
                            <a:rect l="l" t="t" r="r" b="b"/>
                            <a:pathLst>
                              <a:path w="53975" h="64769">
                                <a:moveTo>
                                  <a:pt x="53643" y="64371"/>
                                </a:moveTo>
                                <a:lnTo>
                                  <a:pt x="0" y="64371"/>
                                </a:lnTo>
                                <a:lnTo>
                                  <a:pt x="0" y="0"/>
                                </a:lnTo>
                                <a:lnTo>
                                  <a:pt x="53643" y="0"/>
                                </a:lnTo>
                                <a:lnTo>
                                  <a:pt x="53643" y="64371"/>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3D1363E" id="Group 746" o:spid="_x0000_s1026" style="position:absolute;margin-left:387.6pt;margin-top:-138.65pt;width:53.7pt;height:5.1pt;z-index:15877632;mso-wrap-distance-left:0;mso-wrap-distance-right:0;mso-position-horizontal-relative:page" coordsize="681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">
                <v:shape id="Graphic 747" o:spid="_x0000_s1027" style="position:absolute;top:275;width:6280;height:13;visibility:visible;mso-wrap-style:square;v-text-anchor:top" coordsize="62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" path="m,l627992,e" filled="f" strokeweight=".25542mm">
                  <v:path arrowok="t"/>
                </v:shape>
                <v:shape id="Graphic 748" o:spid="_x0000_s1028" style="position:absolute;left:6279;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" path="m53643,64371l,64371,,,53643,r,64371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5878144" behindDoc="0" locked="0" layoutInCell="1" allowOverlap="1" wp14:anchorId="6428AC8A" wp14:editId="11671486">
                <wp:simplePos x="0" y="0"/>
                <wp:positionH relativeFrom="page">
                  <wp:posOffset>4922469</wp:posOffset>
                </wp:positionH>
                <wp:positionV relativeFrom="paragraph">
                  <wp:posOffset>-1613558</wp:posOffset>
                </wp:positionV>
                <wp:extent cx="681990" cy="64769"/>
                <wp:effectExtent l="0" t="0" r="0" b="0"/>
                <wp:wrapNone/>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 cy="64769"/>
                          <a:chOff x="0" y="0"/>
                          <a:chExt cx="681990" cy="64769"/>
                        </a:xfrm>
                      </wpg:grpSpPr>
                      <wps:wsp>
                        <wps:cNvPr id="750" name="Graphic 750"/>
                        <wps:cNvSpPr/>
                        <wps:spPr>
                          <a:xfrm>
                            <a:off x="0" y="27587"/>
                            <a:ext cx="628015" cy="1270"/>
                          </a:xfrm>
                          <a:custGeom>
                            <a:avLst/>
                            <a:gdLst/>
                            <a:ahLst/>
                            <a:cxnLst/>
                            <a:rect l="l" t="t" r="r" b="b"/>
                            <a:pathLst>
                              <a:path w="628015">
                                <a:moveTo>
                                  <a:pt x="0" y="0"/>
                                </a:moveTo>
                                <a:lnTo>
                                  <a:pt x="627992" y="0"/>
                                </a:lnTo>
                              </a:path>
                            </a:pathLst>
                          </a:custGeom>
                          <a:ln w="9195">
                            <a:solidFill>
                              <a:srgbClr val="000000"/>
                            </a:solidFill>
                            <a:prstDash val="solid"/>
                          </a:ln>
                        </wps:spPr>
                        <wps:bodyPr wrap="square" lIns="0" tIns="0" rIns="0" bIns="0" rtlCol="0">
                          <a:prstTxWarp prst="textNoShape">
                            <a:avLst/>
                          </a:prstTxWarp>
                          <a:noAutofit/>
                        </wps:bodyPr>
                      </wps:wsp>
                      <wps:wsp>
                        <wps:cNvPr id="751" name="Graphic 751"/>
                        <wps:cNvSpPr/>
                        <wps:spPr>
                          <a:xfrm>
                            <a:off x="627992" y="0"/>
                            <a:ext cx="53975" cy="64769"/>
                          </a:xfrm>
                          <a:custGeom>
                            <a:avLst/>
                            <a:gdLst/>
                            <a:ahLst/>
                            <a:cxnLst/>
                            <a:rect l="l" t="t" r="r" b="b"/>
                            <a:pathLst>
                              <a:path w="53975" h="64769">
                                <a:moveTo>
                                  <a:pt x="53643" y="64370"/>
                                </a:moveTo>
                                <a:lnTo>
                                  <a:pt x="0" y="64370"/>
                                </a:lnTo>
                                <a:lnTo>
                                  <a:pt x="0" y="0"/>
                                </a:lnTo>
                                <a:lnTo>
                                  <a:pt x="53643" y="0"/>
                                </a:lnTo>
                                <a:lnTo>
                                  <a:pt x="53643"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3E7EBA8" id="Group 749" o:spid="_x0000_s1026" style="position:absolute;margin-left:387.6pt;margin-top:-127.05pt;width:53.7pt;height:5.1pt;z-index:15878144;mso-wrap-distance-left:0;mso-wrap-distance-right:0;mso-position-horizontal-relative:page" coordsize="681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">
                <v:shape id="Graphic 750" o:spid="_x0000_s1027" style="position:absolute;top:275;width:6280;height:13;visibility:visible;mso-wrap-style:square;v-text-anchor:top" coordsize="62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" path="m,l627992,e" filled="f" strokeweight=".25542mm">
                  <v:path arrowok="t"/>
                </v:shape>
                <v:shape id="Graphic 751" o:spid="_x0000_s1028" style="position:absolute;left:6279;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" path="m53643,64370l,64370,,,53643,r,64370xe" fillcolor="#0000c0" stroked="f">
                  <v:path arrowok="t"/>
                </v:shape>
                <w10:wrap anchorx="page"/>
              </v:group>
            </w:pict>
          </mc:Fallback>
        </mc:AlternateContent>
      </w:r>
      <w:r w:rsidRPr="003C6DAE">
        <w:rPr>
          <w:rFonts w:ascii="Trebuchet MS"/>
          <w:w w:val="85"/>
          <w:sz w:val="17"/>
          <w:lang w:val="uk-UA"/>
        </w:rPr>
        <w:t>0</w:t>
      </w:r>
      <w:r w:rsidRPr="003C6DAE">
        <w:rPr>
          <w:rFonts w:ascii="Trebuchet MS"/>
          <w:spacing w:val="47"/>
          <w:sz w:val="17"/>
          <w:lang w:val="uk-UA"/>
        </w:rPr>
        <w:t xml:space="preserve"> </w:t>
      </w:r>
      <w:r w:rsidRPr="003C6DAE">
        <w:rPr>
          <w:rFonts w:ascii="Trebuchet MS"/>
          <w:w w:val="85"/>
          <w:sz w:val="17"/>
          <w:lang w:val="uk-UA"/>
        </w:rPr>
        <w:t>0.2</w:t>
      </w:r>
      <w:r w:rsidRPr="003C6DAE">
        <w:rPr>
          <w:rFonts w:ascii="Trebuchet MS"/>
          <w:spacing w:val="31"/>
          <w:sz w:val="17"/>
          <w:lang w:val="uk-UA"/>
        </w:rPr>
        <w:t xml:space="preserve"> </w:t>
      </w:r>
      <w:r w:rsidRPr="003C6DAE">
        <w:rPr>
          <w:rFonts w:ascii="Trebuchet MS"/>
          <w:w w:val="85"/>
          <w:sz w:val="17"/>
          <w:lang w:val="uk-UA"/>
        </w:rPr>
        <w:t>0.4</w:t>
      </w:r>
      <w:r w:rsidRPr="003C6DAE">
        <w:rPr>
          <w:rFonts w:ascii="Trebuchet MS"/>
          <w:spacing w:val="30"/>
          <w:sz w:val="17"/>
          <w:lang w:val="uk-UA"/>
        </w:rPr>
        <w:t xml:space="preserve"> </w:t>
      </w:r>
      <w:r w:rsidRPr="003C6DAE">
        <w:rPr>
          <w:rFonts w:ascii="Trebuchet MS"/>
          <w:w w:val="85"/>
          <w:sz w:val="17"/>
          <w:lang w:val="uk-UA"/>
        </w:rPr>
        <w:t>0.6</w:t>
      </w:r>
      <w:r w:rsidRPr="003C6DAE">
        <w:rPr>
          <w:rFonts w:ascii="Trebuchet MS"/>
          <w:spacing w:val="31"/>
          <w:sz w:val="17"/>
          <w:lang w:val="uk-UA"/>
        </w:rPr>
        <w:t xml:space="preserve"> </w:t>
      </w:r>
      <w:r w:rsidRPr="003C6DAE">
        <w:rPr>
          <w:rFonts w:ascii="Trebuchet MS"/>
          <w:w w:val="85"/>
          <w:sz w:val="17"/>
          <w:lang w:val="uk-UA"/>
        </w:rPr>
        <w:t>0.8</w:t>
      </w:r>
      <w:r w:rsidRPr="003C6DAE">
        <w:rPr>
          <w:rFonts w:ascii="Trebuchet MS"/>
          <w:spacing w:val="49"/>
          <w:sz w:val="17"/>
          <w:lang w:val="uk-UA"/>
        </w:rPr>
        <w:t xml:space="preserve"> </w:t>
      </w:r>
      <w:r w:rsidRPr="003C6DAE">
        <w:rPr>
          <w:rFonts w:ascii="Trebuchet MS"/>
          <w:spacing w:val="-10"/>
          <w:w w:val="85"/>
          <w:sz w:val="17"/>
          <w:lang w:val="uk-UA"/>
        </w:rPr>
        <w:t>1</w:t>
      </w:r>
    </w:p>
    <w:p w14:paraId="28BF5DE5" w14:textId="67E8C9D8" w:rsidR="00E05B98" w:rsidRPr="003C6DAE" w:rsidRDefault="00B01E0C">
      <w:pPr>
        <w:spacing w:before="106"/>
        <w:ind w:left="177"/>
        <w:rPr>
          <w:rFonts w:ascii="Trebuchet MS"/>
          <w:sz w:val="17"/>
          <w:lang w:val="uk-UA"/>
        </w:rPr>
      </w:pPr>
      <w:r w:rsidRPr="003C6DAE">
        <w:rPr>
          <w:lang w:val="uk-UA"/>
        </w:rPr>
        <w:br w:type="column"/>
      </w:r>
      <w:r w:rsidR="0099259A" w:rsidRPr="003C6DAE">
        <w:rPr>
          <w:rFonts w:ascii="Trebuchet MS"/>
          <w:color w:val="333333"/>
          <w:w w:val="80"/>
          <w:sz w:val="17"/>
          <w:lang w:val="uk-UA"/>
        </w:rPr>
        <w:t>Специфічність</w:t>
      </w:r>
      <w:r w:rsidRPr="003C6DAE">
        <w:rPr>
          <w:rFonts w:ascii="Trebuchet MS"/>
          <w:color w:val="333333"/>
          <w:spacing w:val="15"/>
          <w:sz w:val="17"/>
          <w:lang w:val="uk-UA"/>
        </w:rPr>
        <w:t xml:space="preserve"> </w:t>
      </w:r>
      <w:r w:rsidRPr="003C6DAE">
        <w:rPr>
          <w:rFonts w:ascii="Trebuchet MS"/>
          <w:color w:val="333333"/>
          <w:w w:val="80"/>
          <w:sz w:val="17"/>
          <w:lang w:val="uk-UA"/>
        </w:rPr>
        <w:t>(95%</w:t>
      </w:r>
      <w:r w:rsidRPr="003C6DAE">
        <w:rPr>
          <w:rFonts w:ascii="Trebuchet MS"/>
          <w:color w:val="333333"/>
          <w:spacing w:val="17"/>
          <w:sz w:val="17"/>
          <w:lang w:val="uk-UA"/>
        </w:rPr>
        <w:t xml:space="preserve"> </w:t>
      </w:r>
      <w:r w:rsidR="0099259A" w:rsidRPr="003C6DAE">
        <w:rPr>
          <w:rFonts w:ascii="Trebuchet MS"/>
          <w:color w:val="333333"/>
          <w:w w:val="80"/>
          <w:sz w:val="17"/>
          <w:lang w:val="uk-UA"/>
        </w:rPr>
        <w:t>ДІ</w:t>
      </w:r>
      <w:r w:rsidRPr="003C6DAE">
        <w:rPr>
          <w:rFonts w:ascii="Trebuchet MS"/>
          <w:color w:val="333333"/>
          <w:spacing w:val="-5"/>
          <w:w w:val="80"/>
          <w:sz w:val="17"/>
          <w:lang w:val="uk-UA"/>
        </w:rPr>
        <w:t>)</w:t>
      </w:r>
    </w:p>
    <w:p w14:paraId="5081E019" w14:textId="77777777" w:rsidR="00E05B98" w:rsidRPr="003C6DAE" w:rsidRDefault="00B01E0C">
      <w:pPr>
        <w:pStyle w:val="a3"/>
        <w:spacing w:before="7"/>
        <w:rPr>
          <w:rFonts w:ascii="Trebuchet MS"/>
          <w:sz w:val="4"/>
          <w:lang w:val="uk-UA"/>
        </w:rPr>
      </w:pPr>
      <w:r w:rsidRPr="003C6DAE">
        <w:rPr>
          <w:rFonts w:ascii="Trebuchet MS"/>
          <w:noProof/>
          <w:sz w:val="4"/>
          <w:lang w:val="uk-UA"/>
        </w:rPr>
        <mc:AlternateContent>
          <mc:Choice Requires="wpg">
            <w:drawing>
              <wp:anchor distT="0" distB="0" distL="0" distR="0" simplePos="0" relativeHeight="487729664" behindDoc="1" locked="0" layoutInCell="1" allowOverlap="1" wp14:anchorId="707D4BCE" wp14:editId="127C2387">
                <wp:simplePos x="0" y="0"/>
                <wp:positionH relativeFrom="page">
                  <wp:posOffset>6352024</wp:posOffset>
                </wp:positionH>
                <wp:positionV relativeFrom="paragraph">
                  <wp:posOffset>49764</wp:posOffset>
                </wp:positionV>
                <wp:extent cx="160655" cy="64769"/>
                <wp:effectExtent l="0" t="0" r="0" b="0"/>
                <wp:wrapTopAndBottom/>
                <wp:docPr id="75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 cy="64769"/>
                          <a:chOff x="0" y="0"/>
                          <a:chExt cx="160655" cy="64769"/>
                        </a:xfrm>
                      </wpg:grpSpPr>
                      <wps:wsp>
                        <wps:cNvPr id="753" name="Graphic 753"/>
                        <wps:cNvSpPr/>
                        <wps:spPr>
                          <a:xfrm>
                            <a:off x="0" y="27586"/>
                            <a:ext cx="160655" cy="1270"/>
                          </a:xfrm>
                          <a:custGeom>
                            <a:avLst/>
                            <a:gdLst/>
                            <a:ahLst/>
                            <a:cxnLst/>
                            <a:rect l="l" t="t" r="r" b="b"/>
                            <a:pathLst>
                              <a:path w="160655">
                                <a:moveTo>
                                  <a:pt x="0" y="0"/>
                                </a:moveTo>
                                <a:lnTo>
                                  <a:pt x="72799" y="0"/>
                                </a:lnTo>
                              </a:path>
                              <a:path w="160655">
                                <a:moveTo>
                                  <a:pt x="126441" y="0"/>
                                </a:moveTo>
                                <a:lnTo>
                                  <a:pt x="160159" y="0"/>
                                </a:lnTo>
                              </a:path>
                            </a:pathLst>
                          </a:custGeom>
                          <a:ln w="9195">
                            <a:solidFill>
                              <a:srgbClr val="000000"/>
                            </a:solidFill>
                            <a:prstDash val="solid"/>
                          </a:ln>
                        </wps:spPr>
                        <wps:bodyPr wrap="square" lIns="0" tIns="0" rIns="0" bIns="0" rtlCol="0">
                          <a:prstTxWarp prst="textNoShape">
                            <a:avLst/>
                          </a:prstTxWarp>
                          <a:noAutofit/>
                        </wps:bodyPr>
                      </wps:wsp>
                      <wps:wsp>
                        <wps:cNvPr id="754" name="Graphic 754"/>
                        <wps:cNvSpPr/>
                        <wps:spPr>
                          <a:xfrm>
                            <a:off x="72799"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11421D4" id="Group 752" o:spid="_x0000_s1026" style="position:absolute;margin-left:500.15pt;margin-top:3.9pt;width:12.65pt;height:5.1pt;z-index:-15586816;mso-wrap-distance-left:0;mso-wrap-distance-right:0;mso-position-horizontal-relative:page" coordsize="16065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">
                <v:shape id="Graphic 753" o:spid="_x0000_s1027" style="position:absolute;top:27586;width:160655;height:1270;visibility:visible;mso-wrap-style:square;v-text-anchor:top" coordsize="160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" path="m,l72799,em126441,r33718,e" filled="f" strokeweight=".25542mm">
                  <v:path arrowok="t"/>
                </v:shape>
                <v:shape id="Graphic 754" o:spid="_x0000_s1028" style="position:absolute;left:72799;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" path="m53641,64370l,64370,,,53641,r,6437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30176" behindDoc="1" locked="0" layoutInCell="1" allowOverlap="1" wp14:anchorId="44671C59" wp14:editId="3F6BA691">
                <wp:simplePos x="0" y="0"/>
                <wp:positionH relativeFrom="page">
                  <wp:posOffset>6441299</wp:posOffset>
                </wp:positionH>
                <wp:positionV relativeFrom="paragraph">
                  <wp:posOffset>196895</wp:posOffset>
                </wp:positionV>
                <wp:extent cx="105410" cy="64769"/>
                <wp:effectExtent l="0" t="0" r="0" b="0"/>
                <wp:wrapTopAndBottom/>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10" cy="64769"/>
                          <a:chOff x="0" y="0"/>
                          <a:chExt cx="105410" cy="64769"/>
                        </a:xfrm>
                      </wpg:grpSpPr>
                      <wps:wsp>
                        <wps:cNvPr id="756" name="Graphic 756"/>
                        <wps:cNvSpPr/>
                        <wps:spPr>
                          <a:xfrm>
                            <a:off x="0" y="27586"/>
                            <a:ext cx="44450" cy="1270"/>
                          </a:xfrm>
                          <a:custGeom>
                            <a:avLst/>
                            <a:gdLst/>
                            <a:ahLst/>
                            <a:cxnLst/>
                            <a:rect l="l" t="t" r="r" b="b"/>
                            <a:pathLst>
                              <a:path w="44450">
                                <a:moveTo>
                                  <a:pt x="0" y="0"/>
                                </a:moveTo>
                                <a:lnTo>
                                  <a:pt x="44062" y="0"/>
                                </a:lnTo>
                              </a:path>
                            </a:pathLst>
                          </a:custGeom>
                          <a:ln w="9195">
                            <a:solidFill>
                              <a:srgbClr val="000000"/>
                            </a:solidFill>
                            <a:prstDash val="solid"/>
                          </a:ln>
                        </wps:spPr>
                        <wps:bodyPr wrap="square" lIns="0" tIns="0" rIns="0" bIns="0" rtlCol="0">
                          <a:prstTxWarp prst="textNoShape">
                            <a:avLst/>
                          </a:prstTxWarp>
                          <a:noAutofit/>
                        </wps:bodyPr>
                      </wps:wsp>
                      <wps:wsp>
                        <wps:cNvPr id="757" name="Graphic 757"/>
                        <wps:cNvSpPr/>
                        <wps:spPr>
                          <a:xfrm>
                            <a:off x="101536" y="22989"/>
                            <a:ext cx="1270" cy="9525"/>
                          </a:xfrm>
                          <a:custGeom>
                            <a:avLst/>
                            <a:gdLst/>
                            <a:ahLst/>
                            <a:cxnLst/>
                            <a:rect l="l" t="t" r="r" b="b"/>
                            <a:pathLst>
                              <a:path h="9525">
                                <a:moveTo>
                                  <a:pt x="0" y="0"/>
                                </a:moveTo>
                                <a:lnTo>
                                  <a:pt x="0" y="9195"/>
                                </a:lnTo>
                              </a:path>
                            </a:pathLst>
                          </a:custGeom>
                          <a:ln w="7663">
                            <a:solidFill>
                              <a:srgbClr val="000000"/>
                            </a:solidFill>
                            <a:prstDash val="solid"/>
                          </a:ln>
                        </wps:spPr>
                        <wps:bodyPr wrap="square" lIns="0" tIns="0" rIns="0" bIns="0" rtlCol="0">
                          <a:prstTxWarp prst="textNoShape">
                            <a:avLst/>
                          </a:prstTxWarp>
                          <a:noAutofit/>
                        </wps:bodyPr>
                      </wps:wsp>
                      <wps:wsp>
                        <wps:cNvPr id="758" name="Graphic 758"/>
                        <wps:cNvSpPr/>
                        <wps:spPr>
                          <a:xfrm>
                            <a:off x="44062"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A5D62D5" id="Group 755" o:spid="_x0000_s1026" style="position:absolute;margin-left:507.2pt;margin-top:15.5pt;width:8.3pt;height:5.1pt;z-index:-15586304;mso-wrap-distance-left:0;mso-wrap-distance-right:0;mso-position-horizontal-relative:page" coordsize="10541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">
                <v:shape id="Graphic 756" o:spid="_x0000_s1027" style="position:absolute;top:27586;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" path="m,l44062,e" filled="f" strokeweight=".25542mm">
                  <v:path arrowok="t"/>
                </v:shape>
                <v:shape id="Graphic 757" o:spid="_x0000_s1028" style="position:absolute;left:101536;top:22989;width:1270;height:952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" path="m,l,9195e" filled="f" strokeweight=".21286mm">
                  <v:path arrowok="t"/>
                </v:shape>
                <v:shape id="Graphic 758" o:spid="_x0000_s1029" style="position:absolute;left:44062;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" path="m53641,64370l,64370,,,53641,r,6437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30688" behindDoc="1" locked="0" layoutInCell="1" allowOverlap="1" wp14:anchorId="105D69E4" wp14:editId="1FE1EF2E">
                <wp:simplePos x="0" y="0"/>
                <wp:positionH relativeFrom="page">
                  <wp:posOffset>5970782</wp:posOffset>
                </wp:positionH>
                <wp:positionV relativeFrom="paragraph">
                  <wp:posOffset>344027</wp:posOffset>
                </wp:positionV>
                <wp:extent cx="569595" cy="64769"/>
                <wp:effectExtent l="0" t="0" r="0" b="0"/>
                <wp:wrapTopAndBottom/>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595" cy="64769"/>
                          <a:chOff x="0" y="0"/>
                          <a:chExt cx="569595" cy="64769"/>
                        </a:xfrm>
                      </wpg:grpSpPr>
                      <wps:wsp>
                        <wps:cNvPr id="760" name="Graphic 760"/>
                        <wps:cNvSpPr/>
                        <wps:spPr>
                          <a:xfrm>
                            <a:off x="0" y="27587"/>
                            <a:ext cx="569595" cy="1270"/>
                          </a:xfrm>
                          <a:custGeom>
                            <a:avLst/>
                            <a:gdLst/>
                            <a:ahLst/>
                            <a:cxnLst/>
                            <a:rect l="l" t="t" r="r" b="b"/>
                            <a:pathLst>
                              <a:path w="569595">
                                <a:moveTo>
                                  <a:pt x="0" y="0"/>
                                </a:moveTo>
                                <a:lnTo>
                                  <a:pt x="345989" y="0"/>
                                </a:lnTo>
                              </a:path>
                              <a:path w="569595">
                                <a:moveTo>
                                  <a:pt x="399631" y="0"/>
                                </a:moveTo>
                                <a:lnTo>
                                  <a:pt x="569370" y="0"/>
                                </a:lnTo>
                              </a:path>
                            </a:pathLst>
                          </a:custGeom>
                          <a:ln w="9195">
                            <a:solidFill>
                              <a:srgbClr val="000000"/>
                            </a:solidFill>
                            <a:prstDash val="solid"/>
                          </a:ln>
                        </wps:spPr>
                        <wps:bodyPr wrap="square" lIns="0" tIns="0" rIns="0" bIns="0" rtlCol="0">
                          <a:prstTxWarp prst="textNoShape">
                            <a:avLst/>
                          </a:prstTxWarp>
                          <a:noAutofit/>
                        </wps:bodyPr>
                      </wps:wsp>
                      <wps:wsp>
                        <wps:cNvPr id="761" name="Graphic 761"/>
                        <wps:cNvSpPr/>
                        <wps:spPr>
                          <a:xfrm>
                            <a:off x="345989"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A3D4D55" id="Group 759" o:spid="_x0000_s1026" style="position:absolute;margin-left:470.15pt;margin-top:27.1pt;width:44.85pt;height:5.1pt;z-index:-15585792;mso-wrap-distance-left:0;mso-wrap-distance-right:0;mso-position-horizontal-relative:page" coordsize="569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">
                <v:shape id="Graphic 760" o:spid="_x0000_s1027" style="position:absolute;top:275;width:5695;height:13;visibility:visible;mso-wrap-style:square;v-text-anchor:top" coordsize="569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" path="m,l345989,em399631,l569370,e" filled="f" strokeweight=".25542mm">
                  <v:path arrowok="t"/>
                </v:shape>
                <v:shape id="Graphic 761" o:spid="_x0000_s1028" style="position:absolute;left:3459;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" path="m53641,64370l,64370,,,53641,r,6437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31200" behindDoc="1" locked="0" layoutInCell="1" allowOverlap="1" wp14:anchorId="1828EAEA" wp14:editId="39A17DC5">
                <wp:simplePos x="0" y="0"/>
                <wp:positionH relativeFrom="page">
                  <wp:posOffset>6377694</wp:posOffset>
                </wp:positionH>
                <wp:positionV relativeFrom="paragraph">
                  <wp:posOffset>491159</wp:posOffset>
                </wp:positionV>
                <wp:extent cx="109220" cy="64769"/>
                <wp:effectExtent l="0" t="0" r="0" b="0"/>
                <wp:wrapTopAndBottom/>
                <wp:docPr id="7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20" cy="64769"/>
                          <a:chOff x="0" y="0"/>
                          <a:chExt cx="109220" cy="64769"/>
                        </a:xfrm>
                      </wpg:grpSpPr>
                      <wps:wsp>
                        <wps:cNvPr id="763" name="Graphic 763"/>
                        <wps:cNvSpPr/>
                        <wps:spPr>
                          <a:xfrm>
                            <a:off x="0" y="27587"/>
                            <a:ext cx="109220" cy="1270"/>
                          </a:xfrm>
                          <a:custGeom>
                            <a:avLst/>
                            <a:gdLst/>
                            <a:ahLst/>
                            <a:cxnLst/>
                            <a:rect l="l" t="t" r="r" b="b"/>
                            <a:pathLst>
                              <a:path w="109220">
                                <a:moveTo>
                                  <a:pt x="0" y="0"/>
                                </a:moveTo>
                                <a:lnTo>
                                  <a:pt x="38315" y="0"/>
                                </a:lnTo>
                              </a:path>
                              <a:path w="109220">
                                <a:moveTo>
                                  <a:pt x="91957" y="0"/>
                                </a:moveTo>
                                <a:lnTo>
                                  <a:pt x="108816" y="0"/>
                                </a:lnTo>
                              </a:path>
                            </a:pathLst>
                          </a:custGeom>
                          <a:ln w="9195">
                            <a:solidFill>
                              <a:srgbClr val="000000"/>
                            </a:solidFill>
                            <a:prstDash val="solid"/>
                          </a:ln>
                        </wps:spPr>
                        <wps:bodyPr wrap="square" lIns="0" tIns="0" rIns="0" bIns="0" rtlCol="0">
                          <a:prstTxWarp prst="textNoShape">
                            <a:avLst/>
                          </a:prstTxWarp>
                          <a:noAutofit/>
                        </wps:bodyPr>
                      </wps:wsp>
                      <wps:wsp>
                        <wps:cNvPr id="764" name="Graphic 764"/>
                        <wps:cNvSpPr/>
                        <wps:spPr>
                          <a:xfrm>
                            <a:off x="38315"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8B297AD" id="Group 762" o:spid="_x0000_s1026" style="position:absolute;margin-left:502.2pt;margin-top:38.65pt;width:8.6pt;height:5.1pt;z-index:-15585280;mso-wrap-distance-left:0;mso-wrap-distance-right:0;mso-position-horizontal-relative:page" coordsize="10922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">
                <v:shape id="Graphic 763" o:spid="_x0000_s1027" style="position:absolute;top:27587;width:109220;height:1270;visibility:visible;mso-wrap-style:square;v-text-anchor:top" coordsize="10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" path="m,l38315,em91957,r16859,e" filled="f" strokeweight=".25542mm">
                  <v:path arrowok="t"/>
                </v:shape>
                <v:shape id="Graphic 764" o:spid="_x0000_s1028" style="position:absolute;left:38315;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" path="m53641,64370l,64370,,,53641,r,6437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31712" behindDoc="1" locked="0" layoutInCell="1" allowOverlap="1" wp14:anchorId="570E6239" wp14:editId="0362C20A">
                <wp:simplePos x="0" y="0"/>
                <wp:positionH relativeFrom="page">
                  <wp:posOffset>6510265</wp:posOffset>
                </wp:positionH>
                <wp:positionV relativeFrom="paragraph">
                  <wp:posOffset>638291</wp:posOffset>
                </wp:positionV>
                <wp:extent cx="79375" cy="64769"/>
                <wp:effectExtent l="0" t="0" r="0" b="0"/>
                <wp:wrapTopAndBottom/>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64769"/>
                          <a:chOff x="0" y="0"/>
                          <a:chExt cx="79375" cy="64769"/>
                        </a:xfrm>
                      </wpg:grpSpPr>
                      <wps:wsp>
                        <wps:cNvPr id="766" name="Graphic 766"/>
                        <wps:cNvSpPr/>
                        <wps:spPr>
                          <a:xfrm>
                            <a:off x="0" y="27586"/>
                            <a:ext cx="25400" cy="1270"/>
                          </a:xfrm>
                          <a:custGeom>
                            <a:avLst/>
                            <a:gdLst/>
                            <a:ahLst/>
                            <a:cxnLst/>
                            <a:rect l="l" t="t" r="r" b="b"/>
                            <a:pathLst>
                              <a:path w="25400">
                                <a:moveTo>
                                  <a:pt x="0" y="0"/>
                                </a:moveTo>
                                <a:lnTo>
                                  <a:pt x="25288" y="0"/>
                                </a:lnTo>
                              </a:path>
                            </a:pathLst>
                          </a:custGeom>
                          <a:ln w="9195">
                            <a:solidFill>
                              <a:srgbClr val="000000"/>
                            </a:solidFill>
                            <a:prstDash val="solid"/>
                          </a:ln>
                        </wps:spPr>
                        <wps:bodyPr wrap="square" lIns="0" tIns="0" rIns="0" bIns="0" rtlCol="0">
                          <a:prstTxWarp prst="textNoShape">
                            <a:avLst/>
                          </a:prstTxWarp>
                          <a:noAutofit/>
                        </wps:bodyPr>
                      </wps:wsp>
                      <wps:wsp>
                        <wps:cNvPr id="767" name="Graphic 767"/>
                        <wps:cNvSpPr/>
                        <wps:spPr>
                          <a:xfrm>
                            <a:off x="25288"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935CEA4" id="Group 765" o:spid="_x0000_s1026" style="position:absolute;margin-left:512.6pt;margin-top:50.25pt;width:6.25pt;height:5.1pt;z-index:-15584768;mso-wrap-distance-left:0;mso-wrap-distance-right:0;mso-position-horizontal-relative:page" coordsize="7937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">
                <v:shape id="Graphic 766" o:spid="_x0000_s1027" style="position:absolute;top:27586;width:25400;height:1270;visibility:visible;mso-wrap-style:square;v-text-anchor:top" coordsize="25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" path="m,l25288,e" filled="f" strokeweight=".25542mm">
                  <v:path arrowok="t"/>
                </v:shape>
                <v:shape id="Graphic 767" o:spid="_x0000_s1028" style="position:absolute;left:25288;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" path="m53641,64370l,64370,,,53641,r,6437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32224" behindDoc="1" locked="0" layoutInCell="1" allowOverlap="1" wp14:anchorId="3901A8E4" wp14:editId="7EBABA71">
                <wp:simplePos x="0" y="0"/>
                <wp:positionH relativeFrom="page">
                  <wp:posOffset>6110249</wp:posOffset>
                </wp:positionH>
                <wp:positionV relativeFrom="paragraph">
                  <wp:posOffset>785423</wp:posOffset>
                </wp:positionV>
                <wp:extent cx="253365" cy="64769"/>
                <wp:effectExtent l="0" t="0" r="0" b="0"/>
                <wp:wrapTopAndBottom/>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 cy="64769"/>
                          <a:chOff x="0" y="0"/>
                          <a:chExt cx="253365" cy="64769"/>
                        </a:xfrm>
                      </wpg:grpSpPr>
                      <wps:wsp>
                        <wps:cNvPr id="769" name="Graphic 769"/>
                        <wps:cNvSpPr/>
                        <wps:spPr>
                          <a:xfrm>
                            <a:off x="0" y="27586"/>
                            <a:ext cx="253365" cy="1270"/>
                          </a:xfrm>
                          <a:custGeom>
                            <a:avLst/>
                            <a:gdLst/>
                            <a:ahLst/>
                            <a:cxnLst/>
                            <a:rect l="l" t="t" r="r" b="b"/>
                            <a:pathLst>
                              <a:path w="253365">
                                <a:moveTo>
                                  <a:pt x="0" y="0"/>
                                </a:moveTo>
                                <a:lnTo>
                                  <a:pt x="111498" y="0"/>
                                </a:lnTo>
                              </a:path>
                              <a:path w="253365">
                                <a:moveTo>
                                  <a:pt x="165140" y="0"/>
                                </a:moveTo>
                                <a:lnTo>
                                  <a:pt x="252883" y="0"/>
                                </a:lnTo>
                              </a:path>
                            </a:pathLst>
                          </a:custGeom>
                          <a:ln w="9195">
                            <a:solidFill>
                              <a:srgbClr val="000000"/>
                            </a:solidFill>
                            <a:prstDash val="solid"/>
                          </a:ln>
                        </wps:spPr>
                        <wps:bodyPr wrap="square" lIns="0" tIns="0" rIns="0" bIns="0" rtlCol="0">
                          <a:prstTxWarp prst="textNoShape">
                            <a:avLst/>
                          </a:prstTxWarp>
                          <a:noAutofit/>
                        </wps:bodyPr>
                      </wps:wsp>
                      <wps:wsp>
                        <wps:cNvPr id="770" name="Graphic 770"/>
                        <wps:cNvSpPr/>
                        <wps:spPr>
                          <a:xfrm>
                            <a:off x="111498"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957E368" id="Group 768" o:spid="_x0000_s1026" style="position:absolute;margin-left:481.1pt;margin-top:61.85pt;width:19.95pt;height:5.1pt;z-index:-15584256;mso-wrap-distance-left:0;mso-wrap-distance-right:0;mso-position-horizontal-relative:page" coordsize="25336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">
                <v:shape id="Graphic 769" o:spid="_x0000_s1027" style="position:absolute;top:27586;width:253365;height:1270;visibility:visible;mso-wrap-style:square;v-text-anchor:top" coordsize="253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" path="m,l111498,em165140,r87743,e" filled="f" strokeweight=".25542mm">
                  <v:path arrowok="t"/>
                </v:shape>
                <v:shape id="Graphic 770" o:spid="_x0000_s1028" style="position:absolute;left:111498;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" path="m53641,64370l,64370,,,53641,r,6437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32736" behindDoc="1" locked="0" layoutInCell="1" allowOverlap="1" wp14:anchorId="45B275A0" wp14:editId="5C8F85D3">
                <wp:simplePos x="0" y="0"/>
                <wp:positionH relativeFrom="page">
                  <wp:posOffset>6208336</wp:posOffset>
                </wp:positionH>
                <wp:positionV relativeFrom="paragraph">
                  <wp:posOffset>932555</wp:posOffset>
                </wp:positionV>
                <wp:extent cx="170180" cy="64769"/>
                <wp:effectExtent l="0" t="0" r="0" b="0"/>
                <wp:wrapTopAndBottom/>
                <wp:docPr id="77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180" cy="64769"/>
                          <a:chOff x="0" y="0"/>
                          <a:chExt cx="170180" cy="64769"/>
                        </a:xfrm>
                      </wpg:grpSpPr>
                      <wps:wsp>
                        <wps:cNvPr id="772" name="Graphic 772"/>
                        <wps:cNvSpPr/>
                        <wps:spPr>
                          <a:xfrm>
                            <a:off x="0" y="27586"/>
                            <a:ext cx="170180" cy="1270"/>
                          </a:xfrm>
                          <a:custGeom>
                            <a:avLst/>
                            <a:gdLst/>
                            <a:ahLst/>
                            <a:cxnLst/>
                            <a:rect l="l" t="t" r="r" b="b"/>
                            <a:pathLst>
                              <a:path w="170180">
                                <a:moveTo>
                                  <a:pt x="0" y="0"/>
                                </a:moveTo>
                                <a:lnTo>
                                  <a:pt x="67817" y="0"/>
                                </a:lnTo>
                              </a:path>
                              <a:path w="170180">
                                <a:moveTo>
                                  <a:pt x="121459" y="0"/>
                                </a:moveTo>
                                <a:lnTo>
                                  <a:pt x="169738" y="0"/>
                                </a:lnTo>
                              </a:path>
                            </a:pathLst>
                          </a:custGeom>
                          <a:ln w="9195">
                            <a:solidFill>
                              <a:srgbClr val="000000"/>
                            </a:solidFill>
                            <a:prstDash val="solid"/>
                          </a:ln>
                        </wps:spPr>
                        <wps:bodyPr wrap="square" lIns="0" tIns="0" rIns="0" bIns="0" rtlCol="0">
                          <a:prstTxWarp prst="textNoShape">
                            <a:avLst/>
                          </a:prstTxWarp>
                          <a:noAutofit/>
                        </wps:bodyPr>
                      </wps:wsp>
                      <wps:wsp>
                        <wps:cNvPr id="773" name="Graphic 773"/>
                        <wps:cNvSpPr/>
                        <wps:spPr>
                          <a:xfrm>
                            <a:off x="67817"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4383DD3" id="Group 771" o:spid="_x0000_s1026" style="position:absolute;margin-left:488.85pt;margin-top:73.45pt;width:13.4pt;height:5.1pt;z-index:-15583744;mso-wrap-distance-left:0;mso-wrap-distance-right:0;mso-position-horizontal-relative:page" coordsize="17018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">
                <v:shape id="Graphic 772" o:spid="_x0000_s1027" style="position:absolute;top:27586;width:170180;height:1270;visibility:visible;mso-wrap-style:square;v-text-anchor:top" coordsize="170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" path="m,l67817,em121459,r48279,e" filled="f" strokeweight=".25542mm">
                  <v:path arrowok="t"/>
                </v:shape>
                <v:shape id="Graphic 773" o:spid="_x0000_s1028" style="position:absolute;left:67817;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" path="m53641,64370l,64370,,,53641,r,6437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33248" behindDoc="1" locked="0" layoutInCell="1" allowOverlap="1" wp14:anchorId="33D0947D" wp14:editId="090DC466">
                <wp:simplePos x="0" y="0"/>
                <wp:positionH relativeFrom="page">
                  <wp:posOffset>6496469</wp:posOffset>
                </wp:positionH>
                <wp:positionV relativeFrom="paragraph">
                  <wp:posOffset>1079686</wp:posOffset>
                </wp:positionV>
                <wp:extent cx="90170" cy="64769"/>
                <wp:effectExtent l="0" t="0" r="0" b="0"/>
                <wp:wrapTopAndBottom/>
                <wp:docPr id="77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64769"/>
                          <a:chOff x="0" y="0"/>
                          <a:chExt cx="90170" cy="64769"/>
                        </a:xfrm>
                      </wpg:grpSpPr>
                      <wps:wsp>
                        <wps:cNvPr id="775" name="Graphic 775"/>
                        <wps:cNvSpPr/>
                        <wps:spPr>
                          <a:xfrm>
                            <a:off x="0" y="27586"/>
                            <a:ext cx="36830" cy="1270"/>
                          </a:xfrm>
                          <a:custGeom>
                            <a:avLst/>
                            <a:gdLst/>
                            <a:ahLst/>
                            <a:cxnLst/>
                            <a:rect l="l" t="t" r="r" b="b"/>
                            <a:pathLst>
                              <a:path w="36830">
                                <a:moveTo>
                                  <a:pt x="0" y="0"/>
                                </a:moveTo>
                                <a:lnTo>
                                  <a:pt x="36399" y="0"/>
                                </a:lnTo>
                              </a:path>
                            </a:pathLst>
                          </a:custGeom>
                          <a:ln w="9195">
                            <a:solidFill>
                              <a:srgbClr val="000000"/>
                            </a:solidFill>
                            <a:prstDash val="solid"/>
                          </a:ln>
                        </wps:spPr>
                        <wps:bodyPr wrap="square" lIns="0" tIns="0" rIns="0" bIns="0" rtlCol="0">
                          <a:prstTxWarp prst="textNoShape">
                            <a:avLst/>
                          </a:prstTxWarp>
                          <a:noAutofit/>
                        </wps:bodyPr>
                      </wps:wsp>
                      <wps:wsp>
                        <wps:cNvPr id="776" name="Graphic 776"/>
                        <wps:cNvSpPr/>
                        <wps:spPr>
                          <a:xfrm>
                            <a:off x="36399"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EF5AE8E" id="Group 774" o:spid="_x0000_s1026" style="position:absolute;margin-left:511.55pt;margin-top:85pt;width:7.1pt;height:5.1pt;z-index:-15583232;mso-wrap-distance-left:0;mso-wrap-distance-right:0;mso-position-horizontal-relative:page" coordsize="9017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">
                <v:shape id="Graphic 775" o:spid="_x0000_s1027" style="position:absolute;top:27586;width:36830;height:1270;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" path="m,l36399,e" filled="f" strokeweight=".25542mm">
                  <v:path arrowok="t"/>
                </v:shape>
                <v:shape id="Graphic 776" o:spid="_x0000_s1028" style="position:absolute;left:36399;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" path="m53641,64370l,64370,,,53641,r,6437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33760" behindDoc="1" locked="0" layoutInCell="1" allowOverlap="1" wp14:anchorId="3D2BC421" wp14:editId="7034413D">
                <wp:simplePos x="0" y="0"/>
                <wp:positionH relativeFrom="page">
                  <wp:posOffset>6368494</wp:posOffset>
                </wp:positionH>
                <wp:positionV relativeFrom="paragraph">
                  <wp:posOffset>1226818</wp:posOffset>
                </wp:positionV>
                <wp:extent cx="148590" cy="64769"/>
                <wp:effectExtent l="0" t="0" r="0" b="0"/>
                <wp:wrapTopAndBottom/>
                <wp:docPr id="77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 cy="64769"/>
                          <a:chOff x="0" y="0"/>
                          <a:chExt cx="148590" cy="64769"/>
                        </a:xfrm>
                      </wpg:grpSpPr>
                      <wps:wsp>
                        <wps:cNvPr id="778" name="Graphic 778"/>
                        <wps:cNvSpPr/>
                        <wps:spPr>
                          <a:xfrm>
                            <a:off x="0" y="27586"/>
                            <a:ext cx="148590" cy="1270"/>
                          </a:xfrm>
                          <a:custGeom>
                            <a:avLst/>
                            <a:gdLst/>
                            <a:ahLst/>
                            <a:cxnLst/>
                            <a:rect l="l" t="t" r="r" b="b"/>
                            <a:pathLst>
                              <a:path w="148590">
                                <a:moveTo>
                                  <a:pt x="0" y="0"/>
                                </a:moveTo>
                                <a:lnTo>
                                  <a:pt x="66285" y="0"/>
                                </a:lnTo>
                              </a:path>
                              <a:path w="148590">
                                <a:moveTo>
                                  <a:pt x="119927" y="0"/>
                                </a:moveTo>
                                <a:lnTo>
                                  <a:pt x="148281" y="0"/>
                                </a:lnTo>
                              </a:path>
                            </a:pathLst>
                          </a:custGeom>
                          <a:ln w="9195">
                            <a:solidFill>
                              <a:srgbClr val="000000"/>
                            </a:solidFill>
                            <a:prstDash val="solid"/>
                          </a:ln>
                        </wps:spPr>
                        <wps:bodyPr wrap="square" lIns="0" tIns="0" rIns="0" bIns="0" rtlCol="0">
                          <a:prstTxWarp prst="textNoShape">
                            <a:avLst/>
                          </a:prstTxWarp>
                          <a:noAutofit/>
                        </wps:bodyPr>
                      </wps:wsp>
                      <wps:wsp>
                        <wps:cNvPr id="779" name="Graphic 779"/>
                        <wps:cNvSpPr/>
                        <wps:spPr>
                          <a:xfrm>
                            <a:off x="66285"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974C432" id="Group 777" o:spid="_x0000_s1026" style="position:absolute;margin-left:501.45pt;margin-top:96.6pt;width:11.7pt;height:5.1pt;z-index:-15582720;mso-wrap-distance-left:0;mso-wrap-distance-right:0;mso-position-horizontal-relative:page" coordsize="14859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">
                <v:shape id="Graphic 778" o:spid="_x0000_s1027" style="position:absolute;top:27586;width:148590;height:1270;visibility:visible;mso-wrap-style:square;v-text-anchor:top" coordsize="148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" path="m,l66285,em119927,r28354,e" filled="f" strokeweight=".25542mm">
                  <v:path arrowok="t"/>
                </v:shape>
                <v:shape id="Graphic 779" o:spid="_x0000_s1028" style="position:absolute;left:66285;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" path="m53641,64370l,64370,,,53641,r,6437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34272" behindDoc="1" locked="0" layoutInCell="1" allowOverlap="1" wp14:anchorId="28AAF01E" wp14:editId="1FB7A63E">
                <wp:simplePos x="0" y="0"/>
                <wp:positionH relativeFrom="page">
                  <wp:posOffset>6285348</wp:posOffset>
                </wp:positionH>
                <wp:positionV relativeFrom="paragraph">
                  <wp:posOffset>1373949</wp:posOffset>
                </wp:positionV>
                <wp:extent cx="201295" cy="64769"/>
                <wp:effectExtent l="0" t="0" r="0" b="0"/>
                <wp:wrapTopAndBottom/>
                <wp:docPr id="780"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295" cy="64769"/>
                          <a:chOff x="0" y="0"/>
                          <a:chExt cx="201295" cy="64769"/>
                        </a:xfrm>
                      </wpg:grpSpPr>
                      <wps:wsp>
                        <wps:cNvPr id="781" name="Graphic 781"/>
                        <wps:cNvSpPr/>
                        <wps:spPr>
                          <a:xfrm>
                            <a:off x="0" y="27588"/>
                            <a:ext cx="201295" cy="1270"/>
                          </a:xfrm>
                          <a:custGeom>
                            <a:avLst/>
                            <a:gdLst/>
                            <a:ahLst/>
                            <a:cxnLst/>
                            <a:rect l="l" t="t" r="r" b="b"/>
                            <a:pathLst>
                              <a:path w="201295">
                                <a:moveTo>
                                  <a:pt x="0" y="0"/>
                                </a:moveTo>
                                <a:lnTo>
                                  <a:pt x="93873" y="0"/>
                                </a:lnTo>
                              </a:path>
                              <a:path w="201295">
                                <a:moveTo>
                                  <a:pt x="147515" y="0"/>
                                </a:moveTo>
                                <a:lnTo>
                                  <a:pt x="200773" y="0"/>
                                </a:lnTo>
                              </a:path>
                            </a:pathLst>
                          </a:custGeom>
                          <a:ln w="9195">
                            <a:solidFill>
                              <a:srgbClr val="000000"/>
                            </a:solidFill>
                            <a:prstDash val="solid"/>
                          </a:ln>
                        </wps:spPr>
                        <wps:bodyPr wrap="square" lIns="0" tIns="0" rIns="0" bIns="0" rtlCol="0">
                          <a:prstTxWarp prst="textNoShape">
                            <a:avLst/>
                          </a:prstTxWarp>
                          <a:noAutofit/>
                        </wps:bodyPr>
                      </wps:wsp>
                      <wps:wsp>
                        <wps:cNvPr id="782" name="Graphic 782"/>
                        <wps:cNvSpPr/>
                        <wps:spPr>
                          <a:xfrm>
                            <a:off x="93873" y="0"/>
                            <a:ext cx="53975" cy="64769"/>
                          </a:xfrm>
                          <a:custGeom>
                            <a:avLst/>
                            <a:gdLst/>
                            <a:ahLst/>
                            <a:cxnLst/>
                            <a:rect l="l" t="t" r="r" b="b"/>
                            <a:pathLst>
                              <a:path w="53975" h="64769">
                                <a:moveTo>
                                  <a:pt x="53641" y="64372"/>
                                </a:moveTo>
                                <a:lnTo>
                                  <a:pt x="0" y="64372"/>
                                </a:lnTo>
                                <a:lnTo>
                                  <a:pt x="0" y="0"/>
                                </a:lnTo>
                                <a:lnTo>
                                  <a:pt x="53641" y="0"/>
                                </a:lnTo>
                                <a:lnTo>
                                  <a:pt x="53641" y="64372"/>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5DE234D" id="Group 780" o:spid="_x0000_s1026" style="position:absolute;margin-left:494.9pt;margin-top:108.2pt;width:15.85pt;height:5.1pt;z-index:-15582208;mso-wrap-distance-left:0;mso-wrap-distance-right:0;mso-position-horizontal-relative:page" coordsize="20129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">
                <v:shape id="Graphic 781" o:spid="_x0000_s1027" style="position:absolute;top:27588;width:201295;height:1270;visibility:visible;mso-wrap-style:square;v-text-anchor:top" coordsize="201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" path="m,l93873,em147515,r53258,e" filled="f" strokeweight=".25542mm">
                  <v:path arrowok="t"/>
                </v:shape>
                <v:shape id="Graphic 782" o:spid="_x0000_s1028" style="position:absolute;left:93873;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" path="m53641,64372l,64372,,,53641,r,64372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34784" behindDoc="1" locked="0" layoutInCell="1" allowOverlap="1" wp14:anchorId="352609BF" wp14:editId="63714D59">
                <wp:simplePos x="0" y="0"/>
                <wp:positionH relativeFrom="page">
                  <wp:posOffset>5918667</wp:posOffset>
                </wp:positionH>
                <wp:positionV relativeFrom="paragraph">
                  <wp:posOffset>1521081</wp:posOffset>
                </wp:positionV>
                <wp:extent cx="681990" cy="64769"/>
                <wp:effectExtent l="0" t="0" r="0" b="0"/>
                <wp:wrapTopAndBottom/>
                <wp:docPr id="783"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 cy="64769"/>
                          <a:chOff x="0" y="0"/>
                          <a:chExt cx="681990" cy="64769"/>
                        </a:xfrm>
                      </wpg:grpSpPr>
                      <wps:wsp>
                        <wps:cNvPr id="784" name="Graphic 784"/>
                        <wps:cNvSpPr/>
                        <wps:spPr>
                          <a:xfrm>
                            <a:off x="0" y="27587"/>
                            <a:ext cx="628015" cy="1270"/>
                          </a:xfrm>
                          <a:custGeom>
                            <a:avLst/>
                            <a:gdLst/>
                            <a:ahLst/>
                            <a:cxnLst/>
                            <a:rect l="l" t="t" r="r" b="b"/>
                            <a:pathLst>
                              <a:path w="628015">
                                <a:moveTo>
                                  <a:pt x="0" y="0"/>
                                </a:moveTo>
                                <a:lnTo>
                                  <a:pt x="627993" y="0"/>
                                </a:lnTo>
                              </a:path>
                            </a:pathLst>
                          </a:custGeom>
                          <a:ln w="9195">
                            <a:solidFill>
                              <a:srgbClr val="000000"/>
                            </a:solidFill>
                            <a:prstDash val="solid"/>
                          </a:ln>
                        </wps:spPr>
                        <wps:bodyPr wrap="square" lIns="0" tIns="0" rIns="0" bIns="0" rtlCol="0">
                          <a:prstTxWarp prst="textNoShape">
                            <a:avLst/>
                          </a:prstTxWarp>
                          <a:noAutofit/>
                        </wps:bodyPr>
                      </wps:wsp>
                      <wps:wsp>
                        <wps:cNvPr id="785" name="Graphic 785"/>
                        <wps:cNvSpPr/>
                        <wps:spPr>
                          <a:xfrm>
                            <a:off x="627993"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083CF70" id="Group 783" o:spid="_x0000_s1026" style="position:absolute;margin-left:466.05pt;margin-top:119.75pt;width:53.7pt;height:5.1pt;z-index:-15581696;mso-wrap-distance-left:0;mso-wrap-distance-right:0;mso-position-horizontal-relative:page" coordsize="681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">
                <v:shape id="Graphic 784" o:spid="_x0000_s1027" style="position:absolute;top:275;width:6280;height:13;visibility:visible;mso-wrap-style:square;v-text-anchor:top" coordsize="62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" path="m,l627993,e" filled="f" strokeweight=".25542mm">
                  <v:path arrowok="t"/>
                </v:shape>
                <v:shape id="Graphic 785" o:spid="_x0000_s1028" style="position:absolute;left:6279;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" path="m53641,64370l,64370,,,53641,r,6437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35296" behindDoc="1" locked="0" layoutInCell="1" allowOverlap="1" wp14:anchorId="26B2D359" wp14:editId="0CB12B59">
                <wp:simplePos x="0" y="0"/>
                <wp:positionH relativeFrom="page">
                  <wp:posOffset>5915218</wp:posOffset>
                </wp:positionH>
                <wp:positionV relativeFrom="paragraph">
                  <wp:posOffset>1668213</wp:posOffset>
                </wp:positionV>
                <wp:extent cx="492125" cy="64769"/>
                <wp:effectExtent l="0" t="0" r="0" b="0"/>
                <wp:wrapTopAndBottom/>
                <wp:docPr id="78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125" cy="64769"/>
                          <a:chOff x="0" y="0"/>
                          <a:chExt cx="492125" cy="64769"/>
                        </a:xfrm>
                      </wpg:grpSpPr>
                      <wps:wsp>
                        <wps:cNvPr id="787" name="Graphic 787"/>
                        <wps:cNvSpPr/>
                        <wps:spPr>
                          <a:xfrm>
                            <a:off x="0" y="27587"/>
                            <a:ext cx="492125" cy="1270"/>
                          </a:xfrm>
                          <a:custGeom>
                            <a:avLst/>
                            <a:gdLst/>
                            <a:ahLst/>
                            <a:cxnLst/>
                            <a:rect l="l" t="t" r="r" b="b"/>
                            <a:pathLst>
                              <a:path w="492125">
                                <a:moveTo>
                                  <a:pt x="0" y="0"/>
                                </a:moveTo>
                                <a:lnTo>
                                  <a:pt x="237174" y="0"/>
                                </a:lnTo>
                              </a:path>
                              <a:path w="492125">
                                <a:moveTo>
                                  <a:pt x="290816" y="0"/>
                                </a:moveTo>
                                <a:lnTo>
                                  <a:pt x="491972" y="0"/>
                                </a:lnTo>
                              </a:path>
                            </a:pathLst>
                          </a:custGeom>
                          <a:ln w="9195">
                            <a:solidFill>
                              <a:srgbClr val="000000"/>
                            </a:solidFill>
                            <a:prstDash val="solid"/>
                          </a:ln>
                        </wps:spPr>
                        <wps:bodyPr wrap="square" lIns="0" tIns="0" rIns="0" bIns="0" rtlCol="0">
                          <a:prstTxWarp prst="textNoShape">
                            <a:avLst/>
                          </a:prstTxWarp>
                          <a:noAutofit/>
                        </wps:bodyPr>
                      </wps:wsp>
                      <wps:wsp>
                        <wps:cNvPr id="788" name="Graphic 788"/>
                        <wps:cNvSpPr/>
                        <wps:spPr>
                          <a:xfrm>
                            <a:off x="237174"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D8E421A" id="Group 786" o:spid="_x0000_s1026" style="position:absolute;margin-left:465.75pt;margin-top:131.35pt;width:38.75pt;height:5.1pt;z-index:-15581184;mso-wrap-distance-left:0;mso-wrap-distance-right:0;mso-position-horizontal-relative:page" coordsize="49212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">
                <v:shape id="Graphic 787" o:spid="_x0000_s1027" style="position:absolute;top:27587;width:492125;height:1270;visibility:visible;mso-wrap-style:square;v-text-anchor:top" coordsize="492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" path="m,l237174,em290816,l491972,e" filled="f" strokeweight=".25542mm">
                  <v:path arrowok="t"/>
                </v:shape>
                <v:shape id="Graphic 788" o:spid="_x0000_s1028" style="position:absolute;left:237174;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" path="m53641,64370l,64370,,,53641,r,6437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35808" behindDoc="1" locked="0" layoutInCell="1" allowOverlap="1" wp14:anchorId="2ABA921C" wp14:editId="03D8AAE9">
                <wp:simplePos x="0" y="0"/>
                <wp:positionH relativeFrom="page">
                  <wp:posOffset>5646240</wp:posOffset>
                </wp:positionH>
                <wp:positionV relativeFrom="paragraph">
                  <wp:posOffset>1815345</wp:posOffset>
                </wp:positionV>
                <wp:extent cx="954405" cy="138430"/>
                <wp:effectExtent l="0" t="0" r="0" b="0"/>
                <wp:wrapTopAndBottom/>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405" cy="138430"/>
                          <a:chOff x="0" y="0"/>
                          <a:chExt cx="954405" cy="138430"/>
                        </a:xfrm>
                      </wpg:grpSpPr>
                      <wps:wsp>
                        <wps:cNvPr id="790" name="Graphic 790"/>
                        <wps:cNvSpPr/>
                        <wps:spPr>
                          <a:xfrm>
                            <a:off x="679720" y="27587"/>
                            <a:ext cx="220979" cy="1270"/>
                          </a:xfrm>
                          <a:custGeom>
                            <a:avLst/>
                            <a:gdLst/>
                            <a:ahLst/>
                            <a:cxnLst/>
                            <a:rect l="l" t="t" r="r" b="b"/>
                            <a:pathLst>
                              <a:path w="220979">
                                <a:moveTo>
                                  <a:pt x="0" y="0"/>
                                </a:moveTo>
                                <a:lnTo>
                                  <a:pt x="220698" y="0"/>
                                </a:lnTo>
                              </a:path>
                            </a:pathLst>
                          </a:custGeom>
                          <a:ln w="9195">
                            <a:solidFill>
                              <a:srgbClr val="000000"/>
                            </a:solidFill>
                            <a:prstDash val="solid"/>
                          </a:ln>
                        </wps:spPr>
                        <wps:bodyPr wrap="square" lIns="0" tIns="0" rIns="0" bIns="0" rtlCol="0">
                          <a:prstTxWarp prst="textNoShape">
                            <a:avLst/>
                          </a:prstTxWarp>
                          <a:noAutofit/>
                        </wps:bodyPr>
                      </wps:wsp>
                      <wps:wsp>
                        <wps:cNvPr id="791" name="Graphic 791"/>
                        <wps:cNvSpPr/>
                        <wps:spPr>
                          <a:xfrm>
                            <a:off x="900418" y="0"/>
                            <a:ext cx="53975" cy="64769"/>
                          </a:xfrm>
                          <a:custGeom>
                            <a:avLst/>
                            <a:gdLst/>
                            <a:ahLst/>
                            <a:cxnLst/>
                            <a:rect l="l" t="t" r="r" b="b"/>
                            <a:pathLst>
                              <a:path w="53975" h="64769">
                                <a:moveTo>
                                  <a:pt x="53641" y="64370"/>
                                </a:moveTo>
                                <a:lnTo>
                                  <a:pt x="0" y="64370"/>
                                </a:lnTo>
                                <a:lnTo>
                                  <a:pt x="0" y="0"/>
                                </a:lnTo>
                                <a:lnTo>
                                  <a:pt x="53641" y="0"/>
                                </a:lnTo>
                                <a:lnTo>
                                  <a:pt x="53641" y="64370"/>
                                </a:lnTo>
                                <a:close/>
                              </a:path>
                            </a:pathLst>
                          </a:custGeom>
                          <a:solidFill>
                            <a:srgbClr val="0000C0"/>
                          </a:solidFill>
                        </wps:spPr>
                        <wps:bodyPr wrap="square" lIns="0" tIns="0" rIns="0" bIns="0" rtlCol="0">
                          <a:prstTxWarp prst="textNoShape">
                            <a:avLst/>
                          </a:prstTxWarp>
                          <a:noAutofit/>
                        </wps:bodyPr>
                      </wps:wsp>
                      <wps:wsp>
                        <wps:cNvPr id="792" name="Graphic 792"/>
                        <wps:cNvSpPr/>
                        <wps:spPr>
                          <a:xfrm>
                            <a:off x="3831" y="101153"/>
                            <a:ext cx="912494" cy="1270"/>
                          </a:xfrm>
                          <a:custGeom>
                            <a:avLst/>
                            <a:gdLst/>
                            <a:ahLst/>
                            <a:cxnLst/>
                            <a:rect l="l" t="t" r="r" b="b"/>
                            <a:pathLst>
                              <a:path w="912494">
                                <a:moveTo>
                                  <a:pt x="0" y="0"/>
                                </a:moveTo>
                                <a:lnTo>
                                  <a:pt x="911912" y="0"/>
                                </a:lnTo>
                              </a:path>
                            </a:pathLst>
                          </a:custGeom>
                          <a:ln w="9195">
                            <a:solidFill>
                              <a:srgbClr val="000000"/>
                            </a:solidFill>
                            <a:prstDash val="solid"/>
                          </a:ln>
                        </wps:spPr>
                        <wps:bodyPr wrap="square" lIns="0" tIns="0" rIns="0" bIns="0" rtlCol="0">
                          <a:prstTxWarp prst="textNoShape">
                            <a:avLst/>
                          </a:prstTxWarp>
                          <a:noAutofit/>
                        </wps:bodyPr>
                      </wps:wsp>
                      <wps:wsp>
                        <wps:cNvPr id="793" name="Graphic 793"/>
                        <wps:cNvSpPr/>
                        <wps:spPr>
                          <a:xfrm>
                            <a:off x="3831" y="64370"/>
                            <a:ext cx="1270" cy="73660"/>
                          </a:xfrm>
                          <a:custGeom>
                            <a:avLst/>
                            <a:gdLst/>
                            <a:ahLst/>
                            <a:cxnLst/>
                            <a:rect l="l" t="t" r="r" b="b"/>
                            <a:pathLst>
                              <a:path h="73660">
                                <a:moveTo>
                                  <a:pt x="0" y="0"/>
                                </a:moveTo>
                                <a:lnTo>
                                  <a:pt x="0" y="73565"/>
                                </a:lnTo>
                              </a:path>
                            </a:pathLst>
                          </a:custGeom>
                          <a:ln w="7663">
                            <a:solidFill>
                              <a:srgbClr val="000000"/>
                            </a:solidFill>
                            <a:prstDash val="solid"/>
                          </a:ln>
                        </wps:spPr>
                        <wps:bodyPr wrap="square" lIns="0" tIns="0" rIns="0" bIns="0" rtlCol="0">
                          <a:prstTxWarp prst="textNoShape">
                            <a:avLst/>
                          </a:prstTxWarp>
                          <a:noAutofit/>
                        </wps:bodyPr>
                      </wps:wsp>
                      <wps:wsp>
                        <wps:cNvPr id="794" name="Graphic 794"/>
                        <wps:cNvSpPr/>
                        <wps:spPr>
                          <a:xfrm>
                            <a:off x="186213" y="64370"/>
                            <a:ext cx="1270" cy="73660"/>
                          </a:xfrm>
                          <a:custGeom>
                            <a:avLst/>
                            <a:gdLst/>
                            <a:ahLst/>
                            <a:cxnLst/>
                            <a:rect l="l" t="t" r="r" b="b"/>
                            <a:pathLst>
                              <a:path h="73660">
                                <a:moveTo>
                                  <a:pt x="0" y="0"/>
                                </a:moveTo>
                                <a:lnTo>
                                  <a:pt x="0" y="73565"/>
                                </a:lnTo>
                              </a:path>
                            </a:pathLst>
                          </a:custGeom>
                          <a:ln w="7663">
                            <a:solidFill>
                              <a:srgbClr val="000000"/>
                            </a:solidFill>
                            <a:prstDash val="solid"/>
                          </a:ln>
                        </wps:spPr>
                        <wps:bodyPr wrap="square" lIns="0" tIns="0" rIns="0" bIns="0" rtlCol="0">
                          <a:prstTxWarp prst="textNoShape">
                            <a:avLst/>
                          </a:prstTxWarp>
                          <a:noAutofit/>
                        </wps:bodyPr>
                      </wps:wsp>
                      <wps:wsp>
                        <wps:cNvPr id="795" name="Graphic 795"/>
                        <wps:cNvSpPr/>
                        <wps:spPr>
                          <a:xfrm>
                            <a:off x="368594" y="64370"/>
                            <a:ext cx="1270" cy="73660"/>
                          </a:xfrm>
                          <a:custGeom>
                            <a:avLst/>
                            <a:gdLst/>
                            <a:ahLst/>
                            <a:cxnLst/>
                            <a:rect l="l" t="t" r="r" b="b"/>
                            <a:pathLst>
                              <a:path h="73660">
                                <a:moveTo>
                                  <a:pt x="0" y="0"/>
                                </a:moveTo>
                                <a:lnTo>
                                  <a:pt x="0" y="73565"/>
                                </a:lnTo>
                              </a:path>
                            </a:pathLst>
                          </a:custGeom>
                          <a:ln w="7663">
                            <a:solidFill>
                              <a:srgbClr val="000000"/>
                            </a:solidFill>
                            <a:prstDash val="solid"/>
                          </a:ln>
                        </wps:spPr>
                        <wps:bodyPr wrap="square" lIns="0" tIns="0" rIns="0" bIns="0" rtlCol="0">
                          <a:prstTxWarp prst="textNoShape">
                            <a:avLst/>
                          </a:prstTxWarp>
                          <a:noAutofit/>
                        </wps:bodyPr>
                      </wps:wsp>
                      <wps:wsp>
                        <wps:cNvPr id="796" name="Graphic 796"/>
                        <wps:cNvSpPr/>
                        <wps:spPr>
                          <a:xfrm>
                            <a:off x="550593" y="64370"/>
                            <a:ext cx="1270" cy="73660"/>
                          </a:xfrm>
                          <a:custGeom>
                            <a:avLst/>
                            <a:gdLst/>
                            <a:ahLst/>
                            <a:cxnLst/>
                            <a:rect l="l" t="t" r="r" b="b"/>
                            <a:pathLst>
                              <a:path h="73660">
                                <a:moveTo>
                                  <a:pt x="0" y="0"/>
                                </a:moveTo>
                                <a:lnTo>
                                  <a:pt x="0" y="73565"/>
                                </a:lnTo>
                              </a:path>
                            </a:pathLst>
                          </a:custGeom>
                          <a:ln w="7663">
                            <a:solidFill>
                              <a:srgbClr val="000000"/>
                            </a:solidFill>
                            <a:prstDash val="solid"/>
                          </a:ln>
                        </wps:spPr>
                        <wps:bodyPr wrap="square" lIns="0" tIns="0" rIns="0" bIns="0" rtlCol="0">
                          <a:prstTxWarp prst="textNoShape">
                            <a:avLst/>
                          </a:prstTxWarp>
                          <a:noAutofit/>
                        </wps:bodyPr>
                      </wps:wsp>
                      <wps:wsp>
                        <wps:cNvPr id="797" name="Graphic 797"/>
                        <wps:cNvSpPr/>
                        <wps:spPr>
                          <a:xfrm>
                            <a:off x="733357" y="64370"/>
                            <a:ext cx="1270" cy="73660"/>
                          </a:xfrm>
                          <a:custGeom>
                            <a:avLst/>
                            <a:gdLst/>
                            <a:ahLst/>
                            <a:cxnLst/>
                            <a:rect l="l" t="t" r="r" b="b"/>
                            <a:pathLst>
                              <a:path h="73660">
                                <a:moveTo>
                                  <a:pt x="0" y="0"/>
                                </a:moveTo>
                                <a:lnTo>
                                  <a:pt x="0" y="73565"/>
                                </a:lnTo>
                              </a:path>
                            </a:pathLst>
                          </a:custGeom>
                          <a:ln w="7663">
                            <a:solidFill>
                              <a:srgbClr val="000000"/>
                            </a:solidFill>
                            <a:prstDash val="solid"/>
                          </a:ln>
                        </wps:spPr>
                        <wps:bodyPr wrap="square" lIns="0" tIns="0" rIns="0" bIns="0" rtlCol="0">
                          <a:prstTxWarp prst="textNoShape">
                            <a:avLst/>
                          </a:prstTxWarp>
                          <a:noAutofit/>
                        </wps:bodyPr>
                      </wps:wsp>
                      <wps:wsp>
                        <wps:cNvPr id="798" name="Graphic 798"/>
                        <wps:cNvSpPr/>
                        <wps:spPr>
                          <a:xfrm>
                            <a:off x="915739" y="64370"/>
                            <a:ext cx="1270" cy="73660"/>
                          </a:xfrm>
                          <a:custGeom>
                            <a:avLst/>
                            <a:gdLst/>
                            <a:ahLst/>
                            <a:cxnLst/>
                            <a:rect l="l" t="t" r="r" b="b"/>
                            <a:pathLst>
                              <a:path h="73660">
                                <a:moveTo>
                                  <a:pt x="0" y="0"/>
                                </a:moveTo>
                                <a:lnTo>
                                  <a:pt x="0" y="73565"/>
                                </a:lnTo>
                              </a:path>
                            </a:pathLst>
                          </a:custGeom>
                          <a:ln w="766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94C0D4" id="Group 789" o:spid="_x0000_s1026" style="position:absolute;margin-left:444.6pt;margin-top:142.95pt;width:75.15pt;height:10.9pt;z-index:-15580672;mso-wrap-distance-left:0;mso-wrap-distance-right:0;mso-position-horizontal-relative:page" coordsize="9544,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">
                <v:shape id="Graphic 790" o:spid="_x0000_s1027" style="position:absolute;left:6797;top:275;width:2209;height:13;visibility:visible;mso-wrap-style:square;v-text-anchor:top" coordsize="2209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" path="m,l220698,e" filled="f" strokeweight=".25542mm">
                  <v:path arrowok="t"/>
                </v:shape>
                <v:shape id="Graphic 791" o:spid="_x0000_s1028" style="position:absolute;left:9004;width:539;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" path="m53641,64370l,64370,,,53641,r,64370xe" fillcolor="#0000c0" stroked="f">
                  <v:path arrowok="t"/>
                </v:shape>
                <v:shape id="Graphic 792" o:spid="_x0000_s1029" style="position:absolute;left:38;top:1011;width:9125;height:13;visibility:visible;mso-wrap-style:square;v-text-anchor:top" coordsize="9124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" path="m,l911912,e" filled="f" strokeweight=".25542mm">
                  <v:path arrowok="t"/>
                </v:shape>
                <v:shape id="Graphic 793" o:spid="_x0000_s1030" style="position:absolute;left:38;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" path="m,l,73565e" filled="f" strokeweight=".21286mm">
                  <v:path arrowok="t"/>
                </v:shape>
                <v:shape id="Graphic 794" o:spid="_x0000_s1031" style="position:absolute;left:1862;top:643;width:12;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" path="m,l,73565e" filled="f" strokeweight=".21286mm">
                  <v:path arrowok="t"/>
                </v:shape>
                <v:shape id="Graphic 795" o:spid="_x0000_s1032" style="position:absolute;left:3685;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" path="m,l,73565e" filled="f" strokeweight=".21286mm">
                  <v:path arrowok="t"/>
                </v:shape>
                <v:shape id="Graphic 796" o:spid="_x0000_s1033" style="position:absolute;left:5505;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" path="m,l,73565e" filled="f" strokeweight=".21286mm">
                  <v:path arrowok="t"/>
                </v:shape>
                <v:shape id="Graphic 797" o:spid="_x0000_s1034" style="position:absolute;left:7333;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" path="m,l,73565e" filled="f" strokeweight=".21286mm">
                  <v:path arrowok="t"/>
                </v:shape>
                <v:shape id="Graphic 798" o:spid="_x0000_s1035" style="position:absolute;left:9157;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" path="m,l,73565e" filled="f" strokeweight=".21286mm">
                  <v:path arrowok="t"/>
                </v:shape>
                <w10:wrap type="topAndBottom" anchorx="page"/>
              </v:group>
            </w:pict>
          </mc:Fallback>
        </mc:AlternateContent>
      </w:r>
    </w:p>
    <w:p w14:paraId="217F0AFB" w14:textId="77777777" w:rsidR="00E05B98" w:rsidRPr="003C6DAE" w:rsidRDefault="00E05B98">
      <w:pPr>
        <w:pStyle w:val="a3"/>
        <w:spacing w:before="1"/>
        <w:rPr>
          <w:rFonts w:ascii="Trebuchet MS"/>
          <w:sz w:val="9"/>
          <w:lang w:val="uk-UA"/>
        </w:rPr>
      </w:pPr>
    </w:p>
    <w:p w14:paraId="21D5083E" w14:textId="77777777" w:rsidR="00E05B98" w:rsidRPr="003C6DAE" w:rsidRDefault="00E05B98">
      <w:pPr>
        <w:pStyle w:val="a3"/>
        <w:spacing w:before="1"/>
        <w:rPr>
          <w:rFonts w:ascii="Trebuchet MS"/>
          <w:sz w:val="9"/>
          <w:lang w:val="uk-UA"/>
        </w:rPr>
      </w:pPr>
    </w:p>
    <w:p w14:paraId="04A9E9D3" w14:textId="77777777" w:rsidR="00E05B98" w:rsidRPr="003C6DAE" w:rsidRDefault="00E05B98">
      <w:pPr>
        <w:pStyle w:val="a3"/>
        <w:spacing w:before="1"/>
        <w:rPr>
          <w:rFonts w:ascii="Trebuchet MS"/>
          <w:sz w:val="9"/>
          <w:lang w:val="uk-UA"/>
        </w:rPr>
      </w:pPr>
    </w:p>
    <w:p w14:paraId="057BF915" w14:textId="77777777" w:rsidR="00E05B98" w:rsidRPr="003C6DAE" w:rsidRDefault="00E05B98">
      <w:pPr>
        <w:pStyle w:val="a3"/>
        <w:spacing w:before="1"/>
        <w:rPr>
          <w:rFonts w:ascii="Trebuchet MS"/>
          <w:sz w:val="9"/>
          <w:lang w:val="uk-UA"/>
        </w:rPr>
      </w:pPr>
    </w:p>
    <w:p w14:paraId="000F3B4D" w14:textId="77777777" w:rsidR="00E05B98" w:rsidRPr="003C6DAE" w:rsidRDefault="00E05B98">
      <w:pPr>
        <w:pStyle w:val="a3"/>
        <w:spacing w:before="1"/>
        <w:rPr>
          <w:rFonts w:ascii="Trebuchet MS"/>
          <w:sz w:val="9"/>
          <w:lang w:val="uk-UA"/>
        </w:rPr>
      </w:pPr>
    </w:p>
    <w:p w14:paraId="6362B3F0" w14:textId="77777777" w:rsidR="00E05B98" w:rsidRPr="003C6DAE" w:rsidRDefault="00E05B98">
      <w:pPr>
        <w:pStyle w:val="a3"/>
        <w:spacing w:before="1"/>
        <w:rPr>
          <w:rFonts w:ascii="Trebuchet MS"/>
          <w:sz w:val="9"/>
          <w:lang w:val="uk-UA"/>
        </w:rPr>
      </w:pPr>
    </w:p>
    <w:p w14:paraId="5C9DFC84" w14:textId="77777777" w:rsidR="00E05B98" w:rsidRPr="003C6DAE" w:rsidRDefault="00E05B98">
      <w:pPr>
        <w:pStyle w:val="a3"/>
        <w:spacing w:before="1"/>
        <w:rPr>
          <w:rFonts w:ascii="Trebuchet MS"/>
          <w:sz w:val="9"/>
          <w:lang w:val="uk-UA"/>
        </w:rPr>
      </w:pPr>
    </w:p>
    <w:p w14:paraId="33ED44DF" w14:textId="77777777" w:rsidR="00E05B98" w:rsidRPr="003C6DAE" w:rsidRDefault="00E05B98">
      <w:pPr>
        <w:pStyle w:val="a3"/>
        <w:spacing w:before="1"/>
        <w:rPr>
          <w:rFonts w:ascii="Trebuchet MS"/>
          <w:sz w:val="9"/>
          <w:lang w:val="uk-UA"/>
        </w:rPr>
      </w:pPr>
    </w:p>
    <w:p w14:paraId="3077EE96" w14:textId="77777777" w:rsidR="00E05B98" w:rsidRPr="003C6DAE" w:rsidRDefault="00E05B98">
      <w:pPr>
        <w:pStyle w:val="a3"/>
        <w:spacing w:before="1"/>
        <w:rPr>
          <w:rFonts w:ascii="Trebuchet MS"/>
          <w:sz w:val="9"/>
          <w:lang w:val="uk-UA"/>
        </w:rPr>
      </w:pPr>
    </w:p>
    <w:p w14:paraId="0408C697" w14:textId="77777777" w:rsidR="00E05B98" w:rsidRPr="003C6DAE" w:rsidRDefault="00E05B98">
      <w:pPr>
        <w:pStyle w:val="a3"/>
        <w:spacing w:before="1"/>
        <w:rPr>
          <w:rFonts w:ascii="Trebuchet MS"/>
          <w:sz w:val="9"/>
          <w:lang w:val="uk-UA"/>
        </w:rPr>
      </w:pPr>
    </w:p>
    <w:p w14:paraId="5FB73704" w14:textId="77777777" w:rsidR="00E05B98" w:rsidRPr="003C6DAE" w:rsidRDefault="00E05B98">
      <w:pPr>
        <w:pStyle w:val="a3"/>
        <w:spacing w:before="1"/>
        <w:rPr>
          <w:rFonts w:ascii="Trebuchet MS"/>
          <w:sz w:val="9"/>
          <w:lang w:val="uk-UA"/>
        </w:rPr>
      </w:pPr>
    </w:p>
    <w:p w14:paraId="12C67C15" w14:textId="77777777" w:rsidR="00E05B98" w:rsidRPr="003C6DAE" w:rsidRDefault="00E05B98">
      <w:pPr>
        <w:pStyle w:val="a3"/>
        <w:spacing w:before="1"/>
        <w:rPr>
          <w:rFonts w:ascii="Trebuchet MS"/>
          <w:sz w:val="9"/>
          <w:lang w:val="uk-UA"/>
        </w:rPr>
      </w:pPr>
    </w:p>
    <w:p w14:paraId="6392ED1F" w14:textId="77777777" w:rsidR="00E05B98" w:rsidRPr="003C6DAE" w:rsidRDefault="00B01E0C">
      <w:pPr>
        <w:spacing w:before="1"/>
        <w:ind w:left="98"/>
        <w:rPr>
          <w:rFonts w:ascii="Trebuchet MS"/>
          <w:sz w:val="17"/>
          <w:lang w:val="uk-UA"/>
        </w:rPr>
      </w:pPr>
      <w:r w:rsidRPr="003C6DAE">
        <w:rPr>
          <w:rFonts w:ascii="Trebuchet MS"/>
          <w:w w:val="85"/>
          <w:sz w:val="17"/>
          <w:lang w:val="uk-UA"/>
        </w:rPr>
        <w:t>0</w:t>
      </w:r>
      <w:r w:rsidRPr="003C6DAE">
        <w:rPr>
          <w:rFonts w:ascii="Trebuchet MS"/>
          <w:spacing w:val="47"/>
          <w:sz w:val="17"/>
          <w:lang w:val="uk-UA"/>
        </w:rPr>
        <w:t xml:space="preserve"> </w:t>
      </w:r>
      <w:r w:rsidRPr="003C6DAE">
        <w:rPr>
          <w:rFonts w:ascii="Trebuchet MS"/>
          <w:w w:val="85"/>
          <w:sz w:val="17"/>
          <w:lang w:val="uk-UA"/>
        </w:rPr>
        <w:t>0.2</w:t>
      </w:r>
      <w:r w:rsidRPr="003C6DAE">
        <w:rPr>
          <w:rFonts w:ascii="Trebuchet MS"/>
          <w:spacing w:val="31"/>
          <w:sz w:val="17"/>
          <w:lang w:val="uk-UA"/>
        </w:rPr>
        <w:t xml:space="preserve"> </w:t>
      </w:r>
      <w:r w:rsidRPr="003C6DAE">
        <w:rPr>
          <w:rFonts w:ascii="Trebuchet MS"/>
          <w:w w:val="85"/>
          <w:sz w:val="17"/>
          <w:lang w:val="uk-UA"/>
        </w:rPr>
        <w:t>0.4</w:t>
      </w:r>
      <w:r w:rsidRPr="003C6DAE">
        <w:rPr>
          <w:rFonts w:ascii="Trebuchet MS"/>
          <w:spacing w:val="30"/>
          <w:sz w:val="17"/>
          <w:lang w:val="uk-UA"/>
        </w:rPr>
        <w:t xml:space="preserve"> </w:t>
      </w:r>
      <w:r w:rsidRPr="003C6DAE">
        <w:rPr>
          <w:rFonts w:ascii="Trebuchet MS"/>
          <w:w w:val="85"/>
          <w:sz w:val="17"/>
          <w:lang w:val="uk-UA"/>
        </w:rPr>
        <w:t>0.6</w:t>
      </w:r>
      <w:r w:rsidRPr="003C6DAE">
        <w:rPr>
          <w:rFonts w:ascii="Trebuchet MS"/>
          <w:spacing w:val="31"/>
          <w:sz w:val="17"/>
          <w:lang w:val="uk-UA"/>
        </w:rPr>
        <w:t xml:space="preserve"> </w:t>
      </w:r>
      <w:r w:rsidRPr="003C6DAE">
        <w:rPr>
          <w:rFonts w:ascii="Trebuchet MS"/>
          <w:w w:val="85"/>
          <w:sz w:val="17"/>
          <w:lang w:val="uk-UA"/>
        </w:rPr>
        <w:t>0.8</w:t>
      </w:r>
      <w:r w:rsidRPr="003C6DAE">
        <w:rPr>
          <w:rFonts w:ascii="Trebuchet MS"/>
          <w:spacing w:val="49"/>
          <w:sz w:val="17"/>
          <w:lang w:val="uk-UA"/>
        </w:rPr>
        <w:t xml:space="preserve"> </w:t>
      </w:r>
      <w:r w:rsidRPr="003C6DAE">
        <w:rPr>
          <w:rFonts w:ascii="Trebuchet MS"/>
          <w:spacing w:val="-10"/>
          <w:w w:val="85"/>
          <w:sz w:val="17"/>
          <w:lang w:val="uk-UA"/>
        </w:rPr>
        <w:t>1</w:t>
      </w:r>
    </w:p>
    <w:p w14:paraId="169FA0A5" w14:textId="77777777" w:rsidR="00E05B98" w:rsidRPr="003C6DAE" w:rsidRDefault="00E05B98">
      <w:pPr>
        <w:rPr>
          <w:rFonts w:ascii="Trebuchet MS"/>
          <w:sz w:val="17"/>
          <w:lang w:val="uk-UA"/>
        </w:rPr>
        <w:sectPr w:rsidR="00E05B98" w:rsidRPr="003C6DAE" w:rsidSect="00FA7B94">
          <w:type w:val="continuous"/>
          <w:pgSz w:w="11910" w:h="16840"/>
          <w:pgMar w:top="1920" w:right="995" w:bottom="280" w:left="850" w:header="0" w:footer="573" w:gutter="0"/>
          <w:cols w:num="7" w:space="720" w:equalWidth="0">
            <w:col w:w="2110" w:space="40"/>
            <w:col w:w="699" w:space="39"/>
            <w:col w:w="629" w:space="40"/>
            <w:col w:w="1433" w:space="39"/>
            <w:col w:w="1397" w:space="40"/>
            <w:col w:w="1444" w:space="39"/>
            <w:col w:w="1836"/>
          </w:cols>
        </w:sectPr>
      </w:pPr>
    </w:p>
    <w:p w14:paraId="04E2A061" w14:textId="67F6F625" w:rsidR="00E05B98" w:rsidRPr="003C6DAE" w:rsidRDefault="0099259A">
      <w:pPr>
        <w:pStyle w:val="a3"/>
        <w:rPr>
          <w:rFonts w:ascii="Trebuchet MS"/>
          <w:sz w:val="14"/>
          <w:lang w:val="uk-UA"/>
        </w:rPr>
      </w:pPr>
      <w:r w:rsidRPr="003C6DAE">
        <w:rPr>
          <w:noProof/>
          <w:lang w:val="uk-UA"/>
        </w:rPr>
        <mc:AlternateContent>
          <mc:Choice Requires="wps">
            <w:drawing>
              <wp:anchor distT="0" distB="0" distL="114300" distR="114300" simplePos="0" relativeHeight="488090112" behindDoc="0" locked="0" layoutInCell="1" allowOverlap="1" wp14:anchorId="3D606E1A" wp14:editId="420C6D17">
                <wp:simplePos x="0" y="0"/>
                <wp:positionH relativeFrom="column">
                  <wp:posOffset>257607</wp:posOffset>
                </wp:positionH>
                <wp:positionV relativeFrom="paragraph">
                  <wp:posOffset>84049</wp:posOffset>
                </wp:positionV>
                <wp:extent cx="811987" cy="342900"/>
                <wp:effectExtent l="0" t="0" r="7620" b="0"/>
                <wp:wrapNone/>
                <wp:docPr id="460490939" name="Поле 2315"/>
                <wp:cNvGraphicFramePr/>
                <a:graphic xmlns:a="http://schemas.openxmlformats.org/drawingml/2006/main">
                  <a:graphicData uri="http://schemas.microsoft.com/office/word/2010/wordprocessingShape">
                    <wps:wsp>
                      <wps:cNvSpPr txBox="1"/>
                      <wps:spPr>
                        <a:xfrm>
                          <a:off x="0" y="0"/>
                          <a:ext cx="811987" cy="342900"/>
                        </a:xfrm>
                        <a:prstGeom prst="rect">
                          <a:avLst/>
                        </a:prstGeom>
                        <a:solidFill>
                          <a:schemeClr val="lt1"/>
                        </a:solidFill>
                        <a:ln w="6350">
                          <a:noFill/>
                        </a:ln>
                      </wps:spPr>
                      <wps:txbx>
                        <w:txbxContent>
                          <w:p w14:paraId="1B345DCD" w14:textId="77777777" w:rsidR="007372B2" w:rsidRPr="0099259A" w:rsidRDefault="007372B2">
                            <w:pPr>
                              <w:rPr>
                                <w:sz w:val="4"/>
                                <w:szCs w:val="4"/>
                                <w:lang w:val="uk-UA"/>
                              </w:rPr>
                            </w:pPr>
                          </w:p>
                          <w:p w14:paraId="5681B21B" w14:textId="2CFAD389" w:rsidR="007372B2" w:rsidRPr="0017456D" w:rsidRDefault="0017456D">
                            <w:pPr>
                              <w:rPr>
                                <w:sz w:val="15"/>
                                <w:szCs w:val="15"/>
                                <w:lang w:val="uk-UA"/>
                              </w:rPr>
                            </w:pPr>
                            <w:r>
                              <w:rPr>
                                <w:sz w:val="15"/>
                                <w:szCs w:val="15"/>
                                <w:lang w:val="uk-UA"/>
                              </w:rPr>
                              <w:t xml:space="preserve"> </w:t>
                            </w:r>
                            <w:r w:rsidR="007372B2" w:rsidRPr="0017456D">
                              <w:rPr>
                                <w:sz w:val="15"/>
                                <w:szCs w:val="15"/>
                                <w:lang w:val="uk-UA"/>
                              </w:rPr>
                              <w:t>Дослідження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06E1A" id="Поле 2315" o:spid="_x0000_s1083" type="#_x0000_t202" style="position:absolute;margin-left:20.3pt;margin-top:6.6pt;width:63.95pt;height:27pt;z-index:4880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" fillcolor="white [3201]" stroked="f" strokeweight=".5pt">
                <v:textbox>
                  <w:txbxContent>
                    <w:p w14:paraId="1B345DCD" w14:textId="77777777" w:rsidR="007372B2" w:rsidRPr="0099259A" w:rsidRDefault="007372B2">
                      <w:pPr>
                        <w:rPr>
                          <w:sz w:val="4"/>
                          <w:szCs w:val="4"/>
                          <w:lang w:val="uk-UA"/>
                        </w:rPr>
                      </w:pPr>
                    </w:p>
                    <w:p w14:paraId="5681B21B" w14:textId="2CFAD389" w:rsidR="007372B2" w:rsidRPr="0017456D" w:rsidRDefault="0017456D">
                      <w:pPr>
                        <w:rPr>
                          <w:sz w:val="15"/>
                          <w:szCs w:val="15"/>
                          <w:lang w:val="uk-UA"/>
                        </w:rPr>
                      </w:pPr>
                      <w:r>
                        <w:rPr>
                          <w:sz w:val="15"/>
                          <w:szCs w:val="15"/>
                          <w:lang w:val="uk-UA"/>
                        </w:rPr>
                        <w:t xml:space="preserve"> </w:t>
                      </w:r>
                      <w:r w:rsidR="007372B2" w:rsidRPr="0017456D">
                        <w:rPr>
                          <w:sz w:val="15"/>
                          <w:szCs w:val="15"/>
                          <w:lang w:val="uk-UA"/>
                        </w:rPr>
                        <w:t>Дослідження</w:t>
                      </w:r>
                    </w:p>
                  </w:txbxContent>
                </v:textbox>
              </v:shape>
            </w:pict>
          </mc:Fallback>
        </mc:AlternateContent>
      </w:r>
    </w:p>
    <w:p w14:paraId="052F52D4" w14:textId="77777777" w:rsidR="00E05B98" w:rsidRPr="003C6DAE" w:rsidRDefault="00E05B98">
      <w:pPr>
        <w:pStyle w:val="a3"/>
        <w:rPr>
          <w:rFonts w:ascii="Trebuchet MS"/>
          <w:sz w:val="14"/>
          <w:lang w:val="uk-UA"/>
        </w:rPr>
        <w:sectPr w:rsidR="00E05B98" w:rsidRPr="003C6DAE" w:rsidSect="00FA7B94">
          <w:type w:val="continuous"/>
          <w:pgSz w:w="11910" w:h="16840"/>
          <w:pgMar w:top="1920" w:right="995" w:bottom="280" w:left="850" w:header="0" w:footer="573" w:gutter="0"/>
          <w:cols w:space="720"/>
        </w:sectPr>
      </w:pPr>
    </w:p>
    <w:p w14:paraId="42B1D9FD" w14:textId="71C1E6EA" w:rsidR="00E05B98" w:rsidRPr="0017456D" w:rsidRDefault="00B01E0C">
      <w:pPr>
        <w:spacing w:before="105"/>
        <w:ind w:left="531"/>
        <w:rPr>
          <w:rFonts w:ascii="Trebuchet MS"/>
          <w:sz w:val="16"/>
          <w:szCs w:val="16"/>
          <w:lang w:val="uk-UA"/>
        </w:rPr>
      </w:pPr>
      <w:r w:rsidRPr="003C6DAE">
        <w:rPr>
          <w:lang w:val="uk-UA"/>
        </w:rPr>
        <w:br w:type="column"/>
      </w:r>
      <w:r w:rsidR="0017456D">
        <w:rPr>
          <w:lang w:val="uk-UA"/>
        </w:rPr>
        <w:t xml:space="preserve"> </w:t>
      </w:r>
      <w:r w:rsidRPr="0017456D">
        <w:rPr>
          <w:rFonts w:ascii="Trebuchet MS"/>
          <w:color w:val="333333"/>
          <w:w w:val="90"/>
          <w:sz w:val="16"/>
          <w:szCs w:val="16"/>
          <w:lang w:val="uk-UA"/>
        </w:rPr>
        <w:t>TP</w:t>
      </w:r>
      <w:r w:rsidRPr="0017456D">
        <w:rPr>
          <w:rFonts w:ascii="Trebuchet MS"/>
          <w:color w:val="333333"/>
          <w:spacing w:val="64"/>
          <w:w w:val="150"/>
          <w:sz w:val="16"/>
          <w:szCs w:val="16"/>
          <w:lang w:val="uk-UA"/>
        </w:rPr>
        <w:t xml:space="preserve"> </w:t>
      </w:r>
      <w:r w:rsidRPr="0017456D">
        <w:rPr>
          <w:rFonts w:ascii="Trebuchet MS"/>
          <w:color w:val="333333"/>
          <w:spacing w:val="4"/>
          <w:w w:val="90"/>
          <w:sz w:val="16"/>
          <w:szCs w:val="16"/>
          <w:lang w:val="uk-UA"/>
        </w:rPr>
        <w:t xml:space="preserve">FP </w:t>
      </w:r>
    </w:p>
    <w:p w14:paraId="3C04A869" w14:textId="77777777" w:rsidR="00E05B98" w:rsidRPr="0017456D" w:rsidRDefault="00B01E0C">
      <w:pPr>
        <w:spacing w:before="105"/>
        <w:ind w:left="91"/>
        <w:rPr>
          <w:rFonts w:ascii="Trebuchet MS"/>
          <w:sz w:val="16"/>
          <w:szCs w:val="16"/>
          <w:lang w:val="uk-UA"/>
        </w:rPr>
      </w:pPr>
      <w:r w:rsidRPr="003C6DAE">
        <w:rPr>
          <w:sz w:val="17"/>
          <w:szCs w:val="17"/>
          <w:lang w:val="uk-UA"/>
        </w:rPr>
        <w:br w:type="column"/>
      </w:r>
      <w:r w:rsidRPr="0017456D">
        <w:rPr>
          <w:rFonts w:ascii="Trebuchet MS"/>
          <w:color w:val="333333"/>
          <w:spacing w:val="9"/>
          <w:w w:val="90"/>
          <w:sz w:val="16"/>
          <w:szCs w:val="16"/>
          <w:lang w:val="uk-UA"/>
        </w:rPr>
        <w:t>FN</w:t>
      </w:r>
      <w:r w:rsidRPr="0017456D">
        <w:rPr>
          <w:rFonts w:ascii="Trebuchet MS"/>
          <w:color w:val="333333"/>
          <w:spacing w:val="43"/>
          <w:sz w:val="16"/>
          <w:szCs w:val="16"/>
          <w:lang w:val="uk-UA"/>
        </w:rPr>
        <w:t xml:space="preserve"> </w:t>
      </w:r>
      <w:r w:rsidRPr="0017456D">
        <w:rPr>
          <w:rFonts w:ascii="Trebuchet MS"/>
          <w:color w:val="333333"/>
          <w:spacing w:val="-5"/>
          <w:w w:val="85"/>
          <w:sz w:val="16"/>
          <w:szCs w:val="16"/>
          <w:lang w:val="uk-UA"/>
        </w:rPr>
        <w:t xml:space="preserve">TN </w:t>
      </w:r>
    </w:p>
    <w:p w14:paraId="19BD9465" w14:textId="2AFE640F" w:rsidR="00E05B98" w:rsidRPr="0017456D" w:rsidRDefault="00B01E0C">
      <w:pPr>
        <w:spacing w:before="105"/>
        <w:ind w:left="126"/>
        <w:rPr>
          <w:rFonts w:ascii="Trebuchet MS"/>
          <w:sz w:val="16"/>
          <w:szCs w:val="16"/>
          <w:lang w:val="uk-UA"/>
        </w:rPr>
      </w:pPr>
      <w:r w:rsidRPr="0017456D">
        <w:rPr>
          <w:sz w:val="16"/>
          <w:szCs w:val="16"/>
          <w:lang w:val="uk-UA"/>
        </w:rPr>
        <w:br w:type="column"/>
      </w:r>
      <w:r w:rsidR="00A6426A" w:rsidRPr="0017456D">
        <w:rPr>
          <w:rFonts w:ascii="Trebuchet MS"/>
          <w:color w:val="333333"/>
          <w:w w:val="80"/>
          <w:sz w:val="16"/>
          <w:szCs w:val="16"/>
          <w:lang w:val="uk-UA"/>
        </w:rPr>
        <w:t>Чутливість</w:t>
      </w:r>
      <w:r w:rsidRPr="0017456D">
        <w:rPr>
          <w:rFonts w:ascii="Trebuchet MS"/>
          <w:color w:val="333333"/>
          <w:spacing w:val="20"/>
          <w:sz w:val="16"/>
          <w:szCs w:val="16"/>
          <w:lang w:val="uk-UA"/>
        </w:rPr>
        <w:t xml:space="preserve"> </w:t>
      </w:r>
      <w:r w:rsidRPr="0017456D">
        <w:rPr>
          <w:rFonts w:ascii="Trebuchet MS"/>
          <w:color w:val="333333"/>
          <w:w w:val="80"/>
          <w:sz w:val="16"/>
          <w:szCs w:val="16"/>
          <w:lang w:val="uk-UA"/>
        </w:rPr>
        <w:t>(95%</w:t>
      </w:r>
      <w:r w:rsidRPr="0017456D">
        <w:rPr>
          <w:rFonts w:ascii="Trebuchet MS"/>
          <w:color w:val="333333"/>
          <w:spacing w:val="22"/>
          <w:sz w:val="16"/>
          <w:szCs w:val="16"/>
          <w:lang w:val="uk-UA"/>
        </w:rPr>
        <w:t xml:space="preserve"> </w:t>
      </w:r>
      <w:r w:rsidR="00A6426A" w:rsidRPr="0017456D">
        <w:rPr>
          <w:rFonts w:ascii="Trebuchet MS"/>
          <w:color w:val="333333"/>
          <w:w w:val="80"/>
          <w:sz w:val="16"/>
          <w:szCs w:val="16"/>
          <w:lang w:val="uk-UA"/>
        </w:rPr>
        <w:t>ДІ</w:t>
      </w:r>
      <w:r w:rsidRPr="0017456D">
        <w:rPr>
          <w:rFonts w:ascii="Trebuchet MS"/>
          <w:color w:val="333333"/>
          <w:spacing w:val="-5"/>
          <w:w w:val="80"/>
          <w:sz w:val="16"/>
          <w:szCs w:val="16"/>
          <w:lang w:val="uk-UA"/>
        </w:rPr>
        <w:t>)</w:t>
      </w:r>
    </w:p>
    <w:p w14:paraId="18F2AEC6" w14:textId="5C960B97" w:rsidR="00E05B98" w:rsidRPr="0017456D" w:rsidRDefault="00B01E0C" w:rsidP="00A6426A">
      <w:pPr>
        <w:spacing w:before="105"/>
        <w:rPr>
          <w:rFonts w:ascii="Trebuchet MS"/>
          <w:sz w:val="16"/>
          <w:szCs w:val="16"/>
          <w:lang w:val="uk-UA"/>
        </w:rPr>
      </w:pPr>
      <w:r w:rsidRPr="0017456D">
        <w:rPr>
          <w:sz w:val="16"/>
          <w:szCs w:val="16"/>
          <w:lang w:val="uk-UA"/>
        </w:rPr>
        <w:br w:type="column"/>
      </w:r>
      <w:r w:rsidR="00A6426A" w:rsidRPr="0017456D">
        <w:rPr>
          <w:rFonts w:ascii="Trebuchet MS"/>
          <w:color w:val="333333"/>
          <w:w w:val="80"/>
          <w:sz w:val="16"/>
          <w:szCs w:val="16"/>
          <w:lang w:val="uk-UA"/>
        </w:rPr>
        <w:t>Специфічність</w:t>
      </w:r>
      <w:r w:rsidRPr="0017456D">
        <w:rPr>
          <w:rFonts w:ascii="Trebuchet MS"/>
          <w:color w:val="333333"/>
          <w:spacing w:val="14"/>
          <w:sz w:val="16"/>
          <w:szCs w:val="16"/>
          <w:lang w:val="uk-UA"/>
        </w:rPr>
        <w:t xml:space="preserve"> </w:t>
      </w:r>
      <w:r w:rsidRPr="0017456D">
        <w:rPr>
          <w:rFonts w:ascii="Trebuchet MS"/>
          <w:color w:val="333333"/>
          <w:w w:val="80"/>
          <w:sz w:val="16"/>
          <w:szCs w:val="16"/>
          <w:lang w:val="uk-UA"/>
        </w:rPr>
        <w:t>(95%</w:t>
      </w:r>
      <w:r w:rsidRPr="0017456D">
        <w:rPr>
          <w:rFonts w:ascii="Trebuchet MS"/>
          <w:color w:val="333333"/>
          <w:spacing w:val="16"/>
          <w:sz w:val="16"/>
          <w:szCs w:val="16"/>
          <w:lang w:val="uk-UA"/>
        </w:rPr>
        <w:t xml:space="preserve"> </w:t>
      </w:r>
      <w:r w:rsidR="00A6426A" w:rsidRPr="0017456D">
        <w:rPr>
          <w:rFonts w:ascii="Trebuchet MS"/>
          <w:color w:val="333333"/>
          <w:w w:val="80"/>
          <w:sz w:val="16"/>
          <w:szCs w:val="16"/>
          <w:lang w:val="uk-UA"/>
        </w:rPr>
        <w:t>ДІ</w:t>
      </w:r>
      <w:r w:rsidRPr="0017456D">
        <w:rPr>
          <w:rFonts w:ascii="Trebuchet MS"/>
          <w:color w:val="333333"/>
          <w:spacing w:val="-5"/>
          <w:w w:val="80"/>
          <w:sz w:val="16"/>
          <w:szCs w:val="16"/>
          <w:lang w:val="uk-UA"/>
        </w:rPr>
        <w:t>)</w:t>
      </w:r>
    </w:p>
    <w:p w14:paraId="3127B1BB" w14:textId="4CCEBE6B" w:rsidR="00E05B98" w:rsidRPr="0017456D" w:rsidRDefault="00B01E0C" w:rsidP="00B06A43">
      <w:pPr>
        <w:spacing w:before="105"/>
        <w:ind w:left="72"/>
        <w:jc w:val="right"/>
        <w:rPr>
          <w:rFonts w:ascii="Trebuchet MS"/>
          <w:sz w:val="16"/>
          <w:szCs w:val="16"/>
          <w:lang w:val="uk-UA"/>
        </w:rPr>
      </w:pPr>
      <w:r w:rsidRPr="0017456D">
        <w:rPr>
          <w:sz w:val="16"/>
          <w:szCs w:val="16"/>
          <w:lang w:val="uk-UA"/>
        </w:rPr>
        <w:br w:type="column"/>
      </w:r>
      <w:r w:rsidR="00A6426A" w:rsidRPr="0017456D">
        <w:rPr>
          <w:rFonts w:ascii="Trebuchet MS"/>
          <w:color w:val="333333"/>
          <w:w w:val="80"/>
          <w:sz w:val="16"/>
          <w:szCs w:val="16"/>
          <w:lang w:val="uk-UA"/>
        </w:rPr>
        <w:t>Чутливість</w:t>
      </w:r>
      <w:r w:rsidRPr="0017456D">
        <w:rPr>
          <w:rFonts w:ascii="Trebuchet MS"/>
          <w:color w:val="333333"/>
          <w:spacing w:val="20"/>
          <w:sz w:val="16"/>
          <w:szCs w:val="16"/>
          <w:lang w:val="uk-UA"/>
        </w:rPr>
        <w:t xml:space="preserve"> </w:t>
      </w:r>
      <w:r w:rsidRPr="0017456D">
        <w:rPr>
          <w:rFonts w:ascii="Trebuchet MS"/>
          <w:color w:val="333333"/>
          <w:w w:val="80"/>
          <w:sz w:val="16"/>
          <w:szCs w:val="16"/>
          <w:lang w:val="uk-UA"/>
        </w:rPr>
        <w:t>(95%</w:t>
      </w:r>
      <w:r w:rsidRPr="0017456D">
        <w:rPr>
          <w:rFonts w:ascii="Trebuchet MS"/>
          <w:color w:val="333333"/>
          <w:spacing w:val="22"/>
          <w:sz w:val="16"/>
          <w:szCs w:val="16"/>
          <w:lang w:val="uk-UA"/>
        </w:rPr>
        <w:t xml:space="preserve"> </w:t>
      </w:r>
      <w:r w:rsidR="00A6426A" w:rsidRPr="0017456D">
        <w:rPr>
          <w:rFonts w:ascii="Trebuchet MS"/>
          <w:color w:val="333333"/>
          <w:w w:val="80"/>
          <w:sz w:val="16"/>
          <w:szCs w:val="16"/>
          <w:lang w:val="uk-UA"/>
        </w:rPr>
        <w:t>ДІ</w:t>
      </w:r>
      <w:r w:rsidRPr="0017456D">
        <w:rPr>
          <w:rFonts w:ascii="Trebuchet MS"/>
          <w:color w:val="333333"/>
          <w:spacing w:val="-5"/>
          <w:w w:val="80"/>
          <w:sz w:val="16"/>
          <w:szCs w:val="16"/>
          <w:lang w:val="uk-UA"/>
        </w:rPr>
        <w:t>)</w:t>
      </w:r>
    </w:p>
    <w:p w14:paraId="5ADA1791" w14:textId="5DDBE156" w:rsidR="00E05B98" w:rsidRPr="0017456D" w:rsidRDefault="00B01E0C">
      <w:pPr>
        <w:spacing w:before="105"/>
        <w:ind w:left="225"/>
        <w:rPr>
          <w:rFonts w:ascii="Trebuchet MS"/>
          <w:sz w:val="16"/>
          <w:szCs w:val="16"/>
          <w:lang w:val="uk-UA"/>
        </w:rPr>
      </w:pPr>
      <w:r w:rsidRPr="0017456D">
        <w:rPr>
          <w:sz w:val="16"/>
          <w:szCs w:val="16"/>
          <w:lang w:val="uk-UA"/>
        </w:rPr>
        <w:br w:type="column"/>
      </w:r>
      <w:r w:rsidR="00A6426A" w:rsidRPr="0017456D">
        <w:rPr>
          <w:rFonts w:ascii="Trebuchet MS"/>
          <w:color w:val="333333"/>
          <w:w w:val="80"/>
          <w:sz w:val="16"/>
          <w:szCs w:val="16"/>
          <w:lang w:val="uk-UA"/>
        </w:rPr>
        <w:t>Специфічність</w:t>
      </w:r>
      <w:r w:rsidRPr="0017456D">
        <w:rPr>
          <w:rFonts w:ascii="Trebuchet MS"/>
          <w:color w:val="333333"/>
          <w:spacing w:val="14"/>
          <w:sz w:val="16"/>
          <w:szCs w:val="16"/>
          <w:lang w:val="uk-UA"/>
        </w:rPr>
        <w:t xml:space="preserve"> </w:t>
      </w:r>
      <w:r w:rsidRPr="0017456D">
        <w:rPr>
          <w:rFonts w:ascii="Trebuchet MS"/>
          <w:color w:val="333333"/>
          <w:w w:val="80"/>
          <w:sz w:val="16"/>
          <w:szCs w:val="16"/>
          <w:lang w:val="uk-UA"/>
        </w:rPr>
        <w:t>(95%</w:t>
      </w:r>
      <w:r w:rsidRPr="0017456D">
        <w:rPr>
          <w:rFonts w:ascii="Trebuchet MS"/>
          <w:color w:val="333333"/>
          <w:spacing w:val="16"/>
          <w:sz w:val="16"/>
          <w:szCs w:val="16"/>
          <w:lang w:val="uk-UA"/>
        </w:rPr>
        <w:t xml:space="preserve"> </w:t>
      </w:r>
      <w:r w:rsidR="00A6426A" w:rsidRPr="0017456D">
        <w:rPr>
          <w:rFonts w:ascii="Trebuchet MS"/>
          <w:color w:val="333333"/>
          <w:w w:val="80"/>
          <w:sz w:val="16"/>
          <w:szCs w:val="16"/>
          <w:lang w:val="uk-UA"/>
        </w:rPr>
        <w:t>ДІ</w:t>
      </w:r>
      <w:r w:rsidRPr="0017456D">
        <w:rPr>
          <w:rFonts w:ascii="Trebuchet MS"/>
          <w:color w:val="333333"/>
          <w:spacing w:val="-5"/>
          <w:w w:val="80"/>
          <w:sz w:val="16"/>
          <w:szCs w:val="16"/>
          <w:lang w:val="uk-UA"/>
        </w:rPr>
        <w:t>)</w:t>
      </w:r>
    </w:p>
    <w:p w14:paraId="7BC6FE33" w14:textId="77777777" w:rsidR="00E05B98" w:rsidRPr="0017456D" w:rsidRDefault="00E05B98">
      <w:pPr>
        <w:rPr>
          <w:rFonts w:ascii="Trebuchet MS"/>
          <w:sz w:val="16"/>
          <w:szCs w:val="16"/>
          <w:lang w:val="uk-UA"/>
        </w:rPr>
        <w:sectPr w:rsidR="00E05B98" w:rsidRPr="0017456D" w:rsidSect="00FA7B94">
          <w:type w:val="continuous"/>
          <w:pgSz w:w="11910" w:h="16840"/>
          <w:pgMar w:top="1920" w:right="995" w:bottom="280" w:left="850" w:header="0" w:footer="573" w:gutter="0"/>
          <w:cols w:num="7" w:space="720" w:equalWidth="0">
            <w:col w:w="1141" w:space="40"/>
            <w:col w:w="1081" w:space="39"/>
            <w:col w:w="633" w:space="39"/>
            <w:col w:w="1589" w:space="40"/>
            <w:col w:w="1548" w:space="39"/>
            <w:col w:w="1535" w:space="40"/>
            <w:col w:w="2021"/>
          </w:cols>
        </w:sectPr>
      </w:pPr>
    </w:p>
    <w:p w14:paraId="1C12D348" w14:textId="576079C8" w:rsidR="00E05B98" w:rsidRPr="003C6DAE" w:rsidRDefault="00B01E0C">
      <w:pPr>
        <w:tabs>
          <w:tab w:val="left" w:pos="1823"/>
          <w:tab w:val="left" w:pos="2156"/>
          <w:tab w:val="left" w:pos="2490"/>
          <w:tab w:val="left" w:pos="3356"/>
          <w:tab w:val="left" w:pos="4958"/>
        </w:tabs>
        <w:spacing w:before="69" w:line="257" w:lineRule="exact"/>
        <w:ind w:left="711"/>
        <w:rPr>
          <w:rFonts w:ascii="Trebuchet MS"/>
          <w:position w:val="-7"/>
          <w:sz w:val="19"/>
          <w:lang w:val="uk-UA"/>
        </w:rPr>
      </w:pPr>
      <w:r w:rsidRPr="0017456D">
        <w:rPr>
          <w:rFonts w:ascii="Trebuchet MS"/>
          <w:noProof/>
          <w:position w:val="-7"/>
          <w:sz w:val="16"/>
          <w:szCs w:val="16"/>
          <w:lang w:val="uk-UA"/>
        </w:rPr>
        <mc:AlternateContent>
          <mc:Choice Requires="wpg">
            <w:drawing>
              <wp:anchor distT="0" distB="0" distL="0" distR="0" simplePos="0" relativeHeight="15878656" behindDoc="0" locked="0" layoutInCell="1" allowOverlap="1" wp14:anchorId="2B793A60" wp14:editId="3A8B06FC">
                <wp:simplePos x="0" y="0"/>
                <wp:positionH relativeFrom="page">
                  <wp:posOffset>5554221</wp:posOffset>
                </wp:positionH>
                <wp:positionV relativeFrom="paragraph">
                  <wp:posOffset>54584</wp:posOffset>
                </wp:positionV>
                <wp:extent cx="1055370" cy="153035"/>
                <wp:effectExtent l="0" t="0" r="0" b="0"/>
                <wp:wrapNone/>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5370" cy="153035"/>
                          <a:chOff x="0" y="0"/>
                          <a:chExt cx="1055370" cy="153035"/>
                        </a:xfrm>
                      </wpg:grpSpPr>
                      <wps:wsp>
                        <wps:cNvPr id="800" name="Graphic 800"/>
                        <wps:cNvSpPr/>
                        <wps:spPr>
                          <a:xfrm>
                            <a:off x="973159" y="30503"/>
                            <a:ext cx="22860" cy="1270"/>
                          </a:xfrm>
                          <a:custGeom>
                            <a:avLst/>
                            <a:gdLst/>
                            <a:ahLst/>
                            <a:cxnLst/>
                            <a:rect l="l" t="t" r="r" b="b"/>
                            <a:pathLst>
                              <a:path w="22860">
                                <a:moveTo>
                                  <a:pt x="0" y="0"/>
                                </a:moveTo>
                                <a:lnTo>
                                  <a:pt x="22454" y="0"/>
                                </a:lnTo>
                              </a:path>
                            </a:pathLst>
                          </a:custGeom>
                          <a:ln w="10167">
                            <a:solidFill>
                              <a:srgbClr val="000000"/>
                            </a:solidFill>
                            <a:prstDash val="solid"/>
                          </a:ln>
                        </wps:spPr>
                        <wps:bodyPr wrap="square" lIns="0" tIns="0" rIns="0" bIns="0" rtlCol="0">
                          <a:prstTxWarp prst="textNoShape">
                            <a:avLst/>
                          </a:prstTxWarp>
                          <a:noAutofit/>
                        </wps:bodyPr>
                      </wps:wsp>
                      <wps:wsp>
                        <wps:cNvPr id="801" name="Graphic 801"/>
                        <wps:cNvSpPr/>
                        <wps:spPr>
                          <a:xfrm>
                            <a:off x="995614" y="0"/>
                            <a:ext cx="59690" cy="71755"/>
                          </a:xfrm>
                          <a:custGeom>
                            <a:avLst/>
                            <a:gdLst/>
                            <a:ahLst/>
                            <a:cxnLst/>
                            <a:rect l="l" t="t" r="r" b="b"/>
                            <a:pathLst>
                              <a:path w="59690" h="71755">
                                <a:moveTo>
                                  <a:pt x="59314" y="71175"/>
                                </a:moveTo>
                                <a:lnTo>
                                  <a:pt x="0" y="71175"/>
                                </a:lnTo>
                                <a:lnTo>
                                  <a:pt x="0" y="0"/>
                                </a:lnTo>
                                <a:lnTo>
                                  <a:pt x="59314" y="0"/>
                                </a:lnTo>
                                <a:lnTo>
                                  <a:pt x="59314" y="71175"/>
                                </a:lnTo>
                                <a:close/>
                              </a:path>
                            </a:pathLst>
                          </a:custGeom>
                          <a:solidFill>
                            <a:srgbClr val="0000C0"/>
                          </a:solidFill>
                        </wps:spPr>
                        <wps:bodyPr wrap="square" lIns="0" tIns="0" rIns="0" bIns="0" rtlCol="0">
                          <a:prstTxWarp prst="textNoShape">
                            <a:avLst/>
                          </a:prstTxWarp>
                          <a:noAutofit/>
                        </wps:bodyPr>
                      </wps:wsp>
                      <wps:wsp>
                        <wps:cNvPr id="802" name="Graphic 802"/>
                        <wps:cNvSpPr/>
                        <wps:spPr>
                          <a:xfrm>
                            <a:off x="4236" y="111847"/>
                            <a:ext cx="1008380" cy="1270"/>
                          </a:xfrm>
                          <a:custGeom>
                            <a:avLst/>
                            <a:gdLst/>
                            <a:ahLst/>
                            <a:cxnLst/>
                            <a:rect l="l" t="t" r="r" b="b"/>
                            <a:pathLst>
                              <a:path w="1008380">
                                <a:moveTo>
                                  <a:pt x="0" y="0"/>
                                </a:moveTo>
                                <a:lnTo>
                                  <a:pt x="1008324" y="0"/>
                                </a:lnTo>
                              </a:path>
                            </a:pathLst>
                          </a:custGeom>
                          <a:ln w="10167">
                            <a:solidFill>
                              <a:srgbClr val="000000"/>
                            </a:solidFill>
                            <a:prstDash val="solid"/>
                          </a:ln>
                        </wps:spPr>
                        <wps:bodyPr wrap="square" lIns="0" tIns="0" rIns="0" bIns="0" rtlCol="0">
                          <a:prstTxWarp prst="textNoShape">
                            <a:avLst/>
                          </a:prstTxWarp>
                          <a:noAutofit/>
                        </wps:bodyPr>
                      </wps:wsp>
                      <wps:wsp>
                        <wps:cNvPr id="803" name="Graphic 803"/>
                        <wps:cNvSpPr/>
                        <wps:spPr>
                          <a:xfrm>
                            <a:off x="4236" y="71175"/>
                            <a:ext cx="1270" cy="81915"/>
                          </a:xfrm>
                          <a:custGeom>
                            <a:avLst/>
                            <a:gdLst/>
                            <a:ahLst/>
                            <a:cxnLst/>
                            <a:rect l="l" t="t" r="r" b="b"/>
                            <a:pathLst>
                              <a:path h="81915">
                                <a:moveTo>
                                  <a:pt x="0" y="0"/>
                                </a:moveTo>
                                <a:lnTo>
                                  <a:pt x="0" y="81343"/>
                                </a:lnTo>
                              </a:path>
                            </a:pathLst>
                          </a:custGeom>
                          <a:ln w="8473">
                            <a:solidFill>
                              <a:srgbClr val="000000"/>
                            </a:solidFill>
                            <a:prstDash val="solid"/>
                          </a:ln>
                        </wps:spPr>
                        <wps:bodyPr wrap="square" lIns="0" tIns="0" rIns="0" bIns="0" rtlCol="0">
                          <a:prstTxWarp prst="textNoShape">
                            <a:avLst/>
                          </a:prstTxWarp>
                          <a:noAutofit/>
                        </wps:bodyPr>
                      </wps:wsp>
                      <wps:wsp>
                        <wps:cNvPr id="804" name="Graphic 804"/>
                        <wps:cNvSpPr/>
                        <wps:spPr>
                          <a:xfrm>
                            <a:off x="205901" y="71175"/>
                            <a:ext cx="1270" cy="81915"/>
                          </a:xfrm>
                          <a:custGeom>
                            <a:avLst/>
                            <a:gdLst/>
                            <a:ahLst/>
                            <a:cxnLst/>
                            <a:rect l="l" t="t" r="r" b="b"/>
                            <a:pathLst>
                              <a:path h="81915">
                                <a:moveTo>
                                  <a:pt x="0" y="0"/>
                                </a:moveTo>
                                <a:lnTo>
                                  <a:pt x="0" y="81343"/>
                                </a:lnTo>
                              </a:path>
                            </a:pathLst>
                          </a:custGeom>
                          <a:ln w="8473">
                            <a:solidFill>
                              <a:srgbClr val="000000"/>
                            </a:solidFill>
                            <a:prstDash val="solid"/>
                          </a:ln>
                        </wps:spPr>
                        <wps:bodyPr wrap="square" lIns="0" tIns="0" rIns="0" bIns="0" rtlCol="0">
                          <a:prstTxWarp prst="textNoShape">
                            <a:avLst/>
                          </a:prstTxWarp>
                          <a:noAutofit/>
                        </wps:bodyPr>
                      </wps:wsp>
                      <wps:wsp>
                        <wps:cNvPr id="805" name="Graphic 805"/>
                        <wps:cNvSpPr/>
                        <wps:spPr>
                          <a:xfrm>
                            <a:off x="407566" y="71175"/>
                            <a:ext cx="1270" cy="81915"/>
                          </a:xfrm>
                          <a:custGeom>
                            <a:avLst/>
                            <a:gdLst/>
                            <a:ahLst/>
                            <a:cxnLst/>
                            <a:rect l="l" t="t" r="r" b="b"/>
                            <a:pathLst>
                              <a:path h="81915">
                                <a:moveTo>
                                  <a:pt x="0" y="0"/>
                                </a:moveTo>
                                <a:lnTo>
                                  <a:pt x="0" y="81343"/>
                                </a:lnTo>
                              </a:path>
                            </a:pathLst>
                          </a:custGeom>
                          <a:ln w="8473">
                            <a:solidFill>
                              <a:srgbClr val="000000"/>
                            </a:solidFill>
                            <a:prstDash val="solid"/>
                          </a:ln>
                        </wps:spPr>
                        <wps:bodyPr wrap="square" lIns="0" tIns="0" rIns="0" bIns="0" rtlCol="0">
                          <a:prstTxWarp prst="textNoShape">
                            <a:avLst/>
                          </a:prstTxWarp>
                          <a:noAutofit/>
                        </wps:bodyPr>
                      </wps:wsp>
                      <wps:wsp>
                        <wps:cNvPr id="806" name="Graphic 806"/>
                        <wps:cNvSpPr/>
                        <wps:spPr>
                          <a:xfrm>
                            <a:off x="608807" y="71175"/>
                            <a:ext cx="1270" cy="81915"/>
                          </a:xfrm>
                          <a:custGeom>
                            <a:avLst/>
                            <a:gdLst/>
                            <a:ahLst/>
                            <a:cxnLst/>
                            <a:rect l="l" t="t" r="r" b="b"/>
                            <a:pathLst>
                              <a:path h="81915">
                                <a:moveTo>
                                  <a:pt x="0" y="0"/>
                                </a:moveTo>
                                <a:lnTo>
                                  <a:pt x="0" y="81343"/>
                                </a:lnTo>
                              </a:path>
                            </a:pathLst>
                          </a:custGeom>
                          <a:ln w="8473">
                            <a:solidFill>
                              <a:srgbClr val="000000"/>
                            </a:solidFill>
                            <a:prstDash val="solid"/>
                          </a:ln>
                        </wps:spPr>
                        <wps:bodyPr wrap="square" lIns="0" tIns="0" rIns="0" bIns="0" rtlCol="0">
                          <a:prstTxWarp prst="textNoShape">
                            <a:avLst/>
                          </a:prstTxWarp>
                          <a:noAutofit/>
                        </wps:bodyPr>
                      </wps:wsp>
                      <wps:wsp>
                        <wps:cNvPr id="807" name="Graphic 807"/>
                        <wps:cNvSpPr/>
                        <wps:spPr>
                          <a:xfrm>
                            <a:off x="810895" y="71175"/>
                            <a:ext cx="1270" cy="81915"/>
                          </a:xfrm>
                          <a:custGeom>
                            <a:avLst/>
                            <a:gdLst/>
                            <a:ahLst/>
                            <a:cxnLst/>
                            <a:rect l="l" t="t" r="r" b="b"/>
                            <a:pathLst>
                              <a:path h="81915">
                                <a:moveTo>
                                  <a:pt x="0" y="0"/>
                                </a:moveTo>
                                <a:lnTo>
                                  <a:pt x="0" y="81343"/>
                                </a:lnTo>
                              </a:path>
                            </a:pathLst>
                          </a:custGeom>
                          <a:ln w="8473">
                            <a:solidFill>
                              <a:srgbClr val="000000"/>
                            </a:solidFill>
                            <a:prstDash val="solid"/>
                          </a:ln>
                        </wps:spPr>
                        <wps:bodyPr wrap="square" lIns="0" tIns="0" rIns="0" bIns="0" rtlCol="0">
                          <a:prstTxWarp prst="textNoShape">
                            <a:avLst/>
                          </a:prstTxWarp>
                          <a:noAutofit/>
                        </wps:bodyPr>
                      </wps:wsp>
                      <wps:wsp>
                        <wps:cNvPr id="808" name="Graphic 808"/>
                        <wps:cNvSpPr/>
                        <wps:spPr>
                          <a:xfrm>
                            <a:off x="1012559" y="71175"/>
                            <a:ext cx="1270" cy="81915"/>
                          </a:xfrm>
                          <a:custGeom>
                            <a:avLst/>
                            <a:gdLst/>
                            <a:ahLst/>
                            <a:cxnLst/>
                            <a:rect l="l" t="t" r="r" b="b"/>
                            <a:pathLst>
                              <a:path h="81915">
                                <a:moveTo>
                                  <a:pt x="0" y="0"/>
                                </a:moveTo>
                                <a:lnTo>
                                  <a:pt x="0" y="81343"/>
                                </a:lnTo>
                              </a:path>
                            </a:pathLst>
                          </a:custGeom>
                          <a:ln w="847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092B1A" id="Group 799" o:spid="_x0000_s1026" style="position:absolute;margin-left:437.35pt;margin-top:4.3pt;width:83.1pt;height:12.05pt;z-index:15878656;mso-wrap-distance-left:0;mso-wrap-distance-right:0;mso-position-horizontal-relative:page" coordsize="10553,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">
                <v:shape id="Graphic 800" o:spid="_x0000_s1027" style="position:absolute;left:9731;top:305;width:229;height:12;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" path="m,l22454,e" filled="f" strokeweight=".28242mm">
                  <v:path arrowok="t"/>
                </v:shape>
                <v:shape id="Graphic 801" o:spid="_x0000_s1028" style="position:absolute;left:9956;width:597;height:717;visibility:visible;mso-wrap-style:square;v-text-anchor:top" coordsize="5969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" path="m59314,71175l,71175,,,59314,r,71175xe" fillcolor="#0000c0" stroked="f">
                  <v:path arrowok="t"/>
                </v:shape>
                <v:shape id="Graphic 802" o:spid="_x0000_s1029" style="position:absolute;left:42;top:1118;width:10084;height:13;visibility:visible;mso-wrap-style:square;v-text-anchor:top" coordsize="1008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" path="m,l1008324,e" filled="f" strokeweight=".28242mm">
                  <v:path arrowok="t"/>
                </v:shape>
                <v:shape id="Graphic 803" o:spid="_x0000_s1030" style="position:absolute;left:42;top:711;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" path="m,l,81343e" filled="f" strokeweight=".23536mm">
                  <v:path arrowok="t"/>
                </v:shape>
                <v:shape id="Graphic 804" o:spid="_x0000_s1031" style="position:absolute;left:2059;top:711;width:12;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" path="m,l,81343e" filled="f" strokeweight=".23536mm">
                  <v:path arrowok="t"/>
                </v:shape>
                <v:shape id="Graphic 805" o:spid="_x0000_s1032" style="position:absolute;left:4075;top:711;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" path="m,l,81343e" filled="f" strokeweight=".23536mm">
                  <v:path arrowok="t"/>
                </v:shape>
                <v:shape id="Graphic 806" o:spid="_x0000_s1033" style="position:absolute;left:6088;top:711;width:12;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" path="m,l,81343e" filled="f" strokeweight=".23536mm">
                  <v:path arrowok="t"/>
                </v:shape>
                <v:shape id="Graphic 807" o:spid="_x0000_s1034" style="position:absolute;left:8108;top:711;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" path="m,l,81343e" filled="f" strokeweight=".23536mm">
                  <v:path arrowok="t"/>
                </v:shape>
                <v:shape id="Graphic 808" o:spid="_x0000_s1035" style="position:absolute;left:10125;top:711;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" path="m,l,81343e" filled="f" strokeweight=".23536mm">
                  <v:path arrowok="t"/>
                </v:shape>
                <w10:wrap anchorx="page"/>
              </v:group>
            </w:pict>
          </mc:Fallback>
        </mc:AlternateContent>
      </w:r>
      <w:r w:rsidRPr="0017456D">
        <w:rPr>
          <w:rFonts w:ascii="Trebuchet MS"/>
          <w:w w:val="80"/>
          <w:sz w:val="16"/>
          <w:szCs w:val="16"/>
          <w:lang w:val="uk-UA"/>
        </w:rPr>
        <w:t>Jose</w:t>
      </w:r>
      <w:r w:rsidRPr="0017456D">
        <w:rPr>
          <w:rFonts w:ascii="Trebuchet MS"/>
          <w:sz w:val="16"/>
          <w:szCs w:val="16"/>
          <w:lang w:val="uk-UA"/>
        </w:rPr>
        <w:t xml:space="preserve"> </w:t>
      </w:r>
      <w:r w:rsidRPr="0017456D">
        <w:rPr>
          <w:rFonts w:ascii="Trebuchet MS"/>
          <w:spacing w:val="-4"/>
          <w:w w:val="80"/>
          <w:sz w:val="16"/>
          <w:szCs w:val="16"/>
          <w:lang w:val="uk-UA"/>
        </w:rPr>
        <w:t>2024</w:t>
      </w:r>
      <w:r w:rsidRPr="0017456D">
        <w:rPr>
          <w:rFonts w:ascii="Trebuchet MS"/>
          <w:sz w:val="16"/>
          <w:szCs w:val="16"/>
          <w:lang w:val="uk-UA"/>
        </w:rPr>
        <w:tab/>
      </w:r>
      <w:r w:rsidRPr="0017456D">
        <w:rPr>
          <w:rFonts w:ascii="Trebuchet MS"/>
          <w:spacing w:val="-10"/>
          <w:w w:val="85"/>
          <w:sz w:val="16"/>
          <w:szCs w:val="16"/>
          <w:lang w:val="uk-UA"/>
        </w:rPr>
        <w:t>1</w:t>
      </w:r>
      <w:r w:rsidRPr="0017456D">
        <w:rPr>
          <w:rFonts w:ascii="Trebuchet MS"/>
          <w:sz w:val="16"/>
          <w:szCs w:val="16"/>
          <w:lang w:val="uk-UA"/>
        </w:rPr>
        <w:tab/>
      </w:r>
      <w:r w:rsidRPr="0017456D">
        <w:rPr>
          <w:rFonts w:ascii="Trebuchet MS"/>
          <w:spacing w:val="-10"/>
          <w:w w:val="85"/>
          <w:sz w:val="16"/>
          <w:szCs w:val="16"/>
          <w:lang w:val="uk-UA"/>
        </w:rPr>
        <w:t>0</w:t>
      </w:r>
      <w:r w:rsidRPr="0017456D">
        <w:rPr>
          <w:rFonts w:ascii="Trebuchet MS"/>
          <w:sz w:val="16"/>
          <w:szCs w:val="16"/>
          <w:lang w:val="uk-UA"/>
        </w:rPr>
        <w:tab/>
      </w:r>
      <w:r w:rsidRPr="0017456D">
        <w:rPr>
          <w:rFonts w:ascii="Trebuchet MS"/>
          <w:w w:val="85"/>
          <w:sz w:val="16"/>
          <w:szCs w:val="16"/>
          <w:lang w:val="uk-UA"/>
        </w:rPr>
        <w:t>0</w:t>
      </w:r>
      <w:r w:rsidRPr="0017456D">
        <w:rPr>
          <w:rFonts w:ascii="Trebuchet MS"/>
          <w:spacing w:val="72"/>
          <w:w w:val="150"/>
          <w:sz w:val="16"/>
          <w:szCs w:val="16"/>
          <w:lang w:val="uk-UA"/>
        </w:rPr>
        <w:t xml:space="preserve"> </w:t>
      </w:r>
      <w:r w:rsidRPr="0017456D">
        <w:rPr>
          <w:rFonts w:ascii="Trebuchet MS"/>
          <w:spacing w:val="-5"/>
          <w:w w:val="85"/>
          <w:sz w:val="16"/>
          <w:szCs w:val="16"/>
          <w:lang w:val="uk-UA"/>
        </w:rPr>
        <w:t>77</w:t>
      </w:r>
      <w:r w:rsidRPr="0017456D">
        <w:rPr>
          <w:rFonts w:ascii="Trebuchet MS"/>
          <w:sz w:val="16"/>
          <w:szCs w:val="16"/>
          <w:lang w:val="uk-UA"/>
        </w:rPr>
        <w:tab/>
      </w:r>
      <w:r w:rsidRPr="0017456D">
        <w:rPr>
          <w:rFonts w:ascii="Trebuchet MS"/>
          <w:w w:val="70"/>
          <w:sz w:val="16"/>
          <w:szCs w:val="16"/>
          <w:lang w:val="uk-UA"/>
        </w:rPr>
        <w:t>1.00</w:t>
      </w:r>
      <w:r w:rsidRPr="0017456D">
        <w:rPr>
          <w:rFonts w:ascii="Trebuchet MS"/>
          <w:spacing w:val="26"/>
          <w:sz w:val="16"/>
          <w:szCs w:val="16"/>
          <w:lang w:val="uk-UA"/>
        </w:rPr>
        <w:t xml:space="preserve"> </w:t>
      </w:r>
      <w:r w:rsidRPr="0017456D">
        <w:rPr>
          <w:rFonts w:ascii="Trebuchet MS"/>
          <w:w w:val="70"/>
          <w:sz w:val="16"/>
          <w:szCs w:val="16"/>
          <w:lang w:val="uk-UA"/>
        </w:rPr>
        <w:t>[0.03,</w:t>
      </w:r>
      <w:r w:rsidRPr="0017456D">
        <w:rPr>
          <w:rFonts w:ascii="Trebuchet MS"/>
          <w:spacing w:val="33"/>
          <w:sz w:val="16"/>
          <w:szCs w:val="16"/>
          <w:lang w:val="uk-UA"/>
        </w:rPr>
        <w:t xml:space="preserve"> </w:t>
      </w:r>
      <w:r w:rsidRPr="0017456D">
        <w:rPr>
          <w:rFonts w:ascii="Trebuchet MS"/>
          <w:spacing w:val="-2"/>
          <w:w w:val="70"/>
          <w:sz w:val="16"/>
          <w:szCs w:val="16"/>
          <w:lang w:val="uk-UA"/>
        </w:rPr>
        <w:t>1.00]</w:t>
      </w:r>
      <w:r w:rsidRPr="0017456D">
        <w:rPr>
          <w:rFonts w:ascii="Trebuchet MS"/>
          <w:sz w:val="16"/>
          <w:szCs w:val="16"/>
          <w:lang w:val="uk-UA"/>
        </w:rPr>
        <w:tab/>
      </w:r>
      <w:r w:rsidRPr="0017456D">
        <w:rPr>
          <w:rFonts w:ascii="Trebuchet MS"/>
          <w:w w:val="70"/>
          <w:sz w:val="16"/>
          <w:szCs w:val="16"/>
          <w:lang w:val="uk-UA"/>
        </w:rPr>
        <w:t>1.00</w:t>
      </w:r>
      <w:r w:rsidRPr="0017456D">
        <w:rPr>
          <w:rFonts w:ascii="Trebuchet MS"/>
          <w:spacing w:val="19"/>
          <w:sz w:val="16"/>
          <w:szCs w:val="16"/>
          <w:lang w:val="uk-UA"/>
        </w:rPr>
        <w:t xml:space="preserve"> </w:t>
      </w:r>
      <w:r w:rsidRPr="0017456D">
        <w:rPr>
          <w:rFonts w:ascii="Trebuchet MS"/>
          <w:w w:val="70"/>
          <w:sz w:val="16"/>
          <w:szCs w:val="16"/>
          <w:lang w:val="uk-UA"/>
        </w:rPr>
        <w:t>[0.95,</w:t>
      </w:r>
      <w:r w:rsidRPr="0017456D">
        <w:rPr>
          <w:rFonts w:ascii="Trebuchet MS"/>
          <w:spacing w:val="25"/>
          <w:sz w:val="16"/>
          <w:szCs w:val="16"/>
          <w:lang w:val="uk-UA"/>
        </w:rPr>
        <w:t xml:space="preserve"> </w:t>
      </w:r>
      <w:r w:rsidRPr="0017456D">
        <w:rPr>
          <w:rFonts w:ascii="Trebuchet MS"/>
          <w:w w:val="70"/>
          <w:sz w:val="16"/>
          <w:szCs w:val="16"/>
          <w:lang w:val="uk-UA"/>
        </w:rPr>
        <w:t>1.00]</w:t>
      </w:r>
      <w:r w:rsidRPr="003C6DAE">
        <w:rPr>
          <w:rFonts w:ascii="Trebuchet MS"/>
          <w:spacing w:val="20"/>
          <w:sz w:val="19"/>
          <w:lang w:val="uk-UA"/>
        </w:rPr>
        <w:t xml:space="preserve"> </w:t>
      </w:r>
      <w:r w:rsidRPr="003C6DAE">
        <w:rPr>
          <w:rFonts w:ascii="Trebuchet MS"/>
          <w:noProof/>
          <w:spacing w:val="-6"/>
          <w:position w:val="-7"/>
          <w:sz w:val="19"/>
          <w:lang w:val="uk-UA"/>
        </w:rPr>
        <w:drawing>
          <wp:inline distT="0" distB="0" distL="0" distR="0" wp14:anchorId="623E4A78" wp14:editId="0ABBBB7C">
            <wp:extent cx="1054928" cy="152518"/>
            <wp:effectExtent l="0" t="0" r="0" b="0"/>
            <wp:docPr id="809" name="Image 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 name="Image 809"/>
                    <pic:cNvPicPr/>
                  </pic:nvPicPr>
                  <pic:blipFill>
                    <a:blip r:embed="rId51" cstate="print"/>
                    <a:stretch>
                      <a:fillRect/>
                    </a:stretch>
                  </pic:blipFill>
                  <pic:spPr>
                    <a:xfrm>
                      <a:off x="0" y="0"/>
                      <a:ext cx="1054928" cy="152518"/>
                    </a:xfrm>
                    <a:prstGeom prst="rect">
                      <a:avLst/>
                    </a:prstGeom>
                  </pic:spPr>
                </pic:pic>
              </a:graphicData>
            </a:graphic>
          </wp:inline>
        </w:drawing>
      </w:r>
    </w:p>
    <w:p w14:paraId="1940223D" w14:textId="77777777" w:rsidR="00E05B98" w:rsidRPr="003C6DAE" w:rsidRDefault="00B01E0C">
      <w:pPr>
        <w:spacing w:line="220" w:lineRule="exact"/>
        <w:ind w:left="6168"/>
        <w:rPr>
          <w:rFonts w:ascii="Trebuchet MS"/>
          <w:sz w:val="19"/>
          <w:lang w:val="uk-UA"/>
        </w:rPr>
      </w:pPr>
      <w:r w:rsidRPr="003C6DAE">
        <w:rPr>
          <w:rFonts w:ascii="Trebuchet MS"/>
          <w:w w:val="85"/>
          <w:sz w:val="19"/>
          <w:lang w:val="uk-UA"/>
        </w:rPr>
        <w:t>0</w:t>
      </w:r>
      <w:r w:rsidRPr="003C6DAE">
        <w:rPr>
          <w:rFonts w:ascii="Trebuchet MS"/>
          <w:spacing w:val="52"/>
          <w:sz w:val="19"/>
          <w:lang w:val="uk-UA"/>
        </w:rPr>
        <w:t xml:space="preserve"> </w:t>
      </w:r>
      <w:r w:rsidRPr="003C6DAE">
        <w:rPr>
          <w:rFonts w:ascii="Trebuchet MS"/>
          <w:w w:val="85"/>
          <w:sz w:val="19"/>
          <w:lang w:val="uk-UA"/>
        </w:rPr>
        <w:t>0.2</w:t>
      </w:r>
      <w:r w:rsidRPr="003C6DAE">
        <w:rPr>
          <w:rFonts w:ascii="Trebuchet MS"/>
          <w:spacing w:val="34"/>
          <w:sz w:val="19"/>
          <w:lang w:val="uk-UA"/>
        </w:rPr>
        <w:t xml:space="preserve"> </w:t>
      </w:r>
      <w:r w:rsidRPr="003C6DAE">
        <w:rPr>
          <w:rFonts w:ascii="Trebuchet MS"/>
          <w:w w:val="85"/>
          <w:sz w:val="19"/>
          <w:lang w:val="uk-UA"/>
        </w:rPr>
        <w:t>0.4</w:t>
      </w:r>
      <w:r w:rsidRPr="003C6DAE">
        <w:rPr>
          <w:rFonts w:ascii="Trebuchet MS"/>
          <w:spacing w:val="34"/>
          <w:sz w:val="19"/>
          <w:lang w:val="uk-UA"/>
        </w:rPr>
        <w:t xml:space="preserve"> </w:t>
      </w:r>
      <w:r w:rsidRPr="003C6DAE">
        <w:rPr>
          <w:rFonts w:ascii="Trebuchet MS"/>
          <w:w w:val="85"/>
          <w:sz w:val="19"/>
          <w:lang w:val="uk-UA"/>
        </w:rPr>
        <w:t>0.6</w:t>
      </w:r>
      <w:r w:rsidRPr="003C6DAE">
        <w:rPr>
          <w:rFonts w:ascii="Trebuchet MS"/>
          <w:spacing w:val="34"/>
          <w:sz w:val="19"/>
          <w:lang w:val="uk-UA"/>
        </w:rPr>
        <w:t xml:space="preserve"> </w:t>
      </w:r>
      <w:r w:rsidRPr="003C6DAE">
        <w:rPr>
          <w:rFonts w:ascii="Trebuchet MS"/>
          <w:w w:val="85"/>
          <w:sz w:val="19"/>
          <w:lang w:val="uk-UA"/>
        </w:rPr>
        <w:t>0.8</w:t>
      </w:r>
      <w:r w:rsidRPr="003C6DAE">
        <w:rPr>
          <w:rFonts w:ascii="Trebuchet MS"/>
          <w:spacing w:val="54"/>
          <w:sz w:val="19"/>
          <w:lang w:val="uk-UA"/>
        </w:rPr>
        <w:t xml:space="preserve"> </w:t>
      </w:r>
      <w:r w:rsidRPr="003C6DAE">
        <w:rPr>
          <w:rFonts w:ascii="Trebuchet MS"/>
          <w:w w:val="85"/>
          <w:sz w:val="19"/>
          <w:lang w:val="uk-UA"/>
        </w:rPr>
        <w:t>1</w:t>
      </w:r>
      <w:r w:rsidRPr="003C6DAE">
        <w:rPr>
          <w:rFonts w:ascii="Trebuchet MS"/>
          <w:spacing w:val="79"/>
          <w:sz w:val="19"/>
          <w:lang w:val="uk-UA"/>
        </w:rPr>
        <w:t xml:space="preserve"> </w:t>
      </w:r>
      <w:r w:rsidRPr="003C6DAE">
        <w:rPr>
          <w:rFonts w:ascii="Trebuchet MS"/>
          <w:w w:val="85"/>
          <w:sz w:val="19"/>
          <w:lang w:val="uk-UA"/>
        </w:rPr>
        <w:t>0</w:t>
      </w:r>
      <w:r w:rsidRPr="003C6DAE">
        <w:rPr>
          <w:rFonts w:ascii="Trebuchet MS"/>
          <w:spacing w:val="52"/>
          <w:sz w:val="19"/>
          <w:lang w:val="uk-UA"/>
        </w:rPr>
        <w:t xml:space="preserve"> </w:t>
      </w:r>
      <w:r w:rsidRPr="003C6DAE">
        <w:rPr>
          <w:rFonts w:ascii="Trebuchet MS"/>
          <w:w w:val="85"/>
          <w:sz w:val="19"/>
          <w:lang w:val="uk-UA"/>
        </w:rPr>
        <w:t>0.2</w:t>
      </w:r>
      <w:r w:rsidRPr="003C6DAE">
        <w:rPr>
          <w:rFonts w:ascii="Trebuchet MS"/>
          <w:spacing w:val="35"/>
          <w:sz w:val="19"/>
          <w:lang w:val="uk-UA"/>
        </w:rPr>
        <w:t xml:space="preserve"> </w:t>
      </w:r>
      <w:r w:rsidRPr="003C6DAE">
        <w:rPr>
          <w:rFonts w:ascii="Trebuchet MS"/>
          <w:w w:val="85"/>
          <w:sz w:val="19"/>
          <w:lang w:val="uk-UA"/>
        </w:rPr>
        <w:t>0.4</w:t>
      </w:r>
      <w:r w:rsidRPr="003C6DAE">
        <w:rPr>
          <w:rFonts w:ascii="Trebuchet MS"/>
          <w:spacing w:val="34"/>
          <w:sz w:val="19"/>
          <w:lang w:val="uk-UA"/>
        </w:rPr>
        <w:t xml:space="preserve"> </w:t>
      </w:r>
      <w:r w:rsidRPr="003C6DAE">
        <w:rPr>
          <w:rFonts w:ascii="Trebuchet MS"/>
          <w:w w:val="85"/>
          <w:sz w:val="19"/>
          <w:lang w:val="uk-UA"/>
        </w:rPr>
        <w:t>0.6</w:t>
      </w:r>
      <w:r w:rsidRPr="003C6DAE">
        <w:rPr>
          <w:rFonts w:ascii="Trebuchet MS"/>
          <w:spacing w:val="34"/>
          <w:sz w:val="19"/>
          <w:lang w:val="uk-UA"/>
        </w:rPr>
        <w:t xml:space="preserve"> </w:t>
      </w:r>
      <w:r w:rsidRPr="003C6DAE">
        <w:rPr>
          <w:rFonts w:ascii="Trebuchet MS"/>
          <w:w w:val="85"/>
          <w:sz w:val="19"/>
          <w:lang w:val="uk-UA"/>
        </w:rPr>
        <w:t>0.8</w:t>
      </w:r>
      <w:r w:rsidRPr="003C6DAE">
        <w:rPr>
          <w:rFonts w:ascii="Trebuchet MS"/>
          <w:spacing w:val="53"/>
          <w:sz w:val="19"/>
          <w:lang w:val="uk-UA"/>
        </w:rPr>
        <w:t xml:space="preserve"> </w:t>
      </w:r>
      <w:r w:rsidRPr="003C6DAE">
        <w:rPr>
          <w:rFonts w:ascii="Trebuchet MS"/>
          <w:spacing w:val="-10"/>
          <w:w w:val="85"/>
          <w:sz w:val="19"/>
          <w:lang w:val="uk-UA"/>
        </w:rPr>
        <w:t>1</w:t>
      </w:r>
    </w:p>
    <w:p w14:paraId="7F3E3842" w14:textId="77777777" w:rsidR="005051CF" w:rsidRDefault="005051CF" w:rsidP="00FA7B94">
      <w:pPr>
        <w:spacing w:line="254" w:lineRule="auto"/>
        <w:ind w:left="567"/>
        <w:jc w:val="both"/>
        <w:rPr>
          <w:sz w:val="16"/>
          <w:szCs w:val="16"/>
          <w:lang w:val="uk-UA"/>
        </w:rPr>
      </w:pPr>
    </w:p>
    <w:p w14:paraId="3A4DAD92" w14:textId="2A00E42C" w:rsidR="00E05B98" w:rsidRPr="003C6DAE" w:rsidRDefault="00A6426A" w:rsidP="00FA7B94">
      <w:pPr>
        <w:spacing w:line="254" w:lineRule="auto"/>
        <w:ind w:left="567"/>
        <w:jc w:val="both"/>
        <w:rPr>
          <w:sz w:val="16"/>
          <w:szCs w:val="16"/>
          <w:lang w:val="uk-UA"/>
        </w:rPr>
      </w:pPr>
      <w:r w:rsidRPr="003C6DAE">
        <w:rPr>
          <w:sz w:val="16"/>
          <w:szCs w:val="16"/>
          <w:lang w:val="uk-UA"/>
        </w:rPr>
        <w:t xml:space="preserve">ДІ: довірчий інтервал; FN: хибнонегативний результат; FP: хибнопозитивний результат; </w:t>
      </w:r>
      <w:r w:rsidR="005051CF">
        <w:rPr>
          <w:sz w:val="16"/>
          <w:szCs w:val="16"/>
          <w:lang w:val="uk-UA"/>
        </w:rPr>
        <w:t>аТАНК-НС</w:t>
      </w:r>
      <w:r w:rsidRPr="003C6DAE">
        <w:rPr>
          <w:sz w:val="16"/>
          <w:szCs w:val="16"/>
          <w:lang w:val="uk-UA"/>
        </w:rPr>
        <w:t>: автоматизований тест  ампліфікаці</w:t>
      </w:r>
      <w:r w:rsidR="005051CF">
        <w:rPr>
          <w:sz w:val="16"/>
          <w:szCs w:val="16"/>
          <w:lang w:val="uk-UA"/>
        </w:rPr>
        <w:t>ї</w:t>
      </w:r>
      <w:r w:rsidRPr="003C6DAE">
        <w:rPr>
          <w:sz w:val="16"/>
          <w:szCs w:val="16"/>
          <w:lang w:val="uk-UA"/>
        </w:rPr>
        <w:t xml:space="preserve"> нуклеїнових кислот низької складності; MRS: мікробіологічний еталонний стандарт; ТБ: туберкульоз; TN: істинно негативний результат; TP: істинно позитивний результат.</w:t>
      </w:r>
    </w:p>
    <w:p w14:paraId="51087C46" w14:textId="79C23539" w:rsidR="00E05B98" w:rsidRPr="003C6DAE" w:rsidRDefault="00B01E0C">
      <w:pPr>
        <w:spacing w:before="57"/>
        <w:ind w:left="567"/>
        <w:jc w:val="both"/>
        <w:rPr>
          <w:sz w:val="18"/>
          <w:lang w:val="uk-UA"/>
        </w:rPr>
      </w:pPr>
      <w:r w:rsidRPr="003C6DAE">
        <w:rPr>
          <w:sz w:val="18"/>
          <w:vertAlign w:val="superscript"/>
          <w:lang w:val="uk-UA"/>
        </w:rPr>
        <w:t>a</w:t>
      </w:r>
      <w:r w:rsidRPr="003C6DAE">
        <w:rPr>
          <w:spacing w:val="-12"/>
          <w:sz w:val="18"/>
          <w:lang w:val="uk-UA"/>
        </w:rPr>
        <w:t xml:space="preserve"> </w:t>
      </w:r>
      <w:r w:rsidR="00A6426A" w:rsidRPr="003C6DAE">
        <w:rPr>
          <w:sz w:val="16"/>
          <w:szCs w:val="16"/>
          <w:lang w:val="uk-UA"/>
        </w:rPr>
        <w:t xml:space="preserve">Дослідження </w:t>
      </w:r>
      <w:r w:rsidR="005051CF">
        <w:rPr>
          <w:sz w:val="16"/>
          <w:szCs w:val="16"/>
          <w:lang w:val="uk-UA"/>
        </w:rPr>
        <w:t>впорядковано</w:t>
      </w:r>
      <w:r w:rsidR="00A6426A" w:rsidRPr="003C6DAE">
        <w:rPr>
          <w:sz w:val="16"/>
          <w:szCs w:val="16"/>
          <w:lang w:val="uk-UA"/>
        </w:rPr>
        <w:t xml:space="preserve"> за зменшенням чутливості</w:t>
      </w:r>
      <w:r w:rsidRPr="003C6DAE">
        <w:rPr>
          <w:spacing w:val="-2"/>
          <w:sz w:val="18"/>
          <w:lang w:val="uk-UA"/>
        </w:rPr>
        <w:t>.</w:t>
      </w:r>
    </w:p>
    <w:p w14:paraId="4D947926" w14:textId="77777777" w:rsidR="00E05B98" w:rsidRPr="005051CF" w:rsidRDefault="00E05B98">
      <w:pPr>
        <w:pStyle w:val="a3"/>
        <w:spacing w:before="161"/>
        <w:rPr>
          <w:sz w:val="14"/>
          <w:szCs w:val="14"/>
          <w:lang w:val="uk-UA"/>
        </w:rPr>
      </w:pPr>
    </w:p>
    <w:p w14:paraId="53F879F9" w14:textId="71DE8504" w:rsidR="00E05B98" w:rsidRPr="005051CF" w:rsidRDefault="00A6426A" w:rsidP="00067A3C">
      <w:pPr>
        <w:pStyle w:val="7"/>
        <w:ind w:right="187"/>
        <w:jc w:val="both"/>
        <w:rPr>
          <w:sz w:val="22"/>
          <w:szCs w:val="22"/>
          <w:lang w:val="uk-UA"/>
        </w:rPr>
      </w:pPr>
      <w:r w:rsidRPr="005051CF">
        <w:rPr>
          <w:color w:val="019648"/>
          <w:w w:val="105"/>
          <w:sz w:val="22"/>
          <w:szCs w:val="22"/>
          <w:lang w:val="uk-UA"/>
        </w:rPr>
        <w:t xml:space="preserve">Чи слід використовувати аТАНК-НС при дослідженні </w:t>
      </w:r>
      <w:r w:rsidR="005051CF" w:rsidRPr="005051CF">
        <w:rPr>
          <w:color w:val="019648"/>
          <w:w w:val="105"/>
          <w:sz w:val="22"/>
          <w:szCs w:val="22"/>
          <w:lang w:val="uk-UA"/>
        </w:rPr>
        <w:t xml:space="preserve">зразків </w:t>
      </w:r>
      <w:r w:rsidRPr="005051CF">
        <w:rPr>
          <w:color w:val="019648"/>
          <w:w w:val="105"/>
          <w:sz w:val="22"/>
          <w:szCs w:val="22"/>
          <w:lang w:val="uk-UA"/>
        </w:rPr>
        <w:t xml:space="preserve">синовіальної рідини для діагностики ТБ кісток або суглобів у дорослих і підлітків з ознаками та симптомами ТБ кісток або суглобів </w:t>
      </w:r>
      <w:r w:rsidR="005051CF" w:rsidRPr="005051CF">
        <w:rPr>
          <w:color w:val="019648"/>
          <w:w w:val="105"/>
          <w:sz w:val="22"/>
          <w:szCs w:val="22"/>
          <w:lang w:val="uk-UA"/>
        </w:rPr>
        <w:t xml:space="preserve">на противагу </w:t>
      </w:r>
      <w:r w:rsidRPr="005051CF">
        <w:rPr>
          <w:color w:val="019648"/>
          <w:w w:val="105"/>
          <w:sz w:val="22"/>
          <w:szCs w:val="22"/>
          <w:lang w:val="uk-UA"/>
        </w:rPr>
        <w:t>MRS?</w:t>
      </w:r>
    </w:p>
    <w:p w14:paraId="188B8F29" w14:textId="42DB31EA" w:rsidR="00E05B98" w:rsidRPr="003C6DAE" w:rsidRDefault="00B059BA" w:rsidP="00FA7B94">
      <w:pPr>
        <w:pStyle w:val="a3"/>
        <w:spacing w:before="217" w:line="269" w:lineRule="auto"/>
        <w:ind w:left="567"/>
        <w:jc w:val="both"/>
        <w:rPr>
          <w:sz w:val="20"/>
          <w:szCs w:val="20"/>
          <w:lang w:val="uk-UA"/>
        </w:rPr>
      </w:pPr>
      <w:r w:rsidRPr="003C6DAE">
        <w:rPr>
          <w:sz w:val="20"/>
          <w:szCs w:val="20"/>
          <w:lang w:val="uk-UA"/>
        </w:rPr>
        <w:t>Сумарний показник чутливості і специфічності аТАНК-НС становив 96,6% (95% ДІ: 87,2–99,1) і 91,1% (95% ДІ: 80,8–96,2), відповідно, за результатами трьох досліджень аналізу Xpert Ultra (126 учасників) (</w:t>
      </w:r>
      <w:r w:rsidRPr="003C6DAE">
        <w:rPr>
          <w:b/>
          <w:bCs/>
          <w:sz w:val="20"/>
          <w:szCs w:val="20"/>
          <w:lang w:val="uk-UA"/>
        </w:rPr>
        <w:t>Рис. 2.1.7</w:t>
      </w:r>
      <w:r w:rsidRPr="003C6DAE">
        <w:rPr>
          <w:sz w:val="20"/>
          <w:szCs w:val="20"/>
          <w:lang w:val="uk-UA"/>
        </w:rPr>
        <w:t>); достовірність доказів була низькою. Як і у випадку з іншими типами зразків позалегеневого ТБ, розглядалися також дані, отримані за допомогою CRS.</w:t>
      </w:r>
      <w:r w:rsidR="00B01E0C" w:rsidRPr="003C6DAE">
        <w:rPr>
          <w:spacing w:val="-11"/>
          <w:sz w:val="20"/>
          <w:szCs w:val="20"/>
          <w:lang w:val="uk-UA"/>
        </w:rPr>
        <w:t xml:space="preserve"> </w:t>
      </w:r>
      <w:r w:rsidR="00067A3C" w:rsidRPr="003C6DAE">
        <w:rPr>
          <w:spacing w:val="-2"/>
          <w:sz w:val="20"/>
          <w:szCs w:val="20"/>
          <w:lang w:val="uk-UA"/>
        </w:rPr>
        <w:t>Використання CRS підвищило специфічність аТАНК-НС при дослідженні синовіальної рідини до 97,0% (95% ДІ: 85,0-100,0), тоді як вплив на чутливість був мінімальним (96%) і значною мірою включало звуження довірчого інтервалу (95% ДІ: 91-99%). Для відповіді на це запитання PICO в оцінку були включені тільки дані про Xpert Ultra. Дані па аналізу Truenat були обмеженими.</w:t>
      </w:r>
    </w:p>
    <w:p w14:paraId="3CFFC4C7" w14:textId="77777777" w:rsidR="00E05B98" w:rsidRPr="003C6DAE" w:rsidRDefault="00E05B98">
      <w:pPr>
        <w:pStyle w:val="a3"/>
        <w:spacing w:line="297" w:lineRule="auto"/>
        <w:jc w:val="both"/>
        <w:rPr>
          <w:lang w:val="uk-UA"/>
        </w:rPr>
        <w:sectPr w:rsidR="00E05B98" w:rsidRPr="003C6DAE" w:rsidSect="00FA7B94">
          <w:type w:val="continuous"/>
          <w:pgSz w:w="11910" w:h="16840"/>
          <w:pgMar w:top="1920" w:right="995" w:bottom="280" w:left="850" w:header="0" w:footer="573" w:gutter="0"/>
          <w:cols w:space="720"/>
        </w:sectPr>
      </w:pPr>
    </w:p>
    <w:p w14:paraId="3B2CD891" w14:textId="3C500E3B" w:rsidR="00E05B98" w:rsidRPr="005051CF" w:rsidRDefault="00067A3C">
      <w:pPr>
        <w:pStyle w:val="6"/>
        <w:spacing w:line="249" w:lineRule="auto"/>
        <w:ind w:right="157"/>
        <w:rPr>
          <w:rFonts w:ascii="Microsoft Sans Serif" w:hAnsi="Microsoft Sans Serif" w:cs="Microsoft Sans Serif"/>
          <w:sz w:val="20"/>
          <w:szCs w:val="20"/>
          <w:lang w:val="uk-UA"/>
        </w:rPr>
      </w:pPr>
      <w:bookmarkStart w:id="43" w:name="_bookmark16"/>
      <w:bookmarkEnd w:id="43"/>
      <w:r w:rsidRPr="005051CF">
        <w:rPr>
          <w:rFonts w:ascii="Microsoft Sans Serif" w:hAnsi="Microsoft Sans Serif" w:cs="Microsoft Sans Serif"/>
          <w:color w:val="636466"/>
          <w:sz w:val="20"/>
          <w:szCs w:val="20"/>
          <w:lang w:val="uk-UA"/>
        </w:rPr>
        <w:lastRenderedPageBreak/>
        <w:t>Рис</w:t>
      </w:r>
      <w:r w:rsidR="00B01E0C" w:rsidRPr="005051CF">
        <w:rPr>
          <w:rFonts w:ascii="Microsoft Sans Serif" w:hAnsi="Microsoft Sans Serif" w:cs="Microsoft Sans Serif"/>
          <w:color w:val="636466"/>
          <w:sz w:val="20"/>
          <w:szCs w:val="20"/>
          <w:lang w:val="uk-UA"/>
        </w:rPr>
        <w:t>.</w:t>
      </w:r>
      <w:r w:rsidR="00B01E0C" w:rsidRPr="005051CF">
        <w:rPr>
          <w:rFonts w:ascii="Microsoft Sans Serif" w:hAnsi="Microsoft Sans Serif" w:cs="Microsoft Sans Serif"/>
          <w:color w:val="636466"/>
          <w:spacing w:val="-12"/>
          <w:sz w:val="20"/>
          <w:szCs w:val="20"/>
          <w:lang w:val="uk-UA"/>
        </w:rPr>
        <w:t xml:space="preserve"> </w:t>
      </w:r>
      <w:r w:rsidR="00B01E0C" w:rsidRPr="005051CF">
        <w:rPr>
          <w:rFonts w:ascii="Microsoft Sans Serif" w:hAnsi="Microsoft Sans Serif" w:cs="Microsoft Sans Serif"/>
          <w:color w:val="636466"/>
          <w:sz w:val="20"/>
          <w:szCs w:val="20"/>
          <w:lang w:val="uk-UA"/>
        </w:rPr>
        <w:t>2.1.7.</w:t>
      </w:r>
      <w:r w:rsidR="00B01E0C" w:rsidRPr="005051CF">
        <w:rPr>
          <w:rFonts w:ascii="Microsoft Sans Serif" w:hAnsi="Microsoft Sans Serif" w:cs="Microsoft Sans Serif"/>
          <w:color w:val="636466"/>
          <w:spacing w:val="-12"/>
          <w:sz w:val="20"/>
          <w:szCs w:val="20"/>
          <w:lang w:val="uk-UA"/>
        </w:rPr>
        <w:t xml:space="preserve"> </w:t>
      </w:r>
      <w:r w:rsidRPr="005051CF">
        <w:rPr>
          <w:rFonts w:ascii="Microsoft Sans Serif" w:hAnsi="Microsoft Sans Serif" w:cs="Microsoft Sans Serif"/>
          <w:color w:val="636466"/>
          <w:sz w:val="20"/>
          <w:szCs w:val="20"/>
          <w:lang w:val="uk-UA"/>
        </w:rPr>
        <w:t xml:space="preserve">Чутливість і специфічність аТАНК-НС для виявлення ТБ кісток або суглобів </w:t>
      </w:r>
      <w:r w:rsidR="005051CF">
        <w:rPr>
          <w:rFonts w:ascii="Microsoft Sans Serif" w:hAnsi="Microsoft Sans Serif" w:cs="Microsoft Sans Serif"/>
          <w:color w:val="636466"/>
          <w:sz w:val="20"/>
          <w:szCs w:val="20"/>
          <w:lang w:val="uk-UA"/>
        </w:rPr>
        <w:t>при дослідженні</w:t>
      </w:r>
      <w:r w:rsidRPr="005051CF">
        <w:rPr>
          <w:rFonts w:ascii="Microsoft Sans Serif" w:hAnsi="Microsoft Sans Serif" w:cs="Microsoft Sans Serif"/>
          <w:color w:val="636466"/>
          <w:sz w:val="20"/>
          <w:szCs w:val="20"/>
          <w:lang w:val="uk-UA"/>
        </w:rPr>
        <w:t xml:space="preserve"> </w:t>
      </w:r>
      <w:r w:rsidR="005051CF">
        <w:rPr>
          <w:rFonts w:ascii="Microsoft Sans Serif" w:hAnsi="Microsoft Sans Serif" w:cs="Microsoft Sans Serif"/>
          <w:color w:val="636466"/>
          <w:sz w:val="20"/>
          <w:szCs w:val="20"/>
          <w:lang w:val="uk-UA"/>
        </w:rPr>
        <w:t xml:space="preserve">зразків </w:t>
      </w:r>
      <w:r w:rsidRPr="005051CF">
        <w:rPr>
          <w:rFonts w:ascii="Microsoft Sans Serif" w:hAnsi="Microsoft Sans Serif" w:cs="Microsoft Sans Serif"/>
          <w:color w:val="636466"/>
          <w:sz w:val="20"/>
          <w:szCs w:val="20"/>
          <w:lang w:val="uk-UA"/>
        </w:rPr>
        <w:t>синовіальн</w:t>
      </w:r>
      <w:r w:rsidR="005051CF">
        <w:rPr>
          <w:rFonts w:ascii="Microsoft Sans Serif" w:hAnsi="Microsoft Sans Serif" w:cs="Microsoft Sans Serif"/>
          <w:color w:val="636466"/>
          <w:sz w:val="20"/>
          <w:szCs w:val="20"/>
          <w:lang w:val="uk-UA"/>
        </w:rPr>
        <w:t>ої</w:t>
      </w:r>
      <w:r w:rsidRPr="005051CF">
        <w:rPr>
          <w:rFonts w:ascii="Microsoft Sans Serif" w:hAnsi="Microsoft Sans Serif" w:cs="Microsoft Sans Serif"/>
          <w:color w:val="636466"/>
          <w:sz w:val="20"/>
          <w:szCs w:val="20"/>
          <w:lang w:val="uk-UA"/>
        </w:rPr>
        <w:t xml:space="preserve"> рідин</w:t>
      </w:r>
      <w:r w:rsidR="005051CF">
        <w:rPr>
          <w:rFonts w:ascii="Microsoft Sans Serif" w:hAnsi="Microsoft Sans Serif" w:cs="Microsoft Sans Serif"/>
          <w:color w:val="636466"/>
          <w:sz w:val="20"/>
          <w:szCs w:val="20"/>
          <w:lang w:val="uk-UA"/>
        </w:rPr>
        <w:t>и</w:t>
      </w:r>
      <w:r w:rsidRPr="005051CF">
        <w:rPr>
          <w:rFonts w:ascii="Microsoft Sans Serif" w:hAnsi="Microsoft Sans Serif" w:cs="Microsoft Sans Serif"/>
          <w:color w:val="636466"/>
          <w:sz w:val="20"/>
          <w:szCs w:val="20"/>
          <w:lang w:val="uk-UA"/>
        </w:rPr>
        <w:t xml:space="preserve"> або тканин та MRS</w:t>
      </w:r>
      <w:r w:rsidR="0000617E">
        <w:rPr>
          <w:rFonts w:ascii="Microsoft Sans Serif" w:hAnsi="Microsoft Sans Serif" w:cs="Microsoft Sans Serif"/>
          <w:color w:val="636466"/>
          <w:sz w:val="20"/>
          <w:szCs w:val="20"/>
          <w:lang w:val="uk-UA"/>
        </w:rPr>
        <w:t xml:space="preserve"> </w:t>
      </w:r>
      <w:r w:rsidR="00B01E0C" w:rsidRPr="005051CF">
        <w:rPr>
          <w:rFonts w:ascii="Microsoft Sans Serif" w:hAnsi="Microsoft Sans Serif" w:cs="Microsoft Sans Serif"/>
          <w:color w:val="636466"/>
          <w:sz w:val="20"/>
          <w:szCs w:val="20"/>
          <w:vertAlign w:val="superscript"/>
          <w:lang w:val="uk-UA"/>
        </w:rPr>
        <w:t>a</w:t>
      </w:r>
    </w:p>
    <w:p w14:paraId="427CF716" w14:textId="57AA0819" w:rsidR="00E05B98" w:rsidRPr="005051CF" w:rsidRDefault="00937D10">
      <w:pPr>
        <w:pStyle w:val="a3"/>
        <w:spacing w:before="2"/>
        <w:rPr>
          <w:rFonts w:ascii="Arial"/>
          <w:b/>
          <w:sz w:val="20"/>
          <w:szCs w:val="20"/>
          <w:lang w:val="uk-UA"/>
        </w:rPr>
      </w:pPr>
      <w:r w:rsidRPr="003C6DAE">
        <w:rPr>
          <w:rFonts w:ascii="Arial"/>
          <w:b/>
          <w:noProof/>
          <w:sz w:val="24"/>
          <w:lang w:val="uk-UA"/>
        </w:rPr>
        <mc:AlternateContent>
          <mc:Choice Requires="wps">
            <w:drawing>
              <wp:anchor distT="0" distB="0" distL="114300" distR="114300" simplePos="0" relativeHeight="488197632" behindDoc="0" locked="0" layoutInCell="1" allowOverlap="1" wp14:anchorId="6651FDCD" wp14:editId="0CB19B70">
                <wp:simplePos x="0" y="0"/>
                <wp:positionH relativeFrom="page">
                  <wp:posOffset>782726</wp:posOffset>
                </wp:positionH>
                <wp:positionV relativeFrom="paragraph">
                  <wp:posOffset>70409</wp:posOffset>
                </wp:positionV>
                <wp:extent cx="6207329" cy="248970"/>
                <wp:effectExtent l="0" t="0" r="3175" b="0"/>
                <wp:wrapNone/>
                <wp:docPr id="332934436" name="Поле 332934436"/>
                <wp:cNvGraphicFramePr/>
                <a:graphic xmlns:a="http://schemas.openxmlformats.org/drawingml/2006/main">
                  <a:graphicData uri="http://schemas.microsoft.com/office/word/2010/wordprocessingShape">
                    <wps:wsp>
                      <wps:cNvSpPr txBox="1"/>
                      <wps:spPr>
                        <a:xfrm>
                          <a:off x="0" y="0"/>
                          <a:ext cx="6207329" cy="248970"/>
                        </a:xfrm>
                        <a:prstGeom prst="rect">
                          <a:avLst/>
                        </a:prstGeom>
                        <a:solidFill>
                          <a:schemeClr val="bg1"/>
                        </a:solidFill>
                        <a:ln w="6350">
                          <a:noFill/>
                        </a:ln>
                      </wps:spPr>
                      <wps:txbx>
                        <w:txbxContent>
                          <w:p w14:paraId="68BCC2FE" w14:textId="57B76DF3" w:rsidR="0017456D" w:rsidRPr="00937D10" w:rsidRDefault="0017456D" w:rsidP="0017456D">
                            <w:pPr>
                              <w:ind w:left="2160" w:hanging="2018"/>
                              <w:rPr>
                                <w:rFonts w:asciiTheme="minorHAnsi" w:hAnsiTheme="minorHAnsi" w:cstheme="minorHAnsi"/>
                                <w:sz w:val="16"/>
                                <w:szCs w:val="16"/>
                                <w:lang w:val="uk-UA"/>
                              </w:rPr>
                            </w:pPr>
                            <w:r w:rsidRPr="00937D10">
                              <w:rPr>
                                <w:rFonts w:asciiTheme="minorHAnsi" w:hAnsiTheme="minorHAnsi" w:cstheme="minorHAnsi"/>
                                <w:sz w:val="16"/>
                                <w:szCs w:val="16"/>
                                <w:lang w:val="uk-UA"/>
                              </w:rPr>
                              <w:t xml:space="preserve">Дослідження           </w:t>
                            </w:r>
                            <w:r w:rsidR="00937D10" w:rsidRPr="00937D10">
                              <w:rPr>
                                <w:rFonts w:asciiTheme="minorHAnsi" w:hAnsiTheme="minorHAnsi" w:cstheme="minorHAnsi"/>
                                <w:sz w:val="16"/>
                                <w:szCs w:val="16"/>
                                <w:lang w:val="uk-UA"/>
                              </w:rPr>
                              <w:t xml:space="preserve">   </w:t>
                            </w:r>
                            <w:r w:rsidR="00937D10">
                              <w:rPr>
                                <w:rFonts w:asciiTheme="minorHAnsi" w:hAnsiTheme="minorHAnsi" w:cstheme="minorHAnsi"/>
                                <w:sz w:val="16"/>
                                <w:szCs w:val="16"/>
                                <w:lang w:val="uk-UA"/>
                              </w:rPr>
                              <w:t xml:space="preserve">   </w:t>
                            </w:r>
                            <w:r w:rsidRPr="00937D10">
                              <w:rPr>
                                <w:rFonts w:asciiTheme="minorHAnsi" w:hAnsiTheme="minorHAnsi" w:cstheme="minorHAnsi"/>
                                <w:sz w:val="16"/>
                                <w:szCs w:val="16"/>
                              </w:rPr>
                              <w:t xml:space="preserve">TP   </w:t>
                            </w:r>
                            <w:r w:rsidRPr="00937D10">
                              <w:rPr>
                                <w:rFonts w:asciiTheme="minorHAnsi" w:hAnsiTheme="minorHAnsi" w:cstheme="minorHAnsi"/>
                                <w:sz w:val="16"/>
                                <w:szCs w:val="16"/>
                                <w:lang w:val="uk-UA"/>
                              </w:rPr>
                              <w:t xml:space="preserve"> </w:t>
                            </w:r>
                            <w:r w:rsidRPr="00937D10">
                              <w:rPr>
                                <w:rFonts w:asciiTheme="minorHAnsi" w:hAnsiTheme="minorHAnsi" w:cstheme="minorHAnsi"/>
                                <w:sz w:val="16"/>
                                <w:szCs w:val="16"/>
                              </w:rPr>
                              <w:t xml:space="preserve">FP   </w:t>
                            </w:r>
                            <w:r w:rsidRPr="00937D10">
                              <w:rPr>
                                <w:rFonts w:asciiTheme="minorHAnsi" w:hAnsiTheme="minorHAnsi" w:cstheme="minorHAnsi"/>
                                <w:sz w:val="16"/>
                                <w:szCs w:val="16"/>
                                <w:lang w:val="uk-UA"/>
                              </w:rPr>
                              <w:t xml:space="preserve"> </w:t>
                            </w:r>
                            <w:r w:rsidRPr="00937D10">
                              <w:rPr>
                                <w:rFonts w:asciiTheme="minorHAnsi" w:hAnsiTheme="minorHAnsi" w:cstheme="minorHAnsi"/>
                                <w:sz w:val="16"/>
                                <w:szCs w:val="16"/>
                              </w:rPr>
                              <w:t xml:space="preserve">FN  TN  </w:t>
                            </w:r>
                            <w:r w:rsidR="00937D10">
                              <w:rPr>
                                <w:rFonts w:asciiTheme="minorHAnsi" w:hAnsiTheme="minorHAnsi" w:cstheme="minorHAnsi"/>
                                <w:sz w:val="16"/>
                                <w:szCs w:val="16"/>
                                <w:lang w:val="uk-UA"/>
                              </w:rPr>
                              <w:t xml:space="preserve"> </w:t>
                            </w:r>
                            <w:r w:rsidRPr="00937D10">
                              <w:rPr>
                                <w:rFonts w:asciiTheme="minorHAnsi" w:hAnsiTheme="minorHAnsi" w:cstheme="minorHAnsi"/>
                                <w:sz w:val="16"/>
                                <w:szCs w:val="16"/>
                                <w:lang w:val="uk-UA"/>
                              </w:rPr>
                              <w:t xml:space="preserve">Чутливість (95% ДІ) </w:t>
                            </w:r>
                            <w:r w:rsidR="00937D10">
                              <w:rPr>
                                <w:rFonts w:asciiTheme="minorHAnsi" w:hAnsiTheme="minorHAnsi" w:cstheme="minorHAnsi"/>
                                <w:sz w:val="16"/>
                                <w:szCs w:val="16"/>
                                <w:lang w:val="uk-UA"/>
                              </w:rPr>
                              <w:t xml:space="preserve"> </w:t>
                            </w:r>
                            <w:r w:rsidRPr="00937D10">
                              <w:rPr>
                                <w:rFonts w:asciiTheme="minorHAnsi" w:hAnsiTheme="minorHAnsi" w:cstheme="minorHAnsi"/>
                                <w:sz w:val="16"/>
                                <w:szCs w:val="16"/>
                                <w:lang w:val="uk-UA"/>
                              </w:rPr>
                              <w:t xml:space="preserve">Специфічність (95% ДІ)  </w:t>
                            </w:r>
                            <w:r w:rsidR="00937D10" w:rsidRPr="00937D10">
                              <w:rPr>
                                <w:rFonts w:asciiTheme="minorHAnsi" w:hAnsiTheme="minorHAnsi" w:cstheme="minorHAnsi"/>
                                <w:sz w:val="16"/>
                                <w:szCs w:val="16"/>
                                <w:lang w:val="uk-UA"/>
                              </w:rPr>
                              <w:t xml:space="preserve">  </w:t>
                            </w:r>
                            <w:r w:rsidR="00937D10">
                              <w:rPr>
                                <w:rFonts w:asciiTheme="minorHAnsi" w:hAnsiTheme="minorHAnsi" w:cstheme="minorHAnsi"/>
                                <w:sz w:val="16"/>
                                <w:szCs w:val="16"/>
                                <w:lang w:val="uk-UA"/>
                              </w:rPr>
                              <w:t xml:space="preserve">      </w:t>
                            </w:r>
                            <w:r w:rsidRPr="00937D10">
                              <w:rPr>
                                <w:rFonts w:asciiTheme="minorHAnsi" w:hAnsiTheme="minorHAnsi" w:cstheme="minorHAnsi"/>
                                <w:sz w:val="16"/>
                                <w:szCs w:val="16"/>
                                <w:lang w:val="uk-UA"/>
                              </w:rPr>
                              <w:t xml:space="preserve">Чутливість (95% ДІ)   </w:t>
                            </w:r>
                            <w:r w:rsidR="00937D10">
                              <w:rPr>
                                <w:rFonts w:asciiTheme="minorHAnsi" w:hAnsiTheme="minorHAnsi" w:cstheme="minorHAnsi"/>
                                <w:sz w:val="16"/>
                                <w:szCs w:val="16"/>
                                <w:lang w:val="uk-UA"/>
                              </w:rPr>
                              <w:t xml:space="preserve">    </w:t>
                            </w:r>
                            <w:r w:rsidRPr="00937D10">
                              <w:rPr>
                                <w:rFonts w:asciiTheme="minorHAnsi" w:hAnsiTheme="minorHAnsi" w:cstheme="minorHAnsi"/>
                                <w:sz w:val="16"/>
                                <w:szCs w:val="16"/>
                                <w:lang w:val="uk-UA"/>
                              </w:rPr>
                              <w:t>Специфічність (95% 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1FDCD" id="Поле 332934436" o:spid="_x0000_s1084" type="#_x0000_t202" style="position:absolute;margin-left:61.65pt;margin-top:5.55pt;width:488.75pt;height:19.6pt;z-index:48819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" fillcolor="white [3212]" stroked="f" strokeweight=".5pt">
                <v:textbox>
                  <w:txbxContent>
                    <w:p w14:paraId="68BCC2FE" w14:textId="57B76DF3" w:rsidR="0017456D" w:rsidRPr="00937D10" w:rsidRDefault="0017456D" w:rsidP="0017456D">
                      <w:pPr>
                        <w:ind w:left="2160" w:hanging="2018"/>
                        <w:rPr>
                          <w:rFonts w:asciiTheme="minorHAnsi" w:hAnsiTheme="minorHAnsi" w:cstheme="minorHAnsi"/>
                          <w:sz w:val="16"/>
                          <w:szCs w:val="16"/>
                          <w:lang w:val="uk-UA"/>
                        </w:rPr>
                      </w:pPr>
                      <w:r w:rsidRPr="00937D10">
                        <w:rPr>
                          <w:rFonts w:asciiTheme="minorHAnsi" w:hAnsiTheme="minorHAnsi" w:cstheme="minorHAnsi"/>
                          <w:sz w:val="16"/>
                          <w:szCs w:val="16"/>
                          <w:lang w:val="uk-UA"/>
                        </w:rPr>
                        <w:t xml:space="preserve">Дослідження           </w:t>
                      </w:r>
                      <w:r w:rsidR="00937D10" w:rsidRPr="00937D10">
                        <w:rPr>
                          <w:rFonts w:asciiTheme="minorHAnsi" w:hAnsiTheme="minorHAnsi" w:cstheme="minorHAnsi"/>
                          <w:sz w:val="16"/>
                          <w:szCs w:val="16"/>
                          <w:lang w:val="uk-UA"/>
                        </w:rPr>
                        <w:t xml:space="preserve">   </w:t>
                      </w:r>
                      <w:r w:rsidR="00937D10">
                        <w:rPr>
                          <w:rFonts w:asciiTheme="minorHAnsi" w:hAnsiTheme="minorHAnsi" w:cstheme="minorHAnsi"/>
                          <w:sz w:val="16"/>
                          <w:szCs w:val="16"/>
                          <w:lang w:val="uk-UA"/>
                        </w:rPr>
                        <w:t xml:space="preserve">   </w:t>
                      </w:r>
                      <w:r w:rsidRPr="00937D10">
                        <w:rPr>
                          <w:rFonts w:asciiTheme="minorHAnsi" w:hAnsiTheme="minorHAnsi" w:cstheme="minorHAnsi"/>
                          <w:sz w:val="16"/>
                          <w:szCs w:val="16"/>
                        </w:rPr>
                        <w:t xml:space="preserve">TP   </w:t>
                      </w:r>
                      <w:r w:rsidRPr="00937D10">
                        <w:rPr>
                          <w:rFonts w:asciiTheme="minorHAnsi" w:hAnsiTheme="minorHAnsi" w:cstheme="minorHAnsi"/>
                          <w:sz w:val="16"/>
                          <w:szCs w:val="16"/>
                          <w:lang w:val="uk-UA"/>
                        </w:rPr>
                        <w:t xml:space="preserve"> </w:t>
                      </w:r>
                      <w:r w:rsidRPr="00937D10">
                        <w:rPr>
                          <w:rFonts w:asciiTheme="minorHAnsi" w:hAnsiTheme="minorHAnsi" w:cstheme="minorHAnsi"/>
                          <w:sz w:val="16"/>
                          <w:szCs w:val="16"/>
                        </w:rPr>
                        <w:t xml:space="preserve">FP   </w:t>
                      </w:r>
                      <w:r w:rsidRPr="00937D10">
                        <w:rPr>
                          <w:rFonts w:asciiTheme="minorHAnsi" w:hAnsiTheme="minorHAnsi" w:cstheme="minorHAnsi"/>
                          <w:sz w:val="16"/>
                          <w:szCs w:val="16"/>
                          <w:lang w:val="uk-UA"/>
                        </w:rPr>
                        <w:t xml:space="preserve"> </w:t>
                      </w:r>
                      <w:r w:rsidRPr="00937D10">
                        <w:rPr>
                          <w:rFonts w:asciiTheme="minorHAnsi" w:hAnsiTheme="minorHAnsi" w:cstheme="minorHAnsi"/>
                          <w:sz w:val="16"/>
                          <w:szCs w:val="16"/>
                        </w:rPr>
                        <w:t xml:space="preserve">FN  TN  </w:t>
                      </w:r>
                      <w:r w:rsidR="00937D10">
                        <w:rPr>
                          <w:rFonts w:asciiTheme="minorHAnsi" w:hAnsiTheme="minorHAnsi" w:cstheme="minorHAnsi"/>
                          <w:sz w:val="16"/>
                          <w:szCs w:val="16"/>
                          <w:lang w:val="uk-UA"/>
                        </w:rPr>
                        <w:t xml:space="preserve"> </w:t>
                      </w:r>
                      <w:r w:rsidRPr="00937D10">
                        <w:rPr>
                          <w:rFonts w:asciiTheme="minorHAnsi" w:hAnsiTheme="minorHAnsi" w:cstheme="minorHAnsi"/>
                          <w:sz w:val="16"/>
                          <w:szCs w:val="16"/>
                          <w:lang w:val="uk-UA"/>
                        </w:rPr>
                        <w:t xml:space="preserve">Чутливість (95% ДІ) </w:t>
                      </w:r>
                      <w:r w:rsidR="00937D10">
                        <w:rPr>
                          <w:rFonts w:asciiTheme="minorHAnsi" w:hAnsiTheme="minorHAnsi" w:cstheme="minorHAnsi"/>
                          <w:sz w:val="16"/>
                          <w:szCs w:val="16"/>
                          <w:lang w:val="uk-UA"/>
                        </w:rPr>
                        <w:t xml:space="preserve"> </w:t>
                      </w:r>
                      <w:r w:rsidRPr="00937D10">
                        <w:rPr>
                          <w:rFonts w:asciiTheme="minorHAnsi" w:hAnsiTheme="minorHAnsi" w:cstheme="minorHAnsi"/>
                          <w:sz w:val="16"/>
                          <w:szCs w:val="16"/>
                          <w:lang w:val="uk-UA"/>
                        </w:rPr>
                        <w:t xml:space="preserve">Специфічність (95% ДІ)  </w:t>
                      </w:r>
                      <w:r w:rsidR="00937D10" w:rsidRPr="00937D10">
                        <w:rPr>
                          <w:rFonts w:asciiTheme="minorHAnsi" w:hAnsiTheme="minorHAnsi" w:cstheme="minorHAnsi"/>
                          <w:sz w:val="16"/>
                          <w:szCs w:val="16"/>
                          <w:lang w:val="uk-UA"/>
                        </w:rPr>
                        <w:t xml:space="preserve">  </w:t>
                      </w:r>
                      <w:r w:rsidR="00937D10">
                        <w:rPr>
                          <w:rFonts w:asciiTheme="minorHAnsi" w:hAnsiTheme="minorHAnsi" w:cstheme="minorHAnsi"/>
                          <w:sz w:val="16"/>
                          <w:szCs w:val="16"/>
                          <w:lang w:val="uk-UA"/>
                        </w:rPr>
                        <w:t xml:space="preserve">      </w:t>
                      </w:r>
                      <w:r w:rsidRPr="00937D10">
                        <w:rPr>
                          <w:rFonts w:asciiTheme="minorHAnsi" w:hAnsiTheme="minorHAnsi" w:cstheme="minorHAnsi"/>
                          <w:sz w:val="16"/>
                          <w:szCs w:val="16"/>
                          <w:lang w:val="uk-UA"/>
                        </w:rPr>
                        <w:t xml:space="preserve">Чутливість (95% ДІ)   </w:t>
                      </w:r>
                      <w:r w:rsidR="00937D10">
                        <w:rPr>
                          <w:rFonts w:asciiTheme="minorHAnsi" w:hAnsiTheme="minorHAnsi" w:cstheme="minorHAnsi"/>
                          <w:sz w:val="16"/>
                          <w:szCs w:val="16"/>
                          <w:lang w:val="uk-UA"/>
                        </w:rPr>
                        <w:t xml:space="preserve">    </w:t>
                      </w:r>
                      <w:r w:rsidRPr="00937D10">
                        <w:rPr>
                          <w:rFonts w:asciiTheme="minorHAnsi" w:hAnsiTheme="minorHAnsi" w:cstheme="minorHAnsi"/>
                          <w:sz w:val="16"/>
                          <w:szCs w:val="16"/>
                          <w:lang w:val="uk-UA"/>
                        </w:rPr>
                        <w:t>Специфічність (95% ДІ)</w:t>
                      </w:r>
                    </w:p>
                  </w:txbxContent>
                </v:textbox>
                <w10:wrap anchorx="page"/>
              </v:shape>
            </w:pict>
          </mc:Fallback>
        </mc:AlternateContent>
      </w:r>
    </w:p>
    <w:p w14:paraId="4F1FDA9D" w14:textId="62A10E2F" w:rsidR="00E05B98" w:rsidRPr="003C6DAE" w:rsidRDefault="00E05B98">
      <w:pPr>
        <w:pStyle w:val="a3"/>
        <w:rPr>
          <w:rFonts w:ascii="Arial"/>
          <w:b/>
          <w:sz w:val="9"/>
          <w:lang w:val="uk-UA"/>
        </w:rPr>
        <w:sectPr w:rsidR="00E05B98" w:rsidRPr="003C6DAE">
          <w:pgSz w:w="11910" w:h="16840"/>
          <w:pgMar w:top="1320" w:right="1275" w:bottom="760" w:left="850" w:header="0" w:footer="573" w:gutter="0"/>
          <w:cols w:space="720"/>
        </w:sectPr>
      </w:pPr>
    </w:p>
    <w:p w14:paraId="3151AB49" w14:textId="77777777" w:rsidR="0017456D" w:rsidRDefault="0017456D">
      <w:pPr>
        <w:spacing w:before="65" w:line="278" w:lineRule="auto"/>
        <w:ind w:left="693" w:right="183"/>
        <w:rPr>
          <w:rFonts w:ascii="Trebuchet MS"/>
          <w:w w:val="90"/>
          <w:sz w:val="16"/>
          <w:szCs w:val="16"/>
          <w:lang w:val="uk-UA"/>
        </w:rPr>
      </w:pPr>
    </w:p>
    <w:p w14:paraId="25F00030" w14:textId="1595DD26" w:rsidR="00E05B98" w:rsidRPr="003C6DAE" w:rsidRDefault="00B01E0C">
      <w:pPr>
        <w:spacing w:before="65" w:line="278" w:lineRule="auto"/>
        <w:ind w:left="693" w:right="183"/>
        <w:rPr>
          <w:rFonts w:ascii="Trebuchet MS"/>
          <w:sz w:val="16"/>
          <w:szCs w:val="16"/>
          <w:lang w:val="uk-UA"/>
        </w:rPr>
      </w:pPr>
      <w:proofErr w:type="spellStart"/>
      <w:r w:rsidRPr="003C6DAE">
        <w:rPr>
          <w:rFonts w:ascii="Trebuchet MS"/>
          <w:w w:val="90"/>
          <w:sz w:val="16"/>
          <w:szCs w:val="16"/>
          <w:lang w:val="uk-UA"/>
        </w:rPr>
        <w:t>Penata</w:t>
      </w:r>
      <w:proofErr w:type="spellEnd"/>
      <w:r w:rsidRPr="003C6DAE">
        <w:rPr>
          <w:rFonts w:ascii="Trebuchet MS"/>
          <w:w w:val="90"/>
          <w:sz w:val="16"/>
          <w:szCs w:val="16"/>
          <w:lang w:val="uk-UA"/>
        </w:rPr>
        <w:t xml:space="preserve"> 2021 </w:t>
      </w:r>
      <w:proofErr w:type="spellStart"/>
      <w:r w:rsidRPr="003C6DAE">
        <w:rPr>
          <w:rFonts w:ascii="Trebuchet MS"/>
          <w:w w:val="80"/>
          <w:sz w:val="16"/>
          <w:szCs w:val="16"/>
          <w:lang w:val="uk-UA"/>
        </w:rPr>
        <w:t>Mekkaoui</w:t>
      </w:r>
      <w:proofErr w:type="spellEnd"/>
      <w:r w:rsidRPr="003C6DAE">
        <w:rPr>
          <w:rFonts w:ascii="Trebuchet MS"/>
          <w:spacing w:val="-5"/>
          <w:w w:val="80"/>
          <w:sz w:val="16"/>
          <w:szCs w:val="16"/>
          <w:lang w:val="uk-UA"/>
        </w:rPr>
        <w:t xml:space="preserve"> </w:t>
      </w:r>
      <w:r w:rsidRPr="003C6DAE">
        <w:rPr>
          <w:rFonts w:ascii="Trebuchet MS"/>
          <w:w w:val="80"/>
          <w:sz w:val="16"/>
          <w:szCs w:val="16"/>
          <w:lang w:val="uk-UA"/>
        </w:rPr>
        <w:t>2021</w:t>
      </w:r>
      <w:r w:rsidRPr="003C6DAE">
        <w:rPr>
          <w:rFonts w:ascii="Trebuchet MS"/>
          <w:w w:val="90"/>
          <w:sz w:val="16"/>
          <w:szCs w:val="16"/>
          <w:lang w:val="uk-UA"/>
        </w:rPr>
        <w:t xml:space="preserve"> S</w:t>
      </w:r>
      <w:r w:rsidRPr="003C6DAE">
        <w:rPr>
          <w:rFonts w:ascii="Trebuchet MS"/>
          <w:spacing w:val="-13"/>
          <w:w w:val="90"/>
          <w:sz w:val="16"/>
          <w:szCs w:val="16"/>
          <w:lang w:val="uk-UA"/>
        </w:rPr>
        <w:t xml:space="preserve"> </w:t>
      </w:r>
      <w:proofErr w:type="spellStart"/>
      <w:r w:rsidRPr="003C6DAE">
        <w:rPr>
          <w:rFonts w:ascii="Trebuchet MS"/>
          <w:w w:val="90"/>
          <w:sz w:val="16"/>
          <w:szCs w:val="16"/>
          <w:lang w:val="uk-UA"/>
        </w:rPr>
        <w:t>lail</w:t>
      </w:r>
      <w:proofErr w:type="spellEnd"/>
      <w:r w:rsidRPr="003C6DAE">
        <w:rPr>
          <w:rFonts w:ascii="Trebuchet MS"/>
          <w:w w:val="90"/>
          <w:sz w:val="16"/>
          <w:szCs w:val="16"/>
          <w:lang w:val="uk-UA"/>
        </w:rPr>
        <w:t xml:space="preserve"> 2023</w:t>
      </w:r>
    </w:p>
    <w:p w14:paraId="034406EF" w14:textId="3649C50D" w:rsidR="00E05B98" w:rsidRPr="003C6DAE" w:rsidRDefault="00B01E0C">
      <w:pPr>
        <w:spacing w:line="208" w:lineRule="exact"/>
        <w:ind w:left="693"/>
        <w:rPr>
          <w:rFonts w:ascii="Trebuchet MS"/>
          <w:sz w:val="16"/>
          <w:szCs w:val="16"/>
          <w:lang w:val="uk-UA"/>
        </w:rPr>
      </w:pPr>
      <w:proofErr w:type="spellStart"/>
      <w:r w:rsidRPr="003C6DAE">
        <w:rPr>
          <w:rFonts w:ascii="Trebuchet MS"/>
          <w:w w:val="85"/>
          <w:sz w:val="16"/>
          <w:szCs w:val="16"/>
          <w:lang w:val="uk-UA"/>
        </w:rPr>
        <w:t>Sun</w:t>
      </w:r>
      <w:proofErr w:type="spellEnd"/>
      <w:r w:rsidRPr="003C6DAE">
        <w:rPr>
          <w:rFonts w:ascii="Trebuchet MS"/>
          <w:spacing w:val="-5"/>
          <w:w w:val="85"/>
          <w:sz w:val="16"/>
          <w:szCs w:val="16"/>
          <w:lang w:val="uk-UA"/>
        </w:rPr>
        <w:t xml:space="preserve"> </w:t>
      </w:r>
      <w:r w:rsidRPr="003C6DAE">
        <w:rPr>
          <w:rFonts w:ascii="Trebuchet MS"/>
          <w:spacing w:val="-4"/>
          <w:w w:val="85"/>
          <w:sz w:val="16"/>
          <w:szCs w:val="16"/>
          <w:lang w:val="uk-UA"/>
        </w:rPr>
        <w:t>2019</w:t>
      </w:r>
    </w:p>
    <w:p w14:paraId="63CABBF7" w14:textId="3418A41F" w:rsidR="00E05B98" w:rsidRPr="003C6DAE" w:rsidRDefault="00B01E0C">
      <w:pPr>
        <w:spacing w:before="34"/>
        <w:ind w:left="693"/>
        <w:rPr>
          <w:rFonts w:ascii="Trebuchet MS"/>
          <w:sz w:val="16"/>
          <w:szCs w:val="16"/>
          <w:lang w:val="uk-UA"/>
        </w:rPr>
      </w:pPr>
      <w:proofErr w:type="spellStart"/>
      <w:r w:rsidRPr="003C6DAE">
        <w:rPr>
          <w:rFonts w:ascii="Trebuchet MS"/>
          <w:w w:val="75"/>
          <w:sz w:val="16"/>
          <w:szCs w:val="16"/>
          <w:lang w:val="uk-UA"/>
        </w:rPr>
        <w:t>Perez-Risco</w:t>
      </w:r>
      <w:proofErr w:type="spellEnd"/>
      <w:r w:rsidRPr="003C6DAE">
        <w:rPr>
          <w:rFonts w:ascii="Trebuchet MS"/>
          <w:spacing w:val="20"/>
          <w:sz w:val="16"/>
          <w:szCs w:val="16"/>
          <w:lang w:val="uk-UA"/>
        </w:rPr>
        <w:t xml:space="preserve"> </w:t>
      </w:r>
      <w:r w:rsidRPr="003C6DAE">
        <w:rPr>
          <w:rFonts w:ascii="Trebuchet MS"/>
          <w:spacing w:val="-4"/>
          <w:w w:val="75"/>
          <w:sz w:val="16"/>
          <w:szCs w:val="16"/>
          <w:lang w:val="uk-UA"/>
        </w:rPr>
        <w:t>2018</w:t>
      </w:r>
    </w:p>
    <w:p w14:paraId="7399D4F6" w14:textId="2524D701" w:rsidR="00E05B98" w:rsidRPr="003C6DAE" w:rsidRDefault="00B01E0C">
      <w:pPr>
        <w:spacing w:before="105"/>
        <w:ind w:left="211"/>
        <w:rPr>
          <w:rFonts w:ascii="Trebuchet MS"/>
          <w:sz w:val="16"/>
          <w:szCs w:val="16"/>
          <w:lang w:val="uk-UA"/>
        </w:rPr>
      </w:pPr>
      <w:r w:rsidRPr="003C6DAE">
        <w:rPr>
          <w:sz w:val="16"/>
          <w:szCs w:val="16"/>
          <w:lang w:val="uk-UA"/>
        </w:rPr>
        <w:br w:type="column"/>
      </w:r>
      <w:r w:rsidRPr="003C6DAE">
        <w:rPr>
          <w:rFonts w:ascii="Trebuchet MS"/>
          <w:color w:val="333333"/>
          <w:spacing w:val="-5"/>
          <w:w w:val="90"/>
          <w:sz w:val="16"/>
          <w:szCs w:val="16"/>
          <w:lang w:val="uk-UA"/>
        </w:rPr>
        <w:t xml:space="preserve"> </w:t>
      </w:r>
    </w:p>
    <w:p w14:paraId="6F8BD73A" w14:textId="77777777" w:rsidR="00E05B98" w:rsidRPr="003C6DAE" w:rsidRDefault="00B01E0C">
      <w:pPr>
        <w:tabs>
          <w:tab w:val="left" w:pos="632"/>
        </w:tabs>
        <w:spacing w:before="65"/>
        <w:ind w:left="316"/>
        <w:rPr>
          <w:rFonts w:ascii="Trebuchet MS"/>
          <w:sz w:val="16"/>
          <w:szCs w:val="16"/>
          <w:lang w:val="uk-UA"/>
        </w:rPr>
      </w:pPr>
      <w:r w:rsidRPr="003C6DAE">
        <w:rPr>
          <w:rFonts w:ascii="Trebuchet MS"/>
          <w:spacing w:val="-10"/>
          <w:w w:val="90"/>
          <w:sz w:val="16"/>
          <w:szCs w:val="16"/>
          <w:lang w:val="uk-UA"/>
        </w:rPr>
        <w:t>0</w:t>
      </w:r>
      <w:r w:rsidRPr="003C6DAE">
        <w:rPr>
          <w:rFonts w:ascii="Trebuchet MS"/>
          <w:sz w:val="16"/>
          <w:szCs w:val="16"/>
          <w:lang w:val="uk-UA"/>
        </w:rPr>
        <w:tab/>
      </w:r>
      <w:r w:rsidRPr="003C6DAE">
        <w:rPr>
          <w:rFonts w:ascii="Trebuchet MS"/>
          <w:spacing w:val="-10"/>
          <w:w w:val="90"/>
          <w:sz w:val="16"/>
          <w:szCs w:val="16"/>
          <w:lang w:val="uk-UA"/>
        </w:rPr>
        <w:t>0</w:t>
      </w:r>
    </w:p>
    <w:p w14:paraId="62CCC1A2" w14:textId="77777777" w:rsidR="00E05B98" w:rsidRPr="003C6DAE" w:rsidRDefault="00B01E0C">
      <w:pPr>
        <w:tabs>
          <w:tab w:val="left" w:pos="632"/>
        </w:tabs>
        <w:spacing w:before="34"/>
        <w:ind w:left="316"/>
        <w:rPr>
          <w:rFonts w:ascii="Trebuchet MS"/>
          <w:sz w:val="16"/>
          <w:szCs w:val="16"/>
          <w:lang w:val="uk-UA"/>
        </w:rPr>
      </w:pPr>
      <w:r w:rsidRPr="003C6DAE">
        <w:rPr>
          <w:rFonts w:ascii="Trebuchet MS"/>
          <w:spacing w:val="-10"/>
          <w:w w:val="90"/>
          <w:sz w:val="16"/>
          <w:szCs w:val="16"/>
          <w:lang w:val="uk-UA"/>
        </w:rPr>
        <w:t>3</w:t>
      </w:r>
      <w:r w:rsidRPr="003C6DAE">
        <w:rPr>
          <w:rFonts w:ascii="Trebuchet MS"/>
          <w:sz w:val="16"/>
          <w:szCs w:val="16"/>
          <w:lang w:val="uk-UA"/>
        </w:rPr>
        <w:tab/>
      </w:r>
      <w:r w:rsidRPr="003C6DAE">
        <w:rPr>
          <w:rFonts w:ascii="Trebuchet MS"/>
          <w:spacing w:val="-10"/>
          <w:w w:val="90"/>
          <w:sz w:val="16"/>
          <w:szCs w:val="16"/>
          <w:lang w:val="uk-UA"/>
        </w:rPr>
        <w:t>3</w:t>
      </w:r>
    </w:p>
    <w:p w14:paraId="642D3D8A" w14:textId="77777777" w:rsidR="00E05B98" w:rsidRPr="003C6DAE" w:rsidRDefault="00B01E0C">
      <w:pPr>
        <w:tabs>
          <w:tab w:val="left" w:pos="632"/>
        </w:tabs>
        <w:spacing w:before="33"/>
        <w:ind w:left="316"/>
        <w:rPr>
          <w:rFonts w:ascii="Trebuchet MS"/>
          <w:sz w:val="16"/>
          <w:szCs w:val="16"/>
          <w:lang w:val="uk-UA"/>
        </w:rPr>
      </w:pPr>
      <w:r w:rsidRPr="003C6DAE">
        <w:rPr>
          <w:rFonts w:ascii="Trebuchet MS"/>
          <w:spacing w:val="-10"/>
          <w:w w:val="90"/>
          <w:sz w:val="16"/>
          <w:szCs w:val="16"/>
          <w:lang w:val="uk-UA"/>
        </w:rPr>
        <w:t>3</w:t>
      </w:r>
      <w:r w:rsidRPr="003C6DAE">
        <w:rPr>
          <w:rFonts w:ascii="Trebuchet MS"/>
          <w:sz w:val="16"/>
          <w:szCs w:val="16"/>
          <w:lang w:val="uk-UA"/>
        </w:rPr>
        <w:tab/>
      </w:r>
      <w:r w:rsidRPr="003C6DAE">
        <w:rPr>
          <w:rFonts w:ascii="Trebuchet MS"/>
          <w:spacing w:val="-10"/>
          <w:w w:val="90"/>
          <w:sz w:val="16"/>
          <w:szCs w:val="16"/>
          <w:lang w:val="uk-UA"/>
        </w:rPr>
        <w:t>2</w:t>
      </w:r>
    </w:p>
    <w:p w14:paraId="369EC13B" w14:textId="77777777" w:rsidR="00E05B98" w:rsidRPr="003C6DAE" w:rsidRDefault="00B01E0C">
      <w:pPr>
        <w:tabs>
          <w:tab w:val="left" w:pos="632"/>
        </w:tabs>
        <w:spacing w:before="33"/>
        <w:ind w:left="232"/>
        <w:rPr>
          <w:rFonts w:ascii="Trebuchet MS"/>
          <w:sz w:val="16"/>
          <w:szCs w:val="16"/>
          <w:lang w:val="uk-UA"/>
        </w:rPr>
      </w:pPr>
      <w:r w:rsidRPr="003C6DAE">
        <w:rPr>
          <w:rFonts w:ascii="Trebuchet MS"/>
          <w:spacing w:val="-5"/>
          <w:w w:val="90"/>
          <w:sz w:val="16"/>
          <w:szCs w:val="16"/>
          <w:lang w:val="uk-UA"/>
        </w:rPr>
        <w:t>50</w:t>
      </w:r>
      <w:r w:rsidRPr="003C6DAE">
        <w:rPr>
          <w:rFonts w:ascii="Trebuchet MS"/>
          <w:sz w:val="16"/>
          <w:szCs w:val="16"/>
          <w:lang w:val="uk-UA"/>
        </w:rPr>
        <w:tab/>
      </w:r>
      <w:r w:rsidRPr="003C6DAE">
        <w:rPr>
          <w:rFonts w:ascii="Trebuchet MS"/>
          <w:spacing w:val="-12"/>
          <w:w w:val="90"/>
          <w:sz w:val="16"/>
          <w:szCs w:val="16"/>
          <w:lang w:val="uk-UA"/>
        </w:rPr>
        <w:t>1</w:t>
      </w:r>
    </w:p>
    <w:p w14:paraId="0367D612" w14:textId="77777777" w:rsidR="00E05B98" w:rsidRPr="003C6DAE" w:rsidRDefault="00B01E0C">
      <w:pPr>
        <w:tabs>
          <w:tab w:val="left" w:pos="632"/>
        </w:tabs>
        <w:spacing w:before="33"/>
        <w:ind w:left="316"/>
        <w:rPr>
          <w:rFonts w:ascii="Trebuchet MS"/>
          <w:sz w:val="16"/>
          <w:szCs w:val="16"/>
          <w:lang w:val="uk-UA"/>
        </w:rPr>
      </w:pPr>
      <w:r w:rsidRPr="003C6DAE">
        <w:rPr>
          <w:rFonts w:ascii="Trebuchet MS"/>
          <w:spacing w:val="-10"/>
          <w:w w:val="90"/>
          <w:sz w:val="16"/>
          <w:szCs w:val="16"/>
          <w:lang w:val="uk-UA"/>
        </w:rPr>
        <w:t>7</w:t>
      </w:r>
      <w:r w:rsidRPr="003C6DAE">
        <w:rPr>
          <w:rFonts w:ascii="Trebuchet MS"/>
          <w:sz w:val="16"/>
          <w:szCs w:val="16"/>
          <w:lang w:val="uk-UA"/>
        </w:rPr>
        <w:tab/>
      </w:r>
      <w:r w:rsidRPr="003C6DAE">
        <w:rPr>
          <w:rFonts w:ascii="Trebuchet MS"/>
          <w:spacing w:val="-10"/>
          <w:w w:val="90"/>
          <w:sz w:val="16"/>
          <w:szCs w:val="16"/>
          <w:lang w:val="uk-UA"/>
        </w:rPr>
        <w:t>0</w:t>
      </w:r>
    </w:p>
    <w:p w14:paraId="418C17A7" w14:textId="1158FFC8" w:rsidR="00E05B98" w:rsidRPr="003C6DAE" w:rsidRDefault="00B01E0C">
      <w:pPr>
        <w:spacing w:before="105"/>
        <w:ind w:left="84"/>
        <w:rPr>
          <w:rFonts w:ascii="Trebuchet MS"/>
          <w:sz w:val="16"/>
          <w:szCs w:val="16"/>
          <w:lang w:val="uk-UA"/>
        </w:rPr>
      </w:pPr>
      <w:r w:rsidRPr="003C6DAE">
        <w:rPr>
          <w:sz w:val="16"/>
          <w:szCs w:val="16"/>
          <w:lang w:val="uk-UA"/>
        </w:rPr>
        <w:br w:type="column"/>
      </w:r>
      <w:r w:rsidRPr="003C6DAE">
        <w:rPr>
          <w:rFonts w:ascii="Trebuchet MS"/>
          <w:color w:val="333333"/>
          <w:spacing w:val="-5"/>
          <w:w w:val="85"/>
          <w:sz w:val="16"/>
          <w:szCs w:val="16"/>
          <w:lang w:val="uk-UA"/>
        </w:rPr>
        <w:t xml:space="preserve"> </w:t>
      </w:r>
    </w:p>
    <w:p w14:paraId="36743477" w14:textId="1FDA2930" w:rsidR="00E05B98" w:rsidRPr="003C6DAE" w:rsidRDefault="00B01E0C">
      <w:pPr>
        <w:tabs>
          <w:tab w:val="left" w:pos="492"/>
        </w:tabs>
        <w:spacing w:before="65"/>
        <w:ind w:left="177"/>
        <w:rPr>
          <w:rFonts w:ascii="Trebuchet MS"/>
          <w:sz w:val="16"/>
          <w:szCs w:val="16"/>
          <w:lang w:val="uk-UA"/>
        </w:rPr>
      </w:pPr>
      <w:r w:rsidRPr="003C6DAE">
        <w:rPr>
          <w:rFonts w:ascii="Trebuchet MS"/>
          <w:spacing w:val="-10"/>
          <w:w w:val="90"/>
          <w:sz w:val="16"/>
          <w:szCs w:val="16"/>
          <w:lang w:val="uk-UA"/>
        </w:rPr>
        <w:t>0</w:t>
      </w:r>
      <w:r w:rsidR="00937D10">
        <w:rPr>
          <w:rFonts w:ascii="Trebuchet MS"/>
          <w:sz w:val="16"/>
          <w:szCs w:val="16"/>
          <w:lang w:val="uk-UA"/>
        </w:rPr>
        <w:t xml:space="preserve">    </w:t>
      </w:r>
      <w:r w:rsidRPr="003C6DAE">
        <w:rPr>
          <w:rFonts w:ascii="Trebuchet MS"/>
          <w:spacing w:val="-10"/>
          <w:w w:val="90"/>
          <w:sz w:val="16"/>
          <w:szCs w:val="16"/>
          <w:lang w:val="uk-UA"/>
        </w:rPr>
        <w:t>6</w:t>
      </w:r>
    </w:p>
    <w:p w14:paraId="230D880F" w14:textId="77777777" w:rsidR="00E05B98" w:rsidRPr="003C6DAE" w:rsidRDefault="00B01E0C">
      <w:pPr>
        <w:spacing w:before="33"/>
        <w:ind w:left="177"/>
        <w:rPr>
          <w:rFonts w:ascii="Trebuchet MS"/>
          <w:sz w:val="16"/>
          <w:szCs w:val="16"/>
          <w:lang w:val="uk-UA"/>
        </w:rPr>
      </w:pPr>
      <w:r w:rsidRPr="003C6DAE">
        <w:rPr>
          <w:rFonts w:ascii="Trebuchet MS"/>
          <w:w w:val="90"/>
          <w:sz w:val="16"/>
          <w:szCs w:val="16"/>
          <w:lang w:val="uk-UA"/>
        </w:rPr>
        <w:t>0</w:t>
      </w:r>
      <w:r w:rsidRPr="003C6DAE">
        <w:rPr>
          <w:rFonts w:ascii="Trebuchet MS"/>
          <w:spacing w:val="63"/>
          <w:w w:val="150"/>
          <w:sz w:val="16"/>
          <w:szCs w:val="16"/>
          <w:lang w:val="uk-UA"/>
        </w:rPr>
        <w:t xml:space="preserve"> </w:t>
      </w:r>
      <w:r w:rsidRPr="003C6DAE">
        <w:rPr>
          <w:rFonts w:ascii="Trebuchet MS"/>
          <w:spacing w:val="-5"/>
          <w:w w:val="90"/>
          <w:sz w:val="16"/>
          <w:szCs w:val="16"/>
          <w:lang w:val="uk-UA"/>
        </w:rPr>
        <w:t>21</w:t>
      </w:r>
    </w:p>
    <w:p w14:paraId="59295E38" w14:textId="0C18AA77" w:rsidR="00E05B98" w:rsidRPr="003C6DAE" w:rsidRDefault="00B01E0C">
      <w:pPr>
        <w:tabs>
          <w:tab w:val="left" w:pos="492"/>
        </w:tabs>
        <w:spacing w:before="33"/>
        <w:ind w:left="177"/>
        <w:rPr>
          <w:rFonts w:ascii="Trebuchet MS"/>
          <w:sz w:val="16"/>
          <w:szCs w:val="16"/>
          <w:lang w:val="uk-UA"/>
        </w:rPr>
      </w:pPr>
      <w:r w:rsidRPr="003C6DAE">
        <w:rPr>
          <w:rFonts w:ascii="Trebuchet MS"/>
          <w:spacing w:val="-10"/>
          <w:w w:val="90"/>
          <w:sz w:val="16"/>
          <w:szCs w:val="16"/>
          <w:lang w:val="uk-UA"/>
        </w:rPr>
        <w:t>0</w:t>
      </w:r>
      <w:r w:rsidR="00937D10">
        <w:rPr>
          <w:rFonts w:ascii="Trebuchet MS"/>
          <w:sz w:val="16"/>
          <w:szCs w:val="16"/>
          <w:lang w:val="uk-UA"/>
        </w:rPr>
        <w:t xml:space="preserve">    </w:t>
      </w:r>
      <w:r w:rsidRPr="003C6DAE">
        <w:rPr>
          <w:rFonts w:ascii="Trebuchet MS"/>
          <w:spacing w:val="-10"/>
          <w:w w:val="90"/>
          <w:sz w:val="16"/>
          <w:szCs w:val="16"/>
          <w:lang w:val="uk-UA"/>
        </w:rPr>
        <w:t>8</w:t>
      </w:r>
    </w:p>
    <w:p w14:paraId="23108215" w14:textId="064F2A73" w:rsidR="00E05B98" w:rsidRPr="003C6DAE" w:rsidRDefault="00B01E0C">
      <w:pPr>
        <w:spacing w:before="33"/>
        <w:ind w:left="177"/>
        <w:rPr>
          <w:rFonts w:ascii="Trebuchet MS"/>
          <w:sz w:val="16"/>
          <w:szCs w:val="16"/>
          <w:lang w:val="uk-UA"/>
        </w:rPr>
      </w:pPr>
      <w:r w:rsidRPr="003C6DAE">
        <w:rPr>
          <w:rFonts w:ascii="Trebuchet MS"/>
          <w:w w:val="90"/>
          <w:sz w:val="16"/>
          <w:szCs w:val="16"/>
          <w:lang w:val="uk-UA"/>
        </w:rPr>
        <w:t>2</w:t>
      </w:r>
      <w:r w:rsidR="00937D10">
        <w:rPr>
          <w:rFonts w:ascii="Trebuchet MS"/>
          <w:spacing w:val="63"/>
          <w:w w:val="150"/>
          <w:sz w:val="16"/>
          <w:szCs w:val="16"/>
          <w:lang w:val="uk-UA"/>
        </w:rPr>
        <w:t xml:space="preserve"> </w:t>
      </w:r>
      <w:r w:rsidRPr="003C6DAE">
        <w:rPr>
          <w:rFonts w:ascii="Trebuchet MS"/>
          <w:spacing w:val="-5"/>
          <w:w w:val="90"/>
          <w:sz w:val="16"/>
          <w:szCs w:val="16"/>
          <w:lang w:val="uk-UA"/>
        </w:rPr>
        <w:t>33</w:t>
      </w:r>
    </w:p>
    <w:p w14:paraId="4B5B1D25" w14:textId="68F8C86D" w:rsidR="00E05B98" w:rsidRPr="003C6DAE" w:rsidRDefault="00B01E0C">
      <w:pPr>
        <w:tabs>
          <w:tab w:val="left" w:pos="492"/>
        </w:tabs>
        <w:spacing w:before="34"/>
        <w:ind w:left="177"/>
        <w:rPr>
          <w:rFonts w:ascii="Trebuchet MS"/>
          <w:sz w:val="16"/>
          <w:szCs w:val="16"/>
          <w:lang w:val="uk-UA"/>
        </w:rPr>
      </w:pPr>
      <w:r w:rsidRPr="003C6DAE">
        <w:rPr>
          <w:rFonts w:ascii="Trebuchet MS"/>
          <w:spacing w:val="-10"/>
          <w:w w:val="90"/>
          <w:sz w:val="16"/>
          <w:szCs w:val="16"/>
          <w:lang w:val="uk-UA"/>
        </w:rPr>
        <w:t>1</w:t>
      </w:r>
      <w:r w:rsidR="00937D10">
        <w:rPr>
          <w:rFonts w:ascii="Trebuchet MS"/>
          <w:sz w:val="16"/>
          <w:szCs w:val="16"/>
          <w:lang w:val="uk-UA"/>
        </w:rPr>
        <w:t xml:space="preserve">    </w:t>
      </w:r>
      <w:r w:rsidRPr="003C6DAE">
        <w:rPr>
          <w:rFonts w:ascii="Trebuchet MS"/>
          <w:spacing w:val="-10"/>
          <w:w w:val="90"/>
          <w:sz w:val="16"/>
          <w:szCs w:val="16"/>
          <w:lang w:val="uk-UA"/>
        </w:rPr>
        <w:t>0</w:t>
      </w:r>
    </w:p>
    <w:p w14:paraId="0179F328" w14:textId="2CCC9C2A" w:rsidR="00E05B98" w:rsidRPr="003C6DAE" w:rsidRDefault="00B01E0C" w:rsidP="001917D5">
      <w:pPr>
        <w:spacing w:before="105" w:line="314" w:lineRule="auto"/>
        <w:ind w:left="142" w:firstLine="38"/>
        <w:rPr>
          <w:rFonts w:ascii="Trebuchet MS"/>
          <w:sz w:val="16"/>
          <w:szCs w:val="16"/>
          <w:lang w:val="uk-UA"/>
        </w:rPr>
      </w:pPr>
      <w:r w:rsidRPr="003C6DAE">
        <w:rPr>
          <w:sz w:val="16"/>
          <w:szCs w:val="16"/>
          <w:lang w:val="uk-UA"/>
        </w:rPr>
        <w:br w:type="column"/>
      </w:r>
      <w:r w:rsidR="00937D10">
        <w:rPr>
          <w:rFonts w:ascii="Trebuchet MS"/>
          <w:color w:val="333333"/>
          <w:w w:val="80"/>
          <w:sz w:val="16"/>
          <w:szCs w:val="16"/>
          <w:lang w:val="uk-UA"/>
        </w:rPr>
        <w:t xml:space="preserve">                                          </w:t>
      </w:r>
      <w:r w:rsidR="001917D5" w:rsidRPr="003C6DAE">
        <w:rPr>
          <w:rFonts w:ascii="Trebuchet MS"/>
          <w:w w:val="85"/>
          <w:sz w:val="16"/>
          <w:szCs w:val="16"/>
          <w:lang w:val="uk-UA"/>
        </w:rPr>
        <w:t>Не</w:t>
      </w:r>
      <w:r w:rsidR="001917D5" w:rsidRPr="003C6DAE">
        <w:rPr>
          <w:rFonts w:ascii="Trebuchet MS"/>
          <w:w w:val="85"/>
          <w:sz w:val="16"/>
          <w:szCs w:val="16"/>
          <w:lang w:val="uk-UA"/>
        </w:rPr>
        <w:t xml:space="preserve"> </w:t>
      </w:r>
      <w:r w:rsidR="001917D5" w:rsidRPr="003C6DAE">
        <w:rPr>
          <w:rFonts w:ascii="Trebuchet MS"/>
          <w:w w:val="85"/>
          <w:sz w:val="16"/>
          <w:szCs w:val="16"/>
          <w:lang w:val="uk-UA"/>
        </w:rPr>
        <w:t>підлягає</w:t>
      </w:r>
      <w:r w:rsidR="001917D5" w:rsidRPr="003C6DAE">
        <w:rPr>
          <w:rFonts w:ascii="Trebuchet MS"/>
          <w:w w:val="85"/>
          <w:sz w:val="16"/>
          <w:szCs w:val="16"/>
          <w:lang w:val="uk-UA"/>
        </w:rPr>
        <w:t xml:space="preserve"> </w:t>
      </w:r>
      <w:r w:rsidR="001917D5" w:rsidRPr="003C6DAE">
        <w:rPr>
          <w:rFonts w:ascii="Trebuchet MS"/>
          <w:w w:val="85"/>
          <w:sz w:val="16"/>
          <w:szCs w:val="16"/>
          <w:lang w:val="uk-UA"/>
        </w:rPr>
        <w:t>оцінці</w:t>
      </w:r>
    </w:p>
    <w:p w14:paraId="3E71E96C" w14:textId="77777777" w:rsidR="00E05B98" w:rsidRPr="003C6DAE" w:rsidRDefault="00B01E0C">
      <w:pPr>
        <w:spacing w:line="178" w:lineRule="exact"/>
        <w:ind w:left="360"/>
        <w:rPr>
          <w:rFonts w:ascii="Trebuchet MS"/>
          <w:sz w:val="16"/>
          <w:szCs w:val="16"/>
          <w:lang w:val="uk-UA"/>
        </w:rPr>
      </w:pPr>
      <w:r w:rsidRPr="003C6DAE">
        <w:rPr>
          <w:rFonts w:ascii="Trebuchet MS"/>
          <w:w w:val="70"/>
          <w:sz w:val="16"/>
          <w:szCs w:val="16"/>
          <w:lang w:val="uk-UA"/>
        </w:rPr>
        <w:t>1.00</w:t>
      </w:r>
      <w:r w:rsidRPr="003C6DAE">
        <w:rPr>
          <w:rFonts w:ascii="Trebuchet MS"/>
          <w:spacing w:val="24"/>
          <w:sz w:val="16"/>
          <w:szCs w:val="16"/>
          <w:lang w:val="uk-UA"/>
        </w:rPr>
        <w:t xml:space="preserve"> </w:t>
      </w:r>
      <w:r w:rsidRPr="003C6DAE">
        <w:rPr>
          <w:rFonts w:ascii="Trebuchet MS"/>
          <w:w w:val="70"/>
          <w:sz w:val="16"/>
          <w:szCs w:val="16"/>
          <w:lang w:val="uk-UA"/>
        </w:rPr>
        <w:t>[0.29,</w:t>
      </w:r>
      <w:r w:rsidRPr="003C6DAE">
        <w:rPr>
          <w:rFonts w:ascii="Trebuchet MS"/>
          <w:spacing w:val="31"/>
          <w:sz w:val="16"/>
          <w:szCs w:val="16"/>
          <w:lang w:val="uk-UA"/>
        </w:rPr>
        <w:t xml:space="preserve"> </w:t>
      </w:r>
      <w:r w:rsidRPr="003C6DAE">
        <w:rPr>
          <w:rFonts w:ascii="Trebuchet MS"/>
          <w:spacing w:val="-2"/>
          <w:w w:val="70"/>
          <w:sz w:val="16"/>
          <w:szCs w:val="16"/>
          <w:lang w:val="uk-UA"/>
        </w:rPr>
        <w:t>1.00]</w:t>
      </w:r>
    </w:p>
    <w:p w14:paraId="3314AE4D" w14:textId="77777777" w:rsidR="00E05B98" w:rsidRPr="003C6DAE" w:rsidRDefault="00B01E0C">
      <w:pPr>
        <w:spacing w:before="33"/>
        <w:ind w:left="360"/>
        <w:rPr>
          <w:rFonts w:ascii="Trebuchet MS"/>
          <w:sz w:val="16"/>
          <w:szCs w:val="16"/>
          <w:lang w:val="uk-UA"/>
        </w:rPr>
      </w:pPr>
      <w:r w:rsidRPr="003C6DAE">
        <w:rPr>
          <w:rFonts w:ascii="Trebuchet MS"/>
          <w:w w:val="70"/>
          <w:sz w:val="16"/>
          <w:szCs w:val="16"/>
          <w:lang w:val="uk-UA"/>
        </w:rPr>
        <w:t>1.00</w:t>
      </w:r>
      <w:r w:rsidRPr="003C6DAE">
        <w:rPr>
          <w:rFonts w:ascii="Trebuchet MS"/>
          <w:spacing w:val="24"/>
          <w:sz w:val="16"/>
          <w:szCs w:val="16"/>
          <w:lang w:val="uk-UA"/>
        </w:rPr>
        <w:t xml:space="preserve"> </w:t>
      </w:r>
      <w:r w:rsidRPr="003C6DAE">
        <w:rPr>
          <w:rFonts w:ascii="Trebuchet MS"/>
          <w:w w:val="70"/>
          <w:sz w:val="16"/>
          <w:szCs w:val="16"/>
          <w:lang w:val="uk-UA"/>
        </w:rPr>
        <w:t>[0.29,</w:t>
      </w:r>
      <w:r w:rsidRPr="003C6DAE">
        <w:rPr>
          <w:rFonts w:ascii="Trebuchet MS"/>
          <w:spacing w:val="31"/>
          <w:sz w:val="16"/>
          <w:szCs w:val="16"/>
          <w:lang w:val="uk-UA"/>
        </w:rPr>
        <w:t xml:space="preserve"> </w:t>
      </w:r>
      <w:r w:rsidRPr="003C6DAE">
        <w:rPr>
          <w:rFonts w:ascii="Trebuchet MS"/>
          <w:spacing w:val="-2"/>
          <w:w w:val="70"/>
          <w:sz w:val="16"/>
          <w:szCs w:val="16"/>
          <w:lang w:val="uk-UA"/>
        </w:rPr>
        <w:t>1.00]</w:t>
      </w:r>
    </w:p>
    <w:p w14:paraId="3B6F8BA7" w14:textId="77777777" w:rsidR="00E05B98" w:rsidRPr="003C6DAE" w:rsidRDefault="00B01E0C">
      <w:pPr>
        <w:spacing w:before="33"/>
        <w:ind w:left="360"/>
        <w:rPr>
          <w:rFonts w:ascii="Trebuchet MS"/>
          <w:sz w:val="16"/>
          <w:szCs w:val="16"/>
          <w:lang w:val="uk-UA"/>
        </w:rPr>
      </w:pPr>
      <w:r w:rsidRPr="003C6DAE">
        <w:rPr>
          <w:rFonts w:ascii="Trebuchet MS"/>
          <w:w w:val="70"/>
          <w:sz w:val="16"/>
          <w:szCs w:val="16"/>
          <w:lang w:val="uk-UA"/>
        </w:rPr>
        <w:t>0.96</w:t>
      </w:r>
      <w:r w:rsidRPr="003C6DAE">
        <w:rPr>
          <w:rFonts w:ascii="Trebuchet MS"/>
          <w:spacing w:val="24"/>
          <w:sz w:val="16"/>
          <w:szCs w:val="16"/>
          <w:lang w:val="uk-UA"/>
        </w:rPr>
        <w:t xml:space="preserve"> </w:t>
      </w:r>
      <w:r w:rsidRPr="003C6DAE">
        <w:rPr>
          <w:rFonts w:ascii="Trebuchet MS"/>
          <w:w w:val="70"/>
          <w:sz w:val="16"/>
          <w:szCs w:val="16"/>
          <w:lang w:val="uk-UA"/>
        </w:rPr>
        <w:t>[0.87,</w:t>
      </w:r>
      <w:r w:rsidRPr="003C6DAE">
        <w:rPr>
          <w:rFonts w:ascii="Trebuchet MS"/>
          <w:spacing w:val="31"/>
          <w:sz w:val="16"/>
          <w:szCs w:val="16"/>
          <w:lang w:val="uk-UA"/>
        </w:rPr>
        <w:t xml:space="preserve"> </w:t>
      </w:r>
      <w:r w:rsidRPr="003C6DAE">
        <w:rPr>
          <w:rFonts w:ascii="Trebuchet MS"/>
          <w:spacing w:val="-2"/>
          <w:w w:val="70"/>
          <w:sz w:val="16"/>
          <w:szCs w:val="16"/>
          <w:lang w:val="uk-UA"/>
        </w:rPr>
        <w:t>1.00]</w:t>
      </w:r>
    </w:p>
    <w:p w14:paraId="414D4AAD" w14:textId="77777777" w:rsidR="00E05B98" w:rsidRPr="003C6DAE" w:rsidRDefault="00B01E0C">
      <w:pPr>
        <w:spacing w:before="33"/>
        <w:ind w:left="360"/>
        <w:rPr>
          <w:rFonts w:ascii="Trebuchet MS"/>
          <w:sz w:val="16"/>
          <w:szCs w:val="16"/>
          <w:lang w:val="uk-UA"/>
        </w:rPr>
      </w:pPr>
      <w:r w:rsidRPr="003C6DAE">
        <w:rPr>
          <w:rFonts w:ascii="Trebuchet MS"/>
          <w:w w:val="70"/>
          <w:sz w:val="16"/>
          <w:szCs w:val="16"/>
          <w:lang w:val="uk-UA"/>
        </w:rPr>
        <w:t>0.88</w:t>
      </w:r>
      <w:r w:rsidRPr="003C6DAE">
        <w:rPr>
          <w:rFonts w:ascii="Trebuchet MS"/>
          <w:spacing w:val="24"/>
          <w:sz w:val="16"/>
          <w:szCs w:val="16"/>
          <w:lang w:val="uk-UA"/>
        </w:rPr>
        <w:t xml:space="preserve"> </w:t>
      </w:r>
      <w:r w:rsidRPr="003C6DAE">
        <w:rPr>
          <w:rFonts w:ascii="Trebuchet MS"/>
          <w:w w:val="70"/>
          <w:sz w:val="16"/>
          <w:szCs w:val="16"/>
          <w:lang w:val="uk-UA"/>
        </w:rPr>
        <w:t>[0.47,</w:t>
      </w:r>
      <w:r w:rsidRPr="003C6DAE">
        <w:rPr>
          <w:rFonts w:ascii="Trebuchet MS"/>
          <w:spacing w:val="31"/>
          <w:sz w:val="16"/>
          <w:szCs w:val="16"/>
          <w:lang w:val="uk-UA"/>
        </w:rPr>
        <w:t xml:space="preserve"> </w:t>
      </w:r>
      <w:r w:rsidRPr="003C6DAE">
        <w:rPr>
          <w:rFonts w:ascii="Trebuchet MS"/>
          <w:spacing w:val="-2"/>
          <w:w w:val="70"/>
          <w:sz w:val="16"/>
          <w:szCs w:val="16"/>
          <w:lang w:val="uk-UA"/>
        </w:rPr>
        <w:t>1.00]</w:t>
      </w:r>
    </w:p>
    <w:p w14:paraId="4D36B3DA" w14:textId="408FD1B2" w:rsidR="00E05B98" w:rsidRPr="003C6DAE" w:rsidRDefault="00B01E0C" w:rsidP="00067A3C">
      <w:pPr>
        <w:spacing w:before="104"/>
        <w:ind w:right="-98"/>
        <w:rPr>
          <w:rFonts w:ascii="Trebuchet MS"/>
          <w:sz w:val="16"/>
          <w:szCs w:val="16"/>
          <w:lang w:val="uk-UA"/>
        </w:rPr>
      </w:pPr>
      <w:r w:rsidRPr="003C6DAE">
        <w:rPr>
          <w:sz w:val="16"/>
          <w:szCs w:val="16"/>
          <w:lang w:val="uk-UA"/>
        </w:rPr>
        <w:br w:type="column"/>
      </w:r>
    </w:p>
    <w:p w14:paraId="469E8657" w14:textId="77777777" w:rsidR="00E05B98" w:rsidRPr="003C6DAE" w:rsidRDefault="00B01E0C">
      <w:pPr>
        <w:spacing w:before="65"/>
        <w:ind w:left="334"/>
        <w:rPr>
          <w:rFonts w:ascii="Trebuchet MS"/>
          <w:sz w:val="16"/>
          <w:szCs w:val="16"/>
          <w:lang w:val="uk-UA"/>
        </w:rPr>
      </w:pPr>
      <w:r w:rsidRPr="003C6DAE">
        <w:rPr>
          <w:rFonts w:ascii="Trebuchet MS"/>
          <w:w w:val="70"/>
          <w:sz w:val="16"/>
          <w:szCs w:val="16"/>
          <w:lang w:val="uk-UA"/>
        </w:rPr>
        <w:t>1.00</w:t>
      </w:r>
      <w:r w:rsidRPr="003C6DAE">
        <w:rPr>
          <w:rFonts w:ascii="Trebuchet MS"/>
          <w:spacing w:val="24"/>
          <w:sz w:val="16"/>
          <w:szCs w:val="16"/>
          <w:lang w:val="uk-UA"/>
        </w:rPr>
        <w:t xml:space="preserve"> </w:t>
      </w:r>
      <w:r w:rsidRPr="003C6DAE">
        <w:rPr>
          <w:rFonts w:ascii="Trebuchet MS"/>
          <w:w w:val="70"/>
          <w:sz w:val="16"/>
          <w:szCs w:val="16"/>
          <w:lang w:val="uk-UA"/>
        </w:rPr>
        <w:t>[0.54,</w:t>
      </w:r>
      <w:r w:rsidRPr="003C6DAE">
        <w:rPr>
          <w:rFonts w:ascii="Trebuchet MS"/>
          <w:spacing w:val="31"/>
          <w:sz w:val="16"/>
          <w:szCs w:val="16"/>
          <w:lang w:val="uk-UA"/>
        </w:rPr>
        <w:t xml:space="preserve"> </w:t>
      </w:r>
      <w:r w:rsidRPr="003C6DAE">
        <w:rPr>
          <w:rFonts w:ascii="Trebuchet MS"/>
          <w:spacing w:val="-2"/>
          <w:w w:val="70"/>
          <w:sz w:val="16"/>
          <w:szCs w:val="16"/>
          <w:lang w:val="uk-UA"/>
        </w:rPr>
        <w:t>1.00]</w:t>
      </w:r>
    </w:p>
    <w:p w14:paraId="4A9490C5" w14:textId="77777777" w:rsidR="00E05B98" w:rsidRPr="003C6DAE" w:rsidRDefault="00B01E0C">
      <w:pPr>
        <w:spacing w:before="34"/>
        <w:ind w:left="334"/>
        <w:rPr>
          <w:rFonts w:ascii="Trebuchet MS"/>
          <w:sz w:val="16"/>
          <w:szCs w:val="16"/>
          <w:lang w:val="uk-UA"/>
        </w:rPr>
      </w:pPr>
      <w:r w:rsidRPr="003C6DAE">
        <w:rPr>
          <w:rFonts w:ascii="Trebuchet MS"/>
          <w:w w:val="70"/>
          <w:sz w:val="16"/>
          <w:szCs w:val="16"/>
          <w:lang w:val="uk-UA"/>
        </w:rPr>
        <w:t>0.88</w:t>
      </w:r>
      <w:r w:rsidRPr="003C6DAE">
        <w:rPr>
          <w:rFonts w:ascii="Trebuchet MS"/>
          <w:spacing w:val="24"/>
          <w:sz w:val="16"/>
          <w:szCs w:val="16"/>
          <w:lang w:val="uk-UA"/>
        </w:rPr>
        <w:t xml:space="preserve"> </w:t>
      </w:r>
      <w:r w:rsidRPr="003C6DAE">
        <w:rPr>
          <w:rFonts w:ascii="Trebuchet MS"/>
          <w:w w:val="70"/>
          <w:sz w:val="16"/>
          <w:szCs w:val="16"/>
          <w:lang w:val="uk-UA"/>
        </w:rPr>
        <w:t>[0.68,</w:t>
      </w:r>
      <w:r w:rsidRPr="003C6DAE">
        <w:rPr>
          <w:rFonts w:ascii="Trebuchet MS"/>
          <w:spacing w:val="31"/>
          <w:sz w:val="16"/>
          <w:szCs w:val="16"/>
          <w:lang w:val="uk-UA"/>
        </w:rPr>
        <w:t xml:space="preserve"> </w:t>
      </w:r>
      <w:r w:rsidRPr="003C6DAE">
        <w:rPr>
          <w:rFonts w:ascii="Trebuchet MS"/>
          <w:spacing w:val="-2"/>
          <w:w w:val="70"/>
          <w:sz w:val="16"/>
          <w:szCs w:val="16"/>
          <w:lang w:val="uk-UA"/>
        </w:rPr>
        <w:t>0.97]</w:t>
      </w:r>
    </w:p>
    <w:p w14:paraId="4082B540" w14:textId="77777777" w:rsidR="00E05B98" w:rsidRPr="003C6DAE" w:rsidRDefault="00B01E0C">
      <w:pPr>
        <w:spacing w:before="33"/>
        <w:ind w:left="334"/>
        <w:rPr>
          <w:rFonts w:ascii="Trebuchet MS"/>
          <w:sz w:val="16"/>
          <w:szCs w:val="16"/>
          <w:lang w:val="uk-UA"/>
        </w:rPr>
      </w:pPr>
      <w:r w:rsidRPr="003C6DAE">
        <w:rPr>
          <w:rFonts w:ascii="Trebuchet MS"/>
          <w:w w:val="70"/>
          <w:sz w:val="16"/>
          <w:szCs w:val="16"/>
          <w:lang w:val="uk-UA"/>
        </w:rPr>
        <w:t>0.80</w:t>
      </w:r>
      <w:r w:rsidRPr="003C6DAE">
        <w:rPr>
          <w:rFonts w:ascii="Trebuchet MS"/>
          <w:spacing w:val="24"/>
          <w:sz w:val="16"/>
          <w:szCs w:val="16"/>
          <w:lang w:val="uk-UA"/>
        </w:rPr>
        <w:t xml:space="preserve"> </w:t>
      </w:r>
      <w:r w:rsidRPr="003C6DAE">
        <w:rPr>
          <w:rFonts w:ascii="Trebuchet MS"/>
          <w:w w:val="70"/>
          <w:sz w:val="16"/>
          <w:szCs w:val="16"/>
          <w:lang w:val="uk-UA"/>
        </w:rPr>
        <w:t>[0.44,</w:t>
      </w:r>
      <w:r w:rsidRPr="003C6DAE">
        <w:rPr>
          <w:rFonts w:ascii="Trebuchet MS"/>
          <w:spacing w:val="31"/>
          <w:sz w:val="16"/>
          <w:szCs w:val="16"/>
          <w:lang w:val="uk-UA"/>
        </w:rPr>
        <w:t xml:space="preserve"> </w:t>
      </w:r>
      <w:r w:rsidRPr="003C6DAE">
        <w:rPr>
          <w:rFonts w:ascii="Trebuchet MS"/>
          <w:spacing w:val="-2"/>
          <w:w w:val="70"/>
          <w:sz w:val="16"/>
          <w:szCs w:val="16"/>
          <w:lang w:val="uk-UA"/>
        </w:rPr>
        <w:t>0.97]</w:t>
      </w:r>
    </w:p>
    <w:p w14:paraId="7170305D" w14:textId="77777777" w:rsidR="00E05B98" w:rsidRPr="003C6DAE" w:rsidRDefault="00B01E0C">
      <w:pPr>
        <w:spacing w:before="33"/>
        <w:ind w:left="334"/>
        <w:rPr>
          <w:rFonts w:ascii="Trebuchet MS"/>
          <w:sz w:val="16"/>
          <w:szCs w:val="16"/>
          <w:lang w:val="uk-UA"/>
        </w:rPr>
      </w:pPr>
      <w:r w:rsidRPr="003C6DAE">
        <w:rPr>
          <w:rFonts w:ascii="Trebuchet MS"/>
          <w:w w:val="70"/>
          <w:sz w:val="16"/>
          <w:szCs w:val="16"/>
          <w:lang w:val="uk-UA"/>
        </w:rPr>
        <w:t>0.97</w:t>
      </w:r>
      <w:r w:rsidRPr="003C6DAE">
        <w:rPr>
          <w:rFonts w:ascii="Trebuchet MS"/>
          <w:spacing w:val="24"/>
          <w:sz w:val="16"/>
          <w:szCs w:val="16"/>
          <w:lang w:val="uk-UA"/>
        </w:rPr>
        <w:t xml:space="preserve"> </w:t>
      </w:r>
      <w:r w:rsidRPr="003C6DAE">
        <w:rPr>
          <w:rFonts w:ascii="Trebuchet MS"/>
          <w:w w:val="70"/>
          <w:sz w:val="16"/>
          <w:szCs w:val="16"/>
          <w:lang w:val="uk-UA"/>
        </w:rPr>
        <w:t>[0.85,</w:t>
      </w:r>
      <w:r w:rsidRPr="003C6DAE">
        <w:rPr>
          <w:rFonts w:ascii="Trebuchet MS"/>
          <w:spacing w:val="31"/>
          <w:sz w:val="16"/>
          <w:szCs w:val="16"/>
          <w:lang w:val="uk-UA"/>
        </w:rPr>
        <w:t xml:space="preserve"> </w:t>
      </w:r>
      <w:r w:rsidRPr="003C6DAE">
        <w:rPr>
          <w:rFonts w:ascii="Trebuchet MS"/>
          <w:spacing w:val="-2"/>
          <w:w w:val="70"/>
          <w:sz w:val="16"/>
          <w:szCs w:val="16"/>
          <w:lang w:val="uk-UA"/>
        </w:rPr>
        <w:t>1.00]</w:t>
      </w:r>
    </w:p>
    <w:p w14:paraId="77FC5100" w14:textId="40899269" w:rsidR="00E05B98" w:rsidRPr="003C6DAE" w:rsidRDefault="001917D5" w:rsidP="00845459">
      <w:pPr>
        <w:spacing w:before="33"/>
        <w:ind w:left="142"/>
        <w:rPr>
          <w:rFonts w:ascii="Trebuchet MS"/>
          <w:sz w:val="16"/>
          <w:szCs w:val="16"/>
          <w:lang w:val="uk-UA"/>
        </w:rPr>
      </w:pPr>
      <w:r w:rsidRPr="003C6DAE">
        <w:rPr>
          <w:rFonts w:ascii="Trebuchet MS"/>
          <w:w w:val="80"/>
          <w:sz w:val="16"/>
          <w:szCs w:val="16"/>
          <w:lang w:val="uk-UA"/>
        </w:rPr>
        <w:t>Не</w:t>
      </w:r>
      <w:r w:rsidRPr="003C6DAE">
        <w:rPr>
          <w:rFonts w:ascii="Trebuchet MS"/>
          <w:w w:val="80"/>
          <w:sz w:val="16"/>
          <w:szCs w:val="16"/>
          <w:lang w:val="uk-UA"/>
        </w:rPr>
        <w:t xml:space="preserve"> </w:t>
      </w:r>
      <w:r w:rsidRPr="003C6DAE">
        <w:rPr>
          <w:rFonts w:ascii="Trebuchet MS"/>
          <w:w w:val="80"/>
          <w:sz w:val="16"/>
          <w:szCs w:val="16"/>
          <w:lang w:val="uk-UA"/>
        </w:rPr>
        <w:t>підлягає</w:t>
      </w:r>
      <w:r w:rsidRPr="003C6DAE">
        <w:rPr>
          <w:rFonts w:ascii="Trebuchet MS"/>
          <w:w w:val="80"/>
          <w:sz w:val="16"/>
          <w:szCs w:val="16"/>
          <w:lang w:val="uk-UA"/>
        </w:rPr>
        <w:t xml:space="preserve"> </w:t>
      </w:r>
      <w:r w:rsidRPr="003C6DAE">
        <w:rPr>
          <w:rFonts w:ascii="Trebuchet MS"/>
          <w:w w:val="80"/>
          <w:sz w:val="16"/>
          <w:szCs w:val="16"/>
          <w:lang w:val="uk-UA"/>
        </w:rPr>
        <w:t>оцінці</w:t>
      </w:r>
    </w:p>
    <w:p w14:paraId="25BC5886" w14:textId="75D13DA3" w:rsidR="00E05B98" w:rsidRPr="003C6DAE" w:rsidRDefault="00B01E0C" w:rsidP="00B06A43">
      <w:pPr>
        <w:spacing w:before="104"/>
        <w:ind w:left="88"/>
        <w:jc w:val="right"/>
        <w:rPr>
          <w:rFonts w:ascii="Trebuchet MS"/>
          <w:sz w:val="16"/>
          <w:szCs w:val="16"/>
          <w:lang w:val="uk-UA"/>
        </w:rPr>
      </w:pPr>
      <w:r w:rsidRPr="003C6DAE">
        <w:rPr>
          <w:sz w:val="16"/>
          <w:szCs w:val="16"/>
          <w:lang w:val="uk-UA"/>
        </w:rPr>
        <w:br w:type="column"/>
      </w:r>
    </w:p>
    <w:p w14:paraId="2D4A64C0" w14:textId="77777777" w:rsidR="00E05B98" w:rsidRPr="003C6DAE" w:rsidRDefault="00E05B98">
      <w:pPr>
        <w:pStyle w:val="a3"/>
        <w:rPr>
          <w:rFonts w:ascii="Trebuchet MS"/>
          <w:sz w:val="16"/>
          <w:szCs w:val="16"/>
          <w:lang w:val="uk-UA"/>
        </w:rPr>
      </w:pPr>
    </w:p>
    <w:p w14:paraId="1A07EF8C" w14:textId="77777777" w:rsidR="00E05B98" w:rsidRPr="003C6DAE" w:rsidRDefault="00E05B98">
      <w:pPr>
        <w:pStyle w:val="a3"/>
        <w:spacing w:before="112" w:after="1"/>
        <w:rPr>
          <w:rFonts w:ascii="Trebuchet MS"/>
          <w:sz w:val="16"/>
          <w:szCs w:val="16"/>
          <w:lang w:val="uk-UA"/>
        </w:rPr>
      </w:pPr>
    </w:p>
    <w:p w14:paraId="3D7D8083" w14:textId="77777777" w:rsidR="00E05B98" w:rsidRPr="003C6DAE" w:rsidRDefault="00B01E0C">
      <w:pPr>
        <w:pStyle w:val="a3"/>
        <w:spacing w:line="105" w:lineRule="exact"/>
        <w:ind w:left="1305" w:right="-72"/>
        <w:rPr>
          <w:rFonts w:ascii="Trebuchet MS"/>
          <w:position w:val="-1"/>
          <w:sz w:val="16"/>
          <w:szCs w:val="16"/>
          <w:lang w:val="uk-UA"/>
        </w:rPr>
      </w:pPr>
      <w:r w:rsidRPr="003C6DAE">
        <w:rPr>
          <w:rFonts w:ascii="Trebuchet MS"/>
          <w:noProof/>
          <w:position w:val="-1"/>
          <w:sz w:val="16"/>
          <w:szCs w:val="16"/>
          <w:lang w:val="uk-UA"/>
        </w:rPr>
        <mc:AlternateContent>
          <mc:Choice Requires="wpg">
            <w:drawing>
              <wp:inline distT="0" distB="0" distL="0" distR="0" wp14:anchorId="5F142803" wp14:editId="234FDC20">
                <wp:extent cx="123189" cy="67310"/>
                <wp:effectExtent l="9525" t="0" r="0" b="8890"/>
                <wp:docPr id="81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189" cy="67310"/>
                          <a:chOff x="0" y="0"/>
                          <a:chExt cx="123189" cy="67310"/>
                        </a:xfrm>
                      </wpg:grpSpPr>
                      <wps:wsp>
                        <wps:cNvPr id="811" name="Graphic 811"/>
                        <wps:cNvSpPr/>
                        <wps:spPr>
                          <a:xfrm>
                            <a:off x="0" y="28840"/>
                            <a:ext cx="66675" cy="1270"/>
                          </a:xfrm>
                          <a:custGeom>
                            <a:avLst/>
                            <a:gdLst/>
                            <a:ahLst/>
                            <a:cxnLst/>
                            <a:rect l="l" t="t" r="r" b="b"/>
                            <a:pathLst>
                              <a:path w="66675">
                                <a:moveTo>
                                  <a:pt x="0" y="0"/>
                                </a:moveTo>
                                <a:lnTo>
                                  <a:pt x="66091" y="0"/>
                                </a:lnTo>
                              </a:path>
                            </a:pathLst>
                          </a:custGeom>
                          <a:ln w="9613">
                            <a:solidFill>
                              <a:srgbClr val="000000"/>
                            </a:solidFill>
                            <a:prstDash val="solid"/>
                          </a:ln>
                        </wps:spPr>
                        <wps:bodyPr wrap="square" lIns="0" tIns="0" rIns="0" bIns="0" rtlCol="0">
                          <a:prstTxWarp prst="textNoShape">
                            <a:avLst/>
                          </a:prstTxWarp>
                          <a:noAutofit/>
                        </wps:bodyPr>
                      </wps:wsp>
                      <wps:wsp>
                        <wps:cNvPr id="812" name="Graphic 812"/>
                        <wps:cNvSpPr/>
                        <wps:spPr>
                          <a:xfrm>
                            <a:off x="122369" y="24034"/>
                            <a:ext cx="1270" cy="10160"/>
                          </a:xfrm>
                          <a:custGeom>
                            <a:avLst/>
                            <a:gdLst/>
                            <a:ahLst/>
                            <a:cxnLst/>
                            <a:rect l="l" t="t" r="r" b="b"/>
                            <a:pathLst>
                              <a:path h="10160">
                                <a:moveTo>
                                  <a:pt x="0" y="0"/>
                                </a:moveTo>
                                <a:lnTo>
                                  <a:pt x="0" y="9613"/>
                                </a:lnTo>
                              </a:path>
                            </a:pathLst>
                          </a:custGeom>
                          <a:ln w="402">
                            <a:solidFill>
                              <a:srgbClr val="000000"/>
                            </a:solidFill>
                            <a:prstDash val="solid"/>
                          </a:ln>
                        </wps:spPr>
                        <wps:bodyPr wrap="square" lIns="0" tIns="0" rIns="0" bIns="0" rtlCol="0">
                          <a:prstTxWarp prst="textNoShape">
                            <a:avLst/>
                          </a:prstTxWarp>
                          <a:noAutofit/>
                        </wps:bodyPr>
                      </wps:wsp>
                      <wps:wsp>
                        <wps:cNvPr id="813" name="Graphic 813"/>
                        <wps:cNvSpPr/>
                        <wps:spPr>
                          <a:xfrm>
                            <a:off x="66091" y="0"/>
                            <a:ext cx="56515" cy="67310"/>
                          </a:xfrm>
                          <a:custGeom>
                            <a:avLst/>
                            <a:gdLst/>
                            <a:ahLst/>
                            <a:cxnLst/>
                            <a:rect l="l" t="t" r="r" b="b"/>
                            <a:pathLst>
                              <a:path w="56515" h="67310">
                                <a:moveTo>
                                  <a:pt x="56076" y="67293"/>
                                </a:moveTo>
                                <a:lnTo>
                                  <a:pt x="0" y="67293"/>
                                </a:lnTo>
                                <a:lnTo>
                                  <a:pt x="0" y="0"/>
                                </a:lnTo>
                                <a:lnTo>
                                  <a:pt x="56076" y="0"/>
                                </a:lnTo>
                                <a:lnTo>
                                  <a:pt x="56076" y="67293"/>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28898D39" id="Group 810" o:spid="_x0000_s1026" style="width:9.7pt;height:5.3pt;mso-position-horizontal-relative:char;mso-position-vertical-relative:line" coordsize="12318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">
                <v:shape id="Graphic 811" o:spid="_x0000_s1027" style="position:absolute;top:28840;width:66675;height:1270;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" path="m,l66091,e" filled="f" strokeweight=".26703mm">
                  <v:path arrowok="t"/>
                </v:shape>
                <v:shape id="Graphic 812" o:spid="_x0000_s1028" style="position:absolute;left:122369;top:24034;width:1270;height:10160;visibility:visible;mso-wrap-style:square;v-text-anchor:top" coordsize="12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" path="m,l,9613e" filled="f" strokeweight=".0112mm">
                  <v:path arrowok="t"/>
                </v:shape>
                <v:shape id="Graphic 813" o:spid="_x0000_s1029" style="position:absolute;left:66091;width:56515;height:67310;visibility:visible;mso-wrap-style:square;v-text-anchor:top" coordsize="5651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" path="m56076,67293l,67293,,,56076,r,67293xe" fillcolor="#0000c0" stroked="f">
                  <v:path arrowok="t"/>
                </v:shape>
                <w10:anchorlock/>
              </v:group>
            </w:pict>
          </mc:Fallback>
        </mc:AlternateContent>
      </w:r>
    </w:p>
    <w:p w14:paraId="12B7F357" w14:textId="77777777" w:rsidR="00E05B98" w:rsidRPr="003C6DAE" w:rsidRDefault="00E05B98">
      <w:pPr>
        <w:pStyle w:val="a3"/>
        <w:spacing w:before="9"/>
        <w:rPr>
          <w:rFonts w:ascii="Trebuchet MS"/>
          <w:sz w:val="16"/>
          <w:szCs w:val="16"/>
          <w:lang w:val="uk-UA"/>
        </w:rPr>
      </w:pPr>
    </w:p>
    <w:p w14:paraId="35FF0A9A" w14:textId="77777777" w:rsidR="00E05B98" w:rsidRPr="003C6DAE" w:rsidRDefault="00B01E0C">
      <w:pPr>
        <w:pStyle w:val="a3"/>
        <w:spacing w:line="234" w:lineRule="exact"/>
        <w:ind w:left="-8" w:right="-87"/>
        <w:rPr>
          <w:rFonts w:ascii="Trebuchet MS"/>
          <w:position w:val="-4"/>
          <w:sz w:val="16"/>
          <w:szCs w:val="16"/>
          <w:lang w:val="uk-UA"/>
        </w:rPr>
      </w:pPr>
      <w:r w:rsidRPr="003C6DAE">
        <w:rPr>
          <w:rFonts w:ascii="Trebuchet MS"/>
          <w:noProof/>
          <w:position w:val="-4"/>
          <w:sz w:val="16"/>
          <w:szCs w:val="16"/>
          <w:lang w:val="uk-UA"/>
        </w:rPr>
        <mc:AlternateContent>
          <mc:Choice Requires="wpg">
            <w:drawing>
              <wp:inline distT="0" distB="0" distL="0" distR="0" wp14:anchorId="49BC73B8" wp14:editId="5DB0273E">
                <wp:extent cx="962660" cy="144780"/>
                <wp:effectExtent l="9525" t="0" r="0" b="7619"/>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660" cy="144780"/>
                          <a:chOff x="0" y="0"/>
                          <a:chExt cx="962660" cy="144780"/>
                        </a:xfrm>
                      </wpg:grpSpPr>
                      <wps:wsp>
                        <wps:cNvPr id="815" name="Graphic 815"/>
                        <wps:cNvSpPr/>
                        <wps:spPr>
                          <a:xfrm>
                            <a:off x="459040" y="28839"/>
                            <a:ext cx="503555" cy="1270"/>
                          </a:xfrm>
                          <a:custGeom>
                            <a:avLst/>
                            <a:gdLst/>
                            <a:ahLst/>
                            <a:cxnLst/>
                            <a:rect l="l" t="t" r="r" b="b"/>
                            <a:pathLst>
                              <a:path w="503555">
                                <a:moveTo>
                                  <a:pt x="0" y="0"/>
                                </a:moveTo>
                                <a:lnTo>
                                  <a:pt x="362102" y="0"/>
                                </a:lnTo>
                              </a:path>
                              <a:path w="503555">
                                <a:moveTo>
                                  <a:pt x="418180" y="0"/>
                                </a:moveTo>
                                <a:lnTo>
                                  <a:pt x="503099" y="0"/>
                                </a:lnTo>
                              </a:path>
                            </a:pathLst>
                          </a:custGeom>
                          <a:ln w="9613">
                            <a:solidFill>
                              <a:srgbClr val="000000"/>
                            </a:solidFill>
                            <a:prstDash val="solid"/>
                          </a:ln>
                        </wps:spPr>
                        <wps:bodyPr wrap="square" lIns="0" tIns="0" rIns="0" bIns="0" rtlCol="0">
                          <a:prstTxWarp prst="textNoShape">
                            <a:avLst/>
                          </a:prstTxWarp>
                          <a:noAutofit/>
                        </wps:bodyPr>
                      </wps:wsp>
                      <wps:wsp>
                        <wps:cNvPr id="816" name="Graphic 816"/>
                        <wps:cNvSpPr/>
                        <wps:spPr>
                          <a:xfrm>
                            <a:off x="821142" y="0"/>
                            <a:ext cx="56515" cy="67310"/>
                          </a:xfrm>
                          <a:custGeom>
                            <a:avLst/>
                            <a:gdLst/>
                            <a:ahLst/>
                            <a:cxnLst/>
                            <a:rect l="l" t="t" r="r" b="b"/>
                            <a:pathLst>
                              <a:path w="56515" h="67310">
                                <a:moveTo>
                                  <a:pt x="56077" y="67293"/>
                                </a:moveTo>
                                <a:lnTo>
                                  <a:pt x="0" y="67293"/>
                                </a:lnTo>
                                <a:lnTo>
                                  <a:pt x="0" y="0"/>
                                </a:lnTo>
                                <a:lnTo>
                                  <a:pt x="56077" y="0"/>
                                </a:lnTo>
                                <a:lnTo>
                                  <a:pt x="56077" y="67293"/>
                                </a:lnTo>
                                <a:close/>
                              </a:path>
                            </a:pathLst>
                          </a:custGeom>
                          <a:solidFill>
                            <a:srgbClr val="0000C0"/>
                          </a:solidFill>
                        </wps:spPr>
                        <wps:bodyPr wrap="square" lIns="0" tIns="0" rIns="0" bIns="0" rtlCol="0">
                          <a:prstTxWarp prst="textNoShape">
                            <a:avLst/>
                          </a:prstTxWarp>
                          <a:noAutofit/>
                        </wps:bodyPr>
                      </wps:wsp>
                      <wps:wsp>
                        <wps:cNvPr id="817" name="Graphic 817"/>
                        <wps:cNvSpPr/>
                        <wps:spPr>
                          <a:xfrm>
                            <a:off x="4006" y="105746"/>
                            <a:ext cx="953769" cy="1270"/>
                          </a:xfrm>
                          <a:custGeom>
                            <a:avLst/>
                            <a:gdLst/>
                            <a:ahLst/>
                            <a:cxnLst/>
                            <a:rect l="l" t="t" r="r" b="b"/>
                            <a:pathLst>
                              <a:path w="953769">
                                <a:moveTo>
                                  <a:pt x="0" y="0"/>
                                </a:moveTo>
                                <a:lnTo>
                                  <a:pt x="953324" y="0"/>
                                </a:lnTo>
                              </a:path>
                            </a:pathLst>
                          </a:custGeom>
                          <a:ln w="9613">
                            <a:solidFill>
                              <a:srgbClr val="000000"/>
                            </a:solidFill>
                            <a:prstDash val="solid"/>
                          </a:ln>
                        </wps:spPr>
                        <wps:bodyPr wrap="square" lIns="0" tIns="0" rIns="0" bIns="0" rtlCol="0">
                          <a:prstTxWarp prst="textNoShape">
                            <a:avLst/>
                          </a:prstTxWarp>
                          <a:noAutofit/>
                        </wps:bodyPr>
                      </wps:wsp>
                      <wps:wsp>
                        <wps:cNvPr id="818" name="Graphic 818"/>
                        <wps:cNvSpPr/>
                        <wps:spPr>
                          <a:xfrm>
                            <a:off x="4005" y="67293"/>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819" name="Graphic 819"/>
                        <wps:cNvSpPr/>
                        <wps:spPr>
                          <a:xfrm>
                            <a:off x="194669" y="67293"/>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820" name="Graphic 820"/>
                        <wps:cNvSpPr/>
                        <wps:spPr>
                          <a:xfrm>
                            <a:off x="385333" y="67293"/>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821" name="Graphic 821"/>
                        <wps:cNvSpPr/>
                        <wps:spPr>
                          <a:xfrm>
                            <a:off x="575596" y="67293"/>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822" name="Graphic 822"/>
                        <wps:cNvSpPr/>
                        <wps:spPr>
                          <a:xfrm>
                            <a:off x="766661" y="67293"/>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823" name="Graphic 823"/>
                        <wps:cNvSpPr/>
                        <wps:spPr>
                          <a:xfrm>
                            <a:off x="957325" y="67293"/>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D5EE3B" id="Group 814" o:spid="_x0000_s1026" style="width:75.8pt;height:11.4pt;mso-position-horizontal-relative:char;mso-position-vertical-relative:line" coordsize="9626,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">
                <v:shape id="Graphic 815" o:spid="_x0000_s1027" style="position:absolute;left:4590;top:288;width:5035;height:13;visibility:visible;mso-wrap-style:square;v-text-anchor:top" coordsize="503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" path="m,l362102,em418180,r84919,e" filled="f" strokeweight=".26703mm">
                  <v:path arrowok="t"/>
                </v:shape>
                <v:shape id="Graphic 816" o:spid="_x0000_s1028" style="position:absolute;left:8211;width:565;height:673;visibility:visible;mso-wrap-style:square;v-text-anchor:top" coordsize="5651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" path="m56077,67293l,67293,,,56077,r,67293xe" fillcolor="#0000c0" stroked="f">
                  <v:path arrowok="t"/>
                </v:shape>
                <v:shape id="Graphic 817" o:spid="_x0000_s1029" style="position:absolute;left:40;top:1057;width:9537;height:13;visibility:visible;mso-wrap-style:square;v-text-anchor:top" coordsize="9537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" path="m,l953324,e" filled="f" strokeweight=".26703mm">
                  <v:path arrowok="t"/>
                </v:shape>
                <v:shape id="Graphic 818" o:spid="_x0000_s1030" style="position:absolute;left:40;top:672;width:12;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" path="m,l,76906e" filled="f" strokeweight=".22253mm">
                  <v:path arrowok="t"/>
                </v:shape>
                <v:shape id="Graphic 819" o:spid="_x0000_s1031" style="position:absolute;left:1946;top:672;width:13;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" path="m,l,76906e" filled="f" strokeweight=".22253mm">
                  <v:path arrowok="t"/>
                </v:shape>
                <v:shape id="Graphic 820" o:spid="_x0000_s1032" style="position:absolute;left:3853;top:672;width:13;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" path="m,l,76906e" filled="f" strokeweight=".22253mm">
                  <v:path arrowok="t"/>
                </v:shape>
                <v:shape id="Graphic 821" o:spid="_x0000_s1033" style="position:absolute;left:5755;top:672;width:13;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" path="m,l,76906e" filled="f" strokeweight=".22253mm">
                  <v:path arrowok="t"/>
                </v:shape>
                <v:shape id="Graphic 822" o:spid="_x0000_s1034" style="position:absolute;left:7666;top:672;width:13;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" path="m,l,76906e" filled="f" strokeweight=".22253mm">
                  <v:path arrowok="t"/>
                </v:shape>
                <v:shape id="Graphic 823" o:spid="_x0000_s1035" style="position:absolute;left:9573;top:672;width:12;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" path="m,l,76906e" filled="f" strokeweight=".22253mm">
                  <v:path arrowok="t"/>
                </v:shape>
                <w10:anchorlock/>
              </v:group>
            </w:pict>
          </mc:Fallback>
        </mc:AlternateContent>
      </w:r>
    </w:p>
    <w:p w14:paraId="1446800D" w14:textId="77777777" w:rsidR="00E05B98" w:rsidRPr="003C6DAE" w:rsidRDefault="00B01E0C">
      <w:pPr>
        <w:rPr>
          <w:rFonts w:ascii="Trebuchet MS"/>
          <w:sz w:val="16"/>
          <w:szCs w:val="16"/>
          <w:lang w:val="uk-UA"/>
        </w:rPr>
      </w:pPr>
      <w:r w:rsidRPr="003C6DAE">
        <w:rPr>
          <w:rFonts w:ascii="Trebuchet MS"/>
          <w:noProof/>
          <w:sz w:val="16"/>
          <w:szCs w:val="16"/>
          <w:lang w:val="uk-UA"/>
        </w:rPr>
        <mc:AlternateContent>
          <mc:Choice Requires="wpg">
            <w:drawing>
              <wp:anchor distT="0" distB="0" distL="0" distR="0" simplePos="0" relativeHeight="15887360" behindDoc="0" locked="0" layoutInCell="1" allowOverlap="1" wp14:anchorId="49DE67B7" wp14:editId="15D815D4">
                <wp:simplePos x="0" y="0"/>
                <wp:positionH relativeFrom="page">
                  <wp:posOffset>4857898</wp:posOffset>
                </wp:positionH>
                <wp:positionV relativeFrom="paragraph">
                  <wp:posOffset>-610030</wp:posOffset>
                </wp:positionV>
                <wp:extent cx="713105" cy="67310"/>
                <wp:effectExtent l="0" t="0" r="0" b="0"/>
                <wp:wrapNone/>
                <wp:docPr id="82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105" cy="67310"/>
                          <a:chOff x="0" y="0"/>
                          <a:chExt cx="713105" cy="67310"/>
                        </a:xfrm>
                      </wpg:grpSpPr>
                      <wps:wsp>
                        <wps:cNvPr id="825" name="Graphic 825"/>
                        <wps:cNvSpPr/>
                        <wps:spPr>
                          <a:xfrm>
                            <a:off x="0" y="28840"/>
                            <a:ext cx="656590" cy="1270"/>
                          </a:xfrm>
                          <a:custGeom>
                            <a:avLst/>
                            <a:gdLst/>
                            <a:ahLst/>
                            <a:cxnLst/>
                            <a:rect l="l" t="t" r="r" b="b"/>
                            <a:pathLst>
                              <a:path w="656590">
                                <a:moveTo>
                                  <a:pt x="0" y="0"/>
                                </a:moveTo>
                                <a:lnTo>
                                  <a:pt x="656511" y="0"/>
                                </a:lnTo>
                              </a:path>
                            </a:pathLst>
                          </a:custGeom>
                          <a:ln w="9613">
                            <a:solidFill>
                              <a:srgbClr val="000000"/>
                            </a:solidFill>
                            <a:prstDash val="solid"/>
                          </a:ln>
                        </wps:spPr>
                        <wps:bodyPr wrap="square" lIns="0" tIns="0" rIns="0" bIns="0" rtlCol="0">
                          <a:prstTxWarp prst="textNoShape">
                            <a:avLst/>
                          </a:prstTxWarp>
                          <a:noAutofit/>
                        </wps:bodyPr>
                      </wps:wsp>
                      <wps:wsp>
                        <wps:cNvPr id="826" name="Graphic 826"/>
                        <wps:cNvSpPr/>
                        <wps:spPr>
                          <a:xfrm>
                            <a:off x="656511" y="0"/>
                            <a:ext cx="56515" cy="67310"/>
                          </a:xfrm>
                          <a:custGeom>
                            <a:avLst/>
                            <a:gdLst/>
                            <a:ahLst/>
                            <a:cxnLst/>
                            <a:rect l="l" t="t" r="r" b="b"/>
                            <a:pathLst>
                              <a:path w="56515" h="67310">
                                <a:moveTo>
                                  <a:pt x="56077" y="67293"/>
                                </a:moveTo>
                                <a:lnTo>
                                  <a:pt x="0" y="67293"/>
                                </a:lnTo>
                                <a:lnTo>
                                  <a:pt x="0" y="0"/>
                                </a:lnTo>
                                <a:lnTo>
                                  <a:pt x="56077" y="0"/>
                                </a:lnTo>
                                <a:lnTo>
                                  <a:pt x="56077" y="6729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990ADCC" id="Group 824" o:spid="_x0000_s1026" style="position:absolute;margin-left:382.5pt;margin-top:-48.05pt;width:56.15pt;height:5.3pt;z-index:15887360;mso-wrap-distance-left:0;mso-wrap-distance-right:0;mso-position-horizontal-relative:page" coordsize="7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">
                <v:shape id="Graphic 825" o:spid="_x0000_s1027" style="position:absolute;top:288;width:6565;height:13;visibility:visible;mso-wrap-style:square;v-text-anchor:top" coordsize="656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" path="m,l656511,e" filled="f" strokeweight=".26703mm">
                  <v:path arrowok="t"/>
                </v:shape>
                <v:shape id="Graphic 826" o:spid="_x0000_s1028" style="position:absolute;left:6565;width:565;height:673;visibility:visible;mso-wrap-style:square;v-text-anchor:top" coordsize="5651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" path="m56077,67293l,67293,,,56077,r,67293xe" fillcolor="#0000c0" stroked="f">
                  <v:path arrowok="t"/>
                </v:shape>
                <w10:wrap anchorx="page"/>
              </v:group>
            </w:pict>
          </mc:Fallback>
        </mc:AlternateContent>
      </w:r>
      <w:r w:rsidRPr="003C6DAE">
        <w:rPr>
          <w:rFonts w:ascii="Trebuchet MS"/>
          <w:noProof/>
          <w:sz w:val="16"/>
          <w:szCs w:val="16"/>
          <w:lang w:val="uk-UA"/>
        </w:rPr>
        <mc:AlternateContent>
          <mc:Choice Requires="wpg">
            <w:drawing>
              <wp:anchor distT="0" distB="0" distL="0" distR="0" simplePos="0" relativeHeight="15887872" behindDoc="0" locked="0" layoutInCell="1" allowOverlap="1" wp14:anchorId="7CBFF45B" wp14:editId="1DCA1A65">
                <wp:simplePos x="0" y="0"/>
                <wp:positionH relativeFrom="page">
                  <wp:posOffset>4857896</wp:posOffset>
                </wp:positionH>
                <wp:positionV relativeFrom="paragraph">
                  <wp:posOffset>-456216</wp:posOffset>
                </wp:positionV>
                <wp:extent cx="713105" cy="67310"/>
                <wp:effectExtent l="0" t="0" r="0" b="0"/>
                <wp:wrapNone/>
                <wp:docPr id="827"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105" cy="67310"/>
                          <a:chOff x="0" y="0"/>
                          <a:chExt cx="713105" cy="67310"/>
                        </a:xfrm>
                      </wpg:grpSpPr>
                      <wps:wsp>
                        <wps:cNvPr id="828" name="Graphic 828"/>
                        <wps:cNvSpPr/>
                        <wps:spPr>
                          <a:xfrm>
                            <a:off x="0" y="28839"/>
                            <a:ext cx="656590" cy="1270"/>
                          </a:xfrm>
                          <a:custGeom>
                            <a:avLst/>
                            <a:gdLst/>
                            <a:ahLst/>
                            <a:cxnLst/>
                            <a:rect l="l" t="t" r="r" b="b"/>
                            <a:pathLst>
                              <a:path w="656590">
                                <a:moveTo>
                                  <a:pt x="0" y="0"/>
                                </a:moveTo>
                                <a:lnTo>
                                  <a:pt x="656511" y="0"/>
                                </a:lnTo>
                              </a:path>
                            </a:pathLst>
                          </a:custGeom>
                          <a:ln w="9613">
                            <a:solidFill>
                              <a:srgbClr val="000000"/>
                            </a:solidFill>
                            <a:prstDash val="solid"/>
                          </a:ln>
                        </wps:spPr>
                        <wps:bodyPr wrap="square" lIns="0" tIns="0" rIns="0" bIns="0" rtlCol="0">
                          <a:prstTxWarp prst="textNoShape">
                            <a:avLst/>
                          </a:prstTxWarp>
                          <a:noAutofit/>
                        </wps:bodyPr>
                      </wps:wsp>
                      <wps:wsp>
                        <wps:cNvPr id="829" name="Graphic 829"/>
                        <wps:cNvSpPr/>
                        <wps:spPr>
                          <a:xfrm>
                            <a:off x="656511" y="0"/>
                            <a:ext cx="56515" cy="67310"/>
                          </a:xfrm>
                          <a:custGeom>
                            <a:avLst/>
                            <a:gdLst/>
                            <a:ahLst/>
                            <a:cxnLst/>
                            <a:rect l="l" t="t" r="r" b="b"/>
                            <a:pathLst>
                              <a:path w="56515" h="67310">
                                <a:moveTo>
                                  <a:pt x="56077" y="67293"/>
                                </a:moveTo>
                                <a:lnTo>
                                  <a:pt x="0" y="67293"/>
                                </a:lnTo>
                                <a:lnTo>
                                  <a:pt x="0" y="0"/>
                                </a:lnTo>
                                <a:lnTo>
                                  <a:pt x="56077" y="0"/>
                                </a:lnTo>
                                <a:lnTo>
                                  <a:pt x="56077" y="6729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90DE164" id="Group 827" o:spid="_x0000_s1026" style="position:absolute;margin-left:382.5pt;margin-top:-35.9pt;width:56.15pt;height:5.3pt;z-index:15887872;mso-wrap-distance-left:0;mso-wrap-distance-right:0;mso-position-horizontal-relative:page" coordsize="7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">
                <v:shape id="Graphic 828" o:spid="_x0000_s1027" style="position:absolute;top:288;width:6565;height:13;visibility:visible;mso-wrap-style:square;v-text-anchor:top" coordsize="656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" path="m,l656511,e" filled="f" strokeweight=".26703mm">
                  <v:path arrowok="t"/>
                </v:shape>
                <v:shape id="Graphic 829" o:spid="_x0000_s1028" style="position:absolute;left:6565;width:565;height:673;visibility:visible;mso-wrap-style:square;v-text-anchor:top" coordsize="5651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" path="m56077,67293l,67293,,,56077,r,67293xe" fillcolor="#0000c0" stroked="f">
                  <v:path arrowok="t"/>
                </v:shape>
                <w10:wrap anchorx="page"/>
              </v:group>
            </w:pict>
          </mc:Fallback>
        </mc:AlternateContent>
      </w:r>
      <w:r w:rsidRPr="003C6DAE">
        <w:rPr>
          <w:rFonts w:ascii="Trebuchet MS"/>
          <w:w w:val="85"/>
          <w:sz w:val="16"/>
          <w:szCs w:val="16"/>
          <w:lang w:val="uk-UA"/>
        </w:rPr>
        <w:t>0</w:t>
      </w:r>
      <w:r w:rsidRPr="003C6DAE">
        <w:rPr>
          <w:rFonts w:ascii="Trebuchet MS"/>
          <w:spacing w:val="47"/>
          <w:sz w:val="16"/>
          <w:szCs w:val="16"/>
          <w:lang w:val="uk-UA"/>
        </w:rPr>
        <w:t xml:space="preserve"> </w:t>
      </w:r>
      <w:r w:rsidRPr="003C6DAE">
        <w:rPr>
          <w:rFonts w:ascii="Trebuchet MS"/>
          <w:w w:val="85"/>
          <w:sz w:val="16"/>
          <w:szCs w:val="16"/>
          <w:lang w:val="uk-UA"/>
        </w:rPr>
        <w:t>0.2</w:t>
      </w:r>
      <w:r w:rsidRPr="003C6DAE">
        <w:rPr>
          <w:rFonts w:ascii="Trebuchet MS"/>
          <w:spacing w:val="30"/>
          <w:sz w:val="16"/>
          <w:szCs w:val="16"/>
          <w:lang w:val="uk-UA"/>
        </w:rPr>
        <w:t xml:space="preserve"> </w:t>
      </w:r>
      <w:r w:rsidRPr="003C6DAE">
        <w:rPr>
          <w:rFonts w:ascii="Trebuchet MS"/>
          <w:w w:val="85"/>
          <w:sz w:val="16"/>
          <w:szCs w:val="16"/>
          <w:lang w:val="uk-UA"/>
        </w:rPr>
        <w:t>0.4</w:t>
      </w:r>
      <w:r w:rsidRPr="003C6DAE">
        <w:rPr>
          <w:rFonts w:ascii="Trebuchet MS"/>
          <w:spacing w:val="30"/>
          <w:sz w:val="16"/>
          <w:szCs w:val="16"/>
          <w:lang w:val="uk-UA"/>
        </w:rPr>
        <w:t xml:space="preserve"> </w:t>
      </w:r>
      <w:r w:rsidRPr="003C6DAE">
        <w:rPr>
          <w:rFonts w:ascii="Trebuchet MS"/>
          <w:w w:val="85"/>
          <w:sz w:val="16"/>
          <w:szCs w:val="16"/>
          <w:lang w:val="uk-UA"/>
        </w:rPr>
        <w:t>0.6</w:t>
      </w:r>
      <w:r w:rsidRPr="003C6DAE">
        <w:rPr>
          <w:rFonts w:ascii="Trebuchet MS"/>
          <w:spacing w:val="30"/>
          <w:sz w:val="16"/>
          <w:szCs w:val="16"/>
          <w:lang w:val="uk-UA"/>
        </w:rPr>
        <w:t xml:space="preserve"> </w:t>
      </w:r>
      <w:r w:rsidRPr="003C6DAE">
        <w:rPr>
          <w:rFonts w:ascii="Trebuchet MS"/>
          <w:w w:val="85"/>
          <w:sz w:val="16"/>
          <w:szCs w:val="16"/>
          <w:lang w:val="uk-UA"/>
        </w:rPr>
        <w:t>0.8</w:t>
      </w:r>
      <w:r w:rsidRPr="003C6DAE">
        <w:rPr>
          <w:rFonts w:ascii="Trebuchet MS"/>
          <w:spacing w:val="48"/>
          <w:sz w:val="16"/>
          <w:szCs w:val="16"/>
          <w:lang w:val="uk-UA"/>
        </w:rPr>
        <w:t xml:space="preserve"> </w:t>
      </w:r>
      <w:r w:rsidRPr="003C6DAE">
        <w:rPr>
          <w:rFonts w:ascii="Trebuchet MS"/>
          <w:spacing w:val="-10"/>
          <w:w w:val="85"/>
          <w:sz w:val="16"/>
          <w:szCs w:val="16"/>
          <w:lang w:val="uk-UA"/>
        </w:rPr>
        <w:t>1</w:t>
      </w:r>
    </w:p>
    <w:p w14:paraId="6FAB3ED9" w14:textId="77369152" w:rsidR="00E05B98" w:rsidRPr="003C6DAE" w:rsidRDefault="00B01E0C">
      <w:pPr>
        <w:spacing w:before="106"/>
        <w:ind w:left="187"/>
        <w:rPr>
          <w:rFonts w:ascii="Trebuchet MS"/>
          <w:sz w:val="16"/>
          <w:szCs w:val="16"/>
          <w:lang w:val="uk-UA"/>
        </w:rPr>
      </w:pPr>
      <w:r w:rsidRPr="003C6DAE">
        <w:rPr>
          <w:sz w:val="16"/>
          <w:szCs w:val="16"/>
          <w:lang w:val="uk-UA"/>
        </w:rPr>
        <w:br w:type="column"/>
      </w:r>
    </w:p>
    <w:p w14:paraId="1796F9A7" w14:textId="77777777" w:rsidR="00E05B98" w:rsidRPr="003C6DAE" w:rsidRDefault="00B01E0C">
      <w:pPr>
        <w:pStyle w:val="a3"/>
        <w:spacing w:before="10"/>
        <w:rPr>
          <w:rFonts w:ascii="Trebuchet MS"/>
          <w:sz w:val="4"/>
          <w:lang w:val="uk-UA"/>
        </w:rPr>
      </w:pPr>
      <w:r w:rsidRPr="003C6DAE">
        <w:rPr>
          <w:rFonts w:ascii="Trebuchet MS"/>
          <w:noProof/>
          <w:sz w:val="4"/>
          <w:lang w:val="uk-UA"/>
        </w:rPr>
        <mc:AlternateContent>
          <mc:Choice Requires="wpg">
            <w:drawing>
              <wp:anchor distT="0" distB="0" distL="0" distR="0" simplePos="0" relativeHeight="487739392" behindDoc="1" locked="0" layoutInCell="1" allowOverlap="1" wp14:anchorId="1D18AF5E" wp14:editId="2A215B40">
                <wp:simplePos x="0" y="0"/>
                <wp:positionH relativeFrom="page">
                  <wp:posOffset>6138064</wp:posOffset>
                </wp:positionH>
                <wp:positionV relativeFrom="paragraph">
                  <wp:posOffset>51379</wp:posOffset>
                </wp:positionV>
                <wp:extent cx="474345" cy="67310"/>
                <wp:effectExtent l="0" t="0" r="0" b="0"/>
                <wp:wrapTopAndBottom/>
                <wp:docPr id="830"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345" cy="67310"/>
                          <a:chOff x="0" y="0"/>
                          <a:chExt cx="474345" cy="67310"/>
                        </a:xfrm>
                      </wpg:grpSpPr>
                      <wps:wsp>
                        <wps:cNvPr id="831" name="Graphic 831"/>
                        <wps:cNvSpPr/>
                        <wps:spPr>
                          <a:xfrm>
                            <a:off x="0" y="28840"/>
                            <a:ext cx="417830" cy="1270"/>
                          </a:xfrm>
                          <a:custGeom>
                            <a:avLst/>
                            <a:gdLst/>
                            <a:ahLst/>
                            <a:cxnLst/>
                            <a:rect l="l" t="t" r="r" b="b"/>
                            <a:pathLst>
                              <a:path w="417830">
                                <a:moveTo>
                                  <a:pt x="0" y="0"/>
                                </a:moveTo>
                                <a:lnTo>
                                  <a:pt x="417780" y="0"/>
                                </a:lnTo>
                              </a:path>
                            </a:pathLst>
                          </a:custGeom>
                          <a:ln w="9613">
                            <a:solidFill>
                              <a:srgbClr val="000000"/>
                            </a:solidFill>
                            <a:prstDash val="solid"/>
                          </a:ln>
                        </wps:spPr>
                        <wps:bodyPr wrap="square" lIns="0" tIns="0" rIns="0" bIns="0" rtlCol="0">
                          <a:prstTxWarp prst="textNoShape">
                            <a:avLst/>
                          </a:prstTxWarp>
                          <a:noAutofit/>
                        </wps:bodyPr>
                      </wps:wsp>
                      <wps:wsp>
                        <wps:cNvPr id="832" name="Graphic 832"/>
                        <wps:cNvSpPr/>
                        <wps:spPr>
                          <a:xfrm>
                            <a:off x="417780" y="0"/>
                            <a:ext cx="56515" cy="67310"/>
                          </a:xfrm>
                          <a:custGeom>
                            <a:avLst/>
                            <a:gdLst/>
                            <a:ahLst/>
                            <a:cxnLst/>
                            <a:rect l="l" t="t" r="r" b="b"/>
                            <a:pathLst>
                              <a:path w="56515" h="67310">
                                <a:moveTo>
                                  <a:pt x="56076" y="67293"/>
                                </a:moveTo>
                                <a:lnTo>
                                  <a:pt x="0" y="67293"/>
                                </a:lnTo>
                                <a:lnTo>
                                  <a:pt x="0" y="0"/>
                                </a:lnTo>
                                <a:lnTo>
                                  <a:pt x="56076" y="0"/>
                                </a:lnTo>
                                <a:lnTo>
                                  <a:pt x="56076" y="6729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50A4CB7" id="Group 830" o:spid="_x0000_s1026" style="position:absolute;margin-left:483.3pt;margin-top:4.05pt;width:37.35pt;height:5.3pt;z-index:-15577088;mso-wrap-distance-left:0;mso-wrap-distance-right:0;mso-position-horizontal-relative:page" coordsize="474345,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">
                <v:shape id="Graphic 831" o:spid="_x0000_s1027" style="position:absolute;top:28840;width:417830;height:1270;visibility:visible;mso-wrap-style:square;v-text-anchor:top" coordsize="417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" path="m,l417780,e" filled="f" strokeweight=".26703mm">
                  <v:path arrowok="t"/>
                </v:shape>
                <v:shape id="Graphic 832" o:spid="_x0000_s1028" style="position:absolute;left:417780;width:56515;height:67310;visibility:visible;mso-wrap-style:square;v-text-anchor:top" coordsize="5651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" path="m56076,67293l,67293,,,56076,r,67293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39904" behindDoc="1" locked="0" layoutInCell="1" allowOverlap="1" wp14:anchorId="108F34B2" wp14:editId="5CB67F57">
                <wp:simplePos x="0" y="0"/>
                <wp:positionH relativeFrom="page">
                  <wp:posOffset>6268645</wp:posOffset>
                </wp:positionH>
                <wp:positionV relativeFrom="paragraph">
                  <wp:posOffset>205192</wp:posOffset>
                </wp:positionV>
                <wp:extent cx="285750" cy="67310"/>
                <wp:effectExtent l="0" t="0" r="0" b="0"/>
                <wp:wrapTopAndBottom/>
                <wp:docPr id="83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 cy="67310"/>
                          <a:chOff x="0" y="0"/>
                          <a:chExt cx="285750" cy="67310"/>
                        </a:xfrm>
                      </wpg:grpSpPr>
                      <wps:wsp>
                        <wps:cNvPr id="834" name="Graphic 834"/>
                        <wps:cNvSpPr/>
                        <wps:spPr>
                          <a:xfrm>
                            <a:off x="0" y="28840"/>
                            <a:ext cx="285750" cy="1270"/>
                          </a:xfrm>
                          <a:custGeom>
                            <a:avLst/>
                            <a:gdLst/>
                            <a:ahLst/>
                            <a:cxnLst/>
                            <a:rect l="l" t="t" r="r" b="b"/>
                            <a:pathLst>
                              <a:path w="285750">
                                <a:moveTo>
                                  <a:pt x="0" y="0"/>
                                </a:moveTo>
                                <a:lnTo>
                                  <a:pt x="167031" y="0"/>
                                </a:lnTo>
                              </a:path>
                              <a:path w="285750">
                                <a:moveTo>
                                  <a:pt x="223110" y="0"/>
                                </a:moveTo>
                                <a:lnTo>
                                  <a:pt x="285596" y="0"/>
                                </a:lnTo>
                              </a:path>
                            </a:pathLst>
                          </a:custGeom>
                          <a:ln w="9613">
                            <a:solidFill>
                              <a:srgbClr val="000000"/>
                            </a:solidFill>
                            <a:prstDash val="solid"/>
                          </a:ln>
                        </wps:spPr>
                        <wps:bodyPr wrap="square" lIns="0" tIns="0" rIns="0" bIns="0" rtlCol="0">
                          <a:prstTxWarp prst="textNoShape">
                            <a:avLst/>
                          </a:prstTxWarp>
                          <a:noAutofit/>
                        </wps:bodyPr>
                      </wps:wsp>
                      <wps:wsp>
                        <wps:cNvPr id="835" name="Graphic 835"/>
                        <wps:cNvSpPr/>
                        <wps:spPr>
                          <a:xfrm>
                            <a:off x="167031" y="0"/>
                            <a:ext cx="56515" cy="67310"/>
                          </a:xfrm>
                          <a:custGeom>
                            <a:avLst/>
                            <a:gdLst/>
                            <a:ahLst/>
                            <a:cxnLst/>
                            <a:rect l="l" t="t" r="r" b="b"/>
                            <a:pathLst>
                              <a:path w="56515" h="67310">
                                <a:moveTo>
                                  <a:pt x="56078" y="67293"/>
                                </a:moveTo>
                                <a:lnTo>
                                  <a:pt x="0" y="67293"/>
                                </a:lnTo>
                                <a:lnTo>
                                  <a:pt x="0" y="0"/>
                                </a:lnTo>
                                <a:lnTo>
                                  <a:pt x="56078" y="0"/>
                                </a:lnTo>
                                <a:lnTo>
                                  <a:pt x="56078" y="6729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D87EE5F" id="Group 833" o:spid="_x0000_s1026" style="position:absolute;margin-left:493.6pt;margin-top:16.15pt;width:22.5pt;height:5.3pt;z-index:-15576576;mso-wrap-distance-left:0;mso-wrap-distance-right:0;mso-position-horizontal-relative:page" coordsize="28575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">
                <v:shape id="Graphic 834" o:spid="_x0000_s1027" style="position:absolute;top:28840;width:285750;height:1270;visibility:visible;mso-wrap-style:square;v-text-anchor:top" coordsize="285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" path="m,l167031,em223110,r62486,e" filled="f" strokeweight=".26703mm">
                  <v:path arrowok="t"/>
                </v:shape>
                <v:shape id="Graphic 835" o:spid="_x0000_s1028" style="position:absolute;left:167031;width:56515;height:67310;visibility:visible;mso-wrap-style:square;v-text-anchor:top" coordsize="5651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" path="m56078,67293l,67293,,,56078,r,67293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40416" behindDoc="1" locked="0" layoutInCell="1" allowOverlap="1" wp14:anchorId="58CF8F97" wp14:editId="60400552">
                <wp:simplePos x="0" y="0"/>
                <wp:positionH relativeFrom="page">
                  <wp:posOffset>6045133</wp:posOffset>
                </wp:positionH>
                <wp:positionV relativeFrom="paragraph">
                  <wp:posOffset>359006</wp:posOffset>
                </wp:positionV>
                <wp:extent cx="510540" cy="67310"/>
                <wp:effectExtent l="0" t="0" r="0" b="0"/>
                <wp:wrapTopAndBottom/>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540" cy="67310"/>
                          <a:chOff x="0" y="0"/>
                          <a:chExt cx="510540" cy="67310"/>
                        </a:xfrm>
                      </wpg:grpSpPr>
                      <wps:wsp>
                        <wps:cNvPr id="837" name="Graphic 837"/>
                        <wps:cNvSpPr/>
                        <wps:spPr>
                          <a:xfrm>
                            <a:off x="0" y="28839"/>
                            <a:ext cx="510540" cy="1270"/>
                          </a:xfrm>
                          <a:custGeom>
                            <a:avLst/>
                            <a:gdLst/>
                            <a:ahLst/>
                            <a:cxnLst/>
                            <a:rect l="l" t="t" r="r" b="b"/>
                            <a:pathLst>
                              <a:path w="510540">
                                <a:moveTo>
                                  <a:pt x="0" y="0"/>
                                </a:moveTo>
                                <a:lnTo>
                                  <a:pt x="318441" y="0"/>
                                </a:lnTo>
                              </a:path>
                              <a:path w="510540">
                                <a:moveTo>
                                  <a:pt x="374519" y="0"/>
                                </a:moveTo>
                                <a:lnTo>
                                  <a:pt x="510309" y="0"/>
                                </a:lnTo>
                              </a:path>
                            </a:pathLst>
                          </a:custGeom>
                          <a:ln w="9613">
                            <a:solidFill>
                              <a:srgbClr val="000000"/>
                            </a:solidFill>
                            <a:prstDash val="solid"/>
                          </a:ln>
                        </wps:spPr>
                        <wps:bodyPr wrap="square" lIns="0" tIns="0" rIns="0" bIns="0" rtlCol="0">
                          <a:prstTxWarp prst="textNoShape">
                            <a:avLst/>
                          </a:prstTxWarp>
                          <a:noAutofit/>
                        </wps:bodyPr>
                      </wps:wsp>
                      <wps:wsp>
                        <wps:cNvPr id="838" name="Graphic 838"/>
                        <wps:cNvSpPr/>
                        <wps:spPr>
                          <a:xfrm>
                            <a:off x="318441" y="0"/>
                            <a:ext cx="56515" cy="67310"/>
                          </a:xfrm>
                          <a:custGeom>
                            <a:avLst/>
                            <a:gdLst/>
                            <a:ahLst/>
                            <a:cxnLst/>
                            <a:rect l="l" t="t" r="r" b="b"/>
                            <a:pathLst>
                              <a:path w="56515" h="67310">
                                <a:moveTo>
                                  <a:pt x="56077" y="67293"/>
                                </a:moveTo>
                                <a:lnTo>
                                  <a:pt x="0" y="67293"/>
                                </a:lnTo>
                                <a:lnTo>
                                  <a:pt x="0" y="0"/>
                                </a:lnTo>
                                <a:lnTo>
                                  <a:pt x="56077" y="0"/>
                                </a:lnTo>
                                <a:lnTo>
                                  <a:pt x="56077" y="6729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2B78373" id="Group 836" o:spid="_x0000_s1026" style="position:absolute;margin-left:476pt;margin-top:28.25pt;width:40.2pt;height:5.3pt;z-index:-15576064;mso-wrap-distance-left:0;mso-wrap-distance-right:0;mso-position-horizontal-relative:page" coordsize="51054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">
                <v:shape id="Graphic 837" o:spid="_x0000_s1027" style="position:absolute;top:28839;width:510540;height:1270;visibility:visible;mso-wrap-style:square;v-text-anchor:top" coordsize="510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" path="m,l318441,em374519,l510309,e" filled="f" strokeweight=".26703mm">
                  <v:path arrowok="t"/>
                </v:shape>
                <v:shape id="Graphic 838" o:spid="_x0000_s1028" style="position:absolute;left:318441;width:56515;height:67310;visibility:visible;mso-wrap-style:square;v-text-anchor:top" coordsize="5651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" path="m56077,67293l,67293,,,56077,r,67293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40928" behindDoc="1" locked="0" layoutInCell="1" allowOverlap="1" wp14:anchorId="66297AE2" wp14:editId="1318F707">
                <wp:simplePos x="0" y="0"/>
                <wp:positionH relativeFrom="page">
                  <wp:posOffset>6432471</wp:posOffset>
                </wp:positionH>
                <wp:positionV relativeFrom="paragraph">
                  <wp:posOffset>512819</wp:posOffset>
                </wp:positionV>
                <wp:extent cx="151130" cy="67310"/>
                <wp:effectExtent l="0" t="0" r="0" b="0"/>
                <wp:wrapTopAndBottom/>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67310"/>
                          <a:chOff x="0" y="0"/>
                          <a:chExt cx="151130" cy="67310"/>
                        </a:xfrm>
                      </wpg:grpSpPr>
                      <wps:wsp>
                        <wps:cNvPr id="840" name="Graphic 840"/>
                        <wps:cNvSpPr/>
                        <wps:spPr>
                          <a:xfrm>
                            <a:off x="0" y="28840"/>
                            <a:ext cx="95250" cy="1270"/>
                          </a:xfrm>
                          <a:custGeom>
                            <a:avLst/>
                            <a:gdLst/>
                            <a:ahLst/>
                            <a:cxnLst/>
                            <a:rect l="l" t="t" r="r" b="b"/>
                            <a:pathLst>
                              <a:path w="95250">
                                <a:moveTo>
                                  <a:pt x="0" y="0"/>
                                </a:moveTo>
                                <a:lnTo>
                                  <a:pt x="94930" y="0"/>
                                </a:lnTo>
                              </a:path>
                            </a:pathLst>
                          </a:custGeom>
                          <a:ln w="9613">
                            <a:solidFill>
                              <a:srgbClr val="000000"/>
                            </a:solidFill>
                            <a:prstDash val="solid"/>
                          </a:ln>
                        </wps:spPr>
                        <wps:bodyPr wrap="square" lIns="0" tIns="0" rIns="0" bIns="0" rtlCol="0">
                          <a:prstTxWarp prst="textNoShape">
                            <a:avLst/>
                          </a:prstTxWarp>
                          <a:noAutofit/>
                        </wps:bodyPr>
                      </wps:wsp>
                      <wps:wsp>
                        <wps:cNvPr id="841" name="Graphic 841"/>
                        <wps:cNvSpPr/>
                        <wps:spPr>
                          <a:xfrm>
                            <a:off x="94930" y="0"/>
                            <a:ext cx="56515" cy="67310"/>
                          </a:xfrm>
                          <a:custGeom>
                            <a:avLst/>
                            <a:gdLst/>
                            <a:ahLst/>
                            <a:cxnLst/>
                            <a:rect l="l" t="t" r="r" b="b"/>
                            <a:pathLst>
                              <a:path w="56515" h="67310">
                                <a:moveTo>
                                  <a:pt x="56077" y="67293"/>
                                </a:moveTo>
                                <a:lnTo>
                                  <a:pt x="0" y="67293"/>
                                </a:lnTo>
                                <a:lnTo>
                                  <a:pt x="0" y="0"/>
                                </a:lnTo>
                                <a:lnTo>
                                  <a:pt x="56077" y="0"/>
                                </a:lnTo>
                                <a:lnTo>
                                  <a:pt x="56077" y="6729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2E41F49" id="Group 839" o:spid="_x0000_s1026" style="position:absolute;margin-left:506.5pt;margin-top:40.4pt;width:11.9pt;height:5.3pt;z-index:-15575552;mso-wrap-distance-left:0;mso-wrap-distance-right:0;mso-position-horizontal-relative:page" coordsize="15113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">
                <v:shape id="Graphic 840" o:spid="_x0000_s1027" style="position:absolute;top:28840;width:95250;height:1270;visibility:visible;mso-wrap-style:square;v-text-anchor:top" coordsize="95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" path="m,l94930,e" filled="f" strokeweight=".26703mm">
                  <v:path arrowok="t"/>
                </v:shape>
                <v:shape id="Graphic 841" o:spid="_x0000_s1028" style="position:absolute;left:94930;width:56515;height:67310;visibility:visible;mso-wrap-style:square;v-text-anchor:top" coordsize="5651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" path="m56077,67293l,67293,,,56077,r,67293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41440" behindDoc="1" locked="0" layoutInCell="1" allowOverlap="1" wp14:anchorId="48015CAF" wp14:editId="3FC99206">
                <wp:simplePos x="0" y="0"/>
                <wp:positionH relativeFrom="page">
                  <wp:posOffset>5614533</wp:posOffset>
                </wp:positionH>
                <wp:positionV relativeFrom="paragraph">
                  <wp:posOffset>733927</wp:posOffset>
                </wp:positionV>
                <wp:extent cx="961390" cy="77470"/>
                <wp:effectExtent l="0" t="0" r="0" b="0"/>
                <wp:wrapTopAndBottom/>
                <wp:docPr id="842"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1390" cy="77470"/>
                          <a:chOff x="0" y="0"/>
                          <a:chExt cx="961390" cy="77470"/>
                        </a:xfrm>
                      </wpg:grpSpPr>
                      <wps:wsp>
                        <wps:cNvPr id="843" name="Graphic 843"/>
                        <wps:cNvSpPr/>
                        <wps:spPr>
                          <a:xfrm>
                            <a:off x="4005" y="38453"/>
                            <a:ext cx="953769" cy="1270"/>
                          </a:xfrm>
                          <a:custGeom>
                            <a:avLst/>
                            <a:gdLst/>
                            <a:ahLst/>
                            <a:cxnLst/>
                            <a:rect l="l" t="t" r="r" b="b"/>
                            <a:pathLst>
                              <a:path w="953769">
                                <a:moveTo>
                                  <a:pt x="0" y="0"/>
                                </a:moveTo>
                                <a:lnTo>
                                  <a:pt x="953324" y="0"/>
                                </a:lnTo>
                              </a:path>
                            </a:pathLst>
                          </a:custGeom>
                          <a:ln w="9613">
                            <a:solidFill>
                              <a:srgbClr val="000000"/>
                            </a:solidFill>
                            <a:prstDash val="solid"/>
                          </a:ln>
                        </wps:spPr>
                        <wps:bodyPr wrap="square" lIns="0" tIns="0" rIns="0" bIns="0" rtlCol="0">
                          <a:prstTxWarp prst="textNoShape">
                            <a:avLst/>
                          </a:prstTxWarp>
                          <a:noAutofit/>
                        </wps:bodyPr>
                      </wps:wsp>
                      <wps:wsp>
                        <wps:cNvPr id="844" name="Graphic 844"/>
                        <wps:cNvSpPr/>
                        <wps:spPr>
                          <a:xfrm>
                            <a:off x="4005" y="0"/>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845" name="Graphic 845"/>
                        <wps:cNvSpPr/>
                        <wps:spPr>
                          <a:xfrm>
                            <a:off x="194670" y="0"/>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846" name="Graphic 846"/>
                        <wps:cNvSpPr/>
                        <wps:spPr>
                          <a:xfrm>
                            <a:off x="385334" y="0"/>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847" name="Graphic 847"/>
                        <wps:cNvSpPr/>
                        <wps:spPr>
                          <a:xfrm>
                            <a:off x="575598" y="0"/>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848" name="Graphic 848"/>
                        <wps:cNvSpPr/>
                        <wps:spPr>
                          <a:xfrm>
                            <a:off x="766662" y="0"/>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849" name="Graphic 849"/>
                        <wps:cNvSpPr/>
                        <wps:spPr>
                          <a:xfrm>
                            <a:off x="957327" y="0"/>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2ADF05" id="Group 842" o:spid="_x0000_s1026" style="position:absolute;margin-left:442.1pt;margin-top:57.8pt;width:75.7pt;height:6.1pt;z-index:-15575040;mso-wrap-distance-left:0;mso-wrap-distance-right:0;mso-position-horizontal-relative:page" coordsize="961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">
                <v:shape id="Graphic 843" o:spid="_x0000_s1027" style="position:absolute;left:40;top:384;width:9537;height:13;visibility:visible;mso-wrap-style:square;v-text-anchor:top" coordsize="9537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" path="m,l953324,e" filled="f" strokeweight=".26703mm">
                  <v:path arrowok="t"/>
                </v:shape>
                <v:shape id="Graphic 844" o:spid="_x0000_s1028" style="position:absolute;left:40;width:12;height:774;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" path="m,l,76906e" filled="f" strokeweight=".22253mm">
                  <v:path arrowok="t"/>
                </v:shape>
                <v:shape id="Graphic 845" o:spid="_x0000_s1029" style="position:absolute;left:1946;width:13;height:774;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" path="m,l,76906e" filled="f" strokeweight=".22253mm">
                  <v:path arrowok="t"/>
                </v:shape>
                <v:shape id="Graphic 846" o:spid="_x0000_s1030" style="position:absolute;left:3853;width:13;height:774;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" path="m,l,76906e" filled="f" strokeweight=".22253mm">
                  <v:path arrowok="t"/>
                </v:shape>
                <v:shape id="Graphic 847" o:spid="_x0000_s1031" style="position:absolute;left:5755;width:13;height:774;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" path="m,l,76906e" filled="f" strokeweight=".22253mm">
                  <v:path arrowok="t"/>
                </v:shape>
                <v:shape id="Graphic 848" o:spid="_x0000_s1032" style="position:absolute;left:7666;width:13;height:774;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" path="m,l,76906e" filled="f" strokeweight=".22253mm">
                  <v:path arrowok="t"/>
                </v:shape>
                <v:shape id="Graphic 849" o:spid="_x0000_s1033" style="position:absolute;left:9573;width:12;height:774;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" path="m,l,76906e" filled="f" strokeweight=".22253mm">
                  <v:path arrowok="t"/>
                </v:shape>
                <w10:wrap type="topAndBottom" anchorx="page"/>
              </v:group>
            </w:pict>
          </mc:Fallback>
        </mc:AlternateContent>
      </w:r>
    </w:p>
    <w:p w14:paraId="15F44806" w14:textId="77777777" w:rsidR="00E05B98" w:rsidRPr="003C6DAE" w:rsidRDefault="00E05B98">
      <w:pPr>
        <w:pStyle w:val="a3"/>
        <w:spacing w:before="7"/>
        <w:rPr>
          <w:rFonts w:ascii="Trebuchet MS"/>
          <w:sz w:val="9"/>
          <w:lang w:val="uk-UA"/>
        </w:rPr>
      </w:pPr>
    </w:p>
    <w:p w14:paraId="577BC52D" w14:textId="77777777" w:rsidR="00E05B98" w:rsidRPr="003C6DAE" w:rsidRDefault="00E05B98">
      <w:pPr>
        <w:pStyle w:val="a3"/>
        <w:spacing w:before="7"/>
        <w:rPr>
          <w:rFonts w:ascii="Trebuchet MS"/>
          <w:sz w:val="9"/>
          <w:lang w:val="uk-UA"/>
        </w:rPr>
      </w:pPr>
    </w:p>
    <w:p w14:paraId="424835A0" w14:textId="77777777" w:rsidR="00E05B98" w:rsidRPr="003C6DAE" w:rsidRDefault="00E05B98">
      <w:pPr>
        <w:pStyle w:val="a3"/>
        <w:spacing w:before="7"/>
        <w:rPr>
          <w:rFonts w:ascii="Trebuchet MS"/>
          <w:sz w:val="9"/>
          <w:lang w:val="uk-UA"/>
        </w:rPr>
      </w:pPr>
    </w:p>
    <w:p w14:paraId="673E12A4" w14:textId="77777777" w:rsidR="00E05B98" w:rsidRPr="003C6DAE" w:rsidRDefault="00E05B98">
      <w:pPr>
        <w:pStyle w:val="a3"/>
        <w:spacing w:before="2"/>
        <w:rPr>
          <w:rFonts w:ascii="Trebuchet MS"/>
          <w:sz w:val="18"/>
          <w:lang w:val="uk-UA"/>
        </w:rPr>
      </w:pPr>
    </w:p>
    <w:p w14:paraId="535DFD69" w14:textId="77777777" w:rsidR="00E05B98" w:rsidRPr="003C6DAE" w:rsidRDefault="00B01E0C">
      <w:pPr>
        <w:ind w:left="105"/>
        <w:rPr>
          <w:rFonts w:ascii="Trebuchet MS"/>
          <w:sz w:val="18"/>
          <w:lang w:val="uk-UA"/>
        </w:rPr>
      </w:pPr>
      <w:r w:rsidRPr="003C6DAE">
        <w:rPr>
          <w:rFonts w:ascii="Trebuchet MS"/>
          <w:w w:val="85"/>
          <w:sz w:val="18"/>
          <w:lang w:val="uk-UA"/>
        </w:rPr>
        <w:t>0</w:t>
      </w:r>
      <w:r w:rsidRPr="003C6DAE">
        <w:rPr>
          <w:rFonts w:ascii="Trebuchet MS"/>
          <w:spacing w:val="47"/>
          <w:sz w:val="18"/>
          <w:lang w:val="uk-UA"/>
        </w:rPr>
        <w:t xml:space="preserve"> </w:t>
      </w:r>
      <w:r w:rsidRPr="003C6DAE">
        <w:rPr>
          <w:rFonts w:ascii="Trebuchet MS"/>
          <w:w w:val="85"/>
          <w:sz w:val="18"/>
          <w:lang w:val="uk-UA"/>
        </w:rPr>
        <w:t>0.2</w:t>
      </w:r>
      <w:r w:rsidRPr="003C6DAE">
        <w:rPr>
          <w:rFonts w:ascii="Trebuchet MS"/>
          <w:spacing w:val="30"/>
          <w:sz w:val="18"/>
          <w:lang w:val="uk-UA"/>
        </w:rPr>
        <w:t xml:space="preserve"> </w:t>
      </w:r>
      <w:r w:rsidRPr="003C6DAE">
        <w:rPr>
          <w:rFonts w:ascii="Trebuchet MS"/>
          <w:w w:val="85"/>
          <w:sz w:val="18"/>
          <w:lang w:val="uk-UA"/>
        </w:rPr>
        <w:t>0.4</w:t>
      </w:r>
      <w:r w:rsidRPr="003C6DAE">
        <w:rPr>
          <w:rFonts w:ascii="Trebuchet MS"/>
          <w:spacing w:val="30"/>
          <w:sz w:val="18"/>
          <w:lang w:val="uk-UA"/>
        </w:rPr>
        <w:t xml:space="preserve"> </w:t>
      </w:r>
      <w:r w:rsidRPr="003C6DAE">
        <w:rPr>
          <w:rFonts w:ascii="Trebuchet MS"/>
          <w:w w:val="85"/>
          <w:sz w:val="18"/>
          <w:lang w:val="uk-UA"/>
        </w:rPr>
        <w:t>0.6</w:t>
      </w:r>
      <w:r w:rsidRPr="003C6DAE">
        <w:rPr>
          <w:rFonts w:ascii="Trebuchet MS"/>
          <w:spacing w:val="30"/>
          <w:sz w:val="18"/>
          <w:lang w:val="uk-UA"/>
        </w:rPr>
        <w:t xml:space="preserve"> </w:t>
      </w:r>
      <w:r w:rsidRPr="003C6DAE">
        <w:rPr>
          <w:rFonts w:ascii="Trebuchet MS"/>
          <w:w w:val="85"/>
          <w:sz w:val="18"/>
          <w:lang w:val="uk-UA"/>
        </w:rPr>
        <w:t>0.8</w:t>
      </w:r>
      <w:r w:rsidRPr="003C6DAE">
        <w:rPr>
          <w:rFonts w:ascii="Trebuchet MS"/>
          <w:spacing w:val="48"/>
          <w:sz w:val="18"/>
          <w:lang w:val="uk-UA"/>
        </w:rPr>
        <w:t xml:space="preserve"> </w:t>
      </w:r>
      <w:r w:rsidRPr="003C6DAE">
        <w:rPr>
          <w:rFonts w:ascii="Trebuchet MS"/>
          <w:spacing w:val="-10"/>
          <w:w w:val="85"/>
          <w:sz w:val="18"/>
          <w:lang w:val="uk-UA"/>
        </w:rPr>
        <w:t>1</w:t>
      </w:r>
    </w:p>
    <w:p w14:paraId="57CF8B32" w14:textId="77777777" w:rsidR="00E05B98" w:rsidRPr="003C6DAE" w:rsidRDefault="00E05B98">
      <w:pPr>
        <w:rPr>
          <w:rFonts w:ascii="Trebuchet MS"/>
          <w:sz w:val="18"/>
          <w:lang w:val="uk-UA"/>
        </w:rPr>
        <w:sectPr w:rsidR="00E05B98" w:rsidRPr="003C6DAE">
          <w:type w:val="continuous"/>
          <w:pgSz w:w="11910" w:h="16840"/>
          <w:pgMar w:top="1920" w:right="1275" w:bottom="280" w:left="850" w:header="0" w:footer="573" w:gutter="0"/>
          <w:cols w:num="7" w:space="720" w:equalWidth="0">
            <w:col w:w="1893" w:space="40"/>
            <w:col w:w="731" w:space="39"/>
            <w:col w:w="596" w:space="40"/>
            <w:col w:w="1500" w:space="40"/>
            <w:col w:w="1462" w:space="17"/>
            <w:col w:w="1495" w:space="40"/>
            <w:col w:w="1892"/>
          </w:cols>
        </w:sectPr>
      </w:pPr>
    </w:p>
    <w:p w14:paraId="501BE623" w14:textId="231438CD" w:rsidR="00E05B98" w:rsidRPr="003C6DAE" w:rsidRDefault="00937D10">
      <w:pPr>
        <w:pStyle w:val="a3"/>
        <w:spacing w:before="9"/>
        <w:rPr>
          <w:rFonts w:ascii="Trebuchet MS"/>
          <w:sz w:val="19"/>
          <w:lang w:val="uk-UA"/>
        </w:rPr>
      </w:pPr>
      <w:r>
        <w:rPr>
          <w:noProof/>
          <w:sz w:val="16"/>
          <w:szCs w:val="16"/>
          <w:lang w:val="uk-UA"/>
        </w:rPr>
        <mc:AlternateContent>
          <mc:Choice Requires="wps">
            <w:drawing>
              <wp:anchor distT="0" distB="0" distL="114300" distR="114300" simplePos="0" relativeHeight="488198656" behindDoc="0" locked="0" layoutInCell="1" allowOverlap="1" wp14:anchorId="5C5471B6" wp14:editId="0AC56B8D">
                <wp:simplePos x="0" y="0"/>
                <wp:positionH relativeFrom="column">
                  <wp:posOffset>161925</wp:posOffset>
                </wp:positionH>
                <wp:positionV relativeFrom="paragraph">
                  <wp:posOffset>140564</wp:posOffset>
                </wp:positionV>
                <wp:extent cx="6115152" cy="307238"/>
                <wp:effectExtent l="0" t="0" r="0" b="0"/>
                <wp:wrapNone/>
                <wp:docPr id="332934437" name="Поле 332934437"/>
                <wp:cNvGraphicFramePr/>
                <a:graphic xmlns:a="http://schemas.openxmlformats.org/drawingml/2006/main">
                  <a:graphicData uri="http://schemas.microsoft.com/office/word/2010/wordprocessingShape">
                    <wps:wsp>
                      <wps:cNvSpPr txBox="1"/>
                      <wps:spPr>
                        <a:xfrm>
                          <a:off x="0" y="0"/>
                          <a:ext cx="6115152" cy="307238"/>
                        </a:xfrm>
                        <a:prstGeom prst="rect">
                          <a:avLst/>
                        </a:prstGeom>
                        <a:solidFill>
                          <a:schemeClr val="lt1"/>
                        </a:solidFill>
                        <a:ln w="6350">
                          <a:noFill/>
                        </a:ln>
                      </wps:spPr>
                      <wps:txbx>
                        <w:txbxContent>
                          <w:p w14:paraId="05E0A82A" w14:textId="0DDDCC45" w:rsidR="00937D10" w:rsidRPr="00937D10" w:rsidRDefault="00937D10" w:rsidP="00937D10">
                            <w:pPr>
                              <w:ind w:left="2160" w:hanging="2018"/>
                              <w:rPr>
                                <w:rFonts w:asciiTheme="minorHAnsi" w:hAnsiTheme="minorHAnsi" w:cstheme="minorHAnsi"/>
                                <w:sz w:val="16"/>
                                <w:szCs w:val="16"/>
                                <w:lang w:val="uk-UA"/>
                              </w:rPr>
                            </w:pPr>
                            <w:r w:rsidRPr="00937D10">
                              <w:rPr>
                                <w:rFonts w:asciiTheme="minorHAnsi" w:hAnsiTheme="minorHAnsi" w:cstheme="minorHAnsi"/>
                                <w:sz w:val="16"/>
                                <w:szCs w:val="16"/>
                                <w:lang w:val="uk-UA"/>
                              </w:rPr>
                              <w:t xml:space="preserve">Дослідження        </w:t>
                            </w:r>
                            <w:r w:rsidRPr="00937D10">
                              <w:rPr>
                                <w:rFonts w:asciiTheme="minorHAnsi" w:hAnsiTheme="minorHAnsi" w:cstheme="minorHAnsi"/>
                                <w:sz w:val="16"/>
                                <w:szCs w:val="16"/>
                              </w:rPr>
                              <w:t xml:space="preserve">TP   </w:t>
                            </w:r>
                            <w:r w:rsidRPr="00937D10">
                              <w:rPr>
                                <w:rFonts w:asciiTheme="minorHAnsi" w:hAnsiTheme="minorHAnsi" w:cstheme="minorHAnsi"/>
                                <w:sz w:val="16"/>
                                <w:szCs w:val="16"/>
                                <w:lang w:val="uk-UA"/>
                              </w:rPr>
                              <w:t xml:space="preserve"> </w:t>
                            </w:r>
                            <w:r>
                              <w:rPr>
                                <w:rFonts w:asciiTheme="minorHAnsi" w:hAnsiTheme="minorHAnsi" w:cstheme="minorHAnsi"/>
                                <w:sz w:val="16"/>
                                <w:szCs w:val="16"/>
                                <w:lang w:val="uk-UA"/>
                              </w:rPr>
                              <w:t xml:space="preserve"> </w:t>
                            </w:r>
                            <w:r w:rsidRPr="00937D10">
                              <w:rPr>
                                <w:rFonts w:asciiTheme="minorHAnsi" w:hAnsiTheme="minorHAnsi" w:cstheme="minorHAnsi"/>
                                <w:sz w:val="16"/>
                                <w:szCs w:val="16"/>
                              </w:rPr>
                              <w:t xml:space="preserve">FP   </w:t>
                            </w:r>
                            <w:r w:rsidRPr="00937D10">
                              <w:rPr>
                                <w:rFonts w:asciiTheme="minorHAnsi" w:hAnsiTheme="minorHAnsi" w:cstheme="minorHAnsi"/>
                                <w:sz w:val="16"/>
                                <w:szCs w:val="16"/>
                                <w:lang w:val="uk-UA"/>
                              </w:rPr>
                              <w:t xml:space="preserve"> </w:t>
                            </w:r>
                            <w:r w:rsidRPr="00937D10">
                              <w:rPr>
                                <w:rFonts w:asciiTheme="minorHAnsi" w:hAnsiTheme="minorHAnsi" w:cstheme="minorHAnsi"/>
                                <w:sz w:val="16"/>
                                <w:szCs w:val="16"/>
                              </w:rPr>
                              <w:t xml:space="preserve">FN  </w:t>
                            </w:r>
                            <w:r>
                              <w:rPr>
                                <w:rFonts w:asciiTheme="minorHAnsi" w:hAnsiTheme="minorHAnsi" w:cstheme="minorHAnsi"/>
                                <w:sz w:val="16"/>
                                <w:szCs w:val="16"/>
                                <w:lang w:val="uk-UA"/>
                              </w:rPr>
                              <w:t xml:space="preserve">   </w:t>
                            </w:r>
                            <w:r w:rsidRPr="00937D10">
                              <w:rPr>
                                <w:rFonts w:asciiTheme="minorHAnsi" w:hAnsiTheme="minorHAnsi" w:cstheme="minorHAnsi"/>
                                <w:sz w:val="16"/>
                                <w:szCs w:val="16"/>
                              </w:rPr>
                              <w:t xml:space="preserve">TN  </w:t>
                            </w:r>
                            <w:r>
                              <w:rPr>
                                <w:rFonts w:asciiTheme="minorHAnsi" w:hAnsiTheme="minorHAnsi" w:cstheme="minorHAnsi"/>
                                <w:sz w:val="16"/>
                                <w:szCs w:val="16"/>
                                <w:lang w:val="uk-UA"/>
                              </w:rPr>
                              <w:t xml:space="preserve">     </w:t>
                            </w:r>
                            <w:r w:rsidRPr="00937D10">
                              <w:rPr>
                                <w:rFonts w:asciiTheme="minorHAnsi" w:hAnsiTheme="minorHAnsi" w:cstheme="minorHAnsi"/>
                                <w:sz w:val="16"/>
                                <w:szCs w:val="16"/>
                                <w:lang w:val="uk-UA"/>
                              </w:rPr>
                              <w:t xml:space="preserve">Чутливість (95% ДІ) </w:t>
                            </w:r>
                            <w:r>
                              <w:rPr>
                                <w:rFonts w:asciiTheme="minorHAnsi" w:hAnsiTheme="minorHAnsi" w:cstheme="minorHAnsi"/>
                                <w:sz w:val="16"/>
                                <w:szCs w:val="16"/>
                                <w:lang w:val="uk-UA"/>
                              </w:rPr>
                              <w:t xml:space="preserve"> </w:t>
                            </w:r>
                            <w:r w:rsidRPr="00937D10">
                              <w:rPr>
                                <w:rFonts w:asciiTheme="minorHAnsi" w:hAnsiTheme="minorHAnsi" w:cstheme="minorHAnsi"/>
                                <w:sz w:val="16"/>
                                <w:szCs w:val="16"/>
                                <w:lang w:val="uk-UA"/>
                              </w:rPr>
                              <w:t xml:space="preserve">Специфічність (95% ДІ)    </w:t>
                            </w:r>
                            <w:r>
                              <w:rPr>
                                <w:rFonts w:asciiTheme="minorHAnsi" w:hAnsiTheme="minorHAnsi" w:cstheme="minorHAnsi"/>
                                <w:sz w:val="16"/>
                                <w:szCs w:val="16"/>
                                <w:lang w:val="uk-UA"/>
                              </w:rPr>
                              <w:t xml:space="preserve">   </w:t>
                            </w:r>
                            <w:r w:rsidRPr="00937D10">
                              <w:rPr>
                                <w:rFonts w:asciiTheme="minorHAnsi" w:hAnsiTheme="minorHAnsi" w:cstheme="minorHAnsi"/>
                                <w:sz w:val="16"/>
                                <w:szCs w:val="16"/>
                                <w:lang w:val="uk-UA"/>
                              </w:rPr>
                              <w:t xml:space="preserve">Чутливість (95% ДІ)   </w:t>
                            </w:r>
                            <w:r>
                              <w:rPr>
                                <w:rFonts w:asciiTheme="minorHAnsi" w:hAnsiTheme="minorHAnsi" w:cstheme="minorHAnsi"/>
                                <w:sz w:val="16"/>
                                <w:szCs w:val="16"/>
                                <w:lang w:val="uk-UA"/>
                              </w:rPr>
                              <w:t xml:space="preserve">      </w:t>
                            </w:r>
                            <w:r w:rsidRPr="00937D10">
                              <w:rPr>
                                <w:rFonts w:asciiTheme="minorHAnsi" w:hAnsiTheme="minorHAnsi" w:cstheme="minorHAnsi"/>
                                <w:sz w:val="16"/>
                                <w:szCs w:val="16"/>
                                <w:lang w:val="uk-UA"/>
                              </w:rPr>
                              <w:t>Специфічність (95% ДІ)</w:t>
                            </w:r>
                          </w:p>
                          <w:p w14:paraId="13BC31CC" w14:textId="77777777" w:rsidR="00937D10" w:rsidRDefault="00937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5471B6" id="Поле 332934437" o:spid="_x0000_s1085" type="#_x0000_t202" style="position:absolute;margin-left:12.75pt;margin-top:11.05pt;width:481.5pt;height:24.2pt;z-index:48819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" fillcolor="white [3201]" stroked="f" strokeweight=".5pt">
                <v:textbox>
                  <w:txbxContent>
                    <w:p w14:paraId="05E0A82A" w14:textId="0DDDCC45" w:rsidR="00937D10" w:rsidRPr="00937D10" w:rsidRDefault="00937D10" w:rsidP="00937D10">
                      <w:pPr>
                        <w:ind w:left="2160" w:hanging="2018"/>
                        <w:rPr>
                          <w:rFonts w:asciiTheme="minorHAnsi" w:hAnsiTheme="minorHAnsi" w:cstheme="minorHAnsi"/>
                          <w:sz w:val="16"/>
                          <w:szCs w:val="16"/>
                          <w:lang w:val="uk-UA"/>
                        </w:rPr>
                      </w:pPr>
                      <w:r w:rsidRPr="00937D10">
                        <w:rPr>
                          <w:rFonts w:asciiTheme="minorHAnsi" w:hAnsiTheme="minorHAnsi" w:cstheme="minorHAnsi"/>
                          <w:sz w:val="16"/>
                          <w:szCs w:val="16"/>
                          <w:lang w:val="uk-UA"/>
                        </w:rPr>
                        <w:t xml:space="preserve">Дослідження        </w:t>
                      </w:r>
                      <w:r w:rsidRPr="00937D10">
                        <w:rPr>
                          <w:rFonts w:asciiTheme="minorHAnsi" w:hAnsiTheme="minorHAnsi" w:cstheme="minorHAnsi"/>
                          <w:sz w:val="16"/>
                          <w:szCs w:val="16"/>
                        </w:rPr>
                        <w:t xml:space="preserve">TP   </w:t>
                      </w:r>
                      <w:r w:rsidRPr="00937D10">
                        <w:rPr>
                          <w:rFonts w:asciiTheme="minorHAnsi" w:hAnsiTheme="minorHAnsi" w:cstheme="minorHAnsi"/>
                          <w:sz w:val="16"/>
                          <w:szCs w:val="16"/>
                          <w:lang w:val="uk-UA"/>
                        </w:rPr>
                        <w:t xml:space="preserve"> </w:t>
                      </w:r>
                      <w:r>
                        <w:rPr>
                          <w:rFonts w:asciiTheme="minorHAnsi" w:hAnsiTheme="minorHAnsi" w:cstheme="minorHAnsi"/>
                          <w:sz w:val="16"/>
                          <w:szCs w:val="16"/>
                          <w:lang w:val="uk-UA"/>
                        </w:rPr>
                        <w:t xml:space="preserve"> </w:t>
                      </w:r>
                      <w:r w:rsidRPr="00937D10">
                        <w:rPr>
                          <w:rFonts w:asciiTheme="minorHAnsi" w:hAnsiTheme="minorHAnsi" w:cstheme="minorHAnsi"/>
                          <w:sz w:val="16"/>
                          <w:szCs w:val="16"/>
                        </w:rPr>
                        <w:t xml:space="preserve">FP   </w:t>
                      </w:r>
                      <w:r w:rsidRPr="00937D10">
                        <w:rPr>
                          <w:rFonts w:asciiTheme="minorHAnsi" w:hAnsiTheme="minorHAnsi" w:cstheme="minorHAnsi"/>
                          <w:sz w:val="16"/>
                          <w:szCs w:val="16"/>
                          <w:lang w:val="uk-UA"/>
                        </w:rPr>
                        <w:t xml:space="preserve"> </w:t>
                      </w:r>
                      <w:r w:rsidRPr="00937D10">
                        <w:rPr>
                          <w:rFonts w:asciiTheme="minorHAnsi" w:hAnsiTheme="minorHAnsi" w:cstheme="minorHAnsi"/>
                          <w:sz w:val="16"/>
                          <w:szCs w:val="16"/>
                        </w:rPr>
                        <w:t xml:space="preserve">FN  </w:t>
                      </w:r>
                      <w:r>
                        <w:rPr>
                          <w:rFonts w:asciiTheme="minorHAnsi" w:hAnsiTheme="minorHAnsi" w:cstheme="minorHAnsi"/>
                          <w:sz w:val="16"/>
                          <w:szCs w:val="16"/>
                          <w:lang w:val="uk-UA"/>
                        </w:rPr>
                        <w:t xml:space="preserve">   </w:t>
                      </w:r>
                      <w:r w:rsidRPr="00937D10">
                        <w:rPr>
                          <w:rFonts w:asciiTheme="minorHAnsi" w:hAnsiTheme="minorHAnsi" w:cstheme="minorHAnsi"/>
                          <w:sz w:val="16"/>
                          <w:szCs w:val="16"/>
                        </w:rPr>
                        <w:t xml:space="preserve">TN  </w:t>
                      </w:r>
                      <w:r>
                        <w:rPr>
                          <w:rFonts w:asciiTheme="minorHAnsi" w:hAnsiTheme="minorHAnsi" w:cstheme="minorHAnsi"/>
                          <w:sz w:val="16"/>
                          <w:szCs w:val="16"/>
                          <w:lang w:val="uk-UA"/>
                        </w:rPr>
                        <w:t xml:space="preserve">     </w:t>
                      </w:r>
                      <w:r w:rsidRPr="00937D10">
                        <w:rPr>
                          <w:rFonts w:asciiTheme="minorHAnsi" w:hAnsiTheme="minorHAnsi" w:cstheme="minorHAnsi"/>
                          <w:sz w:val="16"/>
                          <w:szCs w:val="16"/>
                          <w:lang w:val="uk-UA"/>
                        </w:rPr>
                        <w:t xml:space="preserve">Чутливість (95% ДІ) </w:t>
                      </w:r>
                      <w:r>
                        <w:rPr>
                          <w:rFonts w:asciiTheme="minorHAnsi" w:hAnsiTheme="minorHAnsi" w:cstheme="minorHAnsi"/>
                          <w:sz w:val="16"/>
                          <w:szCs w:val="16"/>
                          <w:lang w:val="uk-UA"/>
                        </w:rPr>
                        <w:t xml:space="preserve"> </w:t>
                      </w:r>
                      <w:r w:rsidRPr="00937D10">
                        <w:rPr>
                          <w:rFonts w:asciiTheme="minorHAnsi" w:hAnsiTheme="minorHAnsi" w:cstheme="minorHAnsi"/>
                          <w:sz w:val="16"/>
                          <w:szCs w:val="16"/>
                          <w:lang w:val="uk-UA"/>
                        </w:rPr>
                        <w:t xml:space="preserve">Специфічність (95% ДІ)    </w:t>
                      </w:r>
                      <w:r>
                        <w:rPr>
                          <w:rFonts w:asciiTheme="minorHAnsi" w:hAnsiTheme="minorHAnsi" w:cstheme="minorHAnsi"/>
                          <w:sz w:val="16"/>
                          <w:szCs w:val="16"/>
                          <w:lang w:val="uk-UA"/>
                        </w:rPr>
                        <w:t xml:space="preserve">   </w:t>
                      </w:r>
                      <w:r w:rsidRPr="00937D10">
                        <w:rPr>
                          <w:rFonts w:asciiTheme="minorHAnsi" w:hAnsiTheme="minorHAnsi" w:cstheme="minorHAnsi"/>
                          <w:sz w:val="16"/>
                          <w:szCs w:val="16"/>
                          <w:lang w:val="uk-UA"/>
                        </w:rPr>
                        <w:t xml:space="preserve">Чутливість (95% ДІ)   </w:t>
                      </w:r>
                      <w:r>
                        <w:rPr>
                          <w:rFonts w:asciiTheme="minorHAnsi" w:hAnsiTheme="minorHAnsi" w:cstheme="minorHAnsi"/>
                          <w:sz w:val="16"/>
                          <w:szCs w:val="16"/>
                          <w:lang w:val="uk-UA"/>
                        </w:rPr>
                        <w:t xml:space="preserve">      </w:t>
                      </w:r>
                      <w:r w:rsidRPr="00937D10">
                        <w:rPr>
                          <w:rFonts w:asciiTheme="minorHAnsi" w:hAnsiTheme="minorHAnsi" w:cstheme="minorHAnsi"/>
                          <w:sz w:val="16"/>
                          <w:szCs w:val="16"/>
                          <w:lang w:val="uk-UA"/>
                        </w:rPr>
                        <w:t>Специфічність (95% ДІ)</w:t>
                      </w:r>
                    </w:p>
                    <w:p w14:paraId="13BC31CC" w14:textId="77777777" w:rsidR="00937D10" w:rsidRDefault="00937D10"/>
                  </w:txbxContent>
                </v:textbox>
              </v:shape>
            </w:pict>
          </mc:Fallback>
        </mc:AlternateContent>
      </w:r>
    </w:p>
    <w:p w14:paraId="5958B8E9" w14:textId="77777777" w:rsidR="00E05B98" w:rsidRPr="003C6DAE" w:rsidRDefault="00E05B98">
      <w:pPr>
        <w:pStyle w:val="a3"/>
        <w:rPr>
          <w:rFonts w:ascii="Trebuchet MS"/>
          <w:sz w:val="19"/>
          <w:lang w:val="uk-UA"/>
        </w:rPr>
        <w:sectPr w:rsidR="00E05B98" w:rsidRPr="003C6DAE">
          <w:type w:val="continuous"/>
          <w:pgSz w:w="11910" w:h="16840"/>
          <w:pgMar w:top="1920" w:right="1275" w:bottom="280" w:left="850" w:header="0" w:footer="573" w:gutter="0"/>
          <w:cols w:space="720"/>
        </w:sectPr>
      </w:pPr>
    </w:p>
    <w:p w14:paraId="02BB7F95" w14:textId="6FFEF545" w:rsidR="00E05B98" w:rsidRPr="003C6DAE" w:rsidRDefault="00B01E0C">
      <w:pPr>
        <w:spacing w:before="105"/>
        <w:ind w:left="531"/>
        <w:rPr>
          <w:rFonts w:ascii="Trebuchet MS"/>
          <w:sz w:val="16"/>
          <w:szCs w:val="16"/>
          <w:lang w:val="uk-UA"/>
        </w:rPr>
      </w:pPr>
      <w:r w:rsidRPr="003C6DAE">
        <w:rPr>
          <w:sz w:val="16"/>
          <w:szCs w:val="16"/>
          <w:lang w:val="uk-UA"/>
        </w:rPr>
        <w:br w:type="column"/>
      </w:r>
      <w:r w:rsidRPr="003C6DAE">
        <w:rPr>
          <w:rFonts w:ascii="Trebuchet MS"/>
          <w:color w:val="333333"/>
          <w:spacing w:val="4"/>
          <w:w w:val="90"/>
          <w:sz w:val="16"/>
          <w:szCs w:val="16"/>
          <w:lang w:val="uk-UA"/>
        </w:rPr>
        <w:t xml:space="preserve"> </w:t>
      </w:r>
    </w:p>
    <w:p w14:paraId="6E1A2E0D" w14:textId="4AC11ADD" w:rsidR="00E05B98" w:rsidRPr="003C6DAE" w:rsidRDefault="00B01E0C">
      <w:pPr>
        <w:spacing w:before="105"/>
        <w:ind w:left="91"/>
        <w:rPr>
          <w:rFonts w:ascii="Trebuchet MS"/>
          <w:sz w:val="16"/>
          <w:szCs w:val="16"/>
          <w:lang w:val="uk-UA"/>
        </w:rPr>
      </w:pPr>
      <w:r w:rsidRPr="003C6DAE">
        <w:rPr>
          <w:sz w:val="16"/>
          <w:szCs w:val="16"/>
          <w:lang w:val="uk-UA"/>
        </w:rPr>
        <w:br w:type="column"/>
      </w:r>
      <w:r w:rsidRPr="003C6DAE">
        <w:rPr>
          <w:rFonts w:ascii="Trebuchet MS"/>
          <w:color w:val="333333"/>
          <w:spacing w:val="-5"/>
          <w:w w:val="85"/>
          <w:sz w:val="16"/>
          <w:szCs w:val="16"/>
          <w:lang w:val="uk-UA"/>
        </w:rPr>
        <w:t xml:space="preserve"> </w:t>
      </w:r>
    </w:p>
    <w:p w14:paraId="7D658808" w14:textId="6D3074B0" w:rsidR="00E05B98" w:rsidRPr="003C6DAE" w:rsidRDefault="00B01E0C" w:rsidP="00B06A43">
      <w:pPr>
        <w:spacing w:before="105"/>
        <w:ind w:left="126"/>
        <w:jc w:val="center"/>
        <w:rPr>
          <w:rFonts w:ascii="Trebuchet MS"/>
          <w:sz w:val="16"/>
          <w:szCs w:val="16"/>
          <w:lang w:val="uk-UA"/>
        </w:rPr>
      </w:pPr>
      <w:r w:rsidRPr="003C6DAE">
        <w:rPr>
          <w:sz w:val="16"/>
          <w:szCs w:val="16"/>
          <w:lang w:val="uk-UA"/>
        </w:rPr>
        <w:br w:type="column"/>
      </w:r>
    </w:p>
    <w:p w14:paraId="3B208D9F" w14:textId="76F96D0F" w:rsidR="00E05B98" w:rsidRPr="003C6DAE" w:rsidRDefault="00B01E0C" w:rsidP="00B06A43">
      <w:pPr>
        <w:spacing w:before="105"/>
        <w:rPr>
          <w:rFonts w:ascii="Trebuchet MS"/>
          <w:sz w:val="16"/>
          <w:szCs w:val="16"/>
          <w:lang w:val="uk-UA"/>
        </w:rPr>
      </w:pPr>
      <w:r w:rsidRPr="003C6DAE">
        <w:rPr>
          <w:sz w:val="16"/>
          <w:szCs w:val="16"/>
          <w:lang w:val="uk-UA"/>
        </w:rPr>
        <w:br w:type="column"/>
      </w:r>
    </w:p>
    <w:p w14:paraId="3BB028B1" w14:textId="14C34889" w:rsidR="00E05B98" w:rsidRPr="003C6DAE" w:rsidRDefault="00B01E0C" w:rsidP="00937D10">
      <w:pPr>
        <w:spacing w:before="105"/>
        <w:ind w:left="72"/>
        <w:jc w:val="right"/>
        <w:rPr>
          <w:rFonts w:ascii="Trebuchet MS"/>
          <w:sz w:val="19"/>
          <w:lang w:val="uk-UA"/>
        </w:rPr>
        <w:sectPr w:rsidR="00E05B98" w:rsidRPr="003C6DAE">
          <w:type w:val="continuous"/>
          <w:pgSz w:w="11910" w:h="16840"/>
          <w:pgMar w:top="1920" w:right="1275" w:bottom="280" w:left="850" w:header="0" w:footer="573" w:gutter="0"/>
          <w:cols w:num="7" w:space="720" w:equalWidth="0">
            <w:col w:w="1132" w:space="40"/>
            <w:col w:w="1082" w:space="39"/>
            <w:col w:w="634" w:space="39"/>
            <w:col w:w="1591" w:space="39"/>
            <w:col w:w="1550" w:space="39"/>
            <w:col w:w="1537" w:space="40"/>
            <w:col w:w="2023"/>
          </w:cols>
        </w:sectPr>
      </w:pPr>
      <w:r w:rsidRPr="003C6DAE">
        <w:rPr>
          <w:sz w:val="16"/>
          <w:szCs w:val="16"/>
          <w:lang w:val="uk-UA"/>
        </w:rPr>
        <w:br w:type="column"/>
      </w:r>
      <w:r w:rsidRPr="003C6DAE">
        <w:rPr>
          <w:sz w:val="16"/>
          <w:szCs w:val="16"/>
          <w:lang w:val="uk-UA"/>
        </w:rPr>
        <w:br w:type="column"/>
      </w:r>
      <w:r w:rsidR="00937D10" w:rsidRPr="003C6DAE">
        <w:rPr>
          <w:rFonts w:ascii="Trebuchet MS"/>
          <w:sz w:val="19"/>
          <w:lang w:val="uk-UA"/>
        </w:rPr>
        <w:t xml:space="preserve"> </w:t>
      </w:r>
    </w:p>
    <w:p w14:paraId="7015D614" w14:textId="0650997D" w:rsidR="00E05B98" w:rsidRPr="003C6DAE" w:rsidRDefault="00B01E0C">
      <w:pPr>
        <w:spacing w:before="69"/>
        <w:ind w:left="700"/>
        <w:rPr>
          <w:rFonts w:ascii="Trebuchet MS"/>
          <w:sz w:val="16"/>
          <w:szCs w:val="16"/>
          <w:lang w:val="uk-UA"/>
        </w:rPr>
      </w:pPr>
      <w:r w:rsidRPr="003C6DAE">
        <w:rPr>
          <w:rFonts w:ascii="Trebuchet MS"/>
          <w:w w:val="80"/>
          <w:sz w:val="16"/>
          <w:szCs w:val="16"/>
          <w:lang w:val="uk-UA"/>
        </w:rPr>
        <w:t>Jose</w:t>
      </w:r>
      <w:r w:rsidRPr="003C6DAE">
        <w:rPr>
          <w:rFonts w:ascii="Trebuchet MS"/>
          <w:sz w:val="16"/>
          <w:szCs w:val="16"/>
          <w:lang w:val="uk-UA"/>
        </w:rPr>
        <w:t xml:space="preserve"> </w:t>
      </w:r>
      <w:r w:rsidRPr="003C6DAE">
        <w:rPr>
          <w:rFonts w:ascii="Trebuchet MS"/>
          <w:spacing w:val="-4"/>
          <w:w w:val="80"/>
          <w:sz w:val="16"/>
          <w:szCs w:val="16"/>
          <w:lang w:val="uk-UA"/>
        </w:rPr>
        <w:t>2024</w:t>
      </w:r>
    </w:p>
    <w:p w14:paraId="10C2BDEC" w14:textId="77777777" w:rsidR="00E05B98" w:rsidRPr="003C6DAE" w:rsidRDefault="00B01E0C">
      <w:pPr>
        <w:tabs>
          <w:tab w:val="left" w:pos="669"/>
          <w:tab w:val="left" w:pos="1003"/>
          <w:tab w:val="left" w:pos="1337"/>
        </w:tabs>
        <w:spacing w:before="69"/>
        <w:ind w:left="335"/>
        <w:rPr>
          <w:rFonts w:ascii="Trebuchet MS"/>
          <w:sz w:val="16"/>
          <w:szCs w:val="16"/>
          <w:lang w:val="uk-UA"/>
        </w:rPr>
      </w:pPr>
      <w:r w:rsidRPr="003C6DAE">
        <w:rPr>
          <w:sz w:val="16"/>
          <w:szCs w:val="16"/>
          <w:lang w:val="uk-UA"/>
        </w:rPr>
        <w:br w:type="column"/>
      </w:r>
      <w:r w:rsidRPr="003C6DAE">
        <w:rPr>
          <w:rFonts w:ascii="Trebuchet MS"/>
          <w:spacing w:val="-10"/>
          <w:w w:val="90"/>
          <w:sz w:val="16"/>
          <w:szCs w:val="16"/>
          <w:lang w:val="uk-UA"/>
        </w:rPr>
        <w:t>0</w:t>
      </w:r>
      <w:r w:rsidRPr="003C6DAE">
        <w:rPr>
          <w:rFonts w:ascii="Trebuchet MS"/>
          <w:sz w:val="16"/>
          <w:szCs w:val="16"/>
          <w:lang w:val="uk-UA"/>
        </w:rPr>
        <w:tab/>
      </w:r>
      <w:r w:rsidRPr="003C6DAE">
        <w:rPr>
          <w:rFonts w:ascii="Trebuchet MS"/>
          <w:spacing w:val="-10"/>
          <w:w w:val="90"/>
          <w:sz w:val="16"/>
          <w:szCs w:val="16"/>
          <w:lang w:val="uk-UA"/>
        </w:rPr>
        <w:t>0</w:t>
      </w:r>
      <w:r w:rsidRPr="003C6DAE">
        <w:rPr>
          <w:rFonts w:ascii="Trebuchet MS"/>
          <w:sz w:val="16"/>
          <w:szCs w:val="16"/>
          <w:lang w:val="uk-UA"/>
        </w:rPr>
        <w:tab/>
      </w:r>
      <w:r w:rsidRPr="003C6DAE">
        <w:rPr>
          <w:rFonts w:ascii="Trebuchet MS"/>
          <w:spacing w:val="-10"/>
          <w:w w:val="90"/>
          <w:sz w:val="16"/>
          <w:szCs w:val="16"/>
          <w:lang w:val="uk-UA"/>
        </w:rPr>
        <w:t>0</w:t>
      </w:r>
      <w:r w:rsidRPr="003C6DAE">
        <w:rPr>
          <w:rFonts w:ascii="Trebuchet MS"/>
          <w:sz w:val="16"/>
          <w:szCs w:val="16"/>
          <w:lang w:val="uk-UA"/>
        </w:rPr>
        <w:tab/>
      </w:r>
      <w:r w:rsidRPr="003C6DAE">
        <w:rPr>
          <w:rFonts w:ascii="Trebuchet MS"/>
          <w:spacing w:val="-17"/>
          <w:w w:val="90"/>
          <w:sz w:val="16"/>
          <w:szCs w:val="16"/>
          <w:lang w:val="uk-UA"/>
        </w:rPr>
        <w:t>7</w:t>
      </w:r>
    </w:p>
    <w:p w14:paraId="19FCB591" w14:textId="600A7711" w:rsidR="00E05B98" w:rsidRPr="003C6DAE" w:rsidRDefault="00B01E0C" w:rsidP="005051CF">
      <w:pPr>
        <w:spacing w:before="69"/>
        <w:ind w:left="426"/>
        <w:rPr>
          <w:rFonts w:ascii="Trebuchet MS"/>
          <w:sz w:val="16"/>
          <w:szCs w:val="16"/>
          <w:lang w:val="uk-UA"/>
        </w:rPr>
      </w:pPr>
      <w:r w:rsidRPr="003C6DAE">
        <w:rPr>
          <w:sz w:val="16"/>
          <w:szCs w:val="16"/>
          <w:lang w:val="uk-UA"/>
        </w:rPr>
        <w:br w:type="column"/>
      </w:r>
      <w:r w:rsidR="001917D5" w:rsidRPr="003C6DAE">
        <w:rPr>
          <w:rFonts w:ascii="Trebuchet MS"/>
          <w:w w:val="80"/>
          <w:sz w:val="16"/>
          <w:szCs w:val="16"/>
          <w:lang w:val="uk-UA"/>
        </w:rPr>
        <w:t>Не</w:t>
      </w:r>
      <w:r w:rsidR="001917D5" w:rsidRPr="003C6DAE">
        <w:rPr>
          <w:rFonts w:ascii="Trebuchet MS"/>
          <w:w w:val="80"/>
          <w:sz w:val="16"/>
          <w:szCs w:val="16"/>
          <w:lang w:val="uk-UA"/>
        </w:rPr>
        <w:t xml:space="preserve"> </w:t>
      </w:r>
      <w:r w:rsidR="001917D5" w:rsidRPr="003C6DAE">
        <w:rPr>
          <w:rFonts w:ascii="Trebuchet MS"/>
          <w:w w:val="80"/>
          <w:sz w:val="16"/>
          <w:szCs w:val="16"/>
          <w:lang w:val="uk-UA"/>
        </w:rPr>
        <w:t>підлягає</w:t>
      </w:r>
      <w:r w:rsidR="001917D5" w:rsidRPr="003C6DAE">
        <w:rPr>
          <w:rFonts w:ascii="Trebuchet MS"/>
          <w:w w:val="80"/>
          <w:sz w:val="16"/>
          <w:szCs w:val="16"/>
          <w:lang w:val="uk-UA"/>
        </w:rPr>
        <w:t xml:space="preserve"> </w:t>
      </w:r>
      <w:r w:rsidR="001917D5" w:rsidRPr="003C6DAE">
        <w:rPr>
          <w:rFonts w:ascii="Trebuchet MS"/>
          <w:w w:val="80"/>
          <w:sz w:val="16"/>
          <w:szCs w:val="16"/>
          <w:lang w:val="uk-UA"/>
        </w:rPr>
        <w:t>оцінці</w:t>
      </w:r>
    </w:p>
    <w:p w14:paraId="0ECE4350" w14:textId="77777777" w:rsidR="00E05B98" w:rsidRPr="003C6DAE" w:rsidRDefault="00B01E0C">
      <w:pPr>
        <w:spacing w:before="69"/>
        <w:ind w:left="417"/>
        <w:rPr>
          <w:rFonts w:ascii="Trebuchet MS"/>
          <w:sz w:val="16"/>
          <w:szCs w:val="16"/>
          <w:lang w:val="uk-UA"/>
        </w:rPr>
      </w:pPr>
      <w:r w:rsidRPr="003C6DAE">
        <w:rPr>
          <w:sz w:val="16"/>
          <w:szCs w:val="16"/>
          <w:lang w:val="uk-UA"/>
        </w:rPr>
        <w:br w:type="column"/>
      </w:r>
      <w:r w:rsidRPr="003C6DAE">
        <w:rPr>
          <w:rFonts w:ascii="Trebuchet MS"/>
          <w:w w:val="70"/>
          <w:sz w:val="16"/>
          <w:szCs w:val="16"/>
          <w:lang w:val="uk-UA"/>
        </w:rPr>
        <w:t>1.00</w:t>
      </w:r>
      <w:r w:rsidRPr="003C6DAE">
        <w:rPr>
          <w:rFonts w:ascii="Trebuchet MS"/>
          <w:spacing w:val="26"/>
          <w:sz w:val="16"/>
          <w:szCs w:val="16"/>
          <w:lang w:val="uk-UA"/>
        </w:rPr>
        <w:t xml:space="preserve"> </w:t>
      </w:r>
      <w:r w:rsidRPr="003C6DAE">
        <w:rPr>
          <w:rFonts w:ascii="Trebuchet MS"/>
          <w:w w:val="70"/>
          <w:sz w:val="16"/>
          <w:szCs w:val="16"/>
          <w:lang w:val="uk-UA"/>
        </w:rPr>
        <w:t>[0.59,</w:t>
      </w:r>
      <w:r w:rsidRPr="003C6DAE">
        <w:rPr>
          <w:rFonts w:ascii="Trebuchet MS"/>
          <w:spacing w:val="33"/>
          <w:sz w:val="16"/>
          <w:szCs w:val="16"/>
          <w:lang w:val="uk-UA"/>
        </w:rPr>
        <w:t xml:space="preserve"> </w:t>
      </w:r>
      <w:r w:rsidRPr="003C6DAE">
        <w:rPr>
          <w:rFonts w:ascii="Trebuchet MS"/>
          <w:spacing w:val="-2"/>
          <w:w w:val="70"/>
          <w:sz w:val="16"/>
          <w:szCs w:val="16"/>
          <w:lang w:val="uk-UA"/>
        </w:rPr>
        <w:t>1.00]</w:t>
      </w:r>
    </w:p>
    <w:p w14:paraId="19F8FA0E" w14:textId="77777777" w:rsidR="00E05B98" w:rsidRPr="003C6DAE" w:rsidRDefault="00B01E0C">
      <w:pPr>
        <w:spacing w:before="5"/>
        <w:rPr>
          <w:rFonts w:ascii="Trebuchet MS"/>
          <w:sz w:val="16"/>
          <w:szCs w:val="16"/>
          <w:lang w:val="uk-UA"/>
        </w:rPr>
      </w:pPr>
      <w:r w:rsidRPr="003C6DAE">
        <w:rPr>
          <w:sz w:val="16"/>
          <w:szCs w:val="16"/>
          <w:lang w:val="uk-UA"/>
        </w:rPr>
        <w:br w:type="column"/>
      </w:r>
    </w:p>
    <w:p w14:paraId="7F9DA214" w14:textId="77777777" w:rsidR="00E05B98" w:rsidRPr="003C6DAE" w:rsidRDefault="00B01E0C">
      <w:pPr>
        <w:pStyle w:val="a3"/>
        <w:spacing w:line="142" w:lineRule="exact"/>
        <w:ind w:left="3" w:right="-87"/>
        <w:rPr>
          <w:rFonts w:ascii="Trebuchet MS"/>
          <w:position w:val="-2"/>
          <w:sz w:val="16"/>
          <w:szCs w:val="16"/>
          <w:lang w:val="uk-UA"/>
        </w:rPr>
      </w:pPr>
      <w:r w:rsidRPr="003C6DAE">
        <w:rPr>
          <w:rFonts w:ascii="Trebuchet MS"/>
          <w:noProof/>
          <w:position w:val="-2"/>
          <w:sz w:val="16"/>
          <w:szCs w:val="16"/>
          <w:lang w:val="uk-UA"/>
        </w:rPr>
        <mc:AlternateContent>
          <mc:Choice Requires="wpg">
            <w:drawing>
              <wp:inline distT="0" distB="0" distL="0" distR="0" wp14:anchorId="75A1BA35" wp14:editId="587180C2">
                <wp:extent cx="1018540" cy="81915"/>
                <wp:effectExtent l="9525" t="0" r="0" b="3809"/>
                <wp:docPr id="850"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540" cy="81915"/>
                          <a:chOff x="0" y="0"/>
                          <a:chExt cx="1018540" cy="81915"/>
                        </a:xfrm>
                      </wpg:grpSpPr>
                      <wps:wsp>
                        <wps:cNvPr id="851" name="Graphic 851"/>
                        <wps:cNvSpPr/>
                        <wps:spPr>
                          <a:xfrm>
                            <a:off x="4241" y="40718"/>
                            <a:ext cx="1009650" cy="1270"/>
                          </a:xfrm>
                          <a:custGeom>
                            <a:avLst/>
                            <a:gdLst/>
                            <a:ahLst/>
                            <a:cxnLst/>
                            <a:rect l="l" t="t" r="r" b="b"/>
                            <a:pathLst>
                              <a:path w="1009650">
                                <a:moveTo>
                                  <a:pt x="0" y="0"/>
                                </a:moveTo>
                                <a:lnTo>
                                  <a:pt x="1009484" y="0"/>
                                </a:lnTo>
                              </a:path>
                            </a:pathLst>
                          </a:custGeom>
                          <a:ln w="10179">
                            <a:solidFill>
                              <a:srgbClr val="000000"/>
                            </a:solidFill>
                            <a:prstDash val="solid"/>
                          </a:ln>
                        </wps:spPr>
                        <wps:bodyPr wrap="square" lIns="0" tIns="0" rIns="0" bIns="0" rtlCol="0">
                          <a:prstTxWarp prst="textNoShape">
                            <a:avLst/>
                          </a:prstTxWarp>
                          <a:noAutofit/>
                        </wps:bodyPr>
                      </wps:wsp>
                      <wps:wsp>
                        <wps:cNvPr id="852" name="Graphic 852"/>
                        <wps:cNvSpPr/>
                        <wps:spPr>
                          <a:xfrm>
                            <a:off x="4241" y="0"/>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853" name="Graphic 853"/>
                        <wps:cNvSpPr/>
                        <wps:spPr>
                          <a:xfrm>
                            <a:off x="206138" y="0"/>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854" name="Graphic 854"/>
                        <wps:cNvSpPr/>
                        <wps:spPr>
                          <a:xfrm>
                            <a:off x="408035" y="0"/>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855" name="Graphic 855"/>
                        <wps:cNvSpPr/>
                        <wps:spPr>
                          <a:xfrm>
                            <a:off x="609507" y="0"/>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856" name="Graphic 856"/>
                        <wps:cNvSpPr/>
                        <wps:spPr>
                          <a:xfrm>
                            <a:off x="811828" y="0"/>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857" name="Graphic 857"/>
                        <wps:cNvSpPr/>
                        <wps:spPr>
                          <a:xfrm>
                            <a:off x="1013725" y="0"/>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69A1B7" id="Group 850" o:spid="_x0000_s1026" style="width:80.2pt;height:6.45pt;mso-position-horizontal-relative:char;mso-position-vertical-relative:line" coordsize="1018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">
                <v:shape id="Graphic 851" o:spid="_x0000_s1027" style="position:absolute;left:42;top:407;width:10096;height:12;visibility:visible;mso-wrap-style:square;v-text-anchor:top" coordsize="1009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" path="m,l1009484,e" filled="f" strokeweight=".28275mm">
                  <v:path arrowok="t"/>
                </v:shape>
                <v:shape id="Graphic 852" o:spid="_x0000_s1028" style="position:absolute;left:42;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" path="m,l,81437e" filled="f" strokeweight=".23564mm">
                  <v:path arrowok="t"/>
                </v:shape>
                <v:shape id="Graphic 853" o:spid="_x0000_s1029" style="position:absolute;left:2061;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" path="m,l,81437e" filled="f" strokeweight=".23564mm">
                  <v:path arrowok="t"/>
                </v:shape>
                <v:shape id="Graphic 854" o:spid="_x0000_s1030" style="position:absolute;left:4080;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" path="m,l,81437e" filled="f" strokeweight=".23564mm">
                  <v:path arrowok="t"/>
                </v:shape>
                <v:shape id="Graphic 855" o:spid="_x0000_s1031" style="position:absolute;left:6095;width:12;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" path="m,l,81437e" filled="f" strokeweight=".23564mm">
                  <v:path arrowok="t"/>
                </v:shape>
                <v:shape id="Graphic 856" o:spid="_x0000_s1032" style="position:absolute;left:8118;width:12;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" path="m,l,81437e" filled="f" strokeweight=".23564mm">
                  <v:path arrowok="t"/>
                </v:shape>
                <v:shape id="Graphic 857" o:spid="_x0000_s1033" style="position:absolute;left:10137;width:12;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" path="m,l,81437e" filled="f" strokeweight=".23564mm">
                  <v:path arrowok="t"/>
                </v:shape>
                <w10:anchorlock/>
              </v:group>
            </w:pict>
          </mc:Fallback>
        </mc:AlternateContent>
      </w:r>
    </w:p>
    <w:p w14:paraId="5D5FE5E8" w14:textId="77777777" w:rsidR="00E05B98" w:rsidRPr="003C6DAE" w:rsidRDefault="00B01E0C">
      <w:pPr>
        <w:ind w:left="12"/>
        <w:rPr>
          <w:rFonts w:ascii="Trebuchet MS"/>
          <w:sz w:val="16"/>
          <w:szCs w:val="16"/>
          <w:lang w:val="uk-UA"/>
        </w:rPr>
      </w:pPr>
      <w:r w:rsidRPr="003C6DAE">
        <w:rPr>
          <w:rFonts w:ascii="Trebuchet MS"/>
          <w:w w:val="85"/>
          <w:sz w:val="16"/>
          <w:szCs w:val="16"/>
          <w:lang w:val="uk-UA"/>
        </w:rPr>
        <w:t>0</w:t>
      </w:r>
      <w:r w:rsidRPr="003C6DAE">
        <w:rPr>
          <w:rFonts w:ascii="Trebuchet MS"/>
          <w:spacing w:val="51"/>
          <w:sz w:val="16"/>
          <w:szCs w:val="16"/>
          <w:lang w:val="uk-UA"/>
        </w:rPr>
        <w:t xml:space="preserve"> </w:t>
      </w:r>
      <w:r w:rsidRPr="003C6DAE">
        <w:rPr>
          <w:rFonts w:ascii="Trebuchet MS"/>
          <w:w w:val="85"/>
          <w:sz w:val="16"/>
          <w:szCs w:val="16"/>
          <w:lang w:val="uk-UA"/>
        </w:rPr>
        <w:t>0.2</w:t>
      </w:r>
      <w:r w:rsidRPr="003C6DAE">
        <w:rPr>
          <w:rFonts w:ascii="Trebuchet MS"/>
          <w:spacing w:val="33"/>
          <w:sz w:val="16"/>
          <w:szCs w:val="16"/>
          <w:lang w:val="uk-UA"/>
        </w:rPr>
        <w:t xml:space="preserve"> </w:t>
      </w:r>
      <w:r w:rsidRPr="003C6DAE">
        <w:rPr>
          <w:rFonts w:ascii="Trebuchet MS"/>
          <w:w w:val="85"/>
          <w:sz w:val="16"/>
          <w:szCs w:val="16"/>
          <w:lang w:val="uk-UA"/>
        </w:rPr>
        <w:t>0.4</w:t>
      </w:r>
      <w:r w:rsidRPr="003C6DAE">
        <w:rPr>
          <w:rFonts w:ascii="Trebuchet MS"/>
          <w:spacing w:val="32"/>
          <w:sz w:val="16"/>
          <w:szCs w:val="16"/>
          <w:lang w:val="uk-UA"/>
        </w:rPr>
        <w:t xml:space="preserve"> </w:t>
      </w:r>
      <w:r w:rsidRPr="003C6DAE">
        <w:rPr>
          <w:rFonts w:ascii="Trebuchet MS"/>
          <w:w w:val="85"/>
          <w:sz w:val="16"/>
          <w:szCs w:val="16"/>
          <w:lang w:val="uk-UA"/>
        </w:rPr>
        <w:t>0.6</w:t>
      </w:r>
      <w:r w:rsidRPr="003C6DAE">
        <w:rPr>
          <w:rFonts w:ascii="Trebuchet MS"/>
          <w:spacing w:val="33"/>
          <w:sz w:val="16"/>
          <w:szCs w:val="16"/>
          <w:lang w:val="uk-UA"/>
        </w:rPr>
        <w:t xml:space="preserve"> </w:t>
      </w:r>
      <w:r w:rsidRPr="003C6DAE">
        <w:rPr>
          <w:rFonts w:ascii="Trebuchet MS"/>
          <w:w w:val="85"/>
          <w:sz w:val="16"/>
          <w:szCs w:val="16"/>
          <w:lang w:val="uk-UA"/>
        </w:rPr>
        <w:t>0.8</w:t>
      </w:r>
      <w:r w:rsidRPr="003C6DAE">
        <w:rPr>
          <w:rFonts w:ascii="Trebuchet MS"/>
          <w:spacing w:val="52"/>
          <w:sz w:val="16"/>
          <w:szCs w:val="16"/>
          <w:lang w:val="uk-UA"/>
        </w:rPr>
        <w:t xml:space="preserve"> </w:t>
      </w:r>
      <w:r w:rsidRPr="003C6DAE">
        <w:rPr>
          <w:rFonts w:ascii="Trebuchet MS"/>
          <w:spacing w:val="-10"/>
          <w:w w:val="85"/>
          <w:sz w:val="16"/>
          <w:szCs w:val="16"/>
          <w:lang w:val="uk-UA"/>
        </w:rPr>
        <w:t>1</w:t>
      </w:r>
    </w:p>
    <w:p w14:paraId="4303CCDF" w14:textId="77777777" w:rsidR="00E05B98" w:rsidRPr="003C6DAE" w:rsidRDefault="00B01E0C">
      <w:pPr>
        <w:spacing w:before="4" w:after="24"/>
        <w:rPr>
          <w:rFonts w:ascii="Trebuchet MS"/>
          <w:sz w:val="16"/>
          <w:szCs w:val="16"/>
          <w:lang w:val="uk-UA"/>
        </w:rPr>
      </w:pPr>
      <w:r w:rsidRPr="003C6DAE">
        <w:rPr>
          <w:sz w:val="16"/>
          <w:szCs w:val="16"/>
          <w:lang w:val="uk-UA"/>
        </w:rPr>
        <w:br w:type="column"/>
      </w:r>
    </w:p>
    <w:p w14:paraId="03D76DD1" w14:textId="77777777" w:rsidR="00E05B98" w:rsidRPr="003C6DAE" w:rsidRDefault="00B01E0C">
      <w:pPr>
        <w:pStyle w:val="a3"/>
        <w:ind w:left="104"/>
        <w:rPr>
          <w:rFonts w:ascii="Trebuchet MS"/>
          <w:sz w:val="16"/>
          <w:szCs w:val="16"/>
          <w:lang w:val="uk-UA"/>
        </w:rPr>
      </w:pPr>
      <w:r w:rsidRPr="003C6DAE">
        <w:rPr>
          <w:rFonts w:ascii="Trebuchet MS"/>
          <w:noProof/>
          <w:sz w:val="16"/>
          <w:szCs w:val="16"/>
          <w:lang w:val="uk-UA"/>
        </w:rPr>
        <mc:AlternateContent>
          <mc:Choice Requires="wpg">
            <w:drawing>
              <wp:inline distT="0" distB="0" distL="0" distR="0" wp14:anchorId="156575E9" wp14:editId="7069208B">
                <wp:extent cx="1056640" cy="153035"/>
                <wp:effectExtent l="9525" t="0" r="0" b="8889"/>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6640" cy="153035"/>
                          <a:chOff x="0" y="0"/>
                          <a:chExt cx="1056640" cy="153035"/>
                        </a:xfrm>
                      </wpg:grpSpPr>
                      <wps:wsp>
                        <wps:cNvPr id="859" name="Graphic 859"/>
                        <wps:cNvSpPr/>
                        <wps:spPr>
                          <a:xfrm>
                            <a:off x="604842" y="30538"/>
                            <a:ext cx="392430" cy="1270"/>
                          </a:xfrm>
                          <a:custGeom>
                            <a:avLst/>
                            <a:gdLst/>
                            <a:ahLst/>
                            <a:cxnLst/>
                            <a:rect l="l" t="t" r="r" b="b"/>
                            <a:pathLst>
                              <a:path w="392430">
                                <a:moveTo>
                                  <a:pt x="0" y="0"/>
                                </a:moveTo>
                                <a:lnTo>
                                  <a:pt x="391918" y="0"/>
                                </a:lnTo>
                              </a:path>
                            </a:pathLst>
                          </a:custGeom>
                          <a:ln w="10179">
                            <a:solidFill>
                              <a:srgbClr val="000000"/>
                            </a:solidFill>
                            <a:prstDash val="solid"/>
                          </a:ln>
                        </wps:spPr>
                        <wps:bodyPr wrap="square" lIns="0" tIns="0" rIns="0" bIns="0" rtlCol="0">
                          <a:prstTxWarp prst="textNoShape">
                            <a:avLst/>
                          </a:prstTxWarp>
                          <a:noAutofit/>
                        </wps:bodyPr>
                      </wps:wsp>
                      <wps:wsp>
                        <wps:cNvPr id="860" name="Graphic 860"/>
                        <wps:cNvSpPr/>
                        <wps:spPr>
                          <a:xfrm>
                            <a:off x="996761" y="0"/>
                            <a:ext cx="59690" cy="71755"/>
                          </a:xfrm>
                          <a:custGeom>
                            <a:avLst/>
                            <a:gdLst/>
                            <a:ahLst/>
                            <a:cxnLst/>
                            <a:rect l="l" t="t" r="r" b="b"/>
                            <a:pathLst>
                              <a:path w="59690" h="71755">
                                <a:moveTo>
                                  <a:pt x="59381" y="71257"/>
                                </a:moveTo>
                                <a:lnTo>
                                  <a:pt x="0" y="71257"/>
                                </a:lnTo>
                                <a:lnTo>
                                  <a:pt x="0" y="0"/>
                                </a:lnTo>
                                <a:lnTo>
                                  <a:pt x="59381" y="0"/>
                                </a:lnTo>
                                <a:lnTo>
                                  <a:pt x="59381" y="71257"/>
                                </a:lnTo>
                                <a:close/>
                              </a:path>
                            </a:pathLst>
                          </a:custGeom>
                          <a:solidFill>
                            <a:srgbClr val="0000C0"/>
                          </a:solidFill>
                        </wps:spPr>
                        <wps:bodyPr wrap="square" lIns="0" tIns="0" rIns="0" bIns="0" rtlCol="0">
                          <a:prstTxWarp prst="textNoShape">
                            <a:avLst/>
                          </a:prstTxWarp>
                          <a:noAutofit/>
                        </wps:bodyPr>
                      </wps:wsp>
                      <wps:wsp>
                        <wps:cNvPr id="861" name="Graphic 861"/>
                        <wps:cNvSpPr/>
                        <wps:spPr>
                          <a:xfrm>
                            <a:off x="4241" y="111975"/>
                            <a:ext cx="1009650" cy="1270"/>
                          </a:xfrm>
                          <a:custGeom>
                            <a:avLst/>
                            <a:gdLst/>
                            <a:ahLst/>
                            <a:cxnLst/>
                            <a:rect l="l" t="t" r="r" b="b"/>
                            <a:pathLst>
                              <a:path w="1009650">
                                <a:moveTo>
                                  <a:pt x="0" y="0"/>
                                </a:moveTo>
                                <a:lnTo>
                                  <a:pt x="1009484" y="0"/>
                                </a:lnTo>
                              </a:path>
                            </a:pathLst>
                          </a:custGeom>
                          <a:ln w="10179">
                            <a:solidFill>
                              <a:srgbClr val="000000"/>
                            </a:solidFill>
                            <a:prstDash val="solid"/>
                          </a:ln>
                        </wps:spPr>
                        <wps:bodyPr wrap="square" lIns="0" tIns="0" rIns="0" bIns="0" rtlCol="0">
                          <a:prstTxWarp prst="textNoShape">
                            <a:avLst/>
                          </a:prstTxWarp>
                          <a:noAutofit/>
                        </wps:bodyPr>
                      </wps:wsp>
                      <wps:wsp>
                        <wps:cNvPr id="862" name="Graphic 862"/>
                        <wps:cNvSpPr/>
                        <wps:spPr>
                          <a:xfrm>
                            <a:off x="4241" y="71257"/>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863" name="Graphic 863"/>
                        <wps:cNvSpPr/>
                        <wps:spPr>
                          <a:xfrm>
                            <a:off x="206138" y="71257"/>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864" name="Graphic 864"/>
                        <wps:cNvSpPr/>
                        <wps:spPr>
                          <a:xfrm>
                            <a:off x="408035" y="71257"/>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865" name="Graphic 865"/>
                        <wps:cNvSpPr/>
                        <wps:spPr>
                          <a:xfrm>
                            <a:off x="609508" y="71257"/>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866" name="Graphic 866"/>
                        <wps:cNvSpPr/>
                        <wps:spPr>
                          <a:xfrm>
                            <a:off x="811829" y="71257"/>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867" name="Graphic 867"/>
                        <wps:cNvSpPr/>
                        <wps:spPr>
                          <a:xfrm>
                            <a:off x="1013725" y="71257"/>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0C6608" id="Group 858" o:spid="_x0000_s1026" style="width:83.2pt;height:12.05pt;mso-position-horizontal-relative:char;mso-position-vertical-relative:line" coordsize="10566,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">
                <v:shape id="Graphic 859" o:spid="_x0000_s1027" style="position:absolute;left:6048;top:305;width:3924;height:13;visibility:visible;mso-wrap-style:square;v-text-anchor:top" coordsize="392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" path="m,l391918,e" filled="f" strokeweight=".28275mm">
                  <v:path arrowok="t"/>
                </v:shape>
                <v:shape id="Graphic 860" o:spid="_x0000_s1028" style="position:absolute;left:9967;width:597;height:717;visibility:visible;mso-wrap-style:square;v-text-anchor:top" coordsize="5969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" path="m59381,71257l,71257,,,59381,r,71257xe" fillcolor="#0000c0" stroked="f">
                  <v:path arrowok="t"/>
                </v:shape>
                <v:shape id="Graphic 861" o:spid="_x0000_s1029" style="position:absolute;left:42;top:1119;width:10096;height:13;visibility:visible;mso-wrap-style:square;v-text-anchor:top" coordsize="1009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" path="m,l1009484,e" filled="f" strokeweight=".28275mm">
                  <v:path arrowok="t"/>
                </v:shape>
                <v:shape id="Graphic 862" o:spid="_x0000_s1030" style="position:absolute;left:42;top:712;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" path="m,l,81437e" filled="f" strokeweight=".23564mm">
                  <v:path arrowok="t"/>
                </v:shape>
                <v:shape id="Graphic 863" o:spid="_x0000_s1031" style="position:absolute;left:2061;top:712;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" path="m,l,81437e" filled="f" strokeweight=".23564mm">
                  <v:path arrowok="t"/>
                </v:shape>
                <v:shape id="Graphic 864" o:spid="_x0000_s1032" style="position:absolute;left:4080;top:712;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" path="m,l,81437e" filled="f" strokeweight=".23564mm">
                  <v:path arrowok="t"/>
                </v:shape>
                <v:shape id="Graphic 865" o:spid="_x0000_s1033" style="position:absolute;left:6095;top:712;width:12;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" path="m,l,81437e" filled="f" strokeweight=".23564mm">
                  <v:path arrowok="t"/>
                </v:shape>
                <v:shape id="Graphic 866" o:spid="_x0000_s1034" style="position:absolute;left:8118;top:712;width:12;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" path="m,l,81437e" filled="f" strokeweight=".23564mm">
                  <v:path arrowok="t"/>
                </v:shape>
                <v:shape id="Graphic 867" o:spid="_x0000_s1035" style="position:absolute;left:10137;top:712;width:12;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" path="m,l,81437e" filled="f" strokeweight=".23564mm">
                  <v:path arrowok="t"/>
                </v:shape>
                <w10:anchorlock/>
              </v:group>
            </w:pict>
          </mc:Fallback>
        </mc:AlternateContent>
      </w:r>
    </w:p>
    <w:p w14:paraId="7A9CA67E" w14:textId="77777777" w:rsidR="00E05B98" w:rsidRPr="003C6DAE" w:rsidRDefault="00B01E0C">
      <w:pPr>
        <w:ind w:left="113"/>
        <w:rPr>
          <w:rFonts w:ascii="Trebuchet MS"/>
          <w:sz w:val="16"/>
          <w:szCs w:val="16"/>
          <w:lang w:val="uk-UA"/>
        </w:rPr>
      </w:pPr>
      <w:r w:rsidRPr="003C6DAE">
        <w:rPr>
          <w:rFonts w:ascii="Trebuchet MS"/>
          <w:w w:val="85"/>
          <w:sz w:val="16"/>
          <w:szCs w:val="16"/>
          <w:lang w:val="uk-UA"/>
        </w:rPr>
        <w:t>0</w:t>
      </w:r>
      <w:r w:rsidRPr="003C6DAE">
        <w:rPr>
          <w:rFonts w:ascii="Trebuchet MS"/>
          <w:spacing w:val="51"/>
          <w:sz w:val="16"/>
          <w:szCs w:val="16"/>
          <w:lang w:val="uk-UA"/>
        </w:rPr>
        <w:t xml:space="preserve"> </w:t>
      </w:r>
      <w:r w:rsidRPr="003C6DAE">
        <w:rPr>
          <w:rFonts w:ascii="Trebuchet MS"/>
          <w:w w:val="85"/>
          <w:sz w:val="16"/>
          <w:szCs w:val="16"/>
          <w:lang w:val="uk-UA"/>
        </w:rPr>
        <w:t>0.2</w:t>
      </w:r>
      <w:r w:rsidRPr="003C6DAE">
        <w:rPr>
          <w:rFonts w:ascii="Trebuchet MS"/>
          <w:spacing w:val="33"/>
          <w:sz w:val="16"/>
          <w:szCs w:val="16"/>
          <w:lang w:val="uk-UA"/>
        </w:rPr>
        <w:t xml:space="preserve"> </w:t>
      </w:r>
      <w:r w:rsidRPr="003C6DAE">
        <w:rPr>
          <w:rFonts w:ascii="Trebuchet MS"/>
          <w:w w:val="85"/>
          <w:sz w:val="16"/>
          <w:szCs w:val="16"/>
          <w:lang w:val="uk-UA"/>
        </w:rPr>
        <w:t>0.4</w:t>
      </w:r>
      <w:r w:rsidRPr="003C6DAE">
        <w:rPr>
          <w:rFonts w:ascii="Trebuchet MS"/>
          <w:spacing w:val="32"/>
          <w:sz w:val="16"/>
          <w:szCs w:val="16"/>
          <w:lang w:val="uk-UA"/>
        </w:rPr>
        <w:t xml:space="preserve"> </w:t>
      </w:r>
      <w:r w:rsidRPr="003C6DAE">
        <w:rPr>
          <w:rFonts w:ascii="Trebuchet MS"/>
          <w:w w:val="85"/>
          <w:sz w:val="16"/>
          <w:szCs w:val="16"/>
          <w:lang w:val="uk-UA"/>
        </w:rPr>
        <w:t>0.6</w:t>
      </w:r>
      <w:r w:rsidRPr="003C6DAE">
        <w:rPr>
          <w:rFonts w:ascii="Trebuchet MS"/>
          <w:spacing w:val="33"/>
          <w:sz w:val="16"/>
          <w:szCs w:val="16"/>
          <w:lang w:val="uk-UA"/>
        </w:rPr>
        <w:t xml:space="preserve"> </w:t>
      </w:r>
      <w:r w:rsidRPr="003C6DAE">
        <w:rPr>
          <w:rFonts w:ascii="Trebuchet MS"/>
          <w:w w:val="85"/>
          <w:sz w:val="16"/>
          <w:szCs w:val="16"/>
          <w:lang w:val="uk-UA"/>
        </w:rPr>
        <w:t>0.8</w:t>
      </w:r>
      <w:r w:rsidRPr="003C6DAE">
        <w:rPr>
          <w:rFonts w:ascii="Trebuchet MS"/>
          <w:spacing w:val="52"/>
          <w:sz w:val="16"/>
          <w:szCs w:val="16"/>
          <w:lang w:val="uk-UA"/>
        </w:rPr>
        <w:t xml:space="preserve"> </w:t>
      </w:r>
      <w:r w:rsidRPr="003C6DAE">
        <w:rPr>
          <w:rFonts w:ascii="Trebuchet MS"/>
          <w:spacing w:val="-10"/>
          <w:w w:val="85"/>
          <w:sz w:val="16"/>
          <w:szCs w:val="16"/>
          <w:lang w:val="uk-UA"/>
        </w:rPr>
        <w:t>1</w:t>
      </w:r>
    </w:p>
    <w:p w14:paraId="66AC191F" w14:textId="77777777" w:rsidR="00E05B98" w:rsidRPr="003C6DAE" w:rsidRDefault="00E05B98">
      <w:pPr>
        <w:rPr>
          <w:rFonts w:ascii="Trebuchet MS"/>
          <w:sz w:val="16"/>
          <w:szCs w:val="16"/>
          <w:lang w:val="uk-UA"/>
        </w:rPr>
        <w:sectPr w:rsidR="00E05B98" w:rsidRPr="003C6DAE">
          <w:type w:val="continuous"/>
          <w:pgSz w:w="11910" w:h="16840"/>
          <w:pgMar w:top="1920" w:right="1275" w:bottom="280" w:left="850" w:header="0" w:footer="573" w:gutter="0"/>
          <w:cols w:num="6" w:space="720" w:equalWidth="0">
            <w:col w:w="1439" w:space="40"/>
            <w:col w:w="1421" w:space="39"/>
            <w:col w:w="1558" w:space="39"/>
            <w:col w:w="1578" w:space="39"/>
            <w:col w:w="1595" w:space="39"/>
            <w:col w:w="1998"/>
          </w:cols>
        </w:sectPr>
      </w:pPr>
    </w:p>
    <w:p w14:paraId="734CA315" w14:textId="3E3626E9" w:rsidR="00E05B98" w:rsidRPr="003C6DAE" w:rsidRDefault="00E05B98">
      <w:pPr>
        <w:pStyle w:val="a3"/>
        <w:spacing w:before="96"/>
        <w:rPr>
          <w:rFonts w:ascii="Trebuchet MS"/>
          <w:sz w:val="16"/>
          <w:szCs w:val="16"/>
          <w:lang w:val="uk-UA"/>
        </w:rPr>
      </w:pPr>
    </w:p>
    <w:p w14:paraId="5E196140" w14:textId="77777777" w:rsidR="00E05B98" w:rsidRPr="003C6DAE" w:rsidRDefault="00E05B98">
      <w:pPr>
        <w:pStyle w:val="a3"/>
        <w:rPr>
          <w:rFonts w:ascii="Trebuchet MS"/>
          <w:sz w:val="16"/>
          <w:szCs w:val="16"/>
          <w:lang w:val="uk-UA"/>
        </w:rPr>
        <w:sectPr w:rsidR="00E05B98" w:rsidRPr="003C6DAE">
          <w:type w:val="continuous"/>
          <w:pgSz w:w="11910" w:h="16840"/>
          <w:pgMar w:top="1920" w:right="1275" w:bottom="280" w:left="850" w:header="0" w:footer="573" w:gutter="0"/>
          <w:cols w:space="720"/>
        </w:sectPr>
      </w:pPr>
    </w:p>
    <w:p w14:paraId="0EB4C193" w14:textId="3E7F8D3D" w:rsidR="00E05B98" w:rsidRPr="003C6DAE" w:rsidRDefault="001917D5">
      <w:pPr>
        <w:spacing w:before="105"/>
        <w:ind w:left="700"/>
        <w:rPr>
          <w:rFonts w:ascii="Trebuchet MS"/>
          <w:sz w:val="16"/>
          <w:szCs w:val="16"/>
          <w:lang w:val="uk-UA"/>
        </w:rPr>
      </w:pPr>
      <w:r w:rsidRPr="003C6DAE">
        <w:rPr>
          <w:noProof/>
          <w:sz w:val="16"/>
          <w:szCs w:val="16"/>
          <w:lang w:val="uk-UA"/>
        </w:rPr>
        <mc:AlternateContent>
          <mc:Choice Requires="wps">
            <w:drawing>
              <wp:anchor distT="0" distB="0" distL="114300" distR="114300" simplePos="0" relativeHeight="488093184" behindDoc="0" locked="0" layoutInCell="1" allowOverlap="1" wp14:anchorId="4FED9285" wp14:editId="4D32F0C8">
                <wp:simplePos x="0" y="0"/>
                <wp:positionH relativeFrom="column">
                  <wp:posOffset>203200</wp:posOffset>
                </wp:positionH>
                <wp:positionV relativeFrom="paragraph">
                  <wp:posOffset>24765</wp:posOffset>
                </wp:positionV>
                <wp:extent cx="850900" cy="285750"/>
                <wp:effectExtent l="0" t="0" r="6350" b="0"/>
                <wp:wrapNone/>
                <wp:docPr id="1290867144" name="Поле 2316"/>
                <wp:cNvGraphicFramePr/>
                <a:graphic xmlns:a="http://schemas.openxmlformats.org/drawingml/2006/main">
                  <a:graphicData uri="http://schemas.microsoft.com/office/word/2010/wordprocessingShape">
                    <wps:wsp>
                      <wps:cNvSpPr txBox="1"/>
                      <wps:spPr>
                        <a:xfrm>
                          <a:off x="0" y="0"/>
                          <a:ext cx="850900" cy="285750"/>
                        </a:xfrm>
                        <a:prstGeom prst="rect">
                          <a:avLst/>
                        </a:prstGeom>
                        <a:solidFill>
                          <a:schemeClr val="lt1"/>
                        </a:solidFill>
                        <a:ln w="6350">
                          <a:noFill/>
                        </a:ln>
                      </wps:spPr>
                      <wps:txbx>
                        <w:txbxContent>
                          <w:p w14:paraId="5A4B0F7F" w14:textId="77777777" w:rsidR="007372B2" w:rsidRPr="00937D10" w:rsidRDefault="007372B2" w:rsidP="001917D5">
                            <w:pPr>
                              <w:rPr>
                                <w:rFonts w:asciiTheme="minorHAnsi" w:hAnsiTheme="minorHAnsi"/>
                                <w:sz w:val="16"/>
                                <w:szCs w:val="16"/>
                                <w:lang w:val="uk-UA"/>
                              </w:rPr>
                            </w:pPr>
                            <w:r w:rsidRPr="00937D10">
                              <w:rPr>
                                <w:rFonts w:asciiTheme="minorHAnsi" w:hAnsiTheme="minorHAnsi"/>
                                <w:sz w:val="16"/>
                                <w:szCs w:val="16"/>
                                <w:lang w:val="uk-UA"/>
                              </w:rPr>
                              <w:t>Дослідження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D9285" id="Поле 2316" o:spid="_x0000_s1086" type="#_x0000_t202" style="position:absolute;left:0;text-align:left;margin-left:16pt;margin-top:1.95pt;width:67pt;height:22.5pt;z-index:4880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" fillcolor="white [3201]" stroked="f" strokeweight=".5pt">
                <v:textbox>
                  <w:txbxContent>
                    <w:p w14:paraId="5A4B0F7F" w14:textId="77777777" w:rsidR="007372B2" w:rsidRPr="00937D10" w:rsidRDefault="007372B2" w:rsidP="001917D5">
                      <w:pPr>
                        <w:rPr>
                          <w:rFonts w:asciiTheme="minorHAnsi" w:hAnsiTheme="minorHAnsi"/>
                          <w:sz w:val="16"/>
                          <w:szCs w:val="16"/>
                          <w:lang w:val="uk-UA"/>
                        </w:rPr>
                      </w:pPr>
                      <w:r w:rsidRPr="00937D10">
                        <w:rPr>
                          <w:rFonts w:asciiTheme="minorHAnsi" w:hAnsiTheme="minorHAnsi"/>
                          <w:sz w:val="16"/>
                          <w:szCs w:val="16"/>
                          <w:lang w:val="uk-UA"/>
                        </w:rPr>
                        <w:t>Дослідження</w:t>
                      </w:r>
                    </w:p>
                  </w:txbxContent>
                </v:textbox>
              </v:shape>
            </w:pict>
          </mc:Fallback>
        </mc:AlternateContent>
      </w:r>
    </w:p>
    <w:p w14:paraId="4772D867" w14:textId="77777777" w:rsidR="00E05B98" w:rsidRPr="003C6DAE" w:rsidRDefault="00B01E0C">
      <w:pPr>
        <w:spacing w:before="105"/>
        <w:ind w:left="531"/>
        <w:rPr>
          <w:rFonts w:ascii="Trebuchet MS"/>
          <w:sz w:val="16"/>
          <w:szCs w:val="16"/>
          <w:lang w:val="uk-UA"/>
        </w:rPr>
      </w:pPr>
      <w:r w:rsidRPr="003C6DAE">
        <w:rPr>
          <w:sz w:val="16"/>
          <w:szCs w:val="16"/>
          <w:lang w:val="uk-UA"/>
        </w:rPr>
        <w:br w:type="column"/>
      </w:r>
      <w:r w:rsidRPr="003C6DAE">
        <w:rPr>
          <w:rFonts w:ascii="Trebuchet MS"/>
          <w:color w:val="333333"/>
          <w:w w:val="90"/>
          <w:sz w:val="16"/>
          <w:szCs w:val="16"/>
          <w:lang w:val="uk-UA"/>
        </w:rPr>
        <w:t>TP</w:t>
      </w:r>
      <w:r w:rsidRPr="003C6DAE">
        <w:rPr>
          <w:rFonts w:ascii="Trebuchet MS"/>
          <w:color w:val="333333"/>
          <w:spacing w:val="64"/>
          <w:w w:val="150"/>
          <w:sz w:val="16"/>
          <w:szCs w:val="16"/>
          <w:lang w:val="uk-UA"/>
        </w:rPr>
        <w:t xml:space="preserve"> </w:t>
      </w:r>
      <w:r w:rsidRPr="003C6DAE">
        <w:rPr>
          <w:rFonts w:ascii="Trebuchet MS"/>
          <w:color w:val="333333"/>
          <w:spacing w:val="4"/>
          <w:w w:val="90"/>
          <w:sz w:val="16"/>
          <w:szCs w:val="16"/>
          <w:lang w:val="uk-UA"/>
        </w:rPr>
        <w:t xml:space="preserve">FP </w:t>
      </w:r>
    </w:p>
    <w:p w14:paraId="1BE4C382" w14:textId="77777777" w:rsidR="00E05B98" w:rsidRPr="003C6DAE" w:rsidRDefault="00B01E0C">
      <w:pPr>
        <w:spacing w:before="105"/>
        <w:ind w:left="91"/>
        <w:rPr>
          <w:rFonts w:ascii="Trebuchet MS"/>
          <w:sz w:val="16"/>
          <w:szCs w:val="16"/>
          <w:lang w:val="uk-UA"/>
        </w:rPr>
      </w:pPr>
      <w:r w:rsidRPr="003C6DAE">
        <w:rPr>
          <w:sz w:val="16"/>
          <w:szCs w:val="16"/>
          <w:lang w:val="uk-UA"/>
        </w:rPr>
        <w:br w:type="column"/>
      </w:r>
      <w:r w:rsidRPr="003C6DAE">
        <w:rPr>
          <w:rFonts w:ascii="Trebuchet MS"/>
          <w:color w:val="333333"/>
          <w:spacing w:val="9"/>
          <w:w w:val="90"/>
          <w:sz w:val="16"/>
          <w:szCs w:val="16"/>
          <w:lang w:val="uk-UA"/>
        </w:rPr>
        <w:t>FN</w:t>
      </w:r>
      <w:r w:rsidRPr="003C6DAE">
        <w:rPr>
          <w:rFonts w:ascii="Trebuchet MS"/>
          <w:color w:val="333333"/>
          <w:spacing w:val="45"/>
          <w:sz w:val="16"/>
          <w:szCs w:val="16"/>
          <w:lang w:val="uk-UA"/>
        </w:rPr>
        <w:t xml:space="preserve"> </w:t>
      </w:r>
      <w:r w:rsidRPr="003C6DAE">
        <w:rPr>
          <w:rFonts w:ascii="Trebuchet MS"/>
          <w:color w:val="333333"/>
          <w:spacing w:val="-5"/>
          <w:w w:val="85"/>
          <w:sz w:val="16"/>
          <w:szCs w:val="16"/>
          <w:lang w:val="uk-UA"/>
        </w:rPr>
        <w:t xml:space="preserve">TN </w:t>
      </w:r>
    </w:p>
    <w:p w14:paraId="322D0EC5" w14:textId="211EDC82" w:rsidR="00E05B98" w:rsidRPr="003C6DAE" w:rsidRDefault="00B01E0C">
      <w:pPr>
        <w:spacing w:before="105"/>
        <w:ind w:left="126"/>
        <w:rPr>
          <w:rFonts w:ascii="Trebuchet MS"/>
          <w:sz w:val="16"/>
          <w:szCs w:val="16"/>
          <w:lang w:val="uk-UA"/>
        </w:rPr>
      </w:pPr>
      <w:r w:rsidRPr="003C6DAE">
        <w:rPr>
          <w:sz w:val="16"/>
          <w:szCs w:val="16"/>
          <w:lang w:val="uk-UA"/>
        </w:rPr>
        <w:br w:type="column"/>
      </w:r>
      <w:r w:rsidR="001917D5" w:rsidRPr="003C6DAE">
        <w:rPr>
          <w:rFonts w:ascii="Trebuchet MS"/>
          <w:color w:val="333333"/>
          <w:w w:val="80"/>
          <w:sz w:val="16"/>
          <w:szCs w:val="16"/>
          <w:lang w:val="uk-UA"/>
        </w:rPr>
        <w:t>Чутливість</w:t>
      </w:r>
      <w:r w:rsidR="001917D5" w:rsidRPr="003C6DAE">
        <w:rPr>
          <w:rFonts w:ascii="Trebuchet MS"/>
          <w:color w:val="333333"/>
          <w:spacing w:val="20"/>
          <w:sz w:val="16"/>
          <w:szCs w:val="16"/>
          <w:lang w:val="uk-UA"/>
        </w:rPr>
        <w:t xml:space="preserve"> </w:t>
      </w:r>
      <w:r w:rsidR="001917D5" w:rsidRPr="003C6DAE">
        <w:rPr>
          <w:rFonts w:ascii="Trebuchet MS"/>
          <w:color w:val="333333"/>
          <w:w w:val="80"/>
          <w:sz w:val="16"/>
          <w:szCs w:val="16"/>
          <w:lang w:val="uk-UA"/>
        </w:rPr>
        <w:t>(95%</w:t>
      </w:r>
      <w:r w:rsidR="001917D5" w:rsidRPr="003C6DAE">
        <w:rPr>
          <w:rFonts w:ascii="Trebuchet MS"/>
          <w:color w:val="333333"/>
          <w:spacing w:val="24"/>
          <w:sz w:val="16"/>
          <w:szCs w:val="16"/>
          <w:lang w:val="uk-UA"/>
        </w:rPr>
        <w:t xml:space="preserve"> </w:t>
      </w:r>
      <w:r w:rsidR="001917D5" w:rsidRPr="003C6DAE">
        <w:rPr>
          <w:rFonts w:ascii="Trebuchet MS"/>
          <w:color w:val="333333"/>
          <w:w w:val="80"/>
          <w:sz w:val="16"/>
          <w:szCs w:val="16"/>
          <w:lang w:val="uk-UA"/>
        </w:rPr>
        <w:t>ДІ</w:t>
      </w:r>
      <w:r w:rsidR="001917D5" w:rsidRPr="003C6DAE">
        <w:rPr>
          <w:rFonts w:ascii="Trebuchet MS"/>
          <w:color w:val="333333"/>
          <w:spacing w:val="-5"/>
          <w:w w:val="80"/>
          <w:sz w:val="16"/>
          <w:szCs w:val="16"/>
          <w:lang w:val="uk-UA"/>
        </w:rPr>
        <w:t>)</w:t>
      </w:r>
    </w:p>
    <w:p w14:paraId="059C6C6B" w14:textId="524805D3" w:rsidR="00E05B98" w:rsidRPr="003C6DAE" w:rsidRDefault="00B01E0C" w:rsidP="00B06A43">
      <w:pPr>
        <w:spacing w:before="105"/>
        <w:rPr>
          <w:rFonts w:ascii="Trebuchet MS"/>
          <w:sz w:val="16"/>
          <w:szCs w:val="16"/>
          <w:lang w:val="uk-UA"/>
        </w:rPr>
      </w:pPr>
      <w:r w:rsidRPr="003C6DAE">
        <w:rPr>
          <w:sz w:val="16"/>
          <w:szCs w:val="16"/>
          <w:lang w:val="uk-UA"/>
        </w:rPr>
        <w:br w:type="column"/>
      </w:r>
      <w:r w:rsidR="001917D5" w:rsidRPr="003C6DAE">
        <w:rPr>
          <w:rFonts w:ascii="Trebuchet MS"/>
          <w:color w:val="333333"/>
          <w:w w:val="80"/>
          <w:sz w:val="16"/>
          <w:szCs w:val="16"/>
          <w:lang w:val="uk-UA"/>
        </w:rPr>
        <w:t>Специфічність</w:t>
      </w:r>
      <w:r w:rsidR="001917D5" w:rsidRPr="003C6DAE">
        <w:rPr>
          <w:rFonts w:ascii="Trebuchet MS"/>
          <w:color w:val="333333"/>
          <w:spacing w:val="15"/>
          <w:sz w:val="16"/>
          <w:szCs w:val="16"/>
          <w:lang w:val="uk-UA"/>
        </w:rPr>
        <w:t xml:space="preserve"> </w:t>
      </w:r>
      <w:r w:rsidR="001917D5" w:rsidRPr="003C6DAE">
        <w:rPr>
          <w:rFonts w:ascii="Trebuchet MS"/>
          <w:color w:val="333333"/>
          <w:w w:val="80"/>
          <w:sz w:val="16"/>
          <w:szCs w:val="16"/>
          <w:lang w:val="uk-UA"/>
        </w:rPr>
        <w:t>(95%</w:t>
      </w:r>
      <w:r w:rsidR="001917D5" w:rsidRPr="003C6DAE">
        <w:rPr>
          <w:rFonts w:ascii="Trebuchet MS"/>
          <w:color w:val="333333"/>
          <w:spacing w:val="17"/>
          <w:sz w:val="16"/>
          <w:szCs w:val="16"/>
          <w:lang w:val="uk-UA"/>
        </w:rPr>
        <w:t xml:space="preserve"> </w:t>
      </w:r>
      <w:r w:rsidR="001917D5" w:rsidRPr="003C6DAE">
        <w:rPr>
          <w:rFonts w:ascii="Trebuchet MS"/>
          <w:color w:val="333333"/>
          <w:w w:val="80"/>
          <w:sz w:val="16"/>
          <w:szCs w:val="16"/>
          <w:lang w:val="uk-UA"/>
        </w:rPr>
        <w:t>ДІ</w:t>
      </w:r>
      <w:r w:rsidR="001917D5" w:rsidRPr="003C6DAE">
        <w:rPr>
          <w:rFonts w:ascii="Trebuchet MS"/>
          <w:color w:val="333333"/>
          <w:spacing w:val="-5"/>
          <w:w w:val="80"/>
          <w:sz w:val="16"/>
          <w:szCs w:val="16"/>
          <w:lang w:val="uk-UA"/>
        </w:rPr>
        <w:t>)</w:t>
      </w:r>
    </w:p>
    <w:p w14:paraId="5CF7F7F9" w14:textId="2BEB6AB3" w:rsidR="00E05B98" w:rsidRPr="003C6DAE" w:rsidRDefault="00B01E0C" w:rsidP="00B06A43">
      <w:pPr>
        <w:spacing w:before="105"/>
        <w:ind w:left="72"/>
        <w:jc w:val="center"/>
        <w:rPr>
          <w:rFonts w:ascii="Trebuchet MS"/>
          <w:sz w:val="16"/>
          <w:szCs w:val="16"/>
          <w:lang w:val="uk-UA"/>
        </w:rPr>
      </w:pPr>
      <w:r w:rsidRPr="003C6DAE">
        <w:rPr>
          <w:sz w:val="16"/>
          <w:szCs w:val="16"/>
          <w:lang w:val="uk-UA"/>
        </w:rPr>
        <w:br w:type="column"/>
      </w:r>
      <w:r w:rsidR="001917D5" w:rsidRPr="003C6DAE">
        <w:rPr>
          <w:rFonts w:ascii="Trebuchet MS"/>
          <w:color w:val="333333"/>
          <w:w w:val="80"/>
          <w:sz w:val="16"/>
          <w:szCs w:val="16"/>
          <w:lang w:val="uk-UA"/>
        </w:rPr>
        <w:t>Чутливість</w:t>
      </w:r>
      <w:r w:rsidR="001917D5" w:rsidRPr="003C6DAE">
        <w:rPr>
          <w:rFonts w:ascii="Trebuchet MS"/>
          <w:color w:val="333333"/>
          <w:spacing w:val="20"/>
          <w:sz w:val="16"/>
          <w:szCs w:val="16"/>
          <w:lang w:val="uk-UA"/>
        </w:rPr>
        <w:t xml:space="preserve"> </w:t>
      </w:r>
      <w:r w:rsidR="001917D5" w:rsidRPr="003C6DAE">
        <w:rPr>
          <w:rFonts w:ascii="Trebuchet MS"/>
          <w:color w:val="333333"/>
          <w:w w:val="80"/>
          <w:sz w:val="16"/>
          <w:szCs w:val="16"/>
          <w:lang w:val="uk-UA"/>
        </w:rPr>
        <w:t>(95%</w:t>
      </w:r>
      <w:r w:rsidR="001917D5" w:rsidRPr="003C6DAE">
        <w:rPr>
          <w:rFonts w:ascii="Trebuchet MS"/>
          <w:color w:val="333333"/>
          <w:spacing w:val="24"/>
          <w:sz w:val="16"/>
          <w:szCs w:val="16"/>
          <w:lang w:val="uk-UA"/>
        </w:rPr>
        <w:t xml:space="preserve"> </w:t>
      </w:r>
      <w:r w:rsidR="001917D5" w:rsidRPr="003C6DAE">
        <w:rPr>
          <w:rFonts w:ascii="Trebuchet MS"/>
          <w:color w:val="333333"/>
          <w:w w:val="80"/>
          <w:sz w:val="16"/>
          <w:szCs w:val="16"/>
          <w:lang w:val="uk-UA"/>
        </w:rPr>
        <w:t>ДІ</w:t>
      </w:r>
      <w:r w:rsidR="001917D5" w:rsidRPr="003C6DAE">
        <w:rPr>
          <w:rFonts w:ascii="Trebuchet MS"/>
          <w:color w:val="333333"/>
          <w:spacing w:val="-5"/>
          <w:w w:val="80"/>
          <w:sz w:val="16"/>
          <w:szCs w:val="16"/>
          <w:lang w:val="uk-UA"/>
        </w:rPr>
        <w:t>)</w:t>
      </w:r>
    </w:p>
    <w:p w14:paraId="2FF0E0A7" w14:textId="14CD1E87" w:rsidR="00E05B98" w:rsidRPr="003C6DAE" w:rsidRDefault="00B01E0C">
      <w:pPr>
        <w:spacing w:before="105"/>
        <w:ind w:left="226"/>
        <w:rPr>
          <w:rFonts w:ascii="Trebuchet MS"/>
          <w:sz w:val="16"/>
          <w:szCs w:val="16"/>
          <w:lang w:val="uk-UA"/>
        </w:rPr>
      </w:pPr>
      <w:r w:rsidRPr="003C6DAE">
        <w:rPr>
          <w:sz w:val="16"/>
          <w:szCs w:val="16"/>
          <w:lang w:val="uk-UA"/>
        </w:rPr>
        <w:br w:type="column"/>
      </w:r>
      <w:r w:rsidR="001917D5" w:rsidRPr="003C6DAE">
        <w:rPr>
          <w:rFonts w:ascii="Trebuchet MS"/>
          <w:color w:val="333333"/>
          <w:w w:val="80"/>
          <w:sz w:val="16"/>
          <w:szCs w:val="16"/>
          <w:lang w:val="uk-UA"/>
        </w:rPr>
        <w:t>Специфічність</w:t>
      </w:r>
      <w:r w:rsidR="001917D5" w:rsidRPr="003C6DAE">
        <w:rPr>
          <w:rFonts w:ascii="Trebuchet MS"/>
          <w:color w:val="333333"/>
          <w:spacing w:val="15"/>
          <w:sz w:val="16"/>
          <w:szCs w:val="16"/>
          <w:lang w:val="uk-UA"/>
        </w:rPr>
        <w:t xml:space="preserve"> </w:t>
      </w:r>
      <w:r w:rsidR="001917D5" w:rsidRPr="003C6DAE">
        <w:rPr>
          <w:rFonts w:ascii="Trebuchet MS"/>
          <w:color w:val="333333"/>
          <w:w w:val="80"/>
          <w:sz w:val="16"/>
          <w:szCs w:val="16"/>
          <w:lang w:val="uk-UA"/>
        </w:rPr>
        <w:t>(95%</w:t>
      </w:r>
      <w:r w:rsidR="001917D5" w:rsidRPr="003C6DAE">
        <w:rPr>
          <w:rFonts w:ascii="Trebuchet MS"/>
          <w:color w:val="333333"/>
          <w:spacing w:val="17"/>
          <w:sz w:val="16"/>
          <w:szCs w:val="16"/>
          <w:lang w:val="uk-UA"/>
        </w:rPr>
        <w:t xml:space="preserve"> </w:t>
      </w:r>
      <w:r w:rsidR="001917D5" w:rsidRPr="003C6DAE">
        <w:rPr>
          <w:rFonts w:ascii="Trebuchet MS"/>
          <w:color w:val="333333"/>
          <w:w w:val="80"/>
          <w:sz w:val="16"/>
          <w:szCs w:val="16"/>
          <w:lang w:val="uk-UA"/>
        </w:rPr>
        <w:t>ДІ</w:t>
      </w:r>
      <w:r w:rsidR="001917D5" w:rsidRPr="003C6DAE">
        <w:rPr>
          <w:rFonts w:ascii="Trebuchet MS"/>
          <w:color w:val="333333"/>
          <w:spacing w:val="-5"/>
          <w:w w:val="80"/>
          <w:sz w:val="16"/>
          <w:szCs w:val="16"/>
          <w:lang w:val="uk-UA"/>
        </w:rPr>
        <w:t>)</w:t>
      </w:r>
    </w:p>
    <w:p w14:paraId="46E72E4D" w14:textId="77777777" w:rsidR="00E05B98" w:rsidRPr="003C6DAE" w:rsidRDefault="00E05B98">
      <w:pPr>
        <w:rPr>
          <w:rFonts w:ascii="Trebuchet MS"/>
          <w:sz w:val="16"/>
          <w:szCs w:val="16"/>
          <w:lang w:val="uk-UA"/>
        </w:rPr>
        <w:sectPr w:rsidR="00E05B98" w:rsidRPr="003C6DAE">
          <w:type w:val="continuous"/>
          <w:pgSz w:w="11910" w:h="16840"/>
          <w:pgMar w:top="1920" w:right="1275" w:bottom="280" w:left="850" w:header="0" w:footer="573" w:gutter="0"/>
          <w:cols w:num="7" w:space="720" w:equalWidth="0">
            <w:col w:w="1132" w:space="40"/>
            <w:col w:w="1082" w:space="39"/>
            <w:col w:w="634" w:space="39"/>
            <w:col w:w="1591" w:space="39"/>
            <w:col w:w="1550" w:space="39"/>
            <w:col w:w="1537" w:space="40"/>
            <w:col w:w="2023"/>
          </w:cols>
        </w:sectPr>
      </w:pPr>
    </w:p>
    <w:p w14:paraId="2DE80C53" w14:textId="663ED2E2" w:rsidR="00E05B98" w:rsidRPr="003C6DAE" w:rsidRDefault="00B01E0C">
      <w:pPr>
        <w:tabs>
          <w:tab w:val="left" w:pos="1814"/>
          <w:tab w:val="left" w:pos="2148"/>
          <w:tab w:val="left" w:pos="2482"/>
          <w:tab w:val="left" w:pos="3349"/>
          <w:tab w:val="left" w:pos="4952"/>
        </w:tabs>
        <w:spacing w:before="70" w:line="257" w:lineRule="exact"/>
        <w:ind w:left="700"/>
        <w:rPr>
          <w:rFonts w:ascii="Trebuchet MS"/>
          <w:position w:val="-7"/>
          <w:sz w:val="19"/>
          <w:lang w:val="uk-UA"/>
        </w:rPr>
      </w:pPr>
      <w:r w:rsidRPr="003C6DAE">
        <w:rPr>
          <w:rFonts w:ascii="Trebuchet MS"/>
          <w:noProof/>
          <w:position w:val="-7"/>
          <w:sz w:val="16"/>
          <w:szCs w:val="16"/>
          <w:lang w:val="uk-UA"/>
        </w:rPr>
        <mc:AlternateContent>
          <mc:Choice Requires="wpg">
            <w:drawing>
              <wp:anchor distT="0" distB="0" distL="0" distR="0" simplePos="0" relativeHeight="15886848" behindDoc="0" locked="0" layoutInCell="1" allowOverlap="1" wp14:anchorId="0C12577B" wp14:editId="0297D521">
                <wp:simplePos x="0" y="0"/>
                <wp:positionH relativeFrom="page">
                  <wp:posOffset>5552959</wp:posOffset>
                </wp:positionH>
                <wp:positionV relativeFrom="paragraph">
                  <wp:posOffset>54917</wp:posOffset>
                </wp:positionV>
                <wp:extent cx="1056640" cy="153035"/>
                <wp:effectExtent l="0" t="0" r="0" b="0"/>
                <wp:wrapNone/>
                <wp:docPr id="8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6640" cy="153035"/>
                          <a:chOff x="0" y="0"/>
                          <a:chExt cx="1056640" cy="153035"/>
                        </a:xfrm>
                      </wpg:grpSpPr>
                      <wps:wsp>
                        <wps:cNvPr id="869" name="Graphic 869"/>
                        <wps:cNvSpPr/>
                        <wps:spPr>
                          <a:xfrm>
                            <a:off x="900477" y="30538"/>
                            <a:ext cx="96520" cy="1270"/>
                          </a:xfrm>
                          <a:custGeom>
                            <a:avLst/>
                            <a:gdLst/>
                            <a:ahLst/>
                            <a:cxnLst/>
                            <a:rect l="l" t="t" r="r" b="b"/>
                            <a:pathLst>
                              <a:path w="96520">
                                <a:moveTo>
                                  <a:pt x="0" y="0"/>
                                </a:moveTo>
                                <a:lnTo>
                                  <a:pt x="96283" y="0"/>
                                </a:lnTo>
                              </a:path>
                            </a:pathLst>
                          </a:custGeom>
                          <a:ln w="10179">
                            <a:solidFill>
                              <a:srgbClr val="000000"/>
                            </a:solidFill>
                            <a:prstDash val="solid"/>
                          </a:ln>
                        </wps:spPr>
                        <wps:bodyPr wrap="square" lIns="0" tIns="0" rIns="0" bIns="0" rtlCol="0">
                          <a:prstTxWarp prst="textNoShape">
                            <a:avLst/>
                          </a:prstTxWarp>
                          <a:noAutofit/>
                        </wps:bodyPr>
                      </wps:wsp>
                      <wps:wsp>
                        <wps:cNvPr id="870" name="Graphic 870"/>
                        <wps:cNvSpPr/>
                        <wps:spPr>
                          <a:xfrm>
                            <a:off x="996761" y="0"/>
                            <a:ext cx="59690" cy="71755"/>
                          </a:xfrm>
                          <a:custGeom>
                            <a:avLst/>
                            <a:gdLst/>
                            <a:ahLst/>
                            <a:cxnLst/>
                            <a:rect l="l" t="t" r="r" b="b"/>
                            <a:pathLst>
                              <a:path w="59690" h="71755">
                                <a:moveTo>
                                  <a:pt x="59381" y="71257"/>
                                </a:moveTo>
                                <a:lnTo>
                                  <a:pt x="0" y="71257"/>
                                </a:lnTo>
                                <a:lnTo>
                                  <a:pt x="0" y="0"/>
                                </a:lnTo>
                                <a:lnTo>
                                  <a:pt x="59381" y="0"/>
                                </a:lnTo>
                                <a:lnTo>
                                  <a:pt x="59381" y="71257"/>
                                </a:lnTo>
                                <a:close/>
                              </a:path>
                            </a:pathLst>
                          </a:custGeom>
                          <a:solidFill>
                            <a:srgbClr val="0000C0"/>
                          </a:solidFill>
                        </wps:spPr>
                        <wps:bodyPr wrap="square" lIns="0" tIns="0" rIns="0" bIns="0" rtlCol="0">
                          <a:prstTxWarp prst="textNoShape">
                            <a:avLst/>
                          </a:prstTxWarp>
                          <a:noAutofit/>
                        </wps:bodyPr>
                      </wps:wsp>
                      <wps:wsp>
                        <wps:cNvPr id="871" name="Graphic 871"/>
                        <wps:cNvSpPr/>
                        <wps:spPr>
                          <a:xfrm>
                            <a:off x="4241" y="111975"/>
                            <a:ext cx="1009650" cy="1270"/>
                          </a:xfrm>
                          <a:custGeom>
                            <a:avLst/>
                            <a:gdLst/>
                            <a:ahLst/>
                            <a:cxnLst/>
                            <a:rect l="l" t="t" r="r" b="b"/>
                            <a:pathLst>
                              <a:path w="1009650">
                                <a:moveTo>
                                  <a:pt x="0" y="0"/>
                                </a:moveTo>
                                <a:lnTo>
                                  <a:pt x="1009484" y="0"/>
                                </a:lnTo>
                              </a:path>
                            </a:pathLst>
                          </a:custGeom>
                          <a:ln w="10179">
                            <a:solidFill>
                              <a:srgbClr val="000000"/>
                            </a:solidFill>
                            <a:prstDash val="solid"/>
                          </a:ln>
                        </wps:spPr>
                        <wps:bodyPr wrap="square" lIns="0" tIns="0" rIns="0" bIns="0" rtlCol="0">
                          <a:prstTxWarp prst="textNoShape">
                            <a:avLst/>
                          </a:prstTxWarp>
                          <a:noAutofit/>
                        </wps:bodyPr>
                      </wps:wsp>
                      <wps:wsp>
                        <wps:cNvPr id="872" name="Graphic 872"/>
                        <wps:cNvSpPr/>
                        <wps:spPr>
                          <a:xfrm>
                            <a:off x="4241" y="71257"/>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873" name="Graphic 873"/>
                        <wps:cNvSpPr/>
                        <wps:spPr>
                          <a:xfrm>
                            <a:off x="206138" y="71257"/>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874" name="Graphic 874"/>
                        <wps:cNvSpPr/>
                        <wps:spPr>
                          <a:xfrm>
                            <a:off x="408035" y="71257"/>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875" name="Graphic 875"/>
                        <wps:cNvSpPr/>
                        <wps:spPr>
                          <a:xfrm>
                            <a:off x="609508" y="71257"/>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876" name="Graphic 876"/>
                        <wps:cNvSpPr/>
                        <wps:spPr>
                          <a:xfrm>
                            <a:off x="811829" y="71257"/>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877" name="Graphic 877"/>
                        <wps:cNvSpPr/>
                        <wps:spPr>
                          <a:xfrm>
                            <a:off x="1013725" y="71257"/>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AF32A9" id="Group 868" o:spid="_x0000_s1026" style="position:absolute;margin-left:437.25pt;margin-top:4.3pt;width:83.2pt;height:12.05pt;z-index:15886848;mso-wrap-distance-left:0;mso-wrap-distance-right:0;mso-position-horizontal-relative:page" coordsize="10566,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">
                <v:shape id="Graphic 869" o:spid="_x0000_s1027" style="position:absolute;left:9004;top:305;width:965;height:13;visibility:visible;mso-wrap-style:square;v-text-anchor:top" coordsize="96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" path="m,l96283,e" filled="f" strokeweight=".28275mm">
                  <v:path arrowok="t"/>
                </v:shape>
                <v:shape id="Graphic 870" o:spid="_x0000_s1028" style="position:absolute;left:9967;width:597;height:717;visibility:visible;mso-wrap-style:square;v-text-anchor:top" coordsize="5969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" path="m59381,71257l,71257,,,59381,r,71257xe" fillcolor="#0000c0" stroked="f">
                  <v:path arrowok="t"/>
                </v:shape>
                <v:shape id="Graphic 871" o:spid="_x0000_s1029" style="position:absolute;left:42;top:1119;width:10096;height:13;visibility:visible;mso-wrap-style:square;v-text-anchor:top" coordsize="1009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" path="m,l1009484,e" filled="f" strokeweight=".28275mm">
                  <v:path arrowok="t"/>
                </v:shape>
                <v:shape id="Graphic 872" o:spid="_x0000_s1030" style="position:absolute;left:42;top:712;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" path="m,l,81437e" filled="f" strokeweight=".23564mm">
                  <v:path arrowok="t"/>
                </v:shape>
                <v:shape id="Graphic 873" o:spid="_x0000_s1031" style="position:absolute;left:2061;top:712;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" path="m,l,81437e" filled="f" strokeweight=".23564mm">
                  <v:path arrowok="t"/>
                </v:shape>
                <v:shape id="Graphic 874" o:spid="_x0000_s1032" style="position:absolute;left:4080;top:712;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" path="m,l,81437e" filled="f" strokeweight=".23564mm">
                  <v:path arrowok="t"/>
                </v:shape>
                <v:shape id="Graphic 875" o:spid="_x0000_s1033" style="position:absolute;left:6095;top:712;width:12;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" path="m,l,81437e" filled="f" strokeweight=".23564mm">
                  <v:path arrowok="t"/>
                </v:shape>
                <v:shape id="Graphic 876" o:spid="_x0000_s1034" style="position:absolute;left:8118;top:712;width:12;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" path="m,l,81437e" filled="f" strokeweight=".23564mm">
                  <v:path arrowok="t"/>
                </v:shape>
                <v:shape id="Graphic 877" o:spid="_x0000_s1035" style="position:absolute;left:10137;top:712;width:12;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" path="m,l,81437e" filled="f" strokeweight=".23564mm">
                  <v:path arrowok="t"/>
                </v:shape>
                <w10:wrap anchorx="page"/>
              </v:group>
            </w:pict>
          </mc:Fallback>
        </mc:AlternateContent>
      </w:r>
      <w:r w:rsidRPr="003C6DAE">
        <w:rPr>
          <w:rFonts w:ascii="Trebuchet MS"/>
          <w:w w:val="80"/>
          <w:sz w:val="16"/>
          <w:szCs w:val="16"/>
          <w:lang w:val="uk-UA"/>
        </w:rPr>
        <w:t>Jose</w:t>
      </w:r>
      <w:r w:rsidRPr="003C6DAE">
        <w:rPr>
          <w:rFonts w:ascii="Trebuchet MS"/>
          <w:sz w:val="16"/>
          <w:szCs w:val="16"/>
          <w:lang w:val="uk-UA"/>
        </w:rPr>
        <w:t xml:space="preserve"> </w:t>
      </w:r>
      <w:r w:rsidRPr="003C6DAE">
        <w:rPr>
          <w:rFonts w:ascii="Trebuchet MS"/>
          <w:spacing w:val="-4"/>
          <w:w w:val="80"/>
          <w:sz w:val="16"/>
          <w:szCs w:val="16"/>
          <w:lang w:val="uk-UA"/>
        </w:rPr>
        <w:t>2024</w:t>
      </w:r>
      <w:r w:rsidRPr="003C6DAE">
        <w:rPr>
          <w:rFonts w:ascii="Trebuchet MS"/>
          <w:sz w:val="16"/>
          <w:szCs w:val="16"/>
          <w:lang w:val="uk-UA"/>
        </w:rPr>
        <w:tab/>
      </w:r>
      <w:r w:rsidRPr="003C6DAE">
        <w:rPr>
          <w:rFonts w:ascii="Trebuchet MS"/>
          <w:spacing w:val="-10"/>
          <w:w w:val="85"/>
          <w:sz w:val="16"/>
          <w:szCs w:val="16"/>
          <w:lang w:val="uk-UA"/>
        </w:rPr>
        <w:t>3</w:t>
      </w:r>
      <w:r w:rsidRPr="003C6DAE">
        <w:rPr>
          <w:rFonts w:ascii="Trebuchet MS"/>
          <w:sz w:val="16"/>
          <w:szCs w:val="16"/>
          <w:lang w:val="uk-UA"/>
        </w:rPr>
        <w:tab/>
      </w:r>
      <w:r w:rsidRPr="003C6DAE">
        <w:rPr>
          <w:rFonts w:ascii="Trebuchet MS"/>
          <w:spacing w:val="-10"/>
          <w:w w:val="85"/>
          <w:sz w:val="16"/>
          <w:szCs w:val="16"/>
          <w:lang w:val="uk-UA"/>
        </w:rPr>
        <w:t>0</w:t>
      </w:r>
      <w:r w:rsidRPr="003C6DAE">
        <w:rPr>
          <w:rFonts w:ascii="Trebuchet MS"/>
          <w:sz w:val="16"/>
          <w:szCs w:val="16"/>
          <w:lang w:val="uk-UA"/>
        </w:rPr>
        <w:tab/>
      </w:r>
      <w:r w:rsidRPr="003C6DAE">
        <w:rPr>
          <w:rFonts w:ascii="Trebuchet MS"/>
          <w:w w:val="85"/>
          <w:sz w:val="16"/>
          <w:szCs w:val="16"/>
          <w:lang w:val="uk-UA"/>
        </w:rPr>
        <w:t>0</w:t>
      </w:r>
      <w:r w:rsidRPr="003C6DAE">
        <w:rPr>
          <w:rFonts w:ascii="Trebuchet MS"/>
          <w:spacing w:val="72"/>
          <w:w w:val="150"/>
          <w:sz w:val="16"/>
          <w:szCs w:val="16"/>
          <w:lang w:val="uk-UA"/>
        </w:rPr>
        <w:t xml:space="preserve"> </w:t>
      </w:r>
      <w:r w:rsidRPr="003C6DAE">
        <w:rPr>
          <w:rFonts w:ascii="Trebuchet MS"/>
          <w:spacing w:val="-5"/>
          <w:w w:val="85"/>
          <w:sz w:val="16"/>
          <w:szCs w:val="16"/>
          <w:lang w:val="uk-UA"/>
        </w:rPr>
        <w:t>29</w:t>
      </w:r>
      <w:r w:rsidRPr="003C6DAE">
        <w:rPr>
          <w:rFonts w:ascii="Trebuchet MS"/>
          <w:sz w:val="16"/>
          <w:szCs w:val="16"/>
          <w:lang w:val="uk-UA"/>
        </w:rPr>
        <w:tab/>
      </w:r>
      <w:r w:rsidRPr="003C6DAE">
        <w:rPr>
          <w:rFonts w:ascii="Trebuchet MS"/>
          <w:w w:val="70"/>
          <w:sz w:val="16"/>
          <w:szCs w:val="16"/>
          <w:lang w:val="uk-UA"/>
        </w:rPr>
        <w:t>1.00</w:t>
      </w:r>
      <w:r w:rsidRPr="003C6DAE">
        <w:rPr>
          <w:rFonts w:ascii="Trebuchet MS"/>
          <w:spacing w:val="26"/>
          <w:sz w:val="16"/>
          <w:szCs w:val="16"/>
          <w:lang w:val="uk-UA"/>
        </w:rPr>
        <w:t xml:space="preserve"> </w:t>
      </w:r>
      <w:r w:rsidRPr="003C6DAE">
        <w:rPr>
          <w:rFonts w:ascii="Trebuchet MS"/>
          <w:w w:val="70"/>
          <w:sz w:val="16"/>
          <w:szCs w:val="16"/>
          <w:lang w:val="uk-UA"/>
        </w:rPr>
        <w:t>[0.29,</w:t>
      </w:r>
      <w:r w:rsidRPr="003C6DAE">
        <w:rPr>
          <w:rFonts w:ascii="Trebuchet MS"/>
          <w:spacing w:val="33"/>
          <w:sz w:val="16"/>
          <w:szCs w:val="16"/>
          <w:lang w:val="uk-UA"/>
        </w:rPr>
        <w:t xml:space="preserve"> </w:t>
      </w:r>
      <w:r w:rsidRPr="003C6DAE">
        <w:rPr>
          <w:rFonts w:ascii="Trebuchet MS"/>
          <w:spacing w:val="-2"/>
          <w:w w:val="70"/>
          <w:sz w:val="16"/>
          <w:szCs w:val="16"/>
          <w:lang w:val="uk-UA"/>
        </w:rPr>
        <w:t>1.00]</w:t>
      </w:r>
      <w:r w:rsidRPr="003C6DAE">
        <w:rPr>
          <w:rFonts w:ascii="Trebuchet MS"/>
          <w:sz w:val="16"/>
          <w:szCs w:val="16"/>
          <w:lang w:val="uk-UA"/>
        </w:rPr>
        <w:tab/>
      </w:r>
      <w:r w:rsidRPr="003C6DAE">
        <w:rPr>
          <w:rFonts w:ascii="Trebuchet MS"/>
          <w:w w:val="70"/>
          <w:sz w:val="16"/>
          <w:szCs w:val="16"/>
          <w:lang w:val="uk-UA"/>
        </w:rPr>
        <w:t>1.00</w:t>
      </w:r>
      <w:r w:rsidRPr="003C6DAE">
        <w:rPr>
          <w:rFonts w:ascii="Trebuchet MS"/>
          <w:spacing w:val="19"/>
          <w:sz w:val="16"/>
          <w:szCs w:val="16"/>
          <w:lang w:val="uk-UA"/>
        </w:rPr>
        <w:t xml:space="preserve"> </w:t>
      </w:r>
      <w:r w:rsidRPr="003C6DAE">
        <w:rPr>
          <w:rFonts w:ascii="Trebuchet MS"/>
          <w:w w:val="70"/>
          <w:sz w:val="16"/>
          <w:szCs w:val="16"/>
          <w:lang w:val="uk-UA"/>
        </w:rPr>
        <w:t>[0.88,</w:t>
      </w:r>
      <w:r w:rsidRPr="003C6DAE">
        <w:rPr>
          <w:rFonts w:ascii="Trebuchet MS"/>
          <w:spacing w:val="25"/>
          <w:sz w:val="16"/>
          <w:szCs w:val="16"/>
          <w:lang w:val="uk-UA"/>
        </w:rPr>
        <w:t xml:space="preserve"> </w:t>
      </w:r>
      <w:r w:rsidRPr="003C6DAE">
        <w:rPr>
          <w:rFonts w:ascii="Trebuchet MS"/>
          <w:w w:val="70"/>
          <w:sz w:val="16"/>
          <w:szCs w:val="16"/>
          <w:lang w:val="uk-UA"/>
        </w:rPr>
        <w:t>1.00]</w:t>
      </w:r>
      <w:r w:rsidRPr="003C6DAE">
        <w:rPr>
          <w:rFonts w:ascii="Trebuchet MS"/>
          <w:spacing w:val="20"/>
          <w:sz w:val="19"/>
          <w:lang w:val="uk-UA"/>
        </w:rPr>
        <w:t xml:space="preserve"> </w:t>
      </w:r>
      <w:r w:rsidRPr="003C6DAE">
        <w:rPr>
          <w:rFonts w:ascii="Trebuchet MS"/>
          <w:noProof/>
          <w:spacing w:val="-6"/>
          <w:position w:val="-7"/>
          <w:sz w:val="19"/>
          <w:lang w:val="uk-UA"/>
        </w:rPr>
        <w:drawing>
          <wp:inline distT="0" distB="0" distL="0" distR="0" wp14:anchorId="01C4E2EF" wp14:editId="794295E8">
            <wp:extent cx="1056141" cy="152694"/>
            <wp:effectExtent l="0" t="0" r="0" b="0"/>
            <wp:docPr id="878" name="Imag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pic:cNvPicPr/>
                  </pic:nvPicPr>
                  <pic:blipFill>
                    <a:blip r:embed="rId52" cstate="print"/>
                    <a:stretch>
                      <a:fillRect/>
                    </a:stretch>
                  </pic:blipFill>
                  <pic:spPr>
                    <a:xfrm>
                      <a:off x="0" y="0"/>
                      <a:ext cx="1056141" cy="152694"/>
                    </a:xfrm>
                    <a:prstGeom prst="rect">
                      <a:avLst/>
                    </a:prstGeom>
                  </pic:spPr>
                </pic:pic>
              </a:graphicData>
            </a:graphic>
          </wp:inline>
        </w:drawing>
      </w:r>
    </w:p>
    <w:p w14:paraId="3A2DA984" w14:textId="77777777" w:rsidR="00E05B98" w:rsidRPr="003C6DAE" w:rsidRDefault="00B01E0C">
      <w:pPr>
        <w:spacing w:line="220" w:lineRule="exact"/>
        <w:ind w:left="6164"/>
        <w:rPr>
          <w:rFonts w:ascii="Trebuchet MS"/>
          <w:sz w:val="19"/>
          <w:lang w:val="uk-UA"/>
        </w:rPr>
      </w:pPr>
      <w:r w:rsidRPr="003C6DAE">
        <w:rPr>
          <w:rFonts w:ascii="Trebuchet MS"/>
          <w:w w:val="85"/>
          <w:sz w:val="19"/>
          <w:lang w:val="uk-UA"/>
        </w:rPr>
        <w:t>0</w:t>
      </w:r>
      <w:r w:rsidRPr="003C6DAE">
        <w:rPr>
          <w:rFonts w:ascii="Trebuchet MS"/>
          <w:spacing w:val="52"/>
          <w:sz w:val="19"/>
          <w:lang w:val="uk-UA"/>
        </w:rPr>
        <w:t xml:space="preserve"> </w:t>
      </w:r>
      <w:r w:rsidRPr="003C6DAE">
        <w:rPr>
          <w:rFonts w:ascii="Trebuchet MS"/>
          <w:w w:val="85"/>
          <w:sz w:val="19"/>
          <w:lang w:val="uk-UA"/>
        </w:rPr>
        <w:t>0.2</w:t>
      </w:r>
      <w:r w:rsidRPr="003C6DAE">
        <w:rPr>
          <w:rFonts w:ascii="Trebuchet MS"/>
          <w:spacing w:val="34"/>
          <w:sz w:val="19"/>
          <w:lang w:val="uk-UA"/>
        </w:rPr>
        <w:t xml:space="preserve"> </w:t>
      </w:r>
      <w:r w:rsidRPr="003C6DAE">
        <w:rPr>
          <w:rFonts w:ascii="Trebuchet MS"/>
          <w:w w:val="85"/>
          <w:sz w:val="19"/>
          <w:lang w:val="uk-UA"/>
        </w:rPr>
        <w:t>0.4</w:t>
      </w:r>
      <w:r w:rsidRPr="003C6DAE">
        <w:rPr>
          <w:rFonts w:ascii="Trebuchet MS"/>
          <w:spacing w:val="34"/>
          <w:sz w:val="19"/>
          <w:lang w:val="uk-UA"/>
        </w:rPr>
        <w:t xml:space="preserve"> </w:t>
      </w:r>
      <w:r w:rsidRPr="003C6DAE">
        <w:rPr>
          <w:rFonts w:ascii="Trebuchet MS"/>
          <w:w w:val="85"/>
          <w:sz w:val="19"/>
          <w:lang w:val="uk-UA"/>
        </w:rPr>
        <w:t>0.6</w:t>
      </w:r>
      <w:r w:rsidRPr="003C6DAE">
        <w:rPr>
          <w:rFonts w:ascii="Trebuchet MS"/>
          <w:spacing w:val="34"/>
          <w:sz w:val="19"/>
          <w:lang w:val="uk-UA"/>
        </w:rPr>
        <w:t xml:space="preserve"> </w:t>
      </w:r>
      <w:r w:rsidRPr="003C6DAE">
        <w:rPr>
          <w:rFonts w:ascii="Trebuchet MS"/>
          <w:w w:val="85"/>
          <w:sz w:val="19"/>
          <w:lang w:val="uk-UA"/>
        </w:rPr>
        <w:t>0.8</w:t>
      </w:r>
      <w:r w:rsidRPr="003C6DAE">
        <w:rPr>
          <w:rFonts w:ascii="Trebuchet MS"/>
          <w:spacing w:val="54"/>
          <w:sz w:val="19"/>
          <w:lang w:val="uk-UA"/>
        </w:rPr>
        <w:t xml:space="preserve"> </w:t>
      </w:r>
      <w:r w:rsidRPr="003C6DAE">
        <w:rPr>
          <w:rFonts w:ascii="Trebuchet MS"/>
          <w:w w:val="85"/>
          <w:sz w:val="19"/>
          <w:lang w:val="uk-UA"/>
        </w:rPr>
        <w:t>1</w:t>
      </w:r>
      <w:r w:rsidRPr="003C6DAE">
        <w:rPr>
          <w:rFonts w:ascii="Trebuchet MS"/>
          <w:spacing w:val="51"/>
          <w:w w:val="150"/>
          <w:sz w:val="19"/>
          <w:lang w:val="uk-UA"/>
        </w:rPr>
        <w:t xml:space="preserve"> </w:t>
      </w:r>
      <w:r w:rsidRPr="003C6DAE">
        <w:rPr>
          <w:rFonts w:ascii="Trebuchet MS"/>
          <w:w w:val="85"/>
          <w:sz w:val="19"/>
          <w:lang w:val="uk-UA"/>
        </w:rPr>
        <w:t>0</w:t>
      </w:r>
      <w:r w:rsidRPr="003C6DAE">
        <w:rPr>
          <w:rFonts w:ascii="Trebuchet MS"/>
          <w:spacing w:val="53"/>
          <w:sz w:val="19"/>
          <w:lang w:val="uk-UA"/>
        </w:rPr>
        <w:t xml:space="preserve"> </w:t>
      </w:r>
      <w:r w:rsidRPr="003C6DAE">
        <w:rPr>
          <w:rFonts w:ascii="Trebuchet MS"/>
          <w:w w:val="85"/>
          <w:sz w:val="19"/>
          <w:lang w:val="uk-UA"/>
        </w:rPr>
        <w:t>0.2</w:t>
      </w:r>
      <w:r w:rsidRPr="003C6DAE">
        <w:rPr>
          <w:rFonts w:ascii="Trebuchet MS"/>
          <w:spacing w:val="34"/>
          <w:sz w:val="19"/>
          <w:lang w:val="uk-UA"/>
        </w:rPr>
        <w:t xml:space="preserve"> </w:t>
      </w:r>
      <w:r w:rsidRPr="003C6DAE">
        <w:rPr>
          <w:rFonts w:ascii="Trebuchet MS"/>
          <w:w w:val="85"/>
          <w:sz w:val="19"/>
          <w:lang w:val="uk-UA"/>
        </w:rPr>
        <w:t>0.4</w:t>
      </w:r>
      <w:r w:rsidRPr="003C6DAE">
        <w:rPr>
          <w:rFonts w:ascii="Trebuchet MS"/>
          <w:spacing w:val="34"/>
          <w:sz w:val="19"/>
          <w:lang w:val="uk-UA"/>
        </w:rPr>
        <w:t xml:space="preserve"> </w:t>
      </w:r>
      <w:r w:rsidRPr="003C6DAE">
        <w:rPr>
          <w:rFonts w:ascii="Trebuchet MS"/>
          <w:w w:val="85"/>
          <w:sz w:val="19"/>
          <w:lang w:val="uk-UA"/>
        </w:rPr>
        <w:t>0.6</w:t>
      </w:r>
      <w:r w:rsidRPr="003C6DAE">
        <w:rPr>
          <w:rFonts w:ascii="Trebuchet MS"/>
          <w:spacing w:val="34"/>
          <w:sz w:val="19"/>
          <w:lang w:val="uk-UA"/>
        </w:rPr>
        <w:t xml:space="preserve"> </w:t>
      </w:r>
      <w:r w:rsidRPr="003C6DAE">
        <w:rPr>
          <w:rFonts w:ascii="Trebuchet MS"/>
          <w:w w:val="85"/>
          <w:sz w:val="19"/>
          <w:lang w:val="uk-UA"/>
        </w:rPr>
        <w:t>0.8</w:t>
      </w:r>
      <w:r w:rsidRPr="003C6DAE">
        <w:rPr>
          <w:rFonts w:ascii="Trebuchet MS"/>
          <w:spacing w:val="54"/>
          <w:sz w:val="19"/>
          <w:lang w:val="uk-UA"/>
        </w:rPr>
        <w:t xml:space="preserve"> </w:t>
      </w:r>
      <w:r w:rsidRPr="003C6DAE">
        <w:rPr>
          <w:rFonts w:ascii="Trebuchet MS"/>
          <w:spacing w:val="-10"/>
          <w:w w:val="85"/>
          <w:sz w:val="19"/>
          <w:lang w:val="uk-UA"/>
        </w:rPr>
        <w:t>1</w:t>
      </w:r>
    </w:p>
    <w:p w14:paraId="04CCECDF" w14:textId="77777777" w:rsidR="00E05B98" w:rsidRPr="003C6DAE" w:rsidRDefault="00E05B98">
      <w:pPr>
        <w:pStyle w:val="a3"/>
        <w:spacing w:before="101"/>
        <w:rPr>
          <w:rFonts w:ascii="Trebuchet MS"/>
          <w:sz w:val="18"/>
          <w:lang w:val="uk-UA"/>
        </w:rPr>
      </w:pPr>
    </w:p>
    <w:p w14:paraId="44A7D82A" w14:textId="7DE103FA" w:rsidR="00E05B98" w:rsidRPr="003C6DAE" w:rsidRDefault="00A6426A">
      <w:pPr>
        <w:spacing w:line="254" w:lineRule="auto"/>
        <w:ind w:left="567" w:right="140"/>
        <w:jc w:val="both"/>
        <w:rPr>
          <w:sz w:val="18"/>
          <w:lang w:val="uk-UA"/>
        </w:rPr>
      </w:pPr>
      <w:r w:rsidRPr="003C6DAE">
        <w:rPr>
          <w:sz w:val="16"/>
          <w:szCs w:val="16"/>
          <w:lang w:val="uk-UA"/>
        </w:rPr>
        <w:t xml:space="preserve">ДІ: довірчий інтервал; FN: хибнонегативний результат; FP: хибнопозитивний результат; </w:t>
      </w:r>
      <w:r w:rsidR="005051CF">
        <w:rPr>
          <w:sz w:val="16"/>
          <w:szCs w:val="16"/>
          <w:lang w:val="uk-UA"/>
        </w:rPr>
        <w:t>аТАНК-НС</w:t>
      </w:r>
      <w:r w:rsidRPr="003C6DAE">
        <w:rPr>
          <w:sz w:val="16"/>
          <w:szCs w:val="16"/>
          <w:lang w:val="uk-UA"/>
        </w:rPr>
        <w:t>: автоматизований тест  ампліфікаці</w:t>
      </w:r>
      <w:r w:rsidR="005051CF">
        <w:rPr>
          <w:sz w:val="16"/>
          <w:szCs w:val="16"/>
          <w:lang w:val="uk-UA"/>
        </w:rPr>
        <w:t>ї</w:t>
      </w:r>
      <w:r w:rsidRPr="003C6DAE">
        <w:rPr>
          <w:sz w:val="16"/>
          <w:szCs w:val="16"/>
          <w:lang w:val="uk-UA"/>
        </w:rPr>
        <w:t xml:space="preserve"> нуклеїнових кислот низької складності; MRS: мікробіологічний еталонний стандарт; ТБ: туберкульоз; TN: істинно негативний результат; TP: істинно позитивний результат.</w:t>
      </w:r>
    </w:p>
    <w:p w14:paraId="761CA317" w14:textId="29473F4A" w:rsidR="00E05B98" w:rsidRPr="003C6DAE" w:rsidRDefault="00B01E0C">
      <w:pPr>
        <w:spacing w:before="57"/>
        <w:ind w:left="567"/>
        <w:jc w:val="both"/>
        <w:rPr>
          <w:sz w:val="18"/>
          <w:lang w:val="uk-UA"/>
        </w:rPr>
      </w:pPr>
      <w:r w:rsidRPr="003C6DAE">
        <w:rPr>
          <w:spacing w:val="-2"/>
          <w:sz w:val="18"/>
          <w:vertAlign w:val="superscript"/>
          <w:lang w:val="uk-UA"/>
        </w:rPr>
        <w:t>a</w:t>
      </w:r>
      <w:r w:rsidRPr="003C6DAE">
        <w:rPr>
          <w:spacing w:val="-21"/>
          <w:sz w:val="18"/>
          <w:lang w:val="uk-UA"/>
        </w:rPr>
        <w:t xml:space="preserve"> </w:t>
      </w:r>
      <w:r w:rsidR="00A6426A" w:rsidRPr="003C6DAE">
        <w:rPr>
          <w:sz w:val="16"/>
          <w:szCs w:val="16"/>
          <w:lang w:val="uk-UA"/>
        </w:rPr>
        <w:t xml:space="preserve">Дослідження </w:t>
      </w:r>
      <w:r w:rsidR="00B5314F">
        <w:rPr>
          <w:sz w:val="16"/>
          <w:szCs w:val="16"/>
          <w:lang w:val="uk-UA"/>
        </w:rPr>
        <w:t>впорядковано</w:t>
      </w:r>
      <w:r w:rsidR="00A6426A" w:rsidRPr="003C6DAE">
        <w:rPr>
          <w:sz w:val="16"/>
          <w:szCs w:val="16"/>
          <w:lang w:val="uk-UA"/>
        </w:rPr>
        <w:t xml:space="preserve"> за зменшенням чутливості</w:t>
      </w:r>
      <w:r w:rsidRPr="003C6DAE">
        <w:rPr>
          <w:spacing w:val="-2"/>
          <w:sz w:val="18"/>
          <w:lang w:val="uk-UA"/>
        </w:rPr>
        <w:t>.</w:t>
      </w:r>
    </w:p>
    <w:p w14:paraId="43A98F68" w14:textId="77777777" w:rsidR="00E05B98" w:rsidRPr="003C6DAE" w:rsidRDefault="00E05B98">
      <w:pPr>
        <w:pStyle w:val="a3"/>
        <w:spacing w:before="162"/>
        <w:rPr>
          <w:sz w:val="18"/>
          <w:lang w:val="uk-UA"/>
        </w:rPr>
      </w:pPr>
    </w:p>
    <w:p w14:paraId="5AEF71E8" w14:textId="1301B135" w:rsidR="00E05B98" w:rsidRPr="00B5314F" w:rsidRDefault="001917D5" w:rsidP="001917D5">
      <w:pPr>
        <w:pStyle w:val="7"/>
        <w:spacing w:line="249" w:lineRule="auto"/>
        <w:jc w:val="both"/>
        <w:rPr>
          <w:rFonts w:ascii="Microsoft Sans Serif" w:hAnsi="Microsoft Sans Serif" w:cs="Microsoft Sans Serif"/>
          <w:sz w:val="22"/>
          <w:szCs w:val="22"/>
          <w:lang w:val="uk-UA"/>
        </w:rPr>
      </w:pPr>
      <w:r w:rsidRPr="00B5314F">
        <w:rPr>
          <w:rFonts w:ascii="Microsoft Sans Serif" w:hAnsi="Microsoft Sans Serif" w:cs="Microsoft Sans Serif"/>
          <w:color w:val="019648"/>
          <w:w w:val="105"/>
          <w:sz w:val="22"/>
          <w:szCs w:val="22"/>
          <w:lang w:val="uk-UA"/>
        </w:rPr>
        <w:t xml:space="preserve">Чи слід використовувати аТАНК-НС на </w:t>
      </w:r>
      <w:r w:rsidR="00B5314F">
        <w:rPr>
          <w:rFonts w:ascii="Microsoft Sans Serif" w:hAnsi="Microsoft Sans Serif" w:cs="Microsoft Sans Serif"/>
          <w:color w:val="019648"/>
          <w:w w:val="105"/>
          <w:sz w:val="22"/>
          <w:szCs w:val="22"/>
          <w:lang w:val="uk-UA"/>
        </w:rPr>
        <w:t xml:space="preserve">зразках </w:t>
      </w:r>
      <w:r w:rsidRPr="00B5314F">
        <w:rPr>
          <w:rFonts w:ascii="Microsoft Sans Serif" w:hAnsi="Microsoft Sans Serif" w:cs="Microsoft Sans Serif"/>
          <w:color w:val="019648"/>
          <w:w w:val="105"/>
          <w:sz w:val="22"/>
          <w:szCs w:val="22"/>
          <w:lang w:val="uk-UA"/>
        </w:rPr>
        <w:t>перитонеальн</w:t>
      </w:r>
      <w:r w:rsidR="00B5314F">
        <w:rPr>
          <w:rFonts w:ascii="Microsoft Sans Serif" w:hAnsi="Microsoft Sans Serif" w:cs="Microsoft Sans Serif"/>
          <w:color w:val="019648"/>
          <w:w w:val="105"/>
          <w:sz w:val="22"/>
          <w:szCs w:val="22"/>
          <w:lang w:val="uk-UA"/>
        </w:rPr>
        <w:t>ої</w:t>
      </w:r>
      <w:r w:rsidRPr="00B5314F">
        <w:rPr>
          <w:rFonts w:ascii="Microsoft Sans Serif" w:hAnsi="Microsoft Sans Serif" w:cs="Microsoft Sans Serif"/>
          <w:color w:val="019648"/>
          <w:w w:val="105"/>
          <w:sz w:val="22"/>
          <w:szCs w:val="22"/>
          <w:lang w:val="uk-UA"/>
        </w:rPr>
        <w:t xml:space="preserve"> рідин</w:t>
      </w:r>
      <w:r w:rsidR="00B5314F">
        <w:rPr>
          <w:rFonts w:ascii="Microsoft Sans Serif" w:hAnsi="Microsoft Sans Serif" w:cs="Microsoft Sans Serif"/>
          <w:color w:val="019648"/>
          <w:w w:val="105"/>
          <w:sz w:val="22"/>
          <w:szCs w:val="22"/>
          <w:lang w:val="uk-UA"/>
        </w:rPr>
        <w:t>и</w:t>
      </w:r>
      <w:r w:rsidRPr="00B5314F">
        <w:rPr>
          <w:rFonts w:ascii="Microsoft Sans Serif" w:hAnsi="Microsoft Sans Serif" w:cs="Microsoft Sans Serif"/>
          <w:color w:val="019648"/>
          <w:w w:val="105"/>
          <w:sz w:val="22"/>
          <w:szCs w:val="22"/>
          <w:lang w:val="uk-UA"/>
        </w:rPr>
        <w:t xml:space="preserve"> для діагностики перитонеального ТБ у дорослих і підлітків із ознаками та симптомами перитонеального ТБ </w:t>
      </w:r>
      <w:r w:rsidR="00B5314F">
        <w:rPr>
          <w:rFonts w:ascii="Microsoft Sans Serif" w:hAnsi="Microsoft Sans Serif" w:cs="Microsoft Sans Serif"/>
          <w:color w:val="019648"/>
          <w:w w:val="105"/>
          <w:sz w:val="22"/>
          <w:szCs w:val="22"/>
          <w:lang w:val="uk-UA"/>
        </w:rPr>
        <w:t>на противагу</w:t>
      </w:r>
      <w:r w:rsidRPr="00B5314F">
        <w:rPr>
          <w:rFonts w:ascii="Microsoft Sans Serif" w:hAnsi="Microsoft Sans Serif" w:cs="Microsoft Sans Serif"/>
          <w:color w:val="019648"/>
          <w:w w:val="105"/>
          <w:sz w:val="22"/>
          <w:szCs w:val="22"/>
          <w:lang w:val="uk-UA"/>
        </w:rPr>
        <w:t xml:space="preserve"> MRS?</w:t>
      </w:r>
    </w:p>
    <w:p w14:paraId="2EF1A50D" w14:textId="1E436E4D" w:rsidR="00E05B98" w:rsidRPr="003C6DAE" w:rsidRDefault="001917D5" w:rsidP="001917D5">
      <w:pPr>
        <w:pStyle w:val="a3"/>
        <w:spacing w:before="216" w:line="297" w:lineRule="auto"/>
        <w:ind w:left="567"/>
        <w:jc w:val="both"/>
        <w:rPr>
          <w:sz w:val="20"/>
          <w:szCs w:val="20"/>
          <w:lang w:val="uk-UA"/>
        </w:rPr>
      </w:pPr>
      <w:r w:rsidRPr="003C6DAE">
        <w:rPr>
          <w:sz w:val="20"/>
          <w:szCs w:val="20"/>
          <w:lang w:val="uk-UA"/>
        </w:rPr>
        <w:t>Чутливість аТАНК-НС коливалася від 33% до 67%, а специфічність - від 94% до 100% за результатами трьох досліджень аналізу Xpert Ultra (69 учасників); достовірність доказів була дуже низькою для чутливості та низькою для специфічності (</w:t>
      </w:r>
      <w:r w:rsidRPr="003C6DAE">
        <w:rPr>
          <w:b/>
          <w:bCs/>
          <w:sz w:val="20"/>
          <w:szCs w:val="20"/>
          <w:lang w:val="uk-UA"/>
        </w:rPr>
        <w:t>Рис. 2.1.8</w:t>
      </w:r>
      <w:r w:rsidRPr="003C6DAE">
        <w:rPr>
          <w:sz w:val="20"/>
          <w:szCs w:val="20"/>
          <w:lang w:val="uk-UA"/>
        </w:rPr>
        <w:t>). Лише дані по аналізу Xpert Ultra були включені в оцінку, щоб відповісти на це запитання PICO. Дані по аналізу Truenat були обмеженими.</w:t>
      </w:r>
    </w:p>
    <w:p w14:paraId="0755C06A" w14:textId="132D260F" w:rsidR="00E05B98" w:rsidRPr="003C6DAE" w:rsidRDefault="001917D5" w:rsidP="001917D5">
      <w:pPr>
        <w:pStyle w:val="6"/>
        <w:spacing w:before="239" w:line="249" w:lineRule="auto"/>
        <w:jc w:val="both"/>
        <w:rPr>
          <w:rFonts w:ascii="Microsoft Sans Serif" w:hAnsi="Microsoft Sans Serif" w:cs="Microsoft Sans Serif"/>
          <w:lang w:val="uk-UA"/>
        </w:rPr>
      </w:pPr>
      <w:r w:rsidRPr="003C6DAE">
        <w:rPr>
          <w:rFonts w:ascii="Microsoft Sans Serif" w:hAnsi="Microsoft Sans Serif" w:cs="Microsoft Sans Serif"/>
          <w:color w:val="636466"/>
          <w:sz w:val="20"/>
          <w:szCs w:val="20"/>
          <w:lang w:val="uk-UA"/>
        </w:rPr>
        <w:t>Рис</w:t>
      </w:r>
      <w:r w:rsidR="00B01E0C" w:rsidRPr="003C6DAE">
        <w:rPr>
          <w:rFonts w:ascii="Microsoft Sans Serif" w:hAnsi="Microsoft Sans Serif" w:cs="Microsoft Sans Serif"/>
          <w:color w:val="636466"/>
          <w:sz w:val="20"/>
          <w:szCs w:val="20"/>
          <w:lang w:val="uk-UA"/>
        </w:rPr>
        <w:t xml:space="preserve">. 2.1.8. </w:t>
      </w:r>
      <w:r w:rsidRPr="003C6DAE">
        <w:rPr>
          <w:rFonts w:ascii="Microsoft Sans Serif" w:hAnsi="Microsoft Sans Serif" w:cs="Microsoft Sans Serif"/>
          <w:color w:val="636466"/>
          <w:sz w:val="20"/>
          <w:szCs w:val="20"/>
          <w:lang w:val="uk-UA"/>
        </w:rPr>
        <w:t xml:space="preserve">Чутливість і специфічність аТАНК-НС для виявлення перитонеального ТБ </w:t>
      </w:r>
      <w:r w:rsidR="00B5314F">
        <w:rPr>
          <w:rFonts w:ascii="Microsoft Sans Serif" w:hAnsi="Microsoft Sans Serif" w:cs="Microsoft Sans Serif"/>
          <w:color w:val="636466"/>
          <w:sz w:val="20"/>
          <w:szCs w:val="20"/>
          <w:lang w:val="uk-UA"/>
        </w:rPr>
        <w:t>у зразках</w:t>
      </w:r>
      <w:r w:rsidRPr="003C6DAE">
        <w:rPr>
          <w:rFonts w:ascii="Microsoft Sans Serif" w:hAnsi="Microsoft Sans Serif" w:cs="Microsoft Sans Serif"/>
          <w:color w:val="636466"/>
          <w:sz w:val="20"/>
          <w:szCs w:val="20"/>
          <w:lang w:val="uk-UA"/>
        </w:rPr>
        <w:t xml:space="preserve"> перитонеальн</w:t>
      </w:r>
      <w:r w:rsidR="00B5314F">
        <w:rPr>
          <w:rFonts w:ascii="Microsoft Sans Serif" w:hAnsi="Microsoft Sans Serif" w:cs="Microsoft Sans Serif"/>
          <w:color w:val="636466"/>
          <w:sz w:val="20"/>
          <w:szCs w:val="20"/>
          <w:lang w:val="uk-UA"/>
        </w:rPr>
        <w:t>ої</w:t>
      </w:r>
      <w:r w:rsidRPr="003C6DAE">
        <w:rPr>
          <w:rFonts w:ascii="Microsoft Sans Serif" w:hAnsi="Microsoft Sans Serif" w:cs="Microsoft Sans Serif"/>
          <w:color w:val="636466"/>
          <w:sz w:val="20"/>
          <w:szCs w:val="20"/>
          <w:lang w:val="uk-UA"/>
        </w:rPr>
        <w:t xml:space="preserve"> рідин</w:t>
      </w:r>
      <w:r w:rsidR="00B5314F">
        <w:rPr>
          <w:rFonts w:ascii="Microsoft Sans Serif" w:hAnsi="Microsoft Sans Serif" w:cs="Microsoft Sans Serif"/>
          <w:color w:val="636466"/>
          <w:sz w:val="20"/>
          <w:szCs w:val="20"/>
          <w:lang w:val="uk-UA"/>
        </w:rPr>
        <w:t>и</w:t>
      </w:r>
      <w:r w:rsidRPr="003C6DAE">
        <w:rPr>
          <w:rFonts w:ascii="Microsoft Sans Serif" w:hAnsi="Microsoft Sans Serif" w:cs="Microsoft Sans Serif"/>
          <w:color w:val="636466"/>
          <w:sz w:val="20"/>
          <w:szCs w:val="20"/>
          <w:lang w:val="uk-UA"/>
        </w:rPr>
        <w:t xml:space="preserve"> та MRS</w:t>
      </w:r>
      <w:r w:rsidR="0000617E">
        <w:rPr>
          <w:rFonts w:ascii="Microsoft Sans Serif" w:hAnsi="Microsoft Sans Serif" w:cs="Microsoft Sans Serif"/>
          <w:color w:val="636466"/>
          <w:sz w:val="20"/>
          <w:szCs w:val="20"/>
          <w:lang w:val="uk-UA"/>
        </w:rPr>
        <w:t xml:space="preserve"> </w:t>
      </w:r>
      <w:r w:rsidR="00B01E0C" w:rsidRPr="003C6DAE">
        <w:rPr>
          <w:rFonts w:ascii="Microsoft Sans Serif" w:hAnsi="Microsoft Sans Serif" w:cs="Microsoft Sans Serif"/>
          <w:color w:val="636466"/>
          <w:sz w:val="20"/>
          <w:szCs w:val="20"/>
          <w:vertAlign w:val="superscript"/>
          <w:lang w:val="uk-UA"/>
        </w:rPr>
        <w:t>a</w:t>
      </w:r>
    </w:p>
    <w:p w14:paraId="7FC34A11" w14:textId="12DE2BD8" w:rsidR="00E05B98" w:rsidRPr="003C6DAE" w:rsidRDefault="00F77CF0">
      <w:pPr>
        <w:pStyle w:val="a3"/>
        <w:spacing w:before="10"/>
        <w:rPr>
          <w:rFonts w:ascii="Arial"/>
          <w:b/>
          <w:sz w:val="15"/>
          <w:lang w:val="uk-UA"/>
        </w:rPr>
      </w:pPr>
      <w:r w:rsidRPr="003C6DAE">
        <w:rPr>
          <w:noProof/>
          <w:lang w:val="uk-UA"/>
        </w:rPr>
        <mc:AlternateContent>
          <mc:Choice Requires="wps">
            <w:drawing>
              <wp:anchor distT="0" distB="0" distL="114300" distR="114300" simplePos="0" relativeHeight="488094208" behindDoc="0" locked="0" layoutInCell="1" allowOverlap="1" wp14:anchorId="3F9D1009" wp14:editId="4C489324">
                <wp:simplePos x="0" y="0"/>
                <wp:positionH relativeFrom="column">
                  <wp:posOffset>368300</wp:posOffset>
                </wp:positionH>
                <wp:positionV relativeFrom="paragraph">
                  <wp:posOffset>55245</wp:posOffset>
                </wp:positionV>
                <wp:extent cx="971550" cy="317500"/>
                <wp:effectExtent l="0" t="0" r="0" b="6350"/>
                <wp:wrapNone/>
                <wp:docPr id="783984211" name="Поле 2317"/>
                <wp:cNvGraphicFramePr/>
                <a:graphic xmlns:a="http://schemas.openxmlformats.org/drawingml/2006/main">
                  <a:graphicData uri="http://schemas.microsoft.com/office/word/2010/wordprocessingShape">
                    <wps:wsp>
                      <wps:cNvSpPr txBox="1"/>
                      <wps:spPr>
                        <a:xfrm>
                          <a:off x="0" y="0"/>
                          <a:ext cx="971550" cy="317500"/>
                        </a:xfrm>
                        <a:prstGeom prst="rect">
                          <a:avLst/>
                        </a:prstGeom>
                        <a:solidFill>
                          <a:schemeClr val="lt1"/>
                        </a:solidFill>
                        <a:ln w="6350">
                          <a:noFill/>
                        </a:ln>
                      </wps:spPr>
                      <wps:txbx>
                        <w:txbxContent>
                          <w:p w14:paraId="489FF2C3" w14:textId="77777777" w:rsidR="007372B2" w:rsidRPr="00B06A43" w:rsidRDefault="007372B2" w:rsidP="00F77CF0">
                            <w:pPr>
                              <w:spacing w:before="104"/>
                              <w:rPr>
                                <w:rFonts w:ascii="Trebuchet MS"/>
                                <w:sz w:val="16"/>
                                <w:szCs w:val="16"/>
                                <w:lang w:val="uk-UA"/>
                              </w:rPr>
                            </w:pPr>
                            <w:r w:rsidRPr="00B06A43">
                              <w:rPr>
                                <w:rFonts w:ascii="Trebuchet MS"/>
                                <w:color w:val="333333"/>
                                <w:w w:val="85"/>
                                <w:sz w:val="16"/>
                                <w:szCs w:val="16"/>
                                <w:lang w:val="uk-UA"/>
                              </w:rPr>
                              <w:t>Дослідження</w:t>
                            </w:r>
                          </w:p>
                          <w:p w14:paraId="29755ACA" w14:textId="77777777" w:rsidR="007372B2" w:rsidRPr="00F77CF0" w:rsidRDefault="007372B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9D1009" id="Поле 2317" o:spid="_x0000_s1087" type="#_x0000_t202" style="position:absolute;margin-left:29pt;margin-top:4.35pt;width:76.5pt;height:25pt;z-index:48809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" fillcolor="white [3201]" stroked="f" strokeweight=".5pt">
                <v:textbox>
                  <w:txbxContent>
                    <w:p w14:paraId="489FF2C3" w14:textId="77777777" w:rsidR="007372B2" w:rsidRPr="00B06A43" w:rsidRDefault="007372B2" w:rsidP="00F77CF0">
                      <w:pPr>
                        <w:spacing w:before="104"/>
                        <w:rPr>
                          <w:rFonts w:ascii="Trebuchet MS"/>
                          <w:sz w:val="16"/>
                          <w:szCs w:val="16"/>
                          <w:lang w:val="uk-UA"/>
                        </w:rPr>
                      </w:pPr>
                      <w:r w:rsidRPr="00B06A43">
                        <w:rPr>
                          <w:rFonts w:ascii="Trebuchet MS"/>
                          <w:color w:val="333333"/>
                          <w:w w:val="85"/>
                          <w:sz w:val="16"/>
                          <w:szCs w:val="16"/>
                          <w:lang w:val="uk-UA"/>
                        </w:rPr>
                        <w:t>Дослідження</w:t>
                      </w:r>
                    </w:p>
                    <w:p w14:paraId="29755ACA" w14:textId="77777777" w:rsidR="007372B2" w:rsidRPr="00F77CF0" w:rsidRDefault="007372B2">
                      <w:pPr>
                        <w:rPr>
                          <w:sz w:val="16"/>
                          <w:szCs w:val="16"/>
                        </w:rPr>
                      </w:pPr>
                    </w:p>
                  </w:txbxContent>
                </v:textbox>
              </v:shape>
            </w:pict>
          </mc:Fallback>
        </mc:AlternateContent>
      </w:r>
    </w:p>
    <w:p w14:paraId="01FD6AC9" w14:textId="77777777" w:rsidR="00E05B98" w:rsidRPr="003C6DAE" w:rsidRDefault="00E05B98">
      <w:pPr>
        <w:pStyle w:val="a3"/>
        <w:rPr>
          <w:rFonts w:ascii="Arial"/>
          <w:b/>
          <w:sz w:val="15"/>
          <w:lang w:val="uk-UA"/>
        </w:rPr>
        <w:sectPr w:rsidR="00E05B98" w:rsidRPr="003C6DAE" w:rsidSect="001917D5">
          <w:type w:val="continuous"/>
          <w:pgSz w:w="11910" w:h="16840"/>
          <w:pgMar w:top="1920" w:right="995" w:bottom="280" w:left="850" w:header="0" w:footer="573" w:gutter="0"/>
          <w:cols w:space="720"/>
        </w:sectPr>
      </w:pPr>
    </w:p>
    <w:p w14:paraId="127BD929" w14:textId="1AD4B0BF" w:rsidR="00E05B98" w:rsidRPr="00B06A43" w:rsidRDefault="00B01E0C">
      <w:pPr>
        <w:spacing w:before="104"/>
        <w:ind w:left="693"/>
        <w:rPr>
          <w:rFonts w:ascii="Trebuchet MS"/>
          <w:sz w:val="16"/>
          <w:szCs w:val="16"/>
          <w:lang w:val="uk-UA"/>
        </w:rPr>
      </w:pPr>
      <w:r w:rsidRPr="003C6DAE">
        <w:rPr>
          <w:lang w:val="uk-UA"/>
        </w:rPr>
        <w:br w:type="column"/>
      </w:r>
      <w:r w:rsidR="00B06A43">
        <w:rPr>
          <w:lang w:val="uk-UA"/>
        </w:rPr>
        <w:t xml:space="preserve"> </w:t>
      </w:r>
      <w:r w:rsidRPr="00B06A43">
        <w:rPr>
          <w:rFonts w:ascii="Trebuchet MS"/>
          <w:color w:val="333333"/>
          <w:w w:val="90"/>
          <w:sz w:val="16"/>
          <w:szCs w:val="16"/>
          <w:lang w:val="uk-UA"/>
        </w:rPr>
        <w:t>TP</w:t>
      </w:r>
      <w:r w:rsidRPr="00B06A43">
        <w:rPr>
          <w:rFonts w:ascii="Trebuchet MS"/>
          <w:color w:val="333333"/>
          <w:spacing w:val="60"/>
          <w:w w:val="150"/>
          <w:sz w:val="16"/>
          <w:szCs w:val="16"/>
          <w:lang w:val="uk-UA"/>
        </w:rPr>
        <w:t xml:space="preserve"> </w:t>
      </w:r>
      <w:r w:rsidRPr="00B06A43">
        <w:rPr>
          <w:rFonts w:ascii="Trebuchet MS"/>
          <w:color w:val="333333"/>
          <w:spacing w:val="-5"/>
          <w:w w:val="90"/>
          <w:sz w:val="16"/>
          <w:szCs w:val="16"/>
          <w:lang w:val="uk-UA"/>
        </w:rPr>
        <w:t xml:space="preserve">FP </w:t>
      </w:r>
    </w:p>
    <w:p w14:paraId="3446A2BB" w14:textId="77777777" w:rsidR="00E05B98" w:rsidRPr="00B06A43" w:rsidRDefault="00B01E0C">
      <w:pPr>
        <w:spacing w:before="104"/>
        <w:ind w:left="84"/>
        <w:rPr>
          <w:rFonts w:ascii="Trebuchet MS"/>
          <w:sz w:val="16"/>
          <w:szCs w:val="16"/>
          <w:lang w:val="uk-UA"/>
        </w:rPr>
      </w:pPr>
      <w:r w:rsidRPr="00B06A43">
        <w:rPr>
          <w:sz w:val="16"/>
          <w:szCs w:val="16"/>
          <w:lang w:val="uk-UA"/>
        </w:rPr>
        <w:br w:type="column"/>
      </w:r>
      <w:r w:rsidRPr="00B06A43">
        <w:rPr>
          <w:rFonts w:ascii="Trebuchet MS"/>
          <w:color w:val="333333"/>
          <w:w w:val="90"/>
          <w:sz w:val="16"/>
          <w:szCs w:val="16"/>
          <w:lang w:val="uk-UA"/>
        </w:rPr>
        <w:t>FN</w:t>
      </w:r>
      <w:r w:rsidRPr="00B06A43">
        <w:rPr>
          <w:rFonts w:ascii="Trebuchet MS"/>
          <w:color w:val="333333"/>
          <w:spacing w:val="57"/>
          <w:sz w:val="16"/>
          <w:szCs w:val="16"/>
          <w:lang w:val="uk-UA"/>
        </w:rPr>
        <w:t xml:space="preserve"> </w:t>
      </w:r>
      <w:r w:rsidRPr="00B06A43">
        <w:rPr>
          <w:rFonts w:ascii="Trebuchet MS"/>
          <w:color w:val="333333"/>
          <w:spacing w:val="-5"/>
          <w:w w:val="85"/>
          <w:sz w:val="16"/>
          <w:szCs w:val="16"/>
          <w:lang w:val="uk-UA"/>
        </w:rPr>
        <w:t xml:space="preserve">TN </w:t>
      </w:r>
    </w:p>
    <w:p w14:paraId="14DDB98D" w14:textId="6B4776A8" w:rsidR="00E05B98" w:rsidRPr="00B06A43" w:rsidRDefault="00B01E0C" w:rsidP="00B06A43">
      <w:pPr>
        <w:spacing w:before="104"/>
        <w:ind w:left="117"/>
        <w:jc w:val="center"/>
        <w:rPr>
          <w:rFonts w:ascii="Trebuchet MS"/>
          <w:sz w:val="16"/>
          <w:szCs w:val="16"/>
          <w:lang w:val="uk-UA"/>
        </w:rPr>
      </w:pPr>
      <w:r w:rsidRPr="00B06A43">
        <w:rPr>
          <w:sz w:val="16"/>
          <w:szCs w:val="16"/>
          <w:lang w:val="uk-UA"/>
        </w:rPr>
        <w:br w:type="column"/>
      </w:r>
      <w:r w:rsidR="00F77CF0" w:rsidRPr="00B06A43">
        <w:rPr>
          <w:rFonts w:ascii="Trebuchet MS"/>
          <w:color w:val="333333"/>
          <w:w w:val="80"/>
          <w:sz w:val="16"/>
          <w:szCs w:val="16"/>
          <w:lang w:val="uk-UA"/>
        </w:rPr>
        <w:t>Чутливість</w:t>
      </w:r>
      <w:r w:rsidRPr="00B06A43">
        <w:rPr>
          <w:rFonts w:ascii="Trebuchet MS"/>
          <w:color w:val="333333"/>
          <w:spacing w:val="20"/>
          <w:sz w:val="16"/>
          <w:szCs w:val="16"/>
          <w:lang w:val="uk-UA"/>
        </w:rPr>
        <w:t xml:space="preserve"> </w:t>
      </w:r>
      <w:r w:rsidRPr="00B06A43">
        <w:rPr>
          <w:rFonts w:ascii="Trebuchet MS"/>
          <w:color w:val="333333"/>
          <w:w w:val="80"/>
          <w:sz w:val="16"/>
          <w:szCs w:val="16"/>
          <w:lang w:val="uk-UA"/>
        </w:rPr>
        <w:t>(95%</w:t>
      </w:r>
      <w:r w:rsidRPr="00B06A43">
        <w:rPr>
          <w:rFonts w:ascii="Trebuchet MS"/>
          <w:color w:val="333333"/>
          <w:spacing w:val="21"/>
          <w:sz w:val="16"/>
          <w:szCs w:val="16"/>
          <w:lang w:val="uk-UA"/>
        </w:rPr>
        <w:t xml:space="preserve"> </w:t>
      </w:r>
      <w:r w:rsidR="00F77CF0" w:rsidRPr="00B06A43">
        <w:rPr>
          <w:rFonts w:ascii="Trebuchet MS"/>
          <w:color w:val="333333"/>
          <w:w w:val="80"/>
          <w:sz w:val="16"/>
          <w:szCs w:val="16"/>
          <w:lang w:val="uk-UA"/>
        </w:rPr>
        <w:t>ДІ</w:t>
      </w:r>
      <w:r w:rsidRPr="00B06A43">
        <w:rPr>
          <w:rFonts w:ascii="Trebuchet MS"/>
          <w:color w:val="333333"/>
          <w:spacing w:val="-5"/>
          <w:w w:val="80"/>
          <w:sz w:val="16"/>
          <w:szCs w:val="16"/>
          <w:lang w:val="uk-UA"/>
        </w:rPr>
        <w:t>)</w:t>
      </w:r>
    </w:p>
    <w:p w14:paraId="192412FE" w14:textId="2D4C91E2" w:rsidR="00E05B98" w:rsidRPr="00B06A43" w:rsidRDefault="00B01E0C" w:rsidP="00F77CF0">
      <w:pPr>
        <w:spacing w:before="104"/>
        <w:ind w:right="-98"/>
        <w:jc w:val="center"/>
        <w:rPr>
          <w:rFonts w:ascii="Trebuchet MS"/>
          <w:sz w:val="16"/>
          <w:szCs w:val="16"/>
          <w:lang w:val="uk-UA"/>
        </w:rPr>
      </w:pPr>
      <w:r w:rsidRPr="00B06A43">
        <w:rPr>
          <w:sz w:val="16"/>
          <w:szCs w:val="16"/>
          <w:lang w:val="uk-UA"/>
        </w:rPr>
        <w:br w:type="column"/>
      </w:r>
      <w:r w:rsidR="00F77CF0" w:rsidRPr="00B06A43">
        <w:rPr>
          <w:rFonts w:ascii="Trebuchet MS"/>
          <w:color w:val="333333"/>
          <w:w w:val="80"/>
          <w:sz w:val="16"/>
          <w:szCs w:val="16"/>
          <w:lang w:val="uk-UA"/>
        </w:rPr>
        <w:t>Специфічність</w:t>
      </w:r>
      <w:r w:rsidRPr="00B06A43">
        <w:rPr>
          <w:rFonts w:ascii="Trebuchet MS"/>
          <w:color w:val="333333"/>
          <w:spacing w:val="13"/>
          <w:sz w:val="16"/>
          <w:szCs w:val="16"/>
          <w:lang w:val="uk-UA"/>
        </w:rPr>
        <w:t xml:space="preserve"> </w:t>
      </w:r>
      <w:r w:rsidRPr="00B06A43">
        <w:rPr>
          <w:rFonts w:ascii="Trebuchet MS"/>
          <w:color w:val="333333"/>
          <w:w w:val="80"/>
          <w:sz w:val="16"/>
          <w:szCs w:val="16"/>
          <w:lang w:val="uk-UA"/>
        </w:rPr>
        <w:t>(95%</w:t>
      </w:r>
      <w:r w:rsidRPr="00B06A43">
        <w:rPr>
          <w:rFonts w:ascii="Trebuchet MS"/>
          <w:color w:val="333333"/>
          <w:spacing w:val="14"/>
          <w:sz w:val="16"/>
          <w:szCs w:val="16"/>
          <w:lang w:val="uk-UA"/>
        </w:rPr>
        <w:t xml:space="preserve"> </w:t>
      </w:r>
      <w:r w:rsidR="00F77CF0" w:rsidRPr="00B06A43">
        <w:rPr>
          <w:rFonts w:ascii="Trebuchet MS"/>
          <w:color w:val="333333"/>
          <w:w w:val="80"/>
          <w:sz w:val="16"/>
          <w:szCs w:val="16"/>
          <w:lang w:val="uk-UA"/>
        </w:rPr>
        <w:t>ДІ</w:t>
      </w:r>
      <w:r w:rsidRPr="00B06A43">
        <w:rPr>
          <w:rFonts w:ascii="Trebuchet MS"/>
          <w:color w:val="333333"/>
          <w:spacing w:val="-5"/>
          <w:w w:val="80"/>
          <w:sz w:val="16"/>
          <w:szCs w:val="16"/>
          <w:lang w:val="uk-UA"/>
        </w:rPr>
        <w:t>)</w:t>
      </w:r>
    </w:p>
    <w:p w14:paraId="17F959AA" w14:textId="5362688B" w:rsidR="00E05B98" w:rsidRPr="00B06A43" w:rsidRDefault="00B01E0C" w:rsidP="00B06A43">
      <w:pPr>
        <w:spacing w:before="104"/>
        <w:ind w:left="142"/>
        <w:rPr>
          <w:rFonts w:ascii="Trebuchet MS"/>
          <w:sz w:val="16"/>
          <w:szCs w:val="16"/>
          <w:lang w:val="uk-UA"/>
        </w:rPr>
      </w:pPr>
      <w:r w:rsidRPr="00B06A43">
        <w:rPr>
          <w:sz w:val="16"/>
          <w:szCs w:val="16"/>
          <w:lang w:val="uk-UA"/>
        </w:rPr>
        <w:br w:type="column"/>
      </w:r>
      <w:r w:rsidR="00F77CF0" w:rsidRPr="00B06A43">
        <w:rPr>
          <w:rFonts w:ascii="Trebuchet MS"/>
          <w:color w:val="333333"/>
          <w:w w:val="80"/>
          <w:sz w:val="16"/>
          <w:szCs w:val="16"/>
          <w:lang w:val="uk-UA"/>
        </w:rPr>
        <w:t>Чутливість</w:t>
      </w:r>
      <w:r w:rsidR="00F77CF0" w:rsidRPr="00B06A43">
        <w:rPr>
          <w:rFonts w:ascii="Trebuchet MS"/>
          <w:color w:val="333333"/>
          <w:spacing w:val="20"/>
          <w:sz w:val="16"/>
          <w:szCs w:val="16"/>
          <w:lang w:val="uk-UA"/>
        </w:rPr>
        <w:t xml:space="preserve"> </w:t>
      </w:r>
      <w:r w:rsidR="00F77CF0" w:rsidRPr="00B06A43">
        <w:rPr>
          <w:rFonts w:ascii="Trebuchet MS"/>
          <w:color w:val="333333"/>
          <w:w w:val="80"/>
          <w:sz w:val="16"/>
          <w:szCs w:val="16"/>
          <w:lang w:val="uk-UA"/>
        </w:rPr>
        <w:t>(95%</w:t>
      </w:r>
      <w:r w:rsidR="00F77CF0" w:rsidRPr="00B06A43">
        <w:rPr>
          <w:rFonts w:ascii="Trebuchet MS"/>
          <w:color w:val="333333"/>
          <w:spacing w:val="21"/>
          <w:sz w:val="16"/>
          <w:szCs w:val="16"/>
          <w:lang w:val="uk-UA"/>
        </w:rPr>
        <w:t xml:space="preserve"> </w:t>
      </w:r>
      <w:r w:rsidR="00F77CF0" w:rsidRPr="00B06A43">
        <w:rPr>
          <w:rFonts w:ascii="Trebuchet MS"/>
          <w:color w:val="333333"/>
          <w:w w:val="80"/>
          <w:sz w:val="16"/>
          <w:szCs w:val="16"/>
          <w:lang w:val="uk-UA"/>
        </w:rPr>
        <w:t>ДІ</w:t>
      </w:r>
      <w:r w:rsidR="00F77CF0" w:rsidRPr="00B06A43">
        <w:rPr>
          <w:rFonts w:ascii="Trebuchet MS"/>
          <w:color w:val="333333"/>
          <w:spacing w:val="-5"/>
          <w:w w:val="80"/>
          <w:sz w:val="16"/>
          <w:szCs w:val="16"/>
          <w:lang w:val="uk-UA"/>
        </w:rPr>
        <w:t>)</w:t>
      </w:r>
    </w:p>
    <w:p w14:paraId="53F19BDC" w14:textId="0F8DB007" w:rsidR="00E05B98" w:rsidRPr="00B06A43" w:rsidRDefault="00B01E0C">
      <w:pPr>
        <w:spacing w:before="104"/>
        <w:ind w:left="211"/>
        <w:rPr>
          <w:rFonts w:ascii="Trebuchet MS"/>
          <w:sz w:val="16"/>
          <w:szCs w:val="16"/>
          <w:lang w:val="uk-UA"/>
        </w:rPr>
      </w:pPr>
      <w:r w:rsidRPr="00B06A43">
        <w:rPr>
          <w:sz w:val="16"/>
          <w:szCs w:val="16"/>
          <w:lang w:val="uk-UA"/>
        </w:rPr>
        <w:br w:type="column"/>
      </w:r>
      <w:r w:rsidR="00F77CF0" w:rsidRPr="00B06A43">
        <w:rPr>
          <w:rFonts w:ascii="Trebuchet MS"/>
          <w:color w:val="333333"/>
          <w:w w:val="80"/>
          <w:sz w:val="16"/>
          <w:szCs w:val="16"/>
          <w:lang w:val="uk-UA"/>
        </w:rPr>
        <w:t>Специфічність</w:t>
      </w:r>
      <w:r w:rsidR="00F77CF0" w:rsidRPr="00B06A43">
        <w:rPr>
          <w:rFonts w:ascii="Trebuchet MS"/>
          <w:color w:val="333333"/>
          <w:spacing w:val="13"/>
          <w:sz w:val="16"/>
          <w:szCs w:val="16"/>
          <w:lang w:val="uk-UA"/>
        </w:rPr>
        <w:t xml:space="preserve"> </w:t>
      </w:r>
      <w:r w:rsidR="00F77CF0" w:rsidRPr="00B06A43">
        <w:rPr>
          <w:rFonts w:ascii="Trebuchet MS"/>
          <w:color w:val="333333"/>
          <w:w w:val="80"/>
          <w:sz w:val="16"/>
          <w:szCs w:val="16"/>
          <w:lang w:val="uk-UA"/>
        </w:rPr>
        <w:t>(95%</w:t>
      </w:r>
      <w:r w:rsidR="00F77CF0" w:rsidRPr="00B06A43">
        <w:rPr>
          <w:rFonts w:ascii="Trebuchet MS"/>
          <w:color w:val="333333"/>
          <w:spacing w:val="14"/>
          <w:sz w:val="16"/>
          <w:szCs w:val="16"/>
          <w:lang w:val="uk-UA"/>
        </w:rPr>
        <w:t xml:space="preserve"> </w:t>
      </w:r>
      <w:r w:rsidR="00F77CF0" w:rsidRPr="00B06A43">
        <w:rPr>
          <w:rFonts w:ascii="Trebuchet MS"/>
          <w:color w:val="333333"/>
          <w:w w:val="80"/>
          <w:sz w:val="16"/>
          <w:szCs w:val="16"/>
          <w:lang w:val="uk-UA"/>
        </w:rPr>
        <w:t>ДІ</w:t>
      </w:r>
      <w:r w:rsidR="00F77CF0" w:rsidRPr="00B06A43">
        <w:rPr>
          <w:rFonts w:ascii="Trebuchet MS"/>
          <w:color w:val="333333"/>
          <w:spacing w:val="-5"/>
          <w:w w:val="80"/>
          <w:sz w:val="16"/>
          <w:szCs w:val="16"/>
          <w:lang w:val="uk-UA"/>
        </w:rPr>
        <w:t>)</w:t>
      </w:r>
    </w:p>
    <w:p w14:paraId="76F51D3C" w14:textId="77777777" w:rsidR="00E05B98" w:rsidRPr="00B06A43" w:rsidRDefault="00E05B98">
      <w:pPr>
        <w:rPr>
          <w:rFonts w:ascii="Trebuchet MS"/>
          <w:sz w:val="16"/>
          <w:szCs w:val="16"/>
          <w:lang w:val="uk-UA"/>
        </w:rPr>
        <w:sectPr w:rsidR="00E05B98" w:rsidRPr="00B06A43" w:rsidSect="00B06A43">
          <w:type w:val="continuous"/>
          <w:pgSz w:w="11910" w:h="16840"/>
          <w:pgMar w:top="1920" w:right="1275" w:bottom="280" w:left="850" w:header="0" w:footer="573" w:gutter="0"/>
          <w:cols w:num="7" w:space="720" w:equalWidth="0">
            <w:col w:w="1140" w:space="311"/>
            <w:col w:w="1213" w:space="39"/>
            <w:col w:w="596" w:space="40"/>
            <w:col w:w="1500" w:space="40"/>
            <w:col w:w="1499" w:space="2"/>
            <w:col w:w="1449" w:space="39"/>
            <w:col w:w="1917"/>
          </w:cols>
        </w:sectPr>
      </w:pPr>
    </w:p>
    <w:p w14:paraId="346F9097" w14:textId="4619CDE3" w:rsidR="00E05B98" w:rsidRPr="003C6DAE" w:rsidRDefault="00B01E0C">
      <w:pPr>
        <w:spacing w:before="65" w:line="278" w:lineRule="auto"/>
        <w:ind w:left="693" w:right="323"/>
        <w:rPr>
          <w:rFonts w:ascii="Trebuchet MS"/>
          <w:sz w:val="18"/>
          <w:lang w:val="uk-UA"/>
        </w:rPr>
      </w:pPr>
      <w:proofErr w:type="spellStart"/>
      <w:r w:rsidRPr="003C6DAE">
        <w:rPr>
          <w:rFonts w:ascii="Trebuchet MS"/>
          <w:w w:val="80"/>
          <w:sz w:val="18"/>
          <w:lang w:val="uk-UA"/>
        </w:rPr>
        <w:t>Penata</w:t>
      </w:r>
      <w:proofErr w:type="spellEnd"/>
      <w:r w:rsidRPr="003C6DAE">
        <w:rPr>
          <w:rFonts w:ascii="Trebuchet MS"/>
          <w:spacing w:val="-3"/>
          <w:sz w:val="18"/>
          <w:lang w:val="uk-UA"/>
        </w:rPr>
        <w:t xml:space="preserve"> </w:t>
      </w:r>
      <w:r w:rsidRPr="003C6DAE">
        <w:rPr>
          <w:rFonts w:ascii="Trebuchet MS"/>
          <w:w w:val="80"/>
          <w:sz w:val="18"/>
          <w:lang w:val="uk-UA"/>
        </w:rPr>
        <w:t xml:space="preserve">2021 </w:t>
      </w:r>
      <w:proofErr w:type="spellStart"/>
      <w:r w:rsidRPr="003C6DAE">
        <w:rPr>
          <w:rFonts w:ascii="Trebuchet MS"/>
          <w:w w:val="90"/>
          <w:sz w:val="18"/>
          <w:lang w:val="uk-UA"/>
        </w:rPr>
        <w:t>Slail</w:t>
      </w:r>
      <w:proofErr w:type="spellEnd"/>
      <w:r w:rsidRPr="003C6DAE">
        <w:rPr>
          <w:rFonts w:ascii="Trebuchet MS"/>
          <w:w w:val="90"/>
          <w:sz w:val="18"/>
          <w:lang w:val="uk-UA"/>
        </w:rPr>
        <w:t xml:space="preserve"> 2023</w:t>
      </w:r>
    </w:p>
    <w:p w14:paraId="370ACC32" w14:textId="78555CF7" w:rsidR="00E05B98" w:rsidRPr="003C6DAE" w:rsidRDefault="00B01E0C">
      <w:pPr>
        <w:spacing w:line="209" w:lineRule="exact"/>
        <w:ind w:left="693"/>
        <w:rPr>
          <w:rFonts w:ascii="Trebuchet MS"/>
          <w:sz w:val="18"/>
          <w:lang w:val="uk-UA"/>
        </w:rPr>
      </w:pPr>
      <w:proofErr w:type="spellStart"/>
      <w:r w:rsidRPr="003C6DAE">
        <w:rPr>
          <w:rFonts w:ascii="Trebuchet MS"/>
          <w:w w:val="75"/>
          <w:sz w:val="18"/>
          <w:lang w:val="uk-UA"/>
        </w:rPr>
        <w:t>Perez-Risco</w:t>
      </w:r>
      <w:proofErr w:type="spellEnd"/>
      <w:r w:rsidRPr="003C6DAE">
        <w:rPr>
          <w:rFonts w:ascii="Trebuchet MS"/>
          <w:spacing w:val="20"/>
          <w:sz w:val="18"/>
          <w:lang w:val="uk-UA"/>
        </w:rPr>
        <w:t xml:space="preserve"> </w:t>
      </w:r>
      <w:r w:rsidRPr="003C6DAE">
        <w:rPr>
          <w:rFonts w:ascii="Trebuchet MS"/>
          <w:spacing w:val="-4"/>
          <w:w w:val="75"/>
          <w:sz w:val="18"/>
          <w:lang w:val="uk-UA"/>
        </w:rPr>
        <w:t>2018</w:t>
      </w:r>
    </w:p>
    <w:p w14:paraId="34485DC0" w14:textId="40233D07" w:rsidR="00E05B98" w:rsidRPr="003C6DAE" w:rsidRDefault="00B01E0C">
      <w:pPr>
        <w:tabs>
          <w:tab w:val="left" w:pos="632"/>
          <w:tab w:val="left" w:pos="947"/>
        </w:tabs>
        <w:spacing w:before="65"/>
        <w:ind w:left="316"/>
        <w:rPr>
          <w:rFonts w:ascii="Trebuchet MS"/>
          <w:sz w:val="18"/>
          <w:lang w:val="uk-UA"/>
        </w:rPr>
      </w:pPr>
      <w:r w:rsidRPr="003C6DAE">
        <w:rPr>
          <w:lang w:val="uk-UA"/>
        </w:rPr>
        <w:br w:type="column"/>
      </w:r>
      <w:r w:rsidRPr="003C6DAE">
        <w:rPr>
          <w:rFonts w:ascii="Trebuchet MS"/>
          <w:spacing w:val="-10"/>
          <w:w w:val="90"/>
          <w:sz w:val="18"/>
          <w:lang w:val="uk-UA"/>
        </w:rPr>
        <w:t>2</w:t>
      </w:r>
      <w:r w:rsidRPr="003C6DAE">
        <w:rPr>
          <w:rFonts w:ascii="Trebuchet MS"/>
          <w:sz w:val="18"/>
          <w:lang w:val="uk-UA"/>
        </w:rPr>
        <w:tab/>
      </w:r>
      <w:r w:rsidRPr="003C6DAE">
        <w:rPr>
          <w:rFonts w:ascii="Trebuchet MS"/>
          <w:spacing w:val="-10"/>
          <w:w w:val="90"/>
          <w:sz w:val="18"/>
          <w:lang w:val="uk-UA"/>
        </w:rPr>
        <w:t>0</w:t>
      </w:r>
      <w:r w:rsidRPr="003C6DAE">
        <w:rPr>
          <w:rFonts w:ascii="Trebuchet MS"/>
          <w:sz w:val="18"/>
          <w:lang w:val="uk-UA"/>
        </w:rPr>
        <w:tab/>
      </w:r>
      <w:r w:rsidRPr="003C6DAE">
        <w:rPr>
          <w:rFonts w:ascii="Trebuchet MS"/>
          <w:w w:val="90"/>
          <w:sz w:val="18"/>
          <w:lang w:val="uk-UA"/>
        </w:rPr>
        <w:t>1</w:t>
      </w:r>
      <w:r w:rsidRPr="003C6DAE">
        <w:rPr>
          <w:rFonts w:ascii="Trebuchet MS"/>
          <w:spacing w:val="63"/>
          <w:w w:val="150"/>
          <w:sz w:val="18"/>
          <w:lang w:val="uk-UA"/>
        </w:rPr>
        <w:t xml:space="preserve"> </w:t>
      </w:r>
      <w:r w:rsidRPr="003C6DAE">
        <w:rPr>
          <w:rFonts w:ascii="Trebuchet MS"/>
          <w:spacing w:val="-5"/>
          <w:w w:val="90"/>
          <w:sz w:val="18"/>
          <w:lang w:val="uk-UA"/>
        </w:rPr>
        <w:t>43</w:t>
      </w:r>
    </w:p>
    <w:p w14:paraId="57416272" w14:textId="77777777" w:rsidR="00E05B98" w:rsidRPr="003C6DAE" w:rsidRDefault="00B01E0C">
      <w:pPr>
        <w:tabs>
          <w:tab w:val="left" w:pos="632"/>
          <w:tab w:val="left" w:pos="947"/>
        </w:tabs>
        <w:spacing w:before="33"/>
        <w:ind w:left="316"/>
        <w:rPr>
          <w:rFonts w:ascii="Trebuchet MS"/>
          <w:sz w:val="18"/>
          <w:lang w:val="uk-UA"/>
        </w:rPr>
      </w:pPr>
      <w:r w:rsidRPr="003C6DAE">
        <w:rPr>
          <w:rFonts w:ascii="Trebuchet MS"/>
          <w:spacing w:val="-10"/>
          <w:w w:val="90"/>
          <w:sz w:val="18"/>
          <w:lang w:val="uk-UA"/>
        </w:rPr>
        <w:t>1</w:t>
      </w:r>
      <w:r w:rsidRPr="003C6DAE">
        <w:rPr>
          <w:rFonts w:ascii="Trebuchet MS"/>
          <w:sz w:val="18"/>
          <w:lang w:val="uk-UA"/>
        </w:rPr>
        <w:tab/>
      </w:r>
      <w:r w:rsidRPr="003C6DAE">
        <w:rPr>
          <w:rFonts w:ascii="Trebuchet MS"/>
          <w:spacing w:val="-10"/>
          <w:w w:val="90"/>
          <w:sz w:val="18"/>
          <w:lang w:val="uk-UA"/>
        </w:rPr>
        <w:t>1</w:t>
      </w:r>
      <w:r w:rsidRPr="003C6DAE">
        <w:rPr>
          <w:rFonts w:ascii="Trebuchet MS"/>
          <w:sz w:val="18"/>
          <w:lang w:val="uk-UA"/>
        </w:rPr>
        <w:tab/>
      </w:r>
      <w:r w:rsidRPr="003C6DAE">
        <w:rPr>
          <w:rFonts w:ascii="Trebuchet MS"/>
          <w:w w:val="90"/>
          <w:sz w:val="18"/>
          <w:lang w:val="uk-UA"/>
        </w:rPr>
        <w:t>1</w:t>
      </w:r>
      <w:r w:rsidRPr="003C6DAE">
        <w:rPr>
          <w:rFonts w:ascii="Trebuchet MS"/>
          <w:spacing w:val="63"/>
          <w:w w:val="150"/>
          <w:sz w:val="18"/>
          <w:lang w:val="uk-UA"/>
        </w:rPr>
        <w:t xml:space="preserve"> </w:t>
      </w:r>
      <w:r w:rsidRPr="003C6DAE">
        <w:rPr>
          <w:rFonts w:ascii="Trebuchet MS"/>
          <w:spacing w:val="-5"/>
          <w:w w:val="90"/>
          <w:sz w:val="18"/>
          <w:lang w:val="uk-UA"/>
        </w:rPr>
        <w:t>17</w:t>
      </w:r>
    </w:p>
    <w:p w14:paraId="026A8523" w14:textId="77777777" w:rsidR="00E05B98" w:rsidRPr="003C6DAE" w:rsidRDefault="00B01E0C">
      <w:pPr>
        <w:tabs>
          <w:tab w:val="left" w:pos="632"/>
          <w:tab w:val="left" w:pos="947"/>
          <w:tab w:val="left" w:pos="1263"/>
        </w:tabs>
        <w:spacing w:before="33"/>
        <w:ind w:left="316"/>
        <w:rPr>
          <w:rFonts w:ascii="Trebuchet MS"/>
          <w:sz w:val="18"/>
          <w:lang w:val="uk-UA"/>
        </w:rPr>
      </w:pPr>
      <w:r w:rsidRPr="003C6DAE">
        <w:rPr>
          <w:rFonts w:ascii="Trebuchet MS"/>
          <w:spacing w:val="-10"/>
          <w:w w:val="90"/>
          <w:sz w:val="18"/>
          <w:lang w:val="uk-UA"/>
        </w:rPr>
        <w:t>1</w:t>
      </w:r>
      <w:r w:rsidRPr="003C6DAE">
        <w:rPr>
          <w:rFonts w:ascii="Trebuchet MS"/>
          <w:sz w:val="18"/>
          <w:lang w:val="uk-UA"/>
        </w:rPr>
        <w:tab/>
      </w:r>
      <w:r w:rsidRPr="003C6DAE">
        <w:rPr>
          <w:rFonts w:ascii="Trebuchet MS"/>
          <w:spacing w:val="-10"/>
          <w:w w:val="90"/>
          <w:sz w:val="18"/>
          <w:lang w:val="uk-UA"/>
        </w:rPr>
        <w:t>0</w:t>
      </w:r>
      <w:r w:rsidRPr="003C6DAE">
        <w:rPr>
          <w:rFonts w:ascii="Trebuchet MS"/>
          <w:sz w:val="18"/>
          <w:lang w:val="uk-UA"/>
        </w:rPr>
        <w:tab/>
      </w:r>
      <w:r w:rsidRPr="003C6DAE">
        <w:rPr>
          <w:rFonts w:ascii="Trebuchet MS"/>
          <w:spacing w:val="-10"/>
          <w:w w:val="90"/>
          <w:sz w:val="18"/>
          <w:lang w:val="uk-UA"/>
        </w:rPr>
        <w:t>2</w:t>
      </w:r>
      <w:r w:rsidRPr="003C6DAE">
        <w:rPr>
          <w:rFonts w:ascii="Trebuchet MS"/>
          <w:sz w:val="18"/>
          <w:lang w:val="uk-UA"/>
        </w:rPr>
        <w:tab/>
      </w:r>
      <w:r w:rsidRPr="003C6DAE">
        <w:rPr>
          <w:rFonts w:ascii="Trebuchet MS"/>
          <w:spacing w:val="-12"/>
          <w:w w:val="90"/>
          <w:sz w:val="18"/>
          <w:lang w:val="uk-UA"/>
        </w:rPr>
        <w:t>0</w:t>
      </w:r>
    </w:p>
    <w:p w14:paraId="4B823B66" w14:textId="77777777" w:rsidR="00E05B98" w:rsidRPr="003C6DAE" w:rsidRDefault="00B01E0C">
      <w:pPr>
        <w:spacing w:before="65"/>
        <w:ind w:left="380"/>
        <w:rPr>
          <w:rFonts w:ascii="Trebuchet MS"/>
          <w:sz w:val="18"/>
          <w:lang w:val="uk-UA"/>
        </w:rPr>
      </w:pPr>
      <w:r w:rsidRPr="003C6DAE">
        <w:rPr>
          <w:lang w:val="uk-UA"/>
        </w:rPr>
        <w:br w:type="column"/>
      </w:r>
      <w:r w:rsidRPr="003C6DAE">
        <w:rPr>
          <w:rFonts w:ascii="Trebuchet MS"/>
          <w:w w:val="70"/>
          <w:sz w:val="18"/>
          <w:lang w:val="uk-UA"/>
        </w:rPr>
        <w:t>0.67</w:t>
      </w:r>
      <w:r w:rsidRPr="003C6DAE">
        <w:rPr>
          <w:rFonts w:ascii="Trebuchet MS"/>
          <w:spacing w:val="24"/>
          <w:sz w:val="18"/>
          <w:lang w:val="uk-UA"/>
        </w:rPr>
        <w:t xml:space="preserve"> </w:t>
      </w:r>
      <w:r w:rsidRPr="003C6DAE">
        <w:rPr>
          <w:rFonts w:ascii="Trebuchet MS"/>
          <w:w w:val="70"/>
          <w:sz w:val="18"/>
          <w:lang w:val="uk-UA"/>
        </w:rPr>
        <w:t>[0.09,</w:t>
      </w:r>
      <w:r w:rsidRPr="003C6DAE">
        <w:rPr>
          <w:rFonts w:ascii="Trebuchet MS"/>
          <w:spacing w:val="31"/>
          <w:sz w:val="18"/>
          <w:lang w:val="uk-UA"/>
        </w:rPr>
        <w:t xml:space="preserve"> </w:t>
      </w:r>
      <w:r w:rsidRPr="003C6DAE">
        <w:rPr>
          <w:rFonts w:ascii="Trebuchet MS"/>
          <w:spacing w:val="-2"/>
          <w:w w:val="70"/>
          <w:sz w:val="18"/>
          <w:lang w:val="uk-UA"/>
        </w:rPr>
        <w:t>0.99]</w:t>
      </w:r>
    </w:p>
    <w:p w14:paraId="5E2D8DEC" w14:textId="77777777" w:rsidR="00E05B98" w:rsidRPr="003C6DAE" w:rsidRDefault="00B01E0C">
      <w:pPr>
        <w:spacing w:before="33"/>
        <w:ind w:left="380"/>
        <w:rPr>
          <w:rFonts w:ascii="Trebuchet MS"/>
          <w:sz w:val="18"/>
          <w:lang w:val="uk-UA"/>
        </w:rPr>
      </w:pPr>
      <w:r w:rsidRPr="003C6DAE">
        <w:rPr>
          <w:rFonts w:ascii="Trebuchet MS"/>
          <w:w w:val="70"/>
          <w:sz w:val="18"/>
          <w:lang w:val="uk-UA"/>
        </w:rPr>
        <w:t>0.50</w:t>
      </w:r>
      <w:r w:rsidRPr="003C6DAE">
        <w:rPr>
          <w:rFonts w:ascii="Trebuchet MS"/>
          <w:spacing w:val="24"/>
          <w:sz w:val="18"/>
          <w:lang w:val="uk-UA"/>
        </w:rPr>
        <w:t xml:space="preserve"> </w:t>
      </w:r>
      <w:r w:rsidRPr="003C6DAE">
        <w:rPr>
          <w:rFonts w:ascii="Trebuchet MS"/>
          <w:w w:val="70"/>
          <w:sz w:val="18"/>
          <w:lang w:val="uk-UA"/>
        </w:rPr>
        <w:t>[0.01,</w:t>
      </w:r>
      <w:r w:rsidRPr="003C6DAE">
        <w:rPr>
          <w:rFonts w:ascii="Trebuchet MS"/>
          <w:spacing w:val="31"/>
          <w:sz w:val="18"/>
          <w:lang w:val="uk-UA"/>
        </w:rPr>
        <w:t xml:space="preserve"> </w:t>
      </w:r>
      <w:r w:rsidRPr="003C6DAE">
        <w:rPr>
          <w:rFonts w:ascii="Trebuchet MS"/>
          <w:spacing w:val="-2"/>
          <w:w w:val="70"/>
          <w:sz w:val="18"/>
          <w:lang w:val="uk-UA"/>
        </w:rPr>
        <w:t>0.99]</w:t>
      </w:r>
    </w:p>
    <w:p w14:paraId="14AA8DB9" w14:textId="77777777" w:rsidR="00E05B98" w:rsidRPr="003C6DAE" w:rsidRDefault="00B01E0C">
      <w:pPr>
        <w:spacing w:before="33"/>
        <w:ind w:left="380"/>
        <w:rPr>
          <w:rFonts w:ascii="Trebuchet MS"/>
          <w:sz w:val="18"/>
          <w:lang w:val="uk-UA"/>
        </w:rPr>
      </w:pPr>
      <w:r w:rsidRPr="003C6DAE">
        <w:rPr>
          <w:rFonts w:ascii="Trebuchet MS"/>
          <w:w w:val="70"/>
          <w:sz w:val="18"/>
          <w:lang w:val="uk-UA"/>
        </w:rPr>
        <w:t>0.33</w:t>
      </w:r>
      <w:r w:rsidRPr="003C6DAE">
        <w:rPr>
          <w:rFonts w:ascii="Trebuchet MS"/>
          <w:spacing w:val="24"/>
          <w:sz w:val="18"/>
          <w:lang w:val="uk-UA"/>
        </w:rPr>
        <w:t xml:space="preserve"> </w:t>
      </w:r>
      <w:r w:rsidRPr="003C6DAE">
        <w:rPr>
          <w:rFonts w:ascii="Trebuchet MS"/>
          <w:w w:val="70"/>
          <w:sz w:val="18"/>
          <w:lang w:val="uk-UA"/>
        </w:rPr>
        <w:t>[0.01,</w:t>
      </w:r>
      <w:r w:rsidRPr="003C6DAE">
        <w:rPr>
          <w:rFonts w:ascii="Trebuchet MS"/>
          <w:spacing w:val="31"/>
          <w:sz w:val="18"/>
          <w:lang w:val="uk-UA"/>
        </w:rPr>
        <w:t xml:space="preserve"> </w:t>
      </w:r>
      <w:r w:rsidRPr="003C6DAE">
        <w:rPr>
          <w:rFonts w:ascii="Trebuchet MS"/>
          <w:spacing w:val="-2"/>
          <w:w w:val="70"/>
          <w:sz w:val="18"/>
          <w:lang w:val="uk-UA"/>
        </w:rPr>
        <w:t>0.91]</w:t>
      </w:r>
    </w:p>
    <w:p w14:paraId="6E0BB6C4" w14:textId="77777777" w:rsidR="00E05B98" w:rsidRPr="003C6DAE" w:rsidRDefault="00B01E0C">
      <w:pPr>
        <w:spacing w:before="65"/>
        <w:jc w:val="right"/>
        <w:rPr>
          <w:rFonts w:ascii="Trebuchet MS"/>
          <w:sz w:val="18"/>
          <w:lang w:val="uk-UA"/>
        </w:rPr>
      </w:pPr>
      <w:r w:rsidRPr="003C6DAE">
        <w:rPr>
          <w:lang w:val="uk-UA"/>
        </w:rPr>
        <w:br w:type="column"/>
      </w:r>
      <w:r w:rsidRPr="003C6DAE">
        <w:rPr>
          <w:rFonts w:ascii="Trebuchet MS"/>
          <w:w w:val="70"/>
          <w:sz w:val="18"/>
          <w:lang w:val="uk-UA"/>
        </w:rPr>
        <w:t>1.00</w:t>
      </w:r>
      <w:r w:rsidRPr="003C6DAE">
        <w:rPr>
          <w:rFonts w:ascii="Trebuchet MS"/>
          <w:spacing w:val="24"/>
          <w:sz w:val="18"/>
          <w:lang w:val="uk-UA"/>
        </w:rPr>
        <w:t xml:space="preserve"> </w:t>
      </w:r>
      <w:r w:rsidRPr="003C6DAE">
        <w:rPr>
          <w:rFonts w:ascii="Trebuchet MS"/>
          <w:w w:val="70"/>
          <w:sz w:val="18"/>
          <w:lang w:val="uk-UA"/>
        </w:rPr>
        <w:t>[0.92,</w:t>
      </w:r>
      <w:r w:rsidRPr="003C6DAE">
        <w:rPr>
          <w:rFonts w:ascii="Trebuchet MS"/>
          <w:spacing w:val="31"/>
          <w:sz w:val="18"/>
          <w:lang w:val="uk-UA"/>
        </w:rPr>
        <w:t xml:space="preserve"> </w:t>
      </w:r>
      <w:r w:rsidRPr="003C6DAE">
        <w:rPr>
          <w:rFonts w:ascii="Trebuchet MS"/>
          <w:spacing w:val="-2"/>
          <w:w w:val="70"/>
          <w:sz w:val="18"/>
          <w:lang w:val="uk-UA"/>
        </w:rPr>
        <w:t>1.00]</w:t>
      </w:r>
    </w:p>
    <w:p w14:paraId="526F5EC2" w14:textId="77777777" w:rsidR="00E05B98" w:rsidRPr="003C6DAE" w:rsidRDefault="00B01E0C">
      <w:pPr>
        <w:spacing w:before="33"/>
        <w:jc w:val="right"/>
        <w:rPr>
          <w:rFonts w:ascii="Trebuchet MS"/>
          <w:sz w:val="18"/>
          <w:lang w:val="uk-UA"/>
        </w:rPr>
      </w:pPr>
      <w:r w:rsidRPr="003C6DAE">
        <w:rPr>
          <w:rFonts w:ascii="Trebuchet MS"/>
          <w:w w:val="70"/>
          <w:sz w:val="18"/>
          <w:lang w:val="uk-UA"/>
        </w:rPr>
        <w:t>0.94</w:t>
      </w:r>
      <w:r w:rsidRPr="003C6DAE">
        <w:rPr>
          <w:rFonts w:ascii="Trebuchet MS"/>
          <w:spacing w:val="24"/>
          <w:sz w:val="18"/>
          <w:lang w:val="uk-UA"/>
        </w:rPr>
        <w:t xml:space="preserve"> </w:t>
      </w:r>
      <w:r w:rsidRPr="003C6DAE">
        <w:rPr>
          <w:rFonts w:ascii="Trebuchet MS"/>
          <w:w w:val="70"/>
          <w:sz w:val="18"/>
          <w:lang w:val="uk-UA"/>
        </w:rPr>
        <w:t>[0.73,</w:t>
      </w:r>
      <w:r w:rsidRPr="003C6DAE">
        <w:rPr>
          <w:rFonts w:ascii="Trebuchet MS"/>
          <w:spacing w:val="31"/>
          <w:sz w:val="18"/>
          <w:lang w:val="uk-UA"/>
        </w:rPr>
        <w:t xml:space="preserve"> </w:t>
      </w:r>
      <w:r w:rsidRPr="003C6DAE">
        <w:rPr>
          <w:rFonts w:ascii="Trebuchet MS"/>
          <w:spacing w:val="-2"/>
          <w:w w:val="70"/>
          <w:sz w:val="18"/>
          <w:lang w:val="uk-UA"/>
        </w:rPr>
        <w:t>1.00]</w:t>
      </w:r>
    </w:p>
    <w:p w14:paraId="15932580" w14:textId="6AF8F7D1" w:rsidR="00E05B98" w:rsidRPr="003C6DAE" w:rsidRDefault="00F77CF0">
      <w:pPr>
        <w:spacing w:before="33"/>
        <w:ind w:right="11"/>
        <w:jc w:val="right"/>
        <w:rPr>
          <w:rFonts w:ascii="Trebuchet MS"/>
          <w:sz w:val="18"/>
          <w:lang w:val="uk-UA"/>
        </w:rPr>
      </w:pPr>
      <w:r w:rsidRPr="003C6DAE">
        <w:rPr>
          <w:rFonts w:ascii="Trebuchet MS"/>
          <w:w w:val="80"/>
          <w:sz w:val="18"/>
          <w:lang w:val="uk-UA"/>
        </w:rPr>
        <w:t>Не</w:t>
      </w:r>
      <w:r w:rsidRPr="003C6DAE">
        <w:rPr>
          <w:rFonts w:ascii="Trebuchet MS"/>
          <w:w w:val="80"/>
          <w:sz w:val="18"/>
          <w:lang w:val="uk-UA"/>
        </w:rPr>
        <w:t xml:space="preserve"> </w:t>
      </w:r>
      <w:r w:rsidRPr="003C6DAE">
        <w:rPr>
          <w:rFonts w:ascii="Trebuchet MS"/>
          <w:w w:val="80"/>
          <w:sz w:val="18"/>
          <w:lang w:val="uk-UA"/>
        </w:rPr>
        <w:t>підлягає</w:t>
      </w:r>
      <w:r w:rsidRPr="003C6DAE">
        <w:rPr>
          <w:rFonts w:ascii="Trebuchet MS"/>
          <w:w w:val="80"/>
          <w:sz w:val="18"/>
          <w:lang w:val="uk-UA"/>
        </w:rPr>
        <w:t xml:space="preserve"> </w:t>
      </w:r>
      <w:r w:rsidRPr="003C6DAE">
        <w:rPr>
          <w:rFonts w:ascii="Trebuchet MS"/>
          <w:w w:val="80"/>
          <w:sz w:val="18"/>
          <w:lang w:val="uk-UA"/>
        </w:rPr>
        <w:t>оцінці</w:t>
      </w:r>
    </w:p>
    <w:p w14:paraId="49125DFD" w14:textId="77777777" w:rsidR="00E05B98" w:rsidRPr="003C6DAE" w:rsidRDefault="00B01E0C">
      <w:pPr>
        <w:rPr>
          <w:rFonts w:ascii="Trebuchet MS"/>
          <w:sz w:val="7"/>
          <w:lang w:val="uk-UA"/>
        </w:rPr>
      </w:pPr>
      <w:r w:rsidRPr="003C6DAE">
        <w:rPr>
          <w:lang w:val="uk-UA"/>
        </w:rPr>
        <w:br w:type="column"/>
      </w:r>
    </w:p>
    <w:p w14:paraId="60AC9F7B" w14:textId="77777777" w:rsidR="00E05B98" w:rsidRPr="003C6DAE" w:rsidRDefault="00B01E0C">
      <w:pPr>
        <w:pStyle w:val="a3"/>
        <w:spacing w:line="105" w:lineRule="exact"/>
        <w:ind w:left="143" w:right="-72"/>
        <w:rPr>
          <w:rFonts w:ascii="Trebuchet MS"/>
          <w:position w:val="-1"/>
          <w:sz w:val="10"/>
          <w:lang w:val="uk-UA"/>
        </w:rPr>
      </w:pPr>
      <w:r w:rsidRPr="003C6DAE">
        <w:rPr>
          <w:rFonts w:ascii="Trebuchet MS"/>
          <w:noProof/>
          <w:position w:val="-1"/>
          <w:sz w:val="10"/>
          <w:lang w:val="uk-UA"/>
        </w:rPr>
        <mc:AlternateContent>
          <mc:Choice Requires="wpg">
            <w:drawing>
              <wp:inline distT="0" distB="0" distL="0" distR="0" wp14:anchorId="0A7DD023" wp14:editId="17A673A8">
                <wp:extent cx="862965" cy="67310"/>
                <wp:effectExtent l="9525" t="0" r="3809" b="8890"/>
                <wp:docPr id="87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67310"/>
                          <a:chOff x="0" y="0"/>
                          <a:chExt cx="862965" cy="67310"/>
                        </a:xfrm>
                      </wpg:grpSpPr>
                      <wps:wsp>
                        <wps:cNvPr id="880" name="Graphic 880"/>
                        <wps:cNvSpPr/>
                        <wps:spPr>
                          <a:xfrm>
                            <a:off x="0" y="28840"/>
                            <a:ext cx="862965" cy="1270"/>
                          </a:xfrm>
                          <a:custGeom>
                            <a:avLst/>
                            <a:gdLst/>
                            <a:ahLst/>
                            <a:cxnLst/>
                            <a:rect l="l" t="t" r="r" b="b"/>
                            <a:pathLst>
                              <a:path w="862965">
                                <a:moveTo>
                                  <a:pt x="0" y="0"/>
                                </a:moveTo>
                                <a:lnTo>
                                  <a:pt x="526330" y="0"/>
                                </a:lnTo>
                              </a:path>
                              <a:path w="862965">
                                <a:moveTo>
                                  <a:pt x="582408" y="0"/>
                                </a:moveTo>
                                <a:lnTo>
                                  <a:pt x="862398" y="0"/>
                                </a:lnTo>
                              </a:path>
                            </a:pathLst>
                          </a:custGeom>
                          <a:ln w="9613">
                            <a:solidFill>
                              <a:srgbClr val="000000"/>
                            </a:solidFill>
                            <a:prstDash val="solid"/>
                          </a:ln>
                        </wps:spPr>
                        <wps:bodyPr wrap="square" lIns="0" tIns="0" rIns="0" bIns="0" rtlCol="0">
                          <a:prstTxWarp prst="textNoShape">
                            <a:avLst/>
                          </a:prstTxWarp>
                          <a:noAutofit/>
                        </wps:bodyPr>
                      </wps:wsp>
                      <wps:wsp>
                        <wps:cNvPr id="881" name="Graphic 881"/>
                        <wps:cNvSpPr/>
                        <wps:spPr>
                          <a:xfrm>
                            <a:off x="526330" y="0"/>
                            <a:ext cx="56515" cy="67310"/>
                          </a:xfrm>
                          <a:custGeom>
                            <a:avLst/>
                            <a:gdLst/>
                            <a:ahLst/>
                            <a:cxnLst/>
                            <a:rect l="l" t="t" r="r" b="b"/>
                            <a:pathLst>
                              <a:path w="56515" h="67310">
                                <a:moveTo>
                                  <a:pt x="56077" y="67293"/>
                                </a:moveTo>
                                <a:lnTo>
                                  <a:pt x="0" y="67293"/>
                                </a:lnTo>
                                <a:lnTo>
                                  <a:pt x="0" y="0"/>
                                </a:lnTo>
                                <a:lnTo>
                                  <a:pt x="56077" y="0"/>
                                </a:lnTo>
                                <a:lnTo>
                                  <a:pt x="56077" y="67293"/>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062D9C85" id="Group 879" o:spid="_x0000_s1026" style="width:67.95pt;height:5.3pt;mso-position-horizontal-relative:char;mso-position-vertical-relative:line" coordsize="862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">
                <v:shape id="Graphic 880" o:spid="_x0000_s1027" style="position:absolute;top:288;width:8629;height:13;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" path="m,l526330,em582408,l862398,e" filled="f" strokeweight=".26703mm">
                  <v:path arrowok="t"/>
                </v:shape>
                <v:shape id="Graphic 881" o:spid="_x0000_s1028" style="position:absolute;left:5263;width:565;height:673;visibility:visible;mso-wrap-style:square;v-text-anchor:top" coordsize="5651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" path="m56077,67293l,67293,,,56077,r,67293xe" fillcolor="#0000c0" stroked="f">
                  <v:path arrowok="t"/>
                </v:shape>
                <w10:anchorlock/>
              </v:group>
            </w:pict>
          </mc:Fallback>
        </mc:AlternateContent>
      </w:r>
    </w:p>
    <w:p w14:paraId="596F1317" w14:textId="77777777" w:rsidR="00E05B98" w:rsidRPr="003C6DAE" w:rsidRDefault="00E05B98">
      <w:pPr>
        <w:pStyle w:val="a3"/>
        <w:spacing w:before="9"/>
        <w:rPr>
          <w:rFonts w:ascii="Trebuchet MS"/>
          <w:sz w:val="11"/>
          <w:lang w:val="uk-UA"/>
        </w:rPr>
      </w:pPr>
    </w:p>
    <w:p w14:paraId="153C384B" w14:textId="77777777" w:rsidR="00E05B98" w:rsidRPr="003C6DAE" w:rsidRDefault="00B01E0C">
      <w:pPr>
        <w:pStyle w:val="a3"/>
        <w:spacing w:line="105" w:lineRule="exact"/>
        <w:ind w:left="20" w:right="-72"/>
        <w:rPr>
          <w:rFonts w:ascii="Trebuchet MS"/>
          <w:position w:val="-1"/>
          <w:sz w:val="10"/>
          <w:lang w:val="uk-UA"/>
        </w:rPr>
      </w:pPr>
      <w:r w:rsidRPr="003C6DAE">
        <w:rPr>
          <w:rFonts w:ascii="Trebuchet MS"/>
          <w:noProof/>
          <w:position w:val="-1"/>
          <w:sz w:val="10"/>
          <w:lang w:val="uk-UA"/>
        </w:rPr>
        <mc:AlternateContent>
          <mc:Choice Requires="wpg">
            <w:drawing>
              <wp:inline distT="0" distB="0" distL="0" distR="0" wp14:anchorId="67AFBC8F" wp14:editId="5BE1B38E">
                <wp:extent cx="937260" cy="67310"/>
                <wp:effectExtent l="9525" t="0" r="0" b="8890"/>
                <wp:docPr id="88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7260" cy="67310"/>
                          <a:chOff x="0" y="0"/>
                          <a:chExt cx="937260" cy="67310"/>
                        </a:xfrm>
                      </wpg:grpSpPr>
                      <wps:wsp>
                        <wps:cNvPr id="883" name="Graphic 883"/>
                        <wps:cNvSpPr/>
                        <wps:spPr>
                          <a:xfrm>
                            <a:off x="0" y="28839"/>
                            <a:ext cx="937260" cy="1270"/>
                          </a:xfrm>
                          <a:custGeom>
                            <a:avLst/>
                            <a:gdLst/>
                            <a:ahLst/>
                            <a:cxnLst/>
                            <a:rect l="l" t="t" r="r" b="b"/>
                            <a:pathLst>
                              <a:path w="937260">
                                <a:moveTo>
                                  <a:pt x="0" y="0"/>
                                </a:moveTo>
                                <a:lnTo>
                                  <a:pt x="444616" y="0"/>
                                </a:lnTo>
                              </a:path>
                              <a:path w="937260">
                                <a:moveTo>
                                  <a:pt x="500694" y="0"/>
                                </a:moveTo>
                                <a:lnTo>
                                  <a:pt x="936902" y="0"/>
                                </a:lnTo>
                              </a:path>
                            </a:pathLst>
                          </a:custGeom>
                          <a:ln w="9613">
                            <a:solidFill>
                              <a:srgbClr val="000000"/>
                            </a:solidFill>
                            <a:prstDash val="solid"/>
                          </a:ln>
                        </wps:spPr>
                        <wps:bodyPr wrap="square" lIns="0" tIns="0" rIns="0" bIns="0" rtlCol="0">
                          <a:prstTxWarp prst="textNoShape">
                            <a:avLst/>
                          </a:prstTxWarp>
                          <a:noAutofit/>
                        </wps:bodyPr>
                      </wps:wsp>
                      <wps:wsp>
                        <wps:cNvPr id="884" name="Graphic 884"/>
                        <wps:cNvSpPr/>
                        <wps:spPr>
                          <a:xfrm>
                            <a:off x="444616" y="0"/>
                            <a:ext cx="56515" cy="67310"/>
                          </a:xfrm>
                          <a:custGeom>
                            <a:avLst/>
                            <a:gdLst/>
                            <a:ahLst/>
                            <a:cxnLst/>
                            <a:rect l="l" t="t" r="r" b="b"/>
                            <a:pathLst>
                              <a:path w="56515" h="67310">
                                <a:moveTo>
                                  <a:pt x="56077" y="67293"/>
                                </a:moveTo>
                                <a:lnTo>
                                  <a:pt x="0" y="67293"/>
                                </a:lnTo>
                                <a:lnTo>
                                  <a:pt x="0" y="0"/>
                                </a:lnTo>
                                <a:lnTo>
                                  <a:pt x="56077" y="0"/>
                                </a:lnTo>
                                <a:lnTo>
                                  <a:pt x="56077" y="67293"/>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42B75167" id="Group 882" o:spid="_x0000_s1026" style="width:73.8pt;height:5.3pt;mso-position-horizontal-relative:char;mso-position-vertical-relative:line" coordsize="93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">
                <v:shape id="Graphic 883" o:spid="_x0000_s1027" style="position:absolute;top:288;width:9372;height:13;visibility:visible;mso-wrap-style:square;v-text-anchor:top" coordsize="937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" path="m,l444616,em500694,l936902,e" filled="f" strokeweight=".26703mm">
                  <v:path arrowok="t"/>
                </v:shape>
                <v:shape id="Graphic 884" o:spid="_x0000_s1028" style="position:absolute;left:4446;width:565;height:673;visibility:visible;mso-wrap-style:square;v-text-anchor:top" coordsize="5651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" path="m56077,67293l,67293,,,56077,r,67293xe" fillcolor="#0000c0" stroked="f">
                  <v:path arrowok="t"/>
                </v:shape>
                <w10:anchorlock/>
              </v:group>
            </w:pict>
          </mc:Fallback>
        </mc:AlternateContent>
      </w:r>
    </w:p>
    <w:p w14:paraId="42484E0B" w14:textId="77777777" w:rsidR="00E05B98" w:rsidRPr="003C6DAE" w:rsidRDefault="00E05B98">
      <w:pPr>
        <w:pStyle w:val="a3"/>
        <w:spacing w:before="9"/>
        <w:rPr>
          <w:rFonts w:ascii="Trebuchet MS"/>
          <w:sz w:val="11"/>
          <w:lang w:val="uk-UA"/>
        </w:rPr>
      </w:pPr>
    </w:p>
    <w:p w14:paraId="6AE6C9B2" w14:textId="77777777" w:rsidR="00E05B98" w:rsidRPr="003C6DAE" w:rsidRDefault="00B01E0C">
      <w:pPr>
        <w:pStyle w:val="a3"/>
        <w:spacing w:line="234" w:lineRule="exact"/>
        <w:ind w:left="1" w:right="-87"/>
        <w:rPr>
          <w:rFonts w:ascii="Trebuchet MS"/>
          <w:position w:val="-4"/>
          <w:sz w:val="20"/>
          <w:lang w:val="uk-UA"/>
        </w:rPr>
      </w:pPr>
      <w:r w:rsidRPr="003C6DAE">
        <w:rPr>
          <w:rFonts w:ascii="Trebuchet MS"/>
          <w:noProof/>
          <w:position w:val="-4"/>
          <w:sz w:val="20"/>
          <w:lang w:val="uk-UA"/>
        </w:rPr>
        <mc:AlternateContent>
          <mc:Choice Requires="wpg">
            <w:drawing>
              <wp:inline distT="0" distB="0" distL="0" distR="0" wp14:anchorId="7CB24738" wp14:editId="5E631A1D">
                <wp:extent cx="961390" cy="144780"/>
                <wp:effectExtent l="9525" t="0" r="634" b="7619"/>
                <wp:docPr id="88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1390" cy="144780"/>
                          <a:chOff x="0" y="0"/>
                          <a:chExt cx="961390" cy="144780"/>
                        </a:xfrm>
                      </wpg:grpSpPr>
                      <wps:wsp>
                        <wps:cNvPr id="886" name="Graphic 886"/>
                        <wps:cNvSpPr/>
                        <wps:spPr>
                          <a:xfrm>
                            <a:off x="12019" y="28840"/>
                            <a:ext cx="862965" cy="1270"/>
                          </a:xfrm>
                          <a:custGeom>
                            <a:avLst/>
                            <a:gdLst/>
                            <a:ahLst/>
                            <a:cxnLst/>
                            <a:rect l="l" t="t" r="r" b="b"/>
                            <a:pathLst>
                              <a:path w="862965">
                                <a:moveTo>
                                  <a:pt x="0" y="0"/>
                                </a:moveTo>
                                <a:lnTo>
                                  <a:pt x="288399" y="0"/>
                                </a:lnTo>
                              </a:path>
                              <a:path w="862965">
                                <a:moveTo>
                                  <a:pt x="344477" y="0"/>
                                </a:moveTo>
                                <a:lnTo>
                                  <a:pt x="862398" y="0"/>
                                </a:lnTo>
                              </a:path>
                            </a:pathLst>
                          </a:custGeom>
                          <a:ln w="9613">
                            <a:solidFill>
                              <a:srgbClr val="000000"/>
                            </a:solidFill>
                            <a:prstDash val="solid"/>
                          </a:ln>
                        </wps:spPr>
                        <wps:bodyPr wrap="square" lIns="0" tIns="0" rIns="0" bIns="0" rtlCol="0">
                          <a:prstTxWarp prst="textNoShape">
                            <a:avLst/>
                          </a:prstTxWarp>
                          <a:noAutofit/>
                        </wps:bodyPr>
                      </wps:wsp>
                      <wps:wsp>
                        <wps:cNvPr id="887" name="Graphic 887"/>
                        <wps:cNvSpPr/>
                        <wps:spPr>
                          <a:xfrm>
                            <a:off x="300418" y="0"/>
                            <a:ext cx="56515" cy="67310"/>
                          </a:xfrm>
                          <a:custGeom>
                            <a:avLst/>
                            <a:gdLst/>
                            <a:ahLst/>
                            <a:cxnLst/>
                            <a:rect l="l" t="t" r="r" b="b"/>
                            <a:pathLst>
                              <a:path w="56515" h="67310">
                                <a:moveTo>
                                  <a:pt x="56077" y="67293"/>
                                </a:moveTo>
                                <a:lnTo>
                                  <a:pt x="0" y="67293"/>
                                </a:lnTo>
                                <a:lnTo>
                                  <a:pt x="0" y="0"/>
                                </a:lnTo>
                                <a:lnTo>
                                  <a:pt x="56077" y="0"/>
                                </a:lnTo>
                                <a:lnTo>
                                  <a:pt x="56077" y="67293"/>
                                </a:lnTo>
                                <a:close/>
                              </a:path>
                            </a:pathLst>
                          </a:custGeom>
                          <a:solidFill>
                            <a:srgbClr val="0000C0"/>
                          </a:solidFill>
                        </wps:spPr>
                        <wps:bodyPr wrap="square" lIns="0" tIns="0" rIns="0" bIns="0" rtlCol="0">
                          <a:prstTxWarp prst="textNoShape">
                            <a:avLst/>
                          </a:prstTxWarp>
                          <a:noAutofit/>
                        </wps:bodyPr>
                      </wps:wsp>
                      <wps:wsp>
                        <wps:cNvPr id="888" name="Graphic 888"/>
                        <wps:cNvSpPr/>
                        <wps:spPr>
                          <a:xfrm>
                            <a:off x="4006" y="105747"/>
                            <a:ext cx="953769" cy="1270"/>
                          </a:xfrm>
                          <a:custGeom>
                            <a:avLst/>
                            <a:gdLst/>
                            <a:ahLst/>
                            <a:cxnLst/>
                            <a:rect l="l" t="t" r="r" b="b"/>
                            <a:pathLst>
                              <a:path w="953769">
                                <a:moveTo>
                                  <a:pt x="0" y="0"/>
                                </a:moveTo>
                                <a:lnTo>
                                  <a:pt x="953324" y="0"/>
                                </a:lnTo>
                              </a:path>
                            </a:pathLst>
                          </a:custGeom>
                          <a:ln w="9613">
                            <a:solidFill>
                              <a:srgbClr val="000000"/>
                            </a:solidFill>
                            <a:prstDash val="solid"/>
                          </a:ln>
                        </wps:spPr>
                        <wps:bodyPr wrap="square" lIns="0" tIns="0" rIns="0" bIns="0" rtlCol="0">
                          <a:prstTxWarp prst="textNoShape">
                            <a:avLst/>
                          </a:prstTxWarp>
                          <a:noAutofit/>
                        </wps:bodyPr>
                      </wps:wsp>
                      <wps:wsp>
                        <wps:cNvPr id="889" name="Graphic 889"/>
                        <wps:cNvSpPr/>
                        <wps:spPr>
                          <a:xfrm>
                            <a:off x="4005" y="67293"/>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890" name="Graphic 890"/>
                        <wps:cNvSpPr/>
                        <wps:spPr>
                          <a:xfrm>
                            <a:off x="194669" y="67293"/>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891" name="Graphic 891"/>
                        <wps:cNvSpPr/>
                        <wps:spPr>
                          <a:xfrm>
                            <a:off x="385333" y="67293"/>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892" name="Graphic 892"/>
                        <wps:cNvSpPr/>
                        <wps:spPr>
                          <a:xfrm>
                            <a:off x="575596" y="67293"/>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893" name="Graphic 893"/>
                        <wps:cNvSpPr/>
                        <wps:spPr>
                          <a:xfrm>
                            <a:off x="766661" y="67293"/>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894" name="Graphic 894"/>
                        <wps:cNvSpPr/>
                        <wps:spPr>
                          <a:xfrm>
                            <a:off x="957325" y="67293"/>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D981E6" id="Group 885" o:spid="_x0000_s1026" style="width:75.7pt;height:11.4pt;mso-position-horizontal-relative:char;mso-position-vertical-relative:line" coordsize="9613,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">
                <v:shape id="Graphic 886" o:spid="_x0000_s1027" style="position:absolute;left:120;top:288;width:8629;height:13;visibility:visible;mso-wrap-style:square;v-text-anchor:top" coordsize="86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" path="m,l288399,em344477,l862398,e" filled="f" strokeweight=".26703mm">
                  <v:path arrowok="t"/>
                </v:shape>
                <v:shape id="Graphic 887" o:spid="_x0000_s1028" style="position:absolute;left:3004;width:565;height:673;visibility:visible;mso-wrap-style:square;v-text-anchor:top" coordsize="5651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" path="m56077,67293l,67293,,,56077,r,67293xe" fillcolor="#0000c0" stroked="f">
                  <v:path arrowok="t"/>
                </v:shape>
                <v:shape id="Graphic 888" o:spid="_x0000_s1029" style="position:absolute;left:40;top:1057;width:9537;height:13;visibility:visible;mso-wrap-style:square;v-text-anchor:top" coordsize="9537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" path="m,l953324,e" filled="f" strokeweight=".26703mm">
                  <v:path arrowok="t"/>
                </v:shape>
                <v:shape id="Graphic 889" o:spid="_x0000_s1030" style="position:absolute;left:40;top:672;width:12;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" path="m,l,76906e" filled="f" strokeweight=".22253mm">
                  <v:path arrowok="t"/>
                </v:shape>
                <v:shape id="Graphic 890" o:spid="_x0000_s1031" style="position:absolute;left:1946;top:672;width:13;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" path="m,l,76906e" filled="f" strokeweight=".22253mm">
                  <v:path arrowok="t"/>
                </v:shape>
                <v:shape id="Graphic 891" o:spid="_x0000_s1032" style="position:absolute;left:3853;top:672;width:13;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" path="m,l,76906e" filled="f" strokeweight=".22253mm">
                  <v:path arrowok="t"/>
                </v:shape>
                <v:shape id="Graphic 892" o:spid="_x0000_s1033" style="position:absolute;left:5755;top:672;width:13;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" path="m,l,76906e" filled="f" strokeweight=".22253mm">
                  <v:path arrowok="t"/>
                </v:shape>
                <v:shape id="Graphic 893" o:spid="_x0000_s1034" style="position:absolute;left:7666;top:672;width:13;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" path="m,l,76906e" filled="f" strokeweight=".22253mm">
                  <v:path arrowok="t"/>
                </v:shape>
                <v:shape id="Graphic 894" o:spid="_x0000_s1035" style="position:absolute;left:9573;top:672;width:12;height:775;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" path="m,l,76906e" filled="f" strokeweight=".22253mm">
                  <v:path arrowok="t"/>
                </v:shape>
                <w10:anchorlock/>
              </v:group>
            </w:pict>
          </mc:Fallback>
        </mc:AlternateContent>
      </w:r>
    </w:p>
    <w:p w14:paraId="32D4995E" w14:textId="77777777" w:rsidR="00E05B98" w:rsidRPr="003C6DAE" w:rsidRDefault="00B01E0C">
      <w:pPr>
        <w:ind w:left="9"/>
        <w:rPr>
          <w:rFonts w:ascii="Trebuchet MS"/>
          <w:sz w:val="18"/>
          <w:lang w:val="uk-UA"/>
        </w:rPr>
      </w:pPr>
      <w:r w:rsidRPr="003C6DAE">
        <w:rPr>
          <w:rFonts w:ascii="Trebuchet MS"/>
          <w:w w:val="85"/>
          <w:sz w:val="18"/>
          <w:lang w:val="uk-UA"/>
        </w:rPr>
        <w:t>0</w:t>
      </w:r>
      <w:r w:rsidRPr="003C6DAE">
        <w:rPr>
          <w:rFonts w:ascii="Trebuchet MS"/>
          <w:spacing w:val="47"/>
          <w:sz w:val="18"/>
          <w:lang w:val="uk-UA"/>
        </w:rPr>
        <w:t xml:space="preserve"> </w:t>
      </w:r>
      <w:r w:rsidRPr="003C6DAE">
        <w:rPr>
          <w:rFonts w:ascii="Trebuchet MS"/>
          <w:w w:val="85"/>
          <w:sz w:val="18"/>
          <w:lang w:val="uk-UA"/>
        </w:rPr>
        <w:t>0.2</w:t>
      </w:r>
      <w:r w:rsidRPr="003C6DAE">
        <w:rPr>
          <w:rFonts w:ascii="Trebuchet MS"/>
          <w:spacing w:val="30"/>
          <w:sz w:val="18"/>
          <w:lang w:val="uk-UA"/>
        </w:rPr>
        <w:t xml:space="preserve"> </w:t>
      </w:r>
      <w:r w:rsidRPr="003C6DAE">
        <w:rPr>
          <w:rFonts w:ascii="Trebuchet MS"/>
          <w:w w:val="85"/>
          <w:sz w:val="18"/>
          <w:lang w:val="uk-UA"/>
        </w:rPr>
        <w:t>0.4</w:t>
      </w:r>
      <w:r w:rsidRPr="003C6DAE">
        <w:rPr>
          <w:rFonts w:ascii="Trebuchet MS"/>
          <w:spacing w:val="30"/>
          <w:sz w:val="18"/>
          <w:lang w:val="uk-UA"/>
        </w:rPr>
        <w:t xml:space="preserve"> </w:t>
      </w:r>
      <w:r w:rsidRPr="003C6DAE">
        <w:rPr>
          <w:rFonts w:ascii="Trebuchet MS"/>
          <w:w w:val="85"/>
          <w:sz w:val="18"/>
          <w:lang w:val="uk-UA"/>
        </w:rPr>
        <w:t>0.6</w:t>
      </w:r>
      <w:r w:rsidRPr="003C6DAE">
        <w:rPr>
          <w:rFonts w:ascii="Trebuchet MS"/>
          <w:spacing w:val="30"/>
          <w:sz w:val="18"/>
          <w:lang w:val="uk-UA"/>
        </w:rPr>
        <w:t xml:space="preserve"> </w:t>
      </w:r>
      <w:r w:rsidRPr="003C6DAE">
        <w:rPr>
          <w:rFonts w:ascii="Trebuchet MS"/>
          <w:w w:val="85"/>
          <w:sz w:val="18"/>
          <w:lang w:val="uk-UA"/>
        </w:rPr>
        <w:t>0.8</w:t>
      </w:r>
      <w:r w:rsidRPr="003C6DAE">
        <w:rPr>
          <w:rFonts w:ascii="Trebuchet MS"/>
          <w:spacing w:val="48"/>
          <w:sz w:val="18"/>
          <w:lang w:val="uk-UA"/>
        </w:rPr>
        <w:t xml:space="preserve"> </w:t>
      </w:r>
      <w:r w:rsidRPr="003C6DAE">
        <w:rPr>
          <w:rFonts w:ascii="Trebuchet MS"/>
          <w:spacing w:val="-10"/>
          <w:w w:val="85"/>
          <w:sz w:val="18"/>
          <w:lang w:val="uk-UA"/>
        </w:rPr>
        <w:t>1</w:t>
      </w:r>
    </w:p>
    <w:p w14:paraId="210C6D9D" w14:textId="77777777" w:rsidR="00E05B98" w:rsidRPr="003C6DAE" w:rsidRDefault="00B01E0C">
      <w:pPr>
        <w:spacing w:before="11" w:after="24"/>
        <w:rPr>
          <w:rFonts w:ascii="Trebuchet MS"/>
          <w:sz w:val="4"/>
          <w:lang w:val="uk-UA"/>
        </w:rPr>
      </w:pPr>
      <w:r w:rsidRPr="003C6DAE">
        <w:rPr>
          <w:lang w:val="uk-UA"/>
        </w:rPr>
        <w:br w:type="column"/>
      </w:r>
    </w:p>
    <w:p w14:paraId="74D5D7EE" w14:textId="77777777" w:rsidR="00E05B98" w:rsidRPr="003C6DAE" w:rsidRDefault="00B01E0C">
      <w:pPr>
        <w:pStyle w:val="a3"/>
        <w:spacing w:line="105" w:lineRule="exact"/>
        <w:ind w:left="1486"/>
        <w:rPr>
          <w:rFonts w:ascii="Trebuchet MS"/>
          <w:position w:val="-1"/>
          <w:sz w:val="10"/>
          <w:lang w:val="uk-UA"/>
        </w:rPr>
      </w:pPr>
      <w:r w:rsidRPr="003C6DAE">
        <w:rPr>
          <w:rFonts w:ascii="Trebuchet MS"/>
          <w:noProof/>
          <w:position w:val="-1"/>
          <w:sz w:val="10"/>
          <w:lang w:val="uk-UA"/>
        </w:rPr>
        <mc:AlternateContent>
          <mc:Choice Requires="wpg">
            <w:drawing>
              <wp:inline distT="0" distB="0" distL="0" distR="0" wp14:anchorId="1AEDC499" wp14:editId="2E9BD0F0">
                <wp:extent cx="111760" cy="67310"/>
                <wp:effectExtent l="9525" t="0" r="0" b="8890"/>
                <wp:docPr id="895"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67310"/>
                          <a:chOff x="0" y="0"/>
                          <a:chExt cx="111760" cy="67310"/>
                        </a:xfrm>
                      </wpg:grpSpPr>
                      <wps:wsp>
                        <wps:cNvPr id="896" name="Graphic 896"/>
                        <wps:cNvSpPr/>
                        <wps:spPr>
                          <a:xfrm>
                            <a:off x="0" y="28840"/>
                            <a:ext cx="55880" cy="1270"/>
                          </a:xfrm>
                          <a:custGeom>
                            <a:avLst/>
                            <a:gdLst/>
                            <a:ahLst/>
                            <a:cxnLst/>
                            <a:rect l="l" t="t" r="r" b="b"/>
                            <a:pathLst>
                              <a:path w="55880">
                                <a:moveTo>
                                  <a:pt x="0" y="0"/>
                                </a:moveTo>
                                <a:lnTo>
                                  <a:pt x="55275" y="0"/>
                                </a:lnTo>
                              </a:path>
                            </a:pathLst>
                          </a:custGeom>
                          <a:ln w="9613">
                            <a:solidFill>
                              <a:srgbClr val="000000"/>
                            </a:solidFill>
                            <a:prstDash val="solid"/>
                          </a:ln>
                        </wps:spPr>
                        <wps:bodyPr wrap="square" lIns="0" tIns="0" rIns="0" bIns="0" rtlCol="0">
                          <a:prstTxWarp prst="textNoShape">
                            <a:avLst/>
                          </a:prstTxWarp>
                          <a:noAutofit/>
                        </wps:bodyPr>
                      </wps:wsp>
                      <wps:wsp>
                        <wps:cNvPr id="897" name="Graphic 897"/>
                        <wps:cNvSpPr/>
                        <wps:spPr>
                          <a:xfrm>
                            <a:off x="55275" y="0"/>
                            <a:ext cx="56515" cy="67310"/>
                          </a:xfrm>
                          <a:custGeom>
                            <a:avLst/>
                            <a:gdLst/>
                            <a:ahLst/>
                            <a:cxnLst/>
                            <a:rect l="l" t="t" r="r" b="b"/>
                            <a:pathLst>
                              <a:path w="56515" h="67310">
                                <a:moveTo>
                                  <a:pt x="56077" y="67293"/>
                                </a:moveTo>
                                <a:lnTo>
                                  <a:pt x="0" y="67293"/>
                                </a:lnTo>
                                <a:lnTo>
                                  <a:pt x="0" y="0"/>
                                </a:lnTo>
                                <a:lnTo>
                                  <a:pt x="56077" y="0"/>
                                </a:lnTo>
                                <a:lnTo>
                                  <a:pt x="56077" y="67293"/>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167B7690" id="Group 895" o:spid="_x0000_s1026" style="width:8.8pt;height:5.3pt;mso-position-horizontal-relative:char;mso-position-vertical-relative:line" coordsize="11176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">
                <v:shape id="Graphic 896" o:spid="_x0000_s1027" style="position:absolute;top:28840;width:55880;height:1270;visibility:visible;mso-wrap-style:square;v-text-anchor:top" coordsize="55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" path="m,l55275,e" filled="f" strokeweight=".26703mm">
                  <v:path arrowok="t"/>
                </v:shape>
                <v:shape id="Graphic 897" o:spid="_x0000_s1028" style="position:absolute;left:55275;width:56515;height:67310;visibility:visible;mso-wrap-style:square;v-text-anchor:top" coordsize="5651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" path="m56077,67293l,67293,,,56077,r,67293xe" fillcolor="#0000c0" stroked="f">
                  <v:path arrowok="t"/>
                </v:shape>
                <w10:anchorlock/>
              </v:group>
            </w:pict>
          </mc:Fallback>
        </mc:AlternateContent>
      </w:r>
    </w:p>
    <w:p w14:paraId="4AC9B2A2" w14:textId="77777777" w:rsidR="00E05B98" w:rsidRPr="003C6DAE" w:rsidRDefault="00B01E0C">
      <w:pPr>
        <w:pStyle w:val="a3"/>
        <w:spacing w:before="8"/>
        <w:rPr>
          <w:rFonts w:ascii="Trebuchet MS"/>
          <w:sz w:val="9"/>
          <w:lang w:val="uk-UA"/>
        </w:rPr>
      </w:pPr>
      <w:r w:rsidRPr="003C6DAE">
        <w:rPr>
          <w:rFonts w:ascii="Trebuchet MS"/>
          <w:noProof/>
          <w:sz w:val="9"/>
          <w:lang w:val="uk-UA"/>
        </w:rPr>
        <mc:AlternateContent>
          <mc:Choice Requires="wpg">
            <w:drawing>
              <wp:anchor distT="0" distB="0" distL="0" distR="0" simplePos="0" relativeHeight="487745024" behindDoc="1" locked="0" layoutInCell="1" allowOverlap="1" wp14:anchorId="2AAB593C" wp14:editId="32F3B8C9">
                <wp:simplePos x="0" y="0"/>
                <wp:positionH relativeFrom="page">
                  <wp:posOffset>6317114</wp:posOffset>
                </wp:positionH>
                <wp:positionV relativeFrom="paragraph">
                  <wp:posOffset>87137</wp:posOffset>
                </wp:positionV>
                <wp:extent cx="261620" cy="67310"/>
                <wp:effectExtent l="0" t="0" r="0" b="0"/>
                <wp:wrapTopAndBottom/>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620" cy="67310"/>
                          <a:chOff x="0" y="0"/>
                          <a:chExt cx="261620" cy="67310"/>
                        </a:xfrm>
                      </wpg:grpSpPr>
                      <wps:wsp>
                        <wps:cNvPr id="899" name="Graphic 899"/>
                        <wps:cNvSpPr/>
                        <wps:spPr>
                          <a:xfrm>
                            <a:off x="0" y="28840"/>
                            <a:ext cx="261620" cy="1270"/>
                          </a:xfrm>
                          <a:custGeom>
                            <a:avLst/>
                            <a:gdLst/>
                            <a:ahLst/>
                            <a:cxnLst/>
                            <a:rect l="l" t="t" r="r" b="b"/>
                            <a:pathLst>
                              <a:path w="261620">
                                <a:moveTo>
                                  <a:pt x="0" y="0"/>
                                </a:moveTo>
                                <a:lnTo>
                                  <a:pt x="185056" y="0"/>
                                </a:lnTo>
                              </a:path>
                              <a:path w="261620">
                                <a:moveTo>
                                  <a:pt x="241133" y="0"/>
                                </a:moveTo>
                                <a:lnTo>
                                  <a:pt x="261162" y="0"/>
                                </a:lnTo>
                              </a:path>
                            </a:pathLst>
                          </a:custGeom>
                          <a:ln w="9613">
                            <a:solidFill>
                              <a:srgbClr val="000000"/>
                            </a:solidFill>
                            <a:prstDash val="solid"/>
                          </a:ln>
                        </wps:spPr>
                        <wps:bodyPr wrap="square" lIns="0" tIns="0" rIns="0" bIns="0" rtlCol="0">
                          <a:prstTxWarp prst="textNoShape">
                            <a:avLst/>
                          </a:prstTxWarp>
                          <a:noAutofit/>
                        </wps:bodyPr>
                      </wps:wsp>
                      <wps:wsp>
                        <wps:cNvPr id="900" name="Graphic 900"/>
                        <wps:cNvSpPr/>
                        <wps:spPr>
                          <a:xfrm>
                            <a:off x="185056" y="0"/>
                            <a:ext cx="56515" cy="67310"/>
                          </a:xfrm>
                          <a:custGeom>
                            <a:avLst/>
                            <a:gdLst/>
                            <a:ahLst/>
                            <a:cxnLst/>
                            <a:rect l="l" t="t" r="r" b="b"/>
                            <a:pathLst>
                              <a:path w="56515" h="67310">
                                <a:moveTo>
                                  <a:pt x="56076" y="67293"/>
                                </a:moveTo>
                                <a:lnTo>
                                  <a:pt x="0" y="67293"/>
                                </a:lnTo>
                                <a:lnTo>
                                  <a:pt x="0" y="0"/>
                                </a:lnTo>
                                <a:lnTo>
                                  <a:pt x="56076" y="0"/>
                                </a:lnTo>
                                <a:lnTo>
                                  <a:pt x="56076" y="67293"/>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B22AE5A" id="Group 898" o:spid="_x0000_s1026" style="position:absolute;margin-left:497.4pt;margin-top:6.85pt;width:20.6pt;height:5.3pt;z-index:-15571456;mso-wrap-distance-left:0;mso-wrap-distance-right:0;mso-position-horizontal-relative:page" coordsize="26162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">
                <v:shape id="Graphic 899" o:spid="_x0000_s1027" style="position:absolute;top:28840;width:261620;height:1270;visibility:visible;mso-wrap-style:square;v-text-anchor:top" coordsize="261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" path="m,l185056,em241133,r20029,e" filled="f" strokeweight=".26703mm">
                  <v:path arrowok="t"/>
                </v:shape>
                <v:shape id="Graphic 900" o:spid="_x0000_s1028" style="position:absolute;left:185056;width:56515;height:67310;visibility:visible;mso-wrap-style:square;v-text-anchor:top" coordsize="5651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" path="m56076,67293l,67293,,,56076,r,67293xe" fillcolor="#0000c0" stroked="f">
                  <v:path arrowok="t"/>
                </v:shape>
                <w10:wrap type="topAndBottom" anchorx="page"/>
              </v:group>
            </w:pict>
          </mc:Fallback>
        </mc:AlternateContent>
      </w:r>
      <w:r w:rsidRPr="003C6DAE">
        <w:rPr>
          <w:rFonts w:ascii="Trebuchet MS"/>
          <w:noProof/>
          <w:sz w:val="9"/>
          <w:lang w:val="uk-UA"/>
        </w:rPr>
        <mc:AlternateContent>
          <mc:Choice Requires="wpg">
            <w:drawing>
              <wp:anchor distT="0" distB="0" distL="0" distR="0" simplePos="0" relativeHeight="487745536" behindDoc="1" locked="0" layoutInCell="1" allowOverlap="1" wp14:anchorId="17A3E1BE" wp14:editId="4B04D13C">
                <wp:simplePos x="0" y="0"/>
                <wp:positionH relativeFrom="page">
                  <wp:posOffset>5614537</wp:posOffset>
                </wp:positionH>
                <wp:positionV relativeFrom="paragraph">
                  <wp:posOffset>308245</wp:posOffset>
                </wp:positionV>
                <wp:extent cx="961390" cy="77470"/>
                <wp:effectExtent l="0" t="0" r="0" b="0"/>
                <wp:wrapTopAndBottom/>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1390" cy="77470"/>
                          <a:chOff x="0" y="0"/>
                          <a:chExt cx="961390" cy="77470"/>
                        </a:xfrm>
                      </wpg:grpSpPr>
                      <wps:wsp>
                        <wps:cNvPr id="902" name="Graphic 902"/>
                        <wps:cNvSpPr/>
                        <wps:spPr>
                          <a:xfrm>
                            <a:off x="4005" y="38453"/>
                            <a:ext cx="953769" cy="1270"/>
                          </a:xfrm>
                          <a:custGeom>
                            <a:avLst/>
                            <a:gdLst/>
                            <a:ahLst/>
                            <a:cxnLst/>
                            <a:rect l="l" t="t" r="r" b="b"/>
                            <a:pathLst>
                              <a:path w="953769">
                                <a:moveTo>
                                  <a:pt x="0" y="0"/>
                                </a:moveTo>
                                <a:lnTo>
                                  <a:pt x="953324" y="0"/>
                                </a:lnTo>
                              </a:path>
                            </a:pathLst>
                          </a:custGeom>
                          <a:ln w="9613">
                            <a:solidFill>
                              <a:srgbClr val="000000"/>
                            </a:solidFill>
                            <a:prstDash val="solid"/>
                          </a:ln>
                        </wps:spPr>
                        <wps:bodyPr wrap="square" lIns="0" tIns="0" rIns="0" bIns="0" rtlCol="0">
                          <a:prstTxWarp prst="textNoShape">
                            <a:avLst/>
                          </a:prstTxWarp>
                          <a:noAutofit/>
                        </wps:bodyPr>
                      </wps:wsp>
                      <wps:wsp>
                        <wps:cNvPr id="903" name="Graphic 903"/>
                        <wps:cNvSpPr/>
                        <wps:spPr>
                          <a:xfrm>
                            <a:off x="4005" y="0"/>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904" name="Graphic 904"/>
                        <wps:cNvSpPr/>
                        <wps:spPr>
                          <a:xfrm>
                            <a:off x="194670" y="0"/>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905" name="Graphic 905"/>
                        <wps:cNvSpPr/>
                        <wps:spPr>
                          <a:xfrm>
                            <a:off x="385334" y="0"/>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906" name="Graphic 906"/>
                        <wps:cNvSpPr/>
                        <wps:spPr>
                          <a:xfrm>
                            <a:off x="575598" y="0"/>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907" name="Graphic 907"/>
                        <wps:cNvSpPr/>
                        <wps:spPr>
                          <a:xfrm>
                            <a:off x="766662" y="0"/>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s:wsp>
                        <wps:cNvPr id="908" name="Graphic 908"/>
                        <wps:cNvSpPr/>
                        <wps:spPr>
                          <a:xfrm>
                            <a:off x="957327" y="0"/>
                            <a:ext cx="1270" cy="77470"/>
                          </a:xfrm>
                          <a:custGeom>
                            <a:avLst/>
                            <a:gdLst/>
                            <a:ahLst/>
                            <a:cxnLst/>
                            <a:rect l="l" t="t" r="r" b="b"/>
                            <a:pathLst>
                              <a:path h="77470">
                                <a:moveTo>
                                  <a:pt x="0" y="0"/>
                                </a:moveTo>
                                <a:lnTo>
                                  <a:pt x="0" y="76906"/>
                                </a:lnTo>
                              </a:path>
                            </a:pathLst>
                          </a:custGeom>
                          <a:ln w="801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71EF7F" id="Group 901" o:spid="_x0000_s1026" style="position:absolute;margin-left:442.1pt;margin-top:24.25pt;width:75.7pt;height:6.1pt;z-index:-15570944;mso-wrap-distance-left:0;mso-wrap-distance-right:0;mso-position-horizontal-relative:page" coordsize="961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">
                <v:shape id="Graphic 902" o:spid="_x0000_s1027" style="position:absolute;left:40;top:384;width:9537;height:13;visibility:visible;mso-wrap-style:square;v-text-anchor:top" coordsize="9537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" path="m,l953324,e" filled="f" strokeweight=".26703mm">
                  <v:path arrowok="t"/>
                </v:shape>
                <v:shape id="Graphic 903" o:spid="_x0000_s1028" style="position:absolute;left:40;width:12;height:774;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" path="m,l,76906e" filled="f" strokeweight=".22253mm">
                  <v:path arrowok="t"/>
                </v:shape>
                <v:shape id="Graphic 904" o:spid="_x0000_s1029" style="position:absolute;left:1946;width:13;height:774;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" path="m,l,76906e" filled="f" strokeweight=".22253mm">
                  <v:path arrowok="t"/>
                </v:shape>
                <v:shape id="Graphic 905" o:spid="_x0000_s1030" style="position:absolute;left:3853;width:13;height:774;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" path="m,l,76906e" filled="f" strokeweight=".22253mm">
                  <v:path arrowok="t"/>
                </v:shape>
                <v:shape id="Graphic 906" o:spid="_x0000_s1031" style="position:absolute;left:5755;width:13;height:774;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" path="m,l,76906e" filled="f" strokeweight=".22253mm">
                  <v:path arrowok="t"/>
                </v:shape>
                <v:shape id="Graphic 907" o:spid="_x0000_s1032" style="position:absolute;left:7666;width:13;height:774;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" path="m,l,76906e" filled="f" strokeweight=".22253mm">
                  <v:path arrowok="t"/>
                </v:shape>
                <v:shape id="Graphic 908" o:spid="_x0000_s1033" style="position:absolute;left:9573;width:12;height:774;visibility:visible;mso-wrap-style:square;v-text-anchor:top" coordsize="127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" path="m,l,76906e" filled="f" strokeweight=".22253mm">
                  <v:path arrowok="t"/>
                </v:shape>
                <w10:wrap type="topAndBottom" anchorx="page"/>
              </v:group>
            </w:pict>
          </mc:Fallback>
        </mc:AlternateContent>
      </w:r>
    </w:p>
    <w:p w14:paraId="36D6BD5B" w14:textId="77777777" w:rsidR="00E05B98" w:rsidRPr="003C6DAE" w:rsidRDefault="00E05B98">
      <w:pPr>
        <w:pStyle w:val="a3"/>
        <w:spacing w:before="2"/>
        <w:rPr>
          <w:rFonts w:ascii="Trebuchet MS"/>
          <w:sz w:val="18"/>
          <w:lang w:val="uk-UA"/>
        </w:rPr>
      </w:pPr>
    </w:p>
    <w:p w14:paraId="672B10FE" w14:textId="77777777" w:rsidR="00E05B98" w:rsidRPr="003C6DAE" w:rsidRDefault="00B01E0C">
      <w:pPr>
        <w:ind w:left="105"/>
        <w:rPr>
          <w:rFonts w:ascii="Trebuchet MS"/>
          <w:sz w:val="18"/>
          <w:lang w:val="uk-UA"/>
        </w:rPr>
      </w:pPr>
      <w:r w:rsidRPr="003C6DAE">
        <w:rPr>
          <w:rFonts w:ascii="Trebuchet MS"/>
          <w:w w:val="85"/>
          <w:sz w:val="18"/>
          <w:lang w:val="uk-UA"/>
        </w:rPr>
        <w:t>0</w:t>
      </w:r>
      <w:r w:rsidRPr="003C6DAE">
        <w:rPr>
          <w:rFonts w:ascii="Trebuchet MS"/>
          <w:spacing w:val="47"/>
          <w:sz w:val="18"/>
          <w:lang w:val="uk-UA"/>
        </w:rPr>
        <w:t xml:space="preserve"> </w:t>
      </w:r>
      <w:r w:rsidRPr="003C6DAE">
        <w:rPr>
          <w:rFonts w:ascii="Trebuchet MS"/>
          <w:w w:val="85"/>
          <w:sz w:val="18"/>
          <w:lang w:val="uk-UA"/>
        </w:rPr>
        <w:t>0.2</w:t>
      </w:r>
      <w:r w:rsidRPr="003C6DAE">
        <w:rPr>
          <w:rFonts w:ascii="Trebuchet MS"/>
          <w:spacing w:val="30"/>
          <w:sz w:val="18"/>
          <w:lang w:val="uk-UA"/>
        </w:rPr>
        <w:t xml:space="preserve"> </w:t>
      </w:r>
      <w:r w:rsidRPr="003C6DAE">
        <w:rPr>
          <w:rFonts w:ascii="Trebuchet MS"/>
          <w:w w:val="85"/>
          <w:sz w:val="18"/>
          <w:lang w:val="uk-UA"/>
        </w:rPr>
        <w:t>0.4</w:t>
      </w:r>
      <w:r w:rsidRPr="003C6DAE">
        <w:rPr>
          <w:rFonts w:ascii="Trebuchet MS"/>
          <w:spacing w:val="30"/>
          <w:sz w:val="18"/>
          <w:lang w:val="uk-UA"/>
        </w:rPr>
        <w:t xml:space="preserve"> </w:t>
      </w:r>
      <w:r w:rsidRPr="003C6DAE">
        <w:rPr>
          <w:rFonts w:ascii="Trebuchet MS"/>
          <w:w w:val="85"/>
          <w:sz w:val="18"/>
          <w:lang w:val="uk-UA"/>
        </w:rPr>
        <w:t>0.6</w:t>
      </w:r>
      <w:r w:rsidRPr="003C6DAE">
        <w:rPr>
          <w:rFonts w:ascii="Trebuchet MS"/>
          <w:spacing w:val="30"/>
          <w:sz w:val="18"/>
          <w:lang w:val="uk-UA"/>
        </w:rPr>
        <w:t xml:space="preserve"> </w:t>
      </w:r>
      <w:r w:rsidRPr="003C6DAE">
        <w:rPr>
          <w:rFonts w:ascii="Trebuchet MS"/>
          <w:w w:val="85"/>
          <w:sz w:val="18"/>
          <w:lang w:val="uk-UA"/>
        </w:rPr>
        <w:t>0.8</w:t>
      </w:r>
      <w:r w:rsidRPr="003C6DAE">
        <w:rPr>
          <w:rFonts w:ascii="Trebuchet MS"/>
          <w:spacing w:val="48"/>
          <w:sz w:val="18"/>
          <w:lang w:val="uk-UA"/>
        </w:rPr>
        <w:t xml:space="preserve"> </w:t>
      </w:r>
      <w:r w:rsidRPr="003C6DAE">
        <w:rPr>
          <w:rFonts w:ascii="Trebuchet MS"/>
          <w:spacing w:val="-10"/>
          <w:w w:val="85"/>
          <w:sz w:val="18"/>
          <w:lang w:val="uk-UA"/>
        </w:rPr>
        <w:t>1</w:t>
      </w:r>
    </w:p>
    <w:p w14:paraId="7A37BE4E" w14:textId="77777777" w:rsidR="00E05B98" w:rsidRPr="003C6DAE" w:rsidRDefault="00E05B98">
      <w:pPr>
        <w:rPr>
          <w:rFonts w:ascii="Trebuchet MS"/>
          <w:sz w:val="18"/>
          <w:lang w:val="uk-UA"/>
        </w:rPr>
        <w:sectPr w:rsidR="00E05B98" w:rsidRPr="003C6DAE">
          <w:type w:val="continuous"/>
          <w:pgSz w:w="11910" w:h="16840"/>
          <w:pgMar w:top="1920" w:right="1275" w:bottom="280" w:left="850" w:header="0" w:footer="573" w:gutter="0"/>
          <w:cols w:num="6" w:space="720" w:equalWidth="0">
            <w:col w:w="1893" w:space="40"/>
            <w:col w:w="1347" w:space="39"/>
            <w:col w:w="1476" w:space="40"/>
            <w:col w:w="1474" w:space="40"/>
            <w:col w:w="1504" w:space="39"/>
            <w:col w:w="1893"/>
          </w:cols>
        </w:sectPr>
      </w:pPr>
    </w:p>
    <w:p w14:paraId="478CB4F7" w14:textId="22E91754" w:rsidR="00E05B98" w:rsidRPr="003C6DAE" w:rsidRDefault="00F064EC">
      <w:pPr>
        <w:pStyle w:val="a3"/>
        <w:spacing w:before="8"/>
        <w:rPr>
          <w:rFonts w:ascii="Trebuchet MS"/>
          <w:sz w:val="15"/>
          <w:lang w:val="uk-UA"/>
        </w:rPr>
      </w:pPr>
      <w:r>
        <w:rPr>
          <w:noProof/>
          <w:lang w:val="uk-UA"/>
        </w:rPr>
        <mc:AlternateContent>
          <mc:Choice Requires="wps">
            <w:drawing>
              <wp:anchor distT="0" distB="0" distL="114300" distR="114300" simplePos="0" relativeHeight="488191488" behindDoc="0" locked="0" layoutInCell="1" allowOverlap="1" wp14:anchorId="7196F618" wp14:editId="1B055B68">
                <wp:simplePos x="0" y="0"/>
                <wp:positionH relativeFrom="column">
                  <wp:posOffset>277612</wp:posOffset>
                </wp:positionH>
                <wp:positionV relativeFrom="paragraph">
                  <wp:posOffset>93201</wp:posOffset>
                </wp:positionV>
                <wp:extent cx="6102221" cy="276187"/>
                <wp:effectExtent l="0" t="0" r="0" b="0"/>
                <wp:wrapNone/>
                <wp:docPr id="1252201499" name="Поле 1931"/>
                <wp:cNvGraphicFramePr/>
                <a:graphic xmlns:a="http://schemas.openxmlformats.org/drawingml/2006/main">
                  <a:graphicData uri="http://schemas.microsoft.com/office/word/2010/wordprocessingShape">
                    <wps:wsp>
                      <wps:cNvSpPr txBox="1"/>
                      <wps:spPr>
                        <a:xfrm>
                          <a:off x="0" y="0"/>
                          <a:ext cx="6102221" cy="276187"/>
                        </a:xfrm>
                        <a:prstGeom prst="rect">
                          <a:avLst/>
                        </a:prstGeom>
                        <a:solidFill>
                          <a:schemeClr val="lt1"/>
                        </a:solidFill>
                        <a:ln w="6350">
                          <a:noFill/>
                        </a:ln>
                      </wps:spPr>
                      <wps:txbx>
                        <w:txbxContent>
                          <w:tbl>
                            <w:tblPr>
                              <w:tblStyle w:val="ac"/>
                              <w:tblW w:w="9380" w:type="dxa"/>
                              <w:tblInd w:w="-14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1411"/>
                              <w:gridCol w:w="1418"/>
                              <w:gridCol w:w="1701"/>
                              <w:gridCol w:w="1550"/>
                              <w:gridCol w:w="2154"/>
                            </w:tblGrid>
                            <w:tr w:rsidR="007372B2" w:rsidRPr="00F064EC" w14:paraId="3383D3BB" w14:textId="77777777" w:rsidTr="00937D10">
                              <w:tc>
                                <w:tcPr>
                                  <w:tcW w:w="1146" w:type="dxa"/>
                                </w:tcPr>
                                <w:p w14:paraId="1B22C0CE" w14:textId="29B5F30F" w:rsidR="007372B2" w:rsidRPr="00F064EC" w:rsidRDefault="007372B2" w:rsidP="00F064EC">
                                  <w:pPr>
                                    <w:ind w:left="30"/>
                                    <w:rPr>
                                      <w:rFonts w:asciiTheme="minorHAnsi" w:hAnsiTheme="minorHAnsi" w:cstheme="minorHAnsi"/>
                                      <w:sz w:val="16"/>
                                      <w:szCs w:val="16"/>
                                      <w:lang w:val="uk-UA"/>
                                    </w:rPr>
                                  </w:pPr>
                                  <w:r w:rsidRPr="00F064EC">
                                    <w:rPr>
                                      <w:rFonts w:asciiTheme="minorHAnsi" w:hAnsiTheme="minorHAnsi" w:cstheme="minorHAnsi"/>
                                      <w:sz w:val="16"/>
                                      <w:szCs w:val="16"/>
                                      <w:lang w:val="uk-UA"/>
                                    </w:rPr>
                                    <w:t>Д</w:t>
                                  </w:r>
                                  <w:r>
                                    <w:rPr>
                                      <w:rFonts w:asciiTheme="minorHAnsi" w:hAnsiTheme="minorHAnsi" w:cstheme="minorHAnsi"/>
                                      <w:sz w:val="16"/>
                                      <w:szCs w:val="16"/>
                                      <w:lang w:val="uk-UA"/>
                                    </w:rPr>
                                    <w:t>о</w:t>
                                  </w:r>
                                  <w:r w:rsidRPr="00F064EC">
                                    <w:rPr>
                                      <w:rFonts w:asciiTheme="minorHAnsi" w:hAnsiTheme="minorHAnsi" w:cstheme="minorHAnsi"/>
                                      <w:sz w:val="16"/>
                                      <w:szCs w:val="16"/>
                                      <w:lang w:val="uk-UA"/>
                                    </w:rPr>
                                    <w:t>с</w:t>
                                  </w:r>
                                  <w:r>
                                    <w:rPr>
                                      <w:rFonts w:asciiTheme="minorHAnsi" w:hAnsiTheme="minorHAnsi" w:cstheme="minorHAnsi"/>
                                      <w:sz w:val="16"/>
                                      <w:szCs w:val="16"/>
                                      <w:lang w:val="uk-UA"/>
                                    </w:rPr>
                                    <w:t>л</w:t>
                                  </w:r>
                                  <w:r w:rsidRPr="00F064EC">
                                    <w:rPr>
                                      <w:rFonts w:asciiTheme="minorHAnsi" w:hAnsiTheme="minorHAnsi" w:cstheme="minorHAnsi"/>
                                      <w:sz w:val="16"/>
                                      <w:szCs w:val="16"/>
                                      <w:lang w:val="uk-UA"/>
                                    </w:rPr>
                                    <w:t>ідження</w:t>
                                  </w:r>
                                </w:p>
                              </w:tc>
                              <w:tc>
                                <w:tcPr>
                                  <w:tcW w:w="1411" w:type="dxa"/>
                                </w:tcPr>
                                <w:p w14:paraId="1F4B6DD0" w14:textId="4175A3B6" w:rsidR="007372B2" w:rsidRPr="00F064EC" w:rsidRDefault="007372B2" w:rsidP="00F064EC">
                                  <w:pPr>
                                    <w:rPr>
                                      <w:rFonts w:asciiTheme="minorHAnsi" w:hAnsiTheme="minorHAnsi" w:cstheme="minorHAnsi"/>
                                      <w:sz w:val="16"/>
                                      <w:szCs w:val="16"/>
                                    </w:rPr>
                                  </w:pPr>
                                  <w:r>
                                    <w:rPr>
                                      <w:rFonts w:asciiTheme="minorHAnsi" w:hAnsiTheme="minorHAnsi" w:cstheme="minorHAnsi"/>
                                      <w:sz w:val="16"/>
                                      <w:szCs w:val="16"/>
                                    </w:rPr>
                                    <w:t xml:space="preserve"> TP     FP     FN  TN</w:t>
                                  </w:r>
                                </w:p>
                              </w:tc>
                              <w:tc>
                                <w:tcPr>
                                  <w:tcW w:w="1418" w:type="dxa"/>
                                </w:tcPr>
                                <w:p w14:paraId="2BC08946" w14:textId="0218973D" w:rsidR="007372B2" w:rsidRPr="00F064EC" w:rsidRDefault="007372B2" w:rsidP="00F064EC">
                                  <w:pPr>
                                    <w:rPr>
                                      <w:rFonts w:asciiTheme="minorHAnsi" w:hAnsiTheme="minorHAnsi" w:cstheme="minorHAnsi"/>
                                      <w:sz w:val="16"/>
                                      <w:szCs w:val="16"/>
                                    </w:rPr>
                                  </w:pPr>
                                  <w:r>
                                    <w:rPr>
                                      <w:rFonts w:asciiTheme="minorHAnsi" w:hAnsiTheme="minorHAnsi" w:cstheme="minorHAnsi"/>
                                      <w:color w:val="333333"/>
                                      <w:w w:val="80"/>
                                      <w:sz w:val="16"/>
                                      <w:szCs w:val="16"/>
                                    </w:rPr>
                                    <w:t xml:space="preserve"> </w:t>
                                  </w:r>
                                  <w:r w:rsidRPr="00F064EC">
                                    <w:rPr>
                                      <w:rFonts w:asciiTheme="minorHAnsi" w:hAnsiTheme="minorHAnsi" w:cstheme="minorHAnsi"/>
                                      <w:color w:val="333333"/>
                                      <w:w w:val="80"/>
                                      <w:sz w:val="16"/>
                                      <w:szCs w:val="16"/>
                                      <w:lang w:val="uk-UA"/>
                                    </w:rPr>
                                    <w:t>Чутливість</w:t>
                                  </w:r>
                                  <w:r w:rsidRPr="00F064EC">
                                    <w:rPr>
                                      <w:rFonts w:asciiTheme="minorHAnsi" w:hAnsiTheme="minorHAnsi" w:cstheme="minorHAnsi"/>
                                      <w:color w:val="333333"/>
                                      <w:spacing w:val="20"/>
                                      <w:sz w:val="16"/>
                                      <w:szCs w:val="16"/>
                                      <w:lang w:val="uk-UA"/>
                                    </w:rPr>
                                    <w:t xml:space="preserve"> </w:t>
                                  </w:r>
                                  <w:r w:rsidRPr="00F064EC">
                                    <w:rPr>
                                      <w:rFonts w:asciiTheme="minorHAnsi" w:hAnsiTheme="minorHAnsi" w:cstheme="minorHAnsi"/>
                                      <w:color w:val="333333"/>
                                      <w:w w:val="80"/>
                                      <w:sz w:val="16"/>
                                      <w:szCs w:val="16"/>
                                      <w:lang w:val="uk-UA"/>
                                    </w:rPr>
                                    <w:t>(95%</w:t>
                                  </w:r>
                                  <w:r w:rsidRPr="00F064EC">
                                    <w:rPr>
                                      <w:rFonts w:asciiTheme="minorHAnsi" w:hAnsiTheme="minorHAnsi" w:cstheme="minorHAnsi"/>
                                      <w:color w:val="333333"/>
                                      <w:spacing w:val="21"/>
                                      <w:sz w:val="16"/>
                                      <w:szCs w:val="16"/>
                                      <w:lang w:val="uk-UA"/>
                                    </w:rPr>
                                    <w:t xml:space="preserve"> </w:t>
                                  </w:r>
                                  <w:r w:rsidRPr="00F064EC">
                                    <w:rPr>
                                      <w:rFonts w:asciiTheme="minorHAnsi" w:hAnsiTheme="minorHAnsi" w:cstheme="minorHAnsi"/>
                                      <w:color w:val="333333"/>
                                      <w:w w:val="80"/>
                                      <w:sz w:val="16"/>
                                      <w:szCs w:val="16"/>
                                      <w:lang w:val="uk-UA"/>
                                    </w:rPr>
                                    <w:t>ДІ</w:t>
                                  </w:r>
                                  <w:r w:rsidRPr="00F064EC">
                                    <w:rPr>
                                      <w:rFonts w:asciiTheme="minorHAnsi" w:hAnsiTheme="minorHAnsi" w:cstheme="minorHAnsi"/>
                                      <w:color w:val="333333"/>
                                      <w:spacing w:val="-5"/>
                                      <w:w w:val="80"/>
                                      <w:sz w:val="16"/>
                                      <w:szCs w:val="16"/>
                                      <w:lang w:val="uk-UA"/>
                                    </w:rPr>
                                    <w:t>)</w:t>
                                  </w:r>
                                </w:p>
                              </w:tc>
                              <w:tc>
                                <w:tcPr>
                                  <w:tcW w:w="1701" w:type="dxa"/>
                                </w:tcPr>
                                <w:p w14:paraId="145F0B90" w14:textId="4656D073" w:rsidR="007372B2" w:rsidRPr="00F064EC" w:rsidRDefault="00937D10" w:rsidP="00F064EC">
                                  <w:pPr>
                                    <w:rPr>
                                      <w:rFonts w:asciiTheme="minorHAnsi" w:hAnsiTheme="minorHAnsi" w:cstheme="minorHAnsi"/>
                                      <w:sz w:val="16"/>
                                      <w:szCs w:val="16"/>
                                    </w:rPr>
                                  </w:pPr>
                                  <w:r>
                                    <w:rPr>
                                      <w:rFonts w:asciiTheme="minorHAnsi" w:hAnsiTheme="minorHAnsi" w:cstheme="minorHAnsi"/>
                                      <w:color w:val="333333"/>
                                      <w:w w:val="80"/>
                                      <w:sz w:val="16"/>
                                      <w:szCs w:val="16"/>
                                      <w:lang w:val="uk-UA"/>
                                    </w:rPr>
                                    <w:t xml:space="preserve">   </w:t>
                                  </w:r>
                                  <w:r w:rsidR="007372B2" w:rsidRPr="00F064EC">
                                    <w:rPr>
                                      <w:rFonts w:asciiTheme="minorHAnsi" w:hAnsiTheme="minorHAnsi" w:cstheme="minorHAnsi"/>
                                      <w:color w:val="333333"/>
                                      <w:w w:val="80"/>
                                      <w:sz w:val="16"/>
                                      <w:szCs w:val="16"/>
                                      <w:lang w:val="uk-UA"/>
                                    </w:rPr>
                                    <w:t>Специфічність</w:t>
                                  </w:r>
                                  <w:r w:rsidR="007372B2" w:rsidRPr="00F064EC">
                                    <w:rPr>
                                      <w:rFonts w:asciiTheme="minorHAnsi" w:hAnsiTheme="minorHAnsi" w:cstheme="minorHAnsi"/>
                                      <w:color w:val="333333"/>
                                      <w:spacing w:val="13"/>
                                      <w:sz w:val="16"/>
                                      <w:szCs w:val="16"/>
                                      <w:lang w:val="uk-UA"/>
                                    </w:rPr>
                                    <w:t xml:space="preserve"> </w:t>
                                  </w:r>
                                  <w:r w:rsidR="007372B2" w:rsidRPr="00F064EC">
                                    <w:rPr>
                                      <w:rFonts w:asciiTheme="minorHAnsi" w:hAnsiTheme="minorHAnsi" w:cstheme="minorHAnsi"/>
                                      <w:color w:val="333333"/>
                                      <w:w w:val="80"/>
                                      <w:sz w:val="16"/>
                                      <w:szCs w:val="16"/>
                                      <w:lang w:val="uk-UA"/>
                                    </w:rPr>
                                    <w:t>(95%</w:t>
                                  </w:r>
                                  <w:r w:rsidR="007372B2" w:rsidRPr="00F064EC">
                                    <w:rPr>
                                      <w:rFonts w:asciiTheme="minorHAnsi" w:hAnsiTheme="minorHAnsi" w:cstheme="minorHAnsi"/>
                                      <w:color w:val="333333"/>
                                      <w:spacing w:val="14"/>
                                      <w:sz w:val="16"/>
                                      <w:szCs w:val="16"/>
                                      <w:lang w:val="uk-UA"/>
                                    </w:rPr>
                                    <w:t xml:space="preserve"> </w:t>
                                  </w:r>
                                  <w:r w:rsidR="007372B2" w:rsidRPr="00F064EC">
                                    <w:rPr>
                                      <w:rFonts w:asciiTheme="minorHAnsi" w:hAnsiTheme="minorHAnsi" w:cstheme="minorHAnsi"/>
                                      <w:color w:val="333333"/>
                                      <w:w w:val="80"/>
                                      <w:sz w:val="16"/>
                                      <w:szCs w:val="16"/>
                                      <w:lang w:val="uk-UA"/>
                                    </w:rPr>
                                    <w:t>ДІ</w:t>
                                  </w:r>
                                  <w:r w:rsidR="007372B2" w:rsidRPr="00F064EC">
                                    <w:rPr>
                                      <w:rFonts w:asciiTheme="minorHAnsi" w:hAnsiTheme="minorHAnsi" w:cstheme="minorHAnsi"/>
                                      <w:color w:val="333333"/>
                                      <w:spacing w:val="-5"/>
                                      <w:w w:val="80"/>
                                      <w:sz w:val="16"/>
                                      <w:szCs w:val="16"/>
                                      <w:lang w:val="uk-UA"/>
                                    </w:rPr>
                                    <w:t>)</w:t>
                                  </w:r>
                                </w:p>
                              </w:tc>
                              <w:tc>
                                <w:tcPr>
                                  <w:tcW w:w="1550" w:type="dxa"/>
                                </w:tcPr>
                                <w:p w14:paraId="17B37496" w14:textId="3F1D09D0" w:rsidR="007372B2" w:rsidRPr="00F064EC" w:rsidRDefault="007372B2" w:rsidP="00937D10">
                                  <w:pPr>
                                    <w:jc w:val="center"/>
                                    <w:rPr>
                                      <w:rFonts w:asciiTheme="minorHAnsi" w:hAnsiTheme="minorHAnsi" w:cstheme="minorHAnsi"/>
                                      <w:sz w:val="16"/>
                                      <w:szCs w:val="16"/>
                                    </w:rPr>
                                  </w:pPr>
                                  <w:r w:rsidRPr="00F064EC">
                                    <w:rPr>
                                      <w:rFonts w:asciiTheme="minorHAnsi" w:hAnsiTheme="minorHAnsi" w:cstheme="minorHAnsi"/>
                                      <w:color w:val="333333"/>
                                      <w:w w:val="80"/>
                                      <w:sz w:val="16"/>
                                      <w:szCs w:val="16"/>
                                      <w:lang w:val="uk-UA"/>
                                    </w:rPr>
                                    <w:t>Чутливість</w:t>
                                  </w:r>
                                  <w:r w:rsidRPr="00F064EC">
                                    <w:rPr>
                                      <w:rFonts w:asciiTheme="minorHAnsi" w:hAnsiTheme="minorHAnsi" w:cstheme="minorHAnsi"/>
                                      <w:color w:val="333333"/>
                                      <w:spacing w:val="20"/>
                                      <w:sz w:val="16"/>
                                      <w:szCs w:val="16"/>
                                      <w:lang w:val="uk-UA"/>
                                    </w:rPr>
                                    <w:t xml:space="preserve"> </w:t>
                                  </w:r>
                                  <w:r w:rsidRPr="00F064EC">
                                    <w:rPr>
                                      <w:rFonts w:asciiTheme="minorHAnsi" w:hAnsiTheme="minorHAnsi" w:cstheme="minorHAnsi"/>
                                      <w:color w:val="333333"/>
                                      <w:w w:val="80"/>
                                      <w:sz w:val="16"/>
                                      <w:szCs w:val="16"/>
                                      <w:lang w:val="uk-UA"/>
                                    </w:rPr>
                                    <w:t>(95%</w:t>
                                  </w:r>
                                  <w:r w:rsidRPr="00F064EC">
                                    <w:rPr>
                                      <w:rFonts w:asciiTheme="minorHAnsi" w:hAnsiTheme="minorHAnsi" w:cstheme="minorHAnsi"/>
                                      <w:color w:val="333333"/>
                                      <w:spacing w:val="21"/>
                                      <w:sz w:val="16"/>
                                      <w:szCs w:val="16"/>
                                      <w:lang w:val="uk-UA"/>
                                    </w:rPr>
                                    <w:t xml:space="preserve"> </w:t>
                                  </w:r>
                                  <w:r w:rsidRPr="00F064EC">
                                    <w:rPr>
                                      <w:rFonts w:asciiTheme="minorHAnsi" w:hAnsiTheme="minorHAnsi" w:cstheme="minorHAnsi"/>
                                      <w:color w:val="333333"/>
                                      <w:w w:val="80"/>
                                      <w:sz w:val="16"/>
                                      <w:szCs w:val="16"/>
                                      <w:lang w:val="uk-UA"/>
                                    </w:rPr>
                                    <w:t>ДІ</w:t>
                                  </w:r>
                                  <w:r w:rsidRPr="00F064EC">
                                    <w:rPr>
                                      <w:rFonts w:asciiTheme="minorHAnsi" w:hAnsiTheme="minorHAnsi" w:cstheme="minorHAnsi"/>
                                      <w:color w:val="333333"/>
                                      <w:spacing w:val="-5"/>
                                      <w:w w:val="80"/>
                                      <w:sz w:val="16"/>
                                      <w:szCs w:val="16"/>
                                      <w:lang w:val="uk-UA"/>
                                    </w:rPr>
                                    <w:t>)</w:t>
                                  </w:r>
                                </w:p>
                              </w:tc>
                              <w:tc>
                                <w:tcPr>
                                  <w:tcW w:w="2154" w:type="dxa"/>
                                </w:tcPr>
                                <w:p w14:paraId="1D4B5195" w14:textId="298E331D" w:rsidR="007372B2" w:rsidRPr="00F064EC" w:rsidRDefault="007372B2" w:rsidP="00C51B32">
                                  <w:pPr>
                                    <w:jc w:val="center"/>
                                    <w:rPr>
                                      <w:rFonts w:asciiTheme="minorHAnsi" w:hAnsiTheme="minorHAnsi" w:cstheme="minorHAnsi"/>
                                      <w:sz w:val="16"/>
                                      <w:szCs w:val="16"/>
                                    </w:rPr>
                                  </w:pPr>
                                  <w:r w:rsidRPr="00F064EC">
                                    <w:rPr>
                                      <w:rFonts w:asciiTheme="minorHAnsi" w:hAnsiTheme="minorHAnsi" w:cstheme="minorHAnsi"/>
                                      <w:color w:val="333333"/>
                                      <w:w w:val="80"/>
                                      <w:sz w:val="16"/>
                                      <w:szCs w:val="16"/>
                                      <w:lang w:val="uk-UA"/>
                                    </w:rPr>
                                    <w:t>Специфічність</w:t>
                                  </w:r>
                                  <w:r w:rsidRPr="00F064EC">
                                    <w:rPr>
                                      <w:rFonts w:asciiTheme="minorHAnsi" w:hAnsiTheme="minorHAnsi" w:cstheme="minorHAnsi"/>
                                      <w:color w:val="333333"/>
                                      <w:spacing w:val="13"/>
                                      <w:sz w:val="16"/>
                                      <w:szCs w:val="16"/>
                                      <w:lang w:val="uk-UA"/>
                                    </w:rPr>
                                    <w:t xml:space="preserve"> </w:t>
                                  </w:r>
                                  <w:r w:rsidRPr="00F064EC">
                                    <w:rPr>
                                      <w:rFonts w:asciiTheme="minorHAnsi" w:hAnsiTheme="minorHAnsi" w:cstheme="minorHAnsi"/>
                                      <w:color w:val="333333"/>
                                      <w:w w:val="80"/>
                                      <w:sz w:val="16"/>
                                      <w:szCs w:val="16"/>
                                      <w:lang w:val="uk-UA"/>
                                    </w:rPr>
                                    <w:t>(95%</w:t>
                                  </w:r>
                                  <w:r w:rsidRPr="00F064EC">
                                    <w:rPr>
                                      <w:rFonts w:asciiTheme="minorHAnsi" w:hAnsiTheme="minorHAnsi" w:cstheme="minorHAnsi"/>
                                      <w:color w:val="333333"/>
                                      <w:spacing w:val="14"/>
                                      <w:sz w:val="16"/>
                                      <w:szCs w:val="16"/>
                                      <w:lang w:val="uk-UA"/>
                                    </w:rPr>
                                    <w:t xml:space="preserve"> </w:t>
                                  </w:r>
                                  <w:r w:rsidRPr="00F064EC">
                                    <w:rPr>
                                      <w:rFonts w:asciiTheme="minorHAnsi" w:hAnsiTheme="minorHAnsi" w:cstheme="minorHAnsi"/>
                                      <w:color w:val="333333"/>
                                      <w:w w:val="80"/>
                                      <w:sz w:val="16"/>
                                      <w:szCs w:val="16"/>
                                      <w:lang w:val="uk-UA"/>
                                    </w:rPr>
                                    <w:t>ДІ</w:t>
                                  </w:r>
                                  <w:r w:rsidRPr="00F064EC">
                                    <w:rPr>
                                      <w:rFonts w:asciiTheme="minorHAnsi" w:hAnsiTheme="minorHAnsi" w:cstheme="minorHAnsi"/>
                                      <w:color w:val="333333"/>
                                      <w:spacing w:val="-5"/>
                                      <w:w w:val="80"/>
                                      <w:sz w:val="16"/>
                                      <w:szCs w:val="16"/>
                                      <w:lang w:val="uk-UA"/>
                                    </w:rPr>
                                    <w:t>)</w:t>
                                  </w:r>
                                </w:p>
                              </w:tc>
                            </w:tr>
                          </w:tbl>
                          <w:p w14:paraId="11125E39" w14:textId="77777777" w:rsidR="007372B2" w:rsidRDefault="007372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6F618" id="Поле 1931" o:spid="_x0000_s1088" type="#_x0000_t202" style="position:absolute;margin-left:21.85pt;margin-top:7.35pt;width:480.5pt;height:21.75pt;z-index:48819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" fillcolor="white [3201]" stroked="f" strokeweight=".5pt">
                <v:textbox>
                  <w:txbxContent>
                    <w:tbl>
                      <w:tblPr>
                        <w:tblStyle w:val="ac"/>
                        <w:tblW w:w="9380" w:type="dxa"/>
                        <w:tblInd w:w="-14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1411"/>
                        <w:gridCol w:w="1418"/>
                        <w:gridCol w:w="1701"/>
                        <w:gridCol w:w="1550"/>
                        <w:gridCol w:w="2154"/>
                      </w:tblGrid>
                      <w:tr w:rsidR="007372B2" w:rsidRPr="00F064EC" w14:paraId="3383D3BB" w14:textId="77777777" w:rsidTr="00937D10">
                        <w:tc>
                          <w:tcPr>
                            <w:tcW w:w="1146" w:type="dxa"/>
                          </w:tcPr>
                          <w:p w14:paraId="1B22C0CE" w14:textId="29B5F30F" w:rsidR="007372B2" w:rsidRPr="00F064EC" w:rsidRDefault="007372B2" w:rsidP="00F064EC">
                            <w:pPr>
                              <w:ind w:left="30"/>
                              <w:rPr>
                                <w:rFonts w:asciiTheme="minorHAnsi" w:hAnsiTheme="minorHAnsi" w:cstheme="minorHAnsi"/>
                                <w:sz w:val="16"/>
                                <w:szCs w:val="16"/>
                                <w:lang w:val="uk-UA"/>
                              </w:rPr>
                            </w:pPr>
                            <w:r w:rsidRPr="00F064EC">
                              <w:rPr>
                                <w:rFonts w:asciiTheme="minorHAnsi" w:hAnsiTheme="minorHAnsi" w:cstheme="minorHAnsi"/>
                                <w:sz w:val="16"/>
                                <w:szCs w:val="16"/>
                                <w:lang w:val="uk-UA"/>
                              </w:rPr>
                              <w:t>Д</w:t>
                            </w:r>
                            <w:r>
                              <w:rPr>
                                <w:rFonts w:asciiTheme="minorHAnsi" w:hAnsiTheme="minorHAnsi" w:cstheme="minorHAnsi"/>
                                <w:sz w:val="16"/>
                                <w:szCs w:val="16"/>
                                <w:lang w:val="uk-UA"/>
                              </w:rPr>
                              <w:t>о</w:t>
                            </w:r>
                            <w:r w:rsidRPr="00F064EC">
                              <w:rPr>
                                <w:rFonts w:asciiTheme="minorHAnsi" w:hAnsiTheme="minorHAnsi" w:cstheme="minorHAnsi"/>
                                <w:sz w:val="16"/>
                                <w:szCs w:val="16"/>
                                <w:lang w:val="uk-UA"/>
                              </w:rPr>
                              <w:t>с</w:t>
                            </w:r>
                            <w:r>
                              <w:rPr>
                                <w:rFonts w:asciiTheme="minorHAnsi" w:hAnsiTheme="minorHAnsi" w:cstheme="minorHAnsi"/>
                                <w:sz w:val="16"/>
                                <w:szCs w:val="16"/>
                                <w:lang w:val="uk-UA"/>
                              </w:rPr>
                              <w:t>л</w:t>
                            </w:r>
                            <w:r w:rsidRPr="00F064EC">
                              <w:rPr>
                                <w:rFonts w:asciiTheme="minorHAnsi" w:hAnsiTheme="minorHAnsi" w:cstheme="minorHAnsi"/>
                                <w:sz w:val="16"/>
                                <w:szCs w:val="16"/>
                                <w:lang w:val="uk-UA"/>
                              </w:rPr>
                              <w:t>ідження</w:t>
                            </w:r>
                          </w:p>
                        </w:tc>
                        <w:tc>
                          <w:tcPr>
                            <w:tcW w:w="1411" w:type="dxa"/>
                          </w:tcPr>
                          <w:p w14:paraId="1F4B6DD0" w14:textId="4175A3B6" w:rsidR="007372B2" w:rsidRPr="00F064EC" w:rsidRDefault="007372B2" w:rsidP="00F064EC">
                            <w:pPr>
                              <w:rPr>
                                <w:rFonts w:asciiTheme="minorHAnsi" w:hAnsiTheme="minorHAnsi" w:cstheme="minorHAnsi"/>
                                <w:sz w:val="16"/>
                                <w:szCs w:val="16"/>
                              </w:rPr>
                            </w:pPr>
                            <w:r>
                              <w:rPr>
                                <w:rFonts w:asciiTheme="minorHAnsi" w:hAnsiTheme="minorHAnsi" w:cstheme="minorHAnsi"/>
                                <w:sz w:val="16"/>
                                <w:szCs w:val="16"/>
                              </w:rPr>
                              <w:t xml:space="preserve"> TP     FP     FN  TN</w:t>
                            </w:r>
                          </w:p>
                        </w:tc>
                        <w:tc>
                          <w:tcPr>
                            <w:tcW w:w="1418" w:type="dxa"/>
                          </w:tcPr>
                          <w:p w14:paraId="2BC08946" w14:textId="0218973D" w:rsidR="007372B2" w:rsidRPr="00F064EC" w:rsidRDefault="007372B2" w:rsidP="00F064EC">
                            <w:pPr>
                              <w:rPr>
                                <w:rFonts w:asciiTheme="minorHAnsi" w:hAnsiTheme="minorHAnsi" w:cstheme="minorHAnsi"/>
                                <w:sz w:val="16"/>
                                <w:szCs w:val="16"/>
                              </w:rPr>
                            </w:pPr>
                            <w:r>
                              <w:rPr>
                                <w:rFonts w:asciiTheme="minorHAnsi" w:hAnsiTheme="minorHAnsi" w:cstheme="minorHAnsi"/>
                                <w:color w:val="333333"/>
                                <w:w w:val="80"/>
                                <w:sz w:val="16"/>
                                <w:szCs w:val="16"/>
                              </w:rPr>
                              <w:t xml:space="preserve"> </w:t>
                            </w:r>
                            <w:r w:rsidRPr="00F064EC">
                              <w:rPr>
                                <w:rFonts w:asciiTheme="minorHAnsi" w:hAnsiTheme="minorHAnsi" w:cstheme="minorHAnsi"/>
                                <w:color w:val="333333"/>
                                <w:w w:val="80"/>
                                <w:sz w:val="16"/>
                                <w:szCs w:val="16"/>
                                <w:lang w:val="uk-UA"/>
                              </w:rPr>
                              <w:t>Чутливість</w:t>
                            </w:r>
                            <w:r w:rsidRPr="00F064EC">
                              <w:rPr>
                                <w:rFonts w:asciiTheme="minorHAnsi" w:hAnsiTheme="minorHAnsi" w:cstheme="minorHAnsi"/>
                                <w:color w:val="333333"/>
                                <w:spacing w:val="20"/>
                                <w:sz w:val="16"/>
                                <w:szCs w:val="16"/>
                                <w:lang w:val="uk-UA"/>
                              </w:rPr>
                              <w:t xml:space="preserve"> </w:t>
                            </w:r>
                            <w:r w:rsidRPr="00F064EC">
                              <w:rPr>
                                <w:rFonts w:asciiTheme="minorHAnsi" w:hAnsiTheme="minorHAnsi" w:cstheme="minorHAnsi"/>
                                <w:color w:val="333333"/>
                                <w:w w:val="80"/>
                                <w:sz w:val="16"/>
                                <w:szCs w:val="16"/>
                                <w:lang w:val="uk-UA"/>
                              </w:rPr>
                              <w:t>(95%</w:t>
                            </w:r>
                            <w:r w:rsidRPr="00F064EC">
                              <w:rPr>
                                <w:rFonts w:asciiTheme="minorHAnsi" w:hAnsiTheme="minorHAnsi" w:cstheme="minorHAnsi"/>
                                <w:color w:val="333333"/>
                                <w:spacing w:val="21"/>
                                <w:sz w:val="16"/>
                                <w:szCs w:val="16"/>
                                <w:lang w:val="uk-UA"/>
                              </w:rPr>
                              <w:t xml:space="preserve"> </w:t>
                            </w:r>
                            <w:r w:rsidRPr="00F064EC">
                              <w:rPr>
                                <w:rFonts w:asciiTheme="minorHAnsi" w:hAnsiTheme="minorHAnsi" w:cstheme="minorHAnsi"/>
                                <w:color w:val="333333"/>
                                <w:w w:val="80"/>
                                <w:sz w:val="16"/>
                                <w:szCs w:val="16"/>
                                <w:lang w:val="uk-UA"/>
                              </w:rPr>
                              <w:t>ДІ</w:t>
                            </w:r>
                            <w:r w:rsidRPr="00F064EC">
                              <w:rPr>
                                <w:rFonts w:asciiTheme="minorHAnsi" w:hAnsiTheme="minorHAnsi" w:cstheme="minorHAnsi"/>
                                <w:color w:val="333333"/>
                                <w:spacing w:val="-5"/>
                                <w:w w:val="80"/>
                                <w:sz w:val="16"/>
                                <w:szCs w:val="16"/>
                                <w:lang w:val="uk-UA"/>
                              </w:rPr>
                              <w:t>)</w:t>
                            </w:r>
                          </w:p>
                        </w:tc>
                        <w:tc>
                          <w:tcPr>
                            <w:tcW w:w="1701" w:type="dxa"/>
                          </w:tcPr>
                          <w:p w14:paraId="145F0B90" w14:textId="4656D073" w:rsidR="007372B2" w:rsidRPr="00F064EC" w:rsidRDefault="00937D10" w:rsidP="00F064EC">
                            <w:pPr>
                              <w:rPr>
                                <w:rFonts w:asciiTheme="minorHAnsi" w:hAnsiTheme="minorHAnsi" w:cstheme="minorHAnsi"/>
                                <w:sz w:val="16"/>
                                <w:szCs w:val="16"/>
                              </w:rPr>
                            </w:pPr>
                            <w:r>
                              <w:rPr>
                                <w:rFonts w:asciiTheme="minorHAnsi" w:hAnsiTheme="minorHAnsi" w:cstheme="minorHAnsi"/>
                                <w:color w:val="333333"/>
                                <w:w w:val="80"/>
                                <w:sz w:val="16"/>
                                <w:szCs w:val="16"/>
                                <w:lang w:val="uk-UA"/>
                              </w:rPr>
                              <w:t xml:space="preserve">   </w:t>
                            </w:r>
                            <w:r w:rsidR="007372B2" w:rsidRPr="00F064EC">
                              <w:rPr>
                                <w:rFonts w:asciiTheme="minorHAnsi" w:hAnsiTheme="minorHAnsi" w:cstheme="minorHAnsi"/>
                                <w:color w:val="333333"/>
                                <w:w w:val="80"/>
                                <w:sz w:val="16"/>
                                <w:szCs w:val="16"/>
                                <w:lang w:val="uk-UA"/>
                              </w:rPr>
                              <w:t>Специфічність</w:t>
                            </w:r>
                            <w:r w:rsidR="007372B2" w:rsidRPr="00F064EC">
                              <w:rPr>
                                <w:rFonts w:asciiTheme="minorHAnsi" w:hAnsiTheme="minorHAnsi" w:cstheme="minorHAnsi"/>
                                <w:color w:val="333333"/>
                                <w:spacing w:val="13"/>
                                <w:sz w:val="16"/>
                                <w:szCs w:val="16"/>
                                <w:lang w:val="uk-UA"/>
                              </w:rPr>
                              <w:t xml:space="preserve"> </w:t>
                            </w:r>
                            <w:r w:rsidR="007372B2" w:rsidRPr="00F064EC">
                              <w:rPr>
                                <w:rFonts w:asciiTheme="minorHAnsi" w:hAnsiTheme="minorHAnsi" w:cstheme="minorHAnsi"/>
                                <w:color w:val="333333"/>
                                <w:w w:val="80"/>
                                <w:sz w:val="16"/>
                                <w:szCs w:val="16"/>
                                <w:lang w:val="uk-UA"/>
                              </w:rPr>
                              <w:t>(95%</w:t>
                            </w:r>
                            <w:r w:rsidR="007372B2" w:rsidRPr="00F064EC">
                              <w:rPr>
                                <w:rFonts w:asciiTheme="minorHAnsi" w:hAnsiTheme="minorHAnsi" w:cstheme="minorHAnsi"/>
                                <w:color w:val="333333"/>
                                <w:spacing w:val="14"/>
                                <w:sz w:val="16"/>
                                <w:szCs w:val="16"/>
                                <w:lang w:val="uk-UA"/>
                              </w:rPr>
                              <w:t xml:space="preserve"> </w:t>
                            </w:r>
                            <w:r w:rsidR="007372B2" w:rsidRPr="00F064EC">
                              <w:rPr>
                                <w:rFonts w:asciiTheme="minorHAnsi" w:hAnsiTheme="minorHAnsi" w:cstheme="minorHAnsi"/>
                                <w:color w:val="333333"/>
                                <w:w w:val="80"/>
                                <w:sz w:val="16"/>
                                <w:szCs w:val="16"/>
                                <w:lang w:val="uk-UA"/>
                              </w:rPr>
                              <w:t>ДІ</w:t>
                            </w:r>
                            <w:r w:rsidR="007372B2" w:rsidRPr="00F064EC">
                              <w:rPr>
                                <w:rFonts w:asciiTheme="minorHAnsi" w:hAnsiTheme="minorHAnsi" w:cstheme="minorHAnsi"/>
                                <w:color w:val="333333"/>
                                <w:spacing w:val="-5"/>
                                <w:w w:val="80"/>
                                <w:sz w:val="16"/>
                                <w:szCs w:val="16"/>
                                <w:lang w:val="uk-UA"/>
                              </w:rPr>
                              <w:t>)</w:t>
                            </w:r>
                          </w:p>
                        </w:tc>
                        <w:tc>
                          <w:tcPr>
                            <w:tcW w:w="1550" w:type="dxa"/>
                          </w:tcPr>
                          <w:p w14:paraId="17B37496" w14:textId="3F1D09D0" w:rsidR="007372B2" w:rsidRPr="00F064EC" w:rsidRDefault="007372B2" w:rsidP="00937D10">
                            <w:pPr>
                              <w:jc w:val="center"/>
                              <w:rPr>
                                <w:rFonts w:asciiTheme="minorHAnsi" w:hAnsiTheme="minorHAnsi" w:cstheme="minorHAnsi"/>
                                <w:sz w:val="16"/>
                                <w:szCs w:val="16"/>
                              </w:rPr>
                            </w:pPr>
                            <w:r w:rsidRPr="00F064EC">
                              <w:rPr>
                                <w:rFonts w:asciiTheme="minorHAnsi" w:hAnsiTheme="minorHAnsi" w:cstheme="minorHAnsi"/>
                                <w:color w:val="333333"/>
                                <w:w w:val="80"/>
                                <w:sz w:val="16"/>
                                <w:szCs w:val="16"/>
                                <w:lang w:val="uk-UA"/>
                              </w:rPr>
                              <w:t>Чутливість</w:t>
                            </w:r>
                            <w:r w:rsidRPr="00F064EC">
                              <w:rPr>
                                <w:rFonts w:asciiTheme="minorHAnsi" w:hAnsiTheme="minorHAnsi" w:cstheme="minorHAnsi"/>
                                <w:color w:val="333333"/>
                                <w:spacing w:val="20"/>
                                <w:sz w:val="16"/>
                                <w:szCs w:val="16"/>
                                <w:lang w:val="uk-UA"/>
                              </w:rPr>
                              <w:t xml:space="preserve"> </w:t>
                            </w:r>
                            <w:r w:rsidRPr="00F064EC">
                              <w:rPr>
                                <w:rFonts w:asciiTheme="minorHAnsi" w:hAnsiTheme="minorHAnsi" w:cstheme="minorHAnsi"/>
                                <w:color w:val="333333"/>
                                <w:w w:val="80"/>
                                <w:sz w:val="16"/>
                                <w:szCs w:val="16"/>
                                <w:lang w:val="uk-UA"/>
                              </w:rPr>
                              <w:t>(95%</w:t>
                            </w:r>
                            <w:r w:rsidRPr="00F064EC">
                              <w:rPr>
                                <w:rFonts w:asciiTheme="minorHAnsi" w:hAnsiTheme="minorHAnsi" w:cstheme="minorHAnsi"/>
                                <w:color w:val="333333"/>
                                <w:spacing w:val="21"/>
                                <w:sz w:val="16"/>
                                <w:szCs w:val="16"/>
                                <w:lang w:val="uk-UA"/>
                              </w:rPr>
                              <w:t xml:space="preserve"> </w:t>
                            </w:r>
                            <w:r w:rsidRPr="00F064EC">
                              <w:rPr>
                                <w:rFonts w:asciiTheme="minorHAnsi" w:hAnsiTheme="minorHAnsi" w:cstheme="minorHAnsi"/>
                                <w:color w:val="333333"/>
                                <w:w w:val="80"/>
                                <w:sz w:val="16"/>
                                <w:szCs w:val="16"/>
                                <w:lang w:val="uk-UA"/>
                              </w:rPr>
                              <w:t>ДІ</w:t>
                            </w:r>
                            <w:r w:rsidRPr="00F064EC">
                              <w:rPr>
                                <w:rFonts w:asciiTheme="minorHAnsi" w:hAnsiTheme="minorHAnsi" w:cstheme="minorHAnsi"/>
                                <w:color w:val="333333"/>
                                <w:spacing w:val="-5"/>
                                <w:w w:val="80"/>
                                <w:sz w:val="16"/>
                                <w:szCs w:val="16"/>
                                <w:lang w:val="uk-UA"/>
                              </w:rPr>
                              <w:t>)</w:t>
                            </w:r>
                          </w:p>
                        </w:tc>
                        <w:tc>
                          <w:tcPr>
                            <w:tcW w:w="2154" w:type="dxa"/>
                          </w:tcPr>
                          <w:p w14:paraId="1D4B5195" w14:textId="298E331D" w:rsidR="007372B2" w:rsidRPr="00F064EC" w:rsidRDefault="007372B2" w:rsidP="00C51B32">
                            <w:pPr>
                              <w:jc w:val="center"/>
                              <w:rPr>
                                <w:rFonts w:asciiTheme="minorHAnsi" w:hAnsiTheme="minorHAnsi" w:cstheme="minorHAnsi"/>
                                <w:sz w:val="16"/>
                                <w:szCs w:val="16"/>
                              </w:rPr>
                            </w:pPr>
                            <w:r w:rsidRPr="00F064EC">
                              <w:rPr>
                                <w:rFonts w:asciiTheme="minorHAnsi" w:hAnsiTheme="minorHAnsi" w:cstheme="minorHAnsi"/>
                                <w:color w:val="333333"/>
                                <w:w w:val="80"/>
                                <w:sz w:val="16"/>
                                <w:szCs w:val="16"/>
                                <w:lang w:val="uk-UA"/>
                              </w:rPr>
                              <w:t>Специфічність</w:t>
                            </w:r>
                            <w:r w:rsidRPr="00F064EC">
                              <w:rPr>
                                <w:rFonts w:asciiTheme="minorHAnsi" w:hAnsiTheme="minorHAnsi" w:cstheme="minorHAnsi"/>
                                <w:color w:val="333333"/>
                                <w:spacing w:val="13"/>
                                <w:sz w:val="16"/>
                                <w:szCs w:val="16"/>
                                <w:lang w:val="uk-UA"/>
                              </w:rPr>
                              <w:t xml:space="preserve"> </w:t>
                            </w:r>
                            <w:r w:rsidRPr="00F064EC">
                              <w:rPr>
                                <w:rFonts w:asciiTheme="minorHAnsi" w:hAnsiTheme="minorHAnsi" w:cstheme="minorHAnsi"/>
                                <w:color w:val="333333"/>
                                <w:w w:val="80"/>
                                <w:sz w:val="16"/>
                                <w:szCs w:val="16"/>
                                <w:lang w:val="uk-UA"/>
                              </w:rPr>
                              <w:t>(95%</w:t>
                            </w:r>
                            <w:r w:rsidRPr="00F064EC">
                              <w:rPr>
                                <w:rFonts w:asciiTheme="minorHAnsi" w:hAnsiTheme="minorHAnsi" w:cstheme="minorHAnsi"/>
                                <w:color w:val="333333"/>
                                <w:spacing w:val="14"/>
                                <w:sz w:val="16"/>
                                <w:szCs w:val="16"/>
                                <w:lang w:val="uk-UA"/>
                              </w:rPr>
                              <w:t xml:space="preserve"> </w:t>
                            </w:r>
                            <w:r w:rsidRPr="00F064EC">
                              <w:rPr>
                                <w:rFonts w:asciiTheme="minorHAnsi" w:hAnsiTheme="minorHAnsi" w:cstheme="minorHAnsi"/>
                                <w:color w:val="333333"/>
                                <w:w w:val="80"/>
                                <w:sz w:val="16"/>
                                <w:szCs w:val="16"/>
                                <w:lang w:val="uk-UA"/>
                              </w:rPr>
                              <w:t>ДІ</w:t>
                            </w:r>
                            <w:r w:rsidRPr="00F064EC">
                              <w:rPr>
                                <w:rFonts w:asciiTheme="minorHAnsi" w:hAnsiTheme="minorHAnsi" w:cstheme="minorHAnsi"/>
                                <w:color w:val="333333"/>
                                <w:spacing w:val="-5"/>
                                <w:w w:val="80"/>
                                <w:sz w:val="16"/>
                                <w:szCs w:val="16"/>
                                <w:lang w:val="uk-UA"/>
                              </w:rPr>
                              <w:t>)</w:t>
                            </w:r>
                          </w:p>
                        </w:tc>
                      </w:tr>
                    </w:tbl>
                    <w:p w14:paraId="11125E39" w14:textId="77777777" w:rsidR="007372B2" w:rsidRDefault="007372B2"/>
                  </w:txbxContent>
                </v:textbox>
              </v:shape>
            </w:pict>
          </mc:Fallback>
        </mc:AlternateContent>
      </w:r>
    </w:p>
    <w:p w14:paraId="7C0740AB" w14:textId="77777777" w:rsidR="00E05B98" w:rsidRPr="003C6DAE" w:rsidRDefault="00E05B98">
      <w:pPr>
        <w:pStyle w:val="a3"/>
        <w:rPr>
          <w:rFonts w:ascii="Trebuchet MS"/>
          <w:sz w:val="8"/>
          <w:szCs w:val="8"/>
          <w:lang w:val="uk-UA"/>
        </w:rPr>
        <w:sectPr w:rsidR="00E05B98" w:rsidRPr="003C6DAE">
          <w:type w:val="continuous"/>
          <w:pgSz w:w="11910" w:h="16840"/>
          <w:pgMar w:top="1920" w:right="1275" w:bottom="280" w:left="850" w:header="0" w:footer="573" w:gutter="0"/>
          <w:cols w:space="720"/>
        </w:sectPr>
      </w:pPr>
    </w:p>
    <w:p w14:paraId="295390C3" w14:textId="4C4EFC0D" w:rsidR="00E05B98" w:rsidRPr="00F064EC" w:rsidRDefault="00B01E0C" w:rsidP="00F064EC">
      <w:pPr>
        <w:spacing w:before="105"/>
        <w:ind w:left="531"/>
        <w:jc w:val="right"/>
        <w:rPr>
          <w:rFonts w:asciiTheme="minorHAnsi" w:hAnsiTheme="minorHAnsi" w:cstheme="minorHAnsi"/>
          <w:sz w:val="16"/>
          <w:szCs w:val="16"/>
          <w:lang w:val="uk-UA"/>
        </w:rPr>
      </w:pPr>
      <w:r w:rsidRPr="003C6DAE">
        <w:rPr>
          <w:lang w:val="uk-UA"/>
        </w:rPr>
        <w:br w:type="column"/>
      </w:r>
    </w:p>
    <w:p w14:paraId="597EEBFA" w14:textId="0C8E95FD" w:rsidR="00E05B98" w:rsidRPr="00F064EC" w:rsidRDefault="00B01E0C" w:rsidP="00F064EC">
      <w:pPr>
        <w:spacing w:before="105"/>
        <w:ind w:left="126"/>
        <w:rPr>
          <w:rFonts w:ascii="Trebuchet MS"/>
          <w:sz w:val="16"/>
          <w:szCs w:val="16"/>
          <w:lang w:val="uk-UA"/>
        </w:rPr>
        <w:sectPr w:rsidR="00E05B98" w:rsidRPr="00F064EC">
          <w:type w:val="continuous"/>
          <w:pgSz w:w="11910" w:h="16840"/>
          <w:pgMar w:top="1920" w:right="1275" w:bottom="280" w:left="850" w:header="0" w:footer="573" w:gutter="0"/>
          <w:cols w:num="7" w:space="720" w:equalWidth="0">
            <w:col w:w="1132" w:space="40"/>
            <w:col w:w="1082" w:space="39"/>
            <w:col w:w="634" w:space="39"/>
            <w:col w:w="1591" w:space="39"/>
            <w:col w:w="1550" w:space="39"/>
            <w:col w:w="1537" w:space="40"/>
            <w:col w:w="2023"/>
          </w:cols>
        </w:sectPr>
      </w:pPr>
      <w:r w:rsidRPr="003C6DAE">
        <w:rPr>
          <w:sz w:val="16"/>
          <w:szCs w:val="16"/>
          <w:lang w:val="uk-UA"/>
        </w:rPr>
        <w:br w:type="column"/>
      </w:r>
    </w:p>
    <w:p w14:paraId="752FCD2E" w14:textId="5DA0E9A9" w:rsidR="00E05B98" w:rsidRPr="003C6DAE" w:rsidRDefault="00B01E0C">
      <w:pPr>
        <w:tabs>
          <w:tab w:val="left" w:pos="1814"/>
          <w:tab w:val="left" w:pos="2148"/>
          <w:tab w:val="left" w:pos="2482"/>
          <w:tab w:val="left" w:pos="3349"/>
          <w:tab w:val="left" w:pos="4952"/>
        </w:tabs>
        <w:spacing w:before="69" w:line="257" w:lineRule="exact"/>
        <w:ind w:left="700"/>
        <w:rPr>
          <w:rFonts w:ascii="Trebuchet MS"/>
          <w:position w:val="-7"/>
          <w:sz w:val="19"/>
          <w:lang w:val="uk-UA"/>
        </w:rPr>
      </w:pPr>
      <w:r w:rsidRPr="00F064EC">
        <w:rPr>
          <w:noProof/>
          <w:position w:val="-7"/>
          <w:sz w:val="16"/>
          <w:szCs w:val="16"/>
          <w:lang w:val="uk-UA"/>
        </w:rPr>
        <mc:AlternateContent>
          <mc:Choice Requires="wpg">
            <w:drawing>
              <wp:anchor distT="0" distB="0" distL="0" distR="0" simplePos="0" relativeHeight="15888384" behindDoc="0" locked="0" layoutInCell="1" allowOverlap="1" wp14:anchorId="0550D80B" wp14:editId="6D635DE5">
                <wp:simplePos x="0" y="0"/>
                <wp:positionH relativeFrom="page">
                  <wp:posOffset>5552960</wp:posOffset>
                </wp:positionH>
                <wp:positionV relativeFrom="paragraph">
                  <wp:posOffset>54580</wp:posOffset>
                </wp:positionV>
                <wp:extent cx="1020444" cy="153035"/>
                <wp:effectExtent l="0" t="0" r="0" b="0"/>
                <wp:wrapNone/>
                <wp:docPr id="909"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0444" cy="153035"/>
                          <a:chOff x="0" y="0"/>
                          <a:chExt cx="1020444" cy="153035"/>
                        </a:xfrm>
                      </wpg:grpSpPr>
                      <wps:wsp>
                        <wps:cNvPr id="910" name="Graphic 910"/>
                        <wps:cNvSpPr/>
                        <wps:spPr>
                          <a:xfrm>
                            <a:off x="696883" y="30538"/>
                            <a:ext cx="323215" cy="1270"/>
                          </a:xfrm>
                          <a:custGeom>
                            <a:avLst/>
                            <a:gdLst/>
                            <a:ahLst/>
                            <a:cxnLst/>
                            <a:rect l="l" t="t" r="r" b="b"/>
                            <a:pathLst>
                              <a:path w="323215">
                                <a:moveTo>
                                  <a:pt x="0" y="0"/>
                                </a:moveTo>
                                <a:lnTo>
                                  <a:pt x="232012" y="0"/>
                                </a:lnTo>
                              </a:path>
                              <a:path w="323215">
                                <a:moveTo>
                                  <a:pt x="291393" y="0"/>
                                </a:moveTo>
                                <a:lnTo>
                                  <a:pt x="323204" y="0"/>
                                </a:lnTo>
                              </a:path>
                            </a:pathLst>
                          </a:custGeom>
                          <a:ln w="10179">
                            <a:solidFill>
                              <a:srgbClr val="000000"/>
                            </a:solidFill>
                            <a:prstDash val="solid"/>
                          </a:ln>
                        </wps:spPr>
                        <wps:bodyPr wrap="square" lIns="0" tIns="0" rIns="0" bIns="0" rtlCol="0">
                          <a:prstTxWarp prst="textNoShape">
                            <a:avLst/>
                          </a:prstTxWarp>
                          <a:noAutofit/>
                        </wps:bodyPr>
                      </wps:wsp>
                      <wps:wsp>
                        <wps:cNvPr id="911" name="Graphic 911"/>
                        <wps:cNvSpPr/>
                        <wps:spPr>
                          <a:xfrm>
                            <a:off x="928896" y="0"/>
                            <a:ext cx="59690" cy="71755"/>
                          </a:xfrm>
                          <a:custGeom>
                            <a:avLst/>
                            <a:gdLst/>
                            <a:ahLst/>
                            <a:cxnLst/>
                            <a:rect l="l" t="t" r="r" b="b"/>
                            <a:pathLst>
                              <a:path w="59690" h="71755">
                                <a:moveTo>
                                  <a:pt x="59381" y="71257"/>
                                </a:moveTo>
                                <a:lnTo>
                                  <a:pt x="0" y="71257"/>
                                </a:lnTo>
                                <a:lnTo>
                                  <a:pt x="0" y="0"/>
                                </a:lnTo>
                                <a:lnTo>
                                  <a:pt x="59381" y="0"/>
                                </a:lnTo>
                                <a:lnTo>
                                  <a:pt x="59381" y="71257"/>
                                </a:lnTo>
                                <a:close/>
                              </a:path>
                            </a:pathLst>
                          </a:custGeom>
                          <a:solidFill>
                            <a:srgbClr val="0000C0"/>
                          </a:solidFill>
                        </wps:spPr>
                        <wps:bodyPr wrap="square" lIns="0" tIns="0" rIns="0" bIns="0" rtlCol="0">
                          <a:prstTxWarp prst="textNoShape">
                            <a:avLst/>
                          </a:prstTxWarp>
                          <a:noAutofit/>
                        </wps:bodyPr>
                      </wps:wsp>
                      <wps:wsp>
                        <wps:cNvPr id="912" name="Graphic 912"/>
                        <wps:cNvSpPr/>
                        <wps:spPr>
                          <a:xfrm>
                            <a:off x="4241" y="111975"/>
                            <a:ext cx="1009650" cy="1270"/>
                          </a:xfrm>
                          <a:custGeom>
                            <a:avLst/>
                            <a:gdLst/>
                            <a:ahLst/>
                            <a:cxnLst/>
                            <a:rect l="l" t="t" r="r" b="b"/>
                            <a:pathLst>
                              <a:path w="1009650">
                                <a:moveTo>
                                  <a:pt x="0" y="0"/>
                                </a:moveTo>
                                <a:lnTo>
                                  <a:pt x="1009484" y="0"/>
                                </a:lnTo>
                              </a:path>
                            </a:pathLst>
                          </a:custGeom>
                          <a:ln w="10179">
                            <a:solidFill>
                              <a:srgbClr val="000000"/>
                            </a:solidFill>
                            <a:prstDash val="solid"/>
                          </a:ln>
                        </wps:spPr>
                        <wps:bodyPr wrap="square" lIns="0" tIns="0" rIns="0" bIns="0" rtlCol="0">
                          <a:prstTxWarp prst="textNoShape">
                            <a:avLst/>
                          </a:prstTxWarp>
                          <a:noAutofit/>
                        </wps:bodyPr>
                      </wps:wsp>
                      <wps:wsp>
                        <wps:cNvPr id="913" name="Graphic 913"/>
                        <wps:cNvSpPr/>
                        <wps:spPr>
                          <a:xfrm>
                            <a:off x="4241" y="71257"/>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914" name="Graphic 914"/>
                        <wps:cNvSpPr/>
                        <wps:spPr>
                          <a:xfrm>
                            <a:off x="206138" y="71256"/>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915" name="Graphic 915"/>
                        <wps:cNvSpPr/>
                        <wps:spPr>
                          <a:xfrm>
                            <a:off x="408035" y="71256"/>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916" name="Graphic 916"/>
                        <wps:cNvSpPr/>
                        <wps:spPr>
                          <a:xfrm>
                            <a:off x="609508" y="71256"/>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917" name="Graphic 917"/>
                        <wps:cNvSpPr/>
                        <wps:spPr>
                          <a:xfrm>
                            <a:off x="811829" y="71256"/>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s:wsp>
                        <wps:cNvPr id="918" name="Graphic 918"/>
                        <wps:cNvSpPr/>
                        <wps:spPr>
                          <a:xfrm>
                            <a:off x="1013725" y="71256"/>
                            <a:ext cx="1270" cy="81915"/>
                          </a:xfrm>
                          <a:custGeom>
                            <a:avLst/>
                            <a:gdLst/>
                            <a:ahLst/>
                            <a:cxnLst/>
                            <a:rect l="l" t="t" r="r" b="b"/>
                            <a:pathLst>
                              <a:path h="81915">
                                <a:moveTo>
                                  <a:pt x="0" y="0"/>
                                </a:moveTo>
                                <a:lnTo>
                                  <a:pt x="0" y="81437"/>
                                </a:lnTo>
                              </a:path>
                            </a:pathLst>
                          </a:custGeom>
                          <a:ln w="848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30F17B" id="Group 909" o:spid="_x0000_s1026" style="position:absolute;margin-left:437.25pt;margin-top:4.3pt;width:80.35pt;height:12.05pt;z-index:15888384;mso-wrap-distance-left:0;mso-wrap-distance-right:0;mso-position-horizontal-relative:page" coordsize="10204,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">
                <v:shape id="Graphic 910" o:spid="_x0000_s1027" style="position:absolute;left:6968;top:305;width:3232;height:13;visibility:visible;mso-wrap-style:square;v-text-anchor:top" coordsize="323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" path="m,l232012,em291393,r31811,e" filled="f" strokeweight=".28275mm">
                  <v:path arrowok="t"/>
                </v:shape>
                <v:shape id="Graphic 911" o:spid="_x0000_s1028" style="position:absolute;left:9288;width:597;height:717;visibility:visible;mso-wrap-style:square;v-text-anchor:top" coordsize="5969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" path="m59381,71257l,71257,,,59381,r,71257xe" fillcolor="#0000c0" stroked="f">
                  <v:path arrowok="t"/>
                </v:shape>
                <v:shape id="Graphic 912" o:spid="_x0000_s1029" style="position:absolute;left:42;top:1119;width:10096;height:13;visibility:visible;mso-wrap-style:square;v-text-anchor:top" coordsize="1009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" path="m,l1009484,e" filled="f" strokeweight=".28275mm">
                  <v:path arrowok="t"/>
                </v:shape>
                <v:shape id="Graphic 913" o:spid="_x0000_s1030" style="position:absolute;left:42;top:712;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" path="m,l,81437e" filled="f" strokeweight=".23564mm">
                  <v:path arrowok="t"/>
                </v:shape>
                <v:shape id="Graphic 914" o:spid="_x0000_s1031" style="position:absolute;left:2061;top:712;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" path="m,l,81437e" filled="f" strokeweight=".23564mm">
                  <v:path arrowok="t"/>
                </v:shape>
                <v:shape id="Graphic 915" o:spid="_x0000_s1032" style="position:absolute;left:4080;top:712;width:13;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" path="m,l,81437e" filled="f" strokeweight=".23564mm">
                  <v:path arrowok="t"/>
                </v:shape>
                <v:shape id="Graphic 916" o:spid="_x0000_s1033" style="position:absolute;left:6095;top:712;width:12;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" path="m,l,81437e" filled="f" strokeweight=".23564mm">
                  <v:path arrowok="t"/>
                </v:shape>
                <v:shape id="Graphic 917" o:spid="_x0000_s1034" style="position:absolute;left:8118;top:712;width:12;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" path="m,l,81437e" filled="f" strokeweight=".23564mm">
                  <v:path arrowok="t"/>
                </v:shape>
                <v:shape id="Graphic 918" o:spid="_x0000_s1035" style="position:absolute;left:10137;top:712;width:12;height:819;visibility:visible;mso-wrap-style:square;v-text-anchor:top" coordsize="127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" path="m,l,81437e" filled="f" strokeweight=".23564mm">
                  <v:path arrowok="t"/>
                </v:shape>
                <w10:wrap anchorx="page"/>
              </v:group>
            </w:pict>
          </mc:Fallback>
        </mc:AlternateContent>
      </w:r>
      <w:r w:rsidRPr="00F064EC">
        <w:rPr>
          <w:w w:val="80"/>
          <w:sz w:val="16"/>
          <w:szCs w:val="16"/>
          <w:lang w:val="uk-UA"/>
        </w:rPr>
        <w:t>Jose</w:t>
      </w:r>
      <w:r w:rsidRPr="00F064EC">
        <w:rPr>
          <w:sz w:val="16"/>
          <w:szCs w:val="16"/>
          <w:lang w:val="uk-UA"/>
        </w:rPr>
        <w:t xml:space="preserve"> </w:t>
      </w:r>
      <w:r w:rsidRPr="00F064EC">
        <w:rPr>
          <w:spacing w:val="-4"/>
          <w:w w:val="80"/>
          <w:sz w:val="16"/>
          <w:szCs w:val="16"/>
          <w:lang w:val="uk-UA"/>
        </w:rPr>
        <w:t>2024</w:t>
      </w:r>
      <w:r w:rsidRPr="00F064EC">
        <w:rPr>
          <w:sz w:val="16"/>
          <w:szCs w:val="16"/>
          <w:lang w:val="uk-UA"/>
        </w:rPr>
        <w:tab/>
      </w:r>
      <w:r w:rsidRPr="00F064EC">
        <w:rPr>
          <w:spacing w:val="-10"/>
          <w:w w:val="85"/>
          <w:sz w:val="16"/>
          <w:szCs w:val="16"/>
          <w:lang w:val="uk-UA"/>
        </w:rPr>
        <w:t>0</w:t>
      </w:r>
      <w:r w:rsidRPr="00F064EC">
        <w:rPr>
          <w:sz w:val="16"/>
          <w:szCs w:val="16"/>
          <w:lang w:val="uk-UA"/>
        </w:rPr>
        <w:tab/>
      </w:r>
      <w:r w:rsidRPr="00F064EC">
        <w:rPr>
          <w:spacing w:val="-10"/>
          <w:w w:val="85"/>
          <w:sz w:val="16"/>
          <w:szCs w:val="16"/>
          <w:lang w:val="uk-UA"/>
        </w:rPr>
        <w:t>1</w:t>
      </w:r>
      <w:r w:rsidRPr="00F064EC">
        <w:rPr>
          <w:sz w:val="16"/>
          <w:szCs w:val="16"/>
          <w:lang w:val="uk-UA"/>
        </w:rPr>
        <w:tab/>
      </w:r>
      <w:r w:rsidRPr="00F064EC">
        <w:rPr>
          <w:w w:val="85"/>
          <w:sz w:val="16"/>
          <w:szCs w:val="16"/>
          <w:lang w:val="uk-UA"/>
        </w:rPr>
        <w:t>1</w:t>
      </w:r>
      <w:r w:rsidRPr="00F064EC">
        <w:rPr>
          <w:spacing w:val="72"/>
          <w:w w:val="150"/>
          <w:sz w:val="16"/>
          <w:szCs w:val="16"/>
          <w:lang w:val="uk-UA"/>
        </w:rPr>
        <w:t xml:space="preserve"> </w:t>
      </w:r>
      <w:r w:rsidRPr="00F064EC">
        <w:rPr>
          <w:spacing w:val="-5"/>
          <w:w w:val="85"/>
          <w:sz w:val="16"/>
          <w:szCs w:val="16"/>
          <w:lang w:val="uk-UA"/>
        </w:rPr>
        <w:t>14</w:t>
      </w:r>
      <w:r w:rsidRPr="00F064EC">
        <w:rPr>
          <w:sz w:val="16"/>
          <w:szCs w:val="16"/>
          <w:lang w:val="uk-UA"/>
        </w:rPr>
        <w:tab/>
      </w:r>
      <w:r w:rsidRPr="00F064EC">
        <w:rPr>
          <w:w w:val="70"/>
          <w:sz w:val="16"/>
          <w:szCs w:val="16"/>
          <w:lang w:val="uk-UA"/>
        </w:rPr>
        <w:t>0.00</w:t>
      </w:r>
      <w:r w:rsidRPr="00F064EC">
        <w:rPr>
          <w:spacing w:val="26"/>
          <w:sz w:val="16"/>
          <w:szCs w:val="16"/>
          <w:lang w:val="uk-UA"/>
        </w:rPr>
        <w:t xml:space="preserve"> </w:t>
      </w:r>
      <w:r w:rsidRPr="00F064EC">
        <w:rPr>
          <w:w w:val="70"/>
          <w:sz w:val="16"/>
          <w:szCs w:val="16"/>
          <w:lang w:val="uk-UA"/>
        </w:rPr>
        <w:t>[0.00,</w:t>
      </w:r>
      <w:r w:rsidRPr="00F064EC">
        <w:rPr>
          <w:spacing w:val="33"/>
          <w:sz w:val="16"/>
          <w:szCs w:val="16"/>
          <w:lang w:val="uk-UA"/>
        </w:rPr>
        <w:t xml:space="preserve"> </w:t>
      </w:r>
      <w:r w:rsidRPr="00F064EC">
        <w:rPr>
          <w:spacing w:val="-2"/>
          <w:w w:val="70"/>
          <w:sz w:val="16"/>
          <w:szCs w:val="16"/>
          <w:lang w:val="uk-UA"/>
        </w:rPr>
        <w:t>0.97]</w:t>
      </w:r>
      <w:r w:rsidRPr="00F064EC">
        <w:rPr>
          <w:sz w:val="16"/>
          <w:szCs w:val="16"/>
          <w:lang w:val="uk-UA"/>
        </w:rPr>
        <w:tab/>
      </w:r>
      <w:r w:rsidRPr="00F064EC">
        <w:rPr>
          <w:w w:val="70"/>
          <w:sz w:val="16"/>
          <w:szCs w:val="16"/>
          <w:lang w:val="uk-UA"/>
        </w:rPr>
        <w:t>0.93</w:t>
      </w:r>
      <w:r w:rsidRPr="00F064EC">
        <w:rPr>
          <w:spacing w:val="21"/>
          <w:sz w:val="16"/>
          <w:szCs w:val="16"/>
          <w:lang w:val="uk-UA"/>
        </w:rPr>
        <w:t xml:space="preserve"> </w:t>
      </w:r>
      <w:r w:rsidRPr="00F064EC">
        <w:rPr>
          <w:w w:val="70"/>
          <w:sz w:val="16"/>
          <w:szCs w:val="16"/>
          <w:lang w:val="uk-UA"/>
        </w:rPr>
        <w:t>[0.68,</w:t>
      </w:r>
      <w:r w:rsidRPr="00F064EC">
        <w:rPr>
          <w:spacing w:val="28"/>
          <w:sz w:val="16"/>
          <w:szCs w:val="16"/>
          <w:lang w:val="uk-UA"/>
        </w:rPr>
        <w:t xml:space="preserve"> </w:t>
      </w:r>
      <w:r w:rsidRPr="00F064EC">
        <w:rPr>
          <w:w w:val="70"/>
          <w:sz w:val="16"/>
          <w:szCs w:val="16"/>
          <w:lang w:val="uk-UA"/>
        </w:rPr>
        <w:t>1.00]</w:t>
      </w:r>
      <w:r w:rsidRPr="00F064EC">
        <w:rPr>
          <w:rFonts w:ascii="Trebuchet MS"/>
          <w:spacing w:val="-12"/>
          <w:w w:val="70"/>
          <w:sz w:val="16"/>
          <w:szCs w:val="16"/>
          <w:lang w:val="uk-UA"/>
        </w:rPr>
        <w:t xml:space="preserve"> </w:t>
      </w:r>
      <w:r w:rsidRPr="003C6DAE">
        <w:rPr>
          <w:rFonts w:ascii="Trebuchet MS"/>
          <w:noProof/>
          <w:spacing w:val="-39"/>
          <w:position w:val="-7"/>
          <w:sz w:val="19"/>
          <w:lang w:val="uk-UA"/>
        </w:rPr>
        <w:drawing>
          <wp:inline distT="0" distB="0" distL="0" distR="0" wp14:anchorId="119A21DE" wp14:editId="61120BFA">
            <wp:extent cx="1039174" cy="152694"/>
            <wp:effectExtent l="0" t="0" r="0" b="0"/>
            <wp:docPr id="919" name="Image 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 name="Image 919"/>
                    <pic:cNvPicPr/>
                  </pic:nvPicPr>
                  <pic:blipFill>
                    <a:blip r:embed="rId53" cstate="print"/>
                    <a:stretch>
                      <a:fillRect/>
                    </a:stretch>
                  </pic:blipFill>
                  <pic:spPr>
                    <a:xfrm>
                      <a:off x="0" y="0"/>
                      <a:ext cx="1039174" cy="152694"/>
                    </a:xfrm>
                    <a:prstGeom prst="rect">
                      <a:avLst/>
                    </a:prstGeom>
                  </pic:spPr>
                </pic:pic>
              </a:graphicData>
            </a:graphic>
          </wp:inline>
        </w:drawing>
      </w:r>
    </w:p>
    <w:p w14:paraId="45DF451D" w14:textId="77777777" w:rsidR="00E05B98" w:rsidRPr="003C6DAE" w:rsidRDefault="00B01E0C">
      <w:pPr>
        <w:spacing w:line="220" w:lineRule="exact"/>
        <w:ind w:left="6164"/>
        <w:rPr>
          <w:rFonts w:ascii="Trebuchet MS"/>
          <w:sz w:val="19"/>
          <w:lang w:val="uk-UA"/>
        </w:rPr>
      </w:pPr>
      <w:r w:rsidRPr="003C6DAE">
        <w:rPr>
          <w:rFonts w:ascii="Trebuchet MS"/>
          <w:w w:val="85"/>
          <w:sz w:val="19"/>
          <w:lang w:val="uk-UA"/>
        </w:rPr>
        <w:t>0</w:t>
      </w:r>
      <w:r w:rsidRPr="003C6DAE">
        <w:rPr>
          <w:rFonts w:ascii="Trebuchet MS"/>
          <w:spacing w:val="52"/>
          <w:sz w:val="19"/>
          <w:lang w:val="uk-UA"/>
        </w:rPr>
        <w:t xml:space="preserve"> </w:t>
      </w:r>
      <w:r w:rsidRPr="003C6DAE">
        <w:rPr>
          <w:rFonts w:ascii="Trebuchet MS"/>
          <w:w w:val="85"/>
          <w:sz w:val="19"/>
          <w:lang w:val="uk-UA"/>
        </w:rPr>
        <w:t>0.2</w:t>
      </w:r>
      <w:r w:rsidRPr="003C6DAE">
        <w:rPr>
          <w:rFonts w:ascii="Trebuchet MS"/>
          <w:spacing w:val="34"/>
          <w:sz w:val="19"/>
          <w:lang w:val="uk-UA"/>
        </w:rPr>
        <w:t xml:space="preserve"> </w:t>
      </w:r>
      <w:r w:rsidRPr="003C6DAE">
        <w:rPr>
          <w:rFonts w:ascii="Trebuchet MS"/>
          <w:w w:val="85"/>
          <w:sz w:val="19"/>
          <w:lang w:val="uk-UA"/>
        </w:rPr>
        <w:t>0.4</w:t>
      </w:r>
      <w:r w:rsidRPr="003C6DAE">
        <w:rPr>
          <w:rFonts w:ascii="Trebuchet MS"/>
          <w:spacing w:val="34"/>
          <w:sz w:val="19"/>
          <w:lang w:val="uk-UA"/>
        </w:rPr>
        <w:t xml:space="preserve"> </w:t>
      </w:r>
      <w:r w:rsidRPr="003C6DAE">
        <w:rPr>
          <w:rFonts w:ascii="Trebuchet MS"/>
          <w:w w:val="85"/>
          <w:sz w:val="19"/>
          <w:lang w:val="uk-UA"/>
        </w:rPr>
        <w:t>0.6</w:t>
      </w:r>
      <w:r w:rsidRPr="003C6DAE">
        <w:rPr>
          <w:rFonts w:ascii="Trebuchet MS"/>
          <w:spacing w:val="34"/>
          <w:sz w:val="19"/>
          <w:lang w:val="uk-UA"/>
        </w:rPr>
        <w:t xml:space="preserve"> </w:t>
      </w:r>
      <w:r w:rsidRPr="003C6DAE">
        <w:rPr>
          <w:rFonts w:ascii="Trebuchet MS"/>
          <w:w w:val="85"/>
          <w:sz w:val="19"/>
          <w:lang w:val="uk-UA"/>
        </w:rPr>
        <w:t>0.8</w:t>
      </w:r>
      <w:r w:rsidRPr="003C6DAE">
        <w:rPr>
          <w:rFonts w:ascii="Trebuchet MS"/>
          <w:spacing w:val="54"/>
          <w:sz w:val="19"/>
          <w:lang w:val="uk-UA"/>
        </w:rPr>
        <w:t xml:space="preserve"> </w:t>
      </w:r>
      <w:r w:rsidRPr="003C6DAE">
        <w:rPr>
          <w:rFonts w:ascii="Trebuchet MS"/>
          <w:w w:val="85"/>
          <w:sz w:val="19"/>
          <w:lang w:val="uk-UA"/>
        </w:rPr>
        <w:t>1</w:t>
      </w:r>
      <w:r w:rsidRPr="003C6DAE">
        <w:rPr>
          <w:rFonts w:ascii="Trebuchet MS"/>
          <w:spacing w:val="51"/>
          <w:w w:val="150"/>
          <w:sz w:val="19"/>
          <w:lang w:val="uk-UA"/>
        </w:rPr>
        <w:t xml:space="preserve"> </w:t>
      </w:r>
      <w:r w:rsidRPr="003C6DAE">
        <w:rPr>
          <w:rFonts w:ascii="Trebuchet MS"/>
          <w:w w:val="85"/>
          <w:sz w:val="19"/>
          <w:lang w:val="uk-UA"/>
        </w:rPr>
        <w:t>0</w:t>
      </w:r>
      <w:r w:rsidRPr="003C6DAE">
        <w:rPr>
          <w:rFonts w:ascii="Trebuchet MS"/>
          <w:spacing w:val="53"/>
          <w:sz w:val="19"/>
          <w:lang w:val="uk-UA"/>
        </w:rPr>
        <w:t xml:space="preserve"> </w:t>
      </w:r>
      <w:r w:rsidRPr="003C6DAE">
        <w:rPr>
          <w:rFonts w:ascii="Trebuchet MS"/>
          <w:w w:val="85"/>
          <w:sz w:val="19"/>
          <w:lang w:val="uk-UA"/>
        </w:rPr>
        <w:t>0.2</w:t>
      </w:r>
      <w:r w:rsidRPr="003C6DAE">
        <w:rPr>
          <w:rFonts w:ascii="Trebuchet MS"/>
          <w:spacing w:val="34"/>
          <w:sz w:val="19"/>
          <w:lang w:val="uk-UA"/>
        </w:rPr>
        <w:t xml:space="preserve"> </w:t>
      </w:r>
      <w:r w:rsidRPr="003C6DAE">
        <w:rPr>
          <w:rFonts w:ascii="Trebuchet MS"/>
          <w:w w:val="85"/>
          <w:sz w:val="19"/>
          <w:lang w:val="uk-UA"/>
        </w:rPr>
        <w:t>0.4</w:t>
      </w:r>
      <w:r w:rsidRPr="003C6DAE">
        <w:rPr>
          <w:rFonts w:ascii="Trebuchet MS"/>
          <w:spacing w:val="34"/>
          <w:sz w:val="19"/>
          <w:lang w:val="uk-UA"/>
        </w:rPr>
        <w:t xml:space="preserve"> </w:t>
      </w:r>
      <w:r w:rsidRPr="003C6DAE">
        <w:rPr>
          <w:rFonts w:ascii="Trebuchet MS"/>
          <w:w w:val="85"/>
          <w:sz w:val="19"/>
          <w:lang w:val="uk-UA"/>
        </w:rPr>
        <w:t>0.6</w:t>
      </w:r>
      <w:r w:rsidRPr="003C6DAE">
        <w:rPr>
          <w:rFonts w:ascii="Trebuchet MS"/>
          <w:spacing w:val="34"/>
          <w:sz w:val="19"/>
          <w:lang w:val="uk-UA"/>
        </w:rPr>
        <w:t xml:space="preserve"> </w:t>
      </w:r>
      <w:r w:rsidRPr="003C6DAE">
        <w:rPr>
          <w:rFonts w:ascii="Trebuchet MS"/>
          <w:w w:val="85"/>
          <w:sz w:val="19"/>
          <w:lang w:val="uk-UA"/>
        </w:rPr>
        <w:t>0.8</w:t>
      </w:r>
      <w:r w:rsidRPr="003C6DAE">
        <w:rPr>
          <w:rFonts w:ascii="Trebuchet MS"/>
          <w:spacing w:val="54"/>
          <w:sz w:val="19"/>
          <w:lang w:val="uk-UA"/>
        </w:rPr>
        <w:t xml:space="preserve"> </w:t>
      </w:r>
      <w:r w:rsidRPr="003C6DAE">
        <w:rPr>
          <w:rFonts w:ascii="Trebuchet MS"/>
          <w:spacing w:val="-10"/>
          <w:w w:val="85"/>
          <w:sz w:val="19"/>
          <w:lang w:val="uk-UA"/>
        </w:rPr>
        <w:t>1</w:t>
      </w:r>
    </w:p>
    <w:p w14:paraId="41B217E0" w14:textId="77777777" w:rsidR="00F77CF0" w:rsidRPr="003C6DAE" w:rsidRDefault="00F77CF0">
      <w:pPr>
        <w:spacing w:before="1" w:line="254" w:lineRule="auto"/>
        <w:ind w:left="567"/>
        <w:rPr>
          <w:sz w:val="12"/>
          <w:szCs w:val="12"/>
          <w:lang w:val="uk-UA"/>
        </w:rPr>
      </w:pPr>
    </w:p>
    <w:p w14:paraId="291621CB" w14:textId="17798EE5" w:rsidR="00E05B98" w:rsidRPr="003C6DAE" w:rsidRDefault="00A6426A">
      <w:pPr>
        <w:spacing w:before="1" w:line="254" w:lineRule="auto"/>
        <w:ind w:left="567"/>
        <w:rPr>
          <w:sz w:val="18"/>
          <w:lang w:val="uk-UA"/>
        </w:rPr>
      </w:pPr>
      <w:r w:rsidRPr="003C6DAE">
        <w:rPr>
          <w:sz w:val="16"/>
          <w:szCs w:val="16"/>
          <w:lang w:val="uk-UA"/>
        </w:rPr>
        <w:t xml:space="preserve">ДІ: довірчий інтервал; FN: хибнонегативний результат; FP: хибнопозитивний результат; </w:t>
      </w:r>
      <w:r w:rsidR="00B5314F">
        <w:rPr>
          <w:sz w:val="16"/>
          <w:szCs w:val="16"/>
          <w:lang w:val="uk-UA"/>
        </w:rPr>
        <w:t>аТАНК-НС</w:t>
      </w:r>
      <w:r w:rsidRPr="003C6DAE">
        <w:rPr>
          <w:sz w:val="16"/>
          <w:szCs w:val="16"/>
          <w:lang w:val="uk-UA"/>
        </w:rPr>
        <w:t>: автоматизований тест ампліфікаці</w:t>
      </w:r>
      <w:r w:rsidR="00B5314F">
        <w:rPr>
          <w:sz w:val="16"/>
          <w:szCs w:val="16"/>
          <w:lang w:val="uk-UA"/>
        </w:rPr>
        <w:t>ї</w:t>
      </w:r>
      <w:r w:rsidRPr="003C6DAE">
        <w:rPr>
          <w:sz w:val="16"/>
          <w:szCs w:val="16"/>
          <w:lang w:val="uk-UA"/>
        </w:rPr>
        <w:t xml:space="preserve"> нуклеїнових кислот низької складності; MRS: мікробіологічний еталонний стандарт; ТБ: туберкульоз; TN: істинно негативний результат; TP: істинно позитивний результат.</w:t>
      </w:r>
    </w:p>
    <w:p w14:paraId="511B2E0E" w14:textId="0BDE8680" w:rsidR="00E05B98" w:rsidRPr="003C6DAE" w:rsidRDefault="00B01E0C">
      <w:pPr>
        <w:spacing w:before="56"/>
        <w:ind w:left="567"/>
        <w:rPr>
          <w:sz w:val="18"/>
          <w:lang w:val="uk-UA"/>
        </w:rPr>
      </w:pPr>
      <w:r w:rsidRPr="003C6DAE">
        <w:rPr>
          <w:spacing w:val="-2"/>
          <w:sz w:val="18"/>
          <w:vertAlign w:val="superscript"/>
          <w:lang w:val="uk-UA"/>
        </w:rPr>
        <w:t>a</w:t>
      </w:r>
      <w:r w:rsidRPr="003C6DAE">
        <w:rPr>
          <w:spacing w:val="-21"/>
          <w:sz w:val="18"/>
          <w:lang w:val="uk-UA"/>
        </w:rPr>
        <w:t xml:space="preserve"> </w:t>
      </w:r>
      <w:r w:rsidR="00A6426A" w:rsidRPr="003C6DAE">
        <w:rPr>
          <w:sz w:val="16"/>
          <w:szCs w:val="16"/>
          <w:lang w:val="uk-UA"/>
        </w:rPr>
        <w:t xml:space="preserve">Дослідження </w:t>
      </w:r>
      <w:r w:rsidR="00B5314F">
        <w:rPr>
          <w:sz w:val="16"/>
          <w:szCs w:val="16"/>
          <w:lang w:val="uk-UA"/>
        </w:rPr>
        <w:t>впорядковано</w:t>
      </w:r>
      <w:r w:rsidR="00A6426A" w:rsidRPr="003C6DAE">
        <w:rPr>
          <w:sz w:val="16"/>
          <w:szCs w:val="16"/>
          <w:lang w:val="uk-UA"/>
        </w:rPr>
        <w:t xml:space="preserve"> за зменшенням чутливості</w:t>
      </w:r>
      <w:r w:rsidR="00A6426A" w:rsidRPr="003C6DAE">
        <w:rPr>
          <w:spacing w:val="-2"/>
          <w:sz w:val="18"/>
          <w:lang w:val="uk-UA"/>
        </w:rPr>
        <w:t>.</w:t>
      </w:r>
    </w:p>
    <w:p w14:paraId="77DC0B0A" w14:textId="77777777" w:rsidR="00E05B98" w:rsidRDefault="00E05B98">
      <w:pPr>
        <w:rPr>
          <w:sz w:val="18"/>
          <w:lang w:val="uk-UA"/>
        </w:rPr>
      </w:pPr>
    </w:p>
    <w:p w14:paraId="1AC2A99A" w14:textId="77777777" w:rsidR="00F064EC" w:rsidRPr="003C6DAE" w:rsidRDefault="00F064EC">
      <w:pPr>
        <w:rPr>
          <w:sz w:val="18"/>
          <w:lang w:val="uk-UA"/>
        </w:rPr>
        <w:sectPr w:rsidR="00F064EC" w:rsidRPr="003C6DAE">
          <w:type w:val="continuous"/>
          <w:pgSz w:w="11910" w:h="16840"/>
          <w:pgMar w:top="1920" w:right="1275" w:bottom="280" w:left="850" w:header="0" w:footer="573" w:gutter="0"/>
          <w:cols w:space="720"/>
        </w:sectPr>
      </w:pPr>
    </w:p>
    <w:p w14:paraId="38F13C9B" w14:textId="56683077" w:rsidR="00E05B98" w:rsidRPr="00B5314F" w:rsidRDefault="00F77CF0">
      <w:pPr>
        <w:pStyle w:val="7"/>
        <w:spacing w:before="46" w:line="249" w:lineRule="auto"/>
        <w:ind w:right="164"/>
        <w:jc w:val="both"/>
        <w:rPr>
          <w:sz w:val="22"/>
          <w:szCs w:val="22"/>
          <w:lang w:val="uk-UA"/>
        </w:rPr>
      </w:pPr>
      <w:r w:rsidRPr="00B5314F">
        <w:rPr>
          <w:color w:val="019648"/>
          <w:spacing w:val="-2"/>
          <w:w w:val="105"/>
          <w:sz w:val="22"/>
          <w:szCs w:val="22"/>
          <w:lang w:val="uk-UA"/>
        </w:rPr>
        <w:lastRenderedPageBreak/>
        <w:t xml:space="preserve">Чи слід використовувати аТАНК-НС при дослідженні </w:t>
      </w:r>
      <w:r w:rsidR="00B5314F">
        <w:rPr>
          <w:color w:val="019648"/>
          <w:spacing w:val="-2"/>
          <w:w w:val="105"/>
          <w:sz w:val="22"/>
          <w:szCs w:val="22"/>
          <w:lang w:val="uk-UA"/>
        </w:rPr>
        <w:t xml:space="preserve">зразків </w:t>
      </w:r>
      <w:r w:rsidRPr="00B5314F">
        <w:rPr>
          <w:color w:val="019648"/>
          <w:spacing w:val="-2"/>
          <w:w w:val="105"/>
          <w:sz w:val="22"/>
          <w:szCs w:val="22"/>
          <w:lang w:val="uk-UA"/>
        </w:rPr>
        <w:t xml:space="preserve">перикардіальної рідини для діагностики ТБ перикарда у дорослих і підлітків із ознаками та симптомами ТБ перикарда </w:t>
      </w:r>
      <w:r w:rsidR="00B5314F">
        <w:rPr>
          <w:color w:val="019648"/>
          <w:spacing w:val="-2"/>
          <w:w w:val="105"/>
          <w:sz w:val="22"/>
          <w:szCs w:val="22"/>
          <w:lang w:val="uk-UA"/>
        </w:rPr>
        <w:t>на противагу</w:t>
      </w:r>
      <w:r w:rsidRPr="00B5314F">
        <w:rPr>
          <w:color w:val="019648"/>
          <w:spacing w:val="-2"/>
          <w:w w:val="105"/>
          <w:sz w:val="22"/>
          <w:szCs w:val="22"/>
          <w:lang w:val="uk-UA"/>
        </w:rPr>
        <w:t xml:space="preserve"> MRS?</w:t>
      </w:r>
    </w:p>
    <w:p w14:paraId="19AEE0F9" w14:textId="059E6E75" w:rsidR="00E05B98" w:rsidRPr="003C6DAE" w:rsidRDefault="00F77CF0" w:rsidP="00F77CF0">
      <w:pPr>
        <w:pStyle w:val="a3"/>
        <w:spacing w:before="216" w:line="297" w:lineRule="auto"/>
        <w:ind w:left="567" w:right="140"/>
        <w:jc w:val="both"/>
        <w:rPr>
          <w:sz w:val="20"/>
          <w:szCs w:val="20"/>
          <w:lang w:val="uk-UA"/>
        </w:rPr>
      </w:pPr>
      <w:r w:rsidRPr="003C6DAE">
        <w:rPr>
          <w:sz w:val="20"/>
          <w:szCs w:val="20"/>
          <w:lang w:val="uk-UA"/>
        </w:rPr>
        <w:t>Сумарний показник чутливості та специфічності аТАНК-НС становили 84,0% (95% ДІ: 73,9–90,7) і 86,6% (95% ДІ: 79,5–91,5), відповідно, за результатами трьох досліджень Xpert Ultra (202 учасники); достовірність доказів була низькою як для чутливості, так і для специфічності тесту (</w:t>
      </w:r>
      <w:r w:rsidRPr="003C6DAE">
        <w:rPr>
          <w:b/>
          <w:bCs/>
          <w:sz w:val="20"/>
          <w:szCs w:val="20"/>
          <w:lang w:val="uk-UA"/>
        </w:rPr>
        <w:t>Рис. 2.1.9</w:t>
      </w:r>
      <w:r w:rsidRPr="003C6DAE">
        <w:rPr>
          <w:sz w:val="20"/>
          <w:szCs w:val="20"/>
          <w:lang w:val="uk-UA"/>
        </w:rPr>
        <w:t>).</w:t>
      </w:r>
    </w:p>
    <w:p w14:paraId="64F9820D" w14:textId="4C15CBC1" w:rsidR="00E05B98" w:rsidRPr="00B5314F" w:rsidRDefault="00F77CF0" w:rsidP="00B5314F">
      <w:pPr>
        <w:pStyle w:val="6"/>
        <w:spacing w:before="238" w:line="249" w:lineRule="auto"/>
        <w:ind w:left="1843" w:right="140" w:hanging="1276"/>
        <w:jc w:val="both"/>
        <w:rPr>
          <w:sz w:val="20"/>
          <w:szCs w:val="20"/>
          <w:lang w:val="uk-UA"/>
        </w:rPr>
      </w:pPr>
      <w:r w:rsidRPr="00B5314F">
        <w:rPr>
          <w:color w:val="636466"/>
          <w:sz w:val="20"/>
          <w:szCs w:val="20"/>
          <w:lang w:val="uk-UA"/>
        </w:rPr>
        <w:t>Рис.</w:t>
      </w:r>
      <w:r w:rsidR="00B01E0C" w:rsidRPr="00B5314F">
        <w:rPr>
          <w:color w:val="636466"/>
          <w:spacing w:val="-16"/>
          <w:sz w:val="20"/>
          <w:szCs w:val="20"/>
          <w:lang w:val="uk-UA"/>
        </w:rPr>
        <w:t xml:space="preserve"> </w:t>
      </w:r>
      <w:r w:rsidR="00B01E0C" w:rsidRPr="00B5314F">
        <w:rPr>
          <w:color w:val="636466"/>
          <w:sz w:val="20"/>
          <w:szCs w:val="20"/>
          <w:lang w:val="uk-UA"/>
        </w:rPr>
        <w:t>2.1.9.</w:t>
      </w:r>
      <w:r w:rsidRPr="00B5314F">
        <w:rPr>
          <w:color w:val="636466"/>
          <w:sz w:val="20"/>
          <w:szCs w:val="20"/>
          <w:lang w:val="uk-UA"/>
        </w:rPr>
        <w:t xml:space="preserve"> </w:t>
      </w:r>
      <w:r w:rsidR="00B5314F">
        <w:rPr>
          <w:color w:val="636466"/>
          <w:sz w:val="20"/>
          <w:szCs w:val="20"/>
          <w:lang w:val="uk-UA"/>
        </w:rPr>
        <w:t xml:space="preserve"> </w:t>
      </w:r>
      <w:r w:rsidR="001D6B19" w:rsidRPr="00B5314F">
        <w:rPr>
          <w:color w:val="636466"/>
          <w:spacing w:val="-16"/>
          <w:sz w:val="20"/>
          <w:szCs w:val="20"/>
          <w:lang w:val="uk-UA"/>
        </w:rPr>
        <w:t xml:space="preserve">Чутливість і специфічність аТАНК-НС для виявлення ТБ перикарда в </w:t>
      </w:r>
      <w:r w:rsidR="00B5314F" w:rsidRPr="00B5314F">
        <w:rPr>
          <w:color w:val="636466"/>
          <w:spacing w:val="-16"/>
          <w:sz w:val="20"/>
          <w:szCs w:val="20"/>
          <w:lang w:val="uk-UA"/>
        </w:rPr>
        <w:t xml:space="preserve">зразках </w:t>
      </w:r>
      <w:r w:rsidR="001D6B19" w:rsidRPr="00B5314F">
        <w:rPr>
          <w:color w:val="636466"/>
          <w:spacing w:val="-16"/>
          <w:sz w:val="20"/>
          <w:szCs w:val="20"/>
          <w:lang w:val="uk-UA"/>
        </w:rPr>
        <w:t>перикардіальн</w:t>
      </w:r>
      <w:r w:rsidR="00B5314F" w:rsidRPr="00B5314F">
        <w:rPr>
          <w:color w:val="636466"/>
          <w:spacing w:val="-16"/>
          <w:sz w:val="20"/>
          <w:szCs w:val="20"/>
          <w:lang w:val="uk-UA"/>
        </w:rPr>
        <w:t>ої</w:t>
      </w:r>
      <w:r w:rsidR="001D6B19" w:rsidRPr="00B5314F">
        <w:rPr>
          <w:color w:val="636466"/>
          <w:spacing w:val="-16"/>
          <w:sz w:val="20"/>
          <w:szCs w:val="20"/>
          <w:lang w:val="uk-UA"/>
        </w:rPr>
        <w:t xml:space="preserve"> </w:t>
      </w:r>
      <w:r w:rsidR="00B5314F">
        <w:rPr>
          <w:color w:val="636466"/>
          <w:spacing w:val="-16"/>
          <w:sz w:val="20"/>
          <w:szCs w:val="20"/>
          <w:lang w:val="uk-UA"/>
        </w:rPr>
        <w:t xml:space="preserve">  </w:t>
      </w:r>
      <w:r w:rsidR="001D6B19" w:rsidRPr="00B5314F">
        <w:rPr>
          <w:color w:val="636466"/>
          <w:spacing w:val="-16"/>
          <w:sz w:val="20"/>
          <w:szCs w:val="20"/>
          <w:lang w:val="uk-UA"/>
        </w:rPr>
        <w:t>рідин</w:t>
      </w:r>
      <w:r w:rsidR="00B5314F" w:rsidRPr="00B5314F">
        <w:rPr>
          <w:color w:val="636466"/>
          <w:spacing w:val="-16"/>
          <w:sz w:val="20"/>
          <w:szCs w:val="20"/>
          <w:lang w:val="uk-UA"/>
        </w:rPr>
        <w:t>и</w:t>
      </w:r>
      <w:r w:rsidR="001D6B19" w:rsidRPr="00B5314F">
        <w:rPr>
          <w:color w:val="636466"/>
          <w:spacing w:val="-16"/>
          <w:sz w:val="20"/>
          <w:szCs w:val="20"/>
          <w:lang w:val="uk-UA"/>
        </w:rPr>
        <w:t xml:space="preserve"> та MRS </w:t>
      </w:r>
      <w:r w:rsidR="00B01E0C" w:rsidRPr="00B5314F">
        <w:rPr>
          <w:color w:val="636466"/>
          <w:sz w:val="20"/>
          <w:szCs w:val="20"/>
          <w:vertAlign w:val="superscript"/>
          <w:lang w:val="uk-UA"/>
        </w:rPr>
        <w:t>a</w:t>
      </w:r>
    </w:p>
    <w:p w14:paraId="52FF2582" w14:textId="77777777" w:rsidR="00E05B98" w:rsidRPr="003C6DAE" w:rsidRDefault="00E05B98">
      <w:pPr>
        <w:pStyle w:val="6"/>
        <w:spacing w:line="249" w:lineRule="auto"/>
        <w:rPr>
          <w:rFonts w:ascii="Trebuchet MS" w:hAnsi="Trebuchet MS"/>
          <w:lang w:val="uk-UA"/>
        </w:rPr>
        <w:sectPr w:rsidR="00E05B98" w:rsidRPr="003C6DAE" w:rsidSect="00F77CF0">
          <w:pgSz w:w="11910" w:h="16840"/>
          <w:pgMar w:top="1320" w:right="853" w:bottom="760" w:left="850" w:header="0" w:footer="573" w:gutter="0"/>
          <w:cols w:space="720"/>
        </w:sectPr>
      </w:pPr>
    </w:p>
    <w:p w14:paraId="64F1D8C7" w14:textId="7B3680AE" w:rsidR="00E05B98" w:rsidRPr="003C6DAE" w:rsidRDefault="00B5314F">
      <w:pPr>
        <w:spacing w:before="192"/>
        <w:ind w:left="696"/>
        <w:rPr>
          <w:rFonts w:ascii="Trebuchet MS"/>
          <w:sz w:val="18"/>
          <w:lang w:val="uk-UA"/>
        </w:rPr>
      </w:pPr>
      <w:r w:rsidRPr="00B5314F">
        <w:rPr>
          <w:rFonts w:ascii="Arial" w:hAnsi="Arial" w:cs="Arial"/>
          <w:noProof/>
          <w:sz w:val="20"/>
          <w:szCs w:val="20"/>
          <w:lang w:val="uk-UA"/>
        </w:rPr>
        <mc:AlternateContent>
          <mc:Choice Requires="wps">
            <w:drawing>
              <wp:anchor distT="0" distB="0" distL="114300" distR="114300" simplePos="0" relativeHeight="488096256" behindDoc="0" locked="0" layoutInCell="1" allowOverlap="1" wp14:anchorId="5204355D" wp14:editId="20500256">
                <wp:simplePos x="0" y="0"/>
                <wp:positionH relativeFrom="column">
                  <wp:posOffset>175867</wp:posOffset>
                </wp:positionH>
                <wp:positionV relativeFrom="paragraph">
                  <wp:posOffset>8310</wp:posOffset>
                </wp:positionV>
                <wp:extent cx="1928192" cy="304800"/>
                <wp:effectExtent l="0" t="0" r="0" b="0"/>
                <wp:wrapNone/>
                <wp:docPr id="530865013" name="Поле 2319"/>
                <wp:cNvGraphicFramePr/>
                <a:graphic xmlns:a="http://schemas.openxmlformats.org/drawingml/2006/main">
                  <a:graphicData uri="http://schemas.microsoft.com/office/word/2010/wordprocessingShape">
                    <wps:wsp>
                      <wps:cNvSpPr txBox="1"/>
                      <wps:spPr>
                        <a:xfrm>
                          <a:off x="0" y="0"/>
                          <a:ext cx="1928192" cy="304800"/>
                        </a:xfrm>
                        <a:prstGeom prst="rect">
                          <a:avLst/>
                        </a:prstGeom>
                        <a:solidFill>
                          <a:schemeClr val="lt1"/>
                        </a:solidFill>
                        <a:ln w="6350">
                          <a:noFill/>
                        </a:ln>
                      </wps:spPr>
                      <wps:txbx>
                        <w:txbxContent>
                          <w:p w14:paraId="507C8D34" w14:textId="77777777" w:rsidR="007372B2" w:rsidRPr="001D6B19" w:rsidRDefault="007372B2" w:rsidP="001D6B19">
                            <w:pPr>
                              <w:ind w:right="-215"/>
                              <w:rPr>
                                <w:sz w:val="10"/>
                                <w:szCs w:val="10"/>
                              </w:rPr>
                            </w:pPr>
                          </w:p>
                          <w:p w14:paraId="6C3FDE22" w14:textId="02A319CB" w:rsidR="007372B2" w:rsidRPr="00937D10" w:rsidRDefault="007372B2" w:rsidP="001D6B19">
                            <w:pPr>
                              <w:ind w:right="-215"/>
                              <w:rPr>
                                <w:rFonts w:asciiTheme="minorHAnsi" w:hAnsiTheme="minorHAnsi"/>
                                <w:sz w:val="16"/>
                                <w:szCs w:val="16"/>
                              </w:rPr>
                            </w:pPr>
                            <w:r>
                              <w:rPr>
                                <w:sz w:val="16"/>
                                <w:szCs w:val="16"/>
                                <w:lang w:val="uk-UA"/>
                              </w:rPr>
                              <w:t xml:space="preserve">    </w:t>
                            </w:r>
                            <w:r w:rsidRPr="00937D10">
                              <w:rPr>
                                <w:rFonts w:asciiTheme="minorHAnsi" w:hAnsiTheme="minorHAnsi"/>
                                <w:sz w:val="16"/>
                                <w:szCs w:val="16"/>
                                <w:lang w:val="uk-UA"/>
                              </w:rPr>
                              <w:t xml:space="preserve">Дослідження          </w:t>
                            </w:r>
                            <w:r w:rsidR="00937D10">
                              <w:rPr>
                                <w:rFonts w:asciiTheme="minorHAnsi" w:hAnsiTheme="minorHAnsi"/>
                                <w:sz w:val="16"/>
                                <w:szCs w:val="16"/>
                                <w:lang w:val="uk-UA"/>
                              </w:rPr>
                              <w:t xml:space="preserve">    </w:t>
                            </w:r>
                            <w:r w:rsidRPr="00937D10">
                              <w:rPr>
                                <w:rFonts w:asciiTheme="minorHAnsi" w:hAnsiTheme="minorHAnsi"/>
                                <w:sz w:val="16"/>
                                <w:szCs w:val="16"/>
                                <w:lang w:val="uk-UA"/>
                              </w:rPr>
                              <w:t xml:space="preserve">ТР   </w:t>
                            </w:r>
                            <w:r w:rsidR="00937D10">
                              <w:rPr>
                                <w:rFonts w:asciiTheme="minorHAnsi" w:hAnsiTheme="minorHAnsi"/>
                                <w:sz w:val="16"/>
                                <w:szCs w:val="16"/>
                                <w:lang w:val="uk-UA"/>
                              </w:rPr>
                              <w:t xml:space="preserve">  </w:t>
                            </w:r>
                            <w:r w:rsidRPr="00937D10">
                              <w:rPr>
                                <w:rFonts w:asciiTheme="minorHAnsi" w:hAnsiTheme="minorHAnsi"/>
                                <w:sz w:val="16"/>
                                <w:szCs w:val="16"/>
                              </w:rPr>
                              <w:t>F</w:t>
                            </w:r>
                            <w:r w:rsidRPr="00937D10">
                              <w:rPr>
                                <w:rFonts w:asciiTheme="minorHAnsi" w:hAnsiTheme="minorHAnsi"/>
                                <w:sz w:val="16"/>
                                <w:szCs w:val="16"/>
                                <w:lang w:val="uk-UA"/>
                              </w:rPr>
                              <w:t>Р</w:t>
                            </w:r>
                            <w:r w:rsidRPr="00937D10">
                              <w:rPr>
                                <w:rFonts w:asciiTheme="minorHAnsi" w:hAnsiTheme="minorHAnsi"/>
                                <w:sz w:val="16"/>
                                <w:szCs w:val="16"/>
                              </w:rPr>
                              <w:t xml:space="preserve">  </w:t>
                            </w:r>
                            <w:r w:rsidRPr="00937D10">
                              <w:rPr>
                                <w:rFonts w:asciiTheme="minorHAnsi" w:hAnsiTheme="minorHAnsi"/>
                                <w:sz w:val="16"/>
                                <w:szCs w:val="16"/>
                                <w:lang w:val="uk-UA"/>
                              </w:rPr>
                              <w:t xml:space="preserve">  </w:t>
                            </w:r>
                            <w:r w:rsidR="00937D10">
                              <w:rPr>
                                <w:rFonts w:asciiTheme="minorHAnsi" w:hAnsiTheme="minorHAnsi"/>
                                <w:sz w:val="16"/>
                                <w:szCs w:val="16"/>
                                <w:lang w:val="uk-UA"/>
                              </w:rPr>
                              <w:t xml:space="preserve"> </w:t>
                            </w:r>
                            <w:r w:rsidRPr="00937D10">
                              <w:rPr>
                                <w:rFonts w:asciiTheme="minorHAnsi" w:hAnsiTheme="minorHAnsi"/>
                                <w:sz w:val="16"/>
                                <w:szCs w:val="16"/>
                              </w:rPr>
                              <w:t>FN  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4355D" id="Поле 2319" o:spid="_x0000_s1089" type="#_x0000_t202" style="position:absolute;left:0;text-align:left;margin-left:13.85pt;margin-top:.65pt;width:151.85pt;height:24pt;z-index:4880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" fillcolor="white [3201]" stroked="f" strokeweight=".5pt">
                <v:textbox>
                  <w:txbxContent>
                    <w:p w14:paraId="507C8D34" w14:textId="77777777" w:rsidR="007372B2" w:rsidRPr="001D6B19" w:rsidRDefault="007372B2" w:rsidP="001D6B19">
                      <w:pPr>
                        <w:ind w:right="-215"/>
                        <w:rPr>
                          <w:sz w:val="10"/>
                          <w:szCs w:val="10"/>
                        </w:rPr>
                      </w:pPr>
                    </w:p>
                    <w:p w14:paraId="6C3FDE22" w14:textId="02A319CB" w:rsidR="007372B2" w:rsidRPr="00937D10" w:rsidRDefault="007372B2" w:rsidP="001D6B19">
                      <w:pPr>
                        <w:ind w:right="-215"/>
                        <w:rPr>
                          <w:rFonts w:asciiTheme="minorHAnsi" w:hAnsiTheme="minorHAnsi"/>
                          <w:sz w:val="16"/>
                          <w:szCs w:val="16"/>
                        </w:rPr>
                      </w:pPr>
                      <w:r>
                        <w:rPr>
                          <w:sz w:val="16"/>
                          <w:szCs w:val="16"/>
                          <w:lang w:val="uk-UA"/>
                        </w:rPr>
                        <w:t xml:space="preserve">    </w:t>
                      </w:r>
                      <w:r w:rsidRPr="00937D10">
                        <w:rPr>
                          <w:rFonts w:asciiTheme="minorHAnsi" w:hAnsiTheme="minorHAnsi"/>
                          <w:sz w:val="16"/>
                          <w:szCs w:val="16"/>
                          <w:lang w:val="uk-UA"/>
                        </w:rPr>
                        <w:t xml:space="preserve">Дослідження          </w:t>
                      </w:r>
                      <w:r w:rsidR="00937D10">
                        <w:rPr>
                          <w:rFonts w:asciiTheme="minorHAnsi" w:hAnsiTheme="minorHAnsi"/>
                          <w:sz w:val="16"/>
                          <w:szCs w:val="16"/>
                          <w:lang w:val="uk-UA"/>
                        </w:rPr>
                        <w:t xml:space="preserve">    </w:t>
                      </w:r>
                      <w:r w:rsidRPr="00937D10">
                        <w:rPr>
                          <w:rFonts w:asciiTheme="minorHAnsi" w:hAnsiTheme="minorHAnsi"/>
                          <w:sz w:val="16"/>
                          <w:szCs w:val="16"/>
                          <w:lang w:val="uk-UA"/>
                        </w:rPr>
                        <w:t xml:space="preserve">ТР   </w:t>
                      </w:r>
                      <w:r w:rsidR="00937D10">
                        <w:rPr>
                          <w:rFonts w:asciiTheme="minorHAnsi" w:hAnsiTheme="minorHAnsi"/>
                          <w:sz w:val="16"/>
                          <w:szCs w:val="16"/>
                          <w:lang w:val="uk-UA"/>
                        </w:rPr>
                        <w:t xml:space="preserve">  </w:t>
                      </w:r>
                      <w:r w:rsidRPr="00937D10">
                        <w:rPr>
                          <w:rFonts w:asciiTheme="minorHAnsi" w:hAnsiTheme="minorHAnsi"/>
                          <w:sz w:val="16"/>
                          <w:szCs w:val="16"/>
                        </w:rPr>
                        <w:t>F</w:t>
                      </w:r>
                      <w:r w:rsidRPr="00937D10">
                        <w:rPr>
                          <w:rFonts w:asciiTheme="minorHAnsi" w:hAnsiTheme="minorHAnsi"/>
                          <w:sz w:val="16"/>
                          <w:szCs w:val="16"/>
                          <w:lang w:val="uk-UA"/>
                        </w:rPr>
                        <w:t>Р</w:t>
                      </w:r>
                      <w:r w:rsidRPr="00937D10">
                        <w:rPr>
                          <w:rFonts w:asciiTheme="minorHAnsi" w:hAnsiTheme="minorHAnsi"/>
                          <w:sz w:val="16"/>
                          <w:szCs w:val="16"/>
                        </w:rPr>
                        <w:t xml:space="preserve">  </w:t>
                      </w:r>
                      <w:r w:rsidRPr="00937D10">
                        <w:rPr>
                          <w:rFonts w:asciiTheme="minorHAnsi" w:hAnsiTheme="minorHAnsi"/>
                          <w:sz w:val="16"/>
                          <w:szCs w:val="16"/>
                          <w:lang w:val="uk-UA"/>
                        </w:rPr>
                        <w:t xml:space="preserve">  </w:t>
                      </w:r>
                      <w:r w:rsidR="00937D10">
                        <w:rPr>
                          <w:rFonts w:asciiTheme="minorHAnsi" w:hAnsiTheme="minorHAnsi"/>
                          <w:sz w:val="16"/>
                          <w:szCs w:val="16"/>
                          <w:lang w:val="uk-UA"/>
                        </w:rPr>
                        <w:t xml:space="preserve"> </w:t>
                      </w:r>
                      <w:r w:rsidRPr="00937D10">
                        <w:rPr>
                          <w:rFonts w:asciiTheme="minorHAnsi" w:hAnsiTheme="minorHAnsi"/>
                          <w:sz w:val="16"/>
                          <w:szCs w:val="16"/>
                        </w:rPr>
                        <w:t>FN  TN</w:t>
                      </w:r>
                    </w:p>
                  </w:txbxContent>
                </v:textbox>
              </v:shape>
            </w:pict>
          </mc:Fallback>
        </mc:AlternateContent>
      </w:r>
      <w:r w:rsidR="00B01E0C" w:rsidRPr="003C6DAE">
        <w:rPr>
          <w:lang w:val="uk-UA"/>
        </w:rPr>
        <w:br w:type="column"/>
      </w:r>
      <w:r w:rsidR="00B01E0C" w:rsidRPr="003C6DAE">
        <w:rPr>
          <w:rFonts w:ascii="Trebuchet MS"/>
          <w:color w:val="333333"/>
          <w:w w:val="90"/>
          <w:sz w:val="18"/>
          <w:lang w:val="uk-UA"/>
        </w:rPr>
        <w:t>TP</w:t>
      </w:r>
      <w:r w:rsidR="00B01E0C" w:rsidRPr="003C6DAE">
        <w:rPr>
          <w:rFonts w:ascii="Trebuchet MS"/>
          <w:color w:val="333333"/>
          <w:spacing w:val="67"/>
          <w:w w:val="150"/>
          <w:sz w:val="18"/>
          <w:lang w:val="uk-UA"/>
        </w:rPr>
        <w:t xml:space="preserve"> </w:t>
      </w:r>
      <w:r w:rsidR="00B01E0C" w:rsidRPr="003C6DAE">
        <w:rPr>
          <w:rFonts w:ascii="Trebuchet MS"/>
          <w:color w:val="333333"/>
          <w:spacing w:val="-7"/>
          <w:w w:val="90"/>
          <w:sz w:val="18"/>
          <w:lang w:val="uk-UA"/>
        </w:rPr>
        <w:t xml:space="preserve">FP </w:t>
      </w:r>
    </w:p>
    <w:p w14:paraId="2D164028" w14:textId="77777777" w:rsidR="00E05B98" w:rsidRPr="003C6DAE" w:rsidRDefault="00B01E0C">
      <w:pPr>
        <w:spacing w:before="192"/>
        <w:ind w:left="87"/>
        <w:rPr>
          <w:rFonts w:ascii="Trebuchet MS"/>
          <w:sz w:val="18"/>
          <w:lang w:val="uk-UA"/>
        </w:rPr>
      </w:pPr>
      <w:r w:rsidRPr="003C6DAE">
        <w:rPr>
          <w:lang w:val="uk-UA"/>
        </w:rPr>
        <w:br w:type="column"/>
      </w:r>
      <w:r w:rsidRPr="003C6DAE">
        <w:rPr>
          <w:rFonts w:ascii="Trebuchet MS"/>
          <w:color w:val="333333"/>
          <w:w w:val="95"/>
          <w:sz w:val="18"/>
          <w:lang w:val="uk-UA"/>
        </w:rPr>
        <w:t>FN</w:t>
      </w:r>
      <w:r w:rsidRPr="003C6DAE">
        <w:rPr>
          <w:rFonts w:ascii="Trebuchet MS"/>
          <w:color w:val="333333"/>
          <w:spacing w:val="53"/>
          <w:sz w:val="18"/>
          <w:lang w:val="uk-UA"/>
        </w:rPr>
        <w:t xml:space="preserve"> </w:t>
      </w:r>
      <w:r w:rsidRPr="003C6DAE">
        <w:rPr>
          <w:rFonts w:ascii="Trebuchet MS"/>
          <w:color w:val="333333"/>
          <w:spacing w:val="-5"/>
          <w:w w:val="90"/>
          <w:sz w:val="18"/>
          <w:lang w:val="uk-UA"/>
        </w:rPr>
        <w:t xml:space="preserve">TN </w:t>
      </w:r>
    </w:p>
    <w:p w14:paraId="49A80DA8" w14:textId="6283A97F" w:rsidR="00E05B98" w:rsidRPr="00937D10" w:rsidRDefault="00B01E0C">
      <w:pPr>
        <w:spacing w:before="192"/>
        <w:ind w:left="120"/>
        <w:rPr>
          <w:rFonts w:asciiTheme="minorHAnsi" w:hAnsiTheme="minorHAnsi"/>
          <w:sz w:val="16"/>
          <w:szCs w:val="16"/>
          <w:lang w:val="uk-UA"/>
        </w:rPr>
      </w:pPr>
      <w:r w:rsidRPr="003C6DAE">
        <w:rPr>
          <w:lang w:val="uk-UA"/>
        </w:rPr>
        <w:br w:type="column"/>
      </w:r>
      <w:r w:rsidR="00937D10">
        <w:rPr>
          <w:lang w:val="uk-UA"/>
        </w:rPr>
        <w:t xml:space="preserve">   </w:t>
      </w:r>
      <w:r w:rsidR="001D6B19" w:rsidRPr="00937D10">
        <w:rPr>
          <w:rFonts w:asciiTheme="minorHAnsi" w:hAnsiTheme="minorHAnsi"/>
          <w:color w:val="333333"/>
          <w:w w:val="80"/>
          <w:sz w:val="16"/>
          <w:szCs w:val="16"/>
          <w:lang w:val="uk-UA"/>
        </w:rPr>
        <w:t>Чутливість</w:t>
      </w:r>
      <w:r w:rsidRPr="00937D10">
        <w:rPr>
          <w:rFonts w:asciiTheme="minorHAnsi" w:hAnsiTheme="minorHAnsi"/>
          <w:color w:val="333333"/>
          <w:spacing w:val="28"/>
          <w:sz w:val="16"/>
          <w:szCs w:val="16"/>
          <w:lang w:val="uk-UA"/>
        </w:rPr>
        <w:t xml:space="preserve"> </w:t>
      </w:r>
      <w:r w:rsidRPr="00937D10">
        <w:rPr>
          <w:rFonts w:asciiTheme="minorHAnsi" w:hAnsiTheme="minorHAnsi"/>
          <w:color w:val="333333"/>
          <w:w w:val="80"/>
          <w:sz w:val="16"/>
          <w:szCs w:val="16"/>
          <w:lang w:val="uk-UA"/>
        </w:rPr>
        <w:t>(95%</w:t>
      </w:r>
      <w:r w:rsidRPr="00937D10">
        <w:rPr>
          <w:rFonts w:asciiTheme="minorHAnsi" w:hAnsiTheme="minorHAnsi"/>
          <w:color w:val="333333"/>
          <w:spacing w:val="30"/>
          <w:sz w:val="16"/>
          <w:szCs w:val="16"/>
          <w:lang w:val="uk-UA"/>
        </w:rPr>
        <w:t xml:space="preserve"> </w:t>
      </w:r>
      <w:r w:rsidR="001D6B19" w:rsidRPr="00937D10">
        <w:rPr>
          <w:rFonts w:asciiTheme="minorHAnsi" w:hAnsiTheme="minorHAnsi"/>
          <w:color w:val="333333"/>
          <w:w w:val="80"/>
          <w:sz w:val="16"/>
          <w:szCs w:val="16"/>
          <w:lang w:val="uk-UA"/>
        </w:rPr>
        <w:t>ДІ</w:t>
      </w:r>
      <w:r w:rsidRPr="00937D10">
        <w:rPr>
          <w:rFonts w:asciiTheme="minorHAnsi" w:hAnsiTheme="minorHAnsi"/>
          <w:color w:val="333333"/>
          <w:spacing w:val="-5"/>
          <w:w w:val="80"/>
          <w:sz w:val="16"/>
          <w:szCs w:val="16"/>
          <w:lang w:val="uk-UA"/>
        </w:rPr>
        <w:t>)</w:t>
      </w:r>
    </w:p>
    <w:p w14:paraId="4F20B8AD" w14:textId="65004A65" w:rsidR="00E05B98" w:rsidRPr="00937D10" w:rsidRDefault="00B01E0C">
      <w:pPr>
        <w:spacing w:before="192"/>
        <w:ind w:left="81"/>
        <w:rPr>
          <w:rFonts w:asciiTheme="minorHAnsi" w:hAnsiTheme="minorHAnsi"/>
          <w:sz w:val="18"/>
          <w:lang w:val="uk-UA"/>
        </w:rPr>
      </w:pPr>
      <w:r w:rsidRPr="003C6DAE">
        <w:rPr>
          <w:lang w:val="uk-UA"/>
        </w:rPr>
        <w:br w:type="column"/>
      </w:r>
      <w:r w:rsidR="00937D10">
        <w:rPr>
          <w:lang w:val="uk-UA"/>
        </w:rPr>
        <w:t xml:space="preserve"> </w:t>
      </w:r>
      <w:r w:rsidR="001D6B19" w:rsidRPr="00937D10">
        <w:rPr>
          <w:rFonts w:asciiTheme="minorHAnsi" w:hAnsiTheme="minorHAnsi"/>
          <w:color w:val="333333"/>
          <w:w w:val="80"/>
          <w:sz w:val="16"/>
          <w:szCs w:val="16"/>
          <w:lang w:val="uk-UA"/>
        </w:rPr>
        <w:t>Специфічність (95% ДІ)</w:t>
      </w:r>
      <w:r w:rsidRPr="00937D10">
        <w:rPr>
          <w:rFonts w:asciiTheme="minorHAnsi" w:hAnsiTheme="minorHAnsi"/>
          <w:color w:val="333333"/>
          <w:spacing w:val="71"/>
          <w:sz w:val="18"/>
          <w:lang w:val="uk-UA"/>
        </w:rPr>
        <w:t xml:space="preserve"> </w:t>
      </w:r>
      <w:r w:rsidR="001D6B19" w:rsidRPr="00937D10">
        <w:rPr>
          <w:rFonts w:asciiTheme="minorHAnsi" w:hAnsiTheme="minorHAnsi"/>
          <w:color w:val="333333"/>
          <w:spacing w:val="71"/>
          <w:sz w:val="18"/>
          <w:lang w:val="uk-UA"/>
        </w:rPr>
        <w:t xml:space="preserve"> </w:t>
      </w:r>
      <w:r w:rsidR="00937D10">
        <w:rPr>
          <w:rFonts w:asciiTheme="minorHAnsi" w:hAnsiTheme="minorHAnsi"/>
          <w:color w:val="333333"/>
          <w:spacing w:val="71"/>
          <w:sz w:val="18"/>
          <w:lang w:val="uk-UA"/>
        </w:rPr>
        <w:t xml:space="preserve">  </w:t>
      </w:r>
      <w:r w:rsidR="001D6B19" w:rsidRPr="00937D10">
        <w:rPr>
          <w:rFonts w:asciiTheme="minorHAnsi" w:hAnsiTheme="minorHAnsi"/>
          <w:color w:val="333333"/>
          <w:w w:val="80"/>
          <w:sz w:val="16"/>
          <w:szCs w:val="16"/>
          <w:lang w:val="uk-UA"/>
        </w:rPr>
        <w:t>Чутливість</w:t>
      </w:r>
      <w:r w:rsidR="001D6B19" w:rsidRPr="00937D10">
        <w:rPr>
          <w:rFonts w:asciiTheme="minorHAnsi" w:hAnsiTheme="minorHAnsi"/>
          <w:color w:val="333333"/>
          <w:spacing w:val="28"/>
          <w:sz w:val="16"/>
          <w:szCs w:val="16"/>
          <w:lang w:val="uk-UA"/>
        </w:rPr>
        <w:t xml:space="preserve"> </w:t>
      </w:r>
      <w:r w:rsidR="001D6B19" w:rsidRPr="00937D10">
        <w:rPr>
          <w:rFonts w:asciiTheme="minorHAnsi" w:hAnsiTheme="minorHAnsi"/>
          <w:color w:val="333333"/>
          <w:w w:val="80"/>
          <w:sz w:val="16"/>
          <w:szCs w:val="16"/>
          <w:lang w:val="uk-UA"/>
        </w:rPr>
        <w:t>(95%</w:t>
      </w:r>
      <w:r w:rsidR="001D6B19" w:rsidRPr="00937D10">
        <w:rPr>
          <w:rFonts w:asciiTheme="minorHAnsi" w:hAnsiTheme="minorHAnsi"/>
          <w:color w:val="333333"/>
          <w:spacing w:val="30"/>
          <w:sz w:val="16"/>
          <w:szCs w:val="16"/>
          <w:lang w:val="uk-UA"/>
        </w:rPr>
        <w:t xml:space="preserve"> </w:t>
      </w:r>
      <w:r w:rsidR="001D6B19" w:rsidRPr="00937D10">
        <w:rPr>
          <w:rFonts w:asciiTheme="minorHAnsi" w:hAnsiTheme="minorHAnsi"/>
          <w:color w:val="333333"/>
          <w:w w:val="80"/>
          <w:sz w:val="16"/>
          <w:szCs w:val="16"/>
          <w:lang w:val="uk-UA"/>
        </w:rPr>
        <w:t>ДІ</w:t>
      </w:r>
      <w:r w:rsidR="001D6B19" w:rsidRPr="00937D10">
        <w:rPr>
          <w:rFonts w:asciiTheme="minorHAnsi" w:hAnsiTheme="minorHAnsi"/>
          <w:color w:val="333333"/>
          <w:spacing w:val="-5"/>
          <w:w w:val="80"/>
          <w:sz w:val="16"/>
          <w:szCs w:val="16"/>
          <w:lang w:val="uk-UA"/>
        </w:rPr>
        <w:t>)</w:t>
      </w:r>
    </w:p>
    <w:p w14:paraId="3559AC1A" w14:textId="393C14EC" w:rsidR="00E05B98" w:rsidRPr="00937D10" w:rsidRDefault="00B01E0C">
      <w:pPr>
        <w:spacing w:before="192"/>
        <w:ind w:left="216"/>
        <w:rPr>
          <w:rFonts w:asciiTheme="minorHAnsi" w:hAnsiTheme="minorHAnsi"/>
          <w:b/>
          <w:bCs/>
          <w:sz w:val="18"/>
          <w:lang w:val="uk-UA"/>
        </w:rPr>
      </w:pPr>
      <w:r w:rsidRPr="00937D10">
        <w:rPr>
          <w:rFonts w:asciiTheme="minorHAnsi" w:hAnsiTheme="minorHAnsi"/>
          <w:lang w:val="uk-UA"/>
        </w:rPr>
        <w:br w:type="column"/>
      </w:r>
      <w:r w:rsidR="00937D10">
        <w:rPr>
          <w:rFonts w:asciiTheme="minorHAnsi" w:hAnsiTheme="minorHAnsi"/>
          <w:lang w:val="uk-UA"/>
        </w:rPr>
        <w:t xml:space="preserve">     </w:t>
      </w:r>
      <w:r w:rsidR="001D6B19" w:rsidRPr="00937D10">
        <w:rPr>
          <w:rFonts w:asciiTheme="minorHAnsi" w:hAnsiTheme="minorHAnsi"/>
          <w:color w:val="333333"/>
          <w:w w:val="80"/>
          <w:sz w:val="16"/>
          <w:szCs w:val="16"/>
          <w:lang w:val="uk-UA"/>
        </w:rPr>
        <w:t>Специфічність (95% ДІ)</w:t>
      </w:r>
    </w:p>
    <w:p w14:paraId="4C2C2076" w14:textId="77777777" w:rsidR="00E05B98" w:rsidRPr="00937D10" w:rsidRDefault="00E05B98">
      <w:pPr>
        <w:rPr>
          <w:rFonts w:asciiTheme="minorHAnsi" w:hAnsiTheme="minorHAnsi"/>
          <w:sz w:val="18"/>
          <w:lang w:val="uk-UA"/>
        </w:rPr>
        <w:sectPr w:rsidR="00E05B98" w:rsidRPr="00937D10" w:rsidSect="00937D10">
          <w:type w:val="continuous"/>
          <w:pgSz w:w="11910" w:h="16840"/>
          <w:pgMar w:top="1920" w:right="1275" w:bottom="280" w:left="850" w:header="0" w:footer="573" w:gutter="0"/>
          <w:cols w:num="6" w:space="720" w:equalWidth="0">
            <w:col w:w="1152" w:space="150"/>
            <w:col w:w="1227" w:space="39"/>
            <w:col w:w="610" w:space="39"/>
            <w:col w:w="1533" w:space="39"/>
            <w:col w:w="3008" w:space="33"/>
            <w:col w:w="1955"/>
          </w:cols>
        </w:sectPr>
      </w:pPr>
    </w:p>
    <w:p w14:paraId="53E61F7D" w14:textId="7DBE693A" w:rsidR="00E05B98" w:rsidRPr="003C6DAE" w:rsidRDefault="00B01E0C">
      <w:pPr>
        <w:spacing w:before="71" w:line="283" w:lineRule="auto"/>
        <w:ind w:left="696"/>
        <w:rPr>
          <w:rFonts w:ascii="Trebuchet MS"/>
          <w:sz w:val="17"/>
          <w:szCs w:val="17"/>
          <w:lang w:val="uk-UA"/>
        </w:rPr>
      </w:pPr>
      <w:proofErr w:type="spellStart"/>
      <w:r w:rsidRPr="003C6DAE">
        <w:rPr>
          <w:rFonts w:ascii="Trebuchet MS"/>
          <w:w w:val="85"/>
          <w:sz w:val="17"/>
          <w:szCs w:val="17"/>
          <w:lang w:val="uk-UA"/>
        </w:rPr>
        <w:t>Mekkaoui</w:t>
      </w:r>
      <w:proofErr w:type="spellEnd"/>
      <w:r w:rsidRPr="003C6DAE">
        <w:rPr>
          <w:rFonts w:ascii="Trebuchet MS"/>
          <w:spacing w:val="-6"/>
          <w:w w:val="85"/>
          <w:sz w:val="17"/>
          <w:szCs w:val="17"/>
          <w:lang w:val="uk-UA"/>
        </w:rPr>
        <w:t xml:space="preserve"> </w:t>
      </w:r>
      <w:r w:rsidRPr="003C6DAE">
        <w:rPr>
          <w:rFonts w:ascii="Trebuchet MS"/>
          <w:w w:val="85"/>
          <w:sz w:val="17"/>
          <w:szCs w:val="17"/>
          <w:lang w:val="uk-UA"/>
        </w:rPr>
        <w:t xml:space="preserve">2021 </w:t>
      </w:r>
      <w:proofErr w:type="spellStart"/>
      <w:r w:rsidRPr="003C6DAE">
        <w:rPr>
          <w:rFonts w:ascii="Trebuchet MS"/>
          <w:w w:val="90"/>
          <w:sz w:val="17"/>
          <w:szCs w:val="17"/>
          <w:lang w:val="uk-UA"/>
        </w:rPr>
        <w:t>Penata</w:t>
      </w:r>
      <w:proofErr w:type="spellEnd"/>
      <w:r w:rsidRPr="003C6DAE">
        <w:rPr>
          <w:rFonts w:ascii="Trebuchet MS"/>
          <w:w w:val="90"/>
          <w:sz w:val="17"/>
          <w:szCs w:val="17"/>
          <w:lang w:val="uk-UA"/>
        </w:rPr>
        <w:t xml:space="preserve"> 2021 </w:t>
      </w:r>
      <w:proofErr w:type="spellStart"/>
      <w:r w:rsidRPr="003C6DAE">
        <w:rPr>
          <w:rFonts w:ascii="Trebuchet MS"/>
          <w:w w:val="90"/>
          <w:sz w:val="17"/>
          <w:szCs w:val="17"/>
          <w:lang w:val="uk-UA"/>
        </w:rPr>
        <w:t>Minnies</w:t>
      </w:r>
      <w:proofErr w:type="spellEnd"/>
      <w:r w:rsidRPr="003C6DAE">
        <w:rPr>
          <w:rFonts w:ascii="Trebuchet MS"/>
          <w:w w:val="90"/>
          <w:sz w:val="17"/>
          <w:szCs w:val="17"/>
          <w:lang w:val="uk-UA"/>
        </w:rPr>
        <w:t xml:space="preserve"> 2023</w:t>
      </w:r>
    </w:p>
    <w:p w14:paraId="3E52E955" w14:textId="0CD7DE4B" w:rsidR="00E05B98" w:rsidRPr="003C6DAE" w:rsidRDefault="00B01E0C">
      <w:pPr>
        <w:spacing w:before="2" w:line="283" w:lineRule="auto"/>
        <w:ind w:left="696" w:right="57"/>
        <w:rPr>
          <w:rFonts w:ascii="Trebuchet MS"/>
          <w:sz w:val="17"/>
          <w:szCs w:val="17"/>
          <w:lang w:val="uk-UA"/>
        </w:rPr>
      </w:pPr>
      <w:proofErr w:type="spellStart"/>
      <w:r w:rsidRPr="003C6DAE">
        <w:rPr>
          <w:rFonts w:ascii="Trebuchet MS"/>
          <w:w w:val="85"/>
          <w:sz w:val="17"/>
          <w:szCs w:val="17"/>
          <w:lang w:val="uk-UA"/>
        </w:rPr>
        <w:t>Alomatu</w:t>
      </w:r>
      <w:proofErr w:type="spellEnd"/>
      <w:r w:rsidRPr="003C6DAE">
        <w:rPr>
          <w:rFonts w:ascii="Trebuchet MS"/>
          <w:spacing w:val="-6"/>
          <w:w w:val="85"/>
          <w:sz w:val="17"/>
          <w:szCs w:val="17"/>
          <w:lang w:val="uk-UA"/>
        </w:rPr>
        <w:t xml:space="preserve"> </w:t>
      </w:r>
      <w:r w:rsidRPr="003C6DAE">
        <w:rPr>
          <w:rFonts w:ascii="Trebuchet MS"/>
          <w:w w:val="85"/>
          <w:sz w:val="17"/>
          <w:szCs w:val="17"/>
          <w:lang w:val="uk-UA"/>
        </w:rPr>
        <w:t xml:space="preserve">2023 </w:t>
      </w:r>
      <w:proofErr w:type="spellStart"/>
      <w:r w:rsidRPr="003C6DAE">
        <w:rPr>
          <w:rFonts w:ascii="Trebuchet MS"/>
          <w:w w:val="90"/>
          <w:sz w:val="17"/>
          <w:szCs w:val="17"/>
          <w:lang w:val="uk-UA"/>
        </w:rPr>
        <w:t>Slail</w:t>
      </w:r>
      <w:proofErr w:type="spellEnd"/>
      <w:r w:rsidRPr="003C6DAE">
        <w:rPr>
          <w:rFonts w:ascii="Trebuchet MS"/>
          <w:w w:val="90"/>
          <w:sz w:val="17"/>
          <w:szCs w:val="17"/>
          <w:lang w:val="uk-UA"/>
        </w:rPr>
        <w:t xml:space="preserve"> 2023</w:t>
      </w:r>
    </w:p>
    <w:p w14:paraId="0DCE4370" w14:textId="77777777" w:rsidR="00E05B98" w:rsidRPr="003C6DAE" w:rsidRDefault="00B01E0C">
      <w:pPr>
        <w:tabs>
          <w:tab w:val="left" w:pos="645"/>
        </w:tabs>
        <w:spacing w:before="71"/>
        <w:ind w:left="323"/>
        <w:rPr>
          <w:rFonts w:ascii="Trebuchet MS"/>
          <w:sz w:val="17"/>
          <w:szCs w:val="17"/>
          <w:lang w:val="uk-UA"/>
        </w:rPr>
      </w:pPr>
      <w:r w:rsidRPr="003C6DAE">
        <w:rPr>
          <w:sz w:val="17"/>
          <w:szCs w:val="17"/>
          <w:lang w:val="uk-UA"/>
        </w:rPr>
        <w:br w:type="column"/>
      </w:r>
      <w:r w:rsidRPr="003C6DAE">
        <w:rPr>
          <w:rFonts w:ascii="Trebuchet MS"/>
          <w:spacing w:val="-10"/>
          <w:w w:val="95"/>
          <w:sz w:val="17"/>
          <w:szCs w:val="17"/>
          <w:lang w:val="uk-UA"/>
        </w:rPr>
        <w:t>0</w:t>
      </w:r>
      <w:r w:rsidRPr="003C6DAE">
        <w:rPr>
          <w:rFonts w:ascii="Trebuchet MS"/>
          <w:sz w:val="17"/>
          <w:szCs w:val="17"/>
          <w:lang w:val="uk-UA"/>
        </w:rPr>
        <w:tab/>
      </w:r>
      <w:r w:rsidRPr="003C6DAE">
        <w:rPr>
          <w:rFonts w:ascii="Trebuchet MS"/>
          <w:spacing w:val="-14"/>
          <w:w w:val="95"/>
          <w:sz w:val="17"/>
          <w:szCs w:val="17"/>
          <w:lang w:val="uk-UA"/>
        </w:rPr>
        <w:t>0</w:t>
      </w:r>
    </w:p>
    <w:p w14:paraId="3CFDE632" w14:textId="77777777" w:rsidR="00E05B98" w:rsidRPr="003C6DAE" w:rsidRDefault="00B01E0C">
      <w:pPr>
        <w:tabs>
          <w:tab w:val="left" w:pos="645"/>
        </w:tabs>
        <w:spacing w:before="39"/>
        <w:ind w:left="323"/>
        <w:rPr>
          <w:rFonts w:ascii="Trebuchet MS"/>
          <w:sz w:val="17"/>
          <w:szCs w:val="17"/>
          <w:lang w:val="uk-UA"/>
        </w:rPr>
      </w:pPr>
      <w:r w:rsidRPr="003C6DAE">
        <w:rPr>
          <w:rFonts w:ascii="Trebuchet MS"/>
          <w:spacing w:val="-10"/>
          <w:w w:val="95"/>
          <w:sz w:val="17"/>
          <w:szCs w:val="17"/>
          <w:lang w:val="uk-UA"/>
        </w:rPr>
        <w:t>0</w:t>
      </w:r>
      <w:r w:rsidRPr="003C6DAE">
        <w:rPr>
          <w:rFonts w:ascii="Trebuchet MS"/>
          <w:sz w:val="17"/>
          <w:szCs w:val="17"/>
          <w:lang w:val="uk-UA"/>
        </w:rPr>
        <w:tab/>
      </w:r>
      <w:r w:rsidRPr="003C6DAE">
        <w:rPr>
          <w:rFonts w:ascii="Trebuchet MS"/>
          <w:spacing w:val="-14"/>
          <w:w w:val="95"/>
          <w:sz w:val="17"/>
          <w:szCs w:val="17"/>
          <w:lang w:val="uk-UA"/>
        </w:rPr>
        <w:t>0</w:t>
      </w:r>
    </w:p>
    <w:p w14:paraId="7374E314" w14:textId="77777777" w:rsidR="00E05B98" w:rsidRPr="003C6DAE" w:rsidRDefault="00B01E0C">
      <w:pPr>
        <w:spacing w:before="38"/>
        <w:ind w:left="237"/>
        <w:rPr>
          <w:rFonts w:ascii="Trebuchet MS"/>
          <w:sz w:val="17"/>
          <w:szCs w:val="17"/>
          <w:lang w:val="uk-UA"/>
        </w:rPr>
      </w:pPr>
      <w:r w:rsidRPr="003C6DAE">
        <w:rPr>
          <w:rFonts w:ascii="Trebuchet MS"/>
          <w:w w:val="95"/>
          <w:sz w:val="17"/>
          <w:szCs w:val="17"/>
          <w:lang w:val="uk-UA"/>
        </w:rPr>
        <w:t>49</w:t>
      </w:r>
      <w:r w:rsidRPr="003C6DAE">
        <w:rPr>
          <w:rFonts w:ascii="Trebuchet MS"/>
          <w:spacing w:val="60"/>
          <w:w w:val="150"/>
          <w:sz w:val="17"/>
          <w:szCs w:val="17"/>
          <w:lang w:val="uk-UA"/>
        </w:rPr>
        <w:t xml:space="preserve"> </w:t>
      </w:r>
      <w:r w:rsidRPr="003C6DAE">
        <w:rPr>
          <w:rFonts w:ascii="Trebuchet MS"/>
          <w:spacing w:val="-9"/>
          <w:w w:val="95"/>
          <w:sz w:val="17"/>
          <w:szCs w:val="17"/>
          <w:lang w:val="uk-UA"/>
        </w:rPr>
        <w:t>14</w:t>
      </w:r>
    </w:p>
    <w:p w14:paraId="66386B14" w14:textId="77777777" w:rsidR="00E05B98" w:rsidRPr="003C6DAE" w:rsidRDefault="00B01E0C">
      <w:pPr>
        <w:tabs>
          <w:tab w:val="left" w:pos="645"/>
        </w:tabs>
        <w:spacing w:before="38"/>
        <w:ind w:left="237"/>
        <w:rPr>
          <w:rFonts w:ascii="Trebuchet MS"/>
          <w:sz w:val="17"/>
          <w:szCs w:val="17"/>
          <w:lang w:val="uk-UA"/>
        </w:rPr>
      </w:pPr>
      <w:r w:rsidRPr="003C6DAE">
        <w:rPr>
          <w:rFonts w:ascii="Trebuchet MS"/>
          <w:spacing w:val="-5"/>
          <w:w w:val="95"/>
          <w:sz w:val="17"/>
          <w:szCs w:val="17"/>
          <w:lang w:val="uk-UA"/>
        </w:rPr>
        <w:t>12</w:t>
      </w:r>
      <w:r w:rsidRPr="003C6DAE">
        <w:rPr>
          <w:rFonts w:ascii="Trebuchet MS"/>
          <w:sz w:val="17"/>
          <w:szCs w:val="17"/>
          <w:lang w:val="uk-UA"/>
        </w:rPr>
        <w:tab/>
      </w:r>
      <w:r w:rsidRPr="003C6DAE">
        <w:rPr>
          <w:rFonts w:ascii="Trebuchet MS"/>
          <w:spacing w:val="-14"/>
          <w:w w:val="95"/>
          <w:sz w:val="17"/>
          <w:szCs w:val="17"/>
          <w:lang w:val="uk-UA"/>
        </w:rPr>
        <w:t>2</w:t>
      </w:r>
    </w:p>
    <w:p w14:paraId="1D70BF00" w14:textId="77777777" w:rsidR="00E05B98" w:rsidRPr="003C6DAE" w:rsidRDefault="00B01E0C">
      <w:pPr>
        <w:tabs>
          <w:tab w:val="left" w:pos="645"/>
        </w:tabs>
        <w:spacing w:before="39"/>
        <w:ind w:left="323"/>
        <w:rPr>
          <w:rFonts w:ascii="Trebuchet MS"/>
          <w:sz w:val="17"/>
          <w:szCs w:val="17"/>
          <w:lang w:val="uk-UA"/>
        </w:rPr>
      </w:pPr>
      <w:r w:rsidRPr="003C6DAE">
        <w:rPr>
          <w:rFonts w:ascii="Trebuchet MS"/>
          <w:spacing w:val="-10"/>
          <w:w w:val="95"/>
          <w:sz w:val="17"/>
          <w:szCs w:val="17"/>
          <w:lang w:val="uk-UA"/>
        </w:rPr>
        <w:t>2</w:t>
      </w:r>
      <w:r w:rsidRPr="003C6DAE">
        <w:rPr>
          <w:rFonts w:ascii="Trebuchet MS"/>
          <w:sz w:val="17"/>
          <w:szCs w:val="17"/>
          <w:lang w:val="uk-UA"/>
        </w:rPr>
        <w:tab/>
      </w:r>
      <w:r w:rsidRPr="003C6DAE">
        <w:rPr>
          <w:rFonts w:ascii="Trebuchet MS"/>
          <w:spacing w:val="-14"/>
          <w:w w:val="95"/>
          <w:sz w:val="17"/>
          <w:szCs w:val="17"/>
          <w:lang w:val="uk-UA"/>
        </w:rPr>
        <w:t>1</w:t>
      </w:r>
    </w:p>
    <w:p w14:paraId="095C2996" w14:textId="77777777" w:rsidR="00E05B98" w:rsidRPr="003C6DAE" w:rsidRDefault="00B01E0C">
      <w:pPr>
        <w:spacing w:before="71"/>
        <w:ind w:left="196"/>
        <w:rPr>
          <w:rFonts w:ascii="Trebuchet MS"/>
          <w:sz w:val="17"/>
          <w:szCs w:val="17"/>
          <w:lang w:val="uk-UA"/>
        </w:rPr>
      </w:pPr>
      <w:r w:rsidRPr="003C6DAE">
        <w:rPr>
          <w:sz w:val="17"/>
          <w:szCs w:val="17"/>
          <w:lang w:val="uk-UA"/>
        </w:rPr>
        <w:br w:type="column"/>
      </w:r>
      <w:r w:rsidRPr="003C6DAE">
        <w:rPr>
          <w:rFonts w:ascii="Trebuchet MS"/>
          <w:w w:val="95"/>
          <w:sz w:val="17"/>
          <w:szCs w:val="17"/>
          <w:lang w:val="uk-UA"/>
        </w:rPr>
        <w:t>0</w:t>
      </w:r>
      <w:r w:rsidRPr="003C6DAE">
        <w:rPr>
          <w:rFonts w:ascii="Trebuchet MS"/>
          <w:spacing w:val="64"/>
          <w:w w:val="150"/>
          <w:sz w:val="17"/>
          <w:szCs w:val="17"/>
          <w:lang w:val="uk-UA"/>
        </w:rPr>
        <w:t xml:space="preserve"> </w:t>
      </w:r>
      <w:r w:rsidRPr="003C6DAE">
        <w:rPr>
          <w:rFonts w:ascii="Trebuchet MS"/>
          <w:spacing w:val="-9"/>
          <w:w w:val="95"/>
          <w:sz w:val="17"/>
          <w:szCs w:val="17"/>
          <w:lang w:val="uk-UA"/>
        </w:rPr>
        <w:t>19</w:t>
      </w:r>
    </w:p>
    <w:p w14:paraId="2FB41704" w14:textId="77777777" w:rsidR="00E05B98" w:rsidRPr="003C6DAE" w:rsidRDefault="00B01E0C">
      <w:pPr>
        <w:spacing w:before="39"/>
        <w:ind w:left="196"/>
        <w:rPr>
          <w:rFonts w:ascii="Trebuchet MS"/>
          <w:sz w:val="17"/>
          <w:szCs w:val="17"/>
          <w:lang w:val="uk-UA"/>
        </w:rPr>
      </w:pPr>
      <w:r w:rsidRPr="003C6DAE">
        <w:rPr>
          <w:rFonts w:ascii="Trebuchet MS"/>
          <w:w w:val="95"/>
          <w:sz w:val="17"/>
          <w:szCs w:val="17"/>
          <w:lang w:val="uk-UA"/>
        </w:rPr>
        <w:t>0</w:t>
      </w:r>
      <w:r w:rsidRPr="003C6DAE">
        <w:rPr>
          <w:rFonts w:ascii="Trebuchet MS"/>
          <w:spacing w:val="64"/>
          <w:w w:val="150"/>
          <w:sz w:val="17"/>
          <w:szCs w:val="17"/>
          <w:lang w:val="uk-UA"/>
        </w:rPr>
        <w:t xml:space="preserve"> </w:t>
      </w:r>
      <w:r w:rsidRPr="003C6DAE">
        <w:rPr>
          <w:rFonts w:ascii="Trebuchet MS"/>
          <w:spacing w:val="-9"/>
          <w:w w:val="95"/>
          <w:sz w:val="17"/>
          <w:szCs w:val="17"/>
          <w:lang w:val="uk-UA"/>
        </w:rPr>
        <w:t>15</w:t>
      </w:r>
    </w:p>
    <w:p w14:paraId="2AE3BEC9" w14:textId="77777777" w:rsidR="00E05B98" w:rsidRPr="003C6DAE" w:rsidRDefault="00B01E0C">
      <w:pPr>
        <w:spacing w:before="38"/>
        <w:ind w:left="196"/>
        <w:rPr>
          <w:rFonts w:ascii="Trebuchet MS"/>
          <w:sz w:val="17"/>
          <w:szCs w:val="17"/>
          <w:lang w:val="uk-UA"/>
        </w:rPr>
      </w:pPr>
      <w:r w:rsidRPr="003C6DAE">
        <w:rPr>
          <w:rFonts w:ascii="Trebuchet MS"/>
          <w:w w:val="95"/>
          <w:sz w:val="17"/>
          <w:szCs w:val="17"/>
          <w:lang w:val="uk-UA"/>
        </w:rPr>
        <w:t>8</w:t>
      </w:r>
      <w:r w:rsidRPr="003C6DAE">
        <w:rPr>
          <w:rFonts w:ascii="Trebuchet MS"/>
          <w:spacing w:val="64"/>
          <w:w w:val="150"/>
          <w:sz w:val="17"/>
          <w:szCs w:val="17"/>
          <w:lang w:val="uk-UA"/>
        </w:rPr>
        <w:t xml:space="preserve"> </w:t>
      </w:r>
      <w:r w:rsidRPr="003C6DAE">
        <w:rPr>
          <w:rFonts w:ascii="Trebuchet MS"/>
          <w:spacing w:val="-9"/>
          <w:w w:val="95"/>
          <w:sz w:val="17"/>
          <w:szCs w:val="17"/>
          <w:lang w:val="uk-UA"/>
        </w:rPr>
        <w:t>69</w:t>
      </w:r>
    </w:p>
    <w:p w14:paraId="7E1ADFAF" w14:textId="77777777" w:rsidR="00E05B98" w:rsidRPr="003C6DAE" w:rsidRDefault="00B01E0C">
      <w:pPr>
        <w:spacing w:before="38"/>
        <w:ind w:left="196"/>
        <w:rPr>
          <w:rFonts w:ascii="Trebuchet MS"/>
          <w:sz w:val="17"/>
          <w:szCs w:val="17"/>
          <w:lang w:val="uk-UA"/>
        </w:rPr>
      </w:pPr>
      <w:r w:rsidRPr="003C6DAE">
        <w:rPr>
          <w:rFonts w:ascii="Trebuchet MS"/>
          <w:w w:val="95"/>
          <w:sz w:val="17"/>
          <w:szCs w:val="17"/>
          <w:lang w:val="uk-UA"/>
        </w:rPr>
        <w:t>3</w:t>
      </w:r>
      <w:r w:rsidRPr="003C6DAE">
        <w:rPr>
          <w:rFonts w:ascii="Trebuchet MS"/>
          <w:spacing w:val="64"/>
          <w:w w:val="150"/>
          <w:sz w:val="17"/>
          <w:szCs w:val="17"/>
          <w:lang w:val="uk-UA"/>
        </w:rPr>
        <w:t xml:space="preserve"> </w:t>
      </w:r>
      <w:r w:rsidRPr="003C6DAE">
        <w:rPr>
          <w:rFonts w:ascii="Trebuchet MS"/>
          <w:spacing w:val="-9"/>
          <w:w w:val="95"/>
          <w:sz w:val="17"/>
          <w:szCs w:val="17"/>
          <w:lang w:val="uk-UA"/>
        </w:rPr>
        <w:t>27</w:t>
      </w:r>
    </w:p>
    <w:p w14:paraId="68044564" w14:textId="77777777" w:rsidR="00E05B98" w:rsidRPr="003C6DAE" w:rsidRDefault="00B01E0C">
      <w:pPr>
        <w:spacing w:before="39"/>
        <w:ind w:left="196"/>
        <w:rPr>
          <w:rFonts w:ascii="Trebuchet MS"/>
          <w:sz w:val="17"/>
          <w:szCs w:val="17"/>
          <w:lang w:val="uk-UA"/>
        </w:rPr>
      </w:pPr>
      <w:r w:rsidRPr="003C6DAE">
        <w:rPr>
          <w:rFonts w:ascii="Trebuchet MS"/>
          <w:w w:val="95"/>
          <w:sz w:val="17"/>
          <w:szCs w:val="17"/>
          <w:lang w:val="uk-UA"/>
        </w:rPr>
        <w:t>1</w:t>
      </w:r>
      <w:r w:rsidRPr="003C6DAE">
        <w:rPr>
          <w:rFonts w:ascii="Trebuchet MS"/>
          <w:spacing w:val="64"/>
          <w:w w:val="150"/>
          <w:sz w:val="17"/>
          <w:szCs w:val="17"/>
          <w:lang w:val="uk-UA"/>
        </w:rPr>
        <w:t xml:space="preserve"> </w:t>
      </w:r>
      <w:r w:rsidRPr="003C6DAE">
        <w:rPr>
          <w:rFonts w:ascii="Trebuchet MS"/>
          <w:spacing w:val="-9"/>
          <w:w w:val="95"/>
          <w:sz w:val="17"/>
          <w:szCs w:val="17"/>
          <w:lang w:val="uk-UA"/>
        </w:rPr>
        <w:t>14</w:t>
      </w:r>
    </w:p>
    <w:p w14:paraId="06E7013F" w14:textId="412F6DB8" w:rsidR="00E05B98" w:rsidRPr="003C6DAE" w:rsidRDefault="00B01E0C" w:rsidP="001D6B19">
      <w:pPr>
        <w:spacing w:before="71" w:line="283" w:lineRule="auto"/>
        <w:ind w:left="284" w:right="11"/>
        <w:rPr>
          <w:rFonts w:ascii="Trebuchet MS"/>
          <w:sz w:val="17"/>
          <w:szCs w:val="17"/>
          <w:lang w:val="uk-UA"/>
        </w:rPr>
      </w:pPr>
      <w:r w:rsidRPr="003C6DAE">
        <w:rPr>
          <w:sz w:val="17"/>
          <w:szCs w:val="17"/>
          <w:lang w:val="uk-UA"/>
        </w:rPr>
        <w:br w:type="column"/>
      </w:r>
      <w:r w:rsidR="001D6B19" w:rsidRPr="003C6DAE">
        <w:rPr>
          <w:rFonts w:ascii="Trebuchet MS"/>
          <w:w w:val="80"/>
          <w:sz w:val="17"/>
          <w:szCs w:val="17"/>
          <w:lang w:val="uk-UA"/>
        </w:rPr>
        <w:t>Не</w:t>
      </w:r>
      <w:r w:rsidR="001D6B19" w:rsidRPr="003C6DAE">
        <w:rPr>
          <w:rFonts w:ascii="Trebuchet MS"/>
          <w:w w:val="80"/>
          <w:sz w:val="17"/>
          <w:szCs w:val="17"/>
          <w:lang w:val="uk-UA"/>
        </w:rPr>
        <w:t xml:space="preserve"> </w:t>
      </w:r>
      <w:r w:rsidR="001D6B19" w:rsidRPr="003C6DAE">
        <w:rPr>
          <w:rFonts w:ascii="Trebuchet MS"/>
          <w:w w:val="80"/>
          <w:sz w:val="17"/>
          <w:szCs w:val="17"/>
          <w:lang w:val="uk-UA"/>
        </w:rPr>
        <w:t>підлягає</w:t>
      </w:r>
      <w:r w:rsidR="001D6B19" w:rsidRPr="003C6DAE">
        <w:rPr>
          <w:rFonts w:ascii="Trebuchet MS"/>
          <w:w w:val="80"/>
          <w:sz w:val="17"/>
          <w:szCs w:val="17"/>
          <w:lang w:val="uk-UA"/>
        </w:rPr>
        <w:t xml:space="preserve"> </w:t>
      </w:r>
      <w:r w:rsidR="001D6B19" w:rsidRPr="003C6DAE">
        <w:rPr>
          <w:rFonts w:ascii="Trebuchet MS"/>
          <w:w w:val="80"/>
          <w:sz w:val="17"/>
          <w:szCs w:val="17"/>
          <w:lang w:val="uk-UA"/>
        </w:rPr>
        <w:t>оцінці</w:t>
      </w:r>
      <w:r w:rsidR="001D6B19" w:rsidRPr="003C6DAE">
        <w:rPr>
          <w:rFonts w:ascii="Trebuchet MS"/>
          <w:w w:val="80"/>
          <w:sz w:val="17"/>
          <w:szCs w:val="17"/>
          <w:lang w:val="uk-UA"/>
        </w:rPr>
        <w:t xml:space="preserve"> </w:t>
      </w:r>
      <w:r w:rsidRPr="003C6DAE">
        <w:rPr>
          <w:rFonts w:ascii="Trebuchet MS"/>
          <w:w w:val="80"/>
          <w:sz w:val="17"/>
          <w:szCs w:val="17"/>
          <w:lang w:val="uk-UA"/>
        </w:rPr>
        <w:t xml:space="preserve"> </w:t>
      </w:r>
      <w:r w:rsidR="001D6B19" w:rsidRPr="003C6DAE">
        <w:rPr>
          <w:rFonts w:ascii="Trebuchet MS"/>
          <w:w w:val="80"/>
          <w:sz w:val="17"/>
          <w:szCs w:val="17"/>
          <w:lang w:val="uk-UA"/>
        </w:rPr>
        <w:t>Не</w:t>
      </w:r>
      <w:r w:rsidR="001D6B19" w:rsidRPr="003C6DAE">
        <w:rPr>
          <w:rFonts w:ascii="Trebuchet MS"/>
          <w:w w:val="80"/>
          <w:sz w:val="17"/>
          <w:szCs w:val="17"/>
          <w:lang w:val="uk-UA"/>
        </w:rPr>
        <w:t xml:space="preserve"> </w:t>
      </w:r>
      <w:r w:rsidR="001D6B19" w:rsidRPr="003C6DAE">
        <w:rPr>
          <w:rFonts w:ascii="Trebuchet MS"/>
          <w:w w:val="80"/>
          <w:sz w:val="17"/>
          <w:szCs w:val="17"/>
          <w:lang w:val="uk-UA"/>
        </w:rPr>
        <w:t>підлягає</w:t>
      </w:r>
      <w:r w:rsidR="001D6B19" w:rsidRPr="003C6DAE">
        <w:rPr>
          <w:rFonts w:ascii="Trebuchet MS"/>
          <w:w w:val="80"/>
          <w:sz w:val="17"/>
          <w:szCs w:val="17"/>
          <w:lang w:val="uk-UA"/>
        </w:rPr>
        <w:t xml:space="preserve"> </w:t>
      </w:r>
      <w:r w:rsidR="001D6B19" w:rsidRPr="003C6DAE">
        <w:rPr>
          <w:rFonts w:ascii="Trebuchet MS"/>
          <w:w w:val="80"/>
          <w:sz w:val="17"/>
          <w:szCs w:val="17"/>
          <w:lang w:val="uk-UA"/>
        </w:rPr>
        <w:t>оцінці</w:t>
      </w:r>
    </w:p>
    <w:p w14:paraId="67278149" w14:textId="77777777" w:rsidR="00E05B98" w:rsidRPr="003C6DAE" w:rsidRDefault="00B01E0C">
      <w:pPr>
        <w:spacing w:before="2"/>
        <w:ind w:left="389"/>
        <w:rPr>
          <w:rFonts w:ascii="Trebuchet MS"/>
          <w:sz w:val="17"/>
          <w:szCs w:val="17"/>
          <w:lang w:val="uk-UA"/>
        </w:rPr>
      </w:pPr>
      <w:r w:rsidRPr="003C6DAE">
        <w:rPr>
          <w:rFonts w:ascii="Trebuchet MS"/>
          <w:w w:val="75"/>
          <w:sz w:val="17"/>
          <w:szCs w:val="17"/>
          <w:lang w:val="uk-UA"/>
        </w:rPr>
        <w:t>0.86</w:t>
      </w:r>
      <w:r w:rsidRPr="003C6DAE">
        <w:rPr>
          <w:rFonts w:ascii="Trebuchet MS"/>
          <w:spacing w:val="11"/>
          <w:sz w:val="17"/>
          <w:szCs w:val="17"/>
          <w:lang w:val="uk-UA"/>
        </w:rPr>
        <w:t xml:space="preserve"> </w:t>
      </w:r>
      <w:r w:rsidRPr="003C6DAE">
        <w:rPr>
          <w:rFonts w:ascii="Trebuchet MS"/>
          <w:w w:val="75"/>
          <w:sz w:val="17"/>
          <w:szCs w:val="17"/>
          <w:lang w:val="uk-UA"/>
        </w:rPr>
        <w:t>[0.74,</w:t>
      </w:r>
      <w:r w:rsidRPr="003C6DAE">
        <w:rPr>
          <w:rFonts w:ascii="Trebuchet MS"/>
          <w:spacing w:val="18"/>
          <w:sz w:val="17"/>
          <w:szCs w:val="17"/>
          <w:lang w:val="uk-UA"/>
        </w:rPr>
        <w:t xml:space="preserve"> </w:t>
      </w:r>
      <w:r w:rsidRPr="003C6DAE">
        <w:rPr>
          <w:rFonts w:ascii="Trebuchet MS"/>
          <w:spacing w:val="-2"/>
          <w:w w:val="75"/>
          <w:sz w:val="17"/>
          <w:szCs w:val="17"/>
          <w:lang w:val="uk-UA"/>
        </w:rPr>
        <w:t>0.94]</w:t>
      </w:r>
    </w:p>
    <w:p w14:paraId="7197BE95" w14:textId="77777777" w:rsidR="00E05B98" w:rsidRPr="003C6DAE" w:rsidRDefault="00B01E0C">
      <w:pPr>
        <w:spacing w:before="38"/>
        <w:ind w:left="389"/>
        <w:rPr>
          <w:rFonts w:ascii="Trebuchet MS"/>
          <w:sz w:val="17"/>
          <w:szCs w:val="17"/>
          <w:lang w:val="uk-UA"/>
        </w:rPr>
      </w:pPr>
      <w:r w:rsidRPr="003C6DAE">
        <w:rPr>
          <w:rFonts w:ascii="Trebuchet MS"/>
          <w:w w:val="75"/>
          <w:sz w:val="17"/>
          <w:szCs w:val="17"/>
          <w:lang w:val="uk-UA"/>
        </w:rPr>
        <w:t>0.80</w:t>
      </w:r>
      <w:r w:rsidRPr="003C6DAE">
        <w:rPr>
          <w:rFonts w:ascii="Trebuchet MS"/>
          <w:spacing w:val="11"/>
          <w:sz w:val="17"/>
          <w:szCs w:val="17"/>
          <w:lang w:val="uk-UA"/>
        </w:rPr>
        <w:t xml:space="preserve"> </w:t>
      </w:r>
      <w:r w:rsidRPr="003C6DAE">
        <w:rPr>
          <w:rFonts w:ascii="Trebuchet MS"/>
          <w:w w:val="75"/>
          <w:sz w:val="17"/>
          <w:szCs w:val="17"/>
          <w:lang w:val="uk-UA"/>
        </w:rPr>
        <w:t>[0.52,</w:t>
      </w:r>
      <w:r w:rsidRPr="003C6DAE">
        <w:rPr>
          <w:rFonts w:ascii="Trebuchet MS"/>
          <w:spacing w:val="18"/>
          <w:sz w:val="17"/>
          <w:szCs w:val="17"/>
          <w:lang w:val="uk-UA"/>
        </w:rPr>
        <w:t xml:space="preserve"> </w:t>
      </w:r>
      <w:r w:rsidRPr="003C6DAE">
        <w:rPr>
          <w:rFonts w:ascii="Trebuchet MS"/>
          <w:spacing w:val="-2"/>
          <w:w w:val="75"/>
          <w:sz w:val="17"/>
          <w:szCs w:val="17"/>
          <w:lang w:val="uk-UA"/>
        </w:rPr>
        <w:t>0.96]</w:t>
      </w:r>
    </w:p>
    <w:p w14:paraId="65775E00" w14:textId="77777777" w:rsidR="00E05B98" w:rsidRPr="003C6DAE" w:rsidRDefault="00B01E0C">
      <w:pPr>
        <w:spacing w:before="38"/>
        <w:ind w:left="389"/>
        <w:rPr>
          <w:rFonts w:ascii="Trebuchet MS"/>
          <w:sz w:val="17"/>
          <w:szCs w:val="17"/>
          <w:lang w:val="uk-UA"/>
        </w:rPr>
      </w:pPr>
      <w:r w:rsidRPr="003C6DAE">
        <w:rPr>
          <w:rFonts w:ascii="Trebuchet MS"/>
          <w:w w:val="75"/>
          <w:sz w:val="17"/>
          <w:szCs w:val="17"/>
          <w:lang w:val="uk-UA"/>
        </w:rPr>
        <w:t>0.67</w:t>
      </w:r>
      <w:r w:rsidRPr="003C6DAE">
        <w:rPr>
          <w:rFonts w:ascii="Trebuchet MS"/>
          <w:spacing w:val="11"/>
          <w:sz w:val="17"/>
          <w:szCs w:val="17"/>
          <w:lang w:val="uk-UA"/>
        </w:rPr>
        <w:t xml:space="preserve"> </w:t>
      </w:r>
      <w:r w:rsidRPr="003C6DAE">
        <w:rPr>
          <w:rFonts w:ascii="Trebuchet MS"/>
          <w:w w:val="75"/>
          <w:sz w:val="17"/>
          <w:szCs w:val="17"/>
          <w:lang w:val="uk-UA"/>
        </w:rPr>
        <w:t>[0.09,</w:t>
      </w:r>
      <w:r w:rsidRPr="003C6DAE">
        <w:rPr>
          <w:rFonts w:ascii="Trebuchet MS"/>
          <w:spacing w:val="18"/>
          <w:sz w:val="17"/>
          <w:szCs w:val="17"/>
          <w:lang w:val="uk-UA"/>
        </w:rPr>
        <w:t xml:space="preserve"> </w:t>
      </w:r>
      <w:r w:rsidRPr="003C6DAE">
        <w:rPr>
          <w:rFonts w:ascii="Trebuchet MS"/>
          <w:spacing w:val="-2"/>
          <w:w w:val="75"/>
          <w:sz w:val="17"/>
          <w:szCs w:val="17"/>
          <w:lang w:val="uk-UA"/>
        </w:rPr>
        <w:t>0.99]</w:t>
      </w:r>
    </w:p>
    <w:p w14:paraId="2F5E1A37" w14:textId="77777777" w:rsidR="00E05B98" w:rsidRPr="003C6DAE" w:rsidRDefault="00B01E0C">
      <w:pPr>
        <w:spacing w:before="71"/>
        <w:ind w:left="387"/>
        <w:rPr>
          <w:rFonts w:ascii="Trebuchet MS"/>
          <w:sz w:val="17"/>
          <w:szCs w:val="17"/>
          <w:lang w:val="uk-UA"/>
        </w:rPr>
      </w:pPr>
      <w:r w:rsidRPr="003C6DAE">
        <w:rPr>
          <w:sz w:val="17"/>
          <w:szCs w:val="17"/>
          <w:lang w:val="uk-UA"/>
        </w:rPr>
        <w:br w:type="column"/>
      </w:r>
      <w:r w:rsidRPr="003C6DAE">
        <w:rPr>
          <w:rFonts w:ascii="Trebuchet MS"/>
          <w:w w:val="75"/>
          <w:sz w:val="17"/>
          <w:szCs w:val="17"/>
          <w:lang w:val="uk-UA"/>
        </w:rPr>
        <w:t>1.00</w:t>
      </w:r>
      <w:r w:rsidRPr="003C6DAE">
        <w:rPr>
          <w:rFonts w:ascii="Trebuchet MS"/>
          <w:spacing w:val="11"/>
          <w:sz w:val="17"/>
          <w:szCs w:val="17"/>
          <w:lang w:val="uk-UA"/>
        </w:rPr>
        <w:t xml:space="preserve"> </w:t>
      </w:r>
      <w:r w:rsidRPr="003C6DAE">
        <w:rPr>
          <w:rFonts w:ascii="Trebuchet MS"/>
          <w:w w:val="75"/>
          <w:sz w:val="17"/>
          <w:szCs w:val="17"/>
          <w:lang w:val="uk-UA"/>
        </w:rPr>
        <w:t>[0.82,</w:t>
      </w:r>
      <w:r w:rsidRPr="003C6DAE">
        <w:rPr>
          <w:rFonts w:ascii="Trebuchet MS"/>
          <w:spacing w:val="18"/>
          <w:sz w:val="17"/>
          <w:szCs w:val="17"/>
          <w:lang w:val="uk-UA"/>
        </w:rPr>
        <w:t xml:space="preserve"> </w:t>
      </w:r>
      <w:r w:rsidRPr="003C6DAE">
        <w:rPr>
          <w:rFonts w:ascii="Trebuchet MS"/>
          <w:spacing w:val="-2"/>
          <w:w w:val="75"/>
          <w:sz w:val="17"/>
          <w:szCs w:val="17"/>
          <w:lang w:val="uk-UA"/>
        </w:rPr>
        <w:t>1.00]</w:t>
      </w:r>
    </w:p>
    <w:p w14:paraId="48207F41" w14:textId="77777777" w:rsidR="00E05B98" w:rsidRPr="003C6DAE" w:rsidRDefault="00B01E0C">
      <w:pPr>
        <w:spacing w:before="39"/>
        <w:ind w:left="387"/>
        <w:rPr>
          <w:rFonts w:ascii="Trebuchet MS"/>
          <w:sz w:val="17"/>
          <w:szCs w:val="17"/>
          <w:lang w:val="uk-UA"/>
        </w:rPr>
      </w:pPr>
      <w:r w:rsidRPr="003C6DAE">
        <w:rPr>
          <w:rFonts w:ascii="Trebuchet MS"/>
          <w:w w:val="75"/>
          <w:sz w:val="17"/>
          <w:szCs w:val="17"/>
          <w:lang w:val="uk-UA"/>
        </w:rPr>
        <w:t>1.00</w:t>
      </w:r>
      <w:r w:rsidRPr="003C6DAE">
        <w:rPr>
          <w:rFonts w:ascii="Trebuchet MS"/>
          <w:spacing w:val="11"/>
          <w:sz w:val="17"/>
          <w:szCs w:val="17"/>
          <w:lang w:val="uk-UA"/>
        </w:rPr>
        <w:t xml:space="preserve"> </w:t>
      </w:r>
      <w:r w:rsidRPr="003C6DAE">
        <w:rPr>
          <w:rFonts w:ascii="Trebuchet MS"/>
          <w:w w:val="75"/>
          <w:sz w:val="17"/>
          <w:szCs w:val="17"/>
          <w:lang w:val="uk-UA"/>
        </w:rPr>
        <w:t>[0.78,</w:t>
      </w:r>
      <w:r w:rsidRPr="003C6DAE">
        <w:rPr>
          <w:rFonts w:ascii="Trebuchet MS"/>
          <w:spacing w:val="18"/>
          <w:sz w:val="17"/>
          <w:szCs w:val="17"/>
          <w:lang w:val="uk-UA"/>
        </w:rPr>
        <w:t xml:space="preserve"> </w:t>
      </w:r>
      <w:r w:rsidRPr="003C6DAE">
        <w:rPr>
          <w:rFonts w:ascii="Trebuchet MS"/>
          <w:spacing w:val="-2"/>
          <w:w w:val="75"/>
          <w:sz w:val="17"/>
          <w:szCs w:val="17"/>
          <w:lang w:val="uk-UA"/>
        </w:rPr>
        <w:t>1.00]</w:t>
      </w:r>
    </w:p>
    <w:p w14:paraId="21BEC133" w14:textId="77777777" w:rsidR="00E05B98" w:rsidRPr="003C6DAE" w:rsidRDefault="00B01E0C">
      <w:pPr>
        <w:spacing w:before="38"/>
        <w:ind w:left="387"/>
        <w:rPr>
          <w:rFonts w:ascii="Trebuchet MS"/>
          <w:sz w:val="17"/>
          <w:szCs w:val="17"/>
          <w:lang w:val="uk-UA"/>
        </w:rPr>
      </w:pPr>
      <w:r w:rsidRPr="003C6DAE">
        <w:rPr>
          <w:rFonts w:ascii="Trebuchet MS"/>
          <w:w w:val="75"/>
          <w:sz w:val="17"/>
          <w:szCs w:val="17"/>
          <w:lang w:val="uk-UA"/>
        </w:rPr>
        <w:t>0.83</w:t>
      </w:r>
      <w:r w:rsidRPr="003C6DAE">
        <w:rPr>
          <w:rFonts w:ascii="Trebuchet MS"/>
          <w:spacing w:val="11"/>
          <w:sz w:val="17"/>
          <w:szCs w:val="17"/>
          <w:lang w:val="uk-UA"/>
        </w:rPr>
        <w:t xml:space="preserve"> </w:t>
      </w:r>
      <w:r w:rsidRPr="003C6DAE">
        <w:rPr>
          <w:rFonts w:ascii="Trebuchet MS"/>
          <w:w w:val="75"/>
          <w:sz w:val="17"/>
          <w:szCs w:val="17"/>
          <w:lang w:val="uk-UA"/>
        </w:rPr>
        <w:t>[0.73,</w:t>
      </w:r>
      <w:r w:rsidRPr="003C6DAE">
        <w:rPr>
          <w:rFonts w:ascii="Trebuchet MS"/>
          <w:spacing w:val="18"/>
          <w:sz w:val="17"/>
          <w:szCs w:val="17"/>
          <w:lang w:val="uk-UA"/>
        </w:rPr>
        <w:t xml:space="preserve"> </w:t>
      </w:r>
      <w:r w:rsidRPr="003C6DAE">
        <w:rPr>
          <w:rFonts w:ascii="Trebuchet MS"/>
          <w:spacing w:val="-2"/>
          <w:w w:val="75"/>
          <w:sz w:val="17"/>
          <w:szCs w:val="17"/>
          <w:lang w:val="uk-UA"/>
        </w:rPr>
        <w:t>0.90]</w:t>
      </w:r>
    </w:p>
    <w:p w14:paraId="2E067A2D" w14:textId="77777777" w:rsidR="00E05B98" w:rsidRPr="003C6DAE" w:rsidRDefault="00B01E0C">
      <w:pPr>
        <w:spacing w:before="38"/>
        <w:ind w:left="387"/>
        <w:rPr>
          <w:rFonts w:ascii="Trebuchet MS"/>
          <w:sz w:val="17"/>
          <w:szCs w:val="17"/>
          <w:lang w:val="uk-UA"/>
        </w:rPr>
      </w:pPr>
      <w:r w:rsidRPr="003C6DAE">
        <w:rPr>
          <w:rFonts w:ascii="Trebuchet MS"/>
          <w:w w:val="75"/>
          <w:sz w:val="17"/>
          <w:szCs w:val="17"/>
          <w:lang w:val="uk-UA"/>
        </w:rPr>
        <w:t>0.93</w:t>
      </w:r>
      <w:r w:rsidRPr="003C6DAE">
        <w:rPr>
          <w:rFonts w:ascii="Trebuchet MS"/>
          <w:spacing w:val="11"/>
          <w:sz w:val="17"/>
          <w:szCs w:val="17"/>
          <w:lang w:val="uk-UA"/>
        </w:rPr>
        <w:t xml:space="preserve"> </w:t>
      </w:r>
      <w:r w:rsidRPr="003C6DAE">
        <w:rPr>
          <w:rFonts w:ascii="Trebuchet MS"/>
          <w:w w:val="75"/>
          <w:sz w:val="17"/>
          <w:szCs w:val="17"/>
          <w:lang w:val="uk-UA"/>
        </w:rPr>
        <w:t>[0.77,</w:t>
      </w:r>
      <w:r w:rsidRPr="003C6DAE">
        <w:rPr>
          <w:rFonts w:ascii="Trebuchet MS"/>
          <w:spacing w:val="18"/>
          <w:sz w:val="17"/>
          <w:szCs w:val="17"/>
          <w:lang w:val="uk-UA"/>
        </w:rPr>
        <w:t xml:space="preserve"> </w:t>
      </w:r>
      <w:r w:rsidRPr="003C6DAE">
        <w:rPr>
          <w:rFonts w:ascii="Trebuchet MS"/>
          <w:spacing w:val="-2"/>
          <w:w w:val="75"/>
          <w:sz w:val="17"/>
          <w:szCs w:val="17"/>
          <w:lang w:val="uk-UA"/>
        </w:rPr>
        <w:t>0.99]</w:t>
      </w:r>
    </w:p>
    <w:p w14:paraId="4989D01D" w14:textId="77777777" w:rsidR="00E05B98" w:rsidRPr="003C6DAE" w:rsidRDefault="00B01E0C">
      <w:pPr>
        <w:spacing w:before="39"/>
        <w:ind w:left="387"/>
        <w:rPr>
          <w:rFonts w:ascii="Trebuchet MS"/>
          <w:sz w:val="17"/>
          <w:szCs w:val="17"/>
          <w:lang w:val="uk-UA"/>
        </w:rPr>
      </w:pPr>
      <w:r w:rsidRPr="003C6DAE">
        <w:rPr>
          <w:rFonts w:ascii="Trebuchet MS"/>
          <w:w w:val="75"/>
          <w:sz w:val="17"/>
          <w:szCs w:val="17"/>
          <w:lang w:val="uk-UA"/>
        </w:rPr>
        <w:t>0.93</w:t>
      </w:r>
      <w:r w:rsidRPr="003C6DAE">
        <w:rPr>
          <w:rFonts w:ascii="Trebuchet MS"/>
          <w:spacing w:val="11"/>
          <w:sz w:val="17"/>
          <w:szCs w:val="17"/>
          <w:lang w:val="uk-UA"/>
        </w:rPr>
        <w:t xml:space="preserve"> </w:t>
      </w:r>
      <w:r w:rsidRPr="003C6DAE">
        <w:rPr>
          <w:rFonts w:ascii="Trebuchet MS"/>
          <w:w w:val="75"/>
          <w:sz w:val="17"/>
          <w:szCs w:val="17"/>
          <w:lang w:val="uk-UA"/>
        </w:rPr>
        <w:t>[0.68,</w:t>
      </w:r>
      <w:r w:rsidRPr="003C6DAE">
        <w:rPr>
          <w:rFonts w:ascii="Trebuchet MS"/>
          <w:spacing w:val="18"/>
          <w:sz w:val="17"/>
          <w:szCs w:val="17"/>
          <w:lang w:val="uk-UA"/>
        </w:rPr>
        <w:t xml:space="preserve"> </w:t>
      </w:r>
      <w:r w:rsidRPr="003C6DAE">
        <w:rPr>
          <w:rFonts w:ascii="Trebuchet MS"/>
          <w:spacing w:val="-2"/>
          <w:w w:val="75"/>
          <w:sz w:val="17"/>
          <w:szCs w:val="17"/>
          <w:lang w:val="uk-UA"/>
        </w:rPr>
        <w:t>1.00]</w:t>
      </w:r>
    </w:p>
    <w:p w14:paraId="4701B21D" w14:textId="77777777" w:rsidR="00E05B98" w:rsidRPr="003C6DAE" w:rsidRDefault="00B01E0C">
      <w:pPr>
        <w:rPr>
          <w:rFonts w:ascii="Trebuchet MS"/>
          <w:sz w:val="20"/>
          <w:lang w:val="uk-UA"/>
        </w:rPr>
      </w:pPr>
      <w:r w:rsidRPr="003C6DAE">
        <w:rPr>
          <w:lang w:val="uk-UA"/>
        </w:rPr>
        <w:br w:type="column"/>
      </w:r>
    </w:p>
    <w:p w14:paraId="271AEA9D" w14:textId="77777777" w:rsidR="00E05B98" w:rsidRPr="003C6DAE" w:rsidRDefault="00B01E0C">
      <w:pPr>
        <w:pStyle w:val="a3"/>
        <w:spacing w:before="90"/>
        <w:rPr>
          <w:rFonts w:ascii="Trebuchet MS"/>
          <w:sz w:val="20"/>
          <w:lang w:val="uk-UA"/>
        </w:rPr>
      </w:pPr>
      <w:r w:rsidRPr="003C6DAE">
        <w:rPr>
          <w:rFonts w:ascii="Trebuchet MS"/>
          <w:noProof/>
          <w:sz w:val="20"/>
          <w:lang w:val="uk-UA"/>
        </w:rPr>
        <mc:AlternateContent>
          <mc:Choice Requires="wpg">
            <w:drawing>
              <wp:anchor distT="0" distB="0" distL="0" distR="0" simplePos="0" relativeHeight="487748096" behindDoc="1" locked="0" layoutInCell="1" allowOverlap="1" wp14:anchorId="0C6256DB" wp14:editId="12DBB8F3">
                <wp:simplePos x="0" y="0"/>
                <wp:positionH relativeFrom="page">
                  <wp:posOffset>5260909</wp:posOffset>
                </wp:positionH>
                <wp:positionV relativeFrom="paragraph">
                  <wp:posOffset>220299</wp:posOffset>
                </wp:positionV>
                <wp:extent cx="192405" cy="69215"/>
                <wp:effectExtent l="0" t="0" r="0" b="0"/>
                <wp:wrapTopAndBottom/>
                <wp:docPr id="920"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 cy="69215"/>
                          <a:chOff x="0" y="0"/>
                          <a:chExt cx="192405" cy="69215"/>
                        </a:xfrm>
                      </wpg:grpSpPr>
                      <wps:wsp>
                        <wps:cNvPr id="921" name="Graphic 921"/>
                        <wps:cNvSpPr/>
                        <wps:spPr>
                          <a:xfrm>
                            <a:off x="0" y="29454"/>
                            <a:ext cx="192405" cy="1270"/>
                          </a:xfrm>
                          <a:custGeom>
                            <a:avLst/>
                            <a:gdLst/>
                            <a:ahLst/>
                            <a:cxnLst/>
                            <a:rect l="l" t="t" r="r" b="b"/>
                            <a:pathLst>
                              <a:path w="192405">
                                <a:moveTo>
                                  <a:pt x="0" y="0"/>
                                </a:moveTo>
                                <a:lnTo>
                                  <a:pt x="91227" y="0"/>
                                </a:lnTo>
                              </a:path>
                              <a:path w="192405">
                                <a:moveTo>
                                  <a:pt x="148499" y="0"/>
                                </a:moveTo>
                                <a:lnTo>
                                  <a:pt x="191863" y="0"/>
                                </a:lnTo>
                              </a:path>
                            </a:pathLst>
                          </a:custGeom>
                          <a:ln w="9818">
                            <a:solidFill>
                              <a:srgbClr val="000000"/>
                            </a:solidFill>
                            <a:prstDash val="solid"/>
                          </a:ln>
                        </wps:spPr>
                        <wps:bodyPr wrap="square" lIns="0" tIns="0" rIns="0" bIns="0" rtlCol="0">
                          <a:prstTxWarp prst="textNoShape">
                            <a:avLst/>
                          </a:prstTxWarp>
                          <a:noAutofit/>
                        </wps:bodyPr>
                      </wps:wsp>
                      <wps:wsp>
                        <wps:cNvPr id="922" name="Graphic 922"/>
                        <wps:cNvSpPr/>
                        <wps:spPr>
                          <a:xfrm>
                            <a:off x="91227" y="0"/>
                            <a:ext cx="57785" cy="69215"/>
                          </a:xfrm>
                          <a:custGeom>
                            <a:avLst/>
                            <a:gdLst/>
                            <a:ahLst/>
                            <a:cxnLst/>
                            <a:rect l="l" t="t" r="r" b="b"/>
                            <a:pathLst>
                              <a:path w="57785" h="69215">
                                <a:moveTo>
                                  <a:pt x="57271" y="68728"/>
                                </a:moveTo>
                                <a:lnTo>
                                  <a:pt x="0" y="68728"/>
                                </a:lnTo>
                                <a:lnTo>
                                  <a:pt x="0" y="0"/>
                                </a:lnTo>
                                <a:lnTo>
                                  <a:pt x="57271" y="0"/>
                                </a:lnTo>
                                <a:lnTo>
                                  <a:pt x="57271" y="6872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E5778FD" id="Group 920" o:spid="_x0000_s1026" style="position:absolute;margin-left:414.25pt;margin-top:17.35pt;width:15.15pt;height:5.45pt;z-index:-15568384;mso-wrap-distance-left:0;mso-wrap-distance-right:0;mso-position-horizontal-relative:page" coordsize="192405,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">
                <v:shape id="Graphic 921" o:spid="_x0000_s1027" style="position:absolute;top:29454;width:192405;height:1270;visibility:visible;mso-wrap-style:square;v-text-anchor:top" coordsize="192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" path="m,l91227,em148499,r43364,e" filled="f" strokeweight=".27272mm">
                  <v:path arrowok="t"/>
                </v:shape>
                <v:shape id="Graphic 922" o:spid="_x0000_s1028" style="position:absolute;left:91227;width:57785;height:69215;visibility:visible;mso-wrap-style:square;v-text-anchor:top" coordsize="5778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" path="m57271,68728l,68728,,,57271,r,68728xe" fillcolor="#0000c0" stroked="f">
                  <v:path arrowok="t"/>
                </v:shape>
                <w10:wrap type="topAndBottom" anchorx="page"/>
              </v:group>
            </w:pict>
          </mc:Fallback>
        </mc:AlternateContent>
      </w:r>
      <w:r w:rsidRPr="003C6DAE">
        <w:rPr>
          <w:rFonts w:ascii="Trebuchet MS"/>
          <w:noProof/>
          <w:sz w:val="20"/>
          <w:lang w:val="uk-UA"/>
        </w:rPr>
        <mc:AlternateContent>
          <mc:Choice Requires="wpg">
            <w:drawing>
              <wp:anchor distT="0" distB="0" distL="0" distR="0" simplePos="0" relativeHeight="487748608" behindDoc="1" locked="0" layoutInCell="1" allowOverlap="1" wp14:anchorId="3A539312" wp14:editId="12530711">
                <wp:simplePos x="0" y="0"/>
                <wp:positionH relativeFrom="page">
                  <wp:posOffset>5042045</wp:posOffset>
                </wp:positionH>
                <wp:positionV relativeFrom="paragraph">
                  <wp:posOffset>377390</wp:posOffset>
                </wp:positionV>
                <wp:extent cx="430530" cy="69215"/>
                <wp:effectExtent l="0" t="0" r="0" b="0"/>
                <wp:wrapTopAndBottom/>
                <wp:docPr id="923"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69215"/>
                          <a:chOff x="0" y="0"/>
                          <a:chExt cx="430530" cy="69215"/>
                        </a:xfrm>
                      </wpg:grpSpPr>
                      <wps:wsp>
                        <wps:cNvPr id="924" name="Graphic 924"/>
                        <wps:cNvSpPr/>
                        <wps:spPr>
                          <a:xfrm>
                            <a:off x="0" y="29454"/>
                            <a:ext cx="430530" cy="1270"/>
                          </a:xfrm>
                          <a:custGeom>
                            <a:avLst/>
                            <a:gdLst/>
                            <a:ahLst/>
                            <a:cxnLst/>
                            <a:rect l="l" t="t" r="r" b="b"/>
                            <a:pathLst>
                              <a:path w="430530">
                                <a:moveTo>
                                  <a:pt x="0" y="0"/>
                                </a:moveTo>
                                <a:lnTo>
                                  <a:pt x="251590" y="0"/>
                                </a:lnTo>
                              </a:path>
                              <a:path w="430530">
                                <a:moveTo>
                                  <a:pt x="308864" y="0"/>
                                </a:moveTo>
                                <a:lnTo>
                                  <a:pt x="429954" y="0"/>
                                </a:lnTo>
                              </a:path>
                            </a:pathLst>
                          </a:custGeom>
                          <a:ln w="9818">
                            <a:solidFill>
                              <a:srgbClr val="000000"/>
                            </a:solidFill>
                            <a:prstDash val="solid"/>
                          </a:ln>
                        </wps:spPr>
                        <wps:bodyPr wrap="square" lIns="0" tIns="0" rIns="0" bIns="0" rtlCol="0">
                          <a:prstTxWarp prst="textNoShape">
                            <a:avLst/>
                          </a:prstTxWarp>
                          <a:noAutofit/>
                        </wps:bodyPr>
                      </wps:wsp>
                      <wps:wsp>
                        <wps:cNvPr id="925" name="Graphic 925"/>
                        <wps:cNvSpPr/>
                        <wps:spPr>
                          <a:xfrm>
                            <a:off x="251590" y="0"/>
                            <a:ext cx="57785" cy="69215"/>
                          </a:xfrm>
                          <a:custGeom>
                            <a:avLst/>
                            <a:gdLst/>
                            <a:ahLst/>
                            <a:cxnLst/>
                            <a:rect l="l" t="t" r="r" b="b"/>
                            <a:pathLst>
                              <a:path w="57785" h="69215">
                                <a:moveTo>
                                  <a:pt x="57273" y="68726"/>
                                </a:moveTo>
                                <a:lnTo>
                                  <a:pt x="0" y="68726"/>
                                </a:lnTo>
                                <a:lnTo>
                                  <a:pt x="0" y="0"/>
                                </a:lnTo>
                                <a:lnTo>
                                  <a:pt x="57273" y="0"/>
                                </a:lnTo>
                                <a:lnTo>
                                  <a:pt x="57273" y="68726"/>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4565B10" id="Group 923" o:spid="_x0000_s1026" style="position:absolute;margin-left:397pt;margin-top:29.7pt;width:33.9pt;height:5.45pt;z-index:-15567872;mso-wrap-distance-left:0;mso-wrap-distance-right:0;mso-position-horizontal-relative:page" coordsize="430530,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">
                <v:shape id="Graphic 924" o:spid="_x0000_s1027" style="position:absolute;top:29454;width:430530;height:1270;visibility:visible;mso-wrap-style:square;v-text-anchor:top" coordsize="430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" path="m,l251590,em308864,l429954,e" filled="f" strokeweight=".27272mm">
                  <v:path arrowok="t"/>
                </v:shape>
                <v:shape id="Graphic 925" o:spid="_x0000_s1028" style="position:absolute;left:251590;width:57785;height:69215;visibility:visible;mso-wrap-style:square;v-text-anchor:top" coordsize="5778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" path="m57273,68726l,68726,,,57273,r,68726xe" fillcolor="#0000c0" stroked="f">
                  <v:path arrowok="t"/>
                </v:shape>
                <w10:wrap type="topAndBottom" anchorx="page"/>
              </v:group>
            </w:pict>
          </mc:Fallback>
        </mc:AlternateContent>
      </w:r>
    </w:p>
    <w:p w14:paraId="4EA747F9" w14:textId="77777777" w:rsidR="00E05B98" w:rsidRPr="003C6DAE" w:rsidRDefault="00E05B98">
      <w:pPr>
        <w:pStyle w:val="a3"/>
        <w:spacing w:before="10"/>
        <w:rPr>
          <w:rFonts w:ascii="Trebuchet MS"/>
          <w:sz w:val="9"/>
          <w:lang w:val="uk-UA"/>
        </w:rPr>
      </w:pPr>
    </w:p>
    <w:p w14:paraId="02810B7B" w14:textId="77777777" w:rsidR="00E05B98" w:rsidRPr="003C6DAE" w:rsidRDefault="00E05B98">
      <w:pPr>
        <w:pStyle w:val="a3"/>
        <w:spacing w:before="11"/>
        <w:rPr>
          <w:rFonts w:ascii="Trebuchet MS"/>
          <w:sz w:val="11"/>
          <w:lang w:val="uk-UA"/>
        </w:rPr>
      </w:pPr>
    </w:p>
    <w:p w14:paraId="2BA21001" w14:textId="77777777" w:rsidR="00E05B98" w:rsidRPr="003C6DAE" w:rsidRDefault="00B01E0C">
      <w:pPr>
        <w:pStyle w:val="a3"/>
        <w:ind w:left="-8" w:right="-72"/>
        <w:rPr>
          <w:rFonts w:ascii="Trebuchet MS"/>
          <w:sz w:val="20"/>
          <w:lang w:val="uk-UA"/>
        </w:rPr>
      </w:pPr>
      <w:r w:rsidRPr="003C6DAE">
        <w:rPr>
          <w:rFonts w:ascii="Trebuchet MS"/>
          <w:noProof/>
          <w:sz w:val="20"/>
          <w:lang w:val="uk-UA"/>
        </w:rPr>
        <mc:AlternateContent>
          <mc:Choice Requires="wpg">
            <w:drawing>
              <wp:inline distT="0" distB="0" distL="0" distR="0" wp14:anchorId="68951A18" wp14:editId="3B16E77B">
                <wp:extent cx="982344" cy="147320"/>
                <wp:effectExtent l="9525" t="0" r="0" b="5080"/>
                <wp:docPr id="926"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2344" cy="147320"/>
                          <a:chOff x="0" y="0"/>
                          <a:chExt cx="982344" cy="147320"/>
                        </a:xfrm>
                      </wpg:grpSpPr>
                      <wps:wsp>
                        <wps:cNvPr id="927" name="Graphic 927"/>
                        <wps:cNvSpPr/>
                        <wps:spPr>
                          <a:xfrm>
                            <a:off x="96545" y="29453"/>
                            <a:ext cx="881380" cy="1270"/>
                          </a:xfrm>
                          <a:custGeom>
                            <a:avLst/>
                            <a:gdLst/>
                            <a:ahLst/>
                            <a:cxnLst/>
                            <a:rect l="l" t="t" r="r" b="b"/>
                            <a:pathLst>
                              <a:path w="881380">
                                <a:moveTo>
                                  <a:pt x="0" y="0"/>
                                </a:moveTo>
                                <a:lnTo>
                                  <a:pt x="537546" y="0"/>
                                </a:lnTo>
                              </a:path>
                              <a:path w="881380">
                                <a:moveTo>
                                  <a:pt x="594818" y="0"/>
                                </a:moveTo>
                                <a:lnTo>
                                  <a:pt x="880773" y="0"/>
                                </a:lnTo>
                              </a:path>
                            </a:pathLst>
                          </a:custGeom>
                          <a:ln w="9818">
                            <a:solidFill>
                              <a:srgbClr val="000000"/>
                            </a:solidFill>
                            <a:prstDash val="solid"/>
                          </a:ln>
                        </wps:spPr>
                        <wps:bodyPr wrap="square" lIns="0" tIns="0" rIns="0" bIns="0" rtlCol="0">
                          <a:prstTxWarp prst="textNoShape">
                            <a:avLst/>
                          </a:prstTxWarp>
                          <a:noAutofit/>
                        </wps:bodyPr>
                      </wps:wsp>
                      <wps:wsp>
                        <wps:cNvPr id="928" name="Graphic 928"/>
                        <wps:cNvSpPr/>
                        <wps:spPr>
                          <a:xfrm>
                            <a:off x="634092" y="0"/>
                            <a:ext cx="57785" cy="69215"/>
                          </a:xfrm>
                          <a:custGeom>
                            <a:avLst/>
                            <a:gdLst/>
                            <a:ahLst/>
                            <a:cxnLst/>
                            <a:rect l="l" t="t" r="r" b="b"/>
                            <a:pathLst>
                              <a:path w="57785" h="69215">
                                <a:moveTo>
                                  <a:pt x="57271" y="68726"/>
                                </a:moveTo>
                                <a:lnTo>
                                  <a:pt x="0" y="68726"/>
                                </a:lnTo>
                                <a:lnTo>
                                  <a:pt x="0" y="0"/>
                                </a:lnTo>
                                <a:lnTo>
                                  <a:pt x="57271" y="0"/>
                                </a:lnTo>
                                <a:lnTo>
                                  <a:pt x="57271" y="68726"/>
                                </a:lnTo>
                                <a:close/>
                              </a:path>
                            </a:pathLst>
                          </a:custGeom>
                          <a:solidFill>
                            <a:srgbClr val="0000C0"/>
                          </a:solidFill>
                        </wps:spPr>
                        <wps:bodyPr wrap="square" lIns="0" tIns="0" rIns="0" bIns="0" rtlCol="0">
                          <a:prstTxWarp prst="textNoShape">
                            <a:avLst/>
                          </a:prstTxWarp>
                          <a:noAutofit/>
                        </wps:bodyPr>
                      </wps:wsp>
                      <wps:wsp>
                        <wps:cNvPr id="929" name="Graphic 929"/>
                        <wps:cNvSpPr/>
                        <wps:spPr>
                          <a:xfrm>
                            <a:off x="4090" y="107999"/>
                            <a:ext cx="974090" cy="1270"/>
                          </a:xfrm>
                          <a:custGeom>
                            <a:avLst/>
                            <a:gdLst/>
                            <a:ahLst/>
                            <a:cxnLst/>
                            <a:rect l="l" t="t" r="r" b="b"/>
                            <a:pathLst>
                              <a:path w="974090">
                                <a:moveTo>
                                  <a:pt x="0" y="0"/>
                                </a:moveTo>
                                <a:lnTo>
                                  <a:pt x="973636" y="0"/>
                                </a:lnTo>
                              </a:path>
                            </a:pathLst>
                          </a:custGeom>
                          <a:ln w="9818">
                            <a:solidFill>
                              <a:srgbClr val="000000"/>
                            </a:solidFill>
                            <a:prstDash val="solid"/>
                          </a:ln>
                        </wps:spPr>
                        <wps:bodyPr wrap="square" lIns="0" tIns="0" rIns="0" bIns="0" rtlCol="0">
                          <a:prstTxWarp prst="textNoShape">
                            <a:avLst/>
                          </a:prstTxWarp>
                          <a:noAutofit/>
                        </wps:bodyPr>
                      </wps:wsp>
                      <wps:wsp>
                        <wps:cNvPr id="930" name="Graphic 930"/>
                        <wps:cNvSpPr/>
                        <wps:spPr>
                          <a:xfrm>
                            <a:off x="4090" y="68726"/>
                            <a:ext cx="1270" cy="78740"/>
                          </a:xfrm>
                          <a:custGeom>
                            <a:avLst/>
                            <a:gdLst/>
                            <a:ahLst/>
                            <a:cxnLst/>
                            <a:rect l="l" t="t" r="r" b="b"/>
                            <a:pathLst>
                              <a:path h="78740">
                                <a:moveTo>
                                  <a:pt x="0" y="0"/>
                                </a:moveTo>
                                <a:lnTo>
                                  <a:pt x="0" y="78545"/>
                                </a:lnTo>
                              </a:path>
                            </a:pathLst>
                          </a:custGeom>
                          <a:ln w="8181">
                            <a:solidFill>
                              <a:srgbClr val="000000"/>
                            </a:solidFill>
                            <a:prstDash val="solid"/>
                          </a:ln>
                        </wps:spPr>
                        <wps:bodyPr wrap="square" lIns="0" tIns="0" rIns="0" bIns="0" rtlCol="0">
                          <a:prstTxWarp prst="textNoShape">
                            <a:avLst/>
                          </a:prstTxWarp>
                          <a:noAutofit/>
                        </wps:bodyPr>
                      </wps:wsp>
                      <wps:wsp>
                        <wps:cNvPr id="931" name="Graphic 931"/>
                        <wps:cNvSpPr/>
                        <wps:spPr>
                          <a:xfrm>
                            <a:off x="198818" y="68726"/>
                            <a:ext cx="1270" cy="78740"/>
                          </a:xfrm>
                          <a:custGeom>
                            <a:avLst/>
                            <a:gdLst/>
                            <a:ahLst/>
                            <a:cxnLst/>
                            <a:rect l="l" t="t" r="r" b="b"/>
                            <a:pathLst>
                              <a:path h="78740">
                                <a:moveTo>
                                  <a:pt x="0" y="0"/>
                                </a:moveTo>
                                <a:lnTo>
                                  <a:pt x="0" y="78545"/>
                                </a:lnTo>
                              </a:path>
                            </a:pathLst>
                          </a:custGeom>
                          <a:ln w="8181">
                            <a:solidFill>
                              <a:srgbClr val="000000"/>
                            </a:solidFill>
                            <a:prstDash val="solid"/>
                          </a:ln>
                        </wps:spPr>
                        <wps:bodyPr wrap="square" lIns="0" tIns="0" rIns="0" bIns="0" rtlCol="0">
                          <a:prstTxWarp prst="textNoShape">
                            <a:avLst/>
                          </a:prstTxWarp>
                          <a:noAutofit/>
                        </wps:bodyPr>
                      </wps:wsp>
                      <wps:wsp>
                        <wps:cNvPr id="932" name="Graphic 932"/>
                        <wps:cNvSpPr/>
                        <wps:spPr>
                          <a:xfrm>
                            <a:off x="393545" y="68726"/>
                            <a:ext cx="1270" cy="78740"/>
                          </a:xfrm>
                          <a:custGeom>
                            <a:avLst/>
                            <a:gdLst/>
                            <a:ahLst/>
                            <a:cxnLst/>
                            <a:rect l="l" t="t" r="r" b="b"/>
                            <a:pathLst>
                              <a:path h="78740">
                                <a:moveTo>
                                  <a:pt x="0" y="0"/>
                                </a:moveTo>
                                <a:lnTo>
                                  <a:pt x="0" y="78545"/>
                                </a:lnTo>
                              </a:path>
                            </a:pathLst>
                          </a:custGeom>
                          <a:ln w="8181">
                            <a:solidFill>
                              <a:srgbClr val="000000"/>
                            </a:solidFill>
                            <a:prstDash val="solid"/>
                          </a:ln>
                        </wps:spPr>
                        <wps:bodyPr wrap="square" lIns="0" tIns="0" rIns="0" bIns="0" rtlCol="0">
                          <a:prstTxWarp prst="textNoShape">
                            <a:avLst/>
                          </a:prstTxWarp>
                          <a:noAutofit/>
                        </wps:bodyPr>
                      </wps:wsp>
                      <wps:wsp>
                        <wps:cNvPr id="933" name="Graphic 933"/>
                        <wps:cNvSpPr/>
                        <wps:spPr>
                          <a:xfrm>
                            <a:off x="587863" y="68726"/>
                            <a:ext cx="1270" cy="78740"/>
                          </a:xfrm>
                          <a:custGeom>
                            <a:avLst/>
                            <a:gdLst/>
                            <a:ahLst/>
                            <a:cxnLst/>
                            <a:rect l="l" t="t" r="r" b="b"/>
                            <a:pathLst>
                              <a:path h="78740">
                                <a:moveTo>
                                  <a:pt x="0" y="0"/>
                                </a:moveTo>
                                <a:lnTo>
                                  <a:pt x="0" y="78545"/>
                                </a:lnTo>
                              </a:path>
                            </a:pathLst>
                          </a:custGeom>
                          <a:ln w="8181">
                            <a:solidFill>
                              <a:srgbClr val="000000"/>
                            </a:solidFill>
                            <a:prstDash val="solid"/>
                          </a:ln>
                        </wps:spPr>
                        <wps:bodyPr wrap="square" lIns="0" tIns="0" rIns="0" bIns="0" rtlCol="0">
                          <a:prstTxWarp prst="textNoShape">
                            <a:avLst/>
                          </a:prstTxWarp>
                          <a:noAutofit/>
                        </wps:bodyPr>
                      </wps:wsp>
                      <wps:wsp>
                        <wps:cNvPr id="934" name="Graphic 934"/>
                        <wps:cNvSpPr/>
                        <wps:spPr>
                          <a:xfrm>
                            <a:off x="782998" y="68726"/>
                            <a:ext cx="1270" cy="78740"/>
                          </a:xfrm>
                          <a:custGeom>
                            <a:avLst/>
                            <a:gdLst/>
                            <a:ahLst/>
                            <a:cxnLst/>
                            <a:rect l="l" t="t" r="r" b="b"/>
                            <a:pathLst>
                              <a:path h="78740">
                                <a:moveTo>
                                  <a:pt x="0" y="0"/>
                                </a:moveTo>
                                <a:lnTo>
                                  <a:pt x="0" y="78545"/>
                                </a:lnTo>
                              </a:path>
                            </a:pathLst>
                          </a:custGeom>
                          <a:ln w="8181">
                            <a:solidFill>
                              <a:srgbClr val="000000"/>
                            </a:solidFill>
                            <a:prstDash val="solid"/>
                          </a:ln>
                        </wps:spPr>
                        <wps:bodyPr wrap="square" lIns="0" tIns="0" rIns="0" bIns="0" rtlCol="0">
                          <a:prstTxWarp prst="textNoShape">
                            <a:avLst/>
                          </a:prstTxWarp>
                          <a:noAutofit/>
                        </wps:bodyPr>
                      </wps:wsp>
                      <wps:wsp>
                        <wps:cNvPr id="935" name="Graphic 935"/>
                        <wps:cNvSpPr/>
                        <wps:spPr>
                          <a:xfrm>
                            <a:off x="977726" y="68726"/>
                            <a:ext cx="1270" cy="78740"/>
                          </a:xfrm>
                          <a:custGeom>
                            <a:avLst/>
                            <a:gdLst/>
                            <a:ahLst/>
                            <a:cxnLst/>
                            <a:rect l="l" t="t" r="r" b="b"/>
                            <a:pathLst>
                              <a:path h="78740">
                                <a:moveTo>
                                  <a:pt x="0" y="0"/>
                                </a:moveTo>
                                <a:lnTo>
                                  <a:pt x="0" y="78545"/>
                                </a:lnTo>
                              </a:path>
                            </a:pathLst>
                          </a:custGeom>
                          <a:ln w="81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DB278A" id="Group 926" o:spid="_x0000_s1026" style="width:77.35pt;height:11.6pt;mso-position-horizontal-relative:char;mso-position-vertical-relative:line" coordsize="9823,1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">
                <v:shape id="Graphic 927" o:spid="_x0000_s1027" style="position:absolute;left:965;top:294;width:8814;height:13;visibility:visible;mso-wrap-style:square;v-text-anchor:top" coordsize="881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" path="m,l537546,em594818,l880773,e" filled="f" strokeweight=".27272mm">
                  <v:path arrowok="t"/>
                </v:shape>
                <v:shape id="Graphic 928" o:spid="_x0000_s1028" style="position:absolute;left:6340;width:578;height:692;visibility:visible;mso-wrap-style:square;v-text-anchor:top" coordsize="5778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" path="m57271,68726l,68726,,,57271,r,68726xe" fillcolor="#0000c0" stroked="f">
                  <v:path arrowok="t"/>
                </v:shape>
                <v:shape id="Graphic 929" o:spid="_x0000_s1029" style="position:absolute;left:40;top:1079;width:9741;height:13;visibility:visible;mso-wrap-style:square;v-text-anchor:top" coordsize="974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" path="m,l973636,e" filled="f" strokeweight=".27272mm">
                  <v:path arrowok="t"/>
                </v:shape>
                <v:shape id="Graphic 930" o:spid="_x0000_s1030" style="position:absolute;left:40;top:687;width:13;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" path="m,l,78545e" filled="f" strokeweight=".22725mm">
                  <v:path arrowok="t"/>
                </v:shape>
                <v:shape id="Graphic 931" o:spid="_x0000_s1031" style="position:absolute;left:1988;top:687;width:12;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" path="m,l,78545e" filled="f" strokeweight=".22725mm">
                  <v:path arrowok="t"/>
                </v:shape>
                <v:shape id="Graphic 932" o:spid="_x0000_s1032" style="position:absolute;left:3935;top:687;width:13;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" path="m,l,78545e" filled="f" strokeweight=".22725mm">
                  <v:path arrowok="t"/>
                </v:shape>
                <v:shape id="Graphic 933" o:spid="_x0000_s1033" style="position:absolute;left:5878;top:687;width:13;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" path="m,l,78545e" filled="f" strokeweight=".22725mm">
                  <v:path arrowok="t"/>
                </v:shape>
                <v:shape id="Graphic 934" o:spid="_x0000_s1034" style="position:absolute;left:7829;top:687;width:13;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" path="m,l,78545e" filled="f" strokeweight=".22725mm">
                  <v:path arrowok="t"/>
                </v:shape>
                <v:shape id="Graphic 935" o:spid="_x0000_s1035" style="position:absolute;left:9777;top:687;width:12;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" path="m,l,78545e" filled="f" strokeweight=".22725mm">
                  <v:path arrowok="t"/>
                </v:shape>
                <w10:anchorlock/>
              </v:group>
            </w:pict>
          </mc:Fallback>
        </mc:AlternateContent>
      </w:r>
    </w:p>
    <w:p w14:paraId="034CB130" w14:textId="77777777" w:rsidR="00E05B98" w:rsidRPr="003C6DAE" w:rsidRDefault="00B01E0C">
      <w:pPr>
        <w:rPr>
          <w:rFonts w:ascii="Trebuchet MS"/>
          <w:sz w:val="18"/>
          <w:lang w:val="uk-UA"/>
        </w:rPr>
      </w:pPr>
      <w:r w:rsidRPr="003C6DAE">
        <w:rPr>
          <w:rFonts w:ascii="Trebuchet MS"/>
          <w:w w:val="85"/>
          <w:sz w:val="18"/>
          <w:lang w:val="uk-UA"/>
        </w:rPr>
        <w:t>0</w:t>
      </w:r>
      <w:r w:rsidRPr="003C6DAE">
        <w:rPr>
          <w:rFonts w:ascii="Trebuchet MS"/>
          <w:spacing w:val="55"/>
          <w:sz w:val="18"/>
          <w:lang w:val="uk-UA"/>
        </w:rPr>
        <w:t xml:space="preserve"> </w:t>
      </w:r>
      <w:r w:rsidRPr="003C6DAE">
        <w:rPr>
          <w:rFonts w:ascii="Trebuchet MS"/>
          <w:w w:val="85"/>
          <w:sz w:val="18"/>
          <w:lang w:val="uk-UA"/>
        </w:rPr>
        <w:t>0.2</w:t>
      </w:r>
      <w:r w:rsidRPr="003C6DAE">
        <w:rPr>
          <w:rFonts w:ascii="Trebuchet MS"/>
          <w:spacing w:val="36"/>
          <w:sz w:val="18"/>
          <w:lang w:val="uk-UA"/>
        </w:rPr>
        <w:t xml:space="preserve"> </w:t>
      </w:r>
      <w:r w:rsidRPr="003C6DAE">
        <w:rPr>
          <w:rFonts w:ascii="Trebuchet MS"/>
          <w:w w:val="85"/>
          <w:sz w:val="18"/>
          <w:lang w:val="uk-UA"/>
        </w:rPr>
        <w:t>0.4</w:t>
      </w:r>
      <w:r w:rsidRPr="003C6DAE">
        <w:rPr>
          <w:rFonts w:ascii="Trebuchet MS"/>
          <w:spacing w:val="36"/>
          <w:sz w:val="18"/>
          <w:lang w:val="uk-UA"/>
        </w:rPr>
        <w:t xml:space="preserve"> </w:t>
      </w:r>
      <w:r w:rsidRPr="003C6DAE">
        <w:rPr>
          <w:rFonts w:ascii="Trebuchet MS"/>
          <w:w w:val="85"/>
          <w:sz w:val="18"/>
          <w:lang w:val="uk-UA"/>
        </w:rPr>
        <w:t>0.6</w:t>
      </w:r>
      <w:r w:rsidRPr="003C6DAE">
        <w:rPr>
          <w:rFonts w:ascii="Trebuchet MS"/>
          <w:spacing w:val="36"/>
          <w:sz w:val="18"/>
          <w:lang w:val="uk-UA"/>
        </w:rPr>
        <w:t xml:space="preserve"> </w:t>
      </w:r>
      <w:r w:rsidRPr="003C6DAE">
        <w:rPr>
          <w:rFonts w:ascii="Trebuchet MS"/>
          <w:w w:val="85"/>
          <w:sz w:val="18"/>
          <w:lang w:val="uk-UA"/>
        </w:rPr>
        <w:t>0.8</w:t>
      </w:r>
      <w:r w:rsidRPr="003C6DAE">
        <w:rPr>
          <w:rFonts w:ascii="Trebuchet MS"/>
          <w:spacing w:val="56"/>
          <w:sz w:val="18"/>
          <w:lang w:val="uk-UA"/>
        </w:rPr>
        <w:t xml:space="preserve"> </w:t>
      </w:r>
      <w:r w:rsidRPr="003C6DAE">
        <w:rPr>
          <w:rFonts w:ascii="Trebuchet MS"/>
          <w:spacing w:val="-10"/>
          <w:w w:val="85"/>
          <w:sz w:val="18"/>
          <w:lang w:val="uk-UA"/>
        </w:rPr>
        <w:t>1</w:t>
      </w:r>
    </w:p>
    <w:p w14:paraId="3036391C" w14:textId="77777777" w:rsidR="00E05B98" w:rsidRPr="003C6DAE" w:rsidRDefault="00B01E0C">
      <w:pPr>
        <w:spacing w:before="2" w:after="24"/>
        <w:rPr>
          <w:rFonts w:ascii="Trebuchet MS"/>
          <w:sz w:val="5"/>
          <w:lang w:val="uk-UA"/>
        </w:rPr>
      </w:pPr>
      <w:r w:rsidRPr="003C6DAE">
        <w:rPr>
          <w:lang w:val="uk-UA"/>
        </w:rPr>
        <w:br w:type="column"/>
      </w:r>
    </w:p>
    <w:p w14:paraId="2B39A345" w14:textId="77777777" w:rsidR="00E05B98" w:rsidRPr="003C6DAE" w:rsidRDefault="00B01E0C">
      <w:pPr>
        <w:pStyle w:val="a3"/>
        <w:spacing w:line="108" w:lineRule="exact"/>
        <w:ind w:left="1373"/>
        <w:rPr>
          <w:rFonts w:ascii="Trebuchet MS"/>
          <w:position w:val="-1"/>
          <w:sz w:val="10"/>
          <w:lang w:val="uk-UA"/>
        </w:rPr>
      </w:pPr>
      <w:r w:rsidRPr="003C6DAE">
        <w:rPr>
          <w:rFonts w:ascii="Trebuchet MS"/>
          <w:noProof/>
          <w:position w:val="-1"/>
          <w:sz w:val="10"/>
          <w:lang w:val="uk-UA"/>
        </w:rPr>
        <mc:AlternateContent>
          <mc:Choice Requires="wpg">
            <w:drawing>
              <wp:inline distT="0" distB="0" distL="0" distR="0" wp14:anchorId="78BB2E93" wp14:editId="3FF6B5E3">
                <wp:extent cx="206375" cy="69215"/>
                <wp:effectExtent l="9525" t="0" r="0" b="6984"/>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 cy="69215"/>
                          <a:chOff x="0" y="0"/>
                          <a:chExt cx="206375" cy="69215"/>
                        </a:xfrm>
                      </wpg:grpSpPr>
                      <wps:wsp>
                        <wps:cNvPr id="937" name="Graphic 937"/>
                        <wps:cNvSpPr/>
                        <wps:spPr>
                          <a:xfrm>
                            <a:off x="0" y="29453"/>
                            <a:ext cx="149225" cy="1270"/>
                          </a:xfrm>
                          <a:custGeom>
                            <a:avLst/>
                            <a:gdLst/>
                            <a:ahLst/>
                            <a:cxnLst/>
                            <a:rect l="l" t="t" r="r" b="b"/>
                            <a:pathLst>
                              <a:path w="149225">
                                <a:moveTo>
                                  <a:pt x="0" y="0"/>
                                </a:moveTo>
                                <a:lnTo>
                                  <a:pt x="148908" y="0"/>
                                </a:lnTo>
                              </a:path>
                            </a:pathLst>
                          </a:custGeom>
                          <a:ln w="9818">
                            <a:solidFill>
                              <a:srgbClr val="000000"/>
                            </a:solidFill>
                            <a:prstDash val="solid"/>
                          </a:ln>
                        </wps:spPr>
                        <wps:bodyPr wrap="square" lIns="0" tIns="0" rIns="0" bIns="0" rtlCol="0">
                          <a:prstTxWarp prst="textNoShape">
                            <a:avLst/>
                          </a:prstTxWarp>
                          <a:noAutofit/>
                        </wps:bodyPr>
                      </wps:wsp>
                      <wps:wsp>
                        <wps:cNvPr id="938" name="Graphic 938"/>
                        <wps:cNvSpPr/>
                        <wps:spPr>
                          <a:xfrm>
                            <a:off x="148908" y="0"/>
                            <a:ext cx="57785" cy="69215"/>
                          </a:xfrm>
                          <a:custGeom>
                            <a:avLst/>
                            <a:gdLst/>
                            <a:ahLst/>
                            <a:cxnLst/>
                            <a:rect l="l" t="t" r="r" b="b"/>
                            <a:pathLst>
                              <a:path w="57785" h="69215">
                                <a:moveTo>
                                  <a:pt x="57271" y="68726"/>
                                </a:moveTo>
                                <a:lnTo>
                                  <a:pt x="0" y="68726"/>
                                </a:lnTo>
                                <a:lnTo>
                                  <a:pt x="0" y="0"/>
                                </a:lnTo>
                                <a:lnTo>
                                  <a:pt x="57271" y="0"/>
                                </a:lnTo>
                                <a:lnTo>
                                  <a:pt x="57271" y="68726"/>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3C1B0B73" id="Group 936" o:spid="_x0000_s1026" style="width:16.25pt;height:5.45pt;mso-position-horizontal-relative:char;mso-position-vertical-relative:line" coordsize="206375,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">
                <v:shape id="Graphic 937" o:spid="_x0000_s1027" style="position:absolute;top:29453;width:149225;height:1270;visibility:visible;mso-wrap-style:square;v-text-anchor:top" coordsize="149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" path="m,l148908,e" filled="f" strokeweight=".27272mm">
                  <v:path arrowok="t"/>
                </v:shape>
                <v:shape id="Graphic 938" o:spid="_x0000_s1028" style="position:absolute;left:148908;width:57785;height:69215;visibility:visible;mso-wrap-style:square;v-text-anchor:top" coordsize="5778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" path="m57271,68726l,68726,,,57271,r,68726xe" fillcolor="#0000c0" stroked="f">
                  <v:path arrowok="t"/>
                </v:shape>
                <w10:anchorlock/>
              </v:group>
            </w:pict>
          </mc:Fallback>
        </mc:AlternateContent>
      </w:r>
    </w:p>
    <w:p w14:paraId="5D394C1B" w14:textId="77777777" w:rsidR="00E05B98" w:rsidRPr="003C6DAE" w:rsidRDefault="00B01E0C">
      <w:pPr>
        <w:pStyle w:val="a3"/>
        <w:spacing w:before="10"/>
        <w:rPr>
          <w:rFonts w:ascii="Trebuchet MS"/>
          <w:sz w:val="9"/>
          <w:lang w:val="uk-UA"/>
        </w:rPr>
      </w:pPr>
      <w:r w:rsidRPr="003C6DAE">
        <w:rPr>
          <w:rFonts w:ascii="Trebuchet MS"/>
          <w:noProof/>
          <w:sz w:val="9"/>
          <w:lang w:val="uk-UA"/>
        </w:rPr>
        <mc:AlternateContent>
          <mc:Choice Requires="wpg">
            <w:drawing>
              <wp:anchor distT="0" distB="0" distL="0" distR="0" simplePos="0" relativeHeight="487750144" behindDoc="1" locked="0" layoutInCell="1" allowOverlap="1" wp14:anchorId="76ACA24C" wp14:editId="1642C0EA">
                <wp:simplePos x="0" y="0"/>
                <wp:positionH relativeFrom="page">
                  <wp:posOffset>6363815</wp:posOffset>
                </wp:positionH>
                <wp:positionV relativeFrom="paragraph">
                  <wp:posOffset>88511</wp:posOffset>
                </wp:positionV>
                <wp:extent cx="247650" cy="69215"/>
                <wp:effectExtent l="0" t="0" r="0" b="0"/>
                <wp:wrapTopAndBottom/>
                <wp:docPr id="939"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69215"/>
                          <a:chOff x="0" y="0"/>
                          <a:chExt cx="247650" cy="69215"/>
                        </a:xfrm>
                      </wpg:grpSpPr>
                      <wps:wsp>
                        <wps:cNvPr id="940" name="Graphic 940"/>
                        <wps:cNvSpPr/>
                        <wps:spPr>
                          <a:xfrm>
                            <a:off x="0" y="29453"/>
                            <a:ext cx="189865" cy="1270"/>
                          </a:xfrm>
                          <a:custGeom>
                            <a:avLst/>
                            <a:gdLst/>
                            <a:ahLst/>
                            <a:cxnLst/>
                            <a:rect l="l" t="t" r="r" b="b"/>
                            <a:pathLst>
                              <a:path w="189865">
                                <a:moveTo>
                                  <a:pt x="0" y="0"/>
                                </a:moveTo>
                                <a:lnTo>
                                  <a:pt x="189818" y="0"/>
                                </a:lnTo>
                              </a:path>
                            </a:pathLst>
                          </a:custGeom>
                          <a:ln w="9818">
                            <a:solidFill>
                              <a:srgbClr val="000000"/>
                            </a:solidFill>
                            <a:prstDash val="solid"/>
                          </a:ln>
                        </wps:spPr>
                        <wps:bodyPr wrap="square" lIns="0" tIns="0" rIns="0" bIns="0" rtlCol="0">
                          <a:prstTxWarp prst="textNoShape">
                            <a:avLst/>
                          </a:prstTxWarp>
                          <a:noAutofit/>
                        </wps:bodyPr>
                      </wps:wsp>
                      <wps:wsp>
                        <wps:cNvPr id="941" name="Graphic 941"/>
                        <wps:cNvSpPr/>
                        <wps:spPr>
                          <a:xfrm>
                            <a:off x="189818" y="0"/>
                            <a:ext cx="57785" cy="69215"/>
                          </a:xfrm>
                          <a:custGeom>
                            <a:avLst/>
                            <a:gdLst/>
                            <a:ahLst/>
                            <a:cxnLst/>
                            <a:rect l="l" t="t" r="r" b="b"/>
                            <a:pathLst>
                              <a:path w="57785" h="69215">
                                <a:moveTo>
                                  <a:pt x="57271" y="68726"/>
                                </a:moveTo>
                                <a:lnTo>
                                  <a:pt x="0" y="68726"/>
                                </a:lnTo>
                                <a:lnTo>
                                  <a:pt x="0" y="0"/>
                                </a:lnTo>
                                <a:lnTo>
                                  <a:pt x="57271" y="0"/>
                                </a:lnTo>
                                <a:lnTo>
                                  <a:pt x="57271" y="68726"/>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FE5BA41" id="Group 939" o:spid="_x0000_s1026" style="position:absolute;margin-left:501.1pt;margin-top:6.95pt;width:19.5pt;height:5.45pt;z-index:-15566336;mso-wrap-distance-left:0;mso-wrap-distance-right:0;mso-position-horizontal-relative:page" coordsize="247650,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">
                <v:shape id="Graphic 940" o:spid="_x0000_s1027" style="position:absolute;top:29453;width:189865;height:1270;visibility:visible;mso-wrap-style:square;v-text-anchor:top" coordsize="189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" path="m,l189818,e" filled="f" strokeweight=".27272mm">
                  <v:path arrowok="t"/>
                </v:shape>
                <v:shape id="Graphic 941" o:spid="_x0000_s1028" style="position:absolute;left:189818;width:57785;height:69215;visibility:visible;mso-wrap-style:square;v-text-anchor:top" coordsize="5778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" path="m57271,68726l,68726,,,57271,r,68726xe" fillcolor="#0000c0" stroked="f">
                  <v:path arrowok="t"/>
                </v:shape>
                <w10:wrap type="topAndBottom" anchorx="page"/>
              </v:group>
            </w:pict>
          </mc:Fallback>
        </mc:AlternateContent>
      </w:r>
      <w:r w:rsidRPr="003C6DAE">
        <w:rPr>
          <w:rFonts w:ascii="Trebuchet MS"/>
          <w:noProof/>
          <w:sz w:val="9"/>
          <w:lang w:val="uk-UA"/>
        </w:rPr>
        <mc:AlternateContent>
          <mc:Choice Requires="wpg">
            <w:drawing>
              <wp:anchor distT="0" distB="0" distL="0" distR="0" simplePos="0" relativeHeight="487750656" behindDoc="1" locked="0" layoutInCell="1" allowOverlap="1" wp14:anchorId="112CC2E5" wp14:editId="19EF8B28">
                <wp:simplePos x="0" y="0"/>
                <wp:positionH relativeFrom="page">
                  <wp:posOffset>6315951</wp:posOffset>
                </wp:positionH>
                <wp:positionV relativeFrom="paragraph">
                  <wp:posOffset>245600</wp:posOffset>
                </wp:positionV>
                <wp:extent cx="168910" cy="69215"/>
                <wp:effectExtent l="0" t="0" r="0" b="0"/>
                <wp:wrapTopAndBottom/>
                <wp:docPr id="94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69215"/>
                          <a:chOff x="0" y="0"/>
                          <a:chExt cx="168910" cy="69215"/>
                        </a:xfrm>
                      </wpg:grpSpPr>
                      <wps:wsp>
                        <wps:cNvPr id="943" name="Graphic 943"/>
                        <wps:cNvSpPr/>
                        <wps:spPr>
                          <a:xfrm>
                            <a:off x="0" y="29455"/>
                            <a:ext cx="168910" cy="1270"/>
                          </a:xfrm>
                          <a:custGeom>
                            <a:avLst/>
                            <a:gdLst/>
                            <a:ahLst/>
                            <a:cxnLst/>
                            <a:rect l="l" t="t" r="r" b="b"/>
                            <a:pathLst>
                              <a:path w="168910">
                                <a:moveTo>
                                  <a:pt x="0" y="0"/>
                                </a:moveTo>
                                <a:lnTo>
                                  <a:pt x="71999" y="0"/>
                                </a:lnTo>
                              </a:path>
                              <a:path w="168910">
                                <a:moveTo>
                                  <a:pt x="129272" y="0"/>
                                </a:moveTo>
                                <a:lnTo>
                                  <a:pt x="168545" y="0"/>
                                </a:lnTo>
                              </a:path>
                            </a:pathLst>
                          </a:custGeom>
                          <a:ln w="9818">
                            <a:solidFill>
                              <a:srgbClr val="000000"/>
                            </a:solidFill>
                            <a:prstDash val="solid"/>
                          </a:ln>
                        </wps:spPr>
                        <wps:bodyPr wrap="square" lIns="0" tIns="0" rIns="0" bIns="0" rtlCol="0">
                          <a:prstTxWarp prst="textNoShape">
                            <a:avLst/>
                          </a:prstTxWarp>
                          <a:noAutofit/>
                        </wps:bodyPr>
                      </wps:wsp>
                      <wps:wsp>
                        <wps:cNvPr id="944" name="Graphic 944"/>
                        <wps:cNvSpPr/>
                        <wps:spPr>
                          <a:xfrm>
                            <a:off x="71999" y="0"/>
                            <a:ext cx="57785" cy="69215"/>
                          </a:xfrm>
                          <a:custGeom>
                            <a:avLst/>
                            <a:gdLst/>
                            <a:ahLst/>
                            <a:cxnLst/>
                            <a:rect l="l" t="t" r="r" b="b"/>
                            <a:pathLst>
                              <a:path w="57785" h="69215">
                                <a:moveTo>
                                  <a:pt x="57273" y="68728"/>
                                </a:moveTo>
                                <a:lnTo>
                                  <a:pt x="0" y="68728"/>
                                </a:lnTo>
                                <a:lnTo>
                                  <a:pt x="0" y="0"/>
                                </a:lnTo>
                                <a:lnTo>
                                  <a:pt x="57273" y="0"/>
                                </a:lnTo>
                                <a:lnTo>
                                  <a:pt x="57273" y="6872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F1F4A30" id="Group 942" o:spid="_x0000_s1026" style="position:absolute;margin-left:497.3pt;margin-top:19.35pt;width:13.3pt;height:5.45pt;z-index:-15565824;mso-wrap-distance-left:0;mso-wrap-distance-right:0;mso-position-horizontal-relative:page" coordsize="168910,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">
                <v:shape id="Graphic 943" o:spid="_x0000_s1027" style="position:absolute;top:29455;width:168910;height:1270;visibility:visible;mso-wrap-style:square;v-text-anchor:top" coordsize="168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" path="m,l71999,em129272,r39273,e" filled="f" strokeweight=".27272mm">
                  <v:path arrowok="t"/>
                </v:shape>
                <v:shape id="Graphic 944" o:spid="_x0000_s1028" style="position:absolute;left:71999;width:57785;height:69215;visibility:visible;mso-wrap-style:square;v-text-anchor:top" coordsize="5778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" path="m57273,68728l,68728,,,57273,r,68728xe" fillcolor="#0000c0" stroked="f">
                  <v:path arrowok="t"/>
                </v:shape>
                <w10:wrap type="topAndBottom" anchorx="page"/>
              </v:group>
            </w:pict>
          </mc:Fallback>
        </mc:AlternateContent>
      </w:r>
      <w:r w:rsidRPr="003C6DAE">
        <w:rPr>
          <w:rFonts w:ascii="Trebuchet MS"/>
          <w:noProof/>
          <w:sz w:val="9"/>
          <w:lang w:val="uk-UA"/>
        </w:rPr>
        <mc:AlternateContent>
          <mc:Choice Requires="wpg">
            <w:drawing>
              <wp:anchor distT="0" distB="0" distL="0" distR="0" simplePos="0" relativeHeight="487751168" behindDoc="1" locked="0" layoutInCell="1" allowOverlap="1" wp14:anchorId="3DC939EB" wp14:editId="15BA2F36">
                <wp:simplePos x="0" y="0"/>
                <wp:positionH relativeFrom="page">
                  <wp:posOffset>6354405</wp:posOffset>
                </wp:positionH>
                <wp:positionV relativeFrom="paragraph">
                  <wp:posOffset>402692</wp:posOffset>
                </wp:positionV>
                <wp:extent cx="215265" cy="69215"/>
                <wp:effectExtent l="0" t="0" r="0" b="0"/>
                <wp:wrapTopAndBottom/>
                <wp:docPr id="945"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 cy="69215"/>
                          <a:chOff x="0" y="0"/>
                          <a:chExt cx="215265" cy="69215"/>
                        </a:xfrm>
                      </wpg:grpSpPr>
                      <wps:wsp>
                        <wps:cNvPr id="946" name="Graphic 946"/>
                        <wps:cNvSpPr/>
                        <wps:spPr>
                          <a:xfrm>
                            <a:off x="0" y="29454"/>
                            <a:ext cx="215265" cy="1270"/>
                          </a:xfrm>
                          <a:custGeom>
                            <a:avLst/>
                            <a:gdLst/>
                            <a:ahLst/>
                            <a:cxnLst/>
                            <a:rect l="l" t="t" r="r" b="b"/>
                            <a:pathLst>
                              <a:path w="215265">
                                <a:moveTo>
                                  <a:pt x="0" y="0"/>
                                </a:moveTo>
                                <a:lnTo>
                                  <a:pt x="131317" y="0"/>
                                </a:lnTo>
                              </a:path>
                              <a:path w="215265">
                                <a:moveTo>
                                  <a:pt x="188589" y="0"/>
                                </a:moveTo>
                                <a:lnTo>
                                  <a:pt x="215181" y="0"/>
                                </a:lnTo>
                              </a:path>
                            </a:pathLst>
                          </a:custGeom>
                          <a:ln w="9818">
                            <a:solidFill>
                              <a:srgbClr val="000000"/>
                            </a:solidFill>
                            <a:prstDash val="solid"/>
                          </a:ln>
                        </wps:spPr>
                        <wps:bodyPr wrap="square" lIns="0" tIns="0" rIns="0" bIns="0" rtlCol="0">
                          <a:prstTxWarp prst="textNoShape">
                            <a:avLst/>
                          </a:prstTxWarp>
                          <a:noAutofit/>
                        </wps:bodyPr>
                      </wps:wsp>
                      <wps:wsp>
                        <wps:cNvPr id="947" name="Graphic 947"/>
                        <wps:cNvSpPr/>
                        <wps:spPr>
                          <a:xfrm>
                            <a:off x="131317" y="0"/>
                            <a:ext cx="57785" cy="69215"/>
                          </a:xfrm>
                          <a:custGeom>
                            <a:avLst/>
                            <a:gdLst/>
                            <a:ahLst/>
                            <a:cxnLst/>
                            <a:rect l="l" t="t" r="r" b="b"/>
                            <a:pathLst>
                              <a:path w="57785" h="69215">
                                <a:moveTo>
                                  <a:pt x="57271" y="68728"/>
                                </a:moveTo>
                                <a:lnTo>
                                  <a:pt x="0" y="68728"/>
                                </a:lnTo>
                                <a:lnTo>
                                  <a:pt x="0" y="0"/>
                                </a:lnTo>
                                <a:lnTo>
                                  <a:pt x="57271" y="0"/>
                                </a:lnTo>
                                <a:lnTo>
                                  <a:pt x="57271" y="6872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51D7E77" id="Group 945" o:spid="_x0000_s1026" style="position:absolute;margin-left:500.35pt;margin-top:31.7pt;width:16.95pt;height:5.45pt;z-index:-15565312;mso-wrap-distance-left:0;mso-wrap-distance-right:0;mso-position-horizontal-relative:page" coordsize="215265,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">
                <v:shape id="Graphic 946" o:spid="_x0000_s1027" style="position:absolute;top:29454;width:215265;height:1270;visibility:visible;mso-wrap-style:square;v-text-anchor:top" coordsize="215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" path="m,l131317,em188589,r26592,e" filled="f" strokeweight=".27272mm">
                  <v:path arrowok="t"/>
                </v:shape>
                <v:shape id="Graphic 947" o:spid="_x0000_s1028" style="position:absolute;left:131317;width:57785;height:69215;visibility:visible;mso-wrap-style:square;v-text-anchor:top" coordsize="5778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" path="m57271,68728l,68728,,,57271,r,68728xe" fillcolor="#0000c0" stroked="f">
                  <v:path arrowok="t"/>
                </v:shape>
                <w10:wrap type="topAndBottom" anchorx="page"/>
              </v:group>
            </w:pict>
          </mc:Fallback>
        </mc:AlternateContent>
      </w:r>
      <w:r w:rsidRPr="003C6DAE">
        <w:rPr>
          <w:rFonts w:ascii="Trebuchet MS"/>
          <w:noProof/>
          <w:sz w:val="9"/>
          <w:lang w:val="uk-UA"/>
        </w:rPr>
        <mc:AlternateContent>
          <mc:Choice Requires="wpg">
            <w:drawing>
              <wp:anchor distT="0" distB="0" distL="0" distR="0" simplePos="0" relativeHeight="487751680" behindDoc="1" locked="0" layoutInCell="1" allowOverlap="1" wp14:anchorId="38268BA7" wp14:editId="22B1EE81">
                <wp:simplePos x="0" y="0"/>
                <wp:positionH relativeFrom="page">
                  <wp:posOffset>5592266</wp:posOffset>
                </wp:positionH>
                <wp:positionV relativeFrom="paragraph">
                  <wp:posOffset>559783</wp:posOffset>
                </wp:positionV>
                <wp:extent cx="984250" cy="147320"/>
                <wp:effectExtent l="0" t="0" r="0" b="0"/>
                <wp:wrapTopAndBottom/>
                <wp:docPr id="948"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0" cy="147320"/>
                          <a:chOff x="0" y="0"/>
                          <a:chExt cx="984250" cy="147320"/>
                        </a:xfrm>
                      </wpg:grpSpPr>
                      <wps:wsp>
                        <wps:cNvPr id="949" name="Graphic 949"/>
                        <wps:cNvSpPr/>
                        <wps:spPr>
                          <a:xfrm>
                            <a:off x="672137" y="29454"/>
                            <a:ext cx="311785" cy="1270"/>
                          </a:xfrm>
                          <a:custGeom>
                            <a:avLst/>
                            <a:gdLst/>
                            <a:ahLst/>
                            <a:cxnLst/>
                            <a:rect l="l" t="t" r="r" b="b"/>
                            <a:pathLst>
                              <a:path w="311785">
                                <a:moveTo>
                                  <a:pt x="0" y="0"/>
                                </a:moveTo>
                                <a:lnTo>
                                  <a:pt x="223773" y="0"/>
                                </a:lnTo>
                              </a:path>
                              <a:path w="311785">
                                <a:moveTo>
                                  <a:pt x="281045" y="0"/>
                                </a:moveTo>
                                <a:lnTo>
                                  <a:pt x="311727" y="0"/>
                                </a:lnTo>
                              </a:path>
                            </a:pathLst>
                          </a:custGeom>
                          <a:ln w="9818">
                            <a:solidFill>
                              <a:srgbClr val="000000"/>
                            </a:solidFill>
                            <a:prstDash val="solid"/>
                          </a:ln>
                        </wps:spPr>
                        <wps:bodyPr wrap="square" lIns="0" tIns="0" rIns="0" bIns="0" rtlCol="0">
                          <a:prstTxWarp prst="textNoShape">
                            <a:avLst/>
                          </a:prstTxWarp>
                          <a:noAutofit/>
                        </wps:bodyPr>
                      </wps:wsp>
                      <wps:wsp>
                        <wps:cNvPr id="950" name="Graphic 950"/>
                        <wps:cNvSpPr/>
                        <wps:spPr>
                          <a:xfrm>
                            <a:off x="895911" y="0"/>
                            <a:ext cx="57785" cy="69215"/>
                          </a:xfrm>
                          <a:custGeom>
                            <a:avLst/>
                            <a:gdLst/>
                            <a:ahLst/>
                            <a:cxnLst/>
                            <a:rect l="l" t="t" r="r" b="b"/>
                            <a:pathLst>
                              <a:path w="57785" h="69215">
                                <a:moveTo>
                                  <a:pt x="57271" y="68726"/>
                                </a:moveTo>
                                <a:lnTo>
                                  <a:pt x="0" y="68726"/>
                                </a:lnTo>
                                <a:lnTo>
                                  <a:pt x="0" y="0"/>
                                </a:lnTo>
                                <a:lnTo>
                                  <a:pt x="57271" y="0"/>
                                </a:lnTo>
                                <a:lnTo>
                                  <a:pt x="57271" y="68726"/>
                                </a:lnTo>
                                <a:close/>
                              </a:path>
                            </a:pathLst>
                          </a:custGeom>
                          <a:solidFill>
                            <a:srgbClr val="0000C0"/>
                          </a:solidFill>
                        </wps:spPr>
                        <wps:bodyPr wrap="square" lIns="0" tIns="0" rIns="0" bIns="0" rtlCol="0">
                          <a:prstTxWarp prst="textNoShape">
                            <a:avLst/>
                          </a:prstTxWarp>
                          <a:noAutofit/>
                        </wps:bodyPr>
                      </wps:wsp>
                      <wps:wsp>
                        <wps:cNvPr id="951" name="Graphic 951"/>
                        <wps:cNvSpPr/>
                        <wps:spPr>
                          <a:xfrm>
                            <a:off x="4091" y="107999"/>
                            <a:ext cx="974090" cy="1270"/>
                          </a:xfrm>
                          <a:custGeom>
                            <a:avLst/>
                            <a:gdLst/>
                            <a:ahLst/>
                            <a:cxnLst/>
                            <a:rect l="l" t="t" r="r" b="b"/>
                            <a:pathLst>
                              <a:path w="974090">
                                <a:moveTo>
                                  <a:pt x="0" y="0"/>
                                </a:moveTo>
                                <a:lnTo>
                                  <a:pt x="973636" y="0"/>
                                </a:lnTo>
                              </a:path>
                            </a:pathLst>
                          </a:custGeom>
                          <a:ln w="9818">
                            <a:solidFill>
                              <a:srgbClr val="000000"/>
                            </a:solidFill>
                            <a:prstDash val="solid"/>
                          </a:ln>
                        </wps:spPr>
                        <wps:bodyPr wrap="square" lIns="0" tIns="0" rIns="0" bIns="0" rtlCol="0">
                          <a:prstTxWarp prst="textNoShape">
                            <a:avLst/>
                          </a:prstTxWarp>
                          <a:noAutofit/>
                        </wps:bodyPr>
                      </wps:wsp>
                      <wps:wsp>
                        <wps:cNvPr id="952" name="Graphic 952"/>
                        <wps:cNvSpPr/>
                        <wps:spPr>
                          <a:xfrm>
                            <a:off x="4090" y="68727"/>
                            <a:ext cx="1270" cy="78740"/>
                          </a:xfrm>
                          <a:custGeom>
                            <a:avLst/>
                            <a:gdLst/>
                            <a:ahLst/>
                            <a:cxnLst/>
                            <a:rect l="l" t="t" r="r" b="b"/>
                            <a:pathLst>
                              <a:path h="78740">
                                <a:moveTo>
                                  <a:pt x="0" y="0"/>
                                </a:moveTo>
                                <a:lnTo>
                                  <a:pt x="0" y="78545"/>
                                </a:lnTo>
                              </a:path>
                            </a:pathLst>
                          </a:custGeom>
                          <a:ln w="8181">
                            <a:solidFill>
                              <a:srgbClr val="000000"/>
                            </a:solidFill>
                            <a:prstDash val="solid"/>
                          </a:ln>
                        </wps:spPr>
                        <wps:bodyPr wrap="square" lIns="0" tIns="0" rIns="0" bIns="0" rtlCol="0">
                          <a:prstTxWarp prst="textNoShape">
                            <a:avLst/>
                          </a:prstTxWarp>
                          <a:noAutofit/>
                        </wps:bodyPr>
                      </wps:wsp>
                      <wps:wsp>
                        <wps:cNvPr id="953" name="Graphic 953"/>
                        <wps:cNvSpPr/>
                        <wps:spPr>
                          <a:xfrm>
                            <a:off x="198817" y="68727"/>
                            <a:ext cx="1270" cy="78740"/>
                          </a:xfrm>
                          <a:custGeom>
                            <a:avLst/>
                            <a:gdLst/>
                            <a:ahLst/>
                            <a:cxnLst/>
                            <a:rect l="l" t="t" r="r" b="b"/>
                            <a:pathLst>
                              <a:path h="78740">
                                <a:moveTo>
                                  <a:pt x="0" y="0"/>
                                </a:moveTo>
                                <a:lnTo>
                                  <a:pt x="0" y="78545"/>
                                </a:lnTo>
                              </a:path>
                            </a:pathLst>
                          </a:custGeom>
                          <a:ln w="8181">
                            <a:solidFill>
                              <a:srgbClr val="000000"/>
                            </a:solidFill>
                            <a:prstDash val="solid"/>
                          </a:ln>
                        </wps:spPr>
                        <wps:bodyPr wrap="square" lIns="0" tIns="0" rIns="0" bIns="0" rtlCol="0">
                          <a:prstTxWarp prst="textNoShape">
                            <a:avLst/>
                          </a:prstTxWarp>
                          <a:noAutofit/>
                        </wps:bodyPr>
                      </wps:wsp>
                      <wps:wsp>
                        <wps:cNvPr id="954" name="Graphic 954"/>
                        <wps:cNvSpPr/>
                        <wps:spPr>
                          <a:xfrm>
                            <a:off x="393544" y="68727"/>
                            <a:ext cx="1270" cy="78740"/>
                          </a:xfrm>
                          <a:custGeom>
                            <a:avLst/>
                            <a:gdLst/>
                            <a:ahLst/>
                            <a:cxnLst/>
                            <a:rect l="l" t="t" r="r" b="b"/>
                            <a:pathLst>
                              <a:path h="78740">
                                <a:moveTo>
                                  <a:pt x="0" y="0"/>
                                </a:moveTo>
                                <a:lnTo>
                                  <a:pt x="0" y="78545"/>
                                </a:lnTo>
                              </a:path>
                            </a:pathLst>
                          </a:custGeom>
                          <a:ln w="8181">
                            <a:solidFill>
                              <a:srgbClr val="000000"/>
                            </a:solidFill>
                            <a:prstDash val="solid"/>
                          </a:ln>
                        </wps:spPr>
                        <wps:bodyPr wrap="square" lIns="0" tIns="0" rIns="0" bIns="0" rtlCol="0">
                          <a:prstTxWarp prst="textNoShape">
                            <a:avLst/>
                          </a:prstTxWarp>
                          <a:noAutofit/>
                        </wps:bodyPr>
                      </wps:wsp>
                      <wps:wsp>
                        <wps:cNvPr id="955" name="Graphic 955"/>
                        <wps:cNvSpPr/>
                        <wps:spPr>
                          <a:xfrm>
                            <a:off x="587861" y="68727"/>
                            <a:ext cx="1270" cy="78740"/>
                          </a:xfrm>
                          <a:custGeom>
                            <a:avLst/>
                            <a:gdLst/>
                            <a:ahLst/>
                            <a:cxnLst/>
                            <a:rect l="l" t="t" r="r" b="b"/>
                            <a:pathLst>
                              <a:path h="78740">
                                <a:moveTo>
                                  <a:pt x="0" y="0"/>
                                </a:moveTo>
                                <a:lnTo>
                                  <a:pt x="0" y="78545"/>
                                </a:lnTo>
                              </a:path>
                            </a:pathLst>
                          </a:custGeom>
                          <a:ln w="8181">
                            <a:solidFill>
                              <a:srgbClr val="000000"/>
                            </a:solidFill>
                            <a:prstDash val="solid"/>
                          </a:ln>
                        </wps:spPr>
                        <wps:bodyPr wrap="square" lIns="0" tIns="0" rIns="0" bIns="0" rtlCol="0">
                          <a:prstTxWarp prst="textNoShape">
                            <a:avLst/>
                          </a:prstTxWarp>
                          <a:noAutofit/>
                        </wps:bodyPr>
                      </wps:wsp>
                      <wps:wsp>
                        <wps:cNvPr id="956" name="Graphic 956"/>
                        <wps:cNvSpPr/>
                        <wps:spPr>
                          <a:xfrm>
                            <a:off x="782997" y="68727"/>
                            <a:ext cx="1270" cy="78740"/>
                          </a:xfrm>
                          <a:custGeom>
                            <a:avLst/>
                            <a:gdLst/>
                            <a:ahLst/>
                            <a:cxnLst/>
                            <a:rect l="l" t="t" r="r" b="b"/>
                            <a:pathLst>
                              <a:path h="78740">
                                <a:moveTo>
                                  <a:pt x="0" y="0"/>
                                </a:moveTo>
                                <a:lnTo>
                                  <a:pt x="0" y="78545"/>
                                </a:lnTo>
                              </a:path>
                            </a:pathLst>
                          </a:custGeom>
                          <a:ln w="8181">
                            <a:solidFill>
                              <a:srgbClr val="000000"/>
                            </a:solidFill>
                            <a:prstDash val="solid"/>
                          </a:ln>
                        </wps:spPr>
                        <wps:bodyPr wrap="square" lIns="0" tIns="0" rIns="0" bIns="0" rtlCol="0">
                          <a:prstTxWarp prst="textNoShape">
                            <a:avLst/>
                          </a:prstTxWarp>
                          <a:noAutofit/>
                        </wps:bodyPr>
                      </wps:wsp>
                      <wps:wsp>
                        <wps:cNvPr id="957" name="Graphic 957"/>
                        <wps:cNvSpPr/>
                        <wps:spPr>
                          <a:xfrm>
                            <a:off x="977723" y="68727"/>
                            <a:ext cx="1270" cy="78740"/>
                          </a:xfrm>
                          <a:custGeom>
                            <a:avLst/>
                            <a:gdLst/>
                            <a:ahLst/>
                            <a:cxnLst/>
                            <a:rect l="l" t="t" r="r" b="b"/>
                            <a:pathLst>
                              <a:path h="78740">
                                <a:moveTo>
                                  <a:pt x="0" y="0"/>
                                </a:moveTo>
                                <a:lnTo>
                                  <a:pt x="0" y="78545"/>
                                </a:lnTo>
                              </a:path>
                            </a:pathLst>
                          </a:custGeom>
                          <a:ln w="818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F87F5B" id="Group 948" o:spid="_x0000_s1026" style="position:absolute;margin-left:440.35pt;margin-top:44.1pt;width:77.5pt;height:11.6pt;z-index:-15564800;mso-wrap-distance-left:0;mso-wrap-distance-right:0;mso-position-horizontal-relative:page" coordsize="9842,1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">
                <v:shape id="Graphic 949" o:spid="_x0000_s1027" style="position:absolute;left:6721;top:294;width:3118;height:13;visibility:visible;mso-wrap-style:square;v-text-anchor:top" coordsize="311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" path="m,l223773,em281045,r30682,e" filled="f" strokeweight=".27272mm">
                  <v:path arrowok="t"/>
                </v:shape>
                <v:shape id="Graphic 950" o:spid="_x0000_s1028" style="position:absolute;left:8959;width:577;height:692;visibility:visible;mso-wrap-style:square;v-text-anchor:top" coordsize="5778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" path="m57271,68726l,68726,,,57271,r,68726xe" fillcolor="#0000c0" stroked="f">
                  <v:path arrowok="t"/>
                </v:shape>
                <v:shape id="Graphic 951" o:spid="_x0000_s1029" style="position:absolute;left:40;top:1079;width:9741;height:13;visibility:visible;mso-wrap-style:square;v-text-anchor:top" coordsize="974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" path="m,l973636,e" filled="f" strokeweight=".27272mm">
                  <v:path arrowok="t"/>
                </v:shape>
                <v:shape id="Graphic 952" o:spid="_x0000_s1030" style="position:absolute;left:40;top:687;width:13;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" path="m,l,78545e" filled="f" strokeweight=".22725mm">
                  <v:path arrowok="t"/>
                </v:shape>
                <v:shape id="Graphic 953" o:spid="_x0000_s1031" style="position:absolute;left:1988;top:687;width:12;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" path="m,l,78545e" filled="f" strokeweight=".22725mm">
                  <v:path arrowok="t"/>
                </v:shape>
                <v:shape id="Graphic 954" o:spid="_x0000_s1032" style="position:absolute;left:3935;top:687;width:13;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" path="m,l,78545e" filled="f" strokeweight=".22725mm">
                  <v:path arrowok="t"/>
                </v:shape>
                <v:shape id="Graphic 955" o:spid="_x0000_s1033" style="position:absolute;left:5878;top:687;width:13;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" path="m,l,78545e" filled="f" strokeweight=".22725mm">
                  <v:path arrowok="t"/>
                </v:shape>
                <v:shape id="Graphic 956" o:spid="_x0000_s1034" style="position:absolute;left:7829;top:687;width:13;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" path="m,l,78545e" filled="f" strokeweight=".22725mm">
                  <v:path arrowok="t"/>
                </v:shape>
                <v:shape id="Graphic 957" o:spid="_x0000_s1035" style="position:absolute;left:9777;top:687;width:12;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" path="m,l,78545e" filled="f" strokeweight=".22725mm">
                  <v:path arrowok="t"/>
                </v:shape>
                <w10:wrap type="topAndBottom" anchorx="page"/>
              </v:group>
            </w:pict>
          </mc:Fallback>
        </mc:AlternateContent>
      </w:r>
    </w:p>
    <w:p w14:paraId="7A2990EE" w14:textId="77777777" w:rsidR="00E05B98" w:rsidRPr="003C6DAE" w:rsidRDefault="00E05B98">
      <w:pPr>
        <w:pStyle w:val="a3"/>
        <w:spacing w:before="10"/>
        <w:rPr>
          <w:rFonts w:ascii="Trebuchet MS"/>
          <w:sz w:val="9"/>
          <w:lang w:val="uk-UA"/>
        </w:rPr>
      </w:pPr>
    </w:p>
    <w:p w14:paraId="27A9F499" w14:textId="77777777" w:rsidR="00E05B98" w:rsidRPr="003C6DAE" w:rsidRDefault="00E05B98">
      <w:pPr>
        <w:pStyle w:val="a3"/>
        <w:spacing w:before="10"/>
        <w:rPr>
          <w:rFonts w:ascii="Trebuchet MS"/>
          <w:sz w:val="9"/>
          <w:lang w:val="uk-UA"/>
        </w:rPr>
      </w:pPr>
    </w:p>
    <w:p w14:paraId="3E19480E" w14:textId="77777777" w:rsidR="00E05B98" w:rsidRPr="003C6DAE" w:rsidRDefault="00E05B98">
      <w:pPr>
        <w:pStyle w:val="a3"/>
        <w:spacing w:before="10"/>
        <w:rPr>
          <w:rFonts w:ascii="Trebuchet MS"/>
          <w:sz w:val="9"/>
          <w:lang w:val="uk-UA"/>
        </w:rPr>
      </w:pPr>
    </w:p>
    <w:p w14:paraId="6AEE1CF2" w14:textId="77777777" w:rsidR="00E05B98" w:rsidRPr="003C6DAE" w:rsidRDefault="00B01E0C">
      <w:pPr>
        <w:spacing w:before="2"/>
        <w:ind w:left="108"/>
        <w:rPr>
          <w:rFonts w:ascii="Trebuchet MS"/>
          <w:sz w:val="18"/>
          <w:lang w:val="uk-UA"/>
        </w:rPr>
      </w:pPr>
      <w:r w:rsidRPr="003C6DAE">
        <w:rPr>
          <w:rFonts w:ascii="Trebuchet MS"/>
          <w:w w:val="85"/>
          <w:sz w:val="18"/>
          <w:lang w:val="uk-UA"/>
        </w:rPr>
        <w:t>0</w:t>
      </w:r>
      <w:r w:rsidRPr="003C6DAE">
        <w:rPr>
          <w:rFonts w:ascii="Trebuchet MS"/>
          <w:spacing w:val="55"/>
          <w:sz w:val="18"/>
          <w:lang w:val="uk-UA"/>
        </w:rPr>
        <w:t xml:space="preserve"> </w:t>
      </w:r>
      <w:r w:rsidRPr="003C6DAE">
        <w:rPr>
          <w:rFonts w:ascii="Trebuchet MS"/>
          <w:w w:val="85"/>
          <w:sz w:val="18"/>
          <w:lang w:val="uk-UA"/>
        </w:rPr>
        <w:t>0.2</w:t>
      </w:r>
      <w:r w:rsidRPr="003C6DAE">
        <w:rPr>
          <w:rFonts w:ascii="Trebuchet MS"/>
          <w:spacing w:val="36"/>
          <w:sz w:val="18"/>
          <w:lang w:val="uk-UA"/>
        </w:rPr>
        <w:t xml:space="preserve"> </w:t>
      </w:r>
      <w:r w:rsidRPr="003C6DAE">
        <w:rPr>
          <w:rFonts w:ascii="Trebuchet MS"/>
          <w:w w:val="85"/>
          <w:sz w:val="18"/>
          <w:lang w:val="uk-UA"/>
        </w:rPr>
        <w:t>0.4</w:t>
      </w:r>
      <w:r w:rsidRPr="003C6DAE">
        <w:rPr>
          <w:rFonts w:ascii="Trebuchet MS"/>
          <w:spacing w:val="36"/>
          <w:sz w:val="18"/>
          <w:lang w:val="uk-UA"/>
        </w:rPr>
        <w:t xml:space="preserve"> </w:t>
      </w:r>
      <w:r w:rsidRPr="003C6DAE">
        <w:rPr>
          <w:rFonts w:ascii="Trebuchet MS"/>
          <w:w w:val="85"/>
          <w:sz w:val="18"/>
          <w:lang w:val="uk-UA"/>
        </w:rPr>
        <w:t>0.6</w:t>
      </w:r>
      <w:r w:rsidRPr="003C6DAE">
        <w:rPr>
          <w:rFonts w:ascii="Trebuchet MS"/>
          <w:spacing w:val="36"/>
          <w:sz w:val="18"/>
          <w:lang w:val="uk-UA"/>
        </w:rPr>
        <w:t xml:space="preserve"> </w:t>
      </w:r>
      <w:r w:rsidRPr="003C6DAE">
        <w:rPr>
          <w:rFonts w:ascii="Trebuchet MS"/>
          <w:w w:val="85"/>
          <w:sz w:val="18"/>
          <w:lang w:val="uk-UA"/>
        </w:rPr>
        <w:t>0.8</w:t>
      </w:r>
      <w:r w:rsidRPr="003C6DAE">
        <w:rPr>
          <w:rFonts w:ascii="Trebuchet MS"/>
          <w:spacing w:val="56"/>
          <w:sz w:val="18"/>
          <w:lang w:val="uk-UA"/>
        </w:rPr>
        <w:t xml:space="preserve"> </w:t>
      </w:r>
      <w:r w:rsidRPr="003C6DAE">
        <w:rPr>
          <w:rFonts w:ascii="Trebuchet MS"/>
          <w:spacing w:val="-10"/>
          <w:w w:val="85"/>
          <w:sz w:val="18"/>
          <w:lang w:val="uk-UA"/>
        </w:rPr>
        <w:t>1</w:t>
      </w:r>
    </w:p>
    <w:p w14:paraId="4BD96447" w14:textId="77777777" w:rsidR="00E05B98" w:rsidRPr="003C6DAE" w:rsidRDefault="00E05B98">
      <w:pPr>
        <w:rPr>
          <w:rFonts w:ascii="Trebuchet MS"/>
          <w:sz w:val="18"/>
          <w:lang w:val="uk-UA"/>
        </w:rPr>
        <w:sectPr w:rsidR="00E05B98" w:rsidRPr="003C6DAE">
          <w:type w:val="continuous"/>
          <w:pgSz w:w="11910" w:h="16840"/>
          <w:pgMar w:top="1920" w:right="1275" w:bottom="280" w:left="850" w:header="0" w:footer="573" w:gutter="0"/>
          <w:cols w:num="7" w:space="720" w:equalWidth="0">
            <w:col w:w="1742" w:space="40"/>
            <w:col w:w="732" w:space="39"/>
            <w:col w:w="605" w:space="39"/>
            <w:col w:w="1509" w:space="39"/>
            <w:col w:w="1507" w:space="36"/>
            <w:col w:w="1527" w:space="40"/>
            <w:col w:w="1930"/>
          </w:cols>
        </w:sectPr>
      </w:pPr>
    </w:p>
    <w:p w14:paraId="18433F94" w14:textId="59B90D01" w:rsidR="00E05B98" w:rsidRPr="003C6DAE" w:rsidRDefault="001D6B19">
      <w:pPr>
        <w:spacing w:line="254" w:lineRule="auto"/>
        <w:ind w:left="567"/>
        <w:rPr>
          <w:sz w:val="18"/>
          <w:lang w:val="uk-UA"/>
        </w:rPr>
      </w:pPr>
      <w:r w:rsidRPr="003C6DAE">
        <w:rPr>
          <w:sz w:val="16"/>
          <w:szCs w:val="16"/>
          <w:lang w:val="uk-UA"/>
        </w:rPr>
        <w:t xml:space="preserve">ДІ: довірчий інтервал; FN: хибнонегативний результат; FP: хибнопозитивний результат; </w:t>
      </w:r>
      <w:r w:rsidR="00B5314F">
        <w:rPr>
          <w:sz w:val="16"/>
          <w:szCs w:val="16"/>
          <w:lang w:val="uk-UA"/>
        </w:rPr>
        <w:t>аТАНК-НС</w:t>
      </w:r>
      <w:r w:rsidRPr="003C6DAE">
        <w:rPr>
          <w:sz w:val="16"/>
          <w:szCs w:val="16"/>
          <w:lang w:val="uk-UA"/>
        </w:rPr>
        <w:t>: автоматизований тест  ампліфікаці</w:t>
      </w:r>
      <w:r w:rsidR="00B5314F">
        <w:rPr>
          <w:sz w:val="16"/>
          <w:szCs w:val="16"/>
          <w:lang w:val="uk-UA"/>
        </w:rPr>
        <w:t>ї</w:t>
      </w:r>
      <w:r w:rsidRPr="003C6DAE">
        <w:rPr>
          <w:sz w:val="16"/>
          <w:szCs w:val="16"/>
          <w:lang w:val="uk-UA"/>
        </w:rPr>
        <w:t xml:space="preserve"> нуклеїнових кислот низької складності; MRS: мікробіологічний еталонний стандарт; ТБ: туберкульоз; TN: істинно негативний результат; TP: істинно позитивний результат.</w:t>
      </w:r>
    </w:p>
    <w:p w14:paraId="66EAC60A" w14:textId="33CB7457" w:rsidR="00E05B98" w:rsidRPr="003C6DAE" w:rsidRDefault="00B01E0C">
      <w:pPr>
        <w:spacing w:before="57"/>
        <w:ind w:left="567"/>
        <w:rPr>
          <w:sz w:val="18"/>
          <w:lang w:val="uk-UA"/>
        </w:rPr>
      </w:pPr>
      <w:r w:rsidRPr="003C6DAE">
        <w:rPr>
          <w:spacing w:val="-2"/>
          <w:sz w:val="18"/>
          <w:vertAlign w:val="superscript"/>
          <w:lang w:val="uk-UA"/>
        </w:rPr>
        <w:t>a</w:t>
      </w:r>
      <w:r w:rsidRPr="003C6DAE">
        <w:rPr>
          <w:spacing w:val="-21"/>
          <w:sz w:val="18"/>
          <w:lang w:val="uk-UA"/>
        </w:rPr>
        <w:t xml:space="preserve"> </w:t>
      </w:r>
      <w:r w:rsidR="00A6426A" w:rsidRPr="003C6DAE">
        <w:rPr>
          <w:sz w:val="16"/>
          <w:szCs w:val="16"/>
          <w:lang w:val="uk-UA"/>
        </w:rPr>
        <w:t xml:space="preserve">Дослідження </w:t>
      </w:r>
      <w:r w:rsidR="00B5314F">
        <w:rPr>
          <w:sz w:val="16"/>
          <w:szCs w:val="16"/>
          <w:lang w:val="uk-UA"/>
        </w:rPr>
        <w:t>впорядковано</w:t>
      </w:r>
      <w:r w:rsidR="00A6426A" w:rsidRPr="003C6DAE">
        <w:rPr>
          <w:sz w:val="16"/>
          <w:szCs w:val="16"/>
          <w:lang w:val="uk-UA"/>
        </w:rPr>
        <w:t xml:space="preserve"> за зменшенням чутливості</w:t>
      </w:r>
      <w:r w:rsidR="00A6426A" w:rsidRPr="003C6DAE">
        <w:rPr>
          <w:spacing w:val="-2"/>
          <w:sz w:val="18"/>
          <w:lang w:val="uk-UA"/>
        </w:rPr>
        <w:t>.</w:t>
      </w:r>
    </w:p>
    <w:p w14:paraId="57BC4D17" w14:textId="77777777" w:rsidR="00E05B98" w:rsidRPr="003C6DAE" w:rsidRDefault="00E05B98">
      <w:pPr>
        <w:pStyle w:val="a3"/>
        <w:spacing w:before="161"/>
        <w:rPr>
          <w:sz w:val="18"/>
          <w:lang w:val="uk-UA"/>
        </w:rPr>
      </w:pPr>
    </w:p>
    <w:p w14:paraId="6DE654ED" w14:textId="609F7471" w:rsidR="00E05B98" w:rsidRPr="00B5314F" w:rsidRDefault="001D6B19" w:rsidP="001D6B19">
      <w:pPr>
        <w:pStyle w:val="7"/>
        <w:spacing w:before="1" w:line="249" w:lineRule="auto"/>
        <w:ind w:right="5"/>
        <w:jc w:val="both"/>
        <w:rPr>
          <w:sz w:val="22"/>
          <w:szCs w:val="22"/>
          <w:lang w:val="uk-UA"/>
        </w:rPr>
      </w:pPr>
      <w:r w:rsidRPr="00B5314F">
        <w:rPr>
          <w:color w:val="019648"/>
          <w:sz w:val="22"/>
          <w:szCs w:val="22"/>
          <w:lang w:val="uk-UA"/>
        </w:rPr>
        <w:t>Чи слід використовувати аТАНК-НС на позалегеневих зразках для діагностики стійкості до рифампіцину у дорослих і підлітків з імовірним позалегеневим ТБ?</w:t>
      </w:r>
    </w:p>
    <w:p w14:paraId="40871908" w14:textId="77777777" w:rsidR="00B5314F" w:rsidRPr="00B5314F" w:rsidRDefault="00B5314F" w:rsidP="001D6B19">
      <w:pPr>
        <w:pStyle w:val="a3"/>
        <w:spacing w:before="57" w:line="297" w:lineRule="auto"/>
        <w:ind w:left="567" w:right="5"/>
        <w:jc w:val="both"/>
        <w:rPr>
          <w:sz w:val="10"/>
          <w:szCs w:val="10"/>
          <w:lang w:val="uk-UA"/>
        </w:rPr>
      </w:pPr>
    </w:p>
    <w:p w14:paraId="30C7A82C" w14:textId="50B27E1F" w:rsidR="00E05B98" w:rsidRPr="00B5314F" w:rsidRDefault="00F15A11" w:rsidP="001D6B19">
      <w:pPr>
        <w:pStyle w:val="a3"/>
        <w:spacing w:before="57" w:line="297" w:lineRule="auto"/>
        <w:ind w:left="567" w:right="5"/>
        <w:jc w:val="both"/>
        <w:rPr>
          <w:sz w:val="20"/>
          <w:szCs w:val="20"/>
          <w:lang w:val="uk-UA"/>
        </w:rPr>
      </w:pPr>
      <w:r>
        <w:rPr>
          <w:sz w:val="20"/>
          <w:szCs w:val="20"/>
          <w:lang w:val="uk-UA"/>
        </w:rPr>
        <w:t>З</w:t>
      </w:r>
      <w:r w:rsidRPr="00B5314F">
        <w:rPr>
          <w:sz w:val="20"/>
          <w:szCs w:val="20"/>
          <w:lang w:val="uk-UA"/>
        </w:rPr>
        <w:t>а результатами 13 досліджень аналізу Xpert Ultra (446 учасників)</w:t>
      </w:r>
      <w:r>
        <w:rPr>
          <w:sz w:val="20"/>
          <w:szCs w:val="20"/>
          <w:lang w:val="uk-UA"/>
        </w:rPr>
        <w:t xml:space="preserve"> з</w:t>
      </w:r>
      <w:r w:rsidR="0084230E">
        <w:rPr>
          <w:sz w:val="20"/>
          <w:szCs w:val="20"/>
          <w:lang w:val="uk-UA"/>
        </w:rPr>
        <w:t>агальні</w:t>
      </w:r>
      <w:r w:rsidR="00F85740" w:rsidRPr="00B5314F">
        <w:rPr>
          <w:sz w:val="20"/>
          <w:szCs w:val="20"/>
          <w:lang w:val="uk-UA"/>
        </w:rPr>
        <w:t xml:space="preserve"> чутлив</w:t>
      </w:r>
      <w:r w:rsidR="0084230E">
        <w:rPr>
          <w:sz w:val="20"/>
          <w:szCs w:val="20"/>
          <w:lang w:val="uk-UA"/>
        </w:rPr>
        <w:t>ість</w:t>
      </w:r>
      <w:r w:rsidR="00F85740" w:rsidRPr="00B5314F">
        <w:rPr>
          <w:sz w:val="20"/>
          <w:szCs w:val="20"/>
          <w:lang w:val="uk-UA"/>
        </w:rPr>
        <w:t xml:space="preserve"> і специфічн</w:t>
      </w:r>
      <w:r w:rsidR="0084230E">
        <w:rPr>
          <w:sz w:val="20"/>
          <w:szCs w:val="20"/>
          <w:lang w:val="uk-UA"/>
        </w:rPr>
        <w:t>ість</w:t>
      </w:r>
      <w:r w:rsidR="00F85740" w:rsidRPr="00B5314F">
        <w:rPr>
          <w:sz w:val="20"/>
          <w:szCs w:val="20"/>
          <w:lang w:val="uk-UA"/>
        </w:rPr>
        <w:t xml:space="preserve"> аТАНК-НС становили 100,0% (95% ДІ: 93,4–100,0) і 99,4% (95% ДІ: 92,1–100,0) відповідно, (</w:t>
      </w:r>
      <w:r w:rsidR="00F85740" w:rsidRPr="00B5314F">
        <w:rPr>
          <w:b/>
          <w:bCs/>
          <w:sz w:val="20"/>
          <w:szCs w:val="20"/>
          <w:lang w:val="uk-UA"/>
        </w:rPr>
        <w:t>Рис. 2.1.10</w:t>
      </w:r>
      <w:r w:rsidR="00F85740" w:rsidRPr="00B5314F">
        <w:rPr>
          <w:sz w:val="20"/>
          <w:szCs w:val="20"/>
          <w:lang w:val="uk-UA"/>
        </w:rPr>
        <w:t>); достовірність доказів була високою як для чутливості, так і для специфічності.</w:t>
      </w:r>
    </w:p>
    <w:p w14:paraId="768B7028" w14:textId="66FC5F65" w:rsidR="00E05B98" w:rsidRPr="00B5314F" w:rsidRDefault="00F85740" w:rsidP="001D6B19">
      <w:pPr>
        <w:pStyle w:val="6"/>
        <w:spacing w:before="241" w:line="249" w:lineRule="auto"/>
        <w:ind w:right="5"/>
        <w:jc w:val="both"/>
        <w:rPr>
          <w:sz w:val="20"/>
          <w:szCs w:val="20"/>
          <w:lang w:val="uk-UA"/>
        </w:rPr>
      </w:pPr>
      <w:r w:rsidRPr="00B5314F">
        <w:rPr>
          <w:color w:val="636466"/>
          <w:sz w:val="20"/>
          <w:szCs w:val="20"/>
          <w:lang w:val="uk-UA"/>
        </w:rPr>
        <w:t>Рис</w:t>
      </w:r>
      <w:r w:rsidR="00B01E0C" w:rsidRPr="00B5314F">
        <w:rPr>
          <w:color w:val="636466"/>
          <w:sz w:val="20"/>
          <w:szCs w:val="20"/>
          <w:lang w:val="uk-UA"/>
        </w:rPr>
        <w:t>.</w:t>
      </w:r>
      <w:r w:rsidR="00B01E0C" w:rsidRPr="00B5314F">
        <w:rPr>
          <w:color w:val="636466"/>
          <w:spacing w:val="-17"/>
          <w:sz w:val="20"/>
          <w:szCs w:val="20"/>
          <w:lang w:val="uk-UA"/>
        </w:rPr>
        <w:t xml:space="preserve"> </w:t>
      </w:r>
      <w:r w:rsidR="00B01E0C" w:rsidRPr="00B5314F">
        <w:rPr>
          <w:color w:val="636466"/>
          <w:sz w:val="20"/>
          <w:szCs w:val="20"/>
          <w:lang w:val="uk-UA"/>
        </w:rPr>
        <w:t>2.1.10.</w:t>
      </w:r>
      <w:r w:rsidR="00B01E0C" w:rsidRPr="00B5314F">
        <w:rPr>
          <w:color w:val="636466"/>
          <w:spacing w:val="-16"/>
          <w:sz w:val="20"/>
          <w:szCs w:val="20"/>
          <w:lang w:val="uk-UA"/>
        </w:rPr>
        <w:t xml:space="preserve"> </w:t>
      </w:r>
      <w:r w:rsidRPr="00B5314F">
        <w:rPr>
          <w:color w:val="636466"/>
          <w:sz w:val="20"/>
          <w:szCs w:val="20"/>
          <w:lang w:val="uk-UA"/>
        </w:rPr>
        <w:t xml:space="preserve">Чутливість і специфічність аТАНК-НС для виявлення ТБ перикарда в </w:t>
      </w:r>
      <w:r w:rsidR="00B5314F">
        <w:rPr>
          <w:color w:val="636466"/>
          <w:sz w:val="20"/>
          <w:szCs w:val="20"/>
          <w:lang w:val="uk-UA"/>
        </w:rPr>
        <w:t xml:space="preserve">зразках </w:t>
      </w:r>
      <w:r w:rsidRPr="00B5314F">
        <w:rPr>
          <w:color w:val="636466"/>
          <w:sz w:val="20"/>
          <w:szCs w:val="20"/>
          <w:lang w:val="uk-UA"/>
        </w:rPr>
        <w:t>перикардіальн</w:t>
      </w:r>
      <w:r w:rsidR="00B5314F">
        <w:rPr>
          <w:color w:val="636466"/>
          <w:sz w:val="20"/>
          <w:szCs w:val="20"/>
          <w:lang w:val="uk-UA"/>
        </w:rPr>
        <w:t>ої</w:t>
      </w:r>
      <w:r w:rsidRPr="00B5314F">
        <w:rPr>
          <w:color w:val="636466"/>
          <w:sz w:val="20"/>
          <w:szCs w:val="20"/>
          <w:lang w:val="uk-UA"/>
        </w:rPr>
        <w:t xml:space="preserve"> рідин</w:t>
      </w:r>
      <w:r w:rsidR="00B5314F">
        <w:rPr>
          <w:color w:val="636466"/>
          <w:sz w:val="20"/>
          <w:szCs w:val="20"/>
          <w:lang w:val="uk-UA"/>
        </w:rPr>
        <w:t>и</w:t>
      </w:r>
      <w:r w:rsidRPr="00B5314F">
        <w:rPr>
          <w:color w:val="636466"/>
          <w:sz w:val="20"/>
          <w:szCs w:val="20"/>
          <w:lang w:val="uk-UA"/>
        </w:rPr>
        <w:t xml:space="preserve"> та MRS</w:t>
      </w:r>
      <w:r w:rsidR="0000617E">
        <w:rPr>
          <w:color w:val="636466"/>
          <w:sz w:val="20"/>
          <w:szCs w:val="20"/>
          <w:lang w:val="uk-UA"/>
        </w:rPr>
        <w:t xml:space="preserve"> </w:t>
      </w:r>
      <w:r w:rsidR="00B01E0C" w:rsidRPr="00B5314F">
        <w:rPr>
          <w:color w:val="636466"/>
          <w:sz w:val="20"/>
          <w:szCs w:val="20"/>
          <w:vertAlign w:val="superscript"/>
          <w:lang w:val="uk-UA"/>
        </w:rPr>
        <w:t>a</w:t>
      </w:r>
    </w:p>
    <w:p w14:paraId="5E5A9601" w14:textId="77777777" w:rsidR="00E05B98" w:rsidRPr="00B5314F" w:rsidRDefault="00E05B98">
      <w:pPr>
        <w:pStyle w:val="a3"/>
        <w:rPr>
          <w:rFonts w:ascii="Arial"/>
          <w:b/>
          <w:sz w:val="20"/>
          <w:szCs w:val="20"/>
          <w:lang w:val="uk-UA"/>
        </w:rPr>
      </w:pPr>
    </w:p>
    <w:p w14:paraId="54399EB8" w14:textId="77777777" w:rsidR="00E05B98" w:rsidRPr="003C6DAE" w:rsidRDefault="00E05B98">
      <w:pPr>
        <w:pStyle w:val="a3"/>
        <w:rPr>
          <w:rFonts w:ascii="Arial"/>
          <w:b/>
          <w:sz w:val="9"/>
          <w:lang w:val="uk-UA"/>
        </w:rPr>
        <w:sectPr w:rsidR="00E05B98" w:rsidRPr="003C6DAE" w:rsidSect="001D6B19">
          <w:type w:val="continuous"/>
          <w:pgSz w:w="11910" w:h="16840"/>
          <w:pgMar w:top="1920" w:right="995" w:bottom="280" w:left="850" w:header="0" w:footer="573" w:gutter="0"/>
          <w:cols w:space="720"/>
        </w:sectPr>
      </w:pPr>
    </w:p>
    <w:p w14:paraId="418AEA6F" w14:textId="48ED2AE0" w:rsidR="00E05B98" w:rsidRPr="003C6DAE" w:rsidRDefault="00F85740">
      <w:pPr>
        <w:spacing w:before="107"/>
        <w:ind w:left="688"/>
        <w:rPr>
          <w:rFonts w:ascii="Trebuchet MS"/>
          <w:sz w:val="17"/>
          <w:lang w:val="uk-UA"/>
        </w:rPr>
      </w:pPr>
      <w:r w:rsidRPr="003C6DAE">
        <w:rPr>
          <w:rFonts w:ascii="Trebuchet MS"/>
          <w:color w:val="333333"/>
          <w:w w:val="85"/>
          <w:sz w:val="17"/>
          <w:lang w:val="uk-UA"/>
        </w:rPr>
        <w:t>Дослідження</w:t>
      </w:r>
    </w:p>
    <w:p w14:paraId="09508C41" w14:textId="77777777" w:rsidR="00E05B98" w:rsidRPr="003C6DAE" w:rsidRDefault="00B01E0C">
      <w:pPr>
        <w:spacing w:before="66" w:line="283" w:lineRule="auto"/>
        <w:ind w:left="688" w:right="257"/>
        <w:rPr>
          <w:rFonts w:ascii="Trebuchet MS"/>
          <w:sz w:val="17"/>
          <w:lang w:val="uk-UA"/>
        </w:rPr>
      </w:pPr>
      <w:proofErr w:type="spellStart"/>
      <w:r w:rsidRPr="003C6DAE">
        <w:rPr>
          <w:rFonts w:ascii="Trebuchet MS"/>
          <w:w w:val="95"/>
          <w:sz w:val="17"/>
          <w:lang w:val="uk-UA"/>
        </w:rPr>
        <w:t>Hoel</w:t>
      </w:r>
      <w:proofErr w:type="spellEnd"/>
      <w:r w:rsidRPr="003C6DAE">
        <w:rPr>
          <w:rFonts w:ascii="Trebuchet MS"/>
          <w:spacing w:val="-12"/>
          <w:w w:val="95"/>
          <w:sz w:val="17"/>
          <w:lang w:val="uk-UA"/>
        </w:rPr>
        <w:t xml:space="preserve"> </w:t>
      </w:r>
      <w:r w:rsidRPr="003C6DAE">
        <w:rPr>
          <w:rFonts w:ascii="Trebuchet MS"/>
          <w:w w:val="95"/>
          <w:sz w:val="17"/>
          <w:lang w:val="uk-UA"/>
        </w:rPr>
        <w:t xml:space="preserve">2020a </w:t>
      </w:r>
      <w:proofErr w:type="spellStart"/>
      <w:r w:rsidRPr="003C6DAE">
        <w:rPr>
          <w:rFonts w:ascii="Trebuchet MS"/>
          <w:w w:val="90"/>
          <w:sz w:val="17"/>
          <w:lang w:val="uk-UA"/>
        </w:rPr>
        <w:t>Huang</w:t>
      </w:r>
      <w:proofErr w:type="spellEnd"/>
      <w:r w:rsidRPr="003C6DAE">
        <w:rPr>
          <w:rFonts w:ascii="Trebuchet MS"/>
          <w:spacing w:val="-8"/>
          <w:w w:val="90"/>
          <w:sz w:val="17"/>
          <w:lang w:val="uk-UA"/>
        </w:rPr>
        <w:t xml:space="preserve"> </w:t>
      </w:r>
      <w:r w:rsidRPr="003C6DAE">
        <w:rPr>
          <w:rFonts w:ascii="Trebuchet MS"/>
          <w:w w:val="90"/>
          <w:sz w:val="17"/>
          <w:lang w:val="uk-UA"/>
        </w:rPr>
        <w:t xml:space="preserve">2021 </w:t>
      </w:r>
      <w:proofErr w:type="spellStart"/>
      <w:r w:rsidRPr="003C6DAE">
        <w:rPr>
          <w:rFonts w:ascii="Trebuchet MS"/>
          <w:w w:val="80"/>
          <w:sz w:val="17"/>
          <w:lang w:val="uk-UA"/>
        </w:rPr>
        <w:t>Huerga</w:t>
      </w:r>
      <w:proofErr w:type="spellEnd"/>
      <w:r w:rsidRPr="003C6DAE">
        <w:rPr>
          <w:rFonts w:ascii="Trebuchet MS"/>
          <w:spacing w:val="29"/>
          <w:sz w:val="17"/>
          <w:lang w:val="uk-UA"/>
        </w:rPr>
        <w:t xml:space="preserve"> </w:t>
      </w:r>
      <w:r w:rsidRPr="003C6DAE">
        <w:rPr>
          <w:rFonts w:ascii="Trebuchet MS"/>
          <w:spacing w:val="-4"/>
          <w:w w:val="90"/>
          <w:sz w:val="17"/>
          <w:lang w:val="uk-UA"/>
        </w:rPr>
        <w:t>2023</w:t>
      </w:r>
    </w:p>
    <w:p w14:paraId="72214A9D" w14:textId="77777777" w:rsidR="00E05B98" w:rsidRPr="003C6DAE" w:rsidRDefault="00B01E0C">
      <w:pPr>
        <w:spacing w:line="196" w:lineRule="exact"/>
        <w:ind w:left="688"/>
        <w:rPr>
          <w:rFonts w:ascii="Trebuchet MS"/>
          <w:sz w:val="17"/>
          <w:lang w:val="uk-UA"/>
        </w:rPr>
      </w:pPr>
      <w:proofErr w:type="spellStart"/>
      <w:r w:rsidRPr="003C6DAE">
        <w:rPr>
          <w:rFonts w:ascii="Trebuchet MS"/>
          <w:spacing w:val="2"/>
          <w:w w:val="80"/>
          <w:sz w:val="17"/>
          <w:lang w:val="uk-UA"/>
        </w:rPr>
        <w:t>Mekkaoui</w:t>
      </w:r>
      <w:proofErr w:type="spellEnd"/>
      <w:r w:rsidRPr="003C6DAE">
        <w:rPr>
          <w:rFonts w:ascii="Trebuchet MS"/>
          <w:spacing w:val="19"/>
          <w:sz w:val="17"/>
          <w:lang w:val="uk-UA"/>
        </w:rPr>
        <w:t xml:space="preserve"> </w:t>
      </w:r>
      <w:r w:rsidRPr="003C6DAE">
        <w:rPr>
          <w:rFonts w:ascii="Trebuchet MS"/>
          <w:spacing w:val="-4"/>
          <w:w w:val="90"/>
          <w:sz w:val="17"/>
          <w:lang w:val="uk-UA"/>
        </w:rPr>
        <w:t>2021</w:t>
      </w:r>
    </w:p>
    <w:p w14:paraId="0238614D" w14:textId="10E48451" w:rsidR="00E05B98" w:rsidRPr="003C6DAE" w:rsidRDefault="00B01E0C">
      <w:pPr>
        <w:spacing w:before="35" w:line="283" w:lineRule="auto"/>
        <w:ind w:left="688" w:right="545"/>
        <w:jc w:val="both"/>
        <w:rPr>
          <w:rFonts w:ascii="Trebuchet MS"/>
          <w:sz w:val="17"/>
          <w:lang w:val="uk-UA"/>
        </w:rPr>
      </w:pPr>
      <w:proofErr w:type="spellStart"/>
      <w:r w:rsidRPr="003C6DAE">
        <w:rPr>
          <w:rFonts w:ascii="Trebuchet MS"/>
          <w:w w:val="85"/>
          <w:sz w:val="17"/>
          <w:lang w:val="uk-UA"/>
        </w:rPr>
        <w:t>Minnies</w:t>
      </w:r>
      <w:proofErr w:type="spellEnd"/>
      <w:r w:rsidRPr="003C6DAE">
        <w:rPr>
          <w:rFonts w:ascii="Trebuchet MS"/>
          <w:w w:val="85"/>
          <w:sz w:val="17"/>
          <w:lang w:val="uk-UA"/>
        </w:rPr>
        <w:t xml:space="preserve"> 2021 </w:t>
      </w:r>
      <w:proofErr w:type="spellStart"/>
      <w:r w:rsidRPr="003C6DAE">
        <w:rPr>
          <w:rFonts w:ascii="Trebuchet MS"/>
          <w:w w:val="85"/>
          <w:sz w:val="17"/>
          <w:lang w:val="uk-UA"/>
        </w:rPr>
        <w:t>Penata</w:t>
      </w:r>
      <w:proofErr w:type="spellEnd"/>
      <w:r w:rsidRPr="003C6DAE">
        <w:rPr>
          <w:rFonts w:ascii="Trebuchet MS"/>
          <w:spacing w:val="-8"/>
          <w:sz w:val="17"/>
          <w:lang w:val="uk-UA"/>
        </w:rPr>
        <w:t xml:space="preserve"> </w:t>
      </w:r>
      <w:r w:rsidRPr="003C6DAE">
        <w:rPr>
          <w:rFonts w:ascii="Trebuchet MS"/>
          <w:w w:val="85"/>
          <w:sz w:val="17"/>
          <w:lang w:val="uk-UA"/>
        </w:rPr>
        <w:t xml:space="preserve">2021 </w:t>
      </w:r>
      <w:proofErr w:type="spellStart"/>
      <w:r w:rsidRPr="003C6DAE">
        <w:rPr>
          <w:rFonts w:ascii="Trebuchet MS"/>
          <w:w w:val="80"/>
          <w:sz w:val="17"/>
          <w:lang w:val="uk-UA"/>
        </w:rPr>
        <w:t>Sharma</w:t>
      </w:r>
      <w:proofErr w:type="spellEnd"/>
      <w:r w:rsidRPr="003C6DAE">
        <w:rPr>
          <w:rFonts w:ascii="Trebuchet MS"/>
          <w:spacing w:val="8"/>
          <w:sz w:val="17"/>
          <w:lang w:val="uk-UA"/>
        </w:rPr>
        <w:t xml:space="preserve"> </w:t>
      </w:r>
      <w:r w:rsidRPr="003C6DAE">
        <w:rPr>
          <w:rFonts w:ascii="Trebuchet MS"/>
          <w:w w:val="80"/>
          <w:sz w:val="17"/>
          <w:lang w:val="uk-UA"/>
        </w:rPr>
        <w:t xml:space="preserve">2020 </w:t>
      </w:r>
      <w:proofErr w:type="spellStart"/>
      <w:r w:rsidRPr="003C6DAE">
        <w:rPr>
          <w:rFonts w:ascii="Trebuchet MS"/>
          <w:w w:val="80"/>
          <w:sz w:val="17"/>
          <w:lang w:val="uk-UA"/>
        </w:rPr>
        <w:t>Sharma</w:t>
      </w:r>
      <w:proofErr w:type="spellEnd"/>
      <w:r w:rsidRPr="003C6DAE">
        <w:rPr>
          <w:rFonts w:ascii="Trebuchet MS"/>
          <w:spacing w:val="8"/>
          <w:sz w:val="17"/>
          <w:lang w:val="uk-UA"/>
        </w:rPr>
        <w:t xml:space="preserve"> </w:t>
      </w:r>
      <w:r w:rsidRPr="003C6DAE">
        <w:rPr>
          <w:rFonts w:ascii="Trebuchet MS"/>
          <w:w w:val="80"/>
          <w:sz w:val="17"/>
          <w:lang w:val="uk-UA"/>
        </w:rPr>
        <w:t xml:space="preserve">2021 </w:t>
      </w:r>
      <w:proofErr w:type="spellStart"/>
      <w:r w:rsidRPr="003C6DAE">
        <w:rPr>
          <w:rFonts w:ascii="Trebuchet MS"/>
          <w:w w:val="80"/>
          <w:sz w:val="17"/>
          <w:lang w:val="uk-UA"/>
        </w:rPr>
        <w:t>Sharma</w:t>
      </w:r>
      <w:proofErr w:type="spellEnd"/>
      <w:r w:rsidRPr="003C6DAE">
        <w:rPr>
          <w:rFonts w:ascii="Trebuchet MS"/>
          <w:spacing w:val="11"/>
          <w:sz w:val="17"/>
          <w:lang w:val="uk-UA"/>
        </w:rPr>
        <w:t xml:space="preserve"> </w:t>
      </w:r>
      <w:r w:rsidRPr="003C6DAE">
        <w:rPr>
          <w:rFonts w:ascii="Trebuchet MS"/>
          <w:spacing w:val="-4"/>
          <w:w w:val="80"/>
          <w:sz w:val="17"/>
          <w:lang w:val="uk-UA"/>
        </w:rPr>
        <w:t>2023</w:t>
      </w:r>
    </w:p>
    <w:p w14:paraId="47F9689E" w14:textId="1BA6DDD2" w:rsidR="00E05B98" w:rsidRPr="003C6DAE" w:rsidRDefault="00B01E0C">
      <w:pPr>
        <w:spacing w:line="283" w:lineRule="auto"/>
        <w:ind w:left="688"/>
        <w:jc w:val="both"/>
        <w:rPr>
          <w:rFonts w:ascii="Trebuchet MS"/>
          <w:sz w:val="17"/>
          <w:lang w:val="uk-UA"/>
        </w:rPr>
      </w:pPr>
      <w:proofErr w:type="spellStart"/>
      <w:r w:rsidRPr="003C6DAE">
        <w:rPr>
          <w:rFonts w:ascii="Trebuchet MS"/>
          <w:w w:val="80"/>
          <w:sz w:val="17"/>
          <w:lang w:val="uk-UA"/>
        </w:rPr>
        <w:t>Spencer-Gomes</w:t>
      </w:r>
      <w:proofErr w:type="spellEnd"/>
      <w:r w:rsidRPr="003C6DAE">
        <w:rPr>
          <w:rFonts w:ascii="Trebuchet MS"/>
          <w:spacing w:val="23"/>
          <w:sz w:val="17"/>
          <w:lang w:val="uk-UA"/>
        </w:rPr>
        <w:t xml:space="preserve"> </w:t>
      </w:r>
      <w:r w:rsidRPr="003C6DAE">
        <w:rPr>
          <w:rFonts w:ascii="Trebuchet MS"/>
          <w:w w:val="80"/>
          <w:sz w:val="17"/>
          <w:lang w:val="uk-UA"/>
        </w:rPr>
        <w:t xml:space="preserve">2021 </w:t>
      </w:r>
      <w:r w:rsidR="00F85740" w:rsidRPr="003C6DAE">
        <w:rPr>
          <w:rFonts w:ascii="Trebuchet MS"/>
          <w:w w:val="80"/>
          <w:sz w:val="17"/>
          <w:lang w:val="uk-UA"/>
        </w:rPr>
        <w:t xml:space="preserve">  </w:t>
      </w:r>
      <w:proofErr w:type="spellStart"/>
      <w:r w:rsidRPr="003C6DAE">
        <w:rPr>
          <w:rFonts w:ascii="Trebuchet MS"/>
          <w:w w:val="90"/>
          <w:sz w:val="17"/>
          <w:lang w:val="uk-UA"/>
        </w:rPr>
        <w:t>Sun</w:t>
      </w:r>
      <w:proofErr w:type="spellEnd"/>
      <w:r w:rsidRPr="003C6DAE">
        <w:rPr>
          <w:rFonts w:ascii="Trebuchet MS"/>
          <w:w w:val="90"/>
          <w:sz w:val="17"/>
          <w:lang w:val="uk-UA"/>
        </w:rPr>
        <w:t xml:space="preserve"> 2019</w:t>
      </w:r>
    </w:p>
    <w:p w14:paraId="462F3E3B" w14:textId="77777777" w:rsidR="00E05B98" w:rsidRPr="003C6DAE" w:rsidRDefault="00B01E0C">
      <w:pPr>
        <w:spacing w:line="283" w:lineRule="auto"/>
        <w:ind w:left="688" w:right="673"/>
        <w:jc w:val="both"/>
        <w:rPr>
          <w:rFonts w:ascii="Trebuchet MS"/>
          <w:sz w:val="17"/>
          <w:lang w:val="uk-UA"/>
        </w:rPr>
      </w:pPr>
      <w:proofErr w:type="spellStart"/>
      <w:r w:rsidRPr="003C6DAE">
        <w:rPr>
          <w:rFonts w:ascii="Trebuchet MS"/>
          <w:w w:val="85"/>
          <w:sz w:val="17"/>
          <w:lang w:val="uk-UA"/>
        </w:rPr>
        <w:t>Wang</w:t>
      </w:r>
      <w:proofErr w:type="spellEnd"/>
      <w:r w:rsidRPr="003C6DAE">
        <w:rPr>
          <w:rFonts w:ascii="Trebuchet MS"/>
          <w:spacing w:val="-6"/>
          <w:w w:val="85"/>
          <w:sz w:val="17"/>
          <w:lang w:val="uk-UA"/>
        </w:rPr>
        <w:t xml:space="preserve"> </w:t>
      </w:r>
      <w:r w:rsidRPr="003C6DAE">
        <w:rPr>
          <w:rFonts w:ascii="Trebuchet MS"/>
          <w:w w:val="85"/>
          <w:sz w:val="17"/>
          <w:lang w:val="uk-UA"/>
        </w:rPr>
        <w:t xml:space="preserve">2019 </w:t>
      </w:r>
      <w:proofErr w:type="spellStart"/>
      <w:r w:rsidRPr="003C6DAE">
        <w:rPr>
          <w:rFonts w:ascii="Trebuchet MS"/>
          <w:w w:val="85"/>
          <w:sz w:val="17"/>
          <w:lang w:val="uk-UA"/>
        </w:rPr>
        <w:t>Wang</w:t>
      </w:r>
      <w:proofErr w:type="spellEnd"/>
      <w:r w:rsidRPr="003C6DAE">
        <w:rPr>
          <w:rFonts w:ascii="Trebuchet MS"/>
          <w:spacing w:val="-6"/>
          <w:w w:val="85"/>
          <w:sz w:val="17"/>
          <w:lang w:val="uk-UA"/>
        </w:rPr>
        <w:t xml:space="preserve"> </w:t>
      </w:r>
      <w:r w:rsidRPr="003C6DAE">
        <w:rPr>
          <w:rFonts w:ascii="Trebuchet MS"/>
          <w:w w:val="85"/>
          <w:sz w:val="17"/>
          <w:lang w:val="uk-UA"/>
        </w:rPr>
        <w:t xml:space="preserve">2020 </w:t>
      </w:r>
      <w:r w:rsidRPr="003C6DAE">
        <w:rPr>
          <w:rFonts w:ascii="Trebuchet MS"/>
          <w:w w:val="95"/>
          <w:sz w:val="17"/>
          <w:lang w:val="uk-UA"/>
        </w:rPr>
        <w:t>Wu</w:t>
      </w:r>
      <w:r w:rsidRPr="003C6DAE">
        <w:rPr>
          <w:rFonts w:ascii="Trebuchet MS"/>
          <w:spacing w:val="-9"/>
          <w:w w:val="95"/>
          <w:sz w:val="17"/>
          <w:lang w:val="uk-UA"/>
        </w:rPr>
        <w:t xml:space="preserve"> </w:t>
      </w:r>
      <w:r w:rsidRPr="003C6DAE">
        <w:rPr>
          <w:rFonts w:ascii="Trebuchet MS"/>
          <w:w w:val="95"/>
          <w:sz w:val="17"/>
          <w:lang w:val="uk-UA"/>
        </w:rPr>
        <w:t>2019</w:t>
      </w:r>
    </w:p>
    <w:p w14:paraId="1D733D32" w14:textId="52377B36" w:rsidR="00E05B98" w:rsidRPr="003C6DAE" w:rsidRDefault="00B01E0C">
      <w:pPr>
        <w:spacing w:line="283" w:lineRule="auto"/>
        <w:ind w:left="688" w:right="754"/>
        <w:jc w:val="both"/>
        <w:rPr>
          <w:rFonts w:ascii="Trebuchet MS"/>
          <w:sz w:val="17"/>
          <w:lang w:val="uk-UA"/>
        </w:rPr>
      </w:pPr>
      <w:proofErr w:type="spellStart"/>
      <w:r w:rsidRPr="003C6DAE">
        <w:rPr>
          <w:rFonts w:ascii="Trebuchet MS"/>
          <w:w w:val="80"/>
          <w:sz w:val="17"/>
          <w:lang w:val="uk-UA"/>
        </w:rPr>
        <w:t>Chin</w:t>
      </w:r>
      <w:proofErr w:type="spellEnd"/>
      <w:r w:rsidRPr="003C6DAE">
        <w:rPr>
          <w:rFonts w:ascii="Trebuchet MS"/>
          <w:spacing w:val="-3"/>
          <w:w w:val="80"/>
          <w:sz w:val="17"/>
          <w:lang w:val="uk-UA"/>
        </w:rPr>
        <w:t xml:space="preserve"> </w:t>
      </w:r>
      <w:r w:rsidRPr="003C6DAE">
        <w:rPr>
          <w:rFonts w:ascii="Trebuchet MS"/>
          <w:w w:val="80"/>
          <w:sz w:val="17"/>
          <w:lang w:val="uk-UA"/>
        </w:rPr>
        <w:t xml:space="preserve">2019 </w:t>
      </w:r>
      <w:proofErr w:type="spellStart"/>
      <w:r w:rsidRPr="003C6DAE">
        <w:rPr>
          <w:rFonts w:ascii="Trebuchet MS"/>
          <w:w w:val="75"/>
          <w:sz w:val="17"/>
          <w:lang w:val="uk-UA"/>
        </w:rPr>
        <w:t>Slail</w:t>
      </w:r>
      <w:proofErr w:type="spellEnd"/>
      <w:r w:rsidRPr="003C6DAE">
        <w:rPr>
          <w:rFonts w:ascii="Trebuchet MS"/>
          <w:spacing w:val="-10"/>
          <w:sz w:val="17"/>
          <w:lang w:val="uk-UA"/>
        </w:rPr>
        <w:t xml:space="preserve"> </w:t>
      </w:r>
      <w:r w:rsidRPr="003C6DAE">
        <w:rPr>
          <w:rFonts w:ascii="Trebuchet MS"/>
          <w:spacing w:val="-4"/>
          <w:w w:val="75"/>
          <w:sz w:val="17"/>
          <w:lang w:val="uk-UA"/>
        </w:rPr>
        <w:t>2023</w:t>
      </w:r>
    </w:p>
    <w:p w14:paraId="68FF5FE2" w14:textId="77777777" w:rsidR="00E05B98" w:rsidRPr="003C6DAE" w:rsidRDefault="00B01E0C">
      <w:pPr>
        <w:spacing w:before="107"/>
        <w:ind w:left="202"/>
        <w:rPr>
          <w:rFonts w:ascii="Trebuchet MS"/>
          <w:sz w:val="17"/>
          <w:lang w:val="uk-UA"/>
        </w:rPr>
      </w:pPr>
      <w:r w:rsidRPr="003C6DAE">
        <w:rPr>
          <w:lang w:val="uk-UA"/>
        </w:rPr>
        <w:br w:type="column"/>
      </w:r>
      <w:r w:rsidRPr="003C6DAE">
        <w:rPr>
          <w:rFonts w:ascii="Trebuchet MS"/>
          <w:color w:val="333333"/>
          <w:w w:val="90"/>
          <w:sz w:val="17"/>
          <w:lang w:val="uk-UA"/>
        </w:rPr>
        <w:t>TP</w:t>
      </w:r>
      <w:r w:rsidRPr="003C6DAE">
        <w:rPr>
          <w:rFonts w:ascii="Trebuchet MS"/>
          <w:color w:val="333333"/>
          <w:spacing w:val="62"/>
          <w:w w:val="150"/>
          <w:sz w:val="17"/>
          <w:lang w:val="uk-UA"/>
        </w:rPr>
        <w:t xml:space="preserve"> </w:t>
      </w:r>
      <w:r w:rsidRPr="003C6DAE">
        <w:rPr>
          <w:rFonts w:ascii="Trebuchet MS"/>
          <w:color w:val="333333"/>
          <w:spacing w:val="-5"/>
          <w:w w:val="90"/>
          <w:sz w:val="17"/>
          <w:lang w:val="uk-UA"/>
        </w:rPr>
        <w:t xml:space="preserve">FP </w:t>
      </w:r>
    </w:p>
    <w:p w14:paraId="280E4E33" w14:textId="77777777" w:rsidR="00E05B98" w:rsidRPr="003C6DAE" w:rsidRDefault="00B01E0C">
      <w:pPr>
        <w:tabs>
          <w:tab w:val="left" w:pos="606"/>
        </w:tabs>
        <w:spacing w:before="66"/>
        <w:ind w:left="303"/>
        <w:rPr>
          <w:rFonts w:ascii="Trebuchet MS"/>
          <w:sz w:val="17"/>
          <w:lang w:val="uk-UA"/>
        </w:rPr>
      </w:pPr>
      <w:r w:rsidRPr="003C6DAE">
        <w:rPr>
          <w:rFonts w:ascii="Trebuchet MS"/>
          <w:spacing w:val="-10"/>
          <w:w w:val="95"/>
          <w:sz w:val="17"/>
          <w:lang w:val="uk-UA"/>
        </w:rPr>
        <w:t>2</w:t>
      </w:r>
      <w:r w:rsidRPr="003C6DAE">
        <w:rPr>
          <w:rFonts w:ascii="Trebuchet MS"/>
          <w:sz w:val="17"/>
          <w:lang w:val="uk-UA"/>
        </w:rPr>
        <w:tab/>
      </w:r>
      <w:r w:rsidRPr="003C6DAE">
        <w:rPr>
          <w:rFonts w:ascii="Trebuchet MS"/>
          <w:spacing w:val="-10"/>
          <w:w w:val="95"/>
          <w:sz w:val="17"/>
          <w:lang w:val="uk-UA"/>
        </w:rPr>
        <w:t>0</w:t>
      </w:r>
    </w:p>
    <w:p w14:paraId="47DABFFC" w14:textId="77777777" w:rsidR="00E05B98" w:rsidRPr="003C6DAE" w:rsidRDefault="00B01E0C">
      <w:pPr>
        <w:tabs>
          <w:tab w:val="left" w:pos="606"/>
        </w:tabs>
        <w:spacing w:before="35"/>
        <w:ind w:left="303"/>
        <w:rPr>
          <w:rFonts w:ascii="Trebuchet MS"/>
          <w:sz w:val="17"/>
          <w:lang w:val="uk-UA"/>
        </w:rPr>
      </w:pPr>
      <w:r w:rsidRPr="003C6DAE">
        <w:rPr>
          <w:rFonts w:ascii="Trebuchet MS"/>
          <w:spacing w:val="-10"/>
          <w:w w:val="95"/>
          <w:sz w:val="17"/>
          <w:lang w:val="uk-UA"/>
        </w:rPr>
        <w:t>1</w:t>
      </w:r>
      <w:r w:rsidRPr="003C6DAE">
        <w:rPr>
          <w:rFonts w:ascii="Trebuchet MS"/>
          <w:sz w:val="17"/>
          <w:lang w:val="uk-UA"/>
        </w:rPr>
        <w:tab/>
      </w:r>
      <w:r w:rsidRPr="003C6DAE">
        <w:rPr>
          <w:rFonts w:ascii="Trebuchet MS"/>
          <w:spacing w:val="-10"/>
          <w:w w:val="95"/>
          <w:sz w:val="17"/>
          <w:lang w:val="uk-UA"/>
        </w:rPr>
        <w:t>0</w:t>
      </w:r>
    </w:p>
    <w:p w14:paraId="2E040F00" w14:textId="77777777" w:rsidR="00E05B98" w:rsidRPr="003C6DAE" w:rsidRDefault="00B01E0C">
      <w:pPr>
        <w:tabs>
          <w:tab w:val="left" w:pos="606"/>
        </w:tabs>
        <w:spacing w:before="35"/>
        <w:ind w:left="303"/>
        <w:rPr>
          <w:rFonts w:ascii="Trebuchet MS"/>
          <w:sz w:val="17"/>
          <w:lang w:val="uk-UA"/>
        </w:rPr>
      </w:pPr>
      <w:r w:rsidRPr="003C6DAE">
        <w:rPr>
          <w:rFonts w:ascii="Trebuchet MS"/>
          <w:spacing w:val="-10"/>
          <w:w w:val="95"/>
          <w:sz w:val="17"/>
          <w:lang w:val="uk-UA"/>
        </w:rPr>
        <w:t>1</w:t>
      </w:r>
      <w:r w:rsidRPr="003C6DAE">
        <w:rPr>
          <w:rFonts w:ascii="Trebuchet MS"/>
          <w:sz w:val="17"/>
          <w:lang w:val="uk-UA"/>
        </w:rPr>
        <w:tab/>
      </w:r>
      <w:r w:rsidRPr="003C6DAE">
        <w:rPr>
          <w:rFonts w:ascii="Trebuchet MS"/>
          <w:spacing w:val="-10"/>
          <w:w w:val="95"/>
          <w:sz w:val="17"/>
          <w:lang w:val="uk-UA"/>
        </w:rPr>
        <w:t>0</w:t>
      </w:r>
    </w:p>
    <w:p w14:paraId="6CC02E6A" w14:textId="77777777" w:rsidR="00E05B98" w:rsidRPr="003C6DAE" w:rsidRDefault="00B01E0C">
      <w:pPr>
        <w:tabs>
          <w:tab w:val="left" w:pos="606"/>
        </w:tabs>
        <w:spacing w:before="35"/>
        <w:ind w:left="303"/>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10"/>
          <w:w w:val="95"/>
          <w:sz w:val="17"/>
          <w:lang w:val="uk-UA"/>
        </w:rPr>
        <w:t>0</w:t>
      </w:r>
    </w:p>
    <w:p w14:paraId="23C19A49" w14:textId="77777777" w:rsidR="00E05B98" w:rsidRPr="003C6DAE" w:rsidRDefault="00B01E0C">
      <w:pPr>
        <w:tabs>
          <w:tab w:val="left" w:pos="606"/>
        </w:tabs>
        <w:spacing w:before="35"/>
        <w:ind w:left="303"/>
        <w:rPr>
          <w:rFonts w:ascii="Trebuchet MS"/>
          <w:sz w:val="17"/>
          <w:lang w:val="uk-UA"/>
        </w:rPr>
      </w:pPr>
      <w:r w:rsidRPr="003C6DAE">
        <w:rPr>
          <w:rFonts w:ascii="Trebuchet MS"/>
          <w:spacing w:val="-10"/>
          <w:w w:val="95"/>
          <w:sz w:val="17"/>
          <w:lang w:val="uk-UA"/>
        </w:rPr>
        <w:t>1</w:t>
      </w:r>
      <w:r w:rsidRPr="003C6DAE">
        <w:rPr>
          <w:rFonts w:ascii="Trebuchet MS"/>
          <w:sz w:val="17"/>
          <w:lang w:val="uk-UA"/>
        </w:rPr>
        <w:tab/>
      </w:r>
      <w:r w:rsidRPr="003C6DAE">
        <w:rPr>
          <w:rFonts w:ascii="Trebuchet MS"/>
          <w:spacing w:val="-10"/>
          <w:w w:val="95"/>
          <w:sz w:val="17"/>
          <w:lang w:val="uk-UA"/>
        </w:rPr>
        <w:t>0</w:t>
      </w:r>
    </w:p>
    <w:p w14:paraId="5548AD12" w14:textId="77777777" w:rsidR="00E05B98" w:rsidRPr="003C6DAE" w:rsidRDefault="00B01E0C">
      <w:pPr>
        <w:tabs>
          <w:tab w:val="left" w:pos="606"/>
        </w:tabs>
        <w:spacing w:before="35"/>
        <w:ind w:left="303"/>
        <w:rPr>
          <w:rFonts w:ascii="Trebuchet MS"/>
          <w:sz w:val="17"/>
          <w:lang w:val="uk-UA"/>
        </w:rPr>
      </w:pPr>
      <w:r w:rsidRPr="003C6DAE">
        <w:rPr>
          <w:rFonts w:ascii="Trebuchet MS"/>
          <w:spacing w:val="-10"/>
          <w:w w:val="95"/>
          <w:sz w:val="17"/>
          <w:lang w:val="uk-UA"/>
        </w:rPr>
        <w:t>1</w:t>
      </w:r>
      <w:r w:rsidRPr="003C6DAE">
        <w:rPr>
          <w:rFonts w:ascii="Trebuchet MS"/>
          <w:sz w:val="17"/>
          <w:lang w:val="uk-UA"/>
        </w:rPr>
        <w:tab/>
      </w:r>
      <w:r w:rsidRPr="003C6DAE">
        <w:rPr>
          <w:rFonts w:ascii="Trebuchet MS"/>
          <w:spacing w:val="-10"/>
          <w:w w:val="95"/>
          <w:sz w:val="17"/>
          <w:lang w:val="uk-UA"/>
        </w:rPr>
        <w:t>0</w:t>
      </w:r>
    </w:p>
    <w:p w14:paraId="60248179" w14:textId="77777777" w:rsidR="00E05B98" w:rsidRPr="003C6DAE" w:rsidRDefault="00B01E0C">
      <w:pPr>
        <w:tabs>
          <w:tab w:val="left" w:pos="606"/>
        </w:tabs>
        <w:spacing w:before="35"/>
        <w:ind w:left="303"/>
        <w:rPr>
          <w:rFonts w:ascii="Trebuchet MS"/>
          <w:sz w:val="17"/>
          <w:lang w:val="uk-UA"/>
        </w:rPr>
      </w:pPr>
      <w:r w:rsidRPr="003C6DAE">
        <w:rPr>
          <w:rFonts w:ascii="Trebuchet MS"/>
          <w:spacing w:val="-10"/>
          <w:w w:val="95"/>
          <w:sz w:val="17"/>
          <w:lang w:val="uk-UA"/>
        </w:rPr>
        <w:t>8</w:t>
      </w:r>
      <w:r w:rsidRPr="003C6DAE">
        <w:rPr>
          <w:rFonts w:ascii="Trebuchet MS"/>
          <w:sz w:val="17"/>
          <w:lang w:val="uk-UA"/>
        </w:rPr>
        <w:tab/>
      </w:r>
      <w:r w:rsidRPr="003C6DAE">
        <w:rPr>
          <w:rFonts w:ascii="Trebuchet MS"/>
          <w:spacing w:val="-10"/>
          <w:w w:val="95"/>
          <w:sz w:val="17"/>
          <w:lang w:val="uk-UA"/>
        </w:rPr>
        <w:t>0</w:t>
      </w:r>
    </w:p>
    <w:p w14:paraId="7387FB69" w14:textId="77777777" w:rsidR="00E05B98" w:rsidRPr="003C6DAE" w:rsidRDefault="00B01E0C">
      <w:pPr>
        <w:tabs>
          <w:tab w:val="left" w:pos="606"/>
        </w:tabs>
        <w:spacing w:before="35"/>
        <w:ind w:left="222"/>
        <w:rPr>
          <w:rFonts w:ascii="Trebuchet MS"/>
          <w:sz w:val="17"/>
          <w:lang w:val="uk-UA"/>
        </w:rPr>
      </w:pPr>
      <w:r w:rsidRPr="003C6DAE">
        <w:rPr>
          <w:rFonts w:ascii="Trebuchet MS"/>
          <w:spacing w:val="-5"/>
          <w:w w:val="95"/>
          <w:sz w:val="17"/>
          <w:lang w:val="uk-UA"/>
        </w:rPr>
        <w:t>11</w:t>
      </w:r>
      <w:r w:rsidRPr="003C6DAE">
        <w:rPr>
          <w:rFonts w:ascii="Trebuchet MS"/>
          <w:sz w:val="17"/>
          <w:lang w:val="uk-UA"/>
        </w:rPr>
        <w:tab/>
      </w:r>
      <w:r w:rsidRPr="003C6DAE">
        <w:rPr>
          <w:rFonts w:ascii="Trebuchet MS"/>
          <w:spacing w:val="-10"/>
          <w:w w:val="95"/>
          <w:sz w:val="17"/>
          <w:lang w:val="uk-UA"/>
        </w:rPr>
        <w:t>0</w:t>
      </w:r>
    </w:p>
    <w:p w14:paraId="42C4E008" w14:textId="77777777" w:rsidR="00E05B98" w:rsidRPr="003C6DAE" w:rsidRDefault="00B01E0C">
      <w:pPr>
        <w:tabs>
          <w:tab w:val="left" w:pos="606"/>
        </w:tabs>
        <w:spacing w:before="36"/>
        <w:ind w:left="303"/>
        <w:rPr>
          <w:rFonts w:ascii="Trebuchet MS"/>
          <w:sz w:val="17"/>
          <w:lang w:val="uk-UA"/>
        </w:rPr>
      </w:pPr>
      <w:r w:rsidRPr="003C6DAE">
        <w:rPr>
          <w:rFonts w:ascii="Trebuchet MS"/>
          <w:spacing w:val="-10"/>
          <w:w w:val="95"/>
          <w:sz w:val="17"/>
          <w:lang w:val="uk-UA"/>
        </w:rPr>
        <w:t>2</w:t>
      </w:r>
      <w:r w:rsidRPr="003C6DAE">
        <w:rPr>
          <w:rFonts w:ascii="Trebuchet MS"/>
          <w:sz w:val="17"/>
          <w:lang w:val="uk-UA"/>
        </w:rPr>
        <w:tab/>
      </w:r>
      <w:r w:rsidRPr="003C6DAE">
        <w:rPr>
          <w:rFonts w:ascii="Trebuchet MS"/>
          <w:spacing w:val="-10"/>
          <w:w w:val="95"/>
          <w:sz w:val="17"/>
          <w:lang w:val="uk-UA"/>
        </w:rPr>
        <w:t>0</w:t>
      </w:r>
    </w:p>
    <w:p w14:paraId="15D37A89" w14:textId="77777777" w:rsidR="00E05B98" w:rsidRPr="003C6DAE" w:rsidRDefault="00B01E0C">
      <w:pPr>
        <w:tabs>
          <w:tab w:val="left" w:pos="606"/>
        </w:tabs>
        <w:spacing w:before="35"/>
        <w:ind w:left="303"/>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10"/>
          <w:w w:val="95"/>
          <w:sz w:val="17"/>
          <w:lang w:val="uk-UA"/>
        </w:rPr>
        <w:t>0</w:t>
      </w:r>
    </w:p>
    <w:p w14:paraId="6D109543" w14:textId="77777777" w:rsidR="00E05B98" w:rsidRPr="003C6DAE" w:rsidRDefault="00B01E0C">
      <w:pPr>
        <w:tabs>
          <w:tab w:val="left" w:pos="606"/>
        </w:tabs>
        <w:spacing w:before="35"/>
        <w:ind w:left="303"/>
        <w:rPr>
          <w:rFonts w:ascii="Trebuchet MS"/>
          <w:sz w:val="17"/>
          <w:lang w:val="uk-UA"/>
        </w:rPr>
      </w:pPr>
      <w:r w:rsidRPr="003C6DAE">
        <w:rPr>
          <w:rFonts w:ascii="Trebuchet MS"/>
          <w:spacing w:val="-10"/>
          <w:w w:val="95"/>
          <w:sz w:val="17"/>
          <w:lang w:val="uk-UA"/>
        </w:rPr>
        <w:t>9</w:t>
      </w:r>
      <w:r w:rsidRPr="003C6DAE">
        <w:rPr>
          <w:rFonts w:ascii="Trebuchet MS"/>
          <w:sz w:val="17"/>
          <w:lang w:val="uk-UA"/>
        </w:rPr>
        <w:tab/>
      </w:r>
      <w:r w:rsidRPr="003C6DAE">
        <w:rPr>
          <w:rFonts w:ascii="Trebuchet MS"/>
          <w:spacing w:val="-10"/>
          <w:w w:val="95"/>
          <w:sz w:val="17"/>
          <w:lang w:val="uk-UA"/>
        </w:rPr>
        <w:t>0</w:t>
      </w:r>
    </w:p>
    <w:p w14:paraId="303B0DB9" w14:textId="77777777" w:rsidR="00E05B98" w:rsidRPr="003C6DAE" w:rsidRDefault="00B01E0C">
      <w:pPr>
        <w:tabs>
          <w:tab w:val="left" w:pos="606"/>
        </w:tabs>
        <w:spacing w:before="35"/>
        <w:ind w:left="303"/>
        <w:rPr>
          <w:rFonts w:ascii="Trebuchet MS"/>
          <w:sz w:val="17"/>
          <w:lang w:val="uk-UA"/>
        </w:rPr>
      </w:pPr>
      <w:r w:rsidRPr="003C6DAE">
        <w:rPr>
          <w:rFonts w:ascii="Trebuchet MS"/>
          <w:spacing w:val="-10"/>
          <w:w w:val="95"/>
          <w:sz w:val="17"/>
          <w:lang w:val="uk-UA"/>
        </w:rPr>
        <w:t>6</w:t>
      </w:r>
      <w:r w:rsidRPr="003C6DAE">
        <w:rPr>
          <w:rFonts w:ascii="Trebuchet MS"/>
          <w:sz w:val="17"/>
          <w:lang w:val="uk-UA"/>
        </w:rPr>
        <w:tab/>
      </w:r>
      <w:r w:rsidRPr="003C6DAE">
        <w:rPr>
          <w:rFonts w:ascii="Trebuchet MS"/>
          <w:spacing w:val="-10"/>
          <w:w w:val="95"/>
          <w:sz w:val="17"/>
          <w:lang w:val="uk-UA"/>
        </w:rPr>
        <w:t>0</w:t>
      </w:r>
    </w:p>
    <w:p w14:paraId="648A38B6" w14:textId="77777777" w:rsidR="00E05B98" w:rsidRPr="003C6DAE" w:rsidRDefault="00B01E0C">
      <w:pPr>
        <w:tabs>
          <w:tab w:val="left" w:pos="606"/>
        </w:tabs>
        <w:spacing w:before="35"/>
        <w:ind w:left="303"/>
        <w:rPr>
          <w:rFonts w:ascii="Trebuchet MS"/>
          <w:sz w:val="17"/>
          <w:lang w:val="uk-UA"/>
        </w:rPr>
      </w:pPr>
      <w:r w:rsidRPr="003C6DAE">
        <w:rPr>
          <w:rFonts w:ascii="Trebuchet MS"/>
          <w:spacing w:val="-10"/>
          <w:w w:val="95"/>
          <w:sz w:val="17"/>
          <w:lang w:val="uk-UA"/>
        </w:rPr>
        <w:t>5</w:t>
      </w:r>
      <w:r w:rsidRPr="003C6DAE">
        <w:rPr>
          <w:rFonts w:ascii="Trebuchet MS"/>
          <w:sz w:val="17"/>
          <w:lang w:val="uk-UA"/>
        </w:rPr>
        <w:tab/>
      </w:r>
      <w:r w:rsidRPr="003C6DAE">
        <w:rPr>
          <w:rFonts w:ascii="Trebuchet MS"/>
          <w:spacing w:val="-10"/>
          <w:w w:val="95"/>
          <w:sz w:val="17"/>
          <w:lang w:val="uk-UA"/>
        </w:rPr>
        <w:t>0</w:t>
      </w:r>
    </w:p>
    <w:p w14:paraId="25AE9B66" w14:textId="77777777" w:rsidR="00E05B98" w:rsidRPr="003C6DAE" w:rsidRDefault="00B01E0C">
      <w:pPr>
        <w:tabs>
          <w:tab w:val="left" w:pos="606"/>
        </w:tabs>
        <w:spacing w:before="35"/>
        <w:ind w:left="303"/>
        <w:rPr>
          <w:rFonts w:ascii="Trebuchet MS"/>
          <w:sz w:val="17"/>
          <w:lang w:val="uk-UA"/>
        </w:rPr>
      </w:pPr>
      <w:r w:rsidRPr="003C6DAE">
        <w:rPr>
          <w:rFonts w:ascii="Trebuchet MS"/>
          <w:spacing w:val="-10"/>
          <w:w w:val="95"/>
          <w:sz w:val="17"/>
          <w:lang w:val="uk-UA"/>
        </w:rPr>
        <w:t>4</w:t>
      </w:r>
      <w:r w:rsidRPr="003C6DAE">
        <w:rPr>
          <w:rFonts w:ascii="Trebuchet MS"/>
          <w:sz w:val="17"/>
          <w:lang w:val="uk-UA"/>
        </w:rPr>
        <w:tab/>
      </w:r>
      <w:r w:rsidRPr="003C6DAE">
        <w:rPr>
          <w:rFonts w:ascii="Trebuchet MS"/>
          <w:spacing w:val="-10"/>
          <w:w w:val="95"/>
          <w:sz w:val="17"/>
          <w:lang w:val="uk-UA"/>
        </w:rPr>
        <w:t>0</w:t>
      </w:r>
    </w:p>
    <w:p w14:paraId="368C6681" w14:textId="77777777" w:rsidR="00E05B98" w:rsidRPr="003C6DAE" w:rsidRDefault="00B01E0C">
      <w:pPr>
        <w:tabs>
          <w:tab w:val="left" w:pos="606"/>
        </w:tabs>
        <w:spacing w:before="35"/>
        <w:ind w:left="303"/>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10"/>
          <w:w w:val="95"/>
          <w:sz w:val="17"/>
          <w:lang w:val="uk-UA"/>
        </w:rPr>
        <w:t>0</w:t>
      </w:r>
    </w:p>
    <w:p w14:paraId="43454385" w14:textId="77777777" w:rsidR="00E05B98" w:rsidRPr="003C6DAE" w:rsidRDefault="00B01E0C">
      <w:pPr>
        <w:tabs>
          <w:tab w:val="left" w:pos="606"/>
        </w:tabs>
        <w:spacing w:before="36"/>
        <w:ind w:left="303"/>
        <w:rPr>
          <w:rFonts w:ascii="Trebuchet MS"/>
          <w:sz w:val="17"/>
          <w:lang w:val="uk-UA"/>
        </w:rPr>
      </w:pPr>
      <w:r w:rsidRPr="003C6DAE">
        <w:rPr>
          <w:rFonts w:ascii="Trebuchet MS"/>
          <w:spacing w:val="-10"/>
          <w:w w:val="95"/>
          <w:sz w:val="17"/>
          <w:lang w:val="uk-UA"/>
        </w:rPr>
        <w:t>3</w:t>
      </w:r>
      <w:r w:rsidRPr="003C6DAE">
        <w:rPr>
          <w:rFonts w:ascii="Trebuchet MS"/>
          <w:sz w:val="17"/>
          <w:lang w:val="uk-UA"/>
        </w:rPr>
        <w:tab/>
      </w:r>
      <w:r w:rsidRPr="003C6DAE">
        <w:rPr>
          <w:rFonts w:ascii="Trebuchet MS"/>
          <w:spacing w:val="-10"/>
          <w:w w:val="95"/>
          <w:sz w:val="17"/>
          <w:lang w:val="uk-UA"/>
        </w:rPr>
        <w:t>3</w:t>
      </w:r>
    </w:p>
    <w:p w14:paraId="533C2B4B" w14:textId="77777777" w:rsidR="00E05B98" w:rsidRPr="003C6DAE" w:rsidRDefault="00B01E0C">
      <w:pPr>
        <w:spacing w:before="107"/>
        <w:ind w:left="79"/>
        <w:rPr>
          <w:rFonts w:ascii="Trebuchet MS"/>
          <w:sz w:val="17"/>
          <w:lang w:val="uk-UA"/>
        </w:rPr>
      </w:pPr>
      <w:r w:rsidRPr="003C6DAE">
        <w:rPr>
          <w:lang w:val="uk-UA"/>
        </w:rPr>
        <w:br w:type="column"/>
      </w:r>
      <w:r w:rsidRPr="003C6DAE">
        <w:rPr>
          <w:rFonts w:ascii="Trebuchet MS"/>
          <w:color w:val="333333"/>
          <w:w w:val="95"/>
          <w:sz w:val="17"/>
          <w:lang w:val="uk-UA"/>
        </w:rPr>
        <w:t>FN</w:t>
      </w:r>
      <w:r w:rsidRPr="003C6DAE">
        <w:rPr>
          <w:rFonts w:ascii="Trebuchet MS"/>
          <w:color w:val="333333"/>
          <w:spacing w:val="29"/>
          <w:sz w:val="17"/>
          <w:lang w:val="uk-UA"/>
        </w:rPr>
        <w:t xml:space="preserve">  </w:t>
      </w:r>
      <w:r w:rsidRPr="003C6DAE">
        <w:rPr>
          <w:rFonts w:ascii="Trebuchet MS"/>
          <w:color w:val="333333"/>
          <w:spacing w:val="-7"/>
          <w:w w:val="90"/>
          <w:sz w:val="17"/>
          <w:lang w:val="uk-UA"/>
        </w:rPr>
        <w:t>TN</w:t>
      </w:r>
      <w:r w:rsidRPr="003C6DAE">
        <w:rPr>
          <w:rFonts w:ascii="Trebuchet MS"/>
          <w:color w:val="333333"/>
          <w:w w:val="90"/>
          <w:sz w:val="17"/>
          <w:lang w:val="uk-UA"/>
        </w:rPr>
        <w:t xml:space="preserve"> </w:t>
      </w:r>
    </w:p>
    <w:p w14:paraId="4655BE41" w14:textId="77777777" w:rsidR="00E05B98" w:rsidRPr="003C6DAE" w:rsidRDefault="00B01E0C">
      <w:pPr>
        <w:tabs>
          <w:tab w:val="left" w:pos="531"/>
        </w:tabs>
        <w:spacing w:before="66"/>
        <w:ind w:left="168"/>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10"/>
          <w:w w:val="95"/>
          <w:sz w:val="17"/>
          <w:lang w:val="uk-UA"/>
        </w:rPr>
        <w:t>4</w:t>
      </w:r>
    </w:p>
    <w:p w14:paraId="62708D91" w14:textId="77777777" w:rsidR="00E05B98" w:rsidRPr="003C6DAE" w:rsidRDefault="00B01E0C">
      <w:pPr>
        <w:tabs>
          <w:tab w:val="left" w:pos="531"/>
        </w:tabs>
        <w:spacing w:before="35"/>
        <w:ind w:left="168"/>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10"/>
          <w:w w:val="95"/>
          <w:sz w:val="17"/>
          <w:lang w:val="uk-UA"/>
        </w:rPr>
        <w:t>5</w:t>
      </w:r>
    </w:p>
    <w:p w14:paraId="12F3D83C" w14:textId="77777777" w:rsidR="00E05B98" w:rsidRPr="003C6DAE" w:rsidRDefault="00B01E0C">
      <w:pPr>
        <w:tabs>
          <w:tab w:val="left" w:pos="531"/>
        </w:tabs>
        <w:spacing w:before="35"/>
        <w:ind w:left="168"/>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10"/>
          <w:w w:val="95"/>
          <w:sz w:val="17"/>
          <w:lang w:val="uk-UA"/>
        </w:rPr>
        <w:t>6</w:t>
      </w:r>
    </w:p>
    <w:p w14:paraId="2FBB2022" w14:textId="77777777" w:rsidR="00E05B98" w:rsidRPr="003C6DAE" w:rsidRDefault="00B01E0C">
      <w:pPr>
        <w:tabs>
          <w:tab w:val="left" w:pos="450"/>
        </w:tabs>
        <w:spacing w:before="35"/>
        <w:ind w:left="168"/>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5"/>
          <w:w w:val="95"/>
          <w:sz w:val="17"/>
          <w:lang w:val="uk-UA"/>
        </w:rPr>
        <w:t>36</w:t>
      </w:r>
    </w:p>
    <w:p w14:paraId="38CC83E1" w14:textId="77777777" w:rsidR="00E05B98" w:rsidRPr="003C6DAE" w:rsidRDefault="00B01E0C">
      <w:pPr>
        <w:tabs>
          <w:tab w:val="left" w:pos="531"/>
        </w:tabs>
        <w:spacing w:before="35"/>
        <w:ind w:left="168"/>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10"/>
          <w:w w:val="95"/>
          <w:sz w:val="17"/>
          <w:lang w:val="uk-UA"/>
        </w:rPr>
        <w:t>8</w:t>
      </w:r>
    </w:p>
    <w:p w14:paraId="18EC2C2D" w14:textId="77777777" w:rsidR="00E05B98" w:rsidRPr="003C6DAE" w:rsidRDefault="00B01E0C">
      <w:pPr>
        <w:tabs>
          <w:tab w:val="left" w:pos="450"/>
        </w:tabs>
        <w:spacing w:before="35"/>
        <w:ind w:left="168"/>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5"/>
          <w:w w:val="95"/>
          <w:sz w:val="17"/>
          <w:lang w:val="uk-UA"/>
        </w:rPr>
        <w:t>26</w:t>
      </w:r>
    </w:p>
    <w:p w14:paraId="3767813B" w14:textId="77777777" w:rsidR="00E05B98" w:rsidRPr="003C6DAE" w:rsidRDefault="00B01E0C">
      <w:pPr>
        <w:tabs>
          <w:tab w:val="left" w:pos="450"/>
        </w:tabs>
        <w:spacing w:before="35"/>
        <w:ind w:left="168"/>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5"/>
          <w:w w:val="95"/>
          <w:sz w:val="17"/>
          <w:lang w:val="uk-UA"/>
        </w:rPr>
        <w:t>37</w:t>
      </w:r>
    </w:p>
    <w:p w14:paraId="18D587D5" w14:textId="77777777" w:rsidR="00E05B98" w:rsidRPr="003C6DAE" w:rsidRDefault="00B01E0C">
      <w:pPr>
        <w:tabs>
          <w:tab w:val="left" w:pos="450"/>
        </w:tabs>
        <w:spacing w:before="35"/>
        <w:ind w:left="168"/>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5"/>
          <w:w w:val="95"/>
          <w:sz w:val="17"/>
          <w:lang w:val="uk-UA"/>
        </w:rPr>
        <w:t>24</w:t>
      </w:r>
    </w:p>
    <w:p w14:paraId="52C8B039" w14:textId="77777777" w:rsidR="00E05B98" w:rsidRPr="003C6DAE" w:rsidRDefault="00B01E0C">
      <w:pPr>
        <w:tabs>
          <w:tab w:val="left" w:pos="450"/>
        </w:tabs>
        <w:spacing w:before="36"/>
        <w:ind w:left="168"/>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5"/>
          <w:w w:val="95"/>
          <w:sz w:val="17"/>
          <w:lang w:val="uk-UA"/>
        </w:rPr>
        <w:t>14</w:t>
      </w:r>
    </w:p>
    <w:p w14:paraId="781D5D3C" w14:textId="77777777" w:rsidR="00E05B98" w:rsidRPr="003C6DAE" w:rsidRDefault="00B01E0C">
      <w:pPr>
        <w:tabs>
          <w:tab w:val="left" w:pos="450"/>
        </w:tabs>
        <w:spacing w:before="35"/>
        <w:ind w:left="168"/>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5"/>
          <w:w w:val="95"/>
          <w:sz w:val="17"/>
          <w:lang w:val="uk-UA"/>
        </w:rPr>
        <w:t>11</w:t>
      </w:r>
    </w:p>
    <w:p w14:paraId="198EC188" w14:textId="77777777" w:rsidR="00E05B98" w:rsidRPr="003C6DAE" w:rsidRDefault="00B01E0C">
      <w:pPr>
        <w:tabs>
          <w:tab w:val="left" w:pos="450"/>
        </w:tabs>
        <w:spacing w:before="35"/>
        <w:ind w:left="168"/>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5"/>
          <w:w w:val="95"/>
          <w:sz w:val="17"/>
          <w:lang w:val="uk-UA"/>
        </w:rPr>
        <w:t>38</w:t>
      </w:r>
    </w:p>
    <w:p w14:paraId="14A34644" w14:textId="77777777" w:rsidR="00E05B98" w:rsidRPr="003C6DAE" w:rsidRDefault="00B01E0C">
      <w:pPr>
        <w:tabs>
          <w:tab w:val="left" w:pos="450"/>
        </w:tabs>
        <w:spacing w:before="35"/>
        <w:ind w:left="168"/>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5"/>
          <w:w w:val="95"/>
          <w:sz w:val="17"/>
          <w:lang w:val="uk-UA"/>
        </w:rPr>
        <w:t>23</w:t>
      </w:r>
    </w:p>
    <w:p w14:paraId="56CB5998" w14:textId="77777777" w:rsidR="00E05B98" w:rsidRPr="003C6DAE" w:rsidRDefault="00B01E0C">
      <w:pPr>
        <w:tabs>
          <w:tab w:val="left" w:pos="450"/>
        </w:tabs>
        <w:spacing w:before="35"/>
        <w:ind w:left="168"/>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5"/>
          <w:w w:val="95"/>
          <w:sz w:val="17"/>
          <w:lang w:val="uk-UA"/>
        </w:rPr>
        <w:t>21</w:t>
      </w:r>
    </w:p>
    <w:p w14:paraId="52391394" w14:textId="77777777" w:rsidR="00E05B98" w:rsidRPr="003C6DAE" w:rsidRDefault="00B01E0C">
      <w:pPr>
        <w:tabs>
          <w:tab w:val="left" w:pos="450"/>
        </w:tabs>
        <w:spacing w:before="35"/>
        <w:ind w:left="168"/>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5"/>
          <w:w w:val="95"/>
          <w:sz w:val="17"/>
          <w:lang w:val="uk-UA"/>
        </w:rPr>
        <w:t>23</w:t>
      </w:r>
    </w:p>
    <w:p w14:paraId="72B0FC2A" w14:textId="77777777" w:rsidR="00E05B98" w:rsidRPr="003C6DAE" w:rsidRDefault="00B01E0C">
      <w:pPr>
        <w:tabs>
          <w:tab w:val="left" w:pos="531"/>
        </w:tabs>
        <w:spacing w:before="35"/>
        <w:ind w:left="168"/>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10"/>
          <w:w w:val="95"/>
          <w:sz w:val="17"/>
          <w:lang w:val="uk-UA"/>
        </w:rPr>
        <w:t>3</w:t>
      </w:r>
    </w:p>
    <w:p w14:paraId="0AC6CA93" w14:textId="77777777" w:rsidR="00E05B98" w:rsidRPr="003C6DAE" w:rsidRDefault="00B01E0C">
      <w:pPr>
        <w:spacing w:before="36"/>
        <w:ind w:left="168"/>
        <w:rPr>
          <w:rFonts w:ascii="Trebuchet MS"/>
          <w:sz w:val="17"/>
          <w:lang w:val="uk-UA"/>
        </w:rPr>
      </w:pPr>
      <w:r w:rsidRPr="003C6DAE">
        <w:rPr>
          <w:rFonts w:ascii="Trebuchet MS"/>
          <w:w w:val="95"/>
          <w:sz w:val="17"/>
          <w:lang w:val="uk-UA"/>
        </w:rPr>
        <w:t>0</w:t>
      </w:r>
      <w:r w:rsidRPr="003C6DAE">
        <w:rPr>
          <w:rFonts w:ascii="Trebuchet MS"/>
          <w:spacing w:val="64"/>
          <w:sz w:val="17"/>
          <w:lang w:val="uk-UA"/>
        </w:rPr>
        <w:t xml:space="preserve"> </w:t>
      </w:r>
      <w:r w:rsidRPr="003C6DAE">
        <w:rPr>
          <w:rFonts w:ascii="Trebuchet MS"/>
          <w:spacing w:val="-5"/>
          <w:w w:val="90"/>
          <w:sz w:val="17"/>
          <w:lang w:val="uk-UA"/>
        </w:rPr>
        <w:t>160</w:t>
      </w:r>
    </w:p>
    <w:p w14:paraId="075631DD" w14:textId="1FC0EA9C" w:rsidR="00E05B98" w:rsidRPr="003C6DAE" w:rsidRDefault="00B01E0C">
      <w:pPr>
        <w:spacing w:before="107"/>
        <w:ind w:left="111"/>
        <w:rPr>
          <w:rFonts w:ascii="Trebuchet MS"/>
          <w:sz w:val="17"/>
          <w:lang w:val="uk-UA"/>
        </w:rPr>
      </w:pPr>
      <w:r w:rsidRPr="003C6DAE">
        <w:rPr>
          <w:lang w:val="uk-UA"/>
        </w:rPr>
        <w:br w:type="column"/>
      </w:r>
      <w:r w:rsidR="00F85740" w:rsidRPr="003C6DAE">
        <w:rPr>
          <w:rFonts w:ascii="Trebuchet MS"/>
          <w:color w:val="333333"/>
          <w:w w:val="80"/>
          <w:sz w:val="17"/>
          <w:lang w:val="uk-UA"/>
        </w:rPr>
        <w:t>Чутливість</w:t>
      </w:r>
      <w:r w:rsidRPr="003C6DAE">
        <w:rPr>
          <w:rFonts w:ascii="Trebuchet MS"/>
          <w:color w:val="333333"/>
          <w:spacing w:val="21"/>
          <w:sz w:val="17"/>
          <w:lang w:val="uk-UA"/>
        </w:rPr>
        <w:t xml:space="preserve"> </w:t>
      </w:r>
      <w:r w:rsidRPr="003C6DAE">
        <w:rPr>
          <w:rFonts w:ascii="Trebuchet MS"/>
          <w:color w:val="333333"/>
          <w:w w:val="80"/>
          <w:sz w:val="17"/>
          <w:lang w:val="uk-UA"/>
        </w:rPr>
        <w:t>(95%</w:t>
      </w:r>
      <w:r w:rsidRPr="003C6DAE">
        <w:rPr>
          <w:rFonts w:ascii="Trebuchet MS"/>
          <w:color w:val="333333"/>
          <w:spacing w:val="25"/>
          <w:sz w:val="17"/>
          <w:lang w:val="uk-UA"/>
        </w:rPr>
        <w:t xml:space="preserve"> </w:t>
      </w:r>
      <w:r w:rsidR="00F85740" w:rsidRPr="003C6DAE">
        <w:rPr>
          <w:rFonts w:ascii="Trebuchet MS"/>
          <w:color w:val="333333"/>
          <w:w w:val="80"/>
          <w:sz w:val="17"/>
          <w:lang w:val="uk-UA"/>
        </w:rPr>
        <w:t>ДІ</w:t>
      </w:r>
      <w:r w:rsidRPr="003C6DAE">
        <w:rPr>
          <w:rFonts w:ascii="Trebuchet MS"/>
          <w:color w:val="333333"/>
          <w:spacing w:val="-5"/>
          <w:w w:val="80"/>
          <w:sz w:val="17"/>
          <w:lang w:val="uk-UA"/>
        </w:rPr>
        <w:t>)</w:t>
      </w:r>
    </w:p>
    <w:p w14:paraId="10C39134" w14:textId="77777777" w:rsidR="00E05B98" w:rsidRPr="003C6DAE" w:rsidRDefault="00B01E0C">
      <w:pPr>
        <w:spacing w:before="66"/>
        <w:ind w:left="344"/>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[0.16,</w:t>
      </w:r>
      <w:r w:rsidRPr="003C6DAE">
        <w:rPr>
          <w:rFonts w:ascii="Trebuchet MS"/>
          <w:spacing w:val="14"/>
          <w:sz w:val="17"/>
          <w:lang w:val="uk-UA"/>
        </w:rPr>
        <w:t xml:space="preserve"> </w:t>
      </w:r>
      <w:r w:rsidRPr="003C6DAE">
        <w:rPr>
          <w:rFonts w:ascii="Trebuchet MS"/>
          <w:spacing w:val="-2"/>
          <w:w w:val="75"/>
          <w:sz w:val="17"/>
          <w:lang w:val="uk-UA"/>
        </w:rPr>
        <w:t>1.00]</w:t>
      </w:r>
    </w:p>
    <w:p w14:paraId="39A627EC" w14:textId="77777777" w:rsidR="00E05B98" w:rsidRPr="003C6DAE" w:rsidRDefault="00B01E0C">
      <w:pPr>
        <w:spacing w:before="35"/>
        <w:ind w:left="344"/>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[0.03,</w:t>
      </w:r>
      <w:r w:rsidRPr="003C6DAE">
        <w:rPr>
          <w:rFonts w:ascii="Trebuchet MS"/>
          <w:spacing w:val="14"/>
          <w:sz w:val="17"/>
          <w:lang w:val="uk-UA"/>
        </w:rPr>
        <w:t xml:space="preserve"> </w:t>
      </w:r>
      <w:r w:rsidRPr="003C6DAE">
        <w:rPr>
          <w:rFonts w:ascii="Trebuchet MS"/>
          <w:spacing w:val="-2"/>
          <w:w w:val="75"/>
          <w:sz w:val="17"/>
          <w:lang w:val="uk-UA"/>
        </w:rPr>
        <w:t>1.00]</w:t>
      </w:r>
    </w:p>
    <w:p w14:paraId="36564CC5" w14:textId="77777777" w:rsidR="00E05B98" w:rsidRPr="003C6DAE" w:rsidRDefault="00B01E0C">
      <w:pPr>
        <w:spacing w:before="35"/>
        <w:ind w:left="344"/>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[0.03,</w:t>
      </w:r>
      <w:r w:rsidRPr="003C6DAE">
        <w:rPr>
          <w:rFonts w:ascii="Trebuchet MS"/>
          <w:spacing w:val="14"/>
          <w:sz w:val="17"/>
          <w:lang w:val="uk-UA"/>
        </w:rPr>
        <w:t xml:space="preserve"> </w:t>
      </w:r>
      <w:r w:rsidRPr="003C6DAE">
        <w:rPr>
          <w:rFonts w:ascii="Trebuchet MS"/>
          <w:spacing w:val="-2"/>
          <w:w w:val="75"/>
          <w:sz w:val="17"/>
          <w:lang w:val="uk-UA"/>
        </w:rPr>
        <w:t>1.00]</w:t>
      </w:r>
    </w:p>
    <w:p w14:paraId="27CBF8B6" w14:textId="6F0099FC" w:rsidR="00E05B98" w:rsidRPr="003C6DAE" w:rsidRDefault="00F85740" w:rsidP="00F85740">
      <w:pPr>
        <w:spacing w:before="35"/>
        <w:ind w:left="284"/>
        <w:rPr>
          <w:rFonts w:ascii="Trebuchet MS"/>
          <w:sz w:val="16"/>
          <w:szCs w:val="16"/>
          <w:lang w:val="uk-UA"/>
        </w:rPr>
      </w:pPr>
      <w:r w:rsidRPr="003C6DAE">
        <w:rPr>
          <w:rFonts w:ascii="Trebuchet MS"/>
          <w:w w:val="80"/>
          <w:sz w:val="16"/>
          <w:szCs w:val="16"/>
          <w:lang w:val="uk-UA"/>
        </w:rPr>
        <w:t>Не</w:t>
      </w:r>
      <w:r w:rsidRPr="003C6DAE">
        <w:rPr>
          <w:rFonts w:ascii="Trebuchet MS"/>
          <w:w w:val="80"/>
          <w:sz w:val="16"/>
          <w:szCs w:val="16"/>
          <w:lang w:val="uk-UA"/>
        </w:rPr>
        <w:t xml:space="preserve"> </w:t>
      </w:r>
      <w:r w:rsidRPr="003C6DAE">
        <w:rPr>
          <w:rFonts w:ascii="Trebuchet MS"/>
          <w:w w:val="80"/>
          <w:sz w:val="16"/>
          <w:szCs w:val="16"/>
          <w:lang w:val="uk-UA"/>
        </w:rPr>
        <w:t>підлягає</w:t>
      </w:r>
      <w:r w:rsidRPr="003C6DAE">
        <w:rPr>
          <w:rFonts w:ascii="Trebuchet MS"/>
          <w:w w:val="80"/>
          <w:sz w:val="16"/>
          <w:szCs w:val="16"/>
          <w:lang w:val="uk-UA"/>
        </w:rPr>
        <w:t xml:space="preserve"> </w:t>
      </w:r>
      <w:r w:rsidRPr="003C6DAE">
        <w:rPr>
          <w:rFonts w:ascii="Trebuchet MS"/>
          <w:w w:val="80"/>
          <w:sz w:val="16"/>
          <w:szCs w:val="16"/>
          <w:lang w:val="uk-UA"/>
        </w:rPr>
        <w:t>оцінці</w:t>
      </w:r>
    </w:p>
    <w:p w14:paraId="57111B1C" w14:textId="77777777" w:rsidR="00E05B98" w:rsidRPr="003C6DAE" w:rsidRDefault="00B01E0C">
      <w:pPr>
        <w:spacing w:before="35"/>
        <w:ind w:left="344"/>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[0.03,</w:t>
      </w:r>
      <w:r w:rsidRPr="003C6DAE">
        <w:rPr>
          <w:rFonts w:ascii="Trebuchet MS"/>
          <w:spacing w:val="14"/>
          <w:sz w:val="17"/>
          <w:lang w:val="uk-UA"/>
        </w:rPr>
        <w:t xml:space="preserve"> </w:t>
      </w:r>
      <w:r w:rsidRPr="003C6DAE">
        <w:rPr>
          <w:rFonts w:ascii="Trebuchet MS"/>
          <w:spacing w:val="-2"/>
          <w:w w:val="75"/>
          <w:sz w:val="17"/>
          <w:lang w:val="uk-UA"/>
        </w:rPr>
        <w:t>1.00]</w:t>
      </w:r>
    </w:p>
    <w:p w14:paraId="4649D577" w14:textId="77777777" w:rsidR="00E05B98" w:rsidRPr="003C6DAE" w:rsidRDefault="00B01E0C">
      <w:pPr>
        <w:spacing w:before="35"/>
        <w:ind w:left="344"/>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[0.03,</w:t>
      </w:r>
      <w:r w:rsidRPr="003C6DAE">
        <w:rPr>
          <w:rFonts w:ascii="Trebuchet MS"/>
          <w:spacing w:val="14"/>
          <w:sz w:val="17"/>
          <w:lang w:val="uk-UA"/>
        </w:rPr>
        <w:t xml:space="preserve"> </w:t>
      </w:r>
      <w:r w:rsidRPr="003C6DAE">
        <w:rPr>
          <w:rFonts w:ascii="Trebuchet MS"/>
          <w:spacing w:val="-2"/>
          <w:w w:val="75"/>
          <w:sz w:val="17"/>
          <w:lang w:val="uk-UA"/>
        </w:rPr>
        <w:t>1.00]</w:t>
      </w:r>
    </w:p>
    <w:p w14:paraId="198F1D56" w14:textId="77777777" w:rsidR="00E05B98" w:rsidRPr="003C6DAE" w:rsidRDefault="00B01E0C">
      <w:pPr>
        <w:spacing w:before="35"/>
        <w:ind w:left="344"/>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[0.63,</w:t>
      </w:r>
      <w:r w:rsidRPr="003C6DAE">
        <w:rPr>
          <w:rFonts w:ascii="Trebuchet MS"/>
          <w:spacing w:val="14"/>
          <w:sz w:val="17"/>
          <w:lang w:val="uk-UA"/>
        </w:rPr>
        <w:t xml:space="preserve"> </w:t>
      </w:r>
      <w:r w:rsidRPr="003C6DAE">
        <w:rPr>
          <w:rFonts w:ascii="Trebuchet MS"/>
          <w:spacing w:val="-2"/>
          <w:w w:val="75"/>
          <w:sz w:val="17"/>
          <w:lang w:val="uk-UA"/>
        </w:rPr>
        <w:t>1.00]</w:t>
      </w:r>
    </w:p>
    <w:p w14:paraId="22651D53" w14:textId="77777777" w:rsidR="00E05B98" w:rsidRPr="003C6DAE" w:rsidRDefault="00B01E0C">
      <w:pPr>
        <w:spacing w:before="35"/>
        <w:ind w:left="344"/>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[0.72,</w:t>
      </w:r>
      <w:r w:rsidRPr="003C6DAE">
        <w:rPr>
          <w:rFonts w:ascii="Trebuchet MS"/>
          <w:spacing w:val="14"/>
          <w:sz w:val="17"/>
          <w:lang w:val="uk-UA"/>
        </w:rPr>
        <w:t xml:space="preserve"> </w:t>
      </w:r>
      <w:r w:rsidRPr="003C6DAE">
        <w:rPr>
          <w:rFonts w:ascii="Trebuchet MS"/>
          <w:spacing w:val="-2"/>
          <w:w w:val="75"/>
          <w:sz w:val="17"/>
          <w:lang w:val="uk-UA"/>
        </w:rPr>
        <w:t>1.00]</w:t>
      </w:r>
    </w:p>
    <w:p w14:paraId="1C22ABA8" w14:textId="77777777" w:rsidR="00E05B98" w:rsidRPr="003C6DAE" w:rsidRDefault="00B01E0C">
      <w:pPr>
        <w:spacing w:before="36"/>
        <w:ind w:left="344"/>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[0.16,</w:t>
      </w:r>
      <w:r w:rsidRPr="003C6DAE">
        <w:rPr>
          <w:rFonts w:ascii="Trebuchet MS"/>
          <w:spacing w:val="14"/>
          <w:sz w:val="17"/>
          <w:lang w:val="uk-UA"/>
        </w:rPr>
        <w:t xml:space="preserve"> </w:t>
      </w:r>
      <w:r w:rsidRPr="003C6DAE">
        <w:rPr>
          <w:rFonts w:ascii="Trebuchet MS"/>
          <w:spacing w:val="-2"/>
          <w:w w:val="75"/>
          <w:sz w:val="17"/>
          <w:lang w:val="uk-UA"/>
        </w:rPr>
        <w:t>1.00]</w:t>
      </w:r>
    </w:p>
    <w:p w14:paraId="79200FD7" w14:textId="730A60BD" w:rsidR="00E05B98" w:rsidRPr="003C6DAE" w:rsidRDefault="00F85740" w:rsidP="00F85740">
      <w:pPr>
        <w:spacing w:before="35"/>
        <w:ind w:left="284"/>
        <w:rPr>
          <w:rFonts w:ascii="Trebuchet MS"/>
          <w:sz w:val="17"/>
          <w:lang w:val="uk-UA"/>
        </w:rPr>
      </w:pPr>
      <w:r w:rsidRPr="003C6DAE">
        <w:rPr>
          <w:rFonts w:ascii="Trebuchet MS"/>
          <w:w w:val="80"/>
          <w:sz w:val="16"/>
          <w:szCs w:val="16"/>
          <w:lang w:val="uk-UA"/>
        </w:rPr>
        <w:t>Не</w:t>
      </w:r>
      <w:r w:rsidRPr="003C6DAE">
        <w:rPr>
          <w:rFonts w:ascii="Trebuchet MS"/>
          <w:w w:val="80"/>
          <w:sz w:val="16"/>
          <w:szCs w:val="16"/>
          <w:lang w:val="uk-UA"/>
        </w:rPr>
        <w:t xml:space="preserve"> </w:t>
      </w:r>
      <w:r w:rsidRPr="003C6DAE">
        <w:rPr>
          <w:rFonts w:ascii="Trebuchet MS"/>
          <w:w w:val="80"/>
          <w:sz w:val="16"/>
          <w:szCs w:val="16"/>
          <w:lang w:val="uk-UA"/>
        </w:rPr>
        <w:t>підлягає</w:t>
      </w:r>
      <w:r w:rsidRPr="003C6DAE">
        <w:rPr>
          <w:rFonts w:ascii="Trebuchet MS"/>
          <w:w w:val="80"/>
          <w:sz w:val="16"/>
          <w:szCs w:val="16"/>
          <w:lang w:val="uk-UA"/>
        </w:rPr>
        <w:t xml:space="preserve"> </w:t>
      </w:r>
      <w:r w:rsidRPr="003C6DAE">
        <w:rPr>
          <w:rFonts w:ascii="Trebuchet MS"/>
          <w:w w:val="80"/>
          <w:sz w:val="16"/>
          <w:szCs w:val="16"/>
          <w:lang w:val="uk-UA"/>
        </w:rPr>
        <w:t>оцінці</w:t>
      </w:r>
    </w:p>
    <w:p w14:paraId="5E0C93B4" w14:textId="77777777" w:rsidR="00E05B98" w:rsidRPr="003C6DAE" w:rsidRDefault="00B01E0C">
      <w:pPr>
        <w:spacing w:before="35"/>
        <w:ind w:left="344"/>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[0.66,</w:t>
      </w:r>
      <w:r w:rsidRPr="003C6DAE">
        <w:rPr>
          <w:rFonts w:ascii="Trebuchet MS"/>
          <w:spacing w:val="14"/>
          <w:sz w:val="17"/>
          <w:lang w:val="uk-UA"/>
        </w:rPr>
        <w:t xml:space="preserve"> </w:t>
      </w:r>
      <w:r w:rsidRPr="003C6DAE">
        <w:rPr>
          <w:rFonts w:ascii="Trebuchet MS"/>
          <w:spacing w:val="-2"/>
          <w:w w:val="75"/>
          <w:sz w:val="17"/>
          <w:lang w:val="uk-UA"/>
        </w:rPr>
        <w:t>1.00]</w:t>
      </w:r>
    </w:p>
    <w:p w14:paraId="238B501C" w14:textId="77777777" w:rsidR="00E05B98" w:rsidRPr="003C6DAE" w:rsidRDefault="00B01E0C">
      <w:pPr>
        <w:spacing w:before="35"/>
        <w:ind w:left="344"/>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[0.54,</w:t>
      </w:r>
      <w:r w:rsidRPr="003C6DAE">
        <w:rPr>
          <w:rFonts w:ascii="Trebuchet MS"/>
          <w:spacing w:val="14"/>
          <w:sz w:val="17"/>
          <w:lang w:val="uk-UA"/>
        </w:rPr>
        <w:t xml:space="preserve"> </w:t>
      </w:r>
      <w:r w:rsidRPr="003C6DAE">
        <w:rPr>
          <w:rFonts w:ascii="Trebuchet MS"/>
          <w:spacing w:val="-2"/>
          <w:w w:val="75"/>
          <w:sz w:val="17"/>
          <w:lang w:val="uk-UA"/>
        </w:rPr>
        <w:t>1.00]</w:t>
      </w:r>
    </w:p>
    <w:p w14:paraId="328D1558" w14:textId="77777777" w:rsidR="00E05B98" w:rsidRPr="003C6DAE" w:rsidRDefault="00B01E0C">
      <w:pPr>
        <w:spacing w:before="35"/>
        <w:ind w:left="344"/>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[0.48,</w:t>
      </w:r>
      <w:r w:rsidRPr="003C6DAE">
        <w:rPr>
          <w:rFonts w:ascii="Trebuchet MS"/>
          <w:spacing w:val="14"/>
          <w:sz w:val="17"/>
          <w:lang w:val="uk-UA"/>
        </w:rPr>
        <w:t xml:space="preserve"> </w:t>
      </w:r>
      <w:r w:rsidRPr="003C6DAE">
        <w:rPr>
          <w:rFonts w:ascii="Trebuchet MS"/>
          <w:spacing w:val="-2"/>
          <w:w w:val="75"/>
          <w:sz w:val="17"/>
          <w:lang w:val="uk-UA"/>
        </w:rPr>
        <w:t>1.00]</w:t>
      </w:r>
    </w:p>
    <w:p w14:paraId="69789C45" w14:textId="77777777" w:rsidR="00E05B98" w:rsidRPr="003C6DAE" w:rsidRDefault="00B01E0C">
      <w:pPr>
        <w:spacing w:before="35"/>
        <w:ind w:left="344"/>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[0.40,</w:t>
      </w:r>
      <w:r w:rsidRPr="003C6DAE">
        <w:rPr>
          <w:rFonts w:ascii="Trebuchet MS"/>
          <w:spacing w:val="14"/>
          <w:sz w:val="17"/>
          <w:lang w:val="uk-UA"/>
        </w:rPr>
        <w:t xml:space="preserve"> </w:t>
      </w:r>
      <w:r w:rsidRPr="003C6DAE">
        <w:rPr>
          <w:rFonts w:ascii="Trebuchet MS"/>
          <w:spacing w:val="-2"/>
          <w:w w:val="75"/>
          <w:sz w:val="17"/>
          <w:lang w:val="uk-UA"/>
        </w:rPr>
        <w:t>1.00]</w:t>
      </w:r>
    </w:p>
    <w:p w14:paraId="530FF1F6" w14:textId="5FA3B4B4" w:rsidR="00E05B98" w:rsidRPr="003C6DAE" w:rsidRDefault="00F85740">
      <w:pPr>
        <w:spacing w:before="35"/>
        <w:ind w:right="52"/>
        <w:jc w:val="right"/>
        <w:rPr>
          <w:rFonts w:ascii="Trebuchet MS"/>
          <w:sz w:val="17"/>
          <w:lang w:val="uk-UA"/>
        </w:rPr>
      </w:pPr>
      <w:r w:rsidRPr="003C6DAE">
        <w:rPr>
          <w:rFonts w:ascii="Trebuchet MS"/>
          <w:w w:val="80"/>
          <w:sz w:val="16"/>
          <w:szCs w:val="16"/>
          <w:lang w:val="uk-UA"/>
        </w:rPr>
        <w:t>Не</w:t>
      </w:r>
      <w:r w:rsidRPr="003C6DAE">
        <w:rPr>
          <w:rFonts w:ascii="Trebuchet MS"/>
          <w:w w:val="80"/>
          <w:sz w:val="16"/>
          <w:szCs w:val="16"/>
          <w:lang w:val="uk-UA"/>
        </w:rPr>
        <w:t xml:space="preserve"> </w:t>
      </w:r>
      <w:r w:rsidRPr="003C6DAE">
        <w:rPr>
          <w:rFonts w:ascii="Trebuchet MS"/>
          <w:w w:val="80"/>
          <w:sz w:val="16"/>
          <w:szCs w:val="16"/>
          <w:lang w:val="uk-UA"/>
        </w:rPr>
        <w:t>підлягає</w:t>
      </w:r>
      <w:r w:rsidRPr="003C6DAE">
        <w:rPr>
          <w:rFonts w:ascii="Trebuchet MS"/>
          <w:w w:val="80"/>
          <w:sz w:val="16"/>
          <w:szCs w:val="16"/>
          <w:lang w:val="uk-UA"/>
        </w:rPr>
        <w:t xml:space="preserve"> </w:t>
      </w:r>
      <w:r w:rsidRPr="003C6DAE">
        <w:rPr>
          <w:rFonts w:ascii="Trebuchet MS"/>
          <w:w w:val="80"/>
          <w:sz w:val="16"/>
          <w:szCs w:val="16"/>
          <w:lang w:val="uk-UA"/>
        </w:rPr>
        <w:t>оцінці</w:t>
      </w:r>
    </w:p>
    <w:p w14:paraId="25C23D9D" w14:textId="77777777" w:rsidR="00E05B98" w:rsidRPr="003C6DAE" w:rsidRDefault="00B01E0C">
      <w:pPr>
        <w:spacing w:before="36"/>
        <w:ind w:right="39"/>
        <w:jc w:val="right"/>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[0.29,</w:t>
      </w:r>
      <w:r w:rsidRPr="003C6DAE">
        <w:rPr>
          <w:rFonts w:ascii="Trebuchet MS"/>
          <w:spacing w:val="14"/>
          <w:sz w:val="17"/>
          <w:lang w:val="uk-UA"/>
        </w:rPr>
        <w:t xml:space="preserve"> </w:t>
      </w:r>
      <w:r w:rsidRPr="003C6DAE">
        <w:rPr>
          <w:rFonts w:ascii="Trebuchet MS"/>
          <w:spacing w:val="-2"/>
          <w:w w:val="75"/>
          <w:sz w:val="17"/>
          <w:lang w:val="uk-UA"/>
        </w:rPr>
        <w:t>1.00]</w:t>
      </w:r>
    </w:p>
    <w:p w14:paraId="27C2824F" w14:textId="1A406F70" w:rsidR="00E05B98" w:rsidRPr="003C6DAE" w:rsidRDefault="00B01E0C" w:rsidP="00F85740">
      <w:pPr>
        <w:spacing w:before="107"/>
        <w:ind w:right="-158"/>
        <w:rPr>
          <w:rFonts w:ascii="Trebuchet MS"/>
          <w:sz w:val="17"/>
          <w:lang w:val="uk-UA"/>
        </w:rPr>
      </w:pPr>
      <w:r w:rsidRPr="003C6DAE">
        <w:rPr>
          <w:lang w:val="uk-UA"/>
        </w:rPr>
        <w:br w:type="column"/>
      </w:r>
      <w:r w:rsidR="00F85740" w:rsidRPr="003C6DAE">
        <w:rPr>
          <w:rFonts w:ascii="Trebuchet MS"/>
          <w:color w:val="333333"/>
          <w:w w:val="80"/>
          <w:sz w:val="17"/>
          <w:lang w:val="uk-UA"/>
        </w:rPr>
        <w:t>Специфічність</w:t>
      </w:r>
      <w:r w:rsidRPr="003C6DAE">
        <w:rPr>
          <w:rFonts w:ascii="Trebuchet MS"/>
          <w:color w:val="333333"/>
          <w:w w:val="80"/>
          <w:sz w:val="17"/>
          <w:lang w:val="uk-UA"/>
        </w:rPr>
        <w:t>(95%</w:t>
      </w:r>
      <w:r w:rsidRPr="003C6DAE">
        <w:rPr>
          <w:rFonts w:ascii="Trebuchet MS"/>
          <w:color w:val="333333"/>
          <w:spacing w:val="18"/>
          <w:sz w:val="17"/>
          <w:lang w:val="uk-UA"/>
        </w:rPr>
        <w:t xml:space="preserve"> </w:t>
      </w:r>
      <w:r w:rsidR="00F85740" w:rsidRPr="003C6DAE">
        <w:rPr>
          <w:rFonts w:ascii="Trebuchet MS"/>
          <w:color w:val="333333"/>
          <w:spacing w:val="-14"/>
          <w:w w:val="80"/>
          <w:sz w:val="17"/>
          <w:lang w:val="uk-UA"/>
        </w:rPr>
        <w:t>ДІ</w:t>
      </w:r>
      <w:r w:rsidRPr="003C6DAE">
        <w:rPr>
          <w:rFonts w:ascii="Trebuchet MS"/>
          <w:color w:val="333333"/>
          <w:spacing w:val="-5"/>
          <w:w w:val="80"/>
          <w:sz w:val="17"/>
          <w:lang w:val="uk-UA"/>
        </w:rPr>
        <w:t>)</w:t>
      </w:r>
    </w:p>
    <w:p w14:paraId="6C0DD51B" w14:textId="77777777" w:rsidR="00E05B98" w:rsidRPr="003C6DAE" w:rsidRDefault="00B01E0C">
      <w:pPr>
        <w:spacing w:before="66"/>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[0.40,</w:t>
      </w:r>
      <w:r w:rsidRPr="003C6DAE">
        <w:rPr>
          <w:rFonts w:ascii="Trebuchet MS"/>
          <w:spacing w:val="14"/>
          <w:sz w:val="17"/>
          <w:lang w:val="uk-UA"/>
        </w:rPr>
        <w:t xml:space="preserve"> </w:t>
      </w:r>
      <w:r w:rsidRPr="003C6DAE">
        <w:rPr>
          <w:rFonts w:ascii="Trebuchet MS"/>
          <w:spacing w:val="-2"/>
          <w:w w:val="75"/>
          <w:sz w:val="17"/>
          <w:lang w:val="uk-UA"/>
        </w:rPr>
        <w:t>1.00]</w:t>
      </w:r>
    </w:p>
    <w:p w14:paraId="69B566CA" w14:textId="77777777" w:rsidR="00E05B98" w:rsidRPr="003C6DAE" w:rsidRDefault="00B01E0C">
      <w:pPr>
        <w:spacing w:before="35"/>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[0.48,</w:t>
      </w:r>
      <w:r w:rsidRPr="003C6DAE">
        <w:rPr>
          <w:rFonts w:ascii="Trebuchet MS"/>
          <w:spacing w:val="14"/>
          <w:sz w:val="17"/>
          <w:lang w:val="uk-UA"/>
        </w:rPr>
        <w:t xml:space="preserve"> </w:t>
      </w:r>
      <w:r w:rsidRPr="003C6DAE">
        <w:rPr>
          <w:rFonts w:ascii="Trebuchet MS"/>
          <w:spacing w:val="-2"/>
          <w:w w:val="75"/>
          <w:sz w:val="17"/>
          <w:lang w:val="uk-UA"/>
        </w:rPr>
        <w:t>1.00]</w:t>
      </w:r>
    </w:p>
    <w:p w14:paraId="6F35487E" w14:textId="77777777" w:rsidR="00E05B98" w:rsidRPr="003C6DAE" w:rsidRDefault="00B01E0C">
      <w:pPr>
        <w:spacing w:before="35"/>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[0.54,</w:t>
      </w:r>
      <w:r w:rsidRPr="003C6DAE">
        <w:rPr>
          <w:rFonts w:ascii="Trebuchet MS"/>
          <w:spacing w:val="14"/>
          <w:sz w:val="17"/>
          <w:lang w:val="uk-UA"/>
        </w:rPr>
        <w:t xml:space="preserve"> </w:t>
      </w:r>
      <w:r w:rsidRPr="003C6DAE">
        <w:rPr>
          <w:rFonts w:ascii="Trebuchet MS"/>
          <w:spacing w:val="-2"/>
          <w:w w:val="75"/>
          <w:sz w:val="17"/>
          <w:lang w:val="uk-UA"/>
        </w:rPr>
        <w:t>1.00]</w:t>
      </w:r>
    </w:p>
    <w:p w14:paraId="6A2B064D" w14:textId="77777777" w:rsidR="00E05B98" w:rsidRPr="003C6DAE" w:rsidRDefault="00B01E0C">
      <w:pPr>
        <w:spacing w:before="35"/>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[0.90,</w:t>
      </w:r>
      <w:r w:rsidRPr="003C6DAE">
        <w:rPr>
          <w:rFonts w:ascii="Trebuchet MS"/>
          <w:spacing w:val="14"/>
          <w:sz w:val="17"/>
          <w:lang w:val="uk-UA"/>
        </w:rPr>
        <w:t xml:space="preserve"> </w:t>
      </w:r>
      <w:r w:rsidRPr="003C6DAE">
        <w:rPr>
          <w:rFonts w:ascii="Trebuchet MS"/>
          <w:spacing w:val="-2"/>
          <w:w w:val="75"/>
          <w:sz w:val="17"/>
          <w:lang w:val="uk-UA"/>
        </w:rPr>
        <w:t>1.00]</w:t>
      </w:r>
    </w:p>
    <w:p w14:paraId="0F9DB3FB" w14:textId="77777777" w:rsidR="00E05B98" w:rsidRPr="003C6DAE" w:rsidRDefault="00B01E0C">
      <w:pPr>
        <w:spacing w:before="35"/>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[0.63,</w:t>
      </w:r>
      <w:r w:rsidRPr="003C6DAE">
        <w:rPr>
          <w:rFonts w:ascii="Trebuchet MS"/>
          <w:spacing w:val="14"/>
          <w:sz w:val="17"/>
          <w:lang w:val="uk-UA"/>
        </w:rPr>
        <w:t xml:space="preserve"> </w:t>
      </w:r>
      <w:r w:rsidRPr="003C6DAE">
        <w:rPr>
          <w:rFonts w:ascii="Trebuchet MS"/>
          <w:spacing w:val="-2"/>
          <w:w w:val="75"/>
          <w:sz w:val="17"/>
          <w:lang w:val="uk-UA"/>
        </w:rPr>
        <w:t>1.00]</w:t>
      </w:r>
    </w:p>
    <w:p w14:paraId="300E6F43" w14:textId="77777777" w:rsidR="00E05B98" w:rsidRPr="003C6DAE" w:rsidRDefault="00B01E0C">
      <w:pPr>
        <w:spacing w:before="35"/>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[0.87,</w:t>
      </w:r>
      <w:r w:rsidRPr="003C6DAE">
        <w:rPr>
          <w:rFonts w:ascii="Trebuchet MS"/>
          <w:spacing w:val="14"/>
          <w:sz w:val="17"/>
          <w:lang w:val="uk-UA"/>
        </w:rPr>
        <w:t xml:space="preserve"> </w:t>
      </w:r>
      <w:r w:rsidRPr="003C6DAE">
        <w:rPr>
          <w:rFonts w:ascii="Trebuchet MS"/>
          <w:spacing w:val="-2"/>
          <w:w w:val="75"/>
          <w:sz w:val="17"/>
          <w:lang w:val="uk-UA"/>
        </w:rPr>
        <w:t>1.00]</w:t>
      </w:r>
    </w:p>
    <w:p w14:paraId="34CF3754" w14:textId="77777777" w:rsidR="00E05B98" w:rsidRPr="003C6DAE" w:rsidRDefault="00B01E0C">
      <w:pPr>
        <w:spacing w:before="35"/>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[0.91,</w:t>
      </w:r>
      <w:r w:rsidRPr="003C6DAE">
        <w:rPr>
          <w:rFonts w:ascii="Trebuchet MS"/>
          <w:spacing w:val="14"/>
          <w:sz w:val="17"/>
          <w:lang w:val="uk-UA"/>
        </w:rPr>
        <w:t xml:space="preserve"> </w:t>
      </w:r>
      <w:r w:rsidRPr="003C6DAE">
        <w:rPr>
          <w:rFonts w:ascii="Trebuchet MS"/>
          <w:spacing w:val="-2"/>
          <w:w w:val="75"/>
          <w:sz w:val="17"/>
          <w:lang w:val="uk-UA"/>
        </w:rPr>
        <w:t>1.00]</w:t>
      </w:r>
    </w:p>
    <w:p w14:paraId="0C8A7121" w14:textId="77777777" w:rsidR="00E05B98" w:rsidRPr="003C6DAE" w:rsidRDefault="00B01E0C">
      <w:pPr>
        <w:spacing w:before="35"/>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[0.86,</w:t>
      </w:r>
      <w:r w:rsidRPr="003C6DAE">
        <w:rPr>
          <w:rFonts w:ascii="Trebuchet MS"/>
          <w:spacing w:val="14"/>
          <w:sz w:val="17"/>
          <w:lang w:val="uk-UA"/>
        </w:rPr>
        <w:t xml:space="preserve"> </w:t>
      </w:r>
      <w:r w:rsidRPr="003C6DAE">
        <w:rPr>
          <w:rFonts w:ascii="Trebuchet MS"/>
          <w:spacing w:val="-2"/>
          <w:w w:val="75"/>
          <w:sz w:val="17"/>
          <w:lang w:val="uk-UA"/>
        </w:rPr>
        <w:t>1.00]</w:t>
      </w:r>
    </w:p>
    <w:p w14:paraId="3622A9C6" w14:textId="77777777" w:rsidR="00E05B98" w:rsidRPr="003C6DAE" w:rsidRDefault="00B01E0C">
      <w:pPr>
        <w:spacing w:before="36"/>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[0.77,</w:t>
      </w:r>
      <w:r w:rsidRPr="003C6DAE">
        <w:rPr>
          <w:rFonts w:ascii="Trebuchet MS"/>
          <w:spacing w:val="14"/>
          <w:sz w:val="17"/>
          <w:lang w:val="uk-UA"/>
        </w:rPr>
        <w:t xml:space="preserve"> </w:t>
      </w:r>
      <w:r w:rsidRPr="003C6DAE">
        <w:rPr>
          <w:rFonts w:ascii="Trebuchet MS"/>
          <w:spacing w:val="-2"/>
          <w:w w:val="75"/>
          <w:sz w:val="17"/>
          <w:lang w:val="uk-UA"/>
        </w:rPr>
        <w:t>1.00]</w:t>
      </w:r>
    </w:p>
    <w:p w14:paraId="6AD7DFE7" w14:textId="77777777" w:rsidR="00E05B98" w:rsidRPr="003C6DAE" w:rsidRDefault="00B01E0C">
      <w:pPr>
        <w:spacing w:before="35"/>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[0.72,</w:t>
      </w:r>
      <w:r w:rsidRPr="003C6DAE">
        <w:rPr>
          <w:rFonts w:ascii="Trebuchet MS"/>
          <w:spacing w:val="14"/>
          <w:sz w:val="17"/>
          <w:lang w:val="uk-UA"/>
        </w:rPr>
        <w:t xml:space="preserve"> </w:t>
      </w:r>
      <w:r w:rsidRPr="003C6DAE">
        <w:rPr>
          <w:rFonts w:ascii="Trebuchet MS"/>
          <w:spacing w:val="-2"/>
          <w:w w:val="75"/>
          <w:sz w:val="17"/>
          <w:lang w:val="uk-UA"/>
        </w:rPr>
        <w:t>1.00]</w:t>
      </w:r>
    </w:p>
    <w:p w14:paraId="76B58BFD" w14:textId="77777777" w:rsidR="00E05B98" w:rsidRPr="003C6DAE" w:rsidRDefault="00B01E0C">
      <w:pPr>
        <w:spacing w:before="35"/>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[0.91,</w:t>
      </w:r>
      <w:r w:rsidRPr="003C6DAE">
        <w:rPr>
          <w:rFonts w:ascii="Trebuchet MS"/>
          <w:spacing w:val="14"/>
          <w:sz w:val="17"/>
          <w:lang w:val="uk-UA"/>
        </w:rPr>
        <w:t xml:space="preserve"> </w:t>
      </w:r>
      <w:r w:rsidRPr="003C6DAE">
        <w:rPr>
          <w:rFonts w:ascii="Trebuchet MS"/>
          <w:spacing w:val="-2"/>
          <w:w w:val="75"/>
          <w:sz w:val="17"/>
          <w:lang w:val="uk-UA"/>
        </w:rPr>
        <w:t>1.00]</w:t>
      </w:r>
    </w:p>
    <w:p w14:paraId="2DC8587B" w14:textId="77777777" w:rsidR="00E05B98" w:rsidRPr="003C6DAE" w:rsidRDefault="00B01E0C">
      <w:pPr>
        <w:spacing w:before="35"/>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[0.85,</w:t>
      </w:r>
      <w:r w:rsidRPr="003C6DAE">
        <w:rPr>
          <w:rFonts w:ascii="Trebuchet MS"/>
          <w:spacing w:val="14"/>
          <w:sz w:val="17"/>
          <w:lang w:val="uk-UA"/>
        </w:rPr>
        <w:t xml:space="preserve"> </w:t>
      </w:r>
      <w:r w:rsidRPr="003C6DAE">
        <w:rPr>
          <w:rFonts w:ascii="Trebuchet MS"/>
          <w:spacing w:val="-2"/>
          <w:w w:val="75"/>
          <w:sz w:val="17"/>
          <w:lang w:val="uk-UA"/>
        </w:rPr>
        <w:t>1.00]</w:t>
      </w:r>
    </w:p>
    <w:p w14:paraId="79F72BFD" w14:textId="77777777" w:rsidR="00E05B98" w:rsidRPr="003C6DAE" w:rsidRDefault="00B01E0C">
      <w:pPr>
        <w:spacing w:before="35"/>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[0.84,</w:t>
      </w:r>
      <w:r w:rsidRPr="003C6DAE">
        <w:rPr>
          <w:rFonts w:ascii="Trebuchet MS"/>
          <w:spacing w:val="14"/>
          <w:sz w:val="17"/>
          <w:lang w:val="uk-UA"/>
        </w:rPr>
        <w:t xml:space="preserve"> </w:t>
      </w:r>
      <w:r w:rsidRPr="003C6DAE">
        <w:rPr>
          <w:rFonts w:ascii="Trebuchet MS"/>
          <w:spacing w:val="-2"/>
          <w:w w:val="75"/>
          <w:sz w:val="17"/>
          <w:lang w:val="uk-UA"/>
        </w:rPr>
        <w:t>1.00]</w:t>
      </w:r>
    </w:p>
    <w:p w14:paraId="1A5F89CA" w14:textId="77777777" w:rsidR="00E05B98" w:rsidRPr="003C6DAE" w:rsidRDefault="00B01E0C">
      <w:pPr>
        <w:spacing w:before="35"/>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[0.85,</w:t>
      </w:r>
      <w:r w:rsidRPr="003C6DAE">
        <w:rPr>
          <w:rFonts w:ascii="Trebuchet MS"/>
          <w:spacing w:val="14"/>
          <w:sz w:val="17"/>
          <w:lang w:val="uk-UA"/>
        </w:rPr>
        <w:t xml:space="preserve"> </w:t>
      </w:r>
      <w:r w:rsidRPr="003C6DAE">
        <w:rPr>
          <w:rFonts w:ascii="Trebuchet MS"/>
          <w:spacing w:val="-2"/>
          <w:w w:val="75"/>
          <w:sz w:val="17"/>
          <w:lang w:val="uk-UA"/>
        </w:rPr>
        <w:t>1.00]</w:t>
      </w:r>
    </w:p>
    <w:p w14:paraId="5E35CE0B" w14:textId="77777777" w:rsidR="00E05B98" w:rsidRPr="003C6DAE" w:rsidRDefault="00B01E0C">
      <w:pPr>
        <w:spacing w:before="35"/>
        <w:ind w:left="319"/>
        <w:rPr>
          <w:rFonts w:ascii="Trebuchet MS"/>
          <w:sz w:val="17"/>
          <w:lang w:val="uk-UA"/>
        </w:rPr>
      </w:pPr>
      <w:r w:rsidRPr="003C6DAE">
        <w:rPr>
          <w:rFonts w:ascii="Trebuchet MS"/>
          <w:w w:val="75"/>
          <w:sz w:val="17"/>
          <w:lang w:val="uk-UA"/>
        </w:rPr>
        <w:t>1.00</w:t>
      </w:r>
      <w:r w:rsidRPr="003C6DAE">
        <w:rPr>
          <w:rFonts w:ascii="Trebuchet MS"/>
          <w:spacing w:val="7"/>
          <w:sz w:val="17"/>
          <w:lang w:val="uk-UA"/>
        </w:rPr>
        <w:t xml:space="preserve"> </w:t>
      </w:r>
      <w:r w:rsidRPr="003C6DAE">
        <w:rPr>
          <w:rFonts w:ascii="Trebuchet MS"/>
          <w:w w:val="75"/>
          <w:sz w:val="17"/>
          <w:lang w:val="uk-UA"/>
        </w:rPr>
        <w:t>[0.29,</w:t>
      </w:r>
      <w:r w:rsidRPr="003C6DAE">
        <w:rPr>
          <w:rFonts w:ascii="Trebuchet MS"/>
          <w:spacing w:val="14"/>
          <w:sz w:val="17"/>
          <w:lang w:val="uk-UA"/>
        </w:rPr>
        <w:t xml:space="preserve"> </w:t>
      </w:r>
      <w:r w:rsidRPr="003C6DAE">
        <w:rPr>
          <w:rFonts w:ascii="Trebuchet MS"/>
          <w:spacing w:val="-2"/>
          <w:w w:val="75"/>
          <w:sz w:val="17"/>
          <w:lang w:val="uk-UA"/>
        </w:rPr>
        <w:t>1.00]</w:t>
      </w:r>
    </w:p>
    <w:p w14:paraId="512E56A9" w14:textId="77777777" w:rsidR="00E05B98" w:rsidRPr="003C6DAE" w:rsidRDefault="00B01E0C">
      <w:pPr>
        <w:spacing w:before="36"/>
        <w:ind w:left="319"/>
        <w:rPr>
          <w:rFonts w:ascii="Trebuchet MS"/>
          <w:sz w:val="17"/>
          <w:lang w:val="uk-UA"/>
        </w:rPr>
      </w:pPr>
      <w:r w:rsidRPr="003C6DAE">
        <w:rPr>
          <w:rFonts w:ascii="Trebuchet MS"/>
          <w:w w:val="75"/>
          <w:sz w:val="17"/>
          <w:lang w:val="uk-UA"/>
        </w:rPr>
        <w:t>0.98</w:t>
      </w:r>
      <w:r w:rsidRPr="003C6DAE">
        <w:rPr>
          <w:rFonts w:ascii="Trebuchet MS"/>
          <w:spacing w:val="7"/>
          <w:sz w:val="17"/>
          <w:lang w:val="uk-UA"/>
        </w:rPr>
        <w:t xml:space="preserve"> </w:t>
      </w:r>
      <w:r w:rsidRPr="003C6DAE">
        <w:rPr>
          <w:rFonts w:ascii="Trebuchet MS"/>
          <w:w w:val="75"/>
          <w:sz w:val="17"/>
          <w:lang w:val="uk-UA"/>
        </w:rPr>
        <w:t>[0.95,</w:t>
      </w:r>
      <w:r w:rsidRPr="003C6DAE">
        <w:rPr>
          <w:rFonts w:ascii="Trebuchet MS"/>
          <w:spacing w:val="14"/>
          <w:sz w:val="17"/>
          <w:lang w:val="uk-UA"/>
        </w:rPr>
        <w:t xml:space="preserve"> </w:t>
      </w:r>
      <w:r w:rsidRPr="003C6DAE">
        <w:rPr>
          <w:rFonts w:ascii="Trebuchet MS"/>
          <w:spacing w:val="-2"/>
          <w:w w:val="75"/>
          <w:sz w:val="17"/>
          <w:lang w:val="uk-UA"/>
        </w:rPr>
        <w:t>1.00]</w:t>
      </w:r>
    </w:p>
    <w:p w14:paraId="79BF62FD" w14:textId="64FA0961" w:rsidR="00E05B98" w:rsidRPr="003C6DAE" w:rsidRDefault="00B01E0C">
      <w:pPr>
        <w:spacing w:before="107"/>
        <w:ind w:left="98"/>
        <w:rPr>
          <w:rFonts w:ascii="Trebuchet MS"/>
          <w:sz w:val="17"/>
          <w:lang w:val="uk-UA"/>
        </w:rPr>
      </w:pPr>
      <w:r w:rsidRPr="003C6DAE">
        <w:rPr>
          <w:lang w:val="uk-UA"/>
        </w:rPr>
        <w:br w:type="column"/>
      </w:r>
      <w:r w:rsidR="00937D10">
        <w:rPr>
          <w:lang w:val="uk-UA"/>
        </w:rPr>
        <w:t xml:space="preserve"> </w:t>
      </w:r>
      <w:r w:rsidR="00F85740" w:rsidRPr="003C6DAE">
        <w:rPr>
          <w:rFonts w:ascii="Trebuchet MS"/>
          <w:color w:val="333333"/>
          <w:w w:val="80"/>
          <w:sz w:val="17"/>
          <w:lang w:val="uk-UA"/>
        </w:rPr>
        <w:t>Чутливість</w:t>
      </w:r>
      <w:r w:rsidR="00F85740" w:rsidRPr="003C6DAE">
        <w:rPr>
          <w:rFonts w:ascii="Trebuchet MS"/>
          <w:color w:val="333333"/>
          <w:spacing w:val="21"/>
          <w:sz w:val="17"/>
          <w:lang w:val="uk-UA"/>
        </w:rPr>
        <w:t xml:space="preserve"> </w:t>
      </w:r>
      <w:r w:rsidR="00F85740" w:rsidRPr="003C6DAE">
        <w:rPr>
          <w:rFonts w:ascii="Trebuchet MS"/>
          <w:color w:val="333333"/>
          <w:w w:val="80"/>
          <w:sz w:val="17"/>
          <w:lang w:val="uk-UA"/>
        </w:rPr>
        <w:t>(95%</w:t>
      </w:r>
      <w:r w:rsidR="00F85740" w:rsidRPr="003C6DAE">
        <w:rPr>
          <w:rFonts w:ascii="Trebuchet MS"/>
          <w:color w:val="333333"/>
          <w:spacing w:val="25"/>
          <w:sz w:val="17"/>
          <w:lang w:val="uk-UA"/>
        </w:rPr>
        <w:t xml:space="preserve"> </w:t>
      </w:r>
      <w:r w:rsidR="00F85740" w:rsidRPr="003C6DAE">
        <w:rPr>
          <w:rFonts w:ascii="Trebuchet MS"/>
          <w:color w:val="333333"/>
          <w:w w:val="80"/>
          <w:sz w:val="17"/>
          <w:lang w:val="uk-UA"/>
        </w:rPr>
        <w:t>ДІ</w:t>
      </w:r>
      <w:r w:rsidR="00F85740" w:rsidRPr="003C6DAE">
        <w:rPr>
          <w:rFonts w:ascii="Trebuchet MS"/>
          <w:color w:val="333333"/>
          <w:spacing w:val="-5"/>
          <w:w w:val="80"/>
          <w:sz w:val="17"/>
          <w:lang w:val="uk-UA"/>
        </w:rPr>
        <w:t>)</w:t>
      </w:r>
    </w:p>
    <w:p w14:paraId="3E457CB2" w14:textId="77777777" w:rsidR="00E05B98" w:rsidRPr="003C6DAE" w:rsidRDefault="00E05B98">
      <w:pPr>
        <w:pStyle w:val="a3"/>
        <w:rPr>
          <w:rFonts w:ascii="Trebuchet MS"/>
          <w:sz w:val="17"/>
          <w:lang w:val="uk-UA"/>
        </w:rPr>
      </w:pPr>
    </w:p>
    <w:p w14:paraId="0ACD8B04" w14:textId="77777777" w:rsidR="00E05B98" w:rsidRPr="003C6DAE" w:rsidRDefault="00E05B98">
      <w:pPr>
        <w:pStyle w:val="a3"/>
        <w:rPr>
          <w:rFonts w:ascii="Trebuchet MS"/>
          <w:sz w:val="17"/>
          <w:lang w:val="uk-UA"/>
        </w:rPr>
      </w:pPr>
    </w:p>
    <w:p w14:paraId="0A5ABD79" w14:textId="77777777" w:rsidR="00E05B98" w:rsidRPr="003C6DAE" w:rsidRDefault="00E05B98">
      <w:pPr>
        <w:pStyle w:val="a3"/>
        <w:rPr>
          <w:rFonts w:ascii="Trebuchet MS"/>
          <w:sz w:val="17"/>
          <w:lang w:val="uk-UA"/>
        </w:rPr>
      </w:pPr>
    </w:p>
    <w:p w14:paraId="56237417" w14:textId="77777777" w:rsidR="00E05B98" w:rsidRPr="003C6DAE" w:rsidRDefault="00E05B98">
      <w:pPr>
        <w:pStyle w:val="a3"/>
        <w:rPr>
          <w:rFonts w:ascii="Trebuchet MS"/>
          <w:sz w:val="17"/>
          <w:lang w:val="uk-UA"/>
        </w:rPr>
      </w:pPr>
    </w:p>
    <w:p w14:paraId="29298BD8" w14:textId="77777777" w:rsidR="00E05B98" w:rsidRPr="003C6DAE" w:rsidRDefault="00E05B98">
      <w:pPr>
        <w:pStyle w:val="a3"/>
        <w:rPr>
          <w:rFonts w:ascii="Trebuchet MS"/>
          <w:sz w:val="17"/>
          <w:lang w:val="uk-UA"/>
        </w:rPr>
      </w:pPr>
    </w:p>
    <w:p w14:paraId="39E6B01E" w14:textId="77777777" w:rsidR="00E05B98" w:rsidRPr="003C6DAE" w:rsidRDefault="00E05B98">
      <w:pPr>
        <w:pStyle w:val="a3"/>
        <w:rPr>
          <w:rFonts w:ascii="Trebuchet MS"/>
          <w:sz w:val="17"/>
          <w:lang w:val="uk-UA"/>
        </w:rPr>
      </w:pPr>
    </w:p>
    <w:p w14:paraId="61FF2FC9" w14:textId="77777777" w:rsidR="00E05B98" w:rsidRPr="003C6DAE" w:rsidRDefault="00E05B98">
      <w:pPr>
        <w:pStyle w:val="a3"/>
        <w:rPr>
          <w:rFonts w:ascii="Trebuchet MS"/>
          <w:sz w:val="17"/>
          <w:lang w:val="uk-UA"/>
        </w:rPr>
      </w:pPr>
    </w:p>
    <w:p w14:paraId="15D91767" w14:textId="77777777" w:rsidR="00E05B98" w:rsidRPr="003C6DAE" w:rsidRDefault="00E05B98">
      <w:pPr>
        <w:pStyle w:val="a3"/>
        <w:rPr>
          <w:rFonts w:ascii="Trebuchet MS"/>
          <w:sz w:val="17"/>
          <w:lang w:val="uk-UA"/>
        </w:rPr>
      </w:pPr>
    </w:p>
    <w:p w14:paraId="446374AD" w14:textId="77777777" w:rsidR="00E05B98" w:rsidRPr="003C6DAE" w:rsidRDefault="00E05B98">
      <w:pPr>
        <w:pStyle w:val="a3"/>
        <w:rPr>
          <w:rFonts w:ascii="Trebuchet MS"/>
          <w:sz w:val="17"/>
          <w:lang w:val="uk-UA"/>
        </w:rPr>
      </w:pPr>
    </w:p>
    <w:p w14:paraId="367FFBC5" w14:textId="77777777" w:rsidR="00E05B98" w:rsidRPr="003C6DAE" w:rsidRDefault="00E05B98">
      <w:pPr>
        <w:pStyle w:val="a3"/>
        <w:rPr>
          <w:rFonts w:ascii="Trebuchet MS"/>
          <w:sz w:val="17"/>
          <w:lang w:val="uk-UA"/>
        </w:rPr>
      </w:pPr>
    </w:p>
    <w:p w14:paraId="66EA961F" w14:textId="77777777" w:rsidR="00E05B98" w:rsidRPr="003C6DAE" w:rsidRDefault="00E05B98">
      <w:pPr>
        <w:pStyle w:val="a3"/>
        <w:rPr>
          <w:rFonts w:ascii="Trebuchet MS"/>
          <w:sz w:val="17"/>
          <w:lang w:val="uk-UA"/>
        </w:rPr>
      </w:pPr>
    </w:p>
    <w:p w14:paraId="508E1022" w14:textId="77777777" w:rsidR="00E05B98" w:rsidRPr="003C6DAE" w:rsidRDefault="00E05B98">
      <w:pPr>
        <w:pStyle w:val="a3"/>
        <w:rPr>
          <w:rFonts w:ascii="Trebuchet MS"/>
          <w:sz w:val="17"/>
          <w:lang w:val="uk-UA"/>
        </w:rPr>
      </w:pPr>
    </w:p>
    <w:p w14:paraId="750DBF44" w14:textId="77777777" w:rsidR="00E05B98" w:rsidRPr="003C6DAE" w:rsidRDefault="00E05B98">
      <w:pPr>
        <w:pStyle w:val="a3"/>
        <w:rPr>
          <w:rFonts w:ascii="Trebuchet MS"/>
          <w:sz w:val="17"/>
          <w:lang w:val="uk-UA"/>
        </w:rPr>
      </w:pPr>
    </w:p>
    <w:p w14:paraId="2B6F8885" w14:textId="77777777" w:rsidR="00E05B98" w:rsidRPr="003C6DAE" w:rsidRDefault="00E05B98">
      <w:pPr>
        <w:pStyle w:val="a3"/>
        <w:rPr>
          <w:rFonts w:ascii="Trebuchet MS"/>
          <w:sz w:val="17"/>
          <w:lang w:val="uk-UA"/>
        </w:rPr>
      </w:pPr>
    </w:p>
    <w:p w14:paraId="70D510AF" w14:textId="77777777" w:rsidR="00E05B98" w:rsidRPr="003C6DAE" w:rsidRDefault="00E05B98">
      <w:pPr>
        <w:pStyle w:val="a3"/>
        <w:rPr>
          <w:rFonts w:ascii="Trebuchet MS"/>
          <w:sz w:val="17"/>
          <w:lang w:val="uk-UA"/>
        </w:rPr>
      </w:pPr>
    </w:p>
    <w:p w14:paraId="38EDF685" w14:textId="77777777" w:rsidR="00E05B98" w:rsidRPr="003C6DAE" w:rsidRDefault="00E05B98">
      <w:pPr>
        <w:pStyle w:val="a3"/>
        <w:rPr>
          <w:rFonts w:ascii="Trebuchet MS"/>
          <w:sz w:val="17"/>
          <w:lang w:val="uk-UA"/>
        </w:rPr>
      </w:pPr>
    </w:p>
    <w:p w14:paraId="1C172A5B" w14:textId="77777777" w:rsidR="00E05B98" w:rsidRPr="003C6DAE" w:rsidRDefault="00E05B98">
      <w:pPr>
        <w:pStyle w:val="a3"/>
        <w:rPr>
          <w:rFonts w:ascii="Trebuchet MS"/>
          <w:sz w:val="17"/>
          <w:lang w:val="uk-UA"/>
        </w:rPr>
      </w:pPr>
    </w:p>
    <w:p w14:paraId="3FC096F6" w14:textId="77777777" w:rsidR="00E05B98" w:rsidRPr="003C6DAE" w:rsidRDefault="00E05B98">
      <w:pPr>
        <w:pStyle w:val="a3"/>
        <w:rPr>
          <w:rFonts w:ascii="Trebuchet MS"/>
          <w:sz w:val="17"/>
          <w:lang w:val="uk-UA"/>
        </w:rPr>
      </w:pPr>
    </w:p>
    <w:p w14:paraId="5A6C3428" w14:textId="77777777" w:rsidR="00E05B98" w:rsidRPr="003C6DAE" w:rsidRDefault="00E05B98">
      <w:pPr>
        <w:pStyle w:val="a3"/>
        <w:spacing w:before="35"/>
        <w:rPr>
          <w:rFonts w:ascii="Trebuchet MS"/>
          <w:sz w:val="17"/>
          <w:lang w:val="uk-UA"/>
        </w:rPr>
      </w:pPr>
    </w:p>
    <w:p w14:paraId="0419C5BE" w14:textId="77777777" w:rsidR="00E05B98" w:rsidRPr="003C6DAE" w:rsidRDefault="00B01E0C">
      <w:pPr>
        <w:ind w:left="13"/>
        <w:rPr>
          <w:rFonts w:ascii="Trebuchet MS"/>
          <w:sz w:val="17"/>
          <w:lang w:val="uk-UA"/>
        </w:rPr>
      </w:pPr>
      <w:r w:rsidRPr="003C6DAE">
        <w:rPr>
          <w:rFonts w:ascii="Trebuchet MS"/>
          <w:noProof/>
          <w:sz w:val="17"/>
          <w:lang w:val="uk-UA"/>
        </w:rPr>
        <mc:AlternateContent>
          <mc:Choice Requires="wpg">
            <w:drawing>
              <wp:anchor distT="0" distB="0" distL="0" distR="0" simplePos="0" relativeHeight="15900672" behindDoc="0" locked="0" layoutInCell="1" allowOverlap="1" wp14:anchorId="531C7CE7" wp14:editId="181605CB">
                <wp:simplePos x="0" y="0"/>
                <wp:positionH relativeFrom="page">
                  <wp:posOffset>4806260</wp:posOffset>
                </wp:positionH>
                <wp:positionV relativeFrom="paragraph">
                  <wp:posOffset>-2353746</wp:posOffset>
                </wp:positionV>
                <wp:extent cx="808355" cy="64769"/>
                <wp:effectExtent l="0" t="0" r="0" b="0"/>
                <wp:wrapNone/>
                <wp:docPr id="95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355" cy="64769"/>
                          <a:chOff x="0" y="0"/>
                          <a:chExt cx="808355" cy="64769"/>
                        </a:xfrm>
                      </wpg:grpSpPr>
                      <wps:wsp>
                        <wps:cNvPr id="959" name="Graphic 959"/>
                        <wps:cNvSpPr/>
                        <wps:spPr>
                          <a:xfrm>
                            <a:off x="0" y="27685"/>
                            <a:ext cx="754380" cy="1270"/>
                          </a:xfrm>
                          <a:custGeom>
                            <a:avLst/>
                            <a:gdLst/>
                            <a:ahLst/>
                            <a:cxnLst/>
                            <a:rect l="l" t="t" r="r" b="b"/>
                            <a:pathLst>
                              <a:path w="754380">
                                <a:moveTo>
                                  <a:pt x="0" y="0"/>
                                </a:moveTo>
                                <a:lnTo>
                                  <a:pt x="754030" y="0"/>
                                </a:lnTo>
                              </a:path>
                            </a:pathLst>
                          </a:custGeom>
                          <a:ln w="9228">
                            <a:solidFill>
                              <a:srgbClr val="000000"/>
                            </a:solidFill>
                            <a:prstDash val="solid"/>
                          </a:ln>
                        </wps:spPr>
                        <wps:bodyPr wrap="square" lIns="0" tIns="0" rIns="0" bIns="0" rtlCol="0">
                          <a:prstTxWarp prst="textNoShape">
                            <a:avLst/>
                          </a:prstTxWarp>
                          <a:noAutofit/>
                        </wps:bodyPr>
                      </wps:wsp>
                      <wps:wsp>
                        <wps:cNvPr id="960" name="Graphic 960"/>
                        <wps:cNvSpPr/>
                        <wps:spPr>
                          <a:xfrm>
                            <a:off x="754030" y="0"/>
                            <a:ext cx="53975" cy="64769"/>
                          </a:xfrm>
                          <a:custGeom>
                            <a:avLst/>
                            <a:gdLst/>
                            <a:ahLst/>
                            <a:cxnLst/>
                            <a:rect l="l" t="t" r="r" b="b"/>
                            <a:pathLst>
                              <a:path w="53975" h="64769">
                                <a:moveTo>
                                  <a:pt x="53831" y="64599"/>
                                </a:moveTo>
                                <a:lnTo>
                                  <a:pt x="0" y="64599"/>
                                </a:lnTo>
                                <a:lnTo>
                                  <a:pt x="0" y="0"/>
                                </a:lnTo>
                                <a:lnTo>
                                  <a:pt x="53831" y="0"/>
                                </a:lnTo>
                                <a:lnTo>
                                  <a:pt x="53831" y="64599"/>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2C714E9" id="Group 958" o:spid="_x0000_s1026" style="position:absolute;margin-left:378.45pt;margin-top:-185.35pt;width:63.65pt;height:5.1pt;z-index:15900672;mso-wrap-distance-left:0;mso-wrap-distance-right:0;mso-position-horizontal-relative:page" coordsize="808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">
                <v:shape id="Graphic 959" o:spid="_x0000_s1027" style="position:absolute;top:276;width:7543;height:13;visibility:visible;mso-wrap-style:square;v-text-anchor:top" coordsize="754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" path="m,l754030,e" filled="f" strokeweight=".25633mm">
                  <v:path arrowok="t"/>
                </v:shape>
                <v:shape id="Graphic 960" o:spid="_x0000_s1028" style="position:absolute;left:7540;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" path="m53831,64599l,64599,,,53831,r,64599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5901184" behindDoc="0" locked="0" layoutInCell="1" allowOverlap="1" wp14:anchorId="561DA293" wp14:editId="1FE8E9EE">
                <wp:simplePos x="0" y="0"/>
                <wp:positionH relativeFrom="page">
                  <wp:posOffset>4683601</wp:posOffset>
                </wp:positionH>
                <wp:positionV relativeFrom="paragraph">
                  <wp:posOffset>-2206091</wp:posOffset>
                </wp:positionV>
                <wp:extent cx="930910" cy="64769"/>
                <wp:effectExtent l="0" t="0" r="0" b="0"/>
                <wp:wrapNone/>
                <wp:docPr id="961"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910" cy="64769"/>
                          <a:chOff x="0" y="0"/>
                          <a:chExt cx="930910" cy="64769"/>
                        </a:xfrm>
                      </wpg:grpSpPr>
                      <wps:wsp>
                        <wps:cNvPr id="962" name="Graphic 962"/>
                        <wps:cNvSpPr/>
                        <wps:spPr>
                          <a:xfrm>
                            <a:off x="0" y="27685"/>
                            <a:ext cx="876935" cy="1270"/>
                          </a:xfrm>
                          <a:custGeom>
                            <a:avLst/>
                            <a:gdLst/>
                            <a:ahLst/>
                            <a:cxnLst/>
                            <a:rect l="l" t="t" r="r" b="b"/>
                            <a:pathLst>
                              <a:path w="876935">
                                <a:moveTo>
                                  <a:pt x="0" y="0"/>
                                </a:moveTo>
                                <a:lnTo>
                                  <a:pt x="876689" y="0"/>
                                </a:lnTo>
                              </a:path>
                            </a:pathLst>
                          </a:custGeom>
                          <a:ln w="9228">
                            <a:solidFill>
                              <a:srgbClr val="000000"/>
                            </a:solidFill>
                            <a:prstDash val="solid"/>
                          </a:ln>
                        </wps:spPr>
                        <wps:bodyPr wrap="square" lIns="0" tIns="0" rIns="0" bIns="0" rtlCol="0">
                          <a:prstTxWarp prst="textNoShape">
                            <a:avLst/>
                          </a:prstTxWarp>
                          <a:noAutofit/>
                        </wps:bodyPr>
                      </wps:wsp>
                      <wps:wsp>
                        <wps:cNvPr id="963" name="Graphic 963"/>
                        <wps:cNvSpPr/>
                        <wps:spPr>
                          <a:xfrm>
                            <a:off x="876689"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92F4AEB" id="Group 961" o:spid="_x0000_s1026" style="position:absolute;margin-left:368.8pt;margin-top:-173.7pt;width:73.3pt;height:5.1pt;z-index:15901184;mso-wrap-distance-left:0;mso-wrap-distance-right:0;mso-position-horizontal-relative:page" coordsize="930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">
                <v:shape id="Graphic 962" o:spid="_x0000_s1027" style="position:absolute;top:276;width:8769;height:13;visibility:visible;mso-wrap-style:square;v-text-anchor:top" coordsize="876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" path="m,l876689,e" filled="f" strokeweight=".25633mm">
                  <v:path arrowok="t"/>
                </v:shape>
                <v:shape id="Graphic 963" o:spid="_x0000_s1028" style="position:absolute;left:8766;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" path="m53831,64598l,64598,,,53831,r,64598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5901696" behindDoc="0" locked="0" layoutInCell="1" allowOverlap="1" wp14:anchorId="0358E4EB" wp14:editId="4563173E">
                <wp:simplePos x="0" y="0"/>
                <wp:positionH relativeFrom="page">
                  <wp:posOffset>4683602</wp:posOffset>
                </wp:positionH>
                <wp:positionV relativeFrom="paragraph">
                  <wp:posOffset>-2058438</wp:posOffset>
                </wp:positionV>
                <wp:extent cx="930910" cy="64769"/>
                <wp:effectExtent l="0" t="0" r="0" b="0"/>
                <wp:wrapNone/>
                <wp:docPr id="964"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910" cy="64769"/>
                          <a:chOff x="0" y="0"/>
                          <a:chExt cx="930910" cy="64769"/>
                        </a:xfrm>
                      </wpg:grpSpPr>
                      <wps:wsp>
                        <wps:cNvPr id="965" name="Graphic 965"/>
                        <wps:cNvSpPr/>
                        <wps:spPr>
                          <a:xfrm>
                            <a:off x="0" y="27684"/>
                            <a:ext cx="876935" cy="1270"/>
                          </a:xfrm>
                          <a:custGeom>
                            <a:avLst/>
                            <a:gdLst/>
                            <a:ahLst/>
                            <a:cxnLst/>
                            <a:rect l="l" t="t" r="r" b="b"/>
                            <a:pathLst>
                              <a:path w="876935">
                                <a:moveTo>
                                  <a:pt x="0" y="0"/>
                                </a:moveTo>
                                <a:lnTo>
                                  <a:pt x="876690" y="0"/>
                                </a:lnTo>
                              </a:path>
                            </a:pathLst>
                          </a:custGeom>
                          <a:ln w="9228">
                            <a:solidFill>
                              <a:srgbClr val="000000"/>
                            </a:solidFill>
                            <a:prstDash val="solid"/>
                          </a:ln>
                        </wps:spPr>
                        <wps:bodyPr wrap="square" lIns="0" tIns="0" rIns="0" bIns="0" rtlCol="0">
                          <a:prstTxWarp prst="textNoShape">
                            <a:avLst/>
                          </a:prstTxWarp>
                          <a:noAutofit/>
                        </wps:bodyPr>
                      </wps:wsp>
                      <wps:wsp>
                        <wps:cNvPr id="966" name="Graphic 966"/>
                        <wps:cNvSpPr/>
                        <wps:spPr>
                          <a:xfrm>
                            <a:off x="876689"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57A66D5" id="Group 964" o:spid="_x0000_s1026" style="position:absolute;margin-left:368.8pt;margin-top:-162.1pt;width:73.3pt;height:5.1pt;z-index:15901696;mso-wrap-distance-left:0;mso-wrap-distance-right:0;mso-position-horizontal-relative:page" coordsize="930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">
                <v:shape id="Graphic 965" o:spid="_x0000_s1027" style="position:absolute;top:276;width:8769;height:13;visibility:visible;mso-wrap-style:square;v-text-anchor:top" coordsize="876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" path="m,l876690,e" filled="f" strokeweight=".25633mm">
                  <v:path arrowok="t"/>
                </v:shape>
                <v:shape id="Graphic 966" o:spid="_x0000_s1028" style="position:absolute;left:8766;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" path="m53831,64598l,64598,,,53831,r,64598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5902208" behindDoc="0" locked="0" layoutInCell="1" allowOverlap="1" wp14:anchorId="768A0FD4" wp14:editId="057F7FD1">
                <wp:simplePos x="0" y="0"/>
                <wp:positionH relativeFrom="page">
                  <wp:posOffset>4683602</wp:posOffset>
                </wp:positionH>
                <wp:positionV relativeFrom="paragraph">
                  <wp:posOffset>-1763132</wp:posOffset>
                </wp:positionV>
                <wp:extent cx="930910" cy="64769"/>
                <wp:effectExtent l="0" t="0" r="0" b="0"/>
                <wp:wrapNone/>
                <wp:docPr id="967"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910" cy="64769"/>
                          <a:chOff x="0" y="0"/>
                          <a:chExt cx="930910" cy="64769"/>
                        </a:xfrm>
                      </wpg:grpSpPr>
                      <wps:wsp>
                        <wps:cNvPr id="968" name="Graphic 968"/>
                        <wps:cNvSpPr/>
                        <wps:spPr>
                          <a:xfrm>
                            <a:off x="0" y="27684"/>
                            <a:ext cx="876935" cy="1270"/>
                          </a:xfrm>
                          <a:custGeom>
                            <a:avLst/>
                            <a:gdLst/>
                            <a:ahLst/>
                            <a:cxnLst/>
                            <a:rect l="l" t="t" r="r" b="b"/>
                            <a:pathLst>
                              <a:path w="876935">
                                <a:moveTo>
                                  <a:pt x="0" y="0"/>
                                </a:moveTo>
                                <a:lnTo>
                                  <a:pt x="876689" y="0"/>
                                </a:lnTo>
                              </a:path>
                            </a:pathLst>
                          </a:custGeom>
                          <a:ln w="9228">
                            <a:solidFill>
                              <a:srgbClr val="000000"/>
                            </a:solidFill>
                            <a:prstDash val="solid"/>
                          </a:ln>
                        </wps:spPr>
                        <wps:bodyPr wrap="square" lIns="0" tIns="0" rIns="0" bIns="0" rtlCol="0">
                          <a:prstTxWarp prst="textNoShape">
                            <a:avLst/>
                          </a:prstTxWarp>
                          <a:noAutofit/>
                        </wps:bodyPr>
                      </wps:wsp>
                      <wps:wsp>
                        <wps:cNvPr id="969" name="Graphic 969"/>
                        <wps:cNvSpPr/>
                        <wps:spPr>
                          <a:xfrm>
                            <a:off x="876689"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6238685" id="Group 967" o:spid="_x0000_s1026" style="position:absolute;margin-left:368.8pt;margin-top:-138.85pt;width:73.3pt;height:5.1pt;z-index:15902208;mso-wrap-distance-left:0;mso-wrap-distance-right:0;mso-position-horizontal-relative:page" coordsize="930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">
                <v:shape id="Graphic 968" o:spid="_x0000_s1027" style="position:absolute;top:276;width:8769;height:13;visibility:visible;mso-wrap-style:square;v-text-anchor:top" coordsize="876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" path="m,l876689,e" filled="f" strokeweight=".25633mm">
                  <v:path arrowok="t"/>
                </v:shape>
                <v:shape id="Graphic 969" o:spid="_x0000_s1028" style="position:absolute;left:8766;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" path="m53831,64598l,64598,,,53831,r,64598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5902720" behindDoc="0" locked="0" layoutInCell="1" allowOverlap="1" wp14:anchorId="4CF631C9" wp14:editId="075723AF">
                <wp:simplePos x="0" y="0"/>
                <wp:positionH relativeFrom="page">
                  <wp:posOffset>4683603</wp:posOffset>
                </wp:positionH>
                <wp:positionV relativeFrom="paragraph">
                  <wp:posOffset>-1615479</wp:posOffset>
                </wp:positionV>
                <wp:extent cx="930910" cy="64769"/>
                <wp:effectExtent l="0" t="0" r="0" b="0"/>
                <wp:wrapNone/>
                <wp:docPr id="970"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910" cy="64769"/>
                          <a:chOff x="0" y="0"/>
                          <a:chExt cx="930910" cy="64769"/>
                        </a:xfrm>
                      </wpg:grpSpPr>
                      <wps:wsp>
                        <wps:cNvPr id="971" name="Graphic 971"/>
                        <wps:cNvSpPr/>
                        <wps:spPr>
                          <a:xfrm>
                            <a:off x="0" y="27684"/>
                            <a:ext cx="876935" cy="1270"/>
                          </a:xfrm>
                          <a:custGeom>
                            <a:avLst/>
                            <a:gdLst/>
                            <a:ahLst/>
                            <a:cxnLst/>
                            <a:rect l="l" t="t" r="r" b="b"/>
                            <a:pathLst>
                              <a:path w="876935">
                                <a:moveTo>
                                  <a:pt x="0" y="0"/>
                                </a:moveTo>
                                <a:lnTo>
                                  <a:pt x="876688" y="0"/>
                                </a:lnTo>
                              </a:path>
                            </a:pathLst>
                          </a:custGeom>
                          <a:ln w="9228">
                            <a:solidFill>
                              <a:srgbClr val="000000"/>
                            </a:solidFill>
                            <a:prstDash val="solid"/>
                          </a:ln>
                        </wps:spPr>
                        <wps:bodyPr wrap="square" lIns="0" tIns="0" rIns="0" bIns="0" rtlCol="0">
                          <a:prstTxWarp prst="textNoShape">
                            <a:avLst/>
                          </a:prstTxWarp>
                          <a:noAutofit/>
                        </wps:bodyPr>
                      </wps:wsp>
                      <wps:wsp>
                        <wps:cNvPr id="972" name="Graphic 972"/>
                        <wps:cNvSpPr/>
                        <wps:spPr>
                          <a:xfrm>
                            <a:off x="876688" y="0"/>
                            <a:ext cx="53975" cy="64769"/>
                          </a:xfrm>
                          <a:custGeom>
                            <a:avLst/>
                            <a:gdLst/>
                            <a:ahLst/>
                            <a:cxnLst/>
                            <a:rect l="l" t="t" r="r" b="b"/>
                            <a:pathLst>
                              <a:path w="53975" h="64769">
                                <a:moveTo>
                                  <a:pt x="53833" y="64598"/>
                                </a:moveTo>
                                <a:lnTo>
                                  <a:pt x="0" y="64598"/>
                                </a:lnTo>
                                <a:lnTo>
                                  <a:pt x="0" y="0"/>
                                </a:lnTo>
                                <a:lnTo>
                                  <a:pt x="53833" y="0"/>
                                </a:lnTo>
                                <a:lnTo>
                                  <a:pt x="53833"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79FF999" id="Group 970" o:spid="_x0000_s1026" style="position:absolute;margin-left:368.8pt;margin-top:-127.2pt;width:73.3pt;height:5.1pt;z-index:15902720;mso-wrap-distance-left:0;mso-wrap-distance-right:0;mso-position-horizontal-relative:page" coordsize="930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">
                <v:shape id="Graphic 971" o:spid="_x0000_s1027" style="position:absolute;top:276;width:8769;height:13;visibility:visible;mso-wrap-style:square;v-text-anchor:top" coordsize="876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" path="m,l876688,e" filled="f" strokeweight=".25633mm">
                  <v:path arrowok="t"/>
                </v:shape>
                <v:shape id="Graphic 972" o:spid="_x0000_s1028" style="position:absolute;left:8766;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" path="m53833,64598l,64598,,,53833,r,64598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5903232" behindDoc="0" locked="0" layoutInCell="1" allowOverlap="1" wp14:anchorId="180806A0" wp14:editId="3500B13D">
                <wp:simplePos x="0" y="0"/>
                <wp:positionH relativeFrom="page">
                  <wp:posOffset>5242301</wp:posOffset>
                </wp:positionH>
                <wp:positionV relativeFrom="paragraph">
                  <wp:posOffset>-1467826</wp:posOffset>
                </wp:positionV>
                <wp:extent cx="372110" cy="64769"/>
                <wp:effectExtent l="0" t="0" r="0" b="0"/>
                <wp:wrapNone/>
                <wp:docPr id="973"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 cy="64769"/>
                          <a:chOff x="0" y="0"/>
                          <a:chExt cx="372110" cy="64769"/>
                        </a:xfrm>
                      </wpg:grpSpPr>
                      <wps:wsp>
                        <wps:cNvPr id="974" name="Graphic 974"/>
                        <wps:cNvSpPr/>
                        <wps:spPr>
                          <a:xfrm>
                            <a:off x="0" y="27684"/>
                            <a:ext cx="318135" cy="1270"/>
                          </a:xfrm>
                          <a:custGeom>
                            <a:avLst/>
                            <a:gdLst/>
                            <a:ahLst/>
                            <a:cxnLst/>
                            <a:rect l="l" t="t" r="r" b="b"/>
                            <a:pathLst>
                              <a:path w="318135">
                                <a:moveTo>
                                  <a:pt x="0" y="0"/>
                                </a:moveTo>
                                <a:lnTo>
                                  <a:pt x="317992" y="0"/>
                                </a:lnTo>
                              </a:path>
                            </a:pathLst>
                          </a:custGeom>
                          <a:ln w="9228">
                            <a:solidFill>
                              <a:srgbClr val="000000"/>
                            </a:solidFill>
                            <a:prstDash val="solid"/>
                          </a:ln>
                        </wps:spPr>
                        <wps:bodyPr wrap="square" lIns="0" tIns="0" rIns="0" bIns="0" rtlCol="0">
                          <a:prstTxWarp prst="textNoShape">
                            <a:avLst/>
                          </a:prstTxWarp>
                          <a:noAutofit/>
                        </wps:bodyPr>
                      </wps:wsp>
                      <wps:wsp>
                        <wps:cNvPr id="975" name="Graphic 975"/>
                        <wps:cNvSpPr/>
                        <wps:spPr>
                          <a:xfrm>
                            <a:off x="317992"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53C68BB" id="Group 973" o:spid="_x0000_s1026" style="position:absolute;margin-left:412.8pt;margin-top:-115.6pt;width:29.3pt;height:5.1pt;z-index:15903232;mso-wrap-distance-left:0;mso-wrap-distance-right:0;mso-position-horizontal-relative:page" coordsize="37211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">
                <v:shape id="Graphic 974" o:spid="_x0000_s1027" style="position:absolute;top:27684;width:318135;height:1270;visibility:visible;mso-wrap-style:square;v-text-anchor:top" coordsize="318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" path="m,l317992,e" filled="f" strokeweight=".25633mm">
                  <v:path arrowok="t"/>
                </v:shape>
                <v:shape id="Graphic 975" o:spid="_x0000_s1028" style="position:absolute;left:317992;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" path="m53831,64598l,64598,,,53831,r,64598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5903744" behindDoc="0" locked="0" layoutInCell="1" allowOverlap="1" wp14:anchorId="2DBFD60B" wp14:editId="769C41A1">
                <wp:simplePos x="0" y="0"/>
                <wp:positionH relativeFrom="page">
                  <wp:posOffset>5320358</wp:posOffset>
                </wp:positionH>
                <wp:positionV relativeFrom="paragraph">
                  <wp:posOffset>-1320175</wp:posOffset>
                </wp:positionV>
                <wp:extent cx="294005" cy="64769"/>
                <wp:effectExtent l="0" t="0" r="0" b="0"/>
                <wp:wrapNone/>
                <wp:docPr id="976"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005" cy="64769"/>
                          <a:chOff x="0" y="0"/>
                          <a:chExt cx="294005" cy="64769"/>
                        </a:xfrm>
                      </wpg:grpSpPr>
                      <wps:wsp>
                        <wps:cNvPr id="977" name="Graphic 977"/>
                        <wps:cNvSpPr/>
                        <wps:spPr>
                          <a:xfrm>
                            <a:off x="0" y="27685"/>
                            <a:ext cx="240029" cy="1270"/>
                          </a:xfrm>
                          <a:custGeom>
                            <a:avLst/>
                            <a:gdLst/>
                            <a:ahLst/>
                            <a:cxnLst/>
                            <a:rect l="l" t="t" r="r" b="b"/>
                            <a:pathLst>
                              <a:path w="240029">
                                <a:moveTo>
                                  <a:pt x="0" y="0"/>
                                </a:moveTo>
                                <a:lnTo>
                                  <a:pt x="239936" y="0"/>
                                </a:lnTo>
                              </a:path>
                            </a:pathLst>
                          </a:custGeom>
                          <a:ln w="9228">
                            <a:solidFill>
                              <a:srgbClr val="000000"/>
                            </a:solidFill>
                            <a:prstDash val="solid"/>
                          </a:ln>
                        </wps:spPr>
                        <wps:bodyPr wrap="square" lIns="0" tIns="0" rIns="0" bIns="0" rtlCol="0">
                          <a:prstTxWarp prst="textNoShape">
                            <a:avLst/>
                          </a:prstTxWarp>
                          <a:noAutofit/>
                        </wps:bodyPr>
                      </wps:wsp>
                      <wps:wsp>
                        <wps:cNvPr id="978" name="Graphic 978"/>
                        <wps:cNvSpPr/>
                        <wps:spPr>
                          <a:xfrm>
                            <a:off x="239936" y="0"/>
                            <a:ext cx="53975" cy="64769"/>
                          </a:xfrm>
                          <a:custGeom>
                            <a:avLst/>
                            <a:gdLst/>
                            <a:ahLst/>
                            <a:cxnLst/>
                            <a:rect l="l" t="t" r="r" b="b"/>
                            <a:pathLst>
                              <a:path w="53975" h="64769">
                                <a:moveTo>
                                  <a:pt x="53831" y="64599"/>
                                </a:moveTo>
                                <a:lnTo>
                                  <a:pt x="0" y="64599"/>
                                </a:lnTo>
                                <a:lnTo>
                                  <a:pt x="0" y="0"/>
                                </a:lnTo>
                                <a:lnTo>
                                  <a:pt x="53831" y="0"/>
                                </a:lnTo>
                                <a:lnTo>
                                  <a:pt x="53831" y="64599"/>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11EE9FB" id="Group 976" o:spid="_x0000_s1026" style="position:absolute;margin-left:418.95pt;margin-top:-103.95pt;width:23.15pt;height:5.1pt;z-index:15903744;mso-wrap-distance-left:0;mso-wrap-distance-right:0;mso-position-horizontal-relative:page" coordsize="29400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">
                <v:shape id="Graphic 977" o:spid="_x0000_s1027" style="position:absolute;top:27685;width:240029;height:1270;visibility:visible;mso-wrap-style:square;v-text-anchor:top" coordsize="2400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" path="m,l239936,e" filled="f" strokeweight=".25633mm">
                  <v:path arrowok="t"/>
                </v:shape>
                <v:shape id="Graphic 978" o:spid="_x0000_s1028" style="position:absolute;left:239936;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" path="m53831,64599l,64599,,,53831,r,64599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5904256" behindDoc="0" locked="0" layoutInCell="1" allowOverlap="1" wp14:anchorId="48226361" wp14:editId="638EC0D6">
                <wp:simplePos x="0" y="0"/>
                <wp:positionH relativeFrom="page">
                  <wp:posOffset>4806265</wp:posOffset>
                </wp:positionH>
                <wp:positionV relativeFrom="paragraph">
                  <wp:posOffset>-1172522</wp:posOffset>
                </wp:positionV>
                <wp:extent cx="808355" cy="64769"/>
                <wp:effectExtent l="0" t="0" r="0" b="0"/>
                <wp:wrapNone/>
                <wp:docPr id="979"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355" cy="64769"/>
                          <a:chOff x="0" y="0"/>
                          <a:chExt cx="808355" cy="64769"/>
                        </a:xfrm>
                      </wpg:grpSpPr>
                      <wps:wsp>
                        <wps:cNvPr id="980" name="Graphic 980"/>
                        <wps:cNvSpPr/>
                        <wps:spPr>
                          <a:xfrm>
                            <a:off x="0" y="27685"/>
                            <a:ext cx="754380" cy="1270"/>
                          </a:xfrm>
                          <a:custGeom>
                            <a:avLst/>
                            <a:gdLst/>
                            <a:ahLst/>
                            <a:cxnLst/>
                            <a:rect l="l" t="t" r="r" b="b"/>
                            <a:pathLst>
                              <a:path w="754380">
                                <a:moveTo>
                                  <a:pt x="0" y="0"/>
                                </a:moveTo>
                                <a:lnTo>
                                  <a:pt x="754030" y="0"/>
                                </a:lnTo>
                              </a:path>
                            </a:pathLst>
                          </a:custGeom>
                          <a:ln w="9228">
                            <a:solidFill>
                              <a:srgbClr val="000000"/>
                            </a:solidFill>
                            <a:prstDash val="solid"/>
                          </a:ln>
                        </wps:spPr>
                        <wps:bodyPr wrap="square" lIns="0" tIns="0" rIns="0" bIns="0" rtlCol="0">
                          <a:prstTxWarp prst="textNoShape">
                            <a:avLst/>
                          </a:prstTxWarp>
                          <a:noAutofit/>
                        </wps:bodyPr>
                      </wps:wsp>
                      <wps:wsp>
                        <wps:cNvPr id="981" name="Graphic 981"/>
                        <wps:cNvSpPr/>
                        <wps:spPr>
                          <a:xfrm>
                            <a:off x="754030" y="0"/>
                            <a:ext cx="53975" cy="64769"/>
                          </a:xfrm>
                          <a:custGeom>
                            <a:avLst/>
                            <a:gdLst/>
                            <a:ahLst/>
                            <a:cxnLst/>
                            <a:rect l="l" t="t" r="r" b="b"/>
                            <a:pathLst>
                              <a:path w="53975" h="64769">
                                <a:moveTo>
                                  <a:pt x="53831" y="64599"/>
                                </a:moveTo>
                                <a:lnTo>
                                  <a:pt x="0" y="64599"/>
                                </a:lnTo>
                                <a:lnTo>
                                  <a:pt x="0" y="0"/>
                                </a:lnTo>
                                <a:lnTo>
                                  <a:pt x="53831" y="0"/>
                                </a:lnTo>
                                <a:lnTo>
                                  <a:pt x="53831" y="64599"/>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52EF9CA" id="Group 979" o:spid="_x0000_s1026" style="position:absolute;margin-left:378.45pt;margin-top:-92.3pt;width:63.65pt;height:5.1pt;z-index:15904256;mso-wrap-distance-left:0;mso-wrap-distance-right:0;mso-position-horizontal-relative:page" coordsize="808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">
                <v:shape id="Graphic 980" o:spid="_x0000_s1027" style="position:absolute;top:276;width:7543;height:13;visibility:visible;mso-wrap-style:square;v-text-anchor:top" coordsize="754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" path="m,l754030,e" filled="f" strokeweight=".25633mm">
                  <v:path arrowok="t"/>
                </v:shape>
                <v:shape id="Graphic 981" o:spid="_x0000_s1028" style="position:absolute;left:7540;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" path="m53831,64599l,64599,,,53831,r,64599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5904768" behindDoc="0" locked="0" layoutInCell="1" allowOverlap="1" wp14:anchorId="65BD7A9A" wp14:editId="7688BB9D">
                <wp:simplePos x="0" y="0"/>
                <wp:positionH relativeFrom="page">
                  <wp:posOffset>5272680</wp:posOffset>
                </wp:positionH>
                <wp:positionV relativeFrom="paragraph">
                  <wp:posOffset>-877216</wp:posOffset>
                </wp:positionV>
                <wp:extent cx="341630" cy="64769"/>
                <wp:effectExtent l="0" t="0" r="0" b="0"/>
                <wp:wrapNone/>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64769"/>
                          <a:chOff x="0" y="0"/>
                          <a:chExt cx="341630" cy="64769"/>
                        </a:xfrm>
                      </wpg:grpSpPr>
                      <wps:wsp>
                        <wps:cNvPr id="983" name="Graphic 983"/>
                        <wps:cNvSpPr/>
                        <wps:spPr>
                          <a:xfrm>
                            <a:off x="0" y="27685"/>
                            <a:ext cx="287655" cy="1270"/>
                          </a:xfrm>
                          <a:custGeom>
                            <a:avLst/>
                            <a:gdLst/>
                            <a:ahLst/>
                            <a:cxnLst/>
                            <a:rect l="l" t="t" r="r" b="b"/>
                            <a:pathLst>
                              <a:path w="287655">
                                <a:moveTo>
                                  <a:pt x="0" y="0"/>
                                </a:moveTo>
                                <a:lnTo>
                                  <a:pt x="287616" y="0"/>
                                </a:lnTo>
                              </a:path>
                            </a:pathLst>
                          </a:custGeom>
                          <a:ln w="9228">
                            <a:solidFill>
                              <a:srgbClr val="000000"/>
                            </a:solidFill>
                            <a:prstDash val="solid"/>
                          </a:ln>
                        </wps:spPr>
                        <wps:bodyPr wrap="square" lIns="0" tIns="0" rIns="0" bIns="0" rtlCol="0">
                          <a:prstTxWarp prst="textNoShape">
                            <a:avLst/>
                          </a:prstTxWarp>
                          <a:noAutofit/>
                        </wps:bodyPr>
                      </wps:wsp>
                      <wps:wsp>
                        <wps:cNvPr id="984" name="Graphic 984"/>
                        <wps:cNvSpPr/>
                        <wps:spPr>
                          <a:xfrm>
                            <a:off x="287616" y="0"/>
                            <a:ext cx="53975" cy="64769"/>
                          </a:xfrm>
                          <a:custGeom>
                            <a:avLst/>
                            <a:gdLst/>
                            <a:ahLst/>
                            <a:cxnLst/>
                            <a:rect l="l" t="t" r="r" b="b"/>
                            <a:pathLst>
                              <a:path w="53975" h="64769">
                                <a:moveTo>
                                  <a:pt x="53831" y="64599"/>
                                </a:moveTo>
                                <a:lnTo>
                                  <a:pt x="0" y="64599"/>
                                </a:lnTo>
                                <a:lnTo>
                                  <a:pt x="0" y="0"/>
                                </a:lnTo>
                                <a:lnTo>
                                  <a:pt x="53831" y="0"/>
                                </a:lnTo>
                                <a:lnTo>
                                  <a:pt x="53831" y="64599"/>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60C25FC" id="Group 982" o:spid="_x0000_s1026" style="position:absolute;margin-left:415.15pt;margin-top:-69.05pt;width:26.9pt;height:5.1pt;z-index:15904768;mso-wrap-distance-left:0;mso-wrap-distance-right:0;mso-position-horizontal-relative:page" coordsize="34163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">
                <v:shape id="Graphic 983" o:spid="_x0000_s1027" style="position:absolute;top:27685;width:287655;height:1270;visibility:visible;mso-wrap-style:square;v-text-anchor:top" coordsize="287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" path="m,l287616,e" filled="f" strokeweight=".25633mm">
                  <v:path arrowok="t"/>
                </v:shape>
                <v:shape id="Graphic 984" o:spid="_x0000_s1028" style="position:absolute;left:287616;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" path="m53831,64599l,64599,,,53831,r,64599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5905280" behindDoc="0" locked="0" layoutInCell="1" allowOverlap="1" wp14:anchorId="1AF448E3" wp14:editId="7692691F">
                <wp:simplePos x="0" y="0"/>
                <wp:positionH relativeFrom="page">
                  <wp:posOffset>5159249</wp:posOffset>
                </wp:positionH>
                <wp:positionV relativeFrom="paragraph">
                  <wp:posOffset>-729563</wp:posOffset>
                </wp:positionV>
                <wp:extent cx="455295" cy="64769"/>
                <wp:effectExtent l="0" t="0" r="0" b="0"/>
                <wp:wrapNone/>
                <wp:docPr id="985"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295" cy="64769"/>
                          <a:chOff x="0" y="0"/>
                          <a:chExt cx="455295" cy="64769"/>
                        </a:xfrm>
                      </wpg:grpSpPr>
                      <wps:wsp>
                        <wps:cNvPr id="986" name="Graphic 986"/>
                        <wps:cNvSpPr/>
                        <wps:spPr>
                          <a:xfrm>
                            <a:off x="0" y="27685"/>
                            <a:ext cx="401320" cy="1270"/>
                          </a:xfrm>
                          <a:custGeom>
                            <a:avLst/>
                            <a:gdLst/>
                            <a:ahLst/>
                            <a:cxnLst/>
                            <a:rect l="l" t="t" r="r" b="b"/>
                            <a:pathLst>
                              <a:path w="401320">
                                <a:moveTo>
                                  <a:pt x="0" y="0"/>
                                </a:moveTo>
                                <a:lnTo>
                                  <a:pt x="401046" y="0"/>
                                </a:lnTo>
                              </a:path>
                            </a:pathLst>
                          </a:custGeom>
                          <a:ln w="9228">
                            <a:solidFill>
                              <a:srgbClr val="000000"/>
                            </a:solidFill>
                            <a:prstDash val="solid"/>
                          </a:ln>
                        </wps:spPr>
                        <wps:bodyPr wrap="square" lIns="0" tIns="0" rIns="0" bIns="0" rtlCol="0">
                          <a:prstTxWarp prst="textNoShape">
                            <a:avLst/>
                          </a:prstTxWarp>
                          <a:noAutofit/>
                        </wps:bodyPr>
                      </wps:wsp>
                      <wps:wsp>
                        <wps:cNvPr id="987" name="Graphic 987"/>
                        <wps:cNvSpPr/>
                        <wps:spPr>
                          <a:xfrm>
                            <a:off x="401046" y="0"/>
                            <a:ext cx="53975" cy="64769"/>
                          </a:xfrm>
                          <a:custGeom>
                            <a:avLst/>
                            <a:gdLst/>
                            <a:ahLst/>
                            <a:cxnLst/>
                            <a:rect l="l" t="t" r="r" b="b"/>
                            <a:pathLst>
                              <a:path w="53975" h="64769">
                                <a:moveTo>
                                  <a:pt x="53831" y="64599"/>
                                </a:moveTo>
                                <a:lnTo>
                                  <a:pt x="0" y="64599"/>
                                </a:lnTo>
                                <a:lnTo>
                                  <a:pt x="0" y="0"/>
                                </a:lnTo>
                                <a:lnTo>
                                  <a:pt x="53831" y="0"/>
                                </a:lnTo>
                                <a:lnTo>
                                  <a:pt x="53831" y="64599"/>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DCC43F8" id="Group 985" o:spid="_x0000_s1026" style="position:absolute;margin-left:406.25pt;margin-top:-57.45pt;width:35.85pt;height:5.1pt;z-index:15905280;mso-wrap-distance-left:0;mso-wrap-distance-right:0;mso-position-horizontal-relative:page" coordsize="45529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">
                <v:shape id="Graphic 986" o:spid="_x0000_s1027" style="position:absolute;top:27685;width:401320;height:1270;visibility:visible;mso-wrap-style:square;v-text-anchor:top" coordsize="401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" path="m,l401046,e" filled="f" strokeweight=".25633mm">
                  <v:path arrowok="t"/>
                </v:shape>
                <v:shape id="Graphic 987" o:spid="_x0000_s1028" style="position:absolute;left:401046;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" path="m53831,64599l,64599,,,53831,r,64599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5905792" behindDoc="0" locked="0" layoutInCell="1" allowOverlap="1" wp14:anchorId="27C335A5" wp14:editId="69D7CA76">
                <wp:simplePos x="0" y="0"/>
                <wp:positionH relativeFrom="page">
                  <wp:posOffset>5101573</wp:posOffset>
                </wp:positionH>
                <wp:positionV relativeFrom="paragraph">
                  <wp:posOffset>-581911</wp:posOffset>
                </wp:positionV>
                <wp:extent cx="513080" cy="64769"/>
                <wp:effectExtent l="0" t="0" r="0" b="0"/>
                <wp:wrapNone/>
                <wp:docPr id="988"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 cy="64769"/>
                          <a:chOff x="0" y="0"/>
                          <a:chExt cx="513080" cy="64769"/>
                        </a:xfrm>
                      </wpg:grpSpPr>
                      <wps:wsp>
                        <wps:cNvPr id="989" name="Graphic 989"/>
                        <wps:cNvSpPr/>
                        <wps:spPr>
                          <a:xfrm>
                            <a:off x="0" y="27685"/>
                            <a:ext cx="459105" cy="1270"/>
                          </a:xfrm>
                          <a:custGeom>
                            <a:avLst/>
                            <a:gdLst/>
                            <a:ahLst/>
                            <a:cxnLst/>
                            <a:rect l="l" t="t" r="r" b="b"/>
                            <a:pathLst>
                              <a:path w="459105">
                                <a:moveTo>
                                  <a:pt x="0" y="0"/>
                                </a:moveTo>
                                <a:lnTo>
                                  <a:pt x="458724" y="0"/>
                                </a:lnTo>
                              </a:path>
                            </a:pathLst>
                          </a:custGeom>
                          <a:ln w="9228">
                            <a:solidFill>
                              <a:srgbClr val="000000"/>
                            </a:solidFill>
                            <a:prstDash val="solid"/>
                          </a:ln>
                        </wps:spPr>
                        <wps:bodyPr wrap="square" lIns="0" tIns="0" rIns="0" bIns="0" rtlCol="0">
                          <a:prstTxWarp prst="textNoShape">
                            <a:avLst/>
                          </a:prstTxWarp>
                          <a:noAutofit/>
                        </wps:bodyPr>
                      </wps:wsp>
                      <wps:wsp>
                        <wps:cNvPr id="990" name="Graphic 990"/>
                        <wps:cNvSpPr/>
                        <wps:spPr>
                          <a:xfrm>
                            <a:off x="458724" y="0"/>
                            <a:ext cx="53975" cy="64769"/>
                          </a:xfrm>
                          <a:custGeom>
                            <a:avLst/>
                            <a:gdLst/>
                            <a:ahLst/>
                            <a:cxnLst/>
                            <a:rect l="l" t="t" r="r" b="b"/>
                            <a:pathLst>
                              <a:path w="53975" h="64769">
                                <a:moveTo>
                                  <a:pt x="53831" y="64597"/>
                                </a:moveTo>
                                <a:lnTo>
                                  <a:pt x="0" y="64597"/>
                                </a:lnTo>
                                <a:lnTo>
                                  <a:pt x="0" y="0"/>
                                </a:lnTo>
                                <a:lnTo>
                                  <a:pt x="53831" y="0"/>
                                </a:lnTo>
                                <a:lnTo>
                                  <a:pt x="53831" y="6459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B805EDB" id="Group 988" o:spid="_x0000_s1026" style="position:absolute;margin-left:401.7pt;margin-top:-45.8pt;width:40.4pt;height:5.1pt;z-index:15905792;mso-wrap-distance-left:0;mso-wrap-distance-right:0;mso-position-horizontal-relative:page" coordsize="51308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">
                <v:shape id="Graphic 989" o:spid="_x0000_s1027" style="position:absolute;top:27685;width:459105;height:1270;visibility:visible;mso-wrap-style:square;v-text-anchor:top" coordsize="459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" path="m,l458724,e" filled="f" strokeweight=".25633mm">
                  <v:path arrowok="t"/>
                </v:shape>
                <v:shape id="Graphic 990" o:spid="_x0000_s1028" style="position:absolute;left:458724;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" path="m53831,64597l,64597,,,53831,r,64597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5906304" behindDoc="0" locked="0" layoutInCell="1" allowOverlap="1" wp14:anchorId="68B6201E" wp14:editId="167F08FB">
                <wp:simplePos x="0" y="0"/>
                <wp:positionH relativeFrom="page">
                  <wp:posOffset>5027363</wp:posOffset>
                </wp:positionH>
                <wp:positionV relativeFrom="paragraph">
                  <wp:posOffset>-434258</wp:posOffset>
                </wp:positionV>
                <wp:extent cx="587375" cy="64769"/>
                <wp:effectExtent l="0" t="0" r="0" b="0"/>
                <wp:wrapNone/>
                <wp:docPr id="991"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375" cy="64769"/>
                          <a:chOff x="0" y="0"/>
                          <a:chExt cx="587375" cy="64769"/>
                        </a:xfrm>
                      </wpg:grpSpPr>
                      <wps:wsp>
                        <wps:cNvPr id="992" name="Graphic 992"/>
                        <wps:cNvSpPr/>
                        <wps:spPr>
                          <a:xfrm>
                            <a:off x="0" y="27685"/>
                            <a:ext cx="533400" cy="1270"/>
                          </a:xfrm>
                          <a:custGeom>
                            <a:avLst/>
                            <a:gdLst/>
                            <a:ahLst/>
                            <a:cxnLst/>
                            <a:rect l="l" t="t" r="r" b="b"/>
                            <a:pathLst>
                              <a:path w="533400">
                                <a:moveTo>
                                  <a:pt x="0" y="0"/>
                                </a:moveTo>
                                <a:lnTo>
                                  <a:pt x="532934" y="0"/>
                                </a:lnTo>
                              </a:path>
                            </a:pathLst>
                          </a:custGeom>
                          <a:ln w="9228">
                            <a:solidFill>
                              <a:srgbClr val="000000"/>
                            </a:solidFill>
                            <a:prstDash val="solid"/>
                          </a:ln>
                        </wps:spPr>
                        <wps:bodyPr wrap="square" lIns="0" tIns="0" rIns="0" bIns="0" rtlCol="0">
                          <a:prstTxWarp prst="textNoShape">
                            <a:avLst/>
                          </a:prstTxWarp>
                          <a:noAutofit/>
                        </wps:bodyPr>
                      </wps:wsp>
                      <wps:wsp>
                        <wps:cNvPr id="993" name="Graphic 993"/>
                        <wps:cNvSpPr/>
                        <wps:spPr>
                          <a:xfrm>
                            <a:off x="532934" y="0"/>
                            <a:ext cx="53975" cy="64769"/>
                          </a:xfrm>
                          <a:custGeom>
                            <a:avLst/>
                            <a:gdLst/>
                            <a:ahLst/>
                            <a:cxnLst/>
                            <a:rect l="l" t="t" r="r" b="b"/>
                            <a:pathLst>
                              <a:path w="53975" h="64769">
                                <a:moveTo>
                                  <a:pt x="53832" y="64599"/>
                                </a:moveTo>
                                <a:lnTo>
                                  <a:pt x="0" y="64599"/>
                                </a:lnTo>
                                <a:lnTo>
                                  <a:pt x="0" y="0"/>
                                </a:lnTo>
                                <a:lnTo>
                                  <a:pt x="53832" y="0"/>
                                </a:lnTo>
                                <a:lnTo>
                                  <a:pt x="53832" y="64599"/>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E1CFC64" id="Group 991" o:spid="_x0000_s1026" style="position:absolute;margin-left:395.85pt;margin-top:-34.2pt;width:46.25pt;height:5.1pt;z-index:15906304;mso-wrap-distance-left:0;mso-wrap-distance-right:0;mso-position-horizontal-relative:page" coordsize="587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">
                <v:shape id="Graphic 992" o:spid="_x0000_s1027" style="position:absolute;top:276;width:5334;height:13;visibility:visible;mso-wrap-style:square;v-text-anchor:top" coordsize="53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" path="m,l532934,e" filled="f" strokeweight=".25633mm">
                  <v:path arrowok="t"/>
                </v:shape>
                <v:shape id="Graphic 993" o:spid="_x0000_s1028" style="position:absolute;left:5329;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" path="m53832,64599l,64599,,,53832,r,64599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5906816" behindDoc="0" locked="0" layoutInCell="1" allowOverlap="1" wp14:anchorId="12220572" wp14:editId="22883F2E">
                <wp:simplePos x="0" y="0"/>
                <wp:positionH relativeFrom="page">
                  <wp:posOffset>4656694</wp:posOffset>
                </wp:positionH>
                <wp:positionV relativeFrom="paragraph">
                  <wp:posOffset>-138952</wp:posOffset>
                </wp:positionV>
                <wp:extent cx="1939925" cy="138430"/>
                <wp:effectExtent l="0" t="0" r="0" b="0"/>
                <wp:wrapNone/>
                <wp:docPr id="994"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9925" cy="138430"/>
                          <a:chOff x="0" y="0"/>
                          <a:chExt cx="1939925" cy="138430"/>
                        </a:xfrm>
                      </wpg:grpSpPr>
                      <wps:wsp>
                        <wps:cNvPr id="995" name="Graphic 995"/>
                        <wps:cNvSpPr/>
                        <wps:spPr>
                          <a:xfrm>
                            <a:off x="273387" y="27685"/>
                            <a:ext cx="630555" cy="1270"/>
                          </a:xfrm>
                          <a:custGeom>
                            <a:avLst/>
                            <a:gdLst/>
                            <a:ahLst/>
                            <a:cxnLst/>
                            <a:rect l="l" t="t" r="r" b="b"/>
                            <a:pathLst>
                              <a:path w="630555">
                                <a:moveTo>
                                  <a:pt x="0" y="0"/>
                                </a:moveTo>
                                <a:lnTo>
                                  <a:pt x="630216" y="0"/>
                                </a:lnTo>
                              </a:path>
                            </a:pathLst>
                          </a:custGeom>
                          <a:ln w="9228">
                            <a:solidFill>
                              <a:srgbClr val="000000"/>
                            </a:solidFill>
                            <a:prstDash val="solid"/>
                          </a:ln>
                        </wps:spPr>
                        <wps:bodyPr wrap="square" lIns="0" tIns="0" rIns="0" bIns="0" rtlCol="0">
                          <a:prstTxWarp prst="textNoShape">
                            <a:avLst/>
                          </a:prstTxWarp>
                          <a:noAutofit/>
                        </wps:bodyPr>
                      </wps:wsp>
                      <wps:wsp>
                        <wps:cNvPr id="996" name="Graphic 996"/>
                        <wps:cNvSpPr/>
                        <wps:spPr>
                          <a:xfrm>
                            <a:off x="903604" y="0"/>
                            <a:ext cx="53975" cy="64769"/>
                          </a:xfrm>
                          <a:custGeom>
                            <a:avLst/>
                            <a:gdLst/>
                            <a:ahLst/>
                            <a:cxnLst/>
                            <a:rect l="l" t="t" r="r" b="b"/>
                            <a:pathLst>
                              <a:path w="53975" h="64769">
                                <a:moveTo>
                                  <a:pt x="53831" y="64599"/>
                                </a:moveTo>
                                <a:lnTo>
                                  <a:pt x="0" y="64599"/>
                                </a:lnTo>
                                <a:lnTo>
                                  <a:pt x="0" y="0"/>
                                </a:lnTo>
                                <a:lnTo>
                                  <a:pt x="53831" y="0"/>
                                </a:lnTo>
                                <a:lnTo>
                                  <a:pt x="53831" y="64599"/>
                                </a:lnTo>
                                <a:close/>
                              </a:path>
                            </a:pathLst>
                          </a:custGeom>
                          <a:solidFill>
                            <a:srgbClr val="0000C0"/>
                          </a:solidFill>
                        </wps:spPr>
                        <wps:bodyPr wrap="square" lIns="0" tIns="0" rIns="0" bIns="0" rtlCol="0">
                          <a:prstTxWarp prst="textNoShape">
                            <a:avLst/>
                          </a:prstTxWarp>
                          <a:noAutofit/>
                        </wps:bodyPr>
                      </wps:wsp>
                      <wps:wsp>
                        <wps:cNvPr id="997" name="Graphic 997"/>
                        <wps:cNvSpPr/>
                        <wps:spPr>
                          <a:xfrm>
                            <a:off x="3844" y="101511"/>
                            <a:ext cx="915669" cy="1270"/>
                          </a:xfrm>
                          <a:custGeom>
                            <a:avLst/>
                            <a:gdLst/>
                            <a:ahLst/>
                            <a:cxnLst/>
                            <a:rect l="l" t="t" r="r" b="b"/>
                            <a:pathLst>
                              <a:path w="915669">
                                <a:moveTo>
                                  <a:pt x="0" y="0"/>
                                </a:moveTo>
                                <a:lnTo>
                                  <a:pt x="915140" y="0"/>
                                </a:lnTo>
                              </a:path>
                            </a:pathLst>
                          </a:custGeom>
                          <a:ln w="9228">
                            <a:solidFill>
                              <a:srgbClr val="000000"/>
                            </a:solidFill>
                            <a:prstDash val="solid"/>
                          </a:ln>
                        </wps:spPr>
                        <wps:bodyPr wrap="square" lIns="0" tIns="0" rIns="0" bIns="0" rtlCol="0">
                          <a:prstTxWarp prst="textNoShape">
                            <a:avLst/>
                          </a:prstTxWarp>
                          <a:noAutofit/>
                        </wps:bodyPr>
                      </wps:wsp>
                      <wps:wsp>
                        <wps:cNvPr id="998" name="Graphic 998"/>
                        <wps:cNvSpPr/>
                        <wps:spPr>
                          <a:xfrm>
                            <a:off x="3845" y="64598"/>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999" name="Graphic 999"/>
                        <wps:cNvSpPr/>
                        <wps:spPr>
                          <a:xfrm>
                            <a:off x="186873" y="64598"/>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1000" name="Graphic 1000"/>
                        <wps:cNvSpPr/>
                        <wps:spPr>
                          <a:xfrm>
                            <a:off x="369902" y="64599"/>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1001" name="Graphic 1001"/>
                        <wps:cNvSpPr/>
                        <wps:spPr>
                          <a:xfrm>
                            <a:off x="552546" y="64599"/>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1002" name="Graphic 1002"/>
                        <wps:cNvSpPr/>
                        <wps:spPr>
                          <a:xfrm>
                            <a:off x="735958" y="64599"/>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1003" name="Graphic 1003"/>
                        <wps:cNvSpPr/>
                        <wps:spPr>
                          <a:xfrm>
                            <a:off x="918986" y="64599"/>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1004" name="Graphic 1004"/>
                        <wps:cNvSpPr/>
                        <wps:spPr>
                          <a:xfrm>
                            <a:off x="1881794" y="23072"/>
                            <a:ext cx="1270" cy="9525"/>
                          </a:xfrm>
                          <a:custGeom>
                            <a:avLst/>
                            <a:gdLst/>
                            <a:ahLst/>
                            <a:cxnLst/>
                            <a:rect l="l" t="t" r="r" b="b"/>
                            <a:pathLst>
                              <a:path h="9525">
                                <a:moveTo>
                                  <a:pt x="0" y="0"/>
                                </a:moveTo>
                                <a:lnTo>
                                  <a:pt x="0" y="9228"/>
                                </a:lnTo>
                              </a:path>
                            </a:pathLst>
                          </a:custGeom>
                          <a:ln w="8459">
                            <a:solidFill>
                              <a:srgbClr val="000000"/>
                            </a:solidFill>
                            <a:prstDash val="solid"/>
                          </a:ln>
                        </wps:spPr>
                        <wps:bodyPr wrap="square" lIns="0" tIns="0" rIns="0" bIns="0" rtlCol="0">
                          <a:prstTxWarp prst="textNoShape">
                            <a:avLst/>
                          </a:prstTxWarp>
                          <a:noAutofit/>
                        </wps:bodyPr>
                      </wps:wsp>
                      <wps:wsp>
                        <wps:cNvPr id="1005" name="Graphic 1005"/>
                        <wps:cNvSpPr/>
                        <wps:spPr>
                          <a:xfrm>
                            <a:off x="1886024" y="1"/>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s:wsp>
                        <wps:cNvPr id="1006" name="Graphic 1006"/>
                        <wps:cNvSpPr/>
                        <wps:spPr>
                          <a:xfrm>
                            <a:off x="1003566" y="101513"/>
                            <a:ext cx="915669" cy="1270"/>
                          </a:xfrm>
                          <a:custGeom>
                            <a:avLst/>
                            <a:gdLst/>
                            <a:ahLst/>
                            <a:cxnLst/>
                            <a:rect l="l" t="t" r="r" b="b"/>
                            <a:pathLst>
                              <a:path w="915669">
                                <a:moveTo>
                                  <a:pt x="0" y="0"/>
                                </a:moveTo>
                                <a:lnTo>
                                  <a:pt x="915140" y="0"/>
                                </a:lnTo>
                              </a:path>
                            </a:pathLst>
                          </a:custGeom>
                          <a:ln w="9228">
                            <a:solidFill>
                              <a:srgbClr val="000000"/>
                            </a:solidFill>
                            <a:prstDash val="solid"/>
                          </a:ln>
                        </wps:spPr>
                        <wps:bodyPr wrap="square" lIns="0" tIns="0" rIns="0" bIns="0" rtlCol="0">
                          <a:prstTxWarp prst="textNoShape">
                            <a:avLst/>
                          </a:prstTxWarp>
                          <a:noAutofit/>
                        </wps:bodyPr>
                      </wps:wsp>
                      <wps:wsp>
                        <wps:cNvPr id="1007" name="Graphic 1007"/>
                        <wps:cNvSpPr/>
                        <wps:spPr>
                          <a:xfrm>
                            <a:off x="1003566" y="64600"/>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1008" name="Graphic 1008"/>
                        <wps:cNvSpPr/>
                        <wps:spPr>
                          <a:xfrm>
                            <a:off x="1186593" y="64600"/>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1009" name="Graphic 1009"/>
                        <wps:cNvSpPr/>
                        <wps:spPr>
                          <a:xfrm>
                            <a:off x="1369621" y="64600"/>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1010" name="Graphic 1010"/>
                        <wps:cNvSpPr/>
                        <wps:spPr>
                          <a:xfrm>
                            <a:off x="1552263" y="64601"/>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1011" name="Graphic 1011"/>
                        <wps:cNvSpPr/>
                        <wps:spPr>
                          <a:xfrm>
                            <a:off x="1735676" y="64601"/>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s:wsp>
                        <wps:cNvPr id="1012" name="Graphic 1012"/>
                        <wps:cNvSpPr/>
                        <wps:spPr>
                          <a:xfrm>
                            <a:off x="1918703" y="64601"/>
                            <a:ext cx="1270" cy="74295"/>
                          </a:xfrm>
                          <a:custGeom>
                            <a:avLst/>
                            <a:gdLst/>
                            <a:ahLst/>
                            <a:cxnLst/>
                            <a:rect l="l" t="t" r="r" b="b"/>
                            <a:pathLst>
                              <a:path h="74295">
                                <a:moveTo>
                                  <a:pt x="0" y="0"/>
                                </a:moveTo>
                                <a:lnTo>
                                  <a:pt x="0" y="73826"/>
                                </a:lnTo>
                              </a:path>
                            </a:pathLst>
                          </a:custGeom>
                          <a:ln w="76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25791D" id="Group 994" o:spid="_x0000_s1026" style="position:absolute;margin-left:366.65pt;margin-top:-10.95pt;width:152.75pt;height:10.9pt;z-index:15906816;mso-wrap-distance-left:0;mso-wrap-distance-right:0;mso-position-horizontal-relative:page" coordsize="19399,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">
                <v:shape id="Graphic 995" o:spid="_x0000_s1027" style="position:absolute;left:2733;top:276;width:6306;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" path="m,l630216,e" filled="f" strokeweight=".25633mm">
                  <v:path arrowok="t"/>
                </v:shape>
                <v:shape id="Graphic 996" o:spid="_x0000_s1028" style="position:absolute;left:9036;width:539;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" path="m53831,64599l,64599,,,53831,r,64599xe" fillcolor="#0000c0" stroked="f">
                  <v:path arrowok="t"/>
                </v:shape>
                <v:shape id="Graphic 997" o:spid="_x0000_s1029" style="position:absolute;left:38;top:1015;width:9157;height:12;visibility:visible;mso-wrap-style:square;v-text-anchor:top" coordsize="9156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" path="m,l915140,e" filled="f" strokeweight=".25633mm">
                  <v:path arrowok="t"/>
                </v:shape>
                <v:shape id="Graphic 998" o:spid="_x0000_s1030" style="position:absolute;left:38;top:645;width:13;height:743;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" path="m,l,73826e" filled="f" strokeweight=".21361mm">
                  <v:path arrowok="t"/>
                </v:shape>
                <v:shape id="Graphic 999" o:spid="_x0000_s1031" style="position:absolute;left:1868;top:645;width:13;height:743;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" path="m,l,73826e" filled="f" strokeweight=".21361mm">
                  <v:path arrowok="t"/>
                </v:shape>
                <v:shape id="Graphic 1000" o:spid="_x0000_s1032" style="position:absolute;left:3699;top:645;width:12;height:743;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" path="m,l,73826e" filled="f" strokeweight=".21361mm">
                  <v:path arrowok="t"/>
                </v:shape>
                <v:shape id="Graphic 1001" o:spid="_x0000_s1033" style="position:absolute;left:5525;top:645;width:13;height:743;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" path="m,l,73826e" filled="f" strokeweight=".21361mm">
                  <v:path arrowok="t"/>
                </v:shape>
                <v:shape id="Graphic 1002" o:spid="_x0000_s1034" style="position:absolute;left:7359;top:645;width:13;height:743;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" path="m,l,73826e" filled="f" strokeweight=".21361mm">
                  <v:path arrowok="t"/>
                </v:shape>
                <v:shape id="Graphic 1003" o:spid="_x0000_s1035" style="position:absolute;left:9189;top:645;width:13;height:743;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" path="m,l,73826e" filled="f" strokeweight=".21361mm">
                  <v:path arrowok="t"/>
                </v:shape>
                <v:shape id="Graphic 1004" o:spid="_x0000_s1036" style="position:absolute;left:18817;top:230;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" path="m,l,9228e" filled="f" strokeweight=".23497mm">
                  <v:path arrowok="t"/>
                </v:shape>
                <v:shape id="Graphic 1005" o:spid="_x0000_s1037" style="position:absolute;left:18860;width:539;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" path="m53831,64598l,64598,,,53831,r,64598xe" fillcolor="#0000c0" stroked="f">
                  <v:path arrowok="t"/>
                </v:shape>
                <v:shape id="Graphic 1006" o:spid="_x0000_s1038" style="position:absolute;left:10035;top:1015;width:9157;height:12;visibility:visible;mso-wrap-style:square;v-text-anchor:top" coordsize="9156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" path="m,l915140,e" filled="f" strokeweight=".25633mm">
                  <v:path arrowok="t"/>
                </v:shape>
                <v:shape id="Graphic 1007" o:spid="_x0000_s1039" style="position:absolute;left:10035;top:646;width:13;height:742;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" path="m,l,73826e" filled="f" strokeweight=".21361mm">
                  <v:path arrowok="t"/>
                </v:shape>
                <v:shape id="Graphic 1008" o:spid="_x0000_s1040" style="position:absolute;left:11865;top:646;width:13;height:742;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" path="m,l,73826e" filled="f" strokeweight=".21361mm">
                  <v:path arrowok="t"/>
                </v:shape>
                <v:shape id="Graphic 1009" o:spid="_x0000_s1041" style="position:absolute;left:13696;top:646;width:12;height:742;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" path="m,l,73826e" filled="f" strokeweight=".21361mm">
                  <v:path arrowok="t"/>
                </v:shape>
                <v:shape id="Graphic 1010" o:spid="_x0000_s1042" style="position:absolute;left:15522;top:646;width:13;height:742;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" path="m,l,73826e" filled="f" strokeweight=".21361mm">
                  <v:path arrowok="t"/>
                </v:shape>
                <v:shape id="Graphic 1011" o:spid="_x0000_s1043" style="position:absolute;left:17356;top:646;width:13;height:742;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" path="m,l,73826e" filled="f" strokeweight=".21361mm">
                  <v:path arrowok="t"/>
                </v:shape>
                <v:shape id="Graphic 1012" o:spid="_x0000_s1044" style="position:absolute;left:19187;top:646;width:12;height:742;visibility:visible;mso-wrap-style:square;v-text-anchor:top" coordsize="127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" path="m,l,73826e" filled="f" strokeweight=".21361mm">
                  <v:path arrowok="t"/>
                </v:shape>
                <w10:wrap anchorx="page"/>
              </v:group>
            </w:pict>
          </mc:Fallback>
        </mc:AlternateContent>
      </w:r>
      <w:r w:rsidRPr="003C6DAE">
        <w:rPr>
          <w:rFonts w:ascii="Trebuchet MS"/>
          <w:w w:val="85"/>
          <w:sz w:val="17"/>
          <w:lang w:val="uk-UA"/>
        </w:rPr>
        <w:t>0</w:t>
      </w:r>
      <w:r w:rsidRPr="003C6DAE">
        <w:rPr>
          <w:rFonts w:ascii="Trebuchet MS"/>
          <w:spacing w:val="49"/>
          <w:sz w:val="17"/>
          <w:lang w:val="uk-UA"/>
        </w:rPr>
        <w:t xml:space="preserve"> </w:t>
      </w:r>
      <w:r w:rsidRPr="003C6DAE">
        <w:rPr>
          <w:rFonts w:ascii="Trebuchet MS"/>
          <w:w w:val="85"/>
          <w:sz w:val="17"/>
          <w:lang w:val="uk-UA"/>
        </w:rPr>
        <w:t>0.2</w:t>
      </w:r>
      <w:r w:rsidRPr="003C6DAE">
        <w:rPr>
          <w:rFonts w:ascii="Trebuchet MS"/>
          <w:spacing w:val="32"/>
          <w:sz w:val="17"/>
          <w:lang w:val="uk-UA"/>
        </w:rPr>
        <w:t xml:space="preserve"> </w:t>
      </w:r>
      <w:r w:rsidRPr="003C6DAE">
        <w:rPr>
          <w:rFonts w:ascii="Trebuchet MS"/>
          <w:w w:val="85"/>
          <w:sz w:val="17"/>
          <w:lang w:val="uk-UA"/>
        </w:rPr>
        <w:t>0.4</w:t>
      </w:r>
      <w:r w:rsidRPr="003C6DAE">
        <w:rPr>
          <w:rFonts w:ascii="Trebuchet MS"/>
          <w:spacing w:val="32"/>
          <w:sz w:val="17"/>
          <w:lang w:val="uk-UA"/>
        </w:rPr>
        <w:t xml:space="preserve"> </w:t>
      </w:r>
      <w:r w:rsidRPr="003C6DAE">
        <w:rPr>
          <w:rFonts w:ascii="Trebuchet MS"/>
          <w:w w:val="85"/>
          <w:sz w:val="17"/>
          <w:lang w:val="uk-UA"/>
        </w:rPr>
        <w:t>0.6</w:t>
      </w:r>
      <w:r w:rsidRPr="003C6DAE">
        <w:rPr>
          <w:rFonts w:ascii="Trebuchet MS"/>
          <w:spacing w:val="32"/>
          <w:sz w:val="17"/>
          <w:lang w:val="uk-UA"/>
        </w:rPr>
        <w:t xml:space="preserve"> </w:t>
      </w:r>
      <w:r w:rsidRPr="003C6DAE">
        <w:rPr>
          <w:rFonts w:ascii="Trebuchet MS"/>
          <w:w w:val="85"/>
          <w:sz w:val="17"/>
          <w:lang w:val="uk-UA"/>
        </w:rPr>
        <w:t>0.8</w:t>
      </w:r>
      <w:r w:rsidRPr="003C6DAE">
        <w:rPr>
          <w:rFonts w:ascii="Trebuchet MS"/>
          <w:spacing w:val="50"/>
          <w:sz w:val="17"/>
          <w:lang w:val="uk-UA"/>
        </w:rPr>
        <w:t xml:space="preserve"> </w:t>
      </w:r>
      <w:r w:rsidRPr="003C6DAE">
        <w:rPr>
          <w:rFonts w:ascii="Trebuchet MS"/>
          <w:spacing w:val="-10"/>
          <w:w w:val="85"/>
          <w:sz w:val="17"/>
          <w:lang w:val="uk-UA"/>
        </w:rPr>
        <w:t>1</w:t>
      </w:r>
    </w:p>
    <w:p w14:paraId="6BC3AA04" w14:textId="071910F0" w:rsidR="00E05B98" w:rsidRPr="003C6DAE" w:rsidRDefault="00B01E0C">
      <w:pPr>
        <w:spacing w:before="107"/>
        <w:ind w:left="178"/>
        <w:rPr>
          <w:rFonts w:ascii="Trebuchet MS"/>
          <w:sz w:val="17"/>
          <w:lang w:val="uk-UA"/>
        </w:rPr>
      </w:pPr>
      <w:r w:rsidRPr="003C6DAE">
        <w:rPr>
          <w:lang w:val="uk-UA"/>
        </w:rPr>
        <w:br w:type="column"/>
      </w:r>
      <w:r w:rsidR="00F85740" w:rsidRPr="003C6DAE">
        <w:rPr>
          <w:rFonts w:ascii="Trebuchet MS"/>
          <w:color w:val="333333"/>
          <w:w w:val="80"/>
          <w:sz w:val="17"/>
          <w:lang w:val="uk-UA"/>
        </w:rPr>
        <w:t>Специфічність</w:t>
      </w:r>
      <w:r w:rsidR="00F85740" w:rsidRPr="003C6DAE">
        <w:rPr>
          <w:rFonts w:ascii="Trebuchet MS"/>
          <w:color w:val="333333"/>
          <w:w w:val="80"/>
          <w:sz w:val="17"/>
          <w:lang w:val="uk-UA"/>
        </w:rPr>
        <w:t>(95%</w:t>
      </w:r>
      <w:r w:rsidR="00F85740" w:rsidRPr="003C6DAE">
        <w:rPr>
          <w:rFonts w:ascii="Trebuchet MS"/>
          <w:color w:val="333333"/>
          <w:spacing w:val="18"/>
          <w:sz w:val="17"/>
          <w:lang w:val="uk-UA"/>
        </w:rPr>
        <w:t xml:space="preserve"> </w:t>
      </w:r>
      <w:r w:rsidR="00F85740" w:rsidRPr="003C6DAE">
        <w:rPr>
          <w:rFonts w:ascii="Trebuchet MS"/>
          <w:color w:val="333333"/>
          <w:spacing w:val="-14"/>
          <w:w w:val="80"/>
          <w:sz w:val="17"/>
          <w:lang w:val="uk-UA"/>
        </w:rPr>
        <w:t>ДІ</w:t>
      </w:r>
      <w:r w:rsidR="00F85740" w:rsidRPr="003C6DAE">
        <w:rPr>
          <w:rFonts w:ascii="Trebuchet MS"/>
          <w:color w:val="333333"/>
          <w:spacing w:val="-5"/>
          <w:w w:val="80"/>
          <w:sz w:val="17"/>
          <w:lang w:val="uk-UA"/>
        </w:rPr>
        <w:t>)</w:t>
      </w:r>
    </w:p>
    <w:p w14:paraId="4C5E4ACC" w14:textId="77777777" w:rsidR="00E05B98" w:rsidRPr="003C6DAE" w:rsidRDefault="00B01E0C">
      <w:pPr>
        <w:pStyle w:val="a3"/>
        <w:spacing w:before="8"/>
        <w:rPr>
          <w:rFonts w:ascii="Trebuchet MS"/>
          <w:sz w:val="4"/>
          <w:lang w:val="uk-UA"/>
        </w:rPr>
      </w:pPr>
      <w:r w:rsidRPr="003C6DAE">
        <w:rPr>
          <w:rFonts w:ascii="Trebuchet MS"/>
          <w:noProof/>
          <w:sz w:val="4"/>
          <w:lang w:val="uk-UA"/>
        </w:rPr>
        <mc:AlternateContent>
          <mc:Choice Requires="wpg">
            <w:drawing>
              <wp:anchor distT="0" distB="0" distL="0" distR="0" simplePos="0" relativeHeight="487752192" behindDoc="1" locked="0" layoutInCell="1" allowOverlap="1" wp14:anchorId="75F2332E" wp14:editId="1F179412">
                <wp:simplePos x="0" y="0"/>
                <wp:positionH relativeFrom="page">
                  <wp:posOffset>6027099</wp:posOffset>
                </wp:positionH>
                <wp:positionV relativeFrom="paragraph">
                  <wp:posOffset>50023</wp:posOffset>
                </wp:positionV>
                <wp:extent cx="587375" cy="64769"/>
                <wp:effectExtent l="0" t="0" r="0" b="0"/>
                <wp:wrapTopAndBottom/>
                <wp:docPr id="10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375" cy="64769"/>
                          <a:chOff x="0" y="0"/>
                          <a:chExt cx="587375" cy="64769"/>
                        </a:xfrm>
                      </wpg:grpSpPr>
                      <wps:wsp>
                        <wps:cNvPr id="1014" name="Graphic 1014"/>
                        <wps:cNvSpPr/>
                        <wps:spPr>
                          <a:xfrm>
                            <a:off x="0" y="27684"/>
                            <a:ext cx="533400" cy="1270"/>
                          </a:xfrm>
                          <a:custGeom>
                            <a:avLst/>
                            <a:gdLst/>
                            <a:ahLst/>
                            <a:cxnLst/>
                            <a:rect l="l" t="t" r="r" b="b"/>
                            <a:pathLst>
                              <a:path w="533400">
                                <a:moveTo>
                                  <a:pt x="0" y="0"/>
                                </a:moveTo>
                                <a:lnTo>
                                  <a:pt x="532935" y="0"/>
                                </a:lnTo>
                              </a:path>
                            </a:pathLst>
                          </a:custGeom>
                          <a:ln w="9228">
                            <a:solidFill>
                              <a:srgbClr val="000000"/>
                            </a:solidFill>
                            <a:prstDash val="solid"/>
                          </a:ln>
                        </wps:spPr>
                        <wps:bodyPr wrap="square" lIns="0" tIns="0" rIns="0" bIns="0" rtlCol="0">
                          <a:prstTxWarp prst="textNoShape">
                            <a:avLst/>
                          </a:prstTxWarp>
                          <a:noAutofit/>
                        </wps:bodyPr>
                      </wps:wsp>
                      <wps:wsp>
                        <wps:cNvPr id="1015" name="Graphic 1015"/>
                        <wps:cNvSpPr/>
                        <wps:spPr>
                          <a:xfrm>
                            <a:off x="532935" y="0"/>
                            <a:ext cx="53975" cy="64769"/>
                          </a:xfrm>
                          <a:custGeom>
                            <a:avLst/>
                            <a:gdLst/>
                            <a:ahLst/>
                            <a:cxnLst/>
                            <a:rect l="l" t="t" r="r" b="b"/>
                            <a:pathLst>
                              <a:path w="53975" h="64769">
                                <a:moveTo>
                                  <a:pt x="53831" y="64597"/>
                                </a:moveTo>
                                <a:lnTo>
                                  <a:pt x="0" y="64597"/>
                                </a:lnTo>
                                <a:lnTo>
                                  <a:pt x="0" y="0"/>
                                </a:lnTo>
                                <a:lnTo>
                                  <a:pt x="53831" y="0"/>
                                </a:lnTo>
                                <a:lnTo>
                                  <a:pt x="53831" y="6459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EE9F891" id="Group 1013" o:spid="_x0000_s1026" style="position:absolute;margin-left:474.55pt;margin-top:3.95pt;width:46.25pt;height:5.1pt;z-index:-15564288;mso-wrap-distance-left:0;mso-wrap-distance-right:0;mso-position-horizontal-relative:page" coordsize="587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">
                <v:shape id="Graphic 1014" o:spid="_x0000_s1027" style="position:absolute;top:276;width:5334;height:13;visibility:visible;mso-wrap-style:square;v-text-anchor:top" coordsize="53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" path="m,l532935,e" filled="f" strokeweight=".25633mm">
                  <v:path arrowok="t"/>
                </v:shape>
                <v:shape id="Graphic 1015" o:spid="_x0000_s1028" style="position:absolute;left:5329;width:540;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" path="m53831,64597l,64597,,,53831,r,64597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52704" behindDoc="1" locked="0" layoutInCell="1" allowOverlap="1" wp14:anchorId="59894A6B" wp14:editId="66983BC5">
                <wp:simplePos x="0" y="0"/>
                <wp:positionH relativeFrom="page">
                  <wp:posOffset>6101309</wp:posOffset>
                </wp:positionH>
                <wp:positionV relativeFrom="paragraph">
                  <wp:posOffset>197675</wp:posOffset>
                </wp:positionV>
                <wp:extent cx="513080" cy="64769"/>
                <wp:effectExtent l="0" t="0" r="0" b="0"/>
                <wp:wrapTopAndBottom/>
                <wp:docPr id="1016"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 cy="64769"/>
                          <a:chOff x="0" y="0"/>
                          <a:chExt cx="513080" cy="64769"/>
                        </a:xfrm>
                      </wpg:grpSpPr>
                      <wps:wsp>
                        <wps:cNvPr id="1017" name="Graphic 1017"/>
                        <wps:cNvSpPr/>
                        <wps:spPr>
                          <a:xfrm>
                            <a:off x="0" y="27685"/>
                            <a:ext cx="459105" cy="1270"/>
                          </a:xfrm>
                          <a:custGeom>
                            <a:avLst/>
                            <a:gdLst/>
                            <a:ahLst/>
                            <a:cxnLst/>
                            <a:rect l="l" t="t" r="r" b="b"/>
                            <a:pathLst>
                              <a:path w="459105">
                                <a:moveTo>
                                  <a:pt x="0" y="0"/>
                                </a:moveTo>
                                <a:lnTo>
                                  <a:pt x="458723" y="0"/>
                                </a:lnTo>
                              </a:path>
                            </a:pathLst>
                          </a:custGeom>
                          <a:ln w="9228">
                            <a:solidFill>
                              <a:srgbClr val="000000"/>
                            </a:solidFill>
                            <a:prstDash val="solid"/>
                          </a:ln>
                        </wps:spPr>
                        <wps:bodyPr wrap="square" lIns="0" tIns="0" rIns="0" bIns="0" rtlCol="0">
                          <a:prstTxWarp prst="textNoShape">
                            <a:avLst/>
                          </a:prstTxWarp>
                          <a:noAutofit/>
                        </wps:bodyPr>
                      </wps:wsp>
                      <wps:wsp>
                        <wps:cNvPr id="1018" name="Graphic 1018"/>
                        <wps:cNvSpPr/>
                        <wps:spPr>
                          <a:xfrm>
                            <a:off x="458723" y="0"/>
                            <a:ext cx="53975" cy="64769"/>
                          </a:xfrm>
                          <a:custGeom>
                            <a:avLst/>
                            <a:gdLst/>
                            <a:ahLst/>
                            <a:cxnLst/>
                            <a:rect l="l" t="t" r="r" b="b"/>
                            <a:pathLst>
                              <a:path w="53975" h="64769">
                                <a:moveTo>
                                  <a:pt x="53831" y="64599"/>
                                </a:moveTo>
                                <a:lnTo>
                                  <a:pt x="0" y="64599"/>
                                </a:lnTo>
                                <a:lnTo>
                                  <a:pt x="0" y="0"/>
                                </a:lnTo>
                                <a:lnTo>
                                  <a:pt x="53831" y="0"/>
                                </a:lnTo>
                                <a:lnTo>
                                  <a:pt x="53831" y="64599"/>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D5CA594" id="Group 1016" o:spid="_x0000_s1026" style="position:absolute;margin-left:480.4pt;margin-top:15.55pt;width:40.4pt;height:5.1pt;z-index:-15563776;mso-wrap-distance-left:0;mso-wrap-distance-right:0;mso-position-horizontal-relative:page" coordsize="51308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">
                <v:shape id="Graphic 1017" o:spid="_x0000_s1027" style="position:absolute;top:27685;width:459105;height:1270;visibility:visible;mso-wrap-style:square;v-text-anchor:top" coordsize="459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" path="m,l458723,e" filled="f" strokeweight=".25633mm">
                  <v:path arrowok="t"/>
                </v:shape>
                <v:shape id="Graphic 1018" o:spid="_x0000_s1028" style="position:absolute;left:458723;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" path="m53831,64599l,64599,,,53831,r,64599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53216" behindDoc="1" locked="0" layoutInCell="1" allowOverlap="1" wp14:anchorId="1B9F774D" wp14:editId="7939EE79">
                <wp:simplePos x="0" y="0"/>
                <wp:positionH relativeFrom="page">
                  <wp:posOffset>6158985</wp:posOffset>
                </wp:positionH>
                <wp:positionV relativeFrom="paragraph">
                  <wp:posOffset>345329</wp:posOffset>
                </wp:positionV>
                <wp:extent cx="455295" cy="64769"/>
                <wp:effectExtent l="0" t="0" r="0" b="0"/>
                <wp:wrapTopAndBottom/>
                <wp:docPr id="1019"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295" cy="64769"/>
                          <a:chOff x="0" y="0"/>
                          <a:chExt cx="455295" cy="64769"/>
                        </a:xfrm>
                      </wpg:grpSpPr>
                      <wps:wsp>
                        <wps:cNvPr id="1020" name="Graphic 1020"/>
                        <wps:cNvSpPr/>
                        <wps:spPr>
                          <a:xfrm>
                            <a:off x="0" y="27684"/>
                            <a:ext cx="401320" cy="1270"/>
                          </a:xfrm>
                          <a:custGeom>
                            <a:avLst/>
                            <a:gdLst/>
                            <a:ahLst/>
                            <a:cxnLst/>
                            <a:rect l="l" t="t" r="r" b="b"/>
                            <a:pathLst>
                              <a:path w="401320">
                                <a:moveTo>
                                  <a:pt x="0" y="0"/>
                                </a:moveTo>
                                <a:lnTo>
                                  <a:pt x="401046" y="0"/>
                                </a:lnTo>
                              </a:path>
                            </a:pathLst>
                          </a:custGeom>
                          <a:ln w="9228">
                            <a:solidFill>
                              <a:srgbClr val="000000"/>
                            </a:solidFill>
                            <a:prstDash val="solid"/>
                          </a:ln>
                        </wps:spPr>
                        <wps:bodyPr wrap="square" lIns="0" tIns="0" rIns="0" bIns="0" rtlCol="0">
                          <a:prstTxWarp prst="textNoShape">
                            <a:avLst/>
                          </a:prstTxWarp>
                          <a:noAutofit/>
                        </wps:bodyPr>
                      </wps:wsp>
                      <wps:wsp>
                        <wps:cNvPr id="1021" name="Graphic 1021"/>
                        <wps:cNvSpPr/>
                        <wps:spPr>
                          <a:xfrm>
                            <a:off x="401046"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A4EC73F" id="Group 1019" o:spid="_x0000_s1026" style="position:absolute;margin-left:484.95pt;margin-top:27.2pt;width:35.85pt;height:5.1pt;z-index:-15563264;mso-wrap-distance-left:0;mso-wrap-distance-right:0;mso-position-horizontal-relative:page" coordsize="45529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">
                <v:shape id="Graphic 1020" o:spid="_x0000_s1027" style="position:absolute;top:27684;width:401320;height:1270;visibility:visible;mso-wrap-style:square;v-text-anchor:top" coordsize="401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" path="m,l401046,e" filled="f" strokeweight=".25633mm">
                  <v:path arrowok="t"/>
                </v:shape>
                <v:shape id="Graphic 1021" o:spid="_x0000_s1028" style="position:absolute;left:401046;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" path="m53831,64598l,64598,,,53831,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53728" behindDoc="1" locked="0" layoutInCell="1" allowOverlap="1" wp14:anchorId="4331781D" wp14:editId="3E7E861A">
                <wp:simplePos x="0" y="0"/>
                <wp:positionH relativeFrom="page">
                  <wp:posOffset>6493126</wp:posOffset>
                </wp:positionH>
                <wp:positionV relativeFrom="paragraph">
                  <wp:posOffset>492981</wp:posOffset>
                </wp:positionV>
                <wp:extent cx="121285" cy="64769"/>
                <wp:effectExtent l="0" t="0" r="0" b="0"/>
                <wp:wrapTopAndBottom/>
                <wp:docPr id="1022"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285" cy="64769"/>
                          <a:chOff x="0" y="0"/>
                          <a:chExt cx="121285" cy="64769"/>
                        </a:xfrm>
                      </wpg:grpSpPr>
                      <wps:wsp>
                        <wps:cNvPr id="1023" name="Graphic 1023"/>
                        <wps:cNvSpPr/>
                        <wps:spPr>
                          <a:xfrm>
                            <a:off x="0" y="27685"/>
                            <a:ext cx="67310" cy="1270"/>
                          </a:xfrm>
                          <a:custGeom>
                            <a:avLst/>
                            <a:gdLst/>
                            <a:ahLst/>
                            <a:cxnLst/>
                            <a:rect l="l" t="t" r="r" b="b"/>
                            <a:pathLst>
                              <a:path w="67310">
                                <a:moveTo>
                                  <a:pt x="0" y="0"/>
                                </a:moveTo>
                                <a:lnTo>
                                  <a:pt x="66905" y="0"/>
                                </a:lnTo>
                              </a:path>
                            </a:pathLst>
                          </a:custGeom>
                          <a:ln w="9228">
                            <a:solidFill>
                              <a:srgbClr val="000000"/>
                            </a:solidFill>
                            <a:prstDash val="solid"/>
                          </a:ln>
                        </wps:spPr>
                        <wps:bodyPr wrap="square" lIns="0" tIns="0" rIns="0" bIns="0" rtlCol="0">
                          <a:prstTxWarp prst="textNoShape">
                            <a:avLst/>
                          </a:prstTxWarp>
                          <a:noAutofit/>
                        </wps:bodyPr>
                      </wps:wsp>
                      <wps:wsp>
                        <wps:cNvPr id="1024" name="Graphic 1024"/>
                        <wps:cNvSpPr/>
                        <wps:spPr>
                          <a:xfrm>
                            <a:off x="66905"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B5017F9" id="Group 1022" o:spid="_x0000_s1026" style="position:absolute;margin-left:511.25pt;margin-top:38.8pt;width:9.55pt;height:5.1pt;z-index:-15562752;mso-wrap-distance-left:0;mso-wrap-distance-right:0;mso-position-horizontal-relative:page" coordsize="12128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">
                <v:shape id="Graphic 1023" o:spid="_x0000_s1027" style="position:absolute;top:27685;width:67310;height:1270;visibility:visible;mso-wrap-style:square;v-text-anchor:top" coordsize="67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" path="m,l66905,e" filled="f" strokeweight=".25633mm">
                  <v:path arrowok="t"/>
                </v:shape>
                <v:shape id="Graphic 1024" o:spid="_x0000_s1028" style="position:absolute;left:66905;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" path="m53831,64598l,64598,,,53831,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54240" behindDoc="1" locked="0" layoutInCell="1" allowOverlap="1" wp14:anchorId="4AB77342" wp14:editId="16EB6DE3">
                <wp:simplePos x="0" y="0"/>
                <wp:positionH relativeFrom="page">
                  <wp:posOffset>6242039</wp:posOffset>
                </wp:positionH>
                <wp:positionV relativeFrom="paragraph">
                  <wp:posOffset>640633</wp:posOffset>
                </wp:positionV>
                <wp:extent cx="372110" cy="64769"/>
                <wp:effectExtent l="0" t="0" r="0" b="0"/>
                <wp:wrapTopAndBottom/>
                <wp:docPr id="102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 cy="64769"/>
                          <a:chOff x="0" y="0"/>
                          <a:chExt cx="372110" cy="64769"/>
                        </a:xfrm>
                      </wpg:grpSpPr>
                      <wps:wsp>
                        <wps:cNvPr id="1026" name="Graphic 1026"/>
                        <wps:cNvSpPr/>
                        <wps:spPr>
                          <a:xfrm>
                            <a:off x="0" y="27685"/>
                            <a:ext cx="318135" cy="1270"/>
                          </a:xfrm>
                          <a:custGeom>
                            <a:avLst/>
                            <a:gdLst/>
                            <a:ahLst/>
                            <a:cxnLst/>
                            <a:rect l="l" t="t" r="r" b="b"/>
                            <a:pathLst>
                              <a:path w="318135">
                                <a:moveTo>
                                  <a:pt x="0" y="0"/>
                                </a:moveTo>
                                <a:lnTo>
                                  <a:pt x="317991" y="0"/>
                                </a:lnTo>
                              </a:path>
                            </a:pathLst>
                          </a:custGeom>
                          <a:ln w="9228">
                            <a:solidFill>
                              <a:srgbClr val="000000"/>
                            </a:solidFill>
                            <a:prstDash val="solid"/>
                          </a:ln>
                        </wps:spPr>
                        <wps:bodyPr wrap="square" lIns="0" tIns="0" rIns="0" bIns="0" rtlCol="0">
                          <a:prstTxWarp prst="textNoShape">
                            <a:avLst/>
                          </a:prstTxWarp>
                          <a:noAutofit/>
                        </wps:bodyPr>
                      </wps:wsp>
                      <wps:wsp>
                        <wps:cNvPr id="1027" name="Graphic 1027"/>
                        <wps:cNvSpPr/>
                        <wps:spPr>
                          <a:xfrm>
                            <a:off x="317991" y="0"/>
                            <a:ext cx="53975" cy="64769"/>
                          </a:xfrm>
                          <a:custGeom>
                            <a:avLst/>
                            <a:gdLst/>
                            <a:ahLst/>
                            <a:cxnLst/>
                            <a:rect l="l" t="t" r="r" b="b"/>
                            <a:pathLst>
                              <a:path w="53975" h="64769">
                                <a:moveTo>
                                  <a:pt x="53832" y="64599"/>
                                </a:moveTo>
                                <a:lnTo>
                                  <a:pt x="0" y="64599"/>
                                </a:lnTo>
                                <a:lnTo>
                                  <a:pt x="0" y="0"/>
                                </a:lnTo>
                                <a:lnTo>
                                  <a:pt x="53832" y="0"/>
                                </a:lnTo>
                                <a:lnTo>
                                  <a:pt x="53832" y="64599"/>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4E4BEE4" id="Group 1025" o:spid="_x0000_s1026" style="position:absolute;margin-left:491.5pt;margin-top:50.45pt;width:29.3pt;height:5.1pt;z-index:-15562240;mso-wrap-distance-left:0;mso-wrap-distance-right:0;mso-position-horizontal-relative:page" coordsize="37211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">
                <v:shape id="Graphic 1026" o:spid="_x0000_s1027" style="position:absolute;top:27685;width:318135;height:1270;visibility:visible;mso-wrap-style:square;v-text-anchor:top" coordsize="318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" path="m,l317991,e" filled="f" strokeweight=".25633mm">
                  <v:path arrowok="t"/>
                </v:shape>
                <v:shape id="Graphic 1027" o:spid="_x0000_s1028" style="position:absolute;left:317991;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" path="m53832,64599l,64599,,,53832,r,64599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54752" behindDoc="1" locked="0" layoutInCell="1" allowOverlap="1" wp14:anchorId="387BA276" wp14:editId="60E35A28">
                <wp:simplePos x="0" y="0"/>
                <wp:positionH relativeFrom="page">
                  <wp:posOffset>6460826</wp:posOffset>
                </wp:positionH>
                <wp:positionV relativeFrom="paragraph">
                  <wp:posOffset>788287</wp:posOffset>
                </wp:positionV>
                <wp:extent cx="153035" cy="64769"/>
                <wp:effectExtent l="0" t="0" r="0" b="0"/>
                <wp:wrapTopAndBottom/>
                <wp:docPr id="1028"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 cy="64769"/>
                          <a:chOff x="0" y="0"/>
                          <a:chExt cx="153035" cy="64769"/>
                        </a:xfrm>
                      </wpg:grpSpPr>
                      <wps:wsp>
                        <wps:cNvPr id="1029" name="Graphic 1029"/>
                        <wps:cNvSpPr/>
                        <wps:spPr>
                          <a:xfrm>
                            <a:off x="0" y="27684"/>
                            <a:ext cx="99695" cy="1270"/>
                          </a:xfrm>
                          <a:custGeom>
                            <a:avLst/>
                            <a:gdLst/>
                            <a:ahLst/>
                            <a:cxnLst/>
                            <a:rect l="l" t="t" r="r" b="b"/>
                            <a:pathLst>
                              <a:path w="99695">
                                <a:moveTo>
                                  <a:pt x="0" y="0"/>
                                </a:moveTo>
                                <a:lnTo>
                                  <a:pt x="99203" y="0"/>
                                </a:lnTo>
                              </a:path>
                            </a:pathLst>
                          </a:custGeom>
                          <a:ln w="9228">
                            <a:solidFill>
                              <a:srgbClr val="000000"/>
                            </a:solidFill>
                            <a:prstDash val="solid"/>
                          </a:ln>
                        </wps:spPr>
                        <wps:bodyPr wrap="square" lIns="0" tIns="0" rIns="0" bIns="0" rtlCol="0">
                          <a:prstTxWarp prst="textNoShape">
                            <a:avLst/>
                          </a:prstTxWarp>
                          <a:noAutofit/>
                        </wps:bodyPr>
                      </wps:wsp>
                      <wps:wsp>
                        <wps:cNvPr id="1030" name="Graphic 1030"/>
                        <wps:cNvSpPr/>
                        <wps:spPr>
                          <a:xfrm>
                            <a:off x="99203" y="0"/>
                            <a:ext cx="53975" cy="64769"/>
                          </a:xfrm>
                          <a:custGeom>
                            <a:avLst/>
                            <a:gdLst/>
                            <a:ahLst/>
                            <a:cxnLst/>
                            <a:rect l="l" t="t" r="r" b="b"/>
                            <a:pathLst>
                              <a:path w="53975" h="64769">
                                <a:moveTo>
                                  <a:pt x="53833" y="64598"/>
                                </a:moveTo>
                                <a:lnTo>
                                  <a:pt x="0" y="64598"/>
                                </a:lnTo>
                                <a:lnTo>
                                  <a:pt x="0" y="0"/>
                                </a:lnTo>
                                <a:lnTo>
                                  <a:pt x="53833" y="0"/>
                                </a:lnTo>
                                <a:lnTo>
                                  <a:pt x="53833"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E72B7A2" id="Group 1028" o:spid="_x0000_s1026" style="position:absolute;margin-left:508.75pt;margin-top:62.05pt;width:12.05pt;height:5.1pt;z-index:-15561728;mso-wrap-distance-left:0;mso-wrap-distance-right:0;mso-position-horizontal-relative:page" coordsize="15303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">
                <v:shape id="Graphic 1029" o:spid="_x0000_s1027" style="position:absolute;top:27684;width:99695;height:1270;visibility:visible;mso-wrap-style:square;v-text-anchor:top" coordsize="996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" path="m,l99203,e" filled="f" strokeweight=".25633mm">
                  <v:path arrowok="t"/>
                </v:shape>
                <v:shape id="Graphic 1030" o:spid="_x0000_s1028" style="position:absolute;left:99203;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" path="m53833,64598l,64598,,,53833,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55264" behindDoc="1" locked="0" layoutInCell="1" allowOverlap="1" wp14:anchorId="7B328A63" wp14:editId="0D068F52">
                <wp:simplePos x="0" y="0"/>
                <wp:positionH relativeFrom="page">
                  <wp:posOffset>6495431</wp:posOffset>
                </wp:positionH>
                <wp:positionV relativeFrom="paragraph">
                  <wp:posOffset>935940</wp:posOffset>
                </wp:positionV>
                <wp:extent cx="118745" cy="64769"/>
                <wp:effectExtent l="0" t="0" r="0" b="0"/>
                <wp:wrapTopAndBottom/>
                <wp:docPr id="1031"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 cy="64769"/>
                          <a:chOff x="0" y="0"/>
                          <a:chExt cx="118745" cy="64769"/>
                        </a:xfrm>
                      </wpg:grpSpPr>
                      <wps:wsp>
                        <wps:cNvPr id="1032" name="Graphic 1032"/>
                        <wps:cNvSpPr/>
                        <wps:spPr>
                          <a:xfrm>
                            <a:off x="0" y="27685"/>
                            <a:ext cx="64769" cy="1270"/>
                          </a:xfrm>
                          <a:custGeom>
                            <a:avLst/>
                            <a:gdLst/>
                            <a:ahLst/>
                            <a:cxnLst/>
                            <a:rect l="l" t="t" r="r" b="b"/>
                            <a:pathLst>
                              <a:path w="64769">
                                <a:moveTo>
                                  <a:pt x="0" y="0"/>
                                </a:moveTo>
                                <a:lnTo>
                                  <a:pt x="64597" y="0"/>
                                </a:lnTo>
                              </a:path>
                            </a:pathLst>
                          </a:custGeom>
                          <a:ln w="9228">
                            <a:solidFill>
                              <a:srgbClr val="000000"/>
                            </a:solidFill>
                            <a:prstDash val="solid"/>
                          </a:ln>
                        </wps:spPr>
                        <wps:bodyPr wrap="square" lIns="0" tIns="0" rIns="0" bIns="0" rtlCol="0">
                          <a:prstTxWarp prst="textNoShape">
                            <a:avLst/>
                          </a:prstTxWarp>
                          <a:noAutofit/>
                        </wps:bodyPr>
                      </wps:wsp>
                      <wps:wsp>
                        <wps:cNvPr id="1033" name="Graphic 1033"/>
                        <wps:cNvSpPr/>
                        <wps:spPr>
                          <a:xfrm>
                            <a:off x="64597"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B6683F7" id="Group 1031" o:spid="_x0000_s1026" style="position:absolute;margin-left:511.45pt;margin-top:73.7pt;width:9.35pt;height:5.1pt;z-index:-15561216;mso-wrap-distance-left:0;mso-wrap-distance-right:0;mso-position-horizontal-relative:page" coordsize="11874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">
                <v:shape id="Graphic 1032" o:spid="_x0000_s1027" style="position:absolute;top:27685;width:64769;height:1270;visibility:visible;mso-wrap-style:square;v-text-anchor:top" coordsize="647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" path="m,l64597,e" filled="f" strokeweight=".25633mm">
                  <v:path arrowok="t"/>
                </v:shape>
                <v:shape id="Graphic 1033" o:spid="_x0000_s1028" style="position:absolute;left:64597;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" path="m53831,64598l,64598,,,53831,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55776" behindDoc="1" locked="0" layoutInCell="1" allowOverlap="1" wp14:anchorId="1747D294" wp14:editId="4FB4E7A6">
                <wp:simplePos x="0" y="0"/>
                <wp:positionH relativeFrom="page">
                  <wp:posOffset>6451596</wp:posOffset>
                </wp:positionH>
                <wp:positionV relativeFrom="paragraph">
                  <wp:posOffset>1083592</wp:posOffset>
                </wp:positionV>
                <wp:extent cx="162560" cy="64769"/>
                <wp:effectExtent l="0" t="0" r="0" b="0"/>
                <wp:wrapTopAndBottom/>
                <wp:docPr id="1034"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64769"/>
                          <a:chOff x="0" y="0"/>
                          <a:chExt cx="162560" cy="64769"/>
                        </a:xfrm>
                      </wpg:grpSpPr>
                      <wps:wsp>
                        <wps:cNvPr id="1035" name="Graphic 1035"/>
                        <wps:cNvSpPr/>
                        <wps:spPr>
                          <a:xfrm>
                            <a:off x="0" y="27685"/>
                            <a:ext cx="108585" cy="1270"/>
                          </a:xfrm>
                          <a:custGeom>
                            <a:avLst/>
                            <a:gdLst/>
                            <a:ahLst/>
                            <a:cxnLst/>
                            <a:rect l="l" t="t" r="r" b="b"/>
                            <a:pathLst>
                              <a:path w="108585">
                                <a:moveTo>
                                  <a:pt x="0" y="0"/>
                                </a:moveTo>
                                <a:lnTo>
                                  <a:pt x="108433" y="0"/>
                                </a:lnTo>
                              </a:path>
                            </a:pathLst>
                          </a:custGeom>
                          <a:ln w="9228">
                            <a:solidFill>
                              <a:srgbClr val="000000"/>
                            </a:solidFill>
                            <a:prstDash val="solid"/>
                          </a:ln>
                        </wps:spPr>
                        <wps:bodyPr wrap="square" lIns="0" tIns="0" rIns="0" bIns="0" rtlCol="0">
                          <a:prstTxWarp prst="textNoShape">
                            <a:avLst/>
                          </a:prstTxWarp>
                          <a:noAutofit/>
                        </wps:bodyPr>
                      </wps:wsp>
                      <wps:wsp>
                        <wps:cNvPr id="1036" name="Graphic 1036"/>
                        <wps:cNvSpPr/>
                        <wps:spPr>
                          <a:xfrm>
                            <a:off x="108433"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EBDE860" id="Group 1034" o:spid="_x0000_s1026" style="position:absolute;margin-left:508pt;margin-top:85.3pt;width:12.8pt;height:5.1pt;z-index:-15560704;mso-wrap-distance-left:0;mso-wrap-distance-right:0;mso-position-horizontal-relative:page" coordsize="16256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">
                <v:shape id="Graphic 1035" o:spid="_x0000_s1027" style="position:absolute;top:27685;width:108585;height:1270;visibility:visible;mso-wrap-style:square;v-text-anchor:top" coordsize="108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" path="m,l108433,e" filled="f" strokeweight=".25633mm">
                  <v:path arrowok="t"/>
                </v:shape>
                <v:shape id="Graphic 1036" o:spid="_x0000_s1028" style="position:absolute;left:108433;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" path="m53831,64598l,64598,,,53831,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56288" behindDoc="1" locked="0" layoutInCell="1" allowOverlap="1" wp14:anchorId="1ECF641F" wp14:editId="6A27A13F">
                <wp:simplePos x="0" y="0"/>
                <wp:positionH relativeFrom="page">
                  <wp:posOffset>6369309</wp:posOffset>
                </wp:positionH>
                <wp:positionV relativeFrom="paragraph">
                  <wp:posOffset>1231246</wp:posOffset>
                </wp:positionV>
                <wp:extent cx="245110" cy="64769"/>
                <wp:effectExtent l="0" t="0" r="0" b="0"/>
                <wp:wrapTopAndBottom/>
                <wp:docPr id="103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110" cy="64769"/>
                          <a:chOff x="0" y="0"/>
                          <a:chExt cx="245110" cy="64769"/>
                        </a:xfrm>
                      </wpg:grpSpPr>
                      <wps:wsp>
                        <wps:cNvPr id="1038" name="Graphic 1038"/>
                        <wps:cNvSpPr/>
                        <wps:spPr>
                          <a:xfrm>
                            <a:off x="0" y="27684"/>
                            <a:ext cx="191135" cy="1270"/>
                          </a:xfrm>
                          <a:custGeom>
                            <a:avLst/>
                            <a:gdLst/>
                            <a:ahLst/>
                            <a:cxnLst/>
                            <a:rect l="l" t="t" r="r" b="b"/>
                            <a:pathLst>
                              <a:path w="191135">
                                <a:moveTo>
                                  <a:pt x="0" y="0"/>
                                </a:moveTo>
                                <a:lnTo>
                                  <a:pt x="190718" y="0"/>
                                </a:lnTo>
                              </a:path>
                            </a:pathLst>
                          </a:custGeom>
                          <a:ln w="9228">
                            <a:solidFill>
                              <a:srgbClr val="000000"/>
                            </a:solidFill>
                            <a:prstDash val="solid"/>
                          </a:ln>
                        </wps:spPr>
                        <wps:bodyPr wrap="square" lIns="0" tIns="0" rIns="0" bIns="0" rtlCol="0">
                          <a:prstTxWarp prst="textNoShape">
                            <a:avLst/>
                          </a:prstTxWarp>
                          <a:noAutofit/>
                        </wps:bodyPr>
                      </wps:wsp>
                      <wps:wsp>
                        <wps:cNvPr id="1039" name="Graphic 1039"/>
                        <wps:cNvSpPr/>
                        <wps:spPr>
                          <a:xfrm>
                            <a:off x="190718"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D4539D4" id="Group 1037" o:spid="_x0000_s1026" style="position:absolute;margin-left:501.5pt;margin-top:96.95pt;width:19.3pt;height:5.1pt;z-index:-15560192;mso-wrap-distance-left:0;mso-wrap-distance-right:0;mso-position-horizontal-relative:page" coordsize="24511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">
                <v:shape id="Graphic 1038" o:spid="_x0000_s1027" style="position:absolute;top:27684;width:191135;height:1270;visibility:visible;mso-wrap-style:square;v-text-anchor:top" coordsize="191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" path="m,l190718,e" filled="f" strokeweight=".25633mm">
                  <v:path arrowok="t"/>
                </v:shape>
                <v:shape id="Graphic 1039" o:spid="_x0000_s1028" style="position:absolute;left:190718;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" path="m53831,64598l,64598,,,53831,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56800" behindDoc="1" locked="0" layoutInCell="1" allowOverlap="1" wp14:anchorId="6F7CE5D1" wp14:editId="0D61D4D7">
                <wp:simplePos x="0" y="0"/>
                <wp:positionH relativeFrom="page">
                  <wp:posOffset>6320091</wp:posOffset>
                </wp:positionH>
                <wp:positionV relativeFrom="paragraph">
                  <wp:posOffset>1378899</wp:posOffset>
                </wp:positionV>
                <wp:extent cx="294005" cy="64769"/>
                <wp:effectExtent l="0" t="0" r="0" b="0"/>
                <wp:wrapTopAndBottom/>
                <wp:docPr id="104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005" cy="64769"/>
                          <a:chOff x="0" y="0"/>
                          <a:chExt cx="294005" cy="64769"/>
                        </a:xfrm>
                      </wpg:grpSpPr>
                      <wps:wsp>
                        <wps:cNvPr id="1041" name="Graphic 1041"/>
                        <wps:cNvSpPr/>
                        <wps:spPr>
                          <a:xfrm>
                            <a:off x="0" y="27684"/>
                            <a:ext cx="240029" cy="1270"/>
                          </a:xfrm>
                          <a:custGeom>
                            <a:avLst/>
                            <a:gdLst/>
                            <a:ahLst/>
                            <a:cxnLst/>
                            <a:rect l="l" t="t" r="r" b="b"/>
                            <a:pathLst>
                              <a:path w="240029">
                                <a:moveTo>
                                  <a:pt x="0" y="0"/>
                                </a:moveTo>
                                <a:lnTo>
                                  <a:pt x="239936" y="0"/>
                                </a:lnTo>
                              </a:path>
                            </a:pathLst>
                          </a:custGeom>
                          <a:ln w="9228">
                            <a:solidFill>
                              <a:srgbClr val="000000"/>
                            </a:solidFill>
                            <a:prstDash val="solid"/>
                          </a:ln>
                        </wps:spPr>
                        <wps:bodyPr wrap="square" lIns="0" tIns="0" rIns="0" bIns="0" rtlCol="0">
                          <a:prstTxWarp prst="textNoShape">
                            <a:avLst/>
                          </a:prstTxWarp>
                          <a:noAutofit/>
                        </wps:bodyPr>
                      </wps:wsp>
                      <wps:wsp>
                        <wps:cNvPr id="1042" name="Graphic 1042"/>
                        <wps:cNvSpPr/>
                        <wps:spPr>
                          <a:xfrm>
                            <a:off x="239936"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296D35F" id="Group 1040" o:spid="_x0000_s1026" style="position:absolute;margin-left:497.65pt;margin-top:108.55pt;width:23.15pt;height:5.1pt;z-index:-15559680;mso-wrap-distance-left:0;mso-wrap-distance-right:0;mso-position-horizontal-relative:page" coordsize="29400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">
                <v:shape id="Graphic 1041" o:spid="_x0000_s1027" style="position:absolute;top:27684;width:240029;height:1270;visibility:visible;mso-wrap-style:square;v-text-anchor:top" coordsize="2400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" path="m,l239936,e" filled="f" strokeweight=".25633mm">
                  <v:path arrowok="t"/>
                </v:shape>
                <v:shape id="Graphic 1042" o:spid="_x0000_s1028" style="position:absolute;left:239936;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" path="m53831,64598l,64598,,,53831,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57312" behindDoc="1" locked="0" layoutInCell="1" allowOverlap="1" wp14:anchorId="27477D03" wp14:editId="7D2F059B">
                <wp:simplePos x="0" y="0"/>
                <wp:positionH relativeFrom="page">
                  <wp:posOffset>6497351</wp:posOffset>
                </wp:positionH>
                <wp:positionV relativeFrom="paragraph">
                  <wp:posOffset>1526552</wp:posOffset>
                </wp:positionV>
                <wp:extent cx="116839" cy="64769"/>
                <wp:effectExtent l="0" t="0" r="0" b="0"/>
                <wp:wrapTopAndBottom/>
                <wp:docPr id="1043"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39" cy="64769"/>
                          <a:chOff x="0" y="0"/>
                          <a:chExt cx="116839" cy="64769"/>
                        </a:xfrm>
                      </wpg:grpSpPr>
                      <wps:wsp>
                        <wps:cNvPr id="1044" name="Graphic 1044"/>
                        <wps:cNvSpPr/>
                        <wps:spPr>
                          <a:xfrm>
                            <a:off x="0" y="27684"/>
                            <a:ext cx="62865" cy="1270"/>
                          </a:xfrm>
                          <a:custGeom>
                            <a:avLst/>
                            <a:gdLst/>
                            <a:ahLst/>
                            <a:cxnLst/>
                            <a:rect l="l" t="t" r="r" b="b"/>
                            <a:pathLst>
                              <a:path w="62865">
                                <a:moveTo>
                                  <a:pt x="0" y="0"/>
                                </a:moveTo>
                                <a:lnTo>
                                  <a:pt x="62674" y="0"/>
                                </a:lnTo>
                              </a:path>
                            </a:pathLst>
                          </a:custGeom>
                          <a:ln w="9228">
                            <a:solidFill>
                              <a:srgbClr val="000000"/>
                            </a:solidFill>
                            <a:prstDash val="solid"/>
                          </a:ln>
                        </wps:spPr>
                        <wps:bodyPr wrap="square" lIns="0" tIns="0" rIns="0" bIns="0" rtlCol="0">
                          <a:prstTxWarp prst="textNoShape">
                            <a:avLst/>
                          </a:prstTxWarp>
                          <a:noAutofit/>
                        </wps:bodyPr>
                      </wps:wsp>
                      <wps:wsp>
                        <wps:cNvPr id="1045" name="Graphic 1045"/>
                        <wps:cNvSpPr/>
                        <wps:spPr>
                          <a:xfrm>
                            <a:off x="62674"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5A7D0F1" id="Group 1043" o:spid="_x0000_s1026" style="position:absolute;margin-left:511.6pt;margin-top:120.2pt;width:9.2pt;height:5.1pt;z-index:-15559168;mso-wrap-distance-left:0;mso-wrap-distance-right:0;mso-position-horizontal-relative:page" coordsize="116839,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">
                <v:shape id="Graphic 1044" o:spid="_x0000_s1027" style="position:absolute;top:27684;width:62865;height:1270;visibility:visible;mso-wrap-style:square;v-text-anchor:top" coordsize="62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" path="m,l62674,e" filled="f" strokeweight=".25633mm">
                  <v:path arrowok="t"/>
                </v:shape>
                <v:shape id="Graphic 1045" o:spid="_x0000_s1028" style="position:absolute;left:62674;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" path="m53831,64598l,64598,,,53831,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57824" behindDoc="1" locked="0" layoutInCell="1" allowOverlap="1" wp14:anchorId="44FD1394" wp14:editId="0FF712C8">
                <wp:simplePos x="0" y="0"/>
                <wp:positionH relativeFrom="page">
                  <wp:posOffset>6446210</wp:posOffset>
                </wp:positionH>
                <wp:positionV relativeFrom="paragraph">
                  <wp:posOffset>1674204</wp:posOffset>
                </wp:positionV>
                <wp:extent cx="168275" cy="64769"/>
                <wp:effectExtent l="0" t="0" r="0" b="0"/>
                <wp:wrapTopAndBottom/>
                <wp:docPr id="1046"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 cy="64769"/>
                          <a:chOff x="0" y="0"/>
                          <a:chExt cx="168275" cy="64769"/>
                        </a:xfrm>
                      </wpg:grpSpPr>
                      <wps:wsp>
                        <wps:cNvPr id="1047" name="Graphic 1047"/>
                        <wps:cNvSpPr/>
                        <wps:spPr>
                          <a:xfrm>
                            <a:off x="0" y="27685"/>
                            <a:ext cx="114300" cy="1270"/>
                          </a:xfrm>
                          <a:custGeom>
                            <a:avLst/>
                            <a:gdLst/>
                            <a:ahLst/>
                            <a:cxnLst/>
                            <a:rect l="l" t="t" r="r" b="b"/>
                            <a:pathLst>
                              <a:path w="114300">
                                <a:moveTo>
                                  <a:pt x="0" y="0"/>
                                </a:moveTo>
                                <a:lnTo>
                                  <a:pt x="113815" y="0"/>
                                </a:lnTo>
                              </a:path>
                            </a:pathLst>
                          </a:custGeom>
                          <a:ln w="9228">
                            <a:solidFill>
                              <a:srgbClr val="000000"/>
                            </a:solidFill>
                            <a:prstDash val="solid"/>
                          </a:ln>
                        </wps:spPr>
                        <wps:bodyPr wrap="square" lIns="0" tIns="0" rIns="0" bIns="0" rtlCol="0">
                          <a:prstTxWarp prst="textNoShape">
                            <a:avLst/>
                          </a:prstTxWarp>
                          <a:noAutofit/>
                        </wps:bodyPr>
                      </wps:wsp>
                      <wps:wsp>
                        <wps:cNvPr id="1048" name="Graphic 1048"/>
                        <wps:cNvSpPr/>
                        <wps:spPr>
                          <a:xfrm>
                            <a:off x="113815"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84FDF0F" id="Group 1046" o:spid="_x0000_s1026" style="position:absolute;margin-left:507.6pt;margin-top:131.85pt;width:13.25pt;height:5.1pt;z-index:-15558656;mso-wrap-distance-left:0;mso-wrap-distance-right:0;mso-position-horizontal-relative:page" coordsize="16827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">
                <v:shape id="Graphic 1047" o:spid="_x0000_s1027" style="position:absolute;top:27685;width:114300;height:1270;visibility:visible;mso-wrap-style:square;v-text-anchor:top" coordsize="114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" path="m,l113815,e" filled="f" strokeweight=".25633mm">
                  <v:path arrowok="t"/>
                </v:shape>
                <v:shape id="Graphic 1048" o:spid="_x0000_s1028" style="position:absolute;left:113815;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" path="m53831,64598l,64598,,,53831,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58336" behindDoc="1" locked="0" layoutInCell="1" allowOverlap="1" wp14:anchorId="59DEB3C1" wp14:editId="149845B8">
                <wp:simplePos x="0" y="0"/>
                <wp:positionH relativeFrom="page">
                  <wp:posOffset>6434289</wp:posOffset>
                </wp:positionH>
                <wp:positionV relativeFrom="paragraph">
                  <wp:posOffset>1821857</wp:posOffset>
                </wp:positionV>
                <wp:extent cx="179705" cy="64769"/>
                <wp:effectExtent l="0" t="0" r="0" b="0"/>
                <wp:wrapTopAndBottom/>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64769"/>
                          <a:chOff x="0" y="0"/>
                          <a:chExt cx="179705" cy="64769"/>
                        </a:xfrm>
                      </wpg:grpSpPr>
                      <wps:wsp>
                        <wps:cNvPr id="1050" name="Graphic 1050"/>
                        <wps:cNvSpPr/>
                        <wps:spPr>
                          <a:xfrm>
                            <a:off x="0" y="27685"/>
                            <a:ext cx="125730" cy="1270"/>
                          </a:xfrm>
                          <a:custGeom>
                            <a:avLst/>
                            <a:gdLst/>
                            <a:ahLst/>
                            <a:cxnLst/>
                            <a:rect l="l" t="t" r="r" b="b"/>
                            <a:pathLst>
                              <a:path w="125730">
                                <a:moveTo>
                                  <a:pt x="0" y="0"/>
                                </a:moveTo>
                                <a:lnTo>
                                  <a:pt x="125734" y="0"/>
                                </a:lnTo>
                              </a:path>
                            </a:pathLst>
                          </a:custGeom>
                          <a:ln w="9228">
                            <a:solidFill>
                              <a:srgbClr val="000000"/>
                            </a:solidFill>
                            <a:prstDash val="solid"/>
                          </a:ln>
                        </wps:spPr>
                        <wps:bodyPr wrap="square" lIns="0" tIns="0" rIns="0" bIns="0" rtlCol="0">
                          <a:prstTxWarp prst="textNoShape">
                            <a:avLst/>
                          </a:prstTxWarp>
                          <a:noAutofit/>
                        </wps:bodyPr>
                      </wps:wsp>
                      <wps:wsp>
                        <wps:cNvPr id="1051" name="Graphic 1051"/>
                        <wps:cNvSpPr/>
                        <wps:spPr>
                          <a:xfrm>
                            <a:off x="125734"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60FF9E3" id="Group 1049" o:spid="_x0000_s1026" style="position:absolute;margin-left:506.65pt;margin-top:143.45pt;width:14.15pt;height:5.1pt;z-index:-15558144;mso-wrap-distance-left:0;mso-wrap-distance-right:0;mso-position-horizontal-relative:page" coordsize="17970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">
                <v:shape id="Graphic 1050" o:spid="_x0000_s1027" style="position:absolute;top:27685;width:125730;height:1270;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" path="m,l125734,e" filled="f" strokeweight=".25633mm">
                  <v:path arrowok="t"/>
                </v:shape>
                <v:shape id="Graphic 1051" o:spid="_x0000_s1028" style="position:absolute;left:125734;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" path="m53831,64598l,64598,,,53831,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58848" behindDoc="1" locked="0" layoutInCell="1" allowOverlap="1" wp14:anchorId="349A72EF" wp14:editId="30B76D20">
                <wp:simplePos x="0" y="0"/>
                <wp:positionH relativeFrom="page">
                  <wp:posOffset>6446208</wp:posOffset>
                </wp:positionH>
                <wp:positionV relativeFrom="paragraph">
                  <wp:posOffset>1969510</wp:posOffset>
                </wp:positionV>
                <wp:extent cx="168275" cy="64769"/>
                <wp:effectExtent l="0" t="0" r="0" b="0"/>
                <wp:wrapTopAndBottom/>
                <wp:docPr id="1052"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 cy="64769"/>
                          <a:chOff x="0" y="0"/>
                          <a:chExt cx="168275" cy="64769"/>
                        </a:xfrm>
                      </wpg:grpSpPr>
                      <wps:wsp>
                        <wps:cNvPr id="1053" name="Graphic 1053"/>
                        <wps:cNvSpPr/>
                        <wps:spPr>
                          <a:xfrm>
                            <a:off x="0" y="27685"/>
                            <a:ext cx="114300" cy="1270"/>
                          </a:xfrm>
                          <a:custGeom>
                            <a:avLst/>
                            <a:gdLst/>
                            <a:ahLst/>
                            <a:cxnLst/>
                            <a:rect l="l" t="t" r="r" b="b"/>
                            <a:pathLst>
                              <a:path w="114300">
                                <a:moveTo>
                                  <a:pt x="0" y="0"/>
                                </a:moveTo>
                                <a:lnTo>
                                  <a:pt x="113815" y="0"/>
                                </a:lnTo>
                              </a:path>
                            </a:pathLst>
                          </a:custGeom>
                          <a:ln w="9228">
                            <a:solidFill>
                              <a:srgbClr val="000000"/>
                            </a:solidFill>
                            <a:prstDash val="solid"/>
                          </a:ln>
                        </wps:spPr>
                        <wps:bodyPr wrap="square" lIns="0" tIns="0" rIns="0" bIns="0" rtlCol="0">
                          <a:prstTxWarp prst="textNoShape">
                            <a:avLst/>
                          </a:prstTxWarp>
                          <a:noAutofit/>
                        </wps:bodyPr>
                      </wps:wsp>
                      <wps:wsp>
                        <wps:cNvPr id="1054" name="Graphic 1054"/>
                        <wps:cNvSpPr/>
                        <wps:spPr>
                          <a:xfrm>
                            <a:off x="113815"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7DC7E93" id="Group 1052" o:spid="_x0000_s1026" style="position:absolute;margin-left:507.6pt;margin-top:155.1pt;width:13.25pt;height:5.1pt;z-index:-15557632;mso-wrap-distance-left:0;mso-wrap-distance-right:0;mso-position-horizontal-relative:page" coordsize="168275,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">
                <v:shape id="Graphic 1053" o:spid="_x0000_s1027" style="position:absolute;top:27685;width:114300;height:1270;visibility:visible;mso-wrap-style:square;v-text-anchor:top" coordsize="114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" path="m,l113815,e" filled="f" strokeweight=".25633mm">
                  <v:path arrowok="t"/>
                </v:shape>
                <v:shape id="Graphic 1054" o:spid="_x0000_s1028" style="position:absolute;left:113815;width:53975;height:64769;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" path="m53831,64598l,64598,,,53831,r,6459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759360" behindDoc="1" locked="0" layoutInCell="1" allowOverlap="1" wp14:anchorId="13D16E36" wp14:editId="07E230D5">
                <wp:simplePos x="0" y="0"/>
                <wp:positionH relativeFrom="page">
                  <wp:posOffset>5929807</wp:posOffset>
                </wp:positionH>
                <wp:positionV relativeFrom="paragraph">
                  <wp:posOffset>2117162</wp:posOffset>
                </wp:positionV>
                <wp:extent cx="684530" cy="64769"/>
                <wp:effectExtent l="0" t="0" r="0" b="0"/>
                <wp:wrapTopAndBottom/>
                <wp:docPr id="1055"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530" cy="64769"/>
                          <a:chOff x="0" y="0"/>
                          <a:chExt cx="684530" cy="64769"/>
                        </a:xfrm>
                      </wpg:grpSpPr>
                      <wps:wsp>
                        <wps:cNvPr id="1056" name="Graphic 1056"/>
                        <wps:cNvSpPr/>
                        <wps:spPr>
                          <a:xfrm>
                            <a:off x="0" y="27685"/>
                            <a:ext cx="630555" cy="1270"/>
                          </a:xfrm>
                          <a:custGeom>
                            <a:avLst/>
                            <a:gdLst/>
                            <a:ahLst/>
                            <a:cxnLst/>
                            <a:rect l="l" t="t" r="r" b="b"/>
                            <a:pathLst>
                              <a:path w="630555">
                                <a:moveTo>
                                  <a:pt x="0" y="0"/>
                                </a:moveTo>
                                <a:lnTo>
                                  <a:pt x="630216" y="0"/>
                                </a:lnTo>
                              </a:path>
                            </a:pathLst>
                          </a:custGeom>
                          <a:ln w="9228">
                            <a:solidFill>
                              <a:srgbClr val="000000"/>
                            </a:solidFill>
                            <a:prstDash val="solid"/>
                          </a:ln>
                        </wps:spPr>
                        <wps:bodyPr wrap="square" lIns="0" tIns="0" rIns="0" bIns="0" rtlCol="0">
                          <a:prstTxWarp prst="textNoShape">
                            <a:avLst/>
                          </a:prstTxWarp>
                          <a:noAutofit/>
                        </wps:bodyPr>
                      </wps:wsp>
                      <wps:wsp>
                        <wps:cNvPr id="1057" name="Graphic 1057"/>
                        <wps:cNvSpPr/>
                        <wps:spPr>
                          <a:xfrm>
                            <a:off x="630216" y="0"/>
                            <a:ext cx="53975" cy="64769"/>
                          </a:xfrm>
                          <a:custGeom>
                            <a:avLst/>
                            <a:gdLst/>
                            <a:ahLst/>
                            <a:cxnLst/>
                            <a:rect l="l" t="t" r="r" b="b"/>
                            <a:pathLst>
                              <a:path w="53975" h="64769">
                                <a:moveTo>
                                  <a:pt x="53831" y="64598"/>
                                </a:moveTo>
                                <a:lnTo>
                                  <a:pt x="0" y="64598"/>
                                </a:lnTo>
                                <a:lnTo>
                                  <a:pt x="0" y="0"/>
                                </a:lnTo>
                                <a:lnTo>
                                  <a:pt x="53831" y="0"/>
                                </a:lnTo>
                                <a:lnTo>
                                  <a:pt x="53831" y="6459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1328BC4" id="Group 1055" o:spid="_x0000_s1026" style="position:absolute;margin-left:466.9pt;margin-top:166.7pt;width:53.9pt;height:5.1pt;z-index:-15557120;mso-wrap-distance-left:0;mso-wrap-distance-right:0;mso-position-horizontal-relative:page" coordsize="684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">
                <v:shape id="Graphic 1056" o:spid="_x0000_s1027" style="position:absolute;top:276;width:6305;height:13;visibility:visible;mso-wrap-style:square;v-text-anchor:top" coordsize="630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" path="m,l630216,e" filled="f" strokeweight=".25633mm">
                  <v:path arrowok="t"/>
                </v:shape>
                <v:shape id="Graphic 1057" o:spid="_x0000_s1028" style="position:absolute;left:6302;width:539;height:647;visibility:visible;mso-wrap-style:square;v-text-anchor:top" coordsize="5397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" path="m53831,64598l,64598,,,53831,r,64598xe" fillcolor="#0000c0" stroked="f">
                  <v:path arrowok="t"/>
                </v:shape>
                <w10:wrap type="topAndBottom" anchorx="page"/>
              </v:group>
            </w:pict>
          </mc:Fallback>
        </mc:AlternateContent>
      </w:r>
    </w:p>
    <w:p w14:paraId="58684AF3" w14:textId="77777777" w:rsidR="00E05B98" w:rsidRPr="003C6DAE" w:rsidRDefault="00E05B98">
      <w:pPr>
        <w:pStyle w:val="a3"/>
        <w:spacing w:before="2"/>
        <w:rPr>
          <w:rFonts w:ascii="Trebuchet MS"/>
          <w:sz w:val="9"/>
          <w:lang w:val="uk-UA"/>
        </w:rPr>
      </w:pPr>
    </w:p>
    <w:p w14:paraId="34103A20" w14:textId="77777777" w:rsidR="00E05B98" w:rsidRPr="003C6DAE" w:rsidRDefault="00E05B98">
      <w:pPr>
        <w:pStyle w:val="a3"/>
        <w:spacing w:before="2"/>
        <w:rPr>
          <w:rFonts w:ascii="Trebuchet MS"/>
          <w:sz w:val="9"/>
          <w:lang w:val="uk-UA"/>
        </w:rPr>
      </w:pPr>
    </w:p>
    <w:p w14:paraId="6D929C0A" w14:textId="77777777" w:rsidR="00E05B98" w:rsidRPr="003C6DAE" w:rsidRDefault="00E05B98">
      <w:pPr>
        <w:pStyle w:val="a3"/>
        <w:spacing w:before="2"/>
        <w:rPr>
          <w:rFonts w:ascii="Trebuchet MS"/>
          <w:sz w:val="9"/>
          <w:lang w:val="uk-UA"/>
        </w:rPr>
      </w:pPr>
    </w:p>
    <w:p w14:paraId="2C79113D" w14:textId="77777777" w:rsidR="00E05B98" w:rsidRPr="003C6DAE" w:rsidRDefault="00E05B98">
      <w:pPr>
        <w:pStyle w:val="a3"/>
        <w:spacing w:before="2"/>
        <w:rPr>
          <w:rFonts w:ascii="Trebuchet MS"/>
          <w:sz w:val="9"/>
          <w:lang w:val="uk-UA"/>
        </w:rPr>
      </w:pPr>
    </w:p>
    <w:p w14:paraId="3B971053" w14:textId="77777777" w:rsidR="00E05B98" w:rsidRPr="003C6DAE" w:rsidRDefault="00E05B98">
      <w:pPr>
        <w:pStyle w:val="a3"/>
        <w:spacing w:before="2"/>
        <w:rPr>
          <w:rFonts w:ascii="Trebuchet MS"/>
          <w:sz w:val="9"/>
          <w:lang w:val="uk-UA"/>
        </w:rPr>
      </w:pPr>
    </w:p>
    <w:p w14:paraId="2D5A1EB7" w14:textId="77777777" w:rsidR="00E05B98" w:rsidRPr="003C6DAE" w:rsidRDefault="00E05B98">
      <w:pPr>
        <w:pStyle w:val="a3"/>
        <w:spacing w:before="2"/>
        <w:rPr>
          <w:rFonts w:ascii="Trebuchet MS"/>
          <w:sz w:val="9"/>
          <w:lang w:val="uk-UA"/>
        </w:rPr>
      </w:pPr>
    </w:p>
    <w:p w14:paraId="75590ECB" w14:textId="77777777" w:rsidR="00E05B98" w:rsidRPr="003C6DAE" w:rsidRDefault="00E05B98">
      <w:pPr>
        <w:pStyle w:val="a3"/>
        <w:spacing w:before="2"/>
        <w:rPr>
          <w:rFonts w:ascii="Trebuchet MS"/>
          <w:sz w:val="9"/>
          <w:lang w:val="uk-UA"/>
        </w:rPr>
      </w:pPr>
    </w:p>
    <w:p w14:paraId="74998A6A" w14:textId="77777777" w:rsidR="00E05B98" w:rsidRPr="003C6DAE" w:rsidRDefault="00E05B98">
      <w:pPr>
        <w:pStyle w:val="a3"/>
        <w:spacing w:before="2"/>
        <w:rPr>
          <w:rFonts w:ascii="Trebuchet MS"/>
          <w:sz w:val="9"/>
          <w:lang w:val="uk-UA"/>
        </w:rPr>
      </w:pPr>
    </w:p>
    <w:p w14:paraId="415FEA56" w14:textId="77777777" w:rsidR="00E05B98" w:rsidRPr="003C6DAE" w:rsidRDefault="00E05B98">
      <w:pPr>
        <w:pStyle w:val="a3"/>
        <w:spacing w:before="2"/>
        <w:rPr>
          <w:rFonts w:ascii="Trebuchet MS"/>
          <w:sz w:val="9"/>
          <w:lang w:val="uk-UA"/>
        </w:rPr>
      </w:pPr>
    </w:p>
    <w:p w14:paraId="17ADB964" w14:textId="77777777" w:rsidR="00E05B98" w:rsidRPr="003C6DAE" w:rsidRDefault="00E05B98">
      <w:pPr>
        <w:pStyle w:val="a3"/>
        <w:spacing w:before="2"/>
        <w:rPr>
          <w:rFonts w:ascii="Trebuchet MS"/>
          <w:sz w:val="9"/>
          <w:lang w:val="uk-UA"/>
        </w:rPr>
      </w:pPr>
    </w:p>
    <w:p w14:paraId="7EADE420" w14:textId="77777777" w:rsidR="00E05B98" w:rsidRPr="003C6DAE" w:rsidRDefault="00E05B98">
      <w:pPr>
        <w:pStyle w:val="a3"/>
        <w:spacing w:before="2"/>
        <w:rPr>
          <w:rFonts w:ascii="Trebuchet MS"/>
          <w:sz w:val="9"/>
          <w:lang w:val="uk-UA"/>
        </w:rPr>
      </w:pPr>
    </w:p>
    <w:p w14:paraId="7015A5AB" w14:textId="77777777" w:rsidR="00E05B98" w:rsidRPr="003C6DAE" w:rsidRDefault="00E05B98">
      <w:pPr>
        <w:pStyle w:val="a3"/>
        <w:spacing w:before="2"/>
        <w:rPr>
          <w:rFonts w:ascii="Trebuchet MS"/>
          <w:sz w:val="9"/>
          <w:lang w:val="uk-UA"/>
        </w:rPr>
      </w:pPr>
    </w:p>
    <w:p w14:paraId="09818FAE" w14:textId="77777777" w:rsidR="00E05B98" w:rsidRPr="003C6DAE" w:rsidRDefault="00E05B98">
      <w:pPr>
        <w:pStyle w:val="a3"/>
        <w:spacing w:before="2"/>
        <w:rPr>
          <w:rFonts w:ascii="Trebuchet MS"/>
          <w:sz w:val="9"/>
          <w:lang w:val="uk-UA"/>
        </w:rPr>
      </w:pPr>
    </w:p>
    <w:p w14:paraId="4A71B1BE" w14:textId="77777777" w:rsidR="00E05B98" w:rsidRPr="003C6DAE" w:rsidRDefault="00E05B98">
      <w:pPr>
        <w:pStyle w:val="a3"/>
        <w:spacing w:before="2"/>
        <w:rPr>
          <w:rFonts w:ascii="Trebuchet MS"/>
          <w:sz w:val="9"/>
          <w:lang w:val="uk-UA"/>
        </w:rPr>
      </w:pPr>
    </w:p>
    <w:p w14:paraId="06BCB452" w14:textId="77777777" w:rsidR="00E05B98" w:rsidRPr="003C6DAE" w:rsidRDefault="00E05B98">
      <w:pPr>
        <w:pStyle w:val="a3"/>
        <w:spacing w:before="153"/>
        <w:rPr>
          <w:rFonts w:ascii="Trebuchet MS"/>
          <w:sz w:val="17"/>
          <w:lang w:val="uk-UA"/>
        </w:rPr>
      </w:pPr>
    </w:p>
    <w:p w14:paraId="105E6FA7" w14:textId="77777777" w:rsidR="00E05B98" w:rsidRPr="003C6DAE" w:rsidRDefault="00B01E0C">
      <w:pPr>
        <w:ind w:left="99"/>
        <w:rPr>
          <w:rFonts w:ascii="Trebuchet MS"/>
          <w:sz w:val="17"/>
          <w:lang w:val="uk-UA"/>
        </w:rPr>
      </w:pPr>
      <w:r w:rsidRPr="003C6DAE">
        <w:rPr>
          <w:rFonts w:ascii="Trebuchet MS"/>
          <w:w w:val="85"/>
          <w:sz w:val="17"/>
          <w:lang w:val="uk-UA"/>
        </w:rPr>
        <w:t>0</w:t>
      </w:r>
      <w:r w:rsidRPr="003C6DAE">
        <w:rPr>
          <w:rFonts w:ascii="Trebuchet MS"/>
          <w:spacing w:val="49"/>
          <w:sz w:val="17"/>
          <w:lang w:val="uk-UA"/>
        </w:rPr>
        <w:t xml:space="preserve"> </w:t>
      </w:r>
      <w:r w:rsidRPr="003C6DAE">
        <w:rPr>
          <w:rFonts w:ascii="Trebuchet MS"/>
          <w:w w:val="85"/>
          <w:sz w:val="17"/>
          <w:lang w:val="uk-UA"/>
        </w:rPr>
        <w:t>0.2</w:t>
      </w:r>
      <w:r w:rsidRPr="003C6DAE">
        <w:rPr>
          <w:rFonts w:ascii="Trebuchet MS"/>
          <w:spacing w:val="32"/>
          <w:sz w:val="17"/>
          <w:lang w:val="uk-UA"/>
        </w:rPr>
        <w:t xml:space="preserve"> </w:t>
      </w:r>
      <w:r w:rsidRPr="003C6DAE">
        <w:rPr>
          <w:rFonts w:ascii="Trebuchet MS"/>
          <w:w w:val="85"/>
          <w:sz w:val="17"/>
          <w:lang w:val="uk-UA"/>
        </w:rPr>
        <w:t>0.4</w:t>
      </w:r>
      <w:r w:rsidRPr="003C6DAE">
        <w:rPr>
          <w:rFonts w:ascii="Trebuchet MS"/>
          <w:spacing w:val="32"/>
          <w:sz w:val="17"/>
          <w:lang w:val="uk-UA"/>
        </w:rPr>
        <w:t xml:space="preserve"> </w:t>
      </w:r>
      <w:r w:rsidRPr="003C6DAE">
        <w:rPr>
          <w:rFonts w:ascii="Trebuchet MS"/>
          <w:w w:val="85"/>
          <w:sz w:val="17"/>
          <w:lang w:val="uk-UA"/>
        </w:rPr>
        <w:t>0.6</w:t>
      </w:r>
      <w:r w:rsidRPr="003C6DAE">
        <w:rPr>
          <w:rFonts w:ascii="Trebuchet MS"/>
          <w:spacing w:val="32"/>
          <w:sz w:val="17"/>
          <w:lang w:val="uk-UA"/>
        </w:rPr>
        <w:t xml:space="preserve"> </w:t>
      </w:r>
      <w:r w:rsidRPr="003C6DAE">
        <w:rPr>
          <w:rFonts w:ascii="Trebuchet MS"/>
          <w:w w:val="85"/>
          <w:sz w:val="17"/>
          <w:lang w:val="uk-UA"/>
        </w:rPr>
        <w:t>0.8</w:t>
      </w:r>
      <w:r w:rsidRPr="003C6DAE">
        <w:rPr>
          <w:rFonts w:ascii="Trebuchet MS"/>
          <w:spacing w:val="50"/>
          <w:sz w:val="17"/>
          <w:lang w:val="uk-UA"/>
        </w:rPr>
        <w:t xml:space="preserve"> </w:t>
      </w:r>
      <w:r w:rsidRPr="003C6DAE">
        <w:rPr>
          <w:rFonts w:ascii="Trebuchet MS"/>
          <w:spacing w:val="-10"/>
          <w:w w:val="85"/>
          <w:sz w:val="17"/>
          <w:lang w:val="uk-UA"/>
        </w:rPr>
        <w:t>1</w:t>
      </w:r>
    </w:p>
    <w:p w14:paraId="11EE268C" w14:textId="77777777" w:rsidR="00E05B98" w:rsidRPr="003C6DAE" w:rsidRDefault="00E05B98">
      <w:pPr>
        <w:rPr>
          <w:rFonts w:ascii="Trebuchet MS"/>
          <w:sz w:val="17"/>
          <w:lang w:val="uk-UA"/>
        </w:rPr>
        <w:sectPr w:rsidR="00E05B98" w:rsidRPr="003C6DAE">
          <w:type w:val="continuous"/>
          <w:pgSz w:w="11910" w:h="16840"/>
          <w:pgMar w:top="1920" w:right="1275" w:bottom="280" w:left="850" w:header="0" w:footer="573" w:gutter="0"/>
          <w:cols w:num="7" w:space="720" w:equalWidth="0">
            <w:col w:w="2105" w:space="40"/>
            <w:col w:w="702" w:space="39"/>
            <w:col w:w="631" w:space="39"/>
            <w:col w:w="1438" w:space="40"/>
            <w:col w:w="1402" w:space="40"/>
            <w:col w:w="1449" w:space="39"/>
            <w:col w:w="1821"/>
          </w:cols>
        </w:sectPr>
      </w:pPr>
    </w:p>
    <w:p w14:paraId="384A68DC" w14:textId="2ADCCCE2" w:rsidR="00E05B98" w:rsidRPr="003C6DAE" w:rsidRDefault="001D6B19">
      <w:pPr>
        <w:spacing w:line="254" w:lineRule="auto"/>
        <w:ind w:left="567"/>
        <w:rPr>
          <w:sz w:val="18"/>
          <w:lang w:val="uk-UA"/>
        </w:rPr>
      </w:pPr>
      <w:r w:rsidRPr="003C6DAE">
        <w:rPr>
          <w:sz w:val="16"/>
          <w:szCs w:val="16"/>
          <w:lang w:val="uk-UA"/>
        </w:rPr>
        <w:t xml:space="preserve">ДІ: довірчий інтервал; FN: хибнонегативний результат; FP: хибнопозитивний результат; </w:t>
      </w:r>
      <w:r w:rsidR="00B5314F">
        <w:rPr>
          <w:sz w:val="16"/>
          <w:szCs w:val="16"/>
          <w:lang w:val="uk-UA"/>
        </w:rPr>
        <w:t>аТАНК-НС</w:t>
      </w:r>
      <w:r w:rsidRPr="003C6DAE">
        <w:rPr>
          <w:sz w:val="16"/>
          <w:szCs w:val="16"/>
          <w:lang w:val="uk-UA"/>
        </w:rPr>
        <w:t>: автоматизований тест  ампліфікаці</w:t>
      </w:r>
      <w:r w:rsidR="00B5314F">
        <w:rPr>
          <w:sz w:val="16"/>
          <w:szCs w:val="16"/>
          <w:lang w:val="uk-UA"/>
        </w:rPr>
        <w:t>ї</w:t>
      </w:r>
      <w:r w:rsidRPr="003C6DAE">
        <w:rPr>
          <w:sz w:val="16"/>
          <w:szCs w:val="16"/>
          <w:lang w:val="uk-UA"/>
        </w:rPr>
        <w:t xml:space="preserve"> нуклеїнових кислот низької складності; MRS: мікробіологічний еталонний стандарт; ТБ: туберкульоз; TN: істинно негативний результат; TP: істинно позитивний результат</w:t>
      </w:r>
    </w:p>
    <w:p w14:paraId="491A70CA" w14:textId="5BCA6738" w:rsidR="00F85740" w:rsidRPr="00B5314F" w:rsidRDefault="00B01E0C" w:rsidP="00F85740">
      <w:pPr>
        <w:spacing w:before="57"/>
        <w:ind w:left="567"/>
        <w:rPr>
          <w:sz w:val="17"/>
          <w:szCs w:val="17"/>
          <w:lang w:val="uk-UA"/>
        </w:rPr>
      </w:pPr>
      <w:r w:rsidRPr="00B5314F">
        <w:rPr>
          <w:sz w:val="17"/>
          <w:szCs w:val="17"/>
          <w:vertAlign w:val="superscript"/>
          <w:lang w:val="uk-UA"/>
        </w:rPr>
        <w:t>a</w:t>
      </w:r>
      <w:r w:rsidRPr="00B5314F">
        <w:rPr>
          <w:spacing w:val="-24"/>
          <w:sz w:val="17"/>
          <w:szCs w:val="17"/>
          <w:lang w:val="uk-UA"/>
        </w:rPr>
        <w:t xml:space="preserve"> </w:t>
      </w:r>
      <w:r w:rsidR="00F85740" w:rsidRPr="00B5314F">
        <w:rPr>
          <w:sz w:val="17"/>
          <w:szCs w:val="17"/>
          <w:lang w:val="uk-UA"/>
        </w:rPr>
        <w:t xml:space="preserve">Дослідження </w:t>
      </w:r>
      <w:r w:rsidR="00B5314F" w:rsidRPr="00B5314F">
        <w:rPr>
          <w:sz w:val="17"/>
          <w:szCs w:val="17"/>
          <w:lang w:val="uk-UA"/>
        </w:rPr>
        <w:t>впорядковано</w:t>
      </w:r>
      <w:r w:rsidR="00F85740" w:rsidRPr="00B5314F">
        <w:rPr>
          <w:sz w:val="17"/>
          <w:szCs w:val="17"/>
          <w:lang w:val="uk-UA"/>
        </w:rPr>
        <w:t xml:space="preserve"> за показником чутливості.</w:t>
      </w:r>
    </w:p>
    <w:p w14:paraId="19A59A10" w14:textId="1665D1D9" w:rsidR="00E05B98" w:rsidRPr="003C6DAE" w:rsidRDefault="00B01E0C">
      <w:pPr>
        <w:spacing w:before="57"/>
        <w:ind w:left="567"/>
        <w:rPr>
          <w:sz w:val="18"/>
          <w:lang w:val="uk-UA"/>
        </w:rPr>
      </w:pPr>
      <w:r w:rsidRPr="003C6DAE">
        <w:rPr>
          <w:spacing w:val="-2"/>
          <w:sz w:val="18"/>
          <w:lang w:val="uk-UA"/>
        </w:rPr>
        <w:t>.</w:t>
      </w:r>
    </w:p>
    <w:p w14:paraId="01141F00" w14:textId="77777777" w:rsidR="00E05B98" w:rsidRPr="003C6DAE" w:rsidRDefault="00E05B98">
      <w:pPr>
        <w:rPr>
          <w:sz w:val="18"/>
          <w:lang w:val="uk-UA"/>
        </w:rPr>
        <w:sectPr w:rsidR="00E05B98" w:rsidRPr="003C6DAE" w:rsidSect="001D6B19">
          <w:type w:val="continuous"/>
          <w:pgSz w:w="11910" w:h="16840"/>
          <w:pgMar w:top="1920" w:right="853" w:bottom="280" w:left="850" w:header="0" w:footer="573" w:gutter="0"/>
          <w:cols w:space="720"/>
        </w:sectPr>
      </w:pPr>
    </w:p>
    <w:p w14:paraId="7BF5E58A" w14:textId="6C79E4D5" w:rsidR="00E05B98" w:rsidRPr="00B5314F" w:rsidRDefault="00F85740">
      <w:pPr>
        <w:pStyle w:val="5"/>
        <w:spacing w:before="45"/>
        <w:jc w:val="both"/>
        <w:rPr>
          <w:sz w:val="26"/>
          <w:szCs w:val="26"/>
          <w:lang w:val="uk-UA"/>
        </w:rPr>
      </w:pPr>
      <w:r w:rsidRPr="00B5314F">
        <w:rPr>
          <w:color w:val="019648"/>
          <w:w w:val="105"/>
          <w:sz w:val="26"/>
          <w:szCs w:val="26"/>
          <w:lang w:val="uk-UA"/>
        </w:rPr>
        <w:lastRenderedPageBreak/>
        <w:t xml:space="preserve">Аналіз ефективності </w:t>
      </w:r>
      <w:r w:rsidR="000E7CEE">
        <w:rPr>
          <w:color w:val="019648"/>
          <w:w w:val="105"/>
          <w:sz w:val="26"/>
          <w:szCs w:val="26"/>
          <w:lang w:val="uk-UA"/>
        </w:rPr>
        <w:t>ви</w:t>
      </w:r>
      <w:r w:rsidRPr="00B5314F">
        <w:rPr>
          <w:color w:val="019648"/>
          <w:w w:val="105"/>
          <w:sz w:val="26"/>
          <w:szCs w:val="26"/>
          <w:lang w:val="uk-UA"/>
        </w:rPr>
        <w:t>трат</w:t>
      </w:r>
    </w:p>
    <w:p w14:paraId="4661275B" w14:textId="41418102" w:rsidR="00F85740" w:rsidRPr="003C6DAE" w:rsidRDefault="00F85740" w:rsidP="00F85740">
      <w:pPr>
        <w:pStyle w:val="a3"/>
        <w:spacing w:before="219"/>
        <w:ind w:left="567"/>
        <w:jc w:val="both"/>
        <w:rPr>
          <w:lang w:val="uk-UA"/>
        </w:rPr>
      </w:pPr>
      <w:r w:rsidRPr="003C6DAE">
        <w:rPr>
          <w:lang w:val="uk-UA"/>
        </w:rPr>
        <w:t>У цьому розділі розглядається наступн</w:t>
      </w:r>
      <w:r w:rsidR="00B5314F">
        <w:rPr>
          <w:lang w:val="uk-UA"/>
        </w:rPr>
        <w:t>е</w:t>
      </w:r>
      <w:r w:rsidRPr="003C6DAE">
        <w:rPr>
          <w:lang w:val="uk-UA"/>
        </w:rPr>
        <w:t xml:space="preserve"> додаткове </w:t>
      </w:r>
      <w:r w:rsidR="00B5314F">
        <w:rPr>
          <w:lang w:val="uk-UA"/>
        </w:rPr>
        <w:t>за</w:t>
      </w:r>
      <w:r w:rsidRPr="003C6DAE">
        <w:rPr>
          <w:lang w:val="uk-UA"/>
        </w:rPr>
        <w:t>питання:</w:t>
      </w:r>
    </w:p>
    <w:p w14:paraId="02399318" w14:textId="771F5C8A" w:rsidR="00F15A11" w:rsidRPr="00F15A11" w:rsidRDefault="00F15A11" w:rsidP="00F15A11">
      <w:pPr>
        <w:pStyle w:val="7"/>
        <w:spacing w:before="243" w:line="249" w:lineRule="auto"/>
        <w:rPr>
          <w:color w:val="019648"/>
          <w:w w:val="105"/>
          <w:lang w:val="uk-UA"/>
        </w:rPr>
      </w:pPr>
      <w:r w:rsidRPr="00F15A11">
        <w:rPr>
          <w:color w:val="019648"/>
          <w:w w:val="105"/>
          <w:lang w:val="uk-UA"/>
        </w:rPr>
        <w:t xml:space="preserve">Якими є порівняльні витрати, доступність та економічна ефективність впровадження </w:t>
      </w:r>
      <w:r>
        <w:rPr>
          <w:color w:val="019648"/>
          <w:w w:val="105"/>
          <w:lang w:val="uk-UA"/>
        </w:rPr>
        <w:t>аТАНК-НС</w:t>
      </w:r>
      <w:r w:rsidRPr="00F15A11">
        <w:rPr>
          <w:color w:val="019648"/>
          <w:w w:val="105"/>
          <w:lang w:val="uk-UA"/>
        </w:rPr>
        <w:t>?</w:t>
      </w:r>
    </w:p>
    <w:p w14:paraId="61743A3D" w14:textId="5A8B3AD6" w:rsidR="00E05B98" w:rsidRPr="003C6DAE" w:rsidRDefault="007F1E2B" w:rsidP="00F85740">
      <w:pPr>
        <w:pStyle w:val="a3"/>
        <w:spacing w:before="216" w:line="297" w:lineRule="auto"/>
        <w:ind w:left="567" w:right="4"/>
        <w:jc w:val="both"/>
        <w:rPr>
          <w:sz w:val="20"/>
          <w:szCs w:val="20"/>
          <w:lang w:val="uk-UA"/>
        </w:rPr>
      </w:pPr>
      <w:r w:rsidRPr="003C6DAE">
        <w:rPr>
          <w:sz w:val="20"/>
          <w:szCs w:val="20"/>
          <w:lang w:val="uk-UA"/>
        </w:rPr>
        <w:t>ВООЗ замовила проведення систематичного огляду з метою виявлення, оцінки та узагальнення фактичних даних щодо вартості, доступності та економічної ефективності аТАНК-НС, серед інших технологій.</w:t>
      </w:r>
    </w:p>
    <w:p w14:paraId="42EB3012" w14:textId="594EC7FA" w:rsidR="00E05B98" w:rsidRPr="003C6DAE" w:rsidRDefault="005C4D36" w:rsidP="00F85740">
      <w:pPr>
        <w:pStyle w:val="a3"/>
        <w:spacing w:before="173" w:line="297" w:lineRule="auto"/>
        <w:ind w:left="567" w:right="4"/>
        <w:jc w:val="both"/>
        <w:rPr>
          <w:sz w:val="20"/>
          <w:szCs w:val="20"/>
          <w:lang w:val="uk-UA"/>
        </w:rPr>
      </w:pPr>
      <w:r w:rsidRPr="003C6DAE">
        <w:rPr>
          <w:sz w:val="20"/>
          <w:szCs w:val="20"/>
          <w:lang w:val="uk-UA"/>
        </w:rPr>
        <w:t>Загалом під час первинного пошуку було виявлено 1534 дослідження; після видалення дублікатів було відібрано 736 потенційно релевантних досліджень. Із них - 107 були направлені для проведення повнотекстового огляду та оцінені за критеріями включення і виключення, а 29 досліджень - були включені в остаточний систематичний огляд. Із 29 включених досліджень - у 22 (76%) оцінювали аналіз Xpert MTB/RIF, у шести (21%) оцінювали Xpert Ultra, а під час проведення одного дослідження (3%) оцінювали тести Truenat (як Truenat MTB Plus, так і Truenat MTB-RIF Dx). Десять досліджень, в яких оцінювали Xpert MTB/RIF, представляли собою аналіз ефективності</w:t>
      </w:r>
      <w:r w:rsidR="000E7CEE">
        <w:rPr>
          <w:sz w:val="20"/>
          <w:szCs w:val="20"/>
          <w:lang w:val="uk-UA"/>
        </w:rPr>
        <w:t xml:space="preserve"> витрат</w:t>
      </w:r>
      <w:r w:rsidRPr="003C6DAE">
        <w:rPr>
          <w:sz w:val="20"/>
          <w:szCs w:val="20"/>
          <w:lang w:val="uk-UA"/>
        </w:rPr>
        <w:t>, а 12 - аналіз витрат. Усі включені дослідження щодо Xpert Ultra та дослідження з оцінки Truenat представляли собою аналіз ефективності</w:t>
      </w:r>
      <w:r w:rsidR="000E7CEE">
        <w:rPr>
          <w:sz w:val="20"/>
          <w:szCs w:val="20"/>
          <w:lang w:val="uk-UA"/>
        </w:rPr>
        <w:t xml:space="preserve"> витрат</w:t>
      </w:r>
      <w:r w:rsidR="00B01E0C" w:rsidRPr="003C6DAE">
        <w:rPr>
          <w:sz w:val="20"/>
          <w:szCs w:val="20"/>
          <w:lang w:val="uk-UA"/>
        </w:rPr>
        <w:t>.</w:t>
      </w:r>
    </w:p>
    <w:p w14:paraId="539FEA52" w14:textId="6C0D3BBC" w:rsidR="00E05B98" w:rsidRPr="003C6DAE" w:rsidRDefault="005C4D36" w:rsidP="00F85740">
      <w:pPr>
        <w:pStyle w:val="a3"/>
        <w:spacing w:before="180" w:line="297" w:lineRule="auto"/>
        <w:ind w:left="567" w:right="4"/>
        <w:jc w:val="both"/>
        <w:rPr>
          <w:sz w:val="20"/>
          <w:szCs w:val="20"/>
          <w:lang w:val="uk-UA"/>
        </w:rPr>
      </w:pPr>
      <w:r w:rsidRPr="003C6DAE">
        <w:rPr>
          <w:sz w:val="20"/>
          <w:szCs w:val="20"/>
          <w:lang w:val="uk-UA"/>
        </w:rPr>
        <w:t xml:space="preserve">Аналіз ефективності </w:t>
      </w:r>
      <w:r w:rsidR="000E7CEE">
        <w:rPr>
          <w:sz w:val="20"/>
          <w:szCs w:val="20"/>
          <w:lang w:val="uk-UA"/>
        </w:rPr>
        <w:t xml:space="preserve">витрат </w:t>
      </w:r>
      <w:r w:rsidRPr="003C6DAE">
        <w:rPr>
          <w:sz w:val="20"/>
          <w:szCs w:val="20"/>
          <w:lang w:val="uk-UA"/>
        </w:rPr>
        <w:t>для Xpert розглядався через схожість між двома технологіями та обмеженість даних щодо тесту Ultra.</w:t>
      </w:r>
    </w:p>
    <w:p w14:paraId="38ED2614" w14:textId="7ECBB618" w:rsidR="00E05B98" w:rsidRPr="003C6DAE" w:rsidRDefault="00B13417" w:rsidP="00F85740">
      <w:pPr>
        <w:pStyle w:val="a3"/>
        <w:spacing w:before="172" w:line="297" w:lineRule="auto"/>
        <w:ind w:left="567" w:right="4"/>
        <w:jc w:val="both"/>
        <w:rPr>
          <w:sz w:val="20"/>
          <w:szCs w:val="20"/>
          <w:lang w:val="uk-UA"/>
        </w:rPr>
      </w:pPr>
      <w:r w:rsidRPr="003C6DAE">
        <w:rPr>
          <w:sz w:val="20"/>
          <w:szCs w:val="20"/>
          <w:lang w:val="uk-UA"/>
        </w:rPr>
        <w:t xml:space="preserve">Дослідження, включені в огляд, були різноманітними, проводилися в різних </w:t>
      </w:r>
      <w:r w:rsidR="00864C25">
        <w:rPr>
          <w:sz w:val="20"/>
          <w:szCs w:val="20"/>
          <w:lang w:val="uk-UA"/>
        </w:rPr>
        <w:t>країнах</w:t>
      </w:r>
      <w:r w:rsidRPr="003C6DAE">
        <w:rPr>
          <w:sz w:val="20"/>
          <w:szCs w:val="20"/>
          <w:lang w:val="uk-UA"/>
        </w:rPr>
        <w:t xml:space="preserve"> і охоплювали всі рівні доходів. Цей широкий спектр досліджень надав комплексне уявлення про  економічні фактичні дані щодо </w:t>
      </w:r>
      <w:r w:rsidR="00864C25">
        <w:rPr>
          <w:sz w:val="20"/>
          <w:szCs w:val="20"/>
          <w:lang w:val="uk-UA"/>
        </w:rPr>
        <w:t xml:space="preserve">використання </w:t>
      </w:r>
      <w:r w:rsidRPr="003C6DAE">
        <w:rPr>
          <w:sz w:val="20"/>
          <w:szCs w:val="20"/>
          <w:lang w:val="uk-UA"/>
        </w:rPr>
        <w:t xml:space="preserve">аТАНК-НС з акцентом на дорослому населенні. Лише три аналізи ефективності </w:t>
      </w:r>
      <w:r w:rsidR="000E7CEE">
        <w:rPr>
          <w:sz w:val="20"/>
          <w:szCs w:val="20"/>
          <w:lang w:val="uk-UA"/>
        </w:rPr>
        <w:t xml:space="preserve">витрат </w:t>
      </w:r>
      <w:r w:rsidRPr="003C6DAE">
        <w:rPr>
          <w:sz w:val="20"/>
          <w:szCs w:val="20"/>
          <w:lang w:val="uk-UA"/>
        </w:rPr>
        <w:t xml:space="preserve">включали дітей. Були проведені різні порівняльні тести, включаючи мазок і бакпосів. Більшість досліджень включали дослідження зразків мокротиння. Шість з 10 аналізів ефективності </w:t>
      </w:r>
      <w:r w:rsidR="0000617E">
        <w:rPr>
          <w:sz w:val="20"/>
          <w:szCs w:val="20"/>
          <w:lang w:val="uk-UA"/>
        </w:rPr>
        <w:t>витрат</w:t>
      </w:r>
      <w:r w:rsidR="000E7CEE">
        <w:rPr>
          <w:sz w:val="20"/>
          <w:szCs w:val="20"/>
          <w:lang w:val="uk-UA"/>
        </w:rPr>
        <w:t xml:space="preserve"> застосування </w:t>
      </w:r>
      <w:r w:rsidRPr="003C6DAE">
        <w:rPr>
          <w:sz w:val="20"/>
          <w:szCs w:val="20"/>
          <w:lang w:val="uk-UA"/>
        </w:rPr>
        <w:t xml:space="preserve">тесту Xpert MTB/RIF представили результати в натуральних одиницях (додатково виявлені пацієнти з ТБ), а інші чотири - в показниках отримання користі (роки життя з поправкою на якість життя та роки життя з поправкою на </w:t>
      </w:r>
      <w:r w:rsidR="00F15A11">
        <w:rPr>
          <w:sz w:val="20"/>
          <w:szCs w:val="20"/>
          <w:lang w:val="uk-UA"/>
        </w:rPr>
        <w:t>непрацездатність</w:t>
      </w:r>
      <w:r w:rsidRPr="003C6DAE">
        <w:rPr>
          <w:sz w:val="20"/>
          <w:szCs w:val="20"/>
          <w:lang w:val="uk-UA"/>
        </w:rPr>
        <w:t xml:space="preserve"> [DALYs]).</w:t>
      </w:r>
    </w:p>
    <w:p w14:paraId="7CDAA261" w14:textId="34FA4FBF" w:rsidR="00E05B98" w:rsidRPr="003C6DAE" w:rsidRDefault="005F280A" w:rsidP="00F85740">
      <w:pPr>
        <w:pStyle w:val="a3"/>
        <w:spacing w:before="180" w:line="297" w:lineRule="auto"/>
        <w:ind w:left="567" w:right="4"/>
        <w:jc w:val="both"/>
        <w:rPr>
          <w:sz w:val="20"/>
          <w:szCs w:val="20"/>
          <w:lang w:val="uk-UA"/>
        </w:rPr>
      </w:pPr>
      <w:r w:rsidRPr="003C6DAE">
        <w:rPr>
          <w:sz w:val="20"/>
          <w:szCs w:val="20"/>
          <w:lang w:val="uk-UA"/>
        </w:rPr>
        <w:t xml:space="preserve">Результати аналізу ефективності </w:t>
      </w:r>
      <w:r w:rsidR="000E7CEE">
        <w:rPr>
          <w:sz w:val="20"/>
          <w:szCs w:val="20"/>
          <w:lang w:val="uk-UA"/>
        </w:rPr>
        <w:t xml:space="preserve">витрат </w:t>
      </w:r>
      <w:r w:rsidRPr="003C6DAE">
        <w:rPr>
          <w:sz w:val="20"/>
          <w:szCs w:val="20"/>
          <w:lang w:val="uk-UA"/>
        </w:rPr>
        <w:t xml:space="preserve">показали, що Xpert MTB/RIF загалом був економічно ефективним у всіх включених дослідженнях порівняно з дослідженням мазку або бакпосівом, за винятком одного проведеного в Таїланді дослідження, де домінуючою стратегією був тест TB LAMP. На противагу цьому, методологія, яка використовувалася при проведенні досліджень ефективності </w:t>
      </w:r>
      <w:r w:rsidR="0000617E">
        <w:rPr>
          <w:sz w:val="20"/>
          <w:szCs w:val="20"/>
          <w:lang w:val="uk-UA"/>
        </w:rPr>
        <w:t>витрат</w:t>
      </w:r>
      <w:r w:rsidR="000E7CEE">
        <w:rPr>
          <w:sz w:val="20"/>
          <w:szCs w:val="20"/>
          <w:lang w:val="uk-UA"/>
        </w:rPr>
        <w:t xml:space="preserve"> </w:t>
      </w:r>
      <w:r w:rsidR="00E22868">
        <w:rPr>
          <w:sz w:val="20"/>
          <w:szCs w:val="20"/>
          <w:lang w:val="uk-UA"/>
        </w:rPr>
        <w:t xml:space="preserve">при застосуванні </w:t>
      </w:r>
      <w:r w:rsidRPr="003C6DAE">
        <w:rPr>
          <w:sz w:val="20"/>
          <w:szCs w:val="20"/>
          <w:lang w:val="uk-UA"/>
        </w:rPr>
        <w:t xml:space="preserve">Xpert Ultra, була більш неоднорідною, і результати показали, що для Xpert Ultra порівняно з мікроскопією мазка мокротиння (SSM) </w:t>
      </w:r>
      <w:r w:rsidR="0084230E">
        <w:rPr>
          <w:sz w:val="20"/>
          <w:szCs w:val="20"/>
          <w:lang w:val="uk-UA"/>
        </w:rPr>
        <w:t>інкрементний</w:t>
      </w:r>
      <w:r w:rsidRPr="003C6DAE">
        <w:rPr>
          <w:sz w:val="20"/>
          <w:szCs w:val="20"/>
          <w:lang w:val="uk-UA"/>
        </w:rPr>
        <w:t xml:space="preserve"> коефіцієнт ефективності </w:t>
      </w:r>
      <w:r w:rsidR="0084230E">
        <w:rPr>
          <w:sz w:val="20"/>
          <w:szCs w:val="20"/>
          <w:lang w:val="uk-UA"/>
        </w:rPr>
        <w:t xml:space="preserve">витрат </w:t>
      </w:r>
      <w:r w:rsidRPr="003C6DAE">
        <w:rPr>
          <w:sz w:val="20"/>
          <w:szCs w:val="20"/>
          <w:lang w:val="uk-UA"/>
        </w:rPr>
        <w:t xml:space="preserve">(ICER) становив від 72,72 до 160,23 доларів США за кожен попереджений рік життя з поправкою на </w:t>
      </w:r>
      <w:r w:rsidR="0084230E">
        <w:rPr>
          <w:sz w:val="20"/>
          <w:szCs w:val="20"/>
          <w:lang w:val="uk-UA"/>
        </w:rPr>
        <w:t>непрацездатність</w:t>
      </w:r>
      <w:r w:rsidRPr="003C6DAE">
        <w:rPr>
          <w:sz w:val="20"/>
          <w:szCs w:val="20"/>
          <w:lang w:val="uk-UA"/>
        </w:rPr>
        <w:t xml:space="preserve"> (DALY). У єдиному дослідженні</w:t>
      </w:r>
      <w:r w:rsidR="00AC7CD1">
        <w:rPr>
          <w:sz w:val="20"/>
          <w:szCs w:val="20"/>
          <w:lang w:val="uk-UA"/>
        </w:rPr>
        <w:t xml:space="preserve"> </w:t>
      </w:r>
      <w:r w:rsidRPr="003C6DAE">
        <w:rPr>
          <w:sz w:val="20"/>
          <w:szCs w:val="20"/>
          <w:lang w:val="uk-UA"/>
        </w:rPr>
        <w:t xml:space="preserve">стосовно тесту Truenat було виявлено, що він є економічно ефективнішим для дітей в Індії порівняно з Xpert MTB/RIF, з показником ICER  у 94,72 доларів США за кожен попереджений рік життя з поправкою на </w:t>
      </w:r>
      <w:r w:rsidR="0084230E">
        <w:rPr>
          <w:sz w:val="20"/>
          <w:szCs w:val="20"/>
          <w:lang w:val="uk-UA"/>
        </w:rPr>
        <w:t>непрацездатність</w:t>
      </w:r>
      <w:r w:rsidRPr="003C6DAE">
        <w:rPr>
          <w:sz w:val="20"/>
          <w:szCs w:val="20"/>
          <w:lang w:val="uk-UA"/>
        </w:rPr>
        <w:t xml:space="preserve">  (DALY).</w:t>
      </w:r>
    </w:p>
    <w:p w14:paraId="1976516C" w14:textId="5039B299" w:rsidR="00966CA1" w:rsidRPr="003C6DAE" w:rsidRDefault="00966CA1" w:rsidP="00F15A11">
      <w:pPr>
        <w:pStyle w:val="a3"/>
        <w:spacing w:before="169" w:line="276" w:lineRule="auto"/>
        <w:ind w:left="567" w:right="4"/>
        <w:jc w:val="both"/>
        <w:rPr>
          <w:sz w:val="20"/>
          <w:szCs w:val="20"/>
          <w:lang w:val="uk-UA"/>
        </w:rPr>
      </w:pPr>
      <w:r w:rsidRPr="003C6DAE">
        <w:rPr>
          <w:sz w:val="20"/>
          <w:szCs w:val="20"/>
          <w:lang w:val="uk-UA"/>
        </w:rPr>
        <w:t xml:space="preserve">Загалом, аТАНК-НС, ймовірно, будуть економічно ефективними в різних </w:t>
      </w:r>
      <w:r w:rsidR="00AC7CD1">
        <w:rPr>
          <w:sz w:val="20"/>
          <w:szCs w:val="20"/>
          <w:lang w:val="uk-UA"/>
        </w:rPr>
        <w:t>країнах</w:t>
      </w:r>
      <w:r w:rsidRPr="003C6DAE">
        <w:rPr>
          <w:sz w:val="20"/>
          <w:szCs w:val="20"/>
          <w:lang w:val="uk-UA"/>
        </w:rPr>
        <w:t xml:space="preserve"> порівняно з </w:t>
      </w:r>
      <w:r w:rsidR="00AC7CD1" w:rsidRPr="003C6DAE">
        <w:rPr>
          <w:sz w:val="20"/>
          <w:szCs w:val="20"/>
          <w:lang w:val="uk-UA"/>
        </w:rPr>
        <w:t>мікроскопією мазка мокротиння</w:t>
      </w:r>
      <w:r w:rsidRPr="003C6DAE">
        <w:rPr>
          <w:sz w:val="20"/>
          <w:szCs w:val="20"/>
          <w:lang w:val="uk-UA"/>
        </w:rPr>
        <w:t xml:space="preserve"> та бакпосівом.</w:t>
      </w:r>
    </w:p>
    <w:p w14:paraId="5BB1A109" w14:textId="6B1E6AC2" w:rsidR="00E05B98" w:rsidRPr="003C6DAE" w:rsidRDefault="00966CA1" w:rsidP="00966CA1">
      <w:pPr>
        <w:pStyle w:val="a3"/>
        <w:spacing w:before="169"/>
        <w:ind w:left="567" w:right="4"/>
        <w:jc w:val="both"/>
        <w:rPr>
          <w:b/>
          <w:sz w:val="20"/>
          <w:szCs w:val="20"/>
          <w:lang w:val="uk-UA"/>
        </w:rPr>
      </w:pPr>
      <w:r w:rsidRPr="003C6DAE">
        <w:rPr>
          <w:sz w:val="20"/>
          <w:szCs w:val="20"/>
          <w:lang w:val="uk-UA"/>
        </w:rPr>
        <w:t xml:space="preserve">Більш детальну інформацію про економічну оцінку аТАНК-НС  представлено у </w:t>
      </w:r>
      <w:r w:rsidRPr="003C6DAE">
        <w:rPr>
          <w:b/>
          <w:sz w:val="20"/>
          <w:szCs w:val="20"/>
          <w:lang w:val="uk-UA"/>
        </w:rPr>
        <w:t>Веб-додатку B.9</w:t>
      </w:r>
      <w:r w:rsidRPr="003C6DAE">
        <w:rPr>
          <w:sz w:val="20"/>
          <w:szCs w:val="20"/>
          <w:lang w:val="uk-UA"/>
        </w:rPr>
        <w:t>.</w:t>
      </w:r>
    </w:p>
    <w:p w14:paraId="487BBA39" w14:textId="77777777" w:rsidR="00E05B98" w:rsidRPr="003C6DAE" w:rsidRDefault="00E05B98">
      <w:pPr>
        <w:pStyle w:val="a3"/>
        <w:jc w:val="both"/>
        <w:rPr>
          <w:rFonts w:ascii="Arial"/>
          <w:b/>
          <w:lang w:val="uk-UA"/>
        </w:rPr>
        <w:sectPr w:rsidR="00E05B98" w:rsidRPr="003C6DAE" w:rsidSect="00845459">
          <w:pgSz w:w="11910" w:h="16840"/>
          <w:pgMar w:top="993" w:right="995" w:bottom="760" w:left="850" w:header="0" w:footer="573" w:gutter="0"/>
          <w:cols w:space="720"/>
        </w:sectPr>
      </w:pPr>
    </w:p>
    <w:p w14:paraId="4DA40262" w14:textId="6B0B8DC7" w:rsidR="00E05B98" w:rsidRPr="00AC7CD1" w:rsidRDefault="001D7AB4" w:rsidP="00F63F4D">
      <w:pPr>
        <w:pStyle w:val="5"/>
        <w:spacing w:before="45"/>
        <w:jc w:val="both"/>
        <w:rPr>
          <w:sz w:val="26"/>
          <w:szCs w:val="26"/>
          <w:lang w:val="uk-UA"/>
        </w:rPr>
      </w:pPr>
      <w:r>
        <w:rPr>
          <w:color w:val="019648"/>
          <w:spacing w:val="-2"/>
          <w:sz w:val="26"/>
          <w:szCs w:val="26"/>
          <w:lang w:val="uk-UA"/>
        </w:rPr>
        <w:lastRenderedPageBreak/>
        <w:t>Т</w:t>
      </w:r>
      <w:r w:rsidR="00966CA1" w:rsidRPr="00AC7CD1">
        <w:rPr>
          <w:color w:val="019648"/>
          <w:spacing w:val="-2"/>
          <w:sz w:val="26"/>
          <w:szCs w:val="26"/>
          <w:lang w:val="uk-UA"/>
        </w:rPr>
        <w:t>очк</w:t>
      </w:r>
      <w:r>
        <w:rPr>
          <w:color w:val="019648"/>
          <w:spacing w:val="-2"/>
          <w:sz w:val="26"/>
          <w:szCs w:val="26"/>
          <w:lang w:val="uk-UA"/>
        </w:rPr>
        <w:t>а</w:t>
      </w:r>
      <w:r w:rsidR="00966CA1" w:rsidRPr="00AC7CD1">
        <w:rPr>
          <w:color w:val="019648"/>
          <w:spacing w:val="-2"/>
          <w:sz w:val="26"/>
          <w:szCs w:val="26"/>
          <w:lang w:val="uk-UA"/>
        </w:rPr>
        <w:t xml:space="preserve"> зору користувача</w:t>
      </w:r>
    </w:p>
    <w:p w14:paraId="27FC5619" w14:textId="2B1505A2" w:rsidR="00E05B98" w:rsidRPr="003C6DAE" w:rsidRDefault="005B63EA" w:rsidP="00F63F4D">
      <w:pPr>
        <w:pStyle w:val="a3"/>
        <w:spacing w:before="219"/>
        <w:ind w:left="567"/>
        <w:jc w:val="both"/>
        <w:rPr>
          <w:sz w:val="20"/>
          <w:szCs w:val="20"/>
          <w:lang w:val="uk-UA"/>
        </w:rPr>
      </w:pPr>
      <w:r w:rsidRPr="003C6DAE">
        <w:rPr>
          <w:sz w:val="20"/>
          <w:szCs w:val="20"/>
          <w:lang w:val="uk-UA"/>
        </w:rPr>
        <w:t xml:space="preserve">У цьому розділі розглядається наступне </w:t>
      </w:r>
      <w:r w:rsidR="00AC7CD1">
        <w:rPr>
          <w:sz w:val="20"/>
          <w:szCs w:val="20"/>
          <w:lang w:val="uk-UA"/>
        </w:rPr>
        <w:t>за</w:t>
      </w:r>
      <w:r w:rsidRPr="003C6DAE">
        <w:rPr>
          <w:sz w:val="20"/>
          <w:szCs w:val="20"/>
          <w:lang w:val="uk-UA"/>
        </w:rPr>
        <w:t>питання:</w:t>
      </w:r>
    </w:p>
    <w:p w14:paraId="167FD786" w14:textId="19932661" w:rsidR="00E05B98" w:rsidRPr="00AC7CD1" w:rsidRDefault="005B63EA" w:rsidP="00F63F4D">
      <w:pPr>
        <w:pStyle w:val="7"/>
        <w:spacing w:before="243" w:line="249" w:lineRule="auto"/>
        <w:jc w:val="both"/>
        <w:rPr>
          <w:sz w:val="22"/>
          <w:szCs w:val="22"/>
          <w:lang w:val="uk-UA"/>
        </w:rPr>
      </w:pPr>
      <w:r w:rsidRPr="00AC7CD1">
        <w:rPr>
          <w:color w:val="019648"/>
          <w:sz w:val="22"/>
          <w:szCs w:val="22"/>
          <w:lang w:val="uk-UA"/>
        </w:rPr>
        <w:t xml:space="preserve">Чи впливає впровадження Xpert MTB/RIF та Xpert Ultra на вподобання та цінності </w:t>
      </w:r>
      <w:r w:rsidRPr="001D7AB4">
        <w:rPr>
          <w:color w:val="019648"/>
          <w:sz w:val="22"/>
          <w:szCs w:val="22"/>
          <w:lang w:val="uk-UA"/>
        </w:rPr>
        <w:t xml:space="preserve">користувачів, рівність </w:t>
      </w:r>
      <w:r w:rsidR="001D7AB4" w:rsidRPr="001D7AB4">
        <w:rPr>
          <w:color w:val="019648"/>
          <w:sz w:val="22"/>
          <w:szCs w:val="22"/>
          <w:lang w:val="uk-UA"/>
        </w:rPr>
        <w:t>і справедливість у наданні послуг пацієнтам</w:t>
      </w:r>
      <w:r w:rsidRPr="00AC7CD1">
        <w:rPr>
          <w:color w:val="019648"/>
          <w:sz w:val="22"/>
          <w:szCs w:val="22"/>
          <w:lang w:val="uk-UA"/>
        </w:rPr>
        <w:t xml:space="preserve">, доступність, реалізацію та </w:t>
      </w:r>
      <w:r w:rsidR="001D7AB4">
        <w:rPr>
          <w:color w:val="019648"/>
          <w:sz w:val="22"/>
          <w:szCs w:val="22"/>
          <w:lang w:val="uk-UA"/>
        </w:rPr>
        <w:t xml:space="preserve">на </w:t>
      </w:r>
      <w:r w:rsidRPr="00AC7CD1">
        <w:rPr>
          <w:color w:val="019648"/>
          <w:sz w:val="22"/>
          <w:szCs w:val="22"/>
          <w:lang w:val="uk-UA"/>
        </w:rPr>
        <w:t>права людини?</w:t>
      </w:r>
    </w:p>
    <w:p w14:paraId="417BEC5F" w14:textId="1634BA16" w:rsidR="00E05B98" w:rsidRPr="003C6DAE" w:rsidRDefault="00F63F4D" w:rsidP="00F63F4D">
      <w:pPr>
        <w:pStyle w:val="a3"/>
        <w:spacing w:before="217" w:line="297" w:lineRule="auto"/>
        <w:ind w:left="567"/>
        <w:jc w:val="both"/>
        <w:rPr>
          <w:sz w:val="20"/>
          <w:szCs w:val="20"/>
          <w:lang w:val="uk-UA"/>
        </w:rPr>
      </w:pPr>
      <w:r w:rsidRPr="003C6DAE">
        <w:rPr>
          <w:sz w:val="20"/>
          <w:szCs w:val="20"/>
          <w:lang w:val="uk-UA"/>
        </w:rPr>
        <w:t>Цей огляд включав 49 якісних досліджень, з яких 17 були виявлені під час оновленого пошуку (з 2022 року). Усі дослідження щодо застосування аТАНК-НС для виявлення ТБ і ЛС-ТБ проводилися в країнах з високим тягарем захворювання на ТБ в Африці, Азії та Східній Європі. У двох дослідженнях представлен</w:t>
      </w:r>
      <w:r w:rsidR="00E22868">
        <w:rPr>
          <w:sz w:val="20"/>
          <w:szCs w:val="20"/>
          <w:lang w:val="uk-UA"/>
        </w:rPr>
        <w:t>о</w:t>
      </w:r>
      <w:r w:rsidRPr="003C6DAE">
        <w:rPr>
          <w:sz w:val="20"/>
          <w:szCs w:val="20"/>
          <w:lang w:val="uk-UA"/>
        </w:rPr>
        <w:t xml:space="preserve"> </w:t>
      </w:r>
      <w:r w:rsidR="00E22868">
        <w:rPr>
          <w:sz w:val="20"/>
          <w:szCs w:val="20"/>
          <w:lang w:val="uk-UA"/>
        </w:rPr>
        <w:t>точки зору</w:t>
      </w:r>
      <w:r w:rsidRPr="003C6DAE">
        <w:rPr>
          <w:sz w:val="20"/>
          <w:szCs w:val="20"/>
          <w:lang w:val="uk-UA"/>
        </w:rPr>
        <w:t xml:space="preserve"> користувачів про Xpert Ultra, а в решті - про Xpert MTB/RIF або інші швидкі молекулярні тести. Дослідження щодо Xpert Ultra проводилися в країнах Африки та Східної Європи та були зосереджені на всіх людях з підозрою на ТБ, ЛС-ТБ та позалегеневий ТБ</w:t>
      </w:r>
      <w:r w:rsidR="00B01E0C" w:rsidRPr="003C6DAE">
        <w:rPr>
          <w:sz w:val="20"/>
          <w:szCs w:val="20"/>
          <w:lang w:val="uk-UA"/>
        </w:rPr>
        <w:t>.</w:t>
      </w:r>
    </w:p>
    <w:p w14:paraId="4A27D74C" w14:textId="50EAE114" w:rsidR="00E05B98" w:rsidRPr="003C6DAE" w:rsidRDefault="00417CEE" w:rsidP="00F63F4D">
      <w:pPr>
        <w:pStyle w:val="a3"/>
        <w:spacing w:before="178" w:line="297" w:lineRule="auto"/>
        <w:ind w:left="567"/>
        <w:jc w:val="both"/>
        <w:rPr>
          <w:sz w:val="20"/>
          <w:szCs w:val="20"/>
          <w:lang w:val="uk-UA"/>
        </w:rPr>
      </w:pPr>
      <w:r w:rsidRPr="003C6DAE">
        <w:rPr>
          <w:sz w:val="20"/>
          <w:szCs w:val="20"/>
          <w:lang w:val="uk-UA"/>
        </w:rPr>
        <w:t xml:space="preserve">Хоча стандартний Xpert MTB/RIF був витіснений Xpert Ultra та іншими швидкими тестами </w:t>
      </w:r>
      <w:r w:rsidR="00AC7CD1">
        <w:rPr>
          <w:sz w:val="20"/>
          <w:szCs w:val="20"/>
          <w:lang w:val="uk-UA"/>
        </w:rPr>
        <w:t>методом</w:t>
      </w:r>
      <w:r w:rsidRPr="003C6DAE">
        <w:rPr>
          <w:sz w:val="20"/>
          <w:szCs w:val="20"/>
          <w:lang w:val="uk-UA"/>
        </w:rPr>
        <w:t xml:space="preserve"> ампліфікаці</w:t>
      </w:r>
      <w:r w:rsidR="00AC7CD1">
        <w:rPr>
          <w:sz w:val="20"/>
          <w:szCs w:val="20"/>
          <w:lang w:val="uk-UA"/>
        </w:rPr>
        <w:t>ї</w:t>
      </w:r>
      <w:r w:rsidRPr="003C6DAE">
        <w:rPr>
          <w:sz w:val="20"/>
          <w:szCs w:val="20"/>
          <w:lang w:val="uk-UA"/>
        </w:rPr>
        <w:t xml:space="preserve"> нуклеїнових кислот (ТАНК), якісні докази для останніх ТАНК є обмеженими. У той час як ТАНК-НС, як правило, цінуються за їх</w:t>
      </w:r>
      <w:r w:rsidR="00AC7CD1">
        <w:rPr>
          <w:sz w:val="20"/>
          <w:szCs w:val="20"/>
          <w:lang w:val="uk-UA"/>
        </w:rPr>
        <w:t>ню</w:t>
      </w:r>
      <w:r w:rsidRPr="003C6DAE">
        <w:rPr>
          <w:sz w:val="20"/>
          <w:szCs w:val="20"/>
          <w:lang w:val="uk-UA"/>
        </w:rPr>
        <w:t xml:space="preserve"> точність, простоту використання і можливості скорочення часу </w:t>
      </w:r>
      <w:r w:rsidR="00AC7CD1">
        <w:rPr>
          <w:sz w:val="20"/>
          <w:szCs w:val="20"/>
          <w:lang w:val="uk-UA"/>
        </w:rPr>
        <w:t>для постановки</w:t>
      </w:r>
      <w:r w:rsidRPr="003C6DAE">
        <w:rPr>
          <w:sz w:val="20"/>
          <w:szCs w:val="20"/>
          <w:lang w:val="uk-UA"/>
        </w:rPr>
        <w:t xml:space="preserve"> діагнозу</w:t>
      </w:r>
      <w:r w:rsidR="00E22868">
        <w:rPr>
          <w:sz w:val="20"/>
          <w:szCs w:val="20"/>
          <w:lang w:val="uk-UA"/>
        </w:rPr>
        <w:t>.</w:t>
      </w:r>
      <w:r w:rsidRPr="003C6DAE">
        <w:rPr>
          <w:sz w:val="20"/>
          <w:szCs w:val="20"/>
          <w:lang w:val="uk-UA"/>
        </w:rPr>
        <w:t xml:space="preserve"> </w:t>
      </w:r>
      <w:r w:rsidR="00E22868">
        <w:rPr>
          <w:sz w:val="20"/>
          <w:szCs w:val="20"/>
          <w:lang w:val="uk-UA"/>
        </w:rPr>
        <w:t>О</w:t>
      </w:r>
      <w:r w:rsidRPr="003C6DAE">
        <w:rPr>
          <w:sz w:val="20"/>
          <w:szCs w:val="20"/>
          <w:lang w:val="uk-UA"/>
        </w:rPr>
        <w:t xml:space="preserve">станнє покоління </w:t>
      </w:r>
      <w:r w:rsidR="00E22868">
        <w:rPr>
          <w:sz w:val="20"/>
          <w:szCs w:val="20"/>
          <w:lang w:val="uk-UA"/>
        </w:rPr>
        <w:t xml:space="preserve">тестів </w:t>
      </w:r>
      <w:r w:rsidRPr="003C6DAE">
        <w:rPr>
          <w:sz w:val="20"/>
          <w:szCs w:val="20"/>
          <w:lang w:val="uk-UA"/>
        </w:rPr>
        <w:t>ТАНК, таких як Xpert Ultra, ціну</w:t>
      </w:r>
      <w:r w:rsidR="00AC7CD1">
        <w:rPr>
          <w:sz w:val="20"/>
          <w:szCs w:val="20"/>
          <w:lang w:val="uk-UA"/>
        </w:rPr>
        <w:t>ю</w:t>
      </w:r>
      <w:r w:rsidRPr="003C6DAE">
        <w:rPr>
          <w:sz w:val="20"/>
          <w:szCs w:val="20"/>
          <w:lang w:val="uk-UA"/>
        </w:rPr>
        <w:t xml:space="preserve">ться за їх більшу точність у пацієнтів, для яких важко діагностувати </w:t>
      </w:r>
      <w:r w:rsidRPr="00AC7CD1">
        <w:rPr>
          <w:sz w:val="20"/>
          <w:szCs w:val="20"/>
          <w:lang w:val="uk-UA"/>
        </w:rPr>
        <w:t>ТБ, простоту реалізації на існуючих платформах GeneXpert і легкість інтеграції з</w:t>
      </w:r>
      <w:r w:rsidR="00AC7CD1" w:rsidRPr="00AC7CD1">
        <w:rPr>
          <w:sz w:val="20"/>
          <w:szCs w:val="20"/>
          <w:lang w:val="uk-UA"/>
        </w:rPr>
        <w:t>і</w:t>
      </w:r>
      <w:r w:rsidRPr="00AC7CD1">
        <w:rPr>
          <w:sz w:val="20"/>
          <w:szCs w:val="20"/>
          <w:lang w:val="uk-UA"/>
        </w:rPr>
        <w:t xml:space="preserve"> швидки</w:t>
      </w:r>
      <w:r w:rsidR="00AC7CD1" w:rsidRPr="00AC7CD1">
        <w:rPr>
          <w:sz w:val="20"/>
          <w:szCs w:val="20"/>
          <w:lang w:val="uk-UA"/>
        </w:rPr>
        <w:t>ми</w:t>
      </w:r>
      <w:r w:rsidRPr="00AC7CD1">
        <w:rPr>
          <w:sz w:val="20"/>
          <w:szCs w:val="20"/>
          <w:lang w:val="uk-UA"/>
        </w:rPr>
        <w:t xml:space="preserve"> тест</w:t>
      </w:r>
      <w:r w:rsidR="00AC7CD1" w:rsidRPr="00AC7CD1">
        <w:rPr>
          <w:sz w:val="20"/>
          <w:szCs w:val="20"/>
          <w:lang w:val="uk-UA"/>
        </w:rPr>
        <w:t>ами</w:t>
      </w:r>
      <w:r w:rsidRPr="00AC7CD1">
        <w:rPr>
          <w:sz w:val="20"/>
          <w:szCs w:val="20"/>
          <w:lang w:val="uk-UA"/>
        </w:rPr>
        <w:t xml:space="preserve"> на виявлення інших захворювань.</w:t>
      </w:r>
      <w:r w:rsidR="00B01E0C" w:rsidRPr="00AC7CD1">
        <w:rPr>
          <w:sz w:val="20"/>
          <w:szCs w:val="20"/>
          <w:lang w:val="uk-UA"/>
        </w:rPr>
        <w:t xml:space="preserve"> </w:t>
      </w:r>
      <w:r w:rsidR="002D6DB3" w:rsidRPr="002D6DB3">
        <w:rPr>
          <w:sz w:val="20"/>
          <w:szCs w:val="20"/>
          <w:lang w:val="uk-UA"/>
        </w:rPr>
        <w:t>Проблеми, що обмежують реалізацію цих цінностей для більш сучасних ТАНК, аналогічним проблемам, пов'язаним  з Xpert MTB/RIF, - тобто слабка інфраструктура, фрагментовані системи, велике робоче навантаження, обмежена доступність ТАНК та їх постачання.</w:t>
      </w:r>
      <w:r w:rsidRPr="002D6DB3">
        <w:rPr>
          <w:sz w:val="20"/>
          <w:szCs w:val="20"/>
          <w:lang w:val="uk-UA"/>
        </w:rPr>
        <w:t xml:space="preserve"> Ми рекомендуємо провести якісні дослідження для з'ясування перспектив одночасного використання ТАНК</w:t>
      </w:r>
      <w:r w:rsidR="00B01E0C" w:rsidRPr="002D6DB3">
        <w:rPr>
          <w:sz w:val="20"/>
          <w:szCs w:val="20"/>
          <w:lang w:val="uk-UA"/>
        </w:rPr>
        <w:t>.</w:t>
      </w:r>
    </w:p>
    <w:p w14:paraId="757B4FD4" w14:textId="322C5508" w:rsidR="00E05B98" w:rsidRPr="003C6DAE" w:rsidRDefault="00417CEE" w:rsidP="00F63F4D">
      <w:pPr>
        <w:pStyle w:val="a3"/>
        <w:spacing w:before="181" w:line="295" w:lineRule="auto"/>
        <w:ind w:left="567"/>
        <w:jc w:val="both"/>
        <w:rPr>
          <w:rFonts w:ascii="Arial"/>
          <w:b/>
          <w:sz w:val="20"/>
          <w:szCs w:val="20"/>
          <w:lang w:val="uk-UA"/>
        </w:rPr>
      </w:pPr>
      <w:r w:rsidRPr="003C6DAE">
        <w:rPr>
          <w:w w:val="105"/>
          <w:sz w:val="20"/>
          <w:szCs w:val="20"/>
          <w:lang w:val="uk-UA"/>
        </w:rPr>
        <w:t xml:space="preserve">Докази, на яких ґрунтуються висновки цього огляду, мають високий рівень достовірності. Більш детальну інформацію про якісну оцінку аТАНК-НС представлено у </w:t>
      </w:r>
      <w:r w:rsidRPr="003C6DAE">
        <w:rPr>
          <w:b/>
          <w:w w:val="105"/>
          <w:sz w:val="20"/>
          <w:szCs w:val="20"/>
          <w:lang w:val="uk-UA"/>
        </w:rPr>
        <w:t>веб-додатку B.10</w:t>
      </w:r>
      <w:r w:rsidRPr="003C6DAE">
        <w:rPr>
          <w:w w:val="105"/>
          <w:sz w:val="20"/>
          <w:szCs w:val="20"/>
          <w:lang w:val="uk-UA"/>
        </w:rPr>
        <w:t>.</w:t>
      </w:r>
    </w:p>
    <w:p w14:paraId="16B27453" w14:textId="6C3E6967" w:rsidR="00E05B98" w:rsidRPr="00E22868" w:rsidRDefault="00417CEE" w:rsidP="00F63F4D">
      <w:pPr>
        <w:pStyle w:val="5"/>
        <w:spacing w:before="200"/>
        <w:jc w:val="both"/>
        <w:rPr>
          <w:sz w:val="22"/>
          <w:szCs w:val="22"/>
          <w:lang w:val="uk-UA"/>
        </w:rPr>
      </w:pPr>
      <w:r w:rsidRPr="00E22868">
        <w:rPr>
          <w:color w:val="019648"/>
          <w:sz w:val="22"/>
          <w:szCs w:val="22"/>
          <w:lang w:val="uk-UA"/>
        </w:rPr>
        <w:t>Вподобання та цінності користувача</w:t>
      </w:r>
    </w:p>
    <w:p w14:paraId="572554D0" w14:textId="0A695B1C" w:rsidR="00E05B98" w:rsidRPr="003C6DAE" w:rsidRDefault="00417CEE" w:rsidP="00F63F4D">
      <w:pPr>
        <w:pStyle w:val="a3"/>
        <w:spacing w:before="219" w:line="297" w:lineRule="auto"/>
        <w:ind w:left="567"/>
        <w:jc w:val="both"/>
        <w:rPr>
          <w:sz w:val="20"/>
          <w:szCs w:val="20"/>
          <w:lang w:val="uk-UA"/>
        </w:rPr>
      </w:pPr>
      <w:r w:rsidRPr="003C6DAE">
        <w:rPr>
          <w:w w:val="105"/>
          <w:sz w:val="20"/>
          <w:szCs w:val="20"/>
          <w:lang w:val="uk-UA"/>
        </w:rPr>
        <w:t xml:space="preserve">Результати досліджень Xpert MTB/RIF показали, що надавачі медичних послуг високо </w:t>
      </w:r>
      <w:r w:rsidR="002D6DB3">
        <w:rPr>
          <w:w w:val="105"/>
          <w:sz w:val="20"/>
          <w:szCs w:val="20"/>
          <w:lang w:val="uk-UA"/>
        </w:rPr>
        <w:t xml:space="preserve">цінують </w:t>
      </w:r>
      <w:r w:rsidRPr="003C6DAE">
        <w:rPr>
          <w:w w:val="105"/>
          <w:sz w:val="20"/>
          <w:szCs w:val="20"/>
          <w:lang w:val="uk-UA"/>
        </w:rPr>
        <w:t>його корисність п</w:t>
      </w:r>
      <w:r w:rsidR="002D6DB3">
        <w:rPr>
          <w:w w:val="105"/>
          <w:sz w:val="20"/>
          <w:szCs w:val="20"/>
          <w:lang w:val="uk-UA"/>
        </w:rPr>
        <w:t>ід час</w:t>
      </w:r>
      <w:r w:rsidRPr="003C6DAE">
        <w:rPr>
          <w:w w:val="105"/>
          <w:sz w:val="20"/>
          <w:szCs w:val="20"/>
          <w:lang w:val="uk-UA"/>
        </w:rPr>
        <w:t xml:space="preserve"> діагности</w:t>
      </w:r>
      <w:r w:rsidR="002D6DB3">
        <w:rPr>
          <w:w w:val="105"/>
          <w:sz w:val="20"/>
          <w:szCs w:val="20"/>
          <w:lang w:val="uk-UA"/>
        </w:rPr>
        <w:t>ки</w:t>
      </w:r>
      <w:r w:rsidRPr="003C6DAE">
        <w:rPr>
          <w:w w:val="105"/>
          <w:sz w:val="20"/>
          <w:szCs w:val="20"/>
          <w:lang w:val="uk-UA"/>
        </w:rPr>
        <w:t xml:space="preserve"> стійкості до лікарських засобів у людей, які живуть з ВІЛ, точність і, як наслідок, довіру до тесту, швидкий час виконання тесту, низьку вартість діагностичного тестування для пацієнтів та покращення стосунків між пацієнтом та надавачем медичних послуг. Надавачі </w:t>
      </w:r>
      <w:r w:rsidR="002D6DB3">
        <w:rPr>
          <w:w w:val="105"/>
          <w:sz w:val="20"/>
          <w:szCs w:val="20"/>
          <w:lang w:val="uk-UA"/>
        </w:rPr>
        <w:t xml:space="preserve">медичних </w:t>
      </w:r>
      <w:r w:rsidRPr="003C6DAE">
        <w:rPr>
          <w:w w:val="105"/>
          <w:sz w:val="20"/>
          <w:szCs w:val="20"/>
          <w:lang w:val="uk-UA"/>
        </w:rPr>
        <w:t xml:space="preserve">послуг також </w:t>
      </w:r>
      <w:r w:rsidR="002D6DB3">
        <w:rPr>
          <w:w w:val="105"/>
          <w:sz w:val="20"/>
          <w:szCs w:val="20"/>
          <w:lang w:val="uk-UA"/>
        </w:rPr>
        <w:t>цінують цей тест за</w:t>
      </w:r>
      <w:r w:rsidRPr="003C6DAE">
        <w:rPr>
          <w:w w:val="105"/>
          <w:sz w:val="20"/>
          <w:szCs w:val="20"/>
          <w:lang w:val="uk-UA"/>
        </w:rPr>
        <w:t xml:space="preserve"> різноманітність типів зразків, які можна аналізувати за допомогою тесту. Працівники лабораторій </w:t>
      </w:r>
      <w:r w:rsidR="002D6DB3">
        <w:rPr>
          <w:w w:val="105"/>
          <w:sz w:val="20"/>
          <w:szCs w:val="20"/>
          <w:lang w:val="uk-UA"/>
        </w:rPr>
        <w:t>цінують</w:t>
      </w:r>
      <w:r w:rsidRPr="003C6DAE">
        <w:rPr>
          <w:w w:val="105"/>
          <w:sz w:val="20"/>
          <w:szCs w:val="20"/>
          <w:lang w:val="uk-UA"/>
        </w:rPr>
        <w:t xml:space="preserve"> простоту використання тесту і повідомили про більшу задоволеність персоналу порівняно з мікроскопією мокротиння.</w:t>
      </w:r>
      <w:r w:rsidR="00B01E0C" w:rsidRPr="003C6DAE">
        <w:rPr>
          <w:sz w:val="20"/>
          <w:szCs w:val="20"/>
          <w:lang w:val="uk-UA"/>
        </w:rPr>
        <w:t xml:space="preserve"> </w:t>
      </w:r>
      <w:r w:rsidR="000C61F3" w:rsidRPr="003C6DAE">
        <w:rPr>
          <w:sz w:val="20"/>
          <w:szCs w:val="20"/>
          <w:lang w:val="uk-UA"/>
        </w:rPr>
        <w:t xml:space="preserve">Люди з ТБ </w:t>
      </w:r>
      <w:r w:rsidR="002D6DB3">
        <w:rPr>
          <w:sz w:val="20"/>
          <w:szCs w:val="20"/>
          <w:lang w:val="uk-UA"/>
        </w:rPr>
        <w:t>цінують</w:t>
      </w:r>
      <w:r w:rsidR="000C61F3" w:rsidRPr="003C6DAE">
        <w:rPr>
          <w:sz w:val="20"/>
          <w:szCs w:val="20"/>
          <w:lang w:val="uk-UA"/>
        </w:rPr>
        <w:t xml:space="preserve"> можливість отримання точного діагнозу, уникнення затримок встановлення діагнозу та низькі витрати, пов'язані з </w:t>
      </w:r>
      <w:r w:rsidR="00E22868">
        <w:rPr>
          <w:sz w:val="20"/>
          <w:szCs w:val="20"/>
          <w:lang w:val="uk-UA"/>
        </w:rPr>
        <w:t>тестом для діагностики ТБ</w:t>
      </w:r>
      <w:r w:rsidR="000C61F3" w:rsidRPr="003C6DAE">
        <w:rPr>
          <w:sz w:val="20"/>
          <w:szCs w:val="20"/>
          <w:lang w:val="uk-UA"/>
        </w:rPr>
        <w:t xml:space="preserve">. Порівняно з Xpert MTB/RIF, надавачі </w:t>
      </w:r>
      <w:r w:rsidR="00F87EAF">
        <w:rPr>
          <w:sz w:val="20"/>
          <w:szCs w:val="20"/>
          <w:lang w:val="uk-UA"/>
        </w:rPr>
        <w:t xml:space="preserve">медичних </w:t>
      </w:r>
      <w:r w:rsidR="000C61F3" w:rsidRPr="003C6DAE">
        <w:rPr>
          <w:sz w:val="20"/>
          <w:szCs w:val="20"/>
          <w:lang w:val="uk-UA"/>
        </w:rPr>
        <w:t xml:space="preserve">послуг </w:t>
      </w:r>
      <w:r w:rsidR="00F87EAF">
        <w:rPr>
          <w:sz w:val="20"/>
          <w:szCs w:val="20"/>
          <w:lang w:val="uk-UA"/>
        </w:rPr>
        <w:t>цінують</w:t>
      </w:r>
      <w:r w:rsidR="000C61F3" w:rsidRPr="003C6DAE">
        <w:rPr>
          <w:sz w:val="20"/>
          <w:szCs w:val="20"/>
          <w:lang w:val="uk-UA"/>
        </w:rPr>
        <w:t xml:space="preserve"> можливості Xpert Ultra  з точки зору кращого виявлення випадків ТБ серед пацієнтів, яких важко діагностувати (з позалегеневим ТБ, дитячим ТБ або ко-інфекцією з ВІЛ), а також виявлення більшої кількості людей з туберкульозом.</w:t>
      </w:r>
    </w:p>
    <w:p w14:paraId="4E33A666" w14:textId="5894595B" w:rsidR="00E05B98" w:rsidRPr="003C6DAE" w:rsidRDefault="000C61F3" w:rsidP="00F63F4D">
      <w:pPr>
        <w:pStyle w:val="a3"/>
        <w:spacing w:before="182" w:line="297" w:lineRule="auto"/>
        <w:ind w:left="567"/>
        <w:jc w:val="both"/>
        <w:rPr>
          <w:sz w:val="20"/>
          <w:szCs w:val="20"/>
          <w:lang w:val="uk-UA"/>
        </w:rPr>
      </w:pPr>
      <w:r w:rsidRPr="003C6DAE">
        <w:rPr>
          <w:sz w:val="20"/>
          <w:szCs w:val="20"/>
          <w:lang w:val="uk-UA"/>
        </w:rPr>
        <w:t xml:space="preserve">Порівняно з Xpert MTB/RIF, надавачі медичних послуг </w:t>
      </w:r>
      <w:r w:rsidR="00F87EAF">
        <w:rPr>
          <w:sz w:val="20"/>
          <w:szCs w:val="20"/>
          <w:lang w:val="uk-UA"/>
        </w:rPr>
        <w:t>цінують</w:t>
      </w:r>
      <w:r w:rsidRPr="003C6DAE">
        <w:rPr>
          <w:sz w:val="20"/>
          <w:szCs w:val="20"/>
          <w:lang w:val="uk-UA"/>
        </w:rPr>
        <w:t xml:space="preserve"> Xpert Ultra за простоту його реалізації та інтеграцію з </w:t>
      </w:r>
      <w:r w:rsidR="00E22868">
        <w:rPr>
          <w:sz w:val="20"/>
          <w:szCs w:val="20"/>
          <w:lang w:val="uk-UA"/>
        </w:rPr>
        <w:t xml:space="preserve">виконання </w:t>
      </w:r>
      <w:r w:rsidRPr="003C6DAE">
        <w:rPr>
          <w:sz w:val="20"/>
          <w:szCs w:val="20"/>
          <w:lang w:val="uk-UA"/>
        </w:rPr>
        <w:t>тест</w:t>
      </w:r>
      <w:r w:rsidR="00E22868">
        <w:rPr>
          <w:sz w:val="20"/>
          <w:szCs w:val="20"/>
          <w:lang w:val="uk-UA"/>
        </w:rPr>
        <w:t>ів</w:t>
      </w:r>
      <w:r w:rsidRPr="003C6DAE">
        <w:rPr>
          <w:sz w:val="20"/>
          <w:szCs w:val="20"/>
          <w:lang w:val="uk-UA"/>
        </w:rPr>
        <w:t xml:space="preserve"> на інші захворювання (</w:t>
      </w:r>
      <w:r w:rsidR="00F87EAF">
        <w:rPr>
          <w:sz w:val="20"/>
          <w:szCs w:val="20"/>
          <w:lang w:val="uk-UA"/>
        </w:rPr>
        <w:t>це</w:t>
      </w:r>
      <w:r w:rsidRPr="003C6DAE">
        <w:rPr>
          <w:sz w:val="20"/>
          <w:szCs w:val="20"/>
          <w:lang w:val="uk-UA"/>
        </w:rPr>
        <w:t xml:space="preserve"> стало можливим завдяки тому, що він був </w:t>
      </w:r>
      <w:r w:rsidR="00F87EAF">
        <w:rPr>
          <w:sz w:val="20"/>
          <w:szCs w:val="20"/>
          <w:lang w:val="uk-UA"/>
        </w:rPr>
        <w:t xml:space="preserve">розроблений </w:t>
      </w:r>
      <w:r w:rsidRPr="003C6DAE">
        <w:rPr>
          <w:sz w:val="20"/>
          <w:szCs w:val="20"/>
          <w:lang w:val="uk-UA"/>
        </w:rPr>
        <w:t xml:space="preserve">на основі існуючих платформ Xpert). Прийнятність Xpert Ultra серед надавачів </w:t>
      </w:r>
      <w:r w:rsidR="00F87EAF">
        <w:rPr>
          <w:sz w:val="20"/>
          <w:szCs w:val="20"/>
          <w:lang w:val="uk-UA"/>
        </w:rPr>
        <w:t xml:space="preserve">медичних </w:t>
      </w:r>
      <w:r w:rsidRPr="003C6DAE">
        <w:rPr>
          <w:sz w:val="20"/>
          <w:szCs w:val="20"/>
          <w:lang w:val="uk-UA"/>
        </w:rPr>
        <w:t xml:space="preserve">послуг здавалася високою, але існувала невизначеність </w:t>
      </w:r>
      <w:r w:rsidR="00F87EAF">
        <w:rPr>
          <w:sz w:val="20"/>
          <w:szCs w:val="20"/>
          <w:lang w:val="uk-UA"/>
        </w:rPr>
        <w:t>стосовно</w:t>
      </w:r>
      <w:r w:rsidRPr="003C6DAE">
        <w:rPr>
          <w:sz w:val="20"/>
          <w:szCs w:val="20"/>
          <w:lang w:val="uk-UA"/>
        </w:rPr>
        <w:t xml:space="preserve"> його точності, що потенційно могло призвести до зниження довіри та судових розглядів у разі постановки </w:t>
      </w:r>
      <w:r w:rsidR="00F87EAF">
        <w:rPr>
          <w:sz w:val="20"/>
          <w:szCs w:val="20"/>
          <w:lang w:val="uk-UA"/>
        </w:rPr>
        <w:t>хибного</w:t>
      </w:r>
      <w:r w:rsidRPr="003C6DAE">
        <w:rPr>
          <w:sz w:val="20"/>
          <w:szCs w:val="20"/>
          <w:lang w:val="uk-UA"/>
        </w:rPr>
        <w:t xml:space="preserve"> діагнозу.</w:t>
      </w:r>
    </w:p>
    <w:p w14:paraId="2E83740B" w14:textId="77777777" w:rsidR="00E05B98" w:rsidRPr="003C6DAE" w:rsidRDefault="00E05B98" w:rsidP="00F63F4D">
      <w:pPr>
        <w:pStyle w:val="a3"/>
        <w:spacing w:line="297" w:lineRule="auto"/>
        <w:jc w:val="both"/>
        <w:rPr>
          <w:sz w:val="20"/>
          <w:szCs w:val="20"/>
          <w:lang w:val="uk-UA"/>
        </w:rPr>
        <w:sectPr w:rsidR="00E05B98" w:rsidRPr="003C6DAE" w:rsidSect="00F63F4D">
          <w:pgSz w:w="11910" w:h="16840"/>
          <w:pgMar w:top="851" w:right="995" w:bottom="760" w:left="850" w:header="0" w:footer="573" w:gutter="0"/>
          <w:cols w:space="720"/>
        </w:sectPr>
      </w:pPr>
    </w:p>
    <w:p w14:paraId="7AE3491F" w14:textId="77777777" w:rsidR="001D7AB4" w:rsidRDefault="001D7AB4" w:rsidP="00F63F4D">
      <w:pPr>
        <w:pStyle w:val="5"/>
        <w:spacing w:before="45"/>
        <w:jc w:val="both"/>
        <w:rPr>
          <w:color w:val="019648"/>
          <w:w w:val="105"/>
          <w:sz w:val="22"/>
          <w:szCs w:val="22"/>
          <w:lang w:val="uk-UA"/>
        </w:rPr>
      </w:pPr>
    </w:p>
    <w:p w14:paraId="04078D6F" w14:textId="1D854F1C" w:rsidR="00E05B98" w:rsidRPr="00DE2E3D" w:rsidRDefault="00937D10" w:rsidP="00F63F4D">
      <w:pPr>
        <w:pStyle w:val="5"/>
        <w:spacing w:before="45"/>
        <w:jc w:val="both"/>
        <w:rPr>
          <w:sz w:val="22"/>
          <w:szCs w:val="22"/>
          <w:lang w:val="uk-UA"/>
        </w:rPr>
      </w:pPr>
      <w:r>
        <w:rPr>
          <w:color w:val="019648"/>
          <w:w w:val="105"/>
          <w:sz w:val="22"/>
          <w:szCs w:val="22"/>
          <w:lang w:val="uk-UA"/>
        </w:rPr>
        <w:t>С</w:t>
      </w:r>
      <w:r w:rsidR="000C61F3" w:rsidRPr="001D7AB4">
        <w:rPr>
          <w:color w:val="019648"/>
          <w:w w:val="105"/>
          <w:sz w:val="22"/>
          <w:szCs w:val="22"/>
          <w:lang w:val="uk-UA"/>
        </w:rPr>
        <w:t xml:space="preserve">праведливість </w:t>
      </w:r>
      <w:r w:rsidR="001D7AB4" w:rsidRPr="001D7AB4">
        <w:rPr>
          <w:color w:val="019648"/>
          <w:w w:val="105"/>
          <w:sz w:val="22"/>
          <w:szCs w:val="22"/>
          <w:lang w:val="uk-UA"/>
        </w:rPr>
        <w:t xml:space="preserve">у наданні послуг </w:t>
      </w:r>
      <w:r w:rsidR="000C61F3" w:rsidRPr="001D7AB4">
        <w:rPr>
          <w:color w:val="019648"/>
          <w:w w:val="105"/>
          <w:sz w:val="22"/>
          <w:szCs w:val="22"/>
          <w:lang w:val="uk-UA"/>
        </w:rPr>
        <w:t>пацієнт</w:t>
      </w:r>
      <w:r w:rsidR="001D7AB4" w:rsidRPr="001D7AB4">
        <w:rPr>
          <w:color w:val="019648"/>
          <w:w w:val="105"/>
          <w:sz w:val="22"/>
          <w:szCs w:val="22"/>
          <w:lang w:val="uk-UA"/>
        </w:rPr>
        <w:t>ам</w:t>
      </w:r>
    </w:p>
    <w:p w14:paraId="30C9A115" w14:textId="04E86323" w:rsidR="00E05B98" w:rsidRPr="003C6DAE" w:rsidRDefault="000C61F3" w:rsidP="00F63F4D">
      <w:pPr>
        <w:pStyle w:val="a3"/>
        <w:spacing w:before="219" w:line="297" w:lineRule="auto"/>
        <w:ind w:left="567"/>
        <w:jc w:val="both"/>
        <w:rPr>
          <w:sz w:val="20"/>
          <w:szCs w:val="20"/>
          <w:lang w:val="uk-UA"/>
        </w:rPr>
      </w:pPr>
      <w:r w:rsidRPr="003C6DAE">
        <w:rPr>
          <w:sz w:val="20"/>
          <w:szCs w:val="20"/>
          <w:lang w:val="uk-UA"/>
        </w:rPr>
        <w:t xml:space="preserve">Обмежена доступність Xpert Ultra у </w:t>
      </w:r>
      <w:r w:rsidR="00D55058">
        <w:rPr>
          <w:sz w:val="20"/>
          <w:szCs w:val="20"/>
          <w:lang w:val="uk-UA"/>
        </w:rPr>
        <w:t>закладах охорони здоров’я</w:t>
      </w:r>
      <w:r w:rsidRPr="003C6DAE">
        <w:rPr>
          <w:sz w:val="20"/>
          <w:szCs w:val="20"/>
          <w:lang w:val="uk-UA"/>
        </w:rPr>
        <w:t xml:space="preserve"> та високі витрати, які несуть пацієнти та медичні заклади на його використання, були названі як такі, що викликають занепокоєння з точки зору </w:t>
      </w:r>
      <w:r w:rsidR="00E22868">
        <w:rPr>
          <w:sz w:val="20"/>
          <w:szCs w:val="20"/>
          <w:lang w:val="uk-UA"/>
        </w:rPr>
        <w:t xml:space="preserve">рівності та </w:t>
      </w:r>
      <w:r w:rsidRPr="003C6DAE">
        <w:rPr>
          <w:sz w:val="20"/>
          <w:szCs w:val="20"/>
          <w:lang w:val="uk-UA"/>
        </w:rPr>
        <w:t>справедливості</w:t>
      </w:r>
      <w:r w:rsidR="00D55058">
        <w:rPr>
          <w:sz w:val="20"/>
          <w:szCs w:val="20"/>
          <w:lang w:val="uk-UA"/>
        </w:rPr>
        <w:t xml:space="preserve"> </w:t>
      </w:r>
      <w:r w:rsidR="00E22868">
        <w:rPr>
          <w:sz w:val="20"/>
          <w:szCs w:val="20"/>
          <w:lang w:val="uk-UA"/>
        </w:rPr>
        <w:t xml:space="preserve">в </w:t>
      </w:r>
      <w:r w:rsidR="00D55058">
        <w:rPr>
          <w:sz w:val="20"/>
          <w:szCs w:val="20"/>
          <w:lang w:val="uk-UA"/>
        </w:rPr>
        <w:t>наданн</w:t>
      </w:r>
      <w:r w:rsidR="00E22868">
        <w:rPr>
          <w:sz w:val="20"/>
          <w:szCs w:val="20"/>
          <w:lang w:val="uk-UA"/>
        </w:rPr>
        <w:t>і</w:t>
      </w:r>
      <w:r w:rsidR="00D55058">
        <w:rPr>
          <w:sz w:val="20"/>
          <w:szCs w:val="20"/>
          <w:lang w:val="uk-UA"/>
        </w:rPr>
        <w:t xml:space="preserve"> послуг</w:t>
      </w:r>
      <w:r w:rsidRPr="003C6DAE">
        <w:rPr>
          <w:sz w:val="20"/>
          <w:szCs w:val="20"/>
          <w:lang w:val="uk-UA"/>
        </w:rPr>
        <w:t>.</w:t>
      </w:r>
    </w:p>
    <w:p w14:paraId="42358097" w14:textId="1EC845DB" w:rsidR="00E05B98" w:rsidRPr="00D55058" w:rsidRDefault="000C61F3" w:rsidP="00F63F4D">
      <w:pPr>
        <w:pStyle w:val="5"/>
        <w:spacing w:before="200"/>
        <w:jc w:val="both"/>
        <w:rPr>
          <w:sz w:val="22"/>
          <w:szCs w:val="22"/>
          <w:lang w:val="uk-UA"/>
        </w:rPr>
      </w:pPr>
      <w:r w:rsidRPr="00D55058">
        <w:rPr>
          <w:color w:val="019648"/>
          <w:spacing w:val="-2"/>
          <w:w w:val="115"/>
          <w:sz w:val="22"/>
          <w:szCs w:val="22"/>
          <w:lang w:val="uk-UA"/>
        </w:rPr>
        <w:t>Прийнятність</w:t>
      </w:r>
    </w:p>
    <w:p w14:paraId="1992F228" w14:textId="4ECE35F8" w:rsidR="00E05B98" w:rsidRPr="003C6DAE" w:rsidRDefault="00B52DB1" w:rsidP="00F63F4D">
      <w:pPr>
        <w:pStyle w:val="a3"/>
        <w:spacing w:before="218" w:line="297" w:lineRule="auto"/>
        <w:ind w:left="567"/>
        <w:jc w:val="both"/>
        <w:rPr>
          <w:sz w:val="20"/>
          <w:szCs w:val="20"/>
          <w:lang w:val="uk-UA"/>
        </w:rPr>
      </w:pPr>
      <w:r w:rsidRPr="003C6DAE">
        <w:rPr>
          <w:sz w:val="20"/>
          <w:szCs w:val="20"/>
          <w:lang w:val="uk-UA"/>
        </w:rPr>
        <w:t xml:space="preserve">Використання Xpert MTB/RIF у </w:t>
      </w:r>
      <w:r w:rsidR="00D55058">
        <w:rPr>
          <w:sz w:val="20"/>
          <w:szCs w:val="20"/>
          <w:lang w:val="uk-UA"/>
        </w:rPr>
        <w:t xml:space="preserve">закладах </w:t>
      </w:r>
      <w:r w:rsidRPr="003C6DAE">
        <w:rPr>
          <w:sz w:val="20"/>
          <w:szCs w:val="20"/>
          <w:lang w:val="uk-UA"/>
        </w:rPr>
        <w:t>систем</w:t>
      </w:r>
      <w:r w:rsidR="00D55058">
        <w:rPr>
          <w:sz w:val="20"/>
          <w:szCs w:val="20"/>
          <w:lang w:val="uk-UA"/>
        </w:rPr>
        <w:t>и</w:t>
      </w:r>
      <w:r w:rsidRPr="003C6DAE">
        <w:rPr>
          <w:sz w:val="20"/>
          <w:szCs w:val="20"/>
          <w:lang w:val="uk-UA"/>
        </w:rPr>
        <w:t xml:space="preserve"> охорони здоров'я було пов'язано з певними труднощами. Ці проблеми включали недостатнє використання тесту та затримки </w:t>
      </w:r>
      <w:r w:rsidR="00D55058">
        <w:rPr>
          <w:sz w:val="20"/>
          <w:szCs w:val="20"/>
          <w:lang w:val="uk-UA"/>
        </w:rPr>
        <w:t xml:space="preserve">для </w:t>
      </w:r>
      <w:r w:rsidRPr="003C6DAE">
        <w:rPr>
          <w:sz w:val="20"/>
          <w:szCs w:val="20"/>
          <w:lang w:val="uk-UA"/>
        </w:rPr>
        <w:t>постановки діагнозу через низьку якість зразків, недостатність ресурсів та технічне обслуговування платформ для тестування, відсутність функціональних систем передачі даних або систем реєстрації, неефективні потоки пацієнтів, відсутність оновлених клінічних настанов, а також низький рівень відповідальності та підзвітності медичних закладів за проведення тестів. Повідомлялося про надмірну залежність від результатів тестів, а не від клінічних висновків, а також про відсутність процесів впровадження, що ґрунтуються на даних</w:t>
      </w:r>
      <w:r w:rsidR="00B01E0C" w:rsidRPr="003C6DAE">
        <w:rPr>
          <w:w w:val="105"/>
          <w:sz w:val="20"/>
          <w:szCs w:val="20"/>
          <w:lang w:val="uk-UA"/>
        </w:rPr>
        <w:t>.</w:t>
      </w:r>
    </w:p>
    <w:p w14:paraId="35609F14" w14:textId="486FE891" w:rsidR="00E05B98" w:rsidRPr="003C6DAE" w:rsidRDefault="00682CF9" w:rsidP="00F63F4D">
      <w:pPr>
        <w:pStyle w:val="a3"/>
        <w:spacing w:before="179" w:line="297" w:lineRule="auto"/>
        <w:ind w:left="567"/>
        <w:jc w:val="both"/>
        <w:rPr>
          <w:sz w:val="20"/>
          <w:szCs w:val="20"/>
          <w:lang w:val="uk-UA"/>
        </w:rPr>
      </w:pPr>
      <w:r w:rsidRPr="003C6DAE">
        <w:rPr>
          <w:sz w:val="20"/>
          <w:szCs w:val="20"/>
          <w:lang w:val="uk-UA"/>
        </w:rPr>
        <w:t xml:space="preserve">Існує можливість обмеженого доступу до </w:t>
      </w:r>
      <w:r w:rsidR="00B52DB1" w:rsidRPr="003C6DAE">
        <w:rPr>
          <w:sz w:val="20"/>
          <w:szCs w:val="20"/>
          <w:lang w:val="uk-UA"/>
        </w:rPr>
        <w:t xml:space="preserve">тесту через відсутність стабільного фінансування, обмеження з боку донорів, погану систему направлення, залежність від аутріч-працівників, недоступність закладів діагностики ТБ на рівні громади та занадто велику кількість обмежень щодо </w:t>
      </w:r>
      <w:r w:rsidR="00D55058">
        <w:rPr>
          <w:sz w:val="20"/>
          <w:szCs w:val="20"/>
          <w:lang w:val="uk-UA"/>
        </w:rPr>
        <w:t xml:space="preserve">відповідності критеріям </w:t>
      </w:r>
      <w:r w:rsidR="007D4CDD">
        <w:rPr>
          <w:sz w:val="20"/>
          <w:szCs w:val="20"/>
          <w:lang w:val="uk-UA"/>
        </w:rPr>
        <w:t>прийнятності</w:t>
      </w:r>
      <w:r w:rsidR="00B52DB1" w:rsidRPr="003C6DAE">
        <w:rPr>
          <w:sz w:val="20"/>
          <w:szCs w:val="20"/>
          <w:lang w:val="uk-UA"/>
        </w:rPr>
        <w:t xml:space="preserve"> </w:t>
      </w:r>
      <w:r w:rsidR="007D4CDD">
        <w:rPr>
          <w:sz w:val="20"/>
          <w:szCs w:val="20"/>
          <w:lang w:val="uk-UA"/>
        </w:rPr>
        <w:t>для проведення</w:t>
      </w:r>
      <w:r w:rsidR="00B52DB1" w:rsidRPr="003C6DAE">
        <w:rPr>
          <w:sz w:val="20"/>
          <w:szCs w:val="20"/>
          <w:lang w:val="uk-UA"/>
        </w:rPr>
        <w:t xml:space="preserve"> тестування.</w:t>
      </w:r>
    </w:p>
    <w:p w14:paraId="56C3A518" w14:textId="2372D10F" w:rsidR="00E05B98" w:rsidRPr="007D4CDD" w:rsidRDefault="00B52DB1" w:rsidP="00F63F4D">
      <w:pPr>
        <w:pStyle w:val="5"/>
        <w:spacing w:before="201"/>
        <w:jc w:val="both"/>
        <w:rPr>
          <w:sz w:val="22"/>
          <w:szCs w:val="22"/>
          <w:lang w:val="uk-UA"/>
        </w:rPr>
      </w:pPr>
      <w:r w:rsidRPr="007D4CDD">
        <w:rPr>
          <w:color w:val="019648"/>
          <w:spacing w:val="-2"/>
          <w:w w:val="110"/>
          <w:sz w:val="22"/>
          <w:szCs w:val="22"/>
          <w:lang w:val="uk-UA"/>
        </w:rPr>
        <w:t>Можливість реалізації</w:t>
      </w:r>
    </w:p>
    <w:p w14:paraId="2AA179F7" w14:textId="09950293" w:rsidR="00E05B98" w:rsidRPr="003C6DAE" w:rsidRDefault="00B52DB1" w:rsidP="00F63F4D">
      <w:pPr>
        <w:pStyle w:val="a3"/>
        <w:spacing w:before="218" w:line="297" w:lineRule="auto"/>
        <w:ind w:left="567"/>
        <w:jc w:val="both"/>
        <w:rPr>
          <w:sz w:val="20"/>
          <w:szCs w:val="20"/>
          <w:lang w:val="uk-UA"/>
        </w:rPr>
      </w:pPr>
      <w:r w:rsidRPr="003C6DAE">
        <w:rPr>
          <w:w w:val="105"/>
          <w:sz w:val="20"/>
          <w:szCs w:val="20"/>
          <w:lang w:val="uk-UA"/>
        </w:rPr>
        <w:t xml:space="preserve">Як </w:t>
      </w:r>
      <w:r w:rsidR="007D4CDD">
        <w:rPr>
          <w:w w:val="105"/>
          <w:sz w:val="20"/>
          <w:szCs w:val="20"/>
          <w:lang w:val="uk-UA"/>
        </w:rPr>
        <w:t>й</w:t>
      </w:r>
      <w:r w:rsidRPr="003C6DAE">
        <w:rPr>
          <w:w w:val="105"/>
          <w:sz w:val="20"/>
          <w:szCs w:val="20"/>
          <w:lang w:val="uk-UA"/>
        </w:rPr>
        <w:t xml:space="preserve"> у випадку з аналізом Xpert MTB/RIF, впровадженню Xpert Ultra можуть </w:t>
      </w:r>
      <w:r w:rsidR="006743D3" w:rsidRPr="003C6DAE">
        <w:rPr>
          <w:w w:val="105"/>
          <w:sz w:val="20"/>
          <w:szCs w:val="20"/>
          <w:lang w:val="uk-UA"/>
        </w:rPr>
        <w:t xml:space="preserve">стати на заваді </w:t>
      </w:r>
      <w:r w:rsidRPr="003C6DAE">
        <w:rPr>
          <w:w w:val="105"/>
          <w:sz w:val="20"/>
          <w:szCs w:val="20"/>
          <w:lang w:val="uk-UA"/>
        </w:rPr>
        <w:t>проблеми, пов'язані з інфраструктурою, наприклад, перебої з постачанням електроенергії, недостатня кількість персоналу, обмежен</w:t>
      </w:r>
      <w:r w:rsidR="007D4CDD">
        <w:rPr>
          <w:w w:val="105"/>
          <w:sz w:val="20"/>
          <w:szCs w:val="20"/>
          <w:lang w:val="uk-UA"/>
        </w:rPr>
        <w:t>а</w:t>
      </w:r>
      <w:r w:rsidRPr="003C6DAE">
        <w:rPr>
          <w:w w:val="105"/>
          <w:sz w:val="20"/>
          <w:szCs w:val="20"/>
          <w:lang w:val="uk-UA"/>
        </w:rPr>
        <w:t xml:space="preserve"> доступність транспорту для перевезення зразків мокротиння та обмежений доступ до платформ для тестування Xpert у медичних закладах.</w:t>
      </w:r>
    </w:p>
    <w:p w14:paraId="0FD0AFF5" w14:textId="44275E9B" w:rsidR="00E05B98" w:rsidRDefault="00682CF9" w:rsidP="00F63F4D">
      <w:pPr>
        <w:pStyle w:val="5"/>
        <w:spacing w:before="202"/>
        <w:jc w:val="both"/>
        <w:rPr>
          <w:color w:val="019648"/>
          <w:w w:val="110"/>
          <w:sz w:val="22"/>
          <w:szCs w:val="22"/>
          <w:lang w:val="uk-UA"/>
        </w:rPr>
      </w:pPr>
      <w:r w:rsidRPr="007D4CDD">
        <w:rPr>
          <w:color w:val="019648"/>
          <w:w w:val="110"/>
          <w:sz w:val="22"/>
          <w:szCs w:val="22"/>
          <w:lang w:val="uk-UA"/>
        </w:rPr>
        <w:t>Міркування щодо впровадження</w:t>
      </w:r>
    </w:p>
    <w:p w14:paraId="6FA3DBD1" w14:textId="77777777" w:rsidR="007D4CDD" w:rsidRPr="007D4CDD" w:rsidRDefault="007D4CDD" w:rsidP="00F63F4D">
      <w:pPr>
        <w:pStyle w:val="5"/>
        <w:spacing w:before="202"/>
        <w:jc w:val="both"/>
        <w:rPr>
          <w:sz w:val="4"/>
          <w:szCs w:val="4"/>
          <w:lang w:val="uk-UA"/>
        </w:rPr>
      </w:pPr>
    </w:p>
    <w:p w14:paraId="02928F3F" w14:textId="34AE7974" w:rsidR="001F0965" w:rsidRPr="003C6DAE" w:rsidRDefault="001F0965" w:rsidP="004A2937">
      <w:pPr>
        <w:pStyle w:val="a4"/>
        <w:numPr>
          <w:ilvl w:val="0"/>
          <w:numId w:val="27"/>
        </w:numPr>
        <w:tabs>
          <w:tab w:val="left" w:pos="850"/>
        </w:tabs>
        <w:spacing w:before="2" w:line="297" w:lineRule="auto"/>
        <w:rPr>
          <w:sz w:val="20"/>
          <w:szCs w:val="20"/>
          <w:lang w:val="uk-UA"/>
        </w:rPr>
      </w:pPr>
      <w:r w:rsidRPr="003C6DAE">
        <w:rPr>
          <w:sz w:val="20"/>
          <w:szCs w:val="20"/>
          <w:lang w:val="uk-UA"/>
        </w:rPr>
        <w:t xml:space="preserve">Діагностичні продукти в класах тестів низької складності </w:t>
      </w:r>
      <w:r w:rsidR="007D4CDD">
        <w:rPr>
          <w:sz w:val="20"/>
          <w:szCs w:val="20"/>
          <w:lang w:val="uk-UA"/>
        </w:rPr>
        <w:t>мають</w:t>
      </w:r>
      <w:r w:rsidRPr="003C6DAE">
        <w:rPr>
          <w:sz w:val="20"/>
          <w:szCs w:val="20"/>
          <w:lang w:val="uk-UA"/>
        </w:rPr>
        <w:t xml:space="preserve"> пройти процедуру прекваліфікації ВООЗ</w:t>
      </w:r>
      <w:r w:rsidR="007D4CDD">
        <w:rPr>
          <w:sz w:val="20"/>
          <w:szCs w:val="20"/>
          <w:lang w:val="uk-UA"/>
        </w:rPr>
        <w:t>,</w:t>
      </w:r>
      <w:r w:rsidRPr="003C6DAE">
        <w:rPr>
          <w:sz w:val="20"/>
          <w:szCs w:val="20"/>
          <w:lang w:val="uk-UA"/>
        </w:rPr>
        <w:t xml:space="preserve"> або </w:t>
      </w:r>
      <w:r w:rsidR="007D4CDD">
        <w:rPr>
          <w:sz w:val="20"/>
          <w:szCs w:val="20"/>
          <w:lang w:val="uk-UA"/>
        </w:rPr>
        <w:t>їх повинні у</w:t>
      </w:r>
      <w:r w:rsidRPr="003C6DAE">
        <w:rPr>
          <w:sz w:val="20"/>
          <w:szCs w:val="20"/>
          <w:lang w:val="uk-UA"/>
        </w:rPr>
        <w:t>хвал</w:t>
      </w:r>
      <w:r w:rsidR="007D4CDD">
        <w:rPr>
          <w:sz w:val="20"/>
          <w:szCs w:val="20"/>
          <w:lang w:val="uk-UA"/>
        </w:rPr>
        <w:t>ити</w:t>
      </w:r>
      <w:r w:rsidRPr="003C6DAE">
        <w:rPr>
          <w:sz w:val="20"/>
          <w:szCs w:val="20"/>
          <w:lang w:val="uk-UA"/>
        </w:rPr>
        <w:t xml:space="preserve"> інш</w:t>
      </w:r>
      <w:r w:rsidR="007D4CDD">
        <w:rPr>
          <w:sz w:val="20"/>
          <w:szCs w:val="20"/>
          <w:lang w:val="uk-UA"/>
        </w:rPr>
        <w:t>і</w:t>
      </w:r>
      <w:r w:rsidRPr="003C6DAE">
        <w:rPr>
          <w:sz w:val="20"/>
          <w:szCs w:val="20"/>
          <w:lang w:val="uk-UA"/>
        </w:rPr>
        <w:t xml:space="preserve"> регуляторн</w:t>
      </w:r>
      <w:r w:rsidR="007D4CDD">
        <w:rPr>
          <w:sz w:val="20"/>
          <w:szCs w:val="20"/>
          <w:lang w:val="uk-UA"/>
        </w:rPr>
        <w:t>і</w:t>
      </w:r>
      <w:r w:rsidRPr="003C6DAE">
        <w:rPr>
          <w:sz w:val="20"/>
          <w:szCs w:val="20"/>
          <w:lang w:val="uk-UA"/>
        </w:rPr>
        <w:t xml:space="preserve"> орган</w:t>
      </w:r>
      <w:r w:rsidR="007D4CDD">
        <w:rPr>
          <w:sz w:val="20"/>
          <w:szCs w:val="20"/>
          <w:lang w:val="uk-UA"/>
        </w:rPr>
        <w:t>и</w:t>
      </w:r>
      <w:r w:rsidRPr="003C6DAE">
        <w:rPr>
          <w:sz w:val="20"/>
          <w:szCs w:val="20"/>
          <w:lang w:val="uk-UA"/>
        </w:rPr>
        <w:t xml:space="preserve"> до початку клінічного застосування.</w:t>
      </w:r>
    </w:p>
    <w:p w14:paraId="5E1A9205" w14:textId="5C659077" w:rsidR="00E05B98" w:rsidRPr="003C6DAE" w:rsidRDefault="001F0965" w:rsidP="004A2937">
      <w:pPr>
        <w:pStyle w:val="a4"/>
        <w:numPr>
          <w:ilvl w:val="0"/>
          <w:numId w:val="27"/>
        </w:numPr>
        <w:tabs>
          <w:tab w:val="left" w:pos="850"/>
        </w:tabs>
        <w:spacing w:before="2" w:line="297" w:lineRule="auto"/>
        <w:rPr>
          <w:sz w:val="20"/>
          <w:szCs w:val="20"/>
          <w:lang w:val="uk-UA"/>
        </w:rPr>
      </w:pPr>
      <w:r w:rsidRPr="003C6DAE">
        <w:rPr>
          <w:sz w:val="20"/>
          <w:szCs w:val="20"/>
          <w:lang w:val="uk-UA"/>
        </w:rPr>
        <w:t>Виробник</w:t>
      </w:r>
      <w:r w:rsidR="007D4CDD">
        <w:rPr>
          <w:sz w:val="20"/>
          <w:szCs w:val="20"/>
          <w:lang w:val="uk-UA"/>
        </w:rPr>
        <w:t>ів</w:t>
      </w:r>
      <w:r w:rsidRPr="003C6DAE">
        <w:rPr>
          <w:sz w:val="20"/>
          <w:szCs w:val="20"/>
          <w:lang w:val="uk-UA"/>
        </w:rPr>
        <w:t xml:space="preserve"> діагностичних тестів, керівник</w:t>
      </w:r>
      <w:r w:rsidR="007D4CDD">
        <w:rPr>
          <w:sz w:val="20"/>
          <w:szCs w:val="20"/>
          <w:lang w:val="uk-UA"/>
        </w:rPr>
        <w:t>ів</w:t>
      </w:r>
      <w:r w:rsidRPr="003C6DAE">
        <w:rPr>
          <w:sz w:val="20"/>
          <w:szCs w:val="20"/>
          <w:lang w:val="uk-UA"/>
        </w:rPr>
        <w:t xml:space="preserve"> лабораторій та програм, а також ос</w:t>
      </w:r>
      <w:r w:rsidR="007D4CDD">
        <w:rPr>
          <w:sz w:val="20"/>
          <w:szCs w:val="20"/>
          <w:lang w:val="uk-UA"/>
        </w:rPr>
        <w:t>іб</w:t>
      </w:r>
      <w:r w:rsidRPr="003C6DAE">
        <w:rPr>
          <w:sz w:val="20"/>
          <w:szCs w:val="20"/>
          <w:lang w:val="uk-UA"/>
        </w:rPr>
        <w:t>, відповідальн</w:t>
      </w:r>
      <w:r w:rsidR="007D4CDD">
        <w:rPr>
          <w:sz w:val="20"/>
          <w:szCs w:val="20"/>
          <w:lang w:val="uk-UA"/>
        </w:rPr>
        <w:t>их</w:t>
      </w:r>
      <w:r w:rsidRPr="003C6DAE">
        <w:rPr>
          <w:sz w:val="20"/>
          <w:szCs w:val="20"/>
          <w:lang w:val="uk-UA"/>
        </w:rPr>
        <w:t xml:space="preserve"> за розробку політики, </w:t>
      </w:r>
      <w:r w:rsidR="007D4CDD">
        <w:rPr>
          <w:sz w:val="20"/>
          <w:szCs w:val="20"/>
          <w:lang w:val="uk-UA"/>
        </w:rPr>
        <w:t>необхідно</w:t>
      </w:r>
      <w:r w:rsidRPr="003C6DAE">
        <w:rPr>
          <w:sz w:val="20"/>
          <w:szCs w:val="20"/>
          <w:lang w:val="uk-UA"/>
        </w:rPr>
        <w:t xml:space="preserve"> </w:t>
      </w:r>
      <w:r w:rsidR="007D4CDD">
        <w:rPr>
          <w:sz w:val="20"/>
          <w:szCs w:val="20"/>
          <w:lang w:val="uk-UA"/>
        </w:rPr>
        <w:t>ознайомити</w:t>
      </w:r>
      <w:r w:rsidRPr="003C6DAE">
        <w:rPr>
          <w:sz w:val="20"/>
          <w:szCs w:val="20"/>
          <w:lang w:val="uk-UA"/>
        </w:rPr>
        <w:t xml:space="preserve"> з процесом прекваліфікації якості ВООЗ  для діагностичних тестів </w:t>
      </w:r>
      <w:r w:rsidRPr="007D4CDD">
        <w:rPr>
          <w:i/>
          <w:iCs/>
          <w:sz w:val="20"/>
          <w:szCs w:val="20"/>
          <w:lang w:val="uk-UA"/>
        </w:rPr>
        <w:t>in vitro</w:t>
      </w:r>
      <w:r w:rsidRPr="003C6DAE">
        <w:rPr>
          <w:sz w:val="20"/>
          <w:szCs w:val="20"/>
          <w:lang w:val="uk-UA"/>
        </w:rPr>
        <w:t xml:space="preserve"> (IVDs) </w:t>
      </w:r>
      <w:r w:rsidR="00B01E0C" w:rsidRPr="003C6DAE">
        <w:rPr>
          <w:sz w:val="20"/>
          <w:szCs w:val="20"/>
          <w:lang w:val="uk-UA"/>
        </w:rPr>
        <w:t>(</w:t>
      </w:r>
      <w:r w:rsidR="00B01E0C">
        <w:fldChar w:fldCharType="begin"/>
      </w:r>
      <w:r w:rsidR="00B01E0C">
        <w:instrText>HYPERLINK</w:instrText>
      </w:r>
      <w:r w:rsidR="00B01E0C" w:rsidRPr="00D029FF">
        <w:rPr>
          <w:lang w:val="uk-UA"/>
        </w:rPr>
        <w:instrText xml:space="preserve"> "</w:instrText>
      </w:r>
      <w:r w:rsidR="00B01E0C">
        <w:instrText>https</w:instrText>
      </w:r>
      <w:r w:rsidR="00B01E0C" w:rsidRPr="00D029FF">
        <w:rPr>
          <w:lang w:val="uk-UA"/>
        </w:rPr>
        <w:instrText>://</w:instrText>
      </w:r>
      <w:r w:rsidR="00B01E0C">
        <w:instrText>extranet</w:instrText>
      </w:r>
      <w:r w:rsidR="00B01E0C" w:rsidRPr="00D029FF">
        <w:rPr>
          <w:lang w:val="uk-UA"/>
        </w:rPr>
        <w:instrText>.</w:instrText>
      </w:r>
      <w:r w:rsidR="00B01E0C">
        <w:instrText>who</w:instrText>
      </w:r>
      <w:r w:rsidR="00B01E0C" w:rsidRPr="00D029FF">
        <w:rPr>
          <w:lang w:val="uk-UA"/>
        </w:rPr>
        <w:instrText>.</w:instrText>
      </w:r>
      <w:r w:rsidR="00B01E0C">
        <w:instrText>int</w:instrText>
      </w:r>
      <w:r w:rsidR="00B01E0C" w:rsidRPr="00D029FF">
        <w:rPr>
          <w:lang w:val="uk-UA"/>
        </w:rPr>
        <w:instrText>/</w:instrText>
      </w:r>
      <w:r w:rsidR="00B01E0C">
        <w:instrText>prequal</w:instrText>
      </w:r>
      <w:r w:rsidR="00B01E0C" w:rsidRPr="00D029FF">
        <w:rPr>
          <w:lang w:val="uk-UA"/>
        </w:rPr>
        <w:instrText>/" \</w:instrText>
      </w:r>
      <w:r w:rsidR="00B01E0C">
        <w:instrText>h</w:instrText>
      </w:r>
      <w:r w:rsidR="00B01E0C">
        <w:fldChar w:fldCharType="separate"/>
      </w:r>
      <w:r w:rsidR="00B01E0C" w:rsidRPr="003C6DAE">
        <w:rPr>
          <w:color w:val="019648"/>
          <w:sz w:val="20"/>
          <w:szCs w:val="20"/>
          <w:lang w:val="uk-UA"/>
        </w:rPr>
        <w:t>https://extranet.who.int/prequal/</w:t>
      </w:r>
      <w:r w:rsidR="00B01E0C">
        <w:fldChar w:fldCharType="end"/>
      </w:r>
      <w:r w:rsidR="00B01E0C" w:rsidRPr="003C6DAE">
        <w:rPr>
          <w:sz w:val="20"/>
          <w:szCs w:val="20"/>
          <w:lang w:val="uk-UA"/>
        </w:rPr>
        <w:t>).</w:t>
      </w:r>
    </w:p>
    <w:p w14:paraId="3C60AAC6" w14:textId="3E8C5C8A" w:rsidR="00E05B98" w:rsidRPr="003C6DAE" w:rsidRDefault="00FC64A2" w:rsidP="004A2937">
      <w:pPr>
        <w:pStyle w:val="a4"/>
        <w:numPr>
          <w:ilvl w:val="0"/>
          <w:numId w:val="27"/>
        </w:numPr>
        <w:tabs>
          <w:tab w:val="left" w:pos="850"/>
        </w:tabs>
        <w:spacing w:before="3"/>
        <w:ind w:hanging="283"/>
        <w:rPr>
          <w:sz w:val="20"/>
          <w:szCs w:val="20"/>
          <w:lang w:val="uk-UA"/>
        </w:rPr>
      </w:pPr>
      <w:r w:rsidRPr="003C6DAE">
        <w:rPr>
          <w:sz w:val="20"/>
          <w:szCs w:val="20"/>
          <w:lang w:val="uk-UA"/>
        </w:rPr>
        <w:t>Для отримання точних результатів тесту важливо забезпечити достатній об'єм зразка та його якість</w:t>
      </w:r>
      <w:r w:rsidR="00B01E0C" w:rsidRPr="003C6DAE">
        <w:rPr>
          <w:spacing w:val="-2"/>
          <w:sz w:val="20"/>
          <w:szCs w:val="20"/>
          <w:lang w:val="uk-UA"/>
        </w:rPr>
        <w:t>.</w:t>
      </w:r>
    </w:p>
    <w:p w14:paraId="6C6A0975" w14:textId="463DA039" w:rsidR="00FC64A2" w:rsidRPr="003C6DAE" w:rsidRDefault="00FC64A2" w:rsidP="004A2937">
      <w:pPr>
        <w:pStyle w:val="a4"/>
        <w:numPr>
          <w:ilvl w:val="0"/>
          <w:numId w:val="27"/>
        </w:numPr>
        <w:tabs>
          <w:tab w:val="left" w:pos="850"/>
        </w:tabs>
        <w:spacing w:before="2" w:line="297" w:lineRule="auto"/>
        <w:rPr>
          <w:sz w:val="20"/>
          <w:szCs w:val="20"/>
          <w:lang w:val="uk-UA"/>
        </w:rPr>
      </w:pPr>
      <w:r w:rsidRPr="003C6DAE">
        <w:rPr>
          <w:sz w:val="20"/>
          <w:szCs w:val="20"/>
          <w:lang w:val="uk-UA"/>
        </w:rPr>
        <w:t xml:space="preserve">Необхідно заздалегідь спланувати здійснення безпечної утилізації використаних витратних матеріалів, щоб мінімізувати ризики </w:t>
      </w:r>
      <w:r w:rsidR="007D4CDD">
        <w:rPr>
          <w:sz w:val="20"/>
          <w:szCs w:val="20"/>
          <w:lang w:val="uk-UA"/>
        </w:rPr>
        <w:t xml:space="preserve">забруднення </w:t>
      </w:r>
      <w:r w:rsidRPr="003C6DAE">
        <w:rPr>
          <w:sz w:val="20"/>
          <w:szCs w:val="20"/>
          <w:lang w:val="uk-UA"/>
        </w:rPr>
        <w:t>навколишнього середовища.</w:t>
      </w:r>
    </w:p>
    <w:p w14:paraId="65015F64" w14:textId="608CE8F3" w:rsidR="00E05B98" w:rsidRPr="003C6DAE" w:rsidRDefault="00FC64A2" w:rsidP="004A2937">
      <w:pPr>
        <w:pStyle w:val="a4"/>
        <w:numPr>
          <w:ilvl w:val="0"/>
          <w:numId w:val="27"/>
        </w:numPr>
        <w:tabs>
          <w:tab w:val="left" w:pos="850"/>
        </w:tabs>
        <w:spacing w:before="2" w:line="297" w:lineRule="auto"/>
        <w:rPr>
          <w:sz w:val="20"/>
          <w:szCs w:val="20"/>
          <w:lang w:val="uk-UA"/>
        </w:rPr>
      </w:pPr>
      <w:r w:rsidRPr="003C6DAE">
        <w:rPr>
          <w:sz w:val="20"/>
          <w:szCs w:val="20"/>
          <w:lang w:val="uk-UA"/>
        </w:rPr>
        <w:t>Позитивні слідові результати на зразках із дихальних шляхів можуть давати хибнопозитивні результати на туберкульоз (нежиттєздатні</w:t>
      </w:r>
      <w:r w:rsidR="007D4CDD">
        <w:rPr>
          <w:sz w:val="20"/>
          <w:szCs w:val="20"/>
          <w:lang w:val="uk-UA"/>
        </w:rPr>
        <w:t xml:space="preserve"> </w:t>
      </w:r>
      <w:r w:rsidR="007D4CDD" w:rsidRPr="007D4CDD">
        <w:rPr>
          <w:i/>
          <w:iCs/>
          <w:sz w:val="20"/>
          <w:szCs w:val="20"/>
          <w:lang w:val="uk-UA"/>
        </w:rPr>
        <w:t>M.tb.</w:t>
      </w:r>
      <w:r w:rsidRPr="003C6DAE">
        <w:rPr>
          <w:sz w:val="20"/>
          <w:szCs w:val="20"/>
          <w:lang w:val="uk-UA"/>
        </w:rPr>
        <w:t>, але виявлена ДНК) у ВІЛ-негативних осіб або осіб, які не належать до групи ризику інфікування ВІЛ, а також у тих, хто в анамнезі мав захворювання на ТБ і завершив лікування протягом останніх 5 років.</w:t>
      </w:r>
    </w:p>
    <w:p w14:paraId="00B57126" w14:textId="781CB18C" w:rsidR="00E05B98" w:rsidRPr="003C6DAE" w:rsidRDefault="006E1FDF" w:rsidP="004A2937">
      <w:pPr>
        <w:pStyle w:val="a4"/>
        <w:numPr>
          <w:ilvl w:val="0"/>
          <w:numId w:val="27"/>
        </w:numPr>
        <w:tabs>
          <w:tab w:val="left" w:pos="850"/>
        </w:tabs>
        <w:spacing w:before="0" w:line="297" w:lineRule="auto"/>
        <w:rPr>
          <w:sz w:val="20"/>
          <w:szCs w:val="20"/>
          <w:lang w:val="uk-UA"/>
        </w:rPr>
      </w:pPr>
      <w:r w:rsidRPr="003C6DAE">
        <w:rPr>
          <w:sz w:val="20"/>
          <w:szCs w:val="20"/>
          <w:lang w:val="uk-UA"/>
        </w:rPr>
        <w:t>Для тестів, які не передбачають одночасного виявлення стійкості до рифампіцину в якості комплексного тесту, необхідно проводити одночасно контрольне тестування</w:t>
      </w:r>
      <w:r w:rsidR="00BD0E22">
        <w:rPr>
          <w:sz w:val="20"/>
          <w:szCs w:val="20"/>
          <w:lang w:val="uk-UA"/>
        </w:rPr>
        <w:t xml:space="preserve"> (рефлекс-тест виконують тільки після постановки діагнозу ТБ, який потребує великої кількості зразків пацієнта) </w:t>
      </w:r>
      <w:r w:rsidRPr="003C6DAE">
        <w:rPr>
          <w:sz w:val="20"/>
          <w:szCs w:val="20"/>
          <w:lang w:val="uk-UA"/>
        </w:rPr>
        <w:t xml:space="preserve">на стійкість до </w:t>
      </w:r>
      <w:r w:rsidR="0000617E" w:rsidRPr="003C6DAE">
        <w:rPr>
          <w:sz w:val="20"/>
          <w:szCs w:val="20"/>
          <w:lang w:val="uk-UA"/>
        </w:rPr>
        <w:t>лікарських</w:t>
      </w:r>
      <w:r w:rsidRPr="003C6DAE">
        <w:rPr>
          <w:sz w:val="20"/>
          <w:szCs w:val="20"/>
          <w:lang w:val="uk-UA"/>
        </w:rPr>
        <w:t xml:space="preserve"> засобів для всіх ТБ-позитивних пацієнтів для підтримки  універсального доступу до ТМЧ  на рифампіцин, як мінімум, а також з метою зменшення ризиків втрати контакту з пацієнтами для подальшого спостереження.</w:t>
      </w:r>
    </w:p>
    <w:p w14:paraId="4BC26EE9" w14:textId="66522446" w:rsidR="00E05B98" w:rsidRPr="003C6DAE" w:rsidRDefault="00BD0E22" w:rsidP="004A2937">
      <w:pPr>
        <w:pStyle w:val="a4"/>
        <w:numPr>
          <w:ilvl w:val="0"/>
          <w:numId w:val="27"/>
        </w:numPr>
        <w:tabs>
          <w:tab w:val="left" w:pos="850"/>
        </w:tabs>
        <w:spacing w:before="4" w:line="297" w:lineRule="auto"/>
        <w:rPr>
          <w:sz w:val="20"/>
          <w:szCs w:val="20"/>
          <w:lang w:val="uk-UA"/>
        </w:rPr>
      </w:pPr>
      <w:r w:rsidRPr="003C6DAE">
        <w:rPr>
          <w:noProof/>
          <w:sz w:val="20"/>
          <w:lang w:val="uk-UA"/>
        </w:rPr>
        <mc:AlternateContent>
          <mc:Choice Requires="wps">
            <w:drawing>
              <wp:anchor distT="0" distB="0" distL="0" distR="0" simplePos="0" relativeHeight="487766528" behindDoc="1" locked="0" layoutInCell="1" allowOverlap="1" wp14:anchorId="4A95E2A9" wp14:editId="7BEC53AC">
                <wp:simplePos x="0" y="0"/>
                <wp:positionH relativeFrom="page">
                  <wp:posOffset>891540</wp:posOffset>
                </wp:positionH>
                <wp:positionV relativeFrom="paragraph">
                  <wp:posOffset>408940</wp:posOffset>
                </wp:positionV>
                <wp:extent cx="1440180" cy="1270"/>
                <wp:effectExtent l="0" t="0" r="0" b="0"/>
                <wp:wrapTopAndBottom/>
                <wp:docPr id="1058" name="Graphic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0B9581" id="Graphic 1058" o:spid="_x0000_s1026" style="position:absolute;margin-left:70.2pt;margin-top:32.2pt;width:113.4pt;height:.1pt;z-index:-15549952;visibility:visible;mso-wrap-style:square;mso-wrap-distance-left:0;mso-wrap-distance-top:0;mso-wrap-distance-right:0;mso-wrap-distance-bottom:0;mso-position-horizontal:absolute;mso-position-horizontal-relative:page;mso-position-vertical:absolute;mso-position-vertical-relative:text;v-text-anchor:top" coordsize="1440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" path="m,l1440002,e" filled="f" strokeweight=".5pt">
                <v:path arrowok="t"/>
                <w10:wrap type="topAndBottom" anchorx="page"/>
              </v:shape>
            </w:pict>
          </mc:Fallback>
        </mc:AlternateContent>
      </w:r>
      <w:r w:rsidR="006E1FDF" w:rsidRPr="003C6DAE">
        <w:rPr>
          <w:sz w:val="20"/>
          <w:szCs w:val="20"/>
          <w:lang w:val="uk-UA"/>
        </w:rPr>
        <w:t>В умовах дуже низької поширеності стійкості до рифампіцину</w:t>
      </w:r>
      <w:r w:rsidR="006E1FDF" w:rsidRPr="003C6DAE">
        <w:rPr>
          <w:sz w:val="20"/>
          <w:szCs w:val="20"/>
          <w:vertAlign w:val="superscript"/>
          <w:lang w:val="uk-UA"/>
        </w:rPr>
        <w:t>7</w:t>
      </w:r>
      <w:r w:rsidR="006E1FDF" w:rsidRPr="003C6DAE">
        <w:rPr>
          <w:sz w:val="20"/>
          <w:szCs w:val="20"/>
          <w:lang w:val="uk-UA"/>
        </w:rPr>
        <w:t>, тобто менше 2%, позитивний результат тесту на стійкість до рифампіцину може являти собою хибнопозитивний результат і</w:t>
      </w:r>
    </w:p>
    <w:p w14:paraId="38E76A2C" w14:textId="2030742B" w:rsidR="00E05B98" w:rsidRPr="00BD0E22" w:rsidRDefault="00B01E0C" w:rsidP="00BD0E22">
      <w:pPr>
        <w:spacing w:before="124" w:line="269" w:lineRule="auto"/>
        <w:ind w:left="787" w:hanging="220"/>
        <w:jc w:val="both"/>
        <w:rPr>
          <w:sz w:val="15"/>
          <w:szCs w:val="15"/>
          <w:lang w:val="uk-UA"/>
        </w:rPr>
      </w:pPr>
      <w:r w:rsidRPr="003C6DAE">
        <w:rPr>
          <w:sz w:val="16"/>
          <w:vertAlign w:val="superscript"/>
          <w:lang w:val="uk-UA"/>
        </w:rPr>
        <w:t>7</w:t>
      </w:r>
      <w:r w:rsidRPr="003C6DAE">
        <w:rPr>
          <w:spacing w:val="80"/>
          <w:sz w:val="16"/>
          <w:lang w:val="uk-UA"/>
        </w:rPr>
        <w:t xml:space="preserve"> </w:t>
      </w:r>
      <w:r w:rsidR="00E17A4F" w:rsidRPr="00BD0E22">
        <w:rPr>
          <w:sz w:val="15"/>
          <w:szCs w:val="15"/>
          <w:lang w:val="uk-UA"/>
        </w:rPr>
        <w:t>Поширеність у 2% була використана в якості найнижчого показника під час узагальнення та аналізу доказових даних для інформування на засіданні членів ГРН. При цьому рівні поширеності кількість хибнопозитивних результатів становила 19 із 1000 протестованих пацієнтів, що відповідали критеріям, і дорівнювала кількості істинно позитивних результатів.</w:t>
      </w:r>
    </w:p>
    <w:p w14:paraId="20E0E105" w14:textId="77777777" w:rsidR="00E05B98" w:rsidRPr="003C6DAE" w:rsidRDefault="00E05B98" w:rsidP="00BD0E22">
      <w:pPr>
        <w:spacing w:line="269" w:lineRule="auto"/>
        <w:jc w:val="both"/>
        <w:rPr>
          <w:sz w:val="16"/>
          <w:lang w:val="uk-UA"/>
        </w:rPr>
        <w:sectPr w:rsidR="00E05B98" w:rsidRPr="003C6DAE" w:rsidSect="00E17A4F">
          <w:pgSz w:w="11910" w:h="16840"/>
          <w:pgMar w:top="709" w:right="995" w:bottom="760" w:left="850" w:header="0" w:footer="573" w:gutter="0"/>
          <w:cols w:space="720"/>
        </w:sectPr>
      </w:pPr>
    </w:p>
    <w:p w14:paraId="28D8D712" w14:textId="18EBCD7E" w:rsidR="00F87EAF" w:rsidRDefault="00F87EAF" w:rsidP="00F87EAF">
      <w:pPr>
        <w:pStyle w:val="a4"/>
        <w:tabs>
          <w:tab w:val="left" w:pos="850"/>
        </w:tabs>
        <w:spacing w:before="4" w:line="297" w:lineRule="auto"/>
        <w:ind w:firstLine="0"/>
        <w:rPr>
          <w:sz w:val="20"/>
          <w:szCs w:val="20"/>
          <w:lang w:val="uk-UA"/>
        </w:rPr>
      </w:pPr>
      <w:r w:rsidRPr="003C6DAE">
        <w:rPr>
          <w:sz w:val="20"/>
          <w:szCs w:val="20"/>
          <w:lang w:val="uk-UA"/>
        </w:rPr>
        <w:lastRenderedPageBreak/>
        <w:t>вказувати на необхідність подальшого тестування за допомогою альтернативних методів або, як мінімум, проведення повторного тестування</w:t>
      </w:r>
      <w:r w:rsidR="00BD0E22">
        <w:rPr>
          <w:sz w:val="20"/>
          <w:szCs w:val="20"/>
          <w:lang w:val="uk-UA"/>
        </w:rPr>
        <w:t>.</w:t>
      </w:r>
    </w:p>
    <w:p w14:paraId="6CF3F17E" w14:textId="3973C1A6" w:rsidR="009C2209" w:rsidRPr="003C6DAE" w:rsidRDefault="009C2209" w:rsidP="004A2937">
      <w:pPr>
        <w:pStyle w:val="a4"/>
        <w:numPr>
          <w:ilvl w:val="0"/>
          <w:numId w:val="27"/>
        </w:numPr>
        <w:tabs>
          <w:tab w:val="left" w:pos="850"/>
        </w:tabs>
        <w:spacing w:before="4" w:line="297" w:lineRule="auto"/>
        <w:rPr>
          <w:sz w:val="20"/>
          <w:szCs w:val="20"/>
          <w:lang w:val="uk-UA"/>
        </w:rPr>
      </w:pPr>
      <w:r w:rsidRPr="003C6DAE">
        <w:rPr>
          <w:sz w:val="20"/>
          <w:szCs w:val="20"/>
          <w:lang w:val="uk-UA"/>
        </w:rPr>
        <w:t>У разі виявлення резистентності до рифампіцину необхідно провести подальше тестування на стійкість до фторхінолонів та бедаквіліну для вибору короткої схеми лікування ТБ із множинною стійкість до лікарських засобів або ТБ, резистентного до рифампіцину (МЛС-ТБ/Риф-ТБ).</w:t>
      </w:r>
    </w:p>
    <w:p w14:paraId="24D9F1FD" w14:textId="3144DB22" w:rsidR="00E05B98" w:rsidRPr="003C6DAE" w:rsidRDefault="009C2209" w:rsidP="004A2937">
      <w:pPr>
        <w:pStyle w:val="a4"/>
        <w:numPr>
          <w:ilvl w:val="0"/>
          <w:numId w:val="27"/>
        </w:numPr>
        <w:tabs>
          <w:tab w:val="left" w:pos="850"/>
        </w:tabs>
        <w:spacing w:before="4" w:line="297" w:lineRule="auto"/>
        <w:rPr>
          <w:sz w:val="20"/>
          <w:szCs w:val="20"/>
          <w:lang w:val="uk-UA"/>
        </w:rPr>
      </w:pPr>
      <w:r w:rsidRPr="003C6DAE">
        <w:rPr>
          <w:sz w:val="20"/>
          <w:szCs w:val="20"/>
          <w:lang w:val="uk-UA"/>
        </w:rPr>
        <w:t>За можливості, рекомендується використовувати більший об'єм спинномозкової рідини (≥6 мл) з концентрацією для підвищення чутливості аТАНК-НС</w:t>
      </w:r>
      <w:r w:rsidR="00B01E0C" w:rsidRPr="003C6DAE">
        <w:rPr>
          <w:sz w:val="20"/>
          <w:szCs w:val="20"/>
          <w:lang w:val="uk-UA"/>
        </w:rPr>
        <w:t>.</w:t>
      </w:r>
    </w:p>
    <w:p w14:paraId="582533FA" w14:textId="77777777" w:rsidR="00E05B98" w:rsidRPr="003C6DAE" w:rsidRDefault="00E05B98" w:rsidP="00F63F4D">
      <w:pPr>
        <w:pStyle w:val="a3"/>
        <w:spacing w:before="8"/>
        <w:jc w:val="both"/>
        <w:rPr>
          <w:lang w:val="uk-UA"/>
        </w:rPr>
      </w:pPr>
    </w:p>
    <w:p w14:paraId="2647D916" w14:textId="658D8319" w:rsidR="00E05B98" w:rsidRDefault="00401A50" w:rsidP="00F63F4D">
      <w:pPr>
        <w:pStyle w:val="5"/>
        <w:jc w:val="both"/>
        <w:rPr>
          <w:color w:val="019648"/>
          <w:w w:val="110"/>
          <w:sz w:val="22"/>
          <w:szCs w:val="22"/>
          <w:lang w:val="uk-UA"/>
        </w:rPr>
      </w:pPr>
      <w:r w:rsidRPr="00BD0E22">
        <w:rPr>
          <w:color w:val="019648"/>
          <w:w w:val="110"/>
          <w:sz w:val="22"/>
          <w:szCs w:val="22"/>
          <w:lang w:val="uk-UA"/>
        </w:rPr>
        <w:t>Моніторинг і оцінка</w:t>
      </w:r>
    </w:p>
    <w:p w14:paraId="47F72470" w14:textId="77777777" w:rsidR="00BD0E22" w:rsidRPr="00BD0E22" w:rsidRDefault="00BD0E22" w:rsidP="00F63F4D">
      <w:pPr>
        <w:pStyle w:val="5"/>
        <w:jc w:val="both"/>
        <w:rPr>
          <w:sz w:val="8"/>
          <w:szCs w:val="8"/>
          <w:lang w:val="uk-UA"/>
        </w:rPr>
      </w:pPr>
    </w:p>
    <w:p w14:paraId="02A98451" w14:textId="77777777" w:rsidR="00703048" w:rsidRPr="003C6DAE" w:rsidRDefault="00703048" w:rsidP="004A2937">
      <w:pPr>
        <w:pStyle w:val="a4"/>
        <w:numPr>
          <w:ilvl w:val="0"/>
          <w:numId w:val="27"/>
        </w:numPr>
        <w:tabs>
          <w:tab w:val="left" w:pos="850"/>
        </w:tabs>
        <w:spacing w:before="3" w:line="297" w:lineRule="auto"/>
        <w:rPr>
          <w:sz w:val="20"/>
          <w:szCs w:val="20"/>
          <w:lang w:val="uk-UA"/>
        </w:rPr>
      </w:pPr>
      <w:r w:rsidRPr="003C6DAE">
        <w:rPr>
          <w:sz w:val="20"/>
          <w:szCs w:val="20"/>
          <w:lang w:val="uk-UA"/>
        </w:rPr>
        <w:t>Відстежувати частоту невдалих і невизначених результатів тестування для рекомендованих на даний час продуктів і нових продуктів, які будуть представлені в цьому класі.</w:t>
      </w:r>
    </w:p>
    <w:p w14:paraId="51C5817D" w14:textId="687E080F" w:rsidR="00E05B98" w:rsidRPr="003C6DAE" w:rsidRDefault="00703048" w:rsidP="004A2937">
      <w:pPr>
        <w:pStyle w:val="a4"/>
        <w:numPr>
          <w:ilvl w:val="0"/>
          <w:numId w:val="27"/>
        </w:numPr>
        <w:tabs>
          <w:tab w:val="left" w:pos="850"/>
        </w:tabs>
        <w:spacing w:before="3" w:line="297" w:lineRule="auto"/>
        <w:rPr>
          <w:sz w:val="20"/>
          <w:szCs w:val="20"/>
          <w:lang w:val="uk-UA"/>
        </w:rPr>
      </w:pPr>
      <w:r w:rsidRPr="003C6DAE">
        <w:rPr>
          <w:sz w:val="20"/>
          <w:szCs w:val="20"/>
          <w:lang w:val="uk-UA"/>
        </w:rPr>
        <w:t>Здійснювати моніторинг частки</w:t>
      </w:r>
      <w:r w:rsidR="00BD0E22">
        <w:rPr>
          <w:sz w:val="20"/>
          <w:szCs w:val="20"/>
          <w:lang w:val="uk-UA"/>
        </w:rPr>
        <w:t xml:space="preserve"> </w:t>
      </w:r>
      <w:r w:rsidRPr="003C6DAE">
        <w:rPr>
          <w:sz w:val="20"/>
          <w:szCs w:val="20"/>
          <w:lang w:val="uk-UA"/>
        </w:rPr>
        <w:t xml:space="preserve">слідових результатів </w:t>
      </w:r>
      <w:r w:rsidR="0086622D">
        <w:rPr>
          <w:sz w:val="20"/>
          <w:szCs w:val="20"/>
          <w:lang w:val="uk-UA"/>
        </w:rPr>
        <w:t xml:space="preserve">при </w:t>
      </w:r>
      <w:r w:rsidRPr="003C6DAE">
        <w:rPr>
          <w:sz w:val="20"/>
          <w:szCs w:val="20"/>
          <w:lang w:val="uk-UA"/>
        </w:rPr>
        <w:t>дослідженн</w:t>
      </w:r>
      <w:r w:rsidR="0086622D">
        <w:rPr>
          <w:sz w:val="20"/>
          <w:szCs w:val="20"/>
          <w:lang w:val="uk-UA"/>
        </w:rPr>
        <w:t>і</w:t>
      </w:r>
      <w:r w:rsidRPr="003C6DAE">
        <w:rPr>
          <w:sz w:val="20"/>
          <w:szCs w:val="20"/>
          <w:lang w:val="uk-UA"/>
        </w:rPr>
        <w:t xml:space="preserve"> зразків з невеликою кількістю </w:t>
      </w:r>
      <w:r w:rsidR="0000617E" w:rsidRPr="003C6DAE">
        <w:rPr>
          <w:sz w:val="20"/>
          <w:szCs w:val="20"/>
          <w:lang w:val="uk-UA"/>
        </w:rPr>
        <w:t>бактерій</w:t>
      </w:r>
      <w:r w:rsidRPr="003C6DAE">
        <w:rPr>
          <w:sz w:val="20"/>
          <w:szCs w:val="20"/>
          <w:lang w:val="uk-UA"/>
        </w:rPr>
        <w:t xml:space="preserve"> (олігобацилярні зразки) (наприклад, </w:t>
      </w:r>
      <w:r w:rsidR="0086622D">
        <w:rPr>
          <w:sz w:val="20"/>
          <w:szCs w:val="20"/>
          <w:lang w:val="uk-UA"/>
        </w:rPr>
        <w:t xml:space="preserve">зразок </w:t>
      </w:r>
      <w:r w:rsidRPr="003C6DAE">
        <w:rPr>
          <w:sz w:val="20"/>
          <w:szCs w:val="20"/>
          <w:lang w:val="uk-UA"/>
        </w:rPr>
        <w:t>спинномозкової рідини), у тому числі тих, які мають позитивний чи негативний результат бакпосіву.</w:t>
      </w:r>
    </w:p>
    <w:p w14:paraId="69FA115A" w14:textId="77777777" w:rsidR="00703048" w:rsidRPr="003C6DAE" w:rsidRDefault="00703048" w:rsidP="004A2937">
      <w:pPr>
        <w:pStyle w:val="a4"/>
        <w:numPr>
          <w:ilvl w:val="0"/>
          <w:numId w:val="27"/>
        </w:numPr>
        <w:tabs>
          <w:tab w:val="left" w:pos="850"/>
        </w:tabs>
        <w:spacing w:line="297" w:lineRule="auto"/>
        <w:ind w:right="145"/>
        <w:rPr>
          <w:sz w:val="20"/>
          <w:szCs w:val="20"/>
          <w:lang w:val="uk-UA"/>
        </w:rPr>
      </w:pPr>
      <w:r w:rsidRPr="003C6DAE">
        <w:rPr>
          <w:sz w:val="20"/>
          <w:szCs w:val="20"/>
          <w:lang w:val="uk-UA"/>
        </w:rPr>
        <w:t xml:space="preserve">Здійснювати епіднагляд для моніторингу частоти мутацій (наприклад, мутації I491F) за межами ділянки </w:t>
      </w:r>
      <w:r w:rsidRPr="0086622D">
        <w:rPr>
          <w:i/>
          <w:iCs/>
          <w:sz w:val="20"/>
          <w:szCs w:val="20"/>
          <w:lang w:val="uk-UA"/>
        </w:rPr>
        <w:t>rpoB</w:t>
      </w:r>
      <w:r w:rsidRPr="003C6DAE">
        <w:rPr>
          <w:sz w:val="20"/>
          <w:szCs w:val="20"/>
          <w:lang w:val="uk-UA"/>
        </w:rPr>
        <w:t xml:space="preserve"> гена, який визначає стійкість до рифампіцину (RRDR) з плином часу.</w:t>
      </w:r>
    </w:p>
    <w:p w14:paraId="68505AAE" w14:textId="51866213" w:rsidR="00E05B98" w:rsidRPr="003C6DAE" w:rsidRDefault="00703048" w:rsidP="004A2937">
      <w:pPr>
        <w:pStyle w:val="a4"/>
        <w:numPr>
          <w:ilvl w:val="0"/>
          <w:numId w:val="27"/>
        </w:numPr>
        <w:tabs>
          <w:tab w:val="left" w:pos="850"/>
        </w:tabs>
        <w:spacing w:before="0" w:line="297" w:lineRule="auto"/>
        <w:ind w:right="145"/>
        <w:jc w:val="left"/>
        <w:rPr>
          <w:sz w:val="20"/>
          <w:szCs w:val="20"/>
          <w:lang w:val="uk-UA"/>
        </w:rPr>
      </w:pPr>
      <w:r w:rsidRPr="003C6DAE">
        <w:rPr>
          <w:sz w:val="20"/>
          <w:szCs w:val="20"/>
          <w:lang w:val="uk-UA"/>
        </w:rPr>
        <w:t>Здійснювати моніторинг частки людей з бактеріологічно підтвердженим ТБ без результату тесту на резистентність до рифампіцину або без додаткового рекомендованого контрольного тестування на лікарську чутливість з плином часу.</w:t>
      </w:r>
    </w:p>
    <w:p w14:paraId="6DB3AFAE" w14:textId="77777777" w:rsidR="00E05B98" w:rsidRPr="003C6DAE" w:rsidRDefault="00E05B98">
      <w:pPr>
        <w:pStyle w:val="a3"/>
        <w:spacing w:before="7"/>
        <w:rPr>
          <w:lang w:val="uk-UA"/>
        </w:rPr>
      </w:pPr>
    </w:p>
    <w:p w14:paraId="2167AAB0" w14:textId="54096966" w:rsidR="00E05B98" w:rsidRDefault="00AE3A29">
      <w:pPr>
        <w:pStyle w:val="5"/>
        <w:rPr>
          <w:color w:val="019648"/>
          <w:w w:val="95"/>
          <w:sz w:val="22"/>
          <w:szCs w:val="22"/>
          <w:lang w:val="uk-UA"/>
        </w:rPr>
      </w:pPr>
      <w:r w:rsidRPr="0086622D">
        <w:rPr>
          <w:color w:val="019648"/>
          <w:w w:val="95"/>
          <w:sz w:val="22"/>
          <w:szCs w:val="22"/>
          <w:lang w:val="uk-UA"/>
        </w:rPr>
        <w:t>Пріоритети досліджень</w:t>
      </w:r>
    </w:p>
    <w:p w14:paraId="5F744140" w14:textId="77777777" w:rsidR="0086622D" w:rsidRPr="0086622D" w:rsidRDefault="0086622D">
      <w:pPr>
        <w:pStyle w:val="5"/>
        <w:rPr>
          <w:sz w:val="10"/>
          <w:szCs w:val="10"/>
          <w:lang w:val="uk-UA"/>
        </w:rPr>
      </w:pPr>
    </w:p>
    <w:p w14:paraId="53AE2D94" w14:textId="365ECB00" w:rsidR="00AE3A29" w:rsidRPr="003C6DAE" w:rsidRDefault="00AE3A29" w:rsidP="004A2937">
      <w:pPr>
        <w:pStyle w:val="a4"/>
        <w:numPr>
          <w:ilvl w:val="0"/>
          <w:numId w:val="27"/>
        </w:numPr>
        <w:tabs>
          <w:tab w:val="left" w:pos="850"/>
        </w:tabs>
        <w:spacing w:before="2" w:line="297" w:lineRule="auto"/>
        <w:ind w:right="149"/>
        <w:rPr>
          <w:w w:val="105"/>
          <w:sz w:val="20"/>
          <w:szCs w:val="20"/>
          <w:lang w:val="uk-UA"/>
        </w:rPr>
      </w:pPr>
      <w:r w:rsidRPr="003C6DAE">
        <w:rPr>
          <w:w w:val="105"/>
          <w:sz w:val="20"/>
          <w:szCs w:val="20"/>
          <w:lang w:val="uk-UA"/>
        </w:rPr>
        <w:t xml:space="preserve">Проаналізувати ефективність сучасних технологій, </w:t>
      </w:r>
      <w:r w:rsidR="0086622D">
        <w:rPr>
          <w:w w:val="105"/>
          <w:sz w:val="20"/>
          <w:szCs w:val="20"/>
          <w:lang w:val="uk-UA"/>
        </w:rPr>
        <w:t>які</w:t>
      </w:r>
      <w:r w:rsidRPr="003C6DAE">
        <w:rPr>
          <w:w w:val="105"/>
          <w:sz w:val="20"/>
          <w:szCs w:val="20"/>
          <w:lang w:val="uk-UA"/>
        </w:rPr>
        <w:t xml:space="preserve"> використовуються в </w:t>
      </w:r>
      <w:r w:rsidR="0086622D">
        <w:rPr>
          <w:w w:val="105"/>
          <w:sz w:val="20"/>
          <w:szCs w:val="20"/>
          <w:lang w:val="uk-UA"/>
        </w:rPr>
        <w:t>повсякденній</w:t>
      </w:r>
      <w:r w:rsidRPr="003C6DAE">
        <w:rPr>
          <w:w w:val="105"/>
          <w:sz w:val="20"/>
          <w:szCs w:val="20"/>
          <w:lang w:val="uk-UA"/>
        </w:rPr>
        <w:t xml:space="preserve"> практиці (програмні </w:t>
      </w:r>
      <w:r w:rsidR="0086622D">
        <w:rPr>
          <w:w w:val="105"/>
          <w:sz w:val="20"/>
          <w:szCs w:val="20"/>
          <w:lang w:val="uk-UA"/>
        </w:rPr>
        <w:t>умови</w:t>
      </w:r>
      <w:r w:rsidRPr="003C6DAE">
        <w:rPr>
          <w:w w:val="105"/>
          <w:sz w:val="20"/>
          <w:szCs w:val="20"/>
          <w:lang w:val="uk-UA"/>
        </w:rPr>
        <w:t>).</w:t>
      </w:r>
    </w:p>
    <w:p w14:paraId="5ED60BDE" w14:textId="02EE9C89" w:rsidR="00E05B98" w:rsidRPr="003C6DAE" w:rsidRDefault="00AE3A29" w:rsidP="004A2937">
      <w:pPr>
        <w:pStyle w:val="a4"/>
        <w:numPr>
          <w:ilvl w:val="0"/>
          <w:numId w:val="27"/>
        </w:numPr>
        <w:tabs>
          <w:tab w:val="left" w:pos="850"/>
        </w:tabs>
        <w:spacing w:before="2" w:line="297" w:lineRule="auto"/>
        <w:ind w:right="149"/>
        <w:rPr>
          <w:sz w:val="20"/>
          <w:szCs w:val="20"/>
          <w:lang w:val="uk-UA"/>
        </w:rPr>
      </w:pPr>
      <w:r w:rsidRPr="003C6DAE">
        <w:rPr>
          <w:w w:val="105"/>
          <w:sz w:val="20"/>
          <w:szCs w:val="20"/>
          <w:lang w:val="uk-UA"/>
        </w:rPr>
        <w:t>Проводити операційні дослідження для забезпечення оптимального використання тестів з точки зору як клінічної ефективності, так і економічної доцільності в передбачуваних умовах.</w:t>
      </w:r>
    </w:p>
    <w:p w14:paraId="45D96575" w14:textId="77777777" w:rsidR="00AE3A29" w:rsidRPr="003C6DAE" w:rsidRDefault="00AE3A29" w:rsidP="004A2937">
      <w:pPr>
        <w:pStyle w:val="a4"/>
        <w:numPr>
          <w:ilvl w:val="0"/>
          <w:numId w:val="27"/>
        </w:numPr>
        <w:tabs>
          <w:tab w:val="left" w:pos="850"/>
        </w:tabs>
        <w:spacing w:before="2" w:line="297" w:lineRule="auto"/>
        <w:ind w:right="140"/>
        <w:rPr>
          <w:sz w:val="20"/>
          <w:szCs w:val="20"/>
          <w:lang w:val="uk-UA"/>
        </w:rPr>
      </w:pPr>
      <w:r w:rsidRPr="003C6DAE">
        <w:rPr>
          <w:sz w:val="20"/>
          <w:szCs w:val="20"/>
          <w:lang w:val="uk-UA"/>
        </w:rPr>
        <w:t>Оцінити вплив тестування за допомогою аТАНК-НС на важливі для пацієнта результати (вилікування, смертність, час до постановки діагнозу та час до початку лікування).</w:t>
      </w:r>
    </w:p>
    <w:p w14:paraId="05F7C546" w14:textId="3388453F" w:rsidR="00E05B98" w:rsidRPr="003C6DAE" w:rsidRDefault="00AE3A29" w:rsidP="004A2937">
      <w:pPr>
        <w:pStyle w:val="a4"/>
        <w:numPr>
          <w:ilvl w:val="0"/>
          <w:numId w:val="27"/>
        </w:numPr>
        <w:tabs>
          <w:tab w:val="left" w:pos="850"/>
        </w:tabs>
        <w:spacing w:before="2" w:line="297" w:lineRule="auto"/>
        <w:ind w:right="140"/>
        <w:rPr>
          <w:sz w:val="20"/>
          <w:szCs w:val="20"/>
          <w:lang w:val="uk-UA"/>
        </w:rPr>
      </w:pPr>
      <w:r w:rsidRPr="003C6DAE">
        <w:rPr>
          <w:sz w:val="20"/>
          <w:szCs w:val="20"/>
          <w:lang w:val="uk-UA"/>
        </w:rPr>
        <w:t>Оцінити сильні та слабкі сторони, а також різницю у вартості різних продуктів аТАНК-НС для обґрунтування вибору країн</w:t>
      </w:r>
      <w:r w:rsidR="0086622D">
        <w:rPr>
          <w:sz w:val="20"/>
          <w:szCs w:val="20"/>
          <w:lang w:val="uk-UA"/>
        </w:rPr>
        <w:t>ою</w:t>
      </w:r>
      <w:r w:rsidRPr="003C6DAE">
        <w:rPr>
          <w:sz w:val="20"/>
          <w:szCs w:val="20"/>
          <w:lang w:val="uk-UA"/>
        </w:rPr>
        <w:t>.</w:t>
      </w:r>
    </w:p>
    <w:p w14:paraId="5B09A8E5" w14:textId="5E2B234D" w:rsidR="0078360B" w:rsidRPr="003C6DAE" w:rsidRDefault="0078360B" w:rsidP="004A2937">
      <w:pPr>
        <w:pStyle w:val="a4"/>
        <w:numPr>
          <w:ilvl w:val="0"/>
          <w:numId w:val="27"/>
        </w:numPr>
        <w:tabs>
          <w:tab w:val="left" w:pos="850"/>
        </w:tabs>
        <w:spacing w:before="2" w:line="297" w:lineRule="auto"/>
        <w:ind w:right="137"/>
        <w:rPr>
          <w:sz w:val="20"/>
          <w:szCs w:val="20"/>
          <w:lang w:val="uk-UA"/>
        </w:rPr>
      </w:pPr>
      <w:r w:rsidRPr="003C6DAE">
        <w:rPr>
          <w:sz w:val="20"/>
          <w:szCs w:val="20"/>
          <w:lang w:val="uk-UA"/>
        </w:rPr>
        <w:t xml:space="preserve">Оцінити різні класи тестів, включаючи аТАНК-НС, щоб визначити, які класи або стратегії тестування забезпечують вищу діагностичну точність, ефективність </w:t>
      </w:r>
      <w:r w:rsidR="00E22868">
        <w:rPr>
          <w:sz w:val="20"/>
          <w:szCs w:val="20"/>
          <w:lang w:val="uk-UA"/>
        </w:rPr>
        <w:t xml:space="preserve">витрат </w:t>
      </w:r>
      <w:r w:rsidRPr="003C6DAE">
        <w:rPr>
          <w:sz w:val="20"/>
          <w:szCs w:val="20"/>
          <w:lang w:val="uk-UA"/>
        </w:rPr>
        <w:t xml:space="preserve">та вплив на </w:t>
      </w:r>
      <w:r w:rsidR="00E22868">
        <w:rPr>
          <w:sz w:val="20"/>
          <w:szCs w:val="20"/>
          <w:lang w:val="uk-UA"/>
        </w:rPr>
        <w:t xml:space="preserve">рівність і </w:t>
      </w:r>
      <w:r w:rsidRPr="003C6DAE">
        <w:rPr>
          <w:sz w:val="20"/>
          <w:szCs w:val="20"/>
          <w:lang w:val="uk-UA"/>
        </w:rPr>
        <w:t xml:space="preserve">справедливість </w:t>
      </w:r>
      <w:r w:rsidR="00E22868">
        <w:rPr>
          <w:sz w:val="20"/>
          <w:szCs w:val="20"/>
          <w:lang w:val="uk-UA"/>
        </w:rPr>
        <w:t xml:space="preserve">у наданні послуг </w:t>
      </w:r>
      <w:r w:rsidRPr="003C6DAE">
        <w:rPr>
          <w:sz w:val="20"/>
          <w:szCs w:val="20"/>
          <w:lang w:val="uk-UA"/>
        </w:rPr>
        <w:t>пацієнт</w:t>
      </w:r>
      <w:r w:rsidR="00E22868">
        <w:rPr>
          <w:sz w:val="20"/>
          <w:szCs w:val="20"/>
          <w:lang w:val="uk-UA"/>
        </w:rPr>
        <w:t>ам</w:t>
      </w:r>
      <w:r w:rsidR="005C3D3A">
        <w:rPr>
          <w:sz w:val="20"/>
          <w:szCs w:val="20"/>
          <w:lang w:val="uk-UA"/>
        </w:rPr>
        <w:t>, а також</w:t>
      </w:r>
      <w:r w:rsidRPr="003C6DAE">
        <w:rPr>
          <w:sz w:val="20"/>
          <w:szCs w:val="20"/>
          <w:lang w:val="uk-UA"/>
        </w:rPr>
        <w:t xml:space="preserve"> прийнятність тесту.</w:t>
      </w:r>
    </w:p>
    <w:p w14:paraId="1CA13E46" w14:textId="6FDA0BEA" w:rsidR="0078360B" w:rsidRPr="003C6DAE" w:rsidRDefault="0078360B" w:rsidP="004A2937">
      <w:pPr>
        <w:pStyle w:val="a4"/>
        <w:numPr>
          <w:ilvl w:val="0"/>
          <w:numId w:val="27"/>
        </w:numPr>
        <w:tabs>
          <w:tab w:val="left" w:pos="850"/>
        </w:tabs>
        <w:spacing w:before="2" w:line="297" w:lineRule="auto"/>
        <w:ind w:right="137"/>
        <w:rPr>
          <w:sz w:val="20"/>
          <w:szCs w:val="20"/>
          <w:lang w:val="uk-UA"/>
        </w:rPr>
      </w:pPr>
      <w:r w:rsidRPr="003C6DAE">
        <w:rPr>
          <w:sz w:val="20"/>
          <w:szCs w:val="20"/>
          <w:lang w:val="uk-UA"/>
        </w:rPr>
        <w:t xml:space="preserve">Оцінити вплив на </w:t>
      </w:r>
      <w:r w:rsidR="005C3D3A">
        <w:rPr>
          <w:sz w:val="20"/>
          <w:szCs w:val="20"/>
          <w:lang w:val="uk-UA"/>
        </w:rPr>
        <w:t>інкрементну</w:t>
      </w:r>
      <w:r w:rsidRPr="003C6DAE">
        <w:rPr>
          <w:sz w:val="20"/>
          <w:szCs w:val="20"/>
          <w:lang w:val="uk-UA"/>
        </w:rPr>
        <w:t xml:space="preserve"> точність і виявлення випадків, а також економічну ефективність використання альтернативних типів зразків, які легше зібрати.</w:t>
      </w:r>
    </w:p>
    <w:p w14:paraId="79490AB7" w14:textId="51B3B144" w:rsidR="00E05B98" w:rsidRPr="003C6DAE" w:rsidRDefault="0078360B" w:rsidP="004A2937">
      <w:pPr>
        <w:pStyle w:val="a4"/>
        <w:numPr>
          <w:ilvl w:val="0"/>
          <w:numId w:val="27"/>
        </w:numPr>
        <w:tabs>
          <w:tab w:val="left" w:pos="850"/>
        </w:tabs>
        <w:spacing w:before="2" w:line="297" w:lineRule="auto"/>
        <w:ind w:right="137"/>
        <w:rPr>
          <w:sz w:val="20"/>
          <w:szCs w:val="20"/>
          <w:lang w:val="uk-UA"/>
        </w:rPr>
      </w:pPr>
      <w:r w:rsidRPr="003C6DAE">
        <w:rPr>
          <w:sz w:val="20"/>
          <w:szCs w:val="20"/>
          <w:lang w:val="uk-UA"/>
        </w:rPr>
        <w:t>Оцінити ефективність окремого продукту при використанні різних типів зразків на виявлення педіатричного та позалегеневого ТБ.</w:t>
      </w:r>
    </w:p>
    <w:p w14:paraId="3B8F8456" w14:textId="77777777" w:rsidR="0078360B" w:rsidRPr="003C6DAE" w:rsidRDefault="0078360B" w:rsidP="004A2937">
      <w:pPr>
        <w:pStyle w:val="a4"/>
        <w:numPr>
          <w:ilvl w:val="0"/>
          <w:numId w:val="27"/>
        </w:numPr>
        <w:tabs>
          <w:tab w:val="left" w:pos="850"/>
        </w:tabs>
        <w:spacing w:before="3" w:line="298" w:lineRule="auto"/>
        <w:ind w:left="851"/>
        <w:rPr>
          <w:w w:val="105"/>
          <w:sz w:val="20"/>
          <w:szCs w:val="20"/>
          <w:lang w:val="uk-UA"/>
        </w:rPr>
      </w:pPr>
      <w:r w:rsidRPr="003C6DAE">
        <w:rPr>
          <w:w w:val="105"/>
          <w:sz w:val="20"/>
          <w:szCs w:val="20"/>
          <w:lang w:val="uk-UA"/>
        </w:rPr>
        <w:t>Розробити нові інструменти, які є швидкими, доступними, можливими для реалізації та прийнятними для дітей та їхніх батьків.</w:t>
      </w:r>
    </w:p>
    <w:p w14:paraId="148AED7B" w14:textId="20302C47" w:rsidR="00E05B98" w:rsidRPr="003C6DAE" w:rsidRDefault="0078360B" w:rsidP="004A2937">
      <w:pPr>
        <w:pStyle w:val="a4"/>
        <w:numPr>
          <w:ilvl w:val="0"/>
          <w:numId w:val="27"/>
        </w:numPr>
        <w:tabs>
          <w:tab w:val="left" w:pos="850"/>
        </w:tabs>
        <w:spacing w:before="3" w:line="298" w:lineRule="auto"/>
        <w:ind w:left="851"/>
        <w:rPr>
          <w:sz w:val="20"/>
          <w:szCs w:val="20"/>
          <w:lang w:val="uk-UA"/>
        </w:rPr>
      </w:pPr>
      <w:r w:rsidRPr="003C6DAE">
        <w:rPr>
          <w:w w:val="105"/>
          <w:sz w:val="20"/>
          <w:szCs w:val="20"/>
          <w:lang w:val="uk-UA"/>
        </w:rPr>
        <w:t>Оптимізувати або розробити тести чи прості процедури обробки зразків для виявлення позалегеневого ТБ.</w:t>
      </w:r>
    </w:p>
    <w:p w14:paraId="4FDC6646" w14:textId="77777777" w:rsidR="0078360B" w:rsidRPr="003C6DAE" w:rsidRDefault="0078360B" w:rsidP="004A2937">
      <w:pPr>
        <w:pStyle w:val="a4"/>
        <w:numPr>
          <w:ilvl w:val="0"/>
          <w:numId w:val="27"/>
        </w:numPr>
        <w:tabs>
          <w:tab w:val="left" w:pos="850"/>
        </w:tabs>
        <w:spacing w:before="4" w:line="298" w:lineRule="auto"/>
        <w:ind w:left="851" w:right="140"/>
        <w:rPr>
          <w:sz w:val="20"/>
          <w:szCs w:val="20"/>
          <w:lang w:val="uk-UA"/>
        </w:rPr>
      </w:pPr>
      <w:r w:rsidRPr="003C6DAE">
        <w:rPr>
          <w:sz w:val="20"/>
          <w:szCs w:val="20"/>
          <w:lang w:val="uk-UA"/>
        </w:rPr>
        <w:t>Визначити покращений еталонний стандарт, який точно визначає захворювання на туберкульоз у дітей,  наявність ТБ при дослідженні зразків з малою кількістю бактерій та у людей, які не можуть виділяти мокротиння, оскільки чутливість усіх наявних методів діагностики є неоптимальною.</w:t>
      </w:r>
    </w:p>
    <w:p w14:paraId="1B054ADB" w14:textId="6172E3E3" w:rsidR="00E05B98" w:rsidRPr="003C6DAE" w:rsidRDefault="0078360B" w:rsidP="004A2937">
      <w:pPr>
        <w:pStyle w:val="a4"/>
        <w:numPr>
          <w:ilvl w:val="0"/>
          <w:numId w:val="27"/>
        </w:numPr>
        <w:tabs>
          <w:tab w:val="left" w:pos="850"/>
        </w:tabs>
        <w:spacing w:before="4" w:line="297" w:lineRule="auto"/>
        <w:ind w:right="140"/>
        <w:rPr>
          <w:lang w:val="uk-UA"/>
        </w:rPr>
      </w:pPr>
      <w:r w:rsidRPr="003C6DAE">
        <w:rPr>
          <w:sz w:val="20"/>
          <w:szCs w:val="20"/>
          <w:lang w:val="uk-UA"/>
        </w:rPr>
        <w:t>Розробити та застосувати стандартизовані методи для оцінки економічної ефективності та економічних досліджень, щоб обмежити варіабельність.</w:t>
      </w:r>
    </w:p>
    <w:p w14:paraId="35156862" w14:textId="77777777" w:rsidR="00E05B98" w:rsidRPr="003C6DAE" w:rsidRDefault="00E05B98">
      <w:pPr>
        <w:pStyle w:val="a4"/>
        <w:spacing w:line="297" w:lineRule="auto"/>
        <w:rPr>
          <w:lang w:val="uk-UA"/>
        </w:rPr>
        <w:sectPr w:rsidR="00E05B98" w:rsidRPr="003C6DAE" w:rsidSect="00F63F4D">
          <w:pgSz w:w="11910" w:h="16840"/>
          <w:pgMar w:top="1320" w:right="995" w:bottom="760" w:left="850" w:header="0" w:footer="573" w:gutter="0"/>
          <w:cols w:space="720"/>
        </w:sectPr>
      </w:pPr>
    </w:p>
    <w:p w14:paraId="1152539E" w14:textId="7174BEC5" w:rsidR="00E05B98" w:rsidRPr="003C6DAE" w:rsidRDefault="00E46D8B" w:rsidP="004A2937">
      <w:pPr>
        <w:pStyle w:val="4"/>
        <w:numPr>
          <w:ilvl w:val="2"/>
          <w:numId w:val="31"/>
        </w:numPr>
        <w:tabs>
          <w:tab w:val="left" w:pos="1261"/>
        </w:tabs>
        <w:spacing w:line="249" w:lineRule="auto"/>
        <w:ind w:firstLine="0"/>
        <w:rPr>
          <w:rFonts w:ascii="Microsoft Sans Serif" w:hAnsi="Microsoft Sans Serif" w:cs="Microsoft Sans Serif"/>
          <w:color w:val="019648"/>
          <w:sz w:val="24"/>
          <w:szCs w:val="24"/>
          <w:lang w:val="uk-UA"/>
        </w:rPr>
      </w:pPr>
      <w:bookmarkStart w:id="44" w:name="2.1.2_Moderate_complexity_automated_NAAT"/>
      <w:bookmarkStart w:id="45" w:name="_bookmark17"/>
      <w:bookmarkEnd w:id="44"/>
      <w:bookmarkEnd w:id="45"/>
      <w:r w:rsidRPr="003C6DAE">
        <w:rPr>
          <w:rFonts w:ascii="Microsoft Sans Serif" w:hAnsi="Microsoft Sans Serif" w:cs="Microsoft Sans Serif"/>
          <w:color w:val="019648"/>
          <w:sz w:val="24"/>
          <w:szCs w:val="24"/>
          <w:lang w:val="uk-UA"/>
        </w:rPr>
        <w:lastRenderedPageBreak/>
        <w:t>Автоматизовані тести ампліфікаці</w:t>
      </w:r>
      <w:r w:rsidR="0086622D">
        <w:rPr>
          <w:rFonts w:ascii="Microsoft Sans Serif" w:hAnsi="Microsoft Sans Serif" w:cs="Microsoft Sans Serif"/>
          <w:color w:val="019648"/>
          <w:sz w:val="24"/>
          <w:szCs w:val="24"/>
          <w:lang w:val="uk-UA"/>
        </w:rPr>
        <w:t>ї</w:t>
      </w:r>
      <w:r w:rsidRPr="003C6DAE">
        <w:rPr>
          <w:rFonts w:ascii="Microsoft Sans Serif" w:hAnsi="Microsoft Sans Serif" w:cs="Microsoft Sans Serif"/>
          <w:color w:val="019648"/>
          <w:sz w:val="24"/>
          <w:szCs w:val="24"/>
          <w:lang w:val="uk-UA"/>
        </w:rPr>
        <w:t xml:space="preserve"> нуклеїнових кислот помірної складності (аТАНК-ПС)  для виявлення ТБ та стійкості до рифампіцину та ізоніазиду</w:t>
      </w:r>
    </w:p>
    <w:p w14:paraId="1E5E89F9" w14:textId="7AFC988B" w:rsidR="00E05B98" w:rsidRPr="003C6DAE" w:rsidRDefault="00E46D8B" w:rsidP="00994F51">
      <w:pPr>
        <w:pStyle w:val="a3"/>
        <w:tabs>
          <w:tab w:val="left" w:pos="9781"/>
        </w:tabs>
        <w:spacing w:before="206" w:line="297" w:lineRule="auto"/>
        <w:ind w:left="567"/>
        <w:jc w:val="both"/>
        <w:rPr>
          <w:sz w:val="20"/>
          <w:szCs w:val="20"/>
          <w:lang w:val="uk-UA"/>
        </w:rPr>
      </w:pPr>
      <w:r w:rsidRPr="003C6DAE">
        <w:rPr>
          <w:sz w:val="20"/>
          <w:szCs w:val="20"/>
          <w:lang w:val="uk-UA"/>
        </w:rPr>
        <w:t>Швидке виявлення ТБ та стійкості до рифампіцину стає все більш доступним завдяки розробці та впровадженню нових технологій у різних країнах. Однак було також виявлено відносно високий тягар ізоніазид-стійкого ТБ, чутливого до рифампіцину, який часто залишається недіагностованим. За оцінками, у світі туберкульоз стійкий до ізоніазиду та чутливий до рифампіцину зустрічається у 13,1% (95% ДІ: 9,9-16,9%) нових випадків і 17,4% (95% ДІ: 0,5-54,0%) серед пацієнтів, які раніше отримували лікування з приводу ТБ.</w:t>
      </w:r>
      <w:r w:rsidR="00B01E0C" w:rsidRPr="003C6DAE">
        <w:rPr>
          <w:sz w:val="20"/>
          <w:szCs w:val="20"/>
          <w:lang w:val="uk-UA"/>
        </w:rPr>
        <w:t xml:space="preserve"> (</w:t>
      </w:r>
      <w:r w:rsidR="00B01E0C" w:rsidRPr="003C6DAE">
        <w:rPr>
          <w:i/>
          <w:sz w:val="20"/>
          <w:szCs w:val="20"/>
          <w:lang w:val="uk-UA"/>
        </w:rPr>
        <w:t>1</w:t>
      </w:r>
      <w:r w:rsidR="00B01E0C" w:rsidRPr="003C6DAE">
        <w:rPr>
          <w:sz w:val="20"/>
          <w:szCs w:val="20"/>
          <w:lang w:val="uk-UA"/>
        </w:rPr>
        <w:t>).</w:t>
      </w:r>
    </w:p>
    <w:p w14:paraId="2BDFEA6D" w14:textId="5CFA27ED" w:rsidR="00E05B98" w:rsidRPr="003C6DAE" w:rsidRDefault="005265C4" w:rsidP="00994F51">
      <w:pPr>
        <w:pStyle w:val="a3"/>
        <w:tabs>
          <w:tab w:val="left" w:pos="9781"/>
        </w:tabs>
        <w:spacing w:before="171" w:line="297" w:lineRule="auto"/>
        <w:ind w:left="567"/>
        <w:jc w:val="both"/>
        <w:rPr>
          <w:sz w:val="20"/>
          <w:szCs w:val="20"/>
          <w:lang w:val="uk-UA"/>
        </w:rPr>
      </w:pPr>
      <w:r w:rsidRPr="003C6DAE">
        <w:rPr>
          <w:sz w:val="20"/>
          <w:szCs w:val="20"/>
          <w:lang w:val="uk-UA"/>
        </w:rPr>
        <w:t>На ринку з'явився новий клас технологій, які можуть заповнити цю прогалину. Кілька виробників розробили автоматизовані тести ампліфікаці</w:t>
      </w:r>
      <w:r w:rsidR="00331144">
        <w:rPr>
          <w:sz w:val="20"/>
          <w:szCs w:val="20"/>
          <w:lang w:val="uk-UA"/>
        </w:rPr>
        <w:t>ї</w:t>
      </w:r>
      <w:r w:rsidRPr="003C6DAE">
        <w:rPr>
          <w:sz w:val="20"/>
          <w:szCs w:val="20"/>
          <w:lang w:val="uk-UA"/>
        </w:rPr>
        <w:t xml:space="preserve"> нуклеїнових кислот помірної складності  (аТАНК-ПС) для виявлення ТБ та його стійкості до рифампіцину та ізоніазиду на високопродуктивних платформах для використання в лабораторіях. Тести, що належать до цього класу, є більш швидкими та менш складними у виконанні, ніж фенотипічне тестування на медикаментозну </w:t>
      </w:r>
      <w:r w:rsidR="0000617E" w:rsidRPr="003C6DAE">
        <w:rPr>
          <w:sz w:val="20"/>
          <w:szCs w:val="20"/>
          <w:lang w:val="uk-UA"/>
        </w:rPr>
        <w:t>чутливість</w:t>
      </w:r>
      <w:r w:rsidRPr="003C6DAE">
        <w:rPr>
          <w:sz w:val="20"/>
          <w:szCs w:val="20"/>
          <w:lang w:val="uk-UA"/>
        </w:rPr>
        <w:t xml:space="preserve"> (ТМЧ) на основі бакпосіву та лінійний зонд-аналіз (ЛЗА). Їхньою перевагою є те, що вони значною мірою автоматизовані після етапу підготовки зразка.</w:t>
      </w:r>
      <w:r w:rsidR="00B01E0C" w:rsidRPr="003C6DAE">
        <w:rPr>
          <w:sz w:val="20"/>
          <w:szCs w:val="20"/>
          <w:lang w:val="uk-UA"/>
        </w:rPr>
        <w:t xml:space="preserve"> </w:t>
      </w:r>
      <w:r w:rsidRPr="003C6DAE">
        <w:rPr>
          <w:sz w:val="20"/>
          <w:szCs w:val="20"/>
          <w:lang w:val="uk-UA"/>
        </w:rPr>
        <w:t xml:space="preserve">Автоматизовані ТАНК помірної складності можна використовувати в якості </w:t>
      </w:r>
      <w:r w:rsidR="005C3D3A">
        <w:rPr>
          <w:sz w:val="20"/>
          <w:szCs w:val="20"/>
          <w:lang w:val="uk-UA"/>
        </w:rPr>
        <w:t>первинного</w:t>
      </w:r>
      <w:r w:rsidRPr="003C6DAE">
        <w:rPr>
          <w:sz w:val="20"/>
          <w:szCs w:val="20"/>
          <w:lang w:val="uk-UA"/>
        </w:rPr>
        <w:t xml:space="preserve"> тест</w:t>
      </w:r>
      <w:r w:rsidR="00331144">
        <w:rPr>
          <w:sz w:val="20"/>
          <w:szCs w:val="20"/>
          <w:lang w:val="uk-UA"/>
        </w:rPr>
        <w:t>у</w:t>
      </w:r>
      <w:r w:rsidRPr="003C6DAE">
        <w:rPr>
          <w:sz w:val="20"/>
          <w:szCs w:val="20"/>
          <w:lang w:val="uk-UA"/>
        </w:rPr>
        <w:t xml:space="preserve"> для виявлення ТБ та його стійкості до обох протитуберкульозних препаратів першого ряду одночасно (рифампіцин та ізоніазид). Вони забезпечують можливість для швидкого отримання точних результатів (що важливо для пацієнтів) та ефективності тестування, коли необхідно </w:t>
      </w:r>
      <w:r w:rsidR="00331144">
        <w:rPr>
          <w:sz w:val="20"/>
          <w:szCs w:val="20"/>
          <w:lang w:val="uk-UA"/>
        </w:rPr>
        <w:t>виконувати</w:t>
      </w:r>
      <w:r w:rsidRPr="003C6DAE">
        <w:rPr>
          <w:sz w:val="20"/>
          <w:szCs w:val="20"/>
          <w:lang w:val="uk-UA"/>
        </w:rPr>
        <w:t xml:space="preserve"> велику кількість тестів щодня (що важливо для програм). Отже, ці технології підходять для територій з високою щільністю населення та системами швидкого направлення зразків для дослідження.</w:t>
      </w:r>
    </w:p>
    <w:p w14:paraId="483130B0" w14:textId="77777777" w:rsidR="00E05B98" w:rsidRPr="003C6DAE" w:rsidRDefault="00E05B98" w:rsidP="00994F51">
      <w:pPr>
        <w:pStyle w:val="a3"/>
        <w:tabs>
          <w:tab w:val="left" w:pos="9781"/>
        </w:tabs>
        <w:spacing w:before="4"/>
        <w:rPr>
          <w:sz w:val="20"/>
          <w:szCs w:val="20"/>
          <w:lang w:val="uk-UA"/>
        </w:rPr>
      </w:pPr>
    </w:p>
    <w:p w14:paraId="2225A8A8" w14:textId="5EE21FBA" w:rsidR="00E05B98" w:rsidRPr="003C6DAE" w:rsidRDefault="005265C4" w:rsidP="00994F51">
      <w:pPr>
        <w:tabs>
          <w:tab w:val="left" w:pos="9781"/>
        </w:tabs>
        <w:ind w:left="567"/>
        <w:jc w:val="both"/>
        <w:rPr>
          <w:b/>
          <w:sz w:val="20"/>
          <w:szCs w:val="20"/>
          <w:lang w:val="uk-UA"/>
        </w:rPr>
      </w:pPr>
      <w:r w:rsidRPr="003C6DAE">
        <w:rPr>
          <w:b/>
          <w:color w:val="636466"/>
          <w:spacing w:val="-2"/>
          <w:sz w:val="20"/>
          <w:szCs w:val="20"/>
          <w:lang w:val="uk-UA"/>
        </w:rPr>
        <w:t>Таблиця</w:t>
      </w:r>
      <w:r w:rsidR="00B01E0C" w:rsidRPr="003C6DAE">
        <w:rPr>
          <w:b/>
          <w:color w:val="636466"/>
          <w:spacing w:val="-8"/>
          <w:sz w:val="20"/>
          <w:szCs w:val="20"/>
          <w:lang w:val="uk-UA"/>
        </w:rPr>
        <w:t xml:space="preserve"> </w:t>
      </w:r>
      <w:r w:rsidR="00B01E0C" w:rsidRPr="003C6DAE">
        <w:rPr>
          <w:b/>
          <w:color w:val="636466"/>
          <w:spacing w:val="-2"/>
          <w:sz w:val="20"/>
          <w:szCs w:val="20"/>
          <w:lang w:val="uk-UA"/>
        </w:rPr>
        <w:t>2.1.2.1</w:t>
      </w:r>
      <w:r w:rsidR="00B01E0C" w:rsidRPr="003C6DAE">
        <w:rPr>
          <w:b/>
          <w:color w:val="636466"/>
          <w:spacing w:val="-7"/>
          <w:sz w:val="20"/>
          <w:szCs w:val="20"/>
          <w:lang w:val="uk-UA"/>
        </w:rPr>
        <w:t xml:space="preserve"> </w:t>
      </w:r>
      <w:r w:rsidRPr="003C6DAE">
        <w:rPr>
          <w:b/>
          <w:color w:val="636466"/>
          <w:spacing w:val="-7"/>
          <w:sz w:val="20"/>
          <w:szCs w:val="20"/>
          <w:lang w:val="uk-UA"/>
        </w:rPr>
        <w:t xml:space="preserve"> </w:t>
      </w:r>
      <w:r w:rsidRPr="003C6DAE">
        <w:rPr>
          <w:b/>
          <w:color w:val="636466"/>
          <w:spacing w:val="-2"/>
          <w:sz w:val="20"/>
          <w:szCs w:val="20"/>
          <w:lang w:val="uk-UA"/>
        </w:rPr>
        <w:t>Критерії класу для аТАНК-ПС</w:t>
      </w:r>
    </w:p>
    <w:p w14:paraId="19C3EAE8" w14:textId="77777777" w:rsidR="00E05B98" w:rsidRPr="003C6DAE" w:rsidRDefault="00E05B98" w:rsidP="00994F51">
      <w:pPr>
        <w:pStyle w:val="a3"/>
        <w:tabs>
          <w:tab w:val="left" w:pos="9781"/>
        </w:tabs>
        <w:spacing w:before="3" w:after="1"/>
        <w:rPr>
          <w:b/>
          <w:sz w:val="20"/>
          <w:szCs w:val="20"/>
          <w:lang w:val="uk-UA"/>
        </w:rPr>
      </w:pPr>
    </w:p>
    <w:tbl>
      <w:tblPr>
        <w:tblStyle w:val="TableNormal"/>
        <w:tblW w:w="0" w:type="auto"/>
        <w:tblInd w:w="577" w:type="dxa"/>
        <w:tblLayout w:type="fixed"/>
        <w:tblLook w:val="01E0" w:firstRow="1" w:lastRow="1" w:firstColumn="1" w:lastColumn="1" w:noHBand="0" w:noVBand="0"/>
      </w:tblPr>
      <w:tblGrid>
        <w:gridCol w:w="1681"/>
        <w:gridCol w:w="1267"/>
        <w:gridCol w:w="6349"/>
      </w:tblGrid>
      <w:tr w:rsidR="00E05B98" w:rsidRPr="00D029FF" w14:paraId="512C5AA3" w14:textId="77777777" w:rsidTr="00544DC9">
        <w:trPr>
          <w:trHeight w:val="430"/>
        </w:trPr>
        <w:tc>
          <w:tcPr>
            <w:tcW w:w="1681" w:type="dxa"/>
            <w:tcBorders>
              <w:top w:val="single" w:sz="8" w:space="0" w:color="019648"/>
              <w:left w:val="single" w:sz="8" w:space="0" w:color="019648"/>
              <w:bottom w:val="single" w:sz="6" w:space="0" w:color="019648"/>
            </w:tcBorders>
            <w:shd w:val="clear" w:color="auto" w:fill="62A86B"/>
          </w:tcPr>
          <w:p w14:paraId="0C1790C3" w14:textId="68A55984" w:rsidR="00E05B98" w:rsidRPr="003C6DAE" w:rsidRDefault="005265C4" w:rsidP="00994F51">
            <w:pPr>
              <w:pStyle w:val="TableParagraph"/>
              <w:tabs>
                <w:tab w:val="left" w:pos="9781"/>
              </w:tabs>
              <w:spacing w:before="95"/>
              <w:ind w:left="145"/>
              <w:rPr>
                <w:b/>
                <w:sz w:val="20"/>
                <w:szCs w:val="20"/>
                <w:lang w:val="uk-UA"/>
              </w:rPr>
            </w:pPr>
            <w:bookmarkStart w:id="46" w:name="_Hlk197927174"/>
            <w:r w:rsidRPr="003C6DAE">
              <w:rPr>
                <w:b/>
                <w:color w:val="FFFFFF"/>
                <w:spacing w:val="-2"/>
                <w:sz w:val="20"/>
                <w:szCs w:val="20"/>
                <w:lang w:val="uk-UA"/>
              </w:rPr>
              <w:t>Призначення</w:t>
            </w:r>
          </w:p>
        </w:tc>
        <w:tc>
          <w:tcPr>
            <w:tcW w:w="1267" w:type="dxa"/>
            <w:tcBorders>
              <w:top w:val="single" w:sz="8" w:space="0" w:color="019648"/>
              <w:bottom w:val="single" w:sz="6" w:space="0" w:color="019648"/>
              <w:right w:val="single" w:sz="6" w:space="0" w:color="019648"/>
            </w:tcBorders>
            <w:shd w:val="clear" w:color="auto" w:fill="62A86B"/>
          </w:tcPr>
          <w:p w14:paraId="7F195171" w14:textId="77777777" w:rsidR="00E05B98" w:rsidRPr="003C6DAE" w:rsidRDefault="00E05B98" w:rsidP="00994F51">
            <w:pPr>
              <w:pStyle w:val="TableParagraph"/>
              <w:tabs>
                <w:tab w:val="left" w:pos="9781"/>
              </w:tabs>
              <w:spacing w:before="0"/>
              <w:ind w:left="0"/>
              <w:rPr>
                <w:sz w:val="20"/>
                <w:szCs w:val="20"/>
                <w:lang w:val="uk-UA"/>
              </w:rPr>
            </w:pPr>
          </w:p>
        </w:tc>
        <w:tc>
          <w:tcPr>
            <w:tcW w:w="6349" w:type="dxa"/>
            <w:tcBorders>
              <w:top w:val="single" w:sz="8" w:space="0" w:color="019648"/>
              <w:left w:val="single" w:sz="6" w:space="0" w:color="019648"/>
              <w:bottom w:val="single" w:sz="6" w:space="0" w:color="019648"/>
              <w:right w:val="single" w:sz="6" w:space="0" w:color="019648"/>
            </w:tcBorders>
            <w:shd w:val="clear" w:color="auto" w:fill="62A86B"/>
          </w:tcPr>
          <w:p w14:paraId="09565CA2" w14:textId="334E49AC" w:rsidR="00E05B98" w:rsidRPr="003C6DAE" w:rsidRDefault="005265C4" w:rsidP="00994F51">
            <w:pPr>
              <w:pStyle w:val="TableParagraph"/>
              <w:tabs>
                <w:tab w:val="left" w:pos="9781"/>
              </w:tabs>
              <w:spacing w:before="95"/>
              <w:ind w:left="138"/>
              <w:rPr>
                <w:b/>
                <w:sz w:val="20"/>
                <w:szCs w:val="20"/>
                <w:lang w:val="uk-UA"/>
              </w:rPr>
            </w:pPr>
            <w:r w:rsidRPr="003C6DAE">
              <w:rPr>
                <w:b/>
                <w:color w:val="FFFFFF"/>
                <w:sz w:val="20"/>
                <w:szCs w:val="20"/>
                <w:lang w:val="uk-UA"/>
              </w:rPr>
              <w:t>Виявлення ТБ і стійкості до рифампіцину та ізоніазиду</w:t>
            </w:r>
          </w:p>
        </w:tc>
      </w:tr>
      <w:tr w:rsidR="00E05B98" w:rsidRPr="00D029FF" w14:paraId="60B7FB9C" w14:textId="77777777" w:rsidTr="00544DC9">
        <w:trPr>
          <w:trHeight w:val="387"/>
        </w:trPr>
        <w:tc>
          <w:tcPr>
            <w:tcW w:w="2947" w:type="dxa"/>
            <w:gridSpan w:val="2"/>
            <w:tcBorders>
              <w:top w:val="single" w:sz="6" w:space="0" w:color="019648"/>
              <w:bottom w:val="single" w:sz="6" w:space="0" w:color="019648"/>
            </w:tcBorders>
          </w:tcPr>
          <w:p w14:paraId="2D9E0A5D" w14:textId="2398E7E3" w:rsidR="00E05B98" w:rsidRPr="005C3D3A" w:rsidRDefault="004166BD" w:rsidP="00994F51">
            <w:pPr>
              <w:pStyle w:val="TableParagraph"/>
              <w:tabs>
                <w:tab w:val="left" w:pos="9781"/>
              </w:tabs>
              <w:spacing w:before="75"/>
              <w:ind w:left="132"/>
              <w:rPr>
                <w:b/>
                <w:sz w:val="20"/>
                <w:szCs w:val="20"/>
                <w:lang w:val="uk-UA"/>
              </w:rPr>
            </w:pPr>
            <w:r w:rsidRPr="005C3D3A">
              <w:rPr>
                <w:b/>
                <w:sz w:val="20"/>
                <w:szCs w:val="20"/>
                <w:lang w:val="uk-UA"/>
              </w:rPr>
              <w:t>Принцип дії</w:t>
            </w:r>
          </w:p>
        </w:tc>
        <w:tc>
          <w:tcPr>
            <w:tcW w:w="6349" w:type="dxa"/>
            <w:tcBorders>
              <w:top w:val="single" w:sz="6" w:space="0" w:color="019648"/>
              <w:bottom w:val="single" w:sz="6" w:space="0" w:color="019648"/>
            </w:tcBorders>
          </w:tcPr>
          <w:p w14:paraId="230061E3" w14:textId="0ED5CA29" w:rsidR="00E05B98" w:rsidRPr="003C6DAE" w:rsidRDefault="004166BD" w:rsidP="00994F51">
            <w:pPr>
              <w:pStyle w:val="TableParagraph"/>
              <w:tabs>
                <w:tab w:val="left" w:pos="9781"/>
              </w:tabs>
              <w:rPr>
                <w:sz w:val="20"/>
                <w:szCs w:val="20"/>
                <w:lang w:val="uk-UA"/>
              </w:rPr>
            </w:pPr>
            <w:r w:rsidRPr="003C6DAE">
              <w:rPr>
                <w:sz w:val="20"/>
                <w:szCs w:val="20"/>
                <w:lang w:val="uk-UA"/>
              </w:rPr>
              <w:t>Проведення тесту</w:t>
            </w:r>
            <w:r w:rsidR="00331144">
              <w:rPr>
                <w:sz w:val="20"/>
                <w:szCs w:val="20"/>
                <w:lang w:val="uk-UA"/>
              </w:rPr>
              <w:t xml:space="preserve"> </w:t>
            </w:r>
            <w:r w:rsidRPr="003C6DAE">
              <w:rPr>
                <w:sz w:val="20"/>
                <w:szCs w:val="20"/>
                <w:lang w:val="uk-UA"/>
              </w:rPr>
              <w:t>ампліфікаці</w:t>
            </w:r>
            <w:r w:rsidR="00331144">
              <w:rPr>
                <w:sz w:val="20"/>
                <w:szCs w:val="20"/>
                <w:lang w:val="uk-UA"/>
              </w:rPr>
              <w:t>ї</w:t>
            </w:r>
            <w:r w:rsidRPr="003C6DAE">
              <w:rPr>
                <w:sz w:val="20"/>
                <w:szCs w:val="20"/>
                <w:lang w:val="uk-UA"/>
              </w:rPr>
              <w:t xml:space="preserve"> нуклеїнових кислот</w:t>
            </w:r>
          </w:p>
        </w:tc>
      </w:tr>
      <w:tr w:rsidR="00E05B98" w:rsidRPr="00D029FF" w14:paraId="169B1E4C" w14:textId="77777777" w:rsidTr="00544DC9">
        <w:trPr>
          <w:trHeight w:val="1167"/>
        </w:trPr>
        <w:tc>
          <w:tcPr>
            <w:tcW w:w="1681" w:type="dxa"/>
            <w:tcBorders>
              <w:top w:val="single" w:sz="6" w:space="0" w:color="019648"/>
            </w:tcBorders>
          </w:tcPr>
          <w:p w14:paraId="0D3C67B7" w14:textId="3A652B81" w:rsidR="00E05B98" w:rsidRPr="005C3D3A" w:rsidRDefault="00D82162" w:rsidP="00994F51">
            <w:pPr>
              <w:pStyle w:val="TableParagraph"/>
              <w:tabs>
                <w:tab w:val="left" w:pos="9781"/>
              </w:tabs>
              <w:spacing w:before="75"/>
              <w:ind w:left="132"/>
              <w:rPr>
                <w:b/>
                <w:sz w:val="20"/>
                <w:szCs w:val="20"/>
                <w:lang w:val="uk-UA"/>
              </w:rPr>
            </w:pPr>
            <w:r w:rsidRPr="005C3D3A">
              <w:rPr>
                <w:b/>
                <w:spacing w:val="-2"/>
                <w:sz w:val="20"/>
                <w:szCs w:val="20"/>
                <w:lang w:val="uk-UA"/>
              </w:rPr>
              <w:t>Показник складності</w:t>
            </w:r>
          </w:p>
        </w:tc>
        <w:tc>
          <w:tcPr>
            <w:tcW w:w="1267" w:type="dxa"/>
            <w:tcBorders>
              <w:top w:val="single" w:sz="6" w:space="0" w:color="019648"/>
              <w:bottom w:val="single" w:sz="6" w:space="0" w:color="019648"/>
            </w:tcBorders>
          </w:tcPr>
          <w:p w14:paraId="61639B5D" w14:textId="54216E41" w:rsidR="00E05B98" w:rsidRPr="003C6DAE" w:rsidRDefault="004166BD" w:rsidP="00994F51">
            <w:pPr>
              <w:pStyle w:val="TableParagraph"/>
              <w:tabs>
                <w:tab w:val="left" w:pos="9781"/>
              </w:tabs>
              <w:ind w:left="-13"/>
              <w:rPr>
                <w:sz w:val="20"/>
                <w:szCs w:val="20"/>
                <w:lang w:val="uk-UA"/>
              </w:rPr>
            </w:pPr>
            <w:r w:rsidRPr="003C6DAE">
              <w:rPr>
                <w:spacing w:val="-2"/>
                <w:sz w:val="20"/>
                <w:szCs w:val="20"/>
                <w:lang w:val="uk-UA"/>
              </w:rPr>
              <w:t>Реагенти</w:t>
            </w:r>
          </w:p>
        </w:tc>
        <w:tc>
          <w:tcPr>
            <w:tcW w:w="6349" w:type="dxa"/>
            <w:tcBorders>
              <w:top w:val="single" w:sz="6" w:space="0" w:color="019648"/>
              <w:bottom w:val="single" w:sz="6" w:space="0" w:color="019648"/>
            </w:tcBorders>
          </w:tcPr>
          <w:p w14:paraId="454C2E5A" w14:textId="30C90225" w:rsidR="00E05B98" w:rsidRPr="003C6DAE" w:rsidRDefault="004166BD" w:rsidP="00994F51">
            <w:pPr>
              <w:pStyle w:val="TableParagraph"/>
              <w:tabs>
                <w:tab w:val="left" w:pos="9781"/>
              </w:tabs>
              <w:spacing w:line="249" w:lineRule="auto"/>
              <w:rPr>
                <w:sz w:val="20"/>
                <w:szCs w:val="20"/>
                <w:lang w:val="uk-UA"/>
              </w:rPr>
            </w:pPr>
            <w:r w:rsidRPr="003C6DAE">
              <w:rPr>
                <w:sz w:val="20"/>
                <w:szCs w:val="20"/>
                <w:lang w:val="uk-UA"/>
              </w:rPr>
              <w:t>Реагенти доступні в стандартизованих наборах і можуть мати температурні вимоги для зберігання. Зразок додається автоматично або вручну в одноразовий герметичний контейнер для тестування.</w:t>
            </w:r>
          </w:p>
        </w:tc>
      </w:tr>
      <w:tr w:rsidR="00E05B98" w:rsidRPr="00D029FF" w14:paraId="3790C255" w14:textId="77777777" w:rsidTr="00544DC9">
        <w:trPr>
          <w:trHeight w:val="907"/>
        </w:trPr>
        <w:tc>
          <w:tcPr>
            <w:tcW w:w="2947" w:type="dxa"/>
            <w:gridSpan w:val="2"/>
          </w:tcPr>
          <w:p w14:paraId="57E5F6CA" w14:textId="48CF2F79" w:rsidR="00E05B98" w:rsidRPr="003C6DAE" w:rsidRDefault="00D82162" w:rsidP="00994F51">
            <w:pPr>
              <w:pStyle w:val="TableParagraph"/>
              <w:tabs>
                <w:tab w:val="left" w:pos="9781"/>
              </w:tabs>
              <w:ind w:left="1535"/>
              <w:rPr>
                <w:sz w:val="20"/>
                <w:szCs w:val="20"/>
                <w:lang w:val="uk-UA"/>
              </w:rPr>
            </w:pPr>
            <w:r>
              <w:rPr>
                <w:spacing w:val="-2"/>
                <w:sz w:val="20"/>
                <w:szCs w:val="20"/>
                <w:lang w:val="uk-UA"/>
              </w:rPr>
              <w:t xml:space="preserve">  </w:t>
            </w:r>
            <w:r w:rsidR="004166BD" w:rsidRPr="003C6DAE">
              <w:rPr>
                <w:spacing w:val="-2"/>
                <w:sz w:val="20"/>
                <w:szCs w:val="20"/>
                <w:lang w:val="uk-UA"/>
              </w:rPr>
              <w:t>Навички</w:t>
            </w:r>
          </w:p>
        </w:tc>
        <w:tc>
          <w:tcPr>
            <w:tcW w:w="6349" w:type="dxa"/>
            <w:tcBorders>
              <w:top w:val="single" w:sz="6" w:space="0" w:color="019648"/>
              <w:bottom w:val="single" w:sz="6" w:space="0" w:color="019648"/>
            </w:tcBorders>
          </w:tcPr>
          <w:p w14:paraId="2C399187" w14:textId="431EB7C5" w:rsidR="00E05B98" w:rsidRPr="003C6DAE" w:rsidRDefault="004166BD" w:rsidP="00994F51">
            <w:pPr>
              <w:pStyle w:val="TableParagraph"/>
              <w:tabs>
                <w:tab w:val="left" w:pos="9781"/>
              </w:tabs>
              <w:spacing w:line="249" w:lineRule="auto"/>
              <w:rPr>
                <w:sz w:val="20"/>
                <w:szCs w:val="20"/>
                <w:lang w:val="uk-UA"/>
              </w:rPr>
            </w:pPr>
            <w:r w:rsidRPr="003C6DAE">
              <w:rPr>
                <w:sz w:val="20"/>
                <w:szCs w:val="20"/>
                <w:lang w:val="uk-UA"/>
              </w:rPr>
              <w:t>Середній рівень технічної підготовки (наприклад, кілька етапів роботи зі зразками або реактивами, може знадобитися точне піпетування, може виникнути потреба здійснення молекулярних робочих процесів)</w:t>
            </w:r>
          </w:p>
        </w:tc>
      </w:tr>
      <w:tr w:rsidR="00E05B98" w:rsidRPr="00D029FF" w14:paraId="7C89763A" w14:textId="77777777" w:rsidTr="00544DC9">
        <w:trPr>
          <w:trHeight w:val="647"/>
        </w:trPr>
        <w:tc>
          <w:tcPr>
            <w:tcW w:w="2947" w:type="dxa"/>
            <w:gridSpan w:val="2"/>
            <w:tcBorders>
              <w:top w:val="single" w:sz="6" w:space="0" w:color="019648"/>
            </w:tcBorders>
          </w:tcPr>
          <w:p w14:paraId="477C0BFF" w14:textId="0F33D550" w:rsidR="00E05B98" w:rsidRPr="003C6DAE" w:rsidRDefault="004166BD" w:rsidP="00994F51">
            <w:pPr>
              <w:pStyle w:val="TableParagraph"/>
              <w:tabs>
                <w:tab w:val="left" w:pos="9781"/>
              </w:tabs>
              <w:ind w:left="1535"/>
              <w:rPr>
                <w:sz w:val="20"/>
                <w:szCs w:val="20"/>
                <w:lang w:val="uk-UA"/>
              </w:rPr>
            </w:pPr>
            <w:r w:rsidRPr="003C6DAE">
              <w:rPr>
                <w:spacing w:val="-2"/>
                <w:w w:val="105"/>
                <w:sz w:val="20"/>
                <w:szCs w:val="20"/>
                <w:lang w:val="uk-UA"/>
              </w:rPr>
              <w:t>Піпетування</w:t>
            </w:r>
          </w:p>
        </w:tc>
        <w:tc>
          <w:tcPr>
            <w:tcW w:w="6349" w:type="dxa"/>
            <w:tcBorders>
              <w:top w:val="single" w:sz="6" w:space="0" w:color="019648"/>
              <w:bottom w:val="single" w:sz="6" w:space="0" w:color="019648"/>
            </w:tcBorders>
          </w:tcPr>
          <w:p w14:paraId="7CE51CA9" w14:textId="6E0EAAE1" w:rsidR="00E05B98" w:rsidRPr="003C6DAE" w:rsidRDefault="004166BD" w:rsidP="00994F51">
            <w:pPr>
              <w:pStyle w:val="TableParagraph"/>
              <w:tabs>
                <w:tab w:val="left" w:pos="9781"/>
              </w:tabs>
              <w:spacing w:line="249" w:lineRule="auto"/>
              <w:rPr>
                <w:sz w:val="20"/>
                <w:szCs w:val="20"/>
                <w:lang w:val="uk-UA"/>
              </w:rPr>
            </w:pPr>
            <w:r w:rsidRPr="003C6DAE">
              <w:rPr>
                <w:sz w:val="20"/>
                <w:szCs w:val="20"/>
                <w:lang w:val="uk-UA"/>
              </w:rPr>
              <w:t>Один або кілька неточних або точних етапів піпетування, що вимагаються за процедурою</w:t>
            </w:r>
          </w:p>
        </w:tc>
      </w:tr>
      <w:tr w:rsidR="00E05B98" w:rsidRPr="00D029FF" w14:paraId="6BFE8506" w14:textId="77777777" w:rsidTr="00544DC9">
        <w:trPr>
          <w:trHeight w:val="1942"/>
        </w:trPr>
        <w:tc>
          <w:tcPr>
            <w:tcW w:w="2947" w:type="dxa"/>
            <w:gridSpan w:val="2"/>
            <w:tcBorders>
              <w:top w:val="single" w:sz="6" w:space="0" w:color="019648"/>
              <w:bottom w:val="single" w:sz="6" w:space="0" w:color="019648"/>
            </w:tcBorders>
          </w:tcPr>
          <w:p w14:paraId="40899292" w14:textId="03492C31" w:rsidR="00E05B98" w:rsidRPr="003C6DAE" w:rsidRDefault="004166BD" w:rsidP="00994F51">
            <w:pPr>
              <w:pStyle w:val="TableParagraph"/>
              <w:tabs>
                <w:tab w:val="left" w:pos="9781"/>
              </w:tabs>
              <w:spacing w:line="249" w:lineRule="auto"/>
              <w:ind w:left="1535"/>
              <w:rPr>
                <w:sz w:val="20"/>
                <w:szCs w:val="20"/>
                <w:lang w:val="uk-UA"/>
              </w:rPr>
            </w:pPr>
            <w:r w:rsidRPr="003C6DAE">
              <w:rPr>
                <w:spacing w:val="-2"/>
                <w:sz w:val="20"/>
                <w:szCs w:val="20"/>
                <w:lang w:val="uk-UA"/>
              </w:rPr>
              <w:t>Процедура тестування</w:t>
            </w:r>
          </w:p>
        </w:tc>
        <w:tc>
          <w:tcPr>
            <w:tcW w:w="6349" w:type="dxa"/>
            <w:tcBorders>
              <w:top w:val="single" w:sz="6" w:space="0" w:color="019648"/>
              <w:bottom w:val="single" w:sz="6" w:space="0" w:color="019648"/>
            </w:tcBorders>
          </w:tcPr>
          <w:p w14:paraId="52D9E35B" w14:textId="7D0867EA" w:rsidR="00544DC9" w:rsidRPr="003C6DAE" w:rsidRDefault="00544DC9" w:rsidP="00544DC9">
            <w:pPr>
              <w:pStyle w:val="TableParagraph"/>
              <w:tabs>
                <w:tab w:val="left" w:pos="9781"/>
              </w:tabs>
              <w:spacing w:line="249" w:lineRule="auto"/>
              <w:rPr>
                <w:w w:val="105"/>
                <w:sz w:val="20"/>
                <w:szCs w:val="20"/>
                <w:lang w:val="uk-UA"/>
              </w:rPr>
            </w:pPr>
            <w:r w:rsidRPr="003C6DAE">
              <w:rPr>
                <w:w w:val="105"/>
                <w:sz w:val="20"/>
                <w:szCs w:val="20"/>
                <w:lang w:val="uk-UA"/>
              </w:rPr>
              <w:t>Може вимагати кількох етапів обробки зразка перед перенесенням зразка в герметичний контейнер для автоматизованої обробки.</w:t>
            </w:r>
          </w:p>
          <w:p w14:paraId="77626DE5" w14:textId="77777777" w:rsidR="00544DC9" w:rsidRPr="003C6DAE" w:rsidRDefault="00544DC9" w:rsidP="00544DC9">
            <w:pPr>
              <w:pStyle w:val="TableParagraph"/>
              <w:tabs>
                <w:tab w:val="left" w:pos="9781"/>
              </w:tabs>
              <w:spacing w:line="249" w:lineRule="auto"/>
              <w:rPr>
                <w:w w:val="105"/>
                <w:sz w:val="20"/>
                <w:szCs w:val="20"/>
                <w:lang w:val="uk-UA"/>
              </w:rPr>
            </w:pPr>
            <w:r w:rsidRPr="003C6DAE">
              <w:rPr>
                <w:w w:val="105"/>
                <w:sz w:val="20"/>
                <w:szCs w:val="20"/>
                <w:lang w:val="uk-UA"/>
              </w:rPr>
              <w:t>Автоматизоване або ручне виділення ДНК. Автоматизована ПЛР в реальному часі</w:t>
            </w:r>
          </w:p>
          <w:p w14:paraId="6EE1EAED" w14:textId="53802D9B" w:rsidR="00E05B98" w:rsidRPr="003C6DAE" w:rsidRDefault="00544DC9" w:rsidP="00544DC9">
            <w:pPr>
              <w:pStyle w:val="TableParagraph"/>
              <w:tabs>
                <w:tab w:val="left" w:pos="9781"/>
              </w:tabs>
              <w:spacing w:line="249" w:lineRule="auto"/>
              <w:rPr>
                <w:w w:val="105"/>
                <w:sz w:val="20"/>
                <w:szCs w:val="20"/>
                <w:lang w:val="uk-UA"/>
              </w:rPr>
            </w:pPr>
            <w:r w:rsidRPr="003C6DAE">
              <w:rPr>
                <w:w w:val="105"/>
                <w:sz w:val="20"/>
                <w:szCs w:val="20"/>
                <w:lang w:val="uk-UA"/>
              </w:rPr>
              <w:t>Генерація результатів</w:t>
            </w:r>
          </w:p>
        </w:tc>
      </w:tr>
      <w:tr w:rsidR="00E05B98" w:rsidRPr="003C6DAE" w14:paraId="3D07634F" w14:textId="77777777" w:rsidTr="00544DC9">
        <w:trPr>
          <w:trHeight w:val="647"/>
        </w:trPr>
        <w:tc>
          <w:tcPr>
            <w:tcW w:w="2947" w:type="dxa"/>
            <w:gridSpan w:val="2"/>
            <w:tcBorders>
              <w:top w:val="single" w:sz="6" w:space="0" w:color="019648"/>
              <w:bottom w:val="single" w:sz="6" w:space="0" w:color="019648"/>
            </w:tcBorders>
          </w:tcPr>
          <w:p w14:paraId="1E422BFF" w14:textId="4DF40599" w:rsidR="00E05B98" w:rsidRPr="003C6DAE" w:rsidRDefault="00544DC9" w:rsidP="00994F51">
            <w:pPr>
              <w:pStyle w:val="TableParagraph"/>
              <w:tabs>
                <w:tab w:val="left" w:pos="9781"/>
              </w:tabs>
              <w:spacing w:before="75" w:line="247" w:lineRule="auto"/>
              <w:ind w:left="132"/>
              <w:rPr>
                <w:b/>
                <w:sz w:val="20"/>
                <w:szCs w:val="20"/>
                <w:lang w:val="uk-UA"/>
              </w:rPr>
            </w:pPr>
            <w:r w:rsidRPr="003C6DAE">
              <w:rPr>
                <w:b/>
                <w:sz w:val="20"/>
                <w:szCs w:val="20"/>
                <w:lang w:val="uk-UA"/>
              </w:rPr>
              <w:t>Тип представлення даних  про результати тестування</w:t>
            </w:r>
          </w:p>
        </w:tc>
        <w:tc>
          <w:tcPr>
            <w:tcW w:w="6349" w:type="dxa"/>
            <w:tcBorders>
              <w:top w:val="single" w:sz="6" w:space="0" w:color="019648"/>
              <w:bottom w:val="single" w:sz="6" w:space="0" w:color="019648"/>
            </w:tcBorders>
          </w:tcPr>
          <w:p w14:paraId="6B9E9001" w14:textId="5FED7460" w:rsidR="00E05B98" w:rsidRPr="003C6DAE" w:rsidRDefault="00544DC9" w:rsidP="00994F51">
            <w:pPr>
              <w:pStyle w:val="TableParagraph"/>
              <w:tabs>
                <w:tab w:val="left" w:pos="9781"/>
              </w:tabs>
              <w:rPr>
                <w:sz w:val="20"/>
                <w:szCs w:val="20"/>
                <w:lang w:val="uk-UA"/>
              </w:rPr>
            </w:pPr>
            <w:r w:rsidRPr="003C6DAE">
              <w:rPr>
                <w:spacing w:val="-2"/>
                <w:w w:val="105"/>
                <w:sz w:val="20"/>
                <w:szCs w:val="20"/>
                <w:lang w:val="uk-UA"/>
              </w:rPr>
              <w:t>Автоматично</w:t>
            </w:r>
          </w:p>
        </w:tc>
      </w:tr>
      <w:tr w:rsidR="00E05B98" w:rsidRPr="00D029FF" w14:paraId="05E0DCA7" w14:textId="77777777" w:rsidTr="00544DC9">
        <w:trPr>
          <w:trHeight w:val="387"/>
        </w:trPr>
        <w:tc>
          <w:tcPr>
            <w:tcW w:w="1681" w:type="dxa"/>
            <w:tcBorders>
              <w:top w:val="single" w:sz="6" w:space="0" w:color="019648"/>
              <w:bottom w:val="single" w:sz="6" w:space="0" w:color="019648"/>
            </w:tcBorders>
          </w:tcPr>
          <w:p w14:paraId="5F79ABBC" w14:textId="03555A58" w:rsidR="00E05B98" w:rsidRPr="003C6DAE" w:rsidRDefault="00544DC9" w:rsidP="00994F51">
            <w:pPr>
              <w:pStyle w:val="TableParagraph"/>
              <w:tabs>
                <w:tab w:val="left" w:pos="9781"/>
              </w:tabs>
              <w:spacing w:before="75"/>
              <w:ind w:left="132"/>
              <w:rPr>
                <w:b/>
                <w:sz w:val="20"/>
                <w:szCs w:val="20"/>
                <w:lang w:val="uk-UA"/>
              </w:rPr>
            </w:pPr>
            <w:r w:rsidRPr="003C6DAE">
              <w:rPr>
                <w:b/>
                <w:sz w:val="20"/>
                <w:szCs w:val="20"/>
                <w:lang w:val="uk-UA"/>
              </w:rPr>
              <w:t xml:space="preserve">Заклад, в якому використовують тест </w:t>
            </w:r>
          </w:p>
        </w:tc>
        <w:tc>
          <w:tcPr>
            <w:tcW w:w="1267" w:type="dxa"/>
            <w:tcBorders>
              <w:top w:val="single" w:sz="6" w:space="0" w:color="019648"/>
              <w:bottom w:val="single" w:sz="6" w:space="0" w:color="019648"/>
            </w:tcBorders>
          </w:tcPr>
          <w:p w14:paraId="59BE2390" w14:textId="77777777" w:rsidR="00E05B98" w:rsidRPr="003C6DAE" w:rsidRDefault="00E05B98" w:rsidP="00994F51">
            <w:pPr>
              <w:pStyle w:val="TableParagraph"/>
              <w:tabs>
                <w:tab w:val="left" w:pos="9781"/>
              </w:tabs>
              <w:spacing w:before="0"/>
              <w:ind w:left="0"/>
              <w:rPr>
                <w:sz w:val="20"/>
                <w:szCs w:val="20"/>
                <w:lang w:val="uk-UA"/>
              </w:rPr>
            </w:pPr>
          </w:p>
        </w:tc>
        <w:tc>
          <w:tcPr>
            <w:tcW w:w="6349" w:type="dxa"/>
            <w:tcBorders>
              <w:top w:val="single" w:sz="6" w:space="0" w:color="019648"/>
              <w:bottom w:val="single" w:sz="6" w:space="0" w:color="019648"/>
            </w:tcBorders>
          </w:tcPr>
          <w:p w14:paraId="6E67241A" w14:textId="2411E485" w:rsidR="00E05B98" w:rsidRPr="003C6DAE" w:rsidRDefault="00544DC9" w:rsidP="00994F51">
            <w:pPr>
              <w:pStyle w:val="TableParagraph"/>
              <w:tabs>
                <w:tab w:val="left" w:pos="9781"/>
              </w:tabs>
              <w:rPr>
                <w:sz w:val="20"/>
                <w:szCs w:val="20"/>
                <w:lang w:val="uk-UA"/>
              </w:rPr>
            </w:pPr>
            <w:r w:rsidRPr="003C6DAE">
              <w:rPr>
                <w:sz w:val="20"/>
                <w:szCs w:val="20"/>
                <w:lang w:val="uk-UA"/>
              </w:rPr>
              <w:t>Лабораторія (може виникнути необхідність наявності спеціальної інфраструктури)</w:t>
            </w:r>
          </w:p>
        </w:tc>
      </w:tr>
      <w:bookmarkEnd w:id="46"/>
    </w:tbl>
    <w:p w14:paraId="1E7DB907" w14:textId="77777777" w:rsidR="00E05B98" w:rsidRPr="003C6DAE" w:rsidRDefault="00E05B98" w:rsidP="00994F51">
      <w:pPr>
        <w:pStyle w:val="TableParagraph"/>
        <w:tabs>
          <w:tab w:val="left" w:pos="9781"/>
        </w:tabs>
        <w:rPr>
          <w:sz w:val="20"/>
          <w:szCs w:val="20"/>
          <w:lang w:val="uk-UA"/>
        </w:rPr>
        <w:sectPr w:rsidR="00E05B98" w:rsidRPr="003C6DAE" w:rsidSect="00994F51">
          <w:pgSz w:w="11910" w:h="16840"/>
          <w:pgMar w:top="1320" w:right="995" w:bottom="760" w:left="850" w:header="0" w:footer="573" w:gutter="0"/>
          <w:cols w:space="720"/>
        </w:sectPr>
      </w:pPr>
    </w:p>
    <w:p w14:paraId="58300A86" w14:textId="759B57F7" w:rsidR="00E05B98" w:rsidRPr="00331144" w:rsidRDefault="00544DC9">
      <w:pPr>
        <w:pStyle w:val="5"/>
        <w:spacing w:before="45"/>
        <w:rPr>
          <w:sz w:val="26"/>
          <w:szCs w:val="26"/>
          <w:lang w:val="uk-UA"/>
        </w:rPr>
      </w:pPr>
      <w:r w:rsidRPr="00331144">
        <w:rPr>
          <w:color w:val="019648"/>
          <w:spacing w:val="-2"/>
          <w:w w:val="110"/>
          <w:sz w:val="26"/>
          <w:szCs w:val="26"/>
          <w:lang w:val="uk-UA"/>
        </w:rPr>
        <w:lastRenderedPageBreak/>
        <w:t>Рекомендація</w:t>
      </w:r>
    </w:p>
    <w:p w14:paraId="46108D5F" w14:textId="77777777" w:rsidR="00E05B98" w:rsidRPr="003C6DAE" w:rsidRDefault="00E05B98">
      <w:pPr>
        <w:pStyle w:val="a3"/>
        <w:spacing w:before="10"/>
        <w:rPr>
          <w:sz w:val="16"/>
          <w:lang w:val="uk-UA"/>
        </w:rPr>
      </w:pPr>
    </w:p>
    <w:tbl>
      <w:tblPr>
        <w:tblStyle w:val="TableNormal"/>
        <w:tblW w:w="9475" w:type="dxa"/>
        <w:tblInd w:w="58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475"/>
      </w:tblGrid>
      <w:tr w:rsidR="00E05B98" w:rsidRPr="00D029FF" w14:paraId="7481CDAE" w14:textId="77777777" w:rsidTr="00331144">
        <w:trPr>
          <w:trHeight w:val="1703"/>
        </w:trPr>
        <w:tc>
          <w:tcPr>
            <w:tcW w:w="9475" w:type="dxa"/>
          </w:tcPr>
          <w:p w14:paraId="040C556D" w14:textId="5FCC210E" w:rsidR="00E05B98" w:rsidRPr="003C6DAE" w:rsidRDefault="00B01E0C" w:rsidP="00331144">
            <w:pPr>
              <w:pStyle w:val="TableParagraph"/>
              <w:spacing w:before="245" w:line="295" w:lineRule="auto"/>
              <w:ind w:left="680" w:right="274" w:hanging="397"/>
              <w:jc w:val="both"/>
              <w:rPr>
                <w:rFonts w:ascii="Arial"/>
                <w:b/>
                <w:sz w:val="20"/>
                <w:szCs w:val="20"/>
                <w:lang w:val="uk-UA"/>
              </w:rPr>
            </w:pPr>
            <w:r w:rsidRPr="003C6DAE">
              <w:rPr>
                <w:rFonts w:ascii="Arial"/>
                <w:b/>
                <w:sz w:val="20"/>
                <w:szCs w:val="20"/>
                <w:lang w:val="uk-UA"/>
              </w:rPr>
              <w:t>5.</w:t>
            </w:r>
            <w:r w:rsidRPr="003C6DAE">
              <w:rPr>
                <w:rFonts w:ascii="Arial"/>
                <w:b/>
                <w:spacing w:val="80"/>
                <w:sz w:val="20"/>
                <w:szCs w:val="20"/>
                <w:lang w:val="uk-UA"/>
              </w:rPr>
              <w:t xml:space="preserve"> </w:t>
            </w:r>
            <w:r w:rsidR="00544DC9" w:rsidRPr="003C6DAE">
              <w:rPr>
                <w:rFonts w:ascii="Arial"/>
                <w:b/>
                <w:sz w:val="20"/>
                <w:szCs w:val="20"/>
                <w:lang w:val="uk-UA"/>
              </w:rPr>
              <w:t>У</w:t>
            </w:r>
            <w:r w:rsidR="00544DC9" w:rsidRPr="003C6DAE">
              <w:rPr>
                <w:rFonts w:ascii="Arial"/>
                <w:b/>
                <w:sz w:val="20"/>
                <w:szCs w:val="20"/>
                <w:lang w:val="uk-UA"/>
              </w:rPr>
              <w:t xml:space="preserve"> </w:t>
            </w:r>
            <w:r w:rsidR="00544DC9" w:rsidRPr="003C6DAE">
              <w:rPr>
                <w:rFonts w:ascii="Arial"/>
                <w:b/>
                <w:sz w:val="20"/>
                <w:szCs w:val="20"/>
                <w:lang w:val="uk-UA"/>
              </w:rPr>
              <w:t>людей</w:t>
            </w:r>
            <w:r w:rsidR="00544DC9" w:rsidRPr="003C6DAE">
              <w:rPr>
                <w:rFonts w:ascii="Arial"/>
                <w:b/>
                <w:sz w:val="20"/>
                <w:szCs w:val="20"/>
                <w:lang w:val="uk-UA"/>
              </w:rPr>
              <w:t xml:space="preserve"> </w:t>
            </w:r>
            <w:r w:rsidR="00544DC9" w:rsidRPr="003C6DAE">
              <w:rPr>
                <w:rFonts w:ascii="Arial"/>
                <w:b/>
                <w:sz w:val="20"/>
                <w:szCs w:val="20"/>
                <w:lang w:val="uk-UA"/>
              </w:rPr>
              <w:t>з</w:t>
            </w:r>
            <w:r w:rsidR="00544DC9" w:rsidRPr="003C6DAE">
              <w:rPr>
                <w:rFonts w:ascii="Arial"/>
                <w:b/>
                <w:sz w:val="20"/>
                <w:szCs w:val="20"/>
                <w:lang w:val="uk-UA"/>
              </w:rPr>
              <w:t xml:space="preserve"> </w:t>
            </w:r>
            <w:r w:rsidR="00544DC9" w:rsidRPr="003C6DAE">
              <w:rPr>
                <w:rFonts w:ascii="Arial"/>
                <w:b/>
                <w:sz w:val="20"/>
                <w:szCs w:val="20"/>
                <w:lang w:val="uk-UA"/>
              </w:rPr>
              <w:t>ознаками</w:t>
            </w:r>
            <w:r w:rsidR="00544DC9" w:rsidRPr="003C6DAE">
              <w:rPr>
                <w:rFonts w:ascii="Arial"/>
                <w:b/>
                <w:sz w:val="20"/>
                <w:szCs w:val="20"/>
                <w:lang w:val="uk-UA"/>
              </w:rPr>
              <w:t xml:space="preserve"> </w:t>
            </w:r>
            <w:r w:rsidR="00544DC9" w:rsidRPr="003C6DAE">
              <w:rPr>
                <w:rFonts w:ascii="Arial"/>
                <w:b/>
                <w:sz w:val="20"/>
                <w:szCs w:val="20"/>
                <w:lang w:val="uk-UA"/>
              </w:rPr>
              <w:t>та</w:t>
            </w:r>
            <w:r w:rsidR="00544DC9" w:rsidRPr="003C6DAE">
              <w:rPr>
                <w:rFonts w:ascii="Arial"/>
                <w:b/>
                <w:sz w:val="20"/>
                <w:szCs w:val="20"/>
                <w:lang w:val="uk-UA"/>
              </w:rPr>
              <w:t xml:space="preserve"> </w:t>
            </w:r>
            <w:r w:rsidR="00544DC9" w:rsidRPr="003C6DAE">
              <w:rPr>
                <w:rFonts w:ascii="Arial"/>
                <w:b/>
                <w:sz w:val="20"/>
                <w:szCs w:val="20"/>
                <w:lang w:val="uk-UA"/>
              </w:rPr>
              <w:t>симптомами</w:t>
            </w:r>
            <w:r w:rsidR="00544DC9" w:rsidRPr="003C6DAE">
              <w:rPr>
                <w:rFonts w:ascii="Arial"/>
                <w:b/>
                <w:sz w:val="20"/>
                <w:szCs w:val="20"/>
                <w:lang w:val="uk-UA"/>
              </w:rPr>
              <w:t xml:space="preserve"> </w:t>
            </w:r>
            <w:r w:rsidR="00544DC9" w:rsidRPr="003C6DAE">
              <w:rPr>
                <w:rFonts w:ascii="Arial"/>
                <w:b/>
                <w:sz w:val="20"/>
                <w:szCs w:val="20"/>
                <w:lang w:val="uk-UA"/>
              </w:rPr>
              <w:t>легеневого</w:t>
            </w:r>
            <w:r w:rsidR="00544DC9" w:rsidRPr="003C6DAE">
              <w:rPr>
                <w:rFonts w:ascii="Arial"/>
                <w:b/>
                <w:sz w:val="20"/>
                <w:szCs w:val="20"/>
                <w:lang w:val="uk-UA"/>
              </w:rPr>
              <w:t xml:space="preserve"> </w:t>
            </w:r>
            <w:r w:rsidR="00544DC9" w:rsidRPr="003C6DAE">
              <w:rPr>
                <w:rFonts w:ascii="Arial"/>
                <w:b/>
                <w:sz w:val="20"/>
                <w:szCs w:val="20"/>
                <w:lang w:val="uk-UA"/>
              </w:rPr>
              <w:t>туберкульозу</w:t>
            </w:r>
            <w:r w:rsidR="00544DC9" w:rsidRPr="003C6DAE">
              <w:rPr>
                <w:rFonts w:ascii="Arial"/>
                <w:b/>
                <w:sz w:val="20"/>
                <w:szCs w:val="20"/>
                <w:lang w:val="uk-UA"/>
              </w:rPr>
              <w:t xml:space="preserve"> </w:t>
            </w:r>
            <w:r w:rsidR="00544DC9" w:rsidRPr="003C6DAE">
              <w:rPr>
                <w:rFonts w:ascii="Arial"/>
                <w:b/>
                <w:sz w:val="20"/>
                <w:szCs w:val="20"/>
                <w:lang w:val="uk-UA"/>
              </w:rPr>
              <w:t>можна</w:t>
            </w:r>
            <w:r w:rsidR="00544DC9" w:rsidRPr="003C6DAE">
              <w:rPr>
                <w:rFonts w:ascii="Arial"/>
                <w:b/>
                <w:sz w:val="20"/>
                <w:szCs w:val="20"/>
                <w:lang w:val="uk-UA"/>
              </w:rPr>
              <w:t xml:space="preserve"> </w:t>
            </w:r>
            <w:r w:rsidR="00544DC9" w:rsidRPr="003C6DAE">
              <w:rPr>
                <w:rFonts w:ascii="Arial"/>
                <w:b/>
                <w:sz w:val="20"/>
                <w:szCs w:val="20"/>
                <w:lang w:val="uk-UA"/>
              </w:rPr>
              <w:t>використовувати</w:t>
            </w:r>
            <w:r w:rsidR="00544DC9" w:rsidRPr="003C6DAE">
              <w:rPr>
                <w:rFonts w:ascii="Arial"/>
                <w:b/>
                <w:sz w:val="20"/>
                <w:szCs w:val="20"/>
                <w:lang w:val="uk-UA"/>
              </w:rPr>
              <w:t xml:space="preserve"> </w:t>
            </w:r>
            <w:r w:rsidR="00544DC9" w:rsidRPr="003C6DAE">
              <w:rPr>
                <w:rFonts w:ascii="Arial"/>
                <w:b/>
                <w:sz w:val="20"/>
                <w:szCs w:val="20"/>
                <w:lang w:val="uk-UA"/>
              </w:rPr>
              <w:t>автоматизовані</w:t>
            </w:r>
            <w:r w:rsidR="00544DC9" w:rsidRPr="003C6DAE">
              <w:rPr>
                <w:rFonts w:ascii="Arial"/>
                <w:b/>
                <w:sz w:val="20"/>
                <w:szCs w:val="20"/>
                <w:lang w:val="uk-UA"/>
              </w:rPr>
              <w:t xml:space="preserve"> </w:t>
            </w:r>
            <w:r w:rsidR="00544DC9" w:rsidRPr="003C6DAE">
              <w:rPr>
                <w:rFonts w:ascii="Arial"/>
                <w:b/>
                <w:sz w:val="20"/>
                <w:szCs w:val="20"/>
                <w:lang w:val="uk-UA"/>
              </w:rPr>
              <w:t>ТАНК</w:t>
            </w:r>
            <w:r w:rsidR="00544DC9" w:rsidRPr="003C6DAE">
              <w:rPr>
                <w:rFonts w:ascii="Arial"/>
                <w:b/>
                <w:sz w:val="20"/>
                <w:szCs w:val="20"/>
                <w:lang w:val="uk-UA"/>
              </w:rPr>
              <w:t xml:space="preserve"> </w:t>
            </w:r>
            <w:r w:rsidR="00544DC9" w:rsidRPr="003C6DAE">
              <w:rPr>
                <w:rFonts w:ascii="Arial"/>
                <w:b/>
                <w:sz w:val="20"/>
                <w:szCs w:val="20"/>
                <w:lang w:val="uk-UA"/>
              </w:rPr>
              <w:t>помірної</w:t>
            </w:r>
            <w:r w:rsidR="00544DC9" w:rsidRPr="003C6DAE">
              <w:rPr>
                <w:rFonts w:ascii="Arial"/>
                <w:b/>
                <w:sz w:val="20"/>
                <w:szCs w:val="20"/>
                <w:lang w:val="uk-UA"/>
              </w:rPr>
              <w:t xml:space="preserve"> </w:t>
            </w:r>
            <w:r w:rsidR="00544DC9" w:rsidRPr="003C6DAE">
              <w:rPr>
                <w:rFonts w:ascii="Arial"/>
                <w:b/>
                <w:sz w:val="20"/>
                <w:szCs w:val="20"/>
                <w:lang w:val="uk-UA"/>
              </w:rPr>
              <w:t>складності</w:t>
            </w:r>
            <w:r w:rsidR="00544DC9" w:rsidRPr="003C6DAE">
              <w:rPr>
                <w:rFonts w:ascii="Arial"/>
                <w:b/>
                <w:sz w:val="20"/>
                <w:szCs w:val="20"/>
                <w:lang w:val="uk-UA"/>
              </w:rPr>
              <w:t xml:space="preserve"> </w:t>
            </w:r>
            <w:r w:rsidR="00544DC9" w:rsidRPr="003C6DAE">
              <w:rPr>
                <w:rFonts w:ascii="Arial"/>
                <w:b/>
                <w:sz w:val="20"/>
                <w:szCs w:val="20"/>
                <w:lang w:val="uk-UA"/>
              </w:rPr>
              <w:t>при</w:t>
            </w:r>
            <w:r w:rsidR="00544DC9" w:rsidRPr="003C6DAE">
              <w:rPr>
                <w:rFonts w:ascii="Arial"/>
                <w:b/>
                <w:sz w:val="20"/>
                <w:szCs w:val="20"/>
                <w:lang w:val="uk-UA"/>
              </w:rPr>
              <w:t xml:space="preserve"> </w:t>
            </w:r>
            <w:r w:rsidR="00544DC9" w:rsidRPr="003C6DAE">
              <w:rPr>
                <w:rFonts w:ascii="Arial"/>
                <w:b/>
                <w:sz w:val="20"/>
                <w:szCs w:val="20"/>
                <w:lang w:val="uk-UA"/>
              </w:rPr>
              <w:t>дослідженні</w:t>
            </w:r>
            <w:r w:rsidR="00544DC9" w:rsidRPr="003C6DAE">
              <w:rPr>
                <w:rFonts w:ascii="Arial"/>
                <w:b/>
                <w:sz w:val="20"/>
                <w:szCs w:val="20"/>
                <w:lang w:val="uk-UA"/>
              </w:rPr>
              <w:t xml:space="preserve"> </w:t>
            </w:r>
            <w:r w:rsidR="00544DC9" w:rsidRPr="003C6DAE">
              <w:rPr>
                <w:rFonts w:ascii="Arial"/>
                <w:b/>
                <w:sz w:val="20"/>
                <w:szCs w:val="20"/>
                <w:lang w:val="uk-UA"/>
              </w:rPr>
              <w:t>зразків</w:t>
            </w:r>
            <w:r w:rsidR="00544DC9" w:rsidRPr="003C6DAE">
              <w:rPr>
                <w:rFonts w:ascii="Arial"/>
                <w:b/>
                <w:sz w:val="20"/>
                <w:szCs w:val="20"/>
                <w:lang w:val="uk-UA"/>
              </w:rPr>
              <w:t xml:space="preserve"> </w:t>
            </w:r>
            <w:r w:rsidR="00544DC9" w:rsidRPr="003C6DAE">
              <w:rPr>
                <w:rFonts w:ascii="Arial"/>
                <w:b/>
                <w:sz w:val="20"/>
                <w:szCs w:val="20"/>
                <w:lang w:val="uk-UA"/>
              </w:rPr>
              <w:t>із</w:t>
            </w:r>
            <w:r w:rsidR="00544DC9" w:rsidRPr="003C6DAE">
              <w:rPr>
                <w:rFonts w:ascii="Arial"/>
                <w:b/>
                <w:sz w:val="20"/>
                <w:szCs w:val="20"/>
                <w:lang w:val="uk-UA"/>
              </w:rPr>
              <w:t xml:space="preserve"> </w:t>
            </w:r>
            <w:r w:rsidR="00544DC9" w:rsidRPr="003C6DAE">
              <w:rPr>
                <w:rFonts w:ascii="Arial"/>
                <w:b/>
                <w:sz w:val="20"/>
                <w:szCs w:val="20"/>
                <w:lang w:val="uk-UA"/>
              </w:rPr>
              <w:t>дихальних</w:t>
            </w:r>
            <w:r w:rsidR="00544DC9" w:rsidRPr="003C6DAE">
              <w:rPr>
                <w:rFonts w:ascii="Arial"/>
                <w:b/>
                <w:sz w:val="20"/>
                <w:szCs w:val="20"/>
                <w:lang w:val="uk-UA"/>
              </w:rPr>
              <w:t xml:space="preserve"> </w:t>
            </w:r>
            <w:r w:rsidR="00544DC9" w:rsidRPr="003C6DAE">
              <w:rPr>
                <w:rFonts w:ascii="Arial"/>
                <w:b/>
                <w:sz w:val="20"/>
                <w:szCs w:val="20"/>
                <w:lang w:val="uk-UA"/>
              </w:rPr>
              <w:t>шляхів</w:t>
            </w:r>
            <w:r w:rsidR="00544DC9" w:rsidRPr="003C6DAE">
              <w:rPr>
                <w:rFonts w:ascii="Arial"/>
                <w:b/>
                <w:sz w:val="20"/>
                <w:szCs w:val="20"/>
                <w:lang w:val="uk-UA"/>
              </w:rPr>
              <w:t xml:space="preserve"> </w:t>
            </w:r>
            <w:r w:rsidR="00544DC9" w:rsidRPr="003C6DAE">
              <w:rPr>
                <w:rFonts w:ascii="Arial"/>
                <w:b/>
                <w:sz w:val="20"/>
                <w:szCs w:val="20"/>
                <w:lang w:val="uk-UA"/>
              </w:rPr>
              <w:t>для</w:t>
            </w:r>
            <w:r w:rsidR="00544DC9" w:rsidRPr="003C6DAE">
              <w:rPr>
                <w:rFonts w:ascii="Arial"/>
                <w:b/>
                <w:sz w:val="20"/>
                <w:szCs w:val="20"/>
                <w:lang w:val="uk-UA"/>
              </w:rPr>
              <w:t xml:space="preserve"> </w:t>
            </w:r>
            <w:r w:rsidR="00544DC9" w:rsidRPr="003C6DAE">
              <w:rPr>
                <w:rFonts w:ascii="Arial"/>
                <w:b/>
                <w:sz w:val="20"/>
                <w:szCs w:val="20"/>
                <w:lang w:val="uk-UA"/>
              </w:rPr>
              <w:t>виявлення</w:t>
            </w:r>
            <w:r w:rsidR="00544DC9" w:rsidRPr="003C6DAE">
              <w:rPr>
                <w:rFonts w:ascii="Arial"/>
                <w:b/>
                <w:sz w:val="20"/>
                <w:szCs w:val="20"/>
                <w:lang w:val="uk-UA"/>
              </w:rPr>
              <w:t xml:space="preserve"> </w:t>
            </w:r>
            <w:r w:rsidR="00544DC9" w:rsidRPr="003C6DAE">
              <w:rPr>
                <w:rFonts w:ascii="Arial"/>
                <w:b/>
                <w:sz w:val="20"/>
                <w:szCs w:val="20"/>
                <w:lang w:val="uk-UA"/>
              </w:rPr>
              <w:t>легеневого</w:t>
            </w:r>
            <w:r w:rsidR="00544DC9" w:rsidRPr="003C6DAE">
              <w:rPr>
                <w:rFonts w:ascii="Arial"/>
                <w:b/>
                <w:sz w:val="20"/>
                <w:szCs w:val="20"/>
                <w:lang w:val="uk-UA"/>
              </w:rPr>
              <w:t xml:space="preserve"> </w:t>
            </w:r>
            <w:r w:rsidR="00544DC9" w:rsidRPr="003C6DAE">
              <w:rPr>
                <w:rFonts w:ascii="Arial"/>
                <w:b/>
                <w:sz w:val="20"/>
                <w:szCs w:val="20"/>
                <w:lang w:val="uk-UA"/>
              </w:rPr>
              <w:t>ТБ</w:t>
            </w:r>
            <w:r w:rsidR="00544DC9" w:rsidRPr="003C6DAE">
              <w:rPr>
                <w:rFonts w:ascii="Arial"/>
                <w:b/>
                <w:sz w:val="20"/>
                <w:szCs w:val="20"/>
                <w:lang w:val="uk-UA"/>
              </w:rPr>
              <w:t xml:space="preserve">, </w:t>
            </w:r>
            <w:r w:rsidR="00544DC9" w:rsidRPr="003C6DAE">
              <w:rPr>
                <w:rFonts w:ascii="Arial"/>
                <w:b/>
                <w:sz w:val="20"/>
                <w:szCs w:val="20"/>
                <w:lang w:val="uk-UA"/>
              </w:rPr>
              <w:t>а</w:t>
            </w:r>
            <w:r w:rsidR="00544DC9" w:rsidRPr="003C6DAE">
              <w:rPr>
                <w:rFonts w:ascii="Arial"/>
                <w:b/>
                <w:sz w:val="20"/>
                <w:szCs w:val="20"/>
                <w:lang w:val="uk-UA"/>
              </w:rPr>
              <w:t xml:space="preserve"> </w:t>
            </w:r>
            <w:r w:rsidR="00544DC9" w:rsidRPr="003C6DAE">
              <w:rPr>
                <w:rFonts w:ascii="Arial"/>
                <w:b/>
                <w:sz w:val="20"/>
                <w:szCs w:val="20"/>
                <w:lang w:val="uk-UA"/>
              </w:rPr>
              <w:t>також</w:t>
            </w:r>
            <w:r w:rsidR="00544DC9" w:rsidRPr="003C6DAE">
              <w:rPr>
                <w:rFonts w:ascii="Arial"/>
                <w:b/>
                <w:sz w:val="20"/>
                <w:szCs w:val="20"/>
                <w:lang w:val="uk-UA"/>
              </w:rPr>
              <w:t xml:space="preserve"> </w:t>
            </w:r>
            <w:r w:rsidR="00544DC9" w:rsidRPr="003C6DAE">
              <w:rPr>
                <w:rFonts w:ascii="Arial"/>
                <w:b/>
                <w:sz w:val="20"/>
                <w:szCs w:val="20"/>
                <w:lang w:val="uk-UA"/>
              </w:rPr>
              <w:t>стійкості</w:t>
            </w:r>
            <w:r w:rsidR="00544DC9" w:rsidRPr="003C6DAE">
              <w:rPr>
                <w:rFonts w:ascii="Arial"/>
                <w:b/>
                <w:sz w:val="20"/>
                <w:szCs w:val="20"/>
                <w:lang w:val="uk-UA"/>
              </w:rPr>
              <w:t xml:space="preserve"> </w:t>
            </w:r>
            <w:r w:rsidR="00544DC9" w:rsidRPr="003C6DAE">
              <w:rPr>
                <w:rFonts w:ascii="Arial"/>
                <w:b/>
                <w:sz w:val="20"/>
                <w:szCs w:val="20"/>
                <w:lang w:val="uk-UA"/>
              </w:rPr>
              <w:t>до</w:t>
            </w:r>
            <w:r w:rsidR="00544DC9" w:rsidRPr="003C6DAE">
              <w:rPr>
                <w:rFonts w:ascii="Arial"/>
                <w:b/>
                <w:sz w:val="20"/>
                <w:szCs w:val="20"/>
                <w:lang w:val="uk-UA"/>
              </w:rPr>
              <w:t xml:space="preserve"> </w:t>
            </w:r>
            <w:r w:rsidR="00544DC9" w:rsidRPr="003C6DAE">
              <w:rPr>
                <w:rFonts w:ascii="Arial"/>
                <w:b/>
                <w:sz w:val="20"/>
                <w:szCs w:val="20"/>
                <w:lang w:val="uk-UA"/>
              </w:rPr>
              <w:t>рифампіцину</w:t>
            </w:r>
            <w:r w:rsidR="00544DC9" w:rsidRPr="003C6DAE">
              <w:rPr>
                <w:rFonts w:ascii="Arial"/>
                <w:b/>
                <w:sz w:val="20"/>
                <w:szCs w:val="20"/>
                <w:lang w:val="uk-UA"/>
              </w:rPr>
              <w:t xml:space="preserve"> </w:t>
            </w:r>
            <w:r w:rsidR="00544DC9" w:rsidRPr="003C6DAE">
              <w:rPr>
                <w:rFonts w:ascii="Arial"/>
                <w:b/>
                <w:sz w:val="20"/>
                <w:szCs w:val="20"/>
                <w:lang w:val="uk-UA"/>
              </w:rPr>
              <w:t>та</w:t>
            </w:r>
            <w:r w:rsidR="00544DC9" w:rsidRPr="003C6DAE">
              <w:rPr>
                <w:rFonts w:ascii="Arial"/>
                <w:b/>
                <w:sz w:val="20"/>
                <w:szCs w:val="20"/>
                <w:lang w:val="uk-UA"/>
              </w:rPr>
              <w:t xml:space="preserve"> </w:t>
            </w:r>
            <w:r w:rsidR="00544DC9" w:rsidRPr="003C6DAE">
              <w:rPr>
                <w:rFonts w:ascii="Arial"/>
                <w:b/>
                <w:sz w:val="20"/>
                <w:szCs w:val="20"/>
                <w:lang w:val="uk-UA"/>
              </w:rPr>
              <w:t>ізоніазиду</w:t>
            </w:r>
            <w:r w:rsidR="00544DC9" w:rsidRPr="003C6DAE">
              <w:rPr>
                <w:rFonts w:ascii="Arial"/>
                <w:b/>
                <w:sz w:val="20"/>
                <w:szCs w:val="20"/>
                <w:lang w:val="uk-UA"/>
              </w:rPr>
              <w:t xml:space="preserve">, </w:t>
            </w:r>
            <w:r w:rsidR="00544DC9" w:rsidRPr="003C6DAE">
              <w:rPr>
                <w:rFonts w:ascii="Arial"/>
                <w:b/>
                <w:sz w:val="20"/>
                <w:szCs w:val="20"/>
                <w:lang w:val="uk-UA"/>
              </w:rPr>
              <w:t>замість</w:t>
            </w:r>
            <w:r w:rsidR="00544DC9" w:rsidRPr="003C6DAE">
              <w:rPr>
                <w:rFonts w:ascii="Arial"/>
                <w:b/>
                <w:sz w:val="20"/>
                <w:szCs w:val="20"/>
                <w:lang w:val="uk-UA"/>
              </w:rPr>
              <w:t xml:space="preserve"> </w:t>
            </w:r>
            <w:r w:rsidR="00544DC9" w:rsidRPr="003C6DAE">
              <w:rPr>
                <w:rFonts w:ascii="Arial"/>
                <w:b/>
                <w:sz w:val="20"/>
                <w:szCs w:val="20"/>
                <w:lang w:val="uk-UA"/>
              </w:rPr>
              <w:t>бакпосіву</w:t>
            </w:r>
            <w:r w:rsidR="00544DC9" w:rsidRPr="003C6DAE">
              <w:rPr>
                <w:rFonts w:ascii="Arial"/>
                <w:b/>
                <w:sz w:val="20"/>
                <w:szCs w:val="20"/>
                <w:lang w:val="uk-UA"/>
              </w:rPr>
              <w:t xml:space="preserve"> </w:t>
            </w:r>
            <w:r w:rsidR="00544DC9" w:rsidRPr="003C6DAE">
              <w:rPr>
                <w:rFonts w:ascii="Arial"/>
                <w:b/>
                <w:sz w:val="20"/>
                <w:szCs w:val="20"/>
                <w:lang w:val="uk-UA"/>
              </w:rPr>
              <w:t>та</w:t>
            </w:r>
            <w:r w:rsidR="00544DC9" w:rsidRPr="003C6DAE">
              <w:rPr>
                <w:rFonts w:ascii="Arial"/>
                <w:b/>
                <w:sz w:val="20"/>
                <w:szCs w:val="20"/>
                <w:lang w:val="uk-UA"/>
              </w:rPr>
              <w:t xml:space="preserve"> </w:t>
            </w:r>
            <w:r w:rsidR="00544DC9" w:rsidRPr="003C6DAE">
              <w:rPr>
                <w:rFonts w:ascii="Arial"/>
                <w:b/>
                <w:sz w:val="20"/>
                <w:szCs w:val="20"/>
                <w:lang w:val="uk-UA"/>
              </w:rPr>
              <w:t>фенотипічної</w:t>
            </w:r>
            <w:r w:rsidR="00544DC9" w:rsidRPr="003C6DAE">
              <w:rPr>
                <w:rFonts w:ascii="Arial"/>
                <w:b/>
                <w:sz w:val="20"/>
                <w:szCs w:val="20"/>
                <w:lang w:val="uk-UA"/>
              </w:rPr>
              <w:t xml:space="preserve"> </w:t>
            </w:r>
            <w:r w:rsidR="00544DC9" w:rsidRPr="003C6DAE">
              <w:rPr>
                <w:rFonts w:ascii="Arial"/>
                <w:b/>
                <w:sz w:val="20"/>
                <w:szCs w:val="20"/>
                <w:lang w:val="uk-UA"/>
              </w:rPr>
              <w:t>ТМЧ</w:t>
            </w:r>
            <w:r w:rsidR="00544DC9" w:rsidRPr="003C6DAE">
              <w:rPr>
                <w:rFonts w:ascii="Arial"/>
                <w:b/>
                <w:sz w:val="20"/>
                <w:szCs w:val="20"/>
                <w:lang w:val="uk-UA"/>
              </w:rPr>
              <w:t>.</w:t>
            </w:r>
          </w:p>
          <w:p w14:paraId="6835D6E4" w14:textId="723F522F" w:rsidR="00E05B98" w:rsidRPr="003C6DAE" w:rsidRDefault="00B01E0C" w:rsidP="00544DC9">
            <w:pPr>
              <w:pStyle w:val="TableParagraph"/>
              <w:spacing w:before="52"/>
              <w:ind w:left="680"/>
              <w:jc w:val="both"/>
              <w:rPr>
                <w:rFonts w:ascii="Arial"/>
                <w:i/>
                <w:sz w:val="20"/>
                <w:szCs w:val="20"/>
                <w:lang w:val="uk-UA"/>
              </w:rPr>
            </w:pPr>
            <w:r w:rsidRPr="003C6DAE">
              <w:rPr>
                <w:rFonts w:ascii="Arial"/>
                <w:i/>
                <w:spacing w:val="-2"/>
                <w:sz w:val="20"/>
                <w:szCs w:val="20"/>
                <w:lang w:val="uk-UA"/>
              </w:rPr>
              <w:t>(</w:t>
            </w:r>
            <w:r w:rsidR="00544DC9" w:rsidRPr="003C6DAE">
              <w:rPr>
                <w:rFonts w:ascii="Arial"/>
                <w:i/>
                <w:spacing w:val="-2"/>
                <w:sz w:val="20"/>
                <w:szCs w:val="20"/>
                <w:lang w:val="uk-UA"/>
              </w:rPr>
              <w:t>Умовна</w:t>
            </w:r>
            <w:r w:rsidR="00544DC9" w:rsidRPr="003C6DAE">
              <w:rPr>
                <w:rFonts w:ascii="Arial"/>
                <w:i/>
                <w:spacing w:val="-2"/>
                <w:sz w:val="20"/>
                <w:szCs w:val="20"/>
                <w:lang w:val="uk-UA"/>
              </w:rPr>
              <w:t xml:space="preserve"> </w:t>
            </w:r>
            <w:r w:rsidR="00544DC9" w:rsidRPr="003C6DAE">
              <w:rPr>
                <w:rFonts w:ascii="Arial"/>
                <w:i/>
                <w:spacing w:val="-2"/>
                <w:sz w:val="20"/>
                <w:szCs w:val="20"/>
                <w:lang w:val="uk-UA"/>
              </w:rPr>
              <w:t>рекомендація</w:t>
            </w:r>
            <w:r w:rsidR="00544DC9" w:rsidRPr="003C6DAE">
              <w:rPr>
                <w:rFonts w:ascii="Arial"/>
                <w:i/>
                <w:spacing w:val="-2"/>
                <w:sz w:val="20"/>
                <w:szCs w:val="20"/>
                <w:lang w:val="uk-UA"/>
              </w:rPr>
              <w:t xml:space="preserve">, </w:t>
            </w:r>
            <w:r w:rsidR="00544DC9" w:rsidRPr="003C6DAE">
              <w:rPr>
                <w:rFonts w:ascii="Arial"/>
                <w:i/>
                <w:spacing w:val="-2"/>
                <w:sz w:val="20"/>
                <w:szCs w:val="20"/>
                <w:lang w:val="uk-UA"/>
              </w:rPr>
              <w:t>середній</w:t>
            </w:r>
            <w:r w:rsidR="00544DC9" w:rsidRPr="003C6DAE">
              <w:rPr>
                <w:rFonts w:ascii="Arial"/>
                <w:i/>
                <w:spacing w:val="-2"/>
                <w:sz w:val="20"/>
                <w:szCs w:val="20"/>
                <w:lang w:val="uk-UA"/>
              </w:rPr>
              <w:t xml:space="preserve"> </w:t>
            </w:r>
            <w:r w:rsidR="00331144">
              <w:rPr>
                <w:rFonts w:ascii="Arial"/>
                <w:i/>
                <w:spacing w:val="-2"/>
                <w:sz w:val="20"/>
                <w:szCs w:val="20"/>
                <w:lang w:val="uk-UA"/>
              </w:rPr>
              <w:t>ступінь</w:t>
            </w:r>
            <w:r w:rsidR="00544DC9" w:rsidRPr="003C6DAE">
              <w:rPr>
                <w:rFonts w:ascii="Arial"/>
                <w:i/>
                <w:spacing w:val="-2"/>
                <w:sz w:val="20"/>
                <w:szCs w:val="20"/>
                <w:lang w:val="uk-UA"/>
              </w:rPr>
              <w:t xml:space="preserve"> </w:t>
            </w:r>
            <w:r w:rsidR="00544DC9" w:rsidRPr="003C6DAE">
              <w:rPr>
                <w:rFonts w:ascii="Arial"/>
                <w:i/>
                <w:spacing w:val="-2"/>
                <w:sz w:val="20"/>
                <w:szCs w:val="20"/>
                <w:lang w:val="uk-UA"/>
              </w:rPr>
              <w:t>достовірності</w:t>
            </w:r>
            <w:r w:rsidR="00544DC9" w:rsidRPr="003C6DAE">
              <w:rPr>
                <w:rFonts w:ascii="Arial"/>
                <w:i/>
                <w:spacing w:val="-2"/>
                <w:sz w:val="20"/>
                <w:szCs w:val="20"/>
                <w:lang w:val="uk-UA"/>
              </w:rPr>
              <w:t xml:space="preserve"> </w:t>
            </w:r>
            <w:r w:rsidR="00544DC9" w:rsidRPr="003C6DAE">
              <w:rPr>
                <w:rFonts w:ascii="Arial"/>
                <w:i/>
                <w:spacing w:val="-2"/>
                <w:sz w:val="20"/>
                <w:szCs w:val="20"/>
                <w:lang w:val="uk-UA"/>
              </w:rPr>
              <w:t>доказів</w:t>
            </w:r>
            <w:r w:rsidR="00544DC9" w:rsidRPr="003C6DAE">
              <w:rPr>
                <w:rFonts w:ascii="Arial"/>
                <w:i/>
                <w:spacing w:val="-2"/>
                <w:sz w:val="20"/>
                <w:szCs w:val="20"/>
                <w:lang w:val="uk-UA"/>
              </w:rPr>
              <w:t xml:space="preserve"> </w:t>
            </w:r>
            <w:r w:rsidR="00544DC9" w:rsidRPr="003C6DAE">
              <w:rPr>
                <w:rFonts w:ascii="Arial"/>
                <w:i/>
                <w:spacing w:val="-2"/>
                <w:sz w:val="20"/>
                <w:szCs w:val="20"/>
                <w:lang w:val="uk-UA"/>
              </w:rPr>
              <w:t>діагностичної</w:t>
            </w:r>
            <w:r w:rsidR="00544DC9" w:rsidRPr="003C6DAE">
              <w:rPr>
                <w:rFonts w:ascii="Arial"/>
                <w:i/>
                <w:spacing w:val="-2"/>
                <w:sz w:val="20"/>
                <w:szCs w:val="20"/>
                <w:lang w:val="uk-UA"/>
              </w:rPr>
              <w:t xml:space="preserve"> </w:t>
            </w:r>
            <w:r w:rsidR="00544DC9" w:rsidRPr="003C6DAE">
              <w:rPr>
                <w:rFonts w:ascii="Arial"/>
                <w:i/>
                <w:spacing w:val="-2"/>
                <w:sz w:val="20"/>
                <w:szCs w:val="20"/>
                <w:lang w:val="uk-UA"/>
              </w:rPr>
              <w:t>точності</w:t>
            </w:r>
            <w:r w:rsidRPr="003C6DAE">
              <w:rPr>
                <w:rFonts w:ascii="Arial"/>
                <w:i/>
                <w:spacing w:val="-2"/>
                <w:sz w:val="20"/>
                <w:szCs w:val="20"/>
                <w:lang w:val="uk-UA"/>
              </w:rPr>
              <w:t>)</w:t>
            </w:r>
          </w:p>
        </w:tc>
      </w:tr>
    </w:tbl>
    <w:p w14:paraId="32BC78C8" w14:textId="77777777" w:rsidR="00E05B98" w:rsidRPr="003C6DAE" w:rsidRDefault="00E05B98" w:rsidP="00544DC9">
      <w:pPr>
        <w:pStyle w:val="a3"/>
        <w:spacing w:before="134"/>
        <w:rPr>
          <w:sz w:val="20"/>
          <w:szCs w:val="20"/>
          <w:lang w:val="uk-UA"/>
        </w:rPr>
      </w:pPr>
    </w:p>
    <w:p w14:paraId="03727224" w14:textId="3178CC10" w:rsidR="00E05B98" w:rsidRDefault="00783878" w:rsidP="00544DC9">
      <w:pPr>
        <w:pStyle w:val="a3"/>
        <w:ind w:left="567"/>
        <w:jc w:val="both"/>
        <w:rPr>
          <w:sz w:val="20"/>
          <w:szCs w:val="20"/>
          <w:lang w:val="uk-UA"/>
        </w:rPr>
      </w:pPr>
      <w:r w:rsidRPr="003C6DAE">
        <w:rPr>
          <w:sz w:val="20"/>
          <w:szCs w:val="20"/>
          <w:lang w:val="uk-UA"/>
        </w:rPr>
        <w:t>Для цієї рекомендації слід розглянути кілька підгруп:</w:t>
      </w:r>
    </w:p>
    <w:p w14:paraId="0CCCD056" w14:textId="77777777" w:rsidR="00331144" w:rsidRPr="00331144" w:rsidRDefault="00331144" w:rsidP="00544DC9">
      <w:pPr>
        <w:pStyle w:val="a3"/>
        <w:ind w:left="567"/>
        <w:jc w:val="both"/>
        <w:rPr>
          <w:sz w:val="10"/>
          <w:szCs w:val="10"/>
          <w:lang w:val="uk-UA"/>
        </w:rPr>
      </w:pPr>
    </w:p>
    <w:p w14:paraId="4837AA55" w14:textId="4658CCE6" w:rsidR="00783878" w:rsidRPr="003C6DAE" w:rsidRDefault="00783878" w:rsidP="004A2937">
      <w:pPr>
        <w:pStyle w:val="a4"/>
        <w:numPr>
          <w:ilvl w:val="3"/>
          <w:numId w:val="31"/>
        </w:numPr>
        <w:tabs>
          <w:tab w:val="left" w:pos="850"/>
        </w:tabs>
        <w:spacing w:before="3" w:line="297" w:lineRule="auto"/>
        <w:ind w:hanging="283"/>
        <w:rPr>
          <w:sz w:val="20"/>
          <w:szCs w:val="20"/>
          <w:lang w:val="uk-UA"/>
        </w:rPr>
      </w:pPr>
      <w:r w:rsidRPr="003C6DAE">
        <w:rPr>
          <w:sz w:val="20"/>
          <w:szCs w:val="20"/>
          <w:lang w:val="uk-UA"/>
        </w:rPr>
        <w:t xml:space="preserve">Рекомендація ґрунтується на доказових даних діагностичної точності при дослідженні зразків </w:t>
      </w:r>
      <w:r w:rsidR="00331144">
        <w:rPr>
          <w:sz w:val="20"/>
          <w:szCs w:val="20"/>
          <w:lang w:val="uk-UA"/>
        </w:rPr>
        <w:t xml:space="preserve">із </w:t>
      </w:r>
      <w:r w:rsidRPr="003C6DAE">
        <w:rPr>
          <w:sz w:val="20"/>
          <w:szCs w:val="20"/>
          <w:lang w:val="uk-UA"/>
        </w:rPr>
        <w:t>дихальних шляхів дорослих з ознаками та симптомами легеневого ТБ.</w:t>
      </w:r>
    </w:p>
    <w:p w14:paraId="63191E6F" w14:textId="23AA5CB6" w:rsidR="00E05B98" w:rsidRPr="003C6DAE" w:rsidRDefault="00783878" w:rsidP="004A2937">
      <w:pPr>
        <w:pStyle w:val="a4"/>
        <w:numPr>
          <w:ilvl w:val="3"/>
          <w:numId w:val="31"/>
        </w:numPr>
        <w:tabs>
          <w:tab w:val="left" w:pos="850"/>
        </w:tabs>
        <w:spacing w:before="3" w:line="297" w:lineRule="auto"/>
        <w:ind w:hanging="283"/>
        <w:rPr>
          <w:sz w:val="20"/>
          <w:szCs w:val="20"/>
          <w:lang w:val="uk-UA"/>
        </w:rPr>
      </w:pPr>
      <w:r w:rsidRPr="003C6DAE">
        <w:rPr>
          <w:sz w:val="20"/>
          <w:szCs w:val="20"/>
          <w:lang w:val="uk-UA"/>
        </w:rPr>
        <w:t>Рекомендація стосується людей, які живуть з ВІЛ (дослідження включали різну частку таких осіб); результати дослідження негативних зразків мазка були проаналізовані, але вони стосувалися лише виявлення ТБ, а не стійкості до рифампіцину та ізоніазиду, а стратифіковані за ВІЛ-статусом</w:t>
      </w:r>
      <w:r w:rsidR="005C3D3A">
        <w:rPr>
          <w:sz w:val="20"/>
          <w:szCs w:val="20"/>
          <w:lang w:val="uk-UA"/>
        </w:rPr>
        <w:t xml:space="preserve"> дані</w:t>
      </w:r>
      <w:r w:rsidRPr="003C6DAE">
        <w:rPr>
          <w:sz w:val="20"/>
          <w:szCs w:val="20"/>
          <w:lang w:val="uk-UA"/>
        </w:rPr>
        <w:t xml:space="preserve"> були недоступні.</w:t>
      </w:r>
    </w:p>
    <w:p w14:paraId="7D645087" w14:textId="77777777" w:rsidR="00800FB6" w:rsidRPr="003C6DAE" w:rsidRDefault="00800FB6" w:rsidP="004A2937">
      <w:pPr>
        <w:pStyle w:val="a4"/>
        <w:numPr>
          <w:ilvl w:val="3"/>
          <w:numId w:val="31"/>
        </w:numPr>
        <w:spacing w:before="3" w:line="297" w:lineRule="auto"/>
        <w:ind w:hanging="283"/>
        <w:rPr>
          <w:sz w:val="20"/>
          <w:szCs w:val="20"/>
          <w:lang w:val="uk-UA"/>
        </w:rPr>
      </w:pPr>
      <w:r w:rsidRPr="003C6DAE">
        <w:rPr>
          <w:sz w:val="20"/>
          <w:szCs w:val="20"/>
          <w:lang w:val="uk-UA"/>
        </w:rPr>
        <w:t>Рекомендація застосовується до підлітків та дітей на основі узагальнення даних, отриманих від дорослих; підвищений коефіцієнт невизначених результатів можна спостерігати при олігобацилярному ТБ захворюванні у дітей.</w:t>
      </w:r>
    </w:p>
    <w:p w14:paraId="150C2906" w14:textId="57B979CB" w:rsidR="00E05B98" w:rsidRPr="003C6DAE" w:rsidRDefault="00800FB6" w:rsidP="004A2937">
      <w:pPr>
        <w:pStyle w:val="a4"/>
        <w:numPr>
          <w:ilvl w:val="3"/>
          <w:numId w:val="31"/>
        </w:numPr>
        <w:spacing w:before="3" w:line="297" w:lineRule="auto"/>
        <w:ind w:hanging="283"/>
        <w:rPr>
          <w:sz w:val="20"/>
          <w:szCs w:val="20"/>
          <w:lang w:val="uk-UA"/>
        </w:rPr>
      </w:pPr>
      <w:r w:rsidRPr="003C6DAE">
        <w:rPr>
          <w:sz w:val="20"/>
          <w:szCs w:val="20"/>
          <w:lang w:val="uk-UA"/>
        </w:rPr>
        <w:t>В огляді не розглядали екстраполяцію отриманих результатів на людей з позалегеневим ТБ і тестування на зразках, що не містили  мокротиння, оскільки дані про діагностичну точність технологій цього класу для зразків, що не містили мокротиння, були обмеженими.</w:t>
      </w:r>
    </w:p>
    <w:p w14:paraId="0E8E790A" w14:textId="77777777" w:rsidR="00E05B98" w:rsidRPr="003C6DAE" w:rsidRDefault="00E05B98" w:rsidP="00544DC9">
      <w:pPr>
        <w:pStyle w:val="a3"/>
        <w:spacing w:before="9"/>
        <w:rPr>
          <w:sz w:val="20"/>
          <w:szCs w:val="20"/>
          <w:lang w:val="uk-UA"/>
        </w:rPr>
      </w:pPr>
    </w:p>
    <w:p w14:paraId="0AC62E68" w14:textId="530C768E" w:rsidR="00E05B98" w:rsidRPr="003C6DAE" w:rsidRDefault="00800FB6" w:rsidP="00544DC9">
      <w:pPr>
        <w:pStyle w:val="5"/>
        <w:rPr>
          <w:sz w:val="20"/>
          <w:szCs w:val="20"/>
          <w:lang w:val="uk-UA"/>
        </w:rPr>
      </w:pPr>
      <w:r w:rsidRPr="003C6DAE">
        <w:rPr>
          <w:color w:val="019648"/>
          <w:sz w:val="20"/>
          <w:szCs w:val="20"/>
          <w:lang w:val="uk-UA"/>
        </w:rPr>
        <w:t>Обґрунтування та докази</w:t>
      </w:r>
    </w:p>
    <w:p w14:paraId="44AC987C" w14:textId="2CA54327" w:rsidR="00800FB6" w:rsidRPr="003C6DAE" w:rsidRDefault="00800FB6" w:rsidP="00800FB6">
      <w:pPr>
        <w:pStyle w:val="a3"/>
        <w:spacing w:before="143" w:line="268" w:lineRule="auto"/>
        <w:ind w:left="567"/>
        <w:jc w:val="both"/>
        <w:rPr>
          <w:spacing w:val="-2"/>
          <w:sz w:val="20"/>
          <w:szCs w:val="20"/>
          <w:lang w:val="uk-UA"/>
        </w:rPr>
      </w:pPr>
      <w:r w:rsidRPr="003C6DAE">
        <w:rPr>
          <w:spacing w:val="-2"/>
          <w:sz w:val="20"/>
          <w:szCs w:val="20"/>
          <w:lang w:val="uk-UA"/>
        </w:rPr>
        <w:t xml:space="preserve">Глобальна програма ВООЗ </w:t>
      </w:r>
      <w:r w:rsidR="00C10420">
        <w:rPr>
          <w:spacing w:val="-2"/>
          <w:sz w:val="20"/>
          <w:szCs w:val="20"/>
          <w:lang w:val="uk-UA"/>
        </w:rPr>
        <w:t>із</w:t>
      </w:r>
      <w:r w:rsidRPr="003C6DAE">
        <w:rPr>
          <w:spacing w:val="-2"/>
          <w:sz w:val="20"/>
          <w:szCs w:val="20"/>
          <w:lang w:val="uk-UA"/>
        </w:rPr>
        <w:t xml:space="preserve"> боротьби з туберкульозом ініціювала оновлення чинних настанов і замовила проведення систематичного огляду щодо використання автоматизованих ТАНК помірної складності для виявлення ТБ та стійкості до рифампіцину та ізоніазиду у людей з ознаками та симптомами ТБ.</w:t>
      </w:r>
    </w:p>
    <w:p w14:paraId="3F0575AD" w14:textId="52D6BAD5" w:rsidR="00E05B98" w:rsidRPr="003C6DAE" w:rsidRDefault="005C3D3A" w:rsidP="00800FB6">
      <w:pPr>
        <w:pStyle w:val="a3"/>
        <w:spacing w:before="143" w:line="268" w:lineRule="auto"/>
        <w:ind w:left="567"/>
        <w:jc w:val="both"/>
        <w:rPr>
          <w:sz w:val="20"/>
          <w:szCs w:val="20"/>
          <w:lang w:val="uk-UA"/>
        </w:rPr>
      </w:pPr>
      <w:r>
        <w:rPr>
          <w:spacing w:val="-2"/>
          <w:sz w:val="20"/>
          <w:szCs w:val="20"/>
          <w:lang w:val="uk-UA"/>
        </w:rPr>
        <w:t>Було сформульовано т</w:t>
      </w:r>
      <w:r w:rsidR="00800FB6" w:rsidRPr="003C6DAE">
        <w:rPr>
          <w:spacing w:val="-2"/>
          <w:sz w:val="20"/>
          <w:szCs w:val="20"/>
          <w:lang w:val="uk-UA"/>
        </w:rPr>
        <w:t xml:space="preserve">ри запитання PICO, </w:t>
      </w:r>
      <w:r>
        <w:rPr>
          <w:spacing w:val="-2"/>
          <w:sz w:val="20"/>
          <w:szCs w:val="20"/>
          <w:lang w:val="uk-UA"/>
        </w:rPr>
        <w:t xml:space="preserve">які лягли в основу </w:t>
      </w:r>
      <w:r w:rsidR="00800FB6" w:rsidRPr="003C6DAE">
        <w:rPr>
          <w:spacing w:val="-2"/>
          <w:sz w:val="20"/>
          <w:szCs w:val="20"/>
          <w:lang w:val="uk-UA"/>
        </w:rPr>
        <w:t>для пошуку, вибірки та аналізу доказових даних:</w:t>
      </w:r>
    </w:p>
    <w:p w14:paraId="4F803541" w14:textId="0DD34306" w:rsidR="00E05B98" w:rsidRPr="003C6DAE" w:rsidRDefault="00800FB6" w:rsidP="004A2937">
      <w:pPr>
        <w:pStyle w:val="a4"/>
        <w:numPr>
          <w:ilvl w:val="0"/>
          <w:numId w:val="26"/>
        </w:numPr>
        <w:tabs>
          <w:tab w:val="left" w:pos="848"/>
          <w:tab w:val="left" w:pos="850"/>
        </w:tabs>
        <w:spacing w:before="118" w:line="297" w:lineRule="auto"/>
        <w:rPr>
          <w:sz w:val="20"/>
          <w:szCs w:val="20"/>
          <w:lang w:val="uk-UA"/>
        </w:rPr>
      </w:pPr>
      <w:r w:rsidRPr="003C6DAE">
        <w:rPr>
          <w:sz w:val="20"/>
          <w:szCs w:val="20"/>
          <w:lang w:val="uk-UA"/>
        </w:rPr>
        <w:t xml:space="preserve">Чи слід використовувати автоматизовані ТАНК помірної складності на зразках із дихальних шляхів у людей з ознаками та симптомами ТБ </w:t>
      </w:r>
      <w:r w:rsidR="00C10420">
        <w:rPr>
          <w:sz w:val="20"/>
          <w:szCs w:val="20"/>
          <w:lang w:val="uk-UA"/>
        </w:rPr>
        <w:t xml:space="preserve">легень </w:t>
      </w:r>
      <w:r w:rsidRPr="003C6DAE">
        <w:rPr>
          <w:sz w:val="20"/>
          <w:szCs w:val="20"/>
          <w:lang w:val="uk-UA"/>
        </w:rPr>
        <w:t>для виявлення легеневого ТБ, порівняно з бакпосівом?</w:t>
      </w:r>
    </w:p>
    <w:p w14:paraId="0487DC6D" w14:textId="74059E18" w:rsidR="00E05B98" w:rsidRPr="003C6DAE" w:rsidRDefault="00800FB6" w:rsidP="004A2937">
      <w:pPr>
        <w:pStyle w:val="a4"/>
        <w:numPr>
          <w:ilvl w:val="0"/>
          <w:numId w:val="26"/>
        </w:numPr>
        <w:tabs>
          <w:tab w:val="left" w:pos="848"/>
          <w:tab w:val="left" w:pos="850"/>
        </w:tabs>
        <w:spacing w:before="173" w:line="297" w:lineRule="auto"/>
        <w:rPr>
          <w:sz w:val="20"/>
          <w:szCs w:val="20"/>
          <w:lang w:val="uk-UA"/>
        </w:rPr>
      </w:pPr>
      <w:r w:rsidRPr="003C6DAE">
        <w:rPr>
          <w:sz w:val="20"/>
          <w:szCs w:val="20"/>
          <w:lang w:val="uk-UA"/>
        </w:rPr>
        <w:t xml:space="preserve">Чи слід використовувати автоматизовані ТАНК помірної складності на зразках із дихальних шляхів у людей з ознаками та симптомами ТБ </w:t>
      </w:r>
      <w:r w:rsidR="00C10420">
        <w:rPr>
          <w:sz w:val="20"/>
          <w:szCs w:val="20"/>
          <w:lang w:val="uk-UA"/>
        </w:rPr>
        <w:t xml:space="preserve">легень </w:t>
      </w:r>
      <w:r w:rsidRPr="003C6DAE">
        <w:rPr>
          <w:sz w:val="20"/>
          <w:szCs w:val="20"/>
          <w:lang w:val="uk-UA"/>
        </w:rPr>
        <w:t>для виявлення стійкості до рифампіцину, порівняно з фенотипічним ТМЧ на основі бакпосіву?</w:t>
      </w:r>
    </w:p>
    <w:p w14:paraId="6B2004F5" w14:textId="7E7A3E9B" w:rsidR="00E05B98" w:rsidRPr="003C6DAE" w:rsidRDefault="00800FB6" w:rsidP="004A2937">
      <w:pPr>
        <w:pStyle w:val="a4"/>
        <w:numPr>
          <w:ilvl w:val="0"/>
          <w:numId w:val="26"/>
        </w:numPr>
        <w:tabs>
          <w:tab w:val="left" w:pos="848"/>
          <w:tab w:val="left" w:pos="850"/>
        </w:tabs>
        <w:spacing w:before="174" w:line="297" w:lineRule="auto"/>
        <w:rPr>
          <w:sz w:val="20"/>
          <w:szCs w:val="20"/>
          <w:lang w:val="uk-UA"/>
        </w:rPr>
      </w:pPr>
      <w:r w:rsidRPr="003C6DAE">
        <w:rPr>
          <w:sz w:val="20"/>
          <w:szCs w:val="20"/>
          <w:lang w:val="uk-UA"/>
        </w:rPr>
        <w:t>Чи слід використовувати автоматизовані ТАНК помірної складності на зразках із дихальних шляхів у людей з ознаками та симптомами ТБ</w:t>
      </w:r>
      <w:r w:rsidR="00C10420">
        <w:rPr>
          <w:sz w:val="20"/>
          <w:szCs w:val="20"/>
          <w:lang w:val="uk-UA"/>
        </w:rPr>
        <w:t xml:space="preserve"> легень</w:t>
      </w:r>
      <w:r w:rsidRPr="003C6DAE">
        <w:rPr>
          <w:sz w:val="20"/>
          <w:szCs w:val="20"/>
          <w:lang w:val="uk-UA"/>
        </w:rPr>
        <w:t xml:space="preserve"> для виявлення стійкості до ізоніазиду порівняно з фенотипічним ТМЧ на основі бакпосіву?</w:t>
      </w:r>
    </w:p>
    <w:p w14:paraId="032507B4" w14:textId="48781DC9" w:rsidR="00E05B98" w:rsidRPr="003C6DAE" w:rsidRDefault="005229FB" w:rsidP="00544DC9">
      <w:pPr>
        <w:pStyle w:val="a3"/>
        <w:spacing w:before="52" w:line="297" w:lineRule="auto"/>
        <w:ind w:left="567"/>
        <w:jc w:val="both"/>
        <w:rPr>
          <w:spacing w:val="-2"/>
          <w:sz w:val="20"/>
          <w:szCs w:val="20"/>
          <w:lang w:val="uk-UA"/>
        </w:rPr>
      </w:pPr>
      <w:r w:rsidRPr="003C6DAE">
        <w:rPr>
          <w:spacing w:val="-4"/>
          <w:sz w:val="20"/>
          <w:szCs w:val="20"/>
          <w:lang w:val="uk-UA"/>
        </w:rPr>
        <w:t xml:space="preserve">Було проведено комплексний пошук відповідних цитат у таких базах даних: PubMed, Embase, BIOSIS, Web of Science, LILACS та </w:t>
      </w:r>
      <w:r w:rsidR="0000617E">
        <w:rPr>
          <w:spacing w:val="-4"/>
          <w:sz w:val="20"/>
          <w:szCs w:val="20"/>
          <w:lang w:val="uk-UA"/>
        </w:rPr>
        <w:t>Кокранівська база</w:t>
      </w:r>
      <w:r w:rsidRPr="003C6DAE">
        <w:rPr>
          <w:spacing w:val="-4"/>
          <w:sz w:val="20"/>
          <w:szCs w:val="20"/>
          <w:lang w:val="uk-UA"/>
        </w:rPr>
        <w:t>. Пошук обмежувався періодом з січня 2009 року по липень 2020 року. Також здійснювався пошук у списках літератури, що містилися у включених дослідженнях. Мовні обмеження не застосовувалися. Оскільки для обраних індексних тестів було мало досліджень, ми звернулися до компаній</w:t>
      </w:r>
      <w:r w:rsidR="0064626F">
        <w:rPr>
          <w:spacing w:val="-4"/>
          <w:sz w:val="20"/>
          <w:szCs w:val="20"/>
          <w:lang w:val="uk-UA"/>
        </w:rPr>
        <w:t>-розробників засобів діагностики</w:t>
      </w:r>
      <w:r w:rsidRPr="003C6DAE">
        <w:rPr>
          <w:spacing w:val="-4"/>
          <w:sz w:val="20"/>
          <w:szCs w:val="20"/>
          <w:lang w:val="uk-UA"/>
        </w:rPr>
        <w:t xml:space="preserve"> для отримання звітів про їх внутрішню валідацію. Дослідження також були включені за допомогою публічного заклику ВООЗ про надання даних. Культуру мікобактерій використовували в якості еталонного стандарту для оцінки виявлення </w:t>
      </w:r>
      <w:r w:rsidRPr="003C6DAE">
        <w:rPr>
          <w:i/>
          <w:spacing w:val="-4"/>
          <w:sz w:val="20"/>
          <w:szCs w:val="20"/>
          <w:lang w:val="uk-UA"/>
        </w:rPr>
        <w:t>Mtb</w:t>
      </w:r>
      <w:r w:rsidRPr="003C6DAE">
        <w:rPr>
          <w:spacing w:val="-4"/>
          <w:sz w:val="20"/>
          <w:szCs w:val="20"/>
          <w:lang w:val="uk-UA"/>
        </w:rPr>
        <w:t>.</w:t>
      </w:r>
      <w:r w:rsidR="00B01E0C" w:rsidRPr="003C6DAE">
        <w:rPr>
          <w:spacing w:val="-5"/>
          <w:sz w:val="20"/>
          <w:szCs w:val="20"/>
          <w:lang w:val="uk-UA"/>
        </w:rPr>
        <w:t xml:space="preserve"> </w:t>
      </w:r>
      <w:r w:rsidRPr="003C6DAE">
        <w:rPr>
          <w:sz w:val="20"/>
          <w:szCs w:val="20"/>
          <w:lang w:val="uk-UA"/>
        </w:rPr>
        <w:t xml:space="preserve">Виявлення стійкості порівнювали з фенотипічним еталонним стандартом ТМЧ та комбінованим еталонним стандартом (який поєднує </w:t>
      </w:r>
      <w:r w:rsidR="00507F6E">
        <w:rPr>
          <w:sz w:val="20"/>
          <w:szCs w:val="20"/>
          <w:lang w:val="uk-UA"/>
        </w:rPr>
        <w:t xml:space="preserve">результати </w:t>
      </w:r>
      <w:r w:rsidRPr="003C6DAE">
        <w:rPr>
          <w:sz w:val="20"/>
          <w:szCs w:val="20"/>
          <w:lang w:val="uk-UA"/>
        </w:rPr>
        <w:t>фенотипічн</w:t>
      </w:r>
      <w:r w:rsidR="00507F6E">
        <w:rPr>
          <w:sz w:val="20"/>
          <w:szCs w:val="20"/>
          <w:lang w:val="uk-UA"/>
        </w:rPr>
        <w:t>их</w:t>
      </w:r>
      <w:r w:rsidRPr="003C6DAE">
        <w:rPr>
          <w:sz w:val="20"/>
          <w:szCs w:val="20"/>
          <w:lang w:val="uk-UA"/>
        </w:rPr>
        <w:t xml:space="preserve"> та генотипічн</w:t>
      </w:r>
      <w:r w:rsidR="00507F6E">
        <w:rPr>
          <w:sz w:val="20"/>
          <w:szCs w:val="20"/>
          <w:lang w:val="uk-UA"/>
        </w:rPr>
        <w:t>их</w:t>
      </w:r>
      <w:r w:rsidRPr="003C6DAE">
        <w:rPr>
          <w:sz w:val="20"/>
          <w:szCs w:val="20"/>
          <w:lang w:val="uk-UA"/>
        </w:rPr>
        <w:t xml:space="preserve"> ТМЧ) у тих дослідженнях, під час яких проводили обидва тести</w:t>
      </w:r>
      <w:r w:rsidR="00B01E0C" w:rsidRPr="003C6DAE">
        <w:rPr>
          <w:spacing w:val="-2"/>
          <w:sz w:val="20"/>
          <w:szCs w:val="20"/>
          <w:lang w:val="uk-UA"/>
        </w:rPr>
        <w:t>.</w:t>
      </w:r>
    </w:p>
    <w:p w14:paraId="0B2A6904" w14:textId="77777777" w:rsidR="005229FB" w:rsidRPr="003C6DAE" w:rsidRDefault="005229FB" w:rsidP="00544DC9">
      <w:pPr>
        <w:pStyle w:val="a3"/>
        <w:spacing w:before="52" w:line="297" w:lineRule="auto"/>
        <w:ind w:left="567"/>
        <w:jc w:val="both"/>
        <w:rPr>
          <w:sz w:val="20"/>
          <w:szCs w:val="20"/>
          <w:lang w:val="uk-UA"/>
        </w:rPr>
      </w:pPr>
    </w:p>
    <w:p w14:paraId="70539918" w14:textId="77777777" w:rsidR="00C10420" w:rsidRPr="00C10420" w:rsidRDefault="00C10420" w:rsidP="00544DC9">
      <w:pPr>
        <w:pStyle w:val="a3"/>
        <w:spacing w:before="172" w:line="297" w:lineRule="auto"/>
        <w:ind w:left="567"/>
        <w:jc w:val="both"/>
        <w:rPr>
          <w:sz w:val="8"/>
          <w:szCs w:val="8"/>
          <w:lang w:val="uk-UA"/>
        </w:rPr>
      </w:pPr>
    </w:p>
    <w:p w14:paraId="3EA53638" w14:textId="7DAA026B" w:rsidR="00E05B98" w:rsidRPr="003C6DAE" w:rsidRDefault="007176DE" w:rsidP="00544DC9">
      <w:pPr>
        <w:pStyle w:val="a3"/>
        <w:spacing w:before="172" w:line="297" w:lineRule="auto"/>
        <w:ind w:left="567"/>
        <w:jc w:val="both"/>
        <w:rPr>
          <w:sz w:val="20"/>
          <w:szCs w:val="20"/>
          <w:lang w:val="uk-UA"/>
        </w:rPr>
      </w:pPr>
      <w:r w:rsidRPr="003C6DAE">
        <w:rPr>
          <w:sz w:val="20"/>
          <w:szCs w:val="20"/>
          <w:lang w:val="uk-UA"/>
        </w:rPr>
        <w:t>Були виконані метааналізи методом двовимірних випадкових ефектів з використанням програмного забезпечення Stata для отримання об'єднаних оцінок чутливості та специфічності з 95% ДІ для стійкості до рифампіцину, стійкості до ізоніазиду, а також виявлення мікобактерій туберкульозу. Там, де була лише обмежена кількість досліджень, проводили описовий аналіз.</w:t>
      </w:r>
    </w:p>
    <w:p w14:paraId="631DD42A" w14:textId="1E1918EC" w:rsidR="00E05B98" w:rsidRPr="003C6DAE" w:rsidRDefault="007176DE" w:rsidP="00544DC9">
      <w:pPr>
        <w:pStyle w:val="a3"/>
        <w:spacing w:before="170" w:line="297" w:lineRule="auto"/>
        <w:ind w:left="567"/>
        <w:jc w:val="both"/>
        <w:rPr>
          <w:sz w:val="20"/>
          <w:szCs w:val="20"/>
          <w:lang w:val="uk-UA"/>
        </w:rPr>
      </w:pPr>
      <w:r w:rsidRPr="003C6DAE">
        <w:rPr>
          <w:sz w:val="20"/>
          <w:szCs w:val="20"/>
          <w:lang w:val="uk-UA"/>
        </w:rPr>
        <w:t xml:space="preserve">Для метааналізу, спочатку  </w:t>
      </w:r>
      <w:r w:rsidR="001E53C1">
        <w:rPr>
          <w:sz w:val="20"/>
          <w:szCs w:val="20"/>
          <w:lang w:val="uk-UA"/>
        </w:rPr>
        <w:t>виконували</w:t>
      </w:r>
      <w:r w:rsidRPr="003C6DAE">
        <w:rPr>
          <w:sz w:val="20"/>
          <w:szCs w:val="20"/>
          <w:lang w:val="uk-UA"/>
        </w:rPr>
        <w:t xml:space="preserve"> метааналіз досліджень окремо для кожного тесту. Потім </w:t>
      </w:r>
      <w:r w:rsidR="0064626F">
        <w:rPr>
          <w:sz w:val="20"/>
          <w:szCs w:val="20"/>
          <w:lang w:val="uk-UA"/>
        </w:rPr>
        <w:t xml:space="preserve">результати </w:t>
      </w:r>
      <w:r w:rsidRPr="003C6DAE">
        <w:rPr>
          <w:sz w:val="20"/>
          <w:szCs w:val="20"/>
          <w:lang w:val="uk-UA"/>
        </w:rPr>
        <w:t>дослідження по всім тестам були використані для отримання об'єднаної оцінки для всіх технологій.</w:t>
      </w:r>
    </w:p>
    <w:p w14:paraId="0A614D97" w14:textId="4E8E0E40" w:rsidR="00E05B98" w:rsidRPr="003C6DAE" w:rsidRDefault="007176DE" w:rsidP="00544DC9">
      <w:pPr>
        <w:pStyle w:val="a3"/>
        <w:spacing w:before="172" w:line="297" w:lineRule="auto"/>
        <w:ind w:left="567"/>
        <w:jc w:val="both"/>
        <w:rPr>
          <w:sz w:val="20"/>
          <w:szCs w:val="20"/>
          <w:lang w:val="uk-UA"/>
        </w:rPr>
      </w:pPr>
      <w:r w:rsidRPr="003C6DAE">
        <w:rPr>
          <w:sz w:val="20"/>
          <w:szCs w:val="20"/>
          <w:lang w:val="uk-UA"/>
        </w:rPr>
        <w:t xml:space="preserve">Щоб вирішити, чи дасть об'єднання всіх тестів значущі оцінки, були розроблені різні критерії для об'єднання, які були узгоджені складом </w:t>
      </w:r>
      <w:r w:rsidR="001E53C1">
        <w:rPr>
          <w:sz w:val="20"/>
          <w:szCs w:val="20"/>
          <w:lang w:val="uk-UA"/>
        </w:rPr>
        <w:t xml:space="preserve">членів </w:t>
      </w:r>
      <w:r w:rsidRPr="003C6DAE">
        <w:rPr>
          <w:sz w:val="20"/>
          <w:szCs w:val="20"/>
          <w:lang w:val="uk-UA"/>
        </w:rPr>
        <w:t xml:space="preserve">ГРН перед їх застосуванням. </w:t>
      </w:r>
      <w:r w:rsidR="001E53C1">
        <w:rPr>
          <w:sz w:val="20"/>
          <w:szCs w:val="20"/>
          <w:lang w:val="uk-UA"/>
        </w:rPr>
        <w:t>Також здійснювали оцінювання та візуалізацію даних,</w:t>
      </w:r>
      <w:r w:rsidRPr="003C6DAE">
        <w:rPr>
          <w:sz w:val="20"/>
          <w:szCs w:val="20"/>
          <w:lang w:val="uk-UA"/>
        </w:rPr>
        <w:t xml:space="preserve"> використовуючи метод прямого порівняння тестів з Xpert® MTB/RIF або з будь-яким іншим тестом, рекомендованим ВООЗ.</w:t>
      </w:r>
    </w:p>
    <w:p w14:paraId="51EA56C5" w14:textId="063184FB" w:rsidR="00E05B98" w:rsidRPr="003C6DAE" w:rsidRDefault="0064626F" w:rsidP="00544DC9">
      <w:pPr>
        <w:pStyle w:val="a3"/>
        <w:spacing w:before="175" w:line="295" w:lineRule="auto"/>
        <w:ind w:left="567"/>
        <w:jc w:val="both"/>
        <w:rPr>
          <w:sz w:val="20"/>
          <w:szCs w:val="20"/>
          <w:lang w:val="uk-UA"/>
        </w:rPr>
      </w:pPr>
      <w:r>
        <w:rPr>
          <w:w w:val="105"/>
          <w:sz w:val="20"/>
          <w:szCs w:val="20"/>
          <w:lang w:val="uk-UA"/>
        </w:rPr>
        <w:t>Д</w:t>
      </w:r>
      <w:r w:rsidRPr="003C6DAE">
        <w:rPr>
          <w:w w:val="105"/>
          <w:sz w:val="20"/>
          <w:szCs w:val="20"/>
          <w:lang w:val="uk-UA"/>
        </w:rPr>
        <w:t>ля відповіді на запитання PICO</w:t>
      </w:r>
      <w:r>
        <w:rPr>
          <w:w w:val="105"/>
          <w:sz w:val="20"/>
          <w:szCs w:val="20"/>
          <w:lang w:val="uk-UA"/>
        </w:rPr>
        <w:t>,</w:t>
      </w:r>
      <w:r w:rsidRPr="003C6DAE">
        <w:rPr>
          <w:w w:val="105"/>
          <w:sz w:val="20"/>
          <w:szCs w:val="20"/>
          <w:lang w:val="uk-UA"/>
        </w:rPr>
        <w:t xml:space="preserve"> </w:t>
      </w:r>
      <w:r>
        <w:rPr>
          <w:w w:val="105"/>
          <w:sz w:val="20"/>
          <w:szCs w:val="20"/>
          <w:lang w:val="uk-UA"/>
        </w:rPr>
        <w:t>д</w:t>
      </w:r>
      <w:r w:rsidR="00C84D07" w:rsidRPr="003C6DAE">
        <w:rPr>
          <w:w w:val="105"/>
          <w:sz w:val="20"/>
          <w:szCs w:val="20"/>
          <w:lang w:val="uk-UA"/>
        </w:rPr>
        <w:t xml:space="preserve">ані по всім індексним платформам були об'єднані лише в тому випадку, якщо вони відповідали попереднім умовам, наведеним у </w:t>
      </w:r>
      <w:r w:rsidR="00C84D07" w:rsidRPr="003C6DAE">
        <w:rPr>
          <w:b/>
          <w:w w:val="105"/>
          <w:sz w:val="20"/>
          <w:szCs w:val="20"/>
          <w:lang w:val="uk-UA"/>
        </w:rPr>
        <w:t>Таблиці 2.1.2.2</w:t>
      </w:r>
      <w:r w:rsidR="00C84D07" w:rsidRPr="003C6DAE">
        <w:rPr>
          <w:w w:val="105"/>
          <w:sz w:val="20"/>
          <w:szCs w:val="20"/>
          <w:lang w:val="uk-UA"/>
        </w:rPr>
        <w:t>, і задовільняли  Умову 1, або Умову 2.</w:t>
      </w:r>
    </w:p>
    <w:p w14:paraId="260FB742" w14:textId="0CCA9521" w:rsidR="00E05B98" w:rsidRPr="003C6DAE" w:rsidRDefault="00C84D07" w:rsidP="00C84D07">
      <w:pPr>
        <w:pStyle w:val="6"/>
        <w:spacing w:before="242" w:line="249" w:lineRule="auto"/>
        <w:ind w:left="2160" w:hanging="1593"/>
        <w:jc w:val="both"/>
        <w:rPr>
          <w:sz w:val="20"/>
          <w:szCs w:val="20"/>
          <w:lang w:val="uk-UA"/>
        </w:rPr>
      </w:pPr>
      <w:r w:rsidRPr="003C6DAE">
        <w:rPr>
          <w:color w:val="636466"/>
          <w:sz w:val="20"/>
          <w:szCs w:val="20"/>
          <w:lang w:val="uk-UA"/>
        </w:rPr>
        <w:t>Таблиця</w:t>
      </w:r>
      <w:r w:rsidR="00B01E0C" w:rsidRPr="003C6DAE">
        <w:rPr>
          <w:color w:val="636466"/>
          <w:sz w:val="20"/>
          <w:szCs w:val="20"/>
          <w:lang w:val="uk-UA"/>
        </w:rPr>
        <w:t xml:space="preserve"> 2.1.2.2 </w:t>
      </w:r>
      <w:r w:rsidRPr="003C6DAE">
        <w:rPr>
          <w:color w:val="636466"/>
          <w:sz w:val="20"/>
          <w:szCs w:val="20"/>
          <w:lang w:val="uk-UA"/>
        </w:rPr>
        <w:t xml:space="preserve">  Критерії для об'єднання досліджень стосовно автоматизованих ТАНК помірної складності</w:t>
      </w:r>
    </w:p>
    <w:p w14:paraId="43F623D6" w14:textId="77777777" w:rsidR="00E05B98" w:rsidRPr="003C6DAE" w:rsidRDefault="00E05B98">
      <w:pPr>
        <w:pStyle w:val="a3"/>
        <w:spacing w:before="5"/>
        <w:rPr>
          <w:rFonts w:ascii="Arial"/>
          <w:b/>
          <w:sz w:val="16"/>
          <w:lang w:val="uk-UA"/>
        </w:rPr>
      </w:pPr>
    </w:p>
    <w:tbl>
      <w:tblPr>
        <w:tblStyle w:val="TableNormal"/>
        <w:tblW w:w="9468" w:type="dxa"/>
        <w:tblInd w:w="58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2721"/>
        <w:gridCol w:w="3175"/>
        <w:gridCol w:w="3572"/>
      </w:tblGrid>
      <w:tr w:rsidR="00E05B98" w:rsidRPr="003C6DAE" w14:paraId="07E93903" w14:textId="77777777" w:rsidTr="0064626F">
        <w:trPr>
          <w:trHeight w:val="430"/>
        </w:trPr>
        <w:tc>
          <w:tcPr>
            <w:tcW w:w="2721" w:type="dxa"/>
            <w:tcBorders>
              <w:bottom w:val="single" w:sz="6" w:space="0" w:color="019648"/>
              <w:right w:val="single" w:sz="6" w:space="0" w:color="019648"/>
            </w:tcBorders>
            <w:shd w:val="clear" w:color="auto" w:fill="62A86B"/>
          </w:tcPr>
          <w:p w14:paraId="54C99FCF" w14:textId="7B03A89C" w:rsidR="00E05B98" w:rsidRPr="003C6DAE" w:rsidRDefault="00C84D07">
            <w:pPr>
              <w:pStyle w:val="TableParagraph"/>
              <w:spacing w:before="95"/>
              <w:ind w:left="136"/>
              <w:rPr>
                <w:rFonts w:ascii="Arial"/>
                <w:b/>
                <w:sz w:val="20"/>
                <w:szCs w:val="20"/>
                <w:lang w:val="uk-UA"/>
              </w:rPr>
            </w:pPr>
            <w:r w:rsidRPr="003C6DAE">
              <w:rPr>
                <w:rFonts w:ascii="Arial"/>
                <w:b/>
                <w:color w:val="FFFFFF"/>
                <w:spacing w:val="-2"/>
                <w:sz w:val="20"/>
                <w:szCs w:val="20"/>
                <w:lang w:val="uk-UA"/>
              </w:rPr>
              <w:t>Параметри</w:t>
            </w:r>
          </w:p>
        </w:tc>
        <w:tc>
          <w:tcPr>
            <w:tcW w:w="3175" w:type="dxa"/>
            <w:tcBorders>
              <w:left w:val="single" w:sz="6" w:space="0" w:color="019648"/>
              <w:bottom w:val="single" w:sz="6" w:space="0" w:color="019648"/>
              <w:right w:val="single" w:sz="6" w:space="0" w:color="019648"/>
            </w:tcBorders>
            <w:shd w:val="clear" w:color="auto" w:fill="62A86B"/>
          </w:tcPr>
          <w:p w14:paraId="5604A496" w14:textId="0021FBBB" w:rsidR="00E05B98" w:rsidRPr="003C6DAE" w:rsidRDefault="00C84D07">
            <w:pPr>
              <w:pStyle w:val="TableParagraph"/>
              <w:spacing w:before="95"/>
              <w:ind w:left="138"/>
              <w:rPr>
                <w:rFonts w:ascii="Arial"/>
                <w:b/>
                <w:sz w:val="20"/>
                <w:szCs w:val="20"/>
                <w:lang w:val="uk-UA"/>
              </w:rPr>
            </w:pPr>
            <w:r w:rsidRPr="003C6DAE">
              <w:rPr>
                <w:rFonts w:ascii="Arial"/>
                <w:b/>
                <w:color w:val="FFFFFF"/>
                <w:spacing w:val="-2"/>
                <w:sz w:val="20"/>
                <w:szCs w:val="20"/>
                <w:lang w:val="uk-UA"/>
              </w:rPr>
              <w:t>Чутливість</w:t>
            </w:r>
          </w:p>
        </w:tc>
        <w:tc>
          <w:tcPr>
            <w:tcW w:w="3572" w:type="dxa"/>
            <w:tcBorders>
              <w:left w:val="single" w:sz="6" w:space="0" w:color="019648"/>
              <w:bottom w:val="single" w:sz="6" w:space="0" w:color="019648"/>
              <w:right w:val="single" w:sz="6" w:space="0" w:color="019648"/>
            </w:tcBorders>
            <w:shd w:val="clear" w:color="auto" w:fill="62A86B"/>
          </w:tcPr>
          <w:p w14:paraId="0B2AE6E9" w14:textId="190B0D26" w:rsidR="00E05B98" w:rsidRPr="003C6DAE" w:rsidRDefault="00C84D07">
            <w:pPr>
              <w:pStyle w:val="TableParagraph"/>
              <w:spacing w:before="95"/>
              <w:ind w:left="138"/>
              <w:rPr>
                <w:rFonts w:ascii="Arial"/>
                <w:b/>
                <w:sz w:val="20"/>
                <w:szCs w:val="20"/>
                <w:lang w:val="uk-UA"/>
              </w:rPr>
            </w:pPr>
            <w:r w:rsidRPr="003C6DAE">
              <w:rPr>
                <w:rFonts w:ascii="Arial"/>
                <w:b/>
                <w:color w:val="FFFFFF"/>
                <w:spacing w:val="-2"/>
                <w:sz w:val="20"/>
                <w:szCs w:val="20"/>
                <w:lang w:val="uk-UA"/>
              </w:rPr>
              <w:t>Специфічність</w:t>
            </w:r>
            <w:r w:rsidRPr="003C6DAE">
              <w:rPr>
                <w:rFonts w:ascii="Arial"/>
                <w:b/>
                <w:color w:val="FFFFFF"/>
                <w:spacing w:val="-2"/>
                <w:sz w:val="20"/>
                <w:szCs w:val="20"/>
                <w:lang w:val="uk-UA"/>
              </w:rPr>
              <w:t xml:space="preserve"> </w:t>
            </w:r>
          </w:p>
        </w:tc>
      </w:tr>
      <w:tr w:rsidR="00E05B98" w:rsidRPr="00D029FF" w14:paraId="55E28079" w14:textId="77777777" w:rsidTr="0064626F">
        <w:trPr>
          <w:trHeight w:val="387"/>
        </w:trPr>
        <w:tc>
          <w:tcPr>
            <w:tcW w:w="2721" w:type="dxa"/>
            <w:tcBorders>
              <w:top w:val="single" w:sz="6" w:space="0" w:color="019648"/>
              <w:left w:val="nil"/>
              <w:bottom w:val="single" w:sz="6" w:space="0" w:color="019648"/>
              <w:right w:val="nil"/>
            </w:tcBorders>
          </w:tcPr>
          <w:p w14:paraId="193CDCB1" w14:textId="10B19BF2" w:rsidR="00E05B98" w:rsidRPr="001E53C1" w:rsidRDefault="00C84D07">
            <w:pPr>
              <w:pStyle w:val="TableParagraph"/>
              <w:rPr>
                <w:sz w:val="20"/>
                <w:szCs w:val="20"/>
                <w:lang w:val="uk-UA"/>
              </w:rPr>
            </w:pPr>
            <w:r w:rsidRPr="001E53C1">
              <w:rPr>
                <w:spacing w:val="-2"/>
                <w:sz w:val="20"/>
                <w:szCs w:val="20"/>
                <w:lang w:val="uk-UA"/>
              </w:rPr>
              <w:t>Попередні умови</w:t>
            </w:r>
          </w:p>
        </w:tc>
        <w:tc>
          <w:tcPr>
            <w:tcW w:w="3175" w:type="dxa"/>
            <w:tcBorders>
              <w:top w:val="single" w:sz="6" w:space="0" w:color="019648"/>
              <w:left w:val="nil"/>
              <w:bottom w:val="single" w:sz="6" w:space="0" w:color="019648"/>
              <w:right w:val="nil"/>
            </w:tcBorders>
          </w:tcPr>
          <w:p w14:paraId="4EEB3968" w14:textId="11C79BF9" w:rsidR="00E05B98" w:rsidRPr="001E53C1" w:rsidRDefault="00C84D07">
            <w:pPr>
              <w:pStyle w:val="TableParagraph"/>
              <w:rPr>
                <w:sz w:val="20"/>
                <w:szCs w:val="20"/>
                <w:lang w:val="uk-UA"/>
              </w:rPr>
            </w:pPr>
            <w:r w:rsidRPr="001E53C1">
              <w:rPr>
                <w:sz w:val="20"/>
                <w:szCs w:val="20"/>
                <w:lang w:val="uk-UA"/>
              </w:rPr>
              <w:t xml:space="preserve">ТБ з позитивним результатом </w:t>
            </w:r>
            <w:r w:rsidR="001E53C1" w:rsidRPr="001E53C1">
              <w:rPr>
                <w:sz w:val="20"/>
                <w:szCs w:val="20"/>
                <w:lang w:val="uk-UA"/>
              </w:rPr>
              <w:t>бак</w:t>
            </w:r>
            <w:r w:rsidRPr="001E53C1">
              <w:rPr>
                <w:sz w:val="20"/>
                <w:szCs w:val="20"/>
                <w:lang w:val="uk-UA"/>
              </w:rPr>
              <w:t>посіву - кількість досліджень</w:t>
            </w:r>
            <w:r w:rsidR="00B01E0C" w:rsidRPr="001E53C1">
              <w:rPr>
                <w:spacing w:val="5"/>
                <w:sz w:val="20"/>
                <w:szCs w:val="20"/>
                <w:lang w:val="uk-UA"/>
              </w:rPr>
              <w:t xml:space="preserve"> </w:t>
            </w:r>
            <w:r w:rsidR="00B01E0C" w:rsidRPr="001E53C1">
              <w:rPr>
                <w:sz w:val="20"/>
                <w:szCs w:val="20"/>
                <w:lang w:val="uk-UA"/>
              </w:rPr>
              <w:t>≥50</w:t>
            </w:r>
            <w:r w:rsidR="00B01E0C" w:rsidRPr="001E53C1">
              <w:rPr>
                <w:spacing w:val="6"/>
                <w:sz w:val="20"/>
                <w:szCs w:val="20"/>
                <w:lang w:val="uk-UA"/>
              </w:rPr>
              <w:t xml:space="preserve"> </w:t>
            </w:r>
          </w:p>
        </w:tc>
        <w:tc>
          <w:tcPr>
            <w:tcW w:w="3572" w:type="dxa"/>
            <w:tcBorders>
              <w:top w:val="single" w:sz="6" w:space="0" w:color="019648"/>
              <w:left w:val="nil"/>
              <w:bottom w:val="single" w:sz="6" w:space="0" w:color="019648"/>
              <w:right w:val="nil"/>
            </w:tcBorders>
          </w:tcPr>
          <w:p w14:paraId="31063315" w14:textId="37C2E9D7" w:rsidR="00E05B98" w:rsidRPr="001E53C1" w:rsidRDefault="00C84D07">
            <w:pPr>
              <w:pStyle w:val="TableParagraph"/>
              <w:rPr>
                <w:sz w:val="20"/>
                <w:szCs w:val="20"/>
                <w:lang w:val="uk-UA"/>
              </w:rPr>
            </w:pPr>
            <w:r w:rsidRPr="001E53C1">
              <w:rPr>
                <w:sz w:val="20"/>
                <w:szCs w:val="20"/>
                <w:lang w:val="uk-UA"/>
              </w:rPr>
              <w:t xml:space="preserve">ТБ з негативним  результатом </w:t>
            </w:r>
            <w:r w:rsidR="001E53C1" w:rsidRPr="001E53C1">
              <w:rPr>
                <w:sz w:val="20"/>
                <w:szCs w:val="20"/>
                <w:lang w:val="uk-UA"/>
              </w:rPr>
              <w:t>бак</w:t>
            </w:r>
            <w:r w:rsidRPr="001E53C1">
              <w:rPr>
                <w:sz w:val="20"/>
                <w:szCs w:val="20"/>
                <w:lang w:val="uk-UA"/>
              </w:rPr>
              <w:t>посіву - кількість досліджень</w:t>
            </w:r>
            <w:r w:rsidR="00B01E0C" w:rsidRPr="001E53C1">
              <w:rPr>
                <w:spacing w:val="11"/>
                <w:sz w:val="20"/>
                <w:szCs w:val="20"/>
                <w:lang w:val="uk-UA"/>
              </w:rPr>
              <w:t xml:space="preserve"> </w:t>
            </w:r>
            <w:r w:rsidR="00B01E0C" w:rsidRPr="001E53C1">
              <w:rPr>
                <w:sz w:val="20"/>
                <w:szCs w:val="20"/>
                <w:lang w:val="uk-UA"/>
              </w:rPr>
              <w:t>≥100</w:t>
            </w:r>
            <w:r w:rsidR="00B01E0C" w:rsidRPr="001E53C1">
              <w:rPr>
                <w:spacing w:val="12"/>
                <w:sz w:val="20"/>
                <w:szCs w:val="20"/>
                <w:lang w:val="uk-UA"/>
              </w:rPr>
              <w:t xml:space="preserve"> </w:t>
            </w:r>
          </w:p>
        </w:tc>
      </w:tr>
      <w:tr w:rsidR="00E05B98" w:rsidRPr="00D029FF" w14:paraId="1B1DF105" w14:textId="77777777" w:rsidTr="0064626F">
        <w:trPr>
          <w:trHeight w:val="907"/>
        </w:trPr>
        <w:tc>
          <w:tcPr>
            <w:tcW w:w="2721" w:type="dxa"/>
            <w:tcBorders>
              <w:top w:val="single" w:sz="6" w:space="0" w:color="019648"/>
              <w:left w:val="nil"/>
              <w:bottom w:val="single" w:sz="6" w:space="0" w:color="019648"/>
              <w:right w:val="nil"/>
            </w:tcBorders>
          </w:tcPr>
          <w:p w14:paraId="6D67859C" w14:textId="6EC4BBA4" w:rsidR="00E05B98" w:rsidRPr="001E53C1" w:rsidRDefault="00C84D07">
            <w:pPr>
              <w:pStyle w:val="TableParagraph"/>
              <w:spacing w:line="249" w:lineRule="auto"/>
              <w:ind w:right="168"/>
              <w:rPr>
                <w:sz w:val="20"/>
                <w:szCs w:val="20"/>
                <w:lang w:val="uk-UA"/>
              </w:rPr>
            </w:pPr>
            <w:r w:rsidRPr="001E53C1">
              <w:rPr>
                <w:sz w:val="20"/>
                <w:szCs w:val="20"/>
                <w:lang w:val="uk-UA"/>
              </w:rPr>
              <w:t>Умова 1 (об’єднання на основі клінічних даних)</w:t>
            </w:r>
          </w:p>
        </w:tc>
        <w:tc>
          <w:tcPr>
            <w:tcW w:w="3175" w:type="dxa"/>
            <w:tcBorders>
              <w:top w:val="single" w:sz="6" w:space="0" w:color="019648"/>
              <w:left w:val="nil"/>
              <w:bottom w:val="single" w:sz="6" w:space="0" w:color="019648"/>
              <w:right w:val="nil"/>
            </w:tcBorders>
          </w:tcPr>
          <w:p w14:paraId="377DA1D7" w14:textId="3DAC1DD7" w:rsidR="00E05B98" w:rsidRPr="001E53C1" w:rsidRDefault="004E684F">
            <w:pPr>
              <w:pStyle w:val="TableParagraph"/>
              <w:spacing w:line="249" w:lineRule="auto"/>
              <w:ind w:right="59"/>
              <w:rPr>
                <w:sz w:val="20"/>
                <w:szCs w:val="20"/>
                <w:lang w:val="uk-UA"/>
              </w:rPr>
            </w:pPr>
            <w:r w:rsidRPr="001E53C1">
              <w:rPr>
                <w:sz w:val="20"/>
                <w:szCs w:val="20"/>
                <w:lang w:val="uk-UA"/>
              </w:rPr>
              <w:t>Об'єднана оцінка одного тесту знаходиться в межах ±5% від загальної об'єднаної оцінки</w:t>
            </w:r>
          </w:p>
        </w:tc>
        <w:tc>
          <w:tcPr>
            <w:tcW w:w="3572" w:type="dxa"/>
            <w:tcBorders>
              <w:top w:val="single" w:sz="6" w:space="0" w:color="019648"/>
              <w:left w:val="nil"/>
              <w:bottom w:val="single" w:sz="6" w:space="0" w:color="019648"/>
              <w:right w:val="nil"/>
            </w:tcBorders>
          </w:tcPr>
          <w:p w14:paraId="69B68BCC" w14:textId="3AE2533E" w:rsidR="00E05B98" w:rsidRPr="001E53C1" w:rsidRDefault="004E684F">
            <w:pPr>
              <w:pStyle w:val="TableParagraph"/>
              <w:spacing w:line="249" w:lineRule="auto"/>
              <w:ind w:right="59"/>
              <w:rPr>
                <w:sz w:val="20"/>
                <w:szCs w:val="20"/>
                <w:lang w:val="uk-UA"/>
              </w:rPr>
            </w:pPr>
            <w:r w:rsidRPr="001E53C1">
              <w:rPr>
                <w:sz w:val="20"/>
                <w:szCs w:val="20"/>
                <w:lang w:val="uk-UA"/>
              </w:rPr>
              <w:t>Об'єднана оцінка одного тесту знаходиться в межах ±2% від загальної об'єднаної оцінки</w:t>
            </w:r>
          </w:p>
        </w:tc>
      </w:tr>
      <w:tr w:rsidR="00E05B98" w:rsidRPr="00D029FF" w14:paraId="0AF844E0" w14:textId="77777777" w:rsidTr="0064626F">
        <w:trPr>
          <w:trHeight w:val="2117"/>
        </w:trPr>
        <w:tc>
          <w:tcPr>
            <w:tcW w:w="2721" w:type="dxa"/>
            <w:tcBorders>
              <w:top w:val="single" w:sz="6" w:space="0" w:color="019648"/>
              <w:left w:val="nil"/>
              <w:bottom w:val="single" w:sz="6" w:space="0" w:color="019648"/>
              <w:right w:val="nil"/>
            </w:tcBorders>
          </w:tcPr>
          <w:p w14:paraId="66B41379" w14:textId="7EBFC121" w:rsidR="00E05B98" w:rsidRPr="001E53C1" w:rsidRDefault="004E684F">
            <w:pPr>
              <w:pStyle w:val="TableParagraph"/>
              <w:spacing w:line="249" w:lineRule="auto"/>
              <w:ind w:right="168"/>
              <w:rPr>
                <w:sz w:val="20"/>
                <w:szCs w:val="20"/>
                <w:lang w:val="uk-UA"/>
              </w:rPr>
            </w:pPr>
            <w:r w:rsidRPr="001E53C1">
              <w:rPr>
                <w:sz w:val="20"/>
                <w:szCs w:val="20"/>
                <w:lang w:val="uk-UA"/>
              </w:rPr>
              <w:t>Умова 2 (</w:t>
            </w:r>
            <w:r w:rsidR="001E53C1">
              <w:rPr>
                <w:sz w:val="20"/>
                <w:szCs w:val="20"/>
                <w:lang w:val="uk-UA"/>
              </w:rPr>
              <w:t>об’єднання</w:t>
            </w:r>
            <w:r w:rsidRPr="001E53C1">
              <w:rPr>
                <w:sz w:val="20"/>
                <w:szCs w:val="20"/>
                <w:lang w:val="uk-UA"/>
              </w:rPr>
              <w:t xml:space="preserve"> на основі статистичних даних)</w:t>
            </w:r>
          </w:p>
        </w:tc>
        <w:tc>
          <w:tcPr>
            <w:tcW w:w="3175" w:type="dxa"/>
            <w:tcBorders>
              <w:top w:val="single" w:sz="6" w:space="0" w:color="019648"/>
              <w:left w:val="nil"/>
              <w:bottom w:val="single" w:sz="6" w:space="0" w:color="019648"/>
              <w:right w:val="nil"/>
            </w:tcBorders>
          </w:tcPr>
          <w:p w14:paraId="77B33C74" w14:textId="77777777" w:rsidR="004E684F" w:rsidRPr="001E53C1" w:rsidRDefault="004E684F" w:rsidP="004E684F">
            <w:pPr>
              <w:pStyle w:val="TableParagraph"/>
              <w:spacing w:line="249" w:lineRule="auto"/>
              <w:ind w:right="248"/>
              <w:jc w:val="both"/>
              <w:rPr>
                <w:sz w:val="20"/>
                <w:szCs w:val="20"/>
                <w:lang w:val="uk-UA"/>
              </w:rPr>
            </w:pPr>
            <w:r w:rsidRPr="001E53C1">
              <w:rPr>
                <w:sz w:val="20"/>
                <w:szCs w:val="20"/>
                <w:lang w:val="uk-UA"/>
              </w:rPr>
              <w:t>Об'єднана оцінка для одного тесту знаходиться в межах 95% ДІ від загальної об'єднаної оцінки</w:t>
            </w:r>
          </w:p>
          <w:p w14:paraId="32231E76" w14:textId="77777777" w:rsidR="004E684F" w:rsidRPr="001E53C1" w:rsidRDefault="004E684F" w:rsidP="004E684F">
            <w:pPr>
              <w:pStyle w:val="TableParagraph"/>
              <w:spacing w:line="249" w:lineRule="auto"/>
              <w:ind w:right="248"/>
              <w:jc w:val="both"/>
              <w:rPr>
                <w:sz w:val="20"/>
                <w:szCs w:val="20"/>
                <w:lang w:val="uk-UA"/>
              </w:rPr>
            </w:pPr>
            <w:r w:rsidRPr="001E53C1">
              <w:rPr>
                <w:sz w:val="20"/>
                <w:szCs w:val="20"/>
                <w:lang w:val="uk-UA"/>
              </w:rPr>
              <w:t>ТА</w:t>
            </w:r>
          </w:p>
          <w:p w14:paraId="060D08FA" w14:textId="08545323" w:rsidR="00E05B98" w:rsidRPr="001E53C1" w:rsidRDefault="004E684F" w:rsidP="004E684F">
            <w:pPr>
              <w:pStyle w:val="TableParagraph"/>
              <w:spacing w:before="96" w:line="249" w:lineRule="auto"/>
              <w:rPr>
                <w:sz w:val="20"/>
                <w:szCs w:val="20"/>
                <w:lang w:val="uk-UA"/>
              </w:rPr>
            </w:pPr>
            <w:r w:rsidRPr="001E53C1">
              <w:rPr>
                <w:sz w:val="20"/>
                <w:szCs w:val="20"/>
                <w:lang w:val="uk-UA"/>
              </w:rPr>
              <w:t>Об'єднана оцінка для одного тесту знаходиться в межах ±10% від загальної об'єднаної оцінки</w:t>
            </w:r>
          </w:p>
        </w:tc>
        <w:tc>
          <w:tcPr>
            <w:tcW w:w="3572" w:type="dxa"/>
            <w:tcBorders>
              <w:top w:val="single" w:sz="6" w:space="0" w:color="019648"/>
              <w:left w:val="nil"/>
              <w:bottom w:val="single" w:sz="6" w:space="0" w:color="019648"/>
              <w:right w:val="nil"/>
            </w:tcBorders>
          </w:tcPr>
          <w:p w14:paraId="7968D2B8" w14:textId="77777777" w:rsidR="004E684F" w:rsidRPr="001E53C1" w:rsidRDefault="004E684F" w:rsidP="004E684F">
            <w:pPr>
              <w:pStyle w:val="TableParagraph"/>
              <w:spacing w:line="249" w:lineRule="auto"/>
              <w:ind w:right="248"/>
              <w:jc w:val="both"/>
              <w:rPr>
                <w:sz w:val="20"/>
                <w:szCs w:val="20"/>
                <w:lang w:val="uk-UA"/>
              </w:rPr>
            </w:pPr>
            <w:r w:rsidRPr="001E53C1">
              <w:rPr>
                <w:sz w:val="20"/>
                <w:szCs w:val="20"/>
                <w:lang w:val="uk-UA"/>
              </w:rPr>
              <w:t>Об'єднана оцінка для одного тесту знаходиться в межах 95% ДІ від загальної об'єднаної оцінки</w:t>
            </w:r>
          </w:p>
          <w:p w14:paraId="4568CE0F" w14:textId="77777777" w:rsidR="004E684F" w:rsidRPr="001E53C1" w:rsidRDefault="004E684F" w:rsidP="004E684F">
            <w:pPr>
              <w:pStyle w:val="TableParagraph"/>
              <w:spacing w:line="249" w:lineRule="auto"/>
              <w:ind w:right="248"/>
              <w:jc w:val="both"/>
              <w:rPr>
                <w:sz w:val="20"/>
                <w:szCs w:val="20"/>
                <w:lang w:val="uk-UA"/>
              </w:rPr>
            </w:pPr>
            <w:r w:rsidRPr="001E53C1">
              <w:rPr>
                <w:sz w:val="20"/>
                <w:szCs w:val="20"/>
                <w:lang w:val="uk-UA"/>
              </w:rPr>
              <w:t>ТА</w:t>
            </w:r>
          </w:p>
          <w:p w14:paraId="735B271C" w14:textId="1904A7E7" w:rsidR="00E05B98" w:rsidRPr="001E53C1" w:rsidRDefault="004E684F" w:rsidP="004E684F">
            <w:pPr>
              <w:pStyle w:val="TableParagraph"/>
              <w:spacing w:before="96" w:line="249" w:lineRule="auto"/>
              <w:rPr>
                <w:sz w:val="20"/>
                <w:szCs w:val="20"/>
                <w:lang w:val="uk-UA"/>
              </w:rPr>
            </w:pPr>
            <w:r w:rsidRPr="001E53C1">
              <w:rPr>
                <w:sz w:val="20"/>
                <w:szCs w:val="20"/>
                <w:lang w:val="uk-UA"/>
              </w:rPr>
              <w:t>Об'єднана оцінка для одного тесту знаходиться в межах ±5% від загальної об'єднаної оцінки</w:t>
            </w:r>
          </w:p>
        </w:tc>
      </w:tr>
    </w:tbl>
    <w:p w14:paraId="717707D5" w14:textId="3F09E986" w:rsidR="00E05B98" w:rsidRPr="003C6DAE" w:rsidRDefault="004E684F">
      <w:pPr>
        <w:spacing w:before="143"/>
        <w:ind w:left="567"/>
        <w:jc w:val="both"/>
        <w:rPr>
          <w:sz w:val="16"/>
          <w:szCs w:val="16"/>
          <w:lang w:val="uk-UA"/>
        </w:rPr>
      </w:pPr>
      <w:r w:rsidRPr="003C6DAE">
        <w:rPr>
          <w:sz w:val="16"/>
          <w:szCs w:val="16"/>
          <w:lang w:val="uk-UA"/>
        </w:rPr>
        <w:t>ДІ</w:t>
      </w:r>
      <w:r w:rsidR="00B01E0C" w:rsidRPr="003C6DAE">
        <w:rPr>
          <w:sz w:val="16"/>
          <w:szCs w:val="16"/>
          <w:lang w:val="uk-UA"/>
        </w:rPr>
        <w:t>:</w:t>
      </w:r>
      <w:r w:rsidR="00B01E0C" w:rsidRPr="003C6DAE">
        <w:rPr>
          <w:spacing w:val="-5"/>
          <w:sz w:val="16"/>
          <w:szCs w:val="16"/>
          <w:lang w:val="uk-UA"/>
        </w:rPr>
        <w:t xml:space="preserve"> </w:t>
      </w:r>
      <w:r w:rsidRPr="003C6DAE">
        <w:rPr>
          <w:sz w:val="16"/>
          <w:szCs w:val="16"/>
          <w:lang w:val="uk-UA"/>
        </w:rPr>
        <w:t>довірчий інтервал</w:t>
      </w:r>
      <w:r w:rsidR="00B01E0C" w:rsidRPr="003C6DAE">
        <w:rPr>
          <w:sz w:val="16"/>
          <w:szCs w:val="16"/>
          <w:lang w:val="uk-UA"/>
        </w:rPr>
        <w:t>;</w:t>
      </w:r>
      <w:r w:rsidR="00B01E0C" w:rsidRPr="003C6DAE">
        <w:rPr>
          <w:spacing w:val="-5"/>
          <w:sz w:val="16"/>
          <w:szCs w:val="16"/>
          <w:lang w:val="uk-UA"/>
        </w:rPr>
        <w:t xml:space="preserve"> </w:t>
      </w:r>
      <w:r w:rsidRPr="003C6DAE">
        <w:rPr>
          <w:sz w:val="16"/>
          <w:szCs w:val="16"/>
          <w:lang w:val="uk-UA"/>
        </w:rPr>
        <w:t>ТАНК</w:t>
      </w:r>
      <w:r w:rsidR="00B01E0C" w:rsidRPr="003C6DAE">
        <w:rPr>
          <w:sz w:val="16"/>
          <w:szCs w:val="16"/>
          <w:lang w:val="uk-UA"/>
        </w:rPr>
        <w:t>:</w:t>
      </w:r>
      <w:r w:rsidR="00B01E0C" w:rsidRPr="003C6DAE">
        <w:rPr>
          <w:spacing w:val="-5"/>
          <w:sz w:val="16"/>
          <w:szCs w:val="16"/>
          <w:lang w:val="uk-UA"/>
        </w:rPr>
        <w:t xml:space="preserve"> </w:t>
      </w:r>
      <w:r w:rsidRPr="003C6DAE">
        <w:rPr>
          <w:spacing w:val="-5"/>
          <w:sz w:val="16"/>
          <w:szCs w:val="16"/>
          <w:lang w:val="uk-UA"/>
        </w:rPr>
        <w:t>тест ампліфікаці</w:t>
      </w:r>
      <w:r w:rsidR="001E53C1">
        <w:rPr>
          <w:spacing w:val="-5"/>
          <w:sz w:val="16"/>
          <w:szCs w:val="16"/>
          <w:lang w:val="uk-UA"/>
        </w:rPr>
        <w:t>ї</w:t>
      </w:r>
      <w:r w:rsidRPr="003C6DAE">
        <w:rPr>
          <w:spacing w:val="-5"/>
          <w:sz w:val="16"/>
          <w:szCs w:val="16"/>
          <w:lang w:val="uk-UA"/>
        </w:rPr>
        <w:t xml:space="preserve"> нуклеїнових кислот</w:t>
      </w:r>
      <w:r w:rsidR="00B01E0C" w:rsidRPr="003C6DAE">
        <w:rPr>
          <w:sz w:val="16"/>
          <w:szCs w:val="16"/>
          <w:lang w:val="uk-UA"/>
        </w:rPr>
        <w:t>;</w:t>
      </w:r>
      <w:r w:rsidR="00B01E0C" w:rsidRPr="003C6DAE">
        <w:rPr>
          <w:spacing w:val="-5"/>
          <w:sz w:val="16"/>
          <w:szCs w:val="16"/>
          <w:lang w:val="uk-UA"/>
        </w:rPr>
        <w:t xml:space="preserve"> </w:t>
      </w:r>
      <w:r w:rsidRPr="003C6DAE">
        <w:rPr>
          <w:sz w:val="16"/>
          <w:szCs w:val="16"/>
          <w:lang w:val="uk-UA"/>
        </w:rPr>
        <w:t>ТБ</w:t>
      </w:r>
      <w:r w:rsidR="00B01E0C" w:rsidRPr="003C6DAE">
        <w:rPr>
          <w:sz w:val="16"/>
          <w:szCs w:val="16"/>
          <w:lang w:val="uk-UA"/>
        </w:rPr>
        <w:t>:</w:t>
      </w:r>
      <w:r w:rsidR="00B01E0C" w:rsidRPr="003C6DAE">
        <w:rPr>
          <w:spacing w:val="-4"/>
          <w:sz w:val="16"/>
          <w:szCs w:val="16"/>
          <w:lang w:val="uk-UA"/>
        </w:rPr>
        <w:t xml:space="preserve"> </w:t>
      </w:r>
      <w:r w:rsidRPr="003C6DAE">
        <w:rPr>
          <w:spacing w:val="-2"/>
          <w:sz w:val="16"/>
          <w:szCs w:val="16"/>
          <w:lang w:val="uk-UA"/>
        </w:rPr>
        <w:t>туберкульоз</w:t>
      </w:r>
      <w:r w:rsidR="00B01E0C" w:rsidRPr="003C6DAE">
        <w:rPr>
          <w:spacing w:val="-2"/>
          <w:sz w:val="16"/>
          <w:szCs w:val="16"/>
          <w:lang w:val="uk-UA"/>
        </w:rPr>
        <w:t>.</w:t>
      </w:r>
    </w:p>
    <w:p w14:paraId="7E747B00" w14:textId="77777777" w:rsidR="00E05B98" w:rsidRPr="003C6DAE" w:rsidRDefault="00E05B98">
      <w:pPr>
        <w:pStyle w:val="a3"/>
        <w:spacing w:before="119"/>
        <w:rPr>
          <w:sz w:val="18"/>
          <w:lang w:val="uk-UA"/>
        </w:rPr>
      </w:pPr>
    </w:p>
    <w:p w14:paraId="559F9C52" w14:textId="4980DAF5" w:rsidR="00E05B98" w:rsidRPr="001E53C1" w:rsidRDefault="004E684F">
      <w:pPr>
        <w:pStyle w:val="a3"/>
        <w:spacing w:line="268" w:lineRule="auto"/>
        <w:ind w:left="567"/>
        <w:rPr>
          <w:sz w:val="20"/>
          <w:szCs w:val="20"/>
          <w:lang w:val="uk-UA"/>
        </w:rPr>
      </w:pPr>
      <w:r w:rsidRPr="001E53C1">
        <w:rPr>
          <w:spacing w:val="-2"/>
          <w:sz w:val="20"/>
          <w:szCs w:val="20"/>
          <w:lang w:val="uk-UA"/>
        </w:rPr>
        <w:t>Синтез даних був структурований навколо трьох попередньо визначених запитань PICO, як зазначено нижче. Три веб-додатки</w:t>
      </w:r>
      <w:r w:rsidRPr="001E53C1">
        <w:rPr>
          <w:spacing w:val="-2"/>
          <w:sz w:val="20"/>
          <w:szCs w:val="20"/>
          <w:vertAlign w:val="superscript"/>
          <w:lang w:val="uk-UA"/>
        </w:rPr>
        <w:t>8</w:t>
      </w:r>
      <w:r w:rsidRPr="001E53C1">
        <w:rPr>
          <w:spacing w:val="-2"/>
          <w:sz w:val="20"/>
          <w:szCs w:val="20"/>
          <w:lang w:val="uk-UA"/>
        </w:rPr>
        <w:t xml:space="preserve"> містять наступну додаткову інформацію:</w:t>
      </w:r>
    </w:p>
    <w:p w14:paraId="3B7DE013" w14:textId="77777777" w:rsidR="00B94C23" w:rsidRPr="001E53C1" w:rsidRDefault="00B94C23" w:rsidP="004A2937">
      <w:pPr>
        <w:pStyle w:val="a4"/>
        <w:numPr>
          <w:ilvl w:val="0"/>
          <w:numId w:val="25"/>
        </w:numPr>
        <w:tabs>
          <w:tab w:val="left" w:pos="850"/>
        </w:tabs>
        <w:spacing w:before="114" w:line="295" w:lineRule="auto"/>
        <w:ind w:right="140"/>
        <w:jc w:val="left"/>
        <w:rPr>
          <w:sz w:val="20"/>
          <w:szCs w:val="20"/>
          <w:lang w:val="uk-UA"/>
        </w:rPr>
      </w:pPr>
      <w:r w:rsidRPr="001E53C1">
        <w:rPr>
          <w:sz w:val="20"/>
          <w:szCs w:val="20"/>
          <w:lang w:val="uk-UA"/>
        </w:rPr>
        <w:t>детальну інформацію про дослідження, включені до поточного аналізу (</w:t>
      </w:r>
      <w:r w:rsidRPr="001E53C1">
        <w:rPr>
          <w:b/>
          <w:sz w:val="20"/>
          <w:szCs w:val="20"/>
          <w:lang w:val="uk-UA"/>
        </w:rPr>
        <w:t>Веб-додаток 1.3:</w:t>
      </w:r>
      <w:r w:rsidRPr="001E53C1">
        <w:rPr>
          <w:sz w:val="20"/>
          <w:szCs w:val="20"/>
          <w:lang w:val="uk-UA"/>
        </w:rPr>
        <w:t xml:space="preserve"> </w:t>
      </w:r>
      <w:r w:rsidRPr="001E53C1">
        <w:rPr>
          <w:i/>
          <w:sz w:val="20"/>
          <w:szCs w:val="20"/>
          <w:lang w:val="uk-UA"/>
        </w:rPr>
        <w:t>Автоматизовані ТАНК помірної складності</w:t>
      </w:r>
      <w:r w:rsidR="00B01E0C" w:rsidRPr="001E53C1">
        <w:rPr>
          <w:sz w:val="20"/>
          <w:szCs w:val="20"/>
          <w:lang w:val="uk-UA"/>
        </w:rPr>
        <w:t>;</w:t>
      </w:r>
    </w:p>
    <w:p w14:paraId="4A2FBE69" w14:textId="30B173A7" w:rsidR="00E05B98" w:rsidRPr="001E53C1" w:rsidRDefault="00B94C23" w:rsidP="004A2937">
      <w:pPr>
        <w:pStyle w:val="a4"/>
        <w:numPr>
          <w:ilvl w:val="0"/>
          <w:numId w:val="25"/>
        </w:numPr>
        <w:tabs>
          <w:tab w:val="left" w:pos="850"/>
        </w:tabs>
        <w:spacing w:before="114" w:line="295" w:lineRule="auto"/>
        <w:ind w:right="140"/>
        <w:jc w:val="left"/>
        <w:rPr>
          <w:sz w:val="20"/>
          <w:szCs w:val="20"/>
          <w:lang w:val="uk-UA"/>
        </w:rPr>
      </w:pPr>
      <w:r w:rsidRPr="001E53C1">
        <w:rPr>
          <w:sz w:val="20"/>
          <w:szCs w:val="20"/>
          <w:lang w:val="uk-UA"/>
        </w:rPr>
        <w:t>резюме результатів та деталі оцінки якості доказів (</w:t>
      </w:r>
      <w:r w:rsidRPr="001E53C1">
        <w:rPr>
          <w:b/>
          <w:sz w:val="20"/>
          <w:szCs w:val="20"/>
          <w:lang w:val="uk-UA"/>
        </w:rPr>
        <w:t>Веб-додаток 2.3:</w:t>
      </w:r>
      <w:r w:rsidRPr="001E53C1">
        <w:rPr>
          <w:sz w:val="20"/>
          <w:szCs w:val="20"/>
          <w:lang w:val="uk-UA"/>
        </w:rPr>
        <w:t xml:space="preserve"> </w:t>
      </w:r>
      <w:r w:rsidRPr="001E53C1">
        <w:rPr>
          <w:i/>
          <w:sz w:val="20"/>
          <w:szCs w:val="20"/>
          <w:lang w:val="uk-UA"/>
        </w:rPr>
        <w:t>Автоматизовані ТАНК помірної складності</w:t>
      </w:r>
      <w:r w:rsidRPr="001E53C1">
        <w:rPr>
          <w:sz w:val="20"/>
          <w:szCs w:val="20"/>
          <w:lang w:val="uk-UA"/>
        </w:rPr>
        <w:t>); та</w:t>
      </w:r>
    </w:p>
    <w:p w14:paraId="22AE95FA" w14:textId="42CD0161" w:rsidR="00B94C23" w:rsidRPr="001E53C1" w:rsidRDefault="0064626F" w:rsidP="004A2937">
      <w:pPr>
        <w:pStyle w:val="a4"/>
        <w:numPr>
          <w:ilvl w:val="0"/>
          <w:numId w:val="25"/>
        </w:numPr>
        <w:tabs>
          <w:tab w:val="left" w:pos="850"/>
        </w:tabs>
        <w:spacing w:before="114" w:line="295" w:lineRule="auto"/>
        <w:ind w:right="140"/>
        <w:jc w:val="left"/>
        <w:rPr>
          <w:sz w:val="20"/>
          <w:szCs w:val="20"/>
          <w:lang w:val="uk-UA"/>
        </w:rPr>
      </w:pPr>
      <w:r>
        <w:rPr>
          <w:sz w:val="20"/>
          <w:szCs w:val="20"/>
          <w:lang w:val="uk-UA"/>
        </w:rPr>
        <w:t>короткий</w:t>
      </w:r>
      <w:r w:rsidR="00B94C23" w:rsidRPr="001E53C1">
        <w:rPr>
          <w:sz w:val="20"/>
          <w:szCs w:val="20"/>
          <w:lang w:val="uk-UA"/>
        </w:rPr>
        <w:t xml:space="preserve"> виклад рішень особового складу ГРН (</w:t>
      </w:r>
      <w:r w:rsidR="00B94C23" w:rsidRPr="001E53C1">
        <w:rPr>
          <w:b/>
          <w:sz w:val="20"/>
          <w:szCs w:val="20"/>
          <w:lang w:val="uk-UA"/>
        </w:rPr>
        <w:t>Веб-додаток 3.3:</w:t>
      </w:r>
      <w:r w:rsidR="00B94C23" w:rsidRPr="001E53C1">
        <w:rPr>
          <w:sz w:val="20"/>
          <w:szCs w:val="20"/>
          <w:lang w:val="uk-UA"/>
        </w:rPr>
        <w:t xml:space="preserve"> </w:t>
      </w:r>
      <w:r w:rsidR="00B94C23" w:rsidRPr="001E53C1">
        <w:rPr>
          <w:i/>
          <w:sz w:val="20"/>
          <w:szCs w:val="20"/>
          <w:lang w:val="uk-UA"/>
        </w:rPr>
        <w:t>Автоматизовані ТАНК помірної складності</w:t>
      </w:r>
      <w:r w:rsidR="00B94C23" w:rsidRPr="001E53C1">
        <w:rPr>
          <w:sz w:val="20"/>
          <w:szCs w:val="20"/>
          <w:lang w:val="uk-UA"/>
        </w:rPr>
        <w:t>).</w:t>
      </w:r>
    </w:p>
    <w:p w14:paraId="24A8935E" w14:textId="77777777" w:rsidR="00E05B98" w:rsidRPr="003C6DAE" w:rsidRDefault="00E05B98">
      <w:pPr>
        <w:pStyle w:val="a3"/>
        <w:rPr>
          <w:sz w:val="20"/>
          <w:lang w:val="uk-UA"/>
        </w:rPr>
      </w:pPr>
    </w:p>
    <w:p w14:paraId="722A5317" w14:textId="38C8756F" w:rsidR="00E05B98" w:rsidRPr="003C6DAE" w:rsidRDefault="00B01E0C" w:rsidP="004E684F">
      <w:pPr>
        <w:pStyle w:val="a3"/>
        <w:spacing w:before="1"/>
        <w:rPr>
          <w:sz w:val="20"/>
          <w:lang w:val="uk-UA"/>
        </w:rPr>
      </w:pPr>
      <w:r w:rsidRPr="003C6DAE">
        <w:rPr>
          <w:noProof/>
          <w:sz w:val="20"/>
          <w:lang w:val="uk-UA"/>
        </w:rPr>
        <mc:AlternateContent>
          <mc:Choice Requires="wps">
            <w:drawing>
              <wp:anchor distT="0" distB="0" distL="0" distR="0" simplePos="0" relativeHeight="487767040" behindDoc="1" locked="0" layoutInCell="1" allowOverlap="1" wp14:anchorId="7AEDBAA7" wp14:editId="164F2B36">
                <wp:simplePos x="0" y="0"/>
                <wp:positionH relativeFrom="page">
                  <wp:posOffset>899999</wp:posOffset>
                </wp:positionH>
                <wp:positionV relativeFrom="paragraph">
                  <wp:posOffset>159943</wp:posOffset>
                </wp:positionV>
                <wp:extent cx="1440180" cy="1270"/>
                <wp:effectExtent l="0" t="0" r="0" b="0"/>
                <wp:wrapTopAndBottom/>
                <wp:docPr id="1059" name="Graphic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D1E5E1" id="Graphic 1059" o:spid="_x0000_s1026" style="position:absolute;margin-left:70.85pt;margin-top:12.6pt;width:113.4pt;height:.1pt;z-index:-15549440;visibility:visible;mso-wrap-style:square;mso-wrap-distance-left:0;mso-wrap-distance-top:0;mso-wrap-distance-right:0;mso-wrap-distance-bottom:0;mso-position-horizontal:absolute;mso-position-horizontal-relative:page;mso-position-vertical:absolute;mso-position-vertical-relative:text;v-text-anchor:top" coordsize="1440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" path="m,l1440002,e" filled="f" strokeweight=".5pt">
                <v:path arrowok="t"/>
                <w10:wrap type="topAndBottom" anchorx="page"/>
              </v:shape>
            </w:pict>
          </mc:Fallback>
        </mc:AlternateContent>
      </w:r>
    </w:p>
    <w:p w14:paraId="5CC2804E" w14:textId="70D359EB" w:rsidR="00E05B98" w:rsidRPr="003C6DAE" w:rsidRDefault="00B01E0C">
      <w:pPr>
        <w:spacing w:before="124"/>
        <w:ind w:left="567"/>
        <w:rPr>
          <w:sz w:val="16"/>
          <w:lang w:val="uk-UA"/>
        </w:rPr>
      </w:pPr>
      <w:r w:rsidRPr="003C6DAE">
        <w:rPr>
          <w:w w:val="105"/>
          <w:sz w:val="16"/>
          <w:vertAlign w:val="superscript"/>
          <w:lang w:val="uk-UA"/>
        </w:rPr>
        <w:t>8</w:t>
      </w:r>
      <w:r w:rsidRPr="003C6DAE">
        <w:rPr>
          <w:spacing w:val="73"/>
          <w:w w:val="150"/>
          <w:sz w:val="16"/>
          <w:lang w:val="uk-UA"/>
        </w:rPr>
        <w:t xml:space="preserve"> </w:t>
      </w:r>
      <w:r w:rsidR="00B94C23" w:rsidRPr="003C6DAE">
        <w:rPr>
          <w:w w:val="105"/>
          <w:sz w:val="16"/>
          <w:lang w:val="uk-UA"/>
        </w:rPr>
        <w:t>Повний список веб-додатків наведено на стор. 172–173.</w:t>
      </w:r>
    </w:p>
    <w:p w14:paraId="2CC1205B" w14:textId="77777777" w:rsidR="00E05B98" w:rsidRPr="003C6DAE" w:rsidRDefault="00E05B98">
      <w:pPr>
        <w:rPr>
          <w:sz w:val="16"/>
          <w:lang w:val="uk-UA"/>
        </w:rPr>
        <w:sectPr w:rsidR="00E05B98" w:rsidRPr="003C6DAE" w:rsidSect="00C10420">
          <w:pgSz w:w="11910" w:h="16840"/>
          <w:pgMar w:top="993" w:right="995" w:bottom="760" w:left="850" w:header="0" w:footer="573" w:gutter="0"/>
          <w:cols w:space="720"/>
        </w:sectPr>
      </w:pPr>
    </w:p>
    <w:p w14:paraId="77E632D7" w14:textId="1EC9F095" w:rsidR="00E05B98" w:rsidRPr="003C6DAE" w:rsidRDefault="00B94C23" w:rsidP="004347D8">
      <w:pPr>
        <w:pStyle w:val="6"/>
        <w:spacing w:before="240" w:line="249" w:lineRule="auto"/>
        <w:ind w:left="2552" w:right="5" w:hanging="1985"/>
        <w:jc w:val="both"/>
        <w:rPr>
          <w:sz w:val="22"/>
          <w:szCs w:val="22"/>
          <w:lang w:val="uk-UA"/>
        </w:rPr>
      </w:pPr>
      <w:r w:rsidRPr="003C6DAE">
        <w:rPr>
          <w:sz w:val="22"/>
          <w:szCs w:val="22"/>
          <w:lang w:val="uk-UA"/>
        </w:rPr>
        <w:lastRenderedPageBreak/>
        <w:t xml:space="preserve">Запитання </w:t>
      </w:r>
      <w:r w:rsidR="00B01E0C" w:rsidRPr="003C6DAE">
        <w:rPr>
          <w:sz w:val="22"/>
          <w:szCs w:val="22"/>
          <w:lang w:val="uk-UA"/>
        </w:rPr>
        <w:t>PICO</w:t>
      </w:r>
      <w:r w:rsidR="00B01E0C" w:rsidRPr="003C6DAE">
        <w:rPr>
          <w:spacing w:val="-13"/>
          <w:sz w:val="22"/>
          <w:szCs w:val="22"/>
          <w:lang w:val="uk-UA"/>
        </w:rPr>
        <w:t xml:space="preserve"> </w:t>
      </w:r>
      <w:r w:rsidR="00B01E0C" w:rsidRPr="003C6DAE">
        <w:rPr>
          <w:sz w:val="22"/>
          <w:szCs w:val="22"/>
          <w:lang w:val="uk-UA"/>
        </w:rPr>
        <w:t>1:</w:t>
      </w:r>
      <w:r w:rsidR="00B01E0C" w:rsidRPr="003C6DAE">
        <w:rPr>
          <w:spacing w:val="-13"/>
          <w:sz w:val="22"/>
          <w:szCs w:val="22"/>
          <w:lang w:val="uk-UA"/>
        </w:rPr>
        <w:t xml:space="preserve"> </w:t>
      </w:r>
      <w:r w:rsidR="00961486" w:rsidRPr="003C6DAE">
        <w:rPr>
          <w:sz w:val="22"/>
          <w:szCs w:val="22"/>
          <w:lang w:val="uk-UA"/>
        </w:rPr>
        <w:t xml:space="preserve">Чи слід використовувати автоматизовані ТАНК помірної складності </w:t>
      </w:r>
      <w:r w:rsidR="001E53C1">
        <w:rPr>
          <w:sz w:val="22"/>
          <w:szCs w:val="22"/>
          <w:lang w:val="uk-UA"/>
        </w:rPr>
        <w:t>на</w:t>
      </w:r>
      <w:r w:rsidR="00961486" w:rsidRPr="003C6DAE">
        <w:rPr>
          <w:sz w:val="22"/>
          <w:szCs w:val="22"/>
          <w:lang w:val="uk-UA"/>
        </w:rPr>
        <w:t xml:space="preserve"> зразк</w:t>
      </w:r>
      <w:r w:rsidR="001E53C1">
        <w:rPr>
          <w:sz w:val="22"/>
          <w:szCs w:val="22"/>
          <w:lang w:val="uk-UA"/>
        </w:rPr>
        <w:t>ах</w:t>
      </w:r>
      <w:r w:rsidR="00961486" w:rsidRPr="003C6DAE">
        <w:rPr>
          <w:sz w:val="22"/>
          <w:szCs w:val="22"/>
          <w:lang w:val="uk-UA"/>
        </w:rPr>
        <w:t xml:space="preserve"> із дихальних шляхів  у людей з ознаками та симптомами легеневого ТБ для виявлення ТБ легень  порівняно з методом бакпосіву?</w:t>
      </w:r>
    </w:p>
    <w:p w14:paraId="5539527F" w14:textId="7CAC7F25" w:rsidR="00E05B98" w:rsidRPr="003C6DAE" w:rsidRDefault="004347D8" w:rsidP="00DD3C0C">
      <w:pPr>
        <w:pStyle w:val="a3"/>
        <w:spacing w:before="218" w:line="297" w:lineRule="auto"/>
        <w:ind w:left="567" w:right="139"/>
        <w:jc w:val="both"/>
        <w:rPr>
          <w:sz w:val="20"/>
          <w:szCs w:val="20"/>
          <w:lang w:val="uk-UA"/>
        </w:rPr>
      </w:pPr>
      <w:r w:rsidRPr="003C6DAE">
        <w:rPr>
          <w:sz w:val="20"/>
          <w:szCs w:val="20"/>
          <w:lang w:val="uk-UA"/>
        </w:rPr>
        <w:t>Загалом під час проведення 29 досліджень, які включали тестування 13 852 зразків, надали дані для оцінки виявлення ТБ за допомогою п'яти індексних тестів (</w:t>
      </w:r>
      <w:r w:rsidRPr="003C6DAE">
        <w:rPr>
          <w:b/>
          <w:sz w:val="20"/>
          <w:szCs w:val="20"/>
          <w:lang w:val="uk-UA"/>
        </w:rPr>
        <w:t>Рис. 2.1.2.1</w:t>
      </w:r>
      <w:r w:rsidRPr="003C6DAE">
        <w:rPr>
          <w:sz w:val="20"/>
          <w:szCs w:val="20"/>
          <w:lang w:val="uk-UA"/>
        </w:rPr>
        <w:t>). З цих 29 досліджень</w:t>
      </w:r>
      <w:r w:rsidR="0064626F">
        <w:rPr>
          <w:sz w:val="20"/>
          <w:szCs w:val="20"/>
          <w:lang w:val="uk-UA"/>
        </w:rPr>
        <w:t>:</w:t>
      </w:r>
      <w:r w:rsidRPr="003C6DAE">
        <w:rPr>
          <w:sz w:val="20"/>
          <w:szCs w:val="20"/>
          <w:lang w:val="uk-UA"/>
        </w:rPr>
        <w:t xml:space="preserve"> </w:t>
      </w:r>
      <w:r w:rsidR="0064626F">
        <w:rPr>
          <w:sz w:val="20"/>
          <w:szCs w:val="20"/>
          <w:lang w:val="uk-UA"/>
        </w:rPr>
        <w:t xml:space="preserve">у </w:t>
      </w:r>
      <w:r w:rsidRPr="003C6DAE">
        <w:rPr>
          <w:sz w:val="20"/>
          <w:szCs w:val="20"/>
          <w:lang w:val="uk-UA"/>
        </w:rPr>
        <w:t xml:space="preserve">12 </w:t>
      </w:r>
      <w:r w:rsidR="0000617E">
        <w:rPr>
          <w:sz w:val="20"/>
          <w:szCs w:val="20"/>
          <w:lang w:val="uk-UA"/>
        </w:rPr>
        <w:t>дослідженнях</w:t>
      </w:r>
      <w:r w:rsidR="0064626F">
        <w:rPr>
          <w:sz w:val="20"/>
          <w:szCs w:val="20"/>
          <w:lang w:val="uk-UA"/>
        </w:rPr>
        <w:t xml:space="preserve"> </w:t>
      </w:r>
      <w:r w:rsidRPr="003C6DAE">
        <w:rPr>
          <w:sz w:val="20"/>
          <w:szCs w:val="20"/>
          <w:lang w:val="uk-UA"/>
        </w:rPr>
        <w:t>використ</w:t>
      </w:r>
      <w:r w:rsidR="0064626F">
        <w:rPr>
          <w:sz w:val="20"/>
          <w:szCs w:val="20"/>
          <w:lang w:val="uk-UA"/>
        </w:rPr>
        <w:t>овували</w:t>
      </w:r>
      <w:r w:rsidRPr="003C6DAE">
        <w:rPr>
          <w:sz w:val="20"/>
          <w:szCs w:val="20"/>
          <w:lang w:val="uk-UA"/>
        </w:rPr>
        <w:t xml:space="preserve"> тест Abbott RealTime MTB,</w:t>
      </w:r>
      <w:r w:rsidR="0064626F">
        <w:rPr>
          <w:sz w:val="20"/>
          <w:szCs w:val="20"/>
          <w:lang w:val="uk-UA"/>
        </w:rPr>
        <w:t xml:space="preserve"> у</w:t>
      </w:r>
      <w:r w:rsidRPr="003C6DAE">
        <w:rPr>
          <w:sz w:val="20"/>
          <w:szCs w:val="20"/>
          <w:lang w:val="uk-UA"/>
        </w:rPr>
        <w:t xml:space="preserve"> ш</w:t>
      </w:r>
      <w:r w:rsidR="0064626F">
        <w:rPr>
          <w:sz w:val="20"/>
          <w:szCs w:val="20"/>
          <w:lang w:val="uk-UA"/>
        </w:rPr>
        <w:t>ести</w:t>
      </w:r>
      <w:r w:rsidRPr="003C6DAE">
        <w:rPr>
          <w:sz w:val="20"/>
          <w:szCs w:val="20"/>
          <w:lang w:val="uk-UA"/>
        </w:rPr>
        <w:t xml:space="preserve"> - </w:t>
      </w:r>
      <w:r w:rsidR="0064626F">
        <w:rPr>
          <w:sz w:val="20"/>
          <w:szCs w:val="20"/>
          <w:lang w:val="uk-UA"/>
        </w:rPr>
        <w:t>тест</w:t>
      </w:r>
      <w:r w:rsidRPr="003C6DAE">
        <w:rPr>
          <w:sz w:val="20"/>
          <w:szCs w:val="20"/>
          <w:lang w:val="uk-UA"/>
        </w:rPr>
        <w:t xml:space="preserve"> FluoroType MTB, </w:t>
      </w:r>
      <w:r w:rsidR="0064626F">
        <w:rPr>
          <w:sz w:val="20"/>
          <w:szCs w:val="20"/>
          <w:lang w:val="uk-UA"/>
        </w:rPr>
        <w:t xml:space="preserve">у </w:t>
      </w:r>
      <w:r w:rsidRPr="003C6DAE">
        <w:rPr>
          <w:sz w:val="20"/>
          <w:szCs w:val="20"/>
          <w:lang w:val="uk-UA"/>
        </w:rPr>
        <w:t>чотир</w:t>
      </w:r>
      <w:r w:rsidR="0064626F">
        <w:rPr>
          <w:sz w:val="20"/>
          <w:szCs w:val="20"/>
          <w:lang w:val="uk-UA"/>
        </w:rPr>
        <w:t>ьох</w:t>
      </w:r>
      <w:r w:rsidRPr="003C6DAE">
        <w:rPr>
          <w:sz w:val="20"/>
          <w:szCs w:val="20"/>
          <w:lang w:val="uk-UA"/>
        </w:rPr>
        <w:t xml:space="preserve"> - тест FluoroType MTBDR, </w:t>
      </w:r>
      <w:r w:rsidR="0064626F">
        <w:rPr>
          <w:sz w:val="20"/>
          <w:szCs w:val="20"/>
          <w:lang w:val="uk-UA"/>
        </w:rPr>
        <w:t xml:space="preserve">у </w:t>
      </w:r>
      <w:r w:rsidRPr="003C6DAE">
        <w:rPr>
          <w:sz w:val="20"/>
          <w:szCs w:val="20"/>
          <w:lang w:val="uk-UA"/>
        </w:rPr>
        <w:t>п'ят</w:t>
      </w:r>
      <w:r w:rsidR="0064626F">
        <w:rPr>
          <w:sz w:val="20"/>
          <w:szCs w:val="20"/>
          <w:lang w:val="uk-UA"/>
        </w:rPr>
        <w:t>и</w:t>
      </w:r>
      <w:r w:rsidRPr="003C6DAE">
        <w:rPr>
          <w:sz w:val="20"/>
          <w:szCs w:val="20"/>
          <w:lang w:val="uk-UA"/>
        </w:rPr>
        <w:t xml:space="preserve"> - тест BD MAX і </w:t>
      </w:r>
      <w:r w:rsidR="0064626F">
        <w:rPr>
          <w:sz w:val="20"/>
          <w:szCs w:val="20"/>
          <w:lang w:val="uk-UA"/>
        </w:rPr>
        <w:t xml:space="preserve">у </w:t>
      </w:r>
      <w:r w:rsidRPr="003C6DAE">
        <w:rPr>
          <w:sz w:val="20"/>
          <w:szCs w:val="20"/>
          <w:lang w:val="uk-UA"/>
        </w:rPr>
        <w:t>дв</w:t>
      </w:r>
      <w:r w:rsidR="0064626F">
        <w:rPr>
          <w:sz w:val="20"/>
          <w:szCs w:val="20"/>
          <w:lang w:val="uk-UA"/>
        </w:rPr>
        <w:t>ох</w:t>
      </w:r>
      <w:r w:rsidRPr="003C6DAE">
        <w:rPr>
          <w:sz w:val="20"/>
          <w:szCs w:val="20"/>
          <w:lang w:val="uk-UA"/>
        </w:rPr>
        <w:t xml:space="preserve"> - тест cobas MTB.</w:t>
      </w:r>
      <w:r w:rsidR="0064626F">
        <w:rPr>
          <w:sz w:val="20"/>
          <w:szCs w:val="20"/>
          <w:lang w:val="uk-UA"/>
        </w:rPr>
        <w:t xml:space="preserve"> Д</w:t>
      </w:r>
      <w:r w:rsidR="0064626F" w:rsidRPr="003C6DAE">
        <w:rPr>
          <w:sz w:val="20"/>
          <w:szCs w:val="20"/>
          <w:lang w:val="uk-UA"/>
        </w:rPr>
        <w:t>ля виявлення ТБ</w:t>
      </w:r>
      <w:r w:rsidRPr="003C6DAE">
        <w:rPr>
          <w:sz w:val="20"/>
          <w:szCs w:val="20"/>
          <w:lang w:val="uk-UA"/>
        </w:rPr>
        <w:t xml:space="preserve"> </w:t>
      </w:r>
      <w:r w:rsidR="0064626F">
        <w:rPr>
          <w:sz w:val="20"/>
          <w:szCs w:val="20"/>
          <w:lang w:val="uk-UA"/>
        </w:rPr>
        <w:t>е</w:t>
      </w:r>
      <w:r w:rsidRPr="003C6DAE">
        <w:rPr>
          <w:sz w:val="20"/>
          <w:szCs w:val="20"/>
          <w:lang w:val="uk-UA"/>
        </w:rPr>
        <w:t>талонним стандартом для кожного з цих досліджень був бакпосів мікобактерій.</w:t>
      </w:r>
    </w:p>
    <w:p w14:paraId="131EBDA9" w14:textId="314EEF53" w:rsidR="00E05B98" w:rsidRPr="003C6DAE" w:rsidRDefault="004347D8" w:rsidP="00DD3C0C">
      <w:pPr>
        <w:pStyle w:val="a3"/>
        <w:spacing w:before="171" w:line="297" w:lineRule="auto"/>
        <w:ind w:left="567" w:right="137"/>
        <w:jc w:val="both"/>
        <w:rPr>
          <w:sz w:val="20"/>
          <w:szCs w:val="20"/>
          <w:lang w:val="uk-UA"/>
        </w:rPr>
      </w:pPr>
      <w:r w:rsidRPr="003C6DAE">
        <w:rPr>
          <w:w w:val="105"/>
          <w:sz w:val="20"/>
          <w:szCs w:val="20"/>
          <w:lang w:val="uk-UA"/>
        </w:rPr>
        <w:t xml:space="preserve">Із 29 досліджень - 16 (55%) мали високий або неясний ризик систематичної похибки, оскільки під час цих </w:t>
      </w:r>
      <w:r w:rsidR="0000617E" w:rsidRPr="003C6DAE">
        <w:rPr>
          <w:w w:val="105"/>
          <w:sz w:val="20"/>
          <w:szCs w:val="20"/>
          <w:lang w:val="uk-UA"/>
        </w:rPr>
        <w:t>досліджень</w:t>
      </w:r>
      <w:r w:rsidRPr="003C6DAE">
        <w:rPr>
          <w:w w:val="105"/>
          <w:sz w:val="20"/>
          <w:szCs w:val="20"/>
          <w:lang w:val="uk-UA"/>
        </w:rPr>
        <w:t xml:space="preserve"> проводили тестування зразків перед включенням до дослідження, використовували вибірку за принципом зручності або не повідомлялося про метод відбору учасників. Таким чином, докази були знижені на один рівень через ризики систематичної похибки. Загалом, ступінь достовірності доказів був помірним щодо чутливості та високим щодо специфічності.</w:t>
      </w:r>
    </w:p>
    <w:p w14:paraId="1D5EC8F9" w14:textId="7F221C5B" w:rsidR="00E05B98" w:rsidRPr="003C6DAE" w:rsidRDefault="00B01E0C" w:rsidP="00DD3C0C">
      <w:pPr>
        <w:pStyle w:val="6"/>
        <w:spacing w:before="244" w:line="249" w:lineRule="auto"/>
        <w:jc w:val="both"/>
        <w:rPr>
          <w:sz w:val="22"/>
          <w:szCs w:val="22"/>
          <w:lang w:val="uk-UA"/>
        </w:rPr>
      </w:pPr>
      <w:r w:rsidRPr="003C6DAE">
        <w:rPr>
          <w:noProof/>
          <w:sz w:val="22"/>
          <w:szCs w:val="22"/>
          <w:lang w:val="uk-UA"/>
        </w:rPr>
        <w:drawing>
          <wp:anchor distT="0" distB="0" distL="0" distR="0" simplePos="0" relativeHeight="15908352" behindDoc="0" locked="0" layoutInCell="1" allowOverlap="1" wp14:anchorId="675791BA" wp14:editId="5FEC91D0">
            <wp:simplePos x="0" y="0"/>
            <wp:positionH relativeFrom="page">
              <wp:posOffset>948248</wp:posOffset>
            </wp:positionH>
            <wp:positionV relativeFrom="paragraph">
              <wp:posOffset>691589</wp:posOffset>
            </wp:positionV>
            <wp:extent cx="950936" cy="1657350"/>
            <wp:effectExtent l="0" t="0" r="1905" b="0"/>
            <wp:wrapNone/>
            <wp:docPr id="1060" name="Image 1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0" name="Image 1060"/>
                    <pic:cNvPicPr/>
                  </pic:nvPicPr>
                  <pic:blipFill>
                    <a:blip r:embed="rId54" cstate="print"/>
                    <a:stretch>
                      <a:fillRect/>
                    </a:stretch>
                  </pic:blipFill>
                  <pic:spPr>
                    <a:xfrm>
                      <a:off x="0" y="0"/>
                      <a:ext cx="950936" cy="1657350"/>
                    </a:xfrm>
                    <a:prstGeom prst="rect">
                      <a:avLst/>
                    </a:prstGeom>
                  </pic:spPr>
                </pic:pic>
              </a:graphicData>
            </a:graphic>
          </wp:anchor>
        </w:drawing>
      </w:r>
      <w:r w:rsidRPr="003C6DAE">
        <w:rPr>
          <w:noProof/>
          <w:sz w:val="22"/>
          <w:szCs w:val="22"/>
          <w:lang w:val="uk-UA"/>
        </w:rPr>
        <w:drawing>
          <wp:anchor distT="0" distB="0" distL="0" distR="0" simplePos="0" relativeHeight="15908864" behindDoc="0" locked="0" layoutInCell="1" allowOverlap="1" wp14:anchorId="7E81AC6C" wp14:editId="11A2CB0E">
            <wp:simplePos x="0" y="0"/>
            <wp:positionH relativeFrom="page">
              <wp:posOffset>948283</wp:posOffset>
            </wp:positionH>
            <wp:positionV relativeFrom="paragraph">
              <wp:posOffset>2395993</wp:posOffset>
            </wp:positionV>
            <wp:extent cx="1007110" cy="966787"/>
            <wp:effectExtent l="0" t="0" r="0" b="0"/>
            <wp:wrapNone/>
            <wp:docPr id="1061" name="Image 1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1" name="Image 1061"/>
                    <pic:cNvPicPr/>
                  </pic:nvPicPr>
                  <pic:blipFill>
                    <a:blip r:embed="rId55" cstate="print"/>
                    <a:stretch>
                      <a:fillRect/>
                    </a:stretch>
                  </pic:blipFill>
                  <pic:spPr>
                    <a:xfrm>
                      <a:off x="0" y="0"/>
                      <a:ext cx="1007110" cy="966787"/>
                    </a:xfrm>
                    <a:prstGeom prst="rect">
                      <a:avLst/>
                    </a:prstGeom>
                  </pic:spPr>
                </pic:pic>
              </a:graphicData>
            </a:graphic>
          </wp:anchor>
        </w:drawing>
      </w:r>
      <w:r w:rsidRPr="003C6DAE">
        <w:rPr>
          <w:noProof/>
          <w:sz w:val="22"/>
          <w:szCs w:val="22"/>
          <w:lang w:val="uk-UA"/>
        </w:rPr>
        <mc:AlternateContent>
          <mc:Choice Requires="wps">
            <w:drawing>
              <wp:anchor distT="0" distB="0" distL="0" distR="0" simplePos="0" relativeHeight="15909888" behindDoc="0" locked="0" layoutInCell="1" allowOverlap="1" wp14:anchorId="2EAB8BC8" wp14:editId="229FC0C6">
                <wp:simplePos x="0" y="0"/>
                <wp:positionH relativeFrom="page">
                  <wp:posOffset>2156532</wp:posOffset>
                </wp:positionH>
                <wp:positionV relativeFrom="paragraph">
                  <wp:posOffset>695677</wp:posOffset>
                </wp:positionV>
                <wp:extent cx="107314" cy="61594"/>
                <wp:effectExtent l="0" t="0" r="0" b="0"/>
                <wp:wrapNone/>
                <wp:docPr id="1062" name="Graphic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61594"/>
                        </a:xfrm>
                        <a:custGeom>
                          <a:avLst/>
                          <a:gdLst/>
                          <a:ahLst/>
                          <a:cxnLst/>
                          <a:rect l="l" t="t" r="r" b="b"/>
                          <a:pathLst>
                            <a:path w="107314" h="61594">
                              <a:moveTo>
                                <a:pt x="93764" y="0"/>
                              </a:moveTo>
                              <a:lnTo>
                                <a:pt x="65049" y="0"/>
                              </a:lnTo>
                              <a:lnTo>
                                <a:pt x="65049" y="61074"/>
                              </a:lnTo>
                              <a:lnTo>
                                <a:pt x="77508" y="61074"/>
                              </a:lnTo>
                              <a:lnTo>
                                <a:pt x="77508" y="37147"/>
                              </a:lnTo>
                              <a:lnTo>
                                <a:pt x="90436" y="37147"/>
                              </a:lnTo>
                              <a:lnTo>
                                <a:pt x="96393" y="35305"/>
                              </a:lnTo>
                              <a:lnTo>
                                <a:pt x="103963" y="28765"/>
                              </a:lnTo>
                              <a:lnTo>
                                <a:pt x="77508" y="28765"/>
                              </a:lnTo>
                              <a:lnTo>
                                <a:pt x="77508" y="8381"/>
                              </a:lnTo>
                              <a:lnTo>
                                <a:pt x="106243" y="8381"/>
                              </a:lnTo>
                              <a:lnTo>
                                <a:pt x="105422" y="6235"/>
                              </a:lnTo>
                              <a:lnTo>
                                <a:pt x="99072" y="1244"/>
                              </a:lnTo>
                              <a:lnTo>
                                <a:pt x="93764" y="0"/>
                              </a:lnTo>
                              <a:close/>
                            </a:path>
                            <a:path w="107314" h="61594">
                              <a:moveTo>
                                <a:pt x="106243" y="8381"/>
                              </a:moveTo>
                              <a:lnTo>
                                <a:pt x="90195" y="8381"/>
                              </a:lnTo>
                              <a:lnTo>
                                <a:pt x="94056" y="11417"/>
                              </a:lnTo>
                              <a:lnTo>
                                <a:pt x="94056" y="20967"/>
                              </a:lnTo>
                              <a:lnTo>
                                <a:pt x="92798" y="23710"/>
                              </a:lnTo>
                              <a:lnTo>
                                <a:pt x="87769" y="27749"/>
                              </a:lnTo>
                              <a:lnTo>
                                <a:pt x="84328" y="28765"/>
                              </a:lnTo>
                              <a:lnTo>
                                <a:pt x="103963" y="28765"/>
                              </a:lnTo>
                              <a:lnTo>
                                <a:pt x="104889" y="27965"/>
                              </a:lnTo>
                              <a:lnTo>
                                <a:pt x="107010" y="22821"/>
                              </a:lnTo>
                              <a:lnTo>
                                <a:pt x="107010" y="10388"/>
                              </a:lnTo>
                              <a:lnTo>
                                <a:pt x="106243" y="8381"/>
                              </a:lnTo>
                              <a:close/>
                            </a:path>
                            <a:path w="107314" h="61594">
                              <a:moveTo>
                                <a:pt x="34632" y="8381"/>
                              </a:moveTo>
                              <a:lnTo>
                                <a:pt x="21882" y="8381"/>
                              </a:lnTo>
                              <a:lnTo>
                                <a:pt x="21882" y="61074"/>
                              </a:lnTo>
                              <a:lnTo>
                                <a:pt x="34632" y="61074"/>
                              </a:lnTo>
                              <a:lnTo>
                                <a:pt x="34632" y="8381"/>
                              </a:lnTo>
                              <a:close/>
                            </a:path>
                            <a:path w="107314" h="61594">
                              <a:moveTo>
                                <a:pt x="56502" y="0"/>
                              </a:moveTo>
                              <a:lnTo>
                                <a:pt x="0" y="0"/>
                              </a:lnTo>
                              <a:lnTo>
                                <a:pt x="0" y="8381"/>
                              </a:lnTo>
                              <a:lnTo>
                                <a:pt x="56502" y="8381"/>
                              </a:lnTo>
                              <a:lnTo>
                                <a:pt x="565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475787" id="Graphic 1062" o:spid="_x0000_s1026" style="position:absolute;margin-left:169.8pt;margin-top:54.8pt;width:8.45pt;height:4.85pt;z-index:15909888;visibility:visible;mso-wrap-style:square;mso-wrap-distance-left:0;mso-wrap-distance-top:0;mso-wrap-distance-right:0;mso-wrap-distance-bottom:0;mso-position-horizontal:absolute;mso-position-horizontal-relative:page;mso-position-vertical:absolute;mso-position-vertical-relative:text;v-text-anchor:top" coordsize="107314,6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" path="m93764,l65049,r,61074l77508,61074r,-23927l90436,37147r5957,-1842l103963,28765r-26455,l77508,8381r28735,l105422,6235,99072,1244,93764,xem106243,8381r-16048,l94056,11417r,9550l92798,23710r-5029,4039l84328,28765r19635,l104889,27965r2121,-5144l107010,10388r-767,-2007xem34632,8381r-12750,l21882,61074r12750,l34632,8381xem56502,l,,,8381r56502,l56502,xe" fillcolor="black" stroked="f">
                <v:path arrowok="t"/>
                <w10:wrap anchorx="page"/>
              </v:shape>
            </w:pict>
          </mc:Fallback>
        </mc:AlternateContent>
      </w:r>
      <w:r w:rsidRPr="003C6DAE">
        <w:rPr>
          <w:noProof/>
          <w:sz w:val="22"/>
          <w:szCs w:val="22"/>
          <w:lang w:val="uk-UA"/>
        </w:rPr>
        <w:drawing>
          <wp:anchor distT="0" distB="0" distL="0" distR="0" simplePos="0" relativeHeight="15910400" behindDoc="0" locked="0" layoutInCell="1" allowOverlap="1" wp14:anchorId="527CFA14" wp14:editId="65B34252">
            <wp:simplePos x="0" y="0"/>
            <wp:positionH relativeFrom="page">
              <wp:posOffset>2107952</wp:posOffset>
            </wp:positionH>
            <wp:positionV relativeFrom="paragraph">
              <wp:posOffset>823392</wp:posOffset>
            </wp:positionV>
            <wp:extent cx="148088" cy="3214687"/>
            <wp:effectExtent l="0" t="0" r="0" b="0"/>
            <wp:wrapNone/>
            <wp:docPr id="1063" name="Image 1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3" name="Image 1063"/>
                    <pic:cNvPicPr/>
                  </pic:nvPicPr>
                  <pic:blipFill>
                    <a:blip r:embed="rId56" cstate="print"/>
                    <a:stretch>
                      <a:fillRect/>
                    </a:stretch>
                  </pic:blipFill>
                  <pic:spPr>
                    <a:xfrm>
                      <a:off x="0" y="0"/>
                      <a:ext cx="148088" cy="3214687"/>
                    </a:xfrm>
                    <a:prstGeom prst="rect">
                      <a:avLst/>
                    </a:prstGeom>
                  </pic:spPr>
                </pic:pic>
              </a:graphicData>
            </a:graphic>
          </wp:anchor>
        </w:drawing>
      </w:r>
      <w:r w:rsidRPr="003C6DAE">
        <w:rPr>
          <w:noProof/>
          <w:sz w:val="22"/>
          <w:szCs w:val="22"/>
          <w:lang w:val="uk-UA"/>
        </w:rPr>
        <mc:AlternateContent>
          <mc:Choice Requires="wps">
            <w:drawing>
              <wp:anchor distT="0" distB="0" distL="0" distR="0" simplePos="0" relativeHeight="15910912" behindDoc="0" locked="0" layoutInCell="1" allowOverlap="1" wp14:anchorId="58B25CDE" wp14:editId="29042E30">
                <wp:simplePos x="0" y="0"/>
                <wp:positionH relativeFrom="page">
                  <wp:posOffset>2346389</wp:posOffset>
                </wp:positionH>
                <wp:positionV relativeFrom="paragraph">
                  <wp:posOffset>695677</wp:posOffset>
                </wp:positionV>
                <wp:extent cx="90805" cy="61594"/>
                <wp:effectExtent l="0" t="0" r="0" b="0"/>
                <wp:wrapNone/>
                <wp:docPr id="1064" name="Graphic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61594"/>
                        </a:xfrm>
                        <a:custGeom>
                          <a:avLst/>
                          <a:gdLst/>
                          <a:ahLst/>
                          <a:cxnLst/>
                          <a:rect l="l" t="t" r="r" b="b"/>
                          <a:pathLst>
                            <a:path w="90805" h="61594">
                              <a:moveTo>
                                <a:pt x="77254" y="0"/>
                              </a:moveTo>
                              <a:lnTo>
                                <a:pt x="48539" y="0"/>
                              </a:lnTo>
                              <a:lnTo>
                                <a:pt x="48539" y="61074"/>
                              </a:lnTo>
                              <a:lnTo>
                                <a:pt x="60998" y="61074"/>
                              </a:lnTo>
                              <a:lnTo>
                                <a:pt x="60998" y="37147"/>
                              </a:lnTo>
                              <a:lnTo>
                                <a:pt x="73926" y="37147"/>
                              </a:lnTo>
                              <a:lnTo>
                                <a:pt x="79882" y="35305"/>
                              </a:lnTo>
                              <a:lnTo>
                                <a:pt x="87453" y="28765"/>
                              </a:lnTo>
                              <a:lnTo>
                                <a:pt x="60998" y="28765"/>
                              </a:lnTo>
                              <a:lnTo>
                                <a:pt x="60998" y="8381"/>
                              </a:lnTo>
                              <a:lnTo>
                                <a:pt x="89733" y="8381"/>
                              </a:lnTo>
                              <a:lnTo>
                                <a:pt x="88912" y="6235"/>
                              </a:lnTo>
                              <a:lnTo>
                                <a:pt x="82562" y="1244"/>
                              </a:lnTo>
                              <a:lnTo>
                                <a:pt x="77254" y="0"/>
                              </a:lnTo>
                              <a:close/>
                            </a:path>
                            <a:path w="90805" h="61594">
                              <a:moveTo>
                                <a:pt x="89733" y="8381"/>
                              </a:moveTo>
                              <a:lnTo>
                                <a:pt x="73685" y="8381"/>
                              </a:lnTo>
                              <a:lnTo>
                                <a:pt x="77546" y="11417"/>
                              </a:lnTo>
                              <a:lnTo>
                                <a:pt x="77546" y="20967"/>
                              </a:lnTo>
                              <a:lnTo>
                                <a:pt x="76288" y="23710"/>
                              </a:lnTo>
                              <a:lnTo>
                                <a:pt x="71259" y="27749"/>
                              </a:lnTo>
                              <a:lnTo>
                                <a:pt x="67817" y="28765"/>
                              </a:lnTo>
                              <a:lnTo>
                                <a:pt x="87453" y="28765"/>
                              </a:lnTo>
                              <a:lnTo>
                                <a:pt x="88379" y="27965"/>
                              </a:lnTo>
                              <a:lnTo>
                                <a:pt x="90500" y="22821"/>
                              </a:lnTo>
                              <a:lnTo>
                                <a:pt x="90500" y="10388"/>
                              </a:lnTo>
                              <a:lnTo>
                                <a:pt x="89733" y="8381"/>
                              </a:lnTo>
                              <a:close/>
                            </a:path>
                            <a:path w="90805" h="61594">
                              <a:moveTo>
                                <a:pt x="38417" y="0"/>
                              </a:moveTo>
                              <a:lnTo>
                                <a:pt x="0" y="0"/>
                              </a:lnTo>
                              <a:lnTo>
                                <a:pt x="0" y="61074"/>
                              </a:lnTo>
                              <a:lnTo>
                                <a:pt x="12712" y="61074"/>
                              </a:lnTo>
                              <a:lnTo>
                                <a:pt x="12712" y="35369"/>
                              </a:lnTo>
                              <a:lnTo>
                                <a:pt x="33845" y="35369"/>
                              </a:lnTo>
                              <a:lnTo>
                                <a:pt x="33845" y="26949"/>
                              </a:lnTo>
                              <a:lnTo>
                                <a:pt x="12712" y="26949"/>
                              </a:lnTo>
                              <a:lnTo>
                                <a:pt x="12712" y="8381"/>
                              </a:lnTo>
                              <a:lnTo>
                                <a:pt x="38417" y="8381"/>
                              </a:lnTo>
                              <a:lnTo>
                                <a:pt x="384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35EA5C" id="Graphic 1064" o:spid="_x0000_s1026" style="position:absolute;margin-left:184.75pt;margin-top:54.8pt;width:7.15pt;height:4.85pt;z-index:15910912;visibility:visible;mso-wrap-style:square;mso-wrap-distance-left:0;mso-wrap-distance-top:0;mso-wrap-distance-right:0;mso-wrap-distance-bottom:0;mso-position-horizontal:absolute;mso-position-horizontal-relative:page;mso-position-vertical:absolute;mso-position-vertical-relative:text;v-text-anchor:top" coordsize="90805,6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" path="m77254,l48539,r,61074l60998,61074r,-23927l73926,37147r5956,-1842l87453,28765r-26455,l60998,8381r28735,l88912,6235,82562,1244,77254,xem89733,8381r-16048,l77546,11417r,9550l76288,23710r-5029,4039l67817,28765r19636,l88379,27965r2121,-5144l90500,10388,89733,8381xem38417,l,,,61074r12712,l12712,35369r21133,l33845,26949r-21133,l12712,8381r25705,l38417,xe" fillcolor="black" stroked="f">
                <v:path arrowok="t"/>
                <w10:wrap anchorx="page"/>
              </v:shape>
            </w:pict>
          </mc:Fallback>
        </mc:AlternateContent>
      </w:r>
      <w:r w:rsidRPr="003C6DAE">
        <w:rPr>
          <w:noProof/>
          <w:sz w:val="22"/>
          <w:szCs w:val="22"/>
          <w:lang w:val="uk-UA"/>
        </w:rPr>
        <w:drawing>
          <wp:anchor distT="0" distB="0" distL="0" distR="0" simplePos="0" relativeHeight="15911424" behindDoc="0" locked="0" layoutInCell="1" allowOverlap="1" wp14:anchorId="4B13BA85" wp14:editId="206CBE95">
            <wp:simplePos x="0" y="0"/>
            <wp:positionH relativeFrom="page">
              <wp:posOffset>2336912</wp:posOffset>
            </wp:positionH>
            <wp:positionV relativeFrom="paragraph">
              <wp:posOffset>821827</wp:posOffset>
            </wp:positionV>
            <wp:extent cx="95371" cy="3219450"/>
            <wp:effectExtent l="0" t="0" r="0" b="0"/>
            <wp:wrapNone/>
            <wp:docPr id="1065" name="Image 1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 name="Image 1065"/>
                    <pic:cNvPicPr/>
                  </pic:nvPicPr>
                  <pic:blipFill>
                    <a:blip r:embed="rId57" cstate="print"/>
                    <a:stretch>
                      <a:fillRect/>
                    </a:stretch>
                  </pic:blipFill>
                  <pic:spPr>
                    <a:xfrm>
                      <a:off x="0" y="0"/>
                      <a:ext cx="95371" cy="3219450"/>
                    </a:xfrm>
                    <a:prstGeom prst="rect">
                      <a:avLst/>
                    </a:prstGeom>
                  </pic:spPr>
                </pic:pic>
              </a:graphicData>
            </a:graphic>
          </wp:anchor>
        </w:drawing>
      </w:r>
      <w:r w:rsidRPr="003C6DAE">
        <w:rPr>
          <w:noProof/>
          <w:sz w:val="22"/>
          <w:szCs w:val="22"/>
          <w:lang w:val="uk-UA"/>
        </w:rPr>
        <mc:AlternateContent>
          <mc:Choice Requires="wps">
            <w:drawing>
              <wp:anchor distT="0" distB="0" distL="0" distR="0" simplePos="0" relativeHeight="15911936" behindDoc="0" locked="0" layoutInCell="1" allowOverlap="1" wp14:anchorId="1BF36849" wp14:editId="06D81720">
                <wp:simplePos x="0" y="0"/>
                <wp:positionH relativeFrom="page">
                  <wp:posOffset>2515428</wp:posOffset>
                </wp:positionH>
                <wp:positionV relativeFrom="paragraph">
                  <wp:posOffset>695684</wp:posOffset>
                </wp:positionV>
                <wp:extent cx="98425" cy="61594"/>
                <wp:effectExtent l="0" t="0" r="0" b="0"/>
                <wp:wrapNone/>
                <wp:docPr id="1066" name="Graphic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61594"/>
                        </a:xfrm>
                        <a:custGeom>
                          <a:avLst/>
                          <a:gdLst/>
                          <a:ahLst/>
                          <a:cxnLst/>
                          <a:rect l="l" t="t" r="r" b="b"/>
                          <a:pathLst>
                            <a:path w="98425" h="61594">
                              <a:moveTo>
                                <a:pt x="59715" y="0"/>
                              </a:moveTo>
                              <a:lnTo>
                                <a:pt x="48539" y="0"/>
                              </a:lnTo>
                              <a:lnTo>
                                <a:pt x="48539" y="61074"/>
                              </a:lnTo>
                              <a:lnTo>
                                <a:pt x="58724" y="61074"/>
                              </a:lnTo>
                              <a:lnTo>
                                <a:pt x="58724" y="19354"/>
                              </a:lnTo>
                              <a:lnTo>
                                <a:pt x="72854" y="19354"/>
                              </a:lnTo>
                              <a:lnTo>
                                <a:pt x="59715" y="0"/>
                              </a:lnTo>
                              <a:close/>
                            </a:path>
                            <a:path w="98425" h="61594">
                              <a:moveTo>
                                <a:pt x="72854" y="19354"/>
                              </a:moveTo>
                              <a:lnTo>
                                <a:pt x="58724" y="19354"/>
                              </a:lnTo>
                              <a:lnTo>
                                <a:pt x="86842" y="61074"/>
                              </a:lnTo>
                              <a:lnTo>
                                <a:pt x="98221" y="61074"/>
                              </a:lnTo>
                              <a:lnTo>
                                <a:pt x="98221" y="41719"/>
                              </a:lnTo>
                              <a:lnTo>
                                <a:pt x="88036" y="41719"/>
                              </a:lnTo>
                              <a:lnTo>
                                <a:pt x="72854" y="19354"/>
                              </a:lnTo>
                              <a:close/>
                            </a:path>
                            <a:path w="98425" h="61594">
                              <a:moveTo>
                                <a:pt x="98221" y="0"/>
                              </a:moveTo>
                              <a:lnTo>
                                <a:pt x="88036" y="0"/>
                              </a:lnTo>
                              <a:lnTo>
                                <a:pt x="88036" y="41719"/>
                              </a:lnTo>
                              <a:lnTo>
                                <a:pt x="98221" y="41719"/>
                              </a:lnTo>
                              <a:lnTo>
                                <a:pt x="98221" y="0"/>
                              </a:lnTo>
                              <a:close/>
                            </a:path>
                            <a:path w="98425" h="61594">
                              <a:moveTo>
                                <a:pt x="38430" y="0"/>
                              </a:moveTo>
                              <a:lnTo>
                                <a:pt x="0" y="0"/>
                              </a:lnTo>
                              <a:lnTo>
                                <a:pt x="0" y="61074"/>
                              </a:lnTo>
                              <a:lnTo>
                                <a:pt x="12712" y="61074"/>
                              </a:lnTo>
                              <a:lnTo>
                                <a:pt x="12712" y="35369"/>
                              </a:lnTo>
                              <a:lnTo>
                                <a:pt x="33845" y="35369"/>
                              </a:lnTo>
                              <a:lnTo>
                                <a:pt x="33845" y="26949"/>
                              </a:lnTo>
                              <a:lnTo>
                                <a:pt x="12712" y="26949"/>
                              </a:lnTo>
                              <a:lnTo>
                                <a:pt x="12712" y="8382"/>
                              </a:lnTo>
                              <a:lnTo>
                                <a:pt x="38430" y="8382"/>
                              </a:lnTo>
                              <a:lnTo>
                                <a:pt x="384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6984E4" id="Graphic 1066" o:spid="_x0000_s1026" style="position:absolute;margin-left:198.05pt;margin-top:54.8pt;width:7.75pt;height:4.85pt;z-index:15911936;visibility:visible;mso-wrap-style:square;mso-wrap-distance-left:0;mso-wrap-distance-top:0;mso-wrap-distance-right:0;mso-wrap-distance-bottom:0;mso-position-horizontal:absolute;mso-position-horizontal-relative:page;mso-position-vertical:absolute;mso-position-vertical-relative:text;v-text-anchor:top" coordsize="98425,6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" path="m59715,l48539,r,61074l58724,61074r,-41720l72854,19354,59715,xem72854,19354r-14130,l86842,61074r11379,l98221,41719r-10185,l72854,19354xem98221,l88036,r,41719l98221,41719,98221,xem38430,l,,,61074r12712,l12712,35369r21133,l33845,26949r-21133,l12712,8382r25718,l38430,xe" fillcolor="black" stroked="f">
                <v:path arrowok="t"/>
                <w10:wrap anchorx="page"/>
              </v:shape>
            </w:pict>
          </mc:Fallback>
        </mc:AlternateContent>
      </w:r>
      <w:r w:rsidRPr="003C6DAE">
        <w:rPr>
          <w:noProof/>
          <w:sz w:val="22"/>
          <w:szCs w:val="22"/>
          <w:lang w:val="uk-UA"/>
        </w:rPr>
        <w:drawing>
          <wp:anchor distT="0" distB="0" distL="0" distR="0" simplePos="0" relativeHeight="15912448" behindDoc="0" locked="0" layoutInCell="1" allowOverlap="1" wp14:anchorId="331684DA" wp14:editId="2AFBD48F">
            <wp:simplePos x="0" y="0"/>
            <wp:positionH relativeFrom="page">
              <wp:posOffset>2520614</wp:posOffset>
            </wp:positionH>
            <wp:positionV relativeFrom="paragraph">
              <wp:posOffset>821866</wp:posOffset>
            </wp:positionV>
            <wp:extent cx="94791" cy="3219450"/>
            <wp:effectExtent l="0" t="0" r="0" b="0"/>
            <wp:wrapNone/>
            <wp:docPr id="1067" name="Image 1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7" name="Image 1067"/>
                    <pic:cNvPicPr/>
                  </pic:nvPicPr>
                  <pic:blipFill>
                    <a:blip r:embed="rId58" cstate="print"/>
                    <a:stretch>
                      <a:fillRect/>
                    </a:stretch>
                  </pic:blipFill>
                  <pic:spPr>
                    <a:xfrm>
                      <a:off x="0" y="0"/>
                      <a:ext cx="94791" cy="3219450"/>
                    </a:xfrm>
                    <a:prstGeom prst="rect">
                      <a:avLst/>
                    </a:prstGeom>
                  </pic:spPr>
                </pic:pic>
              </a:graphicData>
            </a:graphic>
          </wp:anchor>
        </w:drawing>
      </w:r>
      <w:r w:rsidRPr="003C6DAE">
        <w:rPr>
          <w:noProof/>
          <w:sz w:val="22"/>
          <w:szCs w:val="22"/>
          <w:lang w:val="uk-UA"/>
        </w:rPr>
        <mc:AlternateContent>
          <mc:Choice Requires="wps">
            <w:drawing>
              <wp:anchor distT="0" distB="0" distL="0" distR="0" simplePos="0" relativeHeight="15912960" behindDoc="0" locked="0" layoutInCell="1" allowOverlap="1" wp14:anchorId="7429836E" wp14:editId="1A1632B1">
                <wp:simplePos x="0" y="0"/>
                <wp:positionH relativeFrom="page">
                  <wp:posOffset>2783390</wp:posOffset>
                </wp:positionH>
                <wp:positionV relativeFrom="paragraph">
                  <wp:posOffset>695684</wp:posOffset>
                </wp:positionV>
                <wp:extent cx="114935" cy="61594"/>
                <wp:effectExtent l="0" t="0" r="0" b="0"/>
                <wp:wrapNone/>
                <wp:docPr id="1068" name="Graphic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61594"/>
                        </a:xfrm>
                        <a:custGeom>
                          <a:avLst/>
                          <a:gdLst/>
                          <a:ahLst/>
                          <a:cxnLst/>
                          <a:rect l="l" t="t" r="r" b="b"/>
                          <a:pathLst>
                            <a:path w="114935" h="61594">
                              <a:moveTo>
                                <a:pt x="76225" y="0"/>
                              </a:moveTo>
                              <a:lnTo>
                                <a:pt x="65049" y="0"/>
                              </a:lnTo>
                              <a:lnTo>
                                <a:pt x="65049" y="61074"/>
                              </a:lnTo>
                              <a:lnTo>
                                <a:pt x="75234" y="61074"/>
                              </a:lnTo>
                              <a:lnTo>
                                <a:pt x="75234" y="19354"/>
                              </a:lnTo>
                              <a:lnTo>
                                <a:pt x="89364" y="19354"/>
                              </a:lnTo>
                              <a:lnTo>
                                <a:pt x="76225" y="0"/>
                              </a:lnTo>
                              <a:close/>
                            </a:path>
                            <a:path w="114935" h="61594">
                              <a:moveTo>
                                <a:pt x="89364" y="19354"/>
                              </a:moveTo>
                              <a:lnTo>
                                <a:pt x="75234" y="19354"/>
                              </a:lnTo>
                              <a:lnTo>
                                <a:pt x="103352" y="61074"/>
                              </a:lnTo>
                              <a:lnTo>
                                <a:pt x="114744" y="61074"/>
                              </a:lnTo>
                              <a:lnTo>
                                <a:pt x="114744" y="41719"/>
                              </a:lnTo>
                              <a:lnTo>
                                <a:pt x="104546" y="41719"/>
                              </a:lnTo>
                              <a:lnTo>
                                <a:pt x="89364" y="19354"/>
                              </a:lnTo>
                              <a:close/>
                            </a:path>
                            <a:path w="114935" h="61594">
                              <a:moveTo>
                                <a:pt x="114744" y="0"/>
                              </a:moveTo>
                              <a:lnTo>
                                <a:pt x="104546" y="0"/>
                              </a:lnTo>
                              <a:lnTo>
                                <a:pt x="104546" y="41719"/>
                              </a:lnTo>
                              <a:lnTo>
                                <a:pt x="114744" y="41719"/>
                              </a:lnTo>
                              <a:lnTo>
                                <a:pt x="114744" y="0"/>
                              </a:lnTo>
                              <a:close/>
                            </a:path>
                            <a:path w="114935" h="61594">
                              <a:moveTo>
                                <a:pt x="34632" y="8382"/>
                              </a:moveTo>
                              <a:lnTo>
                                <a:pt x="21882" y="8382"/>
                              </a:lnTo>
                              <a:lnTo>
                                <a:pt x="21882" y="61074"/>
                              </a:lnTo>
                              <a:lnTo>
                                <a:pt x="34632" y="61074"/>
                              </a:lnTo>
                              <a:lnTo>
                                <a:pt x="34632" y="8382"/>
                              </a:lnTo>
                              <a:close/>
                            </a:path>
                            <a:path w="114935" h="61594">
                              <a:moveTo>
                                <a:pt x="56502" y="0"/>
                              </a:moveTo>
                              <a:lnTo>
                                <a:pt x="0" y="0"/>
                              </a:lnTo>
                              <a:lnTo>
                                <a:pt x="0" y="8382"/>
                              </a:lnTo>
                              <a:lnTo>
                                <a:pt x="56502" y="8382"/>
                              </a:lnTo>
                              <a:lnTo>
                                <a:pt x="565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F40BD5" id="Graphic 1068" o:spid="_x0000_s1026" style="position:absolute;margin-left:219.15pt;margin-top:54.8pt;width:9.05pt;height:4.85pt;z-index:15912960;visibility:visible;mso-wrap-style:square;mso-wrap-distance-left:0;mso-wrap-distance-top:0;mso-wrap-distance-right:0;mso-wrap-distance-bottom:0;mso-position-horizontal:absolute;mso-position-horizontal-relative:page;mso-position-vertical:absolute;mso-position-vertical-relative:text;v-text-anchor:top" coordsize="114935,6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" path="m76225,l65049,r,61074l75234,61074r,-41720l89364,19354,76225,xem89364,19354r-14130,l103352,61074r11392,l114744,41719r-10198,l89364,19354xem114744,l104546,r,41719l114744,41719,114744,xem34632,8382r-12750,l21882,61074r12750,l34632,8382xem56502,l,,,8382r56502,l56502,xe" fillcolor="black" stroked="f">
                <v:path arrowok="t"/>
                <w10:wrap anchorx="page"/>
              </v:shape>
            </w:pict>
          </mc:Fallback>
        </mc:AlternateContent>
      </w:r>
      <w:r w:rsidRPr="003C6DAE">
        <w:rPr>
          <w:noProof/>
          <w:sz w:val="22"/>
          <w:szCs w:val="22"/>
          <w:lang w:val="uk-UA"/>
        </w:rPr>
        <w:drawing>
          <wp:anchor distT="0" distB="0" distL="0" distR="0" simplePos="0" relativeHeight="15913472" behindDoc="0" locked="0" layoutInCell="1" allowOverlap="1" wp14:anchorId="6BDC4260" wp14:editId="60A36161">
            <wp:simplePos x="0" y="0"/>
            <wp:positionH relativeFrom="page">
              <wp:posOffset>2701159</wp:posOffset>
            </wp:positionH>
            <wp:positionV relativeFrom="paragraph">
              <wp:posOffset>821872</wp:posOffset>
            </wp:positionV>
            <wp:extent cx="195987" cy="3219450"/>
            <wp:effectExtent l="0" t="0" r="0" b="0"/>
            <wp:wrapNone/>
            <wp:docPr id="1069" name="Image 1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9" name="Image 1069"/>
                    <pic:cNvPicPr/>
                  </pic:nvPicPr>
                  <pic:blipFill>
                    <a:blip r:embed="rId59" cstate="print"/>
                    <a:stretch>
                      <a:fillRect/>
                    </a:stretch>
                  </pic:blipFill>
                  <pic:spPr>
                    <a:xfrm>
                      <a:off x="0" y="0"/>
                      <a:ext cx="195987" cy="3219450"/>
                    </a:xfrm>
                    <a:prstGeom prst="rect">
                      <a:avLst/>
                    </a:prstGeom>
                  </pic:spPr>
                </pic:pic>
              </a:graphicData>
            </a:graphic>
          </wp:anchor>
        </w:drawing>
      </w:r>
      <w:r w:rsidRPr="003C6DAE">
        <w:rPr>
          <w:noProof/>
          <w:sz w:val="22"/>
          <w:szCs w:val="22"/>
          <w:lang w:val="uk-UA"/>
        </w:rPr>
        <w:drawing>
          <wp:anchor distT="0" distB="0" distL="0" distR="0" simplePos="0" relativeHeight="15913984" behindDoc="0" locked="0" layoutInCell="1" allowOverlap="1" wp14:anchorId="0FB4D623" wp14:editId="76DB9F1A">
            <wp:simplePos x="0" y="0"/>
            <wp:positionH relativeFrom="page">
              <wp:posOffset>2969708</wp:posOffset>
            </wp:positionH>
            <wp:positionV relativeFrom="paragraph">
              <wp:posOffset>691099</wp:posOffset>
            </wp:positionV>
            <wp:extent cx="826692" cy="3362325"/>
            <wp:effectExtent l="0" t="0" r="0" b="0"/>
            <wp:wrapNone/>
            <wp:docPr id="1070" name="Image 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 name="Image 1070"/>
                    <pic:cNvPicPr/>
                  </pic:nvPicPr>
                  <pic:blipFill>
                    <a:blip r:embed="rId60" cstate="print"/>
                    <a:stretch>
                      <a:fillRect/>
                    </a:stretch>
                  </pic:blipFill>
                  <pic:spPr>
                    <a:xfrm>
                      <a:off x="0" y="0"/>
                      <a:ext cx="826692" cy="3362325"/>
                    </a:xfrm>
                    <a:prstGeom prst="rect">
                      <a:avLst/>
                    </a:prstGeom>
                  </pic:spPr>
                </pic:pic>
              </a:graphicData>
            </a:graphic>
          </wp:anchor>
        </w:drawing>
      </w:r>
      <w:r w:rsidRPr="003C6DAE">
        <w:rPr>
          <w:noProof/>
          <w:sz w:val="22"/>
          <w:szCs w:val="22"/>
          <w:lang w:val="uk-UA"/>
        </w:rPr>
        <w:drawing>
          <wp:anchor distT="0" distB="0" distL="0" distR="0" simplePos="0" relativeHeight="15914496" behindDoc="0" locked="0" layoutInCell="1" allowOverlap="1" wp14:anchorId="1B345CD6" wp14:editId="6273929E">
            <wp:simplePos x="0" y="0"/>
            <wp:positionH relativeFrom="page">
              <wp:posOffset>3878307</wp:posOffset>
            </wp:positionH>
            <wp:positionV relativeFrom="paragraph">
              <wp:posOffset>690566</wp:posOffset>
            </wp:positionV>
            <wp:extent cx="819868" cy="3362325"/>
            <wp:effectExtent l="0" t="0" r="0" b="0"/>
            <wp:wrapNone/>
            <wp:docPr id="1071" name="Image 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 name="Image 1071"/>
                    <pic:cNvPicPr/>
                  </pic:nvPicPr>
                  <pic:blipFill>
                    <a:blip r:embed="rId61" cstate="print"/>
                    <a:stretch>
                      <a:fillRect/>
                    </a:stretch>
                  </pic:blipFill>
                  <pic:spPr>
                    <a:xfrm>
                      <a:off x="0" y="0"/>
                      <a:ext cx="819868" cy="3362325"/>
                    </a:xfrm>
                    <a:prstGeom prst="rect">
                      <a:avLst/>
                    </a:prstGeom>
                  </pic:spPr>
                </pic:pic>
              </a:graphicData>
            </a:graphic>
          </wp:anchor>
        </w:drawing>
      </w:r>
      <w:r w:rsidRPr="003C6DAE">
        <w:rPr>
          <w:noProof/>
          <w:sz w:val="22"/>
          <w:szCs w:val="22"/>
          <w:lang w:val="uk-UA"/>
        </w:rPr>
        <mc:AlternateContent>
          <mc:Choice Requires="wpg">
            <w:drawing>
              <wp:anchor distT="0" distB="0" distL="0" distR="0" simplePos="0" relativeHeight="15915520" behindDoc="0" locked="0" layoutInCell="1" allowOverlap="1" wp14:anchorId="734942CC" wp14:editId="7325C939">
                <wp:simplePos x="0" y="0"/>
                <wp:positionH relativeFrom="page">
                  <wp:posOffset>5386241</wp:posOffset>
                </wp:positionH>
                <wp:positionV relativeFrom="paragraph">
                  <wp:posOffset>820149</wp:posOffset>
                </wp:positionV>
                <wp:extent cx="193675" cy="49530"/>
                <wp:effectExtent l="0" t="0" r="0" b="0"/>
                <wp:wrapNone/>
                <wp:docPr id="1073"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75" cy="49530"/>
                          <a:chOff x="0" y="0"/>
                          <a:chExt cx="193675" cy="49530"/>
                        </a:xfrm>
                      </wpg:grpSpPr>
                      <wps:wsp>
                        <wps:cNvPr id="1074" name="Graphic 1074"/>
                        <wps:cNvSpPr/>
                        <wps:spPr>
                          <a:xfrm>
                            <a:off x="0" y="21130"/>
                            <a:ext cx="193675" cy="1270"/>
                          </a:xfrm>
                          <a:custGeom>
                            <a:avLst/>
                            <a:gdLst/>
                            <a:ahLst/>
                            <a:cxnLst/>
                            <a:rect l="l" t="t" r="r" b="b"/>
                            <a:pathLst>
                              <a:path w="193675">
                                <a:moveTo>
                                  <a:pt x="0" y="0"/>
                                </a:moveTo>
                                <a:lnTo>
                                  <a:pt x="193103" y="0"/>
                                </a:lnTo>
                              </a:path>
                            </a:pathLst>
                          </a:custGeom>
                          <a:ln w="8572">
                            <a:solidFill>
                              <a:srgbClr val="000000"/>
                            </a:solidFill>
                            <a:prstDash val="solid"/>
                          </a:ln>
                        </wps:spPr>
                        <wps:bodyPr wrap="square" lIns="0" tIns="0" rIns="0" bIns="0" rtlCol="0">
                          <a:prstTxWarp prst="textNoShape">
                            <a:avLst/>
                          </a:prstTxWarp>
                          <a:noAutofit/>
                        </wps:bodyPr>
                      </wps:wsp>
                      <wps:wsp>
                        <wps:cNvPr id="1075" name="Graphic 1075"/>
                        <wps:cNvSpPr/>
                        <wps:spPr>
                          <a:xfrm>
                            <a:off x="88830"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5741231" id="Group 1073" o:spid="_x0000_s1026" style="position:absolute;margin-left:424.1pt;margin-top:64.6pt;width:15.25pt;height:3.9pt;z-index:15915520;mso-wrap-distance-left:0;mso-wrap-distance-right:0;mso-position-horizontal-relative:page" coordsize="19367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">
                <v:shape id="Graphic 1074" o:spid="_x0000_s1027" style="position:absolute;top:21130;width:193675;height:1270;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" path="m,l193103,e" filled="f" strokeweight=".23811mm">
                  <v:path arrowok="t"/>
                </v:shape>
                <v:shape id="Graphic 1075" o:spid="_x0000_s1028" style="position:absolute;left:88830;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" path="m49301,l,,,49301r49301,l49301,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16032" behindDoc="0" locked="0" layoutInCell="1" allowOverlap="1" wp14:anchorId="49593080" wp14:editId="0BA58520">
                <wp:simplePos x="0" y="0"/>
                <wp:positionH relativeFrom="page">
                  <wp:posOffset>5652941</wp:posOffset>
                </wp:positionH>
                <wp:positionV relativeFrom="paragraph">
                  <wp:posOffset>932836</wp:posOffset>
                </wp:positionV>
                <wp:extent cx="52705" cy="49530"/>
                <wp:effectExtent l="0" t="0" r="0" b="0"/>
                <wp:wrapNone/>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05" cy="49530"/>
                          <a:chOff x="0" y="0"/>
                          <a:chExt cx="52705" cy="49530"/>
                        </a:xfrm>
                      </wpg:grpSpPr>
                      <wps:wsp>
                        <wps:cNvPr id="1077" name="Graphic 1077"/>
                        <wps:cNvSpPr/>
                        <wps:spPr>
                          <a:xfrm>
                            <a:off x="0" y="21137"/>
                            <a:ext cx="24765" cy="1270"/>
                          </a:xfrm>
                          <a:custGeom>
                            <a:avLst/>
                            <a:gdLst/>
                            <a:ahLst/>
                            <a:cxnLst/>
                            <a:rect l="l" t="t" r="r" b="b"/>
                            <a:pathLst>
                              <a:path w="24765">
                                <a:moveTo>
                                  <a:pt x="0" y="0"/>
                                </a:moveTo>
                                <a:lnTo>
                                  <a:pt x="24384" y="0"/>
                                </a:lnTo>
                              </a:path>
                            </a:pathLst>
                          </a:custGeom>
                          <a:ln w="8572">
                            <a:solidFill>
                              <a:srgbClr val="000000"/>
                            </a:solidFill>
                            <a:prstDash val="solid"/>
                          </a:ln>
                        </wps:spPr>
                        <wps:bodyPr wrap="square" lIns="0" tIns="0" rIns="0" bIns="0" rtlCol="0">
                          <a:prstTxWarp prst="textNoShape">
                            <a:avLst/>
                          </a:prstTxWarp>
                          <a:noAutofit/>
                        </wps:bodyPr>
                      </wps:wsp>
                      <wps:wsp>
                        <wps:cNvPr id="1078" name="Graphic 1078"/>
                        <wps:cNvSpPr/>
                        <wps:spPr>
                          <a:xfrm>
                            <a:off x="3244"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CD30826" id="Group 1076" o:spid="_x0000_s1026" style="position:absolute;margin-left:445.1pt;margin-top:73.45pt;width:4.15pt;height:3.9pt;z-index:15916032;mso-wrap-distance-left:0;mso-wrap-distance-right:0;mso-position-horizontal-relative:page" coordsize="5270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">
                <v:shape id="Graphic 1077" o:spid="_x0000_s1027" style="position:absolute;top:21137;width:24765;height:1270;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" path="m,l24384,e" filled="f" strokeweight=".23811mm">
                  <v:path arrowok="t"/>
                </v:shape>
                <v:shape id="Graphic 1078" o:spid="_x0000_s1028" style="position:absolute;left:3244;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" path="m49314,l,,,49301r49314,l49314,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16544" behindDoc="0" locked="0" layoutInCell="1" allowOverlap="1" wp14:anchorId="75CB1A21" wp14:editId="67F0C203">
                <wp:simplePos x="0" y="0"/>
                <wp:positionH relativeFrom="page">
                  <wp:posOffset>5500925</wp:posOffset>
                </wp:positionH>
                <wp:positionV relativeFrom="paragraph">
                  <wp:posOffset>1045536</wp:posOffset>
                </wp:positionV>
                <wp:extent cx="163195" cy="49530"/>
                <wp:effectExtent l="0" t="0" r="0" b="0"/>
                <wp:wrapNone/>
                <wp:docPr id="1079"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 cy="49530"/>
                          <a:chOff x="0" y="0"/>
                          <a:chExt cx="163195" cy="49530"/>
                        </a:xfrm>
                      </wpg:grpSpPr>
                      <wps:wsp>
                        <wps:cNvPr id="1080" name="Graphic 1080"/>
                        <wps:cNvSpPr/>
                        <wps:spPr>
                          <a:xfrm>
                            <a:off x="0" y="21131"/>
                            <a:ext cx="163195" cy="1270"/>
                          </a:xfrm>
                          <a:custGeom>
                            <a:avLst/>
                            <a:gdLst/>
                            <a:ahLst/>
                            <a:cxnLst/>
                            <a:rect l="l" t="t" r="r" b="b"/>
                            <a:pathLst>
                              <a:path w="163195">
                                <a:moveTo>
                                  <a:pt x="0" y="0"/>
                                </a:moveTo>
                                <a:lnTo>
                                  <a:pt x="162737" y="0"/>
                                </a:lnTo>
                              </a:path>
                            </a:pathLst>
                          </a:custGeom>
                          <a:ln w="8572">
                            <a:solidFill>
                              <a:srgbClr val="000000"/>
                            </a:solidFill>
                            <a:prstDash val="solid"/>
                          </a:ln>
                        </wps:spPr>
                        <wps:bodyPr wrap="square" lIns="0" tIns="0" rIns="0" bIns="0" rtlCol="0">
                          <a:prstTxWarp prst="textNoShape">
                            <a:avLst/>
                          </a:prstTxWarp>
                          <a:noAutofit/>
                        </wps:bodyPr>
                      </wps:wsp>
                      <wps:wsp>
                        <wps:cNvPr id="1081" name="Graphic 1081"/>
                        <wps:cNvSpPr/>
                        <wps:spPr>
                          <a:xfrm>
                            <a:off x="90250"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508621D" id="Group 1079" o:spid="_x0000_s1026" style="position:absolute;margin-left:433.15pt;margin-top:82.35pt;width:12.85pt;height:3.9pt;z-index:15916544;mso-wrap-distance-left:0;mso-wrap-distance-right:0;mso-position-horizontal-relative:page" coordsize="16319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">
                <v:shape id="Graphic 1080" o:spid="_x0000_s1027" style="position:absolute;top:21131;width:163195;height:1270;visibility:visible;mso-wrap-style:square;v-text-anchor:top" coordsize="163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" path="m,l162737,e" filled="f" strokeweight=".23811mm">
                  <v:path arrowok="t"/>
                </v:shape>
                <v:shape id="Graphic 1081" o:spid="_x0000_s1028" style="position:absolute;left:90250;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" path="m49301,l,,,49301r49301,l49301,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17056" behindDoc="0" locked="0" layoutInCell="1" allowOverlap="1" wp14:anchorId="6D5CD27F" wp14:editId="1A4FDF6F">
                <wp:simplePos x="0" y="0"/>
                <wp:positionH relativeFrom="page">
                  <wp:posOffset>5612361</wp:posOffset>
                </wp:positionH>
                <wp:positionV relativeFrom="paragraph">
                  <wp:posOffset>1158223</wp:posOffset>
                </wp:positionV>
                <wp:extent cx="50165" cy="49530"/>
                <wp:effectExtent l="0" t="0" r="0" b="0"/>
                <wp:wrapNone/>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65" cy="49530"/>
                          <a:chOff x="0" y="0"/>
                          <a:chExt cx="50165" cy="49530"/>
                        </a:xfrm>
                      </wpg:grpSpPr>
                      <wps:wsp>
                        <wps:cNvPr id="1083" name="Graphic 1083"/>
                        <wps:cNvSpPr/>
                        <wps:spPr>
                          <a:xfrm>
                            <a:off x="0" y="21137"/>
                            <a:ext cx="38100" cy="1270"/>
                          </a:xfrm>
                          <a:custGeom>
                            <a:avLst/>
                            <a:gdLst/>
                            <a:ahLst/>
                            <a:cxnLst/>
                            <a:rect l="l" t="t" r="r" b="b"/>
                            <a:pathLst>
                              <a:path w="38100">
                                <a:moveTo>
                                  <a:pt x="0" y="0"/>
                                </a:moveTo>
                                <a:lnTo>
                                  <a:pt x="38061" y="0"/>
                                </a:lnTo>
                              </a:path>
                            </a:pathLst>
                          </a:custGeom>
                          <a:ln w="8572">
                            <a:solidFill>
                              <a:srgbClr val="000000"/>
                            </a:solidFill>
                            <a:prstDash val="solid"/>
                          </a:ln>
                        </wps:spPr>
                        <wps:bodyPr wrap="square" lIns="0" tIns="0" rIns="0" bIns="0" rtlCol="0">
                          <a:prstTxWarp prst="textNoShape">
                            <a:avLst/>
                          </a:prstTxWarp>
                          <a:noAutofit/>
                        </wps:bodyPr>
                      </wps:wsp>
                      <wps:wsp>
                        <wps:cNvPr id="1084" name="Graphic 1084"/>
                        <wps:cNvSpPr/>
                        <wps:spPr>
                          <a:xfrm>
                            <a:off x="734"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A3D0123" id="Group 1082" o:spid="_x0000_s1026" style="position:absolute;margin-left:441.9pt;margin-top:91.2pt;width:3.95pt;height:3.9pt;z-index:15917056;mso-wrap-distance-left:0;mso-wrap-distance-right:0;mso-position-horizontal-relative:page" coordsize="5016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">
                <v:shape id="Graphic 1083" o:spid="_x0000_s1027" style="position:absolute;top:21137;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" path="m,l38061,e" filled="f" strokeweight=".23811mm">
                  <v:path arrowok="t"/>
                </v:shape>
                <v:shape id="Graphic 1084" o:spid="_x0000_s1028" style="position:absolute;left:734;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" path="m49314,l,,,49301r49314,l49314,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17568" behindDoc="0" locked="0" layoutInCell="1" allowOverlap="1" wp14:anchorId="47622199" wp14:editId="053B5FD9">
                <wp:simplePos x="0" y="0"/>
                <wp:positionH relativeFrom="page">
                  <wp:posOffset>5622009</wp:posOffset>
                </wp:positionH>
                <wp:positionV relativeFrom="paragraph">
                  <wp:posOffset>1270923</wp:posOffset>
                </wp:positionV>
                <wp:extent cx="50800" cy="49530"/>
                <wp:effectExtent l="0" t="0" r="0" b="0"/>
                <wp:wrapNone/>
                <wp:docPr id="1085"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 cy="49530"/>
                          <a:chOff x="0" y="0"/>
                          <a:chExt cx="50800" cy="49530"/>
                        </a:xfrm>
                      </wpg:grpSpPr>
                      <wps:wsp>
                        <wps:cNvPr id="1086" name="Graphic 1086"/>
                        <wps:cNvSpPr/>
                        <wps:spPr>
                          <a:xfrm>
                            <a:off x="0" y="21132"/>
                            <a:ext cx="38100" cy="1270"/>
                          </a:xfrm>
                          <a:custGeom>
                            <a:avLst/>
                            <a:gdLst/>
                            <a:ahLst/>
                            <a:cxnLst/>
                            <a:rect l="l" t="t" r="r" b="b"/>
                            <a:pathLst>
                              <a:path w="38100">
                                <a:moveTo>
                                  <a:pt x="0" y="0"/>
                                </a:moveTo>
                                <a:lnTo>
                                  <a:pt x="37719" y="0"/>
                                </a:lnTo>
                              </a:path>
                            </a:pathLst>
                          </a:custGeom>
                          <a:ln w="8572">
                            <a:solidFill>
                              <a:srgbClr val="000000"/>
                            </a:solidFill>
                            <a:prstDash val="solid"/>
                          </a:ln>
                        </wps:spPr>
                        <wps:bodyPr wrap="square" lIns="0" tIns="0" rIns="0" bIns="0" rtlCol="0">
                          <a:prstTxWarp prst="textNoShape">
                            <a:avLst/>
                          </a:prstTxWarp>
                          <a:noAutofit/>
                        </wps:bodyPr>
                      </wps:wsp>
                      <wps:wsp>
                        <wps:cNvPr id="1087" name="Graphic 1087"/>
                        <wps:cNvSpPr/>
                        <wps:spPr>
                          <a:xfrm>
                            <a:off x="1385"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B261724" id="Group 1085" o:spid="_x0000_s1026" style="position:absolute;margin-left:442.7pt;margin-top:100.05pt;width:4pt;height:3.9pt;z-index:15917568;mso-wrap-distance-left:0;mso-wrap-distance-right:0;mso-position-horizontal-relative:page" coordsize="5080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">
                <v:shape id="Graphic 1086" o:spid="_x0000_s1027" style="position:absolute;top:2113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" path="m,l37719,e" filled="f" strokeweight=".23811mm">
                  <v:path arrowok="t"/>
                </v:shape>
                <v:shape id="Graphic 1087" o:spid="_x0000_s1028" style="position:absolute;left:1385;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" path="m49301,l,,,49301r49301,l49301,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18080" behindDoc="0" locked="0" layoutInCell="1" allowOverlap="1" wp14:anchorId="670332E4" wp14:editId="51D8B5FD">
                <wp:simplePos x="0" y="0"/>
                <wp:positionH relativeFrom="page">
                  <wp:posOffset>5572041</wp:posOffset>
                </wp:positionH>
                <wp:positionV relativeFrom="paragraph">
                  <wp:posOffset>1383623</wp:posOffset>
                </wp:positionV>
                <wp:extent cx="63500" cy="49530"/>
                <wp:effectExtent l="0" t="0" r="0" b="0"/>
                <wp:wrapNone/>
                <wp:docPr id="1088"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 cy="49530"/>
                          <a:chOff x="0" y="0"/>
                          <a:chExt cx="63500" cy="49530"/>
                        </a:xfrm>
                      </wpg:grpSpPr>
                      <wps:wsp>
                        <wps:cNvPr id="1089" name="Graphic 1089"/>
                        <wps:cNvSpPr/>
                        <wps:spPr>
                          <a:xfrm>
                            <a:off x="0" y="21127"/>
                            <a:ext cx="61594" cy="1270"/>
                          </a:xfrm>
                          <a:custGeom>
                            <a:avLst/>
                            <a:gdLst/>
                            <a:ahLst/>
                            <a:cxnLst/>
                            <a:rect l="l" t="t" r="r" b="b"/>
                            <a:pathLst>
                              <a:path w="61594">
                                <a:moveTo>
                                  <a:pt x="0" y="0"/>
                                </a:moveTo>
                                <a:lnTo>
                                  <a:pt x="61061" y="0"/>
                                </a:lnTo>
                              </a:path>
                            </a:pathLst>
                          </a:custGeom>
                          <a:ln w="8572">
                            <a:solidFill>
                              <a:srgbClr val="000000"/>
                            </a:solidFill>
                            <a:prstDash val="solid"/>
                          </a:ln>
                        </wps:spPr>
                        <wps:bodyPr wrap="square" lIns="0" tIns="0" rIns="0" bIns="0" rtlCol="0">
                          <a:prstTxWarp prst="textNoShape">
                            <a:avLst/>
                          </a:prstTxWarp>
                          <a:noAutofit/>
                        </wps:bodyPr>
                      </wps:wsp>
                      <wps:wsp>
                        <wps:cNvPr id="1090" name="Graphic 1090"/>
                        <wps:cNvSpPr/>
                        <wps:spPr>
                          <a:xfrm>
                            <a:off x="13710"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BD69840" id="Group 1088" o:spid="_x0000_s1026" style="position:absolute;margin-left:438.75pt;margin-top:108.95pt;width:5pt;height:3.9pt;z-index:15918080;mso-wrap-distance-left:0;mso-wrap-distance-right:0;mso-position-horizontal-relative:page" coordsize="6350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">
                <v:shape id="Graphic 1089" o:spid="_x0000_s1027" style="position:absolute;top:21127;width:61594;height:1270;visibility:visible;mso-wrap-style:square;v-text-anchor:top" coordsize="61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" path="m,l61061,e" filled="f" strokeweight=".23811mm">
                  <v:path arrowok="t"/>
                </v:shape>
                <v:shape id="Graphic 1090" o:spid="_x0000_s1028" style="position:absolute;left:13710;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" path="m49314,l,,,49301r49314,l49314,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18592" behindDoc="0" locked="0" layoutInCell="1" allowOverlap="1" wp14:anchorId="057AD70A" wp14:editId="01CA808F">
                <wp:simplePos x="0" y="0"/>
                <wp:positionH relativeFrom="page">
                  <wp:posOffset>5575885</wp:posOffset>
                </wp:positionH>
                <wp:positionV relativeFrom="paragraph">
                  <wp:posOffset>1496310</wp:posOffset>
                </wp:positionV>
                <wp:extent cx="59055" cy="49530"/>
                <wp:effectExtent l="0" t="0" r="0" b="0"/>
                <wp:wrapNone/>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 cy="49530"/>
                          <a:chOff x="0" y="0"/>
                          <a:chExt cx="59055" cy="49530"/>
                        </a:xfrm>
                      </wpg:grpSpPr>
                      <wps:wsp>
                        <wps:cNvPr id="1092" name="Graphic 1092"/>
                        <wps:cNvSpPr/>
                        <wps:spPr>
                          <a:xfrm>
                            <a:off x="0" y="21140"/>
                            <a:ext cx="53975" cy="1270"/>
                          </a:xfrm>
                          <a:custGeom>
                            <a:avLst/>
                            <a:gdLst/>
                            <a:ahLst/>
                            <a:cxnLst/>
                            <a:rect l="l" t="t" r="r" b="b"/>
                            <a:pathLst>
                              <a:path w="53975">
                                <a:moveTo>
                                  <a:pt x="0" y="0"/>
                                </a:moveTo>
                                <a:lnTo>
                                  <a:pt x="53975" y="0"/>
                                </a:lnTo>
                              </a:path>
                            </a:pathLst>
                          </a:custGeom>
                          <a:ln w="8572">
                            <a:solidFill>
                              <a:srgbClr val="000000"/>
                            </a:solidFill>
                            <a:prstDash val="solid"/>
                          </a:ln>
                        </wps:spPr>
                        <wps:bodyPr wrap="square" lIns="0" tIns="0" rIns="0" bIns="0" rtlCol="0">
                          <a:prstTxWarp prst="textNoShape">
                            <a:avLst/>
                          </a:prstTxWarp>
                          <a:noAutofit/>
                        </wps:bodyPr>
                      </wps:wsp>
                      <wps:wsp>
                        <wps:cNvPr id="1093" name="Graphic 1093"/>
                        <wps:cNvSpPr/>
                        <wps:spPr>
                          <a:xfrm>
                            <a:off x="9206"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1F108D3" id="Group 1091" o:spid="_x0000_s1026" style="position:absolute;margin-left:439.05pt;margin-top:117.8pt;width:4.65pt;height:3.9pt;z-index:15918592;mso-wrap-distance-left:0;mso-wrap-distance-right:0;mso-position-horizontal-relative:page" coordsize="5905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">
                <v:shape id="Graphic 1092" o:spid="_x0000_s1027" style="position:absolute;top:21140;width:53975;height:1270;visibility:visible;mso-wrap-style:square;v-text-anchor:top" coordsize="53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" path="m,l53975,e" filled="f" strokeweight=".23811mm">
                  <v:path arrowok="t"/>
                </v:shape>
                <v:shape id="Graphic 1093" o:spid="_x0000_s1028" style="position:absolute;left:9206;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" path="m49314,l,,,49301r49314,l49314,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19104" behindDoc="0" locked="0" layoutInCell="1" allowOverlap="1" wp14:anchorId="74CAE4E0" wp14:editId="50B292AA">
                <wp:simplePos x="0" y="0"/>
                <wp:positionH relativeFrom="page">
                  <wp:posOffset>5558943</wp:posOffset>
                </wp:positionH>
                <wp:positionV relativeFrom="paragraph">
                  <wp:posOffset>1609009</wp:posOffset>
                </wp:positionV>
                <wp:extent cx="60960" cy="49530"/>
                <wp:effectExtent l="0" t="0" r="0" b="0"/>
                <wp:wrapNone/>
                <wp:docPr id="109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49530"/>
                          <a:chOff x="0" y="0"/>
                          <a:chExt cx="60960" cy="49530"/>
                        </a:xfrm>
                      </wpg:grpSpPr>
                      <wps:wsp>
                        <wps:cNvPr id="1095" name="Graphic 1095"/>
                        <wps:cNvSpPr/>
                        <wps:spPr>
                          <a:xfrm>
                            <a:off x="0" y="21135"/>
                            <a:ext cx="58419" cy="1270"/>
                          </a:xfrm>
                          <a:custGeom>
                            <a:avLst/>
                            <a:gdLst/>
                            <a:ahLst/>
                            <a:cxnLst/>
                            <a:rect l="l" t="t" r="r" b="b"/>
                            <a:pathLst>
                              <a:path w="58419">
                                <a:moveTo>
                                  <a:pt x="0" y="0"/>
                                </a:moveTo>
                                <a:lnTo>
                                  <a:pt x="58242" y="0"/>
                                </a:lnTo>
                              </a:path>
                            </a:pathLst>
                          </a:custGeom>
                          <a:ln w="8572">
                            <a:solidFill>
                              <a:srgbClr val="000000"/>
                            </a:solidFill>
                            <a:prstDash val="solid"/>
                          </a:ln>
                        </wps:spPr>
                        <wps:bodyPr wrap="square" lIns="0" tIns="0" rIns="0" bIns="0" rtlCol="0">
                          <a:prstTxWarp prst="textNoShape">
                            <a:avLst/>
                          </a:prstTxWarp>
                          <a:noAutofit/>
                        </wps:bodyPr>
                      </wps:wsp>
                      <wps:wsp>
                        <wps:cNvPr id="1096" name="Graphic 1096"/>
                        <wps:cNvSpPr/>
                        <wps:spPr>
                          <a:xfrm>
                            <a:off x="11162"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D958020" id="Group 1094" o:spid="_x0000_s1026" style="position:absolute;margin-left:437.7pt;margin-top:126.7pt;width:4.8pt;height:3.9pt;z-index:15919104;mso-wrap-distance-left:0;mso-wrap-distance-right:0;mso-position-horizontal-relative:page" coordsize="6096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">
                <v:shape id="Graphic 1095" o:spid="_x0000_s1027" style="position:absolute;top:21135;width:58419;height:1270;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" path="m,l58242,e" filled="f" strokeweight=".23811mm">
                  <v:path arrowok="t"/>
                </v:shape>
                <v:shape id="Graphic 1096" o:spid="_x0000_s1028" style="position:absolute;left:11162;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" path="m49314,l,,,49301r49314,l49314,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19616" behindDoc="0" locked="0" layoutInCell="1" allowOverlap="1" wp14:anchorId="7F6842BF" wp14:editId="6DB15DBF">
                <wp:simplePos x="0" y="0"/>
                <wp:positionH relativeFrom="page">
                  <wp:posOffset>5574508</wp:posOffset>
                </wp:positionH>
                <wp:positionV relativeFrom="paragraph">
                  <wp:posOffset>1721697</wp:posOffset>
                </wp:positionV>
                <wp:extent cx="91440" cy="49530"/>
                <wp:effectExtent l="0" t="0" r="0" b="0"/>
                <wp:wrapNone/>
                <wp:docPr id="1097"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49530"/>
                          <a:chOff x="0" y="0"/>
                          <a:chExt cx="91440" cy="49530"/>
                        </a:xfrm>
                      </wpg:grpSpPr>
                      <wps:wsp>
                        <wps:cNvPr id="1098" name="Graphic 1098"/>
                        <wps:cNvSpPr/>
                        <wps:spPr>
                          <a:xfrm>
                            <a:off x="0" y="21141"/>
                            <a:ext cx="91440" cy="1270"/>
                          </a:xfrm>
                          <a:custGeom>
                            <a:avLst/>
                            <a:gdLst/>
                            <a:ahLst/>
                            <a:cxnLst/>
                            <a:rect l="l" t="t" r="r" b="b"/>
                            <a:pathLst>
                              <a:path w="91440">
                                <a:moveTo>
                                  <a:pt x="0" y="0"/>
                                </a:moveTo>
                                <a:lnTo>
                                  <a:pt x="91300" y="0"/>
                                </a:lnTo>
                              </a:path>
                            </a:pathLst>
                          </a:custGeom>
                          <a:ln w="8572">
                            <a:solidFill>
                              <a:srgbClr val="000000"/>
                            </a:solidFill>
                            <a:prstDash val="solid"/>
                          </a:ln>
                        </wps:spPr>
                        <wps:bodyPr wrap="square" lIns="0" tIns="0" rIns="0" bIns="0" rtlCol="0">
                          <a:prstTxWarp prst="textNoShape">
                            <a:avLst/>
                          </a:prstTxWarp>
                          <a:noAutofit/>
                        </wps:bodyPr>
                      </wps:wsp>
                      <wps:wsp>
                        <wps:cNvPr id="1099" name="Graphic 1099"/>
                        <wps:cNvSpPr/>
                        <wps:spPr>
                          <a:xfrm>
                            <a:off x="39945"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6D30FD1" id="Group 1097" o:spid="_x0000_s1026" style="position:absolute;margin-left:438.95pt;margin-top:135.55pt;width:7.2pt;height:3.9pt;z-index:15919616;mso-wrap-distance-left:0;mso-wrap-distance-right:0;mso-position-horizontal-relative:page" coordsize="9144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">
                <v:shape id="Graphic 1098" o:spid="_x0000_s1027" style="position:absolute;top:21141;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" path="m,l91300,e" filled="f" strokeweight=".23811mm">
                  <v:path arrowok="t"/>
                </v:shape>
                <v:shape id="Graphic 1099" o:spid="_x0000_s1028" style="position:absolute;left:39945;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" path="m49301,l,,,49301r49301,l49301,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20128" behindDoc="0" locked="0" layoutInCell="1" allowOverlap="1" wp14:anchorId="65A0311E" wp14:editId="48665EFF">
                <wp:simplePos x="0" y="0"/>
                <wp:positionH relativeFrom="page">
                  <wp:posOffset>5421798</wp:posOffset>
                </wp:positionH>
                <wp:positionV relativeFrom="paragraph">
                  <wp:posOffset>1834396</wp:posOffset>
                </wp:positionV>
                <wp:extent cx="254635" cy="49530"/>
                <wp:effectExtent l="0" t="0" r="0" b="0"/>
                <wp:wrapNone/>
                <wp:docPr id="1100"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635" cy="49530"/>
                          <a:chOff x="0" y="0"/>
                          <a:chExt cx="254635" cy="49530"/>
                        </a:xfrm>
                      </wpg:grpSpPr>
                      <wps:wsp>
                        <wps:cNvPr id="1101" name="Graphic 1101"/>
                        <wps:cNvSpPr/>
                        <wps:spPr>
                          <a:xfrm>
                            <a:off x="0" y="21134"/>
                            <a:ext cx="254635" cy="1270"/>
                          </a:xfrm>
                          <a:custGeom>
                            <a:avLst/>
                            <a:gdLst/>
                            <a:ahLst/>
                            <a:cxnLst/>
                            <a:rect l="l" t="t" r="r" b="b"/>
                            <a:pathLst>
                              <a:path w="254635">
                                <a:moveTo>
                                  <a:pt x="0" y="0"/>
                                </a:moveTo>
                                <a:lnTo>
                                  <a:pt x="254190" y="0"/>
                                </a:lnTo>
                              </a:path>
                            </a:pathLst>
                          </a:custGeom>
                          <a:ln w="8572">
                            <a:solidFill>
                              <a:srgbClr val="000000"/>
                            </a:solidFill>
                            <a:prstDash val="solid"/>
                          </a:ln>
                        </wps:spPr>
                        <wps:bodyPr wrap="square" lIns="0" tIns="0" rIns="0" bIns="0" rtlCol="0">
                          <a:prstTxWarp prst="textNoShape">
                            <a:avLst/>
                          </a:prstTxWarp>
                          <a:noAutofit/>
                        </wps:bodyPr>
                      </wps:wsp>
                      <wps:wsp>
                        <wps:cNvPr id="1102" name="Graphic 1102"/>
                        <wps:cNvSpPr/>
                        <wps:spPr>
                          <a:xfrm>
                            <a:off x="181568"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01BBD4C" id="Group 1100" o:spid="_x0000_s1026" style="position:absolute;margin-left:426.9pt;margin-top:144.45pt;width:20.05pt;height:3.9pt;z-index:15920128;mso-wrap-distance-left:0;mso-wrap-distance-right:0;mso-position-horizontal-relative:page" coordsize="25463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">
                <v:shape id="Graphic 1101" o:spid="_x0000_s1027" style="position:absolute;top:21134;width:254635;height:1270;visibility:visible;mso-wrap-style:square;v-text-anchor:top" coordsize="254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" path="m,l254190,e" filled="f" strokeweight=".23811mm">
                  <v:path arrowok="t"/>
                </v:shape>
                <v:shape id="Graphic 1102" o:spid="_x0000_s1028" style="position:absolute;left:181568;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" path="m49301,l,,,49301r49301,l49301,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20640" behindDoc="0" locked="0" layoutInCell="1" allowOverlap="1" wp14:anchorId="22962888" wp14:editId="1A574B29">
                <wp:simplePos x="0" y="0"/>
                <wp:positionH relativeFrom="page">
                  <wp:posOffset>5527479</wp:posOffset>
                </wp:positionH>
                <wp:positionV relativeFrom="paragraph">
                  <wp:posOffset>1947083</wp:posOffset>
                </wp:positionV>
                <wp:extent cx="123189" cy="49530"/>
                <wp:effectExtent l="0" t="0" r="0" b="0"/>
                <wp:wrapNone/>
                <wp:docPr id="1103"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189" cy="49530"/>
                          <a:chOff x="0" y="0"/>
                          <a:chExt cx="123189" cy="49530"/>
                        </a:xfrm>
                      </wpg:grpSpPr>
                      <wps:wsp>
                        <wps:cNvPr id="1104" name="Graphic 1104"/>
                        <wps:cNvSpPr/>
                        <wps:spPr>
                          <a:xfrm>
                            <a:off x="0" y="21141"/>
                            <a:ext cx="123189" cy="1270"/>
                          </a:xfrm>
                          <a:custGeom>
                            <a:avLst/>
                            <a:gdLst/>
                            <a:ahLst/>
                            <a:cxnLst/>
                            <a:rect l="l" t="t" r="r" b="b"/>
                            <a:pathLst>
                              <a:path w="123189">
                                <a:moveTo>
                                  <a:pt x="0" y="0"/>
                                </a:moveTo>
                                <a:lnTo>
                                  <a:pt x="122707" y="0"/>
                                </a:lnTo>
                              </a:path>
                            </a:pathLst>
                          </a:custGeom>
                          <a:ln w="8572">
                            <a:solidFill>
                              <a:srgbClr val="000000"/>
                            </a:solidFill>
                            <a:prstDash val="solid"/>
                          </a:ln>
                        </wps:spPr>
                        <wps:bodyPr wrap="square" lIns="0" tIns="0" rIns="0" bIns="0" rtlCol="0">
                          <a:prstTxWarp prst="textNoShape">
                            <a:avLst/>
                          </a:prstTxWarp>
                          <a:noAutofit/>
                        </wps:bodyPr>
                      </wps:wsp>
                      <wps:wsp>
                        <wps:cNvPr id="1105" name="Graphic 1105"/>
                        <wps:cNvSpPr/>
                        <wps:spPr>
                          <a:xfrm>
                            <a:off x="56266"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271ED28" id="Group 1103" o:spid="_x0000_s1026" style="position:absolute;margin-left:435.25pt;margin-top:153.3pt;width:9.7pt;height:3.9pt;z-index:15920640;mso-wrap-distance-left:0;mso-wrap-distance-right:0;mso-position-horizontal-relative:page" coordsize="123189,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">
                <v:shape id="Graphic 1104" o:spid="_x0000_s1027" style="position:absolute;top:21141;width:123189;height:1270;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" path="m,l122707,e" filled="f" strokeweight=".23811mm">
                  <v:path arrowok="t"/>
                </v:shape>
                <v:shape id="Graphic 1105" o:spid="_x0000_s1028" style="position:absolute;left:56266;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" path="m49301,l,,,49301r49301,l49301,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21152" behindDoc="0" locked="0" layoutInCell="1" allowOverlap="1" wp14:anchorId="3CA0A45E" wp14:editId="21EB144D">
                <wp:simplePos x="0" y="0"/>
                <wp:positionH relativeFrom="page">
                  <wp:posOffset>5391066</wp:posOffset>
                </wp:positionH>
                <wp:positionV relativeFrom="paragraph">
                  <wp:posOffset>2059783</wp:posOffset>
                </wp:positionV>
                <wp:extent cx="285115" cy="49530"/>
                <wp:effectExtent l="0" t="0" r="0" b="0"/>
                <wp:wrapNone/>
                <wp:docPr id="1106"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115" cy="49530"/>
                          <a:chOff x="0" y="0"/>
                          <a:chExt cx="285115" cy="49530"/>
                        </a:xfrm>
                      </wpg:grpSpPr>
                      <wps:wsp>
                        <wps:cNvPr id="1107" name="Graphic 1107"/>
                        <wps:cNvSpPr/>
                        <wps:spPr>
                          <a:xfrm>
                            <a:off x="0" y="21136"/>
                            <a:ext cx="285115" cy="1270"/>
                          </a:xfrm>
                          <a:custGeom>
                            <a:avLst/>
                            <a:gdLst/>
                            <a:ahLst/>
                            <a:cxnLst/>
                            <a:rect l="l" t="t" r="r" b="b"/>
                            <a:pathLst>
                              <a:path w="285115">
                                <a:moveTo>
                                  <a:pt x="0" y="0"/>
                                </a:moveTo>
                                <a:lnTo>
                                  <a:pt x="284734" y="0"/>
                                </a:lnTo>
                              </a:path>
                            </a:pathLst>
                          </a:custGeom>
                          <a:ln w="8572">
                            <a:solidFill>
                              <a:srgbClr val="000000"/>
                            </a:solidFill>
                            <a:prstDash val="solid"/>
                          </a:ln>
                        </wps:spPr>
                        <wps:bodyPr wrap="square" lIns="0" tIns="0" rIns="0" bIns="0" rtlCol="0">
                          <a:prstTxWarp prst="textNoShape">
                            <a:avLst/>
                          </a:prstTxWarp>
                          <a:noAutofit/>
                        </wps:bodyPr>
                      </wps:wsp>
                      <wps:wsp>
                        <wps:cNvPr id="1108" name="Graphic 1108"/>
                        <wps:cNvSpPr/>
                        <wps:spPr>
                          <a:xfrm>
                            <a:off x="204757"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93580F4" id="Group 1106" o:spid="_x0000_s1026" style="position:absolute;margin-left:424.5pt;margin-top:162.2pt;width:22.45pt;height:3.9pt;z-index:15921152;mso-wrap-distance-left:0;mso-wrap-distance-right:0;mso-position-horizontal-relative:page" coordsize="28511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">
                <v:shape id="Graphic 1107" o:spid="_x0000_s1027" style="position:absolute;top:21136;width:285115;height:1270;visibility:visible;mso-wrap-style:square;v-text-anchor:top" coordsize="285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" path="m,l284734,e" filled="f" strokeweight=".23811mm">
                  <v:path arrowok="t"/>
                </v:shape>
                <v:shape id="Graphic 1108" o:spid="_x0000_s1028" style="position:absolute;left:204757;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" path="m49301,l,,,49301r49301,l49301,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21664" behindDoc="0" locked="0" layoutInCell="1" allowOverlap="1" wp14:anchorId="000F7097" wp14:editId="52768E7C">
                <wp:simplePos x="0" y="0"/>
                <wp:positionH relativeFrom="page">
                  <wp:posOffset>5459365</wp:posOffset>
                </wp:positionH>
                <wp:positionV relativeFrom="paragraph">
                  <wp:posOffset>2172470</wp:posOffset>
                </wp:positionV>
                <wp:extent cx="170815" cy="49530"/>
                <wp:effectExtent l="0" t="0" r="0" b="0"/>
                <wp:wrapNone/>
                <wp:docPr id="1109"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49530"/>
                          <a:chOff x="0" y="0"/>
                          <a:chExt cx="170815" cy="49530"/>
                        </a:xfrm>
                      </wpg:grpSpPr>
                      <wps:wsp>
                        <wps:cNvPr id="1110" name="Graphic 1110"/>
                        <wps:cNvSpPr/>
                        <wps:spPr>
                          <a:xfrm>
                            <a:off x="0" y="21141"/>
                            <a:ext cx="170815" cy="1270"/>
                          </a:xfrm>
                          <a:custGeom>
                            <a:avLst/>
                            <a:gdLst/>
                            <a:ahLst/>
                            <a:cxnLst/>
                            <a:rect l="l" t="t" r="r" b="b"/>
                            <a:pathLst>
                              <a:path w="170815">
                                <a:moveTo>
                                  <a:pt x="0" y="0"/>
                                </a:moveTo>
                                <a:lnTo>
                                  <a:pt x="170726" y="0"/>
                                </a:lnTo>
                              </a:path>
                            </a:pathLst>
                          </a:custGeom>
                          <a:ln w="8572">
                            <a:solidFill>
                              <a:srgbClr val="000000"/>
                            </a:solidFill>
                            <a:prstDash val="solid"/>
                          </a:ln>
                        </wps:spPr>
                        <wps:bodyPr wrap="square" lIns="0" tIns="0" rIns="0" bIns="0" rtlCol="0">
                          <a:prstTxWarp prst="textNoShape">
                            <a:avLst/>
                          </a:prstTxWarp>
                          <a:noAutofit/>
                        </wps:bodyPr>
                      </wps:wsp>
                      <wps:wsp>
                        <wps:cNvPr id="1111" name="Graphic 1111"/>
                        <wps:cNvSpPr/>
                        <wps:spPr>
                          <a:xfrm>
                            <a:off x="83041"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4293A85" id="Group 1109" o:spid="_x0000_s1026" style="position:absolute;margin-left:429.85pt;margin-top:171.05pt;width:13.45pt;height:3.9pt;z-index:15921664;mso-wrap-distance-left:0;mso-wrap-distance-right:0;mso-position-horizontal-relative:page" coordsize="17081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">
                <v:shape id="Graphic 1110" o:spid="_x0000_s1027" style="position:absolute;top:21141;width:170815;height:1270;visibility:visible;mso-wrap-style:square;v-text-anchor:top" coordsize="170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" path="m,l170726,e" filled="f" strokeweight=".23811mm">
                  <v:path arrowok="t"/>
                </v:shape>
                <v:shape id="Graphic 1111" o:spid="_x0000_s1028" style="position:absolute;left:83041;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" path="m49314,l,,,49301r49314,l49314,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22176" behindDoc="0" locked="0" layoutInCell="1" allowOverlap="1" wp14:anchorId="36B7883E" wp14:editId="294513F3">
                <wp:simplePos x="0" y="0"/>
                <wp:positionH relativeFrom="page">
                  <wp:posOffset>5587022</wp:posOffset>
                </wp:positionH>
                <wp:positionV relativeFrom="paragraph">
                  <wp:posOffset>2285170</wp:posOffset>
                </wp:positionV>
                <wp:extent cx="63500" cy="49530"/>
                <wp:effectExtent l="0" t="0" r="0" b="0"/>
                <wp:wrapNone/>
                <wp:docPr id="1112"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 cy="49530"/>
                          <a:chOff x="0" y="0"/>
                          <a:chExt cx="63500" cy="49530"/>
                        </a:xfrm>
                      </wpg:grpSpPr>
                      <wps:wsp>
                        <wps:cNvPr id="1113" name="Graphic 1113"/>
                        <wps:cNvSpPr/>
                        <wps:spPr>
                          <a:xfrm>
                            <a:off x="0" y="21136"/>
                            <a:ext cx="60325" cy="1270"/>
                          </a:xfrm>
                          <a:custGeom>
                            <a:avLst/>
                            <a:gdLst/>
                            <a:ahLst/>
                            <a:cxnLst/>
                            <a:rect l="l" t="t" r="r" b="b"/>
                            <a:pathLst>
                              <a:path w="60325">
                                <a:moveTo>
                                  <a:pt x="0" y="0"/>
                                </a:moveTo>
                                <a:lnTo>
                                  <a:pt x="59829" y="0"/>
                                </a:lnTo>
                              </a:path>
                            </a:pathLst>
                          </a:custGeom>
                          <a:ln w="8572">
                            <a:solidFill>
                              <a:srgbClr val="000000"/>
                            </a:solidFill>
                            <a:prstDash val="solid"/>
                          </a:ln>
                        </wps:spPr>
                        <wps:bodyPr wrap="square" lIns="0" tIns="0" rIns="0" bIns="0" rtlCol="0">
                          <a:prstTxWarp prst="textNoShape">
                            <a:avLst/>
                          </a:prstTxWarp>
                          <a:noAutofit/>
                        </wps:bodyPr>
                      </wps:wsp>
                      <wps:wsp>
                        <wps:cNvPr id="1114" name="Graphic 1114"/>
                        <wps:cNvSpPr/>
                        <wps:spPr>
                          <a:xfrm>
                            <a:off x="14135"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0685939" id="Group 1112" o:spid="_x0000_s1026" style="position:absolute;margin-left:439.9pt;margin-top:179.95pt;width:5pt;height:3.9pt;z-index:15922176;mso-wrap-distance-left:0;mso-wrap-distance-right:0;mso-position-horizontal-relative:page" coordsize="6350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">
                <v:shape id="Graphic 1113" o:spid="_x0000_s1027" style="position:absolute;top:21136;width:60325;height:1270;visibility:visible;mso-wrap-style:square;v-text-anchor:top" coordsize="6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" path="m,l59829,e" filled="f" strokeweight=".23811mm">
                  <v:path arrowok="t"/>
                </v:shape>
                <v:shape id="Graphic 1114" o:spid="_x0000_s1028" style="position:absolute;left:14135;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" path="m49301,l,,,49301r49301,l49301,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22688" behindDoc="0" locked="0" layoutInCell="1" allowOverlap="1" wp14:anchorId="296CD88B" wp14:editId="5A1B1024">
                <wp:simplePos x="0" y="0"/>
                <wp:positionH relativeFrom="page">
                  <wp:posOffset>5563581</wp:posOffset>
                </wp:positionH>
                <wp:positionV relativeFrom="paragraph">
                  <wp:posOffset>2397857</wp:posOffset>
                </wp:positionV>
                <wp:extent cx="68580" cy="49530"/>
                <wp:effectExtent l="0" t="0" r="0" b="0"/>
                <wp:wrapNone/>
                <wp:docPr id="1115"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 cy="49530"/>
                          <a:chOff x="0" y="0"/>
                          <a:chExt cx="68580" cy="49530"/>
                        </a:xfrm>
                      </wpg:grpSpPr>
                      <wps:wsp>
                        <wps:cNvPr id="1116" name="Graphic 1116"/>
                        <wps:cNvSpPr/>
                        <wps:spPr>
                          <a:xfrm>
                            <a:off x="0" y="21144"/>
                            <a:ext cx="68580" cy="1270"/>
                          </a:xfrm>
                          <a:custGeom>
                            <a:avLst/>
                            <a:gdLst/>
                            <a:ahLst/>
                            <a:cxnLst/>
                            <a:rect l="l" t="t" r="r" b="b"/>
                            <a:pathLst>
                              <a:path w="68580">
                                <a:moveTo>
                                  <a:pt x="0" y="0"/>
                                </a:moveTo>
                                <a:lnTo>
                                  <a:pt x="68059" y="0"/>
                                </a:lnTo>
                              </a:path>
                            </a:pathLst>
                          </a:custGeom>
                          <a:ln w="8572">
                            <a:solidFill>
                              <a:srgbClr val="000000"/>
                            </a:solidFill>
                            <a:prstDash val="solid"/>
                          </a:ln>
                        </wps:spPr>
                        <wps:bodyPr wrap="square" lIns="0" tIns="0" rIns="0" bIns="0" rtlCol="0">
                          <a:prstTxWarp prst="textNoShape">
                            <a:avLst/>
                          </a:prstTxWarp>
                          <a:noAutofit/>
                        </wps:bodyPr>
                      </wps:wsp>
                      <wps:wsp>
                        <wps:cNvPr id="1117" name="Graphic 1117"/>
                        <wps:cNvSpPr/>
                        <wps:spPr>
                          <a:xfrm>
                            <a:off x="17915"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54B4310" id="Group 1115" o:spid="_x0000_s1026" style="position:absolute;margin-left:438.1pt;margin-top:188.8pt;width:5.4pt;height:3.9pt;z-index:15922688;mso-wrap-distance-left:0;mso-wrap-distance-right:0;mso-position-horizontal-relative:page" coordsize="6858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">
                <v:shape id="Graphic 1116" o:spid="_x0000_s1027" style="position:absolute;top:21144;width:68580;height:1270;visibility:visible;mso-wrap-style:square;v-text-anchor:top" coordsize="68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" path="m,l68059,e" filled="f" strokeweight=".23811mm">
                  <v:path arrowok="t"/>
                </v:shape>
                <v:shape id="Graphic 1117" o:spid="_x0000_s1028" style="position:absolute;left:17915;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" path="m49301,l,,,49301r49301,l49301,xe" fillcolor="#0000c0" stroked="f">
                  <v:path arrowok="t"/>
                </v:shape>
                <w10:wrap anchorx="page"/>
              </v:group>
            </w:pict>
          </mc:Fallback>
        </mc:AlternateContent>
      </w:r>
      <w:r w:rsidRPr="003C6DAE">
        <w:rPr>
          <w:noProof/>
          <w:sz w:val="22"/>
          <w:szCs w:val="22"/>
          <w:lang w:val="uk-UA"/>
        </w:rPr>
        <w:drawing>
          <wp:anchor distT="0" distB="0" distL="0" distR="0" simplePos="0" relativeHeight="15930368" behindDoc="0" locked="0" layoutInCell="1" allowOverlap="1" wp14:anchorId="7F8D891E" wp14:editId="5DA9AE53">
            <wp:simplePos x="0" y="0"/>
            <wp:positionH relativeFrom="page">
              <wp:posOffset>5762409</wp:posOffset>
            </wp:positionH>
            <wp:positionV relativeFrom="paragraph">
              <wp:posOffset>690566</wp:posOffset>
            </wp:positionV>
            <wp:extent cx="820770" cy="82581"/>
            <wp:effectExtent l="0" t="0" r="0" b="0"/>
            <wp:wrapNone/>
            <wp:docPr id="1118" name="Image 1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8" name="Image 1118"/>
                    <pic:cNvPicPr/>
                  </pic:nvPicPr>
                  <pic:blipFill>
                    <a:blip r:embed="rId62" cstate="print"/>
                    <a:stretch>
                      <a:fillRect/>
                    </a:stretch>
                  </pic:blipFill>
                  <pic:spPr>
                    <a:xfrm>
                      <a:off x="0" y="0"/>
                      <a:ext cx="820770" cy="82581"/>
                    </a:xfrm>
                    <a:prstGeom prst="rect">
                      <a:avLst/>
                    </a:prstGeom>
                  </pic:spPr>
                </pic:pic>
              </a:graphicData>
            </a:graphic>
          </wp:anchor>
        </w:drawing>
      </w:r>
      <w:r w:rsidRPr="003C6DAE">
        <w:rPr>
          <w:noProof/>
          <w:sz w:val="22"/>
          <w:szCs w:val="22"/>
          <w:lang w:val="uk-UA"/>
        </w:rPr>
        <mc:AlternateContent>
          <mc:Choice Requires="wpg">
            <w:drawing>
              <wp:anchor distT="0" distB="0" distL="0" distR="0" simplePos="0" relativeHeight="15930880" behindDoc="0" locked="0" layoutInCell="1" allowOverlap="1" wp14:anchorId="6560219F" wp14:editId="51919293">
                <wp:simplePos x="0" y="0"/>
                <wp:positionH relativeFrom="page">
                  <wp:posOffset>6533171</wp:posOffset>
                </wp:positionH>
                <wp:positionV relativeFrom="paragraph">
                  <wp:posOffset>820149</wp:posOffset>
                </wp:positionV>
                <wp:extent cx="60325" cy="49530"/>
                <wp:effectExtent l="0" t="0" r="0" b="0"/>
                <wp:wrapNone/>
                <wp:docPr id="1119"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 cy="49530"/>
                          <a:chOff x="0" y="0"/>
                          <a:chExt cx="60325" cy="49530"/>
                        </a:xfrm>
                      </wpg:grpSpPr>
                      <wps:wsp>
                        <wps:cNvPr id="1120" name="Graphic 1120"/>
                        <wps:cNvSpPr/>
                        <wps:spPr>
                          <a:xfrm>
                            <a:off x="0" y="21130"/>
                            <a:ext cx="49530" cy="1270"/>
                          </a:xfrm>
                          <a:custGeom>
                            <a:avLst/>
                            <a:gdLst/>
                            <a:ahLst/>
                            <a:cxnLst/>
                            <a:rect l="l" t="t" r="r" b="b"/>
                            <a:pathLst>
                              <a:path w="49530">
                                <a:moveTo>
                                  <a:pt x="0" y="0"/>
                                </a:moveTo>
                                <a:lnTo>
                                  <a:pt x="49441" y="0"/>
                                </a:lnTo>
                              </a:path>
                            </a:pathLst>
                          </a:custGeom>
                          <a:ln w="8572">
                            <a:solidFill>
                              <a:srgbClr val="000000"/>
                            </a:solidFill>
                            <a:prstDash val="solid"/>
                          </a:ln>
                        </wps:spPr>
                        <wps:bodyPr wrap="square" lIns="0" tIns="0" rIns="0" bIns="0" rtlCol="0">
                          <a:prstTxWarp prst="textNoShape">
                            <a:avLst/>
                          </a:prstTxWarp>
                          <a:noAutofit/>
                        </wps:bodyPr>
                      </wps:wsp>
                      <wps:wsp>
                        <wps:cNvPr id="1121" name="Graphic 1121"/>
                        <wps:cNvSpPr/>
                        <wps:spPr>
                          <a:xfrm>
                            <a:off x="10642"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13B2F44" id="Group 1119" o:spid="_x0000_s1026" style="position:absolute;margin-left:514.4pt;margin-top:64.6pt;width:4.75pt;height:3.9pt;z-index:15930880;mso-wrap-distance-left:0;mso-wrap-distance-right:0;mso-position-horizontal-relative:page" coordsize="6032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">
                <v:shape id="Graphic 1120" o:spid="_x0000_s1027" style="position:absolute;top:21130;width:49530;height:1270;visibility:visible;mso-wrap-style:square;v-text-anchor:top" coordsize="49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" path="m,l49441,e" filled="f" strokeweight=".23811mm">
                  <v:path arrowok="t"/>
                </v:shape>
                <v:shape id="Graphic 1121" o:spid="_x0000_s1028" style="position:absolute;left:10642;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" path="m49314,l,,,49301r49314,l49314,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31392" behindDoc="0" locked="0" layoutInCell="1" allowOverlap="1" wp14:anchorId="1A4358E0" wp14:editId="58B0E4DF">
                <wp:simplePos x="0" y="0"/>
                <wp:positionH relativeFrom="page">
                  <wp:posOffset>6567538</wp:posOffset>
                </wp:positionH>
                <wp:positionV relativeFrom="paragraph">
                  <wp:posOffset>932836</wp:posOffset>
                </wp:positionV>
                <wp:extent cx="49530" cy="49530"/>
                <wp:effectExtent l="0" t="0" r="0" b="0"/>
                <wp:wrapNone/>
                <wp:docPr id="1122"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 cy="49530"/>
                          <a:chOff x="0" y="0"/>
                          <a:chExt cx="49530" cy="49530"/>
                        </a:xfrm>
                      </wpg:grpSpPr>
                      <wps:wsp>
                        <wps:cNvPr id="1123" name="Graphic 1123"/>
                        <wps:cNvSpPr/>
                        <wps:spPr>
                          <a:xfrm>
                            <a:off x="10034" y="21137"/>
                            <a:ext cx="15240" cy="1270"/>
                          </a:xfrm>
                          <a:custGeom>
                            <a:avLst/>
                            <a:gdLst/>
                            <a:ahLst/>
                            <a:cxnLst/>
                            <a:rect l="l" t="t" r="r" b="b"/>
                            <a:pathLst>
                              <a:path w="15240">
                                <a:moveTo>
                                  <a:pt x="0" y="0"/>
                                </a:moveTo>
                                <a:lnTo>
                                  <a:pt x="14871" y="0"/>
                                </a:lnTo>
                              </a:path>
                            </a:pathLst>
                          </a:custGeom>
                          <a:ln w="8572">
                            <a:solidFill>
                              <a:srgbClr val="000000"/>
                            </a:solidFill>
                            <a:prstDash val="solid"/>
                          </a:ln>
                        </wps:spPr>
                        <wps:bodyPr wrap="square" lIns="0" tIns="0" rIns="0" bIns="0" rtlCol="0">
                          <a:prstTxWarp prst="textNoShape">
                            <a:avLst/>
                          </a:prstTxWarp>
                          <a:noAutofit/>
                        </wps:bodyPr>
                      </wps:wsp>
                      <wps:wsp>
                        <wps:cNvPr id="1124" name="Graphic 1124"/>
                        <wps:cNvSpPr/>
                        <wps:spPr>
                          <a:xfrm>
                            <a:off x="0"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2A02D41" id="Group 1122" o:spid="_x0000_s1026" style="position:absolute;margin-left:517.15pt;margin-top:73.45pt;width:3.9pt;height:3.9pt;z-index:15931392;mso-wrap-distance-left:0;mso-wrap-distance-right:0;mso-position-horizontal-relative:page" coordsize="4953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">
                <v:shape id="Graphic 1123" o:spid="_x0000_s1027" style="position:absolute;left:10034;top:21137;width:15240;height:1270;visibility:visible;mso-wrap-style:square;v-text-anchor:top" coordsize="1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" path="m,l14871,e" filled="f" strokeweight=".23811mm">
                  <v:path arrowok="t"/>
                </v:shape>
                <v:shape id="Graphic 1124" o:spid="_x0000_s1028" style="position:absolute;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" path="m49314,l,,,49301r49314,l49314,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31904" behindDoc="0" locked="0" layoutInCell="1" allowOverlap="1" wp14:anchorId="5C3097B9" wp14:editId="15492631">
                <wp:simplePos x="0" y="0"/>
                <wp:positionH relativeFrom="page">
                  <wp:posOffset>6406395</wp:posOffset>
                </wp:positionH>
                <wp:positionV relativeFrom="paragraph">
                  <wp:posOffset>1045536</wp:posOffset>
                </wp:positionV>
                <wp:extent cx="179705" cy="49530"/>
                <wp:effectExtent l="0" t="0" r="0" b="0"/>
                <wp:wrapNone/>
                <wp:docPr id="1125"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49530"/>
                          <a:chOff x="0" y="0"/>
                          <a:chExt cx="179705" cy="49530"/>
                        </a:xfrm>
                      </wpg:grpSpPr>
                      <wps:wsp>
                        <wps:cNvPr id="1126" name="Graphic 1126"/>
                        <wps:cNvSpPr/>
                        <wps:spPr>
                          <a:xfrm>
                            <a:off x="0" y="21131"/>
                            <a:ext cx="179705" cy="1270"/>
                          </a:xfrm>
                          <a:custGeom>
                            <a:avLst/>
                            <a:gdLst/>
                            <a:ahLst/>
                            <a:cxnLst/>
                            <a:rect l="l" t="t" r="r" b="b"/>
                            <a:pathLst>
                              <a:path w="179705">
                                <a:moveTo>
                                  <a:pt x="0" y="0"/>
                                </a:moveTo>
                                <a:lnTo>
                                  <a:pt x="179654" y="0"/>
                                </a:lnTo>
                              </a:path>
                            </a:pathLst>
                          </a:custGeom>
                          <a:ln w="8572">
                            <a:solidFill>
                              <a:srgbClr val="000000"/>
                            </a:solidFill>
                            <a:prstDash val="solid"/>
                          </a:ln>
                        </wps:spPr>
                        <wps:bodyPr wrap="square" lIns="0" tIns="0" rIns="0" bIns="0" rtlCol="0">
                          <a:prstTxWarp prst="textNoShape">
                            <a:avLst/>
                          </a:prstTxWarp>
                          <a:noAutofit/>
                        </wps:bodyPr>
                      </wps:wsp>
                      <wps:wsp>
                        <wps:cNvPr id="1127" name="Graphic 1127"/>
                        <wps:cNvSpPr/>
                        <wps:spPr>
                          <a:xfrm>
                            <a:off x="109085"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583CC66" id="Group 1125" o:spid="_x0000_s1026" style="position:absolute;margin-left:504.45pt;margin-top:82.35pt;width:14.15pt;height:3.9pt;z-index:15931904;mso-wrap-distance-left:0;mso-wrap-distance-right:0;mso-position-horizontal-relative:page" coordsize="17970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">
                <v:shape id="Graphic 1126" o:spid="_x0000_s1027" style="position:absolute;top:21131;width:179705;height:1270;visibility:visible;mso-wrap-style:square;v-text-anchor:top" coordsize="179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" path="m,l179654,e" filled="f" strokeweight=".23811mm">
                  <v:path arrowok="t"/>
                </v:shape>
                <v:shape id="Graphic 1127" o:spid="_x0000_s1028" style="position:absolute;left:109085;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" path="m49301,l,,,49301r49301,l49301,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32416" behindDoc="0" locked="0" layoutInCell="1" allowOverlap="1" wp14:anchorId="6A36C8E8" wp14:editId="324ADDD9">
                <wp:simplePos x="0" y="0"/>
                <wp:positionH relativeFrom="page">
                  <wp:posOffset>6556540</wp:posOffset>
                </wp:positionH>
                <wp:positionV relativeFrom="paragraph">
                  <wp:posOffset>1158223</wp:posOffset>
                </wp:positionV>
                <wp:extent cx="49530" cy="49530"/>
                <wp:effectExtent l="0" t="0" r="0" b="0"/>
                <wp:wrapNone/>
                <wp:docPr id="1128"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 cy="49530"/>
                          <a:chOff x="0" y="0"/>
                          <a:chExt cx="49530" cy="49530"/>
                        </a:xfrm>
                      </wpg:grpSpPr>
                      <wps:wsp>
                        <wps:cNvPr id="1129" name="Graphic 1129"/>
                        <wps:cNvSpPr/>
                        <wps:spPr>
                          <a:xfrm>
                            <a:off x="3534" y="21137"/>
                            <a:ext cx="27305" cy="1270"/>
                          </a:xfrm>
                          <a:custGeom>
                            <a:avLst/>
                            <a:gdLst/>
                            <a:ahLst/>
                            <a:cxnLst/>
                            <a:rect l="l" t="t" r="r" b="b"/>
                            <a:pathLst>
                              <a:path w="27305">
                                <a:moveTo>
                                  <a:pt x="0" y="0"/>
                                </a:moveTo>
                                <a:lnTo>
                                  <a:pt x="27254" y="0"/>
                                </a:lnTo>
                              </a:path>
                            </a:pathLst>
                          </a:custGeom>
                          <a:ln w="8572">
                            <a:solidFill>
                              <a:srgbClr val="000000"/>
                            </a:solidFill>
                            <a:prstDash val="solid"/>
                          </a:ln>
                        </wps:spPr>
                        <wps:bodyPr wrap="square" lIns="0" tIns="0" rIns="0" bIns="0" rtlCol="0">
                          <a:prstTxWarp prst="textNoShape">
                            <a:avLst/>
                          </a:prstTxWarp>
                          <a:noAutofit/>
                        </wps:bodyPr>
                      </wps:wsp>
                      <wps:wsp>
                        <wps:cNvPr id="1130" name="Graphic 1130"/>
                        <wps:cNvSpPr/>
                        <wps:spPr>
                          <a:xfrm>
                            <a:off x="0"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A6BFE5A" id="Group 1128" o:spid="_x0000_s1026" style="position:absolute;margin-left:516.25pt;margin-top:91.2pt;width:3.9pt;height:3.9pt;z-index:15932416;mso-wrap-distance-left:0;mso-wrap-distance-right:0;mso-position-horizontal-relative:page" coordsize="4953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">
                <v:shape id="Graphic 1129" o:spid="_x0000_s1027" style="position:absolute;left:3534;top:21137;width:27305;height:1270;visibility:visible;mso-wrap-style:square;v-text-anchor:top" coordsize="27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" path="m,l27254,e" filled="f" strokeweight=".23811mm">
                  <v:path arrowok="t"/>
                </v:shape>
                <v:shape id="Graphic 1130" o:spid="_x0000_s1028" style="position:absolute;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" path="m49314,l,,,49301r49314,l49314,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32928" behindDoc="0" locked="0" layoutInCell="1" allowOverlap="1" wp14:anchorId="1FCCB346" wp14:editId="7D2DA293">
                <wp:simplePos x="0" y="0"/>
                <wp:positionH relativeFrom="page">
                  <wp:posOffset>6563783</wp:posOffset>
                </wp:positionH>
                <wp:positionV relativeFrom="paragraph">
                  <wp:posOffset>1270923</wp:posOffset>
                </wp:positionV>
                <wp:extent cx="57785" cy="49530"/>
                <wp:effectExtent l="0" t="0" r="0" b="0"/>
                <wp:wrapNone/>
                <wp:docPr id="113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 cy="49530"/>
                          <a:chOff x="0" y="0"/>
                          <a:chExt cx="57785" cy="49530"/>
                        </a:xfrm>
                      </wpg:grpSpPr>
                      <wps:wsp>
                        <wps:cNvPr id="1132" name="Graphic 1132"/>
                        <wps:cNvSpPr/>
                        <wps:spPr>
                          <a:xfrm>
                            <a:off x="0" y="21132"/>
                            <a:ext cx="29209" cy="1270"/>
                          </a:xfrm>
                          <a:custGeom>
                            <a:avLst/>
                            <a:gdLst/>
                            <a:ahLst/>
                            <a:cxnLst/>
                            <a:rect l="l" t="t" r="r" b="b"/>
                            <a:pathLst>
                              <a:path w="29209">
                                <a:moveTo>
                                  <a:pt x="0" y="0"/>
                                </a:moveTo>
                                <a:lnTo>
                                  <a:pt x="29184" y="0"/>
                                </a:lnTo>
                              </a:path>
                            </a:pathLst>
                          </a:custGeom>
                          <a:ln w="8572">
                            <a:solidFill>
                              <a:srgbClr val="000000"/>
                            </a:solidFill>
                            <a:prstDash val="solid"/>
                          </a:ln>
                        </wps:spPr>
                        <wps:bodyPr wrap="square" lIns="0" tIns="0" rIns="0" bIns="0" rtlCol="0">
                          <a:prstTxWarp prst="textNoShape">
                            <a:avLst/>
                          </a:prstTxWarp>
                          <a:noAutofit/>
                        </wps:bodyPr>
                      </wps:wsp>
                      <wps:wsp>
                        <wps:cNvPr id="1133" name="Graphic 1133"/>
                        <wps:cNvSpPr/>
                        <wps:spPr>
                          <a:xfrm>
                            <a:off x="8047"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E34AC88" id="Group 1131" o:spid="_x0000_s1026" style="position:absolute;margin-left:516.85pt;margin-top:100.05pt;width:4.55pt;height:3.9pt;z-index:15932928;mso-wrap-distance-left:0;mso-wrap-distance-right:0;mso-position-horizontal-relative:page" coordsize="5778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">
                <v:shape id="Graphic 1132" o:spid="_x0000_s1027" style="position:absolute;top:21132;width:29209;height:1270;visibility:visible;mso-wrap-style:square;v-text-anchor:top" coordsize="292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" path="m,l29184,e" filled="f" strokeweight=".23811mm">
                  <v:path arrowok="t"/>
                </v:shape>
                <v:shape id="Graphic 1133" o:spid="_x0000_s1028" style="position:absolute;left:8047;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" path="m49314,l,,,49301r49314,l49314,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33440" behindDoc="0" locked="0" layoutInCell="1" allowOverlap="1" wp14:anchorId="0CDA2012" wp14:editId="5AC2CBF3">
                <wp:simplePos x="0" y="0"/>
                <wp:positionH relativeFrom="page">
                  <wp:posOffset>6523907</wp:posOffset>
                </wp:positionH>
                <wp:positionV relativeFrom="paragraph">
                  <wp:posOffset>1383623</wp:posOffset>
                </wp:positionV>
                <wp:extent cx="60325" cy="49530"/>
                <wp:effectExtent l="0" t="0" r="0" b="0"/>
                <wp:wrapNone/>
                <wp:docPr id="1134"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 cy="49530"/>
                          <a:chOff x="0" y="0"/>
                          <a:chExt cx="60325" cy="49530"/>
                        </a:xfrm>
                      </wpg:grpSpPr>
                      <wps:wsp>
                        <wps:cNvPr id="1135" name="Graphic 1135"/>
                        <wps:cNvSpPr/>
                        <wps:spPr>
                          <a:xfrm>
                            <a:off x="0" y="21127"/>
                            <a:ext cx="52069" cy="1270"/>
                          </a:xfrm>
                          <a:custGeom>
                            <a:avLst/>
                            <a:gdLst/>
                            <a:ahLst/>
                            <a:cxnLst/>
                            <a:rect l="l" t="t" r="r" b="b"/>
                            <a:pathLst>
                              <a:path w="52069">
                                <a:moveTo>
                                  <a:pt x="0" y="0"/>
                                </a:moveTo>
                                <a:lnTo>
                                  <a:pt x="51930" y="0"/>
                                </a:lnTo>
                              </a:path>
                            </a:pathLst>
                          </a:custGeom>
                          <a:ln w="8572">
                            <a:solidFill>
                              <a:srgbClr val="000000"/>
                            </a:solidFill>
                            <a:prstDash val="solid"/>
                          </a:ln>
                        </wps:spPr>
                        <wps:bodyPr wrap="square" lIns="0" tIns="0" rIns="0" bIns="0" rtlCol="0">
                          <a:prstTxWarp prst="textNoShape">
                            <a:avLst/>
                          </a:prstTxWarp>
                          <a:noAutofit/>
                        </wps:bodyPr>
                      </wps:wsp>
                      <wps:wsp>
                        <wps:cNvPr id="1136" name="Graphic 1136"/>
                        <wps:cNvSpPr/>
                        <wps:spPr>
                          <a:xfrm>
                            <a:off x="10826"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E3F26DE" id="Group 1134" o:spid="_x0000_s1026" style="position:absolute;margin-left:513.7pt;margin-top:108.95pt;width:4.75pt;height:3.9pt;z-index:15933440;mso-wrap-distance-left:0;mso-wrap-distance-right:0;mso-position-horizontal-relative:page" coordsize="6032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">
                <v:shape id="Graphic 1135" o:spid="_x0000_s1027" style="position:absolute;top:21127;width:52069;height:1270;visibility:visible;mso-wrap-style:square;v-text-anchor:top" coordsize="520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" path="m,l51930,e" filled="f" strokeweight=".23811mm">
                  <v:path arrowok="t"/>
                </v:shape>
                <v:shape id="Graphic 1136" o:spid="_x0000_s1028" style="position:absolute;left:10826;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" path="m49301,l,,,49301r49301,l49301,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33952" behindDoc="0" locked="0" layoutInCell="1" allowOverlap="1" wp14:anchorId="3BDFFFC7" wp14:editId="7E170E81">
                <wp:simplePos x="0" y="0"/>
                <wp:positionH relativeFrom="page">
                  <wp:posOffset>6511157</wp:posOffset>
                </wp:positionH>
                <wp:positionV relativeFrom="paragraph">
                  <wp:posOffset>1496310</wp:posOffset>
                </wp:positionV>
                <wp:extent cx="58419" cy="49530"/>
                <wp:effectExtent l="0" t="0" r="0" b="0"/>
                <wp:wrapNone/>
                <wp:docPr id="113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49530"/>
                          <a:chOff x="0" y="0"/>
                          <a:chExt cx="58419" cy="49530"/>
                        </a:xfrm>
                      </wpg:grpSpPr>
                      <wps:wsp>
                        <wps:cNvPr id="1138" name="Graphic 1138"/>
                        <wps:cNvSpPr/>
                        <wps:spPr>
                          <a:xfrm>
                            <a:off x="0" y="21140"/>
                            <a:ext cx="51435" cy="1270"/>
                          </a:xfrm>
                          <a:custGeom>
                            <a:avLst/>
                            <a:gdLst/>
                            <a:ahLst/>
                            <a:cxnLst/>
                            <a:rect l="l" t="t" r="r" b="b"/>
                            <a:pathLst>
                              <a:path w="51435">
                                <a:moveTo>
                                  <a:pt x="0" y="0"/>
                                </a:moveTo>
                                <a:lnTo>
                                  <a:pt x="51130" y="0"/>
                                </a:lnTo>
                              </a:path>
                            </a:pathLst>
                          </a:custGeom>
                          <a:ln w="8572">
                            <a:solidFill>
                              <a:srgbClr val="000000"/>
                            </a:solidFill>
                            <a:prstDash val="solid"/>
                          </a:ln>
                        </wps:spPr>
                        <wps:bodyPr wrap="square" lIns="0" tIns="0" rIns="0" bIns="0" rtlCol="0">
                          <a:prstTxWarp prst="textNoShape">
                            <a:avLst/>
                          </a:prstTxWarp>
                          <a:noAutofit/>
                        </wps:bodyPr>
                      </wps:wsp>
                      <wps:wsp>
                        <wps:cNvPr id="1139" name="Graphic 1139"/>
                        <wps:cNvSpPr/>
                        <wps:spPr>
                          <a:xfrm>
                            <a:off x="8615"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324019F" id="Group 1137" o:spid="_x0000_s1026" style="position:absolute;margin-left:512.7pt;margin-top:117.8pt;width:4.6pt;height:3.9pt;z-index:15933952;mso-wrap-distance-left:0;mso-wrap-distance-right:0;mso-position-horizontal-relative:page" coordsize="58419,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">
                <v:shape id="Graphic 1138" o:spid="_x0000_s1027" style="position:absolute;top:21140;width:51435;height:1270;visibility:visible;mso-wrap-style:square;v-text-anchor:top" coordsize="51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" path="m,l51130,e" filled="f" strokeweight=".23811mm">
                  <v:path arrowok="t"/>
                </v:shape>
                <v:shape id="Graphic 1139" o:spid="_x0000_s1028" style="position:absolute;left:8615;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" path="m49301,l,,,49301r49301,l49301,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34464" behindDoc="0" locked="0" layoutInCell="1" allowOverlap="1" wp14:anchorId="71DAE16B" wp14:editId="559453E9">
                <wp:simplePos x="0" y="0"/>
                <wp:positionH relativeFrom="page">
                  <wp:posOffset>6549545</wp:posOffset>
                </wp:positionH>
                <wp:positionV relativeFrom="paragraph">
                  <wp:posOffset>1609009</wp:posOffset>
                </wp:positionV>
                <wp:extent cx="50800" cy="49530"/>
                <wp:effectExtent l="0" t="0" r="0" b="0"/>
                <wp:wrapNone/>
                <wp:docPr id="1140"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 cy="49530"/>
                          <a:chOff x="0" y="0"/>
                          <a:chExt cx="50800" cy="49530"/>
                        </a:xfrm>
                      </wpg:grpSpPr>
                      <wps:wsp>
                        <wps:cNvPr id="1141" name="Graphic 1141"/>
                        <wps:cNvSpPr/>
                        <wps:spPr>
                          <a:xfrm>
                            <a:off x="0" y="21135"/>
                            <a:ext cx="34925" cy="1270"/>
                          </a:xfrm>
                          <a:custGeom>
                            <a:avLst/>
                            <a:gdLst/>
                            <a:ahLst/>
                            <a:cxnLst/>
                            <a:rect l="l" t="t" r="r" b="b"/>
                            <a:pathLst>
                              <a:path w="34925">
                                <a:moveTo>
                                  <a:pt x="0" y="0"/>
                                </a:moveTo>
                                <a:lnTo>
                                  <a:pt x="34785" y="0"/>
                                </a:lnTo>
                              </a:path>
                            </a:pathLst>
                          </a:custGeom>
                          <a:ln w="8572">
                            <a:solidFill>
                              <a:srgbClr val="000000"/>
                            </a:solidFill>
                            <a:prstDash val="solid"/>
                          </a:ln>
                        </wps:spPr>
                        <wps:bodyPr wrap="square" lIns="0" tIns="0" rIns="0" bIns="0" rtlCol="0">
                          <a:prstTxWarp prst="textNoShape">
                            <a:avLst/>
                          </a:prstTxWarp>
                          <a:noAutofit/>
                        </wps:bodyPr>
                      </wps:wsp>
                      <wps:wsp>
                        <wps:cNvPr id="1142" name="Graphic 1142"/>
                        <wps:cNvSpPr/>
                        <wps:spPr>
                          <a:xfrm>
                            <a:off x="924"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3C25EFE" id="Group 1140" o:spid="_x0000_s1026" style="position:absolute;margin-left:515.7pt;margin-top:126.7pt;width:4pt;height:3.9pt;z-index:15934464;mso-wrap-distance-left:0;mso-wrap-distance-right:0;mso-position-horizontal-relative:page" coordsize="5080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">
                <v:shape id="Graphic 1141" o:spid="_x0000_s1027" style="position:absolute;top:21135;width:34925;height:1270;visibility:visible;mso-wrap-style:square;v-text-anchor:top" coordsize="3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" path="m,l34785,e" filled="f" strokeweight=".23811mm">
                  <v:path arrowok="t"/>
                </v:shape>
                <v:shape id="Graphic 1142" o:spid="_x0000_s1028" style="position:absolute;left:924;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" path="m49314,l,,,49301r49314,l49314,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34976" behindDoc="0" locked="0" layoutInCell="1" allowOverlap="1" wp14:anchorId="1DD8B073" wp14:editId="366404F6">
                <wp:simplePos x="0" y="0"/>
                <wp:positionH relativeFrom="page">
                  <wp:posOffset>6541223</wp:posOffset>
                </wp:positionH>
                <wp:positionV relativeFrom="paragraph">
                  <wp:posOffset>1721697</wp:posOffset>
                </wp:positionV>
                <wp:extent cx="49530" cy="49530"/>
                <wp:effectExtent l="0" t="0" r="0" b="0"/>
                <wp:wrapNone/>
                <wp:docPr id="1143"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 cy="49530"/>
                          <a:chOff x="0" y="0"/>
                          <a:chExt cx="49530" cy="49530"/>
                        </a:xfrm>
                      </wpg:grpSpPr>
                      <wps:wsp>
                        <wps:cNvPr id="1144" name="Graphic 1144"/>
                        <wps:cNvSpPr/>
                        <wps:spPr>
                          <a:xfrm>
                            <a:off x="5406" y="21141"/>
                            <a:ext cx="27305" cy="1270"/>
                          </a:xfrm>
                          <a:custGeom>
                            <a:avLst/>
                            <a:gdLst/>
                            <a:ahLst/>
                            <a:cxnLst/>
                            <a:rect l="l" t="t" r="r" b="b"/>
                            <a:pathLst>
                              <a:path w="27305">
                                <a:moveTo>
                                  <a:pt x="0" y="0"/>
                                </a:moveTo>
                                <a:lnTo>
                                  <a:pt x="27266" y="0"/>
                                </a:lnTo>
                              </a:path>
                            </a:pathLst>
                          </a:custGeom>
                          <a:ln w="8572">
                            <a:solidFill>
                              <a:srgbClr val="000000"/>
                            </a:solidFill>
                            <a:prstDash val="solid"/>
                          </a:ln>
                        </wps:spPr>
                        <wps:bodyPr wrap="square" lIns="0" tIns="0" rIns="0" bIns="0" rtlCol="0">
                          <a:prstTxWarp prst="textNoShape">
                            <a:avLst/>
                          </a:prstTxWarp>
                          <a:noAutofit/>
                        </wps:bodyPr>
                      </wps:wsp>
                      <wps:wsp>
                        <wps:cNvPr id="1145" name="Graphic 1145"/>
                        <wps:cNvSpPr/>
                        <wps:spPr>
                          <a:xfrm>
                            <a:off x="0"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6BFB193" id="Group 1143" o:spid="_x0000_s1026" style="position:absolute;margin-left:515.05pt;margin-top:135.55pt;width:3.9pt;height:3.9pt;z-index:15934976;mso-wrap-distance-left:0;mso-wrap-distance-right:0;mso-position-horizontal-relative:page" coordsize="4953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">
                <v:shape id="Graphic 1144" o:spid="_x0000_s1027" style="position:absolute;left:5406;top:21141;width:27305;height:1270;visibility:visible;mso-wrap-style:square;v-text-anchor:top" coordsize="27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" path="m,l27266,e" filled="f" strokeweight=".23811mm">
                  <v:path arrowok="t"/>
                </v:shape>
                <v:shape id="Graphic 1145" o:spid="_x0000_s1028" style="position:absolute;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" path="m49301,l,,,49301r49301,l49301,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35488" behindDoc="0" locked="0" layoutInCell="1" allowOverlap="1" wp14:anchorId="1F26966D" wp14:editId="361F19C0">
                <wp:simplePos x="0" y="0"/>
                <wp:positionH relativeFrom="page">
                  <wp:posOffset>6564576</wp:posOffset>
                </wp:positionH>
                <wp:positionV relativeFrom="paragraph">
                  <wp:posOffset>1834396</wp:posOffset>
                </wp:positionV>
                <wp:extent cx="57150" cy="49530"/>
                <wp:effectExtent l="0" t="0" r="0" b="0"/>
                <wp:wrapNone/>
                <wp:docPr id="1146"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 cy="49530"/>
                          <a:chOff x="0" y="0"/>
                          <a:chExt cx="57150" cy="49530"/>
                        </a:xfrm>
                      </wpg:grpSpPr>
                      <wps:wsp>
                        <wps:cNvPr id="1147" name="Graphic 1147"/>
                        <wps:cNvSpPr/>
                        <wps:spPr>
                          <a:xfrm>
                            <a:off x="0" y="21134"/>
                            <a:ext cx="28575" cy="1270"/>
                          </a:xfrm>
                          <a:custGeom>
                            <a:avLst/>
                            <a:gdLst/>
                            <a:ahLst/>
                            <a:cxnLst/>
                            <a:rect l="l" t="t" r="r" b="b"/>
                            <a:pathLst>
                              <a:path w="28575">
                                <a:moveTo>
                                  <a:pt x="0" y="0"/>
                                </a:moveTo>
                                <a:lnTo>
                                  <a:pt x="28384" y="0"/>
                                </a:lnTo>
                              </a:path>
                            </a:pathLst>
                          </a:custGeom>
                          <a:ln w="8572">
                            <a:solidFill>
                              <a:srgbClr val="000000"/>
                            </a:solidFill>
                            <a:prstDash val="solid"/>
                          </a:ln>
                        </wps:spPr>
                        <wps:bodyPr wrap="square" lIns="0" tIns="0" rIns="0" bIns="0" rtlCol="0">
                          <a:prstTxWarp prst="textNoShape">
                            <a:avLst/>
                          </a:prstTxWarp>
                          <a:noAutofit/>
                        </wps:bodyPr>
                      </wps:wsp>
                      <wps:wsp>
                        <wps:cNvPr id="1148" name="Graphic 1148"/>
                        <wps:cNvSpPr/>
                        <wps:spPr>
                          <a:xfrm>
                            <a:off x="7254"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13E2697" id="Group 1146" o:spid="_x0000_s1026" style="position:absolute;margin-left:516.9pt;margin-top:144.45pt;width:4.5pt;height:3.9pt;z-index:15935488;mso-wrap-distance-left:0;mso-wrap-distance-right:0;mso-position-horizontal-relative:page" coordsize="5715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">
                <v:shape id="Graphic 1147" o:spid="_x0000_s1027" style="position:absolute;top:21134;width:28575;height:1270;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" path="m,l28384,e" filled="f" strokeweight=".23811mm">
                  <v:path arrowok="t"/>
                </v:shape>
                <v:shape id="Graphic 1148" o:spid="_x0000_s1028" style="position:absolute;left:7254;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" path="m49314,l,,,49301r49314,l49314,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36000" behindDoc="0" locked="0" layoutInCell="1" allowOverlap="1" wp14:anchorId="226E5962" wp14:editId="622BA00F">
                <wp:simplePos x="0" y="0"/>
                <wp:positionH relativeFrom="page">
                  <wp:posOffset>6568719</wp:posOffset>
                </wp:positionH>
                <wp:positionV relativeFrom="paragraph">
                  <wp:posOffset>1947083</wp:posOffset>
                </wp:positionV>
                <wp:extent cx="49530" cy="49530"/>
                <wp:effectExtent l="0" t="0" r="0" b="0"/>
                <wp:wrapNone/>
                <wp:docPr id="1149"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 cy="49530"/>
                          <a:chOff x="0" y="0"/>
                          <a:chExt cx="49530" cy="49530"/>
                        </a:xfrm>
                      </wpg:grpSpPr>
                      <wps:wsp>
                        <wps:cNvPr id="1150" name="Graphic 1150"/>
                        <wps:cNvSpPr/>
                        <wps:spPr>
                          <a:xfrm>
                            <a:off x="7080" y="21141"/>
                            <a:ext cx="17145" cy="1270"/>
                          </a:xfrm>
                          <a:custGeom>
                            <a:avLst/>
                            <a:gdLst/>
                            <a:ahLst/>
                            <a:cxnLst/>
                            <a:rect l="l" t="t" r="r" b="b"/>
                            <a:pathLst>
                              <a:path w="17145">
                                <a:moveTo>
                                  <a:pt x="0" y="0"/>
                                </a:moveTo>
                                <a:lnTo>
                                  <a:pt x="17094" y="0"/>
                                </a:lnTo>
                              </a:path>
                            </a:pathLst>
                          </a:custGeom>
                          <a:ln w="8572">
                            <a:solidFill>
                              <a:srgbClr val="000000"/>
                            </a:solidFill>
                            <a:prstDash val="solid"/>
                          </a:ln>
                        </wps:spPr>
                        <wps:bodyPr wrap="square" lIns="0" tIns="0" rIns="0" bIns="0" rtlCol="0">
                          <a:prstTxWarp prst="textNoShape">
                            <a:avLst/>
                          </a:prstTxWarp>
                          <a:noAutofit/>
                        </wps:bodyPr>
                      </wps:wsp>
                      <wps:wsp>
                        <wps:cNvPr id="1151" name="Graphic 1151"/>
                        <wps:cNvSpPr/>
                        <wps:spPr>
                          <a:xfrm>
                            <a:off x="0"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6829974" id="Group 1149" o:spid="_x0000_s1026" style="position:absolute;margin-left:517.2pt;margin-top:153.3pt;width:3.9pt;height:3.9pt;z-index:15936000;mso-wrap-distance-left:0;mso-wrap-distance-right:0;mso-position-horizontal-relative:page" coordsize="4953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">
                <v:shape id="Graphic 1150" o:spid="_x0000_s1027" style="position:absolute;left:7080;top:21141;width:17145;height:1270;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" path="m,l17094,e" filled="f" strokeweight=".23811mm">
                  <v:path arrowok="t"/>
                </v:shape>
                <v:shape id="Graphic 1151" o:spid="_x0000_s1028" style="position:absolute;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" path="m49301,l,,,49301r49301,l49301,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36512" behindDoc="0" locked="0" layoutInCell="1" allowOverlap="1" wp14:anchorId="6F55032C" wp14:editId="3EA839F7">
                <wp:simplePos x="0" y="0"/>
                <wp:positionH relativeFrom="page">
                  <wp:posOffset>6553313</wp:posOffset>
                </wp:positionH>
                <wp:positionV relativeFrom="paragraph">
                  <wp:posOffset>2059783</wp:posOffset>
                </wp:positionV>
                <wp:extent cx="54610" cy="49530"/>
                <wp:effectExtent l="0" t="0" r="0" b="0"/>
                <wp:wrapNone/>
                <wp:docPr id="1152"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49530"/>
                          <a:chOff x="0" y="0"/>
                          <a:chExt cx="54610" cy="49530"/>
                        </a:xfrm>
                      </wpg:grpSpPr>
                      <wps:wsp>
                        <wps:cNvPr id="1153" name="Graphic 1153"/>
                        <wps:cNvSpPr/>
                        <wps:spPr>
                          <a:xfrm>
                            <a:off x="0" y="21136"/>
                            <a:ext cx="36830" cy="1270"/>
                          </a:xfrm>
                          <a:custGeom>
                            <a:avLst/>
                            <a:gdLst/>
                            <a:ahLst/>
                            <a:cxnLst/>
                            <a:rect l="l" t="t" r="r" b="b"/>
                            <a:pathLst>
                              <a:path w="36830">
                                <a:moveTo>
                                  <a:pt x="0" y="0"/>
                                </a:moveTo>
                                <a:lnTo>
                                  <a:pt x="36791" y="0"/>
                                </a:lnTo>
                              </a:path>
                            </a:pathLst>
                          </a:custGeom>
                          <a:ln w="8572">
                            <a:solidFill>
                              <a:srgbClr val="000000"/>
                            </a:solidFill>
                            <a:prstDash val="solid"/>
                          </a:ln>
                        </wps:spPr>
                        <wps:bodyPr wrap="square" lIns="0" tIns="0" rIns="0" bIns="0" rtlCol="0">
                          <a:prstTxWarp prst="textNoShape">
                            <a:avLst/>
                          </a:prstTxWarp>
                          <a:noAutofit/>
                        </wps:bodyPr>
                      </wps:wsp>
                      <wps:wsp>
                        <wps:cNvPr id="1154" name="Graphic 1154"/>
                        <wps:cNvSpPr/>
                        <wps:spPr>
                          <a:xfrm>
                            <a:off x="4737"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D5460E6" id="Group 1152" o:spid="_x0000_s1026" style="position:absolute;margin-left:516pt;margin-top:162.2pt;width:4.3pt;height:3.9pt;z-index:15936512;mso-wrap-distance-left:0;mso-wrap-distance-right:0;mso-position-horizontal-relative:page" coordsize="5461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">
                <v:shape id="Graphic 1153" o:spid="_x0000_s1027" style="position:absolute;top:21136;width:36830;height:1270;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" path="m,l36791,e" filled="f" strokeweight=".23811mm">
                  <v:path arrowok="t"/>
                </v:shape>
                <v:shape id="Graphic 1154" o:spid="_x0000_s1028" style="position:absolute;left:4737;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" path="m49301,l,,,49301r49301,l49301,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37024" behindDoc="0" locked="0" layoutInCell="1" allowOverlap="1" wp14:anchorId="4190AF04" wp14:editId="56C47C64">
                <wp:simplePos x="0" y="0"/>
                <wp:positionH relativeFrom="page">
                  <wp:posOffset>6556184</wp:posOffset>
                </wp:positionH>
                <wp:positionV relativeFrom="paragraph">
                  <wp:posOffset>2172470</wp:posOffset>
                </wp:positionV>
                <wp:extent cx="49530" cy="49530"/>
                <wp:effectExtent l="0" t="0" r="0" b="0"/>
                <wp:wrapNone/>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 cy="49530"/>
                          <a:chOff x="0" y="0"/>
                          <a:chExt cx="49530" cy="49530"/>
                        </a:xfrm>
                      </wpg:grpSpPr>
                      <wps:wsp>
                        <wps:cNvPr id="1156" name="Graphic 1156"/>
                        <wps:cNvSpPr/>
                        <wps:spPr>
                          <a:xfrm>
                            <a:off x="11888" y="21141"/>
                            <a:ext cx="15875" cy="1270"/>
                          </a:xfrm>
                          <a:custGeom>
                            <a:avLst/>
                            <a:gdLst/>
                            <a:ahLst/>
                            <a:cxnLst/>
                            <a:rect l="l" t="t" r="r" b="b"/>
                            <a:pathLst>
                              <a:path w="15875">
                                <a:moveTo>
                                  <a:pt x="0" y="0"/>
                                </a:moveTo>
                                <a:lnTo>
                                  <a:pt x="15748" y="0"/>
                                </a:lnTo>
                              </a:path>
                            </a:pathLst>
                          </a:custGeom>
                          <a:ln w="8572">
                            <a:solidFill>
                              <a:srgbClr val="000000"/>
                            </a:solidFill>
                            <a:prstDash val="solid"/>
                          </a:ln>
                        </wps:spPr>
                        <wps:bodyPr wrap="square" lIns="0" tIns="0" rIns="0" bIns="0" rtlCol="0">
                          <a:prstTxWarp prst="textNoShape">
                            <a:avLst/>
                          </a:prstTxWarp>
                          <a:noAutofit/>
                        </wps:bodyPr>
                      </wps:wsp>
                      <wps:wsp>
                        <wps:cNvPr id="1157" name="Graphic 1157"/>
                        <wps:cNvSpPr/>
                        <wps:spPr>
                          <a:xfrm>
                            <a:off x="0"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7CC36D0" id="Group 1155" o:spid="_x0000_s1026" style="position:absolute;margin-left:516.25pt;margin-top:171.05pt;width:3.9pt;height:3.9pt;z-index:15937024;mso-wrap-distance-left:0;mso-wrap-distance-right:0;mso-position-horizontal-relative:page" coordsize="4953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">
                <v:shape id="Graphic 1156" o:spid="_x0000_s1027" style="position:absolute;left:11888;top:21141;width:15875;height:1270;visibility:visible;mso-wrap-style:square;v-text-anchor:top" coordsize="1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" path="m,l15748,e" filled="f" strokeweight=".23811mm">
                  <v:path arrowok="t"/>
                </v:shape>
                <v:shape id="Graphic 1157" o:spid="_x0000_s1028" style="position:absolute;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" path="m49314,l,,,49301r49314,l49314,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37536" behindDoc="0" locked="0" layoutInCell="1" allowOverlap="1" wp14:anchorId="49AB6A7F" wp14:editId="4AE4E2FE">
                <wp:simplePos x="0" y="0"/>
                <wp:positionH relativeFrom="page">
                  <wp:posOffset>6567525</wp:posOffset>
                </wp:positionH>
                <wp:positionV relativeFrom="paragraph">
                  <wp:posOffset>2285170</wp:posOffset>
                </wp:positionV>
                <wp:extent cx="49530" cy="49530"/>
                <wp:effectExtent l="0" t="0" r="0" b="0"/>
                <wp:wrapNone/>
                <wp:docPr id="1158"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 cy="49530"/>
                          <a:chOff x="0" y="0"/>
                          <a:chExt cx="49530" cy="49530"/>
                        </a:xfrm>
                      </wpg:grpSpPr>
                      <wps:wsp>
                        <wps:cNvPr id="1159" name="Graphic 1159"/>
                        <wps:cNvSpPr/>
                        <wps:spPr>
                          <a:xfrm>
                            <a:off x="10011" y="21136"/>
                            <a:ext cx="15240" cy="1270"/>
                          </a:xfrm>
                          <a:custGeom>
                            <a:avLst/>
                            <a:gdLst/>
                            <a:ahLst/>
                            <a:cxnLst/>
                            <a:rect l="l" t="t" r="r" b="b"/>
                            <a:pathLst>
                              <a:path w="15240">
                                <a:moveTo>
                                  <a:pt x="0" y="0"/>
                                </a:moveTo>
                                <a:lnTo>
                                  <a:pt x="14909" y="0"/>
                                </a:lnTo>
                              </a:path>
                            </a:pathLst>
                          </a:custGeom>
                          <a:ln w="8572">
                            <a:solidFill>
                              <a:srgbClr val="000000"/>
                            </a:solidFill>
                            <a:prstDash val="solid"/>
                          </a:ln>
                        </wps:spPr>
                        <wps:bodyPr wrap="square" lIns="0" tIns="0" rIns="0" bIns="0" rtlCol="0">
                          <a:prstTxWarp prst="textNoShape">
                            <a:avLst/>
                          </a:prstTxWarp>
                          <a:noAutofit/>
                        </wps:bodyPr>
                      </wps:wsp>
                      <wps:wsp>
                        <wps:cNvPr id="1160" name="Graphic 1160"/>
                        <wps:cNvSpPr/>
                        <wps:spPr>
                          <a:xfrm>
                            <a:off x="0"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BA12BC5" id="Group 1158" o:spid="_x0000_s1026" style="position:absolute;margin-left:517.15pt;margin-top:179.95pt;width:3.9pt;height:3.9pt;z-index:15937536;mso-wrap-distance-left:0;mso-wrap-distance-right:0;mso-position-horizontal-relative:page" coordsize="4953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">
                <v:shape id="Graphic 1159" o:spid="_x0000_s1027" style="position:absolute;left:10011;top:21136;width:15240;height:1270;visibility:visible;mso-wrap-style:square;v-text-anchor:top" coordsize="1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" path="m,l14909,e" filled="f" strokeweight=".23811mm">
                  <v:path arrowok="t"/>
                </v:shape>
                <v:shape id="Graphic 1160" o:spid="_x0000_s1028" style="position:absolute;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" path="m49314,l,,,49301r49314,l49314,xe" fillcolor="#0000c0" stroked="f">
                  <v:path arrowok="t"/>
                </v:shape>
                <w10:wrap anchorx="page"/>
              </v:group>
            </w:pict>
          </mc:Fallback>
        </mc:AlternateContent>
      </w:r>
      <w:r w:rsidRPr="003C6DAE">
        <w:rPr>
          <w:noProof/>
          <w:sz w:val="22"/>
          <w:szCs w:val="22"/>
          <w:lang w:val="uk-UA"/>
        </w:rPr>
        <mc:AlternateContent>
          <mc:Choice Requires="wpg">
            <w:drawing>
              <wp:anchor distT="0" distB="0" distL="0" distR="0" simplePos="0" relativeHeight="15938048" behindDoc="0" locked="0" layoutInCell="1" allowOverlap="1" wp14:anchorId="2D8F0DC7" wp14:editId="49E4FBDF">
                <wp:simplePos x="0" y="0"/>
                <wp:positionH relativeFrom="page">
                  <wp:posOffset>6571830</wp:posOffset>
                </wp:positionH>
                <wp:positionV relativeFrom="paragraph">
                  <wp:posOffset>2397857</wp:posOffset>
                </wp:positionV>
                <wp:extent cx="49530" cy="49530"/>
                <wp:effectExtent l="0" t="0" r="0" b="0"/>
                <wp:wrapNone/>
                <wp:docPr id="1161"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 cy="49530"/>
                          <a:chOff x="0" y="0"/>
                          <a:chExt cx="49530" cy="49530"/>
                        </a:xfrm>
                      </wpg:grpSpPr>
                      <wps:wsp>
                        <wps:cNvPr id="1162" name="Graphic 1162"/>
                        <wps:cNvSpPr/>
                        <wps:spPr>
                          <a:xfrm>
                            <a:off x="13233" y="21144"/>
                            <a:ext cx="8255" cy="1270"/>
                          </a:xfrm>
                          <a:custGeom>
                            <a:avLst/>
                            <a:gdLst/>
                            <a:ahLst/>
                            <a:cxnLst/>
                            <a:rect l="l" t="t" r="r" b="b"/>
                            <a:pathLst>
                              <a:path w="8255">
                                <a:moveTo>
                                  <a:pt x="0" y="0"/>
                                </a:moveTo>
                                <a:lnTo>
                                  <a:pt x="7899" y="0"/>
                                </a:lnTo>
                              </a:path>
                            </a:pathLst>
                          </a:custGeom>
                          <a:ln w="8572">
                            <a:solidFill>
                              <a:srgbClr val="000000"/>
                            </a:solidFill>
                            <a:prstDash val="solid"/>
                          </a:ln>
                        </wps:spPr>
                        <wps:bodyPr wrap="square" lIns="0" tIns="0" rIns="0" bIns="0" rtlCol="0">
                          <a:prstTxWarp prst="textNoShape">
                            <a:avLst/>
                          </a:prstTxWarp>
                          <a:noAutofit/>
                        </wps:bodyPr>
                      </wps:wsp>
                      <wps:wsp>
                        <wps:cNvPr id="1163" name="Graphic 1163"/>
                        <wps:cNvSpPr/>
                        <wps:spPr>
                          <a:xfrm>
                            <a:off x="0"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5DBD54E" id="Group 1161" o:spid="_x0000_s1026" style="position:absolute;margin-left:517.45pt;margin-top:188.8pt;width:3.9pt;height:3.9pt;z-index:15938048;mso-wrap-distance-left:0;mso-wrap-distance-right:0;mso-position-horizontal-relative:page" coordsize="4953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">
                <v:shape id="Graphic 1162" o:spid="_x0000_s1027" style="position:absolute;left:13233;top:21144;width:8255;height:1270;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" path="m,l7899,e" filled="f" strokeweight=".23811mm">
                  <v:path arrowok="t"/>
                </v:shape>
                <v:shape id="Graphic 1163" o:spid="_x0000_s1028" style="position:absolute;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" path="m49314,l,,,49301r49314,l49314,xe" fillcolor="#0000c0" stroked="f">
                  <v:path arrowok="t"/>
                </v:shape>
                <w10:wrap anchorx="page"/>
              </v:group>
            </w:pict>
          </mc:Fallback>
        </mc:AlternateContent>
      </w:r>
      <w:r w:rsidR="004347D8" w:rsidRPr="003C6DAE">
        <w:rPr>
          <w:color w:val="636466"/>
          <w:sz w:val="22"/>
          <w:szCs w:val="22"/>
          <w:lang w:val="uk-UA"/>
        </w:rPr>
        <w:t>Рис</w:t>
      </w:r>
      <w:r w:rsidRPr="003C6DAE">
        <w:rPr>
          <w:color w:val="636466"/>
          <w:sz w:val="22"/>
          <w:szCs w:val="22"/>
          <w:lang w:val="uk-UA"/>
        </w:rPr>
        <w:t>.</w:t>
      </w:r>
      <w:r w:rsidRPr="003C6DAE">
        <w:rPr>
          <w:color w:val="636466"/>
          <w:spacing w:val="-7"/>
          <w:sz w:val="22"/>
          <w:szCs w:val="22"/>
          <w:lang w:val="uk-UA"/>
        </w:rPr>
        <w:t xml:space="preserve"> </w:t>
      </w:r>
      <w:r w:rsidRPr="003C6DAE">
        <w:rPr>
          <w:color w:val="636466"/>
          <w:sz w:val="22"/>
          <w:szCs w:val="22"/>
          <w:lang w:val="uk-UA"/>
        </w:rPr>
        <w:t>2.1.2.1</w:t>
      </w:r>
      <w:r w:rsidRPr="003C6DAE">
        <w:rPr>
          <w:color w:val="636466"/>
          <w:spacing w:val="-7"/>
          <w:sz w:val="22"/>
          <w:szCs w:val="22"/>
          <w:lang w:val="uk-UA"/>
        </w:rPr>
        <w:t xml:space="preserve"> </w:t>
      </w:r>
      <w:r w:rsidR="004347D8" w:rsidRPr="003C6DAE">
        <w:rPr>
          <w:color w:val="636466"/>
          <w:sz w:val="22"/>
          <w:szCs w:val="22"/>
          <w:lang w:val="uk-UA"/>
        </w:rPr>
        <w:t>Лісова діаграма включених досліджень щодо виявлення ТБ з використанням бакпосіву в якості еталонного стандарту</w:t>
      </w:r>
    </w:p>
    <w:p w14:paraId="5850C45C" w14:textId="3A49F27E" w:rsidR="00E05B98" w:rsidRPr="003C6DAE" w:rsidRDefault="00014B97" w:rsidP="00DD3C0C">
      <w:pPr>
        <w:pStyle w:val="a3"/>
        <w:jc w:val="both"/>
        <w:rPr>
          <w:rFonts w:ascii="Arial"/>
          <w:b/>
          <w:sz w:val="24"/>
          <w:lang w:val="uk-UA"/>
        </w:rPr>
      </w:pPr>
      <w:r w:rsidRPr="003C6DAE">
        <w:rPr>
          <w:rFonts w:ascii="Arial"/>
          <w:b/>
          <w:noProof/>
          <w:sz w:val="24"/>
          <w:lang w:val="uk-UA"/>
        </w:rPr>
        <mc:AlternateContent>
          <mc:Choice Requires="wps">
            <w:drawing>
              <wp:anchor distT="0" distB="0" distL="114300" distR="114300" simplePos="0" relativeHeight="488098304" behindDoc="0" locked="0" layoutInCell="1" allowOverlap="1" wp14:anchorId="41E88E03" wp14:editId="3BB82B54">
                <wp:simplePos x="0" y="0"/>
                <wp:positionH relativeFrom="margin">
                  <wp:posOffset>303737</wp:posOffset>
                </wp:positionH>
                <wp:positionV relativeFrom="paragraph">
                  <wp:posOffset>69851</wp:posOffset>
                </wp:positionV>
                <wp:extent cx="6175200" cy="226306"/>
                <wp:effectExtent l="0" t="0" r="0" b="2540"/>
                <wp:wrapNone/>
                <wp:docPr id="964709458" name="Поле 964709458"/>
                <wp:cNvGraphicFramePr/>
                <a:graphic xmlns:a="http://schemas.openxmlformats.org/drawingml/2006/main">
                  <a:graphicData uri="http://schemas.microsoft.com/office/word/2010/wordprocessingShape">
                    <wps:wsp>
                      <wps:cNvSpPr txBox="1"/>
                      <wps:spPr>
                        <a:xfrm>
                          <a:off x="0" y="0"/>
                          <a:ext cx="6175200" cy="226306"/>
                        </a:xfrm>
                        <a:prstGeom prst="rect">
                          <a:avLst/>
                        </a:prstGeom>
                        <a:solidFill>
                          <a:schemeClr val="bg1"/>
                        </a:solidFill>
                        <a:ln w="6350">
                          <a:noFill/>
                        </a:ln>
                      </wps:spPr>
                      <wps:txbx>
                        <w:txbxContent>
                          <w:p w14:paraId="2E9B6FCC" w14:textId="71BFF2B7" w:rsidR="007372B2" w:rsidRPr="00014B97" w:rsidRDefault="007372B2">
                            <w:pPr>
                              <w:rPr>
                                <w:rFonts w:asciiTheme="minorHAnsi" w:hAnsiTheme="minorHAnsi" w:cstheme="minorHAnsi"/>
                                <w:b/>
                                <w:sz w:val="14"/>
                                <w:szCs w:val="14"/>
                                <w:lang w:val="uk-UA"/>
                              </w:rPr>
                            </w:pPr>
                            <w:r>
                              <w:rPr>
                                <w:rFonts w:asciiTheme="minorHAnsi" w:hAnsiTheme="minorHAnsi" w:cstheme="minorHAnsi"/>
                                <w:b/>
                                <w:sz w:val="14"/>
                                <w:szCs w:val="14"/>
                                <w:lang w:val="uk-UA"/>
                              </w:rPr>
                              <w:t xml:space="preserve">Дослідження                                   </w:t>
                            </w:r>
                            <w:r>
                              <w:rPr>
                                <w:rFonts w:asciiTheme="minorHAnsi" w:hAnsiTheme="minorHAnsi" w:cstheme="minorHAnsi"/>
                                <w:b/>
                                <w:sz w:val="14"/>
                                <w:szCs w:val="14"/>
                              </w:rPr>
                              <w:t xml:space="preserve">TP     FP    FN       TN         </w:t>
                            </w:r>
                            <w:r w:rsidRPr="00014B97">
                              <w:rPr>
                                <w:rFonts w:asciiTheme="minorHAnsi" w:hAnsiTheme="minorHAnsi" w:cstheme="minorHAnsi"/>
                                <w:b/>
                                <w:sz w:val="14"/>
                                <w:szCs w:val="14"/>
                                <w:lang w:val="uk-UA"/>
                              </w:rPr>
                              <w:t xml:space="preserve">Чутливість (95% ДІ)   Специфічність (95% ДІ)  </w:t>
                            </w:r>
                            <w:r>
                              <w:rPr>
                                <w:rFonts w:asciiTheme="minorHAnsi" w:hAnsiTheme="minorHAnsi" w:cstheme="minorHAnsi"/>
                                <w:b/>
                                <w:sz w:val="14"/>
                                <w:szCs w:val="14"/>
                              </w:rPr>
                              <w:t xml:space="preserve">         </w:t>
                            </w:r>
                            <w:r w:rsidRPr="00014B97">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rPr>
                              <w:t xml:space="preserve">          </w:t>
                            </w:r>
                            <w:r>
                              <w:rPr>
                                <w:rFonts w:asciiTheme="minorHAnsi" w:hAnsiTheme="minorHAnsi" w:cstheme="minorHAnsi"/>
                                <w:b/>
                                <w:sz w:val="14"/>
                                <w:szCs w:val="14"/>
                                <w:lang w:val="uk-UA"/>
                              </w:rPr>
                              <w:t>С</w:t>
                            </w:r>
                            <w:r w:rsidRPr="00014B97">
                              <w:rPr>
                                <w:rFonts w:asciiTheme="minorHAnsi" w:hAnsiTheme="minorHAnsi" w:cstheme="minorHAnsi"/>
                                <w:b/>
                                <w:sz w:val="14"/>
                                <w:szCs w:val="14"/>
                                <w:lang w:val="uk-UA"/>
                              </w:rPr>
                              <w:t>пецифічність (95% 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88E03" id="Поле 964709458" o:spid="_x0000_s1090" type="#_x0000_t202" style="position:absolute;left:0;text-align:left;margin-left:23.9pt;margin-top:5.5pt;width:486.25pt;height:17.8pt;z-index:48809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" fillcolor="white [3212]" stroked="f" strokeweight=".5pt">
                <v:textbox>
                  <w:txbxContent>
                    <w:p w14:paraId="2E9B6FCC" w14:textId="71BFF2B7" w:rsidR="007372B2" w:rsidRPr="00014B97" w:rsidRDefault="007372B2">
                      <w:pPr>
                        <w:rPr>
                          <w:rFonts w:asciiTheme="minorHAnsi" w:hAnsiTheme="minorHAnsi" w:cstheme="minorHAnsi"/>
                          <w:b/>
                          <w:sz w:val="14"/>
                          <w:szCs w:val="14"/>
                          <w:lang w:val="uk-UA"/>
                        </w:rPr>
                      </w:pPr>
                      <w:r>
                        <w:rPr>
                          <w:rFonts w:asciiTheme="minorHAnsi" w:hAnsiTheme="minorHAnsi" w:cstheme="minorHAnsi"/>
                          <w:b/>
                          <w:sz w:val="14"/>
                          <w:szCs w:val="14"/>
                          <w:lang w:val="uk-UA"/>
                        </w:rPr>
                        <w:t xml:space="preserve">Дослідження                                   </w:t>
                      </w:r>
                      <w:r>
                        <w:rPr>
                          <w:rFonts w:asciiTheme="minorHAnsi" w:hAnsiTheme="minorHAnsi" w:cstheme="minorHAnsi"/>
                          <w:b/>
                          <w:sz w:val="14"/>
                          <w:szCs w:val="14"/>
                        </w:rPr>
                        <w:t xml:space="preserve">TP     FP    FN       TN         </w:t>
                      </w:r>
                      <w:r w:rsidRPr="00014B97">
                        <w:rPr>
                          <w:rFonts w:asciiTheme="minorHAnsi" w:hAnsiTheme="minorHAnsi" w:cstheme="minorHAnsi"/>
                          <w:b/>
                          <w:sz w:val="14"/>
                          <w:szCs w:val="14"/>
                          <w:lang w:val="uk-UA"/>
                        </w:rPr>
                        <w:t xml:space="preserve">Чутливість (95% ДІ)   Специфічність (95% ДІ)  </w:t>
                      </w:r>
                      <w:r>
                        <w:rPr>
                          <w:rFonts w:asciiTheme="minorHAnsi" w:hAnsiTheme="minorHAnsi" w:cstheme="minorHAnsi"/>
                          <w:b/>
                          <w:sz w:val="14"/>
                          <w:szCs w:val="14"/>
                        </w:rPr>
                        <w:t xml:space="preserve">         </w:t>
                      </w:r>
                      <w:r w:rsidRPr="00014B97">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rPr>
                        <w:t xml:space="preserve">          </w:t>
                      </w:r>
                      <w:r>
                        <w:rPr>
                          <w:rFonts w:asciiTheme="minorHAnsi" w:hAnsiTheme="minorHAnsi" w:cstheme="minorHAnsi"/>
                          <w:b/>
                          <w:sz w:val="14"/>
                          <w:szCs w:val="14"/>
                          <w:lang w:val="uk-UA"/>
                        </w:rPr>
                        <w:t>С</w:t>
                      </w:r>
                      <w:r w:rsidRPr="00014B97">
                        <w:rPr>
                          <w:rFonts w:asciiTheme="minorHAnsi" w:hAnsiTheme="minorHAnsi" w:cstheme="minorHAnsi"/>
                          <w:b/>
                          <w:sz w:val="14"/>
                          <w:szCs w:val="14"/>
                          <w:lang w:val="uk-UA"/>
                        </w:rPr>
                        <w:t>пецифічність (95% ДІ)</w:t>
                      </w:r>
                    </w:p>
                  </w:txbxContent>
                </v:textbox>
                <w10:wrap anchorx="margin"/>
              </v:shape>
            </w:pict>
          </mc:Fallback>
        </mc:AlternateContent>
      </w:r>
      <w:r w:rsidR="004347D8" w:rsidRPr="003C6DAE">
        <w:rPr>
          <w:rFonts w:ascii="Arial"/>
          <w:b/>
          <w:noProof/>
          <w:sz w:val="24"/>
          <w:lang w:val="uk-UA"/>
        </w:rPr>
        <mc:AlternateContent>
          <mc:Choice Requires="wps">
            <w:drawing>
              <wp:anchor distT="0" distB="0" distL="114300" distR="114300" simplePos="0" relativeHeight="488097280" behindDoc="0" locked="0" layoutInCell="1" allowOverlap="1" wp14:anchorId="52692276" wp14:editId="7FBAB779">
                <wp:simplePos x="0" y="0"/>
                <wp:positionH relativeFrom="column">
                  <wp:posOffset>326980</wp:posOffset>
                </wp:positionH>
                <wp:positionV relativeFrom="paragraph">
                  <wp:posOffset>105386</wp:posOffset>
                </wp:positionV>
                <wp:extent cx="1104768" cy="199348"/>
                <wp:effectExtent l="0" t="0" r="635" b="0"/>
                <wp:wrapNone/>
                <wp:docPr id="964709457" name="Поле 964709457"/>
                <wp:cNvGraphicFramePr/>
                <a:graphic xmlns:a="http://schemas.openxmlformats.org/drawingml/2006/main">
                  <a:graphicData uri="http://schemas.microsoft.com/office/word/2010/wordprocessingShape">
                    <wps:wsp>
                      <wps:cNvSpPr txBox="1"/>
                      <wps:spPr>
                        <a:xfrm>
                          <a:off x="0" y="0"/>
                          <a:ext cx="1104768" cy="199348"/>
                        </a:xfrm>
                        <a:prstGeom prst="rect">
                          <a:avLst/>
                        </a:prstGeom>
                        <a:solidFill>
                          <a:schemeClr val="bg1"/>
                        </a:solidFill>
                        <a:ln w="6350">
                          <a:noFill/>
                        </a:ln>
                      </wps:spPr>
                      <wps:txbx>
                        <w:txbxContent>
                          <w:p w14:paraId="2AEF5D9D" w14:textId="389046A7" w:rsidR="007372B2" w:rsidRPr="00014B97" w:rsidRDefault="007372B2">
                            <w:pPr>
                              <w:rPr>
                                <w:rFonts w:asciiTheme="minorHAnsi" w:hAnsiTheme="minorHAnsi" w:cstheme="minorHAnsi"/>
                                <w:b/>
                                <w:sz w:val="14"/>
                                <w:szCs w:val="14"/>
                                <w:lang w:val="uk-UA"/>
                              </w:rPr>
                            </w:pPr>
                            <w:r w:rsidRPr="00014B97">
                              <w:rPr>
                                <w:rFonts w:asciiTheme="minorHAnsi" w:hAnsiTheme="minorHAnsi" w:cstheme="minorHAnsi"/>
                                <w:b/>
                                <w:sz w:val="14"/>
                                <w:szCs w:val="14"/>
                                <w:lang w:val="uk-UA"/>
                              </w:rPr>
                              <w:t>Дослідження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92276" id="Поле 964709457" o:spid="_x0000_s1091" type="#_x0000_t202" style="position:absolute;left:0;text-align:left;margin-left:25.75pt;margin-top:8.3pt;width:87pt;height:15.7pt;z-index:4880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" fillcolor="white [3212]" stroked="f" strokeweight=".5pt">
                <v:textbox>
                  <w:txbxContent>
                    <w:p w14:paraId="2AEF5D9D" w14:textId="389046A7" w:rsidR="007372B2" w:rsidRPr="00014B97" w:rsidRDefault="007372B2">
                      <w:pPr>
                        <w:rPr>
                          <w:rFonts w:asciiTheme="minorHAnsi" w:hAnsiTheme="minorHAnsi" w:cstheme="minorHAnsi"/>
                          <w:b/>
                          <w:sz w:val="14"/>
                          <w:szCs w:val="14"/>
                          <w:lang w:val="uk-UA"/>
                        </w:rPr>
                      </w:pPr>
                      <w:r w:rsidRPr="00014B97">
                        <w:rPr>
                          <w:rFonts w:asciiTheme="minorHAnsi" w:hAnsiTheme="minorHAnsi" w:cstheme="minorHAnsi"/>
                          <w:b/>
                          <w:sz w:val="14"/>
                          <w:szCs w:val="14"/>
                          <w:lang w:val="uk-UA"/>
                        </w:rPr>
                        <w:t>Дослідження</w:t>
                      </w:r>
                    </w:p>
                  </w:txbxContent>
                </v:textbox>
              </v:shape>
            </w:pict>
          </mc:Fallback>
        </mc:AlternateContent>
      </w:r>
    </w:p>
    <w:p w14:paraId="2D89D756" w14:textId="5AA6D99A" w:rsidR="00E05B98" w:rsidRPr="003C6DAE" w:rsidRDefault="00014B97" w:rsidP="00DD3C0C">
      <w:pPr>
        <w:pStyle w:val="a3"/>
        <w:jc w:val="both"/>
        <w:rPr>
          <w:rFonts w:ascii="Arial"/>
          <w:b/>
          <w:sz w:val="24"/>
          <w:lang w:val="uk-UA"/>
        </w:rPr>
      </w:pPr>
      <w:r w:rsidRPr="003C6DAE">
        <w:rPr>
          <w:noProof/>
          <w:lang w:val="uk-UA"/>
        </w:rPr>
        <w:drawing>
          <wp:anchor distT="0" distB="0" distL="0" distR="0" simplePos="0" relativeHeight="15915008" behindDoc="0" locked="0" layoutInCell="1" allowOverlap="1" wp14:anchorId="4C1CCF49" wp14:editId="06CCA014">
            <wp:simplePos x="0" y="0"/>
            <wp:positionH relativeFrom="page">
              <wp:posOffset>4834890</wp:posOffset>
            </wp:positionH>
            <wp:positionV relativeFrom="paragraph">
              <wp:posOffset>27305</wp:posOffset>
            </wp:positionV>
            <wp:extent cx="832485" cy="82550"/>
            <wp:effectExtent l="0" t="0" r="5715" b="0"/>
            <wp:wrapNone/>
            <wp:docPr id="1072" name="Image 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 name="Image 1072"/>
                    <pic:cNvPicPr/>
                  </pic:nvPicPr>
                  <pic:blipFill>
                    <a:blip r:embed="rId63" cstate="print"/>
                    <a:stretch>
                      <a:fillRect/>
                    </a:stretch>
                  </pic:blipFill>
                  <pic:spPr>
                    <a:xfrm>
                      <a:off x="0" y="0"/>
                      <a:ext cx="832485" cy="82550"/>
                    </a:xfrm>
                    <a:prstGeom prst="rect">
                      <a:avLst/>
                    </a:prstGeom>
                  </pic:spPr>
                </pic:pic>
              </a:graphicData>
            </a:graphic>
          </wp:anchor>
        </w:drawing>
      </w:r>
    </w:p>
    <w:p w14:paraId="1C16D6E3" w14:textId="77777777" w:rsidR="00E05B98" w:rsidRPr="003C6DAE" w:rsidRDefault="00E05B98" w:rsidP="00DD3C0C">
      <w:pPr>
        <w:pStyle w:val="a3"/>
        <w:jc w:val="both"/>
        <w:rPr>
          <w:rFonts w:ascii="Arial"/>
          <w:b/>
          <w:sz w:val="24"/>
          <w:lang w:val="uk-UA"/>
        </w:rPr>
      </w:pPr>
    </w:p>
    <w:p w14:paraId="333E715F" w14:textId="77777777" w:rsidR="00E05B98" w:rsidRPr="003C6DAE" w:rsidRDefault="00E05B98" w:rsidP="00DD3C0C">
      <w:pPr>
        <w:pStyle w:val="a3"/>
        <w:jc w:val="both"/>
        <w:rPr>
          <w:rFonts w:ascii="Arial"/>
          <w:b/>
          <w:sz w:val="24"/>
          <w:lang w:val="uk-UA"/>
        </w:rPr>
      </w:pPr>
    </w:p>
    <w:p w14:paraId="7D90181C" w14:textId="77777777" w:rsidR="00E05B98" w:rsidRPr="003C6DAE" w:rsidRDefault="00E05B98" w:rsidP="00DD3C0C">
      <w:pPr>
        <w:pStyle w:val="a3"/>
        <w:jc w:val="both"/>
        <w:rPr>
          <w:rFonts w:ascii="Arial"/>
          <w:b/>
          <w:sz w:val="24"/>
          <w:lang w:val="uk-UA"/>
        </w:rPr>
      </w:pPr>
    </w:p>
    <w:p w14:paraId="1BF9D8C5" w14:textId="77777777" w:rsidR="00E05B98" w:rsidRPr="003C6DAE" w:rsidRDefault="00E05B98" w:rsidP="00DD3C0C">
      <w:pPr>
        <w:pStyle w:val="a3"/>
        <w:jc w:val="both"/>
        <w:rPr>
          <w:rFonts w:ascii="Arial"/>
          <w:b/>
          <w:sz w:val="24"/>
          <w:lang w:val="uk-UA"/>
        </w:rPr>
      </w:pPr>
    </w:p>
    <w:p w14:paraId="5AFDB4F0" w14:textId="77777777" w:rsidR="00E05B98" w:rsidRPr="003C6DAE" w:rsidRDefault="00E05B98" w:rsidP="00DD3C0C">
      <w:pPr>
        <w:pStyle w:val="a3"/>
        <w:jc w:val="both"/>
        <w:rPr>
          <w:rFonts w:ascii="Arial"/>
          <w:b/>
          <w:sz w:val="24"/>
          <w:lang w:val="uk-UA"/>
        </w:rPr>
      </w:pPr>
    </w:p>
    <w:p w14:paraId="52133DF1" w14:textId="77777777" w:rsidR="00E05B98" w:rsidRPr="003C6DAE" w:rsidRDefault="00E05B98" w:rsidP="00DD3C0C">
      <w:pPr>
        <w:pStyle w:val="a3"/>
        <w:jc w:val="both"/>
        <w:rPr>
          <w:rFonts w:ascii="Arial"/>
          <w:b/>
          <w:sz w:val="24"/>
          <w:lang w:val="uk-UA"/>
        </w:rPr>
      </w:pPr>
    </w:p>
    <w:p w14:paraId="473C2FD3" w14:textId="77777777" w:rsidR="00E05B98" w:rsidRPr="003C6DAE" w:rsidRDefault="00E05B98" w:rsidP="00DD3C0C">
      <w:pPr>
        <w:pStyle w:val="a3"/>
        <w:jc w:val="both"/>
        <w:rPr>
          <w:rFonts w:ascii="Arial"/>
          <w:b/>
          <w:sz w:val="24"/>
          <w:lang w:val="uk-UA"/>
        </w:rPr>
      </w:pPr>
    </w:p>
    <w:p w14:paraId="6B03935B" w14:textId="77777777" w:rsidR="00E05B98" w:rsidRPr="003C6DAE" w:rsidRDefault="00E05B98" w:rsidP="00DD3C0C">
      <w:pPr>
        <w:pStyle w:val="a3"/>
        <w:jc w:val="both"/>
        <w:rPr>
          <w:rFonts w:ascii="Arial"/>
          <w:b/>
          <w:sz w:val="24"/>
          <w:lang w:val="uk-UA"/>
        </w:rPr>
      </w:pPr>
    </w:p>
    <w:p w14:paraId="033904DF" w14:textId="77777777" w:rsidR="00E05B98" w:rsidRPr="003C6DAE" w:rsidRDefault="00E05B98" w:rsidP="00DD3C0C">
      <w:pPr>
        <w:pStyle w:val="a3"/>
        <w:jc w:val="both"/>
        <w:rPr>
          <w:rFonts w:ascii="Arial"/>
          <w:b/>
          <w:sz w:val="24"/>
          <w:lang w:val="uk-UA"/>
        </w:rPr>
      </w:pPr>
    </w:p>
    <w:p w14:paraId="3D7C8766" w14:textId="77777777" w:rsidR="00E05B98" w:rsidRPr="003C6DAE" w:rsidRDefault="00E05B98" w:rsidP="00DD3C0C">
      <w:pPr>
        <w:pStyle w:val="a3"/>
        <w:jc w:val="both"/>
        <w:rPr>
          <w:rFonts w:ascii="Arial"/>
          <w:b/>
          <w:sz w:val="24"/>
          <w:lang w:val="uk-UA"/>
        </w:rPr>
      </w:pPr>
    </w:p>
    <w:p w14:paraId="6D632A39" w14:textId="77777777" w:rsidR="00E05B98" w:rsidRPr="003C6DAE" w:rsidRDefault="00E05B98" w:rsidP="00DD3C0C">
      <w:pPr>
        <w:pStyle w:val="a3"/>
        <w:jc w:val="both"/>
        <w:rPr>
          <w:rFonts w:ascii="Arial"/>
          <w:b/>
          <w:sz w:val="24"/>
          <w:lang w:val="uk-UA"/>
        </w:rPr>
      </w:pPr>
    </w:p>
    <w:p w14:paraId="1057B935" w14:textId="77777777" w:rsidR="00E05B98" w:rsidRPr="003C6DAE" w:rsidRDefault="00E05B98" w:rsidP="00DD3C0C">
      <w:pPr>
        <w:pStyle w:val="a3"/>
        <w:jc w:val="both"/>
        <w:rPr>
          <w:rFonts w:ascii="Arial"/>
          <w:b/>
          <w:sz w:val="24"/>
          <w:lang w:val="uk-UA"/>
        </w:rPr>
      </w:pPr>
    </w:p>
    <w:p w14:paraId="1068DA55" w14:textId="77777777" w:rsidR="00E05B98" w:rsidRPr="003C6DAE" w:rsidRDefault="00E05B98" w:rsidP="00DD3C0C">
      <w:pPr>
        <w:pStyle w:val="a3"/>
        <w:jc w:val="both"/>
        <w:rPr>
          <w:rFonts w:ascii="Arial"/>
          <w:b/>
          <w:sz w:val="24"/>
          <w:lang w:val="uk-UA"/>
        </w:rPr>
      </w:pPr>
    </w:p>
    <w:p w14:paraId="218CAB93" w14:textId="77777777" w:rsidR="00E05B98" w:rsidRPr="003C6DAE" w:rsidRDefault="00E05B98" w:rsidP="00DD3C0C">
      <w:pPr>
        <w:pStyle w:val="a3"/>
        <w:jc w:val="both"/>
        <w:rPr>
          <w:rFonts w:ascii="Arial"/>
          <w:b/>
          <w:sz w:val="24"/>
          <w:lang w:val="uk-UA"/>
        </w:rPr>
      </w:pPr>
    </w:p>
    <w:p w14:paraId="2C9EDED3" w14:textId="77777777" w:rsidR="00E05B98" w:rsidRPr="003C6DAE" w:rsidRDefault="00E05B98" w:rsidP="00DD3C0C">
      <w:pPr>
        <w:pStyle w:val="a3"/>
        <w:jc w:val="both"/>
        <w:rPr>
          <w:rFonts w:ascii="Arial"/>
          <w:b/>
          <w:sz w:val="24"/>
          <w:lang w:val="uk-UA"/>
        </w:rPr>
      </w:pPr>
    </w:p>
    <w:p w14:paraId="65D715DF" w14:textId="77777777" w:rsidR="00E05B98" w:rsidRPr="003C6DAE" w:rsidRDefault="00E05B98" w:rsidP="00DD3C0C">
      <w:pPr>
        <w:pStyle w:val="a3"/>
        <w:jc w:val="both"/>
        <w:rPr>
          <w:rFonts w:ascii="Arial"/>
          <w:b/>
          <w:sz w:val="24"/>
          <w:lang w:val="uk-UA"/>
        </w:rPr>
      </w:pPr>
    </w:p>
    <w:p w14:paraId="076F0852" w14:textId="77777777" w:rsidR="00E05B98" w:rsidRPr="003C6DAE" w:rsidRDefault="00E05B98" w:rsidP="00DD3C0C">
      <w:pPr>
        <w:pStyle w:val="a3"/>
        <w:jc w:val="both"/>
        <w:rPr>
          <w:rFonts w:ascii="Arial"/>
          <w:b/>
          <w:sz w:val="24"/>
          <w:lang w:val="uk-UA"/>
        </w:rPr>
      </w:pPr>
    </w:p>
    <w:p w14:paraId="499EF261" w14:textId="77777777" w:rsidR="00E05B98" w:rsidRPr="003C6DAE" w:rsidRDefault="00E05B98" w:rsidP="00DD3C0C">
      <w:pPr>
        <w:pStyle w:val="a3"/>
        <w:jc w:val="both"/>
        <w:rPr>
          <w:rFonts w:ascii="Arial"/>
          <w:b/>
          <w:sz w:val="24"/>
          <w:lang w:val="uk-UA"/>
        </w:rPr>
      </w:pPr>
    </w:p>
    <w:p w14:paraId="71C53CBD" w14:textId="77777777" w:rsidR="00E05B98" w:rsidRPr="003C6DAE" w:rsidRDefault="00E05B98" w:rsidP="00DD3C0C">
      <w:pPr>
        <w:pStyle w:val="a3"/>
        <w:jc w:val="both"/>
        <w:rPr>
          <w:rFonts w:ascii="Arial"/>
          <w:b/>
          <w:sz w:val="24"/>
          <w:lang w:val="uk-UA"/>
        </w:rPr>
      </w:pPr>
    </w:p>
    <w:p w14:paraId="36B82622" w14:textId="77777777" w:rsidR="00E05B98" w:rsidRPr="003C6DAE" w:rsidRDefault="00E05B98" w:rsidP="00DD3C0C">
      <w:pPr>
        <w:pStyle w:val="a3"/>
        <w:jc w:val="both"/>
        <w:rPr>
          <w:rFonts w:ascii="Arial"/>
          <w:b/>
          <w:sz w:val="24"/>
          <w:lang w:val="uk-UA"/>
        </w:rPr>
      </w:pPr>
    </w:p>
    <w:p w14:paraId="519BA969" w14:textId="40778659" w:rsidR="00E05B98" w:rsidRPr="003C6DAE" w:rsidRDefault="00B01E0C" w:rsidP="00DD3C0C">
      <w:pPr>
        <w:ind w:left="567"/>
        <w:jc w:val="both"/>
        <w:rPr>
          <w:sz w:val="18"/>
          <w:lang w:val="uk-UA"/>
        </w:rPr>
      </w:pPr>
      <w:r w:rsidRPr="003C6DAE">
        <w:rPr>
          <w:noProof/>
          <w:sz w:val="16"/>
          <w:szCs w:val="16"/>
          <w:lang w:val="uk-UA"/>
        </w:rPr>
        <w:drawing>
          <wp:anchor distT="0" distB="0" distL="0" distR="0" simplePos="0" relativeHeight="15909376" behindDoc="0" locked="0" layoutInCell="1" allowOverlap="1" wp14:anchorId="5FD46B43" wp14:editId="2D54A08B">
            <wp:simplePos x="0" y="0"/>
            <wp:positionH relativeFrom="page">
              <wp:posOffset>944252</wp:posOffset>
            </wp:positionH>
            <wp:positionV relativeFrom="paragraph">
              <wp:posOffset>-963553</wp:posOffset>
            </wp:positionV>
            <wp:extent cx="1026145" cy="647700"/>
            <wp:effectExtent l="0" t="0" r="0" b="0"/>
            <wp:wrapNone/>
            <wp:docPr id="1164" name="Image 1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4" name="Image 1164"/>
                    <pic:cNvPicPr/>
                  </pic:nvPicPr>
                  <pic:blipFill>
                    <a:blip r:embed="rId64" cstate="print"/>
                    <a:stretch>
                      <a:fillRect/>
                    </a:stretch>
                  </pic:blipFill>
                  <pic:spPr>
                    <a:xfrm>
                      <a:off x="0" y="0"/>
                      <a:ext cx="1026145" cy="647700"/>
                    </a:xfrm>
                    <a:prstGeom prst="rect">
                      <a:avLst/>
                    </a:prstGeom>
                  </pic:spPr>
                </pic:pic>
              </a:graphicData>
            </a:graphic>
          </wp:anchor>
        </w:drawing>
      </w:r>
      <w:r w:rsidRPr="003C6DAE">
        <w:rPr>
          <w:noProof/>
          <w:sz w:val="16"/>
          <w:szCs w:val="16"/>
          <w:lang w:val="uk-UA"/>
        </w:rPr>
        <mc:AlternateContent>
          <mc:Choice Requires="wpg">
            <w:drawing>
              <wp:anchor distT="0" distB="0" distL="0" distR="0" simplePos="0" relativeHeight="15923200" behindDoc="0" locked="0" layoutInCell="1" allowOverlap="1" wp14:anchorId="3E56E9A2" wp14:editId="5B471E20">
                <wp:simplePos x="0" y="0"/>
                <wp:positionH relativeFrom="page">
                  <wp:posOffset>5522480</wp:posOffset>
                </wp:positionH>
                <wp:positionV relativeFrom="paragraph">
                  <wp:posOffset>-1864272</wp:posOffset>
                </wp:positionV>
                <wp:extent cx="75565" cy="49530"/>
                <wp:effectExtent l="0" t="0" r="0" b="0"/>
                <wp:wrapNone/>
                <wp:docPr id="1165"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 cy="49530"/>
                          <a:chOff x="0" y="0"/>
                          <a:chExt cx="75565" cy="49530"/>
                        </a:xfrm>
                      </wpg:grpSpPr>
                      <wps:wsp>
                        <wps:cNvPr id="1166" name="Graphic 1166"/>
                        <wps:cNvSpPr/>
                        <wps:spPr>
                          <a:xfrm>
                            <a:off x="0" y="21125"/>
                            <a:ext cx="75565" cy="1270"/>
                          </a:xfrm>
                          <a:custGeom>
                            <a:avLst/>
                            <a:gdLst/>
                            <a:ahLst/>
                            <a:cxnLst/>
                            <a:rect l="l" t="t" r="r" b="b"/>
                            <a:pathLst>
                              <a:path w="75565">
                                <a:moveTo>
                                  <a:pt x="0" y="0"/>
                                </a:moveTo>
                                <a:lnTo>
                                  <a:pt x="75247" y="0"/>
                                </a:lnTo>
                              </a:path>
                            </a:pathLst>
                          </a:custGeom>
                          <a:ln w="8572">
                            <a:solidFill>
                              <a:srgbClr val="000000"/>
                            </a:solidFill>
                            <a:prstDash val="solid"/>
                          </a:ln>
                        </wps:spPr>
                        <wps:bodyPr wrap="square" lIns="0" tIns="0" rIns="0" bIns="0" rtlCol="0">
                          <a:prstTxWarp prst="textNoShape">
                            <a:avLst/>
                          </a:prstTxWarp>
                          <a:noAutofit/>
                        </wps:bodyPr>
                      </wps:wsp>
                      <wps:wsp>
                        <wps:cNvPr id="1167" name="Graphic 1167"/>
                        <wps:cNvSpPr/>
                        <wps:spPr>
                          <a:xfrm>
                            <a:off x="20320"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3211604" id="Group 1165" o:spid="_x0000_s1026" style="position:absolute;margin-left:434.85pt;margin-top:-146.8pt;width:5.95pt;height:3.9pt;z-index:15923200;mso-wrap-distance-left:0;mso-wrap-distance-right:0;mso-position-horizontal-relative:page" coordsize="7556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">
                <v:shape id="Graphic 1166" o:spid="_x0000_s1027" style="position:absolute;top:21125;width:75565;height:1270;visibility:visible;mso-wrap-style:square;v-text-anchor:top" coordsize="75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" path="m,l75247,e" filled="f" strokeweight=".23811mm">
                  <v:path arrowok="t"/>
                </v:shape>
                <v:shape id="Graphic 1167" o:spid="_x0000_s1028" style="position:absolute;left:20320;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" path="m49301,l,,,49301r49301,l49301,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23712" behindDoc="0" locked="0" layoutInCell="1" allowOverlap="1" wp14:anchorId="6CEDF13F" wp14:editId="525BA4CA">
                <wp:simplePos x="0" y="0"/>
                <wp:positionH relativeFrom="page">
                  <wp:posOffset>5450335</wp:posOffset>
                </wp:positionH>
                <wp:positionV relativeFrom="paragraph">
                  <wp:posOffset>-1751572</wp:posOffset>
                </wp:positionV>
                <wp:extent cx="125095" cy="49530"/>
                <wp:effectExtent l="0" t="0" r="0" b="0"/>
                <wp:wrapNone/>
                <wp:docPr id="1168"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95" cy="49530"/>
                          <a:chOff x="0" y="0"/>
                          <a:chExt cx="125095" cy="49530"/>
                        </a:xfrm>
                      </wpg:grpSpPr>
                      <wps:wsp>
                        <wps:cNvPr id="1169" name="Graphic 1169"/>
                        <wps:cNvSpPr/>
                        <wps:spPr>
                          <a:xfrm>
                            <a:off x="0" y="21120"/>
                            <a:ext cx="125095" cy="1270"/>
                          </a:xfrm>
                          <a:custGeom>
                            <a:avLst/>
                            <a:gdLst/>
                            <a:ahLst/>
                            <a:cxnLst/>
                            <a:rect l="l" t="t" r="r" b="b"/>
                            <a:pathLst>
                              <a:path w="125095">
                                <a:moveTo>
                                  <a:pt x="0" y="0"/>
                                </a:moveTo>
                                <a:lnTo>
                                  <a:pt x="124993" y="0"/>
                                </a:lnTo>
                              </a:path>
                            </a:pathLst>
                          </a:custGeom>
                          <a:ln w="8572">
                            <a:solidFill>
                              <a:srgbClr val="000000"/>
                            </a:solidFill>
                            <a:prstDash val="solid"/>
                          </a:ln>
                        </wps:spPr>
                        <wps:bodyPr wrap="square" lIns="0" tIns="0" rIns="0" bIns="0" rtlCol="0">
                          <a:prstTxWarp prst="textNoShape">
                            <a:avLst/>
                          </a:prstTxWarp>
                          <a:noAutofit/>
                        </wps:bodyPr>
                      </wps:wsp>
                      <wps:wsp>
                        <wps:cNvPr id="1170" name="Graphic 1170"/>
                        <wps:cNvSpPr/>
                        <wps:spPr>
                          <a:xfrm>
                            <a:off x="48281"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AE4D0EB" id="Group 1168" o:spid="_x0000_s1026" style="position:absolute;margin-left:429.15pt;margin-top:-137.9pt;width:9.85pt;height:3.9pt;z-index:15923712;mso-wrap-distance-left:0;mso-wrap-distance-right:0;mso-position-horizontal-relative:page" coordsize="12509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">
                <v:shape id="Graphic 1169" o:spid="_x0000_s1027" style="position:absolute;top:21120;width:125095;height:1270;visibility:visible;mso-wrap-style:square;v-text-anchor:top" coordsize="125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" path="m,l124993,e" filled="f" strokeweight=".23811mm">
                  <v:path arrowok="t"/>
                </v:shape>
                <v:shape id="Graphic 1170" o:spid="_x0000_s1028" style="position:absolute;left:48281;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" path="m49301,l,,,49301r49301,l49301,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24224" behindDoc="0" locked="0" layoutInCell="1" allowOverlap="1" wp14:anchorId="46F35328" wp14:editId="20CDBA31">
                <wp:simplePos x="0" y="0"/>
                <wp:positionH relativeFrom="page">
                  <wp:posOffset>5546852</wp:posOffset>
                </wp:positionH>
                <wp:positionV relativeFrom="paragraph">
                  <wp:posOffset>-1638885</wp:posOffset>
                </wp:positionV>
                <wp:extent cx="158750" cy="49530"/>
                <wp:effectExtent l="0" t="0" r="0" b="0"/>
                <wp:wrapNone/>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49530"/>
                          <a:chOff x="0" y="0"/>
                          <a:chExt cx="158750" cy="49530"/>
                        </a:xfrm>
                      </wpg:grpSpPr>
                      <wps:wsp>
                        <wps:cNvPr id="1172" name="Graphic 1172"/>
                        <wps:cNvSpPr/>
                        <wps:spPr>
                          <a:xfrm>
                            <a:off x="0" y="21126"/>
                            <a:ext cx="130810" cy="1270"/>
                          </a:xfrm>
                          <a:custGeom>
                            <a:avLst/>
                            <a:gdLst/>
                            <a:ahLst/>
                            <a:cxnLst/>
                            <a:rect l="l" t="t" r="r" b="b"/>
                            <a:pathLst>
                              <a:path w="130810">
                                <a:moveTo>
                                  <a:pt x="0" y="0"/>
                                </a:moveTo>
                                <a:lnTo>
                                  <a:pt x="130467" y="0"/>
                                </a:lnTo>
                              </a:path>
                            </a:pathLst>
                          </a:custGeom>
                          <a:ln w="8572">
                            <a:solidFill>
                              <a:srgbClr val="000000"/>
                            </a:solidFill>
                            <a:prstDash val="solid"/>
                          </a:ln>
                        </wps:spPr>
                        <wps:bodyPr wrap="square" lIns="0" tIns="0" rIns="0" bIns="0" rtlCol="0">
                          <a:prstTxWarp prst="textNoShape">
                            <a:avLst/>
                          </a:prstTxWarp>
                          <a:noAutofit/>
                        </wps:bodyPr>
                      </wps:wsp>
                      <wps:wsp>
                        <wps:cNvPr id="1173" name="Graphic 1173"/>
                        <wps:cNvSpPr/>
                        <wps:spPr>
                          <a:xfrm>
                            <a:off x="109334"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C43F6D5" id="Group 1171" o:spid="_x0000_s1026" style="position:absolute;margin-left:436.75pt;margin-top:-129.05pt;width:12.5pt;height:3.9pt;z-index:15924224;mso-wrap-distance-left:0;mso-wrap-distance-right:0;mso-position-horizontal-relative:page" coordsize="15875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">
                <v:shape id="Graphic 1172" o:spid="_x0000_s1027" style="position:absolute;top:21126;width:130810;height:1270;visibility:visible;mso-wrap-style:square;v-text-anchor:top" coordsize="130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" path="m,l130467,e" filled="f" strokeweight=".23811mm">
                  <v:path arrowok="t"/>
                </v:shape>
                <v:shape id="Graphic 1173" o:spid="_x0000_s1028" style="position:absolute;left:109334;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" path="m49314,l,,,49301r49314,l49314,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24736" behindDoc="0" locked="0" layoutInCell="1" allowOverlap="1" wp14:anchorId="0190859F" wp14:editId="0F6CB75B">
                <wp:simplePos x="0" y="0"/>
                <wp:positionH relativeFrom="page">
                  <wp:posOffset>5497440</wp:posOffset>
                </wp:positionH>
                <wp:positionV relativeFrom="paragraph">
                  <wp:posOffset>-1526185</wp:posOffset>
                </wp:positionV>
                <wp:extent cx="137160" cy="49530"/>
                <wp:effectExtent l="0" t="0" r="0" b="0"/>
                <wp:wrapNone/>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 cy="49530"/>
                          <a:chOff x="0" y="0"/>
                          <a:chExt cx="137160" cy="49530"/>
                        </a:xfrm>
                      </wpg:grpSpPr>
                      <wps:wsp>
                        <wps:cNvPr id="1175" name="Graphic 1175"/>
                        <wps:cNvSpPr/>
                        <wps:spPr>
                          <a:xfrm>
                            <a:off x="0" y="21121"/>
                            <a:ext cx="137160" cy="1270"/>
                          </a:xfrm>
                          <a:custGeom>
                            <a:avLst/>
                            <a:gdLst/>
                            <a:ahLst/>
                            <a:cxnLst/>
                            <a:rect l="l" t="t" r="r" b="b"/>
                            <a:pathLst>
                              <a:path w="137160">
                                <a:moveTo>
                                  <a:pt x="0" y="0"/>
                                </a:moveTo>
                                <a:lnTo>
                                  <a:pt x="137071" y="0"/>
                                </a:lnTo>
                              </a:path>
                            </a:pathLst>
                          </a:custGeom>
                          <a:ln w="8572">
                            <a:solidFill>
                              <a:srgbClr val="000000"/>
                            </a:solidFill>
                            <a:prstDash val="solid"/>
                          </a:ln>
                        </wps:spPr>
                        <wps:bodyPr wrap="square" lIns="0" tIns="0" rIns="0" bIns="0" rtlCol="0">
                          <a:prstTxWarp prst="textNoShape">
                            <a:avLst/>
                          </a:prstTxWarp>
                          <a:noAutofit/>
                        </wps:bodyPr>
                      </wps:wsp>
                      <wps:wsp>
                        <wps:cNvPr id="1176" name="Graphic 1176"/>
                        <wps:cNvSpPr/>
                        <wps:spPr>
                          <a:xfrm>
                            <a:off x="62149"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86ECECA" id="Group 1174" o:spid="_x0000_s1026" style="position:absolute;margin-left:432.85pt;margin-top:-120.15pt;width:10.8pt;height:3.9pt;z-index:15924736;mso-wrap-distance-left:0;mso-wrap-distance-right:0;mso-position-horizontal-relative:page" coordsize="13716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">
                <v:shape id="Graphic 1175" o:spid="_x0000_s1027" style="position:absolute;top:21121;width:137160;height:1270;visibility:visible;mso-wrap-style:square;v-text-anchor:top" coordsize="137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" path="m,l137071,e" filled="f" strokeweight=".23811mm">
                  <v:path arrowok="t"/>
                </v:shape>
                <v:shape id="Graphic 1176" o:spid="_x0000_s1028" style="position:absolute;left:62149;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" path="m49301,l,,,49301r49301,l49301,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25248" behindDoc="0" locked="0" layoutInCell="1" allowOverlap="1" wp14:anchorId="0AD4F06C" wp14:editId="58C2D175">
                <wp:simplePos x="0" y="0"/>
                <wp:positionH relativeFrom="page">
                  <wp:posOffset>5612905</wp:posOffset>
                </wp:positionH>
                <wp:positionV relativeFrom="paragraph">
                  <wp:posOffset>-1413485</wp:posOffset>
                </wp:positionV>
                <wp:extent cx="54610" cy="49530"/>
                <wp:effectExtent l="0" t="0" r="0" b="0"/>
                <wp:wrapNone/>
                <wp:docPr id="1177"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49530"/>
                          <a:chOff x="0" y="0"/>
                          <a:chExt cx="54610" cy="49530"/>
                        </a:xfrm>
                      </wpg:grpSpPr>
                      <wps:wsp>
                        <wps:cNvPr id="1178" name="Graphic 1178"/>
                        <wps:cNvSpPr/>
                        <wps:spPr>
                          <a:xfrm>
                            <a:off x="0" y="21115"/>
                            <a:ext cx="44450" cy="1270"/>
                          </a:xfrm>
                          <a:custGeom>
                            <a:avLst/>
                            <a:gdLst/>
                            <a:ahLst/>
                            <a:cxnLst/>
                            <a:rect l="l" t="t" r="r" b="b"/>
                            <a:pathLst>
                              <a:path w="44450">
                                <a:moveTo>
                                  <a:pt x="0" y="0"/>
                                </a:moveTo>
                                <a:lnTo>
                                  <a:pt x="43853" y="0"/>
                                </a:lnTo>
                              </a:path>
                            </a:pathLst>
                          </a:custGeom>
                          <a:ln w="8572">
                            <a:solidFill>
                              <a:srgbClr val="000000"/>
                            </a:solidFill>
                            <a:prstDash val="solid"/>
                          </a:ln>
                        </wps:spPr>
                        <wps:bodyPr wrap="square" lIns="0" tIns="0" rIns="0" bIns="0" rtlCol="0">
                          <a:prstTxWarp prst="textNoShape">
                            <a:avLst/>
                          </a:prstTxWarp>
                          <a:noAutofit/>
                        </wps:bodyPr>
                      </wps:wsp>
                      <wps:wsp>
                        <wps:cNvPr id="1179" name="Graphic 1179"/>
                        <wps:cNvSpPr/>
                        <wps:spPr>
                          <a:xfrm>
                            <a:off x="4989"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CD42FF5" id="Group 1177" o:spid="_x0000_s1026" style="position:absolute;margin-left:441.95pt;margin-top:-111.3pt;width:4.3pt;height:3.9pt;z-index:15925248;mso-wrap-distance-left:0;mso-wrap-distance-right:0;mso-position-horizontal-relative:page" coordsize="5461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">
                <v:shape id="Graphic 1178" o:spid="_x0000_s1027" style="position:absolute;top:21115;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" path="m,l43853,e" filled="f" strokeweight=".23811mm">
                  <v:path arrowok="t"/>
                </v:shape>
                <v:shape id="Graphic 1179" o:spid="_x0000_s1028" style="position:absolute;left:4989;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" path="m49301,l,,,49301r49301,l49301,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25760" behindDoc="0" locked="0" layoutInCell="1" allowOverlap="1" wp14:anchorId="071514E3" wp14:editId="44EA6692">
                <wp:simplePos x="0" y="0"/>
                <wp:positionH relativeFrom="page">
                  <wp:posOffset>5459464</wp:posOffset>
                </wp:positionH>
                <wp:positionV relativeFrom="paragraph">
                  <wp:posOffset>-1300798</wp:posOffset>
                </wp:positionV>
                <wp:extent cx="160020" cy="49530"/>
                <wp:effectExtent l="0" t="0" r="0" b="0"/>
                <wp:wrapNone/>
                <wp:docPr id="118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49530"/>
                          <a:chOff x="0" y="0"/>
                          <a:chExt cx="160020" cy="49530"/>
                        </a:xfrm>
                      </wpg:grpSpPr>
                      <wps:wsp>
                        <wps:cNvPr id="1181" name="Graphic 1181"/>
                        <wps:cNvSpPr/>
                        <wps:spPr>
                          <a:xfrm>
                            <a:off x="0" y="21121"/>
                            <a:ext cx="160020" cy="1270"/>
                          </a:xfrm>
                          <a:custGeom>
                            <a:avLst/>
                            <a:gdLst/>
                            <a:ahLst/>
                            <a:cxnLst/>
                            <a:rect l="l" t="t" r="r" b="b"/>
                            <a:pathLst>
                              <a:path w="160020">
                                <a:moveTo>
                                  <a:pt x="0" y="0"/>
                                </a:moveTo>
                                <a:lnTo>
                                  <a:pt x="159893" y="0"/>
                                </a:lnTo>
                              </a:path>
                            </a:pathLst>
                          </a:custGeom>
                          <a:ln w="8572">
                            <a:solidFill>
                              <a:srgbClr val="000000"/>
                            </a:solidFill>
                            <a:prstDash val="solid"/>
                          </a:ln>
                        </wps:spPr>
                        <wps:bodyPr wrap="square" lIns="0" tIns="0" rIns="0" bIns="0" rtlCol="0">
                          <a:prstTxWarp prst="textNoShape">
                            <a:avLst/>
                          </a:prstTxWarp>
                          <a:noAutofit/>
                        </wps:bodyPr>
                      </wps:wsp>
                      <wps:wsp>
                        <wps:cNvPr id="1182" name="Graphic 1182"/>
                        <wps:cNvSpPr/>
                        <wps:spPr>
                          <a:xfrm>
                            <a:off x="74039"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110CED7" id="Group 1180" o:spid="_x0000_s1026" style="position:absolute;margin-left:429.9pt;margin-top:-102.45pt;width:12.6pt;height:3.9pt;z-index:15925760;mso-wrap-distance-left:0;mso-wrap-distance-right:0;mso-position-horizontal-relative:page" coordsize="16002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">
                <v:shape id="Graphic 1181" o:spid="_x0000_s1027" style="position:absolute;top:21121;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" path="m,l159893,e" filled="f" strokeweight=".23811mm">
                  <v:path arrowok="t"/>
                </v:shape>
                <v:shape id="Graphic 1182" o:spid="_x0000_s1028" style="position:absolute;left:74039;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" path="m49301,l,,,49301r49301,l49301,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26272" behindDoc="0" locked="0" layoutInCell="1" allowOverlap="1" wp14:anchorId="7865CE78" wp14:editId="6F6DCC8C">
                <wp:simplePos x="0" y="0"/>
                <wp:positionH relativeFrom="page">
                  <wp:posOffset>5586539</wp:posOffset>
                </wp:positionH>
                <wp:positionV relativeFrom="paragraph">
                  <wp:posOffset>-1188098</wp:posOffset>
                </wp:positionV>
                <wp:extent cx="59055" cy="49530"/>
                <wp:effectExtent l="0" t="0" r="0" b="0"/>
                <wp:wrapNone/>
                <wp:docPr id="118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 cy="49530"/>
                          <a:chOff x="0" y="0"/>
                          <a:chExt cx="59055" cy="49530"/>
                        </a:xfrm>
                      </wpg:grpSpPr>
                      <wps:wsp>
                        <wps:cNvPr id="1184" name="Graphic 1184"/>
                        <wps:cNvSpPr/>
                        <wps:spPr>
                          <a:xfrm>
                            <a:off x="0" y="21116"/>
                            <a:ext cx="53975" cy="1270"/>
                          </a:xfrm>
                          <a:custGeom>
                            <a:avLst/>
                            <a:gdLst/>
                            <a:ahLst/>
                            <a:cxnLst/>
                            <a:rect l="l" t="t" r="r" b="b"/>
                            <a:pathLst>
                              <a:path w="53975">
                                <a:moveTo>
                                  <a:pt x="0" y="0"/>
                                </a:moveTo>
                                <a:lnTo>
                                  <a:pt x="53708" y="0"/>
                                </a:lnTo>
                              </a:path>
                            </a:pathLst>
                          </a:custGeom>
                          <a:ln w="8572">
                            <a:solidFill>
                              <a:srgbClr val="000000"/>
                            </a:solidFill>
                            <a:prstDash val="solid"/>
                          </a:ln>
                        </wps:spPr>
                        <wps:bodyPr wrap="square" lIns="0" tIns="0" rIns="0" bIns="0" rtlCol="0">
                          <a:prstTxWarp prst="textNoShape">
                            <a:avLst/>
                          </a:prstTxWarp>
                          <a:noAutofit/>
                        </wps:bodyPr>
                      </wps:wsp>
                      <wps:wsp>
                        <wps:cNvPr id="1185" name="Graphic 1185"/>
                        <wps:cNvSpPr/>
                        <wps:spPr>
                          <a:xfrm>
                            <a:off x="9702"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CE9C9F3" id="Group 1183" o:spid="_x0000_s1026" style="position:absolute;margin-left:439.9pt;margin-top:-93.55pt;width:4.65pt;height:3.9pt;z-index:15926272;mso-wrap-distance-left:0;mso-wrap-distance-right:0;mso-position-horizontal-relative:page" coordsize="5905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">
                <v:shape id="Graphic 1184" o:spid="_x0000_s1027" style="position:absolute;top:21116;width:53975;height:1270;visibility:visible;mso-wrap-style:square;v-text-anchor:top" coordsize="53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" path="m,l53708,e" filled="f" strokeweight=".23811mm">
                  <v:path arrowok="t"/>
                </v:shape>
                <v:shape id="Graphic 1185" o:spid="_x0000_s1028" style="position:absolute;left:9702;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" path="m49301,l,,,49301r49301,l49301,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26784" behindDoc="0" locked="0" layoutInCell="1" allowOverlap="1" wp14:anchorId="725CE94C" wp14:editId="624D0B12">
                <wp:simplePos x="0" y="0"/>
                <wp:positionH relativeFrom="page">
                  <wp:posOffset>5601780</wp:posOffset>
                </wp:positionH>
                <wp:positionV relativeFrom="paragraph">
                  <wp:posOffset>-1075411</wp:posOffset>
                </wp:positionV>
                <wp:extent cx="59055" cy="49530"/>
                <wp:effectExtent l="0" t="0" r="0" b="0"/>
                <wp:wrapNone/>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 cy="49530"/>
                          <a:chOff x="0" y="0"/>
                          <a:chExt cx="59055" cy="49530"/>
                        </a:xfrm>
                      </wpg:grpSpPr>
                      <wps:wsp>
                        <wps:cNvPr id="1187" name="Graphic 1187"/>
                        <wps:cNvSpPr/>
                        <wps:spPr>
                          <a:xfrm>
                            <a:off x="0" y="21122"/>
                            <a:ext cx="51435" cy="1270"/>
                          </a:xfrm>
                          <a:custGeom>
                            <a:avLst/>
                            <a:gdLst/>
                            <a:ahLst/>
                            <a:cxnLst/>
                            <a:rect l="l" t="t" r="r" b="b"/>
                            <a:pathLst>
                              <a:path w="51435">
                                <a:moveTo>
                                  <a:pt x="0" y="0"/>
                                </a:moveTo>
                                <a:lnTo>
                                  <a:pt x="51308" y="0"/>
                                </a:lnTo>
                              </a:path>
                            </a:pathLst>
                          </a:custGeom>
                          <a:ln w="8572">
                            <a:solidFill>
                              <a:srgbClr val="000000"/>
                            </a:solidFill>
                            <a:prstDash val="solid"/>
                          </a:ln>
                        </wps:spPr>
                        <wps:bodyPr wrap="square" lIns="0" tIns="0" rIns="0" bIns="0" rtlCol="0">
                          <a:prstTxWarp prst="textNoShape">
                            <a:avLst/>
                          </a:prstTxWarp>
                          <a:noAutofit/>
                        </wps:bodyPr>
                      </wps:wsp>
                      <wps:wsp>
                        <wps:cNvPr id="1188" name="Graphic 1188"/>
                        <wps:cNvSpPr/>
                        <wps:spPr>
                          <a:xfrm>
                            <a:off x="9384"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9A79CBD" id="Group 1186" o:spid="_x0000_s1026" style="position:absolute;margin-left:441.1pt;margin-top:-84.7pt;width:4.65pt;height:3.9pt;z-index:15926784;mso-wrap-distance-left:0;mso-wrap-distance-right:0;mso-position-horizontal-relative:page" coordsize="5905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">
                <v:shape id="Graphic 1187" o:spid="_x0000_s1027" style="position:absolute;top:21122;width:51435;height:1270;visibility:visible;mso-wrap-style:square;v-text-anchor:top" coordsize="51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" path="m,l51308,e" filled="f" strokeweight=".23811mm">
                  <v:path arrowok="t"/>
                </v:shape>
                <v:shape id="Graphic 1188" o:spid="_x0000_s1028" style="position:absolute;left:9384;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" path="m49301,l,,,49301r49301,l49301,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27296" behindDoc="0" locked="0" layoutInCell="1" allowOverlap="1" wp14:anchorId="4BC8E446" wp14:editId="40AEA740">
                <wp:simplePos x="0" y="0"/>
                <wp:positionH relativeFrom="page">
                  <wp:posOffset>5504063</wp:posOffset>
                </wp:positionH>
                <wp:positionV relativeFrom="paragraph">
                  <wp:posOffset>-962711</wp:posOffset>
                </wp:positionV>
                <wp:extent cx="79375" cy="49530"/>
                <wp:effectExtent l="0" t="0" r="0" b="0"/>
                <wp:wrapNone/>
                <wp:docPr id="1189"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49530"/>
                          <a:chOff x="0" y="0"/>
                          <a:chExt cx="79375" cy="49530"/>
                        </a:xfrm>
                      </wpg:grpSpPr>
                      <wps:wsp>
                        <wps:cNvPr id="1190" name="Graphic 1190"/>
                        <wps:cNvSpPr/>
                        <wps:spPr>
                          <a:xfrm>
                            <a:off x="0" y="21117"/>
                            <a:ext cx="79375" cy="1270"/>
                          </a:xfrm>
                          <a:custGeom>
                            <a:avLst/>
                            <a:gdLst/>
                            <a:ahLst/>
                            <a:cxnLst/>
                            <a:rect l="l" t="t" r="r" b="b"/>
                            <a:pathLst>
                              <a:path w="79375">
                                <a:moveTo>
                                  <a:pt x="0" y="0"/>
                                </a:moveTo>
                                <a:lnTo>
                                  <a:pt x="79248" y="0"/>
                                </a:lnTo>
                              </a:path>
                            </a:pathLst>
                          </a:custGeom>
                          <a:ln w="8572">
                            <a:solidFill>
                              <a:srgbClr val="000000"/>
                            </a:solidFill>
                            <a:prstDash val="solid"/>
                          </a:ln>
                        </wps:spPr>
                        <wps:bodyPr wrap="square" lIns="0" tIns="0" rIns="0" bIns="0" rtlCol="0">
                          <a:prstTxWarp prst="textNoShape">
                            <a:avLst/>
                          </a:prstTxWarp>
                          <a:noAutofit/>
                        </wps:bodyPr>
                      </wps:wsp>
                      <wps:wsp>
                        <wps:cNvPr id="1191" name="Graphic 1191"/>
                        <wps:cNvSpPr/>
                        <wps:spPr>
                          <a:xfrm>
                            <a:off x="22100"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E1FEC43" id="Group 1189" o:spid="_x0000_s1026" style="position:absolute;margin-left:433.4pt;margin-top:-75.8pt;width:6.25pt;height:3.9pt;z-index:15927296;mso-wrap-distance-left:0;mso-wrap-distance-right:0;mso-position-horizontal-relative:page" coordsize="7937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">
                <v:shape id="Graphic 1190" o:spid="_x0000_s1027" style="position:absolute;top:21117;width:79375;height:1270;visibility:visible;mso-wrap-style:square;v-text-anchor:top" coordsize="79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" path="m,l79248,e" filled="f" strokeweight=".23811mm">
                  <v:path arrowok="t"/>
                </v:shape>
                <v:shape id="Graphic 1191" o:spid="_x0000_s1028" style="position:absolute;left:22100;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" path="m49301,l,,,49301r49301,l49301,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27808" behindDoc="0" locked="0" layoutInCell="1" allowOverlap="1" wp14:anchorId="5856B30C" wp14:editId="075329CE">
                <wp:simplePos x="0" y="0"/>
                <wp:positionH relativeFrom="page">
                  <wp:posOffset>5589874</wp:posOffset>
                </wp:positionH>
                <wp:positionV relativeFrom="paragraph">
                  <wp:posOffset>-850024</wp:posOffset>
                </wp:positionV>
                <wp:extent cx="68580" cy="49530"/>
                <wp:effectExtent l="0" t="0" r="0" b="0"/>
                <wp:wrapNone/>
                <wp:docPr id="1192"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 cy="49530"/>
                          <a:chOff x="0" y="0"/>
                          <a:chExt cx="68580" cy="49530"/>
                        </a:xfrm>
                      </wpg:grpSpPr>
                      <wps:wsp>
                        <wps:cNvPr id="1193" name="Graphic 1193"/>
                        <wps:cNvSpPr/>
                        <wps:spPr>
                          <a:xfrm>
                            <a:off x="0" y="21123"/>
                            <a:ext cx="66040" cy="1270"/>
                          </a:xfrm>
                          <a:custGeom>
                            <a:avLst/>
                            <a:gdLst/>
                            <a:ahLst/>
                            <a:cxnLst/>
                            <a:rect l="l" t="t" r="r" b="b"/>
                            <a:pathLst>
                              <a:path w="66040">
                                <a:moveTo>
                                  <a:pt x="0" y="0"/>
                                </a:moveTo>
                                <a:lnTo>
                                  <a:pt x="65582" y="0"/>
                                </a:lnTo>
                              </a:path>
                            </a:pathLst>
                          </a:custGeom>
                          <a:ln w="8572">
                            <a:solidFill>
                              <a:srgbClr val="000000"/>
                            </a:solidFill>
                            <a:prstDash val="solid"/>
                          </a:ln>
                        </wps:spPr>
                        <wps:bodyPr wrap="square" lIns="0" tIns="0" rIns="0" bIns="0" rtlCol="0">
                          <a:prstTxWarp prst="textNoShape">
                            <a:avLst/>
                          </a:prstTxWarp>
                          <a:noAutofit/>
                        </wps:bodyPr>
                      </wps:wsp>
                      <wps:wsp>
                        <wps:cNvPr id="1194" name="Graphic 1194"/>
                        <wps:cNvSpPr/>
                        <wps:spPr>
                          <a:xfrm>
                            <a:off x="19067"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F0D674B" id="Group 1192" o:spid="_x0000_s1026" style="position:absolute;margin-left:440.15pt;margin-top:-66.95pt;width:5.4pt;height:3.9pt;z-index:15927808;mso-wrap-distance-left:0;mso-wrap-distance-right:0;mso-position-horizontal-relative:page" coordsize="6858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">
                <v:shape id="Graphic 1193" o:spid="_x0000_s1027" style="position:absolute;top:21123;width:66040;height:1270;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" path="m,l65582,e" filled="f" strokeweight=".23811mm">
                  <v:path arrowok="t"/>
                </v:shape>
                <v:shape id="Graphic 1194" o:spid="_x0000_s1028" style="position:absolute;left:19067;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" path="m49301,l,,,49301r49301,l49301,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28320" behindDoc="0" locked="0" layoutInCell="1" allowOverlap="1" wp14:anchorId="0624DC23" wp14:editId="1C77785D">
                <wp:simplePos x="0" y="0"/>
                <wp:positionH relativeFrom="page">
                  <wp:posOffset>5585769</wp:posOffset>
                </wp:positionH>
                <wp:positionV relativeFrom="paragraph">
                  <wp:posOffset>-737325</wp:posOffset>
                </wp:positionV>
                <wp:extent cx="64135" cy="49530"/>
                <wp:effectExtent l="0" t="0" r="0" b="0"/>
                <wp:wrapNone/>
                <wp:docPr id="1195"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49530"/>
                          <a:chOff x="0" y="0"/>
                          <a:chExt cx="64135" cy="49530"/>
                        </a:xfrm>
                      </wpg:grpSpPr>
                      <wps:wsp>
                        <wps:cNvPr id="1196" name="Graphic 1196"/>
                        <wps:cNvSpPr/>
                        <wps:spPr>
                          <a:xfrm>
                            <a:off x="0" y="21118"/>
                            <a:ext cx="60960" cy="1270"/>
                          </a:xfrm>
                          <a:custGeom>
                            <a:avLst/>
                            <a:gdLst/>
                            <a:ahLst/>
                            <a:cxnLst/>
                            <a:rect l="l" t="t" r="r" b="b"/>
                            <a:pathLst>
                              <a:path w="60960">
                                <a:moveTo>
                                  <a:pt x="0" y="0"/>
                                </a:moveTo>
                                <a:lnTo>
                                  <a:pt x="60642" y="0"/>
                                </a:lnTo>
                              </a:path>
                            </a:pathLst>
                          </a:custGeom>
                          <a:ln w="8572">
                            <a:solidFill>
                              <a:srgbClr val="000000"/>
                            </a:solidFill>
                            <a:prstDash val="solid"/>
                          </a:ln>
                        </wps:spPr>
                        <wps:bodyPr wrap="square" lIns="0" tIns="0" rIns="0" bIns="0" rtlCol="0">
                          <a:prstTxWarp prst="textNoShape">
                            <a:avLst/>
                          </a:prstTxWarp>
                          <a:noAutofit/>
                        </wps:bodyPr>
                      </wps:wsp>
                      <wps:wsp>
                        <wps:cNvPr id="1197" name="Graphic 1197"/>
                        <wps:cNvSpPr/>
                        <wps:spPr>
                          <a:xfrm>
                            <a:off x="14599"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F655E60" id="Group 1195" o:spid="_x0000_s1026" style="position:absolute;margin-left:439.8pt;margin-top:-58.05pt;width:5.05pt;height:3.9pt;z-index:15928320;mso-wrap-distance-left:0;mso-wrap-distance-right:0;mso-position-horizontal-relative:page" coordsize="6413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">
                <v:shape id="Graphic 1196" o:spid="_x0000_s1027" style="position:absolute;top:21118;width:60960;height:1270;visibility:visible;mso-wrap-style:square;v-text-anchor:top" coordsize="6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" path="m,l60642,e" filled="f" strokeweight=".23811mm">
                  <v:path arrowok="t"/>
                </v:shape>
                <v:shape id="Graphic 1197" o:spid="_x0000_s1028" style="position:absolute;left:14599;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" path="m49301,l,,,49301r49301,l49301,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28832" behindDoc="0" locked="0" layoutInCell="1" allowOverlap="1" wp14:anchorId="46552152" wp14:editId="2E5147ED">
                <wp:simplePos x="0" y="0"/>
                <wp:positionH relativeFrom="page">
                  <wp:posOffset>5591115</wp:posOffset>
                </wp:positionH>
                <wp:positionV relativeFrom="paragraph">
                  <wp:posOffset>-624637</wp:posOffset>
                </wp:positionV>
                <wp:extent cx="76835" cy="49530"/>
                <wp:effectExtent l="0" t="0" r="0" b="0"/>
                <wp:wrapNone/>
                <wp:docPr id="1198"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 cy="49530"/>
                          <a:chOff x="0" y="0"/>
                          <a:chExt cx="76835" cy="49530"/>
                        </a:xfrm>
                      </wpg:grpSpPr>
                      <wps:wsp>
                        <wps:cNvPr id="1199" name="Graphic 1199"/>
                        <wps:cNvSpPr/>
                        <wps:spPr>
                          <a:xfrm>
                            <a:off x="0" y="21130"/>
                            <a:ext cx="74295" cy="1270"/>
                          </a:xfrm>
                          <a:custGeom>
                            <a:avLst/>
                            <a:gdLst/>
                            <a:ahLst/>
                            <a:cxnLst/>
                            <a:rect l="l" t="t" r="r" b="b"/>
                            <a:pathLst>
                              <a:path w="74295">
                                <a:moveTo>
                                  <a:pt x="0" y="0"/>
                                </a:moveTo>
                                <a:lnTo>
                                  <a:pt x="73723" y="0"/>
                                </a:lnTo>
                              </a:path>
                            </a:pathLst>
                          </a:custGeom>
                          <a:ln w="8572">
                            <a:solidFill>
                              <a:srgbClr val="000000"/>
                            </a:solidFill>
                            <a:prstDash val="solid"/>
                          </a:ln>
                        </wps:spPr>
                        <wps:bodyPr wrap="square" lIns="0" tIns="0" rIns="0" bIns="0" rtlCol="0">
                          <a:prstTxWarp prst="textNoShape">
                            <a:avLst/>
                          </a:prstTxWarp>
                          <a:noAutofit/>
                        </wps:bodyPr>
                      </wps:wsp>
                      <wps:wsp>
                        <wps:cNvPr id="1200" name="Graphic 1200"/>
                        <wps:cNvSpPr/>
                        <wps:spPr>
                          <a:xfrm>
                            <a:off x="27009"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29E7771" id="Group 1198" o:spid="_x0000_s1026" style="position:absolute;margin-left:440.25pt;margin-top:-49.2pt;width:6.05pt;height:3.9pt;z-index:15928832;mso-wrap-distance-left:0;mso-wrap-distance-right:0;mso-position-horizontal-relative:page" coordsize="7683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">
                <v:shape id="Graphic 1199" o:spid="_x0000_s1027" style="position:absolute;top:21130;width:74295;height:1270;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" path="m,l73723,e" filled="f" strokeweight=".23811mm">
                  <v:path arrowok="t"/>
                </v:shape>
                <v:shape id="Graphic 1200" o:spid="_x0000_s1028" style="position:absolute;left:27009;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" path="m49301,l,,,49301r49301,l49301,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29344" behindDoc="0" locked="0" layoutInCell="1" allowOverlap="1" wp14:anchorId="5E989E93" wp14:editId="7F411527">
                <wp:simplePos x="0" y="0"/>
                <wp:positionH relativeFrom="page">
                  <wp:posOffset>5520707</wp:posOffset>
                </wp:positionH>
                <wp:positionV relativeFrom="paragraph">
                  <wp:posOffset>-511938</wp:posOffset>
                </wp:positionV>
                <wp:extent cx="185420" cy="49530"/>
                <wp:effectExtent l="0" t="0" r="0" b="0"/>
                <wp:wrapNone/>
                <wp:docPr id="1201"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 cy="49530"/>
                          <a:chOff x="0" y="0"/>
                          <a:chExt cx="185420" cy="49530"/>
                        </a:xfrm>
                      </wpg:grpSpPr>
                      <wps:wsp>
                        <wps:cNvPr id="1202" name="Graphic 1202"/>
                        <wps:cNvSpPr/>
                        <wps:spPr>
                          <a:xfrm>
                            <a:off x="0" y="21126"/>
                            <a:ext cx="156845" cy="1270"/>
                          </a:xfrm>
                          <a:custGeom>
                            <a:avLst/>
                            <a:gdLst/>
                            <a:ahLst/>
                            <a:cxnLst/>
                            <a:rect l="l" t="t" r="r" b="b"/>
                            <a:pathLst>
                              <a:path w="156845">
                                <a:moveTo>
                                  <a:pt x="0" y="0"/>
                                </a:moveTo>
                                <a:lnTo>
                                  <a:pt x="156616" y="0"/>
                                </a:lnTo>
                              </a:path>
                            </a:pathLst>
                          </a:custGeom>
                          <a:ln w="8572">
                            <a:solidFill>
                              <a:srgbClr val="000000"/>
                            </a:solidFill>
                            <a:prstDash val="solid"/>
                          </a:ln>
                        </wps:spPr>
                        <wps:bodyPr wrap="square" lIns="0" tIns="0" rIns="0" bIns="0" rtlCol="0">
                          <a:prstTxWarp prst="textNoShape">
                            <a:avLst/>
                          </a:prstTxWarp>
                          <a:noAutofit/>
                        </wps:bodyPr>
                      </wps:wsp>
                      <wps:wsp>
                        <wps:cNvPr id="1203" name="Graphic 1203"/>
                        <wps:cNvSpPr/>
                        <wps:spPr>
                          <a:xfrm>
                            <a:off x="135478"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5E133DF" id="Group 1201" o:spid="_x0000_s1026" style="position:absolute;margin-left:434.7pt;margin-top:-40.3pt;width:14.6pt;height:3.9pt;z-index:15929344;mso-wrap-distance-left:0;mso-wrap-distance-right:0;mso-position-horizontal-relative:page" coordsize="18542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">
                <v:shape id="Graphic 1202" o:spid="_x0000_s1027" style="position:absolute;top:21126;width:156845;height:1270;visibility:visible;mso-wrap-style:square;v-text-anchor:top" coordsize="156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" path="m,l156616,e" filled="f" strokeweight=".23811mm">
                  <v:path arrowok="t"/>
                </v:shape>
                <v:shape id="Graphic 1203" o:spid="_x0000_s1028" style="position:absolute;left:135478;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" path="m49314,l,,,49301r49314,l49314,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29856" behindDoc="0" locked="0" layoutInCell="1" allowOverlap="1" wp14:anchorId="7A5C9347" wp14:editId="7ED572FF">
                <wp:simplePos x="0" y="0"/>
                <wp:positionH relativeFrom="page">
                  <wp:posOffset>4827830</wp:posOffset>
                </wp:positionH>
                <wp:positionV relativeFrom="paragraph">
                  <wp:posOffset>-399251</wp:posOffset>
                </wp:positionV>
                <wp:extent cx="1762760" cy="179070"/>
                <wp:effectExtent l="0" t="0" r="0" b="0"/>
                <wp:wrapNone/>
                <wp:docPr id="1204"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2760" cy="179070"/>
                          <a:chOff x="0" y="0"/>
                          <a:chExt cx="1762760" cy="179070"/>
                        </a:xfrm>
                      </wpg:grpSpPr>
                      <wps:wsp>
                        <wps:cNvPr id="1205" name="Graphic 1205"/>
                        <wps:cNvSpPr/>
                        <wps:spPr>
                          <a:xfrm>
                            <a:off x="830108" y="21132"/>
                            <a:ext cx="19685" cy="1270"/>
                          </a:xfrm>
                          <a:custGeom>
                            <a:avLst/>
                            <a:gdLst/>
                            <a:ahLst/>
                            <a:cxnLst/>
                            <a:rect l="l" t="t" r="r" b="b"/>
                            <a:pathLst>
                              <a:path w="19685">
                                <a:moveTo>
                                  <a:pt x="0" y="0"/>
                                </a:moveTo>
                                <a:lnTo>
                                  <a:pt x="19380" y="0"/>
                                </a:lnTo>
                              </a:path>
                            </a:pathLst>
                          </a:custGeom>
                          <a:ln w="8572">
                            <a:solidFill>
                              <a:srgbClr val="000000"/>
                            </a:solidFill>
                            <a:prstDash val="solid"/>
                          </a:ln>
                        </wps:spPr>
                        <wps:bodyPr wrap="square" lIns="0" tIns="0" rIns="0" bIns="0" rtlCol="0">
                          <a:prstTxWarp prst="textNoShape">
                            <a:avLst/>
                          </a:prstTxWarp>
                          <a:noAutofit/>
                        </wps:bodyPr>
                      </wps:wsp>
                      <wps:wsp>
                        <wps:cNvPr id="1206" name="Graphic 1206"/>
                        <wps:cNvSpPr/>
                        <wps:spPr>
                          <a:xfrm>
                            <a:off x="828356"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s:wsp>
                        <wps:cNvPr id="1207" name="Graphic 1207"/>
                        <wps:cNvSpPr/>
                        <wps:spPr>
                          <a:xfrm>
                            <a:off x="4286" y="49305"/>
                            <a:ext cx="838200" cy="56515"/>
                          </a:xfrm>
                          <a:custGeom>
                            <a:avLst/>
                            <a:gdLst/>
                            <a:ahLst/>
                            <a:cxnLst/>
                            <a:rect l="l" t="t" r="r" b="b"/>
                            <a:pathLst>
                              <a:path w="838200" h="56515">
                                <a:moveTo>
                                  <a:pt x="0" y="0"/>
                                </a:moveTo>
                                <a:lnTo>
                                  <a:pt x="0" y="56349"/>
                                </a:lnTo>
                              </a:path>
                              <a:path w="838200" h="56515">
                                <a:moveTo>
                                  <a:pt x="0" y="28168"/>
                                </a:moveTo>
                                <a:lnTo>
                                  <a:pt x="838161" y="28168"/>
                                </a:lnTo>
                              </a:path>
                            </a:pathLst>
                          </a:custGeom>
                          <a:ln w="8572">
                            <a:solidFill>
                              <a:srgbClr val="000000"/>
                            </a:solidFill>
                            <a:prstDash val="solid"/>
                          </a:ln>
                        </wps:spPr>
                        <wps:bodyPr wrap="square" lIns="0" tIns="0" rIns="0" bIns="0" rtlCol="0">
                          <a:prstTxWarp prst="textNoShape">
                            <a:avLst/>
                          </a:prstTxWarp>
                          <a:noAutofit/>
                        </wps:bodyPr>
                      </wps:wsp>
                      <wps:wsp>
                        <wps:cNvPr id="1208" name="Graphic 1208"/>
                        <wps:cNvSpPr/>
                        <wps:spPr>
                          <a:xfrm>
                            <a:off x="9654" y="114409"/>
                            <a:ext cx="43180" cy="64135"/>
                          </a:xfrm>
                          <a:custGeom>
                            <a:avLst/>
                            <a:gdLst/>
                            <a:ahLst/>
                            <a:cxnLst/>
                            <a:rect l="l" t="t" r="r" b="b"/>
                            <a:pathLst>
                              <a:path w="43180" h="64135">
                                <a:moveTo>
                                  <a:pt x="27787" y="0"/>
                                </a:moveTo>
                                <a:lnTo>
                                  <a:pt x="14960" y="0"/>
                                </a:lnTo>
                                <a:lnTo>
                                  <a:pt x="9804" y="2933"/>
                                </a:lnTo>
                                <a:lnTo>
                                  <a:pt x="1955" y="14655"/>
                                </a:lnTo>
                                <a:lnTo>
                                  <a:pt x="0" y="22402"/>
                                </a:lnTo>
                                <a:lnTo>
                                  <a:pt x="28" y="41694"/>
                                </a:lnTo>
                                <a:lnTo>
                                  <a:pt x="1943" y="49314"/>
                                </a:lnTo>
                                <a:lnTo>
                                  <a:pt x="7661" y="58026"/>
                                </a:lnTo>
                                <a:lnTo>
                                  <a:pt x="9793" y="61213"/>
                                </a:lnTo>
                                <a:lnTo>
                                  <a:pt x="14820" y="64134"/>
                                </a:lnTo>
                                <a:lnTo>
                                  <a:pt x="27711" y="64134"/>
                                </a:lnTo>
                                <a:lnTo>
                                  <a:pt x="32956" y="61213"/>
                                </a:lnTo>
                                <a:lnTo>
                                  <a:pt x="35092" y="58026"/>
                                </a:lnTo>
                                <a:lnTo>
                                  <a:pt x="21209" y="58026"/>
                                </a:lnTo>
                                <a:lnTo>
                                  <a:pt x="15722" y="56402"/>
                                </a:lnTo>
                                <a:lnTo>
                                  <a:pt x="11801" y="51528"/>
                                </a:lnTo>
                                <a:lnTo>
                                  <a:pt x="9446" y="43404"/>
                                </a:lnTo>
                                <a:lnTo>
                                  <a:pt x="8661" y="32029"/>
                                </a:lnTo>
                                <a:lnTo>
                                  <a:pt x="9336" y="22402"/>
                                </a:lnTo>
                                <a:lnTo>
                                  <a:pt x="9456" y="20692"/>
                                </a:lnTo>
                                <a:lnTo>
                                  <a:pt x="11841" y="12592"/>
                                </a:lnTo>
                                <a:lnTo>
                                  <a:pt x="15814" y="7729"/>
                                </a:lnTo>
                                <a:lnTo>
                                  <a:pt x="21374" y="6108"/>
                                </a:lnTo>
                                <a:lnTo>
                                  <a:pt x="35078" y="6108"/>
                                </a:lnTo>
                                <a:lnTo>
                                  <a:pt x="32956" y="2933"/>
                                </a:lnTo>
                                <a:lnTo>
                                  <a:pt x="27787" y="0"/>
                                </a:lnTo>
                                <a:close/>
                              </a:path>
                              <a:path w="43180" h="64135">
                                <a:moveTo>
                                  <a:pt x="35078" y="6108"/>
                                </a:moveTo>
                                <a:lnTo>
                                  <a:pt x="21374" y="6108"/>
                                </a:lnTo>
                                <a:lnTo>
                                  <a:pt x="26971" y="7729"/>
                                </a:lnTo>
                                <a:lnTo>
                                  <a:pt x="30965" y="12592"/>
                                </a:lnTo>
                                <a:lnTo>
                                  <a:pt x="33339" y="20553"/>
                                </a:lnTo>
                                <a:lnTo>
                                  <a:pt x="34137" y="31788"/>
                                </a:lnTo>
                                <a:lnTo>
                                  <a:pt x="33439" y="41694"/>
                                </a:lnTo>
                                <a:lnTo>
                                  <a:pt x="33328" y="43270"/>
                                </a:lnTo>
                                <a:lnTo>
                                  <a:pt x="31540" y="49314"/>
                                </a:lnTo>
                                <a:lnTo>
                                  <a:pt x="30854" y="51528"/>
                                </a:lnTo>
                                <a:lnTo>
                                  <a:pt x="26811" y="56402"/>
                                </a:lnTo>
                                <a:lnTo>
                                  <a:pt x="21209" y="58026"/>
                                </a:lnTo>
                                <a:lnTo>
                                  <a:pt x="35092" y="58026"/>
                                </a:lnTo>
                                <a:lnTo>
                                  <a:pt x="40792" y="49517"/>
                                </a:lnTo>
                                <a:lnTo>
                                  <a:pt x="42748" y="41694"/>
                                </a:lnTo>
                                <a:lnTo>
                                  <a:pt x="42748" y="22402"/>
                                </a:lnTo>
                                <a:lnTo>
                                  <a:pt x="40792" y="14655"/>
                                </a:lnTo>
                                <a:lnTo>
                                  <a:pt x="35078" y="6108"/>
                                </a:lnTo>
                                <a:close/>
                              </a:path>
                            </a:pathLst>
                          </a:custGeom>
                          <a:solidFill>
                            <a:srgbClr val="000000"/>
                          </a:solidFill>
                        </wps:spPr>
                        <wps:bodyPr wrap="square" lIns="0" tIns="0" rIns="0" bIns="0" rtlCol="0">
                          <a:prstTxWarp prst="textNoShape">
                            <a:avLst/>
                          </a:prstTxWarp>
                          <a:noAutofit/>
                        </wps:bodyPr>
                      </wps:wsp>
                      <wps:wsp>
                        <wps:cNvPr id="1209" name="Graphic 1209"/>
                        <wps:cNvSpPr/>
                        <wps:spPr>
                          <a:xfrm>
                            <a:off x="171917" y="49305"/>
                            <a:ext cx="1270" cy="56515"/>
                          </a:xfrm>
                          <a:custGeom>
                            <a:avLst/>
                            <a:gdLst/>
                            <a:ahLst/>
                            <a:cxnLst/>
                            <a:rect l="l" t="t" r="r" b="b"/>
                            <a:pathLst>
                              <a:path h="56515">
                                <a:moveTo>
                                  <a:pt x="0" y="0"/>
                                </a:moveTo>
                                <a:lnTo>
                                  <a:pt x="0" y="56349"/>
                                </a:lnTo>
                              </a:path>
                            </a:pathLst>
                          </a:custGeom>
                          <a:ln w="8572">
                            <a:solidFill>
                              <a:srgbClr val="000000"/>
                            </a:solidFill>
                            <a:prstDash val="solid"/>
                          </a:ln>
                        </wps:spPr>
                        <wps:bodyPr wrap="square" lIns="0" tIns="0" rIns="0" bIns="0" rtlCol="0">
                          <a:prstTxWarp prst="textNoShape">
                            <a:avLst/>
                          </a:prstTxWarp>
                          <a:noAutofit/>
                        </wps:bodyPr>
                      </wps:wsp>
                      <wps:wsp>
                        <wps:cNvPr id="1210" name="Graphic 1210"/>
                        <wps:cNvSpPr/>
                        <wps:spPr>
                          <a:xfrm>
                            <a:off x="110467" y="114413"/>
                            <a:ext cx="118745" cy="64135"/>
                          </a:xfrm>
                          <a:custGeom>
                            <a:avLst/>
                            <a:gdLst/>
                            <a:ahLst/>
                            <a:cxnLst/>
                            <a:rect l="l" t="t" r="r" b="b"/>
                            <a:pathLst>
                              <a:path w="118745" h="64135">
                                <a:moveTo>
                                  <a:pt x="114953" y="6108"/>
                                </a:moveTo>
                                <a:lnTo>
                                  <a:pt x="101917" y="6108"/>
                                </a:lnTo>
                                <a:lnTo>
                                  <a:pt x="104736" y="7086"/>
                                </a:lnTo>
                                <a:lnTo>
                                  <a:pt x="108848" y="11023"/>
                                </a:lnTo>
                                <a:lnTo>
                                  <a:pt x="109855" y="13677"/>
                                </a:lnTo>
                                <a:lnTo>
                                  <a:pt x="109855" y="22428"/>
                                </a:lnTo>
                                <a:lnTo>
                                  <a:pt x="106870" y="27800"/>
                                </a:lnTo>
                                <a:lnTo>
                                  <a:pt x="96202" y="37388"/>
                                </a:lnTo>
                                <a:lnTo>
                                  <a:pt x="88988" y="43916"/>
                                </a:lnTo>
                                <a:lnTo>
                                  <a:pt x="84213" y="49936"/>
                                </a:lnTo>
                                <a:lnTo>
                                  <a:pt x="81838" y="55473"/>
                                </a:lnTo>
                                <a:lnTo>
                                  <a:pt x="81838" y="62610"/>
                                </a:lnTo>
                                <a:lnTo>
                                  <a:pt x="118198" y="62610"/>
                                </a:lnTo>
                                <a:lnTo>
                                  <a:pt x="118198" y="55473"/>
                                </a:lnTo>
                                <a:lnTo>
                                  <a:pt x="91655" y="55473"/>
                                </a:lnTo>
                                <a:lnTo>
                                  <a:pt x="92684" y="50431"/>
                                </a:lnTo>
                                <a:lnTo>
                                  <a:pt x="96443" y="45148"/>
                                </a:lnTo>
                                <a:lnTo>
                                  <a:pt x="110858" y="32892"/>
                                </a:lnTo>
                                <a:lnTo>
                                  <a:pt x="114122" y="29451"/>
                                </a:lnTo>
                                <a:lnTo>
                                  <a:pt x="117614" y="23787"/>
                                </a:lnTo>
                                <a:lnTo>
                                  <a:pt x="118491" y="20535"/>
                                </a:lnTo>
                                <a:lnTo>
                                  <a:pt x="118491" y="11798"/>
                                </a:lnTo>
                                <a:lnTo>
                                  <a:pt x="116767" y="7746"/>
                                </a:lnTo>
                                <a:lnTo>
                                  <a:pt x="114953" y="6108"/>
                                </a:lnTo>
                                <a:close/>
                              </a:path>
                              <a:path w="118745" h="64135">
                                <a:moveTo>
                                  <a:pt x="105232" y="0"/>
                                </a:moveTo>
                                <a:lnTo>
                                  <a:pt x="94170" y="0"/>
                                </a:lnTo>
                                <a:lnTo>
                                  <a:pt x="88785" y="1282"/>
                                </a:lnTo>
                                <a:lnTo>
                                  <a:pt x="83362" y="3835"/>
                                </a:lnTo>
                                <a:lnTo>
                                  <a:pt x="83362" y="11023"/>
                                </a:lnTo>
                                <a:lnTo>
                                  <a:pt x="89115" y="7746"/>
                                </a:lnTo>
                                <a:lnTo>
                                  <a:pt x="94107" y="6108"/>
                                </a:lnTo>
                                <a:lnTo>
                                  <a:pt x="114953" y="6108"/>
                                </a:lnTo>
                                <a:lnTo>
                                  <a:pt x="109816" y="1536"/>
                                </a:lnTo>
                                <a:lnTo>
                                  <a:pt x="105232" y="0"/>
                                </a:lnTo>
                                <a:close/>
                              </a:path>
                              <a:path w="118745" h="64135">
                                <a:moveTo>
                                  <a:pt x="66535" y="52412"/>
                                </a:moveTo>
                                <a:lnTo>
                                  <a:pt x="56337" y="52412"/>
                                </a:lnTo>
                                <a:lnTo>
                                  <a:pt x="56337" y="62610"/>
                                </a:lnTo>
                                <a:lnTo>
                                  <a:pt x="66535" y="62610"/>
                                </a:lnTo>
                                <a:lnTo>
                                  <a:pt x="66535" y="52412"/>
                                </a:lnTo>
                                <a:close/>
                              </a:path>
                              <a:path w="118745" h="64135">
                                <a:moveTo>
                                  <a:pt x="27787" y="0"/>
                                </a:moveTo>
                                <a:lnTo>
                                  <a:pt x="14960" y="0"/>
                                </a:lnTo>
                                <a:lnTo>
                                  <a:pt x="9804" y="2933"/>
                                </a:lnTo>
                                <a:lnTo>
                                  <a:pt x="1968" y="14655"/>
                                </a:lnTo>
                                <a:lnTo>
                                  <a:pt x="0" y="22390"/>
                                </a:lnTo>
                                <a:lnTo>
                                  <a:pt x="31" y="41694"/>
                                </a:lnTo>
                                <a:lnTo>
                                  <a:pt x="1943" y="49314"/>
                                </a:lnTo>
                                <a:lnTo>
                                  <a:pt x="7661" y="58026"/>
                                </a:lnTo>
                                <a:lnTo>
                                  <a:pt x="9793" y="61213"/>
                                </a:lnTo>
                                <a:lnTo>
                                  <a:pt x="14833" y="64134"/>
                                </a:lnTo>
                                <a:lnTo>
                                  <a:pt x="27698" y="64134"/>
                                </a:lnTo>
                                <a:lnTo>
                                  <a:pt x="32956" y="61213"/>
                                </a:lnTo>
                                <a:lnTo>
                                  <a:pt x="35095" y="58026"/>
                                </a:lnTo>
                                <a:lnTo>
                                  <a:pt x="21221" y="58026"/>
                                </a:lnTo>
                                <a:lnTo>
                                  <a:pt x="15722" y="56402"/>
                                </a:lnTo>
                                <a:lnTo>
                                  <a:pt x="11798" y="51528"/>
                                </a:lnTo>
                                <a:lnTo>
                                  <a:pt x="9445" y="43404"/>
                                </a:lnTo>
                                <a:lnTo>
                                  <a:pt x="9327" y="41694"/>
                                </a:lnTo>
                                <a:lnTo>
                                  <a:pt x="33427" y="41694"/>
                                </a:lnTo>
                                <a:lnTo>
                                  <a:pt x="9318" y="41567"/>
                                </a:lnTo>
                                <a:lnTo>
                                  <a:pt x="8661" y="32029"/>
                                </a:lnTo>
                                <a:lnTo>
                                  <a:pt x="21374" y="6108"/>
                                </a:lnTo>
                                <a:lnTo>
                                  <a:pt x="35082" y="6108"/>
                                </a:lnTo>
                                <a:lnTo>
                                  <a:pt x="32956" y="2933"/>
                                </a:lnTo>
                                <a:lnTo>
                                  <a:pt x="27787" y="0"/>
                                </a:lnTo>
                                <a:close/>
                              </a:path>
                              <a:path w="118745" h="64135">
                                <a:moveTo>
                                  <a:pt x="35082" y="6108"/>
                                </a:moveTo>
                                <a:lnTo>
                                  <a:pt x="21374" y="6108"/>
                                </a:lnTo>
                                <a:lnTo>
                                  <a:pt x="26968" y="7728"/>
                                </a:lnTo>
                                <a:lnTo>
                                  <a:pt x="30958" y="12587"/>
                                </a:lnTo>
                                <a:lnTo>
                                  <a:pt x="33329" y="20548"/>
                                </a:lnTo>
                                <a:lnTo>
                                  <a:pt x="34124" y="31775"/>
                                </a:lnTo>
                                <a:lnTo>
                                  <a:pt x="33436" y="41567"/>
                                </a:lnTo>
                                <a:lnTo>
                                  <a:pt x="33317" y="43260"/>
                                </a:lnTo>
                                <a:lnTo>
                                  <a:pt x="31531" y="49314"/>
                                </a:lnTo>
                                <a:lnTo>
                                  <a:pt x="30844" y="51528"/>
                                </a:lnTo>
                                <a:lnTo>
                                  <a:pt x="26808" y="56402"/>
                                </a:lnTo>
                                <a:lnTo>
                                  <a:pt x="21221" y="58026"/>
                                </a:lnTo>
                                <a:lnTo>
                                  <a:pt x="35095" y="58026"/>
                                </a:lnTo>
                                <a:lnTo>
                                  <a:pt x="40805" y="49517"/>
                                </a:lnTo>
                                <a:lnTo>
                                  <a:pt x="42760" y="41694"/>
                                </a:lnTo>
                                <a:lnTo>
                                  <a:pt x="42760" y="22390"/>
                                </a:lnTo>
                                <a:lnTo>
                                  <a:pt x="40805" y="14655"/>
                                </a:lnTo>
                                <a:lnTo>
                                  <a:pt x="35082" y="6108"/>
                                </a:lnTo>
                                <a:close/>
                              </a:path>
                            </a:pathLst>
                          </a:custGeom>
                          <a:solidFill>
                            <a:srgbClr val="000000"/>
                          </a:solidFill>
                        </wps:spPr>
                        <wps:bodyPr wrap="square" lIns="0" tIns="0" rIns="0" bIns="0" rtlCol="0">
                          <a:prstTxWarp prst="textNoShape">
                            <a:avLst/>
                          </a:prstTxWarp>
                          <a:noAutofit/>
                        </wps:bodyPr>
                      </wps:wsp>
                      <wps:wsp>
                        <wps:cNvPr id="1211" name="Graphic 1211"/>
                        <wps:cNvSpPr/>
                        <wps:spPr>
                          <a:xfrm>
                            <a:off x="339547" y="49305"/>
                            <a:ext cx="1270" cy="56515"/>
                          </a:xfrm>
                          <a:custGeom>
                            <a:avLst/>
                            <a:gdLst/>
                            <a:ahLst/>
                            <a:cxnLst/>
                            <a:rect l="l" t="t" r="r" b="b"/>
                            <a:pathLst>
                              <a:path h="56515">
                                <a:moveTo>
                                  <a:pt x="0" y="0"/>
                                </a:moveTo>
                                <a:lnTo>
                                  <a:pt x="0" y="56349"/>
                                </a:lnTo>
                              </a:path>
                            </a:pathLst>
                          </a:custGeom>
                          <a:ln w="8572">
                            <a:solidFill>
                              <a:srgbClr val="000000"/>
                            </a:solidFill>
                            <a:prstDash val="solid"/>
                          </a:ln>
                        </wps:spPr>
                        <wps:bodyPr wrap="square" lIns="0" tIns="0" rIns="0" bIns="0" rtlCol="0">
                          <a:prstTxWarp prst="textNoShape">
                            <a:avLst/>
                          </a:prstTxWarp>
                          <a:noAutofit/>
                        </wps:bodyPr>
                      </wps:wsp>
                      <wps:wsp>
                        <wps:cNvPr id="1212" name="Graphic 1212"/>
                        <wps:cNvSpPr/>
                        <wps:spPr>
                          <a:xfrm>
                            <a:off x="278110" y="114409"/>
                            <a:ext cx="122555" cy="64135"/>
                          </a:xfrm>
                          <a:custGeom>
                            <a:avLst/>
                            <a:gdLst/>
                            <a:ahLst/>
                            <a:cxnLst/>
                            <a:rect l="l" t="t" r="r" b="b"/>
                            <a:pathLst>
                              <a:path w="122555" h="64135">
                                <a:moveTo>
                                  <a:pt x="114274" y="45313"/>
                                </a:moveTo>
                                <a:lnTo>
                                  <a:pt x="106629" y="45313"/>
                                </a:lnTo>
                                <a:lnTo>
                                  <a:pt x="106629" y="62610"/>
                                </a:lnTo>
                                <a:lnTo>
                                  <a:pt x="114274" y="62610"/>
                                </a:lnTo>
                                <a:lnTo>
                                  <a:pt x="114274" y="45313"/>
                                </a:lnTo>
                                <a:close/>
                              </a:path>
                              <a:path w="122555" h="64135">
                                <a:moveTo>
                                  <a:pt x="114274" y="1536"/>
                                </a:moveTo>
                                <a:lnTo>
                                  <a:pt x="106629" y="1536"/>
                                </a:lnTo>
                                <a:lnTo>
                                  <a:pt x="79146" y="39179"/>
                                </a:lnTo>
                                <a:lnTo>
                                  <a:pt x="79146" y="45313"/>
                                </a:lnTo>
                                <a:lnTo>
                                  <a:pt x="122440" y="45313"/>
                                </a:lnTo>
                                <a:lnTo>
                                  <a:pt x="122440" y="38671"/>
                                </a:lnTo>
                                <a:lnTo>
                                  <a:pt x="87109" y="38671"/>
                                </a:lnTo>
                                <a:lnTo>
                                  <a:pt x="107162" y="11518"/>
                                </a:lnTo>
                                <a:lnTo>
                                  <a:pt x="114274" y="11518"/>
                                </a:lnTo>
                                <a:lnTo>
                                  <a:pt x="114274" y="1536"/>
                                </a:lnTo>
                                <a:close/>
                              </a:path>
                              <a:path w="122555" h="64135">
                                <a:moveTo>
                                  <a:pt x="114274" y="11518"/>
                                </a:moveTo>
                                <a:lnTo>
                                  <a:pt x="107162" y="11518"/>
                                </a:lnTo>
                                <a:lnTo>
                                  <a:pt x="107162" y="38671"/>
                                </a:lnTo>
                                <a:lnTo>
                                  <a:pt x="114274" y="38671"/>
                                </a:lnTo>
                                <a:lnTo>
                                  <a:pt x="114274" y="11518"/>
                                </a:lnTo>
                                <a:close/>
                              </a:path>
                              <a:path w="122555" h="64135">
                                <a:moveTo>
                                  <a:pt x="66522" y="52425"/>
                                </a:moveTo>
                                <a:lnTo>
                                  <a:pt x="56324" y="52425"/>
                                </a:lnTo>
                                <a:lnTo>
                                  <a:pt x="56324" y="62623"/>
                                </a:lnTo>
                                <a:lnTo>
                                  <a:pt x="66522" y="62623"/>
                                </a:lnTo>
                                <a:lnTo>
                                  <a:pt x="66522" y="52425"/>
                                </a:lnTo>
                                <a:close/>
                              </a:path>
                              <a:path w="122555" h="64135">
                                <a:moveTo>
                                  <a:pt x="27774" y="0"/>
                                </a:moveTo>
                                <a:lnTo>
                                  <a:pt x="14960" y="0"/>
                                </a:lnTo>
                                <a:lnTo>
                                  <a:pt x="9791" y="2933"/>
                                </a:lnTo>
                                <a:lnTo>
                                  <a:pt x="1955" y="14655"/>
                                </a:lnTo>
                                <a:lnTo>
                                  <a:pt x="0" y="22402"/>
                                </a:lnTo>
                                <a:lnTo>
                                  <a:pt x="28" y="41694"/>
                                </a:lnTo>
                                <a:lnTo>
                                  <a:pt x="1943" y="49314"/>
                                </a:lnTo>
                                <a:lnTo>
                                  <a:pt x="7651" y="58026"/>
                                </a:lnTo>
                                <a:lnTo>
                                  <a:pt x="9781" y="61213"/>
                                </a:lnTo>
                                <a:lnTo>
                                  <a:pt x="14820" y="64134"/>
                                </a:lnTo>
                                <a:lnTo>
                                  <a:pt x="27698" y="64134"/>
                                </a:lnTo>
                                <a:lnTo>
                                  <a:pt x="32943" y="61213"/>
                                </a:lnTo>
                                <a:lnTo>
                                  <a:pt x="35082" y="58026"/>
                                </a:lnTo>
                                <a:lnTo>
                                  <a:pt x="21208" y="58026"/>
                                </a:lnTo>
                                <a:lnTo>
                                  <a:pt x="15715" y="56402"/>
                                </a:lnTo>
                                <a:lnTo>
                                  <a:pt x="11790" y="51528"/>
                                </a:lnTo>
                                <a:lnTo>
                                  <a:pt x="9434" y="43404"/>
                                </a:lnTo>
                                <a:lnTo>
                                  <a:pt x="8648" y="32029"/>
                                </a:lnTo>
                                <a:lnTo>
                                  <a:pt x="9323" y="22402"/>
                                </a:lnTo>
                                <a:lnTo>
                                  <a:pt x="9443" y="20692"/>
                                </a:lnTo>
                                <a:lnTo>
                                  <a:pt x="11828" y="12592"/>
                                </a:lnTo>
                                <a:lnTo>
                                  <a:pt x="15801" y="7729"/>
                                </a:lnTo>
                                <a:lnTo>
                                  <a:pt x="21361" y="6108"/>
                                </a:lnTo>
                                <a:lnTo>
                                  <a:pt x="35069" y="6108"/>
                                </a:lnTo>
                                <a:lnTo>
                                  <a:pt x="32943" y="2933"/>
                                </a:lnTo>
                                <a:lnTo>
                                  <a:pt x="27774" y="0"/>
                                </a:lnTo>
                                <a:close/>
                              </a:path>
                              <a:path w="122555" h="64135">
                                <a:moveTo>
                                  <a:pt x="35069" y="6108"/>
                                </a:moveTo>
                                <a:lnTo>
                                  <a:pt x="21361" y="6108"/>
                                </a:lnTo>
                                <a:lnTo>
                                  <a:pt x="26958" y="7729"/>
                                </a:lnTo>
                                <a:lnTo>
                                  <a:pt x="30952" y="12592"/>
                                </a:lnTo>
                                <a:lnTo>
                                  <a:pt x="33327" y="20553"/>
                                </a:lnTo>
                                <a:lnTo>
                                  <a:pt x="34124" y="31788"/>
                                </a:lnTo>
                                <a:lnTo>
                                  <a:pt x="33426" y="41694"/>
                                </a:lnTo>
                                <a:lnTo>
                                  <a:pt x="21208" y="58026"/>
                                </a:lnTo>
                                <a:lnTo>
                                  <a:pt x="35082" y="58026"/>
                                </a:lnTo>
                                <a:lnTo>
                                  <a:pt x="40792" y="49517"/>
                                </a:lnTo>
                                <a:lnTo>
                                  <a:pt x="42748" y="41694"/>
                                </a:lnTo>
                                <a:lnTo>
                                  <a:pt x="42748" y="22402"/>
                                </a:lnTo>
                                <a:lnTo>
                                  <a:pt x="40792" y="14655"/>
                                </a:lnTo>
                                <a:lnTo>
                                  <a:pt x="35069" y="6108"/>
                                </a:lnTo>
                                <a:close/>
                              </a:path>
                            </a:pathLst>
                          </a:custGeom>
                          <a:solidFill>
                            <a:srgbClr val="000000"/>
                          </a:solidFill>
                        </wps:spPr>
                        <wps:bodyPr wrap="square" lIns="0" tIns="0" rIns="0" bIns="0" rtlCol="0">
                          <a:prstTxWarp prst="textNoShape">
                            <a:avLst/>
                          </a:prstTxWarp>
                          <a:noAutofit/>
                        </wps:bodyPr>
                      </wps:wsp>
                      <wps:wsp>
                        <wps:cNvPr id="1213" name="Graphic 1213"/>
                        <wps:cNvSpPr/>
                        <wps:spPr>
                          <a:xfrm>
                            <a:off x="507189" y="49305"/>
                            <a:ext cx="1270" cy="56515"/>
                          </a:xfrm>
                          <a:custGeom>
                            <a:avLst/>
                            <a:gdLst/>
                            <a:ahLst/>
                            <a:cxnLst/>
                            <a:rect l="l" t="t" r="r" b="b"/>
                            <a:pathLst>
                              <a:path h="56515">
                                <a:moveTo>
                                  <a:pt x="0" y="0"/>
                                </a:moveTo>
                                <a:lnTo>
                                  <a:pt x="0" y="56349"/>
                                </a:lnTo>
                              </a:path>
                            </a:pathLst>
                          </a:custGeom>
                          <a:ln w="8572">
                            <a:solidFill>
                              <a:srgbClr val="000000"/>
                            </a:solidFill>
                            <a:prstDash val="solid"/>
                          </a:ln>
                        </wps:spPr>
                        <wps:bodyPr wrap="square" lIns="0" tIns="0" rIns="0" bIns="0" rtlCol="0">
                          <a:prstTxWarp prst="textNoShape">
                            <a:avLst/>
                          </a:prstTxWarp>
                          <a:noAutofit/>
                        </wps:bodyPr>
                      </wps:wsp>
                      <wps:wsp>
                        <wps:cNvPr id="1214" name="Graphic 1214"/>
                        <wps:cNvSpPr/>
                        <wps:spPr>
                          <a:xfrm>
                            <a:off x="445728" y="114373"/>
                            <a:ext cx="122555" cy="64769"/>
                          </a:xfrm>
                          <a:custGeom>
                            <a:avLst/>
                            <a:gdLst/>
                            <a:ahLst/>
                            <a:cxnLst/>
                            <a:rect l="l" t="t" r="r" b="b"/>
                            <a:pathLst>
                              <a:path w="122555" h="64769">
                                <a:moveTo>
                                  <a:pt x="109080" y="0"/>
                                </a:moveTo>
                                <a:lnTo>
                                  <a:pt x="97523" y="0"/>
                                </a:lnTo>
                                <a:lnTo>
                                  <a:pt x="91389" y="2920"/>
                                </a:lnTo>
                                <a:lnTo>
                                  <a:pt x="80706" y="29298"/>
                                </a:lnTo>
                                <a:lnTo>
                                  <a:pt x="80643" y="30454"/>
                                </a:lnTo>
                                <a:lnTo>
                                  <a:pt x="80544" y="32270"/>
                                </a:lnTo>
                                <a:lnTo>
                                  <a:pt x="80479" y="43103"/>
                                </a:lnTo>
                                <a:lnTo>
                                  <a:pt x="82310" y="50330"/>
                                </a:lnTo>
                                <a:lnTo>
                                  <a:pt x="82384" y="50622"/>
                                </a:lnTo>
                                <a:lnTo>
                                  <a:pt x="89966" y="61467"/>
                                </a:lnTo>
                                <a:lnTo>
                                  <a:pt x="95249" y="64173"/>
                                </a:lnTo>
                                <a:lnTo>
                                  <a:pt x="107848" y="64173"/>
                                </a:lnTo>
                                <a:lnTo>
                                  <a:pt x="112687" y="62128"/>
                                </a:lnTo>
                                <a:lnTo>
                                  <a:pt x="116461" y="58064"/>
                                </a:lnTo>
                                <a:lnTo>
                                  <a:pt x="98678" y="58064"/>
                                </a:lnTo>
                                <a:lnTo>
                                  <a:pt x="95567" y="56514"/>
                                </a:lnTo>
                                <a:lnTo>
                                  <a:pt x="90868" y="50330"/>
                                </a:lnTo>
                                <a:lnTo>
                                  <a:pt x="89687" y="46227"/>
                                </a:lnTo>
                                <a:lnTo>
                                  <a:pt x="89687" y="37858"/>
                                </a:lnTo>
                                <a:lnTo>
                                  <a:pt x="90931" y="35077"/>
                                </a:lnTo>
                                <a:lnTo>
                                  <a:pt x="95302" y="30987"/>
                                </a:lnTo>
                                <a:lnTo>
                                  <a:pt x="89357" y="30987"/>
                                </a:lnTo>
                                <a:lnTo>
                                  <a:pt x="90331" y="20101"/>
                                </a:lnTo>
                                <a:lnTo>
                                  <a:pt x="93254" y="12322"/>
                                </a:lnTo>
                                <a:lnTo>
                                  <a:pt x="98127" y="7652"/>
                                </a:lnTo>
                                <a:lnTo>
                                  <a:pt x="104952" y="6095"/>
                                </a:lnTo>
                                <a:lnTo>
                                  <a:pt x="119062" y="6095"/>
                                </a:lnTo>
                                <a:lnTo>
                                  <a:pt x="119062" y="2311"/>
                                </a:lnTo>
                                <a:lnTo>
                                  <a:pt x="113626" y="774"/>
                                </a:lnTo>
                                <a:lnTo>
                                  <a:pt x="109080" y="0"/>
                                </a:lnTo>
                                <a:close/>
                              </a:path>
                              <a:path w="122555" h="64769">
                                <a:moveTo>
                                  <a:pt x="117650" y="29298"/>
                                </a:moveTo>
                                <a:lnTo>
                                  <a:pt x="105956" y="29298"/>
                                </a:lnTo>
                                <a:lnTo>
                                  <a:pt x="108838" y="30619"/>
                                </a:lnTo>
                                <a:lnTo>
                                  <a:pt x="112991" y="35902"/>
                                </a:lnTo>
                                <a:lnTo>
                                  <a:pt x="114033" y="39535"/>
                                </a:lnTo>
                                <a:lnTo>
                                  <a:pt x="113939" y="48691"/>
                                </a:lnTo>
                                <a:lnTo>
                                  <a:pt x="112991" y="51777"/>
                                </a:lnTo>
                                <a:lnTo>
                                  <a:pt x="108838" y="56807"/>
                                </a:lnTo>
                                <a:lnTo>
                                  <a:pt x="106057" y="58064"/>
                                </a:lnTo>
                                <a:lnTo>
                                  <a:pt x="116461" y="58064"/>
                                </a:lnTo>
                                <a:lnTo>
                                  <a:pt x="120294" y="53936"/>
                                </a:lnTo>
                                <a:lnTo>
                                  <a:pt x="122212" y="48691"/>
                                </a:lnTo>
                                <a:lnTo>
                                  <a:pt x="122212" y="36804"/>
                                </a:lnTo>
                                <a:lnTo>
                                  <a:pt x="120510" y="32270"/>
                                </a:lnTo>
                                <a:lnTo>
                                  <a:pt x="117650" y="29298"/>
                                </a:lnTo>
                                <a:close/>
                              </a:path>
                              <a:path w="122555" h="64769">
                                <a:moveTo>
                                  <a:pt x="109346" y="23444"/>
                                </a:moveTo>
                                <a:lnTo>
                                  <a:pt x="98120" y="23444"/>
                                </a:lnTo>
                                <a:lnTo>
                                  <a:pt x="93226" y="25963"/>
                                </a:lnTo>
                                <a:lnTo>
                                  <a:pt x="89357" y="30987"/>
                                </a:lnTo>
                                <a:lnTo>
                                  <a:pt x="95302" y="30987"/>
                                </a:lnTo>
                                <a:lnTo>
                                  <a:pt x="95872" y="30454"/>
                                </a:lnTo>
                                <a:lnTo>
                                  <a:pt x="98831" y="29298"/>
                                </a:lnTo>
                                <a:lnTo>
                                  <a:pt x="117650" y="29298"/>
                                </a:lnTo>
                                <a:lnTo>
                                  <a:pt x="113715" y="25209"/>
                                </a:lnTo>
                                <a:lnTo>
                                  <a:pt x="109346" y="23444"/>
                                </a:lnTo>
                                <a:close/>
                              </a:path>
                              <a:path w="122555" h="64769">
                                <a:moveTo>
                                  <a:pt x="119062" y="6095"/>
                                </a:moveTo>
                                <a:lnTo>
                                  <a:pt x="108610" y="6095"/>
                                </a:lnTo>
                                <a:lnTo>
                                  <a:pt x="113309" y="7213"/>
                                </a:lnTo>
                                <a:lnTo>
                                  <a:pt x="119062" y="9410"/>
                                </a:lnTo>
                                <a:lnTo>
                                  <a:pt x="119062" y="6095"/>
                                </a:lnTo>
                                <a:close/>
                              </a:path>
                              <a:path w="122555" h="64769">
                                <a:moveTo>
                                  <a:pt x="66535" y="52450"/>
                                </a:moveTo>
                                <a:lnTo>
                                  <a:pt x="56337" y="52450"/>
                                </a:lnTo>
                                <a:lnTo>
                                  <a:pt x="56337" y="62649"/>
                                </a:lnTo>
                                <a:lnTo>
                                  <a:pt x="66535" y="62649"/>
                                </a:lnTo>
                                <a:lnTo>
                                  <a:pt x="66535" y="52450"/>
                                </a:lnTo>
                                <a:close/>
                              </a:path>
                              <a:path w="122555" h="64769">
                                <a:moveTo>
                                  <a:pt x="27787" y="38"/>
                                </a:moveTo>
                                <a:lnTo>
                                  <a:pt x="14973" y="38"/>
                                </a:lnTo>
                                <a:lnTo>
                                  <a:pt x="9804" y="2971"/>
                                </a:lnTo>
                                <a:lnTo>
                                  <a:pt x="1968" y="14693"/>
                                </a:lnTo>
                                <a:lnTo>
                                  <a:pt x="0" y="22440"/>
                                </a:lnTo>
                                <a:lnTo>
                                  <a:pt x="32" y="41732"/>
                                </a:lnTo>
                                <a:lnTo>
                                  <a:pt x="1955" y="49352"/>
                                </a:lnTo>
                                <a:lnTo>
                                  <a:pt x="7673" y="58064"/>
                                </a:lnTo>
                                <a:lnTo>
                                  <a:pt x="9806" y="61252"/>
                                </a:lnTo>
                                <a:lnTo>
                                  <a:pt x="14833" y="64173"/>
                                </a:lnTo>
                                <a:lnTo>
                                  <a:pt x="27711" y="64173"/>
                                </a:lnTo>
                                <a:lnTo>
                                  <a:pt x="32956" y="61252"/>
                                </a:lnTo>
                                <a:lnTo>
                                  <a:pt x="35092" y="58064"/>
                                </a:lnTo>
                                <a:lnTo>
                                  <a:pt x="21208" y="58064"/>
                                </a:lnTo>
                                <a:lnTo>
                                  <a:pt x="15724" y="56440"/>
                                </a:lnTo>
                                <a:lnTo>
                                  <a:pt x="11807" y="51566"/>
                                </a:lnTo>
                                <a:lnTo>
                                  <a:pt x="9457" y="43442"/>
                                </a:lnTo>
                                <a:lnTo>
                                  <a:pt x="8674" y="32067"/>
                                </a:lnTo>
                                <a:lnTo>
                                  <a:pt x="9347" y="22440"/>
                                </a:lnTo>
                                <a:lnTo>
                                  <a:pt x="9467" y="20725"/>
                                </a:lnTo>
                                <a:lnTo>
                                  <a:pt x="11849" y="12625"/>
                                </a:lnTo>
                                <a:lnTo>
                                  <a:pt x="15821" y="7766"/>
                                </a:lnTo>
                                <a:lnTo>
                                  <a:pt x="21386" y="6146"/>
                                </a:lnTo>
                                <a:lnTo>
                                  <a:pt x="35078" y="6146"/>
                                </a:lnTo>
                                <a:lnTo>
                                  <a:pt x="32956" y="2971"/>
                                </a:lnTo>
                                <a:lnTo>
                                  <a:pt x="27787" y="38"/>
                                </a:lnTo>
                                <a:close/>
                              </a:path>
                              <a:path w="122555" h="64769">
                                <a:moveTo>
                                  <a:pt x="35078" y="6146"/>
                                </a:moveTo>
                                <a:lnTo>
                                  <a:pt x="21386" y="6146"/>
                                </a:lnTo>
                                <a:lnTo>
                                  <a:pt x="26975" y="7766"/>
                                </a:lnTo>
                                <a:lnTo>
                                  <a:pt x="30966" y="12625"/>
                                </a:lnTo>
                                <a:lnTo>
                                  <a:pt x="33340" y="20586"/>
                                </a:lnTo>
                                <a:lnTo>
                                  <a:pt x="34137" y="31813"/>
                                </a:lnTo>
                                <a:lnTo>
                                  <a:pt x="33449" y="41605"/>
                                </a:lnTo>
                                <a:lnTo>
                                  <a:pt x="21208" y="58064"/>
                                </a:lnTo>
                                <a:lnTo>
                                  <a:pt x="35092" y="58064"/>
                                </a:lnTo>
                                <a:lnTo>
                                  <a:pt x="40792" y="49555"/>
                                </a:lnTo>
                                <a:lnTo>
                                  <a:pt x="42760" y="41732"/>
                                </a:lnTo>
                                <a:lnTo>
                                  <a:pt x="42760" y="22440"/>
                                </a:lnTo>
                                <a:lnTo>
                                  <a:pt x="40792" y="14693"/>
                                </a:lnTo>
                                <a:lnTo>
                                  <a:pt x="35078" y="6146"/>
                                </a:lnTo>
                                <a:close/>
                              </a:path>
                            </a:pathLst>
                          </a:custGeom>
                          <a:solidFill>
                            <a:srgbClr val="000000"/>
                          </a:solidFill>
                        </wps:spPr>
                        <wps:bodyPr wrap="square" lIns="0" tIns="0" rIns="0" bIns="0" rtlCol="0">
                          <a:prstTxWarp prst="textNoShape">
                            <a:avLst/>
                          </a:prstTxWarp>
                          <a:noAutofit/>
                        </wps:bodyPr>
                      </wps:wsp>
                      <wps:wsp>
                        <wps:cNvPr id="1215" name="Graphic 1215"/>
                        <wps:cNvSpPr/>
                        <wps:spPr>
                          <a:xfrm>
                            <a:off x="674819" y="49305"/>
                            <a:ext cx="1270" cy="56515"/>
                          </a:xfrm>
                          <a:custGeom>
                            <a:avLst/>
                            <a:gdLst/>
                            <a:ahLst/>
                            <a:cxnLst/>
                            <a:rect l="l" t="t" r="r" b="b"/>
                            <a:pathLst>
                              <a:path h="56515">
                                <a:moveTo>
                                  <a:pt x="0" y="0"/>
                                </a:moveTo>
                                <a:lnTo>
                                  <a:pt x="0" y="56349"/>
                                </a:lnTo>
                              </a:path>
                            </a:pathLst>
                          </a:custGeom>
                          <a:ln w="8572">
                            <a:solidFill>
                              <a:srgbClr val="000000"/>
                            </a:solidFill>
                            <a:prstDash val="solid"/>
                          </a:ln>
                        </wps:spPr>
                        <wps:bodyPr wrap="square" lIns="0" tIns="0" rIns="0" bIns="0" rtlCol="0">
                          <a:prstTxWarp prst="textNoShape">
                            <a:avLst/>
                          </a:prstTxWarp>
                          <a:noAutofit/>
                        </wps:bodyPr>
                      </wps:wsp>
                      <wps:wsp>
                        <wps:cNvPr id="1216" name="Graphic 1216"/>
                        <wps:cNvSpPr/>
                        <wps:spPr>
                          <a:xfrm>
                            <a:off x="613359" y="114369"/>
                            <a:ext cx="123189" cy="64769"/>
                          </a:xfrm>
                          <a:custGeom>
                            <a:avLst/>
                            <a:gdLst/>
                            <a:ahLst/>
                            <a:cxnLst/>
                            <a:rect l="l" t="t" r="r" b="b"/>
                            <a:pathLst>
                              <a:path w="123189" h="64769">
                                <a:moveTo>
                                  <a:pt x="108673" y="0"/>
                                </a:moveTo>
                                <a:lnTo>
                                  <a:pt x="98196" y="0"/>
                                </a:lnTo>
                                <a:lnTo>
                                  <a:pt x="93764" y="1447"/>
                                </a:lnTo>
                                <a:lnTo>
                                  <a:pt x="90398" y="4343"/>
                                </a:lnTo>
                                <a:lnTo>
                                  <a:pt x="87007" y="7226"/>
                                </a:lnTo>
                                <a:lnTo>
                                  <a:pt x="85305" y="10985"/>
                                </a:lnTo>
                                <a:lnTo>
                                  <a:pt x="85305" y="20637"/>
                                </a:lnTo>
                                <a:lnTo>
                                  <a:pt x="88303" y="25234"/>
                                </a:lnTo>
                                <a:lnTo>
                                  <a:pt x="94259" y="29387"/>
                                </a:lnTo>
                                <a:lnTo>
                                  <a:pt x="86182" y="34239"/>
                                </a:lnTo>
                                <a:lnTo>
                                  <a:pt x="82130" y="40309"/>
                                </a:lnTo>
                                <a:lnTo>
                                  <a:pt x="82172" y="52666"/>
                                </a:lnTo>
                                <a:lnTo>
                                  <a:pt x="83985" y="56578"/>
                                </a:lnTo>
                                <a:lnTo>
                                  <a:pt x="91389" y="62661"/>
                                </a:lnTo>
                                <a:lnTo>
                                  <a:pt x="96240" y="64173"/>
                                </a:lnTo>
                                <a:lnTo>
                                  <a:pt x="108343" y="64173"/>
                                </a:lnTo>
                                <a:lnTo>
                                  <a:pt x="113045" y="62661"/>
                                </a:lnTo>
                                <a:lnTo>
                                  <a:pt x="113215" y="62661"/>
                                </a:lnTo>
                                <a:lnTo>
                                  <a:pt x="118746" y="58064"/>
                                </a:lnTo>
                                <a:lnTo>
                                  <a:pt x="98882" y="58064"/>
                                </a:lnTo>
                                <a:lnTo>
                                  <a:pt x="95910" y="56984"/>
                                </a:lnTo>
                                <a:lnTo>
                                  <a:pt x="91389" y="52666"/>
                                </a:lnTo>
                                <a:lnTo>
                                  <a:pt x="90258" y="49847"/>
                                </a:lnTo>
                                <a:lnTo>
                                  <a:pt x="90258" y="43535"/>
                                </a:lnTo>
                                <a:lnTo>
                                  <a:pt x="90855" y="41198"/>
                                </a:lnTo>
                                <a:lnTo>
                                  <a:pt x="93179" y="37426"/>
                                </a:lnTo>
                                <a:lnTo>
                                  <a:pt x="95402" y="35217"/>
                                </a:lnTo>
                                <a:lnTo>
                                  <a:pt x="98678" y="32689"/>
                                </a:lnTo>
                                <a:lnTo>
                                  <a:pt x="115918" y="32689"/>
                                </a:lnTo>
                                <a:lnTo>
                                  <a:pt x="109156" y="29387"/>
                                </a:lnTo>
                                <a:lnTo>
                                  <a:pt x="113138" y="26835"/>
                                </a:lnTo>
                                <a:lnTo>
                                  <a:pt x="104635" y="26835"/>
                                </a:lnTo>
                                <a:lnTo>
                                  <a:pt x="100050" y="24218"/>
                                </a:lnTo>
                                <a:lnTo>
                                  <a:pt x="96926" y="22009"/>
                                </a:lnTo>
                                <a:lnTo>
                                  <a:pt x="93548" y="18402"/>
                                </a:lnTo>
                                <a:lnTo>
                                  <a:pt x="92697" y="16357"/>
                                </a:lnTo>
                                <a:lnTo>
                                  <a:pt x="92697" y="11734"/>
                                </a:lnTo>
                                <a:lnTo>
                                  <a:pt x="93599" y="9906"/>
                                </a:lnTo>
                                <a:lnTo>
                                  <a:pt x="94296" y="9309"/>
                                </a:lnTo>
                                <a:lnTo>
                                  <a:pt x="97338" y="6908"/>
                                </a:lnTo>
                                <a:lnTo>
                                  <a:pt x="99809" y="6146"/>
                                </a:lnTo>
                                <a:lnTo>
                                  <a:pt x="119031" y="6146"/>
                                </a:lnTo>
                                <a:lnTo>
                                  <a:pt x="112737" y="1219"/>
                                </a:lnTo>
                                <a:lnTo>
                                  <a:pt x="108673" y="0"/>
                                </a:lnTo>
                                <a:close/>
                              </a:path>
                              <a:path w="123189" h="64769">
                                <a:moveTo>
                                  <a:pt x="115918" y="32689"/>
                                </a:moveTo>
                                <a:lnTo>
                                  <a:pt x="98678" y="32689"/>
                                </a:lnTo>
                                <a:lnTo>
                                  <a:pt x="108457" y="38481"/>
                                </a:lnTo>
                                <a:lnTo>
                                  <a:pt x="111137" y="40474"/>
                                </a:lnTo>
                                <a:lnTo>
                                  <a:pt x="113918" y="43751"/>
                                </a:lnTo>
                                <a:lnTo>
                                  <a:pt x="114617" y="45758"/>
                                </a:lnTo>
                                <a:lnTo>
                                  <a:pt x="114617" y="51066"/>
                                </a:lnTo>
                                <a:lnTo>
                                  <a:pt x="113499" y="53454"/>
                                </a:lnTo>
                                <a:lnTo>
                                  <a:pt x="109004" y="57150"/>
                                </a:lnTo>
                                <a:lnTo>
                                  <a:pt x="106108" y="58064"/>
                                </a:lnTo>
                                <a:lnTo>
                                  <a:pt x="118746" y="58064"/>
                                </a:lnTo>
                                <a:lnTo>
                                  <a:pt x="121069" y="56134"/>
                                </a:lnTo>
                                <a:lnTo>
                                  <a:pt x="122986" y="51955"/>
                                </a:lnTo>
                                <a:lnTo>
                                  <a:pt x="122986" y="39712"/>
                                </a:lnTo>
                                <a:lnTo>
                                  <a:pt x="118389" y="33896"/>
                                </a:lnTo>
                                <a:lnTo>
                                  <a:pt x="115918" y="32689"/>
                                </a:lnTo>
                                <a:close/>
                              </a:path>
                              <a:path w="123189" h="64769">
                                <a:moveTo>
                                  <a:pt x="119011" y="6146"/>
                                </a:moveTo>
                                <a:lnTo>
                                  <a:pt x="105917" y="6146"/>
                                </a:lnTo>
                                <a:lnTo>
                                  <a:pt x="108432" y="6908"/>
                                </a:lnTo>
                                <a:lnTo>
                                  <a:pt x="112217" y="9906"/>
                                </a:lnTo>
                                <a:lnTo>
                                  <a:pt x="113102" y="11734"/>
                                </a:lnTo>
                                <a:lnTo>
                                  <a:pt x="113169" y="18923"/>
                                </a:lnTo>
                                <a:lnTo>
                                  <a:pt x="110312" y="23088"/>
                                </a:lnTo>
                                <a:lnTo>
                                  <a:pt x="104635" y="26835"/>
                                </a:lnTo>
                                <a:lnTo>
                                  <a:pt x="113138" y="26835"/>
                                </a:lnTo>
                                <a:lnTo>
                                  <a:pt x="116763" y="24511"/>
                                </a:lnTo>
                                <a:lnTo>
                                  <a:pt x="120561" y="19126"/>
                                </a:lnTo>
                                <a:lnTo>
                                  <a:pt x="120561" y="9309"/>
                                </a:lnTo>
                                <a:lnTo>
                                  <a:pt x="119011" y="6146"/>
                                </a:lnTo>
                                <a:close/>
                              </a:path>
                              <a:path w="123189" h="64769">
                                <a:moveTo>
                                  <a:pt x="66535" y="52463"/>
                                </a:moveTo>
                                <a:lnTo>
                                  <a:pt x="56337" y="52463"/>
                                </a:lnTo>
                                <a:lnTo>
                                  <a:pt x="56337" y="62661"/>
                                </a:lnTo>
                                <a:lnTo>
                                  <a:pt x="66535" y="62661"/>
                                </a:lnTo>
                                <a:lnTo>
                                  <a:pt x="66535" y="52463"/>
                                </a:lnTo>
                                <a:close/>
                              </a:path>
                              <a:path w="123189" h="64769">
                                <a:moveTo>
                                  <a:pt x="27800" y="38"/>
                                </a:moveTo>
                                <a:lnTo>
                                  <a:pt x="14973" y="38"/>
                                </a:lnTo>
                                <a:lnTo>
                                  <a:pt x="9804" y="2971"/>
                                </a:lnTo>
                                <a:lnTo>
                                  <a:pt x="1968" y="14693"/>
                                </a:lnTo>
                                <a:lnTo>
                                  <a:pt x="0" y="22440"/>
                                </a:lnTo>
                                <a:lnTo>
                                  <a:pt x="28" y="41732"/>
                                </a:lnTo>
                                <a:lnTo>
                                  <a:pt x="1955" y="49352"/>
                                </a:lnTo>
                                <a:lnTo>
                                  <a:pt x="7673" y="58064"/>
                                </a:lnTo>
                                <a:lnTo>
                                  <a:pt x="9828" y="61264"/>
                                </a:lnTo>
                                <a:lnTo>
                                  <a:pt x="14833" y="64173"/>
                                </a:lnTo>
                                <a:lnTo>
                                  <a:pt x="27711" y="64173"/>
                                </a:lnTo>
                                <a:lnTo>
                                  <a:pt x="32956" y="61264"/>
                                </a:lnTo>
                                <a:lnTo>
                                  <a:pt x="35098" y="58064"/>
                                </a:lnTo>
                                <a:lnTo>
                                  <a:pt x="21208" y="58064"/>
                                </a:lnTo>
                                <a:lnTo>
                                  <a:pt x="15724" y="56440"/>
                                </a:lnTo>
                                <a:lnTo>
                                  <a:pt x="11807" y="51566"/>
                                </a:lnTo>
                                <a:lnTo>
                                  <a:pt x="9457" y="43442"/>
                                </a:lnTo>
                                <a:lnTo>
                                  <a:pt x="8674" y="32067"/>
                                </a:lnTo>
                                <a:lnTo>
                                  <a:pt x="9349" y="22440"/>
                                </a:lnTo>
                                <a:lnTo>
                                  <a:pt x="9469" y="20730"/>
                                </a:lnTo>
                                <a:lnTo>
                                  <a:pt x="11853" y="12630"/>
                                </a:lnTo>
                                <a:lnTo>
                                  <a:pt x="15826" y="7768"/>
                                </a:lnTo>
                                <a:lnTo>
                                  <a:pt x="21386" y="6146"/>
                                </a:lnTo>
                                <a:lnTo>
                                  <a:pt x="35078" y="6146"/>
                                </a:lnTo>
                                <a:lnTo>
                                  <a:pt x="32956" y="2971"/>
                                </a:lnTo>
                                <a:lnTo>
                                  <a:pt x="27800" y="38"/>
                                </a:lnTo>
                                <a:close/>
                              </a:path>
                              <a:path w="123189" h="64769">
                                <a:moveTo>
                                  <a:pt x="35078" y="6146"/>
                                </a:moveTo>
                                <a:lnTo>
                                  <a:pt x="21386" y="6146"/>
                                </a:lnTo>
                                <a:lnTo>
                                  <a:pt x="26976" y="7768"/>
                                </a:lnTo>
                                <a:lnTo>
                                  <a:pt x="30967" y="12630"/>
                                </a:lnTo>
                                <a:lnTo>
                                  <a:pt x="33340" y="20591"/>
                                </a:lnTo>
                                <a:lnTo>
                                  <a:pt x="34137" y="31826"/>
                                </a:lnTo>
                                <a:lnTo>
                                  <a:pt x="33441" y="41732"/>
                                </a:lnTo>
                                <a:lnTo>
                                  <a:pt x="21208" y="58064"/>
                                </a:lnTo>
                                <a:lnTo>
                                  <a:pt x="35098" y="58064"/>
                                </a:lnTo>
                                <a:lnTo>
                                  <a:pt x="40792" y="49555"/>
                                </a:lnTo>
                                <a:lnTo>
                                  <a:pt x="42760" y="41732"/>
                                </a:lnTo>
                                <a:lnTo>
                                  <a:pt x="42760" y="22440"/>
                                </a:lnTo>
                                <a:lnTo>
                                  <a:pt x="40792" y="14693"/>
                                </a:lnTo>
                                <a:lnTo>
                                  <a:pt x="35078" y="6146"/>
                                </a:lnTo>
                                <a:close/>
                              </a:path>
                            </a:pathLst>
                          </a:custGeom>
                          <a:solidFill>
                            <a:srgbClr val="000000"/>
                          </a:solidFill>
                        </wps:spPr>
                        <wps:bodyPr wrap="square" lIns="0" tIns="0" rIns="0" bIns="0" rtlCol="0">
                          <a:prstTxWarp prst="textNoShape">
                            <a:avLst/>
                          </a:prstTxWarp>
                          <a:noAutofit/>
                        </wps:bodyPr>
                      </wps:wsp>
                      <wps:wsp>
                        <wps:cNvPr id="1217" name="Graphic 1217"/>
                        <wps:cNvSpPr/>
                        <wps:spPr>
                          <a:xfrm>
                            <a:off x="842449" y="49305"/>
                            <a:ext cx="1270" cy="56515"/>
                          </a:xfrm>
                          <a:custGeom>
                            <a:avLst/>
                            <a:gdLst/>
                            <a:ahLst/>
                            <a:cxnLst/>
                            <a:rect l="l" t="t" r="r" b="b"/>
                            <a:pathLst>
                              <a:path h="56515">
                                <a:moveTo>
                                  <a:pt x="0" y="0"/>
                                </a:moveTo>
                                <a:lnTo>
                                  <a:pt x="0" y="56349"/>
                                </a:lnTo>
                              </a:path>
                            </a:pathLst>
                          </a:custGeom>
                          <a:ln w="8572">
                            <a:solidFill>
                              <a:srgbClr val="000000"/>
                            </a:solidFill>
                            <a:prstDash val="solid"/>
                          </a:ln>
                        </wps:spPr>
                        <wps:bodyPr wrap="square" lIns="0" tIns="0" rIns="0" bIns="0" rtlCol="0">
                          <a:prstTxWarp prst="textNoShape">
                            <a:avLst/>
                          </a:prstTxWarp>
                          <a:noAutofit/>
                        </wps:bodyPr>
                      </wps:wsp>
                      <wps:wsp>
                        <wps:cNvPr id="1218" name="Graphic 1218"/>
                        <wps:cNvSpPr/>
                        <wps:spPr>
                          <a:xfrm>
                            <a:off x="801720" y="114413"/>
                            <a:ext cx="33020" cy="62865"/>
                          </a:xfrm>
                          <a:custGeom>
                            <a:avLst/>
                            <a:gdLst/>
                            <a:ahLst/>
                            <a:cxnLst/>
                            <a:rect l="l" t="t" r="r" b="b"/>
                            <a:pathLst>
                              <a:path w="33020" h="62865">
                                <a:moveTo>
                                  <a:pt x="20370" y="0"/>
                                </a:moveTo>
                                <a:lnTo>
                                  <a:pt x="0" y="5079"/>
                                </a:lnTo>
                                <a:lnTo>
                                  <a:pt x="0" y="11341"/>
                                </a:lnTo>
                                <a:lnTo>
                                  <a:pt x="12217" y="8293"/>
                                </a:lnTo>
                                <a:lnTo>
                                  <a:pt x="12217" y="56502"/>
                                </a:lnTo>
                                <a:lnTo>
                                  <a:pt x="0" y="56502"/>
                                </a:lnTo>
                                <a:lnTo>
                                  <a:pt x="0" y="62610"/>
                                </a:lnTo>
                                <a:lnTo>
                                  <a:pt x="32600" y="62610"/>
                                </a:lnTo>
                                <a:lnTo>
                                  <a:pt x="32600" y="56502"/>
                                </a:lnTo>
                                <a:lnTo>
                                  <a:pt x="20370" y="56502"/>
                                </a:lnTo>
                                <a:lnTo>
                                  <a:pt x="20370" y="0"/>
                                </a:lnTo>
                                <a:close/>
                              </a:path>
                            </a:pathLst>
                          </a:custGeom>
                          <a:solidFill>
                            <a:srgbClr val="000000"/>
                          </a:solidFill>
                        </wps:spPr>
                        <wps:bodyPr wrap="square" lIns="0" tIns="0" rIns="0" bIns="0" rtlCol="0">
                          <a:prstTxWarp prst="textNoShape">
                            <a:avLst/>
                          </a:prstTxWarp>
                          <a:noAutofit/>
                        </wps:bodyPr>
                      </wps:wsp>
                      <wps:wsp>
                        <wps:cNvPr id="1219" name="Graphic 1219"/>
                        <wps:cNvSpPr/>
                        <wps:spPr>
                          <a:xfrm>
                            <a:off x="1558413" y="21132"/>
                            <a:ext cx="130810" cy="1270"/>
                          </a:xfrm>
                          <a:custGeom>
                            <a:avLst/>
                            <a:gdLst/>
                            <a:ahLst/>
                            <a:cxnLst/>
                            <a:rect l="l" t="t" r="r" b="b"/>
                            <a:pathLst>
                              <a:path w="130810">
                                <a:moveTo>
                                  <a:pt x="0" y="0"/>
                                </a:moveTo>
                                <a:lnTo>
                                  <a:pt x="130505" y="0"/>
                                </a:lnTo>
                              </a:path>
                            </a:pathLst>
                          </a:custGeom>
                          <a:ln w="8572">
                            <a:solidFill>
                              <a:srgbClr val="000000"/>
                            </a:solidFill>
                            <a:prstDash val="solid"/>
                          </a:ln>
                        </wps:spPr>
                        <wps:bodyPr wrap="square" lIns="0" tIns="0" rIns="0" bIns="0" rtlCol="0">
                          <a:prstTxWarp prst="textNoShape">
                            <a:avLst/>
                          </a:prstTxWarp>
                          <a:noAutofit/>
                        </wps:bodyPr>
                      </wps:wsp>
                      <wps:wsp>
                        <wps:cNvPr id="1220" name="Graphic 1220"/>
                        <wps:cNvSpPr/>
                        <wps:spPr>
                          <a:xfrm>
                            <a:off x="1611933"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s:wsp>
                        <wps:cNvPr id="1221" name="Graphic 1221"/>
                        <wps:cNvSpPr/>
                        <wps:spPr>
                          <a:xfrm>
                            <a:off x="919927" y="49305"/>
                            <a:ext cx="838200" cy="56515"/>
                          </a:xfrm>
                          <a:custGeom>
                            <a:avLst/>
                            <a:gdLst/>
                            <a:ahLst/>
                            <a:cxnLst/>
                            <a:rect l="l" t="t" r="r" b="b"/>
                            <a:pathLst>
                              <a:path w="838200" h="56515">
                                <a:moveTo>
                                  <a:pt x="0" y="0"/>
                                </a:moveTo>
                                <a:lnTo>
                                  <a:pt x="0" y="56349"/>
                                </a:lnTo>
                              </a:path>
                              <a:path w="838200" h="56515">
                                <a:moveTo>
                                  <a:pt x="0" y="28168"/>
                                </a:moveTo>
                                <a:lnTo>
                                  <a:pt x="838161" y="28168"/>
                                </a:lnTo>
                              </a:path>
                            </a:pathLst>
                          </a:custGeom>
                          <a:ln w="8572">
                            <a:solidFill>
                              <a:srgbClr val="000000"/>
                            </a:solidFill>
                            <a:prstDash val="solid"/>
                          </a:ln>
                        </wps:spPr>
                        <wps:bodyPr wrap="square" lIns="0" tIns="0" rIns="0" bIns="0" rtlCol="0">
                          <a:prstTxWarp prst="textNoShape">
                            <a:avLst/>
                          </a:prstTxWarp>
                          <a:noAutofit/>
                        </wps:bodyPr>
                      </wps:wsp>
                      <wps:wsp>
                        <wps:cNvPr id="1222" name="Graphic 1222"/>
                        <wps:cNvSpPr/>
                        <wps:spPr>
                          <a:xfrm>
                            <a:off x="925296" y="114409"/>
                            <a:ext cx="43180" cy="64135"/>
                          </a:xfrm>
                          <a:custGeom>
                            <a:avLst/>
                            <a:gdLst/>
                            <a:ahLst/>
                            <a:cxnLst/>
                            <a:rect l="l" t="t" r="r" b="b"/>
                            <a:pathLst>
                              <a:path w="43180" h="64135">
                                <a:moveTo>
                                  <a:pt x="27787" y="0"/>
                                </a:moveTo>
                                <a:lnTo>
                                  <a:pt x="14960" y="0"/>
                                </a:lnTo>
                                <a:lnTo>
                                  <a:pt x="9804" y="2933"/>
                                </a:lnTo>
                                <a:lnTo>
                                  <a:pt x="1955" y="14655"/>
                                </a:lnTo>
                                <a:lnTo>
                                  <a:pt x="0" y="22402"/>
                                </a:lnTo>
                                <a:lnTo>
                                  <a:pt x="28" y="41694"/>
                                </a:lnTo>
                                <a:lnTo>
                                  <a:pt x="1943" y="49314"/>
                                </a:lnTo>
                                <a:lnTo>
                                  <a:pt x="7661" y="58026"/>
                                </a:lnTo>
                                <a:lnTo>
                                  <a:pt x="9793" y="61213"/>
                                </a:lnTo>
                                <a:lnTo>
                                  <a:pt x="14820" y="64134"/>
                                </a:lnTo>
                                <a:lnTo>
                                  <a:pt x="27711" y="64134"/>
                                </a:lnTo>
                                <a:lnTo>
                                  <a:pt x="32956" y="61213"/>
                                </a:lnTo>
                                <a:lnTo>
                                  <a:pt x="35092" y="58026"/>
                                </a:lnTo>
                                <a:lnTo>
                                  <a:pt x="21209" y="58026"/>
                                </a:lnTo>
                                <a:lnTo>
                                  <a:pt x="15722" y="56402"/>
                                </a:lnTo>
                                <a:lnTo>
                                  <a:pt x="11801" y="51528"/>
                                </a:lnTo>
                                <a:lnTo>
                                  <a:pt x="9446" y="43404"/>
                                </a:lnTo>
                                <a:lnTo>
                                  <a:pt x="8661" y="32029"/>
                                </a:lnTo>
                                <a:lnTo>
                                  <a:pt x="9336" y="22402"/>
                                </a:lnTo>
                                <a:lnTo>
                                  <a:pt x="9456" y="20692"/>
                                </a:lnTo>
                                <a:lnTo>
                                  <a:pt x="11841" y="12592"/>
                                </a:lnTo>
                                <a:lnTo>
                                  <a:pt x="15814" y="7729"/>
                                </a:lnTo>
                                <a:lnTo>
                                  <a:pt x="21374" y="6108"/>
                                </a:lnTo>
                                <a:lnTo>
                                  <a:pt x="35078" y="6108"/>
                                </a:lnTo>
                                <a:lnTo>
                                  <a:pt x="32956" y="2933"/>
                                </a:lnTo>
                                <a:lnTo>
                                  <a:pt x="27787" y="0"/>
                                </a:lnTo>
                                <a:close/>
                              </a:path>
                              <a:path w="43180" h="64135">
                                <a:moveTo>
                                  <a:pt x="35078" y="6108"/>
                                </a:moveTo>
                                <a:lnTo>
                                  <a:pt x="21374" y="6108"/>
                                </a:lnTo>
                                <a:lnTo>
                                  <a:pt x="26971" y="7729"/>
                                </a:lnTo>
                                <a:lnTo>
                                  <a:pt x="30965" y="12592"/>
                                </a:lnTo>
                                <a:lnTo>
                                  <a:pt x="33339" y="20553"/>
                                </a:lnTo>
                                <a:lnTo>
                                  <a:pt x="34137" y="31788"/>
                                </a:lnTo>
                                <a:lnTo>
                                  <a:pt x="33439" y="41694"/>
                                </a:lnTo>
                                <a:lnTo>
                                  <a:pt x="33328" y="43270"/>
                                </a:lnTo>
                                <a:lnTo>
                                  <a:pt x="31540" y="49314"/>
                                </a:lnTo>
                                <a:lnTo>
                                  <a:pt x="30854" y="51528"/>
                                </a:lnTo>
                                <a:lnTo>
                                  <a:pt x="26811" y="56402"/>
                                </a:lnTo>
                                <a:lnTo>
                                  <a:pt x="21209" y="58026"/>
                                </a:lnTo>
                                <a:lnTo>
                                  <a:pt x="35092" y="58026"/>
                                </a:lnTo>
                                <a:lnTo>
                                  <a:pt x="40792" y="49517"/>
                                </a:lnTo>
                                <a:lnTo>
                                  <a:pt x="42748" y="41694"/>
                                </a:lnTo>
                                <a:lnTo>
                                  <a:pt x="42748" y="22402"/>
                                </a:lnTo>
                                <a:lnTo>
                                  <a:pt x="40792" y="14655"/>
                                </a:lnTo>
                                <a:lnTo>
                                  <a:pt x="35078" y="6108"/>
                                </a:lnTo>
                                <a:close/>
                              </a:path>
                            </a:pathLst>
                          </a:custGeom>
                          <a:solidFill>
                            <a:srgbClr val="000000"/>
                          </a:solidFill>
                        </wps:spPr>
                        <wps:bodyPr wrap="square" lIns="0" tIns="0" rIns="0" bIns="0" rtlCol="0">
                          <a:prstTxWarp prst="textNoShape">
                            <a:avLst/>
                          </a:prstTxWarp>
                          <a:noAutofit/>
                        </wps:bodyPr>
                      </wps:wsp>
                      <wps:wsp>
                        <wps:cNvPr id="1223" name="Graphic 1223"/>
                        <wps:cNvSpPr/>
                        <wps:spPr>
                          <a:xfrm>
                            <a:off x="1087556" y="49305"/>
                            <a:ext cx="1270" cy="56515"/>
                          </a:xfrm>
                          <a:custGeom>
                            <a:avLst/>
                            <a:gdLst/>
                            <a:ahLst/>
                            <a:cxnLst/>
                            <a:rect l="l" t="t" r="r" b="b"/>
                            <a:pathLst>
                              <a:path h="56515">
                                <a:moveTo>
                                  <a:pt x="0" y="0"/>
                                </a:moveTo>
                                <a:lnTo>
                                  <a:pt x="0" y="56349"/>
                                </a:lnTo>
                              </a:path>
                            </a:pathLst>
                          </a:custGeom>
                          <a:ln w="8572">
                            <a:solidFill>
                              <a:srgbClr val="000000"/>
                            </a:solidFill>
                            <a:prstDash val="solid"/>
                          </a:ln>
                        </wps:spPr>
                        <wps:bodyPr wrap="square" lIns="0" tIns="0" rIns="0" bIns="0" rtlCol="0">
                          <a:prstTxWarp prst="textNoShape">
                            <a:avLst/>
                          </a:prstTxWarp>
                          <a:noAutofit/>
                        </wps:bodyPr>
                      </wps:wsp>
                      <wps:wsp>
                        <wps:cNvPr id="1224" name="Graphic 1224"/>
                        <wps:cNvSpPr/>
                        <wps:spPr>
                          <a:xfrm>
                            <a:off x="1026120" y="114413"/>
                            <a:ext cx="118745" cy="64135"/>
                          </a:xfrm>
                          <a:custGeom>
                            <a:avLst/>
                            <a:gdLst/>
                            <a:ahLst/>
                            <a:cxnLst/>
                            <a:rect l="l" t="t" r="r" b="b"/>
                            <a:pathLst>
                              <a:path w="118745" h="64135">
                                <a:moveTo>
                                  <a:pt x="114940" y="6108"/>
                                </a:moveTo>
                                <a:lnTo>
                                  <a:pt x="101917" y="6108"/>
                                </a:lnTo>
                                <a:lnTo>
                                  <a:pt x="104724" y="7086"/>
                                </a:lnTo>
                                <a:lnTo>
                                  <a:pt x="108835" y="11023"/>
                                </a:lnTo>
                                <a:lnTo>
                                  <a:pt x="109842" y="13677"/>
                                </a:lnTo>
                                <a:lnTo>
                                  <a:pt x="109842" y="22428"/>
                                </a:lnTo>
                                <a:lnTo>
                                  <a:pt x="106857" y="27800"/>
                                </a:lnTo>
                                <a:lnTo>
                                  <a:pt x="96189" y="37388"/>
                                </a:lnTo>
                                <a:lnTo>
                                  <a:pt x="88976" y="43916"/>
                                </a:lnTo>
                                <a:lnTo>
                                  <a:pt x="84200" y="49936"/>
                                </a:lnTo>
                                <a:lnTo>
                                  <a:pt x="81826" y="55473"/>
                                </a:lnTo>
                                <a:lnTo>
                                  <a:pt x="81826" y="62610"/>
                                </a:lnTo>
                                <a:lnTo>
                                  <a:pt x="118186" y="62610"/>
                                </a:lnTo>
                                <a:lnTo>
                                  <a:pt x="118186" y="55473"/>
                                </a:lnTo>
                                <a:lnTo>
                                  <a:pt x="91643" y="55473"/>
                                </a:lnTo>
                                <a:lnTo>
                                  <a:pt x="92671" y="50431"/>
                                </a:lnTo>
                                <a:lnTo>
                                  <a:pt x="96431" y="45148"/>
                                </a:lnTo>
                                <a:lnTo>
                                  <a:pt x="110858" y="32892"/>
                                </a:lnTo>
                                <a:lnTo>
                                  <a:pt x="114109" y="29451"/>
                                </a:lnTo>
                                <a:lnTo>
                                  <a:pt x="117601" y="23787"/>
                                </a:lnTo>
                                <a:lnTo>
                                  <a:pt x="118478" y="20535"/>
                                </a:lnTo>
                                <a:lnTo>
                                  <a:pt x="118478" y="11798"/>
                                </a:lnTo>
                                <a:lnTo>
                                  <a:pt x="116754" y="7746"/>
                                </a:lnTo>
                                <a:lnTo>
                                  <a:pt x="114940" y="6108"/>
                                </a:lnTo>
                                <a:close/>
                              </a:path>
                              <a:path w="118745" h="64135">
                                <a:moveTo>
                                  <a:pt x="105219" y="0"/>
                                </a:moveTo>
                                <a:lnTo>
                                  <a:pt x="94157" y="0"/>
                                </a:lnTo>
                                <a:lnTo>
                                  <a:pt x="88772" y="1282"/>
                                </a:lnTo>
                                <a:lnTo>
                                  <a:pt x="83350" y="3835"/>
                                </a:lnTo>
                                <a:lnTo>
                                  <a:pt x="83350" y="11023"/>
                                </a:lnTo>
                                <a:lnTo>
                                  <a:pt x="89103" y="7746"/>
                                </a:lnTo>
                                <a:lnTo>
                                  <a:pt x="94106" y="6108"/>
                                </a:lnTo>
                                <a:lnTo>
                                  <a:pt x="114940" y="6108"/>
                                </a:lnTo>
                                <a:lnTo>
                                  <a:pt x="109804" y="1536"/>
                                </a:lnTo>
                                <a:lnTo>
                                  <a:pt x="105219" y="0"/>
                                </a:lnTo>
                                <a:close/>
                              </a:path>
                              <a:path w="118745" h="64135">
                                <a:moveTo>
                                  <a:pt x="66522" y="52412"/>
                                </a:moveTo>
                                <a:lnTo>
                                  <a:pt x="56324" y="52412"/>
                                </a:lnTo>
                                <a:lnTo>
                                  <a:pt x="56324" y="62610"/>
                                </a:lnTo>
                                <a:lnTo>
                                  <a:pt x="66522" y="62610"/>
                                </a:lnTo>
                                <a:lnTo>
                                  <a:pt x="66522" y="52412"/>
                                </a:lnTo>
                                <a:close/>
                              </a:path>
                              <a:path w="118745" h="64135">
                                <a:moveTo>
                                  <a:pt x="9314" y="41694"/>
                                </a:moveTo>
                                <a:lnTo>
                                  <a:pt x="31" y="41694"/>
                                </a:lnTo>
                                <a:lnTo>
                                  <a:pt x="1930" y="49314"/>
                                </a:lnTo>
                                <a:lnTo>
                                  <a:pt x="7648" y="58026"/>
                                </a:lnTo>
                                <a:lnTo>
                                  <a:pt x="9781" y="61213"/>
                                </a:lnTo>
                                <a:lnTo>
                                  <a:pt x="14820" y="64134"/>
                                </a:lnTo>
                                <a:lnTo>
                                  <a:pt x="27685" y="64134"/>
                                </a:lnTo>
                                <a:lnTo>
                                  <a:pt x="32943" y="61213"/>
                                </a:lnTo>
                                <a:lnTo>
                                  <a:pt x="35082" y="58026"/>
                                </a:lnTo>
                                <a:lnTo>
                                  <a:pt x="21208" y="58026"/>
                                </a:lnTo>
                                <a:lnTo>
                                  <a:pt x="15710" y="56402"/>
                                </a:lnTo>
                                <a:lnTo>
                                  <a:pt x="11785" y="51528"/>
                                </a:lnTo>
                                <a:lnTo>
                                  <a:pt x="9432" y="43404"/>
                                </a:lnTo>
                                <a:lnTo>
                                  <a:pt x="9314" y="41694"/>
                                </a:lnTo>
                                <a:close/>
                              </a:path>
                              <a:path w="118745" h="64135">
                                <a:moveTo>
                                  <a:pt x="42748" y="41694"/>
                                </a:moveTo>
                                <a:lnTo>
                                  <a:pt x="33415" y="41694"/>
                                </a:lnTo>
                                <a:lnTo>
                                  <a:pt x="33305" y="43260"/>
                                </a:lnTo>
                                <a:lnTo>
                                  <a:pt x="31518" y="49314"/>
                                </a:lnTo>
                                <a:lnTo>
                                  <a:pt x="30831" y="51528"/>
                                </a:lnTo>
                                <a:lnTo>
                                  <a:pt x="26795" y="56402"/>
                                </a:lnTo>
                                <a:lnTo>
                                  <a:pt x="21208" y="58026"/>
                                </a:lnTo>
                                <a:lnTo>
                                  <a:pt x="35082" y="58026"/>
                                </a:lnTo>
                                <a:lnTo>
                                  <a:pt x="40792" y="49517"/>
                                </a:lnTo>
                                <a:lnTo>
                                  <a:pt x="42748" y="41694"/>
                                </a:lnTo>
                                <a:close/>
                              </a:path>
                              <a:path w="118745" h="64135">
                                <a:moveTo>
                                  <a:pt x="27774" y="0"/>
                                </a:moveTo>
                                <a:lnTo>
                                  <a:pt x="14947" y="0"/>
                                </a:lnTo>
                                <a:lnTo>
                                  <a:pt x="9791" y="2933"/>
                                </a:lnTo>
                                <a:lnTo>
                                  <a:pt x="1955" y="14655"/>
                                </a:lnTo>
                                <a:lnTo>
                                  <a:pt x="0" y="22390"/>
                                </a:lnTo>
                                <a:lnTo>
                                  <a:pt x="0" y="41567"/>
                                </a:lnTo>
                                <a:lnTo>
                                  <a:pt x="9305" y="41567"/>
                                </a:lnTo>
                                <a:lnTo>
                                  <a:pt x="8648" y="32029"/>
                                </a:lnTo>
                                <a:lnTo>
                                  <a:pt x="9324" y="22390"/>
                                </a:lnTo>
                                <a:lnTo>
                                  <a:pt x="9443" y="20687"/>
                                </a:lnTo>
                                <a:lnTo>
                                  <a:pt x="11828" y="12587"/>
                                </a:lnTo>
                                <a:lnTo>
                                  <a:pt x="15801" y="7728"/>
                                </a:lnTo>
                                <a:lnTo>
                                  <a:pt x="21361" y="6108"/>
                                </a:lnTo>
                                <a:lnTo>
                                  <a:pt x="35069" y="6108"/>
                                </a:lnTo>
                                <a:lnTo>
                                  <a:pt x="32943" y="2933"/>
                                </a:lnTo>
                                <a:lnTo>
                                  <a:pt x="27774" y="0"/>
                                </a:lnTo>
                                <a:close/>
                              </a:path>
                              <a:path w="118745" h="64135">
                                <a:moveTo>
                                  <a:pt x="35069" y="6108"/>
                                </a:moveTo>
                                <a:lnTo>
                                  <a:pt x="21361" y="6108"/>
                                </a:lnTo>
                                <a:lnTo>
                                  <a:pt x="26955" y="7728"/>
                                </a:lnTo>
                                <a:lnTo>
                                  <a:pt x="30945" y="12587"/>
                                </a:lnTo>
                                <a:lnTo>
                                  <a:pt x="33316" y="20548"/>
                                </a:lnTo>
                                <a:lnTo>
                                  <a:pt x="34112" y="31775"/>
                                </a:lnTo>
                                <a:lnTo>
                                  <a:pt x="33424" y="41567"/>
                                </a:lnTo>
                                <a:lnTo>
                                  <a:pt x="42748" y="41567"/>
                                </a:lnTo>
                                <a:lnTo>
                                  <a:pt x="42748" y="22390"/>
                                </a:lnTo>
                                <a:lnTo>
                                  <a:pt x="40792" y="14655"/>
                                </a:lnTo>
                                <a:lnTo>
                                  <a:pt x="35069" y="6108"/>
                                </a:lnTo>
                                <a:close/>
                              </a:path>
                            </a:pathLst>
                          </a:custGeom>
                          <a:solidFill>
                            <a:srgbClr val="000000"/>
                          </a:solidFill>
                        </wps:spPr>
                        <wps:bodyPr wrap="square" lIns="0" tIns="0" rIns="0" bIns="0" rtlCol="0">
                          <a:prstTxWarp prst="textNoShape">
                            <a:avLst/>
                          </a:prstTxWarp>
                          <a:noAutofit/>
                        </wps:bodyPr>
                      </wps:wsp>
                      <wps:wsp>
                        <wps:cNvPr id="1225" name="Graphic 1225"/>
                        <wps:cNvSpPr/>
                        <wps:spPr>
                          <a:xfrm>
                            <a:off x="1255186" y="49305"/>
                            <a:ext cx="1270" cy="56515"/>
                          </a:xfrm>
                          <a:custGeom>
                            <a:avLst/>
                            <a:gdLst/>
                            <a:ahLst/>
                            <a:cxnLst/>
                            <a:rect l="l" t="t" r="r" b="b"/>
                            <a:pathLst>
                              <a:path h="56515">
                                <a:moveTo>
                                  <a:pt x="0" y="0"/>
                                </a:moveTo>
                                <a:lnTo>
                                  <a:pt x="0" y="56349"/>
                                </a:lnTo>
                              </a:path>
                            </a:pathLst>
                          </a:custGeom>
                          <a:ln w="8572">
                            <a:solidFill>
                              <a:srgbClr val="000000"/>
                            </a:solidFill>
                            <a:prstDash val="solid"/>
                          </a:ln>
                        </wps:spPr>
                        <wps:bodyPr wrap="square" lIns="0" tIns="0" rIns="0" bIns="0" rtlCol="0">
                          <a:prstTxWarp prst="textNoShape">
                            <a:avLst/>
                          </a:prstTxWarp>
                          <a:noAutofit/>
                        </wps:bodyPr>
                      </wps:wsp>
                      <wps:wsp>
                        <wps:cNvPr id="1226" name="Graphic 1226"/>
                        <wps:cNvSpPr/>
                        <wps:spPr>
                          <a:xfrm>
                            <a:off x="1193751" y="114409"/>
                            <a:ext cx="122555" cy="64135"/>
                          </a:xfrm>
                          <a:custGeom>
                            <a:avLst/>
                            <a:gdLst/>
                            <a:ahLst/>
                            <a:cxnLst/>
                            <a:rect l="l" t="t" r="r" b="b"/>
                            <a:pathLst>
                              <a:path w="122555" h="64135">
                                <a:moveTo>
                                  <a:pt x="114274" y="45313"/>
                                </a:moveTo>
                                <a:lnTo>
                                  <a:pt x="106629" y="45313"/>
                                </a:lnTo>
                                <a:lnTo>
                                  <a:pt x="106629" y="62610"/>
                                </a:lnTo>
                                <a:lnTo>
                                  <a:pt x="114274" y="62610"/>
                                </a:lnTo>
                                <a:lnTo>
                                  <a:pt x="114274" y="45313"/>
                                </a:lnTo>
                                <a:close/>
                              </a:path>
                              <a:path w="122555" h="64135">
                                <a:moveTo>
                                  <a:pt x="114274" y="1536"/>
                                </a:moveTo>
                                <a:lnTo>
                                  <a:pt x="106629" y="1536"/>
                                </a:lnTo>
                                <a:lnTo>
                                  <a:pt x="79146" y="39179"/>
                                </a:lnTo>
                                <a:lnTo>
                                  <a:pt x="79146" y="45313"/>
                                </a:lnTo>
                                <a:lnTo>
                                  <a:pt x="122440" y="45313"/>
                                </a:lnTo>
                                <a:lnTo>
                                  <a:pt x="122440" y="38671"/>
                                </a:lnTo>
                                <a:lnTo>
                                  <a:pt x="87109" y="38671"/>
                                </a:lnTo>
                                <a:lnTo>
                                  <a:pt x="107162" y="11518"/>
                                </a:lnTo>
                                <a:lnTo>
                                  <a:pt x="114274" y="11518"/>
                                </a:lnTo>
                                <a:lnTo>
                                  <a:pt x="114274" y="1536"/>
                                </a:lnTo>
                                <a:close/>
                              </a:path>
                              <a:path w="122555" h="64135">
                                <a:moveTo>
                                  <a:pt x="114274" y="11518"/>
                                </a:moveTo>
                                <a:lnTo>
                                  <a:pt x="107162" y="11518"/>
                                </a:lnTo>
                                <a:lnTo>
                                  <a:pt x="107162" y="38671"/>
                                </a:lnTo>
                                <a:lnTo>
                                  <a:pt x="114274" y="38671"/>
                                </a:lnTo>
                                <a:lnTo>
                                  <a:pt x="114274" y="11518"/>
                                </a:lnTo>
                                <a:close/>
                              </a:path>
                              <a:path w="122555" h="64135">
                                <a:moveTo>
                                  <a:pt x="66522" y="52425"/>
                                </a:moveTo>
                                <a:lnTo>
                                  <a:pt x="56324" y="52425"/>
                                </a:lnTo>
                                <a:lnTo>
                                  <a:pt x="56324" y="62623"/>
                                </a:lnTo>
                                <a:lnTo>
                                  <a:pt x="66522" y="62623"/>
                                </a:lnTo>
                                <a:lnTo>
                                  <a:pt x="66522" y="52425"/>
                                </a:lnTo>
                                <a:close/>
                              </a:path>
                              <a:path w="122555" h="64135">
                                <a:moveTo>
                                  <a:pt x="27774" y="0"/>
                                </a:moveTo>
                                <a:lnTo>
                                  <a:pt x="14960" y="0"/>
                                </a:lnTo>
                                <a:lnTo>
                                  <a:pt x="9791" y="2933"/>
                                </a:lnTo>
                                <a:lnTo>
                                  <a:pt x="1955" y="14655"/>
                                </a:lnTo>
                                <a:lnTo>
                                  <a:pt x="0" y="22402"/>
                                </a:lnTo>
                                <a:lnTo>
                                  <a:pt x="28" y="41694"/>
                                </a:lnTo>
                                <a:lnTo>
                                  <a:pt x="1943" y="49314"/>
                                </a:lnTo>
                                <a:lnTo>
                                  <a:pt x="7651" y="58026"/>
                                </a:lnTo>
                                <a:lnTo>
                                  <a:pt x="9781" y="61213"/>
                                </a:lnTo>
                                <a:lnTo>
                                  <a:pt x="14820" y="64134"/>
                                </a:lnTo>
                                <a:lnTo>
                                  <a:pt x="27698" y="64134"/>
                                </a:lnTo>
                                <a:lnTo>
                                  <a:pt x="32943" y="61213"/>
                                </a:lnTo>
                                <a:lnTo>
                                  <a:pt x="35082" y="58026"/>
                                </a:lnTo>
                                <a:lnTo>
                                  <a:pt x="21208" y="58026"/>
                                </a:lnTo>
                                <a:lnTo>
                                  <a:pt x="15717" y="56402"/>
                                </a:lnTo>
                                <a:lnTo>
                                  <a:pt x="11796" y="51528"/>
                                </a:lnTo>
                                <a:lnTo>
                                  <a:pt x="9445" y="43404"/>
                                </a:lnTo>
                                <a:lnTo>
                                  <a:pt x="8661" y="32029"/>
                                </a:lnTo>
                                <a:lnTo>
                                  <a:pt x="9334" y="22402"/>
                                </a:lnTo>
                                <a:lnTo>
                                  <a:pt x="9454" y="20692"/>
                                </a:lnTo>
                                <a:lnTo>
                                  <a:pt x="11834" y="12592"/>
                                </a:lnTo>
                                <a:lnTo>
                                  <a:pt x="15803" y="7729"/>
                                </a:lnTo>
                                <a:lnTo>
                                  <a:pt x="21361" y="6108"/>
                                </a:lnTo>
                                <a:lnTo>
                                  <a:pt x="35069" y="6108"/>
                                </a:lnTo>
                                <a:lnTo>
                                  <a:pt x="32943" y="2933"/>
                                </a:lnTo>
                                <a:lnTo>
                                  <a:pt x="27774" y="0"/>
                                </a:lnTo>
                                <a:close/>
                              </a:path>
                              <a:path w="122555" h="64135">
                                <a:moveTo>
                                  <a:pt x="35069" y="6108"/>
                                </a:moveTo>
                                <a:lnTo>
                                  <a:pt x="21361" y="6108"/>
                                </a:lnTo>
                                <a:lnTo>
                                  <a:pt x="26958" y="7729"/>
                                </a:lnTo>
                                <a:lnTo>
                                  <a:pt x="30952" y="12592"/>
                                </a:lnTo>
                                <a:lnTo>
                                  <a:pt x="33327" y="20553"/>
                                </a:lnTo>
                                <a:lnTo>
                                  <a:pt x="34124" y="31788"/>
                                </a:lnTo>
                                <a:lnTo>
                                  <a:pt x="33426" y="41694"/>
                                </a:lnTo>
                                <a:lnTo>
                                  <a:pt x="21208" y="58026"/>
                                </a:lnTo>
                                <a:lnTo>
                                  <a:pt x="35082" y="58026"/>
                                </a:lnTo>
                                <a:lnTo>
                                  <a:pt x="40792" y="49517"/>
                                </a:lnTo>
                                <a:lnTo>
                                  <a:pt x="42748" y="41694"/>
                                </a:lnTo>
                                <a:lnTo>
                                  <a:pt x="42748" y="22402"/>
                                </a:lnTo>
                                <a:lnTo>
                                  <a:pt x="40792" y="14655"/>
                                </a:lnTo>
                                <a:lnTo>
                                  <a:pt x="35069" y="6108"/>
                                </a:lnTo>
                                <a:close/>
                              </a:path>
                            </a:pathLst>
                          </a:custGeom>
                          <a:solidFill>
                            <a:srgbClr val="000000"/>
                          </a:solidFill>
                        </wps:spPr>
                        <wps:bodyPr wrap="square" lIns="0" tIns="0" rIns="0" bIns="0" rtlCol="0">
                          <a:prstTxWarp prst="textNoShape">
                            <a:avLst/>
                          </a:prstTxWarp>
                          <a:noAutofit/>
                        </wps:bodyPr>
                      </wps:wsp>
                      <wps:wsp>
                        <wps:cNvPr id="1227" name="Graphic 1227"/>
                        <wps:cNvSpPr/>
                        <wps:spPr>
                          <a:xfrm>
                            <a:off x="1422829" y="49305"/>
                            <a:ext cx="1270" cy="56515"/>
                          </a:xfrm>
                          <a:custGeom>
                            <a:avLst/>
                            <a:gdLst/>
                            <a:ahLst/>
                            <a:cxnLst/>
                            <a:rect l="l" t="t" r="r" b="b"/>
                            <a:pathLst>
                              <a:path h="56515">
                                <a:moveTo>
                                  <a:pt x="0" y="0"/>
                                </a:moveTo>
                                <a:lnTo>
                                  <a:pt x="0" y="56349"/>
                                </a:lnTo>
                              </a:path>
                            </a:pathLst>
                          </a:custGeom>
                          <a:ln w="8572">
                            <a:solidFill>
                              <a:srgbClr val="000000"/>
                            </a:solidFill>
                            <a:prstDash val="solid"/>
                          </a:ln>
                        </wps:spPr>
                        <wps:bodyPr wrap="square" lIns="0" tIns="0" rIns="0" bIns="0" rtlCol="0">
                          <a:prstTxWarp prst="textNoShape">
                            <a:avLst/>
                          </a:prstTxWarp>
                          <a:noAutofit/>
                        </wps:bodyPr>
                      </wps:wsp>
                      <wps:wsp>
                        <wps:cNvPr id="1228" name="Graphic 1228"/>
                        <wps:cNvSpPr/>
                        <wps:spPr>
                          <a:xfrm>
                            <a:off x="1361370" y="114373"/>
                            <a:ext cx="122555" cy="64769"/>
                          </a:xfrm>
                          <a:custGeom>
                            <a:avLst/>
                            <a:gdLst/>
                            <a:ahLst/>
                            <a:cxnLst/>
                            <a:rect l="l" t="t" r="r" b="b"/>
                            <a:pathLst>
                              <a:path w="122555" h="64769">
                                <a:moveTo>
                                  <a:pt x="109080" y="0"/>
                                </a:moveTo>
                                <a:lnTo>
                                  <a:pt x="97523" y="0"/>
                                </a:lnTo>
                                <a:lnTo>
                                  <a:pt x="91389" y="2920"/>
                                </a:lnTo>
                                <a:lnTo>
                                  <a:pt x="80706" y="29298"/>
                                </a:lnTo>
                                <a:lnTo>
                                  <a:pt x="80643" y="30454"/>
                                </a:lnTo>
                                <a:lnTo>
                                  <a:pt x="80544" y="32270"/>
                                </a:lnTo>
                                <a:lnTo>
                                  <a:pt x="80479" y="43103"/>
                                </a:lnTo>
                                <a:lnTo>
                                  <a:pt x="82310" y="50330"/>
                                </a:lnTo>
                                <a:lnTo>
                                  <a:pt x="82384" y="50622"/>
                                </a:lnTo>
                                <a:lnTo>
                                  <a:pt x="89966" y="61467"/>
                                </a:lnTo>
                                <a:lnTo>
                                  <a:pt x="95249" y="64173"/>
                                </a:lnTo>
                                <a:lnTo>
                                  <a:pt x="107848" y="64173"/>
                                </a:lnTo>
                                <a:lnTo>
                                  <a:pt x="112687" y="62128"/>
                                </a:lnTo>
                                <a:lnTo>
                                  <a:pt x="116461" y="58064"/>
                                </a:lnTo>
                                <a:lnTo>
                                  <a:pt x="98678" y="58064"/>
                                </a:lnTo>
                                <a:lnTo>
                                  <a:pt x="95567" y="56514"/>
                                </a:lnTo>
                                <a:lnTo>
                                  <a:pt x="90868" y="50330"/>
                                </a:lnTo>
                                <a:lnTo>
                                  <a:pt x="89687" y="46227"/>
                                </a:lnTo>
                                <a:lnTo>
                                  <a:pt x="89687" y="37858"/>
                                </a:lnTo>
                                <a:lnTo>
                                  <a:pt x="90931" y="35077"/>
                                </a:lnTo>
                                <a:lnTo>
                                  <a:pt x="95302" y="30987"/>
                                </a:lnTo>
                                <a:lnTo>
                                  <a:pt x="89357" y="30987"/>
                                </a:lnTo>
                                <a:lnTo>
                                  <a:pt x="90331" y="20101"/>
                                </a:lnTo>
                                <a:lnTo>
                                  <a:pt x="93254" y="12322"/>
                                </a:lnTo>
                                <a:lnTo>
                                  <a:pt x="98127" y="7652"/>
                                </a:lnTo>
                                <a:lnTo>
                                  <a:pt x="104952" y="6095"/>
                                </a:lnTo>
                                <a:lnTo>
                                  <a:pt x="119062" y="6095"/>
                                </a:lnTo>
                                <a:lnTo>
                                  <a:pt x="119062" y="2311"/>
                                </a:lnTo>
                                <a:lnTo>
                                  <a:pt x="113626" y="774"/>
                                </a:lnTo>
                                <a:lnTo>
                                  <a:pt x="109080" y="0"/>
                                </a:lnTo>
                                <a:close/>
                              </a:path>
                              <a:path w="122555" h="64769">
                                <a:moveTo>
                                  <a:pt x="117650" y="29298"/>
                                </a:moveTo>
                                <a:lnTo>
                                  <a:pt x="105956" y="29298"/>
                                </a:lnTo>
                                <a:lnTo>
                                  <a:pt x="108838" y="30619"/>
                                </a:lnTo>
                                <a:lnTo>
                                  <a:pt x="112991" y="35902"/>
                                </a:lnTo>
                                <a:lnTo>
                                  <a:pt x="114033" y="39535"/>
                                </a:lnTo>
                                <a:lnTo>
                                  <a:pt x="113939" y="48691"/>
                                </a:lnTo>
                                <a:lnTo>
                                  <a:pt x="112991" y="51777"/>
                                </a:lnTo>
                                <a:lnTo>
                                  <a:pt x="108838" y="56807"/>
                                </a:lnTo>
                                <a:lnTo>
                                  <a:pt x="106057" y="58064"/>
                                </a:lnTo>
                                <a:lnTo>
                                  <a:pt x="116461" y="58064"/>
                                </a:lnTo>
                                <a:lnTo>
                                  <a:pt x="120294" y="53936"/>
                                </a:lnTo>
                                <a:lnTo>
                                  <a:pt x="122212" y="48691"/>
                                </a:lnTo>
                                <a:lnTo>
                                  <a:pt x="122212" y="36804"/>
                                </a:lnTo>
                                <a:lnTo>
                                  <a:pt x="120510" y="32270"/>
                                </a:lnTo>
                                <a:lnTo>
                                  <a:pt x="117650" y="29298"/>
                                </a:lnTo>
                                <a:close/>
                              </a:path>
                              <a:path w="122555" h="64769">
                                <a:moveTo>
                                  <a:pt x="109346" y="23444"/>
                                </a:moveTo>
                                <a:lnTo>
                                  <a:pt x="98120" y="23444"/>
                                </a:lnTo>
                                <a:lnTo>
                                  <a:pt x="93226" y="25963"/>
                                </a:lnTo>
                                <a:lnTo>
                                  <a:pt x="89357" y="30987"/>
                                </a:lnTo>
                                <a:lnTo>
                                  <a:pt x="95302" y="30987"/>
                                </a:lnTo>
                                <a:lnTo>
                                  <a:pt x="95872" y="30454"/>
                                </a:lnTo>
                                <a:lnTo>
                                  <a:pt x="98831" y="29298"/>
                                </a:lnTo>
                                <a:lnTo>
                                  <a:pt x="117650" y="29298"/>
                                </a:lnTo>
                                <a:lnTo>
                                  <a:pt x="113715" y="25209"/>
                                </a:lnTo>
                                <a:lnTo>
                                  <a:pt x="109346" y="23444"/>
                                </a:lnTo>
                                <a:close/>
                              </a:path>
                              <a:path w="122555" h="64769">
                                <a:moveTo>
                                  <a:pt x="119062" y="6095"/>
                                </a:moveTo>
                                <a:lnTo>
                                  <a:pt x="108610" y="6095"/>
                                </a:lnTo>
                                <a:lnTo>
                                  <a:pt x="113309" y="7213"/>
                                </a:lnTo>
                                <a:lnTo>
                                  <a:pt x="119062" y="9410"/>
                                </a:lnTo>
                                <a:lnTo>
                                  <a:pt x="119062" y="6095"/>
                                </a:lnTo>
                                <a:close/>
                              </a:path>
                              <a:path w="122555" h="64769">
                                <a:moveTo>
                                  <a:pt x="66535" y="52450"/>
                                </a:moveTo>
                                <a:lnTo>
                                  <a:pt x="56337" y="52450"/>
                                </a:lnTo>
                                <a:lnTo>
                                  <a:pt x="56337" y="62649"/>
                                </a:lnTo>
                                <a:lnTo>
                                  <a:pt x="66535" y="62649"/>
                                </a:lnTo>
                                <a:lnTo>
                                  <a:pt x="66535" y="52450"/>
                                </a:lnTo>
                                <a:close/>
                              </a:path>
                              <a:path w="122555" h="64769">
                                <a:moveTo>
                                  <a:pt x="27800" y="38"/>
                                </a:moveTo>
                                <a:lnTo>
                                  <a:pt x="14973" y="38"/>
                                </a:lnTo>
                                <a:lnTo>
                                  <a:pt x="9804" y="2971"/>
                                </a:lnTo>
                                <a:lnTo>
                                  <a:pt x="1968" y="14693"/>
                                </a:lnTo>
                                <a:lnTo>
                                  <a:pt x="0" y="22440"/>
                                </a:lnTo>
                                <a:lnTo>
                                  <a:pt x="32" y="41732"/>
                                </a:lnTo>
                                <a:lnTo>
                                  <a:pt x="1955" y="49352"/>
                                </a:lnTo>
                                <a:lnTo>
                                  <a:pt x="7673" y="58064"/>
                                </a:lnTo>
                                <a:lnTo>
                                  <a:pt x="9806" y="61252"/>
                                </a:lnTo>
                                <a:lnTo>
                                  <a:pt x="14833" y="64173"/>
                                </a:lnTo>
                                <a:lnTo>
                                  <a:pt x="27711" y="64173"/>
                                </a:lnTo>
                                <a:lnTo>
                                  <a:pt x="32956" y="61252"/>
                                </a:lnTo>
                                <a:lnTo>
                                  <a:pt x="35092" y="58064"/>
                                </a:lnTo>
                                <a:lnTo>
                                  <a:pt x="21208" y="58064"/>
                                </a:lnTo>
                                <a:lnTo>
                                  <a:pt x="15724" y="56440"/>
                                </a:lnTo>
                                <a:lnTo>
                                  <a:pt x="11807" y="51566"/>
                                </a:lnTo>
                                <a:lnTo>
                                  <a:pt x="9457" y="43442"/>
                                </a:lnTo>
                                <a:lnTo>
                                  <a:pt x="8674" y="32067"/>
                                </a:lnTo>
                                <a:lnTo>
                                  <a:pt x="9347" y="22440"/>
                                </a:lnTo>
                                <a:lnTo>
                                  <a:pt x="9467" y="20725"/>
                                </a:lnTo>
                                <a:lnTo>
                                  <a:pt x="11849" y="12625"/>
                                </a:lnTo>
                                <a:lnTo>
                                  <a:pt x="15821" y="7766"/>
                                </a:lnTo>
                                <a:lnTo>
                                  <a:pt x="21386" y="6146"/>
                                </a:lnTo>
                                <a:lnTo>
                                  <a:pt x="35078" y="6146"/>
                                </a:lnTo>
                                <a:lnTo>
                                  <a:pt x="32956" y="2971"/>
                                </a:lnTo>
                                <a:lnTo>
                                  <a:pt x="27800" y="38"/>
                                </a:lnTo>
                                <a:close/>
                              </a:path>
                              <a:path w="122555" h="64769">
                                <a:moveTo>
                                  <a:pt x="35078" y="6146"/>
                                </a:moveTo>
                                <a:lnTo>
                                  <a:pt x="21386" y="6146"/>
                                </a:lnTo>
                                <a:lnTo>
                                  <a:pt x="26975" y="7766"/>
                                </a:lnTo>
                                <a:lnTo>
                                  <a:pt x="30966" y="12625"/>
                                </a:lnTo>
                                <a:lnTo>
                                  <a:pt x="33340" y="20586"/>
                                </a:lnTo>
                                <a:lnTo>
                                  <a:pt x="34137" y="31813"/>
                                </a:lnTo>
                                <a:lnTo>
                                  <a:pt x="33449" y="41605"/>
                                </a:lnTo>
                                <a:lnTo>
                                  <a:pt x="21208" y="58064"/>
                                </a:lnTo>
                                <a:lnTo>
                                  <a:pt x="35092" y="58064"/>
                                </a:lnTo>
                                <a:lnTo>
                                  <a:pt x="40792" y="49555"/>
                                </a:lnTo>
                                <a:lnTo>
                                  <a:pt x="42760" y="41732"/>
                                </a:lnTo>
                                <a:lnTo>
                                  <a:pt x="42760" y="22440"/>
                                </a:lnTo>
                                <a:lnTo>
                                  <a:pt x="40792" y="14693"/>
                                </a:lnTo>
                                <a:lnTo>
                                  <a:pt x="35078" y="6146"/>
                                </a:lnTo>
                                <a:close/>
                              </a:path>
                            </a:pathLst>
                          </a:custGeom>
                          <a:solidFill>
                            <a:srgbClr val="000000"/>
                          </a:solidFill>
                        </wps:spPr>
                        <wps:bodyPr wrap="square" lIns="0" tIns="0" rIns="0" bIns="0" rtlCol="0">
                          <a:prstTxWarp prst="textNoShape">
                            <a:avLst/>
                          </a:prstTxWarp>
                          <a:noAutofit/>
                        </wps:bodyPr>
                      </wps:wsp>
                      <wps:wsp>
                        <wps:cNvPr id="1229" name="Graphic 1229"/>
                        <wps:cNvSpPr/>
                        <wps:spPr>
                          <a:xfrm>
                            <a:off x="1590459" y="49305"/>
                            <a:ext cx="1270" cy="56515"/>
                          </a:xfrm>
                          <a:custGeom>
                            <a:avLst/>
                            <a:gdLst/>
                            <a:ahLst/>
                            <a:cxnLst/>
                            <a:rect l="l" t="t" r="r" b="b"/>
                            <a:pathLst>
                              <a:path h="56515">
                                <a:moveTo>
                                  <a:pt x="0" y="0"/>
                                </a:moveTo>
                                <a:lnTo>
                                  <a:pt x="0" y="56349"/>
                                </a:lnTo>
                              </a:path>
                            </a:pathLst>
                          </a:custGeom>
                          <a:ln w="8572">
                            <a:solidFill>
                              <a:srgbClr val="000000"/>
                            </a:solidFill>
                            <a:prstDash val="solid"/>
                          </a:ln>
                        </wps:spPr>
                        <wps:bodyPr wrap="square" lIns="0" tIns="0" rIns="0" bIns="0" rtlCol="0">
                          <a:prstTxWarp prst="textNoShape">
                            <a:avLst/>
                          </a:prstTxWarp>
                          <a:noAutofit/>
                        </wps:bodyPr>
                      </wps:wsp>
                      <wps:wsp>
                        <wps:cNvPr id="1230" name="Graphic 1230"/>
                        <wps:cNvSpPr/>
                        <wps:spPr>
                          <a:xfrm>
                            <a:off x="1529001" y="114369"/>
                            <a:ext cx="123189" cy="64769"/>
                          </a:xfrm>
                          <a:custGeom>
                            <a:avLst/>
                            <a:gdLst/>
                            <a:ahLst/>
                            <a:cxnLst/>
                            <a:rect l="l" t="t" r="r" b="b"/>
                            <a:pathLst>
                              <a:path w="123189" h="64769">
                                <a:moveTo>
                                  <a:pt x="108673" y="0"/>
                                </a:moveTo>
                                <a:lnTo>
                                  <a:pt x="98196" y="0"/>
                                </a:lnTo>
                                <a:lnTo>
                                  <a:pt x="93764" y="1447"/>
                                </a:lnTo>
                                <a:lnTo>
                                  <a:pt x="90398" y="4343"/>
                                </a:lnTo>
                                <a:lnTo>
                                  <a:pt x="87007" y="7226"/>
                                </a:lnTo>
                                <a:lnTo>
                                  <a:pt x="85305" y="10985"/>
                                </a:lnTo>
                                <a:lnTo>
                                  <a:pt x="85305" y="20637"/>
                                </a:lnTo>
                                <a:lnTo>
                                  <a:pt x="88303" y="25234"/>
                                </a:lnTo>
                                <a:lnTo>
                                  <a:pt x="94259" y="29387"/>
                                </a:lnTo>
                                <a:lnTo>
                                  <a:pt x="86182" y="34239"/>
                                </a:lnTo>
                                <a:lnTo>
                                  <a:pt x="82130" y="40309"/>
                                </a:lnTo>
                                <a:lnTo>
                                  <a:pt x="82172" y="52666"/>
                                </a:lnTo>
                                <a:lnTo>
                                  <a:pt x="83985" y="56578"/>
                                </a:lnTo>
                                <a:lnTo>
                                  <a:pt x="91389" y="62661"/>
                                </a:lnTo>
                                <a:lnTo>
                                  <a:pt x="96240" y="64173"/>
                                </a:lnTo>
                                <a:lnTo>
                                  <a:pt x="108343" y="64173"/>
                                </a:lnTo>
                                <a:lnTo>
                                  <a:pt x="113045" y="62661"/>
                                </a:lnTo>
                                <a:lnTo>
                                  <a:pt x="113215" y="62661"/>
                                </a:lnTo>
                                <a:lnTo>
                                  <a:pt x="118746" y="58064"/>
                                </a:lnTo>
                                <a:lnTo>
                                  <a:pt x="98882" y="58064"/>
                                </a:lnTo>
                                <a:lnTo>
                                  <a:pt x="95910" y="56984"/>
                                </a:lnTo>
                                <a:lnTo>
                                  <a:pt x="91401" y="52666"/>
                                </a:lnTo>
                                <a:lnTo>
                                  <a:pt x="90271" y="49847"/>
                                </a:lnTo>
                                <a:lnTo>
                                  <a:pt x="90271" y="43535"/>
                                </a:lnTo>
                                <a:lnTo>
                                  <a:pt x="90855" y="41198"/>
                                </a:lnTo>
                                <a:lnTo>
                                  <a:pt x="93179" y="37426"/>
                                </a:lnTo>
                                <a:lnTo>
                                  <a:pt x="95402" y="35217"/>
                                </a:lnTo>
                                <a:lnTo>
                                  <a:pt x="98678" y="32689"/>
                                </a:lnTo>
                                <a:lnTo>
                                  <a:pt x="115918" y="32689"/>
                                </a:lnTo>
                                <a:lnTo>
                                  <a:pt x="109156" y="29387"/>
                                </a:lnTo>
                                <a:lnTo>
                                  <a:pt x="113138" y="26835"/>
                                </a:lnTo>
                                <a:lnTo>
                                  <a:pt x="104635" y="26835"/>
                                </a:lnTo>
                                <a:lnTo>
                                  <a:pt x="100050" y="24218"/>
                                </a:lnTo>
                                <a:lnTo>
                                  <a:pt x="96926" y="22009"/>
                                </a:lnTo>
                                <a:lnTo>
                                  <a:pt x="93548" y="18402"/>
                                </a:lnTo>
                                <a:lnTo>
                                  <a:pt x="92697" y="16357"/>
                                </a:lnTo>
                                <a:lnTo>
                                  <a:pt x="92697" y="11734"/>
                                </a:lnTo>
                                <a:lnTo>
                                  <a:pt x="93599" y="9906"/>
                                </a:lnTo>
                                <a:lnTo>
                                  <a:pt x="94296" y="9309"/>
                                </a:lnTo>
                                <a:lnTo>
                                  <a:pt x="97338" y="6908"/>
                                </a:lnTo>
                                <a:lnTo>
                                  <a:pt x="99809" y="6146"/>
                                </a:lnTo>
                                <a:lnTo>
                                  <a:pt x="119031" y="6146"/>
                                </a:lnTo>
                                <a:lnTo>
                                  <a:pt x="112737" y="1219"/>
                                </a:lnTo>
                                <a:lnTo>
                                  <a:pt x="108673" y="0"/>
                                </a:lnTo>
                                <a:close/>
                              </a:path>
                              <a:path w="123189" h="64769">
                                <a:moveTo>
                                  <a:pt x="115918" y="32689"/>
                                </a:moveTo>
                                <a:lnTo>
                                  <a:pt x="98678" y="32689"/>
                                </a:lnTo>
                                <a:lnTo>
                                  <a:pt x="108457" y="38481"/>
                                </a:lnTo>
                                <a:lnTo>
                                  <a:pt x="111137" y="40474"/>
                                </a:lnTo>
                                <a:lnTo>
                                  <a:pt x="113918" y="43751"/>
                                </a:lnTo>
                                <a:lnTo>
                                  <a:pt x="114617" y="45758"/>
                                </a:lnTo>
                                <a:lnTo>
                                  <a:pt x="114617" y="51066"/>
                                </a:lnTo>
                                <a:lnTo>
                                  <a:pt x="113499" y="53454"/>
                                </a:lnTo>
                                <a:lnTo>
                                  <a:pt x="109004" y="57150"/>
                                </a:lnTo>
                                <a:lnTo>
                                  <a:pt x="106108" y="58064"/>
                                </a:lnTo>
                                <a:lnTo>
                                  <a:pt x="118746" y="58064"/>
                                </a:lnTo>
                                <a:lnTo>
                                  <a:pt x="121069" y="56134"/>
                                </a:lnTo>
                                <a:lnTo>
                                  <a:pt x="122986" y="51955"/>
                                </a:lnTo>
                                <a:lnTo>
                                  <a:pt x="122986" y="39712"/>
                                </a:lnTo>
                                <a:lnTo>
                                  <a:pt x="118389" y="33896"/>
                                </a:lnTo>
                                <a:lnTo>
                                  <a:pt x="115918" y="32689"/>
                                </a:lnTo>
                                <a:close/>
                              </a:path>
                              <a:path w="123189" h="64769">
                                <a:moveTo>
                                  <a:pt x="119011" y="6146"/>
                                </a:moveTo>
                                <a:lnTo>
                                  <a:pt x="105917" y="6146"/>
                                </a:lnTo>
                                <a:lnTo>
                                  <a:pt x="108432" y="6908"/>
                                </a:lnTo>
                                <a:lnTo>
                                  <a:pt x="112217" y="9906"/>
                                </a:lnTo>
                                <a:lnTo>
                                  <a:pt x="113102" y="11734"/>
                                </a:lnTo>
                                <a:lnTo>
                                  <a:pt x="113169" y="18923"/>
                                </a:lnTo>
                                <a:lnTo>
                                  <a:pt x="110312" y="23088"/>
                                </a:lnTo>
                                <a:lnTo>
                                  <a:pt x="104635" y="26835"/>
                                </a:lnTo>
                                <a:lnTo>
                                  <a:pt x="113138" y="26835"/>
                                </a:lnTo>
                                <a:lnTo>
                                  <a:pt x="116763" y="24511"/>
                                </a:lnTo>
                                <a:lnTo>
                                  <a:pt x="120561" y="19126"/>
                                </a:lnTo>
                                <a:lnTo>
                                  <a:pt x="120561" y="9309"/>
                                </a:lnTo>
                                <a:lnTo>
                                  <a:pt x="119011" y="6146"/>
                                </a:lnTo>
                                <a:close/>
                              </a:path>
                              <a:path w="123189" h="64769">
                                <a:moveTo>
                                  <a:pt x="66535" y="52463"/>
                                </a:moveTo>
                                <a:lnTo>
                                  <a:pt x="56337" y="52463"/>
                                </a:lnTo>
                                <a:lnTo>
                                  <a:pt x="56337" y="62661"/>
                                </a:lnTo>
                                <a:lnTo>
                                  <a:pt x="66535" y="62661"/>
                                </a:lnTo>
                                <a:lnTo>
                                  <a:pt x="66535" y="52463"/>
                                </a:lnTo>
                                <a:close/>
                              </a:path>
                              <a:path w="123189" h="64769">
                                <a:moveTo>
                                  <a:pt x="27800" y="38"/>
                                </a:moveTo>
                                <a:lnTo>
                                  <a:pt x="14973" y="38"/>
                                </a:lnTo>
                                <a:lnTo>
                                  <a:pt x="9804" y="2971"/>
                                </a:lnTo>
                                <a:lnTo>
                                  <a:pt x="1968" y="14693"/>
                                </a:lnTo>
                                <a:lnTo>
                                  <a:pt x="0" y="22440"/>
                                </a:lnTo>
                                <a:lnTo>
                                  <a:pt x="28" y="41732"/>
                                </a:lnTo>
                                <a:lnTo>
                                  <a:pt x="1955" y="49352"/>
                                </a:lnTo>
                                <a:lnTo>
                                  <a:pt x="7673" y="58064"/>
                                </a:lnTo>
                                <a:lnTo>
                                  <a:pt x="9828" y="61264"/>
                                </a:lnTo>
                                <a:lnTo>
                                  <a:pt x="14833" y="64173"/>
                                </a:lnTo>
                                <a:lnTo>
                                  <a:pt x="27711" y="64173"/>
                                </a:lnTo>
                                <a:lnTo>
                                  <a:pt x="32956" y="61264"/>
                                </a:lnTo>
                                <a:lnTo>
                                  <a:pt x="35098" y="58064"/>
                                </a:lnTo>
                                <a:lnTo>
                                  <a:pt x="21208" y="58064"/>
                                </a:lnTo>
                                <a:lnTo>
                                  <a:pt x="15724" y="56440"/>
                                </a:lnTo>
                                <a:lnTo>
                                  <a:pt x="11807" y="51566"/>
                                </a:lnTo>
                                <a:lnTo>
                                  <a:pt x="9457" y="43442"/>
                                </a:lnTo>
                                <a:lnTo>
                                  <a:pt x="8674" y="32067"/>
                                </a:lnTo>
                                <a:lnTo>
                                  <a:pt x="9349" y="22440"/>
                                </a:lnTo>
                                <a:lnTo>
                                  <a:pt x="9469" y="20730"/>
                                </a:lnTo>
                                <a:lnTo>
                                  <a:pt x="11853" y="12630"/>
                                </a:lnTo>
                                <a:lnTo>
                                  <a:pt x="15826" y="7768"/>
                                </a:lnTo>
                                <a:lnTo>
                                  <a:pt x="21386" y="6146"/>
                                </a:lnTo>
                                <a:lnTo>
                                  <a:pt x="35078" y="6146"/>
                                </a:lnTo>
                                <a:lnTo>
                                  <a:pt x="32956" y="2971"/>
                                </a:lnTo>
                                <a:lnTo>
                                  <a:pt x="27800" y="38"/>
                                </a:lnTo>
                                <a:close/>
                              </a:path>
                              <a:path w="123189" h="64769">
                                <a:moveTo>
                                  <a:pt x="35078" y="6146"/>
                                </a:moveTo>
                                <a:lnTo>
                                  <a:pt x="21386" y="6146"/>
                                </a:lnTo>
                                <a:lnTo>
                                  <a:pt x="26976" y="7768"/>
                                </a:lnTo>
                                <a:lnTo>
                                  <a:pt x="30967" y="12630"/>
                                </a:lnTo>
                                <a:lnTo>
                                  <a:pt x="33340" y="20591"/>
                                </a:lnTo>
                                <a:lnTo>
                                  <a:pt x="34137" y="31826"/>
                                </a:lnTo>
                                <a:lnTo>
                                  <a:pt x="33441" y="41732"/>
                                </a:lnTo>
                                <a:lnTo>
                                  <a:pt x="21208" y="58064"/>
                                </a:lnTo>
                                <a:lnTo>
                                  <a:pt x="35098" y="58064"/>
                                </a:lnTo>
                                <a:lnTo>
                                  <a:pt x="40792" y="49555"/>
                                </a:lnTo>
                                <a:lnTo>
                                  <a:pt x="42773" y="41732"/>
                                </a:lnTo>
                                <a:lnTo>
                                  <a:pt x="42773" y="22440"/>
                                </a:lnTo>
                                <a:lnTo>
                                  <a:pt x="40792" y="14693"/>
                                </a:lnTo>
                                <a:lnTo>
                                  <a:pt x="35078" y="6146"/>
                                </a:lnTo>
                                <a:close/>
                              </a:path>
                            </a:pathLst>
                          </a:custGeom>
                          <a:solidFill>
                            <a:srgbClr val="000000"/>
                          </a:solidFill>
                        </wps:spPr>
                        <wps:bodyPr wrap="square" lIns="0" tIns="0" rIns="0" bIns="0" rtlCol="0">
                          <a:prstTxWarp prst="textNoShape">
                            <a:avLst/>
                          </a:prstTxWarp>
                          <a:noAutofit/>
                        </wps:bodyPr>
                      </wps:wsp>
                      <wps:wsp>
                        <wps:cNvPr id="1231" name="Graphic 1231"/>
                        <wps:cNvSpPr/>
                        <wps:spPr>
                          <a:xfrm>
                            <a:off x="1758090" y="49305"/>
                            <a:ext cx="1270" cy="56515"/>
                          </a:xfrm>
                          <a:custGeom>
                            <a:avLst/>
                            <a:gdLst/>
                            <a:ahLst/>
                            <a:cxnLst/>
                            <a:rect l="l" t="t" r="r" b="b"/>
                            <a:pathLst>
                              <a:path h="56515">
                                <a:moveTo>
                                  <a:pt x="0" y="0"/>
                                </a:moveTo>
                                <a:lnTo>
                                  <a:pt x="0" y="56349"/>
                                </a:lnTo>
                              </a:path>
                            </a:pathLst>
                          </a:custGeom>
                          <a:ln w="8572">
                            <a:solidFill>
                              <a:srgbClr val="000000"/>
                            </a:solidFill>
                            <a:prstDash val="solid"/>
                          </a:ln>
                        </wps:spPr>
                        <wps:bodyPr wrap="square" lIns="0" tIns="0" rIns="0" bIns="0" rtlCol="0">
                          <a:prstTxWarp prst="textNoShape">
                            <a:avLst/>
                          </a:prstTxWarp>
                          <a:noAutofit/>
                        </wps:bodyPr>
                      </wps:wsp>
                      <wps:wsp>
                        <wps:cNvPr id="1232" name="Graphic 1232"/>
                        <wps:cNvSpPr/>
                        <wps:spPr>
                          <a:xfrm>
                            <a:off x="1717360" y="114413"/>
                            <a:ext cx="33020" cy="62865"/>
                          </a:xfrm>
                          <a:custGeom>
                            <a:avLst/>
                            <a:gdLst/>
                            <a:ahLst/>
                            <a:cxnLst/>
                            <a:rect l="l" t="t" r="r" b="b"/>
                            <a:pathLst>
                              <a:path w="33020" h="62865">
                                <a:moveTo>
                                  <a:pt x="20370" y="0"/>
                                </a:moveTo>
                                <a:lnTo>
                                  <a:pt x="0" y="5079"/>
                                </a:lnTo>
                                <a:lnTo>
                                  <a:pt x="0" y="11341"/>
                                </a:lnTo>
                                <a:lnTo>
                                  <a:pt x="12217" y="8293"/>
                                </a:lnTo>
                                <a:lnTo>
                                  <a:pt x="12217" y="56502"/>
                                </a:lnTo>
                                <a:lnTo>
                                  <a:pt x="0" y="56502"/>
                                </a:lnTo>
                                <a:lnTo>
                                  <a:pt x="0" y="62610"/>
                                </a:lnTo>
                                <a:lnTo>
                                  <a:pt x="32600" y="62610"/>
                                </a:lnTo>
                                <a:lnTo>
                                  <a:pt x="32600" y="56502"/>
                                </a:lnTo>
                                <a:lnTo>
                                  <a:pt x="20370" y="56502"/>
                                </a:lnTo>
                                <a:lnTo>
                                  <a:pt x="203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59204D" id="Group 1204" o:spid="_x0000_s1026" style="position:absolute;margin-left:380.15pt;margin-top:-31.45pt;width:138.8pt;height:14.1pt;z-index:15929856;mso-wrap-distance-left:0;mso-wrap-distance-right:0;mso-position-horizontal-relative:page" coordsize="17627,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">
                <v:shape id="Graphic 1205" o:spid="_x0000_s1027" style="position:absolute;left:8301;top:211;width:196;height:13;visibility:visible;mso-wrap-style:square;v-text-anchor:top" coordsize="19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" path="m,l19380,e" filled="f" strokeweight=".23811mm">
                  <v:path arrowok="t"/>
                </v:shape>
                <v:shape id="Graphic 1206" o:spid="_x0000_s1028" style="position:absolute;left:8283;width:495;height:495;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" path="m49314,l,,,49301r49314,l49314,xe" fillcolor="#0000c0" stroked="f">
                  <v:path arrowok="t"/>
                </v:shape>
                <v:shape id="Graphic 1207" o:spid="_x0000_s1029" style="position:absolute;left:42;top:493;width:8382;height:565;visibility:visible;mso-wrap-style:square;v-text-anchor:top" coordsize="8382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" path="m,l,56349em,28168r838161,e" filled="f" strokeweight=".23811mm">
                  <v:path arrowok="t"/>
                </v:shape>
                <v:shape id="Graphic 1208" o:spid="_x0000_s1030" style="position:absolute;left:96;top:1144;width:432;height:641;visibility:visible;mso-wrap-style:square;v-text-anchor:top" coordsize="4318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" path="m27787,l14960,,9804,2933,1955,14655,,22402,28,41694r1915,7620l7661,58026r2132,3187l14820,64134r12891,l32956,61213r2136,-3187l21209,58026,15722,56402,11801,51528,9446,43404,8661,32029r675,-9627l9456,20692r2385,-8100l15814,7729,21374,6108r13704,l32956,2933,27787,xem35078,6108r-13704,l26971,7729r3994,4863l33339,20553r798,11235l33439,41694r-111,1576l31540,49314r-686,2214l26811,56402r-5602,1624l35092,58026r5700,-8509l42748,41694r,-19292l40792,14655,35078,6108xe" fillcolor="black" stroked="f">
                  <v:path arrowok="t"/>
                </v:shape>
                <v:shape id="Graphic 1209" o:spid="_x0000_s1031" style="position:absolute;left:1719;top:493;width:12;height:565;visibility:visible;mso-wrap-style:square;v-text-anchor:top" coordsize="12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" path="m,l,56349e" filled="f" strokeweight=".23811mm">
                  <v:path arrowok="t"/>
                </v:shape>
                <v:shape id="Graphic 1210" o:spid="_x0000_s1032" style="position:absolute;left:1104;top:1144;width:1188;height:641;visibility:visible;mso-wrap-style:square;v-text-anchor:top" coordsize="11874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" path="m114953,6108r-13036,l104736,7086r4112,3937l109855,13677r,8751l106870,27800,96202,37388r-7214,6528l84213,49936r-2375,5537l81838,62610r36360,l118198,55473r-26543,l92684,50431r3759,-5283l110858,32892r3264,-3441l117614,23787r877,-3252l118491,11798,116767,7746,114953,6108xem105232,l94170,,88785,1282,83362,3835r,7188l89115,7746,94107,6108r20846,l109816,1536,105232,xem66535,52412r-10198,l56337,62610r10198,l66535,52412xem27787,l14960,,9804,2933,1968,14655,,22390,31,41694r1912,7620l7661,58026r2132,3187l14833,64134r12865,l32956,61213r2139,-3187l21221,58026,15722,56402,11798,51528,9445,43404,9327,41694r24100,l9318,41567,8661,32029,21374,6108r13708,l32956,2933,27787,xem35082,6108r-13708,l26968,7728r3990,4859l33329,20548r795,11227l33436,41567r-119,1693l31531,49314r-687,2214l26808,56402r-5587,1624l35095,58026r5710,-8509l42760,41694r,-19304l40805,14655,35082,6108xe" fillcolor="black" stroked="f">
                  <v:path arrowok="t"/>
                </v:shape>
                <v:shape id="Graphic 1211" o:spid="_x0000_s1033" style="position:absolute;left:3395;top:493;width:13;height:565;visibility:visible;mso-wrap-style:square;v-text-anchor:top" coordsize="12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" path="m,l,56349e" filled="f" strokeweight=".23811mm">
                  <v:path arrowok="t"/>
                </v:shape>
                <v:shape id="Graphic 1212" o:spid="_x0000_s1034" style="position:absolute;left:2781;top:1144;width:1225;height:641;visibility:visible;mso-wrap-style:square;v-text-anchor:top" coordsize="12255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" path="m114274,45313r-7645,l106629,62610r7645,l114274,45313xem114274,1536r-7645,l79146,39179r,6134l122440,45313r,-6642l87109,38671,107162,11518r7112,l114274,1536xem114274,11518r-7112,l107162,38671r7112,l114274,11518xem66522,52425r-10198,l56324,62623r10198,l66522,52425xem27774,l14960,,9791,2933,1955,14655,,22402,28,41694r1915,7620l7651,58026r2130,3187l14820,64134r12878,l32943,61213r2139,-3187l21208,58026,15715,56402,11790,51528,9434,43404,8648,32029r675,-9627l9443,20692r2385,-8100l15801,7729,21361,6108r13708,l32943,2933,27774,xem35069,6108r-13708,l26958,7729r3994,4863l33327,20553r797,11235l33426,41694,21208,58026r13874,l40792,49517r1956,-7823l42748,22402,40792,14655,35069,6108xe" fillcolor="black" stroked="f">
                  <v:path arrowok="t"/>
                </v:shape>
                <v:shape id="Graphic 1213" o:spid="_x0000_s1035" style="position:absolute;left:5071;top:493;width:13;height:565;visibility:visible;mso-wrap-style:square;v-text-anchor:top" coordsize="12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" path="m,l,56349e" filled="f" strokeweight=".23811mm">
                  <v:path arrowok="t"/>
                </v:shape>
                <v:shape id="Graphic 1214" o:spid="_x0000_s1036" style="position:absolute;left:4457;top:1143;width:1225;height:648;visibility:visible;mso-wrap-style:square;v-text-anchor:top" coordsize="12255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" path="m109080,l97523,,91389,2920,80706,29298r-63,1156l80544,32270r-65,10833l82310,50330r74,292l89966,61467r5283,2706l107848,64173r4839,-2045l116461,58064r-17783,l95567,56514,90868,50330,89687,46227r,-8369l90931,35077r4371,-4090l89357,30987r974,-10886l93254,12322,98127,7652r6825,-1557l119062,6095r,-3784l113626,774,109080,xem117650,29298r-11694,l108838,30619r4153,5283l114033,39535r-94,9156l112991,51777r-4153,5030l106057,58064r10404,l120294,53936r1918,-5245l122212,36804r-1702,-4534l117650,29298xem109346,23444r-11226,l93226,25963r-3869,5024l95302,30987r570,-533l98831,29298r18819,l113715,25209r-4369,-1765xem119062,6095r-10452,l113309,7213r5753,2197l119062,6095xem66535,52450r-10198,l56337,62649r10198,l66535,52450xem27787,38r-12814,l9804,2971,1968,14693,,22440,32,41732r1923,7620l7673,58064r2133,3188l14833,64173r12878,l32956,61252r2136,-3188l21208,58064,15724,56440,11807,51566,9457,43442,8674,32067r673,-9627l9467,20725r2382,-8100l15821,7766,21386,6146r13692,l32956,2971,27787,38xem35078,6146r-13692,l26975,7766r3991,4859l33340,20586r797,11227l33449,41605,21208,58064r13884,l40792,49555r1968,-7823l42760,22440,40792,14693,35078,6146xe" fillcolor="black" stroked="f">
                  <v:path arrowok="t"/>
                </v:shape>
                <v:shape id="Graphic 1215" o:spid="_x0000_s1037" style="position:absolute;left:6748;top:493;width:12;height:565;visibility:visible;mso-wrap-style:square;v-text-anchor:top" coordsize="12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" path="m,l,56349e" filled="f" strokeweight=".23811mm">
                  <v:path arrowok="t"/>
                </v:shape>
                <v:shape id="Graphic 1216" o:spid="_x0000_s1038" style="position:absolute;left:6133;top:1143;width:1232;height:648;visibility:visible;mso-wrap-style:square;v-text-anchor:top" coordsize="12318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" path="m108673,l98196,,93764,1447,90398,4343,87007,7226r-1702,3759l85305,20637r2998,4597l94259,29387r-8077,4852l82130,40309r42,12357l83985,56578r7404,6083l96240,64173r12103,l113045,62661r170,l118746,58064r-19864,l95910,56984,91389,52666,90258,49847r,-6312l90855,41198r2324,-3772l95402,35217r3276,-2528l115918,32689r-6762,-3302l113138,26835r-8503,l100050,24218,96926,22009,93548,18402r-851,-2045l92697,11734r902,-1828l94296,9309,97338,6908r2471,-762l119031,6146,112737,1219,108673,xem115918,32689r-17240,l108457,38481r2680,1993l113918,43751r699,2007l114617,51066r-1118,2388l109004,57150r-2896,914l118746,58064r2323,-1930l122986,51955r,-12243l118389,33896r-2471,-1207xem119011,6146r-13094,l108432,6908r3785,2998l113102,11734r67,7189l110312,23088r-5677,3747l113138,26835r3625,-2324l120561,19126r,-9817l119011,6146xem66535,52463r-10198,l56337,62661r10198,l66535,52463xem27800,38r-12827,l9804,2971,1968,14693,,22440,28,41732r1927,7620l7673,58064r2155,3200l14833,64173r12878,l32956,61264r2142,-3200l21208,58064,15724,56440,11807,51566,9457,43442,8674,32067r675,-9627l9469,20730r2384,-8100l15826,7768,21386,6146r13692,l32956,2971,27800,38xem35078,6146r-13692,l26976,7768r3991,4862l33340,20591r797,11235l33441,41732,21208,58064r13890,l40792,49555r1968,-7823l42760,22440,40792,14693,35078,6146xe" fillcolor="black" stroked="f">
                  <v:path arrowok="t"/>
                </v:shape>
                <v:shape id="Graphic 1217" o:spid="_x0000_s1039" style="position:absolute;left:8424;top:493;width:13;height:565;visibility:visible;mso-wrap-style:square;v-text-anchor:top" coordsize="12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" path="m,l,56349e" filled="f" strokeweight=".23811mm">
                  <v:path arrowok="t"/>
                </v:shape>
                <v:shape id="Graphic 1218" o:spid="_x0000_s1040" style="position:absolute;left:8017;top:1144;width:330;height:628;visibility:visible;mso-wrap-style:square;v-text-anchor:top" coordsize="3302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" path="m20370,l,5079r,6262l12217,8293r,48209l,56502r,6108l32600,62610r,-6108l20370,56502,20370,xe" fillcolor="black" stroked="f">
                  <v:path arrowok="t"/>
                </v:shape>
                <v:shape id="Graphic 1219" o:spid="_x0000_s1041" style="position:absolute;left:15584;top:211;width:1308;height:13;visibility:visible;mso-wrap-style:square;v-text-anchor:top" coordsize="130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" path="m,l130505,e" filled="f" strokeweight=".23811mm">
                  <v:path arrowok="t"/>
                </v:shape>
                <v:shape id="Graphic 1220" o:spid="_x0000_s1042" style="position:absolute;left:16119;width:495;height:495;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" path="m49301,l,,,49301r49301,l49301,xe" fillcolor="#0000c0" stroked="f">
                  <v:path arrowok="t"/>
                </v:shape>
                <v:shape id="Graphic 1221" o:spid="_x0000_s1043" style="position:absolute;left:9199;top:493;width:8382;height:565;visibility:visible;mso-wrap-style:square;v-text-anchor:top" coordsize="8382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" path="m,l,56349em,28168r838161,e" filled="f" strokeweight=".23811mm">
                  <v:path arrowok="t"/>
                </v:shape>
                <v:shape id="Graphic 1222" o:spid="_x0000_s1044" style="position:absolute;left:9252;top:1144;width:432;height:641;visibility:visible;mso-wrap-style:square;v-text-anchor:top" coordsize="4318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" path="m27787,l14960,,9804,2933,1955,14655,,22402,28,41694r1915,7620l7661,58026r2132,3187l14820,64134r12891,l32956,61213r2136,-3187l21209,58026,15722,56402,11801,51528,9446,43404,8661,32029r675,-9627l9456,20692r2385,-8100l15814,7729,21374,6108r13704,l32956,2933,27787,xem35078,6108r-13704,l26971,7729r3994,4863l33339,20553r798,11235l33439,41694r-111,1576l31540,49314r-686,2214l26811,56402r-5602,1624l35092,58026r5700,-8509l42748,41694r,-19292l40792,14655,35078,6108xe" fillcolor="black" stroked="f">
                  <v:path arrowok="t"/>
                </v:shape>
                <v:shape id="Graphic 1223" o:spid="_x0000_s1045" style="position:absolute;left:10875;top:493;width:13;height:565;visibility:visible;mso-wrap-style:square;v-text-anchor:top" coordsize="12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" path="m,l,56349e" filled="f" strokeweight=".23811mm">
                  <v:path arrowok="t"/>
                </v:shape>
                <v:shape id="Graphic 1224" o:spid="_x0000_s1046" style="position:absolute;left:10261;top:1144;width:1187;height:641;visibility:visible;mso-wrap-style:square;v-text-anchor:top" coordsize="11874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" path="m114940,6108r-13023,l104724,7086r4111,3937l109842,13677r,8751l106857,27800,96189,37388r-7213,6528l84200,49936r-2374,5537l81826,62610r36360,l118186,55473r-26543,l92671,50431r3760,-5283l110858,32892r3251,-3441l117601,23787r877,-3252l118478,11798,116754,7746,114940,6108xem105219,l94157,,88772,1282,83350,3835r,7188l89103,7746,94106,6108r20834,l109804,1536,105219,xem66522,52412r-10198,l56324,62610r10198,l66522,52412xem9314,41694r-9283,l1930,49314r5718,8712l9781,61213r5039,2921l27685,64134r5258,-2921l35082,58026r-13874,l15710,56402,11785,51528,9432,43404,9314,41694xem42748,41694r-9333,l33305,43260r-1787,6054l30831,51528r-4036,4874l21208,58026r13874,l40792,49517r1956,-7823xem27774,l14947,,9791,2933,1955,14655,,22390,,41567r9305,l8648,32029r676,-9639l9443,20687r2385,-8100l15801,7728,21361,6108r13708,l32943,2933,27774,xem35069,6108r-13708,l26955,7728r3990,4859l33316,20548r796,11227l33424,41567r9324,l42748,22390,40792,14655,35069,6108xe" fillcolor="black" stroked="f">
                  <v:path arrowok="t"/>
                </v:shape>
                <v:shape id="Graphic 1225" o:spid="_x0000_s1047" style="position:absolute;left:12551;top:493;width:13;height:565;visibility:visible;mso-wrap-style:square;v-text-anchor:top" coordsize="12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" path="m,l,56349e" filled="f" strokeweight=".23811mm">
                  <v:path arrowok="t"/>
                </v:shape>
                <v:shape id="Graphic 1226" o:spid="_x0000_s1048" style="position:absolute;left:11937;top:1144;width:1226;height:641;visibility:visible;mso-wrap-style:square;v-text-anchor:top" coordsize="12255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" path="m114274,45313r-7645,l106629,62610r7645,l114274,45313xem114274,1536r-7645,l79146,39179r,6134l122440,45313r,-6642l87109,38671,107162,11518r7112,l114274,1536xem114274,11518r-7112,l107162,38671r7112,l114274,11518xem66522,52425r-10198,l56324,62623r10198,l66522,52425xem27774,l14960,,9791,2933,1955,14655,,22402,28,41694r1915,7620l7651,58026r2130,3187l14820,64134r12878,l32943,61213r2139,-3187l21208,58026,15717,56402,11796,51528,9445,43404,8661,32029r673,-9627l9454,20692r2380,-8100l15803,7729,21361,6108r13708,l32943,2933,27774,xem35069,6108r-13708,l26958,7729r3994,4863l33327,20553r797,11235l33426,41694,21208,58026r13874,l40792,49517r1956,-7823l42748,22402,40792,14655,35069,6108xe" fillcolor="black" stroked="f">
                  <v:path arrowok="t"/>
                </v:shape>
                <v:shape id="Graphic 1227" o:spid="_x0000_s1049" style="position:absolute;left:14228;top:493;width:12;height:565;visibility:visible;mso-wrap-style:square;v-text-anchor:top" coordsize="12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" path="m,l,56349e" filled="f" strokeweight=".23811mm">
                  <v:path arrowok="t"/>
                </v:shape>
                <v:shape id="Graphic 1228" o:spid="_x0000_s1050" style="position:absolute;left:13613;top:1143;width:1226;height:648;visibility:visible;mso-wrap-style:square;v-text-anchor:top" coordsize="12255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" path="m109080,l97523,,91389,2920,80706,29298r-63,1156l80544,32270r-65,10833l82310,50330r74,292l89966,61467r5283,2706l107848,64173r4839,-2045l116461,58064r-17783,l95567,56514,90868,50330,89687,46227r,-8369l90931,35077r4371,-4090l89357,30987r974,-10886l93254,12322,98127,7652r6825,-1557l119062,6095r,-3784l113626,774,109080,xem117650,29298r-11694,l108838,30619r4153,5283l114033,39535r-94,9156l112991,51777r-4153,5030l106057,58064r10404,l120294,53936r1918,-5245l122212,36804r-1702,-4534l117650,29298xem109346,23444r-11226,l93226,25963r-3869,5024l95302,30987r570,-533l98831,29298r18819,l113715,25209r-4369,-1765xem119062,6095r-10452,l113309,7213r5753,2197l119062,6095xem66535,52450r-10198,l56337,62649r10198,l66535,52450xem27800,38r-12827,l9804,2971,1968,14693,,22440,32,41732r1923,7620l7673,58064r2133,3188l14833,64173r12878,l32956,61252r2136,-3188l21208,58064,15724,56440,11807,51566,9457,43442,8674,32067r673,-9627l9467,20725r2382,-8100l15821,7766,21386,6146r13692,l32956,2971,27800,38xem35078,6146r-13692,l26975,7766r3991,4859l33340,20586r797,11227l33449,41605,21208,58064r13884,l40792,49555r1968,-7823l42760,22440,40792,14693,35078,6146xe" fillcolor="black" stroked="f">
                  <v:path arrowok="t"/>
                </v:shape>
                <v:shape id="Graphic 1229" o:spid="_x0000_s1051" style="position:absolute;left:15904;top:493;width:13;height:565;visibility:visible;mso-wrap-style:square;v-text-anchor:top" coordsize="12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" path="m,l,56349e" filled="f" strokeweight=".23811mm">
                  <v:path arrowok="t"/>
                </v:shape>
                <v:shape id="Graphic 1230" o:spid="_x0000_s1052" style="position:absolute;left:15290;top:1143;width:1231;height:648;visibility:visible;mso-wrap-style:square;v-text-anchor:top" coordsize="12318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" path="m108673,l98196,,93764,1447,90398,4343,87007,7226r-1702,3759l85305,20637r2998,4597l94259,29387r-8077,4852l82130,40309r42,12357l83985,56578r7404,6083l96240,64173r12103,l113045,62661r170,l118746,58064r-19864,l95910,56984,91401,52666,90271,49847r,-6312l90855,41198r2324,-3772l95402,35217r3276,-2528l115918,32689r-6762,-3302l113138,26835r-8503,l100050,24218,96926,22009,93548,18402r-851,-2045l92697,11734r902,-1828l94296,9309,97338,6908r2471,-762l119031,6146,112737,1219,108673,xem115918,32689r-17240,l108457,38481r2680,1993l113918,43751r699,2007l114617,51066r-1118,2388l109004,57150r-2896,914l118746,58064r2323,-1930l122986,51955r,-12243l118389,33896r-2471,-1207xem119011,6146r-13094,l108432,6908r3785,2998l113102,11734r67,7189l110312,23088r-5677,3747l113138,26835r3625,-2324l120561,19126r,-9817l119011,6146xem66535,52463r-10198,l56337,62661r10198,l66535,52463xem27800,38r-12827,l9804,2971,1968,14693,,22440,28,41732r1927,7620l7673,58064r2155,3200l14833,64173r12878,l32956,61264r2142,-3200l21208,58064,15724,56440,11807,51566,9457,43442,8674,32067r675,-9627l9469,20730r2384,-8100l15826,7768,21386,6146r13692,l32956,2971,27800,38xem35078,6146r-13692,l26976,7768r3991,4862l33340,20591r797,11235l33441,41732,21208,58064r13890,l40792,49555r1981,-7823l42773,22440,40792,14693,35078,6146xe" fillcolor="black" stroked="f">
                  <v:path arrowok="t"/>
                </v:shape>
                <v:shape id="Graphic 1231" o:spid="_x0000_s1053" style="position:absolute;left:17580;top:493;width:13;height:565;visibility:visible;mso-wrap-style:square;v-text-anchor:top" coordsize="12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" path="m,l,56349e" filled="f" strokeweight=".23811mm">
                  <v:path arrowok="t"/>
                </v:shape>
                <v:shape id="Graphic 1232" o:spid="_x0000_s1054" style="position:absolute;left:17173;top:1144;width:330;height:628;visibility:visible;mso-wrap-style:square;v-text-anchor:top" coordsize="3302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" path="m20370,l,5079r,6262l12217,8293r,48209l,56502r,6108l32600,62610r,-6108l20370,56502,20370,xe" fillcolor="black"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38560" behindDoc="0" locked="0" layoutInCell="1" allowOverlap="1" wp14:anchorId="0A014F1E" wp14:editId="709F6C6E">
                <wp:simplePos x="0" y="0"/>
                <wp:positionH relativeFrom="page">
                  <wp:posOffset>6571830</wp:posOffset>
                </wp:positionH>
                <wp:positionV relativeFrom="paragraph">
                  <wp:posOffset>-1864272</wp:posOffset>
                </wp:positionV>
                <wp:extent cx="49530" cy="49530"/>
                <wp:effectExtent l="0" t="0" r="0" b="0"/>
                <wp:wrapNone/>
                <wp:docPr id="1233"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 cy="49530"/>
                          <a:chOff x="0" y="0"/>
                          <a:chExt cx="49530" cy="49530"/>
                        </a:xfrm>
                      </wpg:grpSpPr>
                      <wps:wsp>
                        <wps:cNvPr id="1234" name="Graphic 1234"/>
                        <wps:cNvSpPr/>
                        <wps:spPr>
                          <a:xfrm>
                            <a:off x="9091" y="21125"/>
                            <a:ext cx="12065" cy="1270"/>
                          </a:xfrm>
                          <a:custGeom>
                            <a:avLst/>
                            <a:gdLst/>
                            <a:ahLst/>
                            <a:cxnLst/>
                            <a:rect l="l" t="t" r="r" b="b"/>
                            <a:pathLst>
                              <a:path w="12065">
                                <a:moveTo>
                                  <a:pt x="0" y="0"/>
                                </a:moveTo>
                                <a:lnTo>
                                  <a:pt x="12039" y="0"/>
                                </a:lnTo>
                              </a:path>
                            </a:pathLst>
                          </a:custGeom>
                          <a:ln w="8572">
                            <a:solidFill>
                              <a:srgbClr val="000000"/>
                            </a:solidFill>
                            <a:prstDash val="solid"/>
                          </a:ln>
                        </wps:spPr>
                        <wps:bodyPr wrap="square" lIns="0" tIns="0" rIns="0" bIns="0" rtlCol="0">
                          <a:prstTxWarp prst="textNoShape">
                            <a:avLst/>
                          </a:prstTxWarp>
                          <a:noAutofit/>
                        </wps:bodyPr>
                      </wps:wsp>
                      <wps:wsp>
                        <wps:cNvPr id="1235" name="Graphic 1235"/>
                        <wps:cNvSpPr/>
                        <wps:spPr>
                          <a:xfrm>
                            <a:off x="0"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06BF6B5" id="Group 1233" o:spid="_x0000_s1026" style="position:absolute;margin-left:517.45pt;margin-top:-146.8pt;width:3.9pt;height:3.9pt;z-index:15938560;mso-wrap-distance-left:0;mso-wrap-distance-right:0;mso-position-horizontal-relative:page" coordsize="4953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">
                <v:shape id="Graphic 1234" o:spid="_x0000_s1027" style="position:absolute;left:9091;top:21125;width:12065;height:1270;visibility:visible;mso-wrap-style:square;v-text-anchor:top" coordsize="12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" path="m,l12039,e" filled="f" strokeweight=".23811mm">
                  <v:path arrowok="t"/>
                </v:shape>
                <v:shape id="Graphic 1235" o:spid="_x0000_s1028" style="position:absolute;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" path="m49314,l,,,49301r49314,l49314,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39072" behindDoc="0" locked="0" layoutInCell="1" allowOverlap="1" wp14:anchorId="3F461AE3" wp14:editId="2F0FB0AC">
                <wp:simplePos x="0" y="0"/>
                <wp:positionH relativeFrom="page">
                  <wp:posOffset>6549796</wp:posOffset>
                </wp:positionH>
                <wp:positionV relativeFrom="paragraph">
                  <wp:posOffset>-1751572</wp:posOffset>
                </wp:positionV>
                <wp:extent cx="49530" cy="49530"/>
                <wp:effectExtent l="0" t="0" r="0" b="0"/>
                <wp:wrapNone/>
                <wp:docPr id="1236"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 cy="49530"/>
                          <a:chOff x="0" y="0"/>
                          <a:chExt cx="49530" cy="49530"/>
                        </a:xfrm>
                      </wpg:grpSpPr>
                      <wps:wsp>
                        <wps:cNvPr id="1237" name="Graphic 1237"/>
                        <wps:cNvSpPr/>
                        <wps:spPr>
                          <a:xfrm>
                            <a:off x="317" y="21120"/>
                            <a:ext cx="33655" cy="1270"/>
                          </a:xfrm>
                          <a:custGeom>
                            <a:avLst/>
                            <a:gdLst/>
                            <a:ahLst/>
                            <a:cxnLst/>
                            <a:rect l="l" t="t" r="r" b="b"/>
                            <a:pathLst>
                              <a:path w="33655">
                                <a:moveTo>
                                  <a:pt x="0" y="0"/>
                                </a:moveTo>
                                <a:lnTo>
                                  <a:pt x="33286" y="0"/>
                                </a:lnTo>
                              </a:path>
                            </a:pathLst>
                          </a:custGeom>
                          <a:ln w="8572">
                            <a:solidFill>
                              <a:srgbClr val="000000"/>
                            </a:solidFill>
                            <a:prstDash val="solid"/>
                          </a:ln>
                        </wps:spPr>
                        <wps:bodyPr wrap="square" lIns="0" tIns="0" rIns="0" bIns="0" rtlCol="0">
                          <a:prstTxWarp prst="textNoShape">
                            <a:avLst/>
                          </a:prstTxWarp>
                          <a:noAutofit/>
                        </wps:bodyPr>
                      </wps:wsp>
                      <wps:wsp>
                        <wps:cNvPr id="1238" name="Graphic 1238"/>
                        <wps:cNvSpPr/>
                        <wps:spPr>
                          <a:xfrm>
                            <a:off x="0"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CC1B8F8" id="Group 1236" o:spid="_x0000_s1026" style="position:absolute;margin-left:515.75pt;margin-top:-137.9pt;width:3.9pt;height:3.9pt;z-index:15939072;mso-wrap-distance-left:0;mso-wrap-distance-right:0;mso-position-horizontal-relative:page" coordsize="4953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">
                <v:shape id="Graphic 1237" o:spid="_x0000_s1027" style="position:absolute;left:317;top:21120;width:33655;height:1270;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" path="m,l33286,e" filled="f" strokeweight=".23811mm">
                  <v:path arrowok="t"/>
                </v:shape>
                <v:shape id="Graphic 1238" o:spid="_x0000_s1028" style="position:absolute;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" path="m49314,l,,,49301r49314,l49314,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39584" behindDoc="0" locked="0" layoutInCell="1" allowOverlap="1" wp14:anchorId="43ABE4E4" wp14:editId="07F981F1">
                <wp:simplePos x="0" y="0"/>
                <wp:positionH relativeFrom="page">
                  <wp:posOffset>6569499</wp:posOffset>
                </wp:positionH>
                <wp:positionV relativeFrom="paragraph">
                  <wp:posOffset>-1638885</wp:posOffset>
                </wp:positionV>
                <wp:extent cx="52069" cy="49530"/>
                <wp:effectExtent l="0" t="0" r="0" b="0"/>
                <wp:wrapNone/>
                <wp:docPr id="1239"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49530"/>
                          <a:chOff x="0" y="0"/>
                          <a:chExt cx="52069" cy="49530"/>
                        </a:xfrm>
                      </wpg:grpSpPr>
                      <wps:wsp>
                        <wps:cNvPr id="1240" name="Graphic 1240"/>
                        <wps:cNvSpPr/>
                        <wps:spPr>
                          <a:xfrm>
                            <a:off x="0" y="21126"/>
                            <a:ext cx="23495" cy="1270"/>
                          </a:xfrm>
                          <a:custGeom>
                            <a:avLst/>
                            <a:gdLst/>
                            <a:ahLst/>
                            <a:cxnLst/>
                            <a:rect l="l" t="t" r="r" b="b"/>
                            <a:pathLst>
                              <a:path w="23495">
                                <a:moveTo>
                                  <a:pt x="0" y="0"/>
                                </a:moveTo>
                                <a:lnTo>
                                  <a:pt x="23469" y="0"/>
                                </a:lnTo>
                              </a:path>
                            </a:pathLst>
                          </a:custGeom>
                          <a:ln w="8572">
                            <a:solidFill>
                              <a:srgbClr val="000000"/>
                            </a:solidFill>
                            <a:prstDash val="solid"/>
                          </a:ln>
                        </wps:spPr>
                        <wps:bodyPr wrap="square" lIns="0" tIns="0" rIns="0" bIns="0" rtlCol="0">
                          <a:prstTxWarp prst="textNoShape">
                            <a:avLst/>
                          </a:prstTxWarp>
                          <a:noAutofit/>
                        </wps:bodyPr>
                      </wps:wsp>
                      <wps:wsp>
                        <wps:cNvPr id="1241" name="Graphic 1241"/>
                        <wps:cNvSpPr/>
                        <wps:spPr>
                          <a:xfrm>
                            <a:off x="2331"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26FC3B5" id="Group 1239" o:spid="_x0000_s1026" style="position:absolute;margin-left:517.3pt;margin-top:-129.05pt;width:4.1pt;height:3.9pt;z-index:15939584;mso-wrap-distance-left:0;mso-wrap-distance-right:0;mso-position-horizontal-relative:page" coordsize="52069,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">
                <v:shape id="Graphic 1240" o:spid="_x0000_s1027" style="position:absolute;top:21126;width:23495;height:1270;visibility:visible;mso-wrap-style:square;v-text-anchor:top" coordsize="2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" path="m,l23469,e" filled="f" strokeweight=".23811mm">
                  <v:path arrowok="t"/>
                </v:shape>
                <v:shape id="Graphic 1241" o:spid="_x0000_s1028" style="position:absolute;left:2331;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" path="m49314,l,,,49301r49314,l49314,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40096" behindDoc="0" locked="0" layoutInCell="1" allowOverlap="1" wp14:anchorId="1939FF86" wp14:editId="09FAAAA9">
                <wp:simplePos x="0" y="0"/>
                <wp:positionH relativeFrom="page">
                  <wp:posOffset>6195940</wp:posOffset>
                </wp:positionH>
                <wp:positionV relativeFrom="paragraph">
                  <wp:posOffset>-1526185</wp:posOffset>
                </wp:positionV>
                <wp:extent cx="111760" cy="49530"/>
                <wp:effectExtent l="0" t="0" r="0" b="0"/>
                <wp:wrapNone/>
                <wp:docPr id="1242" name="Gro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49530"/>
                          <a:chOff x="0" y="0"/>
                          <a:chExt cx="111760" cy="49530"/>
                        </a:xfrm>
                      </wpg:grpSpPr>
                      <wps:wsp>
                        <wps:cNvPr id="1243" name="Graphic 1243"/>
                        <wps:cNvSpPr/>
                        <wps:spPr>
                          <a:xfrm>
                            <a:off x="0" y="21121"/>
                            <a:ext cx="111760" cy="1270"/>
                          </a:xfrm>
                          <a:custGeom>
                            <a:avLst/>
                            <a:gdLst/>
                            <a:ahLst/>
                            <a:cxnLst/>
                            <a:rect l="l" t="t" r="r" b="b"/>
                            <a:pathLst>
                              <a:path w="111760">
                                <a:moveTo>
                                  <a:pt x="0" y="0"/>
                                </a:moveTo>
                                <a:lnTo>
                                  <a:pt x="111213" y="0"/>
                                </a:lnTo>
                              </a:path>
                            </a:pathLst>
                          </a:custGeom>
                          <a:ln w="8572">
                            <a:solidFill>
                              <a:srgbClr val="000000"/>
                            </a:solidFill>
                            <a:prstDash val="solid"/>
                          </a:ln>
                        </wps:spPr>
                        <wps:bodyPr wrap="square" lIns="0" tIns="0" rIns="0" bIns="0" rtlCol="0">
                          <a:prstTxWarp prst="textNoShape">
                            <a:avLst/>
                          </a:prstTxWarp>
                          <a:noAutofit/>
                        </wps:bodyPr>
                      </wps:wsp>
                      <wps:wsp>
                        <wps:cNvPr id="1244" name="Graphic 1244"/>
                        <wps:cNvSpPr/>
                        <wps:spPr>
                          <a:xfrm>
                            <a:off x="35568"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75E0530" id="Group 1242" o:spid="_x0000_s1026" style="position:absolute;margin-left:487.85pt;margin-top:-120.15pt;width:8.8pt;height:3.9pt;z-index:15940096;mso-wrap-distance-left:0;mso-wrap-distance-right:0;mso-position-horizontal-relative:page" coordsize="11176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">
                <v:shape id="Graphic 1243" o:spid="_x0000_s1027" style="position:absolute;top:21121;width:111760;height:1270;visibility:visible;mso-wrap-style:square;v-text-anchor:top" coordsize="111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" path="m,l111213,e" filled="f" strokeweight=".23811mm">
                  <v:path arrowok="t"/>
                </v:shape>
                <v:shape id="Graphic 1244" o:spid="_x0000_s1028" style="position:absolute;left:35568;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" path="m49301,l,,,49301r49301,l49301,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40608" behindDoc="0" locked="0" layoutInCell="1" allowOverlap="1" wp14:anchorId="34AB6CE0" wp14:editId="7071BA08">
                <wp:simplePos x="0" y="0"/>
                <wp:positionH relativeFrom="page">
                  <wp:posOffset>6308144</wp:posOffset>
                </wp:positionH>
                <wp:positionV relativeFrom="paragraph">
                  <wp:posOffset>-1413485</wp:posOffset>
                </wp:positionV>
                <wp:extent cx="90805" cy="49530"/>
                <wp:effectExtent l="0" t="0" r="0" b="0"/>
                <wp:wrapNone/>
                <wp:docPr id="1245"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49530"/>
                          <a:chOff x="0" y="0"/>
                          <a:chExt cx="90805" cy="49530"/>
                        </a:xfrm>
                      </wpg:grpSpPr>
                      <wps:wsp>
                        <wps:cNvPr id="1246" name="Graphic 1246"/>
                        <wps:cNvSpPr/>
                        <wps:spPr>
                          <a:xfrm>
                            <a:off x="0" y="21115"/>
                            <a:ext cx="90805" cy="1270"/>
                          </a:xfrm>
                          <a:custGeom>
                            <a:avLst/>
                            <a:gdLst/>
                            <a:ahLst/>
                            <a:cxnLst/>
                            <a:rect l="l" t="t" r="r" b="b"/>
                            <a:pathLst>
                              <a:path w="90805">
                                <a:moveTo>
                                  <a:pt x="0" y="0"/>
                                </a:moveTo>
                                <a:lnTo>
                                  <a:pt x="90347" y="0"/>
                                </a:lnTo>
                              </a:path>
                            </a:pathLst>
                          </a:custGeom>
                          <a:ln w="8572">
                            <a:solidFill>
                              <a:srgbClr val="000000"/>
                            </a:solidFill>
                            <a:prstDash val="solid"/>
                          </a:ln>
                        </wps:spPr>
                        <wps:bodyPr wrap="square" lIns="0" tIns="0" rIns="0" bIns="0" rtlCol="0">
                          <a:prstTxWarp prst="textNoShape">
                            <a:avLst/>
                          </a:prstTxWarp>
                          <a:noAutofit/>
                        </wps:bodyPr>
                      </wps:wsp>
                      <wps:wsp>
                        <wps:cNvPr id="1247" name="Graphic 1247"/>
                        <wps:cNvSpPr/>
                        <wps:spPr>
                          <a:xfrm>
                            <a:off x="25967"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6E5C1CD" id="Group 1245" o:spid="_x0000_s1026" style="position:absolute;margin-left:496.7pt;margin-top:-111.3pt;width:7.15pt;height:3.9pt;z-index:15940608;mso-wrap-distance-left:0;mso-wrap-distance-right:0;mso-position-horizontal-relative:page" coordsize="9080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">
                <v:shape id="Graphic 1246" o:spid="_x0000_s1027" style="position:absolute;top:21115;width:90805;height:1270;visibility:visible;mso-wrap-style:square;v-text-anchor:top" coordsize="90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" path="m,l90347,e" filled="f" strokeweight=".23811mm">
                  <v:path arrowok="t"/>
                </v:shape>
                <v:shape id="Graphic 1247" o:spid="_x0000_s1028" style="position:absolute;left:25967;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" path="m49314,l,,,49301r49314,l49314,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41120" behindDoc="0" locked="0" layoutInCell="1" allowOverlap="1" wp14:anchorId="5C783708" wp14:editId="55FABE4A">
                <wp:simplePos x="0" y="0"/>
                <wp:positionH relativeFrom="page">
                  <wp:posOffset>6478093</wp:posOffset>
                </wp:positionH>
                <wp:positionV relativeFrom="paragraph">
                  <wp:posOffset>-1300798</wp:posOffset>
                </wp:positionV>
                <wp:extent cx="83820" cy="49530"/>
                <wp:effectExtent l="0" t="0" r="0" b="0"/>
                <wp:wrapNone/>
                <wp:docPr id="1248"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 cy="49530"/>
                          <a:chOff x="0" y="0"/>
                          <a:chExt cx="83820" cy="49530"/>
                        </a:xfrm>
                      </wpg:grpSpPr>
                      <wps:wsp>
                        <wps:cNvPr id="1249" name="Graphic 1249"/>
                        <wps:cNvSpPr/>
                        <wps:spPr>
                          <a:xfrm>
                            <a:off x="0" y="21121"/>
                            <a:ext cx="83820" cy="1270"/>
                          </a:xfrm>
                          <a:custGeom>
                            <a:avLst/>
                            <a:gdLst/>
                            <a:ahLst/>
                            <a:cxnLst/>
                            <a:rect l="l" t="t" r="r" b="b"/>
                            <a:pathLst>
                              <a:path w="83820">
                                <a:moveTo>
                                  <a:pt x="0" y="0"/>
                                </a:moveTo>
                                <a:lnTo>
                                  <a:pt x="83413" y="0"/>
                                </a:lnTo>
                              </a:path>
                            </a:pathLst>
                          </a:custGeom>
                          <a:ln w="8572">
                            <a:solidFill>
                              <a:srgbClr val="000000"/>
                            </a:solidFill>
                            <a:prstDash val="solid"/>
                          </a:ln>
                        </wps:spPr>
                        <wps:bodyPr wrap="square" lIns="0" tIns="0" rIns="0" bIns="0" rtlCol="0">
                          <a:prstTxWarp prst="textNoShape">
                            <a:avLst/>
                          </a:prstTxWarp>
                          <a:noAutofit/>
                        </wps:bodyPr>
                      </wps:wsp>
                      <wps:wsp>
                        <wps:cNvPr id="1250" name="Graphic 1250"/>
                        <wps:cNvSpPr/>
                        <wps:spPr>
                          <a:xfrm>
                            <a:off x="29221"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39A5C00" id="Group 1248" o:spid="_x0000_s1026" style="position:absolute;margin-left:510.1pt;margin-top:-102.45pt;width:6.6pt;height:3.9pt;z-index:15941120;mso-wrap-distance-left:0;mso-wrap-distance-right:0;mso-position-horizontal-relative:page" coordsize="8382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">
                <v:shape id="Graphic 1249" o:spid="_x0000_s1027" style="position:absolute;top:21121;width:83820;height:1270;visibility:visible;mso-wrap-style:square;v-text-anchor:top" coordsize="83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" path="m,l83413,e" filled="f" strokeweight=".23811mm">
                  <v:path arrowok="t"/>
                </v:shape>
                <v:shape id="Graphic 1250" o:spid="_x0000_s1028" style="position:absolute;left:29221;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" path="m49314,l,,,49301r49314,l49314,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41632" behindDoc="0" locked="0" layoutInCell="1" allowOverlap="1" wp14:anchorId="68ED3D5A" wp14:editId="0F63009E">
                <wp:simplePos x="0" y="0"/>
                <wp:positionH relativeFrom="page">
                  <wp:posOffset>6548272</wp:posOffset>
                </wp:positionH>
                <wp:positionV relativeFrom="paragraph">
                  <wp:posOffset>-1188098</wp:posOffset>
                </wp:positionV>
                <wp:extent cx="49530" cy="49530"/>
                <wp:effectExtent l="0" t="0" r="0" b="0"/>
                <wp:wrapNone/>
                <wp:docPr id="1251"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 cy="49530"/>
                          <a:chOff x="0" y="0"/>
                          <a:chExt cx="49530" cy="49530"/>
                        </a:xfrm>
                      </wpg:grpSpPr>
                      <wps:wsp>
                        <wps:cNvPr id="1252" name="Graphic 1252"/>
                        <wps:cNvSpPr/>
                        <wps:spPr>
                          <a:xfrm>
                            <a:off x="7285" y="21116"/>
                            <a:ext cx="24130" cy="1270"/>
                          </a:xfrm>
                          <a:custGeom>
                            <a:avLst/>
                            <a:gdLst/>
                            <a:ahLst/>
                            <a:cxnLst/>
                            <a:rect l="l" t="t" r="r" b="b"/>
                            <a:pathLst>
                              <a:path w="24130">
                                <a:moveTo>
                                  <a:pt x="0" y="0"/>
                                </a:moveTo>
                                <a:lnTo>
                                  <a:pt x="23609" y="0"/>
                                </a:lnTo>
                              </a:path>
                            </a:pathLst>
                          </a:custGeom>
                          <a:ln w="8572">
                            <a:solidFill>
                              <a:srgbClr val="000000"/>
                            </a:solidFill>
                            <a:prstDash val="solid"/>
                          </a:ln>
                        </wps:spPr>
                        <wps:bodyPr wrap="square" lIns="0" tIns="0" rIns="0" bIns="0" rtlCol="0">
                          <a:prstTxWarp prst="textNoShape">
                            <a:avLst/>
                          </a:prstTxWarp>
                          <a:noAutofit/>
                        </wps:bodyPr>
                      </wps:wsp>
                      <wps:wsp>
                        <wps:cNvPr id="1253" name="Graphic 1253"/>
                        <wps:cNvSpPr/>
                        <wps:spPr>
                          <a:xfrm>
                            <a:off x="0"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FA7604B" id="Group 1251" o:spid="_x0000_s1026" style="position:absolute;margin-left:515.6pt;margin-top:-93.55pt;width:3.9pt;height:3.9pt;z-index:15941632;mso-wrap-distance-left:0;mso-wrap-distance-right:0;mso-position-horizontal-relative:page" coordsize="4953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">
                <v:shape id="Graphic 1252" o:spid="_x0000_s1027" style="position:absolute;left:7285;top:21116;width:24130;height:1270;visibility:visible;mso-wrap-style:square;v-text-anchor:top" coordsize="24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" path="m,l23609,e" filled="f" strokeweight=".23811mm">
                  <v:path arrowok="t"/>
                </v:shape>
                <v:shape id="Graphic 1253" o:spid="_x0000_s1028" style="position:absolute;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" path="m49314,l,,,49301r49314,l49314,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42144" behindDoc="0" locked="0" layoutInCell="1" allowOverlap="1" wp14:anchorId="6820784D" wp14:editId="641B57CE">
                <wp:simplePos x="0" y="0"/>
                <wp:positionH relativeFrom="page">
                  <wp:posOffset>6129178</wp:posOffset>
                </wp:positionH>
                <wp:positionV relativeFrom="paragraph">
                  <wp:posOffset>-1075411</wp:posOffset>
                </wp:positionV>
                <wp:extent cx="346710" cy="49530"/>
                <wp:effectExtent l="0" t="0" r="0" b="0"/>
                <wp:wrapNone/>
                <wp:docPr id="1254"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710" cy="49530"/>
                          <a:chOff x="0" y="0"/>
                          <a:chExt cx="346710" cy="49530"/>
                        </a:xfrm>
                      </wpg:grpSpPr>
                      <wps:wsp>
                        <wps:cNvPr id="1255" name="Graphic 1255"/>
                        <wps:cNvSpPr/>
                        <wps:spPr>
                          <a:xfrm>
                            <a:off x="0" y="21122"/>
                            <a:ext cx="346710" cy="1270"/>
                          </a:xfrm>
                          <a:custGeom>
                            <a:avLst/>
                            <a:gdLst/>
                            <a:ahLst/>
                            <a:cxnLst/>
                            <a:rect l="l" t="t" r="r" b="b"/>
                            <a:pathLst>
                              <a:path w="346710">
                                <a:moveTo>
                                  <a:pt x="0" y="0"/>
                                </a:moveTo>
                                <a:lnTo>
                                  <a:pt x="346595" y="0"/>
                                </a:lnTo>
                              </a:path>
                            </a:pathLst>
                          </a:custGeom>
                          <a:ln w="8572">
                            <a:solidFill>
                              <a:srgbClr val="000000"/>
                            </a:solidFill>
                            <a:prstDash val="solid"/>
                          </a:ln>
                        </wps:spPr>
                        <wps:bodyPr wrap="square" lIns="0" tIns="0" rIns="0" bIns="0" rtlCol="0">
                          <a:prstTxWarp prst="textNoShape">
                            <a:avLst/>
                          </a:prstTxWarp>
                          <a:noAutofit/>
                        </wps:bodyPr>
                      </wps:wsp>
                      <wps:wsp>
                        <wps:cNvPr id="1256" name="Graphic 1256"/>
                        <wps:cNvSpPr/>
                        <wps:spPr>
                          <a:xfrm>
                            <a:off x="173729"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235586C" id="Group 1254" o:spid="_x0000_s1026" style="position:absolute;margin-left:482.6pt;margin-top:-84.7pt;width:27.3pt;height:3.9pt;z-index:15942144;mso-wrap-distance-left:0;mso-wrap-distance-right:0;mso-position-horizontal-relative:page" coordsize="34671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">
                <v:shape id="Graphic 1255" o:spid="_x0000_s1027" style="position:absolute;top:21122;width:346710;height:1270;visibility:visible;mso-wrap-style:square;v-text-anchor:top" coordsize="346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" path="m,l346595,e" filled="f" strokeweight=".23811mm">
                  <v:path arrowok="t"/>
                </v:shape>
                <v:shape id="Graphic 1256" o:spid="_x0000_s1028" style="position:absolute;left:173729;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" path="m49301,l,,,49301r49301,l49301,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42656" behindDoc="0" locked="0" layoutInCell="1" allowOverlap="1" wp14:anchorId="57008781" wp14:editId="080472B3">
                <wp:simplePos x="0" y="0"/>
                <wp:positionH relativeFrom="page">
                  <wp:posOffset>6467712</wp:posOffset>
                </wp:positionH>
                <wp:positionV relativeFrom="paragraph">
                  <wp:posOffset>-962711</wp:posOffset>
                </wp:positionV>
                <wp:extent cx="153670" cy="49530"/>
                <wp:effectExtent l="0" t="0" r="0" b="0"/>
                <wp:wrapNone/>
                <wp:docPr id="1257"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670" cy="49530"/>
                          <a:chOff x="0" y="0"/>
                          <a:chExt cx="153670" cy="49530"/>
                        </a:xfrm>
                      </wpg:grpSpPr>
                      <wps:wsp>
                        <wps:cNvPr id="1258" name="Graphic 1258"/>
                        <wps:cNvSpPr/>
                        <wps:spPr>
                          <a:xfrm>
                            <a:off x="0" y="21117"/>
                            <a:ext cx="125730" cy="1270"/>
                          </a:xfrm>
                          <a:custGeom>
                            <a:avLst/>
                            <a:gdLst/>
                            <a:ahLst/>
                            <a:cxnLst/>
                            <a:rect l="l" t="t" r="r" b="b"/>
                            <a:pathLst>
                              <a:path w="125730">
                                <a:moveTo>
                                  <a:pt x="0" y="0"/>
                                </a:moveTo>
                                <a:lnTo>
                                  <a:pt x="125247" y="0"/>
                                </a:lnTo>
                              </a:path>
                            </a:pathLst>
                          </a:custGeom>
                          <a:ln w="8572">
                            <a:solidFill>
                              <a:srgbClr val="000000"/>
                            </a:solidFill>
                            <a:prstDash val="solid"/>
                          </a:ln>
                        </wps:spPr>
                        <wps:bodyPr wrap="square" lIns="0" tIns="0" rIns="0" bIns="0" rtlCol="0">
                          <a:prstTxWarp prst="textNoShape">
                            <a:avLst/>
                          </a:prstTxWarp>
                          <a:noAutofit/>
                        </wps:bodyPr>
                      </wps:wsp>
                      <wps:wsp>
                        <wps:cNvPr id="1259" name="Graphic 1259"/>
                        <wps:cNvSpPr/>
                        <wps:spPr>
                          <a:xfrm>
                            <a:off x="104118"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1B9B3A3" id="Group 1257" o:spid="_x0000_s1026" style="position:absolute;margin-left:509.25pt;margin-top:-75.8pt;width:12.1pt;height:3.9pt;z-index:15942656;mso-wrap-distance-left:0;mso-wrap-distance-right:0;mso-position-horizontal-relative:page" coordsize="15367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">
                <v:shape id="Graphic 1258" o:spid="_x0000_s1027" style="position:absolute;top:21117;width:125730;height:1270;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" path="m,l125247,e" filled="f" strokeweight=".23811mm">
                  <v:path arrowok="t"/>
                </v:shape>
                <v:shape id="Graphic 1259" o:spid="_x0000_s1028" style="position:absolute;left:104118;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" path="m49314,l,,,49301r49314,l49314,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43168" behindDoc="0" locked="0" layoutInCell="1" allowOverlap="1" wp14:anchorId="2B84A040" wp14:editId="2DB0EFFB">
                <wp:simplePos x="0" y="0"/>
                <wp:positionH relativeFrom="page">
                  <wp:posOffset>6520026</wp:posOffset>
                </wp:positionH>
                <wp:positionV relativeFrom="paragraph">
                  <wp:posOffset>-850024</wp:posOffset>
                </wp:positionV>
                <wp:extent cx="50800" cy="49530"/>
                <wp:effectExtent l="0" t="0" r="0" b="0"/>
                <wp:wrapNone/>
                <wp:docPr id="1260"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 cy="49530"/>
                          <a:chOff x="0" y="0"/>
                          <a:chExt cx="50800" cy="49530"/>
                        </a:xfrm>
                      </wpg:grpSpPr>
                      <wps:wsp>
                        <wps:cNvPr id="1261" name="Graphic 1261"/>
                        <wps:cNvSpPr/>
                        <wps:spPr>
                          <a:xfrm>
                            <a:off x="0" y="21123"/>
                            <a:ext cx="39370" cy="1270"/>
                          </a:xfrm>
                          <a:custGeom>
                            <a:avLst/>
                            <a:gdLst/>
                            <a:ahLst/>
                            <a:cxnLst/>
                            <a:rect l="l" t="t" r="r" b="b"/>
                            <a:pathLst>
                              <a:path w="39370">
                                <a:moveTo>
                                  <a:pt x="0" y="0"/>
                                </a:moveTo>
                                <a:lnTo>
                                  <a:pt x="39128" y="0"/>
                                </a:lnTo>
                              </a:path>
                            </a:pathLst>
                          </a:custGeom>
                          <a:ln w="8572">
                            <a:solidFill>
                              <a:srgbClr val="000000"/>
                            </a:solidFill>
                            <a:prstDash val="solid"/>
                          </a:ln>
                        </wps:spPr>
                        <wps:bodyPr wrap="square" lIns="0" tIns="0" rIns="0" bIns="0" rtlCol="0">
                          <a:prstTxWarp prst="textNoShape">
                            <a:avLst/>
                          </a:prstTxWarp>
                          <a:noAutofit/>
                        </wps:bodyPr>
                      </wps:wsp>
                      <wps:wsp>
                        <wps:cNvPr id="1262" name="Graphic 1262"/>
                        <wps:cNvSpPr/>
                        <wps:spPr>
                          <a:xfrm>
                            <a:off x="979"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1CDB3A3" id="Group 1260" o:spid="_x0000_s1026" style="position:absolute;margin-left:513.4pt;margin-top:-66.95pt;width:4pt;height:3.9pt;z-index:15943168;mso-wrap-distance-left:0;mso-wrap-distance-right:0;mso-position-horizontal-relative:page" coordsize="5080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">
                <v:shape id="Graphic 1261" o:spid="_x0000_s1027" style="position:absolute;top:21123;width:39370;height:1270;visibility:visible;mso-wrap-style:square;v-text-anchor:top" coordsize="39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" path="m,l39128,e" filled="f" strokeweight=".23811mm">
                  <v:path arrowok="t"/>
                </v:shape>
                <v:shape id="Graphic 1262" o:spid="_x0000_s1028" style="position:absolute;left:979;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" path="m49314,l,,,49301r49314,l49314,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43680" behindDoc="0" locked="0" layoutInCell="1" allowOverlap="1" wp14:anchorId="39BB0DFF" wp14:editId="77F33770">
                <wp:simplePos x="0" y="0"/>
                <wp:positionH relativeFrom="page">
                  <wp:posOffset>6545935</wp:posOffset>
                </wp:positionH>
                <wp:positionV relativeFrom="paragraph">
                  <wp:posOffset>-737325</wp:posOffset>
                </wp:positionV>
                <wp:extent cx="49530" cy="49530"/>
                <wp:effectExtent l="0" t="0" r="0" b="0"/>
                <wp:wrapNone/>
                <wp:docPr id="1263"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 cy="49530"/>
                          <a:chOff x="0" y="0"/>
                          <a:chExt cx="49530" cy="49530"/>
                        </a:xfrm>
                      </wpg:grpSpPr>
                      <wps:wsp>
                        <wps:cNvPr id="1264" name="Graphic 1264"/>
                        <wps:cNvSpPr/>
                        <wps:spPr>
                          <a:xfrm>
                            <a:off x="1252" y="21118"/>
                            <a:ext cx="33020" cy="1270"/>
                          </a:xfrm>
                          <a:custGeom>
                            <a:avLst/>
                            <a:gdLst/>
                            <a:ahLst/>
                            <a:cxnLst/>
                            <a:rect l="l" t="t" r="r" b="b"/>
                            <a:pathLst>
                              <a:path w="33020">
                                <a:moveTo>
                                  <a:pt x="0" y="0"/>
                                </a:moveTo>
                                <a:lnTo>
                                  <a:pt x="32766" y="0"/>
                                </a:lnTo>
                              </a:path>
                            </a:pathLst>
                          </a:custGeom>
                          <a:ln w="8572">
                            <a:solidFill>
                              <a:srgbClr val="000000"/>
                            </a:solidFill>
                            <a:prstDash val="solid"/>
                          </a:ln>
                        </wps:spPr>
                        <wps:bodyPr wrap="square" lIns="0" tIns="0" rIns="0" bIns="0" rtlCol="0">
                          <a:prstTxWarp prst="textNoShape">
                            <a:avLst/>
                          </a:prstTxWarp>
                          <a:noAutofit/>
                        </wps:bodyPr>
                      </wps:wsp>
                      <wps:wsp>
                        <wps:cNvPr id="1265" name="Graphic 1265"/>
                        <wps:cNvSpPr/>
                        <wps:spPr>
                          <a:xfrm>
                            <a:off x="0" y="0"/>
                            <a:ext cx="49530" cy="49530"/>
                          </a:xfrm>
                          <a:custGeom>
                            <a:avLst/>
                            <a:gdLst/>
                            <a:ahLst/>
                            <a:cxnLst/>
                            <a:rect l="l" t="t" r="r" b="b"/>
                            <a:pathLst>
                              <a:path w="49530" h="49530">
                                <a:moveTo>
                                  <a:pt x="49301" y="0"/>
                                </a:moveTo>
                                <a:lnTo>
                                  <a:pt x="0" y="0"/>
                                </a:lnTo>
                                <a:lnTo>
                                  <a:pt x="0" y="49301"/>
                                </a:lnTo>
                                <a:lnTo>
                                  <a:pt x="49301" y="49301"/>
                                </a:lnTo>
                                <a:lnTo>
                                  <a:pt x="49301"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71B83A6" id="Group 1263" o:spid="_x0000_s1026" style="position:absolute;margin-left:515.45pt;margin-top:-58.05pt;width:3.9pt;height:3.9pt;z-index:15943680;mso-wrap-distance-left:0;mso-wrap-distance-right:0;mso-position-horizontal-relative:page" coordsize="4953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">
                <v:shape id="Graphic 1264" o:spid="_x0000_s1027" style="position:absolute;left:1252;top:21118;width:33020;height:1270;visibility:visible;mso-wrap-style:square;v-text-anchor:top" coordsize="33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" path="m,l32766,e" filled="f" strokeweight=".23811mm">
                  <v:path arrowok="t"/>
                </v:shape>
                <v:shape id="Graphic 1265" o:spid="_x0000_s1028" style="position:absolute;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" path="m49301,l,,,49301r49301,l49301,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44192" behindDoc="0" locked="0" layoutInCell="1" allowOverlap="1" wp14:anchorId="30CCDBA2" wp14:editId="48A2B9ED">
                <wp:simplePos x="0" y="0"/>
                <wp:positionH relativeFrom="page">
                  <wp:posOffset>6414259</wp:posOffset>
                </wp:positionH>
                <wp:positionV relativeFrom="paragraph">
                  <wp:posOffset>-624637</wp:posOffset>
                </wp:positionV>
                <wp:extent cx="101600" cy="49530"/>
                <wp:effectExtent l="0" t="0" r="0" b="0"/>
                <wp:wrapNone/>
                <wp:docPr id="1266" name="Gro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600" cy="49530"/>
                          <a:chOff x="0" y="0"/>
                          <a:chExt cx="101600" cy="49530"/>
                        </a:xfrm>
                      </wpg:grpSpPr>
                      <wps:wsp>
                        <wps:cNvPr id="1267" name="Graphic 1267"/>
                        <wps:cNvSpPr/>
                        <wps:spPr>
                          <a:xfrm>
                            <a:off x="0" y="21130"/>
                            <a:ext cx="101600" cy="1270"/>
                          </a:xfrm>
                          <a:custGeom>
                            <a:avLst/>
                            <a:gdLst/>
                            <a:ahLst/>
                            <a:cxnLst/>
                            <a:rect l="l" t="t" r="r" b="b"/>
                            <a:pathLst>
                              <a:path w="101600">
                                <a:moveTo>
                                  <a:pt x="0" y="0"/>
                                </a:moveTo>
                                <a:lnTo>
                                  <a:pt x="101549" y="0"/>
                                </a:lnTo>
                              </a:path>
                            </a:pathLst>
                          </a:custGeom>
                          <a:ln w="8572">
                            <a:solidFill>
                              <a:srgbClr val="000000"/>
                            </a:solidFill>
                            <a:prstDash val="solid"/>
                          </a:ln>
                        </wps:spPr>
                        <wps:bodyPr wrap="square" lIns="0" tIns="0" rIns="0" bIns="0" rtlCol="0">
                          <a:prstTxWarp prst="textNoShape">
                            <a:avLst/>
                          </a:prstTxWarp>
                          <a:noAutofit/>
                        </wps:bodyPr>
                      </wps:wsp>
                      <wps:wsp>
                        <wps:cNvPr id="1268" name="Graphic 1268"/>
                        <wps:cNvSpPr/>
                        <wps:spPr>
                          <a:xfrm>
                            <a:off x="35994"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9F4E043" id="Group 1266" o:spid="_x0000_s1026" style="position:absolute;margin-left:505.05pt;margin-top:-49.2pt;width:8pt;height:3.9pt;z-index:15944192;mso-wrap-distance-left:0;mso-wrap-distance-right:0;mso-position-horizontal-relative:page" coordsize="10160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">
                <v:shape id="Graphic 1267" o:spid="_x0000_s1027" style="position:absolute;top:21130;width:101600;height:1270;visibility:visible;mso-wrap-style:square;v-text-anchor:top" coordsize="101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" path="m,l101549,e" filled="f" strokeweight=".23811mm">
                  <v:path arrowok="t"/>
                </v:shape>
                <v:shape id="Graphic 1268" o:spid="_x0000_s1028" style="position:absolute;left:35994;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" path="m49314,l,,,49301r49314,l49314,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44704" behindDoc="0" locked="0" layoutInCell="1" allowOverlap="1" wp14:anchorId="694AA041" wp14:editId="25C384DA">
                <wp:simplePos x="0" y="0"/>
                <wp:positionH relativeFrom="page">
                  <wp:posOffset>6567576</wp:posOffset>
                </wp:positionH>
                <wp:positionV relativeFrom="paragraph">
                  <wp:posOffset>-511938</wp:posOffset>
                </wp:positionV>
                <wp:extent cx="49530" cy="49530"/>
                <wp:effectExtent l="0" t="0" r="0" b="0"/>
                <wp:wrapNone/>
                <wp:docPr id="1269"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 cy="49530"/>
                          <a:chOff x="0" y="0"/>
                          <a:chExt cx="49530" cy="49530"/>
                        </a:xfrm>
                      </wpg:grpSpPr>
                      <wps:wsp>
                        <wps:cNvPr id="1270" name="Graphic 1270"/>
                        <wps:cNvSpPr/>
                        <wps:spPr>
                          <a:xfrm>
                            <a:off x="16644" y="21126"/>
                            <a:ext cx="7620" cy="1270"/>
                          </a:xfrm>
                          <a:custGeom>
                            <a:avLst/>
                            <a:gdLst/>
                            <a:ahLst/>
                            <a:cxnLst/>
                            <a:rect l="l" t="t" r="r" b="b"/>
                            <a:pathLst>
                              <a:path w="7620">
                                <a:moveTo>
                                  <a:pt x="0" y="0"/>
                                </a:moveTo>
                                <a:lnTo>
                                  <a:pt x="7035" y="0"/>
                                </a:lnTo>
                              </a:path>
                            </a:pathLst>
                          </a:custGeom>
                          <a:ln w="8572">
                            <a:solidFill>
                              <a:srgbClr val="000000"/>
                            </a:solidFill>
                            <a:prstDash val="solid"/>
                          </a:ln>
                        </wps:spPr>
                        <wps:bodyPr wrap="square" lIns="0" tIns="0" rIns="0" bIns="0" rtlCol="0">
                          <a:prstTxWarp prst="textNoShape">
                            <a:avLst/>
                          </a:prstTxWarp>
                          <a:noAutofit/>
                        </wps:bodyPr>
                      </wps:wsp>
                      <wps:wsp>
                        <wps:cNvPr id="1271" name="Graphic 1271"/>
                        <wps:cNvSpPr/>
                        <wps:spPr>
                          <a:xfrm>
                            <a:off x="0" y="0"/>
                            <a:ext cx="49530" cy="49530"/>
                          </a:xfrm>
                          <a:custGeom>
                            <a:avLst/>
                            <a:gdLst/>
                            <a:ahLst/>
                            <a:cxnLst/>
                            <a:rect l="l" t="t" r="r" b="b"/>
                            <a:pathLst>
                              <a:path w="49530" h="49530">
                                <a:moveTo>
                                  <a:pt x="49314" y="0"/>
                                </a:moveTo>
                                <a:lnTo>
                                  <a:pt x="0" y="0"/>
                                </a:lnTo>
                                <a:lnTo>
                                  <a:pt x="0" y="49301"/>
                                </a:lnTo>
                                <a:lnTo>
                                  <a:pt x="49314" y="49301"/>
                                </a:lnTo>
                                <a:lnTo>
                                  <a:pt x="49314"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EA56ED2" id="Group 1269" o:spid="_x0000_s1026" style="position:absolute;margin-left:517.15pt;margin-top:-40.3pt;width:3.9pt;height:3.9pt;z-index:15944704;mso-wrap-distance-left:0;mso-wrap-distance-right:0;mso-position-horizontal-relative:page" coordsize="4953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">
                <v:shape id="Graphic 1270" o:spid="_x0000_s1027" style="position:absolute;left:16644;top:21126;width:7620;height:1270;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" path="m,l7035,e" filled="f" strokeweight=".23811mm">
                  <v:path arrowok="t"/>
                </v:shape>
                <v:shape id="Graphic 1271" o:spid="_x0000_s1028" style="position:absolute;width:49530;height:49530;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" path="m49314,l,,,49301r49314,l49314,xe" fillcolor="#0000c0" stroked="f">
                  <v:path arrowok="t"/>
                </v:shape>
                <w10:wrap anchorx="page"/>
              </v:group>
            </w:pict>
          </mc:Fallback>
        </mc:AlternateContent>
      </w:r>
      <w:r w:rsidR="0022075A" w:rsidRPr="003C6DAE">
        <w:rPr>
          <w:spacing w:val="-2"/>
          <w:sz w:val="16"/>
          <w:szCs w:val="16"/>
          <w:lang w:val="uk-UA"/>
        </w:rPr>
        <w:t>ДІ: довірчий інтервал; FN: хибнонегативний результат; FP: хибнопозитивний результат; ТБ: туберкульоз; TN: істинно негативний результат; TP: істинно позитивний результат.</w:t>
      </w:r>
    </w:p>
    <w:p w14:paraId="5BBF10C9" w14:textId="77777777" w:rsidR="00E05B98" w:rsidRPr="003C6DAE" w:rsidRDefault="00E05B98" w:rsidP="00DD3C0C">
      <w:pPr>
        <w:pStyle w:val="a3"/>
        <w:spacing w:before="149"/>
        <w:jc w:val="both"/>
        <w:rPr>
          <w:sz w:val="18"/>
          <w:lang w:val="uk-UA"/>
        </w:rPr>
      </w:pPr>
    </w:p>
    <w:p w14:paraId="662206EA" w14:textId="3F934C30" w:rsidR="00E05B98" w:rsidRPr="003C6DAE" w:rsidRDefault="0022075A" w:rsidP="0064626F">
      <w:pPr>
        <w:spacing w:line="276" w:lineRule="auto"/>
        <w:ind w:left="567" w:right="1"/>
        <w:jc w:val="both"/>
        <w:rPr>
          <w:rFonts w:ascii="Arial" w:hAnsi="Arial"/>
          <w:b/>
          <w:sz w:val="20"/>
          <w:szCs w:val="20"/>
          <w:lang w:val="uk-UA"/>
        </w:rPr>
      </w:pPr>
      <w:r w:rsidRPr="003C6DAE">
        <w:rPr>
          <w:sz w:val="20"/>
          <w:szCs w:val="20"/>
          <w:lang w:val="uk-UA"/>
        </w:rPr>
        <w:t xml:space="preserve">Загальна чутливість у цих 29 дослідженнях коливалася від 79% до 100%, а специфічність - від 60% до 100%. </w:t>
      </w:r>
      <w:r w:rsidRPr="003C6DAE">
        <w:rPr>
          <w:b/>
          <w:bCs/>
          <w:sz w:val="20"/>
          <w:szCs w:val="20"/>
          <w:lang w:val="uk-UA"/>
        </w:rPr>
        <w:t>Об’єднана чутливість становила 93,0% (95% ДІ: 90,9–94,7%), а об’єднана специфічність становила 97,7% (95% ДІ: 95,6–98,8%).</w:t>
      </w:r>
    </w:p>
    <w:p w14:paraId="42702D87" w14:textId="77777777" w:rsidR="00E05B98" w:rsidRPr="003C6DAE" w:rsidRDefault="00E05B98" w:rsidP="00DD3C0C">
      <w:pPr>
        <w:spacing w:line="252" w:lineRule="exact"/>
        <w:jc w:val="both"/>
        <w:rPr>
          <w:rFonts w:ascii="Arial" w:hAnsi="Arial"/>
          <w:b/>
          <w:lang w:val="uk-UA"/>
        </w:rPr>
        <w:sectPr w:rsidR="00E05B98" w:rsidRPr="003C6DAE" w:rsidSect="00DD3C0C">
          <w:pgSz w:w="11910" w:h="16840"/>
          <w:pgMar w:top="993" w:right="853" w:bottom="760" w:left="850" w:header="0" w:footer="573" w:gutter="0"/>
          <w:cols w:space="720"/>
        </w:sectPr>
      </w:pPr>
    </w:p>
    <w:p w14:paraId="648F6ACF" w14:textId="29BAA98E" w:rsidR="00E05B98" w:rsidRPr="00D82162" w:rsidRDefault="00D82162" w:rsidP="00D82162">
      <w:pPr>
        <w:pStyle w:val="6"/>
        <w:spacing w:line="249" w:lineRule="auto"/>
        <w:ind w:left="2835" w:right="5" w:hanging="2268"/>
        <w:jc w:val="both"/>
        <w:rPr>
          <w:sz w:val="22"/>
          <w:szCs w:val="22"/>
          <w:lang w:val="uk-UA"/>
        </w:rPr>
      </w:pPr>
      <w:r>
        <w:rPr>
          <w:sz w:val="22"/>
          <w:szCs w:val="22"/>
          <w:lang w:val="uk-UA"/>
        </w:rPr>
        <w:lastRenderedPageBreak/>
        <w:t>Зап</w:t>
      </w:r>
      <w:r w:rsidR="0022075A" w:rsidRPr="00D82162">
        <w:rPr>
          <w:sz w:val="22"/>
          <w:szCs w:val="22"/>
          <w:lang w:val="uk-UA"/>
        </w:rPr>
        <w:t xml:space="preserve">итання </w:t>
      </w:r>
      <w:r w:rsidR="00B01E0C" w:rsidRPr="00D82162">
        <w:rPr>
          <w:sz w:val="22"/>
          <w:szCs w:val="22"/>
          <w:lang w:val="uk-UA"/>
        </w:rPr>
        <w:t>PICO</w:t>
      </w:r>
      <w:r w:rsidR="00B01E0C" w:rsidRPr="00D82162">
        <w:rPr>
          <w:spacing w:val="-12"/>
          <w:sz w:val="22"/>
          <w:szCs w:val="22"/>
          <w:lang w:val="uk-UA"/>
        </w:rPr>
        <w:t xml:space="preserve"> </w:t>
      </w:r>
      <w:r w:rsidR="00B01E0C" w:rsidRPr="00D82162">
        <w:rPr>
          <w:sz w:val="22"/>
          <w:szCs w:val="22"/>
          <w:lang w:val="uk-UA"/>
        </w:rPr>
        <w:t>2:</w:t>
      </w:r>
      <w:r w:rsidR="00843DDA" w:rsidRPr="00D82162">
        <w:rPr>
          <w:spacing w:val="-12"/>
          <w:sz w:val="22"/>
          <w:szCs w:val="22"/>
          <w:lang w:val="uk-UA"/>
        </w:rPr>
        <w:t xml:space="preserve"> </w:t>
      </w:r>
      <w:r>
        <w:rPr>
          <w:spacing w:val="-12"/>
          <w:sz w:val="22"/>
          <w:szCs w:val="22"/>
          <w:lang w:val="uk-UA"/>
        </w:rPr>
        <w:t xml:space="preserve">     </w:t>
      </w:r>
      <w:r w:rsidR="00843DDA" w:rsidRPr="00D82162">
        <w:rPr>
          <w:sz w:val="22"/>
          <w:szCs w:val="22"/>
          <w:lang w:val="uk-UA"/>
        </w:rPr>
        <w:t>Чи слід використовувати автоматизовані ТАНК помірної складності на зразках із дихальних шляхів у людей з ознаками та симптомами легеневого ТБ для виявлення стійкості до рифампіцину, порівняно з фенотипічним ТМЧ на основі бакпосіву?</w:t>
      </w:r>
    </w:p>
    <w:p w14:paraId="6D016E13" w14:textId="6270CBE8" w:rsidR="00E05B98" w:rsidRPr="003C6DAE" w:rsidRDefault="00843DDA" w:rsidP="00DD3C0C">
      <w:pPr>
        <w:pStyle w:val="a3"/>
        <w:spacing w:before="218" w:line="297" w:lineRule="auto"/>
        <w:ind w:left="567" w:right="138"/>
        <w:jc w:val="both"/>
        <w:rPr>
          <w:sz w:val="20"/>
          <w:szCs w:val="20"/>
          <w:lang w:val="uk-UA"/>
        </w:rPr>
      </w:pPr>
      <w:r w:rsidRPr="003C6DAE">
        <w:rPr>
          <w:sz w:val="20"/>
          <w:szCs w:val="20"/>
          <w:lang w:val="uk-UA"/>
        </w:rPr>
        <w:t xml:space="preserve">Загалом 18 досліджень </w:t>
      </w:r>
      <w:r w:rsidR="00236B13">
        <w:rPr>
          <w:sz w:val="20"/>
          <w:szCs w:val="20"/>
          <w:lang w:val="uk-UA"/>
        </w:rPr>
        <w:t>(</w:t>
      </w:r>
      <w:r w:rsidRPr="003C6DAE">
        <w:rPr>
          <w:sz w:val="20"/>
          <w:szCs w:val="20"/>
          <w:lang w:val="uk-UA"/>
        </w:rPr>
        <w:t>2874 зразки</w:t>
      </w:r>
      <w:r w:rsidR="00236B13">
        <w:rPr>
          <w:sz w:val="20"/>
          <w:szCs w:val="20"/>
          <w:lang w:val="uk-UA"/>
        </w:rPr>
        <w:t>)</w:t>
      </w:r>
      <w:r w:rsidRPr="003C6DAE">
        <w:rPr>
          <w:sz w:val="20"/>
          <w:szCs w:val="20"/>
          <w:lang w:val="uk-UA"/>
        </w:rPr>
        <w:t xml:space="preserve"> надали дані по тестуванню стійкості до рифампіцину з використанням автоматизованих ТАНК помірної складності (</w:t>
      </w:r>
      <w:r w:rsidRPr="003C6DAE">
        <w:rPr>
          <w:b/>
          <w:bCs/>
          <w:sz w:val="20"/>
          <w:szCs w:val="20"/>
          <w:lang w:val="uk-UA"/>
        </w:rPr>
        <w:t>рис. 2.1.2.2</w:t>
      </w:r>
      <w:r w:rsidRPr="003C6DAE">
        <w:rPr>
          <w:sz w:val="20"/>
          <w:szCs w:val="20"/>
          <w:lang w:val="uk-UA"/>
        </w:rPr>
        <w:t xml:space="preserve">). Із цих 18 досліджень дев'ять були проведені з використанням тесту Abbott RealTime RIF/INH, три - з використанням тесту FluoroType MTBDR, чотири - з використанням тесту BD MAX і два - з використанням тесту cobas RIF/INH. Еталонним стандартом для кожного з цих досліджень для виявлення </w:t>
      </w:r>
      <w:r w:rsidR="0000617E" w:rsidRPr="003C6DAE">
        <w:rPr>
          <w:sz w:val="20"/>
          <w:szCs w:val="20"/>
          <w:lang w:val="uk-UA"/>
        </w:rPr>
        <w:t>стійкості</w:t>
      </w:r>
      <w:r w:rsidRPr="003C6DAE">
        <w:rPr>
          <w:sz w:val="20"/>
          <w:szCs w:val="20"/>
          <w:lang w:val="uk-UA"/>
        </w:rPr>
        <w:t xml:space="preserve"> до лікарських засобів був </w:t>
      </w:r>
      <w:proofErr w:type="spellStart"/>
      <w:r w:rsidRPr="003C6DAE">
        <w:rPr>
          <w:sz w:val="20"/>
          <w:szCs w:val="20"/>
          <w:lang w:val="uk-UA"/>
        </w:rPr>
        <w:t>фенотип</w:t>
      </w:r>
      <w:r w:rsidR="006875E3">
        <w:rPr>
          <w:sz w:val="20"/>
          <w:szCs w:val="20"/>
          <w:lang w:val="uk-UA"/>
        </w:rPr>
        <w:t>ов</w:t>
      </w:r>
      <w:r w:rsidRPr="003C6DAE">
        <w:rPr>
          <w:sz w:val="20"/>
          <w:szCs w:val="20"/>
          <w:lang w:val="uk-UA"/>
        </w:rPr>
        <w:t>ий</w:t>
      </w:r>
      <w:proofErr w:type="spellEnd"/>
      <w:r w:rsidRPr="003C6DAE">
        <w:rPr>
          <w:sz w:val="20"/>
          <w:szCs w:val="20"/>
          <w:lang w:val="uk-UA"/>
        </w:rPr>
        <w:t xml:space="preserve"> ТМЧ з використанням комбінованого еталонного стандарту, що включав як </w:t>
      </w:r>
      <w:proofErr w:type="spellStart"/>
      <w:r w:rsidRPr="003C6DAE">
        <w:rPr>
          <w:sz w:val="20"/>
          <w:szCs w:val="20"/>
          <w:lang w:val="uk-UA"/>
        </w:rPr>
        <w:t>фенотип</w:t>
      </w:r>
      <w:r w:rsidR="0061310B">
        <w:rPr>
          <w:sz w:val="20"/>
          <w:szCs w:val="20"/>
          <w:lang w:val="uk-UA"/>
        </w:rPr>
        <w:t>ов</w:t>
      </w:r>
      <w:r w:rsidRPr="003C6DAE">
        <w:rPr>
          <w:sz w:val="20"/>
          <w:szCs w:val="20"/>
          <w:lang w:val="uk-UA"/>
        </w:rPr>
        <w:t>ий</w:t>
      </w:r>
      <w:proofErr w:type="spellEnd"/>
      <w:r w:rsidRPr="003C6DAE">
        <w:rPr>
          <w:sz w:val="20"/>
          <w:szCs w:val="20"/>
          <w:lang w:val="uk-UA"/>
        </w:rPr>
        <w:t xml:space="preserve"> ТМЧ, так і результати секвенування.</w:t>
      </w:r>
    </w:p>
    <w:p w14:paraId="6AE8B7CD" w14:textId="3D4CBC08" w:rsidR="00E05B98" w:rsidRPr="00166097" w:rsidRDefault="00843DDA" w:rsidP="00DD3C0C">
      <w:pPr>
        <w:pStyle w:val="a3"/>
        <w:spacing w:before="168" w:line="297" w:lineRule="auto"/>
        <w:ind w:left="567" w:right="143"/>
        <w:jc w:val="both"/>
        <w:rPr>
          <w:w w:val="105"/>
          <w:sz w:val="20"/>
          <w:szCs w:val="20"/>
          <w:lang w:val="uk-UA"/>
        </w:rPr>
      </w:pPr>
      <w:r w:rsidRPr="003C6DAE">
        <w:rPr>
          <w:w w:val="105"/>
          <w:sz w:val="20"/>
          <w:szCs w:val="20"/>
          <w:lang w:val="uk-UA"/>
        </w:rPr>
        <w:t>Вісім (44%) із 18 досліджень мали високий або неясний ризик систематичної похибки, оскільки під час їх проведення не повідомлялося про відбір учасників або тестування зразків перед включенням у дослідження.</w:t>
      </w:r>
    </w:p>
    <w:p w14:paraId="1B867C55" w14:textId="77777777" w:rsidR="00236B13" w:rsidRPr="00166097" w:rsidRDefault="00236B13" w:rsidP="00DD3C0C">
      <w:pPr>
        <w:pStyle w:val="a3"/>
        <w:spacing w:before="168" w:line="297" w:lineRule="auto"/>
        <w:ind w:left="567" w:right="143"/>
        <w:jc w:val="both"/>
        <w:rPr>
          <w:sz w:val="20"/>
          <w:szCs w:val="20"/>
          <w:lang w:val="uk-UA"/>
        </w:rPr>
      </w:pPr>
    </w:p>
    <w:p w14:paraId="7CE018B3" w14:textId="1DD292AA" w:rsidR="00E05B98" w:rsidRPr="003C6DAE" w:rsidRDefault="00B01E0C" w:rsidP="00DD3C0C">
      <w:pPr>
        <w:pStyle w:val="6"/>
        <w:spacing w:before="242" w:line="249" w:lineRule="auto"/>
        <w:ind w:right="419"/>
        <w:jc w:val="both"/>
        <w:rPr>
          <w:lang w:val="uk-UA"/>
        </w:rPr>
      </w:pPr>
      <w:r w:rsidRPr="003C6DAE">
        <w:rPr>
          <w:noProof/>
          <w:sz w:val="20"/>
          <w:szCs w:val="20"/>
          <w:lang w:val="uk-UA"/>
        </w:rPr>
        <w:drawing>
          <wp:anchor distT="0" distB="0" distL="0" distR="0" simplePos="0" relativeHeight="15945216" behindDoc="0" locked="0" layoutInCell="1" allowOverlap="1" wp14:anchorId="71DEDE84" wp14:editId="58CC6B2C">
            <wp:simplePos x="0" y="0"/>
            <wp:positionH relativeFrom="page">
              <wp:posOffset>940183</wp:posOffset>
            </wp:positionH>
            <wp:positionV relativeFrom="paragraph">
              <wp:posOffset>708682</wp:posOffset>
            </wp:positionV>
            <wp:extent cx="895898" cy="1909762"/>
            <wp:effectExtent l="0" t="0" r="0" b="0"/>
            <wp:wrapNone/>
            <wp:docPr id="1272" name="Image 1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2" name="Image 1272"/>
                    <pic:cNvPicPr/>
                  </pic:nvPicPr>
                  <pic:blipFill>
                    <a:blip r:embed="rId65" cstate="print"/>
                    <a:stretch>
                      <a:fillRect/>
                    </a:stretch>
                  </pic:blipFill>
                  <pic:spPr>
                    <a:xfrm>
                      <a:off x="0" y="0"/>
                      <a:ext cx="895898" cy="1909762"/>
                    </a:xfrm>
                    <a:prstGeom prst="rect">
                      <a:avLst/>
                    </a:prstGeom>
                  </pic:spPr>
                </pic:pic>
              </a:graphicData>
            </a:graphic>
          </wp:anchor>
        </w:drawing>
      </w:r>
      <w:r w:rsidRPr="003C6DAE">
        <w:rPr>
          <w:noProof/>
          <w:sz w:val="20"/>
          <w:szCs w:val="20"/>
          <w:lang w:val="uk-UA"/>
        </w:rPr>
        <mc:AlternateContent>
          <mc:Choice Requires="wps">
            <w:drawing>
              <wp:anchor distT="0" distB="0" distL="0" distR="0" simplePos="0" relativeHeight="15946240" behindDoc="0" locked="0" layoutInCell="1" allowOverlap="1" wp14:anchorId="6468EA7D" wp14:editId="4D8FB42B">
                <wp:simplePos x="0" y="0"/>
                <wp:positionH relativeFrom="page">
                  <wp:posOffset>2163690</wp:posOffset>
                </wp:positionH>
                <wp:positionV relativeFrom="paragraph">
                  <wp:posOffset>712822</wp:posOffset>
                </wp:positionV>
                <wp:extent cx="108585" cy="62230"/>
                <wp:effectExtent l="0" t="0" r="0" b="0"/>
                <wp:wrapNone/>
                <wp:docPr id="1273" name="Graphic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62230"/>
                        </a:xfrm>
                        <a:custGeom>
                          <a:avLst/>
                          <a:gdLst/>
                          <a:ahLst/>
                          <a:cxnLst/>
                          <a:rect l="l" t="t" r="r" b="b"/>
                          <a:pathLst>
                            <a:path w="108585" h="62230">
                              <a:moveTo>
                                <a:pt x="94945" y="0"/>
                              </a:moveTo>
                              <a:lnTo>
                                <a:pt x="65862" y="0"/>
                              </a:lnTo>
                              <a:lnTo>
                                <a:pt x="65862" y="61848"/>
                              </a:lnTo>
                              <a:lnTo>
                                <a:pt x="78486" y="61848"/>
                              </a:lnTo>
                              <a:lnTo>
                                <a:pt x="78486" y="37617"/>
                              </a:lnTo>
                              <a:lnTo>
                                <a:pt x="91579" y="37617"/>
                              </a:lnTo>
                              <a:lnTo>
                                <a:pt x="97599" y="35750"/>
                              </a:lnTo>
                              <a:lnTo>
                                <a:pt x="105268" y="29133"/>
                              </a:lnTo>
                              <a:lnTo>
                                <a:pt x="78486" y="29133"/>
                              </a:lnTo>
                              <a:lnTo>
                                <a:pt x="78486" y="8483"/>
                              </a:lnTo>
                              <a:lnTo>
                                <a:pt x="107589" y="8483"/>
                              </a:lnTo>
                              <a:lnTo>
                                <a:pt x="106756" y="6311"/>
                              </a:lnTo>
                              <a:lnTo>
                                <a:pt x="100317" y="1269"/>
                              </a:lnTo>
                              <a:lnTo>
                                <a:pt x="94945" y="0"/>
                              </a:lnTo>
                              <a:close/>
                            </a:path>
                            <a:path w="108585" h="62230">
                              <a:moveTo>
                                <a:pt x="107589" y="8483"/>
                              </a:moveTo>
                              <a:lnTo>
                                <a:pt x="91325" y="8483"/>
                              </a:lnTo>
                              <a:lnTo>
                                <a:pt x="95237" y="11569"/>
                              </a:lnTo>
                              <a:lnTo>
                                <a:pt x="95237" y="21234"/>
                              </a:lnTo>
                              <a:lnTo>
                                <a:pt x="93967" y="24015"/>
                              </a:lnTo>
                              <a:lnTo>
                                <a:pt x="88861" y="28105"/>
                              </a:lnTo>
                              <a:lnTo>
                                <a:pt x="85394" y="29133"/>
                              </a:lnTo>
                              <a:lnTo>
                                <a:pt x="105268" y="29133"/>
                              </a:lnTo>
                              <a:lnTo>
                                <a:pt x="106210" y="28320"/>
                              </a:lnTo>
                              <a:lnTo>
                                <a:pt x="108369" y="23113"/>
                              </a:lnTo>
                              <a:lnTo>
                                <a:pt x="108369" y="10515"/>
                              </a:lnTo>
                              <a:lnTo>
                                <a:pt x="107589" y="8483"/>
                              </a:lnTo>
                              <a:close/>
                            </a:path>
                            <a:path w="108585" h="62230">
                              <a:moveTo>
                                <a:pt x="35064" y="8483"/>
                              </a:moveTo>
                              <a:lnTo>
                                <a:pt x="22148" y="8483"/>
                              </a:lnTo>
                              <a:lnTo>
                                <a:pt x="22148" y="61848"/>
                              </a:lnTo>
                              <a:lnTo>
                                <a:pt x="35064" y="61848"/>
                              </a:lnTo>
                              <a:lnTo>
                                <a:pt x="35064" y="8483"/>
                              </a:lnTo>
                              <a:close/>
                            </a:path>
                            <a:path w="108585" h="62230">
                              <a:moveTo>
                                <a:pt x="57213" y="0"/>
                              </a:moveTo>
                              <a:lnTo>
                                <a:pt x="0" y="0"/>
                              </a:lnTo>
                              <a:lnTo>
                                <a:pt x="0" y="8483"/>
                              </a:lnTo>
                              <a:lnTo>
                                <a:pt x="57213" y="8483"/>
                              </a:lnTo>
                              <a:lnTo>
                                <a:pt x="572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CEB972" id="Graphic 1273" o:spid="_x0000_s1026" style="position:absolute;margin-left:170.35pt;margin-top:56.15pt;width:8.55pt;height:4.9pt;z-index:15946240;visibility:visible;mso-wrap-style:square;mso-wrap-distance-left:0;mso-wrap-distance-top:0;mso-wrap-distance-right:0;mso-wrap-distance-bottom:0;mso-position-horizontal:absolute;mso-position-horizontal-relative:page;mso-position-vertical:absolute;mso-position-vertical-relative:text;v-text-anchor:top" coordsize="108585,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" path="m94945,l65862,r,61848l78486,61848r,-24231l91579,37617r6020,-1867l105268,29133r-26782,l78486,8483r29103,l106756,6311,100317,1269,94945,xem107589,8483r-16264,l95237,11569r,9665l93967,24015r-5106,4090l85394,29133r19874,l106210,28320r2159,-5207l108369,10515r-780,-2032xem35064,8483r-12916,l22148,61848r12916,l35064,8483xem57213,l,,,8483r57213,l57213,xe" fillcolor="black" stroked="f">
                <v:path arrowok="t"/>
                <w10:wrap anchorx="page"/>
              </v:shape>
            </w:pict>
          </mc:Fallback>
        </mc:AlternateContent>
      </w:r>
      <w:r w:rsidRPr="003C6DAE">
        <w:rPr>
          <w:noProof/>
          <w:sz w:val="20"/>
          <w:szCs w:val="20"/>
          <w:lang w:val="uk-UA"/>
        </w:rPr>
        <w:drawing>
          <wp:anchor distT="0" distB="0" distL="0" distR="0" simplePos="0" relativeHeight="15946752" behindDoc="0" locked="0" layoutInCell="1" allowOverlap="1" wp14:anchorId="083C5380" wp14:editId="1CFFAB44">
            <wp:simplePos x="0" y="0"/>
            <wp:positionH relativeFrom="page">
              <wp:posOffset>2120275</wp:posOffset>
            </wp:positionH>
            <wp:positionV relativeFrom="paragraph">
              <wp:posOffset>840601</wp:posOffset>
            </wp:positionV>
            <wp:extent cx="144459" cy="2005012"/>
            <wp:effectExtent l="0" t="0" r="0" b="0"/>
            <wp:wrapNone/>
            <wp:docPr id="1274" name="Image 1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4" name="Image 1274"/>
                    <pic:cNvPicPr/>
                  </pic:nvPicPr>
                  <pic:blipFill>
                    <a:blip r:embed="rId66" cstate="print"/>
                    <a:stretch>
                      <a:fillRect/>
                    </a:stretch>
                  </pic:blipFill>
                  <pic:spPr>
                    <a:xfrm>
                      <a:off x="0" y="0"/>
                      <a:ext cx="144459" cy="2005012"/>
                    </a:xfrm>
                    <a:prstGeom prst="rect">
                      <a:avLst/>
                    </a:prstGeom>
                  </pic:spPr>
                </pic:pic>
              </a:graphicData>
            </a:graphic>
          </wp:anchor>
        </w:drawing>
      </w:r>
      <w:r w:rsidRPr="003C6DAE">
        <w:rPr>
          <w:noProof/>
          <w:sz w:val="20"/>
          <w:szCs w:val="20"/>
          <w:lang w:val="uk-UA"/>
        </w:rPr>
        <mc:AlternateContent>
          <mc:Choice Requires="wps">
            <w:drawing>
              <wp:anchor distT="0" distB="0" distL="0" distR="0" simplePos="0" relativeHeight="15947264" behindDoc="0" locked="0" layoutInCell="1" allowOverlap="1" wp14:anchorId="20CDF99B" wp14:editId="175A1AC9">
                <wp:simplePos x="0" y="0"/>
                <wp:positionH relativeFrom="page">
                  <wp:posOffset>2355946</wp:posOffset>
                </wp:positionH>
                <wp:positionV relativeFrom="paragraph">
                  <wp:posOffset>712822</wp:posOffset>
                </wp:positionV>
                <wp:extent cx="92075" cy="62230"/>
                <wp:effectExtent l="0" t="0" r="0" b="0"/>
                <wp:wrapNone/>
                <wp:docPr id="1275" name="Graphic 1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62230"/>
                        </a:xfrm>
                        <a:custGeom>
                          <a:avLst/>
                          <a:gdLst/>
                          <a:ahLst/>
                          <a:cxnLst/>
                          <a:rect l="l" t="t" r="r" b="b"/>
                          <a:pathLst>
                            <a:path w="92075" h="62230">
                              <a:moveTo>
                                <a:pt x="78219" y="0"/>
                              </a:moveTo>
                              <a:lnTo>
                                <a:pt x="49136" y="0"/>
                              </a:lnTo>
                              <a:lnTo>
                                <a:pt x="49136" y="61848"/>
                              </a:lnTo>
                              <a:lnTo>
                                <a:pt x="61760" y="61848"/>
                              </a:lnTo>
                              <a:lnTo>
                                <a:pt x="61760" y="37617"/>
                              </a:lnTo>
                              <a:lnTo>
                                <a:pt x="74853" y="37617"/>
                              </a:lnTo>
                              <a:lnTo>
                                <a:pt x="80873" y="35750"/>
                              </a:lnTo>
                              <a:lnTo>
                                <a:pt x="88542" y="29133"/>
                              </a:lnTo>
                              <a:lnTo>
                                <a:pt x="61760" y="29133"/>
                              </a:lnTo>
                              <a:lnTo>
                                <a:pt x="61760" y="8483"/>
                              </a:lnTo>
                              <a:lnTo>
                                <a:pt x="90863" y="8483"/>
                              </a:lnTo>
                              <a:lnTo>
                                <a:pt x="90030" y="6311"/>
                              </a:lnTo>
                              <a:lnTo>
                                <a:pt x="83591" y="1269"/>
                              </a:lnTo>
                              <a:lnTo>
                                <a:pt x="78219" y="0"/>
                              </a:lnTo>
                              <a:close/>
                            </a:path>
                            <a:path w="92075" h="62230">
                              <a:moveTo>
                                <a:pt x="90863" y="8483"/>
                              </a:moveTo>
                              <a:lnTo>
                                <a:pt x="74599" y="8483"/>
                              </a:lnTo>
                              <a:lnTo>
                                <a:pt x="78511" y="11569"/>
                              </a:lnTo>
                              <a:lnTo>
                                <a:pt x="78511" y="21234"/>
                              </a:lnTo>
                              <a:lnTo>
                                <a:pt x="77241" y="24015"/>
                              </a:lnTo>
                              <a:lnTo>
                                <a:pt x="72136" y="28105"/>
                              </a:lnTo>
                              <a:lnTo>
                                <a:pt x="68668" y="29133"/>
                              </a:lnTo>
                              <a:lnTo>
                                <a:pt x="88542" y="29133"/>
                              </a:lnTo>
                              <a:lnTo>
                                <a:pt x="89484" y="28320"/>
                              </a:lnTo>
                              <a:lnTo>
                                <a:pt x="91643" y="23113"/>
                              </a:lnTo>
                              <a:lnTo>
                                <a:pt x="91643" y="10515"/>
                              </a:lnTo>
                              <a:lnTo>
                                <a:pt x="90863" y="8483"/>
                              </a:lnTo>
                              <a:close/>
                            </a:path>
                            <a:path w="92075" h="62230">
                              <a:moveTo>
                                <a:pt x="38900" y="0"/>
                              </a:moveTo>
                              <a:lnTo>
                                <a:pt x="0" y="0"/>
                              </a:lnTo>
                              <a:lnTo>
                                <a:pt x="0" y="61848"/>
                              </a:lnTo>
                              <a:lnTo>
                                <a:pt x="12865" y="61848"/>
                              </a:lnTo>
                              <a:lnTo>
                                <a:pt x="12865" y="35813"/>
                              </a:lnTo>
                              <a:lnTo>
                                <a:pt x="34264" y="35813"/>
                              </a:lnTo>
                              <a:lnTo>
                                <a:pt x="34264" y="27292"/>
                              </a:lnTo>
                              <a:lnTo>
                                <a:pt x="12865" y="27292"/>
                              </a:lnTo>
                              <a:lnTo>
                                <a:pt x="12865" y="8483"/>
                              </a:lnTo>
                              <a:lnTo>
                                <a:pt x="38900" y="8483"/>
                              </a:lnTo>
                              <a:lnTo>
                                <a:pt x="389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6807EB" id="Graphic 1275" o:spid="_x0000_s1026" style="position:absolute;margin-left:185.5pt;margin-top:56.15pt;width:7.25pt;height:4.9pt;z-index:15947264;visibility:visible;mso-wrap-style:square;mso-wrap-distance-left:0;mso-wrap-distance-top:0;mso-wrap-distance-right:0;mso-wrap-distance-bottom:0;mso-position-horizontal:absolute;mso-position-horizontal-relative:page;mso-position-vertical:absolute;mso-position-vertical-relative:text;v-text-anchor:top" coordsize="92075,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" path="m78219,l49136,r,61848l61760,61848r,-24231l74853,37617r6020,-1867l88542,29133r-26782,l61760,8483r29103,l90030,6311,83591,1269,78219,xem90863,8483r-16264,l78511,11569r,9665l77241,24015r-5105,4090l68668,29133r19874,l89484,28320r2159,-5207l91643,10515,90863,8483xem38900,l,,,61848r12865,l12865,35813r21399,l34264,27292r-21399,l12865,8483r26035,l38900,xe" fillcolor="black" stroked="f">
                <v:path arrowok="t"/>
                <w10:wrap anchorx="page"/>
              </v:shape>
            </w:pict>
          </mc:Fallback>
        </mc:AlternateContent>
      </w:r>
      <w:r w:rsidRPr="003C6DAE">
        <w:rPr>
          <w:noProof/>
          <w:sz w:val="20"/>
          <w:szCs w:val="20"/>
          <w:lang w:val="uk-UA"/>
        </w:rPr>
        <w:drawing>
          <wp:anchor distT="0" distB="0" distL="0" distR="0" simplePos="0" relativeHeight="15947776" behindDoc="0" locked="0" layoutInCell="1" allowOverlap="1" wp14:anchorId="65CE2C5F" wp14:editId="76C244A4">
            <wp:simplePos x="0" y="0"/>
            <wp:positionH relativeFrom="page">
              <wp:posOffset>2352687</wp:posOffset>
            </wp:positionH>
            <wp:positionV relativeFrom="paragraph">
              <wp:posOffset>840610</wp:posOffset>
            </wp:positionV>
            <wp:extent cx="89980" cy="2005012"/>
            <wp:effectExtent l="0" t="0" r="0" b="0"/>
            <wp:wrapNone/>
            <wp:docPr id="1276" name="Image 1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6" name="Image 1276"/>
                    <pic:cNvPicPr/>
                  </pic:nvPicPr>
                  <pic:blipFill>
                    <a:blip r:embed="rId67" cstate="print"/>
                    <a:stretch>
                      <a:fillRect/>
                    </a:stretch>
                  </pic:blipFill>
                  <pic:spPr>
                    <a:xfrm>
                      <a:off x="0" y="0"/>
                      <a:ext cx="89980" cy="2005012"/>
                    </a:xfrm>
                    <a:prstGeom prst="rect">
                      <a:avLst/>
                    </a:prstGeom>
                  </pic:spPr>
                </pic:pic>
              </a:graphicData>
            </a:graphic>
          </wp:anchor>
        </w:drawing>
      </w:r>
      <w:r w:rsidRPr="003C6DAE">
        <w:rPr>
          <w:noProof/>
          <w:sz w:val="20"/>
          <w:szCs w:val="20"/>
          <w:lang w:val="uk-UA"/>
        </w:rPr>
        <mc:AlternateContent>
          <mc:Choice Requires="wps">
            <w:drawing>
              <wp:anchor distT="0" distB="0" distL="0" distR="0" simplePos="0" relativeHeight="15948288" behindDoc="0" locked="0" layoutInCell="1" allowOverlap="1" wp14:anchorId="74C81EE3" wp14:editId="15D04D8E">
                <wp:simplePos x="0" y="0"/>
                <wp:positionH relativeFrom="page">
                  <wp:posOffset>2527109</wp:posOffset>
                </wp:positionH>
                <wp:positionV relativeFrom="paragraph">
                  <wp:posOffset>712825</wp:posOffset>
                </wp:positionV>
                <wp:extent cx="99695" cy="62230"/>
                <wp:effectExtent l="0" t="0" r="0" b="0"/>
                <wp:wrapNone/>
                <wp:docPr id="1277" name="Graphic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62230"/>
                        </a:xfrm>
                        <a:custGeom>
                          <a:avLst/>
                          <a:gdLst/>
                          <a:ahLst/>
                          <a:cxnLst/>
                          <a:rect l="l" t="t" r="r" b="b"/>
                          <a:pathLst>
                            <a:path w="99695" h="62230">
                              <a:moveTo>
                                <a:pt x="60477" y="0"/>
                              </a:moveTo>
                              <a:lnTo>
                                <a:pt x="49149" y="0"/>
                              </a:lnTo>
                              <a:lnTo>
                                <a:pt x="49149" y="61849"/>
                              </a:lnTo>
                              <a:lnTo>
                                <a:pt x="59461" y="61849"/>
                              </a:lnTo>
                              <a:lnTo>
                                <a:pt x="59461" y="19596"/>
                              </a:lnTo>
                              <a:lnTo>
                                <a:pt x="73771" y="19596"/>
                              </a:lnTo>
                              <a:lnTo>
                                <a:pt x="60477" y="0"/>
                              </a:lnTo>
                              <a:close/>
                            </a:path>
                            <a:path w="99695" h="62230">
                              <a:moveTo>
                                <a:pt x="73771" y="19596"/>
                              </a:moveTo>
                              <a:lnTo>
                                <a:pt x="59461" y="19596"/>
                              </a:lnTo>
                              <a:lnTo>
                                <a:pt x="87922" y="61849"/>
                              </a:lnTo>
                              <a:lnTo>
                                <a:pt x="99453" y="61849"/>
                              </a:lnTo>
                              <a:lnTo>
                                <a:pt x="99453" y="42252"/>
                              </a:lnTo>
                              <a:lnTo>
                                <a:pt x="89141" y="42252"/>
                              </a:lnTo>
                              <a:lnTo>
                                <a:pt x="73771" y="19596"/>
                              </a:lnTo>
                              <a:close/>
                            </a:path>
                            <a:path w="99695" h="62230">
                              <a:moveTo>
                                <a:pt x="99453" y="0"/>
                              </a:moveTo>
                              <a:lnTo>
                                <a:pt x="89141" y="0"/>
                              </a:lnTo>
                              <a:lnTo>
                                <a:pt x="89141" y="42252"/>
                              </a:lnTo>
                              <a:lnTo>
                                <a:pt x="99453" y="42252"/>
                              </a:lnTo>
                              <a:lnTo>
                                <a:pt x="99453" y="0"/>
                              </a:lnTo>
                              <a:close/>
                            </a:path>
                            <a:path w="99695" h="62230">
                              <a:moveTo>
                                <a:pt x="38912" y="0"/>
                              </a:moveTo>
                              <a:lnTo>
                                <a:pt x="0" y="0"/>
                              </a:lnTo>
                              <a:lnTo>
                                <a:pt x="0" y="61849"/>
                              </a:lnTo>
                              <a:lnTo>
                                <a:pt x="12877" y="61849"/>
                              </a:lnTo>
                              <a:lnTo>
                                <a:pt x="12877" y="35814"/>
                              </a:lnTo>
                              <a:lnTo>
                                <a:pt x="34277" y="35814"/>
                              </a:lnTo>
                              <a:lnTo>
                                <a:pt x="34277" y="27292"/>
                              </a:lnTo>
                              <a:lnTo>
                                <a:pt x="12877" y="27292"/>
                              </a:lnTo>
                              <a:lnTo>
                                <a:pt x="12877" y="8483"/>
                              </a:lnTo>
                              <a:lnTo>
                                <a:pt x="38912" y="8483"/>
                              </a:lnTo>
                              <a:lnTo>
                                <a:pt x="389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1F7149" id="Graphic 1277" o:spid="_x0000_s1026" style="position:absolute;margin-left:199pt;margin-top:56.15pt;width:7.85pt;height:4.9pt;z-index:15948288;visibility:visible;mso-wrap-style:square;mso-wrap-distance-left:0;mso-wrap-distance-top:0;mso-wrap-distance-right:0;mso-wrap-distance-bottom:0;mso-position-horizontal:absolute;mso-position-horizontal-relative:page;mso-position-vertical:absolute;mso-position-vertical-relative:text;v-text-anchor:top" coordsize="99695,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" path="m60477,l49149,r,61849l59461,61849r,-42253l73771,19596,60477,xem73771,19596r-14310,l87922,61849r11531,l99453,42252r-10312,l73771,19596xem99453,l89141,r,42252l99453,42252,99453,xem38912,l,,,61849r12877,l12877,35814r21400,l34277,27292r-21400,l12877,8483r26035,l38912,xe" fillcolor="black" stroked="f">
                <v:path arrowok="t"/>
                <w10:wrap anchorx="page"/>
              </v:shape>
            </w:pict>
          </mc:Fallback>
        </mc:AlternateContent>
      </w:r>
      <w:r w:rsidRPr="003C6DAE">
        <w:rPr>
          <w:noProof/>
          <w:sz w:val="20"/>
          <w:szCs w:val="20"/>
          <w:lang w:val="uk-UA"/>
        </w:rPr>
        <w:drawing>
          <wp:anchor distT="0" distB="0" distL="0" distR="0" simplePos="0" relativeHeight="15948800" behindDoc="0" locked="0" layoutInCell="1" allowOverlap="1" wp14:anchorId="46189F74" wp14:editId="733BEB5E">
            <wp:simplePos x="0" y="0"/>
            <wp:positionH relativeFrom="page">
              <wp:posOffset>2538129</wp:posOffset>
            </wp:positionH>
            <wp:positionV relativeFrom="paragraph">
              <wp:posOffset>840610</wp:posOffset>
            </wp:positionV>
            <wp:extent cx="89973" cy="2005012"/>
            <wp:effectExtent l="0" t="0" r="0" b="0"/>
            <wp:wrapNone/>
            <wp:docPr id="1278" name="Image 1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8" name="Image 1278"/>
                    <pic:cNvPicPr/>
                  </pic:nvPicPr>
                  <pic:blipFill>
                    <a:blip r:embed="rId68" cstate="print"/>
                    <a:stretch>
                      <a:fillRect/>
                    </a:stretch>
                  </pic:blipFill>
                  <pic:spPr>
                    <a:xfrm>
                      <a:off x="0" y="0"/>
                      <a:ext cx="89973" cy="2005012"/>
                    </a:xfrm>
                    <a:prstGeom prst="rect">
                      <a:avLst/>
                    </a:prstGeom>
                  </pic:spPr>
                </pic:pic>
              </a:graphicData>
            </a:graphic>
          </wp:anchor>
        </w:drawing>
      </w:r>
      <w:r w:rsidRPr="003C6DAE">
        <w:rPr>
          <w:noProof/>
          <w:sz w:val="20"/>
          <w:szCs w:val="20"/>
          <w:lang w:val="uk-UA"/>
        </w:rPr>
        <mc:AlternateContent>
          <mc:Choice Requires="wps">
            <w:drawing>
              <wp:anchor distT="0" distB="0" distL="0" distR="0" simplePos="0" relativeHeight="15949312" behindDoc="0" locked="0" layoutInCell="1" allowOverlap="1" wp14:anchorId="49265AAD" wp14:editId="5CC16A7C">
                <wp:simplePos x="0" y="0"/>
                <wp:positionH relativeFrom="page">
                  <wp:posOffset>2741395</wp:posOffset>
                </wp:positionH>
                <wp:positionV relativeFrom="paragraph">
                  <wp:posOffset>712825</wp:posOffset>
                </wp:positionV>
                <wp:extent cx="116205" cy="62230"/>
                <wp:effectExtent l="0" t="0" r="0" b="0"/>
                <wp:wrapNone/>
                <wp:docPr id="1279" name="Graphic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62230"/>
                        </a:xfrm>
                        <a:custGeom>
                          <a:avLst/>
                          <a:gdLst/>
                          <a:ahLst/>
                          <a:cxnLst/>
                          <a:rect l="l" t="t" r="r" b="b"/>
                          <a:pathLst>
                            <a:path w="116205" h="62230">
                              <a:moveTo>
                                <a:pt x="77190" y="0"/>
                              </a:moveTo>
                              <a:lnTo>
                                <a:pt x="65862" y="0"/>
                              </a:lnTo>
                              <a:lnTo>
                                <a:pt x="65862" y="61849"/>
                              </a:lnTo>
                              <a:lnTo>
                                <a:pt x="76174" y="61849"/>
                              </a:lnTo>
                              <a:lnTo>
                                <a:pt x="76174" y="19596"/>
                              </a:lnTo>
                              <a:lnTo>
                                <a:pt x="90484" y="19596"/>
                              </a:lnTo>
                              <a:lnTo>
                                <a:pt x="77190" y="0"/>
                              </a:lnTo>
                              <a:close/>
                            </a:path>
                            <a:path w="116205" h="62230">
                              <a:moveTo>
                                <a:pt x="90484" y="19596"/>
                              </a:moveTo>
                              <a:lnTo>
                                <a:pt x="76174" y="19596"/>
                              </a:lnTo>
                              <a:lnTo>
                                <a:pt x="104648" y="61849"/>
                              </a:lnTo>
                              <a:lnTo>
                                <a:pt x="116179" y="61849"/>
                              </a:lnTo>
                              <a:lnTo>
                                <a:pt x="116179" y="42252"/>
                              </a:lnTo>
                              <a:lnTo>
                                <a:pt x="105854" y="42252"/>
                              </a:lnTo>
                              <a:lnTo>
                                <a:pt x="90484" y="19596"/>
                              </a:lnTo>
                              <a:close/>
                            </a:path>
                            <a:path w="116205" h="62230">
                              <a:moveTo>
                                <a:pt x="116179" y="0"/>
                              </a:moveTo>
                              <a:lnTo>
                                <a:pt x="105854" y="0"/>
                              </a:lnTo>
                              <a:lnTo>
                                <a:pt x="105854" y="42252"/>
                              </a:lnTo>
                              <a:lnTo>
                                <a:pt x="116179" y="42252"/>
                              </a:lnTo>
                              <a:lnTo>
                                <a:pt x="116179" y="0"/>
                              </a:lnTo>
                              <a:close/>
                            </a:path>
                            <a:path w="116205" h="62230">
                              <a:moveTo>
                                <a:pt x="35064" y="8483"/>
                              </a:moveTo>
                              <a:lnTo>
                                <a:pt x="22148" y="8483"/>
                              </a:lnTo>
                              <a:lnTo>
                                <a:pt x="22148" y="61849"/>
                              </a:lnTo>
                              <a:lnTo>
                                <a:pt x="35064" y="61849"/>
                              </a:lnTo>
                              <a:lnTo>
                                <a:pt x="35064" y="8483"/>
                              </a:lnTo>
                              <a:close/>
                            </a:path>
                            <a:path w="116205" h="62230">
                              <a:moveTo>
                                <a:pt x="57213" y="0"/>
                              </a:moveTo>
                              <a:lnTo>
                                <a:pt x="0" y="0"/>
                              </a:lnTo>
                              <a:lnTo>
                                <a:pt x="0" y="8483"/>
                              </a:lnTo>
                              <a:lnTo>
                                <a:pt x="57213" y="8483"/>
                              </a:lnTo>
                              <a:lnTo>
                                <a:pt x="572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05DCF1" id="Graphic 1279" o:spid="_x0000_s1026" style="position:absolute;margin-left:215.85pt;margin-top:56.15pt;width:9.15pt;height:4.9pt;z-index:15949312;visibility:visible;mso-wrap-style:square;mso-wrap-distance-left:0;mso-wrap-distance-top:0;mso-wrap-distance-right:0;mso-wrap-distance-bottom:0;mso-position-horizontal:absolute;mso-position-horizontal-relative:page;mso-position-vertical:absolute;mso-position-vertical-relative:text;v-text-anchor:top" coordsize="116205,6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" path="m77190,l65862,r,61849l76174,61849r,-42253l90484,19596,77190,xem90484,19596r-14310,l104648,61849r11531,l116179,42252r-10325,l90484,19596xem116179,l105854,r,42252l116179,42252,116179,xem35064,8483r-12916,l22148,61849r12916,l35064,8483xem57213,l,,,8483r57213,l57213,xe" fillcolor="black" stroked="f">
                <v:path arrowok="t"/>
                <w10:wrap anchorx="page"/>
              </v:shape>
            </w:pict>
          </mc:Fallback>
        </mc:AlternateContent>
      </w:r>
      <w:r w:rsidRPr="003C6DAE">
        <w:rPr>
          <w:noProof/>
          <w:sz w:val="20"/>
          <w:szCs w:val="20"/>
          <w:lang w:val="uk-UA"/>
        </w:rPr>
        <w:drawing>
          <wp:anchor distT="0" distB="0" distL="0" distR="0" simplePos="0" relativeHeight="15949824" behindDoc="0" locked="0" layoutInCell="1" allowOverlap="1" wp14:anchorId="1E2A3561" wp14:editId="031F0246">
            <wp:simplePos x="0" y="0"/>
            <wp:positionH relativeFrom="page">
              <wp:posOffset>2706470</wp:posOffset>
            </wp:positionH>
            <wp:positionV relativeFrom="paragraph">
              <wp:posOffset>840601</wp:posOffset>
            </wp:positionV>
            <wp:extent cx="150123" cy="2005012"/>
            <wp:effectExtent l="0" t="0" r="0" b="0"/>
            <wp:wrapNone/>
            <wp:docPr id="1280" name="Image 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0" name="Image 1280"/>
                    <pic:cNvPicPr/>
                  </pic:nvPicPr>
                  <pic:blipFill>
                    <a:blip r:embed="rId69" cstate="print"/>
                    <a:stretch>
                      <a:fillRect/>
                    </a:stretch>
                  </pic:blipFill>
                  <pic:spPr>
                    <a:xfrm>
                      <a:off x="0" y="0"/>
                      <a:ext cx="150123" cy="2005012"/>
                    </a:xfrm>
                    <a:prstGeom prst="rect">
                      <a:avLst/>
                    </a:prstGeom>
                  </pic:spPr>
                </pic:pic>
              </a:graphicData>
            </a:graphic>
          </wp:anchor>
        </w:drawing>
      </w:r>
      <w:r w:rsidRPr="003C6DAE">
        <w:rPr>
          <w:noProof/>
          <w:sz w:val="20"/>
          <w:szCs w:val="20"/>
          <w:lang w:val="uk-UA"/>
        </w:rPr>
        <w:drawing>
          <wp:anchor distT="0" distB="0" distL="0" distR="0" simplePos="0" relativeHeight="15950336" behindDoc="0" locked="0" layoutInCell="1" allowOverlap="1" wp14:anchorId="669D9495" wp14:editId="72955563">
            <wp:simplePos x="0" y="0"/>
            <wp:positionH relativeFrom="page">
              <wp:posOffset>2930043</wp:posOffset>
            </wp:positionH>
            <wp:positionV relativeFrom="paragraph">
              <wp:posOffset>708184</wp:posOffset>
            </wp:positionV>
            <wp:extent cx="839974" cy="2152650"/>
            <wp:effectExtent l="0" t="0" r="0" b="0"/>
            <wp:wrapNone/>
            <wp:docPr id="1281" name="Image 1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1" name="Image 1281"/>
                    <pic:cNvPicPr/>
                  </pic:nvPicPr>
                  <pic:blipFill>
                    <a:blip r:embed="rId70" cstate="print"/>
                    <a:stretch>
                      <a:fillRect/>
                    </a:stretch>
                  </pic:blipFill>
                  <pic:spPr>
                    <a:xfrm>
                      <a:off x="0" y="0"/>
                      <a:ext cx="839974" cy="2152650"/>
                    </a:xfrm>
                    <a:prstGeom prst="rect">
                      <a:avLst/>
                    </a:prstGeom>
                  </pic:spPr>
                </pic:pic>
              </a:graphicData>
            </a:graphic>
          </wp:anchor>
        </w:drawing>
      </w:r>
      <w:r w:rsidRPr="003C6DAE">
        <w:rPr>
          <w:noProof/>
          <w:sz w:val="20"/>
          <w:szCs w:val="20"/>
          <w:lang w:val="uk-UA"/>
        </w:rPr>
        <w:drawing>
          <wp:anchor distT="0" distB="0" distL="0" distR="0" simplePos="0" relativeHeight="15950848" behindDoc="0" locked="0" layoutInCell="1" allowOverlap="1" wp14:anchorId="09502776" wp14:editId="1C5C9274">
            <wp:simplePos x="0" y="0"/>
            <wp:positionH relativeFrom="page">
              <wp:posOffset>3850102</wp:posOffset>
            </wp:positionH>
            <wp:positionV relativeFrom="paragraph">
              <wp:posOffset>707651</wp:posOffset>
            </wp:positionV>
            <wp:extent cx="831409" cy="2152650"/>
            <wp:effectExtent l="0" t="0" r="0" b="0"/>
            <wp:wrapNone/>
            <wp:docPr id="1282" name="Image 1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2" name="Image 1282"/>
                    <pic:cNvPicPr/>
                  </pic:nvPicPr>
                  <pic:blipFill>
                    <a:blip r:embed="rId71" cstate="print"/>
                    <a:stretch>
                      <a:fillRect/>
                    </a:stretch>
                  </pic:blipFill>
                  <pic:spPr>
                    <a:xfrm>
                      <a:off x="0" y="0"/>
                      <a:ext cx="831409" cy="2152650"/>
                    </a:xfrm>
                    <a:prstGeom prst="rect">
                      <a:avLst/>
                    </a:prstGeom>
                  </pic:spPr>
                </pic:pic>
              </a:graphicData>
            </a:graphic>
          </wp:anchor>
        </w:drawing>
      </w:r>
      <w:r w:rsidRPr="003C6DAE">
        <w:rPr>
          <w:noProof/>
          <w:sz w:val="20"/>
          <w:szCs w:val="20"/>
          <w:lang w:val="uk-UA"/>
        </w:rPr>
        <w:drawing>
          <wp:anchor distT="0" distB="0" distL="0" distR="0" simplePos="0" relativeHeight="15951360" behindDoc="0" locked="0" layoutInCell="1" allowOverlap="1" wp14:anchorId="0BEAEBD8" wp14:editId="3E3B0E14">
            <wp:simplePos x="0" y="0"/>
            <wp:positionH relativeFrom="page">
              <wp:posOffset>4823627</wp:posOffset>
            </wp:positionH>
            <wp:positionV relativeFrom="paragraph">
              <wp:posOffset>708184</wp:posOffset>
            </wp:positionV>
            <wp:extent cx="830012" cy="82296"/>
            <wp:effectExtent l="0" t="0" r="0" b="0"/>
            <wp:wrapNone/>
            <wp:docPr id="1283" name="Image 1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3" name="Image 1283"/>
                    <pic:cNvPicPr/>
                  </pic:nvPicPr>
                  <pic:blipFill>
                    <a:blip r:embed="rId72" cstate="print"/>
                    <a:stretch>
                      <a:fillRect/>
                    </a:stretch>
                  </pic:blipFill>
                  <pic:spPr>
                    <a:xfrm>
                      <a:off x="0" y="0"/>
                      <a:ext cx="830012" cy="82296"/>
                    </a:xfrm>
                    <a:prstGeom prst="rect">
                      <a:avLst/>
                    </a:prstGeom>
                  </pic:spPr>
                </pic:pic>
              </a:graphicData>
            </a:graphic>
          </wp:anchor>
        </w:drawing>
      </w:r>
      <w:r w:rsidRPr="003C6DAE">
        <w:rPr>
          <w:noProof/>
          <w:sz w:val="20"/>
          <w:szCs w:val="20"/>
          <w:lang w:val="uk-UA"/>
        </w:rPr>
        <mc:AlternateContent>
          <mc:Choice Requires="wpg">
            <w:drawing>
              <wp:anchor distT="0" distB="0" distL="0" distR="0" simplePos="0" relativeHeight="15951872" behindDoc="0" locked="0" layoutInCell="1" allowOverlap="1" wp14:anchorId="4C9D135A" wp14:editId="7A97F2EC">
                <wp:simplePos x="0" y="0"/>
                <wp:positionH relativeFrom="page">
                  <wp:posOffset>4951252</wp:posOffset>
                </wp:positionH>
                <wp:positionV relativeFrom="paragraph">
                  <wp:posOffset>838861</wp:posOffset>
                </wp:positionV>
                <wp:extent cx="749300" cy="50165"/>
                <wp:effectExtent l="0" t="0" r="0" b="0"/>
                <wp:wrapNone/>
                <wp:docPr id="1284"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0" cy="50165"/>
                          <a:chOff x="0" y="0"/>
                          <a:chExt cx="749300" cy="50165"/>
                        </a:xfrm>
                      </wpg:grpSpPr>
                      <wps:wsp>
                        <wps:cNvPr id="1285" name="Graphic 1285"/>
                        <wps:cNvSpPr/>
                        <wps:spPr>
                          <a:xfrm>
                            <a:off x="0" y="21400"/>
                            <a:ext cx="720725" cy="1270"/>
                          </a:xfrm>
                          <a:custGeom>
                            <a:avLst/>
                            <a:gdLst/>
                            <a:ahLst/>
                            <a:cxnLst/>
                            <a:rect l="l" t="t" r="r" b="b"/>
                            <a:pathLst>
                              <a:path w="720725">
                                <a:moveTo>
                                  <a:pt x="0" y="0"/>
                                </a:moveTo>
                                <a:lnTo>
                                  <a:pt x="720521" y="0"/>
                                </a:lnTo>
                              </a:path>
                            </a:pathLst>
                          </a:custGeom>
                          <a:ln w="8661">
                            <a:solidFill>
                              <a:srgbClr val="000000"/>
                            </a:solidFill>
                            <a:prstDash val="solid"/>
                          </a:ln>
                        </wps:spPr>
                        <wps:bodyPr wrap="square" lIns="0" tIns="0" rIns="0" bIns="0" rtlCol="0">
                          <a:prstTxWarp prst="textNoShape">
                            <a:avLst/>
                          </a:prstTxWarp>
                          <a:noAutofit/>
                        </wps:bodyPr>
                      </wps:wsp>
                      <wps:wsp>
                        <wps:cNvPr id="1286" name="Graphic 1286"/>
                        <wps:cNvSpPr/>
                        <wps:spPr>
                          <a:xfrm>
                            <a:off x="699129" y="0"/>
                            <a:ext cx="50165" cy="50165"/>
                          </a:xfrm>
                          <a:custGeom>
                            <a:avLst/>
                            <a:gdLst/>
                            <a:ahLst/>
                            <a:cxnLst/>
                            <a:rect l="l" t="t" r="r" b="b"/>
                            <a:pathLst>
                              <a:path w="50165" h="50165">
                                <a:moveTo>
                                  <a:pt x="49923" y="0"/>
                                </a:moveTo>
                                <a:lnTo>
                                  <a:pt x="0" y="0"/>
                                </a:lnTo>
                                <a:lnTo>
                                  <a:pt x="0" y="49923"/>
                                </a:lnTo>
                                <a:lnTo>
                                  <a:pt x="49923" y="49923"/>
                                </a:lnTo>
                                <a:lnTo>
                                  <a:pt x="4992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BB7F8D7" id="Group 1284" o:spid="_x0000_s1026" style="position:absolute;margin-left:389.85pt;margin-top:66.05pt;width:59pt;height:3.95pt;z-index:15951872;mso-wrap-distance-left:0;mso-wrap-distance-right:0;mso-position-horizontal-relative:page" coordsize="749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">
                <v:shape id="Graphic 1285" o:spid="_x0000_s1027" style="position:absolute;top:214;width:7207;height:12;visibility:visible;mso-wrap-style:square;v-text-anchor:top" coordsize="720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" path="m,l720521,e" filled="f" strokeweight=".24058mm">
                  <v:path arrowok="t"/>
                </v:shape>
                <v:shape id="Graphic 1286" o:spid="_x0000_s1028" style="position:absolute;left:6991;width:501;height:501;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" path="m49923,l,,,49923r49923,l49923,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52384" behindDoc="0" locked="0" layoutInCell="1" allowOverlap="1" wp14:anchorId="26E8ACEB" wp14:editId="324F49E3">
                <wp:simplePos x="0" y="0"/>
                <wp:positionH relativeFrom="page">
                  <wp:posOffset>5542683</wp:posOffset>
                </wp:positionH>
                <wp:positionV relativeFrom="paragraph">
                  <wp:posOffset>1067093</wp:posOffset>
                </wp:positionV>
                <wp:extent cx="91440" cy="50165"/>
                <wp:effectExtent l="0" t="0" r="0" b="0"/>
                <wp:wrapNone/>
                <wp:docPr id="1287"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50165"/>
                          <a:chOff x="0" y="0"/>
                          <a:chExt cx="91440" cy="50165"/>
                        </a:xfrm>
                      </wpg:grpSpPr>
                      <wps:wsp>
                        <wps:cNvPr id="1288" name="Graphic 1288"/>
                        <wps:cNvSpPr/>
                        <wps:spPr>
                          <a:xfrm>
                            <a:off x="0" y="21396"/>
                            <a:ext cx="91440" cy="1270"/>
                          </a:xfrm>
                          <a:custGeom>
                            <a:avLst/>
                            <a:gdLst/>
                            <a:ahLst/>
                            <a:cxnLst/>
                            <a:rect l="l" t="t" r="r" b="b"/>
                            <a:pathLst>
                              <a:path w="91440">
                                <a:moveTo>
                                  <a:pt x="0" y="0"/>
                                </a:moveTo>
                                <a:lnTo>
                                  <a:pt x="91109" y="0"/>
                                </a:lnTo>
                              </a:path>
                            </a:pathLst>
                          </a:custGeom>
                          <a:ln w="8661">
                            <a:solidFill>
                              <a:srgbClr val="000000"/>
                            </a:solidFill>
                            <a:prstDash val="solid"/>
                          </a:ln>
                        </wps:spPr>
                        <wps:bodyPr wrap="square" lIns="0" tIns="0" rIns="0" bIns="0" rtlCol="0">
                          <a:prstTxWarp prst="textNoShape">
                            <a:avLst/>
                          </a:prstTxWarp>
                          <a:noAutofit/>
                        </wps:bodyPr>
                      </wps:wsp>
                      <wps:wsp>
                        <wps:cNvPr id="1289" name="Graphic 1289"/>
                        <wps:cNvSpPr/>
                        <wps:spPr>
                          <a:xfrm>
                            <a:off x="32984" y="0"/>
                            <a:ext cx="50165" cy="50165"/>
                          </a:xfrm>
                          <a:custGeom>
                            <a:avLst/>
                            <a:gdLst/>
                            <a:ahLst/>
                            <a:cxnLst/>
                            <a:rect l="l" t="t" r="r" b="b"/>
                            <a:pathLst>
                              <a:path w="50165" h="50165">
                                <a:moveTo>
                                  <a:pt x="49923" y="0"/>
                                </a:moveTo>
                                <a:lnTo>
                                  <a:pt x="0" y="0"/>
                                </a:lnTo>
                                <a:lnTo>
                                  <a:pt x="0" y="49923"/>
                                </a:lnTo>
                                <a:lnTo>
                                  <a:pt x="49923" y="49923"/>
                                </a:lnTo>
                                <a:lnTo>
                                  <a:pt x="4992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C00A935" id="Group 1287" o:spid="_x0000_s1026" style="position:absolute;margin-left:436.45pt;margin-top:84pt;width:7.2pt;height:3.95pt;z-index:15952384;mso-wrap-distance-left:0;mso-wrap-distance-right:0;mso-position-horizontal-relative:page" coordsize="9144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">
                <v:shape id="Graphic 1288" o:spid="_x0000_s1027" style="position:absolute;top:21396;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" path="m,l91109,e" filled="f" strokeweight=".24058mm">
                  <v:path arrowok="t"/>
                </v:shape>
                <v:shape id="Graphic 1289" o:spid="_x0000_s1028" style="position:absolute;left:32984;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" path="m49923,l,,,49923r49923,l49923,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52896" behindDoc="0" locked="0" layoutInCell="1" allowOverlap="1" wp14:anchorId="43F316DA" wp14:editId="26D25093">
                <wp:simplePos x="0" y="0"/>
                <wp:positionH relativeFrom="page">
                  <wp:posOffset>5519740</wp:posOffset>
                </wp:positionH>
                <wp:positionV relativeFrom="paragraph">
                  <wp:posOffset>1181215</wp:posOffset>
                </wp:positionV>
                <wp:extent cx="151765" cy="50165"/>
                <wp:effectExtent l="0" t="0" r="0" b="0"/>
                <wp:wrapNone/>
                <wp:docPr id="1290"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65" cy="50165"/>
                          <a:chOff x="0" y="0"/>
                          <a:chExt cx="151765" cy="50165"/>
                        </a:xfrm>
                      </wpg:grpSpPr>
                      <wps:wsp>
                        <wps:cNvPr id="1291" name="Graphic 1291"/>
                        <wps:cNvSpPr/>
                        <wps:spPr>
                          <a:xfrm>
                            <a:off x="0" y="21389"/>
                            <a:ext cx="151765" cy="1270"/>
                          </a:xfrm>
                          <a:custGeom>
                            <a:avLst/>
                            <a:gdLst/>
                            <a:ahLst/>
                            <a:cxnLst/>
                            <a:rect l="l" t="t" r="r" b="b"/>
                            <a:pathLst>
                              <a:path w="151765">
                                <a:moveTo>
                                  <a:pt x="0" y="0"/>
                                </a:moveTo>
                                <a:lnTo>
                                  <a:pt x="151295" y="0"/>
                                </a:lnTo>
                              </a:path>
                            </a:pathLst>
                          </a:custGeom>
                          <a:ln w="8661">
                            <a:solidFill>
                              <a:srgbClr val="000000"/>
                            </a:solidFill>
                            <a:prstDash val="solid"/>
                          </a:ln>
                        </wps:spPr>
                        <wps:bodyPr wrap="square" lIns="0" tIns="0" rIns="0" bIns="0" rtlCol="0">
                          <a:prstTxWarp prst="textNoShape">
                            <a:avLst/>
                          </a:prstTxWarp>
                          <a:noAutofit/>
                        </wps:bodyPr>
                      </wps:wsp>
                      <wps:wsp>
                        <wps:cNvPr id="1292" name="Graphic 1292"/>
                        <wps:cNvSpPr/>
                        <wps:spPr>
                          <a:xfrm>
                            <a:off x="101127" y="0"/>
                            <a:ext cx="50165" cy="50165"/>
                          </a:xfrm>
                          <a:custGeom>
                            <a:avLst/>
                            <a:gdLst/>
                            <a:ahLst/>
                            <a:cxnLst/>
                            <a:rect l="l" t="t" r="r" b="b"/>
                            <a:pathLst>
                              <a:path w="50165" h="50165">
                                <a:moveTo>
                                  <a:pt x="49936" y="0"/>
                                </a:moveTo>
                                <a:lnTo>
                                  <a:pt x="0" y="0"/>
                                </a:lnTo>
                                <a:lnTo>
                                  <a:pt x="0" y="49923"/>
                                </a:lnTo>
                                <a:lnTo>
                                  <a:pt x="49936" y="49923"/>
                                </a:lnTo>
                                <a:lnTo>
                                  <a:pt x="49936"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680A2F0" id="Group 1290" o:spid="_x0000_s1026" style="position:absolute;margin-left:434.65pt;margin-top:93pt;width:11.95pt;height:3.95pt;z-index:15952896;mso-wrap-distance-left:0;mso-wrap-distance-right:0;mso-position-horizontal-relative:page" coordsize="151765,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">
                <v:shape id="Graphic 1291" o:spid="_x0000_s1027" style="position:absolute;top:21389;width:151765;height:1270;visibility:visible;mso-wrap-style:square;v-text-anchor:top" coordsize="151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" path="m,l151295,e" filled="f" strokeweight=".24058mm">
                  <v:path arrowok="t"/>
                </v:shape>
                <v:shape id="Graphic 1292" o:spid="_x0000_s1028" style="position:absolute;left:101127;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" path="m49936,l,,,49923r49936,l49936,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53408" behindDoc="0" locked="0" layoutInCell="1" allowOverlap="1" wp14:anchorId="77D45D69" wp14:editId="6D69D956">
                <wp:simplePos x="0" y="0"/>
                <wp:positionH relativeFrom="page">
                  <wp:posOffset>5618982</wp:posOffset>
                </wp:positionH>
                <wp:positionV relativeFrom="paragraph">
                  <wp:posOffset>1295324</wp:posOffset>
                </wp:positionV>
                <wp:extent cx="71755" cy="50165"/>
                <wp:effectExtent l="0" t="0" r="0" b="0"/>
                <wp:wrapNone/>
                <wp:docPr id="1293"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50165"/>
                          <a:chOff x="0" y="0"/>
                          <a:chExt cx="71755" cy="50165"/>
                        </a:xfrm>
                      </wpg:grpSpPr>
                      <wps:wsp>
                        <wps:cNvPr id="1294" name="Graphic 1294"/>
                        <wps:cNvSpPr/>
                        <wps:spPr>
                          <a:xfrm>
                            <a:off x="0" y="21393"/>
                            <a:ext cx="52705" cy="1270"/>
                          </a:xfrm>
                          <a:custGeom>
                            <a:avLst/>
                            <a:gdLst/>
                            <a:ahLst/>
                            <a:cxnLst/>
                            <a:rect l="l" t="t" r="r" b="b"/>
                            <a:pathLst>
                              <a:path w="52705">
                                <a:moveTo>
                                  <a:pt x="0" y="0"/>
                                </a:moveTo>
                                <a:lnTo>
                                  <a:pt x="52565" y="0"/>
                                </a:lnTo>
                              </a:path>
                            </a:pathLst>
                          </a:custGeom>
                          <a:ln w="8661">
                            <a:solidFill>
                              <a:srgbClr val="000000"/>
                            </a:solidFill>
                            <a:prstDash val="solid"/>
                          </a:ln>
                        </wps:spPr>
                        <wps:bodyPr wrap="square" lIns="0" tIns="0" rIns="0" bIns="0" rtlCol="0">
                          <a:prstTxWarp prst="textNoShape">
                            <a:avLst/>
                          </a:prstTxWarp>
                          <a:noAutofit/>
                        </wps:bodyPr>
                      </wps:wsp>
                      <wps:wsp>
                        <wps:cNvPr id="1295" name="Graphic 1295"/>
                        <wps:cNvSpPr/>
                        <wps:spPr>
                          <a:xfrm>
                            <a:off x="21671" y="0"/>
                            <a:ext cx="50165" cy="50165"/>
                          </a:xfrm>
                          <a:custGeom>
                            <a:avLst/>
                            <a:gdLst/>
                            <a:ahLst/>
                            <a:cxnLst/>
                            <a:rect l="l" t="t" r="r" b="b"/>
                            <a:pathLst>
                              <a:path w="50165" h="50165">
                                <a:moveTo>
                                  <a:pt x="49923" y="0"/>
                                </a:moveTo>
                                <a:lnTo>
                                  <a:pt x="0" y="0"/>
                                </a:lnTo>
                                <a:lnTo>
                                  <a:pt x="0" y="49923"/>
                                </a:lnTo>
                                <a:lnTo>
                                  <a:pt x="49923" y="49923"/>
                                </a:lnTo>
                                <a:lnTo>
                                  <a:pt x="4992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11CA429" id="Group 1293" o:spid="_x0000_s1026" style="position:absolute;margin-left:442.45pt;margin-top:102pt;width:5.65pt;height:3.95pt;z-index:15953408;mso-wrap-distance-left:0;mso-wrap-distance-right:0;mso-position-horizontal-relative:page" coordsize="71755,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">
                <v:shape id="Graphic 1294" o:spid="_x0000_s1027" style="position:absolute;top:21393;width:52705;height:1270;visibility:visible;mso-wrap-style:square;v-text-anchor:top" coordsize="52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" path="m,l52565,e" filled="f" strokeweight=".24058mm">
                  <v:path arrowok="t"/>
                </v:shape>
                <v:shape id="Graphic 1295" o:spid="_x0000_s1028" style="position:absolute;left:21671;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" path="m49923,l,,,49923r49923,l49923,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53920" behindDoc="0" locked="0" layoutInCell="1" allowOverlap="1" wp14:anchorId="7B28C9DF" wp14:editId="10C3B274">
                <wp:simplePos x="0" y="0"/>
                <wp:positionH relativeFrom="page">
                  <wp:posOffset>5066186</wp:posOffset>
                </wp:positionH>
                <wp:positionV relativeFrom="paragraph">
                  <wp:posOffset>1409434</wp:posOffset>
                </wp:positionV>
                <wp:extent cx="634365" cy="50165"/>
                <wp:effectExtent l="0" t="0" r="0" b="0"/>
                <wp:wrapNone/>
                <wp:docPr id="1296"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365" cy="50165"/>
                          <a:chOff x="0" y="0"/>
                          <a:chExt cx="634365" cy="50165"/>
                        </a:xfrm>
                      </wpg:grpSpPr>
                      <wps:wsp>
                        <wps:cNvPr id="1297" name="Graphic 1297"/>
                        <wps:cNvSpPr/>
                        <wps:spPr>
                          <a:xfrm>
                            <a:off x="0" y="21399"/>
                            <a:ext cx="605790" cy="1270"/>
                          </a:xfrm>
                          <a:custGeom>
                            <a:avLst/>
                            <a:gdLst/>
                            <a:ahLst/>
                            <a:cxnLst/>
                            <a:rect l="l" t="t" r="r" b="b"/>
                            <a:pathLst>
                              <a:path w="605790">
                                <a:moveTo>
                                  <a:pt x="0" y="0"/>
                                </a:moveTo>
                                <a:lnTo>
                                  <a:pt x="605599" y="0"/>
                                </a:lnTo>
                              </a:path>
                            </a:pathLst>
                          </a:custGeom>
                          <a:ln w="8661">
                            <a:solidFill>
                              <a:srgbClr val="000000"/>
                            </a:solidFill>
                            <a:prstDash val="solid"/>
                          </a:ln>
                        </wps:spPr>
                        <wps:bodyPr wrap="square" lIns="0" tIns="0" rIns="0" bIns="0" rtlCol="0">
                          <a:prstTxWarp prst="textNoShape">
                            <a:avLst/>
                          </a:prstTxWarp>
                          <a:noAutofit/>
                        </wps:bodyPr>
                      </wps:wsp>
                      <wps:wsp>
                        <wps:cNvPr id="1298" name="Graphic 1298"/>
                        <wps:cNvSpPr/>
                        <wps:spPr>
                          <a:xfrm>
                            <a:off x="584196" y="0"/>
                            <a:ext cx="50165" cy="50165"/>
                          </a:xfrm>
                          <a:custGeom>
                            <a:avLst/>
                            <a:gdLst/>
                            <a:ahLst/>
                            <a:cxnLst/>
                            <a:rect l="l" t="t" r="r" b="b"/>
                            <a:pathLst>
                              <a:path w="50165" h="50165">
                                <a:moveTo>
                                  <a:pt x="49923" y="0"/>
                                </a:moveTo>
                                <a:lnTo>
                                  <a:pt x="0" y="0"/>
                                </a:lnTo>
                                <a:lnTo>
                                  <a:pt x="0" y="49923"/>
                                </a:lnTo>
                                <a:lnTo>
                                  <a:pt x="49923" y="49923"/>
                                </a:lnTo>
                                <a:lnTo>
                                  <a:pt x="4992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E9041D2" id="Group 1296" o:spid="_x0000_s1026" style="position:absolute;margin-left:398.9pt;margin-top:111pt;width:49.95pt;height:3.95pt;z-index:15953920;mso-wrap-distance-left:0;mso-wrap-distance-right:0;mso-position-horizontal-relative:page" coordsize="634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">
                <v:shape id="Graphic 1297" o:spid="_x0000_s1027" style="position:absolute;top:213;width:6057;height:13;visibility:visible;mso-wrap-style:square;v-text-anchor:top" coordsize="605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" path="m,l605599,e" filled="f" strokeweight=".24058mm">
                  <v:path arrowok="t"/>
                </v:shape>
                <v:shape id="Graphic 1298" o:spid="_x0000_s1028" style="position:absolute;left:5841;width:502;height:501;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" path="m49923,l,,,49923r49923,l49923,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54432" behindDoc="0" locked="0" layoutInCell="1" allowOverlap="1" wp14:anchorId="21E90637" wp14:editId="3EA1C982">
                <wp:simplePos x="0" y="0"/>
                <wp:positionH relativeFrom="page">
                  <wp:posOffset>5407759</wp:posOffset>
                </wp:positionH>
                <wp:positionV relativeFrom="paragraph">
                  <wp:posOffset>1523556</wp:posOffset>
                </wp:positionV>
                <wp:extent cx="292735" cy="50165"/>
                <wp:effectExtent l="0" t="0" r="0" b="0"/>
                <wp:wrapNone/>
                <wp:docPr id="1299"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 cy="50165"/>
                          <a:chOff x="0" y="0"/>
                          <a:chExt cx="292735" cy="50165"/>
                        </a:xfrm>
                      </wpg:grpSpPr>
                      <wps:wsp>
                        <wps:cNvPr id="1300" name="Graphic 1300"/>
                        <wps:cNvSpPr/>
                        <wps:spPr>
                          <a:xfrm>
                            <a:off x="0" y="21389"/>
                            <a:ext cx="264160" cy="1270"/>
                          </a:xfrm>
                          <a:custGeom>
                            <a:avLst/>
                            <a:gdLst/>
                            <a:ahLst/>
                            <a:cxnLst/>
                            <a:rect l="l" t="t" r="r" b="b"/>
                            <a:pathLst>
                              <a:path w="264160">
                                <a:moveTo>
                                  <a:pt x="0" y="0"/>
                                </a:moveTo>
                                <a:lnTo>
                                  <a:pt x="264020" y="0"/>
                                </a:lnTo>
                              </a:path>
                            </a:pathLst>
                          </a:custGeom>
                          <a:ln w="8661">
                            <a:solidFill>
                              <a:srgbClr val="000000"/>
                            </a:solidFill>
                            <a:prstDash val="solid"/>
                          </a:ln>
                        </wps:spPr>
                        <wps:bodyPr wrap="square" lIns="0" tIns="0" rIns="0" bIns="0" rtlCol="0">
                          <a:prstTxWarp prst="textNoShape">
                            <a:avLst/>
                          </a:prstTxWarp>
                          <a:noAutofit/>
                        </wps:bodyPr>
                      </wps:wsp>
                      <wps:wsp>
                        <wps:cNvPr id="1301" name="Graphic 1301"/>
                        <wps:cNvSpPr/>
                        <wps:spPr>
                          <a:xfrm>
                            <a:off x="242623" y="0"/>
                            <a:ext cx="50165" cy="50165"/>
                          </a:xfrm>
                          <a:custGeom>
                            <a:avLst/>
                            <a:gdLst/>
                            <a:ahLst/>
                            <a:cxnLst/>
                            <a:rect l="l" t="t" r="r" b="b"/>
                            <a:pathLst>
                              <a:path w="50165" h="50165">
                                <a:moveTo>
                                  <a:pt x="49923" y="0"/>
                                </a:moveTo>
                                <a:lnTo>
                                  <a:pt x="0" y="0"/>
                                </a:lnTo>
                                <a:lnTo>
                                  <a:pt x="0" y="49923"/>
                                </a:lnTo>
                                <a:lnTo>
                                  <a:pt x="49923" y="49923"/>
                                </a:lnTo>
                                <a:lnTo>
                                  <a:pt x="4992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1F6D3EE" id="Group 1299" o:spid="_x0000_s1026" style="position:absolute;margin-left:425.8pt;margin-top:119.95pt;width:23.05pt;height:3.95pt;z-index:15954432;mso-wrap-distance-left:0;mso-wrap-distance-right:0;mso-position-horizontal-relative:page" coordsize="292735,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">
                <v:shape id="Graphic 1300" o:spid="_x0000_s1027" style="position:absolute;top:21389;width:264160;height:1270;visibility:visible;mso-wrap-style:square;v-text-anchor:top" coordsize="264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" path="m,l264020,e" filled="f" strokeweight=".24058mm">
                  <v:path arrowok="t"/>
                </v:shape>
                <v:shape id="Graphic 1301" o:spid="_x0000_s1028" style="position:absolute;left:242623;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" path="m49923,l,,,49923r49923,l49923,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54944" behindDoc="0" locked="0" layoutInCell="1" allowOverlap="1" wp14:anchorId="325C2C3C" wp14:editId="5FBC50FF">
                <wp:simplePos x="0" y="0"/>
                <wp:positionH relativeFrom="page">
                  <wp:posOffset>5544159</wp:posOffset>
                </wp:positionH>
                <wp:positionV relativeFrom="paragraph">
                  <wp:posOffset>1637666</wp:posOffset>
                </wp:positionV>
                <wp:extent cx="92710" cy="50165"/>
                <wp:effectExtent l="0" t="0" r="0" b="0"/>
                <wp:wrapNone/>
                <wp:docPr id="1302"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50165"/>
                          <a:chOff x="0" y="0"/>
                          <a:chExt cx="92710" cy="50165"/>
                        </a:xfrm>
                      </wpg:grpSpPr>
                      <wps:wsp>
                        <wps:cNvPr id="1303" name="Graphic 1303"/>
                        <wps:cNvSpPr/>
                        <wps:spPr>
                          <a:xfrm>
                            <a:off x="0" y="21395"/>
                            <a:ext cx="92710" cy="1270"/>
                          </a:xfrm>
                          <a:custGeom>
                            <a:avLst/>
                            <a:gdLst/>
                            <a:ahLst/>
                            <a:cxnLst/>
                            <a:rect l="l" t="t" r="r" b="b"/>
                            <a:pathLst>
                              <a:path w="92710">
                                <a:moveTo>
                                  <a:pt x="0" y="0"/>
                                </a:moveTo>
                                <a:lnTo>
                                  <a:pt x="92506" y="0"/>
                                </a:lnTo>
                              </a:path>
                            </a:pathLst>
                          </a:custGeom>
                          <a:ln w="8661">
                            <a:solidFill>
                              <a:srgbClr val="000000"/>
                            </a:solidFill>
                            <a:prstDash val="solid"/>
                          </a:ln>
                        </wps:spPr>
                        <wps:bodyPr wrap="square" lIns="0" tIns="0" rIns="0" bIns="0" rtlCol="0">
                          <a:prstTxWarp prst="textNoShape">
                            <a:avLst/>
                          </a:prstTxWarp>
                          <a:noAutofit/>
                        </wps:bodyPr>
                      </wps:wsp>
                      <wps:wsp>
                        <wps:cNvPr id="1304" name="Graphic 1304"/>
                        <wps:cNvSpPr/>
                        <wps:spPr>
                          <a:xfrm>
                            <a:off x="34302" y="0"/>
                            <a:ext cx="50165" cy="50165"/>
                          </a:xfrm>
                          <a:custGeom>
                            <a:avLst/>
                            <a:gdLst/>
                            <a:ahLst/>
                            <a:cxnLst/>
                            <a:rect l="l" t="t" r="r" b="b"/>
                            <a:pathLst>
                              <a:path w="50165" h="50165">
                                <a:moveTo>
                                  <a:pt x="49936" y="0"/>
                                </a:moveTo>
                                <a:lnTo>
                                  <a:pt x="0" y="0"/>
                                </a:lnTo>
                                <a:lnTo>
                                  <a:pt x="0" y="49923"/>
                                </a:lnTo>
                                <a:lnTo>
                                  <a:pt x="49936" y="49923"/>
                                </a:lnTo>
                                <a:lnTo>
                                  <a:pt x="49936"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AE7910E" id="Group 1302" o:spid="_x0000_s1026" style="position:absolute;margin-left:436.55pt;margin-top:128.95pt;width:7.3pt;height:3.95pt;z-index:15954944;mso-wrap-distance-left:0;mso-wrap-distance-right:0;mso-position-horizontal-relative:page" coordsize="9271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">
                <v:shape id="Graphic 1303" o:spid="_x0000_s1027" style="position:absolute;top:21395;width:92710;height:1270;visibility:visible;mso-wrap-style:square;v-text-anchor:top" coordsize="92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" path="m,l92506,e" filled="f" strokeweight=".24058mm">
                  <v:path arrowok="t"/>
                </v:shape>
                <v:shape id="Graphic 1304" o:spid="_x0000_s1028" style="position:absolute;left:34302;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" path="m49936,l,,,49923r49936,l49936,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55456" behindDoc="0" locked="0" layoutInCell="1" allowOverlap="1" wp14:anchorId="1A5D4B73" wp14:editId="567C3F7F">
                <wp:simplePos x="0" y="0"/>
                <wp:positionH relativeFrom="page">
                  <wp:posOffset>5321216</wp:posOffset>
                </wp:positionH>
                <wp:positionV relativeFrom="paragraph">
                  <wp:posOffset>1751775</wp:posOffset>
                </wp:positionV>
                <wp:extent cx="379095" cy="50165"/>
                <wp:effectExtent l="0" t="0" r="0" b="0"/>
                <wp:wrapNone/>
                <wp:docPr id="1305"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095" cy="50165"/>
                          <a:chOff x="0" y="0"/>
                          <a:chExt cx="379095" cy="50165"/>
                        </a:xfrm>
                      </wpg:grpSpPr>
                      <wps:wsp>
                        <wps:cNvPr id="1306" name="Graphic 1306"/>
                        <wps:cNvSpPr/>
                        <wps:spPr>
                          <a:xfrm>
                            <a:off x="0" y="21398"/>
                            <a:ext cx="351155" cy="1270"/>
                          </a:xfrm>
                          <a:custGeom>
                            <a:avLst/>
                            <a:gdLst/>
                            <a:ahLst/>
                            <a:cxnLst/>
                            <a:rect l="l" t="t" r="r" b="b"/>
                            <a:pathLst>
                              <a:path w="351155">
                                <a:moveTo>
                                  <a:pt x="0" y="0"/>
                                </a:moveTo>
                                <a:lnTo>
                                  <a:pt x="350570" y="0"/>
                                </a:lnTo>
                              </a:path>
                            </a:pathLst>
                          </a:custGeom>
                          <a:ln w="8661">
                            <a:solidFill>
                              <a:srgbClr val="000000"/>
                            </a:solidFill>
                            <a:prstDash val="solid"/>
                          </a:ln>
                        </wps:spPr>
                        <wps:bodyPr wrap="square" lIns="0" tIns="0" rIns="0" bIns="0" rtlCol="0">
                          <a:prstTxWarp prst="textNoShape">
                            <a:avLst/>
                          </a:prstTxWarp>
                          <a:noAutofit/>
                        </wps:bodyPr>
                      </wps:wsp>
                      <wps:wsp>
                        <wps:cNvPr id="1307" name="Graphic 1307"/>
                        <wps:cNvSpPr/>
                        <wps:spPr>
                          <a:xfrm>
                            <a:off x="329166" y="0"/>
                            <a:ext cx="50165" cy="50165"/>
                          </a:xfrm>
                          <a:custGeom>
                            <a:avLst/>
                            <a:gdLst/>
                            <a:ahLst/>
                            <a:cxnLst/>
                            <a:rect l="l" t="t" r="r" b="b"/>
                            <a:pathLst>
                              <a:path w="50165" h="50165">
                                <a:moveTo>
                                  <a:pt x="49923" y="0"/>
                                </a:moveTo>
                                <a:lnTo>
                                  <a:pt x="0" y="0"/>
                                </a:lnTo>
                                <a:lnTo>
                                  <a:pt x="0" y="49923"/>
                                </a:lnTo>
                                <a:lnTo>
                                  <a:pt x="49923" y="49923"/>
                                </a:lnTo>
                                <a:lnTo>
                                  <a:pt x="4992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3190AA2" id="Group 1305" o:spid="_x0000_s1026" style="position:absolute;margin-left:419pt;margin-top:137.95pt;width:29.85pt;height:3.95pt;z-index:15955456;mso-wrap-distance-left:0;mso-wrap-distance-right:0;mso-position-horizontal-relative:page" coordsize="379095,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">
                <v:shape id="Graphic 1306" o:spid="_x0000_s1027" style="position:absolute;top:21398;width:351155;height:1270;visibility:visible;mso-wrap-style:square;v-text-anchor:top" coordsize="351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" path="m,l350570,e" filled="f" strokeweight=".24058mm">
                  <v:path arrowok="t"/>
                </v:shape>
                <v:shape id="Graphic 1307" o:spid="_x0000_s1028" style="position:absolute;left:329166;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" path="m49923,l,,,49923r49923,l49923,xe" fillcolor="#0000c0" stroked="f">
                  <v:path arrowok="t"/>
                </v:shape>
                <w10:wrap anchorx="page"/>
              </v:group>
            </w:pict>
          </mc:Fallback>
        </mc:AlternateContent>
      </w:r>
      <w:r w:rsidRPr="003C6DAE">
        <w:rPr>
          <w:noProof/>
          <w:sz w:val="20"/>
          <w:szCs w:val="20"/>
          <w:lang w:val="uk-UA"/>
        </w:rPr>
        <w:drawing>
          <wp:anchor distT="0" distB="0" distL="0" distR="0" simplePos="0" relativeHeight="15960064" behindDoc="0" locked="0" layoutInCell="1" allowOverlap="1" wp14:anchorId="728D3D10" wp14:editId="7F4A0D5E">
            <wp:simplePos x="0" y="0"/>
            <wp:positionH relativeFrom="page">
              <wp:posOffset>5757943</wp:posOffset>
            </wp:positionH>
            <wp:positionV relativeFrom="paragraph">
              <wp:posOffset>707651</wp:posOffset>
            </wp:positionV>
            <wp:extent cx="835072" cy="84010"/>
            <wp:effectExtent l="0" t="0" r="0" b="0"/>
            <wp:wrapNone/>
            <wp:docPr id="1308" name="Image 1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8" name="Image 1308"/>
                    <pic:cNvPicPr/>
                  </pic:nvPicPr>
                  <pic:blipFill>
                    <a:blip r:embed="rId73" cstate="print"/>
                    <a:stretch>
                      <a:fillRect/>
                    </a:stretch>
                  </pic:blipFill>
                  <pic:spPr>
                    <a:xfrm>
                      <a:off x="0" y="0"/>
                      <a:ext cx="835072" cy="84010"/>
                    </a:xfrm>
                    <a:prstGeom prst="rect">
                      <a:avLst/>
                    </a:prstGeom>
                  </pic:spPr>
                </pic:pic>
              </a:graphicData>
            </a:graphic>
          </wp:anchor>
        </w:drawing>
      </w:r>
      <w:r w:rsidRPr="003C6DAE">
        <w:rPr>
          <w:noProof/>
          <w:sz w:val="20"/>
          <w:szCs w:val="20"/>
          <w:lang w:val="uk-UA"/>
        </w:rPr>
        <mc:AlternateContent>
          <mc:Choice Requires="wpg">
            <w:drawing>
              <wp:anchor distT="0" distB="0" distL="0" distR="0" simplePos="0" relativeHeight="15960576" behindDoc="0" locked="0" layoutInCell="1" allowOverlap="1" wp14:anchorId="704D59ED" wp14:editId="56EFC815">
                <wp:simplePos x="0" y="0"/>
                <wp:positionH relativeFrom="page">
                  <wp:posOffset>6526997</wp:posOffset>
                </wp:positionH>
                <wp:positionV relativeFrom="paragraph">
                  <wp:posOffset>838861</wp:posOffset>
                </wp:positionV>
                <wp:extent cx="100965" cy="50165"/>
                <wp:effectExtent l="0" t="0" r="0" b="0"/>
                <wp:wrapNone/>
                <wp:docPr id="1309"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 cy="50165"/>
                          <a:chOff x="0" y="0"/>
                          <a:chExt cx="100965" cy="50165"/>
                        </a:xfrm>
                      </wpg:grpSpPr>
                      <wps:wsp>
                        <wps:cNvPr id="1310" name="Graphic 1310"/>
                        <wps:cNvSpPr/>
                        <wps:spPr>
                          <a:xfrm>
                            <a:off x="0" y="21400"/>
                            <a:ext cx="72390" cy="1270"/>
                          </a:xfrm>
                          <a:custGeom>
                            <a:avLst/>
                            <a:gdLst/>
                            <a:ahLst/>
                            <a:cxnLst/>
                            <a:rect l="l" t="t" r="r" b="b"/>
                            <a:pathLst>
                              <a:path w="72390">
                                <a:moveTo>
                                  <a:pt x="0" y="0"/>
                                </a:moveTo>
                                <a:lnTo>
                                  <a:pt x="71958" y="0"/>
                                </a:lnTo>
                              </a:path>
                            </a:pathLst>
                          </a:custGeom>
                          <a:ln w="8661">
                            <a:solidFill>
                              <a:srgbClr val="000000"/>
                            </a:solidFill>
                            <a:prstDash val="solid"/>
                          </a:ln>
                        </wps:spPr>
                        <wps:bodyPr wrap="square" lIns="0" tIns="0" rIns="0" bIns="0" rtlCol="0">
                          <a:prstTxWarp prst="textNoShape">
                            <a:avLst/>
                          </a:prstTxWarp>
                          <a:noAutofit/>
                        </wps:bodyPr>
                      </wps:wsp>
                      <wps:wsp>
                        <wps:cNvPr id="1311" name="Graphic 1311"/>
                        <wps:cNvSpPr/>
                        <wps:spPr>
                          <a:xfrm>
                            <a:off x="50561" y="0"/>
                            <a:ext cx="50165" cy="50165"/>
                          </a:xfrm>
                          <a:custGeom>
                            <a:avLst/>
                            <a:gdLst/>
                            <a:ahLst/>
                            <a:cxnLst/>
                            <a:rect l="l" t="t" r="r" b="b"/>
                            <a:pathLst>
                              <a:path w="50165" h="50165">
                                <a:moveTo>
                                  <a:pt x="49936" y="0"/>
                                </a:moveTo>
                                <a:lnTo>
                                  <a:pt x="0" y="0"/>
                                </a:lnTo>
                                <a:lnTo>
                                  <a:pt x="0" y="49923"/>
                                </a:lnTo>
                                <a:lnTo>
                                  <a:pt x="49936" y="49923"/>
                                </a:lnTo>
                                <a:lnTo>
                                  <a:pt x="49936"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27B2297" id="Group 1309" o:spid="_x0000_s1026" style="position:absolute;margin-left:513.95pt;margin-top:66.05pt;width:7.95pt;height:3.95pt;z-index:15960576;mso-wrap-distance-left:0;mso-wrap-distance-right:0;mso-position-horizontal-relative:page" coordsize="100965,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">
                <v:shape id="Graphic 1310" o:spid="_x0000_s1027" style="position:absolute;top:21400;width:72390;height:1270;visibility:visible;mso-wrap-style:square;v-text-anchor:top" coordsize="72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" path="m,l71958,e" filled="f" strokeweight=".24058mm">
                  <v:path arrowok="t"/>
                </v:shape>
                <v:shape id="Graphic 1311" o:spid="_x0000_s1028" style="position:absolute;left:50561;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" path="m49936,l,,,49923r49936,l49936,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61088" behindDoc="0" locked="0" layoutInCell="1" allowOverlap="1" wp14:anchorId="5E3BCB3B" wp14:editId="47DBAE10">
                <wp:simplePos x="0" y="0"/>
                <wp:positionH relativeFrom="page">
                  <wp:posOffset>6467788</wp:posOffset>
                </wp:positionH>
                <wp:positionV relativeFrom="paragraph">
                  <wp:posOffset>952983</wp:posOffset>
                </wp:positionV>
                <wp:extent cx="134620" cy="50165"/>
                <wp:effectExtent l="0" t="0" r="0" b="0"/>
                <wp:wrapNone/>
                <wp:docPr id="1312"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 cy="50165"/>
                          <a:chOff x="0" y="0"/>
                          <a:chExt cx="134620" cy="50165"/>
                        </a:xfrm>
                      </wpg:grpSpPr>
                      <wps:wsp>
                        <wps:cNvPr id="1313" name="Graphic 1313"/>
                        <wps:cNvSpPr/>
                        <wps:spPr>
                          <a:xfrm>
                            <a:off x="0" y="21393"/>
                            <a:ext cx="130810" cy="1270"/>
                          </a:xfrm>
                          <a:custGeom>
                            <a:avLst/>
                            <a:gdLst/>
                            <a:ahLst/>
                            <a:cxnLst/>
                            <a:rect l="l" t="t" r="r" b="b"/>
                            <a:pathLst>
                              <a:path w="130810">
                                <a:moveTo>
                                  <a:pt x="0" y="0"/>
                                </a:moveTo>
                                <a:lnTo>
                                  <a:pt x="130530" y="0"/>
                                </a:lnTo>
                              </a:path>
                            </a:pathLst>
                          </a:custGeom>
                          <a:ln w="8661">
                            <a:solidFill>
                              <a:srgbClr val="000000"/>
                            </a:solidFill>
                            <a:prstDash val="solid"/>
                          </a:ln>
                        </wps:spPr>
                        <wps:bodyPr wrap="square" lIns="0" tIns="0" rIns="0" bIns="0" rtlCol="0">
                          <a:prstTxWarp prst="textNoShape">
                            <a:avLst/>
                          </a:prstTxWarp>
                          <a:noAutofit/>
                        </wps:bodyPr>
                      </wps:wsp>
                      <wps:wsp>
                        <wps:cNvPr id="1314" name="Graphic 1314"/>
                        <wps:cNvSpPr/>
                        <wps:spPr>
                          <a:xfrm>
                            <a:off x="84598" y="0"/>
                            <a:ext cx="50165" cy="50165"/>
                          </a:xfrm>
                          <a:custGeom>
                            <a:avLst/>
                            <a:gdLst/>
                            <a:ahLst/>
                            <a:cxnLst/>
                            <a:rect l="l" t="t" r="r" b="b"/>
                            <a:pathLst>
                              <a:path w="50165" h="50165">
                                <a:moveTo>
                                  <a:pt x="49923" y="0"/>
                                </a:moveTo>
                                <a:lnTo>
                                  <a:pt x="0" y="0"/>
                                </a:lnTo>
                                <a:lnTo>
                                  <a:pt x="0" y="49923"/>
                                </a:lnTo>
                                <a:lnTo>
                                  <a:pt x="49923" y="49923"/>
                                </a:lnTo>
                                <a:lnTo>
                                  <a:pt x="4992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51F375D" id="Group 1312" o:spid="_x0000_s1026" style="position:absolute;margin-left:509.25pt;margin-top:75.05pt;width:10.6pt;height:3.95pt;z-index:15961088;mso-wrap-distance-left:0;mso-wrap-distance-right:0;mso-position-horizontal-relative:page" coordsize="13462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">
                <v:shape id="Graphic 1313" o:spid="_x0000_s1027" style="position:absolute;top:21393;width:130810;height:1270;visibility:visible;mso-wrap-style:square;v-text-anchor:top" coordsize="130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" path="m,l130530,e" filled="f" strokeweight=".24058mm">
                  <v:path arrowok="t"/>
                </v:shape>
                <v:shape id="Graphic 1314" o:spid="_x0000_s1028" style="position:absolute;left:84598;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" path="m49923,l,,,49923r49923,l49923,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61600" behindDoc="0" locked="0" layoutInCell="1" allowOverlap="1" wp14:anchorId="4545EE9B" wp14:editId="51B16CE2">
                <wp:simplePos x="0" y="0"/>
                <wp:positionH relativeFrom="page">
                  <wp:posOffset>6546113</wp:posOffset>
                </wp:positionH>
                <wp:positionV relativeFrom="paragraph">
                  <wp:posOffset>1067093</wp:posOffset>
                </wp:positionV>
                <wp:extent cx="50165" cy="50165"/>
                <wp:effectExtent l="0" t="0" r="0" b="0"/>
                <wp:wrapNone/>
                <wp:docPr id="1315"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65" cy="50165"/>
                          <a:chOff x="0" y="0"/>
                          <a:chExt cx="50165" cy="50165"/>
                        </a:xfrm>
                      </wpg:grpSpPr>
                      <wps:wsp>
                        <wps:cNvPr id="1316" name="Graphic 1316"/>
                        <wps:cNvSpPr/>
                        <wps:spPr>
                          <a:xfrm>
                            <a:off x="739" y="21396"/>
                            <a:ext cx="34925" cy="1270"/>
                          </a:xfrm>
                          <a:custGeom>
                            <a:avLst/>
                            <a:gdLst/>
                            <a:ahLst/>
                            <a:cxnLst/>
                            <a:rect l="l" t="t" r="r" b="b"/>
                            <a:pathLst>
                              <a:path w="34925">
                                <a:moveTo>
                                  <a:pt x="0" y="0"/>
                                </a:moveTo>
                                <a:lnTo>
                                  <a:pt x="34785" y="0"/>
                                </a:lnTo>
                              </a:path>
                            </a:pathLst>
                          </a:custGeom>
                          <a:ln w="8661">
                            <a:solidFill>
                              <a:srgbClr val="000000"/>
                            </a:solidFill>
                            <a:prstDash val="solid"/>
                          </a:ln>
                        </wps:spPr>
                        <wps:bodyPr wrap="square" lIns="0" tIns="0" rIns="0" bIns="0" rtlCol="0">
                          <a:prstTxWarp prst="textNoShape">
                            <a:avLst/>
                          </a:prstTxWarp>
                          <a:noAutofit/>
                        </wps:bodyPr>
                      </wps:wsp>
                      <wps:wsp>
                        <wps:cNvPr id="1317" name="Graphic 1317"/>
                        <wps:cNvSpPr/>
                        <wps:spPr>
                          <a:xfrm>
                            <a:off x="0" y="0"/>
                            <a:ext cx="50165" cy="50165"/>
                          </a:xfrm>
                          <a:custGeom>
                            <a:avLst/>
                            <a:gdLst/>
                            <a:ahLst/>
                            <a:cxnLst/>
                            <a:rect l="l" t="t" r="r" b="b"/>
                            <a:pathLst>
                              <a:path w="50165" h="50165">
                                <a:moveTo>
                                  <a:pt x="49923" y="0"/>
                                </a:moveTo>
                                <a:lnTo>
                                  <a:pt x="0" y="0"/>
                                </a:lnTo>
                                <a:lnTo>
                                  <a:pt x="0" y="49923"/>
                                </a:lnTo>
                                <a:lnTo>
                                  <a:pt x="49923" y="49923"/>
                                </a:lnTo>
                                <a:lnTo>
                                  <a:pt x="4992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DEE4603" id="Group 1315" o:spid="_x0000_s1026" style="position:absolute;margin-left:515.45pt;margin-top:84pt;width:3.95pt;height:3.95pt;z-index:15961600;mso-wrap-distance-left:0;mso-wrap-distance-right:0;mso-position-horizontal-relative:page" coordsize="50165,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">
                <v:shape id="Graphic 1316" o:spid="_x0000_s1027" style="position:absolute;left:739;top:21396;width:34925;height:1270;visibility:visible;mso-wrap-style:square;v-text-anchor:top" coordsize="3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" path="m,l34785,e" filled="f" strokeweight=".24058mm">
                  <v:path arrowok="t"/>
                </v:shape>
                <v:shape id="Graphic 1317" o:spid="_x0000_s1028" style="position:absolute;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" path="m49923,l,,,49923r49923,l49923,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62112" behindDoc="0" locked="0" layoutInCell="1" allowOverlap="1" wp14:anchorId="67119901" wp14:editId="1EAB0879">
                <wp:simplePos x="0" y="0"/>
                <wp:positionH relativeFrom="page">
                  <wp:posOffset>6466833</wp:posOffset>
                </wp:positionH>
                <wp:positionV relativeFrom="paragraph">
                  <wp:posOffset>1181215</wp:posOffset>
                </wp:positionV>
                <wp:extent cx="161290" cy="50165"/>
                <wp:effectExtent l="0" t="0" r="0" b="0"/>
                <wp:wrapNone/>
                <wp:docPr id="1318"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50165"/>
                          <a:chOff x="0" y="0"/>
                          <a:chExt cx="161290" cy="50165"/>
                        </a:xfrm>
                      </wpg:grpSpPr>
                      <wps:wsp>
                        <wps:cNvPr id="1319" name="Graphic 1319"/>
                        <wps:cNvSpPr/>
                        <wps:spPr>
                          <a:xfrm>
                            <a:off x="0" y="21389"/>
                            <a:ext cx="132715" cy="1270"/>
                          </a:xfrm>
                          <a:custGeom>
                            <a:avLst/>
                            <a:gdLst/>
                            <a:ahLst/>
                            <a:cxnLst/>
                            <a:rect l="l" t="t" r="r" b="b"/>
                            <a:pathLst>
                              <a:path w="132715">
                                <a:moveTo>
                                  <a:pt x="0" y="0"/>
                                </a:moveTo>
                                <a:lnTo>
                                  <a:pt x="132118" y="0"/>
                                </a:lnTo>
                              </a:path>
                            </a:pathLst>
                          </a:custGeom>
                          <a:ln w="8661">
                            <a:solidFill>
                              <a:srgbClr val="000000"/>
                            </a:solidFill>
                            <a:prstDash val="solid"/>
                          </a:ln>
                        </wps:spPr>
                        <wps:bodyPr wrap="square" lIns="0" tIns="0" rIns="0" bIns="0" rtlCol="0">
                          <a:prstTxWarp prst="textNoShape">
                            <a:avLst/>
                          </a:prstTxWarp>
                          <a:noAutofit/>
                        </wps:bodyPr>
                      </wps:wsp>
                      <wps:wsp>
                        <wps:cNvPr id="1320" name="Graphic 1320"/>
                        <wps:cNvSpPr/>
                        <wps:spPr>
                          <a:xfrm>
                            <a:off x="110724" y="0"/>
                            <a:ext cx="50165" cy="50165"/>
                          </a:xfrm>
                          <a:custGeom>
                            <a:avLst/>
                            <a:gdLst/>
                            <a:ahLst/>
                            <a:cxnLst/>
                            <a:rect l="l" t="t" r="r" b="b"/>
                            <a:pathLst>
                              <a:path w="50165" h="50165">
                                <a:moveTo>
                                  <a:pt x="49936" y="0"/>
                                </a:moveTo>
                                <a:lnTo>
                                  <a:pt x="0" y="0"/>
                                </a:lnTo>
                                <a:lnTo>
                                  <a:pt x="0" y="49923"/>
                                </a:lnTo>
                                <a:lnTo>
                                  <a:pt x="49936" y="49923"/>
                                </a:lnTo>
                                <a:lnTo>
                                  <a:pt x="49936"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15330FC" id="Group 1318" o:spid="_x0000_s1026" style="position:absolute;margin-left:509.2pt;margin-top:93pt;width:12.7pt;height:3.95pt;z-index:15962112;mso-wrap-distance-left:0;mso-wrap-distance-right:0;mso-position-horizontal-relative:page" coordsize="16129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">
                <v:shape id="Graphic 1319" o:spid="_x0000_s1027" style="position:absolute;top:21389;width:132715;height:1270;visibility:visible;mso-wrap-style:square;v-text-anchor:top" coordsize="13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" path="m,l132118,e" filled="f" strokeweight=".24058mm">
                  <v:path arrowok="t"/>
                </v:shape>
                <v:shape id="Graphic 1320" o:spid="_x0000_s1028" style="position:absolute;left:110724;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" path="m49936,l,,,49923r49936,l49936,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62624" behindDoc="0" locked="0" layoutInCell="1" allowOverlap="1" wp14:anchorId="6FC74FB9" wp14:editId="2270D2CA">
                <wp:simplePos x="0" y="0"/>
                <wp:positionH relativeFrom="page">
                  <wp:posOffset>6565319</wp:posOffset>
                </wp:positionH>
                <wp:positionV relativeFrom="paragraph">
                  <wp:posOffset>1295324</wp:posOffset>
                </wp:positionV>
                <wp:extent cx="62230" cy="50165"/>
                <wp:effectExtent l="0" t="0" r="0" b="0"/>
                <wp:wrapNone/>
                <wp:docPr id="1321"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 cy="50165"/>
                          <a:chOff x="0" y="0"/>
                          <a:chExt cx="62230" cy="50165"/>
                        </a:xfrm>
                      </wpg:grpSpPr>
                      <wps:wsp>
                        <wps:cNvPr id="1322" name="Graphic 1322"/>
                        <wps:cNvSpPr/>
                        <wps:spPr>
                          <a:xfrm>
                            <a:off x="0" y="21393"/>
                            <a:ext cx="33655" cy="1270"/>
                          </a:xfrm>
                          <a:custGeom>
                            <a:avLst/>
                            <a:gdLst/>
                            <a:ahLst/>
                            <a:cxnLst/>
                            <a:rect l="l" t="t" r="r" b="b"/>
                            <a:pathLst>
                              <a:path w="33655">
                                <a:moveTo>
                                  <a:pt x="0" y="0"/>
                                </a:moveTo>
                                <a:lnTo>
                                  <a:pt x="33629" y="0"/>
                                </a:lnTo>
                              </a:path>
                            </a:pathLst>
                          </a:custGeom>
                          <a:ln w="8661">
                            <a:solidFill>
                              <a:srgbClr val="000000"/>
                            </a:solidFill>
                            <a:prstDash val="solid"/>
                          </a:ln>
                        </wps:spPr>
                        <wps:bodyPr wrap="square" lIns="0" tIns="0" rIns="0" bIns="0" rtlCol="0">
                          <a:prstTxWarp prst="textNoShape">
                            <a:avLst/>
                          </a:prstTxWarp>
                          <a:noAutofit/>
                        </wps:bodyPr>
                      </wps:wsp>
                      <wps:wsp>
                        <wps:cNvPr id="1323" name="Graphic 1323"/>
                        <wps:cNvSpPr/>
                        <wps:spPr>
                          <a:xfrm>
                            <a:off x="12238" y="0"/>
                            <a:ext cx="50165" cy="50165"/>
                          </a:xfrm>
                          <a:custGeom>
                            <a:avLst/>
                            <a:gdLst/>
                            <a:ahLst/>
                            <a:cxnLst/>
                            <a:rect l="l" t="t" r="r" b="b"/>
                            <a:pathLst>
                              <a:path w="50165" h="50165">
                                <a:moveTo>
                                  <a:pt x="49936" y="0"/>
                                </a:moveTo>
                                <a:lnTo>
                                  <a:pt x="0" y="0"/>
                                </a:lnTo>
                                <a:lnTo>
                                  <a:pt x="0" y="49923"/>
                                </a:lnTo>
                                <a:lnTo>
                                  <a:pt x="49936" y="49923"/>
                                </a:lnTo>
                                <a:lnTo>
                                  <a:pt x="49936"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DB59957" id="Group 1321" o:spid="_x0000_s1026" style="position:absolute;margin-left:516.95pt;margin-top:102pt;width:4.9pt;height:3.95pt;z-index:15962624;mso-wrap-distance-left:0;mso-wrap-distance-right:0;mso-position-horizontal-relative:page" coordsize="6223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">
                <v:shape id="Graphic 1322" o:spid="_x0000_s1027" style="position:absolute;top:21393;width:33655;height:1270;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" path="m,l33629,e" filled="f" strokeweight=".24058mm">
                  <v:path arrowok="t"/>
                </v:shape>
                <v:shape id="Graphic 1323" o:spid="_x0000_s1028" style="position:absolute;left:12238;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" path="m49936,l,,,49923r49936,l49936,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63136" behindDoc="0" locked="0" layoutInCell="1" allowOverlap="1" wp14:anchorId="5B454B4F" wp14:editId="5D535823">
                <wp:simplePos x="0" y="0"/>
                <wp:positionH relativeFrom="page">
                  <wp:posOffset>6554529</wp:posOffset>
                </wp:positionH>
                <wp:positionV relativeFrom="paragraph">
                  <wp:posOffset>1409434</wp:posOffset>
                </wp:positionV>
                <wp:extent cx="57785" cy="50165"/>
                <wp:effectExtent l="0" t="0" r="0" b="0"/>
                <wp:wrapNone/>
                <wp:docPr id="1324"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 cy="50165"/>
                          <a:chOff x="0" y="0"/>
                          <a:chExt cx="57785" cy="50165"/>
                        </a:xfrm>
                      </wpg:grpSpPr>
                      <wps:wsp>
                        <wps:cNvPr id="1325" name="Graphic 1325"/>
                        <wps:cNvSpPr/>
                        <wps:spPr>
                          <a:xfrm>
                            <a:off x="0" y="21399"/>
                            <a:ext cx="41275" cy="1270"/>
                          </a:xfrm>
                          <a:custGeom>
                            <a:avLst/>
                            <a:gdLst/>
                            <a:ahLst/>
                            <a:cxnLst/>
                            <a:rect l="l" t="t" r="r" b="b"/>
                            <a:pathLst>
                              <a:path w="41275">
                                <a:moveTo>
                                  <a:pt x="0" y="0"/>
                                </a:moveTo>
                                <a:lnTo>
                                  <a:pt x="41224" y="0"/>
                                </a:lnTo>
                              </a:path>
                            </a:pathLst>
                          </a:custGeom>
                          <a:ln w="8661">
                            <a:solidFill>
                              <a:srgbClr val="000000"/>
                            </a:solidFill>
                            <a:prstDash val="solid"/>
                          </a:ln>
                        </wps:spPr>
                        <wps:bodyPr wrap="square" lIns="0" tIns="0" rIns="0" bIns="0" rtlCol="0">
                          <a:prstTxWarp prst="textNoShape">
                            <a:avLst/>
                          </a:prstTxWarp>
                          <a:noAutofit/>
                        </wps:bodyPr>
                      </wps:wsp>
                      <wps:wsp>
                        <wps:cNvPr id="1326" name="Graphic 1326"/>
                        <wps:cNvSpPr/>
                        <wps:spPr>
                          <a:xfrm>
                            <a:off x="7560" y="0"/>
                            <a:ext cx="50165" cy="50165"/>
                          </a:xfrm>
                          <a:custGeom>
                            <a:avLst/>
                            <a:gdLst/>
                            <a:ahLst/>
                            <a:cxnLst/>
                            <a:rect l="l" t="t" r="r" b="b"/>
                            <a:pathLst>
                              <a:path w="50165" h="50165">
                                <a:moveTo>
                                  <a:pt x="49923" y="0"/>
                                </a:moveTo>
                                <a:lnTo>
                                  <a:pt x="0" y="0"/>
                                </a:lnTo>
                                <a:lnTo>
                                  <a:pt x="0" y="49923"/>
                                </a:lnTo>
                                <a:lnTo>
                                  <a:pt x="49923" y="49923"/>
                                </a:lnTo>
                                <a:lnTo>
                                  <a:pt x="4992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DB047E7" id="Group 1324" o:spid="_x0000_s1026" style="position:absolute;margin-left:516.1pt;margin-top:111pt;width:4.55pt;height:3.95pt;z-index:15963136;mso-wrap-distance-left:0;mso-wrap-distance-right:0;mso-position-horizontal-relative:page" coordsize="57785,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">
                <v:shape id="Graphic 1325" o:spid="_x0000_s1027" style="position:absolute;top:21399;width:41275;height:1270;visibility:visible;mso-wrap-style:square;v-text-anchor:top" coordsize="4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" path="m,l41224,e" filled="f" strokeweight=".24058mm">
                  <v:path arrowok="t"/>
                </v:shape>
                <v:shape id="Graphic 1326" o:spid="_x0000_s1028" style="position:absolute;left:7560;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" path="m49923,l,,,49923r49923,l49923,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63648" behindDoc="0" locked="0" layoutInCell="1" allowOverlap="1" wp14:anchorId="68A93D22" wp14:editId="61691EDD">
                <wp:simplePos x="0" y="0"/>
                <wp:positionH relativeFrom="page">
                  <wp:posOffset>6577558</wp:posOffset>
                </wp:positionH>
                <wp:positionV relativeFrom="paragraph">
                  <wp:posOffset>1523556</wp:posOffset>
                </wp:positionV>
                <wp:extent cx="50165" cy="50165"/>
                <wp:effectExtent l="0" t="0" r="0" b="0"/>
                <wp:wrapNone/>
                <wp:docPr id="1327"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65" cy="50165"/>
                          <a:chOff x="0" y="0"/>
                          <a:chExt cx="50165" cy="50165"/>
                        </a:xfrm>
                      </wpg:grpSpPr>
                      <wps:wsp>
                        <wps:cNvPr id="1328" name="Graphic 1328"/>
                        <wps:cNvSpPr/>
                        <wps:spPr>
                          <a:xfrm>
                            <a:off x="2371" y="21389"/>
                            <a:ext cx="19050" cy="1270"/>
                          </a:xfrm>
                          <a:custGeom>
                            <a:avLst/>
                            <a:gdLst/>
                            <a:ahLst/>
                            <a:cxnLst/>
                            <a:rect l="l" t="t" r="r" b="b"/>
                            <a:pathLst>
                              <a:path w="19050">
                                <a:moveTo>
                                  <a:pt x="0" y="0"/>
                                </a:moveTo>
                                <a:lnTo>
                                  <a:pt x="19024" y="0"/>
                                </a:lnTo>
                              </a:path>
                            </a:pathLst>
                          </a:custGeom>
                          <a:ln w="8661">
                            <a:solidFill>
                              <a:srgbClr val="000000"/>
                            </a:solidFill>
                            <a:prstDash val="solid"/>
                          </a:ln>
                        </wps:spPr>
                        <wps:bodyPr wrap="square" lIns="0" tIns="0" rIns="0" bIns="0" rtlCol="0">
                          <a:prstTxWarp prst="textNoShape">
                            <a:avLst/>
                          </a:prstTxWarp>
                          <a:noAutofit/>
                        </wps:bodyPr>
                      </wps:wsp>
                      <wps:wsp>
                        <wps:cNvPr id="1329" name="Graphic 1329"/>
                        <wps:cNvSpPr/>
                        <wps:spPr>
                          <a:xfrm>
                            <a:off x="0" y="0"/>
                            <a:ext cx="50165" cy="50165"/>
                          </a:xfrm>
                          <a:custGeom>
                            <a:avLst/>
                            <a:gdLst/>
                            <a:ahLst/>
                            <a:cxnLst/>
                            <a:rect l="l" t="t" r="r" b="b"/>
                            <a:pathLst>
                              <a:path w="50165" h="50165">
                                <a:moveTo>
                                  <a:pt x="49936" y="0"/>
                                </a:moveTo>
                                <a:lnTo>
                                  <a:pt x="0" y="0"/>
                                </a:lnTo>
                                <a:lnTo>
                                  <a:pt x="0" y="49923"/>
                                </a:lnTo>
                                <a:lnTo>
                                  <a:pt x="49936" y="49923"/>
                                </a:lnTo>
                                <a:lnTo>
                                  <a:pt x="49936"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D6B22BF" id="Group 1327" o:spid="_x0000_s1026" style="position:absolute;margin-left:517.9pt;margin-top:119.95pt;width:3.95pt;height:3.95pt;z-index:15963648;mso-wrap-distance-left:0;mso-wrap-distance-right:0;mso-position-horizontal-relative:page" coordsize="50165,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">
                <v:shape id="Graphic 1328" o:spid="_x0000_s1027" style="position:absolute;left:2371;top:21389;width:19050;height:1270;visibility:visible;mso-wrap-style:square;v-text-anchor:top" coordsize="19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" path="m,l19024,e" filled="f" strokeweight=".24058mm">
                  <v:path arrowok="t"/>
                </v:shape>
                <v:shape id="Graphic 1329" o:spid="_x0000_s1028" style="position:absolute;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" path="m49936,l,,,49923r49936,l49936,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64160" behindDoc="0" locked="0" layoutInCell="1" allowOverlap="1" wp14:anchorId="3EC7BD72" wp14:editId="18D1F08F">
                <wp:simplePos x="0" y="0"/>
                <wp:positionH relativeFrom="page">
                  <wp:posOffset>6559653</wp:posOffset>
                </wp:positionH>
                <wp:positionV relativeFrom="paragraph">
                  <wp:posOffset>1637666</wp:posOffset>
                </wp:positionV>
                <wp:extent cx="54610" cy="50165"/>
                <wp:effectExtent l="0" t="0" r="0" b="0"/>
                <wp:wrapNone/>
                <wp:docPr id="1330"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0165"/>
                          <a:chOff x="0" y="0"/>
                          <a:chExt cx="54610" cy="50165"/>
                        </a:xfrm>
                      </wpg:grpSpPr>
                      <wps:wsp>
                        <wps:cNvPr id="1331" name="Graphic 1331"/>
                        <wps:cNvSpPr/>
                        <wps:spPr>
                          <a:xfrm>
                            <a:off x="0" y="21395"/>
                            <a:ext cx="36830" cy="1270"/>
                          </a:xfrm>
                          <a:custGeom>
                            <a:avLst/>
                            <a:gdLst/>
                            <a:ahLst/>
                            <a:cxnLst/>
                            <a:rect l="l" t="t" r="r" b="b"/>
                            <a:pathLst>
                              <a:path w="36830">
                                <a:moveTo>
                                  <a:pt x="0" y="0"/>
                                </a:moveTo>
                                <a:lnTo>
                                  <a:pt x="36487" y="0"/>
                                </a:lnTo>
                              </a:path>
                            </a:pathLst>
                          </a:custGeom>
                          <a:ln w="8661">
                            <a:solidFill>
                              <a:srgbClr val="000000"/>
                            </a:solidFill>
                            <a:prstDash val="solid"/>
                          </a:ln>
                        </wps:spPr>
                        <wps:bodyPr wrap="square" lIns="0" tIns="0" rIns="0" bIns="0" rtlCol="0">
                          <a:prstTxWarp prst="textNoShape">
                            <a:avLst/>
                          </a:prstTxWarp>
                          <a:noAutofit/>
                        </wps:bodyPr>
                      </wps:wsp>
                      <wps:wsp>
                        <wps:cNvPr id="1332" name="Graphic 1332"/>
                        <wps:cNvSpPr/>
                        <wps:spPr>
                          <a:xfrm>
                            <a:off x="4253" y="0"/>
                            <a:ext cx="50165" cy="50165"/>
                          </a:xfrm>
                          <a:custGeom>
                            <a:avLst/>
                            <a:gdLst/>
                            <a:ahLst/>
                            <a:cxnLst/>
                            <a:rect l="l" t="t" r="r" b="b"/>
                            <a:pathLst>
                              <a:path w="50165" h="50165">
                                <a:moveTo>
                                  <a:pt x="49923" y="0"/>
                                </a:moveTo>
                                <a:lnTo>
                                  <a:pt x="0" y="0"/>
                                </a:lnTo>
                                <a:lnTo>
                                  <a:pt x="0" y="49923"/>
                                </a:lnTo>
                                <a:lnTo>
                                  <a:pt x="49923" y="49923"/>
                                </a:lnTo>
                                <a:lnTo>
                                  <a:pt x="4992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86B7863" id="Group 1330" o:spid="_x0000_s1026" style="position:absolute;margin-left:516.5pt;margin-top:128.95pt;width:4.3pt;height:3.95pt;z-index:15964160;mso-wrap-distance-left:0;mso-wrap-distance-right:0;mso-position-horizontal-relative:page" coordsize="5461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">
                <v:shape id="Graphic 1331" o:spid="_x0000_s1027" style="position:absolute;top:21395;width:36830;height:1270;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" path="m,l36487,e" filled="f" strokeweight=".24058mm">
                  <v:path arrowok="t"/>
                </v:shape>
                <v:shape id="Graphic 1332" o:spid="_x0000_s1028" style="position:absolute;left:4253;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" path="m49923,l,,,49923r49923,l49923,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64672" behindDoc="0" locked="0" layoutInCell="1" allowOverlap="1" wp14:anchorId="282385F0" wp14:editId="4906637C">
                <wp:simplePos x="0" y="0"/>
                <wp:positionH relativeFrom="page">
                  <wp:posOffset>6519915</wp:posOffset>
                </wp:positionH>
                <wp:positionV relativeFrom="paragraph">
                  <wp:posOffset>1751775</wp:posOffset>
                </wp:positionV>
                <wp:extent cx="93345" cy="50165"/>
                <wp:effectExtent l="0" t="0" r="0" b="0"/>
                <wp:wrapNone/>
                <wp:docPr id="1333"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50165"/>
                          <a:chOff x="0" y="0"/>
                          <a:chExt cx="93345" cy="50165"/>
                        </a:xfrm>
                      </wpg:grpSpPr>
                      <wps:wsp>
                        <wps:cNvPr id="1334" name="Graphic 1334"/>
                        <wps:cNvSpPr/>
                        <wps:spPr>
                          <a:xfrm>
                            <a:off x="0" y="21398"/>
                            <a:ext cx="78740" cy="1270"/>
                          </a:xfrm>
                          <a:custGeom>
                            <a:avLst/>
                            <a:gdLst/>
                            <a:ahLst/>
                            <a:cxnLst/>
                            <a:rect l="l" t="t" r="r" b="b"/>
                            <a:pathLst>
                              <a:path w="78740">
                                <a:moveTo>
                                  <a:pt x="0" y="0"/>
                                </a:moveTo>
                                <a:lnTo>
                                  <a:pt x="78676" y="0"/>
                                </a:lnTo>
                              </a:path>
                            </a:pathLst>
                          </a:custGeom>
                          <a:ln w="8661">
                            <a:solidFill>
                              <a:srgbClr val="000000"/>
                            </a:solidFill>
                            <a:prstDash val="solid"/>
                          </a:ln>
                        </wps:spPr>
                        <wps:bodyPr wrap="square" lIns="0" tIns="0" rIns="0" bIns="0" rtlCol="0">
                          <a:prstTxWarp prst="textNoShape">
                            <a:avLst/>
                          </a:prstTxWarp>
                          <a:noAutofit/>
                        </wps:bodyPr>
                      </wps:wsp>
                      <wps:wsp>
                        <wps:cNvPr id="1335" name="Graphic 1335"/>
                        <wps:cNvSpPr/>
                        <wps:spPr>
                          <a:xfrm>
                            <a:off x="42885" y="0"/>
                            <a:ext cx="50165" cy="50165"/>
                          </a:xfrm>
                          <a:custGeom>
                            <a:avLst/>
                            <a:gdLst/>
                            <a:ahLst/>
                            <a:cxnLst/>
                            <a:rect l="l" t="t" r="r" b="b"/>
                            <a:pathLst>
                              <a:path w="50165" h="50165">
                                <a:moveTo>
                                  <a:pt x="49936" y="0"/>
                                </a:moveTo>
                                <a:lnTo>
                                  <a:pt x="0" y="0"/>
                                </a:lnTo>
                                <a:lnTo>
                                  <a:pt x="0" y="49923"/>
                                </a:lnTo>
                                <a:lnTo>
                                  <a:pt x="49936" y="49923"/>
                                </a:lnTo>
                                <a:lnTo>
                                  <a:pt x="49936"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2A05537" id="Group 1333" o:spid="_x0000_s1026" style="position:absolute;margin-left:513.4pt;margin-top:137.95pt;width:7.35pt;height:3.95pt;z-index:15964672;mso-wrap-distance-left:0;mso-wrap-distance-right:0;mso-position-horizontal-relative:page" coordsize="93345,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">
                <v:shape id="Graphic 1334" o:spid="_x0000_s1027" style="position:absolute;top:21398;width:78740;height:1270;visibility:visible;mso-wrap-style:square;v-text-anchor:top" coordsize="78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" path="m,l78676,e" filled="f" strokeweight=".24058mm">
                  <v:path arrowok="t"/>
                </v:shape>
                <v:shape id="Graphic 1335" o:spid="_x0000_s1028" style="position:absolute;left:42885;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" path="m49936,l,,,49923r49936,l49936,xe" fillcolor="#0000c0" stroked="f">
                  <v:path arrowok="t"/>
                </v:shape>
                <w10:wrap anchorx="page"/>
              </v:group>
            </w:pict>
          </mc:Fallback>
        </mc:AlternateContent>
      </w:r>
      <w:r w:rsidR="00843DDA" w:rsidRPr="003C6DAE">
        <w:rPr>
          <w:color w:val="636466"/>
          <w:sz w:val="20"/>
          <w:szCs w:val="20"/>
          <w:lang w:val="uk-UA"/>
        </w:rPr>
        <w:t>Рис</w:t>
      </w:r>
      <w:r w:rsidRPr="003C6DAE">
        <w:rPr>
          <w:color w:val="636466"/>
          <w:sz w:val="20"/>
          <w:szCs w:val="20"/>
          <w:lang w:val="uk-UA"/>
        </w:rPr>
        <w:t>.</w:t>
      </w:r>
      <w:r w:rsidRPr="003C6DAE">
        <w:rPr>
          <w:color w:val="636466"/>
          <w:spacing w:val="-11"/>
          <w:sz w:val="20"/>
          <w:szCs w:val="20"/>
          <w:lang w:val="uk-UA"/>
        </w:rPr>
        <w:t xml:space="preserve"> </w:t>
      </w:r>
      <w:r w:rsidRPr="003C6DAE">
        <w:rPr>
          <w:color w:val="636466"/>
          <w:sz w:val="20"/>
          <w:szCs w:val="20"/>
          <w:lang w:val="uk-UA"/>
        </w:rPr>
        <w:t>2.1.2.2</w:t>
      </w:r>
      <w:r w:rsidRPr="003C6DAE">
        <w:rPr>
          <w:color w:val="636466"/>
          <w:spacing w:val="-11"/>
          <w:sz w:val="20"/>
          <w:szCs w:val="20"/>
          <w:lang w:val="uk-UA"/>
        </w:rPr>
        <w:t xml:space="preserve"> </w:t>
      </w:r>
      <w:r w:rsidR="00491B90" w:rsidRPr="003C6DAE">
        <w:rPr>
          <w:color w:val="636466"/>
          <w:sz w:val="20"/>
          <w:szCs w:val="20"/>
          <w:lang w:val="uk-UA"/>
        </w:rPr>
        <w:t>Лісова діаграма включених досліджень для виявлення стійкості до рифампіцину з використанням фенотипічного ТМЧ в якості еталонного стандарту</w:t>
      </w:r>
    </w:p>
    <w:p w14:paraId="3C207427" w14:textId="455720DD" w:rsidR="00E05B98" w:rsidRPr="003C6DAE" w:rsidRDefault="00491B90" w:rsidP="00DD3C0C">
      <w:pPr>
        <w:pStyle w:val="a3"/>
        <w:jc w:val="both"/>
        <w:rPr>
          <w:rFonts w:ascii="Arial"/>
          <w:b/>
          <w:sz w:val="24"/>
          <w:lang w:val="uk-UA"/>
        </w:rPr>
      </w:pPr>
      <w:r w:rsidRPr="003C6DAE">
        <w:rPr>
          <w:rFonts w:ascii="Arial"/>
          <w:b/>
          <w:noProof/>
          <w:sz w:val="24"/>
          <w:lang w:val="uk-UA"/>
        </w:rPr>
        <mc:AlternateContent>
          <mc:Choice Requires="wps">
            <w:drawing>
              <wp:anchor distT="0" distB="0" distL="114300" distR="114300" simplePos="0" relativeHeight="488100352" behindDoc="0" locked="0" layoutInCell="1" allowOverlap="1" wp14:anchorId="3A9490B5" wp14:editId="3FAD06D9">
                <wp:simplePos x="0" y="0"/>
                <wp:positionH relativeFrom="margin">
                  <wp:align>right</wp:align>
                </wp:positionH>
                <wp:positionV relativeFrom="paragraph">
                  <wp:posOffset>131196</wp:posOffset>
                </wp:positionV>
                <wp:extent cx="6175200" cy="207835"/>
                <wp:effectExtent l="0" t="0" r="0" b="1905"/>
                <wp:wrapNone/>
                <wp:docPr id="1946830560" name="Поле 1946830560"/>
                <wp:cNvGraphicFramePr/>
                <a:graphic xmlns:a="http://schemas.openxmlformats.org/drawingml/2006/main">
                  <a:graphicData uri="http://schemas.microsoft.com/office/word/2010/wordprocessingShape">
                    <wps:wsp>
                      <wps:cNvSpPr txBox="1"/>
                      <wps:spPr>
                        <a:xfrm>
                          <a:off x="0" y="0"/>
                          <a:ext cx="6175200" cy="207835"/>
                        </a:xfrm>
                        <a:prstGeom prst="rect">
                          <a:avLst/>
                        </a:prstGeom>
                        <a:solidFill>
                          <a:schemeClr val="bg1"/>
                        </a:solidFill>
                        <a:ln w="6350">
                          <a:noFill/>
                        </a:ln>
                      </wps:spPr>
                      <wps:txbx>
                        <w:txbxContent>
                          <w:p w14:paraId="1D9E2073" w14:textId="77777777" w:rsidR="007372B2" w:rsidRPr="00014B97" w:rsidRDefault="007372B2" w:rsidP="00491B90">
                            <w:pPr>
                              <w:rPr>
                                <w:rFonts w:asciiTheme="minorHAnsi" w:hAnsiTheme="minorHAnsi" w:cstheme="minorHAnsi"/>
                                <w:b/>
                                <w:sz w:val="14"/>
                                <w:szCs w:val="14"/>
                                <w:lang w:val="uk-UA"/>
                              </w:rPr>
                            </w:pPr>
                            <w:r>
                              <w:rPr>
                                <w:rFonts w:asciiTheme="minorHAnsi" w:hAnsiTheme="minorHAnsi" w:cstheme="minorHAnsi"/>
                                <w:b/>
                                <w:sz w:val="14"/>
                                <w:szCs w:val="14"/>
                                <w:lang w:val="uk-UA"/>
                              </w:rPr>
                              <w:t xml:space="preserve">Дослідження                                   </w:t>
                            </w:r>
                            <w:r>
                              <w:rPr>
                                <w:rFonts w:asciiTheme="minorHAnsi" w:hAnsiTheme="minorHAnsi" w:cstheme="minorHAnsi"/>
                                <w:b/>
                                <w:sz w:val="14"/>
                                <w:szCs w:val="14"/>
                              </w:rPr>
                              <w:t xml:space="preserve">TP     FP    FN       TN         </w:t>
                            </w:r>
                            <w:r w:rsidRPr="00014B97">
                              <w:rPr>
                                <w:rFonts w:asciiTheme="minorHAnsi" w:hAnsiTheme="minorHAnsi" w:cstheme="minorHAnsi"/>
                                <w:b/>
                                <w:sz w:val="14"/>
                                <w:szCs w:val="14"/>
                                <w:lang w:val="uk-UA"/>
                              </w:rPr>
                              <w:t xml:space="preserve">Чутливість (95% ДІ)   Специфічність (95% ДІ)  </w:t>
                            </w:r>
                            <w:r>
                              <w:rPr>
                                <w:rFonts w:asciiTheme="minorHAnsi" w:hAnsiTheme="minorHAnsi" w:cstheme="minorHAnsi"/>
                                <w:b/>
                                <w:sz w:val="14"/>
                                <w:szCs w:val="14"/>
                              </w:rPr>
                              <w:t xml:space="preserve">         </w:t>
                            </w:r>
                            <w:r w:rsidRPr="00014B97">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rPr>
                              <w:t xml:space="preserve">          </w:t>
                            </w:r>
                            <w:r>
                              <w:rPr>
                                <w:rFonts w:asciiTheme="minorHAnsi" w:hAnsiTheme="minorHAnsi" w:cstheme="minorHAnsi"/>
                                <w:b/>
                                <w:sz w:val="14"/>
                                <w:szCs w:val="14"/>
                                <w:lang w:val="uk-UA"/>
                              </w:rPr>
                              <w:t>С</w:t>
                            </w:r>
                            <w:r w:rsidRPr="00014B97">
                              <w:rPr>
                                <w:rFonts w:asciiTheme="minorHAnsi" w:hAnsiTheme="minorHAnsi" w:cstheme="minorHAnsi"/>
                                <w:b/>
                                <w:sz w:val="14"/>
                                <w:szCs w:val="14"/>
                                <w:lang w:val="uk-UA"/>
                              </w:rPr>
                              <w:t>пецифічність (95% 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490B5" id="Поле 1946830560" o:spid="_x0000_s1092" type="#_x0000_t202" style="position:absolute;left:0;text-align:left;margin-left:435.05pt;margin-top:10.35pt;width:486.25pt;height:16.35pt;z-index:48810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" fillcolor="white [3212]" stroked="f" strokeweight=".5pt">
                <v:textbox>
                  <w:txbxContent>
                    <w:p w14:paraId="1D9E2073" w14:textId="77777777" w:rsidR="007372B2" w:rsidRPr="00014B97" w:rsidRDefault="007372B2" w:rsidP="00491B90">
                      <w:pPr>
                        <w:rPr>
                          <w:rFonts w:asciiTheme="minorHAnsi" w:hAnsiTheme="minorHAnsi" w:cstheme="minorHAnsi"/>
                          <w:b/>
                          <w:sz w:val="14"/>
                          <w:szCs w:val="14"/>
                          <w:lang w:val="uk-UA"/>
                        </w:rPr>
                      </w:pPr>
                      <w:r>
                        <w:rPr>
                          <w:rFonts w:asciiTheme="minorHAnsi" w:hAnsiTheme="minorHAnsi" w:cstheme="minorHAnsi"/>
                          <w:b/>
                          <w:sz w:val="14"/>
                          <w:szCs w:val="14"/>
                          <w:lang w:val="uk-UA"/>
                        </w:rPr>
                        <w:t xml:space="preserve">Дослідження                                   </w:t>
                      </w:r>
                      <w:r>
                        <w:rPr>
                          <w:rFonts w:asciiTheme="minorHAnsi" w:hAnsiTheme="minorHAnsi" w:cstheme="minorHAnsi"/>
                          <w:b/>
                          <w:sz w:val="14"/>
                          <w:szCs w:val="14"/>
                        </w:rPr>
                        <w:t xml:space="preserve">TP     FP    FN       TN         </w:t>
                      </w:r>
                      <w:r w:rsidRPr="00014B97">
                        <w:rPr>
                          <w:rFonts w:asciiTheme="minorHAnsi" w:hAnsiTheme="minorHAnsi" w:cstheme="minorHAnsi"/>
                          <w:b/>
                          <w:sz w:val="14"/>
                          <w:szCs w:val="14"/>
                          <w:lang w:val="uk-UA"/>
                        </w:rPr>
                        <w:t xml:space="preserve">Чутливість (95% ДІ)   Специфічність (95% ДІ)  </w:t>
                      </w:r>
                      <w:r>
                        <w:rPr>
                          <w:rFonts w:asciiTheme="minorHAnsi" w:hAnsiTheme="minorHAnsi" w:cstheme="minorHAnsi"/>
                          <w:b/>
                          <w:sz w:val="14"/>
                          <w:szCs w:val="14"/>
                        </w:rPr>
                        <w:t xml:space="preserve">         </w:t>
                      </w:r>
                      <w:r w:rsidRPr="00014B97">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rPr>
                        <w:t xml:space="preserve">          </w:t>
                      </w:r>
                      <w:r>
                        <w:rPr>
                          <w:rFonts w:asciiTheme="minorHAnsi" w:hAnsiTheme="minorHAnsi" w:cstheme="minorHAnsi"/>
                          <w:b/>
                          <w:sz w:val="14"/>
                          <w:szCs w:val="14"/>
                          <w:lang w:val="uk-UA"/>
                        </w:rPr>
                        <w:t>С</w:t>
                      </w:r>
                      <w:r w:rsidRPr="00014B97">
                        <w:rPr>
                          <w:rFonts w:asciiTheme="minorHAnsi" w:hAnsiTheme="minorHAnsi" w:cstheme="minorHAnsi"/>
                          <w:b/>
                          <w:sz w:val="14"/>
                          <w:szCs w:val="14"/>
                          <w:lang w:val="uk-UA"/>
                        </w:rPr>
                        <w:t>пецифічність (95% ДІ)</w:t>
                      </w:r>
                    </w:p>
                  </w:txbxContent>
                </v:textbox>
                <w10:wrap anchorx="margin"/>
              </v:shape>
            </w:pict>
          </mc:Fallback>
        </mc:AlternateContent>
      </w:r>
    </w:p>
    <w:p w14:paraId="4414D003" w14:textId="3AE928E4" w:rsidR="00E05B98" w:rsidRPr="003C6DAE" w:rsidRDefault="00E05B98" w:rsidP="00DD3C0C">
      <w:pPr>
        <w:pStyle w:val="a3"/>
        <w:jc w:val="both"/>
        <w:rPr>
          <w:rFonts w:ascii="Arial"/>
          <w:b/>
          <w:sz w:val="24"/>
          <w:lang w:val="uk-UA"/>
        </w:rPr>
      </w:pPr>
    </w:p>
    <w:p w14:paraId="6D7CE6BE" w14:textId="77777777" w:rsidR="00E05B98" w:rsidRPr="003C6DAE" w:rsidRDefault="00E05B98" w:rsidP="00DD3C0C">
      <w:pPr>
        <w:pStyle w:val="a3"/>
        <w:jc w:val="both"/>
        <w:rPr>
          <w:rFonts w:ascii="Arial"/>
          <w:b/>
          <w:sz w:val="24"/>
          <w:lang w:val="uk-UA"/>
        </w:rPr>
      </w:pPr>
    </w:p>
    <w:p w14:paraId="6BACF730" w14:textId="77777777" w:rsidR="00E05B98" w:rsidRPr="003C6DAE" w:rsidRDefault="00E05B98" w:rsidP="00DD3C0C">
      <w:pPr>
        <w:pStyle w:val="a3"/>
        <w:jc w:val="both"/>
        <w:rPr>
          <w:rFonts w:ascii="Arial"/>
          <w:b/>
          <w:sz w:val="24"/>
          <w:lang w:val="uk-UA"/>
        </w:rPr>
      </w:pPr>
    </w:p>
    <w:p w14:paraId="6593E97E" w14:textId="77777777" w:rsidR="00E05B98" w:rsidRPr="003C6DAE" w:rsidRDefault="00E05B98" w:rsidP="00DD3C0C">
      <w:pPr>
        <w:pStyle w:val="a3"/>
        <w:jc w:val="both"/>
        <w:rPr>
          <w:rFonts w:ascii="Arial"/>
          <w:b/>
          <w:sz w:val="24"/>
          <w:lang w:val="uk-UA"/>
        </w:rPr>
      </w:pPr>
    </w:p>
    <w:p w14:paraId="767166C1" w14:textId="77777777" w:rsidR="00E05B98" w:rsidRPr="003C6DAE" w:rsidRDefault="00E05B98" w:rsidP="00DD3C0C">
      <w:pPr>
        <w:pStyle w:val="a3"/>
        <w:jc w:val="both"/>
        <w:rPr>
          <w:rFonts w:ascii="Arial"/>
          <w:b/>
          <w:sz w:val="24"/>
          <w:lang w:val="uk-UA"/>
        </w:rPr>
      </w:pPr>
    </w:p>
    <w:p w14:paraId="777FEE19" w14:textId="77777777" w:rsidR="00E05B98" w:rsidRPr="003C6DAE" w:rsidRDefault="00E05B98" w:rsidP="00DD3C0C">
      <w:pPr>
        <w:pStyle w:val="a3"/>
        <w:jc w:val="both"/>
        <w:rPr>
          <w:rFonts w:ascii="Arial"/>
          <w:b/>
          <w:sz w:val="24"/>
          <w:lang w:val="uk-UA"/>
        </w:rPr>
      </w:pPr>
    </w:p>
    <w:p w14:paraId="01DE3C2F" w14:textId="77777777" w:rsidR="00E05B98" w:rsidRPr="003C6DAE" w:rsidRDefault="00E05B98" w:rsidP="00DD3C0C">
      <w:pPr>
        <w:pStyle w:val="a3"/>
        <w:jc w:val="both"/>
        <w:rPr>
          <w:rFonts w:ascii="Arial"/>
          <w:b/>
          <w:sz w:val="24"/>
          <w:lang w:val="uk-UA"/>
        </w:rPr>
      </w:pPr>
    </w:p>
    <w:p w14:paraId="45B7775E" w14:textId="77777777" w:rsidR="00E05B98" w:rsidRPr="003C6DAE" w:rsidRDefault="00E05B98" w:rsidP="00DD3C0C">
      <w:pPr>
        <w:pStyle w:val="a3"/>
        <w:jc w:val="both"/>
        <w:rPr>
          <w:rFonts w:ascii="Arial"/>
          <w:b/>
          <w:sz w:val="24"/>
          <w:lang w:val="uk-UA"/>
        </w:rPr>
      </w:pPr>
    </w:p>
    <w:p w14:paraId="2A6B3602" w14:textId="77777777" w:rsidR="00E05B98" w:rsidRPr="003C6DAE" w:rsidRDefault="00E05B98" w:rsidP="00DD3C0C">
      <w:pPr>
        <w:pStyle w:val="a3"/>
        <w:jc w:val="both"/>
        <w:rPr>
          <w:rFonts w:ascii="Arial"/>
          <w:b/>
          <w:sz w:val="24"/>
          <w:lang w:val="uk-UA"/>
        </w:rPr>
      </w:pPr>
    </w:p>
    <w:p w14:paraId="6E03A192" w14:textId="77777777" w:rsidR="00E05B98" w:rsidRPr="003C6DAE" w:rsidRDefault="00E05B98" w:rsidP="00DD3C0C">
      <w:pPr>
        <w:pStyle w:val="a3"/>
        <w:jc w:val="both"/>
        <w:rPr>
          <w:rFonts w:ascii="Arial"/>
          <w:b/>
          <w:sz w:val="24"/>
          <w:lang w:val="uk-UA"/>
        </w:rPr>
      </w:pPr>
    </w:p>
    <w:p w14:paraId="1C5A5CBF" w14:textId="77777777" w:rsidR="00E05B98" w:rsidRPr="003C6DAE" w:rsidRDefault="00E05B98" w:rsidP="00DD3C0C">
      <w:pPr>
        <w:pStyle w:val="a3"/>
        <w:jc w:val="both"/>
        <w:rPr>
          <w:rFonts w:ascii="Arial"/>
          <w:b/>
          <w:sz w:val="24"/>
          <w:lang w:val="uk-UA"/>
        </w:rPr>
      </w:pPr>
    </w:p>
    <w:p w14:paraId="51A4C4DB" w14:textId="0DE91E4F" w:rsidR="00E05B98" w:rsidRPr="003C6DAE" w:rsidRDefault="00491B90" w:rsidP="00DD3C0C">
      <w:pPr>
        <w:pStyle w:val="a3"/>
        <w:jc w:val="both"/>
        <w:rPr>
          <w:rFonts w:ascii="Arial"/>
          <w:b/>
          <w:sz w:val="24"/>
          <w:lang w:val="uk-UA"/>
        </w:rPr>
      </w:pPr>
      <w:r w:rsidRPr="003C6DAE">
        <w:rPr>
          <w:noProof/>
          <w:sz w:val="18"/>
          <w:lang w:val="uk-UA"/>
        </w:rPr>
        <w:drawing>
          <wp:anchor distT="0" distB="0" distL="0" distR="0" simplePos="0" relativeHeight="15945728" behindDoc="0" locked="0" layoutInCell="1" allowOverlap="1" wp14:anchorId="2FB6BCD1" wp14:editId="353857DE">
            <wp:simplePos x="0" y="0"/>
            <wp:positionH relativeFrom="page">
              <wp:posOffset>920115</wp:posOffset>
            </wp:positionH>
            <wp:positionV relativeFrom="paragraph">
              <wp:posOffset>101741</wp:posOffset>
            </wp:positionV>
            <wp:extent cx="1031729" cy="180975"/>
            <wp:effectExtent l="0" t="0" r="0" b="0"/>
            <wp:wrapNone/>
            <wp:docPr id="1336" name="Image 1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6" name="Image 1336"/>
                    <pic:cNvPicPr/>
                  </pic:nvPicPr>
                  <pic:blipFill>
                    <a:blip r:embed="rId74" cstate="print"/>
                    <a:stretch>
                      <a:fillRect/>
                    </a:stretch>
                  </pic:blipFill>
                  <pic:spPr>
                    <a:xfrm>
                      <a:off x="0" y="0"/>
                      <a:ext cx="1031729" cy="180975"/>
                    </a:xfrm>
                    <a:prstGeom prst="rect">
                      <a:avLst/>
                    </a:prstGeom>
                  </pic:spPr>
                </pic:pic>
              </a:graphicData>
            </a:graphic>
          </wp:anchor>
        </w:drawing>
      </w:r>
    </w:p>
    <w:p w14:paraId="3920EB9D" w14:textId="77777777" w:rsidR="00E05B98" w:rsidRPr="003C6DAE" w:rsidRDefault="00E05B98" w:rsidP="00DD3C0C">
      <w:pPr>
        <w:pStyle w:val="a3"/>
        <w:jc w:val="both"/>
        <w:rPr>
          <w:rFonts w:ascii="Arial"/>
          <w:b/>
          <w:sz w:val="24"/>
          <w:lang w:val="uk-UA"/>
        </w:rPr>
      </w:pPr>
    </w:p>
    <w:p w14:paraId="3EFBA8A6" w14:textId="77777777" w:rsidR="00E05B98" w:rsidRPr="003C6DAE" w:rsidRDefault="00E05B98" w:rsidP="00DD3C0C">
      <w:pPr>
        <w:pStyle w:val="a3"/>
        <w:spacing w:before="78"/>
        <w:jc w:val="both"/>
        <w:rPr>
          <w:rFonts w:ascii="Arial"/>
          <w:b/>
          <w:sz w:val="24"/>
          <w:lang w:val="uk-UA"/>
        </w:rPr>
      </w:pPr>
    </w:p>
    <w:p w14:paraId="5781AE23" w14:textId="7CA1D708" w:rsidR="00E05B98" w:rsidRPr="003C6DAE" w:rsidRDefault="00B01E0C" w:rsidP="00DD3C0C">
      <w:pPr>
        <w:spacing w:before="1" w:line="254" w:lineRule="auto"/>
        <w:ind w:left="567"/>
        <w:jc w:val="both"/>
        <w:rPr>
          <w:sz w:val="18"/>
          <w:lang w:val="uk-UA"/>
        </w:rPr>
      </w:pPr>
      <w:r w:rsidRPr="003C6DAE">
        <w:rPr>
          <w:noProof/>
          <w:sz w:val="18"/>
          <w:lang w:val="uk-UA"/>
        </w:rPr>
        <mc:AlternateContent>
          <mc:Choice Requires="wpg">
            <w:drawing>
              <wp:anchor distT="0" distB="0" distL="0" distR="0" simplePos="0" relativeHeight="15955968" behindDoc="0" locked="0" layoutInCell="1" allowOverlap="1" wp14:anchorId="285C943A" wp14:editId="779CC473">
                <wp:simplePos x="0" y="0"/>
                <wp:positionH relativeFrom="page">
                  <wp:posOffset>5571321</wp:posOffset>
                </wp:positionH>
                <wp:positionV relativeFrom="paragraph">
                  <wp:posOffset>-1330488</wp:posOffset>
                </wp:positionV>
                <wp:extent cx="86360" cy="50165"/>
                <wp:effectExtent l="0" t="0" r="0" b="0"/>
                <wp:wrapNone/>
                <wp:docPr id="1337"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360" cy="50165"/>
                          <a:chOff x="0" y="0"/>
                          <a:chExt cx="86360" cy="50165"/>
                        </a:xfrm>
                      </wpg:grpSpPr>
                      <wps:wsp>
                        <wps:cNvPr id="1338" name="Graphic 1338"/>
                        <wps:cNvSpPr/>
                        <wps:spPr>
                          <a:xfrm>
                            <a:off x="0" y="21391"/>
                            <a:ext cx="86360" cy="1270"/>
                          </a:xfrm>
                          <a:custGeom>
                            <a:avLst/>
                            <a:gdLst/>
                            <a:ahLst/>
                            <a:cxnLst/>
                            <a:rect l="l" t="t" r="r" b="b"/>
                            <a:pathLst>
                              <a:path w="86360">
                                <a:moveTo>
                                  <a:pt x="0" y="0"/>
                                </a:moveTo>
                                <a:lnTo>
                                  <a:pt x="85801" y="0"/>
                                </a:lnTo>
                              </a:path>
                            </a:pathLst>
                          </a:custGeom>
                          <a:ln w="8661">
                            <a:solidFill>
                              <a:srgbClr val="000000"/>
                            </a:solidFill>
                            <a:prstDash val="solid"/>
                          </a:ln>
                        </wps:spPr>
                        <wps:bodyPr wrap="square" lIns="0" tIns="0" rIns="0" bIns="0" rtlCol="0">
                          <a:prstTxWarp prst="textNoShape">
                            <a:avLst/>
                          </a:prstTxWarp>
                          <a:noAutofit/>
                        </wps:bodyPr>
                      </wps:wsp>
                      <wps:wsp>
                        <wps:cNvPr id="1339" name="Graphic 1339"/>
                        <wps:cNvSpPr/>
                        <wps:spPr>
                          <a:xfrm>
                            <a:off x="34484" y="0"/>
                            <a:ext cx="50165" cy="50165"/>
                          </a:xfrm>
                          <a:custGeom>
                            <a:avLst/>
                            <a:gdLst/>
                            <a:ahLst/>
                            <a:cxnLst/>
                            <a:rect l="l" t="t" r="r" b="b"/>
                            <a:pathLst>
                              <a:path w="50165" h="50165">
                                <a:moveTo>
                                  <a:pt x="49923" y="0"/>
                                </a:moveTo>
                                <a:lnTo>
                                  <a:pt x="0" y="0"/>
                                </a:lnTo>
                                <a:lnTo>
                                  <a:pt x="0" y="49923"/>
                                </a:lnTo>
                                <a:lnTo>
                                  <a:pt x="49923" y="49923"/>
                                </a:lnTo>
                                <a:lnTo>
                                  <a:pt x="4992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2BD850D" id="Group 1337" o:spid="_x0000_s1026" style="position:absolute;margin-left:438.7pt;margin-top:-104.75pt;width:6.8pt;height:3.95pt;z-index:15955968;mso-wrap-distance-left:0;mso-wrap-distance-right:0;mso-position-horizontal-relative:page" coordsize="8636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">
                <v:shape id="Graphic 1338" o:spid="_x0000_s1027" style="position:absolute;top:21391;width:86360;height:1270;visibility:visible;mso-wrap-style:square;v-text-anchor:top" coordsize="86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" path="m,l85801,e" filled="f" strokeweight=".24058mm">
                  <v:path arrowok="t"/>
                </v:shape>
                <v:shape id="Graphic 1339" o:spid="_x0000_s1028" style="position:absolute;left:34484;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" path="m49923,l,,,49923r49923,l49923,xe" fillcolor="#0000c0" stroked="f">
                  <v:path arrowok="t"/>
                </v:shape>
                <w10:wrap anchorx="page"/>
              </v:group>
            </w:pict>
          </mc:Fallback>
        </mc:AlternateContent>
      </w:r>
      <w:r w:rsidRPr="003C6DAE">
        <w:rPr>
          <w:noProof/>
          <w:sz w:val="18"/>
          <w:lang w:val="uk-UA"/>
        </w:rPr>
        <mc:AlternateContent>
          <mc:Choice Requires="wpg">
            <w:drawing>
              <wp:anchor distT="0" distB="0" distL="0" distR="0" simplePos="0" relativeHeight="15956480" behindDoc="0" locked="0" layoutInCell="1" allowOverlap="1" wp14:anchorId="1798F32B" wp14:editId="54295D66">
                <wp:simplePos x="0" y="0"/>
                <wp:positionH relativeFrom="page">
                  <wp:posOffset>5423634</wp:posOffset>
                </wp:positionH>
                <wp:positionV relativeFrom="paragraph">
                  <wp:posOffset>-1216379</wp:posOffset>
                </wp:positionV>
                <wp:extent cx="218440" cy="50165"/>
                <wp:effectExtent l="0" t="0" r="0" b="0"/>
                <wp:wrapNone/>
                <wp:docPr id="1340" name="Gro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 cy="50165"/>
                          <a:chOff x="0" y="0"/>
                          <a:chExt cx="218440" cy="50165"/>
                        </a:xfrm>
                      </wpg:grpSpPr>
                      <wps:wsp>
                        <wps:cNvPr id="1341" name="Graphic 1341"/>
                        <wps:cNvSpPr/>
                        <wps:spPr>
                          <a:xfrm>
                            <a:off x="0" y="21395"/>
                            <a:ext cx="218440" cy="1270"/>
                          </a:xfrm>
                          <a:custGeom>
                            <a:avLst/>
                            <a:gdLst/>
                            <a:ahLst/>
                            <a:cxnLst/>
                            <a:rect l="l" t="t" r="r" b="b"/>
                            <a:pathLst>
                              <a:path w="218440">
                                <a:moveTo>
                                  <a:pt x="0" y="0"/>
                                </a:moveTo>
                                <a:lnTo>
                                  <a:pt x="218084" y="0"/>
                                </a:lnTo>
                              </a:path>
                            </a:pathLst>
                          </a:custGeom>
                          <a:ln w="8661">
                            <a:solidFill>
                              <a:srgbClr val="000000"/>
                            </a:solidFill>
                            <a:prstDash val="solid"/>
                          </a:ln>
                        </wps:spPr>
                        <wps:bodyPr wrap="square" lIns="0" tIns="0" rIns="0" bIns="0" rtlCol="0">
                          <a:prstTxWarp prst="textNoShape">
                            <a:avLst/>
                          </a:prstTxWarp>
                          <a:noAutofit/>
                        </wps:bodyPr>
                      </wps:wsp>
                      <wps:wsp>
                        <wps:cNvPr id="1342" name="Graphic 1342"/>
                        <wps:cNvSpPr/>
                        <wps:spPr>
                          <a:xfrm>
                            <a:off x="119763" y="0"/>
                            <a:ext cx="50165" cy="50165"/>
                          </a:xfrm>
                          <a:custGeom>
                            <a:avLst/>
                            <a:gdLst/>
                            <a:ahLst/>
                            <a:cxnLst/>
                            <a:rect l="l" t="t" r="r" b="b"/>
                            <a:pathLst>
                              <a:path w="50165" h="50165">
                                <a:moveTo>
                                  <a:pt x="49936" y="0"/>
                                </a:moveTo>
                                <a:lnTo>
                                  <a:pt x="0" y="0"/>
                                </a:lnTo>
                                <a:lnTo>
                                  <a:pt x="0" y="49923"/>
                                </a:lnTo>
                                <a:lnTo>
                                  <a:pt x="49936" y="49923"/>
                                </a:lnTo>
                                <a:lnTo>
                                  <a:pt x="49936"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FC20145" id="Group 1340" o:spid="_x0000_s1026" style="position:absolute;margin-left:427.05pt;margin-top:-95.8pt;width:17.2pt;height:3.95pt;z-index:15956480;mso-wrap-distance-left:0;mso-wrap-distance-right:0;mso-position-horizontal-relative:page" coordsize="21844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">
                <v:shape id="Graphic 1341" o:spid="_x0000_s1027" style="position:absolute;top:21395;width:218440;height:1270;visibility:visible;mso-wrap-style:square;v-text-anchor:top" coordsize="218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" path="m,l218084,e" filled="f" strokeweight=".24058mm">
                  <v:path arrowok="t"/>
                </v:shape>
                <v:shape id="Graphic 1342" o:spid="_x0000_s1028" style="position:absolute;left:119763;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" path="m49936,l,,,49923r49936,l49936,xe" fillcolor="#0000c0" stroked="f">
                  <v:path arrowok="t"/>
                </v:shape>
                <w10:wrap anchorx="page"/>
              </v:group>
            </w:pict>
          </mc:Fallback>
        </mc:AlternateContent>
      </w:r>
      <w:r w:rsidRPr="003C6DAE">
        <w:rPr>
          <w:noProof/>
          <w:sz w:val="18"/>
          <w:lang w:val="uk-UA"/>
        </w:rPr>
        <mc:AlternateContent>
          <mc:Choice Requires="wpg">
            <w:drawing>
              <wp:anchor distT="0" distB="0" distL="0" distR="0" simplePos="0" relativeHeight="15956992" behindDoc="0" locked="0" layoutInCell="1" allowOverlap="1" wp14:anchorId="099351A8" wp14:editId="51F0E201">
                <wp:simplePos x="0" y="0"/>
                <wp:positionH relativeFrom="page">
                  <wp:posOffset>5572759</wp:posOffset>
                </wp:positionH>
                <wp:positionV relativeFrom="paragraph">
                  <wp:posOffset>-988147</wp:posOffset>
                </wp:positionV>
                <wp:extent cx="127635" cy="50165"/>
                <wp:effectExtent l="0" t="0" r="0" b="0"/>
                <wp:wrapNone/>
                <wp:docPr id="1343"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50165"/>
                          <a:chOff x="0" y="0"/>
                          <a:chExt cx="127635" cy="50165"/>
                        </a:xfrm>
                      </wpg:grpSpPr>
                      <wps:wsp>
                        <wps:cNvPr id="1344" name="Graphic 1344"/>
                        <wps:cNvSpPr/>
                        <wps:spPr>
                          <a:xfrm>
                            <a:off x="0" y="21391"/>
                            <a:ext cx="99060" cy="1270"/>
                          </a:xfrm>
                          <a:custGeom>
                            <a:avLst/>
                            <a:gdLst/>
                            <a:ahLst/>
                            <a:cxnLst/>
                            <a:rect l="l" t="t" r="r" b="b"/>
                            <a:pathLst>
                              <a:path w="99060">
                                <a:moveTo>
                                  <a:pt x="0" y="0"/>
                                </a:moveTo>
                                <a:lnTo>
                                  <a:pt x="99021" y="0"/>
                                </a:lnTo>
                              </a:path>
                            </a:pathLst>
                          </a:custGeom>
                          <a:ln w="8661">
                            <a:solidFill>
                              <a:srgbClr val="000000"/>
                            </a:solidFill>
                            <a:prstDash val="solid"/>
                          </a:ln>
                        </wps:spPr>
                        <wps:bodyPr wrap="square" lIns="0" tIns="0" rIns="0" bIns="0" rtlCol="0">
                          <a:prstTxWarp prst="textNoShape">
                            <a:avLst/>
                          </a:prstTxWarp>
                          <a:noAutofit/>
                        </wps:bodyPr>
                      </wps:wsp>
                      <wps:wsp>
                        <wps:cNvPr id="1345" name="Graphic 1345"/>
                        <wps:cNvSpPr/>
                        <wps:spPr>
                          <a:xfrm>
                            <a:off x="77622" y="0"/>
                            <a:ext cx="50165" cy="50165"/>
                          </a:xfrm>
                          <a:custGeom>
                            <a:avLst/>
                            <a:gdLst/>
                            <a:ahLst/>
                            <a:cxnLst/>
                            <a:rect l="l" t="t" r="r" b="b"/>
                            <a:pathLst>
                              <a:path w="50165" h="50165">
                                <a:moveTo>
                                  <a:pt x="49923" y="0"/>
                                </a:moveTo>
                                <a:lnTo>
                                  <a:pt x="0" y="0"/>
                                </a:lnTo>
                                <a:lnTo>
                                  <a:pt x="0" y="49923"/>
                                </a:lnTo>
                                <a:lnTo>
                                  <a:pt x="49923" y="49923"/>
                                </a:lnTo>
                                <a:lnTo>
                                  <a:pt x="4992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741A338" id="Group 1343" o:spid="_x0000_s1026" style="position:absolute;margin-left:438.8pt;margin-top:-77.8pt;width:10.05pt;height:3.95pt;z-index:15956992;mso-wrap-distance-left:0;mso-wrap-distance-right:0;mso-position-horizontal-relative:page" coordsize="127635,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">
                <v:shape id="Graphic 1344" o:spid="_x0000_s1027" style="position:absolute;top:21391;width:99060;height:1270;visibility:visible;mso-wrap-style:square;v-text-anchor:top" coordsize="99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" path="m,l99021,e" filled="f" strokeweight=".24058mm">
                  <v:path arrowok="t"/>
                </v:shape>
                <v:shape id="Graphic 1345" o:spid="_x0000_s1028" style="position:absolute;left:77622;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" path="m49923,l,,,49923r49923,l49923,xe" fillcolor="#0000c0" stroked="f">
                  <v:path arrowok="t"/>
                </v:shape>
                <w10:wrap anchorx="page"/>
              </v:group>
            </w:pict>
          </mc:Fallback>
        </mc:AlternateContent>
      </w:r>
      <w:r w:rsidRPr="003C6DAE">
        <w:rPr>
          <w:noProof/>
          <w:sz w:val="18"/>
          <w:lang w:val="uk-UA"/>
        </w:rPr>
        <mc:AlternateContent>
          <mc:Choice Requires="wpg">
            <w:drawing>
              <wp:anchor distT="0" distB="0" distL="0" distR="0" simplePos="0" relativeHeight="15957504" behindDoc="0" locked="0" layoutInCell="1" allowOverlap="1" wp14:anchorId="4BF3B8E9" wp14:editId="211B12F0">
                <wp:simplePos x="0" y="0"/>
                <wp:positionH relativeFrom="page">
                  <wp:posOffset>5278724</wp:posOffset>
                </wp:positionH>
                <wp:positionV relativeFrom="paragraph">
                  <wp:posOffset>-874038</wp:posOffset>
                </wp:positionV>
                <wp:extent cx="421640" cy="50165"/>
                <wp:effectExtent l="0" t="0" r="0" b="0"/>
                <wp:wrapNone/>
                <wp:docPr id="1346"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640" cy="50165"/>
                          <a:chOff x="0" y="0"/>
                          <a:chExt cx="421640" cy="50165"/>
                        </a:xfrm>
                      </wpg:grpSpPr>
                      <wps:wsp>
                        <wps:cNvPr id="1347" name="Graphic 1347"/>
                        <wps:cNvSpPr/>
                        <wps:spPr>
                          <a:xfrm>
                            <a:off x="0" y="21396"/>
                            <a:ext cx="393065" cy="1270"/>
                          </a:xfrm>
                          <a:custGeom>
                            <a:avLst/>
                            <a:gdLst/>
                            <a:ahLst/>
                            <a:cxnLst/>
                            <a:rect l="l" t="t" r="r" b="b"/>
                            <a:pathLst>
                              <a:path w="393065">
                                <a:moveTo>
                                  <a:pt x="0" y="0"/>
                                </a:moveTo>
                                <a:lnTo>
                                  <a:pt x="393052" y="0"/>
                                </a:lnTo>
                              </a:path>
                            </a:pathLst>
                          </a:custGeom>
                          <a:ln w="8661">
                            <a:solidFill>
                              <a:srgbClr val="000000"/>
                            </a:solidFill>
                            <a:prstDash val="solid"/>
                          </a:ln>
                        </wps:spPr>
                        <wps:bodyPr wrap="square" lIns="0" tIns="0" rIns="0" bIns="0" rtlCol="0">
                          <a:prstTxWarp prst="textNoShape">
                            <a:avLst/>
                          </a:prstTxWarp>
                          <a:noAutofit/>
                        </wps:bodyPr>
                      </wps:wsp>
                      <wps:wsp>
                        <wps:cNvPr id="1348" name="Graphic 1348"/>
                        <wps:cNvSpPr/>
                        <wps:spPr>
                          <a:xfrm>
                            <a:off x="371657" y="0"/>
                            <a:ext cx="50165" cy="50165"/>
                          </a:xfrm>
                          <a:custGeom>
                            <a:avLst/>
                            <a:gdLst/>
                            <a:ahLst/>
                            <a:cxnLst/>
                            <a:rect l="l" t="t" r="r" b="b"/>
                            <a:pathLst>
                              <a:path w="50165" h="50165">
                                <a:moveTo>
                                  <a:pt x="49923" y="0"/>
                                </a:moveTo>
                                <a:lnTo>
                                  <a:pt x="0" y="0"/>
                                </a:lnTo>
                                <a:lnTo>
                                  <a:pt x="0" y="49923"/>
                                </a:lnTo>
                                <a:lnTo>
                                  <a:pt x="49923" y="49923"/>
                                </a:lnTo>
                                <a:lnTo>
                                  <a:pt x="4992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431225B" id="Group 1346" o:spid="_x0000_s1026" style="position:absolute;margin-left:415.65pt;margin-top:-68.8pt;width:33.2pt;height:3.95pt;z-index:15957504;mso-wrap-distance-left:0;mso-wrap-distance-right:0;mso-position-horizontal-relative:page" coordsize="42164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">
                <v:shape id="Graphic 1347" o:spid="_x0000_s1027" style="position:absolute;top:21396;width:393065;height:1270;visibility:visible;mso-wrap-style:square;v-text-anchor:top" coordsize="393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" path="m,l393052,e" filled="f" strokeweight=".24058mm">
                  <v:path arrowok="t"/>
                </v:shape>
                <v:shape id="Graphic 1348" o:spid="_x0000_s1028" style="position:absolute;left:371657;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" path="m49923,l,,,49923r49923,l49923,xe" fillcolor="#0000c0" stroked="f">
                  <v:path arrowok="t"/>
                </v:shape>
                <w10:wrap anchorx="page"/>
              </v:group>
            </w:pict>
          </mc:Fallback>
        </mc:AlternateContent>
      </w:r>
      <w:r w:rsidRPr="003C6DAE">
        <w:rPr>
          <w:noProof/>
          <w:sz w:val="18"/>
          <w:lang w:val="uk-UA"/>
        </w:rPr>
        <mc:AlternateContent>
          <mc:Choice Requires="wpg">
            <w:drawing>
              <wp:anchor distT="0" distB="0" distL="0" distR="0" simplePos="0" relativeHeight="15958016" behindDoc="0" locked="0" layoutInCell="1" allowOverlap="1" wp14:anchorId="6A832133" wp14:editId="26B23B1C">
                <wp:simplePos x="0" y="0"/>
                <wp:positionH relativeFrom="page">
                  <wp:posOffset>5290916</wp:posOffset>
                </wp:positionH>
                <wp:positionV relativeFrom="paragraph">
                  <wp:posOffset>-759928</wp:posOffset>
                </wp:positionV>
                <wp:extent cx="379095" cy="50165"/>
                <wp:effectExtent l="0" t="0" r="0" b="0"/>
                <wp:wrapNone/>
                <wp:docPr id="1349"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095" cy="50165"/>
                          <a:chOff x="0" y="0"/>
                          <a:chExt cx="379095" cy="50165"/>
                        </a:xfrm>
                      </wpg:grpSpPr>
                      <wps:wsp>
                        <wps:cNvPr id="1350" name="Graphic 1350"/>
                        <wps:cNvSpPr/>
                        <wps:spPr>
                          <a:xfrm>
                            <a:off x="0" y="21400"/>
                            <a:ext cx="379095" cy="1270"/>
                          </a:xfrm>
                          <a:custGeom>
                            <a:avLst/>
                            <a:gdLst/>
                            <a:ahLst/>
                            <a:cxnLst/>
                            <a:rect l="l" t="t" r="r" b="b"/>
                            <a:pathLst>
                              <a:path w="379095">
                                <a:moveTo>
                                  <a:pt x="0" y="0"/>
                                </a:moveTo>
                                <a:lnTo>
                                  <a:pt x="378701" y="0"/>
                                </a:lnTo>
                              </a:path>
                            </a:pathLst>
                          </a:custGeom>
                          <a:ln w="8661">
                            <a:solidFill>
                              <a:srgbClr val="000000"/>
                            </a:solidFill>
                            <a:prstDash val="solid"/>
                          </a:ln>
                        </wps:spPr>
                        <wps:bodyPr wrap="square" lIns="0" tIns="0" rIns="0" bIns="0" rtlCol="0">
                          <a:prstTxWarp prst="textNoShape">
                            <a:avLst/>
                          </a:prstTxWarp>
                          <a:noAutofit/>
                        </wps:bodyPr>
                      </wps:wsp>
                      <wps:wsp>
                        <wps:cNvPr id="1351" name="Graphic 1351"/>
                        <wps:cNvSpPr/>
                        <wps:spPr>
                          <a:xfrm>
                            <a:off x="273880" y="0"/>
                            <a:ext cx="50165" cy="50165"/>
                          </a:xfrm>
                          <a:custGeom>
                            <a:avLst/>
                            <a:gdLst/>
                            <a:ahLst/>
                            <a:cxnLst/>
                            <a:rect l="l" t="t" r="r" b="b"/>
                            <a:pathLst>
                              <a:path w="50165" h="50165">
                                <a:moveTo>
                                  <a:pt x="49936" y="0"/>
                                </a:moveTo>
                                <a:lnTo>
                                  <a:pt x="0" y="0"/>
                                </a:lnTo>
                                <a:lnTo>
                                  <a:pt x="0" y="49923"/>
                                </a:lnTo>
                                <a:lnTo>
                                  <a:pt x="49936" y="49923"/>
                                </a:lnTo>
                                <a:lnTo>
                                  <a:pt x="49936"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42E78A1" id="Group 1349" o:spid="_x0000_s1026" style="position:absolute;margin-left:416.6pt;margin-top:-59.85pt;width:29.85pt;height:3.95pt;z-index:15958016;mso-wrap-distance-left:0;mso-wrap-distance-right:0;mso-position-horizontal-relative:page" coordsize="379095,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">
                <v:shape id="Graphic 1350" o:spid="_x0000_s1027" style="position:absolute;top:21400;width:379095;height:1270;visibility:visible;mso-wrap-style:square;v-text-anchor:top" coordsize="379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" path="m,l378701,e" filled="f" strokeweight=".24058mm">
                  <v:path arrowok="t"/>
                </v:shape>
                <v:shape id="Graphic 1351" o:spid="_x0000_s1028" style="position:absolute;left:273880;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" path="m49936,l,,,49923r49936,l49936,xe" fillcolor="#0000c0" stroked="f">
                  <v:path arrowok="t"/>
                </v:shape>
                <w10:wrap anchorx="page"/>
              </v:group>
            </w:pict>
          </mc:Fallback>
        </mc:AlternateContent>
      </w:r>
      <w:r w:rsidRPr="003C6DAE">
        <w:rPr>
          <w:noProof/>
          <w:sz w:val="18"/>
          <w:lang w:val="uk-UA"/>
        </w:rPr>
        <mc:AlternateContent>
          <mc:Choice Requires="wpg">
            <w:drawing>
              <wp:anchor distT="0" distB="0" distL="0" distR="0" simplePos="0" relativeHeight="15958528" behindDoc="0" locked="0" layoutInCell="1" allowOverlap="1" wp14:anchorId="116F1351" wp14:editId="1E92644F">
                <wp:simplePos x="0" y="0"/>
                <wp:positionH relativeFrom="page">
                  <wp:posOffset>5610896</wp:posOffset>
                </wp:positionH>
                <wp:positionV relativeFrom="paragraph">
                  <wp:posOffset>-645806</wp:posOffset>
                </wp:positionV>
                <wp:extent cx="78740" cy="50165"/>
                <wp:effectExtent l="0" t="0" r="0" b="0"/>
                <wp:wrapNone/>
                <wp:docPr id="1352"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 cy="50165"/>
                          <a:chOff x="0" y="0"/>
                          <a:chExt cx="78740" cy="50165"/>
                        </a:xfrm>
                      </wpg:grpSpPr>
                      <wps:wsp>
                        <wps:cNvPr id="1353" name="Graphic 1353"/>
                        <wps:cNvSpPr/>
                        <wps:spPr>
                          <a:xfrm>
                            <a:off x="0" y="21393"/>
                            <a:ext cx="60960" cy="1270"/>
                          </a:xfrm>
                          <a:custGeom>
                            <a:avLst/>
                            <a:gdLst/>
                            <a:ahLst/>
                            <a:cxnLst/>
                            <a:rect l="l" t="t" r="r" b="b"/>
                            <a:pathLst>
                              <a:path w="60960">
                                <a:moveTo>
                                  <a:pt x="0" y="0"/>
                                </a:moveTo>
                                <a:lnTo>
                                  <a:pt x="60591" y="0"/>
                                </a:lnTo>
                              </a:path>
                            </a:pathLst>
                          </a:custGeom>
                          <a:ln w="8661">
                            <a:solidFill>
                              <a:srgbClr val="000000"/>
                            </a:solidFill>
                            <a:prstDash val="solid"/>
                          </a:ln>
                        </wps:spPr>
                        <wps:bodyPr wrap="square" lIns="0" tIns="0" rIns="0" bIns="0" rtlCol="0">
                          <a:prstTxWarp prst="textNoShape">
                            <a:avLst/>
                          </a:prstTxWarp>
                          <a:noAutofit/>
                        </wps:bodyPr>
                      </wps:wsp>
                      <wps:wsp>
                        <wps:cNvPr id="1354" name="Graphic 1354"/>
                        <wps:cNvSpPr/>
                        <wps:spPr>
                          <a:xfrm>
                            <a:off x="28220" y="0"/>
                            <a:ext cx="50165" cy="50165"/>
                          </a:xfrm>
                          <a:custGeom>
                            <a:avLst/>
                            <a:gdLst/>
                            <a:ahLst/>
                            <a:cxnLst/>
                            <a:rect l="l" t="t" r="r" b="b"/>
                            <a:pathLst>
                              <a:path w="50165" h="50165">
                                <a:moveTo>
                                  <a:pt x="49923" y="0"/>
                                </a:moveTo>
                                <a:lnTo>
                                  <a:pt x="0" y="0"/>
                                </a:lnTo>
                                <a:lnTo>
                                  <a:pt x="0" y="49923"/>
                                </a:lnTo>
                                <a:lnTo>
                                  <a:pt x="49923" y="49923"/>
                                </a:lnTo>
                                <a:lnTo>
                                  <a:pt x="4992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4125ADD" id="Group 1352" o:spid="_x0000_s1026" style="position:absolute;margin-left:441.8pt;margin-top:-50.85pt;width:6.2pt;height:3.95pt;z-index:15958528;mso-wrap-distance-left:0;mso-wrap-distance-right:0;mso-position-horizontal-relative:page" coordsize="7874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">
                <v:shape id="Graphic 1353" o:spid="_x0000_s1027" style="position:absolute;top:21393;width:60960;height:1270;visibility:visible;mso-wrap-style:square;v-text-anchor:top" coordsize="6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" path="m,l60591,e" filled="f" strokeweight=".24058mm">
                  <v:path arrowok="t"/>
                </v:shape>
                <v:shape id="Graphic 1354" o:spid="_x0000_s1028" style="position:absolute;left:28220;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" path="m49923,l,,,49923r49923,l49923,xe" fillcolor="#0000c0" stroked="f">
                  <v:path arrowok="t"/>
                </v:shape>
                <w10:wrap anchorx="page"/>
              </v:group>
            </w:pict>
          </mc:Fallback>
        </mc:AlternateContent>
      </w:r>
      <w:r w:rsidRPr="003C6DAE">
        <w:rPr>
          <w:noProof/>
          <w:sz w:val="18"/>
          <w:lang w:val="uk-UA"/>
        </w:rPr>
        <mc:AlternateContent>
          <mc:Choice Requires="wpg">
            <w:drawing>
              <wp:anchor distT="0" distB="0" distL="0" distR="0" simplePos="0" relativeHeight="15959040" behindDoc="0" locked="0" layoutInCell="1" allowOverlap="1" wp14:anchorId="00B79E49" wp14:editId="711EFAF2">
                <wp:simplePos x="0" y="0"/>
                <wp:positionH relativeFrom="page">
                  <wp:posOffset>5612062</wp:posOffset>
                </wp:positionH>
                <wp:positionV relativeFrom="paragraph">
                  <wp:posOffset>-531684</wp:posOffset>
                </wp:positionV>
                <wp:extent cx="88265" cy="50165"/>
                <wp:effectExtent l="0" t="0" r="0" b="0"/>
                <wp:wrapNone/>
                <wp:docPr id="1355"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 cy="50165"/>
                          <a:chOff x="0" y="0"/>
                          <a:chExt cx="88265" cy="50165"/>
                        </a:xfrm>
                      </wpg:grpSpPr>
                      <wps:wsp>
                        <wps:cNvPr id="1356" name="Graphic 1356"/>
                        <wps:cNvSpPr/>
                        <wps:spPr>
                          <a:xfrm>
                            <a:off x="0" y="21385"/>
                            <a:ext cx="60325" cy="1270"/>
                          </a:xfrm>
                          <a:custGeom>
                            <a:avLst/>
                            <a:gdLst/>
                            <a:ahLst/>
                            <a:cxnLst/>
                            <a:rect l="l" t="t" r="r" b="b"/>
                            <a:pathLst>
                              <a:path w="60325">
                                <a:moveTo>
                                  <a:pt x="0" y="0"/>
                                </a:moveTo>
                                <a:lnTo>
                                  <a:pt x="59715" y="0"/>
                                </a:lnTo>
                              </a:path>
                            </a:pathLst>
                          </a:custGeom>
                          <a:ln w="8661">
                            <a:solidFill>
                              <a:srgbClr val="000000"/>
                            </a:solidFill>
                            <a:prstDash val="solid"/>
                          </a:ln>
                        </wps:spPr>
                        <wps:bodyPr wrap="square" lIns="0" tIns="0" rIns="0" bIns="0" rtlCol="0">
                          <a:prstTxWarp prst="textNoShape">
                            <a:avLst/>
                          </a:prstTxWarp>
                          <a:noAutofit/>
                        </wps:bodyPr>
                      </wps:wsp>
                      <wps:wsp>
                        <wps:cNvPr id="1357" name="Graphic 1357"/>
                        <wps:cNvSpPr/>
                        <wps:spPr>
                          <a:xfrm>
                            <a:off x="38319" y="0"/>
                            <a:ext cx="50165" cy="50165"/>
                          </a:xfrm>
                          <a:custGeom>
                            <a:avLst/>
                            <a:gdLst/>
                            <a:ahLst/>
                            <a:cxnLst/>
                            <a:rect l="l" t="t" r="r" b="b"/>
                            <a:pathLst>
                              <a:path w="50165" h="50165">
                                <a:moveTo>
                                  <a:pt x="49923" y="0"/>
                                </a:moveTo>
                                <a:lnTo>
                                  <a:pt x="0" y="0"/>
                                </a:lnTo>
                                <a:lnTo>
                                  <a:pt x="0" y="49923"/>
                                </a:lnTo>
                                <a:lnTo>
                                  <a:pt x="49923" y="49923"/>
                                </a:lnTo>
                                <a:lnTo>
                                  <a:pt x="4992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6379773" id="Group 1355" o:spid="_x0000_s1026" style="position:absolute;margin-left:441.9pt;margin-top:-41.85pt;width:6.95pt;height:3.95pt;z-index:15959040;mso-wrap-distance-left:0;mso-wrap-distance-right:0;mso-position-horizontal-relative:page" coordsize="88265,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">
                <v:shape id="Graphic 1356" o:spid="_x0000_s1027" style="position:absolute;top:21385;width:60325;height:1270;visibility:visible;mso-wrap-style:square;v-text-anchor:top" coordsize="6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" path="m,l59715,e" filled="f" strokeweight=".24058mm">
                  <v:path arrowok="t"/>
                </v:shape>
                <v:shape id="Graphic 1357" o:spid="_x0000_s1028" style="position:absolute;left:38319;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" path="m49923,l,,,49923r49923,l49923,xe" fillcolor="#0000c0" stroked="f">
                  <v:path arrowok="t"/>
                </v:shape>
                <w10:wrap anchorx="page"/>
              </v:group>
            </w:pict>
          </mc:Fallback>
        </mc:AlternateContent>
      </w:r>
      <w:r w:rsidRPr="003C6DAE">
        <w:rPr>
          <w:noProof/>
          <w:sz w:val="18"/>
          <w:lang w:val="uk-UA"/>
        </w:rPr>
        <mc:AlternateContent>
          <mc:Choice Requires="wpg">
            <w:drawing>
              <wp:anchor distT="0" distB="0" distL="0" distR="0" simplePos="0" relativeHeight="15959552" behindDoc="0" locked="0" layoutInCell="1" allowOverlap="1" wp14:anchorId="752E5FEE" wp14:editId="4C8E045C">
                <wp:simplePos x="0" y="0"/>
                <wp:positionH relativeFrom="page">
                  <wp:posOffset>4811600</wp:posOffset>
                </wp:positionH>
                <wp:positionV relativeFrom="paragraph">
                  <wp:posOffset>-417574</wp:posOffset>
                </wp:positionV>
                <wp:extent cx="1816100" cy="180975"/>
                <wp:effectExtent l="0" t="0" r="0" b="0"/>
                <wp:wrapNone/>
                <wp:docPr id="1358"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0" cy="180975"/>
                          <a:chOff x="0" y="0"/>
                          <a:chExt cx="1816100" cy="180975"/>
                        </a:xfrm>
                      </wpg:grpSpPr>
                      <wps:wsp>
                        <wps:cNvPr id="1359" name="Graphic 1359"/>
                        <wps:cNvSpPr/>
                        <wps:spPr>
                          <a:xfrm>
                            <a:off x="693232" y="21389"/>
                            <a:ext cx="167005" cy="1270"/>
                          </a:xfrm>
                          <a:custGeom>
                            <a:avLst/>
                            <a:gdLst/>
                            <a:ahLst/>
                            <a:cxnLst/>
                            <a:rect l="l" t="t" r="r" b="b"/>
                            <a:pathLst>
                              <a:path w="167005">
                                <a:moveTo>
                                  <a:pt x="0" y="0"/>
                                </a:moveTo>
                                <a:lnTo>
                                  <a:pt x="166954" y="0"/>
                                </a:lnTo>
                              </a:path>
                            </a:pathLst>
                          </a:custGeom>
                          <a:ln w="8661">
                            <a:solidFill>
                              <a:srgbClr val="000000"/>
                            </a:solidFill>
                            <a:prstDash val="solid"/>
                          </a:ln>
                        </wps:spPr>
                        <wps:bodyPr wrap="square" lIns="0" tIns="0" rIns="0" bIns="0" rtlCol="0">
                          <a:prstTxWarp prst="textNoShape">
                            <a:avLst/>
                          </a:prstTxWarp>
                          <a:noAutofit/>
                        </wps:bodyPr>
                      </wps:wsp>
                      <wps:wsp>
                        <wps:cNvPr id="1360" name="Graphic 1360"/>
                        <wps:cNvSpPr/>
                        <wps:spPr>
                          <a:xfrm>
                            <a:off x="838781" y="0"/>
                            <a:ext cx="50165" cy="50165"/>
                          </a:xfrm>
                          <a:custGeom>
                            <a:avLst/>
                            <a:gdLst/>
                            <a:ahLst/>
                            <a:cxnLst/>
                            <a:rect l="l" t="t" r="r" b="b"/>
                            <a:pathLst>
                              <a:path w="50165" h="50165">
                                <a:moveTo>
                                  <a:pt x="49923" y="0"/>
                                </a:moveTo>
                                <a:lnTo>
                                  <a:pt x="0" y="0"/>
                                </a:lnTo>
                                <a:lnTo>
                                  <a:pt x="0" y="49923"/>
                                </a:lnTo>
                                <a:lnTo>
                                  <a:pt x="49923" y="49923"/>
                                </a:lnTo>
                                <a:lnTo>
                                  <a:pt x="49923" y="0"/>
                                </a:lnTo>
                                <a:close/>
                              </a:path>
                            </a:pathLst>
                          </a:custGeom>
                          <a:solidFill>
                            <a:srgbClr val="0000C0"/>
                          </a:solidFill>
                        </wps:spPr>
                        <wps:bodyPr wrap="square" lIns="0" tIns="0" rIns="0" bIns="0" rtlCol="0">
                          <a:prstTxWarp prst="textNoShape">
                            <a:avLst/>
                          </a:prstTxWarp>
                          <a:noAutofit/>
                        </wps:bodyPr>
                      </wps:wsp>
                      <wps:wsp>
                        <wps:cNvPr id="1361" name="Graphic 1361"/>
                        <wps:cNvSpPr/>
                        <wps:spPr>
                          <a:xfrm>
                            <a:off x="4330" y="49914"/>
                            <a:ext cx="848994" cy="57150"/>
                          </a:xfrm>
                          <a:custGeom>
                            <a:avLst/>
                            <a:gdLst/>
                            <a:ahLst/>
                            <a:cxnLst/>
                            <a:rect l="l" t="t" r="r" b="b"/>
                            <a:pathLst>
                              <a:path w="848994" h="57150">
                                <a:moveTo>
                                  <a:pt x="0" y="0"/>
                                </a:moveTo>
                                <a:lnTo>
                                  <a:pt x="0" y="57061"/>
                                </a:lnTo>
                              </a:path>
                              <a:path w="848994" h="57150">
                                <a:moveTo>
                                  <a:pt x="0" y="28536"/>
                                </a:moveTo>
                                <a:lnTo>
                                  <a:pt x="848715" y="28536"/>
                                </a:lnTo>
                              </a:path>
                            </a:pathLst>
                          </a:custGeom>
                          <a:ln w="8661">
                            <a:solidFill>
                              <a:srgbClr val="000000"/>
                            </a:solidFill>
                            <a:prstDash val="solid"/>
                          </a:ln>
                        </wps:spPr>
                        <wps:bodyPr wrap="square" lIns="0" tIns="0" rIns="0" bIns="0" rtlCol="0">
                          <a:prstTxWarp prst="textNoShape">
                            <a:avLst/>
                          </a:prstTxWarp>
                          <a:noAutofit/>
                        </wps:bodyPr>
                      </wps:wsp>
                      <wps:wsp>
                        <wps:cNvPr id="1362" name="Graphic 1362"/>
                        <wps:cNvSpPr/>
                        <wps:spPr>
                          <a:xfrm>
                            <a:off x="9768" y="115853"/>
                            <a:ext cx="43815" cy="65405"/>
                          </a:xfrm>
                          <a:custGeom>
                            <a:avLst/>
                            <a:gdLst/>
                            <a:ahLst/>
                            <a:cxnLst/>
                            <a:rect l="l" t="t" r="r" b="b"/>
                            <a:pathLst>
                              <a:path w="43815" h="65405">
                                <a:moveTo>
                                  <a:pt x="28117" y="0"/>
                                </a:moveTo>
                                <a:lnTo>
                                  <a:pt x="15151" y="0"/>
                                </a:lnTo>
                                <a:lnTo>
                                  <a:pt x="9918" y="2959"/>
                                </a:lnTo>
                                <a:lnTo>
                                  <a:pt x="1981" y="14833"/>
                                </a:lnTo>
                                <a:lnTo>
                                  <a:pt x="0" y="22682"/>
                                </a:lnTo>
                                <a:lnTo>
                                  <a:pt x="31" y="42214"/>
                                </a:lnTo>
                                <a:lnTo>
                                  <a:pt x="1968" y="49923"/>
                                </a:lnTo>
                                <a:lnTo>
                                  <a:pt x="7753" y="58750"/>
                                </a:lnTo>
                                <a:lnTo>
                                  <a:pt x="9908" y="61975"/>
                                </a:lnTo>
                                <a:lnTo>
                                  <a:pt x="14998" y="64935"/>
                                </a:lnTo>
                                <a:lnTo>
                                  <a:pt x="28054" y="64935"/>
                                </a:lnTo>
                                <a:lnTo>
                                  <a:pt x="33362" y="61975"/>
                                </a:lnTo>
                                <a:lnTo>
                                  <a:pt x="35526" y="58750"/>
                                </a:lnTo>
                                <a:lnTo>
                                  <a:pt x="21475" y="58750"/>
                                </a:lnTo>
                                <a:lnTo>
                                  <a:pt x="15915" y="57104"/>
                                </a:lnTo>
                                <a:lnTo>
                                  <a:pt x="11942" y="52168"/>
                                </a:lnTo>
                                <a:lnTo>
                                  <a:pt x="9558" y="43941"/>
                                </a:lnTo>
                                <a:lnTo>
                                  <a:pt x="8762" y="32423"/>
                                </a:lnTo>
                                <a:lnTo>
                                  <a:pt x="9445" y="22682"/>
                                </a:lnTo>
                                <a:lnTo>
                                  <a:pt x="9567" y="20943"/>
                                </a:lnTo>
                                <a:lnTo>
                                  <a:pt x="11982" y="12739"/>
                                </a:lnTo>
                                <a:lnTo>
                                  <a:pt x="16006" y="7814"/>
                                </a:lnTo>
                                <a:lnTo>
                                  <a:pt x="21640" y="6172"/>
                                </a:lnTo>
                                <a:lnTo>
                                  <a:pt x="35510" y="6172"/>
                                </a:lnTo>
                                <a:lnTo>
                                  <a:pt x="33362" y="2959"/>
                                </a:lnTo>
                                <a:lnTo>
                                  <a:pt x="28117" y="0"/>
                                </a:lnTo>
                                <a:close/>
                              </a:path>
                              <a:path w="43815" h="65405">
                                <a:moveTo>
                                  <a:pt x="43294" y="42214"/>
                                </a:moveTo>
                                <a:lnTo>
                                  <a:pt x="33840" y="42214"/>
                                </a:lnTo>
                                <a:lnTo>
                                  <a:pt x="33729" y="43801"/>
                                </a:lnTo>
                                <a:lnTo>
                                  <a:pt x="31924" y="49923"/>
                                </a:lnTo>
                                <a:lnTo>
                                  <a:pt x="31229" y="52168"/>
                                </a:lnTo>
                                <a:lnTo>
                                  <a:pt x="27142" y="57104"/>
                                </a:lnTo>
                                <a:lnTo>
                                  <a:pt x="21475" y="58750"/>
                                </a:lnTo>
                                <a:lnTo>
                                  <a:pt x="35526" y="58750"/>
                                </a:lnTo>
                                <a:lnTo>
                                  <a:pt x="41300" y="50139"/>
                                </a:lnTo>
                                <a:lnTo>
                                  <a:pt x="43294" y="42214"/>
                                </a:lnTo>
                                <a:close/>
                              </a:path>
                              <a:path w="43815" h="65405">
                                <a:moveTo>
                                  <a:pt x="35510" y="6172"/>
                                </a:moveTo>
                                <a:lnTo>
                                  <a:pt x="21640" y="6172"/>
                                </a:lnTo>
                                <a:lnTo>
                                  <a:pt x="27297" y="7814"/>
                                </a:lnTo>
                                <a:lnTo>
                                  <a:pt x="31335" y="12739"/>
                                </a:lnTo>
                                <a:lnTo>
                                  <a:pt x="33736" y="20804"/>
                                </a:lnTo>
                                <a:lnTo>
                                  <a:pt x="34543" y="32181"/>
                                </a:lnTo>
                                <a:lnTo>
                                  <a:pt x="33849" y="42087"/>
                                </a:lnTo>
                                <a:lnTo>
                                  <a:pt x="43294" y="42087"/>
                                </a:lnTo>
                                <a:lnTo>
                                  <a:pt x="43294" y="22682"/>
                                </a:lnTo>
                                <a:lnTo>
                                  <a:pt x="41300" y="14833"/>
                                </a:lnTo>
                                <a:lnTo>
                                  <a:pt x="35510" y="6172"/>
                                </a:lnTo>
                                <a:close/>
                              </a:path>
                            </a:pathLst>
                          </a:custGeom>
                          <a:solidFill>
                            <a:srgbClr val="000000"/>
                          </a:solidFill>
                        </wps:spPr>
                        <wps:bodyPr wrap="square" lIns="0" tIns="0" rIns="0" bIns="0" rtlCol="0">
                          <a:prstTxWarp prst="textNoShape">
                            <a:avLst/>
                          </a:prstTxWarp>
                          <a:noAutofit/>
                        </wps:bodyPr>
                      </wps:wsp>
                      <wps:wsp>
                        <wps:cNvPr id="1363" name="Graphic 1363"/>
                        <wps:cNvSpPr/>
                        <wps:spPr>
                          <a:xfrm>
                            <a:off x="174068" y="49914"/>
                            <a:ext cx="1270" cy="57150"/>
                          </a:xfrm>
                          <a:custGeom>
                            <a:avLst/>
                            <a:gdLst/>
                            <a:ahLst/>
                            <a:cxnLst/>
                            <a:rect l="l" t="t" r="r" b="b"/>
                            <a:pathLst>
                              <a:path h="57150">
                                <a:moveTo>
                                  <a:pt x="0" y="0"/>
                                </a:moveTo>
                                <a:lnTo>
                                  <a:pt x="0" y="57061"/>
                                </a:lnTo>
                              </a:path>
                            </a:pathLst>
                          </a:custGeom>
                          <a:ln w="8661">
                            <a:solidFill>
                              <a:srgbClr val="000000"/>
                            </a:solidFill>
                            <a:prstDash val="solid"/>
                          </a:ln>
                        </wps:spPr>
                        <wps:bodyPr wrap="square" lIns="0" tIns="0" rIns="0" bIns="0" rtlCol="0">
                          <a:prstTxWarp prst="textNoShape">
                            <a:avLst/>
                          </a:prstTxWarp>
                          <a:noAutofit/>
                        </wps:bodyPr>
                      </wps:wsp>
                      <wps:wsp>
                        <wps:cNvPr id="1364" name="Graphic 1364"/>
                        <wps:cNvSpPr/>
                        <wps:spPr>
                          <a:xfrm>
                            <a:off x="111851" y="115848"/>
                            <a:ext cx="120014" cy="65405"/>
                          </a:xfrm>
                          <a:custGeom>
                            <a:avLst/>
                            <a:gdLst/>
                            <a:ahLst/>
                            <a:cxnLst/>
                            <a:rect l="l" t="t" r="r" b="b"/>
                            <a:pathLst>
                              <a:path w="120014" h="65405">
                                <a:moveTo>
                                  <a:pt x="116395" y="6184"/>
                                </a:moveTo>
                                <a:lnTo>
                                  <a:pt x="103212" y="6184"/>
                                </a:lnTo>
                                <a:lnTo>
                                  <a:pt x="106044" y="7175"/>
                                </a:lnTo>
                                <a:lnTo>
                                  <a:pt x="110207" y="11163"/>
                                </a:lnTo>
                                <a:lnTo>
                                  <a:pt x="111239" y="13855"/>
                                </a:lnTo>
                                <a:lnTo>
                                  <a:pt x="111239" y="22707"/>
                                </a:lnTo>
                                <a:lnTo>
                                  <a:pt x="108203" y="28155"/>
                                </a:lnTo>
                                <a:lnTo>
                                  <a:pt x="102133" y="33642"/>
                                </a:lnTo>
                                <a:lnTo>
                                  <a:pt x="97408" y="37858"/>
                                </a:lnTo>
                                <a:lnTo>
                                  <a:pt x="90106" y="44462"/>
                                </a:lnTo>
                                <a:lnTo>
                                  <a:pt x="85255" y="50571"/>
                                </a:lnTo>
                                <a:lnTo>
                                  <a:pt x="82867" y="56159"/>
                                </a:lnTo>
                                <a:lnTo>
                                  <a:pt x="82867" y="63398"/>
                                </a:lnTo>
                                <a:lnTo>
                                  <a:pt x="119672" y="63398"/>
                                </a:lnTo>
                                <a:lnTo>
                                  <a:pt x="119672" y="56159"/>
                                </a:lnTo>
                                <a:lnTo>
                                  <a:pt x="92811" y="56159"/>
                                </a:lnTo>
                                <a:lnTo>
                                  <a:pt x="93840" y="51066"/>
                                </a:lnTo>
                                <a:lnTo>
                                  <a:pt x="97650" y="45707"/>
                                </a:lnTo>
                                <a:lnTo>
                                  <a:pt x="112255" y="33299"/>
                                </a:lnTo>
                                <a:lnTo>
                                  <a:pt x="115544" y="29819"/>
                                </a:lnTo>
                                <a:lnTo>
                                  <a:pt x="119087" y="24079"/>
                                </a:lnTo>
                                <a:lnTo>
                                  <a:pt x="119976" y="20802"/>
                                </a:lnTo>
                                <a:lnTo>
                                  <a:pt x="119976" y="11938"/>
                                </a:lnTo>
                                <a:lnTo>
                                  <a:pt x="118227" y="7835"/>
                                </a:lnTo>
                                <a:lnTo>
                                  <a:pt x="116395" y="6184"/>
                                </a:lnTo>
                                <a:close/>
                              </a:path>
                              <a:path w="120014" h="65405">
                                <a:moveTo>
                                  <a:pt x="106540" y="0"/>
                                </a:moveTo>
                                <a:lnTo>
                                  <a:pt x="95338" y="0"/>
                                </a:lnTo>
                                <a:lnTo>
                                  <a:pt x="89903" y="1295"/>
                                </a:lnTo>
                                <a:lnTo>
                                  <a:pt x="84404" y="3886"/>
                                </a:lnTo>
                                <a:lnTo>
                                  <a:pt x="84404" y="11163"/>
                                </a:lnTo>
                                <a:lnTo>
                                  <a:pt x="90233" y="7835"/>
                                </a:lnTo>
                                <a:lnTo>
                                  <a:pt x="95300" y="6184"/>
                                </a:lnTo>
                                <a:lnTo>
                                  <a:pt x="116395" y="6184"/>
                                </a:lnTo>
                                <a:lnTo>
                                  <a:pt x="111188" y="1562"/>
                                </a:lnTo>
                                <a:lnTo>
                                  <a:pt x="106540" y="0"/>
                                </a:lnTo>
                                <a:close/>
                              </a:path>
                              <a:path w="120014" h="65405">
                                <a:moveTo>
                                  <a:pt x="67360" y="53073"/>
                                </a:moveTo>
                                <a:lnTo>
                                  <a:pt x="57035" y="53073"/>
                                </a:lnTo>
                                <a:lnTo>
                                  <a:pt x="57035" y="63398"/>
                                </a:lnTo>
                                <a:lnTo>
                                  <a:pt x="67360" y="63398"/>
                                </a:lnTo>
                                <a:lnTo>
                                  <a:pt x="67360" y="53073"/>
                                </a:lnTo>
                                <a:close/>
                              </a:path>
                              <a:path w="120014" h="65405">
                                <a:moveTo>
                                  <a:pt x="28130" y="0"/>
                                </a:moveTo>
                                <a:lnTo>
                                  <a:pt x="15151" y="0"/>
                                </a:lnTo>
                                <a:lnTo>
                                  <a:pt x="9918" y="2971"/>
                                </a:lnTo>
                                <a:lnTo>
                                  <a:pt x="1981" y="14833"/>
                                </a:lnTo>
                                <a:lnTo>
                                  <a:pt x="0" y="22682"/>
                                </a:lnTo>
                                <a:lnTo>
                                  <a:pt x="35" y="42227"/>
                                </a:lnTo>
                                <a:lnTo>
                                  <a:pt x="1968" y="49923"/>
                                </a:lnTo>
                                <a:lnTo>
                                  <a:pt x="7762" y="58750"/>
                                </a:lnTo>
                                <a:lnTo>
                                  <a:pt x="9942" y="61988"/>
                                </a:lnTo>
                                <a:lnTo>
                                  <a:pt x="15011" y="64947"/>
                                </a:lnTo>
                                <a:lnTo>
                                  <a:pt x="28054" y="64947"/>
                                </a:lnTo>
                                <a:lnTo>
                                  <a:pt x="33375" y="61988"/>
                                </a:lnTo>
                                <a:lnTo>
                                  <a:pt x="35545" y="58750"/>
                                </a:lnTo>
                                <a:lnTo>
                                  <a:pt x="21475" y="58750"/>
                                </a:lnTo>
                                <a:lnTo>
                                  <a:pt x="15917" y="57104"/>
                                </a:lnTo>
                                <a:lnTo>
                                  <a:pt x="11949" y="52170"/>
                                </a:lnTo>
                                <a:lnTo>
                                  <a:pt x="9568" y="43946"/>
                                </a:lnTo>
                                <a:lnTo>
                                  <a:pt x="8775" y="32435"/>
                                </a:lnTo>
                                <a:lnTo>
                                  <a:pt x="9457" y="22682"/>
                                </a:lnTo>
                                <a:lnTo>
                                  <a:pt x="9578" y="20951"/>
                                </a:lnTo>
                                <a:lnTo>
                                  <a:pt x="11988" y="12747"/>
                                </a:lnTo>
                                <a:lnTo>
                                  <a:pt x="16008" y="7825"/>
                                </a:lnTo>
                                <a:lnTo>
                                  <a:pt x="21640" y="6184"/>
                                </a:lnTo>
                                <a:lnTo>
                                  <a:pt x="35525" y="6184"/>
                                </a:lnTo>
                                <a:lnTo>
                                  <a:pt x="33375" y="2971"/>
                                </a:lnTo>
                                <a:lnTo>
                                  <a:pt x="28130" y="0"/>
                                </a:lnTo>
                                <a:close/>
                              </a:path>
                              <a:path w="120014" h="65405">
                                <a:moveTo>
                                  <a:pt x="35525" y="6184"/>
                                </a:moveTo>
                                <a:lnTo>
                                  <a:pt x="21640" y="6184"/>
                                </a:lnTo>
                                <a:lnTo>
                                  <a:pt x="27305" y="7825"/>
                                </a:lnTo>
                                <a:lnTo>
                                  <a:pt x="31347" y="12747"/>
                                </a:lnTo>
                                <a:lnTo>
                                  <a:pt x="33749" y="20806"/>
                                </a:lnTo>
                                <a:lnTo>
                                  <a:pt x="34556" y="32181"/>
                                </a:lnTo>
                                <a:lnTo>
                                  <a:pt x="33860" y="42087"/>
                                </a:lnTo>
                                <a:lnTo>
                                  <a:pt x="21475" y="58750"/>
                                </a:lnTo>
                                <a:lnTo>
                                  <a:pt x="35545" y="58750"/>
                                </a:lnTo>
                                <a:lnTo>
                                  <a:pt x="41313" y="50139"/>
                                </a:lnTo>
                                <a:lnTo>
                                  <a:pt x="43294" y="42227"/>
                                </a:lnTo>
                                <a:lnTo>
                                  <a:pt x="43294" y="22682"/>
                                </a:lnTo>
                                <a:lnTo>
                                  <a:pt x="41313" y="14833"/>
                                </a:lnTo>
                                <a:lnTo>
                                  <a:pt x="35525" y="6184"/>
                                </a:lnTo>
                                <a:close/>
                              </a:path>
                            </a:pathLst>
                          </a:custGeom>
                          <a:solidFill>
                            <a:srgbClr val="000000"/>
                          </a:solidFill>
                        </wps:spPr>
                        <wps:bodyPr wrap="square" lIns="0" tIns="0" rIns="0" bIns="0" rtlCol="0">
                          <a:prstTxWarp prst="textNoShape">
                            <a:avLst/>
                          </a:prstTxWarp>
                          <a:noAutofit/>
                        </wps:bodyPr>
                      </wps:wsp>
                      <wps:wsp>
                        <wps:cNvPr id="1365" name="Graphic 1365"/>
                        <wps:cNvSpPr/>
                        <wps:spPr>
                          <a:xfrm>
                            <a:off x="343820" y="49914"/>
                            <a:ext cx="1270" cy="57150"/>
                          </a:xfrm>
                          <a:custGeom>
                            <a:avLst/>
                            <a:gdLst/>
                            <a:ahLst/>
                            <a:cxnLst/>
                            <a:rect l="l" t="t" r="r" b="b"/>
                            <a:pathLst>
                              <a:path h="57150">
                                <a:moveTo>
                                  <a:pt x="0" y="0"/>
                                </a:moveTo>
                                <a:lnTo>
                                  <a:pt x="0" y="57061"/>
                                </a:lnTo>
                              </a:path>
                            </a:pathLst>
                          </a:custGeom>
                          <a:ln w="8661">
                            <a:solidFill>
                              <a:srgbClr val="000000"/>
                            </a:solidFill>
                            <a:prstDash val="solid"/>
                          </a:ln>
                        </wps:spPr>
                        <wps:bodyPr wrap="square" lIns="0" tIns="0" rIns="0" bIns="0" rtlCol="0">
                          <a:prstTxWarp prst="textNoShape">
                            <a:avLst/>
                          </a:prstTxWarp>
                          <a:noAutofit/>
                        </wps:bodyPr>
                      </wps:wsp>
                      <wps:wsp>
                        <wps:cNvPr id="1366" name="Graphic 1366"/>
                        <wps:cNvSpPr/>
                        <wps:spPr>
                          <a:xfrm>
                            <a:off x="281589" y="115845"/>
                            <a:ext cx="124460" cy="65405"/>
                          </a:xfrm>
                          <a:custGeom>
                            <a:avLst/>
                            <a:gdLst/>
                            <a:ahLst/>
                            <a:cxnLst/>
                            <a:rect l="l" t="t" r="r" b="b"/>
                            <a:pathLst>
                              <a:path w="124460" h="65405">
                                <a:moveTo>
                                  <a:pt x="115722" y="45885"/>
                                </a:moveTo>
                                <a:lnTo>
                                  <a:pt x="107988" y="45885"/>
                                </a:lnTo>
                                <a:lnTo>
                                  <a:pt x="107988" y="63398"/>
                                </a:lnTo>
                                <a:lnTo>
                                  <a:pt x="115722" y="63398"/>
                                </a:lnTo>
                                <a:lnTo>
                                  <a:pt x="115722" y="45885"/>
                                </a:lnTo>
                                <a:close/>
                              </a:path>
                              <a:path w="124460" h="65405">
                                <a:moveTo>
                                  <a:pt x="115722" y="1549"/>
                                </a:moveTo>
                                <a:lnTo>
                                  <a:pt x="107988" y="1549"/>
                                </a:lnTo>
                                <a:lnTo>
                                  <a:pt x="80149" y="39662"/>
                                </a:lnTo>
                                <a:lnTo>
                                  <a:pt x="80149" y="45885"/>
                                </a:lnTo>
                                <a:lnTo>
                                  <a:pt x="123990" y="45885"/>
                                </a:lnTo>
                                <a:lnTo>
                                  <a:pt x="123990" y="39154"/>
                                </a:lnTo>
                                <a:lnTo>
                                  <a:pt x="88214" y="39154"/>
                                </a:lnTo>
                                <a:lnTo>
                                  <a:pt x="108534" y="11658"/>
                                </a:lnTo>
                                <a:lnTo>
                                  <a:pt x="115722" y="11658"/>
                                </a:lnTo>
                                <a:lnTo>
                                  <a:pt x="115722" y="1549"/>
                                </a:lnTo>
                                <a:close/>
                              </a:path>
                              <a:path w="124460" h="65405">
                                <a:moveTo>
                                  <a:pt x="115722" y="11658"/>
                                </a:moveTo>
                                <a:lnTo>
                                  <a:pt x="108534" y="11658"/>
                                </a:lnTo>
                                <a:lnTo>
                                  <a:pt x="108534" y="39154"/>
                                </a:lnTo>
                                <a:lnTo>
                                  <a:pt x="115722" y="39154"/>
                                </a:lnTo>
                                <a:lnTo>
                                  <a:pt x="115722" y="11658"/>
                                </a:lnTo>
                                <a:close/>
                              </a:path>
                              <a:path w="124460" h="65405">
                                <a:moveTo>
                                  <a:pt x="67360" y="53073"/>
                                </a:moveTo>
                                <a:lnTo>
                                  <a:pt x="57048" y="53073"/>
                                </a:lnTo>
                                <a:lnTo>
                                  <a:pt x="57048" y="63398"/>
                                </a:lnTo>
                                <a:lnTo>
                                  <a:pt x="67360" y="63398"/>
                                </a:lnTo>
                                <a:lnTo>
                                  <a:pt x="67360" y="53073"/>
                                </a:lnTo>
                                <a:close/>
                              </a:path>
                              <a:path w="124460" h="65405">
                                <a:moveTo>
                                  <a:pt x="28143" y="0"/>
                                </a:moveTo>
                                <a:lnTo>
                                  <a:pt x="15151" y="0"/>
                                </a:lnTo>
                                <a:lnTo>
                                  <a:pt x="9931" y="2971"/>
                                </a:lnTo>
                                <a:lnTo>
                                  <a:pt x="1993" y="14833"/>
                                </a:lnTo>
                                <a:lnTo>
                                  <a:pt x="0" y="22682"/>
                                </a:lnTo>
                                <a:lnTo>
                                  <a:pt x="35" y="42227"/>
                                </a:lnTo>
                                <a:lnTo>
                                  <a:pt x="1968" y="49936"/>
                                </a:lnTo>
                                <a:lnTo>
                                  <a:pt x="7760" y="58750"/>
                                </a:lnTo>
                                <a:lnTo>
                                  <a:pt x="9942" y="61988"/>
                                </a:lnTo>
                                <a:lnTo>
                                  <a:pt x="15011" y="64947"/>
                                </a:lnTo>
                                <a:lnTo>
                                  <a:pt x="28067" y="64947"/>
                                </a:lnTo>
                                <a:lnTo>
                                  <a:pt x="33375" y="61988"/>
                                </a:lnTo>
                                <a:lnTo>
                                  <a:pt x="35545" y="58750"/>
                                </a:lnTo>
                                <a:lnTo>
                                  <a:pt x="21475" y="58750"/>
                                </a:lnTo>
                                <a:lnTo>
                                  <a:pt x="15923" y="57106"/>
                                </a:lnTo>
                                <a:lnTo>
                                  <a:pt x="11953" y="52174"/>
                                </a:lnTo>
                                <a:lnTo>
                                  <a:pt x="9570" y="43951"/>
                                </a:lnTo>
                                <a:lnTo>
                                  <a:pt x="8775" y="32435"/>
                                </a:lnTo>
                                <a:lnTo>
                                  <a:pt x="9459" y="22682"/>
                                </a:lnTo>
                                <a:lnTo>
                                  <a:pt x="9580" y="20951"/>
                                </a:lnTo>
                                <a:lnTo>
                                  <a:pt x="11995" y="12747"/>
                                </a:lnTo>
                                <a:lnTo>
                                  <a:pt x="16019" y="7825"/>
                                </a:lnTo>
                                <a:lnTo>
                                  <a:pt x="21653" y="6184"/>
                                </a:lnTo>
                                <a:lnTo>
                                  <a:pt x="35525" y="6184"/>
                                </a:lnTo>
                                <a:lnTo>
                                  <a:pt x="33375" y="2971"/>
                                </a:lnTo>
                                <a:lnTo>
                                  <a:pt x="28143" y="0"/>
                                </a:lnTo>
                                <a:close/>
                              </a:path>
                              <a:path w="124460" h="65405">
                                <a:moveTo>
                                  <a:pt x="35525" y="6184"/>
                                </a:moveTo>
                                <a:lnTo>
                                  <a:pt x="21653" y="6184"/>
                                </a:lnTo>
                                <a:lnTo>
                                  <a:pt x="27315" y="7825"/>
                                </a:lnTo>
                                <a:lnTo>
                                  <a:pt x="31353" y="12747"/>
                                </a:lnTo>
                                <a:lnTo>
                                  <a:pt x="33751" y="20806"/>
                                </a:lnTo>
                                <a:lnTo>
                                  <a:pt x="34556" y="32181"/>
                                </a:lnTo>
                                <a:lnTo>
                                  <a:pt x="33862" y="42087"/>
                                </a:lnTo>
                                <a:lnTo>
                                  <a:pt x="21475" y="58750"/>
                                </a:lnTo>
                                <a:lnTo>
                                  <a:pt x="35545" y="58750"/>
                                </a:lnTo>
                                <a:lnTo>
                                  <a:pt x="41313" y="50139"/>
                                </a:lnTo>
                                <a:lnTo>
                                  <a:pt x="43294" y="42227"/>
                                </a:lnTo>
                                <a:lnTo>
                                  <a:pt x="43294" y="22682"/>
                                </a:lnTo>
                                <a:lnTo>
                                  <a:pt x="41313" y="14833"/>
                                </a:lnTo>
                                <a:lnTo>
                                  <a:pt x="35525" y="6184"/>
                                </a:lnTo>
                                <a:close/>
                              </a:path>
                            </a:pathLst>
                          </a:custGeom>
                          <a:solidFill>
                            <a:srgbClr val="000000"/>
                          </a:solidFill>
                        </wps:spPr>
                        <wps:bodyPr wrap="square" lIns="0" tIns="0" rIns="0" bIns="0" rtlCol="0">
                          <a:prstTxWarp prst="textNoShape">
                            <a:avLst/>
                          </a:prstTxWarp>
                          <a:noAutofit/>
                        </wps:bodyPr>
                      </wps:wsp>
                      <wps:wsp>
                        <wps:cNvPr id="1367" name="Graphic 1367"/>
                        <wps:cNvSpPr/>
                        <wps:spPr>
                          <a:xfrm>
                            <a:off x="513558" y="49914"/>
                            <a:ext cx="1270" cy="57150"/>
                          </a:xfrm>
                          <a:custGeom>
                            <a:avLst/>
                            <a:gdLst/>
                            <a:ahLst/>
                            <a:cxnLst/>
                            <a:rect l="l" t="t" r="r" b="b"/>
                            <a:pathLst>
                              <a:path h="57150">
                                <a:moveTo>
                                  <a:pt x="0" y="0"/>
                                </a:moveTo>
                                <a:lnTo>
                                  <a:pt x="0" y="57061"/>
                                </a:lnTo>
                              </a:path>
                            </a:pathLst>
                          </a:custGeom>
                          <a:ln w="8661">
                            <a:solidFill>
                              <a:srgbClr val="000000"/>
                            </a:solidFill>
                            <a:prstDash val="solid"/>
                          </a:ln>
                        </wps:spPr>
                        <wps:bodyPr wrap="square" lIns="0" tIns="0" rIns="0" bIns="0" rtlCol="0">
                          <a:prstTxWarp prst="textNoShape">
                            <a:avLst/>
                          </a:prstTxWarp>
                          <a:noAutofit/>
                        </wps:bodyPr>
                      </wps:wsp>
                      <wps:wsp>
                        <wps:cNvPr id="1368" name="Graphic 1368"/>
                        <wps:cNvSpPr/>
                        <wps:spPr>
                          <a:xfrm>
                            <a:off x="451333" y="115808"/>
                            <a:ext cx="123825" cy="65405"/>
                          </a:xfrm>
                          <a:custGeom>
                            <a:avLst/>
                            <a:gdLst/>
                            <a:ahLst/>
                            <a:cxnLst/>
                            <a:rect l="l" t="t" r="r" b="b"/>
                            <a:pathLst>
                              <a:path w="123825" h="65405">
                                <a:moveTo>
                                  <a:pt x="110451" y="0"/>
                                </a:moveTo>
                                <a:lnTo>
                                  <a:pt x="98755" y="0"/>
                                </a:lnTo>
                                <a:lnTo>
                                  <a:pt x="92532" y="2959"/>
                                </a:lnTo>
                                <a:lnTo>
                                  <a:pt x="81662" y="30835"/>
                                </a:lnTo>
                                <a:lnTo>
                                  <a:pt x="81561" y="32677"/>
                                </a:lnTo>
                                <a:lnTo>
                                  <a:pt x="96443" y="64985"/>
                                </a:lnTo>
                                <a:lnTo>
                                  <a:pt x="109194" y="64985"/>
                                </a:lnTo>
                                <a:lnTo>
                                  <a:pt x="114096" y="62915"/>
                                </a:lnTo>
                                <a:lnTo>
                                  <a:pt x="117909" y="58788"/>
                                </a:lnTo>
                                <a:lnTo>
                                  <a:pt x="99910" y="58788"/>
                                </a:lnTo>
                                <a:lnTo>
                                  <a:pt x="96761" y="57226"/>
                                </a:lnTo>
                                <a:lnTo>
                                  <a:pt x="91998" y="50965"/>
                                </a:lnTo>
                                <a:lnTo>
                                  <a:pt x="90817" y="46812"/>
                                </a:lnTo>
                                <a:lnTo>
                                  <a:pt x="90817" y="38328"/>
                                </a:lnTo>
                                <a:lnTo>
                                  <a:pt x="92062" y="35521"/>
                                </a:lnTo>
                                <a:lnTo>
                                  <a:pt x="96494" y="31381"/>
                                </a:lnTo>
                                <a:lnTo>
                                  <a:pt x="90474" y="31381"/>
                                </a:lnTo>
                                <a:lnTo>
                                  <a:pt x="91462" y="20354"/>
                                </a:lnTo>
                                <a:lnTo>
                                  <a:pt x="94426" y="12476"/>
                                </a:lnTo>
                                <a:lnTo>
                                  <a:pt x="99363" y="7748"/>
                                </a:lnTo>
                                <a:lnTo>
                                  <a:pt x="106273" y="6172"/>
                                </a:lnTo>
                                <a:lnTo>
                                  <a:pt x="120561" y="6172"/>
                                </a:lnTo>
                                <a:lnTo>
                                  <a:pt x="120561" y="2336"/>
                                </a:lnTo>
                                <a:lnTo>
                                  <a:pt x="115049" y="787"/>
                                </a:lnTo>
                                <a:lnTo>
                                  <a:pt x="110451" y="0"/>
                                </a:lnTo>
                                <a:close/>
                              </a:path>
                              <a:path w="123825" h="65405">
                                <a:moveTo>
                                  <a:pt x="119123" y="29667"/>
                                </a:moveTo>
                                <a:lnTo>
                                  <a:pt x="107289" y="29667"/>
                                </a:lnTo>
                                <a:lnTo>
                                  <a:pt x="110210" y="31000"/>
                                </a:lnTo>
                                <a:lnTo>
                                  <a:pt x="114414" y="36360"/>
                                </a:lnTo>
                                <a:lnTo>
                                  <a:pt x="115468" y="40030"/>
                                </a:lnTo>
                                <a:lnTo>
                                  <a:pt x="115374" y="49301"/>
                                </a:lnTo>
                                <a:lnTo>
                                  <a:pt x="114414" y="52425"/>
                                </a:lnTo>
                                <a:lnTo>
                                  <a:pt x="110210" y="57518"/>
                                </a:lnTo>
                                <a:lnTo>
                                  <a:pt x="107378" y="58788"/>
                                </a:lnTo>
                                <a:lnTo>
                                  <a:pt x="117909" y="58788"/>
                                </a:lnTo>
                                <a:lnTo>
                                  <a:pt x="121818" y="54610"/>
                                </a:lnTo>
                                <a:lnTo>
                                  <a:pt x="123736" y="49301"/>
                                </a:lnTo>
                                <a:lnTo>
                                  <a:pt x="123736" y="37274"/>
                                </a:lnTo>
                                <a:lnTo>
                                  <a:pt x="122021" y="32677"/>
                                </a:lnTo>
                                <a:lnTo>
                                  <a:pt x="119123" y="29667"/>
                                </a:lnTo>
                                <a:close/>
                              </a:path>
                              <a:path w="123825" h="65405">
                                <a:moveTo>
                                  <a:pt x="110718" y="23736"/>
                                </a:moveTo>
                                <a:lnTo>
                                  <a:pt x="99339" y="23736"/>
                                </a:lnTo>
                                <a:lnTo>
                                  <a:pt x="94409" y="26292"/>
                                </a:lnTo>
                                <a:lnTo>
                                  <a:pt x="90474" y="31381"/>
                                </a:lnTo>
                                <a:lnTo>
                                  <a:pt x="96494" y="31381"/>
                                </a:lnTo>
                                <a:lnTo>
                                  <a:pt x="97078" y="30835"/>
                                </a:lnTo>
                                <a:lnTo>
                                  <a:pt x="100075" y="29667"/>
                                </a:lnTo>
                                <a:lnTo>
                                  <a:pt x="119123" y="29667"/>
                                </a:lnTo>
                                <a:lnTo>
                                  <a:pt x="115138" y="25527"/>
                                </a:lnTo>
                                <a:lnTo>
                                  <a:pt x="110718" y="23736"/>
                                </a:lnTo>
                                <a:close/>
                              </a:path>
                              <a:path w="123825" h="65405">
                                <a:moveTo>
                                  <a:pt x="120561" y="6172"/>
                                </a:moveTo>
                                <a:lnTo>
                                  <a:pt x="109969" y="6172"/>
                                </a:lnTo>
                                <a:lnTo>
                                  <a:pt x="114744" y="7302"/>
                                </a:lnTo>
                                <a:lnTo>
                                  <a:pt x="120561" y="9525"/>
                                </a:lnTo>
                                <a:lnTo>
                                  <a:pt x="120561" y="6172"/>
                                </a:lnTo>
                                <a:close/>
                              </a:path>
                              <a:path w="123825" h="65405">
                                <a:moveTo>
                                  <a:pt x="67360" y="53111"/>
                                </a:moveTo>
                                <a:lnTo>
                                  <a:pt x="57035" y="53111"/>
                                </a:lnTo>
                                <a:lnTo>
                                  <a:pt x="57035" y="63436"/>
                                </a:lnTo>
                                <a:lnTo>
                                  <a:pt x="67360" y="63436"/>
                                </a:lnTo>
                                <a:lnTo>
                                  <a:pt x="67360" y="53111"/>
                                </a:lnTo>
                                <a:close/>
                              </a:path>
                              <a:path w="123825" h="65405">
                                <a:moveTo>
                                  <a:pt x="28143" y="38"/>
                                </a:moveTo>
                                <a:lnTo>
                                  <a:pt x="15163" y="38"/>
                                </a:lnTo>
                                <a:lnTo>
                                  <a:pt x="9918" y="3009"/>
                                </a:lnTo>
                                <a:lnTo>
                                  <a:pt x="1981" y="14871"/>
                                </a:lnTo>
                                <a:lnTo>
                                  <a:pt x="0" y="22720"/>
                                </a:lnTo>
                                <a:lnTo>
                                  <a:pt x="35" y="42265"/>
                                </a:lnTo>
                                <a:lnTo>
                                  <a:pt x="1968" y="49974"/>
                                </a:lnTo>
                                <a:lnTo>
                                  <a:pt x="7769" y="58788"/>
                                </a:lnTo>
                                <a:lnTo>
                                  <a:pt x="9954" y="62026"/>
                                </a:lnTo>
                                <a:lnTo>
                                  <a:pt x="15024" y="64985"/>
                                </a:lnTo>
                                <a:lnTo>
                                  <a:pt x="28054" y="64985"/>
                                </a:lnTo>
                                <a:lnTo>
                                  <a:pt x="33375" y="62026"/>
                                </a:lnTo>
                                <a:lnTo>
                                  <a:pt x="35545" y="58788"/>
                                </a:lnTo>
                                <a:lnTo>
                                  <a:pt x="21488" y="58788"/>
                                </a:lnTo>
                                <a:lnTo>
                                  <a:pt x="15930" y="57143"/>
                                </a:lnTo>
                                <a:lnTo>
                                  <a:pt x="11961" y="52208"/>
                                </a:lnTo>
                                <a:lnTo>
                                  <a:pt x="9581" y="43984"/>
                                </a:lnTo>
                                <a:lnTo>
                                  <a:pt x="8788" y="32473"/>
                                </a:lnTo>
                                <a:lnTo>
                                  <a:pt x="9470" y="22720"/>
                                </a:lnTo>
                                <a:lnTo>
                                  <a:pt x="9591" y="20989"/>
                                </a:lnTo>
                                <a:lnTo>
                                  <a:pt x="11999" y="12785"/>
                                </a:lnTo>
                                <a:lnTo>
                                  <a:pt x="16016" y="7863"/>
                                </a:lnTo>
                                <a:lnTo>
                                  <a:pt x="21640" y="6223"/>
                                </a:lnTo>
                                <a:lnTo>
                                  <a:pt x="35525" y="6223"/>
                                </a:lnTo>
                                <a:lnTo>
                                  <a:pt x="33375" y="3009"/>
                                </a:lnTo>
                                <a:lnTo>
                                  <a:pt x="28143" y="38"/>
                                </a:lnTo>
                                <a:close/>
                              </a:path>
                              <a:path w="123825" h="65405">
                                <a:moveTo>
                                  <a:pt x="35525" y="6223"/>
                                </a:moveTo>
                                <a:lnTo>
                                  <a:pt x="21640" y="6223"/>
                                </a:lnTo>
                                <a:lnTo>
                                  <a:pt x="27312" y="7863"/>
                                </a:lnTo>
                                <a:lnTo>
                                  <a:pt x="31358" y="12785"/>
                                </a:lnTo>
                                <a:lnTo>
                                  <a:pt x="33761" y="20844"/>
                                </a:lnTo>
                                <a:lnTo>
                                  <a:pt x="34569" y="32219"/>
                                </a:lnTo>
                                <a:lnTo>
                                  <a:pt x="33871" y="42125"/>
                                </a:lnTo>
                                <a:lnTo>
                                  <a:pt x="21488" y="58788"/>
                                </a:lnTo>
                                <a:lnTo>
                                  <a:pt x="35545" y="58788"/>
                                </a:lnTo>
                                <a:lnTo>
                                  <a:pt x="41313" y="50177"/>
                                </a:lnTo>
                                <a:lnTo>
                                  <a:pt x="43294" y="42265"/>
                                </a:lnTo>
                                <a:lnTo>
                                  <a:pt x="43294" y="22720"/>
                                </a:lnTo>
                                <a:lnTo>
                                  <a:pt x="41313" y="14871"/>
                                </a:lnTo>
                                <a:lnTo>
                                  <a:pt x="35525" y="6223"/>
                                </a:lnTo>
                                <a:close/>
                              </a:path>
                            </a:pathLst>
                          </a:custGeom>
                          <a:solidFill>
                            <a:srgbClr val="000000"/>
                          </a:solidFill>
                        </wps:spPr>
                        <wps:bodyPr wrap="square" lIns="0" tIns="0" rIns="0" bIns="0" rtlCol="0">
                          <a:prstTxWarp prst="textNoShape">
                            <a:avLst/>
                          </a:prstTxWarp>
                          <a:noAutofit/>
                        </wps:bodyPr>
                      </wps:wsp>
                      <wps:wsp>
                        <wps:cNvPr id="1369" name="Graphic 1369"/>
                        <wps:cNvSpPr/>
                        <wps:spPr>
                          <a:xfrm>
                            <a:off x="683309" y="49914"/>
                            <a:ext cx="1270" cy="57150"/>
                          </a:xfrm>
                          <a:custGeom>
                            <a:avLst/>
                            <a:gdLst/>
                            <a:ahLst/>
                            <a:cxnLst/>
                            <a:rect l="l" t="t" r="r" b="b"/>
                            <a:pathLst>
                              <a:path h="57150">
                                <a:moveTo>
                                  <a:pt x="0" y="0"/>
                                </a:moveTo>
                                <a:lnTo>
                                  <a:pt x="0" y="57061"/>
                                </a:lnTo>
                              </a:path>
                            </a:pathLst>
                          </a:custGeom>
                          <a:ln w="8661">
                            <a:solidFill>
                              <a:srgbClr val="000000"/>
                            </a:solidFill>
                            <a:prstDash val="solid"/>
                          </a:ln>
                        </wps:spPr>
                        <wps:bodyPr wrap="square" lIns="0" tIns="0" rIns="0" bIns="0" rtlCol="0">
                          <a:prstTxWarp prst="textNoShape">
                            <a:avLst/>
                          </a:prstTxWarp>
                          <a:noAutofit/>
                        </wps:bodyPr>
                      </wps:wsp>
                      <wps:wsp>
                        <wps:cNvPr id="1370" name="Graphic 1370"/>
                        <wps:cNvSpPr/>
                        <wps:spPr>
                          <a:xfrm>
                            <a:off x="621077" y="115807"/>
                            <a:ext cx="125095" cy="65405"/>
                          </a:xfrm>
                          <a:custGeom>
                            <a:avLst/>
                            <a:gdLst/>
                            <a:ahLst/>
                            <a:cxnLst/>
                            <a:rect l="l" t="t" r="r" b="b"/>
                            <a:pathLst>
                              <a:path w="125095" h="65405">
                                <a:moveTo>
                                  <a:pt x="110032" y="0"/>
                                </a:moveTo>
                                <a:lnTo>
                                  <a:pt x="99428" y="0"/>
                                </a:lnTo>
                                <a:lnTo>
                                  <a:pt x="94945" y="1460"/>
                                </a:lnTo>
                                <a:lnTo>
                                  <a:pt x="91528" y="4394"/>
                                </a:lnTo>
                                <a:lnTo>
                                  <a:pt x="88087" y="7315"/>
                                </a:lnTo>
                                <a:lnTo>
                                  <a:pt x="86385" y="11112"/>
                                </a:lnTo>
                                <a:lnTo>
                                  <a:pt x="86385" y="20891"/>
                                </a:lnTo>
                                <a:lnTo>
                                  <a:pt x="89407" y="25539"/>
                                </a:lnTo>
                                <a:lnTo>
                                  <a:pt x="95440" y="29756"/>
                                </a:lnTo>
                                <a:lnTo>
                                  <a:pt x="87261" y="34658"/>
                                </a:lnTo>
                                <a:lnTo>
                                  <a:pt x="83172" y="40805"/>
                                </a:lnTo>
                                <a:lnTo>
                                  <a:pt x="83213" y="53327"/>
                                </a:lnTo>
                                <a:lnTo>
                                  <a:pt x="85039" y="57289"/>
                                </a:lnTo>
                                <a:lnTo>
                                  <a:pt x="92532" y="63449"/>
                                </a:lnTo>
                                <a:lnTo>
                                  <a:pt x="97447" y="64985"/>
                                </a:lnTo>
                                <a:lnTo>
                                  <a:pt x="109702" y="64985"/>
                                </a:lnTo>
                                <a:lnTo>
                                  <a:pt x="114431" y="63449"/>
                                </a:lnTo>
                                <a:lnTo>
                                  <a:pt x="114622" y="63449"/>
                                </a:lnTo>
                                <a:lnTo>
                                  <a:pt x="120228" y="58788"/>
                                </a:lnTo>
                                <a:lnTo>
                                  <a:pt x="100114" y="58788"/>
                                </a:lnTo>
                                <a:lnTo>
                                  <a:pt x="97104" y="57696"/>
                                </a:lnTo>
                                <a:lnTo>
                                  <a:pt x="92544" y="53327"/>
                                </a:lnTo>
                                <a:lnTo>
                                  <a:pt x="91401" y="50469"/>
                                </a:lnTo>
                                <a:lnTo>
                                  <a:pt x="91401" y="44081"/>
                                </a:lnTo>
                                <a:lnTo>
                                  <a:pt x="91986" y="41706"/>
                                </a:lnTo>
                                <a:lnTo>
                                  <a:pt x="94360" y="37896"/>
                                </a:lnTo>
                                <a:lnTo>
                                  <a:pt x="96596" y="35661"/>
                                </a:lnTo>
                                <a:lnTo>
                                  <a:pt x="99923" y="33096"/>
                                </a:lnTo>
                                <a:lnTo>
                                  <a:pt x="117350" y="33096"/>
                                </a:lnTo>
                                <a:lnTo>
                                  <a:pt x="110540" y="29756"/>
                                </a:lnTo>
                                <a:lnTo>
                                  <a:pt x="114580" y="27165"/>
                                </a:lnTo>
                                <a:lnTo>
                                  <a:pt x="105943" y="27165"/>
                                </a:lnTo>
                                <a:lnTo>
                                  <a:pt x="101307" y="24510"/>
                                </a:lnTo>
                                <a:lnTo>
                                  <a:pt x="98145" y="22275"/>
                                </a:lnTo>
                                <a:lnTo>
                                  <a:pt x="96443" y="20446"/>
                                </a:lnTo>
                                <a:lnTo>
                                  <a:pt x="94716" y="18630"/>
                                </a:lnTo>
                                <a:lnTo>
                                  <a:pt x="93852" y="16560"/>
                                </a:lnTo>
                                <a:lnTo>
                                  <a:pt x="93852" y="11874"/>
                                </a:lnTo>
                                <a:lnTo>
                                  <a:pt x="94786" y="10020"/>
                                </a:lnTo>
                                <a:lnTo>
                                  <a:pt x="95494" y="9423"/>
                                </a:lnTo>
                                <a:lnTo>
                                  <a:pt x="98586" y="6984"/>
                                </a:lnTo>
                                <a:lnTo>
                                  <a:pt x="101066" y="6222"/>
                                </a:lnTo>
                                <a:lnTo>
                                  <a:pt x="120517" y="6222"/>
                                </a:lnTo>
                                <a:lnTo>
                                  <a:pt x="114160" y="1231"/>
                                </a:lnTo>
                                <a:lnTo>
                                  <a:pt x="110032" y="0"/>
                                </a:lnTo>
                                <a:close/>
                              </a:path>
                              <a:path w="125095" h="65405">
                                <a:moveTo>
                                  <a:pt x="117350" y="33096"/>
                                </a:moveTo>
                                <a:lnTo>
                                  <a:pt x="99923" y="33096"/>
                                </a:lnTo>
                                <a:lnTo>
                                  <a:pt x="109804" y="38950"/>
                                </a:lnTo>
                                <a:lnTo>
                                  <a:pt x="112534" y="40982"/>
                                </a:lnTo>
                                <a:lnTo>
                                  <a:pt x="115354" y="44297"/>
                                </a:lnTo>
                                <a:lnTo>
                                  <a:pt x="116065" y="46329"/>
                                </a:lnTo>
                                <a:lnTo>
                                  <a:pt x="116065" y="51701"/>
                                </a:lnTo>
                                <a:lnTo>
                                  <a:pt x="114922" y="54127"/>
                                </a:lnTo>
                                <a:lnTo>
                                  <a:pt x="110375" y="57861"/>
                                </a:lnTo>
                                <a:lnTo>
                                  <a:pt x="107454" y="58788"/>
                                </a:lnTo>
                                <a:lnTo>
                                  <a:pt x="120228" y="58788"/>
                                </a:lnTo>
                                <a:lnTo>
                                  <a:pt x="122580" y="56832"/>
                                </a:lnTo>
                                <a:lnTo>
                                  <a:pt x="124523" y="52616"/>
                                </a:lnTo>
                                <a:lnTo>
                                  <a:pt x="124523" y="40220"/>
                                </a:lnTo>
                                <a:lnTo>
                                  <a:pt x="119862" y="34328"/>
                                </a:lnTo>
                                <a:lnTo>
                                  <a:pt x="117350" y="33096"/>
                                </a:lnTo>
                                <a:close/>
                              </a:path>
                              <a:path w="125095" h="65405">
                                <a:moveTo>
                                  <a:pt x="120497" y="6222"/>
                                </a:moveTo>
                                <a:lnTo>
                                  <a:pt x="107238" y="6222"/>
                                </a:lnTo>
                                <a:lnTo>
                                  <a:pt x="109778" y="6984"/>
                                </a:lnTo>
                                <a:lnTo>
                                  <a:pt x="113626" y="10020"/>
                                </a:lnTo>
                                <a:lnTo>
                                  <a:pt x="114524" y="11874"/>
                                </a:lnTo>
                                <a:lnTo>
                                  <a:pt x="114592" y="19151"/>
                                </a:lnTo>
                                <a:lnTo>
                                  <a:pt x="111709" y="23367"/>
                                </a:lnTo>
                                <a:lnTo>
                                  <a:pt x="105943" y="27165"/>
                                </a:lnTo>
                                <a:lnTo>
                                  <a:pt x="114580" y="27165"/>
                                </a:lnTo>
                                <a:lnTo>
                                  <a:pt x="118224" y="24828"/>
                                </a:lnTo>
                                <a:lnTo>
                                  <a:pt x="122072" y="19354"/>
                                </a:lnTo>
                                <a:lnTo>
                                  <a:pt x="122072" y="9423"/>
                                </a:lnTo>
                                <a:lnTo>
                                  <a:pt x="120497" y="6222"/>
                                </a:lnTo>
                                <a:close/>
                              </a:path>
                              <a:path w="125095" h="65405">
                                <a:moveTo>
                                  <a:pt x="67360" y="53111"/>
                                </a:moveTo>
                                <a:lnTo>
                                  <a:pt x="57048" y="53111"/>
                                </a:lnTo>
                                <a:lnTo>
                                  <a:pt x="57048" y="63436"/>
                                </a:lnTo>
                                <a:lnTo>
                                  <a:pt x="67360" y="63436"/>
                                </a:lnTo>
                                <a:lnTo>
                                  <a:pt x="67360" y="53111"/>
                                </a:lnTo>
                                <a:close/>
                              </a:path>
                              <a:path w="125095" h="65405">
                                <a:moveTo>
                                  <a:pt x="28143" y="38"/>
                                </a:moveTo>
                                <a:lnTo>
                                  <a:pt x="15151" y="38"/>
                                </a:lnTo>
                                <a:lnTo>
                                  <a:pt x="9931" y="3009"/>
                                </a:lnTo>
                                <a:lnTo>
                                  <a:pt x="1993" y="14871"/>
                                </a:lnTo>
                                <a:lnTo>
                                  <a:pt x="0" y="22720"/>
                                </a:lnTo>
                                <a:lnTo>
                                  <a:pt x="35" y="42265"/>
                                </a:lnTo>
                                <a:lnTo>
                                  <a:pt x="1968" y="49974"/>
                                </a:lnTo>
                                <a:lnTo>
                                  <a:pt x="7760" y="58788"/>
                                </a:lnTo>
                                <a:lnTo>
                                  <a:pt x="9942" y="62026"/>
                                </a:lnTo>
                                <a:lnTo>
                                  <a:pt x="15011" y="64985"/>
                                </a:lnTo>
                                <a:lnTo>
                                  <a:pt x="28066" y="64985"/>
                                </a:lnTo>
                                <a:lnTo>
                                  <a:pt x="33375" y="62026"/>
                                </a:lnTo>
                                <a:lnTo>
                                  <a:pt x="35545" y="58788"/>
                                </a:lnTo>
                                <a:lnTo>
                                  <a:pt x="21475" y="58788"/>
                                </a:lnTo>
                                <a:lnTo>
                                  <a:pt x="15917" y="57144"/>
                                </a:lnTo>
                                <a:lnTo>
                                  <a:pt x="11949" y="52212"/>
                                </a:lnTo>
                                <a:lnTo>
                                  <a:pt x="9568" y="43990"/>
                                </a:lnTo>
                                <a:lnTo>
                                  <a:pt x="8775" y="32473"/>
                                </a:lnTo>
                                <a:lnTo>
                                  <a:pt x="9459" y="22720"/>
                                </a:lnTo>
                                <a:lnTo>
                                  <a:pt x="9580" y="20989"/>
                                </a:lnTo>
                                <a:lnTo>
                                  <a:pt x="11995" y="12785"/>
                                </a:lnTo>
                                <a:lnTo>
                                  <a:pt x="16019" y="7863"/>
                                </a:lnTo>
                                <a:lnTo>
                                  <a:pt x="21653" y="6222"/>
                                </a:lnTo>
                                <a:lnTo>
                                  <a:pt x="35525" y="6222"/>
                                </a:lnTo>
                                <a:lnTo>
                                  <a:pt x="33375" y="3009"/>
                                </a:lnTo>
                                <a:lnTo>
                                  <a:pt x="28143" y="38"/>
                                </a:lnTo>
                                <a:close/>
                              </a:path>
                              <a:path w="125095" h="65405">
                                <a:moveTo>
                                  <a:pt x="35525" y="6222"/>
                                </a:moveTo>
                                <a:lnTo>
                                  <a:pt x="21653" y="6222"/>
                                </a:lnTo>
                                <a:lnTo>
                                  <a:pt x="27317" y="7863"/>
                                </a:lnTo>
                                <a:lnTo>
                                  <a:pt x="31359" y="12785"/>
                                </a:lnTo>
                                <a:lnTo>
                                  <a:pt x="33762" y="20844"/>
                                </a:lnTo>
                                <a:lnTo>
                                  <a:pt x="34569" y="32219"/>
                                </a:lnTo>
                                <a:lnTo>
                                  <a:pt x="33873" y="42125"/>
                                </a:lnTo>
                                <a:lnTo>
                                  <a:pt x="21475" y="58788"/>
                                </a:lnTo>
                                <a:lnTo>
                                  <a:pt x="35545" y="58788"/>
                                </a:lnTo>
                                <a:lnTo>
                                  <a:pt x="41313" y="50177"/>
                                </a:lnTo>
                                <a:lnTo>
                                  <a:pt x="43294" y="42265"/>
                                </a:lnTo>
                                <a:lnTo>
                                  <a:pt x="43294" y="22720"/>
                                </a:lnTo>
                                <a:lnTo>
                                  <a:pt x="41313" y="14871"/>
                                </a:lnTo>
                                <a:lnTo>
                                  <a:pt x="35525" y="6222"/>
                                </a:lnTo>
                                <a:close/>
                              </a:path>
                            </a:pathLst>
                          </a:custGeom>
                          <a:solidFill>
                            <a:srgbClr val="000000"/>
                          </a:solidFill>
                        </wps:spPr>
                        <wps:bodyPr wrap="square" lIns="0" tIns="0" rIns="0" bIns="0" rtlCol="0">
                          <a:prstTxWarp prst="textNoShape">
                            <a:avLst/>
                          </a:prstTxWarp>
                          <a:noAutofit/>
                        </wps:bodyPr>
                      </wps:wsp>
                      <wps:wsp>
                        <wps:cNvPr id="1371" name="Graphic 1371"/>
                        <wps:cNvSpPr/>
                        <wps:spPr>
                          <a:xfrm>
                            <a:off x="853047" y="49914"/>
                            <a:ext cx="1270" cy="57150"/>
                          </a:xfrm>
                          <a:custGeom>
                            <a:avLst/>
                            <a:gdLst/>
                            <a:ahLst/>
                            <a:cxnLst/>
                            <a:rect l="l" t="t" r="r" b="b"/>
                            <a:pathLst>
                              <a:path h="57150">
                                <a:moveTo>
                                  <a:pt x="0" y="0"/>
                                </a:moveTo>
                                <a:lnTo>
                                  <a:pt x="0" y="57061"/>
                                </a:lnTo>
                              </a:path>
                            </a:pathLst>
                          </a:custGeom>
                          <a:ln w="8661">
                            <a:solidFill>
                              <a:srgbClr val="000000"/>
                            </a:solidFill>
                            <a:prstDash val="solid"/>
                          </a:ln>
                        </wps:spPr>
                        <wps:bodyPr wrap="square" lIns="0" tIns="0" rIns="0" bIns="0" rtlCol="0">
                          <a:prstTxWarp prst="textNoShape">
                            <a:avLst/>
                          </a:prstTxWarp>
                          <a:noAutofit/>
                        </wps:bodyPr>
                      </wps:wsp>
                      <wps:wsp>
                        <wps:cNvPr id="1372" name="Graphic 1372"/>
                        <wps:cNvSpPr/>
                        <wps:spPr>
                          <a:xfrm>
                            <a:off x="811810" y="115848"/>
                            <a:ext cx="33020" cy="63500"/>
                          </a:xfrm>
                          <a:custGeom>
                            <a:avLst/>
                            <a:gdLst/>
                            <a:ahLst/>
                            <a:cxnLst/>
                            <a:rect l="l" t="t" r="r" b="b"/>
                            <a:pathLst>
                              <a:path w="33020" h="63500">
                                <a:moveTo>
                                  <a:pt x="20637" y="0"/>
                                </a:moveTo>
                                <a:lnTo>
                                  <a:pt x="0" y="5143"/>
                                </a:lnTo>
                                <a:lnTo>
                                  <a:pt x="0" y="11493"/>
                                </a:lnTo>
                                <a:lnTo>
                                  <a:pt x="12369" y="8394"/>
                                </a:lnTo>
                                <a:lnTo>
                                  <a:pt x="12369" y="57213"/>
                                </a:lnTo>
                                <a:lnTo>
                                  <a:pt x="0" y="57213"/>
                                </a:lnTo>
                                <a:lnTo>
                                  <a:pt x="0" y="63398"/>
                                </a:lnTo>
                                <a:lnTo>
                                  <a:pt x="33020" y="63398"/>
                                </a:lnTo>
                                <a:lnTo>
                                  <a:pt x="33020" y="57213"/>
                                </a:lnTo>
                                <a:lnTo>
                                  <a:pt x="20637" y="57213"/>
                                </a:lnTo>
                                <a:lnTo>
                                  <a:pt x="20637" y="0"/>
                                </a:lnTo>
                                <a:close/>
                              </a:path>
                            </a:pathLst>
                          </a:custGeom>
                          <a:solidFill>
                            <a:srgbClr val="000000"/>
                          </a:solidFill>
                        </wps:spPr>
                        <wps:bodyPr wrap="square" lIns="0" tIns="0" rIns="0" bIns="0" rtlCol="0">
                          <a:prstTxWarp prst="textNoShape">
                            <a:avLst/>
                          </a:prstTxWarp>
                          <a:noAutofit/>
                        </wps:bodyPr>
                      </wps:wsp>
                      <wps:wsp>
                        <wps:cNvPr id="1373" name="Graphic 1373"/>
                        <wps:cNvSpPr/>
                        <wps:spPr>
                          <a:xfrm>
                            <a:off x="1754760" y="21389"/>
                            <a:ext cx="33020" cy="1270"/>
                          </a:xfrm>
                          <a:custGeom>
                            <a:avLst/>
                            <a:gdLst/>
                            <a:ahLst/>
                            <a:cxnLst/>
                            <a:rect l="l" t="t" r="r" b="b"/>
                            <a:pathLst>
                              <a:path w="33020">
                                <a:moveTo>
                                  <a:pt x="0" y="0"/>
                                </a:moveTo>
                                <a:lnTo>
                                  <a:pt x="32588" y="0"/>
                                </a:lnTo>
                              </a:path>
                            </a:pathLst>
                          </a:custGeom>
                          <a:ln w="8661">
                            <a:solidFill>
                              <a:srgbClr val="000000"/>
                            </a:solidFill>
                            <a:prstDash val="solid"/>
                          </a:ln>
                        </wps:spPr>
                        <wps:bodyPr wrap="square" lIns="0" tIns="0" rIns="0" bIns="0" rtlCol="0">
                          <a:prstTxWarp prst="textNoShape">
                            <a:avLst/>
                          </a:prstTxWarp>
                          <a:noAutofit/>
                        </wps:bodyPr>
                      </wps:wsp>
                      <wps:wsp>
                        <wps:cNvPr id="1374" name="Graphic 1374"/>
                        <wps:cNvSpPr/>
                        <wps:spPr>
                          <a:xfrm>
                            <a:off x="1765957" y="0"/>
                            <a:ext cx="50165" cy="50165"/>
                          </a:xfrm>
                          <a:custGeom>
                            <a:avLst/>
                            <a:gdLst/>
                            <a:ahLst/>
                            <a:cxnLst/>
                            <a:rect l="l" t="t" r="r" b="b"/>
                            <a:pathLst>
                              <a:path w="50165" h="50165">
                                <a:moveTo>
                                  <a:pt x="49936" y="0"/>
                                </a:moveTo>
                                <a:lnTo>
                                  <a:pt x="0" y="0"/>
                                </a:lnTo>
                                <a:lnTo>
                                  <a:pt x="0" y="49923"/>
                                </a:lnTo>
                                <a:lnTo>
                                  <a:pt x="49936" y="49923"/>
                                </a:lnTo>
                                <a:lnTo>
                                  <a:pt x="49936" y="0"/>
                                </a:lnTo>
                                <a:close/>
                              </a:path>
                            </a:pathLst>
                          </a:custGeom>
                          <a:solidFill>
                            <a:srgbClr val="0000C0"/>
                          </a:solidFill>
                        </wps:spPr>
                        <wps:bodyPr wrap="square" lIns="0" tIns="0" rIns="0" bIns="0" rtlCol="0">
                          <a:prstTxWarp prst="textNoShape">
                            <a:avLst/>
                          </a:prstTxWarp>
                          <a:noAutofit/>
                        </wps:bodyPr>
                      </wps:wsp>
                      <wps:wsp>
                        <wps:cNvPr id="1375" name="Graphic 1375"/>
                        <wps:cNvSpPr/>
                        <wps:spPr>
                          <a:xfrm>
                            <a:off x="931505" y="49914"/>
                            <a:ext cx="848994" cy="57150"/>
                          </a:xfrm>
                          <a:custGeom>
                            <a:avLst/>
                            <a:gdLst/>
                            <a:ahLst/>
                            <a:cxnLst/>
                            <a:rect l="l" t="t" r="r" b="b"/>
                            <a:pathLst>
                              <a:path w="848994" h="57150">
                                <a:moveTo>
                                  <a:pt x="0" y="0"/>
                                </a:moveTo>
                                <a:lnTo>
                                  <a:pt x="0" y="57061"/>
                                </a:lnTo>
                              </a:path>
                              <a:path w="848994" h="57150">
                                <a:moveTo>
                                  <a:pt x="0" y="28536"/>
                                </a:moveTo>
                                <a:lnTo>
                                  <a:pt x="848715" y="28536"/>
                                </a:lnTo>
                              </a:path>
                            </a:pathLst>
                          </a:custGeom>
                          <a:ln w="8661">
                            <a:solidFill>
                              <a:srgbClr val="000000"/>
                            </a:solidFill>
                            <a:prstDash val="solid"/>
                          </a:ln>
                        </wps:spPr>
                        <wps:bodyPr wrap="square" lIns="0" tIns="0" rIns="0" bIns="0" rtlCol="0">
                          <a:prstTxWarp prst="textNoShape">
                            <a:avLst/>
                          </a:prstTxWarp>
                          <a:noAutofit/>
                        </wps:bodyPr>
                      </wps:wsp>
                      <wps:wsp>
                        <wps:cNvPr id="1376" name="Graphic 1376"/>
                        <wps:cNvSpPr/>
                        <wps:spPr>
                          <a:xfrm>
                            <a:off x="936942" y="115853"/>
                            <a:ext cx="43815" cy="65405"/>
                          </a:xfrm>
                          <a:custGeom>
                            <a:avLst/>
                            <a:gdLst/>
                            <a:ahLst/>
                            <a:cxnLst/>
                            <a:rect l="l" t="t" r="r" b="b"/>
                            <a:pathLst>
                              <a:path w="43815" h="65405">
                                <a:moveTo>
                                  <a:pt x="28130" y="0"/>
                                </a:moveTo>
                                <a:lnTo>
                                  <a:pt x="15151" y="0"/>
                                </a:lnTo>
                                <a:lnTo>
                                  <a:pt x="9918" y="2959"/>
                                </a:lnTo>
                                <a:lnTo>
                                  <a:pt x="1981" y="14833"/>
                                </a:lnTo>
                                <a:lnTo>
                                  <a:pt x="0" y="22682"/>
                                </a:lnTo>
                                <a:lnTo>
                                  <a:pt x="31" y="42214"/>
                                </a:lnTo>
                                <a:lnTo>
                                  <a:pt x="1968" y="49923"/>
                                </a:lnTo>
                                <a:lnTo>
                                  <a:pt x="7762" y="58750"/>
                                </a:lnTo>
                                <a:lnTo>
                                  <a:pt x="9920" y="61975"/>
                                </a:lnTo>
                                <a:lnTo>
                                  <a:pt x="15011" y="64935"/>
                                </a:lnTo>
                                <a:lnTo>
                                  <a:pt x="28054" y="64935"/>
                                </a:lnTo>
                                <a:lnTo>
                                  <a:pt x="33362" y="61975"/>
                                </a:lnTo>
                                <a:lnTo>
                                  <a:pt x="35529" y="58750"/>
                                </a:lnTo>
                                <a:lnTo>
                                  <a:pt x="21475" y="58750"/>
                                </a:lnTo>
                                <a:lnTo>
                                  <a:pt x="15915" y="57104"/>
                                </a:lnTo>
                                <a:lnTo>
                                  <a:pt x="11942" y="52168"/>
                                </a:lnTo>
                                <a:lnTo>
                                  <a:pt x="9558" y="43941"/>
                                </a:lnTo>
                                <a:lnTo>
                                  <a:pt x="8762" y="32423"/>
                                </a:lnTo>
                                <a:lnTo>
                                  <a:pt x="9445" y="22682"/>
                                </a:lnTo>
                                <a:lnTo>
                                  <a:pt x="9567" y="20943"/>
                                </a:lnTo>
                                <a:lnTo>
                                  <a:pt x="11982" y="12739"/>
                                </a:lnTo>
                                <a:lnTo>
                                  <a:pt x="16006" y="7814"/>
                                </a:lnTo>
                                <a:lnTo>
                                  <a:pt x="21640" y="6172"/>
                                </a:lnTo>
                                <a:lnTo>
                                  <a:pt x="35514" y="6172"/>
                                </a:lnTo>
                                <a:lnTo>
                                  <a:pt x="33362" y="2959"/>
                                </a:lnTo>
                                <a:lnTo>
                                  <a:pt x="28130" y="0"/>
                                </a:lnTo>
                                <a:close/>
                              </a:path>
                              <a:path w="43815" h="65405">
                                <a:moveTo>
                                  <a:pt x="43294" y="42214"/>
                                </a:moveTo>
                                <a:lnTo>
                                  <a:pt x="33840" y="42214"/>
                                </a:lnTo>
                                <a:lnTo>
                                  <a:pt x="33729" y="43801"/>
                                </a:lnTo>
                                <a:lnTo>
                                  <a:pt x="31924" y="49923"/>
                                </a:lnTo>
                                <a:lnTo>
                                  <a:pt x="31229" y="52168"/>
                                </a:lnTo>
                                <a:lnTo>
                                  <a:pt x="27142" y="57104"/>
                                </a:lnTo>
                                <a:lnTo>
                                  <a:pt x="21475" y="58750"/>
                                </a:lnTo>
                                <a:lnTo>
                                  <a:pt x="35529" y="58750"/>
                                </a:lnTo>
                                <a:lnTo>
                                  <a:pt x="41313" y="50139"/>
                                </a:lnTo>
                                <a:lnTo>
                                  <a:pt x="43294" y="42214"/>
                                </a:lnTo>
                                <a:close/>
                              </a:path>
                              <a:path w="43815" h="65405">
                                <a:moveTo>
                                  <a:pt x="35514" y="6172"/>
                                </a:moveTo>
                                <a:lnTo>
                                  <a:pt x="21640" y="6172"/>
                                </a:lnTo>
                                <a:lnTo>
                                  <a:pt x="27297" y="7814"/>
                                </a:lnTo>
                                <a:lnTo>
                                  <a:pt x="31335" y="12739"/>
                                </a:lnTo>
                                <a:lnTo>
                                  <a:pt x="33736" y="20804"/>
                                </a:lnTo>
                                <a:lnTo>
                                  <a:pt x="34543" y="32181"/>
                                </a:lnTo>
                                <a:lnTo>
                                  <a:pt x="33849" y="42087"/>
                                </a:lnTo>
                                <a:lnTo>
                                  <a:pt x="43294" y="42087"/>
                                </a:lnTo>
                                <a:lnTo>
                                  <a:pt x="43294" y="22682"/>
                                </a:lnTo>
                                <a:lnTo>
                                  <a:pt x="41313" y="14833"/>
                                </a:lnTo>
                                <a:lnTo>
                                  <a:pt x="35514" y="6172"/>
                                </a:lnTo>
                                <a:close/>
                              </a:path>
                            </a:pathLst>
                          </a:custGeom>
                          <a:solidFill>
                            <a:srgbClr val="000000"/>
                          </a:solidFill>
                        </wps:spPr>
                        <wps:bodyPr wrap="square" lIns="0" tIns="0" rIns="0" bIns="0" rtlCol="0">
                          <a:prstTxWarp prst="textNoShape">
                            <a:avLst/>
                          </a:prstTxWarp>
                          <a:noAutofit/>
                        </wps:bodyPr>
                      </wps:wsp>
                      <wps:wsp>
                        <wps:cNvPr id="1377" name="Graphic 1377"/>
                        <wps:cNvSpPr/>
                        <wps:spPr>
                          <a:xfrm>
                            <a:off x="1101243" y="49914"/>
                            <a:ext cx="1270" cy="57150"/>
                          </a:xfrm>
                          <a:custGeom>
                            <a:avLst/>
                            <a:gdLst/>
                            <a:ahLst/>
                            <a:cxnLst/>
                            <a:rect l="l" t="t" r="r" b="b"/>
                            <a:pathLst>
                              <a:path h="57150">
                                <a:moveTo>
                                  <a:pt x="0" y="0"/>
                                </a:moveTo>
                                <a:lnTo>
                                  <a:pt x="0" y="57061"/>
                                </a:lnTo>
                              </a:path>
                            </a:pathLst>
                          </a:custGeom>
                          <a:ln w="8661">
                            <a:solidFill>
                              <a:srgbClr val="000000"/>
                            </a:solidFill>
                            <a:prstDash val="solid"/>
                          </a:ln>
                        </wps:spPr>
                        <wps:bodyPr wrap="square" lIns="0" tIns="0" rIns="0" bIns="0" rtlCol="0">
                          <a:prstTxWarp prst="textNoShape">
                            <a:avLst/>
                          </a:prstTxWarp>
                          <a:noAutofit/>
                        </wps:bodyPr>
                      </wps:wsp>
                      <wps:wsp>
                        <wps:cNvPr id="1378" name="Graphic 1378"/>
                        <wps:cNvSpPr/>
                        <wps:spPr>
                          <a:xfrm>
                            <a:off x="1039026" y="115848"/>
                            <a:ext cx="120014" cy="65405"/>
                          </a:xfrm>
                          <a:custGeom>
                            <a:avLst/>
                            <a:gdLst/>
                            <a:ahLst/>
                            <a:cxnLst/>
                            <a:rect l="l" t="t" r="r" b="b"/>
                            <a:pathLst>
                              <a:path w="120014" h="65405">
                                <a:moveTo>
                                  <a:pt x="116404" y="6184"/>
                                </a:moveTo>
                                <a:lnTo>
                                  <a:pt x="103212" y="6184"/>
                                </a:lnTo>
                                <a:lnTo>
                                  <a:pt x="106044" y="7175"/>
                                </a:lnTo>
                                <a:lnTo>
                                  <a:pt x="110207" y="11163"/>
                                </a:lnTo>
                                <a:lnTo>
                                  <a:pt x="111239" y="13855"/>
                                </a:lnTo>
                                <a:lnTo>
                                  <a:pt x="111239" y="22707"/>
                                </a:lnTo>
                                <a:lnTo>
                                  <a:pt x="108203" y="28155"/>
                                </a:lnTo>
                                <a:lnTo>
                                  <a:pt x="102133" y="33642"/>
                                </a:lnTo>
                                <a:lnTo>
                                  <a:pt x="97408" y="37858"/>
                                </a:lnTo>
                                <a:lnTo>
                                  <a:pt x="90106" y="44462"/>
                                </a:lnTo>
                                <a:lnTo>
                                  <a:pt x="85255" y="50571"/>
                                </a:lnTo>
                                <a:lnTo>
                                  <a:pt x="82867" y="56159"/>
                                </a:lnTo>
                                <a:lnTo>
                                  <a:pt x="82867" y="63398"/>
                                </a:lnTo>
                                <a:lnTo>
                                  <a:pt x="119672" y="63398"/>
                                </a:lnTo>
                                <a:lnTo>
                                  <a:pt x="119672" y="56159"/>
                                </a:lnTo>
                                <a:lnTo>
                                  <a:pt x="92811" y="56159"/>
                                </a:lnTo>
                                <a:lnTo>
                                  <a:pt x="93840" y="51066"/>
                                </a:lnTo>
                                <a:lnTo>
                                  <a:pt x="97662" y="45707"/>
                                </a:lnTo>
                                <a:lnTo>
                                  <a:pt x="112255" y="33299"/>
                                </a:lnTo>
                                <a:lnTo>
                                  <a:pt x="115544" y="29819"/>
                                </a:lnTo>
                                <a:lnTo>
                                  <a:pt x="119100" y="24079"/>
                                </a:lnTo>
                                <a:lnTo>
                                  <a:pt x="119976" y="20802"/>
                                </a:lnTo>
                                <a:lnTo>
                                  <a:pt x="119976" y="11938"/>
                                </a:lnTo>
                                <a:lnTo>
                                  <a:pt x="118240" y="7835"/>
                                </a:lnTo>
                                <a:lnTo>
                                  <a:pt x="116404" y="6184"/>
                                </a:lnTo>
                                <a:close/>
                              </a:path>
                              <a:path w="120014" h="65405">
                                <a:moveTo>
                                  <a:pt x="106540" y="0"/>
                                </a:moveTo>
                                <a:lnTo>
                                  <a:pt x="95338" y="0"/>
                                </a:lnTo>
                                <a:lnTo>
                                  <a:pt x="89903" y="1295"/>
                                </a:lnTo>
                                <a:lnTo>
                                  <a:pt x="84416" y="3886"/>
                                </a:lnTo>
                                <a:lnTo>
                                  <a:pt x="84416" y="11163"/>
                                </a:lnTo>
                                <a:lnTo>
                                  <a:pt x="90233" y="7835"/>
                                </a:lnTo>
                                <a:lnTo>
                                  <a:pt x="95300" y="6184"/>
                                </a:lnTo>
                                <a:lnTo>
                                  <a:pt x="116404" y="6184"/>
                                </a:lnTo>
                                <a:lnTo>
                                  <a:pt x="111188" y="1562"/>
                                </a:lnTo>
                                <a:lnTo>
                                  <a:pt x="106540" y="0"/>
                                </a:lnTo>
                                <a:close/>
                              </a:path>
                              <a:path w="120014" h="65405">
                                <a:moveTo>
                                  <a:pt x="67360" y="53073"/>
                                </a:moveTo>
                                <a:lnTo>
                                  <a:pt x="57048" y="53073"/>
                                </a:lnTo>
                                <a:lnTo>
                                  <a:pt x="57048" y="63398"/>
                                </a:lnTo>
                                <a:lnTo>
                                  <a:pt x="67360" y="63398"/>
                                </a:lnTo>
                                <a:lnTo>
                                  <a:pt x="67360" y="53073"/>
                                </a:lnTo>
                                <a:close/>
                              </a:path>
                              <a:path w="120014" h="65405">
                                <a:moveTo>
                                  <a:pt x="28130" y="0"/>
                                </a:moveTo>
                                <a:lnTo>
                                  <a:pt x="15151" y="0"/>
                                </a:lnTo>
                                <a:lnTo>
                                  <a:pt x="9918" y="2971"/>
                                </a:lnTo>
                                <a:lnTo>
                                  <a:pt x="1981" y="14833"/>
                                </a:lnTo>
                                <a:lnTo>
                                  <a:pt x="0" y="22682"/>
                                </a:lnTo>
                                <a:lnTo>
                                  <a:pt x="35" y="42227"/>
                                </a:lnTo>
                                <a:lnTo>
                                  <a:pt x="1968" y="49923"/>
                                </a:lnTo>
                                <a:lnTo>
                                  <a:pt x="7762" y="58750"/>
                                </a:lnTo>
                                <a:lnTo>
                                  <a:pt x="9942" y="61988"/>
                                </a:lnTo>
                                <a:lnTo>
                                  <a:pt x="15011" y="64947"/>
                                </a:lnTo>
                                <a:lnTo>
                                  <a:pt x="28054" y="64947"/>
                                </a:lnTo>
                                <a:lnTo>
                                  <a:pt x="33375" y="61988"/>
                                </a:lnTo>
                                <a:lnTo>
                                  <a:pt x="35545" y="58750"/>
                                </a:lnTo>
                                <a:lnTo>
                                  <a:pt x="21475" y="58750"/>
                                </a:lnTo>
                                <a:lnTo>
                                  <a:pt x="15917" y="57104"/>
                                </a:lnTo>
                                <a:lnTo>
                                  <a:pt x="11949" y="52170"/>
                                </a:lnTo>
                                <a:lnTo>
                                  <a:pt x="9568" y="43946"/>
                                </a:lnTo>
                                <a:lnTo>
                                  <a:pt x="8775" y="32435"/>
                                </a:lnTo>
                                <a:lnTo>
                                  <a:pt x="9459" y="22682"/>
                                </a:lnTo>
                                <a:lnTo>
                                  <a:pt x="9580" y="20951"/>
                                </a:lnTo>
                                <a:lnTo>
                                  <a:pt x="11995" y="12747"/>
                                </a:lnTo>
                                <a:lnTo>
                                  <a:pt x="16019" y="7825"/>
                                </a:lnTo>
                                <a:lnTo>
                                  <a:pt x="21653" y="6184"/>
                                </a:lnTo>
                                <a:lnTo>
                                  <a:pt x="35525" y="6184"/>
                                </a:lnTo>
                                <a:lnTo>
                                  <a:pt x="33375" y="2971"/>
                                </a:lnTo>
                                <a:lnTo>
                                  <a:pt x="28130" y="0"/>
                                </a:lnTo>
                                <a:close/>
                              </a:path>
                              <a:path w="120014" h="65405">
                                <a:moveTo>
                                  <a:pt x="35525" y="6184"/>
                                </a:moveTo>
                                <a:lnTo>
                                  <a:pt x="21653" y="6184"/>
                                </a:lnTo>
                                <a:lnTo>
                                  <a:pt x="27310" y="7825"/>
                                </a:lnTo>
                                <a:lnTo>
                                  <a:pt x="31348" y="12747"/>
                                </a:lnTo>
                                <a:lnTo>
                                  <a:pt x="33749" y="20806"/>
                                </a:lnTo>
                                <a:lnTo>
                                  <a:pt x="34556" y="32181"/>
                                </a:lnTo>
                                <a:lnTo>
                                  <a:pt x="33860" y="42087"/>
                                </a:lnTo>
                                <a:lnTo>
                                  <a:pt x="21475" y="58750"/>
                                </a:lnTo>
                                <a:lnTo>
                                  <a:pt x="35545" y="58750"/>
                                </a:lnTo>
                                <a:lnTo>
                                  <a:pt x="41313" y="50139"/>
                                </a:lnTo>
                                <a:lnTo>
                                  <a:pt x="43294" y="42227"/>
                                </a:lnTo>
                                <a:lnTo>
                                  <a:pt x="43294" y="22682"/>
                                </a:lnTo>
                                <a:lnTo>
                                  <a:pt x="41313" y="14833"/>
                                </a:lnTo>
                                <a:lnTo>
                                  <a:pt x="35525" y="6184"/>
                                </a:lnTo>
                                <a:close/>
                              </a:path>
                            </a:pathLst>
                          </a:custGeom>
                          <a:solidFill>
                            <a:srgbClr val="000000"/>
                          </a:solidFill>
                        </wps:spPr>
                        <wps:bodyPr wrap="square" lIns="0" tIns="0" rIns="0" bIns="0" rtlCol="0">
                          <a:prstTxWarp prst="textNoShape">
                            <a:avLst/>
                          </a:prstTxWarp>
                          <a:noAutofit/>
                        </wps:bodyPr>
                      </wps:wsp>
                      <wps:wsp>
                        <wps:cNvPr id="1379" name="Graphic 1379"/>
                        <wps:cNvSpPr/>
                        <wps:spPr>
                          <a:xfrm>
                            <a:off x="1270994" y="49914"/>
                            <a:ext cx="1270" cy="57150"/>
                          </a:xfrm>
                          <a:custGeom>
                            <a:avLst/>
                            <a:gdLst/>
                            <a:ahLst/>
                            <a:cxnLst/>
                            <a:rect l="l" t="t" r="r" b="b"/>
                            <a:pathLst>
                              <a:path h="57150">
                                <a:moveTo>
                                  <a:pt x="0" y="0"/>
                                </a:moveTo>
                                <a:lnTo>
                                  <a:pt x="0" y="57061"/>
                                </a:lnTo>
                              </a:path>
                            </a:pathLst>
                          </a:custGeom>
                          <a:ln w="8661">
                            <a:solidFill>
                              <a:srgbClr val="000000"/>
                            </a:solidFill>
                            <a:prstDash val="solid"/>
                          </a:ln>
                        </wps:spPr>
                        <wps:bodyPr wrap="square" lIns="0" tIns="0" rIns="0" bIns="0" rtlCol="0">
                          <a:prstTxWarp prst="textNoShape">
                            <a:avLst/>
                          </a:prstTxWarp>
                          <a:noAutofit/>
                        </wps:bodyPr>
                      </wps:wsp>
                      <wps:wsp>
                        <wps:cNvPr id="1380" name="Graphic 1380"/>
                        <wps:cNvSpPr/>
                        <wps:spPr>
                          <a:xfrm>
                            <a:off x="1208777" y="115845"/>
                            <a:ext cx="124460" cy="65405"/>
                          </a:xfrm>
                          <a:custGeom>
                            <a:avLst/>
                            <a:gdLst/>
                            <a:ahLst/>
                            <a:cxnLst/>
                            <a:rect l="l" t="t" r="r" b="b"/>
                            <a:pathLst>
                              <a:path w="124460" h="65405">
                                <a:moveTo>
                                  <a:pt x="115709" y="45885"/>
                                </a:moveTo>
                                <a:lnTo>
                                  <a:pt x="107975" y="45885"/>
                                </a:lnTo>
                                <a:lnTo>
                                  <a:pt x="107975" y="63398"/>
                                </a:lnTo>
                                <a:lnTo>
                                  <a:pt x="115709" y="63398"/>
                                </a:lnTo>
                                <a:lnTo>
                                  <a:pt x="115709" y="45885"/>
                                </a:lnTo>
                                <a:close/>
                              </a:path>
                              <a:path w="124460" h="65405">
                                <a:moveTo>
                                  <a:pt x="115709" y="1549"/>
                                </a:moveTo>
                                <a:lnTo>
                                  <a:pt x="107975" y="1549"/>
                                </a:lnTo>
                                <a:lnTo>
                                  <a:pt x="80137" y="39662"/>
                                </a:lnTo>
                                <a:lnTo>
                                  <a:pt x="80137" y="45885"/>
                                </a:lnTo>
                                <a:lnTo>
                                  <a:pt x="123977" y="45885"/>
                                </a:lnTo>
                                <a:lnTo>
                                  <a:pt x="123977" y="39154"/>
                                </a:lnTo>
                                <a:lnTo>
                                  <a:pt x="88214" y="39154"/>
                                </a:lnTo>
                                <a:lnTo>
                                  <a:pt x="108521" y="11658"/>
                                </a:lnTo>
                                <a:lnTo>
                                  <a:pt x="115709" y="11658"/>
                                </a:lnTo>
                                <a:lnTo>
                                  <a:pt x="115709" y="1549"/>
                                </a:lnTo>
                                <a:close/>
                              </a:path>
                              <a:path w="124460" h="65405">
                                <a:moveTo>
                                  <a:pt x="115709" y="11658"/>
                                </a:moveTo>
                                <a:lnTo>
                                  <a:pt x="108521" y="11658"/>
                                </a:lnTo>
                                <a:lnTo>
                                  <a:pt x="108521" y="39154"/>
                                </a:lnTo>
                                <a:lnTo>
                                  <a:pt x="115709" y="39154"/>
                                </a:lnTo>
                                <a:lnTo>
                                  <a:pt x="115709" y="11658"/>
                                </a:lnTo>
                                <a:close/>
                              </a:path>
                              <a:path w="124460" h="65405">
                                <a:moveTo>
                                  <a:pt x="67348" y="53073"/>
                                </a:moveTo>
                                <a:lnTo>
                                  <a:pt x="57035" y="53073"/>
                                </a:lnTo>
                                <a:lnTo>
                                  <a:pt x="57035" y="63398"/>
                                </a:lnTo>
                                <a:lnTo>
                                  <a:pt x="67348" y="63398"/>
                                </a:lnTo>
                                <a:lnTo>
                                  <a:pt x="67348" y="53073"/>
                                </a:lnTo>
                                <a:close/>
                              </a:path>
                              <a:path w="124460" h="65405">
                                <a:moveTo>
                                  <a:pt x="28130" y="0"/>
                                </a:moveTo>
                                <a:lnTo>
                                  <a:pt x="15151" y="0"/>
                                </a:lnTo>
                                <a:lnTo>
                                  <a:pt x="9918" y="2971"/>
                                </a:lnTo>
                                <a:lnTo>
                                  <a:pt x="1981" y="14833"/>
                                </a:lnTo>
                                <a:lnTo>
                                  <a:pt x="0" y="22682"/>
                                </a:lnTo>
                                <a:lnTo>
                                  <a:pt x="35" y="42227"/>
                                </a:lnTo>
                                <a:lnTo>
                                  <a:pt x="1968" y="49936"/>
                                </a:lnTo>
                                <a:lnTo>
                                  <a:pt x="7751" y="58750"/>
                                </a:lnTo>
                                <a:lnTo>
                                  <a:pt x="9929" y="61988"/>
                                </a:lnTo>
                                <a:lnTo>
                                  <a:pt x="14998" y="64947"/>
                                </a:lnTo>
                                <a:lnTo>
                                  <a:pt x="28054" y="64947"/>
                                </a:lnTo>
                                <a:lnTo>
                                  <a:pt x="33362" y="61988"/>
                                </a:lnTo>
                                <a:lnTo>
                                  <a:pt x="35532" y="58750"/>
                                </a:lnTo>
                                <a:lnTo>
                                  <a:pt x="21475" y="58750"/>
                                </a:lnTo>
                                <a:lnTo>
                                  <a:pt x="15915" y="57106"/>
                                </a:lnTo>
                                <a:lnTo>
                                  <a:pt x="11942" y="52174"/>
                                </a:lnTo>
                                <a:lnTo>
                                  <a:pt x="9558" y="43951"/>
                                </a:lnTo>
                                <a:lnTo>
                                  <a:pt x="8763" y="32435"/>
                                </a:lnTo>
                                <a:lnTo>
                                  <a:pt x="9446" y="22682"/>
                                </a:lnTo>
                                <a:lnTo>
                                  <a:pt x="9567" y="20951"/>
                                </a:lnTo>
                                <a:lnTo>
                                  <a:pt x="11982" y="12747"/>
                                </a:lnTo>
                                <a:lnTo>
                                  <a:pt x="16006" y="7825"/>
                                </a:lnTo>
                                <a:lnTo>
                                  <a:pt x="21640" y="6184"/>
                                </a:lnTo>
                                <a:lnTo>
                                  <a:pt x="35512" y="6184"/>
                                </a:lnTo>
                                <a:lnTo>
                                  <a:pt x="33362" y="2971"/>
                                </a:lnTo>
                                <a:lnTo>
                                  <a:pt x="28130" y="0"/>
                                </a:lnTo>
                                <a:close/>
                              </a:path>
                              <a:path w="124460" h="65405">
                                <a:moveTo>
                                  <a:pt x="35512" y="6184"/>
                                </a:moveTo>
                                <a:lnTo>
                                  <a:pt x="21640" y="6184"/>
                                </a:lnTo>
                                <a:lnTo>
                                  <a:pt x="27303" y="7825"/>
                                </a:lnTo>
                                <a:lnTo>
                                  <a:pt x="31340" y="12747"/>
                                </a:lnTo>
                                <a:lnTo>
                                  <a:pt x="33738" y="20806"/>
                                </a:lnTo>
                                <a:lnTo>
                                  <a:pt x="34544" y="32181"/>
                                </a:lnTo>
                                <a:lnTo>
                                  <a:pt x="33849" y="42087"/>
                                </a:lnTo>
                                <a:lnTo>
                                  <a:pt x="21475" y="58750"/>
                                </a:lnTo>
                                <a:lnTo>
                                  <a:pt x="35532" y="58750"/>
                                </a:lnTo>
                                <a:lnTo>
                                  <a:pt x="41300" y="50139"/>
                                </a:lnTo>
                                <a:lnTo>
                                  <a:pt x="43281" y="42227"/>
                                </a:lnTo>
                                <a:lnTo>
                                  <a:pt x="43281" y="22682"/>
                                </a:lnTo>
                                <a:lnTo>
                                  <a:pt x="41300" y="14833"/>
                                </a:lnTo>
                                <a:lnTo>
                                  <a:pt x="35512" y="6184"/>
                                </a:lnTo>
                                <a:close/>
                              </a:path>
                            </a:pathLst>
                          </a:custGeom>
                          <a:solidFill>
                            <a:srgbClr val="000000"/>
                          </a:solidFill>
                        </wps:spPr>
                        <wps:bodyPr wrap="square" lIns="0" tIns="0" rIns="0" bIns="0" rtlCol="0">
                          <a:prstTxWarp prst="textNoShape">
                            <a:avLst/>
                          </a:prstTxWarp>
                          <a:noAutofit/>
                        </wps:bodyPr>
                      </wps:wsp>
                      <wps:wsp>
                        <wps:cNvPr id="1381" name="Graphic 1381"/>
                        <wps:cNvSpPr/>
                        <wps:spPr>
                          <a:xfrm>
                            <a:off x="1440733" y="49914"/>
                            <a:ext cx="1270" cy="57150"/>
                          </a:xfrm>
                          <a:custGeom>
                            <a:avLst/>
                            <a:gdLst/>
                            <a:ahLst/>
                            <a:cxnLst/>
                            <a:rect l="l" t="t" r="r" b="b"/>
                            <a:pathLst>
                              <a:path h="57150">
                                <a:moveTo>
                                  <a:pt x="0" y="0"/>
                                </a:moveTo>
                                <a:lnTo>
                                  <a:pt x="0" y="57061"/>
                                </a:lnTo>
                              </a:path>
                            </a:pathLst>
                          </a:custGeom>
                          <a:ln w="8661">
                            <a:solidFill>
                              <a:srgbClr val="000000"/>
                            </a:solidFill>
                            <a:prstDash val="solid"/>
                          </a:ln>
                        </wps:spPr>
                        <wps:bodyPr wrap="square" lIns="0" tIns="0" rIns="0" bIns="0" rtlCol="0">
                          <a:prstTxWarp prst="textNoShape">
                            <a:avLst/>
                          </a:prstTxWarp>
                          <a:noAutofit/>
                        </wps:bodyPr>
                      </wps:wsp>
                      <wps:wsp>
                        <wps:cNvPr id="1382" name="Graphic 1382"/>
                        <wps:cNvSpPr/>
                        <wps:spPr>
                          <a:xfrm>
                            <a:off x="1378507" y="115808"/>
                            <a:ext cx="123825" cy="65405"/>
                          </a:xfrm>
                          <a:custGeom>
                            <a:avLst/>
                            <a:gdLst/>
                            <a:ahLst/>
                            <a:cxnLst/>
                            <a:rect l="l" t="t" r="r" b="b"/>
                            <a:pathLst>
                              <a:path w="123825" h="65405">
                                <a:moveTo>
                                  <a:pt x="110451" y="0"/>
                                </a:moveTo>
                                <a:lnTo>
                                  <a:pt x="98755" y="0"/>
                                </a:lnTo>
                                <a:lnTo>
                                  <a:pt x="92532" y="2959"/>
                                </a:lnTo>
                                <a:lnTo>
                                  <a:pt x="81662" y="30835"/>
                                </a:lnTo>
                                <a:lnTo>
                                  <a:pt x="81561" y="32677"/>
                                </a:lnTo>
                                <a:lnTo>
                                  <a:pt x="96443" y="64985"/>
                                </a:lnTo>
                                <a:lnTo>
                                  <a:pt x="109207" y="64985"/>
                                </a:lnTo>
                                <a:lnTo>
                                  <a:pt x="114096" y="62915"/>
                                </a:lnTo>
                                <a:lnTo>
                                  <a:pt x="117933" y="58788"/>
                                </a:lnTo>
                                <a:lnTo>
                                  <a:pt x="99923" y="58788"/>
                                </a:lnTo>
                                <a:lnTo>
                                  <a:pt x="96761" y="57226"/>
                                </a:lnTo>
                                <a:lnTo>
                                  <a:pt x="91998" y="50965"/>
                                </a:lnTo>
                                <a:lnTo>
                                  <a:pt x="90817" y="46812"/>
                                </a:lnTo>
                                <a:lnTo>
                                  <a:pt x="90817" y="38328"/>
                                </a:lnTo>
                                <a:lnTo>
                                  <a:pt x="92062" y="35521"/>
                                </a:lnTo>
                                <a:lnTo>
                                  <a:pt x="96505" y="31381"/>
                                </a:lnTo>
                                <a:lnTo>
                                  <a:pt x="90474" y="31381"/>
                                </a:lnTo>
                                <a:lnTo>
                                  <a:pt x="91462" y="20354"/>
                                </a:lnTo>
                                <a:lnTo>
                                  <a:pt x="94426" y="12476"/>
                                </a:lnTo>
                                <a:lnTo>
                                  <a:pt x="99363" y="7748"/>
                                </a:lnTo>
                                <a:lnTo>
                                  <a:pt x="106273" y="6172"/>
                                </a:lnTo>
                                <a:lnTo>
                                  <a:pt x="120561" y="6172"/>
                                </a:lnTo>
                                <a:lnTo>
                                  <a:pt x="120561" y="2336"/>
                                </a:lnTo>
                                <a:lnTo>
                                  <a:pt x="115049" y="787"/>
                                </a:lnTo>
                                <a:lnTo>
                                  <a:pt x="110451" y="0"/>
                                </a:lnTo>
                                <a:close/>
                              </a:path>
                              <a:path w="123825" h="65405">
                                <a:moveTo>
                                  <a:pt x="119120" y="29667"/>
                                </a:moveTo>
                                <a:lnTo>
                                  <a:pt x="107289" y="29667"/>
                                </a:lnTo>
                                <a:lnTo>
                                  <a:pt x="110210" y="31000"/>
                                </a:lnTo>
                                <a:lnTo>
                                  <a:pt x="114414" y="36360"/>
                                </a:lnTo>
                                <a:lnTo>
                                  <a:pt x="115468" y="40030"/>
                                </a:lnTo>
                                <a:lnTo>
                                  <a:pt x="115374" y="49301"/>
                                </a:lnTo>
                                <a:lnTo>
                                  <a:pt x="114414" y="52425"/>
                                </a:lnTo>
                                <a:lnTo>
                                  <a:pt x="110210" y="57518"/>
                                </a:lnTo>
                                <a:lnTo>
                                  <a:pt x="107391" y="58788"/>
                                </a:lnTo>
                                <a:lnTo>
                                  <a:pt x="117933" y="58788"/>
                                </a:lnTo>
                                <a:lnTo>
                                  <a:pt x="121818" y="54610"/>
                                </a:lnTo>
                                <a:lnTo>
                                  <a:pt x="123736" y="49301"/>
                                </a:lnTo>
                                <a:lnTo>
                                  <a:pt x="123736" y="37274"/>
                                </a:lnTo>
                                <a:lnTo>
                                  <a:pt x="122034" y="32677"/>
                                </a:lnTo>
                                <a:lnTo>
                                  <a:pt x="119120" y="29667"/>
                                </a:lnTo>
                                <a:close/>
                              </a:path>
                              <a:path w="123825" h="65405">
                                <a:moveTo>
                                  <a:pt x="110718" y="23736"/>
                                </a:moveTo>
                                <a:lnTo>
                                  <a:pt x="99352" y="23736"/>
                                </a:lnTo>
                                <a:lnTo>
                                  <a:pt x="94409" y="26292"/>
                                </a:lnTo>
                                <a:lnTo>
                                  <a:pt x="90474" y="31381"/>
                                </a:lnTo>
                                <a:lnTo>
                                  <a:pt x="96505" y="31381"/>
                                </a:lnTo>
                                <a:lnTo>
                                  <a:pt x="97091" y="30835"/>
                                </a:lnTo>
                                <a:lnTo>
                                  <a:pt x="100075" y="29667"/>
                                </a:lnTo>
                                <a:lnTo>
                                  <a:pt x="119120" y="29667"/>
                                </a:lnTo>
                                <a:lnTo>
                                  <a:pt x="115150" y="25527"/>
                                </a:lnTo>
                                <a:lnTo>
                                  <a:pt x="110718" y="23736"/>
                                </a:lnTo>
                                <a:close/>
                              </a:path>
                              <a:path w="123825" h="65405">
                                <a:moveTo>
                                  <a:pt x="120561" y="6172"/>
                                </a:moveTo>
                                <a:lnTo>
                                  <a:pt x="109981" y="6172"/>
                                </a:lnTo>
                                <a:lnTo>
                                  <a:pt x="114744" y="7302"/>
                                </a:lnTo>
                                <a:lnTo>
                                  <a:pt x="120561" y="9525"/>
                                </a:lnTo>
                                <a:lnTo>
                                  <a:pt x="120561" y="6172"/>
                                </a:lnTo>
                                <a:close/>
                              </a:path>
                              <a:path w="123825" h="65405">
                                <a:moveTo>
                                  <a:pt x="67360" y="53111"/>
                                </a:moveTo>
                                <a:lnTo>
                                  <a:pt x="57048" y="53111"/>
                                </a:lnTo>
                                <a:lnTo>
                                  <a:pt x="57048" y="63436"/>
                                </a:lnTo>
                                <a:lnTo>
                                  <a:pt x="67360" y="63436"/>
                                </a:lnTo>
                                <a:lnTo>
                                  <a:pt x="67360" y="53111"/>
                                </a:lnTo>
                                <a:close/>
                              </a:path>
                              <a:path w="123825" h="65405">
                                <a:moveTo>
                                  <a:pt x="28143" y="38"/>
                                </a:moveTo>
                                <a:lnTo>
                                  <a:pt x="15163" y="38"/>
                                </a:lnTo>
                                <a:lnTo>
                                  <a:pt x="9918" y="3009"/>
                                </a:lnTo>
                                <a:lnTo>
                                  <a:pt x="1981" y="14871"/>
                                </a:lnTo>
                                <a:lnTo>
                                  <a:pt x="0" y="22720"/>
                                </a:lnTo>
                                <a:lnTo>
                                  <a:pt x="35" y="42265"/>
                                </a:lnTo>
                                <a:lnTo>
                                  <a:pt x="1968" y="49974"/>
                                </a:lnTo>
                                <a:lnTo>
                                  <a:pt x="7769" y="58788"/>
                                </a:lnTo>
                                <a:lnTo>
                                  <a:pt x="9954" y="62026"/>
                                </a:lnTo>
                                <a:lnTo>
                                  <a:pt x="15024" y="64985"/>
                                </a:lnTo>
                                <a:lnTo>
                                  <a:pt x="28054" y="64985"/>
                                </a:lnTo>
                                <a:lnTo>
                                  <a:pt x="33375" y="62026"/>
                                </a:lnTo>
                                <a:lnTo>
                                  <a:pt x="35545" y="58788"/>
                                </a:lnTo>
                                <a:lnTo>
                                  <a:pt x="21488" y="58788"/>
                                </a:lnTo>
                                <a:lnTo>
                                  <a:pt x="15930" y="57143"/>
                                </a:lnTo>
                                <a:lnTo>
                                  <a:pt x="11961" y="52208"/>
                                </a:lnTo>
                                <a:lnTo>
                                  <a:pt x="9581" y="43984"/>
                                </a:lnTo>
                                <a:lnTo>
                                  <a:pt x="8788" y="32473"/>
                                </a:lnTo>
                                <a:lnTo>
                                  <a:pt x="9470" y="22720"/>
                                </a:lnTo>
                                <a:lnTo>
                                  <a:pt x="9591" y="20989"/>
                                </a:lnTo>
                                <a:lnTo>
                                  <a:pt x="12001" y="12785"/>
                                </a:lnTo>
                                <a:lnTo>
                                  <a:pt x="16021" y="7863"/>
                                </a:lnTo>
                                <a:lnTo>
                                  <a:pt x="21653" y="6223"/>
                                </a:lnTo>
                                <a:lnTo>
                                  <a:pt x="35525" y="6223"/>
                                </a:lnTo>
                                <a:lnTo>
                                  <a:pt x="33375" y="3009"/>
                                </a:lnTo>
                                <a:lnTo>
                                  <a:pt x="28143" y="38"/>
                                </a:lnTo>
                                <a:close/>
                              </a:path>
                              <a:path w="123825" h="65405">
                                <a:moveTo>
                                  <a:pt x="35525" y="6223"/>
                                </a:moveTo>
                                <a:lnTo>
                                  <a:pt x="21653" y="6223"/>
                                </a:lnTo>
                                <a:lnTo>
                                  <a:pt x="27317" y="7863"/>
                                </a:lnTo>
                                <a:lnTo>
                                  <a:pt x="31359" y="12785"/>
                                </a:lnTo>
                                <a:lnTo>
                                  <a:pt x="33762" y="20844"/>
                                </a:lnTo>
                                <a:lnTo>
                                  <a:pt x="34569" y="32219"/>
                                </a:lnTo>
                                <a:lnTo>
                                  <a:pt x="33871" y="42125"/>
                                </a:lnTo>
                                <a:lnTo>
                                  <a:pt x="21488" y="58788"/>
                                </a:lnTo>
                                <a:lnTo>
                                  <a:pt x="35545" y="58788"/>
                                </a:lnTo>
                                <a:lnTo>
                                  <a:pt x="41313" y="50177"/>
                                </a:lnTo>
                                <a:lnTo>
                                  <a:pt x="43294" y="42265"/>
                                </a:lnTo>
                                <a:lnTo>
                                  <a:pt x="43294" y="22720"/>
                                </a:lnTo>
                                <a:lnTo>
                                  <a:pt x="41313" y="14871"/>
                                </a:lnTo>
                                <a:lnTo>
                                  <a:pt x="35525" y="6223"/>
                                </a:lnTo>
                                <a:close/>
                              </a:path>
                            </a:pathLst>
                          </a:custGeom>
                          <a:solidFill>
                            <a:srgbClr val="000000"/>
                          </a:solidFill>
                        </wps:spPr>
                        <wps:bodyPr wrap="square" lIns="0" tIns="0" rIns="0" bIns="0" rtlCol="0">
                          <a:prstTxWarp prst="textNoShape">
                            <a:avLst/>
                          </a:prstTxWarp>
                          <a:noAutofit/>
                        </wps:bodyPr>
                      </wps:wsp>
                      <wps:wsp>
                        <wps:cNvPr id="1383" name="Graphic 1383"/>
                        <wps:cNvSpPr/>
                        <wps:spPr>
                          <a:xfrm>
                            <a:off x="1610484" y="49914"/>
                            <a:ext cx="1270" cy="57150"/>
                          </a:xfrm>
                          <a:custGeom>
                            <a:avLst/>
                            <a:gdLst/>
                            <a:ahLst/>
                            <a:cxnLst/>
                            <a:rect l="l" t="t" r="r" b="b"/>
                            <a:pathLst>
                              <a:path h="57150">
                                <a:moveTo>
                                  <a:pt x="0" y="0"/>
                                </a:moveTo>
                                <a:lnTo>
                                  <a:pt x="0" y="57061"/>
                                </a:lnTo>
                              </a:path>
                            </a:pathLst>
                          </a:custGeom>
                          <a:ln w="8661">
                            <a:solidFill>
                              <a:srgbClr val="000000"/>
                            </a:solidFill>
                            <a:prstDash val="solid"/>
                          </a:ln>
                        </wps:spPr>
                        <wps:bodyPr wrap="square" lIns="0" tIns="0" rIns="0" bIns="0" rtlCol="0">
                          <a:prstTxWarp prst="textNoShape">
                            <a:avLst/>
                          </a:prstTxWarp>
                          <a:noAutofit/>
                        </wps:bodyPr>
                      </wps:wsp>
                      <wps:wsp>
                        <wps:cNvPr id="1384" name="Graphic 1384"/>
                        <wps:cNvSpPr/>
                        <wps:spPr>
                          <a:xfrm>
                            <a:off x="1548263" y="115807"/>
                            <a:ext cx="125095" cy="65405"/>
                          </a:xfrm>
                          <a:custGeom>
                            <a:avLst/>
                            <a:gdLst/>
                            <a:ahLst/>
                            <a:cxnLst/>
                            <a:rect l="l" t="t" r="r" b="b"/>
                            <a:pathLst>
                              <a:path w="125095" h="65405">
                                <a:moveTo>
                                  <a:pt x="110020" y="0"/>
                                </a:moveTo>
                                <a:lnTo>
                                  <a:pt x="99415" y="0"/>
                                </a:lnTo>
                                <a:lnTo>
                                  <a:pt x="94932" y="1460"/>
                                </a:lnTo>
                                <a:lnTo>
                                  <a:pt x="88087" y="7315"/>
                                </a:lnTo>
                                <a:lnTo>
                                  <a:pt x="86372" y="11112"/>
                                </a:lnTo>
                                <a:lnTo>
                                  <a:pt x="86372" y="20891"/>
                                </a:lnTo>
                                <a:lnTo>
                                  <a:pt x="89395" y="25539"/>
                                </a:lnTo>
                                <a:lnTo>
                                  <a:pt x="95440" y="29756"/>
                                </a:lnTo>
                                <a:lnTo>
                                  <a:pt x="87249" y="34658"/>
                                </a:lnTo>
                                <a:lnTo>
                                  <a:pt x="83159" y="40805"/>
                                </a:lnTo>
                                <a:lnTo>
                                  <a:pt x="83200" y="53327"/>
                                </a:lnTo>
                                <a:lnTo>
                                  <a:pt x="85026" y="57289"/>
                                </a:lnTo>
                                <a:lnTo>
                                  <a:pt x="92519" y="63449"/>
                                </a:lnTo>
                                <a:lnTo>
                                  <a:pt x="97434" y="64985"/>
                                </a:lnTo>
                                <a:lnTo>
                                  <a:pt x="109689" y="64985"/>
                                </a:lnTo>
                                <a:lnTo>
                                  <a:pt x="114431" y="63449"/>
                                </a:lnTo>
                                <a:lnTo>
                                  <a:pt x="114622" y="63449"/>
                                </a:lnTo>
                                <a:lnTo>
                                  <a:pt x="120219" y="58788"/>
                                </a:lnTo>
                                <a:lnTo>
                                  <a:pt x="100114" y="58788"/>
                                </a:lnTo>
                                <a:lnTo>
                                  <a:pt x="97091" y="57696"/>
                                </a:lnTo>
                                <a:lnTo>
                                  <a:pt x="92532" y="53327"/>
                                </a:lnTo>
                                <a:lnTo>
                                  <a:pt x="91389" y="50469"/>
                                </a:lnTo>
                                <a:lnTo>
                                  <a:pt x="91389" y="44081"/>
                                </a:lnTo>
                                <a:lnTo>
                                  <a:pt x="91973" y="41706"/>
                                </a:lnTo>
                                <a:lnTo>
                                  <a:pt x="94348" y="37896"/>
                                </a:lnTo>
                                <a:lnTo>
                                  <a:pt x="96596" y="35661"/>
                                </a:lnTo>
                                <a:lnTo>
                                  <a:pt x="99910" y="33096"/>
                                </a:lnTo>
                                <a:lnTo>
                                  <a:pt x="117338" y="33096"/>
                                </a:lnTo>
                                <a:lnTo>
                                  <a:pt x="110528" y="29756"/>
                                </a:lnTo>
                                <a:lnTo>
                                  <a:pt x="114567" y="27165"/>
                                </a:lnTo>
                                <a:lnTo>
                                  <a:pt x="105930" y="27165"/>
                                </a:lnTo>
                                <a:lnTo>
                                  <a:pt x="101295" y="24510"/>
                                </a:lnTo>
                                <a:lnTo>
                                  <a:pt x="98132" y="22275"/>
                                </a:lnTo>
                                <a:lnTo>
                                  <a:pt x="94716" y="18630"/>
                                </a:lnTo>
                                <a:lnTo>
                                  <a:pt x="93853" y="16560"/>
                                </a:lnTo>
                                <a:lnTo>
                                  <a:pt x="93853" y="11874"/>
                                </a:lnTo>
                                <a:lnTo>
                                  <a:pt x="94773" y="10020"/>
                                </a:lnTo>
                                <a:lnTo>
                                  <a:pt x="95481" y="9423"/>
                                </a:lnTo>
                                <a:lnTo>
                                  <a:pt x="98573" y="6984"/>
                                </a:lnTo>
                                <a:lnTo>
                                  <a:pt x="101053" y="6222"/>
                                </a:lnTo>
                                <a:lnTo>
                                  <a:pt x="120517" y="6222"/>
                                </a:lnTo>
                                <a:lnTo>
                                  <a:pt x="114147" y="1231"/>
                                </a:lnTo>
                                <a:lnTo>
                                  <a:pt x="110020" y="0"/>
                                </a:lnTo>
                                <a:close/>
                              </a:path>
                              <a:path w="125095" h="65405">
                                <a:moveTo>
                                  <a:pt x="117338" y="33096"/>
                                </a:moveTo>
                                <a:lnTo>
                                  <a:pt x="99910" y="33096"/>
                                </a:lnTo>
                                <a:lnTo>
                                  <a:pt x="109804" y="38950"/>
                                </a:lnTo>
                                <a:lnTo>
                                  <a:pt x="112522" y="40982"/>
                                </a:lnTo>
                                <a:lnTo>
                                  <a:pt x="115341" y="44297"/>
                                </a:lnTo>
                                <a:lnTo>
                                  <a:pt x="116052" y="46329"/>
                                </a:lnTo>
                                <a:lnTo>
                                  <a:pt x="116052" y="51701"/>
                                </a:lnTo>
                                <a:lnTo>
                                  <a:pt x="114909" y="54127"/>
                                </a:lnTo>
                                <a:lnTo>
                                  <a:pt x="110363" y="57861"/>
                                </a:lnTo>
                                <a:lnTo>
                                  <a:pt x="107442" y="58788"/>
                                </a:lnTo>
                                <a:lnTo>
                                  <a:pt x="120219" y="58788"/>
                                </a:lnTo>
                                <a:lnTo>
                                  <a:pt x="122567" y="56832"/>
                                </a:lnTo>
                                <a:lnTo>
                                  <a:pt x="124523" y="52616"/>
                                </a:lnTo>
                                <a:lnTo>
                                  <a:pt x="124523" y="40220"/>
                                </a:lnTo>
                                <a:lnTo>
                                  <a:pt x="119849" y="34328"/>
                                </a:lnTo>
                                <a:lnTo>
                                  <a:pt x="117338" y="33096"/>
                                </a:lnTo>
                                <a:close/>
                              </a:path>
                              <a:path w="125095" h="65405">
                                <a:moveTo>
                                  <a:pt x="120497" y="6222"/>
                                </a:moveTo>
                                <a:lnTo>
                                  <a:pt x="107238" y="6222"/>
                                </a:lnTo>
                                <a:lnTo>
                                  <a:pt x="109766" y="6984"/>
                                </a:lnTo>
                                <a:lnTo>
                                  <a:pt x="113614" y="10020"/>
                                </a:lnTo>
                                <a:lnTo>
                                  <a:pt x="114511" y="11874"/>
                                </a:lnTo>
                                <a:lnTo>
                                  <a:pt x="114579" y="19151"/>
                                </a:lnTo>
                                <a:lnTo>
                                  <a:pt x="111696" y="23367"/>
                                </a:lnTo>
                                <a:lnTo>
                                  <a:pt x="105930" y="27165"/>
                                </a:lnTo>
                                <a:lnTo>
                                  <a:pt x="114567" y="27165"/>
                                </a:lnTo>
                                <a:lnTo>
                                  <a:pt x="118211" y="24828"/>
                                </a:lnTo>
                                <a:lnTo>
                                  <a:pt x="122059" y="19354"/>
                                </a:lnTo>
                                <a:lnTo>
                                  <a:pt x="122059" y="9423"/>
                                </a:lnTo>
                                <a:lnTo>
                                  <a:pt x="120497" y="6222"/>
                                </a:lnTo>
                                <a:close/>
                              </a:path>
                              <a:path w="125095" h="65405">
                                <a:moveTo>
                                  <a:pt x="67348" y="53111"/>
                                </a:moveTo>
                                <a:lnTo>
                                  <a:pt x="57035" y="53111"/>
                                </a:lnTo>
                                <a:lnTo>
                                  <a:pt x="57035" y="63436"/>
                                </a:lnTo>
                                <a:lnTo>
                                  <a:pt x="67348" y="63436"/>
                                </a:lnTo>
                                <a:lnTo>
                                  <a:pt x="67348" y="53111"/>
                                </a:lnTo>
                                <a:close/>
                              </a:path>
                              <a:path w="125095" h="65405">
                                <a:moveTo>
                                  <a:pt x="28130" y="38"/>
                                </a:moveTo>
                                <a:lnTo>
                                  <a:pt x="15151" y="38"/>
                                </a:lnTo>
                                <a:lnTo>
                                  <a:pt x="9918" y="3009"/>
                                </a:lnTo>
                                <a:lnTo>
                                  <a:pt x="1981" y="14871"/>
                                </a:lnTo>
                                <a:lnTo>
                                  <a:pt x="0" y="22720"/>
                                </a:lnTo>
                                <a:lnTo>
                                  <a:pt x="35" y="42265"/>
                                </a:lnTo>
                                <a:lnTo>
                                  <a:pt x="1968" y="49974"/>
                                </a:lnTo>
                                <a:lnTo>
                                  <a:pt x="7751" y="58788"/>
                                </a:lnTo>
                                <a:lnTo>
                                  <a:pt x="9929" y="62026"/>
                                </a:lnTo>
                                <a:lnTo>
                                  <a:pt x="14998" y="64985"/>
                                </a:lnTo>
                                <a:lnTo>
                                  <a:pt x="28054" y="64985"/>
                                </a:lnTo>
                                <a:lnTo>
                                  <a:pt x="33362" y="62026"/>
                                </a:lnTo>
                                <a:lnTo>
                                  <a:pt x="35532" y="58788"/>
                                </a:lnTo>
                                <a:lnTo>
                                  <a:pt x="21475" y="58788"/>
                                </a:lnTo>
                                <a:lnTo>
                                  <a:pt x="15915" y="57144"/>
                                </a:lnTo>
                                <a:lnTo>
                                  <a:pt x="11942" y="52212"/>
                                </a:lnTo>
                                <a:lnTo>
                                  <a:pt x="9558" y="43990"/>
                                </a:lnTo>
                                <a:lnTo>
                                  <a:pt x="8763" y="32473"/>
                                </a:lnTo>
                                <a:lnTo>
                                  <a:pt x="9446" y="22720"/>
                                </a:lnTo>
                                <a:lnTo>
                                  <a:pt x="9567" y="20989"/>
                                </a:lnTo>
                                <a:lnTo>
                                  <a:pt x="11982" y="12785"/>
                                </a:lnTo>
                                <a:lnTo>
                                  <a:pt x="16006" y="7863"/>
                                </a:lnTo>
                                <a:lnTo>
                                  <a:pt x="21640" y="6222"/>
                                </a:lnTo>
                                <a:lnTo>
                                  <a:pt x="35512" y="6222"/>
                                </a:lnTo>
                                <a:lnTo>
                                  <a:pt x="33362" y="3009"/>
                                </a:lnTo>
                                <a:lnTo>
                                  <a:pt x="28130" y="38"/>
                                </a:lnTo>
                                <a:close/>
                              </a:path>
                              <a:path w="125095" h="65405">
                                <a:moveTo>
                                  <a:pt x="35512" y="6222"/>
                                </a:moveTo>
                                <a:lnTo>
                                  <a:pt x="21640" y="6222"/>
                                </a:lnTo>
                                <a:lnTo>
                                  <a:pt x="27305" y="7863"/>
                                </a:lnTo>
                                <a:lnTo>
                                  <a:pt x="31347" y="12785"/>
                                </a:lnTo>
                                <a:lnTo>
                                  <a:pt x="33749" y="20844"/>
                                </a:lnTo>
                                <a:lnTo>
                                  <a:pt x="34556" y="32219"/>
                                </a:lnTo>
                                <a:lnTo>
                                  <a:pt x="33860" y="42125"/>
                                </a:lnTo>
                                <a:lnTo>
                                  <a:pt x="33739" y="43845"/>
                                </a:lnTo>
                                <a:lnTo>
                                  <a:pt x="31929" y="49974"/>
                                </a:lnTo>
                                <a:lnTo>
                                  <a:pt x="31234" y="52212"/>
                                </a:lnTo>
                                <a:lnTo>
                                  <a:pt x="27143" y="57144"/>
                                </a:lnTo>
                                <a:lnTo>
                                  <a:pt x="21475" y="58788"/>
                                </a:lnTo>
                                <a:lnTo>
                                  <a:pt x="35532" y="58788"/>
                                </a:lnTo>
                                <a:lnTo>
                                  <a:pt x="41300" y="50177"/>
                                </a:lnTo>
                                <a:lnTo>
                                  <a:pt x="43281" y="42265"/>
                                </a:lnTo>
                                <a:lnTo>
                                  <a:pt x="43281" y="22720"/>
                                </a:lnTo>
                                <a:lnTo>
                                  <a:pt x="41300" y="14871"/>
                                </a:lnTo>
                                <a:lnTo>
                                  <a:pt x="35512" y="6222"/>
                                </a:lnTo>
                                <a:close/>
                              </a:path>
                            </a:pathLst>
                          </a:custGeom>
                          <a:solidFill>
                            <a:srgbClr val="000000"/>
                          </a:solidFill>
                        </wps:spPr>
                        <wps:bodyPr wrap="square" lIns="0" tIns="0" rIns="0" bIns="0" rtlCol="0">
                          <a:prstTxWarp prst="textNoShape">
                            <a:avLst/>
                          </a:prstTxWarp>
                          <a:noAutofit/>
                        </wps:bodyPr>
                      </wps:wsp>
                      <wps:wsp>
                        <wps:cNvPr id="1385" name="Graphic 1385"/>
                        <wps:cNvSpPr/>
                        <wps:spPr>
                          <a:xfrm>
                            <a:off x="1780223" y="49914"/>
                            <a:ext cx="1270" cy="57150"/>
                          </a:xfrm>
                          <a:custGeom>
                            <a:avLst/>
                            <a:gdLst/>
                            <a:ahLst/>
                            <a:cxnLst/>
                            <a:rect l="l" t="t" r="r" b="b"/>
                            <a:pathLst>
                              <a:path h="57150">
                                <a:moveTo>
                                  <a:pt x="0" y="0"/>
                                </a:moveTo>
                                <a:lnTo>
                                  <a:pt x="0" y="57061"/>
                                </a:lnTo>
                              </a:path>
                            </a:pathLst>
                          </a:custGeom>
                          <a:ln w="8661">
                            <a:solidFill>
                              <a:srgbClr val="000000"/>
                            </a:solidFill>
                            <a:prstDash val="solid"/>
                          </a:ln>
                        </wps:spPr>
                        <wps:bodyPr wrap="square" lIns="0" tIns="0" rIns="0" bIns="0" rtlCol="0">
                          <a:prstTxWarp prst="textNoShape">
                            <a:avLst/>
                          </a:prstTxWarp>
                          <a:noAutofit/>
                        </wps:bodyPr>
                      </wps:wsp>
                      <wps:wsp>
                        <wps:cNvPr id="1386" name="Graphic 1386"/>
                        <wps:cNvSpPr/>
                        <wps:spPr>
                          <a:xfrm>
                            <a:off x="1738984" y="115848"/>
                            <a:ext cx="33020" cy="63500"/>
                          </a:xfrm>
                          <a:custGeom>
                            <a:avLst/>
                            <a:gdLst/>
                            <a:ahLst/>
                            <a:cxnLst/>
                            <a:rect l="l" t="t" r="r" b="b"/>
                            <a:pathLst>
                              <a:path w="33020" h="63500">
                                <a:moveTo>
                                  <a:pt x="20637" y="0"/>
                                </a:moveTo>
                                <a:lnTo>
                                  <a:pt x="0" y="5143"/>
                                </a:lnTo>
                                <a:lnTo>
                                  <a:pt x="0" y="11493"/>
                                </a:lnTo>
                                <a:lnTo>
                                  <a:pt x="12369" y="8394"/>
                                </a:lnTo>
                                <a:lnTo>
                                  <a:pt x="12369" y="57213"/>
                                </a:lnTo>
                                <a:lnTo>
                                  <a:pt x="0" y="57213"/>
                                </a:lnTo>
                                <a:lnTo>
                                  <a:pt x="0" y="63398"/>
                                </a:lnTo>
                                <a:lnTo>
                                  <a:pt x="33020" y="63398"/>
                                </a:lnTo>
                                <a:lnTo>
                                  <a:pt x="33020" y="57213"/>
                                </a:lnTo>
                                <a:lnTo>
                                  <a:pt x="20637" y="57213"/>
                                </a:lnTo>
                                <a:lnTo>
                                  <a:pt x="2063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698B71" id="Group 1358" o:spid="_x0000_s1026" style="position:absolute;margin-left:378.85pt;margin-top:-32.9pt;width:143pt;height:14.25pt;z-index:15959552;mso-wrap-distance-left:0;mso-wrap-distance-right:0;mso-position-horizontal-relative:page" coordsize="18161,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">
                <v:shape id="Graphic 1359" o:spid="_x0000_s1027" style="position:absolute;left:6932;top:213;width:1670;height:13;visibility:visible;mso-wrap-style:square;v-text-anchor:top" coordsize="167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" path="m,l166954,e" filled="f" strokeweight=".24058mm">
                  <v:path arrowok="t"/>
                </v:shape>
                <v:shape id="Graphic 1360" o:spid="_x0000_s1028" style="position:absolute;left:8387;width:502;height:501;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" path="m49923,l,,,49923r49923,l49923,xe" fillcolor="#0000c0" stroked="f">
                  <v:path arrowok="t"/>
                </v:shape>
                <v:shape id="Graphic 1361" o:spid="_x0000_s1029" style="position:absolute;left:43;top:499;width:8490;height:571;visibility:visible;mso-wrap-style:square;v-text-anchor:top" coordsize="84899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" path="m,l,57061em,28536r848715,e" filled="f" strokeweight=".24058mm">
                  <v:path arrowok="t"/>
                </v:shape>
                <v:shape id="Graphic 1362" o:spid="_x0000_s1030" style="position:absolute;left:97;top:1158;width:438;height:654;visibility:visible;mso-wrap-style:square;v-text-anchor:top" coordsize="4381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" path="m28117,l15151,,9918,2959,1981,14833,,22682,31,42214r1937,7709l7753,58750r2155,3225l14998,64935r13056,l33362,61975r2164,-3225l21475,58750,15915,57104,11942,52168,9558,43941,8762,32423r683,-9741l9567,20943r2415,-8204l16006,7814,21640,6172r13870,l33362,2959,28117,xem43294,42214r-9454,l33729,43801r-1805,6122l31229,52168r-4087,4936l21475,58750r14051,l41300,50139r1994,-7925xem35510,6172r-13870,l27297,7814r4038,4925l33736,20804r807,11377l33849,42087r9445,l43294,22682,41300,14833,35510,6172xe" fillcolor="black" stroked="f">
                  <v:path arrowok="t"/>
                </v:shape>
                <v:shape id="Graphic 1363" o:spid="_x0000_s1031" style="position:absolute;left:1740;top:499;width:13;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" path="m,l,57061e" filled="f" strokeweight=".24058mm">
                  <v:path arrowok="t"/>
                </v:shape>
                <v:shape id="Graphic 1364" o:spid="_x0000_s1032" style="position:absolute;left:1118;top:1158;width:1200;height:654;visibility:visible;mso-wrap-style:square;v-text-anchor:top" coordsize="120014,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" path="m116395,6184r-13183,l106044,7175r4163,3988l111239,13855r,8852l108203,28155r-6070,5487l97408,37858r-7302,6604l85255,50571r-2388,5588l82867,63398r36805,l119672,56159r-26861,l93840,51066r3810,-5359l112255,33299r3289,-3480l119087,24079r889,-3277l119976,11938,118227,7835,116395,6184xem106540,l95338,,89903,1295,84404,3886r,7277l90233,7835,95300,6184r21095,l111188,1562,106540,xem67360,53073r-10325,l57035,63398r10325,l67360,53073xem28130,l15151,,9918,2971,1981,14833,,22682,35,42227r1933,7696l7762,58750r2180,3238l15011,64947r13043,l33375,61988r2170,-3238l21475,58750,15917,57104,11949,52170,9568,43946,8775,32435r682,-9753l9578,20951r2410,-8204l16008,7825,21640,6184r13885,l33375,2971,28130,xem35525,6184r-13885,l27305,7825r4042,4922l33749,20806r807,11375l33860,42087,21475,58750r14070,l41313,50139r1981,-7912l43294,22682,41313,14833,35525,6184xe" fillcolor="black" stroked="f">
                  <v:path arrowok="t"/>
                </v:shape>
                <v:shape id="Graphic 1365" o:spid="_x0000_s1033" style="position:absolute;left:3438;top:499;width:12;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" path="m,l,57061e" filled="f" strokeweight=".24058mm">
                  <v:path arrowok="t"/>
                </v:shape>
                <v:shape id="Graphic 1366" o:spid="_x0000_s1034" style="position:absolute;left:2815;top:1158;width:1245;height:654;visibility:visible;mso-wrap-style:square;v-text-anchor:top" coordsize="12446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" path="m115722,45885r-7734,l107988,63398r7734,l115722,45885xem115722,1549r-7734,l80149,39662r,6223l123990,45885r,-6731l88214,39154,108534,11658r7188,l115722,1549xem115722,11658r-7188,l108534,39154r7188,l115722,11658xem67360,53073r-10312,l57048,63398r10312,l67360,53073xem28143,l15151,,9931,2971,1993,14833,,22682,35,42227r1933,7709l7760,58750r2182,3238l15011,64947r13056,l33375,61988r2170,-3238l21475,58750,15923,57106,11953,52174,9570,43951,8775,32435r684,-9753l9580,20951r2415,-8204l16019,7825,21653,6184r13872,l33375,2971,28143,xem35525,6184r-13872,l27315,7825r4038,4922l33751,20806r805,11375l33862,42087,21475,58750r14070,l41313,50139r1981,-7912l43294,22682,41313,14833,35525,6184xe" fillcolor="black" stroked="f">
                  <v:path arrowok="t"/>
                </v:shape>
                <v:shape id="Graphic 1367" o:spid="_x0000_s1035" style="position:absolute;left:5135;top:499;width:13;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" path="m,l,57061e" filled="f" strokeweight=".24058mm">
                  <v:path arrowok="t"/>
                </v:shape>
                <v:shape id="Graphic 1368" o:spid="_x0000_s1036" style="position:absolute;left:4513;top:1158;width:1238;height:654;visibility:visible;mso-wrap-style:square;v-text-anchor:top" coordsize="12382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" path="m110451,l98755,,92532,2959,81662,30835r-101,1842l96443,64985r12751,l114096,62915r3813,-4127l99910,58788,96761,57226,91998,50965,90817,46812r,-8484l92062,35521r4432,-4140l90474,31381r988,-11027l94426,12476,99363,7748r6910,-1576l120561,6172r,-3836l115049,787,110451,xem119123,29667r-11834,l110210,31000r4204,5360l115468,40030r-94,9271l114414,52425r-4204,5093l107378,58788r10531,l121818,54610r1918,-5309l123736,37274r-1715,-4597l119123,29667xem110718,23736r-11379,l94409,26292r-3935,5089l96494,31381r584,-546l100075,29667r19048,l115138,25527r-4420,-1791xem120561,6172r-10592,l114744,7302r5817,2223l120561,6172xem67360,53111r-10325,l57035,63436r10325,l67360,53111xem28143,38r-12980,l9918,3009,1981,14871,,22720,35,42265r1933,7709l7769,58788r2185,3238l15024,64985r13030,l33375,62026r2170,-3238l21488,58788,15930,57143,11961,52208,9581,43984,8788,32473r682,-9753l9591,20989r2408,-8204l16016,7863,21640,6223r13885,l33375,3009,28143,38xem35525,6223r-13885,l27312,7863r4046,4922l33761,20844r808,11375l33871,42125,21488,58788r14057,l41313,50177r1981,-7912l43294,22720,41313,14871,35525,6223xe" fillcolor="black" stroked="f">
                  <v:path arrowok="t"/>
                </v:shape>
                <v:shape id="Graphic 1369" o:spid="_x0000_s1037" style="position:absolute;left:6833;top:499;width:12;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" path="m,l,57061e" filled="f" strokeweight=".24058mm">
                  <v:path arrowok="t"/>
                </v:shape>
                <v:shape id="Graphic 1370" o:spid="_x0000_s1038" style="position:absolute;left:6210;top:1158;width:1251;height:654;visibility:visible;mso-wrap-style:square;v-text-anchor:top" coordsize="12509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" path="m110032,l99428,,94945,1460,91528,4394,88087,7315r-1702,3797l86385,20891r3022,4648l95440,29756r-8179,4902l83172,40805r41,12522l85039,57289r7493,6160l97447,64985r12255,l114431,63449r191,l120228,58788r-20114,l97104,57696,92544,53327,91401,50469r,-6388l91986,41706r2374,-3810l96596,35661r3327,-2565l117350,33096r-6810,-3340l114580,27165r-8637,l101307,24510,98145,22275,96443,20446,94716,18630r-864,-2070l93852,11874r934,-1854l95494,9423,98586,6984r2480,-762l120517,6222,114160,1231,110032,xem117350,33096r-17427,l109804,38950r2730,2032l115354,44297r711,2032l116065,51701r-1143,2426l110375,57861r-2921,927l120228,58788r2352,-1956l124523,52616r,-12396l119862,34328r-2512,-1232xem120497,6222r-13259,l109778,6984r3848,3036l114524,11874r68,7277l111709,23367r-5766,3798l114580,27165r3644,-2337l122072,19354r,-9931l120497,6222xem67360,53111r-10312,l57048,63436r10312,l67360,53111xem28143,38r-12992,l9931,3009,1993,14871,,22720,35,42265r1933,7709l7760,58788r2182,3238l15011,64985r13055,l33375,62026r2170,-3238l21475,58788,15917,57144,11949,52212,9568,43990,8775,32473r684,-9753l9580,20989r2415,-8204l16019,7863,21653,6222r13872,l33375,3009,28143,38xem35525,6222r-13872,l27317,7863r4042,4922l33762,20844r807,11375l33873,42125,21475,58788r14070,l41313,50177r1981,-7912l43294,22720,41313,14871,35525,6222xe" fillcolor="black" stroked="f">
                  <v:path arrowok="t"/>
                </v:shape>
                <v:shape id="Graphic 1371" o:spid="_x0000_s1039" style="position:absolute;left:8530;top:499;width:13;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" path="m,l,57061e" filled="f" strokeweight=".24058mm">
                  <v:path arrowok="t"/>
                </v:shape>
                <v:shape id="Graphic 1372" o:spid="_x0000_s1040" style="position:absolute;left:8118;top:1158;width:330;height:635;visibility:visible;mso-wrap-style:square;v-text-anchor:top" coordsize="3302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" path="m20637,l,5143r,6350l12369,8394r,48819l,57213r,6185l33020,63398r,-6185l20637,57213,20637,xe" fillcolor="black" stroked="f">
                  <v:path arrowok="t"/>
                </v:shape>
                <v:shape id="Graphic 1373" o:spid="_x0000_s1041" style="position:absolute;left:17547;top:213;width:330;height:13;visibility:visible;mso-wrap-style:square;v-text-anchor:top" coordsize="33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" path="m,l32588,e" filled="f" strokeweight=".24058mm">
                  <v:path arrowok="t"/>
                </v:shape>
                <v:shape id="Graphic 1374" o:spid="_x0000_s1042" style="position:absolute;left:17659;width:502;height:501;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" path="m49936,l,,,49923r49936,l49936,xe" fillcolor="#0000c0" stroked="f">
                  <v:path arrowok="t"/>
                </v:shape>
                <v:shape id="Graphic 1375" o:spid="_x0000_s1043" style="position:absolute;left:9315;top:499;width:8489;height:571;visibility:visible;mso-wrap-style:square;v-text-anchor:top" coordsize="84899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" path="m,l,57061em,28536r848715,e" filled="f" strokeweight=".24058mm">
                  <v:path arrowok="t"/>
                </v:shape>
                <v:shape id="Graphic 1376" o:spid="_x0000_s1044" style="position:absolute;left:9369;top:1158;width:438;height:654;visibility:visible;mso-wrap-style:square;v-text-anchor:top" coordsize="4381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" path="m28130,l15151,,9918,2959,1981,14833,,22682,31,42214r1937,7709l7762,58750r2158,3225l15011,64935r13043,l33362,61975r2167,-3225l21475,58750,15915,57104,11942,52168,9558,43941,8762,32423r683,-9741l9567,20943r2415,-8204l16006,7814,21640,6172r13874,l33362,2959,28130,xem43294,42214r-9454,l33729,43801r-1805,6122l31229,52168r-4087,4936l21475,58750r14054,l41313,50139r1981,-7925xem35514,6172r-13874,l27297,7814r4038,4925l33736,20804r807,11377l33849,42087r9445,l43294,22682,41313,14833,35514,6172xe" fillcolor="black" stroked="f">
                  <v:path arrowok="t"/>
                </v:shape>
                <v:shape id="Graphic 1377" o:spid="_x0000_s1045" style="position:absolute;left:11012;top:499;width:13;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" path="m,l,57061e" filled="f" strokeweight=".24058mm">
                  <v:path arrowok="t"/>
                </v:shape>
                <v:shape id="Graphic 1378" o:spid="_x0000_s1046" style="position:absolute;left:10390;top:1158;width:1200;height:654;visibility:visible;mso-wrap-style:square;v-text-anchor:top" coordsize="120014,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" path="m116404,6184r-13192,l106044,7175r4163,3988l111239,13855r,8852l108203,28155r-6070,5487l97408,37858r-7302,6604l85255,50571r-2388,5588l82867,63398r36805,l119672,56159r-26861,l93840,51066r3822,-5359l112255,33299r3289,-3480l119100,24079r876,-3277l119976,11938,118240,7835,116404,6184xem106540,l95338,,89903,1295,84416,3886r,7277l90233,7835,95300,6184r21104,l111188,1562,106540,xem67360,53073r-10312,l57048,63398r10312,l67360,53073xem28130,l15151,,9918,2971,1981,14833,,22682,35,42227r1933,7696l7762,58750r2180,3238l15011,64947r13043,l33375,61988r2170,-3238l21475,58750,15917,57104,11949,52170,9568,43946,8775,32435r684,-9753l9580,20951r2415,-8204l16019,7825,21653,6184r13872,l33375,2971,28130,xem35525,6184r-13872,l27310,7825r4038,4922l33749,20806r807,11375l33860,42087,21475,58750r14070,l41313,50139r1981,-7912l43294,22682,41313,14833,35525,6184xe" fillcolor="black" stroked="f">
                  <v:path arrowok="t"/>
                </v:shape>
                <v:shape id="Graphic 1379" o:spid="_x0000_s1047" style="position:absolute;left:12709;top:499;width:13;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" path="m,l,57061e" filled="f" strokeweight=".24058mm">
                  <v:path arrowok="t"/>
                </v:shape>
                <v:shape id="Graphic 1380" o:spid="_x0000_s1048" style="position:absolute;left:12087;top:1158;width:1245;height:654;visibility:visible;mso-wrap-style:square;v-text-anchor:top" coordsize="12446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" path="m115709,45885r-7734,l107975,63398r7734,l115709,45885xem115709,1549r-7734,l80137,39662r,6223l123977,45885r,-6731l88214,39154,108521,11658r7188,l115709,1549xem115709,11658r-7188,l108521,39154r7188,l115709,11658xem67348,53073r-10313,l57035,63398r10313,l67348,53073xem28130,l15151,,9918,2971,1981,14833,,22682,35,42227r1933,7709l7751,58750r2178,3238l14998,64947r13056,l33362,61988r2170,-3238l21475,58750,15915,57106,11942,52174,9558,43951,8763,32435r683,-9753l9567,20951r2415,-8204l16006,7825,21640,6184r13872,l33362,2971,28130,xem35512,6184r-13872,l27303,7825r4037,4922l33738,20806r806,11375l33849,42087,21475,58750r14057,l41300,50139r1981,-7912l43281,22682,41300,14833,35512,6184xe" fillcolor="black" stroked="f">
                  <v:path arrowok="t"/>
                </v:shape>
                <v:shape id="Graphic 1381" o:spid="_x0000_s1049" style="position:absolute;left:14407;top:499;width:13;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" path="m,l,57061e" filled="f" strokeweight=".24058mm">
                  <v:path arrowok="t"/>
                </v:shape>
                <v:shape id="Graphic 1382" o:spid="_x0000_s1050" style="position:absolute;left:13785;top:1158;width:1238;height:654;visibility:visible;mso-wrap-style:square;v-text-anchor:top" coordsize="12382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" path="m110451,l98755,,92532,2959,81662,30835r-101,1842l96443,64985r12764,l114096,62915r3837,-4127l99923,58788,96761,57226,91998,50965,90817,46812r,-8484l92062,35521r4443,-4140l90474,31381r988,-11027l94426,12476,99363,7748r6910,-1576l120561,6172r,-3836l115049,787,110451,xem119120,29667r-11831,l110210,31000r4204,5360l115468,40030r-94,9271l114414,52425r-4204,5093l107391,58788r10542,l121818,54610r1918,-5309l123736,37274r-1702,-4597l119120,29667xem110718,23736r-11366,l94409,26292r-3935,5089l96505,31381r586,-546l100075,29667r19045,l115150,25527r-4432,-1791xem120561,6172r-10580,l114744,7302r5817,2223l120561,6172xem67360,53111r-10312,l57048,63436r10312,l67360,53111xem28143,38r-12980,l9918,3009,1981,14871,,22720,35,42265r1933,7709l7769,58788r2185,3238l15024,64985r13030,l33375,62026r2170,-3238l21488,58788,15930,57143,11961,52208,9581,43984,8788,32473r682,-9753l9591,20989r2410,-8204l16021,7863,21653,6223r13872,l33375,3009,28143,38xem35525,6223r-13872,l27317,7863r4042,4922l33762,20844r807,11375l33871,42125,21488,58788r14057,l41313,50177r1981,-7912l43294,22720,41313,14871,35525,6223xe" fillcolor="black" stroked="f">
                  <v:path arrowok="t"/>
                </v:shape>
                <v:shape id="Graphic 1383" o:spid="_x0000_s1051" style="position:absolute;left:16104;top:499;width:13;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" path="m,l,57061e" filled="f" strokeweight=".24058mm">
                  <v:path arrowok="t"/>
                </v:shape>
                <v:shape id="Graphic 1384" o:spid="_x0000_s1052" style="position:absolute;left:15482;top:1158;width:1251;height:654;visibility:visible;mso-wrap-style:square;v-text-anchor:top" coordsize="12509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" path="m110020,l99415,,94932,1460,88087,7315r-1715,3797l86372,20891r3023,4648l95440,29756r-8191,4902l83159,40805r41,12522l85026,57289r7493,6160l97434,64985r12255,l114431,63449r191,l120219,58788r-20105,l97091,57696,92532,53327,91389,50469r,-6388l91973,41706r2375,-3810l96596,35661r3314,-2565l117338,33096r-6810,-3340l114567,27165r-8637,l101295,24510,98132,22275,94716,18630r-863,-2070l93853,11874r920,-1854l95481,9423,98573,6984r2480,-762l120517,6222,114147,1231,110020,xem117338,33096r-17428,l109804,38950r2718,2032l115341,44297r711,2032l116052,51701r-1143,2426l110363,57861r-2921,927l120219,58788r2348,-1956l124523,52616r,-12396l119849,34328r-2511,-1232xem120497,6222r-13259,l109766,6984r3848,3036l114511,11874r68,7277l111696,23367r-5766,3798l114567,27165r3644,-2337l122059,19354r,-9931l120497,6222xem67348,53111r-10313,l57035,63436r10313,l67348,53111xem28130,38r-12979,l9918,3009,1981,14871,,22720,35,42265r1933,7709l7751,58788r2178,3238l14998,64985r13056,l33362,62026r2170,-3238l21475,58788,15915,57144,11942,52212,9558,43990,8763,32473r683,-9753l9567,20989r2415,-8204l16006,7863,21640,6222r13872,l33362,3009,28130,38xem35512,6222r-13872,l27305,7863r4042,4922l33749,20844r807,11375l33860,42125r-121,1720l31929,49974r-695,2238l27143,57144r-5668,1644l35532,58788r5768,-8611l43281,42265r,-19545l41300,14871,35512,6222xe" fillcolor="black" stroked="f">
                  <v:path arrowok="t"/>
                </v:shape>
                <v:shape id="Graphic 1385" o:spid="_x0000_s1053" style="position:absolute;left:17802;top:499;width:12;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" path="m,l,57061e" filled="f" strokeweight=".24058mm">
                  <v:path arrowok="t"/>
                </v:shape>
                <v:shape id="Graphic 1386" o:spid="_x0000_s1054" style="position:absolute;left:17389;top:1158;width:331;height:635;visibility:visible;mso-wrap-style:square;v-text-anchor:top" coordsize="3302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" path="m20637,l,5143r,6350l12369,8394r,48819l,57213r,6185l33020,63398r,-6185l20637,57213,20637,xe" fillcolor="black" stroked="f">
                  <v:path arrowok="t"/>
                </v:shape>
                <w10:wrap anchorx="page"/>
              </v:group>
            </w:pict>
          </mc:Fallback>
        </mc:AlternateContent>
      </w:r>
      <w:r w:rsidRPr="003C6DAE">
        <w:rPr>
          <w:noProof/>
          <w:sz w:val="18"/>
          <w:lang w:val="uk-UA"/>
        </w:rPr>
        <mc:AlternateContent>
          <mc:Choice Requires="wpg">
            <w:drawing>
              <wp:anchor distT="0" distB="0" distL="0" distR="0" simplePos="0" relativeHeight="15965184" behindDoc="0" locked="0" layoutInCell="1" allowOverlap="1" wp14:anchorId="5235C4A4" wp14:editId="1523551B">
                <wp:simplePos x="0" y="0"/>
                <wp:positionH relativeFrom="page">
                  <wp:posOffset>6573046</wp:posOffset>
                </wp:positionH>
                <wp:positionV relativeFrom="paragraph">
                  <wp:posOffset>-1330488</wp:posOffset>
                </wp:positionV>
                <wp:extent cx="54610" cy="50165"/>
                <wp:effectExtent l="0" t="0" r="0" b="0"/>
                <wp:wrapNone/>
                <wp:docPr id="1387"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0165"/>
                          <a:chOff x="0" y="0"/>
                          <a:chExt cx="54610" cy="50165"/>
                        </a:xfrm>
                      </wpg:grpSpPr>
                      <wps:wsp>
                        <wps:cNvPr id="1388" name="Graphic 1388"/>
                        <wps:cNvSpPr/>
                        <wps:spPr>
                          <a:xfrm>
                            <a:off x="0" y="21391"/>
                            <a:ext cx="26034" cy="1270"/>
                          </a:xfrm>
                          <a:custGeom>
                            <a:avLst/>
                            <a:gdLst/>
                            <a:ahLst/>
                            <a:cxnLst/>
                            <a:rect l="l" t="t" r="r" b="b"/>
                            <a:pathLst>
                              <a:path w="26034">
                                <a:moveTo>
                                  <a:pt x="0" y="0"/>
                                </a:moveTo>
                                <a:lnTo>
                                  <a:pt x="25908" y="0"/>
                                </a:lnTo>
                              </a:path>
                            </a:pathLst>
                          </a:custGeom>
                          <a:ln w="8661">
                            <a:solidFill>
                              <a:srgbClr val="000000"/>
                            </a:solidFill>
                            <a:prstDash val="solid"/>
                          </a:ln>
                        </wps:spPr>
                        <wps:bodyPr wrap="square" lIns="0" tIns="0" rIns="0" bIns="0" rtlCol="0">
                          <a:prstTxWarp prst="textNoShape">
                            <a:avLst/>
                          </a:prstTxWarp>
                          <a:noAutofit/>
                        </wps:bodyPr>
                      </wps:wsp>
                      <wps:wsp>
                        <wps:cNvPr id="1389" name="Graphic 1389"/>
                        <wps:cNvSpPr/>
                        <wps:spPr>
                          <a:xfrm>
                            <a:off x="4512" y="0"/>
                            <a:ext cx="50165" cy="50165"/>
                          </a:xfrm>
                          <a:custGeom>
                            <a:avLst/>
                            <a:gdLst/>
                            <a:ahLst/>
                            <a:cxnLst/>
                            <a:rect l="l" t="t" r="r" b="b"/>
                            <a:pathLst>
                              <a:path w="50165" h="50165">
                                <a:moveTo>
                                  <a:pt x="49936" y="0"/>
                                </a:moveTo>
                                <a:lnTo>
                                  <a:pt x="0" y="0"/>
                                </a:lnTo>
                                <a:lnTo>
                                  <a:pt x="0" y="49923"/>
                                </a:lnTo>
                                <a:lnTo>
                                  <a:pt x="49936" y="49923"/>
                                </a:lnTo>
                                <a:lnTo>
                                  <a:pt x="49936"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EC08317" id="Group 1387" o:spid="_x0000_s1026" style="position:absolute;margin-left:517.55pt;margin-top:-104.75pt;width:4.3pt;height:3.95pt;z-index:15965184;mso-wrap-distance-left:0;mso-wrap-distance-right:0;mso-position-horizontal-relative:page" coordsize="5461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">
                <v:shape id="Graphic 1388" o:spid="_x0000_s1027" style="position:absolute;top:21391;width:26034;height:1270;visibility:visible;mso-wrap-style:square;v-text-anchor:top" coordsize="26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" path="m,l25908,e" filled="f" strokeweight=".24058mm">
                  <v:path arrowok="t"/>
                </v:shape>
                <v:shape id="Graphic 1389" o:spid="_x0000_s1028" style="position:absolute;left:4512;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" path="m49936,l,,,49923r49936,l49936,xe" fillcolor="#0000c0" stroked="f">
                  <v:path arrowok="t"/>
                </v:shape>
                <w10:wrap anchorx="page"/>
              </v:group>
            </w:pict>
          </mc:Fallback>
        </mc:AlternateContent>
      </w:r>
      <w:r w:rsidRPr="003C6DAE">
        <w:rPr>
          <w:noProof/>
          <w:sz w:val="18"/>
          <w:lang w:val="uk-UA"/>
        </w:rPr>
        <mc:AlternateContent>
          <mc:Choice Requires="wpg">
            <w:drawing>
              <wp:anchor distT="0" distB="0" distL="0" distR="0" simplePos="0" relativeHeight="15965696" behindDoc="0" locked="0" layoutInCell="1" allowOverlap="1" wp14:anchorId="03748D84" wp14:editId="0784A41C">
                <wp:simplePos x="0" y="0"/>
                <wp:positionH relativeFrom="page">
                  <wp:posOffset>6564588</wp:posOffset>
                </wp:positionH>
                <wp:positionV relativeFrom="paragraph">
                  <wp:posOffset>-1216379</wp:posOffset>
                </wp:positionV>
                <wp:extent cx="63500" cy="50165"/>
                <wp:effectExtent l="0" t="0" r="0" b="0"/>
                <wp:wrapNone/>
                <wp:docPr id="1390"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 cy="50165"/>
                          <a:chOff x="0" y="0"/>
                          <a:chExt cx="63500" cy="50165"/>
                        </a:xfrm>
                      </wpg:grpSpPr>
                      <wps:wsp>
                        <wps:cNvPr id="1391" name="Graphic 1391"/>
                        <wps:cNvSpPr/>
                        <wps:spPr>
                          <a:xfrm>
                            <a:off x="0" y="21395"/>
                            <a:ext cx="34925" cy="1270"/>
                          </a:xfrm>
                          <a:custGeom>
                            <a:avLst/>
                            <a:gdLst/>
                            <a:ahLst/>
                            <a:cxnLst/>
                            <a:rect l="l" t="t" r="r" b="b"/>
                            <a:pathLst>
                              <a:path w="34925">
                                <a:moveTo>
                                  <a:pt x="0" y="0"/>
                                </a:moveTo>
                                <a:lnTo>
                                  <a:pt x="34366" y="0"/>
                                </a:lnTo>
                              </a:path>
                            </a:pathLst>
                          </a:custGeom>
                          <a:ln w="8661">
                            <a:solidFill>
                              <a:srgbClr val="000000"/>
                            </a:solidFill>
                            <a:prstDash val="solid"/>
                          </a:ln>
                        </wps:spPr>
                        <wps:bodyPr wrap="square" lIns="0" tIns="0" rIns="0" bIns="0" rtlCol="0">
                          <a:prstTxWarp prst="textNoShape">
                            <a:avLst/>
                          </a:prstTxWarp>
                          <a:noAutofit/>
                        </wps:bodyPr>
                      </wps:wsp>
                      <wps:wsp>
                        <wps:cNvPr id="1392" name="Graphic 1392"/>
                        <wps:cNvSpPr/>
                        <wps:spPr>
                          <a:xfrm>
                            <a:off x="12970" y="0"/>
                            <a:ext cx="50165" cy="50165"/>
                          </a:xfrm>
                          <a:custGeom>
                            <a:avLst/>
                            <a:gdLst/>
                            <a:ahLst/>
                            <a:cxnLst/>
                            <a:rect l="l" t="t" r="r" b="b"/>
                            <a:pathLst>
                              <a:path w="50165" h="50165">
                                <a:moveTo>
                                  <a:pt x="49936" y="0"/>
                                </a:moveTo>
                                <a:lnTo>
                                  <a:pt x="0" y="0"/>
                                </a:lnTo>
                                <a:lnTo>
                                  <a:pt x="0" y="49923"/>
                                </a:lnTo>
                                <a:lnTo>
                                  <a:pt x="49936" y="49923"/>
                                </a:lnTo>
                                <a:lnTo>
                                  <a:pt x="49936"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87CD3D4" id="Group 1390" o:spid="_x0000_s1026" style="position:absolute;margin-left:516.9pt;margin-top:-95.8pt;width:5pt;height:3.95pt;z-index:15965696;mso-wrap-distance-left:0;mso-wrap-distance-right:0;mso-position-horizontal-relative:page" coordsize="6350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">
                <v:shape id="Graphic 1391" o:spid="_x0000_s1027" style="position:absolute;top:21395;width:34925;height:1270;visibility:visible;mso-wrap-style:square;v-text-anchor:top" coordsize="3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" path="m,l34366,e" filled="f" strokeweight=".24058mm">
                  <v:path arrowok="t"/>
                </v:shape>
                <v:shape id="Graphic 1392" o:spid="_x0000_s1028" style="position:absolute;left:12970;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" path="m49936,l,,,49923r49936,l49936,xe" fillcolor="#0000c0" stroked="f">
                  <v:path arrowok="t"/>
                </v:shape>
                <w10:wrap anchorx="page"/>
              </v:group>
            </w:pict>
          </mc:Fallback>
        </mc:AlternateContent>
      </w:r>
      <w:r w:rsidRPr="003C6DAE">
        <w:rPr>
          <w:noProof/>
          <w:sz w:val="18"/>
          <w:lang w:val="uk-UA"/>
        </w:rPr>
        <mc:AlternateContent>
          <mc:Choice Requires="wpg">
            <w:drawing>
              <wp:anchor distT="0" distB="0" distL="0" distR="0" simplePos="0" relativeHeight="15966208" behindDoc="0" locked="0" layoutInCell="1" allowOverlap="1" wp14:anchorId="3E3AAC76" wp14:editId="06987B99">
                <wp:simplePos x="0" y="0"/>
                <wp:positionH relativeFrom="page">
                  <wp:posOffset>6440365</wp:posOffset>
                </wp:positionH>
                <wp:positionV relativeFrom="paragraph">
                  <wp:posOffset>-1102269</wp:posOffset>
                </wp:positionV>
                <wp:extent cx="187325" cy="50165"/>
                <wp:effectExtent l="0" t="0" r="0" b="0"/>
                <wp:wrapNone/>
                <wp:docPr id="1393"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25" cy="50165"/>
                          <a:chOff x="0" y="0"/>
                          <a:chExt cx="187325" cy="50165"/>
                        </a:xfrm>
                      </wpg:grpSpPr>
                      <wps:wsp>
                        <wps:cNvPr id="1394" name="Graphic 1394"/>
                        <wps:cNvSpPr/>
                        <wps:spPr>
                          <a:xfrm>
                            <a:off x="0" y="21400"/>
                            <a:ext cx="158750" cy="1270"/>
                          </a:xfrm>
                          <a:custGeom>
                            <a:avLst/>
                            <a:gdLst/>
                            <a:ahLst/>
                            <a:cxnLst/>
                            <a:rect l="l" t="t" r="r" b="b"/>
                            <a:pathLst>
                              <a:path w="158750">
                                <a:moveTo>
                                  <a:pt x="0" y="0"/>
                                </a:moveTo>
                                <a:lnTo>
                                  <a:pt x="158584" y="0"/>
                                </a:lnTo>
                              </a:path>
                            </a:pathLst>
                          </a:custGeom>
                          <a:ln w="8661">
                            <a:solidFill>
                              <a:srgbClr val="000000"/>
                            </a:solidFill>
                            <a:prstDash val="solid"/>
                          </a:ln>
                        </wps:spPr>
                        <wps:bodyPr wrap="square" lIns="0" tIns="0" rIns="0" bIns="0" rtlCol="0">
                          <a:prstTxWarp prst="textNoShape">
                            <a:avLst/>
                          </a:prstTxWarp>
                          <a:noAutofit/>
                        </wps:bodyPr>
                      </wps:wsp>
                      <wps:wsp>
                        <wps:cNvPr id="1395" name="Graphic 1395"/>
                        <wps:cNvSpPr/>
                        <wps:spPr>
                          <a:xfrm>
                            <a:off x="137193" y="0"/>
                            <a:ext cx="50165" cy="50165"/>
                          </a:xfrm>
                          <a:custGeom>
                            <a:avLst/>
                            <a:gdLst/>
                            <a:ahLst/>
                            <a:cxnLst/>
                            <a:rect l="l" t="t" r="r" b="b"/>
                            <a:pathLst>
                              <a:path w="50165" h="50165">
                                <a:moveTo>
                                  <a:pt x="49936" y="0"/>
                                </a:moveTo>
                                <a:lnTo>
                                  <a:pt x="0" y="0"/>
                                </a:lnTo>
                                <a:lnTo>
                                  <a:pt x="0" y="49923"/>
                                </a:lnTo>
                                <a:lnTo>
                                  <a:pt x="49936" y="49923"/>
                                </a:lnTo>
                                <a:lnTo>
                                  <a:pt x="49936"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3BAC3DC" id="Group 1393" o:spid="_x0000_s1026" style="position:absolute;margin-left:507.1pt;margin-top:-86.8pt;width:14.75pt;height:3.95pt;z-index:15966208;mso-wrap-distance-left:0;mso-wrap-distance-right:0;mso-position-horizontal-relative:page" coordsize="187325,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">
                <v:shape id="Graphic 1394" o:spid="_x0000_s1027" style="position:absolute;top:21400;width:158750;height:1270;visibility:visible;mso-wrap-style:square;v-text-anchor:top" coordsize="158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" path="m,l158584,e" filled="f" strokeweight=".24058mm">
                  <v:path arrowok="t"/>
                </v:shape>
                <v:shape id="Graphic 1395" o:spid="_x0000_s1028" style="position:absolute;left:137193;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" path="m49936,l,,,49923r49936,l49936,xe" fillcolor="#0000c0" stroked="f">
                  <v:path arrowok="t"/>
                </v:shape>
                <w10:wrap anchorx="page"/>
              </v:group>
            </w:pict>
          </mc:Fallback>
        </mc:AlternateContent>
      </w:r>
      <w:r w:rsidRPr="003C6DAE">
        <w:rPr>
          <w:noProof/>
          <w:sz w:val="18"/>
          <w:lang w:val="uk-UA"/>
        </w:rPr>
        <mc:AlternateContent>
          <mc:Choice Requires="wpg">
            <w:drawing>
              <wp:anchor distT="0" distB="0" distL="0" distR="0" simplePos="0" relativeHeight="15966720" behindDoc="0" locked="0" layoutInCell="1" allowOverlap="1" wp14:anchorId="7CB639DB" wp14:editId="22CA639E">
                <wp:simplePos x="0" y="0"/>
                <wp:positionH relativeFrom="page">
                  <wp:posOffset>6563545</wp:posOffset>
                </wp:positionH>
                <wp:positionV relativeFrom="paragraph">
                  <wp:posOffset>-988147</wp:posOffset>
                </wp:positionV>
                <wp:extent cx="52069" cy="50165"/>
                <wp:effectExtent l="0" t="0" r="0" b="0"/>
                <wp:wrapNone/>
                <wp:docPr id="1396"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50165"/>
                          <a:chOff x="0" y="0"/>
                          <a:chExt cx="52069" cy="50165"/>
                        </a:xfrm>
                      </wpg:grpSpPr>
                      <wps:wsp>
                        <wps:cNvPr id="1397" name="Graphic 1397"/>
                        <wps:cNvSpPr/>
                        <wps:spPr>
                          <a:xfrm>
                            <a:off x="0" y="21391"/>
                            <a:ext cx="33020" cy="1270"/>
                          </a:xfrm>
                          <a:custGeom>
                            <a:avLst/>
                            <a:gdLst/>
                            <a:ahLst/>
                            <a:cxnLst/>
                            <a:rect l="l" t="t" r="r" b="b"/>
                            <a:pathLst>
                              <a:path w="33020">
                                <a:moveTo>
                                  <a:pt x="0" y="0"/>
                                </a:moveTo>
                                <a:lnTo>
                                  <a:pt x="32880" y="0"/>
                                </a:lnTo>
                              </a:path>
                            </a:pathLst>
                          </a:custGeom>
                          <a:ln w="8661">
                            <a:solidFill>
                              <a:srgbClr val="000000"/>
                            </a:solidFill>
                            <a:prstDash val="solid"/>
                          </a:ln>
                        </wps:spPr>
                        <wps:bodyPr wrap="square" lIns="0" tIns="0" rIns="0" bIns="0" rtlCol="0">
                          <a:prstTxWarp prst="textNoShape">
                            <a:avLst/>
                          </a:prstTxWarp>
                          <a:noAutofit/>
                        </wps:bodyPr>
                      </wps:wsp>
                      <wps:wsp>
                        <wps:cNvPr id="1398" name="Graphic 1398"/>
                        <wps:cNvSpPr/>
                        <wps:spPr>
                          <a:xfrm>
                            <a:off x="1732" y="0"/>
                            <a:ext cx="50165" cy="50165"/>
                          </a:xfrm>
                          <a:custGeom>
                            <a:avLst/>
                            <a:gdLst/>
                            <a:ahLst/>
                            <a:cxnLst/>
                            <a:rect l="l" t="t" r="r" b="b"/>
                            <a:pathLst>
                              <a:path w="50165" h="50165">
                                <a:moveTo>
                                  <a:pt x="49923" y="0"/>
                                </a:moveTo>
                                <a:lnTo>
                                  <a:pt x="0" y="0"/>
                                </a:lnTo>
                                <a:lnTo>
                                  <a:pt x="0" y="49923"/>
                                </a:lnTo>
                                <a:lnTo>
                                  <a:pt x="49923" y="49923"/>
                                </a:lnTo>
                                <a:lnTo>
                                  <a:pt x="4992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333C06B" id="Group 1396" o:spid="_x0000_s1026" style="position:absolute;margin-left:516.8pt;margin-top:-77.8pt;width:4.1pt;height:3.95pt;z-index:15966720;mso-wrap-distance-left:0;mso-wrap-distance-right:0;mso-position-horizontal-relative:page" coordsize="52069,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">
                <v:shape id="Graphic 1397" o:spid="_x0000_s1027" style="position:absolute;top:21391;width:33020;height:1270;visibility:visible;mso-wrap-style:square;v-text-anchor:top" coordsize="33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" path="m,l32880,e" filled="f" strokeweight=".24058mm">
                  <v:path arrowok="t"/>
                </v:shape>
                <v:shape id="Graphic 1398" o:spid="_x0000_s1028" style="position:absolute;left:1732;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" path="m49923,l,,,49923r49923,l49923,xe" fillcolor="#0000c0" stroked="f">
                  <v:path arrowok="t"/>
                </v:shape>
                <w10:wrap anchorx="page"/>
              </v:group>
            </w:pict>
          </mc:Fallback>
        </mc:AlternateContent>
      </w:r>
      <w:r w:rsidRPr="003C6DAE">
        <w:rPr>
          <w:noProof/>
          <w:sz w:val="18"/>
          <w:lang w:val="uk-UA"/>
        </w:rPr>
        <mc:AlternateContent>
          <mc:Choice Requires="wpg">
            <w:drawing>
              <wp:anchor distT="0" distB="0" distL="0" distR="0" simplePos="0" relativeHeight="15967232" behindDoc="0" locked="0" layoutInCell="1" allowOverlap="1" wp14:anchorId="41C33B2C" wp14:editId="495C5F5E">
                <wp:simplePos x="0" y="0"/>
                <wp:positionH relativeFrom="page">
                  <wp:posOffset>6559913</wp:posOffset>
                </wp:positionH>
                <wp:positionV relativeFrom="paragraph">
                  <wp:posOffset>-874038</wp:posOffset>
                </wp:positionV>
                <wp:extent cx="67945" cy="50165"/>
                <wp:effectExtent l="0" t="0" r="0" b="0"/>
                <wp:wrapNone/>
                <wp:docPr id="1399"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 cy="50165"/>
                          <a:chOff x="0" y="0"/>
                          <a:chExt cx="67945" cy="50165"/>
                        </a:xfrm>
                      </wpg:grpSpPr>
                      <wps:wsp>
                        <wps:cNvPr id="1400" name="Graphic 1400"/>
                        <wps:cNvSpPr/>
                        <wps:spPr>
                          <a:xfrm>
                            <a:off x="0" y="21396"/>
                            <a:ext cx="39370" cy="1270"/>
                          </a:xfrm>
                          <a:custGeom>
                            <a:avLst/>
                            <a:gdLst/>
                            <a:ahLst/>
                            <a:cxnLst/>
                            <a:rect l="l" t="t" r="r" b="b"/>
                            <a:pathLst>
                              <a:path w="39370">
                                <a:moveTo>
                                  <a:pt x="0" y="0"/>
                                </a:moveTo>
                                <a:lnTo>
                                  <a:pt x="39039" y="0"/>
                                </a:lnTo>
                              </a:path>
                            </a:pathLst>
                          </a:custGeom>
                          <a:ln w="8661">
                            <a:solidFill>
                              <a:srgbClr val="000000"/>
                            </a:solidFill>
                            <a:prstDash val="solid"/>
                          </a:ln>
                        </wps:spPr>
                        <wps:bodyPr wrap="square" lIns="0" tIns="0" rIns="0" bIns="0" rtlCol="0">
                          <a:prstTxWarp prst="textNoShape">
                            <a:avLst/>
                          </a:prstTxWarp>
                          <a:noAutofit/>
                        </wps:bodyPr>
                      </wps:wsp>
                      <wps:wsp>
                        <wps:cNvPr id="1401" name="Graphic 1401"/>
                        <wps:cNvSpPr/>
                        <wps:spPr>
                          <a:xfrm>
                            <a:off x="17645" y="0"/>
                            <a:ext cx="50165" cy="50165"/>
                          </a:xfrm>
                          <a:custGeom>
                            <a:avLst/>
                            <a:gdLst/>
                            <a:ahLst/>
                            <a:cxnLst/>
                            <a:rect l="l" t="t" r="r" b="b"/>
                            <a:pathLst>
                              <a:path w="50165" h="50165">
                                <a:moveTo>
                                  <a:pt x="49936" y="0"/>
                                </a:moveTo>
                                <a:lnTo>
                                  <a:pt x="0" y="0"/>
                                </a:lnTo>
                                <a:lnTo>
                                  <a:pt x="0" y="49923"/>
                                </a:lnTo>
                                <a:lnTo>
                                  <a:pt x="49936" y="49923"/>
                                </a:lnTo>
                                <a:lnTo>
                                  <a:pt x="49936"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6F45F1E" id="Group 1399" o:spid="_x0000_s1026" style="position:absolute;margin-left:516.55pt;margin-top:-68.8pt;width:5.35pt;height:3.95pt;z-index:15967232;mso-wrap-distance-left:0;mso-wrap-distance-right:0;mso-position-horizontal-relative:page" coordsize="67945,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">
                <v:shape id="Graphic 1400" o:spid="_x0000_s1027" style="position:absolute;top:21396;width:39370;height:1270;visibility:visible;mso-wrap-style:square;v-text-anchor:top" coordsize="39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" path="m,l39039,e" filled="f" strokeweight=".24058mm">
                  <v:path arrowok="t"/>
                </v:shape>
                <v:shape id="Graphic 1401" o:spid="_x0000_s1028" style="position:absolute;left:17645;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" path="m49936,l,,,49923r49936,l49936,xe" fillcolor="#0000c0" stroked="f">
                  <v:path arrowok="t"/>
                </v:shape>
                <w10:wrap anchorx="page"/>
              </v:group>
            </w:pict>
          </mc:Fallback>
        </mc:AlternateContent>
      </w:r>
      <w:r w:rsidRPr="003C6DAE">
        <w:rPr>
          <w:noProof/>
          <w:sz w:val="18"/>
          <w:lang w:val="uk-UA"/>
        </w:rPr>
        <mc:AlternateContent>
          <mc:Choice Requires="wpg">
            <w:drawing>
              <wp:anchor distT="0" distB="0" distL="0" distR="0" simplePos="0" relativeHeight="15967744" behindDoc="0" locked="0" layoutInCell="1" allowOverlap="1" wp14:anchorId="1FB23B1E" wp14:editId="77C3711C">
                <wp:simplePos x="0" y="0"/>
                <wp:positionH relativeFrom="page">
                  <wp:posOffset>6524566</wp:posOffset>
                </wp:positionH>
                <wp:positionV relativeFrom="paragraph">
                  <wp:posOffset>-759928</wp:posOffset>
                </wp:positionV>
                <wp:extent cx="60960" cy="50165"/>
                <wp:effectExtent l="0" t="0" r="0" b="0"/>
                <wp:wrapNone/>
                <wp:docPr id="1402" name="Group 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50165"/>
                          <a:chOff x="0" y="0"/>
                          <a:chExt cx="60960" cy="50165"/>
                        </a:xfrm>
                      </wpg:grpSpPr>
                      <wps:wsp>
                        <wps:cNvPr id="1403" name="Graphic 1403"/>
                        <wps:cNvSpPr/>
                        <wps:spPr>
                          <a:xfrm>
                            <a:off x="0" y="21400"/>
                            <a:ext cx="53340" cy="1270"/>
                          </a:xfrm>
                          <a:custGeom>
                            <a:avLst/>
                            <a:gdLst/>
                            <a:ahLst/>
                            <a:cxnLst/>
                            <a:rect l="l" t="t" r="r" b="b"/>
                            <a:pathLst>
                              <a:path w="53340">
                                <a:moveTo>
                                  <a:pt x="0" y="0"/>
                                </a:moveTo>
                                <a:lnTo>
                                  <a:pt x="53009" y="0"/>
                                </a:lnTo>
                              </a:path>
                            </a:pathLst>
                          </a:custGeom>
                          <a:ln w="8661">
                            <a:solidFill>
                              <a:srgbClr val="000000"/>
                            </a:solidFill>
                            <a:prstDash val="solid"/>
                          </a:ln>
                        </wps:spPr>
                        <wps:bodyPr wrap="square" lIns="0" tIns="0" rIns="0" bIns="0" rtlCol="0">
                          <a:prstTxWarp prst="textNoShape">
                            <a:avLst/>
                          </a:prstTxWarp>
                          <a:noAutofit/>
                        </wps:bodyPr>
                      </wps:wsp>
                      <wps:wsp>
                        <wps:cNvPr id="1404" name="Graphic 1404"/>
                        <wps:cNvSpPr/>
                        <wps:spPr>
                          <a:xfrm>
                            <a:off x="10586" y="0"/>
                            <a:ext cx="50165" cy="50165"/>
                          </a:xfrm>
                          <a:custGeom>
                            <a:avLst/>
                            <a:gdLst/>
                            <a:ahLst/>
                            <a:cxnLst/>
                            <a:rect l="l" t="t" r="r" b="b"/>
                            <a:pathLst>
                              <a:path w="50165" h="50165">
                                <a:moveTo>
                                  <a:pt x="49923" y="0"/>
                                </a:moveTo>
                                <a:lnTo>
                                  <a:pt x="0" y="0"/>
                                </a:lnTo>
                                <a:lnTo>
                                  <a:pt x="0" y="49923"/>
                                </a:lnTo>
                                <a:lnTo>
                                  <a:pt x="49923" y="49923"/>
                                </a:lnTo>
                                <a:lnTo>
                                  <a:pt x="4992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04F3E81" id="Group 1402" o:spid="_x0000_s1026" style="position:absolute;margin-left:513.75pt;margin-top:-59.85pt;width:4.8pt;height:3.95pt;z-index:15967744;mso-wrap-distance-left:0;mso-wrap-distance-right:0;mso-position-horizontal-relative:page" coordsize="6096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">
                <v:shape id="Graphic 1403" o:spid="_x0000_s1027" style="position:absolute;top:21400;width:53340;height:1270;visibility:visible;mso-wrap-style:square;v-text-anchor:top" coordsize="53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" path="m,l53009,e" filled="f" strokeweight=".24058mm">
                  <v:path arrowok="t"/>
                </v:shape>
                <v:shape id="Graphic 1404" o:spid="_x0000_s1028" style="position:absolute;left:10586;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" path="m49923,l,,,49923r49923,l49923,xe" fillcolor="#0000c0" stroked="f">
                  <v:path arrowok="t"/>
                </v:shape>
                <w10:wrap anchorx="page"/>
              </v:group>
            </w:pict>
          </mc:Fallback>
        </mc:AlternateContent>
      </w:r>
      <w:r w:rsidRPr="003C6DAE">
        <w:rPr>
          <w:noProof/>
          <w:sz w:val="18"/>
          <w:lang w:val="uk-UA"/>
        </w:rPr>
        <mc:AlternateContent>
          <mc:Choice Requires="wpg">
            <w:drawing>
              <wp:anchor distT="0" distB="0" distL="0" distR="0" simplePos="0" relativeHeight="15968256" behindDoc="0" locked="0" layoutInCell="1" allowOverlap="1" wp14:anchorId="7D6D98B6" wp14:editId="1FD748D1">
                <wp:simplePos x="0" y="0"/>
                <wp:positionH relativeFrom="page">
                  <wp:posOffset>6544557</wp:posOffset>
                </wp:positionH>
                <wp:positionV relativeFrom="paragraph">
                  <wp:posOffset>-645806</wp:posOffset>
                </wp:positionV>
                <wp:extent cx="64135" cy="50165"/>
                <wp:effectExtent l="0" t="0" r="0" b="0"/>
                <wp:wrapNone/>
                <wp:docPr id="1405"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50165"/>
                          <a:chOff x="0" y="0"/>
                          <a:chExt cx="64135" cy="50165"/>
                        </a:xfrm>
                      </wpg:grpSpPr>
                      <wps:wsp>
                        <wps:cNvPr id="1406" name="Graphic 1406"/>
                        <wps:cNvSpPr/>
                        <wps:spPr>
                          <a:xfrm>
                            <a:off x="0" y="21393"/>
                            <a:ext cx="50800" cy="1270"/>
                          </a:xfrm>
                          <a:custGeom>
                            <a:avLst/>
                            <a:gdLst/>
                            <a:ahLst/>
                            <a:cxnLst/>
                            <a:rect l="l" t="t" r="r" b="b"/>
                            <a:pathLst>
                              <a:path w="50800">
                                <a:moveTo>
                                  <a:pt x="0" y="0"/>
                                </a:moveTo>
                                <a:lnTo>
                                  <a:pt x="50457" y="0"/>
                                </a:lnTo>
                              </a:path>
                            </a:pathLst>
                          </a:custGeom>
                          <a:ln w="8661">
                            <a:solidFill>
                              <a:srgbClr val="000000"/>
                            </a:solidFill>
                            <a:prstDash val="solid"/>
                          </a:ln>
                        </wps:spPr>
                        <wps:bodyPr wrap="square" lIns="0" tIns="0" rIns="0" bIns="0" rtlCol="0">
                          <a:prstTxWarp prst="textNoShape">
                            <a:avLst/>
                          </a:prstTxWarp>
                          <a:noAutofit/>
                        </wps:bodyPr>
                      </wps:wsp>
                      <wps:wsp>
                        <wps:cNvPr id="1407" name="Graphic 1407"/>
                        <wps:cNvSpPr/>
                        <wps:spPr>
                          <a:xfrm>
                            <a:off x="13989" y="0"/>
                            <a:ext cx="50165" cy="50165"/>
                          </a:xfrm>
                          <a:custGeom>
                            <a:avLst/>
                            <a:gdLst/>
                            <a:ahLst/>
                            <a:cxnLst/>
                            <a:rect l="l" t="t" r="r" b="b"/>
                            <a:pathLst>
                              <a:path w="50165" h="50165">
                                <a:moveTo>
                                  <a:pt x="49923" y="0"/>
                                </a:moveTo>
                                <a:lnTo>
                                  <a:pt x="0" y="0"/>
                                </a:lnTo>
                                <a:lnTo>
                                  <a:pt x="0" y="49923"/>
                                </a:lnTo>
                                <a:lnTo>
                                  <a:pt x="49923" y="49923"/>
                                </a:lnTo>
                                <a:lnTo>
                                  <a:pt x="4992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BCD9422" id="Group 1405" o:spid="_x0000_s1026" style="position:absolute;margin-left:515.3pt;margin-top:-50.85pt;width:5.05pt;height:3.95pt;z-index:15968256;mso-wrap-distance-left:0;mso-wrap-distance-right:0;mso-position-horizontal-relative:page" coordsize="64135,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">
                <v:shape id="Graphic 1406" o:spid="_x0000_s1027" style="position:absolute;top:21393;width:50800;height:1270;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" path="m,l50457,e" filled="f" strokeweight=".24058mm">
                  <v:path arrowok="t"/>
                </v:shape>
                <v:shape id="Graphic 1407" o:spid="_x0000_s1028" style="position:absolute;left:13989;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" path="m49923,l,,,49923r49923,l49923,xe" fillcolor="#0000c0" stroked="f">
                  <v:path arrowok="t"/>
                </v:shape>
                <w10:wrap anchorx="page"/>
              </v:group>
            </w:pict>
          </mc:Fallback>
        </mc:AlternateContent>
      </w:r>
      <w:r w:rsidRPr="003C6DAE">
        <w:rPr>
          <w:noProof/>
          <w:sz w:val="18"/>
          <w:lang w:val="uk-UA"/>
        </w:rPr>
        <mc:AlternateContent>
          <mc:Choice Requires="wpg">
            <w:drawing>
              <wp:anchor distT="0" distB="0" distL="0" distR="0" simplePos="0" relativeHeight="15968768" behindDoc="0" locked="0" layoutInCell="1" allowOverlap="1" wp14:anchorId="4179897B" wp14:editId="21114754">
                <wp:simplePos x="0" y="0"/>
                <wp:positionH relativeFrom="page">
                  <wp:posOffset>6510118</wp:posOffset>
                </wp:positionH>
                <wp:positionV relativeFrom="paragraph">
                  <wp:posOffset>-531684</wp:posOffset>
                </wp:positionV>
                <wp:extent cx="78105" cy="50165"/>
                <wp:effectExtent l="0" t="0" r="0" b="0"/>
                <wp:wrapNone/>
                <wp:docPr id="1408"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 cy="50165"/>
                          <a:chOff x="0" y="0"/>
                          <a:chExt cx="78105" cy="50165"/>
                        </a:xfrm>
                      </wpg:grpSpPr>
                      <wps:wsp>
                        <wps:cNvPr id="1409" name="Graphic 1409"/>
                        <wps:cNvSpPr/>
                        <wps:spPr>
                          <a:xfrm>
                            <a:off x="0" y="21385"/>
                            <a:ext cx="76200" cy="1270"/>
                          </a:xfrm>
                          <a:custGeom>
                            <a:avLst/>
                            <a:gdLst/>
                            <a:ahLst/>
                            <a:cxnLst/>
                            <a:rect l="l" t="t" r="r" b="b"/>
                            <a:pathLst>
                              <a:path w="76200">
                                <a:moveTo>
                                  <a:pt x="0" y="0"/>
                                </a:moveTo>
                                <a:lnTo>
                                  <a:pt x="75946" y="0"/>
                                </a:lnTo>
                              </a:path>
                            </a:pathLst>
                          </a:custGeom>
                          <a:ln w="8661">
                            <a:solidFill>
                              <a:srgbClr val="000000"/>
                            </a:solidFill>
                            <a:prstDash val="solid"/>
                          </a:ln>
                        </wps:spPr>
                        <wps:bodyPr wrap="square" lIns="0" tIns="0" rIns="0" bIns="0" rtlCol="0">
                          <a:prstTxWarp prst="textNoShape">
                            <a:avLst/>
                          </a:prstTxWarp>
                          <a:noAutofit/>
                        </wps:bodyPr>
                      </wps:wsp>
                      <wps:wsp>
                        <wps:cNvPr id="1410" name="Graphic 1410"/>
                        <wps:cNvSpPr/>
                        <wps:spPr>
                          <a:xfrm>
                            <a:off x="28172" y="0"/>
                            <a:ext cx="50165" cy="50165"/>
                          </a:xfrm>
                          <a:custGeom>
                            <a:avLst/>
                            <a:gdLst/>
                            <a:ahLst/>
                            <a:cxnLst/>
                            <a:rect l="l" t="t" r="r" b="b"/>
                            <a:pathLst>
                              <a:path w="50165" h="50165">
                                <a:moveTo>
                                  <a:pt x="49936" y="0"/>
                                </a:moveTo>
                                <a:lnTo>
                                  <a:pt x="0" y="0"/>
                                </a:lnTo>
                                <a:lnTo>
                                  <a:pt x="0" y="49923"/>
                                </a:lnTo>
                                <a:lnTo>
                                  <a:pt x="49936" y="49923"/>
                                </a:lnTo>
                                <a:lnTo>
                                  <a:pt x="49936"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D6CC5FE" id="Group 1408" o:spid="_x0000_s1026" style="position:absolute;margin-left:512.6pt;margin-top:-41.85pt;width:6.15pt;height:3.95pt;z-index:15968768;mso-wrap-distance-left:0;mso-wrap-distance-right:0;mso-position-horizontal-relative:page" coordsize="78105,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">
                <v:shape id="Graphic 1409" o:spid="_x0000_s1027" style="position:absolute;top:21385;width:76200;height:1270;visibility:visible;mso-wrap-style:square;v-text-anchor:top" coordsize="76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" path="m,l75946,e" filled="f" strokeweight=".24058mm">
                  <v:path arrowok="t"/>
                </v:shape>
                <v:shape id="Graphic 1410" o:spid="_x0000_s1028" style="position:absolute;left:28172;width:50165;height:50165;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" path="m49936,l,,,49923r49936,l49936,xe" fillcolor="#0000c0" stroked="f">
                  <v:path arrowok="t"/>
                </v:shape>
                <w10:wrap anchorx="page"/>
              </v:group>
            </w:pict>
          </mc:Fallback>
        </mc:AlternateContent>
      </w:r>
      <w:r w:rsidR="00491B90" w:rsidRPr="003C6DAE">
        <w:rPr>
          <w:sz w:val="18"/>
          <w:lang w:val="uk-UA"/>
        </w:rPr>
        <w:t>ДІ: довірчий інтервал; ТМЧ: тест на медикаментозну чутливість; FN: хибнонегативний результат; FP: хибнопозитивний результат; ТБ: туберкульоз; TN: істинно негативний результат; TP: істинно позитивний результат</w:t>
      </w:r>
      <w:r w:rsidR="00236B13">
        <w:rPr>
          <w:sz w:val="18"/>
          <w:lang w:val="uk-UA"/>
        </w:rPr>
        <w:t xml:space="preserve">; </w:t>
      </w:r>
      <w:r w:rsidR="00236B13">
        <w:rPr>
          <w:sz w:val="18"/>
        </w:rPr>
        <w:t>Not</w:t>
      </w:r>
      <w:r w:rsidR="00236B13" w:rsidRPr="00236B13">
        <w:rPr>
          <w:sz w:val="18"/>
          <w:lang w:val="uk-UA"/>
        </w:rPr>
        <w:t xml:space="preserve"> </w:t>
      </w:r>
      <w:r w:rsidR="00236B13">
        <w:rPr>
          <w:sz w:val="18"/>
        </w:rPr>
        <w:t>estimable</w:t>
      </w:r>
      <w:r w:rsidR="00236B13">
        <w:rPr>
          <w:sz w:val="18"/>
          <w:lang w:val="uk-UA"/>
        </w:rPr>
        <w:t>: не підлягає оцінці</w:t>
      </w:r>
      <w:r w:rsidRPr="003C6DAE">
        <w:rPr>
          <w:sz w:val="18"/>
          <w:lang w:val="uk-UA"/>
        </w:rPr>
        <w:t>.</w:t>
      </w:r>
    </w:p>
    <w:p w14:paraId="250259A5" w14:textId="77777777" w:rsidR="00E05B98" w:rsidRPr="00166097" w:rsidRDefault="00E05B98" w:rsidP="00DD3C0C">
      <w:pPr>
        <w:pStyle w:val="a3"/>
        <w:spacing w:before="136"/>
        <w:jc w:val="both"/>
        <w:rPr>
          <w:sz w:val="18"/>
          <w:lang w:val="uk-UA"/>
        </w:rPr>
      </w:pPr>
    </w:p>
    <w:p w14:paraId="263AC84A" w14:textId="77777777" w:rsidR="00236B13" w:rsidRPr="00166097" w:rsidRDefault="00236B13" w:rsidP="00DD3C0C">
      <w:pPr>
        <w:pStyle w:val="a3"/>
        <w:spacing w:before="136"/>
        <w:jc w:val="both"/>
        <w:rPr>
          <w:sz w:val="18"/>
          <w:lang w:val="uk-UA"/>
        </w:rPr>
      </w:pPr>
    </w:p>
    <w:p w14:paraId="206E6DDC" w14:textId="63FA2666" w:rsidR="00491B90" w:rsidRPr="003C6DAE" w:rsidRDefault="00491B90" w:rsidP="00236B13">
      <w:pPr>
        <w:spacing w:line="276" w:lineRule="auto"/>
        <w:ind w:left="567" w:right="1"/>
        <w:jc w:val="both"/>
        <w:rPr>
          <w:rFonts w:ascii="Arial" w:hAnsi="Arial"/>
          <w:b/>
          <w:sz w:val="20"/>
          <w:szCs w:val="20"/>
          <w:lang w:val="uk-UA"/>
        </w:rPr>
      </w:pPr>
      <w:r w:rsidRPr="003C6DAE">
        <w:rPr>
          <w:sz w:val="20"/>
          <w:szCs w:val="20"/>
          <w:lang w:val="uk-UA"/>
        </w:rPr>
        <w:t xml:space="preserve">Загальна чутливість у цих 18 дослідженнях коливалася від 88% до 100%, а специфічність - від 98% до 100%. </w:t>
      </w:r>
      <w:r w:rsidRPr="003C6DAE">
        <w:rPr>
          <w:b/>
          <w:bCs/>
          <w:sz w:val="20"/>
          <w:szCs w:val="20"/>
          <w:lang w:val="uk-UA"/>
        </w:rPr>
        <w:t>Об’єднана чутливість становила 96,7% (95% ДІ: 93,1–98,4%), а об’єднана специфічність становила 98,9% (95% ДІ: 97,5–99,5%).</w:t>
      </w:r>
    </w:p>
    <w:p w14:paraId="2BC01262" w14:textId="7AC97C7E" w:rsidR="00E05B98" w:rsidRPr="003C6DAE" w:rsidRDefault="00491B90" w:rsidP="00236B13">
      <w:pPr>
        <w:pStyle w:val="a3"/>
        <w:spacing w:before="230" w:line="276" w:lineRule="auto"/>
        <w:ind w:left="567" w:right="135"/>
        <w:jc w:val="both"/>
        <w:rPr>
          <w:lang w:val="uk-UA"/>
        </w:rPr>
      </w:pPr>
      <w:r w:rsidRPr="003C6DAE">
        <w:rPr>
          <w:lang w:val="uk-UA"/>
        </w:rPr>
        <w:t>При визначенні стійкості до рифампіцину за можливості отримували результати генетичного секвенування (генотипічний ТМЧ), а також було розроблено комбінований еталонний стандарт, який поєднував результати фенотипічного та генотипічного ТМЧ. Для виявлення стійкості до рифампіцину точність діагностичного автоматизованого тесту на ампліфікацію нуклеїнових кислот помірної складності була подібною до показників фенотипічного ТМЧ та комбінованого еталонного стандарту</w:t>
      </w:r>
      <w:r w:rsidR="00B01E0C" w:rsidRPr="003C6DAE">
        <w:rPr>
          <w:lang w:val="uk-UA"/>
        </w:rPr>
        <w:t>.</w:t>
      </w:r>
    </w:p>
    <w:p w14:paraId="028E153E" w14:textId="77777777" w:rsidR="00E05B98" w:rsidRPr="003C6DAE" w:rsidRDefault="00E05B98" w:rsidP="00DD3C0C">
      <w:pPr>
        <w:pStyle w:val="a3"/>
        <w:spacing w:line="297" w:lineRule="auto"/>
        <w:jc w:val="both"/>
        <w:rPr>
          <w:lang w:val="uk-UA"/>
        </w:rPr>
        <w:sectPr w:rsidR="00E05B98" w:rsidRPr="003C6DAE" w:rsidSect="00DD3C0C">
          <w:pgSz w:w="11910" w:h="16840"/>
          <w:pgMar w:top="1320" w:right="853" w:bottom="760" w:left="850" w:header="0" w:footer="573" w:gutter="0"/>
          <w:cols w:space="720"/>
        </w:sectPr>
      </w:pPr>
    </w:p>
    <w:p w14:paraId="1FD1A49F" w14:textId="4D3EB790" w:rsidR="00E05B98" w:rsidRPr="00D82162" w:rsidRDefault="00D82162" w:rsidP="00D82162">
      <w:pPr>
        <w:pStyle w:val="6"/>
        <w:spacing w:line="249" w:lineRule="auto"/>
        <w:ind w:left="2694" w:right="5" w:hanging="2268"/>
        <w:jc w:val="both"/>
        <w:rPr>
          <w:sz w:val="22"/>
          <w:szCs w:val="22"/>
          <w:lang w:val="uk-UA"/>
        </w:rPr>
      </w:pPr>
      <w:r>
        <w:rPr>
          <w:sz w:val="22"/>
          <w:szCs w:val="22"/>
          <w:lang w:val="uk-UA"/>
        </w:rPr>
        <w:lastRenderedPageBreak/>
        <w:t xml:space="preserve"> </w:t>
      </w:r>
      <w:r w:rsidRPr="00D82162">
        <w:rPr>
          <w:sz w:val="22"/>
          <w:szCs w:val="22"/>
          <w:lang w:val="uk-UA"/>
        </w:rPr>
        <w:t>Зап</w:t>
      </w:r>
      <w:r w:rsidR="00491B90" w:rsidRPr="00D82162">
        <w:rPr>
          <w:sz w:val="22"/>
          <w:szCs w:val="22"/>
          <w:lang w:val="uk-UA"/>
        </w:rPr>
        <w:t xml:space="preserve">итання </w:t>
      </w:r>
      <w:r w:rsidR="00B01E0C" w:rsidRPr="00D82162">
        <w:rPr>
          <w:sz w:val="22"/>
          <w:szCs w:val="22"/>
          <w:lang w:val="uk-UA"/>
        </w:rPr>
        <w:t>PICO</w:t>
      </w:r>
      <w:r w:rsidR="00B01E0C" w:rsidRPr="00D82162">
        <w:rPr>
          <w:spacing w:val="-12"/>
          <w:sz w:val="22"/>
          <w:szCs w:val="22"/>
          <w:lang w:val="uk-UA"/>
        </w:rPr>
        <w:t xml:space="preserve"> </w:t>
      </w:r>
      <w:r w:rsidR="00B01E0C" w:rsidRPr="00D82162">
        <w:rPr>
          <w:sz w:val="22"/>
          <w:szCs w:val="22"/>
          <w:lang w:val="uk-UA"/>
        </w:rPr>
        <w:t>3:</w:t>
      </w:r>
      <w:r w:rsidR="00B01E0C" w:rsidRPr="00D82162">
        <w:rPr>
          <w:spacing w:val="-12"/>
          <w:sz w:val="22"/>
          <w:szCs w:val="22"/>
          <w:lang w:val="uk-UA"/>
        </w:rPr>
        <w:t xml:space="preserve"> </w:t>
      </w:r>
      <w:r>
        <w:rPr>
          <w:spacing w:val="-12"/>
          <w:sz w:val="22"/>
          <w:szCs w:val="22"/>
          <w:lang w:val="uk-UA"/>
        </w:rPr>
        <w:t xml:space="preserve">   </w:t>
      </w:r>
      <w:r w:rsidR="00E240E4" w:rsidRPr="00D82162">
        <w:rPr>
          <w:sz w:val="22"/>
          <w:szCs w:val="22"/>
          <w:lang w:val="uk-UA"/>
        </w:rPr>
        <w:t>Чи слід використовувати автоматизовані ТАНК помірної складності на зразках із дихальних шляхів у людей з ознаками та симптомами легеневого ТБ для виявлення стійкості до ізоніазиду порівняно з фенотипічним ТМЧ на основі бакпосіву?</w:t>
      </w:r>
    </w:p>
    <w:p w14:paraId="207AF7B4" w14:textId="77777777" w:rsidR="00236B13" w:rsidRPr="00166097" w:rsidRDefault="00236B13" w:rsidP="00852333">
      <w:pPr>
        <w:pStyle w:val="a3"/>
        <w:spacing w:before="168" w:line="269" w:lineRule="auto"/>
        <w:ind w:left="567" w:right="142"/>
        <w:jc w:val="both"/>
        <w:rPr>
          <w:sz w:val="8"/>
          <w:szCs w:val="8"/>
          <w:lang w:val="uk-UA"/>
        </w:rPr>
      </w:pPr>
    </w:p>
    <w:p w14:paraId="6B1EE246" w14:textId="5CE58D96" w:rsidR="00E240E4" w:rsidRPr="003C6DAE" w:rsidRDefault="00E240E4" w:rsidP="00852333">
      <w:pPr>
        <w:pStyle w:val="a3"/>
        <w:spacing w:before="168" w:line="269" w:lineRule="auto"/>
        <w:ind w:left="567" w:right="142"/>
        <w:jc w:val="both"/>
        <w:rPr>
          <w:sz w:val="20"/>
          <w:szCs w:val="20"/>
          <w:lang w:val="uk-UA"/>
        </w:rPr>
      </w:pPr>
      <w:r w:rsidRPr="003C6DAE">
        <w:rPr>
          <w:sz w:val="20"/>
          <w:szCs w:val="20"/>
          <w:lang w:val="uk-UA"/>
        </w:rPr>
        <w:t xml:space="preserve">Загалом 18 досліджень </w:t>
      </w:r>
      <w:r w:rsidR="00236B13" w:rsidRPr="00166097">
        <w:rPr>
          <w:sz w:val="20"/>
          <w:szCs w:val="20"/>
          <w:lang w:val="uk-UA"/>
        </w:rPr>
        <w:t>(</w:t>
      </w:r>
      <w:r w:rsidRPr="003C6DAE">
        <w:rPr>
          <w:sz w:val="20"/>
          <w:szCs w:val="20"/>
          <w:lang w:val="uk-UA"/>
        </w:rPr>
        <w:t>1758 зразки</w:t>
      </w:r>
      <w:r w:rsidR="00236B13" w:rsidRPr="00166097">
        <w:rPr>
          <w:sz w:val="20"/>
          <w:szCs w:val="20"/>
          <w:lang w:val="uk-UA"/>
        </w:rPr>
        <w:t>)</w:t>
      </w:r>
      <w:r w:rsidRPr="003C6DAE">
        <w:rPr>
          <w:sz w:val="20"/>
          <w:szCs w:val="20"/>
          <w:lang w:val="uk-UA"/>
        </w:rPr>
        <w:t xml:space="preserve"> надали дані для тестування стійкості до ізоніазиду з використанням автоматизованих ТАНК помірної складності (</w:t>
      </w:r>
      <w:r w:rsidRPr="003C6DAE">
        <w:rPr>
          <w:b/>
          <w:bCs/>
          <w:sz w:val="20"/>
          <w:szCs w:val="20"/>
          <w:lang w:val="uk-UA"/>
        </w:rPr>
        <w:t>Рис. 2.1.2.3</w:t>
      </w:r>
      <w:r w:rsidRPr="003C6DAE">
        <w:rPr>
          <w:sz w:val="20"/>
          <w:szCs w:val="20"/>
          <w:lang w:val="uk-UA"/>
        </w:rPr>
        <w:t xml:space="preserve">). Із цих 18 досліджень: </w:t>
      </w:r>
      <w:r w:rsidR="00236B13">
        <w:rPr>
          <w:sz w:val="20"/>
          <w:szCs w:val="20"/>
        </w:rPr>
        <w:t>e</w:t>
      </w:r>
      <w:r w:rsidR="00236B13" w:rsidRPr="00236B13">
        <w:rPr>
          <w:sz w:val="20"/>
          <w:szCs w:val="20"/>
          <w:lang w:val="uk-UA"/>
        </w:rPr>
        <w:t xml:space="preserve"> </w:t>
      </w:r>
      <w:r w:rsidRPr="003C6DAE">
        <w:rPr>
          <w:sz w:val="20"/>
          <w:szCs w:val="20"/>
          <w:lang w:val="uk-UA"/>
        </w:rPr>
        <w:t>дев'ят</w:t>
      </w:r>
      <w:r w:rsidR="00236B13">
        <w:rPr>
          <w:sz w:val="20"/>
          <w:szCs w:val="20"/>
          <w:lang w:val="uk-UA"/>
        </w:rPr>
        <w:t>и</w:t>
      </w:r>
      <w:r w:rsidRPr="003C6DAE">
        <w:rPr>
          <w:sz w:val="20"/>
          <w:szCs w:val="20"/>
          <w:lang w:val="uk-UA"/>
        </w:rPr>
        <w:t xml:space="preserve"> використ</w:t>
      </w:r>
      <w:r w:rsidR="00236B13">
        <w:rPr>
          <w:sz w:val="20"/>
          <w:szCs w:val="20"/>
          <w:lang w:val="uk-UA"/>
        </w:rPr>
        <w:t>овували</w:t>
      </w:r>
      <w:r w:rsidRPr="003C6DAE">
        <w:rPr>
          <w:sz w:val="20"/>
          <w:szCs w:val="20"/>
          <w:lang w:val="uk-UA"/>
        </w:rPr>
        <w:t xml:space="preserve"> тест Abbott RealTime RIF/INH, </w:t>
      </w:r>
      <w:r w:rsidR="00236B13">
        <w:rPr>
          <w:sz w:val="20"/>
          <w:szCs w:val="20"/>
          <w:lang w:val="uk-UA"/>
        </w:rPr>
        <w:t xml:space="preserve">у </w:t>
      </w:r>
      <w:r w:rsidRPr="003C6DAE">
        <w:rPr>
          <w:sz w:val="20"/>
          <w:szCs w:val="20"/>
          <w:lang w:val="uk-UA"/>
        </w:rPr>
        <w:t>тр</w:t>
      </w:r>
      <w:r w:rsidR="00236B13">
        <w:rPr>
          <w:sz w:val="20"/>
          <w:szCs w:val="20"/>
          <w:lang w:val="uk-UA"/>
        </w:rPr>
        <w:t>ьох</w:t>
      </w:r>
      <w:r w:rsidRPr="003C6DAE">
        <w:rPr>
          <w:sz w:val="20"/>
          <w:szCs w:val="20"/>
          <w:lang w:val="uk-UA"/>
        </w:rPr>
        <w:t xml:space="preserve"> - </w:t>
      </w:r>
      <w:r w:rsidR="00236B13">
        <w:rPr>
          <w:sz w:val="20"/>
          <w:szCs w:val="20"/>
          <w:lang w:val="uk-UA"/>
        </w:rPr>
        <w:t>тест</w:t>
      </w:r>
      <w:r w:rsidRPr="003C6DAE">
        <w:rPr>
          <w:sz w:val="20"/>
          <w:szCs w:val="20"/>
          <w:lang w:val="uk-UA"/>
        </w:rPr>
        <w:t xml:space="preserve"> FluoroType MTBDR, </w:t>
      </w:r>
      <w:r w:rsidR="00236B13">
        <w:rPr>
          <w:sz w:val="20"/>
          <w:szCs w:val="20"/>
          <w:lang w:val="uk-UA"/>
        </w:rPr>
        <w:t xml:space="preserve">у </w:t>
      </w:r>
      <w:r w:rsidRPr="003C6DAE">
        <w:rPr>
          <w:sz w:val="20"/>
          <w:szCs w:val="20"/>
          <w:lang w:val="uk-UA"/>
        </w:rPr>
        <w:t>чотир</w:t>
      </w:r>
      <w:r w:rsidR="00236B13">
        <w:rPr>
          <w:sz w:val="20"/>
          <w:szCs w:val="20"/>
          <w:lang w:val="uk-UA"/>
        </w:rPr>
        <w:t>ьох</w:t>
      </w:r>
      <w:r w:rsidRPr="003C6DAE">
        <w:rPr>
          <w:sz w:val="20"/>
          <w:szCs w:val="20"/>
          <w:lang w:val="uk-UA"/>
        </w:rPr>
        <w:t xml:space="preserve"> - </w:t>
      </w:r>
      <w:r w:rsidR="00236B13">
        <w:rPr>
          <w:sz w:val="20"/>
          <w:szCs w:val="20"/>
          <w:lang w:val="uk-UA"/>
        </w:rPr>
        <w:t>тест</w:t>
      </w:r>
      <w:r w:rsidRPr="003C6DAE">
        <w:rPr>
          <w:sz w:val="20"/>
          <w:szCs w:val="20"/>
          <w:lang w:val="uk-UA"/>
        </w:rPr>
        <w:t xml:space="preserve"> BD MAX і </w:t>
      </w:r>
      <w:r w:rsidR="00236B13">
        <w:rPr>
          <w:sz w:val="20"/>
          <w:szCs w:val="20"/>
          <w:lang w:val="uk-UA"/>
        </w:rPr>
        <w:t xml:space="preserve">у </w:t>
      </w:r>
      <w:r w:rsidRPr="003C6DAE">
        <w:rPr>
          <w:sz w:val="20"/>
          <w:szCs w:val="20"/>
          <w:lang w:val="uk-UA"/>
        </w:rPr>
        <w:t>дв</w:t>
      </w:r>
      <w:r w:rsidR="00236B13">
        <w:rPr>
          <w:sz w:val="20"/>
          <w:szCs w:val="20"/>
          <w:lang w:val="uk-UA"/>
        </w:rPr>
        <w:t>ох</w:t>
      </w:r>
      <w:r w:rsidRPr="003C6DAE">
        <w:rPr>
          <w:sz w:val="20"/>
          <w:szCs w:val="20"/>
          <w:lang w:val="uk-UA"/>
        </w:rPr>
        <w:t xml:space="preserve"> - тест cobas MTB-RIF/INH. Еталонним стандартом для кожного з цих досліджень для виявлення стійкості був </w:t>
      </w:r>
      <w:proofErr w:type="spellStart"/>
      <w:r w:rsidRPr="003C6DAE">
        <w:rPr>
          <w:sz w:val="20"/>
          <w:szCs w:val="20"/>
          <w:lang w:val="uk-UA"/>
        </w:rPr>
        <w:t>фенотип</w:t>
      </w:r>
      <w:r w:rsidR="0061310B">
        <w:rPr>
          <w:sz w:val="20"/>
          <w:szCs w:val="20"/>
          <w:lang w:val="uk-UA"/>
        </w:rPr>
        <w:t>ов</w:t>
      </w:r>
      <w:r w:rsidRPr="003C6DAE">
        <w:rPr>
          <w:sz w:val="20"/>
          <w:szCs w:val="20"/>
          <w:lang w:val="uk-UA"/>
        </w:rPr>
        <w:t>ий</w:t>
      </w:r>
      <w:proofErr w:type="spellEnd"/>
      <w:r w:rsidRPr="003C6DAE">
        <w:rPr>
          <w:sz w:val="20"/>
          <w:szCs w:val="20"/>
          <w:lang w:val="uk-UA"/>
        </w:rPr>
        <w:t xml:space="preserve"> ТМЧ, а також комбінований еталонний стандарт, що включав як результати фенотипічногоТМЧ, так і секвенування.</w:t>
      </w:r>
    </w:p>
    <w:p w14:paraId="036E80AE" w14:textId="3DABB70D" w:rsidR="00E05B98" w:rsidRPr="003C6DAE" w:rsidRDefault="00E240E4" w:rsidP="00852333">
      <w:pPr>
        <w:pStyle w:val="a3"/>
        <w:spacing w:before="168" w:line="269" w:lineRule="auto"/>
        <w:ind w:left="567" w:right="142"/>
        <w:jc w:val="both"/>
        <w:rPr>
          <w:sz w:val="20"/>
          <w:szCs w:val="20"/>
          <w:lang w:val="uk-UA"/>
        </w:rPr>
      </w:pPr>
      <w:r w:rsidRPr="003C6DAE">
        <w:rPr>
          <w:sz w:val="20"/>
          <w:szCs w:val="20"/>
          <w:lang w:val="uk-UA"/>
        </w:rPr>
        <w:t>Вісім (44%) із 18 досліджень мали високий або неясний ризик систематичної похибки, оскільки не було вказано про відбір учасників</w:t>
      </w:r>
      <w:r w:rsidR="0000617E">
        <w:rPr>
          <w:sz w:val="20"/>
          <w:szCs w:val="20"/>
          <w:lang w:val="uk-UA"/>
        </w:rPr>
        <w:t>,</w:t>
      </w:r>
      <w:r w:rsidRPr="003C6DAE">
        <w:rPr>
          <w:sz w:val="20"/>
          <w:szCs w:val="20"/>
          <w:lang w:val="uk-UA"/>
        </w:rPr>
        <w:t xml:space="preserve"> або </w:t>
      </w:r>
      <w:r w:rsidR="0000617E">
        <w:rPr>
          <w:sz w:val="20"/>
          <w:szCs w:val="20"/>
          <w:lang w:val="uk-UA"/>
        </w:rPr>
        <w:t xml:space="preserve">на </w:t>
      </w:r>
      <w:r w:rsidRPr="003C6DAE">
        <w:rPr>
          <w:sz w:val="20"/>
          <w:szCs w:val="20"/>
          <w:lang w:val="uk-UA"/>
        </w:rPr>
        <w:t>включ</w:t>
      </w:r>
      <w:r w:rsidR="0000617E">
        <w:rPr>
          <w:sz w:val="20"/>
          <w:szCs w:val="20"/>
          <w:lang w:val="uk-UA"/>
        </w:rPr>
        <w:t>е</w:t>
      </w:r>
      <w:r w:rsidRPr="003C6DAE">
        <w:rPr>
          <w:sz w:val="20"/>
          <w:szCs w:val="20"/>
          <w:lang w:val="uk-UA"/>
        </w:rPr>
        <w:t>них зразка</w:t>
      </w:r>
      <w:r w:rsidR="0000617E">
        <w:rPr>
          <w:sz w:val="20"/>
          <w:szCs w:val="20"/>
          <w:lang w:val="uk-UA"/>
        </w:rPr>
        <w:t>х</w:t>
      </w:r>
      <w:r w:rsidRPr="003C6DAE">
        <w:rPr>
          <w:sz w:val="20"/>
          <w:szCs w:val="20"/>
          <w:lang w:val="uk-UA"/>
        </w:rPr>
        <w:t xml:space="preserve"> не було проведено попереднього тестування.</w:t>
      </w:r>
    </w:p>
    <w:p w14:paraId="414B4E1B" w14:textId="5E5313AF" w:rsidR="00E05B98" w:rsidRPr="003C6DAE" w:rsidRDefault="00B01E0C" w:rsidP="00DD3C0C">
      <w:pPr>
        <w:pStyle w:val="6"/>
        <w:spacing w:before="242" w:line="268" w:lineRule="auto"/>
        <w:ind w:right="419"/>
        <w:jc w:val="both"/>
        <w:rPr>
          <w:lang w:val="uk-UA"/>
        </w:rPr>
      </w:pPr>
      <w:r w:rsidRPr="003C6DAE">
        <w:rPr>
          <w:noProof/>
          <w:sz w:val="20"/>
          <w:szCs w:val="20"/>
          <w:lang w:val="uk-UA"/>
        </w:rPr>
        <w:drawing>
          <wp:anchor distT="0" distB="0" distL="0" distR="0" simplePos="0" relativeHeight="15969280" behindDoc="0" locked="0" layoutInCell="1" allowOverlap="1" wp14:anchorId="74D952AD" wp14:editId="2EEA2D58">
            <wp:simplePos x="0" y="0"/>
            <wp:positionH relativeFrom="page">
              <wp:posOffset>939881</wp:posOffset>
            </wp:positionH>
            <wp:positionV relativeFrom="paragraph">
              <wp:posOffset>733106</wp:posOffset>
            </wp:positionV>
            <wp:extent cx="925520" cy="1909762"/>
            <wp:effectExtent l="0" t="0" r="0" b="0"/>
            <wp:wrapNone/>
            <wp:docPr id="1411" name="Image 1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1" name="Image 1411"/>
                    <pic:cNvPicPr/>
                  </pic:nvPicPr>
                  <pic:blipFill>
                    <a:blip r:embed="rId75" cstate="print"/>
                    <a:stretch>
                      <a:fillRect/>
                    </a:stretch>
                  </pic:blipFill>
                  <pic:spPr>
                    <a:xfrm>
                      <a:off x="0" y="0"/>
                      <a:ext cx="925520" cy="1909762"/>
                    </a:xfrm>
                    <a:prstGeom prst="rect">
                      <a:avLst/>
                    </a:prstGeom>
                  </pic:spPr>
                </pic:pic>
              </a:graphicData>
            </a:graphic>
          </wp:anchor>
        </w:drawing>
      </w:r>
      <w:r w:rsidRPr="003C6DAE">
        <w:rPr>
          <w:noProof/>
          <w:sz w:val="20"/>
          <w:szCs w:val="20"/>
          <w:lang w:val="uk-UA"/>
        </w:rPr>
        <w:drawing>
          <wp:anchor distT="0" distB="0" distL="0" distR="0" simplePos="0" relativeHeight="15969792" behindDoc="0" locked="0" layoutInCell="1" allowOverlap="1" wp14:anchorId="1A72E32A" wp14:editId="68DA5BEA">
            <wp:simplePos x="0" y="0"/>
            <wp:positionH relativeFrom="page">
              <wp:posOffset>1998045</wp:posOffset>
            </wp:positionH>
            <wp:positionV relativeFrom="paragraph">
              <wp:posOffset>736803</wp:posOffset>
            </wp:positionV>
            <wp:extent cx="135923" cy="1909762"/>
            <wp:effectExtent l="0" t="0" r="0" b="0"/>
            <wp:wrapNone/>
            <wp:docPr id="1412" name="Image 1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2" name="Image 1412"/>
                    <pic:cNvPicPr/>
                  </pic:nvPicPr>
                  <pic:blipFill>
                    <a:blip r:embed="rId76" cstate="print"/>
                    <a:stretch>
                      <a:fillRect/>
                    </a:stretch>
                  </pic:blipFill>
                  <pic:spPr>
                    <a:xfrm>
                      <a:off x="0" y="0"/>
                      <a:ext cx="135923" cy="1909762"/>
                    </a:xfrm>
                    <a:prstGeom prst="rect">
                      <a:avLst/>
                    </a:prstGeom>
                  </pic:spPr>
                </pic:pic>
              </a:graphicData>
            </a:graphic>
          </wp:anchor>
        </w:drawing>
      </w:r>
      <w:r w:rsidRPr="003C6DAE">
        <w:rPr>
          <w:noProof/>
          <w:sz w:val="20"/>
          <w:szCs w:val="20"/>
          <w:lang w:val="uk-UA"/>
        </w:rPr>
        <w:drawing>
          <wp:anchor distT="0" distB="0" distL="0" distR="0" simplePos="0" relativeHeight="15970304" behindDoc="0" locked="0" layoutInCell="1" allowOverlap="1" wp14:anchorId="3A42E8C8" wp14:editId="1C04FCC6">
            <wp:simplePos x="0" y="0"/>
            <wp:positionH relativeFrom="page">
              <wp:posOffset>2202380</wp:posOffset>
            </wp:positionH>
            <wp:positionV relativeFrom="paragraph">
              <wp:posOffset>736803</wp:posOffset>
            </wp:positionV>
            <wp:extent cx="82077" cy="1909762"/>
            <wp:effectExtent l="0" t="0" r="0" b="0"/>
            <wp:wrapNone/>
            <wp:docPr id="1413" name="Image 1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3" name="Image 1413"/>
                    <pic:cNvPicPr/>
                  </pic:nvPicPr>
                  <pic:blipFill>
                    <a:blip r:embed="rId77" cstate="print"/>
                    <a:stretch>
                      <a:fillRect/>
                    </a:stretch>
                  </pic:blipFill>
                  <pic:spPr>
                    <a:xfrm>
                      <a:off x="0" y="0"/>
                      <a:ext cx="82077" cy="1909762"/>
                    </a:xfrm>
                    <a:prstGeom prst="rect">
                      <a:avLst/>
                    </a:prstGeom>
                  </pic:spPr>
                </pic:pic>
              </a:graphicData>
            </a:graphic>
          </wp:anchor>
        </w:drawing>
      </w:r>
      <w:r w:rsidRPr="003C6DAE">
        <w:rPr>
          <w:noProof/>
          <w:sz w:val="20"/>
          <w:szCs w:val="20"/>
          <w:lang w:val="uk-UA"/>
        </w:rPr>
        <w:drawing>
          <wp:anchor distT="0" distB="0" distL="0" distR="0" simplePos="0" relativeHeight="15970816" behindDoc="0" locked="0" layoutInCell="1" allowOverlap="1" wp14:anchorId="108AAD3C" wp14:editId="0661E677">
            <wp:simplePos x="0" y="0"/>
            <wp:positionH relativeFrom="page">
              <wp:posOffset>2355429</wp:posOffset>
            </wp:positionH>
            <wp:positionV relativeFrom="paragraph">
              <wp:posOffset>736811</wp:posOffset>
            </wp:positionV>
            <wp:extent cx="90663" cy="1909762"/>
            <wp:effectExtent l="0" t="0" r="0" b="0"/>
            <wp:wrapNone/>
            <wp:docPr id="1414" name="Image 1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4" name="Image 1414"/>
                    <pic:cNvPicPr/>
                  </pic:nvPicPr>
                  <pic:blipFill>
                    <a:blip r:embed="rId78" cstate="print"/>
                    <a:stretch>
                      <a:fillRect/>
                    </a:stretch>
                  </pic:blipFill>
                  <pic:spPr>
                    <a:xfrm>
                      <a:off x="0" y="0"/>
                      <a:ext cx="90663" cy="1909762"/>
                    </a:xfrm>
                    <a:prstGeom prst="rect">
                      <a:avLst/>
                    </a:prstGeom>
                  </pic:spPr>
                </pic:pic>
              </a:graphicData>
            </a:graphic>
          </wp:anchor>
        </w:drawing>
      </w:r>
      <w:r w:rsidRPr="003C6DAE">
        <w:rPr>
          <w:noProof/>
          <w:sz w:val="20"/>
          <w:szCs w:val="20"/>
          <w:lang w:val="uk-UA"/>
        </w:rPr>
        <w:drawing>
          <wp:anchor distT="0" distB="0" distL="0" distR="0" simplePos="0" relativeHeight="15971328" behindDoc="0" locked="0" layoutInCell="1" allowOverlap="1" wp14:anchorId="1CD385DA" wp14:editId="74D30EFC">
            <wp:simplePos x="0" y="0"/>
            <wp:positionH relativeFrom="page">
              <wp:posOffset>2515800</wp:posOffset>
            </wp:positionH>
            <wp:positionV relativeFrom="paragraph">
              <wp:posOffset>736811</wp:posOffset>
            </wp:positionV>
            <wp:extent cx="135305" cy="1909762"/>
            <wp:effectExtent l="0" t="0" r="0" b="0"/>
            <wp:wrapNone/>
            <wp:docPr id="1415" name="Image 1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5" name="Image 1415"/>
                    <pic:cNvPicPr/>
                  </pic:nvPicPr>
                  <pic:blipFill>
                    <a:blip r:embed="rId79" cstate="print"/>
                    <a:stretch>
                      <a:fillRect/>
                    </a:stretch>
                  </pic:blipFill>
                  <pic:spPr>
                    <a:xfrm>
                      <a:off x="0" y="0"/>
                      <a:ext cx="135305" cy="1909762"/>
                    </a:xfrm>
                    <a:prstGeom prst="rect">
                      <a:avLst/>
                    </a:prstGeom>
                  </pic:spPr>
                </pic:pic>
              </a:graphicData>
            </a:graphic>
          </wp:anchor>
        </w:drawing>
      </w:r>
      <w:r w:rsidRPr="003C6DAE">
        <w:rPr>
          <w:noProof/>
          <w:sz w:val="20"/>
          <w:szCs w:val="20"/>
          <w:lang w:val="uk-UA"/>
        </w:rPr>
        <w:drawing>
          <wp:anchor distT="0" distB="0" distL="0" distR="0" simplePos="0" relativeHeight="15971840" behindDoc="0" locked="0" layoutInCell="1" allowOverlap="1" wp14:anchorId="408BE09C" wp14:editId="5FF2DCBF">
            <wp:simplePos x="0" y="0"/>
            <wp:positionH relativeFrom="page">
              <wp:posOffset>2719323</wp:posOffset>
            </wp:positionH>
            <wp:positionV relativeFrom="paragraph">
              <wp:posOffset>732662</wp:posOffset>
            </wp:positionV>
            <wp:extent cx="1361719" cy="1919287"/>
            <wp:effectExtent l="0" t="0" r="0" b="0"/>
            <wp:wrapNone/>
            <wp:docPr id="1416" name="Image 1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6" name="Image 1416"/>
                    <pic:cNvPicPr/>
                  </pic:nvPicPr>
                  <pic:blipFill>
                    <a:blip r:embed="rId80" cstate="print"/>
                    <a:stretch>
                      <a:fillRect/>
                    </a:stretch>
                  </pic:blipFill>
                  <pic:spPr>
                    <a:xfrm>
                      <a:off x="0" y="0"/>
                      <a:ext cx="1361719" cy="1919287"/>
                    </a:xfrm>
                    <a:prstGeom prst="rect">
                      <a:avLst/>
                    </a:prstGeom>
                  </pic:spPr>
                </pic:pic>
              </a:graphicData>
            </a:graphic>
          </wp:anchor>
        </w:drawing>
      </w:r>
      <w:r w:rsidRPr="003C6DAE">
        <w:rPr>
          <w:noProof/>
          <w:sz w:val="20"/>
          <w:szCs w:val="20"/>
          <w:lang w:val="uk-UA"/>
        </w:rPr>
        <w:drawing>
          <wp:anchor distT="0" distB="0" distL="0" distR="0" simplePos="0" relativeHeight="15972352" behindDoc="0" locked="0" layoutInCell="1" allowOverlap="1" wp14:anchorId="6812FC8A" wp14:editId="030B6754">
            <wp:simplePos x="0" y="0"/>
            <wp:positionH relativeFrom="page">
              <wp:posOffset>4156980</wp:posOffset>
            </wp:positionH>
            <wp:positionV relativeFrom="paragraph">
              <wp:posOffset>732167</wp:posOffset>
            </wp:positionV>
            <wp:extent cx="743034" cy="1924050"/>
            <wp:effectExtent l="0" t="0" r="0" b="0"/>
            <wp:wrapNone/>
            <wp:docPr id="1417" name="Image 1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7" name="Image 1417"/>
                    <pic:cNvPicPr/>
                  </pic:nvPicPr>
                  <pic:blipFill>
                    <a:blip r:embed="rId81" cstate="print"/>
                    <a:stretch>
                      <a:fillRect/>
                    </a:stretch>
                  </pic:blipFill>
                  <pic:spPr>
                    <a:xfrm>
                      <a:off x="0" y="0"/>
                      <a:ext cx="743034" cy="1924050"/>
                    </a:xfrm>
                    <a:prstGeom prst="rect">
                      <a:avLst/>
                    </a:prstGeom>
                  </pic:spPr>
                </pic:pic>
              </a:graphicData>
            </a:graphic>
          </wp:anchor>
        </w:drawing>
      </w:r>
      <w:r w:rsidRPr="003C6DAE">
        <w:rPr>
          <w:noProof/>
          <w:sz w:val="20"/>
          <w:szCs w:val="20"/>
          <w:lang w:val="uk-UA"/>
        </w:rPr>
        <mc:AlternateContent>
          <mc:Choice Requires="wpg">
            <w:drawing>
              <wp:anchor distT="0" distB="0" distL="0" distR="0" simplePos="0" relativeHeight="15972864" behindDoc="0" locked="0" layoutInCell="1" allowOverlap="1" wp14:anchorId="313B33A9" wp14:editId="6787B01E">
                <wp:simplePos x="0" y="0"/>
                <wp:positionH relativeFrom="page">
                  <wp:posOffset>5021050</wp:posOffset>
                </wp:positionH>
                <wp:positionV relativeFrom="paragraph">
                  <wp:posOffset>732662</wp:posOffset>
                </wp:positionV>
                <wp:extent cx="748665" cy="161925"/>
                <wp:effectExtent l="0" t="0" r="0" b="0"/>
                <wp:wrapNone/>
                <wp:docPr id="1418"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665" cy="161925"/>
                          <a:chOff x="0" y="0"/>
                          <a:chExt cx="748665" cy="161925"/>
                        </a:xfrm>
                      </wpg:grpSpPr>
                      <pic:pic xmlns:pic="http://schemas.openxmlformats.org/drawingml/2006/picture">
                        <pic:nvPicPr>
                          <pic:cNvPr id="1419" name="Image 1419"/>
                          <pic:cNvPicPr/>
                        </pic:nvPicPr>
                        <pic:blipFill>
                          <a:blip r:embed="rId82" cstate="print"/>
                          <a:stretch>
                            <a:fillRect/>
                          </a:stretch>
                        </pic:blipFill>
                        <pic:spPr>
                          <a:xfrm>
                            <a:off x="0" y="0"/>
                            <a:ext cx="748353" cy="74206"/>
                          </a:xfrm>
                          <a:prstGeom prst="rect">
                            <a:avLst/>
                          </a:prstGeom>
                        </pic:spPr>
                      </pic:pic>
                      <wps:wsp>
                        <wps:cNvPr id="1420" name="Graphic 1420"/>
                        <wps:cNvSpPr/>
                        <wps:spPr>
                          <a:xfrm>
                            <a:off x="342921" y="135968"/>
                            <a:ext cx="324485" cy="1270"/>
                          </a:xfrm>
                          <a:custGeom>
                            <a:avLst/>
                            <a:gdLst/>
                            <a:ahLst/>
                            <a:cxnLst/>
                            <a:rect l="l" t="t" r="r" b="b"/>
                            <a:pathLst>
                              <a:path w="324485">
                                <a:moveTo>
                                  <a:pt x="0" y="0"/>
                                </a:moveTo>
                                <a:lnTo>
                                  <a:pt x="324345" y="0"/>
                                </a:lnTo>
                              </a:path>
                            </a:pathLst>
                          </a:custGeom>
                          <a:ln w="7759">
                            <a:solidFill>
                              <a:srgbClr val="000000"/>
                            </a:solidFill>
                            <a:prstDash val="solid"/>
                          </a:ln>
                        </wps:spPr>
                        <wps:bodyPr wrap="square" lIns="0" tIns="0" rIns="0" bIns="0" rtlCol="0">
                          <a:prstTxWarp prst="textNoShape">
                            <a:avLst/>
                          </a:prstTxWarp>
                          <a:noAutofit/>
                        </wps:bodyPr>
                      </wps:wsp>
                      <wps:wsp>
                        <wps:cNvPr id="1421" name="Graphic 1421"/>
                        <wps:cNvSpPr/>
                        <wps:spPr>
                          <a:xfrm>
                            <a:off x="509583" y="116841"/>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4303FBE" id="Group 1418" o:spid="_x0000_s1026" style="position:absolute;margin-left:395.35pt;margin-top:57.7pt;width:58.95pt;height:12.75pt;z-index:15972864;mso-wrap-distance-left:0;mso-wrap-distance-right:0;mso-position-horizontal-relative:page" coordsize="7486,1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">
                <v:shape id="Image 1419" o:spid="_x0000_s1027" type="#_x0000_t75" style="position:absolute;width:7483;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">
                  <v:imagedata r:id="rId90" o:title=""/>
                </v:shape>
                <v:shape id="Graphic 1420" o:spid="_x0000_s1028" style="position:absolute;left:3429;top:1359;width:3245;height:13;visibility:visible;mso-wrap-style:square;v-text-anchor:top" coordsize="324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" path="m,l324345,e" filled="f" strokeweight=".21553mm">
                  <v:path arrowok="t"/>
                </v:shape>
                <v:shape id="Graphic 1421" o:spid="_x0000_s1029" style="position:absolute;left:5095;top:1168;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" path="m44640,l,,,44640r44640,l44640,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73376" behindDoc="0" locked="0" layoutInCell="1" allowOverlap="1" wp14:anchorId="0CAA2920" wp14:editId="5B7C6E5A">
                <wp:simplePos x="0" y="0"/>
                <wp:positionH relativeFrom="page">
                  <wp:posOffset>5653690</wp:posOffset>
                </wp:positionH>
                <wp:positionV relativeFrom="paragraph">
                  <wp:posOffset>951535</wp:posOffset>
                </wp:positionV>
                <wp:extent cx="99695" cy="45085"/>
                <wp:effectExtent l="0" t="0" r="0" b="0"/>
                <wp:wrapNone/>
                <wp:docPr id="1422"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695" cy="45085"/>
                          <a:chOff x="0" y="0"/>
                          <a:chExt cx="99695" cy="45085"/>
                        </a:xfrm>
                      </wpg:grpSpPr>
                      <wps:wsp>
                        <wps:cNvPr id="1423" name="Graphic 1423"/>
                        <wps:cNvSpPr/>
                        <wps:spPr>
                          <a:xfrm>
                            <a:off x="0" y="19130"/>
                            <a:ext cx="99695" cy="1270"/>
                          </a:xfrm>
                          <a:custGeom>
                            <a:avLst/>
                            <a:gdLst/>
                            <a:ahLst/>
                            <a:cxnLst/>
                            <a:rect l="l" t="t" r="r" b="b"/>
                            <a:pathLst>
                              <a:path w="99695">
                                <a:moveTo>
                                  <a:pt x="0" y="0"/>
                                </a:moveTo>
                                <a:lnTo>
                                  <a:pt x="99504" y="0"/>
                                </a:lnTo>
                              </a:path>
                            </a:pathLst>
                          </a:custGeom>
                          <a:ln w="7759">
                            <a:solidFill>
                              <a:srgbClr val="000000"/>
                            </a:solidFill>
                            <a:prstDash val="solid"/>
                          </a:ln>
                        </wps:spPr>
                        <wps:bodyPr wrap="square" lIns="0" tIns="0" rIns="0" bIns="0" rtlCol="0">
                          <a:prstTxWarp prst="textNoShape">
                            <a:avLst/>
                          </a:prstTxWarp>
                          <a:noAutofit/>
                        </wps:bodyPr>
                      </wps:wsp>
                      <wps:wsp>
                        <wps:cNvPr id="1424" name="Graphic 1424"/>
                        <wps:cNvSpPr/>
                        <wps:spPr>
                          <a:xfrm>
                            <a:off x="42741" y="0"/>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D598B21" id="Group 1422" o:spid="_x0000_s1026" style="position:absolute;margin-left:445.15pt;margin-top:74.9pt;width:7.85pt;height:3.55pt;z-index:15973376;mso-wrap-distance-left:0;mso-wrap-distance-right:0;mso-position-horizontal-relative:page" coordsize="9969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">
                <v:shape id="Graphic 1423" o:spid="_x0000_s1027" style="position:absolute;top:19130;width:99695;height:1270;visibility:visible;mso-wrap-style:square;v-text-anchor:top" coordsize="996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" path="m,l99504,e" filled="f" strokeweight=".21553mm">
                  <v:path arrowok="t"/>
                </v:shape>
                <v:shape id="Graphic 1424" o:spid="_x0000_s1028" style="position:absolute;left:42741;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" path="m44640,l,,,44640r44640,l44640,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73888" behindDoc="0" locked="0" layoutInCell="1" allowOverlap="1" wp14:anchorId="3469B0FF" wp14:editId="4FA2626A">
                <wp:simplePos x="0" y="0"/>
                <wp:positionH relativeFrom="page">
                  <wp:posOffset>5626479</wp:posOffset>
                </wp:positionH>
                <wp:positionV relativeFrom="paragraph">
                  <wp:posOffset>1053567</wp:posOffset>
                </wp:positionV>
                <wp:extent cx="107314" cy="45085"/>
                <wp:effectExtent l="0" t="0" r="0" b="0"/>
                <wp:wrapNone/>
                <wp:docPr id="1425" name="Group 1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14" cy="45085"/>
                          <a:chOff x="0" y="0"/>
                          <a:chExt cx="107314" cy="45085"/>
                        </a:xfrm>
                      </wpg:grpSpPr>
                      <wps:wsp>
                        <wps:cNvPr id="1426" name="Graphic 1426"/>
                        <wps:cNvSpPr/>
                        <wps:spPr>
                          <a:xfrm>
                            <a:off x="0" y="19127"/>
                            <a:ext cx="107314" cy="1270"/>
                          </a:xfrm>
                          <a:custGeom>
                            <a:avLst/>
                            <a:gdLst/>
                            <a:ahLst/>
                            <a:cxnLst/>
                            <a:rect l="l" t="t" r="r" b="b"/>
                            <a:pathLst>
                              <a:path w="107314">
                                <a:moveTo>
                                  <a:pt x="0" y="0"/>
                                </a:moveTo>
                                <a:lnTo>
                                  <a:pt x="107035" y="0"/>
                                </a:lnTo>
                              </a:path>
                            </a:pathLst>
                          </a:custGeom>
                          <a:ln w="7759">
                            <a:solidFill>
                              <a:srgbClr val="000000"/>
                            </a:solidFill>
                            <a:prstDash val="solid"/>
                          </a:ln>
                        </wps:spPr>
                        <wps:bodyPr wrap="square" lIns="0" tIns="0" rIns="0" bIns="0" rtlCol="0">
                          <a:prstTxWarp prst="textNoShape">
                            <a:avLst/>
                          </a:prstTxWarp>
                          <a:noAutofit/>
                        </wps:bodyPr>
                      </wps:wsp>
                      <wps:wsp>
                        <wps:cNvPr id="1427" name="Graphic 1427"/>
                        <wps:cNvSpPr/>
                        <wps:spPr>
                          <a:xfrm>
                            <a:off x="44171" y="0"/>
                            <a:ext cx="45085" cy="45085"/>
                          </a:xfrm>
                          <a:custGeom>
                            <a:avLst/>
                            <a:gdLst/>
                            <a:ahLst/>
                            <a:cxnLst/>
                            <a:rect l="l" t="t" r="r" b="b"/>
                            <a:pathLst>
                              <a:path w="45085" h="45085">
                                <a:moveTo>
                                  <a:pt x="44653" y="0"/>
                                </a:moveTo>
                                <a:lnTo>
                                  <a:pt x="0" y="0"/>
                                </a:lnTo>
                                <a:lnTo>
                                  <a:pt x="0" y="44640"/>
                                </a:lnTo>
                                <a:lnTo>
                                  <a:pt x="44653" y="44640"/>
                                </a:lnTo>
                                <a:lnTo>
                                  <a:pt x="4465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8DBD14E" id="Group 1425" o:spid="_x0000_s1026" style="position:absolute;margin-left:443.05pt;margin-top:82.95pt;width:8.45pt;height:3.55pt;z-index:15973888;mso-wrap-distance-left:0;mso-wrap-distance-right:0;mso-position-horizontal-relative:page" coordsize="107314,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">
                <v:shape id="Graphic 1426" o:spid="_x0000_s1027" style="position:absolute;top:19127;width:107314;height:1270;visibility:visible;mso-wrap-style:square;v-text-anchor:top" coordsize="1073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" path="m,l107035,e" filled="f" strokeweight=".21553mm">
                  <v:path arrowok="t"/>
                </v:shape>
                <v:shape id="Graphic 1427" o:spid="_x0000_s1028" style="position:absolute;left:44171;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" path="m44653,l,,,44640r44653,l44653,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74400" behindDoc="0" locked="0" layoutInCell="1" allowOverlap="1" wp14:anchorId="0AE0C912" wp14:editId="23A64FAE">
                <wp:simplePos x="0" y="0"/>
                <wp:positionH relativeFrom="page">
                  <wp:posOffset>5662546</wp:posOffset>
                </wp:positionH>
                <wp:positionV relativeFrom="paragraph">
                  <wp:posOffset>1155599</wp:posOffset>
                </wp:positionV>
                <wp:extent cx="71120" cy="45085"/>
                <wp:effectExtent l="0" t="0" r="0" b="0"/>
                <wp:wrapNone/>
                <wp:docPr id="1428"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20" cy="45085"/>
                          <a:chOff x="0" y="0"/>
                          <a:chExt cx="71120" cy="45085"/>
                        </a:xfrm>
                      </wpg:grpSpPr>
                      <wps:wsp>
                        <wps:cNvPr id="1429" name="Graphic 1429"/>
                        <wps:cNvSpPr/>
                        <wps:spPr>
                          <a:xfrm>
                            <a:off x="0" y="19127"/>
                            <a:ext cx="71120" cy="1270"/>
                          </a:xfrm>
                          <a:custGeom>
                            <a:avLst/>
                            <a:gdLst/>
                            <a:ahLst/>
                            <a:cxnLst/>
                            <a:rect l="l" t="t" r="r" b="b"/>
                            <a:pathLst>
                              <a:path w="71120">
                                <a:moveTo>
                                  <a:pt x="0" y="0"/>
                                </a:moveTo>
                                <a:lnTo>
                                  <a:pt x="70866" y="0"/>
                                </a:lnTo>
                              </a:path>
                            </a:pathLst>
                          </a:custGeom>
                          <a:ln w="7759">
                            <a:solidFill>
                              <a:srgbClr val="000000"/>
                            </a:solidFill>
                            <a:prstDash val="solid"/>
                          </a:ln>
                        </wps:spPr>
                        <wps:bodyPr wrap="square" lIns="0" tIns="0" rIns="0" bIns="0" rtlCol="0">
                          <a:prstTxWarp prst="textNoShape">
                            <a:avLst/>
                          </a:prstTxWarp>
                          <a:noAutofit/>
                        </wps:bodyPr>
                      </wps:wsp>
                      <wps:wsp>
                        <wps:cNvPr id="1430" name="Graphic 1430"/>
                        <wps:cNvSpPr/>
                        <wps:spPr>
                          <a:xfrm>
                            <a:off x="21554" y="0"/>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6ABB769" id="Group 1428" o:spid="_x0000_s1026" style="position:absolute;margin-left:445.85pt;margin-top:91pt;width:5.6pt;height:3.55pt;z-index:15974400;mso-wrap-distance-left:0;mso-wrap-distance-right:0;mso-position-horizontal-relative:page" coordsize="711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">
                <v:shape id="Graphic 1429" o:spid="_x0000_s1027" style="position:absolute;top:19127;width:71120;height:1270;visibility:visible;mso-wrap-style:square;v-text-anchor:top" coordsize="71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" path="m,l70866,e" filled="f" strokeweight=".21553mm">
                  <v:path arrowok="t"/>
                </v:shape>
                <v:shape id="Graphic 1430" o:spid="_x0000_s1028" style="position:absolute;left:21554;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" path="m44640,l,,,44640r44640,l44640,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74912" behindDoc="0" locked="0" layoutInCell="1" allowOverlap="1" wp14:anchorId="2F30842D" wp14:editId="3E4B9184">
                <wp:simplePos x="0" y="0"/>
                <wp:positionH relativeFrom="page">
                  <wp:posOffset>5525413</wp:posOffset>
                </wp:positionH>
                <wp:positionV relativeFrom="paragraph">
                  <wp:posOffset>1257618</wp:posOffset>
                </wp:positionV>
                <wp:extent cx="165100" cy="45085"/>
                <wp:effectExtent l="0" t="0" r="0" b="0"/>
                <wp:wrapNone/>
                <wp:docPr id="1431"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45085"/>
                          <a:chOff x="0" y="0"/>
                          <a:chExt cx="165100" cy="45085"/>
                        </a:xfrm>
                      </wpg:grpSpPr>
                      <wps:wsp>
                        <wps:cNvPr id="1432" name="Graphic 1432"/>
                        <wps:cNvSpPr/>
                        <wps:spPr>
                          <a:xfrm>
                            <a:off x="0" y="19137"/>
                            <a:ext cx="165100" cy="1270"/>
                          </a:xfrm>
                          <a:custGeom>
                            <a:avLst/>
                            <a:gdLst/>
                            <a:ahLst/>
                            <a:cxnLst/>
                            <a:rect l="l" t="t" r="r" b="b"/>
                            <a:pathLst>
                              <a:path w="165100">
                                <a:moveTo>
                                  <a:pt x="0" y="0"/>
                                </a:moveTo>
                                <a:lnTo>
                                  <a:pt x="164668" y="0"/>
                                </a:lnTo>
                              </a:path>
                            </a:pathLst>
                          </a:custGeom>
                          <a:ln w="7759">
                            <a:solidFill>
                              <a:srgbClr val="000000"/>
                            </a:solidFill>
                            <a:prstDash val="solid"/>
                          </a:ln>
                        </wps:spPr>
                        <wps:bodyPr wrap="square" lIns="0" tIns="0" rIns="0" bIns="0" rtlCol="0">
                          <a:prstTxWarp prst="textNoShape">
                            <a:avLst/>
                          </a:prstTxWarp>
                          <a:noAutofit/>
                        </wps:bodyPr>
                      </wps:wsp>
                      <wps:wsp>
                        <wps:cNvPr id="1433" name="Graphic 1433"/>
                        <wps:cNvSpPr/>
                        <wps:spPr>
                          <a:xfrm>
                            <a:off x="74347" y="0"/>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E3972A3" id="Group 1431" o:spid="_x0000_s1026" style="position:absolute;margin-left:435.05pt;margin-top:99.05pt;width:13pt;height:3.55pt;z-index:15974912;mso-wrap-distance-left:0;mso-wrap-distance-right:0;mso-position-horizontal-relative:page" coordsize="1651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">
                <v:shape id="Graphic 1432" o:spid="_x0000_s1027" style="position:absolute;top:19137;width:165100;height:1270;visibility:visible;mso-wrap-style:square;v-text-anchor:top" coordsize="165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" path="m,l164668,e" filled="f" strokeweight=".21553mm">
                  <v:path arrowok="t"/>
                </v:shape>
                <v:shape id="Graphic 1433" o:spid="_x0000_s1028" style="position:absolute;left:74347;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" path="m44640,l,,,44640r44640,l44640,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75424" behindDoc="0" locked="0" layoutInCell="1" allowOverlap="1" wp14:anchorId="3492DC02" wp14:editId="741A3D7B">
                <wp:simplePos x="0" y="0"/>
                <wp:positionH relativeFrom="page">
                  <wp:posOffset>5601873</wp:posOffset>
                </wp:positionH>
                <wp:positionV relativeFrom="paragraph">
                  <wp:posOffset>1359663</wp:posOffset>
                </wp:positionV>
                <wp:extent cx="118110" cy="45085"/>
                <wp:effectExtent l="0" t="0" r="0" b="0"/>
                <wp:wrapNone/>
                <wp:docPr id="1434"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110" cy="45085"/>
                          <a:chOff x="0" y="0"/>
                          <a:chExt cx="118110" cy="45085"/>
                        </a:xfrm>
                      </wpg:grpSpPr>
                      <wps:wsp>
                        <wps:cNvPr id="1435" name="Graphic 1435"/>
                        <wps:cNvSpPr/>
                        <wps:spPr>
                          <a:xfrm>
                            <a:off x="0" y="19127"/>
                            <a:ext cx="118110" cy="1270"/>
                          </a:xfrm>
                          <a:custGeom>
                            <a:avLst/>
                            <a:gdLst/>
                            <a:ahLst/>
                            <a:cxnLst/>
                            <a:rect l="l" t="t" r="r" b="b"/>
                            <a:pathLst>
                              <a:path w="118110">
                                <a:moveTo>
                                  <a:pt x="0" y="0"/>
                                </a:moveTo>
                                <a:lnTo>
                                  <a:pt x="117525" y="0"/>
                                </a:lnTo>
                              </a:path>
                            </a:pathLst>
                          </a:custGeom>
                          <a:ln w="7759">
                            <a:solidFill>
                              <a:srgbClr val="000000"/>
                            </a:solidFill>
                            <a:prstDash val="solid"/>
                          </a:ln>
                        </wps:spPr>
                        <wps:bodyPr wrap="square" lIns="0" tIns="0" rIns="0" bIns="0" rtlCol="0">
                          <a:prstTxWarp prst="textNoShape">
                            <a:avLst/>
                          </a:prstTxWarp>
                          <a:noAutofit/>
                        </wps:bodyPr>
                      </wps:wsp>
                      <wps:wsp>
                        <wps:cNvPr id="1436" name="Graphic 1436"/>
                        <wps:cNvSpPr/>
                        <wps:spPr>
                          <a:xfrm>
                            <a:off x="49004" y="0"/>
                            <a:ext cx="45085" cy="45085"/>
                          </a:xfrm>
                          <a:custGeom>
                            <a:avLst/>
                            <a:gdLst/>
                            <a:ahLst/>
                            <a:cxnLst/>
                            <a:rect l="l" t="t" r="r" b="b"/>
                            <a:pathLst>
                              <a:path w="45085" h="45085">
                                <a:moveTo>
                                  <a:pt x="44653" y="0"/>
                                </a:moveTo>
                                <a:lnTo>
                                  <a:pt x="0" y="0"/>
                                </a:lnTo>
                                <a:lnTo>
                                  <a:pt x="0" y="44640"/>
                                </a:lnTo>
                                <a:lnTo>
                                  <a:pt x="44653" y="44640"/>
                                </a:lnTo>
                                <a:lnTo>
                                  <a:pt x="4465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1ACBA8F" id="Group 1434" o:spid="_x0000_s1026" style="position:absolute;margin-left:441.1pt;margin-top:107.05pt;width:9.3pt;height:3.55pt;z-index:15975424;mso-wrap-distance-left:0;mso-wrap-distance-right:0;mso-position-horizontal-relative:page" coordsize="11811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">
                <v:shape id="Graphic 1435" o:spid="_x0000_s1027" style="position:absolute;top:19127;width:118110;height:1270;visibility:visible;mso-wrap-style:square;v-text-anchor:top" coordsize="11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" path="m,l117525,e" filled="f" strokeweight=".21553mm">
                  <v:path arrowok="t"/>
                </v:shape>
                <v:shape id="Graphic 1436" o:spid="_x0000_s1028" style="position:absolute;left:49004;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" path="m44653,l,,,44640r44653,l44653,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75936" behindDoc="0" locked="0" layoutInCell="1" allowOverlap="1" wp14:anchorId="36E9BD25" wp14:editId="2DB5914B">
                <wp:simplePos x="0" y="0"/>
                <wp:positionH relativeFrom="page">
                  <wp:posOffset>5557447</wp:posOffset>
                </wp:positionH>
                <wp:positionV relativeFrom="paragraph">
                  <wp:posOffset>1461682</wp:posOffset>
                </wp:positionV>
                <wp:extent cx="195580" cy="45085"/>
                <wp:effectExtent l="0" t="0" r="0" b="0"/>
                <wp:wrapNone/>
                <wp:docPr id="1437" name="Group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45085"/>
                          <a:chOff x="0" y="0"/>
                          <a:chExt cx="195580" cy="45085"/>
                        </a:xfrm>
                      </wpg:grpSpPr>
                      <wps:wsp>
                        <wps:cNvPr id="1438" name="Graphic 1438"/>
                        <wps:cNvSpPr/>
                        <wps:spPr>
                          <a:xfrm>
                            <a:off x="0" y="19137"/>
                            <a:ext cx="195580" cy="1270"/>
                          </a:xfrm>
                          <a:custGeom>
                            <a:avLst/>
                            <a:gdLst/>
                            <a:ahLst/>
                            <a:cxnLst/>
                            <a:rect l="l" t="t" r="r" b="b"/>
                            <a:pathLst>
                              <a:path w="195580">
                                <a:moveTo>
                                  <a:pt x="0" y="0"/>
                                </a:moveTo>
                                <a:lnTo>
                                  <a:pt x="194995" y="0"/>
                                </a:lnTo>
                              </a:path>
                            </a:pathLst>
                          </a:custGeom>
                          <a:ln w="7759">
                            <a:solidFill>
                              <a:srgbClr val="000000"/>
                            </a:solidFill>
                            <a:prstDash val="solid"/>
                          </a:ln>
                        </wps:spPr>
                        <wps:bodyPr wrap="square" lIns="0" tIns="0" rIns="0" bIns="0" rtlCol="0">
                          <a:prstTxWarp prst="textNoShape">
                            <a:avLst/>
                          </a:prstTxWarp>
                          <a:noAutofit/>
                        </wps:bodyPr>
                      </wps:wsp>
                      <wps:wsp>
                        <wps:cNvPr id="1439" name="Graphic 1439"/>
                        <wps:cNvSpPr/>
                        <wps:spPr>
                          <a:xfrm>
                            <a:off x="107095" y="0"/>
                            <a:ext cx="45085" cy="45085"/>
                          </a:xfrm>
                          <a:custGeom>
                            <a:avLst/>
                            <a:gdLst/>
                            <a:ahLst/>
                            <a:cxnLst/>
                            <a:rect l="l" t="t" r="r" b="b"/>
                            <a:pathLst>
                              <a:path w="45085" h="45085">
                                <a:moveTo>
                                  <a:pt x="44653" y="0"/>
                                </a:moveTo>
                                <a:lnTo>
                                  <a:pt x="0" y="0"/>
                                </a:lnTo>
                                <a:lnTo>
                                  <a:pt x="0" y="44640"/>
                                </a:lnTo>
                                <a:lnTo>
                                  <a:pt x="44653" y="44640"/>
                                </a:lnTo>
                                <a:lnTo>
                                  <a:pt x="4465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9C7FE75" id="Group 1437" o:spid="_x0000_s1026" style="position:absolute;margin-left:437.6pt;margin-top:115.1pt;width:15.4pt;height:3.55pt;z-index:15975936;mso-wrap-distance-left:0;mso-wrap-distance-right:0;mso-position-horizontal-relative:page" coordsize="1955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">
                <v:shape id="Graphic 1438" o:spid="_x0000_s1027" style="position:absolute;top:19137;width:195580;height:1270;visibility:visible;mso-wrap-style:square;v-text-anchor:top" coordsize="195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" path="m,l194995,e" filled="f" strokeweight=".21553mm">
                  <v:path arrowok="t"/>
                </v:shape>
                <v:shape id="Graphic 1439" o:spid="_x0000_s1028" style="position:absolute;left:107095;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" path="m44653,l,,,44640r44653,l44653,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76448" behindDoc="0" locked="0" layoutInCell="1" allowOverlap="1" wp14:anchorId="5E0EEF11" wp14:editId="2993BC98">
                <wp:simplePos x="0" y="0"/>
                <wp:positionH relativeFrom="page">
                  <wp:posOffset>5658255</wp:posOffset>
                </wp:positionH>
                <wp:positionV relativeFrom="paragraph">
                  <wp:posOffset>1563713</wp:posOffset>
                </wp:positionV>
                <wp:extent cx="72390" cy="45085"/>
                <wp:effectExtent l="0" t="0" r="0" b="0"/>
                <wp:wrapNone/>
                <wp:docPr id="1440"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 cy="45085"/>
                          <a:chOff x="0" y="0"/>
                          <a:chExt cx="72390" cy="45085"/>
                        </a:xfrm>
                      </wpg:grpSpPr>
                      <wps:wsp>
                        <wps:cNvPr id="1441" name="Graphic 1441"/>
                        <wps:cNvSpPr/>
                        <wps:spPr>
                          <a:xfrm>
                            <a:off x="0" y="19138"/>
                            <a:ext cx="72390" cy="1270"/>
                          </a:xfrm>
                          <a:custGeom>
                            <a:avLst/>
                            <a:gdLst/>
                            <a:ahLst/>
                            <a:cxnLst/>
                            <a:rect l="l" t="t" r="r" b="b"/>
                            <a:pathLst>
                              <a:path w="72390">
                                <a:moveTo>
                                  <a:pt x="0" y="0"/>
                                </a:moveTo>
                                <a:lnTo>
                                  <a:pt x="72085" y="0"/>
                                </a:lnTo>
                              </a:path>
                            </a:pathLst>
                          </a:custGeom>
                          <a:ln w="7759">
                            <a:solidFill>
                              <a:srgbClr val="000000"/>
                            </a:solidFill>
                            <a:prstDash val="solid"/>
                          </a:ln>
                        </wps:spPr>
                        <wps:bodyPr wrap="square" lIns="0" tIns="0" rIns="0" bIns="0" rtlCol="0">
                          <a:prstTxWarp prst="textNoShape">
                            <a:avLst/>
                          </a:prstTxWarp>
                          <a:noAutofit/>
                        </wps:bodyPr>
                      </wps:wsp>
                      <wps:wsp>
                        <wps:cNvPr id="1442" name="Graphic 1442"/>
                        <wps:cNvSpPr/>
                        <wps:spPr>
                          <a:xfrm>
                            <a:off x="22061" y="0"/>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BF21A98" id="Group 1440" o:spid="_x0000_s1026" style="position:absolute;margin-left:445.55pt;margin-top:123.15pt;width:5.7pt;height:3.55pt;z-index:15976448;mso-wrap-distance-left:0;mso-wrap-distance-right:0;mso-position-horizontal-relative:page" coordsize="7239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">
                <v:shape id="Graphic 1441" o:spid="_x0000_s1027" style="position:absolute;top:19138;width:72390;height:1270;visibility:visible;mso-wrap-style:square;v-text-anchor:top" coordsize="72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" path="m,l72085,e" filled="f" strokeweight=".21553mm">
                  <v:path arrowok="t"/>
                </v:shape>
                <v:shape id="Graphic 1442" o:spid="_x0000_s1028" style="position:absolute;left:22061;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" path="m44640,l,,,44640r44640,l44640,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76960" behindDoc="0" locked="0" layoutInCell="1" allowOverlap="1" wp14:anchorId="69BF8294" wp14:editId="23B6DE99">
                <wp:simplePos x="0" y="0"/>
                <wp:positionH relativeFrom="page">
                  <wp:posOffset>5456778</wp:posOffset>
                </wp:positionH>
                <wp:positionV relativeFrom="paragraph">
                  <wp:posOffset>1665758</wp:posOffset>
                </wp:positionV>
                <wp:extent cx="268605" cy="45085"/>
                <wp:effectExtent l="0" t="0" r="0" b="0"/>
                <wp:wrapNone/>
                <wp:docPr id="1443"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45085"/>
                          <a:chOff x="0" y="0"/>
                          <a:chExt cx="268605" cy="45085"/>
                        </a:xfrm>
                      </wpg:grpSpPr>
                      <wps:wsp>
                        <wps:cNvPr id="1444" name="Graphic 1444"/>
                        <wps:cNvSpPr/>
                        <wps:spPr>
                          <a:xfrm>
                            <a:off x="0" y="19130"/>
                            <a:ext cx="268605" cy="1270"/>
                          </a:xfrm>
                          <a:custGeom>
                            <a:avLst/>
                            <a:gdLst/>
                            <a:ahLst/>
                            <a:cxnLst/>
                            <a:rect l="l" t="t" r="r" b="b"/>
                            <a:pathLst>
                              <a:path w="268605">
                                <a:moveTo>
                                  <a:pt x="0" y="0"/>
                                </a:moveTo>
                                <a:lnTo>
                                  <a:pt x="267982" y="0"/>
                                </a:lnTo>
                              </a:path>
                            </a:pathLst>
                          </a:custGeom>
                          <a:ln w="7759">
                            <a:solidFill>
                              <a:srgbClr val="000000"/>
                            </a:solidFill>
                            <a:prstDash val="solid"/>
                          </a:ln>
                        </wps:spPr>
                        <wps:bodyPr wrap="square" lIns="0" tIns="0" rIns="0" bIns="0" rtlCol="0">
                          <a:prstTxWarp prst="textNoShape">
                            <a:avLst/>
                          </a:prstTxWarp>
                          <a:noAutofit/>
                        </wps:bodyPr>
                      </wps:wsp>
                      <wps:wsp>
                        <wps:cNvPr id="1445" name="Graphic 1445"/>
                        <wps:cNvSpPr/>
                        <wps:spPr>
                          <a:xfrm>
                            <a:off x="144010" y="0"/>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F9048B9" id="Group 1443" o:spid="_x0000_s1026" style="position:absolute;margin-left:429.65pt;margin-top:131.15pt;width:21.15pt;height:3.55pt;z-index:15976960;mso-wrap-distance-left:0;mso-wrap-distance-right:0;mso-position-horizontal-relative:page" coordsize="26860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">
                <v:shape id="Graphic 1444" o:spid="_x0000_s1027" style="position:absolute;top:19130;width:268605;height:1270;visibility:visible;mso-wrap-style:square;v-text-anchor:top" coordsize="268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" path="m,l267982,e" filled="f" strokeweight=".21553mm">
                  <v:path arrowok="t"/>
                </v:shape>
                <v:shape id="Graphic 1445" o:spid="_x0000_s1028" style="position:absolute;left:144010;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" path="m44640,l,,,44640r44640,l44640,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82080" behindDoc="0" locked="0" layoutInCell="1" allowOverlap="1" wp14:anchorId="182C64B3" wp14:editId="1A3817B3">
                <wp:simplePos x="0" y="0"/>
                <wp:positionH relativeFrom="page">
                  <wp:posOffset>5856443</wp:posOffset>
                </wp:positionH>
                <wp:positionV relativeFrom="paragraph">
                  <wp:posOffset>732167</wp:posOffset>
                </wp:positionV>
                <wp:extent cx="777875" cy="162560"/>
                <wp:effectExtent l="0" t="0" r="0" b="0"/>
                <wp:wrapNone/>
                <wp:docPr id="1446" name="Group 1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162560"/>
                          <a:chOff x="0" y="0"/>
                          <a:chExt cx="777875" cy="162560"/>
                        </a:xfrm>
                      </wpg:grpSpPr>
                      <pic:pic xmlns:pic="http://schemas.openxmlformats.org/drawingml/2006/picture">
                        <pic:nvPicPr>
                          <pic:cNvPr id="1447" name="Image 1447"/>
                          <pic:cNvPicPr/>
                        </pic:nvPicPr>
                        <pic:blipFill>
                          <a:blip r:embed="rId91" cstate="print"/>
                          <a:stretch>
                            <a:fillRect/>
                          </a:stretch>
                        </pic:blipFill>
                        <pic:spPr>
                          <a:xfrm>
                            <a:off x="0" y="0"/>
                            <a:ext cx="742295" cy="74701"/>
                          </a:xfrm>
                          <a:prstGeom prst="rect">
                            <a:avLst/>
                          </a:prstGeom>
                        </pic:spPr>
                      </pic:pic>
                      <wps:wsp>
                        <wps:cNvPr id="1448" name="Graphic 1448"/>
                        <wps:cNvSpPr/>
                        <wps:spPr>
                          <a:xfrm>
                            <a:off x="628616" y="136464"/>
                            <a:ext cx="123825" cy="1270"/>
                          </a:xfrm>
                          <a:custGeom>
                            <a:avLst/>
                            <a:gdLst/>
                            <a:ahLst/>
                            <a:cxnLst/>
                            <a:rect l="l" t="t" r="r" b="b"/>
                            <a:pathLst>
                              <a:path w="123825">
                                <a:moveTo>
                                  <a:pt x="0" y="0"/>
                                </a:moveTo>
                                <a:lnTo>
                                  <a:pt x="123278" y="0"/>
                                </a:lnTo>
                              </a:path>
                            </a:pathLst>
                          </a:custGeom>
                          <a:ln w="7759">
                            <a:solidFill>
                              <a:srgbClr val="000000"/>
                            </a:solidFill>
                            <a:prstDash val="solid"/>
                          </a:ln>
                        </wps:spPr>
                        <wps:bodyPr wrap="square" lIns="0" tIns="0" rIns="0" bIns="0" rtlCol="0">
                          <a:prstTxWarp prst="textNoShape">
                            <a:avLst/>
                          </a:prstTxWarp>
                          <a:noAutofit/>
                        </wps:bodyPr>
                      </wps:wsp>
                      <wps:wsp>
                        <wps:cNvPr id="1449" name="Graphic 1449"/>
                        <wps:cNvSpPr/>
                        <wps:spPr>
                          <a:xfrm>
                            <a:off x="732760" y="117336"/>
                            <a:ext cx="45085" cy="45085"/>
                          </a:xfrm>
                          <a:custGeom>
                            <a:avLst/>
                            <a:gdLst/>
                            <a:ahLst/>
                            <a:cxnLst/>
                            <a:rect l="l" t="t" r="r" b="b"/>
                            <a:pathLst>
                              <a:path w="45085" h="45085">
                                <a:moveTo>
                                  <a:pt x="44653" y="0"/>
                                </a:moveTo>
                                <a:lnTo>
                                  <a:pt x="0" y="0"/>
                                </a:lnTo>
                                <a:lnTo>
                                  <a:pt x="0" y="44640"/>
                                </a:lnTo>
                                <a:lnTo>
                                  <a:pt x="44653" y="44640"/>
                                </a:lnTo>
                                <a:lnTo>
                                  <a:pt x="4465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DA39645" id="Group 1446" o:spid="_x0000_s1026" style="position:absolute;margin-left:461.15pt;margin-top:57.65pt;width:61.25pt;height:12.8pt;z-index:15982080;mso-wrap-distance-left:0;mso-wrap-distance-right:0;mso-position-horizontal-relative:page" coordsize="7778,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">
                <v:shape id="Image 1447" o:spid="_x0000_s1027" type="#_x0000_t75" style="position:absolute;width:7422;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">
                  <v:imagedata r:id="rId92" o:title=""/>
                </v:shape>
                <v:shape id="Graphic 1448" o:spid="_x0000_s1028" style="position:absolute;left:6286;top:1364;width:1238;height:13;visibility:visible;mso-wrap-style:square;v-text-anchor:top" coordsize="123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" path="m,l123278,e" filled="f" strokeweight=".21553mm">
                  <v:path arrowok="t"/>
                </v:shape>
                <v:shape id="Graphic 1449" o:spid="_x0000_s1029" style="position:absolute;left:7327;top:1173;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" path="m44653,l,,,44640r44653,l44653,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82592" behindDoc="0" locked="0" layoutInCell="1" allowOverlap="1" wp14:anchorId="34A0C66E" wp14:editId="74F1E805">
                <wp:simplePos x="0" y="0"/>
                <wp:positionH relativeFrom="page">
                  <wp:posOffset>6578263</wp:posOffset>
                </wp:positionH>
                <wp:positionV relativeFrom="paragraph">
                  <wp:posOffset>951535</wp:posOffset>
                </wp:positionV>
                <wp:extent cx="55880" cy="45085"/>
                <wp:effectExtent l="0" t="0" r="0" b="0"/>
                <wp:wrapNone/>
                <wp:docPr id="1450"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 cy="45085"/>
                          <a:chOff x="0" y="0"/>
                          <a:chExt cx="55880" cy="45085"/>
                        </a:xfrm>
                      </wpg:grpSpPr>
                      <wps:wsp>
                        <wps:cNvPr id="1451" name="Graphic 1451"/>
                        <wps:cNvSpPr/>
                        <wps:spPr>
                          <a:xfrm>
                            <a:off x="0" y="19130"/>
                            <a:ext cx="30480" cy="1270"/>
                          </a:xfrm>
                          <a:custGeom>
                            <a:avLst/>
                            <a:gdLst/>
                            <a:ahLst/>
                            <a:cxnLst/>
                            <a:rect l="l" t="t" r="r" b="b"/>
                            <a:pathLst>
                              <a:path w="30480">
                                <a:moveTo>
                                  <a:pt x="0" y="0"/>
                                </a:moveTo>
                                <a:lnTo>
                                  <a:pt x="30073" y="0"/>
                                </a:lnTo>
                              </a:path>
                            </a:pathLst>
                          </a:custGeom>
                          <a:ln w="7759">
                            <a:solidFill>
                              <a:srgbClr val="000000"/>
                            </a:solidFill>
                            <a:prstDash val="solid"/>
                          </a:ln>
                        </wps:spPr>
                        <wps:bodyPr wrap="square" lIns="0" tIns="0" rIns="0" bIns="0" rtlCol="0">
                          <a:prstTxWarp prst="textNoShape">
                            <a:avLst/>
                          </a:prstTxWarp>
                          <a:noAutofit/>
                        </wps:bodyPr>
                      </wps:wsp>
                      <wps:wsp>
                        <wps:cNvPr id="1452" name="Graphic 1452"/>
                        <wps:cNvSpPr/>
                        <wps:spPr>
                          <a:xfrm>
                            <a:off x="10941" y="0"/>
                            <a:ext cx="45085" cy="45085"/>
                          </a:xfrm>
                          <a:custGeom>
                            <a:avLst/>
                            <a:gdLst/>
                            <a:ahLst/>
                            <a:cxnLst/>
                            <a:rect l="l" t="t" r="r" b="b"/>
                            <a:pathLst>
                              <a:path w="45085" h="45085">
                                <a:moveTo>
                                  <a:pt x="44653" y="0"/>
                                </a:moveTo>
                                <a:lnTo>
                                  <a:pt x="0" y="0"/>
                                </a:lnTo>
                                <a:lnTo>
                                  <a:pt x="0" y="44640"/>
                                </a:lnTo>
                                <a:lnTo>
                                  <a:pt x="44653" y="44640"/>
                                </a:lnTo>
                                <a:lnTo>
                                  <a:pt x="4465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512B5C6" id="Group 1450" o:spid="_x0000_s1026" style="position:absolute;margin-left:517.95pt;margin-top:74.9pt;width:4.4pt;height:3.55pt;z-index:15982592;mso-wrap-distance-left:0;mso-wrap-distance-right:0;mso-position-horizontal-relative:page" coordsize="558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">
                <v:shape id="Graphic 1451" o:spid="_x0000_s1027" style="position:absolute;top:19130;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" path="m,l30073,e" filled="f" strokeweight=".21553mm">
                  <v:path arrowok="t"/>
                </v:shape>
                <v:shape id="Graphic 1452" o:spid="_x0000_s1028" style="position:absolute;left:10941;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" path="m44653,l,,,44640r44653,l44653,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83104" behindDoc="0" locked="0" layoutInCell="1" allowOverlap="1" wp14:anchorId="0D95E440" wp14:editId="7F5EF848">
                <wp:simplePos x="0" y="0"/>
                <wp:positionH relativeFrom="page">
                  <wp:posOffset>6521300</wp:posOffset>
                </wp:positionH>
                <wp:positionV relativeFrom="paragraph">
                  <wp:posOffset>1053567</wp:posOffset>
                </wp:positionV>
                <wp:extent cx="69850" cy="45085"/>
                <wp:effectExtent l="0" t="0" r="0" b="0"/>
                <wp:wrapNone/>
                <wp:docPr id="1453"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 cy="45085"/>
                          <a:chOff x="0" y="0"/>
                          <a:chExt cx="69850" cy="45085"/>
                        </a:xfrm>
                      </wpg:grpSpPr>
                      <wps:wsp>
                        <wps:cNvPr id="1454" name="Graphic 1454"/>
                        <wps:cNvSpPr/>
                        <wps:spPr>
                          <a:xfrm>
                            <a:off x="0" y="19127"/>
                            <a:ext cx="69850" cy="1270"/>
                          </a:xfrm>
                          <a:custGeom>
                            <a:avLst/>
                            <a:gdLst/>
                            <a:ahLst/>
                            <a:cxnLst/>
                            <a:rect l="l" t="t" r="r" b="b"/>
                            <a:pathLst>
                              <a:path w="69850">
                                <a:moveTo>
                                  <a:pt x="0" y="0"/>
                                </a:moveTo>
                                <a:lnTo>
                                  <a:pt x="69291" y="0"/>
                                </a:lnTo>
                              </a:path>
                            </a:pathLst>
                          </a:custGeom>
                          <a:ln w="7759">
                            <a:solidFill>
                              <a:srgbClr val="000000"/>
                            </a:solidFill>
                            <a:prstDash val="solid"/>
                          </a:ln>
                        </wps:spPr>
                        <wps:bodyPr wrap="square" lIns="0" tIns="0" rIns="0" bIns="0" rtlCol="0">
                          <a:prstTxWarp prst="textNoShape">
                            <a:avLst/>
                          </a:prstTxWarp>
                          <a:noAutofit/>
                        </wps:bodyPr>
                      </wps:wsp>
                      <wps:wsp>
                        <wps:cNvPr id="1455" name="Graphic 1455"/>
                        <wps:cNvSpPr/>
                        <wps:spPr>
                          <a:xfrm>
                            <a:off x="24356" y="0"/>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DBF9643" id="Group 1453" o:spid="_x0000_s1026" style="position:absolute;margin-left:513.5pt;margin-top:82.95pt;width:5.5pt;height:3.55pt;z-index:15983104;mso-wrap-distance-left:0;mso-wrap-distance-right:0;mso-position-horizontal-relative:page" coordsize="6985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">
                <v:shape id="Graphic 1454" o:spid="_x0000_s1027" style="position:absolute;top:19127;width:69850;height:1270;visibility:visible;mso-wrap-style:square;v-text-anchor:top" coordsize="69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" path="m,l69291,e" filled="f" strokeweight=".21553mm">
                  <v:path arrowok="t"/>
                </v:shape>
                <v:shape id="Graphic 1455" o:spid="_x0000_s1028" style="position:absolute;left:24356;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" path="m44640,l,,,44640r44640,l44640,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83616" behindDoc="0" locked="0" layoutInCell="1" allowOverlap="1" wp14:anchorId="348331BD" wp14:editId="7967D4B8">
                <wp:simplePos x="0" y="0"/>
                <wp:positionH relativeFrom="page">
                  <wp:posOffset>6576105</wp:posOffset>
                </wp:positionH>
                <wp:positionV relativeFrom="paragraph">
                  <wp:posOffset>1155599</wp:posOffset>
                </wp:positionV>
                <wp:extent cx="52069" cy="45085"/>
                <wp:effectExtent l="0" t="0" r="0" b="0"/>
                <wp:wrapNone/>
                <wp:docPr id="1456"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45085"/>
                          <a:chOff x="0" y="0"/>
                          <a:chExt cx="52069" cy="45085"/>
                        </a:xfrm>
                      </wpg:grpSpPr>
                      <wps:wsp>
                        <wps:cNvPr id="1457" name="Graphic 1457"/>
                        <wps:cNvSpPr/>
                        <wps:spPr>
                          <a:xfrm>
                            <a:off x="0" y="19127"/>
                            <a:ext cx="32384" cy="1270"/>
                          </a:xfrm>
                          <a:custGeom>
                            <a:avLst/>
                            <a:gdLst/>
                            <a:ahLst/>
                            <a:cxnLst/>
                            <a:rect l="l" t="t" r="r" b="b"/>
                            <a:pathLst>
                              <a:path w="32384">
                                <a:moveTo>
                                  <a:pt x="0" y="0"/>
                                </a:moveTo>
                                <a:lnTo>
                                  <a:pt x="32080" y="0"/>
                                </a:lnTo>
                              </a:path>
                            </a:pathLst>
                          </a:custGeom>
                          <a:ln w="7759">
                            <a:solidFill>
                              <a:srgbClr val="000000"/>
                            </a:solidFill>
                            <a:prstDash val="solid"/>
                          </a:ln>
                        </wps:spPr>
                        <wps:bodyPr wrap="square" lIns="0" tIns="0" rIns="0" bIns="0" rtlCol="0">
                          <a:prstTxWarp prst="textNoShape">
                            <a:avLst/>
                          </a:prstTxWarp>
                          <a:noAutofit/>
                        </wps:bodyPr>
                      </wps:wsp>
                      <wps:wsp>
                        <wps:cNvPr id="1458" name="Graphic 1458"/>
                        <wps:cNvSpPr/>
                        <wps:spPr>
                          <a:xfrm>
                            <a:off x="7218" y="0"/>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2D8781E" id="Group 1456" o:spid="_x0000_s1026" style="position:absolute;margin-left:517.8pt;margin-top:91pt;width:4.1pt;height:3.55pt;z-index:15983616;mso-wrap-distance-left:0;mso-wrap-distance-right:0;mso-position-horizontal-relative:page" coordsize="52069,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">
                <v:shape id="Graphic 1457" o:spid="_x0000_s1027" style="position:absolute;top:19127;width:32384;height:1270;visibility:visible;mso-wrap-style:square;v-text-anchor:top" coordsize="323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" path="m,l32080,e" filled="f" strokeweight=".21553mm">
                  <v:path arrowok="t"/>
                </v:shape>
                <v:shape id="Graphic 1458" o:spid="_x0000_s1028" style="position:absolute;left:7218;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" path="m44640,l,,,44640r44640,l44640,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84128" behindDoc="0" locked="0" layoutInCell="1" allowOverlap="1" wp14:anchorId="39DA0009" wp14:editId="1F588CB5">
                <wp:simplePos x="0" y="0"/>
                <wp:positionH relativeFrom="page">
                  <wp:posOffset>6563132</wp:posOffset>
                </wp:positionH>
                <wp:positionV relativeFrom="paragraph">
                  <wp:posOffset>1257618</wp:posOffset>
                </wp:positionV>
                <wp:extent cx="62865" cy="45085"/>
                <wp:effectExtent l="0" t="0" r="0" b="0"/>
                <wp:wrapNone/>
                <wp:docPr id="1459"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 cy="45085"/>
                          <a:chOff x="0" y="0"/>
                          <a:chExt cx="62865" cy="45085"/>
                        </a:xfrm>
                      </wpg:grpSpPr>
                      <wps:wsp>
                        <wps:cNvPr id="1460" name="Graphic 1460"/>
                        <wps:cNvSpPr/>
                        <wps:spPr>
                          <a:xfrm>
                            <a:off x="0" y="19137"/>
                            <a:ext cx="45085" cy="1270"/>
                          </a:xfrm>
                          <a:custGeom>
                            <a:avLst/>
                            <a:gdLst/>
                            <a:ahLst/>
                            <a:cxnLst/>
                            <a:rect l="l" t="t" r="r" b="b"/>
                            <a:pathLst>
                              <a:path w="45085">
                                <a:moveTo>
                                  <a:pt x="0" y="0"/>
                                </a:moveTo>
                                <a:lnTo>
                                  <a:pt x="44996" y="0"/>
                                </a:lnTo>
                              </a:path>
                            </a:pathLst>
                          </a:custGeom>
                          <a:ln w="7759">
                            <a:solidFill>
                              <a:srgbClr val="000000"/>
                            </a:solidFill>
                            <a:prstDash val="solid"/>
                          </a:ln>
                        </wps:spPr>
                        <wps:bodyPr wrap="square" lIns="0" tIns="0" rIns="0" bIns="0" rtlCol="0">
                          <a:prstTxWarp prst="textNoShape">
                            <a:avLst/>
                          </a:prstTxWarp>
                          <a:noAutofit/>
                        </wps:bodyPr>
                      </wps:wsp>
                      <wps:wsp>
                        <wps:cNvPr id="1461" name="Graphic 1461"/>
                        <wps:cNvSpPr/>
                        <wps:spPr>
                          <a:xfrm>
                            <a:off x="17753" y="0"/>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C75E8FA" id="Group 1459" o:spid="_x0000_s1026" style="position:absolute;margin-left:516.8pt;margin-top:99.05pt;width:4.95pt;height:3.55pt;z-index:15984128;mso-wrap-distance-left:0;mso-wrap-distance-right:0;mso-position-horizontal-relative:page" coordsize="6286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">
                <v:shape id="Graphic 1460" o:spid="_x0000_s1027" style="position:absolute;top:19137;width:45085;height:1270;visibility:visible;mso-wrap-style:square;v-text-anchor:top" coordsize="45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" path="m,l44996,e" filled="f" strokeweight=".21553mm">
                  <v:path arrowok="t"/>
                </v:shape>
                <v:shape id="Graphic 1461" o:spid="_x0000_s1028" style="position:absolute;left:17753;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" path="m44640,l,,,44640r44640,l44640,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84640" behindDoc="0" locked="0" layoutInCell="1" allowOverlap="1" wp14:anchorId="6906CA11" wp14:editId="231ACAF5">
                <wp:simplePos x="0" y="0"/>
                <wp:positionH relativeFrom="page">
                  <wp:posOffset>6572596</wp:posOffset>
                </wp:positionH>
                <wp:positionV relativeFrom="paragraph">
                  <wp:posOffset>1359663</wp:posOffset>
                </wp:positionV>
                <wp:extent cx="55244" cy="45085"/>
                <wp:effectExtent l="0" t="0" r="0" b="0"/>
                <wp:wrapNone/>
                <wp:docPr id="1462"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45085"/>
                          <a:chOff x="0" y="0"/>
                          <a:chExt cx="55244" cy="45085"/>
                        </a:xfrm>
                      </wpg:grpSpPr>
                      <wps:wsp>
                        <wps:cNvPr id="1463" name="Graphic 1463"/>
                        <wps:cNvSpPr/>
                        <wps:spPr>
                          <a:xfrm>
                            <a:off x="0" y="19127"/>
                            <a:ext cx="36195" cy="1270"/>
                          </a:xfrm>
                          <a:custGeom>
                            <a:avLst/>
                            <a:gdLst/>
                            <a:ahLst/>
                            <a:cxnLst/>
                            <a:rect l="l" t="t" r="r" b="b"/>
                            <a:pathLst>
                              <a:path w="36195">
                                <a:moveTo>
                                  <a:pt x="0" y="0"/>
                                </a:moveTo>
                                <a:lnTo>
                                  <a:pt x="35585" y="0"/>
                                </a:lnTo>
                              </a:path>
                            </a:pathLst>
                          </a:custGeom>
                          <a:ln w="7759">
                            <a:solidFill>
                              <a:srgbClr val="000000"/>
                            </a:solidFill>
                            <a:prstDash val="solid"/>
                          </a:ln>
                        </wps:spPr>
                        <wps:bodyPr wrap="square" lIns="0" tIns="0" rIns="0" bIns="0" rtlCol="0">
                          <a:prstTxWarp prst="textNoShape">
                            <a:avLst/>
                          </a:prstTxWarp>
                          <a:noAutofit/>
                        </wps:bodyPr>
                      </wps:wsp>
                      <wps:wsp>
                        <wps:cNvPr id="1464" name="Graphic 1464"/>
                        <wps:cNvSpPr/>
                        <wps:spPr>
                          <a:xfrm>
                            <a:off x="10067" y="0"/>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36B7106" id="Group 1462" o:spid="_x0000_s1026" style="position:absolute;margin-left:517.55pt;margin-top:107.05pt;width:4.35pt;height:3.55pt;z-index:15984640;mso-wrap-distance-left:0;mso-wrap-distance-right:0;mso-position-horizontal-relative:page" coordsize="55244,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">
                <v:shape id="Graphic 1463" o:spid="_x0000_s1027" style="position:absolute;top:19127;width:36195;height:1270;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" path="m,l35585,e" filled="f" strokeweight=".21553mm">
                  <v:path arrowok="t"/>
                </v:shape>
                <v:shape id="Graphic 1464" o:spid="_x0000_s1028" style="position:absolute;left:10067;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" path="m44640,l,,,44640r44640,l44640,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85152" behindDoc="0" locked="0" layoutInCell="1" allowOverlap="1" wp14:anchorId="6A39FC5D" wp14:editId="55E8CC41">
                <wp:simplePos x="0" y="0"/>
                <wp:positionH relativeFrom="page">
                  <wp:posOffset>6512754</wp:posOffset>
                </wp:positionH>
                <wp:positionV relativeFrom="paragraph">
                  <wp:posOffset>1461682</wp:posOffset>
                </wp:positionV>
                <wp:extent cx="81915" cy="45085"/>
                <wp:effectExtent l="0" t="0" r="0" b="0"/>
                <wp:wrapNone/>
                <wp:docPr id="1465"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45085"/>
                          <a:chOff x="0" y="0"/>
                          <a:chExt cx="81915" cy="45085"/>
                        </a:xfrm>
                      </wpg:grpSpPr>
                      <wps:wsp>
                        <wps:cNvPr id="1466" name="Graphic 1466"/>
                        <wps:cNvSpPr/>
                        <wps:spPr>
                          <a:xfrm>
                            <a:off x="0" y="19137"/>
                            <a:ext cx="81915" cy="1270"/>
                          </a:xfrm>
                          <a:custGeom>
                            <a:avLst/>
                            <a:gdLst/>
                            <a:ahLst/>
                            <a:cxnLst/>
                            <a:rect l="l" t="t" r="r" b="b"/>
                            <a:pathLst>
                              <a:path w="81915">
                                <a:moveTo>
                                  <a:pt x="0" y="0"/>
                                </a:moveTo>
                                <a:lnTo>
                                  <a:pt x="81597" y="0"/>
                                </a:lnTo>
                              </a:path>
                            </a:pathLst>
                          </a:custGeom>
                          <a:ln w="7759">
                            <a:solidFill>
                              <a:srgbClr val="000000"/>
                            </a:solidFill>
                            <a:prstDash val="solid"/>
                          </a:ln>
                        </wps:spPr>
                        <wps:bodyPr wrap="square" lIns="0" tIns="0" rIns="0" bIns="0" rtlCol="0">
                          <a:prstTxWarp prst="textNoShape">
                            <a:avLst/>
                          </a:prstTxWarp>
                          <a:noAutofit/>
                        </wps:bodyPr>
                      </wps:wsp>
                      <wps:wsp>
                        <wps:cNvPr id="1467" name="Graphic 1467"/>
                        <wps:cNvSpPr/>
                        <wps:spPr>
                          <a:xfrm>
                            <a:off x="33930" y="0"/>
                            <a:ext cx="45085" cy="45085"/>
                          </a:xfrm>
                          <a:custGeom>
                            <a:avLst/>
                            <a:gdLst/>
                            <a:ahLst/>
                            <a:cxnLst/>
                            <a:rect l="l" t="t" r="r" b="b"/>
                            <a:pathLst>
                              <a:path w="45085" h="45085">
                                <a:moveTo>
                                  <a:pt x="44653" y="0"/>
                                </a:moveTo>
                                <a:lnTo>
                                  <a:pt x="0" y="0"/>
                                </a:lnTo>
                                <a:lnTo>
                                  <a:pt x="0" y="44640"/>
                                </a:lnTo>
                                <a:lnTo>
                                  <a:pt x="44653" y="44640"/>
                                </a:lnTo>
                                <a:lnTo>
                                  <a:pt x="4465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734B381" id="Group 1465" o:spid="_x0000_s1026" style="position:absolute;margin-left:512.8pt;margin-top:115.1pt;width:6.45pt;height:3.55pt;z-index:15985152;mso-wrap-distance-left:0;mso-wrap-distance-right:0;mso-position-horizontal-relative:page" coordsize="8191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">
                <v:shape id="Graphic 1466" o:spid="_x0000_s1027" style="position:absolute;top:19137;width:81915;height:1270;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" path="m,l81597,e" filled="f" strokeweight=".21553mm">
                  <v:path arrowok="t"/>
                </v:shape>
                <v:shape id="Graphic 1467" o:spid="_x0000_s1028" style="position:absolute;left:33930;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" path="m44653,l,,,44640r44653,l44653,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85664" behindDoc="0" locked="0" layoutInCell="1" allowOverlap="1" wp14:anchorId="28C1675E" wp14:editId="5EF0BCBE">
                <wp:simplePos x="0" y="0"/>
                <wp:positionH relativeFrom="page">
                  <wp:posOffset>6577545</wp:posOffset>
                </wp:positionH>
                <wp:positionV relativeFrom="paragraph">
                  <wp:posOffset>1563713</wp:posOffset>
                </wp:positionV>
                <wp:extent cx="45085" cy="45085"/>
                <wp:effectExtent l="0" t="0" r="0" b="0"/>
                <wp:wrapNone/>
                <wp:docPr id="1468"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 cy="45085"/>
                          <a:chOff x="0" y="0"/>
                          <a:chExt cx="45085" cy="45085"/>
                        </a:xfrm>
                      </wpg:grpSpPr>
                      <wps:wsp>
                        <wps:cNvPr id="1469" name="Graphic 1469"/>
                        <wps:cNvSpPr/>
                        <wps:spPr>
                          <a:xfrm>
                            <a:off x="3843" y="19138"/>
                            <a:ext cx="23495" cy="1270"/>
                          </a:xfrm>
                          <a:custGeom>
                            <a:avLst/>
                            <a:gdLst/>
                            <a:ahLst/>
                            <a:cxnLst/>
                            <a:rect l="l" t="t" r="r" b="b"/>
                            <a:pathLst>
                              <a:path w="23495">
                                <a:moveTo>
                                  <a:pt x="0" y="0"/>
                                </a:moveTo>
                                <a:lnTo>
                                  <a:pt x="23139" y="0"/>
                                </a:lnTo>
                              </a:path>
                            </a:pathLst>
                          </a:custGeom>
                          <a:ln w="7759">
                            <a:solidFill>
                              <a:srgbClr val="000000"/>
                            </a:solidFill>
                            <a:prstDash val="solid"/>
                          </a:ln>
                        </wps:spPr>
                        <wps:bodyPr wrap="square" lIns="0" tIns="0" rIns="0" bIns="0" rtlCol="0">
                          <a:prstTxWarp prst="textNoShape">
                            <a:avLst/>
                          </a:prstTxWarp>
                          <a:noAutofit/>
                        </wps:bodyPr>
                      </wps:wsp>
                      <wps:wsp>
                        <wps:cNvPr id="1470" name="Graphic 1470"/>
                        <wps:cNvSpPr/>
                        <wps:spPr>
                          <a:xfrm>
                            <a:off x="0" y="0"/>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BBF6846" id="Group 1468" o:spid="_x0000_s1026" style="position:absolute;margin-left:517.9pt;margin-top:123.15pt;width:3.55pt;height:3.55pt;z-index:15985664;mso-wrap-distance-left:0;mso-wrap-distance-right:0;mso-position-horizontal-relative:pag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">
                <v:shape id="Graphic 1469" o:spid="_x0000_s1027" style="position:absolute;left:3843;top:19138;width:23495;height:1270;visibility:visible;mso-wrap-style:square;v-text-anchor:top" coordsize="2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" path="m,l23139,e" filled="f" strokeweight=".21553mm">
                  <v:path arrowok="t"/>
                </v:shape>
                <v:shape id="Graphic 1470" o:spid="_x0000_s1028" style="position:absolute;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" path="m44640,l,,,44640r44640,l44640,xe" fillcolor="#0000c0" stroked="f">
                  <v:path arrowok="t"/>
                </v:shape>
                <w10:wrap anchorx="page"/>
              </v:group>
            </w:pict>
          </mc:Fallback>
        </mc:AlternateContent>
      </w:r>
      <w:r w:rsidRPr="003C6DAE">
        <w:rPr>
          <w:noProof/>
          <w:sz w:val="20"/>
          <w:szCs w:val="20"/>
          <w:lang w:val="uk-UA"/>
        </w:rPr>
        <mc:AlternateContent>
          <mc:Choice Requires="wpg">
            <w:drawing>
              <wp:anchor distT="0" distB="0" distL="0" distR="0" simplePos="0" relativeHeight="15986176" behindDoc="0" locked="0" layoutInCell="1" allowOverlap="1" wp14:anchorId="1258103F" wp14:editId="5485AAC6">
                <wp:simplePos x="0" y="0"/>
                <wp:positionH relativeFrom="page">
                  <wp:posOffset>6576924</wp:posOffset>
                </wp:positionH>
                <wp:positionV relativeFrom="paragraph">
                  <wp:posOffset>1665758</wp:posOffset>
                </wp:positionV>
                <wp:extent cx="57150" cy="45085"/>
                <wp:effectExtent l="0" t="0" r="0" b="0"/>
                <wp:wrapNone/>
                <wp:docPr id="1471" name="Group 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 cy="45085"/>
                          <a:chOff x="0" y="0"/>
                          <a:chExt cx="57150" cy="45085"/>
                        </a:xfrm>
                      </wpg:grpSpPr>
                      <wps:wsp>
                        <wps:cNvPr id="1472" name="Graphic 1472"/>
                        <wps:cNvSpPr/>
                        <wps:spPr>
                          <a:xfrm>
                            <a:off x="0" y="19130"/>
                            <a:ext cx="31750" cy="1270"/>
                          </a:xfrm>
                          <a:custGeom>
                            <a:avLst/>
                            <a:gdLst/>
                            <a:ahLst/>
                            <a:cxnLst/>
                            <a:rect l="l" t="t" r="r" b="b"/>
                            <a:pathLst>
                              <a:path w="31750">
                                <a:moveTo>
                                  <a:pt x="0" y="0"/>
                                </a:moveTo>
                                <a:lnTo>
                                  <a:pt x="31419" y="0"/>
                                </a:lnTo>
                              </a:path>
                            </a:pathLst>
                          </a:custGeom>
                          <a:ln w="7759">
                            <a:solidFill>
                              <a:srgbClr val="000000"/>
                            </a:solidFill>
                            <a:prstDash val="solid"/>
                          </a:ln>
                        </wps:spPr>
                        <wps:bodyPr wrap="square" lIns="0" tIns="0" rIns="0" bIns="0" rtlCol="0">
                          <a:prstTxWarp prst="textNoShape">
                            <a:avLst/>
                          </a:prstTxWarp>
                          <a:noAutofit/>
                        </wps:bodyPr>
                      </wps:wsp>
                      <wps:wsp>
                        <wps:cNvPr id="1473" name="Graphic 1473"/>
                        <wps:cNvSpPr/>
                        <wps:spPr>
                          <a:xfrm>
                            <a:off x="12279" y="0"/>
                            <a:ext cx="45085" cy="45085"/>
                          </a:xfrm>
                          <a:custGeom>
                            <a:avLst/>
                            <a:gdLst/>
                            <a:ahLst/>
                            <a:cxnLst/>
                            <a:rect l="l" t="t" r="r" b="b"/>
                            <a:pathLst>
                              <a:path w="45085" h="45085">
                                <a:moveTo>
                                  <a:pt x="44653" y="0"/>
                                </a:moveTo>
                                <a:lnTo>
                                  <a:pt x="0" y="0"/>
                                </a:lnTo>
                                <a:lnTo>
                                  <a:pt x="0" y="44640"/>
                                </a:lnTo>
                                <a:lnTo>
                                  <a:pt x="44653" y="44640"/>
                                </a:lnTo>
                                <a:lnTo>
                                  <a:pt x="4465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BF43AB3" id="Group 1471" o:spid="_x0000_s1026" style="position:absolute;margin-left:517.85pt;margin-top:131.15pt;width:4.5pt;height:3.55pt;z-index:15986176;mso-wrap-distance-left:0;mso-wrap-distance-right:0;mso-position-horizontal-relative:page" coordsize="5715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">
                <v:shape id="Graphic 1472" o:spid="_x0000_s1027" style="position:absolute;top:19130;width:31750;height:1270;visibility:visible;mso-wrap-style:square;v-text-anchor:top" coordsize="31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" path="m,l31419,e" filled="f" strokeweight=".21553mm">
                  <v:path arrowok="t"/>
                </v:shape>
                <v:shape id="Graphic 1473" o:spid="_x0000_s1028" style="position:absolute;left:12279;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" path="m44653,l,,,44640r44653,l44653,xe" fillcolor="#0000c0" stroked="f">
                  <v:path arrowok="t"/>
                </v:shape>
                <w10:wrap anchorx="page"/>
              </v:group>
            </w:pict>
          </mc:Fallback>
        </mc:AlternateContent>
      </w:r>
      <w:r w:rsidR="00E240E4" w:rsidRPr="003C6DAE">
        <w:rPr>
          <w:color w:val="636466"/>
          <w:sz w:val="20"/>
          <w:szCs w:val="20"/>
          <w:lang w:val="uk-UA"/>
        </w:rPr>
        <w:t>Рис</w:t>
      </w:r>
      <w:r w:rsidRPr="003C6DAE">
        <w:rPr>
          <w:color w:val="636466"/>
          <w:sz w:val="20"/>
          <w:szCs w:val="20"/>
          <w:lang w:val="uk-UA"/>
        </w:rPr>
        <w:t>.</w:t>
      </w:r>
      <w:r w:rsidRPr="003C6DAE">
        <w:rPr>
          <w:color w:val="636466"/>
          <w:spacing w:val="-14"/>
          <w:sz w:val="20"/>
          <w:szCs w:val="20"/>
          <w:lang w:val="uk-UA"/>
        </w:rPr>
        <w:t xml:space="preserve"> </w:t>
      </w:r>
      <w:r w:rsidRPr="003C6DAE">
        <w:rPr>
          <w:color w:val="636466"/>
          <w:sz w:val="20"/>
          <w:szCs w:val="20"/>
          <w:lang w:val="uk-UA"/>
        </w:rPr>
        <w:t>2.1.2.3</w:t>
      </w:r>
      <w:r w:rsidRPr="003C6DAE">
        <w:rPr>
          <w:color w:val="636466"/>
          <w:spacing w:val="-14"/>
          <w:sz w:val="20"/>
          <w:szCs w:val="20"/>
          <w:lang w:val="uk-UA"/>
        </w:rPr>
        <w:t xml:space="preserve"> </w:t>
      </w:r>
      <w:r w:rsidR="00852333" w:rsidRPr="003C6DAE">
        <w:rPr>
          <w:color w:val="636466"/>
          <w:sz w:val="20"/>
          <w:szCs w:val="20"/>
          <w:lang w:val="uk-UA"/>
        </w:rPr>
        <w:t>Лісова діаграма  включених досліджень для виявлення стійкості до ізоніазиду за допомогою фенотипічного ТМЧ в якості еталонного стандарту</w:t>
      </w:r>
    </w:p>
    <w:p w14:paraId="010032CF" w14:textId="2AADFC42" w:rsidR="00E05B98" w:rsidRPr="003C6DAE" w:rsidRDefault="00852333" w:rsidP="00DD3C0C">
      <w:pPr>
        <w:pStyle w:val="a3"/>
        <w:jc w:val="both"/>
        <w:rPr>
          <w:rFonts w:ascii="Arial"/>
          <w:b/>
          <w:sz w:val="24"/>
          <w:lang w:val="uk-UA"/>
        </w:rPr>
      </w:pPr>
      <w:r w:rsidRPr="003C6DAE">
        <w:rPr>
          <w:rFonts w:ascii="Arial"/>
          <w:b/>
          <w:noProof/>
          <w:sz w:val="24"/>
          <w:lang w:val="uk-UA"/>
        </w:rPr>
        <mc:AlternateContent>
          <mc:Choice Requires="wps">
            <w:drawing>
              <wp:anchor distT="0" distB="0" distL="114300" distR="114300" simplePos="0" relativeHeight="488102400" behindDoc="0" locked="0" layoutInCell="1" allowOverlap="1" wp14:anchorId="4EC9F64B" wp14:editId="40D05FC6">
                <wp:simplePos x="0" y="0"/>
                <wp:positionH relativeFrom="margin">
                  <wp:posOffset>195502</wp:posOffset>
                </wp:positionH>
                <wp:positionV relativeFrom="paragraph">
                  <wp:posOffset>84014</wp:posOffset>
                </wp:positionV>
                <wp:extent cx="6273579" cy="242156"/>
                <wp:effectExtent l="0" t="0" r="0" b="5715"/>
                <wp:wrapNone/>
                <wp:docPr id="338940187" name="Поле 338940187"/>
                <wp:cNvGraphicFramePr/>
                <a:graphic xmlns:a="http://schemas.openxmlformats.org/drawingml/2006/main">
                  <a:graphicData uri="http://schemas.microsoft.com/office/word/2010/wordprocessingShape">
                    <wps:wsp>
                      <wps:cNvSpPr txBox="1"/>
                      <wps:spPr>
                        <a:xfrm>
                          <a:off x="0" y="0"/>
                          <a:ext cx="6273579" cy="242156"/>
                        </a:xfrm>
                        <a:prstGeom prst="rect">
                          <a:avLst/>
                        </a:prstGeom>
                        <a:solidFill>
                          <a:schemeClr val="bg1"/>
                        </a:solidFill>
                        <a:ln w="6350">
                          <a:noFill/>
                        </a:ln>
                      </wps:spPr>
                      <wps:txbx>
                        <w:txbxContent>
                          <w:p w14:paraId="72B2D292" w14:textId="69275B6D" w:rsidR="007372B2" w:rsidRDefault="007372B2" w:rsidP="00852333">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Дослідження                              </w:t>
                            </w:r>
                            <w:r>
                              <w:rPr>
                                <w:rFonts w:asciiTheme="minorHAnsi" w:hAnsiTheme="minorHAnsi" w:cstheme="minorHAnsi"/>
                                <w:b/>
                                <w:sz w:val="14"/>
                                <w:szCs w:val="14"/>
                              </w:rPr>
                              <w:t xml:space="preserve">TP     FP    FN   TN    </w:t>
                            </w:r>
                            <w:r>
                              <w:rPr>
                                <w:rFonts w:asciiTheme="minorHAnsi" w:hAnsiTheme="minorHAnsi" w:cstheme="minorHAnsi"/>
                                <w:b/>
                                <w:sz w:val="14"/>
                                <w:szCs w:val="14"/>
                                <w:lang w:val="uk-UA"/>
                              </w:rPr>
                              <w:t xml:space="preserve">Риф-стійкість, % </w:t>
                            </w:r>
                            <w:r w:rsidRPr="00014B97">
                              <w:rPr>
                                <w:rFonts w:asciiTheme="minorHAnsi" w:hAnsiTheme="minorHAnsi" w:cstheme="minorHAnsi"/>
                                <w:b/>
                                <w:sz w:val="14"/>
                                <w:szCs w:val="14"/>
                                <w:lang w:val="uk-UA"/>
                              </w:rPr>
                              <w:t xml:space="preserve">Чутливість (95% ДІ)  Специфічність (95% ДІ)  </w:t>
                            </w:r>
                            <w:r>
                              <w:rPr>
                                <w:rFonts w:asciiTheme="minorHAnsi" w:hAnsiTheme="minorHAnsi" w:cstheme="minorHAnsi"/>
                                <w:b/>
                                <w:sz w:val="14"/>
                                <w:szCs w:val="14"/>
                              </w:rPr>
                              <w:t xml:space="preserve">    </w:t>
                            </w:r>
                            <w:r w:rsidRPr="00014B97">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lang w:val="uk-UA"/>
                              </w:rPr>
                              <w:t xml:space="preserve">  С</w:t>
                            </w:r>
                            <w:r w:rsidRPr="00014B97">
                              <w:rPr>
                                <w:rFonts w:asciiTheme="minorHAnsi" w:hAnsiTheme="minorHAnsi" w:cstheme="minorHAnsi"/>
                                <w:b/>
                                <w:sz w:val="14"/>
                                <w:szCs w:val="14"/>
                                <w:lang w:val="uk-UA"/>
                              </w:rPr>
                              <w:t xml:space="preserve">пецифічність (95% </w:t>
                            </w:r>
                            <w:r>
                              <w:rPr>
                                <w:rFonts w:asciiTheme="minorHAnsi" w:hAnsiTheme="minorHAnsi" w:cstheme="minorHAnsi"/>
                                <w:b/>
                                <w:sz w:val="14"/>
                                <w:szCs w:val="14"/>
                                <w:lang w:val="uk-UA"/>
                              </w:rPr>
                              <w:t>ДІ)</w:t>
                            </w:r>
                            <w:r>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w:t>
                            </w:r>
                          </w:p>
                          <w:p w14:paraId="39E061B2" w14:textId="25EB42C9" w:rsidR="007372B2" w:rsidRPr="00014B97" w:rsidRDefault="007372B2" w:rsidP="00852333">
                            <w:pPr>
                              <w:ind w:left="2160" w:hanging="2018"/>
                              <w:rPr>
                                <w:rFonts w:asciiTheme="minorHAnsi" w:hAnsiTheme="minorHAnsi" w:cstheme="minorHAnsi"/>
                                <w:b/>
                                <w:sz w:val="14"/>
                                <w:szCs w:val="14"/>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9F64B" id="Поле 338940187" o:spid="_x0000_s1093" type="#_x0000_t202" style="position:absolute;left:0;text-align:left;margin-left:15.4pt;margin-top:6.6pt;width:494pt;height:19.05pt;z-index:48810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" fillcolor="white [3212]" stroked="f" strokeweight=".5pt">
                <v:textbox>
                  <w:txbxContent>
                    <w:p w14:paraId="72B2D292" w14:textId="69275B6D" w:rsidR="007372B2" w:rsidRDefault="007372B2" w:rsidP="00852333">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Дослідження                              </w:t>
                      </w:r>
                      <w:r>
                        <w:rPr>
                          <w:rFonts w:asciiTheme="minorHAnsi" w:hAnsiTheme="minorHAnsi" w:cstheme="minorHAnsi"/>
                          <w:b/>
                          <w:sz w:val="14"/>
                          <w:szCs w:val="14"/>
                        </w:rPr>
                        <w:t xml:space="preserve">TP     FP    FN   TN    </w:t>
                      </w:r>
                      <w:r>
                        <w:rPr>
                          <w:rFonts w:asciiTheme="minorHAnsi" w:hAnsiTheme="minorHAnsi" w:cstheme="minorHAnsi"/>
                          <w:b/>
                          <w:sz w:val="14"/>
                          <w:szCs w:val="14"/>
                          <w:lang w:val="uk-UA"/>
                        </w:rPr>
                        <w:t xml:space="preserve">Риф-стійкість, % </w:t>
                      </w:r>
                      <w:r w:rsidRPr="00014B97">
                        <w:rPr>
                          <w:rFonts w:asciiTheme="minorHAnsi" w:hAnsiTheme="minorHAnsi" w:cstheme="minorHAnsi"/>
                          <w:b/>
                          <w:sz w:val="14"/>
                          <w:szCs w:val="14"/>
                          <w:lang w:val="uk-UA"/>
                        </w:rPr>
                        <w:t xml:space="preserve">Чутливість (95% ДІ)  Специфічність (95% ДІ)  </w:t>
                      </w:r>
                      <w:r>
                        <w:rPr>
                          <w:rFonts w:asciiTheme="minorHAnsi" w:hAnsiTheme="minorHAnsi" w:cstheme="minorHAnsi"/>
                          <w:b/>
                          <w:sz w:val="14"/>
                          <w:szCs w:val="14"/>
                        </w:rPr>
                        <w:t xml:space="preserve">    </w:t>
                      </w:r>
                      <w:r w:rsidRPr="00014B97">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lang w:val="uk-UA"/>
                        </w:rPr>
                        <w:t xml:space="preserve">  С</w:t>
                      </w:r>
                      <w:r w:rsidRPr="00014B97">
                        <w:rPr>
                          <w:rFonts w:asciiTheme="minorHAnsi" w:hAnsiTheme="minorHAnsi" w:cstheme="minorHAnsi"/>
                          <w:b/>
                          <w:sz w:val="14"/>
                          <w:szCs w:val="14"/>
                          <w:lang w:val="uk-UA"/>
                        </w:rPr>
                        <w:t xml:space="preserve">пецифічність (95% </w:t>
                      </w:r>
                      <w:r>
                        <w:rPr>
                          <w:rFonts w:asciiTheme="minorHAnsi" w:hAnsiTheme="minorHAnsi" w:cstheme="minorHAnsi"/>
                          <w:b/>
                          <w:sz w:val="14"/>
                          <w:szCs w:val="14"/>
                          <w:lang w:val="uk-UA"/>
                        </w:rPr>
                        <w:t>ДІ)</w:t>
                      </w:r>
                      <w:r>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w:t>
                      </w:r>
                    </w:p>
                    <w:p w14:paraId="39E061B2" w14:textId="25EB42C9" w:rsidR="007372B2" w:rsidRPr="00014B97" w:rsidRDefault="007372B2" w:rsidP="00852333">
                      <w:pPr>
                        <w:ind w:left="2160" w:hanging="2018"/>
                        <w:rPr>
                          <w:rFonts w:asciiTheme="minorHAnsi" w:hAnsiTheme="minorHAnsi" w:cstheme="minorHAnsi"/>
                          <w:b/>
                          <w:sz w:val="14"/>
                          <w:szCs w:val="14"/>
                          <w:lang w:val="uk-UA"/>
                        </w:rPr>
                      </w:pPr>
                    </w:p>
                  </w:txbxContent>
                </v:textbox>
                <w10:wrap anchorx="margin"/>
              </v:shape>
            </w:pict>
          </mc:Fallback>
        </mc:AlternateContent>
      </w:r>
    </w:p>
    <w:p w14:paraId="7FA9F03C" w14:textId="01D817AE" w:rsidR="00E05B98" w:rsidRPr="003C6DAE" w:rsidRDefault="00E05B98" w:rsidP="00DD3C0C">
      <w:pPr>
        <w:pStyle w:val="a3"/>
        <w:jc w:val="both"/>
        <w:rPr>
          <w:rFonts w:ascii="Arial"/>
          <w:b/>
          <w:sz w:val="24"/>
          <w:lang w:val="uk-UA"/>
        </w:rPr>
      </w:pPr>
    </w:p>
    <w:p w14:paraId="3572211D" w14:textId="408E0F73" w:rsidR="00E05B98" w:rsidRPr="003C6DAE" w:rsidRDefault="00E05B98" w:rsidP="00DD3C0C">
      <w:pPr>
        <w:pStyle w:val="a3"/>
        <w:jc w:val="both"/>
        <w:rPr>
          <w:rFonts w:ascii="Arial"/>
          <w:b/>
          <w:sz w:val="24"/>
          <w:lang w:val="uk-UA"/>
        </w:rPr>
      </w:pPr>
    </w:p>
    <w:p w14:paraId="766D2987" w14:textId="77777777" w:rsidR="00E05B98" w:rsidRPr="003C6DAE" w:rsidRDefault="00E05B98" w:rsidP="00DD3C0C">
      <w:pPr>
        <w:pStyle w:val="a3"/>
        <w:jc w:val="both"/>
        <w:rPr>
          <w:rFonts w:ascii="Arial"/>
          <w:b/>
          <w:sz w:val="24"/>
          <w:lang w:val="uk-UA"/>
        </w:rPr>
      </w:pPr>
    </w:p>
    <w:p w14:paraId="54DF11A2" w14:textId="77777777" w:rsidR="00E05B98" w:rsidRPr="003C6DAE" w:rsidRDefault="00E05B98">
      <w:pPr>
        <w:pStyle w:val="a3"/>
        <w:rPr>
          <w:rFonts w:ascii="Arial"/>
          <w:b/>
          <w:sz w:val="24"/>
          <w:lang w:val="uk-UA"/>
        </w:rPr>
      </w:pPr>
    </w:p>
    <w:p w14:paraId="0CB45BC8" w14:textId="77777777" w:rsidR="00E05B98" w:rsidRPr="003C6DAE" w:rsidRDefault="00E05B98">
      <w:pPr>
        <w:pStyle w:val="a3"/>
        <w:rPr>
          <w:rFonts w:ascii="Arial"/>
          <w:b/>
          <w:sz w:val="24"/>
          <w:lang w:val="uk-UA"/>
        </w:rPr>
      </w:pPr>
    </w:p>
    <w:p w14:paraId="7E31B8A8" w14:textId="77777777" w:rsidR="00E05B98" w:rsidRPr="003C6DAE" w:rsidRDefault="00E05B98">
      <w:pPr>
        <w:pStyle w:val="a3"/>
        <w:rPr>
          <w:rFonts w:ascii="Arial"/>
          <w:b/>
          <w:sz w:val="24"/>
          <w:lang w:val="uk-UA"/>
        </w:rPr>
      </w:pPr>
    </w:p>
    <w:p w14:paraId="5485FD4A" w14:textId="77777777" w:rsidR="00E05B98" w:rsidRPr="003C6DAE" w:rsidRDefault="00E05B98">
      <w:pPr>
        <w:pStyle w:val="a3"/>
        <w:rPr>
          <w:rFonts w:ascii="Arial"/>
          <w:b/>
          <w:sz w:val="24"/>
          <w:lang w:val="uk-UA"/>
        </w:rPr>
      </w:pPr>
    </w:p>
    <w:p w14:paraId="3352EE41" w14:textId="77777777" w:rsidR="00E05B98" w:rsidRPr="003C6DAE" w:rsidRDefault="00E05B98">
      <w:pPr>
        <w:pStyle w:val="a3"/>
        <w:rPr>
          <w:rFonts w:ascii="Arial"/>
          <w:b/>
          <w:sz w:val="24"/>
          <w:lang w:val="uk-UA"/>
        </w:rPr>
      </w:pPr>
    </w:p>
    <w:p w14:paraId="0F8AFC72" w14:textId="77777777" w:rsidR="00E05B98" w:rsidRPr="003C6DAE" w:rsidRDefault="00E05B98">
      <w:pPr>
        <w:pStyle w:val="a3"/>
        <w:rPr>
          <w:rFonts w:ascii="Arial"/>
          <w:b/>
          <w:sz w:val="24"/>
          <w:lang w:val="uk-UA"/>
        </w:rPr>
      </w:pPr>
    </w:p>
    <w:p w14:paraId="62036A2B" w14:textId="77777777" w:rsidR="00E05B98" w:rsidRPr="003C6DAE" w:rsidRDefault="00E05B98">
      <w:pPr>
        <w:pStyle w:val="a3"/>
        <w:rPr>
          <w:rFonts w:ascii="Arial"/>
          <w:b/>
          <w:sz w:val="24"/>
          <w:lang w:val="uk-UA"/>
        </w:rPr>
      </w:pPr>
    </w:p>
    <w:p w14:paraId="380CDBC6" w14:textId="77777777" w:rsidR="00E05B98" w:rsidRPr="003C6DAE" w:rsidRDefault="00E05B98">
      <w:pPr>
        <w:pStyle w:val="a3"/>
        <w:rPr>
          <w:rFonts w:ascii="Arial"/>
          <w:b/>
          <w:sz w:val="24"/>
          <w:lang w:val="uk-UA"/>
        </w:rPr>
      </w:pPr>
    </w:p>
    <w:p w14:paraId="605800D6" w14:textId="77777777" w:rsidR="00E05B98" w:rsidRPr="003C6DAE" w:rsidRDefault="00E05B98">
      <w:pPr>
        <w:pStyle w:val="a3"/>
        <w:spacing w:before="205"/>
        <w:rPr>
          <w:rFonts w:ascii="Arial"/>
          <w:b/>
          <w:sz w:val="24"/>
          <w:lang w:val="uk-UA"/>
        </w:rPr>
      </w:pPr>
    </w:p>
    <w:p w14:paraId="2B24FDA4" w14:textId="01791A94" w:rsidR="00E05B98" w:rsidRPr="003C6DAE" w:rsidRDefault="00B01E0C">
      <w:pPr>
        <w:spacing w:line="254" w:lineRule="auto"/>
        <w:ind w:left="567"/>
        <w:rPr>
          <w:sz w:val="18"/>
          <w:lang w:val="uk-UA"/>
        </w:rPr>
      </w:pPr>
      <w:r w:rsidRPr="003C6DAE">
        <w:rPr>
          <w:noProof/>
          <w:sz w:val="16"/>
          <w:szCs w:val="16"/>
          <w:lang w:val="uk-UA"/>
        </w:rPr>
        <mc:AlternateContent>
          <mc:Choice Requires="wpg">
            <w:drawing>
              <wp:anchor distT="0" distB="0" distL="0" distR="0" simplePos="0" relativeHeight="15977472" behindDoc="0" locked="0" layoutInCell="1" allowOverlap="1" wp14:anchorId="152AB434" wp14:editId="39866315">
                <wp:simplePos x="0" y="0"/>
                <wp:positionH relativeFrom="page">
                  <wp:posOffset>5590276</wp:posOffset>
                </wp:positionH>
                <wp:positionV relativeFrom="paragraph">
                  <wp:posOffset>-1186802</wp:posOffset>
                </wp:positionV>
                <wp:extent cx="214629" cy="45085"/>
                <wp:effectExtent l="0" t="0" r="0" b="0"/>
                <wp:wrapNone/>
                <wp:docPr id="1474"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629" cy="45085"/>
                          <a:chOff x="0" y="0"/>
                          <a:chExt cx="214629" cy="45085"/>
                        </a:xfrm>
                      </wpg:grpSpPr>
                      <wps:wsp>
                        <wps:cNvPr id="1475" name="Graphic 1475"/>
                        <wps:cNvSpPr/>
                        <wps:spPr>
                          <a:xfrm>
                            <a:off x="0" y="19138"/>
                            <a:ext cx="189230" cy="1270"/>
                          </a:xfrm>
                          <a:custGeom>
                            <a:avLst/>
                            <a:gdLst/>
                            <a:ahLst/>
                            <a:cxnLst/>
                            <a:rect l="l" t="t" r="r" b="b"/>
                            <a:pathLst>
                              <a:path w="189230">
                                <a:moveTo>
                                  <a:pt x="0" y="0"/>
                                </a:moveTo>
                                <a:lnTo>
                                  <a:pt x="189052" y="0"/>
                                </a:lnTo>
                              </a:path>
                            </a:pathLst>
                          </a:custGeom>
                          <a:ln w="7759">
                            <a:solidFill>
                              <a:srgbClr val="000000"/>
                            </a:solidFill>
                            <a:prstDash val="solid"/>
                          </a:ln>
                        </wps:spPr>
                        <wps:bodyPr wrap="square" lIns="0" tIns="0" rIns="0" bIns="0" rtlCol="0">
                          <a:prstTxWarp prst="textNoShape">
                            <a:avLst/>
                          </a:prstTxWarp>
                          <a:noAutofit/>
                        </wps:bodyPr>
                      </wps:wsp>
                      <wps:wsp>
                        <wps:cNvPr id="1476" name="Graphic 1476"/>
                        <wps:cNvSpPr/>
                        <wps:spPr>
                          <a:xfrm>
                            <a:off x="169922" y="0"/>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BB27241" id="Group 1474" o:spid="_x0000_s1026" style="position:absolute;margin-left:440.2pt;margin-top:-93.45pt;width:16.9pt;height:3.55pt;z-index:15977472;mso-wrap-distance-left:0;mso-wrap-distance-right:0;mso-position-horizontal-relative:page" coordsize="214629,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">
                <v:shape id="Graphic 1475" o:spid="_x0000_s1027" style="position:absolute;top:19138;width:189230;height:1270;visibility:visible;mso-wrap-style:square;v-text-anchor:top" coordsize="189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" path="m,l189052,e" filled="f" strokeweight=".21553mm">
                  <v:path arrowok="t"/>
                </v:shape>
                <v:shape id="Graphic 1476" o:spid="_x0000_s1028" style="position:absolute;left:169922;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" path="m44640,l,,,44640r44640,l44640,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77984" behindDoc="0" locked="0" layoutInCell="1" allowOverlap="1" wp14:anchorId="6F04F24C" wp14:editId="7393EBC0">
                <wp:simplePos x="0" y="0"/>
                <wp:positionH relativeFrom="page">
                  <wp:posOffset>5231103</wp:posOffset>
                </wp:positionH>
                <wp:positionV relativeFrom="paragraph">
                  <wp:posOffset>-1084771</wp:posOffset>
                </wp:positionV>
                <wp:extent cx="544830" cy="45085"/>
                <wp:effectExtent l="0" t="0" r="0" b="0"/>
                <wp:wrapNone/>
                <wp:docPr id="1477"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30" cy="45085"/>
                          <a:chOff x="0" y="0"/>
                          <a:chExt cx="544830" cy="45085"/>
                        </a:xfrm>
                      </wpg:grpSpPr>
                      <wps:wsp>
                        <wps:cNvPr id="1478" name="Graphic 1478"/>
                        <wps:cNvSpPr/>
                        <wps:spPr>
                          <a:xfrm>
                            <a:off x="0" y="19141"/>
                            <a:ext cx="544830" cy="1270"/>
                          </a:xfrm>
                          <a:custGeom>
                            <a:avLst/>
                            <a:gdLst/>
                            <a:ahLst/>
                            <a:cxnLst/>
                            <a:rect l="l" t="t" r="r" b="b"/>
                            <a:pathLst>
                              <a:path w="544830">
                                <a:moveTo>
                                  <a:pt x="0" y="0"/>
                                </a:moveTo>
                                <a:lnTo>
                                  <a:pt x="544360" y="0"/>
                                </a:lnTo>
                              </a:path>
                            </a:pathLst>
                          </a:custGeom>
                          <a:ln w="7759">
                            <a:solidFill>
                              <a:srgbClr val="000000"/>
                            </a:solidFill>
                            <a:prstDash val="solid"/>
                          </a:ln>
                        </wps:spPr>
                        <wps:bodyPr wrap="square" lIns="0" tIns="0" rIns="0" bIns="0" rtlCol="0">
                          <a:prstTxWarp prst="textNoShape">
                            <a:avLst/>
                          </a:prstTxWarp>
                          <a:noAutofit/>
                        </wps:bodyPr>
                      </wps:wsp>
                      <wps:wsp>
                        <wps:cNvPr id="1479" name="Graphic 1479"/>
                        <wps:cNvSpPr/>
                        <wps:spPr>
                          <a:xfrm>
                            <a:off x="376060" y="0"/>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48A7E82" id="Group 1477" o:spid="_x0000_s1026" style="position:absolute;margin-left:411.9pt;margin-top:-85.4pt;width:42.9pt;height:3.55pt;z-index:15977984;mso-wrap-distance-left:0;mso-wrap-distance-right:0;mso-position-horizontal-relative:page" coordsize="544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">
                <v:shape id="Graphic 1478" o:spid="_x0000_s1027" style="position:absolute;top:191;width:5448;height:13;visibility:visible;mso-wrap-style:square;v-text-anchor:top" coordsize="544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" path="m,l544360,e" filled="f" strokeweight=".21553mm">
                  <v:path arrowok="t"/>
                </v:shape>
                <v:shape id="Graphic 1479" o:spid="_x0000_s1028" style="position:absolute;left:3760;width:451;height:450;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" path="m44640,l,,,44640r44640,l44640,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78496" behindDoc="0" locked="0" layoutInCell="1" allowOverlap="1" wp14:anchorId="71D5AFD7" wp14:editId="0CC81DC3">
                <wp:simplePos x="0" y="0"/>
                <wp:positionH relativeFrom="page">
                  <wp:posOffset>5135085</wp:posOffset>
                </wp:positionH>
                <wp:positionV relativeFrom="paragraph">
                  <wp:posOffset>-982739</wp:posOffset>
                </wp:positionV>
                <wp:extent cx="669925" cy="45085"/>
                <wp:effectExtent l="0" t="0" r="0" b="0"/>
                <wp:wrapNone/>
                <wp:docPr id="1480" name="Group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925" cy="45085"/>
                          <a:chOff x="0" y="0"/>
                          <a:chExt cx="669925" cy="45085"/>
                        </a:xfrm>
                      </wpg:grpSpPr>
                      <wps:wsp>
                        <wps:cNvPr id="1481" name="Graphic 1481"/>
                        <wps:cNvSpPr/>
                        <wps:spPr>
                          <a:xfrm>
                            <a:off x="0" y="19137"/>
                            <a:ext cx="644525" cy="1270"/>
                          </a:xfrm>
                          <a:custGeom>
                            <a:avLst/>
                            <a:gdLst/>
                            <a:ahLst/>
                            <a:cxnLst/>
                            <a:rect l="l" t="t" r="r" b="b"/>
                            <a:pathLst>
                              <a:path w="644525">
                                <a:moveTo>
                                  <a:pt x="0" y="0"/>
                                </a:moveTo>
                                <a:lnTo>
                                  <a:pt x="644245" y="0"/>
                                </a:lnTo>
                              </a:path>
                            </a:pathLst>
                          </a:custGeom>
                          <a:ln w="7759">
                            <a:solidFill>
                              <a:srgbClr val="000000"/>
                            </a:solidFill>
                            <a:prstDash val="solid"/>
                          </a:ln>
                        </wps:spPr>
                        <wps:bodyPr wrap="square" lIns="0" tIns="0" rIns="0" bIns="0" rtlCol="0">
                          <a:prstTxWarp prst="textNoShape">
                            <a:avLst/>
                          </a:prstTxWarp>
                          <a:noAutofit/>
                        </wps:bodyPr>
                      </wps:wsp>
                      <wps:wsp>
                        <wps:cNvPr id="1482" name="Graphic 1482"/>
                        <wps:cNvSpPr/>
                        <wps:spPr>
                          <a:xfrm>
                            <a:off x="625114" y="0"/>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F99A41C" id="Group 1480" o:spid="_x0000_s1026" style="position:absolute;margin-left:404.35pt;margin-top:-77.4pt;width:52.75pt;height:3.55pt;z-index:15978496;mso-wrap-distance-left:0;mso-wrap-distance-right:0;mso-position-horizontal-relative:page" coordsize="669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">
                <v:shape id="Graphic 1481" o:spid="_x0000_s1027" style="position:absolute;top:191;width:6445;height:13;visibility:visible;mso-wrap-style:square;v-text-anchor:top" coordsize="644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" path="m,l644245,e" filled="f" strokeweight=".21553mm">
                  <v:path arrowok="t"/>
                </v:shape>
                <v:shape id="Graphic 1482" o:spid="_x0000_s1028" style="position:absolute;left:6251;width:450;height:450;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" path="m44640,l,,,44640r44640,l44640,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79008" behindDoc="0" locked="0" layoutInCell="1" allowOverlap="1" wp14:anchorId="63A754B1" wp14:editId="742A82CD">
                <wp:simplePos x="0" y="0"/>
                <wp:positionH relativeFrom="page">
                  <wp:posOffset>5513704</wp:posOffset>
                </wp:positionH>
                <wp:positionV relativeFrom="paragraph">
                  <wp:posOffset>-880707</wp:posOffset>
                </wp:positionV>
                <wp:extent cx="255270" cy="45085"/>
                <wp:effectExtent l="0" t="0" r="0" b="0"/>
                <wp:wrapNone/>
                <wp:docPr id="1483"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 cy="45085"/>
                          <a:chOff x="0" y="0"/>
                          <a:chExt cx="255270" cy="45085"/>
                        </a:xfrm>
                      </wpg:grpSpPr>
                      <wps:wsp>
                        <wps:cNvPr id="1484" name="Graphic 1484"/>
                        <wps:cNvSpPr/>
                        <wps:spPr>
                          <a:xfrm>
                            <a:off x="0" y="19140"/>
                            <a:ext cx="255270" cy="1270"/>
                          </a:xfrm>
                          <a:custGeom>
                            <a:avLst/>
                            <a:gdLst/>
                            <a:ahLst/>
                            <a:cxnLst/>
                            <a:rect l="l" t="t" r="r" b="b"/>
                            <a:pathLst>
                              <a:path w="255270">
                                <a:moveTo>
                                  <a:pt x="0" y="0"/>
                                </a:moveTo>
                                <a:lnTo>
                                  <a:pt x="255104" y="0"/>
                                </a:lnTo>
                              </a:path>
                            </a:pathLst>
                          </a:custGeom>
                          <a:ln w="7759">
                            <a:solidFill>
                              <a:srgbClr val="000000"/>
                            </a:solidFill>
                            <a:prstDash val="solid"/>
                          </a:ln>
                        </wps:spPr>
                        <wps:bodyPr wrap="square" lIns="0" tIns="0" rIns="0" bIns="0" rtlCol="0">
                          <a:prstTxWarp prst="textNoShape">
                            <a:avLst/>
                          </a:prstTxWarp>
                          <a:noAutofit/>
                        </wps:bodyPr>
                      </wps:wsp>
                      <wps:wsp>
                        <wps:cNvPr id="1485" name="Graphic 1485"/>
                        <wps:cNvSpPr/>
                        <wps:spPr>
                          <a:xfrm>
                            <a:off x="161467" y="0"/>
                            <a:ext cx="45085" cy="45085"/>
                          </a:xfrm>
                          <a:custGeom>
                            <a:avLst/>
                            <a:gdLst/>
                            <a:ahLst/>
                            <a:cxnLst/>
                            <a:rect l="l" t="t" r="r" b="b"/>
                            <a:pathLst>
                              <a:path w="45085" h="45085">
                                <a:moveTo>
                                  <a:pt x="44653" y="0"/>
                                </a:moveTo>
                                <a:lnTo>
                                  <a:pt x="0" y="0"/>
                                </a:lnTo>
                                <a:lnTo>
                                  <a:pt x="0" y="44640"/>
                                </a:lnTo>
                                <a:lnTo>
                                  <a:pt x="44653" y="44640"/>
                                </a:lnTo>
                                <a:lnTo>
                                  <a:pt x="4465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E9CFE1D" id="Group 1483" o:spid="_x0000_s1026" style="position:absolute;margin-left:434.15pt;margin-top:-69.35pt;width:20.1pt;height:3.55pt;z-index:15979008;mso-wrap-distance-left:0;mso-wrap-distance-right:0;mso-position-horizontal-relative:page" coordsize="25527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">
                <v:shape id="Graphic 1484" o:spid="_x0000_s1027" style="position:absolute;top:19140;width:255270;height:1270;visibility:visible;mso-wrap-style:square;v-text-anchor:top" coordsize="255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" path="m,l255104,e" filled="f" strokeweight=".21553mm">
                  <v:path arrowok="t"/>
                </v:shape>
                <v:shape id="Graphic 1485" o:spid="_x0000_s1028" style="position:absolute;left:161467;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" path="m44653,l,,,44640r44653,l44653,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79520" behindDoc="0" locked="0" layoutInCell="1" allowOverlap="1" wp14:anchorId="4452A742" wp14:editId="1DE8DED2">
                <wp:simplePos x="0" y="0"/>
                <wp:positionH relativeFrom="page">
                  <wp:posOffset>5033224</wp:posOffset>
                </wp:positionH>
                <wp:positionV relativeFrom="paragraph">
                  <wp:posOffset>-778675</wp:posOffset>
                </wp:positionV>
                <wp:extent cx="772160" cy="45085"/>
                <wp:effectExtent l="0" t="0" r="0" b="0"/>
                <wp:wrapNone/>
                <wp:docPr id="1486"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160" cy="45085"/>
                          <a:chOff x="0" y="0"/>
                          <a:chExt cx="772160" cy="45085"/>
                        </a:xfrm>
                      </wpg:grpSpPr>
                      <wps:wsp>
                        <wps:cNvPr id="1487" name="Graphic 1487"/>
                        <wps:cNvSpPr/>
                        <wps:spPr>
                          <a:xfrm>
                            <a:off x="0" y="19136"/>
                            <a:ext cx="746125" cy="1270"/>
                          </a:xfrm>
                          <a:custGeom>
                            <a:avLst/>
                            <a:gdLst/>
                            <a:ahLst/>
                            <a:cxnLst/>
                            <a:rect l="l" t="t" r="r" b="b"/>
                            <a:pathLst>
                              <a:path w="746125">
                                <a:moveTo>
                                  <a:pt x="0" y="0"/>
                                </a:moveTo>
                                <a:lnTo>
                                  <a:pt x="746099" y="0"/>
                                </a:lnTo>
                              </a:path>
                            </a:pathLst>
                          </a:custGeom>
                          <a:ln w="7759">
                            <a:solidFill>
                              <a:srgbClr val="000000"/>
                            </a:solidFill>
                            <a:prstDash val="solid"/>
                          </a:ln>
                        </wps:spPr>
                        <wps:bodyPr wrap="square" lIns="0" tIns="0" rIns="0" bIns="0" rtlCol="0">
                          <a:prstTxWarp prst="textNoShape">
                            <a:avLst/>
                          </a:prstTxWarp>
                          <a:noAutofit/>
                        </wps:bodyPr>
                      </wps:wsp>
                      <wps:wsp>
                        <wps:cNvPr id="1488" name="Graphic 1488"/>
                        <wps:cNvSpPr/>
                        <wps:spPr>
                          <a:xfrm>
                            <a:off x="726974" y="0"/>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4471172" id="Group 1486" o:spid="_x0000_s1026" style="position:absolute;margin-left:396.3pt;margin-top:-61.3pt;width:60.8pt;height:3.55pt;z-index:15979520;mso-wrap-distance-left:0;mso-wrap-distance-right:0;mso-position-horizontal-relative:page" coordsize="772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">
                <v:shape id="Graphic 1487" o:spid="_x0000_s1027" style="position:absolute;top:191;width:7461;height:13;visibility:visible;mso-wrap-style:square;v-text-anchor:top" coordsize="746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" path="m,l746099,e" filled="f" strokeweight=".21553mm">
                  <v:path arrowok="t"/>
                </v:shape>
                <v:shape id="Graphic 1488" o:spid="_x0000_s1028" style="position:absolute;left:7269;width:451;height:450;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" path="m44640,l,,,44640r44640,l44640,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80032" behindDoc="0" locked="0" layoutInCell="1" allowOverlap="1" wp14:anchorId="162E45C8" wp14:editId="09B8EAF2">
                <wp:simplePos x="0" y="0"/>
                <wp:positionH relativeFrom="page">
                  <wp:posOffset>5487908</wp:posOffset>
                </wp:positionH>
                <wp:positionV relativeFrom="paragraph">
                  <wp:posOffset>-676644</wp:posOffset>
                </wp:positionV>
                <wp:extent cx="243204" cy="45085"/>
                <wp:effectExtent l="0" t="0" r="0" b="0"/>
                <wp:wrapNone/>
                <wp:docPr id="1489" name="Group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204" cy="45085"/>
                          <a:chOff x="0" y="0"/>
                          <a:chExt cx="243204" cy="45085"/>
                        </a:xfrm>
                      </wpg:grpSpPr>
                      <wps:wsp>
                        <wps:cNvPr id="1490" name="Graphic 1490"/>
                        <wps:cNvSpPr/>
                        <wps:spPr>
                          <a:xfrm>
                            <a:off x="0" y="19138"/>
                            <a:ext cx="243204" cy="1270"/>
                          </a:xfrm>
                          <a:custGeom>
                            <a:avLst/>
                            <a:gdLst/>
                            <a:ahLst/>
                            <a:cxnLst/>
                            <a:rect l="l" t="t" r="r" b="b"/>
                            <a:pathLst>
                              <a:path w="243204">
                                <a:moveTo>
                                  <a:pt x="0" y="0"/>
                                </a:moveTo>
                                <a:lnTo>
                                  <a:pt x="243204" y="0"/>
                                </a:lnTo>
                              </a:path>
                            </a:pathLst>
                          </a:custGeom>
                          <a:ln w="7759">
                            <a:solidFill>
                              <a:srgbClr val="000000"/>
                            </a:solidFill>
                            <a:prstDash val="solid"/>
                          </a:ln>
                        </wps:spPr>
                        <wps:bodyPr wrap="square" lIns="0" tIns="0" rIns="0" bIns="0" rtlCol="0">
                          <a:prstTxWarp prst="textNoShape">
                            <a:avLst/>
                          </a:prstTxWarp>
                          <a:noAutofit/>
                        </wps:bodyPr>
                      </wps:wsp>
                      <wps:wsp>
                        <wps:cNvPr id="1491" name="Graphic 1491"/>
                        <wps:cNvSpPr/>
                        <wps:spPr>
                          <a:xfrm>
                            <a:off x="130583" y="0"/>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DC721D5" id="Group 1489" o:spid="_x0000_s1026" style="position:absolute;margin-left:432.1pt;margin-top:-53.3pt;width:19.15pt;height:3.55pt;z-index:15980032;mso-wrap-distance-left:0;mso-wrap-distance-right:0;mso-position-horizontal-relative:page" coordsize="243204,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">
                <v:shape id="Graphic 1490" o:spid="_x0000_s1027" style="position:absolute;top:19138;width:243204;height:1270;visibility:visible;mso-wrap-style:square;v-text-anchor:top" coordsize="2432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" path="m,l243204,e" filled="f" strokeweight=".21553mm">
                  <v:path arrowok="t"/>
                </v:shape>
                <v:shape id="Graphic 1491" o:spid="_x0000_s1028" style="position:absolute;left:130583;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" path="m44640,l,,,44640r44640,l44640,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80544" behindDoc="0" locked="0" layoutInCell="1" allowOverlap="1" wp14:anchorId="5E42A8CE" wp14:editId="1619F26D">
                <wp:simplePos x="0" y="0"/>
                <wp:positionH relativeFrom="page">
                  <wp:posOffset>5225808</wp:posOffset>
                </wp:positionH>
                <wp:positionV relativeFrom="paragraph">
                  <wp:posOffset>-574612</wp:posOffset>
                </wp:positionV>
                <wp:extent cx="437515" cy="45085"/>
                <wp:effectExtent l="0" t="0" r="0" b="0"/>
                <wp:wrapNone/>
                <wp:docPr id="1492"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515" cy="45085"/>
                          <a:chOff x="0" y="0"/>
                          <a:chExt cx="437515" cy="45085"/>
                        </a:xfrm>
                      </wpg:grpSpPr>
                      <wps:wsp>
                        <wps:cNvPr id="1493" name="Graphic 1493"/>
                        <wps:cNvSpPr/>
                        <wps:spPr>
                          <a:xfrm>
                            <a:off x="0" y="19136"/>
                            <a:ext cx="437515" cy="1270"/>
                          </a:xfrm>
                          <a:custGeom>
                            <a:avLst/>
                            <a:gdLst/>
                            <a:ahLst/>
                            <a:cxnLst/>
                            <a:rect l="l" t="t" r="r" b="b"/>
                            <a:pathLst>
                              <a:path w="437515">
                                <a:moveTo>
                                  <a:pt x="0" y="0"/>
                                </a:moveTo>
                                <a:lnTo>
                                  <a:pt x="437464" y="0"/>
                                </a:lnTo>
                              </a:path>
                            </a:pathLst>
                          </a:custGeom>
                          <a:ln w="7759">
                            <a:solidFill>
                              <a:srgbClr val="000000"/>
                            </a:solidFill>
                            <a:prstDash val="solid"/>
                          </a:ln>
                        </wps:spPr>
                        <wps:bodyPr wrap="square" lIns="0" tIns="0" rIns="0" bIns="0" rtlCol="0">
                          <a:prstTxWarp prst="textNoShape">
                            <a:avLst/>
                          </a:prstTxWarp>
                          <a:noAutofit/>
                        </wps:bodyPr>
                      </wps:wsp>
                      <wps:wsp>
                        <wps:cNvPr id="1494" name="Graphic 1494"/>
                        <wps:cNvSpPr/>
                        <wps:spPr>
                          <a:xfrm>
                            <a:off x="215544" y="0"/>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9F6EE29" id="Group 1492" o:spid="_x0000_s1026" style="position:absolute;margin-left:411.5pt;margin-top:-45.25pt;width:34.45pt;height:3.55pt;z-index:15980544;mso-wrap-distance-left:0;mso-wrap-distance-right:0;mso-position-horizontal-relative:page" coordsize="43751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">
                <v:shape id="Graphic 1493" o:spid="_x0000_s1027" style="position:absolute;top:19136;width:437515;height:1270;visibility:visible;mso-wrap-style:square;v-text-anchor:top" coordsize="437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" path="m,l437464,e" filled="f" strokeweight=".21553mm">
                  <v:path arrowok="t"/>
                </v:shape>
                <v:shape id="Graphic 1494" o:spid="_x0000_s1028" style="position:absolute;left:215544;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" path="m44640,l,,,44640r44640,l44640,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81056" behindDoc="0" locked="0" layoutInCell="1" allowOverlap="1" wp14:anchorId="0A993D49" wp14:editId="7C75EF06">
                <wp:simplePos x="0" y="0"/>
                <wp:positionH relativeFrom="page">
                  <wp:posOffset>5033224</wp:posOffset>
                </wp:positionH>
                <wp:positionV relativeFrom="paragraph">
                  <wp:posOffset>-472580</wp:posOffset>
                </wp:positionV>
                <wp:extent cx="772160" cy="45085"/>
                <wp:effectExtent l="0" t="0" r="0" b="0"/>
                <wp:wrapNone/>
                <wp:docPr id="1495"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160" cy="45085"/>
                          <a:chOff x="0" y="0"/>
                          <a:chExt cx="772160" cy="45085"/>
                        </a:xfrm>
                      </wpg:grpSpPr>
                      <wps:wsp>
                        <wps:cNvPr id="1496" name="Graphic 1496"/>
                        <wps:cNvSpPr/>
                        <wps:spPr>
                          <a:xfrm>
                            <a:off x="0" y="19138"/>
                            <a:ext cx="746125" cy="1270"/>
                          </a:xfrm>
                          <a:custGeom>
                            <a:avLst/>
                            <a:gdLst/>
                            <a:ahLst/>
                            <a:cxnLst/>
                            <a:rect l="l" t="t" r="r" b="b"/>
                            <a:pathLst>
                              <a:path w="746125">
                                <a:moveTo>
                                  <a:pt x="0" y="0"/>
                                </a:moveTo>
                                <a:lnTo>
                                  <a:pt x="746099" y="0"/>
                                </a:lnTo>
                              </a:path>
                            </a:pathLst>
                          </a:custGeom>
                          <a:ln w="7759">
                            <a:solidFill>
                              <a:srgbClr val="000000"/>
                            </a:solidFill>
                            <a:prstDash val="solid"/>
                          </a:ln>
                        </wps:spPr>
                        <wps:bodyPr wrap="square" lIns="0" tIns="0" rIns="0" bIns="0" rtlCol="0">
                          <a:prstTxWarp prst="textNoShape">
                            <a:avLst/>
                          </a:prstTxWarp>
                          <a:noAutofit/>
                        </wps:bodyPr>
                      </wps:wsp>
                      <wps:wsp>
                        <wps:cNvPr id="1497" name="Graphic 1497"/>
                        <wps:cNvSpPr/>
                        <wps:spPr>
                          <a:xfrm>
                            <a:off x="726974" y="0"/>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08518EB" id="Group 1495" o:spid="_x0000_s1026" style="position:absolute;margin-left:396.3pt;margin-top:-37.2pt;width:60.8pt;height:3.55pt;z-index:15981056;mso-wrap-distance-left:0;mso-wrap-distance-right:0;mso-position-horizontal-relative:page" coordsize="772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">
                <v:shape id="Graphic 1496" o:spid="_x0000_s1027" style="position:absolute;top:191;width:7461;height:13;visibility:visible;mso-wrap-style:square;v-text-anchor:top" coordsize="746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" path="m,l746099,e" filled="f" strokeweight=".21553mm">
                  <v:path arrowok="t"/>
                </v:shape>
                <v:shape id="Graphic 1497" o:spid="_x0000_s1028" style="position:absolute;left:7269;width:451;height:450;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" path="m44640,l,,,44640r44640,l44640,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81568" behindDoc="0" locked="0" layoutInCell="1" allowOverlap="1" wp14:anchorId="6E85AB16" wp14:editId="535FB88F">
                <wp:simplePos x="0" y="0"/>
                <wp:positionH relativeFrom="page">
                  <wp:posOffset>5010219</wp:posOffset>
                </wp:positionH>
                <wp:positionV relativeFrom="paragraph">
                  <wp:posOffset>-370535</wp:posOffset>
                </wp:positionV>
                <wp:extent cx="1623695" cy="161925"/>
                <wp:effectExtent l="0" t="0" r="0" b="0"/>
                <wp:wrapNone/>
                <wp:docPr id="1498"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3695" cy="161925"/>
                          <a:chOff x="0" y="0"/>
                          <a:chExt cx="1623695" cy="161925"/>
                        </a:xfrm>
                      </wpg:grpSpPr>
                      <wps:wsp>
                        <wps:cNvPr id="1499" name="Graphic 1499"/>
                        <wps:cNvSpPr/>
                        <wps:spPr>
                          <a:xfrm>
                            <a:off x="706201" y="19121"/>
                            <a:ext cx="63500" cy="1270"/>
                          </a:xfrm>
                          <a:custGeom>
                            <a:avLst/>
                            <a:gdLst/>
                            <a:ahLst/>
                            <a:cxnLst/>
                            <a:rect l="l" t="t" r="r" b="b"/>
                            <a:pathLst>
                              <a:path w="63500">
                                <a:moveTo>
                                  <a:pt x="0" y="0"/>
                                </a:moveTo>
                                <a:lnTo>
                                  <a:pt x="62903" y="0"/>
                                </a:lnTo>
                              </a:path>
                            </a:pathLst>
                          </a:custGeom>
                          <a:ln w="7759">
                            <a:solidFill>
                              <a:srgbClr val="000000"/>
                            </a:solidFill>
                            <a:prstDash val="solid"/>
                          </a:ln>
                        </wps:spPr>
                        <wps:bodyPr wrap="square" lIns="0" tIns="0" rIns="0" bIns="0" rtlCol="0">
                          <a:prstTxWarp prst="textNoShape">
                            <a:avLst/>
                          </a:prstTxWarp>
                          <a:noAutofit/>
                        </wps:bodyPr>
                      </wps:wsp>
                      <wps:wsp>
                        <wps:cNvPr id="1500" name="Graphic 1500"/>
                        <wps:cNvSpPr/>
                        <wps:spPr>
                          <a:xfrm>
                            <a:off x="749979" y="0"/>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s:wsp>
                        <wps:cNvPr id="1501" name="Graphic 1501"/>
                        <wps:cNvSpPr/>
                        <wps:spPr>
                          <a:xfrm>
                            <a:off x="3879" y="44632"/>
                            <a:ext cx="759460" cy="51435"/>
                          </a:xfrm>
                          <a:custGeom>
                            <a:avLst/>
                            <a:gdLst/>
                            <a:ahLst/>
                            <a:cxnLst/>
                            <a:rect l="l" t="t" r="r" b="b"/>
                            <a:pathLst>
                              <a:path w="759460" h="51435">
                                <a:moveTo>
                                  <a:pt x="0" y="0"/>
                                </a:moveTo>
                                <a:lnTo>
                                  <a:pt x="0" y="51015"/>
                                </a:lnTo>
                              </a:path>
                              <a:path w="759460" h="51435">
                                <a:moveTo>
                                  <a:pt x="0" y="25501"/>
                                </a:moveTo>
                                <a:lnTo>
                                  <a:pt x="758850" y="25501"/>
                                </a:lnTo>
                              </a:path>
                            </a:pathLst>
                          </a:custGeom>
                          <a:ln w="7759">
                            <a:solidFill>
                              <a:srgbClr val="000000"/>
                            </a:solidFill>
                            <a:prstDash val="solid"/>
                          </a:ln>
                        </wps:spPr>
                        <wps:bodyPr wrap="square" lIns="0" tIns="0" rIns="0" bIns="0" rtlCol="0">
                          <a:prstTxWarp prst="textNoShape">
                            <a:avLst/>
                          </a:prstTxWarp>
                          <a:noAutofit/>
                        </wps:bodyPr>
                      </wps:wsp>
                      <wps:wsp>
                        <wps:cNvPr id="1502" name="Graphic 1502"/>
                        <wps:cNvSpPr/>
                        <wps:spPr>
                          <a:xfrm>
                            <a:off x="8726" y="103586"/>
                            <a:ext cx="38735" cy="58419"/>
                          </a:xfrm>
                          <a:custGeom>
                            <a:avLst/>
                            <a:gdLst/>
                            <a:ahLst/>
                            <a:cxnLst/>
                            <a:rect l="l" t="t" r="r" b="b"/>
                            <a:pathLst>
                              <a:path w="38735" h="58419">
                                <a:moveTo>
                                  <a:pt x="25171" y="0"/>
                                </a:moveTo>
                                <a:lnTo>
                                  <a:pt x="13563" y="0"/>
                                </a:lnTo>
                                <a:lnTo>
                                  <a:pt x="8889" y="2654"/>
                                </a:lnTo>
                                <a:lnTo>
                                  <a:pt x="1777" y="13258"/>
                                </a:lnTo>
                                <a:lnTo>
                                  <a:pt x="0" y="20269"/>
                                </a:lnTo>
                                <a:lnTo>
                                  <a:pt x="28" y="37744"/>
                                </a:lnTo>
                                <a:lnTo>
                                  <a:pt x="1765" y="44640"/>
                                </a:lnTo>
                                <a:lnTo>
                                  <a:pt x="6948" y="52527"/>
                                </a:lnTo>
                                <a:lnTo>
                                  <a:pt x="8892" y="55422"/>
                                </a:lnTo>
                                <a:lnTo>
                                  <a:pt x="13436" y="58064"/>
                                </a:lnTo>
                                <a:lnTo>
                                  <a:pt x="25095" y="58064"/>
                                </a:lnTo>
                                <a:lnTo>
                                  <a:pt x="29844" y="55422"/>
                                </a:lnTo>
                                <a:lnTo>
                                  <a:pt x="31785" y="52527"/>
                                </a:lnTo>
                                <a:lnTo>
                                  <a:pt x="19215" y="52527"/>
                                </a:lnTo>
                                <a:lnTo>
                                  <a:pt x="14240" y="51055"/>
                                </a:lnTo>
                                <a:lnTo>
                                  <a:pt x="10688" y="46642"/>
                                </a:lnTo>
                                <a:lnTo>
                                  <a:pt x="8558" y="39288"/>
                                </a:lnTo>
                                <a:lnTo>
                                  <a:pt x="7848" y="28994"/>
                                </a:lnTo>
                                <a:lnTo>
                                  <a:pt x="8459" y="20269"/>
                                </a:lnTo>
                                <a:lnTo>
                                  <a:pt x="8567" y="18726"/>
                                </a:lnTo>
                                <a:lnTo>
                                  <a:pt x="10726" y="11391"/>
                                </a:lnTo>
                                <a:lnTo>
                                  <a:pt x="14326" y="6991"/>
                                </a:lnTo>
                                <a:lnTo>
                                  <a:pt x="19367" y="5524"/>
                                </a:lnTo>
                                <a:lnTo>
                                  <a:pt x="31766" y="5524"/>
                                </a:lnTo>
                                <a:lnTo>
                                  <a:pt x="29844" y="2654"/>
                                </a:lnTo>
                                <a:lnTo>
                                  <a:pt x="25171" y="0"/>
                                </a:lnTo>
                                <a:close/>
                              </a:path>
                              <a:path w="38735" h="58419">
                                <a:moveTo>
                                  <a:pt x="31766" y="5524"/>
                                </a:moveTo>
                                <a:lnTo>
                                  <a:pt x="19367" y="5524"/>
                                </a:lnTo>
                                <a:lnTo>
                                  <a:pt x="24429" y="6991"/>
                                </a:lnTo>
                                <a:lnTo>
                                  <a:pt x="28042" y="11391"/>
                                </a:lnTo>
                                <a:lnTo>
                                  <a:pt x="30190" y="18597"/>
                                </a:lnTo>
                                <a:lnTo>
                                  <a:pt x="30911" y="28765"/>
                                </a:lnTo>
                                <a:lnTo>
                                  <a:pt x="30280" y="37744"/>
                                </a:lnTo>
                                <a:lnTo>
                                  <a:pt x="30180" y="39159"/>
                                </a:lnTo>
                                <a:lnTo>
                                  <a:pt x="28561" y="44640"/>
                                </a:lnTo>
                                <a:lnTo>
                                  <a:pt x="27940" y="46642"/>
                                </a:lnTo>
                                <a:lnTo>
                                  <a:pt x="24283" y="51055"/>
                                </a:lnTo>
                                <a:lnTo>
                                  <a:pt x="19215" y="52527"/>
                                </a:lnTo>
                                <a:lnTo>
                                  <a:pt x="31785" y="52527"/>
                                </a:lnTo>
                                <a:lnTo>
                                  <a:pt x="36944" y="44831"/>
                                </a:lnTo>
                                <a:lnTo>
                                  <a:pt x="38722" y="37744"/>
                                </a:lnTo>
                                <a:lnTo>
                                  <a:pt x="38722" y="20269"/>
                                </a:lnTo>
                                <a:lnTo>
                                  <a:pt x="36944" y="13258"/>
                                </a:lnTo>
                                <a:lnTo>
                                  <a:pt x="31766" y="5524"/>
                                </a:lnTo>
                                <a:close/>
                              </a:path>
                            </a:pathLst>
                          </a:custGeom>
                          <a:solidFill>
                            <a:srgbClr val="000000"/>
                          </a:solidFill>
                        </wps:spPr>
                        <wps:bodyPr wrap="square" lIns="0" tIns="0" rIns="0" bIns="0" rtlCol="0">
                          <a:prstTxWarp prst="textNoShape">
                            <a:avLst/>
                          </a:prstTxWarp>
                          <a:noAutofit/>
                        </wps:bodyPr>
                      </wps:wsp>
                      <wps:wsp>
                        <wps:cNvPr id="1503" name="Graphic 1503"/>
                        <wps:cNvSpPr/>
                        <wps:spPr>
                          <a:xfrm>
                            <a:off x="155647" y="44632"/>
                            <a:ext cx="1270" cy="51435"/>
                          </a:xfrm>
                          <a:custGeom>
                            <a:avLst/>
                            <a:gdLst/>
                            <a:ahLst/>
                            <a:cxnLst/>
                            <a:rect l="l" t="t" r="r" b="b"/>
                            <a:pathLst>
                              <a:path h="51435">
                                <a:moveTo>
                                  <a:pt x="0" y="0"/>
                                </a:moveTo>
                                <a:lnTo>
                                  <a:pt x="0" y="51015"/>
                                </a:lnTo>
                              </a:path>
                            </a:pathLst>
                          </a:custGeom>
                          <a:ln w="7759">
                            <a:solidFill>
                              <a:srgbClr val="000000"/>
                            </a:solidFill>
                            <a:prstDash val="solid"/>
                          </a:ln>
                        </wps:spPr>
                        <wps:bodyPr wrap="square" lIns="0" tIns="0" rIns="0" bIns="0" rtlCol="0">
                          <a:prstTxWarp prst="textNoShape">
                            <a:avLst/>
                          </a:prstTxWarp>
                          <a:noAutofit/>
                        </wps:bodyPr>
                      </wps:wsp>
                      <wps:wsp>
                        <wps:cNvPr id="1504" name="Graphic 1504"/>
                        <wps:cNvSpPr/>
                        <wps:spPr>
                          <a:xfrm>
                            <a:off x="100011" y="103587"/>
                            <a:ext cx="107314" cy="58419"/>
                          </a:xfrm>
                          <a:custGeom>
                            <a:avLst/>
                            <a:gdLst/>
                            <a:ahLst/>
                            <a:cxnLst/>
                            <a:rect l="l" t="t" r="r" b="b"/>
                            <a:pathLst>
                              <a:path w="107314" h="58419">
                                <a:moveTo>
                                  <a:pt x="104076" y="5524"/>
                                </a:moveTo>
                                <a:lnTo>
                                  <a:pt x="92278" y="5524"/>
                                </a:lnTo>
                                <a:lnTo>
                                  <a:pt x="94830" y="6413"/>
                                </a:lnTo>
                                <a:lnTo>
                                  <a:pt x="98548" y="9969"/>
                                </a:lnTo>
                                <a:lnTo>
                                  <a:pt x="99466" y="12382"/>
                                </a:lnTo>
                                <a:lnTo>
                                  <a:pt x="99466" y="20294"/>
                                </a:lnTo>
                                <a:lnTo>
                                  <a:pt x="96748" y="25171"/>
                                </a:lnTo>
                                <a:lnTo>
                                  <a:pt x="87096" y="33845"/>
                                </a:lnTo>
                                <a:lnTo>
                                  <a:pt x="80581" y="39751"/>
                                </a:lnTo>
                                <a:lnTo>
                                  <a:pt x="76238" y="45212"/>
                                </a:lnTo>
                                <a:lnTo>
                                  <a:pt x="74091" y="50215"/>
                                </a:lnTo>
                                <a:lnTo>
                                  <a:pt x="74091" y="56680"/>
                                </a:lnTo>
                                <a:lnTo>
                                  <a:pt x="107010" y="56680"/>
                                </a:lnTo>
                                <a:lnTo>
                                  <a:pt x="107010" y="50215"/>
                                </a:lnTo>
                                <a:lnTo>
                                  <a:pt x="82981" y="50215"/>
                                </a:lnTo>
                                <a:lnTo>
                                  <a:pt x="83908" y="45656"/>
                                </a:lnTo>
                                <a:lnTo>
                                  <a:pt x="87325" y="40868"/>
                                </a:lnTo>
                                <a:lnTo>
                                  <a:pt x="93230" y="35864"/>
                                </a:lnTo>
                                <a:lnTo>
                                  <a:pt x="96062" y="33426"/>
                                </a:lnTo>
                                <a:lnTo>
                                  <a:pt x="100368" y="29768"/>
                                </a:lnTo>
                                <a:lnTo>
                                  <a:pt x="103327" y="26657"/>
                                </a:lnTo>
                                <a:lnTo>
                                  <a:pt x="106489" y="21526"/>
                                </a:lnTo>
                                <a:lnTo>
                                  <a:pt x="107276" y="18580"/>
                                </a:lnTo>
                                <a:lnTo>
                                  <a:pt x="107276" y="10668"/>
                                </a:lnTo>
                                <a:lnTo>
                                  <a:pt x="105718" y="7010"/>
                                </a:lnTo>
                                <a:lnTo>
                                  <a:pt x="104076" y="5524"/>
                                </a:lnTo>
                                <a:close/>
                              </a:path>
                              <a:path w="107314" h="58419">
                                <a:moveTo>
                                  <a:pt x="95262" y="0"/>
                                </a:moveTo>
                                <a:lnTo>
                                  <a:pt x="85255" y="0"/>
                                </a:lnTo>
                                <a:lnTo>
                                  <a:pt x="80378" y="1155"/>
                                </a:lnTo>
                                <a:lnTo>
                                  <a:pt x="75476" y="3467"/>
                                </a:lnTo>
                                <a:lnTo>
                                  <a:pt x="75476" y="9969"/>
                                </a:lnTo>
                                <a:lnTo>
                                  <a:pt x="80695" y="7010"/>
                                </a:lnTo>
                                <a:lnTo>
                                  <a:pt x="85204" y="5524"/>
                                </a:lnTo>
                                <a:lnTo>
                                  <a:pt x="104076" y="5524"/>
                                </a:lnTo>
                                <a:lnTo>
                                  <a:pt x="99428" y="1384"/>
                                </a:lnTo>
                                <a:lnTo>
                                  <a:pt x="95262" y="0"/>
                                </a:lnTo>
                                <a:close/>
                              </a:path>
                              <a:path w="107314" h="58419">
                                <a:moveTo>
                                  <a:pt x="60248" y="47447"/>
                                </a:moveTo>
                                <a:lnTo>
                                  <a:pt x="51003" y="47447"/>
                                </a:lnTo>
                                <a:lnTo>
                                  <a:pt x="51003" y="56680"/>
                                </a:lnTo>
                                <a:lnTo>
                                  <a:pt x="60248" y="56680"/>
                                </a:lnTo>
                                <a:lnTo>
                                  <a:pt x="60248" y="47447"/>
                                </a:lnTo>
                                <a:close/>
                              </a:path>
                              <a:path w="107314" h="58419">
                                <a:moveTo>
                                  <a:pt x="25158" y="0"/>
                                </a:moveTo>
                                <a:lnTo>
                                  <a:pt x="13550" y="0"/>
                                </a:lnTo>
                                <a:lnTo>
                                  <a:pt x="8877" y="2654"/>
                                </a:lnTo>
                                <a:lnTo>
                                  <a:pt x="1778" y="13258"/>
                                </a:lnTo>
                                <a:lnTo>
                                  <a:pt x="0" y="20269"/>
                                </a:lnTo>
                                <a:lnTo>
                                  <a:pt x="28" y="37744"/>
                                </a:lnTo>
                                <a:lnTo>
                                  <a:pt x="1765" y="44640"/>
                                </a:lnTo>
                                <a:lnTo>
                                  <a:pt x="6935" y="52527"/>
                                </a:lnTo>
                                <a:lnTo>
                                  <a:pt x="8866" y="55410"/>
                                </a:lnTo>
                                <a:lnTo>
                                  <a:pt x="13436" y="58064"/>
                                </a:lnTo>
                                <a:lnTo>
                                  <a:pt x="25095" y="58064"/>
                                </a:lnTo>
                                <a:lnTo>
                                  <a:pt x="29845" y="55410"/>
                                </a:lnTo>
                                <a:lnTo>
                                  <a:pt x="31773" y="52527"/>
                                </a:lnTo>
                                <a:lnTo>
                                  <a:pt x="19215" y="52527"/>
                                </a:lnTo>
                                <a:lnTo>
                                  <a:pt x="14240" y="51055"/>
                                </a:lnTo>
                                <a:lnTo>
                                  <a:pt x="10688" y="46642"/>
                                </a:lnTo>
                                <a:lnTo>
                                  <a:pt x="8558" y="39288"/>
                                </a:lnTo>
                                <a:lnTo>
                                  <a:pt x="7848" y="28994"/>
                                </a:lnTo>
                                <a:lnTo>
                                  <a:pt x="8459" y="20269"/>
                                </a:lnTo>
                                <a:lnTo>
                                  <a:pt x="8567" y="18726"/>
                                </a:lnTo>
                                <a:lnTo>
                                  <a:pt x="10725" y="11391"/>
                                </a:lnTo>
                                <a:lnTo>
                                  <a:pt x="14320" y="6991"/>
                                </a:lnTo>
                                <a:lnTo>
                                  <a:pt x="19354" y="5524"/>
                                </a:lnTo>
                                <a:lnTo>
                                  <a:pt x="31763" y="5524"/>
                                </a:lnTo>
                                <a:lnTo>
                                  <a:pt x="29845" y="2654"/>
                                </a:lnTo>
                                <a:lnTo>
                                  <a:pt x="25158" y="0"/>
                                </a:lnTo>
                                <a:close/>
                              </a:path>
                              <a:path w="107314" h="58419">
                                <a:moveTo>
                                  <a:pt x="31763" y="5524"/>
                                </a:moveTo>
                                <a:lnTo>
                                  <a:pt x="19354" y="5524"/>
                                </a:lnTo>
                                <a:lnTo>
                                  <a:pt x="24419" y="6991"/>
                                </a:lnTo>
                                <a:lnTo>
                                  <a:pt x="28036" y="11391"/>
                                </a:lnTo>
                                <a:lnTo>
                                  <a:pt x="30188" y="18597"/>
                                </a:lnTo>
                                <a:lnTo>
                                  <a:pt x="30911" y="28765"/>
                                </a:lnTo>
                                <a:lnTo>
                                  <a:pt x="30278" y="37744"/>
                                </a:lnTo>
                                <a:lnTo>
                                  <a:pt x="19215" y="52527"/>
                                </a:lnTo>
                                <a:lnTo>
                                  <a:pt x="31773" y="52527"/>
                                </a:lnTo>
                                <a:lnTo>
                                  <a:pt x="36931" y="44818"/>
                                </a:lnTo>
                                <a:lnTo>
                                  <a:pt x="38709" y="37744"/>
                                </a:lnTo>
                                <a:lnTo>
                                  <a:pt x="38709" y="20269"/>
                                </a:lnTo>
                                <a:lnTo>
                                  <a:pt x="36931" y="13258"/>
                                </a:lnTo>
                                <a:lnTo>
                                  <a:pt x="31763" y="5524"/>
                                </a:lnTo>
                                <a:close/>
                              </a:path>
                            </a:pathLst>
                          </a:custGeom>
                          <a:solidFill>
                            <a:srgbClr val="000000"/>
                          </a:solidFill>
                        </wps:spPr>
                        <wps:bodyPr wrap="square" lIns="0" tIns="0" rIns="0" bIns="0" rtlCol="0">
                          <a:prstTxWarp prst="textNoShape">
                            <a:avLst/>
                          </a:prstTxWarp>
                          <a:noAutofit/>
                        </wps:bodyPr>
                      </wps:wsp>
                      <wps:wsp>
                        <wps:cNvPr id="1505" name="Graphic 1505"/>
                        <wps:cNvSpPr/>
                        <wps:spPr>
                          <a:xfrm>
                            <a:off x="307416" y="44632"/>
                            <a:ext cx="1270" cy="51435"/>
                          </a:xfrm>
                          <a:custGeom>
                            <a:avLst/>
                            <a:gdLst/>
                            <a:ahLst/>
                            <a:cxnLst/>
                            <a:rect l="l" t="t" r="r" b="b"/>
                            <a:pathLst>
                              <a:path h="51435">
                                <a:moveTo>
                                  <a:pt x="0" y="0"/>
                                </a:moveTo>
                                <a:lnTo>
                                  <a:pt x="0" y="51015"/>
                                </a:lnTo>
                              </a:path>
                            </a:pathLst>
                          </a:custGeom>
                          <a:ln w="7759">
                            <a:solidFill>
                              <a:srgbClr val="000000"/>
                            </a:solidFill>
                            <a:prstDash val="solid"/>
                          </a:ln>
                        </wps:spPr>
                        <wps:bodyPr wrap="square" lIns="0" tIns="0" rIns="0" bIns="0" rtlCol="0">
                          <a:prstTxWarp prst="textNoShape">
                            <a:avLst/>
                          </a:prstTxWarp>
                          <a:noAutofit/>
                        </wps:bodyPr>
                      </wps:wsp>
                      <wps:wsp>
                        <wps:cNvPr id="1506" name="Graphic 1506"/>
                        <wps:cNvSpPr/>
                        <wps:spPr>
                          <a:xfrm>
                            <a:off x="251778" y="103586"/>
                            <a:ext cx="111125" cy="58419"/>
                          </a:xfrm>
                          <a:custGeom>
                            <a:avLst/>
                            <a:gdLst/>
                            <a:ahLst/>
                            <a:cxnLst/>
                            <a:rect l="l" t="t" r="r" b="b"/>
                            <a:pathLst>
                              <a:path w="111125" h="58419">
                                <a:moveTo>
                                  <a:pt x="103479" y="41021"/>
                                </a:moveTo>
                                <a:lnTo>
                                  <a:pt x="96558" y="41021"/>
                                </a:lnTo>
                                <a:lnTo>
                                  <a:pt x="96558" y="56680"/>
                                </a:lnTo>
                                <a:lnTo>
                                  <a:pt x="103479" y="56680"/>
                                </a:lnTo>
                                <a:lnTo>
                                  <a:pt x="103479" y="41021"/>
                                </a:lnTo>
                                <a:close/>
                              </a:path>
                              <a:path w="111125" h="58419">
                                <a:moveTo>
                                  <a:pt x="103479" y="1384"/>
                                </a:moveTo>
                                <a:lnTo>
                                  <a:pt x="96558" y="1384"/>
                                </a:lnTo>
                                <a:lnTo>
                                  <a:pt x="71678" y="35458"/>
                                </a:lnTo>
                                <a:lnTo>
                                  <a:pt x="71678" y="41021"/>
                                </a:lnTo>
                                <a:lnTo>
                                  <a:pt x="110871" y="41021"/>
                                </a:lnTo>
                                <a:lnTo>
                                  <a:pt x="110871" y="35001"/>
                                </a:lnTo>
                                <a:lnTo>
                                  <a:pt x="78879" y="35001"/>
                                </a:lnTo>
                                <a:lnTo>
                                  <a:pt x="97040" y="10414"/>
                                </a:lnTo>
                                <a:lnTo>
                                  <a:pt x="103479" y="10414"/>
                                </a:lnTo>
                                <a:lnTo>
                                  <a:pt x="103479" y="1384"/>
                                </a:lnTo>
                                <a:close/>
                              </a:path>
                              <a:path w="111125" h="58419">
                                <a:moveTo>
                                  <a:pt x="103479" y="10414"/>
                                </a:moveTo>
                                <a:lnTo>
                                  <a:pt x="97040" y="10414"/>
                                </a:lnTo>
                                <a:lnTo>
                                  <a:pt x="97040" y="35001"/>
                                </a:lnTo>
                                <a:lnTo>
                                  <a:pt x="103479" y="35001"/>
                                </a:lnTo>
                                <a:lnTo>
                                  <a:pt x="103479" y="10414"/>
                                </a:lnTo>
                                <a:close/>
                              </a:path>
                              <a:path w="111125" h="58419">
                                <a:moveTo>
                                  <a:pt x="60248" y="47447"/>
                                </a:moveTo>
                                <a:lnTo>
                                  <a:pt x="51015" y="47447"/>
                                </a:lnTo>
                                <a:lnTo>
                                  <a:pt x="51015" y="56680"/>
                                </a:lnTo>
                                <a:lnTo>
                                  <a:pt x="60248" y="56680"/>
                                </a:lnTo>
                                <a:lnTo>
                                  <a:pt x="60248" y="47447"/>
                                </a:lnTo>
                                <a:close/>
                              </a:path>
                              <a:path w="111125" h="58419">
                                <a:moveTo>
                                  <a:pt x="25171" y="0"/>
                                </a:moveTo>
                                <a:lnTo>
                                  <a:pt x="13550" y="0"/>
                                </a:lnTo>
                                <a:lnTo>
                                  <a:pt x="8877" y="2654"/>
                                </a:lnTo>
                                <a:lnTo>
                                  <a:pt x="1778" y="13258"/>
                                </a:lnTo>
                                <a:lnTo>
                                  <a:pt x="0" y="20269"/>
                                </a:lnTo>
                                <a:lnTo>
                                  <a:pt x="28" y="37744"/>
                                </a:lnTo>
                                <a:lnTo>
                                  <a:pt x="1765" y="44640"/>
                                </a:lnTo>
                                <a:lnTo>
                                  <a:pt x="6945" y="52527"/>
                                </a:lnTo>
                                <a:lnTo>
                                  <a:pt x="8879" y="55410"/>
                                </a:lnTo>
                                <a:lnTo>
                                  <a:pt x="13436" y="58064"/>
                                </a:lnTo>
                                <a:lnTo>
                                  <a:pt x="25095" y="58064"/>
                                </a:lnTo>
                                <a:lnTo>
                                  <a:pt x="29845" y="55410"/>
                                </a:lnTo>
                                <a:lnTo>
                                  <a:pt x="31773" y="52527"/>
                                </a:lnTo>
                                <a:lnTo>
                                  <a:pt x="19215" y="52527"/>
                                </a:lnTo>
                                <a:lnTo>
                                  <a:pt x="14240" y="51055"/>
                                </a:lnTo>
                                <a:lnTo>
                                  <a:pt x="10688" y="46642"/>
                                </a:lnTo>
                                <a:lnTo>
                                  <a:pt x="8558" y="39288"/>
                                </a:lnTo>
                                <a:lnTo>
                                  <a:pt x="7848" y="28994"/>
                                </a:lnTo>
                                <a:lnTo>
                                  <a:pt x="8459" y="20269"/>
                                </a:lnTo>
                                <a:lnTo>
                                  <a:pt x="8567" y="18726"/>
                                </a:lnTo>
                                <a:lnTo>
                                  <a:pt x="10725" y="11391"/>
                                </a:lnTo>
                                <a:lnTo>
                                  <a:pt x="14320" y="6991"/>
                                </a:lnTo>
                                <a:lnTo>
                                  <a:pt x="19354" y="5524"/>
                                </a:lnTo>
                                <a:lnTo>
                                  <a:pt x="31763" y="5524"/>
                                </a:lnTo>
                                <a:lnTo>
                                  <a:pt x="29845" y="2654"/>
                                </a:lnTo>
                                <a:lnTo>
                                  <a:pt x="25171" y="0"/>
                                </a:lnTo>
                                <a:close/>
                              </a:path>
                              <a:path w="111125" h="58419">
                                <a:moveTo>
                                  <a:pt x="31763" y="5524"/>
                                </a:moveTo>
                                <a:lnTo>
                                  <a:pt x="19354" y="5524"/>
                                </a:lnTo>
                                <a:lnTo>
                                  <a:pt x="24424" y="6991"/>
                                </a:lnTo>
                                <a:lnTo>
                                  <a:pt x="28041" y="11391"/>
                                </a:lnTo>
                                <a:lnTo>
                                  <a:pt x="30190" y="18597"/>
                                </a:lnTo>
                                <a:lnTo>
                                  <a:pt x="30911" y="28765"/>
                                </a:lnTo>
                                <a:lnTo>
                                  <a:pt x="30280" y="37744"/>
                                </a:lnTo>
                                <a:lnTo>
                                  <a:pt x="19215" y="52527"/>
                                </a:lnTo>
                                <a:lnTo>
                                  <a:pt x="31773" y="52527"/>
                                </a:lnTo>
                                <a:lnTo>
                                  <a:pt x="36931" y="44818"/>
                                </a:lnTo>
                                <a:lnTo>
                                  <a:pt x="38722" y="37744"/>
                                </a:lnTo>
                                <a:lnTo>
                                  <a:pt x="38722" y="20269"/>
                                </a:lnTo>
                                <a:lnTo>
                                  <a:pt x="36931" y="13258"/>
                                </a:lnTo>
                                <a:lnTo>
                                  <a:pt x="31763" y="5524"/>
                                </a:lnTo>
                                <a:close/>
                              </a:path>
                            </a:pathLst>
                          </a:custGeom>
                          <a:solidFill>
                            <a:srgbClr val="000000"/>
                          </a:solidFill>
                        </wps:spPr>
                        <wps:bodyPr wrap="square" lIns="0" tIns="0" rIns="0" bIns="0" rtlCol="0">
                          <a:prstTxWarp prst="textNoShape">
                            <a:avLst/>
                          </a:prstTxWarp>
                          <a:noAutofit/>
                        </wps:bodyPr>
                      </wps:wsp>
                      <wps:wsp>
                        <wps:cNvPr id="1507" name="Graphic 1507"/>
                        <wps:cNvSpPr/>
                        <wps:spPr>
                          <a:xfrm>
                            <a:off x="459196" y="44632"/>
                            <a:ext cx="1270" cy="51435"/>
                          </a:xfrm>
                          <a:custGeom>
                            <a:avLst/>
                            <a:gdLst/>
                            <a:ahLst/>
                            <a:cxnLst/>
                            <a:rect l="l" t="t" r="r" b="b"/>
                            <a:pathLst>
                              <a:path h="51435">
                                <a:moveTo>
                                  <a:pt x="0" y="0"/>
                                </a:moveTo>
                                <a:lnTo>
                                  <a:pt x="0" y="51015"/>
                                </a:lnTo>
                              </a:path>
                            </a:pathLst>
                          </a:custGeom>
                          <a:ln w="7759">
                            <a:solidFill>
                              <a:srgbClr val="000000"/>
                            </a:solidFill>
                            <a:prstDash val="solid"/>
                          </a:ln>
                        </wps:spPr>
                        <wps:bodyPr wrap="square" lIns="0" tIns="0" rIns="0" bIns="0" rtlCol="0">
                          <a:prstTxWarp prst="textNoShape">
                            <a:avLst/>
                          </a:prstTxWarp>
                          <a:noAutofit/>
                        </wps:bodyPr>
                      </wps:wsp>
                      <wps:wsp>
                        <wps:cNvPr id="1508" name="Graphic 1508"/>
                        <wps:cNvSpPr/>
                        <wps:spPr>
                          <a:xfrm>
                            <a:off x="403557" y="103545"/>
                            <a:ext cx="111125" cy="58419"/>
                          </a:xfrm>
                          <a:custGeom>
                            <a:avLst/>
                            <a:gdLst/>
                            <a:ahLst/>
                            <a:cxnLst/>
                            <a:rect l="l" t="t" r="r" b="b"/>
                            <a:pathLst>
                              <a:path w="111125" h="58419">
                                <a:moveTo>
                                  <a:pt x="98742" y="0"/>
                                </a:moveTo>
                                <a:lnTo>
                                  <a:pt x="88290" y="0"/>
                                </a:lnTo>
                                <a:lnTo>
                                  <a:pt x="82727" y="2654"/>
                                </a:lnTo>
                                <a:lnTo>
                                  <a:pt x="74841" y="13258"/>
                                </a:lnTo>
                                <a:lnTo>
                                  <a:pt x="72847" y="20713"/>
                                </a:lnTo>
                                <a:lnTo>
                                  <a:pt x="72847" y="39014"/>
                                </a:lnTo>
                                <a:lnTo>
                                  <a:pt x="74506" y="45567"/>
                                </a:lnTo>
                                <a:lnTo>
                                  <a:pt x="74574" y="45834"/>
                                </a:lnTo>
                                <a:lnTo>
                                  <a:pt x="81445" y="55651"/>
                                </a:lnTo>
                                <a:lnTo>
                                  <a:pt x="86220" y="58102"/>
                                </a:lnTo>
                                <a:lnTo>
                                  <a:pt x="97637" y="58102"/>
                                </a:lnTo>
                                <a:lnTo>
                                  <a:pt x="102006" y="56248"/>
                                </a:lnTo>
                                <a:lnTo>
                                  <a:pt x="105430" y="52565"/>
                                </a:lnTo>
                                <a:lnTo>
                                  <a:pt x="89331" y="52565"/>
                                </a:lnTo>
                                <a:lnTo>
                                  <a:pt x="86525" y="51168"/>
                                </a:lnTo>
                                <a:lnTo>
                                  <a:pt x="82257" y="45567"/>
                                </a:lnTo>
                                <a:lnTo>
                                  <a:pt x="81191" y="41846"/>
                                </a:lnTo>
                                <a:lnTo>
                                  <a:pt x="81191" y="34277"/>
                                </a:lnTo>
                                <a:lnTo>
                                  <a:pt x="82321" y="31762"/>
                                </a:lnTo>
                                <a:lnTo>
                                  <a:pt x="86263" y="28067"/>
                                </a:lnTo>
                                <a:lnTo>
                                  <a:pt x="80886" y="28067"/>
                                </a:lnTo>
                                <a:lnTo>
                                  <a:pt x="81769" y="18206"/>
                                </a:lnTo>
                                <a:lnTo>
                                  <a:pt x="84420" y="11161"/>
                                </a:lnTo>
                                <a:lnTo>
                                  <a:pt x="88837" y="6934"/>
                                </a:lnTo>
                                <a:lnTo>
                                  <a:pt x="95021" y="5524"/>
                                </a:lnTo>
                                <a:lnTo>
                                  <a:pt x="107784" y="5524"/>
                                </a:lnTo>
                                <a:lnTo>
                                  <a:pt x="107784" y="2095"/>
                                </a:lnTo>
                                <a:lnTo>
                                  <a:pt x="102870" y="698"/>
                                </a:lnTo>
                                <a:lnTo>
                                  <a:pt x="98742" y="0"/>
                                </a:lnTo>
                                <a:close/>
                              </a:path>
                              <a:path w="111125" h="58419">
                                <a:moveTo>
                                  <a:pt x="106507" y="26530"/>
                                </a:moveTo>
                                <a:lnTo>
                                  <a:pt x="95923" y="26530"/>
                                </a:lnTo>
                                <a:lnTo>
                                  <a:pt x="98539" y="27724"/>
                                </a:lnTo>
                                <a:lnTo>
                                  <a:pt x="102298" y="32512"/>
                                </a:lnTo>
                                <a:lnTo>
                                  <a:pt x="103238" y="35801"/>
                                </a:lnTo>
                                <a:lnTo>
                                  <a:pt x="103152" y="44094"/>
                                </a:lnTo>
                                <a:lnTo>
                                  <a:pt x="102298" y="46875"/>
                                </a:lnTo>
                                <a:lnTo>
                                  <a:pt x="100406" y="49149"/>
                                </a:lnTo>
                                <a:lnTo>
                                  <a:pt x="98539" y="51435"/>
                                </a:lnTo>
                                <a:lnTo>
                                  <a:pt x="96012" y="52565"/>
                                </a:lnTo>
                                <a:lnTo>
                                  <a:pt x="105430" y="52565"/>
                                </a:lnTo>
                                <a:lnTo>
                                  <a:pt x="108902" y="48831"/>
                                </a:lnTo>
                                <a:lnTo>
                                  <a:pt x="110629" y="44094"/>
                                </a:lnTo>
                                <a:lnTo>
                                  <a:pt x="110629" y="33337"/>
                                </a:lnTo>
                                <a:lnTo>
                                  <a:pt x="109093" y="29222"/>
                                </a:lnTo>
                                <a:lnTo>
                                  <a:pt x="106507" y="26530"/>
                                </a:lnTo>
                                <a:close/>
                              </a:path>
                              <a:path w="111125" h="58419">
                                <a:moveTo>
                                  <a:pt x="98983" y="21221"/>
                                </a:moveTo>
                                <a:lnTo>
                                  <a:pt x="88823" y="21221"/>
                                </a:lnTo>
                                <a:lnTo>
                                  <a:pt x="84404" y="23507"/>
                                </a:lnTo>
                                <a:lnTo>
                                  <a:pt x="80886" y="28067"/>
                                </a:lnTo>
                                <a:lnTo>
                                  <a:pt x="86263" y="28067"/>
                                </a:lnTo>
                                <a:lnTo>
                                  <a:pt x="86791" y="27571"/>
                                </a:lnTo>
                                <a:lnTo>
                                  <a:pt x="89471" y="26530"/>
                                </a:lnTo>
                                <a:lnTo>
                                  <a:pt x="106507" y="26530"/>
                                </a:lnTo>
                                <a:lnTo>
                                  <a:pt x="102946" y="22821"/>
                                </a:lnTo>
                                <a:lnTo>
                                  <a:pt x="98983" y="21221"/>
                                </a:lnTo>
                                <a:close/>
                              </a:path>
                              <a:path w="111125" h="58419">
                                <a:moveTo>
                                  <a:pt x="107784" y="5524"/>
                                </a:moveTo>
                                <a:lnTo>
                                  <a:pt x="98323" y="5524"/>
                                </a:lnTo>
                                <a:lnTo>
                                  <a:pt x="102590" y="6527"/>
                                </a:lnTo>
                                <a:lnTo>
                                  <a:pt x="107784" y="8509"/>
                                </a:lnTo>
                                <a:lnTo>
                                  <a:pt x="107784" y="5524"/>
                                </a:lnTo>
                                <a:close/>
                              </a:path>
                              <a:path w="111125" h="58419">
                                <a:moveTo>
                                  <a:pt x="60236" y="47498"/>
                                </a:moveTo>
                                <a:lnTo>
                                  <a:pt x="51003" y="47498"/>
                                </a:lnTo>
                                <a:lnTo>
                                  <a:pt x="51003" y="56730"/>
                                </a:lnTo>
                                <a:lnTo>
                                  <a:pt x="60236" y="56730"/>
                                </a:lnTo>
                                <a:lnTo>
                                  <a:pt x="60236" y="47498"/>
                                </a:lnTo>
                                <a:close/>
                              </a:path>
                              <a:path w="111125" h="58419">
                                <a:moveTo>
                                  <a:pt x="25158" y="38"/>
                                </a:moveTo>
                                <a:lnTo>
                                  <a:pt x="13550" y="38"/>
                                </a:lnTo>
                                <a:lnTo>
                                  <a:pt x="8864" y="2692"/>
                                </a:lnTo>
                                <a:lnTo>
                                  <a:pt x="1778" y="13296"/>
                                </a:lnTo>
                                <a:lnTo>
                                  <a:pt x="0" y="20320"/>
                                </a:lnTo>
                                <a:lnTo>
                                  <a:pt x="31" y="37795"/>
                                </a:lnTo>
                                <a:lnTo>
                                  <a:pt x="1765" y="44678"/>
                                </a:lnTo>
                                <a:lnTo>
                                  <a:pt x="6929" y="52565"/>
                                </a:lnTo>
                                <a:lnTo>
                                  <a:pt x="8866" y="55460"/>
                                </a:lnTo>
                                <a:lnTo>
                                  <a:pt x="13423" y="58102"/>
                                </a:lnTo>
                                <a:lnTo>
                                  <a:pt x="25082" y="58102"/>
                                </a:lnTo>
                                <a:lnTo>
                                  <a:pt x="29832" y="55460"/>
                                </a:lnTo>
                                <a:lnTo>
                                  <a:pt x="31773" y="52565"/>
                                </a:lnTo>
                                <a:lnTo>
                                  <a:pt x="19202" y="52565"/>
                                </a:lnTo>
                                <a:lnTo>
                                  <a:pt x="14233" y="51095"/>
                                </a:lnTo>
                                <a:lnTo>
                                  <a:pt x="10680" y="46685"/>
                                </a:lnTo>
                                <a:lnTo>
                                  <a:pt x="8547" y="39331"/>
                                </a:lnTo>
                                <a:lnTo>
                                  <a:pt x="7835" y="29032"/>
                                </a:lnTo>
                                <a:lnTo>
                                  <a:pt x="8447" y="20320"/>
                                </a:lnTo>
                                <a:lnTo>
                                  <a:pt x="8557" y="18764"/>
                                </a:lnTo>
                                <a:lnTo>
                                  <a:pt x="10718" y="11430"/>
                                </a:lnTo>
                                <a:lnTo>
                                  <a:pt x="14318" y="7029"/>
                                </a:lnTo>
                                <a:lnTo>
                                  <a:pt x="19354" y="5562"/>
                                </a:lnTo>
                                <a:lnTo>
                                  <a:pt x="31753" y="5562"/>
                                </a:lnTo>
                                <a:lnTo>
                                  <a:pt x="29832" y="2692"/>
                                </a:lnTo>
                                <a:lnTo>
                                  <a:pt x="25158" y="38"/>
                                </a:lnTo>
                                <a:close/>
                              </a:path>
                              <a:path w="111125" h="58419">
                                <a:moveTo>
                                  <a:pt x="38709" y="37795"/>
                                </a:moveTo>
                                <a:lnTo>
                                  <a:pt x="30267" y="37795"/>
                                </a:lnTo>
                                <a:lnTo>
                                  <a:pt x="30131" y="39331"/>
                                </a:lnTo>
                                <a:lnTo>
                                  <a:pt x="28551" y="44678"/>
                                </a:lnTo>
                                <a:lnTo>
                                  <a:pt x="27929" y="46685"/>
                                </a:lnTo>
                                <a:lnTo>
                                  <a:pt x="24271" y="51095"/>
                                </a:lnTo>
                                <a:lnTo>
                                  <a:pt x="19202" y="52565"/>
                                </a:lnTo>
                                <a:lnTo>
                                  <a:pt x="31773" y="52565"/>
                                </a:lnTo>
                                <a:lnTo>
                                  <a:pt x="36931" y="44869"/>
                                </a:lnTo>
                                <a:lnTo>
                                  <a:pt x="38709" y="37795"/>
                                </a:lnTo>
                                <a:close/>
                              </a:path>
                              <a:path w="111125" h="58419">
                                <a:moveTo>
                                  <a:pt x="31753" y="5562"/>
                                </a:moveTo>
                                <a:lnTo>
                                  <a:pt x="19354" y="5562"/>
                                </a:lnTo>
                                <a:lnTo>
                                  <a:pt x="24417" y="7029"/>
                                </a:lnTo>
                                <a:lnTo>
                                  <a:pt x="28029" y="11430"/>
                                </a:lnTo>
                                <a:lnTo>
                                  <a:pt x="30186" y="18764"/>
                                </a:lnTo>
                                <a:lnTo>
                                  <a:pt x="30899" y="28816"/>
                                </a:lnTo>
                                <a:lnTo>
                                  <a:pt x="30276" y="37668"/>
                                </a:lnTo>
                                <a:lnTo>
                                  <a:pt x="38709" y="37668"/>
                                </a:lnTo>
                                <a:lnTo>
                                  <a:pt x="38709" y="20320"/>
                                </a:lnTo>
                                <a:lnTo>
                                  <a:pt x="36931" y="13296"/>
                                </a:lnTo>
                                <a:lnTo>
                                  <a:pt x="31753" y="5562"/>
                                </a:lnTo>
                                <a:close/>
                              </a:path>
                            </a:pathLst>
                          </a:custGeom>
                          <a:solidFill>
                            <a:srgbClr val="000000"/>
                          </a:solidFill>
                        </wps:spPr>
                        <wps:bodyPr wrap="square" lIns="0" tIns="0" rIns="0" bIns="0" rtlCol="0">
                          <a:prstTxWarp prst="textNoShape">
                            <a:avLst/>
                          </a:prstTxWarp>
                          <a:noAutofit/>
                        </wps:bodyPr>
                      </wps:wsp>
                      <wps:wsp>
                        <wps:cNvPr id="1509" name="Graphic 1509"/>
                        <wps:cNvSpPr/>
                        <wps:spPr>
                          <a:xfrm>
                            <a:off x="610963" y="44632"/>
                            <a:ext cx="1270" cy="51435"/>
                          </a:xfrm>
                          <a:custGeom>
                            <a:avLst/>
                            <a:gdLst/>
                            <a:ahLst/>
                            <a:cxnLst/>
                            <a:rect l="l" t="t" r="r" b="b"/>
                            <a:pathLst>
                              <a:path h="51435">
                                <a:moveTo>
                                  <a:pt x="0" y="0"/>
                                </a:moveTo>
                                <a:lnTo>
                                  <a:pt x="0" y="51015"/>
                                </a:lnTo>
                              </a:path>
                            </a:pathLst>
                          </a:custGeom>
                          <a:ln w="7759">
                            <a:solidFill>
                              <a:srgbClr val="000000"/>
                            </a:solidFill>
                            <a:prstDash val="solid"/>
                          </a:ln>
                        </wps:spPr>
                        <wps:bodyPr wrap="square" lIns="0" tIns="0" rIns="0" bIns="0" rtlCol="0">
                          <a:prstTxWarp prst="textNoShape">
                            <a:avLst/>
                          </a:prstTxWarp>
                          <a:noAutofit/>
                        </wps:bodyPr>
                      </wps:wsp>
                      <wps:wsp>
                        <wps:cNvPr id="1510" name="Graphic 1510"/>
                        <wps:cNvSpPr/>
                        <wps:spPr>
                          <a:xfrm>
                            <a:off x="555330" y="103545"/>
                            <a:ext cx="111760" cy="58419"/>
                          </a:xfrm>
                          <a:custGeom>
                            <a:avLst/>
                            <a:gdLst/>
                            <a:ahLst/>
                            <a:cxnLst/>
                            <a:rect l="l" t="t" r="r" b="b"/>
                            <a:pathLst>
                              <a:path w="111760" h="58419">
                                <a:moveTo>
                                  <a:pt x="98374" y="0"/>
                                </a:moveTo>
                                <a:lnTo>
                                  <a:pt x="88887" y="0"/>
                                </a:lnTo>
                                <a:lnTo>
                                  <a:pt x="84886" y="1295"/>
                                </a:lnTo>
                                <a:lnTo>
                                  <a:pt x="78765" y="6540"/>
                                </a:lnTo>
                                <a:lnTo>
                                  <a:pt x="77228" y="9944"/>
                                </a:lnTo>
                                <a:lnTo>
                                  <a:pt x="77228" y="18681"/>
                                </a:lnTo>
                                <a:lnTo>
                                  <a:pt x="79933" y="22834"/>
                                </a:lnTo>
                                <a:lnTo>
                                  <a:pt x="85343" y="26606"/>
                                </a:lnTo>
                                <a:lnTo>
                                  <a:pt x="78016" y="30987"/>
                                </a:lnTo>
                                <a:lnTo>
                                  <a:pt x="74345" y="36487"/>
                                </a:lnTo>
                                <a:lnTo>
                                  <a:pt x="74386" y="47688"/>
                                </a:lnTo>
                                <a:lnTo>
                                  <a:pt x="76022" y="51219"/>
                                </a:lnTo>
                                <a:lnTo>
                                  <a:pt x="82727" y="56730"/>
                                </a:lnTo>
                                <a:lnTo>
                                  <a:pt x="87109" y="58102"/>
                                </a:lnTo>
                                <a:lnTo>
                                  <a:pt x="98069" y="58102"/>
                                </a:lnTo>
                                <a:lnTo>
                                  <a:pt x="102315" y="56730"/>
                                </a:lnTo>
                                <a:lnTo>
                                  <a:pt x="102483" y="56730"/>
                                </a:lnTo>
                                <a:lnTo>
                                  <a:pt x="107493" y="52565"/>
                                </a:lnTo>
                                <a:lnTo>
                                  <a:pt x="89509" y="52565"/>
                                </a:lnTo>
                                <a:lnTo>
                                  <a:pt x="86829" y="51587"/>
                                </a:lnTo>
                                <a:lnTo>
                                  <a:pt x="82727" y="47688"/>
                                </a:lnTo>
                                <a:lnTo>
                                  <a:pt x="81711" y="45123"/>
                                </a:lnTo>
                                <a:lnTo>
                                  <a:pt x="81711" y="39420"/>
                                </a:lnTo>
                                <a:lnTo>
                                  <a:pt x="82232" y="37287"/>
                                </a:lnTo>
                                <a:lnTo>
                                  <a:pt x="84353" y="33883"/>
                                </a:lnTo>
                                <a:lnTo>
                                  <a:pt x="86372" y="31876"/>
                                </a:lnTo>
                                <a:lnTo>
                                  <a:pt x="89331" y="29590"/>
                                </a:lnTo>
                                <a:lnTo>
                                  <a:pt x="104927" y="29590"/>
                                </a:lnTo>
                                <a:lnTo>
                                  <a:pt x="98818" y="26606"/>
                                </a:lnTo>
                                <a:lnTo>
                                  <a:pt x="102418" y="24295"/>
                                </a:lnTo>
                                <a:lnTo>
                                  <a:pt x="94716" y="24295"/>
                                </a:lnTo>
                                <a:lnTo>
                                  <a:pt x="90589" y="21920"/>
                                </a:lnTo>
                                <a:lnTo>
                                  <a:pt x="87744" y="19913"/>
                                </a:lnTo>
                                <a:lnTo>
                                  <a:pt x="84683" y="16662"/>
                                </a:lnTo>
                                <a:lnTo>
                                  <a:pt x="83921" y="14808"/>
                                </a:lnTo>
                                <a:lnTo>
                                  <a:pt x="83921" y="10617"/>
                                </a:lnTo>
                                <a:lnTo>
                                  <a:pt x="84747" y="8953"/>
                                </a:lnTo>
                                <a:lnTo>
                                  <a:pt x="85383" y="8420"/>
                                </a:lnTo>
                                <a:lnTo>
                                  <a:pt x="88134" y="6248"/>
                                </a:lnTo>
                                <a:lnTo>
                                  <a:pt x="90360" y="5562"/>
                                </a:lnTo>
                                <a:lnTo>
                                  <a:pt x="107753" y="5562"/>
                                </a:lnTo>
                                <a:lnTo>
                                  <a:pt x="102069" y="1104"/>
                                </a:lnTo>
                                <a:lnTo>
                                  <a:pt x="98374" y="0"/>
                                </a:lnTo>
                                <a:close/>
                              </a:path>
                              <a:path w="111760" h="58419">
                                <a:moveTo>
                                  <a:pt x="104927" y="29590"/>
                                </a:moveTo>
                                <a:lnTo>
                                  <a:pt x="89331" y="29590"/>
                                </a:lnTo>
                                <a:lnTo>
                                  <a:pt x="98183" y="34836"/>
                                </a:lnTo>
                                <a:lnTo>
                                  <a:pt x="100622" y="36652"/>
                                </a:lnTo>
                                <a:lnTo>
                                  <a:pt x="103123" y="39611"/>
                                </a:lnTo>
                                <a:lnTo>
                                  <a:pt x="103758" y="41427"/>
                                </a:lnTo>
                                <a:lnTo>
                                  <a:pt x="103758" y="46227"/>
                                </a:lnTo>
                                <a:lnTo>
                                  <a:pt x="102755" y="48399"/>
                                </a:lnTo>
                                <a:lnTo>
                                  <a:pt x="98678" y="51739"/>
                                </a:lnTo>
                                <a:lnTo>
                                  <a:pt x="96062" y="52565"/>
                                </a:lnTo>
                                <a:lnTo>
                                  <a:pt x="107493" y="52565"/>
                                </a:lnTo>
                                <a:lnTo>
                                  <a:pt x="109600" y="50812"/>
                                </a:lnTo>
                                <a:lnTo>
                                  <a:pt x="111340" y="47040"/>
                                </a:lnTo>
                                <a:lnTo>
                                  <a:pt x="111340" y="35953"/>
                                </a:lnTo>
                                <a:lnTo>
                                  <a:pt x="107162" y="30683"/>
                                </a:lnTo>
                                <a:lnTo>
                                  <a:pt x="104927" y="29590"/>
                                </a:lnTo>
                                <a:close/>
                              </a:path>
                              <a:path w="111760" h="58419">
                                <a:moveTo>
                                  <a:pt x="107733" y="5562"/>
                                </a:moveTo>
                                <a:lnTo>
                                  <a:pt x="95884" y="5562"/>
                                </a:lnTo>
                                <a:lnTo>
                                  <a:pt x="98145" y="6248"/>
                                </a:lnTo>
                                <a:lnTo>
                                  <a:pt x="101599" y="8953"/>
                                </a:lnTo>
                                <a:lnTo>
                                  <a:pt x="102390" y="10617"/>
                                </a:lnTo>
                                <a:lnTo>
                                  <a:pt x="102329" y="17310"/>
                                </a:lnTo>
                                <a:lnTo>
                                  <a:pt x="99872" y="20904"/>
                                </a:lnTo>
                                <a:lnTo>
                                  <a:pt x="94716" y="24295"/>
                                </a:lnTo>
                                <a:lnTo>
                                  <a:pt x="102418" y="24295"/>
                                </a:lnTo>
                                <a:lnTo>
                                  <a:pt x="105702" y="22186"/>
                                </a:lnTo>
                                <a:lnTo>
                                  <a:pt x="109143" y="17310"/>
                                </a:lnTo>
                                <a:lnTo>
                                  <a:pt x="109143" y="8420"/>
                                </a:lnTo>
                                <a:lnTo>
                                  <a:pt x="107733" y="5562"/>
                                </a:lnTo>
                                <a:close/>
                              </a:path>
                              <a:path w="111760" h="58419">
                                <a:moveTo>
                                  <a:pt x="60236" y="47497"/>
                                </a:moveTo>
                                <a:lnTo>
                                  <a:pt x="50990" y="47497"/>
                                </a:lnTo>
                                <a:lnTo>
                                  <a:pt x="50990" y="56730"/>
                                </a:lnTo>
                                <a:lnTo>
                                  <a:pt x="60236" y="56730"/>
                                </a:lnTo>
                                <a:lnTo>
                                  <a:pt x="60236" y="47497"/>
                                </a:lnTo>
                                <a:close/>
                              </a:path>
                              <a:path w="111760" h="58419">
                                <a:moveTo>
                                  <a:pt x="25158" y="38"/>
                                </a:moveTo>
                                <a:lnTo>
                                  <a:pt x="13550" y="38"/>
                                </a:lnTo>
                                <a:lnTo>
                                  <a:pt x="8864" y="2692"/>
                                </a:lnTo>
                                <a:lnTo>
                                  <a:pt x="1765" y="13296"/>
                                </a:lnTo>
                                <a:lnTo>
                                  <a:pt x="0" y="20319"/>
                                </a:lnTo>
                                <a:lnTo>
                                  <a:pt x="31" y="37795"/>
                                </a:lnTo>
                                <a:lnTo>
                                  <a:pt x="1752" y="44678"/>
                                </a:lnTo>
                                <a:lnTo>
                                  <a:pt x="6926" y="52565"/>
                                </a:lnTo>
                                <a:lnTo>
                                  <a:pt x="8866" y="55460"/>
                                </a:lnTo>
                                <a:lnTo>
                                  <a:pt x="13423" y="58102"/>
                                </a:lnTo>
                                <a:lnTo>
                                  <a:pt x="25082" y="58102"/>
                                </a:lnTo>
                                <a:lnTo>
                                  <a:pt x="29832" y="55460"/>
                                </a:lnTo>
                                <a:lnTo>
                                  <a:pt x="31773" y="52565"/>
                                </a:lnTo>
                                <a:lnTo>
                                  <a:pt x="19215" y="52565"/>
                                </a:lnTo>
                                <a:lnTo>
                                  <a:pt x="14240" y="51093"/>
                                </a:lnTo>
                                <a:lnTo>
                                  <a:pt x="10688" y="46680"/>
                                </a:lnTo>
                                <a:lnTo>
                                  <a:pt x="8558" y="39326"/>
                                </a:lnTo>
                                <a:lnTo>
                                  <a:pt x="7848" y="29032"/>
                                </a:lnTo>
                                <a:lnTo>
                                  <a:pt x="8458" y="20319"/>
                                </a:lnTo>
                                <a:lnTo>
                                  <a:pt x="8567" y="18764"/>
                                </a:lnTo>
                                <a:lnTo>
                                  <a:pt x="10725" y="11429"/>
                                </a:lnTo>
                                <a:lnTo>
                                  <a:pt x="14320" y="7029"/>
                                </a:lnTo>
                                <a:lnTo>
                                  <a:pt x="19354" y="5562"/>
                                </a:lnTo>
                                <a:lnTo>
                                  <a:pt x="31753" y="5562"/>
                                </a:lnTo>
                                <a:lnTo>
                                  <a:pt x="29832" y="2692"/>
                                </a:lnTo>
                                <a:lnTo>
                                  <a:pt x="25158" y="38"/>
                                </a:lnTo>
                                <a:close/>
                              </a:path>
                              <a:path w="111760" h="58419">
                                <a:moveTo>
                                  <a:pt x="31753" y="5562"/>
                                </a:moveTo>
                                <a:lnTo>
                                  <a:pt x="19354" y="5562"/>
                                </a:lnTo>
                                <a:lnTo>
                                  <a:pt x="24415" y="7029"/>
                                </a:lnTo>
                                <a:lnTo>
                                  <a:pt x="28023" y="11429"/>
                                </a:lnTo>
                                <a:lnTo>
                                  <a:pt x="30166" y="18635"/>
                                </a:lnTo>
                                <a:lnTo>
                                  <a:pt x="30886" y="28803"/>
                                </a:lnTo>
                                <a:lnTo>
                                  <a:pt x="30265" y="37668"/>
                                </a:lnTo>
                                <a:lnTo>
                                  <a:pt x="19215" y="52565"/>
                                </a:lnTo>
                                <a:lnTo>
                                  <a:pt x="31773" y="52565"/>
                                </a:lnTo>
                                <a:lnTo>
                                  <a:pt x="36931" y="44869"/>
                                </a:lnTo>
                                <a:lnTo>
                                  <a:pt x="38709" y="37795"/>
                                </a:lnTo>
                                <a:lnTo>
                                  <a:pt x="38709" y="20319"/>
                                </a:lnTo>
                                <a:lnTo>
                                  <a:pt x="36931" y="13296"/>
                                </a:lnTo>
                                <a:lnTo>
                                  <a:pt x="31753" y="5562"/>
                                </a:lnTo>
                                <a:close/>
                              </a:path>
                            </a:pathLst>
                          </a:custGeom>
                          <a:solidFill>
                            <a:srgbClr val="000000"/>
                          </a:solidFill>
                        </wps:spPr>
                        <wps:bodyPr wrap="square" lIns="0" tIns="0" rIns="0" bIns="0" rtlCol="0">
                          <a:prstTxWarp prst="textNoShape">
                            <a:avLst/>
                          </a:prstTxWarp>
                          <a:noAutofit/>
                        </wps:bodyPr>
                      </wps:wsp>
                      <wps:wsp>
                        <wps:cNvPr id="1511" name="Graphic 1511"/>
                        <wps:cNvSpPr/>
                        <wps:spPr>
                          <a:xfrm>
                            <a:off x="762732" y="44632"/>
                            <a:ext cx="1270" cy="51435"/>
                          </a:xfrm>
                          <a:custGeom>
                            <a:avLst/>
                            <a:gdLst/>
                            <a:ahLst/>
                            <a:cxnLst/>
                            <a:rect l="l" t="t" r="r" b="b"/>
                            <a:pathLst>
                              <a:path h="51435">
                                <a:moveTo>
                                  <a:pt x="0" y="0"/>
                                </a:moveTo>
                                <a:lnTo>
                                  <a:pt x="0" y="51015"/>
                                </a:lnTo>
                              </a:path>
                            </a:pathLst>
                          </a:custGeom>
                          <a:ln w="7759">
                            <a:solidFill>
                              <a:srgbClr val="000000"/>
                            </a:solidFill>
                            <a:prstDash val="solid"/>
                          </a:ln>
                        </wps:spPr>
                        <wps:bodyPr wrap="square" lIns="0" tIns="0" rIns="0" bIns="0" rtlCol="0">
                          <a:prstTxWarp prst="textNoShape">
                            <a:avLst/>
                          </a:prstTxWarp>
                          <a:noAutofit/>
                        </wps:bodyPr>
                      </wps:wsp>
                      <wps:wsp>
                        <wps:cNvPr id="1512" name="Graphic 1512"/>
                        <wps:cNvSpPr/>
                        <wps:spPr>
                          <a:xfrm>
                            <a:off x="725860" y="103587"/>
                            <a:ext cx="29845" cy="57150"/>
                          </a:xfrm>
                          <a:custGeom>
                            <a:avLst/>
                            <a:gdLst/>
                            <a:ahLst/>
                            <a:cxnLst/>
                            <a:rect l="l" t="t" r="r" b="b"/>
                            <a:pathLst>
                              <a:path w="29845" h="57150">
                                <a:moveTo>
                                  <a:pt x="18453" y="0"/>
                                </a:moveTo>
                                <a:lnTo>
                                  <a:pt x="0" y="4584"/>
                                </a:lnTo>
                                <a:lnTo>
                                  <a:pt x="0" y="10261"/>
                                </a:lnTo>
                                <a:lnTo>
                                  <a:pt x="11049" y="7505"/>
                                </a:lnTo>
                                <a:lnTo>
                                  <a:pt x="11049" y="51142"/>
                                </a:lnTo>
                                <a:lnTo>
                                  <a:pt x="0" y="51142"/>
                                </a:lnTo>
                                <a:lnTo>
                                  <a:pt x="0" y="56680"/>
                                </a:lnTo>
                                <a:lnTo>
                                  <a:pt x="29514" y="56680"/>
                                </a:lnTo>
                                <a:lnTo>
                                  <a:pt x="29514" y="51142"/>
                                </a:lnTo>
                                <a:lnTo>
                                  <a:pt x="18453" y="51142"/>
                                </a:lnTo>
                                <a:lnTo>
                                  <a:pt x="18453" y="0"/>
                                </a:lnTo>
                                <a:close/>
                              </a:path>
                            </a:pathLst>
                          </a:custGeom>
                          <a:solidFill>
                            <a:srgbClr val="000000"/>
                          </a:solidFill>
                        </wps:spPr>
                        <wps:bodyPr wrap="square" lIns="0" tIns="0" rIns="0" bIns="0" rtlCol="0">
                          <a:prstTxWarp prst="textNoShape">
                            <a:avLst/>
                          </a:prstTxWarp>
                          <a:noAutofit/>
                        </wps:bodyPr>
                      </wps:wsp>
                      <wps:wsp>
                        <wps:cNvPr id="1513" name="Graphic 1513"/>
                        <wps:cNvSpPr/>
                        <wps:spPr>
                          <a:xfrm>
                            <a:off x="1584068" y="19121"/>
                            <a:ext cx="14604" cy="1270"/>
                          </a:xfrm>
                          <a:custGeom>
                            <a:avLst/>
                            <a:gdLst/>
                            <a:ahLst/>
                            <a:cxnLst/>
                            <a:rect l="l" t="t" r="r" b="b"/>
                            <a:pathLst>
                              <a:path w="14604">
                                <a:moveTo>
                                  <a:pt x="0" y="0"/>
                                </a:moveTo>
                                <a:lnTo>
                                  <a:pt x="14046" y="0"/>
                                </a:lnTo>
                              </a:path>
                            </a:pathLst>
                          </a:custGeom>
                          <a:ln w="7759">
                            <a:solidFill>
                              <a:srgbClr val="000000"/>
                            </a:solidFill>
                            <a:prstDash val="solid"/>
                          </a:ln>
                        </wps:spPr>
                        <wps:bodyPr wrap="square" lIns="0" tIns="0" rIns="0" bIns="0" rtlCol="0">
                          <a:prstTxWarp prst="textNoShape">
                            <a:avLst/>
                          </a:prstTxWarp>
                          <a:noAutofit/>
                        </wps:bodyPr>
                      </wps:wsp>
                      <wps:wsp>
                        <wps:cNvPr id="1514" name="Graphic 1514"/>
                        <wps:cNvSpPr/>
                        <wps:spPr>
                          <a:xfrm>
                            <a:off x="1578984" y="0"/>
                            <a:ext cx="45085" cy="45085"/>
                          </a:xfrm>
                          <a:custGeom>
                            <a:avLst/>
                            <a:gdLst/>
                            <a:ahLst/>
                            <a:cxnLst/>
                            <a:rect l="l" t="t" r="r" b="b"/>
                            <a:pathLst>
                              <a:path w="45085" h="45085">
                                <a:moveTo>
                                  <a:pt x="44653" y="0"/>
                                </a:moveTo>
                                <a:lnTo>
                                  <a:pt x="0" y="0"/>
                                </a:lnTo>
                                <a:lnTo>
                                  <a:pt x="0" y="44640"/>
                                </a:lnTo>
                                <a:lnTo>
                                  <a:pt x="44653" y="44640"/>
                                </a:lnTo>
                                <a:lnTo>
                                  <a:pt x="44653" y="0"/>
                                </a:lnTo>
                                <a:close/>
                              </a:path>
                            </a:pathLst>
                          </a:custGeom>
                          <a:solidFill>
                            <a:srgbClr val="0000C0"/>
                          </a:solidFill>
                        </wps:spPr>
                        <wps:bodyPr wrap="square" lIns="0" tIns="0" rIns="0" bIns="0" rtlCol="0">
                          <a:prstTxWarp prst="textNoShape">
                            <a:avLst/>
                          </a:prstTxWarp>
                          <a:noAutofit/>
                        </wps:bodyPr>
                      </wps:wsp>
                      <wps:wsp>
                        <wps:cNvPr id="1515" name="Graphic 1515"/>
                        <wps:cNvSpPr/>
                        <wps:spPr>
                          <a:xfrm>
                            <a:off x="832879" y="44632"/>
                            <a:ext cx="759460" cy="51435"/>
                          </a:xfrm>
                          <a:custGeom>
                            <a:avLst/>
                            <a:gdLst/>
                            <a:ahLst/>
                            <a:cxnLst/>
                            <a:rect l="l" t="t" r="r" b="b"/>
                            <a:pathLst>
                              <a:path w="759460" h="51435">
                                <a:moveTo>
                                  <a:pt x="0" y="0"/>
                                </a:moveTo>
                                <a:lnTo>
                                  <a:pt x="0" y="51015"/>
                                </a:lnTo>
                              </a:path>
                              <a:path w="759460" h="51435">
                                <a:moveTo>
                                  <a:pt x="0" y="25501"/>
                                </a:moveTo>
                                <a:lnTo>
                                  <a:pt x="758863" y="25501"/>
                                </a:lnTo>
                              </a:path>
                            </a:pathLst>
                          </a:custGeom>
                          <a:ln w="7759">
                            <a:solidFill>
                              <a:srgbClr val="000000"/>
                            </a:solidFill>
                            <a:prstDash val="solid"/>
                          </a:ln>
                        </wps:spPr>
                        <wps:bodyPr wrap="square" lIns="0" tIns="0" rIns="0" bIns="0" rtlCol="0">
                          <a:prstTxWarp prst="textNoShape">
                            <a:avLst/>
                          </a:prstTxWarp>
                          <a:noAutofit/>
                        </wps:bodyPr>
                      </wps:wsp>
                      <wps:wsp>
                        <wps:cNvPr id="1516" name="Graphic 1516"/>
                        <wps:cNvSpPr/>
                        <wps:spPr>
                          <a:xfrm>
                            <a:off x="837738" y="103586"/>
                            <a:ext cx="38735" cy="58419"/>
                          </a:xfrm>
                          <a:custGeom>
                            <a:avLst/>
                            <a:gdLst/>
                            <a:ahLst/>
                            <a:cxnLst/>
                            <a:rect l="l" t="t" r="r" b="b"/>
                            <a:pathLst>
                              <a:path w="38735" h="58419">
                                <a:moveTo>
                                  <a:pt x="25158" y="0"/>
                                </a:moveTo>
                                <a:lnTo>
                                  <a:pt x="13550" y="0"/>
                                </a:lnTo>
                                <a:lnTo>
                                  <a:pt x="8877" y="2654"/>
                                </a:lnTo>
                                <a:lnTo>
                                  <a:pt x="1778" y="13258"/>
                                </a:lnTo>
                                <a:lnTo>
                                  <a:pt x="0" y="20269"/>
                                </a:lnTo>
                                <a:lnTo>
                                  <a:pt x="28" y="37744"/>
                                </a:lnTo>
                                <a:lnTo>
                                  <a:pt x="1765" y="44640"/>
                                </a:lnTo>
                                <a:lnTo>
                                  <a:pt x="6939" y="52527"/>
                                </a:lnTo>
                                <a:lnTo>
                                  <a:pt x="8879" y="55422"/>
                                </a:lnTo>
                                <a:lnTo>
                                  <a:pt x="13423" y="58064"/>
                                </a:lnTo>
                                <a:lnTo>
                                  <a:pt x="25082" y="58064"/>
                                </a:lnTo>
                                <a:lnTo>
                                  <a:pt x="29832" y="55422"/>
                                </a:lnTo>
                                <a:lnTo>
                                  <a:pt x="31773" y="52527"/>
                                </a:lnTo>
                                <a:lnTo>
                                  <a:pt x="19202" y="52527"/>
                                </a:lnTo>
                                <a:lnTo>
                                  <a:pt x="14235" y="51055"/>
                                </a:lnTo>
                                <a:lnTo>
                                  <a:pt x="10687" y="46642"/>
                                </a:lnTo>
                                <a:lnTo>
                                  <a:pt x="8558" y="39288"/>
                                </a:lnTo>
                                <a:lnTo>
                                  <a:pt x="7848" y="28994"/>
                                </a:lnTo>
                                <a:lnTo>
                                  <a:pt x="8459" y="20269"/>
                                </a:lnTo>
                                <a:lnTo>
                                  <a:pt x="8567" y="18726"/>
                                </a:lnTo>
                                <a:lnTo>
                                  <a:pt x="10725" y="11391"/>
                                </a:lnTo>
                                <a:lnTo>
                                  <a:pt x="14320" y="6991"/>
                                </a:lnTo>
                                <a:lnTo>
                                  <a:pt x="19354" y="5524"/>
                                </a:lnTo>
                                <a:lnTo>
                                  <a:pt x="31753" y="5524"/>
                                </a:lnTo>
                                <a:lnTo>
                                  <a:pt x="29832" y="2654"/>
                                </a:lnTo>
                                <a:lnTo>
                                  <a:pt x="25158" y="0"/>
                                </a:lnTo>
                                <a:close/>
                              </a:path>
                              <a:path w="38735" h="58419">
                                <a:moveTo>
                                  <a:pt x="31753" y="5524"/>
                                </a:moveTo>
                                <a:lnTo>
                                  <a:pt x="19354" y="5524"/>
                                </a:lnTo>
                                <a:lnTo>
                                  <a:pt x="24417" y="6991"/>
                                </a:lnTo>
                                <a:lnTo>
                                  <a:pt x="28030" y="11391"/>
                                </a:lnTo>
                                <a:lnTo>
                                  <a:pt x="30177" y="18597"/>
                                </a:lnTo>
                                <a:lnTo>
                                  <a:pt x="30899" y="28765"/>
                                </a:lnTo>
                                <a:lnTo>
                                  <a:pt x="30267" y="37744"/>
                                </a:lnTo>
                                <a:lnTo>
                                  <a:pt x="30168" y="39159"/>
                                </a:lnTo>
                                <a:lnTo>
                                  <a:pt x="28549" y="44640"/>
                                </a:lnTo>
                                <a:lnTo>
                                  <a:pt x="27928" y="46642"/>
                                </a:lnTo>
                                <a:lnTo>
                                  <a:pt x="24270" y="51055"/>
                                </a:lnTo>
                                <a:lnTo>
                                  <a:pt x="19202" y="52527"/>
                                </a:lnTo>
                                <a:lnTo>
                                  <a:pt x="31773" y="52527"/>
                                </a:lnTo>
                                <a:lnTo>
                                  <a:pt x="36931" y="44831"/>
                                </a:lnTo>
                                <a:lnTo>
                                  <a:pt x="38709" y="37744"/>
                                </a:lnTo>
                                <a:lnTo>
                                  <a:pt x="38709" y="20269"/>
                                </a:lnTo>
                                <a:lnTo>
                                  <a:pt x="36931" y="13258"/>
                                </a:lnTo>
                                <a:lnTo>
                                  <a:pt x="31753" y="5524"/>
                                </a:lnTo>
                                <a:close/>
                              </a:path>
                            </a:pathLst>
                          </a:custGeom>
                          <a:solidFill>
                            <a:srgbClr val="000000"/>
                          </a:solidFill>
                        </wps:spPr>
                        <wps:bodyPr wrap="square" lIns="0" tIns="0" rIns="0" bIns="0" rtlCol="0">
                          <a:prstTxWarp prst="textNoShape">
                            <a:avLst/>
                          </a:prstTxWarp>
                          <a:noAutofit/>
                        </wps:bodyPr>
                      </wps:wsp>
                      <wps:wsp>
                        <wps:cNvPr id="1517" name="Graphic 1517"/>
                        <wps:cNvSpPr/>
                        <wps:spPr>
                          <a:xfrm>
                            <a:off x="984647" y="44632"/>
                            <a:ext cx="1270" cy="51435"/>
                          </a:xfrm>
                          <a:custGeom>
                            <a:avLst/>
                            <a:gdLst/>
                            <a:ahLst/>
                            <a:cxnLst/>
                            <a:rect l="l" t="t" r="r" b="b"/>
                            <a:pathLst>
                              <a:path h="51435">
                                <a:moveTo>
                                  <a:pt x="0" y="0"/>
                                </a:moveTo>
                                <a:lnTo>
                                  <a:pt x="0" y="51015"/>
                                </a:lnTo>
                              </a:path>
                            </a:pathLst>
                          </a:custGeom>
                          <a:ln w="7759">
                            <a:solidFill>
                              <a:srgbClr val="000000"/>
                            </a:solidFill>
                            <a:prstDash val="solid"/>
                          </a:ln>
                        </wps:spPr>
                        <wps:bodyPr wrap="square" lIns="0" tIns="0" rIns="0" bIns="0" rtlCol="0">
                          <a:prstTxWarp prst="textNoShape">
                            <a:avLst/>
                          </a:prstTxWarp>
                          <a:noAutofit/>
                        </wps:bodyPr>
                      </wps:wsp>
                      <wps:wsp>
                        <wps:cNvPr id="1518" name="Graphic 1518"/>
                        <wps:cNvSpPr/>
                        <wps:spPr>
                          <a:xfrm>
                            <a:off x="929022" y="103587"/>
                            <a:ext cx="107314" cy="58419"/>
                          </a:xfrm>
                          <a:custGeom>
                            <a:avLst/>
                            <a:gdLst/>
                            <a:ahLst/>
                            <a:cxnLst/>
                            <a:rect l="l" t="t" r="r" b="b"/>
                            <a:pathLst>
                              <a:path w="107314" h="58419">
                                <a:moveTo>
                                  <a:pt x="104073" y="5524"/>
                                </a:moveTo>
                                <a:lnTo>
                                  <a:pt x="92278" y="5524"/>
                                </a:lnTo>
                                <a:lnTo>
                                  <a:pt x="94818" y="6413"/>
                                </a:lnTo>
                                <a:lnTo>
                                  <a:pt x="98548" y="9969"/>
                                </a:lnTo>
                                <a:lnTo>
                                  <a:pt x="99453" y="12382"/>
                                </a:lnTo>
                                <a:lnTo>
                                  <a:pt x="99453" y="20294"/>
                                </a:lnTo>
                                <a:lnTo>
                                  <a:pt x="96748" y="25171"/>
                                </a:lnTo>
                                <a:lnTo>
                                  <a:pt x="87083" y="33845"/>
                                </a:lnTo>
                                <a:lnTo>
                                  <a:pt x="80568" y="39751"/>
                                </a:lnTo>
                                <a:lnTo>
                                  <a:pt x="76238" y="45212"/>
                                </a:lnTo>
                                <a:lnTo>
                                  <a:pt x="74091" y="50215"/>
                                </a:lnTo>
                                <a:lnTo>
                                  <a:pt x="74091" y="56680"/>
                                </a:lnTo>
                                <a:lnTo>
                                  <a:pt x="107010" y="56680"/>
                                </a:lnTo>
                                <a:lnTo>
                                  <a:pt x="107010" y="50215"/>
                                </a:lnTo>
                                <a:lnTo>
                                  <a:pt x="82981" y="50215"/>
                                </a:lnTo>
                                <a:lnTo>
                                  <a:pt x="83896" y="45656"/>
                                </a:lnTo>
                                <a:lnTo>
                                  <a:pt x="87312" y="40868"/>
                                </a:lnTo>
                                <a:lnTo>
                                  <a:pt x="93218" y="35864"/>
                                </a:lnTo>
                                <a:lnTo>
                                  <a:pt x="96050" y="33426"/>
                                </a:lnTo>
                                <a:lnTo>
                                  <a:pt x="100368" y="29768"/>
                                </a:lnTo>
                                <a:lnTo>
                                  <a:pt x="103314" y="26657"/>
                                </a:lnTo>
                                <a:lnTo>
                                  <a:pt x="106476" y="21526"/>
                                </a:lnTo>
                                <a:lnTo>
                                  <a:pt x="107264" y="18580"/>
                                </a:lnTo>
                                <a:lnTo>
                                  <a:pt x="107264" y="10668"/>
                                </a:lnTo>
                                <a:lnTo>
                                  <a:pt x="105718" y="7010"/>
                                </a:lnTo>
                                <a:lnTo>
                                  <a:pt x="104073" y="5524"/>
                                </a:lnTo>
                                <a:close/>
                              </a:path>
                              <a:path w="107314" h="58419">
                                <a:moveTo>
                                  <a:pt x="95262" y="0"/>
                                </a:moveTo>
                                <a:lnTo>
                                  <a:pt x="85255" y="0"/>
                                </a:lnTo>
                                <a:lnTo>
                                  <a:pt x="80378" y="1155"/>
                                </a:lnTo>
                                <a:lnTo>
                                  <a:pt x="75463" y="3467"/>
                                </a:lnTo>
                                <a:lnTo>
                                  <a:pt x="75463" y="9969"/>
                                </a:lnTo>
                                <a:lnTo>
                                  <a:pt x="80683" y="7010"/>
                                </a:lnTo>
                                <a:lnTo>
                                  <a:pt x="85204" y="5524"/>
                                </a:lnTo>
                                <a:lnTo>
                                  <a:pt x="104073" y="5524"/>
                                </a:lnTo>
                                <a:lnTo>
                                  <a:pt x="99415" y="1384"/>
                                </a:lnTo>
                                <a:lnTo>
                                  <a:pt x="95262" y="0"/>
                                </a:lnTo>
                                <a:close/>
                              </a:path>
                              <a:path w="107314" h="58419">
                                <a:moveTo>
                                  <a:pt x="60236" y="47447"/>
                                </a:moveTo>
                                <a:lnTo>
                                  <a:pt x="51003" y="47447"/>
                                </a:lnTo>
                                <a:lnTo>
                                  <a:pt x="51003" y="56680"/>
                                </a:lnTo>
                                <a:lnTo>
                                  <a:pt x="60236" y="56680"/>
                                </a:lnTo>
                                <a:lnTo>
                                  <a:pt x="60236" y="47447"/>
                                </a:lnTo>
                                <a:close/>
                              </a:path>
                              <a:path w="107314" h="58419">
                                <a:moveTo>
                                  <a:pt x="25146" y="0"/>
                                </a:moveTo>
                                <a:lnTo>
                                  <a:pt x="13538" y="0"/>
                                </a:lnTo>
                                <a:lnTo>
                                  <a:pt x="8864" y="2654"/>
                                </a:lnTo>
                                <a:lnTo>
                                  <a:pt x="1778" y="13258"/>
                                </a:lnTo>
                                <a:lnTo>
                                  <a:pt x="0" y="20269"/>
                                </a:lnTo>
                                <a:lnTo>
                                  <a:pt x="28" y="37744"/>
                                </a:lnTo>
                                <a:lnTo>
                                  <a:pt x="1765" y="44640"/>
                                </a:lnTo>
                                <a:lnTo>
                                  <a:pt x="6935" y="52527"/>
                                </a:lnTo>
                                <a:lnTo>
                                  <a:pt x="8866" y="55410"/>
                                </a:lnTo>
                                <a:lnTo>
                                  <a:pt x="13423" y="58064"/>
                                </a:lnTo>
                                <a:lnTo>
                                  <a:pt x="25082" y="58064"/>
                                </a:lnTo>
                                <a:lnTo>
                                  <a:pt x="29832" y="55410"/>
                                </a:lnTo>
                                <a:lnTo>
                                  <a:pt x="31764" y="52527"/>
                                </a:lnTo>
                                <a:lnTo>
                                  <a:pt x="19202" y="52527"/>
                                </a:lnTo>
                                <a:lnTo>
                                  <a:pt x="14227" y="51055"/>
                                </a:lnTo>
                                <a:lnTo>
                                  <a:pt x="10675" y="46642"/>
                                </a:lnTo>
                                <a:lnTo>
                                  <a:pt x="8545" y="39288"/>
                                </a:lnTo>
                                <a:lnTo>
                                  <a:pt x="7835" y="28994"/>
                                </a:lnTo>
                                <a:lnTo>
                                  <a:pt x="8446" y="20269"/>
                                </a:lnTo>
                                <a:lnTo>
                                  <a:pt x="8555" y="18726"/>
                                </a:lnTo>
                                <a:lnTo>
                                  <a:pt x="10712" y="11391"/>
                                </a:lnTo>
                                <a:lnTo>
                                  <a:pt x="14308" y="6991"/>
                                </a:lnTo>
                                <a:lnTo>
                                  <a:pt x="19342" y="5524"/>
                                </a:lnTo>
                                <a:lnTo>
                                  <a:pt x="31753" y="5524"/>
                                </a:lnTo>
                                <a:lnTo>
                                  <a:pt x="29832" y="2654"/>
                                </a:lnTo>
                                <a:lnTo>
                                  <a:pt x="25146" y="0"/>
                                </a:lnTo>
                                <a:close/>
                              </a:path>
                              <a:path w="107314" h="58419">
                                <a:moveTo>
                                  <a:pt x="31753" y="5524"/>
                                </a:moveTo>
                                <a:lnTo>
                                  <a:pt x="19342" y="5524"/>
                                </a:lnTo>
                                <a:lnTo>
                                  <a:pt x="24411" y="6991"/>
                                </a:lnTo>
                                <a:lnTo>
                                  <a:pt x="28028" y="11391"/>
                                </a:lnTo>
                                <a:lnTo>
                                  <a:pt x="30177" y="18597"/>
                                </a:lnTo>
                                <a:lnTo>
                                  <a:pt x="30899" y="28765"/>
                                </a:lnTo>
                                <a:lnTo>
                                  <a:pt x="30267" y="37744"/>
                                </a:lnTo>
                                <a:lnTo>
                                  <a:pt x="19202" y="52527"/>
                                </a:lnTo>
                                <a:lnTo>
                                  <a:pt x="31764" y="52527"/>
                                </a:lnTo>
                                <a:lnTo>
                                  <a:pt x="36931" y="44818"/>
                                </a:lnTo>
                                <a:lnTo>
                                  <a:pt x="38709" y="37744"/>
                                </a:lnTo>
                                <a:lnTo>
                                  <a:pt x="38709" y="20269"/>
                                </a:lnTo>
                                <a:lnTo>
                                  <a:pt x="36931" y="13258"/>
                                </a:lnTo>
                                <a:lnTo>
                                  <a:pt x="31753" y="5524"/>
                                </a:lnTo>
                                <a:close/>
                              </a:path>
                            </a:pathLst>
                          </a:custGeom>
                          <a:solidFill>
                            <a:srgbClr val="000000"/>
                          </a:solidFill>
                        </wps:spPr>
                        <wps:bodyPr wrap="square" lIns="0" tIns="0" rIns="0" bIns="0" rtlCol="0">
                          <a:prstTxWarp prst="textNoShape">
                            <a:avLst/>
                          </a:prstTxWarp>
                          <a:noAutofit/>
                        </wps:bodyPr>
                      </wps:wsp>
                      <wps:wsp>
                        <wps:cNvPr id="1519" name="Graphic 1519"/>
                        <wps:cNvSpPr/>
                        <wps:spPr>
                          <a:xfrm>
                            <a:off x="1136428" y="44632"/>
                            <a:ext cx="1270" cy="51435"/>
                          </a:xfrm>
                          <a:custGeom>
                            <a:avLst/>
                            <a:gdLst/>
                            <a:ahLst/>
                            <a:cxnLst/>
                            <a:rect l="l" t="t" r="r" b="b"/>
                            <a:pathLst>
                              <a:path h="51435">
                                <a:moveTo>
                                  <a:pt x="0" y="0"/>
                                </a:moveTo>
                                <a:lnTo>
                                  <a:pt x="0" y="51015"/>
                                </a:lnTo>
                              </a:path>
                            </a:pathLst>
                          </a:custGeom>
                          <a:ln w="7759">
                            <a:solidFill>
                              <a:srgbClr val="000000"/>
                            </a:solidFill>
                            <a:prstDash val="solid"/>
                          </a:ln>
                        </wps:spPr>
                        <wps:bodyPr wrap="square" lIns="0" tIns="0" rIns="0" bIns="0" rtlCol="0">
                          <a:prstTxWarp prst="textNoShape">
                            <a:avLst/>
                          </a:prstTxWarp>
                          <a:noAutofit/>
                        </wps:bodyPr>
                      </wps:wsp>
                      <wps:wsp>
                        <wps:cNvPr id="1520" name="Graphic 1520"/>
                        <wps:cNvSpPr/>
                        <wps:spPr>
                          <a:xfrm>
                            <a:off x="1080791" y="103586"/>
                            <a:ext cx="111125" cy="58419"/>
                          </a:xfrm>
                          <a:custGeom>
                            <a:avLst/>
                            <a:gdLst/>
                            <a:ahLst/>
                            <a:cxnLst/>
                            <a:rect l="l" t="t" r="r" b="b"/>
                            <a:pathLst>
                              <a:path w="111125" h="58419">
                                <a:moveTo>
                                  <a:pt x="103466" y="41021"/>
                                </a:moveTo>
                                <a:lnTo>
                                  <a:pt x="96558" y="41021"/>
                                </a:lnTo>
                                <a:lnTo>
                                  <a:pt x="96558" y="56680"/>
                                </a:lnTo>
                                <a:lnTo>
                                  <a:pt x="103466" y="56680"/>
                                </a:lnTo>
                                <a:lnTo>
                                  <a:pt x="103466" y="41021"/>
                                </a:lnTo>
                                <a:close/>
                              </a:path>
                              <a:path w="111125" h="58419">
                                <a:moveTo>
                                  <a:pt x="103466" y="1384"/>
                                </a:moveTo>
                                <a:lnTo>
                                  <a:pt x="96558" y="1384"/>
                                </a:lnTo>
                                <a:lnTo>
                                  <a:pt x="71666" y="35458"/>
                                </a:lnTo>
                                <a:lnTo>
                                  <a:pt x="71666" y="41021"/>
                                </a:lnTo>
                                <a:lnTo>
                                  <a:pt x="110871" y="41021"/>
                                </a:lnTo>
                                <a:lnTo>
                                  <a:pt x="110871" y="35001"/>
                                </a:lnTo>
                                <a:lnTo>
                                  <a:pt x="78879" y="35001"/>
                                </a:lnTo>
                                <a:lnTo>
                                  <a:pt x="97040" y="10414"/>
                                </a:lnTo>
                                <a:lnTo>
                                  <a:pt x="103466" y="10414"/>
                                </a:lnTo>
                                <a:lnTo>
                                  <a:pt x="103466" y="1384"/>
                                </a:lnTo>
                                <a:close/>
                              </a:path>
                              <a:path w="111125" h="58419">
                                <a:moveTo>
                                  <a:pt x="103466" y="10414"/>
                                </a:moveTo>
                                <a:lnTo>
                                  <a:pt x="97040" y="10414"/>
                                </a:lnTo>
                                <a:lnTo>
                                  <a:pt x="97040" y="35001"/>
                                </a:lnTo>
                                <a:lnTo>
                                  <a:pt x="103466" y="35001"/>
                                </a:lnTo>
                                <a:lnTo>
                                  <a:pt x="103466" y="10414"/>
                                </a:lnTo>
                                <a:close/>
                              </a:path>
                              <a:path w="111125" h="58419">
                                <a:moveTo>
                                  <a:pt x="60236" y="47447"/>
                                </a:moveTo>
                                <a:lnTo>
                                  <a:pt x="51003" y="47447"/>
                                </a:lnTo>
                                <a:lnTo>
                                  <a:pt x="51003" y="56680"/>
                                </a:lnTo>
                                <a:lnTo>
                                  <a:pt x="60236" y="56680"/>
                                </a:lnTo>
                                <a:lnTo>
                                  <a:pt x="60236" y="47447"/>
                                </a:lnTo>
                                <a:close/>
                              </a:path>
                              <a:path w="111125" h="58419">
                                <a:moveTo>
                                  <a:pt x="25158" y="0"/>
                                </a:moveTo>
                                <a:lnTo>
                                  <a:pt x="13538" y="0"/>
                                </a:lnTo>
                                <a:lnTo>
                                  <a:pt x="8864" y="2654"/>
                                </a:lnTo>
                                <a:lnTo>
                                  <a:pt x="1778" y="13258"/>
                                </a:lnTo>
                                <a:lnTo>
                                  <a:pt x="0" y="20269"/>
                                </a:lnTo>
                                <a:lnTo>
                                  <a:pt x="28" y="37744"/>
                                </a:lnTo>
                                <a:lnTo>
                                  <a:pt x="1765" y="44640"/>
                                </a:lnTo>
                                <a:lnTo>
                                  <a:pt x="6935" y="52527"/>
                                </a:lnTo>
                                <a:lnTo>
                                  <a:pt x="8866" y="55410"/>
                                </a:lnTo>
                                <a:lnTo>
                                  <a:pt x="13423" y="58064"/>
                                </a:lnTo>
                                <a:lnTo>
                                  <a:pt x="25082" y="58064"/>
                                </a:lnTo>
                                <a:lnTo>
                                  <a:pt x="29832" y="55410"/>
                                </a:lnTo>
                                <a:lnTo>
                                  <a:pt x="31764" y="52527"/>
                                </a:lnTo>
                                <a:lnTo>
                                  <a:pt x="19202" y="52527"/>
                                </a:lnTo>
                                <a:lnTo>
                                  <a:pt x="14235" y="51055"/>
                                </a:lnTo>
                                <a:lnTo>
                                  <a:pt x="10687" y="46642"/>
                                </a:lnTo>
                                <a:lnTo>
                                  <a:pt x="8558" y="39288"/>
                                </a:lnTo>
                                <a:lnTo>
                                  <a:pt x="7848" y="28994"/>
                                </a:lnTo>
                                <a:lnTo>
                                  <a:pt x="8459" y="20269"/>
                                </a:lnTo>
                                <a:lnTo>
                                  <a:pt x="8567" y="18726"/>
                                </a:lnTo>
                                <a:lnTo>
                                  <a:pt x="10725" y="11391"/>
                                </a:lnTo>
                                <a:lnTo>
                                  <a:pt x="14320" y="6991"/>
                                </a:lnTo>
                                <a:lnTo>
                                  <a:pt x="19354" y="5524"/>
                                </a:lnTo>
                                <a:lnTo>
                                  <a:pt x="31753" y="5524"/>
                                </a:lnTo>
                                <a:lnTo>
                                  <a:pt x="29832" y="2654"/>
                                </a:lnTo>
                                <a:lnTo>
                                  <a:pt x="25158" y="0"/>
                                </a:lnTo>
                                <a:close/>
                              </a:path>
                              <a:path w="111125" h="58419">
                                <a:moveTo>
                                  <a:pt x="31753" y="5524"/>
                                </a:moveTo>
                                <a:lnTo>
                                  <a:pt x="19354" y="5524"/>
                                </a:lnTo>
                                <a:lnTo>
                                  <a:pt x="24417" y="6991"/>
                                </a:lnTo>
                                <a:lnTo>
                                  <a:pt x="28030" y="11391"/>
                                </a:lnTo>
                                <a:lnTo>
                                  <a:pt x="30177" y="18597"/>
                                </a:lnTo>
                                <a:lnTo>
                                  <a:pt x="30899" y="28765"/>
                                </a:lnTo>
                                <a:lnTo>
                                  <a:pt x="30267" y="37744"/>
                                </a:lnTo>
                                <a:lnTo>
                                  <a:pt x="19202" y="52527"/>
                                </a:lnTo>
                                <a:lnTo>
                                  <a:pt x="31764" y="52527"/>
                                </a:lnTo>
                                <a:lnTo>
                                  <a:pt x="36931" y="44818"/>
                                </a:lnTo>
                                <a:lnTo>
                                  <a:pt x="38709" y="37744"/>
                                </a:lnTo>
                                <a:lnTo>
                                  <a:pt x="38709" y="20269"/>
                                </a:lnTo>
                                <a:lnTo>
                                  <a:pt x="36931" y="13258"/>
                                </a:lnTo>
                                <a:lnTo>
                                  <a:pt x="31753" y="5524"/>
                                </a:lnTo>
                                <a:close/>
                              </a:path>
                            </a:pathLst>
                          </a:custGeom>
                          <a:solidFill>
                            <a:srgbClr val="000000"/>
                          </a:solidFill>
                        </wps:spPr>
                        <wps:bodyPr wrap="square" lIns="0" tIns="0" rIns="0" bIns="0" rtlCol="0">
                          <a:prstTxWarp prst="textNoShape">
                            <a:avLst/>
                          </a:prstTxWarp>
                          <a:noAutofit/>
                        </wps:bodyPr>
                      </wps:wsp>
                      <wps:wsp>
                        <wps:cNvPr id="1521" name="Graphic 1521"/>
                        <wps:cNvSpPr/>
                        <wps:spPr>
                          <a:xfrm>
                            <a:off x="1288196" y="44632"/>
                            <a:ext cx="1270" cy="51435"/>
                          </a:xfrm>
                          <a:custGeom>
                            <a:avLst/>
                            <a:gdLst/>
                            <a:ahLst/>
                            <a:cxnLst/>
                            <a:rect l="l" t="t" r="r" b="b"/>
                            <a:pathLst>
                              <a:path h="51435">
                                <a:moveTo>
                                  <a:pt x="0" y="0"/>
                                </a:moveTo>
                                <a:lnTo>
                                  <a:pt x="0" y="51015"/>
                                </a:lnTo>
                              </a:path>
                            </a:pathLst>
                          </a:custGeom>
                          <a:ln w="7759">
                            <a:solidFill>
                              <a:srgbClr val="000000"/>
                            </a:solidFill>
                            <a:prstDash val="solid"/>
                          </a:ln>
                        </wps:spPr>
                        <wps:bodyPr wrap="square" lIns="0" tIns="0" rIns="0" bIns="0" rtlCol="0">
                          <a:prstTxWarp prst="textNoShape">
                            <a:avLst/>
                          </a:prstTxWarp>
                          <a:noAutofit/>
                        </wps:bodyPr>
                      </wps:wsp>
                      <wps:wsp>
                        <wps:cNvPr id="1522" name="Graphic 1522"/>
                        <wps:cNvSpPr/>
                        <wps:spPr>
                          <a:xfrm>
                            <a:off x="1232557" y="103545"/>
                            <a:ext cx="111125" cy="58419"/>
                          </a:xfrm>
                          <a:custGeom>
                            <a:avLst/>
                            <a:gdLst/>
                            <a:ahLst/>
                            <a:cxnLst/>
                            <a:rect l="l" t="t" r="r" b="b"/>
                            <a:pathLst>
                              <a:path w="111125" h="58419">
                                <a:moveTo>
                                  <a:pt x="98755" y="0"/>
                                </a:moveTo>
                                <a:lnTo>
                                  <a:pt x="88290" y="0"/>
                                </a:lnTo>
                                <a:lnTo>
                                  <a:pt x="82740" y="2654"/>
                                </a:lnTo>
                                <a:lnTo>
                                  <a:pt x="74841" y="13258"/>
                                </a:lnTo>
                                <a:lnTo>
                                  <a:pt x="72859" y="20713"/>
                                </a:lnTo>
                                <a:lnTo>
                                  <a:pt x="72859" y="39014"/>
                                </a:lnTo>
                                <a:lnTo>
                                  <a:pt x="74519" y="45567"/>
                                </a:lnTo>
                                <a:lnTo>
                                  <a:pt x="74587" y="45834"/>
                                </a:lnTo>
                                <a:lnTo>
                                  <a:pt x="81457" y="55651"/>
                                </a:lnTo>
                                <a:lnTo>
                                  <a:pt x="86233" y="58102"/>
                                </a:lnTo>
                                <a:lnTo>
                                  <a:pt x="97637" y="58102"/>
                                </a:lnTo>
                                <a:lnTo>
                                  <a:pt x="102006" y="56248"/>
                                </a:lnTo>
                                <a:lnTo>
                                  <a:pt x="105437" y="52565"/>
                                </a:lnTo>
                                <a:lnTo>
                                  <a:pt x="89344" y="52565"/>
                                </a:lnTo>
                                <a:lnTo>
                                  <a:pt x="86525" y="51168"/>
                                </a:lnTo>
                                <a:lnTo>
                                  <a:pt x="82270" y="45567"/>
                                </a:lnTo>
                                <a:lnTo>
                                  <a:pt x="81203" y="41846"/>
                                </a:lnTo>
                                <a:lnTo>
                                  <a:pt x="81203" y="34277"/>
                                </a:lnTo>
                                <a:lnTo>
                                  <a:pt x="82321" y="31762"/>
                                </a:lnTo>
                                <a:lnTo>
                                  <a:pt x="86274" y="28067"/>
                                </a:lnTo>
                                <a:lnTo>
                                  <a:pt x="80899" y="28067"/>
                                </a:lnTo>
                                <a:lnTo>
                                  <a:pt x="81780" y="18206"/>
                                </a:lnTo>
                                <a:lnTo>
                                  <a:pt x="84428" y="11161"/>
                                </a:lnTo>
                                <a:lnTo>
                                  <a:pt x="88844" y="6934"/>
                                </a:lnTo>
                                <a:lnTo>
                                  <a:pt x="95034" y="5524"/>
                                </a:lnTo>
                                <a:lnTo>
                                  <a:pt x="107797" y="5524"/>
                                </a:lnTo>
                                <a:lnTo>
                                  <a:pt x="107797" y="2095"/>
                                </a:lnTo>
                                <a:lnTo>
                                  <a:pt x="102870" y="698"/>
                                </a:lnTo>
                                <a:lnTo>
                                  <a:pt x="98755" y="0"/>
                                </a:lnTo>
                                <a:close/>
                              </a:path>
                              <a:path w="111125" h="58419">
                                <a:moveTo>
                                  <a:pt x="106520" y="26530"/>
                                </a:moveTo>
                                <a:lnTo>
                                  <a:pt x="95935" y="26530"/>
                                </a:lnTo>
                                <a:lnTo>
                                  <a:pt x="98539" y="27724"/>
                                </a:lnTo>
                                <a:lnTo>
                                  <a:pt x="102311" y="32512"/>
                                </a:lnTo>
                                <a:lnTo>
                                  <a:pt x="103238" y="35801"/>
                                </a:lnTo>
                                <a:lnTo>
                                  <a:pt x="103153" y="44094"/>
                                </a:lnTo>
                                <a:lnTo>
                                  <a:pt x="102311" y="46875"/>
                                </a:lnTo>
                                <a:lnTo>
                                  <a:pt x="98539" y="51435"/>
                                </a:lnTo>
                                <a:lnTo>
                                  <a:pt x="96024" y="52565"/>
                                </a:lnTo>
                                <a:lnTo>
                                  <a:pt x="105437" y="52565"/>
                                </a:lnTo>
                                <a:lnTo>
                                  <a:pt x="108915" y="48831"/>
                                </a:lnTo>
                                <a:lnTo>
                                  <a:pt x="110642" y="44094"/>
                                </a:lnTo>
                                <a:lnTo>
                                  <a:pt x="110642" y="33337"/>
                                </a:lnTo>
                                <a:lnTo>
                                  <a:pt x="109105" y="29222"/>
                                </a:lnTo>
                                <a:lnTo>
                                  <a:pt x="106520" y="26530"/>
                                </a:lnTo>
                                <a:close/>
                              </a:path>
                              <a:path w="111125" h="58419">
                                <a:moveTo>
                                  <a:pt x="98996" y="21221"/>
                                </a:moveTo>
                                <a:lnTo>
                                  <a:pt x="88823" y="21221"/>
                                </a:lnTo>
                                <a:lnTo>
                                  <a:pt x="84416" y="23507"/>
                                </a:lnTo>
                                <a:lnTo>
                                  <a:pt x="80899" y="28067"/>
                                </a:lnTo>
                                <a:lnTo>
                                  <a:pt x="86274" y="28067"/>
                                </a:lnTo>
                                <a:lnTo>
                                  <a:pt x="86804" y="27571"/>
                                </a:lnTo>
                                <a:lnTo>
                                  <a:pt x="89484" y="26530"/>
                                </a:lnTo>
                                <a:lnTo>
                                  <a:pt x="106520" y="26530"/>
                                </a:lnTo>
                                <a:lnTo>
                                  <a:pt x="102958" y="22821"/>
                                </a:lnTo>
                                <a:lnTo>
                                  <a:pt x="98996" y="21221"/>
                                </a:lnTo>
                                <a:close/>
                              </a:path>
                              <a:path w="111125" h="58419">
                                <a:moveTo>
                                  <a:pt x="107797" y="5524"/>
                                </a:moveTo>
                                <a:lnTo>
                                  <a:pt x="98336" y="5524"/>
                                </a:lnTo>
                                <a:lnTo>
                                  <a:pt x="102590" y="6527"/>
                                </a:lnTo>
                                <a:lnTo>
                                  <a:pt x="107797" y="8509"/>
                                </a:lnTo>
                                <a:lnTo>
                                  <a:pt x="107797" y="5524"/>
                                </a:lnTo>
                                <a:close/>
                              </a:path>
                              <a:path w="111125" h="58419">
                                <a:moveTo>
                                  <a:pt x="60248" y="47498"/>
                                </a:moveTo>
                                <a:lnTo>
                                  <a:pt x="51015" y="47498"/>
                                </a:lnTo>
                                <a:lnTo>
                                  <a:pt x="51015" y="56730"/>
                                </a:lnTo>
                                <a:lnTo>
                                  <a:pt x="60248" y="56730"/>
                                </a:lnTo>
                                <a:lnTo>
                                  <a:pt x="60248" y="47498"/>
                                </a:lnTo>
                                <a:close/>
                              </a:path>
                              <a:path w="111125" h="58419">
                                <a:moveTo>
                                  <a:pt x="25171" y="38"/>
                                </a:moveTo>
                                <a:lnTo>
                                  <a:pt x="13550" y="38"/>
                                </a:lnTo>
                                <a:lnTo>
                                  <a:pt x="8877" y="2692"/>
                                </a:lnTo>
                                <a:lnTo>
                                  <a:pt x="1778" y="13296"/>
                                </a:lnTo>
                                <a:lnTo>
                                  <a:pt x="0" y="20320"/>
                                </a:lnTo>
                                <a:lnTo>
                                  <a:pt x="31" y="37795"/>
                                </a:lnTo>
                                <a:lnTo>
                                  <a:pt x="1765" y="44678"/>
                                </a:lnTo>
                                <a:lnTo>
                                  <a:pt x="6939" y="52565"/>
                                </a:lnTo>
                                <a:lnTo>
                                  <a:pt x="8879" y="55460"/>
                                </a:lnTo>
                                <a:lnTo>
                                  <a:pt x="13436" y="58102"/>
                                </a:lnTo>
                                <a:lnTo>
                                  <a:pt x="25095" y="58102"/>
                                </a:lnTo>
                                <a:lnTo>
                                  <a:pt x="29845" y="55460"/>
                                </a:lnTo>
                                <a:lnTo>
                                  <a:pt x="31782" y="52565"/>
                                </a:lnTo>
                                <a:lnTo>
                                  <a:pt x="19215" y="52565"/>
                                </a:lnTo>
                                <a:lnTo>
                                  <a:pt x="14240" y="51095"/>
                                </a:lnTo>
                                <a:lnTo>
                                  <a:pt x="10688" y="46685"/>
                                </a:lnTo>
                                <a:lnTo>
                                  <a:pt x="8558" y="39331"/>
                                </a:lnTo>
                                <a:lnTo>
                                  <a:pt x="7848" y="29032"/>
                                </a:lnTo>
                                <a:lnTo>
                                  <a:pt x="8458" y="20320"/>
                                </a:lnTo>
                                <a:lnTo>
                                  <a:pt x="8567" y="18764"/>
                                </a:lnTo>
                                <a:lnTo>
                                  <a:pt x="10726" y="11430"/>
                                </a:lnTo>
                                <a:lnTo>
                                  <a:pt x="14326" y="7029"/>
                                </a:lnTo>
                                <a:lnTo>
                                  <a:pt x="19367" y="5562"/>
                                </a:lnTo>
                                <a:lnTo>
                                  <a:pt x="31763" y="5562"/>
                                </a:lnTo>
                                <a:lnTo>
                                  <a:pt x="29845" y="2692"/>
                                </a:lnTo>
                                <a:lnTo>
                                  <a:pt x="25171" y="38"/>
                                </a:lnTo>
                                <a:close/>
                              </a:path>
                              <a:path w="111125" h="58419">
                                <a:moveTo>
                                  <a:pt x="38709" y="37795"/>
                                </a:moveTo>
                                <a:lnTo>
                                  <a:pt x="30278" y="37795"/>
                                </a:lnTo>
                                <a:lnTo>
                                  <a:pt x="30142" y="39331"/>
                                </a:lnTo>
                                <a:lnTo>
                                  <a:pt x="28560" y="44678"/>
                                </a:lnTo>
                                <a:lnTo>
                                  <a:pt x="27937" y="46685"/>
                                </a:lnTo>
                                <a:lnTo>
                                  <a:pt x="24278" y="51095"/>
                                </a:lnTo>
                                <a:lnTo>
                                  <a:pt x="19215" y="52565"/>
                                </a:lnTo>
                                <a:lnTo>
                                  <a:pt x="31782" y="52565"/>
                                </a:lnTo>
                                <a:lnTo>
                                  <a:pt x="36931" y="44869"/>
                                </a:lnTo>
                                <a:lnTo>
                                  <a:pt x="38709" y="37795"/>
                                </a:lnTo>
                                <a:close/>
                              </a:path>
                              <a:path w="111125" h="58419">
                                <a:moveTo>
                                  <a:pt x="31763" y="5562"/>
                                </a:moveTo>
                                <a:lnTo>
                                  <a:pt x="19367" y="5562"/>
                                </a:lnTo>
                                <a:lnTo>
                                  <a:pt x="24424" y="7029"/>
                                </a:lnTo>
                                <a:lnTo>
                                  <a:pt x="28037" y="11430"/>
                                </a:lnTo>
                                <a:lnTo>
                                  <a:pt x="30197" y="18764"/>
                                </a:lnTo>
                                <a:lnTo>
                                  <a:pt x="30911" y="28816"/>
                                </a:lnTo>
                                <a:lnTo>
                                  <a:pt x="30287" y="37668"/>
                                </a:lnTo>
                                <a:lnTo>
                                  <a:pt x="38709" y="37668"/>
                                </a:lnTo>
                                <a:lnTo>
                                  <a:pt x="38709" y="20320"/>
                                </a:lnTo>
                                <a:lnTo>
                                  <a:pt x="36931" y="13296"/>
                                </a:lnTo>
                                <a:lnTo>
                                  <a:pt x="31763" y="5562"/>
                                </a:lnTo>
                                <a:close/>
                              </a:path>
                            </a:pathLst>
                          </a:custGeom>
                          <a:solidFill>
                            <a:srgbClr val="000000"/>
                          </a:solidFill>
                        </wps:spPr>
                        <wps:bodyPr wrap="square" lIns="0" tIns="0" rIns="0" bIns="0" rtlCol="0">
                          <a:prstTxWarp prst="textNoShape">
                            <a:avLst/>
                          </a:prstTxWarp>
                          <a:noAutofit/>
                        </wps:bodyPr>
                      </wps:wsp>
                      <wps:wsp>
                        <wps:cNvPr id="1523" name="Graphic 1523"/>
                        <wps:cNvSpPr/>
                        <wps:spPr>
                          <a:xfrm>
                            <a:off x="1439965" y="44632"/>
                            <a:ext cx="1270" cy="51435"/>
                          </a:xfrm>
                          <a:custGeom>
                            <a:avLst/>
                            <a:gdLst/>
                            <a:ahLst/>
                            <a:cxnLst/>
                            <a:rect l="l" t="t" r="r" b="b"/>
                            <a:pathLst>
                              <a:path h="51435">
                                <a:moveTo>
                                  <a:pt x="0" y="0"/>
                                </a:moveTo>
                                <a:lnTo>
                                  <a:pt x="0" y="51015"/>
                                </a:lnTo>
                              </a:path>
                            </a:pathLst>
                          </a:custGeom>
                          <a:ln w="7759">
                            <a:solidFill>
                              <a:srgbClr val="000000"/>
                            </a:solidFill>
                            <a:prstDash val="solid"/>
                          </a:ln>
                        </wps:spPr>
                        <wps:bodyPr wrap="square" lIns="0" tIns="0" rIns="0" bIns="0" rtlCol="0">
                          <a:prstTxWarp prst="textNoShape">
                            <a:avLst/>
                          </a:prstTxWarp>
                          <a:noAutofit/>
                        </wps:bodyPr>
                      </wps:wsp>
                      <wps:wsp>
                        <wps:cNvPr id="1524" name="Graphic 1524"/>
                        <wps:cNvSpPr/>
                        <wps:spPr>
                          <a:xfrm>
                            <a:off x="1384330" y="103545"/>
                            <a:ext cx="111760" cy="58419"/>
                          </a:xfrm>
                          <a:custGeom>
                            <a:avLst/>
                            <a:gdLst/>
                            <a:ahLst/>
                            <a:cxnLst/>
                            <a:rect l="l" t="t" r="r" b="b"/>
                            <a:pathLst>
                              <a:path w="111760" h="58419">
                                <a:moveTo>
                                  <a:pt x="98386" y="0"/>
                                </a:moveTo>
                                <a:lnTo>
                                  <a:pt x="88900" y="0"/>
                                </a:lnTo>
                                <a:lnTo>
                                  <a:pt x="84886" y="1295"/>
                                </a:lnTo>
                                <a:lnTo>
                                  <a:pt x="78765" y="6540"/>
                                </a:lnTo>
                                <a:lnTo>
                                  <a:pt x="77241" y="9944"/>
                                </a:lnTo>
                                <a:lnTo>
                                  <a:pt x="77241" y="18681"/>
                                </a:lnTo>
                                <a:lnTo>
                                  <a:pt x="79946" y="22834"/>
                                </a:lnTo>
                                <a:lnTo>
                                  <a:pt x="85356" y="26606"/>
                                </a:lnTo>
                                <a:lnTo>
                                  <a:pt x="78016" y="30987"/>
                                </a:lnTo>
                                <a:lnTo>
                                  <a:pt x="74358" y="36487"/>
                                </a:lnTo>
                                <a:lnTo>
                                  <a:pt x="74399" y="47688"/>
                                </a:lnTo>
                                <a:lnTo>
                                  <a:pt x="76034" y="51219"/>
                                </a:lnTo>
                                <a:lnTo>
                                  <a:pt x="82727" y="56730"/>
                                </a:lnTo>
                                <a:lnTo>
                                  <a:pt x="87122" y="58102"/>
                                </a:lnTo>
                                <a:lnTo>
                                  <a:pt x="98082" y="58102"/>
                                </a:lnTo>
                                <a:lnTo>
                                  <a:pt x="102328" y="56730"/>
                                </a:lnTo>
                                <a:lnTo>
                                  <a:pt x="102496" y="56730"/>
                                </a:lnTo>
                                <a:lnTo>
                                  <a:pt x="107497" y="52565"/>
                                </a:lnTo>
                                <a:lnTo>
                                  <a:pt x="89522" y="52565"/>
                                </a:lnTo>
                                <a:lnTo>
                                  <a:pt x="86829" y="51587"/>
                                </a:lnTo>
                                <a:lnTo>
                                  <a:pt x="82740" y="47688"/>
                                </a:lnTo>
                                <a:lnTo>
                                  <a:pt x="81711" y="45123"/>
                                </a:lnTo>
                                <a:lnTo>
                                  <a:pt x="81711" y="39420"/>
                                </a:lnTo>
                                <a:lnTo>
                                  <a:pt x="82245" y="37287"/>
                                </a:lnTo>
                                <a:lnTo>
                                  <a:pt x="84366" y="33883"/>
                                </a:lnTo>
                                <a:lnTo>
                                  <a:pt x="86385" y="31876"/>
                                </a:lnTo>
                                <a:lnTo>
                                  <a:pt x="89344" y="29590"/>
                                </a:lnTo>
                                <a:lnTo>
                                  <a:pt x="104939" y="29590"/>
                                </a:lnTo>
                                <a:lnTo>
                                  <a:pt x="98831" y="26606"/>
                                </a:lnTo>
                                <a:lnTo>
                                  <a:pt x="102431" y="24295"/>
                                </a:lnTo>
                                <a:lnTo>
                                  <a:pt x="94729" y="24295"/>
                                </a:lnTo>
                                <a:lnTo>
                                  <a:pt x="90589" y="21920"/>
                                </a:lnTo>
                                <a:lnTo>
                                  <a:pt x="87757" y="19913"/>
                                </a:lnTo>
                                <a:lnTo>
                                  <a:pt x="84696" y="16662"/>
                                </a:lnTo>
                                <a:lnTo>
                                  <a:pt x="83921" y="14808"/>
                                </a:lnTo>
                                <a:lnTo>
                                  <a:pt x="83921" y="10617"/>
                                </a:lnTo>
                                <a:lnTo>
                                  <a:pt x="84747" y="8953"/>
                                </a:lnTo>
                                <a:lnTo>
                                  <a:pt x="85386" y="8420"/>
                                </a:lnTo>
                                <a:lnTo>
                                  <a:pt x="88147" y="6248"/>
                                </a:lnTo>
                                <a:lnTo>
                                  <a:pt x="90360" y="5562"/>
                                </a:lnTo>
                                <a:lnTo>
                                  <a:pt x="107766" y="5562"/>
                                </a:lnTo>
                                <a:lnTo>
                                  <a:pt x="102082" y="1104"/>
                                </a:lnTo>
                                <a:lnTo>
                                  <a:pt x="98386" y="0"/>
                                </a:lnTo>
                                <a:close/>
                              </a:path>
                              <a:path w="111760" h="58419">
                                <a:moveTo>
                                  <a:pt x="104939" y="29590"/>
                                </a:moveTo>
                                <a:lnTo>
                                  <a:pt x="89344" y="29590"/>
                                </a:lnTo>
                                <a:lnTo>
                                  <a:pt x="98183" y="34836"/>
                                </a:lnTo>
                                <a:lnTo>
                                  <a:pt x="100622" y="36652"/>
                                </a:lnTo>
                                <a:lnTo>
                                  <a:pt x="103136" y="39611"/>
                                </a:lnTo>
                                <a:lnTo>
                                  <a:pt x="103771" y="41427"/>
                                </a:lnTo>
                                <a:lnTo>
                                  <a:pt x="103771" y="46227"/>
                                </a:lnTo>
                                <a:lnTo>
                                  <a:pt x="102755" y="48399"/>
                                </a:lnTo>
                                <a:lnTo>
                                  <a:pt x="98691" y="51739"/>
                                </a:lnTo>
                                <a:lnTo>
                                  <a:pt x="96062" y="52565"/>
                                </a:lnTo>
                                <a:lnTo>
                                  <a:pt x="107497" y="52565"/>
                                </a:lnTo>
                                <a:lnTo>
                                  <a:pt x="109601" y="50812"/>
                                </a:lnTo>
                                <a:lnTo>
                                  <a:pt x="111340" y="47040"/>
                                </a:lnTo>
                                <a:lnTo>
                                  <a:pt x="111340" y="35953"/>
                                </a:lnTo>
                                <a:lnTo>
                                  <a:pt x="107175" y="30683"/>
                                </a:lnTo>
                                <a:lnTo>
                                  <a:pt x="104939" y="29590"/>
                                </a:lnTo>
                                <a:close/>
                              </a:path>
                              <a:path w="111760" h="58419">
                                <a:moveTo>
                                  <a:pt x="107746" y="5562"/>
                                </a:moveTo>
                                <a:lnTo>
                                  <a:pt x="95897" y="5562"/>
                                </a:lnTo>
                                <a:lnTo>
                                  <a:pt x="98158" y="6248"/>
                                </a:lnTo>
                                <a:lnTo>
                                  <a:pt x="101600" y="8953"/>
                                </a:lnTo>
                                <a:lnTo>
                                  <a:pt x="102390" y="10617"/>
                                </a:lnTo>
                                <a:lnTo>
                                  <a:pt x="102329" y="17310"/>
                                </a:lnTo>
                                <a:lnTo>
                                  <a:pt x="99872" y="20904"/>
                                </a:lnTo>
                                <a:lnTo>
                                  <a:pt x="94729" y="24295"/>
                                </a:lnTo>
                                <a:lnTo>
                                  <a:pt x="102431" y="24295"/>
                                </a:lnTo>
                                <a:lnTo>
                                  <a:pt x="105714" y="22186"/>
                                </a:lnTo>
                                <a:lnTo>
                                  <a:pt x="109156" y="17310"/>
                                </a:lnTo>
                                <a:lnTo>
                                  <a:pt x="109156" y="8420"/>
                                </a:lnTo>
                                <a:lnTo>
                                  <a:pt x="107746" y="5562"/>
                                </a:lnTo>
                                <a:close/>
                              </a:path>
                              <a:path w="111760" h="58419">
                                <a:moveTo>
                                  <a:pt x="60236" y="47497"/>
                                </a:moveTo>
                                <a:lnTo>
                                  <a:pt x="51003" y="47497"/>
                                </a:lnTo>
                                <a:lnTo>
                                  <a:pt x="51003" y="56730"/>
                                </a:lnTo>
                                <a:lnTo>
                                  <a:pt x="60236" y="56730"/>
                                </a:lnTo>
                                <a:lnTo>
                                  <a:pt x="60236" y="47497"/>
                                </a:lnTo>
                                <a:close/>
                              </a:path>
                              <a:path w="111760" h="58419">
                                <a:moveTo>
                                  <a:pt x="25158" y="38"/>
                                </a:moveTo>
                                <a:lnTo>
                                  <a:pt x="13550" y="38"/>
                                </a:lnTo>
                                <a:lnTo>
                                  <a:pt x="8877" y="2692"/>
                                </a:lnTo>
                                <a:lnTo>
                                  <a:pt x="1778" y="13296"/>
                                </a:lnTo>
                                <a:lnTo>
                                  <a:pt x="0" y="20319"/>
                                </a:lnTo>
                                <a:lnTo>
                                  <a:pt x="31" y="37795"/>
                                </a:lnTo>
                                <a:lnTo>
                                  <a:pt x="1765" y="44678"/>
                                </a:lnTo>
                                <a:lnTo>
                                  <a:pt x="6939" y="52565"/>
                                </a:lnTo>
                                <a:lnTo>
                                  <a:pt x="8879" y="55460"/>
                                </a:lnTo>
                                <a:lnTo>
                                  <a:pt x="13423" y="58102"/>
                                </a:lnTo>
                                <a:lnTo>
                                  <a:pt x="25082" y="58102"/>
                                </a:lnTo>
                                <a:lnTo>
                                  <a:pt x="29832" y="55460"/>
                                </a:lnTo>
                                <a:lnTo>
                                  <a:pt x="31776" y="52565"/>
                                </a:lnTo>
                                <a:lnTo>
                                  <a:pt x="19215" y="52565"/>
                                </a:lnTo>
                                <a:lnTo>
                                  <a:pt x="14240" y="51093"/>
                                </a:lnTo>
                                <a:lnTo>
                                  <a:pt x="10688" y="46680"/>
                                </a:lnTo>
                                <a:lnTo>
                                  <a:pt x="8558" y="39326"/>
                                </a:lnTo>
                                <a:lnTo>
                                  <a:pt x="8452" y="37795"/>
                                </a:lnTo>
                                <a:lnTo>
                                  <a:pt x="30268" y="37795"/>
                                </a:lnTo>
                                <a:lnTo>
                                  <a:pt x="8444" y="37668"/>
                                </a:lnTo>
                                <a:lnTo>
                                  <a:pt x="7848" y="29032"/>
                                </a:lnTo>
                                <a:lnTo>
                                  <a:pt x="19354" y="5562"/>
                                </a:lnTo>
                                <a:lnTo>
                                  <a:pt x="31757" y="5562"/>
                                </a:lnTo>
                                <a:lnTo>
                                  <a:pt x="29832" y="2692"/>
                                </a:lnTo>
                                <a:lnTo>
                                  <a:pt x="25158" y="38"/>
                                </a:lnTo>
                                <a:close/>
                              </a:path>
                              <a:path w="111760" h="58419">
                                <a:moveTo>
                                  <a:pt x="31757" y="5562"/>
                                </a:moveTo>
                                <a:lnTo>
                                  <a:pt x="19354" y="5562"/>
                                </a:lnTo>
                                <a:lnTo>
                                  <a:pt x="24422" y="7029"/>
                                </a:lnTo>
                                <a:lnTo>
                                  <a:pt x="28034" y="11429"/>
                                </a:lnTo>
                                <a:lnTo>
                                  <a:pt x="30179" y="18635"/>
                                </a:lnTo>
                                <a:lnTo>
                                  <a:pt x="30899" y="28803"/>
                                </a:lnTo>
                                <a:lnTo>
                                  <a:pt x="30277" y="37668"/>
                                </a:lnTo>
                                <a:lnTo>
                                  <a:pt x="19215" y="52565"/>
                                </a:lnTo>
                                <a:lnTo>
                                  <a:pt x="31776" y="52565"/>
                                </a:lnTo>
                                <a:lnTo>
                                  <a:pt x="36944" y="44869"/>
                                </a:lnTo>
                                <a:lnTo>
                                  <a:pt x="38722" y="37795"/>
                                </a:lnTo>
                                <a:lnTo>
                                  <a:pt x="38722" y="20319"/>
                                </a:lnTo>
                                <a:lnTo>
                                  <a:pt x="36944" y="13296"/>
                                </a:lnTo>
                                <a:lnTo>
                                  <a:pt x="31757" y="5562"/>
                                </a:lnTo>
                                <a:close/>
                              </a:path>
                            </a:pathLst>
                          </a:custGeom>
                          <a:solidFill>
                            <a:srgbClr val="000000"/>
                          </a:solidFill>
                        </wps:spPr>
                        <wps:bodyPr wrap="square" lIns="0" tIns="0" rIns="0" bIns="0" rtlCol="0">
                          <a:prstTxWarp prst="textNoShape">
                            <a:avLst/>
                          </a:prstTxWarp>
                          <a:noAutofit/>
                        </wps:bodyPr>
                      </wps:wsp>
                      <wps:wsp>
                        <wps:cNvPr id="1525" name="Graphic 1525"/>
                        <wps:cNvSpPr/>
                        <wps:spPr>
                          <a:xfrm>
                            <a:off x="1591745" y="44632"/>
                            <a:ext cx="1270" cy="51435"/>
                          </a:xfrm>
                          <a:custGeom>
                            <a:avLst/>
                            <a:gdLst/>
                            <a:ahLst/>
                            <a:cxnLst/>
                            <a:rect l="l" t="t" r="r" b="b"/>
                            <a:pathLst>
                              <a:path h="51435">
                                <a:moveTo>
                                  <a:pt x="0" y="0"/>
                                </a:moveTo>
                                <a:lnTo>
                                  <a:pt x="0" y="51015"/>
                                </a:lnTo>
                              </a:path>
                            </a:pathLst>
                          </a:custGeom>
                          <a:ln w="7759">
                            <a:solidFill>
                              <a:srgbClr val="000000"/>
                            </a:solidFill>
                            <a:prstDash val="solid"/>
                          </a:ln>
                        </wps:spPr>
                        <wps:bodyPr wrap="square" lIns="0" tIns="0" rIns="0" bIns="0" rtlCol="0">
                          <a:prstTxWarp prst="textNoShape">
                            <a:avLst/>
                          </a:prstTxWarp>
                          <a:noAutofit/>
                        </wps:bodyPr>
                      </wps:wsp>
                      <wps:wsp>
                        <wps:cNvPr id="1526" name="Graphic 1526"/>
                        <wps:cNvSpPr/>
                        <wps:spPr>
                          <a:xfrm>
                            <a:off x="1554861" y="103587"/>
                            <a:ext cx="29845" cy="57150"/>
                          </a:xfrm>
                          <a:custGeom>
                            <a:avLst/>
                            <a:gdLst/>
                            <a:ahLst/>
                            <a:cxnLst/>
                            <a:rect l="l" t="t" r="r" b="b"/>
                            <a:pathLst>
                              <a:path w="29845" h="57150">
                                <a:moveTo>
                                  <a:pt x="18453" y="0"/>
                                </a:moveTo>
                                <a:lnTo>
                                  <a:pt x="0" y="4584"/>
                                </a:lnTo>
                                <a:lnTo>
                                  <a:pt x="0" y="10261"/>
                                </a:lnTo>
                                <a:lnTo>
                                  <a:pt x="11061" y="7505"/>
                                </a:lnTo>
                                <a:lnTo>
                                  <a:pt x="11061" y="51142"/>
                                </a:lnTo>
                                <a:lnTo>
                                  <a:pt x="0" y="51142"/>
                                </a:lnTo>
                                <a:lnTo>
                                  <a:pt x="0" y="56680"/>
                                </a:lnTo>
                                <a:lnTo>
                                  <a:pt x="29514" y="56680"/>
                                </a:lnTo>
                                <a:lnTo>
                                  <a:pt x="29514" y="51142"/>
                                </a:lnTo>
                                <a:lnTo>
                                  <a:pt x="18453" y="51142"/>
                                </a:lnTo>
                                <a:lnTo>
                                  <a:pt x="1845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FA9566" id="Group 1498" o:spid="_x0000_s1026" style="position:absolute;margin-left:394.5pt;margin-top:-29.2pt;width:127.85pt;height:12.75pt;z-index:15981568;mso-wrap-distance-left:0;mso-wrap-distance-right:0;mso-position-horizontal-relative:page" coordsize="1623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">
                <v:shape id="Graphic 1499" o:spid="_x0000_s1027" style="position:absolute;left:7062;top:191;width:635;height:12;visibility:visible;mso-wrap-style:square;v-text-anchor:top" coordsize="6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" path="m,l62903,e" filled="f" strokeweight=".21553mm">
                  <v:path arrowok="t"/>
                </v:shape>
                <v:shape id="Graphic 1500" o:spid="_x0000_s1028" style="position:absolute;left:7499;width:451;height:450;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" path="m44640,l,,,44640r44640,l44640,xe" fillcolor="#0000c0" stroked="f">
                  <v:path arrowok="t"/>
                </v:shape>
                <v:shape id="Graphic 1501" o:spid="_x0000_s1029" style="position:absolute;left:38;top:446;width:7595;height:514;visibility:visible;mso-wrap-style:square;v-text-anchor:top" coordsize="75946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" path="m,l,51015em,25501r758850,e" filled="f" strokeweight=".21553mm">
                  <v:path arrowok="t"/>
                </v:shape>
                <v:shape id="Graphic 1502" o:spid="_x0000_s1030" style="position:absolute;left:87;top:1035;width:387;height:585;visibility:visible;mso-wrap-style:square;v-text-anchor:top" coordsize="3873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" path="m25171,l13563,,8889,2654,1777,13258,,20269,28,37744r1737,6896l6948,52527r1944,2895l13436,58064r11659,l29844,55422r1941,-2895l19215,52527,14240,51055,10688,46642,8558,39288,7848,28994r611,-8725l8567,18726r2159,-7335l14326,6991,19367,5524r12399,l29844,2654,25171,xem31766,5524r-12399,l24429,6991r3613,4400l30190,18597r721,10168l30280,37744r-100,1415l28561,44640r-621,2002l24283,51055r-5068,1472l31785,52527r5159,-7696l38722,37744r,-17475l36944,13258,31766,5524xe" fillcolor="black" stroked="f">
                  <v:path arrowok="t"/>
                </v:shape>
                <v:shape id="Graphic 1503" o:spid="_x0000_s1031" style="position:absolute;left:1556;top:446;width:13;height:514;visibility:visible;mso-wrap-style:square;v-text-anchor:top" coordsize="127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" path="m,l,51015e" filled="f" strokeweight=".21553mm">
                  <v:path arrowok="t"/>
                </v:shape>
                <v:shape id="Graphic 1504" o:spid="_x0000_s1032" style="position:absolute;left:1000;top:1035;width:1073;height:585;visibility:visible;mso-wrap-style:square;v-text-anchor:top" coordsize="10731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" path="m104076,5524r-11798,l94830,6413r3718,3556l99466,12382r,7912l96748,25171r-9652,8674l80581,39751r-4343,5461l74091,50215r,6465l107010,56680r,-6465l82981,50215r927,-4559l87325,40868r5905,-5004l96062,33426r4306,-3658l103327,26657r3162,-5131l107276,18580r,-7912l105718,7010,104076,5524xem95262,l85255,,80378,1155,75476,3467r,6502l80695,7010,85204,5524r18872,l99428,1384,95262,xem60248,47447r-9245,l51003,56680r9245,l60248,47447xem25158,l13550,,8877,2654,1778,13258,,20269,28,37744r1737,6896l6935,52527r1931,2883l13436,58064r11659,l29845,55410r1928,-2883l19215,52527,14240,51055,10688,46642,8558,39288,7848,28994r611,-8725l8567,18726r2158,-7335l14320,6991,19354,5524r12409,l29845,2654,25158,xem31763,5524r-12409,l24419,6991r3617,4400l30188,18597r723,10168l30278,37744,19215,52527r12558,l36931,44818r1778,-7074l38709,20269,36931,13258,31763,5524xe" fillcolor="black" stroked="f">
                  <v:path arrowok="t"/>
                </v:shape>
                <v:shape id="Graphic 1505" o:spid="_x0000_s1033" style="position:absolute;left:3074;top:446;width:12;height:514;visibility:visible;mso-wrap-style:square;v-text-anchor:top" coordsize="127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" path="m,l,51015e" filled="f" strokeweight=".21553mm">
                  <v:path arrowok="t"/>
                </v:shape>
                <v:shape id="Graphic 1506" o:spid="_x0000_s1034" style="position:absolute;left:2517;top:1035;width:1112;height:585;visibility:visible;mso-wrap-style:square;v-text-anchor:top" coordsize="11112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" path="m103479,41021r-6921,l96558,56680r6921,l103479,41021xem103479,1384r-6921,l71678,35458r,5563l110871,41021r,-6020l78879,35001,97040,10414r6439,l103479,1384xem103479,10414r-6439,l97040,35001r6439,l103479,10414xem60248,47447r-9233,l51015,56680r9233,l60248,47447xem25171,l13550,,8877,2654,1778,13258,,20269,28,37744r1737,6896l6945,52527r1934,2883l13436,58064r11659,l29845,55410r1928,-2883l19215,52527,14240,51055,10688,46642,8558,39288,7848,28994r611,-8725l8567,18726r2158,-7335l14320,6991,19354,5524r12409,l29845,2654,25171,xem31763,5524r-12409,l24424,6991r3617,4400l30190,18597r721,10168l30280,37744,19215,52527r12558,l36931,44818r1791,-7074l38722,20269,36931,13258,31763,5524xe" fillcolor="black" stroked="f">
                  <v:path arrowok="t"/>
                </v:shape>
                <v:shape id="Graphic 1507" o:spid="_x0000_s1035" style="position:absolute;left:4591;top:446;width:13;height:514;visibility:visible;mso-wrap-style:square;v-text-anchor:top" coordsize="127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" path="m,l,51015e" filled="f" strokeweight=".21553mm">
                  <v:path arrowok="t"/>
                </v:shape>
                <v:shape id="Graphic 1508" o:spid="_x0000_s1036" style="position:absolute;left:4035;top:1035;width:1111;height:584;visibility:visible;mso-wrap-style:square;v-text-anchor:top" coordsize="11112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" path="m98742,l88290,,82727,2654,74841,13258r-1994,7455l72847,39014r1659,6553l74574,45834r6871,9817l86220,58102r11417,l102006,56248r3424,-3683l89331,52565,86525,51168,82257,45567,81191,41846r,-7569l82321,31762r3942,-3695l80886,28067r883,-9861l84420,11161,88837,6934,95021,5524r12763,l107784,2095,102870,698,98742,xem106507,26530r-10584,l98539,27724r3759,4788l103238,35801r-86,8293l102298,46875r-1892,2274l98539,51435r-2527,1130l105430,52565r3472,-3734l110629,44094r,-10757l109093,29222r-2586,-2692xem98983,21221r-10160,l84404,23507r-3518,4560l86263,28067r528,-496l89471,26530r17036,l102946,22821,98983,21221xem107784,5524r-9461,l102590,6527r5194,1982l107784,5524xem60236,47498r-9233,l51003,56730r9233,l60236,47498xem25158,38r-11608,l8864,2692,1778,13296,,20320,31,37795r1734,6883l6929,52565r1937,2895l13423,58102r11659,l29832,55460r1941,-2895l19202,52565,14233,51095,10680,46685,8547,39331,7835,29032r612,-8712l8557,18764r2161,-7334l14318,7029,19354,5562r12399,l29832,2692,25158,38xem38709,37795r-8442,l30131,39331r-1580,5347l27929,46685r-3658,4410l19202,52565r12571,l36931,44869r1778,-7074xem31753,5562r-12399,l24417,7029r3612,4401l30186,18764r713,10052l30276,37668r8433,l38709,20320,36931,13296,31753,5562xe" fillcolor="black" stroked="f">
                  <v:path arrowok="t"/>
                </v:shape>
                <v:shape id="Graphic 1509" o:spid="_x0000_s1037" style="position:absolute;left:6109;top:446;width:13;height:514;visibility:visible;mso-wrap-style:square;v-text-anchor:top" coordsize="127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" path="m,l,51015e" filled="f" strokeweight=".21553mm">
                  <v:path arrowok="t"/>
                </v:shape>
                <v:shape id="Graphic 1510" o:spid="_x0000_s1038" style="position:absolute;left:5553;top:1035;width:1117;height:584;visibility:visible;mso-wrap-style:square;v-text-anchor:top" coordsize="1117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" path="m98374,l88887,,84886,1295,78765,6540,77228,9944r,8737l79933,22834r5410,3772l78016,30987r-3671,5500l74386,47688r1636,3531l82727,56730r4382,1372l98069,58102r4246,-1372l102483,56730r5010,-4165l89509,52565r-2680,-978l82727,47688,81711,45123r,-5703l82232,37287r2121,-3404l86372,31876r2959,-2286l104927,29590,98818,26606r3600,-2311l94716,24295,90589,21920,87744,19913,84683,16662r-762,-1854l83921,10617r826,-1664l85383,8420,88134,6248r2226,-686l107753,5562,102069,1104,98374,xem104927,29590r-15596,l98183,34836r2439,1816l103123,39611r635,1816l103758,46227r-1003,2172l98678,51739r-2616,826l107493,52565r2107,-1753l111340,47040r,-11087l107162,30683r-2235,-1093xem107733,5562r-11849,l98145,6248r3454,2705l102390,10617r-61,6693l99872,20904r-5156,3391l102418,24295r3284,-2109l109143,17310r,-8890l107733,5562xem60236,47497r-9246,l50990,56730r9246,l60236,47497xem25158,38r-11608,l8864,2692,1765,13296,,20319,31,37795r1721,6883l6926,52565r1940,2895l13423,58102r11659,l29832,55460r1941,-2895l19215,52565,14240,51093,10688,46680,8558,39326,7848,29032r610,-8713l8567,18764r2158,-7335l14320,7029,19354,5562r12399,l29832,2692,25158,38xem31753,5562r-12399,l24415,7029r3608,4400l30166,18635r720,10168l30265,37668,19215,52565r12558,l36931,44869r1778,-7074l38709,20319,36931,13296,31753,5562xe" fillcolor="black" stroked="f">
                  <v:path arrowok="t"/>
                </v:shape>
                <v:shape id="Graphic 1511" o:spid="_x0000_s1039" style="position:absolute;left:7627;top:446;width:13;height:514;visibility:visible;mso-wrap-style:square;v-text-anchor:top" coordsize="127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" path="m,l,51015e" filled="f" strokeweight=".21553mm">
                  <v:path arrowok="t"/>
                </v:shape>
                <v:shape id="Graphic 1512" o:spid="_x0000_s1040" style="position:absolute;left:7258;top:1035;width:299;height:572;visibility:visible;mso-wrap-style:square;v-text-anchor:top" coordsize="2984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" path="m18453,l,4584r,5677l11049,7505r,43637l,51142r,5538l29514,56680r,-5538l18453,51142,18453,xe" fillcolor="black" stroked="f">
                  <v:path arrowok="t"/>
                </v:shape>
                <v:shape id="Graphic 1513" o:spid="_x0000_s1041" style="position:absolute;left:15840;top:191;width:146;height:12;visibility:visible;mso-wrap-style:square;v-text-anchor:top" coordsize="146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" path="m,l14046,e" filled="f" strokeweight=".21553mm">
                  <v:path arrowok="t"/>
                </v:shape>
                <v:shape id="Graphic 1514" o:spid="_x0000_s1042" style="position:absolute;left:15789;width:451;height:450;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" path="m44653,l,,,44640r44653,l44653,xe" fillcolor="#0000c0" stroked="f">
                  <v:path arrowok="t"/>
                </v:shape>
                <v:shape id="Graphic 1515" o:spid="_x0000_s1043" style="position:absolute;left:8328;top:446;width:7595;height:514;visibility:visible;mso-wrap-style:square;v-text-anchor:top" coordsize="75946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" path="m,l,51015em,25501r758863,e" filled="f" strokeweight=".21553mm">
                  <v:path arrowok="t"/>
                </v:shape>
                <v:shape id="Graphic 1516" o:spid="_x0000_s1044" style="position:absolute;left:8377;top:1035;width:387;height:585;visibility:visible;mso-wrap-style:square;v-text-anchor:top" coordsize="3873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" path="m25158,l13550,,8877,2654,1778,13258,,20269,28,37744r1737,6896l6939,52527r1940,2895l13423,58064r11659,l29832,55422r1941,-2895l19202,52527,14235,51055,10687,46642,8558,39288,7848,28994r611,-8725l8567,18726r2158,-7335l14320,6991,19354,5524r12399,l29832,2654,25158,xem31753,5524r-12399,l24417,6991r3613,4400l30177,18597r722,10168l30267,37744r-99,1415l28549,44640r-621,2002l24270,51055r-5068,1472l31773,52527r5158,-7696l38709,37744r,-17475l36931,13258,31753,5524xe" fillcolor="black" stroked="f">
                  <v:path arrowok="t"/>
                </v:shape>
                <v:shape id="Graphic 1517" o:spid="_x0000_s1045" style="position:absolute;left:9846;top:446;width:13;height:514;visibility:visible;mso-wrap-style:square;v-text-anchor:top" coordsize="127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" path="m,l,51015e" filled="f" strokeweight=".21553mm">
                  <v:path arrowok="t"/>
                </v:shape>
                <v:shape id="Graphic 1518" o:spid="_x0000_s1046" style="position:absolute;left:9290;top:1035;width:1073;height:585;visibility:visible;mso-wrap-style:square;v-text-anchor:top" coordsize="10731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" path="m104073,5524r-11795,l94818,6413r3730,3556l99453,12382r,7912l96748,25171r-9665,8674l80568,39751r-4330,5461l74091,50215r,6465l107010,56680r,-6465l82981,50215r915,-4559l87312,40868r5906,-5004l96050,33426r4318,-3658l103314,26657r3162,-5131l107264,18580r,-7912l105718,7010,104073,5524xem95262,l85255,,80378,1155,75463,3467r,6502l80683,7010,85204,5524r18869,l99415,1384,95262,xem60236,47447r-9233,l51003,56680r9233,l60236,47447xem25146,l13538,,8864,2654,1778,13258,,20269,28,37744r1737,6896l6935,52527r1931,2883l13423,58064r11659,l29832,55410r1932,-2883l19202,52527,14227,51055,10675,46642,8545,39288,7835,28994r611,-8725l8555,18726r2157,-7335l14308,6991,19342,5524r12411,l29832,2654,25146,xem31753,5524r-12411,l24411,6991r3617,4400l30177,18597r722,10168l30267,37744,19202,52527r12562,l36931,44818r1778,-7074l38709,20269,36931,13258,31753,5524xe" fillcolor="black" stroked="f">
                  <v:path arrowok="t"/>
                </v:shape>
                <v:shape id="Graphic 1519" o:spid="_x0000_s1047" style="position:absolute;left:11364;top:446;width:12;height:514;visibility:visible;mso-wrap-style:square;v-text-anchor:top" coordsize="127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" path="m,l,51015e" filled="f" strokeweight=".21553mm">
                  <v:path arrowok="t"/>
                </v:shape>
                <v:shape id="Graphic 1520" o:spid="_x0000_s1048" style="position:absolute;left:10807;top:1035;width:1112;height:585;visibility:visible;mso-wrap-style:square;v-text-anchor:top" coordsize="11112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" path="m103466,41021r-6908,l96558,56680r6908,l103466,41021xem103466,1384r-6908,l71666,35458r,5563l110871,41021r,-6020l78879,35001,97040,10414r6426,l103466,1384xem103466,10414r-6426,l97040,35001r6426,l103466,10414xem60236,47447r-9233,l51003,56680r9233,l60236,47447xem25158,l13538,,8864,2654,1778,13258,,20269,28,37744r1737,6896l6935,52527r1931,2883l13423,58064r11659,l29832,55410r1932,-2883l19202,52527,14235,51055,10687,46642,8558,39288,7848,28994r611,-8725l8567,18726r2158,-7335l14320,6991,19354,5524r12399,l29832,2654,25158,xem31753,5524r-12399,l24417,6991r3613,4400l30177,18597r722,10168l30267,37744,19202,52527r12562,l36931,44818r1778,-7074l38709,20269,36931,13258,31753,5524xe" fillcolor="black" stroked="f">
                  <v:path arrowok="t"/>
                </v:shape>
                <v:shape id="Graphic 1521" o:spid="_x0000_s1049" style="position:absolute;left:12881;top:446;width:13;height:514;visibility:visible;mso-wrap-style:square;v-text-anchor:top" coordsize="127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" path="m,l,51015e" filled="f" strokeweight=".21553mm">
                  <v:path arrowok="t"/>
                </v:shape>
                <v:shape id="Graphic 1522" o:spid="_x0000_s1050" style="position:absolute;left:12325;top:1035;width:1111;height:584;visibility:visible;mso-wrap-style:square;v-text-anchor:top" coordsize="11112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" path="m98755,l88290,,82740,2654,74841,13258r-1982,7455l72859,39014r1660,6553l74587,45834r6870,9817l86233,58102r11404,l102006,56248r3431,-3683l89344,52565,86525,51168,82270,45567,81203,41846r,-7569l82321,31762r3953,-3695l80899,28067r881,-9861l84428,11161,88844,6934,95034,5524r12763,l107797,2095,102870,698,98755,xem106520,26530r-10585,l98539,27724r3772,4788l103238,35801r-85,8293l102311,46875r-3772,4560l96024,52565r9413,l108915,48831r1727,-4737l110642,33337r-1537,-4115l106520,26530xem98996,21221r-10173,l84416,23507r-3517,4560l86274,28067r530,-496l89484,26530r17036,l102958,22821,98996,21221xem107797,5524r-9461,l102590,6527r5207,1982l107797,5524xem60248,47498r-9233,l51015,56730r9233,l60248,47498xem25171,38r-11621,l8877,2692,1778,13296,,20320,31,37795r1734,6883l6939,52565r1940,2895l13436,58102r11659,l29845,55460r1937,-2895l19215,52565,14240,51095,10688,46685,8558,39331,7848,29032r610,-8712l8567,18764r2159,-7334l14326,7029,19367,5562r12396,l29845,2692,25171,38xem38709,37795r-8431,l30142,39331r-1582,5347l27937,46685r-3659,4410l19215,52565r12567,l36931,44869r1778,-7074xem31763,5562r-12396,l24424,7029r3613,4401l30197,18764r714,10052l30287,37668r8422,l38709,20320,36931,13296,31763,5562xe" fillcolor="black" stroked="f">
                  <v:path arrowok="t"/>
                </v:shape>
                <v:shape id="Graphic 1523" o:spid="_x0000_s1051" style="position:absolute;left:14399;top:446;width:13;height:514;visibility:visible;mso-wrap-style:square;v-text-anchor:top" coordsize="127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" path="m,l,51015e" filled="f" strokeweight=".21553mm">
                  <v:path arrowok="t"/>
                </v:shape>
                <v:shape id="Graphic 1524" o:spid="_x0000_s1052" style="position:absolute;left:13843;top:1035;width:1117;height:584;visibility:visible;mso-wrap-style:square;v-text-anchor:top" coordsize="1117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" path="m98386,l88900,,84886,1295,78765,6540,77241,9944r,8737l79946,22834r5410,3772l78016,30987r-3658,5500l74399,47688r1635,3531l82727,56730r4395,1372l98082,58102r4246,-1372l102496,56730r5001,-4165l89522,52565r-2693,-978l82740,47688,81711,45123r,-5703l82245,37287r2121,-3404l86385,31876r2959,-2286l104939,29590,98831,26606r3600,-2311l94729,24295,90589,21920,87757,19913,84696,16662r-775,-1854l83921,10617r826,-1664l85386,8420,88147,6248r2213,-686l107766,5562,102082,1104,98386,xem104939,29590r-15595,l98183,34836r2439,1816l103136,39611r635,1816l103771,46227r-1016,2172l98691,51739r-2629,826l107497,52565r2104,-1753l111340,47040r,-11087l107175,30683r-2236,-1093xem107746,5562r-11849,l98158,6248r3442,2705l102390,10617r-61,6693l99872,20904r-5143,3391l102431,24295r3283,-2109l109156,17310r,-8890l107746,5562xem60236,47497r-9233,l51003,56730r9233,l60236,47497xem25158,38r-11608,l8877,2692,1778,13296,,20319,31,37795r1734,6883l6939,52565r1940,2895l13423,58102r11659,l29832,55460r1944,-2895l19215,52565,14240,51093,10688,46680,8558,39326,8452,37795r21816,l8444,37668,7848,29032,19354,5562r12403,l29832,2692,25158,38xem31757,5562r-12403,l24422,7029r3612,4400l30179,18635r720,10168l30277,37668,19215,52565r12561,l36944,44869r1778,-7074l38722,20319,36944,13296,31757,5562xe" fillcolor="black" stroked="f">
                  <v:path arrowok="t"/>
                </v:shape>
                <v:shape id="Graphic 1525" o:spid="_x0000_s1053" style="position:absolute;left:15917;top:446;width:13;height:514;visibility:visible;mso-wrap-style:square;v-text-anchor:top" coordsize="127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" path="m,l,51015e" filled="f" strokeweight=".21553mm">
                  <v:path arrowok="t"/>
                </v:shape>
                <v:shape id="Graphic 1526" o:spid="_x0000_s1054" style="position:absolute;left:15548;top:1035;width:299;height:572;visibility:visible;mso-wrap-style:square;v-text-anchor:top" coordsize="2984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" path="m18453,l,4584r,5677l11061,7505r,43637l,51142r,5538l29514,56680r,-5538l18453,51142,18453,xe" fillcolor="black"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86688" behindDoc="0" locked="0" layoutInCell="1" allowOverlap="1" wp14:anchorId="66B68C1E" wp14:editId="26F56165">
                <wp:simplePos x="0" y="0"/>
                <wp:positionH relativeFrom="page">
                  <wp:posOffset>6556894</wp:posOffset>
                </wp:positionH>
                <wp:positionV relativeFrom="paragraph">
                  <wp:posOffset>-1186802</wp:posOffset>
                </wp:positionV>
                <wp:extent cx="77470" cy="45085"/>
                <wp:effectExtent l="0" t="0" r="0" b="0"/>
                <wp:wrapNone/>
                <wp:docPr id="1527" name="Group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70" cy="45085"/>
                          <a:chOff x="0" y="0"/>
                          <a:chExt cx="77470" cy="45085"/>
                        </a:xfrm>
                      </wpg:grpSpPr>
                      <wps:wsp>
                        <wps:cNvPr id="1528" name="Graphic 1528"/>
                        <wps:cNvSpPr/>
                        <wps:spPr>
                          <a:xfrm>
                            <a:off x="0" y="19138"/>
                            <a:ext cx="52069" cy="1270"/>
                          </a:xfrm>
                          <a:custGeom>
                            <a:avLst/>
                            <a:gdLst/>
                            <a:ahLst/>
                            <a:cxnLst/>
                            <a:rect l="l" t="t" r="r" b="b"/>
                            <a:pathLst>
                              <a:path w="52069">
                                <a:moveTo>
                                  <a:pt x="0" y="0"/>
                                </a:moveTo>
                                <a:lnTo>
                                  <a:pt x="51447" y="0"/>
                                </a:lnTo>
                              </a:path>
                            </a:pathLst>
                          </a:custGeom>
                          <a:ln w="7759">
                            <a:solidFill>
                              <a:srgbClr val="000000"/>
                            </a:solidFill>
                            <a:prstDash val="solid"/>
                          </a:ln>
                        </wps:spPr>
                        <wps:bodyPr wrap="square" lIns="0" tIns="0" rIns="0" bIns="0" rtlCol="0">
                          <a:prstTxWarp prst="textNoShape">
                            <a:avLst/>
                          </a:prstTxWarp>
                          <a:noAutofit/>
                        </wps:bodyPr>
                      </wps:wsp>
                      <wps:wsp>
                        <wps:cNvPr id="1529" name="Graphic 1529"/>
                        <wps:cNvSpPr/>
                        <wps:spPr>
                          <a:xfrm>
                            <a:off x="32310" y="0"/>
                            <a:ext cx="45085" cy="45085"/>
                          </a:xfrm>
                          <a:custGeom>
                            <a:avLst/>
                            <a:gdLst/>
                            <a:ahLst/>
                            <a:cxnLst/>
                            <a:rect l="l" t="t" r="r" b="b"/>
                            <a:pathLst>
                              <a:path w="45085" h="45085">
                                <a:moveTo>
                                  <a:pt x="44653" y="0"/>
                                </a:moveTo>
                                <a:lnTo>
                                  <a:pt x="0" y="0"/>
                                </a:lnTo>
                                <a:lnTo>
                                  <a:pt x="0" y="44640"/>
                                </a:lnTo>
                                <a:lnTo>
                                  <a:pt x="44653" y="44640"/>
                                </a:lnTo>
                                <a:lnTo>
                                  <a:pt x="4465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608119D" id="Group 1527" o:spid="_x0000_s1026" style="position:absolute;margin-left:516.3pt;margin-top:-93.45pt;width:6.1pt;height:3.55pt;z-index:15986688;mso-wrap-distance-left:0;mso-wrap-distance-right:0;mso-position-horizontal-relative:page" coordsize="7747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">
                <v:shape id="Graphic 1528" o:spid="_x0000_s1027" style="position:absolute;top:19138;width:52069;height:1270;visibility:visible;mso-wrap-style:square;v-text-anchor:top" coordsize="520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" path="m,l51447,e" filled="f" strokeweight=".21553mm">
                  <v:path arrowok="t"/>
                </v:shape>
                <v:shape id="Graphic 1529" o:spid="_x0000_s1028" style="position:absolute;left:32310;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" path="m44653,l,,,44640r44653,l44653,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87200" behindDoc="0" locked="0" layoutInCell="1" allowOverlap="1" wp14:anchorId="666BF7D5" wp14:editId="2EA63603">
                <wp:simplePos x="0" y="0"/>
                <wp:positionH relativeFrom="page">
                  <wp:posOffset>6541453</wp:posOffset>
                </wp:positionH>
                <wp:positionV relativeFrom="paragraph">
                  <wp:posOffset>-1084771</wp:posOffset>
                </wp:positionV>
                <wp:extent cx="73660" cy="45085"/>
                <wp:effectExtent l="0" t="0" r="0" b="0"/>
                <wp:wrapNone/>
                <wp:docPr id="1530"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45085"/>
                          <a:chOff x="0" y="0"/>
                          <a:chExt cx="73660" cy="45085"/>
                        </a:xfrm>
                      </wpg:grpSpPr>
                      <wps:wsp>
                        <wps:cNvPr id="1531" name="Graphic 1531"/>
                        <wps:cNvSpPr/>
                        <wps:spPr>
                          <a:xfrm>
                            <a:off x="0" y="19141"/>
                            <a:ext cx="64769" cy="1270"/>
                          </a:xfrm>
                          <a:custGeom>
                            <a:avLst/>
                            <a:gdLst/>
                            <a:ahLst/>
                            <a:cxnLst/>
                            <a:rect l="l" t="t" r="r" b="b"/>
                            <a:pathLst>
                              <a:path w="64769">
                                <a:moveTo>
                                  <a:pt x="0" y="0"/>
                                </a:moveTo>
                                <a:lnTo>
                                  <a:pt x="64554" y="0"/>
                                </a:lnTo>
                              </a:path>
                            </a:pathLst>
                          </a:custGeom>
                          <a:ln w="7759">
                            <a:solidFill>
                              <a:srgbClr val="000000"/>
                            </a:solidFill>
                            <a:prstDash val="solid"/>
                          </a:ln>
                        </wps:spPr>
                        <wps:bodyPr wrap="square" lIns="0" tIns="0" rIns="0" bIns="0" rtlCol="0">
                          <a:prstTxWarp prst="textNoShape">
                            <a:avLst/>
                          </a:prstTxWarp>
                          <a:noAutofit/>
                        </wps:bodyPr>
                      </wps:wsp>
                      <wps:wsp>
                        <wps:cNvPr id="1532" name="Graphic 1532"/>
                        <wps:cNvSpPr/>
                        <wps:spPr>
                          <a:xfrm>
                            <a:off x="28624" y="0"/>
                            <a:ext cx="45085" cy="45085"/>
                          </a:xfrm>
                          <a:custGeom>
                            <a:avLst/>
                            <a:gdLst/>
                            <a:ahLst/>
                            <a:cxnLst/>
                            <a:rect l="l" t="t" r="r" b="b"/>
                            <a:pathLst>
                              <a:path w="45085" h="45085">
                                <a:moveTo>
                                  <a:pt x="44640" y="0"/>
                                </a:moveTo>
                                <a:lnTo>
                                  <a:pt x="0" y="0"/>
                                </a:lnTo>
                                <a:lnTo>
                                  <a:pt x="0" y="44640"/>
                                </a:lnTo>
                                <a:lnTo>
                                  <a:pt x="44640" y="44640"/>
                                </a:lnTo>
                                <a:lnTo>
                                  <a:pt x="44640"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7C956D6" id="Group 1530" o:spid="_x0000_s1026" style="position:absolute;margin-left:515.1pt;margin-top:-85.4pt;width:5.8pt;height:3.55pt;z-index:15987200;mso-wrap-distance-left:0;mso-wrap-distance-right:0;mso-position-horizontal-relative:page" coordsize="7366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">
                <v:shape id="Graphic 1531" o:spid="_x0000_s1027" style="position:absolute;top:19141;width:64769;height:1270;visibility:visible;mso-wrap-style:square;v-text-anchor:top" coordsize="647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" path="m,l64554,e" filled="f" strokeweight=".21553mm">
                  <v:path arrowok="t"/>
                </v:shape>
                <v:shape id="Graphic 1532" o:spid="_x0000_s1028" style="position:absolute;left:28624;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" path="m44640,l,,,44640r44640,l44640,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87712" behindDoc="0" locked="0" layoutInCell="1" allowOverlap="1" wp14:anchorId="0CC46755" wp14:editId="3972CE28">
                <wp:simplePos x="0" y="0"/>
                <wp:positionH relativeFrom="page">
                  <wp:posOffset>6525021</wp:posOffset>
                </wp:positionH>
                <wp:positionV relativeFrom="paragraph">
                  <wp:posOffset>-982739</wp:posOffset>
                </wp:positionV>
                <wp:extent cx="109220" cy="45085"/>
                <wp:effectExtent l="0" t="0" r="0" b="0"/>
                <wp:wrapNone/>
                <wp:docPr id="1533"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20" cy="45085"/>
                          <a:chOff x="0" y="0"/>
                          <a:chExt cx="109220" cy="45085"/>
                        </a:xfrm>
                      </wpg:grpSpPr>
                      <wps:wsp>
                        <wps:cNvPr id="1534" name="Graphic 1534"/>
                        <wps:cNvSpPr/>
                        <wps:spPr>
                          <a:xfrm>
                            <a:off x="0" y="19137"/>
                            <a:ext cx="83820" cy="1270"/>
                          </a:xfrm>
                          <a:custGeom>
                            <a:avLst/>
                            <a:gdLst/>
                            <a:ahLst/>
                            <a:cxnLst/>
                            <a:rect l="l" t="t" r="r" b="b"/>
                            <a:pathLst>
                              <a:path w="83820">
                                <a:moveTo>
                                  <a:pt x="0" y="0"/>
                                </a:moveTo>
                                <a:lnTo>
                                  <a:pt x="83324" y="0"/>
                                </a:lnTo>
                              </a:path>
                            </a:pathLst>
                          </a:custGeom>
                          <a:ln w="7759">
                            <a:solidFill>
                              <a:srgbClr val="000000"/>
                            </a:solidFill>
                            <a:prstDash val="solid"/>
                          </a:ln>
                        </wps:spPr>
                        <wps:bodyPr wrap="square" lIns="0" tIns="0" rIns="0" bIns="0" rtlCol="0">
                          <a:prstTxWarp prst="textNoShape">
                            <a:avLst/>
                          </a:prstTxWarp>
                          <a:noAutofit/>
                        </wps:bodyPr>
                      </wps:wsp>
                      <wps:wsp>
                        <wps:cNvPr id="1535" name="Graphic 1535"/>
                        <wps:cNvSpPr/>
                        <wps:spPr>
                          <a:xfrm>
                            <a:off x="64183" y="0"/>
                            <a:ext cx="45085" cy="45085"/>
                          </a:xfrm>
                          <a:custGeom>
                            <a:avLst/>
                            <a:gdLst/>
                            <a:ahLst/>
                            <a:cxnLst/>
                            <a:rect l="l" t="t" r="r" b="b"/>
                            <a:pathLst>
                              <a:path w="45085" h="45085">
                                <a:moveTo>
                                  <a:pt x="44653" y="0"/>
                                </a:moveTo>
                                <a:lnTo>
                                  <a:pt x="0" y="0"/>
                                </a:lnTo>
                                <a:lnTo>
                                  <a:pt x="0" y="44640"/>
                                </a:lnTo>
                                <a:lnTo>
                                  <a:pt x="44653" y="44640"/>
                                </a:lnTo>
                                <a:lnTo>
                                  <a:pt x="4465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0A88DC9" id="Group 1533" o:spid="_x0000_s1026" style="position:absolute;margin-left:513.8pt;margin-top:-77.4pt;width:8.6pt;height:3.55pt;z-index:15987712;mso-wrap-distance-left:0;mso-wrap-distance-right:0;mso-position-horizontal-relative:page" coordsize="1092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">
                <v:shape id="Graphic 1534" o:spid="_x0000_s1027" style="position:absolute;top:19137;width:83820;height:1270;visibility:visible;mso-wrap-style:square;v-text-anchor:top" coordsize="83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" path="m,l83324,e" filled="f" strokeweight=".21553mm">
                  <v:path arrowok="t"/>
                </v:shape>
                <v:shape id="Graphic 1535" o:spid="_x0000_s1028" style="position:absolute;left:64183;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" path="m44653,l,,,44640r44653,l44653,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88224" behindDoc="0" locked="0" layoutInCell="1" allowOverlap="1" wp14:anchorId="1A6B95E5" wp14:editId="045BAFCC">
                <wp:simplePos x="0" y="0"/>
                <wp:positionH relativeFrom="page">
                  <wp:posOffset>6589204</wp:posOffset>
                </wp:positionH>
                <wp:positionV relativeFrom="paragraph">
                  <wp:posOffset>-880707</wp:posOffset>
                </wp:positionV>
                <wp:extent cx="45085" cy="45085"/>
                <wp:effectExtent l="0" t="0" r="0" b="0"/>
                <wp:wrapNone/>
                <wp:docPr id="1536"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 cy="45085"/>
                          <a:chOff x="0" y="0"/>
                          <a:chExt cx="45085" cy="45085"/>
                        </a:xfrm>
                      </wpg:grpSpPr>
                      <wps:wsp>
                        <wps:cNvPr id="1537" name="Graphic 1537"/>
                        <wps:cNvSpPr/>
                        <wps:spPr>
                          <a:xfrm>
                            <a:off x="1697" y="19140"/>
                            <a:ext cx="17780" cy="1270"/>
                          </a:xfrm>
                          <a:custGeom>
                            <a:avLst/>
                            <a:gdLst/>
                            <a:ahLst/>
                            <a:cxnLst/>
                            <a:rect l="l" t="t" r="r" b="b"/>
                            <a:pathLst>
                              <a:path w="17780">
                                <a:moveTo>
                                  <a:pt x="0" y="0"/>
                                </a:moveTo>
                                <a:lnTo>
                                  <a:pt x="17437" y="0"/>
                                </a:lnTo>
                              </a:path>
                            </a:pathLst>
                          </a:custGeom>
                          <a:ln w="7759">
                            <a:solidFill>
                              <a:srgbClr val="000000"/>
                            </a:solidFill>
                            <a:prstDash val="solid"/>
                          </a:ln>
                        </wps:spPr>
                        <wps:bodyPr wrap="square" lIns="0" tIns="0" rIns="0" bIns="0" rtlCol="0">
                          <a:prstTxWarp prst="textNoShape">
                            <a:avLst/>
                          </a:prstTxWarp>
                          <a:noAutofit/>
                        </wps:bodyPr>
                      </wps:wsp>
                      <wps:wsp>
                        <wps:cNvPr id="1538" name="Graphic 1538"/>
                        <wps:cNvSpPr/>
                        <wps:spPr>
                          <a:xfrm>
                            <a:off x="0" y="0"/>
                            <a:ext cx="45085" cy="45085"/>
                          </a:xfrm>
                          <a:custGeom>
                            <a:avLst/>
                            <a:gdLst/>
                            <a:ahLst/>
                            <a:cxnLst/>
                            <a:rect l="l" t="t" r="r" b="b"/>
                            <a:pathLst>
                              <a:path w="45085" h="45085">
                                <a:moveTo>
                                  <a:pt x="44653" y="0"/>
                                </a:moveTo>
                                <a:lnTo>
                                  <a:pt x="0" y="0"/>
                                </a:lnTo>
                                <a:lnTo>
                                  <a:pt x="0" y="44640"/>
                                </a:lnTo>
                                <a:lnTo>
                                  <a:pt x="44653" y="44640"/>
                                </a:lnTo>
                                <a:lnTo>
                                  <a:pt x="4465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A81CBEC" id="Group 1536" o:spid="_x0000_s1026" style="position:absolute;margin-left:518.85pt;margin-top:-69.35pt;width:3.55pt;height:3.55pt;z-index:15988224;mso-wrap-distance-left:0;mso-wrap-distance-right:0;mso-position-horizontal-relative:pag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">
                <v:shape id="Graphic 1537" o:spid="_x0000_s1027" style="position:absolute;left:1697;top:19140;width:17780;height:1270;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" path="m,l17437,e" filled="f" strokeweight=".21553mm">
                  <v:path arrowok="t"/>
                </v:shape>
                <v:shape id="Graphic 1538" o:spid="_x0000_s1028" style="position:absolute;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" path="m44653,l,,,44640r44653,l44653,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88736" behindDoc="0" locked="0" layoutInCell="1" allowOverlap="1" wp14:anchorId="4F232213" wp14:editId="4C73E1BA">
                <wp:simplePos x="0" y="0"/>
                <wp:positionH relativeFrom="page">
                  <wp:posOffset>6545435</wp:posOffset>
                </wp:positionH>
                <wp:positionV relativeFrom="paragraph">
                  <wp:posOffset>-778675</wp:posOffset>
                </wp:positionV>
                <wp:extent cx="88900" cy="45085"/>
                <wp:effectExtent l="0" t="0" r="0" b="0"/>
                <wp:wrapNone/>
                <wp:docPr id="1539" name="Group 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45085"/>
                          <a:chOff x="0" y="0"/>
                          <a:chExt cx="88900" cy="45085"/>
                        </a:xfrm>
                      </wpg:grpSpPr>
                      <wps:wsp>
                        <wps:cNvPr id="1540" name="Graphic 1540"/>
                        <wps:cNvSpPr/>
                        <wps:spPr>
                          <a:xfrm>
                            <a:off x="0" y="19136"/>
                            <a:ext cx="63500" cy="1270"/>
                          </a:xfrm>
                          <a:custGeom>
                            <a:avLst/>
                            <a:gdLst/>
                            <a:ahLst/>
                            <a:cxnLst/>
                            <a:rect l="l" t="t" r="r" b="b"/>
                            <a:pathLst>
                              <a:path w="63500">
                                <a:moveTo>
                                  <a:pt x="0" y="0"/>
                                </a:moveTo>
                                <a:lnTo>
                                  <a:pt x="62903" y="0"/>
                                </a:lnTo>
                              </a:path>
                            </a:pathLst>
                          </a:custGeom>
                          <a:ln w="7759">
                            <a:solidFill>
                              <a:srgbClr val="000000"/>
                            </a:solidFill>
                            <a:prstDash val="solid"/>
                          </a:ln>
                        </wps:spPr>
                        <wps:bodyPr wrap="square" lIns="0" tIns="0" rIns="0" bIns="0" rtlCol="0">
                          <a:prstTxWarp prst="textNoShape">
                            <a:avLst/>
                          </a:prstTxWarp>
                          <a:noAutofit/>
                        </wps:bodyPr>
                      </wps:wsp>
                      <wps:wsp>
                        <wps:cNvPr id="1541" name="Graphic 1541"/>
                        <wps:cNvSpPr/>
                        <wps:spPr>
                          <a:xfrm>
                            <a:off x="43769" y="0"/>
                            <a:ext cx="45085" cy="45085"/>
                          </a:xfrm>
                          <a:custGeom>
                            <a:avLst/>
                            <a:gdLst/>
                            <a:ahLst/>
                            <a:cxnLst/>
                            <a:rect l="l" t="t" r="r" b="b"/>
                            <a:pathLst>
                              <a:path w="45085" h="45085">
                                <a:moveTo>
                                  <a:pt x="44653" y="0"/>
                                </a:moveTo>
                                <a:lnTo>
                                  <a:pt x="0" y="0"/>
                                </a:lnTo>
                                <a:lnTo>
                                  <a:pt x="0" y="44640"/>
                                </a:lnTo>
                                <a:lnTo>
                                  <a:pt x="44653" y="44640"/>
                                </a:lnTo>
                                <a:lnTo>
                                  <a:pt x="4465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F03E83E" id="Group 1539" o:spid="_x0000_s1026" style="position:absolute;margin-left:515.4pt;margin-top:-61.3pt;width:7pt;height:3.55pt;z-index:15988736;mso-wrap-distance-left:0;mso-wrap-distance-right:0;mso-position-horizontal-relative:page" coordsize="889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">
                <v:shape id="Graphic 1540" o:spid="_x0000_s1027" style="position:absolute;top:19136;width:63500;height:1270;visibility:visible;mso-wrap-style:square;v-text-anchor:top" coordsize="6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" path="m,l62903,e" filled="f" strokeweight=".21553mm">
                  <v:path arrowok="t"/>
                </v:shape>
                <v:shape id="Graphic 1541" o:spid="_x0000_s1028" style="position:absolute;left:43769;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" path="m44653,l,,,44640r44653,l44653,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89248" behindDoc="0" locked="0" layoutInCell="1" allowOverlap="1" wp14:anchorId="33E1D33E" wp14:editId="14A77464">
                <wp:simplePos x="0" y="0"/>
                <wp:positionH relativeFrom="page">
                  <wp:posOffset>6589204</wp:posOffset>
                </wp:positionH>
                <wp:positionV relativeFrom="paragraph">
                  <wp:posOffset>-676644</wp:posOffset>
                </wp:positionV>
                <wp:extent cx="45085" cy="45085"/>
                <wp:effectExtent l="0" t="0" r="0" b="0"/>
                <wp:wrapNone/>
                <wp:docPr id="1542"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 cy="45085"/>
                          <a:chOff x="0" y="0"/>
                          <a:chExt cx="45085" cy="45085"/>
                        </a:xfrm>
                      </wpg:grpSpPr>
                      <wps:wsp>
                        <wps:cNvPr id="1543" name="Graphic 1543"/>
                        <wps:cNvSpPr/>
                        <wps:spPr>
                          <a:xfrm>
                            <a:off x="5492" y="19138"/>
                            <a:ext cx="13970" cy="1270"/>
                          </a:xfrm>
                          <a:custGeom>
                            <a:avLst/>
                            <a:gdLst/>
                            <a:ahLst/>
                            <a:cxnLst/>
                            <a:rect l="l" t="t" r="r" b="b"/>
                            <a:pathLst>
                              <a:path w="13970">
                                <a:moveTo>
                                  <a:pt x="0" y="0"/>
                                </a:moveTo>
                                <a:lnTo>
                                  <a:pt x="13639" y="0"/>
                                </a:lnTo>
                              </a:path>
                            </a:pathLst>
                          </a:custGeom>
                          <a:ln w="7759">
                            <a:solidFill>
                              <a:srgbClr val="000000"/>
                            </a:solidFill>
                            <a:prstDash val="solid"/>
                          </a:ln>
                        </wps:spPr>
                        <wps:bodyPr wrap="square" lIns="0" tIns="0" rIns="0" bIns="0" rtlCol="0">
                          <a:prstTxWarp prst="textNoShape">
                            <a:avLst/>
                          </a:prstTxWarp>
                          <a:noAutofit/>
                        </wps:bodyPr>
                      </wps:wsp>
                      <wps:wsp>
                        <wps:cNvPr id="1544" name="Graphic 1544"/>
                        <wps:cNvSpPr/>
                        <wps:spPr>
                          <a:xfrm>
                            <a:off x="0" y="0"/>
                            <a:ext cx="45085" cy="45085"/>
                          </a:xfrm>
                          <a:custGeom>
                            <a:avLst/>
                            <a:gdLst/>
                            <a:ahLst/>
                            <a:cxnLst/>
                            <a:rect l="l" t="t" r="r" b="b"/>
                            <a:pathLst>
                              <a:path w="45085" h="45085">
                                <a:moveTo>
                                  <a:pt x="44653" y="0"/>
                                </a:moveTo>
                                <a:lnTo>
                                  <a:pt x="0" y="0"/>
                                </a:lnTo>
                                <a:lnTo>
                                  <a:pt x="0" y="44640"/>
                                </a:lnTo>
                                <a:lnTo>
                                  <a:pt x="44653" y="44640"/>
                                </a:lnTo>
                                <a:lnTo>
                                  <a:pt x="4465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10F2DBB" id="Group 1542" o:spid="_x0000_s1026" style="position:absolute;margin-left:518.85pt;margin-top:-53.3pt;width:3.55pt;height:3.55pt;z-index:15989248;mso-wrap-distance-left:0;mso-wrap-distance-right:0;mso-position-horizontal-relative:pag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">
                <v:shape id="Graphic 1543" o:spid="_x0000_s1027" style="position:absolute;left:5492;top:19138;width:13970;height:1270;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" path="m,l13639,e" filled="f" strokeweight=".21553mm">
                  <v:path arrowok="t"/>
                </v:shape>
                <v:shape id="Graphic 1544" o:spid="_x0000_s1028" style="position:absolute;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" path="m44653,l,,,44640r44653,l44653,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89760" behindDoc="0" locked="0" layoutInCell="1" allowOverlap="1" wp14:anchorId="1A2C87A5" wp14:editId="7728CF4E">
                <wp:simplePos x="0" y="0"/>
                <wp:positionH relativeFrom="page">
                  <wp:posOffset>6580881</wp:posOffset>
                </wp:positionH>
                <wp:positionV relativeFrom="paragraph">
                  <wp:posOffset>-574612</wp:posOffset>
                </wp:positionV>
                <wp:extent cx="48260" cy="45085"/>
                <wp:effectExtent l="0" t="0" r="0" b="0"/>
                <wp:wrapNone/>
                <wp:docPr id="1545"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60" cy="45085"/>
                          <a:chOff x="0" y="0"/>
                          <a:chExt cx="48260" cy="45085"/>
                        </a:xfrm>
                      </wpg:grpSpPr>
                      <wps:wsp>
                        <wps:cNvPr id="1546" name="Graphic 1546"/>
                        <wps:cNvSpPr/>
                        <wps:spPr>
                          <a:xfrm>
                            <a:off x="0" y="19136"/>
                            <a:ext cx="27940" cy="1270"/>
                          </a:xfrm>
                          <a:custGeom>
                            <a:avLst/>
                            <a:gdLst/>
                            <a:ahLst/>
                            <a:cxnLst/>
                            <a:rect l="l" t="t" r="r" b="b"/>
                            <a:pathLst>
                              <a:path w="27940">
                                <a:moveTo>
                                  <a:pt x="0" y="0"/>
                                </a:moveTo>
                                <a:lnTo>
                                  <a:pt x="27330" y="0"/>
                                </a:lnTo>
                              </a:path>
                            </a:pathLst>
                          </a:custGeom>
                          <a:ln w="7759">
                            <a:solidFill>
                              <a:srgbClr val="000000"/>
                            </a:solidFill>
                            <a:prstDash val="solid"/>
                          </a:ln>
                        </wps:spPr>
                        <wps:bodyPr wrap="square" lIns="0" tIns="0" rIns="0" bIns="0" rtlCol="0">
                          <a:prstTxWarp prst="textNoShape">
                            <a:avLst/>
                          </a:prstTxWarp>
                          <a:noAutofit/>
                        </wps:bodyPr>
                      </wps:wsp>
                      <wps:wsp>
                        <wps:cNvPr id="1547" name="Graphic 1547"/>
                        <wps:cNvSpPr/>
                        <wps:spPr>
                          <a:xfrm>
                            <a:off x="3319" y="0"/>
                            <a:ext cx="45085" cy="45085"/>
                          </a:xfrm>
                          <a:custGeom>
                            <a:avLst/>
                            <a:gdLst/>
                            <a:ahLst/>
                            <a:cxnLst/>
                            <a:rect l="l" t="t" r="r" b="b"/>
                            <a:pathLst>
                              <a:path w="45085" h="45085">
                                <a:moveTo>
                                  <a:pt x="44653" y="0"/>
                                </a:moveTo>
                                <a:lnTo>
                                  <a:pt x="0" y="0"/>
                                </a:lnTo>
                                <a:lnTo>
                                  <a:pt x="0" y="44640"/>
                                </a:lnTo>
                                <a:lnTo>
                                  <a:pt x="44653" y="44640"/>
                                </a:lnTo>
                                <a:lnTo>
                                  <a:pt x="4465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675CC8C" id="Group 1545" o:spid="_x0000_s1026" style="position:absolute;margin-left:518.2pt;margin-top:-45.25pt;width:3.8pt;height:3.55pt;z-index:15989760;mso-wrap-distance-left:0;mso-wrap-distance-right:0;mso-position-horizontal-relative:page" coordsize="4826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">
                <v:shape id="Graphic 1546" o:spid="_x0000_s1027" style="position:absolute;top:19136;width:27940;height:1270;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" path="m,l27330,e" filled="f" strokeweight=".21553mm">
                  <v:path arrowok="t"/>
                </v:shape>
                <v:shape id="Graphic 1547" o:spid="_x0000_s1028" style="position:absolute;left:3319;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" path="m44653,l,,,44640r44653,l44653,xe" fillcolor="#0000c0" stroked="f">
                  <v:path arrowok="t"/>
                </v:shape>
                <w10:wrap anchorx="page"/>
              </v:group>
            </w:pict>
          </mc:Fallback>
        </mc:AlternateContent>
      </w:r>
      <w:r w:rsidRPr="003C6DAE">
        <w:rPr>
          <w:noProof/>
          <w:sz w:val="16"/>
          <w:szCs w:val="16"/>
          <w:lang w:val="uk-UA"/>
        </w:rPr>
        <mc:AlternateContent>
          <mc:Choice Requires="wpg">
            <w:drawing>
              <wp:anchor distT="0" distB="0" distL="0" distR="0" simplePos="0" relativeHeight="15990272" behindDoc="0" locked="0" layoutInCell="1" allowOverlap="1" wp14:anchorId="2E9DCEDA" wp14:editId="73A5DF44">
                <wp:simplePos x="0" y="0"/>
                <wp:positionH relativeFrom="page">
                  <wp:posOffset>6459065</wp:posOffset>
                </wp:positionH>
                <wp:positionV relativeFrom="paragraph">
                  <wp:posOffset>-472580</wp:posOffset>
                </wp:positionV>
                <wp:extent cx="175260" cy="45085"/>
                <wp:effectExtent l="0" t="0" r="0" b="0"/>
                <wp:wrapNone/>
                <wp:docPr id="1548" name="Group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 cy="45085"/>
                          <a:chOff x="0" y="0"/>
                          <a:chExt cx="175260" cy="45085"/>
                        </a:xfrm>
                      </wpg:grpSpPr>
                      <wps:wsp>
                        <wps:cNvPr id="1549" name="Graphic 1549"/>
                        <wps:cNvSpPr/>
                        <wps:spPr>
                          <a:xfrm>
                            <a:off x="0" y="19138"/>
                            <a:ext cx="149860" cy="1270"/>
                          </a:xfrm>
                          <a:custGeom>
                            <a:avLst/>
                            <a:gdLst/>
                            <a:ahLst/>
                            <a:cxnLst/>
                            <a:rect l="l" t="t" r="r" b="b"/>
                            <a:pathLst>
                              <a:path w="149860">
                                <a:moveTo>
                                  <a:pt x="0" y="0"/>
                                </a:moveTo>
                                <a:lnTo>
                                  <a:pt x="149275" y="0"/>
                                </a:lnTo>
                              </a:path>
                            </a:pathLst>
                          </a:custGeom>
                          <a:ln w="7759">
                            <a:solidFill>
                              <a:srgbClr val="000000"/>
                            </a:solidFill>
                            <a:prstDash val="solid"/>
                          </a:ln>
                        </wps:spPr>
                        <wps:bodyPr wrap="square" lIns="0" tIns="0" rIns="0" bIns="0" rtlCol="0">
                          <a:prstTxWarp prst="textNoShape">
                            <a:avLst/>
                          </a:prstTxWarp>
                          <a:noAutofit/>
                        </wps:bodyPr>
                      </wps:wsp>
                      <wps:wsp>
                        <wps:cNvPr id="1550" name="Graphic 1550"/>
                        <wps:cNvSpPr/>
                        <wps:spPr>
                          <a:xfrm>
                            <a:off x="130139" y="0"/>
                            <a:ext cx="45085" cy="45085"/>
                          </a:xfrm>
                          <a:custGeom>
                            <a:avLst/>
                            <a:gdLst/>
                            <a:ahLst/>
                            <a:cxnLst/>
                            <a:rect l="l" t="t" r="r" b="b"/>
                            <a:pathLst>
                              <a:path w="45085" h="45085">
                                <a:moveTo>
                                  <a:pt x="44653" y="0"/>
                                </a:moveTo>
                                <a:lnTo>
                                  <a:pt x="0" y="0"/>
                                </a:lnTo>
                                <a:lnTo>
                                  <a:pt x="0" y="44640"/>
                                </a:lnTo>
                                <a:lnTo>
                                  <a:pt x="44653" y="44640"/>
                                </a:lnTo>
                                <a:lnTo>
                                  <a:pt x="4465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C579D82" id="Group 1548" o:spid="_x0000_s1026" style="position:absolute;margin-left:508.6pt;margin-top:-37.2pt;width:13.8pt;height:3.55pt;z-index:15990272;mso-wrap-distance-left:0;mso-wrap-distance-right:0;mso-position-horizontal-relative:page" coordsize="17526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">
                <v:shape id="Graphic 1549" o:spid="_x0000_s1027" style="position:absolute;top:19138;width:149860;height:1270;visibility:visible;mso-wrap-style:square;v-text-anchor:top" coordsize="149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" path="m,l149275,e" filled="f" strokeweight=".21553mm">
                  <v:path arrowok="t"/>
                </v:shape>
                <v:shape id="Graphic 1550" o:spid="_x0000_s1028" style="position:absolute;left:130139;width:45085;height:45085;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" path="m44653,l,,,44640r44653,l44653,xe" fillcolor="#0000c0" stroked="f">
                  <v:path arrowok="t"/>
                </v:shape>
                <w10:wrap anchorx="page"/>
              </v:group>
            </w:pict>
          </mc:Fallback>
        </mc:AlternateContent>
      </w:r>
      <w:r w:rsidR="00852333" w:rsidRPr="003C6DAE">
        <w:rPr>
          <w:sz w:val="16"/>
          <w:szCs w:val="16"/>
          <w:lang w:val="uk-UA"/>
        </w:rPr>
        <w:t>ДІ: довірчий інтервал; ТМЧ: тест на медикаментозну чутливість; FN: хибнонегативний результат; FP: хибнопозитивний результат; RIF: рифампіцин; ТБ: туберкульоз; TN: істинно негативний результат; TP: істинно позитивний результат</w:t>
      </w:r>
      <w:r w:rsidRPr="003C6DAE">
        <w:rPr>
          <w:sz w:val="18"/>
          <w:lang w:val="uk-UA"/>
        </w:rPr>
        <w:t>.</w:t>
      </w:r>
    </w:p>
    <w:p w14:paraId="452345A2" w14:textId="77777777" w:rsidR="00E05B98" w:rsidRPr="003C6DAE" w:rsidRDefault="00E05B98">
      <w:pPr>
        <w:pStyle w:val="a3"/>
        <w:spacing w:before="137"/>
        <w:rPr>
          <w:sz w:val="18"/>
          <w:lang w:val="uk-UA"/>
        </w:rPr>
      </w:pPr>
    </w:p>
    <w:p w14:paraId="24CADC3D" w14:textId="5AF06DA3" w:rsidR="00852333" w:rsidRPr="003C6DAE" w:rsidRDefault="00852333" w:rsidP="00103A54">
      <w:pPr>
        <w:pStyle w:val="9"/>
        <w:spacing w:line="269" w:lineRule="auto"/>
        <w:jc w:val="both"/>
        <w:rPr>
          <w:sz w:val="20"/>
          <w:szCs w:val="20"/>
          <w:lang w:val="uk-UA"/>
        </w:rPr>
      </w:pPr>
      <w:r w:rsidRPr="003C6DAE">
        <w:rPr>
          <w:rFonts w:ascii="Microsoft Sans Serif" w:eastAsia="Microsoft Sans Serif" w:hAnsi="Microsoft Sans Serif" w:cs="Microsoft Sans Serif"/>
          <w:b w:val="0"/>
          <w:bCs w:val="0"/>
          <w:sz w:val="20"/>
          <w:szCs w:val="20"/>
          <w:lang w:val="uk-UA"/>
        </w:rPr>
        <w:t xml:space="preserve">Загальна чутливість тесту на визначення стійкості до ізоніазиду в цих 18 дослідженнях становила від 58% до 100%, а специфічність - від 94% до 100%. </w:t>
      </w:r>
      <w:r w:rsidRPr="003C6DAE">
        <w:rPr>
          <w:rFonts w:ascii="Microsoft Sans Serif" w:eastAsia="Microsoft Sans Serif" w:hAnsi="Microsoft Sans Serif" w:cs="Microsoft Sans Serif"/>
          <w:sz w:val="20"/>
          <w:szCs w:val="20"/>
          <w:lang w:val="uk-UA"/>
        </w:rPr>
        <w:t>Об'єднана чутливість становила 86,4% (95% ДІ: 82,1-89,8%), а об'єднана специфічність - 99,8% (95% ДІ: 98,3-99,8%).</w:t>
      </w:r>
    </w:p>
    <w:p w14:paraId="26CC5659" w14:textId="27818E97" w:rsidR="00E05B98" w:rsidRPr="003C6DAE" w:rsidRDefault="00103A54" w:rsidP="00103A54">
      <w:pPr>
        <w:pStyle w:val="a3"/>
        <w:spacing w:before="231" w:line="269" w:lineRule="auto"/>
        <w:ind w:left="567"/>
        <w:jc w:val="both"/>
        <w:rPr>
          <w:sz w:val="20"/>
          <w:szCs w:val="20"/>
          <w:lang w:val="uk-UA"/>
        </w:rPr>
      </w:pPr>
      <w:r w:rsidRPr="003C6DAE">
        <w:rPr>
          <w:sz w:val="20"/>
          <w:szCs w:val="20"/>
          <w:lang w:val="uk-UA"/>
        </w:rPr>
        <w:t>При визначенні стійкості до ізоніазиду, де це було можливо, були отримані результати генетичного секвенування (генотипічна ТМЧ), а також було розроблено комбінований еталонний стандарт, який об'єднував результати фенотипічної та генотипічної ТМЧ. Для виявлення стійкості до ізоніазиду діагностична точність фенотипічного ТМЧ була аналогічна точності при використанні комбінованого еталонного стандарту</w:t>
      </w:r>
      <w:r w:rsidR="00B01E0C" w:rsidRPr="003C6DAE">
        <w:rPr>
          <w:sz w:val="20"/>
          <w:szCs w:val="20"/>
          <w:lang w:val="uk-UA"/>
        </w:rPr>
        <w:t>.</w:t>
      </w:r>
    </w:p>
    <w:p w14:paraId="08195646" w14:textId="5E3F6A38" w:rsidR="00E05B98" w:rsidRPr="003C6DAE" w:rsidRDefault="00103A54" w:rsidP="00852333">
      <w:pPr>
        <w:pStyle w:val="5"/>
        <w:spacing w:before="202" w:line="269" w:lineRule="auto"/>
        <w:rPr>
          <w:sz w:val="24"/>
          <w:szCs w:val="24"/>
          <w:lang w:val="uk-UA"/>
        </w:rPr>
      </w:pPr>
      <w:r w:rsidRPr="003C6DAE">
        <w:rPr>
          <w:color w:val="019648"/>
          <w:w w:val="105"/>
          <w:sz w:val="24"/>
          <w:szCs w:val="24"/>
          <w:lang w:val="uk-UA"/>
        </w:rPr>
        <w:t xml:space="preserve">Аналіз ефективності </w:t>
      </w:r>
      <w:r w:rsidR="007A356A">
        <w:rPr>
          <w:color w:val="019648"/>
          <w:w w:val="105"/>
          <w:sz w:val="24"/>
          <w:szCs w:val="24"/>
          <w:lang w:val="uk-UA"/>
        </w:rPr>
        <w:t>ви</w:t>
      </w:r>
      <w:r w:rsidRPr="003C6DAE">
        <w:rPr>
          <w:color w:val="019648"/>
          <w:w w:val="105"/>
          <w:sz w:val="24"/>
          <w:szCs w:val="24"/>
          <w:lang w:val="uk-UA"/>
        </w:rPr>
        <w:t>тр</w:t>
      </w:r>
      <w:r w:rsidR="00F7148C">
        <w:rPr>
          <w:color w:val="019648"/>
          <w:w w:val="105"/>
          <w:sz w:val="24"/>
          <w:szCs w:val="24"/>
          <w:lang w:val="uk-UA"/>
        </w:rPr>
        <w:t>а</w:t>
      </w:r>
      <w:r w:rsidRPr="003C6DAE">
        <w:rPr>
          <w:color w:val="019648"/>
          <w:w w:val="105"/>
          <w:sz w:val="24"/>
          <w:szCs w:val="24"/>
          <w:lang w:val="uk-UA"/>
        </w:rPr>
        <w:t>т</w:t>
      </w:r>
    </w:p>
    <w:p w14:paraId="4F0F68E9" w14:textId="40AAFD23" w:rsidR="00E05B98" w:rsidRPr="003C6DAE" w:rsidRDefault="00103A54" w:rsidP="00852333">
      <w:pPr>
        <w:pStyle w:val="a3"/>
        <w:spacing w:before="219" w:line="269" w:lineRule="auto"/>
        <w:ind w:left="567"/>
        <w:jc w:val="both"/>
        <w:rPr>
          <w:sz w:val="20"/>
          <w:szCs w:val="20"/>
          <w:lang w:val="uk-UA"/>
        </w:rPr>
      </w:pPr>
      <w:r w:rsidRPr="003C6DAE">
        <w:rPr>
          <w:sz w:val="20"/>
          <w:szCs w:val="20"/>
          <w:lang w:val="uk-UA"/>
        </w:rPr>
        <w:t>Цей розділ відповідає на таке додаткове запитання:</w:t>
      </w:r>
    </w:p>
    <w:p w14:paraId="1D38964D" w14:textId="25AD4FCB" w:rsidR="00E05B98" w:rsidRPr="003C6DAE" w:rsidRDefault="00103A54" w:rsidP="00852333">
      <w:pPr>
        <w:pStyle w:val="9"/>
        <w:spacing w:before="227" w:line="269" w:lineRule="auto"/>
        <w:rPr>
          <w:rFonts w:ascii="Microsoft Sans Serif" w:hAnsi="Microsoft Sans Serif" w:cs="Microsoft Sans Serif"/>
          <w:sz w:val="20"/>
          <w:szCs w:val="20"/>
          <w:lang w:val="uk-UA"/>
        </w:rPr>
      </w:pPr>
      <w:r w:rsidRPr="003C6DAE">
        <w:rPr>
          <w:rFonts w:ascii="Microsoft Sans Serif" w:hAnsi="Microsoft Sans Serif" w:cs="Microsoft Sans Serif"/>
          <w:sz w:val="20"/>
          <w:szCs w:val="20"/>
          <w:lang w:val="uk-UA"/>
        </w:rPr>
        <w:t>Якою є порівняльна вартість, доступність та економічна ефективність впровадження автоматизованих ТАНК помірної складності?</w:t>
      </w:r>
    </w:p>
    <w:p w14:paraId="1EEAD1C8" w14:textId="77777777" w:rsidR="00E05B98" w:rsidRPr="003C6DAE" w:rsidRDefault="00E05B98" w:rsidP="00852333">
      <w:pPr>
        <w:pStyle w:val="9"/>
        <w:spacing w:line="269" w:lineRule="auto"/>
        <w:rPr>
          <w:rFonts w:ascii="Microsoft Sans Serif" w:hAnsi="Microsoft Sans Serif" w:cs="Microsoft Sans Serif"/>
          <w:sz w:val="20"/>
          <w:szCs w:val="20"/>
          <w:lang w:val="uk-UA"/>
        </w:rPr>
        <w:sectPr w:rsidR="00E05B98" w:rsidRPr="003C6DAE" w:rsidSect="00103A54">
          <w:pgSz w:w="11910" w:h="16840"/>
          <w:pgMar w:top="1320" w:right="995" w:bottom="760" w:left="850" w:header="0" w:footer="573" w:gutter="0"/>
          <w:cols w:space="720"/>
        </w:sectPr>
      </w:pPr>
    </w:p>
    <w:p w14:paraId="317E95E9" w14:textId="7F2BB539" w:rsidR="00E05B98" w:rsidRPr="003C6DAE" w:rsidRDefault="00373835" w:rsidP="00852333">
      <w:pPr>
        <w:pStyle w:val="a3"/>
        <w:spacing w:before="52" w:line="269" w:lineRule="auto"/>
        <w:ind w:left="567" w:right="133"/>
        <w:jc w:val="both"/>
        <w:rPr>
          <w:sz w:val="20"/>
          <w:szCs w:val="20"/>
          <w:lang w:val="uk-UA"/>
        </w:rPr>
      </w:pPr>
      <w:r w:rsidRPr="003C6DAE">
        <w:rPr>
          <w:sz w:val="20"/>
          <w:szCs w:val="20"/>
          <w:lang w:val="uk-UA"/>
        </w:rPr>
        <w:lastRenderedPageBreak/>
        <w:t>Було проведено систематичний огляд, зосереджений на економічних оцінках автоматизованих ТАНК помірної складності. У чотирьох онлайн-базах даних (Embase, Medline, Web of Science та Scopus) було проведено пошук нових досліджень, опублікованих у період з 1 січня 2010 року по 17 вересня 2020 року. Цитування всіх статей, настанов та оглядів, що відповідали критеріям включення, було проаналізовано для пошуку додаткових досліджень. Також провели опитування експертів та виробників тестів для виявлення будь-яких додаткових неопублікованих досліджень</w:t>
      </w:r>
      <w:r w:rsidR="00B01E0C" w:rsidRPr="003C6DAE">
        <w:rPr>
          <w:sz w:val="20"/>
          <w:szCs w:val="20"/>
          <w:lang w:val="uk-UA"/>
        </w:rPr>
        <w:t>.</w:t>
      </w:r>
    </w:p>
    <w:p w14:paraId="1B9CA7B4" w14:textId="721737B6" w:rsidR="00373835" w:rsidRPr="003C6DAE" w:rsidRDefault="00373835" w:rsidP="00373835">
      <w:pPr>
        <w:pStyle w:val="a3"/>
        <w:spacing w:before="172" w:line="269" w:lineRule="auto"/>
        <w:ind w:left="567" w:right="140"/>
        <w:jc w:val="both"/>
        <w:rPr>
          <w:spacing w:val="-4"/>
          <w:sz w:val="20"/>
          <w:szCs w:val="20"/>
          <w:lang w:val="uk-UA"/>
        </w:rPr>
      </w:pPr>
      <w:r w:rsidRPr="003C6DAE">
        <w:rPr>
          <w:spacing w:val="-4"/>
          <w:sz w:val="20"/>
          <w:szCs w:val="20"/>
          <w:lang w:val="uk-UA"/>
        </w:rPr>
        <w:t xml:space="preserve">Метою огляду було узагальнення поточних економічних даних і подальше розуміння вартості, ефективності </w:t>
      </w:r>
      <w:r w:rsidR="00236B13">
        <w:rPr>
          <w:spacing w:val="-4"/>
          <w:sz w:val="20"/>
          <w:szCs w:val="20"/>
          <w:lang w:val="uk-UA"/>
        </w:rPr>
        <w:t xml:space="preserve">витрат </w:t>
      </w:r>
      <w:r w:rsidRPr="003C6DAE">
        <w:rPr>
          <w:spacing w:val="-4"/>
          <w:sz w:val="20"/>
          <w:szCs w:val="20"/>
          <w:lang w:val="uk-UA"/>
        </w:rPr>
        <w:t>і доступн</w:t>
      </w:r>
      <w:r w:rsidR="00F7148C">
        <w:rPr>
          <w:spacing w:val="-4"/>
          <w:sz w:val="20"/>
          <w:szCs w:val="20"/>
          <w:lang w:val="uk-UA"/>
        </w:rPr>
        <w:t>ості</w:t>
      </w:r>
      <w:r w:rsidRPr="003C6DAE">
        <w:rPr>
          <w:spacing w:val="-4"/>
          <w:sz w:val="20"/>
          <w:szCs w:val="20"/>
          <w:lang w:val="uk-UA"/>
        </w:rPr>
        <w:t xml:space="preserve"> автоматизованих ТАНК помірної складності.</w:t>
      </w:r>
    </w:p>
    <w:p w14:paraId="0DD31946" w14:textId="1FD19D74" w:rsidR="00E05B98" w:rsidRPr="003C6DAE" w:rsidRDefault="00373835" w:rsidP="00373835">
      <w:pPr>
        <w:pStyle w:val="a3"/>
        <w:spacing w:before="172" w:line="269" w:lineRule="auto"/>
        <w:ind w:left="567" w:right="140"/>
        <w:jc w:val="both"/>
        <w:rPr>
          <w:sz w:val="20"/>
          <w:szCs w:val="20"/>
          <w:lang w:val="uk-UA"/>
        </w:rPr>
      </w:pPr>
      <w:r w:rsidRPr="003C6DAE">
        <w:rPr>
          <w:spacing w:val="-4"/>
          <w:sz w:val="20"/>
          <w:szCs w:val="20"/>
          <w:lang w:val="uk-UA"/>
        </w:rPr>
        <w:t xml:space="preserve">Кілька комерційно доступних </w:t>
      </w:r>
      <w:r w:rsidR="00236B13">
        <w:rPr>
          <w:spacing w:val="-4"/>
          <w:sz w:val="20"/>
          <w:szCs w:val="20"/>
          <w:lang w:val="uk-UA"/>
        </w:rPr>
        <w:t xml:space="preserve">на ринку </w:t>
      </w:r>
      <w:r w:rsidRPr="003C6DAE">
        <w:rPr>
          <w:spacing w:val="-4"/>
          <w:sz w:val="20"/>
          <w:szCs w:val="20"/>
          <w:lang w:val="uk-UA"/>
        </w:rPr>
        <w:t xml:space="preserve">тестів були включені в якості прийнятних тестів до категорії автоматизованих ТАНК помірної складності; однак не було виявлено жодних опублікованих досліджень, які б оцінювали вартість або ефективність </w:t>
      </w:r>
      <w:r w:rsidR="0000617E">
        <w:rPr>
          <w:spacing w:val="-4"/>
          <w:sz w:val="20"/>
          <w:szCs w:val="20"/>
          <w:lang w:val="uk-UA"/>
        </w:rPr>
        <w:t>витрат</w:t>
      </w:r>
      <w:r w:rsidR="00236B13">
        <w:rPr>
          <w:spacing w:val="-4"/>
          <w:sz w:val="20"/>
          <w:szCs w:val="20"/>
          <w:lang w:val="uk-UA"/>
        </w:rPr>
        <w:t xml:space="preserve"> </w:t>
      </w:r>
      <w:r w:rsidRPr="003C6DAE">
        <w:rPr>
          <w:spacing w:val="-4"/>
          <w:sz w:val="20"/>
          <w:szCs w:val="20"/>
          <w:lang w:val="uk-UA"/>
        </w:rPr>
        <w:t>будь-якого з цих тестів. Було виявлено одне неопубліковане дослідження, в якому  порівн</w:t>
      </w:r>
      <w:r w:rsidR="00F7148C">
        <w:rPr>
          <w:spacing w:val="-4"/>
          <w:sz w:val="20"/>
          <w:szCs w:val="20"/>
          <w:lang w:val="uk-UA"/>
        </w:rPr>
        <w:t>ювали</w:t>
      </w:r>
      <w:r w:rsidRPr="003C6DAE">
        <w:rPr>
          <w:spacing w:val="-4"/>
          <w:sz w:val="20"/>
          <w:szCs w:val="20"/>
          <w:lang w:val="uk-UA"/>
        </w:rPr>
        <w:t xml:space="preserve"> наявн</w:t>
      </w:r>
      <w:r w:rsidR="00F7148C">
        <w:rPr>
          <w:spacing w:val="-4"/>
          <w:sz w:val="20"/>
          <w:szCs w:val="20"/>
          <w:lang w:val="uk-UA"/>
        </w:rPr>
        <w:t>і</w:t>
      </w:r>
      <w:r w:rsidRPr="003C6DAE">
        <w:rPr>
          <w:spacing w:val="-4"/>
          <w:sz w:val="20"/>
          <w:szCs w:val="20"/>
          <w:lang w:val="uk-UA"/>
        </w:rPr>
        <w:t xml:space="preserve"> дан</w:t>
      </w:r>
      <w:r w:rsidR="00F7148C">
        <w:rPr>
          <w:spacing w:val="-4"/>
          <w:sz w:val="20"/>
          <w:szCs w:val="20"/>
          <w:lang w:val="uk-UA"/>
        </w:rPr>
        <w:t>і</w:t>
      </w:r>
      <w:r w:rsidRPr="003C6DAE">
        <w:rPr>
          <w:spacing w:val="-4"/>
          <w:sz w:val="20"/>
          <w:szCs w:val="20"/>
          <w:lang w:val="uk-UA"/>
        </w:rPr>
        <w:t xml:space="preserve"> про дв</w:t>
      </w:r>
      <w:r w:rsidR="00F7148C">
        <w:rPr>
          <w:spacing w:val="-4"/>
          <w:sz w:val="20"/>
          <w:szCs w:val="20"/>
          <w:lang w:val="uk-UA"/>
        </w:rPr>
        <w:t>а методи</w:t>
      </w:r>
      <w:r w:rsidRPr="003C6DAE">
        <w:rPr>
          <w:spacing w:val="-4"/>
          <w:sz w:val="20"/>
          <w:szCs w:val="20"/>
          <w:lang w:val="uk-UA"/>
        </w:rPr>
        <w:t xml:space="preserve"> з класу автоматизованих ТАНК  помірної складності, і опис даних цього дослідження представлено нижче.</w:t>
      </w:r>
    </w:p>
    <w:p w14:paraId="767D508B" w14:textId="4CA779D2" w:rsidR="00E05B98" w:rsidRPr="003C6DAE" w:rsidRDefault="003568F4" w:rsidP="00852333">
      <w:pPr>
        <w:pStyle w:val="a3"/>
        <w:spacing w:before="177" w:line="269" w:lineRule="auto"/>
        <w:ind w:left="567" w:right="135"/>
        <w:jc w:val="both"/>
        <w:rPr>
          <w:sz w:val="20"/>
          <w:szCs w:val="20"/>
          <w:lang w:val="uk-UA"/>
        </w:rPr>
      </w:pPr>
      <w:r w:rsidRPr="003C6DAE">
        <w:rPr>
          <w:sz w:val="20"/>
          <w:szCs w:val="20"/>
          <w:lang w:val="uk-UA"/>
        </w:rPr>
        <w:t>Неопубліковані дані з FIND були надані шляхом прямої комунікації. У цьому дослідженні, присвяченому виключно оцінці витрат, використовували дослідження часу і руху в поєднанні з підходом «</w:t>
      </w:r>
      <w:r w:rsidR="00F7148C">
        <w:rPr>
          <w:sz w:val="20"/>
          <w:szCs w:val="20"/>
          <w:lang w:val="uk-UA"/>
        </w:rPr>
        <w:t>з</w:t>
      </w:r>
      <w:r w:rsidRPr="003C6DAE">
        <w:rPr>
          <w:sz w:val="20"/>
          <w:szCs w:val="20"/>
          <w:lang w:val="uk-UA"/>
        </w:rPr>
        <w:t xml:space="preserve">низу </w:t>
      </w:r>
      <w:r w:rsidR="00F7148C">
        <w:rPr>
          <w:sz w:val="20"/>
          <w:szCs w:val="20"/>
          <w:lang w:val="uk-UA"/>
        </w:rPr>
        <w:t xml:space="preserve">- </w:t>
      </w:r>
      <w:r w:rsidRPr="003C6DAE">
        <w:rPr>
          <w:sz w:val="20"/>
          <w:szCs w:val="20"/>
          <w:lang w:val="uk-UA"/>
        </w:rPr>
        <w:t xml:space="preserve">вгору», що </w:t>
      </w:r>
      <w:r w:rsidR="0000617E" w:rsidRPr="003C6DAE">
        <w:rPr>
          <w:sz w:val="20"/>
          <w:szCs w:val="20"/>
          <w:lang w:val="uk-UA"/>
        </w:rPr>
        <w:t>ґрунтувався</w:t>
      </w:r>
      <w:r w:rsidRPr="003C6DAE">
        <w:rPr>
          <w:sz w:val="20"/>
          <w:szCs w:val="20"/>
          <w:lang w:val="uk-UA"/>
        </w:rPr>
        <w:t xml:space="preserve"> на інгредієнтах, для оцінки вартості одиниці тесту для двох обраних технологій.</w:t>
      </w:r>
      <w:r w:rsidR="00B01E0C" w:rsidRPr="003C6DAE">
        <w:rPr>
          <w:sz w:val="20"/>
          <w:szCs w:val="20"/>
          <w:vertAlign w:val="superscript"/>
          <w:lang w:val="uk-UA"/>
        </w:rPr>
        <w:t>9</w:t>
      </w:r>
      <w:r w:rsidR="00B01E0C" w:rsidRPr="003C6DAE">
        <w:rPr>
          <w:sz w:val="20"/>
          <w:szCs w:val="20"/>
          <w:lang w:val="uk-UA"/>
        </w:rPr>
        <w:t xml:space="preserve"> </w:t>
      </w:r>
      <w:r w:rsidRPr="003C6DAE">
        <w:rPr>
          <w:sz w:val="20"/>
          <w:szCs w:val="20"/>
          <w:lang w:val="uk-UA"/>
        </w:rPr>
        <w:t>Дослідження часу та руху були проведені в референс-лабораторії в Південній Африці. Було зроблено кілька важливих спрощуючих припущень, які можуть обмежити узагальнення результатів; наприклад, 50% лабораторних операцій присвячено ТБ, мінімальна добова пропускна здатність становила  24 зразки або еквівалент одного запуску BD MAX (24 тести/запуск), вартість обладнання фіксована на рівні 100 000 доларів США для обох платформ, щорічні витрати на технічне обслуговування становили 5%, стандартна дисконтна ставка - 3%, а очікуваний термін експлуатації - 10 років.</w:t>
      </w:r>
    </w:p>
    <w:p w14:paraId="4087D497" w14:textId="60143EEF" w:rsidR="00E05B98" w:rsidRPr="003C6DAE" w:rsidRDefault="00807F48" w:rsidP="00852333">
      <w:pPr>
        <w:pStyle w:val="a3"/>
        <w:spacing w:before="181" w:line="269" w:lineRule="auto"/>
        <w:ind w:left="567" w:right="135"/>
        <w:jc w:val="both"/>
        <w:rPr>
          <w:sz w:val="20"/>
          <w:szCs w:val="20"/>
          <w:lang w:val="uk-UA"/>
        </w:rPr>
      </w:pPr>
      <w:r w:rsidRPr="003C6DAE">
        <w:rPr>
          <w:sz w:val="20"/>
          <w:szCs w:val="20"/>
          <w:lang w:val="uk-UA"/>
        </w:rPr>
        <w:t>Додатков</w:t>
      </w:r>
      <w:r w:rsidR="00282C07">
        <w:rPr>
          <w:sz w:val="20"/>
          <w:szCs w:val="20"/>
          <w:lang w:val="uk-UA"/>
        </w:rPr>
        <w:t>і</w:t>
      </w:r>
      <w:r w:rsidRPr="003C6DAE">
        <w:rPr>
          <w:sz w:val="20"/>
          <w:szCs w:val="20"/>
          <w:lang w:val="uk-UA"/>
        </w:rPr>
        <w:t xml:space="preserve"> </w:t>
      </w:r>
      <w:r w:rsidR="00282C07">
        <w:rPr>
          <w:sz w:val="20"/>
          <w:szCs w:val="20"/>
          <w:lang w:val="uk-UA"/>
        </w:rPr>
        <w:t>аналітичні огляди</w:t>
      </w:r>
      <w:r w:rsidRPr="003C6DAE">
        <w:rPr>
          <w:sz w:val="20"/>
          <w:szCs w:val="20"/>
          <w:lang w:val="uk-UA"/>
        </w:rPr>
        <w:t xml:space="preserve"> літератури, проведен</w:t>
      </w:r>
      <w:r w:rsidR="00282C07">
        <w:rPr>
          <w:sz w:val="20"/>
          <w:szCs w:val="20"/>
          <w:lang w:val="uk-UA"/>
        </w:rPr>
        <w:t>і</w:t>
      </w:r>
      <w:r w:rsidRPr="003C6DAE">
        <w:rPr>
          <w:sz w:val="20"/>
          <w:szCs w:val="20"/>
          <w:lang w:val="uk-UA"/>
        </w:rPr>
        <w:t xml:space="preserve"> </w:t>
      </w:r>
      <w:r w:rsidR="00282C07">
        <w:rPr>
          <w:sz w:val="20"/>
          <w:szCs w:val="20"/>
          <w:lang w:val="uk-UA"/>
        </w:rPr>
        <w:t>з метою пошуку</w:t>
      </w:r>
      <w:r w:rsidRPr="003C6DAE">
        <w:rPr>
          <w:sz w:val="20"/>
          <w:szCs w:val="20"/>
          <w:lang w:val="uk-UA"/>
        </w:rPr>
        <w:t xml:space="preserve"> економічних даних з використанням подібних платформ у сферах, не пов’язаних із туберкульозом, виявив три додаткові дослідження щодо ВІЛ та вірусу гепатиту С (ВГС) з обмеженими даними про вартість: одне (</w:t>
      </w:r>
      <w:r w:rsidRPr="003C6DAE">
        <w:rPr>
          <w:i/>
          <w:iCs/>
          <w:sz w:val="20"/>
          <w:szCs w:val="20"/>
          <w:lang w:val="uk-UA"/>
        </w:rPr>
        <w:t>5</w:t>
      </w:r>
      <w:r w:rsidRPr="003C6DAE">
        <w:rPr>
          <w:sz w:val="20"/>
          <w:szCs w:val="20"/>
          <w:lang w:val="uk-UA"/>
        </w:rPr>
        <w:t xml:space="preserve">) з використанням Abbott RealTime </w:t>
      </w:r>
      <w:r w:rsidR="00282C07">
        <w:rPr>
          <w:sz w:val="20"/>
          <w:szCs w:val="20"/>
          <w:lang w:val="uk-UA"/>
        </w:rPr>
        <w:t>стосовно ВІЛ</w:t>
      </w:r>
      <w:r w:rsidRPr="003C6DAE">
        <w:rPr>
          <w:sz w:val="20"/>
          <w:szCs w:val="20"/>
          <w:lang w:val="uk-UA"/>
        </w:rPr>
        <w:t xml:space="preserve"> і два </w:t>
      </w:r>
      <w:r w:rsidR="00282C07">
        <w:rPr>
          <w:sz w:val="20"/>
          <w:szCs w:val="20"/>
          <w:lang w:val="uk-UA"/>
        </w:rPr>
        <w:t>стосовно</w:t>
      </w:r>
      <w:r w:rsidRPr="003C6DAE">
        <w:rPr>
          <w:sz w:val="20"/>
          <w:szCs w:val="20"/>
          <w:lang w:val="uk-UA"/>
        </w:rPr>
        <w:t xml:space="preserve"> ВГС (</w:t>
      </w:r>
      <w:r w:rsidRPr="003C6DAE">
        <w:rPr>
          <w:i/>
          <w:iCs/>
          <w:sz w:val="20"/>
          <w:szCs w:val="20"/>
          <w:lang w:val="uk-UA"/>
        </w:rPr>
        <w:t>6,7</w:t>
      </w:r>
      <w:r w:rsidRPr="003C6DAE">
        <w:rPr>
          <w:sz w:val="20"/>
          <w:szCs w:val="20"/>
          <w:lang w:val="uk-UA"/>
        </w:rPr>
        <w:t xml:space="preserve">). Дані були обмежені вартістю за одиницю набору для тестування та не підлягали перенесенню на вартість </w:t>
      </w:r>
      <w:r w:rsidR="00282C07">
        <w:rPr>
          <w:sz w:val="20"/>
          <w:szCs w:val="20"/>
          <w:lang w:val="uk-UA"/>
        </w:rPr>
        <w:t xml:space="preserve">тестового </w:t>
      </w:r>
      <w:r w:rsidRPr="003C6DAE">
        <w:rPr>
          <w:sz w:val="20"/>
          <w:szCs w:val="20"/>
          <w:lang w:val="uk-UA"/>
        </w:rPr>
        <w:t>набору для проведення дослідження зразків, які розглядаються в цьому огляді.</w:t>
      </w:r>
    </w:p>
    <w:p w14:paraId="35F37481" w14:textId="7575BB74" w:rsidR="00E05B98" w:rsidRPr="003C6DAE" w:rsidRDefault="00807F48" w:rsidP="00852333">
      <w:pPr>
        <w:spacing w:before="168" w:line="269" w:lineRule="auto"/>
        <w:ind w:left="567"/>
        <w:jc w:val="both"/>
        <w:rPr>
          <w:i/>
          <w:sz w:val="20"/>
          <w:szCs w:val="20"/>
          <w:lang w:val="uk-UA"/>
        </w:rPr>
      </w:pPr>
      <w:r w:rsidRPr="003C6DAE">
        <w:rPr>
          <w:i/>
          <w:sz w:val="20"/>
          <w:szCs w:val="20"/>
          <w:lang w:val="uk-UA"/>
        </w:rPr>
        <w:t>Наскільки великими є потреби в ресурсах (затрати)?</w:t>
      </w:r>
    </w:p>
    <w:p w14:paraId="57C955EC" w14:textId="180064E9" w:rsidR="00E05B98" w:rsidRPr="003C6DAE" w:rsidRDefault="0040267B" w:rsidP="00852333">
      <w:pPr>
        <w:pStyle w:val="a3"/>
        <w:spacing w:before="230" w:line="269" w:lineRule="auto"/>
        <w:ind w:left="567" w:right="139"/>
        <w:jc w:val="both"/>
        <w:rPr>
          <w:sz w:val="20"/>
          <w:szCs w:val="20"/>
          <w:lang w:val="uk-UA"/>
        </w:rPr>
      </w:pPr>
      <w:r w:rsidRPr="003C6DAE">
        <w:rPr>
          <w:spacing w:val="-2"/>
          <w:sz w:val="20"/>
          <w:szCs w:val="20"/>
          <w:lang w:val="uk-UA"/>
        </w:rPr>
        <w:t>Доступна вартість за одиницю тесту для двох автоматизованих ТАНК помірної складності становила від 18,52 дол. США (13,79-40,70 дол.США) та 15,37 (9,61-37,40) дол</w:t>
      </w:r>
      <w:r w:rsidR="00282C07">
        <w:rPr>
          <w:spacing w:val="-2"/>
          <w:sz w:val="20"/>
          <w:szCs w:val="20"/>
          <w:lang w:val="uk-UA"/>
        </w:rPr>
        <w:t>.</w:t>
      </w:r>
      <w:r w:rsidRPr="003C6DAE">
        <w:rPr>
          <w:spacing w:val="-2"/>
          <w:sz w:val="20"/>
          <w:szCs w:val="20"/>
          <w:lang w:val="uk-UA"/>
        </w:rPr>
        <w:t xml:space="preserve"> США, причому в одному дослідженні повідомлялося про нижчу вартість набору для тестування, але вищі операційні витрати, пов'язані з часом обробки у лабораторії. Витрати на обладнання були вагомим фактором, що вплинув на різницю в цінах, і вони будуть варіюватися залежно від мережі лабораторій та їхньої діяльності. Якщо обладнання можна оптимально розмістити або мультиплексувати для забезпечення високого обсягу тестування, вартість одного тесту можна звести до мінімуму</w:t>
      </w:r>
      <w:r w:rsidR="00B01E0C" w:rsidRPr="003C6DAE">
        <w:rPr>
          <w:w w:val="105"/>
          <w:sz w:val="20"/>
          <w:szCs w:val="20"/>
          <w:lang w:val="uk-UA"/>
        </w:rPr>
        <w:t>.</w:t>
      </w:r>
    </w:p>
    <w:p w14:paraId="61F22F80" w14:textId="4718775B" w:rsidR="00E05B98" w:rsidRPr="003C6DAE" w:rsidRDefault="0040267B" w:rsidP="00852333">
      <w:pPr>
        <w:pStyle w:val="a3"/>
        <w:spacing w:before="178" w:line="269" w:lineRule="auto"/>
        <w:ind w:left="567" w:right="135"/>
        <w:jc w:val="both"/>
        <w:rPr>
          <w:lang w:val="uk-UA"/>
        </w:rPr>
      </w:pPr>
      <w:r w:rsidRPr="003C6DAE">
        <w:rPr>
          <w:sz w:val="20"/>
          <w:szCs w:val="20"/>
          <w:lang w:val="uk-UA"/>
        </w:rPr>
        <w:t>При одно</w:t>
      </w:r>
      <w:r w:rsidR="00045807">
        <w:rPr>
          <w:sz w:val="20"/>
          <w:szCs w:val="20"/>
          <w:lang w:val="uk-UA"/>
        </w:rPr>
        <w:t>факторному</w:t>
      </w:r>
      <w:r w:rsidRPr="003C6DAE">
        <w:rPr>
          <w:sz w:val="20"/>
          <w:szCs w:val="20"/>
          <w:lang w:val="uk-UA"/>
        </w:rPr>
        <w:t xml:space="preserve"> аналізі чутливості річні обсяги тестування коливалися від менш ніж 5000 тестів на рік до понад 25 000 тестів на рік. Вартість одного тесту була дуже чутливою до обсягу тестування, коли проводилося менше 5000 тестів на рік; однак, вартість за одиницю тесту починає стабілізуватися в діапазоні від 5000 до 10 000 тестів на рік, а більше 10 000 тестів на рік оцінка вартості за одиницю тесту була надійною. Коли обладнання можна мультиплексувати і використовувати на повну потужність, вартість одного тесту можна мінімізувати</w:t>
      </w:r>
      <w:r w:rsidR="00B01E0C" w:rsidRPr="003C6DAE">
        <w:rPr>
          <w:w w:val="105"/>
          <w:sz w:val="20"/>
          <w:szCs w:val="20"/>
          <w:lang w:val="uk-UA"/>
        </w:rPr>
        <w:t>.</w:t>
      </w:r>
    </w:p>
    <w:p w14:paraId="23152981" w14:textId="77777777" w:rsidR="00E05B98" w:rsidRPr="003C6DAE" w:rsidRDefault="00E05B98" w:rsidP="00852333">
      <w:pPr>
        <w:pStyle w:val="a3"/>
        <w:spacing w:line="269" w:lineRule="auto"/>
        <w:rPr>
          <w:sz w:val="20"/>
          <w:lang w:val="uk-UA"/>
        </w:rPr>
      </w:pPr>
    </w:p>
    <w:p w14:paraId="7DE5F1D5" w14:textId="77777777" w:rsidR="00E05B98" w:rsidRPr="003C6DAE" w:rsidRDefault="00B01E0C">
      <w:pPr>
        <w:pStyle w:val="a3"/>
        <w:spacing w:before="2"/>
        <w:rPr>
          <w:sz w:val="20"/>
          <w:lang w:val="uk-UA"/>
        </w:rPr>
      </w:pPr>
      <w:r w:rsidRPr="003C6DAE">
        <w:rPr>
          <w:noProof/>
          <w:sz w:val="20"/>
          <w:lang w:val="uk-UA"/>
        </w:rPr>
        <mc:AlternateContent>
          <mc:Choice Requires="wps">
            <w:drawing>
              <wp:anchor distT="0" distB="0" distL="0" distR="0" simplePos="0" relativeHeight="487849984" behindDoc="1" locked="0" layoutInCell="1" allowOverlap="1" wp14:anchorId="0586A5A8" wp14:editId="76396705">
                <wp:simplePos x="0" y="0"/>
                <wp:positionH relativeFrom="page">
                  <wp:posOffset>899999</wp:posOffset>
                </wp:positionH>
                <wp:positionV relativeFrom="paragraph">
                  <wp:posOffset>160428</wp:posOffset>
                </wp:positionV>
                <wp:extent cx="1440180" cy="1270"/>
                <wp:effectExtent l="0" t="0" r="0" b="0"/>
                <wp:wrapTopAndBottom/>
                <wp:docPr id="1551" name="Graphic 1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09E51A" id="Graphic 1551" o:spid="_x0000_s1026" style="position:absolute;margin-left:70.85pt;margin-top:12.65pt;width:113.4pt;height:.1pt;z-index:-15466496;visibility:visible;mso-wrap-style:square;mso-wrap-distance-left:0;mso-wrap-distance-top:0;mso-wrap-distance-right:0;mso-wrap-distance-bottom:0;mso-position-horizontal:absolute;mso-position-horizontal-relative:page;mso-position-vertical:absolute;mso-position-vertical-relative:text;v-text-anchor:top" coordsize="1440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" path="m,l1440002,e" filled="f" strokeweight=".5pt">
                <v:path arrowok="t"/>
                <w10:wrap type="topAndBottom" anchorx="page"/>
              </v:shape>
            </w:pict>
          </mc:Fallback>
        </mc:AlternateContent>
      </w:r>
    </w:p>
    <w:p w14:paraId="797B6C84" w14:textId="44D111C5" w:rsidR="00E05B98" w:rsidRPr="003C6DAE" w:rsidRDefault="00B01E0C" w:rsidP="00B6520C">
      <w:pPr>
        <w:spacing w:before="124"/>
        <w:ind w:left="851" w:hanging="142"/>
        <w:rPr>
          <w:sz w:val="16"/>
          <w:lang w:val="uk-UA"/>
        </w:rPr>
      </w:pPr>
      <w:r w:rsidRPr="003C6DAE">
        <w:rPr>
          <w:sz w:val="16"/>
          <w:vertAlign w:val="superscript"/>
          <w:lang w:val="uk-UA"/>
        </w:rPr>
        <w:t>9</w:t>
      </w:r>
      <w:r w:rsidRPr="003C6DAE">
        <w:rPr>
          <w:spacing w:val="34"/>
          <w:sz w:val="16"/>
          <w:lang w:val="uk-UA"/>
        </w:rPr>
        <w:t xml:space="preserve"> </w:t>
      </w:r>
      <w:r w:rsidR="00B6520C" w:rsidRPr="003C6DAE">
        <w:rPr>
          <w:sz w:val="16"/>
          <w:lang w:val="uk-UA"/>
        </w:rPr>
        <w:t>Дані були люб'язно надані H.Sohn та W.Stevens з Фонду з розробки інноваційних нових діагностичних засобів [FIND]    (неопубліковані дані)</w:t>
      </w:r>
      <w:r w:rsidRPr="003C6DAE">
        <w:rPr>
          <w:spacing w:val="-2"/>
          <w:sz w:val="16"/>
          <w:lang w:val="uk-UA"/>
        </w:rPr>
        <w:t>.</w:t>
      </w:r>
    </w:p>
    <w:p w14:paraId="0EFEF2C7" w14:textId="77777777" w:rsidR="00E05B98" w:rsidRPr="003C6DAE" w:rsidRDefault="00E05B98">
      <w:pPr>
        <w:rPr>
          <w:sz w:val="16"/>
          <w:lang w:val="uk-UA"/>
        </w:rPr>
        <w:sectPr w:rsidR="00E05B98" w:rsidRPr="003C6DAE" w:rsidSect="00103A54">
          <w:pgSz w:w="11910" w:h="16840"/>
          <w:pgMar w:top="1320" w:right="995" w:bottom="760" w:left="850" w:header="0" w:footer="573" w:gutter="0"/>
          <w:cols w:space="720"/>
        </w:sectPr>
      </w:pPr>
    </w:p>
    <w:p w14:paraId="65B46248" w14:textId="47E336FC" w:rsidR="00E05B98" w:rsidRPr="003C6DAE" w:rsidRDefault="00B6520C">
      <w:pPr>
        <w:spacing w:before="49"/>
        <w:ind w:left="567"/>
        <w:jc w:val="both"/>
        <w:rPr>
          <w:rFonts w:ascii="Arial"/>
          <w:i/>
          <w:sz w:val="20"/>
          <w:szCs w:val="20"/>
          <w:lang w:val="uk-UA"/>
        </w:rPr>
      </w:pPr>
      <w:r w:rsidRPr="003C6DAE">
        <w:rPr>
          <w:rFonts w:ascii="Arial"/>
          <w:i/>
          <w:sz w:val="20"/>
          <w:szCs w:val="20"/>
          <w:lang w:val="uk-UA"/>
        </w:rPr>
        <w:lastRenderedPageBreak/>
        <w:t>Якою</w:t>
      </w:r>
      <w:r w:rsidRPr="003C6DAE">
        <w:rPr>
          <w:rFonts w:ascii="Arial"/>
          <w:i/>
          <w:sz w:val="20"/>
          <w:szCs w:val="20"/>
          <w:lang w:val="uk-UA"/>
        </w:rPr>
        <w:t xml:space="preserve"> </w:t>
      </w:r>
      <w:r w:rsidRPr="003C6DAE">
        <w:rPr>
          <w:rFonts w:ascii="Arial"/>
          <w:i/>
          <w:sz w:val="20"/>
          <w:szCs w:val="20"/>
          <w:lang w:val="uk-UA"/>
        </w:rPr>
        <w:t>є</w:t>
      </w:r>
      <w:r w:rsidRPr="003C6DAE">
        <w:rPr>
          <w:rFonts w:ascii="Arial"/>
          <w:i/>
          <w:sz w:val="20"/>
          <w:szCs w:val="20"/>
          <w:lang w:val="uk-UA"/>
        </w:rPr>
        <w:t xml:space="preserve"> </w:t>
      </w:r>
      <w:r w:rsidRPr="003C6DAE">
        <w:rPr>
          <w:rFonts w:ascii="Arial"/>
          <w:i/>
          <w:sz w:val="20"/>
          <w:szCs w:val="20"/>
          <w:lang w:val="uk-UA"/>
        </w:rPr>
        <w:t>достовірність</w:t>
      </w:r>
      <w:r w:rsidRPr="003C6DAE">
        <w:rPr>
          <w:rFonts w:ascii="Arial"/>
          <w:i/>
          <w:sz w:val="20"/>
          <w:szCs w:val="20"/>
          <w:lang w:val="uk-UA"/>
        </w:rPr>
        <w:t xml:space="preserve"> </w:t>
      </w:r>
      <w:r w:rsidRPr="003C6DAE">
        <w:rPr>
          <w:rFonts w:ascii="Arial"/>
          <w:i/>
          <w:sz w:val="20"/>
          <w:szCs w:val="20"/>
          <w:lang w:val="uk-UA"/>
        </w:rPr>
        <w:t>доказових</w:t>
      </w:r>
      <w:r w:rsidRPr="003C6DAE">
        <w:rPr>
          <w:rFonts w:ascii="Arial"/>
          <w:i/>
          <w:sz w:val="20"/>
          <w:szCs w:val="20"/>
          <w:lang w:val="uk-UA"/>
        </w:rPr>
        <w:t xml:space="preserve"> </w:t>
      </w:r>
      <w:r w:rsidRPr="003C6DAE">
        <w:rPr>
          <w:rFonts w:ascii="Arial"/>
          <w:i/>
          <w:sz w:val="20"/>
          <w:szCs w:val="20"/>
          <w:lang w:val="uk-UA"/>
        </w:rPr>
        <w:t>даних</w:t>
      </w:r>
      <w:r w:rsidRPr="003C6DAE">
        <w:rPr>
          <w:rFonts w:ascii="Arial"/>
          <w:i/>
          <w:sz w:val="20"/>
          <w:szCs w:val="20"/>
          <w:lang w:val="uk-UA"/>
        </w:rPr>
        <w:t xml:space="preserve"> </w:t>
      </w:r>
      <w:r w:rsidRPr="003C6DAE">
        <w:rPr>
          <w:rFonts w:ascii="Arial"/>
          <w:i/>
          <w:sz w:val="20"/>
          <w:szCs w:val="20"/>
          <w:lang w:val="uk-UA"/>
        </w:rPr>
        <w:t>щодо</w:t>
      </w:r>
      <w:r w:rsidRPr="003C6DAE">
        <w:rPr>
          <w:rFonts w:ascii="Arial"/>
          <w:i/>
          <w:sz w:val="20"/>
          <w:szCs w:val="20"/>
          <w:lang w:val="uk-UA"/>
        </w:rPr>
        <w:t xml:space="preserve"> </w:t>
      </w:r>
      <w:r w:rsidRPr="003C6DAE">
        <w:rPr>
          <w:rFonts w:ascii="Arial"/>
          <w:i/>
          <w:sz w:val="20"/>
          <w:szCs w:val="20"/>
          <w:lang w:val="uk-UA"/>
        </w:rPr>
        <w:t>потреб</w:t>
      </w:r>
      <w:r w:rsidRPr="003C6DAE">
        <w:rPr>
          <w:rFonts w:ascii="Arial"/>
          <w:i/>
          <w:sz w:val="20"/>
          <w:szCs w:val="20"/>
          <w:lang w:val="uk-UA"/>
        </w:rPr>
        <w:t xml:space="preserve"> </w:t>
      </w:r>
      <w:r w:rsidRPr="003C6DAE">
        <w:rPr>
          <w:rFonts w:ascii="Arial"/>
          <w:i/>
          <w:sz w:val="20"/>
          <w:szCs w:val="20"/>
          <w:lang w:val="uk-UA"/>
        </w:rPr>
        <w:t>у</w:t>
      </w:r>
      <w:r w:rsidRPr="003C6DAE">
        <w:rPr>
          <w:rFonts w:ascii="Arial"/>
          <w:i/>
          <w:sz w:val="20"/>
          <w:szCs w:val="20"/>
          <w:lang w:val="uk-UA"/>
        </w:rPr>
        <w:t xml:space="preserve"> </w:t>
      </w:r>
      <w:r w:rsidRPr="003C6DAE">
        <w:rPr>
          <w:rFonts w:ascii="Arial"/>
          <w:i/>
          <w:sz w:val="20"/>
          <w:szCs w:val="20"/>
          <w:lang w:val="uk-UA"/>
        </w:rPr>
        <w:t>ресурсах</w:t>
      </w:r>
      <w:r w:rsidRPr="003C6DAE">
        <w:rPr>
          <w:rFonts w:ascii="Arial"/>
          <w:i/>
          <w:sz w:val="20"/>
          <w:szCs w:val="20"/>
          <w:lang w:val="uk-UA"/>
        </w:rPr>
        <w:t xml:space="preserve"> (</w:t>
      </w:r>
      <w:r w:rsidRPr="003C6DAE">
        <w:rPr>
          <w:rFonts w:ascii="Arial"/>
          <w:i/>
          <w:sz w:val="20"/>
          <w:szCs w:val="20"/>
          <w:lang w:val="uk-UA"/>
        </w:rPr>
        <w:t>витрат</w:t>
      </w:r>
      <w:r w:rsidRPr="003C6DAE">
        <w:rPr>
          <w:rFonts w:ascii="Arial"/>
          <w:i/>
          <w:sz w:val="20"/>
          <w:szCs w:val="20"/>
          <w:lang w:val="uk-UA"/>
        </w:rPr>
        <w:t>)?</w:t>
      </w:r>
    </w:p>
    <w:p w14:paraId="542B4184" w14:textId="625D47FE" w:rsidR="00E05B98" w:rsidRPr="003C6DAE" w:rsidRDefault="00B6520C" w:rsidP="00B6520C">
      <w:pPr>
        <w:pStyle w:val="a3"/>
        <w:spacing w:before="231" w:line="297" w:lineRule="auto"/>
        <w:ind w:left="567" w:right="284"/>
        <w:jc w:val="both"/>
        <w:rPr>
          <w:sz w:val="20"/>
          <w:szCs w:val="20"/>
          <w:lang w:val="uk-UA"/>
        </w:rPr>
      </w:pPr>
      <w:r w:rsidRPr="003C6DAE">
        <w:rPr>
          <w:w w:val="105"/>
          <w:sz w:val="20"/>
          <w:szCs w:val="20"/>
          <w:lang w:val="uk-UA"/>
        </w:rPr>
        <w:t>Наявні дані про вартість одного тесту не були опубліковані, але включали накладні витрати, витрати на обладнання, утримання будівлі, персоналу та витратні матеріали; однак</w:t>
      </w:r>
      <w:r w:rsidR="00045807">
        <w:rPr>
          <w:w w:val="105"/>
          <w:sz w:val="20"/>
          <w:szCs w:val="20"/>
          <w:lang w:val="uk-UA"/>
        </w:rPr>
        <w:t>,</w:t>
      </w:r>
      <w:r w:rsidRPr="003C6DAE">
        <w:rPr>
          <w:w w:val="105"/>
          <w:sz w:val="20"/>
          <w:szCs w:val="20"/>
          <w:lang w:val="uk-UA"/>
        </w:rPr>
        <w:t xml:space="preserve"> повна оцінка якості дослідження не була можливою. Вартість тесту варіюється залежно від обсягу тестування та лабораторних операцій. Існує обмежена кількість доказів для оцінки значної варіативності між сайтами, країнами та підходами до впровадження.</w:t>
      </w:r>
    </w:p>
    <w:p w14:paraId="1A7D4B3C" w14:textId="182BD4B8" w:rsidR="00E05B98" w:rsidRPr="003C6DAE" w:rsidRDefault="005A0F42" w:rsidP="00B6520C">
      <w:pPr>
        <w:spacing w:before="172"/>
        <w:ind w:left="567" w:right="284"/>
        <w:jc w:val="both"/>
        <w:rPr>
          <w:rFonts w:ascii="Arial" w:hAnsi="Arial"/>
          <w:i/>
          <w:sz w:val="20"/>
          <w:szCs w:val="20"/>
          <w:lang w:val="uk-UA"/>
        </w:rPr>
      </w:pPr>
      <w:r>
        <w:rPr>
          <w:rFonts w:ascii="Arial" w:hAnsi="Arial"/>
          <w:i/>
          <w:sz w:val="20"/>
          <w:szCs w:val="20"/>
          <w:lang w:val="uk-UA"/>
        </w:rPr>
        <w:t>Е</w:t>
      </w:r>
      <w:r w:rsidR="003C51B6" w:rsidRPr="003C6DAE">
        <w:rPr>
          <w:rFonts w:ascii="Arial" w:hAnsi="Arial"/>
          <w:i/>
          <w:sz w:val="20"/>
          <w:szCs w:val="20"/>
          <w:lang w:val="uk-UA"/>
        </w:rPr>
        <w:t xml:space="preserve">фективність </w:t>
      </w:r>
      <w:r>
        <w:rPr>
          <w:rFonts w:ascii="Arial" w:hAnsi="Arial"/>
          <w:i/>
          <w:sz w:val="20"/>
          <w:szCs w:val="20"/>
          <w:lang w:val="uk-UA"/>
        </w:rPr>
        <w:t xml:space="preserve">витрат при наданні </w:t>
      </w:r>
      <w:r w:rsidR="003C51B6" w:rsidRPr="003C6DAE">
        <w:rPr>
          <w:rFonts w:ascii="Arial" w:hAnsi="Arial"/>
          <w:i/>
          <w:sz w:val="20"/>
          <w:szCs w:val="20"/>
          <w:lang w:val="uk-UA"/>
        </w:rPr>
        <w:t xml:space="preserve">інтервенції свідчить на користь інтервенції </w:t>
      </w:r>
      <w:r w:rsidR="00045807">
        <w:rPr>
          <w:rFonts w:ascii="Arial" w:hAnsi="Arial"/>
          <w:i/>
          <w:sz w:val="20"/>
          <w:szCs w:val="20"/>
          <w:lang w:val="uk-UA"/>
        </w:rPr>
        <w:t>ям</w:t>
      </w:r>
      <w:r w:rsidR="003C51B6" w:rsidRPr="003C6DAE">
        <w:rPr>
          <w:rFonts w:ascii="Arial" w:hAnsi="Arial"/>
          <w:i/>
          <w:sz w:val="20"/>
          <w:szCs w:val="20"/>
          <w:lang w:val="uk-UA"/>
        </w:rPr>
        <w:t xml:space="preserve"> на користь порівняння?</w:t>
      </w:r>
    </w:p>
    <w:p w14:paraId="53BBEDF3" w14:textId="7E0F3B09" w:rsidR="00E05B98" w:rsidRPr="003C6DAE" w:rsidRDefault="006E34F8" w:rsidP="00B6520C">
      <w:pPr>
        <w:pStyle w:val="a3"/>
        <w:spacing w:before="231" w:line="297" w:lineRule="auto"/>
        <w:ind w:left="567" w:right="284"/>
        <w:jc w:val="both"/>
        <w:rPr>
          <w:sz w:val="20"/>
          <w:szCs w:val="20"/>
          <w:lang w:val="uk-UA"/>
        </w:rPr>
      </w:pPr>
      <w:r w:rsidRPr="006E34F8">
        <w:rPr>
          <w:sz w:val="20"/>
          <w:szCs w:val="20"/>
          <w:lang w:val="uk-UA"/>
        </w:rPr>
        <w:t>Не було виявлено жодного дослідження, що оцінює ефективність витрат для будь-якого автоматизованого NAAT середньої складності, і екстраполяція не була доречною, враховуючи відмінності в стандарті догляду, каскадах догляду та пов'язаних з цим витратах, умовах експлуатації, обсягів тестування</w:t>
      </w:r>
      <w:r w:rsidR="00F10F7B" w:rsidRPr="003C6DAE">
        <w:rPr>
          <w:sz w:val="20"/>
          <w:szCs w:val="20"/>
          <w:lang w:val="uk-UA"/>
        </w:rPr>
        <w:t xml:space="preserve"> та точності діагностики. Міркування щодо впровадження (наприклад, місце проведення тесту, лабораторна мережа і здатність програми швидко розпочати лікування), ймовірно, впливатимуть на вартість за одиницю тесту </w:t>
      </w:r>
      <w:r w:rsidR="005A0F42">
        <w:rPr>
          <w:sz w:val="20"/>
          <w:szCs w:val="20"/>
          <w:lang w:val="uk-UA"/>
        </w:rPr>
        <w:t>та</w:t>
      </w:r>
      <w:r w:rsidR="00F10F7B" w:rsidRPr="003C6DAE">
        <w:rPr>
          <w:sz w:val="20"/>
          <w:szCs w:val="20"/>
          <w:lang w:val="uk-UA"/>
        </w:rPr>
        <w:t xml:space="preserve"> ефективність</w:t>
      </w:r>
      <w:r w:rsidR="005A0F42">
        <w:rPr>
          <w:sz w:val="20"/>
          <w:szCs w:val="20"/>
          <w:lang w:val="uk-UA"/>
        </w:rPr>
        <w:t xml:space="preserve"> витрат</w:t>
      </w:r>
      <w:r w:rsidR="00F10F7B" w:rsidRPr="003C6DAE">
        <w:rPr>
          <w:sz w:val="20"/>
          <w:szCs w:val="20"/>
          <w:lang w:val="uk-UA"/>
        </w:rPr>
        <w:t>. Необхідно здійснювати економічне моделювання в різних умовах, щоб зрозуміти діапазон профілів економічної ефективності автоматизованих ТАНК помірної складності і те, як вони, ймовірно, будуть змінюватися при різних операційних критеріях.</w:t>
      </w:r>
    </w:p>
    <w:p w14:paraId="6BA4631C" w14:textId="42E871CB" w:rsidR="00E05B98" w:rsidRPr="003C6DAE" w:rsidRDefault="00F10F7B" w:rsidP="00B6520C">
      <w:pPr>
        <w:spacing w:before="176" w:line="295" w:lineRule="auto"/>
        <w:ind w:left="567" w:right="284"/>
        <w:jc w:val="both"/>
        <w:rPr>
          <w:sz w:val="20"/>
          <w:szCs w:val="20"/>
          <w:lang w:val="uk-UA"/>
        </w:rPr>
      </w:pPr>
      <w:r w:rsidRPr="003C6DAE">
        <w:rPr>
          <w:sz w:val="20"/>
          <w:szCs w:val="20"/>
          <w:lang w:val="uk-UA"/>
        </w:rPr>
        <w:t xml:space="preserve">Додаткові відомості стосовно синтезу та аналізу економічних доказів наведено у </w:t>
      </w:r>
      <w:r w:rsidRPr="003C6DAE">
        <w:rPr>
          <w:b/>
          <w:bCs/>
          <w:sz w:val="20"/>
          <w:szCs w:val="20"/>
          <w:lang w:val="uk-UA"/>
        </w:rPr>
        <w:t>веб-додатку B.12:</w:t>
      </w:r>
      <w:r w:rsidRPr="003C6DAE">
        <w:rPr>
          <w:sz w:val="20"/>
          <w:szCs w:val="20"/>
          <w:lang w:val="uk-UA"/>
        </w:rPr>
        <w:t xml:space="preserve"> </w:t>
      </w:r>
      <w:r w:rsidRPr="003C6DAE">
        <w:rPr>
          <w:i/>
          <w:iCs/>
          <w:sz w:val="20"/>
          <w:szCs w:val="20"/>
          <w:lang w:val="uk-UA"/>
        </w:rPr>
        <w:t xml:space="preserve">Систематичний огляд літератури </w:t>
      </w:r>
      <w:r w:rsidR="006E34F8">
        <w:rPr>
          <w:i/>
          <w:iCs/>
          <w:sz w:val="20"/>
          <w:szCs w:val="20"/>
          <w:lang w:val="uk-UA"/>
        </w:rPr>
        <w:t>стосовно</w:t>
      </w:r>
      <w:r w:rsidRPr="003C6DAE">
        <w:rPr>
          <w:i/>
          <w:iCs/>
          <w:sz w:val="20"/>
          <w:szCs w:val="20"/>
          <w:lang w:val="uk-UA"/>
        </w:rPr>
        <w:t xml:space="preserve"> економічних доказів використання ТАНК для виявлення ТБ і ЛС-ТБ у дорослих і дітей</w:t>
      </w:r>
      <w:r w:rsidRPr="003C6DAE">
        <w:rPr>
          <w:sz w:val="20"/>
          <w:szCs w:val="20"/>
          <w:lang w:val="uk-UA"/>
        </w:rPr>
        <w:t>.</w:t>
      </w:r>
    </w:p>
    <w:p w14:paraId="1C7B0F3A" w14:textId="213C199B" w:rsidR="00E05B98" w:rsidRPr="003C6DAE" w:rsidRDefault="00F10F7B" w:rsidP="00B6520C">
      <w:pPr>
        <w:pStyle w:val="5"/>
        <w:spacing w:before="198"/>
        <w:ind w:right="284"/>
        <w:jc w:val="both"/>
        <w:rPr>
          <w:sz w:val="26"/>
          <w:szCs w:val="26"/>
          <w:lang w:val="uk-UA"/>
        </w:rPr>
      </w:pPr>
      <w:r w:rsidRPr="003C6DAE">
        <w:rPr>
          <w:color w:val="019648"/>
          <w:spacing w:val="-2"/>
          <w:sz w:val="26"/>
          <w:szCs w:val="26"/>
          <w:lang w:val="uk-UA"/>
        </w:rPr>
        <w:t>Точка зору користувача</w:t>
      </w:r>
    </w:p>
    <w:p w14:paraId="3803E6D5" w14:textId="3C2021E4" w:rsidR="00E05B98" w:rsidRPr="003C6DAE" w:rsidRDefault="00F10F7B" w:rsidP="005A0F42">
      <w:pPr>
        <w:spacing w:before="185" w:line="298" w:lineRule="auto"/>
        <w:ind w:left="567" w:right="284"/>
        <w:jc w:val="both"/>
        <w:rPr>
          <w:rFonts w:ascii="Arial" w:hAnsi="Arial"/>
          <w:b/>
          <w:sz w:val="20"/>
          <w:szCs w:val="20"/>
          <w:lang w:val="uk-UA"/>
        </w:rPr>
      </w:pPr>
      <w:r w:rsidRPr="003C6DAE">
        <w:rPr>
          <w:sz w:val="20"/>
          <w:szCs w:val="20"/>
          <w:lang w:val="uk-UA"/>
        </w:rPr>
        <w:t xml:space="preserve">У цьому розділі надано відповіді на такі запитання </w:t>
      </w:r>
      <w:r w:rsidR="006E34F8">
        <w:rPr>
          <w:sz w:val="20"/>
          <w:szCs w:val="20"/>
          <w:lang w:val="uk-UA"/>
        </w:rPr>
        <w:t>стосовно</w:t>
      </w:r>
      <w:r w:rsidRPr="003C6DAE">
        <w:rPr>
          <w:sz w:val="20"/>
          <w:szCs w:val="20"/>
          <w:lang w:val="uk-UA"/>
        </w:rPr>
        <w:t xml:space="preserve"> </w:t>
      </w:r>
      <w:r w:rsidRPr="003C6DAE">
        <w:rPr>
          <w:b/>
          <w:bCs/>
          <w:sz w:val="20"/>
          <w:szCs w:val="20"/>
          <w:lang w:val="uk-UA"/>
        </w:rPr>
        <w:t>погляд</w:t>
      </w:r>
      <w:r w:rsidR="006E34F8">
        <w:rPr>
          <w:b/>
          <w:bCs/>
          <w:sz w:val="20"/>
          <w:szCs w:val="20"/>
          <w:lang w:val="uk-UA"/>
        </w:rPr>
        <w:t>ів</w:t>
      </w:r>
      <w:r w:rsidRPr="003C6DAE">
        <w:rPr>
          <w:b/>
          <w:bCs/>
          <w:sz w:val="20"/>
          <w:szCs w:val="20"/>
          <w:lang w:val="uk-UA"/>
        </w:rPr>
        <w:t xml:space="preserve"> і точки зору ключових інформантів </w:t>
      </w:r>
      <w:r w:rsidR="006E34F8">
        <w:rPr>
          <w:b/>
          <w:bCs/>
          <w:sz w:val="20"/>
          <w:szCs w:val="20"/>
          <w:lang w:val="uk-UA"/>
        </w:rPr>
        <w:t xml:space="preserve">щодо </w:t>
      </w:r>
      <w:r w:rsidRPr="003C6DAE">
        <w:rPr>
          <w:b/>
          <w:bCs/>
          <w:sz w:val="20"/>
          <w:szCs w:val="20"/>
          <w:lang w:val="uk-UA"/>
        </w:rPr>
        <w:t>використання автоматизованих ТАНК помірної складності</w:t>
      </w:r>
      <w:r w:rsidRPr="003C6DAE">
        <w:rPr>
          <w:sz w:val="20"/>
          <w:szCs w:val="20"/>
          <w:lang w:val="uk-UA"/>
        </w:rPr>
        <w:t>:</w:t>
      </w:r>
    </w:p>
    <w:p w14:paraId="0407FDB6" w14:textId="77777777" w:rsidR="005A0F42" w:rsidRPr="0000617E" w:rsidRDefault="00F10F7B" w:rsidP="004A2937">
      <w:pPr>
        <w:pStyle w:val="a4"/>
        <w:numPr>
          <w:ilvl w:val="0"/>
          <w:numId w:val="24"/>
        </w:numPr>
        <w:tabs>
          <w:tab w:val="left" w:pos="850"/>
        </w:tabs>
        <w:spacing w:line="298" w:lineRule="auto"/>
        <w:ind w:right="284"/>
        <w:rPr>
          <w:w w:val="105"/>
          <w:sz w:val="20"/>
          <w:szCs w:val="20"/>
          <w:lang w:val="uk-UA"/>
        </w:rPr>
      </w:pPr>
      <w:r w:rsidRPr="0000617E">
        <w:rPr>
          <w:w w:val="105"/>
          <w:sz w:val="20"/>
          <w:szCs w:val="20"/>
          <w:lang w:val="uk-UA"/>
        </w:rPr>
        <w:t>Чи існує суттєва невизначеність або мінливість стосовно того, наскільки кінцеві користувачі цінують основні результати?</w:t>
      </w:r>
    </w:p>
    <w:p w14:paraId="7840B34E" w14:textId="69AF4571" w:rsidR="005A0F42" w:rsidRPr="0000617E" w:rsidRDefault="005A0F42" w:rsidP="004A2937">
      <w:pPr>
        <w:pStyle w:val="a4"/>
        <w:numPr>
          <w:ilvl w:val="0"/>
          <w:numId w:val="24"/>
        </w:numPr>
        <w:tabs>
          <w:tab w:val="left" w:pos="850"/>
        </w:tabs>
        <w:spacing w:line="298" w:lineRule="auto"/>
        <w:ind w:right="284"/>
        <w:rPr>
          <w:w w:val="105"/>
          <w:sz w:val="20"/>
          <w:szCs w:val="20"/>
          <w:lang w:val="uk-UA"/>
        </w:rPr>
      </w:pPr>
      <w:r w:rsidRPr="0000617E">
        <w:rPr>
          <w:w w:val="105"/>
          <w:sz w:val="20"/>
          <w:szCs w:val="20"/>
          <w:lang w:val="uk-UA"/>
        </w:rPr>
        <w:t>Яким буде вплив на справедливість щодо здоров'я?</w:t>
      </w:r>
    </w:p>
    <w:p w14:paraId="0161C5E3" w14:textId="465A8A77" w:rsidR="00F10F7B" w:rsidRPr="0000617E" w:rsidRDefault="00F10F7B" w:rsidP="004A2937">
      <w:pPr>
        <w:pStyle w:val="a4"/>
        <w:numPr>
          <w:ilvl w:val="0"/>
          <w:numId w:val="24"/>
        </w:numPr>
        <w:tabs>
          <w:tab w:val="left" w:pos="850"/>
        </w:tabs>
        <w:spacing w:line="298" w:lineRule="auto"/>
        <w:ind w:right="284"/>
        <w:rPr>
          <w:w w:val="105"/>
          <w:sz w:val="20"/>
          <w:szCs w:val="20"/>
          <w:lang w:val="uk-UA"/>
        </w:rPr>
      </w:pPr>
      <w:r w:rsidRPr="0000617E">
        <w:rPr>
          <w:w w:val="105"/>
          <w:sz w:val="20"/>
          <w:szCs w:val="20"/>
          <w:lang w:val="uk-UA"/>
        </w:rPr>
        <w:t>Чи прийнятна інтервенція для ключових зацікавлених сторін?</w:t>
      </w:r>
    </w:p>
    <w:p w14:paraId="06DC3B46" w14:textId="1A7ED348" w:rsidR="00E05B98" w:rsidRPr="0000617E" w:rsidRDefault="00F10F7B" w:rsidP="004A2937">
      <w:pPr>
        <w:pStyle w:val="a4"/>
        <w:numPr>
          <w:ilvl w:val="0"/>
          <w:numId w:val="24"/>
        </w:numPr>
        <w:tabs>
          <w:tab w:val="left" w:pos="850"/>
        </w:tabs>
        <w:spacing w:line="298" w:lineRule="auto"/>
        <w:ind w:right="284"/>
        <w:jc w:val="left"/>
        <w:rPr>
          <w:sz w:val="20"/>
          <w:szCs w:val="20"/>
          <w:lang w:val="uk-UA"/>
        </w:rPr>
      </w:pPr>
      <w:r w:rsidRPr="0000617E">
        <w:rPr>
          <w:w w:val="105"/>
          <w:sz w:val="20"/>
          <w:szCs w:val="20"/>
          <w:lang w:val="uk-UA"/>
        </w:rPr>
        <w:t>Чи можлива реалізація інтервенції?</w:t>
      </w:r>
    </w:p>
    <w:p w14:paraId="66388F0F" w14:textId="4A7C5872" w:rsidR="00664FF8" w:rsidRPr="0000617E" w:rsidRDefault="00664FF8" w:rsidP="005A0F42">
      <w:pPr>
        <w:pStyle w:val="a3"/>
        <w:spacing w:before="145" w:line="298" w:lineRule="auto"/>
        <w:ind w:left="567" w:right="284"/>
        <w:jc w:val="both"/>
        <w:rPr>
          <w:spacing w:val="-2"/>
          <w:sz w:val="20"/>
          <w:szCs w:val="20"/>
          <w:lang w:val="uk-UA"/>
        </w:rPr>
      </w:pPr>
      <w:r w:rsidRPr="0000617E">
        <w:rPr>
          <w:spacing w:val="-2"/>
          <w:sz w:val="20"/>
          <w:szCs w:val="20"/>
          <w:lang w:val="uk-UA"/>
        </w:rPr>
        <w:t xml:space="preserve">Точка зору користувачів щодо цінності, реалізації, зручності та простоти використання, а також прийнятності діагностичних </w:t>
      </w:r>
      <w:r w:rsidR="006E34F8" w:rsidRPr="0000617E">
        <w:rPr>
          <w:spacing w:val="-2"/>
          <w:sz w:val="20"/>
          <w:szCs w:val="20"/>
          <w:lang w:val="uk-UA"/>
        </w:rPr>
        <w:t>методів</w:t>
      </w:r>
      <w:r w:rsidRPr="0000617E">
        <w:rPr>
          <w:spacing w:val="-2"/>
          <w:sz w:val="20"/>
          <w:szCs w:val="20"/>
          <w:lang w:val="uk-UA"/>
        </w:rPr>
        <w:t xml:space="preserve"> є важливою при впровадженні таких технологій. Якщо не враховувати погляди лабораторного персоналу, клініцистів, пацієнтів і персоналу програми боротьби з ТБ, є ризик того, що технології можуть виявитися недоступними та недовикористаними для тих, </w:t>
      </w:r>
      <w:r w:rsidR="006E34F8" w:rsidRPr="0000617E">
        <w:rPr>
          <w:spacing w:val="-2"/>
          <w:sz w:val="20"/>
          <w:szCs w:val="20"/>
          <w:lang w:val="uk-UA"/>
        </w:rPr>
        <w:t xml:space="preserve">кому </w:t>
      </w:r>
      <w:r w:rsidRPr="0000617E">
        <w:rPr>
          <w:spacing w:val="-2"/>
          <w:sz w:val="20"/>
          <w:szCs w:val="20"/>
          <w:lang w:val="uk-UA"/>
        </w:rPr>
        <w:t>вони призначені.</w:t>
      </w:r>
    </w:p>
    <w:p w14:paraId="2442DC35" w14:textId="57B8D265" w:rsidR="00E05B98" w:rsidRPr="0000617E" w:rsidRDefault="00664FF8" w:rsidP="005A0F42">
      <w:pPr>
        <w:pStyle w:val="a3"/>
        <w:spacing w:before="145" w:line="298" w:lineRule="auto"/>
        <w:ind w:left="567" w:right="284"/>
        <w:jc w:val="both"/>
        <w:rPr>
          <w:spacing w:val="-2"/>
          <w:sz w:val="20"/>
          <w:szCs w:val="20"/>
          <w:lang w:val="uk-UA"/>
        </w:rPr>
      </w:pPr>
      <w:r w:rsidRPr="0000617E">
        <w:rPr>
          <w:spacing w:val="-2"/>
          <w:sz w:val="20"/>
          <w:szCs w:val="20"/>
          <w:lang w:val="uk-UA"/>
        </w:rPr>
        <w:t xml:space="preserve">Щоб відповісти на </w:t>
      </w:r>
      <w:r w:rsidR="006E34F8" w:rsidRPr="0000617E">
        <w:rPr>
          <w:spacing w:val="-2"/>
          <w:sz w:val="20"/>
          <w:szCs w:val="20"/>
          <w:lang w:val="uk-UA"/>
        </w:rPr>
        <w:t>за</w:t>
      </w:r>
      <w:r w:rsidRPr="0000617E">
        <w:rPr>
          <w:spacing w:val="-2"/>
          <w:sz w:val="20"/>
          <w:szCs w:val="20"/>
          <w:lang w:val="uk-UA"/>
        </w:rPr>
        <w:t>питання, пов’язані з точкою зору користувача, було вжито дві активності:</w:t>
      </w:r>
    </w:p>
    <w:p w14:paraId="455DAA7B" w14:textId="77777777" w:rsidR="00630A1F" w:rsidRPr="0000617E" w:rsidRDefault="00630A1F" w:rsidP="00664FF8">
      <w:pPr>
        <w:pStyle w:val="a3"/>
        <w:spacing w:before="145"/>
        <w:ind w:left="567" w:right="284"/>
        <w:jc w:val="both"/>
        <w:rPr>
          <w:sz w:val="6"/>
          <w:szCs w:val="6"/>
          <w:lang w:val="uk-UA"/>
        </w:rPr>
      </w:pPr>
    </w:p>
    <w:p w14:paraId="7F08020A" w14:textId="703E20BE" w:rsidR="00630A1F" w:rsidRPr="00630A1F" w:rsidRDefault="00630A1F" w:rsidP="004A2937">
      <w:pPr>
        <w:pStyle w:val="a4"/>
        <w:numPr>
          <w:ilvl w:val="0"/>
          <w:numId w:val="24"/>
        </w:numPr>
        <w:tabs>
          <w:tab w:val="left" w:pos="850"/>
        </w:tabs>
        <w:spacing w:before="4" w:line="298" w:lineRule="auto"/>
        <w:ind w:left="851" w:right="284"/>
        <w:rPr>
          <w:sz w:val="20"/>
          <w:szCs w:val="20"/>
          <w:lang w:val="uk-UA"/>
        </w:rPr>
      </w:pPr>
      <w:r w:rsidRPr="003C6DAE">
        <w:rPr>
          <w:sz w:val="20"/>
          <w:szCs w:val="20"/>
          <w:lang w:val="uk-UA"/>
        </w:rPr>
        <w:t>У період з</w:t>
      </w:r>
      <w:r w:rsidRPr="00630A1F">
        <w:rPr>
          <w:sz w:val="20"/>
          <w:szCs w:val="20"/>
          <w:lang w:val="uk-UA"/>
        </w:rPr>
        <w:t xml:space="preserve"> липня </w:t>
      </w:r>
      <w:r w:rsidRPr="003C6DAE">
        <w:rPr>
          <w:sz w:val="20"/>
          <w:szCs w:val="20"/>
          <w:lang w:val="uk-UA"/>
        </w:rPr>
        <w:t>п</w:t>
      </w:r>
      <w:r w:rsidRPr="00630A1F">
        <w:rPr>
          <w:sz w:val="20"/>
          <w:szCs w:val="20"/>
          <w:lang w:val="uk-UA"/>
        </w:rPr>
        <w:t xml:space="preserve">о листопад 2020 року було проведено систематичний огляд доказових даних </w:t>
      </w:r>
      <w:r w:rsidR="006E34F8">
        <w:rPr>
          <w:sz w:val="20"/>
          <w:szCs w:val="20"/>
          <w:lang w:val="uk-UA"/>
        </w:rPr>
        <w:t>стосовно</w:t>
      </w:r>
      <w:r w:rsidRPr="00630A1F">
        <w:rPr>
          <w:sz w:val="20"/>
          <w:szCs w:val="20"/>
          <w:lang w:val="uk-UA"/>
        </w:rPr>
        <w:t xml:space="preserve"> точок зору та досвіду використання тестів</w:t>
      </w:r>
      <w:r w:rsidR="006E34F8">
        <w:rPr>
          <w:sz w:val="20"/>
          <w:szCs w:val="20"/>
          <w:lang w:val="uk-UA"/>
        </w:rPr>
        <w:t xml:space="preserve"> </w:t>
      </w:r>
      <w:r w:rsidRPr="00630A1F">
        <w:rPr>
          <w:sz w:val="20"/>
          <w:szCs w:val="20"/>
          <w:lang w:val="uk-UA"/>
        </w:rPr>
        <w:t>ампліфікаці</w:t>
      </w:r>
      <w:r w:rsidR="006E34F8">
        <w:rPr>
          <w:sz w:val="20"/>
          <w:szCs w:val="20"/>
          <w:lang w:val="uk-UA"/>
        </w:rPr>
        <w:t>ї</w:t>
      </w:r>
      <w:r w:rsidRPr="00630A1F">
        <w:rPr>
          <w:sz w:val="20"/>
          <w:szCs w:val="20"/>
          <w:lang w:val="uk-UA"/>
        </w:rPr>
        <w:t xml:space="preserve"> нуклеїнових кислот для виявлення T</w:t>
      </w:r>
      <w:r w:rsidR="006E34F8">
        <w:rPr>
          <w:sz w:val="20"/>
          <w:szCs w:val="20"/>
          <w:lang w:val="uk-UA"/>
        </w:rPr>
        <w:t>Б</w:t>
      </w:r>
      <w:r w:rsidRPr="00630A1F">
        <w:rPr>
          <w:sz w:val="20"/>
          <w:szCs w:val="20"/>
          <w:lang w:val="uk-UA"/>
        </w:rPr>
        <w:t xml:space="preserve"> і сті</w:t>
      </w:r>
      <w:r w:rsidRPr="003C6DAE">
        <w:rPr>
          <w:sz w:val="20"/>
          <w:szCs w:val="20"/>
          <w:lang w:val="uk-UA"/>
        </w:rPr>
        <w:t>й</w:t>
      </w:r>
      <w:r w:rsidRPr="00630A1F">
        <w:rPr>
          <w:sz w:val="20"/>
          <w:szCs w:val="20"/>
          <w:lang w:val="uk-UA"/>
        </w:rPr>
        <w:t>кості T</w:t>
      </w:r>
      <w:r w:rsidR="006E34F8">
        <w:rPr>
          <w:sz w:val="20"/>
          <w:szCs w:val="20"/>
          <w:lang w:val="uk-UA"/>
        </w:rPr>
        <w:t>Б</w:t>
      </w:r>
      <w:r w:rsidRPr="00630A1F">
        <w:rPr>
          <w:sz w:val="20"/>
          <w:szCs w:val="20"/>
          <w:lang w:val="uk-UA"/>
        </w:rPr>
        <w:t xml:space="preserve"> до лікарських засобів (автоматизовані аналізи помірної та низької складності, а також аналізи високої складності на основі гібридизації).</w:t>
      </w:r>
    </w:p>
    <w:p w14:paraId="7B24A504" w14:textId="4FF9396A" w:rsidR="00E05B98" w:rsidRPr="003C6DAE" w:rsidRDefault="006E34F8" w:rsidP="004A2937">
      <w:pPr>
        <w:pStyle w:val="a4"/>
        <w:numPr>
          <w:ilvl w:val="0"/>
          <w:numId w:val="24"/>
        </w:numPr>
        <w:tabs>
          <w:tab w:val="left" w:pos="850"/>
        </w:tabs>
        <w:spacing w:before="4" w:line="298" w:lineRule="auto"/>
        <w:ind w:left="851" w:right="284"/>
        <w:rPr>
          <w:sz w:val="20"/>
          <w:szCs w:val="20"/>
          <w:lang w:val="uk-UA"/>
        </w:rPr>
      </w:pPr>
      <w:r>
        <w:rPr>
          <w:sz w:val="20"/>
          <w:szCs w:val="20"/>
          <w:lang w:val="uk-UA"/>
        </w:rPr>
        <w:t>У період із</w:t>
      </w:r>
      <w:r w:rsidR="00630A1F" w:rsidRPr="003C6DAE">
        <w:rPr>
          <w:sz w:val="20"/>
          <w:szCs w:val="20"/>
          <w:lang w:val="uk-UA"/>
        </w:rPr>
        <w:t xml:space="preserve"> жовтня по листопад 2020 року в Індії, Молдові та Південній Африці було проведено 14 напів</w:t>
      </w:r>
      <w:r w:rsidR="0000617E">
        <w:rPr>
          <w:sz w:val="20"/>
          <w:szCs w:val="20"/>
          <w:lang w:val="uk-UA"/>
        </w:rPr>
        <w:t xml:space="preserve"> </w:t>
      </w:r>
      <w:r w:rsidR="00630A1F" w:rsidRPr="003C6DAE">
        <w:rPr>
          <w:sz w:val="20"/>
          <w:szCs w:val="20"/>
          <w:lang w:val="uk-UA"/>
        </w:rPr>
        <w:t>структурованих інтерв’ю з клініцистами, керівниками програм, персоналом лабораторії та захисниками прав пацієнтів.</w:t>
      </w:r>
    </w:p>
    <w:p w14:paraId="47DB8483" w14:textId="047F9DF7" w:rsidR="00E05B98" w:rsidRPr="003C6DAE" w:rsidRDefault="00630A1F" w:rsidP="00B6520C">
      <w:pPr>
        <w:pStyle w:val="a3"/>
        <w:spacing w:before="230"/>
        <w:ind w:left="567" w:right="284"/>
        <w:jc w:val="both"/>
        <w:rPr>
          <w:sz w:val="20"/>
          <w:szCs w:val="20"/>
          <w:lang w:val="uk-UA"/>
        </w:rPr>
      </w:pPr>
      <w:r w:rsidRPr="003C6DAE">
        <w:rPr>
          <w:sz w:val="20"/>
          <w:szCs w:val="20"/>
          <w:lang w:val="uk-UA"/>
        </w:rPr>
        <w:t>Результати цих активностей обговорюються нижче</w:t>
      </w:r>
      <w:r w:rsidR="00B01E0C" w:rsidRPr="003C6DAE">
        <w:rPr>
          <w:spacing w:val="-2"/>
          <w:sz w:val="20"/>
          <w:szCs w:val="20"/>
          <w:lang w:val="uk-UA"/>
        </w:rPr>
        <w:t>.</w:t>
      </w:r>
    </w:p>
    <w:p w14:paraId="4B776B62" w14:textId="77777777" w:rsidR="00E05B98" w:rsidRPr="003C6DAE" w:rsidRDefault="00E05B98">
      <w:pPr>
        <w:pStyle w:val="a3"/>
        <w:jc w:val="both"/>
        <w:rPr>
          <w:sz w:val="20"/>
          <w:szCs w:val="20"/>
          <w:lang w:val="uk-UA"/>
        </w:rPr>
        <w:sectPr w:rsidR="00E05B98" w:rsidRPr="003C6DAE" w:rsidSect="00B6520C">
          <w:pgSz w:w="11910" w:h="16840"/>
          <w:pgMar w:top="1320" w:right="711" w:bottom="760" w:left="850" w:header="0" w:footer="573" w:gutter="0"/>
          <w:cols w:space="720"/>
        </w:sectPr>
      </w:pPr>
    </w:p>
    <w:p w14:paraId="3F5F679E" w14:textId="7C225C8C" w:rsidR="00E05B98" w:rsidRPr="003C6DAE" w:rsidRDefault="000F1069">
      <w:pPr>
        <w:pStyle w:val="5"/>
        <w:spacing w:before="45"/>
        <w:rPr>
          <w:sz w:val="26"/>
          <w:szCs w:val="26"/>
          <w:lang w:val="uk-UA"/>
        </w:rPr>
      </w:pPr>
      <w:r w:rsidRPr="003C6DAE">
        <w:rPr>
          <w:color w:val="019648"/>
          <w:sz w:val="26"/>
          <w:szCs w:val="26"/>
          <w:lang w:val="uk-UA"/>
        </w:rPr>
        <w:lastRenderedPageBreak/>
        <w:t>Систематичний огляд</w:t>
      </w:r>
    </w:p>
    <w:p w14:paraId="4A16EA25" w14:textId="1419716D" w:rsidR="00E05B98" w:rsidRPr="003C6DAE" w:rsidRDefault="000F1069" w:rsidP="00E8576D">
      <w:pPr>
        <w:pStyle w:val="a3"/>
        <w:spacing w:before="219" w:line="276" w:lineRule="auto"/>
        <w:ind w:left="567" w:right="132"/>
        <w:jc w:val="both"/>
        <w:rPr>
          <w:sz w:val="20"/>
          <w:szCs w:val="20"/>
          <w:lang w:val="uk-UA"/>
        </w:rPr>
      </w:pPr>
      <w:r w:rsidRPr="003C6DAE">
        <w:rPr>
          <w:sz w:val="20"/>
          <w:szCs w:val="20"/>
          <w:lang w:val="uk-UA"/>
        </w:rPr>
        <w:t xml:space="preserve">Загалом було виявлено 27 досліджень, які відповідали критеріям включення, </w:t>
      </w:r>
      <w:r w:rsidR="00DF02E2">
        <w:rPr>
          <w:sz w:val="20"/>
          <w:szCs w:val="20"/>
          <w:lang w:val="uk-UA"/>
        </w:rPr>
        <w:t xml:space="preserve">21 </w:t>
      </w:r>
      <w:r w:rsidRPr="003C6DAE">
        <w:rPr>
          <w:sz w:val="20"/>
          <w:szCs w:val="20"/>
          <w:lang w:val="uk-UA"/>
        </w:rPr>
        <w:t>з яких</w:t>
      </w:r>
      <w:r w:rsidR="00DF02E2">
        <w:rPr>
          <w:sz w:val="20"/>
          <w:szCs w:val="20"/>
          <w:lang w:val="uk-UA"/>
        </w:rPr>
        <w:t xml:space="preserve"> було відібрано </w:t>
      </w:r>
      <w:r w:rsidRPr="003C6DAE">
        <w:rPr>
          <w:sz w:val="20"/>
          <w:szCs w:val="20"/>
          <w:lang w:val="uk-UA"/>
        </w:rPr>
        <w:t>для включення в аналіз. Усі відібрані дослідження були опубліковані в період 2012-2020 рр. Із 21 включеного дослідження 18 проводили в країнах з високим тягарем туберкульозу: шість - в Індії, чотири - в Південній Африці, по два - в Кенії та Уганді та по одному - в Бразилії, Камбоджі, М’янмі та В’єтнамі.</w:t>
      </w:r>
      <w:r w:rsidR="00B01E0C" w:rsidRPr="003C6DAE">
        <w:rPr>
          <w:sz w:val="20"/>
          <w:szCs w:val="20"/>
          <w:lang w:val="uk-UA"/>
        </w:rPr>
        <w:t xml:space="preserve"> </w:t>
      </w:r>
      <w:r w:rsidRPr="003C6DAE">
        <w:rPr>
          <w:sz w:val="20"/>
          <w:szCs w:val="20"/>
          <w:lang w:val="uk-UA"/>
        </w:rPr>
        <w:t xml:space="preserve">Одне дослідження охоплювало проєкти в дев’яти країнах (Бангладеш, Камбоджа, Демократична Республіка Конго, Кенія, Малаві, Молдова, Мозамбік, Непал і Пакистан). Крім того, </w:t>
      </w:r>
      <w:r w:rsidR="00D72C68">
        <w:rPr>
          <w:sz w:val="20"/>
          <w:szCs w:val="20"/>
          <w:lang w:val="uk-UA"/>
        </w:rPr>
        <w:t xml:space="preserve">було проведено </w:t>
      </w:r>
      <w:r w:rsidR="00DF02E2">
        <w:rPr>
          <w:sz w:val="20"/>
          <w:szCs w:val="20"/>
          <w:lang w:val="uk-UA"/>
        </w:rPr>
        <w:t>по одному дослідже</w:t>
      </w:r>
      <w:r w:rsidR="00D72C68">
        <w:rPr>
          <w:sz w:val="20"/>
          <w:szCs w:val="20"/>
          <w:lang w:val="uk-UA"/>
        </w:rPr>
        <w:t>нню</w:t>
      </w:r>
      <w:r w:rsidRPr="003C6DAE">
        <w:rPr>
          <w:sz w:val="20"/>
          <w:szCs w:val="20"/>
          <w:lang w:val="uk-UA"/>
        </w:rPr>
        <w:t xml:space="preserve"> в Есватіні, Монголії та Непалі. Усі дослідження були зосереджені на використанні тесту Xpert MTB/RIF, за винятком одного, під час якого увагу було приділено тесту Xpert MTB/RIF Ultra (Xpert Ultra).</w:t>
      </w:r>
    </w:p>
    <w:p w14:paraId="6C216DCC" w14:textId="2E1D1D6D" w:rsidR="00E05B98" w:rsidRPr="003C6DAE" w:rsidRDefault="000F1069" w:rsidP="00E8576D">
      <w:pPr>
        <w:spacing w:before="180" w:line="276" w:lineRule="auto"/>
        <w:ind w:left="567" w:right="139"/>
        <w:jc w:val="both"/>
        <w:rPr>
          <w:sz w:val="20"/>
          <w:szCs w:val="20"/>
          <w:lang w:val="uk-UA"/>
        </w:rPr>
      </w:pPr>
      <w:r w:rsidRPr="003C6DAE">
        <w:rPr>
          <w:sz w:val="20"/>
          <w:szCs w:val="20"/>
          <w:lang w:val="uk-UA"/>
        </w:rPr>
        <w:t xml:space="preserve">Короткий виклад основних характеристик досліджень, включених до цього огляду, представлено в таблиці характеристик дослідження у </w:t>
      </w:r>
      <w:r w:rsidRPr="003C6DAE">
        <w:rPr>
          <w:b/>
          <w:bCs/>
          <w:sz w:val="20"/>
          <w:szCs w:val="20"/>
          <w:lang w:val="uk-UA"/>
        </w:rPr>
        <w:t>веб-додатку B.13</w:t>
      </w:r>
      <w:r w:rsidRPr="003C6DAE">
        <w:rPr>
          <w:sz w:val="20"/>
          <w:szCs w:val="20"/>
          <w:lang w:val="uk-UA"/>
        </w:rPr>
        <w:t xml:space="preserve">: </w:t>
      </w:r>
      <w:r w:rsidR="005A0F42">
        <w:rPr>
          <w:i/>
          <w:iCs/>
          <w:sz w:val="20"/>
          <w:szCs w:val="20"/>
          <w:lang w:val="uk-UA"/>
        </w:rPr>
        <w:t>Точ</w:t>
      </w:r>
      <w:r w:rsidR="00E8576D">
        <w:rPr>
          <w:i/>
          <w:iCs/>
          <w:sz w:val="20"/>
          <w:szCs w:val="20"/>
          <w:lang w:val="uk-UA"/>
        </w:rPr>
        <w:t>ки зору</w:t>
      </w:r>
      <w:r w:rsidRPr="003C6DAE">
        <w:rPr>
          <w:i/>
          <w:iCs/>
          <w:sz w:val="20"/>
          <w:szCs w:val="20"/>
          <w:lang w:val="uk-UA"/>
        </w:rPr>
        <w:t xml:space="preserve"> користувачів </w:t>
      </w:r>
      <w:r w:rsidR="00D72C68">
        <w:rPr>
          <w:i/>
          <w:iCs/>
          <w:sz w:val="20"/>
          <w:szCs w:val="20"/>
          <w:lang w:val="uk-UA"/>
        </w:rPr>
        <w:t>стосовно</w:t>
      </w:r>
      <w:r w:rsidRPr="003C6DAE">
        <w:rPr>
          <w:i/>
          <w:iCs/>
          <w:sz w:val="20"/>
          <w:szCs w:val="20"/>
          <w:lang w:val="uk-UA"/>
        </w:rPr>
        <w:t xml:space="preserve"> використання тестів </w:t>
      </w:r>
      <w:r w:rsidR="00507F6E" w:rsidRPr="003C6DAE">
        <w:rPr>
          <w:i/>
          <w:iCs/>
          <w:sz w:val="20"/>
          <w:szCs w:val="20"/>
          <w:lang w:val="uk-UA"/>
        </w:rPr>
        <w:t>ампліфікації</w:t>
      </w:r>
      <w:r w:rsidRPr="003C6DAE">
        <w:rPr>
          <w:i/>
          <w:iCs/>
          <w:sz w:val="20"/>
          <w:szCs w:val="20"/>
          <w:lang w:val="uk-UA"/>
        </w:rPr>
        <w:t xml:space="preserve"> нуклеїнових кислот для виявлення ТБ та ЛС-ТБ: результати синтезу якісних доказів: систематичний огляд</w:t>
      </w:r>
      <w:r w:rsidRPr="003C6DAE">
        <w:rPr>
          <w:sz w:val="20"/>
          <w:szCs w:val="20"/>
          <w:lang w:val="uk-UA"/>
        </w:rPr>
        <w:t>.</w:t>
      </w:r>
    </w:p>
    <w:p w14:paraId="597E1B93" w14:textId="23933DDF" w:rsidR="00E05B98" w:rsidRPr="003C6DAE" w:rsidRDefault="000F1069" w:rsidP="00E8576D">
      <w:pPr>
        <w:pStyle w:val="5"/>
        <w:spacing w:before="198" w:line="276" w:lineRule="auto"/>
        <w:rPr>
          <w:sz w:val="26"/>
          <w:szCs w:val="26"/>
          <w:lang w:val="uk-UA"/>
        </w:rPr>
      </w:pPr>
      <w:r w:rsidRPr="003C6DAE">
        <w:rPr>
          <w:color w:val="019648"/>
          <w:spacing w:val="-2"/>
          <w:w w:val="110"/>
          <w:sz w:val="26"/>
          <w:szCs w:val="26"/>
          <w:lang w:val="uk-UA"/>
        </w:rPr>
        <w:t>Інтерв’ю</w:t>
      </w:r>
    </w:p>
    <w:p w14:paraId="55F4C8F7" w14:textId="1A29EC73" w:rsidR="00E05B98" w:rsidRPr="003C6DAE" w:rsidRDefault="00FC3E68" w:rsidP="00E8576D">
      <w:pPr>
        <w:pStyle w:val="a3"/>
        <w:spacing w:before="219" w:line="276" w:lineRule="auto"/>
        <w:ind w:left="567" w:right="134"/>
        <w:jc w:val="both"/>
        <w:rPr>
          <w:sz w:val="20"/>
          <w:szCs w:val="20"/>
          <w:lang w:val="uk-UA"/>
        </w:rPr>
      </w:pPr>
      <w:r w:rsidRPr="003C6DAE">
        <w:rPr>
          <w:w w:val="105"/>
          <w:sz w:val="20"/>
          <w:szCs w:val="20"/>
          <w:lang w:val="uk-UA"/>
        </w:rPr>
        <w:t>Мета інтерв’ю полягала в тому, щоб зрозуміти досвід учасників щодо використання різних технологій (тобто тестів ампліфікаці</w:t>
      </w:r>
      <w:r w:rsidR="00E8576D">
        <w:rPr>
          <w:w w:val="105"/>
          <w:sz w:val="20"/>
          <w:szCs w:val="20"/>
          <w:lang w:val="uk-UA"/>
        </w:rPr>
        <w:t>ї</w:t>
      </w:r>
      <w:r w:rsidRPr="003C6DAE">
        <w:rPr>
          <w:w w:val="105"/>
          <w:sz w:val="20"/>
          <w:szCs w:val="20"/>
          <w:lang w:val="uk-UA"/>
        </w:rPr>
        <w:t xml:space="preserve"> нуклеїнових кислот для виявлення ТБ та стійкості до туберкульозних препаратів), а також  їхній загальний </w:t>
      </w:r>
      <w:r w:rsidR="00E8576D">
        <w:rPr>
          <w:w w:val="105"/>
          <w:sz w:val="20"/>
          <w:szCs w:val="20"/>
          <w:lang w:val="uk-UA"/>
        </w:rPr>
        <w:t xml:space="preserve">практичний </w:t>
      </w:r>
      <w:r w:rsidRPr="003C6DAE">
        <w:rPr>
          <w:w w:val="105"/>
          <w:sz w:val="20"/>
          <w:szCs w:val="20"/>
          <w:lang w:val="uk-UA"/>
        </w:rPr>
        <w:t xml:space="preserve">досвід </w:t>
      </w:r>
      <w:r w:rsidR="00E8576D">
        <w:rPr>
          <w:w w:val="105"/>
          <w:sz w:val="20"/>
          <w:szCs w:val="20"/>
          <w:lang w:val="uk-UA"/>
        </w:rPr>
        <w:t xml:space="preserve">у сфері </w:t>
      </w:r>
      <w:r w:rsidRPr="003C6DAE">
        <w:rPr>
          <w:w w:val="105"/>
          <w:sz w:val="20"/>
          <w:szCs w:val="20"/>
          <w:lang w:val="uk-UA"/>
        </w:rPr>
        <w:t>діагностики ТБ. Три країни – Індію, Молдову та Південну Африку – було обрано на підставі того, що вони входять до списку ВООЗ, який включає 30 країн із високим тягарем МЛС-ТБ (</w:t>
      </w:r>
      <w:r w:rsidRPr="003C6DAE">
        <w:rPr>
          <w:i/>
          <w:iCs/>
          <w:w w:val="105"/>
          <w:sz w:val="20"/>
          <w:szCs w:val="20"/>
          <w:lang w:val="uk-UA"/>
        </w:rPr>
        <w:t>1</w:t>
      </w:r>
      <w:r w:rsidRPr="003C6DAE">
        <w:rPr>
          <w:w w:val="105"/>
          <w:sz w:val="20"/>
          <w:szCs w:val="20"/>
          <w:lang w:val="uk-UA"/>
        </w:rPr>
        <w:t>)</w:t>
      </w:r>
      <w:r w:rsidR="00FA1C72">
        <w:rPr>
          <w:w w:val="105"/>
          <w:sz w:val="20"/>
          <w:szCs w:val="20"/>
          <w:lang w:val="uk-UA"/>
        </w:rPr>
        <w:t>,</w:t>
      </w:r>
      <w:r w:rsidRPr="003C6DAE">
        <w:rPr>
          <w:w w:val="105"/>
          <w:sz w:val="20"/>
          <w:szCs w:val="20"/>
          <w:lang w:val="uk-UA"/>
        </w:rPr>
        <w:t xml:space="preserve"> і що індексні тести певною мірою використовувалися в контексті досліджень у цих країнах. Через короткі часові рамки було </w:t>
      </w:r>
      <w:r w:rsidR="00FA1C72">
        <w:rPr>
          <w:w w:val="105"/>
          <w:sz w:val="20"/>
          <w:szCs w:val="20"/>
          <w:lang w:val="uk-UA"/>
        </w:rPr>
        <w:t>проведено</w:t>
      </w:r>
      <w:r w:rsidRPr="003C6DAE">
        <w:rPr>
          <w:w w:val="105"/>
          <w:sz w:val="20"/>
          <w:szCs w:val="20"/>
          <w:lang w:val="uk-UA"/>
        </w:rPr>
        <w:t xml:space="preserve"> ц</w:t>
      </w:r>
      <w:r w:rsidR="00FA1C72">
        <w:rPr>
          <w:w w:val="105"/>
          <w:sz w:val="20"/>
          <w:szCs w:val="20"/>
          <w:lang w:val="uk-UA"/>
        </w:rPr>
        <w:t>ільовий</w:t>
      </w:r>
      <w:r w:rsidRPr="003C6DAE">
        <w:rPr>
          <w:w w:val="105"/>
          <w:sz w:val="20"/>
          <w:szCs w:val="20"/>
          <w:lang w:val="uk-UA"/>
        </w:rPr>
        <w:t xml:space="preserve"> відбір учасників та контакт з ними здійснювали за принципом зручності шляхом особистих контактів та через колег.</w:t>
      </w:r>
    </w:p>
    <w:p w14:paraId="2ACEA185" w14:textId="20C7FF44" w:rsidR="00E05B98" w:rsidRPr="007D4554" w:rsidRDefault="00FC3E68" w:rsidP="00E8576D">
      <w:pPr>
        <w:pStyle w:val="a3"/>
        <w:spacing w:before="170" w:line="276" w:lineRule="auto"/>
        <w:ind w:left="567" w:right="139"/>
        <w:jc w:val="both"/>
        <w:rPr>
          <w:sz w:val="20"/>
          <w:szCs w:val="20"/>
          <w:lang w:val="uk-UA"/>
        </w:rPr>
      </w:pPr>
      <w:r w:rsidRPr="003C6DAE">
        <w:rPr>
          <w:spacing w:val="-2"/>
          <w:sz w:val="20"/>
          <w:szCs w:val="20"/>
          <w:lang w:val="uk-UA"/>
        </w:rPr>
        <w:t>Огляд учасників представлено в таблиці 2.1.2.3</w:t>
      </w:r>
      <w:r w:rsidR="007D4554">
        <w:rPr>
          <w:spacing w:val="-2"/>
          <w:sz w:val="20"/>
          <w:szCs w:val="20"/>
          <w:lang w:val="uk-UA"/>
        </w:rPr>
        <w:t>.</w:t>
      </w:r>
      <w:r w:rsidRPr="003C6DAE">
        <w:rPr>
          <w:spacing w:val="-2"/>
          <w:sz w:val="20"/>
          <w:szCs w:val="20"/>
          <w:lang w:val="uk-UA"/>
        </w:rPr>
        <w:t xml:space="preserve"> Щоб приховати особу учасників дослідження, вони були закодовані за країною (Молдова [M], Індія [I] або Південна Африка [S]), професією (клініцист або лікар [M], </w:t>
      </w:r>
      <w:r w:rsidR="007D4554">
        <w:rPr>
          <w:spacing w:val="-2"/>
          <w:sz w:val="20"/>
          <w:szCs w:val="20"/>
          <w:lang w:val="uk-UA"/>
        </w:rPr>
        <w:t>захисник</w:t>
      </w:r>
      <w:r w:rsidRPr="003C6DAE">
        <w:rPr>
          <w:spacing w:val="-2"/>
          <w:sz w:val="20"/>
          <w:szCs w:val="20"/>
          <w:lang w:val="uk-UA"/>
        </w:rPr>
        <w:t xml:space="preserve">/представник пацієнтів [R], персонал лабораторії [L] або </w:t>
      </w:r>
      <w:r w:rsidR="007D4554">
        <w:rPr>
          <w:spacing w:val="-2"/>
          <w:sz w:val="20"/>
          <w:szCs w:val="20"/>
          <w:lang w:val="uk-UA"/>
        </w:rPr>
        <w:t>керівники</w:t>
      </w:r>
      <w:r w:rsidRPr="003C6DAE">
        <w:rPr>
          <w:spacing w:val="-2"/>
          <w:sz w:val="20"/>
          <w:szCs w:val="20"/>
          <w:lang w:val="uk-UA"/>
        </w:rPr>
        <w:t xml:space="preserve"> програм [P]) і номером.</w:t>
      </w:r>
      <w:r w:rsidR="007D4554">
        <w:rPr>
          <w:spacing w:val="-2"/>
          <w:sz w:val="20"/>
          <w:szCs w:val="20"/>
          <w:lang w:val="uk-UA"/>
        </w:rPr>
        <w:t xml:space="preserve">  </w:t>
      </w:r>
    </w:p>
    <w:p w14:paraId="54173379" w14:textId="5C265247" w:rsidR="00E05B98" w:rsidRPr="003C6DAE" w:rsidRDefault="00FC3E68">
      <w:pPr>
        <w:pStyle w:val="6"/>
        <w:spacing w:before="243"/>
        <w:jc w:val="both"/>
        <w:rPr>
          <w:rFonts w:ascii="Microsoft Sans Serif" w:hAnsi="Microsoft Sans Serif" w:cs="Microsoft Sans Serif"/>
          <w:sz w:val="20"/>
          <w:szCs w:val="20"/>
          <w:lang w:val="uk-UA"/>
        </w:rPr>
      </w:pPr>
      <w:r w:rsidRPr="003C6DAE">
        <w:rPr>
          <w:rFonts w:ascii="Microsoft Sans Serif" w:hAnsi="Microsoft Sans Serif" w:cs="Microsoft Sans Serif"/>
          <w:color w:val="636466"/>
          <w:sz w:val="20"/>
          <w:szCs w:val="20"/>
          <w:lang w:val="uk-UA"/>
        </w:rPr>
        <w:t>Таблиця</w:t>
      </w:r>
      <w:r w:rsidR="00B01E0C" w:rsidRPr="003C6DAE">
        <w:rPr>
          <w:rFonts w:ascii="Microsoft Sans Serif" w:hAnsi="Microsoft Sans Serif" w:cs="Microsoft Sans Serif"/>
          <w:color w:val="636466"/>
          <w:spacing w:val="-2"/>
          <w:sz w:val="20"/>
          <w:szCs w:val="20"/>
          <w:lang w:val="uk-UA"/>
        </w:rPr>
        <w:t xml:space="preserve"> </w:t>
      </w:r>
      <w:r w:rsidR="00B01E0C" w:rsidRPr="003C6DAE">
        <w:rPr>
          <w:rFonts w:ascii="Microsoft Sans Serif" w:hAnsi="Microsoft Sans Serif" w:cs="Microsoft Sans Serif"/>
          <w:color w:val="636466"/>
          <w:sz w:val="20"/>
          <w:szCs w:val="20"/>
          <w:lang w:val="uk-UA"/>
        </w:rPr>
        <w:t>2.1.2.3</w:t>
      </w:r>
      <w:r w:rsidR="00B01E0C" w:rsidRPr="003C6DAE">
        <w:rPr>
          <w:rFonts w:ascii="Microsoft Sans Serif" w:hAnsi="Microsoft Sans Serif" w:cs="Microsoft Sans Serif"/>
          <w:color w:val="636466"/>
          <w:spacing w:val="-1"/>
          <w:sz w:val="20"/>
          <w:szCs w:val="20"/>
          <w:lang w:val="uk-UA"/>
        </w:rPr>
        <w:t xml:space="preserve"> </w:t>
      </w:r>
      <w:r w:rsidRPr="003C6DAE">
        <w:rPr>
          <w:rFonts w:ascii="Microsoft Sans Serif" w:hAnsi="Microsoft Sans Serif" w:cs="Microsoft Sans Serif"/>
          <w:color w:val="636466"/>
          <w:spacing w:val="-1"/>
          <w:sz w:val="20"/>
          <w:szCs w:val="20"/>
          <w:lang w:val="uk-UA"/>
        </w:rPr>
        <w:t xml:space="preserve">  </w:t>
      </w:r>
      <w:r w:rsidR="00E8576D">
        <w:rPr>
          <w:rFonts w:ascii="Microsoft Sans Serif" w:hAnsi="Microsoft Sans Serif" w:cs="Microsoft Sans Serif"/>
          <w:color w:val="636466"/>
          <w:sz w:val="20"/>
          <w:szCs w:val="20"/>
          <w:lang w:val="uk-UA"/>
        </w:rPr>
        <w:t>Загальні відомості про</w:t>
      </w:r>
      <w:r w:rsidRPr="003C6DAE">
        <w:rPr>
          <w:rFonts w:ascii="Microsoft Sans Serif" w:hAnsi="Microsoft Sans Serif" w:cs="Microsoft Sans Serif"/>
          <w:color w:val="636466"/>
          <w:sz w:val="20"/>
          <w:szCs w:val="20"/>
          <w:lang w:val="uk-UA"/>
        </w:rPr>
        <w:t xml:space="preserve"> учасників для проведення інтерв’ю з кінцевими користувачами</w:t>
      </w:r>
    </w:p>
    <w:p w14:paraId="191E7FBA" w14:textId="77777777" w:rsidR="00E05B98" w:rsidRPr="003C6DAE" w:rsidRDefault="00E05B98">
      <w:pPr>
        <w:pStyle w:val="a3"/>
        <w:spacing w:before="3" w:after="1"/>
        <w:rPr>
          <w:b/>
          <w:sz w:val="20"/>
          <w:szCs w:val="20"/>
          <w:lang w:val="uk-UA"/>
        </w:rPr>
      </w:pPr>
    </w:p>
    <w:tbl>
      <w:tblPr>
        <w:tblStyle w:val="TableNormal"/>
        <w:tblW w:w="0" w:type="auto"/>
        <w:tblInd w:w="57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3978"/>
        <w:gridCol w:w="1701"/>
        <w:gridCol w:w="1701"/>
        <w:gridCol w:w="1956"/>
      </w:tblGrid>
      <w:tr w:rsidR="00E05B98" w:rsidRPr="003C6DAE" w14:paraId="20F30493" w14:textId="77777777" w:rsidTr="00FC3E68">
        <w:trPr>
          <w:trHeight w:val="430"/>
        </w:trPr>
        <w:tc>
          <w:tcPr>
            <w:tcW w:w="3978" w:type="dxa"/>
            <w:tcBorders>
              <w:bottom w:val="single" w:sz="6" w:space="0" w:color="019648"/>
              <w:right w:val="single" w:sz="6" w:space="0" w:color="019648"/>
            </w:tcBorders>
            <w:shd w:val="clear" w:color="auto" w:fill="62A86B"/>
          </w:tcPr>
          <w:p w14:paraId="4216C315" w14:textId="77777777" w:rsidR="00E05B98" w:rsidRPr="003C6DAE" w:rsidRDefault="00E05B98">
            <w:pPr>
              <w:pStyle w:val="TableParagraph"/>
              <w:spacing w:before="0"/>
              <w:ind w:left="0"/>
              <w:rPr>
                <w:sz w:val="20"/>
                <w:szCs w:val="20"/>
                <w:lang w:val="uk-UA"/>
              </w:rPr>
            </w:pPr>
          </w:p>
        </w:tc>
        <w:tc>
          <w:tcPr>
            <w:tcW w:w="1701" w:type="dxa"/>
            <w:tcBorders>
              <w:left w:val="single" w:sz="6" w:space="0" w:color="019648"/>
              <w:bottom w:val="single" w:sz="6" w:space="0" w:color="019648"/>
              <w:right w:val="single" w:sz="6" w:space="0" w:color="019648"/>
            </w:tcBorders>
            <w:shd w:val="clear" w:color="auto" w:fill="62A86B"/>
          </w:tcPr>
          <w:p w14:paraId="7E46E586" w14:textId="5700C5A8" w:rsidR="00E05B98" w:rsidRPr="003C6DAE" w:rsidRDefault="00FC3E68">
            <w:pPr>
              <w:pStyle w:val="TableParagraph"/>
              <w:spacing w:before="95"/>
              <w:ind w:left="138"/>
              <w:rPr>
                <w:b/>
                <w:sz w:val="20"/>
                <w:szCs w:val="20"/>
                <w:lang w:val="uk-UA"/>
              </w:rPr>
            </w:pPr>
            <w:r w:rsidRPr="003C6DAE">
              <w:rPr>
                <w:b/>
                <w:color w:val="FFFFFF"/>
                <w:spacing w:val="-2"/>
                <w:w w:val="105"/>
                <w:sz w:val="20"/>
                <w:szCs w:val="20"/>
                <w:lang w:val="uk-UA"/>
              </w:rPr>
              <w:t xml:space="preserve">Молдова </w:t>
            </w:r>
          </w:p>
        </w:tc>
        <w:tc>
          <w:tcPr>
            <w:tcW w:w="1701" w:type="dxa"/>
            <w:tcBorders>
              <w:left w:val="single" w:sz="6" w:space="0" w:color="019648"/>
              <w:bottom w:val="single" w:sz="6" w:space="0" w:color="019648"/>
              <w:right w:val="single" w:sz="6" w:space="0" w:color="019648"/>
            </w:tcBorders>
            <w:shd w:val="clear" w:color="auto" w:fill="62A86B"/>
          </w:tcPr>
          <w:p w14:paraId="00E05146" w14:textId="49991F48" w:rsidR="00E05B98" w:rsidRPr="003C6DAE" w:rsidRDefault="00FC3E68">
            <w:pPr>
              <w:pStyle w:val="TableParagraph"/>
              <w:spacing w:before="95"/>
              <w:ind w:left="138"/>
              <w:rPr>
                <w:b/>
                <w:sz w:val="20"/>
                <w:szCs w:val="20"/>
                <w:lang w:val="uk-UA"/>
              </w:rPr>
            </w:pPr>
            <w:r w:rsidRPr="003C6DAE">
              <w:rPr>
                <w:b/>
                <w:color w:val="FFFFFF"/>
                <w:spacing w:val="-4"/>
                <w:w w:val="105"/>
                <w:sz w:val="20"/>
                <w:szCs w:val="20"/>
                <w:lang w:val="uk-UA"/>
              </w:rPr>
              <w:t>Індія</w:t>
            </w:r>
          </w:p>
        </w:tc>
        <w:tc>
          <w:tcPr>
            <w:tcW w:w="1956" w:type="dxa"/>
            <w:tcBorders>
              <w:left w:val="single" w:sz="6" w:space="0" w:color="019648"/>
              <w:bottom w:val="single" w:sz="6" w:space="0" w:color="019648"/>
              <w:right w:val="single" w:sz="6" w:space="0" w:color="019648"/>
            </w:tcBorders>
            <w:shd w:val="clear" w:color="auto" w:fill="62A86B"/>
          </w:tcPr>
          <w:p w14:paraId="389AAD31" w14:textId="6EEED298" w:rsidR="00E05B98" w:rsidRPr="003C6DAE" w:rsidRDefault="00FC3E68">
            <w:pPr>
              <w:pStyle w:val="TableParagraph"/>
              <w:spacing w:before="95"/>
              <w:ind w:left="138"/>
              <w:rPr>
                <w:b/>
                <w:sz w:val="20"/>
                <w:szCs w:val="20"/>
                <w:lang w:val="uk-UA"/>
              </w:rPr>
            </w:pPr>
            <w:r w:rsidRPr="003C6DAE">
              <w:rPr>
                <w:b/>
                <w:color w:val="FFFFFF"/>
                <w:sz w:val="20"/>
                <w:szCs w:val="20"/>
                <w:lang w:val="uk-UA"/>
              </w:rPr>
              <w:t>Південна Африка</w:t>
            </w:r>
          </w:p>
        </w:tc>
      </w:tr>
      <w:tr w:rsidR="00E05B98" w:rsidRPr="003C6DAE" w14:paraId="476ACADE" w14:textId="77777777" w:rsidTr="00FC3E68">
        <w:trPr>
          <w:trHeight w:val="387"/>
        </w:trPr>
        <w:tc>
          <w:tcPr>
            <w:tcW w:w="3978" w:type="dxa"/>
            <w:tcBorders>
              <w:top w:val="single" w:sz="6" w:space="0" w:color="019648"/>
              <w:left w:val="nil"/>
              <w:bottom w:val="single" w:sz="6" w:space="0" w:color="019648"/>
              <w:right w:val="nil"/>
            </w:tcBorders>
          </w:tcPr>
          <w:p w14:paraId="26033D31" w14:textId="43749F16" w:rsidR="00E05B98" w:rsidRPr="003C6DAE" w:rsidRDefault="00FC3E68">
            <w:pPr>
              <w:pStyle w:val="TableParagraph"/>
              <w:spacing w:before="75"/>
              <w:ind w:left="132"/>
              <w:rPr>
                <w:b/>
                <w:sz w:val="20"/>
                <w:szCs w:val="20"/>
                <w:lang w:val="uk-UA"/>
              </w:rPr>
            </w:pPr>
            <w:r w:rsidRPr="003C6DAE">
              <w:rPr>
                <w:b/>
                <w:spacing w:val="-2"/>
                <w:sz w:val="20"/>
                <w:szCs w:val="20"/>
                <w:lang w:val="uk-UA"/>
              </w:rPr>
              <w:t>Лікар-клініцист або лікар</w:t>
            </w:r>
          </w:p>
        </w:tc>
        <w:tc>
          <w:tcPr>
            <w:tcW w:w="1701" w:type="dxa"/>
            <w:tcBorders>
              <w:top w:val="single" w:sz="6" w:space="0" w:color="019648"/>
              <w:left w:val="nil"/>
              <w:bottom w:val="single" w:sz="6" w:space="0" w:color="019648"/>
              <w:right w:val="nil"/>
            </w:tcBorders>
          </w:tcPr>
          <w:p w14:paraId="654F46B5" w14:textId="77777777" w:rsidR="00E05B98" w:rsidRPr="003C6DAE" w:rsidRDefault="00B01E0C">
            <w:pPr>
              <w:pStyle w:val="TableParagraph"/>
              <w:ind w:left="20" w:right="1"/>
              <w:jc w:val="center"/>
              <w:rPr>
                <w:sz w:val="20"/>
                <w:szCs w:val="20"/>
                <w:lang w:val="uk-UA"/>
              </w:rPr>
            </w:pPr>
            <w:r w:rsidRPr="003C6DAE">
              <w:rPr>
                <w:spacing w:val="-10"/>
                <w:w w:val="105"/>
                <w:sz w:val="20"/>
                <w:szCs w:val="20"/>
                <w:lang w:val="uk-UA"/>
              </w:rPr>
              <w:t>1</w:t>
            </w:r>
          </w:p>
        </w:tc>
        <w:tc>
          <w:tcPr>
            <w:tcW w:w="1701" w:type="dxa"/>
            <w:tcBorders>
              <w:top w:val="single" w:sz="6" w:space="0" w:color="019648"/>
              <w:left w:val="nil"/>
              <w:bottom w:val="single" w:sz="6" w:space="0" w:color="019648"/>
              <w:right w:val="nil"/>
            </w:tcBorders>
          </w:tcPr>
          <w:p w14:paraId="2D5879A7" w14:textId="77777777" w:rsidR="00E05B98" w:rsidRPr="003C6DAE" w:rsidRDefault="00B01E0C">
            <w:pPr>
              <w:pStyle w:val="TableParagraph"/>
              <w:ind w:left="0" w:right="775"/>
              <w:jc w:val="right"/>
              <w:rPr>
                <w:sz w:val="20"/>
                <w:szCs w:val="20"/>
                <w:lang w:val="uk-UA"/>
              </w:rPr>
            </w:pPr>
            <w:r w:rsidRPr="003C6DAE">
              <w:rPr>
                <w:spacing w:val="-10"/>
                <w:w w:val="105"/>
                <w:sz w:val="20"/>
                <w:szCs w:val="20"/>
                <w:lang w:val="uk-UA"/>
              </w:rPr>
              <w:t>1</w:t>
            </w:r>
          </w:p>
        </w:tc>
        <w:tc>
          <w:tcPr>
            <w:tcW w:w="1956" w:type="dxa"/>
            <w:tcBorders>
              <w:top w:val="single" w:sz="6" w:space="0" w:color="019648"/>
              <w:left w:val="nil"/>
              <w:bottom w:val="single" w:sz="6" w:space="0" w:color="019648"/>
              <w:right w:val="nil"/>
            </w:tcBorders>
          </w:tcPr>
          <w:p w14:paraId="363FC4B9" w14:textId="77777777" w:rsidR="00E05B98" w:rsidRPr="003C6DAE" w:rsidRDefault="00B01E0C">
            <w:pPr>
              <w:pStyle w:val="TableParagraph"/>
              <w:ind w:left="11"/>
              <w:jc w:val="center"/>
              <w:rPr>
                <w:sz w:val="20"/>
                <w:szCs w:val="20"/>
                <w:lang w:val="uk-UA"/>
              </w:rPr>
            </w:pPr>
            <w:r w:rsidRPr="003C6DAE">
              <w:rPr>
                <w:spacing w:val="-10"/>
                <w:w w:val="105"/>
                <w:sz w:val="20"/>
                <w:szCs w:val="20"/>
                <w:lang w:val="uk-UA"/>
              </w:rPr>
              <w:t>1</w:t>
            </w:r>
          </w:p>
        </w:tc>
      </w:tr>
      <w:tr w:rsidR="00E05B98" w:rsidRPr="003C6DAE" w14:paraId="27ED3F4A" w14:textId="77777777" w:rsidTr="00FC3E68">
        <w:trPr>
          <w:trHeight w:val="387"/>
        </w:trPr>
        <w:tc>
          <w:tcPr>
            <w:tcW w:w="3978" w:type="dxa"/>
            <w:tcBorders>
              <w:top w:val="single" w:sz="6" w:space="0" w:color="019648"/>
              <w:left w:val="nil"/>
              <w:bottom w:val="single" w:sz="6" w:space="0" w:color="019648"/>
              <w:right w:val="nil"/>
            </w:tcBorders>
          </w:tcPr>
          <w:p w14:paraId="66F5826F" w14:textId="3EFD1B41" w:rsidR="00E05B98" w:rsidRPr="003C6DAE" w:rsidRDefault="00FC3E68">
            <w:pPr>
              <w:pStyle w:val="TableParagraph"/>
              <w:spacing w:before="75"/>
              <w:ind w:left="132"/>
              <w:rPr>
                <w:b/>
                <w:sz w:val="20"/>
                <w:szCs w:val="20"/>
                <w:lang w:val="uk-UA"/>
              </w:rPr>
            </w:pPr>
            <w:r w:rsidRPr="003C6DAE">
              <w:rPr>
                <w:b/>
                <w:sz w:val="20"/>
                <w:szCs w:val="20"/>
                <w:lang w:val="uk-UA"/>
              </w:rPr>
              <w:t>Захисник/представник пацієнта</w:t>
            </w:r>
          </w:p>
        </w:tc>
        <w:tc>
          <w:tcPr>
            <w:tcW w:w="1701" w:type="dxa"/>
            <w:tcBorders>
              <w:top w:val="single" w:sz="6" w:space="0" w:color="019648"/>
              <w:left w:val="nil"/>
              <w:bottom w:val="single" w:sz="6" w:space="0" w:color="019648"/>
              <w:right w:val="nil"/>
            </w:tcBorders>
          </w:tcPr>
          <w:p w14:paraId="7399C9B7" w14:textId="77777777" w:rsidR="00E05B98" w:rsidRPr="003C6DAE" w:rsidRDefault="00B01E0C">
            <w:pPr>
              <w:pStyle w:val="TableParagraph"/>
              <w:ind w:left="20" w:right="1"/>
              <w:jc w:val="center"/>
              <w:rPr>
                <w:sz w:val="20"/>
                <w:szCs w:val="20"/>
                <w:lang w:val="uk-UA"/>
              </w:rPr>
            </w:pPr>
            <w:r w:rsidRPr="003C6DAE">
              <w:rPr>
                <w:spacing w:val="-10"/>
                <w:w w:val="105"/>
                <w:sz w:val="20"/>
                <w:szCs w:val="20"/>
                <w:lang w:val="uk-UA"/>
              </w:rPr>
              <w:t>1</w:t>
            </w:r>
          </w:p>
        </w:tc>
        <w:tc>
          <w:tcPr>
            <w:tcW w:w="1701" w:type="dxa"/>
            <w:tcBorders>
              <w:top w:val="single" w:sz="6" w:space="0" w:color="019648"/>
              <w:left w:val="nil"/>
              <w:bottom w:val="single" w:sz="6" w:space="0" w:color="019648"/>
              <w:right w:val="nil"/>
            </w:tcBorders>
          </w:tcPr>
          <w:p w14:paraId="6DDC792C" w14:textId="77777777" w:rsidR="00E05B98" w:rsidRPr="003C6DAE" w:rsidRDefault="00B01E0C">
            <w:pPr>
              <w:pStyle w:val="TableParagraph"/>
              <w:ind w:left="0" w:right="775"/>
              <w:jc w:val="right"/>
              <w:rPr>
                <w:sz w:val="20"/>
                <w:szCs w:val="20"/>
                <w:lang w:val="uk-UA"/>
              </w:rPr>
            </w:pPr>
            <w:r w:rsidRPr="003C6DAE">
              <w:rPr>
                <w:spacing w:val="-10"/>
                <w:w w:val="105"/>
                <w:sz w:val="20"/>
                <w:szCs w:val="20"/>
                <w:lang w:val="uk-UA"/>
              </w:rPr>
              <w:t>1</w:t>
            </w:r>
          </w:p>
        </w:tc>
        <w:tc>
          <w:tcPr>
            <w:tcW w:w="1956" w:type="dxa"/>
            <w:tcBorders>
              <w:top w:val="single" w:sz="6" w:space="0" w:color="019648"/>
              <w:left w:val="nil"/>
              <w:bottom w:val="single" w:sz="6" w:space="0" w:color="019648"/>
              <w:right w:val="nil"/>
            </w:tcBorders>
          </w:tcPr>
          <w:p w14:paraId="3E218B64" w14:textId="77777777" w:rsidR="00E05B98" w:rsidRPr="003C6DAE" w:rsidRDefault="00B01E0C">
            <w:pPr>
              <w:pStyle w:val="TableParagraph"/>
              <w:ind w:left="11"/>
              <w:jc w:val="center"/>
              <w:rPr>
                <w:sz w:val="20"/>
                <w:szCs w:val="20"/>
                <w:lang w:val="uk-UA"/>
              </w:rPr>
            </w:pPr>
            <w:r w:rsidRPr="003C6DAE">
              <w:rPr>
                <w:spacing w:val="-10"/>
                <w:w w:val="105"/>
                <w:sz w:val="20"/>
                <w:szCs w:val="20"/>
                <w:lang w:val="uk-UA"/>
              </w:rPr>
              <w:t>1</w:t>
            </w:r>
          </w:p>
        </w:tc>
      </w:tr>
      <w:tr w:rsidR="00E05B98" w:rsidRPr="003C6DAE" w14:paraId="58351CBF" w14:textId="77777777" w:rsidTr="00FC3E68">
        <w:trPr>
          <w:trHeight w:val="387"/>
        </w:trPr>
        <w:tc>
          <w:tcPr>
            <w:tcW w:w="3978" w:type="dxa"/>
            <w:tcBorders>
              <w:top w:val="single" w:sz="6" w:space="0" w:color="019648"/>
              <w:left w:val="nil"/>
              <w:bottom w:val="single" w:sz="6" w:space="0" w:color="019648"/>
              <w:right w:val="nil"/>
            </w:tcBorders>
          </w:tcPr>
          <w:p w14:paraId="53A1CA0E" w14:textId="58D9C23A" w:rsidR="00E05B98" w:rsidRPr="003C6DAE" w:rsidRDefault="00FC3E68">
            <w:pPr>
              <w:pStyle w:val="TableParagraph"/>
              <w:spacing w:before="75"/>
              <w:ind w:left="132"/>
              <w:rPr>
                <w:b/>
                <w:sz w:val="20"/>
                <w:szCs w:val="20"/>
                <w:lang w:val="uk-UA"/>
              </w:rPr>
            </w:pPr>
            <w:r w:rsidRPr="003C6DAE">
              <w:rPr>
                <w:b/>
                <w:sz w:val="20"/>
                <w:szCs w:val="20"/>
                <w:lang w:val="uk-UA"/>
              </w:rPr>
              <w:t>Персонал лабораторії</w:t>
            </w:r>
          </w:p>
        </w:tc>
        <w:tc>
          <w:tcPr>
            <w:tcW w:w="1701" w:type="dxa"/>
            <w:tcBorders>
              <w:top w:val="single" w:sz="6" w:space="0" w:color="019648"/>
              <w:left w:val="nil"/>
              <w:bottom w:val="single" w:sz="6" w:space="0" w:color="019648"/>
              <w:right w:val="nil"/>
            </w:tcBorders>
          </w:tcPr>
          <w:p w14:paraId="00D16291" w14:textId="77777777" w:rsidR="00E05B98" w:rsidRPr="003C6DAE" w:rsidRDefault="00B01E0C">
            <w:pPr>
              <w:pStyle w:val="TableParagraph"/>
              <w:spacing w:before="74"/>
              <w:ind w:left="20" w:right="1"/>
              <w:jc w:val="center"/>
              <w:rPr>
                <w:sz w:val="20"/>
                <w:szCs w:val="20"/>
                <w:lang w:val="uk-UA"/>
              </w:rPr>
            </w:pPr>
            <w:r w:rsidRPr="003C6DAE">
              <w:rPr>
                <w:spacing w:val="-5"/>
                <w:position w:val="-8"/>
                <w:sz w:val="20"/>
                <w:szCs w:val="20"/>
                <w:lang w:val="uk-UA"/>
              </w:rPr>
              <w:t>2</w:t>
            </w:r>
            <w:r w:rsidRPr="003C6DAE">
              <w:rPr>
                <w:spacing w:val="-5"/>
                <w:sz w:val="20"/>
                <w:szCs w:val="20"/>
                <w:vertAlign w:val="superscript"/>
                <w:lang w:val="uk-UA"/>
              </w:rPr>
              <w:t>a</w:t>
            </w:r>
          </w:p>
        </w:tc>
        <w:tc>
          <w:tcPr>
            <w:tcW w:w="1701" w:type="dxa"/>
            <w:tcBorders>
              <w:top w:val="single" w:sz="6" w:space="0" w:color="019648"/>
              <w:left w:val="nil"/>
              <w:bottom w:val="single" w:sz="6" w:space="0" w:color="019648"/>
              <w:right w:val="nil"/>
            </w:tcBorders>
          </w:tcPr>
          <w:p w14:paraId="7BBF023B" w14:textId="77777777" w:rsidR="00E05B98" w:rsidRPr="003C6DAE" w:rsidRDefault="00B01E0C">
            <w:pPr>
              <w:pStyle w:val="TableParagraph"/>
              <w:spacing w:before="74"/>
              <w:ind w:left="0" w:right="741"/>
              <w:jc w:val="right"/>
              <w:rPr>
                <w:sz w:val="20"/>
                <w:szCs w:val="20"/>
                <w:lang w:val="uk-UA"/>
              </w:rPr>
            </w:pPr>
            <w:r w:rsidRPr="003C6DAE">
              <w:rPr>
                <w:spacing w:val="-5"/>
                <w:position w:val="-8"/>
                <w:sz w:val="20"/>
                <w:szCs w:val="20"/>
                <w:lang w:val="uk-UA"/>
              </w:rPr>
              <w:t>5</w:t>
            </w:r>
            <w:r w:rsidRPr="003C6DAE">
              <w:rPr>
                <w:spacing w:val="-5"/>
                <w:sz w:val="20"/>
                <w:szCs w:val="20"/>
                <w:vertAlign w:val="superscript"/>
                <w:lang w:val="uk-UA"/>
              </w:rPr>
              <w:t>a</w:t>
            </w:r>
          </w:p>
        </w:tc>
        <w:tc>
          <w:tcPr>
            <w:tcW w:w="1956" w:type="dxa"/>
            <w:tcBorders>
              <w:top w:val="single" w:sz="6" w:space="0" w:color="019648"/>
              <w:left w:val="nil"/>
              <w:bottom w:val="single" w:sz="6" w:space="0" w:color="019648"/>
              <w:right w:val="nil"/>
            </w:tcBorders>
          </w:tcPr>
          <w:p w14:paraId="69C57C0E" w14:textId="77777777" w:rsidR="00E05B98" w:rsidRPr="003C6DAE" w:rsidRDefault="00B01E0C">
            <w:pPr>
              <w:pStyle w:val="TableParagraph"/>
              <w:ind w:left="11"/>
              <w:jc w:val="center"/>
              <w:rPr>
                <w:sz w:val="20"/>
                <w:szCs w:val="20"/>
                <w:lang w:val="uk-UA"/>
              </w:rPr>
            </w:pPr>
            <w:r w:rsidRPr="003C6DAE">
              <w:rPr>
                <w:spacing w:val="-10"/>
                <w:w w:val="105"/>
                <w:sz w:val="20"/>
                <w:szCs w:val="20"/>
                <w:lang w:val="uk-UA"/>
              </w:rPr>
              <w:t>2</w:t>
            </w:r>
          </w:p>
        </w:tc>
      </w:tr>
      <w:tr w:rsidR="00E05B98" w:rsidRPr="003C6DAE" w14:paraId="72B9C6EB" w14:textId="77777777" w:rsidTr="00FC3E68">
        <w:trPr>
          <w:trHeight w:val="387"/>
        </w:trPr>
        <w:tc>
          <w:tcPr>
            <w:tcW w:w="3978" w:type="dxa"/>
            <w:tcBorders>
              <w:top w:val="single" w:sz="6" w:space="0" w:color="019648"/>
              <w:left w:val="nil"/>
              <w:bottom w:val="single" w:sz="6" w:space="0" w:color="019648"/>
              <w:right w:val="nil"/>
            </w:tcBorders>
          </w:tcPr>
          <w:p w14:paraId="089CA84D" w14:textId="143F9978" w:rsidR="00E05B98" w:rsidRPr="003C6DAE" w:rsidRDefault="00FC3E68">
            <w:pPr>
              <w:pStyle w:val="TableParagraph"/>
              <w:spacing w:before="75"/>
              <w:ind w:left="132"/>
              <w:rPr>
                <w:b/>
                <w:sz w:val="20"/>
                <w:szCs w:val="20"/>
                <w:lang w:val="uk-UA"/>
              </w:rPr>
            </w:pPr>
            <w:r w:rsidRPr="003C6DAE">
              <w:rPr>
                <w:b/>
                <w:sz w:val="20"/>
                <w:szCs w:val="20"/>
                <w:lang w:val="uk-UA"/>
              </w:rPr>
              <w:t>Керівники програми</w:t>
            </w:r>
          </w:p>
        </w:tc>
        <w:tc>
          <w:tcPr>
            <w:tcW w:w="1701" w:type="dxa"/>
            <w:tcBorders>
              <w:top w:val="single" w:sz="6" w:space="0" w:color="019648"/>
              <w:left w:val="nil"/>
              <w:bottom w:val="single" w:sz="6" w:space="0" w:color="019648"/>
              <w:right w:val="nil"/>
            </w:tcBorders>
          </w:tcPr>
          <w:p w14:paraId="7CF14E70" w14:textId="77777777" w:rsidR="00E05B98" w:rsidRPr="003C6DAE" w:rsidRDefault="00B01E0C">
            <w:pPr>
              <w:pStyle w:val="TableParagraph"/>
              <w:spacing w:before="74"/>
              <w:ind w:left="20" w:right="1"/>
              <w:jc w:val="center"/>
              <w:rPr>
                <w:sz w:val="20"/>
                <w:szCs w:val="20"/>
                <w:lang w:val="uk-UA"/>
              </w:rPr>
            </w:pPr>
            <w:r w:rsidRPr="003C6DAE">
              <w:rPr>
                <w:spacing w:val="-5"/>
                <w:position w:val="-8"/>
                <w:sz w:val="20"/>
                <w:szCs w:val="20"/>
                <w:lang w:val="uk-UA"/>
              </w:rPr>
              <w:t>2</w:t>
            </w:r>
            <w:r w:rsidRPr="003C6DAE">
              <w:rPr>
                <w:spacing w:val="-5"/>
                <w:sz w:val="20"/>
                <w:szCs w:val="20"/>
                <w:vertAlign w:val="superscript"/>
                <w:lang w:val="uk-UA"/>
              </w:rPr>
              <w:t>a</w:t>
            </w:r>
          </w:p>
        </w:tc>
        <w:tc>
          <w:tcPr>
            <w:tcW w:w="1701" w:type="dxa"/>
            <w:tcBorders>
              <w:top w:val="single" w:sz="6" w:space="0" w:color="019648"/>
              <w:left w:val="nil"/>
              <w:bottom w:val="single" w:sz="6" w:space="0" w:color="019648"/>
              <w:right w:val="nil"/>
            </w:tcBorders>
          </w:tcPr>
          <w:p w14:paraId="505B0EEE" w14:textId="77777777" w:rsidR="00E05B98" w:rsidRPr="003C6DAE" w:rsidRDefault="00B01E0C">
            <w:pPr>
              <w:pStyle w:val="TableParagraph"/>
              <w:ind w:left="0" w:right="775"/>
              <w:jc w:val="right"/>
              <w:rPr>
                <w:sz w:val="20"/>
                <w:szCs w:val="20"/>
                <w:lang w:val="uk-UA"/>
              </w:rPr>
            </w:pPr>
            <w:r w:rsidRPr="003C6DAE">
              <w:rPr>
                <w:spacing w:val="-10"/>
                <w:w w:val="105"/>
                <w:sz w:val="20"/>
                <w:szCs w:val="20"/>
                <w:lang w:val="uk-UA"/>
              </w:rPr>
              <w:t>2</w:t>
            </w:r>
          </w:p>
        </w:tc>
        <w:tc>
          <w:tcPr>
            <w:tcW w:w="1956" w:type="dxa"/>
            <w:tcBorders>
              <w:top w:val="single" w:sz="6" w:space="0" w:color="019648"/>
              <w:left w:val="nil"/>
              <w:bottom w:val="single" w:sz="6" w:space="0" w:color="019648"/>
              <w:right w:val="nil"/>
            </w:tcBorders>
          </w:tcPr>
          <w:p w14:paraId="50589E32" w14:textId="77777777" w:rsidR="00E05B98" w:rsidRPr="003C6DAE" w:rsidRDefault="00B01E0C">
            <w:pPr>
              <w:pStyle w:val="TableParagraph"/>
              <w:ind w:left="11"/>
              <w:jc w:val="center"/>
              <w:rPr>
                <w:sz w:val="20"/>
                <w:szCs w:val="20"/>
                <w:lang w:val="uk-UA"/>
              </w:rPr>
            </w:pPr>
            <w:r w:rsidRPr="003C6DAE">
              <w:rPr>
                <w:spacing w:val="-10"/>
                <w:w w:val="105"/>
                <w:sz w:val="20"/>
                <w:szCs w:val="20"/>
                <w:lang w:val="uk-UA"/>
              </w:rPr>
              <w:t>1</w:t>
            </w:r>
          </w:p>
        </w:tc>
      </w:tr>
    </w:tbl>
    <w:p w14:paraId="5C110EA5" w14:textId="756873C4" w:rsidR="00E05B98" w:rsidRPr="003C6DAE" w:rsidRDefault="00B01E0C">
      <w:pPr>
        <w:spacing w:before="257"/>
        <w:ind w:left="567"/>
        <w:rPr>
          <w:sz w:val="18"/>
          <w:lang w:val="uk-UA"/>
        </w:rPr>
      </w:pPr>
      <w:r w:rsidRPr="003C6DAE">
        <w:rPr>
          <w:sz w:val="18"/>
          <w:vertAlign w:val="superscript"/>
          <w:lang w:val="uk-UA"/>
        </w:rPr>
        <w:t>a</w:t>
      </w:r>
      <w:r w:rsidRPr="003C6DAE">
        <w:rPr>
          <w:spacing w:val="-7"/>
          <w:sz w:val="18"/>
          <w:lang w:val="uk-UA"/>
        </w:rPr>
        <w:t xml:space="preserve"> </w:t>
      </w:r>
      <w:r w:rsidR="007116C7" w:rsidRPr="003C6DAE">
        <w:rPr>
          <w:sz w:val="18"/>
          <w:lang w:val="uk-UA"/>
        </w:rPr>
        <w:t>Учасників опитували як групу.</w:t>
      </w:r>
    </w:p>
    <w:p w14:paraId="156BB1BA" w14:textId="77777777" w:rsidR="00E05B98" w:rsidRPr="003C6DAE" w:rsidRDefault="00E05B98">
      <w:pPr>
        <w:pStyle w:val="a3"/>
        <w:spacing w:before="119"/>
        <w:rPr>
          <w:sz w:val="18"/>
          <w:lang w:val="uk-UA"/>
        </w:rPr>
      </w:pPr>
    </w:p>
    <w:p w14:paraId="5F8DE19E" w14:textId="1BA3C427" w:rsidR="00E05B98" w:rsidRDefault="007116C7" w:rsidP="00E8576D">
      <w:pPr>
        <w:pStyle w:val="a3"/>
        <w:spacing w:line="276" w:lineRule="auto"/>
        <w:ind w:left="567"/>
        <w:rPr>
          <w:sz w:val="20"/>
          <w:szCs w:val="20"/>
          <w:lang w:val="uk-UA"/>
        </w:rPr>
      </w:pPr>
      <w:r w:rsidRPr="003C6DAE">
        <w:rPr>
          <w:sz w:val="20"/>
          <w:szCs w:val="20"/>
          <w:lang w:val="uk-UA"/>
        </w:rPr>
        <w:t xml:space="preserve">Інтерв’ю проводили за допомогою Zoom, Skype або по телефону. </w:t>
      </w:r>
      <w:r w:rsidR="007D4554">
        <w:rPr>
          <w:sz w:val="20"/>
          <w:szCs w:val="20"/>
          <w:lang w:val="uk-UA"/>
        </w:rPr>
        <w:t xml:space="preserve">Під час інтерв’ю </w:t>
      </w:r>
      <w:r w:rsidR="00507F6E">
        <w:rPr>
          <w:sz w:val="20"/>
          <w:szCs w:val="20"/>
          <w:lang w:val="uk-UA"/>
        </w:rPr>
        <w:t>обговорювалися</w:t>
      </w:r>
      <w:r w:rsidR="007D4554">
        <w:rPr>
          <w:sz w:val="20"/>
          <w:szCs w:val="20"/>
          <w:lang w:val="uk-UA"/>
        </w:rPr>
        <w:t xml:space="preserve"> наступні</w:t>
      </w:r>
      <w:r w:rsidRPr="003C6DAE">
        <w:rPr>
          <w:sz w:val="20"/>
          <w:szCs w:val="20"/>
          <w:lang w:val="uk-UA"/>
        </w:rPr>
        <w:t xml:space="preserve"> теми:</w:t>
      </w:r>
    </w:p>
    <w:p w14:paraId="02664942" w14:textId="77777777" w:rsidR="007D4554" w:rsidRPr="007D4554" w:rsidRDefault="007D4554" w:rsidP="00E8576D">
      <w:pPr>
        <w:pStyle w:val="a3"/>
        <w:spacing w:line="276" w:lineRule="auto"/>
        <w:ind w:left="567"/>
        <w:rPr>
          <w:sz w:val="10"/>
          <w:szCs w:val="10"/>
          <w:lang w:val="uk-UA"/>
        </w:rPr>
      </w:pPr>
    </w:p>
    <w:p w14:paraId="4B584B4F" w14:textId="77777777" w:rsidR="007116C7" w:rsidRPr="003C6DAE" w:rsidRDefault="007116C7" w:rsidP="004A2937">
      <w:pPr>
        <w:pStyle w:val="a4"/>
        <w:numPr>
          <w:ilvl w:val="0"/>
          <w:numId w:val="24"/>
        </w:numPr>
        <w:tabs>
          <w:tab w:val="left" w:pos="850"/>
        </w:tabs>
        <w:spacing w:before="2" w:line="276" w:lineRule="auto"/>
        <w:ind w:right="145"/>
        <w:rPr>
          <w:sz w:val="20"/>
          <w:szCs w:val="20"/>
          <w:lang w:val="uk-UA"/>
        </w:rPr>
      </w:pPr>
      <w:r w:rsidRPr="003C6DAE">
        <w:rPr>
          <w:sz w:val="20"/>
          <w:szCs w:val="20"/>
          <w:lang w:val="uk-UA"/>
        </w:rPr>
        <w:t>сучасний підхід до діагностики ТБ, ТБ із множинною стійкістю туберкульозу (МЛС-ТБ) та ТБ з широкою лікарською стійкістю (ШЛС-ТБ), включаючи специфічні проблеми;</w:t>
      </w:r>
    </w:p>
    <w:p w14:paraId="154DFFE0" w14:textId="59910592" w:rsidR="007116C7" w:rsidRPr="003C6DAE" w:rsidRDefault="007116C7" w:rsidP="004A2937">
      <w:pPr>
        <w:pStyle w:val="a4"/>
        <w:numPr>
          <w:ilvl w:val="0"/>
          <w:numId w:val="24"/>
        </w:numPr>
        <w:tabs>
          <w:tab w:val="left" w:pos="850"/>
        </w:tabs>
        <w:spacing w:before="2" w:line="276" w:lineRule="auto"/>
        <w:ind w:right="145"/>
        <w:rPr>
          <w:sz w:val="20"/>
          <w:szCs w:val="20"/>
          <w:lang w:val="uk-UA"/>
        </w:rPr>
      </w:pPr>
      <w:r w:rsidRPr="003C6DAE">
        <w:rPr>
          <w:sz w:val="20"/>
          <w:szCs w:val="20"/>
          <w:lang w:val="uk-UA"/>
        </w:rPr>
        <w:t>досвід використання молекулярної діагностики ТБ та індексних тестів, зокрема, включаючи детальну інформацію про етапи, вжиті в процесі діагностики;</w:t>
      </w:r>
    </w:p>
    <w:p w14:paraId="0A229019" w14:textId="79C98A22" w:rsidR="00E05B98" w:rsidRPr="003C6DAE" w:rsidRDefault="007116C7" w:rsidP="004A2937">
      <w:pPr>
        <w:pStyle w:val="a4"/>
        <w:numPr>
          <w:ilvl w:val="0"/>
          <w:numId w:val="24"/>
        </w:numPr>
        <w:tabs>
          <w:tab w:val="left" w:pos="850"/>
        </w:tabs>
        <w:spacing w:before="2" w:line="276" w:lineRule="auto"/>
        <w:ind w:right="145"/>
        <w:jc w:val="left"/>
        <w:rPr>
          <w:sz w:val="20"/>
          <w:szCs w:val="20"/>
          <w:lang w:val="uk-UA"/>
        </w:rPr>
      </w:pPr>
      <w:r w:rsidRPr="003C6DAE">
        <w:rPr>
          <w:sz w:val="20"/>
          <w:szCs w:val="20"/>
          <w:lang w:val="uk-UA"/>
        </w:rPr>
        <w:t>досвід визначення критері</w:t>
      </w:r>
      <w:r w:rsidR="007D4554">
        <w:rPr>
          <w:sz w:val="20"/>
          <w:szCs w:val="20"/>
          <w:lang w:val="uk-UA"/>
        </w:rPr>
        <w:t>їв відповідності надання лікування</w:t>
      </w:r>
      <w:r w:rsidRPr="003C6DAE">
        <w:rPr>
          <w:sz w:val="20"/>
          <w:szCs w:val="20"/>
          <w:lang w:val="uk-UA"/>
        </w:rPr>
        <w:t xml:space="preserve"> та початку </w:t>
      </w:r>
      <w:r w:rsidR="007D4554">
        <w:rPr>
          <w:sz w:val="20"/>
          <w:szCs w:val="20"/>
          <w:lang w:val="uk-UA"/>
        </w:rPr>
        <w:t>терапії</w:t>
      </w:r>
      <w:r w:rsidRPr="003C6DAE">
        <w:rPr>
          <w:sz w:val="20"/>
          <w:szCs w:val="20"/>
          <w:lang w:val="uk-UA"/>
        </w:rPr>
        <w:t>, а також проблеми та переваги використання індексних тестів;</w:t>
      </w:r>
    </w:p>
    <w:p w14:paraId="6AFEB73E" w14:textId="77777777" w:rsidR="00E05B98" w:rsidRPr="003C6DAE" w:rsidRDefault="00E05B98">
      <w:pPr>
        <w:pStyle w:val="a4"/>
        <w:spacing w:line="297" w:lineRule="auto"/>
        <w:jc w:val="left"/>
        <w:rPr>
          <w:sz w:val="20"/>
          <w:szCs w:val="20"/>
          <w:lang w:val="uk-UA"/>
        </w:rPr>
        <w:sectPr w:rsidR="00E05B98" w:rsidRPr="003C6DAE" w:rsidSect="00FC3E68">
          <w:pgSz w:w="11910" w:h="16840"/>
          <w:pgMar w:top="1320" w:right="995" w:bottom="760" w:left="850" w:header="0" w:footer="573" w:gutter="0"/>
          <w:cols w:space="720"/>
        </w:sectPr>
      </w:pPr>
    </w:p>
    <w:p w14:paraId="73FEA8E8" w14:textId="77777777" w:rsidR="00876690" w:rsidRPr="003C6DAE" w:rsidRDefault="00876690" w:rsidP="004A2937">
      <w:pPr>
        <w:pStyle w:val="a4"/>
        <w:numPr>
          <w:ilvl w:val="0"/>
          <w:numId w:val="24"/>
        </w:numPr>
        <w:tabs>
          <w:tab w:val="left" w:pos="850"/>
        </w:tabs>
        <w:spacing w:line="269" w:lineRule="auto"/>
        <w:rPr>
          <w:sz w:val="20"/>
          <w:szCs w:val="20"/>
          <w:lang w:val="uk-UA"/>
        </w:rPr>
      </w:pPr>
      <w:r w:rsidRPr="003C6DAE">
        <w:rPr>
          <w:sz w:val="20"/>
          <w:szCs w:val="20"/>
          <w:lang w:val="uk-UA"/>
        </w:rPr>
        <w:lastRenderedPageBreak/>
        <w:t>загальний показник користі індексних тестів;</w:t>
      </w:r>
    </w:p>
    <w:p w14:paraId="0BA2B69C" w14:textId="01DF8C22" w:rsidR="00876690" w:rsidRPr="003C6DAE" w:rsidRDefault="00876690" w:rsidP="004A2937">
      <w:pPr>
        <w:pStyle w:val="a4"/>
        <w:numPr>
          <w:ilvl w:val="0"/>
          <w:numId w:val="24"/>
        </w:numPr>
        <w:tabs>
          <w:tab w:val="left" w:pos="850"/>
        </w:tabs>
        <w:spacing w:line="269" w:lineRule="auto"/>
        <w:rPr>
          <w:sz w:val="20"/>
          <w:szCs w:val="20"/>
          <w:lang w:val="uk-UA"/>
        </w:rPr>
      </w:pPr>
      <w:r w:rsidRPr="003C6DAE">
        <w:rPr>
          <w:sz w:val="20"/>
          <w:szCs w:val="20"/>
          <w:lang w:val="uk-UA"/>
        </w:rPr>
        <w:t>доцільність впровадження індексних тестів;</w:t>
      </w:r>
    </w:p>
    <w:p w14:paraId="7C44288E" w14:textId="7D02A11B" w:rsidR="00876690" w:rsidRPr="003C6DAE" w:rsidRDefault="00876690" w:rsidP="004A2937">
      <w:pPr>
        <w:pStyle w:val="a4"/>
        <w:numPr>
          <w:ilvl w:val="0"/>
          <w:numId w:val="24"/>
        </w:numPr>
        <w:tabs>
          <w:tab w:val="left" w:pos="850"/>
        </w:tabs>
        <w:spacing w:line="269" w:lineRule="auto"/>
        <w:rPr>
          <w:sz w:val="20"/>
          <w:szCs w:val="20"/>
          <w:lang w:val="uk-UA"/>
        </w:rPr>
      </w:pPr>
      <w:r w:rsidRPr="003C6DAE">
        <w:rPr>
          <w:sz w:val="20"/>
          <w:szCs w:val="20"/>
          <w:lang w:val="uk-UA"/>
        </w:rPr>
        <w:t>потенційний вплив індексних тестів на справедлив</w:t>
      </w:r>
      <w:r w:rsidR="00E8576D">
        <w:rPr>
          <w:sz w:val="20"/>
          <w:szCs w:val="20"/>
          <w:lang w:val="uk-UA"/>
        </w:rPr>
        <w:t>ість щодо</w:t>
      </w:r>
      <w:r w:rsidRPr="003C6DAE">
        <w:rPr>
          <w:sz w:val="20"/>
          <w:szCs w:val="20"/>
          <w:lang w:val="uk-UA"/>
        </w:rPr>
        <w:t xml:space="preserve"> здоров'я;   та</w:t>
      </w:r>
    </w:p>
    <w:p w14:paraId="01600F9F" w14:textId="226A2416" w:rsidR="00E05B98" w:rsidRPr="003C6DAE" w:rsidRDefault="00876690" w:rsidP="004A2937">
      <w:pPr>
        <w:pStyle w:val="a4"/>
        <w:numPr>
          <w:ilvl w:val="0"/>
          <w:numId w:val="24"/>
        </w:numPr>
        <w:tabs>
          <w:tab w:val="left" w:pos="850"/>
        </w:tabs>
        <w:spacing w:line="269" w:lineRule="auto"/>
        <w:jc w:val="left"/>
        <w:rPr>
          <w:sz w:val="20"/>
          <w:szCs w:val="20"/>
          <w:lang w:val="uk-UA"/>
        </w:rPr>
      </w:pPr>
      <w:r w:rsidRPr="003C6DAE">
        <w:rPr>
          <w:sz w:val="20"/>
          <w:szCs w:val="20"/>
          <w:lang w:val="uk-UA"/>
        </w:rPr>
        <w:t>як потенційний вплив індексних тестів співвідноситься з поточним контекстом політики.</w:t>
      </w:r>
    </w:p>
    <w:p w14:paraId="5D43F0B8" w14:textId="77777777" w:rsidR="00E05B98" w:rsidRPr="00D9348B" w:rsidRDefault="00E05B98" w:rsidP="00FD655A">
      <w:pPr>
        <w:pStyle w:val="a3"/>
        <w:spacing w:before="39" w:line="269" w:lineRule="auto"/>
        <w:rPr>
          <w:sz w:val="12"/>
          <w:szCs w:val="12"/>
          <w:lang w:val="uk-UA"/>
        </w:rPr>
      </w:pPr>
    </w:p>
    <w:p w14:paraId="1276B843" w14:textId="531EF755" w:rsidR="00E05B98" w:rsidRPr="003C6DAE" w:rsidRDefault="00B37305" w:rsidP="00FD655A">
      <w:pPr>
        <w:pStyle w:val="a3"/>
        <w:spacing w:line="269" w:lineRule="auto"/>
        <w:ind w:left="567"/>
        <w:jc w:val="both"/>
        <w:rPr>
          <w:sz w:val="20"/>
          <w:szCs w:val="20"/>
          <w:lang w:val="uk-UA"/>
        </w:rPr>
      </w:pPr>
      <w:r w:rsidRPr="003C6DAE">
        <w:rPr>
          <w:w w:val="105"/>
          <w:sz w:val="20"/>
          <w:szCs w:val="20"/>
          <w:lang w:val="uk-UA"/>
        </w:rPr>
        <w:t xml:space="preserve">Було відзначено декілька важливих обмежень цього підходу. У кожній країні було опитано лише кілька учасників. Через використання Zoom, Skype або телефону для проведення інтерв’ю не було можливості провести тріангуляцію даних інтерв’ю з іншими доказами, які зазвичай збирають за допомогою етнографічних підходів (наприклад, багатократні інтерв’ю та неофіційні бесіди в одному закладі, спостереження або відвідування сайтів). Крім того, лише деякі з учасників мали особистий досвід </w:t>
      </w:r>
      <w:r w:rsidR="007D4554">
        <w:rPr>
          <w:w w:val="105"/>
          <w:sz w:val="20"/>
          <w:szCs w:val="20"/>
          <w:lang w:val="uk-UA"/>
        </w:rPr>
        <w:t>виконання</w:t>
      </w:r>
      <w:r w:rsidRPr="003C6DAE">
        <w:rPr>
          <w:w w:val="105"/>
          <w:sz w:val="20"/>
          <w:szCs w:val="20"/>
          <w:lang w:val="uk-UA"/>
        </w:rPr>
        <w:t xml:space="preserve"> одного або всіх індексних тестів, а ті учасники, які мали </w:t>
      </w:r>
      <w:r w:rsidR="00E8576D">
        <w:rPr>
          <w:w w:val="105"/>
          <w:sz w:val="20"/>
          <w:szCs w:val="20"/>
          <w:lang w:val="uk-UA"/>
        </w:rPr>
        <w:t>практичні навички</w:t>
      </w:r>
      <w:r w:rsidRPr="003C6DAE">
        <w:rPr>
          <w:w w:val="105"/>
          <w:sz w:val="20"/>
          <w:szCs w:val="20"/>
          <w:lang w:val="uk-UA"/>
        </w:rPr>
        <w:t xml:space="preserve"> проведення тестів, використовували їх у дослідницьких умовах, а не в повсякденній </w:t>
      </w:r>
      <w:r w:rsidR="000F1083">
        <w:rPr>
          <w:w w:val="105"/>
          <w:sz w:val="20"/>
          <w:szCs w:val="20"/>
          <w:lang w:val="uk-UA"/>
        </w:rPr>
        <w:t>роботі</w:t>
      </w:r>
      <w:r w:rsidR="00B01E0C" w:rsidRPr="003C6DAE">
        <w:rPr>
          <w:w w:val="105"/>
          <w:sz w:val="20"/>
          <w:szCs w:val="20"/>
          <w:lang w:val="uk-UA"/>
        </w:rPr>
        <w:t>.</w:t>
      </w:r>
    </w:p>
    <w:p w14:paraId="6F87931E" w14:textId="32AF8C37" w:rsidR="00E05B98" w:rsidRPr="003C6DAE" w:rsidRDefault="00B37305" w:rsidP="00FD655A">
      <w:pPr>
        <w:spacing w:before="175" w:line="269" w:lineRule="auto"/>
        <w:ind w:left="567"/>
        <w:jc w:val="both"/>
        <w:rPr>
          <w:i/>
          <w:sz w:val="20"/>
          <w:szCs w:val="20"/>
          <w:lang w:val="uk-UA"/>
        </w:rPr>
      </w:pPr>
      <w:r w:rsidRPr="003C6DAE">
        <w:rPr>
          <w:sz w:val="20"/>
          <w:szCs w:val="20"/>
          <w:lang w:val="uk-UA"/>
        </w:rPr>
        <w:t xml:space="preserve">Конкретну  інформацію про ці інтерв’ю наведено у </w:t>
      </w:r>
      <w:r w:rsidRPr="003C6DAE">
        <w:rPr>
          <w:b/>
          <w:bCs/>
          <w:sz w:val="20"/>
          <w:szCs w:val="20"/>
          <w:lang w:val="uk-UA"/>
        </w:rPr>
        <w:t>веб-додатку B.14</w:t>
      </w:r>
      <w:r w:rsidRPr="003C6DAE">
        <w:rPr>
          <w:sz w:val="20"/>
          <w:szCs w:val="20"/>
          <w:lang w:val="uk-UA"/>
        </w:rPr>
        <w:t xml:space="preserve">: </w:t>
      </w:r>
      <w:r w:rsidR="00E8576D">
        <w:rPr>
          <w:i/>
          <w:iCs/>
          <w:sz w:val="20"/>
          <w:szCs w:val="20"/>
          <w:lang w:val="uk-UA"/>
        </w:rPr>
        <w:t>Точки зору</w:t>
      </w:r>
      <w:r w:rsidRPr="003C6DAE">
        <w:rPr>
          <w:i/>
          <w:iCs/>
          <w:sz w:val="20"/>
          <w:szCs w:val="20"/>
          <w:lang w:val="uk-UA"/>
        </w:rPr>
        <w:t xml:space="preserve"> користувачів стосовно тестів ампліфікаці</w:t>
      </w:r>
      <w:r w:rsidR="000F1083">
        <w:rPr>
          <w:i/>
          <w:iCs/>
          <w:sz w:val="20"/>
          <w:szCs w:val="20"/>
          <w:lang w:val="uk-UA"/>
        </w:rPr>
        <w:t>ї</w:t>
      </w:r>
      <w:r w:rsidRPr="003C6DAE">
        <w:rPr>
          <w:i/>
          <w:iCs/>
          <w:sz w:val="20"/>
          <w:szCs w:val="20"/>
          <w:lang w:val="uk-UA"/>
        </w:rPr>
        <w:t xml:space="preserve"> нуклеїнових кислот для виявлення туберкульозу та стійкості до протитуберкульозних препаратів: дослідження інтерв’ю</w:t>
      </w:r>
      <w:r w:rsidRPr="003C6DAE">
        <w:rPr>
          <w:sz w:val="20"/>
          <w:szCs w:val="20"/>
          <w:lang w:val="uk-UA"/>
        </w:rPr>
        <w:t>.</w:t>
      </w:r>
    </w:p>
    <w:p w14:paraId="3F23C941" w14:textId="3A994F04" w:rsidR="00E05B98" w:rsidRPr="003C6DAE" w:rsidRDefault="00B37305" w:rsidP="00FD655A">
      <w:pPr>
        <w:pStyle w:val="5"/>
        <w:spacing w:before="199" w:line="269" w:lineRule="auto"/>
        <w:rPr>
          <w:sz w:val="26"/>
          <w:szCs w:val="26"/>
          <w:lang w:val="uk-UA"/>
        </w:rPr>
      </w:pPr>
      <w:r w:rsidRPr="003C6DAE">
        <w:rPr>
          <w:color w:val="019648"/>
          <w:sz w:val="26"/>
          <w:szCs w:val="26"/>
          <w:lang w:val="uk-UA"/>
        </w:rPr>
        <w:t>Результати огляду та інтерв'ю</w:t>
      </w:r>
    </w:p>
    <w:p w14:paraId="5AEC970E" w14:textId="13A2EFED" w:rsidR="00E05B98" w:rsidRPr="003068C3" w:rsidRDefault="00B53E1F" w:rsidP="00FD655A">
      <w:pPr>
        <w:pStyle w:val="a3"/>
        <w:spacing w:before="218" w:line="269" w:lineRule="auto"/>
        <w:ind w:left="567"/>
        <w:jc w:val="both"/>
        <w:rPr>
          <w:sz w:val="20"/>
          <w:szCs w:val="20"/>
          <w:lang w:val="uk-UA"/>
        </w:rPr>
      </w:pPr>
      <w:r w:rsidRPr="003C6DAE">
        <w:rPr>
          <w:sz w:val="20"/>
          <w:szCs w:val="20"/>
          <w:lang w:val="uk-UA"/>
        </w:rPr>
        <w:t xml:space="preserve">Нижче наведено головні висновки систематичного огляду та інтерв'ю. Якщо інформація отримана з огляду, вказується рівень впевненості в </w:t>
      </w:r>
      <w:r w:rsidRPr="00E8576D">
        <w:rPr>
          <w:sz w:val="20"/>
          <w:szCs w:val="20"/>
          <w:lang w:val="uk-UA"/>
        </w:rPr>
        <w:t xml:space="preserve">синтезі </w:t>
      </w:r>
      <w:r w:rsidR="000F1083" w:rsidRPr="00E8576D">
        <w:rPr>
          <w:sz w:val="20"/>
          <w:szCs w:val="20"/>
          <w:lang w:val="uk-UA"/>
        </w:rPr>
        <w:t xml:space="preserve">якісних </w:t>
      </w:r>
      <w:r w:rsidRPr="00E8576D">
        <w:rPr>
          <w:sz w:val="20"/>
          <w:szCs w:val="20"/>
          <w:lang w:val="uk-UA"/>
        </w:rPr>
        <w:t>доказів</w:t>
      </w:r>
      <w:r w:rsidR="000F1083" w:rsidRPr="00E8576D">
        <w:rPr>
          <w:sz w:val="20"/>
          <w:szCs w:val="20"/>
          <w:lang w:val="uk-UA"/>
        </w:rPr>
        <w:t xml:space="preserve"> </w:t>
      </w:r>
      <w:r w:rsidRPr="00E8576D">
        <w:rPr>
          <w:sz w:val="20"/>
          <w:szCs w:val="20"/>
          <w:lang w:val="uk-UA"/>
        </w:rPr>
        <w:t>(QES)</w:t>
      </w:r>
      <w:r w:rsidRPr="003C6DAE">
        <w:rPr>
          <w:sz w:val="20"/>
          <w:szCs w:val="20"/>
          <w:lang w:val="uk-UA"/>
        </w:rPr>
        <w:t xml:space="preserve">; якщо </w:t>
      </w:r>
      <w:r w:rsidR="000F1083">
        <w:rPr>
          <w:sz w:val="20"/>
          <w:szCs w:val="20"/>
          <w:lang w:val="uk-UA"/>
        </w:rPr>
        <w:t>інформацію було отримано</w:t>
      </w:r>
      <w:r w:rsidRPr="003C6DAE">
        <w:rPr>
          <w:sz w:val="20"/>
          <w:szCs w:val="20"/>
          <w:lang w:val="uk-UA"/>
        </w:rPr>
        <w:t xml:space="preserve"> з інтерв’ю, це познач</w:t>
      </w:r>
      <w:r w:rsidR="000F1083">
        <w:rPr>
          <w:sz w:val="20"/>
          <w:szCs w:val="20"/>
          <w:lang w:val="uk-UA"/>
        </w:rPr>
        <w:t>ається як</w:t>
      </w:r>
      <w:r w:rsidRPr="003C6DAE">
        <w:rPr>
          <w:sz w:val="20"/>
          <w:szCs w:val="20"/>
          <w:lang w:val="uk-UA"/>
        </w:rPr>
        <w:t xml:space="preserve"> «Інтерв’ю».</w:t>
      </w:r>
    </w:p>
    <w:p w14:paraId="416BE920" w14:textId="777F9511" w:rsidR="00E05B98" w:rsidRPr="003C6DAE" w:rsidRDefault="00B53E1F" w:rsidP="00FD655A">
      <w:pPr>
        <w:pStyle w:val="9"/>
        <w:spacing w:before="171" w:line="269" w:lineRule="auto"/>
        <w:jc w:val="both"/>
        <w:rPr>
          <w:sz w:val="20"/>
          <w:szCs w:val="20"/>
          <w:lang w:val="uk-UA"/>
        </w:rPr>
      </w:pPr>
      <w:r w:rsidRPr="003C6DAE">
        <w:rPr>
          <w:sz w:val="20"/>
          <w:szCs w:val="20"/>
          <w:lang w:val="uk-UA"/>
        </w:rPr>
        <w:t>Чи є суттєва невизначеність або мінливість у тому, наскільки кінцеві користувачі цінують основні результати?</w:t>
      </w:r>
    </w:p>
    <w:p w14:paraId="63DB3FD3" w14:textId="0AC9B7BA" w:rsidR="00E05B98" w:rsidRPr="003C6DAE" w:rsidRDefault="00B53E1F" w:rsidP="004A2937">
      <w:pPr>
        <w:pStyle w:val="a4"/>
        <w:numPr>
          <w:ilvl w:val="0"/>
          <w:numId w:val="24"/>
        </w:numPr>
        <w:tabs>
          <w:tab w:val="left" w:pos="850"/>
        </w:tabs>
        <w:spacing w:before="171" w:line="269" w:lineRule="auto"/>
        <w:ind w:hanging="283"/>
        <w:rPr>
          <w:sz w:val="20"/>
          <w:szCs w:val="20"/>
          <w:lang w:val="uk-UA"/>
        </w:rPr>
      </w:pPr>
      <w:r w:rsidRPr="003C6DAE">
        <w:rPr>
          <w:sz w:val="20"/>
          <w:szCs w:val="20"/>
          <w:lang w:val="uk-UA"/>
        </w:rPr>
        <w:t xml:space="preserve">Пацієнти в умовах високого тягаря </w:t>
      </w:r>
      <w:r w:rsidR="00507F6E" w:rsidRPr="003C6DAE">
        <w:rPr>
          <w:sz w:val="20"/>
          <w:szCs w:val="20"/>
          <w:lang w:val="uk-UA"/>
        </w:rPr>
        <w:t>захворюваності</w:t>
      </w:r>
      <w:r w:rsidRPr="003C6DAE">
        <w:rPr>
          <w:sz w:val="20"/>
          <w:szCs w:val="20"/>
          <w:lang w:val="uk-UA"/>
        </w:rPr>
        <w:t xml:space="preserve"> на ТБ цінують:</w:t>
      </w:r>
    </w:p>
    <w:p w14:paraId="624F6C63" w14:textId="1E0F34C0" w:rsidR="00BE70FF" w:rsidRPr="003C6DAE" w:rsidRDefault="00BE70FF" w:rsidP="004A2937">
      <w:pPr>
        <w:pStyle w:val="a4"/>
        <w:numPr>
          <w:ilvl w:val="1"/>
          <w:numId w:val="24"/>
        </w:numPr>
        <w:tabs>
          <w:tab w:val="left" w:pos="1227"/>
        </w:tabs>
        <w:spacing w:line="269" w:lineRule="auto"/>
        <w:rPr>
          <w:sz w:val="20"/>
          <w:szCs w:val="20"/>
          <w:lang w:val="uk-UA"/>
        </w:rPr>
      </w:pPr>
      <w:r w:rsidRPr="003C6DAE">
        <w:rPr>
          <w:sz w:val="20"/>
          <w:szCs w:val="20"/>
          <w:lang w:val="uk-UA"/>
        </w:rPr>
        <w:t xml:space="preserve">отримання точного діагнозу і досягнення діагностичного завершення (нарешті </w:t>
      </w:r>
      <w:r w:rsidR="000F1083">
        <w:rPr>
          <w:sz w:val="20"/>
          <w:szCs w:val="20"/>
          <w:lang w:val="uk-UA"/>
        </w:rPr>
        <w:t xml:space="preserve">є можливість </w:t>
      </w:r>
      <w:r w:rsidRPr="003C6DAE">
        <w:rPr>
          <w:sz w:val="20"/>
          <w:szCs w:val="20"/>
          <w:lang w:val="uk-UA"/>
        </w:rPr>
        <w:t>дізнатися про те, «що зі мною не так»);</w:t>
      </w:r>
    </w:p>
    <w:p w14:paraId="1BFE0BF3" w14:textId="1373D222" w:rsidR="00BE70FF" w:rsidRPr="003C6DAE" w:rsidRDefault="00BE70FF" w:rsidP="004A2937">
      <w:pPr>
        <w:pStyle w:val="a4"/>
        <w:numPr>
          <w:ilvl w:val="1"/>
          <w:numId w:val="24"/>
        </w:numPr>
        <w:tabs>
          <w:tab w:val="left" w:pos="1227"/>
        </w:tabs>
        <w:spacing w:line="269" w:lineRule="auto"/>
        <w:rPr>
          <w:sz w:val="20"/>
          <w:szCs w:val="20"/>
          <w:lang w:val="uk-UA"/>
        </w:rPr>
      </w:pPr>
      <w:r w:rsidRPr="003C6DAE">
        <w:rPr>
          <w:sz w:val="20"/>
          <w:szCs w:val="20"/>
          <w:lang w:val="uk-UA"/>
        </w:rPr>
        <w:t xml:space="preserve">уникнення затримок </w:t>
      </w:r>
      <w:r w:rsidR="000F1083">
        <w:rPr>
          <w:sz w:val="20"/>
          <w:szCs w:val="20"/>
          <w:lang w:val="uk-UA"/>
        </w:rPr>
        <w:t xml:space="preserve">проведення </w:t>
      </w:r>
      <w:r w:rsidRPr="003C6DAE">
        <w:rPr>
          <w:sz w:val="20"/>
          <w:szCs w:val="20"/>
          <w:lang w:val="uk-UA"/>
        </w:rPr>
        <w:t>діагностики, оскільки вони посилюють наявні фінансові труднощі, емоційні та фізичні страждання та викликають у пацієнтів відчуття провини за зараження інших (особливо дітей);</w:t>
      </w:r>
    </w:p>
    <w:p w14:paraId="7C1D3806" w14:textId="3F8C30AA" w:rsidR="00BE70FF" w:rsidRPr="003C6DAE" w:rsidRDefault="00BE70FF" w:rsidP="004A2937">
      <w:pPr>
        <w:pStyle w:val="a4"/>
        <w:numPr>
          <w:ilvl w:val="1"/>
          <w:numId w:val="24"/>
        </w:numPr>
        <w:tabs>
          <w:tab w:val="left" w:pos="1227"/>
        </w:tabs>
        <w:spacing w:line="269" w:lineRule="auto"/>
        <w:rPr>
          <w:sz w:val="20"/>
          <w:szCs w:val="20"/>
          <w:lang w:val="uk-UA"/>
        </w:rPr>
      </w:pPr>
      <w:r w:rsidRPr="003C6DAE">
        <w:rPr>
          <w:sz w:val="20"/>
          <w:szCs w:val="20"/>
          <w:lang w:val="uk-UA"/>
        </w:rPr>
        <w:t>наявність доступних закладів; і</w:t>
      </w:r>
    </w:p>
    <w:p w14:paraId="19C4D0B6" w14:textId="3CCC9157" w:rsidR="00BE70FF" w:rsidRPr="003C6DAE" w:rsidRDefault="00BE70FF" w:rsidP="004A2937">
      <w:pPr>
        <w:pStyle w:val="a4"/>
        <w:numPr>
          <w:ilvl w:val="1"/>
          <w:numId w:val="24"/>
        </w:numPr>
        <w:tabs>
          <w:tab w:val="left" w:pos="1227"/>
        </w:tabs>
        <w:spacing w:line="269" w:lineRule="auto"/>
        <w:rPr>
          <w:color w:val="0C8140"/>
          <w:sz w:val="20"/>
          <w:szCs w:val="20"/>
          <w:lang w:val="uk-UA"/>
        </w:rPr>
      </w:pPr>
      <w:r w:rsidRPr="003C6DAE">
        <w:rPr>
          <w:sz w:val="20"/>
          <w:szCs w:val="20"/>
          <w:lang w:val="uk-UA"/>
        </w:rPr>
        <w:t>зменшення витрат, пов’язаних з діагностикою (наприклад, витрати на проїзд, відсутність на роботі)</w:t>
      </w:r>
      <w:r w:rsidR="000F1083">
        <w:rPr>
          <w:sz w:val="20"/>
          <w:szCs w:val="20"/>
          <w:lang w:val="uk-UA"/>
        </w:rPr>
        <w:t>,</w:t>
      </w:r>
      <w:r w:rsidRPr="003C6DAE">
        <w:rPr>
          <w:sz w:val="20"/>
          <w:szCs w:val="20"/>
          <w:lang w:val="uk-UA"/>
        </w:rPr>
        <w:t xml:space="preserve"> як важливи</w:t>
      </w:r>
      <w:r w:rsidR="000F1083">
        <w:rPr>
          <w:sz w:val="20"/>
          <w:szCs w:val="20"/>
          <w:lang w:val="uk-UA"/>
        </w:rPr>
        <w:t>й</w:t>
      </w:r>
      <w:r w:rsidRPr="003C6DAE">
        <w:rPr>
          <w:sz w:val="20"/>
          <w:szCs w:val="20"/>
          <w:lang w:val="uk-UA"/>
        </w:rPr>
        <w:t xml:space="preserve"> результат діагностики.</w:t>
      </w:r>
    </w:p>
    <w:p w14:paraId="737E9659" w14:textId="388FEB6A" w:rsidR="00E05B98" w:rsidRPr="003C6DAE" w:rsidRDefault="00BE70FF" w:rsidP="00FD655A">
      <w:pPr>
        <w:spacing w:line="269" w:lineRule="auto"/>
        <w:ind w:left="1227"/>
        <w:jc w:val="both"/>
        <w:rPr>
          <w:rFonts w:ascii="Arial"/>
          <w:i/>
          <w:sz w:val="20"/>
          <w:szCs w:val="20"/>
          <w:lang w:val="uk-UA"/>
        </w:rPr>
      </w:pPr>
      <w:r w:rsidRPr="00E8576D">
        <w:rPr>
          <w:rFonts w:ascii="Arial"/>
          <w:i/>
          <w:spacing w:val="-6"/>
          <w:sz w:val="20"/>
          <w:szCs w:val="20"/>
          <w:lang w:val="uk-UA"/>
        </w:rPr>
        <w:t>Синтез</w:t>
      </w:r>
      <w:r w:rsidRPr="00E8576D">
        <w:rPr>
          <w:rFonts w:ascii="Arial"/>
          <w:i/>
          <w:spacing w:val="-6"/>
          <w:sz w:val="20"/>
          <w:szCs w:val="20"/>
          <w:lang w:val="uk-UA"/>
        </w:rPr>
        <w:t xml:space="preserve"> </w:t>
      </w:r>
      <w:r w:rsidRPr="00E8576D">
        <w:rPr>
          <w:rFonts w:ascii="Arial"/>
          <w:i/>
          <w:spacing w:val="-6"/>
          <w:sz w:val="20"/>
          <w:szCs w:val="20"/>
          <w:lang w:val="uk-UA"/>
        </w:rPr>
        <w:t>якісних</w:t>
      </w:r>
      <w:r w:rsidRPr="00E8576D">
        <w:rPr>
          <w:rFonts w:ascii="Arial"/>
          <w:i/>
          <w:spacing w:val="-6"/>
          <w:sz w:val="20"/>
          <w:szCs w:val="20"/>
          <w:lang w:val="uk-UA"/>
        </w:rPr>
        <w:t xml:space="preserve"> </w:t>
      </w:r>
      <w:r w:rsidRPr="00E8576D">
        <w:rPr>
          <w:rFonts w:ascii="Arial"/>
          <w:i/>
          <w:spacing w:val="-6"/>
          <w:sz w:val="20"/>
          <w:szCs w:val="20"/>
          <w:lang w:val="uk-UA"/>
        </w:rPr>
        <w:t>доказів</w:t>
      </w:r>
      <w:r w:rsidR="00B01E0C" w:rsidRPr="00E8576D">
        <w:rPr>
          <w:rFonts w:ascii="Arial"/>
          <w:i/>
          <w:spacing w:val="-6"/>
          <w:sz w:val="20"/>
          <w:szCs w:val="20"/>
          <w:lang w:val="uk-UA"/>
        </w:rPr>
        <w:t>:</w:t>
      </w:r>
      <w:r w:rsidR="00B01E0C" w:rsidRPr="00E8576D">
        <w:rPr>
          <w:rFonts w:ascii="Arial"/>
          <w:i/>
          <w:spacing w:val="-11"/>
          <w:sz w:val="20"/>
          <w:szCs w:val="20"/>
          <w:lang w:val="uk-UA"/>
        </w:rPr>
        <w:t xml:space="preserve"> </w:t>
      </w:r>
      <w:r w:rsidRPr="00E8576D">
        <w:rPr>
          <w:rFonts w:ascii="Arial"/>
          <w:i/>
          <w:spacing w:val="-6"/>
          <w:sz w:val="20"/>
          <w:szCs w:val="20"/>
          <w:lang w:val="uk-UA"/>
        </w:rPr>
        <w:t>п</w:t>
      </w:r>
      <w:r w:rsidRPr="003C6DAE">
        <w:rPr>
          <w:rFonts w:ascii="Arial"/>
          <w:i/>
          <w:spacing w:val="-6"/>
          <w:sz w:val="20"/>
          <w:szCs w:val="20"/>
          <w:lang w:val="uk-UA"/>
        </w:rPr>
        <w:t>омірна</w:t>
      </w:r>
      <w:r w:rsidRPr="003C6DAE">
        <w:rPr>
          <w:rFonts w:ascii="Arial"/>
          <w:i/>
          <w:spacing w:val="-6"/>
          <w:sz w:val="20"/>
          <w:szCs w:val="20"/>
          <w:lang w:val="uk-UA"/>
        </w:rPr>
        <w:t xml:space="preserve"> </w:t>
      </w:r>
      <w:r w:rsidR="00E8576D">
        <w:rPr>
          <w:rFonts w:ascii="Arial"/>
          <w:i/>
          <w:spacing w:val="-6"/>
          <w:sz w:val="20"/>
          <w:szCs w:val="20"/>
          <w:lang w:val="uk-UA"/>
        </w:rPr>
        <w:t>достовірність</w:t>
      </w:r>
    </w:p>
    <w:p w14:paraId="5A5AB823" w14:textId="671242F0" w:rsidR="00E05B98" w:rsidRPr="003C6DAE" w:rsidRDefault="00EB7DA8" w:rsidP="004A2937">
      <w:pPr>
        <w:pStyle w:val="a4"/>
        <w:numPr>
          <w:ilvl w:val="0"/>
          <w:numId w:val="24"/>
        </w:numPr>
        <w:tabs>
          <w:tab w:val="left" w:pos="850"/>
        </w:tabs>
        <w:spacing w:before="117" w:line="269" w:lineRule="auto"/>
        <w:rPr>
          <w:sz w:val="20"/>
          <w:szCs w:val="20"/>
          <w:lang w:val="uk-UA"/>
        </w:rPr>
      </w:pPr>
      <w:r w:rsidRPr="003C6DAE">
        <w:rPr>
          <w:sz w:val="20"/>
          <w:szCs w:val="20"/>
          <w:lang w:val="uk-UA"/>
        </w:rPr>
        <w:t>Автоматизовані ТАНК помірної складності відповідають декільком уподобанням і цінностям клініцистів і лабораторного персоналу, оскільки вони:</w:t>
      </w:r>
    </w:p>
    <w:p w14:paraId="4CE594AB" w14:textId="07D487F0" w:rsidR="00EB7DA8" w:rsidRPr="003C6DAE" w:rsidRDefault="00EB7DA8" w:rsidP="004A2937">
      <w:pPr>
        <w:pStyle w:val="a4"/>
        <w:numPr>
          <w:ilvl w:val="1"/>
          <w:numId w:val="24"/>
        </w:numPr>
        <w:tabs>
          <w:tab w:val="left" w:pos="1227"/>
        </w:tabs>
        <w:spacing w:line="269" w:lineRule="auto"/>
        <w:rPr>
          <w:sz w:val="20"/>
          <w:szCs w:val="20"/>
          <w:lang w:val="uk-UA"/>
        </w:rPr>
      </w:pPr>
      <w:r w:rsidRPr="003C6DAE">
        <w:rPr>
          <w:sz w:val="20"/>
          <w:szCs w:val="20"/>
          <w:lang w:val="uk-UA"/>
        </w:rPr>
        <w:t xml:space="preserve">є швидшими, ніж </w:t>
      </w:r>
      <w:proofErr w:type="spellStart"/>
      <w:r w:rsidRPr="003C6DAE">
        <w:rPr>
          <w:sz w:val="20"/>
          <w:szCs w:val="20"/>
          <w:lang w:val="uk-UA"/>
        </w:rPr>
        <w:t>фенотип</w:t>
      </w:r>
      <w:r w:rsidR="0061310B">
        <w:rPr>
          <w:sz w:val="20"/>
          <w:szCs w:val="20"/>
          <w:lang w:val="uk-UA"/>
        </w:rPr>
        <w:t>ов</w:t>
      </w:r>
      <w:r w:rsidRPr="003C6DAE">
        <w:rPr>
          <w:sz w:val="20"/>
          <w:szCs w:val="20"/>
          <w:lang w:val="uk-UA"/>
        </w:rPr>
        <w:t>ий</w:t>
      </w:r>
      <w:proofErr w:type="spellEnd"/>
      <w:r w:rsidRPr="003C6DAE">
        <w:rPr>
          <w:sz w:val="20"/>
          <w:szCs w:val="20"/>
          <w:lang w:val="uk-UA"/>
        </w:rPr>
        <w:t xml:space="preserve"> ТМЧ на основі бакпосіву (подібні до лінійного зонд-аналізу або тестів на основі картриджа);</w:t>
      </w:r>
    </w:p>
    <w:p w14:paraId="1E8544AC" w14:textId="055B0012" w:rsidR="00EB7DA8" w:rsidRPr="003C6DAE" w:rsidRDefault="00EB7DA8" w:rsidP="004A2937">
      <w:pPr>
        <w:pStyle w:val="a4"/>
        <w:numPr>
          <w:ilvl w:val="1"/>
          <w:numId w:val="24"/>
        </w:numPr>
        <w:tabs>
          <w:tab w:val="left" w:pos="1227"/>
        </w:tabs>
        <w:spacing w:line="269" w:lineRule="auto"/>
        <w:rPr>
          <w:sz w:val="20"/>
          <w:szCs w:val="20"/>
          <w:lang w:val="uk-UA"/>
        </w:rPr>
      </w:pPr>
      <w:r w:rsidRPr="003C6DAE">
        <w:rPr>
          <w:sz w:val="20"/>
          <w:szCs w:val="20"/>
          <w:lang w:val="uk-UA"/>
        </w:rPr>
        <w:t xml:space="preserve">мають перевагу в тому, що вони є автоматизованими (на відміну від </w:t>
      </w:r>
      <w:r w:rsidR="00D9348B">
        <w:rPr>
          <w:sz w:val="20"/>
          <w:szCs w:val="20"/>
          <w:lang w:val="uk-UA"/>
        </w:rPr>
        <w:t>л</w:t>
      </w:r>
      <w:r w:rsidRPr="003C6DAE">
        <w:rPr>
          <w:sz w:val="20"/>
          <w:szCs w:val="20"/>
          <w:lang w:val="uk-UA"/>
        </w:rPr>
        <w:t>інійного зонд-аналізу);</w:t>
      </w:r>
    </w:p>
    <w:p w14:paraId="46EEAD6D" w14:textId="3903A25D" w:rsidR="00E05B98" w:rsidRPr="003C6DAE" w:rsidRDefault="00EB7DA8" w:rsidP="004A2937">
      <w:pPr>
        <w:pStyle w:val="a4"/>
        <w:numPr>
          <w:ilvl w:val="1"/>
          <w:numId w:val="24"/>
        </w:numPr>
        <w:tabs>
          <w:tab w:val="left" w:pos="1227"/>
        </w:tabs>
        <w:spacing w:line="269" w:lineRule="auto"/>
        <w:rPr>
          <w:color w:val="0C8140"/>
          <w:sz w:val="20"/>
          <w:szCs w:val="20"/>
          <w:lang w:val="uk-UA"/>
        </w:rPr>
      </w:pPr>
      <w:r w:rsidRPr="003C6DAE">
        <w:rPr>
          <w:sz w:val="20"/>
          <w:szCs w:val="20"/>
          <w:lang w:val="uk-UA"/>
        </w:rPr>
        <w:t>надають додаткову клінічно значущу інформацію про стійкість до лікарських засобів, наприклад про високу стійкість на противагу низькій стійкості (на відміну від поточного картриджа Xpert MTB/RIF).</w:t>
      </w:r>
    </w:p>
    <w:p w14:paraId="1D16EF4C" w14:textId="77777777" w:rsidR="00D9348B" w:rsidRPr="00D9348B" w:rsidRDefault="00D9348B" w:rsidP="00D9348B">
      <w:pPr>
        <w:spacing w:line="269" w:lineRule="auto"/>
        <w:ind w:left="907"/>
        <w:jc w:val="both"/>
        <w:rPr>
          <w:rFonts w:ascii="Arial"/>
          <w:i/>
          <w:spacing w:val="-2"/>
          <w:sz w:val="10"/>
          <w:szCs w:val="10"/>
          <w:lang w:val="uk-UA"/>
        </w:rPr>
      </w:pPr>
    </w:p>
    <w:p w14:paraId="4D8018B2" w14:textId="0F1E6BB6" w:rsidR="00E05B98" w:rsidRPr="003C6DAE" w:rsidRDefault="00EB7DA8" w:rsidP="00D9348B">
      <w:pPr>
        <w:spacing w:line="269" w:lineRule="auto"/>
        <w:ind w:left="907" w:firstLine="320"/>
        <w:jc w:val="both"/>
        <w:rPr>
          <w:rFonts w:ascii="Arial"/>
          <w:i/>
          <w:sz w:val="20"/>
          <w:szCs w:val="20"/>
          <w:lang w:val="uk-UA"/>
        </w:rPr>
      </w:pPr>
      <w:r w:rsidRPr="003C6DAE">
        <w:rPr>
          <w:rFonts w:ascii="Arial"/>
          <w:i/>
          <w:spacing w:val="-2"/>
          <w:sz w:val="20"/>
          <w:szCs w:val="20"/>
          <w:lang w:val="uk-UA"/>
        </w:rPr>
        <w:t>Інтерв’ю</w:t>
      </w:r>
    </w:p>
    <w:p w14:paraId="4640464C" w14:textId="037EDF39" w:rsidR="00E05B98" w:rsidRPr="003C6DAE" w:rsidRDefault="00EB7DA8" w:rsidP="00FD655A">
      <w:pPr>
        <w:pStyle w:val="9"/>
        <w:spacing w:before="227" w:line="269" w:lineRule="auto"/>
        <w:jc w:val="both"/>
        <w:rPr>
          <w:sz w:val="20"/>
          <w:szCs w:val="20"/>
          <w:lang w:val="uk-UA"/>
        </w:rPr>
      </w:pPr>
      <w:r w:rsidRPr="003C6DAE">
        <w:rPr>
          <w:sz w:val="20"/>
          <w:szCs w:val="20"/>
          <w:lang w:val="uk-UA"/>
        </w:rPr>
        <w:t xml:space="preserve">Яким буде вплив на </w:t>
      </w:r>
      <w:r w:rsidR="00507F6E" w:rsidRPr="003C6DAE">
        <w:rPr>
          <w:sz w:val="20"/>
          <w:szCs w:val="20"/>
          <w:lang w:val="uk-UA"/>
        </w:rPr>
        <w:t>справедлив</w:t>
      </w:r>
      <w:r w:rsidR="00507F6E">
        <w:rPr>
          <w:sz w:val="20"/>
          <w:szCs w:val="20"/>
          <w:lang w:val="uk-UA"/>
        </w:rPr>
        <w:t>ість</w:t>
      </w:r>
      <w:r w:rsidRPr="003C6DAE">
        <w:rPr>
          <w:sz w:val="20"/>
          <w:szCs w:val="20"/>
          <w:lang w:val="uk-UA"/>
        </w:rPr>
        <w:t xml:space="preserve"> </w:t>
      </w:r>
      <w:r w:rsidR="00E8576D">
        <w:rPr>
          <w:sz w:val="20"/>
          <w:szCs w:val="20"/>
          <w:lang w:val="uk-UA"/>
        </w:rPr>
        <w:t>щодо</w:t>
      </w:r>
      <w:r w:rsidRPr="003C6DAE">
        <w:rPr>
          <w:sz w:val="20"/>
          <w:szCs w:val="20"/>
          <w:lang w:val="uk-UA"/>
        </w:rPr>
        <w:t xml:space="preserve"> здоров’я?</w:t>
      </w:r>
    </w:p>
    <w:p w14:paraId="6044E1C9" w14:textId="7F75E8F2" w:rsidR="00E05B98" w:rsidRPr="003C6DAE" w:rsidRDefault="009E3C05" w:rsidP="004A2937">
      <w:pPr>
        <w:pStyle w:val="a4"/>
        <w:numPr>
          <w:ilvl w:val="0"/>
          <w:numId w:val="24"/>
        </w:numPr>
        <w:tabs>
          <w:tab w:val="left" w:pos="850"/>
        </w:tabs>
        <w:spacing w:before="231" w:line="269" w:lineRule="auto"/>
        <w:rPr>
          <w:rFonts w:ascii="Arial" w:hAnsi="Arial"/>
          <w:i/>
          <w:sz w:val="20"/>
          <w:szCs w:val="20"/>
          <w:lang w:val="uk-UA"/>
        </w:rPr>
        <w:sectPr w:rsidR="00E05B98" w:rsidRPr="003C6DAE" w:rsidSect="00FD655A">
          <w:pgSz w:w="11910" w:h="16840"/>
          <w:pgMar w:top="851" w:right="995" w:bottom="760" w:left="850" w:header="0" w:footer="573" w:gutter="0"/>
          <w:cols w:space="720"/>
        </w:sectPr>
      </w:pPr>
      <w:r w:rsidRPr="003C6DAE">
        <w:rPr>
          <w:w w:val="105"/>
          <w:sz w:val="20"/>
          <w:szCs w:val="20"/>
          <w:lang w:val="uk-UA"/>
        </w:rPr>
        <w:t xml:space="preserve">Різноманітні фактори – наприклад, тривалі затримки діагностики, недостатнє використання діагностичних засобів, недостатня кількість закладів з діагностики ТБ на нижчих рівнях і занадто велика кількість обмежень щодо відповідності критеріям для проведення діагностики – ускладнюють доступ до швидкого та точного тестування та лікування, особливо для вразливих груп населення. </w:t>
      </w:r>
      <w:r w:rsidR="00FD655A" w:rsidRPr="003C6DAE">
        <w:rPr>
          <w:w w:val="105"/>
          <w:sz w:val="20"/>
          <w:szCs w:val="20"/>
          <w:lang w:val="uk-UA"/>
        </w:rPr>
        <w:tab/>
      </w:r>
      <w:r w:rsidR="00FD655A" w:rsidRPr="003C6DAE">
        <w:rPr>
          <w:w w:val="105"/>
          <w:sz w:val="20"/>
          <w:szCs w:val="20"/>
          <w:lang w:val="uk-UA"/>
        </w:rPr>
        <w:tab/>
      </w:r>
      <w:r w:rsidR="00FD655A" w:rsidRPr="003C6DAE">
        <w:rPr>
          <w:w w:val="105"/>
          <w:sz w:val="20"/>
          <w:szCs w:val="20"/>
          <w:lang w:val="uk-UA"/>
        </w:rPr>
        <w:tab/>
      </w:r>
      <w:r w:rsidR="00FD655A" w:rsidRPr="003C6DAE">
        <w:rPr>
          <w:w w:val="105"/>
          <w:sz w:val="20"/>
          <w:szCs w:val="20"/>
          <w:lang w:val="uk-UA"/>
        </w:rPr>
        <w:tab/>
      </w:r>
      <w:r w:rsidR="00FD655A" w:rsidRPr="003C6DAE">
        <w:rPr>
          <w:w w:val="105"/>
          <w:sz w:val="20"/>
          <w:szCs w:val="20"/>
          <w:lang w:val="uk-UA"/>
        </w:rPr>
        <w:tab/>
      </w:r>
      <w:r w:rsidR="00FD655A" w:rsidRPr="003C6DAE">
        <w:rPr>
          <w:w w:val="105"/>
          <w:sz w:val="20"/>
          <w:szCs w:val="20"/>
          <w:lang w:val="uk-UA"/>
        </w:rPr>
        <w:tab/>
        <w:t xml:space="preserve">                                                                 </w:t>
      </w:r>
      <w:r w:rsidR="00E8576D" w:rsidRPr="00E8576D">
        <w:rPr>
          <w:rFonts w:ascii="Arial"/>
          <w:i/>
          <w:spacing w:val="-6"/>
          <w:sz w:val="20"/>
          <w:szCs w:val="20"/>
          <w:lang w:val="uk-UA"/>
        </w:rPr>
        <w:t>Синтез</w:t>
      </w:r>
      <w:r w:rsidR="00E8576D" w:rsidRPr="00E8576D">
        <w:rPr>
          <w:rFonts w:ascii="Arial"/>
          <w:i/>
          <w:spacing w:val="-6"/>
          <w:sz w:val="20"/>
          <w:szCs w:val="20"/>
          <w:lang w:val="uk-UA"/>
        </w:rPr>
        <w:t xml:space="preserve"> </w:t>
      </w:r>
      <w:r w:rsidR="00E8576D" w:rsidRPr="00E8576D">
        <w:rPr>
          <w:rFonts w:ascii="Arial"/>
          <w:i/>
          <w:spacing w:val="-6"/>
          <w:sz w:val="20"/>
          <w:szCs w:val="20"/>
          <w:lang w:val="uk-UA"/>
        </w:rPr>
        <w:t>якісних</w:t>
      </w:r>
      <w:r w:rsidR="00E8576D" w:rsidRPr="00E8576D">
        <w:rPr>
          <w:rFonts w:ascii="Arial"/>
          <w:i/>
          <w:spacing w:val="-6"/>
          <w:sz w:val="20"/>
          <w:szCs w:val="20"/>
          <w:lang w:val="uk-UA"/>
        </w:rPr>
        <w:t xml:space="preserve"> </w:t>
      </w:r>
      <w:r w:rsidR="00E8576D" w:rsidRPr="00E8576D">
        <w:rPr>
          <w:rFonts w:ascii="Arial"/>
          <w:i/>
          <w:spacing w:val="-6"/>
          <w:sz w:val="20"/>
          <w:szCs w:val="20"/>
          <w:lang w:val="uk-UA"/>
        </w:rPr>
        <w:t>доказів</w:t>
      </w:r>
      <w:r w:rsidRPr="003C6DAE">
        <w:rPr>
          <w:i/>
          <w:iCs/>
          <w:w w:val="105"/>
          <w:sz w:val="20"/>
          <w:szCs w:val="20"/>
          <w:lang w:val="uk-UA"/>
        </w:rPr>
        <w:t>: висока достовірність</w:t>
      </w:r>
      <w:r w:rsidRPr="003C6DAE">
        <w:rPr>
          <w:rFonts w:ascii="Arial" w:hAnsi="Arial"/>
          <w:i/>
          <w:sz w:val="20"/>
          <w:szCs w:val="20"/>
          <w:lang w:val="uk-UA"/>
        </w:rPr>
        <w:t>.</w:t>
      </w:r>
    </w:p>
    <w:p w14:paraId="4D96D135" w14:textId="5F03BB6B" w:rsidR="00E05B98" w:rsidRPr="003C6DAE" w:rsidRDefault="009E3C05" w:rsidP="004A2937">
      <w:pPr>
        <w:pStyle w:val="a4"/>
        <w:numPr>
          <w:ilvl w:val="0"/>
          <w:numId w:val="24"/>
        </w:numPr>
        <w:tabs>
          <w:tab w:val="left" w:pos="850"/>
        </w:tabs>
        <w:spacing w:before="52" w:line="269" w:lineRule="auto"/>
        <w:ind w:hanging="283"/>
        <w:rPr>
          <w:sz w:val="20"/>
          <w:szCs w:val="20"/>
          <w:lang w:val="uk-UA"/>
        </w:rPr>
      </w:pPr>
      <w:r w:rsidRPr="003C6DAE">
        <w:rPr>
          <w:sz w:val="20"/>
          <w:szCs w:val="20"/>
          <w:lang w:val="uk-UA"/>
        </w:rPr>
        <w:lastRenderedPageBreak/>
        <w:t>Персонал і керівники висловили занепокоєння з приводу:</w:t>
      </w:r>
    </w:p>
    <w:p w14:paraId="7CF6C23A" w14:textId="77777777" w:rsidR="009E3C05" w:rsidRPr="003C6DAE" w:rsidRDefault="009E3C05" w:rsidP="004A2937">
      <w:pPr>
        <w:pStyle w:val="a4"/>
        <w:numPr>
          <w:ilvl w:val="1"/>
          <w:numId w:val="24"/>
        </w:numPr>
        <w:tabs>
          <w:tab w:val="left" w:pos="1227"/>
        </w:tabs>
        <w:spacing w:line="269" w:lineRule="auto"/>
        <w:ind w:right="140"/>
        <w:rPr>
          <w:sz w:val="20"/>
          <w:szCs w:val="20"/>
          <w:lang w:val="uk-UA"/>
        </w:rPr>
      </w:pPr>
      <w:r w:rsidRPr="003C6DAE">
        <w:rPr>
          <w:sz w:val="20"/>
          <w:szCs w:val="20"/>
          <w:lang w:val="uk-UA"/>
        </w:rPr>
        <w:t>сталості фінансування та обслуговування;</w:t>
      </w:r>
    </w:p>
    <w:p w14:paraId="2186280E" w14:textId="79029FFA" w:rsidR="009E3C05" w:rsidRPr="003C6DAE" w:rsidRDefault="009E3C05" w:rsidP="004A2937">
      <w:pPr>
        <w:pStyle w:val="a4"/>
        <w:numPr>
          <w:ilvl w:val="1"/>
          <w:numId w:val="24"/>
        </w:numPr>
        <w:tabs>
          <w:tab w:val="left" w:pos="1227"/>
        </w:tabs>
        <w:spacing w:line="269" w:lineRule="auto"/>
        <w:ind w:right="140"/>
        <w:rPr>
          <w:sz w:val="20"/>
          <w:szCs w:val="20"/>
          <w:lang w:val="uk-UA"/>
        </w:rPr>
      </w:pPr>
      <w:r w:rsidRPr="003C6DAE">
        <w:rPr>
          <w:sz w:val="20"/>
          <w:szCs w:val="20"/>
          <w:lang w:val="uk-UA"/>
        </w:rPr>
        <w:t>виникнення складних конфліктів інтересів між донорами та виконавцями;  та</w:t>
      </w:r>
    </w:p>
    <w:p w14:paraId="32BB53AA" w14:textId="74C02FD4" w:rsidR="009E3C05" w:rsidRPr="003C6DAE" w:rsidRDefault="009E3C05" w:rsidP="004A2937">
      <w:pPr>
        <w:pStyle w:val="a4"/>
        <w:numPr>
          <w:ilvl w:val="1"/>
          <w:numId w:val="24"/>
        </w:numPr>
        <w:tabs>
          <w:tab w:val="left" w:pos="1227"/>
        </w:tabs>
        <w:spacing w:line="269" w:lineRule="auto"/>
        <w:ind w:right="140"/>
        <w:rPr>
          <w:sz w:val="20"/>
          <w:szCs w:val="20"/>
          <w:lang w:val="uk-UA"/>
        </w:rPr>
      </w:pPr>
      <w:r w:rsidRPr="003C6DAE">
        <w:rPr>
          <w:sz w:val="20"/>
          <w:szCs w:val="20"/>
          <w:lang w:val="uk-UA"/>
        </w:rPr>
        <w:t>стратегічного та справедливого використання ресурсів, що негативно впливає на створення справедливого доступу до діагностики за допомогою тестів на основі картриджів.</w:t>
      </w:r>
    </w:p>
    <w:p w14:paraId="005502E9" w14:textId="2B5115D6" w:rsidR="00E05B98" w:rsidRDefault="002C1B8A" w:rsidP="00FD655A">
      <w:pPr>
        <w:pStyle w:val="a4"/>
        <w:tabs>
          <w:tab w:val="left" w:pos="1227"/>
        </w:tabs>
        <w:spacing w:line="269" w:lineRule="auto"/>
        <w:ind w:left="1227" w:right="140" w:firstLine="0"/>
        <w:rPr>
          <w:sz w:val="20"/>
          <w:szCs w:val="20"/>
          <w:lang w:val="uk-UA"/>
        </w:rPr>
      </w:pPr>
      <w:r w:rsidRPr="00E8576D">
        <w:rPr>
          <w:rFonts w:ascii="Arial"/>
          <w:i/>
          <w:spacing w:val="-6"/>
          <w:sz w:val="20"/>
          <w:szCs w:val="20"/>
          <w:lang w:val="uk-UA"/>
        </w:rPr>
        <w:t>Синтез</w:t>
      </w:r>
      <w:r w:rsidRPr="00E8576D">
        <w:rPr>
          <w:rFonts w:ascii="Arial"/>
          <w:i/>
          <w:spacing w:val="-6"/>
          <w:sz w:val="20"/>
          <w:szCs w:val="20"/>
          <w:lang w:val="uk-UA"/>
        </w:rPr>
        <w:t xml:space="preserve"> </w:t>
      </w:r>
      <w:r w:rsidRPr="00E8576D">
        <w:rPr>
          <w:rFonts w:ascii="Arial"/>
          <w:i/>
          <w:spacing w:val="-6"/>
          <w:sz w:val="20"/>
          <w:szCs w:val="20"/>
          <w:lang w:val="uk-UA"/>
        </w:rPr>
        <w:t>якісних</w:t>
      </w:r>
      <w:r w:rsidRPr="00E8576D">
        <w:rPr>
          <w:rFonts w:ascii="Arial"/>
          <w:i/>
          <w:spacing w:val="-6"/>
          <w:sz w:val="20"/>
          <w:szCs w:val="20"/>
          <w:lang w:val="uk-UA"/>
        </w:rPr>
        <w:t xml:space="preserve"> </w:t>
      </w:r>
      <w:r w:rsidRPr="00E8576D">
        <w:rPr>
          <w:rFonts w:ascii="Arial"/>
          <w:i/>
          <w:spacing w:val="-6"/>
          <w:sz w:val="20"/>
          <w:szCs w:val="20"/>
          <w:lang w:val="uk-UA"/>
        </w:rPr>
        <w:t>доказів</w:t>
      </w:r>
      <w:r w:rsidR="009E3C05" w:rsidRPr="003C6DAE">
        <w:rPr>
          <w:i/>
          <w:iCs/>
          <w:sz w:val="20"/>
          <w:szCs w:val="20"/>
          <w:lang w:val="uk-UA"/>
        </w:rPr>
        <w:t>: висока достовірність</w:t>
      </w:r>
      <w:r w:rsidR="009E3C05" w:rsidRPr="003C6DAE">
        <w:rPr>
          <w:sz w:val="20"/>
          <w:szCs w:val="20"/>
          <w:lang w:val="uk-UA"/>
        </w:rPr>
        <w:t>.</w:t>
      </w:r>
    </w:p>
    <w:p w14:paraId="216C2917" w14:textId="77777777" w:rsidR="00D9348B" w:rsidRPr="00D9348B" w:rsidRDefault="00D9348B" w:rsidP="00FD655A">
      <w:pPr>
        <w:pStyle w:val="a4"/>
        <w:tabs>
          <w:tab w:val="left" w:pos="1227"/>
        </w:tabs>
        <w:spacing w:line="269" w:lineRule="auto"/>
        <w:ind w:left="1227" w:right="140" w:firstLine="0"/>
        <w:rPr>
          <w:color w:val="0C8140"/>
          <w:sz w:val="10"/>
          <w:szCs w:val="10"/>
          <w:lang w:val="uk-UA"/>
        </w:rPr>
      </w:pPr>
    </w:p>
    <w:p w14:paraId="10C54688" w14:textId="4D712402" w:rsidR="00E05B98" w:rsidRPr="003C6DAE" w:rsidRDefault="009E3C05" w:rsidP="004A2937">
      <w:pPr>
        <w:pStyle w:val="a4"/>
        <w:numPr>
          <w:ilvl w:val="0"/>
          <w:numId w:val="24"/>
        </w:numPr>
        <w:tabs>
          <w:tab w:val="left" w:pos="850"/>
        </w:tabs>
        <w:spacing w:line="269" w:lineRule="auto"/>
        <w:ind w:right="139"/>
        <w:rPr>
          <w:sz w:val="20"/>
          <w:szCs w:val="20"/>
          <w:lang w:val="uk-UA"/>
        </w:rPr>
      </w:pPr>
      <w:r w:rsidRPr="003C6DAE">
        <w:rPr>
          <w:sz w:val="20"/>
          <w:szCs w:val="20"/>
          <w:lang w:val="uk-UA"/>
        </w:rPr>
        <w:t>Доступ до чіткої та зрозумілої інформації для пацієнтів з ТБ про те, які методи діагностики ТБ доступні для них</w:t>
      </w:r>
      <w:r w:rsidR="00D9348B">
        <w:rPr>
          <w:sz w:val="20"/>
          <w:szCs w:val="20"/>
          <w:lang w:val="uk-UA"/>
        </w:rPr>
        <w:t>,</w:t>
      </w:r>
      <w:r w:rsidRPr="003C6DAE">
        <w:rPr>
          <w:sz w:val="20"/>
          <w:szCs w:val="20"/>
          <w:lang w:val="uk-UA"/>
        </w:rPr>
        <w:t xml:space="preserve"> та як інтерпретувати результати, є важливою складовою справедливості, а відсутність такого доступу представляє серйозну перешкоду для пацієнтів.</w:t>
      </w:r>
    </w:p>
    <w:p w14:paraId="7B2F917D" w14:textId="75783005" w:rsidR="00E05B98" w:rsidRDefault="009E3C05" w:rsidP="00FD655A">
      <w:pPr>
        <w:spacing w:line="269" w:lineRule="auto"/>
        <w:ind w:left="850"/>
        <w:jc w:val="both"/>
        <w:rPr>
          <w:rFonts w:ascii="Arial"/>
          <w:i/>
          <w:spacing w:val="-2"/>
          <w:sz w:val="20"/>
          <w:szCs w:val="20"/>
          <w:lang w:val="uk-UA"/>
        </w:rPr>
      </w:pPr>
      <w:r w:rsidRPr="003C6DAE">
        <w:rPr>
          <w:rFonts w:ascii="Arial"/>
          <w:i/>
          <w:spacing w:val="-2"/>
          <w:sz w:val="20"/>
          <w:szCs w:val="20"/>
          <w:lang w:val="uk-UA"/>
        </w:rPr>
        <w:t>Інтерв’ю</w:t>
      </w:r>
    </w:p>
    <w:p w14:paraId="12EB4A61" w14:textId="77777777" w:rsidR="00D9348B" w:rsidRPr="00D9348B" w:rsidRDefault="00D9348B" w:rsidP="00FD655A">
      <w:pPr>
        <w:spacing w:line="269" w:lineRule="auto"/>
        <w:ind w:left="850"/>
        <w:jc w:val="both"/>
        <w:rPr>
          <w:rFonts w:ascii="Arial"/>
          <w:i/>
          <w:sz w:val="10"/>
          <w:szCs w:val="10"/>
          <w:lang w:val="uk-UA"/>
        </w:rPr>
      </w:pPr>
    </w:p>
    <w:p w14:paraId="6AED708D" w14:textId="40BD99C4" w:rsidR="00E05B98" w:rsidRPr="003C6DAE" w:rsidRDefault="00061F49" w:rsidP="004A2937">
      <w:pPr>
        <w:pStyle w:val="a4"/>
        <w:numPr>
          <w:ilvl w:val="0"/>
          <w:numId w:val="24"/>
        </w:numPr>
        <w:tabs>
          <w:tab w:val="left" w:pos="850"/>
        </w:tabs>
        <w:spacing w:line="269" w:lineRule="auto"/>
        <w:ind w:right="135"/>
        <w:rPr>
          <w:lang w:val="uk-UA"/>
        </w:rPr>
      </w:pPr>
      <w:r w:rsidRPr="003C6DAE">
        <w:rPr>
          <w:sz w:val="20"/>
          <w:szCs w:val="20"/>
          <w:lang w:val="uk-UA"/>
        </w:rPr>
        <w:t>Нові варіанти лікування мають бути узгоджені з новою діагностикою. Важливо покращити доступ до лікування на основі нової діагностики, а також покращити доступ до діагностики для нових варіантів лікування.</w:t>
      </w:r>
    </w:p>
    <w:p w14:paraId="3203D313" w14:textId="0A3B6643" w:rsidR="00E05B98" w:rsidRPr="003C6DAE" w:rsidRDefault="00061F49" w:rsidP="00FD655A">
      <w:pPr>
        <w:spacing w:line="269" w:lineRule="auto"/>
        <w:ind w:left="850"/>
        <w:jc w:val="both"/>
        <w:rPr>
          <w:rFonts w:ascii="Arial"/>
          <w:i/>
          <w:sz w:val="20"/>
          <w:szCs w:val="20"/>
          <w:lang w:val="uk-UA"/>
        </w:rPr>
      </w:pPr>
      <w:r w:rsidRPr="003C6DAE">
        <w:rPr>
          <w:rFonts w:ascii="Arial"/>
          <w:i/>
          <w:spacing w:val="-2"/>
          <w:sz w:val="20"/>
          <w:szCs w:val="20"/>
          <w:lang w:val="uk-UA"/>
        </w:rPr>
        <w:t>Інтерв’ю</w:t>
      </w:r>
    </w:p>
    <w:p w14:paraId="57C55180" w14:textId="23A3417D" w:rsidR="00E05B98" w:rsidRPr="003C6DAE" w:rsidRDefault="00061F49" w:rsidP="004A2937">
      <w:pPr>
        <w:pStyle w:val="a4"/>
        <w:numPr>
          <w:ilvl w:val="0"/>
          <w:numId w:val="24"/>
        </w:numPr>
        <w:tabs>
          <w:tab w:val="left" w:pos="850"/>
        </w:tabs>
        <w:spacing w:before="117" w:line="269" w:lineRule="auto"/>
        <w:ind w:right="140"/>
        <w:rPr>
          <w:sz w:val="20"/>
          <w:szCs w:val="20"/>
          <w:lang w:val="uk-UA"/>
        </w:rPr>
      </w:pPr>
      <w:r w:rsidRPr="003C6DAE">
        <w:rPr>
          <w:sz w:val="20"/>
          <w:szCs w:val="20"/>
          <w:lang w:val="uk-UA"/>
        </w:rPr>
        <w:t xml:space="preserve">Швидкість, з якою змінюються настанови ВООЗ, не відповідає швидкості, з якою </w:t>
      </w:r>
      <w:r w:rsidR="00D9348B">
        <w:rPr>
          <w:sz w:val="20"/>
          <w:szCs w:val="20"/>
          <w:lang w:val="uk-UA"/>
        </w:rPr>
        <w:t xml:space="preserve">національні </w:t>
      </w:r>
      <w:r w:rsidRPr="003C6DAE">
        <w:rPr>
          <w:sz w:val="20"/>
          <w:szCs w:val="20"/>
          <w:lang w:val="uk-UA"/>
        </w:rPr>
        <w:t>програми багатьох країн здатні впроваджувати настанови. Це призводить до диференційованого доступу до нових методів діагностики та лікування туберкульозу:</w:t>
      </w:r>
    </w:p>
    <w:p w14:paraId="5B154021" w14:textId="77777777" w:rsidR="00FD655A" w:rsidRPr="003C6DAE" w:rsidRDefault="00FD655A" w:rsidP="004A2937">
      <w:pPr>
        <w:pStyle w:val="a4"/>
        <w:numPr>
          <w:ilvl w:val="1"/>
          <w:numId w:val="24"/>
        </w:numPr>
        <w:tabs>
          <w:tab w:val="left" w:pos="1227"/>
        </w:tabs>
        <w:spacing w:line="269" w:lineRule="auto"/>
        <w:ind w:right="140"/>
        <w:rPr>
          <w:w w:val="105"/>
          <w:sz w:val="20"/>
          <w:szCs w:val="20"/>
          <w:lang w:val="uk-UA"/>
        </w:rPr>
      </w:pPr>
      <w:r w:rsidRPr="003C6DAE">
        <w:rPr>
          <w:w w:val="105"/>
          <w:sz w:val="20"/>
          <w:szCs w:val="20"/>
          <w:lang w:val="uk-UA"/>
        </w:rPr>
        <w:t>між країнами (тобто між тими, які можуть і не можуть швидко йти в ногу зі швидко мінливим середовищем діагностики туберкульозу);   та</w:t>
      </w:r>
    </w:p>
    <w:p w14:paraId="3B89C915" w14:textId="17BB30B4" w:rsidR="00E05B98" w:rsidRPr="00D9348B" w:rsidRDefault="00FD655A" w:rsidP="004A2937">
      <w:pPr>
        <w:pStyle w:val="a4"/>
        <w:numPr>
          <w:ilvl w:val="1"/>
          <w:numId w:val="24"/>
        </w:numPr>
        <w:tabs>
          <w:tab w:val="left" w:pos="1227"/>
        </w:tabs>
        <w:spacing w:before="0" w:line="269" w:lineRule="auto"/>
        <w:ind w:right="1"/>
        <w:jc w:val="left"/>
        <w:rPr>
          <w:rFonts w:ascii="Arial MT" w:hAnsi="Arial MT"/>
          <w:color w:val="0C8140"/>
          <w:sz w:val="20"/>
          <w:szCs w:val="20"/>
          <w:lang w:val="uk-UA"/>
        </w:rPr>
      </w:pPr>
      <w:r w:rsidRPr="003C6DAE">
        <w:rPr>
          <w:w w:val="105"/>
          <w:sz w:val="20"/>
          <w:szCs w:val="20"/>
          <w:lang w:val="uk-UA"/>
        </w:rPr>
        <w:t>в межах країн (тобто між пацієнтами, які можуть і не можуть дозволити собі звертатися за допомогою до приватних закладів системи охорони здоров’я, які краще обладнані для швидкого впровадження нових методів діагностики та політики).</w:t>
      </w:r>
      <w:r w:rsidR="00B01E0C" w:rsidRPr="003C6DAE">
        <w:rPr>
          <w:w w:val="105"/>
          <w:sz w:val="20"/>
          <w:szCs w:val="20"/>
          <w:lang w:val="uk-UA"/>
        </w:rPr>
        <w:t xml:space="preserve"> </w:t>
      </w:r>
      <w:r w:rsidRPr="003C6DAE">
        <w:rPr>
          <w:w w:val="105"/>
          <w:sz w:val="20"/>
          <w:szCs w:val="20"/>
          <w:lang w:val="uk-UA"/>
        </w:rPr>
        <w:t xml:space="preserve">                                                         </w:t>
      </w:r>
      <w:r w:rsidRPr="003C6DAE">
        <w:rPr>
          <w:rFonts w:ascii="Arial" w:hAnsi="Arial"/>
          <w:i/>
          <w:spacing w:val="-2"/>
          <w:w w:val="105"/>
          <w:sz w:val="20"/>
          <w:szCs w:val="20"/>
          <w:lang w:val="uk-UA"/>
        </w:rPr>
        <w:t>Інтерв’ю</w:t>
      </w:r>
    </w:p>
    <w:p w14:paraId="45348593" w14:textId="77777777" w:rsidR="00D9348B" w:rsidRPr="00D9348B" w:rsidRDefault="00D9348B" w:rsidP="00D9348B">
      <w:pPr>
        <w:pStyle w:val="a4"/>
        <w:tabs>
          <w:tab w:val="left" w:pos="1227"/>
        </w:tabs>
        <w:spacing w:before="0" w:line="269" w:lineRule="auto"/>
        <w:ind w:left="1227" w:right="1" w:firstLine="0"/>
        <w:jc w:val="left"/>
        <w:rPr>
          <w:rFonts w:ascii="Arial MT" w:hAnsi="Arial MT"/>
          <w:color w:val="0C8140"/>
          <w:sz w:val="10"/>
          <w:szCs w:val="10"/>
          <w:lang w:val="uk-UA"/>
        </w:rPr>
      </w:pPr>
    </w:p>
    <w:p w14:paraId="2FF3F602" w14:textId="3BF2BB88" w:rsidR="00E05B98" w:rsidRPr="003C6DAE" w:rsidRDefault="004E67FE" w:rsidP="004A2937">
      <w:pPr>
        <w:pStyle w:val="a4"/>
        <w:numPr>
          <w:ilvl w:val="0"/>
          <w:numId w:val="24"/>
        </w:numPr>
        <w:tabs>
          <w:tab w:val="left" w:pos="850"/>
        </w:tabs>
        <w:spacing w:before="53" w:line="269" w:lineRule="auto"/>
        <w:ind w:right="135"/>
        <w:rPr>
          <w:sz w:val="20"/>
          <w:szCs w:val="20"/>
          <w:lang w:val="uk-UA"/>
        </w:rPr>
      </w:pPr>
      <w:r>
        <w:rPr>
          <w:sz w:val="20"/>
          <w:szCs w:val="20"/>
          <w:lang w:val="uk-UA"/>
        </w:rPr>
        <w:t>Встановлені</w:t>
      </w:r>
      <w:r w:rsidR="00FD655A" w:rsidRPr="003C6DAE">
        <w:rPr>
          <w:sz w:val="20"/>
          <w:szCs w:val="20"/>
          <w:lang w:val="uk-UA"/>
        </w:rPr>
        <w:t xml:space="preserve"> проблеми </w:t>
      </w:r>
      <w:r>
        <w:rPr>
          <w:sz w:val="20"/>
          <w:szCs w:val="20"/>
          <w:lang w:val="uk-UA"/>
        </w:rPr>
        <w:t>щодо</w:t>
      </w:r>
      <w:r w:rsidR="00FD655A" w:rsidRPr="003C6DAE">
        <w:rPr>
          <w:sz w:val="20"/>
          <w:szCs w:val="20"/>
          <w:lang w:val="uk-UA"/>
        </w:rPr>
        <w:t xml:space="preserve"> використання ТАНК для виявлення ТБ і ЛС-ТБ, а також накопичені затримки, ризикують поставити під загрозу дода</w:t>
      </w:r>
      <w:r>
        <w:rPr>
          <w:sz w:val="20"/>
          <w:szCs w:val="20"/>
          <w:lang w:val="uk-UA"/>
        </w:rPr>
        <w:t>ткову</w:t>
      </w:r>
      <w:r w:rsidR="00FD655A" w:rsidRPr="003C6DAE">
        <w:rPr>
          <w:sz w:val="20"/>
          <w:szCs w:val="20"/>
          <w:lang w:val="uk-UA"/>
        </w:rPr>
        <w:t xml:space="preserve"> цінність, визначену користувачами, що зрештою призведе до недостатнього використання</w:t>
      </w:r>
      <w:r>
        <w:rPr>
          <w:sz w:val="20"/>
          <w:szCs w:val="20"/>
          <w:lang w:val="uk-UA"/>
        </w:rPr>
        <w:t xml:space="preserve"> таких тестів</w:t>
      </w:r>
      <w:r w:rsidR="00FD655A" w:rsidRPr="003C6DAE">
        <w:rPr>
          <w:sz w:val="20"/>
          <w:szCs w:val="20"/>
          <w:lang w:val="uk-UA"/>
        </w:rPr>
        <w:t>. Ці проблеми також ускладнюють доступ</w:t>
      </w:r>
      <w:r>
        <w:rPr>
          <w:sz w:val="20"/>
          <w:szCs w:val="20"/>
          <w:lang w:val="uk-UA"/>
        </w:rPr>
        <w:t xml:space="preserve"> до</w:t>
      </w:r>
      <w:r w:rsidR="00FD655A" w:rsidRPr="003C6DAE">
        <w:rPr>
          <w:sz w:val="20"/>
          <w:szCs w:val="20"/>
          <w:lang w:val="uk-UA"/>
        </w:rPr>
        <w:t xml:space="preserve"> швидкого та точного тестування та лікування, особливо для вразливих груп населення.</w:t>
      </w:r>
    </w:p>
    <w:p w14:paraId="3D317A3A" w14:textId="2BF1CACC" w:rsidR="00E05B98" w:rsidRPr="003C6DAE" w:rsidRDefault="002C1B8A" w:rsidP="00FD655A">
      <w:pPr>
        <w:spacing w:before="1" w:line="269" w:lineRule="auto"/>
        <w:ind w:left="850"/>
        <w:jc w:val="both"/>
        <w:rPr>
          <w:rFonts w:ascii="Arial"/>
          <w:i/>
          <w:sz w:val="20"/>
          <w:szCs w:val="20"/>
          <w:lang w:val="uk-UA"/>
        </w:rPr>
      </w:pPr>
      <w:r w:rsidRPr="00E8576D">
        <w:rPr>
          <w:rFonts w:ascii="Arial"/>
          <w:i/>
          <w:spacing w:val="-6"/>
          <w:sz w:val="20"/>
          <w:szCs w:val="20"/>
          <w:lang w:val="uk-UA"/>
        </w:rPr>
        <w:t>Синтез</w:t>
      </w:r>
      <w:r w:rsidRPr="00E8576D">
        <w:rPr>
          <w:rFonts w:ascii="Arial"/>
          <w:i/>
          <w:spacing w:val="-6"/>
          <w:sz w:val="20"/>
          <w:szCs w:val="20"/>
          <w:lang w:val="uk-UA"/>
        </w:rPr>
        <w:t xml:space="preserve"> </w:t>
      </w:r>
      <w:r w:rsidRPr="00E8576D">
        <w:rPr>
          <w:rFonts w:ascii="Arial"/>
          <w:i/>
          <w:spacing w:val="-6"/>
          <w:sz w:val="20"/>
          <w:szCs w:val="20"/>
          <w:lang w:val="uk-UA"/>
        </w:rPr>
        <w:t>якісних</w:t>
      </w:r>
      <w:r w:rsidRPr="00E8576D">
        <w:rPr>
          <w:rFonts w:ascii="Arial"/>
          <w:i/>
          <w:spacing w:val="-6"/>
          <w:sz w:val="20"/>
          <w:szCs w:val="20"/>
          <w:lang w:val="uk-UA"/>
        </w:rPr>
        <w:t xml:space="preserve"> </w:t>
      </w:r>
      <w:r w:rsidRPr="00E8576D">
        <w:rPr>
          <w:rFonts w:ascii="Arial"/>
          <w:i/>
          <w:spacing w:val="-6"/>
          <w:sz w:val="20"/>
          <w:szCs w:val="20"/>
          <w:lang w:val="uk-UA"/>
        </w:rPr>
        <w:t>доказів</w:t>
      </w:r>
      <w:r w:rsidR="00FD655A" w:rsidRPr="003C6DAE">
        <w:rPr>
          <w:i/>
          <w:iCs/>
          <w:w w:val="105"/>
          <w:sz w:val="20"/>
          <w:szCs w:val="20"/>
          <w:lang w:val="uk-UA"/>
        </w:rPr>
        <w:t>: висока достовірність</w:t>
      </w:r>
      <w:r w:rsidR="00FD655A" w:rsidRPr="003C6DAE">
        <w:rPr>
          <w:rFonts w:ascii="Arial" w:hAnsi="Arial"/>
          <w:i/>
          <w:sz w:val="20"/>
          <w:szCs w:val="20"/>
          <w:lang w:val="uk-UA"/>
        </w:rPr>
        <w:t>.</w:t>
      </w:r>
    </w:p>
    <w:p w14:paraId="2E2AD232" w14:textId="77777777" w:rsidR="00E05B98" w:rsidRPr="003C6DAE" w:rsidRDefault="00E05B98" w:rsidP="00FD655A">
      <w:pPr>
        <w:pStyle w:val="a3"/>
        <w:spacing w:before="31" w:line="269" w:lineRule="auto"/>
        <w:jc w:val="both"/>
        <w:rPr>
          <w:rFonts w:ascii="Arial"/>
          <w:i/>
          <w:sz w:val="20"/>
          <w:szCs w:val="20"/>
          <w:lang w:val="uk-UA"/>
        </w:rPr>
      </w:pPr>
    </w:p>
    <w:p w14:paraId="3BCE9AD0" w14:textId="5F5ADA05" w:rsidR="00E05B98" w:rsidRPr="003C6DAE" w:rsidRDefault="00FD655A" w:rsidP="00FD655A">
      <w:pPr>
        <w:pStyle w:val="9"/>
        <w:spacing w:line="269" w:lineRule="auto"/>
        <w:jc w:val="both"/>
        <w:rPr>
          <w:sz w:val="20"/>
          <w:szCs w:val="20"/>
          <w:lang w:val="uk-UA"/>
        </w:rPr>
      </w:pPr>
      <w:r w:rsidRPr="003C6DAE">
        <w:rPr>
          <w:sz w:val="20"/>
          <w:szCs w:val="20"/>
          <w:lang w:val="uk-UA"/>
        </w:rPr>
        <w:t>Чи є прийнятною інтервенція для ключових зацікавлених сторін?</w:t>
      </w:r>
    </w:p>
    <w:p w14:paraId="0015DE74" w14:textId="2E6688E2" w:rsidR="00E05B98" w:rsidRPr="003C6DAE" w:rsidRDefault="00B20581" w:rsidP="004A2937">
      <w:pPr>
        <w:pStyle w:val="a4"/>
        <w:numPr>
          <w:ilvl w:val="0"/>
          <w:numId w:val="24"/>
        </w:numPr>
        <w:tabs>
          <w:tab w:val="left" w:pos="850"/>
        </w:tabs>
        <w:spacing w:before="231" w:line="269" w:lineRule="auto"/>
        <w:ind w:hanging="283"/>
        <w:rPr>
          <w:sz w:val="20"/>
          <w:szCs w:val="20"/>
          <w:lang w:val="uk-UA"/>
        </w:rPr>
      </w:pPr>
      <w:r w:rsidRPr="003C6DAE">
        <w:rPr>
          <w:sz w:val="20"/>
          <w:szCs w:val="20"/>
          <w:lang w:val="uk-UA"/>
        </w:rPr>
        <w:t>Пацієнти можуть неохоче проходити тестування на ТБ або М</w:t>
      </w:r>
      <w:r w:rsidR="004E67FE">
        <w:rPr>
          <w:sz w:val="20"/>
          <w:szCs w:val="20"/>
          <w:lang w:val="uk-UA"/>
        </w:rPr>
        <w:t>Л</w:t>
      </w:r>
      <w:r w:rsidRPr="003C6DAE">
        <w:rPr>
          <w:sz w:val="20"/>
          <w:szCs w:val="20"/>
          <w:lang w:val="uk-UA"/>
        </w:rPr>
        <w:t>С-ТБ з наступних причин:</w:t>
      </w:r>
    </w:p>
    <w:p w14:paraId="3C6A82E8" w14:textId="77777777" w:rsidR="00B20581" w:rsidRPr="003C6DAE" w:rsidRDefault="00B20581" w:rsidP="004A2937">
      <w:pPr>
        <w:pStyle w:val="a4"/>
        <w:numPr>
          <w:ilvl w:val="1"/>
          <w:numId w:val="24"/>
        </w:numPr>
        <w:tabs>
          <w:tab w:val="left" w:pos="1227"/>
        </w:tabs>
        <w:spacing w:line="269" w:lineRule="auto"/>
        <w:rPr>
          <w:sz w:val="20"/>
          <w:szCs w:val="20"/>
          <w:lang w:val="uk-UA"/>
        </w:rPr>
      </w:pPr>
      <w:r w:rsidRPr="003C6DAE">
        <w:rPr>
          <w:sz w:val="20"/>
          <w:szCs w:val="20"/>
          <w:lang w:val="uk-UA"/>
        </w:rPr>
        <w:t>прояв стигматизації, пов’язаної з МЛС-ТБ або перериванням лікування в минулому;</w:t>
      </w:r>
    </w:p>
    <w:p w14:paraId="5D2CD2F3" w14:textId="4F18C529" w:rsidR="00B20581" w:rsidRPr="003C6DAE" w:rsidRDefault="00B20581" w:rsidP="004A2937">
      <w:pPr>
        <w:pStyle w:val="a4"/>
        <w:numPr>
          <w:ilvl w:val="1"/>
          <w:numId w:val="24"/>
        </w:numPr>
        <w:tabs>
          <w:tab w:val="left" w:pos="1227"/>
        </w:tabs>
        <w:spacing w:line="269" w:lineRule="auto"/>
        <w:rPr>
          <w:sz w:val="20"/>
          <w:szCs w:val="20"/>
          <w:lang w:val="uk-UA"/>
        </w:rPr>
      </w:pPr>
      <w:r w:rsidRPr="003C6DAE">
        <w:rPr>
          <w:sz w:val="20"/>
          <w:szCs w:val="20"/>
          <w:lang w:val="uk-UA"/>
        </w:rPr>
        <w:t>побоювання стосовно виникнення побічних ефектів;</w:t>
      </w:r>
    </w:p>
    <w:p w14:paraId="1BA597DC" w14:textId="045088B2" w:rsidR="00B20581" w:rsidRPr="003C6DAE" w:rsidRDefault="00B20581" w:rsidP="004A2937">
      <w:pPr>
        <w:pStyle w:val="a4"/>
        <w:numPr>
          <w:ilvl w:val="1"/>
          <w:numId w:val="24"/>
        </w:numPr>
        <w:tabs>
          <w:tab w:val="left" w:pos="1227"/>
        </w:tabs>
        <w:spacing w:line="269" w:lineRule="auto"/>
        <w:rPr>
          <w:sz w:val="20"/>
          <w:szCs w:val="20"/>
          <w:lang w:val="uk-UA"/>
        </w:rPr>
      </w:pPr>
      <w:r w:rsidRPr="003C6DAE">
        <w:rPr>
          <w:sz w:val="20"/>
          <w:szCs w:val="20"/>
          <w:lang w:val="uk-UA"/>
        </w:rPr>
        <w:t>нездатність розпізнавати симптоми;</w:t>
      </w:r>
    </w:p>
    <w:p w14:paraId="3ABF95C2" w14:textId="2098BD21" w:rsidR="00B20581" w:rsidRPr="003C6DAE" w:rsidRDefault="00B20581" w:rsidP="004A2937">
      <w:pPr>
        <w:pStyle w:val="a4"/>
        <w:numPr>
          <w:ilvl w:val="1"/>
          <w:numId w:val="24"/>
        </w:numPr>
        <w:tabs>
          <w:tab w:val="left" w:pos="1227"/>
        </w:tabs>
        <w:spacing w:line="269" w:lineRule="auto"/>
        <w:rPr>
          <w:sz w:val="20"/>
          <w:szCs w:val="20"/>
          <w:lang w:val="uk-UA"/>
        </w:rPr>
      </w:pPr>
      <w:r w:rsidRPr="003C6DAE">
        <w:rPr>
          <w:sz w:val="20"/>
          <w:szCs w:val="20"/>
          <w:lang w:val="uk-UA"/>
        </w:rPr>
        <w:t>неможливість виділяти мокротиння;  та</w:t>
      </w:r>
    </w:p>
    <w:p w14:paraId="1B6DE39E" w14:textId="1E9C51C3" w:rsidR="00E05B98" w:rsidRPr="003C6DAE" w:rsidRDefault="00B20581" w:rsidP="004A2937">
      <w:pPr>
        <w:pStyle w:val="a4"/>
        <w:numPr>
          <w:ilvl w:val="1"/>
          <w:numId w:val="24"/>
        </w:numPr>
        <w:tabs>
          <w:tab w:val="left" w:pos="1227"/>
        </w:tabs>
        <w:spacing w:line="269" w:lineRule="auto"/>
        <w:rPr>
          <w:color w:val="0C8140"/>
          <w:sz w:val="20"/>
          <w:szCs w:val="20"/>
          <w:lang w:val="uk-UA"/>
        </w:rPr>
      </w:pPr>
      <w:r w:rsidRPr="003C6DAE">
        <w:rPr>
          <w:sz w:val="20"/>
          <w:szCs w:val="20"/>
          <w:lang w:val="uk-UA"/>
        </w:rPr>
        <w:t>проблеми, стосовно вартості тестування, відстанню та поїздками, пов’язані з (повторними) візитами до клініки.</w:t>
      </w:r>
    </w:p>
    <w:p w14:paraId="61C1F2C6" w14:textId="250F123C" w:rsidR="00E05B98" w:rsidRPr="003C6DAE" w:rsidRDefault="002C1B8A" w:rsidP="00FD655A">
      <w:pPr>
        <w:spacing w:before="57" w:line="269" w:lineRule="auto"/>
        <w:ind w:left="1227"/>
        <w:jc w:val="both"/>
        <w:rPr>
          <w:rFonts w:ascii="Arial"/>
          <w:i/>
          <w:sz w:val="20"/>
          <w:szCs w:val="20"/>
          <w:lang w:val="uk-UA"/>
        </w:rPr>
      </w:pPr>
      <w:r w:rsidRPr="00E8576D">
        <w:rPr>
          <w:rFonts w:ascii="Arial"/>
          <w:i/>
          <w:spacing w:val="-6"/>
          <w:sz w:val="20"/>
          <w:szCs w:val="20"/>
          <w:lang w:val="uk-UA"/>
        </w:rPr>
        <w:t>Синтез</w:t>
      </w:r>
      <w:r w:rsidRPr="00E8576D">
        <w:rPr>
          <w:rFonts w:ascii="Arial"/>
          <w:i/>
          <w:spacing w:val="-6"/>
          <w:sz w:val="20"/>
          <w:szCs w:val="20"/>
          <w:lang w:val="uk-UA"/>
        </w:rPr>
        <w:t xml:space="preserve"> </w:t>
      </w:r>
      <w:r w:rsidRPr="00E8576D">
        <w:rPr>
          <w:rFonts w:ascii="Arial"/>
          <w:i/>
          <w:spacing w:val="-6"/>
          <w:sz w:val="20"/>
          <w:szCs w:val="20"/>
          <w:lang w:val="uk-UA"/>
        </w:rPr>
        <w:t>якісних</w:t>
      </w:r>
      <w:r w:rsidRPr="00E8576D">
        <w:rPr>
          <w:rFonts w:ascii="Arial"/>
          <w:i/>
          <w:spacing w:val="-6"/>
          <w:sz w:val="20"/>
          <w:szCs w:val="20"/>
          <w:lang w:val="uk-UA"/>
        </w:rPr>
        <w:t xml:space="preserve"> </w:t>
      </w:r>
      <w:r w:rsidRPr="00E8576D">
        <w:rPr>
          <w:rFonts w:ascii="Arial"/>
          <w:i/>
          <w:spacing w:val="-6"/>
          <w:sz w:val="20"/>
          <w:szCs w:val="20"/>
          <w:lang w:val="uk-UA"/>
        </w:rPr>
        <w:t>доказів</w:t>
      </w:r>
      <w:r w:rsidR="00FD655A" w:rsidRPr="003C6DAE">
        <w:rPr>
          <w:i/>
          <w:iCs/>
          <w:w w:val="105"/>
          <w:sz w:val="20"/>
          <w:szCs w:val="20"/>
          <w:lang w:val="uk-UA"/>
        </w:rPr>
        <w:t>: висока достовірність</w:t>
      </w:r>
      <w:r w:rsidR="00FD655A" w:rsidRPr="003C6DAE">
        <w:rPr>
          <w:rFonts w:ascii="Arial" w:hAnsi="Arial"/>
          <w:i/>
          <w:sz w:val="20"/>
          <w:szCs w:val="20"/>
          <w:lang w:val="uk-UA"/>
        </w:rPr>
        <w:t>.</w:t>
      </w:r>
    </w:p>
    <w:p w14:paraId="688B6F9E" w14:textId="18B4D07F" w:rsidR="00E05B98" w:rsidRPr="003C6DAE" w:rsidRDefault="00B20581" w:rsidP="004A2937">
      <w:pPr>
        <w:pStyle w:val="a4"/>
        <w:numPr>
          <w:ilvl w:val="0"/>
          <w:numId w:val="24"/>
        </w:numPr>
        <w:tabs>
          <w:tab w:val="left" w:pos="850"/>
        </w:tabs>
        <w:spacing w:before="117" w:line="269" w:lineRule="auto"/>
        <w:ind w:hanging="283"/>
        <w:rPr>
          <w:sz w:val="20"/>
          <w:szCs w:val="20"/>
          <w:lang w:val="uk-UA"/>
        </w:rPr>
      </w:pPr>
      <w:r w:rsidRPr="003C6DAE">
        <w:rPr>
          <w:sz w:val="20"/>
          <w:szCs w:val="20"/>
          <w:lang w:val="uk-UA"/>
        </w:rPr>
        <w:t>Медичні працівники можуть неохоче проходити тестування на ТБ або МЛС-ТБ з наступних причин:</w:t>
      </w:r>
    </w:p>
    <w:p w14:paraId="70D43C53" w14:textId="77777777" w:rsidR="00B20581" w:rsidRPr="003C6DAE" w:rsidRDefault="00B20581" w:rsidP="004A2937">
      <w:pPr>
        <w:pStyle w:val="a4"/>
        <w:numPr>
          <w:ilvl w:val="1"/>
          <w:numId w:val="24"/>
        </w:numPr>
        <w:tabs>
          <w:tab w:val="left" w:pos="1227"/>
        </w:tabs>
        <w:spacing w:line="269" w:lineRule="auto"/>
        <w:rPr>
          <w:sz w:val="20"/>
          <w:szCs w:val="20"/>
          <w:lang w:val="uk-UA"/>
        </w:rPr>
      </w:pPr>
      <w:r w:rsidRPr="003C6DAE">
        <w:rPr>
          <w:sz w:val="20"/>
          <w:szCs w:val="20"/>
          <w:lang w:val="uk-UA"/>
        </w:rPr>
        <w:t>стигма, пов’язана з ТБ, і наслідки для пацієнтів;</w:t>
      </w:r>
    </w:p>
    <w:p w14:paraId="191B3B02" w14:textId="022DFE62" w:rsidR="00B20581" w:rsidRPr="003C6DAE" w:rsidRDefault="00B20581" w:rsidP="004A2937">
      <w:pPr>
        <w:pStyle w:val="a4"/>
        <w:numPr>
          <w:ilvl w:val="1"/>
          <w:numId w:val="24"/>
        </w:numPr>
        <w:tabs>
          <w:tab w:val="left" w:pos="1227"/>
        </w:tabs>
        <w:spacing w:line="269" w:lineRule="auto"/>
        <w:rPr>
          <w:sz w:val="20"/>
          <w:szCs w:val="20"/>
          <w:lang w:val="uk-UA"/>
        </w:rPr>
      </w:pPr>
      <w:r w:rsidRPr="003C6DAE">
        <w:rPr>
          <w:sz w:val="20"/>
          <w:szCs w:val="20"/>
          <w:lang w:val="uk-UA"/>
        </w:rPr>
        <w:t>страх заразитися туберкульозом;</w:t>
      </w:r>
    </w:p>
    <w:p w14:paraId="44B38322" w14:textId="05028DC7" w:rsidR="00B20581" w:rsidRPr="003C6DAE" w:rsidRDefault="00B20581" w:rsidP="004A2937">
      <w:pPr>
        <w:pStyle w:val="a4"/>
        <w:numPr>
          <w:ilvl w:val="1"/>
          <w:numId w:val="24"/>
        </w:numPr>
        <w:tabs>
          <w:tab w:val="left" w:pos="1227"/>
        </w:tabs>
        <w:spacing w:line="269" w:lineRule="auto"/>
        <w:rPr>
          <w:sz w:val="20"/>
          <w:szCs w:val="20"/>
          <w:lang w:val="uk-UA"/>
        </w:rPr>
      </w:pPr>
      <w:r w:rsidRPr="003C6DAE">
        <w:rPr>
          <w:sz w:val="20"/>
          <w:szCs w:val="20"/>
          <w:lang w:val="uk-UA"/>
        </w:rPr>
        <w:t>прояв занепокоєння з боку керівників під час перекласифікації пацієнтів, які вже перебувають на лікуванні від туберкульозу і які виявилися неправильно класифікованими;</w:t>
      </w:r>
    </w:p>
    <w:p w14:paraId="35BA8D2A" w14:textId="4546CD69" w:rsidR="00B20581" w:rsidRPr="003C6DAE" w:rsidRDefault="00B20581" w:rsidP="004A2937">
      <w:pPr>
        <w:pStyle w:val="a4"/>
        <w:numPr>
          <w:ilvl w:val="1"/>
          <w:numId w:val="24"/>
        </w:numPr>
        <w:tabs>
          <w:tab w:val="left" w:pos="1227"/>
        </w:tabs>
        <w:spacing w:line="269" w:lineRule="auto"/>
        <w:rPr>
          <w:sz w:val="20"/>
          <w:szCs w:val="20"/>
          <w:lang w:val="uk-UA"/>
        </w:rPr>
      </w:pPr>
      <w:r w:rsidRPr="003C6DAE">
        <w:rPr>
          <w:sz w:val="20"/>
          <w:szCs w:val="20"/>
          <w:lang w:val="uk-UA"/>
        </w:rPr>
        <w:t>страх виникнення побічних ефектів у дітей внаслідок прийому лікарських препаратів;  та</w:t>
      </w:r>
    </w:p>
    <w:p w14:paraId="78A09491" w14:textId="6187AD88" w:rsidR="00E05B98" w:rsidRPr="003C6DAE" w:rsidRDefault="004E67FE" w:rsidP="004A2937">
      <w:pPr>
        <w:pStyle w:val="a4"/>
        <w:numPr>
          <w:ilvl w:val="1"/>
          <w:numId w:val="24"/>
        </w:numPr>
        <w:tabs>
          <w:tab w:val="left" w:pos="1227"/>
        </w:tabs>
        <w:spacing w:line="269" w:lineRule="auto"/>
        <w:rPr>
          <w:color w:val="0C8140"/>
          <w:sz w:val="20"/>
          <w:szCs w:val="20"/>
          <w:lang w:val="uk-UA"/>
        </w:rPr>
      </w:pPr>
      <w:r>
        <w:rPr>
          <w:sz w:val="20"/>
          <w:szCs w:val="20"/>
          <w:lang w:val="uk-UA"/>
        </w:rPr>
        <w:t xml:space="preserve">підвищення рівня </w:t>
      </w:r>
      <w:r w:rsidR="00507F6E">
        <w:rPr>
          <w:sz w:val="20"/>
          <w:szCs w:val="20"/>
          <w:lang w:val="uk-UA"/>
        </w:rPr>
        <w:t>обізнаності</w:t>
      </w:r>
      <w:r>
        <w:rPr>
          <w:sz w:val="20"/>
          <w:szCs w:val="20"/>
          <w:lang w:val="uk-UA"/>
        </w:rPr>
        <w:t xml:space="preserve"> </w:t>
      </w:r>
      <w:r w:rsidR="00B20581" w:rsidRPr="003C6DAE">
        <w:rPr>
          <w:sz w:val="20"/>
          <w:szCs w:val="20"/>
          <w:lang w:val="uk-UA"/>
        </w:rPr>
        <w:t>громади про прояви захворювання у дітей</w:t>
      </w:r>
      <w:r w:rsidR="00B01E0C" w:rsidRPr="003C6DAE">
        <w:rPr>
          <w:spacing w:val="-2"/>
          <w:sz w:val="20"/>
          <w:szCs w:val="20"/>
          <w:lang w:val="uk-UA"/>
        </w:rPr>
        <w:t>.</w:t>
      </w:r>
    </w:p>
    <w:p w14:paraId="4370822D" w14:textId="55968D79" w:rsidR="00E05B98" w:rsidRPr="003C6DAE" w:rsidRDefault="002C1B8A" w:rsidP="00FD655A">
      <w:pPr>
        <w:spacing w:before="57" w:line="269" w:lineRule="auto"/>
        <w:ind w:left="1227"/>
        <w:jc w:val="both"/>
        <w:rPr>
          <w:rFonts w:ascii="Arial"/>
          <w:i/>
          <w:sz w:val="20"/>
          <w:szCs w:val="20"/>
          <w:lang w:val="uk-UA"/>
        </w:rPr>
      </w:pPr>
      <w:r w:rsidRPr="00E8576D">
        <w:rPr>
          <w:rFonts w:ascii="Arial"/>
          <w:i/>
          <w:spacing w:val="-6"/>
          <w:sz w:val="20"/>
          <w:szCs w:val="20"/>
          <w:lang w:val="uk-UA"/>
        </w:rPr>
        <w:t>Синтез</w:t>
      </w:r>
      <w:r w:rsidRPr="00E8576D">
        <w:rPr>
          <w:rFonts w:ascii="Arial"/>
          <w:i/>
          <w:spacing w:val="-6"/>
          <w:sz w:val="20"/>
          <w:szCs w:val="20"/>
          <w:lang w:val="uk-UA"/>
        </w:rPr>
        <w:t xml:space="preserve"> </w:t>
      </w:r>
      <w:r w:rsidRPr="00E8576D">
        <w:rPr>
          <w:rFonts w:ascii="Arial"/>
          <w:i/>
          <w:spacing w:val="-6"/>
          <w:sz w:val="20"/>
          <w:szCs w:val="20"/>
          <w:lang w:val="uk-UA"/>
        </w:rPr>
        <w:t>якісних</w:t>
      </w:r>
      <w:r w:rsidRPr="00E8576D">
        <w:rPr>
          <w:rFonts w:ascii="Arial"/>
          <w:i/>
          <w:spacing w:val="-6"/>
          <w:sz w:val="20"/>
          <w:szCs w:val="20"/>
          <w:lang w:val="uk-UA"/>
        </w:rPr>
        <w:t xml:space="preserve"> </w:t>
      </w:r>
      <w:r w:rsidRPr="00E8576D">
        <w:rPr>
          <w:rFonts w:ascii="Arial"/>
          <w:i/>
          <w:spacing w:val="-6"/>
          <w:sz w:val="20"/>
          <w:szCs w:val="20"/>
          <w:lang w:val="uk-UA"/>
        </w:rPr>
        <w:t>доказів</w:t>
      </w:r>
      <w:r w:rsidR="00FD655A" w:rsidRPr="003C6DAE">
        <w:rPr>
          <w:i/>
          <w:iCs/>
          <w:w w:val="105"/>
          <w:sz w:val="20"/>
          <w:szCs w:val="20"/>
          <w:lang w:val="uk-UA"/>
        </w:rPr>
        <w:t>: висока достовірність</w:t>
      </w:r>
      <w:r w:rsidR="00FD655A" w:rsidRPr="003C6DAE">
        <w:rPr>
          <w:rFonts w:ascii="Arial" w:hAnsi="Arial"/>
          <w:i/>
          <w:sz w:val="20"/>
          <w:szCs w:val="20"/>
          <w:lang w:val="uk-UA"/>
        </w:rPr>
        <w:t>.</w:t>
      </w:r>
    </w:p>
    <w:p w14:paraId="4E3EC9CB" w14:textId="77777777" w:rsidR="00E05B98" w:rsidRPr="003C6DAE" w:rsidRDefault="00E05B98" w:rsidP="00FD655A">
      <w:pPr>
        <w:spacing w:line="269" w:lineRule="auto"/>
        <w:jc w:val="both"/>
        <w:rPr>
          <w:rFonts w:ascii="Arial"/>
          <w:i/>
          <w:sz w:val="20"/>
          <w:szCs w:val="20"/>
          <w:lang w:val="uk-UA"/>
        </w:rPr>
        <w:sectPr w:rsidR="00E05B98" w:rsidRPr="003C6DAE" w:rsidSect="00061F49">
          <w:pgSz w:w="11910" w:h="16840"/>
          <w:pgMar w:top="1135" w:right="853" w:bottom="760" w:left="850" w:header="0" w:footer="573" w:gutter="0"/>
          <w:cols w:space="720"/>
        </w:sectPr>
      </w:pPr>
    </w:p>
    <w:p w14:paraId="59D05B98" w14:textId="5573D127" w:rsidR="00E05B98" w:rsidRPr="003068C3" w:rsidRDefault="00B20581" w:rsidP="004A2937">
      <w:pPr>
        <w:pStyle w:val="a4"/>
        <w:numPr>
          <w:ilvl w:val="0"/>
          <w:numId w:val="24"/>
        </w:numPr>
        <w:tabs>
          <w:tab w:val="left" w:pos="850"/>
        </w:tabs>
        <w:spacing w:before="52" w:line="269" w:lineRule="auto"/>
        <w:ind w:hanging="283"/>
        <w:rPr>
          <w:sz w:val="20"/>
          <w:szCs w:val="20"/>
          <w:lang w:val="uk-UA"/>
        </w:rPr>
      </w:pPr>
      <w:r w:rsidRPr="003068C3">
        <w:rPr>
          <w:sz w:val="20"/>
          <w:szCs w:val="20"/>
          <w:lang w:val="uk-UA"/>
        </w:rPr>
        <w:lastRenderedPageBreak/>
        <w:t>Стосовно прийнятності автоматизованих ТАНК помірної складності:</w:t>
      </w:r>
    </w:p>
    <w:p w14:paraId="7378D779" w14:textId="28F2AE07" w:rsidR="0054118C" w:rsidRPr="003068C3" w:rsidRDefault="0054118C" w:rsidP="004A2937">
      <w:pPr>
        <w:pStyle w:val="a4"/>
        <w:numPr>
          <w:ilvl w:val="1"/>
          <w:numId w:val="24"/>
        </w:numPr>
        <w:tabs>
          <w:tab w:val="left" w:pos="1227"/>
        </w:tabs>
        <w:spacing w:before="2" w:line="269" w:lineRule="auto"/>
        <w:ind w:right="140"/>
        <w:rPr>
          <w:w w:val="105"/>
          <w:sz w:val="20"/>
          <w:szCs w:val="20"/>
          <w:lang w:val="uk-UA"/>
        </w:rPr>
      </w:pPr>
      <w:r w:rsidRPr="003068C3">
        <w:rPr>
          <w:w w:val="105"/>
          <w:sz w:val="20"/>
          <w:szCs w:val="20"/>
          <w:lang w:val="uk-UA"/>
        </w:rPr>
        <w:t xml:space="preserve">автоматизація цього класу методів, що враховує високий рівень </w:t>
      </w:r>
      <w:r w:rsidR="00507F6E" w:rsidRPr="003068C3">
        <w:rPr>
          <w:w w:val="105"/>
          <w:sz w:val="20"/>
          <w:szCs w:val="20"/>
          <w:lang w:val="uk-UA"/>
        </w:rPr>
        <w:t>робочого</w:t>
      </w:r>
      <w:r w:rsidR="003068C3" w:rsidRPr="003068C3">
        <w:rPr>
          <w:w w:val="105"/>
          <w:sz w:val="20"/>
          <w:szCs w:val="20"/>
          <w:lang w:val="uk-UA"/>
        </w:rPr>
        <w:t xml:space="preserve"> </w:t>
      </w:r>
      <w:r w:rsidR="00507F6E" w:rsidRPr="003068C3">
        <w:rPr>
          <w:w w:val="105"/>
          <w:sz w:val="20"/>
          <w:szCs w:val="20"/>
          <w:lang w:val="uk-UA"/>
        </w:rPr>
        <w:t>навантаження</w:t>
      </w:r>
      <w:r w:rsidRPr="003068C3">
        <w:rPr>
          <w:w w:val="105"/>
          <w:sz w:val="20"/>
          <w:szCs w:val="20"/>
          <w:lang w:val="uk-UA"/>
        </w:rPr>
        <w:t xml:space="preserve"> на </w:t>
      </w:r>
      <w:r w:rsidR="003068C3" w:rsidRPr="003068C3">
        <w:rPr>
          <w:w w:val="105"/>
          <w:sz w:val="20"/>
          <w:szCs w:val="20"/>
          <w:lang w:val="uk-UA"/>
        </w:rPr>
        <w:t xml:space="preserve">персонал </w:t>
      </w:r>
      <w:r w:rsidRPr="003068C3">
        <w:rPr>
          <w:w w:val="105"/>
          <w:sz w:val="20"/>
          <w:szCs w:val="20"/>
          <w:lang w:val="uk-UA"/>
        </w:rPr>
        <w:t>лаборатор</w:t>
      </w:r>
      <w:r w:rsidR="003068C3" w:rsidRPr="003068C3">
        <w:rPr>
          <w:w w:val="105"/>
          <w:sz w:val="20"/>
          <w:szCs w:val="20"/>
          <w:lang w:val="uk-UA"/>
        </w:rPr>
        <w:t>ії</w:t>
      </w:r>
      <w:r w:rsidRPr="003068C3">
        <w:rPr>
          <w:w w:val="105"/>
          <w:sz w:val="20"/>
          <w:szCs w:val="20"/>
          <w:lang w:val="uk-UA"/>
        </w:rPr>
        <w:t>, покращує їх прийнятність;</w:t>
      </w:r>
    </w:p>
    <w:p w14:paraId="7DEF3FB4" w14:textId="16D010D0" w:rsidR="0054118C" w:rsidRPr="003C6DAE" w:rsidRDefault="0054118C" w:rsidP="004A2937">
      <w:pPr>
        <w:pStyle w:val="a4"/>
        <w:numPr>
          <w:ilvl w:val="1"/>
          <w:numId w:val="24"/>
        </w:numPr>
        <w:tabs>
          <w:tab w:val="left" w:pos="1227"/>
        </w:tabs>
        <w:spacing w:before="2" w:line="269" w:lineRule="auto"/>
        <w:ind w:right="140"/>
        <w:rPr>
          <w:w w:val="105"/>
          <w:sz w:val="20"/>
          <w:szCs w:val="20"/>
          <w:lang w:val="uk-UA"/>
        </w:rPr>
      </w:pPr>
      <w:r w:rsidRPr="003068C3">
        <w:rPr>
          <w:w w:val="105"/>
          <w:sz w:val="20"/>
          <w:szCs w:val="20"/>
          <w:lang w:val="uk-UA"/>
        </w:rPr>
        <w:t>з точки зору фізичного розміру</w:t>
      </w:r>
      <w:r w:rsidRPr="003C6DAE">
        <w:rPr>
          <w:w w:val="105"/>
          <w:sz w:val="20"/>
          <w:szCs w:val="20"/>
          <w:lang w:val="uk-UA"/>
        </w:rPr>
        <w:t xml:space="preserve"> платформи та того, як вона вписується в лабораторний простір і робочий процес, - менший розмір може бути більш прийнятним;   та</w:t>
      </w:r>
    </w:p>
    <w:p w14:paraId="3FD0FE8F" w14:textId="4721BA5A" w:rsidR="00E05B98" w:rsidRPr="003C6DAE" w:rsidRDefault="0054118C" w:rsidP="004A2937">
      <w:pPr>
        <w:pStyle w:val="a4"/>
        <w:numPr>
          <w:ilvl w:val="1"/>
          <w:numId w:val="24"/>
        </w:numPr>
        <w:tabs>
          <w:tab w:val="left" w:pos="1227"/>
        </w:tabs>
        <w:spacing w:before="2" w:line="269" w:lineRule="auto"/>
        <w:ind w:right="140"/>
        <w:rPr>
          <w:color w:val="0C8140"/>
          <w:sz w:val="20"/>
          <w:szCs w:val="20"/>
          <w:lang w:val="uk-UA"/>
        </w:rPr>
      </w:pPr>
      <w:r w:rsidRPr="003C6DAE">
        <w:rPr>
          <w:w w:val="105"/>
          <w:sz w:val="20"/>
          <w:szCs w:val="20"/>
          <w:lang w:val="uk-UA"/>
        </w:rPr>
        <w:t>кількість зразків, які обробляються в системі, є прийнятною за умови, що платформа розміщена в лабораторії, яка отримує достатнє завантаження зразків для роботи системи</w:t>
      </w:r>
      <w:r w:rsidR="00B01E0C" w:rsidRPr="003C6DAE">
        <w:rPr>
          <w:w w:val="105"/>
          <w:sz w:val="20"/>
          <w:szCs w:val="20"/>
          <w:lang w:val="uk-UA"/>
        </w:rPr>
        <w:t>.</w:t>
      </w:r>
    </w:p>
    <w:p w14:paraId="4FC285FF" w14:textId="54361511" w:rsidR="00E05B98" w:rsidRPr="003C6DAE" w:rsidRDefault="00FD655A" w:rsidP="00FD655A">
      <w:pPr>
        <w:spacing w:line="269" w:lineRule="auto"/>
        <w:ind w:left="1227"/>
        <w:jc w:val="both"/>
        <w:rPr>
          <w:rFonts w:ascii="Arial"/>
          <w:i/>
          <w:sz w:val="20"/>
          <w:szCs w:val="20"/>
          <w:lang w:val="uk-UA"/>
        </w:rPr>
      </w:pPr>
      <w:r w:rsidRPr="003C6DAE">
        <w:rPr>
          <w:rFonts w:ascii="Arial"/>
          <w:i/>
          <w:spacing w:val="-2"/>
          <w:sz w:val="20"/>
          <w:szCs w:val="20"/>
          <w:lang w:val="uk-UA"/>
        </w:rPr>
        <w:t>Інтерв’ю</w:t>
      </w:r>
    </w:p>
    <w:p w14:paraId="749B5D80" w14:textId="7DC4979E" w:rsidR="00E05B98" w:rsidRPr="003C6DAE" w:rsidRDefault="0054118C" w:rsidP="00FD655A">
      <w:pPr>
        <w:pStyle w:val="9"/>
        <w:spacing w:before="227" w:line="269" w:lineRule="auto"/>
        <w:jc w:val="both"/>
        <w:rPr>
          <w:sz w:val="20"/>
          <w:szCs w:val="20"/>
          <w:lang w:val="uk-UA"/>
        </w:rPr>
      </w:pPr>
      <w:r w:rsidRPr="003C6DAE">
        <w:rPr>
          <w:sz w:val="20"/>
          <w:szCs w:val="20"/>
          <w:lang w:val="uk-UA"/>
        </w:rPr>
        <w:t>Чи можливо реалізувати інтервенцію?</w:t>
      </w:r>
    </w:p>
    <w:p w14:paraId="075EFDDA" w14:textId="0D52D1B3" w:rsidR="00E05B98" w:rsidRPr="003C6DAE" w:rsidRDefault="0054118C" w:rsidP="004A2937">
      <w:pPr>
        <w:pStyle w:val="a4"/>
        <w:numPr>
          <w:ilvl w:val="0"/>
          <w:numId w:val="24"/>
        </w:numPr>
        <w:tabs>
          <w:tab w:val="left" w:pos="850"/>
        </w:tabs>
        <w:spacing w:before="231" w:line="269" w:lineRule="auto"/>
        <w:ind w:right="137"/>
        <w:rPr>
          <w:sz w:val="20"/>
          <w:szCs w:val="20"/>
          <w:lang w:val="uk-UA"/>
        </w:rPr>
      </w:pPr>
      <w:r w:rsidRPr="003C6DAE">
        <w:rPr>
          <w:sz w:val="20"/>
          <w:szCs w:val="20"/>
          <w:lang w:val="uk-UA"/>
        </w:rPr>
        <w:t>Можливість реалізації всіх діагностичних технологій ставить під сумнів, якщо на кожному етапі процесу виникає накопичення випадків затримки діагностики або має місце недостатнє використання цих методів  (або те й інше), головним чином через фактори системи охорони здоров’я, такі як:</w:t>
      </w:r>
    </w:p>
    <w:p w14:paraId="50090342" w14:textId="1F271B00" w:rsidR="00EE4125" w:rsidRPr="003C6DAE" w:rsidRDefault="00EE4125" w:rsidP="004A2937">
      <w:pPr>
        <w:pStyle w:val="a4"/>
        <w:numPr>
          <w:ilvl w:val="1"/>
          <w:numId w:val="24"/>
        </w:numPr>
        <w:tabs>
          <w:tab w:val="left" w:pos="1227"/>
        </w:tabs>
        <w:spacing w:before="6" w:line="269" w:lineRule="auto"/>
        <w:ind w:right="140"/>
        <w:rPr>
          <w:w w:val="105"/>
          <w:sz w:val="20"/>
          <w:szCs w:val="20"/>
          <w:lang w:val="uk-UA"/>
        </w:rPr>
      </w:pPr>
      <w:r w:rsidRPr="003C6DAE">
        <w:rPr>
          <w:w w:val="105"/>
          <w:sz w:val="20"/>
          <w:szCs w:val="20"/>
          <w:lang w:val="uk-UA"/>
        </w:rPr>
        <w:t xml:space="preserve">недотримання алгоритмів тестування, тестування на ТБ або МЛС-ТБ на пізній стадії процесу, емпіричне лікування, хибно негативні результати через технологічний збій, великі обсяги зразків і недостатня кількість персоналу, неналежне або запізніле транспортування зразків і якість зразків, неналежне або запізніле повідомлення про результати, затримки в плануванні візитів для подальшого спостереження та </w:t>
      </w:r>
      <w:r w:rsidR="003068C3">
        <w:rPr>
          <w:w w:val="105"/>
          <w:sz w:val="20"/>
          <w:szCs w:val="20"/>
          <w:lang w:val="uk-UA"/>
        </w:rPr>
        <w:t xml:space="preserve">виклику </w:t>
      </w:r>
      <w:r w:rsidRPr="003C6DAE">
        <w:rPr>
          <w:w w:val="105"/>
          <w:sz w:val="20"/>
          <w:szCs w:val="20"/>
          <w:lang w:val="uk-UA"/>
        </w:rPr>
        <w:t>пацієнтів, а також непослідовна реєстрація результатів;</w:t>
      </w:r>
    </w:p>
    <w:p w14:paraId="6221B81B" w14:textId="2BAB6070" w:rsidR="00E05B98" w:rsidRPr="003C6DAE" w:rsidRDefault="00EE4125" w:rsidP="004A2937">
      <w:pPr>
        <w:pStyle w:val="a4"/>
        <w:numPr>
          <w:ilvl w:val="1"/>
          <w:numId w:val="24"/>
        </w:numPr>
        <w:tabs>
          <w:tab w:val="left" w:pos="1227"/>
        </w:tabs>
        <w:spacing w:before="6" w:line="269" w:lineRule="auto"/>
        <w:ind w:right="140"/>
        <w:rPr>
          <w:color w:val="0C8140"/>
          <w:sz w:val="20"/>
          <w:szCs w:val="20"/>
          <w:lang w:val="uk-UA"/>
        </w:rPr>
      </w:pPr>
      <w:r w:rsidRPr="003C6DAE">
        <w:rPr>
          <w:w w:val="105"/>
          <w:sz w:val="20"/>
          <w:szCs w:val="20"/>
          <w:lang w:val="uk-UA"/>
        </w:rPr>
        <w:t>відсутність достатніх ресурсів і технічного обслуговування (тобто відсутність запасів; ненадійна логістика; відсутність фінансування, електроенергії, приміщення, кондиціонерів і контейнерів для мокротиння; запилене середовище; а також затримка або відсутність можливості проведення локального ремонту);</w:t>
      </w:r>
    </w:p>
    <w:p w14:paraId="4AE38137" w14:textId="77777777" w:rsidR="00EE4125" w:rsidRPr="003C6DAE" w:rsidRDefault="00EE4125" w:rsidP="004A2937">
      <w:pPr>
        <w:pStyle w:val="a4"/>
        <w:numPr>
          <w:ilvl w:val="1"/>
          <w:numId w:val="24"/>
        </w:numPr>
        <w:tabs>
          <w:tab w:val="left" w:pos="1226"/>
        </w:tabs>
        <w:spacing w:before="3" w:line="269" w:lineRule="auto"/>
        <w:rPr>
          <w:w w:val="105"/>
          <w:sz w:val="20"/>
          <w:szCs w:val="20"/>
          <w:lang w:val="uk-UA"/>
        </w:rPr>
      </w:pPr>
      <w:r w:rsidRPr="003C6DAE">
        <w:rPr>
          <w:w w:val="105"/>
          <w:sz w:val="20"/>
          <w:szCs w:val="20"/>
          <w:lang w:val="uk-UA"/>
        </w:rPr>
        <w:t>неефективні або нечіткі робочі процеси та потоки пацієнтів (наприклад, неефективні організаційні процеси, слабкі зв’язки між надавачами послуг та неясні механізми здійснення подальшого спостереження або інформування про те, куди пацієнти мають звертатися); і</w:t>
      </w:r>
    </w:p>
    <w:p w14:paraId="2DD7411D" w14:textId="070153EE" w:rsidR="00E05B98" w:rsidRPr="003C6DAE" w:rsidRDefault="00EE4125" w:rsidP="004A2937">
      <w:pPr>
        <w:pStyle w:val="a4"/>
        <w:numPr>
          <w:ilvl w:val="1"/>
          <w:numId w:val="24"/>
        </w:numPr>
        <w:tabs>
          <w:tab w:val="left" w:pos="1226"/>
        </w:tabs>
        <w:spacing w:before="3" w:line="269" w:lineRule="auto"/>
        <w:rPr>
          <w:color w:val="0C8140"/>
          <w:lang w:val="uk-UA"/>
        </w:rPr>
      </w:pPr>
      <w:r w:rsidRPr="003C6DAE">
        <w:rPr>
          <w:w w:val="105"/>
          <w:sz w:val="20"/>
          <w:szCs w:val="20"/>
          <w:lang w:val="uk-UA"/>
        </w:rPr>
        <w:t xml:space="preserve">відсутність </w:t>
      </w:r>
      <w:r w:rsidR="00BA5D6E">
        <w:rPr>
          <w:w w:val="105"/>
          <w:sz w:val="20"/>
          <w:szCs w:val="20"/>
          <w:lang w:val="uk-UA"/>
        </w:rPr>
        <w:t>заснованих на</w:t>
      </w:r>
      <w:r w:rsidRPr="003C6DAE">
        <w:rPr>
          <w:w w:val="105"/>
          <w:sz w:val="20"/>
          <w:szCs w:val="20"/>
          <w:lang w:val="uk-UA"/>
        </w:rPr>
        <w:t xml:space="preserve"> дани</w:t>
      </w:r>
      <w:r w:rsidR="00BA5D6E">
        <w:rPr>
          <w:w w:val="105"/>
          <w:sz w:val="20"/>
          <w:szCs w:val="20"/>
          <w:lang w:val="uk-UA"/>
        </w:rPr>
        <w:t>х</w:t>
      </w:r>
      <w:r w:rsidRPr="003C6DAE">
        <w:rPr>
          <w:w w:val="105"/>
          <w:sz w:val="20"/>
          <w:szCs w:val="20"/>
          <w:lang w:val="uk-UA"/>
        </w:rPr>
        <w:t xml:space="preserve"> та інклюзивних </w:t>
      </w:r>
      <w:r w:rsidR="00BA5D6E">
        <w:rPr>
          <w:w w:val="105"/>
          <w:sz w:val="20"/>
          <w:szCs w:val="20"/>
          <w:lang w:val="uk-UA"/>
        </w:rPr>
        <w:t xml:space="preserve">національних </w:t>
      </w:r>
      <w:r w:rsidRPr="003C6DAE">
        <w:rPr>
          <w:w w:val="105"/>
          <w:sz w:val="20"/>
          <w:szCs w:val="20"/>
          <w:lang w:val="uk-UA"/>
        </w:rPr>
        <w:t>процесів впровадження.</w:t>
      </w:r>
    </w:p>
    <w:p w14:paraId="35E9BC58" w14:textId="1E6BE036" w:rsidR="00E05B98" w:rsidRPr="003C6DAE" w:rsidRDefault="002C1B8A" w:rsidP="00FD655A">
      <w:pPr>
        <w:spacing w:before="58" w:line="269" w:lineRule="auto"/>
        <w:ind w:left="1227"/>
        <w:rPr>
          <w:rFonts w:ascii="Arial"/>
          <w:i/>
          <w:lang w:val="uk-UA"/>
        </w:rPr>
      </w:pPr>
      <w:r w:rsidRPr="00E8576D">
        <w:rPr>
          <w:rFonts w:ascii="Arial"/>
          <w:i/>
          <w:spacing w:val="-6"/>
          <w:sz w:val="20"/>
          <w:szCs w:val="20"/>
          <w:lang w:val="uk-UA"/>
        </w:rPr>
        <w:t>Синтез</w:t>
      </w:r>
      <w:r w:rsidRPr="00E8576D">
        <w:rPr>
          <w:rFonts w:ascii="Arial"/>
          <w:i/>
          <w:spacing w:val="-6"/>
          <w:sz w:val="20"/>
          <w:szCs w:val="20"/>
          <w:lang w:val="uk-UA"/>
        </w:rPr>
        <w:t xml:space="preserve"> </w:t>
      </w:r>
      <w:r w:rsidRPr="00E8576D">
        <w:rPr>
          <w:rFonts w:ascii="Arial"/>
          <w:i/>
          <w:spacing w:val="-6"/>
          <w:sz w:val="20"/>
          <w:szCs w:val="20"/>
          <w:lang w:val="uk-UA"/>
        </w:rPr>
        <w:t>якісних</w:t>
      </w:r>
      <w:r w:rsidRPr="00E8576D">
        <w:rPr>
          <w:rFonts w:ascii="Arial"/>
          <w:i/>
          <w:spacing w:val="-6"/>
          <w:sz w:val="20"/>
          <w:szCs w:val="20"/>
          <w:lang w:val="uk-UA"/>
        </w:rPr>
        <w:t xml:space="preserve"> </w:t>
      </w:r>
      <w:r w:rsidRPr="00E8576D">
        <w:rPr>
          <w:rFonts w:ascii="Arial"/>
          <w:i/>
          <w:spacing w:val="-6"/>
          <w:sz w:val="20"/>
          <w:szCs w:val="20"/>
          <w:lang w:val="uk-UA"/>
        </w:rPr>
        <w:t>доказів</w:t>
      </w:r>
      <w:r w:rsidR="00FD655A" w:rsidRPr="003C6DAE">
        <w:rPr>
          <w:i/>
          <w:iCs/>
          <w:w w:val="105"/>
          <w:sz w:val="20"/>
          <w:szCs w:val="20"/>
          <w:lang w:val="uk-UA"/>
        </w:rPr>
        <w:t>: висока достовірність</w:t>
      </w:r>
      <w:r w:rsidR="00FD655A" w:rsidRPr="003C6DAE">
        <w:rPr>
          <w:rFonts w:ascii="Arial" w:hAnsi="Arial"/>
          <w:i/>
          <w:sz w:val="20"/>
          <w:szCs w:val="20"/>
          <w:lang w:val="uk-UA"/>
        </w:rPr>
        <w:t>.</w:t>
      </w:r>
    </w:p>
    <w:p w14:paraId="62EB4865" w14:textId="33D59298" w:rsidR="00E05B98" w:rsidRPr="003C6DAE" w:rsidRDefault="001C4003" w:rsidP="004A2937">
      <w:pPr>
        <w:pStyle w:val="a4"/>
        <w:numPr>
          <w:ilvl w:val="0"/>
          <w:numId w:val="24"/>
        </w:numPr>
        <w:tabs>
          <w:tab w:val="left" w:pos="850"/>
        </w:tabs>
        <w:spacing w:before="117" w:line="269" w:lineRule="auto"/>
        <w:ind w:hanging="283"/>
        <w:rPr>
          <w:sz w:val="20"/>
          <w:szCs w:val="20"/>
          <w:lang w:val="uk-UA"/>
        </w:rPr>
      </w:pPr>
      <w:r w:rsidRPr="003C6DAE">
        <w:rPr>
          <w:sz w:val="20"/>
          <w:szCs w:val="20"/>
          <w:lang w:val="uk-UA"/>
        </w:rPr>
        <w:t xml:space="preserve">Можливість реалізації автоматизованих ТАНК помірної складності також </w:t>
      </w:r>
      <w:r w:rsidR="00304BDE">
        <w:rPr>
          <w:sz w:val="20"/>
          <w:szCs w:val="20"/>
          <w:lang w:val="uk-UA"/>
        </w:rPr>
        <w:t>ускладнюється, зокрема  з точки зору</w:t>
      </w:r>
      <w:r w:rsidRPr="003C6DAE">
        <w:rPr>
          <w:sz w:val="20"/>
          <w:szCs w:val="20"/>
          <w:lang w:val="uk-UA"/>
        </w:rPr>
        <w:t>:</w:t>
      </w:r>
    </w:p>
    <w:p w14:paraId="01D1A0DB" w14:textId="77777777" w:rsidR="001C4003" w:rsidRPr="003C6DAE" w:rsidRDefault="001C4003" w:rsidP="004A2937">
      <w:pPr>
        <w:pStyle w:val="a4"/>
        <w:numPr>
          <w:ilvl w:val="1"/>
          <w:numId w:val="24"/>
        </w:numPr>
        <w:tabs>
          <w:tab w:val="left" w:pos="1227"/>
        </w:tabs>
        <w:spacing w:line="269" w:lineRule="auto"/>
        <w:ind w:right="136"/>
        <w:rPr>
          <w:sz w:val="20"/>
          <w:szCs w:val="20"/>
          <w:lang w:val="uk-UA"/>
        </w:rPr>
      </w:pPr>
      <w:r w:rsidRPr="003C6DAE">
        <w:rPr>
          <w:sz w:val="20"/>
          <w:szCs w:val="20"/>
          <w:lang w:val="uk-UA"/>
        </w:rPr>
        <w:t>як і чи вписується платформа у фізичний простір лабораторії (враховуючи розмір столу та вагу платформи) і робочий процес зі зразками;</w:t>
      </w:r>
    </w:p>
    <w:p w14:paraId="6214B538" w14:textId="3E8AACF8" w:rsidR="001C4003" w:rsidRPr="003C6DAE" w:rsidRDefault="00304BDE" w:rsidP="004A2937">
      <w:pPr>
        <w:pStyle w:val="a4"/>
        <w:numPr>
          <w:ilvl w:val="1"/>
          <w:numId w:val="24"/>
        </w:numPr>
        <w:tabs>
          <w:tab w:val="left" w:pos="1227"/>
        </w:tabs>
        <w:spacing w:line="269" w:lineRule="auto"/>
        <w:ind w:right="136"/>
        <w:rPr>
          <w:sz w:val="20"/>
          <w:szCs w:val="20"/>
          <w:lang w:val="uk-UA"/>
        </w:rPr>
      </w:pPr>
      <w:r>
        <w:rPr>
          <w:sz w:val="20"/>
          <w:szCs w:val="20"/>
          <w:lang w:val="uk-UA"/>
        </w:rPr>
        <w:t xml:space="preserve">наявності </w:t>
      </w:r>
      <w:r w:rsidR="001C4003" w:rsidRPr="003C6DAE">
        <w:rPr>
          <w:sz w:val="20"/>
          <w:szCs w:val="20"/>
          <w:lang w:val="uk-UA"/>
        </w:rPr>
        <w:t>неналежним чином функціонуюч</w:t>
      </w:r>
      <w:r>
        <w:rPr>
          <w:sz w:val="20"/>
          <w:szCs w:val="20"/>
          <w:lang w:val="uk-UA"/>
        </w:rPr>
        <w:t>ої</w:t>
      </w:r>
      <w:r w:rsidR="001C4003" w:rsidRPr="003C6DAE">
        <w:rPr>
          <w:sz w:val="20"/>
          <w:szCs w:val="20"/>
          <w:lang w:val="uk-UA"/>
        </w:rPr>
        <w:t xml:space="preserve"> систем</w:t>
      </w:r>
      <w:r>
        <w:rPr>
          <w:sz w:val="20"/>
          <w:szCs w:val="20"/>
          <w:lang w:val="uk-UA"/>
        </w:rPr>
        <w:t>и</w:t>
      </w:r>
      <w:r w:rsidR="001C4003" w:rsidRPr="003C6DAE">
        <w:rPr>
          <w:sz w:val="20"/>
          <w:szCs w:val="20"/>
          <w:lang w:val="uk-UA"/>
        </w:rPr>
        <w:t xml:space="preserve"> транспортування зразків, що впливає на якість зразків;  та</w:t>
      </w:r>
    </w:p>
    <w:p w14:paraId="3F108C80" w14:textId="458B722D" w:rsidR="00E05B98" w:rsidRPr="003C6DAE" w:rsidRDefault="001C4003" w:rsidP="004A2937">
      <w:pPr>
        <w:pStyle w:val="a4"/>
        <w:numPr>
          <w:ilvl w:val="1"/>
          <w:numId w:val="24"/>
        </w:numPr>
        <w:tabs>
          <w:tab w:val="left" w:pos="1227"/>
        </w:tabs>
        <w:spacing w:line="269" w:lineRule="auto"/>
        <w:ind w:right="136"/>
        <w:rPr>
          <w:color w:val="0C8140"/>
          <w:sz w:val="20"/>
          <w:szCs w:val="20"/>
          <w:lang w:val="uk-UA"/>
        </w:rPr>
      </w:pPr>
      <w:r w:rsidRPr="003C6DAE">
        <w:rPr>
          <w:sz w:val="20"/>
          <w:szCs w:val="20"/>
          <w:lang w:val="uk-UA"/>
        </w:rPr>
        <w:t>необхідн</w:t>
      </w:r>
      <w:r w:rsidR="00304BDE">
        <w:rPr>
          <w:sz w:val="20"/>
          <w:szCs w:val="20"/>
          <w:lang w:val="uk-UA"/>
        </w:rPr>
        <w:t>ості</w:t>
      </w:r>
      <w:r w:rsidRPr="003C6DAE">
        <w:rPr>
          <w:sz w:val="20"/>
          <w:szCs w:val="20"/>
          <w:lang w:val="uk-UA"/>
        </w:rPr>
        <w:t xml:space="preserve"> забезпечення того, щоб у клініцистів і співробітників лабораторії був час для ефективної комунікації щодо результатів діагностики, якщо платформа є централізованою, а також </w:t>
      </w:r>
      <w:r w:rsidR="00304BDE">
        <w:rPr>
          <w:sz w:val="20"/>
          <w:szCs w:val="20"/>
          <w:lang w:val="uk-UA"/>
        </w:rPr>
        <w:t xml:space="preserve">можливості </w:t>
      </w:r>
      <w:r w:rsidRPr="003C6DAE">
        <w:rPr>
          <w:sz w:val="20"/>
          <w:szCs w:val="20"/>
          <w:lang w:val="uk-UA"/>
        </w:rPr>
        <w:t xml:space="preserve">розміщення лабораторії в достатній близькості  до центру, щоб отримувати достатню кількість зразків для підтримки рентабельності </w:t>
      </w:r>
      <w:r w:rsidR="00507F6E">
        <w:rPr>
          <w:sz w:val="20"/>
          <w:szCs w:val="20"/>
          <w:lang w:val="uk-UA"/>
        </w:rPr>
        <w:t>обладнання</w:t>
      </w:r>
      <w:r w:rsidR="00304BDE">
        <w:rPr>
          <w:sz w:val="20"/>
          <w:szCs w:val="20"/>
          <w:lang w:val="uk-UA"/>
        </w:rPr>
        <w:t xml:space="preserve"> для тестування.</w:t>
      </w:r>
    </w:p>
    <w:p w14:paraId="78EACE62" w14:textId="49316C8A" w:rsidR="00E05B98" w:rsidRPr="003C6DAE" w:rsidRDefault="00FD655A" w:rsidP="00FD655A">
      <w:pPr>
        <w:spacing w:before="1" w:line="269" w:lineRule="auto"/>
        <w:ind w:left="1227"/>
        <w:rPr>
          <w:rFonts w:ascii="Arial"/>
          <w:i/>
          <w:sz w:val="20"/>
          <w:szCs w:val="20"/>
          <w:lang w:val="uk-UA"/>
        </w:rPr>
      </w:pPr>
      <w:r w:rsidRPr="003C6DAE">
        <w:rPr>
          <w:rFonts w:ascii="Arial"/>
          <w:i/>
          <w:spacing w:val="-2"/>
          <w:sz w:val="20"/>
          <w:szCs w:val="20"/>
          <w:lang w:val="uk-UA"/>
        </w:rPr>
        <w:t>Інтерв’ю</w:t>
      </w:r>
    </w:p>
    <w:p w14:paraId="62FC752B" w14:textId="5ED91B4A" w:rsidR="00E05B98" w:rsidRPr="003C6DAE" w:rsidRDefault="001C4003" w:rsidP="004A2937">
      <w:pPr>
        <w:pStyle w:val="a4"/>
        <w:numPr>
          <w:ilvl w:val="0"/>
          <w:numId w:val="24"/>
        </w:numPr>
        <w:tabs>
          <w:tab w:val="left" w:pos="850"/>
        </w:tabs>
        <w:spacing w:before="117" w:line="269" w:lineRule="auto"/>
        <w:ind w:right="139"/>
        <w:rPr>
          <w:sz w:val="20"/>
          <w:szCs w:val="20"/>
          <w:lang w:val="uk-UA"/>
        </w:rPr>
      </w:pPr>
      <w:r w:rsidRPr="003C6DAE">
        <w:rPr>
          <w:sz w:val="20"/>
          <w:szCs w:val="20"/>
          <w:lang w:val="uk-UA"/>
        </w:rPr>
        <w:t xml:space="preserve">Впровадження нової діагностики має супроводжуватися навчанням клініцистів, щоб допомогти їм інтерпретувати результати нових молекулярних тестів і зрозуміти, як ця інформація </w:t>
      </w:r>
      <w:r w:rsidR="00304BDE">
        <w:rPr>
          <w:sz w:val="20"/>
          <w:szCs w:val="20"/>
          <w:lang w:val="uk-UA"/>
        </w:rPr>
        <w:t>трансформується в процес</w:t>
      </w:r>
      <w:r w:rsidRPr="003C6DAE">
        <w:rPr>
          <w:sz w:val="20"/>
          <w:szCs w:val="20"/>
          <w:lang w:val="uk-UA"/>
        </w:rPr>
        <w:t xml:space="preserve"> швидк</w:t>
      </w:r>
      <w:r w:rsidR="00304BDE">
        <w:rPr>
          <w:sz w:val="20"/>
          <w:szCs w:val="20"/>
          <w:lang w:val="uk-UA"/>
        </w:rPr>
        <w:t>ого</w:t>
      </w:r>
      <w:r w:rsidRPr="003C6DAE">
        <w:rPr>
          <w:sz w:val="20"/>
          <w:szCs w:val="20"/>
          <w:lang w:val="uk-UA"/>
        </w:rPr>
        <w:t xml:space="preserve"> та належн</w:t>
      </w:r>
      <w:r w:rsidR="00304BDE">
        <w:rPr>
          <w:sz w:val="20"/>
          <w:szCs w:val="20"/>
          <w:lang w:val="uk-UA"/>
        </w:rPr>
        <w:t>ого</w:t>
      </w:r>
      <w:r w:rsidRPr="003C6DAE">
        <w:rPr>
          <w:sz w:val="20"/>
          <w:szCs w:val="20"/>
          <w:lang w:val="uk-UA"/>
        </w:rPr>
        <w:t xml:space="preserve"> лікування пацієнтів. У минулому, з появою Xpert MTB/RIF, це було складним завданням</w:t>
      </w:r>
      <w:r w:rsidR="00B01E0C" w:rsidRPr="003C6DAE">
        <w:rPr>
          <w:w w:val="105"/>
          <w:sz w:val="20"/>
          <w:szCs w:val="20"/>
          <w:lang w:val="uk-UA"/>
        </w:rPr>
        <w:t>.</w:t>
      </w:r>
    </w:p>
    <w:p w14:paraId="0A27DE4C" w14:textId="2F7F81A2" w:rsidR="00E05B98" w:rsidRPr="003C6DAE" w:rsidRDefault="002C1B8A" w:rsidP="00FD655A">
      <w:pPr>
        <w:spacing w:before="2" w:line="269" w:lineRule="auto"/>
        <w:ind w:left="850"/>
        <w:rPr>
          <w:rFonts w:ascii="Arial"/>
          <w:i/>
          <w:sz w:val="20"/>
          <w:szCs w:val="20"/>
          <w:lang w:val="uk-UA"/>
        </w:rPr>
      </w:pPr>
      <w:r w:rsidRPr="00E8576D">
        <w:rPr>
          <w:rFonts w:ascii="Arial"/>
          <w:i/>
          <w:spacing w:val="-6"/>
          <w:sz w:val="20"/>
          <w:szCs w:val="20"/>
          <w:lang w:val="uk-UA"/>
        </w:rPr>
        <w:t>Синтез</w:t>
      </w:r>
      <w:r w:rsidRPr="00E8576D">
        <w:rPr>
          <w:rFonts w:ascii="Arial"/>
          <w:i/>
          <w:spacing w:val="-6"/>
          <w:sz w:val="20"/>
          <w:szCs w:val="20"/>
          <w:lang w:val="uk-UA"/>
        </w:rPr>
        <w:t xml:space="preserve"> </w:t>
      </w:r>
      <w:r w:rsidRPr="00E8576D">
        <w:rPr>
          <w:rFonts w:ascii="Arial"/>
          <w:i/>
          <w:spacing w:val="-6"/>
          <w:sz w:val="20"/>
          <w:szCs w:val="20"/>
          <w:lang w:val="uk-UA"/>
        </w:rPr>
        <w:t>якісних</w:t>
      </w:r>
      <w:r w:rsidRPr="00E8576D">
        <w:rPr>
          <w:rFonts w:ascii="Arial"/>
          <w:i/>
          <w:spacing w:val="-6"/>
          <w:sz w:val="20"/>
          <w:szCs w:val="20"/>
          <w:lang w:val="uk-UA"/>
        </w:rPr>
        <w:t xml:space="preserve"> </w:t>
      </w:r>
      <w:r w:rsidRPr="00E8576D">
        <w:rPr>
          <w:rFonts w:ascii="Arial"/>
          <w:i/>
          <w:spacing w:val="-6"/>
          <w:sz w:val="20"/>
          <w:szCs w:val="20"/>
          <w:lang w:val="uk-UA"/>
        </w:rPr>
        <w:t>доказів</w:t>
      </w:r>
      <w:r w:rsidR="00FD655A" w:rsidRPr="003C6DAE">
        <w:rPr>
          <w:i/>
          <w:iCs/>
          <w:w w:val="105"/>
          <w:sz w:val="20"/>
          <w:szCs w:val="20"/>
          <w:lang w:val="uk-UA"/>
        </w:rPr>
        <w:t>: висока достовірність та інтерв’ю</w:t>
      </w:r>
    </w:p>
    <w:p w14:paraId="3687BDC3" w14:textId="67366F86" w:rsidR="00E05B98" w:rsidRPr="003C6DAE" w:rsidRDefault="00304BDE" w:rsidP="004A2937">
      <w:pPr>
        <w:pStyle w:val="a4"/>
        <w:numPr>
          <w:ilvl w:val="0"/>
          <w:numId w:val="24"/>
        </w:numPr>
        <w:tabs>
          <w:tab w:val="left" w:pos="850"/>
        </w:tabs>
        <w:spacing w:before="60" w:line="269" w:lineRule="auto"/>
        <w:ind w:right="139"/>
        <w:rPr>
          <w:sz w:val="20"/>
          <w:szCs w:val="20"/>
          <w:lang w:val="uk-UA"/>
        </w:rPr>
      </w:pPr>
      <w:r>
        <w:rPr>
          <w:w w:val="105"/>
          <w:sz w:val="20"/>
          <w:szCs w:val="20"/>
          <w:lang w:val="uk-UA"/>
        </w:rPr>
        <w:t>В</w:t>
      </w:r>
      <w:r w:rsidR="001C4003" w:rsidRPr="003C6DAE">
        <w:rPr>
          <w:w w:val="105"/>
          <w:sz w:val="20"/>
          <w:szCs w:val="20"/>
          <w:lang w:val="uk-UA"/>
        </w:rPr>
        <w:t>провадження нових діагностичних засобів слід супроводжувати настановами та алгоритмами, які сприятимуть комунікації між клініцистам і працівникам лабораторії, щоб вони могли обговорювати суперечливі результати та інтерпретувати лабораторні результати в контексті доступності лікарських препаратів, історії захворювання  пацієнта та досягнення прогресу пацієнта</w:t>
      </w:r>
      <w:r>
        <w:rPr>
          <w:w w:val="105"/>
          <w:sz w:val="20"/>
          <w:szCs w:val="20"/>
          <w:lang w:val="uk-UA"/>
        </w:rPr>
        <w:t xml:space="preserve"> в ході </w:t>
      </w:r>
      <w:r w:rsidR="001C4003" w:rsidRPr="003C6DAE">
        <w:rPr>
          <w:w w:val="105"/>
          <w:sz w:val="20"/>
          <w:szCs w:val="20"/>
          <w:lang w:val="uk-UA"/>
        </w:rPr>
        <w:t>поточн</w:t>
      </w:r>
      <w:r>
        <w:rPr>
          <w:w w:val="105"/>
          <w:sz w:val="20"/>
          <w:szCs w:val="20"/>
          <w:lang w:val="uk-UA"/>
        </w:rPr>
        <w:t>ої</w:t>
      </w:r>
      <w:r w:rsidR="001C4003" w:rsidRPr="003C6DAE">
        <w:rPr>
          <w:w w:val="105"/>
          <w:sz w:val="20"/>
          <w:szCs w:val="20"/>
          <w:lang w:val="uk-UA"/>
        </w:rPr>
        <w:t xml:space="preserve"> схем</w:t>
      </w:r>
      <w:r>
        <w:rPr>
          <w:w w:val="105"/>
          <w:sz w:val="20"/>
          <w:szCs w:val="20"/>
          <w:lang w:val="uk-UA"/>
        </w:rPr>
        <w:t>и</w:t>
      </w:r>
      <w:r w:rsidR="001C4003" w:rsidRPr="003C6DAE">
        <w:rPr>
          <w:w w:val="105"/>
          <w:sz w:val="20"/>
          <w:szCs w:val="20"/>
          <w:lang w:val="uk-UA"/>
        </w:rPr>
        <w:t xml:space="preserve"> лікування.</w:t>
      </w:r>
    </w:p>
    <w:p w14:paraId="1087A581" w14:textId="532EABBF" w:rsidR="00E05B98" w:rsidRPr="003C6DAE" w:rsidRDefault="00FD655A" w:rsidP="00FD655A">
      <w:pPr>
        <w:spacing w:before="2" w:line="269" w:lineRule="auto"/>
        <w:ind w:left="850"/>
        <w:rPr>
          <w:rFonts w:ascii="Arial"/>
          <w:i/>
          <w:sz w:val="20"/>
          <w:szCs w:val="20"/>
          <w:lang w:val="uk-UA"/>
        </w:rPr>
      </w:pPr>
      <w:r w:rsidRPr="003C6DAE">
        <w:rPr>
          <w:rFonts w:ascii="Arial"/>
          <w:i/>
          <w:spacing w:val="-2"/>
          <w:sz w:val="20"/>
          <w:szCs w:val="20"/>
          <w:lang w:val="uk-UA"/>
        </w:rPr>
        <w:t>Інтерв’ю</w:t>
      </w:r>
    </w:p>
    <w:p w14:paraId="3EE4FA2A" w14:textId="77777777" w:rsidR="00E05B98" w:rsidRPr="003C6DAE" w:rsidRDefault="00E05B98">
      <w:pPr>
        <w:rPr>
          <w:rFonts w:ascii="Arial"/>
          <w:i/>
          <w:lang w:val="uk-UA"/>
        </w:rPr>
        <w:sectPr w:rsidR="00E05B98" w:rsidRPr="003C6DAE" w:rsidSect="00061F49">
          <w:pgSz w:w="11910" w:h="16840"/>
          <w:pgMar w:top="1320" w:right="853" w:bottom="760" w:left="850" w:header="0" w:footer="573" w:gutter="0"/>
          <w:cols w:space="720"/>
        </w:sectPr>
      </w:pPr>
    </w:p>
    <w:p w14:paraId="715DEEDA" w14:textId="445D9367" w:rsidR="00E05B98" w:rsidRPr="003C6DAE" w:rsidRDefault="001C4003">
      <w:pPr>
        <w:pStyle w:val="4"/>
        <w:jc w:val="both"/>
        <w:rPr>
          <w:sz w:val="26"/>
          <w:szCs w:val="26"/>
          <w:lang w:val="uk-UA"/>
        </w:rPr>
      </w:pPr>
      <w:r w:rsidRPr="003C6DAE">
        <w:rPr>
          <w:color w:val="019648"/>
          <w:sz w:val="26"/>
          <w:szCs w:val="26"/>
          <w:lang w:val="uk-UA"/>
        </w:rPr>
        <w:lastRenderedPageBreak/>
        <w:t>Міркування щодо реалізації</w:t>
      </w:r>
    </w:p>
    <w:p w14:paraId="3BA119FB" w14:textId="35B41F77" w:rsidR="00E05B98" w:rsidRPr="003C6DAE" w:rsidRDefault="006277E3" w:rsidP="00F002A9">
      <w:pPr>
        <w:pStyle w:val="a3"/>
        <w:spacing w:before="188" w:line="276" w:lineRule="auto"/>
        <w:ind w:left="567" w:right="148"/>
        <w:jc w:val="both"/>
        <w:rPr>
          <w:sz w:val="20"/>
          <w:szCs w:val="20"/>
          <w:lang w:val="uk-UA"/>
        </w:rPr>
      </w:pPr>
      <w:r w:rsidRPr="003C6DAE">
        <w:rPr>
          <w:sz w:val="20"/>
          <w:szCs w:val="20"/>
          <w:lang w:val="uk-UA"/>
        </w:rPr>
        <w:t>Під час впровадження автоматизованих ТАНК помірної  складності для виявлення ТБ та стійкості до рифампіцину та ізоніазиду слід враховувати наступні фактори:</w:t>
      </w:r>
    </w:p>
    <w:p w14:paraId="134E4BF3" w14:textId="11A7FE1B" w:rsidR="006277E3" w:rsidRPr="003C6DAE" w:rsidRDefault="006277E3" w:rsidP="004A2937">
      <w:pPr>
        <w:pStyle w:val="a4"/>
        <w:numPr>
          <w:ilvl w:val="0"/>
          <w:numId w:val="24"/>
        </w:numPr>
        <w:tabs>
          <w:tab w:val="left" w:pos="850"/>
        </w:tabs>
        <w:spacing w:before="2" w:line="276" w:lineRule="auto"/>
        <w:ind w:right="148"/>
        <w:rPr>
          <w:sz w:val="20"/>
          <w:szCs w:val="20"/>
          <w:lang w:val="uk-UA"/>
        </w:rPr>
      </w:pPr>
      <w:r w:rsidRPr="003C6DAE">
        <w:rPr>
          <w:sz w:val="20"/>
          <w:szCs w:val="20"/>
          <w:lang w:val="uk-UA"/>
        </w:rPr>
        <w:t>місцеві епідеміологічні дані про поширеність стійкості мають визначати місцеві алгоритми тестування, тоді як п</w:t>
      </w:r>
      <w:r w:rsidR="00304BDE">
        <w:rPr>
          <w:sz w:val="20"/>
          <w:szCs w:val="20"/>
          <w:lang w:val="uk-UA"/>
        </w:rPr>
        <w:t>е</w:t>
      </w:r>
      <w:r w:rsidRPr="003C6DAE">
        <w:rPr>
          <w:sz w:val="20"/>
          <w:szCs w:val="20"/>
          <w:lang w:val="uk-UA"/>
        </w:rPr>
        <w:t>редтест</w:t>
      </w:r>
      <w:r w:rsidR="00507F6E">
        <w:rPr>
          <w:sz w:val="20"/>
          <w:szCs w:val="20"/>
          <w:lang w:val="uk-UA"/>
        </w:rPr>
        <w:t>о</w:t>
      </w:r>
      <w:r w:rsidRPr="003C6DAE">
        <w:rPr>
          <w:sz w:val="20"/>
          <w:szCs w:val="20"/>
          <w:lang w:val="uk-UA"/>
        </w:rPr>
        <w:t>ва ймовірність є важливою для клінічної інтерпретації результатів тестування;</w:t>
      </w:r>
    </w:p>
    <w:p w14:paraId="60DF20C8" w14:textId="6EA7E429" w:rsidR="00E05B98" w:rsidRPr="003C6DAE" w:rsidRDefault="006277E3" w:rsidP="004A2937">
      <w:pPr>
        <w:pStyle w:val="a4"/>
        <w:numPr>
          <w:ilvl w:val="0"/>
          <w:numId w:val="24"/>
        </w:numPr>
        <w:tabs>
          <w:tab w:val="left" w:pos="850"/>
        </w:tabs>
        <w:spacing w:before="2" w:line="276" w:lineRule="auto"/>
        <w:ind w:right="148"/>
        <w:rPr>
          <w:sz w:val="20"/>
          <w:szCs w:val="20"/>
          <w:lang w:val="uk-UA"/>
        </w:rPr>
      </w:pPr>
      <w:r w:rsidRPr="003C6DAE">
        <w:rPr>
          <w:sz w:val="20"/>
          <w:szCs w:val="20"/>
          <w:lang w:val="uk-UA"/>
        </w:rPr>
        <w:t xml:space="preserve">вартість тесту варіюється залежно від таких параметрів, як кількість зразків у партії та необхідний час персоналу для проведення дослідження; отже, слід </w:t>
      </w:r>
      <w:r w:rsidR="00304BDE">
        <w:rPr>
          <w:sz w:val="20"/>
          <w:szCs w:val="20"/>
          <w:lang w:val="uk-UA"/>
        </w:rPr>
        <w:t>провести</w:t>
      </w:r>
      <w:r w:rsidRPr="003C6DAE">
        <w:rPr>
          <w:sz w:val="20"/>
          <w:szCs w:val="20"/>
          <w:lang w:val="uk-UA"/>
        </w:rPr>
        <w:t xml:space="preserve"> локальну калькуляцію витрат</w:t>
      </w:r>
      <w:r w:rsidR="00304BDE">
        <w:rPr>
          <w:sz w:val="20"/>
          <w:szCs w:val="20"/>
          <w:lang w:val="uk-UA"/>
        </w:rPr>
        <w:t>;</w:t>
      </w:r>
    </w:p>
    <w:p w14:paraId="4BF1B11B" w14:textId="411EE882" w:rsidR="0016596E" w:rsidRPr="003C6DAE" w:rsidRDefault="0016596E" w:rsidP="004A2937">
      <w:pPr>
        <w:pStyle w:val="a4"/>
        <w:numPr>
          <w:ilvl w:val="0"/>
          <w:numId w:val="24"/>
        </w:numPr>
        <w:tabs>
          <w:tab w:val="left" w:pos="850"/>
        </w:tabs>
        <w:spacing w:before="3" w:line="276" w:lineRule="auto"/>
        <w:ind w:right="148"/>
        <w:rPr>
          <w:sz w:val="20"/>
          <w:szCs w:val="20"/>
          <w:lang w:val="uk-UA"/>
        </w:rPr>
      </w:pPr>
      <w:r w:rsidRPr="003C6DAE">
        <w:rPr>
          <w:sz w:val="20"/>
          <w:szCs w:val="20"/>
          <w:lang w:val="uk-UA"/>
        </w:rPr>
        <w:t xml:space="preserve">тести низької, помірної та високої складності </w:t>
      </w:r>
      <w:r w:rsidR="00507F6E">
        <w:rPr>
          <w:sz w:val="20"/>
          <w:szCs w:val="20"/>
          <w:lang w:val="uk-UA"/>
        </w:rPr>
        <w:t>характеризуються</w:t>
      </w:r>
      <w:r w:rsidRPr="003C6DAE">
        <w:rPr>
          <w:sz w:val="20"/>
          <w:szCs w:val="20"/>
          <w:lang w:val="uk-UA"/>
        </w:rPr>
        <w:t xml:space="preserve"> послідовн</w:t>
      </w:r>
      <w:r w:rsidR="00F002A9">
        <w:rPr>
          <w:sz w:val="20"/>
          <w:szCs w:val="20"/>
          <w:lang w:val="uk-UA"/>
        </w:rPr>
        <w:t>им</w:t>
      </w:r>
      <w:r w:rsidRPr="003C6DAE">
        <w:rPr>
          <w:sz w:val="20"/>
          <w:szCs w:val="20"/>
          <w:lang w:val="uk-UA"/>
        </w:rPr>
        <w:t xml:space="preserve"> збільшення</w:t>
      </w:r>
      <w:r w:rsidR="00F002A9">
        <w:rPr>
          <w:sz w:val="20"/>
          <w:szCs w:val="20"/>
          <w:lang w:val="uk-UA"/>
        </w:rPr>
        <w:t>м</w:t>
      </w:r>
      <w:r w:rsidRPr="003C6DAE">
        <w:rPr>
          <w:sz w:val="20"/>
          <w:szCs w:val="20"/>
          <w:lang w:val="uk-UA"/>
        </w:rPr>
        <w:t xml:space="preserve"> потреб у технічній компетентності (кваліфікації та навичок) і робочого часу персоналу, що впливає на планування та бюджетування; </w:t>
      </w:r>
    </w:p>
    <w:p w14:paraId="122443CF" w14:textId="715A6C11" w:rsidR="0016596E" w:rsidRPr="003C6DAE" w:rsidRDefault="0016596E" w:rsidP="004A2937">
      <w:pPr>
        <w:pStyle w:val="a4"/>
        <w:numPr>
          <w:ilvl w:val="0"/>
          <w:numId w:val="24"/>
        </w:numPr>
        <w:tabs>
          <w:tab w:val="left" w:pos="850"/>
        </w:tabs>
        <w:spacing w:before="3" w:line="276" w:lineRule="auto"/>
        <w:ind w:right="148"/>
        <w:rPr>
          <w:sz w:val="20"/>
          <w:szCs w:val="20"/>
          <w:lang w:val="uk-UA"/>
        </w:rPr>
      </w:pPr>
      <w:r w:rsidRPr="003C6DAE">
        <w:rPr>
          <w:sz w:val="20"/>
          <w:szCs w:val="20"/>
          <w:lang w:val="uk-UA"/>
        </w:rPr>
        <w:t xml:space="preserve">при виборі надавача послуг слід враховувати </w:t>
      </w:r>
      <w:r w:rsidR="00F002A9">
        <w:rPr>
          <w:sz w:val="20"/>
          <w:szCs w:val="20"/>
          <w:lang w:val="uk-UA"/>
        </w:rPr>
        <w:t>доступність</w:t>
      </w:r>
      <w:r w:rsidRPr="003C6DAE">
        <w:rPr>
          <w:sz w:val="20"/>
          <w:szCs w:val="20"/>
          <w:lang w:val="uk-UA"/>
        </w:rPr>
        <w:t xml:space="preserve"> і своєчасність надання послуг </w:t>
      </w:r>
      <w:r w:rsidR="00F002A9">
        <w:rPr>
          <w:sz w:val="20"/>
          <w:szCs w:val="20"/>
          <w:lang w:val="uk-UA"/>
        </w:rPr>
        <w:t xml:space="preserve">з </w:t>
      </w:r>
      <w:r w:rsidRPr="003C6DAE">
        <w:rPr>
          <w:sz w:val="20"/>
          <w:szCs w:val="20"/>
          <w:lang w:val="uk-UA"/>
        </w:rPr>
        <w:t>підтримки та обслуговування на місцевому рівні;</w:t>
      </w:r>
    </w:p>
    <w:p w14:paraId="7FD6E8B1" w14:textId="25E319CC" w:rsidR="00E05B98" w:rsidRPr="003C6DAE" w:rsidRDefault="0016596E" w:rsidP="004A2937">
      <w:pPr>
        <w:pStyle w:val="a4"/>
        <w:numPr>
          <w:ilvl w:val="0"/>
          <w:numId w:val="24"/>
        </w:numPr>
        <w:tabs>
          <w:tab w:val="left" w:pos="850"/>
        </w:tabs>
        <w:spacing w:before="3" w:line="276" w:lineRule="auto"/>
        <w:ind w:right="148"/>
        <w:rPr>
          <w:sz w:val="20"/>
          <w:szCs w:val="20"/>
          <w:lang w:val="uk-UA"/>
        </w:rPr>
      </w:pPr>
      <w:r w:rsidRPr="003C6DAE">
        <w:rPr>
          <w:sz w:val="20"/>
          <w:szCs w:val="20"/>
          <w:lang w:val="uk-UA"/>
        </w:rPr>
        <w:t>акредитація лабораторії та дотримання надійної системи управління якістю (включно з відповідним контролем якості) мають вирішальне значення для забезпечення стійкої якості обслуговування та довіри;</w:t>
      </w:r>
    </w:p>
    <w:p w14:paraId="28CFC55C" w14:textId="77777777" w:rsidR="0016596E" w:rsidRPr="003C6DAE" w:rsidRDefault="0016596E" w:rsidP="004A2937">
      <w:pPr>
        <w:pStyle w:val="a4"/>
        <w:numPr>
          <w:ilvl w:val="0"/>
          <w:numId w:val="24"/>
        </w:numPr>
        <w:tabs>
          <w:tab w:val="left" w:pos="850"/>
        </w:tabs>
        <w:spacing w:before="2" w:line="276" w:lineRule="auto"/>
        <w:ind w:right="148"/>
        <w:rPr>
          <w:sz w:val="20"/>
          <w:szCs w:val="20"/>
          <w:lang w:val="uk-UA"/>
        </w:rPr>
      </w:pPr>
      <w:r w:rsidRPr="003C6DAE">
        <w:rPr>
          <w:sz w:val="20"/>
          <w:szCs w:val="20"/>
          <w:lang w:val="uk-UA"/>
        </w:rPr>
        <w:t>для забезпечення ефективного надання послуг і клінічного впливу необхідно передбачити проведення навчання як для лабораторного, так і для клінічного персоналу;</w:t>
      </w:r>
    </w:p>
    <w:p w14:paraId="7532DCCD" w14:textId="19DBE214" w:rsidR="0016596E" w:rsidRPr="003C6DAE" w:rsidRDefault="0016596E" w:rsidP="004A2937">
      <w:pPr>
        <w:pStyle w:val="a4"/>
        <w:numPr>
          <w:ilvl w:val="0"/>
          <w:numId w:val="24"/>
        </w:numPr>
        <w:tabs>
          <w:tab w:val="left" w:pos="850"/>
        </w:tabs>
        <w:spacing w:before="2" w:line="276" w:lineRule="auto"/>
        <w:ind w:right="148"/>
        <w:rPr>
          <w:sz w:val="20"/>
          <w:szCs w:val="20"/>
          <w:lang w:val="uk-UA"/>
        </w:rPr>
      </w:pPr>
      <w:r w:rsidRPr="003C6DAE">
        <w:rPr>
          <w:sz w:val="20"/>
          <w:szCs w:val="20"/>
          <w:lang w:val="uk-UA"/>
        </w:rPr>
        <w:t xml:space="preserve">заохочується використання </w:t>
      </w:r>
      <w:r w:rsidRPr="00704CCE">
        <w:rPr>
          <w:sz w:val="20"/>
          <w:szCs w:val="20"/>
          <w:lang w:val="uk-UA"/>
        </w:rPr>
        <w:t xml:space="preserve">рішень щодо </w:t>
      </w:r>
      <w:r w:rsidR="00704CCE" w:rsidRPr="00704CCE">
        <w:rPr>
          <w:sz w:val="20"/>
          <w:szCs w:val="20"/>
          <w:lang w:val="uk-UA"/>
        </w:rPr>
        <w:t>п</w:t>
      </w:r>
      <w:r w:rsidR="00704CCE">
        <w:rPr>
          <w:sz w:val="20"/>
          <w:szCs w:val="20"/>
          <w:lang w:val="uk-UA"/>
        </w:rPr>
        <w:t xml:space="preserve">ідключення до технологічних систем </w:t>
      </w:r>
      <w:r w:rsidRPr="003C6DAE">
        <w:rPr>
          <w:sz w:val="20"/>
          <w:szCs w:val="20"/>
          <w:lang w:val="uk-UA"/>
        </w:rPr>
        <w:t xml:space="preserve"> для передачі результатів, щоб підвищити ефективність надання послуг і скоротити час до початку лікування;</w:t>
      </w:r>
    </w:p>
    <w:p w14:paraId="5A94C9F6" w14:textId="4BF2D29E" w:rsidR="002D4B9C" w:rsidRPr="003C6DAE" w:rsidRDefault="002D4B9C" w:rsidP="004A2937">
      <w:pPr>
        <w:pStyle w:val="a4"/>
        <w:numPr>
          <w:ilvl w:val="0"/>
          <w:numId w:val="24"/>
        </w:numPr>
        <w:tabs>
          <w:tab w:val="left" w:pos="850"/>
        </w:tabs>
        <w:spacing w:before="5" w:line="276" w:lineRule="auto"/>
        <w:ind w:right="148"/>
        <w:rPr>
          <w:sz w:val="20"/>
          <w:szCs w:val="20"/>
          <w:lang w:val="uk-UA"/>
        </w:rPr>
      </w:pPr>
      <w:r w:rsidRPr="003C6DAE">
        <w:rPr>
          <w:sz w:val="20"/>
          <w:szCs w:val="20"/>
          <w:lang w:val="uk-UA"/>
        </w:rPr>
        <w:t xml:space="preserve">автоматизовані ТАНК помірної складності вже можуть використовуватися програмно для інших захворювань – наприклад, тяжкого гострого респіраторного синдрому, викликаного коронавірусом 2 (SARS-CoV2), ВІЛ та стійкості до протимікробних </w:t>
      </w:r>
      <w:r w:rsidR="00507F6E" w:rsidRPr="003C6DAE">
        <w:rPr>
          <w:sz w:val="20"/>
          <w:szCs w:val="20"/>
          <w:lang w:val="uk-UA"/>
        </w:rPr>
        <w:t>препаратів</w:t>
      </w:r>
      <w:r w:rsidRPr="003C6DAE">
        <w:rPr>
          <w:sz w:val="20"/>
          <w:szCs w:val="20"/>
          <w:lang w:val="uk-UA"/>
        </w:rPr>
        <w:t xml:space="preserve"> (AMR), – що потенційно може полегшити реалізацію тестування на ТБ на спільних платформах;</w:t>
      </w:r>
    </w:p>
    <w:p w14:paraId="783C66AE" w14:textId="76BA127A" w:rsidR="00E05B98" w:rsidRPr="003C6DAE" w:rsidRDefault="002D4B9C" w:rsidP="004A2937">
      <w:pPr>
        <w:pStyle w:val="a4"/>
        <w:numPr>
          <w:ilvl w:val="0"/>
          <w:numId w:val="24"/>
        </w:numPr>
        <w:tabs>
          <w:tab w:val="left" w:pos="850"/>
        </w:tabs>
        <w:spacing w:before="5" w:line="276" w:lineRule="auto"/>
        <w:ind w:right="148"/>
        <w:rPr>
          <w:sz w:val="20"/>
          <w:szCs w:val="20"/>
          <w:lang w:val="uk-UA"/>
        </w:rPr>
      </w:pPr>
      <w:r w:rsidRPr="003C6DAE">
        <w:rPr>
          <w:sz w:val="20"/>
          <w:szCs w:val="20"/>
          <w:lang w:val="uk-UA"/>
        </w:rPr>
        <w:t xml:space="preserve">впровадження автоматизованих ТАНК помірної </w:t>
      </w:r>
      <w:r w:rsidR="00F002A9">
        <w:rPr>
          <w:sz w:val="20"/>
          <w:szCs w:val="20"/>
          <w:lang w:val="uk-UA"/>
        </w:rPr>
        <w:t xml:space="preserve">складності </w:t>
      </w:r>
      <w:r w:rsidRPr="003C6DAE">
        <w:rPr>
          <w:sz w:val="20"/>
          <w:szCs w:val="20"/>
          <w:lang w:val="uk-UA"/>
        </w:rPr>
        <w:t xml:space="preserve">вимагає наявності лабораторій з необхідною інфраструктурою, </w:t>
      </w:r>
      <w:r w:rsidR="00507F6E" w:rsidRPr="003C6DAE">
        <w:rPr>
          <w:sz w:val="20"/>
          <w:szCs w:val="20"/>
          <w:lang w:val="uk-UA"/>
        </w:rPr>
        <w:t>приміщеннями</w:t>
      </w:r>
      <w:r w:rsidRPr="003C6DAE">
        <w:rPr>
          <w:sz w:val="20"/>
          <w:szCs w:val="20"/>
          <w:lang w:val="uk-UA"/>
        </w:rPr>
        <w:t xml:space="preserve"> та ефективними системами направлення зразків;</w:t>
      </w:r>
    </w:p>
    <w:p w14:paraId="185D1938" w14:textId="0EEBDB24" w:rsidR="002D4B9C" w:rsidRPr="003C6DAE" w:rsidRDefault="002D4B9C" w:rsidP="004A2937">
      <w:pPr>
        <w:pStyle w:val="a4"/>
        <w:numPr>
          <w:ilvl w:val="0"/>
          <w:numId w:val="24"/>
        </w:numPr>
        <w:tabs>
          <w:tab w:val="left" w:pos="850"/>
        </w:tabs>
        <w:spacing w:before="3" w:line="276" w:lineRule="auto"/>
        <w:ind w:right="148"/>
        <w:rPr>
          <w:sz w:val="20"/>
          <w:szCs w:val="20"/>
          <w:lang w:val="uk-UA"/>
        </w:rPr>
      </w:pPr>
      <w:r w:rsidRPr="003C6DAE">
        <w:rPr>
          <w:sz w:val="20"/>
          <w:szCs w:val="20"/>
          <w:lang w:val="uk-UA"/>
        </w:rPr>
        <w:t xml:space="preserve">незважаючи на те, що це автоматизовані тести, для налаштування аналізів і виконання вимог </w:t>
      </w:r>
      <w:r w:rsidR="00F002A9">
        <w:rPr>
          <w:sz w:val="20"/>
          <w:szCs w:val="20"/>
          <w:lang w:val="uk-UA"/>
        </w:rPr>
        <w:t>до</w:t>
      </w:r>
      <w:r w:rsidRPr="003C6DAE">
        <w:rPr>
          <w:sz w:val="20"/>
          <w:szCs w:val="20"/>
          <w:lang w:val="uk-UA"/>
        </w:rPr>
        <w:t xml:space="preserve"> технічного обслуговування необхідно забезпечити наявність добре навченого кваліфікованого персоналу;  та</w:t>
      </w:r>
    </w:p>
    <w:p w14:paraId="5F7E5E5F" w14:textId="13348B42" w:rsidR="00E05B98" w:rsidRPr="003C6DAE" w:rsidRDefault="002D4B9C" w:rsidP="004A2937">
      <w:pPr>
        <w:pStyle w:val="a4"/>
        <w:numPr>
          <w:ilvl w:val="0"/>
          <w:numId w:val="24"/>
        </w:numPr>
        <w:tabs>
          <w:tab w:val="left" w:pos="850"/>
        </w:tabs>
        <w:spacing w:before="3" w:line="276" w:lineRule="auto"/>
        <w:ind w:right="148"/>
        <w:rPr>
          <w:sz w:val="20"/>
          <w:szCs w:val="20"/>
          <w:lang w:val="uk-UA"/>
        </w:rPr>
      </w:pPr>
      <w:r w:rsidRPr="003C6DAE">
        <w:rPr>
          <w:sz w:val="20"/>
          <w:szCs w:val="20"/>
          <w:lang w:val="uk-UA"/>
        </w:rPr>
        <w:t>реалізація цих тестів має залежати від контексту; таким чином, необхідно враховувати проблеми доступу, особливо у віддалених районах, де можуть бути прийнятнішими менш централізовані технології, рекомендовані ВООЗ.</w:t>
      </w:r>
    </w:p>
    <w:p w14:paraId="0DF74F03" w14:textId="77777777" w:rsidR="00E05B98" w:rsidRPr="003C6DAE" w:rsidRDefault="00E05B98" w:rsidP="00F002A9">
      <w:pPr>
        <w:pStyle w:val="a3"/>
        <w:spacing w:before="4" w:line="276" w:lineRule="auto"/>
        <w:ind w:right="148"/>
        <w:jc w:val="both"/>
        <w:rPr>
          <w:sz w:val="20"/>
          <w:szCs w:val="20"/>
          <w:lang w:val="uk-UA"/>
        </w:rPr>
      </w:pPr>
    </w:p>
    <w:p w14:paraId="639EDA2A" w14:textId="783383BC" w:rsidR="00E05B98" w:rsidRPr="00704CCE" w:rsidRDefault="002D4B9C" w:rsidP="00F002A9">
      <w:pPr>
        <w:pStyle w:val="4"/>
        <w:spacing w:before="0" w:line="276" w:lineRule="auto"/>
        <w:ind w:right="148"/>
        <w:jc w:val="both"/>
        <w:rPr>
          <w:sz w:val="22"/>
          <w:szCs w:val="22"/>
          <w:lang w:val="uk-UA"/>
        </w:rPr>
      </w:pPr>
      <w:r w:rsidRPr="00704CCE">
        <w:rPr>
          <w:color w:val="019648"/>
          <w:w w:val="90"/>
          <w:sz w:val="22"/>
          <w:szCs w:val="22"/>
          <w:lang w:val="uk-UA"/>
        </w:rPr>
        <w:t>Пріоритети дослідження</w:t>
      </w:r>
    </w:p>
    <w:p w14:paraId="60246050" w14:textId="5D6847FD" w:rsidR="00E05B98" w:rsidRPr="003C6DAE" w:rsidRDefault="00A07E15" w:rsidP="00704CCE">
      <w:pPr>
        <w:pStyle w:val="a3"/>
        <w:spacing w:before="188" w:line="276" w:lineRule="auto"/>
        <w:ind w:left="567" w:right="148"/>
        <w:jc w:val="both"/>
        <w:rPr>
          <w:sz w:val="20"/>
          <w:szCs w:val="20"/>
          <w:lang w:val="uk-UA"/>
        </w:rPr>
      </w:pPr>
      <w:r w:rsidRPr="003C6DAE">
        <w:rPr>
          <w:spacing w:val="-4"/>
          <w:sz w:val="20"/>
          <w:szCs w:val="20"/>
          <w:lang w:val="uk-UA"/>
        </w:rPr>
        <w:t>Пріоритетними напрямами досліджень у сфері автоматизованих ТАНК помірної складності для виявлення ТБ та стійкості до рифампіцину та ізоніазиду є такі:</w:t>
      </w:r>
    </w:p>
    <w:p w14:paraId="3FF5C9AB" w14:textId="77777777" w:rsidR="00A07E15" w:rsidRPr="003C6DAE" w:rsidRDefault="00A07E15" w:rsidP="004A2937">
      <w:pPr>
        <w:pStyle w:val="a4"/>
        <w:numPr>
          <w:ilvl w:val="0"/>
          <w:numId w:val="24"/>
        </w:numPr>
        <w:tabs>
          <w:tab w:val="left" w:pos="850"/>
        </w:tabs>
        <w:spacing w:before="2" w:line="276" w:lineRule="auto"/>
        <w:ind w:right="148"/>
        <w:rPr>
          <w:sz w:val="20"/>
          <w:szCs w:val="20"/>
          <w:lang w:val="uk-UA"/>
        </w:rPr>
      </w:pPr>
      <w:r w:rsidRPr="003C6DAE">
        <w:rPr>
          <w:sz w:val="20"/>
          <w:szCs w:val="20"/>
          <w:lang w:val="uk-UA"/>
        </w:rPr>
        <w:t>діагностична точність у конкретних популяціях пацієнтів (наприклад, діти, люди, які живуть з ВІЛ, та пацієнти з ознаками та симптомами позалегеневого ТБ) та при дослідженні зразків, відмінних від мокротиння;</w:t>
      </w:r>
    </w:p>
    <w:p w14:paraId="1B26450F" w14:textId="3443D1F0" w:rsidR="00E05B98" w:rsidRPr="003C6DAE" w:rsidRDefault="00A07E15" w:rsidP="004A2937">
      <w:pPr>
        <w:pStyle w:val="a4"/>
        <w:numPr>
          <w:ilvl w:val="0"/>
          <w:numId w:val="24"/>
        </w:numPr>
        <w:tabs>
          <w:tab w:val="left" w:pos="850"/>
        </w:tabs>
        <w:spacing w:before="2" w:line="276" w:lineRule="auto"/>
        <w:ind w:right="148"/>
        <w:rPr>
          <w:sz w:val="20"/>
          <w:szCs w:val="20"/>
          <w:lang w:val="uk-UA"/>
        </w:rPr>
      </w:pPr>
      <w:r w:rsidRPr="003C6DAE">
        <w:rPr>
          <w:sz w:val="20"/>
          <w:szCs w:val="20"/>
          <w:lang w:val="uk-UA"/>
        </w:rPr>
        <w:t>вплив діагностичних технологій на прийняття клінічних рішень і результати, важливі для пацієнтів (наприклад, лікування, смертність, час до діагностики та час до початку лікування) у всіх групах пацієнтів;</w:t>
      </w:r>
    </w:p>
    <w:p w14:paraId="3D8BFF1B" w14:textId="77777777" w:rsidR="00A07E15" w:rsidRPr="003C6DAE" w:rsidRDefault="00A07E15" w:rsidP="004A2937">
      <w:pPr>
        <w:pStyle w:val="a4"/>
        <w:numPr>
          <w:ilvl w:val="0"/>
          <w:numId w:val="24"/>
        </w:numPr>
        <w:tabs>
          <w:tab w:val="left" w:pos="850"/>
        </w:tabs>
        <w:spacing w:before="3" w:line="276" w:lineRule="auto"/>
        <w:ind w:right="148"/>
        <w:rPr>
          <w:sz w:val="20"/>
          <w:szCs w:val="20"/>
          <w:lang w:val="uk-UA"/>
        </w:rPr>
      </w:pPr>
      <w:r w:rsidRPr="003C6DAE">
        <w:rPr>
          <w:sz w:val="20"/>
          <w:szCs w:val="20"/>
          <w:lang w:val="uk-UA"/>
        </w:rPr>
        <w:t>вплив специфічних мутацій на результати лікування людей з ЛС-ТБ;</w:t>
      </w:r>
    </w:p>
    <w:p w14:paraId="3EC689D9" w14:textId="23321E21" w:rsidR="00A07E15" w:rsidRPr="003C6DAE" w:rsidRDefault="00A07E15" w:rsidP="004A2937">
      <w:pPr>
        <w:pStyle w:val="a4"/>
        <w:numPr>
          <w:ilvl w:val="0"/>
          <w:numId w:val="24"/>
        </w:numPr>
        <w:tabs>
          <w:tab w:val="left" w:pos="850"/>
        </w:tabs>
        <w:spacing w:before="3" w:line="276" w:lineRule="auto"/>
        <w:ind w:right="148"/>
        <w:rPr>
          <w:sz w:val="20"/>
          <w:szCs w:val="20"/>
          <w:lang w:val="uk-UA"/>
        </w:rPr>
      </w:pPr>
      <w:r w:rsidRPr="003C6DAE">
        <w:rPr>
          <w:sz w:val="20"/>
          <w:szCs w:val="20"/>
          <w:lang w:val="uk-UA"/>
        </w:rPr>
        <w:t>використання, інтеграція та оптимізація діагностичних технологій у загальному ландшафті тестування та надання догляду, а також шляхів і алгоритмів діагностики;</w:t>
      </w:r>
    </w:p>
    <w:p w14:paraId="61A317E8" w14:textId="4DD9968B" w:rsidR="00A07E15" w:rsidRPr="003C6DAE" w:rsidRDefault="00A07E15" w:rsidP="004A2937">
      <w:pPr>
        <w:pStyle w:val="a4"/>
        <w:numPr>
          <w:ilvl w:val="0"/>
          <w:numId w:val="24"/>
        </w:numPr>
        <w:tabs>
          <w:tab w:val="left" w:pos="850"/>
        </w:tabs>
        <w:spacing w:before="3" w:line="276" w:lineRule="auto"/>
        <w:ind w:right="148"/>
        <w:rPr>
          <w:sz w:val="20"/>
          <w:szCs w:val="20"/>
          <w:lang w:val="uk-UA"/>
        </w:rPr>
      </w:pPr>
      <w:r w:rsidRPr="003C6DAE">
        <w:rPr>
          <w:sz w:val="20"/>
          <w:szCs w:val="20"/>
          <w:lang w:val="uk-UA"/>
        </w:rPr>
        <w:t xml:space="preserve">економічні дослідження, що оцінюють вартість, ефективність </w:t>
      </w:r>
      <w:r w:rsidR="00704CCE">
        <w:rPr>
          <w:sz w:val="20"/>
          <w:szCs w:val="20"/>
          <w:lang w:val="uk-UA"/>
        </w:rPr>
        <w:t xml:space="preserve">витрат </w:t>
      </w:r>
      <w:r w:rsidRPr="003C6DAE">
        <w:rPr>
          <w:sz w:val="20"/>
          <w:szCs w:val="20"/>
          <w:lang w:val="uk-UA"/>
        </w:rPr>
        <w:t>і економічну вигоду різних діагностичних технологій;</w:t>
      </w:r>
    </w:p>
    <w:p w14:paraId="65192CAF" w14:textId="7B3F708E" w:rsidR="00E05B98" w:rsidRPr="003C6DAE" w:rsidRDefault="00A07E15" w:rsidP="004A2937">
      <w:pPr>
        <w:pStyle w:val="a4"/>
        <w:numPr>
          <w:ilvl w:val="0"/>
          <w:numId w:val="24"/>
        </w:numPr>
        <w:tabs>
          <w:tab w:val="left" w:pos="850"/>
        </w:tabs>
        <w:spacing w:before="3" w:line="276" w:lineRule="auto"/>
        <w:ind w:right="148"/>
        <w:rPr>
          <w:sz w:val="20"/>
          <w:szCs w:val="20"/>
          <w:lang w:val="uk-UA"/>
        </w:rPr>
      </w:pPr>
      <w:r w:rsidRPr="003C6DAE">
        <w:rPr>
          <w:sz w:val="20"/>
          <w:szCs w:val="20"/>
          <w:lang w:val="uk-UA"/>
        </w:rPr>
        <w:t>якісні дослідження</w:t>
      </w:r>
      <w:r w:rsidR="00704CCE">
        <w:rPr>
          <w:sz w:val="20"/>
          <w:szCs w:val="20"/>
          <w:lang w:val="uk-UA"/>
        </w:rPr>
        <w:t xml:space="preserve"> для</w:t>
      </w:r>
      <w:r w:rsidRPr="003C6DAE">
        <w:rPr>
          <w:sz w:val="20"/>
          <w:szCs w:val="20"/>
          <w:lang w:val="uk-UA"/>
        </w:rPr>
        <w:t xml:space="preserve"> оцін</w:t>
      </w:r>
      <w:r w:rsidR="00704CCE">
        <w:rPr>
          <w:sz w:val="20"/>
          <w:szCs w:val="20"/>
          <w:lang w:val="uk-UA"/>
        </w:rPr>
        <w:t>ки</w:t>
      </w:r>
      <w:r w:rsidRPr="003C6DAE">
        <w:rPr>
          <w:sz w:val="20"/>
          <w:szCs w:val="20"/>
          <w:lang w:val="uk-UA"/>
        </w:rPr>
        <w:t xml:space="preserve"> справедлив</w:t>
      </w:r>
      <w:r w:rsidR="00704CCE">
        <w:rPr>
          <w:sz w:val="20"/>
          <w:szCs w:val="20"/>
          <w:lang w:val="uk-UA"/>
        </w:rPr>
        <w:t>ості</w:t>
      </w:r>
      <w:r w:rsidRPr="003C6DAE">
        <w:rPr>
          <w:sz w:val="20"/>
          <w:szCs w:val="20"/>
          <w:lang w:val="uk-UA"/>
        </w:rPr>
        <w:t>, прийнятн</w:t>
      </w:r>
      <w:r w:rsidR="00704CCE">
        <w:rPr>
          <w:sz w:val="20"/>
          <w:szCs w:val="20"/>
          <w:lang w:val="uk-UA"/>
        </w:rPr>
        <w:t>ості</w:t>
      </w:r>
      <w:r w:rsidRPr="003C6DAE">
        <w:rPr>
          <w:sz w:val="20"/>
          <w:szCs w:val="20"/>
          <w:lang w:val="uk-UA"/>
        </w:rPr>
        <w:t>, можлив</w:t>
      </w:r>
      <w:r w:rsidR="00704CCE">
        <w:rPr>
          <w:sz w:val="20"/>
          <w:szCs w:val="20"/>
          <w:lang w:val="uk-UA"/>
        </w:rPr>
        <w:t>ості</w:t>
      </w:r>
      <w:r w:rsidRPr="003C6DAE">
        <w:rPr>
          <w:sz w:val="20"/>
          <w:szCs w:val="20"/>
          <w:lang w:val="uk-UA"/>
        </w:rPr>
        <w:t xml:space="preserve"> реалізації  і цінн</w:t>
      </w:r>
      <w:r w:rsidR="00704CCE">
        <w:rPr>
          <w:sz w:val="20"/>
          <w:szCs w:val="20"/>
          <w:lang w:val="uk-UA"/>
        </w:rPr>
        <w:t>ості</w:t>
      </w:r>
      <w:r w:rsidRPr="003C6DAE">
        <w:rPr>
          <w:sz w:val="20"/>
          <w:szCs w:val="20"/>
          <w:lang w:val="uk-UA"/>
        </w:rPr>
        <w:t xml:space="preserve"> різних діагностичних технологій</w:t>
      </w:r>
      <w:r w:rsidR="00F90207">
        <w:rPr>
          <w:sz w:val="20"/>
          <w:szCs w:val="20"/>
          <w:lang w:val="uk-UA"/>
        </w:rPr>
        <w:t xml:space="preserve"> </w:t>
      </w:r>
      <w:r w:rsidR="00F90207" w:rsidRPr="003C6DAE">
        <w:rPr>
          <w:sz w:val="20"/>
          <w:szCs w:val="20"/>
          <w:lang w:val="uk-UA"/>
        </w:rPr>
        <w:t>для кінцевого користувача</w:t>
      </w:r>
      <w:r w:rsidRPr="003C6DAE">
        <w:rPr>
          <w:sz w:val="20"/>
          <w:szCs w:val="20"/>
          <w:lang w:val="uk-UA"/>
        </w:rPr>
        <w:t>;</w:t>
      </w:r>
    </w:p>
    <w:p w14:paraId="11D41F00" w14:textId="77777777" w:rsidR="00E05B98" w:rsidRPr="003C6DAE" w:rsidRDefault="00E05B98" w:rsidP="00F002A9">
      <w:pPr>
        <w:pStyle w:val="a4"/>
        <w:spacing w:line="276" w:lineRule="auto"/>
        <w:ind w:right="148"/>
        <w:rPr>
          <w:sz w:val="20"/>
          <w:szCs w:val="20"/>
          <w:lang w:val="uk-UA"/>
        </w:rPr>
        <w:sectPr w:rsidR="00E05B98" w:rsidRPr="003C6DAE" w:rsidSect="001C4003">
          <w:pgSz w:w="11910" w:h="16840"/>
          <w:pgMar w:top="1320" w:right="853" w:bottom="760" w:left="850" w:header="0" w:footer="573" w:gutter="0"/>
          <w:cols w:space="720"/>
        </w:sectPr>
      </w:pPr>
    </w:p>
    <w:p w14:paraId="14CD72CA" w14:textId="3DBEF13C" w:rsidR="00A07E15" w:rsidRPr="003C6DAE" w:rsidRDefault="00A07E15" w:rsidP="004A2937">
      <w:pPr>
        <w:pStyle w:val="a4"/>
        <w:numPr>
          <w:ilvl w:val="0"/>
          <w:numId w:val="24"/>
        </w:numPr>
        <w:tabs>
          <w:tab w:val="left" w:pos="850"/>
        </w:tabs>
        <w:spacing w:before="3" w:line="276" w:lineRule="auto"/>
        <w:ind w:left="851" w:right="147"/>
        <w:rPr>
          <w:sz w:val="20"/>
          <w:szCs w:val="20"/>
          <w:lang w:val="uk-UA"/>
        </w:rPr>
      </w:pPr>
      <w:bookmarkStart w:id="47" w:name="2.2._Initial_diagnostic_tests_for_diagno"/>
      <w:bookmarkStart w:id="48" w:name="2.2.1_Low-Complexity_manual_NAATs_for_de"/>
      <w:bookmarkStart w:id="49" w:name="_bookmark18"/>
      <w:bookmarkEnd w:id="47"/>
      <w:bookmarkEnd w:id="48"/>
      <w:bookmarkEnd w:id="49"/>
      <w:r w:rsidRPr="003C6DAE">
        <w:rPr>
          <w:sz w:val="20"/>
          <w:szCs w:val="20"/>
          <w:lang w:val="uk-UA"/>
        </w:rPr>
        <w:lastRenderedPageBreak/>
        <w:t xml:space="preserve">вплив результатів, що не </w:t>
      </w:r>
      <w:r w:rsidR="00C23E7B">
        <w:rPr>
          <w:sz w:val="20"/>
          <w:szCs w:val="20"/>
          <w:lang w:val="uk-UA"/>
        </w:rPr>
        <w:t>дають підстав для</w:t>
      </w:r>
      <w:r w:rsidRPr="003C6DAE">
        <w:rPr>
          <w:sz w:val="20"/>
          <w:szCs w:val="20"/>
          <w:lang w:val="uk-UA"/>
        </w:rPr>
        <w:t xml:space="preserve"> прийняття </w:t>
      </w:r>
      <w:r w:rsidR="00C23E7B">
        <w:rPr>
          <w:sz w:val="20"/>
          <w:szCs w:val="20"/>
          <w:lang w:val="uk-UA"/>
        </w:rPr>
        <w:t>дій</w:t>
      </w:r>
      <w:r w:rsidRPr="003C6DAE">
        <w:rPr>
          <w:sz w:val="20"/>
          <w:szCs w:val="20"/>
          <w:lang w:val="uk-UA"/>
        </w:rPr>
        <w:t xml:space="preserve"> (</w:t>
      </w:r>
      <w:r w:rsidR="00F90207" w:rsidRPr="00704CCE">
        <w:rPr>
          <w:sz w:val="20"/>
          <w:szCs w:val="20"/>
          <w:lang w:val="uk-UA"/>
        </w:rPr>
        <w:t>сумні</w:t>
      </w:r>
      <w:r w:rsidR="00C23E7B" w:rsidRPr="00704CCE">
        <w:rPr>
          <w:sz w:val="20"/>
          <w:szCs w:val="20"/>
          <w:lang w:val="uk-UA"/>
        </w:rPr>
        <w:t>в</w:t>
      </w:r>
      <w:r w:rsidR="00F90207" w:rsidRPr="00704CCE">
        <w:rPr>
          <w:sz w:val="20"/>
          <w:szCs w:val="20"/>
          <w:lang w:val="uk-UA"/>
        </w:rPr>
        <w:t>н</w:t>
      </w:r>
      <w:r w:rsidR="00704CCE" w:rsidRPr="00704CCE">
        <w:rPr>
          <w:sz w:val="20"/>
          <w:szCs w:val="20"/>
          <w:lang w:val="uk-UA"/>
        </w:rPr>
        <w:t>і</w:t>
      </w:r>
      <w:r w:rsidR="00F90207" w:rsidRPr="00704CCE">
        <w:rPr>
          <w:sz w:val="20"/>
          <w:szCs w:val="20"/>
          <w:lang w:val="uk-UA"/>
        </w:rPr>
        <w:t xml:space="preserve">, </w:t>
      </w:r>
      <w:r w:rsidRPr="00704CCE">
        <w:rPr>
          <w:sz w:val="20"/>
          <w:szCs w:val="20"/>
          <w:lang w:val="uk-UA"/>
        </w:rPr>
        <w:t>невизначен</w:t>
      </w:r>
      <w:r w:rsidR="00704CCE" w:rsidRPr="00704CCE">
        <w:rPr>
          <w:sz w:val="20"/>
          <w:szCs w:val="20"/>
          <w:lang w:val="uk-UA"/>
        </w:rPr>
        <w:t>і</w:t>
      </w:r>
      <w:r w:rsidRPr="00704CCE">
        <w:rPr>
          <w:sz w:val="20"/>
          <w:szCs w:val="20"/>
          <w:lang w:val="uk-UA"/>
        </w:rPr>
        <w:t xml:space="preserve"> або недійсн</w:t>
      </w:r>
      <w:r w:rsidR="00704CCE" w:rsidRPr="00704CCE">
        <w:rPr>
          <w:sz w:val="20"/>
          <w:szCs w:val="20"/>
          <w:lang w:val="uk-UA"/>
        </w:rPr>
        <w:t>і результати</w:t>
      </w:r>
      <w:r w:rsidRPr="00704CCE">
        <w:rPr>
          <w:sz w:val="20"/>
          <w:szCs w:val="20"/>
          <w:lang w:val="uk-UA"/>
        </w:rPr>
        <w:t>), на  точність діагностики та результати, важливі дл</w:t>
      </w:r>
      <w:r w:rsidRPr="003C6DAE">
        <w:rPr>
          <w:sz w:val="20"/>
          <w:szCs w:val="20"/>
          <w:lang w:val="uk-UA"/>
        </w:rPr>
        <w:t>я пацієнтів;</w:t>
      </w:r>
    </w:p>
    <w:p w14:paraId="1001F25D" w14:textId="2785C61E" w:rsidR="00E05B98" w:rsidRPr="003C6DAE" w:rsidRDefault="00A07E15" w:rsidP="004A2937">
      <w:pPr>
        <w:pStyle w:val="a4"/>
        <w:numPr>
          <w:ilvl w:val="0"/>
          <w:numId w:val="24"/>
        </w:numPr>
        <w:tabs>
          <w:tab w:val="left" w:pos="850"/>
        </w:tabs>
        <w:spacing w:before="3" w:line="276" w:lineRule="auto"/>
        <w:ind w:left="851" w:right="147"/>
        <w:rPr>
          <w:sz w:val="20"/>
          <w:szCs w:val="20"/>
          <w:lang w:val="uk-UA"/>
        </w:rPr>
      </w:pPr>
      <w:r w:rsidRPr="003C6DAE">
        <w:rPr>
          <w:sz w:val="20"/>
          <w:szCs w:val="20"/>
          <w:lang w:val="uk-UA"/>
        </w:rPr>
        <w:t>операційні дослідження переваг і недоліків окремих методів діагностики в межах класу автоматизованих ТАНК помірної складності;</w:t>
      </w:r>
    </w:p>
    <w:p w14:paraId="58C9F816" w14:textId="3C921363" w:rsidR="003C6DAE" w:rsidRPr="003C6DAE" w:rsidRDefault="003C6DAE" w:rsidP="004A2937">
      <w:pPr>
        <w:pStyle w:val="a4"/>
        <w:numPr>
          <w:ilvl w:val="0"/>
          <w:numId w:val="24"/>
        </w:numPr>
        <w:tabs>
          <w:tab w:val="left" w:pos="850"/>
        </w:tabs>
        <w:spacing w:line="276" w:lineRule="auto"/>
        <w:ind w:left="851" w:right="147"/>
        <w:rPr>
          <w:sz w:val="20"/>
          <w:szCs w:val="20"/>
          <w:lang w:val="uk-UA"/>
        </w:rPr>
      </w:pPr>
      <w:r w:rsidRPr="003C6DAE">
        <w:rPr>
          <w:sz w:val="20"/>
          <w:szCs w:val="20"/>
          <w:lang w:val="uk-UA"/>
        </w:rPr>
        <w:t xml:space="preserve">вплив автоматизованих ТАНК помірної складності на </w:t>
      </w:r>
      <w:r w:rsidR="00C23E7B">
        <w:rPr>
          <w:sz w:val="20"/>
          <w:szCs w:val="20"/>
          <w:lang w:val="uk-UA"/>
        </w:rPr>
        <w:t>розвиток</w:t>
      </w:r>
      <w:r w:rsidRPr="003C6DAE">
        <w:rPr>
          <w:sz w:val="20"/>
          <w:szCs w:val="20"/>
          <w:lang w:val="uk-UA"/>
        </w:rPr>
        <w:t xml:space="preserve"> співпраці та інтеграції між програмами боротьби із захворюваннями;  та</w:t>
      </w:r>
    </w:p>
    <w:p w14:paraId="759786FC" w14:textId="7F4134DC" w:rsidR="00E05B98" w:rsidRPr="003C6DAE" w:rsidRDefault="003C6DAE" w:rsidP="004A2937">
      <w:pPr>
        <w:pStyle w:val="a4"/>
        <w:numPr>
          <w:ilvl w:val="0"/>
          <w:numId w:val="24"/>
        </w:numPr>
        <w:tabs>
          <w:tab w:val="left" w:pos="850"/>
        </w:tabs>
        <w:spacing w:before="0" w:line="276" w:lineRule="auto"/>
        <w:ind w:left="851" w:right="147"/>
        <w:rPr>
          <w:sz w:val="20"/>
          <w:szCs w:val="20"/>
          <w:lang w:val="uk-UA"/>
        </w:rPr>
      </w:pPr>
      <w:r w:rsidRPr="003C6DAE">
        <w:rPr>
          <w:sz w:val="20"/>
          <w:szCs w:val="20"/>
          <w:lang w:val="uk-UA"/>
        </w:rPr>
        <w:t xml:space="preserve">потенційна корисність виявлення стійкості до </w:t>
      </w:r>
      <w:r w:rsidRPr="00264554">
        <w:rPr>
          <w:i/>
          <w:iCs/>
          <w:sz w:val="20"/>
          <w:szCs w:val="20"/>
          <w:lang w:val="uk-UA"/>
        </w:rPr>
        <w:t>katG</w:t>
      </w:r>
      <w:r w:rsidRPr="003C6DAE">
        <w:rPr>
          <w:sz w:val="20"/>
          <w:szCs w:val="20"/>
          <w:lang w:val="uk-UA"/>
        </w:rPr>
        <w:t xml:space="preserve"> для ідентифікації клонів МЛС-ТБ, які можуть бути пропущені, оскільки вони не мають мутації RRDR (наприклад, клон МЛС-ТБ Есватіні, який має як мутацію </w:t>
      </w:r>
      <w:r w:rsidRPr="00264554">
        <w:rPr>
          <w:i/>
          <w:iCs/>
          <w:sz w:val="20"/>
          <w:szCs w:val="20"/>
          <w:lang w:val="uk-UA"/>
        </w:rPr>
        <w:t xml:space="preserve">katG </w:t>
      </w:r>
      <w:r w:rsidRPr="003C6DAE">
        <w:rPr>
          <w:sz w:val="20"/>
          <w:szCs w:val="20"/>
          <w:lang w:val="uk-UA"/>
        </w:rPr>
        <w:t xml:space="preserve">S315T, так і не-RRDR </w:t>
      </w:r>
      <w:r w:rsidRPr="00264554">
        <w:rPr>
          <w:i/>
          <w:iCs/>
          <w:sz w:val="20"/>
          <w:szCs w:val="20"/>
          <w:lang w:val="uk-UA"/>
        </w:rPr>
        <w:t>rpoB</w:t>
      </w:r>
      <w:r w:rsidRPr="003C6DAE">
        <w:rPr>
          <w:sz w:val="20"/>
          <w:szCs w:val="20"/>
          <w:lang w:val="uk-UA"/>
        </w:rPr>
        <w:t xml:space="preserve"> I491F)</w:t>
      </w:r>
      <w:r w:rsidR="00B01E0C" w:rsidRPr="003C6DAE">
        <w:rPr>
          <w:sz w:val="20"/>
          <w:szCs w:val="20"/>
          <w:lang w:val="uk-UA"/>
        </w:rPr>
        <w:t>.</w:t>
      </w:r>
    </w:p>
    <w:p w14:paraId="51226EAD" w14:textId="77777777" w:rsidR="00E05B98" w:rsidRPr="003C6DAE" w:rsidRDefault="00E05B98">
      <w:pPr>
        <w:pStyle w:val="a3"/>
        <w:spacing w:before="86"/>
        <w:rPr>
          <w:lang w:val="uk-UA"/>
        </w:rPr>
      </w:pPr>
    </w:p>
    <w:p w14:paraId="30FCC9E0" w14:textId="2F8DECC2" w:rsidR="00E05B98" w:rsidRPr="003C6DAE" w:rsidRDefault="00704CCE" w:rsidP="004A2937">
      <w:pPr>
        <w:pStyle w:val="3"/>
        <w:numPr>
          <w:ilvl w:val="1"/>
          <w:numId w:val="31"/>
        </w:numPr>
        <w:tabs>
          <w:tab w:val="left" w:pos="1317"/>
        </w:tabs>
        <w:spacing w:line="254" w:lineRule="auto"/>
        <w:ind w:right="142" w:firstLine="0"/>
        <w:rPr>
          <w:rFonts w:ascii="Arial" w:hAnsi="Arial" w:cs="Arial"/>
          <w:color w:val="019648"/>
          <w:sz w:val="36"/>
          <w:szCs w:val="36"/>
          <w:lang w:val="uk-UA"/>
        </w:rPr>
      </w:pPr>
      <w:r>
        <w:rPr>
          <w:rFonts w:ascii="Arial" w:hAnsi="Arial" w:cs="Arial"/>
          <w:color w:val="019648"/>
          <w:sz w:val="36"/>
          <w:szCs w:val="36"/>
          <w:lang w:val="uk-UA"/>
        </w:rPr>
        <w:t>Т</w:t>
      </w:r>
      <w:r w:rsidR="003C6DAE" w:rsidRPr="003C6DAE">
        <w:rPr>
          <w:rFonts w:ascii="Arial" w:hAnsi="Arial" w:cs="Arial"/>
          <w:color w:val="019648"/>
          <w:sz w:val="36"/>
          <w:szCs w:val="36"/>
          <w:lang w:val="uk-UA"/>
        </w:rPr>
        <w:t xml:space="preserve">ести для </w:t>
      </w:r>
      <w:r>
        <w:rPr>
          <w:rFonts w:ascii="Arial" w:hAnsi="Arial" w:cs="Arial"/>
          <w:color w:val="019648"/>
          <w:sz w:val="36"/>
          <w:szCs w:val="36"/>
          <w:lang w:val="uk-UA"/>
        </w:rPr>
        <w:t xml:space="preserve">первинної </w:t>
      </w:r>
      <w:r w:rsidR="003C6DAE" w:rsidRPr="003C6DAE">
        <w:rPr>
          <w:rFonts w:ascii="Arial" w:hAnsi="Arial" w:cs="Arial"/>
          <w:color w:val="019648"/>
          <w:sz w:val="36"/>
          <w:szCs w:val="36"/>
          <w:lang w:val="uk-UA"/>
        </w:rPr>
        <w:t xml:space="preserve">діагностики ТБ без виявлення стійкості до лікарських </w:t>
      </w:r>
      <w:r w:rsidR="00E6199E">
        <w:rPr>
          <w:rFonts w:ascii="Arial" w:hAnsi="Arial" w:cs="Arial"/>
          <w:color w:val="019648"/>
          <w:sz w:val="36"/>
          <w:szCs w:val="36"/>
          <w:lang w:val="uk-UA"/>
        </w:rPr>
        <w:t>засобів</w:t>
      </w:r>
    </w:p>
    <w:p w14:paraId="6CD966D8" w14:textId="1F7C1142" w:rsidR="00E05B98" w:rsidRPr="003C6DAE" w:rsidRDefault="00533E82" w:rsidP="00670669">
      <w:pPr>
        <w:pStyle w:val="a3"/>
        <w:spacing w:before="172" w:line="269" w:lineRule="auto"/>
        <w:ind w:left="567" w:right="142"/>
        <w:jc w:val="both"/>
        <w:rPr>
          <w:sz w:val="20"/>
          <w:szCs w:val="20"/>
          <w:lang w:val="uk-UA"/>
        </w:rPr>
      </w:pPr>
      <w:r w:rsidRPr="00533E82">
        <w:rPr>
          <w:sz w:val="20"/>
          <w:szCs w:val="20"/>
          <w:lang w:val="uk-UA"/>
        </w:rPr>
        <w:t xml:space="preserve">Наразі з’явився новий клас ручних ТАНК низької складності (рТАНК-НС), які є альтернативою молекулярним рішенням і мають підвищену точність порівняно з мікроскопією мазка, а  також мають дуже прості вимоги до інфраструктури, потужності та обладнання (наприклад, тепловий блок). рТАНК-НС можна виконувати на рівні мікроскопії, і наразі вони дешевші, ніж інші молекулярні тести. У сукупності ці характеристики корисні для тестування </w:t>
      </w:r>
      <w:r w:rsidR="00264554">
        <w:rPr>
          <w:sz w:val="20"/>
          <w:szCs w:val="20"/>
          <w:lang w:val="uk-UA"/>
        </w:rPr>
        <w:t xml:space="preserve">за наявності </w:t>
      </w:r>
      <w:r w:rsidRPr="00533E82">
        <w:rPr>
          <w:sz w:val="20"/>
          <w:szCs w:val="20"/>
          <w:lang w:val="uk-UA"/>
        </w:rPr>
        <w:t xml:space="preserve">обмежених умовах. Однак, як і мікроскопія мазка, цей клас тестів не включає виявлення стійкості до рифампіцину, тому вимагається виконання контрольного тесту </w:t>
      </w:r>
      <w:r w:rsidR="00240046">
        <w:rPr>
          <w:sz w:val="20"/>
          <w:szCs w:val="20"/>
          <w:lang w:val="uk-UA"/>
        </w:rPr>
        <w:t>(</w:t>
      </w:r>
      <w:r w:rsidR="00264554">
        <w:rPr>
          <w:sz w:val="20"/>
          <w:szCs w:val="20"/>
          <w:lang w:val="uk-UA"/>
        </w:rPr>
        <w:t xml:space="preserve">при виявленні відхилень від норми </w:t>
      </w:r>
      <w:r w:rsidR="00E5451B">
        <w:rPr>
          <w:sz w:val="20"/>
          <w:szCs w:val="20"/>
          <w:lang w:val="uk-UA"/>
        </w:rPr>
        <w:t xml:space="preserve">під час </w:t>
      </w:r>
      <w:r w:rsidR="00507F6E">
        <w:rPr>
          <w:sz w:val="20"/>
          <w:szCs w:val="20"/>
          <w:lang w:val="uk-UA"/>
        </w:rPr>
        <w:t>проведення</w:t>
      </w:r>
      <w:r w:rsidR="00264554">
        <w:rPr>
          <w:sz w:val="20"/>
          <w:szCs w:val="20"/>
          <w:lang w:val="uk-UA"/>
        </w:rPr>
        <w:t xml:space="preserve"> первинно</w:t>
      </w:r>
      <w:r w:rsidR="00E5451B">
        <w:rPr>
          <w:sz w:val="20"/>
          <w:szCs w:val="20"/>
          <w:lang w:val="uk-UA"/>
        </w:rPr>
        <w:t>го</w:t>
      </w:r>
      <w:r w:rsidR="00264554">
        <w:rPr>
          <w:sz w:val="20"/>
          <w:szCs w:val="20"/>
          <w:lang w:val="uk-UA"/>
        </w:rPr>
        <w:t xml:space="preserve"> ан</w:t>
      </w:r>
      <w:r w:rsidR="00E5451B">
        <w:rPr>
          <w:sz w:val="20"/>
          <w:szCs w:val="20"/>
          <w:lang w:val="uk-UA"/>
        </w:rPr>
        <w:t>а</w:t>
      </w:r>
      <w:r w:rsidR="00264554">
        <w:rPr>
          <w:sz w:val="20"/>
          <w:szCs w:val="20"/>
          <w:lang w:val="uk-UA"/>
        </w:rPr>
        <w:t>ліз</w:t>
      </w:r>
      <w:r w:rsidR="00E5451B">
        <w:rPr>
          <w:sz w:val="20"/>
          <w:szCs w:val="20"/>
          <w:lang w:val="uk-UA"/>
        </w:rPr>
        <w:t>у</w:t>
      </w:r>
      <w:r w:rsidR="00240046">
        <w:rPr>
          <w:sz w:val="20"/>
          <w:szCs w:val="20"/>
          <w:lang w:val="uk-UA"/>
        </w:rPr>
        <w:t>)</w:t>
      </w:r>
      <w:r w:rsidR="00264554">
        <w:rPr>
          <w:sz w:val="20"/>
          <w:szCs w:val="20"/>
          <w:lang w:val="uk-UA"/>
        </w:rPr>
        <w:t xml:space="preserve"> </w:t>
      </w:r>
      <w:r w:rsidRPr="00533E82">
        <w:rPr>
          <w:sz w:val="20"/>
          <w:szCs w:val="20"/>
          <w:lang w:val="uk-UA"/>
        </w:rPr>
        <w:t>з додаткови</w:t>
      </w:r>
      <w:r w:rsidR="00240046">
        <w:rPr>
          <w:sz w:val="20"/>
          <w:szCs w:val="20"/>
          <w:lang w:val="uk-UA"/>
        </w:rPr>
        <w:t>ми</w:t>
      </w:r>
      <w:r w:rsidRPr="00533E82">
        <w:rPr>
          <w:sz w:val="20"/>
          <w:szCs w:val="20"/>
          <w:lang w:val="uk-UA"/>
        </w:rPr>
        <w:t xml:space="preserve"> рішен</w:t>
      </w:r>
      <w:r w:rsidR="00240046">
        <w:rPr>
          <w:sz w:val="20"/>
          <w:szCs w:val="20"/>
          <w:lang w:val="uk-UA"/>
        </w:rPr>
        <w:t>нями</w:t>
      </w:r>
      <w:r w:rsidRPr="00533E82">
        <w:rPr>
          <w:sz w:val="20"/>
          <w:szCs w:val="20"/>
          <w:lang w:val="uk-UA"/>
        </w:rPr>
        <w:t>.</w:t>
      </w:r>
    </w:p>
    <w:p w14:paraId="6B4B6FD1" w14:textId="5D6DC218" w:rsidR="00E05B98" w:rsidRPr="00533E82" w:rsidRDefault="00B01E0C" w:rsidP="004A2937">
      <w:pPr>
        <w:pStyle w:val="4"/>
        <w:numPr>
          <w:ilvl w:val="2"/>
          <w:numId w:val="31"/>
        </w:numPr>
        <w:tabs>
          <w:tab w:val="left" w:pos="1277"/>
        </w:tabs>
        <w:spacing w:before="20" w:line="560" w:lineRule="atLeast"/>
        <w:ind w:right="1560" w:firstLine="0"/>
        <w:rPr>
          <w:color w:val="019648"/>
          <w:sz w:val="24"/>
          <w:szCs w:val="24"/>
          <w:lang w:val="uk-UA"/>
        </w:rPr>
      </w:pPr>
      <w:r w:rsidRPr="00533E82">
        <w:rPr>
          <w:noProof/>
          <w:sz w:val="26"/>
          <w:szCs w:val="26"/>
          <w:lang w:val="uk-UA"/>
        </w:rPr>
        <mc:AlternateContent>
          <mc:Choice Requires="wpg">
            <w:drawing>
              <wp:anchor distT="0" distB="0" distL="0" distR="0" simplePos="0" relativeHeight="15991296" behindDoc="0" locked="0" layoutInCell="1" allowOverlap="1" wp14:anchorId="7260263D" wp14:editId="3D731E54">
                <wp:simplePos x="0" y="0"/>
                <wp:positionH relativeFrom="page">
                  <wp:posOffset>6144458</wp:posOffset>
                </wp:positionH>
                <wp:positionV relativeFrom="paragraph">
                  <wp:posOffset>196711</wp:posOffset>
                </wp:positionV>
                <wp:extent cx="515620" cy="245745"/>
                <wp:effectExtent l="0" t="0" r="0" b="0"/>
                <wp:wrapNone/>
                <wp:docPr id="1552"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620" cy="245745"/>
                          <a:chOff x="0" y="0"/>
                          <a:chExt cx="515620" cy="245745"/>
                        </a:xfrm>
                      </wpg:grpSpPr>
                      <wps:wsp>
                        <wps:cNvPr id="1553" name="Graphic 1553"/>
                        <wps:cNvSpPr/>
                        <wps:spPr>
                          <a:xfrm>
                            <a:off x="0" y="0"/>
                            <a:ext cx="515620" cy="245745"/>
                          </a:xfrm>
                          <a:custGeom>
                            <a:avLst/>
                            <a:gdLst/>
                            <a:ahLst/>
                            <a:cxnLst/>
                            <a:rect l="l" t="t" r="r" b="b"/>
                            <a:pathLst>
                              <a:path w="515620" h="245745">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a:prstTxWarp prst="textNoShape">
                            <a:avLst/>
                          </a:prstTxWarp>
                          <a:noAutofit/>
                        </wps:bodyPr>
                      </wps:wsp>
                      <wps:wsp>
                        <wps:cNvPr id="1554" name="Textbox 1554"/>
                        <wps:cNvSpPr txBox="1"/>
                        <wps:spPr>
                          <a:xfrm>
                            <a:off x="0" y="0"/>
                            <a:ext cx="515620" cy="245745"/>
                          </a:xfrm>
                          <a:prstGeom prst="rect">
                            <a:avLst/>
                          </a:prstGeom>
                        </wps:spPr>
                        <wps:txbx>
                          <w:txbxContent>
                            <w:p w14:paraId="11721792" w14:textId="0A69ECFB" w:rsidR="007372B2" w:rsidRPr="00533E82" w:rsidRDefault="007372B2">
                              <w:pPr>
                                <w:spacing w:before="89"/>
                                <w:ind w:left="169"/>
                                <w:rPr>
                                  <w:sz w:val="20"/>
                                  <w:lang w:val="uk-UA"/>
                                </w:rPr>
                              </w:pPr>
                              <w:r>
                                <w:rPr>
                                  <w:color w:val="FFFFFF"/>
                                  <w:spacing w:val="-5"/>
                                  <w:sz w:val="20"/>
                                  <w:lang w:val="uk-UA"/>
                                </w:rPr>
                                <w:t>НОВЕ</w:t>
                              </w:r>
                            </w:p>
                          </w:txbxContent>
                        </wps:txbx>
                        <wps:bodyPr wrap="square" lIns="0" tIns="0" rIns="0" bIns="0" rtlCol="0">
                          <a:noAutofit/>
                        </wps:bodyPr>
                      </wps:wsp>
                    </wpg:wgp>
                  </a:graphicData>
                </a:graphic>
              </wp:anchor>
            </w:drawing>
          </mc:Choice>
          <mc:Fallback>
            <w:pict>
              <v:group w14:anchorId="7260263D" id="Group 1552" o:spid="_x0000_s1094" style="position:absolute;left:0;text-align:left;margin-left:483.8pt;margin-top:15.5pt;width:40.6pt;height:19.35pt;z-index:15991296;mso-wrap-distance-left:0;mso-wrap-distance-right:0;mso-position-horizontal-relative:page;mso-position-vertical-relative:text" coordsize="51562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">
                <v:shape id="Graphic 1553" o:spid="_x0000_s1095" style="position:absolute;width:515620;height:245745;visibility:visible;mso-wrap-style:square;v-text-anchor:top" coordsize="51562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" path="m515543,l,,,122796r9650,47797l35966,209626r39032,26316l122796,245592r269951,l440545,235942r39032,-26316l505893,170593r9650,-47797l515543,xe" fillcolor="#0c8140" stroked="f">
                  <v:path arrowok="t"/>
                </v:shape>
                <v:shape id="Textbox 1554" o:spid="_x0000_s1096" type="#_x0000_t202" style="position:absolute;width:515620;height:245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sixAAAAN0AAAAPAAAAZHJzL2Rvd25yZXYueG1sRE9Na8JA&#10;EL0X+h+WKXirmxYV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KJ+6yLEAAAA3QAAAA8A&#10;AAAAAAAAAAAAAAAABwIAAGRycy9kb3ducmV2LnhtbFBLBQYAAAAAAwADALcAAAD4AgAAAAA=&#10;" filled="f" stroked="f">
                  <v:textbox inset="0,0,0,0">
                    <w:txbxContent>
                      <w:p w14:paraId="11721792" w14:textId="0A69ECFB" w:rsidR="007372B2" w:rsidRPr="00533E82" w:rsidRDefault="007372B2">
                        <w:pPr>
                          <w:spacing w:before="89"/>
                          <w:ind w:left="169"/>
                          <w:rPr>
                            <w:sz w:val="20"/>
                            <w:lang w:val="uk-UA"/>
                          </w:rPr>
                        </w:pPr>
                        <w:r>
                          <w:rPr>
                            <w:color w:val="FFFFFF"/>
                            <w:spacing w:val="-5"/>
                            <w:sz w:val="20"/>
                            <w:lang w:val="uk-UA"/>
                          </w:rPr>
                          <w:t>НОВЕ</w:t>
                        </w:r>
                      </w:p>
                    </w:txbxContent>
                  </v:textbox>
                </v:shape>
                <w10:wrap anchorx="page"/>
              </v:group>
            </w:pict>
          </mc:Fallback>
        </mc:AlternateContent>
      </w:r>
      <w:r w:rsidR="00533E82" w:rsidRPr="00533E82">
        <w:rPr>
          <w:sz w:val="26"/>
          <w:szCs w:val="26"/>
          <w:lang w:val="uk-UA"/>
        </w:rPr>
        <w:t xml:space="preserve"> </w:t>
      </w:r>
      <w:r w:rsidR="00533E82" w:rsidRPr="00533E82">
        <w:rPr>
          <w:color w:val="019648"/>
          <w:sz w:val="26"/>
          <w:szCs w:val="26"/>
          <w:lang w:val="uk-UA"/>
        </w:rPr>
        <w:t>Ручні ТАНК низької складності для виявлення ТБ</w:t>
      </w:r>
      <w:r w:rsidRPr="00533E82">
        <w:rPr>
          <w:color w:val="019648"/>
          <w:sz w:val="26"/>
          <w:szCs w:val="26"/>
          <w:lang w:val="uk-UA"/>
        </w:rPr>
        <w:t xml:space="preserve"> </w:t>
      </w:r>
      <w:r w:rsidR="00533E82">
        <w:rPr>
          <w:color w:val="019648"/>
          <w:sz w:val="26"/>
          <w:szCs w:val="26"/>
          <w:lang w:val="uk-UA"/>
        </w:rPr>
        <w:t xml:space="preserve">                       </w:t>
      </w:r>
      <w:r w:rsidR="00533E82" w:rsidRPr="00670669">
        <w:rPr>
          <w:color w:val="019648"/>
          <w:sz w:val="22"/>
          <w:szCs w:val="22"/>
          <w:lang w:val="uk-UA"/>
        </w:rPr>
        <w:t>Опис класу</w:t>
      </w:r>
      <w:r w:rsidR="00E5451B">
        <w:rPr>
          <w:color w:val="019648"/>
          <w:sz w:val="22"/>
          <w:szCs w:val="22"/>
          <w:lang w:val="uk-UA"/>
        </w:rPr>
        <w:t xml:space="preserve"> тесту для діагностики ТБ</w:t>
      </w:r>
    </w:p>
    <w:p w14:paraId="57CD28C6" w14:textId="4BD1F681" w:rsidR="00533E82" w:rsidRPr="00533E82" w:rsidRDefault="00533E82" w:rsidP="00533E82">
      <w:pPr>
        <w:spacing w:before="132" w:line="269" w:lineRule="auto"/>
        <w:ind w:left="567"/>
        <w:jc w:val="both"/>
        <w:rPr>
          <w:sz w:val="20"/>
          <w:szCs w:val="20"/>
          <w:lang w:val="uk-UA"/>
        </w:rPr>
      </w:pPr>
      <w:r w:rsidRPr="00533E82">
        <w:rPr>
          <w:sz w:val="20"/>
          <w:szCs w:val="20"/>
          <w:lang w:val="uk-UA"/>
        </w:rPr>
        <w:t>Характерні особливості, наведені в таблиці 2.2.1.1, визначають клас ручних тестів ампліфікаці</w:t>
      </w:r>
      <w:r w:rsidR="00240046">
        <w:rPr>
          <w:sz w:val="20"/>
          <w:szCs w:val="20"/>
          <w:lang w:val="uk-UA"/>
        </w:rPr>
        <w:t>ї</w:t>
      </w:r>
      <w:r w:rsidRPr="00533E82">
        <w:rPr>
          <w:sz w:val="20"/>
          <w:szCs w:val="20"/>
          <w:lang w:val="uk-UA"/>
        </w:rPr>
        <w:t xml:space="preserve"> нуклеїнових кислот низької складності (рТАНК-НС).</w:t>
      </w:r>
    </w:p>
    <w:p w14:paraId="4B2C1B46" w14:textId="77777777" w:rsidR="00E05B98" w:rsidRPr="00533E82" w:rsidRDefault="00E05B98">
      <w:pPr>
        <w:pStyle w:val="a3"/>
        <w:spacing w:before="51"/>
        <w:rPr>
          <w:sz w:val="6"/>
          <w:szCs w:val="6"/>
          <w:lang w:val="uk-UA"/>
        </w:rPr>
      </w:pPr>
    </w:p>
    <w:p w14:paraId="62243F13" w14:textId="77777777" w:rsidR="00533E82" w:rsidRPr="001D0186" w:rsidRDefault="00533E82" w:rsidP="00533E82">
      <w:pPr>
        <w:spacing w:before="132"/>
        <w:ind w:left="567"/>
        <w:jc w:val="both"/>
        <w:rPr>
          <w:b/>
          <w:bCs/>
          <w:sz w:val="20"/>
          <w:szCs w:val="20"/>
          <w:lang w:val="uk-UA"/>
        </w:rPr>
      </w:pPr>
      <w:r w:rsidRPr="001D0186">
        <w:rPr>
          <w:b/>
          <w:bCs/>
          <w:sz w:val="20"/>
          <w:szCs w:val="20"/>
          <w:lang w:val="uk-UA"/>
        </w:rPr>
        <w:t>Таблиця 2.2.1.1 Критерії класу для рТАНК-НС</w:t>
      </w:r>
    </w:p>
    <w:p w14:paraId="761F2D3C" w14:textId="15B88071" w:rsidR="00E05B98" w:rsidRPr="00533E82" w:rsidRDefault="00E05B98">
      <w:pPr>
        <w:pStyle w:val="6"/>
        <w:spacing w:before="0"/>
        <w:jc w:val="both"/>
        <w:rPr>
          <w:rFonts w:ascii="Microsoft Sans Serif" w:hAnsi="Microsoft Sans Serif" w:cs="Microsoft Sans Serif"/>
          <w:sz w:val="20"/>
          <w:szCs w:val="20"/>
          <w:lang w:val="uk-UA"/>
        </w:rPr>
      </w:pPr>
    </w:p>
    <w:tbl>
      <w:tblPr>
        <w:tblStyle w:val="TableNormal"/>
        <w:tblW w:w="0" w:type="auto"/>
        <w:tblInd w:w="577" w:type="dxa"/>
        <w:tblLayout w:type="fixed"/>
        <w:tblLook w:val="01E0" w:firstRow="1" w:lastRow="1" w:firstColumn="1" w:lastColumn="1" w:noHBand="0" w:noVBand="0"/>
      </w:tblPr>
      <w:tblGrid>
        <w:gridCol w:w="1823"/>
        <w:gridCol w:w="1626"/>
        <w:gridCol w:w="5895"/>
      </w:tblGrid>
      <w:tr w:rsidR="00E05B98" w:rsidRPr="00066A42" w14:paraId="70A5AD75" w14:textId="77777777" w:rsidTr="00670669">
        <w:trPr>
          <w:trHeight w:val="396"/>
        </w:trPr>
        <w:tc>
          <w:tcPr>
            <w:tcW w:w="1823" w:type="dxa"/>
            <w:tcBorders>
              <w:top w:val="single" w:sz="8" w:space="0" w:color="019648"/>
              <w:left w:val="single" w:sz="8" w:space="0" w:color="019648"/>
              <w:bottom w:val="single" w:sz="6" w:space="0" w:color="019648"/>
            </w:tcBorders>
            <w:shd w:val="clear" w:color="auto" w:fill="62A86B"/>
          </w:tcPr>
          <w:p w14:paraId="099A01F6" w14:textId="56BBFF10" w:rsidR="00E05B98" w:rsidRPr="00066A42" w:rsidRDefault="00066A42">
            <w:pPr>
              <w:pStyle w:val="TableParagraph"/>
              <w:spacing w:before="78"/>
              <w:ind w:left="145"/>
              <w:rPr>
                <w:b/>
                <w:sz w:val="19"/>
                <w:szCs w:val="19"/>
              </w:rPr>
            </w:pPr>
            <w:r w:rsidRPr="00066A42">
              <w:rPr>
                <w:b/>
                <w:color w:val="FFFFFF"/>
                <w:spacing w:val="-2"/>
                <w:sz w:val="19"/>
                <w:szCs w:val="19"/>
                <w:lang w:val="uk-UA"/>
              </w:rPr>
              <w:t>П</w:t>
            </w:r>
            <w:r w:rsidR="001D0186" w:rsidRPr="00066A42">
              <w:rPr>
                <w:b/>
                <w:color w:val="FFFFFF"/>
                <w:spacing w:val="-2"/>
                <w:sz w:val="19"/>
                <w:szCs w:val="19"/>
                <w:lang w:val="uk-UA"/>
              </w:rPr>
              <w:t xml:space="preserve">ризначення </w:t>
            </w:r>
          </w:p>
        </w:tc>
        <w:tc>
          <w:tcPr>
            <w:tcW w:w="1626" w:type="dxa"/>
            <w:tcBorders>
              <w:top w:val="single" w:sz="8" w:space="0" w:color="019648"/>
              <w:bottom w:val="single" w:sz="6" w:space="0" w:color="019648"/>
              <w:right w:val="single" w:sz="6" w:space="0" w:color="019648"/>
            </w:tcBorders>
            <w:shd w:val="clear" w:color="auto" w:fill="62A86B"/>
          </w:tcPr>
          <w:p w14:paraId="7449E5AC" w14:textId="77777777" w:rsidR="00E05B98" w:rsidRPr="00066A42" w:rsidRDefault="00E05B98">
            <w:pPr>
              <w:pStyle w:val="TableParagraph"/>
              <w:spacing w:before="0"/>
              <w:ind w:left="0"/>
              <w:rPr>
                <w:sz w:val="19"/>
                <w:szCs w:val="19"/>
                <w:lang w:val="uk-UA"/>
              </w:rPr>
            </w:pPr>
          </w:p>
        </w:tc>
        <w:tc>
          <w:tcPr>
            <w:tcW w:w="5895" w:type="dxa"/>
            <w:tcBorders>
              <w:top w:val="single" w:sz="8" w:space="0" w:color="019648"/>
              <w:left w:val="single" w:sz="6" w:space="0" w:color="019648"/>
              <w:bottom w:val="single" w:sz="6" w:space="0" w:color="019648"/>
              <w:right w:val="single" w:sz="6" w:space="0" w:color="019648"/>
            </w:tcBorders>
            <w:shd w:val="clear" w:color="auto" w:fill="62A86B"/>
          </w:tcPr>
          <w:p w14:paraId="51FCF73D" w14:textId="0FE53AC9" w:rsidR="00E05B98" w:rsidRPr="00066A42" w:rsidRDefault="001D0186">
            <w:pPr>
              <w:pStyle w:val="TableParagraph"/>
              <w:spacing w:before="78"/>
              <w:ind w:left="138"/>
              <w:rPr>
                <w:b/>
                <w:sz w:val="19"/>
                <w:szCs w:val="19"/>
                <w:lang w:val="uk-UA"/>
              </w:rPr>
            </w:pPr>
            <w:r w:rsidRPr="00066A42">
              <w:rPr>
                <w:b/>
                <w:color w:val="FFFFFF"/>
                <w:sz w:val="19"/>
                <w:szCs w:val="19"/>
                <w:lang w:val="uk-UA"/>
              </w:rPr>
              <w:t>Виявлення ТБ</w:t>
            </w:r>
          </w:p>
        </w:tc>
      </w:tr>
      <w:tr w:rsidR="00E05B98" w:rsidRPr="00D029FF" w14:paraId="01099961" w14:textId="77777777" w:rsidTr="00670669">
        <w:trPr>
          <w:trHeight w:val="342"/>
        </w:trPr>
        <w:tc>
          <w:tcPr>
            <w:tcW w:w="3449" w:type="dxa"/>
            <w:gridSpan w:val="2"/>
            <w:tcBorders>
              <w:top w:val="single" w:sz="6" w:space="0" w:color="019648"/>
              <w:bottom w:val="single" w:sz="6" w:space="0" w:color="019648"/>
            </w:tcBorders>
          </w:tcPr>
          <w:p w14:paraId="1EFC5A97" w14:textId="203C676C" w:rsidR="00E05B98" w:rsidRPr="00066A42" w:rsidRDefault="001D0186" w:rsidP="00066A42">
            <w:pPr>
              <w:pStyle w:val="TableParagraph"/>
              <w:spacing w:before="53" w:line="252" w:lineRule="auto"/>
              <w:ind w:left="132"/>
              <w:rPr>
                <w:b/>
                <w:sz w:val="19"/>
                <w:szCs w:val="19"/>
                <w:lang w:val="uk-UA"/>
              </w:rPr>
            </w:pPr>
            <w:r w:rsidRPr="00066A42">
              <w:rPr>
                <w:b/>
                <w:sz w:val="19"/>
                <w:szCs w:val="19"/>
                <w:lang w:val="uk-UA"/>
              </w:rPr>
              <w:t>Принцип дії</w:t>
            </w:r>
          </w:p>
        </w:tc>
        <w:tc>
          <w:tcPr>
            <w:tcW w:w="5895" w:type="dxa"/>
            <w:tcBorders>
              <w:top w:val="single" w:sz="6" w:space="0" w:color="019648"/>
              <w:bottom w:val="single" w:sz="6" w:space="0" w:color="019648"/>
            </w:tcBorders>
          </w:tcPr>
          <w:p w14:paraId="522C1AB6" w14:textId="1143B8DB" w:rsidR="00E05B98" w:rsidRPr="00066A42" w:rsidRDefault="001D0186" w:rsidP="00066A42">
            <w:pPr>
              <w:pStyle w:val="TableParagraph"/>
              <w:spacing w:before="56" w:line="252" w:lineRule="auto"/>
              <w:rPr>
                <w:sz w:val="19"/>
                <w:szCs w:val="19"/>
                <w:lang w:val="uk-UA"/>
              </w:rPr>
            </w:pPr>
            <w:r w:rsidRPr="00066A42">
              <w:rPr>
                <w:sz w:val="19"/>
                <w:szCs w:val="19"/>
                <w:lang w:val="uk-UA"/>
              </w:rPr>
              <w:t>Виконання тесту ампліфікаці</w:t>
            </w:r>
            <w:r w:rsidR="00066A42">
              <w:rPr>
                <w:sz w:val="19"/>
                <w:szCs w:val="19"/>
                <w:lang w:val="uk-UA"/>
              </w:rPr>
              <w:t>ї</w:t>
            </w:r>
            <w:r w:rsidRPr="00066A42">
              <w:rPr>
                <w:sz w:val="19"/>
                <w:szCs w:val="19"/>
                <w:lang w:val="uk-UA"/>
              </w:rPr>
              <w:t xml:space="preserve"> нуклеїнових кислот</w:t>
            </w:r>
          </w:p>
        </w:tc>
      </w:tr>
      <w:tr w:rsidR="00E05B98" w:rsidRPr="00D029FF" w14:paraId="15E92077" w14:textId="77777777" w:rsidTr="00670669">
        <w:trPr>
          <w:trHeight w:val="602"/>
        </w:trPr>
        <w:tc>
          <w:tcPr>
            <w:tcW w:w="1823" w:type="dxa"/>
            <w:tcBorders>
              <w:top w:val="single" w:sz="6" w:space="0" w:color="019648"/>
            </w:tcBorders>
          </w:tcPr>
          <w:p w14:paraId="684DC8DF" w14:textId="427779FE" w:rsidR="00E05B98" w:rsidRPr="00066A42" w:rsidRDefault="00E5451B" w:rsidP="00066A42">
            <w:pPr>
              <w:pStyle w:val="TableParagraph"/>
              <w:spacing w:before="53" w:line="252" w:lineRule="auto"/>
              <w:ind w:left="132"/>
              <w:rPr>
                <w:b/>
                <w:sz w:val="19"/>
                <w:szCs w:val="19"/>
                <w:lang w:val="uk-UA"/>
              </w:rPr>
            </w:pPr>
            <w:r w:rsidRPr="00E5451B">
              <w:rPr>
                <w:b/>
                <w:spacing w:val="-2"/>
                <w:sz w:val="19"/>
                <w:szCs w:val="19"/>
                <w:lang w:val="uk-UA"/>
              </w:rPr>
              <w:t>Показник с</w:t>
            </w:r>
            <w:r w:rsidR="001D0186" w:rsidRPr="00E5451B">
              <w:rPr>
                <w:b/>
                <w:spacing w:val="-2"/>
                <w:sz w:val="19"/>
                <w:szCs w:val="19"/>
                <w:lang w:val="uk-UA"/>
              </w:rPr>
              <w:t>кладн</w:t>
            </w:r>
            <w:r w:rsidRPr="00E5451B">
              <w:rPr>
                <w:b/>
                <w:spacing w:val="-2"/>
                <w:sz w:val="19"/>
                <w:szCs w:val="19"/>
                <w:lang w:val="uk-UA"/>
              </w:rPr>
              <w:t>ості</w:t>
            </w:r>
          </w:p>
        </w:tc>
        <w:tc>
          <w:tcPr>
            <w:tcW w:w="1626" w:type="dxa"/>
            <w:tcBorders>
              <w:top w:val="single" w:sz="6" w:space="0" w:color="019648"/>
              <w:bottom w:val="single" w:sz="6" w:space="0" w:color="019648"/>
            </w:tcBorders>
          </w:tcPr>
          <w:p w14:paraId="0B1FFA6B" w14:textId="1CF452C4" w:rsidR="00E05B98" w:rsidRPr="00066A42" w:rsidRDefault="001D0186" w:rsidP="00066A42">
            <w:pPr>
              <w:pStyle w:val="TableParagraph"/>
              <w:spacing w:before="56" w:line="252" w:lineRule="auto"/>
              <w:ind w:left="-13"/>
              <w:rPr>
                <w:sz w:val="19"/>
                <w:szCs w:val="19"/>
                <w:lang w:val="uk-UA"/>
              </w:rPr>
            </w:pPr>
            <w:r w:rsidRPr="00066A42">
              <w:rPr>
                <w:spacing w:val="-2"/>
                <w:sz w:val="19"/>
                <w:szCs w:val="19"/>
                <w:lang w:val="uk-UA"/>
              </w:rPr>
              <w:t>Реагенти</w:t>
            </w:r>
          </w:p>
        </w:tc>
        <w:tc>
          <w:tcPr>
            <w:tcW w:w="5895" w:type="dxa"/>
            <w:tcBorders>
              <w:top w:val="single" w:sz="6" w:space="0" w:color="019648"/>
              <w:bottom w:val="single" w:sz="6" w:space="0" w:color="019648"/>
            </w:tcBorders>
          </w:tcPr>
          <w:p w14:paraId="64D68CEC" w14:textId="4A6731F7" w:rsidR="00E05B98" w:rsidRPr="00066A42" w:rsidRDefault="001D0186" w:rsidP="00066A42">
            <w:pPr>
              <w:pStyle w:val="TableParagraph"/>
              <w:spacing w:before="56" w:line="252" w:lineRule="auto"/>
              <w:rPr>
                <w:sz w:val="19"/>
                <w:szCs w:val="19"/>
                <w:lang w:val="uk-UA"/>
              </w:rPr>
            </w:pPr>
            <w:r w:rsidRPr="00066A42">
              <w:rPr>
                <w:sz w:val="19"/>
                <w:szCs w:val="19"/>
                <w:lang w:val="uk-UA"/>
              </w:rPr>
              <w:t>Реагенти розміщуються в багаторазових герметичних контейнерах, які не вимагають особливих умов зберігання</w:t>
            </w:r>
          </w:p>
        </w:tc>
      </w:tr>
      <w:tr w:rsidR="00E05B98" w:rsidRPr="00D029FF" w14:paraId="1874585A" w14:textId="77777777" w:rsidTr="00670669">
        <w:trPr>
          <w:trHeight w:val="602"/>
        </w:trPr>
        <w:tc>
          <w:tcPr>
            <w:tcW w:w="3449" w:type="dxa"/>
            <w:gridSpan w:val="2"/>
          </w:tcPr>
          <w:p w14:paraId="2B8F29D5" w14:textId="62C0B2EF" w:rsidR="00E05B98" w:rsidRPr="00066A42" w:rsidRDefault="00670669" w:rsidP="00066A42">
            <w:pPr>
              <w:pStyle w:val="TableParagraph"/>
              <w:spacing w:before="56" w:line="252" w:lineRule="auto"/>
              <w:ind w:left="372"/>
              <w:jc w:val="center"/>
              <w:rPr>
                <w:sz w:val="19"/>
                <w:szCs w:val="19"/>
                <w:lang w:val="uk-UA"/>
              </w:rPr>
            </w:pPr>
            <w:r w:rsidRPr="00066A42">
              <w:rPr>
                <w:spacing w:val="-2"/>
                <w:sz w:val="19"/>
                <w:szCs w:val="19"/>
                <w:lang w:val="uk-UA"/>
              </w:rPr>
              <w:t xml:space="preserve">          </w:t>
            </w:r>
            <w:r w:rsidR="001D0186" w:rsidRPr="00066A42">
              <w:rPr>
                <w:spacing w:val="-2"/>
                <w:sz w:val="19"/>
                <w:szCs w:val="19"/>
                <w:lang w:val="uk-UA"/>
              </w:rPr>
              <w:t xml:space="preserve">Навички </w:t>
            </w:r>
          </w:p>
        </w:tc>
        <w:tc>
          <w:tcPr>
            <w:tcW w:w="5895" w:type="dxa"/>
            <w:tcBorders>
              <w:top w:val="single" w:sz="6" w:space="0" w:color="019648"/>
              <w:bottom w:val="single" w:sz="6" w:space="0" w:color="019648"/>
            </w:tcBorders>
          </w:tcPr>
          <w:p w14:paraId="2E44977D" w14:textId="577C01AF" w:rsidR="00E05B98" w:rsidRPr="00066A42" w:rsidRDefault="001D0186" w:rsidP="00066A42">
            <w:pPr>
              <w:pStyle w:val="TableParagraph"/>
              <w:spacing w:before="56" w:line="252" w:lineRule="auto"/>
              <w:rPr>
                <w:sz w:val="19"/>
                <w:szCs w:val="19"/>
                <w:lang w:val="uk-UA"/>
              </w:rPr>
            </w:pPr>
            <w:r w:rsidRPr="00066A42">
              <w:rPr>
                <w:sz w:val="19"/>
                <w:szCs w:val="19"/>
                <w:lang w:val="uk-UA"/>
              </w:rPr>
              <w:t>Базові технічні навички (наприклад, базове піпетування, точність не критична)</w:t>
            </w:r>
          </w:p>
        </w:tc>
      </w:tr>
      <w:tr w:rsidR="00E05B98" w:rsidRPr="00D029FF" w14:paraId="30CD7C2B" w14:textId="77777777" w:rsidTr="00670669">
        <w:trPr>
          <w:trHeight w:val="602"/>
        </w:trPr>
        <w:tc>
          <w:tcPr>
            <w:tcW w:w="3449" w:type="dxa"/>
            <w:gridSpan w:val="2"/>
            <w:tcBorders>
              <w:top w:val="single" w:sz="6" w:space="0" w:color="019648"/>
            </w:tcBorders>
          </w:tcPr>
          <w:p w14:paraId="426E222D" w14:textId="5BAEB094" w:rsidR="00E05B98" w:rsidRPr="00066A42" w:rsidRDefault="00670669" w:rsidP="00066A42">
            <w:pPr>
              <w:pStyle w:val="TableParagraph"/>
              <w:spacing w:before="56" w:line="252" w:lineRule="auto"/>
              <w:ind w:left="1535"/>
              <w:rPr>
                <w:sz w:val="19"/>
                <w:szCs w:val="19"/>
                <w:lang w:val="uk-UA"/>
              </w:rPr>
            </w:pPr>
            <w:r w:rsidRPr="00066A42">
              <w:rPr>
                <w:spacing w:val="-2"/>
                <w:w w:val="105"/>
                <w:sz w:val="19"/>
                <w:szCs w:val="19"/>
                <w:lang w:val="uk-UA"/>
              </w:rPr>
              <w:t xml:space="preserve">    </w:t>
            </w:r>
            <w:r w:rsidR="001D0186" w:rsidRPr="00066A42">
              <w:rPr>
                <w:spacing w:val="-2"/>
                <w:w w:val="105"/>
                <w:sz w:val="19"/>
                <w:szCs w:val="19"/>
                <w:lang w:val="uk-UA"/>
              </w:rPr>
              <w:t>Піпетування</w:t>
            </w:r>
          </w:p>
        </w:tc>
        <w:tc>
          <w:tcPr>
            <w:tcW w:w="5895" w:type="dxa"/>
            <w:tcBorders>
              <w:top w:val="single" w:sz="6" w:space="0" w:color="019648"/>
              <w:bottom w:val="single" w:sz="6" w:space="0" w:color="019648"/>
            </w:tcBorders>
          </w:tcPr>
          <w:p w14:paraId="1621FC01" w14:textId="1948F8D0" w:rsidR="00E05B98" w:rsidRPr="00066A42" w:rsidRDefault="001D0186" w:rsidP="00066A42">
            <w:pPr>
              <w:pStyle w:val="TableParagraph"/>
              <w:spacing w:before="56" w:line="252" w:lineRule="auto"/>
              <w:rPr>
                <w:sz w:val="19"/>
                <w:szCs w:val="19"/>
                <w:lang w:val="uk-UA"/>
              </w:rPr>
            </w:pPr>
            <w:r w:rsidRPr="00066A42">
              <w:rPr>
                <w:sz w:val="19"/>
                <w:szCs w:val="19"/>
                <w:lang w:val="uk-UA"/>
              </w:rPr>
              <w:t>Кілька етапів піпетування (максимум 10) від обробленого зразка до отримання результату</w:t>
            </w:r>
          </w:p>
        </w:tc>
      </w:tr>
      <w:tr w:rsidR="00E05B98" w:rsidRPr="00066A42" w14:paraId="77F62C33" w14:textId="77777777" w:rsidTr="00670669">
        <w:trPr>
          <w:trHeight w:val="1897"/>
        </w:trPr>
        <w:tc>
          <w:tcPr>
            <w:tcW w:w="3449" w:type="dxa"/>
            <w:gridSpan w:val="2"/>
            <w:tcBorders>
              <w:top w:val="single" w:sz="6" w:space="0" w:color="019648"/>
              <w:bottom w:val="single" w:sz="6" w:space="0" w:color="019648"/>
            </w:tcBorders>
          </w:tcPr>
          <w:p w14:paraId="6BE1E973" w14:textId="50F4D6CC" w:rsidR="00670669" w:rsidRPr="00066A42" w:rsidRDefault="00670669" w:rsidP="00066A42">
            <w:pPr>
              <w:pStyle w:val="TableParagraph"/>
              <w:spacing w:before="56" w:line="252" w:lineRule="auto"/>
              <w:ind w:left="1535"/>
              <w:rPr>
                <w:spacing w:val="-2"/>
                <w:sz w:val="19"/>
                <w:szCs w:val="19"/>
                <w:lang w:val="uk-UA"/>
              </w:rPr>
            </w:pPr>
            <w:r w:rsidRPr="00066A42">
              <w:rPr>
                <w:spacing w:val="-2"/>
                <w:sz w:val="19"/>
                <w:szCs w:val="19"/>
                <w:lang w:val="uk-UA"/>
              </w:rPr>
              <w:t xml:space="preserve">    </w:t>
            </w:r>
            <w:r w:rsidR="00507F6E" w:rsidRPr="00066A42">
              <w:rPr>
                <w:spacing w:val="-2"/>
                <w:sz w:val="19"/>
                <w:szCs w:val="19"/>
                <w:lang w:val="uk-UA"/>
              </w:rPr>
              <w:t>Процедура</w:t>
            </w:r>
            <w:r w:rsidR="001D0186" w:rsidRPr="00066A42">
              <w:rPr>
                <w:spacing w:val="-2"/>
                <w:sz w:val="19"/>
                <w:szCs w:val="19"/>
                <w:lang w:val="uk-UA"/>
              </w:rPr>
              <w:t xml:space="preserve"> </w:t>
            </w:r>
            <w:r w:rsidRPr="00066A42">
              <w:rPr>
                <w:spacing w:val="-2"/>
                <w:sz w:val="19"/>
                <w:szCs w:val="19"/>
                <w:lang w:val="uk-UA"/>
              </w:rPr>
              <w:t xml:space="preserve">     </w:t>
            </w:r>
          </w:p>
          <w:p w14:paraId="5621543D" w14:textId="5818125D" w:rsidR="00E05B98" w:rsidRPr="00066A42" w:rsidRDefault="00670669" w:rsidP="00066A42">
            <w:pPr>
              <w:pStyle w:val="TableParagraph"/>
              <w:spacing w:before="56" w:line="252" w:lineRule="auto"/>
              <w:ind w:left="1535"/>
              <w:rPr>
                <w:sz w:val="19"/>
                <w:szCs w:val="19"/>
                <w:lang w:val="uk-UA"/>
              </w:rPr>
            </w:pPr>
            <w:r w:rsidRPr="00066A42">
              <w:rPr>
                <w:spacing w:val="-2"/>
                <w:sz w:val="19"/>
                <w:szCs w:val="19"/>
                <w:lang w:val="uk-UA"/>
              </w:rPr>
              <w:t xml:space="preserve">    </w:t>
            </w:r>
            <w:r w:rsidR="001D0186" w:rsidRPr="00066A42">
              <w:rPr>
                <w:spacing w:val="-2"/>
                <w:sz w:val="19"/>
                <w:szCs w:val="19"/>
                <w:lang w:val="uk-UA"/>
              </w:rPr>
              <w:t>тестування</w:t>
            </w:r>
          </w:p>
        </w:tc>
        <w:tc>
          <w:tcPr>
            <w:tcW w:w="5895" w:type="dxa"/>
            <w:tcBorders>
              <w:top w:val="single" w:sz="6" w:space="0" w:color="019648"/>
              <w:bottom w:val="single" w:sz="6" w:space="0" w:color="019648"/>
            </w:tcBorders>
          </w:tcPr>
          <w:p w14:paraId="31BBB892" w14:textId="77777777" w:rsidR="00670669" w:rsidRPr="00066A42" w:rsidRDefault="00670669" w:rsidP="00066A42">
            <w:pPr>
              <w:pStyle w:val="TableParagraph"/>
              <w:spacing w:before="56" w:line="252" w:lineRule="auto"/>
              <w:rPr>
                <w:sz w:val="19"/>
                <w:szCs w:val="19"/>
                <w:lang w:val="uk-UA"/>
              </w:rPr>
            </w:pPr>
            <w:r w:rsidRPr="00066A42">
              <w:rPr>
                <w:sz w:val="19"/>
                <w:szCs w:val="19"/>
                <w:lang w:val="uk-UA"/>
              </w:rPr>
              <w:t>Не менше трьох окремих етапів:</w:t>
            </w:r>
          </w:p>
          <w:p w14:paraId="0860E04F" w14:textId="77777777" w:rsidR="00670669" w:rsidRPr="00066A42" w:rsidRDefault="00670669" w:rsidP="004A2937">
            <w:pPr>
              <w:pStyle w:val="TableParagraph"/>
              <w:numPr>
                <w:ilvl w:val="0"/>
                <w:numId w:val="36"/>
              </w:numPr>
              <w:spacing w:before="56" w:line="252" w:lineRule="auto"/>
              <w:ind w:left="490"/>
              <w:rPr>
                <w:sz w:val="19"/>
                <w:szCs w:val="19"/>
                <w:lang w:val="uk-UA"/>
              </w:rPr>
            </w:pPr>
            <w:r w:rsidRPr="00066A42">
              <w:rPr>
                <w:sz w:val="19"/>
                <w:szCs w:val="19"/>
                <w:lang w:val="uk-UA"/>
              </w:rPr>
              <w:t>Етап обробки зразка перед перенесенням зразка в одноразовий герметичний контейнер</w:t>
            </w:r>
          </w:p>
          <w:p w14:paraId="2B913CD4" w14:textId="77777777" w:rsidR="00670669" w:rsidRPr="00066A42" w:rsidRDefault="00670669" w:rsidP="004A2937">
            <w:pPr>
              <w:pStyle w:val="TableParagraph"/>
              <w:numPr>
                <w:ilvl w:val="0"/>
                <w:numId w:val="36"/>
              </w:numPr>
              <w:spacing w:before="56" w:line="252" w:lineRule="auto"/>
              <w:ind w:left="490"/>
              <w:rPr>
                <w:sz w:val="19"/>
                <w:szCs w:val="19"/>
                <w:lang w:val="uk-UA"/>
              </w:rPr>
            </w:pPr>
            <w:r w:rsidRPr="00066A42">
              <w:rPr>
                <w:sz w:val="19"/>
                <w:szCs w:val="19"/>
                <w:lang w:val="uk-UA"/>
              </w:rPr>
              <w:t>Виділення ДНК</w:t>
            </w:r>
          </w:p>
          <w:p w14:paraId="34D069E2" w14:textId="76315E6D" w:rsidR="00670669" w:rsidRPr="00066A42" w:rsidRDefault="00670669" w:rsidP="004A2937">
            <w:pPr>
              <w:pStyle w:val="TableParagraph"/>
              <w:numPr>
                <w:ilvl w:val="0"/>
                <w:numId w:val="36"/>
              </w:numPr>
              <w:spacing w:before="56" w:line="252" w:lineRule="auto"/>
              <w:ind w:left="490"/>
              <w:rPr>
                <w:sz w:val="19"/>
                <w:szCs w:val="19"/>
                <w:lang w:val="uk-UA"/>
              </w:rPr>
            </w:pPr>
            <w:r w:rsidRPr="00066A42">
              <w:rPr>
                <w:sz w:val="19"/>
                <w:szCs w:val="19"/>
                <w:lang w:val="uk-UA"/>
              </w:rPr>
              <w:t xml:space="preserve">Ампліфікація </w:t>
            </w:r>
            <w:r w:rsidR="00066A42">
              <w:rPr>
                <w:sz w:val="19"/>
                <w:szCs w:val="19"/>
                <w:lang w:val="uk-UA"/>
              </w:rPr>
              <w:t>методом</w:t>
            </w:r>
            <w:r w:rsidRPr="00066A42">
              <w:rPr>
                <w:sz w:val="19"/>
                <w:szCs w:val="19"/>
                <w:lang w:val="uk-UA"/>
              </w:rPr>
              <w:t xml:space="preserve"> ПЛР</w:t>
            </w:r>
          </w:p>
          <w:p w14:paraId="557B5845" w14:textId="42904C6B" w:rsidR="00E05B98" w:rsidRPr="00066A42" w:rsidRDefault="00670669" w:rsidP="004A2937">
            <w:pPr>
              <w:pStyle w:val="TableParagraph"/>
              <w:numPr>
                <w:ilvl w:val="0"/>
                <w:numId w:val="36"/>
              </w:numPr>
              <w:spacing w:before="56" w:line="252" w:lineRule="auto"/>
              <w:ind w:left="490"/>
              <w:rPr>
                <w:sz w:val="19"/>
                <w:szCs w:val="19"/>
                <w:lang w:val="uk-UA"/>
              </w:rPr>
            </w:pPr>
            <w:r w:rsidRPr="00066A42">
              <w:rPr>
                <w:sz w:val="19"/>
                <w:szCs w:val="19"/>
                <w:lang w:val="uk-UA"/>
              </w:rPr>
              <w:t>Візуалізація результатів</w:t>
            </w:r>
          </w:p>
        </w:tc>
      </w:tr>
      <w:tr w:rsidR="00E05B98" w:rsidRPr="00066A42" w14:paraId="264CD0CC" w14:textId="77777777" w:rsidTr="00670669">
        <w:trPr>
          <w:trHeight w:val="342"/>
        </w:trPr>
        <w:tc>
          <w:tcPr>
            <w:tcW w:w="3449" w:type="dxa"/>
            <w:gridSpan w:val="2"/>
            <w:tcBorders>
              <w:top w:val="single" w:sz="6" w:space="0" w:color="019648"/>
              <w:bottom w:val="single" w:sz="6" w:space="0" w:color="019648"/>
            </w:tcBorders>
          </w:tcPr>
          <w:p w14:paraId="3A0A9843" w14:textId="2A4F5760" w:rsidR="00E05B98" w:rsidRPr="00066A42" w:rsidRDefault="00066A42" w:rsidP="00066A42">
            <w:pPr>
              <w:pStyle w:val="TableParagraph"/>
              <w:spacing w:before="53" w:line="252" w:lineRule="auto"/>
              <w:ind w:left="132"/>
              <w:rPr>
                <w:b/>
                <w:sz w:val="19"/>
                <w:szCs w:val="19"/>
                <w:lang w:val="uk-UA"/>
              </w:rPr>
            </w:pPr>
            <w:r>
              <w:rPr>
                <w:b/>
                <w:sz w:val="19"/>
                <w:szCs w:val="19"/>
                <w:lang w:val="uk-UA"/>
              </w:rPr>
              <w:t>Спосіб</w:t>
            </w:r>
            <w:r w:rsidR="00670669" w:rsidRPr="00066A42">
              <w:rPr>
                <w:b/>
                <w:sz w:val="19"/>
                <w:szCs w:val="19"/>
                <w:lang w:val="uk-UA"/>
              </w:rPr>
              <w:t xml:space="preserve"> представлення даних                 про результати тесту</w:t>
            </w:r>
          </w:p>
        </w:tc>
        <w:tc>
          <w:tcPr>
            <w:tcW w:w="5895" w:type="dxa"/>
            <w:tcBorders>
              <w:top w:val="single" w:sz="6" w:space="0" w:color="019648"/>
              <w:bottom w:val="single" w:sz="6" w:space="0" w:color="019648"/>
            </w:tcBorders>
          </w:tcPr>
          <w:p w14:paraId="4380265F" w14:textId="7B4B254C" w:rsidR="00E05B98" w:rsidRPr="00066A42" w:rsidRDefault="00670669" w:rsidP="00066A42">
            <w:pPr>
              <w:pStyle w:val="TableParagraph"/>
              <w:spacing w:before="56" w:line="252" w:lineRule="auto"/>
              <w:rPr>
                <w:sz w:val="19"/>
                <w:szCs w:val="19"/>
                <w:lang w:val="uk-UA"/>
              </w:rPr>
            </w:pPr>
            <w:r w:rsidRPr="00066A42">
              <w:rPr>
                <w:w w:val="105"/>
                <w:sz w:val="19"/>
                <w:szCs w:val="19"/>
                <w:lang w:val="uk-UA"/>
              </w:rPr>
              <w:t>Автоматично або вручну</w:t>
            </w:r>
          </w:p>
        </w:tc>
      </w:tr>
      <w:tr w:rsidR="00066A42" w:rsidRPr="00D029FF" w14:paraId="1AFB383B" w14:textId="77777777" w:rsidTr="00670669">
        <w:trPr>
          <w:trHeight w:val="342"/>
        </w:trPr>
        <w:tc>
          <w:tcPr>
            <w:tcW w:w="3449" w:type="dxa"/>
            <w:gridSpan w:val="2"/>
            <w:tcBorders>
              <w:top w:val="single" w:sz="6" w:space="0" w:color="019648"/>
              <w:bottom w:val="single" w:sz="6" w:space="0" w:color="019648"/>
            </w:tcBorders>
          </w:tcPr>
          <w:p w14:paraId="39EFA285" w14:textId="22C5B9A6" w:rsidR="00066A42" w:rsidRDefault="00066A42" w:rsidP="00066A42">
            <w:pPr>
              <w:pStyle w:val="TableParagraph"/>
              <w:spacing w:before="53" w:line="252" w:lineRule="auto"/>
              <w:ind w:left="132"/>
              <w:rPr>
                <w:b/>
                <w:sz w:val="19"/>
                <w:szCs w:val="19"/>
                <w:lang w:val="uk-UA"/>
              </w:rPr>
            </w:pPr>
            <w:r w:rsidRPr="00066A42">
              <w:rPr>
                <w:b/>
                <w:sz w:val="19"/>
                <w:szCs w:val="19"/>
                <w:lang w:val="uk-UA"/>
              </w:rPr>
              <w:t>Заклад, у яких  використовують тест</w:t>
            </w:r>
          </w:p>
        </w:tc>
        <w:tc>
          <w:tcPr>
            <w:tcW w:w="5895" w:type="dxa"/>
            <w:tcBorders>
              <w:top w:val="single" w:sz="6" w:space="0" w:color="019648"/>
              <w:bottom w:val="single" w:sz="6" w:space="0" w:color="019648"/>
            </w:tcBorders>
          </w:tcPr>
          <w:p w14:paraId="393AAC92" w14:textId="6DA7D03A" w:rsidR="00066A42" w:rsidRPr="00066A42" w:rsidRDefault="00066A42" w:rsidP="00066A42">
            <w:pPr>
              <w:pStyle w:val="TableParagraph"/>
              <w:spacing w:before="56" w:line="252" w:lineRule="auto"/>
              <w:rPr>
                <w:w w:val="105"/>
                <w:sz w:val="19"/>
                <w:szCs w:val="19"/>
                <w:lang w:val="uk-UA"/>
              </w:rPr>
            </w:pPr>
            <w:r w:rsidRPr="00066A42">
              <w:rPr>
                <w:sz w:val="19"/>
                <w:szCs w:val="19"/>
                <w:lang w:val="uk-UA"/>
              </w:rPr>
              <w:t>Базова лабораторія (не потребує спеціальної інфраструктури)</w:t>
            </w:r>
          </w:p>
        </w:tc>
      </w:tr>
    </w:tbl>
    <w:p w14:paraId="09273DBF" w14:textId="0074E5C4" w:rsidR="00E05B98" w:rsidRPr="003C6DAE" w:rsidRDefault="00670669">
      <w:pPr>
        <w:spacing w:before="143" w:line="254" w:lineRule="auto"/>
        <w:ind w:left="567" w:right="140"/>
        <w:jc w:val="both"/>
        <w:rPr>
          <w:sz w:val="18"/>
          <w:lang w:val="uk-UA"/>
        </w:rPr>
      </w:pPr>
      <w:r w:rsidRPr="00670669">
        <w:rPr>
          <w:sz w:val="16"/>
          <w:szCs w:val="16"/>
          <w:lang w:val="uk-UA"/>
        </w:rPr>
        <w:t>ДНК: дезоксирибонуклеїнова кислота; рТАНК-НС: ручний тест ампліфікаці</w:t>
      </w:r>
      <w:r w:rsidR="00066A42">
        <w:rPr>
          <w:sz w:val="16"/>
          <w:szCs w:val="16"/>
          <w:lang w:val="uk-UA"/>
        </w:rPr>
        <w:t>ї</w:t>
      </w:r>
      <w:r w:rsidRPr="00670669">
        <w:rPr>
          <w:sz w:val="16"/>
          <w:szCs w:val="16"/>
          <w:lang w:val="uk-UA"/>
        </w:rPr>
        <w:t xml:space="preserve"> нуклеїнових кислот низької складності; ПЛР: полімеразна ланцюгова реакція; ТБ: туберкульоз</w:t>
      </w:r>
      <w:r w:rsidR="00B01E0C" w:rsidRPr="003C6DAE">
        <w:rPr>
          <w:sz w:val="18"/>
          <w:lang w:val="uk-UA"/>
        </w:rPr>
        <w:t>.</w:t>
      </w:r>
    </w:p>
    <w:p w14:paraId="41788CB9" w14:textId="77777777" w:rsidR="00E05B98" w:rsidRPr="003C6DAE" w:rsidRDefault="00E05B98">
      <w:pPr>
        <w:spacing w:line="254" w:lineRule="auto"/>
        <w:jc w:val="both"/>
        <w:rPr>
          <w:sz w:val="18"/>
          <w:lang w:val="uk-UA"/>
        </w:rPr>
        <w:sectPr w:rsidR="00E05B98" w:rsidRPr="003C6DAE" w:rsidSect="00670669">
          <w:pgSz w:w="11910" w:h="16840"/>
          <w:pgMar w:top="851" w:right="853" w:bottom="760" w:left="850" w:header="0" w:footer="573" w:gutter="0"/>
          <w:cols w:space="720"/>
        </w:sectPr>
      </w:pPr>
    </w:p>
    <w:p w14:paraId="01B24C68" w14:textId="7C8FDC56" w:rsidR="000B7239" w:rsidRDefault="000B7239" w:rsidP="000B7239">
      <w:pPr>
        <w:pStyle w:val="a3"/>
        <w:spacing w:before="173" w:line="269" w:lineRule="auto"/>
        <w:ind w:left="567" w:right="139"/>
        <w:jc w:val="both"/>
        <w:rPr>
          <w:spacing w:val="-4"/>
          <w:sz w:val="20"/>
          <w:szCs w:val="20"/>
          <w:lang w:val="uk-UA"/>
        </w:rPr>
      </w:pPr>
      <w:r w:rsidRPr="000B7239">
        <w:rPr>
          <w:spacing w:val="-4"/>
          <w:sz w:val="20"/>
          <w:szCs w:val="20"/>
          <w:lang w:val="uk-UA"/>
        </w:rPr>
        <w:lastRenderedPageBreak/>
        <w:t>Єдиним продуктом, дані для якого відповідають критеріям ефективності на основі класу для рТАНК-НС</w:t>
      </w:r>
      <w:r w:rsidR="00E5451B">
        <w:rPr>
          <w:spacing w:val="-4"/>
          <w:sz w:val="20"/>
          <w:szCs w:val="20"/>
          <w:lang w:val="uk-UA"/>
        </w:rPr>
        <w:t>,</w:t>
      </w:r>
      <w:r w:rsidRPr="000B7239">
        <w:rPr>
          <w:spacing w:val="-4"/>
          <w:sz w:val="20"/>
          <w:szCs w:val="20"/>
          <w:lang w:val="uk-UA"/>
        </w:rPr>
        <w:t xml:space="preserve"> є набір Loopamp для виявлення МБТК  (TB LAMP) (виробник </w:t>
      </w:r>
      <w:r w:rsidR="00066A42">
        <w:rPr>
          <w:spacing w:val="-4"/>
          <w:sz w:val="20"/>
          <w:szCs w:val="20"/>
          <w:lang w:val="uk-UA"/>
        </w:rPr>
        <w:t>«</w:t>
      </w:r>
      <w:r w:rsidRPr="000B7239">
        <w:rPr>
          <w:spacing w:val="-4"/>
          <w:sz w:val="20"/>
          <w:szCs w:val="20"/>
          <w:lang w:val="uk-UA"/>
        </w:rPr>
        <w:t>Eiken Chemical</w:t>
      </w:r>
      <w:r w:rsidR="00066A42">
        <w:rPr>
          <w:spacing w:val="-4"/>
          <w:sz w:val="20"/>
          <w:szCs w:val="20"/>
          <w:lang w:val="uk-UA"/>
        </w:rPr>
        <w:t>»</w:t>
      </w:r>
      <w:r w:rsidRPr="000B7239">
        <w:rPr>
          <w:spacing w:val="-4"/>
          <w:sz w:val="20"/>
          <w:szCs w:val="20"/>
          <w:lang w:val="uk-UA"/>
        </w:rPr>
        <w:t>, Токіо, Японія) для легеневого ТБ.</w:t>
      </w:r>
    </w:p>
    <w:p w14:paraId="57A607CB" w14:textId="69AB4E95" w:rsidR="00E05B98" w:rsidRPr="000B7239" w:rsidRDefault="000B7239" w:rsidP="000B7239">
      <w:pPr>
        <w:pStyle w:val="a3"/>
        <w:spacing w:before="173" w:line="269" w:lineRule="auto"/>
        <w:ind w:left="567" w:right="139"/>
        <w:jc w:val="both"/>
        <w:rPr>
          <w:sz w:val="20"/>
          <w:szCs w:val="20"/>
          <w:lang w:val="uk-UA"/>
        </w:rPr>
      </w:pPr>
      <w:r w:rsidRPr="000B7239">
        <w:rPr>
          <w:sz w:val="20"/>
          <w:szCs w:val="20"/>
          <w:lang w:val="uk-UA"/>
        </w:rPr>
        <w:t xml:space="preserve">Перед впровадженням цього діагностичного тесту необхідно отримати схвалення від національних регуляторних органів або інших відповідних органів. Неможливо провести екстраполяцію на інші </w:t>
      </w:r>
      <w:r w:rsidR="00E5451B">
        <w:rPr>
          <w:sz w:val="20"/>
          <w:szCs w:val="20"/>
          <w:lang w:val="uk-UA"/>
        </w:rPr>
        <w:t xml:space="preserve">тести </w:t>
      </w:r>
      <w:r w:rsidRPr="000B7239">
        <w:rPr>
          <w:sz w:val="20"/>
          <w:szCs w:val="20"/>
          <w:lang w:val="uk-UA"/>
        </w:rPr>
        <w:t>сп</w:t>
      </w:r>
      <w:r w:rsidR="00066A42">
        <w:rPr>
          <w:sz w:val="20"/>
          <w:szCs w:val="20"/>
          <w:lang w:val="uk-UA"/>
        </w:rPr>
        <w:t>е</w:t>
      </w:r>
      <w:r w:rsidRPr="000B7239">
        <w:rPr>
          <w:sz w:val="20"/>
          <w:szCs w:val="20"/>
          <w:lang w:val="uk-UA"/>
        </w:rPr>
        <w:t>цифічні для бренду, а будь-які нові технології в межах класу або нові індикатори для технології, що наразі включен</w:t>
      </w:r>
      <w:r w:rsidR="00066A42">
        <w:rPr>
          <w:sz w:val="20"/>
          <w:szCs w:val="20"/>
          <w:lang w:val="uk-UA"/>
        </w:rPr>
        <w:t>і</w:t>
      </w:r>
      <w:r w:rsidRPr="000B7239">
        <w:rPr>
          <w:sz w:val="20"/>
          <w:szCs w:val="20"/>
          <w:lang w:val="uk-UA"/>
        </w:rPr>
        <w:t xml:space="preserve"> до класу, повинні бути оцінені шляхом процедури прекваліфі</w:t>
      </w:r>
      <w:r w:rsidR="00507F6E">
        <w:rPr>
          <w:sz w:val="20"/>
          <w:szCs w:val="20"/>
          <w:lang w:val="uk-UA"/>
        </w:rPr>
        <w:t>ка</w:t>
      </w:r>
      <w:r w:rsidRPr="000B7239">
        <w:rPr>
          <w:sz w:val="20"/>
          <w:szCs w:val="20"/>
          <w:lang w:val="uk-UA"/>
        </w:rPr>
        <w:t xml:space="preserve">ції Глобальної програми </w:t>
      </w:r>
      <w:r w:rsidR="00066A42">
        <w:rPr>
          <w:sz w:val="20"/>
          <w:szCs w:val="20"/>
          <w:lang w:val="uk-UA"/>
        </w:rPr>
        <w:t xml:space="preserve">ВООЗ із </w:t>
      </w:r>
      <w:r w:rsidRPr="000B7239">
        <w:rPr>
          <w:sz w:val="20"/>
          <w:szCs w:val="20"/>
          <w:lang w:val="uk-UA"/>
        </w:rPr>
        <w:t>боротьби з ТБ, відповідно.</w:t>
      </w:r>
    </w:p>
    <w:p w14:paraId="1785CC8B" w14:textId="0DCB43C0" w:rsidR="00E05B98" w:rsidRPr="000B7239" w:rsidRDefault="000B7239" w:rsidP="000B7239">
      <w:pPr>
        <w:spacing w:before="171" w:line="269" w:lineRule="auto"/>
        <w:ind w:left="567" w:right="5"/>
        <w:jc w:val="both"/>
        <w:rPr>
          <w:sz w:val="20"/>
          <w:szCs w:val="20"/>
          <w:lang w:val="uk-UA"/>
        </w:rPr>
      </w:pPr>
      <w:r w:rsidRPr="000B7239">
        <w:rPr>
          <w:sz w:val="20"/>
          <w:szCs w:val="20"/>
          <w:lang w:val="uk-UA"/>
        </w:rPr>
        <w:t xml:space="preserve">Публікація </w:t>
      </w:r>
      <w:r w:rsidRPr="000B7239">
        <w:rPr>
          <w:i/>
          <w:iCs/>
          <w:sz w:val="20"/>
          <w:szCs w:val="20"/>
          <w:lang w:val="uk-UA"/>
        </w:rPr>
        <w:t>операційного посібника ВООЗ з туберкульозу. Модуль 3: Діагностика</w:t>
      </w:r>
      <w:r w:rsidRPr="000B7239">
        <w:rPr>
          <w:sz w:val="20"/>
          <w:szCs w:val="20"/>
          <w:lang w:val="uk-UA"/>
        </w:rPr>
        <w:t xml:space="preserve"> описує тести, включені в цей клас.</w:t>
      </w:r>
    </w:p>
    <w:p w14:paraId="0304A327" w14:textId="55321383" w:rsidR="00E05B98" w:rsidRPr="000B7239" w:rsidRDefault="000B7239">
      <w:pPr>
        <w:pStyle w:val="5"/>
        <w:spacing w:before="199"/>
        <w:rPr>
          <w:sz w:val="26"/>
          <w:szCs w:val="26"/>
          <w:lang w:val="uk-UA"/>
        </w:rPr>
      </w:pPr>
      <w:r>
        <w:rPr>
          <w:color w:val="019648"/>
          <w:spacing w:val="-2"/>
          <w:w w:val="105"/>
          <w:sz w:val="26"/>
          <w:szCs w:val="26"/>
          <w:lang w:val="uk-UA"/>
        </w:rPr>
        <w:t>Рекомендації</w:t>
      </w:r>
    </w:p>
    <w:p w14:paraId="63F3BA8D" w14:textId="77777777" w:rsidR="00E05B98" w:rsidRPr="003C6DAE" w:rsidRDefault="00E05B98">
      <w:pPr>
        <w:pStyle w:val="a3"/>
        <w:spacing w:before="10"/>
        <w:rPr>
          <w:sz w:val="16"/>
          <w:lang w:val="uk-UA"/>
        </w:rPr>
      </w:pPr>
    </w:p>
    <w:tbl>
      <w:tblPr>
        <w:tblStyle w:val="TableNormal"/>
        <w:tblW w:w="0" w:type="auto"/>
        <w:tblInd w:w="58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616"/>
      </w:tblGrid>
      <w:tr w:rsidR="00E05B98" w:rsidRPr="00D029FF" w14:paraId="0340933A" w14:textId="77777777" w:rsidTr="00D61C45">
        <w:trPr>
          <w:trHeight w:val="1714"/>
        </w:trPr>
        <w:tc>
          <w:tcPr>
            <w:tcW w:w="9616" w:type="dxa"/>
          </w:tcPr>
          <w:p w14:paraId="18489396" w14:textId="3280C09D" w:rsidR="00E05B98" w:rsidRPr="00827ABF" w:rsidRDefault="00B01E0C">
            <w:pPr>
              <w:pStyle w:val="TableParagraph"/>
              <w:spacing w:before="245" w:line="295" w:lineRule="auto"/>
              <w:ind w:left="680" w:right="267" w:hanging="397"/>
              <w:jc w:val="both"/>
              <w:rPr>
                <w:rFonts w:ascii="Arial"/>
                <w:b/>
                <w:sz w:val="20"/>
                <w:szCs w:val="20"/>
                <w:lang w:val="uk-UA"/>
              </w:rPr>
            </w:pPr>
            <w:r w:rsidRPr="00827ABF">
              <w:rPr>
                <w:rFonts w:ascii="Arial"/>
                <w:b/>
                <w:sz w:val="20"/>
                <w:szCs w:val="20"/>
                <w:lang w:val="uk-UA"/>
              </w:rPr>
              <w:t>6.</w:t>
            </w:r>
            <w:r w:rsidRPr="00827ABF">
              <w:rPr>
                <w:rFonts w:ascii="Arial"/>
                <w:b/>
                <w:spacing w:val="80"/>
                <w:w w:val="150"/>
                <w:sz w:val="20"/>
                <w:szCs w:val="20"/>
                <w:lang w:val="uk-UA"/>
              </w:rPr>
              <w:t xml:space="preserve"> </w:t>
            </w:r>
            <w:r w:rsidR="00827ABF" w:rsidRPr="00827ABF">
              <w:rPr>
                <w:rFonts w:ascii="Arial"/>
                <w:b/>
                <w:sz w:val="20"/>
                <w:szCs w:val="20"/>
                <w:lang w:val="uk-UA"/>
              </w:rPr>
              <w:t>Для</w:t>
            </w:r>
            <w:r w:rsidR="00827ABF" w:rsidRPr="00827ABF">
              <w:rPr>
                <w:rFonts w:ascii="Arial"/>
                <w:b/>
                <w:sz w:val="20"/>
                <w:szCs w:val="20"/>
                <w:lang w:val="uk-UA"/>
              </w:rPr>
              <w:t xml:space="preserve"> </w:t>
            </w:r>
            <w:r w:rsidR="00827ABF" w:rsidRPr="00827ABF">
              <w:rPr>
                <w:rFonts w:ascii="Arial"/>
                <w:b/>
                <w:sz w:val="20"/>
                <w:szCs w:val="20"/>
                <w:lang w:val="uk-UA"/>
              </w:rPr>
              <w:t>дорослих</w:t>
            </w:r>
            <w:r w:rsidR="00827ABF" w:rsidRPr="00827ABF">
              <w:rPr>
                <w:rFonts w:ascii="Arial"/>
                <w:b/>
                <w:sz w:val="20"/>
                <w:szCs w:val="20"/>
                <w:lang w:val="uk-UA"/>
              </w:rPr>
              <w:t xml:space="preserve"> </w:t>
            </w:r>
            <w:r w:rsidR="00827ABF" w:rsidRPr="00827ABF">
              <w:rPr>
                <w:rFonts w:ascii="Arial"/>
                <w:b/>
                <w:sz w:val="20"/>
                <w:szCs w:val="20"/>
                <w:lang w:val="uk-UA"/>
              </w:rPr>
              <w:t>і</w:t>
            </w:r>
            <w:r w:rsidR="00827ABF" w:rsidRPr="00827ABF">
              <w:rPr>
                <w:rFonts w:ascii="Arial"/>
                <w:b/>
                <w:sz w:val="20"/>
                <w:szCs w:val="20"/>
                <w:lang w:val="uk-UA"/>
              </w:rPr>
              <w:t xml:space="preserve"> </w:t>
            </w:r>
            <w:r w:rsidR="00827ABF" w:rsidRPr="00827ABF">
              <w:rPr>
                <w:rFonts w:ascii="Arial"/>
                <w:b/>
                <w:sz w:val="20"/>
                <w:szCs w:val="20"/>
                <w:lang w:val="uk-UA"/>
              </w:rPr>
              <w:t>підлітків</w:t>
            </w:r>
            <w:r w:rsidR="00827ABF" w:rsidRPr="00827ABF">
              <w:rPr>
                <w:rFonts w:ascii="Arial"/>
                <w:b/>
                <w:sz w:val="20"/>
                <w:szCs w:val="20"/>
                <w:lang w:val="uk-UA"/>
              </w:rPr>
              <w:t xml:space="preserve"> </w:t>
            </w:r>
            <w:r w:rsidR="00827ABF" w:rsidRPr="00827ABF">
              <w:rPr>
                <w:rFonts w:ascii="Arial"/>
                <w:b/>
                <w:sz w:val="20"/>
                <w:szCs w:val="20"/>
                <w:lang w:val="uk-UA"/>
              </w:rPr>
              <w:t>з</w:t>
            </w:r>
            <w:r w:rsidR="00827ABF" w:rsidRPr="00827ABF">
              <w:rPr>
                <w:rFonts w:ascii="Arial"/>
                <w:b/>
                <w:sz w:val="20"/>
                <w:szCs w:val="20"/>
                <w:lang w:val="uk-UA"/>
              </w:rPr>
              <w:t xml:space="preserve"> </w:t>
            </w:r>
            <w:r w:rsidR="00827ABF" w:rsidRPr="00827ABF">
              <w:rPr>
                <w:rFonts w:ascii="Arial"/>
                <w:b/>
                <w:sz w:val="20"/>
                <w:szCs w:val="20"/>
                <w:lang w:val="uk-UA"/>
              </w:rPr>
              <w:t>ознаками</w:t>
            </w:r>
            <w:r w:rsidR="00827ABF" w:rsidRPr="00827ABF">
              <w:rPr>
                <w:rFonts w:ascii="Arial"/>
                <w:b/>
                <w:sz w:val="20"/>
                <w:szCs w:val="20"/>
                <w:lang w:val="uk-UA"/>
              </w:rPr>
              <w:t xml:space="preserve"> </w:t>
            </w:r>
            <w:r w:rsidR="00827ABF" w:rsidRPr="00827ABF">
              <w:rPr>
                <w:rFonts w:ascii="Arial"/>
                <w:b/>
                <w:sz w:val="20"/>
                <w:szCs w:val="20"/>
                <w:lang w:val="uk-UA"/>
              </w:rPr>
              <w:t>або</w:t>
            </w:r>
            <w:r w:rsidR="00827ABF" w:rsidRPr="00827ABF">
              <w:rPr>
                <w:rFonts w:ascii="Arial"/>
                <w:b/>
                <w:sz w:val="20"/>
                <w:szCs w:val="20"/>
                <w:lang w:val="uk-UA"/>
              </w:rPr>
              <w:t xml:space="preserve"> </w:t>
            </w:r>
            <w:r w:rsidR="00827ABF" w:rsidRPr="00827ABF">
              <w:rPr>
                <w:rFonts w:ascii="Arial"/>
                <w:b/>
                <w:sz w:val="20"/>
                <w:szCs w:val="20"/>
                <w:lang w:val="uk-UA"/>
              </w:rPr>
              <w:t>симптомами</w:t>
            </w:r>
            <w:r w:rsidR="00827ABF" w:rsidRPr="00827ABF">
              <w:rPr>
                <w:rFonts w:ascii="Arial"/>
                <w:b/>
                <w:sz w:val="20"/>
                <w:szCs w:val="20"/>
                <w:lang w:val="uk-UA"/>
              </w:rPr>
              <w:t xml:space="preserve"> </w:t>
            </w:r>
            <w:r w:rsidR="00066A42">
              <w:rPr>
                <w:rFonts w:ascii="Arial"/>
                <w:b/>
                <w:sz w:val="20"/>
                <w:szCs w:val="20"/>
                <w:lang w:val="uk-UA"/>
              </w:rPr>
              <w:t>ТБ</w:t>
            </w:r>
            <w:r w:rsidR="00066A42">
              <w:rPr>
                <w:rFonts w:ascii="Arial"/>
                <w:b/>
                <w:sz w:val="20"/>
                <w:szCs w:val="20"/>
                <w:lang w:val="uk-UA"/>
              </w:rPr>
              <w:t xml:space="preserve"> </w:t>
            </w:r>
            <w:r w:rsidR="00827ABF" w:rsidRPr="00827ABF">
              <w:rPr>
                <w:rFonts w:ascii="Arial"/>
                <w:b/>
                <w:sz w:val="20"/>
                <w:szCs w:val="20"/>
                <w:lang w:val="uk-UA"/>
              </w:rPr>
              <w:t>або</w:t>
            </w:r>
            <w:r w:rsidR="00827ABF" w:rsidRPr="00827ABF">
              <w:rPr>
                <w:rFonts w:ascii="Arial"/>
                <w:b/>
                <w:sz w:val="20"/>
                <w:szCs w:val="20"/>
                <w:lang w:val="uk-UA"/>
              </w:rPr>
              <w:t xml:space="preserve"> </w:t>
            </w:r>
            <w:r w:rsidR="00827ABF" w:rsidRPr="00827ABF">
              <w:rPr>
                <w:rFonts w:ascii="Arial"/>
                <w:b/>
                <w:sz w:val="20"/>
                <w:szCs w:val="20"/>
                <w:lang w:val="uk-UA"/>
              </w:rPr>
              <w:t>з</w:t>
            </w:r>
            <w:r w:rsidR="00827ABF" w:rsidRPr="00827ABF">
              <w:rPr>
                <w:rFonts w:ascii="Arial"/>
                <w:b/>
                <w:sz w:val="20"/>
                <w:szCs w:val="20"/>
                <w:lang w:val="uk-UA"/>
              </w:rPr>
              <w:t xml:space="preserve"> </w:t>
            </w:r>
            <w:r w:rsidR="00827ABF" w:rsidRPr="00827ABF">
              <w:rPr>
                <w:rFonts w:ascii="Arial"/>
                <w:b/>
                <w:sz w:val="20"/>
                <w:szCs w:val="20"/>
                <w:lang w:val="uk-UA"/>
              </w:rPr>
              <w:t>позитивним</w:t>
            </w:r>
            <w:r w:rsidR="00827ABF" w:rsidRPr="00827ABF">
              <w:rPr>
                <w:rFonts w:ascii="Arial"/>
                <w:b/>
                <w:sz w:val="20"/>
                <w:szCs w:val="20"/>
                <w:lang w:val="uk-UA"/>
              </w:rPr>
              <w:t xml:space="preserve"> </w:t>
            </w:r>
            <w:r w:rsidR="00827ABF" w:rsidRPr="00827ABF">
              <w:rPr>
                <w:rFonts w:ascii="Arial"/>
                <w:b/>
                <w:sz w:val="20"/>
                <w:szCs w:val="20"/>
                <w:lang w:val="uk-UA"/>
              </w:rPr>
              <w:t>результатом</w:t>
            </w:r>
            <w:r w:rsidR="00827ABF" w:rsidRPr="00827ABF">
              <w:rPr>
                <w:rFonts w:ascii="Arial"/>
                <w:b/>
                <w:sz w:val="20"/>
                <w:szCs w:val="20"/>
                <w:lang w:val="uk-UA"/>
              </w:rPr>
              <w:t xml:space="preserve"> </w:t>
            </w:r>
            <w:r w:rsidR="00827ABF" w:rsidRPr="00827ABF">
              <w:rPr>
                <w:rFonts w:ascii="Arial"/>
                <w:b/>
                <w:sz w:val="20"/>
                <w:szCs w:val="20"/>
                <w:lang w:val="uk-UA"/>
              </w:rPr>
              <w:t>скринінгу</w:t>
            </w:r>
            <w:r w:rsidR="00827ABF" w:rsidRPr="00827ABF">
              <w:rPr>
                <w:rFonts w:ascii="Arial"/>
                <w:b/>
                <w:sz w:val="20"/>
                <w:szCs w:val="20"/>
                <w:lang w:val="uk-UA"/>
              </w:rPr>
              <w:t xml:space="preserve"> </w:t>
            </w:r>
            <w:r w:rsidR="00827ABF" w:rsidRPr="00827ABF">
              <w:rPr>
                <w:rFonts w:ascii="Arial"/>
                <w:b/>
                <w:sz w:val="20"/>
                <w:szCs w:val="20"/>
                <w:lang w:val="uk-UA"/>
              </w:rPr>
              <w:t>на</w:t>
            </w:r>
            <w:r w:rsidR="00827ABF" w:rsidRPr="00827ABF">
              <w:rPr>
                <w:rFonts w:ascii="Arial"/>
                <w:b/>
                <w:sz w:val="20"/>
                <w:szCs w:val="20"/>
                <w:lang w:val="uk-UA"/>
              </w:rPr>
              <w:t xml:space="preserve"> </w:t>
            </w:r>
            <w:r w:rsidR="00827ABF" w:rsidRPr="00827ABF">
              <w:rPr>
                <w:rFonts w:ascii="Arial"/>
                <w:b/>
                <w:sz w:val="20"/>
                <w:szCs w:val="20"/>
                <w:lang w:val="uk-UA"/>
              </w:rPr>
              <w:t>легеневий</w:t>
            </w:r>
            <w:r w:rsidR="00827ABF" w:rsidRPr="00827ABF">
              <w:rPr>
                <w:rFonts w:ascii="Arial"/>
                <w:b/>
                <w:sz w:val="20"/>
                <w:szCs w:val="20"/>
                <w:lang w:val="uk-UA"/>
              </w:rPr>
              <w:t xml:space="preserve"> </w:t>
            </w:r>
            <w:r w:rsidR="00827ABF" w:rsidRPr="00827ABF">
              <w:rPr>
                <w:rFonts w:ascii="Arial"/>
                <w:b/>
                <w:sz w:val="20"/>
                <w:szCs w:val="20"/>
                <w:lang w:val="uk-UA"/>
              </w:rPr>
              <w:t>ТБ</w:t>
            </w:r>
            <w:r w:rsidR="00827ABF" w:rsidRPr="00827ABF">
              <w:rPr>
                <w:rFonts w:ascii="Arial"/>
                <w:b/>
                <w:sz w:val="20"/>
                <w:szCs w:val="20"/>
                <w:lang w:val="uk-UA"/>
              </w:rPr>
              <w:t xml:space="preserve"> </w:t>
            </w:r>
            <w:r w:rsidR="00827ABF" w:rsidRPr="00827ABF">
              <w:rPr>
                <w:rFonts w:ascii="Arial"/>
                <w:b/>
                <w:sz w:val="20"/>
                <w:szCs w:val="20"/>
                <w:lang w:val="uk-UA"/>
              </w:rPr>
              <w:t>слід</w:t>
            </w:r>
            <w:r w:rsidR="00827ABF" w:rsidRPr="00827ABF">
              <w:rPr>
                <w:rFonts w:ascii="Arial"/>
                <w:b/>
                <w:sz w:val="20"/>
                <w:szCs w:val="20"/>
                <w:lang w:val="uk-UA"/>
              </w:rPr>
              <w:t xml:space="preserve"> </w:t>
            </w:r>
            <w:r w:rsidR="00827ABF" w:rsidRPr="00827ABF">
              <w:rPr>
                <w:rFonts w:ascii="Arial"/>
                <w:b/>
                <w:sz w:val="20"/>
                <w:szCs w:val="20"/>
                <w:lang w:val="uk-UA"/>
              </w:rPr>
              <w:t>використовувати</w:t>
            </w:r>
            <w:r w:rsidR="00827ABF" w:rsidRPr="00827ABF">
              <w:rPr>
                <w:rFonts w:ascii="Arial"/>
                <w:b/>
                <w:sz w:val="20"/>
                <w:szCs w:val="20"/>
                <w:lang w:val="uk-UA"/>
              </w:rPr>
              <w:t xml:space="preserve"> </w:t>
            </w:r>
            <w:r w:rsidR="00827ABF" w:rsidRPr="00827ABF">
              <w:rPr>
                <w:rFonts w:ascii="Arial"/>
                <w:b/>
                <w:sz w:val="20"/>
                <w:szCs w:val="20"/>
                <w:lang w:val="uk-UA"/>
              </w:rPr>
              <w:t>ручні</w:t>
            </w:r>
            <w:r w:rsidR="00827ABF" w:rsidRPr="00827ABF">
              <w:rPr>
                <w:rFonts w:ascii="Arial"/>
                <w:b/>
                <w:sz w:val="20"/>
                <w:szCs w:val="20"/>
                <w:lang w:val="uk-UA"/>
              </w:rPr>
              <w:t xml:space="preserve"> </w:t>
            </w:r>
            <w:r w:rsidR="00827ABF" w:rsidRPr="00827ABF">
              <w:rPr>
                <w:rFonts w:ascii="Arial"/>
                <w:b/>
                <w:sz w:val="20"/>
                <w:szCs w:val="20"/>
                <w:lang w:val="uk-UA"/>
              </w:rPr>
              <w:t>ТАНК</w:t>
            </w:r>
            <w:r w:rsidR="00827ABF" w:rsidRPr="00827ABF">
              <w:rPr>
                <w:rFonts w:ascii="Arial"/>
                <w:b/>
                <w:sz w:val="20"/>
                <w:szCs w:val="20"/>
                <w:lang w:val="uk-UA"/>
              </w:rPr>
              <w:t xml:space="preserve"> </w:t>
            </w:r>
            <w:r w:rsidR="00827ABF" w:rsidRPr="00827ABF">
              <w:rPr>
                <w:rFonts w:ascii="Arial"/>
                <w:b/>
                <w:sz w:val="20"/>
                <w:szCs w:val="20"/>
                <w:lang w:val="uk-UA"/>
              </w:rPr>
              <w:t>низької</w:t>
            </w:r>
            <w:r w:rsidR="00827ABF" w:rsidRPr="00827ABF">
              <w:rPr>
                <w:rFonts w:ascii="Arial"/>
                <w:b/>
                <w:sz w:val="20"/>
                <w:szCs w:val="20"/>
                <w:lang w:val="uk-UA"/>
              </w:rPr>
              <w:t xml:space="preserve"> </w:t>
            </w:r>
            <w:r w:rsidR="00827ABF" w:rsidRPr="00827ABF">
              <w:rPr>
                <w:rFonts w:ascii="Arial"/>
                <w:b/>
                <w:sz w:val="20"/>
                <w:szCs w:val="20"/>
                <w:lang w:val="uk-UA"/>
              </w:rPr>
              <w:t>складності</w:t>
            </w:r>
            <w:r w:rsidR="00827ABF" w:rsidRPr="00827ABF">
              <w:rPr>
                <w:rFonts w:ascii="Arial"/>
                <w:b/>
                <w:sz w:val="20"/>
                <w:szCs w:val="20"/>
                <w:lang w:val="uk-UA"/>
              </w:rPr>
              <w:t xml:space="preserve"> </w:t>
            </w:r>
            <w:r w:rsidR="00827ABF" w:rsidRPr="00827ABF">
              <w:rPr>
                <w:rFonts w:ascii="Arial"/>
                <w:b/>
                <w:sz w:val="20"/>
                <w:szCs w:val="20"/>
                <w:lang w:val="uk-UA"/>
              </w:rPr>
              <w:t>для</w:t>
            </w:r>
            <w:r w:rsidR="00827ABF" w:rsidRPr="00827ABF">
              <w:rPr>
                <w:rFonts w:ascii="Arial"/>
                <w:b/>
                <w:sz w:val="20"/>
                <w:szCs w:val="20"/>
                <w:lang w:val="uk-UA"/>
              </w:rPr>
              <w:t xml:space="preserve"> </w:t>
            </w:r>
            <w:r w:rsidR="00827ABF" w:rsidRPr="00827ABF">
              <w:rPr>
                <w:rFonts w:ascii="Arial"/>
                <w:b/>
                <w:sz w:val="20"/>
                <w:szCs w:val="20"/>
                <w:lang w:val="uk-UA"/>
              </w:rPr>
              <w:t>дослідження</w:t>
            </w:r>
            <w:r w:rsidR="00827ABF" w:rsidRPr="00827ABF">
              <w:rPr>
                <w:rFonts w:ascii="Arial"/>
                <w:b/>
                <w:sz w:val="20"/>
                <w:szCs w:val="20"/>
                <w:lang w:val="uk-UA"/>
              </w:rPr>
              <w:t xml:space="preserve"> </w:t>
            </w:r>
            <w:r w:rsidR="00827ABF" w:rsidRPr="00827ABF">
              <w:rPr>
                <w:rFonts w:ascii="Arial"/>
                <w:b/>
                <w:sz w:val="20"/>
                <w:szCs w:val="20"/>
                <w:lang w:val="uk-UA"/>
              </w:rPr>
              <w:t>зразків</w:t>
            </w:r>
            <w:r w:rsidR="00827ABF" w:rsidRPr="00827ABF">
              <w:rPr>
                <w:rFonts w:ascii="Arial"/>
                <w:b/>
                <w:sz w:val="20"/>
                <w:szCs w:val="20"/>
                <w:lang w:val="uk-UA"/>
              </w:rPr>
              <w:t xml:space="preserve"> </w:t>
            </w:r>
            <w:r w:rsidR="00827ABF" w:rsidRPr="00827ABF">
              <w:rPr>
                <w:rFonts w:ascii="Arial"/>
                <w:b/>
                <w:sz w:val="20"/>
                <w:szCs w:val="20"/>
                <w:lang w:val="uk-UA"/>
              </w:rPr>
              <w:t>із</w:t>
            </w:r>
            <w:r w:rsidR="00827ABF" w:rsidRPr="00827ABF">
              <w:rPr>
                <w:rFonts w:ascii="Arial"/>
                <w:b/>
                <w:sz w:val="20"/>
                <w:szCs w:val="20"/>
                <w:lang w:val="uk-UA"/>
              </w:rPr>
              <w:t xml:space="preserve"> </w:t>
            </w:r>
            <w:r w:rsidR="00827ABF" w:rsidRPr="00827ABF">
              <w:rPr>
                <w:rFonts w:ascii="Arial"/>
                <w:b/>
                <w:sz w:val="20"/>
                <w:szCs w:val="20"/>
                <w:lang w:val="uk-UA"/>
              </w:rPr>
              <w:t>дихальних</w:t>
            </w:r>
            <w:r w:rsidR="00827ABF" w:rsidRPr="00827ABF">
              <w:rPr>
                <w:rFonts w:ascii="Arial"/>
                <w:b/>
                <w:sz w:val="20"/>
                <w:szCs w:val="20"/>
                <w:lang w:val="uk-UA"/>
              </w:rPr>
              <w:t xml:space="preserve"> </w:t>
            </w:r>
            <w:r w:rsidR="00827ABF" w:rsidRPr="00827ABF">
              <w:rPr>
                <w:rFonts w:ascii="Arial"/>
                <w:b/>
                <w:sz w:val="20"/>
                <w:szCs w:val="20"/>
                <w:lang w:val="uk-UA"/>
              </w:rPr>
              <w:t>шляхів</w:t>
            </w:r>
            <w:r w:rsidR="00827ABF" w:rsidRPr="00827ABF">
              <w:rPr>
                <w:rFonts w:ascii="Arial"/>
                <w:b/>
                <w:sz w:val="20"/>
                <w:szCs w:val="20"/>
                <w:lang w:val="uk-UA"/>
              </w:rPr>
              <w:t xml:space="preserve"> </w:t>
            </w:r>
            <w:r w:rsidR="00827ABF" w:rsidRPr="00827ABF">
              <w:rPr>
                <w:rFonts w:ascii="Arial"/>
                <w:b/>
                <w:sz w:val="20"/>
                <w:szCs w:val="20"/>
                <w:lang w:val="uk-UA"/>
              </w:rPr>
              <w:t>в</w:t>
            </w:r>
            <w:r w:rsidR="00827ABF" w:rsidRPr="00827ABF">
              <w:rPr>
                <w:rFonts w:ascii="Arial"/>
                <w:b/>
                <w:sz w:val="20"/>
                <w:szCs w:val="20"/>
                <w:lang w:val="uk-UA"/>
              </w:rPr>
              <w:t xml:space="preserve"> </w:t>
            </w:r>
            <w:r w:rsidR="00827ABF" w:rsidRPr="00827ABF">
              <w:rPr>
                <w:rFonts w:ascii="Arial"/>
                <w:b/>
                <w:sz w:val="20"/>
                <w:szCs w:val="20"/>
                <w:lang w:val="uk-UA"/>
              </w:rPr>
              <w:t>якості</w:t>
            </w:r>
            <w:r w:rsidR="00827ABF" w:rsidRPr="00827ABF">
              <w:rPr>
                <w:rFonts w:ascii="Arial"/>
                <w:b/>
                <w:sz w:val="20"/>
                <w:szCs w:val="20"/>
                <w:lang w:val="uk-UA"/>
              </w:rPr>
              <w:t xml:space="preserve"> </w:t>
            </w:r>
            <w:r w:rsidR="00827ABF" w:rsidRPr="00827ABF">
              <w:rPr>
                <w:rFonts w:ascii="Arial"/>
                <w:b/>
                <w:sz w:val="20"/>
                <w:szCs w:val="20"/>
                <w:lang w:val="uk-UA"/>
              </w:rPr>
              <w:t>початкових</w:t>
            </w:r>
            <w:r w:rsidR="00827ABF" w:rsidRPr="00827ABF">
              <w:rPr>
                <w:rFonts w:ascii="Arial"/>
                <w:b/>
                <w:sz w:val="20"/>
                <w:szCs w:val="20"/>
                <w:lang w:val="uk-UA"/>
              </w:rPr>
              <w:t xml:space="preserve"> </w:t>
            </w:r>
            <w:r w:rsidR="00827ABF" w:rsidRPr="00827ABF">
              <w:rPr>
                <w:rFonts w:ascii="Arial"/>
                <w:b/>
                <w:sz w:val="20"/>
                <w:szCs w:val="20"/>
                <w:lang w:val="uk-UA"/>
              </w:rPr>
              <w:t>діагностичних</w:t>
            </w:r>
            <w:r w:rsidR="00827ABF" w:rsidRPr="00827ABF">
              <w:rPr>
                <w:rFonts w:ascii="Arial"/>
                <w:b/>
                <w:sz w:val="20"/>
                <w:szCs w:val="20"/>
                <w:lang w:val="uk-UA"/>
              </w:rPr>
              <w:t xml:space="preserve"> </w:t>
            </w:r>
            <w:r w:rsidR="00827ABF" w:rsidRPr="00827ABF">
              <w:rPr>
                <w:rFonts w:ascii="Arial"/>
                <w:b/>
                <w:sz w:val="20"/>
                <w:szCs w:val="20"/>
                <w:lang w:val="uk-UA"/>
              </w:rPr>
              <w:t>тестів</w:t>
            </w:r>
            <w:r w:rsidR="00827ABF" w:rsidRPr="00827ABF">
              <w:rPr>
                <w:rFonts w:ascii="Arial"/>
                <w:b/>
                <w:sz w:val="20"/>
                <w:szCs w:val="20"/>
                <w:lang w:val="uk-UA"/>
              </w:rPr>
              <w:t xml:space="preserve"> </w:t>
            </w:r>
            <w:r w:rsidR="00827ABF" w:rsidRPr="00827ABF">
              <w:rPr>
                <w:rFonts w:ascii="Arial"/>
                <w:b/>
                <w:sz w:val="20"/>
                <w:szCs w:val="20"/>
                <w:lang w:val="uk-UA"/>
              </w:rPr>
              <w:t>на</w:t>
            </w:r>
            <w:r w:rsidR="00827ABF" w:rsidRPr="00827ABF">
              <w:rPr>
                <w:rFonts w:ascii="Arial"/>
                <w:b/>
                <w:sz w:val="20"/>
                <w:szCs w:val="20"/>
                <w:lang w:val="uk-UA"/>
              </w:rPr>
              <w:t xml:space="preserve"> </w:t>
            </w:r>
            <w:r w:rsidR="00827ABF" w:rsidRPr="00827ABF">
              <w:rPr>
                <w:rFonts w:ascii="Arial"/>
                <w:b/>
                <w:sz w:val="20"/>
                <w:szCs w:val="20"/>
                <w:lang w:val="uk-UA"/>
              </w:rPr>
              <w:t>ТБ</w:t>
            </w:r>
            <w:r w:rsidR="00827ABF" w:rsidRPr="00827ABF">
              <w:rPr>
                <w:rFonts w:ascii="Arial"/>
                <w:b/>
                <w:sz w:val="20"/>
                <w:szCs w:val="20"/>
                <w:lang w:val="uk-UA"/>
              </w:rPr>
              <w:t xml:space="preserve"> </w:t>
            </w:r>
            <w:r w:rsidR="00827ABF" w:rsidRPr="00827ABF">
              <w:rPr>
                <w:rFonts w:ascii="Arial"/>
                <w:b/>
                <w:sz w:val="20"/>
                <w:szCs w:val="20"/>
                <w:lang w:val="uk-UA"/>
              </w:rPr>
              <w:t>замість</w:t>
            </w:r>
            <w:r w:rsidR="00827ABF" w:rsidRPr="00827ABF">
              <w:rPr>
                <w:rFonts w:ascii="Arial"/>
                <w:b/>
                <w:sz w:val="20"/>
                <w:szCs w:val="20"/>
                <w:lang w:val="uk-UA"/>
              </w:rPr>
              <w:t xml:space="preserve"> </w:t>
            </w:r>
            <w:r w:rsidR="00827ABF" w:rsidRPr="00827ABF">
              <w:rPr>
                <w:rFonts w:ascii="Arial"/>
                <w:b/>
                <w:sz w:val="20"/>
                <w:szCs w:val="20"/>
                <w:lang w:val="uk-UA"/>
              </w:rPr>
              <w:t>мікроскопії</w:t>
            </w:r>
            <w:r w:rsidR="00827ABF" w:rsidRPr="00827ABF">
              <w:rPr>
                <w:rFonts w:ascii="Arial"/>
                <w:b/>
                <w:sz w:val="20"/>
                <w:szCs w:val="20"/>
                <w:lang w:val="uk-UA"/>
              </w:rPr>
              <w:t xml:space="preserve"> </w:t>
            </w:r>
            <w:r w:rsidR="00827ABF" w:rsidRPr="00827ABF">
              <w:rPr>
                <w:rFonts w:ascii="Arial"/>
                <w:b/>
                <w:sz w:val="20"/>
                <w:szCs w:val="20"/>
                <w:lang w:val="uk-UA"/>
              </w:rPr>
              <w:t>мазка</w:t>
            </w:r>
            <w:r w:rsidR="00827ABF" w:rsidRPr="00827ABF">
              <w:rPr>
                <w:rFonts w:ascii="Arial"/>
                <w:b/>
                <w:sz w:val="20"/>
                <w:szCs w:val="20"/>
                <w:lang w:val="uk-UA"/>
              </w:rPr>
              <w:t xml:space="preserve"> </w:t>
            </w:r>
            <w:r w:rsidR="00827ABF" w:rsidRPr="00827ABF">
              <w:rPr>
                <w:rFonts w:ascii="Arial"/>
                <w:b/>
                <w:sz w:val="20"/>
                <w:szCs w:val="20"/>
                <w:lang w:val="uk-UA"/>
              </w:rPr>
              <w:t>або</w:t>
            </w:r>
            <w:r w:rsidR="00827ABF" w:rsidRPr="00827ABF">
              <w:rPr>
                <w:rFonts w:ascii="Arial"/>
                <w:b/>
                <w:sz w:val="20"/>
                <w:szCs w:val="20"/>
                <w:lang w:val="uk-UA"/>
              </w:rPr>
              <w:t xml:space="preserve"> </w:t>
            </w:r>
            <w:r w:rsidR="00827ABF" w:rsidRPr="00827ABF">
              <w:rPr>
                <w:rFonts w:ascii="Arial"/>
                <w:b/>
                <w:sz w:val="20"/>
                <w:szCs w:val="20"/>
                <w:lang w:val="uk-UA"/>
              </w:rPr>
              <w:t>бакпосіву</w:t>
            </w:r>
            <w:r w:rsidR="00827ABF" w:rsidRPr="00827ABF">
              <w:rPr>
                <w:rFonts w:ascii="Arial"/>
                <w:b/>
                <w:sz w:val="20"/>
                <w:szCs w:val="20"/>
                <w:lang w:val="uk-UA"/>
              </w:rPr>
              <w:t>.</w:t>
            </w:r>
          </w:p>
          <w:p w14:paraId="33529C3D" w14:textId="770EA1BB" w:rsidR="00E05B98" w:rsidRPr="00827ABF" w:rsidRDefault="00B01E0C">
            <w:pPr>
              <w:pStyle w:val="TableParagraph"/>
              <w:spacing w:before="54"/>
              <w:ind w:left="680"/>
              <w:jc w:val="both"/>
              <w:rPr>
                <w:rFonts w:ascii="Arial"/>
                <w:i/>
                <w:sz w:val="20"/>
                <w:szCs w:val="20"/>
                <w:lang w:val="uk-UA"/>
              </w:rPr>
            </w:pPr>
            <w:r w:rsidRPr="00827ABF">
              <w:rPr>
                <w:rFonts w:ascii="Arial"/>
                <w:i/>
                <w:sz w:val="20"/>
                <w:szCs w:val="20"/>
                <w:lang w:val="uk-UA"/>
              </w:rPr>
              <w:t>(</w:t>
            </w:r>
            <w:r w:rsidR="00827ABF" w:rsidRPr="00827ABF">
              <w:rPr>
                <w:rFonts w:ascii="Arial"/>
                <w:i/>
                <w:sz w:val="20"/>
                <w:szCs w:val="20"/>
                <w:lang w:val="uk-UA"/>
              </w:rPr>
              <w:t>Настійна</w:t>
            </w:r>
            <w:r w:rsidR="00827ABF" w:rsidRPr="00827ABF">
              <w:rPr>
                <w:rFonts w:ascii="Arial"/>
                <w:i/>
                <w:sz w:val="20"/>
                <w:szCs w:val="20"/>
                <w:lang w:val="uk-UA"/>
              </w:rPr>
              <w:t xml:space="preserve"> </w:t>
            </w:r>
            <w:r w:rsidR="00827ABF" w:rsidRPr="00827ABF">
              <w:rPr>
                <w:rFonts w:ascii="Arial"/>
                <w:i/>
                <w:sz w:val="20"/>
                <w:szCs w:val="20"/>
                <w:lang w:val="uk-UA"/>
              </w:rPr>
              <w:t>рекомендація</w:t>
            </w:r>
            <w:r w:rsidRPr="00827ABF">
              <w:rPr>
                <w:rFonts w:ascii="Arial"/>
                <w:i/>
                <w:sz w:val="20"/>
                <w:szCs w:val="20"/>
                <w:lang w:val="uk-UA"/>
              </w:rPr>
              <w:t>,</w:t>
            </w:r>
            <w:r w:rsidRPr="00827ABF">
              <w:rPr>
                <w:rFonts w:ascii="Arial"/>
                <w:i/>
                <w:spacing w:val="-2"/>
                <w:sz w:val="20"/>
                <w:szCs w:val="20"/>
                <w:lang w:val="uk-UA"/>
              </w:rPr>
              <w:t xml:space="preserve"> </w:t>
            </w:r>
            <w:r w:rsidR="00827ABF" w:rsidRPr="00827ABF">
              <w:rPr>
                <w:rFonts w:ascii="Arial"/>
                <w:i/>
                <w:sz w:val="20"/>
                <w:szCs w:val="20"/>
                <w:lang w:val="uk-UA"/>
              </w:rPr>
              <w:t>висок</w:t>
            </w:r>
            <w:r w:rsidR="00066A42">
              <w:rPr>
                <w:rFonts w:ascii="Arial"/>
                <w:i/>
                <w:sz w:val="20"/>
                <w:szCs w:val="20"/>
                <w:lang w:val="uk-UA"/>
              </w:rPr>
              <w:t>ий</w:t>
            </w:r>
            <w:r w:rsidR="00066A42">
              <w:rPr>
                <w:rFonts w:ascii="Arial"/>
                <w:i/>
                <w:sz w:val="20"/>
                <w:szCs w:val="20"/>
                <w:lang w:val="uk-UA"/>
              </w:rPr>
              <w:t xml:space="preserve"> </w:t>
            </w:r>
            <w:r w:rsidR="00066A42">
              <w:rPr>
                <w:rFonts w:ascii="Arial"/>
                <w:i/>
                <w:sz w:val="20"/>
                <w:szCs w:val="20"/>
                <w:lang w:val="uk-UA"/>
              </w:rPr>
              <w:t>ступінь</w:t>
            </w:r>
            <w:r w:rsidR="00827ABF" w:rsidRPr="00827ABF">
              <w:rPr>
                <w:rFonts w:ascii="Arial"/>
                <w:i/>
                <w:sz w:val="20"/>
                <w:szCs w:val="20"/>
                <w:lang w:val="uk-UA"/>
              </w:rPr>
              <w:t xml:space="preserve"> </w:t>
            </w:r>
            <w:r w:rsidR="00827ABF" w:rsidRPr="00827ABF">
              <w:rPr>
                <w:rFonts w:ascii="Arial"/>
                <w:i/>
                <w:sz w:val="20"/>
                <w:szCs w:val="20"/>
                <w:lang w:val="uk-UA"/>
              </w:rPr>
              <w:t>достовірн</w:t>
            </w:r>
            <w:r w:rsidR="00066A42">
              <w:rPr>
                <w:rFonts w:ascii="Arial"/>
                <w:i/>
                <w:sz w:val="20"/>
                <w:szCs w:val="20"/>
                <w:lang w:val="uk-UA"/>
              </w:rPr>
              <w:t>ості</w:t>
            </w:r>
            <w:r w:rsidR="00827ABF" w:rsidRPr="00827ABF">
              <w:rPr>
                <w:rFonts w:ascii="Arial"/>
                <w:i/>
                <w:sz w:val="20"/>
                <w:szCs w:val="20"/>
                <w:lang w:val="uk-UA"/>
              </w:rPr>
              <w:t xml:space="preserve"> </w:t>
            </w:r>
            <w:r w:rsidR="00827ABF" w:rsidRPr="00827ABF">
              <w:rPr>
                <w:rFonts w:ascii="Arial"/>
                <w:i/>
                <w:sz w:val="20"/>
                <w:szCs w:val="20"/>
                <w:lang w:val="uk-UA"/>
              </w:rPr>
              <w:t>доказів</w:t>
            </w:r>
            <w:r w:rsidRPr="00827ABF">
              <w:rPr>
                <w:rFonts w:ascii="Arial"/>
                <w:i/>
                <w:spacing w:val="-2"/>
                <w:sz w:val="20"/>
                <w:szCs w:val="20"/>
                <w:lang w:val="uk-UA"/>
              </w:rPr>
              <w:t>)</w:t>
            </w:r>
          </w:p>
        </w:tc>
      </w:tr>
    </w:tbl>
    <w:p w14:paraId="5F5CBAFC" w14:textId="68749C83" w:rsidR="00E05B98" w:rsidRPr="00D61C45" w:rsidRDefault="00DA5A55">
      <w:pPr>
        <w:pStyle w:val="6"/>
        <w:spacing w:before="210"/>
        <w:rPr>
          <w:sz w:val="20"/>
          <w:szCs w:val="20"/>
          <w:lang w:val="ru-RU"/>
        </w:rPr>
      </w:pPr>
      <w:r>
        <w:rPr>
          <w:spacing w:val="-2"/>
          <w:sz w:val="20"/>
          <w:szCs w:val="20"/>
          <w:lang w:val="uk-UA"/>
        </w:rPr>
        <w:t>Примітки</w:t>
      </w:r>
    </w:p>
    <w:p w14:paraId="037E481E" w14:textId="5748ABBF" w:rsidR="00E05B98" w:rsidRPr="005863CF" w:rsidRDefault="00827ABF" w:rsidP="004A2937">
      <w:pPr>
        <w:pStyle w:val="a4"/>
        <w:numPr>
          <w:ilvl w:val="3"/>
          <w:numId w:val="31"/>
        </w:numPr>
        <w:tabs>
          <w:tab w:val="left" w:pos="850"/>
        </w:tabs>
        <w:spacing w:before="226" w:line="297" w:lineRule="auto"/>
        <w:ind w:right="139" w:hanging="284"/>
        <w:rPr>
          <w:sz w:val="20"/>
          <w:szCs w:val="20"/>
          <w:lang w:val="uk-UA"/>
        </w:rPr>
      </w:pPr>
      <w:r w:rsidRPr="005863CF">
        <w:rPr>
          <w:sz w:val="20"/>
          <w:szCs w:val="20"/>
          <w:lang w:val="uk-UA"/>
        </w:rPr>
        <w:t>Цю рекомендацію застосовують для всіх людей, які живуть з ВІЛ, із застереженням про низьку або помірну достовірність доказів. Проте, якщо це можливо, людям, які живуть з ВІЛ, рекомендується виконувати одночасне тестування за допомогою аТАНК-НС і лапоарабіноманнонового тесту бокового зсуву (LF-LAM для зра</w:t>
      </w:r>
      <w:r w:rsidR="00D61C45">
        <w:rPr>
          <w:sz w:val="20"/>
          <w:szCs w:val="20"/>
          <w:lang w:val="uk-UA"/>
        </w:rPr>
        <w:t>з</w:t>
      </w:r>
      <w:r w:rsidRPr="005863CF">
        <w:rPr>
          <w:sz w:val="20"/>
          <w:szCs w:val="20"/>
          <w:lang w:val="uk-UA"/>
        </w:rPr>
        <w:t>ків сечі). Для отримання додаткової інформації див. Розділ 2.3.1.</w:t>
      </w:r>
    </w:p>
    <w:p w14:paraId="1EA166F7" w14:textId="604CB823" w:rsidR="00E05B98" w:rsidRPr="005863CF" w:rsidRDefault="007A276B" w:rsidP="004A2937">
      <w:pPr>
        <w:pStyle w:val="a4"/>
        <w:numPr>
          <w:ilvl w:val="3"/>
          <w:numId w:val="31"/>
        </w:numPr>
        <w:tabs>
          <w:tab w:val="left" w:pos="850"/>
        </w:tabs>
        <w:spacing w:before="4" w:line="297" w:lineRule="auto"/>
        <w:ind w:right="135" w:hanging="284"/>
        <w:rPr>
          <w:sz w:val="20"/>
          <w:szCs w:val="20"/>
          <w:lang w:val="uk-UA"/>
        </w:rPr>
      </w:pPr>
      <w:r w:rsidRPr="005863CF">
        <w:rPr>
          <w:w w:val="105"/>
          <w:sz w:val="20"/>
          <w:szCs w:val="20"/>
          <w:lang w:val="uk-UA"/>
        </w:rPr>
        <w:t>Ця рекомендація була екстрапольована на дітей для використання зі зразками з ди</w:t>
      </w:r>
      <w:r w:rsidR="00D61C45">
        <w:rPr>
          <w:w w:val="105"/>
          <w:sz w:val="20"/>
          <w:szCs w:val="20"/>
          <w:lang w:val="uk-UA"/>
        </w:rPr>
        <w:t>х</w:t>
      </w:r>
      <w:r w:rsidRPr="005863CF">
        <w:rPr>
          <w:w w:val="105"/>
          <w:sz w:val="20"/>
          <w:szCs w:val="20"/>
          <w:lang w:val="uk-UA"/>
        </w:rPr>
        <w:t xml:space="preserve">альних шляхів (включаючи індуковане мокротиння та шлунковий аспірат) на основі узагальнення даних щодо дорослих та дуже обмежених даних щодо дітей, враховуючи труднощі збору зразків мокротиння у цієї популяції. Однак, за можливості, дітям рекомендується проводити одночасне тестування </w:t>
      </w:r>
      <w:r w:rsidR="00D61C45">
        <w:rPr>
          <w:w w:val="105"/>
          <w:sz w:val="20"/>
          <w:szCs w:val="20"/>
          <w:lang w:val="uk-UA"/>
        </w:rPr>
        <w:t xml:space="preserve">на </w:t>
      </w:r>
      <w:r w:rsidRPr="005863CF">
        <w:rPr>
          <w:w w:val="105"/>
          <w:sz w:val="20"/>
          <w:szCs w:val="20"/>
          <w:lang w:val="uk-UA"/>
        </w:rPr>
        <w:t>зразк</w:t>
      </w:r>
      <w:r w:rsidR="00D61C45">
        <w:rPr>
          <w:w w:val="105"/>
          <w:sz w:val="20"/>
          <w:szCs w:val="20"/>
          <w:lang w:val="uk-UA"/>
        </w:rPr>
        <w:t>ах</w:t>
      </w:r>
      <w:r w:rsidRPr="005863CF">
        <w:rPr>
          <w:w w:val="105"/>
          <w:sz w:val="20"/>
          <w:szCs w:val="20"/>
          <w:lang w:val="uk-UA"/>
        </w:rPr>
        <w:t xml:space="preserve"> </w:t>
      </w:r>
      <w:r w:rsidR="00D61C45">
        <w:rPr>
          <w:w w:val="105"/>
          <w:sz w:val="20"/>
          <w:szCs w:val="20"/>
          <w:lang w:val="uk-UA"/>
        </w:rPr>
        <w:t>і</w:t>
      </w:r>
      <w:r w:rsidRPr="005863CF">
        <w:rPr>
          <w:w w:val="105"/>
          <w:sz w:val="20"/>
          <w:szCs w:val="20"/>
          <w:lang w:val="uk-UA"/>
        </w:rPr>
        <w:t>з дихальних шляхів та зразк</w:t>
      </w:r>
      <w:r w:rsidR="00D61C45">
        <w:rPr>
          <w:w w:val="105"/>
          <w:sz w:val="20"/>
          <w:szCs w:val="20"/>
          <w:lang w:val="uk-UA"/>
        </w:rPr>
        <w:t>ах</w:t>
      </w:r>
      <w:r w:rsidRPr="005863CF">
        <w:rPr>
          <w:w w:val="105"/>
          <w:sz w:val="20"/>
          <w:szCs w:val="20"/>
          <w:lang w:val="uk-UA"/>
        </w:rPr>
        <w:t xml:space="preserve"> калу</w:t>
      </w:r>
      <w:r w:rsidR="00D61C45" w:rsidRPr="00D61C45">
        <w:rPr>
          <w:w w:val="105"/>
          <w:sz w:val="20"/>
          <w:szCs w:val="20"/>
          <w:lang w:val="uk-UA"/>
        </w:rPr>
        <w:t xml:space="preserve"> </w:t>
      </w:r>
      <w:r w:rsidR="00D61C45" w:rsidRPr="005863CF">
        <w:rPr>
          <w:w w:val="105"/>
          <w:sz w:val="20"/>
          <w:szCs w:val="20"/>
          <w:lang w:val="uk-UA"/>
        </w:rPr>
        <w:t>за допомогою аТАНК-НС</w:t>
      </w:r>
      <w:r w:rsidRPr="005863CF">
        <w:rPr>
          <w:w w:val="105"/>
          <w:sz w:val="20"/>
          <w:szCs w:val="20"/>
          <w:lang w:val="uk-UA"/>
        </w:rPr>
        <w:t>. Для отримання детальнішої інформації див. Розділ 2.3.2.</w:t>
      </w:r>
    </w:p>
    <w:p w14:paraId="30F7D0D2" w14:textId="7708998A" w:rsidR="00E05B98" w:rsidRPr="005863CF" w:rsidRDefault="007A276B" w:rsidP="004A2937">
      <w:pPr>
        <w:pStyle w:val="a4"/>
        <w:numPr>
          <w:ilvl w:val="3"/>
          <w:numId w:val="31"/>
        </w:numPr>
        <w:tabs>
          <w:tab w:val="left" w:pos="850"/>
        </w:tabs>
        <w:spacing w:before="7" w:line="297" w:lineRule="auto"/>
        <w:ind w:right="139" w:hanging="284"/>
        <w:rPr>
          <w:sz w:val="20"/>
          <w:szCs w:val="20"/>
          <w:lang w:val="uk-UA"/>
        </w:rPr>
      </w:pPr>
      <w:r w:rsidRPr="005863CF">
        <w:rPr>
          <w:sz w:val="20"/>
          <w:szCs w:val="20"/>
          <w:lang w:val="uk-UA"/>
        </w:rPr>
        <w:t>Дані про використання тесту на дитячих зразках калу були дуже обмеженими, а дані щодо використання аспіратів з носоглотки були відсутні. Тому рекомендація не була екстрапольована на ці типи зразків.</w:t>
      </w:r>
    </w:p>
    <w:p w14:paraId="3C6E290B" w14:textId="77777777" w:rsidR="007A276B" w:rsidRPr="005863CF" w:rsidRDefault="007A276B" w:rsidP="004A2937">
      <w:pPr>
        <w:pStyle w:val="a4"/>
        <w:numPr>
          <w:ilvl w:val="3"/>
          <w:numId w:val="31"/>
        </w:numPr>
        <w:tabs>
          <w:tab w:val="left" w:pos="850"/>
        </w:tabs>
        <w:spacing w:line="297" w:lineRule="auto"/>
        <w:ind w:right="140" w:hanging="283"/>
        <w:rPr>
          <w:sz w:val="20"/>
          <w:szCs w:val="20"/>
          <w:lang w:val="uk-UA"/>
        </w:rPr>
      </w:pPr>
      <w:r w:rsidRPr="005863CF">
        <w:rPr>
          <w:sz w:val="20"/>
          <w:szCs w:val="20"/>
          <w:lang w:val="uk-UA"/>
        </w:rPr>
        <w:t>Рекомендацій щодо використання тестів для діагностики позалегеневого ТБ не надано через недостатню кількість даних.</w:t>
      </w:r>
    </w:p>
    <w:p w14:paraId="2523A18B" w14:textId="12320D91" w:rsidR="00E05B98" w:rsidRPr="003C6DAE" w:rsidRDefault="007A276B" w:rsidP="004A2937">
      <w:pPr>
        <w:pStyle w:val="a4"/>
        <w:numPr>
          <w:ilvl w:val="3"/>
          <w:numId w:val="31"/>
        </w:numPr>
        <w:tabs>
          <w:tab w:val="left" w:pos="850"/>
        </w:tabs>
        <w:spacing w:line="297" w:lineRule="auto"/>
        <w:ind w:right="140" w:hanging="283"/>
        <w:rPr>
          <w:lang w:val="uk-UA"/>
        </w:rPr>
      </w:pPr>
      <w:r w:rsidRPr="005863CF">
        <w:rPr>
          <w:sz w:val="20"/>
          <w:szCs w:val="20"/>
          <w:lang w:val="uk-UA"/>
        </w:rPr>
        <w:t xml:space="preserve">Оскільки рТАНК-НС не дає результатів щодо стійкості до рифампіцину, всі позитивні діагностичні тести на ТБ потребують подальшого спостереження та направлення </w:t>
      </w:r>
      <w:r w:rsidR="00D61C45">
        <w:rPr>
          <w:sz w:val="20"/>
          <w:szCs w:val="20"/>
          <w:lang w:val="uk-UA"/>
        </w:rPr>
        <w:t>для виконання</w:t>
      </w:r>
      <w:r w:rsidRPr="005863CF">
        <w:rPr>
          <w:sz w:val="20"/>
          <w:szCs w:val="20"/>
          <w:lang w:val="uk-UA"/>
        </w:rPr>
        <w:t xml:space="preserve"> ТМЧ, як мінімум, для встановлення резистентності до рифампіцину</w:t>
      </w:r>
      <w:r w:rsidRPr="007A276B">
        <w:rPr>
          <w:lang w:val="uk-UA"/>
        </w:rPr>
        <w:t>.</w:t>
      </w:r>
    </w:p>
    <w:p w14:paraId="62F90D10" w14:textId="77777777" w:rsidR="00E05B98" w:rsidRPr="003C6DAE" w:rsidRDefault="00E05B98">
      <w:pPr>
        <w:pStyle w:val="a3"/>
        <w:spacing w:before="8"/>
        <w:rPr>
          <w:lang w:val="uk-UA"/>
        </w:rPr>
      </w:pPr>
    </w:p>
    <w:p w14:paraId="0777082A" w14:textId="46017D56" w:rsidR="00E05B98" w:rsidRPr="00D61C45" w:rsidRDefault="007A276B">
      <w:pPr>
        <w:pStyle w:val="5"/>
        <w:rPr>
          <w:sz w:val="26"/>
          <w:szCs w:val="26"/>
          <w:lang w:val="uk-UA"/>
        </w:rPr>
      </w:pPr>
      <w:r w:rsidRPr="00D61C45">
        <w:rPr>
          <w:color w:val="019648"/>
          <w:sz w:val="26"/>
          <w:szCs w:val="26"/>
          <w:lang w:val="uk-UA"/>
        </w:rPr>
        <w:t>Обґрунтування та доказ</w:t>
      </w:r>
      <w:r w:rsidR="005863CF" w:rsidRPr="00D61C45">
        <w:rPr>
          <w:color w:val="019648"/>
          <w:sz w:val="26"/>
          <w:szCs w:val="26"/>
          <w:lang w:val="uk-UA"/>
        </w:rPr>
        <w:t>ові дані</w:t>
      </w:r>
    </w:p>
    <w:p w14:paraId="7C80F591" w14:textId="164445B7" w:rsidR="00E05B98" w:rsidRPr="005863CF" w:rsidRDefault="005863CF" w:rsidP="00775C99">
      <w:pPr>
        <w:pStyle w:val="a3"/>
        <w:spacing w:before="218" w:line="297" w:lineRule="auto"/>
        <w:ind w:left="567" w:right="136"/>
        <w:jc w:val="both"/>
        <w:rPr>
          <w:sz w:val="20"/>
          <w:szCs w:val="20"/>
          <w:lang w:val="uk-UA"/>
        </w:rPr>
      </w:pPr>
      <w:r w:rsidRPr="005863CF">
        <w:rPr>
          <w:spacing w:val="-2"/>
          <w:sz w:val="20"/>
          <w:szCs w:val="20"/>
          <w:lang w:val="uk-UA"/>
        </w:rPr>
        <w:t>ВООЗ/ГПТ</w:t>
      </w:r>
      <w:r w:rsidR="00D61C45">
        <w:rPr>
          <w:spacing w:val="-2"/>
          <w:sz w:val="20"/>
          <w:szCs w:val="20"/>
          <w:lang w:val="uk-UA"/>
        </w:rPr>
        <w:t>Б</w:t>
      </w:r>
      <w:r w:rsidRPr="005863CF">
        <w:rPr>
          <w:spacing w:val="-2"/>
          <w:sz w:val="20"/>
          <w:szCs w:val="20"/>
          <w:lang w:val="uk-UA"/>
        </w:rPr>
        <w:t xml:space="preserve"> ініціювала оновлення попередніх рекомендацій та замовила проведення систематичного огляду використання рТАНК-НС (</w:t>
      </w:r>
      <w:r w:rsidR="00D41B42">
        <w:rPr>
          <w:spacing w:val="-2"/>
          <w:sz w:val="20"/>
          <w:szCs w:val="20"/>
          <w:lang w:val="uk-UA"/>
        </w:rPr>
        <w:t>метод петльової ізотермічної ампліфікації (</w:t>
      </w:r>
      <w:r w:rsidRPr="005863CF">
        <w:rPr>
          <w:spacing w:val="-2"/>
          <w:sz w:val="20"/>
          <w:szCs w:val="20"/>
          <w:lang w:val="uk-UA"/>
        </w:rPr>
        <w:t>TB LAMP</w:t>
      </w:r>
      <w:r w:rsidR="00D41B42">
        <w:rPr>
          <w:spacing w:val="-2"/>
          <w:sz w:val="20"/>
          <w:szCs w:val="20"/>
          <w:lang w:val="uk-UA"/>
        </w:rPr>
        <w:t>) на виявлення ТБ легень</w:t>
      </w:r>
      <w:r w:rsidRPr="005863CF">
        <w:rPr>
          <w:spacing w:val="-2"/>
          <w:sz w:val="20"/>
          <w:szCs w:val="20"/>
          <w:lang w:val="uk-UA"/>
        </w:rPr>
        <w:t>) для діагностики ТБ у людей з ознаками та симптомами ТБ або у тих, хто отримав позитивний результат скринінгу на туберкульоз.</w:t>
      </w:r>
    </w:p>
    <w:p w14:paraId="7A59B25C" w14:textId="77777777" w:rsidR="00E05B98" w:rsidRPr="005863CF" w:rsidRDefault="00E05B98">
      <w:pPr>
        <w:pStyle w:val="a3"/>
        <w:spacing w:line="297" w:lineRule="auto"/>
        <w:jc w:val="both"/>
        <w:rPr>
          <w:sz w:val="20"/>
          <w:szCs w:val="20"/>
          <w:lang w:val="uk-UA"/>
        </w:rPr>
        <w:sectPr w:rsidR="00E05B98" w:rsidRPr="005863CF" w:rsidSect="000B7239">
          <w:pgSz w:w="11910" w:h="16840"/>
          <w:pgMar w:top="1320" w:right="711" w:bottom="760" w:left="850" w:header="0" w:footer="573" w:gutter="0"/>
          <w:cols w:space="720"/>
        </w:sectPr>
      </w:pPr>
    </w:p>
    <w:p w14:paraId="5E1C68D5" w14:textId="68AE2E96" w:rsidR="00E05B98" w:rsidRPr="005863CF" w:rsidRDefault="005863CF">
      <w:pPr>
        <w:pStyle w:val="5"/>
        <w:spacing w:before="45"/>
        <w:rPr>
          <w:sz w:val="26"/>
          <w:szCs w:val="26"/>
          <w:lang w:val="uk-UA"/>
        </w:rPr>
      </w:pPr>
      <w:r w:rsidRPr="005863CF">
        <w:rPr>
          <w:color w:val="019648"/>
          <w:w w:val="110"/>
          <w:sz w:val="26"/>
          <w:szCs w:val="26"/>
          <w:lang w:val="uk-UA"/>
        </w:rPr>
        <w:lastRenderedPageBreak/>
        <w:t>Виявлення туберкульозу легень</w:t>
      </w:r>
    </w:p>
    <w:p w14:paraId="02EEA580" w14:textId="5EED157B" w:rsidR="00E05B98" w:rsidRDefault="005863CF" w:rsidP="005863CF">
      <w:pPr>
        <w:pStyle w:val="7"/>
        <w:spacing w:before="231" w:line="249" w:lineRule="auto"/>
        <w:jc w:val="both"/>
        <w:rPr>
          <w:color w:val="019648"/>
          <w:sz w:val="22"/>
          <w:szCs w:val="22"/>
          <w:lang w:val="uk-UA"/>
        </w:rPr>
      </w:pPr>
      <w:r w:rsidRPr="005863CF">
        <w:rPr>
          <w:color w:val="019648"/>
          <w:sz w:val="22"/>
          <w:szCs w:val="22"/>
          <w:lang w:val="uk-UA"/>
        </w:rPr>
        <w:t xml:space="preserve">Чи слід використовувати рТАНК-НС на зразках </w:t>
      </w:r>
      <w:r w:rsidR="00D41B42">
        <w:rPr>
          <w:color w:val="019648"/>
          <w:sz w:val="22"/>
          <w:szCs w:val="22"/>
          <w:lang w:val="uk-UA"/>
        </w:rPr>
        <w:t>і</w:t>
      </w:r>
      <w:r w:rsidRPr="005863CF">
        <w:rPr>
          <w:color w:val="019648"/>
          <w:sz w:val="22"/>
          <w:szCs w:val="22"/>
          <w:lang w:val="uk-UA"/>
        </w:rPr>
        <w:t xml:space="preserve">з дихальних шляхів для діагностики ТБ легень у дорослих та підлітків з ознаками та симптомами </w:t>
      </w:r>
      <w:r w:rsidR="00D41B42">
        <w:rPr>
          <w:color w:val="019648"/>
          <w:sz w:val="22"/>
          <w:szCs w:val="22"/>
          <w:lang w:val="uk-UA"/>
        </w:rPr>
        <w:t xml:space="preserve">ТБ </w:t>
      </w:r>
      <w:r w:rsidRPr="005863CF">
        <w:rPr>
          <w:color w:val="019648"/>
          <w:sz w:val="22"/>
          <w:szCs w:val="22"/>
          <w:lang w:val="uk-UA"/>
        </w:rPr>
        <w:t xml:space="preserve">або у тих, </w:t>
      </w:r>
      <w:r w:rsidR="00D41B42">
        <w:rPr>
          <w:color w:val="019648"/>
          <w:sz w:val="22"/>
          <w:szCs w:val="22"/>
          <w:lang w:val="uk-UA"/>
        </w:rPr>
        <w:t>чий результат</w:t>
      </w:r>
      <w:r w:rsidRPr="005863CF">
        <w:rPr>
          <w:color w:val="019648"/>
          <w:sz w:val="22"/>
          <w:szCs w:val="22"/>
          <w:lang w:val="uk-UA"/>
        </w:rPr>
        <w:t xml:space="preserve"> скринінг</w:t>
      </w:r>
      <w:r w:rsidR="00D41B42">
        <w:rPr>
          <w:color w:val="019648"/>
          <w:sz w:val="22"/>
          <w:szCs w:val="22"/>
          <w:lang w:val="uk-UA"/>
        </w:rPr>
        <w:t>у</w:t>
      </w:r>
      <w:r w:rsidRPr="005863CF">
        <w:rPr>
          <w:color w:val="019648"/>
          <w:sz w:val="22"/>
          <w:szCs w:val="22"/>
          <w:lang w:val="uk-UA"/>
        </w:rPr>
        <w:t xml:space="preserve"> на ТБ легень був позитивним,</w:t>
      </w:r>
      <w:r w:rsidR="00D41B42">
        <w:rPr>
          <w:color w:val="019648"/>
          <w:sz w:val="22"/>
          <w:szCs w:val="22"/>
          <w:lang w:val="uk-UA"/>
        </w:rPr>
        <w:t xml:space="preserve"> на противагу</w:t>
      </w:r>
      <w:r w:rsidRPr="005863CF">
        <w:rPr>
          <w:color w:val="019648"/>
          <w:sz w:val="22"/>
          <w:szCs w:val="22"/>
          <w:lang w:val="uk-UA"/>
        </w:rPr>
        <w:t xml:space="preserve"> MRS?</w:t>
      </w:r>
    </w:p>
    <w:p w14:paraId="58E5480B" w14:textId="77777777" w:rsidR="00D41B42" w:rsidRPr="00D41B42" w:rsidRDefault="00D41B42" w:rsidP="005863CF">
      <w:pPr>
        <w:pStyle w:val="7"/>
        <w:spacing w:before="231" w:line="249" w:lineRule="auto"/>
        <w:jc w:val="both"/>
        <w:rPr>
          <w:sz w:val="8"/>
          <w:szCs w:val="8"/>
          <w:lang w:val="uk-UA"/>
        </w:rPr>
      </w:pPr>
    </w:p>
    <w:p w14:paraId="4749CA6B" w14:textId="310FF791" w:rsidR="00E05B98" w:rsidRPr="005863CF" w:rsidRDefault="005863CF">
      <w:pPr>
        <w:pStyle w:val="a3"/>
        <w:spacing w:line="297" w:lineRule="auto"/>
        <w:ind w:left="567" w:right="143"/>
        <w:jc w:val="both"/>
        <w:rPr>
          <w:sz w:val="20"/>
          <w:szCs w:val="20"/>
          <w:lang w:val="uk-UA"/>
        </w:rPr>
      </w:pPr>
      <w:r w:rsidRPr="005863CF">
        <w:rPr>
          <w:spacing w:val="-2"/>
          <w:sz w:val="20"/>
          <w:szCs w:val="20"/>
          <w:lang w:val="uk-UA"/>
        </w:rPr>
        <w:t>У двадцяти шести дослідженнях (18 297 учасників) оцінювали точність діагностики, використовуючи зразки мокротиння та порівнюючи з MRS. Чутливість становила від 55% до 100%, а специфічність – від 70% до 100% (</w:t>
      </w:r>
      <w:r w:rsidRPr="005863CF">
        <w:rPr>
          <w:b/>
          <w:bCs/>
          <w:spacing w:val="-2"/>
          <w:sz w:val="20"/>
          <w:szCs w:val="20"/>
          <w:lang w:val="uk-UA"/>
        </w:rPr>
        <w:t>Рис. 2.2.1.1</w:t>
      </w:r>
      <w:r w:rsidRPr="005863CF">
        <w:rPr>
          <w:spacing w:val="-2"/>
          <w:sz w:val="20"/>
          <w:szCs w:val="20"/>
          <w:lang w:val="uk-UA"/>
        </w:rPr>
        <w:t>). Загальна чутливість становила 84,1% (95% ДІ: 78,3–88,6), а загальна специфічність – 96,1% (95% ДІ: 94,2–97,4). Достовірність доказів чутливості та специфічності була високою.</w:t>
      </w:r>
    </w:p>
    <w:p w14:paraId="74E75664" w14:textId="6BF2A023" w:rsidR="00E05B98" w:rsidRPr="003C6DAE" w:rsidRDefault="005863CF">
      <w:pPr>
        <w:pStyle w:val="6"/>
        <w:spacing w:before="241" w:line="249" w:lineRule="auto"/>
        <w:rPr>
          <w:lang w:val="uk-UA"/>
        </w:rPr>
      </w:pPr>
      <w:r>
        <w:rPr>
          <w:color w:val="636466"/>
          <w:sz w:val="20"/>
          <w:szCs w:val="20"/>
          <w:lang w:val="uk-UA"/>
        </w:rPr>
        <w:t>Рис</w:t>
      </w:r>
      <w:r w:rsidR="00B01E0C" w:rsidRPr="005863CF">
        <w:rPr>
          <w:color w:val="636466"/>
          <w:sz w:val="20"/>
          <w:szCs w:val="20"/>
          <w:lang w:val="uk-UA"/>
        </w:rPr>
        <w:t xml:space="preserve">. 2.2.1.1 </w:t>
      </w:r>
      <w:r w:rsidR="000F63AB" w:rsidRPr="000F63AB">
        <w:rPr>
          <w:color w:val="636466"/>
          <w:sz w:val="20"/>
          <w:szCs w:val="20"/>
          <w:lang w:val="uk-UA"/>
        </w:rPr>
        <w:t>Лісова діаграма чутливості та специфічності рТАНК-НС для виявлення ТБ легень у зразка</w:t>
      </w:r>
      <w:r w:rsidR="00D41B42">
        <w:rPr>
          <w:color w:val="636466"/>
          <w:sz w:val="20"/>
          <w:szCs w:val="20"/>
          <w:lang w:val="uk-UA"/>
        </w:rPr>
        <w:t>х</w:t>
      </w:r>
      <w:r w:rsidR="000F63AB" w:rsidRPr="000F63AB">
        <w:rPr>
          <w:color w:val="636466"/>
          <w:sz w:val="20"/>
          <w:szCs w:val="20"/>
          <w:lang w:val="uk-UA"/>
        </w:rPr>
        <w:t xml:space="preserve"> із дихальних респіраторних зразках та MRS</w:t>
      </w:r>
      <w:r w:rsidR="00507F6E">
        <w:rPr>
          <w:color w:val="636466"/>
          <w:sz w:val="20"/>
          <w:szCs w:val="20"/>
          <w:lang w:val="uk-UA"/>
        </w:rPr>
        <w:t xml:space="preserve"> </w:t>
      </w:r>
      <w:r w:rsidR="00B01E0C" w:rsidRPr="003C6DAE">
        <w:rPr>
          <w:color w:val="636466"/>
          <w:vertAlign w:val="superscript"/>
          <w:lang w:val="uk-UA"/>
        </w:rPr>
        <w:t>a</w:t>
      </w:r>
    </w:p>
    <w:p w14:paraId="69EA2D44" w14:textId="0AB8A9A4" w:rsidR="00E05B98" w:rsidRPr="003C6DAE" w:rsidRDefault="000F63AB">
      <w:pPr>
        <w:pStyle w:val="a3"/>
        <w:spacing w:before="8"/>
        <w:rPr>
          <w:rFonts w:ascii="Arial"/>
          <w:b/>
          <w:sz w:val="8"/>
          <w:lang w:val="uk-UA"/>
        </w:rPr>
      </w:pPr>
      <w:r w:rsidRPr="003C6DAE">
        <w:rPr>
          <w:rFonts w:ascii="Arial"/>
          <w:b/>
          <w:noProof/>
          <w:sz w:val="24"/>
          <w:lang w:val="uk-UA"/>
        </w:rPr>
        <mc:AlternateContent>
          <mc:Choice Requires="wps">
            <w:drawing>
              <wp:anchor distT="0" distB="0" distL="114300" distR="114300" simplePos="0" relativeHeight="488104448" behindDoc="0" locked="0" layoutInCell="1" allowOverlap="1" wp14:anchorId="22F845BB" wp14:editId="6E9C1DE6">
                <wp:simplePos x="0" y="0"/>
                <wp:positionH relativeFrom="margin">
                  <wp:posOffset>256955</wp:posOffset>
                </wp:positionH>
                <wp:positionV relativeFrom="paragraph">
                  <wp:posOffset>52516</wp:posOffset>
                </wp:positionV>
                <wp:extent cx="6273579" cy="225796"/>
                <wp:effectExtent l="0" t="0" r="0" b="3175"/>
                <wp:wrapNone/>
                <wp:docPr id="1765362154" name="Поле 1765362154"/>
                <wp:cNvGraphicFramePr/>
                <a:graphic xmlns:a="http://schemas.openxmlformats.org/drawingml/2006/main">
                  <a:graphicData uri="http://schemas.microsoft.com/office/word/2010/wordprocessingShape">
                    <wps:wsp>
                      <wps:cNvSpPr txBox="1"/>
                      <wps:spPr>
                        <a:xfrm>
                          <a:off x="0" y="0"/>
                          <a:ext cx="6273579" cy="225796"/>
                        </a:xfrm>
                        <a:prstGeom prst="rect">
                          <a:avLst/>
                        </a:prstGeom>
                        <a:solidFill>
                          <a:schemeClr val="bg1"/>
                        </a:solidFill>
                        <a:ln w="6350">
                          <a:noFill/>
                        </a:ln>
                      </wps:spPr>
                      <wps:txbx>
                        <w:txbxContent>
                          <w:p w14:paraId="20E36503" w14:textId="2F92177D" w:rsidR="007372B2" w:rsidRDefault="007372B2" w:rsidP="000F63AB">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Дослідження                  </w:t>
                            </w:r>
                            <w:r>
                              <w:rPr>
                                <w:rFonts w:asciiTheme="minorHAnsi" w:hAnsiTheme="minorHAnsi" w:cstheme="minorHAnsi"/>
                                <w:b/>
                                <w:sz w:val="14"/>
                                <w:szCs w:val="14"/>
                              </w:rPr>
                              <w:t xml:space="preserve">TP     </w:t>
                            </w:r>
                            <w:r>
                              <w:rPr>
                                <w:rFonts w:asciiTheme="minorHAnsi" w:hAnsiTheme="minorHAnsi" w:cstheme="minorHAnsi"/>
                                <w:b/>
                                <w:sz w:val="14"/>
                                <w:szCs w:val="14"/>
                                <w:lang w:val="uk-UA"/>
                              </w:rPr>
                              <w:t xml:space="preserve">   </w:t>
                            </w:r>
                            <w:r>
                              <w:rPr>
                                <w:rFonts w:asciiTheme="minorHAnsi" w:hAnsiTheme="minorHAnsi" w:cstheme="minorHAnsi"/>
                                <w:b/>
                                <w:sz w:val="14"/>
                                <w:szCs w:val="14"/>
                              </w:rPr>
                              <w:t xml:space="preserve">FP    </w:t>
                            </w:r>
                            <w:r>
                              <w:rPr>
                                <w:rFonts w:asciiTheme="minorHAnsi" w:hAnsiTheme="minorHAnsi" w:cstheme="minorHAnsi"/>
                                <w:b/>
                                <w:sz w:val="14"/>
                                <w:szCs w:val="14"/>
                                <w:lang w:val="uk-UA"/>
                              </w:rPr>
                              <w:t xml:space="preserve">   </w:t>
                            </w:r>
                            <w:r>
                              <w:rPr>
                                <w:rFonts w:asciiTheme="minorHAnsi" w:hAnsiTheme="minorHAnsi" w:cstheme="minorHAnsi"/>
                                <w:b/>
                                <w:sz w:val="14"/>
                                <w:szCs w:val="14"/>
                              </w:rPr>
                              <w:t xml:space="preserve">FN   </w:t>
                            </w:r>
                            <w:r>
                              <w:rPr>
                                <w:rFonts w:asciiTheme="minorHAnsi" w:hAnsiTheme="minorHAnsi" w:cstheme="minorHAnsi"/>
                                <w:b/>
                                <w:sz w:val="14"/>
                                <w:szCs w:val="14"/>
                                <w:lang w:val="uk-UA"/>
                              </w:rPr>
                              <w:t xml:space="preserve">     </w:t>
                            </w:r>
                            <w:r>
                              <w:rPr>
                                <w:rFonts w:asciiTheme="minorHAnsi" w:hAnsiTheme="minorHAnsi" w:cstheme="minorHAnsi"/>
                                <w:b/>
                                <w:sz w:val="14"/>
                                <w:szCs w:val="14"/>
                              </w:rPr>
                              <w:t xml:space="preserve">TN        </w:t>
                            </w:r>
                            <w:r>
                              <w:rPr>
                                <w:rFonts w:asciiTheme="minorHAnsi" w:hAnsiTheme="minorHAnsi" w:cstheme="minorHAnsi"/>
                                <w:b/>
                                <w:sz w:val="14"/>
                                <w:szCs w:val="14"/>
                                <w:lang w:val="uk-UA"/>
                              </w:rPr>
                              <w:t xml:space="preserve"> </w:t>
                            </w:r>
                            <w:r w:rsidRPr="00014B97">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lang w:val="uk-UA"/>
                              </w:rPr>
                              <w:t xml:space="preserve">  </w:t>
                            </w:r>
                            <w:r w:rsidRPr="00014B97">
                              <w:rPr>
                                <w:rFonts w:asciiTheme="minorHAnsi" w:hAnsiTheme="minorHAnsi" w:cstheme="minorHAnsi"/>
                                <w:b/>
                                <w:sz w:val="14"/>
                                <w:szCs w:val="14"/>
                                <w:lang w:val="uk-UA"/>
                              </w:rPr>
                              <w:t xml:space="preserve">Специфічність (95% ДІ)  </w:t>
                            </w:r>
                            <w:r>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w:t>
                            </w:r>
                            <w:r w:rsidRPr="00014B97">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lang w:val="uk-UA"/>
                              </w:rPr>
                              <w:t xml:space="preserve">                     С</w:t>
                            </w:r>
                            <w:r w:rsidRPr="00014B97">
                              <w:rPr>
                                <w:rFonts w:asciiTheme="minorHAnsi" w:hAnsiTheme="minorHAnsi" w:cstheme="minorHAnsi"/>
                                <w:b/>
                                <w:sz w:val="14"/>
                                <w:szCs w:val="14"/>
                                <w:lang w:val="uk-UA"/>
                              </w:rPr>
                              <w:t xml:space="preserve">пецифічність (95% </w:t>
                            </w:r>
                            <w:r>
                              <w:rPr>
                                <w:rFonts w:asciiTheme="minorHAnsi" w:hAnsiTheme="minorHAnsi" w:cstheme="minorHAnsi"/>
                                <w:b/>
                                <w:sz w:val="14"/>
                                <w:szCs w:val="14"/>
                                <w:lang w:val="uk-UA"/>
                              </w:rPr>
                              <w:t>ДІ)</w:t>
                            </w:r>
                            <w:r>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w:t>
                            </w:r>
                          </w:p>
                          <w:p w14:paraId="4EA6E5F4" w14:textId="3E6B2DF5" w:rsidR="007372B2" w:rsidRPr="00014B97" w:rsidRDefault="007372B2" w:rsidP="000F63AB">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845BB" id="Поле 1765362154" o:spid="_x0000_s1097" type="#_x0000_t202" style="position:absolute;margin-left:20.25pt;margin-top:4.15pt;width:494pt;height:17.8pt;z-index:4881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" fillcolor="white [3212]" stroked="f" strokeweight=".5pt">
                <v:textbox>
                  <w:txbxContent>
                    <w:p w14:paraId="20E36503" w14:textId="2F92177D" w:rsidR="007372B2" w:rsidRDefault="007372B2" w:rsidP="000F63AB">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Дослідження                  </w:t>
                      </w:r>
                      <w:r>
                        <w:rPr>
                          <w:rFonts w:asciiTheme="minorHAnsi" w:hAnsiTheme="minorHAnsi" w:cstheme="minorHAnsi"/>
                          <w:b/>
                          <w:sz w:val="14"/>
                          <w:szCs w:val="14"/>
                        </w:rPr>
                        <w:t xml:space="preserve">TP     </w:t>
                      </w:r>
                      <w:r>
                        <w:rPr>
                          <w:rFonts w:asciiTheme="minorHAnsi" w:hAnsiTheme="minorHAnsi" w:cstheme="minorHAnsi"/>
                          <w:b/>
                          <w:sz w:val="14"/>
                          <w:szCs w:val="14"/>
                          <w:lang w:val="uk-UA"/>
                        </w:rPr>
                        <w:t xml:space="preserve">   </w:t>
                      </w:r>
                      <w:r>
                        <w:rPr>
                          <w:rFonts w:asciiTheme="minorHAnsi" w:hAnsiTheme="minorHAnsi" w:cstheme="minorHAnsi"/>
                          <w:b/>
                          <w:sz w:val="14"/>
                          <w:szCs w:val="14"/>
                        </w:rPr>
                        <w:t xml:space="preserve">FP    </w:t>
                      </w:r>
                      <w:r>
                        <w:rPr>
                          <w:rFonts w:asciiTheme="minorHAnsi" w:hAnsiTheme="minorHAnsi" w:cstheme="minorHAnsi"/>
                          <w:b/>
                          <w:sz w:val="14"/>
                          <w:szCs w:val="14"/>
                          <w:lang w:val="uk-UA"/>
                        </w:rPr>
                        <w:t xml:space="preserve">   </w:t>
                      </w:r>
                      <w:r>
                        <w:rPr>
                          <w:rFonts w:asciiTheme="minorHAnsi" w:hAnsiTheme="minorHAnsi" w:cstheme="minorHAnsi"/>
                          <w:b/>
                          <w:sz w:val="14"/>
                          <w:szCs w:val="14"/>
                        </w:rPr>
                        <w:t xml:space="preserve">FN   </w:t>
                      </w:r>
                      <w:r>
                        <w:rPr>
                          <w:rFonts w:asciiTheme="minorHAnsi" w:hAnsiTheme="minorHAnsi" w:cstheme="minorHAnsi"/>
                          <w:b/>
                          <w:sz w:val="14"/>
                          <w:szCs w:val="14"/>
                          <w:lang w:val="uk-UA"/>
                        </w:rPr>
                        <w:t xml:space="preserve">     </w:t>
                      </w:r>
                      <w:r>
                        <w:rPr>
                          <w:rFonts w:asciiTheme="minorHAnsi" w:hAnsiTheme="minorHAnsi" w:cstheme="minorHAnsi"/>
                          <w:b/>
                          <w:sz w:val="14"/>
                          <w:szCs w:val="14"/>
                        </w:rPr>
                        <w:t xml:space="preserve">TN        </w:t>
                      </w:r>
                      <w:r>
                        <w:rPr>
                          <w:rFonts w:asciiTheme="minorHAnsi" w:hAnsiTheme="minorHAnsi" w:cstheme="minorHAnsi"/>
                          <w:b/>
                          <w:sz w:val="14"/>
                          <w:szCs w:val="14"/>
                          <w:lang w:val="uk-UA"/>
                        </w:rPr>
                        <w:t xml:space="preserve"> </w:t>
                      </w:r>
                      <w:r w:rsidRPr="00014B97">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lang w:val="uk-UA"/>
                        </w:rPr>
                        <w:t xml:space="preserve">  </w:t>
                      </w:r>
                      <w:r w:rsidRPr="00014B97">
                        <w:rPr>
                          <w:rFonts w:asciiTheme="minorHAnsi" w:hAnsiTheme="minorHAnsi" w:cstheme="minorHAnsi"/>
                          <w:b/>
                          <w:sz w:val="14"/>
                          <w:szCs w:val="14"/>
                          <w:lang w:val="uk-UA"/>
                        </w:rPr>
                        <w:t xml:space="preserve">Специфічність (95% ДІ)  </w:t>
                      </w:r>
                      <w:r>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w:t>
                      </w:r>
                      <w:r w:rsidRPr="00014B97">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lang w:val="uk-UA"/>
                        </w:rPr>
                        <w:t xml:space="preserve">                     С</w:t>
                      </w:r>
                      <w:r w:rsidRPr="00014B97">
                        <w:rPr>
                          <w:rFonts w:asciiTheme="minorHAnsi" w:hAnsiTheme="minorHAnsi" w:cstheme="minorHAnsi"/>
                          <w:b/>
                          <w:sz w:val="14"/>
                          <w:szCs w:val="14"/>
                          <w:lang w:val="uk-UA"/>
                        </w:rPr>
                        <w:t xml:space="preserve">пецифічність (95% </w:t>
                      </w:r>
                      <w:r>
                        <w:rPr>
                          <w:rFonts w:asciiTheme="minorHAnsi" w:hAnsiTheme="minorHAnsi" w:cstheme="minorHAnsi"/>
                          <w:b/>
                          <w:sz w:val="14"/>
                          <w:szCs w:val="14"/>
                          <w:lang w:val="uk-UA"/>
                        </w:rPr>
                        <w:t>ДІ)</w:t>
                      </w:r>
                      <w:r>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w:t>
                      </w:r>
                    </w:p>
                    <w:p w14:paraId="4EA6E5F4" w14:textId="3E6B2DF5" w:rsidR="007372B2" w:rsidRPr="00014B97" w:rsidRDefault="007372B2" w:rsidP="000F63AB">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v:textbox>
                <w10:wrap anchorx="margin"/>
              </v:shape>
            </w:pict>
          </mc:Fallback>
        </mc:AlternateContent>
      </w:r>
    </w:p>
    <w:p w14:paraId="57D77C1E" w14:textId="77777777" w:rsidR="00E05B98" w:rsidRPr="003C6DAE" w:rsidRDefault="00E05B98">
      <w:pPr>
        <w:pStyle w:val="a3"/>
        <w:rPr>
          <w:rFonts w:ascii="Arial"/>
          <w:b/>
          <w:sz w:val="8"/>
          <w:lang w:val="uk-UA"/>
        </w:rPr>
        <w:sectPr w:rsidR="00E05B98" w:rsidRPr="003C6DAE">
          <w:pgSz w:w="11910" w:h="16840"/>
          <w:pgMar w:top="1320" w:right="1275" w:bottom="760" w:left="850" w:header="0" w:footer="573" w:gutter="0"/>
          <w:cols w:space="720"/>
        </w:sectPr>
      </w:pPr>
    </w:p>
    <w:p w14:paraId="00C172C1" w14:textId="5292B82E" w:rsidR="00E05B98" w:rsidRPr="003C6DAE" w:rsidRDefault="00B01E0C">
      <w:pPr>
        <w:spacing w:before="107"/>
        <w:ind w:left="688"/>
        <w:jc w:val="both"/>
        <w:rPr>
          <w:rFonts w:ascii="Trebuchet MS"/>
          <w:sz w:val="19"/>
          <w:lang w:val="uk-UA"/>
        </w:rPr>
      </w:pPr>
      <w:r w:rsidRPr="003C6DAE">
        <w:rPr>
          <w:rFonts w:ascii="Trebuchet MS"/>
          <w:color w:val="333333"/>
          <w:w w:val="75"/>
          <w:sz w:val="19"/>
          <w:lang w:val="uk-UA"/>
        </w:rPr>
        <w:t>S</w:t>
      </w:r>
      <w:r w:rsidRPr="003C6DAE">
        <w:rPr>
          <w:rFonts w:ascii="Trebuchet MS"/>
          <w:color w:val="333333"/>
          <w:spacing w:val="-15"/>
          <w:w w:val="75"/>
          <w:sz w:val="19"/>
          <w:lang w:val="uk-UA"/>
        </w:rPr>
        <w:t xml:space="preserve"> </w:t>
      </w:r>
      <w:proofErr w:type="spellStart"/>
      <w:r w:rsidRPr="003C6DAE">
        <w:rPr>
          <w:rFonts w:ascii="Trebuchet MS"/>
          <w:color w:val="333333"/>
          <w:spacing w:val="-4"/>
          <w:w w:val="85"/>
          <w:sz w:val="19"/>
          <w:lang w:val="uk-UA"/>
        </w:rPr>
        <w:t>tudy</w:t>
      </w:r>
      <w:proofErr w:type="spellEnd"/>
    </w:p>
    <w:p w14:paraId="185C0027" w14:textId="77777777" w:rsidR="00E05B98" w:rsidRPr="000F63AB" w:rsidRDefault="00B01E0C">
      <w:pPr>
        <w:spacing w:before="72"/>
        <w:ind w:left="688"/>
        <w:jc w:val="both"/>
        <w:rPr>
          <w:rFonts w:ascii="Trebuchet MS"/>
          <w:sz w:val="18"/>
          <w:szCs w:val="18"/>
          <w:lang w:val="uk-UA"/>
        </w:rPr>
      </w:pPr>
      <w:proofErr w:type="spellStart"/>
      <w:r w:rsidRPr="000F63AB">
        <w:rPr>
          <w:rFonts w:ascii="Trebuchet MS"/>
          <w:spacing w:val="2"/>
          <w:w w:val="70"/>
          <w:sz w:val="18"/>
          <w:szCs w:val="18"/>
          <w:lang w:val="uk-UA"/>
        </w:rPr>
        <w:t>Nakiyingi</w:t>
      </w:r>
      <w:proofErr w:type="spellEnd"/>
      <w:r w:rsidRPr="000F63AB">
        <w:rPr>
          <w:rFonts w:ascii="Trebuchet MS"/>
          <w:spacing w:val="6"/>
          <w:sz w:val="18"/>
          <w:szCs w:val="18"/>
          <w:lang w:val="uk-UA"/>
        </w:rPr>
        <w:t xml:space="preserve"> </w:t>
      </w:r>
      <w:r w:rsidRPr="000F63AB">
        <w:rPr>
          <w:rFonts w:ascii="Trebuchet MS"/>
          <w:spacing w:val="-4"/>
          <w:w w:val="80"/>
          <w:sz w:val="18"/>
          <w:szCs w:val="18"/>
          <w:lang w:val="uk-UA"/>
        </w:rPr>
        <w:t>2018</w:t>
      </w:r>
    </w:p>
    <w:p w14:paraId="1C7E87D3" w14:textId="02839E0D" w:rsidR="00E05B98" w:rsidRPr="000F63AB" w:rsidRDefault="00B01E0C">
      <w:pPr>
        <w:spacing w:before="39" w:line="280" w:lineRule="auto"/>
        <w:ind w:left="688" w:right="163"/>
        <w:jc w:val="both"/>
        <w:rPr>
          <w:rFonts w:ascii="Trebuchet MS"/>
          <w:sz w:val="18"/>
          <w:szCs w:val="18"/>
          <w:lang w:val="uk-UA"/>
        </w:rPr>
      </w:pPr>
      <w:proofErr w:type="spellStart"/>
      <w:r w:rsidRPr="000F63AB">
        <w:rPr>
          <w:rFonts w:ascii="Trebuchet MS"/>
          <w:w w:val="70"/>
          <w:sz w:val="18"/>
          <w:szCs w:val="18"/>
          <w:lang w:val="uk-UA"/>
        </w:rPr>
        <w:t>Spooner</w:t>
      </w:r>
      <w:proofErr w:type="spellEnd"/>
      <w:r w:rsidRPr="000F63AB">
        <w:rPr>
          <w:rFonts w:ascii="Trebuchet MS"/>
          <w:sz w:val="18"/>
          <w:szCs w:val="18"/>
          <w:lang w:val="uk-UA"/>
        </w:rPr>
        <w:t xml:space="preserve"> </w:t>
      </w:r>
      <w:r w:rsidRPr="000F63AB">
        <w:rPr>
          <w:rFonts w:ascii="Trebuchet MS"/>
          <w:w w:val="70"/>
          <w:sz w:val="18"/>
          <w:szCs w:val="18"/>
          <w:lang w:val="uk-UA"/>
        </w:rPr>
        <w:t>2022</w:t>
      </w:r>
      <w:r w:rsidRPr="000F63AB">
        <w:rPr>
          <w:rFonts w:ascii="Trebuchet MS"/>
          <w:w w:val="75"/>
          <w:sz w:val="18"/>
          <w:szCs w:val="18"/>
          <w:lang w:val="uk-UA"/>
        </w:rPr>
        <w:t xml:space="preserve"> </w:t>
      </w:r>
      <w:proofErr w:type="spellStart"/>
      <w:r w:rsidRPr="000F63AB">
        <w:rPr>
          <w:rFonts w:ascii="Trebuchet MS"/>
          <w:w w:val="75"/>
          <w:sz w:val="18"/>
          <w:szCs w:val="18"/>
          <w:lang w:val="uk-UA"/>
        </w:rPr>
        <w:t>Nliwasa</w:t>
      </w:r>
      <w:proofErr w:type="spellEnd"/>
      <w:r w:rsidRPr="000F63AB">
        <w:rPr>
          <w:rFonts w:ascii="Trebuchet MS"/>
          <w:w w:val="75"/>
          <w:sz w:val="18"/>
          <w:szCs w:val="18"/>
          <w:lang w:val="uk-UA"/>
        </w:rPr>
        <w:t xml:space="preserve"> 2016 </w:t>
      </w:r>
      <w:proofErr w:type="spellStart"/>
      <w:r w:rsidRPr="000F63AB">
        <w:rPr>
          <w:rFonts w:ascii="Trebuchet MS"/>
          <w:w w:val="85"/>
          <w:sz w:val="18"/>
          <w:szCs w:val="18"/>
          <w:lang w:val="uk-UA"/>
        </w:rPr>
        <w:t>Xin</w:t>
      </w:r>
      <w:proofErr w:type="spellEnd"/>
      <w:r w:rsidRPr="000F63AB">
        <w:rPr>
          <w:rFonts w:ascii="Trebuchet MS"/>
          <w:spacing w:val="-10"/>
          <w:w w:val="85"/>
          <w:sz w:val="18"/>
          <w:szCs w:val="18"/>
          <w:lang w:val="uk-UA"/>
        </w:rPr>
        <w:t xml:space="preserve"> </w:t>
      </w:r>
      <w:r w:rsidRPr="000F63AB">
        <w:rPr>
          <w:rFonts w:ascii="Trebuchet MS"/>
          <w:w w:val="85"/>
          <w:sz w:val="18"/>
          <w:szCs w:val="18"/>
          <w:lang w:val="uk-UA"/>
        </w:rPr>
        <w:t>2023</w:t>
      </w:r>
    </w:p>
    <w:p w14:paraId="3D2D7CB6" w14:textId="7A2DF201" w:rsidR="00E05B98" w:rsidRPr="000F63AB" w:rsidRDefault="00B01E0C">
      <w:pPr>
        <w:spacing w:before="3"/>
        <w:ind w:left="688"/>
        <w:rPr>
          <w:rFonts w:ascii="Trebuchet MS"/>
          <w:sz w:val="18"/>
          <w:szCs w:val="18"/>
          <w:lang w:val="uk-UA"/>
        </w:rPr>
      </w:pPr>
      <w:proofErr w:type="spellStart"/>
      <w:r w:rsidRPr="000F63AB">
        <w:rPr>
          <w:rFonts w:ascii="Trebuchet MS"/>
          <w:w w:val="75"/>
          <w:sz w:val="18"/>
          <w:szCs w:val="18"/>
          <w:lang w:val="uk-UA"/>
        </w:rPr>
        <w:t>Ou</w:t>
      </w:r>
      <w:proofErr w:type="spellEnd"/>
      <w:r w:rsidRPr="000F63AB">
        <w:rPr>
          <w:rFonts w:ascii="Trebuchet MS"/>
          <w:sz w:val="18"/>
          <w:szCs w:val="18"/>
          <w:lang w:val="uk-UA"/>
        </w:rPr>
        <w:t xml:space="preserve"> </w:t>
      </w:r>
      <w:r w:rsidRPr="000F63AB">
        <w:rPr>
          <w:rFonts w:ascii="Trebuchet MS"/>
          <w:spacing w:val="-4"/>
          <w:w w:val="85"/>
          <w:sz w:val="18"/>
          <w:szCs w:val="18"/>
          <w:lang w:val="uk-UA"/>
        </w:rPr>
        <w:t>2014</w:t>
      </w:r>
    </w:p>
    <w:p w14:paraId="15162627" w14:textId="0E53180A" w:rsidR="00E05B98" w:rsidRPr="000F63AB" w:rsidRDefault="00B01E0C">
      <w:pPr>
        <w:spacing w:before="38"/>
        <w:ind w:left="688"/>
        <w:rPr>
          <w:rFonts w:ascii="Trebuchet MS"/>
          <w:sz w:val="18"/>
          <w:szCs w:val="18"/>
          <w:lang w:val="uk-UA"/>
        </w:rPr>
      </w:pPr>
      <w:proofErr w:type="spellStart"/>
      <w:r w:rsidRPr="000F63AB">
        <w:rPr>
          <w:rFonts w:ascii="Trebuchet MS"/>
          <w:w w:val="70"/>
          <w:sz w:val="18"/>
          <w:szCs w:val="18"/>
          <w:lang w:val="uk-UA"/>
        </w:rPr>
        <w:t>Reddy</w:t>
      </w:r>
      <w:proofErr w:type="spellEnd"/>
      <w:r w:rsidRPr="000F63AB">
        <w:rPr>
          <w:rFonts w:ascii="Trebuchet MS"/>
          <w:sz w:val="18"/>
          <w:szCs w:val="18"/>
          <w:lang w:val="uk-UA"/>
        </w:rPr>
        <w:t xml:space="preserve"> </w:t>
      </w:r>
      <w:r w:rsidRPr="000F63AB">
        <w:rPr>
          <w:rFonts w:ascii="Trebuchet MS"/>
          <w:spacing w:val="-4"/>
          <w:w w:val="70"/>
          <w:sz w:val="18"/>
          <w:szCs w:val="18"/>
          <w:lang w:val="uk-UA"/>
        </w:rPr>
        <w:t>2017</w:t>
      </w:r>
    </w:p>
    <w:p w14:paraId="0DC261AA" w14:textId="0F3064C2" w:rsidR="00E05B98" w:rsidRPr="000F63AB" w:rsidRDefault="00B01E0C">
      <w:pPr>
        <w:spacing w:before="38"/>
        <w:ind w:left="688"/>
        <w:rPr>
          <w:rFonts w:ascii="Trebuchet MS"/>
          <w:sz w:val="18"/>
          <w:szCs w:val="18"/>
          <w:lang w:val="uk-UA"/>
        </w:rPr>
      </w:pPr>
      <w:proofErr w:type="spellStart"/>
      <w:r w:rsidRPr="000F63AB">
        <w:rPr>
          <w:rFonts w:ascii="Trebuchet MS"/>
          <w:w w:val="75"/>
          <w:sz w:val="18"/>
          <w:szCs w:val="18"/>
          <w:lang w:val="uk-UA"/>
        </w:rPr>
        <w:t>Ou</w:t>
      </w:r>
      <w:proofErr w:type="spellEnd"/>
      <w:r w:rsidRPr="000F63AB">
        <w:rPr>
          <w:rFonts w:ascii="Trebuchet MS"/>
          <w:sz w:val="18"/>
          <w:szCs w:val="18"/>
          <w:lang w:val="uk-UA"/>
        </w:rPr>
        <w:t xml:space="preserve"> </w:t>
      </w:r>
      <w:r w:rsidRPr="000F63AB">
        <w:rPr>
          <w:rFonts w:ascii="Trebuchet MS"/>
          <w:spacing w:val="-4"/>
          <w:w w:val="85"/>
          <w:sz w:val="18"/>
          <w:szCs w:val="18"/>
          <w:lang w:val="uk-UA"/>
        </w:rPr>
        <w:t>2016</w:t>
      </w:r>
    </w:p>
    <w:p w14:paraId="752972C6" w14:textId="0D8D39A6" w:rsidR="00E05B98" w:rsidRPr="000F63AB" w:rsidRDefault="00B01E0C">
      <w:pPr>
        <w:spacing w:before="39" w:line="280" w:lineRule="auto"/>
        <w:ind w:left="688" w:right="300"/>
        <w:rPr>
          <w:rFonts w:ascii="Trebuchet MS"/>
          <w:sz w:val="18"/>
          <w:szCs w:val="18"/>
          <w:lang w:val="uk-UA"/>
        </w:rPr>
      </w:pPr>
      <w:proofErr w:type="spellStart"/>
      <w:r w:rsidRPr="000F63AB">
        <w:rPr>
          <w:rFonts w:ascii="Trebuchet MS"/>
          <w:w w:val="70"/>
          <w:sz w:val="18"/>
          <w:szCs w:val="18"/>
          <w:lang w:val="uk-UA"/>
        </w:rPr>
        <w:t>Gelaw</w:t>
      </w:r>
      <w:proofErr w:type="spellEnd"/>
      <w:r w:rsidRPr="000F63AB">
        <w:rPr>
          <w:rFonts w:ascii="Trebuchet MS"/>
          <w:w w:val="70"/>
          <w:sz w:val="18"/>
          <w:szCs w:val="18"/>
          <w:lang w:val="uk-UA"/>
        </w:rPr>
        <w:t xml:space="preserve"> 2017</w:t>
      </w:r>
      <w:r w:rsidRPr="000F63AB">
        <w:rPr>
          <w:rFonts w:ascii="Trebuchet MS"/>
          <w:sz w:val="18"/>
          <w:szCs w:val="18"/>
          <w:lang w:val="uk-UA"/>
        </w:rPr>
        <w:t xml:space="preserve"> </w:t>
      </w:r>
      <w:proofErr w:type="spellStart"/>
      <w:r w:rsidRPr="000F63AB">
        <w:rPr>
          <w:rFonts w:ascii="Trebuchet MS"/>
          <w:w w:val="70"/>
          <w:sz w:val="18"/>
          <w:szCs w:val="18"/>
          <w:lang w:val="uk-UA"/>
        </w:rPr>
        <w:t>Pham</w:t>
      </w:r>
      <w:proofErr w:type="spellEnd"/>
      <w:r w:rsidRPr="000F63AB">
        <w:rPr>
          <w:rFonts w:ascii="Trebuchet MS"/>
          <w:spacing w:val="2"/>
          <w:sz w:val="18"/>
          <w:szCs w:val="18"/>
          <w:lang w:val="uk-UA"/>
        </w:rPr>
        <w:t xml:space="preserve"> </w:t>
      </w:r>
      <w:r w:rsidRPr="000F63AB">
        <w:rPr>
          <w:rFonts w:ascii="Trebuchet MS"/>
          <w:spacing w:val="-4"/>
          <w:w w:val="70"/>
          <w:sz w:val="18"/>
          <w:szCs w:val="18"/>
          <w:lang w:val="uk-UA"/>
        </w:rPr>
        <w:t>2018</w:t>
      </w:r>
    </w:p>
    <w:p w14:paraId="522502BA" w14:textId="7DE948ED" w:rsidR="00E05B98" w:rsidRPr="000F63AB" w:rsidRDefault="00B01E0C">
      <w:pPr>
        <w:spacing w:before="2" w:line="280" w:lineRule="auto"/>
        <w:ind w:left="688" w:right="70"/>
        <w:rPr>
          <w:rFonts w:ascii="Trebuchet MS"/>
          <w:sz w:val="18"/>
          <w:szCs w:val="18"/>
          <w:lang w:val="uk-UA"/>
        </w:rPr>
      </w:pPr>
      <w:proofErr w:type="spellStart"/>
      <w:r w:rsidRPr="000F63AB">
        <w:rPr>
          <w:rFonts w:ascii="Trebuchet MS"/>
          <w:w w:val="80"/>
          <w:sz w:val="18"/>
          <w:szCs w:val="18"/>
          <w:lang w:val="uk-UA"/>
        </w:rPr>
        <w:t>Odeume</w:t>
      </w:r>
      <w:proofErr w:type="spellEnd"/>
      <w:r w:rsidRPr="000F63AB">
        <w:rPr>
          <w:rFonts w:ascii="Trebuchet MS"/>
          <w:w w:val="80"/>
          <w:sz w:val="18"/>
          <w:szCs w:val="18"/>
          <w:lang w:val="uk-UA"/>
        </w:rPr>
        <w:t xml:space="preserve"> 2021 </w:t>
      </w:r>
      <w:proofErr w:type="spellStart"/>
      <w:r w:rsidRPr="000F63AB">
        <w:rPr>
          <w:rFonts w:ascii="Trebuchet MS"/>
          <w:w w:val="75"/>
          <w:sz w:val="18"/>
          <w:szCs w:val="18"/>
          <w:lang w:val="uk-UA"/>
        </w:rPr>
        <w:t>Danfack</w:t>
      </w:r>
      <w:proofErr w:type="spellEnd"/>
      <w:r w:rsidRPr="000F63AB">
        <w:rPr>
          <w:rFonts w:ascii="Trebuchet MS"/>
          <w:w w:val="75"/>
          <w:sz w:val="18"/>
          <w:szCs w:val="18"/>
          <w:lang w:val="uk-UA"/>
        </w:rPr>
        <w:t xml:space="preserve"> 2024b </w:t>
      </w:r>
      <w:proofErr w:type="spellStart"/>
      <w:r w:rsidRPr="000F63AB">
        <w:rPr>
          <w:rFonts w:ascii="Trebuchet MS"/>
          <w:w w:val="85"/>
          <w:sz w:val="18"/>
          <w:szCs w:val="18"/>
          <w:lang w:val="uk-UA"/>
        </w:rPr>
        <w:t>Cheng</w:t>
      </w:r>
      <w:proofErr w:type="spellEnd"/>
      <w:r w:rsidRPr="000F63AB">
        <w:rPr>
          <w:rFonts w:ascii="Trebuchet MS"/>
          <w:w w:val="85"/>
          <w:sz w:val="18"/>
          <w:szCs w:val="18"/>
          <w:lang w:val="uk-UA"/>
        </w:rPr>
        <w:t xml:space="preserve"> 2020 </w:t>
      </w:r>
      <w:proofErr w:type="spellStart"/>
      <w:r w:rsidRPr="000F63AB">
        <w:rPr>
          <w:rFonts w:ascii="Trebuchet MS"/>
          <w:w w:val="80"/>
          <w:sz w:val="18"/>
          <w:szCs w:val="18"/>
          <w:lang w:val="uk-UA"/>
        </w:rPr>
        <w:t>Danfack</w:t>
      </w:r>
      <w:proofErr w:type="spellEnd"/>
      <w:r w:rsidRPr="000F63AB">
        <w:rPr>
          <w:rFonts w:ascii="Trebuchet MS"/>
          <w:w w:val="80"/>
          <w:sz w:val="18"/>
          <w:szCs w:val="18"/>
          <w:lang w:val="uk-UA"/>
        </w:rPr>
        <w:t xml:space="preserve"> 2018</w:t>
      </w:r>
    </w:p>
    <w:p w14:paraId="70E66984" w14:textId="7E7F2DAF" w:rsidR="00E05B98" w:rsidRPr="000F63AB" w:rsidRDefault="00B01E0C">
      <w:pPr>
        <w:spacing w:before="3" w:line="280" w:lineRule="auto"/>
        <w:ind w:left="688" w:right="18"/>
        <w:rPr>
          <w:rFonts w:ascii="Trebuchet MS"/>
          <w:sz w:val="18"/>
          <w:szCs w:val="18"/>
          <w:lang w:val="uk-UA"/>
        </w:rPr>
      </w:pPr>
      <w:proofErr w:type="spellStart"/>
      <w:r w:rsidRPr="000F63AB">
        <w:rPr>
          <w:rFonts w:ascii="Trebuchet MS"/>
          <w:w w:val="75"/>
          <w:sz w:val="18"/>
          <w:szCs w:val="18"/>
          <w:lang w:val="uk-UA"/>
        </w:rPr>
        <w:t>Promsena</w:t>
      </w:r>
      <w:proofErr w:type="spellEnd"/>
      <w:r w:rsidRPr="000F63AB">
        <w:rPr>
          <w:rFonts w:ascii="Trebuchet MS"/>
          <w:spacing w:val="-6"/>
          <w:sz w:val="18"/>
          <w:szCs w:val="18"/>
          <w:lang w:val="uk-UA"/>
        </w:rPr>
        <w:t xml:space="preserve"> </w:t>
      </w:r>
      <w:r w:rsidRPr="000F63AB">
        <w:rPr>
          <w:rFonts w:ascii="Trebuchet MS"/>
          <w:w w:val="75"/>
          <w:sz w:val="18"/>
          <w:szCs w:val="18"/>
          <w:lang w:val="uk-UA"/>
        </w:rPr>
        <w:t xml:space="preserve">2022 </w:t>
      </w:r>
      <w:proofErr w:type="spellStart"/>
      <w:r w:rsidRPr="000F63AB">
        <w:rPr>
          <w:rFonts w:ascii="Trebuchet MS"/>
          <w:w w:val="85"/>
          <w:sz w:val="18"/>
          <w:szCs w:val="18"/>
          <w:lang w:val="uk-UA"/>
        </w:rPr>
        <w:t>Kim</w:t>
      </w:r>
      <w:proofErr w:type="spellEnd"/>
      <w:r w:rsidRPr="000F63AB">
        <w:rPr>
          <w:rFonts w:ascii="Trebuchet MS"/>
          <w:w w:val="85"/>
          <w:sz w:val="18"/>
          <w:szCs w:val="18"/>
          <w:lang w:val="uk-UA"/>
        </w:rPr>
        <w:t xml:space="preserve"> 2018</w:t>
      </w:r>
    </w:p>
    <w:p w14:paraId="526AE5E3" w14:textId="700887FC" w:rsidR="00E05B98" w:rsidRPr="000F63AB" w:rsidRDefault="00B01E0C">
      <w:pPr>
        <w:spacing w:before="2"/>
        <w:ind w:left="688"/>
        <w:rPr>
          <w:rFonts w:ascii="Trebuchet MS"/>
          <w:sz w:val="18"/>
          <w:szCs w:val="18"/>
          <w:lang w:val="uk-UA"/>
        </w:rPr>
      </w:pPr>
      <w:r w:rsidRPr="000F63AB">
        <w:rPr>
          <w:rFonts w:ascii="Trebuchet MS"/>
          <w:w w:val="70"/>
          <w:sz w:val="18"/>
          <w:szCs w:val="18"/>
          <w:lang w:val="uk-UA"/>
        </w:rPr>
        <w:t>Gray</w:t>
      </w:r>
      <w:r w:rsidRPr="000F63AB">
        <w:rPr>
          <w:rFonts w:ascii="Trebuchet MS"/>
          <w:spacing w:val="-4"/>
          <w:sz w:val="18"/>
          <w:szCs w:val="18"/>
          <w:lang w:val="uk-UA"/>
        </w:rPr>
        <w:t xml:space="preserve"> </w:t>
      </w:r>
      <w:r w:rsidRPr="000F63AB">
        <w:rPr>
          <w:rFonts w:ascii="Trebuchet MS"/>
          <w:spacing w:val="-4"/>
          <w:w w:val="70"/>
          <w:sz w:val="18"/>
          <w:szCs w:val="18"/>
          <w:lang w:val="uk-UA"/>
        </w:rPr>
        <w:t>2016</w:t>
      </w:r>
    </w:p>
    <w:p w14:paraId="6A0215E5" w14:textId="1255C0AA" w:rsidR="00E05B98" w:rsidRPr="000F63AB" w:rsidRDefault="00B01E0C">
      <w:pPr>
        <w:spacing w:before="39" w:line="280" w:lineRule="auto"/>
        <w:ind w:left="688" w:right="233"/>
        <w:rPr>
          <w:rFonts w:ascii="Trebuchet MS"/>
          <w:sz w:val="18"/>
          <w:szCs w:val="18"/>
          <w:lang w:val="uk-UA"/>
        </w:rPr>
      </w:pPr>
      <w:proofErr w:type="spellStart"/>
      <w:r w:rsidRPr="000F63AB">
        <w:rPr>
          <w:rFonts w:ascii="Trebuchet MS"/>
          <w:w w:val="70"/>
          <w:sz w:val="18"/>
          <w:szCs w:val="18"/>
          <w:lang w:val="uk-UA"/>
        </w:rPr>
        <w:t>Danfack</w:t>
      </w:r>
      <w:proofErr w:type="spellEnd"/>
      <w:r w:rsidRPr="000F63AB">
        <w:rPr>
          <w:rFonts w:ascii="Trebuchet MS"/>
          <w:spacing w:val="-9"/>
          <w:sz w:val="18"/>
          <w:szCs w:val="18"/>
          <w:lang w:val="uk-UA"/>
        </w:rPr>
        <w:t xml:space="preserve"> </w:t>
      </w:r>
      <w:r w:rsidRPr="000F63AB">
        <w:rPr>
          <w:rFonts w:ascii="Trebuchet MS"/>
          <w:w w:val="70"/>
          <w:sz w:val="18"/>
          <w:szCs w:val="18"/>
          <w:lang w:val="uk-UA"/>
        </w:rPr>
        <w:t>2023</w:t>
      </w:r>
      <w:r w:rsidRPr="000F63AB">
        <w:rPr>
          <w:rFonts w:ascii="Trebuchet MS"/>
          <w:w w:val="85"/>
          <w:sz w:val="18"/>
          <w:szCs w:val="18"/>
          <w:lang w:val="uk-UA"/>
        </w:rPr>
        <w:t xml:space="preserve"> </w:t>
      </w:r>
      <w:proofErr w:type="spellStart"/>
      <w:r w:rsidRPr="000F63AB">
        <w:rPr>
          <w:rFonts w:ascii="Trebuchet MS"/>
          <w:w w:val="85"/>
          <w:sz w:val="18"/>
          <w:szCs w:val="18"/>
          <w:lang w:val="uk-UA"/>
        </w:rPr>
        <w:t>Kaku</w:t>
      </w:r>
      <w:proofErr w:type="spellEnd"/>
      <w:r w:rsidRPr="000F63AB">
        <w:rPr>
          <w:rFonts w:ascii="Trebuchet MS"/>
          <w:w w:val="85"/>
          <w:sz w:val="18"/>
          <w:szCs w:val="18"/>
          <w:lang w:val="uk-UA"/>
        </w:rPr>
        <w:t xml:space="preserve"> 2016</w:t>
      </w:r>
    </w:p>
    <w:p w14:paraId="6D0EE9A0" w14:textId="50D53EEA" w:rsidR="00E05B98" w:rsidRPr="000F63AB" w:rsidRDefault="00B01E0C">
      <w:pPr>
        <w:spacing w:before="2" w:line="280" w:lineRule="auto"/>
        <w:ind w:left="688" w:right="300"/>
        <w:rPr>
          <w:rFonts w:ascii="Trebuchet MS"/>
          <w:sz w:val="18"/>
          <w:szCs w:val="18"/>
          <w:lang w:val="uk-UA"/>
        </w:rPr>
      </w:pPr>
      <w:proofErr w:type="spellStart"/>
      <w:r w:rsidRPr="000F63AB">
        <w:rPr>
          <w:rFonts w:ascii="Trebuchet MS"/>
          <w:w w:val="75"/>
          <w:sz w:val="18"/>
          <w:szCs w:val="18"/>
          <w:lang w:val="uk-UA"/>
        </w:rPr>
        <w:t>Wang</w:t>
      </w:r>
      <w:proofErr w:type="spellEnd"/>
      <w:r w:rsidRPr="000F63AB">
        <w:rPr>
          <w:rFonts w:ascii="Trebuchet MS"/>
          <w:spacing w:val="-4"/>
          <w:w w:val="75"/>
          <w:sz w:val="18"/>
          <w:szCs w:val="18"/>
          <w:lang w:val="uk-UA"/>
        </w:rPr>
        <w:t xml:space="preserve"> </w:t>
      </w:r>
      <w:r w:rsidRPr="000F63AB">
        <w:rPr>
          <w:rFonts w:ascii="Trebuchet MS"/>
          <w:w w:val="75"/>
          <w:sz w:val="18"/>
          <w:szCs w:val="18"/>
          <w:lang w:val="uk-UA"/>
        </w:rPr>
        <w:t xml:space="preserve">2019 </w:t>
      </w:r>
      <w:proofErr w:type="spellStart"/>
      <w:r w:rsidRPr="000F63AB">
        <w:rPr>
          <w:rFonts w:ascii="Trebuchet MS"/>
          <w:w w:val="85"/>
          <w:sz w:val="18"/>
          <w:szCs w:val="18"/>
          <w:lang w:val="uk-UA"/>
        </w:rPr>
        <w:t>Ou</w:t>
      </w:r>
      <w:proofErr w:type="spellEnd"/>
      <w:r w:rsidRPr="000F63AB">
        <w:rPr>
          <w:rFonts w:ascii="Trebuchet MS"/>
          <w:spacing w:val="-9"/>
          <w:w w:val="85"/>
          <w:sz w:val="18"/>
          <w:szCs w:val="18"/>
          <w:lang w:val="uk-UA"/>
        </w:rPr>
        <w:t xml:space="preserve"> </w:t>
      </w:r>
      <w:r w:rsidRPr="000F63AB">
        <w:rPr>
          <w:rFonts w:ascii="Trebuchet MS"/>
          <w:w w:val="85"/>
          <w:sz w:val="18"/>
          <w:szCs w:val="18"/>
          <w:lang w:val="uk-UA"/>
        </w:rPr>
        <w:t>2019</w:t>
      </w:r>
    </w:p>
    <w:p w14:paraId="70258D7E" w14:textId="7ECD05CE" w:rsidR="00E05B98" w:rsidRPr="000F63AB" w:rsidRDefault="00B01E0C">
      <w:pPr>
        <w:spacing w:before="1" w:line="280" w:lineRule="auto"/>
        <w:ind w:left="688" w:right="300"/>
        <w:rPr>
          <w:rFonts w:ascii="Trebuchet MS"/>
          <w:sz w:val="18"/>
          <w:szCs w:val="18"/>
          <w:lang w:val="uk-UA"/>
        </w:rPr>
      </w:pPr>
      <w:proofErr w:type="spellStart"/>
      <w:r w:rsidRPr="000F63AB">
        <w:rPr>
          <w:rFonts w:ascii="Trebuchet MS"/>
          <w:w w:val="70"/>
          <w:sz w:val="18"/>
          <w:szCs w:val="18"/>
          <w:lang w:val="uk-UA"/>
        </w:rPr>
        <w:t>Mitarai</w:t>
      </w:r>
      <w:proofErr w:type="spellEnd"/>
      <w:r w:rsidRPr="000F63AB">
        <w:rPr>
          <w:rFonts w:ascii="Trebuchet MS"/>
          <w:spacing w:val="-3"/>
          <w:w w:val="70"/>
          <w:sz w:val="18"/>
          <w:szCs w:val="18"/>
          <w:lang w:val="uk-UA"/>
        </w:rPr>
        <w:t xml:space="preserve"> </w:t>
      </w:r>
      <w:r w:rsidRPr="000F63AB">
        <w:rPr>
          <w:rFonts w:ascii="Trebuchet MS"/>
          <w:w w:val="70"/>
          <w:sz w:val="18"/>
          <w:szCs w:val="18"/>
          <w:lang w:val="uk-UA"/>
        </w:rPr>
        <w:t>2011</w:t>
      </w:r>
      <w:r w:rsidRPr="000F63AB">
        <w:rPr>
          <w:rFonts w:ascii="Trebuchet MS"/>
          <w:sz w:val="18"/>
          <w:szCs w:val="18"/>
          <w:lang w:val="uk-UA"/>
        </w:rPr>
        <w:t xml:space="preserve"> </w:t>
      </w:r>
      <w:proofErr w:type="spellStart"/>
      <w:r w:rsidRPr="000F63AB">
        <w:rPr>
          <w:rFonts w:ascii="Trebuchet MS"/>
          <w:w w:val="70"/>
          <w:sz w:val="18"/>
          <w:szCs w:val="18"/>
          <w:lang w:val="uk-UA"/>
        </w:rPr>
        <w:t>Yadav</w:t>
      </w:r>
      <w:proofErr w:type="spellEnd"/>
      <w:r w:rsidRPr="000F63AB">
        <w:rPr>
          <w:rFonts w:ascii="Trebuchet MS"/>
          <w:spacing w:val="8"/>
          <w:sz w:val="18"/>
          <w:szCs w:val="18"/>
          <w:lang w:val="uk-UA"/>
        </w:rPr>
        <w:t xml:space="preserve"> </w:t>
      </w:r>
      <w:r w:rsidRPr="000F63AB">
        <w:rPr>
          <w:rFonts w:ascii="Trebuchet MS"/>
          <w:spacing w:val="-4"/>
          <w:w w:val="70"/>
          <w:sz w:val="18"/>
          <w:szCs w:val="18"/>
          <w:lang w:val="uk-UA"/>
        </w:rPr>
        <w:t>2021</w:t>
      </w:r>
    </w:p>
    <w:p w14:paraId="6BB20A0A" w14:textId="55F66223" w:rsidR="00E05B98" w:rsidRPr="000F63AB" w:rsidRDefault="00B01E0C">
      <w:pPr>
        <w:spacing w:before="2" w:line="280" w:lineRule="auto"/>
        <w:ind w:left="688"/>
        <w:rPr>
          <w:rFonts w:ascii="Trebuchet MS"/>
          <w:sz w:val="18"/>
          <w:szCs w:val="18"/>
          <w:lang w:val="uk-UA"/>
        </w:rPr>
      </w:pPr>
      <w:proofErr w:type="spellStart"/>
      <w:r w:rsidRPr="000F63AB">
        <w:rPr>
          <w:rFonts w:ascii="Trebuchet MS"/>
          <w:w w:val="75"/>
          <w:sz w:val="18"/>
          <w:szCs w:val="18"/>
          <w:lang w:val="uk-UA"/>
        </w:rPr>
        <w:t>N'Guessan</w:t>
      </w:r>
      <w:proofErr w:type="spellEnd"/>
      <w:r w:rsidRPr="000F63AB">
        <w:rPr>
          <w:rFonts w:ascii="Trebuchet MS"/>
          <w:w w:val="75"/>
          <w:sz w:val="18"/>
          <w:szCs w:val="18"/>
          <w:lang w:val="uk-UA"/>
        </w:rPr>
        <w:t xml:space="preserve"> 2016 </w:t>
      </w:r>
      <w:proofErr w:type="spellStart"/>
      <w:r w:rsidRPr="000F63AB">
        <w:rPr>
          <w:rFonts w:ascii="Trebuchet MS"/>
          <w:w w:val="85"/>
          <w:sz w:val="18"/>
          <w:szCs w:val="18"/>
          <w:lang w:val="uk-UA"/>
        </w:rPr>
        <w:t>Wahid</w:t>
      </w:r>
      <w:proofErr w:type="spellEnd"/>
      <w:r w:rsidRPr="000F63AB">
        <w:rPr>
          <w:rFonts w:ascii="Trebuchet MS"/>
          <w:spacing w:val="-11"/>
          <w:w w:val="85"/>
          <w:sz w:val="18"/>
          <w:szCs w:val="18"/>
          <w:lang w:val="uk-UA"/>
        </w:rPr>
        <w:t xml:space="preserve"> </w:t>
      </w:r>
      <w:r w:rsidRPr="000F63AB">
        <w:rPr>
          <w:rFonts w:ascii="Trebuchet MS"/>
          <w:w w:val="85"/>
          <w:sz w:val="18"/>
          <w:szCs w:val="18"/>
          <w:lang w:val="uk-UA"/>
        </w:rPr>
        <w:t>2020</w:t>
      </w:r>
    </w:p>
    <w:p w14:paraId="283817CC" w14:textId="786EC4CB" w:rsidR="00E05B98" w:rsidRPr="000F63AB" w:rsidRDefault="00B01E0C">
      <w:pPr>
        <w:spacing w:before="2" w:line="280" w:lineRule="auto"/>
        <w:ind w:left="688" w:right="233"/>
        <w:rPr>
          <w:rFonts w:ascii="Trebuchet MS"/>
          <w:sz w:val="18"/>
          <w:szCs w:val="18"/>
          <w:lang w:val="uk-UA"/>
        </w:rPr>
      </w:pPr>
      <w:proofErr w:type="spellStart"/>
      <w:r w:rsidRPr="000F63AB">
        <w:rPr>
          <w:rFonts w:ascii="Trebuchet MS"/>
          <w:w w:val="75"/>
          <w:sz w:val="18"/>
          <w:szCs w:val="18"/>
          <w:lang w:val="uk-UA"/>
        </w:rPr>
        <w:t>Bojang</w:t>
      </w:r>
      <w:proofErr w:type="spellEnd"/>
      <w:r w:rsidRPr="000F63AB">
        <w:rPr>
          <w:rFonts w:ascii="Trebuchet MS"/>
          <w:spacing w:val="-4"/>
          <w:w w:val="75"/>
          <w:sz w:val="18"/>
          <w:szCs w:val="18"/>
          <w:lang w:val="uk-UA"/>
        </w:rPr>
        <w:t xml:space="preserve"> </w:t>
      </w:r>
      <w:r w:rsidRPr="000F63AB">
        <w:rPr>
          <w:rFonts w:ascii="Trebuchet MS"/>
          <w:w w:val="75"/>
          <w:sz w:val="18"/>
          <w:szCs w:val="18"/>
          <w:lang w:val="uk-UA"/>
        </w:rPr>
        <w:t xml:space="preserve">2016 </w:t>
      </w:r>
      <w:proofErr w:type="spellStart"/>
      <w:r w:rsidRPr="000F63AB">
        <w:rPr>
          <w:rFonts w:ascii="Trebuchet MS"/>
          <w:w w:val="70"/>
          <w:sz w:val="18"/>
          <w:szCs w:val="18"/>
          <w:lang w:val="uk-UA"/>
        </w:rPr>
        <w:t>Yadav</w:t>
      </w:r>
      <w:proofErr w:type="spellEnd"/>
      <w:r w:rsidRPr="000F63AB">
        <w:rPr>
          <w:rFonts w:ascii="Trebuchet MS"/>
          <w:spacing w:val="8"/>
          <w:sz w:val="18"/>
          <w:szCs w:val="18"/>
          <w:lang w:val="uk-UA"/>
        </w:rPr>
        <w:t xml:space="preserve"> </w:t>
      </w:r>
      <w:r w:rsidRPr="000F63AB">
        <w:rPr>
          <w:rFonts w:ascii="Trebuchet MS"/>
          <w:spacing w:val="-4"/>
          <w:w w:val="70"/>
          <w:sz w:val="18"/>
          <w:szCs w:val="18"/>
          <w:lang w:val="uk-UA"/>
        </w:rPr>
        <w:t>2017</w:t>
      </w:r>
    </w:p>
    <w:p w14:paraId="0AF5B1D2" w14:textId="4AA0915C" w:rsidR="00E05B98" w:rsidRPr="000F63AB" w:rsidRDefault="00B01E0C">
      <w:pPr>
        <w:spacing w:before="107" w:line="319" w:lineRule="auto"/>
        <w:ind w:left="287" w:hanging="21"/>
        <w:jc w:val="right"/>
        <w:rPr>
          <w:rFonts w:ascii="Trebuchet MS"/>
          <w:sz w:val="18"/>
          <w:szCs w:val="18"/>
          <w:lang w:val="uk-UA"/>
        </w:rPr>
      </w:pPr>
      <w:r w:rsidRPr="000F63AB">
        <w:rPr>
          <w:sz w:val="18"/>
          <w:szCs w:val="18"/>
          <w:lang w:val="uk-UA"/>
        </w:rPr>
        <w:br w:type="column"/>
      </w:r>
      <w:r w:rsidRPr="000F63AB">
        <w:rPr>
          <w:rFonts w:ascii="Trebuchet MS"/>
          <w:color w:val="333333"/>
          <w:spacing w:val="10"/>
          <w:w w:val="70"/>
          <w:sz w:val="18"/>
          <w:szCs w:val="18"/>
          <w:lang w:val="uk-UA"/>
        </w:rPr>
        <w:t xml:space="preserve">TP </w:t>
      </w:r>
      <w:r w:rsidRPr="000F63AB">
        <w:rPr>
          <w:rFonts w:ascii="Trebuchet MS"/>
          <w:spacing w:val="-5"/>
          <w:w w:val="75"/>
          <w:sz w:val="18"/>
          <w:szCs w:val="18"/>
          <w:lang w:val="uk-UA"/>
        </w:rPr>
        <w:t>46</w:t>
      </w:r>
    </w:p>
    <w:p w14:paraId="0EB38E6C" w14:textId="77777777" w:rsidR="00E05B98" w:rsidRPr="000F63AB" w:rsidRDefault="00B01E0C">
      <w:pPr>
        <w:spacing w:line="186" w:lineRule="exact"/>
        <w:jc w:val="right"/>
        <w:rPr>
          <w:rFonts w:ascii="Trebuchet MS"/>
          <w:sz w:val="18"/>
          <w:szCs w:val="18"/>
          <w:lang w:val="uk-UA"/>
        </w:rPr>
      </w:pPr>
      <w:r w:rsidRPr="000F63AB">
        <w:rPr>
          <w:rFonts w:ascii="Trebuchet MS"/>
          <w:spacing w:val="-5"/>
          <w:w w:val="85"/>
          <w:sz w:val="18"/>
          <w:szCs w:val="18"/>
          <w:lang w:val="uk-UA"/>
        </w:rPr>
        <w:t>32</w:t>
      </w:r>
    </w:p>
    <w:p w14:paraId="196B8381" w14:textId="77777777" w:rsidR="00E05B98" w:rsidRPr="000F63AB" w:rsidRDefault="00B01E0C">
      <w:pPr>
        <w:spacing w:before="38"/>
        <w:jc w:val="right"/>
        <w:rPr>
          <w:rFonts w:ascii="Trebuchet MS"/>
          <w:sz w:val="18"/>
          <w:szCs w:val="18"/>
          <w:lang w:val="uk-UA"/>
        </w:rPr>
      </w:pPr>
      <w:r w:rsidRPr="000F63AB">
        <w:rPr>
          <w:rFonts w:ascii="Trebuchet MS"/>
          <w:spacing w:val="-5"/>
          <w:w w:val="85"/>
          <w:sz w:val="18"/>
          <w:szCs w:val="18"/>
          <w:lang w:val="uk-UA"/>
        </w:rPr>
        <w:t>26</w:t>
      </w:r>
    </w:p>
    <w:p w14:paraId="4CA09D2A" w14:textId="77777777" w:rsidR="00E05B98" w:rsidRPr="000F63AB" w:rsidRDefault="00B01E0C">
      <w:pPr>
        <w:spacing w:before="39"/>
        <w:ind w:right="1"/>
        <w:jc w:val="right"/>
        <w:rPr>
          <w:rFonts w:ascii="Trebuchet MS"/>
          <w:sz w:val="18"/>
          <w:szCs w:val="18"/>
          <w:lang w:val="uk-UA"/>
        </w:rPr>
      </w:pPr>
      <w:r w:rsidRPr="000F63AB">
        <w:rPr>
          <w:rFonts w:ascii="Trebuchet MS"/>
          <w:spacing w:val="-5"/>
          <w:w w:val="85"/>
          <w:sz w:val="18"/>
          <w:szCs w:val="18"/>
          <w:lang w:val="uk-UA"/>
        </w:rPr>
        <w:t>141</w:t>
      </w:r>
    </w:p>
    <w:p w14:paraId="48BA4207" w14:textId="77777777" w:rsidR="00E05B98" w:rsidRPr="000F63AB" w:rsidRDefault="00B01E0C">
      <w:pPr>
        <w:spacing w:before="38"/>
        <w:ind w:right="1"/>
        <w:jc w:val="right"/>
        <w:rPr>
          <w:rFonts w:ascii="Trebuchet MS"/>
          <w:sz w:val="18"/>
          <w:szCs w:val="18"/>
          <w:lang w:val="uk-UA"/>
        </w:rPr>
      </w:pPr>
      <w:r w:rsidRPr="000F63AB">
        <w:rPr>
          <w:rFonts w:ascii="Trebuchet MS"/>
          <w:spacing w:val="-5"/>
          <w:w w:val="85"/>
          <w:sz w:val="18"/>
          <w:szCs w:val="18"/>
          <w:lang w:val="uk-UA"/>
        </w:rPr>
        <w:t>265</w:t>
      </w:r>
    </w:p>
    <w:p w14:paraId="2C83E45B" w14:textId="77777777" w:rsidR="00E05B98" w:rsidRPr="000F63AB" w:rsidRDefault="00B01E0C">
      <w:pPr>
        <w:spacing w:before="39"/>
        <w:ind w:right="1"/>
        <w:jc w:val="right"/>
        <w:rPr>
          <w:rFonts w:ascii="Trebuchet MS"/>
          <w:sz w:val="18"/>
          <w:szCs w:val="18"/>
          <w:lang w:val="uk-UA"/>
        </w:rPr>
      </w:pPr>
      <w:r w:rsidRPr="000F63AB">
        <w:rPr>
          <w:rFonts w:ascii="Trebuchet MS"/>
          <w:spacing w:val="-5"/>
          <w:w w:val="85"/>
          <w:sz w:val="18"/>
          <w:szCs w:val="18"/>
          <w:lang w:val="uk-UA"/>
        </w:rPr>
        <w:t>119</w:t>
      </w:r>
    </w:p>
    <w:p w14:paraId="5ADC3A6B" w14:textId="77777777" w:rsidR="00E05B98" w:rsidRPr="000F63AB" w:rsidRDefault="00B01E0C">
      <w:pPr>
        <w:spacing w:before="38"/>
        <w:ind w:right="1"/>
        <w:jc w:val="right"/>
        <w:rPr>
          <w:rFonts w:ascii="Trebuchet MS"/>
          <w:sz w:val="18"/>
          <w:szCs w:val="18"/>
          <w:lang w:val="uk-UA"/>
        </w:rPr>
      </w:pPr>
      <w:r w:rsidRPr="000F63AB">
        <w:rPr>
          <w:rFonts w:ascii="Trebuchet MS"/>
          <w:spacing w:val="-5"/>
          <w:w w:val="85"/>
          <w:sz w:val="18"/>
          <w:szCs w:val="18"/>
          <w:lang w:val="uk-UA"/>
        </w:rPr>
        <w:t>322</w:t>
      </w:r>
    </w:p>
    <w:p w14:paraId="4DBA0006" w14:textId="77777777" w:rsidR="00E05B98" w:rsidRPr="000F63AB" w:rsidRDefault="00B01E0C">
      <w:pPr>
        <w:spacing w:before="39"/>
        <w:jc w:val="right"/>
        <w:rPr>
          <w:rFonts w:ascii="Trebuchet MS"/>
          <w:sz w:val="18"/>
          <w:szCs w:val="18"/>
          <w:lang w:val="uk-UA"/>
        </w:rPr>
      </w:pPr>
      <w:r w:rsidRPr="000F63AB">
        <w:rPr>
          <w:rFonts w:ascii="Trebuchet MS"/>
          <w:spacing w:val="-5"/>
          <w:w w:val="85"/>
          <w:sz w:val="18"/>
          <w:szCs w:val="18"/>
          <w:lang w:val="uk-UA"/>
        </w:rPr>
        <w:t>21</w:t>
      </w:r>
    </w:p>
    <w:p w14:paraId="739FC842" w14:textId="77777777" w:rsidR="00E05B98" w:rsidRPr="000F63AB" w:rsidRDefault="00B01E0C">
      <w:pPr>
        <w:spacing w:before="38"/>
        <w:ind w:right="1"/>
        <w:jc w:val="right"/>
        <w:rPr>
          <w:rFonts w:ascii="Trebuchet MS"/>
          <w:sz w:val="18"/>
          <w:szCs w:val="18"/>
          <w:lang w:val="uk-UA"/>
        </w:rPr>
      </w:pPr>
      <w:r w:rsidRPr="000F63AB">
        <w:rPr>
          <w:rFonts w:ascii="Trebuchet MS"/>
          <w:spacing w:val="-5"/>
          <w:w w:val="85"/>
          <w:sz w:val="18"/>
          <w:szCs w:val="18"/>
          <w:lang w:val="uk-UA"/>
        </w:rPr>
        <w:t>292</w:t>
      </w:r>
    </w:p>
    <w:p w14:paraId="53D28343" w14:textId="77777777" w:rsidR="00E05B98" w:rsidRPr="000F63AB" w:rsidRDefault="00B01E0C">
      <w:pPr>
        <w:spacing w:before="38"/>
        <w:jc w:val="right"/>
        <w:rPr>
          <w:rFonts w:ascii="Trebuchet MS"/>
          <w:sz w:val="18"/>
          <w:szCs w:val="18"/>
          <w:lang w:val="uk-UA"/>
        </w:rPr>
      </w:pPr>
      <w:r w:rsidRPr="000F63AB">
        <w:rPr>
          <w:rFonts w:ascii="Trebuchet MS"/>
          <w:spacing w:val="-5"/>
          <w:w w:val="85"/>
          <w:sz w:val="18"/>
          <w:szCs w:val="18"/>
          <w:lang w:val="uk-UA"/>
        </w:rPr>
        <w:t>99</w:t>
      </w:r>
    </w:p>
    <w:p w14:paraId="4E0281C6" w14:textId="77777777" w:rsidR="00E05B98" w:rsidRPr="000F63AB" w:rsidRDefault="00B01E0C">
      <w:pPr>
        <w:spacing w:before="39"/>
        <w:ind w:right="1"/>
        <w:jc w:val="right"/>
        <w:rPr>
          <w:rFonts w:ascii="Trebuchet MS"/>
          <w:sz w:val="18"/>
          <w:szCs w:val="18"/>
          <w:lang w:val="uk-UA"/>
        </w:rPr>
      </w:pPr>
      <w:r w:rsidRPr="000F63AB">
        <w:rPr>
          <w:rFonts w:ascii="Trebuchet MS"/>
          <w:spacing w:val="-5"/>
          <w:w w:val="85"/>
          <w:sz w:val="18"/>
          <w:szCs w:val="18"/>
          <w:lang w:val="uk-UA"/>
        </w:rPr>
        <w:t>141</w:t>
      </w:r>
    </w:p>
    <w:p w14:paraId="51395A00" w14:textId="77777777" w:rsidR="00E05B98" w:rsidRPr="000F63AB" w:rsidRDefault="00B01E0C">
      <w:pPr>
        <w:spacing w:before="38"/>
        <w:ind w:right="1"/>
        <w:jc w:val="right"/>
        <w:rPr>
          <w:rFonts w:ascii="Trebuchet MS"/>
          <w:sz w:val="18"/>
          <w:szCs w:val="18"/>
          <w:lang w:val="uk-UA"/>
        </w:rPr>
      </w:pPr>
      <w:r w:rsidRPr="000F63AB">
        <w:rPr>
          <w:rFonts w:ascii="Trebuchet MS"/>
          <w:spacing w:val="-5"/>
          <w:w w:val="85"/>
          <w:sz w:val="18"/>
          <w:szCs w:val="18"/>
          <w:lang w:val="uk-UA"/>
        </w:rPr>
        <w:t>128</w:t>
      </w:r>
    </w:p>
    <w:p w14:paraId="203EA05F" w14:textId="77777777" w:rsidR="00E05B98" w:rsidRPr="000F63AB" w:rsidRDefault="00B01E0C">
      <w:pPr>
        <w:spacing w:before="39"/>
        <w:ind w:right="1"/>
        <w:jc w:val="right"/>
        <w:rPr>
          <w:rFonts w:ascii="Trebuchet MS"/>
          <w:sz w:val="18"/>
          <w:szCs w:val="18"/>
          <w:lang w:val="uk-UA"/>
        </w:rPr>
      </w:pPr>
      <w:r w:rsidRPr="000F63AB">
        <w:rPr>
          <w:rFonts w:ascii="Trebuchet MS"/>
          <w:spacing w:val="-5"/>
          <w:w w:val="85"/>
          <w:sz w:val="18"/>
          <w:szCs w:val="18"/>
          <w:lang w:val="uk-UA"/>
        </w:rPr>
        <w:t>171</w:t>
      </w:r>
    </w:p>
    <w:p w14:paraId="1D9B2558" w14:textId="77777777" w:rsidR="00E05B98" w:rsidRPr="000F63AB" w:rsidRDefault="00B01E0C">
      <w:pPr>
        <w:spacing w:before="38"/>
        <w:ind w:right="4"/>
        <w:jc w:val="right"/>
        <w:rPr>
          <w:rFonts w:ascii="Trebuchet MS"/>
          <w:sz w:val="18"/>
          <w:szCs w:val="18"/>
          <w:lang w:val="uk-UA"/>
        </w:rPr>
      </w:pPr>
      <w:r w:rsidRPr="000F63AB">
        <w:rPr>
          <w:rFonts w:ascii="Trebuchet MS"/>
          <w:spacing w:val="-10"/>
          <w:w w:val="85"/>
          <w:sz w:val="18"/>
          <w:szCs w:val="18"/>
          <w:lang w:val="uk-UA"/>
        </w:rPr>
        <w:t>5</w:t>
      </w:r>
    </w:p>
    <w:p w14:paraId="63F469B9" w14:textId="77777777" w:rsidR="00E05B98" w:rsidRPr="000F63AB" w:rsidRDefault="00B01E0C">
      <w:pPr>
        <w:spacing w:before="39"/>
        <w:jc w:val="right"/>
        <w:rPr>
          <w:rFonts w:ascii="Trebuchet MS"/>
          <w:sz w:val="18"/>
          <w:szCs w:val="18"/>
          <w:lang w:val="uk-UA"/>
        </w:rPr>
      </w:pPr>
      <w:r w:rsidRPr="000F63AB">
        <w:rPr>
          <w:rFonts w:ascii="Trebuchet MS"/>
          <w:spacing w:val="-5"/>
          <w:w w:val="85"/>
          <w:sz w:val="18"/>
          <w:szCs w:val="18"/>
          <w:lang w:val="uk-UA"/>
        </w:rPr>
        <w:t>56</w:t>
      </w:r>
    </w:p>
    <w:p w14:paraId="3288C65C" w14:textId="77777777" w:rsidR="00E05B98" w:rsidRPr="000F63AB" w:rsidRDefault="00B01E0C">
      <w:pPr>
        <w:spacing w:before="38"/>
        <w:ind w:right="1"/>
        <w:jc w:val="right"/>
        <w:rPr>
          <w:rFonts w:ascii="Trebuchet MS"/>
          <w:sz w:val="18"/>
          <w:szCs w:val="18"/>
          <w:lang w:val="uk-UA"/>
        </w:rPr>
      </w:pPr>
      <w:r w:rsidRPr="000F63AB">
        <w:rPr>
          <w:rFonts w:ascii="Trebuchet MS"/>
          <w:spacing w:val="-5"/>
          <w:w w:val="85"/>
          <w:sz w:val="18"/>
          <w:szCs w:val="18"/>
          <w:lang w:val="uk-UA"/>
        </w:rPr>
        <w:t>331</w:t>
      </w:r>
    </w:p>
    <w:p w14:paraId="442E7D54" w14:textId="77777777" w:rsidR="00E05B98" w:rsidRPr="000F63AB" w:rsidRDefault="00B01E0C">
      <w:pPr>
        <w:spacing w:before="39"/>
        <w:ind w:right="1"/>
        <w:jc w:val="right"/>
        <w:rPr>
          <w:rFonts w:ascii="Trebuchet MS"/>
          <w:sz w:val="18"/>
          <w:szCs w:val="18"/>
          <w:lang w:val="uk-UA"/>
        </w:rPr>
      </w:pPr>
      <w:r w:rsidRPr="000F63AB">
        <w:rPr>
          <w:rFonts w:ascii="Trebuchet MS"/>
          <w:spacing w:val="-5"/>
          <w:w w:val="85"/>
          <w:sz w:val="18"/>
          <w:szCs w:val="18"/>
          <w:lang w:val="uk-UA"/>
        </w:rPr>
        <w:t>110</w:t>
      </w:r>
    </w:p>
    <w:p w14:paraId="468AEB6A" w14:textId="77777777" w:rsidR="00E05B98" w:rsidRPr="000F63AB" w:rsidRDefault="00B01E0C">
      <w:pPr>
        <w:spacing w:before="38"/>
        <w:jc w:val="right"/>
        <w:rPr>
          <w:rFonts w:ascii="Trebuchet MS"/>
          <w:sz w:val="18"/>
          <w:szCs w:val="18"/>
          <w:lang w:val="uk-UA"/>
        </w:rPr>
      </w:pPr>
      <w:r w:rsidRPr="000F63AB">
        <w:rPr>
          <w:rFonts w:ascii="Trebuchet MS"/>
          <w:spacing w:val="-5"/>
          <w:w w:val="85"/>
          <w:sz w:val="18"/>
          <w:szCs w:val="18"/>
          <w:lang w:val="uk-UA"/>
        </w:rPr>
        <w:t>60</w:t>
      </w:r>
    </w:p>
    <w:p w14:paraId="5A760A90" w14:textId="77777777" w:rsidR="00E05B98" w:rsidRPr="000F63AB" w:rsidRDefault="00B01E0C">
      <w:pPr>
        <w:spacing w:before="38"/>
        <w:jc w:val="right"/>
        <w:rPr>
          <w:rFonts w:ascii="Trebuchet MS"/>
          <w:sz w:val="18"/>
          <w:szCs w:val="18"/>
          <w:lang w:val="uk-UA"/>
        </w:rPr>
      </w:pPr>
      <w:r w:rsidRPr="000F63AB">
        <w:rPr>
          <w:rFonts w:ascii="Trebuchet MS"/>
          <w:spacing w:val="-5"/>
          <w:w w:val="85"/>
          <w:sz w:val="18"/>
          <w:szCs w:val="18"/>
          <w:lang w:val="uk-UA"/>
        </w:rPr>
        <w:t>91</w:t>
      </w:r>
    </w:p>
    <w:p w14:paraId="7D8013F8" w14:textId="77777777" w:rsidR="00E05B98" w:rsidRPr="000F63AB" w:rsidRDefault="00B01E0C">
      <w:pPr>
        <w:spacing w:before="39"/>
        <w:ind w:right="1"/>
        <w:jc w:val="right"/>
        <w:rPr>
          <w:rFonts w:ascii="Trebuchet MS"/>
          <w:sz w:val="18"/>
          <w:szCs w:val="18"/>
          <w:lang w:val="uk-UA"/>
        </w:rPr>
      </w:pPr>
      <w:r w:rsidRPr="000F63AB">
        <w:rPr>
          <w:rFonts w:ascii="Trebuchet MS"/>
          <w:spacing w:val="-5"/>
          <w:w w:val="85"/>
          <w:sz w:val="18"/>
          <w:szCs w:val="18"/>
          <w:lang w:val="uk-UA"/>
        </w:rPr>
        <w:t>376</w:t>
      </w:r>
    </w:p>
    <w:p w14:paraId="358B133F" w14:textId="77777777" w:rsidR="00E05B98" w:rsidRPr="000F63AB" w:rsidRDefault="00B01E0C">
      <w:pPr>
        <w:spacing w:before="38"/>
        <w:ind w:right="1"/>
        <w:jc w:val="right"/>
        <w:rPr>
          <w:rFonts w:ascii="Trebuchet MS"/>
          <w:sz w:val="18"/>
          <w:szCs w:val="18"/>
          <w:lang w:val="uk-UA"/>
        </w:rPr>
      </w:pPr>
      <w:r w:rsidRPr="000F63AB">
        <w:rPr>
          <w:rFonts w:ascii="Trebuchet MS"/>
          <w:spacing w:val="-5"/>
          <w:w w:val="85"/>
          <w:sz w:val="18"/>
          <w:szCs w:val="18"/>
          <w:lang w:val="uk-UA"/>
        </w:rPr>
        <w:t>107</w:t>
      </w:r>
    </w:p>
    <w:p w14:paraId="336E1EFF" w14:textId="77777777" w:rsidR="00E05B98" w:rsidRPr="000F63AB" w:rsidRDefault="00B01E0C">
      <w:pPr>
        <w:spacing w:before="39"/>
        <w:jc w:val="right"/>
        <w:rPr>
          <w:rFonts w:ascii="Trebuchet MS"/>
          <w:sz w:val="18"/>
          <w:szCs w:val="18"/>
          <w:lang w:val="uk-UA"/>
        </w:rPr>
      </w:pPr>
      <w:r w:rsidRPr="000F63AB">
        <w:rPr>
          <w:rFonts w:ascii="Trebuchet MS"/>
          <w:spacing w:val="-5"/>
          <w:w w:val="85"/>
          <w:sz w:val="18"/>
          <w:szCs w:val="18"/>
          <w:lang w:val="uk-UA"/>
        </w:rPr>
        <w:t>10</w:t>
      </w:r>
    </w:p>
    <w:p w14:paraId="22A7DE93" w14:textId="77777777" w:rsidR="00E05B98" w:rsidRPr="000F63AB" w:rsidRDefault="00B01E0C">
      <w:pPr>
        <w:spacing w:before="38"/>
        <w:ind w:right="1"/>
        <w:jc w:val="right"/>
        <w:rPr>
          <w:rFonts w:ascii="Trebuchet MS"/>
          <w:sz w:val="18"/>
          <w:szCs w:val="18"/>
          <w:lang w:val="uk-UA"/>
        </w:rPr>
      </w:pPr>
      <w:r w:rsidRPr="000F63AB">
        <w:rPr>
          <w:rFonts w:ascii="Trebuchet MS"/>
          <w:spacing w:val="-5"/>
          <w:w w:val="85"/>
          <w:sz w:val="18"/>
          <w:szCs w:val="18"/>
          <w:lang w:val="uk-UA"/>
        </w:rPr>
        <w:t>144</w:t>
      </w:r>
    </w:p>
    <w:p w14:paraId="1D128140" w14:textId="77777777" w:rsidR="00E05B98" w:rsidRPr="000F63AB" w:rsidRDefault="00B01E0C">
      <w:pPr>
        <w:spacing w:before="39"/>
        <w:jc w:val="right"/>
        <w:rPr>
          <w:rFonts w:ascii="Trebuchet MS"/>
          <w:sz w:val="18"/>
          <w:szCs w:val="18"/>
          <w:lang w:val="uk-UA"/>
        </w:rPr>
      </w:pPr>
      <w:r w:rsidRPr="000F63AB">
        <w:rPr>
          <w:rFonts w:ascii="Trebuchet MS"/>
          <w:spacing w:val="-5"/>
          <w:w w:val="85"/>
          <w:sz w:val="18"/>
          <w:szCs w:val="18"/>
          <w:lang w:val="uk-UA"/>
        </w:rPr>
        <w:t>42</w:t>
      </w:r>
    </w:p>
    <w:p w14:paraId="69F5318A" w14:textId="77777777" w:rsidR="00E05B98" w:rsidRPr="000F63AB" w:rsidRDefault="00B01E0C">
      <w:pPr>
        <w:spacing w:before="38"/>
        <w:jc w:val="right"/>
        <w:rPr>
          <w:rFonts w:ascii="Trebuchet MS"/>
          <w:sz w:val="18"/>
          <w:szCs w:val="18"/>
          <w:lang w:val="uk-UA"/>
        </w:rPr>
      </w:pPr>
      <w:r w:rsidRPr="000F63AB">
        <w:rPr>
          <w:rFonts w:ascii="Trebuchet MS"/>
          <w:spacing w:val="-5"/>
          <w:w w:val="85"/>
          <w:sz w:val="18"/>
          <w:szCs w:val="18"/>
          <w:lang w:val="uk-UA"/>
        </w:rPr>
        <w:t>97</w:t>
      </w:r>
    </w:p>
    <w:p w14:paraId="7E7A6B4C" w14:textId="77777777" w:rsidR="00E05B98" w:rsidRPr="000F63AB" w:rsidRDefault="00B01E0C">
      <w:pPr>
        <w:spacing w:before="38"/>
        <w:jc w:val="right"/>
        <w:rPr>
          <w:rFonts w:ascii="Trebuchet MS"/>
          <w:sz w:val="18"/>
          <w:szCs w:val="18"/>
          <w:lang w:val="uk-UA"/>
        </w:rPr>
      </w:pPr>
      <w:r w:rsidRPr="000F63AB">
        <w:rPr>
          <w:rFonts w:ascii="Trebuchet MS"/>
          <w:spacing w:val="-5"/>
          <w:w w:val="85"/>
          <w:sz w:val="18"/>
          <w:szCs w:val="18"/>
          <w:lang w:val="uk-UA"/>
        </w:rPr>
        <w:t>69</w:t>
      </w:r>
    </w:p>
    <w:p w14:paraId="39733F97" w14:textId="77777777" w:rsidR="00E05B98" w:rsidRPr="000F63AB" w:rsidRDefault="00B01E0C">
      <w:pPr>
        <w:spacing w:before="107" w:line="319" w:lineRule="auto"/>
        <w:ind w:left="243" w:hanging="90"/>
        <w:jc w:val="right"/>
        <w:rPr>
          <w:rFonts w:ascii="Trebuchet MS"/>
          <w:sz w:val="18"/>
          <w:szCs w:val="18"/>
          <w:lang w:val="uk-UA"/>
        </w:rPr>
      </w:pPr>
      <w:r w:rsidRPr="000F63AB">
        <w:rPr>
          <w:sz w:val="18"/>
          <w:szCs w:val="18"/>
          <w:lang w:val="uk-UA"/>
        </w:rPr>
        <w:br w:type="column"/>
      </w:r>
      <w:r w:rsidRPr="000F63AB">
        <w:rPr>
          <w:rFonts w:ascii="Trebuchet MS"/>
          <w:color w:val="333333"/>
          <w:spacing w:val="-6"/>
          <w:w w:val="80"/>
          <w:sz w:val="18"/>
          <w:szCs w:val="18"/>
          <w:lang w:val="uk-UA"/>
        </w:rPr>
        <w:t>FP</w:t>
      </w:r>
      <w:r w:rsidRPr="000F63AB">
        <w:rPr>
          <w:rFonts w:ascii="Trebuchet MS"/>
          <w:color w:val="333333"/>
          <w:spacing w:val="-6"/>
          <w:w w:val="85"/>
          <w:sz w:val="18"/>
          <w:szCs w:val="18"/>
          <w:lang w:val="uk-UA"/>
        </w:rPr>
        <w:t xml:space="preserve"> </w:t>
      </w:r>
      <w:r w:rsidRPr="000F63AB">
        <w:rPr>
          <w:rFonts w:ascii="Trebuchet MS"/>
          <w:spacing w:val="-10"/>
          <w:w w:val="85"/>
          <w:sz w:val="18"/>
          <w:szCs w:val="18"/>
          <w:lang w:val="uk-UA"/>
        </w:rPr>
        <w:t>3</w:t>
      </w:r>
    </w:p>
    <w:p w14:paraId="155B5CCC" w14:textId="77777777" w:rsidR="00E05B98" w:rsidRPr="000F63AB" w:rsidRDefault="00B01E0C">
      <w:pPr>
        <w:spacing w:line="186" w:lineRule="exact"/>
        <w:ind w:right="12"/>
        <w:jc w:val="right"/>
        <w:rPr>
          <w:rFonts w:ascii="Trebuchet MS"/>
          <w:sz w:val="18"/>
          <w:szCs w:val="18"/>
          <w:lang w:val="uk-UA"/>
        </w:rPr>
      </w:pPr>
      <w:r w:rsidRPr="000F63AB">
        <w:rPr>
          <w:rFonts w:ascii="Trebuchet MS"/>
          <w:spacing w:val="-5"/>
          <w:w w:val="85"/>
          <w:sz w:val="18"/>
          <w:szCs w:val="18"/>
          <w:lang w:val="uk-UA"/>
        </w:rPr>
        <w:t>12</w:t>
      </w:r>
    </w:p>
    <w:p w14:paraId="6D03C8E3" w14:textId="77777777" w:rsidR="00E05B98" w:rsidRPr="000F63AB" w:rsidRDefault="00B01E0C">
      <w:pPr>
        <w:spacing w:before="38"/>
        <w:ind w:right="18"/>
        <w:jc w:val="right"/>
        <w:rPr>
          <w:rFonts w:ascii="Trebuchet MS"/>
          <w:sz w:val="18"/>
          <w:szCs w:val="18"/>
          <w:lang w:val="uk-UA"/>
        </w:rPr>
      </w:pPr>
      <w:r w:rsidRPr="000F63AB">
        <w:rPr>
          <w:rFonts w:ascii="Trebuchet MS"/>
          <w:spacing w:val="-10"/>
          <w:w w:val="85"/>
          <w:sz w:val="18"/>
          <w:szCs w:val="18"/>
          <w:lang w:val="uk-UA"/>
        </w:rPr>
        <w:t>0</w:t>
      </w:r>
    </w:p>
    <w:p w14:paraId="453E90F2" w14:textId="77777777" w:rsidR="00E05B98" w:rsidRPr="000F63AB" w:rsidRDefault="00B01E0C">
      <w:pPr>
        <w:spacing w:before="39"/>
        <w:ind w:right="18"/>
        <w:jc w:val="right"/>
        <w:rPr>
          <w:rFonts w:ascii="Trebuchet MS"/>
          <w:sz w:val="18"/>
          <w:szCs w:val="18"/>
          <w:lang w:val="uk-UA"/>
        </w:rPr>
      </w:pPr>
      <w:r w:rsidRPr="000F63AB">
        <w:rPr>
          <w:rFonts w:ascii="Trebuchet MS"/>
          <w:spacing w:val="-10"/>
          <w:w w:val="85"/>
          <w:sz w:val="18"/>
          <w:szCs w:val="18"/>
          <w:lang w:val="uk-UA"/>
        </w:rPr>
        <w:t>4</w:t>
      </w:r>
    </w:p>
    <w:p w14:paraId="0C4B5DB9" w14:textId="77777777" w:rsidR="00E05B98" w:rsidRPr="000F63AB" w:rsidRDefault="00B01E0C">
      <w:pPr>
        <w:spacing w:before="38"/>
        <w:ind w:right="12"/>
        <w:jc w:val="right"/>
        <w:rPr>
          <w:rFonts w:ascii="Trebuchet MS"/>
          <w:sz w:val="18"/>
          <w:szCs w:val="18"/>
          <w:lang w:val="uk-UA"/>
        </w:rPr>
      </w:pPr>
      <w:r w:rsidRPr="000F63AB">
        <w:rPr>
          <w:rFonts w:ascii="Trebuchet MS"/>
          <w:spacing w:val="-5"/>
          <w:w w:val="85"/>
          <w:sz w:val="18"/>
          <w:szCs w:val="18"/>
          <w:lang w:val="uk-UA"/>
        </w:rPr>
        <w:t>16</w:t>
      </w:r>
    </w:p>
    <w:p w14:paraId="42573276" w14:textId="77777777" w:rsidR="00E05B98" w:rsidRPr="000F63AB" w:rsidRDefault="00B01E0C">
      <w:pPr>
        <w:spacing w:before="39"/>
        <w:ind w:right="12"/>
        <w:jc w:val="right"/>
        <w:rPr>
          <w:rFonts w:ascii="Trebuchet MS"/>
          <w:sz w:val="18"/>
          <w:szCs w:val="18"/>
          <w:lang w:val="uk-UA"/>
        </w:rPr>
      </w:pPr>
      <w:r w:rsidRPr="000F63AB">
        <w:rPr>
          <w:rFonts w:ascii="Trebuchet MS"/>
          <w:spacing w:val="-5"/>
          <w:w w:val="85"/>
          <w:sz w:val="18"/>
          <w:szCs w:val="18"/>
          <w:lang w:val="uk-UA"/>
        </w:rPr>
        <w:t>17</w:t>
      </w:r>
    </w:p>
    <w:p w14:paraId="2637B1CF" w14:textId="77777777" w:rsidR="00E05B98" w:rsidRPr="000F63AB" w:rsidRDefault="00B01E0C">
      <w:pPr>
        <w:spacing w:before="38"/>
        <w:ind w:right="12"/>
        <w:jc w:val="right"/>
        <w:rPr>
          <w:rFonts w:ascii="Trebuchet MS"/>
          <w:sz w:val="18"/>
          <w:szCs w:val="18"/>
          <w:lang w:val="uk-UA"/>
        </w:rPr>
      </w:pPr>
      <w:r w:rsidRPr="000F63AB">
        <w:rPr>
          <w:rFonts w:ascii="Trebuchet MS"/>
          <w:spacing w:val="-5"/>
          <w:w w:val="85"/>
          <w:sz w:val="18"/>
          <w:szCs w:val="18"/>
          <w:lang w:val="uk-UA"/>
        </w:rPr>
        <w:t>147</w:t>
      </w:r>
    </w:p>
    <w:p w14:paraId="41AD1CFA" w14:textId="77777777" w:rsidR="00E05B98" w:rsidRPr="000F63AB" w:rsidRDefault="00B01E0C">
      <w:pPr>
        <w:spacing w:before="39"/>
        <w:ind w:right="18"/>
        <w:jc w:val="right"/>
        <w:rPr>
          <w:rFonts w:ascii="Trebuchet MS"/>
          <w:sz w:val="18"/>
          <w:szCs w:val="18"/>
          <w:lang w:val="uk-UA"/>
        </w:rPr>
      </w:pPr>
      <w:r w:rsidRPr="000F63AB">
        <w:rPr>
          <w:rFonts w:ascii="Trebuchet MS"/>
          <w:spacing w:val="-10"/>
          <w:w w:val="85"/>
          <w:sz w:val="18"/>
          <w:szCs w:val="18"/>
          <w:lang w:val="uk-UA"/>
        </w:rPr>
        <w:t>1</w:t>
      </w:r>
    </w:p>
    <w:p w14:paraId="293D874D" w14:textId="77777777" w:rsidR="00E05B98" w:rsidRPr="000F63AB" w:rsidRDefault="00B01E0C">
      <w:pPr>
        <w:spacing w:before="38"/>
        <w:ind w:right="12"/>
        <w:jc w:val="right"/>
        <w:rPr>
          <w:rFonts w:ascii="Trebuchet MS"/>
          <w:sz w:val="18"/>
          <w:szCs w:val="18"/>
          <w:lang w:val="uk-UA"/>
        </w:rPr>
      </w:pPr>
      <w:r w:rsidRPr="000F63AB">
        <w:rPr>
          <w:rFonts w:ascii="Trebuchet MS"/>
          <w:spacing w:val="-5"/>
          <w:w w:val="85"/>
          <w:sz w:val="18"/>
          <w:szCs w:val="18"/>
          <w:lang w:val="uk-UA"/>
        </w:rPr>
        <w:t>22</w:t>
      </w:r>
    </w:p>
    <w:p w14:paraId="387C5EB4" w14:textId="77777777" w:rsidR="00E05B98" w:rsidRPr="000F63AB" w:rsidRDefault="00B01E0C">
      <w:pPr>
        <w:spacing w:before="38"/>
        <w:ind w:right="12"/>
        <w:jc w:val="right"/>
        <w:rPr>
          <w:rFonts w:ascii="Trebuchet MS"/>
          <w:sz w:val="18"/>
          <w:szCs w:val="18"/>
          <w:lang w:val="uk-UA"/>
        </w:rPr>
      </w:pPr>
      <w:r w:rsidRPr="000F63AB">
        <w:rPr>
          <w:rFonts w:ascii="Trebuchet MS"/>
          <w:spacing w:val="-5"/>
          <w:w w:val="85"/>
          <w:sz w:val="18"/>
          <w:szCs w:val="18"/>
          <w:lang w:val="uk-UA"/>
        </w:rPr>
        <w:t>17</w:t>
      </w:r>
    </w:p>
    <w:p w14:paraId="1649EF0B" w14:textId="77777777" w:rsidR="00E05B98" w:rsidRPr="000F63AB" w:rsidRDefault="00B01E0C">
      <w:pPr>
        <w:spacing w:before="39"/>
        <w:ind w:right="12"/>
        <w:jc w:val="right"/>
        <w:rPr>
          <w:rFonts w:ascii="Trebuchet MS"/>
          <w:sz w:val="18"/>
          <w:szCs w:val="18"/>
          <w:lang w:val="uk-UA"/>
        </w:rPr>
      </w:pPr>
      <w:r w:rsidRPr="000F63AB">
        <w:rPr>
          <w:rFonts w:ascii="Trebuchet MS"/>
          <w:spacing w:val="-5"/>
          <w:w w:val="85"/>
          <w:sz w:val="18"/>
          <w:szCs w:val="18"/>
          <w:lang w:val="uk-UA"/>
        </w:rPr>
        <w:t>48</w:t>
      </w:r>
    </w:p>
    <w:p w14:paraId="2D642FB2" w14:textId="77777777" w:rsidR="00E05B98" w:rsidRPr="000F63AB" w:rsidRDefault="00B01E0C">
      <w:pPr>
        <w:spacing w:before="38"/>
        <w:ind w:right="18"/>
        <w:jc w:val="right"/>
        <w:rPr>
          <w:rFonts w:ascii="Trebuchet MS"/>
          <w:sz w:val="18"/>
          <w:szCs w:val="18"/>
          <w:lang w:val="uk-UA"/>
        </w:rPr>
      </w:pPr>
      <w:r w:rsidRPr="000F63AB">
        <w:rPr>
          <w:rFonts w:ascii="Trebuchet MS"/>
          <w:spacing w:val="-10"/>
          <w:w w:val="85"/>
          <w:sz w:val="18"/>
          <w:szCs w:val="18"/>
          <w:lang w:val="uk-UA"/>
        </w:rPr>
        <w:t>9</w:t>
      </w:r>
    </w:p>
    <w:p w14:paraId="77868A11" w14:textId="77777777" w:rsidR="00E05B98" w:rsidRPr="000F63AB" w:rsidRDefault="00B01E0C">
      <w:pPr>
        <w:spacing w:before="39"/>
        <w:ind w:right="12"/>
        <w:jc w:val="right"/>
        <w:rPr>
          <w:rFonts w:ascii="Trebuchet MS"/>
          <w:sz w:val="18"/>
          <w:szCs w:val="18"/>
          <w:lang w:val="uk-UA"/>
        </w:rPr>
      </w:pPr>
      <w:r w:rsidRPr="000F63AB">
        <w:rPr>
          <w:rFonts w:ascii="Trebuchet MS"/>
          <w:spacing w:val="-5"/>
          <w:w w:val="85"/>
          <w:sz w:val="18"/>
          <w:szCs w:val="18"/>
          <w:lang w:val="uk-UA"/>
        </w:rPr>
        <w:t>12</w:t>
      </w:r>
    </w:p>
    <w:p w14:paraId="7F6B962C" w14:textId="77777777" w:rsidR="00E05B98" w:rsidRPr="000F63AB" w:rsidRDefault="00B01E0C">
      <w:pPr>
        <w:spacing w:before="38"/>
        <w:ind w:right="18"/>
        <w:jc w:val="right"/>
        <w:rPr>
          <w:rFonts w:ascii="Trebuchet MS"/>
          <w:sz w:val="18"/>
          <w:szCs w:val="18"/>
          <w:lang w:val="uk-UA"/>
        </w:rPr>
      </w:pPr>
      <w:r w:rsidRPr="000F63AB">
        <w:rPr>
          <w:rFonts w:ascii="Trebuchet MS"/>
          <w:spacing w:val="-10"/>
          <w:w w:val="85"/>
          <w:sz w:val="18"/>
          <w:szCs w:val="18"/>
          <w:lang w:val="uk-UA"/>
        </w:rPr>
        <w:t>0</w:t>
      </w:r>
    </w:p>
    <w:p w14:paraId="5D6D1AAE" w14:textId="77777777" w:rsidR="00E05B98" w:rsidRPr="000F63AB" w:rsidRDefault="00B01E0C">
      <w:pPr>
        <w:spacing w:before="39"/>
        <w:ind w:right="12"/>
        <w:jc w:val="right"/>
        <w:rPr>
          <w:rFonts w:ascii="Trebuchet MS"/>
          <w:sz w:val="18"/>
          <w:szCs w:val="18"/>
          <w:lang w:val="uk-UA"/>
        </w:rPr>
      </w:pPr>
      <w:r w:rsidRPr="000F63AB">
        <w:rPr>
          <w:rFonts w:ascii="Trebuchet MS"/>
          <w:spacing w:val="-5"/>
          <w:w w:val="85"/>
          <w:sz w:val="18"/>
          <w:szCs w:val="18"/>
          <w:lang w:val="uk-UA"/>
        </w:rPr>
        <w:t>28</w:t>
      </w:r>
    </w:p>
    <w:p w14:paraId="3DA5796D" w14:textId="77777777" w:rsidR="00E05B98" w:rsidRPr="000F63AB" w:rsidRDefault="00B01E0C">
      <w:pPr>
        <w:spacing w:before="38"/>
        <w:ind w:right="12"/>
        <w:jc w:val="right"/>
        <w:rPr>
          <w:rFonts w:ascii="Trebuchet MS"/>
          <w:sz w:val="18"/>
          <w:szCs w:val="18"/>
          <w:lang w:val="uk-UA"/>
        </w:rPr>
      </w:pPr>
      <w:r w:rsidRPr="000F63AB">
        <w:rPr>
          <w:rFonts w:ascii="Trebuchet MS"/>
          <w:spacing w:val="-5"/>
          <w:w w:val="85"/>
          <w:sz w:val="18"/>
          <w:szCs w:val="18"/>
          <w:lang w:val="uk-UA"/>
        </w:rPr>
        <w:t>52</w:t>
      </w:r>
    </w:p>
    <w:p w14:paraId="103019E0" w14:textId="77777777" w:rsidR="00E05B98" w:rsidRPr="000F63AB" w:rsidRDefault="00B01E0C">
      <w:pPr>
        <w:spacing w:before="39"/>
        <w:ind w:right="12"/>
        <w:jc w:val="right"/>
        <w:rPr>
          <w:rFonts w:ascii="Trebuchet MS"/>
          <w:sz w:val="18"/>
          <w:szCs w:val="18"/>
          <w:lang w:val="uk-UA"/>
        </w:rPr>
      </w:pPr>
      <w:r w:rsidRPr="000F63AB">
        <w:rPr>
          <w:rFonts w:ascii="Trebuchet MS"/>
          <w:spacing w:val="-5"/>
          <w:w w:val="85"/>
          <w:sz w:val="18"/>
          <w:szCs w:val="18"/>
          <w:lang w:val="uk-UA"/>
        </w:rPr>
        <w:t>19</w:t>
      </w:r>
    </w:p>
    <w:p w14:paraId="205D6099" w14:textId="77777777" w:rsidR="00E05B98" w:rsidRPr="000F63AB" w:rsidRDefault="00B01E0C">
      <w:pPr>
        <w:spacing w:before="38"/>
        <w:ind w:right="18"/>
        <w:jc w:val="right"/>
        <w:rPr>
          <w:rFonts w:ascii="Trebuchet MS"/>
          <w:sz w:val="18"/>
          <w:szCs w:val="18"/>
          <w:lang w:val="uk-UA"/>
        </w:rPr>
      </w:pPr>
      <w:r w:rsidRPr="000F63AB">
        <w:rPr>
          <w:rFonts w:ascii="Trebuchet MS"/>
          <w:spacing w:val="-10"/>
          <w:w w:val="85"/>
          <w:sz w:val="18"/>
          <w:szCs w:val="18"/>
          <w:lang w:val="uk-UA"/>
        </w:rPr>
        <w:t>3</w:t>
      </w:r>
    </w:p>
    <w:p w14:paraId="394F863B" w14:textId="77777777" w:rsidR="00E05B98" w:rsidRPr="000F63AB" w:rsidRDefault="00B01E0C">
      <w:pPr>
        <w:spacing w:before="38"/>
        <w:ind w:right="12"/>
        <w:jc w:val="right"/>
        <w:rPr>
          <w:rFonts w:ascii="Trebuchet MS"/>
          <w:sz w:val="18"/>
          <w:szCs w:val="18"/>
          <w:lang w:val="uk-UA"/>
        </w:rPr>
      </w:pPr>
      <w:r w:rsidRPr="000F63AB">
        <w:rPr>
          <w:rFonts w:ascii="Trebuchet MS"/>
          <w:spacing w:val="-5"/>
          <w:w w:val="85"/>
          <w:sz w:val="18"/>
          <w:szCs w:val="18"/>
          <w:lang w:val="uk-UA"/>
        </w:rPr>
        <w:t>10</w:t>
      </w:r>
    </w:p>
    <w:p w14:paraId="3ADD4533" w14:textId="77777777" w:rsidR="00E05B98" w:rsidRPr="000F63AB" w:rsidRDefault="00B01E0C">
      <w:pPr>
        <w:spacing w:before="39"/>
        <w:ind w:right="12"/>
        <w:jc w:val="right"/>
        <w:rPr>
          <w:rFonts w:ascii="Trebuchet MS"/>
          <w:sz w:val="18"/>
          <w:szCs w:val="18"/>
          <w:lang w:val="uk-UA"/>
        </w:rPr>
      </w:pPr>
      <w:r w:rsidRPr="000F63AB">
        <w:rPr>
          <w:rFonts w:ascii="Trebuchet MS"/>
          <w:spacing w:val="-5"/>
          <w:w w:val="85"/>
          <w:sz w:val="18"/>
          <w:szCs w:val="18"/>
          <w:lang w:val="uk-UA"/>
        </w:rPr>
        <w:t>181</w:t>
      </w:r>
    </w:p>
    <w:p w14:paraId="55B47F1B" w14:textId="77777777" w:rsidR="00E05B98" w:rsidRPr="000F63AB" w:rsidRDefault="00B01E0C">
      <w:pPr>
        <w:spacing w:before="38"/>
        <w:ind w:right="18"/>
        <w:jc w:val="right"/>
        <w:rPr>
          <w:rFonts w:ascii="Trebuchet MS"/>
          <w:sz w:val="18"/>
          <w:szCs w:val="18"/>
          <w:lang w:val="uk-UA"/>
        </w:rPr>
      </w:pPr>
      <w:r w:rsidRPr="000F63AB">
        <w:rPr>
          <w:rFonts w:ascii="Trebuchet MS"/>
          <w:spacing w:val="-10"/>
          <w:w w:val="85"/>
          <w:sz w:val="18"/>
          <w:szCs w:val="18"/>
          <w:lang w:val="uk-UA"/>
        </w:rPr>
        <w:t>4</w:t>
      </w:r>
    </w:p>
    <w:p w14:paraId="087D16E3" w14:textId="77777777" w:rsidR="00E05B98" w:rsidRPr="000F63AB" w:rsidRDefault="00B01E0C">
      <w:pPr>
        <w:spacing w:before="39"/>
        <w:ind w:right="18"/>
        <w:jc w:val="right"/>
        <w:rPr>
          <w:rFonts w:ascii="Trebuchet MS"/>
          <w:sz w:val="18"/>
          <w:szCs w:val="18"/>
          <w:lang w:val="uk-UA"/>
        </w:rPr>
      </w:pPr>
      <w:r w:rsidRPr="000F63AB">
        <w:rPr>
          <w:rFonts w:ascii="Trebuchet MS"/>
          <w:spacing w:val="-10"/>
          <w:w w:val="85"/>
          <w:sz w:val="18"/>
          <w:szCs w:val="18"/>
          <w:lang w:val="uk-UA"/>
        </w:rPr>
        <w:t>1</w:t>
      </w:r>
    </w:p>
    <w:p w14:paraId="41E3C168" w14:textId="77777777" w:rsidR="00E05B98" w:rsidRPr="000F63AB" w:rsidRDefault="00B01E0C">
      <w:pPr>
        <w:spacing w:before="38"/>
        <w:ind w:right="12"/>
        <w:jc w:val="right"/>
        <w:rPr>
          <w:rFonts w:ascii="Trebuchet MS"/>
          <w:sz w:val="18"/>
          <w:szCs w:val="18"/>
          <w:lang w:val="uk-UA"/>
        </w:rPr>
      </w:pPr>
      <w:r w:rsidRPr="000F63AB">
        <w:rPr>
          <w:rFonts w:ascii="Trebuchet MS"/>
          <w:spacing w:val="-5"/>
          <w:w w:val="85"/>
          <w:sz w:val="18"/>
          <w:szCs w:val="18"/>
          <w:lang w:val="uk-UA"/>
        </w:rPr>
        <w:t>18</w:t>
      </w:r>
    </w:p>
    <w:p w14:paraId="597F7C6F" w14:textId="77777777" w:rsidR="00E05B98" w:rsidRPr="000F63AB" w:rsidRDefault="00B01E0C">
      <w:pPr>
        <w:spacing w:before="39"/>
        <w:ind w:right="12"/>
        <w:jc w:val="right"/>
        <w:rPr>
          <w:rFonts w:ascii="Trebuchet MS"/>
          <w:sz w:val="18"/>
          <w:szCs w:val="18"/>
          <w:lang w:val="uk-UA"/>
        </w:rPr>
      </w:pPr>
      <w:r w:rsidRPr="000F63AB">
        <w:rPr>
          <w:rFonts w:ascii="Trebuchet MS"/>
          <w:spacing w:val="-5"/>
          <w:w w:val="85"/>
          <w:sz w:val="18"/>
          <w:szCs w:val="18"/>
          <w:lang w:val="uk-UA"/>
        </w:rPr>
        <w:t>17</w:t>
      </w:r>
    </w:p>
    <w:p w14:paraId="0AD59D5F" w14:textId="77777777" w:rsidR="00E05B98" w:rsidRPr="000F63AB" w:rsidRDefault="00B01E0C">
      <w:pPr>
        <w:spacing w:before="38"/>
        <w:ind w:right="12"/>
        <w:jc w:val="right"/>
        <w:rPr>
          <w:rFonts w:ascii="Trebuchet MS"/>
          <w:sz w:val="18"/>
          <w:szCs w:val="18"/>
          <w:lang w:val="uk-UA"/>
        </w:rPr>
      </w:pPr>
      <w:r w:rsidRPr="000F63AB">
        <w:rPr>
          <w:rFonts w:ascii="Trebuchet MS"/>
          <w:spacing w:val="-5"/>
          <w:w w:val="85"/>
          <w:sz w:val="18"/>
          <w:szCs w:val="18"/>
          <w:lang w:val="uk-UA"/>
        </w:rPr>
        <w:t>12</w:t>
      </w:r>
    </w:p>
    <w:p w14:paraId="40030055" w14:textId="77777777" w:rsidR="00E05B98" w:rsidRPr="000F63AB" w:rsidRDefault="00B01E0C">
      <w:pPr>
        <w:spacing w:before="38"/>
        <w:ind w:right="18"/>
        <w:jc w:val="right"/>
        <w:rPr>
          <w:rFonts w:ascii="Trebuchet MS"/>
          <w:sz w:val="18"/>
          <w:szCs w:val="18"/>
          <w:lang w:val="uk-UA"/>
        </w:rPr>
      </w:pPr>
      <w:r w:rsidRPr="000F63AB">
        <w:rPr>
          <w:rFonts w:ascii="Trebuchet MS"/>
          <w:spacing w:val="-10"/>
          <w:w w:val="85"/>
          <w:sz w:val="18"/>
          <w:szCs w:val="18"/>
          <w:lang w:val="uk-UA"/>
        </w:rPr>
        <w:t>3</w:t>
      </w:r>
    </w:p>
    <w:p w14:paraId="4E3086E8" w14:textId="77777777" w:rsidR="00E05B98" w:rsidRPr="000F63AB" w:rsidRDefault="00B01E0C">
      <w:pPr>
        <w:spacing w:before="107" w:line="319" w:lineRule="auto"/>
        <w:ind w:left="148" w:hanging="8"/>
        <w:jc w:val="right"/>
        <w:rPr>
          <w:rFonts w:ascii="Trebuchet MS"/>
          <w:sz w:val="18"/>
          <w:szCs w:val="18"/>
          <w:lang w:val="uk-UA"/>
        </w:rPr>
      </w:pPr>
      <w:r w:rsidRPr="000F63AB">
        <w:rPr>
          <w:sz w:val="18"/>
          <w:szCs w:val="18"/>
          <w:lang w:val="uk-UA"/>
        </w:rPr>
        <w:br w:type="column"/>
      </w:r>
      <w:r w:rsidRPr="000F63AB">
        <w:rPr>
          <w:rFonts w:ascii="Trebuchet MS"/>
          <w:color w:val="333333"/>
          <w:spacing w:val="-6"/>
          <w:w w:val="80"/>
          <w:sz w:val="18"/>
          <w:szCs w:val="18"/>
          <w:lang w:val="uk-UA"/>
        </w:rPr>
        <w:t>FN</w:t>
      </w:r>
      <w:r w:rsidRPr="000F63AB">
        <w:rPr>
          <w:rFonts w:ascii="Trebuchet MS"/>
          <w:color w:val="333333"/>
          <w:spacing w:val="-5"/>
          <w:w w:val="80"/>
          <w:sz w:val="18"/>
          <w:szCs w:val="18"/>
          <w:lang w:val="uk-UA"/>
        </w:rPr>
        <w:t xml:space="preserve"> </w:t>
      </w:r>
      <w:r w:rsidRPr="000F63AB">
        <w:rPr>
          <w:rFonts w:ascii="Trebuchet MS"/>
          <w:spacing w:val="-5"/>
          <w:w w:val="85"/>
          <w:sz w:val="18"/>
          <w:szCs w:val="18"/>
          <w:lang w:val="uk-UA"/>
        </w:rPr>
        <w:t>37</w:t>
      </w:r>
    </w:p>
    <w:p w14:paraId="36B45DCE" w14:textId="77777777" w:rsidR="00E05B98" w:rsidRPr="000F63AB" w:rsidRDefault="00B01E0C">
      <w:pPr>
        <w:spacing w:line="186" w:lineRule="exact"/>
        <w:ind w:right="30"/>
        <w:jc w:val="right"/>
        <w:rPr>
          <w:rFonts w:ascii="Trebuchet MS"/>
          <w:sz w:val="18"/>
          <w:szCs w:val="18"/>
          <w:lang w:val="uk-UA"/>
        </w:rPr>
      </w:pPr>
      <w:r w:rsidRPr="000F63AB">
        <w:rPr>
          <w:rFonts w:ascii="Trebuchet MS"/>
          <w:spacing w:val="-5"/>
          <w:w w:val="85"/>
          <w:sz w:val="18"/>
          <w:szCs w:val="18"/>
          <w:lang w:val="uk-UA"/>
        </w:rPr>
        <w:t>24</w:t>
      </w:r>
    </w:p>
    <w:p w14:paraId="407F746A" w14:textId="77777777" w:rsidR="00E05B98" w:rsidRPr="000F63AB" w:rsidRDefault="00B01E0C">
      <w:pPr>
        <w:spacing w:before="38"/>
        <w:ind w:right="30"/>
        <w:jc w:val="right"/>
        <w:rPr>
          <w:rFonts w:ascii="Trebuchet MS"/>
          <w:sz w:val="18"/>
          <w:szCs w:val="18"/>
          <w:lang w:val="uk-UA"/>
        </w:rPr>
      </w:pPr>
      <w:r w:rsidRPr="000F63AB">
        <w:rPr>
          <w:rFonts w:ascii="Trebuchet MS"/>
          <w:spacing w:val="-5"/>
          <w:w w:val="85"/>
          <w:sz w:val="18"/>
          <w:szCs w:val="18"/>
          <w:lang w:val="uk-UA"/>
        </w:rPr>
        <w:t>14</w:t>
      </w:r>
    </w:p>
    <w:p w14:paraId="74A1D268" w14:textId="77777777" w:rsidR="00E05B98" w:rsidRPr="000F63AB" w:rsidRDefault="00B01E0C">
      <w:pPr>
        <w:spacing w:before="39"/>
        <w:ind w:right="30"/>
        <w:jc w:val="right"/>
        <w:rPr>
          <w:rFonts w:ascii="Trebuchet MS"/>
          <w:sz w:val="18"/>
          <w:szCs w:val="18"/>
          <w:lang w:val="uk-UA"/>
        </w:rPr>
      </w:pPr>
      <w:r w:rsidRPr="000F63AB">
        <w:rPr>
          <w:rFonts w:ascii="Trebuchet MS"/>
          <w:spacing w:val="-5"/>
          <w:w w:val="85"/>
          <w:sz w:val="18"/>
          <w:szCs w:val="18"/>
          <w:lang w:val="uk-UA"/>
        </w:rPr>
        <w:t>59</w:t>
      </w:r>
    </w:p>
    <w:p w14:paraId="7F11E00E" w14:textId="77777777" w:rsidR="00E05B98" w:rsidRPr="000F63AB" w:rsidRDefault="00B01E0C">
      <w:pPr>
        <w:spacing w:before="38"/>
        <w:ind w:right="31"/>
        <w:jc w:val="right"/>
        <w:rPr>
          <w:rFonts w:ascii="Trebuchet MS"/>
          <w:sz w:val="18"/>
          <w:szCs w:val="18"/>
          <w:lang w:val="uk-UA"/>
        </w:rPr>
      </w:pPr>
      <w:r w:rsidRPr="000F63AB">
        <w:rPr>
          <w:rFonts w:ascii="Trebuchet MS"/>
          <w:spacing w:val="-5"/>
          <w:w w:val="85"/>
          <w:sz w:val="18"/>
          <w:szCs w:val="18"/>
          <w:lang w:val="uk-UA"/>
        </w:rPr>
        <w:t>110</w:t>
      </w:r>
    </w:p>
    <w:p w14:paraId="6BCD7816" w14:textId="77777777" w:rsidR="00E05B98" w:rsidRPr="000F63AB" w:rsidRDefault="00B01E0C">
      <w:pPr>
        <w:spacing w:before="39"/>
        <w:ind w:right="30"/>
        <w:jc w:val="right"/>
        <w:rPr>
          <w:rFonts w:ascii="Trebuchet MS"/>
          <w:sz w:val="18"/>
          <w:szCs w:val="18"/>
          <w:lang w:val="uk-UA"/>
        </w:rPr>
      </w:pPr>
      <w:r w:rsidRPr="000F63AB">
        <w:rPr>
          <w:rFonts w:ascii="Trebuchet MS"/>
          <w:spacing w:val="-5"/>
          <w:w w:val="85"/>
          <w:sz w:val="18"/>
          <w:szCs w:val="18"/>
          <w:lang w:val="uk-UA"/>
        </w:rPr>
        <w:t>45</w:t>
      </w:r>
    </w:p>
    <w:p w14:paraId="4484DFB3" w14:textId="77777777" w:rsidR="00E05B98" w:rsidRPr="000F63AB" w:rsidRDefault="00B01E0C">
      <w:pPr>
        <w:spacing w:before="38"/>
        <w:ind w:right="31"/>
        <w:jc w:val="right"/>
        <w:rPr>
          <w:rFonts w:ascii="Trebuchet MS"/>
          <w:sz w:val="18"/>
          <w:szCs w:val="18"/>
          <w:lang w:val="uk-UA"/>
        </w:rPr>
      </w:pPr>
      <w:r w:rsidRPr="000F63AB">
        <w:rPr>
          <w:rFonts w:ascii="Trebuchet MS"/>
          <w:spacing w:val="-5"/>
          <w:w w:val="85"/>
          <w:sz w:val="18"/>
          <w:szCs w:val="18"/>
          <w:lang w:val="uk-UA"/>
        </w:rPr>
        <w:t>108</w:t>
      </w:r>
    </w:p>
    <w:p w14:paraId="3886ABAC" w14:textId="77777777" w:rsidR="00E05B98" w:rsidRPr="000F63AB" w:rsidRDefault="00B01E0C">
      <w:pPr>
        <w:spacing w:before="39"/>
        <w:ind w:right="36"/>
        <w:jc w:val="right"/>
        <w:rPr>
          <w:rFonts w:ascii="Trebuchet MS"/>
          <w:sz w:val="18"/>
          <w:szCs w:val="18"/>
          <w:lang w:val="uk-UA"/>
        </w:rPr>
      </w:pPr>
      <w:r w:rsidRPr="000F63AB">
        <w:rPr>
          <w:rFonts w:ascii="Trebuchet MS"/>
          <w:spacing w:val="-10"/>
          <w:w w:val="85"/>
          <w:sz w:val="18"/>
          <w:szCs w:val="18"/>
          <w:lang w:val="uk-UA"/>
        </w:rPr>
        <w:t>7</w:t>
      </w:r>
    </w:p>
    <w:p w14:paraId="2174B091" w14:textId="77777777" w:rsidR="00E05B98" w:rsidRPr="000F63AB" w:rsidRDefault="00B01E0C">
      <w:pPr>
        <w:spacing w:before="38"/>
        <w:ind w:right="30"/>
        <w:jc w:val="right"/>
        <w:rPr>
          <w:rFonts w:ascii="Trebuchet MS"/>
          <w:sz w:val="18"/>
          <w:szCs w:val="18"/>
          <w:lang w:val="uk-UA"/>
        </w:rPr>
      </w:pPr>
      <w:r w:rsidRPr="000F63AB">
        <w:rPr>
          <w:rFonts w:ascii="Trebuchet MS"/>
          <w:spacing w:val="-5"/>
          <w:w w:val="85"/>
          <w:sz w:val="18"/>
          <w:szCs w:val="18"/>
          <w:lang w:val="uk-UA"/>
        </w:rPr>
        <w:t>91</w:t>
      </w:r>
    </w:p>
    <w:p w14:paraId="14A65E4E" w14:textId="77777777" w:rsidR="00E05B98" w:rsidRPr="000F63AB" w:rsidRDefault="00B01E0C">
      <w:pPr>
        <w:spacing w:before="38"/>
        <w:ind w:right="30"/>
        <w:jc w:val="right"/>
        <w:rPr>
          <w:rFonts w:ascii="Trebuchet MS"/>
          <w:sz w:val="18"/>
          <w:szCs w:val="18"/>
          <w:lang w:val="uk-UA"/>
        </w:rPr>
      </w:pPr>
      <w:r w:rsidRPr="000F63AB">
        <w:rPr>
          <w:rFonts w:ascii="Trebuchet MS"/>
          <w:spacing w:val="-5"/>
          <w:w w:val="85"/>
          <w:sz w:val="18"/>
          <w:szCs w:val="18"/>
          <w:lang w:val="uk-UA"/>
        </w:rPr>
        <w:t>30</w:t>
      </w:r>
    </w:p>
    <w:p w14:paraId="4D7C8F95" w14:textId="77777777" w:rsidR="00E05B98" w:rsidRPr="000F63AB" w:rsidRDefault="00B01E0C">
      <w:pPr>
        <w:spacing w:before="39"/>
        <w:ind w:right="30"/>
        <w:jc w:val="right"/>
        <w:rPr>
          <w:rFonts w:ascii="Trebuchet MS"/>
          <w:sz w:val="18"/>
          <w:szCs w:val="18"/>
          <w:lang w:val="uk-UA"/>
        </w:rPr>
      </w:pPr>
      <w:r w:rsidRPr="000F63AB">
        <w:rPr>
          <w:rFonts w:ascii="Trebuchet MS"/>
          <w:spacing w:val="-5"/>
          <w:w w:val="85"/>
          <w:sz w:val="18"/>
          <w:szCs w:val="18"/>
          <w:lang w:val="uk-UA"/>
        </w:rPr>
        <w:t>33</w:t>
      </w:r>
    </w:p>
    <w:p w14:paraId="3E9D1847" w14:textId="77777777" w:rsidR="00E05B98" w:rsidRPr="000F63AB" w:rsidRDefault="00B01E0C">
      <w:pPr>
        <w:spacing w:before="38"/>
        <w:ind w:right="30"/>
        <w:jc w:val="right"/>
        <w:rPr>
          <w:rFonts w:ascii="Trebuchet MS"/>
          <w:sz w:val="18"/>
          <w:szCs w:val="18"/>
          <w:lang w:val="uk-UA"/>
        </w:rPr>
      </w:pPr>
      <w:r w:rsidRPr="000F63AB">
        <w:rPr>
          <w:rFonts w:ascii="Trebuchet MS"/>
          <w:spacing w:val="-5"/>
          <w:w w:val="85"/>
          <w:sz w:val="18"/>
          <w:szCs w:val="18"/>
          <w:lang w:val="uk-UA"/>
        </w:rPr>
        <w:t>29</w:t>
      </w:r>
    </w:p>
    <w:p w14:paraId="2BB92AC5" w14:textId="77777777" w:rsidR="00E05B98" w:rsidRPr="000F63AB" w:rsidRDefault="00B01E0C">
      <w:pPr>
        <w:spacing w:before="39"/>
        <w:ind w:right="30"/>
        <w:jc w:val="right"/>
        <w:rPr>
          <w:rFonts w:ascii="Trebuchet MS"/>
          <w:sz w:val="18"/>
          <w:szCs w:val="18"/>
          <w:lang w:val="uk-UA"/>
        </w:rPr>
      </w:pPr>
      <w:r w:rsidRPr="000F63AB">
        <w:rPr>
          <w:rFonts w:ascii="Trebuchet MS"/>
          <w:spacing w:val="-5"/>
          <w:w w:val="85"/>
          <w:sz w:val="18"/>
          <w:szCs w:val="18"/>
          <w:lang w:val="uk-UA"/>
        </w:rPr>
        <w:t>36</w:t>
      </w:r>
    </w:p>
    <w:p w14:paraId="79AA8C46" w14:textId="77777777" w:rsidR="00E05B98" w:rsidRPr="000F63AB" w:rsidRDefault="00B01E0C">
      <w:pPr>
        <w:spacing w:before="38"/>
        <w:ind w:right="36"/>
        <w:jc w:val="right"/>
        <w:rPr>
          <w:rFonts w:ascii="Trebuchet MS"/>
          <w:sz w:val="18"/>
          <w:szCs w:val="18"/>
          <w:lang w:val="uk-UA"/>
        </w:rPr>
      </w:pPr>
      <w:r w:rsidRPr="000F63AB">
        <w:rPr>
          <w:rFonts w:ascii="Trebuchet MS"/>
          <w:spacing w:val="-10"/>
          <w:w w:val="85"/>
          <w:sz w:val="18"/>
          <w:szCs w:val="18"/>
          <w:lang w:val="uk-UA"/>
        </w:rPr>
        <w:t>1</w:t>
      </w:r>
    </w:p>
    <w:p w14:paraId="1ED448ED" w14:textId="77777777" w:rsidR="00E05B98" w:rsidRPr="000F63AB" w:rsidRDefault="00B01E0C">
      <w:pPr>
        <w:spacing w:before="39"/>
        <w:ind w:right="30"/>
        <w:jc w:val="right"/>
        <w:rPr>
          <w:rFonts w:ascii="Trebuchet MS"/>
          <w:sz w:val="18"/>
          <w:szCs w:val="18"/>
          <w:lang w:val="uk-UA"/>
        </w:rPr>
      </w:pPr>
      <w:r w:rsidRPr="000F63AB">
        <w:rPr>
          <w:rFonts w:ascii="Trebuchet MS"/>
          <w:spacing w:val="-5"/>
          <w:w w:val="85"/>
          <w:sz w:val="18"/>
          <w:szCs w:val="18"/>
          <w:lang w:val="uk-UA"/>
        </w:rPr>
        <w:t>11</w:t>
      </w:r>
    </w:p>
    <w:p w14:paraId="50FE6A5D" w14:textId="77777777" w:rsidR="00E05B98" w:rsidRPr="000F63AB" w:rsidRDefault="00B01E0C">
      <w:pPr>
        <w:spacing w:before="38"/>
        <w:ind w:right="30"/>
        <w:jc w:val="right"/>
        <w:rPr>
          <w:rFonts w:ascii="Trebuchet MS"/>
          <w:sz w:val="18"/>
          <w:szCs w:val="18"/>
          <w:lang w:val="uk-UA"/>
        </w:rPr>
      </w:pPr>
      <w:r w:rsidRPr="000F63AB">
        <w:rPr>
          <w:rFonts w:ascii="Trebuchet MS"/>
          <w:spacing w:val="-5"/>
          <w:w w:val="85"/>
          <w:sz w:val="18"/>
          <w:szCs w:val="18"/>
          <w:lang w:val="uk-UA"/>
        </w:rPr>
        <w:t>61</w:t>
      </w:r>
    </w:p>
    <w:p w14:paraId="4B434973" w14:textId="77777777" w:rsidR="00E05B98" w:rsidRPr="000F63AB" w:rsidRDefault="00B01E0C">
      <w:pPr>
        <w:spacing w:before="39"/>
        <w:ind w:right="30"/>
        <w:jc w:val="right"/>
        <w:rPr>
          <w:rFonts w:ascii="Trebuchet MS"/>
          <w:sz w:val="18"/>
          <w:szCs w:val="18"/>
          <w:lang w:val="uk-UA"/>
        </w:rPr>
      </w:pPr>
      <w:r w:rsidRPr="000F63AB">
        <w:rPr>
          <w:rFonts w:ascii="Trebuchet MS"/>
          <w:spacing w:val="-5"/>
          <w:w w:val="85"/>
          <w:sz w:val="18"/>
          <w:szCs w:val="18"/>
          <w:lang w:val="uk-UA"/>
        </w:rPr>
        <w:t>20</w:t>
      </w:r>
    </w:p>
    <w:p w14:paraId="6F65AE8B" w14:textId="77777777" w:rsidR="00E05B98" w:rsidRPr="000F63AB" w:rsidRDefault="00B01E0C">
      <w:pPr>
        <w:spacing w:before="38"/>
        <w:ind w:right="30"/>
        <w:jc w:val="right"/>
        <w:rPr>
          <w:rFonts w:ascii="Trebuchet MS"/>
          <w:sz w:val="18"/>
          <w:szCs w:val="18"/>
          <w:lang w:val="uk-UA"/>
        </w:rPr>
      </w:pPr>
      <w:r w:rsidRPr="000F63AB">
        <w:rPr>
          <w:rFonts w:ascii="Trebuchet MS"/>
          <w:spacing w:val="-5"/>
          <w:w w:val="85"/>
          <w:sz w:val="18"/>
          <w:szCs w:val="18"/>
          <w:lang w:val="uk-UA"/>
        </w:rPr>
        <w:t>10</w:t>
      </w:r>
    </w:p>
    <w:p w14:paraId="2AE60EAC" w14:textId="77777777" w:rsidR="00E05B98" w:rsidRPr="000F63AB" w:rsidRDefault="00B01E0C">
      <w:pPr>
        <w:spacing w:before="38"/>
        <w:ind w:right="30"/>
        <w:jc w:val="right"/>
        <w:rPr>
          <w:rFonts w:ascii="Trebuchet MS"/>
          <w:sz w:val="18"/>
          <w:szCs w:val="18"/>
          <w:lang w:val="uk-UA"/>
        </w:rPr>
      </w:pPr>
      <w:r w:rsidRPr="000F63AB">
        <w:rPr>
          <w:rFonts w:ascii="Trebuchet MS"/>
          <w:spacing w:val="-5"/>
          <w:w w:val="85"/>
          <w:sz w:val="18"/>
          <w:szCs w:val="18"/>
          <w:lang w:val="uk-UA"/>
        </w:rPr>
        <w:t>11</w:t>
      </w:r>
    </w:p>
    <w:p w14:paraId="56CD9FD8" w14:textId="77777777" w:rsidR="00E05B98" w:rsidRPr="000F63AB" w:rsidRDefault="00B01E0C">
      <w:pPr>
        <w:spacing w:before="39"/>
        <w:ind w:right="30"/>
        <w:jc w:val="right"/>
        <w:rPr>
          <w:rFonts w:ascii="Trebuchet MS"/>
          <w:sz w:val="18"/>
          <w:szCs w:val="18"/>
          <w:lang w:val="uk-UA"/>
        </w:rPr>
      </w:pPr>
      <w:r w:rsidRPr="000F63AB">
        <w:rPr>
          <w:rFonts w:ascii="Trebuchet MS"/>
          <w:spacing w:val="-5"/>
          <w:w w:val="85"/>
          <w:sz w:val="18"/>
          <w:szCs w:val="18"/>
          <w:lang w:val="uk-UA"/>
        </w:rPr>
        <w:t>44</w:t>
      </w:r>
    </w:p>
    <w:p w14:paraId="297A06A0" w14:textId="77777777" w:rsidR="00E05B98" w:rsidRPr="000F63AB" w:rsidRDefault="00B01E0C">
      <w:pPr>
        <w:spacing w:before="38"/>
        <w:ind w:right="30"/>
        <w:jc w:val="right"/>
        <w:rPr>
          <w:rFonts w:ascii="Trebuchet MS"/>
          <w:sz w:val="18"/>
          <w:szCs w:val="18"/>
          <w:lang w:val="uk-UA"/>
        </w:rPr>
      </w:pPr>
      <w:r w:rsidRPr="000F63AB">
        <w:rPr>
          <w:rFonts w:ascii="Trebuchet MS"/>
          <w:spacing w:val="-5"/>
          <w:w w:val="85"/>
          <w:sz w:val="18"/>
          <w:szCs w:val="18"/>
          <w:lang w:val="uk-UA"/>
        </w:rPr>
        <w:t>12</w:t>
      </w:r>
    </w:p>
    <w:p w14:paraId="495CE3D8" w14:textId="77777777" w:rsidR="00E05B98" w:rsidRPr="000F63AB" w:rsidRDefault="00B01E0C">
      <w:pPr>
        <w:spacing w:before="39"/>
        <w:ind w:right="36"/>
        <w:jc w:val="right"/>
        <w:rPr>
          <w:rFonts w:ascii="Trebuchet MS"/>
          <w:sz w:val="18"/>
          <w:szCs w:val="18"/>
          <w:lang w:val="uk-UA"/>
        </w:rPr>
      </w:pPr>
      <w:r w:rsidRPr="000F63AB">
        <w:rPr>
          <w:rFonts w:ascii="Trebuchet MS"/>
          <w:spacing w:val="-10"/>
          <w:w w:val="85"/>
          <w:sz w:val="18"/>
          <w:szCs w:val="18"/>
          <w:lang w:val="uk-UA"/>
        </w:rPr>
        <w:t>1</w:t>
      </w:r>
    </w:p>
    <w:p w14:paraId="0B9DA665" w14:textId="77777777" w:rsidR="00E05B98" w:rsidRPr="000F63AB" w:rsidRDefault="00B01E0C">
      <w:pPr>
        <w:spacing w:before="38"/>
        <w:ind w:right="30"/>
        <w:jc w:val="right"/>
        <w:rPr>
          <w:rFonts w:ascii="Trebuchet MS"/>
          <w:sz w:val="18"/>
          <w:szCs w:val="18"/>
          <w:lang w:val="uk-UA"/>
        </w:rPr>
      </w:pPr>
      <w:r w:rsidRPr="000F63AB">
        <w:rPr>
          <w:rFonts w:ascii="Trebuchet MS"/>
          <w:spacing w:val="-5"/>
          <w:w w:val="85"/>
          <w:sz w:val="18"/>
          <w:szCs w:val="18"/>
          <w:lang w:val="uk-UA"/>
        </w:rPr>
        <w:t>13</w:t>
      </w:r>
    </w:p>
    <w:p w14:paraId="3A052AC3" w14:textId="77777777" w:rsidR="00E05B98" w:rsidRPr="000F63AB" w:rsidRDefault="00B01E0C">
      <w:pPr>
        <w:spacing w:before="39"/>
        <w:ind w:right="36"/>
        <w:jc w:val="right"/>
        <w:rPr>
          <w:rFonts w:ascii="Trebuchet MS"/>
          <w:sz w:val="18"/>
          <w:szCs w:val="18"/>
          <w:lang w:val="uk-UA"/>
        </w:rPr>
      </w:pPr>
      <w:r w:rsidRPr="000F63AB">
        <w:rPr>
          <w:rFonts w:ascii="Trebuchet MS"/>
          <w:spacing w:val="-10"/>
          <w:w w:val="85"/>
          <w:sz w:val="18"/>
          <w:szCs w:val="18"/>
          <w:lang w:val="uk-UA"/>
        </w:rPr>
        <w:t>0</w:t>
      </w:r>
    </w:p>
    <w:p w14:paraId="73464BE9" w14:textId="77777777" w:rsidR="00E05B98" w:rsidRPr="000F63AB" w:rsidRDefault="00B01E0C">
      <w:pPr>
        <w:spacing w:before="38"/>
        <w:ind w:right="36"/>
        <w:jc w:val="right"/>
        <w:rPr>
          <w:rFonts w:ascii="Trebuchet MS"/>
          <w:sz w:val="18"/>
          <w:szCs w:val="18"/>
          <w:lang w:val="uk-UA"/>
        </w:rPr>
      </w:pPr>
      <w:r w:rsidRPr="000F63AB">
        <w:rPr>
          <w:rFonts w:ascii="Trebuchet MS"/>
          <w:spacing w:val="-10"/>
          <w:w w:val="85"/>
          <w:sz w:val="18"/>
          <w:szCs w:val="18"/>
          <w:lang w:val="uk-UA"/>
        </w:rPr>
        <w:t>0</w:t>
      </w:r>
    </w:p>
    <w:p w14:paraId="6ADB1803" w14:textId="77777777" w:rsidR="00E05B98" w:rsidRPr="000F63AB" w:rsidRDefault="00B01E0C">
      <w:pPr>
        <w:spacing w:before="38"/>
        <w:ind w:right="36"/>
        <w:jc w:val="right"/>
        <w:rPr>
          <w:rFonts w:ascii="Trebuchet MS"/>
          <w:sz w:val="18"/>
          <w:szCs w:val="18"/>
          <w:lang w:val="uk-UA"/>
        </w:rPr>
      </w:pPr>
      <w:r w:rsidRPr="000F63AB">
        <w:rPr>
          <w:rFonts w:ascii="Trebuchet MS"/>
          <w:spacing w:val="-10"/>
          <w:w w:val="85"/>
          <w:sz w:val="18"/>
          <w:szCs w:val="18"/>
          <w:lang w:val="uk-UA"/>
        </w:rPr>
        <w:t>0</w:t>
      </w:r>
    </w:p>
    <w:p w14:paraId="72351A5B" w14:textId="77777777" w:rsidR="00E05B98" w:rsidRPr="000F63AB" w:rsidRDefault="00B01E0C">
      <w:pPr>
        <w:spacing w:before="107" w:line="319" w:lineRule="auto"/>
        <w:ind w:left="121" w:firstLine="60"/>
        <w:jc w:val="right"/>
        <w:rPr>
          <w:rFonts w:ascii="Trebuchet MS"/>
          <w:sz w:val="18"/>
          <w:szCs w:val="18"/>
          <w:lang w:val="uk-UA"/>
        </w:rPr>
      </w:pPr>
      <w:r w:rsidRPr="000F63AB">
        <w:rPr>
          <w:sz w:val="18"/>
          <w:szCs w:val="18"/>
          <w:lang w:val="uk-UA"/>
        </w:rPr>
        <w:br w:type="column"/>
      </w:r>
      <w:r w:rsidRPr="000F63AB">
        <w:rPr>
          <w:rFonts w:ascii="Trebuchet MS"/>
          <w:color w:val="333333"/>
          <w:spacing w:val="10"/>
          <w:w w:val="70"/>
          <w:sz w:val="18"/>
          <w:szCs w:val="18"/>
          <w:lang w:val="uk-UA"/>
        </w:rPr>
        <w:t xml:space="preserve">TN </w:t>
      </w:r>
      <w:r w:rsidRPr="000F63AB">
        <w:rPr>
          <w:rFonts w:ascii="Trebuchet MS"/>
          <w:spacing w:val="-5"/>
          <w:w w:val="80"/>
          <w:sz w:val="18"/>
          <w:szCs w:val="18"/>
          <w:lang w:val="uk-UA"/>
        </w:rPr>
        <w:t>147</w:t>
      </w:r>
    </w:p>
    <w:p w14:paraId="7A410B38" w14:textId="77777777" w:rsidR="00E05B98" w:rsidRPr="000F63AB" w:rsidRDefault="00B01E0C">
      <w:pPr>
        <w:spacing w:line="186" w:lineRule="exact"/>
        <w:ind w:right="17"/>
        <w:jc w:val="right"/>
        <w:rPr>
          <w:rFonts w:ascii="Trebuchet MS"/>
          <w:sz w:val="18"/>
          <w:szCs w:val="18"/>
          <w:lang w:val="uk-UA"/>
        </w:rPr>
      </w:pPr>
      <w:r w:rsidRPr="000F63AB">
        <w:rPr>
          <w:rFonts w:ascii="Trebuchet MS"/>
          <w:spacing w:val="-5"/>
          <w:w w:val="85"/>
          <w:sz w:val="18"/>
          <w:szCs w:val="18"/>
          <w:lang w:val="uk-UA"/>
        </w:rPr>
        <w:t>637</w:t>
      </w:r>
    </w:p>
    <w:p w14:paraId="2C584E6B" w14:textId="77777777" w:rsidR="00E05B98" w:rsidRPr="000F63AB" w:rsidRDefault="00B01E0C">
      <w:pPr>
        <w:spacing w:before="38"/>
        <w:ind w:right="17"/>
        <w:jc w:val="right"/>
        <w:rPr>
          <w:rFonts w:ascii="Trebuchet MS"/>
          <w:sz w:val="18"/>
          <w:szCs w:val="18"/>
          <w:lang w:val="uk-UA"/>
        </w:rPr>
      </w:pPr>
      <w:r w:rsidRPr="000F63AB">
        <w:rPr>
          <w:rFonts w:ascii="Trebuchet MS"/>
          <w:spacing w:val="-5"/>
          <w:w w:val="85"/>
          <w:sz w:val="18"/>
          <w:szCs w:val="18"/>
          <w:lang w:val="uk-UA"/>
        </w:rPr>
        <w:t>193</w:t>
      </w:r>
    </w:p>
    <w:p w14:paraId="52C52813" w14:textId="77777777" w:rsidR="00E05B98" w:rsidRPr="000F63AB" w:rsidRDefault="00B01E0C">
      <w:pPr>
        <w:spacing w:before="39"/>
        <w:ind w:right="17"/>
        <w:jc w:val="right"/>
        <w:rPr>
          <w:rFonts w:ascii="Trebuchet MS"/>
          <w:sz w:val="18"/>
          <w:szCs w:val="18"/>
          <w:lang w:val="uk-UA"/>
        </w:rPr>
      </w:pPr>
      <w:r w:rsidRPr="000F63AB">
        <w:rPr>
          <w:rFonts w:ascii="Trebuchet MS"/>
          <w:spacing w:val="-5"/>
          <w:w w:val="85"/>
          <w:sz w:val="18"/>
          <w:szCs w:val="18"/>
          <w:lang w:val="uk-UA"/>
        </w:rPr>
        <w:t>24</w:t>
      </w:r>
    </w:p>
    <w:p w14:paraId="709F4C7F" w14:textId="77777777" w:rsidR="00E05B98" w:rsidRPr="000F63AB" w:rsidRDefault="00B01E0C">
      <w:pPr>
        <w:spacing w:before="38"/>
        <w:ind w:right="17"/>
        <w:jc w:val="right"/>
        <w:rPr>
          <w:rFonts w:ascii="Trebuchet MS"/>
          <w:sz w:val="18"/>
          <w:szCs w:val="18"/>
          <w:lang w:val="uk-UA"/>
        </w:rPr>
      </w:pPr>
      <w:r w:rsidRPr="000F63AB">
        <w:rPr>
          <w:rFonts w:ascii="Trebuchet MS"/>
          <w:spacing w:val="-5"/>
          <w:w w:val="85"/>
          <w:sz w:val="18"/>
          <w:szCs w:val="18"/>
          <w:lang w:val="uk-UA"/>
        </w:rPr>
        <w:t>938</w:t>
      </w:r>
    </w:p>
    <w:p w14:paraId="2A469E0C" w14:textId="77777777" w:rsidR="00E05B98" w:rsidRPr="000F63AB" w:rsidRDefault="00B01E0C">
      <w:pPr>
        <w:spacing w:before="39"/>
        <w:ind w:right="17"/>
        <w:jc w:val="right"/>
        <w:rPr>
          <w:rFonts w:ascii="Trebuchet MS"/>
          <w:sz w:val="18"/>
          <w:szCs w:val="18"/>
          <w:lang w:val="uk-UA"/>
        </w:rPr>
      </w:pPr>
      <w:r w:rsidRPr="000F63AB">
        <w:rPr>
          <w:rFonts w:ascii="Trebuchet MS"/>
          <w:spacing w:val="-5"/>
          <w:w w:val="85"/>
          <w:sz w:val="18"/>
          <w:szCs w:val="18"/>
          <w:lang w:val="uk-UA"/>
        </w:rPr>
        <w:t>514</w:t>
      </w:r>
    </w:p>
    <w:p w14:paraId="7229FA36" w14:textId="77777777" w:rsidR="00E05B98" w:rsidRPr="000F63AB" w:rsidRDefault="00B01E0C">
      <w:pPr>
        <w:spacing w:before="38"/>
        <w:ind w:right="17"/>
        <w:jc w:val="right"/>
        <w:rPr>
          <w:rFonts w:ascii="Trebuchet MS"/>
          <w:sz w:val="18"/>
          <w:szCs w:val="18"/>
          <w:lang w:val="uk-UA"/>
        </w:rPr>
      </w:pPr>
      <w:r w:rsidRPr="000F63AB">
        <w:rPr>
          <w:rFonts w:ascii="Trebuchet MS"/>
          <w:spacing w:val="-5"/>
          <w:w w:val="85"/>
          <w:sz w:val="18"/>
          <w:szCs w:val="18"/>
          <w:lang w:val="uk-UA"/>
        </w:rPr>
        <w:t>942</w:t>
      </w:r>
    </w:p>
    <w:p w14:paraId="4F70F13D" w14:textId="77777777" w:rsidR="00E05B98" w:rsidRPr="000F63AB" w:rsidRDefault="00B01E0C">
      <w:pPr>
        <w:spacing w:before="39"/>
        <w:ind w:right="17"/>
        <w:jc w:val="right"/>
        <w:rPr>
          <w:rFonts w:ascii="Trebuchet MS"/>
          <w:sz w:val="18"/>
          <w:szCs w:val="18"/>
          <w:lang w:val="uk-UA"/>
        </w:rPr>
      </w:pPr>
      <w:r w:rsidRPr="000F63AB">
        <w:rPr>
          <w:rFonts w:ascii="Trebuchet MS"/>
          <w:spacing w:val="-5"/>
          <w:w w:val="85"/>
          <w:sz w:val="18"/>
          <w:szCs w:val="18"/>
          <w:lang w:val="uk-UA"/>
        </w:rPr>
        <w:t>49</w:t>
      </w:r>
    </w:p>
    <w:p w14:paraId="3AE3824F" w14:textId="77777777" w:rsidR="00E05B98" w:rsidRPr="000F63AB" w:rsidRDefault="00B01E0C">
      <w:pPr>
        <w:spacing w:before="38"/>
        <w:ind w:right="17"/>
        <w:jc w:val="right"/>
        <w:rPr>
          <w:rFonts w:ascii="Trebuchet MS"/>
          <w:sz w:val="18"/>
          <w:szCs w:val="18"/>
          <w:lang w:val="uk-UA"/>
        </w:rPr>
      </w:pPr>
      <w:r w:rsidRPr="000F63AB">
        <w:rPr>
          <w:rFonts w:ascii="Trebuchet MS"/>
          <w:spacing w:val="-5"/>
          <w:w w:val="85"/>
          <w:sz w:val="18"/>
          <w:szCs w:val="18"/>
          <w:lang w:val="uk-UA"/>
        </w:rPr>
        <w:t>571</w:t>
      </w:r>
    </w:p>
    <w:p w14:paraId="450ADFAC" w14:textId="77777777" w:rsidR="00E05B98" w:rsidRPr="000F63AB" w:rsidRDefault="00B01E0C">
      <w:pPr>
        <w:spacing w:before="38"/>
        <w:ind w:right="17"/>
        <w:jc w:val="right"/>
        <w:rPr>
          <w:rFonts w:ascii="Trebuchet MS"/>
          <w:sz w:val="18"/>
          <w:szCs w:val="18"/>
          <w:lang w:val="uk-UA"/>
        </w:rPr>
      </w:pPr>
      <w:r w:rsidRPr="000F63AB">
        <w:rPr>
          <w:rFonts w:ascii="Trebuchet MS"/>
          <w:spacing w:val="-4"/>
          <w:w w:val="85"/>
          <w:sz w:val="18"/>
          <w:szCs w:val="18"/>
          <w:lang w:val="uk-UA"/>
        </w:rPr>
        <w:t>2490</w:t>
      </w:r>
    </w:p>
    <w:p w14:paraId="4D33B48E" w14:textId="77777777" w:rsidR="00E05B98" w:rsidRPr="000F63AB" w:rsidRDefault="00B01E0C">
      <w:pPr>
        <w:spacing w:before="39"/>
        <w:ind w:right="17"/>
        <w:jc w:val="right"/>
        <w:rPr>
          <w:rFonts w:ascii="Trebuchet MS"/>
          <w:sz w:val="18"/>
          <w:szCs w:val="18"/>
          <w:lang w:val="uk-UA"/>
        </w:rPr>
      </w:pPr>
      <w:r w:rsidRPr="000F63AB">
        <w:rPr>
          <w:rFonts w:ascii="Trebuchet MS"/>
          <w:spacing w:val="-5"/>
          <w:w w:val="85"/>
          <w:sz w:val="18"/>
          <w:szCs w:val="18"/>
          <w:lang w:val="uk-UA"/>
        </w:rPr>
        <w:t>736</w:t>
      </w:r>
    </w:p>
    <w:p w14:paraId="53A29B14" w14:textId="77777777" w:rsidR="00E05B98" w:rsidRPr="000F63AB" w:rsidRDefault="00B01E0C">
      <w:pPr>
        <w:spacing w:before="38"/>
        <w:ind w:right="17"/>
        <w:jc w:val="right"/>
        <w:rPr>
          <w:rFonts w:ascii="Trebuchet MS"/>
          <w:sz w:val="18"/>
          <w:szCs w:val="18"/>
          <w:lang w:val="uk-UA"/>
        </w:rPr>
      </w:pPr>
      <w:r w:rsidRPr="000F63AB">
        <w:rPr>
          <w:rFonts w:ascii="Trebuchet MS"/>
          <w:spacing w:val="-5"/>
          <w:w w:val="85"/>
          <w:sz w:val="18"/>
          <w:szCs w:val="18"/>
          <w:lang w:val="uk-UA"/>
        </w:rPr>
        <w:t>333</w:t>
      </w:r>
    </w:p>
    <w:p w14:paraId="202432E6" w14:textId="77777777" w:rsidR="00E05B98" w:rsidRPr="000F63AB" w:rsidRDefault="00B01E0C">
      <w:pPr>
        <w:spacing w:before="39"/>
        <w:ind w:right="17"/>
        <w:jc w:val="right"/>
        <w:rPr>
          <w:rFonts w:ascii="Trebuchet MS"/>
          <w:sz w:val="18"/>
          <w:szCs w:val="18"/>
          <w:lang w:val="uk-UA"/>
        </w:rPr>
      </w:pPr>
      <w:r w:rsidRPr="000F63AB">
        <w:rPr>
          <w:rFonts w:ascii="Trebuchet MS"/>
          <w:spacing w:val="-5"/>
          <w:w w:val="85"/>
          <w:sz w:val="18"/>
          <w:szCs w:val="18"/>
          <w:lang w:val="uk-UA"/>
        </w:rPr>
        <w:t>290</w:t>
      </w:r>
    </w:p>
    <w:p w14:paraId="27C152DC" w14:textId="77777777" w:rsidR="00E05B98" w:rsidRPr="000F63AB" w:rsidRDefault="00B01E0C">
      <w:pPr>
        <w:spacing w:before="38"/>
        <w:ind w:right="22"/>
        <w:jc w:val="right"/>
        <w:rPr>
          <w:rFonts w:ascii="Trebuchet MS"/>
          <w:sz w:val="18"/>
          <w:szCs w:val="18"/>
          <w:lang w:val="uk-UA"/>
        </w:rPr>
      </w:pPr>
      <w:r w:rsidRPr="000F63AB">
        <w:rPr>
          <w:rFonts w:ascii="Trebuchet MS"/>
          <w:spacing w:val="-10"/>
          <w:w w:val="85"/>
          <w:sz w:val="18"/>
          <w:szCs w:val="18"/>
          <w:lang w:val="uk-UA"/>
        </w:rPr>
        <w:t>2</w:t>
      </w:r>
    </w:p>
    <w:p w14:paraId="3E948954" w14:textId="77777777" w:rsidR="00E05B98" w:rsidRPr="000F63AB" w:rsidRDefault="00B01E0C">
      <w:pPr>
        <w:spacing w:before="39"/>
        <w:ind w:right="17"/>
        <w:jc w:val="right"/>
        <w:rPr>
          <w:rFonts w:ascii="Trebuchet MS"/>
          <w:sz w:val="18"/>
          <w:szCs w:val="18"/>
          <w:lang w:val="uk-UA"/>
        </w:rPr>
      </w:pPr>
      <w:r w:rsidRPr="000F63AB">
        <w:rPr>
          <w:rFonts w:ascii="Trebuchet MS"/>
          <w:spacing w:val="-5"/>
          <w:w w:val="85"/>
          <w:sz w:val="18"/>
          <w:szCs w:val="18"/>
          <w:lang w:val="uk-UA"/>
        </w:rPr>
        <w:t>193</w:t>
      </w:r>
    </w:p>
    <w:p w14:paraId="63653953" w14:textId="77777777" w:rsidR="00E05B98" w:rsidRPr="000F63AB" w:rsidRDefault="00B01E0C">
      <w:pPr>
        <w:spacing w:before="38"/>
        <w:ind w:right="17"/>
        <w:jc w:val="right"/>
        <w:rPr>
          <w:rFonts w:ascii="Trebuchet MS"/>
          <w:sz w:val="18"/>
          <w:szCs w:val="18"/>
          <w:lang w:val="uk-UA"/>
        </w:rPr>
      </w:pPr>
      <w:r w:rsidRPr="000F63AB">
        <w:rPr>
          <w:rFonts w:ascii="Trebuchet MS"/>
          <w:spacing w:val="-4"/>
          <w:w w:val="85"/>
          <w:sz w:val="18"/>
          <w:szCs w:val="18"/>
          <w:lang w:val="uk-UA"/>
        </w:rPr>
        <w:t>1333</w:t>
      </w:r>
    </w:p>
    <w:p w14:paraId="3D550EE0" w14:textId="77777777" w:rsidR="00E05B98" w:rsidRPr="000F63AB" w:rsidRDefault="00B01E0C">
      <w:pPr>
        <w:spacing w:before="39"/>
        <w:ind w:right="17"/>
        <w:jc w:val="right"/>
        <w:rPr>
          <w:rFonts w:ascii="Trebuchet MS"/>
          <w:sz w:val="18"/>
          <w:szCs w:val="18"/>
          <w:lang w:val="uk-UA"/>
        </w:rPr>
      </w:pPr>
      <w:r w:rsidRPr="000F63AB">
        <w:rPr>
          <w:rFonts w:ascii="Trebuchet MS"/>
          <w:spacing w:val="-5"/>
          <w:w w:val="85"/>
          <w:sz w:val="18"/>
          <w:szCs w:val="18"/>
          <w:lang w:val="uk-UA"/>
        </w:rPr>
        <w:t>205</w:t>
      </w:r>
    </w:p>
    <w:p w14:paraId="03288C88" w14:textId="77777777" w:rsidR="00E05B98" w:rsidRPr="000F63AB" w:rsidRDefault="00B01E0C">
      <w:pPr>
        <w:spacing w:before="38"/>
        <w:ind w:right="17"/>
        <w:jc w:val="right"/>
        <w:rPr>
          <w:rFonts w:ascii="Trebuchet MS"/>
          <w:sz w:val="18"/>
          <w:szCs w:val="18"/>
          <w:lang w:val="uk-UA"/>
        </w:rPr>
      </w:pPr>
      <w:r w:rsidRPr="000F63AB">
        <w:rPr>
          <w:rFonts w:ascii="Trebuchet MS"/>
          <w:spacing w:val="-5"/>
          <w:w w:val="85"/>
          <w:sz w:val="18"/>
          <w:szCs w:val="18"/>
          <w:lang w:val="uk-UA"/>
        </w:rPr>
        <w:t>136</w:t>
      </w:r>
    </w:p>
    <w:p w14:paraId="45A3F920" w14:textId="77777777" w:rsidR="00E05B98" w:rsidRPr="000F63AB" w:rsidRDefault="00B01E0C">
      <w:pPr>
        <w:spacing w:before="38"/>
        <w:ind w:right="17"/>
        <w:jc w:val="right"/>
        <w:rPr>
          <w:rFonts w:ascii="Trebuchet MS"/>
          <w:sz w:val="18"/>
          <w:szCs w:val="18"/>
          <w:lang w:val="uk-UA"/>
        </w:rPr>
      </w:pPr>
      <w:r w:rsidRPr="000F63AB">
        <w:rPr>
          <w:rFonts w:ascii="Trebuchet MS"/>
          <w:spacing w:val="-5"/>
          <w:w w:val="85"/>
          <w:sz w:val="18"/>
          <w:szCs w:val="18"/>
          <w:lang w:val="uk-UA"/>
        </w:rPr>
        <w:t>389</w:t>
      </w:r>
    </w:p>
    <w:p w14:paraId="3E99118D" w14:textId="77777777" w:rsidR="00E05B98" w:rsidRPr="000F63AB" w:rsidRDefault="00B01E0C">
      <w:pPr>
        <w:spacing w:before="39"/>
        <w:ind w:right="17"/>
        <w:jc w:val="right"/>
        <w:rPr>
          <w:rFonts w:ascii="Trebuchet MS"/>
          <w:sz w:val="18"/>
          <w:szCs w:val="18"/>
          <w:lang w:val="uk-UA"/>
        </w:rPr>
      </w:pPr>
      <w:r w:rsidRPr="000F63AB">
        <w:rPr>
          <w:rFonts w:ascii="Trebuchet MS"/>
          <w:spacing w:val="-4"/>
          <w:w w:val="85"/>
          <w:sz w:val="18"/>
          <w:szCs w:val="18"/>
          <w:lang w:val="uk-UA"/>
        </w:rPr>
        <w:t>2519</w:t>
      </w:r>
    </w:p>
    <w:p w14:paraId="11431F4C" w14:textId="77777777" w:rsidR="00E05B98" w:rsidRPr="000F63AB" w:rsidRDefault="00B01E0C">
      <w:pPr>
        <w:spacing w:before="38"/>
        <w:ind w:right="17"/>
        <w:jc w:val="right"/>
        <w:rPr>
          <w:rFonts w:ascii="Trebuchet MS"/>
          <w:sz w:val="18"/>
          <w:szCs w:val="18"/>
          <w:lang w:val="uk-UA"/>
        </w:rPr>
      </w:pPr>
      <w:r w:rsidRPr="000F63AB">
        <w:rPr>
          <w:rFonts w:ascii="Trebuchet MS"/>
          <w:spacing w:val="-5"/>
          <w:w w:val="85"/>
          <w:sz w:val="18"/>
          <w:szCs w:val="18"/>
          <w:lang w:val="uk-UA"/>
        </w:rPr>
        <w:t>36</w:t>
      </w:r>
    </w:p>
    <w:p w14:paraId="57146E9D" w14:textId="77777777" w:rsidR="00E05B98" w:rsidRPr="000F63AB" w:rsidRDefault="00B01E0C">
      <w:pPr>
        <w:spacing w:before="39"/>
        <w:ind w:right="17"/>
        <w:jc w:val="right"/>
        <w:rPr>
          <w:rFonts w:ascii="Trebuchet MS"/>
          <w:sz w:val="18"/>
          <w:szCs w:val="18"/>
          <w:lang w:val="uk-UA"/>
        </w:rPr>
      </w:pPr>
      <w:r w:rsidRPr="000F63AB">
        <w:rPr>
          <w:rFonts w:ascii="Trebuchet MS"/>
          <w:spacing w:val="-5"/>
          <w:w w:val="85"/>
          <w:sz w:val="18"/>
          <w:szCs w:val="18"/>
          <w:lang w:val="uk-UA"/>
        </w:rPr>
        <w:t>23</w:t>
      </w:r>
    </w:p>
    <w:p w14:paraId="45E46C3B" w14:textId="77777777" w:rsidR="00E05B98" w:rsidRPr="000F63AB" w:rsidRDefault="00B01E0C">
      <w:pPr>
        <w:spacing w:before="38"/>
        <w:ind w:right="17"/>
        <w:jc w:val="right"/>
        <w:rPr>
          <w:rFonts w:ascii="Trebuchet MS"/>
          <w:sz w:val="18"/>
          <w:szCs w:val="18"/>
          <w:lang w:val="uk-UA"/>
        </w:rPr>
      </w:pPr>
      <w:r w:rsidRPr="000F63AB">
        <w:rPr>
          <w:rFonts w:ascii="Trebuchet MS"/>
          <w:spacing w:val="-5"/>
          <w:w w:val="85"/>
          <w:sz w:val="18"/>
          <w:szCs w:val="18"/>
          <w:lang w:val="uk-UA"/>
        </w:rPr>
        <w:t>294</w:t>
      </w:r>
    </w:p>
    <w:p w14:paraId="6718DC30" w14:textId="77777777" w:rsidR="00E05B98" w:rsidRPr="000F63AB" w:rsidRDefault="00B01E0C">
      <w:pPr>
        <w:spacing w:before="39"/>
        <w:ind w:right="17"/>
        <w:jc w:val="right"/>
        <w:rPr>
          <w:rFonts w:ascii="Trebuchet MS"/>
          <w:sz w:val="18"/>
          <w:szCs w:val="18"/>
          <w:lang w:val="uk-UA"/>
        </w:rPr>
      </w:pPr>
      <w:r w:rsidRPr="000F63AB">
        <w:rPr>
          <w:rFonts w:ascii="Trebuchet MS"/>
          <w:spacing w:val="-5"/>
          <w:w w:val="85"/>
          <w:sz w:val="18"/>
          <w:szCs w:val="18"/>
          <w:lang w:val="uk-UA"/>
        </w:rPr>
        <w:t>39</w:t>
      </w:r>
    </w:p>
    <w:p w14:paraId="3FC40597" w14:textId="77777777" w:rsidR="00E05B98" w:rsidRPr="000F63AB" w:rsidRDefault="00B01E0C">
      <w:pPr>
        <w:spacing w:before="38"/>
        <w:ind w:right="17"/>
        <w:jc w:val="right"/>
        <w:rPr>
          <w:rFonts w:ascii="Trebuchet MS"/>
          <w:sz w:val="18"/>
          <w:szCs w:val="18"/>
          <w:lang w:val="uk-UA"/>
        </w:rPr>
      </w:pPr>
      <w:r w:rsidRPr="000F63AB">
        <w:rPr>
          <w:rFonts w:ascii="Trebuchet MS"/>
          <w:spacing w:val="-5"/>
          <w:w w:val="85"/>
          <w:sz w:val="18"/>
          <w:szCs w:val="18"/>
          <w:lang w:val="uk-UA"/>
        </w:rPr>
        <w:t>119</w:t>
      </w:r>
    </w:p>
    <w:p w14:paraId="5E1737C3" w14:textId="77777777" w:rsidR="00E05B98" w:rsidRPr="000F63AB" w:rsidRDefault="00B01E0C">
      <w:pPr>
        <w:spacing w:before="38"/>
        <w:ind w:right="17"/>
        <w:jc w:val="right"/>
        <w:rPr>
          <w:rFonts w:ascii="Trebuchet MS"/>
          <w:sz w:val="18"/>
          <w:szCs w:val="18"/>
          <w:lang w:val="uk-UA"/>
        </w:rPr>
      </w:pPr>
      <w:r w:rsidRPr="000F63AB">
        <w:rPr>
          <w:rFonts w:ascii="Trebuchet MS"/>
          <w:spacing w:val="-5"/>
          <w:w w:val="85"/>
          <w:sz w:val="18"/>
          <w:szCs w:val="18"/>
          <w:lang w:val="uk-UA"/>
        </w:rPr>
        <w:t>381</w:t>
      </w:r>
    </w:p>
    <w:p w14:paraId="3BC31FBD" w14:textId="77777777" w:rsidR="00E05B98" w:rsidRPr="000F63AB" w:rsidRDefault="00B01E0C">
      <w:pPr>
        <w:spacing w:before="107"/>
        <w:ind w:left="111"/>
        <w:rPr>
          <w:rFonts w:ascii="Trebuchet MS"/>
          <w:sz w:val="18"/>
          <w:szCs w:val="18"/>
          <w:lang w:val="uk-UA"/>
        </w:rPr>
      </w:pPr>
      <w:r w:rsidRPr="000F63AB">
        <w:rPr>
          <w:sz w:val="18"/>
          <w:szCs w:val="18"/>
          <w:lang w:val="uk-UA"/>
        </w:rPr>
        <w:br w:type="column"/>
      </w:r>
      <w:r w:rsidRPr="000F63AB">
        <w:rPr>
          <w:rFonts w:ascii="Trebuchet MS"/>
          <w:color w:val="333333"/>
          <w:w w:val="70"/>
          <w:sz w:val="18"/>
          <w:szCs w:val="18"/>
          <w:lang w:val="uk-UA"/>
        </w:rPr>
        <w:t>S</w:t>
      </w:r>
      <w:r w:rsidRPr="000F63AB">
        <w:rPr>
          <w:rFonts w:ascii="Trebuchet MS"/>
          <w:color w:val="333333"/>
          <w:spacing w:val="-1"/>
          <w:w w:val="70"/>
          <w:sz w:val="18"/>
          <w:szCs w:val="18"/>
          <w:lang w:val="uk-UA"/>
        </w:rPr>
        <w:t xml:space="preserve"> </w:t>
      </w:r>
      <w:proofErr w:type="spellStart"/>
      <w:r w:rsidRPr="000F63AB">
        <w:rPr>
          <w:rFonts w:ascii="Trebuchet MS"/>
          <w:color w:val="333333"/>
          <w:w w:val="70"/>
          <w:sz w:val="18"/>
          <w:szCs w:val="18"/>
          <w:lang w:val="uk-UA"/>
        </w:rPr>
        <w:t>ens</w:t>
      </w:r>
      <w:proofErr w:type="spellEnd"/>
      <w:r w:rsidRPr="000F63AB">
        <w:rPr>
          <w:rFonts w:ascii="Trebuchet MS"/>
          <w:color w:val="333333"/>
          <w:spacing w:val="-5"/>
          <w:w w:val="70"/>
          <w:sz w:val="18"/>
          <w:szCs w:val="18"/>
          <w:lang w:val="uk-UA"/>
        </w:rPr>
        <w:t xml:space="preserve"> </w:t>
      </w:r>
      <w:proofErr w:type="spellStart"/>
      <w:r w:rsidRPr="000F63AB">
        <w:rPr>
          <w:rFonts w:ascii="Trebuchet MS"/>
          <w:color w:val="333333"/>
          <w:w w:val="70"/>
          <w:sz w:val="18"/>
          <w:szCs w:val="18"/>
          <w:lang w:val="uk-UA"/>
        </w:rPr>
        <w:t>itivity</w:t>
      </w:r>
      <w:proofErr w:type="spellEnd"/>
      <w:r w:rsidRPr="000F63AB">
        <w:rPr>
          <w:rFonts w:ascii="Trebuchet MS"/>
          <w:color w:val="333333"/>
          <w:spacing w:val="22"/>
          <w:sz w:val="18"/>
          <w:szCs w:val="18"/>
          <w:lang w:val="uk-UA"/>
        </w:rPr>
        <w:t xml:space="preserve"> </w:t>
      </w:r>
      <w:r w:rsidRPr="000F63AB">
        <w:rPr>
          <w:rFonts w:ascii="Trebuchet MS"/>
          <w:color w:val="333333"/>
          <w:w w:val="70"/>
          <w:sz w:val="18"/>
          <w:szCs w:val="18"/>
          <w:lang w:val="uk-UA"/>
        </w:rPr>
        <w:t>(95%</w:t>
      </w:r>
      <w:r w:rsidRPr="000F63AB">
        <w:rPr>
          <w:rFonts w:ascii="Trebuchet MS"/>
          <w:color w:val="333333"/>
          <w:spacing w:val="26"/>
          <w:sz w:val="18"/>
          <w:szCs w:val="18"/>
          <w:lang w:val="uk-UA"/>
        </w:rPr>
        <w:t xml:space="preserve"> </w:t>
      </w:r>
      <w:r w:rsidRPr="000F63AB">
        <w:rPr>
          <w:rFonts w:ascii="Trebuchet MS"/>
          <w:color w:val="333333"/>
          <w:w w:val="70"/>
          <w:sz w:val="18"/>
          <w:szCs w:val="18"/>
          <w:lang w:val="uk-UA"/>
        </w:rPr>
        <w:t>C</w:t>
      </w:r>
      <w:r w:rsidRPr="000F63AB">
        <w:rPr>
          <w:rFonts w:ascii="Trebuchet MS"/>
          <w:color w:val="333333"/>
          <w:spacing w:val="-8"/>
          <w:w w:val="70"/>
          <w:sz w:val="18"/>
          <w:szCs w:val="18"/>
          <w:lang w:val="uk-UA"/>
        </w:rPr>
        <w:t xml:space="preserve"> </w:t>
      </w:r>
      <w:r w:rsidRPr="000F63AB">
        <w:rPr>
          <w:rFonts w:ascii="Trebuchet MS"/>
          <w:color w:val="333333"/>
          <w:spacing w:val="-5"/>
          <w:w w:val="70"/>
          <w:sz w:val="18"/>
          <w:szCs w:val="18"/>
          <w:lang w:val="uk-UA"/>
        </w:rPr>
        <w:t>I)</w:t>
      </w:r>
    </w:p>
    <w:p w14:paraId="47A55EB7" w14:textId="77777777" w:rsidR="00E05B98" w:rsidRPr="000F63AB" w:rsidRDefault="00B01E0C">
      <w:pPr>
        <w:spacing w:before="72"/>
        <w:ind w:left="345"/>
        <w:rPr>
          <w:rFonts w:ascii="Trebuchet MS"/>
          <w:sz w:val="18"/>
          <w:szCs w:val="18"/>
          <w:lang w:val="uk-UA"/>
        </w:rPr>
      </w:pPr>
      <w:r w:rsidRPr="000F63AB">
        <w:rPr>
          <w:rFonts w:ascii="Trebuchet MS"/>
          <w:w w:val="65"/>
          <w:sz w:val="18"/>
          <w:szCs w:val="18"/>
          <w:lang w:val="uk-UA"/>
        </w:rPr>
        <w:t>0.55</w:t>
      </w:r>
      <w:r w:rsidRPr="000F63AB">
        <w:rPr>
          <w:rFonts w:ascii="Trebuchet MS"/>
          <w:spacing w:val="9"/>
          <w:sz w:val="18"/>
          <w:szCs w:val="18"/>
          <w:lang w:val="uk-UA"/>
        </w:rPr>
        <w:t xml:space="preserve"> </w:t>
      </w:r>
      <w:r w:rsidRPr="000F63AB">
        <w:rPr>
          <w:rFonts w:ascii="Trebuchet MS"/>
          <w:w w:val="65"/>
          <w:sz w:val="18"/>
          <w:szCs w:val="18"/>
          <w:lang w:val="uk-UA"/>
        </w:rPr>
        <w:t>[0.44,</w:t>
      </w:r>
      <w:r w:rsidRPr="000F63AB">
        <w:rPr>
          <w:rFonts w:ascii="Trebuchet MS"/>
          <w:spacing w:val="16"/>
          <w:sz w:val="18"/>
          <w:szCs w:val="18"/>
          <w:lang w:val="uk-UA"/>
        </w:rPr>
        <w:t xml:space="preserve"> </w:t>
      </w:r>
      <w:r w:rsidRPr="000F63AB">
        <w:rPr>
          <w:rFonts w:ascii="Trebuchet MS"/>
          <w:spacing w:val="-2"/>
          <w:w w:val="65"/>
          <w:sz w:val="18"/>
          <w:szCs w:val="18"/>
          <w:lang w:val="uk-UA"/>
        </w:rPr>
        <w:t>0.66]</w:t>
      </w:r>
    </w:p>
    <w:p w14:paraId="2E2F7024" w14:textId="77777777" w:rsidR="00E05B98" w:rsidRPr="000F63AB" w:rsidRDefault="00B01E0C">
      <w:pPr>
        <w:spacing w:before="39"/>
        <w:ind w:left="345"/>
        <w:rPr>
          <w:rFonts w:ascii="Trebuchet MS"/>
          <w:sz w:val="18"/>
          <w:szCs w:val="18"/>
          <w:lang w:val="uk-UA"/>
        </w:rPr>
      </w:pPr>
      <w:r w:rsidRPr="000F63AB">
        <w:rPr>
          <w:rFonts w:ascii="Trebuchet MS"/>
          <w:w w:val="65"/>
          <w:sz w:val="18"/>
          <w:szCs w:val="18"/>
          <w:lang w:val="uk-UA"/>
        </w:rPr>
        <w:t>0.57</w:t>
      </w:r>
      <w:r w:rsidRPr="000F63AB">
        <w:rPr>
          <w:rFonts w:ascii="Trebuchet MS"/>
          <w:spacing w:val="9"/>
          <w:sz w:val="18"/>
          <w:szCs w:val="18"/>
          <w:lang w:val="uk-UA"/>
        </w:rPr>
        <w:t xml:space="preserve"> </w:t>
      </w:r>
      <w:r w:rsidRPr="000F63AB">
        <w:rPr>
          <w:rFonts w:ascii="Trebuchet MS"/>
          <w:w w:val="65"/>
          <w:sz w:val="18"/>
          <w:szCs w:val="18"/>
          <w:lang w:val="uk-UA"/>
        </w:rPr>
        <w:t>[0.43,</w:t>
      </w:r>
      <w:r w:rsidRPr="000F63AB">
        <w:rPr>
          <w:rFonts w:ascii="Trebuchet MS"/>
          <w:spacing w:val="16"/>
          <w:sz w:val="18"/>
          <w:szCs w:val="18"/>
          <w:lang w:val="uk-UA"/>
        </w:rPr>
        <w:t xml:space="preserve"> </w:t>
      </w:r>
      <w:r w:rsidRPr="000F63AB">
        <w:rPr>
          <w:rFonts w:ascii="Trebuchet MS"/>
          <w:spacing w:val="-2"/>
          <w:w w:val="65"/>
          <w:sz w:val="18"/>
          <w:szCs w:val="18"/>
          <w:lang w:val="uk-UA"/>
        </w:rPr>
        <w:t>0.70]</w:t>
      </w:r>
    </w:p>
    <w:p w14:paraId="6CEDF0DD" w14:textId="77777777" w:rsidR="00E05B98" w:rsidRPr="000F63AB" w:rsidRDefault="00B01E0C">
      <w:pPr>
        <w:spacing w:before="38"/>
        <w:ind w:left="345"/>
        <w:rPr>
          <w:rFonts w:ascii="Trebuchet MS"/>
          <w:sz w:val="18"/>
          <w:szCs w:val="18"/>
          <w:lang w:val="uk-UA"/>
        </w:rPr>
      </w:pPr>
      <w:r w:rsidRPr="000F63AB">
        <w:rPr>
          <w:rFonts w:ascii="Trebuchet MS"/>
          <w:w w:val="65"/>
          <w:sz w:val="18"/>
          <w:szCs w:val="18"/>
          <w:lang w:val="uk-UA"/>
        </w:rPr>
        <w:t>0.65</w:t>
      </w:r>
      <w:r w:rsidRPr="000F63AB">
        <w:rPr>
          <w:rFonts w:ascii="Trebuchet MS"/>
          <w:spacing w:val="9"/>
          <w:sz w:val="18"/>
          <w:szCs w:val="18"/>
          <w:lang w:val="uk-UA"/>
        </w:rPr>
        <w:t xml:space="preserve"> </w:t>
      </w:r>
      <w:r w:rsidRPr="000F63AB">
        <w:rPr>
          <w:rFonts w:ascii="Trebuchet MS"/>
          <w:w w:val="65"/>
          <w:sz w:val="18"/>
          <w:szCs w:val="18"/>
          <w:lang w:val="uk-UA"/>
        </w:rPr>
        <w:t>[0.48,</w:t>
      </w:r>
      <w:r w:rsidRPr="000F63AB">
        <w:rPr>
          <w:rFonts w:ascii="Trebuchet MS"/>
          <w:spacing w:val="16"/>
          <w:sz w:val="18"/>
          <w:szCs w:val="18"/>
          <w:lang w:val="uk-UA"/>
        </w:rPr>
        <w:t xml:space="preserve"> </w:t>
      </w:r>
      <w:r w:rsidRPr="000F63AB">
        <w:rPr>
          <w:rFonts w:ascii="Trebuchet MS"/>
          <w:spacing w:val="-2"/>
          <w:w w:val="65"/>
          <w:sz w:val="18"/>
          <w:szCs w:val="18"/>
          <w:lang w:val="uk-UA"/>
        </w:rPr>
        <w:t>0.79]</w:t>
      </w:r>
    </w:p>
    <w:p w14:paraId="7F3E3BAD" w14:textId="77777777" w:rsidR="00E05B98" w:rsidRPr="000F63AB" w:rsidRDefault="00B01E0C">
      <w:pPr>
        <w:spacing w:before="39"/>
        <w:ind w:left="345"/>
        <w:rPr>
          <w:rFonts w:ascii="Trebuchet MS"/>
          <w:sz w:val="18"/>
          <w:szCs w:val="18"/>
          <w:lang w:val="uk-UA"/>
        </w:rPr>
      </w:pPr>
      <w:r w:rsidRPr="000F63AB">
        <w:rPr>
          <w:rFonts w:ascii="Trebuchet MS"/>
          <w:w w:val="65"/>
          <w:sz w:val="18"/>
          <w:szCs w:val="18"/>
          <w:lang w:val="uk-UA"/>
        </w:rPr>
        <w:t>0.70</w:t>
      </w:r>
      <w:r w:rsidRPr="000F63AB">
        <w:rPr>
          <w:rFonts w:ascii="Trebuchet MS"/>
          <w:spacing w:val="9"/>
          <w:sz w:val="18"/>
          <w:szCs w:val="18"/>
          <w:lang w:val="uk-UA"/>
        </w:rPr>
        <w:t xml:space="preserve"> </w:t>
      </w:r>
      <w:r w:rsidRPr="000F63AB">
        <w:rPr>
          <w:rFonts w:ascii="Trebuchet MS"/>
          <w:w w:val="65"/>
          <w:sz w:val="18"/>
          <w:szCs w:val="18"/>
          <w:lang w:val="uk-UA"/>
        </w:rPr>
        <w:t>[0.64,</w:t>
      </w:r>
      <w:r w:rsidRPr="000F63AB">
        <w:rPr>
          <w:rFonts w:ascii="Trebuchet MS"/>
          <w:spacing w:val="16"/>
          <w:sz w:val="18"/>
          <w:szCs w:val="18"/>
          <w:lang w:val="uk-UA"/>
        </w:rPr>
        <w:t xml:space="preserve"> </w:t>
      </w:r>
      <w:r w:rsidRPr="000F63AB">
        <w:rPr>
          <w:rFonts w:ascii="Trebuchet MS"/>
          <w:spacing w:val="-2"/>
          <w:w w:val="65"/>
          <w:sz w:val="18"/>
          <w:szCs w:val="18"/>
          <w:lang w:val="uk-UA"/>
        </w:rPr>
        <w:t>0.77]</w:t>
      </w:r>
    </w:p>
    <w:p w14:paraId="1184638C" w14:textId="77777777" w:rsidR="00E05B98" w:rsidRPr="000F63AB" w:rsidRDefault="00B01E0C">
      <w:pPr>
        <w:spacing w:before="38"/>
        <w:ind w:left="345"/>
        <w:rPr>
          <w:rFonts w:ascii="Trebuchet MS"/>
          <w:sz w:val="18"/>
          <w:szCs w:val="18"/>
          <w:lang w:val="uk-UA"/>
        </w:rPr>
      </w:pPr>
      <w:r w:rsidRPr="000F63AB">
        <w:rPr>
          <w:rFonts w:ascii="Trebuchet MS"/>
          <w:w w:val="65"/>
          <w:sz w:val="18"/>
          <w:szCs w:val="18"/>
          <w:lang w:val="uk-UA"/>
        </w:rPr>
        <w:t>0.71</w:t>
      </w:r>
      <w:r w:rsidRPr="000F63AB">
        <w:rPr>
          <w:rFonts w:ascii="Trebuchet MS"/>
          <w:spacing w:val="9"/>
          <w:sz w:val="18"/>
          <w:szCs w:val="18"/>
          <w:lang w:val="uk-UA"/>
        </w:rPr>
        <w:t xml:space="preserve"> </w:t>
      </w:r>
      <w:r w:rsidRPr="000F63AB">
        <w:rPr>
          <w:rFonts w:ascii="Trebuchet MS"/>
          <w:w w:val="65"/>
          <w:sz w:val="18"/>
          <w:szCs w:val="18"/>
          <w:lang w:val="uk-UA"/>
        </w:rPr>
        <w:t>[0.66,</w:t>
      </w:r>
      <w:r w:rsidRPr="000F63AB">
        <w:rPr>
          <w:rFonts w:ascii="Trebuchet MS"/>
          <w:spacing w:val="16"/>
          <w:sz w:val="18"/>
          <w:szCs w:val="18"/>
          <w:lang w:val="uk-UA"/>
        </w:rPr>
        <w:t xml:space="preserve"> </w:t>
      </w:r>
      <w:r w:rsidRPr="000F63AB">
        <w:rPr>
          <w:rFonts w:ascii="Trebuchet MS"/>
          <w:spacing w:val="-2"/>
          <w:w w:val="65"/>
          <w:sz w:val="18"/>
          <w:szCs w:val="18"/>
          <w:lang w:val="uk-UA"/>
        </w:rPr>
        <w:t>0.75]</w:t>
      </w:r>
    </w:p>
    <w:p w14:paraId="1EEBA38A" w14:textId="77777777" w:rsidR="00E05B98" w:rsidRPr="000F63AB" w:rsidRDefault="00B01E0C">
      <w:pPr>
        <w:spacing w:before="38"/>
        <w:ind w:left="345"/>
        <w:rPr>
          <w:rFonts w:ascii="Trebuchet MS"/>
          <w:sz w:val="18"/>
          <w:szCs w:val="18"/>
          <w:lang w:val="uk-UA"/>
        </w:rPr>
      </w:pPr>
      <w:r w:rsidRPr="000F63AB">
        <w:rPr>
          <w:rFonts w:ascii="Trebuchet MS"/>
          <w:w w:val="65"/>
          <w:sz w:val="18"/>
          <w:szCs w:val="18"/>
          <w:lang w:val="uk-UA"/>
        </w:rPr>
        <w:t>0.73</w:t>
      </w:r>
      <w:r w:rsidRPr="000F63AB">
        <w:rPr>
          <w:rFonts w:ascii="Trebuchet MS"/>
          <w:spacing w:val="9"/>
          <w:sz w:val="18"/>
          <w:szCs w:val="18"/>
          <w:lang w:val="uk-UA"/>
        </w:rPr>
        <w:t xml:space="preserve"> </w:t>
      </w:r>
      <w:r w:rsidRPr="000F63AB">
        <w:rPr>
          <w:rFonts w:ascii="Trebuchet MS"/>
          <w:w w:val="65"/>
          <w:sz w:val="18"/>
          <w:szCs w:val="18"/>
          <w:lang w:val="uk-UA"/>
        </w:rPr>
        <w:t>[0.65,</w:t>
      </w:r>
      <w:r w:rsidRPr="000F63AB">
        <w:rPr>
          <w:rFonts w:ascii="Trebuchet MS"/>
          <w:spacing w:val="16"/>
          <w:sz w:val="18"/>
          <w:szCs w:val="18"/>
          <w:lang w:val="uk-UA"/>
        </w:rPr>
        <w:t xml:space="preserve"> </w:t>
      </w:r>
      <w:r w:rsidRPr="000F63AB">
        <w:rPr>
          <w:rFonts w:ascii="Trebuchet MS"/>
          <w:spacing w:val="-2"/>
          <w:w w:val="65"/>
          <w:sz w:val="18"/>
          <w:szCs w:val="18"/>
          <w:lang w:val="uk-UA"/>
        </w:rPr>
        <w:t>0.79]</w:t>
      </w:r>
    </w:p>
    <w:p w14:paraId="50EDA904" w14:textId="77777777" w:rsidR="00E05B98" w:rsidRPr="000F63AB" w:rsidRDefault="00B01E0C">
      <w:pPr>
        <w:spacing w:before="39"/>
        <w:ind w:left="345"/>
        <w:rPr>
          <w:rFonts w:ascii="Trebuchet MS"/>
          <w:sz w:val="18"/>
          <w:szCs w:val="18"/>
          <w:lang w:val="uk-UA"/>
        </w:rPr>
      </w:pPr>
      <w:r w:rsidRPr="000F63AB">
        <w:rPr>
          <w:rFonts w:ascii="Trebuchet MS"/>
          <w:w w:val="65"/>
          <w:sz w:val="18"/>
          <w:szCs w:val="18"/>
          <w:lang w:val="uk-UA"/>
        </w:rPr>
        <w:t>0.75</w:t>
      </w:r>
      <w:r w:rsidRPr="000F63AB">
        <w:rPr>
          <w:rFonts w:ascii="Trebuchet MS"/>
          <w:spacing w:val="9"/>
          <w:sz w:val="18"/>
          <w:szCs w:val="18"/>
          <w:lang w:val="uk-UA"/>
        </w:rPr>
        <w:t xml:space="preserve"> </w:t>
      </w:r>
      <w:r w:rsidRPr="000F63AB">
        <w:rPr>
          <w:rFonts w:ascii="Trebuchet MS"/>
          <w:w w:val="65"/>
          <w:sz w:val="18"/>
          <w:szCs w:val="18"/>
          <w:lang w:val="uk-UA"/>
        </w:rPr>
        <w:t>[0.71,</w:t>
      </w:r>
      <w:r w:rsidRPr="000F63AB">
        <w:rPr>
          <w:rFonts w:ascii="Trebuchet MS"/>
          <w:spacing w:val="16"/>
          <w:sz w:val="18"/>
          <w:szCs w:val="18"/>
          <w:lang w:val="uk-UA"/>
        </w:rPr>
        <w:t xml:space="preserve"> </w:t>
      </w:r>
      <w:r w:rsidRPr="000F63AB">
        <w:rPr>
          <w:rFonts w:ascii="Trebuchet MS"/>
          <w:spacing w:val="-2"/>
          <w:w w:val="65"/>
          <w:sz w:val="18"/>
          <w:szCs w:val="18"/>
          <w:lang w:val="uk-UA"/>
        </w:rPr>
        <w:t>0.79]</w:t>
      </w:r>
    </w:p>
    <w:p w14:paraId="4879EE05" w14:textId="77777777" w:rsidR="00E05B98" w:rsidRPr="000F63AB" w:rsidRDefault="00B01E0C">
      <w:pPr>
        <w:spacing w:before="38"/>
        <w:ind w:left="345"/>
        <w:rPr>
          <w:rFonts w:ascii="Trebuchet MS"/>
          <w:sz w:val="18"/>
          <w:szCs w:val="18"/>
          <w:lang w:val="uk-UA"/>
        </w:rPr>
      </w:pPr>
      <w:r w:rsidRPr="000F63AB">
        <w:rPr>
          <w:rFonts w:ascii="Trebuchet MS"/>
          <w:w w:val="65"/>
          <w:sz w:val="18"/>
          <w:szCs w:val="18"/>
          <w:lang w:val="uk-UA"/>
        </w:rPr>
        <w:t>0.75</w:t>
      </w:r>
      <w:r w:rsidRPr="000F63AB">
        <w:rPr>
          <w:rFonts w:ascii="Trebuchet MS"/>
          <w:spacing w:val="9"/>
          <w:sz w:val="18"/>
          <w:szCs w:val="18"/>
          <w:lang w:val="uk-UA"/>
        </w:rPr>
        <w:t xml:space="preserve"> </w:t>
      </w:r>
      <w:r w:rsidRPr="000F63AB">
        <w:rPr>
          <w:rFonts w:ascii="Trebuchet MS"/>
          <w:w w:val="65"/>
          <w:sz w:val="18"/>
          <w:szCs w:val="18"/>
          <w:lang w:val="uk-UA"/>
        </w:rPr>
        <w:t>[0.55,</w:t>
      </w:r>
      <w:r w:rsidRPr="000F63AB">
        <w:rPr>
          <w:rFonts w:ascii="Trebuchet MS"/>
          <w:spacing w:val="16"/>
          <w:sz w:val="18"/>
          <w:szCs w:val="18"/>
          <w:lang w:val="uk-UA"/>
        </w:rPr>
        <w:t xml:space="preserve"> </w:t>
      </w:r>
      <w:r w:rsidRPr="000F63AB">
        <w:rPr>
          <w:rFonts w:ascii="Trebuchet MS"/>
          <w:spacing w:val="-2"/>
          <w:w w:val="65"/>
          <w:sz w:val="18"/>
          <w:szCs w:val="18"/>
          <w:lang w:val="uk-UA"/>
        </w:rPr>
        <w:t>0.89]</w:t>
      </w:r>
    </w:p>
    <w:p w14:paraId="08AD216B" w14:textId="77777777" w:rsidR="00E05B98" w:rsidRPr="000F63AB" w:rsidRDefault="00B01E0C">
      <w:pPr>
        <w:spacing w:before="39"/>
        <w:ind w:left="345"/>
        <w:rPr>
          <w:rFonts w:ascii="Trebuchet MS"/>
          <w:sz w:val="18"/>
          <w:szCs w:val="18"/>
          <w:lang w:val="uk-UA"/>
        </w:rPr>
      </w:pPr>
      <w:r w:rsidRPr="000F63AB">
        <w:rPr>
          <w:rFonts w:ascii="Trebuchet MS"/>
          <w:w w:val="65"/>
          <w:sz w:val="18"/>
          <w:szCs w:val="18"/>
          <w:lang w:val="uk-UA"/>
        </w:rPr>
        <w:t>0.76</w:t>
      </w:r>
      <w:r w:rsidRPr="000F63AB">
        <w:rPr>
          <w:rFonts w:ascii="Trebuchet MS"/>
          <w:spacing w:val="9"/>
          <w:sz w:val="18"/>
          <w:szCs w:val="18"/>
          <w:lang w:val="uk-UA"/>
        </w:rPr>
        <w:t xml:space="preserve"> </w:t>
      </w:r>
      <w:r w:rsidRPr="000F63AB">
        <w:rPr>
          <w:rFonts w:ascii="Trebuchet MS"/>
          <w:w w:val="65"/>
          <w:sz w:val="18"/>
          <w:szCs w:val="18"/>
          <w:lang w:val="uk-UA"/>
        </w:rPr>
        <w:t>[0.72,</w:t>
      </w:r>
      <w:r w:rsidRPr="000F63AB">
        <w:rPr>
          <w:rFonts w:ascii="Trebuchet MS"/>
          <w:spacing w:val="16"/>
          <w:sz w:val="18"/>
          <w:szCs w:val="18"/>
          <w:lang w:val="uk-UA"/>
        </w:rPr>
        <w:t xml:space="preserve"> </w:t>
      </w:r>
      <w:r w:rsidRPr="000F63AB">
        <w:rPr>
          <w:rFonts w:ascii="Trebuchet MS"/>
          <w:spacing w:val="-2"/>
          <w:w w:val="65"/>
          <w:sz w:val="18"/>
          <w:szCs w:val="18"/>
          <w:lang w:val="uk-UA"/>
        </w:rPr>
        <w:t>0.80]</w:t>
      </w:r>
    </w:p>
    <w:p w14:paraId="74E7B30D" w14:textId="77777777" w:rsidR="00E05B98" w:rsidRPr="000F63AB" w:rsidRDefault="00B01E0C">
      <w:pPr>
        <w:spacing w:before="38"/>
        <w:ind w:left="345"/>
        <w:rPr>
          <w:rFonts w:ascii="Trebuchet MS"/>
          <w:sz w:val="18"/>
          <w:szCs w:val="18"/>
          <w:lang w:val="uk-UA"/>
        </w:rPr>
      </w:pPr>
      <w:r w:rsidRPr="000F63AB">
        <w:rPr>
          <w:rFonts w:ascii="Trebuchet MS"/>
          <w:w w:val="65"/>
          <w:sz w:val="18"/>
          <w:szCs w:val="18"/>
          <w:lang w:val="uk-UA"/>
        </w:rPr>
        <w:t>0.77</w:t>
      </w:r>
      <w:r w:rsidRPr="000F63AB">
        <w:rPr>
          <w:rFonts w:ascii="Trebuchet MS"/>
          <w:spacing w:val="9"/>
          <w:sz w:val="18"/>
          <w:szCs w:val="18"/>
          <w:lang w:val="uk-UA"/>
        </w:rPr>
        <w:t xml:space="preserve"> </w:t>
      </w:r>
      <w:r w:rsidRPr="000F63AB">
        <w:rPr>
          <w:rFonts w:ascii="Trebuchet MS"/>
          <w:w w:val="65"/>
          <w:sz w:val="18"/>
          <w:szCs w:val="18"/>
          <w:lang w:val="uk-UA"/>
        </w:rPr>
        <w:t>[0.68,</w:t>
      </w:r>
      <w:r w:rsidRPr="000F63AB">
        <w:rPr>
          <w:rFonts w:ascii="Trebuchet MS"/>
          <w:spacing w:val="16"/>
          <w:sz w:val="18"/>
          <w:szCs w:val="18"/>
          <w:lang w:val="uk-UA"/>
        </w:rPr>
        <w:t xml:space="preserve"> </w:t>
      </w:r>
      <w:r w:rsidRPr="000F63AB">
        <w:rPr>
          <w:rFonts w:ascii="Trebuchet MS"/>
          <w:spacing w:val="-2"/>
          <w:w w:val="65"/>
          <w:sz w:val="18"/>
          <w:szCs w:val="18"/>
          <w:lang w:val="uk-UA"/>
        </w:rPr>
        <w:t>0.84]</w:t>
      </w:r>
    </w:p>
    <w:p w14:paraId="77CCE7DD" w14:textId="77777777" w:rsidR="00E05B98" w:rsidRPr="000F63AB" w:rsidRDefault="00B01E0C">
      <w:pPr>
        <w:spacing w:before="39"/>
        <w:ind w:left="345"/>
        <w:rPr>
          <w:rFonts w:ascii="Trebuchet MS"/>
          <w:sz w:val="18"/>
          <w:szCs w:val="18"/>
          <w:lang w:val="uk-UA"/>
        </w:rPr>
      </w:pPr>
      <w:r w:rsidRPr="000F63AB">
        <w:rPr>
          <w:rFonts w:ascii="Trebuchet MS"/>
          <w:w w:val="65"/>
          <w:sz w:val="18"/>
          <w:szCs w:val="18"/>
          <w:lang w:val="uk-UA"/>
        </w:rPr>
        <w:t>0.81</w:t>
      </w:r>
      <w:r w:rsidRPr="000F63AB">
        <w:rPr>
          <w:rFonts w:ascii="Trebuchet MS"/>
          <w:spacing w:val="9"/>
          <w:sz w:val="18"/>
          <w:szCs w:val="18"/>
          <w:lang w:val="uk-UA"/>
        </w:rPr>
        <w:t xml:space="preserve"> </w:t>
      </w:r>
      <w:r w:rsidRPr="000F63AB">
        <w:rPr>
          <w:rFonts w:ascii="Trebuchet MS"/>
          <w:w w:val="65"/>
          <w:sz w:val="18"/>
          <w:szCs w:val="18"/>
          <w:lang w:val="uk-UA"/>
        </w:rPr>
        <w:t>[0.74,</w:t>
      </w:r>
      <w:r w:rsidRPr="000F63AB">
        <w:rPr>
          <w:rFonts w:ascii="Trebuchet MS"/>
          <w:spacing w:val="16"/>
          <w:sz w:val="18"/>
          <w:szCs w:val="18"/>
          <w:lang w:val="uk-UA"/>
        </w:rPr>
        <w:t xml:space="preserve"> </w:t>
      </w:r>
      <w:r w:rsidRPr="000F63AB">
        <w:rPr>
          <w:rFonts w:ascii="Trebuchet MS"/>
          <w:spacing w:val="-2"/>
          <w:w w:val="65"/>
          <w:sz w:val="18"/>
          <w:szCs w:val="18"/>
          <w:lang w:val="uk-UA"/>
        </w:rPr>
        <w:t>0.87]</w:t>
      </w:r>
    </w:p>
    <w:p w14:paraId="0AE80A17" w14:textId="77777777" w:rsidR="00E05B98" w:rsidRPr="000F63AB" w:rsidRDefault="00B01E0C">
      <w:pPr>
        <w:spacing w:before="38"/>
        <w:ind w:left="345"/>
        <w:rPr>
          <w:rFonts w:ascii="Trebuchet MS"/>
          <w:sz w:val="18"/>
          <w:szCs w:val="18"/>
          <w:lang w:val="uk-UA"/>
        </w:rPr>
      </w:pPr>
      <w:r w:rsidRPr="000F63AB">
        <w:rPr>
          <w:rFonts w:ascii="Trebuchet MS"/>
          <w:w w:val="65"/>
          <w:sz w:val="18"/>
          <w:szCs w:val="18"/>
          <w:lang w:val="uk-UA"/>
        </w:rPr>
        <w:t>0.82</w:t>
      </w:r>
      <w:r w:rsidRPr="000F63AB">
        <w:rPr>
          <w:rFonts w:ascii="Trebuchet MS"/>
          <w:spacing w:val="9"/>
          <w:sz w:val="18"/>
          <w:szCs w:val="18"/>
          <w:lang w:val="uk-UA"/>
        </w:rPr>
        <w:t xml:space="preserve"> </w:t>
      </w:r>
      <w:r w:rsidRPr="000F63AB">
        <w:rPr>
          <w:rFonts w:ascii="Trebuchet MS"/>
          <w:w w:val="65"/>
          <w:sz w:val="18"/>
          <w:szCs w:val="18"/>
          <w:lang w:val="uk-UA"/>
        </w:rPr>
        <w:t>[0.75,</w:t>
      </w:r>
      <w:r w:rsidRPr="000F63AB">
        <w:rPr>
          <w:rFonts w:ascii="Trebuchet MS"/>
          <w:spacing w:val="16"/>
          <w:sz w:val="18"/>
          <w:szCs w:val="18"/>
          <w:lang w:val="uk-UA"/>
        </w:rPr>
        <w:t xml:space="preserve"> </w:t>
      </w:r>
      <w:r w:rsidRPr="000F63AB">
        <w:rPr>
          <w:rFonts w:ascii="Trebuchet MS"/>
          <w:spacing w:val="-2"/>
          <w:w w:val="65"/>
          <w:sz w:val="18"/>
          <w:szCs w:val="18"/>
          <w:lang w:val="uk-UA"/>
        </w:rPr>
        <w:t>0.87]</w:t>
      </w:r>
    </w:p>
    <w:p w14:paraId="02D7D120" w14:textId="77777777" w:rsidR="00E05B98" w:rsidRPr="000F63AB" w:rsidRDefault="00B01E0C">
      <w:pPr>
        <w:spacing w:before="39"/>
        <w:ind w:left="345"/>
        <w:rPr>
          <w:rFonts w:ascii="Trebuchet MS"/>
          <w:sz w:val="18"/>
          <w:szCs w:val="18"/>
          <w:lang w:val="uk-UA"/>
        </w:rPr>
      </w:pPr>
      <w:r w:rsidRPr="000F63AB">
        <w:rPr>
          <w:rFonts w:ascii="Trebuchet MS"/>
          <w:w w:val="65"/>
          <w:sz w:val="18"/>
          <w:szCs w:val="18"/>
          <w:lang w:val="uk-UA"/>
        </w:rPr>
        <w:t>0.83</w:t>
      </w:r>
      <w:r w:rsidRPr="000F63AB">
        <w:rPr>
          <w:rFonts w:ascii="Trebuchet MS"/>
          <w:spacing w:val="9"/>
          <w:sz w:val="18"/>
          <w:szCs w:val="18"/>
          <w:lang w:val="uk-UA"/>
        </w:rPr>
        <w:t xml:space="preserve"> </w:t>
      </w:r>
      <w:r w:rsidRPr="000F63AB">
        <w:rPr>
          <w:rFonts w:ascii="Trebuchet MS"/>
          <w:w w:val="65"/>
          <w:sz w:val="18"/>
          <w:szCs w:val="18"/>
          <w:lang w:val="uk-UA"/>
        </w:rPr>
        <w:t>[0.77,</w:t>
      </w:r>
      <w:r w:rsidRPr="000F63AB">
        <w:rPr>
          <w:rFonts w:ascii="Trebuchet MS"/>
          <w:spacing w:val="16"/>
          <w:sz w:val="18"/>
          <w:szCs w:val="18"/>
          <w:lang w:val="uk-UA"/>
        </w:rPr>
        <w:t xml:space="preserve"> </w:t>
      </w:r>
      <w:r w:rsidRPr="000F63AB">
        <w:rPr>
          <w:rFonts w:ascii="Trebuchet MS"/>
          <w:spacing w:val="-2"/>
          <w:w w:val="65"/>
          <w:sz w:val="18"/>
          <w:szCs w:val="18"/>
          <w:lang w:val="uk-UA"/>
        </w:rPr>
        <w:t>0.88]</w:t>
      </w:r>
    </w:p>
    <w:p w14:paraId="2C7E7804" w14:textId="77777777" w:rsidR="00E05B98" w:rsidRPr="000F63AB" w:rsidRDefault="00B01E0C">
      <w:pPr>
        <w:spacing w:before="38"/>
        <w:ind w:left="345"/>
        <w:rPr>
          <w:rFonts w:ascii="Trebuchet MS"/>
          <w:sz w:val="18"/>
          <w:szCs w:val="18"/>
          <w:lang w:val="uk-UA"/>
        </w:rPr>
      </w:pPr>
      <w:r w:rsidRPr="000F63AB">
        <w:rPr>
          <w:rFonts w:ascii="Trebuchet MS"/>
          <w:w w:val="65"/>
          <w:sz w:val="18"/>
          <w:szCs w:val="18"/>
          <w:lang w:val="uk-UA"/>
        </w:rPr>
        <w:t>0.83</w:t>
      </w:r>
      <w:r w:rsidRPr="000F63AB">
        <w:rPr>
          <w:rFonts w:ascii="Trebuchet MS"/>
          <w:spacing w:val="9"/>
          <w:sz w:val="18"/>
          <w:szCs w:val="18"/>
          <w:lang w:val="uk-UA"/>
        </w:rPr>
        <w:t xml:space="preserve"> </w:t>
      </w:r>
      <w:r w:rsidRPr="000F63AB">
        <w:rPr>
          <w:rFonts w:ascii="Trebuchet MS"/>
          <w:w w:val="65"/>
          <w:sz w:val="18"/>
          <w:szCs w:val="18"/>
          <w:lang w:val="uk-UA"/>
        </w:rPr>
        <w:t>[0.36,</w:t>
      </w:r>
      <w:r w:rsidRPr="000F63AB">
        <w:rPr>
          <w:rFonts w:ascii="Trebuchet MS"/>
          <w:spacing w:val="16"/>
          <w:sz w:val="18"/>
          <w:szCs w:val="18"/>
          <w:lang w:val="uk-UA"/>
        </w:rPr>
        <w:t xml:space="preserve"> </w:t>
      </w:r>
      <w:r w:rsidRPr="000F63AB">
        <w:rPr>
          <w:rFonts w:ascii="Trebuchet MS"/>
          <w:spacing w:val="-2"/>
          <w:w w:val="65"/>
          <w:sz w:val="18"/>
          <w:szCs w:val="18"/>
          <w:lang w:val="uk-UA"/>
        </w:rPr>
        <w:t>1.00]</w:t>
      </w:r>
    </w:p>
    <w:p w14:paraId="0ACEFE8F" w14:textId="77777777" w:rsidR="00E05B98" w:rsidRPr="000F63AB" w:rsidRDefault="00B01E0C">
      <w:pPr>
        <w:spacing w:before="38"/>
        <w:ind w:left="345"/>
        <w:rPr>
          <w:rFonts w:ascii="Trebuchet MS"/>
          <w:sz w:val="18"/>
          <w:szCs w:val="18"/>
          <w:lang w:val="uk-UA"/>
        </w:rPr>
      </w:pPr>
      <w:r w:rsidRPr="000F63AB">
        <w:rPr>
          <w:rFonts w:ascii="Trebuchet MS"/>
          <w:w w:val="65"/>
          <w:sz w:val="18"/>
          <w:szCs w:val="18"/>
          <w:lang w:val="uk-UA"/>
        </w:rPr>
        <w:t>0.84</w:t>
      </w:r>
      <w:r w:rsidRPr="000F63AB">
        <w:rPr>
          <w:rFonts w:ascii="Trebuchet MS"/>
          <w:spacing w:val="9"/>
          <w:sz w:val="18"/>
          <w:szCs w:val="18"/>
          <w:lang w:val="uk-UA"/>
        </w:rPr>
        <w:t xml:space="preserve"> </w:t>
      </w:r>
      <w:r w:rsidRPr="000F63AB">
        <w:rPr>
          <w:rFonts w:ascii="Trebuchet MS"/>
          <w:w w:val="65"/>
          <w:sz w:val="18"/>
          <w:szCs w:val="18"/>
          <w:lang w:val="uk-UA"/>
        </w:rPr>
        <w:t>[0.73,</w:t>
      </w:r>
      <w:r w:rsidRPr="000F63AB">
        <w:rPr>
          <w:rFonts w:ascii="Trebuchet MS"/>
          <w:spacing w:val="16"/>
          <w:sz w:val="18"/>
          <w:szCs w:val="18"/>
          <w:lang w:val="uk-UA"/>
        </w:rPr>
        <w:t xml:space="preserve"> </w:t>
      </w:r>
      <w:r w:rsidRPr="000F63AB">
        <w:rPr>
          <w:rFonts w:ascii="Trebuchet MS"/>
          <w:spacing w:val="-2"/>
          <w:w w:val="65"/>
          <w:sz w:val="18"/>
          <w:szCs w:val="18"/>
          <w:lang w:val="uk-UA"/>
        </w:rPr>
        <w:t>0.92]</w:t>
      </w:r>
    </w:p>
    <w:p w14:paraId="42087AE8" w14:textId="77777777" w:rsidR="00E05B98" w:rsidRPr="000F63AB" w:rsidRDefault="00B01E0C">
      <w:pPr>
        <w:spacing w:before="39"/>
        <w:ind w:left="345"/>
        <w:rPr>
          <w:rFonts w:ascii="Trebuchet MS"/>
          <w:sz w:val="18"/>
          <w:szCs w:val="18"/>
          <w:lang w:val="uk-UA"/>
        </w:rPr>
      </w:pPr>
      <w:r w:rsidRPr="000F63AB">
        <w:rPr>
          <w:rFonts w:ascii="Trebuchet MS"/>
          <w:w w:val="65"/>
          <w:sz w:val="18"/>
          <w:szCs w:val="18"/>
          <w:lang w:val="uk-UA"/>
        </w:rPr>
        <w:t>0.84</w:t>
      </w:r>
      <w:r w:rsidRPr="000F63AB">
        <w:rPr>
          <w:rFonts w:ascii="Trebuchet MS"/>
          <w:spacing w:val="9"/>
          <w:sz w:val="18"/>
          <w:szCs w:val="18"/>
          <w:lang w:val="uk-UA"/>
        </w:rPr>
        <w:t xml:space="preserve"> </w:t>
      </w:r>
      <w:r w:rsidRPr="000F63AB">
        <w:rPr>
          <w:rFonts w:ascii="Trebuchet MS"/>
          <w:w w:val="65"/>
          <w:sz w:val="18"/>
          <w:szCs w:val="18"/>
          <w:lang w:val="uk-UA"/>
        </w:rPr>
        <w:t>[0.80,</w:t>
      </w:r>
      <w:r w:rsidRPr="000F63AB">
        <w:rPr>
          <w:rFonts w:ascii="Trebuchet MS"/>
          <w:spacing w:val="16"/>
          <w:sz w:val="18"/>
          <w:szCs w:val="18"/>
          <w:lang w:val="uk-UA"/>
        </w:rPr>
        <w:t xml:space="preserve"> </w:t>
      </w:r>
      <w:r w:rsidRPr="000F63AB">
        <w:rPr>
          <w:rFonts w:ascii="Trebuchet MS"/>
          <w:spacing w:val="-2"/>
          <w:w w:val="65"/>
          <w:sz w:val="18"/>
          <w:szCs w:val="18"/>
          <w:lang w:val="uk-UA"/>
        </w:rPr>
        <w:t>0.88]</w:t>
      </w:r>
    </w:p>
    <w:p w14:paraId="5A5FF0A5" w14:textId="77777777" w:rsidR="00E05B98" w:rsidRPr="000F63AB" w:rsidRDefault="00B01E0C">
      <w:pPr>
        <w:spacing w:before="38"/>
        <w:ind w:left="345"/>
        <w:rPr>
          <w:rFonts w:ascii="Trebuchet MS"/>
          <w:sz w:val="18"/>
          <w:szCs w:val="18"/>
          <w:lang w:val="uk-UA"/>
        </w:rPr>
      </w:pPr>
      <w:r w:rsidRPr="000F63AB">
        <w:rPr>
          <w:rFonts w:ascii="Trebuchet MS"/>
          <w:w w:val="65"/>
          <w:sz w:val="18"/>
          <w:szCs w:val="18"/>
          <w:lang w:val="uk-UA"/>
        </w:rPr>
        <w:t>0.85</w:t>
      </w:r>
      <w:r w:rsidRPr="000F63AB">
        <w:rPr>
          <w:rFonts w:ascii="Trebuchet MS"/>
          <w:spacing w:val="9"/>
          <w:sz w:val="18"/>
          <w:szCs w:val="18"/>
          <w:lang w:val="uk-UA"/>
        </w:rPr>
        <w:t xml:space="preserve"> </w:t>
      </w:r>
      <w:r w:rsidRPr="000F63AB">
        <w:rPr>
          <w:rFonts w:ascii="Trebuchet MS"/>
          <w:w w:val="65"/>
          <w:sz w:val="18"/>
          <w:szCs w:val="18"/>
          <w:lang w:val="uk-UA"/>
        </w:rPr>
        <w:t>[0.77,</w:t>
      </w:r>
      <w:r w:rsidRPr="000F63AB">
        <w:rPr>
          <w:rFonts w:ascii="Trebuchet MS"/>
          <w:spacing w:val="16"/>
          <w:sz w:val="18"/>
          <w:szCs w:val="18"/>
          <w:lang w:val="uk-UA"/>
        </w:rPr>
        <w:t xml:space="preserve"> </w:t>
      </w:r>
      <w:r w:rsidRPr="000F63AB">
        <w:rPr>
          <w:rFonts w:ascii="Trebuchet MS"/>
          <w:spacing w:val="-2"/>
          <w:w w:val="65"/>
          <w:sz w:val="18"/>
          <w:szCs w:val="18"/>
          <w:lang w:val="uk-UA"/>
        </w:rPr>
        <w:t>0.90]</w:t>
      </w:r>
    </w:p>
    <w:p w14:paraId="2D9FC608" w14:textId="77777777" w:rsidR="00E05B98" w:rsidRPr="000F63AB" w:rsidRDefault="00B01E0C">
      <w:pPr>
        <w:spacing w:before="39"/>
        <w:ind w:left="345"/>
        <w:rPr>
          <w:rFonts w:ascii="Trebuchet MS"/>
          <w:sz w:val="18"/>
          <w:szCs w:val="18"/>
          <w:lang w:val="uk-UA"/>
        </w:rPr>
      </w:pPr>
      <w:r w:rsidRPr="000F63AB">
        <w:rPr>
          <w:rFonts w:ascii="Trebuchet MS"/>
          <w:w w:val="65"/>
          <w:sz w:val="18"/>
          <w:szCs w:val="18"/>
          <w:lang w:val="uk-UA"/>
        </w:rPr>
        <w:t>0.86</w:t>
      </w:r>
      <w:r w:rsidRPr="000F63AB">
        <w:rPr>
          <w:rFonts w:ascii="Trebuchet MS"/>
          <w:spacing w:val="9"/>
          <w:sz w:val="18"/>
          <w:szCs w:val="18"/>
          <w:lang w:val="uk-UA"/>
        </w:rPr>
        <w:t xml:space="preserve"> </w:t>
      </w:r>
      <w:r w:rsidRPr="000F63AB">
        <w:rPr>
          <w:rFonts w:ascii="Trebuchet MS"/>
          <w:w w:val="65"/>
          <w:sz w:val="18"/>
          <w:szCs w:val="18"/>
          <w:lang w:val="uk-UA"/>
        </w:rPr>
        <w:t>[0.75,</w:t>
      </w:r>
      <w:r w:rsidRPr="000F63AB">
        <w:rPr>
          <w:rFonts w:ascii="Trebuchet MS"/>
          <w:spacing w:val="16"/>
          <w:sz w:val="18"/>
          <w:szCs w:val="18"/>
          <w:lang w:val="uk-UA"/>
        </w:rPr>
        <w:t xml:space="preserve"> </w:t>
      </w:r>
      <w:r w:rsidRPr="000F63AB">
        <w:rPr>
          <w:rFonts w:ascii="Trebuchet MS"/>
          <w:spacing w:val="-2"/>
          <w:w w:val="65"/>
          <w:sz w:val="18"/>
          <w:szCs w:val="18"/>
          <w:lang w:val="uk-UA"/>
        </w:rPr>
        <w:t>0.93]</w:t>
      </w:r>
    </w:p>
    <w:p w14:paraId="657CDD72" w14:textId="77777777" w:rsidR="00E05B98" w:rsidRPr="000F63AB" w:rsidRDefault="00B01E0C">
      <w:pPr>
        <w:spacing w:before="38"/>
        <w:ind w:left="345"/>
        <w:rPr>
          <w:rFonts w:ascii="Trebuchet MS"/>
          <w:sz w:val="18"/>
          <w:szCs w:val="18"/>
          <w:lang w:val="uk-UA"/>
        </w:rPr>
      </w:pPr>
      <w:r w:rsidRPr="000F63AB">
        <w:rPr>
          <w:rFonts w:ascii="Trebuchet MS"/>
          <w:w w:val="65"/>
          <w:sz w:val="18"/>
          <w:szCs w:val="18"/>
          <w:lang w:val="uk-UA"/>
        </w:rPr>
        <w:t>0.89</w:t>
      </w:r>
      <w:r w:rsidRPr="000F63AB">
        <w:rPr>
          <w:rFonts w:ascii="Trebuchet MS"/>
          <w:spacing w:val="9"/>
          <w:sz w:val="18"/>
          <w:szCs w:val="18"/>
          <w:lang w:val="uk-UA"/>
        </w:rPr>
        <w:t xml:space="preserve"> </w:t>
      </w:r>
      <w:r w:rsidRPr="000F63AB">
        <w:rPr>
          <w:rFonts w:ascii="Trebuchet MS"/>
          <w:w w:val="65"/>
          <w:sz w:val="18"/>
          <w:szCs w:val="18"/>
          <w:lang w:val="uk-UA"/>
        </w:rPr>
        <w:t>[0.82,</w:t>
      </w:r>
      <w:r w:rsidRPr="000F63AB">
        <w:rPr>
          <w:rFonts w:ascii="Trebuchet MS"/>
          <w:spacing w:val="16"/>
          <w:sz w:val="18"/>
          <w:szCs w:val="18"/>
          <w:lang w:val="uk-UA"/>
        </w:rPr>
        <w:t xml:space="preserve"> </w:t>
      </w:r>
      <w:r w:rsidRPr="000F63AB">
        <w:rPr>
          <w:rFonts w:ascii="Trebuchet MS"/>
          <w:spacing w:val="-2"/>
          <w:w w:val="65"/>
          <w:sz w:val="18"/>
          <w:szCs w:val="18"/>
          <w:lang w:val="uk-UA"/>
        </w:rPr>
        <w:t>0.94]</w:t>
      </w:r>
    </w:p>
    <w:p w14:paraId="024855A1" w14:textId="77777777" w:rsidR="00E05B98" w:rsidRPr="000F63AB" w:rsidRDefault="00B01E0C">
      <w:pPr>
        <w:spacing w:before="39"/>
        <w:ind w:left="345"/>
        <w:rPr>
          <w:rFonts w:ascii="Trebuchet MS"/>
          <w:sz w:val="18"/>
          <w:szCs w:val="18"/>
          <w:lang w:val="uk-UA"/>
        </w:rPr>
      </w:pPr>
      <w:r w:rsidRPr="000F63AB">
        <w:rPr>
          <w:rFonts w:ascii="Trebuchet MS"/>
          <w:w w:val="65"/>
          <w:sz w:val="18"/>
          <w:szCs w:val="18"/>
          <w:lang w:val="uk-UA"/>
        </w:rPr>
        <w:t>0.90</w:t>
      </w:r>
      <w:r w:rsidRPr="000F63AB">
        <w:rPr>
          <w:rFonts w:ascii="Trebuchet MS"/>
          <w:spacing w:val="9"/>
          <w:sz w:val="18"/>
          <w:szCs w:val="18"/>
          <w:lang w:val="uk-UA"/>
        </w:rPr>
        <w:t xml:space="preserve"> </w:t>
      </w:r>
      <w:r w:rsidRPr="000F63AB">
        <w:rPr>
          <w:rFonts w:ascii="Trebuchet MS"/>
          <w:w w:val="65"/>
          <w:sz w:val="18"/>
          <w:szCs w:val="18"/>
          <w:lang w:val="uk-UA"/>
        </w:rPr>
        <w:t>[0.86,</w:t>
      </w:r>
      <w:r w:rsidRPr="000F63AB">
        <w:rPr>
          <w:rFonts w:ascii="Trebuchet MS"/>
          <w:spacing w:val="16"/>
          <w:sz w:val="18"/>
          <w:szCs w:val="18"/>
          <w:lang w:val="uk-UA"/>
        </w:rPr>
        <w:t xml:space="preserve"> </w:t>
      </w:r>
      <w:r w:rsidRPr="000F63AB">
        <w:rPr>
          <w:rFonts w:ascii="Trebuchet MS"/>
          <w:spacing w:val="-2"/>
          <w:w w:val="65"/>
          <w:sz w:val="18"/>
          <w:szCs w:val="18"/>
          <w:lang w:val="uk-UA"/>
        </w:rPr>
        <w:t>0.92]</w:t>
      </w:r>
    </w:p>
    <w:p w14:paraId="2C09B497" w14:textId="77777777" w:rsidR="00E05B98" w:rsidRPr="000F63AB" w:rsidRDefault="00B01E0C">
      <w:pPr>
        <w:spacing w:before="38"/>
        <w:ind w:left="345"/>
        <w:rPr>
          <w:rFonts w:ascii="Trebuchet MS"/>
          <w:sz w:val="18"/>
          <w:szCs w:val="18"/>
          <w:lang w:val="uk-UA"/>
        </w:rPr>
      </w:pPr>
      <w:r w:rsidRPr="000F63AB">
        <w:rPr>
          <w:rFonts w:ascii="Trebuchet MS"/>
          <w:w w:val="65"/>
          <w:sz w:val="18"/>
          <w:szCs w:val="18"/>
          <w:lang w:val="uk-UA"/>
        </w:rPr>
        <w:t>0.90</w:t>
      </w:r>
      <w:r w:rsidRPr="000F63AB">
        <w:rPr>
          <w:rFonts w:ascii="Trebuchet MS"/>
          <w:spacing w:val="9"/>
          <w:sz w:val="18"/>
          <w:szCs w:val="18"/>
          <w:lang w:val="uk-UA"/>
        </w:rPr>
        <w:t xml:space="preserve"> </w:t>
      </w:r>
      <w:r w:rsidRPr="000F63AB">
        <w:rPr>
          <w:rFonts w:ascii="Trebuchet MS"/>
          <w:w w:val="65"/>
          <w:sz w:val="18"/>
          <w:szCs w:val="18"/>
          <w:lang w:val="uk-UA"/>
        </w:rPr>
        <w:t>[0.83,</w:t>
      </w:r>
      <w:r w:rsidRPr="000F63AB">
        <w:rPr>
          <w:rFonts w:ascii="Trebuchet MS"/>
          <w:spacing w:val="16"/>
          <w:sz w:val="18"/>
          <w:szCs w:val="18"/>
          <w:lang w:val="uk-UA"/>
        </w:rPr>
        <w:t xml:space="preserve"> </w:t>
      </w:r>
      <w:r w:rsidRPr="000F63AB">
        <w:rPr>
          <w:rFonts w:ascii="Trebuchet MS"/>
          <w:spacing w:val="-2"/>
          <w:w w:val="65"/>
          <w:sz w:val="18"/>
          <w:szCs w:val="18"/>
          <w:lang w:val="uk-UA"/>
        </w:rPr>
        <w:t>0.95]</w:t>
      </w:r>
    </w:p>
    <w:p w14:paraId="0B61DA0E" w14:textId="77777777" w:rsidR="00E05B98" w:rsidRPr="000F63AB" w:rsidRDefault="00B01E0C">
      <w:pPr>
        <w:spacing w:before="38"/>
        <w:ind w:left="345"/>
        <w:rPr>
          <w:rFonts w:ascii="Trebuchet MS"/>
          <w:sz w:val="18"/>
          <w:szCs w:val="18"/>
          <w:lang w:val="uk-UA"/>
        </w:rPr>
      </w:pPr>
      <w:r w:rsidRPr="000F63AB">
        <w:rPr>
          <w:rFonts w:ascii="Trebuchet MS"/>
          <w:w w:val="65"/>
          <w:sz w:val="18"/>
          <w:szCs w:val="18"/>
          <w:lang w:val="uk-UA"/>
        </w:rPr>
        <w:t>0.91</w:t>
      </w:r>
      <w:r w:rsidRPr="000F63AB">
        <w:rPr>
          <w:rFonts w:ascii="Trebuchet MS"/>
          <w:spacing w:val="9"/>
          <w:sz w:val="18"/>
          <w:szCs w:val="18"/>
          <w:lang w:val="uk-UA"/>
        </w:rPr>
        <w:t xml:space="preserve"> </w:t>
      </w:r>
      <w:r w:rsidRPr="000F63AB">
        <w:rPr>
          <w:rFonts w:ascii="Trebuchet MS"/>
          <w:w w:val="65"/>
          <w:sz w:val="18"/>
          <w:szCs w:val="18"/>
          <w:lang w:val="uk-UA"/>
        </w:rPr>
        <w:t>[0.59,</w:t>
      </w:r>
      <w:r w:rsidRPr="000F63AB">
        <w:rPr>
          <w:rFonts w:ascii="Trebuchet MS"/>
          <w:spacing w:val="16"/>
          <w:sz w:val="18"/>
          <w:szCs w:val="18"/>
          <w:lang w:val="uk-UA"/>
        </w:rPr>
        <w:t xml:space="preserve"> </w:t>
      </w:r>
      <w:r w:rsidRPr="000F63AB">
        <w:rPr>
          <w:rFonts w:ascii="Trebuchet MS"/>
          <w:spacing w:val="-2"/>
          <w:w w:val="65"/>
          <w:sz w:val="18"/>
          <w:szCs w:val="18"/>
          <w:lang w:val="uk-UA"/>
        </w:rPr>
        <w:t>1.00]</w:t>
      </w:r>
    </w:p>
    <w:p w14:paraId="43F7035B" w14:textId="77777777" w:rsidR="00E05B98" w:rsidRPr="000F63AB" w:rsidRDefault="00B01E0C">
      <w:pPr>
        <w:spacing w:before="39"/>
        <w:ind w:left="345"/>
        <w:rPr>
          <w:rFonts w:ascii="Trebuchet MS"/>
          <w:sz w:val="18"/>
          <w:szCs w:val="18"/>
          <w:lang w:val="uk-UA"/>
        </w:rPr>
      </w:pPr>
      <w:r w:rsidRPr="000F63AB">
        <w:rPr>
          <w:rFonts w:ascii="Trebuchet MS"/>
          <w:w w:val="65"/>
          <w:sz w:val="18"/>
          <w:szCs w:val="18"/>
          <w:lang w:val="uk-UA"/>
        </w:rPr>
        <w:t>0.92</w:t>
      </w:r>
      <w:r w:rsidRPr="000F63AB">
        <w:rPr>
          <w:rFonts w:ascii="Trebuchet MS"/>
          <w:spacing w:val="9"/>
          <w:sz w:val="18"/>
          <w:szCs w:val="18"/>
          <w:lang w:val="uk-UA"/>
        </w:rPr>
        <w:t xml:space="preserve"> </w:t>
      </w:r>
      <w:r w:rsidRPr="000F63AB">
        <w:rPr>
          <w:rFonts w:ascii="Trebuchet MS"/>
          <w:w w:val="65"/>
          <w:sz w:val="18"/>
          <w:szCs w:val="18"/>
          <w:lang w:val="uk-UA"/>
        </w:rPr>
        <w:t>[0.86,</w:t>
      </w:r>
      <w:r w:rsidRPr="000F63AB">
        <w:rPr>
          <w:rFonts w:ascii="Trebuchet MS"/>
          <w:spacing w:val="16"/>
          <w:sz w:val="18"/>
          <w:szCs w:val="18"/>
          <w:lang w:val="uk-UA"/>
        </w:rPr>
        <w:t xml:space="preserve"> </w:t>
      </w:r>
      <w:r w:rsidRPr="000F63AB">
        <w:rPr>
          <w:rFonts w:ascii="Trebuchet MS"/>
          <w:spacing w:val="-2"/>
          <w:w w:val="65"/>
          <w:sz w:val="18"/>
          <w:szCs w:val="18"/>
          <w:lang w:val="uk-UA"/>
        </w:rPr>
        <w:t>0.96]</w:t>
      </w:r>
    </w:p>
    <w:p w14:paraId="7648A3B4" w14:textId="77777777" w:rsidR="00E05B98" w:rsidRPr="000F63AB" w:rsidRDefault="00B01E0C">
      <w:pPr>
        <w:spacing w:before="38"/>
        <w:ind w:left="345"/>
        <w:rPr>
          <w:rFonts w:ascii="Trebuchet MS"/>
          <w:sz w:val="18"/>
          <w:szCs w:val="18"/>
          <w:lang w:val="uk-UA"/>
        </w:rPr>
      </w:pPr>
      <w:r w:rsidRPr="000F63AB">
        <w:rPr>
          <w:rFonts w:ascii="Trebuchet MS"/>
          <w:w w:val="65"/>
          <w:sz w:val="18"/>
          <w:szCs w:val="18"/>
          <w:lang w:val="uk-UA"/>
        </w:rPr>
        <w:t>1.00</w:t>
      </w:r>
      <w:r w:rsidRPr="000F63AB">
        <w:rPr>
          <w:rFonts w:ascii="Trebuchet MS"/>
          <w:spacing w:val="9"/>
          <w:sz w:val="18"/>
          <w:szCs w:val="18"/>
          <w:lang w:val="uk-UA"/>
        </w:rPr>
        <w:t xml:space="preserve"> </w:t>
      </w:r>
      <w:r w:rsidRPr="000F63AB">
        <w:rPr>
          <w:rFonts w:ascii="Trebuchet MS"/>
          <w:w w:val="65"/>
          <w:sz w:val="18"/>
          <w:szCs w:val="18"/>
          <w:lang w:val="uk-UA"/>
        </w:rPr>
        <w:t>[0.92,</w:t>
      </w:r>
      <w:r w:rsidRPr="000F63AB">
        <w:rPr>
          <w:rFonts w:ascii="Trebuchet MS"/>
          <w:spacing w:val="16"/>
          <w:sz w:val="18"/>
          <w:szCs w:val="18"/>
          <w:lang w:val="uk-UA"/>
        </w:rPr>
        <w:t xml:space="preserve"> </w:t>
      </w:r>
      <w:r w:rsidRPr="000F63AB">
        <w:rPr>
          <w:rFonts w:ascii="Trebuchet MS"/>
          <w:spacing w:val="-2"/>
          <w:w w:val="65"/>
          <w:sz w:val="18"/>
          <w:szCs w:val="18"/>
          <w:lang w:val="uk-UA"/>
        </w:rPr>
        <w:t>1.00]</w:t>
      </w:r>
    </w:p>
    <w:p w14:paraId="5BBD34F0" w14:textId="77777777" w:rsidR="00E05B98" w:rsidRPr="000F63AB" w:rsidRDefault="00B01E0C">
      <w:pPr>
        <w:spacing w:before="39"/>
        <w:ind w:left="345"/>
        <w:rPr>
          <w:rFonts w:ascii="Trebuchet MS"/>
          <w:sz w:val="18"/>
          <w:szCs w:val="18"/>
          <w:lang w:val="uk-UA"/>
        </w:rPr>
      </w:pPr>
      <w:r w:rsidRPr="000F63AB">
        <w:rPr>
          <w:rFonts w:ascii="Trebuchet MS"/>
          <w:w w:val="65"/>
          <w:sz w:val="18"/>
          <w:szCs w:val="18"/>
          <w:lang w:val="uk-UA"/>
        </w:rPr>
        <w:t>1.00</w:t>
      </w:r>
      <w:r w:rsidRPr="000F63AB">
        <w:rPr>
          <w:rFonts w:ascii="Trebuchet MS"/>
          <w:spacing w:val="9"/>
          <w:sz w:val="18"/>
          <w:szCs w:val="18"/>
          <w:lang w:val="uk-UA"/>
        </w:rPr>
        <w:t xml:space="preserve"> </w:t>
      </w:r>
      <w:r w:rsidRPr="000F63AB">
        <w:rPr>
          <w:rFonts w:ascii="Trebuchet MS"/>
          <w:w w:val="65"/>
          <w:sz w:val="18"/>
          <w:szCs w:val="18"/>
          <w:lang w:val="uk-UA"/>
        </w:rPr>
        <w:t>[0.96,</w:t>
      </w:r>
      <w:r w:rsidRPr="000F63AB">
        <w:rPr>
          <w:rFonts w:ascii="Trebuchet MS"/>
          <w:spacing w:val="16"/>
          <w:sz w:val="18"/>
          <w:szCs w:val="18"/>
          <w:lang w:val="uk-UA"/>
        </w:rPr>
        <w:t xml:space="preserve"> </w:t>
      </w:r>
      <w:r w:rsidRPr="000F63AB">
        <w:rPr>
          <w:rFonts w:ascii="Trebuchet MS"/>
          <w:spacing w:val="-2"/>
          <w:w w:val="65"/>
          <w:sz w:val="18"/>
          <w:szCs w:val="18"/>
          <w:lang w:val="uk-UA"/>
        </w:rPr>
        <w:t>1.00]</w:t>
      </w:r>
    </w:p>
    <w:p w14:paraId="04A4C178" w14:textId="77777777" w:rsidR="00E05B98" w:rsidRPr="000F63AB" w:rsidRDefault="00B01E0C">
      <w:pPr>
        <w:spacing w:before="38"/>
        <w:ind w:left="345"/>
        <w:rPr>
          <w:rFonts w:ascii="Trebuchet MS"/>
          <w:sz w:val="18"/>
          <w:szCs w:val="18"/>
          <w:lang w:val="uk-UA"/>
        </w:rPr>
      </w:pPr>
      <w:r w:rsidRPr="000F63AB">
        <w:rPr>
          <w:rFonts w:ascii="Trebuchet MS"/>
          <w:w w:val="65"/>
          <w:sz w:val="18"/>
          <w:szCs w:val="18"/>
          <w:lang w:val="uk-UA"/>
        </w:rPr>
        <w:t>1.00</w:t>
      </w:r>
      <w:r w:rsidRPr="000F63AB">
        <w:rPr>
          <w:rFonts w:ascii="Trebuchet MS"/>
          <w:spacing w:val="9"/>
          <w:sz w:val="18"/>
          <w:szCs w:val="18"/>
          <w:lang w:val="uk-UA"/>
        </w:rPr>
        <w:t xml:space="preserve"> </w:t>
      </w:r>
      <w:r w:rsidRPr="000F63AB">
        <w:rPr>
          <w:rFonts w:ascii="Trebuchet MS"/>
          <w:w w:val="65"/>
          <w:sz w:val="18"/>
          <w:szCs w:val="18"/>
          <w:lang w:val="uk-UA"/>
        </w:rPr>
        <w:t>[0.95,</w:t>
      </w:r>
      <w:r w:rsidRPr="000F63AB">
        <w:rPr>
          <w:rFonts w:ascii="Trebuchet MS"/>
          <w:spacing w:val="16"/>
          <w:sz w:val="18"/>
          <w:szCs w:val="18"/>
          <w:lang w:val="uk-UA"/>
        </w:rPr>
        <w:t xml:space="preserve"> </w:t>
      </w:r>
      <w:r w:rsidRPr="000F63AB">
        <w:rPr>
          <w:rFonts w:ascii="Trebuchet MS"/>
          <w:spacing w:val="-2"/>
          <w:w w:val="65"/>
          <w:sz w:val="18"/>
          <w:szCs w:val="18"/>
          <w:lang w:val="uk-UA"/>
        </w:rPr>
        <w:t>1.00]</w:t>
      </w:r>
    </w:p>
    <w:p w14:paraId="3F9EC9BF" w14:textId="77777777" w:rsidR="00E05B98" w:rsidRPr="000F63AB" w:rsidRDefault="00B01E0C">
      <w:pPr>
        <w:spacing w:before="107"/>
        <w:ind w:left="74"/>
        <w:rPr>
          <w:rFonts w:ascii="Trebuchet MS"/>
          <w:sz w:val="18"/>
          <w:szCs w:val="18"/>
          <w:lang w:val="uk-UA"/>
        </w:rPr>
      </w:pPr>
      <w:r w:rsidRPr="000F63AB">
        <w:rPr>
          <w:sz w:val="18"/>
          <w:szCs w:val="18"/>
          <w:lang w:val="uk-UA"/>
        </w:rPr>
        <w:br w:type="column"/>
      </w:r>
      <w:r w:rsidRPr="000F63AB">
        <w:rPr>
          <w:rFonts w:ascii="Trebuchet MS"/>
          <w:color w:val="333333"/>
          <w:w w:val="70"/>
          <w:sz w:val="18"/>
          <w:szCs w:val="18"/>
          <w:lang w:val="uk-UA"/>
        </w:rPr>
        <w:t>S</w:t>
      </w:r>
      <w:r w:rsidRPr="000F63AB">
        <w:rPr>
          <w:rFonts w:ascii="Trebuchet MS"/>
          <w:color w:val="333333"/>
          <w:spacing w:val="-14"/>
          <w:sz w:val="18"/>
          <w:szCs w:val="18"/>
          <w:lang w:val="uk-UA"/>
        </w:rPr>
        <w:t xml:space="preserve"> </w:t>
      </w:r>
      <w:proofErr w:type="spellStart"/>
      <w:r w:rsidRPr="000F63AB">
        <w:rPr>
          <w:rFonts w:ascii="Trebuchet MS"/>
          <w:color w:val="333333"/>
          <w:w w:val="70"/>
          <w:sz w:val="18"/>
          <w:szCs w:val="18"/>
          <w:lang w:val="uk-UA"/>
        </w:rPr>
        <w:t>pecificity</w:t>
      </w:r>
      <w:proofErr w:type="spellEnd"/>
      <w:r w:rsidRPr="000F63AB">
        <w:rPr>
          <w:rFonts w:ascii="Trebuchet MS"/>
          <w:color w:val="333333"/>
          <w:spacing w:val="32"/>
          <w:sz w:val="18"/>
          <w:szCs w:val="18"/>
          <w:lang w:val="uk-UA"/>
        </w:rPr>
        <w:t xml:space="preserve"> </w:t>
      </w:r>
      <w:r w:rsidRPr="000F63AB">
        <w:rPr>
          <w:rFonts w:ascii="Trebuchet MS"/>
          <w:color w:val="333333"/>
          <w:w w:val="70"/>
          <w:sz w:val="18"/>
          <w:szCs w:val="18"/>
          <w:lang w:val="uk-UA"/>
        </w:rPr>
        <w:t>(95%</w:t>
      </w:r>
      <w:r w:rsidRPr="000F63AB">
        <w:rPr>
          <w:rFonts w:ascii="Trebuchet MS"/>
          <w:color w:val="333333"/>
          <w:spacing w:val="35"/>
          <w:sz w:val="18"/>
          <w:szCs w:val="18"/>
          <w:lang w:val="uk-UA"/>
        </w:rPr>
        <w:t xml:space="preserve"> </w:t>
      </w:r>
      <w:r w:rsidRPr="000F63AB">
        <w:rPr>
          <w:rFonts w:ascii="Trebuchet MS"/>
          <w:color w:val="333333"/>
          <w:w w:val="70"/>
          <w:sz w:val="18"/>
          <w:szCs w:val="18"/>
          <w:lang w:val="uk-UA"/>
        </w:rPr>
        <w:t>C</w:t>
      </w:r>
      <w:r w:rsidRPr="000F63AB">
        <w:rPr>
          <w:rFonts w:ascii="Trebuchet MS"/>
          <w:color w:val="333333"/>
          <w:spacing w:val="-5"/>
          <w:w w:val="70"/>
          <w:sz w:val="18"/>
          <w:szCs w:val="18"/>
          <w:lang w:val="uk-UA"/>
        </w:rPr>
        <w:t xml:space="preserve"> I)</w:t>
      </w:r>
    </w:p>
    <w:p w14:paraId="49AE8438" w14:textId="77777777" w:rsidR="00E05B98" w:rsidRPr="000F63AB" w:rsidRDefault="00B01E0C">
      <w:pPr>
        <w:spacing w:before="72"/>
        <w:ind w:left="320"/>
        <w:rPr>
          <w:rFonts w:ascii="Trebuchet MS"/>
          <w:sz w:val="18"/>
          <w:szCs w:val="18"/>
          <w:lang w:val="uk-UA"/>
        </w:rPr>
      </w:pPr>
      <w:r w:rsidRPr="000F63AB">
        <w:rPr>
          <w:rFonts w:ascii="Trebuchet MS"/>
          <w:w w:val="65"/>
          <w:sz w:val="18"/>
          <w:szCs w:val="18"/>
          <w:lang w:val="uk-UA"/>
        </w:rPr>
        <w:t>0.98</w:t>
      </w:r>
      <w:r w:rsidRPr="000F63AB">
        <w:rPr>
          <w:rFonts w:ascii="Trebuchet MS"/>
          <w:spacing w:val="9"/>
          <w:sz w:val="18"/>
          <w:szCs w:val="18"/>
          <w:lang w:val="uk-UA"/>
        </w:rPr>
        <w:t xml:space="preserve"> </w:t>
      </w:r>
      <w:r w:rsidRPr="000F63AB">
        <w:rPr>
          <w:rFonts w:ascii="Trebuchet MS"/>
          <w:w w:val="65"/>
          <w:sz w:val="18"/>
          <w:szCs w:val="18"/>
          <w:lang w:val="uk-UA"/>
        </w:rPr>
        <w:t>[0.94,</w:t>
      </w:r>
      <w:r w:rsidRPr="000F63AB">
        <w:rPr>
          <w:rFonts w:ascii="Trebuchet MS"/>
          <w:spacing w:val="16"/>
          <w:sz w:val="18"/>
          <w:szCs w:val="18"/>
          <w:lang w:val="uk-UA"/>
        </w:rPr>
        <w:t xml:space="preserve"> </w:t>
      </w:r>
      <w:r w:rsidRPr="000F63AB">
        <w:rPr>
          <w:rFonts w:ascii="Trebuchet MS"/>
          <w:spacing w:val="-2"/>
          <w:w w:val="65"/>
          <w:sz w:val="18"/>
          <w:szCs w:val="18"/>
          <w:lang w:val="uk-UA"/>
        </w:rPr>
        <w:t>1.00]</w:t>
      </w:r>
    </w:p>
    <w:p w14:paraId="47133E65" w14:textId="77777777" w:rsidR="00E05B98" w:rsidRPr="000F63AB" w:rsidRDefault="00B01E0C">
      <w:pPr>
        <w:spacing w:before="39"/>
        <w:ind w:left="320"/>
        <w:rPr>
          <w:rFonts w:ascii="Trebuchet MS"/>
          <w:sz w:val="18"/>
          <w:szCs w:val="18"/>
          <w:lang w:val="uk-UA"/>
        </w:rPr>
      </w:pPr>
      <w:r w:rsidRPr="000F63AB">
        <w:rPr>
          <w:rFonts w:ascii="Trebuchet MS"/>
          <w:w w:val="65"/>
          <w:sz w:val="18"/>
          <w:szCs w:val="18"/>
          <w:lang w:val="uk-UA"/>
        </w:rPr>
        <w:t>0.98</w:t>
      </w:r>
      <w:r w:rsidRPr="000F63AB">
        <w:rPr>
          <w:rFonts w:ascii="Trebuchet MS"/>
          <w:spacing w:val="9"/>
          <w:sz w:val="18"/>
          <w:szCs w:val="18"/>
          <w:lang w:val="uk-UA"/>
        </w:rPr>
        <w:t xml:space="preserve"> </w:t>
      </w:r>
      <w:r w:rsidRPr="000F63AB">
        <w:rPr>
          <w:rFonts w:ascii="Trebuchet MS"/>
          <w:w w:val="65"/>
          <w:sz w:val="18"/>
          <w:szCs w:val="18"/>
          <w:lang w:val="uk-UA"/>
        </w:rPr>
        <w:t>[0.97,</w:t>
      </w:r>
      <w:r w:rsidRPr="000F63AB">
        <w:rPr>
          <w:rFonts w:ascii="Trebuchet MS"/>
          <w:spacing w:val="16"/>
          <w:sz w:val="18"/>
          <w:szCs w:val="18"/>
          <w:lang w:val="uk-UA"/>
        </w:rPr>
        <w:t xml:space="preserve"> </w:t>
      </w:r>
      <w:r w:rsidRPr="000F63AB">
        <w:rPr>
          <w:rFonts w:ascii="Trebuchet MS"/>
          <w:spacing w:val="-2"/>
          <w:w w:val="65"/>
          <w:sz w:val="18"/>
          <w:szCs w:val="18"/>
          <w:lang w:val="uk-UA"/>
        </w:rPr>
        <w:t>0.99]</w:t>
      </w:r>
    </w:p>
    <w:p w14:paraId="484D91AA" w14:textId="77777777" w:rsidR="00E05B98" w:rsidRPr="000F63AB" w:rsidRDefault="00B01E0C">
      <w:pPr>
        <w:spacing w:before="38"/>
        <w:ind w:left="320"/>
        <w:rPr>
          <w:rFonts w:ascii="Trebuchet MS"/>
          <w:sz w:val="18"/>
          <w:szCs w:val="18"/>
          <w:lang w:val="uk-UA"/>
        </w:rPr>
      </w:pPr>
      <w:r w:rsidRPr="000F63AB">
        <w:rPr>
          <w:rFonts w:ascii="Trebuchet MS"/>
          <w:w w:val="65"/>
          <w:sz w:val="18"/>
          <w:szCs w:val="18"/>
          <w:lang w:val="uk-UA"/>
        </w:rPr>
        <w:t>1.00</w:t>
      </w:r>
      <w:r w:rsidRPr="000F63AB">
        <w:rPr>
          <w:rFonts w:ascii="Trebuchet MS"/>
          <w:spacing w:val="9"/>
          <w:sz w:val="18"/>
          <w:szCs w:val="18"/>
          <w:lang w:val="uk-UA"/>
        </w:rPr>
        <w:t xml:space="preserve"> </w:t>
      </w:r>
      <w:r w:rsidRPr="000F63AB">
        <w:rPr>
          <w:rFonts w:ascii="Trebuchet MS"/>
          <w:w w:val="65"/>
          <w:sz w:val="18"/>
          <w:szCs w:val="18"/>
          <w:lang w:val="uk-UA"/>
        </w:rPr>
        <w:t>[0.98,</w:t>
      </w:r>
      <w:r w:rsidRPr="000F63AB">
        <w:rPr>
          <w:rFonts w:ascii="Trebuchet MS"/>
          <w:spacing w:val="16"/>
          <w:sz w:val="18"/>
          <w:szCs w:val="18"/>
          <w:lang w:val="uk-UA"/>
        </w:rPr>
        <w:t xml:space="preserve"> </w:t>
      </w:r>
      <w:r w:rsidRPr="000F63AB">
        <w:rPr>
          <w:rFonts w:ascii="Trebuchet MS"/>
          <w:spacing w:val="-2"/>
          <w:w w:val="65"/>
          <w:sz w:val="18"/>
          <w:szCs w:val="18"/>
          <w:lang w:val="uk-UA"/>
        </w:rPr>
        <w:t>1.00]</w:t>
      </w:r>
    </w:p>
    <w:p w14:paraId="62DA12F4" w14:textId="77777777" w:rsidR="00E05B98" w:rsidRPr="000F63AB" w:rsidRDefault="00B01E0C">
      <w:pPr>
        <w:spacing w:before="39"/>
        <w:ind w:left="320"/>
        <w:rPr>
          <w:rFonts w:ascii="Trebuchet MS"/>
          <w:sz w:val="18"/>
          <w:szCs w:val="18"/>
          <w:lang w:val="uk-UA"/>
        </w:rPr>
      </w:pPr>
      <w:r w:rsidRPr="000F63AB">
        <w:rPr>
          <w:rFonts w:ascii="Trebuchet MS"/>
          <w:w w:val="65"/>
          <w:sz w:val="18"/>
          <w:szCs w:val="18"/>
          <w:lang w:val="uk-UA"/>
        </w:rPr>
        <w:t>0.86</w:t>
      </w:r>
      <w:r w:rsidRPr="000F63AB">
        <w:rPr>
          <w:rFonts w:ascii="Trebuchet MS"/>
          <w:spacing w:val="9"/>
          <w:sz w:val="18"/>
          <w:szCs w:val="18"/>
          <w:lang w:val="uk-UA"/>
        </w:rPr>
        <w:t xml:space="preserve"> </w:t>
      </w:r>
      <w:r w:rsidRPr="000F63AB">
        <w:rPr>
          <w:rFonts w:ascii="Trebuchet MS"/>
          <w:w w:val="65"/>
          <w:sz w:val="18"/>
          <w:szCs w:val="18"/>
          <w:lang w:val="uk-UA"/>
        </w:rPr>
        <w:t>[0.67,</w:t>
      </w:r>
      <w:r w:rsidRPr="000F63AB">
        <w:rPr>
          <w:rFonts w:ascii="Trebuchet MS"/>
          <w:spacing w:val="16"/>
          <w:sz w:val="18"/>
          <w:szCs w:val="18"/>
          <w:lang w:val="uk-UA"/>
        </w:rPr>
        <w:t xml:space="preserve"> </w:t>
      </w:r>
      <w:r w:rsidRPr="000F63AB">
        <w:rPr>
          <w:rFonts w:ascii="Trebuchet MS"/>
          <w:spacing w:val="-2"/>
          <w:w w:val="65"/>
          <w:sz w:val="18"/>
          <w:szCs w:val="18"/>
          <w:lang w:val="uk-UA"/>
        </w:rPr>
        <w:t>0.96]</w:t>
      </w:r>
    </w:p>
    <w:p w14:paraId="6315FF91" w14:textId="77777777" w:rsidR="00E05B98" w:rsidRPr="000F63AB" w:rsidRDefault="00B01E0C">
      <w:pPr>
        <w:spacing w:before="38"/>
        <w:ind w:left="320"/>
        <w:rPr>
          <w:rFonts w:ascii="Trebuchet MS"/>
          <w:sz w:val="18"/>
          <w:szCs w:val="18"/>
          <w:lang w:val="uk-UA"/>
        </w:rPr>
      </w:pPr>
      <w:r w:rsidRPr="000F63AB">
        <w:rPr>
          <w:rFonts w:ascii="Trebuchet MS"/>
          <w:w w:val="65"/>
          <w:sz w:val="18"/>
          <w:szCs w:val="18"/>
          <w:lang w:val="uk-UA"/>
        </w:rPr>
        <w:t>0.98</w:t>
      </w:r>
      <w:r w:rsidRPr="000F63AB">
        <w:rPr>
          <w:rFonts w:ascii="Trebuchet MS"/>
          <w:spacing w:val="9"/>
          <w:sz w:val="18"/>
          <w:szCs w:val="18"/>
          <w:lang w:val="uk-UA"/>
        </w:rPr>
        <w:t xml:space="preserve"> </w:t>
      </w:r>
      <w:r w:rsidRPr="000F63AB">
        <w:rPr>
          <w:rFonts w:ascii="Trebuchet MS"/>
          <w:w w:val="65"/>
          <w:sz w:val="18"/>
          <w:szCs w:val="18"/>
          <w:lang w:val="uk-UA"/>
        </w:rPr>
        <w:t>[0.97,</w:t>
      </w:r>
      <w:r w:rsidRPr="000F63AB">
        <w:rPr>
          <w:rFonts w:ascii="Trebuchet MS"/>
          <w:spacing w:val="16"/>
          <w:sz w:val="18"/>
          <w:szCs w:val="18"/>
          <w:lang w:val="uk-UA"/>
        </w:rPr>
        <w:t xml:space="preserve"> </w:t>
      </w:r>
      <w:r w:rsidRPr="000F63AB">
        <w:rPr>
          <w:rFonts w:ascii="Trebuchet MS"/>
          <w:spacing w:val="-2"/>
          <w:w w:val="65"/>
          <w:sz w:val="18"/>
          <w:szCs w:val="18"/>
          <w:lang w:val="uk-UA"/>
        </w:rPr>
        <w:t>0.99]</w:t>
      </w:r>
    </w:p>
    <w:p w14:paraId="5DFA5137" w14:textId="77777777" w:rsidR="00E05B98" w:rsidRPr="000F63AB" w:rsidRDefault="00B01E0C">
      <w:pPr>
        <w:spacing w:before="38"/>
        <w:ind w:left="320"/>
        <w:rPr>
          <w:rFonts w:ascii="Trebuchet MS"/>
          <w:sz w:val="18"/>
          <w:szCs w:val="18"/>
          <w:lang w:val="uk-UA"/>
        </w:rPr>
      </w:pPr>
      <w:r w:rsidRPr="000F63AB">
        <w:rPr>
          <w:rFonts w:ascii="Trebuchet MS"/>
          <w:w w:val="65"/>
          <w:sz w:val="18"/>
          <w:szCs w:val="18"/>
          <w:lang w:val="uk-UA"/>
        </w:rPr>
        <w:t>0.97</w:t>
      </w:r>
      <w:r w:rsidRPr="000F63AB">
        <w:rPr>
          <w:rFonts w:ascii="Trebuchet MS"/>
          <w:spacing w:val="9"/>
          <w:sz w:val="18"/>
          <w:szCs w:val="18"/>
          <w:lang w:val="uk-UA"/>
        </w:rPr>
        <w:t xml:space="preserve"> </w:t>
      </w:r>
      <w:r w:rsidRPr="000F63AB">
        <w:rPr>
          <w:rFonts w:ascii="Trebuchet MS"/>
          <w:w w:val="65"/>
          <w:sz w:val="18"/>
          <w:szCs w:val="18"/>
          <w:lang w:val="uk-UA"/>
        </w:rPr>
        <w:t>[0.95,</w:t>
      </w:r>
      <w:r w:rsidRPr="000F63AB">
        <w:rPr>
          <w:rFonts w:ascii="Trebuchet MS"/>
          <w:spacing w:val="16"/>
          <w:sz w:val="18"/>
          <w:szCs w:val="18"/>
          <w:lang w:val="uk-UA"/>
        </w:rPr>
        <w:t xml:space="preserve"> </w:t>
      </w:r>
      <w:r w:rsidRPr="000F63AB">
        <w:rPr>
          <w:rFonts w:ascii="Trebuchet MS"/>
          <w:spacing w:val="-2"/>
          <w:w w:val="65"/>
          <w:sz w:val="18"/>
          <w:szCs w:val="18"/>
          <w:lang w:val="uk-UA"/>
        </w:rPr>
        <w:t>0.98]</w:t>
      </w:r>
    </w:p>
    <w:p w14:paraId="670A8844" w14:textId="77777777" w:rsidR="00E05B98" w:rsidRPr="000F63AB" w:rsidRDefault="00B01E0C">
      <w:pPr>
        <w:spacing w:before="39"/>
        <w:ind w:left="320"/>
        <w:rPr>
          <w:rFonts w:ascii="Trebuchet MS"/>
          <w:sz w:val="18"/>
          <w:szCs w:val="18"/>
          <w:lang w:val="uk-UA"/>
        </w:rPr>
      </w:pPr>
      <w:r w:rsidRPr="000F63AB">
        <w:rPr>
          <w:rFonts w:ascii="Trebuchet MS"/>
          <w:w w:val="65"/>
          <w:sz w:val="18"/>
          <w:szCs w:val="18"/>
          <w:lang w:val="uk-UA"/>
        </w:rPr>
        <w:t>0.87</w:t>
      </w:r>
      <w:r w:rsidRPr="000F63AB">
        <w:rPr>
          <w:rFonts w:ascii="Trebuchet MS"/>
          <w:spacing w:val="9"/>
          <w:sz w:val="18"/>
          <w:szCs w:val="18"/>
          <w:lang w:val="uk-UA"/>
        </w:rPr>
        <w:t xml:space="preserve"> </w:t>
      </w:r>
      <w:r w:rsidRPr="000F63AB">
        <w:rPr>
          <w:rFonts w:ascii="Trebuchet MS"/>
          <w:w w:val="65"/>
          <w:sz w:val="18"/>
          <w:szCs w:val="18"/>
          <w:lang w:val="uk-UA"/>
        </w:rPr>
        <w:t>[0.84,</w:t>
      </w:r>
      <w:r w:rsidRPr="000F63AB">
        <w:rPr>
          <w:rFonts w:ascii="Trebuchet MS"/>
          <w:spacing w:val="16"/>
          <w:sz w:val="18"/>
          <w:szCs w:val="18"/>
          <w:lang w:val="uk-UA"/>
        </w:rPr>
        <w:t xml:space="preserve"> </w:t>
      </w:r>
      <w:r w:rsidRPr="000F63AB">
        <w:rPr>
          <w:rFonts w:ascii="Trebuchet MS"/>
          <w:spacing w:val="-2"/>
          <w:w w:val="65"/>
          <w:sz w:val="18"/>
          <w:szCs w:val="18"/>
          <w:lang w:val="uk-UA"/>
        </w:rPr>
        <w:t>0.88]</w:t>
      </w:r>
    </w:p>
    <w:p w14:paraId="1A1A7804" w14:textId="77777777" w:rsidR="00E05B98" w:rsidRPr="000F63AB" w:rsidRDefault="00B01E0C">
      <w:pPr>
        <w:spacing w:before="38"/>
        <w:ind w:left="320"/>
        <w:rPr>
          <w:rFonts w:ascii="Trebuchet MS"/>
          <w:sz w:val="18"/>
          <w:szCs w:val="18"/>
          <w:lang w:val="uk-UA"/>
        </w:rPr>
      </w:pPr>
      <w:r w:rsidRPr="000F63AB">
        <w:rPr>
          <w:rFonts w:ascii="Trebuchet MS"/>
          <w:w w:val="65"/>
          <w:sz w:val="18"/>
          <w:szCs w:val="18"/>
          <w:lang w:val="uk-UA"/>
        </w:rPr>
        <w:t>0.98</w:t>
      </w:r>
      <w:r w:rsidRPr="000F63AB">
        <w:rPr>
          <w:rFonts w:ascii="Trebuchet MS"/>
          <w:spacing w:val="9"/>
          <w:sz w:val="18"/>
          <w:szCs w:val="18"/>
          <w:lang w:val="uk-UA"/>
        </w:rPr>
        <w:t xml:space="preserve"> </w:t>
      </w:r>
      <w:r w:rsidRPr="000F63AB">
        <w:rPr>
          <w:rFonts w:ascii="Trebuchet MS"/>
          <w:w w:val="65"/>
          <w:sz w:val="18"/>
          <w:szCs w:val="18"/>
          <w:lang w:val="uk-UA"/>
        </w:rPr>
        <w:t>[0.89,</w:t>
      </w:r>
      <w:r w:rsidRPr="000F63AB">
        <w:rPr>
          <w:rFonts w:ascii="Trebuchet MS"/>
          <w:spacing w:val="16"/>
          <w:sz w:val="18"/>
          <w:szCs w:val="18"/>
          <w:lang w:val="uk-UA"/>
        </w:rPr>
        <w:t xml:space="preserve"> </w:t>
      </w:r>
      <w:r w:rsidRPr="000F63AB">
        <w:rPr>
          <w:rFonts w:ascii="Trebuchet MS"/>
          <w:spacing w:val="-2"/>
          <w:w w:val="65"/>
          <w:sz w:val="18"/>
          <w:szCs w:val="18"/>
          <w:lang w:val="uk-UA"/>
        </w:rPr>
        <w:t>1.00]</w:t>
      </w:r>
    </w:p>
    <w:p w14:paraId="047AE6BB" w14:textId="77777777" w:rsidR="00E05B98" w:rsidRPr="000F63AB" w:rsidRDefault="00B01E0C">
      <w:pPr>
        <w:spacing w:before="39"/>
        <w:ind w:left="320"/>
        <w:rPr>
          <w:rFonts w:ascii="Trebuchet MS"/>
          <w:sz w:val="18"/>
          <w:szCs w:val="18"/>
          <w:lang w:val="uk-UA"/>
        </w:rPr>
      </w:pPr>
      <w:r w:rsidRPr="000F63AB">
        <w:rPr>
          <w:rFonts w:ascii="Trebuchet MS"/>
          <w:w w:val="65"/>
          <w:sz w:val="18"/>
          <w:szCs w:val="18"/>
          <w:lang w:val="uk-UA"/>
        </w:rPr>
        <w:t>0.96</w:t>
      </w:r>
      <w:r w:rsidRPr="000F63AB">
        <w:rPr>
          <w:rFonts w:ascii="Trebuchet MS"/>
          <w:spacing w:val="9"/>
          <w:sz w:val="18"/>
          <w:szCs w:val="18"/>
          <w:lang w:val="uk-UA"/>
        </w:rPr>
        <w:t xml:space="preserve"> </w:t>
      </w:r>
      <w:r w:rsidRPr="000F63AB">
        <w:rPr>
          <w:rFonts w:ascii="Trebuchet MS"/>
          <w:w w:val="65"/>
          <w:sz w:val="18"/>
          <w:szCs w:val="18"/>
          <w:lang w:val="uk-UA"/>
        </w:rPr>
        <w:t>[0.94,</w:t>
      </w:r>
      <w:r w:rsidRPr="000F63AB">
        <w:rPr>
          <w:rFonts w:ascii="Trebuchet MS"/>
          <w:spacing w:val="16"/>
          <w:sz w:val="18"/>
          <w:szCs w:val="18"/>
          <w:lang w:val="uk-UA"/>
        </w:rPr>
        <w:t xml:space="preserve"> </w:t>
      </w:r>
      <w:r w:rsidRPr="000F63AB">
        <w:rPr>
          <w:rFonts w:ascii="Trebuchet MS"/>
          <w:spacing w:val="-2"/>
          <w:w w:val="65"/>
          <w:sz w:val="18"/>
          <w:szCs w:val="18"/>
          <w:lang w:val="uk-UA"/>
        </w:rPr>
        <w:t>0.98]</w:t>
      </w:r>
    </w:p>
    <w:p w14:paraId="79F24D07" w14:textId="77777777" w:rsidR="00E05B98" w:rsidRPr="000F63AB" w:rsidRDefault="00B01E0C">
      <w:pPr>
        <w:spacing w:before="38"/>
        <w:ind w:left="320"/>
        <w:rPr>
          <w:rFonts w:ascii="Trebuchet MS"/>
          <w:sz w:val="18"/>
          <w:szCs w:val="18"/>
          <w:lang w:val="uk-UA"/>
        </w:rPr>
      </w:pPr>
      <w:r w:rsidRPr="000F63AB">
        <w:rPr>
          <w:rFonts w:ascii="Trebuchet MS"/>
          <w:w w:val="65"/>
          <w:sz w:val="18"/>
          <w:szCs w:val="18"/>
          <w:lang w:val="uk-UA"/>
        </w:rPr>
        <w:t>0.99</w:t>
      </w:r>
      <w:r w:rsidRPr="000F63AB">
        <w:rPr>
          <w:rFonts w:ascii="Trebuchet MS"/>
          <w:spacing w:val="9"/>
          <w:sz w:val="18"/>
          <w:szCs w:val="18"/>
          <w:lang w:val="uk-UA"/>
        </w:rPr>
        <w:t xml:space="preserve"> </w:t>
      </w:r>
      <w:r w:rsidRPr="000F63AB">
        <w:rPr>
          <w:rFonts w:ascii="Trebuchet MS"/>
          <w:w w:val="65"/>
          <w:sz w:val="18"/>
          <w:szCs w:val="18"/>
          <w:lang w:val="uk-UA"/>
        </w:rPr>
        <w:t>[0.99,</w:t>
      </w:r>
      <w:r w:rsidRPr="000F63AB">
        <w:rPr>
          <w:rFonts w:ascii="Trebuchet MS"/>
          <w:spacing w:val="16"/>
          <w:sz w:val="18"/>
          <w:szCs w:val="18"/>
          <w:lang w:val="uk-UA"/>
        </w:rPr>
        <w:t xml:space="preserve"> </w:t>
      </w:r>
      <w:r w:rsidRPr="000F63AB">
        <w:rPr>
          <w:rFonts w:ascii="Trebuchet MS"/>
          <w:spacing w:val="-2"/>
          <w:w w:val="65"/>
          <w:sz w:val="18"/>
          <w:szCs w:val="18"/>
          <w:lang w:val="uk-UA"/>
        </w:rPr>
        <w:t>1.00]</w:t>
      </w:r>
    </w:p>
    <w:p w14:paraId="5F81EF1E" w14:textId="77777777" w:rsidR="00E05B98" w:rsidRPr="000F63AB" w:rsidRDefault="00B01E0C">
      <w:pPr>
        <w:spacing w:before="39"/>
        <w:ind w:left="320"/>
        <w:rPr>
          <w:rFonts w:ascii="Trebuchet MS"/>
          <w:sz w:val="18"/>
          <w:szCs w:val="18"/>
          <w:lang w:val="uk-UA"/>
        </w:rPr>
      </w:pPr>
      <w:r w:rsidRPr="000F63AB">
        <w:rPr>
          <w:rFonts w:ascii="Trebuchet MS"/>
          <w:w w:val="65"/>
          <w:sz w:val="18"/>
          <w:szCs w:val="18"/>
          <w:lang w:val="uk-UA"/>
        </w:rPr>
        <w:t>0.94</w:t>
      </w:r>
      <w:r w:rsidRPr="000F63AB">
        <w:rPr>
          <w:rFonts w:ascii="Trebuchet MS"/>
          <w:spacing w:val="9"/>
          <w:sz w:val="18"/>
          <w:szCs w:val="18"/>
          <w:lang w:val="uk-UA"/>
        </w:rPr>
        <w:t xml:space="preserve"> </w:t>
      </w:r>
      <w:r w:rsidRPr="000F63AB">
        <w:rPr>
          <w:rFonts w:ascii="Trebuchet MS"/>
          <w:w w:val="65"/>
          <w:sz w:val="18"/>
          <w:szCs w:val="18"/>
          <w:lang w:val="uk-UA"/>
        </w:rPr>
        <w:t>[0.92,</w:t>
      </w:r>
      <w:r w:rsidRPr="000F63AB">
        <w:rPr>
          <w:rFonts w:ascii="Trebuchet MS"/>
          <w:spacing w:val="16"/>
          <w:sz w:val="18"/>
          <w:szCs w:val="18"/>
          <w:lang w:val="uk-UA"/>
        </w:rPr>
        <w:t xml:space="preserve"> </w:t>
      </w:r>
      <w:r w:rsidRPr="000F63AB">
        <w:rPr>
          <w:rFonts w:ascii="Trebuchet MS"/>
          <w:spacing w:val="-2"/>
          <w:w w:val="65"/>
          <w:sz w:val="18"/>
          <w:szCs w:val="18"/>
          <w:lang w:val="uk-UA"/>
        </w:rPr>
        <w:t>0.95]</w:t>
      </w:r>
    </w:p>
    <w:p w14:paraId="16BF2931" w14:textId="77777777" w:rsidR="00E05B98" w:rsidRPr="000F63AB" w:rsidRDefault="00B01E0C">
      <w:pPr>
        <w:spacing w:before="38"/>
        <w:ind w:left="320"/>
        <w:rPr>
          <w:rFonts w:ascii="Trebuchet MS"/>
          <w:sz w:val="18"/>
          <w:szCs w:val="18"/>
          <w:lang w:val="uk-UA"/>
        </w:rPr>
      </w:pPr>
      <w:r w:rsidRPr="000F63AB">
        <w:rPr>
          <w:rFonts w:ascii="Trebuchet MS"/>
          <w:w w:val="65"/>
          <w:sz w:val="18"/>
          <w:szCs w:val="18"/>
          <w:lang w:val="uk-UA"/>
        </w:rPr>
        <w:t>0.97</w:t>
      </w:r>
      <w:r w:rsidRPr="000F63AB">
        <w:rPr>
          <w:rFonts w:ascii="Trebuchet MS"/>
          <w:spacing w:val="9"/>
          <w:sz w:val="18"/>
          <w:szCs w:val="18"/>
          <w:lang w:val="uk-UA"/>
        </w:rPr>
        <w:t xml:space="preserve"> </w:t>
      </w:r>
      <w:r w:rsidRPr="000F63AB">
        <w:rPr>
          <w:rFonts w:ascii="Trebuchet MS"/>
          <w:w w:val="65"/>
          <w:sz w:val="18"/>
          <w:szCs w:val="18"/>
          <w:lang w:val="uk-UA"/>
        </w:rPr>
        <w:t>[0.95,</w:t>
      </w:r>
      <w:r w:rsidRPr="000F63AB">
        <w:rPr>
          <w:rFonts w:ascii="Trebuchet MS"/>
          <w:spacing w:val="16"/>
          <w:sz w:val="18"/>
          <w:szCs w:val="18"/>
          <w:lang w:val="uk-UA"/>
        </w:rPr>
        <w:t xml:space="preserve"> </w:t>
      </w:r>
      <w:r w:rsidRPr="000F63AB">
        <w:rPr>
          <w:rFonts w:ascii="Trebuchet MS"/>
          <w:spacing w:val="-2"/>
          <w:w w:val="65"/>
          <w:sz w:val="18"/>
          <w:szCs w:val="18"/>
          <w:lang w:val="uk-UA"/>
        </w:rPr>
        <w:t>0.99]</w:t>
      </w:r>
    </w:p>
    <w:p w14:paraId="3E9C07BB" w14:textId="77777777" w:rsidR="00E05B98" w:rsidRPr="000F63AB" w:rsidRDefault="00B01E0C">
      <w:pPr>
        <w:spacing w:before="39"/>
        <w:ind w:left="320"/>
        <w:rPr>
          <w:rFonts w:ascii="Trebuchet MS"/>
          <w:sz w:val="18"/>
          <w:szCs w:val="18"/>
          <w:lang w:val="uk-UA"/>
        </w:rPr>
      </w:pPr>
      <w:r w:rsidRPr="000F63AB">
        <w:rPr>
          <w:rFonts w:ascii="Trebuchet MS"/>
          <w:w w:val="65"/>
          <w:sz w:val="18"/>
          <w:szCs w:val="18"/>
          <w:lang w:val="uk-UA"/>
        </w:rPr>
        <w:t>0.96</w:t>
      </w:r>
      <w:r w:rsidRPr="000F63AB">
        <w:rPr>
          <w:rFonts w:ascii="Trebuchet MS"/>
          <w:spacing w:val="9"/>
          <w:sz w:val="18"/>
          <w:szCs w:val="18"/>
          <w:lang w:val="uk-UA"/>
        </w:rPr>
        <w:t xml:space="preserve"> </w:t>
      </w:r>
      <w:r w:rsidRPr="000F63AB">
        <w:rPr>
          <w:rFonts w:ascii="Trebuchet MS"/>
          <w:w w:val="65"/>
          <w:sz w:val="18"/>
          <w:szCs w:val="18"/>
          <w:lang w:val="uk-UA"/>
        </w:rPr>
        <w:t>[0.93,</w:t>
      </w:r>
      <w:r w:rsidRPr="000F63AB">
        <w:rPr>
          <w:rFonts w:ascii="Trebuchet MS"/>
          <w:spacing w:val="16"/>
          <w:sz w:val="18"/>
          <w:szCs w:val="18"/>
          <w:lang w:val="uk-UA"/>
        </w:rPr>
        <w:t xml:space="preserve"> </w:t>
      </w:r>
      <w:r w:rsidRPr="000F63AB">
        <w:rPr>
          <w:rFonts w:ascii="Trebuchet MS"/>
          <w:spacing w:val="-2"/>
          <w:w w:val="65"/>
          <w:sz w:val="18"/>
          <w:szCs w:val="18"/>
          <w:lang w:val="uk-UA"/>
        </w:rPr>
        <w:t>0.98]</w:t>
      </w:r>
    </w:p>
    <w:p w14:paraId="02E15CFD" w14:textId="77777777" w:rsidR="00E05B98" w:rsidRPr="000F63AB" w:rsidRDefault="00B01E0C">
      <w:pPr>
        <w:spacing w:before="38"/>
        <w:ind w:left="320"/>
        <w:rPr>
          <w:rFonts w:ascii="Trebuchet MS"/>
          <w:sz w:val="18"/>
          <w:szCs w:val="18"/>
          <w:lang w:val="uk-UA"/>
        </w:rPr>
      </w:pPr>
      <w:r w:rsidRPr="000F63AB">
        <w:rPr>
          <w:rFonts w:ascii="Trebuchet MS"/>
          <w:w w:val="65"/>
          <w:sz w:val="18"/>
          <w:szCs w:val="18"/>
          <w:lang w:val="uk-UA"/>
        </w:rPr>
        <w:t>1.00</w:t>
      </w:r>
      <w:r w:rsidRPr="000F63AB">
        <w:rPr>
          <w:rFonts w:ascii="Trebuchet MS"/>
          <w:spacing w:val="9"/>
          <w:sz w:val="18"/>
          <w:szCs w:val="18"/>
          <w:lang w:val="uk-UA"/>
        </w:rPr>
        <w:t xml:space="preserve"> </w:t>
      </w:r>
      <w:r w:rsidRPr="000F63AB">
        <w:rPr>
          <w:rFonts w:ascii="Trebuchet MS"/>
          <w:w w:val="65"/>
          <w:sz w:val="18"/>
          <w:szCs w:val="18"/>
          <w:lang w:val="uk-UA"/>
        </w:rPr>
        <w:t>[0.16,</w:t>
      </w:r>
      <w:r w:rsidRPr="000F63AB">
        <w:rPr>
          <w:rFonts w:ascii="Trebuchet MS"/>
          <w:spacing w:val="16"/>
          <w:sz w:val="18"/>
          <w:szCs w:val="18"/>
          <w:lang w:val="uk-UA"/>
        </w:rPr>
        <w:t xml:space="preserve"> </w:t>
      </w:r>
      <w:r w:rsidRPr="000F63AB">
        <w:rPr>
          <w:rFonts w:ascii="Trebuchet MS"/>
          <w:spacing w:val="-2"/>
          <w:w w:val="65"/>
          <w:sz w:val="18"/>
          <w:szCs w:val="18"/>
          <w:lang w:val="uk-UA"/>
        </w:rPr>
        <w:t>1.00]</w:t>
      </w:r>
    </w:p>
    <w:p w14:paraId="1AB91766" w14:textId="77777777" w:rsidR="00E05B98" w:rsidRPr="000F63AB" w:rsidRDefault="00B01E0C">
      <w:pPr>
        <w:spacing w:before="38"/>
        <w:ind w:left="320"/>
        <w:rPr>
          <w:rFonts w:ascii="Trebuchet MS"/>
          <w:sz w:val="18"/>
          <w:szCs w:val="18"/>
          <w:lang w:val="uk-UA"/>
        </w:rPr>
      </w:pPr>
      <w:r w:rsidRPr="000F63AB">
        <w:rPr>
          <w:rFonts w:ascii="Trebuchet MS"/>
          <w:w w:val="65"/>
          <w:sz w:val="18"/>
          <w:szCs w:val="18"/>
          <w:lang w:val="uk-UA"/>
        </w:rPr>
        <w:t>0.87</w:t>
      </w:r>
      <w:r w:rsidRPr="000F63AB">
        <w:rPr>
          <w:rFonts w:ascii="Trebuchet MS"/>
          <w:spacing w:val="9"/>
          <w:sz w:val="18"/>
          <w:szCs w:val="18"/>
          <w:lang w:val="uk-UA"/>
        </w:rPr>
        <w:t xml:space="preserve"> </w:t>
      </w:r>
      <w:r w:rsidRPr="000F63AB">
        <w:rPr>
          <w:rFonts w:ascii="Trebuchet MS"/>
          <w:w w:val="65"/>
          <w:sz w:val="18"/>
          <w:szCs w:val="18"/>
          <w:lang w:val="uk-UA"/>
        </w:rPr>
        <w:t>[0.82,</w:t>
      </w:r>
      <w:r w:rsidRPr="000F63AB">
        <w:rPr>
          <w:rFonts w:ascii="Trebuchet MS"/>
          <w:spacing w:val="16"/>
          <w:sz w:val="18"/>
          <w:szCs w:val="18"/>
          <w:lang w:val="uk-UA"/>
        </w:rPr>
        <w:t xml:space="preserve"> </w:t>
      </w:r>
      <w:r w:rsidRPr="000F63AB">
        <w:rPr>
          <w:rFonts w:ascii="Trebuchet MS"/>
          <w:spacing w:val="-2"/>
          <w:w w:val="65"/>
          <w:sz w:val="18"/>
          <w:szCs w:val="18"/>
          <w:lang w:val="uk-UA"/>
        </w:rPr>
        <w:t>0.91]</w:t>
      </w:r>
    </w:p>
    <w:p w14:paraId="49C37474" w14:textId="77777777" w:rsidR="00E05B98" w:rsidRPr="000F63AB" w:rsidRDefault="00B01E0C">
      <w:pPr>
        <w:spacing w:before="39"/>
        <w:ind w:left="320"/>
        <w:rPr>
          <w:rFonts w:ascii="Trebuchet MS"/>
          <w:sz w:val="18"/>
          <w:szCs w:val="18"/>
          <w:lang w:val="uk-UA"/>
        </w:rPr>
      </w:pPr>
      <w:r w:rsidRPr="000F63AB">
        <w:rPr>
          <w:rFonts w:ascii="Trebuchet MS"/>
          <w:w w:val="65"/>
          <w:sz w:val="18"/>
          <w:szCs w:val="18"/>
          <w:lang w:val="uk-UA"/>
        </w:rPr>
        <w:t>0.96</w:t>
      </w:r>
      <w:r w:rsidRPr="000F63AB">
        <w:rPr>
          <w:rFonts w:ascii="Trebuchet MS"/>
          <w:spacing w:val="9"/>
          <w:sz w:val="18"/>
          <w:szCs w:val="18"/>
          <w:lang w:val="uk-UA"/>
        </w:rPr>
        <w:t xml:space="preserve"> </w:t>
      </w:r>
      <w:r w:rsidRPr="000F63AB">
        <w:rPr>
          <w:rFonts w:ascii="Trebuchet MS"/>
          <w:w w:val="65"/>
          <w:sz w:val="18"/>
          <w:szCs w:val="18"/>
          <w:lang w:val="uk-UA"/>
        </w:rPr>
        <w:t>[0.95,</w:t>
      </w:r>
      <w:r w:rsidRPr="000F63AB">
        <w:rPr>
          <w:rFonts w:ascii="Trebuchet MS"/>
          <w:spacing w:val="16"/>
          <w:sz w:val="18"/>
          <w:szCs w:val="18"/>
          <w:lang w:val="uk-UA"/>
        </w:rPr>
        <w:t xml:space="preserve"> </w:t>
      </w:r>
      <w:r w:rsidRPr="000F63AB">
        <w:rPr>
          <w:rFonts w:ascii="Trebuchet MS"/>
          <w:spacing w:val="-2"/>
          <w:w w:val="65"/>
          <w:sz w:val="18"/>
          <w:szCs w:val="18"/>
          <w:lang w:val="uk-UA"/>
        </w:rPr>
        <w:t>0.97]</w:t>
      </w:r>
    </w:p>
    <w:p w14:paraId="6A577329" w14:textId="77777777" w:rsidR="00E05B98" w:rsidRPr="000F63AB" w:rsidRDefault="00B01E0C">
      <w:pPr>
        <w:spacing w:before="38"/>
        <w:ind w:left="320"/>
        <w:rPr>
          <w:rFonts w:ascii="Trebuchet MS"/>
          <w:sz w:val="18"/>
          <w:szCs w:val="18"/>
          <w:lang w:val="uk-UA"/>
        </w:rPr>
      </w:pPr>
      <w:r w:rsidRPr="000F63AB">
        <w:rPr>
          <w:rFonts w:ascii="Trebuchet MS"/>
          <w:w w:val="65"/>
          <w:sz w:val="18"/>
          <w:szCs w:val="18"/>
          <w:lang w:val="uk-UA"/>
        </w:rPr>
        <w:t>0.92</w:t>
      </w:r>
      <w:r w:rsidRPr="000F63AB">
        <w:rPr>
          <w:rFonts w:ascii="Trebuchet MS"/>
          <w:spacing w:val="9"/>
          <w:sz w:val="18"/>
          <w:szCs w:val="18"/>
          <w:lang w:val="uk-UA"/>
        </w:rPr>
        <w:t xml:space="preserve"> </w:t>
      </w:r>
      <w:r w:rsidRPr="000F63AB">
        <w:rPr>
          <w:rFonts w:ascii="Trebuchet MS"/>
          <w:w w:val="65"/>
          <w:sz w:val="18"/>
          <w:szCs w:val="18"/>
          <w:lang w:val="uk-UA"/>
        </w:rPr>
        <w:t>[0.87,</w:t>
      </w:r>
      <w:r w:rsidRPr="000F63AB">
        <w:rPr>
          <w:rFonts w:ascii="Trebuchet MS"/>
          <w:spacing w:val="16"/>
          <w:sz w:val="18"/>
          <w:szCs w:val="18"/>
          <w:lang w:val="uk-UA"/>
        </w:rPr>
        <w:t xml:space="preserve"> </w:t>
      </w:r>
      <w:r w:rsidRPr="000F63AB">
        <w:rPr>
          <w:rFonts w:ascii="Trebuchet MS"/>
          <w:spacing w:val="-2"/>
          <w:w w:val="65"/>
          <w:sz w:val="18"/>
          <w:szCs w:val="18"/>
          <w:lang w:val="uk-UA"/>
        </w:rPr>
        <w:t>0.95]</w:t>
      </w:r>
    </w:p>
    <w:p w14:paraId="37E9D0C0" w14:textId="77777777" w:rsidR="00E05B98" w:rsidRPr="000F63AB" w:rsidRDefault="00B01E0C">
      <w:pPr>
        <w:spacing w:before="39"/>
        <w:ind w:left="320"/>
        <w:rPr>
          <w:rFonts w:ascii="Trebuchet MS"/>
          <w:sz w:val="18"/>
          <w:szCs w:val="18"/>
          <w:lang w:val="uk-UA"/>
        </w:rPr>
      </w:pPr>
      <w:r w:rsidRPr="000F63AB">
        <w:rPr>
          <w:rFonts w:ascii="Trebuchet MS"/>
          <w:w w:val="65"/>
          <w:sz w:val="18"/>
          <w:szCs w:val="18"/>
          <w:lang w:val="uk-UA"/>
        </w:rPr>
        <w:t>0.98</w:t>
      </w:r>
      <w:r w:rsidRPr="000F63AB">
        <w:rPr>
          <w:rFonts w:ascii="Trebuchet MS"/>
          <w:spacing w:val="9"/>
          <w:sz w:val="18"/>
          <w:szCs w:val="18"/>
          <w:lang w:val="uk-UA"/>
        </w:rPr>
        <w:t xml:space="preserve"> </w:t>
      </w:r>
      <w:r w:rsidRPr="000F63AB">
        <w:rPr>
          <w:rFonts w:ascii="Trebuchet MS"/>
          <w:w w:val="65"/>
          <w:sz w:val="18"/>
          <w:szCs w:val="18"/>
          <w:lang w:val="uk-UA"/>
        </w:rPr>
        <w:t>[0.94,</w:t>
      </w:r>
      <w:r w:rsidRPr="000F63AB">
        <w:rPr>
          <w:rFonts w:ascii="Trebuchet MS"/>
          <w:spacing w:val="16"/>
          <w:sz w:val="18"/>
          <w:szCs w:val="18"/>
          <w:lang w:val="uk-UA"/>
        </w:rPr>
        <w:t xml:space="preserve"> </w:t>
      </w:r>
      <w:r w:rsidRPr="000F63AB">
        <w:rPr>
          <w:rFonts w:ascii="Trebuchet MS"/>
          <w:spacing w:val="-2"/>
          <w:w w:val="65"/>
          <w:sz w:val="18"/>
          <w:szCs w:val="18"/>
          <w:lang w:val="uk-UA"/>
        </w:rPr>
        <w:t>1.00]</w:t>
      </w:r>
    </w:p>
    <w:p w14:paraId="1FFA1BF6" w14:textId="77777777" w:rsidR="00E05B98" w:rsidRPr="000F63AB" w:rsidRDefault="00B01E0C">
      <w:pPr>
        <w:spacing w:before="38"/>
        <w:ind w:left="320"/>
        <w:rPr>
          <w:rFonts w:ascii="Trebuchet MS"/>
          <w:sz w:val="18"/>
          <w:szCs w:val="18"/>
          <w:lang w:val="uk-UA"/>
        </w:rPr>
      </w:pPr>
      <w:r w:rsidRPr="000F63AB">
        <w:rPr>
          <w:rFonts w:ascii="Trebuchet MS"/>
          <w:w w:val="65"/>
          <w:sz w:val="18"/>
          <w:szCs w:val="18"/>
          <w:lang w:val="uk-UA"/>
        </w:rPr>
        <w:t>0.97</w:t>
      </w:r>
      <w:r w:rsidRPr="000F63AB">
        <w:rPr>
          <w:rFonts w:ascii="Trebuchet MS"/>
          <w:spacing w:val="9"/>
          <w:sz w:val="18"/>
          <w:szCs w:val="18"/>
          <w:lang w:val="uk-UA"/>
        </w:rPr>
        <w:t xml:space="preserve"> </w:t>
      </w:r>
      <w:r w:rsidRPr="000F63AB">
        <w:rPr>
          <w:rFonts w:ascii="Trebuchet MS"/>
          <w:w w:val="65"/>
          <w:sz w:val="18"/>
          <w:szCs w:val="18"/>
          <w:lang w:val="uk-UA"/>
        </w:rPr>
        <w:t>[0.95,</w:t>
      </w:r>
      <w:r w:rsidRPr="000F63AB">
        <w:rPr>
          <w:rFonts w:ascii="Trebuchet MS"/>
          <w:spacing w:val="16"/>
          <w:sz w:val="18"/>
          <w:szCs w:val="18"/>
          <w:lang w:val="uk-UA"/>
        </w:rPr>
        <w:t xml:space="preserve"> </w:t>
      </w:r>
      <w:r w:rsidRPr="000F63AB">
        <w:rPr>
          <w:rFonts w:ascii="Trebuchet MS"/>
          <w:spacing w:val="-2"/>
          <w:w w:val="65"/>
          <w:sz w:val="18"/>
          <w:szCs w:val="18"/>
          <w:lang w:val="uk-UA"/>
        </w:rPr>
        <w:t>0.99]</w:t>
      </w:r>
    </w:p>
    <w:p w14:paraId="590F6769" w14:textId="77777777" w:rsidR="00E05B98" w:rsidRPr="000F63AB" w:rsidRDefault="00B01E0C">
      <w:pPr>
        <w:spacing w:before="39"/>
        <w:ind w:left="320"/>
        <w:rPr>
          <w:rFonts w:ascii="Trebuchet MS"/>
          <w:sz w:val="18"/>
          <w:szCs w:val="18"/>
          <w:lang w:val="uk-UA"/>
        </w:rPr>
      </w:pPr>
      <w:r w:rsidRPr="000F63AB">
        <w:rPr>
          <w:rFonts w:ascii="Trebuchet MS"/>
          <w:w w:val="65"/>
          <w:sz w:val="18"/>
          <w:szCs w:val="18"/>
          <w:lang w:val="uk-UA"/>
        </w:rPr>
        <w:t>0.93</w:t>
      </w:r>
      <w:r w:rsidRPr="000F63AB">
        <w:rPr>
          <w:rFonts w:ascii="Trebuchet MS"/>
          <w:spacing w:val="9"/>
          <w:sz w:val="18"/>
          <w:szCs w:val="18"/>
          <w:lang w:val="uk-UA"/>
        </w:rPr>
        <w:t xml:space="preserve"> </w:t>
      </w:r>
      <w:r w:rsidRPr="000F63AB">
        <w:rPr>
          <w:rFonts w:ascii="Trebuchet MS"/>
          <w:w w:val="65"/>
          <w:sz w:val="18"/>
          <w:szCs w:val="18"/>
          <w:lang w:val="uk-UA"/>
        </w:rPr>
        <w:t>[0.92,</w:t>
      </w:r>
      <w:r w:rsidRPr="000F63AB">
        <w:rPr>
          <w:rFonts w:ascii="Trebuchet MS"/>
          <w:spacing w:val="16"/>
          <w:sz w:val="18"/>
          <w:szCs w:val="18"/>
          <w:lang w:val="uk-UA"/>
        </w:rPr>
        <w:t xml:space="preserve"> </w:t>
      </w:r>
      <w:r w:rsidRPr="000F63AB">
        <w:rPr>
          <w:rFonts w:ascii="Trebuchet MS"/>
          <w:spacing w:val="-2"/>
          <w:w w:val="65"/>
          <w:sz w:val="18"/>
          <w:szCs w:val="18"/>
          <w:lang w:val="uk-UA"/>
        </w:rPr>
        <w:t>0.94]</w:t>
      </w:r>
    </w:p>
    <w:p w14:paraId="3EFF0614" w14:textId="77777777" w:rsidR="00E05B98" w:rsidRPr="000F63AB" w:rsidRDefault="00B01E0C">
      <w:pPr>
        <w:spacing w:before="38"/>
        <w:ind w:left="320"/>
        <w:rPr>
          <w:rFonts w:ascii="Trebuchet MS"/>
          <w:sz w:val="18"/>
          <w:szCs w:val="18"/>
          <w:lang w:val="uk-UA"/>
        </w:rPr>
      </w:pPr>
      <w:r w:rsidRPr="000F63AB">
        <w:rPr>
          <w:rFonts w:ascii="Trebuchet MS"/>
          <w:w w:val="65"/>
          <w:sz w:val="18"/>
          <w:szCs w:val="18"/>
          <w:lang w:val="uk-UA"/>
        </w:rPr>
        <w:t>0.90</w:t>
      </w:r>
      <w:r w:rsidRPr="000F63AB">
        <w:rPr>
          <w:rFonts w:ascii="Trebuchet MS"/>
          <w:spacing w:val="9"/>
          <w:sz w:val="18"/>
          <w:szCs w:val="18"/>
          <w:lang w:val="uk-UA"/>
        </w:rPr>
        <w:t xml:space="preserve"> </w:t>
      </w:r>
      <w:r w:rsidRPr="000F63AB">
        <w:rPr>
          <w:rFonts w:ascii="Trebuchet MS"/>
          <w:w w:val="65"/>
          <w:sz w:val="18"/>
          <w:szCs w:val="18"/>
          <w:lang w:val="uk-UA"/>
        </w:rPr>
        <w:t>[0.76,</w:t>
      </w:r>
      <w:r w:rsidRPr="000F63AB">
        <w:rPr>
          <w:rFonts w:ascii="Trebuchet MS"/>
          <w:spacing w:val="16"/>
          <w:sz w:val="18"/>
          <w:szCs w:val="18"/>
          <w:lang w:val="uk-UA"/>
        </w:rPr>
        <w:t xml:space="preserve"> </w:t>
      </w:r>
      <w:r w:rsidRPr="000F63AB">
        <w:rPr>
          <w:rFonts w:ascii="Trebuchet MS"/>
          <w:spacing w:val="-2"/>
          <w:w w:val="65"/>
          <w:sz w:val="18"/>
          <w:szCs w:val="18"/>
          <w:lang w:val="uk-UA"/>
        </w:rPr>
        <w:t>0.97]</w:t>
      </w:r>
    </w:p>
    <w:p w14:paraId="58990C6C" w14:textId="77777777" w:rsidR="00E05B98" w:rsidRPr="000F63AB" w:rsidRDefault="00B01E0C">
      <w:pPr>
        <w:spacing w:before="38"/>
        <w:ind w:left="320"/>
        <w:rPr>
          <w:rFonts w:ascii="Trebuchet MS"/>
          <w:sz w:val="18"/>
          <w:szCs w:val="18"/>
          <w:lang w:val="uk-UA"/>
        </w:rPr>
      </w:pPr>
      <w:r w:rsidRPr="000F63AB">
        <w:rPr>
          <w:rFonts w:ascii="Trebuchet MS"/>
          <w:w w:val="65"/>
          <w:sz w:val="18"/>
          <w:szCs w:val="18"/>
          <w:lang w:val="uk-UA"/>
        </w:rPr>
        <w:t>0.96</w:t>
      </w:r>
      <w:r w:rsidRPr="000F63AB">
        <w:rPr>
          <w:rFonts w:ascii="Trebuchet MS"/>
          <w:spacing w:val="9"/>
          <w:sz w:val="18"/>
          <w:szCs w:val="18"/>
          <w:lang w:val="uk-UA"/>
        </w:rPr>
        <w:t xml:space="preserve"> </w:t>
      </w:r>
      <w:r w:rsidRPr="000F63AB">
        <w:rPr>
          <w:rFonts w:ascii="Trebuchet MS"/>
          <w:w w:val="65"/>
          <w:sz w:val="18"/>
          <w:szCs w:val="18"/>
          <w:lang w:val="uk-UA"/>
        </w:rPr>
        <w:t>[0.79,</w:t>
      </w:r>
      <w:r w:rsidRPr="000F63AB">
        <w:rPr>
          <w:rFonts w:ascii="Trebuchet MS"/>
          <w:spacing w:val="16"/>
          <w:sz w:val="18"/>
          <w:szCs w:val="18"/>
          <w:lang w:val="uk-UA"/>
        </w:rPr>
        <w:t xml:space="preserve"> </w:t>
      </w:r>
      <w:r w:rsidRPr="000F63AB">
        <w:rPr>
          <w:rFonts w:ascii="Trebuchet MS"/>
          <w:spacing w:val="-2"/>
          <w:w w:val="65"/>
          <w:sz w:val="18"/>
          <w:szCs w:val="18"/>
          <w:lang w:val="uk-UA"/>
        </w:rPr>
        <w:t>1.00]</w:t>
      </w:r>
    </w:p>
    <w:p w14:paraId="027E7F4D" w14:textId="77777777" w:rsidR="00E05B98" w:rsidRPr="000F63AB" w:rsidRDefault="00B01E0C">
      <w:pPr>
        <w:spacing w:before="39"/>
        <w:ind w:left="320"/>
        <w:rPr>
          <w:rFonts w:ascii="Trebuchet MS"/>
          <w:sz w:val="18"/>
          <w:szCs w:val="18"/>
          <w:lang w:val="uk-UA"/>
        </w:rPr>
      </w:pPr>
      <w:r w:rsidRPr="000F63AB">
        <w:rPr>
          <w:rFonts w:ascii="Trebuchet MS"/>
          <w:w w:val="65"/>
          <w:sz w:val="18"/>
          <w:szCs w:val="18"/>
          <w:lang w:val="uk-UA"/>
        </w:rPr>
        <w:t>0.94</w:t>
      </w:r>
      <w:r w:rsidRPr="000F63AB">
        <w:rPr>
          <w:rFonts w:ascii="Trebuchet MS"/>
          <w:spacing w:val="9"/>
          <w:sz w:val="18"/>
          <w:szCs w:val="18"/>
          <w:lang w:val="uk-UA"/>
        </w:rPr>
        <w:t xml:space="preserve"> </w:t>
      </w:r>
      <w:r w:rsidRPr="000F63AB">
        <w:rPr>
          <w:rFonts w:ascii="Trebuchet MS"/>
          <w:w w:val="65"/>
          <w:sz w:val="18"/>
          <w:szCs w:val="18"/>
          <w:lang w:val="uk-UA"/>
        </w:rPr>
        <w:t>[0.91,</w:t>
      </w:r>
      <w:r w:rsidRPr="000F63AB">
        <w:rPr>
          <w:rFonts w:ascii="Trebuchet MS"/>
          <w:spacing w:val="16"/>
          <w:sz w:val="18"/>
          <w:szCs w:val="18"/>
          <w:lang w:val="uk-UA"/>
        </w:rPr>
        <w:t xml:space="preserve"> </w:t>
      </w:r>
      <w:r w:rsidRPr="000F63AB">
        <w:rPr>
          <w:rFonts w:ascii="Trebuchet MS"/>
          <w:spacing w:val="-2"/>
          <w:w w:val="65"/>
          <w:sz w:val="18"/>
          <w:szCs w:val="18"/>
          <w:lang w:val="uk-UA"/>
        </w:rPr>
        <w:t>0.97]</w:t>
      </w:r>
    </w:p>
    <w:p w14:paraId="49E66E4F" w14:textId="77777777" w:rsidR="00E05B98" w:rsidRPr="000F63AB" w:rsidRDefault="00B01E0C">
      <w:pPr>
        <w:spacing w:before="38"/>
        <w:ind w:left="320"/>
        <w:rPr>
          <w:rFonts w:ascii="Trebuchet MS"/>
          <w:sz w:val="18"/>
          <w:szCs w:val="18"/>
          <w:lang w:val="uk-UA"/>
        </w:rPr>
      </w:pPr>
      <w:r w:rsidRPr="000F63AB">
        <w:rPr>
          <w:rFonts w:ascii="Trebuchet MS"/>
          <w:w w:val="65"/>
          <w:sz w:val="18"/>
          <w:szCs w:val="18"/>
          <w:lang w:val="uk-UA"/>
        </w:rPr>
        <w:t>0.70</w:t>
      </w:r>
      <w:r w:rsidRPr="000F63AB">
        <w:rPr>
          <w:rFonts w:ascii="Trebuchet MS"/>
          <w:spacing w:val="9"/>
          <w:sz w:val="18"/>
          <w:szCs w:val="18"/>
          <w:lang w:val="uk-UA"/>
        </w:rPr>
        <w:t xml:space="preserve"> </w:t>
      </w:r>
      <w:r w:rsidRPr="000F63AB">
        <w:rPr>
          <w:rFonts w:ascii="Trebuchet MS"/>
          <w:w w:val="65"/>
          <w:sz w:val="18"/>
          <w:szCs w:val="18"/>
          <w:lang w:val="uk-UA"/>
        </w:rPr>
        <w:t>[0.56,</w:t>
      </w:r>
      <w:r w:rsidRPr="000F63AB">
        <w:rPr>
          <w:rFonts w:ascii="Trebuchet MS"/>
          <w:spacing w:val="16"/>
          <w:sz w:val="18"/>
          <w:szCs w:val="18"/>
          <w:lang w:val="uk-UA"/>
        </w:rPr>
        <w:t xml:space="preserve"> </w:t>
      </w:r>
      <w:r w:rsidRPr="000F63AB">
        <w:rPr>
          <w:rFonts w:ascii="Trebuchet MS"/>
          <w:spacing w:val="-2"/>
          <w:w w:val="65"/>
          <w:sz w:val="18"/>
          <w:szCs w:val="18"/>
          <w:lang w:val="uk-UA"/>
        </w:rPr>
        <w:t>0.81]</w:t>
      </w:r>
    </w:p>
    <w:p w14:paraId="2822B587" w14:textId="77777777" w:rsidR="00E05B98" w:rsidRPr="000F63AB" w:rsidRDefault="00B01E0C">
      <w:pPr>
        <w:spacing w:before="39"/>
        <w:ind w:left="320"/>
        <w:rPr>
          <w:rFonts w:ascii="Trebuchet MS"/>
          <w:sz w:val="18"/>
          <w:szCs w:val="18"/>
          <w:lang w:val="uk-UA"/>
        </w:rPr>
      </w:pPr>
      <w:r w:rsidRPr="000F63AB">
        <w:rPr>
          <w:rFonts w:ascii="Trebuchet MS"/>
          <w:w w:val="65"/>
          <w:sz w:val="18"/>
          <w:szCs w:val="18"/>
          <w:lang w:val="uk-UA"/>
        </w:rPr>
        <w:t>0.91</w:t>
      </w:r>
      <w:r w:rsidRPr="000F63AB">
        <w:rPr>
          <w:rFonts w:ascii="Trebuchet MS"/>
          <w:spacing w:val="9"/>
          <w:sz w:val="18"/>
          <w:szCs w:val="18"/>
          <w:lang w:val="uk-UA"/>
        </w:rPr>
        <w:t xml:space="preserve"> </w:t>
      </w:r>
      <w:r w:rsidRPr="000F63AB">
        <w:rPr>
          <w:rFonts w:ascii="Trebuchet MS"/>
          <w:w w:val="65"/>
          <w:sz w:val="18"/>
          <w:szCs w:val="18"/>
          <w:lang w:val="uk-UA"/>
        </w:rPr>
        <w:t>[0.85,</w:t>
      </w:r>
      <w:r w:rsidRPr="000F63AB">
        <w:rPr>
          <w:rFonts w:ascii="Trebuchet MS"/>
          <w:spacing w:val="16"/>
          <w:sz w:val="18"/>
          <w:szCs w:val="18"/>
          <w:lang w:val="uk-UA"/>
        </w:rPr>
        <w:t xml:space="preserve"> </w:t>
      </w:r>
      <w:r w:rsidRPr="000F63AB">
        <w:rPr>
          <w:rFonts w:ascii="Trebuchet MS"/>
          <w:spacing w:val="-2"/>
          <w:w w:val="65"/>
          <w:sz w:val="18"/>
          <w:szCs w:val="18"/>
          <w:lang w:val="uk-UA"/>
        </w:rPr>
        <w:t>0.95]</w:t>
      </w:r>
    </w:p>
    <w:p w14:paraId="569ACAF1" w14:textId="77777777" w:rsidR="00E05B98" w:rsidRPr="000F63AB" w:rsidRDefault="00B01E0C">
      <w:pPr>
        <w:spacing w:before="38"/>
        <w:ind w:left="320"/>
        <w:rPr>
          <w:rFonts w:ascii="Trebuchet MS"/>
          <w:sz w:val="18"/>
          <w:szCs w:val="18"/>
          <w:lang w:val="uk-UA"/>
        </w:rPr>
      </w:pPr>
      <w:r w:rsidRPr="000F63AB">
        <w:rPr>
          <w:rFonts w:ascii="Trebuchet MS"/>
          <w:w w:val="65"/>
          <w:sz w:val="18"/>
          <w:szCs w:val="18"/>
          <w:lang w:val="uk-UA"/>
        </w:rPr>
        <w:t>0.99</w:t>
      </w:r>
      <w:r w:rsidRPr="000F63AB">
        <w:rPr>
          <w:rFonts w:ascii="Trebuchet MS"/>
          <w:spacing w:val="9"/>
          <w:sz w:val="18"/>
          <w:szCs w:val="18"/>
          <w:lang w:val="uk-UA"/>
        </w:rPr>
        <w:t xml:space="preserve"> </w:t>
      </w:r>
      <w:r w:rsidRPr="000F63AB">
        <w:rPr>
          <w:rFonts w:ascii="Trebuchet MS"/>
          <w:w w:val="65"/>
          <w:sz w:val="18"/>
          <w:szCs w:val="18"/>
          <w:lang w:val="uk-UA"/>
        </w:rPr>
        <w:t>[0.98,</w:t>
      </w:r>
      <w:r w:rsidRPr="000F63AB">
        <w:rPr>
          <w:rFonts w:ascii="Trebuchet MS"/>
          <w:spacing w:val="16"/>
          <w:sz w:val="18"/>
          <w:szCs w:val="18"/>
          <w:lang w:val="uk-UA"/>
        </w:rPr>
        <w:t xml:space="preserve"> </w:t>
      </w:r>
      <w:r w:rsidRPr="000F63AB">
        <w:rPr>
          <w:rFonts w:ascii="Trebuchet MS"/>
          <w:spacing w:val="-2"/>
          <w:w w:val="65"/>
          <w:sz w:val="18"/>
          <w:szCs w:val="18"/>
          <w:lang w:val="uk-UA"/>
        </w:rPr>
        <w:t>1.00]</w:t>
      </w:r>
    </w:p>
    <w:p w14:paraId="0B6863A9" w14:textId="77777777" w:rsidR="00E05B98" w:rsidRPr="003C6DAE" w:rsidRDefault="00B01E0C">
      <w:pPr>
        <w:spacing w:before="107"/>
        <w:ind w:left="159"/>
        <w:rPr>
          <w:rFonts w:ascii="Trebuchet MS"/>
          <w:sz w:val="19"/>
          <w:lang w:val="uk-UA"/>
        </w:rPr>
      </w:pPr>
      <w:r w:rsidRPr="000F63AB">
        <w:rPr>
          <w:sz w:val="18"/>
          <w:szCs w:val="18"/>
          <w:lang w:val="uk-UA"/>
        </w:rPr>
        <w:br w:type="column"/>
      </w:r>
      <w:r w:rsidRPr="003C6DAE">
        <w:rPr>
          <w:rFonts w:ascii="Trebuchet MS"/>
          <w:color w:val="333333"/>
          <w:w w:val="70"/>
          <w:sz w:val="19"/>
          <w:lang w:val="uk-UA"/>
        </w:rPr>
        <w:t>S</w:t>
      </w:r>
      <w:r w:rsidRPr="003C6DAE">
        <w:rPr>
          <w:rFonts w:ascii="Trebuchet MS"/>
          <w:color w:val="333333"/>
          <w:spacing w:val="-1"/>
          <w:w w:val="70"/>
          <w:sz w:val="19"/>
          <w:lang w:val="uk-UA"/>
        </w:rPr>
        <w:t xml:space="preserve"> </w:t>
      </w:r>
      <w:proofErr w:type="spellStart"/>
      <w:r w:rsidRPr="003C6DAE">
        <w:rPr>
          <w:rFonts w:ascii="Trebuchet MS"/>
          <w:color w:val="333333"/>
          <w:w w:val="70"/>
          <w:sz w:val="19"/>
          <w:lang w:val="uk-UA"/>
        </w:rPr>
        <w:t>ens</w:t>
      </w:r>
      <w:proofErr w:type="spellEnd"/>
      <w:r w:rsidRPr="003C6DAE">
        <w:rPr>
          <w:rFonts w:ascii="Trebuchet MS"/>
          <w:color w:val="333333"/>
          <w:spacing w:val="-5"/>
          <w:w w:val="70"/>
          <w:sz w:val="19"/>
          <w:lang w:val="uk-UA"/>
        </w:rPr>
        <w:t xml:space="preserve"> </w:t>
      </w:r>
      <w:proofErr w:type="spellStart"/>
      <w:r w:rsidRPr="003C6DAE">
        <w:rPr>
          <w:rFonts w:ascii="Trebuchet MS"/>
          <w:color w:val="333333"/>
          <w:w w:val="70"/>
          <w:sz w:val="19"/>
          <w:lang w:val="uk-UA"/>
        </w:rPr>
        <w:t>itivity</w:t>
      </w:r>
      <w:proofErr w:type="spellEnd"/>
      <w:r w:rsidRPr="003C6DAE">
        <w:rPr>
          <w:rFonts w:ascii="Trebuchet MS"/>
          <w:color w:val="333333"/>
          <w:spacing w:val="22"/>
          <w:sz w:val="19"/>
          <w:lang w:val="uk-UA"/>
        </w:rPr>
        <w:t xml:space="preserve"> </w:t>
      </w:r>
      <w:r w:rsidRPr="003C6DAE">
        <w:rPr>
          <w:rFonts w:ascii="Trebuchet MS"/>
          <w:color w:val="333333"/>
          <w:w w:val="70"/>
          <w:sz w:val="19"/>
          <w:lang w:val="uk-UA"/>
        </w:rPr>
        <w:t>(95%</w:t>
      </w:r>
      <w:r w:rsidRPr="003C6DAE">
        <w:rPr>
          <w:rFonts w:ascii="Trebuchet MS"/>
          <w:color w:val="333333"/>
          <w:spacing w:val="26"/>
          <w:sz w:val="19"/>
          <w:lang w:val="uk-UA"/>
        </w:rPr>
        <w:t xml:space="preserve"> </w:t>
      </w:r>
      <w:r w:rsidRPr="003C6DAE">
        <w:rPr>
          <w:rFonts w:ascii="Trebuchet MS"/>
          <w:color w:val="333333"/>
          <w:w w:val="70"/>
          <w:sz w:val="19"/>
          <w:lang w:val="uk-UA"/>
        </w:rPr>
        <w:t>C</w:t>
      </w:r>
      <w:r w:rsidRPr="003C6DAE">
        <w:rPr>
          <w:rFonts w:ascii="Trebuchet MS"/>
          <w:color w:val="333333"/>
          <w:spacing w:val="-8"/>
          <w:w w:val="70"/>
          <w:sz w:val="19"/>
          <w:lang w:val="uk-UA"/>
        </w:rPr>
        <w:t xml:space="preserve"> </w:t>
      </w:r>
      <w:r w:rsidRPr="003C6DAE">
        <w:rPr>
          <w:rFonts w:ascii="Trebuchet MS"/>
          <w:color w:val="333333"/>
          <w:spacing w:val="-5"/>
          <w:w w:val="70"/>
          <w:sz w:val="19"/>
          <w:lang w:val="uk-UA"/>
        </w:rPr>
        <w:t>I)</w:t>
      </w:r>
    </w:p>
    <w:p w14:paraId="3EC3F148" w14:textId="77777777" w:rsidR="00E05B98" w:rsidRPr="003C6DAE" w:rsidRDefault="00B01E0C">
      <w:pPr>
        <w:pStyle w:val="a3"/>
        <w:spacing w:before="5"/>
        <w:rPr>
          <w:rFonts w:ascii="Trebuchet MS"/>
          <w:sz w:val="5"/>
          <w:lang w:val="uk-UA"/>
        </w:rPr>
      </w:pPr>
      <w:r w:rsidRPr="003C6DAE">
        <w:rPr>
          <w:rFonts w:ascii="Trebuchet MS"/>
          <w:noProof/>
          <w:sz w:val="5"/>
          <w:lang w:val="uk-UA"/>
        </w:rPr>
        <mc:AlternateContent>
          <mc:Choice Requires="wpg">
            <w:drawing>
              <wp:anchor distT="0" distB="0" distL="0" distR="0" simplePos="0" relativeHeight="487851008" behindDoc="1" locked="0" layoutInCell="1" allowOverlap="1" wp14:anchorId="5D158208" wp14:editId="133211B2">
                <wp:simplePos x="0" y="0"/>
                <wp:positionH relativeFrom="page">
                  <wp:posOffset>5063098</wp:posOffset>
                </wp:positionH>
                <wp:positionV relativeFrom="paragraph">
                  <wp:posOffset>55591</wp:posOffset>
                </wp:positionV>
                <wp:extent cx="206375" cy="72390"/>
                <wp:effectExtent l="0" t="0" r="0" b="0"/>
                <wp:wrapTopAndBottom/>
                <wp:docPr id="1555"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 cy="72390"/>
                          <a:chOff x="0" y="0"/>
                          <a:chExt cx="206375" cy="72390"/>
                        </a:xfrm>
                      </wpg:grpSpPr>
                      <wps:wsp>
                        <wps:cNvPr id="1556" name="Graphic 1556"/>
                        <wps:cNvSpPr/>
                        <wps:spPr>
                          <a:xfrm>
                            <a:off x="0" y="30843"/>
                            <a:ext cx="206375" cy="1270"/>
                          </a:xfrm>
                          <a:custGeom>
                            <a:avLst/>
                            <a:gdLst/>
                            <a:ahLst/>
                            <a:cxnLst/>
                            <a:rect l="l" t="t" r="r" b="b"/>
                            <a:pathLst>
                              <a:path w="206375">
                                <a:moveTo>
                                  <a:pt x="0" y="0"/>
                                </a:moveTo>
                                <a:lnTo>
                                  <a:pt x="81734" y="0"/>
                                </a:lnTo>
                              </a:path>
                              <a:path w="206375">
                                <a:moveTo>
                                  <a:pt x="135710" y="0"/>
                                </a:moveTo>
                                <a:lnTo>
                                  <a:pt x="205879" y="0"/>
                                </a:lnTo>
                              </a:path>
                            </a:pathLst>
                          </a:custGeom>
                          <a:ln w="10281">
                            <a:solidFill>
                              <a:srgbClr val="000000"/>
                            </a:solidFill>
                            <a:prstDash val="solid"/>
                          </a:ln>
                        </wps:spPr>
                        <wps:bodyPr wrap="square" lIns="0" tIns="0" rIns="0" bIns="0" rtlCol="0">
                          <a:prstTxWarp prst="textNoShape">
                            <a:avLst/>
                          </a:prstTxWarp>
                          <a:noAutofit/>
                        </wps:bodyPr>
                      </wps:wsp>
                      <wps:wsp>
                        <wps:cNvPr id="1557" name="Graphic 1557"/>
                        <wps:cNvSpPr/>
                        <wps:spPr>
                          <a:xfrm>
                            <a:off x="81734"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9398E86" id="Group 1555" o:spid="_x0000_s1026" style="position:absolute;margin-left:398.65pt;margin-top:4.4pt;width:16.25pt;height:5.7pt;z-index:-15465472;mso-wrap-distance-left:0;mso-wrap-distance-right:0;mso-position-horizontal-relative:page" coordsize="20637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">
                <v:shape id="Graphic 1556" o:spid="_x0000_s1027" style="position:absolute;top:30843;width:206375;height:1270;visibility:visible;mso-wrap-style:square;v-text-anchor:top" coordsize="206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" path="m,l81734,em135710,r70169,e" filled="f" strokeweight=".28558mm">
                  <v:path arrowok="t"/>
                </v:shape>
                <v:shape id="Graphic 1557" o:spid="_x0000_s1028" style="position:absolute;left:81734;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" path="m53975,71967l,71967,,,53975,r,71967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51520" behindDoc="1" locked="0" layoutInCell="1" allowOverlap="1" wp14:anchorId="7EDF65E5" wp14:editId="02DD9C48">
                <wp:simplePos x="0" y="0"/>
                <wp:positionH relativeFrom="page">
                  <wp:posOffset>5055001</wp:posOffset>
                </wp:positionH>
                <wp:positionV relativeFrom="paragraph">
                  <wp:posOffset>220089</wp:posOffset>
                </wp:positionV>
                <wp:extent cx="250825" cy="72390"/>
                <wp:effectExtent l="0" t="0" r="0" b="0"/>
                <wp:wrapTopAndBottom/>
                <wp:docPr id="1558" name="Group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825" cy="72390"/>
                          <a:chOff x="0" y="0"/>
                          <a:chExt cx="250825" cy="72390"/>
                        </a:xfrm>
                      </wpg:grpSpPr>
                      <wps:wsp>
                        <wps:cNvPr id="1559" name="Graphic 1559"/>
                        <wps:cNvSpPr/>
                        <wps:spPr>
                          <a:xfrm>
                            <a:off x="0" y="30842"/>
                            <a:ext cx="250825" cy="1270"/>
                          </a:xfrm>
                          <a:custGeom>
                            <a:avLst/>
                            <a:gdLst/>
                            <a:ahLst/>
                            <a:cxnLst/>
                            <a:rect l="l" t="t" r="r" b="b"/>
                            <a:pathLst>
                              <a:path w="250825">
                                <a:moveTo>
                                  <a:pt x="0" y="0"/>
                                </a:moveTo>
                                <a:lnTo>
                                  <a:pt x="105638" y="0"/>
                                </a:lnTo>
                              </a:path>
                              <a:path w="250825">
                                <a:moveTo>
                                  <a:pt x="159614" y="0"/>
                                </a:moveTo>
                                <a:lnTo>
                                  <a:pt x="250217" y="0"/>
                                </a:lnTo>
                              </a:path>
                            </a:pathLst>
                          </a:custGeom>
                          <a:ln w="10281">
                            <a:solidFill>
                              <a:srgbClr val="000000"/>
                            </a:solidFill>
                            <a:prstDash val="solid"/>
                          </a:ln>
                        </wps:spPr>
                        <wps:bodyPr wrap="square" lIns="0" tIns="0" rIns="0" bIns="0" rtlCol="0">
                          <a:prstTxWarp prst="textNoShape">
                            <a:avLst/>
                          </a:prstTxWarp>
                          <a:noAutofit/>
                        </wps:bodyPr>
                      </wps:wsp>
                      <wps:wsp>
                        <wps:cNvPr id="1560" name="Graphic 1560"/>
                        <wps:cNvSpPr/>
                        <wps:spPr>
                          <a:xfrm>
                            <a:off x="105638" y="0"/>
                            <a:ext cx="53975" cy="72390"/>
                          </a:xfrm>
                          <a:custGeom>
                            <a:avLst/>
                            <a:gdLst/>
                            <a:ahLst/>
                            <a:cxnLst/>
                            <a:rect l="l" t="t" r="r" b="b"/>
                            <a:pathLst>
                              <a:path w="53975" h="72390">
                                <a:moveTo>
                                  <a:pt x="53975" y="71968"/>
                                </a:moveTo>
                                <a:lnTo>
                                  <a:pt x="0" y="71968"/>
                                </a:lnTo>
                                <a:lnTo>
                                  <a:pt x="0" y="0"/>
                                </a:lnTo>
                                <a:lnTo>
                                  <a:pt x="53975" y="0"/>
                                </a:lnTo>
                                <a:lnTo>
                                  <a:pt x="53975" y="7196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0D9B27B" id="Group 1558" o:spid="_x0000_s1026" style="position:absolute;margin-left:398.05pt;margin-top:17.35pt;width:19.75pt;height:5.7pt;z-index:-15464960;mso-wrap-distance-left:0;mso-wrap-distance-right:0;mso-position-horizontal-relative:page" coordsize="25082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">
                <v:shape id="Graphic 1559" o:spid="_x0000_s1027" style="position:absolute;top:30842;width:250825;height:1270;visibility:visible;mso-wrap-style:square;v-text-anchor:top" coordsize="250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" path="m,l105638,em159614,r90603,e" filled="f" strokeweight=".28558mm">
                  <v:path arrowok="t"/>
                </v:shape>
                <v:shape id="Graphic 1560" o:spid="_x0000_s1028" style="position:absolute;left:105638;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" path="m53975,71968l,71968,,,53975,r,71968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52032" behindDoc="1" locked="0" layoutInCell="1" allowOverlap="1" wp14:anchorId="64754F07" wp14:editId="0AC115A1">
                <wp:simplePos x="0" y="0"/>
                <wp:positionH relativeFrom="page">
                  <wp:posOffset>5102037</wp:posOffset>
                </wp:positionH>
                <wp:positionV relativeFrom="paragraph">
                  <wp:posOffset>384587</wp:posOffset>
                </wp:positionV>
                <wp:extent cx="287655" cy="72390"/>
                <wp:effectExtent l="0" t="0" r="0" b="0"/>
                <wp:wrapTopAndBottom/>
                <wp:docPr id="1561"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72390"/>
                          <a:chOff x="0" y="0"/>
                          <a:chExt cx="287655" cy="72390"/>
                        </a:xfrm>
                      </wpg:grpSpPr>
                      <wps:wsp>
                        <wps:cNvPr id="1562" name="Graphic 1562"/>
                        <wps:cNvSpPr/>
                        <wps:spPr>
                          <a:xfrm>
                            <a:off x="0" y="30842"/>
                            <a:ext cx="287655" cy="1270"/>
                          </a:xfrm>
                          <a:custGeom>
                            <a:avLst/>
                            <a:gdLst/>
                            <a:ahLst/>
                            <a:cxnLst/>
                            <a:rect l="l" t="t" r="r" b="b"/>
                            <a:pathLst>
                              <a:path w="287655">
                                <a:moveTo>
                                  <a:pt x="0" y="0"/>
                                </a:moveTo>
                                <a:lnTo>
                                  <a:pt x="131470" y="0"/>
                                </a:lnTo>
                              </a:path>
                              <a:path w="287655">
                                <a:moveTo>
                                  <a:pt x="185446" y="0"/>
                                </a:moveTo>
                                <a:lnTo>
                                  <a:pt x="287229" y="0"/>
                                </a:lnTo>
                              </a:path>
                            </a:pathLst>
                          </a:custGeom>
                          <a:ln w="10281">
                            <a:solidFill>
                              <a:srgbClr val="000000"/>
                            </a:solidFill>
                            <a:prstDash val="solid"/>
                          </a:ln>
                        </wps:spPr>
                        <wps:bodyPr wrap="square" lIns="0" tIns="0" rIns="0" bIns="0" rtlCol="0">
                          <a:prstTxWarp prst="textNoShape">
                            <a:avLst/>
                          </a:prstTxWarp>
                          <a:noAutofit/>
                        </wps:bodyPr>
                      </wps:wsp>
                      <wps:wsp>
                        <wps:cNvPr id="1563" name="Graphic 1563"/>
                        <wps:cNvSpPr/>
                        <wps:spPr>
                          <a:xfrm>
                            <a:off x="131470"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5462EAD" id="Group 1561" o:spid="_x0000_s1026" style="position:absolute;margin-left:401.75pt;margin-top:30.3pt;width:22.65pt;height:5.7pt;z-index:-15464448;mso-wrap-distance-left:0;mso-wrap-distance-right:0;mso-position-horizontal-relative:page" coordsize="28765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">
                <v:shape id="Graphic 1562" o:spid="_x0000_s1027" style="position:absolute;top:30842;width:287655;height:1270;visibility:visible;mso-wrap-style:square;v-text-anchor:top" coordsize="287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" path="m,l131470,em185446,l287229,e" filled="f" strokeweight=".28558mm">
                  <v:path arrowok="t"/>
                </v:shape>
                <v:shape id="Graphic 1563" o:spid="_x0000_s1028" style="position:absolute;left:131470;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" path="m53975,71967l,71967,,,53975,r,71967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52544" behindDoc="1" locked="0" layoutInCell="1" allowOverlap="1" wp14:anchorId="6D1BA65D" wp14:editId="2C67800F">
                <wp:simplePos x="0" y="0"/>
                <wp:positionH relativeFrom="page">
                  <wp:posOffset>5243917</wp:posOffset>
                </wp:positionH>
                <wp:positionV relativeFrom="paragraph">
                  <wp:posOffset>549085</wp:posOffset>
                </wp:positionV>
                <wp:extent cx="121285" cy="72390"/>
                <wp:effectExtent l="0" t="0" r="0" b="0"/>
                <wp:wrapTopAndBottom/>
                <wp:docPr id="1564"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285" cy="72390"/>
                          <a:chOff x="0" y="0"/>
                          <a:chExt cx="121285" cy="72390"/>
                        </a:xfrm>
                      </wpg:grpSpPr>
                      <wps:wsp>
                        <wps:cNvPr id="1565" name="Graphic 1565"/>
                        <wps:cNvSpPr/>
                        <wps:spPr>
                          <a:xfrm>
                            <a:off x="0" y="30842"/>
                            <a:ext cx="121285" cy="1270"/>
                          </a:xfrm>
                          <a:custGeom>
                            <a:avLst/>
                            <a:gdLst/>
                            <a:ahLst/>
                            <a:cxnLst/>
                            <a:rect l="l" t="t" r="r" b="b"/>
                            <a:pathLst>
                              <a:path w="121285">
                                <a:moveTo>
                                  <a:pt x="0" y="0"/>
                                </a:moveTo>
                                <a:lnTo>
                                  <a:pt x="40481" y="0"/>
                                </a:lnTo>
                              </a:path>
                              <a:path w="121285">
                                <a:moveTo>
                                  <a:pt x="94457" y="0"/>
                                </a:moveTo>
                                <a:lnTo>
                                  <a:pt x="121060" y="0"/>
                                </a:lnTo>
                              </a:path>
                            </a:pathLst>
                          </a:custGeom>
                          <a:ln w="10281">
                            <a:solidFill>
                              <a:srgbClr val="000000"/>
                            </a:solidFill>
                            <a:prstDash val="solid"/>
                          </a:ln>
                        </wps:spPr>
                        <wps:bodyPr wrap="square" lIns="0" tIns="0" rIns="0" bIns="0" rtlCol="0">
                          <a:prstTxWarp prst="textNoShape">
                            <a:avLst/>
                          </a:prstTxWarp>
                          <a:noAutofit/>
                        </wps:bodyPr>
                      </wps:wsp>
                      <wps:wsp>
                        <wps:cNvPr id="1566" name="Graphic 1566"/>
                        <wps:cNvSpPr/>
                        <wps:spPr>
                          <a:xfrm>
                            <a:off x="40481"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DCB85EF" id="Group 1564" o:spid="_x0000_s1026" style="position:absolute;margin-left:412.9pt;margin-top:43.25pt;width:9.55pt;height:5.7pt;z-index:-15463936;mso-wrap-distance-left:0;mso-wrap-distance-right:0;mso-position-horizontal-relative:page" coordsize="12128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">
                <v:shape id="Graphic 1565" o:spid="_x0000_s1027" style="position:absolute;top:30842;width:121285;height:1270;visibility:visible;mso-wrap-style:square;v-text-anchor:top" coordsize="121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" path="m,l40481,em94457,r26603,e" filled="f" strokeweight=".28558mm">
                  <v:path arrowok="t"/>
                </v:shape>
                <v:shape id="Graphic 1566" o:spid="_x0000_s1028" style="position:absolute;left:40481;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" path="m53975,71967l,71967,,,53975,r,71967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53056" behindDoc="1" locked="0" layoutInCell="1" allowOverlap="1" wp14:anchorId="606E5374" wp14:editId="19A87D42">
                <wp:simplePos x="0" y="0"/>
                <wp:positionH relativeFrom="page">
                  <wp:posOffset>5263580</wp:posOffset>
                </wp:positionH>
                <wp:positionV relativeFrom="paragraph">
                  <wp:posOffset>713583</wp:posOffset>
                </wp:positionV>
                <wp:extent cx="87630" cy="72390"/>
                <wp:effectExtent l="0" t="0" r="0" b="0"/>
                <wp:wrapTopAndBottom/>
                <wp:docPr id="1567"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 cy="72390"/>
                          <a:chOff x="0" y="0"/>
                          <a:chExt cx="87630" cy="72390"/>
                        </a:xfrm>
                      </wpg:grpSpPr>
                      <wps:wsp>
                        <wps:cNvPr id="1568" name="Graphic 1568"/>
                        <wps:cNvSpPr/>
                        <wps:spPr>
                          <a:xfrm>
                            <a:off x="0" y="30843"/>
                            <a:ext cx="87630" cy="1270"/>
                          </a:xfrm>
                          <a:custGeom>
                            <a:avLst/>
                            <a:gdLst/>
                            <a:ahLst/>
                            <a:cxnLst/>
                            <a:rect l="l" t="t" r="r" b="b"/>
                            <a:pathLst>
                              <a:path w="87630">
                                <a:moveTo>
                                  <a:pt x="0" y="0"/>
                                </a:moveTo>
                                <a:lnTo>
                                  <a:pt x="22361" y="0"/>
                                </a:lnTo>
                              </a:path>
                              <a:path w="87630">
                                <a:moveTo>
                                  <a:pt x="76337" y="0"/>
                                </a:moveTo>
                                <a:lnTo>
                                  <a:pt x="87518" y="0"/>
                                </a:lnTo>
                              </a:path>
                            </a:pathLst>
                          </a:custGeom>
                          <a:ln w="10281">
                            <a:solidFill>
                              <a:srgbClr val="000000"/>
                            </a:solidFill>
                            <a:prstDash val="solid"/>
                          </a:ln>
                        </wps:spPr>
                        <wps:bodyPr wrap="square" lIns="0" tIns="0" rIns="0" bIns="0" rtlCol="0">
                          <a:prstTxWarp prst="textNoShape">
                            <a:avLst/>
                          </a:prstTxWarp>
                          <a:noAutofit/>
                        </wps:bodyPr>
                      </wps:wsp>
                      <wps:wsp>
                        <wps:cNvPr id="1569" name="Graphic 1569"/>
                        <wps:cNvSpPr/>
                        <wps:spPr>
                          <a:xfrm>
                            <a:off x="22361" y="0"/>
                            <a:ext cx="53975" cy="72390"/>
                          </a:xfrm>
                          <a:custGeom>
                            <a:avLst/>
                            <a:gdLst/>
                            <a:ahLst/>
                            <a:cxnLst/>
                            <a:rect l="l" t="t" r="r" b="b"/>
                            <a:pathLst>
                              <a:path w="53975" h="72390">
                                <a:moveTo>
                                  <a:pt x="53976" y="71967"/>
                                </a:moveTo>
                                <a:lnTo>
                                  <a:pt x="0" y="71967"/>
                                </a:lnTo>
                                <a:lnTo>
                                  <a:pt x="0" y="0"/>
                                </a:lnTo>
                                <a:lnTo>
                                  <a:pt x="53976" y="0"/>
                                </a:lnTo>
                                <a:lnTo>
                                  <a:pt x="53976"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340EBE5" id="Group 1567" o:spid="_x0000_s1026" style="position:absolute;margin-left:414.45pt;margin-top:56.2pt;width:6.9pt;height:5.7pt;z-index:-15463424;mso-wrap-distance-left:0;mso-wrap-distance-right:0;mso-position-horizontal-relative:page" coordsize="8763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">
                <v:shape id="Graphic 1568" o:spid="_x0000_s1027" style="position:absolute;top:30843;width:87630;height:1270;visibility:visible;mso-wrap-style:square;v-text-anchor:top" coordsize="87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" path="m,l22361,em76337,l87518,e" filled="f" strokeweight=".28558mm">
                  <v:path arrowok="t"/>
                </v:shape>
                <v:shape id="Graphic 1569" o:spid="_x0000_s1028" style="position:absolute;left:22361;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" path="m53976,71967l,71967,,,53976,r,71967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53568" behindDoc="1" locked="0" layoutInCell="1" allowOverlap="1" wp14:anchorId="0ACD123A" wp14:editId="6FDA11F2">
                <wp:simplePos x="0" y="0"/>
                <wp:positionH relativeFrom="page">
                  <wp:posOffset>5257026</wp:posOffset>
                </wp:positionH>
                <wp:positionV relativeFrom="paragraph">
                  <wp:posOffset>878081</wp:posOffset>
                </wp:positionV>
                <wp:extent cx="131445" cy="72390"/>
                <wp:effectExtent l="0" t="0" r="0" b="0"/>
                <wp:wrapTopAndBottom/>
                <wp:docPr id="1570" name="Group 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72390"/>
                          <a:chOff x="0" y="0"/>
                          <a:chExt cx="131445" cy="72390"/>
                        </a:xfrm>
                      </wpg:grpSpPr>
                      <wps:wsp>
                        <wps:cNvPr id="1571" name="Graphic 1571"/>
                        <wps:cNvSpPr/>
                        <wps:spPr>
                          <a:xfrm>
                            <a:off x="0" y="30843"/>
                            <a:ext cx="131445" cy="1270"/>
                          </a:xfrm>
                          <a:custGeom>
                            <a:avLst/>
                            <a:gdLst/>
                            <a:ahLst/>
                            <a:cxnLst/>
                            <a:rect l="l" t="t" r="r" b="b"/>
                            <a:pathLst>
                              <a:path w="131445">
                                <a:moveTo>
                                  <a:pt x="0" y="0"/>
                                </a:moveTo>
                                <a:lnTo>
                                  <a:pt x="46265" y="0"/>
                                </a:lnTo>
                              </a:path>
                              <a:path w="131445">
                                <a:moveTo>
                                  <a:pt x="100241" y="0"/>
                                </a:moveTo>
                                <a:lnTo>
                                  <a:pt x="131084" y="0"/>
                                </a:lnTo>
                              </a:path>
                            </a:pathLst>
                          </a:custGeom>
                          <a:ln w="10281">
                            <a:solidFill>
                              <a:srgbClr val="000000"/>
                            </a:solidFill>
                            <a:prstDash val="solid"/>
                          </a:ln>
                        </wps:spPr>
                        <wps:bodyPr wrap="square" lIns="0" tIns="0" rIns="0" bIns="0" rtlCol="0">
                          <a:prstTxWarp prst="textNoShape">
                            <a:avLst/>
                          </a:prstTxWarp>
                          <a:noAutofit/>
                        </wps:bodyPr>
                      </wps:wsp>
                      <wps:wsp>
                        <wps:cNvPr id="1572" name="Graphic 1572"/>
                        <wps:cNvSpPr/>
                        <wps:spPr>
                          <a:xfrm>
                            <a:off x="46265"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47118C0" id="Group 1570" o:spid="_x0000_s1026" style="position:absolute;margin-left:413.95pt;margin-top:69.15pt;width:10.35pt;height:5.7pt;z-index:-15462912;mso-wrap-distance-left:0;mso-wrap-distance-right:0;mso-position-horizontal-relative:page" coordsize="13144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">
                <v:shape id="Graphic 1571" o:spid="_x0000_s1027" style="position:absolute;top:30843;width:131445;height:1270;visibility:visible;mso-wrap-style:square;v-text-anchor:top" coordsize="131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" path="m,l46265,em100241,r30843,e" filled="f" strokeweight=".28558mm">
                  <v:path arrowok="t"/>
                </v:shape>
                <v:shape id="Graphic 1572" o:spid="_x0000_s1028" style="position:absolute;left:46265;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" path="m53975,71967l,71967,,,53975,r,71967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54080" behindDoc="1" locked="0" layoutInCell="1" allowOverlap="1" wp14:anchorId="6F2315FC" wp14:editId="1BEF659E">
                <wp:simplePos x="0" y="0"/>
                <wp:positionH relativeFrom="page">
                  <wp:posOffset>5307532</wp:posOffset>
                </wp:positionH>
                <wp:positionV relativeFrom="paragraph">
                  <wp:posOffset>1042579</wp:posOffset>
                </wp:positionV>
                <wp:extent cx="78105" cy="72390"/>
                <wp:effectExtent l="0" t="0" r="0" b="0"/>
                <wp:wrapTopAndBottom/>
                <wp:docPr id="1573"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 cy="72390"/>
                          <a:chOff x="0" y="0"/>
                          <a:chExt cx="78105" cy="72390"/>
                        </a:xfrm>
                      </wpg:grpSpPr>
                      <wps:wsp>
                        <wps:cNvPr id="1574" name="Graphic 1574"/>
                        <wps:cNvSpPr/>
                        <wps:spPr>
                          <a:xfrm>
                            <a:off x="0" y="30843"/>
                            <a:ext cx="17780" cy="1270"/>
                          </a:xfrm>
                          <a:custGeom>
                            <a:avLst/>
                            <a:gdLst/>
                            <a:ahLst/>
                            <a:cxnLst/>
                            <a:rect l="l" t="t" r="r" b="b"/>
                            <a:pathLst>
                              <a:path w="17780">
                                <a:moveTo>
                                  <a:pt x="0" y="0"/>
                                </a:moveTo>
                                <a:lnTo>
                                  <a:pt x="17349" y="0"/>
                                </a:lnTo>
                              </a:path>
                            </a:pathLst>
                          </a:custGeom>
                          <a:ln w="10281">
                            <a:solidFill>
                              <a:srgbClr val="000000"/>
                            </a:solidFill>
                            <a:prstDash val="solid"/>
                          </a:ln>
                        </wps:spPr>
                        <wps:bodyPr wrap="square" lIns="0" tIns="0" rIns="0" bIns="0" rtlCol="0">
                          <a:prstTxWarp prst="textNoShape">
                            <a:avLst/>
                          </a:prstTxWarp>
                          <a:noAutofit/>
                        </wps:bodyPr>
                      </wps:wsp>
                      <wps:wsp>
                        <wps:cNvPr id="1575" name="Graphic 1575"/>
                        <wps:cNvSpPr/>
                        <wps:spPr>
                          <a:xfrm>
                            <a:off x="74409" y="25702"/>
                            <a:ext cx="1270" cy="10795"/>
                          </a:xfrm>
                          <a:custGeom>
                            <a:avLst/>
                            <a:gdLst/>
                            <a:ahLst/>
                            <a:cxnLst/>
                            <a:rect l="l" t="t" r="r" b="b"/>
                            <a:pathLst>
                              <a:path h="10795">
                                <a:moveTo>
                                  <a:pt x="0" y="0"/>
                                </a:moveTo>
                                <a:lnTo>
                                  <a:pt x="0" y="10281"/>
                                </a:lnTo>
                              </a:path>
                            </a:pathLst>
                          </a:custGeom>
                          <a:ln w="6169">
                            <a:solidFill>
                              <a:srgbClr val="000000"/>
                            </a:solidFill>
                            <a:prstDash val="solid"/>
                          </a:ln>
                        </wps:spPr>
                        <wps:bodyPr wrap="square" lIns="0" tIns="0" rIns="0" bIns="0" rtlCol="0">
                          <a:prstTxWarp prst="textNoShape">
                            <a:avLst/>
                          </a:prstTxWarp>
                          <a:noAutofit/>
                        </wps:bodyPr>
                      </wps:wsp>
                      <wps:wsp>
                        <wps:cNvPr id="1576" name="Graphic 1576"/>
                        <wps:cNvSpPr/>
                        <wps:spPr>
                          <a:xfrm>
                            <a:off x="17349"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B0CD551" id="Group 1573" o:spid="_x0000_s1026" style="position:absolute;margin-left:417.9pt;margin-top:82.1pt;width:6.15pt;height:5.7pt;z-index:-15462400;mso-wrap-distance-left:0;mso-wrap-distance-right:0;mso-position-horizontal-relative:page" coordsize="7810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">
                <v:shape id="Graphic 1574" o:spid="_x0000_s1027" style="position:absolute;top:30843;width:17780;height:1270;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" path="m,l17349,e" filled="f" strokeweight=".28558mm">
                  <v:path arrowok="t"/>
                </v:shape>
                <v:shape id="Graphic 1575" o:spid="_x0000_s1028" style="position:absolute;left:74409;top:25702;width:1270;height:10795;visibility:visible;mso-wrap-style:square;v-text-anchor:top" coordsize="12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" path="m,l,10281e" filled="f" strokeweight=".17136mm">
                  <v:path arrowok="t"/>
                </v:shape>
                <v:shape id="Graphic 1576" o:spid="_x0000_s1029" style="position:absolute;left:17349;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" path="m53975,71967l,71967,,,53975,r,71967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54592" behindDoc="1" locked="0" layoutInCell="1" allowOverlap="1" wp14:anchorId="572087F3" wp14:editId="4A1A2175">
                <wp:simplePos x="0" y="0"/>
                <wp:positionH relativeFrom="page">
                  <wp:posOffset>5165266</wp:posOffset>
                </wp:positionH>
                <wp:positionV relativeFrom="paragraph">
                  <wp:posOffset>1207077</wp:posOffset>
                </wp:positionV>
                <wp:extent cx="316230" cy="72390"/>
                <wp:effectExtent l="0" t="0" r="0" b="0"/>
                <wp:wrapTopAndBottom/>
                <wp:docPr id="1577"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 cy="72390"/>
                          <a:chOff x="0" y="0"/>
                          <a:chExt cx="316230" cy="72390"/>
                        </a:xfrm>
                      </wpg:grpSpPr>
                      <wps:wsp>
                        <wps:cNvPr id="1578" name="Graphic 1578"/>
                        <wps:cNvSpPr/>
                        <wps:spPr>
                          <a:xfrm>
                            <a:off x="0" y="30843"/>
                            <a:ext cx="316230" cy="1270"/>
                          </a:xfrm>
                          <a:custGeom>
                            <a:avLst/>
                            <a:gdLst/>
                            <a:ahLst/>
                            <a:cxnLst/>
                            <a:rect l="l" t="t" r="r" b="b"/>
                            <a:pathLst>
                              <a:path w="316230">
                                <a:moveTo>
                                  <a:pt x="0" y="0"/>
                                </a:moveTo>
                                <a:lnTo>
                                  <a:pt x="160770" y="0"/>
                                </a:lnTo>
                              </a:path>
                              <a:path w="316230">
                                <a:moveTo>
                                  <a:pt x="214746" y="0"/>
                                </a:moveTo>
                                <a:lnTo>
                                  <a:pt x="316145" y="0"/>
                                </a:lnTo>
                              </a:path>
                            </a:pathLst>
                          </a:custGeom>
                          <a:ln w="10281">
                            <a:solidFill>
                              <a:srgbClr val="000000"/>
                            </a:solidFill>
                            <a:prstDash val="solid"/>
                          </a:ln>
                        </wps:spPr>
                        <wps:bodyPr wrap="square" lIns="0" tIns="0" rIns="0" bIns="0" rtlCol="0">
                          <a:prstTxWarp prst="textNoShape">
                            <a:avLst/>
                          </a:prstTxWarp>
                          <a:noAutofit/>
                        </wps:bodyPr>
                      </wps:wsp>
                      <wps:wsp>
                        <wps:cNvPr id="1579" name="Graphic 1579"/>
                        <wps:cNvSpPr/>
                        <wps:spPr>
                          <a:xfrm>
                            <a:off x="160770" y="0"/>
                            <a:ext cx="53975" cy="72390"/>
                          </a:xfrm>
                          <a:custGeom>
                            <a:avLst/>
                            <a:gdLst/>
                            <a:ahLst/>
                            <a:cxnLst/>
                            <a:rect l="l" t="t" r="r" b="b"/>
                            <a:pathLst>
                              <a:path w="53975" h="72390">
                                <a:moveTo>
                                  <a:pt x="53976" y="71967"/>
                                </a:moveTo>
                                <a:lnTo>
                                  <a:pt x="0" y="71967"/>
                                </a:lnTo>
                                <a:lnTo>
                                  <a:pt x="0" y="0"/>
                                </a:lnTo>
                                <a:lnTo>
                                  <a:pt x="53976" y="0"/>
                                </a:lnTo>
                                <a:lnTo>
                                  <a:pt x="53976"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0D4B391" id="Group 1577" o:spid="_x0000_s1026" style="position:absolute;margin-left:406.7pt;margin-top:95.05pt;width:24.9pt;height:5.7pt;z-index:-15461888;mso-wrap-distance-left:0;mso-wrap-distance-right:0;mso-position-horizontal-relative:page" coordsize="31623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">
                <v:shape id="Graphic 1578" o:spid="_x0000_s1027" style="position:absolute;top:30843;width:316230;height:1270;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" path="m,l160770,em214746,l316145,e" filled="f" strokeweight=".28558mm">
                  <v:path arrowok="t"/>
                </v:shape>
                <v:shape id="Graphic 1579" o:spid="_x0000_s1028" style="position:absolute;left:160770;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" path="m53976,71967l,71967,,,53976,r,71967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55104" behindDoc="1" locked="0" layoutInCell="1" allowOverlap="1" wp14:anchorId="7021B0A1" wp14:editId="67827525">
                <wp:simplePos x="0" y="0"/>
                <wp:positionH relativeFrom="page">
                  <wp:posOffset>5317942</wp:posOffset>
                </wp:positionH>
                <wp:positionV relativeFrom="paragraph">
                  <wp:posOffset>1371575</wp:posOffset>
                </wp:positionV>
                <wp:extent cx="81280" cy="72390"/>
                <wp:effectExtent l="0" t="0" r="0" b="0"/>
                <wp:wrapTopAndBottom/>
                <wp:docPr id="1580"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2390"/>
                          <a:chOff x="0" y="0"/>
                          <a:chExt cx="81280" cy="72390"/>
                        </a:xfrm>
                      </wpg:grpSpPr>
                      <wps:wsp>
                        <wps:cNvPr id="1581" name="Graphic 1581"/>
                        <wps:cNvSpPr/>
                        <wps:spPr>
                          <a:xfrm>
                            <a:off x="0" y="30843"/>
                            <a:ext cx="19685" cy="1270"/>
                          </a:xfrm>
                          <a:custGeom>
                            <a:avLst/>
                            <a:gdLst/>
                            <a:ahLst/>
                            <a:cxnLst/>
                            <a:rect l="l" t="t" r="r" b="b"/>
                            <a:pathLst>
                              <a:path w="19685">
                                <a:moveTo>
                                  <a:pt x="0" y="0"/>
                                </a:moveTo>
                                <a:lnTo>
                                  <a:pt x="19277" y="0"/>
                                </a:lnTo>
                              </a:path>
                            </a:pathLst>
                          </a:custGeom>
                          <a:ln w="10281">
                            <a:solidFill>
                              <a:srgbClr val="000000"/>
                            </a:solidFill>
                            <a:prstDash val="solid"/>
                          </a:ln>
                        </wps:spPr>
                        <wps:bodyPr wrap="square" lIns="0" tIns="0" rIns="0" bIns="0" rtlCol="0">
                          <a:prstTxWarp prst="textNoShape">
                            <a:avLst/>
                          </a:prstTxWarp>
                          <a:noAutofit/>
                        </wps:bodyPr>
                      </wps:wsp>
                      <wps:wsp>
                        <wps:cNvPr id="1582" name="Graphic 1582"/>
                        <wps:cNvSpPr/>
                        <wps:spPr>
                          <a:xfrm>
                            <a:off x="77108" y="25703"/>
                            <a:ext cx="1270" cy="10795"/>
                          </a:xfrm>
                          <a:custGeom>
                            <a:avLst/>
                            <a:gdLst/>
                            <a:ahLst/>
                            <a:cxnLst/>
                            <a:rect l="l" t="t" r="r" b="b"/>
                            <a:pathLst>
                              <a:path h="10795">
                                <a:moveTo>
                                  <a:pt x="0" y="0"/>
                                </a:moveTo>
                                <a:lnTo>
                                  <a:pt x="0" y="10281"/>
                                </a:lnTo>
                              </a:path>
                            </a:pathLst>
                          </a:custGeom>
                          <a:ln w="7710">
                            <a:solidFill>
                              <a:srgbClr val="000000"/>
                            </a:solidFill>
                            <a:prstDash val="solid"/>
                          </a:ln>
                        </wps:spPr>
                        <wps:bodyPr wrap="square" lIns="0" tIns="0" rIns="0" bIns="0" rtlCol="0">
                          <a:prstTxWarp prst="textNoShape">
                            <a:avLst/>
                          </a:prstTxWarp>
                          <a:noAutofit/>
                        </wps:bodyPr>
                      </wps:wsp>
                      <wps:wsp>
                        <wps:cNvPr id="1583" name="Graphic 1583"/>
                        <wps:cNvSpPr/>
                        <wps:spPr>
                          <a:xfrm>
                            <a:off x="19277" y="0"/>
                            <a:ext cx="53975" cy="72390"/>
                          </a:xfrm>
                          <a:custGeom>
                            <a:avLst/>
                            <a:gdLst/>
                            <a:ahLst/>
                            <a:cxnLst/>
                            <a:rect l="l" t="t" r="r" b="b"/>
                            <a:pathLst>
                              <a:path w="53975" h="72390">
                                <a:moveTo>
                                  <a:pt x="53976" y="71967"/>
                                </a:moveTo>
                                <a:lnTo>
                                  <a:pt x="0" y="71967"/>
                                </a:lnTo>
                                <a:lnTo>
                                  <a:pt x="0" y="0"/>
                                </a:lnTo>
                                <a:lnTo>
                                  <a:pt x="53976" y="0"/>
                                </a:lnTo>
                                <a:lnTo>
                                  <a:pt x="53976"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3611F71" id="Group 1580" o:spid="_x0000_s1026" style="position:absolute;margin-left:418.75pt;margin-top:108pt;width:6.4pt;height:5.7pt;z-index:-15461376;mso-wrap-distance-left:0;mso-wrap-distance-right:0;mso-position-horizontal-relative:page" coordsize="8128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">
                <v:shape id="Graphic 1581" o:spid="_x0000_s1027" style="position:absolute;top:30843;width:19685;height:1270;visibility:visible;mso-wrap-style:square;v-text-anchor:top" coordsize="19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" path="m,l19277,e" filled="f" strokeweight=".28558mm">
                  <v:path arrowok="t"/>
                </v:shape>
                <v:shape id="Graphic 1582" o:spid="_x0000_s1028" style="position:absolute;left:77108;top:25703;width:1270;height:10795;visibility:visible;mso-wrap-style:square;v-text-anchor:top" coordsize="12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" path="m,l,10281e" filled="f" strokeweight=".21417mm">
                  <v:path arrowok="t"/>
                </v:shape>
                <v:shape id="Graphic 1583" o:spid="_x0000_s1029" style="position:absolute;left:19277;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" path="m53976,71967l,71967,,,53976,r,71967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55616" behindDoc="1" locked="0" layoutInCell="1" allowOverlap="1" wp14:anchorId="32D892B5" wp14:editId="12D4FF03">
                <wp:simplePos x="0" y="0"/>
                <wp:positionH relativeFrom="page">
                  <wp:posOffset>5288640</wp:posOffset>
                </wp:positionH>
                <wp:positionV relativeFrom="paragraph">
                  <wp:posOffset>1536073</wp:posOffset>
                </wp:positionV>
                <wp:extent cx="141605" cy="72390"/>
                <wp:effectExtent l="0" t="0" r="0" b="0"/>
                <wp:wrapTopAndBottom/>
                <wp:docPr id="1584" name="Group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605" cy="72390"/>
                          <a:chOff x="0" y="0"/>
                          <a:chExt cx="141605" cy="72390"/>
                        </a:xfrm>
                      </wpg:grpSpPr>
                      <wps:wsp>
                        <wps:cNvPr id="1585" name="Graphic 1585"/>
                        <wps:cNvSpPr/>
                        <wps:spPr>
                          <a:xfrm>
                            <a:off x="0" y="30843"/>
                            <a:ext cx="141605" cy="1270"/>
                          </a:xfrm>
                          <a:custGeom>
                            <a:avLst/>
                            <a:gdLst/>
                            <a:ahLst/>
                            <a:cxnLst/>
                            <a:rect l="l" t="t" r="r" b="b"/>
                            <a:pathLst>
                              <a:path w="141605">
                                <a:moveTo>
                                  <a:pt x="0" y="0"/>
                                </a:moveTo>
                                <a:lnTo>
                                  <a:pt x="53204" y="0"/>
                                </a:lnTo>
                              </a:path>
                              <a:path w="141605">
                                <a:moveTo>
                                  <a:pt x="107180" y="0"/>
                                </a:moveTo>
                                <a:lnTo>
                                  <a:pt x="141108" y="0"/>
                                </a:lnTo>
                              </a:path>
                            </a:pathLst>
                          </a:custGeom>
                          <a:ln w="10281">
                            <a:solidFill>
                              <a:srgbClr val="000000"/>
                            </a:solidFill>
                            <a:prstDash val="solid"/>
                          </a:ln>
                        </wps:spPr>
                        <wps:bodyPr wrap="square" lIns="0" tIns="0" rIns="0" bIns="0" rtlCol="0">
                          <a:prstTxWarp prst="textNoShape">
                            <a:avLst/>
                          </a:prstTxWarp>
                          <a:noAutofit/>
                        </wps:bodyPr>
                      </wps:wsp>
                      <wps:wsp>
                        <wps:cNvPr id="1586" name="Graphic 1586"/>
                        <wps:cNvSpPr/>
                        <wps:spPr>
                          <a:xfrm>
                            <a:off x="53204"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71D615E" id="Group 1584" o:spid="_x0000_s1026" style="position:absolute;margin-left:416.45pt;margin-top:120.95pt;width:11.15pt;height:5.7pt;z-index:-15460864;mso-wrap-distance-left:0;mso-wrap-distance-right:0;mso-position-horizontal-relative:page" coordsize="14160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">
                <v:shape id="Graphic 1585" o:spid="_x0000_s1027" style="position:absolute;top:30843;width:141605;height:1270;visibility:visible;mso-wrap-style:square;v-text-anchor:top" coordsize="141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" path="m,l53204,em107180,r33928,e" filled="f" strokeweight=".28558mm">
                  <v:path arrowok="t"/>
                </v:shape>
                <v:shape id="Graphic 1586" o:spid="_x0000_s1028" style="position:absolute;left:53204;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" path="m53975,71967l,71967,,,53975,r,71967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56128" behindDoc="1" locked="0" layoutInCell="1" allowOverlap="1" wp14:anchorId="24E6D63B" wp14:editId="1047BF27">
                <wp:simplePos x="0" y="0"/>
                <wp:positionH relativeFrom="page">
                  <wp:posOffset>5343387</wp:posOffset>
                </wp:positionH>
                <wp:positionV relativeFrom="paragraph">
                  <wp:posOffset>1700571</wp:posOffset>
                </wp:positionV>
                <wp:extent cx="113030" cy="72390"/>
                <wp:effectExtent l="0" t="0" r="0" b="0"/>
                <wp:wrapTopAndBottom/>
                <wp:docPr id="1587"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 cy="72390"/>
                          <a:chOff x="0" y="0"/>
                          <a:chExt cx="113030" cy="72390"/>
                        </a:xfrm>
                      </wpg:grpSpPr>
                      <wps:wsp>
                        <wps:cNvPr id="1588" name="Graphic 1588"/>
                        <wps:cNvSpPr/>
                        <wps:spPr>
                          <a:xfrm>
                            <a:off x="0" y="30843"/>
                            <a:ext cx="113030" cy="1270"/>
                          </a:xfrm>
                          <a:custGeom>
                            <a:avLst/>
                            <a:gdLst/>
                            <a:ahLst/>
                            <a:cxnLst/>
                            <a:rect l="l" t="t" r="r" b="b"/>
                            <a:pathLst>
                              <a:path w="113030">
                                <a:moveTo>
                                  <a:pt x="0" y="0"/>
                                </a:moveTo>
                                <a:lnTo>
                                  <a:pt x="38168" y="0"/>
                                </a:lnTo>
                              </a:path>
                              <a:path w="113030">
                                <a:moveTo>
                                  <a:pt x="92144" y="0"/>
                                </a:moveTo>
                                <a:lnTo>
                                  <a:pt x="112578" y="0"/>
                                </a:lnTo>
                              </a:path>
                            </a:pathLst>
                          </a:custGeom>
                          <a:ln w="10281">
                            <a:solidFill>
                              <a:srgbClr val="000000"/>
                            </a:solidFill>
                            <a:prstDash val="solid"/>
                          </a:ln>
                        </wps:spPr>
                        <wps:bodyPr wrap="square" lIns="0" tIns="0" rIns="0" bIns="0" rtlCol="0">
                          <a:prstTxWarp prst="textNoShape">
                            <a:avLst/>
                          </a:prstTxWarp>
                          <a:noAutofit/>
                        </wps:bodyPr>
                      </wps:wsp>
                      <wps:wsp>
                        <wps:cNvPr id="1589" name="Graphic 1589"/>
                        <wps:cNvSpPr/>
                        <wps:spPr>
                          <a:xfrm>
                            <a:off x="38168" y="0"/>
                            <a:ext cx="53975" cy="72390"/>
                          </a:xfrm>
                          <a:custGeom>
                            <a:avLst/>
                            <a:gdLst/>
                            <a:ahLst/>
                            <a:cxnLst/>
                            <a:rect l="l" t="t" r="r" b="b"/>
                            <a:pathLst>
                              <a:path w="53975" h="72390">
                                <a:moveTo>
                                  <a:pt x="53976" y="71967"/>
                                </a:moveTo>
                                <a:lnTo>
                                  <a:pt x="0" y="71967"/>
                                </a:lnTo>
                                <a:lnTo>
                                  <a:pt x="0" y="0"/>
                                </a:lnTo>
                                <a:lnTo>
                                  <a:pt x="53976" y="0"/>
                                </a:lnTo>
                                <a:lnTo>
                                  <a:pt x="53976"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860C7AA" id="Group 1587" o:spid="_x0000_s1026" style="position:absolute;margin-left:420.75pt;margin-top:133.9pt;width:8.9pt;height:5.7pt;z-index:-15460352;mso-wrap-distance-left:0;mso-wrap-distance-right:0;mso-position-horizontal-relative:page" coordsize="11303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">
                <v:shape id="Graphic 1588" o:spid="_x0000_s1027" style="position:absolute;top:30843;width:113030;height:1270;visibility:visible;mso-wrap-style:square;v-text-anchor:top" coordsize="113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" path="m,l38168,em92144,r20434,e" filled="f" strokeweight=".28558mm">
                  <v:path arrowok="t"/>
                </v:shape>
                <v:shape id="Graphic 1589" o:spid="_x0000_s1028" style="position:absolute;left:38168;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" path="m53976,71967l,71967,,,53976,r,71967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56640" behindDoc="1" locked="0" layoutInCell="1" allowOverlap="1" wp14:anchorId="352DB3A2" wp14:editId="2B7D0353">
                <wp:simplePos x="0" y="0"/>
                <wp:positionH relativeFrom="page">
                  <wp:posOffset>5344929</wp:posOffset>
                </wp:positionH>
                <wp:positionV relativeFrom="paragraph">
                  <wp:posOffset>1865069</wp:posOffset>
                </wp:positionV>
                <wp:extent cx="118110" cy="72390"/>
                <wp:effectExtent l="0" t="0" r="0" b="0"/>
                <wp:wrapTopAndBottom/>
                <wp:docPr id="1590"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110" cy="72390"/>
                          <a:chOff x="0" y="0"/>
                          <a:chExt cx="118110" cy="72390"/>
                        </a:xfrm>
                      </wpg:grpSpPr>
                      <wps:wsp>
                        <wps:cNvPr id="1591" name="Graphic 1591"/>
                        <wps:cNvSpPr/>
                        <wps:spPr>
                          <a:xfrm>
                            <a:off x="0" y="30843"/>
                            <a:ext cx="118110" cy="1270"/>
                          </a:xfrm>
                          <a:custGeom>
                            <a:avLst/>
                            <a:gdLst/>
                            <a:ahLst/>
                            <a:cxnLst/>
                            <a:rect l="l" t="t" r="r" b="b"/>
                            <a:pathLst>
                              <a:path w="118110">
                                <a:moveTo>
                                  <a:pt x="0" y="0"/>
                                </a:moveTo>
                                <a:lnTo>
                                  <a:pt x="41253" y="0"/>
                                </a:lnTo>
                              </a:path>
                              <a:path w="118110">
                                <a:moveTo>
                                  <a:pt x="95229" y="0"/>
                                </a:moveTo>
                                <a:lnTo>
                                  <a:pt x="117590" y="0"/>
                                </a:lnTo>
                              </a:path>
                            </a:pathLst>
                          </a:custGeom>
                          <a:ln w="10281">
                            <a:solidFill>
                              <a:srgbClr val="000000"/>
                            </a:solidFill>
                            <a:prstDash val="solid"/>
                          </a:ln>
                        </wps:spPr>
                        <wps:bodyPr wrap="square" lIns="0" tIns="0" rIns="0" bIns="0" rtlCol="0">
                          <a:prstTxWarp prst="textNoShape">
                            <a:avLst/>
                          </a:prstTxWarp>
                          <a:noAutofit/>
                        </wps:bodyPr>
                      </wps:wsp>
                      <wps:wsp>
                        <wps:cNvPr id="1592" name="Graphic 1592"/>
                        <wps:cNvSpPr/>
                        <wps:spPr>
                          <a:xfrm>
                            <a:off x="41253" y="0"/>
                            <a:ext cx="53975" cy="72390"/>
                          </a:xfrm>
                          <a:custGeom>
                            <a:avLst/>
                            <a:gdLst/>
                            <a:ahLst/>
                            <a:cxnLst/>
                            <a:rect l="l" t="t" r="r" b="b"/>
                            <a:pathLst>
                              <a:path w="53975" h="72390">
                                <a:moveTo>
                                  <a:pt x="53976" y="71967"/>
                                </a:moveTo>
                                <a:lnTo>
                                  <a:pt x="0" y="71967"/>
                                </a:lnTo>
                                <a:lnTo>
                                  <a:pt x="0" y="0"/>
                                </a:lnTo>
                                <a:lnTo>
                                  <a:pt x="53976" y="0"/>
                                </a:lnTo>
                                <a:lnTo>
                                  <a:pt x="53976"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D9620FE" id="Group 1590" o:spid="_x0000_s1026" style="position:absolute;margin-left:420.85pt;margin-top:146.85pt;width:9.3pt;height:5.7pt;z-index:-15459840;mso-wrap-distance-left:0;mso-wrap-distance-right:0;mso-position-horizontal-relative:page" coordsize="11811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">
                <v:shape id="Graphic 1591" o:spid="_x0000_s1027" style="position:absolute;top:30843;width:118110;height:1270;visibility:visible;mso-wrap-style:square;v-text-anchor:top" coordsize="11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" path="m,l41253,em95229,r22361,e" filled="f" strokeweight=".28558mm">
                  <v:path arrowok="t"/>
                </v:shape>
                <v:shape id="Graphic 1592" o:spid="_x0000_s1028" style="position:absolute;left:41253;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" path="m53976,71967l,71967,,,53976,r,71967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57152" behindDoc="1" locked="0" layoutInCell="1" allowOverlap="1" wp14:anchorId="062D1A50" wp14:editId="75F55DEB">
                <wp:simplePos x="0" y="0"/>
                <wp:positionH relativeFrom="page">
                  <wp:posOffset>5364977</wp:posOffset>
                </wp:positionH>
                <wp:positionV relativeFrom="paragraph">
                  <wp:posOffset>2029567</wp:posOffset>
                </wp:positionV>
                <wp:extent cx="100330" cy="72390"/>
                <wp:effectExtent l="0" t="0" r="0" b="0"/>
                <wp:wrapTopAndBottom/>
                <wp:docPr id="1593"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72390"/>
                          <a:chOff x="0" y="0"/>
                          <a:chExt cx="100330" cy="72390"/>
                        </a:xfrm>
                      </wpg:grpSpPr>
                      <wps:wsp>
                        <wps:cNvPr id="1594" name="Graphic 1594"/>
                        <wps:cNvSpPr/>
                        <wps:spPr>
                          <a:xfrm>
                            <a:off x="0" y="30844"/>
                            <a:ext cx="100330" cy="1270"/>
                          </a:xfrm>
                          <a:custGeom>
                            <a:avLst/>
                            <a:gdLst/>
                            <a:ahLst/>
                            <a:cxnLst/>
                            <a:rect l="l" t="t" r="r" b="b"/>
                            <a:pathLst>
                              <a:path w="100330">
                                <a:moveTo>
                                  <a:pt x="0" y="0"/>
                                </a:moveTo>
                                <a:lnTo>
                                  <a:pt x="31228" y="0"/>
                                </a:lnTo>
                              </a:path>
                              <a:path w="100330">
                                <a:moveTo>
                                  <a:pt x="85204" y="0"/>
                                </a:moveTo>
                                <a:lnTo>
                                  <a:pt x="99855" y="0"/>
                                </a:lnTo>
                              </a:path>
                            </a:pathLst>
                          </a:custGeom>
                          <a:ln w="10281">
                            <a:solidFill>
                              <a:srgbClr val="000000"/>
                            </a:solidFill>
                            <a:prstDash val="solid"/>
                          </a:ln>
                        </wps:spPr>
                        <wps:bodyPr wrap="square" lIns="0" tIns="0" rIns="0" bIns="0" rtlCol="0">
                          <a:prstTxWarp prst="textNoShape">
                            <a:avLst/>
                          </a:prstTxWarp>
                          <a:noAutofit/>
                        </wps:bodyPr>
                      </wps:wsp>
                      <wps:wsp>
                        <wps:cNvPr id="1595" name="Graphic 1595"/>
                        <wps:cNvSpPr/>
                        <wps:spPr>
                          <a:xfrm>
                            <a:off x="31228"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D1EC235" id="Group 1593" o:spid="_x0000_s1026" style="position:absolute;margin-left:422.45pt;margin-top:159.8pt;width:7.9pt;height:5.7pt;z-index:-15459328;mso-wrap-distance-left:0;mso-wrap-distance-right:0;mso-position-horizontal-relative:page" coordsize="10033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">
                <v:shape id="Graphic 1594" o:spid="_x0000_s1027" style="position:absolute;top:30844;width:100330;height:1270;visibility:visible;mso-wrap-style:square;v-text-anchor:top" coordsize="100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" path="m,l31228,em85204,l99855,e" filled="f" strokeweight=".28558mm">
                  <v:path arrowok="t"/>
                </v:shape>
                <v:shape id="Graphic 1595" o:spid="_x0000_s1028" style="position:absolute;left:31228;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" path="m53975,71967l,71967,,,53975,r,71967xe" fillcolor="#0000c0" stroked="f">
                  <v:path arrowok="t"/>
                </v:shape>
                <w10:wrap type="topAndBottom" anchorx="page"/>
              </v:group>
            </w:pict>
          </mc:Fallback>
        </mc:AlternateContent>
      </w:r>
    </w:p>
    <w:p w14:paraId="7E0C3B68" w14:textId="77777777" w:rsidR="00E05B98" w:rsidRPr="003C6DAE" w:rsidRDefault="00E05B98">
      <w:pPr>
        <w:pStyle w:val="a3"/>
        <w:spacing w:before="5"/>
        <w:rPr>
          <w:rFonts w:ascii="Trebuchet MS"/>
          <w:sz w:val="10"/>
          <w:lang w:val="uk-UA"/>
        </w:rPr>
      </w:pPr>
    </w:p>
    <w:p w14:paraId="36500655" w14:textId="77777777" w:rsidR="00E05B98" w:rsidRPr="003C6DAE" w:rsidRDefault="00E05B98">
      <w:pPr>
        <w:pStyle w:val="a3"/>
        <w:spacing w:before="5"/>
        <w:rPr>
          <w:rFonts w:ascii="Trebuchet MS"/>
          <w:sz w:val="10"/>
          <w:lang w:val="uk-UA"/>
        </w:rPr>
      </w:pPr>
    </w:p>
    <w:p w14:paraId="370FC6F7" w14:textId="77777777" w:rsidR="00E05B98" w:rsidRPr="003C6DAE" w:rsidRDefault="00E05B98">
      <w:pPr>
        <w:pStyle w:val="a3"/>
        <w:spacing w:before="5"/>
        <w:rPr>
          <w:rFonts w:ascii="Trebuchet MS"/>
          <w:sz w:val="10"/>
          <w:lang w:val="uk-UA"/>
        </w:rPr>
      </w:pPr>
    </w:p>
    <w:p w14:paraId="7350D4A2" w14:textId="77777777" w:rsidR="00E05B98" w:rsidRPr="003C6DAE" w:rsidRDefault="00E05B98">
      <w:pPr>
        <w:pStyle w:val="a3"/>
        <w:spacing w:before="5"/>
        <w:rPr>
          <w:rFonts w:ascii="Trebuchet MS"/>
          <w:sz w:val="10"/>
          <w:lang w:val="uk-UA"/>
        </w:rPr>
      </w:pPr>
    </w:p>
    <w:p w14:paraId="7EFA420F" w14:textId="77777777" w:rsidR="00E05B98" w:rsidRPr="003C6DAE" w:rsidRDefault="00E05B98">
      <w:pPr>
        <w:pStyle w:val="a3"/>
        <w:spacing w:before="5"/>
        <w:rPr>
          <w:rFonts w:ascii="Trebuchet MS"/>
          <w:sz w:val="10"/>
          <w:lang w:val="uk-UA"/>
        </w:rPr>
      </w:pPr>
    </w:p>
    <w:p w14:paraId="61C5395A" w14:textId="77777777" w:rsidR="00E05B98" w:rsidRPr="003C6DAE" w:rsidRDefault="00E05B98">
      <w:pPr>
        <w:pStyle w:val="a3"/>
        <w:spacing w:before="5"/>
        <w:rPr>
          <w:rFonts w:ascii="Trebuchet MS"/>
          <w:sz w:val="10"/>
          <w:lang w:val="uk-UA"/>
        </w:rPr>
      </w:pPr>
    </w:p>
    <w:p w14:paraId="66360DEE" w14:textId="77777777" w:rsidR="00E05B98" w:rsidRPr="003C6DAE" w:rsidRDefault="00E05B98">
      <w:pPr>
        <w:pStyle w:val="a3"/>
        <w:spacing w:before="5"/>
        <w:rPr>
          <w:rFonts w:ascii="Trebuchet MS"/>
          <w:sz w:val="10"/>
          <w:lang w:val="uk-UA"/>
        </w:rPr>
      </w:pPr>
    </w:p>
    <w:p w14:paraId="42C1544E" w14:textId="77777777" w:rsidR="00E05B98" w:rsidRPr="003C6DAE" w:rsidRDefault="00E05B98">
      <w:pPr>
        <w:pStyle w:val="a3"/>
        <w:spacing w:before="5"/>
        <w:rPr>
          <w:rFonts w:ascii="Trebuchet MS"/>
          <w:sz w:val="10"/>
          <w:lang w:val="uk-UA"/>
        </w:rPr>
      </w:pPr>
    </w:p>
    <w:p w14:paraId="0DCBFCF2" w14:textId="77777777" w:rsidR="00E05B98" w:rsidRPr="003C6DAE" w:rsidRDefault="00E05B98">
      <w:pPr>
        <w:pStyle w:val="a3"/>
        <w:spacing w:before="5"/>
        <w:rPr>
          <w:rFonts w:ascii="Trebuchet MS"/>
          <w:sz w:val="10"/>
          <w:lang w:val="uk-UA"/>
        </w:rPr>
      </w:pPr>
    </w:p>
    <w:p w14:paraId="65B383C3" w14:textId="77777777" w:rsidR="00E05B98" w:rsidRPr="003C6DAE" w:rsidRDefault="00E05B98">
      <w:pPr>
        <w:pStyle w:val="a3"/>
        <w:spacing w:before="5"/>
        <w:rPr>
          <w:rFonts w:ascii="Trebuchet MS"/>
          <w:sz w:val="10"/>
          <w:lang w:val="uk-UA"/>
        </w:rPr>
      </w:pPr>
    </w:p>
    <w:p w14:paraId="32D2C45B" w14:textId="77777777" w:rsidR="00E05B98" w:rsidRPr="003C6DAE" w:rsidRDefault="00E05B98">
      <w:pPr>
        <w:pStyle w:val="a3"/>
        <w:spacing w:before="5"/>
        <w:rPr>
          <w:rFonts w:ascii="Trebuchet MS"/>
          <w:sz w:val="10"/>
          <w:lang w:val="uk-UA"/>
        </w:rPr>
      </w:pPr>
    </w:p>
    <w:p w14:paraId="5AC39BD7" w14:textId="77777777" w:rsidR="00E05B98" w:rsidRPr="003C6DAE" w:rsidRDefault="00E05B98">
      <w:pPr>
        <w:pStyle w:val="a3"/>
        <w:spacing w:before="5"/>
        <w:rPr>
          <w:rFonts w:ascii="Trebuchet MS"/>
          <w:sz w:val="10"/>
          <w:lang w:val="uk-UA"/>
        </w:rPr>
      </w:pPr>
    </w:p>
    <w:p w14:paraId="1D3E7D92" w14:textId="77777777" w:rsidR="00E05B98" w:rsidRPr="003C6DAE" w:rsidRDefault="00E05B98">
      <w:pPr>
        <w:pStyle w:val="a3"/>
        <w:spacing w:before="6"/>
        <w:rPr>
          <w:rFonts w:ascii="Trebuchet MS"/>
          <w:sz w:val="12"/>
          <w:lang w:val="uk-UA"/>
        </w:rPr>
      </w:pPr>
    </w:p>
    <w:p w14:paraId="01640430" w14:textId="77777777" w:rsidR="00E05B98" w:rsidRPr="003C6DAE" w:rsidRDefault="00B01E0C">
      <w:pPr>
        <w:pStyle w:val="a3"/>
        <w:spacing w:line="113" w:lineRule="exact"/>
        <w:ind w:left="588" w:right="-87"/>
        <w:rPr>
          <w:rFonts w:ascii="Trebuchet MS"/>
          <w:position w:val="-1"/>
          <w:sz w:val="11"/>
          <w:lang w:val="uk-UA"/>
        </w:rPr>
      </w:pPr>
      <w:r w:rsidRPr="003C6DAE">
        <w:rPr>
          <w:rFonts w:ascii="Trebuchet MS"/>
          <w:noProof/>
          <w:position w:val="-1"/>
          <w:sz w:val="11"/>
          <w:lang w:val="uk-UA"/>
        </w:rPr>
        <mc:AlternateContent>
          <mc:Choice Requires="wpg">
            <w:drawing>
              <wp:inline distT="0" distB="0" distL="0" distR="0" wp14:anchorId="27A147A5" wp14:editId="71464AEC">
                <wp:extent cx="589280" cy="72390"/>
                <wp:effectExtent l="9525" t="0" r="1270" b="3809"/>
                <wp:docPr id="1596" name="Group 1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 cy="72390"/>
                          <a:chOff x="0" y="0"/>
                          <a:chExt cx="589280" cy="72390"/>
                        </a:xfrm>
                      </wpg:grpSpPr>
                      <wps:wsp>
                        <wps:cNvPr id="1597" name="Graphic 1597"/>
                        <wps:cNvSpPr/>
                        <wps:spPr>
                          <a:xfrm>
                            <a:off x="0" y="30842"/>
                            <a:ext cx="589280" cy="1270"/>
                          </a:xfrm>
                          <a:custGeom>
                            <a:avLst/>
                            <a:gdLst/>
                            <a:ahLst/>
                            <a:cxnLst/>
                            <a:rect l="l" t="t" r="r" b="b"/>
                            <a:pathLst>
                              <a:path w="589280">
                                <a:moveTo>
                                  <a:pt x="0" y="0"/>
                                </a:moveTo>
                                <a:lnTo>
                                  <a:pt x="416001" y="0"/>
                                </a:lnTo>
                              </a:path>
                              <a:path w="589280">
                                <a:moveTo>
                                  <a:pt x="469977" y="0"/>
                                </a:moveTo>
                                <a:lnTo>
                                  <a:pt x="589109" y="0"/>
                                </a:lnTo>
                              </a:path>
                            </a:pathLst>
                          </a:custGeom>
                          <a:ln w="10281">
                            <a:solidFill>
                              <a:srgbClr val="000000"/>
                            </a:solidFill>
                            <a:prstDash val="solid"/>
                          </a:ln>
                        </wps:spPr>
                        <wps:bodyPr wrap="square" lIns="0" tIns="0" rIns="0" bIns="0" rtlCol="0">
                          <a:prstTxWarp prst="textNoShape">
                            <a:avLst/>
                          </a:prstTxWarp>
                          <a:noAutofit/>
                        </wps:bodyPr>
                      </wps:wsp>
                      <wps:wsp>
                        <wps:cNvPr id="1598" name="Graphic 1598"/>
                        <wps:cNvSpPr/>
                        <wps:spPr>
                          <a:xfrm>
                            <a:off x="416001" y="0"/>
                            <a:ext cx="53975" cy="72390"/>
                          </a:xfrm>
                          <a:custGeom>
                            <a:avLst/>
                            <a:gdLst/>
                            <a:ahLst/>
                            <a:cxnLst/>
                            <a:rect l="l" t="t" r="r" b="b"/>
                            <a:pathLst>
                              <a:path w="53975" h="72390">
                                <a:moveTo>
                                  <a:pt x="53975" y="71966"/>
                                </a:moveTo>
                                <a:lnTo>
                                  <a:pt x="0" y="71966"/>
                                </a:lnTo>
                                <a:lnTo>
                                  <a:pt x="0" y="0"/>
                                </a:lnTo>
                                <a:lnTo>
                                  <a:pt x="53975" y="0"/>
                                </a:lnTo>
                                <a:lnTo>
                                  <a:pt x="53975" y="71966"/>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1794F733" id="Group 1596" o:spid="_x0000_s1026" style="width:46.4pt;height:5.7pt;mso-position-horizontal-relative:char;mso-position-vertical-relative:line" coordsize="589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">
                <v:shape id="Graphic 1597" o:spid="_x0000_s1027" style="position:absolute;top:308;width:5892;height:13;visibility:visible;mso-wrap-style:square;v-text-anchor:top" coordsize="589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" path="m,l416001,em469977,l589109,e" filled="f" strokeweight=".28558mm">
                  <v:path arrowok="t"/>
                </v:shape>
                <v:shape id="Graphic 1598" o:spid="_x0000_s1028" style="position:absolute;left:4160;width:539;height:723;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" path="m53975,71966l,71966,,,53975,r,71966xe" fillcolor="#0000c0" stroked="f">
                  <v:path arrowok="t"/>
                </v:shape>
                <w10:anchorlock/>
              </v:group>
            </w:pict>
          </mc:Fallback>
        </mc:AlternateContent>
      </w:r>
    </w:p>
    <w:p w14:paraId="7501571D" w14:textId="77777777" w:rsidR="00E05B98" w:rsidRPr="003C6DAE" w:rsidRDefault="00B01E0C">
      <w:pPr>
        <w:pStyle w:val="a3"/>
        <w:spacing w:before="5"/>
        <w:rPr>
          <w:rFonts w:ascii="Trebuchet MS"/>
          <w:sz w:val="10"/>
          <w:lang w:val="uk-UA"/>
        </w:rPr>
      </w:pPr>
      <w:r w:rsidRPr="003C6DAE">
        <w:rPr>
          <w:rFonts w:ascii="Trebuchet MS"/>
          <w:noProof/>
          <w:sz w:val="10"/>
          <w:lang w:val="uk-UA"/>
        </w:rPr>
        <mc:AlternateContent>
          <mc:Choice Requires="wpg">
            <w:drawing>
              <wp:anchor distT="0" distB="0" distL="0" distR="0" simplePos="0" relativeHeight="487858176" behindDoc="1" locked="0" layoutInCell="1" allowOverlap="1" wp14:anchorId="30B5329A" wp14:editId="6120E73F">
                <wp:simplePos x="0" y="0"/>
                <wp:positionH relativeFrom="page">
                  <wp:posOffset>5326038</wp:posOffset>
                </wp:positionH>
                <wp:positionV relativeFrom="paragraph">
                  <wp:posOffset>92743</wp:posOffset>
                </wp:positionV>
                <wp:extent cx="175895" cy="72390"/>
                <wp:effectExtent l="0" t="0" r="0" b="0"/>
                <wp:wrapTopAndBottom/>
                <wp:docPr id="1599" name="Group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72390"/>
                          <a:chOff x="0" y="0"/>
                          <a:chExt cx="175895" cy="72390"/>
                        </a:xfrm>
                      </wpg:grpSpPr>
                      <wps:wsp>
                        <wps:cNvPr id="1600" name="Graphic 1600"/>
                        <wps:cNvSpPr/>
                        <wps:spPr>
                          <a:xfrm>
                            <a:off x="0" y="30842"/>
                            <a:ext cx="175895" cy="1270"/>
                          </a:xfrm>
                          <a:custGeom>
                            <a:avLst/>
                            <a:gdLst/>
                            <a:ahLst/>
                            <a:cxnLst/>
                            <a:rect l="l" t="t" r="r" b="b"/>
                            <a:pathLst>
                              <a:path w="175895">
                                <a:moveTo>
                                  <a:pt x="0" y="0"/>
                                </a:moveTo>
                                <a:lnTo>
                                  <a:pt x="79035" y="0"/>
                                </a:lnTo>
                              </a:path>
                              <a:path w="175895">
                                <a:moveTo>
                                  <a:pt x="133011" y="0"/>
                                </a:moveTo>
                                <a:lnTo>
                                  <a:pt x="175807" y="0"/>
                                </a:lnTo>
                              </a:path>
                            </a:pathLst>
                          </a:custGeom>
                          <a:ln w="10281">
                            <a:solidFill>
                              <a:srgbClr val="000000"/>
                            </a:solidFill>
                            <a:prstDash val="solid"/>
                          </a:ln>
                        </wps:spPr>
                        <wps:bodyPr wrap="square" lIns="0" tIns="0" rIns="0" bIns="0" rtlCol="0">
                          <a:prstTxWarp prst="textNoShape">
                            <a:avLst/>
                          </a:prstTxWarp>
                          <a:noAutofit/>
                        </wps:bodyPr>
                      </wps:wsp>
                      <wps:wsp>
                        <wps:cNvPr id="1601" name="Graphic 1601"/>
                        <wps:cNvSpPr/>
                        <wps:spPr>
                          <a:xfrm>
                            <a:off x="79035"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5F77985" id="Group 1599" o:spid="_x0000_s1026" style="position:absolute;margin-left:419.35pt;margin-top:7.3pt;width:13.85pt;height:5.7pt;z-index:-15458304;mso-wrap-distance-left:0;mso-wrap-distance-right:0;mso-position-horizontal-relative:page" coordsize="17589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">
                <v:shape id="Graphic 1600" o:spid="_x0000_s1027" style="position:absolute;top:30842;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" path="m,l79035,em133011,r42796,e" filled="f" strokeweight=".28558mm">
                  <v:path arrowok="t"/>
                </v:shape>
                <v:shape id="Graphic 1601" o:spid="_x0000_s1028" style="position:absolute;left:79035;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" path="m53975,71967l,71967,,,53975,r,71967xe" fillcolor="#0000c0" stroked="f">
                  <v:path arrowok="t"/>
                </v:shape>
                <w10:wrap type="topAndBottom" anchorx="page"/>
              </v:group>
            </w:pict>
          </mc:Fallback>
        </mc:AlternateContent>
      </w:r>
      <w:r w:rsidRPr="003C6DAE">
        <w:rPr>
          <w:rFonts w:ascii="Trebuchet MS"/>
          <w:noProof/>
          <w:sz w:val="10"/>
          <w:lang w:val="uk-UA"/>
        </w:rPr>
        <mc:AlternateContent>
          <mc:Choice Requires="wpg">
            <w:drawing>
              <wp:anchor distT="0" distB="0" distL="0" distR="0" simplePos="0" relativeHeight="487858688" behindDoc="1" locked="0" layoutInCell="1" allowOverlap="1" wp14:anchorId="1B752FA6" wp14:editId="465444DC">
                <wp:simplePos x="0" y="0"/>
                <wp:positionH relativeFrom="page">
                  <wp:posOffset>5399676</wp:posOffset>
                </wp:positionH>
                <wp:positionV relativeFrom="paragraph">
                  <wp:posOffset>257241</wp:posOffset>
                </wp:positionV>
                <wp:extent cx="69215" cy="72390"/>
                <wp:effectExtent l="0" t="0" r="0" b="0"/>
                <wp:wrapTopAndBottom/>
                <wp:docPr id="1602" name="Group 1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15" cy="72390"/>
                          <a:chOff x="0" y="0"/>
                          <a:chExt cx="69215" cy="72390"/>
                        </a:xfrm>
                      </wpg:grpSpPr>
                      <wps:wsp>
                        <wps:cNvPr id="1603" name="Graphic 1603"/>
                        <wps:cNvSpPr/>
                        <wps:spPr>
                          <a:xfrm>
                            <a:off x="0" y="30842"/>
                            <a:ext cx="13970" cy="1270"/>
                          </a:xfrm>
                          <a:custGeom>
                            <a:avLst/>
                            <a:gdLst/>
                            <a:ahLst/>
                            <a:cxnLst/>
                            <a:rect l="l" t="t" r="r" b="b"/>
                            <a:pathLst>
                              <a:path w="13970">
                                <a:moveTo>
                                  <a:pt x="0" y="0"/>
                                </a:moveTo>
                                <a:lnTo>
                                  <a:pt x="13493" y="0"/>
                                </a:lnTo>
                              </a:path>
                            </a:pathLst>
                          </a:custGeom>
                          <a:ln w="10281">
                            <a:solidFill>
                              <a:srgbClr val="000000"/>
                            </a:solidFill>
                            <a:prstDash val="solid"/>
                          </a:ln>
                        </wps:spPr>
                        <wps:bodyPr wrap="square" lIns="0" tIns="0" rIns="0" bIns="0" rtlCol="0">
                          <a:prstTxWarp prst="textNoShape">
                            <a:avLst/>
                          </a:prstTxWarp>
                          <a:noAutofit/>
                        </wps:bodyPr>
                      </wps:wsp>
                      <wps:wsp>
                        <wps:cNvPr id="1604" name="Graphic 1604"/>
                        <wps:cNvSpPr/>
                        <wps:spPr>
                          <a:xfrm>
                            <a:off x="68048" y="25702"/>
                            <a:ext cx="1270" cy="10795"/>
                          </a:xfrm>
                          <a:custGeom>
                            <a:avLst/>
                            <a:gdLst/>
                            <a:ahLst/>
                            <a:cxnLst/>
                            <a:rect l="l" t="t" r="r" b="b"/>
                            <a:pathLst>
                              <a:path h="10795">
                                <a:moveTo>
                                  <a:pt x="0" y="0"/>
                                </a:moveTo>
                                <a:lnTo>
                                  <a:pt x="0" y="10281"/>
                                </a:lnTo>
                              </a:path>
                            </a:pathLst>
                          </a:custGeom>
                          <a:ln w="1156">
                            <a:solidFill>
                              <a:srgbClr val="000000"/>
                            </a:solidFill>
                            <a:prstDash val="solid"/>
                          </a:ln>
                        </wps:spPr>
                        <wps:bodyPr wrap="square" lIns="0" tIns="0" rIns="0" bIns="0" rtlCol="0">
                          <a:prstTxWarp prst="textNoShape">
                            <a:avLst/>
                          </a:prstTxWarp>
                          <a:noAutofit/>
                        </wps:bodyPr>
                      </wps:wsp>
                      <wps:wsp>
                        <wps:cNvPr id="1605" name="Graphic 1605"/>
                        <wps:cNvSpPr/>
                        <wps:spPr>
                          <a:xfrm>
                            <a:off x="13493"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FA51440" id="Group 1602" o:spid="_x0000_s1026" style="position:absolute;margin-left:425.15pt;margin-top:20.25pt;width:5.45pt;height:5.7pt;z-index:-15457792;mso-wrap-distance-left:0;mso-wrap-distance-right:0;mso-position-horizontal-relative:page" coordsize="6921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">
                <v:shape id="Graphic 1603" o:spid="_x0000_s1027" style="position:absolute;top:30842;width:13970;height:1270;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" path="m,l13493,e" filled="f" strokeweight=".28558mm">
                  <v:path arrowok="t"/>
                </v:shape>
                <v:shape id="Graphic 1604" o:spid="_x0000_s1028" style="position:absolute;left:68048;top:25702;width:1270;height:10795;visibility:visible;mso-wrap-style:square;v-text-anchor:top" coordsize="12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" path="m,l,10281e" filled="f" strokeweight=".03211mm">
                  <v:path arrowok="t"/>
                </v:shape>
                <v:shape id="Graphic 1605" o:spid="_x0000_s1029" style="position:absolute;left:13493;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" path="m53975,71967l,71967,,,53975,r,71967xe" fillcolor="#0000c0" stroked="f">
                  <v:path arrowok="t"/>
                </v:shape>
                <w10:wrap type="topAndBottom" anchorx="page"/>
              </v:group>
            </w:pict>
          </mc:Fallback>
        </mc:AlternateContent>
      </w:r>
      <w:r w:rsidRPr="003C6DAE">
        <w:rPr>
          <w:rFonts w:ascii="Trebuchet MS"/>
          <w:noProof/>
          <w:sz w:val="10"/>
          <w:lang w:val="uk-UA"/>
        </w:rPr>
        <mc:AlternateContent>
          <mc:Choice Requires="wpg">
            <w:drawing>
              <wp:anchor distT="0" distB="0" distL="0" distR="0" simplePos="0" relativeHeight="487859200" behindDoc="1" locked="0" layoutInCell="1" allowOverlap="1" wp14:anchorId="2E7DA229" wp14:editId="29E2981F">
                <wp:simplePos x="0" y="0"/>
                <wp:positionH relativeFrom="page">
                  <wp:posOffset>5369604</wp:posOffset>
                </wp:positionH>
                <wp:positionV relativeFrom="paragraph">
                  <wp:posOffset>421739</wp:posOffset>
                </wp:positionV>
                <wp:extent cx="121920" cy="72390"/>
                <wp:effectExtent l="0" t="0" r="0" b="0"/>
                <wp:wrapTopAndBottom/>
                <wp:docPr id="1606"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 cy="72390"/>
                          <a:chOff x="0" y="0"/>
                          <a:chExt cx="121920" cy="72390"/>
                        </a:xfrm>
                      </wpg:grpSpPr>
                      <wps:wsp>
                        <wps:cNvPr id="1607" name="Graphic 1607"/>
                        <wps:cNvSpPr/>
                        <wps:spPr>
                          <a:xfrm>
                            <a:off x="0" y="30842"/>
                            <a:ext cx="121920" cy="1270"/>
                          </a:xfrm>
                          <a:custGeom>
                            <a:avLst/>
                            <a:gdLst/>
                            <a:ahLst/>
                            <a:cxnLst/>
                            <a:rect l="l" t="t" r="r" b="b"/>
                            <a:pathLst>
                              <a:path w="121920">
                                <a:moveTo>
                                  <a:pt x="0" y="0"/>
                                </a:moveTo>
                                <a:lnTo>
                                  <a:pt x="45108" y="0"/>
                                </a:lnTo>
                              </a:path>
                              <a:path w="121920">
                                <a:moveTo>
                                  <a:pt x="99084" y="0"/>
                                </a:moveTo>
                                <a:lnTo>
                                  <a:pt x="121445" y="0"/>
                                </a:lnTo>
                              </a:path>
                            </a:pathLst>
                          </a:custGeom>
                          <a:ln w="10281">
                            <a:solidFill>
                              <a:srgbClr val="000000"/>
                            </a:solidFill>
                            <a:prstDash val="solid"/>
                          </a:ln>
                        </wps:spPr>
                        <wps:bodyPr wrap="square" lIns="0" tIns="0" rIns="0" bIns="0" rtlCol="0">
                          <a:prstTxWarp prst="textNoShape">
                            <a:avLst/>
                          </a:prstTxWarp>
                          <a:noAutofit/>
                        </wps:bodyPr>
                      </wps:wsp>
                      <wps:wsp>
                        <wps:cNvPr id="1608" name="Graphic 1608"/>
                        <wps:cNvSpPr/>
                        <wps:spPr>
                          <a:xfrm>
                            <a:off x="45108" y="0"/>
                            <a:ext cx="53975" cy="72390"/>
                          </a:xfrm>
                          <a:custGeom>
                            <a:avLst/>
                            <a:gdLst/>
                            <a:ahLst/>
                            <a:cxnLst/>
                            <a:rect l="l" t="t" r="r" b="b"/>
                            <a:pathLst>
                              <a:path w="53975" h="72390">
                                <a:moveTo>
                                  <a:pt x="53976" y="71967"/>
                                </a:moveTo>
                                <a:lnTo>
                                  <a:pt x="0" y="71967"/>
                                </a:lnTo>
                                <a:lnTo>
                                  <a:pt x="0" y="0"/>
                                </a:lnTo>
                                <a:lnTo>
                                  <a:pt x="53976" y="0"/>
                                </a:lnTo>
                                <a:lnTo>
                                  <a:pt x="53976"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ED1B7CF" id="Group 1606" o:spid="_x0000_s1026" style="position:absolute;margin-left:422.8pt;margin-top:33.2pt;width:9.6pt;height:5.7pt;z-index:-15457280;mso-wrap-distance-left:0;mso-wrap-distance-right:0;mso-position-horizontal-relative:page" coordsize="12192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">
                <v:shape id="Graphic 1607" o:spid="_x0000_s1027" style="position:absolute;top:30842;width:121920;height:1270;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" path="m,l45108,em99084,r22361,e" filled="f" strokeweight=".28558mm">
                  <v:path arrowok="t"/>
                </v:shape>
                <v:shape id="Graphic 1608" o:spid="_x0000_s1028" style="position:absolute;left:45108;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" path="m53976,71967l,71967,,,53976,r,71967xe" fillcolor="#0000c0" stroked="f">
                  <v:path arrowok="t"/>
                </v:shape>
                <w10:wrap type="topAndBottom" anchorx="page"/>
              </v:group>
            </w:pict>
          </mc:Fallback>
        </mc:AlternateContent>
      </w:r>
      <w:r w:rsidRPr="003C6DAE">
        <w:rPr>
          <w:rFonts w:ascii="Trebuchet MS"/>
          <w:noProof/>
          <w:sz w:val="10"/>
          <w:lang w:val="uk-UA"/>
        </w:rPr>
        <mc:AlternateContent>
          <mc:Choice Requires="wpg">
            <w:drawing>
              <wp:anchor distT="0" distB="0" distL="0" distR="0" simplePos="0" relativeHeight="487859712" behindDoc="1" locked="0" layoutInCell="1" allowOverlap="1" wp14:anchorId="5D27ADD6" wp14:editId="74F29BD3">
                <wp:simplePos x="0" y="0"/>
                <wp:positionH relativeFrom="page">
                  <wp:posOffset>5351869</wp:posOffset>
                </wp:positionH>
                <wp:positionV relativeFrom="paragraph">
                  <wp:posOffset>586236</wp:posOffset>
                </wp:positionV>
                <wp:extent cx="163195" cy="72390"/>
                <wp:effectExtent l="0" t="0" r="0" b="0"/>
                <wp:wrapTopAndBottom/>
                <wp:docPr id="1609" name="Group 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 cy="72390"/>
                          <a:chOff x="0" y="0"/>
                          <a:chExt cx="163195" cy="72390"/>
                        </a:xfrm>
                      </wpg:grpSpPr>
                      <wps:wsp>
                        <wps:cNvPr id="1610" name="Graphic 1610"/>
                        <wps:cNvSpPr/>
                        <wps:spPr>
                          <a:xfrm>
                            <a:off x="0" y="30843"/>
                            <a:ext cx="163195" cy="1270"/>
                          </a:xfrm>
                          <a:custGeom>
                            <a:avLst/>
                            <a:gdLst/>
                            <a:ahLst/>
                            <a:cxnLst/>
                            <a:rect l="l" t="t" r="r" b="b"/>
                            <a:pathLst>
                              <a:path w="163195">
                                <a:moveTo>
                                  <a:pt x="0" y="0"/>
                                </a:moveTo>
                                <a:lnTo>
                                  <a:pt x="73253" y="0"/>
                                </a:lnTo>
                              </a:path>
                              <a:path w="163195">
                                <a:moveTo>
                                  <a:pt x="127229" y="0"/>
                                </a:moveTo>
                                <a:lnTo>
                                  <a:pt x="163084" y="0"/>
                                </a:lnTo>
                              </a:path>
                            </a:pathLst>
                          </a:custGeom>
                          <a:ln w="10281">
                            <a:solidFill>
                              <a:srgbClr val="000000"/>
                            </a:solidFill>
                            <a:prstDash val="solid"/>
                          </a:ln>
                        </wps:spPr>
                        <wps:bodyPr wrap="square" lIns="0" tIns="0" rIns="0" bIns="0" rtlCol="0">
                          <a:prstTxWarp prst="textNoShape">
                            <a:avLst/>
                          </a:prstTxWarp>
                          <a:noAutofit/>
                        </wps:bodyPr>
                      </wps:wsp>
                      <wps:wsp>
                        <wps:cNvPr id="1611" name="Graphic 1611"/>
                        <wps:cNvSpPr/>
                        <wps:spPr>
                          <a:xfrm>
                            <a:off x="73253"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8F27D3F" id="Group 1609" o:spid="_x0000_s1026" style="position:absolute;margin-left:421.4pt;margin-top:46.15pt;width:12.85pt;height:5.7pt;z-index:-15456768;mso-wrap-distance-left:0;mso-wrap-distance-right:0;mso-position-horizontal-relative:page" coordsize="16319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">
                <v:shape id="Graphic 1610" o:spid="_x0000_s1027" style="position:absolute;top:30843;width:163195;height:1270;visibility:visible;mso-wrap-style:square;v-text-anchor:top" coordsize="163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" path="m,l73253,em127229,r35855,e" filled="f" strokeweight=".28558mm">
                  <v:path arrowok="t"/>
                </v:shape>
                <v:shape id="Graphic 1611" o:spid="_x0000_s1028" style="position:absolute;left:73253;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" path="m53975,71967l,71967,,,53975,r,71967xe" fillcolor="#0000c0" stroked="f">
                  <v:path arrowok="t"/>
                </v:shape>
                <w10:wrap type="topAndBottom" anchorx="page"/>
              </v:group>
            </w:pict>
          </mc:Fallback>
        </mc:AlternateContent>
      </w:r>
      <w:r w:rsidRPr="003C6DAE">
        <w:rPr>
          <w:rFonts w:ascii="Trebuchet MS"/>
          <w:noProof/>
          <w:sz w:val="10"/>
          <w:lang w:val="uk-UA"/>
        </w:rPr>
        <mc:AlternateContent>
          <mc:Choice Requires="wpg">
            <w:drawing>
              <wp:anchor distT="0" distB="0" distL="0" distR="0" simplePos="0" relativeHeight="487860224" behindDoc="1" locked="0" layoutInCell="1" allowOverlap="1" wp14:anchorId="297AFFAE" wp14:editId="1A50E132">
                <wp:simplePos x="0" y="0"/>
                <wp:positionH relativeFrom="page">
                  <wp:posOffset>5409315</wp:posOffset>
                </wp:positionH>
                <wp:positionV relativeFrom="paragraph">
                  <wp:posOffset>750735</wp:posOffset>
                </wp:positionV>
                <wp:extent cx="120014" cy="72390"/>
                <wp:effectExtent l="0" t="0" r="0" b="0"/>
                <wp:wrapTopAndBottom/>
                <wp:docPr id="1612" name="Group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4" cy="72390"/>
                          <a:chOff x="0" y="0"/>
                          <a:chExt cx="120014" cy="72390"/>
                        </a:xfrm>
                      </wpg:grpSpPr>
                      <wps:wsp>
                        <wps:cNvPr id="1613" name="Graphic 1613"/>
                        <wps:cNvSpPr/>
                        <wps:spPr>
                          <a:xfrm>
                            <a:off x="0" y="30843"/>
                            <a:ext cx="120014" cy="1270"/>
                          </a:xfrm>
                          <a:custGeom>
                            <a:avLst/>
                            <a:gdLst/>
                            <a:ahLst/>
                            <a:cxnLst/>
                            <a:rect l="l" t="t" r="r" b="b"/>
                            <a:pathLst>
                              <a:path w="120014">
                                <a:moveTo>
                                  <a:pt x="0" y="0"/>
                                </a:moveTo>
                                <a:lnTo>
                                  <a:pt x="48192" y="0"/>
                                </a:lnTo>
                              </a:path>
                              <a:path w="120014">
                                <a:moveTo>
                                  <a:pt x="102168" y="0"/>
                                </a:moveTo>
                                <a:lnTo>
                                  <a:pt x="119903" y="0"/>
                                </a:lnTo>
                              </a:path>
                            </a:pathLst>
                          </a:custGeom>
                          <a:ln w="10281">
                            <a:solidFill>
                              <a:srgbClr val="000000"/>
                            </a:solidFill>
                            <a:prstDash val="solid"/>
                          </a:ln>
                        </wps:spPr>
                        <wps:bodyPr wrap="square" lIns="0" tIns="0" rIns="0" bIns="0" rtlCol="0">
                          <a:prstTxWarp prst="textNoShape">
                            <a:avLst/>
                          </a:prstTxWarp>
                          <a:noAutofit/>
                        </wps:bodyPr>
                      </wps:wsp>
                      <wps:wsp>
                        <wps:cNvPr id="1614" name="Graphic 1614"/>
                        <wps:cNvSpPr/>
                        <wps:spPr>
                          <a:xfrm>
                            <a:off x="48192"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55E429F" id="Group 1612" o:spid="_x0000_s1026" style="position:absolute;margin-left:425.95pt;margin-top:59.1pt;width:9.45pt;height:5.7pt;z-index:-15456256;mso-wrap-distance-left:0;mso-wrap-distance-right:0;mso-position-horizontal-relative:page" coordsize="120014,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">
                <v:shape id="Graphic 1613" o:spid="_x0000_s1027" style="position:absolute;top:30843;width:120014;height:1270;visibility:visible;mso-wrap-style:square;v-text-anchor:top" coordsize="1200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" path="m,l48192,em102168,r17735,e" filled="f" strokeweight=".28558mm">
                  <v:path arrowok="t"/>
                </v:shape>
                <v:shape id="Graphic 1614" o:spid="_x0000_s1028" style="position:absolute;left:48192;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" path="m53975,71967l,71967,,,53975,r,71967xe" fillcolor="#0000c0" stroked="f">
                  <v:path arrowok="t"/>
                </v:shape>
                <w10:wrap type="topAndBottom" anchorx="page"/>
              </v:group>
            </w:pict>
          </mc:Fallback>
        </mc:AlternateContent>
      </w:r>
      <w:r w:rsidRPr="003C6DAE">
        <w:rPr>
          <w:rFonts w:ascii="Trebuchet MS"/>
          <w:noProof/>
          <w:sz w:val="10"/>
          <w:lang w:val="uk-UA"/>
        </w:rPr>
        <mc:AlternateContent>
          <mc:Choice Requires="wpg">
            <w:drawing>
              <wp:anchor distT="0" distB="0" distL="0" distR="0" simplePos="0" relativeHeight="487860736" behindDoc="1" locked="0" layoutInCell="1" allowOverlap="1" wp14:anchorId="5C1FC378" wp14:editId="2BDBF23D">
                <wp:simplePos x="0" y="0"/>
                <wp:positionH relativeFrom="page">
                  <wp:posOffset>5452496</wp:posOffset>
                </wp:positionH>
                <wp:positionV relativeFrom="paragraph">
                  <wp:posOffset>915233</wp:posOffset>
                </wp:positionV>
                <wp:extent cx="62230" cy="72390"/>
                <wp:effectExtent l="0" t="0" r="0" b="0"/>
                <wp:wrapTopAndBottom/>
                <wp:docPr id="1615" name="Group 1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 cy="72390"/>
                          <a:chOff x="0" y="0"/>
                          <a:chExt cx="62230" cy="72390"/>
                        </a:xfrm>
                      </wpg:grpSpPr>
                      <wps:wsp>
                        <wps:cNvPr id="1616" name="Graphic 1616"/>
                        <wps:cNvSpPr/>
                        <wps:spPr>
                          <a:xfrm>
                            <a:off x="3855" y="25702"/>
                            <a:ext cx="1270" cy="10795"/>
                          </a:xfrm>
                          <a:custGeom>
                            <a:avLst/>
                            <a:gdLst/>
                            <a:ahLst/>
                            <a:cxnLst/>
                            <a:rect l="l" t="t" r="r" b="b"/>
                            <a:pathLst>
                              <a:path h="10795">
                                <a:moveTo>
                                  <a:pt x="0" y="0"/>
                                </a:moveTo>
                                <a:lnTo>
                                  <a:pt x="0" y="10281"/>
                                </a:lnTo>
                              </a:path>
                            </a:pathLst>
                          </a:custGeom>
                          <a:ln w="7710">
                            <a:solidFill>
                              <a:srgbClr val="000000"/>
                            </a:solidFill>
                            <a:prstDash val="solid"/>
                          </a:ln>
                        </wps:spPr>
                        <wps:bodyPr wrap="square" lIns="0" tIns="0" rIns="0" bIns="0" rtlCol="0">
                          <a:prstTxWarp prst="textNoShape">
                            <a:avLst/>
                          </a:prstTxWarp>
                          <a:noAutofit/>
                        </wps:bodyPr>
                      </wps:wsp>
                      <wps:wsp>
                        <wps:cNvPr id="1617" name="Graphic 1617"/>
                        <wps:cNvSpPr/>
                        <wps:spPr>
                          <a:xfrm>
                            <a:off x="7710"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3CF692F" id="Group 1615" o:spid="_x0000_s1026" style="position:absolute;margin-left:429.35pt;margin-top:72.05pt;width:4.9pt;height:5.7pt;z-index:-15455744;mso-wrap-distance-left:0;mso-wrap-distance-right:0;mso-position-horizontal-relative:page" coordsize="6223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">
                <v:shape id="Graphic 1616" o:spid="_x0000_s1027" style="position:absolute;left:3855;top:25702;width:1270;height:10795;visibility:visible;mso-wrap-style:square;v-text-anchor:top" coordsize="12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" path="m,l,10281e" filled="f" strokeweight=".21417mm">
                  <v:path arrowok="t"/>
                </v:shape>
                <v:shape id="Graphic 1617" o:spid="_x0000_s1028" style="position:absolute;left:7710;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" path="m53975,71967l,71967,,,53975,r,71967xe" fillcolor="#0000c0" stroked="f">
                  <v:path arrowok="t"/>
                </v:shape>
                <w10:wrap type="topAndBottom" anchorx="page"/>
              </v:group>
            </w:pict>
          </mc:Fallback>
        </mc:AlternateContent>
      </w:r>
      <w:r w:rsidRPr="003C6DAE">
        <w:rPr>
          <w:rFonts w:ascii="Trebuchet MS"/>
          <w:noProof/>
          <w:sz w:val="10"/>
          <w:lang w:val="uk-UA"/>
        </w:rPr>
        <mc:AlternateContent>
          <mc:Choice Requires="wpg">
            <w:drawing>
              <wp:anchor distT="0" distB="0" distL="0" distR="0" simplePos="0" relativeHeight="487861248" behindDoc="1" locked="0" layoutInCell="1" allowOverlap="1" wp14:anchorId="4E5FE9CA" wp14:editId="2FE8D50B">
                <wp:simplePos x="0" y="0"/>
                <wp:positionH relativeFrom="page">
                  <wp:posOffset>5423580</wp:posOffset>
                </wp:positionH>
                <wp:positionV relativeFrom="paragraph">
                  <wp:posOffset>1079731</wp:posOffset>
                </wp:positionV>
                <wp:extent cx="107950" cy="72390"/>
                <wp:effectExtent l="0" t="0" r="0" b="0"/>
                <wp:wrapTopAndBottom/>
                <wp:docPr id="1618"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 cy="72390"/>
                          <a:chOff x="0" y="0"/>
                          <a:chExt cx="107950" cy="72390"/>
                        </a:xfrm>
                      </wpg:grpSpPr>
                      <wps:wsp>
                        <wps:cNvPr id="1619" name="Graphic 1619"/>
                        <wps:cNvSpPr/>
                        <wps:spPr>
                          <a:xfrm>
                            <a:off x="0" y="30843"/>
                            <a:ext cx="107950" cy="1270"/>
                          </a:xfrm>
                          <a:custGeom>
                            <a:avLst/>
                            <a:gdLst/>
                            <a:ahLst/>
                            <a:cxnLst/>
                            <a:rect l="l" t="t" r="r" b="b"/>
                            <a:pathLst>
                              <a:path w="107950">
                                <a:moveTo>
                                  <a:pt x="0" y="0"/>
                                </a:moveTo>
                                <a:lnTo>
                                  <a:pt x="40096" y="0"/>
                                </a:lnTo>
                              </a:path>
                              <a:path w="107950">
                                <a:moveTo>
                                  <a:pt x="94073" y="0"/>
                                </a:moveTo>
                                <a:lnTo>
                                  <a:pt x="107566" y="0"/>
                                </a:lnTo>
                              </a:path>
                            </a:pathLst>
                          </a:custGeom>
                          <a:ln w="10281">
                            <a:solidFill>
                              <a:srgbClr val="000000"/>
                            </a:solidFill>
                            <a:prstDash val="solid"/>
                          </a:ln>
                        </wps:spPr>
                        <wps:bodyPr wrap="square" lIns="0" tIns="0" rIns="0" bIns="0" rtlCol="0">
                          <a:prstTxWarp prst="textNoShape">
                            <a:avLst/>
                          </a:prstTxWarp>
                          <a:noAutofit/>
                        </wps:bodyPr>
                      </wps:wsp>
                      <wps:wsp>
                        <wps:cNvPr id="1620" name="Graphic 1620"/>
                        <wps:cNvSpPr/>
                        <wps:spPr>
                          <a:xfrm>
                            <a:off x="40096" y="0"/>
                            <a:ext cx="53975" cy="72390"/>
                          </a:xfrm>
                          <a:custGeom>
                            <a:avLst/>
                            <a:gdLst/>
                            <a:ahLst/>
                            <a:cxnLst/>
                            <a:rect l="l" t="t" r="r" b="b"/>
                            <a:pathLst>
                              <a:path w="53975" h="72390">
                                <a:moveTo>
                                  <a:pt x="53976" y="71967"/>
                                </a:moveTo>
                                <a:lnTo>
                                  <a:pt x="0" y="71967"/>
                                </a:lnTo>
                                <a:lnTo>
                                  <a:pt x="0" y="0"/>
                                </a:lnTo>
                                <a:lnTo>
                                  <a:pt x="53976" y="0"/>
                                </a:lnTo>
                                <a:lnTo>
                                  <a:pt x="53976"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4E68444" id="Group 1618" o:spid="_x0000_s1026" style="position:absolute;margin-left:427.05pt;margin-top:85pt;width:8.5pt;height:5.7pt;z-index:-15455232;mso-wrap-distance-left:0;mso-wrap-distance-right:0;mso-position-horizontal-relative:page" coordsize="10795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">
                <v:shape id="Graphic 1619" o:spid="_x0000_s1027" style="position:absolute;top:30843;width:107950;height:1270;visibility:visible;mso-wrap-style:square;v-text-anchor:top" coordsize="107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" path="m,l40096,em94073,r13493,e" filled="f" strokeweight=".28558mm">
                  <v:path arrowok="t"/>
                </v:shape>
                <v:shape id="Graphic 1620" o:spid="_x0000_s1028" style="position:absolute;left:40096;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" path="m53976,71967l,71967,,,53976,r,71967xe" fillcolor="#0000c0" stroked="f">
                  <v:path arrowok="t"/>
                </v:shape>
                <w10:wrap type="topAndBottom" anchorx="page"/>
              </v:group>
            </w:pict>
          </mc:Fallback>
        </mc:AlternateContent>
      </w:r>
    </w:p>
    <w:p w14:paraId="4F77DDC9" w14:textId="77777777" w:rsidR="00E05B98" w:rsidRPr="003C6DAE" w:rsidRDefault="00E05B98">
      <w:pPr>
        <w:pStyle w:val="a3"/>
        <w:spacing w:before="5"/>
        <w:rPr>
          <w:rFonts w:ascii="Trebuchet MS"/>
          <w:sz w:val="10"/>
          <w:lang w:val="uk-UA"/>
        </w:rPr>
      </w:pPr>
    </w:p>
    <w:p w14:paraId="44843CC3" w14:textId="77777777" w:rsidR="00E05B98" w:rsidRPr="003C6DAE" w:rsidRDefault="00E05B98">
      <w:pPr>
        <w:pStyle w:val="a3"/>
        <w:spacing w:before="5"/>
        <w:rPr>
          <w:rFonts w:ascii="Trebuchet MS"/>
          <w:sz w:val="10"/>
          <w:lang w:val="uk-UA"/>
        </w:rPr>
      </w:pPr>
    </w:p>
    <w:p w14:paraId="201BEF64" w14:textId="77777777" w:rsidR="00E05B98" w:rsidRPr="003C6DAE" w:rsidRDefault="00E05B98">
      <w:pPr>
        <w:pStyle w:val="a3"/>
        <w:spacing w:before="5"/>
        <w:rPr>
          <w:rFonts w:ascii="Trebuchet MS"/>
          <w:sz w:val="10"/>
          <w:lang w:val="uk-UA"/>
        </w:rPr>
      </w:pPr>
    </w:p>
    <w:p w14:paraId="6ABB8E0A" w14:textId="77777777" w:rsidR="00E05B98" w:rsidRPr="003C6DAE" w:rsidRDefault="00E05B98">
      <w:pPr>
        <w:pStyle w:val="a3"/>
        <w:spacing w:before="5"/>
        <w:rPr>
          <w:rFonts w:ascii="Trebuchet MS"/>
          <w:sz w:val="10"/>
          <w:lang w:val="uk-UA"/>
        </w:rPr>
      </w:pPr>
    </w:p>
    <w:p w14:paraId="3845171C" w14:textId="77777777" w:rsidR="00E05B98" w:rsidRPr="003C6DAE" w:rsidRDefault="00E05B98">
      <w:pPr>
        <w:pStyle w:val="a3"/>
        <w:spacing w:before="5"/>
        <w:rPr>
          <w:rFonts w:ascii="Trebuchet MS"/>
          <w:sz w:val="10"/>
          <w:lang w:val="uk-UA"/>
        </w:rPr>
      </w:pPr>
    </w:p>
    <w:p w14:paraId="4D946237" w14:textId="77777777" w:rsidR="00E05B98" w:rsidRPr="003C6DAE" w:rsidRDefault="00E05B98">
      <w:pPr>
        <w:pStyle w:val="a3"/>
        <w:spacing w:before="5"/>
        <w:rPr>
          <w:rFonts w:ascii="Trebuchet MS"/>
          <w:sz w:val="10"/>
          <w:lang w:val="uk-UA"/>
        </w:rPr>
      </w:pPr>
    </w:p>
    <w:p w14:paraId="5088B80A" w14:textId="77777777" w:rsidR="00E05B98" w:rsidRPr="003C6DAE" w:rsidRDefault="00E05B98">
      <w:pPr>
        <w:pStyle w:val="a3"/>
        <w:spacing w:before="6"/>
        <w:rPr>
          <w:rFonts w:ascii="Trebuchet MS"/>
          <w:sz w:val="12"/>
          <w:lang w:val="uk-UA"/>
        </w:rPr>
      </w:pPr>
    </w:p>
    <w:p w14:paraId="28092C3B" w14:textId="77777777" w:rsidR="00E05B98" w:rsidRPr="003C6DAE" w:rsidRDefault="00B01E0C">
      <w:pPr>
        <w:pStyle w:val="a3"/>
        <w:spacing w:line="113" w:lineRule="exact"/>
        <w:ind w:left="921" w:right="-87"/>
        <w:rPr>
          <w:rFonts w:ascii="Trebuchet MS"/>
          <w:position w:val="-1"/>
          <w:sz w:val="11"/>
          <w:lang w:val="uk-UA"/>
        </w:rPr>
      </w:pPr>
      <w:r w:rsidRPr="003C6DAE">
        <w:rPr>
          <w:rFonts w:ascii="Trebuchet MS"/>
          <w:noProof/>
          <w:position w:val="-1"/>
          <w:sz w:val="11"/>
          <w:lang w:val="uk-UA"/>
        </w:rPr>
        <mc:AlternateContent>
          <mc:Choice Requires="wpg">
            <w:drawing>
              <wp:inline distT="0" distB="0" distL="0" distR="0" wp14:anchorId="0EB55B81" wp14:editId="5E842007">
                <wp:extent cx="380365" cy="72390"/>
                <wp:effectExtent l="9525" t="0" r="635" b="3809"/>
                <wp:docPr id="1621" name="Group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 cy="72390"/>
                          <a:chOff x="0" y="0"/>
                          <a:chExt cx="380365" cy="72390"/>
                        </a:xfrm>
                      </wpg:grpSpPr>
                      <wps:wsp>
                        <wps:cNvPr id="1622" name="Graphic 1622"/>
                        <wps:cNvSpPr/>
                        <wps:spPr>
                          <a:xfrm>
                            <a:off x="0" y="30843"/>
                            <a:ext cx="380365" cy="1270"/>
                          </a:xfrm>
                          <a:custGeom>
                            <a:avLst/>
                            <a:gdLst/>
                            <a:ahLst/>
                            <a:cxnLst/>
                            <a:rect l="l" t="t" r="r" b="b"/>
                            <a:pathLst>
                              <a:path w="380365">
                                <a:moveTo>
                                  <a:pt x="0" y="0"/>
                                </a:moveTo>
                                <a:lnTo>
                                  <a:pt x="274507" y="0"/>
                                </a:lnTo>
                              </a:path>
                              <a:path w="380365">
                                <a:moveTo>
                                  <a:pt x="328481" y="0"/>
                                </a:moveTo>
                                <a:lnTo>
                                  <a:pt x="379759" y="0"/>
                                </a:lnTo>
                              </a:path>
                            </a:pathLst>
                          </a:custGeom>
                          <a:ln w="10281">
                            <a:solidFill>
                              <a:srgbClr val="000000"/>
                            </a:solidFill>
                            <a:prstDash val="solid"/>
                          </a:ln>
                        </wps:spPr>
                        <wps:bodyPr wrap="square" lIns="0" tIns="0" rIns="0" bIns="0" rtlCol="0">
                          <a:prstTxWarp prst="textNoShape">
                            <a:avLst/>
                          </a:prstTxWarp>
                          <a:noAutofit/>
                        </wps:bodyPr>
                      </wps:wsp>
                      <wps:wsp>
                        <wps:cNvPr id="1623" name="Graphic 1623"/>
                        <wps:cNvSpPr/>
                        <wps:spPr>
                          <a:xfrm>
                            <a:off x="274507" y="0"/>
                            <a:ext cx="53975" cy="72390"/>
                          </a:xfrm>
                          <a:custGeom>
                            <a:avLst/>
                            <a:gdLst/>
                            <a:ahLst/>
                            <a:cxnLst/>
                            <a:rect l="l" t="t" r="r" b="b"/>
                            <a:pathLst>
                              <a:path w="53975" h="72390">
                                <a:moveTo>
                                  <a:pt x="53974" y="71967"/>
                                </a:moveTo>
                                <a:lnTo>
                                  <a:pt x="0" y="71967"/>
                                </a:lnTo>
                                <a:lnTo>
                                  <a:pt x="0" y="0"/>
                                </a:lnTo>
                                <a:lnTo>
                                  <a:pt x="53974" y="0"/>
                                </a:lnTo>
                                <a:lnTo>
                                  <a:pt x="53974" y="71967"/>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38C634C5" id="Group 1621" o:spid="_x0000_s1026" style="width:29.95pt;height:5.7pt;mso-position-horizontal-relative:char;mso-position-vertical-relative:line" coordsize="38036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">
                <v:shape id="Graphic 1622" o:spid="_x0000_s1027" style="position:absolute;top:30843;width:380365;height:1270;visibility:visible;mso-wrap-style:square;v-text-anchor:top" coordsize="380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" path="m,l274507,em328481,r51278,e" filled="f" strokeweight=".28558mm">
                  <v:path arrowok="t"/>
                </v:shape>
                <v:shape id="Graphic 1623" o:spid="_x0000_s1028" style="position:absolute;left:274507;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" path="m53974,71967l,71967,,,53974,r,71967xe" fillcolor="#0000c0" stroked="f">
                  <v:path arrowok="t"/>
                </v:shape>
                <w10:anchorlock/>
              </v:group>
            </w:pict>
          </mc:Fallback>
        </mc:AlternateContent>
      </w:r>
    </w:p>
    <w:p w14:paraId="02F289B0" w14:textId="77777777" w:rsidR="00E05B98" w:rsidRPr="003C6DAE" w:rsidRDefault="00B01E0C">
      <w:pPr>
        <w:pStyle w:val="a3"/>
        <w:spacing w:before="5"/>
        <w:rPr>
          <w:rFonts w:ascii="Trebuchet MS"/>
          <w:sz w:val="10"/>
          <w:lang w:val="uk-UA"/>
        </w:rPr>
      </w:pPr>
      <w:r w:rsidRPr="003C6DAE">
        <w:rPr>
          <w:rFonts w:ascii="Trebuchet MS"/>
          <w:noProof/>
          <w:sz w:val="10"/>
          <w:lang w:val="uk-UA"/>
        </w:rPr>
        <mc:AlternateContent>
          <mc:Choice Requires="wpg">
            <w:drawing>
              <wp:anchor distT="0" distB="0" distL="0" distR="0" simplePos="0" relativeHeight="487862272" behindDoc="1" locked="0" layoutInCell="1" allowOverlap="1" wp14:anchorId="0DCDA747" wp14:editId="1241DA65">
                <wp:simplePos x="0" y="0"/>
                <wp:positionH relativeFrom="page">
                  <wp:posOffset>5453267</wp:posOffset>
                </wp:positionH>
                <wp:positionV relativeFrom="paragraph">
                  <wp:posOffset>92743</wp:posOffset>
                </wp:positionV>
                <wp:extent cx="85725" cy="72390"/>
                <wp:effectExtent l="0" t="0" r="0" b="0"/>
                <wp:wrapTopAndBottom/>
                <wp:docPr id="1624" name="Group 1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72390"/>
                          <a:chOff x="0" y="0"/>
                          <a:chExt cx="85725" cy="72390"/>
                        </a:xfrm>
                      </wpg:grpSpPr>
                      <wps:wsp>
                        <wps:cNvPr id="1625" name="Graphic 1625"/>
                        <wps:cNvSpPr/>
                        <wps:spPr>
                          <a:xfrm>
                            <a:off x="0" y="30843"/>
                            <a:ext cx="27940" cy="1270"/>
                          </a:xfrm>
                          <a:custGeom>
                            <a:avLst/>
                            <a:gdLst/>
                            <a:ahLst/>
                            <a:cxnLst/>
                            <a:rect l="l" t="t" r="r" b="b"/>
                            <a:pathLst>
                              <a:path w="27940">
                                <a:moveTo>
                                  <a:pt x="0" y="0"/>
                                </a:moveTo>
                                <a:lnTo>
                                  <a:pt x="27373" y="0"/>
                                </a:lnTo>
                              </a:path>
                            </a:pathLst>
                          </a:custGeom>
                          <a:ln w="10281">
                            <a:solidFill>
                              <a:srgbClr val="000000"/>
                            </a:solidFill>
                            <a:prstDash val="solid"/>
                          </a:ln>
                        </wps:spPr>
                        <wps:bodyPr wrap="square" lIns="0" tIns="0" rIns="0" bIns="0" rtlCol="0">
                          <a:prstTxWarp prst="textNoShape">
                            <a:avLst/>
                          </a:prstTxWarp>
                          <a:noAutofit/>
                        </wps:bodyPr>
                      </wps:wsp>
                      <wps:wsp>
                        <wps:cNvPr id="1626" name="Graphic 1626"/>
                        <wps:cNvSpPr/>
                        <wps:spPr>
                          <a:xfrm>
                            <a:off x="83470" y="25703"/>
                            <a:ext cx="1270" cy="10795"/>
                          </a:xfrm>
                          <a:custGeom>
                            <a:avLst/>
                            <a:gdLst/>
                            <a:ahLst/>
                            <a:cxnLst/>
                            <a:rect l="l" t="t" r="r" b="b"/>
                            <a:pathLst>
                              <a:path h="10795">
                                <a:moveTo>
                                  <a:pt x="0" y="0"/>
                                </a:moveTo>
                                <a:lnTo>
                                  <a:pt x="0" y="10281"/>
                                </a:lnTo>
                              </a:path>
                            </a:pathLst>
                          </a:custGeom>
                          <a:ln w="4240">
                            <a:solidFill>
                              <a:srgbClr val="000000"/>
                            </a:solidFill>
                            <a:prstDash val="solid"/>
                          </a:ln>
                        </wps:spPr>
                        <wps:bodyPr wrap="square" lIns="0" tIns="0" rIns="0" bIns="0" rtlCol="0">
                          <a:prstTxWarp prst="textNoShape">
                            <a:avLst/>
                          </a:prstTxWarp>
                          <a:noAutofit/>
                        </wps:bodyPr>
                      </wps:wsp>
                      <wps:wsp>
                        <wps:cNvPr id="1627" name="Graphic 1627"/>
                        <wps:cNvSpPr/>
                        <wps:spPr>
                          <a:xfrm>
                            <a:off x="27373"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D2FDFE4" id="Group 1624" o:spid="_x0000_s1026" style="position:absolute;margin-left:429.4pt;margin-top:7.3pt;width:6.75pt;height:5.7pt;z-index:-15454208;mso-wrap-distance-left:0;mso-wrap-distance-right:0;mso-position-horizontal-relative:page" coordsize="8572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">
                <v:shape id="Graphic 1625" o:spid="_x0000_s1027" style="position:absolute;top:30843;width:27940;height:1270;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" path="m,l27373,e" filled="f" strokeweight=".28558mm">
                  <v:path arrowok="t"/>
                </v:shape>
                <v:shape id="Graphic 1626" o:spid="_x0000_s1028" style="position:absolute;left:83470;top:25703;width:1270;height:10795;visibility:visible;mso-wrap-style:square;v-text-anchor:top" coordsize="12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" path="m,l,10281e" filled="f" strokeweight=".1178mm">
                  <v:path arrowok="t"/>
                </v:shape>
                <v:shape id="Graphic 1627" o:spid="_x0000_s1029" style="position:absolute;left:27373;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" path="m53975,71967l,71967,,,53975,r,71967xe" fillcolor="#0000c0" stroked="f">
                  <v:path arrowok="t"/>
                </v:shape>
                <w10:wrap type="topAndBottom" anchorx="page"/>
              </v:group>
            </w:pict>
          </mc:Fallback>
        </mc:AlternateContent>
      </w:r>
    </w:p>
    <w:p w14:paraId="2D98C588" w14:textId="77777777" w:rsidR="00E05B98" w:rsidRPr="003C6DAE" w:rsidRDefault="00E05B98">
      <w:pPr>
        <w:pStyle w:val="a3"/>
        <w:rPr>
          <w:rFonts w:ascii="Trebuchet MS"/>
          <w:sz w:val="19"/>
          <w:lang w:val="uk-UA"/>
        </w:rPr>
      </w:pPr>
    </w:p>
    <w:p w14:paraId="58DECCC5" w14:textId="77777777" w:rsidR="00E05B98" w:rsidRPr="003C6DAE" w:rsidRDefault="00E05B98">
      <w:pPr>
        <w:pStyle w:val="a3"/>
        <w:rPr>
          <w:rFonts w:ascii="Trebuchet MS"/>
          <w:sz w:val="19"/>
          <w:lang w:val="uk-UA"/>
        </w:rPr>
      </w:pPr>
    </w:p>
    <w:p w14:paraId="766294A7" w14:textId="77777777" w:rsidR="00E05B98" w:rsidRPr="003C6DAE" w:rsidRDefault="00E05B98">
      <w:pPr>
        <w:pStyle w:val="a3"/>
        <w:rPr>
          <w:rFonts w:ascii="Trebuchet MS"/>
          <w:sz w:val="19"/>
          <w:lang w:val="uk-UA"/>
        </w:rPr>
      </w:pPr>
    </w:p>
    <w:p w14:paraId="3EEDCADF" w14:textId="77777777" w:rsidR="00E05B98" w:rsidRPr="003C6DAE" w:rsidRDefault="00E05B98">
      <w:pPr>
        <w:pStyle w:val="a3"/>
        <w:spacing w:before="25"/>
        <w:rPr>
          <w:rFonts w:ascii="Trebuchet MS"/>
          <w:sz w:val="19"/>
          <w:lang w:val="uk-UA"/>
        </w:rPr>
      </w:pPr>
    </w:p>
    <w:p w14:paraId="438C9EC2" w14:textId="77777777" w:rsidR="00E05B98" w:rsidRPr="003C6DAE" w:rsidRDefault="00B01E0C">
      <w:pPr>
        <w:ind w:left="74"/>
        <w:rPr>
          <w:rFonts w:ascii="Trebuchet MS"/>
          <w:sz w:val="19"/>
          <w:lang w:val="uk-UA"/>
        </w:rPr>
      </w:pPr>
      <w:r w:rsidRPr="003C6DAE">
        <w:rPr>
          <w:rFonts w:ascii="Trebuchet MS"/>
          <w:noProof/>
          <w:sz w:val="19"/>
          <w:lang w:val="uk-UA"/>
        </w:rPr>
        <mc:AlternateContent>
          <mc:Choice Requires="wpg">
            <w:drawing>
              <wp:anchor distT="0" distB="0" distL="0" distR="0" simplePos="0" relativeHeight="16016384" behindDoc="0" locked="0" layoutInCell="1" allowOverlap="1" wp14:anchorId="3046FFD2" wp14:editId="045F4247">
                <wp:simplePos x="0" y="0"/>
                <wp:positionH relativeFrom="page">
                  <wp:posOffset>5502616</wp:posOffset>
                </wp:positionH>
                <wp:positionV relativeFrom="paragraph">
                  <wp:posOffset>-483707</wp:posOffset>
                </wp:positionV>
                <wp:extent cx="109220" cy="72390"/>
                <wp:effectExtent l="0" t="0" r="0" b="0"/>
                <wp:wrapNone/>
                <wp:docPr id="1628"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20" cy="72390"/>
                          <a:chOff x="0" y="0"/>
                          <a:chExt cx="109220" cy="72390"/>
                        </a:xfrm>
                      </wpg:grpSpPr>
                      <wps:wsp>
                        <wps:cNvPr id="1629" name="Graphic 1629"/>
                        <wps:cNvSpPr/>
                        <wps:spPr>
                          <a:xfrm>
                            <a:off x="0" y="30843"/>
                            <a:ext cx="55244" cy="1270"/>
                          </a:xfrm>
                          <a:custGeom>
                            <a:avLst/>
                            <a:gdLst/>
                            <a:ahLst/>
                            <a:cxnLst/>
                            <a:rect l="l" t="t" r="r" b="b"/>
                            <a:pathLst>
                              <a:path w="55244">
                                <a:moveTo>
                                  <a:pt x="0" y="0"/>
                                </a:moveTo>
                                <a:lnTo>
                                  <a:pt x="54746" y="0"/>
                                </a:lnTo>
                              </a:path>
                            </a:pathLst>
                          </a:custGeom>
                          <a:ln w="10281">
                            <a:solidFill>
                              <a:srgbClr val="000000"/>
                            </a:solidFill>
                            <a:prstDash val="solid"/>
                          </a:ln>
                        </wps:spPr>
                        <wps:bodyPr wrap="square" lIns="0" tIns="0" rIns="0" bIns="0" rtlCol="0">
                          <a:prstTxWarp prst="textNoShape">
                            <a:avLst/>
                          </a:prstTxWarp>
                          <a:noAutofit/>
                        </wps:bodyPr>
                      </wps:wsp>
                      <wps:wsp>
                        <wps:cNvPr id="1630" name="Graphic 1630"/>
                        <wps:cNvSpPr/>
                        <wps:spPr>
                          <a:xfrm>
                            <a:off x="54746"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5085026" id="Group 1628" o:spid="_x0000_s1026" style="position:absolute;margin-left:433.3pt;margin-top:-38.1pt;width:8.6pt;height:5.7pt;z-index:16016384;mso-wrap-distance-left:0;mso-wrap-distance-right:0;mso-position-horizontal-relative:page" coordsize="10922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">
                <v:shape id="Graphic 1629" o:spid="_x0000_s1027" style="position:absolute;top:30843;width:55244;height:1270;visibility:visible;mso-wrap-style:square;v-text-anchor:top" coordsize="55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" path="m,l54746,e" filled="f" strokeweight=".28558mm">
                  <v:path arrowok="t"/>
                </v:shape>
                <v:shape id="Graphic 1630" o:spid="_x0000_s1028" style="position:absolute;left:54746;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" path="m53975,71967l,71967,,,53975,r,71967xe" fillcolor="#0000c0" stroked="f">
                  <v:path arrowok="t"/>
                </v:shape>
                <w10:wrap anchorx="page"/>
              </v:group>
            </w:pict>
          </mc:Fallback>
        </mc:AlternateContent>
      </w:r>
      <w:r w:rsidRPr="003C6DAE">
        <w:rPr>
          <w:rFonts w:ascii="Trebuchet MS"/>
          <w:noProof/>
          <w:sz w:val="19"/>
          <w:lang w:val="uk-UA"/>
        </w:rPr>
        <mc:AlternateContent>
          <mc:Choice Requires="wpg">
            <w:drawing>
              <wp:anchor distT="0" distB="0" distL="0" distR="0" simplePos="0" relativeHeight="16016896" behindDoc="0" locked="0" layoutInCell="1" allowOverlap="1" wp14:anchorId="2141C5B2" wp14:editId="557E5564">
                <wp:simplePos x="0" y="0"/>
                <wp:positionH relativeFrom="page">
                  <wp:posOffset>5545797</wp:posOffset>
                </wp:positionH>
                <wp:positionV relativeFrom="paragraph">
                  <wp:posOffset>-319209</wp:posOffset>
                </wp:positionV>
                <wp:extent cx="66040" cy="72390"/>
                <wp:effectExtent l="0" t="0" r="0" b="0"/>
                <wp:wrapNone/>
                <wp:docPr id="1631" name="Group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 cy="72390"/>
                          <a:chOff x="0" y="0"/>
                          <a:chExt cx="66040" cy="72390"/>
                        </a:xfrm>
                      </wpg:grpSpPr>
                      <wps:wsp>
                        <wps:cNvPr id="1632" name="Graphic 1632"/>
                        <wps:cNvSpPr/>
                        <wps:spPr>
                          <a:xfrm>
                            <a:off x="0" y="30843"/>
                            <a:ext cx="12065" cy="1270"/>
                          </a:xfrm>
                          <a:custGeom>
                            <a:avLst/>
                            <a:gdLst/>
                            <a:ahLst/>
                            <a:cxnLst/>
                            <a:rect l="l" t="t" r="r" b="b"/>
                            <a:pathLst>
                              <a:path w="12065">
                                <a:moveTo>
                                  <a:pt x="0" y="0"/>
                                </a:moveTo>
                                <a:lnTo>
                                  <a:pt x="11565" y="0"/>
                                </a:lnTo>
                              </a:path>
                            </a:pathLst>
                          </a:custGeom>
                          <a:ln w="10281">
                            <a:solidFill>
                              <a:srgbClr val="000000"/>
                            </a:solidFill>
                            <a:prstDash val="solid"/>
                          </a:ln>
                        </wps:spPr>
                        <wps:bodyPr wrap="square" lIns="0" tIns="0" rIns="0" bIns="0" rtlCol="0">
                          <a:prstTxWarp prst="textNoShape">
                            <a:avLst/>
                          </a:prstTxWarp>
                          <a:noAutofit/>
                        </wps:bodyPr>
                      </wps:wsp>
                      <wps:wsp>
                        <wps:cNvPr id="1633" name="Graphic 1633"/>
                        <wps:cNvSpPr/>
                        <wps:spPr>
                          <a:xfrm>
                            <a:off x="11565"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F2FF315" id="Group 1631" o:spid="_x0000_s1026" style="position:absolute;margin-left:436.7pt;margin-top:-25.15pt;width:5.2pt;height:5.7pt;z-index:16016896;mso-wrap-distance-left:0;mso-wrap-distance-right:0;mso-position-horizontal-relative:page" coordsize="6604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">
                <v:shape id="Graphic 1632" o:spid="_x0000_s1027" style="position:absolute;top:30843;width:12065;height:1270;visibility:visible;mso-wrap-style:square;v-text-anchor:top" coordsize="12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" path="m,l11565,e" filled="f" strokeweight=".28558mm">
                  <v:path arrowok="t"/>
                </v:shape>
                <v:shape id="Graphic 1633" o:spid="_x0000_s1028" style="position:absolute;left:11565;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" path="m53975,71967l,71967,,,53975,r,71967xe" fillcolor="#0000c0" stroked="f">
                  <v:path arrowok="t"/>
                </v:shape>
                <w10:wrap anchorx="page"/>
              </v:group>
            </w:pict>
          </mc:Fallback>
        </mc:AlternateContent>
      </w:r>
      <w:r w:rsidRPr="003C6DAE">
        <w:rPr>
          <w:rFonts w:ascii="Trebuchet MS"/>
          <w:noProof/>
          <w:sz w:val="19"/>
          <w:lang w:val="uk-UA"/>
        </w:rPr>
        <mc:AlternateContent>
          <mc:Choice Requires="wpg">
            <w:drawing>
              <wp:anchor distT="0" distB="0" distL="0" distR="0" simplePos="0" relativeHeight="16017408" behindDoc="0" locked="0" layoutInCell="1" allowOverlap="1" wp14:anchorId="7B944B9F" wp14:editId="6A9EAEA0">
                <wp:simplePos x="0" y="0"/>
                <wp:positionH relativeFrom="page">
                  <wp:posOffset>4651338</wp:posOffset>
                </wp:positionH>
                <wp:positionV relativeFrom="paragraph">
                  <wp:posOffset>-154711</wp:posOffset>
                </wp:positionV>
                <wp:extent cx="1955164" cy="154305"/>
                <wp:effectExtent l="0" t="0" r="0" b="0"/>
                <wp:wrapNone/>
                <wp:docPr id="1634" name="Group 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164" cy="154305"/>
                          <a:chOff x="0" y="0"/>
                          <a:chExt cx="1955164" cy="154305"/>
                        </a:xfrm>
                      </wpg:grpSpPr>
                      <wps:wsp>
                        <wps:cNvPr id="1635" name="Graphic 1635"/>
                        <wps:cNvSpPr/>
                        <wps:spPr>
                          <a:xfrm>
                            <a:off x="880965" y="30844"/>
                            <a:ext cx="25400" cy="1270"/>
                          </a:xfrm>
                          <a:custGeom>
                            <a:avLst/>
                            <a:gdLst/>
                            <a:ahLst/>
                            <a:cxnLst/>
                            <a:rect l="l" t="t" r="r" b="b"/>
                            <a:pathLst>
                              <a:path w="25400">
                                <a:moveTo>
                                  <a:pt x="0" y="0"/>
                                </a:moveTo>
                                <a:lnTo>
                                  <a:pt x="25059" y="0"/>
                                </a:lnTo>
                              </a:path>
                            </a:pathLst>
                          </a:custGeom>
                          <a:ln w="10281">
                            <a:solidFill>
                              <a:srgbClr val="000000"/>
                            </a:solidFill>
                            <a:prstDash val="solid"/>
                          </a:ln>
                        </wps:spPr>
                        <wps:bodyPr wrap="square" lIns="0" tIns="0" rIns="0" bIns="0" rtlCol="0">
                          <a:prstTxWarp prst="textNoShape">
                            <a:avLst/>
                          </a:prstTxWarp>
                          <a:noAutofit/>
                        </wps:bodyPr>
                      </wps:wsp>
                      <wps:wsp>
                        <wps:cNvPr id="1636" name="Graphic 1636"/>
                        <wps:cNvSpPr/>
                        <wps:spPr>
                          <a:xfrm>
                            <a:off x="906025"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s:wsp>
                        <wps:cNvPr id="1637" name="Graphic 1637"/>
                        <wps:cNvSpPr/>
                        <wps:spPr>
                          <a:xfrm>
                            <a:off x="3855" y="113093"/>
                            <a:ext cx="918210" cy="1270"/>
                          </a:xfrm>
                          <a:custGeom>
                            <a:avLst/>
                            <a:gdLst/>
                            <a:ahLst/>
                            <a:cxnLst/>
                            <a:rect l="l" t="t" r="r" b="b"/>
                            <a:pathLst>
                              <a:path w="918210">
                                <a:moveTo>
                                  <a:pt x="0" y="0"/>
                                </a:moveTo>
                                <a:lnTo>
                                  <a:pt x="917591" y="0"/>
                                </a:lnTo>
                              </a:path>
                            </a:pathLst>
                          </a:custGeom>
                          <a:ln w="10281">
                            <a:solidFill>
                              <a:srgbClr val="000000"/>
                            </a:solidFill>
                            <a:prstDash val="solid"/>
                          </a:ln>
                        </wps:spPr>
                        <wps:bodyPr wrap="square" lIns="0" tIns="0" rIns="0" bIns="0" rtlCol="0">
                          <a:prstTxWarp prst="textNoShape">
                            <a:avLst/>
                          </a:prstTxWarp>
                          <a:noAutofit/>
                        </wps:bodyPr>
                      </wps:wsp>
                      <wps:wsp>
                        <wps:cNvPr id="1638" name="Graphic 1638"/>
                        <wps:cNvSpPr/>
                        <wps:spPr>
                          <a:xfrm>
                            <a:off x="3855" y="71968"/>
                            <a:ext cx="1270" cy="82550"/>
                          </a:xfrm>
                          <a:custGeom>
                            <a:avLst/>
                            <a:gdLst/>
                            <a:ahLst/>
                            <a:cxnLst/>
                            <a:rect l="l" t="t" r="r" b="b"/>
                            <a:pathLst>
                              <a:path h="82550">
                                <a:moveTo>
                                  <a:pt x="0" y="0"/>
                                </a:moveTo>
                                <a:lnTo>
                                  <a:pt x="0" y="82249"/>
                                </a:lnTo>
                              </a:path>
                            </a:pathLst>
                          </a:custGeom>
                          <a:ln w="7710">
                            <a:solidFill>
                              <a:srgbClr val="000000"/>
                            </a:solidFill>
                            <a:prstDash val="solid"/>
                          </a:ln>
                        </wps:spPr>
                        <wps:bodyPr wrap="square" lIns="0" tIns="0" rIns="0" bIns="0" rtlCol="0">
                          <a:prstTxWarp prst="textNoShape">
                            <a:avLst/>
                          </a:prstTxWarp>
                          <a:noAutofit/>
                        </wps:bodyPr>
                      </wps:wsp>
                      <wps:wsp>
                        <wps:cNvPr id="1639" name="Graphic 1639"/>
                        <wps:cNvSpPr/>
                        <wps:spPr>
                          <a:xfrm>
                            <a:off x="187373" y="71968"/>
                            <a:ext cx="1270" cy="82550"/>
                          </a:xfrm>
                          <a:custGeom>
                            <a:avLst/>
                            <a:gdLst/>
                            <a:ahLst/>
                            <a:cxnLst/>
                            <a:rect l="l" t="t" r="r" b="b"/>
                            <a:pathLst>
                              <a:path h="82550">
                                <a:moveTo>
                                  <a:pt x="0" y="0"/>
                                </a:moveTo>
                                <a:lnTo>
                                  <a:pt x="0" y="82249"/>
                                </a:lnTo>
                              </a:path>
                            </a:pathLst>
                          </a:custGeom>
                          <a:ln w="7710">
                            <a:solidFill>
                              <a:srgbClr val="000000"/>
                            </a:solidFill>
                            <a:prstDash val="solid"/>
                          </a:ln>
                        </wps:spPr>
                        <wps:bodyPr wrap="square" lIns="0" tIns="0" rIns="0" bIns="0" rtlCol="0">
                          <a:prstTxWarp prst="textNoShape">
                            <a:avLst/>
                          </a:prstTxWarp>
                          <a:noAutofit/>
                        </wps:bodyPr>
                      </wps:wsp>
                      <wps:wsp>
                        <wps:cNvPr id="1640" name="Graphic 1640"/>
                        <wps:cNvSpPr/>
                        <wps:spPr>
                          <a:xfrm>
                            <a:off x="370892" y="71968"/>
                            <a:ext cx="1270" cy="82550"/>
                          </a:xfrm>
                          <a:custGeom>
                            <a:avLst/>
                            <a:gdLst/>
                            <a:ahLst/>
                            <a:cxnLst/>
                            <a:rect l="l" t="t" r="r" b="b"/>
                            <a:pathLst>
                              <a:path h="82550">
                                <a:moveTo>
                                  <a:pt x="0" y="0"/>
                                </a:moveTo>
                                <a:lnTo>
                                  <a:pt x="0" y="82249"/>
                                </a:lnTo>
                              </a:path>
                            </a:pathLst>
                          </a:custGeom>
                          <a:ln w="7710">
                            <a:solidFill>
                              <a:srgbClr val="000000"/>
                            </a:solidFill>
                            <a:prstDash val="solid"/>
                          </a:ln>
                        </wps:spPr>
                        <wps:bodyPr wrap="square" lIns="0" tIns="0" rIns="0" bIns="0" rtlCol="0">
                          <a:prstTxWarp prst="textNoShape">
                            <a:avLst/>
                          </a:prstTxWarp>
                          <a:noAutofit/>
                        </wps:bodyPr>
                      </wps:wsp>
                      <wps:wsp>
                        <wps:cNvPr id="1641" name="Graphic 1641"/>
                        <wps:cNvSpPr/>
                        <wps:spPr>
                          <a:xfrm>
                            <a:off x="554024" y="71968"/>
                            <a:ext cx="1270" cy="82550"/>
                          </a:xfrm>
                          <a:custGeom>
                            <a:avLst/>
                            <a:gdLst/>
                            <a:ahLst/>
                            <a:cxnLst/>
                            <a:rect l="l" t="t" r="r" b="b"/>
                            <a:pathLst>
                              <a:path h="82550">
                                <a:moveTo>
                                  <a:pt x="0" y="0"/>
                                </a:moveTo>
                                <a:lnTo>
                                  <a:pt x="0" y="82249"/>
                                </a:lnTo>
                              </a:path>
                            </a:pathLst>
                          </a:custGeom>
                          <a:ln w="7710">
                            <a:solidFill>
                              <a:srgbClr val="000000"/>
                            </a:solidFill>
                            <a:prstDash val="solid"/>
                          </a:ln>
                        </wps:spPr>
                        <wps:bodyPr wrap="square" lIns="0" tIns="0" rIns="0" bIns="0" rtlCol="0">
                          <a:prstTxWarp prst="textNoShape">
                            <a:avLst/>
                          </a:prstTxWarp>
                          <a:noAutofit/>
                        </wps:bodyPr>
                      </wps:wsp>
                      <wps:wsp>
                        <wps:cNvPr id="1642" name="Graphic 1642"/>
                        <wps:cNvSpPr/>
                        <wps:spPr>
                          <a:xfrm>
                            <a:off x="737928" y="71968"/>
                            <a:ext cx="1270" cy="82550"/>
                          </a:xfrm>
                          <a:custGeom>
                            <a:avLst/>
                            <a:gdLst/>
                            <a:ahLst/>
                            <a:cxnLst/>
                            <a:rect l="l" t="t" r="r" b="b"/>
                            <a:pathLst>
                              <a:path h="82550">
                                <a:moveTo>
                                  <a:pt x="0" y="0"/>
                                </a:moveTo>
                                <a:lnTo>
                                  <a:pt x="0" y="82249"/>
                                </a:lnTo>
                              </a:path>
                            </a:pathLst>
                          </a:custGeom>
                          <a:ln w="7710">
                            <a:solidFill>
                              <a:srgbClr val="000000"/>
                            </a:solidFill>
                            <a:prstDash val="solid"/>
                          </a:ln>
                        </wps:spPr>
                        <wps:bodyPr wrap="square" lIns="0" tIns="0" rIns="0" bIns="0" rtlCol="0">
                          <a:prstTxWarp prst="textNoShape">
                            <a:avLst/>
                          </a:prstTxWarp>
                          <a:noAutofit/>
                        </wps:bodyPr>
                      </wps:wsp>
                      <wps:wsp>
                        <wps:cNvPr id="1643" name="Graphic 1643"/>
                        <wps:cNvSpPr/>
                        <wps:spPr>
                          <a:xfrm>
                            <a:off x="921446" y="71968"/>
                            <a:ext cx="1270" cy="82550"/>
                          </a:xfrm>
                          <a:custGeom>
                            <a:avLst/>
                            <a:gdLst/>
                            <a:ahLst/>
                            <a:cxnLst/>
                            <a:rect l="l" t="t" r="r" b="b"/>
                            <a:pathLst>
                              <a:path h="82550">
                                <a:moveTo>
                                  <a:pt x="0" y="0"/>
                                </a:moveTo>
                                <a:lnTo>
                                  <a:pt x="0" y="82249"/>
                                </a:lnTo>
                              </a:path>
                            </a:pathLst>
                          </a:custGeom>
                          <a:ln w="7710">
                            <a:solidFill>
                              <a:srgbClr val="000000"/>
                            </a:solidFill>
                            <a:prstDash val="solid"/>
                          </a:ln>
                        </wps:spPr>
                        <wps:bodyPr wrap="square" lIns="0" tIns="0" rIns="0" bIns="0" rtlCol="0">
                          <a:prstTxWarp prst="textNoShape">
                            <a:avLst/>
                          </a:prstTxWarp>
                          <a:noAutofit/>
                        </wps:bodyPr>
                      </wps:wsp>
                      <wps:wsp>
                        <wps:cNvPr id="1644" name="Graphic 1644"/>
                        <wps:cNvSpPr/>
                        <wps:spPr>
                          <a:xfrm>
                            <a:off x="1901110" y="0"/>
                            <a:ext cx="53975" cy="72390"/>
                          </a:xfrm>
                          <a:custGeom>
                            <a:avLst/>
                            <a:gdLst/>
                            <a:ahLst/>
                            <a:cxnLst/>
                            <a:rect l="l" t="t" r="r" b="b"/>
                            <a:pathLst>
                              <a:path w="53975" h="72390">
                                <a:moveTo>
                                  <a:pt x="53976" y="71967"/>
                                </a:moveTo>
                                <a:lnTo>
                                  <a:pt x="0" y="71967"/>
                                </a:lnTo>
                                <a:lnTo>
                                  <a:pt x="0" y="0"/>
                                </a:lnTo>
                                <a:lnTo>
                                  <a:pt x="53976" y="0"/>
                                </a:lnTo>
                                <a:lnTo>
                                  <a:pt x="53976" y="71967"/>
                                </a:lnTo>
                                <a:close/>
                              </a:path>
                            </a:pathLst>
                          </a:custGeom>
                          <a:solidFill>
                            <a:srgbClr val="0000C0"/>
                          </a:solidFill>
                        </wps:spPr>
                        <wps:bodyPr wrap="square" lIns="0" tIns="0" rIns="0" bIns="0" rtlCol="0">
                          <a:prstTxWarp prst="textNoShape">
                            <a:avLst/>
                          </a:prstTxWarp>
                          <a:noAutofit/>
                        </wps:bodyPr>
                      </wps:wsp>
                      <wps:wsp>
                        <wps:cNvPr id="1645" name="Graphic 1645"/>
                        <wps:cNvSpPr/>
                        <wps:spPr>
                          <a:xfrm>
                            <a:off x="1006265" y="113093"/>
                            <a:ext cx="918210" cy="1270"/>
                          </a:xfrm>
                          <a:custGeom>
                            <a:avLst/>
                            <a:gdLst/>
                            <a:ahLst/>
                            <a:cxnLst/>
                            <a:rect l="l" t="t" r="r" b="b"/>
                            <a:pathLst>
                              <a:path w="918210">
                                <a:moveTo>
                                  <a:pt x="0" y="0"/>
                                </a:moveTo>
                                <a:lnTo>
                                  <a:pt x="917591" y="0"/>
                                </a:lnTo>
                              </a:path>
                            </a:pathLst>
                          </a:custGeom>
                          <a:ln w="10281">
                            <a:solidFill>
                              <a:srgbClr val="000000"/>
                            </a:solidFill>
                            <a:prstDash val="solid"/>
                          </a:ln>
                        </wps:spPr>
                        <wps:bodyPr wrap="square" lIns="0" tIns="0" rIns="0" bIns="0" rtlCol="0">
                          <a:prstTxWarp prst="textNoShape">
                            <a:avLst/>
                          </a:prstTxWarp>
                          <a:noAutofit/>
                        </wps:bodyPr>
                      </wps:wsp>
                      <wps:wsp>
                        <wps:cNvPr id="1646" name="Graphic 1646"/>
                        <wps:cNvSpPr/>
                        <wps:spPr>
                          <a:xfrm>
                            <a:off x="1006265" y="71968"/>
                            <a:ext cx="1270" cy="82550"/>
                          </a:xfrm>
                          <a:custGeom>
                            <a:avLst/>
                            <a:gdLst/>
                            <a:ahLst/>
                            <a:cxnLst/>
                            <a:rect l="l" t="t" r="r" b="b"/>
                            <a:pathLst>
                              <a:path h="82550">
                                <a:moveTo>
                                  <a:pt x="0" y="0"/>
                                </a:moveTo>
                                <a:lnTo>
                                  <a:pt x="0" y="82249"/>
                                </a:lnTo>
                              </a:path>
                            </a:pathLst>
                          </a:custGeom>
                          <a:ln w="7710">
                            <a:solidFill>
                              <a:srgbClr val="000000"/>
                            </a:solidFill>
                            <a:prstDash val="solid"/>
                          </a:ln>
                        </wps:spPr>
                        <wps:bodyPr wrap="square" lIns="0" tIns="0" rIns="0" bIns="0" rtlCol="0">
                          <a:prstTxWarp prst="textNoShape">
                            <a:avLst/>
                          </a:prstTxWarp>
                          <a:noAutofit/>
                        </wps:bodyPr>
                      </wps:wsp>
                      <wps:wsp>
                        <wps:cNvPr id="1647" name="Graphic 1647"/>
                        <wps:cNvSpPr/>
                        <wps:spPr>
                          <a:xfrm>
                            <a:off x="1189784" y="71968"/>
                            <a:ext cx="1270" cy="82550"/>
                          </a:xfrm>
                          <a:custGeom>
                            <a:avLst/>
                            <a:gdLst/>
                            <a:ahLst/>
                            <a:cxnLst/>
                            <a:rect l="l" t="t" r="r" b="b"/>
                            <a:pathLst>
                              <a:path h="82550">
                                <a:moveTo>
                                  <a:pt x="0" y="0"/>
                                </a:moveTo>
                                <a:lnTo>
                                  <a:pt x="0" y="82249"/>
                                </a:lnTo>
                              </a:path>
                            </a:pathLst>
                          </a:custGeom>
                          <a:ln w="7710">
                            <a:solidFill>
                              <a:srgbClr val="000000"/>
                            </a:solidFill>
                            <a:prstDash val="solid"/>
                          </a:ln>
                        </wps:spPr>
                        <wps:bodyPr wrap="square" lIns="0" tIns="0" rIns="0" bIns="0" rtlCol="0">
                          <a:prstTxWarp prst="textNoShape">
                            <a:avLst/>
                          </a:prstTxWarp>
                          <a:noAutofit/>
                        </wps:bodyPr>
                      </wps:wsp>
                      <wps:wsp>
                        <wps:cNvPr id="1648" name="Graphic 1648"/>
                        <wps:cNvSpPr/>
                        <wps:spPr>
                          <a:xfrm>
                            <a:off x="1373302" y="71968"/>
                            <a:ext cx="1270" cy="82550"/>
                          </a:xfrm>
                          <a:custGeom>
                            <a:avLst/>
                            <a:gdLst/>
                            <a:ahLst/>
                            <a:cxnLst/>
                            <a:rect l="l" t="t" r="r" b="b"/>
                            <a:pathLst>
                              <a:path h="82550">
                                <a:moveTo>
                                  <a:pt x="0" y="0"/>
                                </a:moveTo>
                                <a:lnTo>
                                  <a:pt x="0" y="82249"/>
                                </a:lnTo>
                              </a:path>
                            </a:pathLst>
                          </a:custGeom>
                          <a:ln w="7710">
                            <a:solidFill>
                              <a:srgbClr val="000000"/>
                            </a:solidFill>
                            <a:prstDash val="solid"/>
                          </a:ln>
                        </wps:spPr>
                        <wps:bodyPr wrap="square" lIns="0" tIns="0" rIns="0" bIns="0" rtlCol="0">
                          <a:prstTxWarp prst="textNoShape">
                            <a:avLst/>
                          </a:prstTxWarp>
                          <a:noAutofit/>
                        </wps:bodyPr>
                      </wps:wsp>
                      <wps:wsp>
                        <wps:cNvPr id="1649" name="Graphic 1649"/>
                        <wps:cNvSpPr/>
                        <wps:spPr>
                          <a:xfrm>
                            <a:off x="1556435" y="71968"/>
                            <a:ext cx="1270" cy="82550"/>
                          </a:xfrm>
                          <a:custGeom>
                            <a:avLst/>
                            <a:gdLst/>
                            <a:ahLst/>
                            <a:cxnLst/>
                            <a:rect l="l" t="t" r="r" b="b"/>
                            <a:pathLst>
                              <a:path h="82550">
                                <a:moveTo>
                                  <a:pt x="0" y="0"/>
                                </a:moveTo>
                                <a:lnTo>
                                  <a:pt x="0" y="82249"/>
                                </a:lnTo>
                              </a:path>
                            </a:pathLst>
                          </a:custGeom>
                          <a:ln w="7710">
                            <a:solidFill>
                              <a:srgbClr val="000000"/>
                            </a:solidFill>
                            <a:prstDash val="solid"/>
                          </a:ln>
                        </wps:spPr>
                        <wps:bodyPr wrap="square" lIns="0" tIns="0" rIns="0" bIns="0" rtlCol="0">
                          <a:prstTxWarp prst="textNoShape">
                            <a:avLst/>
                          </a:prstTxWarp>
                          <a:noAutofit/>
                        </wps:bodyPr>
                      </wps:wsp>
                      <wps:wsp>
                        <wps:cNvPr id="1650" name="Graphic 1650"/>
                        <wps:cNvSpPr/>
                        <wps:spPr>
                          <a:xfrm>
                            <a:off x="1740339" y="71968"/>
                            <a:ext cx="1270" cy="82550"/>
                          </a:xfrm>
                          <a:custGeom>
                            <a:avLst/>
                            <a:gdLst/>
                            <a:ahLst/>
                            <a:cxnLst/>
                            <a:rect l="l" t="t" r="r" b="b"/>
                            <a:pathLst>
                              <a:path h="82550">
                                <a:moveTo>
                                  <a:pt x="0" y="0"/>
                                </a:moveTo>
                                <a:lnTo>
                                  <a:pt x="0" y="82249"/>
                                </a:lnTo>
                              </a:path>
                            </a:pathLst>
                          </a:custGeom>
                          <a:ln w="7710">
                            <a:solidFill>
                              <a:srgbClr val="000000"/>
                            </a:solidFill>
                            <a:prstDash val="solid"/>
                          </a:ln>
                        </wps:spPr>
                        <wps:bodyPr wrap="square" lIns="0" tIns="0" rIns="0" bIns="0" rtlCol="0">
                          <a:prstTxWarp prst="textNoShape">
                            <a:avLst/>
                          </a:prstTxWarp>
                          <a:noAutofit/>
                        </wps:bodyPr>
                      </wps:wsp>
                      <wps:wsp>
                        <wps:cNvPr id="1651" name="Graphic 1651"/>
                        <wps:cNvSpPr/>
                        <wps:spPr>
                          <a:xfrm>
                            <a:off x="1923858" y="71968"/>
                            <a:ext cx="1270" cy="82550"/>
                          </a:xfrm>
                          <a:custGeom>
                            <a:avLst/>
                            <a:gdLst/>
                            <a:ahLst/>
                            <a:cxnLst/>
                            <a:rect l="l" t="t" r="r" b="b"/>
                            <a:pathLst>
                              <a:path h="82550">
                                <a:moveTo>
                                  <a:pt x="0" y="0"/>
                                </a:moveTo>
                                <a:lnTo>
                                  <a:pt x="0" y="82249"/>
                                </a:lnTo>
                              </a:path>
                            </a:pathLst>
                          </a:custGeom>
                          <a:ln w="771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F040C3" id="Group 1634" o:spid="_x0000_s1026" style="position:absolute;margin-left:366.25pt;margin-top:-12.2pt;width:153.95pt;height:12.15pt;z-index:16017408;mso-wrap-distance-left:0;mso-wrap-distance-right:0;mso-position-horizontal-relative:page" coordsize="19551,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">
                <v:shape id="Graphic 1635" o:spid="_x0000_s1027" style="position:absolute;left:8809;top:308;width:254;height:13;visibility:visible;mso-wrap-style:square;v-text-anchor:top" coordsize="25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" path="m,l25059,e" filled="f" strokeweight=".28558mm">
                  <v:path arrowok="t"/>
                </v:shape>
                <v:shape id="Graphic 1636" o:spid="_x0000_s1028" style="position:absolute;left:9060;width:540;height:723;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" path="m53975,71967l,71967,,,53975,r,71967xe" fillcolor="#0000c0" stroked="f">
                  <v:path arrowok="t"/>
                </v:shape>
                <v:shape id="Graphic 1637" o:spid="_x0000_s1029" style="position:absolute;left:38;top:1130;width:9182;height:13;visibility:visible;mso-wrap-style:square;v-text-anchor:top" coordsize="918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" path="m,l917591,e" filled="f" strokeweight=".28558mm">
                  <v:path arrowok="t"/>
                </v:shape>
                <v:shape id="Graphic 1638" o:spid="_x0000_s1030" style="position:absolute;left:38;top:719;width:13;height:826;visibility:visible;mso-wrap-style:square;v-text-anchor:top" coordsize="12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" path="m,l,82249e" filled="f" strokeweight=".21417mm">
                  <v:path arrowok="t"/>
                </v:shape>
                <v:shape id="Graphic 1639" o:spid="_x0000_s1031" style="position:absolute;left:1873;top:719;width:13;height:826;visibility:visible;mso-wrap-style:square;v-text-anchor:top" coordsize="12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" path="m,l,82249e" filled="f" strokeweight=".21417mm">
                  <v:path arrowok="t"/>
                </v:shape>
                <v:shape id="Graphic 1640" o:spid="_x0000_s1032" style="position:absolute;left:3708;top:719;width:13;height:826;visibility:visible;mso-wrap-style:square;v-text-anchor:top" coordsize="12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" path="m,l,82249e" filled="f" strokeweight=".21417mm">
                  <v:path arrowok="t"/>
                </v:shape>
                <v:shape id="Graphic 1641" o:spid="_x0000_s1033" style="position:absolute;left:5540;top:719;width:12;height:826;visibility:visible;mso-wrap-style:square;v-text-anchor:top" coordsize="12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" path="m,l,82249e" filled="f" strokeweight=".21417mm">
                  <v:path arrowok="t"/>
                </v:shape>
                <v:shape id="Graphic 1642" o:spid="_x0000_s1034" style="position:absolute;left:7379;top:719;width:12;height:826;visibility:visible;mso-wrap-style:square;v-text-anchor:top" coordsize="12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" path="m,l,82249e" filled="f" strokeweight=".21417mm">
                  <v:path arrowok="t"/>
                </v:shape>
                <v:shape id="Graphic 1643" o:spid="_x0000_s1035" style="position:absolute;left:9214;top:719;width:13;height:826;visibility:visible;mso-wrap-style:square;v-text-anchor:top" coordsize="12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" path="m,l,82249e" filled="f" strokeweight=".21417mm">
                  <v:path arrowok="t"/>
                </v:shape>
                <v:shape id="Graphic 1644" o:spid="_x0000_s1036" style="position:absolute;left:19011;width:539;height:723;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" path="m53976,71967l,71967,,,53976,r,71967xe" fillcolor="#0000c0" stroked="f">
                  <v:path arrowok="t"/>
                </v:shape>
                <v:shape id="Graphic 1645" o:spid="_x0000_s1037" style="position:absolute;left:10062;top:1130;width:9182;height:13;visibility:visible;mso-wrap-style:square;v-text-anchor:top" coordsize="918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" path="m,l917591,e" filled="f" strokeweight=".28558mm">
                  <v:path arrowok="t"/>
                </v:shape>
                <v:shape id="Graphic 1646" o:spid="_x0000_s1038" style="position:absolute;left:10062;top:719;width:13;height:826;visibility:visible;mso-wrap-style:square;v-text-anchor:top" coordsize="12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" path="m,l,82249e" filled="f" strokeweight=".21417mm">
                  <v:path arrowok="t"/>
                </v:shape>
                <v:shape id="Graphic 1647" o:spid="_x0000_s1039" style="position:absolute;left:11897;top:719;width:13;height:826;visibility:visible;mso-wrap-style:square;v-text-anchor:top" coordsize="12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" path="m,l,82249e" filled="f" strokeweight=".21417mm">
                  <v:path arrowok="t"/>
                </v:shape>
                <v:shape id="Graphic 1648" o:spid="_x0000_s1040" style="position:absolute;left:13733;top:719;width:12;height:826;visibility:visible;mso-wrap-style:square;v-text-anchor:top" coordsize="12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" path="m,l,82249e" filled="f" strokeweight=".21417mm">
                  <v:path arrowok="t"/>
                </v:shape>
                <v:shape id="Graphic 1649" o:spid="_x0000_s1041" style="position:absolute;left:15564;top:719;width:13;height:826;visibility:visible;mso-wrap-style:square;v-text-anchor:top" coordsize="12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" path="m,l,82249e" filled="f" strokeweight=".21417mm">
                  <v:path arrowok="t"/>
                </v:shape>
                <v:shape id="Graphic 1650" o:spid="_x0000_s1042" style="position:absolute;left:17403;top:719;width:13;height:826;visibility:visible;mso-wrap-style:square;v-text-anchor:top" coordsize="12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" path="m,l,82249e" filled="f" strokeweight=".21417mm">
                  <v:path arrowok="t"/>
                </v:shape>
                <v:shape id="Graphic 1651" o:spid="_x0000_s1043" style="position:absolute;left:19238;top:719;width:13;height:826;visibility:visible;mso-wrap-style:square;v-text-anchor:top" coordsize="12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" path="m,l,82249e" filled="f" strokeweight=".21417mm">
                  <v:path arrowok="t"/>
                </v:shape>
                <w10:wrap anchorx="page"/>
              </v:group>
            </w:pict>
          </mc:Fallback>
        </mc:AlternateContent>
      </w:r>
      <w:r w:rsidRPr="003C6DAE">
        <w:rPr>
          <w:rFonts w:ascii="Trebuchet MS"/>
          <w:w w:val="75"/>
          <w:sz w:val="19"/>
          <w:lang w:val="uk-UA"/>
        </w:rPr>
        <w:t>0</w:t>
      </w:r>
      <w:r w:rsidRPr="003C6DAE">
        <w:rPr>
          <w:rFonts w:ascii="Trebuchet MS"/>
          <w:spacing w:val="46"/>
          <w:sz w:val="19"/>
          <w:lang w:val="uk-UA"/>
        </w:rPr>
        <w:t xml:space="preserve"> </w:t>
      </w:r>
      <w:r w:rsidRPr="003C6DAE">
        <w:rPr>
          <w:rFonts w:ascii="Trebuchet MS"/>
          <w:w w:val="75"/>
          <w:sz w:val="19"/>
          <w:lang w:val="uk-UA"/>
        </w:rPr>
        <w:t>0.2</w:t>
      </w:r>
      <w:r w:rsidRPr="003C6DAE">
        <w:rPr>
          <w:rFonts w:ascii="Trebuchet MS"/>
          <w:spacing w:val="28"/>
          <w:sz w:val="19"/>
          <w:lang w:val="uk-UA"/>
        </w:rPr>
        <w:t xml:space="preserve"> </w:t>
      </w:r>
      <w:r w:rsidRPr="003C6DAE">
        <w:rPr>
          <w:rFonts w:ascii="Trebuchet MS"/>
          <w:w w:val="75"/>
          <w:sz w:val="19"/>
          <w:lang w:val="uk-UA"/>
        </w:rPr>
        <w:t>0.4</w:t>
      </w:r>
      <w:r w:rsidRPr="003C6DAE">
        <w:rPr>
          <w:rFonts w:ascii="Trebuchet MS"/>
          <w:spacing w:val="28"/>
          <w:sz w:val="19"/>
          <w:lang w:val="uk-UA"/>
        </w:rPr>
        <w:t xml:space="preserve"> </w:t>
      </w:r>
      <w:r w:rsidRPr="003C6DAE">
        <w:rPr>
          <w:rFonts w:ascii="Trebuchet MS"/>
          <w:w w:val="75"/>
          <w:sz w:val="19"/>
          <w:lang w:val="uk-UA"/>
        </w:rPr>
        <w:t>0.6</w:t>
      </w:r>
      <w:r w:rsidRPr="003C6DAE">
        <w:rPr>
          <w:rFonts w:ascii="Trebuchet MS"/>
          <w:spacing w:val="27"/>
          <w:sz w:val="19"/>
          <w:lang w:val="uk-UA"/>
        </w:rPr>
        <w:t xml:space="preserve"> </w:t>
      </w:r>
      <w:r w:rsidRPr="003C6DAE">
        <w:rPr>
          <w:rFonts w:ascii="Trebuchet MS"/>
          <w:w w:val="75"/>
          <w:sz w:val="19"/>
          <w:lang w:val="uk-UA"/>
        </w:rPr>
        <w:t>0.8</w:t>
      </w:r>
      <w:r w:rsidRPr="003C6DAE">
        <w:rPr>
          <w:rFonts w:ascii="Trebuchet MS"/>
          <w:spacing w:val="48"/>
          <w:sz w:val="19"/>
          <w:lang w:val="uk-UA"/>
        </w:rPr>
        <w:t xml:space="preserve"> </w:t>
      </w:r>
      <w:r w:rsidRPr="003C6DAE">
        <w:rPr>
          <w:rFonts w:ascii="Trebuchet MS"/>
          <w:spacing w:val="-10"/>
          <w:w w:val="75"/>
          <w:sz w:val="19"/>
          <w:lang w:val="uk-UA"/>
        </w:rPr>
        <w:t>1</w:t>
      </w:r>
    </w:p>
    <w:p w14:paraId="04B358D7" w14:textId="77777777" w:rsidR="00E05B98" w:rsidRPr="003C6DAE" w:rsidRDefault="00B01E0C">
      <w:pPr>
        <w:spacing w:before="107"/>
        <w:ind w:left="178"/>
        <w:rPr>
          <w:rFonts w:ascii="Trebuchet MS"/>
          <w:sz w:val="19"/>
          <w:lang w:val="uk-UA"/>
        </w:rPr>
      </w:pPr>
      <w:r w:rsidRPr="003C6DAE">
        <w:rPr>
          <w:lang w:val="uk-UA"/>
        </w:rPr>
        <w:br w:type="column"/>
      </w:r>
      <w:r w:rsidRPr="003C6DAE">
        <w:rPr>
          <w:rFonts w:ascii="Trebuchet MS"/>
          <w:color w:val="333333"/>
          <w:w w:val="70"/>
          <w:sz w:val="19"/>
          <w:lang w:val="uk-UA"/>
        </w:rPr>
        <w:t>S</w:t>
      </w:r>
      <w:r w:rsidRPr="003C6DAE">
        <w:rPr>
          <w:rFonts w:ascii="Trebuchet MS"/>
          <w:color w:val="333333"/>
          <w:spacing w:val="-14"/>
          <w:sz w:val="19"/>
          <w:lang w:val="uk-UA"/>
        </w:rPr>
        <w:t xml:space="preserve"> </w:t>
      </w:r>
      <w:proofErr w:type="spellStart"/>
      <w:r w:rsidRPr="003C6DAE">
        <w:rPr>
          <w:rFonts w:ascii="Trebuchet MS"/>
          <w:color w:val="333333"/>
          <w:w w:val="70"/>
          <w:sz w:val="19"/>
          <w:lang w:val="uk-UA"/>
        </w:rPr>
        <w:t>pecificity</w:t>
      </w:r>
      <w:proofErr w:type="spellEnd"/>
      <w:r w:rsidRPr="003C6DAE">
        <w:rPr>
          <w:rFonts w:ascii="Trebuchet MS"/>
          <w:color w:val="333333"/>
          <w:spacing w:val="32"/>
          <w:sz w:val="19"/>
          <w:lang w:val="uk-UA"/>
        </w:rPr>
        <w:t xml:space="preserve"> </w:t>
      </w:r>
      <w:r w:rsidRPr="003C6DAE">
        <w:rPr>
          <w:rFonts w:ascii="Trebuchet MS"/>
          <w:color w:val="333333"/>
          <w:w w:val="70"/>
          <w:sz w:val="19"/>
          <w:lang w:val="uk-UA"/>
        </w:rPr>
        <w:t>(95%</w:t>
      </w:r>
      <w:r w:rsidRPr="003C6DAE">
        <w:rPr>
          <w:rFonts w:ascii="Trebuchet MS"/>
          <w:color w:val="333333"/>
          <w:spacing w:val="35"/>
          <w:sz w:val="19"/>
          <w:lang w:val="uk-UA"/>
        </w:rPr>
        <w:t xml:space="preserve"> </w:t>
      </w:r>
      <w:r w:rsidRPr="003C6DAE">
        <w:rPr>
          <w:rFonts w:ascii="Trebuchet MS"/>
          <w:color w:val="333333"/>
          <w:w w:val="70"/>
          <w:sz w:val="19"/>
          <w:lang w:val="uk-UA"/>
        </w:rPr>
        <w:t>C</w:t>
      </w:r>
      <w:r w:rsidRPr="003C6DAE">
        <w:rPr>
          <w:rFonts w:ascii="Trebuchet MS"/>
          <w:color w:val="333333"/>
          <w:spacing w:val="-5"/>
          <w:w w:val="70"/>
          <w:sz w:val="19"/>
          <w:lang w:val="uk-UA"/>
        </w:rPr>
        <w:t xml:space="preserve"> I)</w:t>
      </w:r>
    </w:p>
    <w:p w14:paraId="6F63D3D8" w14:textId="77777777" w:rsidR="00E05B98" w:rsidRPr="003C6DAE" w:rsidRDefault="00B01E0C">
      <w:pPr>
        <w:pStyle w:val="a3"/>
        <w:spacing w:before="5"/>
        <w:rPr>
          <w:rFonts w:ascii="Trebuchet MS"/>
          <w:sz w:val="5"/>
          <w:lang w:val="uk-UA"/>
        </w:rPr>
      </w:pPr>
      <w:r w:rsidRPr="003C6DAE">
        <w:rPr>
          <w:rFonts w:ascii="Trebuchet MS"/>
          <w:noProof/>
          <w:sz w:val="5"/>
          <w:lang w:val="uk-UA"/>
        </w:rPr>
        <mc:AlternateContent>
          <mc:Choice Requires="wpg">
            <w:drawing>
              <wp:anchor distT="0" distB="0" distL="0" distR="0" simplePos="0" relativeHeight="487862784" behindDoc="1" locked="0" layoutInCell="1" allowOverlap="1" wp14:anchorId="630F0961" wp14:editId="03640E8A">
                <wp:simplePos x="0" y="0"/>
                <wp:positionH relativeFrom="page">
                  <wp:posOffset>6529702</wp:posOffset>
                </wp:positionH>
                <wp:positionV relativeFrom="paragraph">
                  <wp:posOffset>55591</wp:posOffset>
                </wp:positionV>
                <wp:extent cx="66040" cy="72390"/>
                <wp:effectExtent l="0" t="0" r="0" b="0"/>
                <wp:wrapTopAndBottom/>
                <wp:docPr id="1652"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 cy="72390"/>
                          <a:chOff x="0" y="0"/>
                          <a:chExt cx="66040" cy="72390"/>
                        </a:xfrm>
                      </wpg:grpSpPr>
                      <wps:wsp>
                        <wps:cNvPr id="1653" name="Graphic 1653"/>
                        <wps:cNvSpPr/>
                        <wps:spPr>
                          <a:xfrm>
                            <a:off x="0" y="30842"/>
                            <a:ext cx="12065" cy="1270"/>
                          </a:xfrm>
                          <a:custGeom>
                            <a:avLst/>
                            <a:gdLst/>
                            <a:ahLst/>
                            <a:cxnLst/>
                            <a:rect l="l" t="t" r="r" b="b"/>
                            <a:pathLst>
                              <a:path w="12065">
                                <a:moveTo>
                                  <a:pt x="0" y="0"/>
                                </a:moveTo>
                                <a:lnTo>
                                  <a:pt x="11566" y="0"/>
                                </a:lnTo>
                              </a:path>
                            </a:pathLst>
                          </a:custGeom>
                          <a:ln w="10281">
                            <a:solidFill>
                              <a:srgbClr val="000000"/>
                            </a:solidFill>
                            <a:prstDash val="solid"/>
                          </a:ln>
                        </wps:spPr>
                        <wps:bodyPr wrap="square" lIns="0" tIns="0" rIns="0" bIns="0" rtlCol="0">
                          <a:prstTxWarp prst="textNoShape">
                            <a:avLst/>
                          </a:prstTxWarp>
                          <a:noAutofit/>
                        </wps:bodyPr>
                      </wps:wsp>
                      <wps:wsp>
                        <wps:cNvPr id="1654" name="Graphic 1654"/>
                        <wps:cNvSpPr/>
                        <wps:spPr>
                          <a:xfrm>
                            <a:off x="11566"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51FCD98" id="Group 1652" o:spid="_x0000_s1026" style="position:absolute;margin-left:514.15pt;margin-top:4.4pt;width:5.2pt;height:5.7pt;z-index:-15453696;mso-wrap-distance-left:0;mso-wrap-distance-right:0;mso-position-horizontal-relative:page" coordsize="6604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">
                <v:shape id="Graphic 1653" o:spid="_x0000_s1027" style="position:absolute;top:30842;width:12065;height:1270;visibility:visible;mso-wrap-style:square;v-text-anchor:top" coordsize="12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" path="m,l11566,e" filled="f" strokeweight=".28558mm">
                  <v:path arrowok="t"/>
                </v:shape>
                <v:shape id="Graphic 1654" o:spid="_x0000_s1028" style="position:absolute;left:11566;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" path="m53975,71967l,71967,,,53975,r,71967xe" fillcolor="#0000c0" stroked="f">
                  <v:path arrowok="t"/>
                </v:shape>
                <w10:wrap type="topAndBottom" anchorx="page"/>
              </v:group>
            </w:pict>
          </mc:Fallback>
        </mc:AlternateContent>
      </w:r>
      <w:r w:rsidRPr="003C6DAE">
        <w:rPr>
          <w:rFonts w:ascii="Trebuchet MS"/>
          <w:noProof/>
          <w:sz w:val="5"/>
          <w:lang w:val="uk-UA"/>
        </w:rPr>
        <mc:AlternateContent>
          <mc:Choice Requires="wps">
            <w:drawing>
              <wp:anchor distT="0" distB="0" distL="0" distR="0" simplePos="0" relativeHeight="487863296" behindDoc="1" locked="0" layoutInCell="1" allowOverlap="1" wp14:anchorId="1C0291A0" wp14:editId="308E804D">
                <wp:simplePos x="0" y="0"/>
                <wp:positionH relativeFrom="page">
                  <wp:posOffset>6542425</wp:posOffset>
                </wp:positionH>
                <wp:positionV relativeFrom="paragraph">
                  <wp:posOffset>220089</wp:posOffset>
                </wp:positionV>
                <wp:extent cx="53975" cy="72390"/>
                <wp:effectExtent l="0" t="0" r="0" b="0"/>
                <wp:wrapTopAndBottom/>
                <wp:docPr id="1655" name="Graphic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72390"/>
                        </a:xfrm>
                        <a:custGeom>
                          <a:avLst/>
                          <a:gdLst/>
                          <a:ahLst/>
                          <a:cxnLst/>
                          <a:rect l="l" t="t" r="r" b="b"/>
                          <a:pathLst>
                            <a:path w="53975" h="72390">
                              <a:moveTo>
                                <a:pt x="53975" y="71968"/>
                              </a:moveTo>
                              <a:lnTo>
                                <a:pt x="0" y="71968"/>
                              </a:lnTo>
                              <a:lnTo>
                                <a:pt x="0" y="0"/>
                              </a:lnTo>
                              <a:lnTo>
                                <a:pt x="53975" y="0"/>
                              </a:lnTo>
                              <a:lnTo>
                                <a:pt x="53975" y="71968"/>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5792B9B3" id="Graphic 1655" o:spid="_x0000_s1026" style="position:absolute;margin-left:515.15pt;margin-top:17.35pt;width:4.25pt;height:5.7pt;z-index:-15453184;visibility:visible;mso-wrap-style:square;mso-wrap-distance-left:0;mso-wrap-distance-top:0;mso-wrap-distance-right:0;mso-wrap-distance-bottom:0;mso-position-horizontal:absolute;mso-position-horizontal-relative:page;mso-position-vertical:absolute;mso-position-vertical-relative:text;v-text-anchor:top" coordsize="5397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" path="m53975,71968l,71968,,,53975,r,71968xe" fillcolor="#0000c0" stroked="f">
                <v:path arrowok="t"/>
                <w10:wrap type="topAndBottom" anchorx="page"/>
              </v:shape>
            </w:pict>
          </mc:Fallback>
        </mc:AlternateContent>
      </w:r>
      <w:r w:rsidRPr="003C6DAE">
        <w:rPr>
          <w:rFonts w:ascii="Trebuchet MS"/>
          <w:noProof/>
          <w:sz w:val="5"/>
          <w:lang w:val="uk-UA"/>
        </w:rPr>
        <mc:AlternateContent>
          <mc:Choice Requires="wps">
            <w:drawing>
              <wp:anchor distT="0" distB="0" distL="0" distR="0" simplePos="0" relativeHeight="487863808" behindDoc="1" locked="0" layoutInCell="1" allowOverlap="1" wp14:anchorId="7C100DC9" wp14:editId="65DCDE57">
                <wp:simplePos x="0" y="0"/>
                <wp:positionH relativeFrom="page">
                  <wp:posOffset>6559774</wp:posOffset>
                </wp:positionH>
                <wp:positionV relativeFrom="paragraph">
                  <wp:posOffset>384587</wp:posOffset>
                </wp:positionV>
                <wp:extent cx="53975" cy="72390"/>
                <wp:effectExtent l="0" t="0" r="0" b="0"/>
                <wp:wrapTopAndBottom/>
                <wp:docPr id="1656" name="Graphic 1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72390"/>
                        </a:xfrm>
                        <a:custGeom>
                          <a:avLst/>
                          <a:gdLst/>
                          <a:ahLst/>
                          <a:cxnLst/>
                          <a:rect l="l" t="t" r="r" b="b"/>
                          <a:pathLst>
                            <a:path w="53975" h="72390">
                              <a:moveTo>
                                <a:pt x="53976" y="71967"/>
                              </a:moveTo>
                              <a:lnTo>
                                <a:pt x="0" y="71967"/>
                              </a:lnTo>
                              <a:lnTo>
                                <a:pt x="0" y="0"/>
                              </a:lnTo>
                              <a:lnTo>
                                <a:pt x="53976" y="0"/>
                              </a:lnTo>
                              <a:lnTo>
                                <a:pt x="53976" y="71967"/>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5492E551" id="Graphic 1656" o:spid="_x0000_s1026" style="position:absolute;margin-left:516.5pt;margin-top:30.3pt;width:4.25pt;height:5.7pt;z-index:-15452672;visibility:visible;mso-wrap-style:square;mso-wrap-distance-left:0;mso-wrap-distance-top:0;mso-wrap-distance-right:0;mso-wrap-distance-bottom:0;mso-position-horizontal:absolute;mso-position-horizontal-relative:page;mso-position-vertical:absolute;mso-position-vertical-relative:text;v-text-anchor:top" coordsize="5397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" path="m53976,71967l,71967,,,53976,r,71967xe" fillcolor="#0000c0" stroked="f">
                <v:path arrowok="t"/>
                <w10:wrap type="topAndBottom" anchorx="page"/>
              </v:shape>
            </w:pict>
          </mc:Fallback>
        </mc:AlternateContent>
      </w:r>
      <w:r w:rsidRPr="003C6DAE">
        <w:rPr>
          <w:rFonts w:ascii="Trebuchet MS"/>
          <w:noProof/>
          <w:sz w:val="5"/>
          <w:lang w:val="uk-UA"/>
        </w:rPr>
        <mc:AlternateContent>
          <mc:Choice Requires="wpg">
            <w:drawing>
              <wp:anchor distT="0" distB="0" distL="0" distR="0" simplePos="0" relativeHeight="487864320" behindDoc="1" locked="0" layoutInCell="1" allowOverlap="1" wp14:anchorId="548A2018" wp14:editId="654A9DAC">
                <wp:simplePos x="0" y="0"/>
                <wp:positionH relativeFrom="page">
                  <wp:posOffset>6280641</wp:posOffset>
                </wp:positionH>
                <wp:positionV relativeFrom="paragraph">
                  <wp:posOffset>549085</wp:posOffset>
                </wp:positionV>
                <wp:extent cx="265430" cy="72390"/>
                <wp:effectExtent l="0" t="0" r="0" b="0"/>
                <wp:wrapTopAndBottom/>
                <wp:docPr id="1657" name="Group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72390"/>
                          <a:chOff x="0" y="0"/>
                          <a:chExt cx="265430" cy="72390"/>
                        </a:xfrm>
                      </wpg:grpSpPr>
                      <wps:wsp>
                        <wps:cNvPr id="1658" name="Graphic 1658"/>
                        <wps:cNvSpPr/>
                        <wps:spPr>
                          <a:xfrm>
                            <a:off x="0" y="30842"/>
                            <a:ext cx="265430" cy="1270"/>
                          </a:xfrm>
                          <a:custGeom>
                            <a:avLst/>
                            <a:gdLst/>
                            <a:ahLst/>
                            <a:cxnLst/>
                            <a:rect l="l" t="t" r="r" b="b"/>
                            <a:pathLst>
                              <a:path w="265430">
                                <a:moveTo>
                                  <a:pt x="0" y="0"/>
                                </a:moveTo>
                                <a:lnTo>
                                  <a:pt x="146891" y="0"/>
                                </a:lnTo>
                              </a:path>
                              <a:path w="265430">
                                <a:moveTo>
                                  <a:pt x="200867" y="0"/>
                                </a:moveTo>
                                <a:lnTo>
                                  <a:pt x="264867" y="0"/>
                                </a:lnTo>
                              </a:path>
                            </a:pathLst>
                          </a:custGeom>
                          <a:ln w="10281">
                            <a:solidFill>
                              <a:srgbClr val="000000"/>
                            </a:solidFill>
                            <a:prstDash val="solid"/>
                          </a:ln>
                        </wps:spPr>
                        <wps:bodyPr wrap="square" lIns="0" tIns="0" rIns="0" bIns="0" rtlCol="0">
                          <a:prstTxWarp prst="textNoShape">
                            <a:avLst/>
                          </a:prstTxWarp>
                          <a:noAutofit/>
                        </wps:bodyPr>
                      </wps:wsp>
                      <wps:wsp>
                        <wps:cNvPr id="1659" name="Graphic 1659"/>
                        <wps:cNvSpPr/>
                        <wps:spPr>
                          <a:xfrm>
                            <a:off x="146891"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6D17B1F" id="Group 1657" o:spid="_x0000_s1026" style="position:absolute;margin-left:494.55pt;margin-top:43.25pt;width:20.9pt;height:5.7pt;z-index:-15452160;mso-wrap-distance-left:0;mso-wrap-distance-right:0;mso-position-horizontal-relative:page" coordsize="26543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">
                <v:shape id="Graphic 1658" o:spid="_x0000_s1027" style="position:absolute;top:30842;width:265430;height:1270;visibility:visible;mso-wrap-style:square;v-text-anchor:top" coordsize="265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" path="m,l146891,em200867,r64000,e" filled="f" strokeweight=".28558mm">
                  <v:path arrowok="t"/>
                </v:shape>
                <v:shape id="Graphic 1659" o:spid="_x0000_s1028" style="position:absolute;left:146891;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" path="m53975,71967l,71967,,,53975,r,71967xe" fillcolor="#0000c0" stroked="f">
                  <v:path arrowok="t"/>
                </v:shape>
                <w10:wrap type="topAndBottom" anchorx="page"/>
              </v:group>
            </w:pict>
          </mc:Fallback>
        </mc:AlternateContent>
      </w:r>
      <w:r w:rsidRPr="003C6DAE">
        <w:rPr>
          <w:rFonts w:ascii="Trebuchet MS"/>
          <w:noProof/>
          <w:sz w:val="5"/>
          <w:lang w:val="uk-UA"/>
        </w:rPr>
        <mc:AlternateContent>
          <mc:Choice Requires="wps">
            <w:drawing>
              <wp:anchor distT="0" distB="0" distL="0" distR="0" simplePos="0" relativeHeight="487864832" behindDoc="1" locked="0" layoutInCell="1" allowOverlap="1" wp14:anchorId="1A2C345C" wp14:editId="7A8FC92A">
                <wp:simplePos x="0" y="0"/>
                <wp:positionH relativeFrom="page">
                  <wp:posOffset>6543967</wp:posOffset>
                </wp:positionH>
                <wp:positionV relativeFrom="paragraph">
                  <wp:posOffset>713583</wp:posOffset>
                </wp:positionV>
                <wp:extent cx="53975" cy="72390"/>
                <wp:effectExtent l="0" t="0" r="0" b="0"/>
                <wp:wrapTopAndBottom/>
                <wp:docPr id="1660" name="Graphic 1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72390"/>
                        </a:xfrm>
                        <a:custGeom>
                          <a:avLst/>
                          <a:gdLst/>
                          <a:ahLst/>
                          <a:cxnLst/>
                          <a:rect l="l" t="t" r="r" b="b"/>
                          <a:pathLst>
                            <a:path w="53975" h="72390">
                              <a:moveTo>
                                <a:pt x="53976" y="71967"/>
                              </a:moveTo>
                              <a:lnTo>
                                <a:pt x="0" y="71967"/>
                              </a:lnTo>
                              <a:lnTo>
                                <a:pt x="0" y="0"/>
                              </a:lnTo>
                              <a:lnTo>
                                <a:pt x="53976" y="0"/>
                              </a:lnTo>
                              <a:lnTo>
                                <a:pt x="53976" y="71967"/>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4B9D2A14" id="Graphic 1660" o:spid="_x0000_s1026" style="position:absolute;margin-left:515.25pt;margin-top:56.2pt;width:4.25pt;height:5.7pt;z-index:-15451648;visibility:visible;mso-wrap-style:square;mso-wrap-distance-left:0;mso-wrap-distance-top:0;mso-wrap-distance-right:0;mso-wrap-distance-bottom:0;mso-position-horizontal:absolute;mso-position-horizontal-relative:page;mso-position-vertical:absolute;mso-position-vertical-relative:text;v-text-anchor:top" coordsize="5397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" path="m53976,71967l,71967,,,53976,r,71967xe" fillcolor="#0000c0" stroked="f">
                <v:path arrowok="t"/>
                <w10:wrap type="topAndBottom" anchorx="page"/>
              </v:shape>
            </w:pict>
          </mc:Fallback>
        </mc:AlternateContent>
      </w:r>
      <w:r w:rsidRPr="003C6DAE">
        <w:rPr>
          <w:rFonts w:ascii="Trebuchet MS"/>
          <w:noProof/>
          <w:sz w:val="5"/>
          <w:lang w:val="uk-UA"/>
        </w:rPr>
        <mc:AlternateContent>
          <mc:Choice Requires="wps">
            <w:drawing>
              <wp:anchor distT="0" distB="0" distL="0" distR="0" simplePos="0" relativeHeight="487865344" behindDoc="1" locked="0" layoutInCell="1" allowOverlap="1" wp14:anchorId="5CC24F90" wp14:editId="79254FDC">
                <wp:simplePos x="0" y="0"/>
                <wp:positionH relativeFrom="page">
                  <wp:posOffset>6530087</wp:posOffset>
                </wp:positionH>
                <wp:positionV relativeFrom="paragraph">
                  <wp:posOffset>878081</wp:posOffset>
                </wp:positionV>
                <wp:extent cx="53975" cy="72390"/>
                <wp:effectExtent l="0" t="0" r="0" b="0"/>
                <wp:wrapTopAndBottom/>
                <wp:docPr id="1661" name="Graphic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5D7E05DC" id="Graphic 1661" o:spid="_x0000_s1026" style="position:absolute;margin-left:514.2pt;margin-top:69.15pt;width:4.25pt;height:5.7pt;z-index:-15451136;visibility:visible;mso-wrap-style:square;mso-wrap-distance-left:0;mso-wrap-distance-top:0;mso-wrap-distance-right:0;mso-wrap-distance-bottom:0;mso-position-horizontal:absolute;mso-position-horizontal-relative:page;mso-position-vertical:absolute;mso-position-vertical-relative:text;v-text-anchor:top" coordsize="5397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" path="m53975,71967l,71967,,,53975,r,71967xe" fillcolor="#0000c0" stroked="f">
                <v:path arrowok="t"/>
                <w10:wrap type="topAndBottom" anchorx="page"/>
              </v:shape>
            </w:pict>
          </mc:Fallback>
        </mc:AlternateContent>
      </w:r>
      <w:r w:rsidRPr="003C6DAE">
        <w:rPr>
          <w:rFonts w:ascii="Trebuchet MS"/>
          <w:noProof/>
          <w:sz w:val="5"/>
          <w:lang w:val="uk-UA"/>
        </w:rPr>
        <mc:AlternateContent>
          <mc:Choice Requires="wps">
            <w:drawing>
              <wp:anchor distT="0" distB="0" distL="0" distR="0" simplePos="0" relativeHeight="487865856" behindDoc="1" locked="0" layoutInCell="1" allowOverlap="1" wp14:anchorId="4E3E7628" wp14:editId="277591A7">
                <wp:simplePos x="0" y="0"/>
                <wp:positionH relativeFrom="page">
                  <wp:posOffset>6434858</wp:posOffset>
                </wp:positionH>
                <wp:positionV relativeFrom="paragraph">
                  <wp:posOffset>1042579</wp:posOffset>
                </wp:positionV>
                <wp:extent cx="53975" cy="72390"/>
                <wp:effectExtent l="0" t="0" r="0" b="0"/>
                <wp:wrapTopAndBottom/>
                <wp:docPr id="1662" name="Graphic 1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74D2CFF0" id="Graphic 1662" o:spid="_x0000_s1026" style="position:absolute;margin-left:506.7pt;margin-top:82.1pt;width:4.25pt;height:5.7pt;z-index:-15450624;visibility:visible;mso-wrap-style:square;mso-wrap-distance-left:0;mso-wrap-distance-top:0;mso-wrap-distance-right:0;mso-wrap-distance-bottom:0;mso-position-horizontal:absolute;mso-position-horizontal-relative:page;mso-position-vertical:absolute;mso-position-vertical-relative:text;v-text-anchor:top" coordsize="5397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" path="m53975,71967l,71967,,,53975,r,71967xe" fillcolor="#0000c0" stroked="f">
                <v:path arrowok="t"/>
                <w10:wrap type="topAndBottom" anchorx="page"/>
              </v:shape>
            </w:pict>
          </mc:Fallback>
        </mc:AlternateContent>
      </w:r>
      <w:r w:rsidRPr="003C6DAE">
        <w:rPr>
          <w:rFonts w:ascii="Trebuchet MS"/>
          <w:noProof/>
          <w:sz w:val="5"/>
          <w:lang w:val="uk-UA"/>
        </w:rPr>
        <mc:AlternateContent>
          <mc:Choice Requires="wpg">
            <w:drawing>
              <wp:anchor distT="0" distB="0" distL="0" distR="0" simplePos="0" relativeHeight="487866368" behindDoc="1" locked="0" layoutInCell="1" allowOverlap="1" wp14:anchorId="53ECC385" wp14:editId="64616857">
                <wp:simplePos x="0" y="0"/>
                <wp:positionH relativeFrom="page">
                  <wp:posOffset>6484208</wp:posOffset>
                </wp:positionH>
                <wp:positionV relativeFrom="paragraph">
                  <wp:posOffset>1207077</wp:posOffset>
                </wp:positionV>
                <wp:extent cx="111125" cy="72390"/>
                <wp:effectExtent l="0" t="0" r="0" b="0"/>
                <wp:wrapTopAndBottom/>
                <wp:docPr id="1663" name="Group 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72390"/>
                          <a:chOff x="0" y="0"/>
                          <a:chExt cx="111125" cy="72390"/>
                        </a:xfrm>
                      </wpg:grpSpPr>
                      <wps:wsp>
                        <wps:cNvPr id="1664" name="Graphic 1664"/>
                        <wps:cNvSpPr/>
                        <wps:spPr>
                          <a:xfrm>
                            <a:off x="0" y="30843"/>
                            <a:ext cx="57150" cy="1270"/>
                          </a:xfrm>
                          <a:custGeom>
                            <a:avLst/>
                            <a:gdLst/>
                            <a:ahLst/>
                            <a:cxnLst/>
                            <a:rect l="l" t="t" r="r" b="b"/>
                            <a:pathLst>
                              <a:path w="57150">
                                <a:moveTo>
                                  <a:pt x="0" y="0"/>
                                </a:moveTo>
                                <a:lnTo>
                                  <a:pt x="57060" y="0"/>
                                </a:lnTo>
                              </a:path>
                            </a:pathLst>
                          </a:custGeom>
                          <a:ln w="10281">
                            <a:solidFill>
                              <a:srgbClr val="000000"/>
                            </a:solidFill>
                            <a:prstDash val="solid"/>
                          </a:ln>
                        </wps:spPr>
                        <wps:bodyPr wrap="square" lIns="0" tIns="0" rIns="0" bIns="0" rtlCol="0">
                          <a:prstTxWarp prst="textNoShape">
                            <a:avLst/>
                          </a:prstTxWarp>
                          <a:noAutofit/>
                        </wps:bodyPr>
                      </wps:wsp>
                      <wps:wsp>
                        <wps:cNvPr id="1665" name="Graphic 1665"/>
                        <wps:cNvSpPr/>
                        <wps:spPr>
                          <a:xfrm>
                            <a:off x="57060"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B9760C9" id="Group 1663" o:spid="_x0000_s1026" style="position:absolute;margin-left:510.55pt;margin-top:95.05pt;width:8.75pt;height:5.7pt;z-index:-15450112;mso-wrap-distance-left:0;mso-wrap-distance-right:0;mso-position-horizontal-relative:page" coordsize="11112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">
                <v:shape id="Graphic 1664" o:spid="_x0000_s1027" style="position:absolute;top:30843;width:57150;height:1270;visibility:visible;mso-wrap-style:square;v-text-anchor:top" coordsize="57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" path="m,l57060,e" filled="f" strokeweight=".28558mm">
                  <v:path arrowok="t"/>
                </v:shape>
                <v:shape id="Graphic 1665" o:spid="_x0000_s1028" style="position:absolute;left:57060;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" path="m53975,71967l,71967,,,53975,r,71967xe" fillcolor="#0000c0" stroked="f">
                  <v:path arrowok="t"/>
                </v:shape>
                <w10:wrap type="topAndBottom" anchorx="page"/>
              </v:group>
            </w:pict>
          </mc:Fallback>
        </mc:AlternateContent>
      </w:r>
      <w:r w:rsidRPr="003C6DAE">
        <w:rPr>
          <w:rFonts w:ascii="Trebuchet MS"/>
          <w:noProof/>
          <w:sz w:val="5"/>
          <w:lang w:val="uk-UA"/>
        </w:rPr>
        <mc:AlternateContent>
          <mc:Choice Requires="wps">
            <w:drawing>
              <wp:anchor distT="0" distB="0" distL="0" distR="0" simplePos="0" relativeHeight="487866880" behindDoc="1" locked="0" layoutInCell="1" allowOverlap="1" wp14:anchorId="0054010C" wp14:editId="07ECC60C">
                <wp:simplePos x="0" y="0"/>
                <wp:positionH relativeFrom="page">
                  <wp:posOffset>6525075</wp:posOffset>
                </wp:positionH>
                <wp:positionV relativeFrom="paragraph">
                  <wp:posOffset>1371575</wp:posOffset>
                </wp:positionV>
                <wp:extent cx="53975" cy="72390"/>
                <wp:effectExtent l="0" t="0" r="0" b="0"/>
                <wp:wrapTopAndBottom/>
                <wp:docPr id="1666" name="Graphic 1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17DD6F27" id="Graphic 1666" o:spid="_x0000_s1026" style="position:absolute;margin-left:513.8pt;margin-top:108pt;width:4.25pt;height:5.7pt;z-index:-15449600;visibility:visible;mso-wrap-style:square;mso-wrap-distance-left:0;mso-wrap-distance-top:0;mso-wrap-distance-right:0;mso-wrap-distance-bottom:0;mso-position-horizontal:absolute;mso-position-horizontal-relative:page;mso-position-vertical:absolute;mso-position-vertical-relative:text;v-text-anchor:top" coordsize="5397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" path="m53975,71967l,71967,,,53975,r,71967xe" fillcolor="#0000c0" stroked="f">
                <v:path arrowok="t"/>
                <w10:wrap type="topAndBottom" anchorx="page"/>
              </v:shape>
            </w:pict>
          </mc:Fallback>
        </mc:AlternateContent>
      </w:r>
      <w:r w:rsidRPr="003C6DAE">
        <w:rPr>
          <w:rFonts w:ascii="Trebuchet MS"/>
          <w:noProof/>
          <w:sz w:val="5"/>
          <w:lang w:val="uk-UA"/>
        </w:rPr>
        <mc:AlternateContent>
          <mc:Choice Requires="wps">
            <w:drawing>
              <wp:anchor distT="0" distB="0" distL="0" distR="0" simplePos="0" relativeHeight="487867392" behindDoc="1" locked="0" layoutInCell="1" allowOverlap="1" wp14:anchorId="190311B1" wp14:editId="2176782D">
                <wp:simplePos x="0" y="0"/>
                <wp:positionH relativeFrom="page">
                  <wp:posOffset>6553220</wp:posOffset>
                </wp:positionH>
                <wp:positionV relativeFrom="paragraph">
                  <wp:posOffset>1536073</wp:posOffset>
                </wp:positionV>
                <wp:extent cx="53975" cy="72390"/>
                <wp:effectExtent l="0" t="0" r="0" b="0"/>
                <wp:wrapTopAndBottom/>
                <wp:docPr id="1667" name="Graphic 1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72390"/>
                        </a:xfrm>
                        <a:custGeom>
                          <a:avLst/>
                          <a:gdLst/>
                          <a:ahLst/>
                          <a:cxnLst/>
                          <a:rect l="l" t="t" r="r" b="b"/>
                          <a:pathLst>
                            <a:path w="53975" h="72390">
                              <a:moveTo>
                                <a:pt x="53976" y="71967"/>
                              </a:moveTo>
                              <a:lnTo>
                                <a:pt x="0" y="71967"/>
                              </a:lnTo>
                              <a:lnTo>
                                <a:pt x="0" y="0"/>
                              </a:lnTo>
                              <a:lnTo>
                                <a:pt x="53976" y="0"/>
                              </a:lnTo>
                              <a:lnTo>
                                <a:pt x="53976" y="71967"/>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4BB4DD63" id="Graphic 1667" o:spid="_x0000_s1026" style="position:absolute;margin-left:516pt;margin-top:120.95pt;width:4.25pt;height:5.7pt;z-index:-15449088;visibility:visible;mso-wrap-style:square;mso-wrap-distance-left:0;mso-wrap-distance-top:0;mso-wrap-distance-right:0;mso-wrap-distance-bottom:0;mso-position-horizontal:absolute;mso-position-horizontal-relative:page;mso-position-vertical:absolute;mso-position-vertical-relative:text;v-text-anchor:top" coordsize="5397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" path="m53976,71967l,71967,,,53976,r,71967xe" fillcolor="#0000c0" stroked="f">
                <v:path arrowok="t"/>
                <w10:wrap type="topAndBottom" anchorx="page"/>
              </v:shape>
            </w:pict>
          </mc:Fallback>
        </mc:AlternateContent>
      </w:r>
      <w:r w:rsidRPr="003C6DAE">
        <w:rPr>
          <w:rFonts w:ascii="Trebuchet MS"/>
          <w:noProof/>
          <w:sz w:val="5"/>
          <w:lang w:val="uk-UA"/>
        </w:rPr>
        <mc:AlternateContent>
          <mc:Choice Requires="wps">
            <w:drawing>
              <wp:anchor distT="0" distB="0" distL="0" distR="0" simplePos="0" relativeHeight="487867904" behindDoc="1" locked="0" layoutInCell="1" allowOverlap="1" wp14:anchorId="5FDB9D37" wp14:editId="58ED2A91">
                <wp:simplePos x="0" y="0"/>
                <wp:positionH relativeFrom="page">
                  <wp:posOffset>6503099</wp:posOffset>
                </wp:positionH>
                <wp:positionV relativeFrom="paragraph">
                  <wp:posOffset>1700571</wp:posOffset>
                </wp:positionV>
                <wp:extent cx="53975" cy="72390"/>
                <wp:effectExtent l="0" t="0" r="0" b="0"/>
                <wp:wrapTopAndBottom/>
                <wp:docPr id="1668" name="Graphic 1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43BA8648" id="Graphic 1668" o:spid="_x0000_s1026" style="position:absolute;margin-left:512.05pt;margin-top:133.9pt;width:4.25pt;height:5.7pt;z-index:-15448576;visibility:visible;mso-wrap-style:square;mso-wrap-distance-left:0;mso-wrap-distance-top:0;mso-wrap-distance-right:0;mso-wrap-distance-bottom:0;mso-position-horizontal:absolute;mso-position-horizontal-relative:page;mso-position-vertical:absolute;mso-position-vertical-relative:text;v-text-anchor:top" coordsize="5397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" path="m53975,71967l,71967,,,53975,r,71967xe" fillcolor="#0000c0" stroked="f">
                <v:path arrowok="t"/>
                <w10:wrap type="topAndBottom" anchorx="page"/>
              </v:shape>
            </w:pict>
          </mc:Fallback>
        </mc:AlternateContent>
      </w:r>
      <w:r w:rsidRPr="003C6DAE">
        <w:rPr>
          <w:rFonts w:ascii="Trebuchet MS"/>
          <w:noProof/>
          <w:sz w:val="5"/>
          <w:lang w:val="uk-UA"/>
        </w:rPr>
        <mc:AlternateContent>
          <mc:Choice Requires="wps">
            <w:drawing>
              <wp:anchor distT="0" distB="0" distL="0" distR="0" simplePos="0" relativeHeight="487868416" behindDoc="1" locked="0" layoutInCell="1" allowOverlap="1" wp14:anchorId="1E8273D9" wp14:editId="1D86DCD0">
                <wp:simplePos x="0" y="0"/>
                <wp:positionH relativeFrom="page">
                  <wp:posOffset>6535098</wp:posOffset>
                </wp:positionH>
                <wp:positionV relativeFrom="paragraph">
                  <wp:posOffset>1865069</wp:posOffset>
                </wp:positionV>
                <wp:extent cx="53975" cy="72390"/>
                <wp:effectExtent l="0" t="0" r="0" b="0"/>
                <wp:wrapTopAndBottom/>
                <wp:docPr id="1669" name="Graphic 1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72390"/>
                        </a:xfrm>
                        <a:custGeom>
                          <a:avLst/>
                          <a:gdLst/>
                          <a:ahLst/>
                          <a:cxnLst/>
                          <a:rect l="l" t="t" r="r" b="b"/>
                          <a:pathLst>
                            <a:path w="53975" h="72390">
                              <a:moveTo>
                                <a:pt x="53976" y="71967"/>
                              </a:moveTo>
                              <a:lnTo>
                                <a:pt x="0" y="71967"/>
                              </a:lnTo>
                              <a:lnTo>
                                <a:pt x="0" y="0"/>
                              </a:lnTo>
                              <a:lnTo>
                                <a:pt x="53976" y="0"/>
                              </a:lnTo>
                              <a:lnTo>
                                <a:pt x="53976" y="71967"/>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4BE7D8F9" id="Graphic 1669" o:spid="_x0000_s1026" style="position:absolute;margin-left:514.55pt;margin-top:146.85pt;width:4.25pt;height:5.7pt;z-index:-15448064;visibility:visible;mso-wrap-style:square;mso-wrap-distance-left:0;mso-wrap-distance-top:0;mso-wrap-distance-right:0;mso-wrap-distance-bottom:0;mso-position-horizontal:absolute;mso-position-horizontal-relative:page;mso-position-vertical:absolute;mso-position-vertical-relative:text;v-text-anchor:top" coordsize="5397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" path="m53976,71967l,71967,,,53976,r,71967xe" fillcolor="#0000c0" stroked="f">
                <v:path arrowok="t"/>
                <w10:wrap type="topAndBottom" anchorx="page"/>
              </v:shape>
            </w:pict>
          </mc:Fallback>
        </mc:AlternateContent>
      </w:r>
      <w:r w:rsidRPr="003C6DAE">
        <w:rPr>
          <w:rFonts w:ascii="Trebuchet MS"/>
          <w:noProof/>
          <w:sz w:val="5"/>
          <w:lang w:val="uk-UA"/>
        </w:rPr>
        <mc:AlternateContent>
          <mc:Choice Requires="wpg">
            <w:drawing>
              <wp:anchor distT="0" distB="0" distL="0" distR="0" simplePos="0" relativeHeight="487868928" behindDoc="1" locked="0" layoutInCell="1" allowOverlap="1" wp14:anchorId="44B88260" wp14:editId="59D1CCC3">
                <wp:simplePos x="0" y="0"/>
                <wp:positionH relativeFrom="page">
                  <wp:posOffset>6519292</wp:posOffset>
                </wp:positionH>
                <wp:positionV relativeFrom="paragraph">
                  <wp:posOffset>2029567</wp:posOffset>
                </wp:positionV>
                <wp:extent cx="57785" cy="72390"/>
                <wp:effectExtent l="0" t="0" r="0" b="0"/>
                <wp:wrapTopAndBottom/>
                <wp:docPr id="1670" name="Group 1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 cy="72390"/>
                          <a:chOff x="0" y="0"/>
                          <a:chExt cx="57785" cy="72390"/>
                        </a:xfrm>
                      </wpg:grpSpPr>
                      <wps:wsp>
                        <wps:cNvPr id="1671" name="Graphic 1671"/>
                        <wps:cNvSpPr/>
                        <wps:spPr>
                          <a:xfrm>
                            <a:off x="1735" y="25703"/>
                            <a:ext cx="1270" cy="10795"/>
                          </a:xfrm>
                          <a:custGeom>
                            <a:avLst/>
                            <a:gdLst/>
                            <a:ahLst/>
                            <a:cxnLst/>
                            <a:rect l="l" t="t" r="r" b="b"/>
                            <a:pathLst>
                              <a:path h="10795">
                                <a:moveTo>
                                  <a:pt x="0" y="0"/>
                                </a:moveTo>
                                <a:lnTo>
                                  <a:pt x="0" y="10281"/>
                                </a:lnTo>
                              </a:path>
                            </a:pathLst>
                          </a:custGeom>
                          <a:ln w="3470">
                            <a:solidFill>
                              <a:srgbClr val="000000"/>
                            </a:solidFill>
                            <a:prstDash val="solid"/>
                          </a:ln>
                        </wps:spPr>
                        <wps:bodyPr wrap="square" lIns="0" tIns="0" rIns="0" bIns="0" rtlCol="0">
                          <a:prstTxWarp prst="textNoShape">
                            <a:avLst/>
                          </a:prstTxWarp>
                          <a:noAutofit/>
                        </wps:bodyPr>
                      </wps:wsp>
                      <wps:wsp>
                        <wps:cNvPr id="1672" name="Graphic 1672"/>
                        <wps:cNvSpPr/>
                        <wps:spPr>
                          <a:xfrm>
                            <a:off x="3470"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D6CE88A" id="Group 1670" o:spid="_x0000_s1026" style="position:absolute;margin-left:513.35pt;margin-top:159.8pt;width:4.55pt;height:5.7pt;z-index:-15447552;mso-wrap-distance-left:0;mso-wrap-distance-right:0;mso-position-horizontal-relative:page" coordsize="5778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">
                <v:shape id="Graphic 1671" o:spid="_x0000_s1027" style="position:absolute;left:1735;top:25703;width:1270;height:10795;visibility:visible;mso-wrap-style:square;v-text-anchor:top" coordsize="12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" path="m,l,10281e" filled="f" strokeweight=".09639mm">
                  <v:path arrowok="t"/>
                </v:shape>
                <v:shape id="Graphic 1672" o:spid="_x0000_s1028" style="position:absolute;left:3470;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" path="m53975,71967l,71967,,,53975,r,71967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69440" behindDoc="1" locked="0" layoutInCell="1" allowOverlap="1" wp14:anchorId="296E406C" wp14:editId="60A92D54">
                <wp:simplePos x="0" y="0"/>
                <wp:positionH relativeFrom="page">
                  <wp:posOffset>5803725</wp:posOffset>
                </wp:positionH>
                <wp:positionV relativeFrom="paragraph">
                  <wp:posOffset>2194067</wp:posOffset>
                </wp:positionV>
                <wp:extent cx="810260" cy="72390"/>
                <wp:effectExtent l="0" t="0" r="0" b="0"/>
                <wp:wrapTopAndBottom/>
                <wp:docPr id="1673"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260" cy="72390"/>
                          <a:chOff x="0" y="0"/>
                          <a:chExt cx="810260" cy="72390"/>
                        </a:xfrm>
                      </wpg:grpSpPr>
                      <wps:wsp>
                        <wps:cNvPr id="1674" name="Graphic 1674"/>
                        <wps:cNvSpPr/>
                        <wps:spPr>
                          <a:xfrm>
                            <a:off x="0" y="30842"/>
                            <a:ext cx="756285" cy="1270"/>
                          </a:xfrm>
                          <a:custGeom>
                            <a:avLst/>
                            <a:gdLst/>
                            <a:ahLst/>
                            <a:cxnLst/>
                            <a:rect l="l" t="t" r="r" b="b"/>
                            <a:pathLst>
                              <a:path w="756285">
                                <a:moveTo>
                                  <a:pt x="0" y="0"/>
                                </a:moveTo>
                                <a:lnTo>
                                  <a:pt x="756049" y="0"/>
                                </a:lnTo>
                              </a:path>
                            </a:pathLst>
                          </a:custGeom>
                          <a:ln w="10281">
                            <a:solidFill>
                              <a:srgbClr val="000000"/>
                            </a:solidFill>
                            <a:prstDash val="solid"/>
                          </a:ln>
                        </wps:spPr>
                        <wps:bodyPr wrap="square" lIns="0" tIns="0" rIns="0" bIns="0" rtlCol="0">
                          <a:prstTxWarp prst="textNoShape">
                            <a:avLst/>
                          </a:prstTxWarp>
                          <a:noAutofit/>
                        </wps:bodyPr>
                      </wps:wsp>
                      <wps:wsp>
                        <wps:cNvPr id="1675" name="Graphic 1675"/>
                        <wps:cNvSpPr/>
                        <wps:spPr>
                          <a:xfrm>
                            <a:off x="756049" y="0"/>
                            <a:ext cx="53975" cy="72390"/>
                          </a:xfrm>
                          <a:custGeom>
                            <a:avLst/>
                            <a:gdLst/>
                            <a:ahLst/>
                            <a:cxnLst/>
                            <a:rect l="l" t="t" r="r" b="b"/>
                            <a:pathLst>
                              <a:path w="53975" h="72390">
                                <a:moveTo>
                                  <a:pt x="53976" y="71966"/>
                                </a:moveTo>
                                <a:lnTo>
                                  <a:pt x="0" y="71966"/>
                                </a:lnTo>
                                <a:lnTo>
                                  <a:pt x="0" y="0"/>
                                </a:lnTo>
                                <a:lnTo>
                                  <a:pt x="53976" y="0"/>
                                </a:lnTo>
                                <a:lnTo>
                                  <a:pt x="53976" y="71966"/>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1CAD472" id="Group 1673" o:spid="_x0000_s1026" style="position:absolute;margin-left:457pt;margin-top:172.75pt;width:63.8pt;height:5.7pt;z-index:-15447040;mso-wrap-distance-left:0;mso-wrap-distance-right:0;mso-position-horizontal-relative:page" coordsize="810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">
                <v:shape id="Graphic 1674" o:spid="_x0000_s1027" style="position:absolute;top:308;width:7562;height:13;visibility:visible;mso-wrap-style:square;v-text-anchor:top" coordsize="756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" path="m,l756049,e" filled="f" strokeweight=".28558mm">
                  <v:path arrowok="t"/>
                </v:shape>
                <v:shape id="Graphic 1675" o:spid="_x0000_s1028" style="position:absolute;left:7560;width:540;height:723;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" path="m53976,71966l,71966,,,53976,r,71966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69952" behindDoc="1" locked="0" layoutInCell="1" allowOverlap="1" wp14:anchorId="6E160E5A" wp14:editId="553CDD36">
                <wp:simplePos x="0" y="0"/>
                <wp:positionH relativeFrom="page">
                  <wp:posOffset>6418280</wp:posOffset>
                </wp:positionH>
                <wp:positionV relativeFrom="paragraph">
                  <wp:posOffset>2358565</wp:posOffset>
                </wp:positionV>
                <wp:extent cx="85090" cy="72390"/>
                <wp:effectExtent l="0" t="0" r="0" b="0"/>
                <wp:wrapTopAndBottom/>
                <wp:docPr id="1676" name="Group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90" cy="72390"/>
                          <a:chOff x="0" y="0"/>
                          <a:chExt cx="85090" cy="72390"/>
                        </a:xfrm>
                      </wpg:grpSpPr>
                      <wps:wsp>
                        <wps:cNvPr id="1677" name="Graphic 1677"/>
                        <wps:cNvSpPr/>
                        <wps:spPr>
                          <a:xfrm>
                            <a:off x="0" y="30842"/>
                            <a:ext cx="24130" cy="1270"/>
                          </a:xfrm>
                          <a:custGeom>
                            <a:avLst/>
                            <a:gdLst/>
                            <a:ahLst/>
                            <a:cxnLst/>
                            <a:rect l="l" t="t" r="r" b="b"/>
                            <a:pathLst>
                              <a:path w="24130">
                                <a:moveTo>
                                  <a:pt x="0" y="0"/>
                                </a:moveTo>
                                <a:lnTo>
                                  <a:pt x="23903" y="0"/>
                                </a:lnTo>
                              </a:path>
                            </a:pathLst>
                          </a:custGeom>
                          <a:ln w="10281">
                            <a:solidFill>
                              <a:srgbClr val="000000"/>
                            </a:solidFill>
                            <a:prstDash val="solid"/>
                          </a:ln>
                        </wps:spPr>
                        <wps:bodyPr wrap="square" lIns="0" tIns="0" rIns="0" bIns="0" rtlCol="0">
                          <a:prstTxWarp prst="textNoShape">
                            <a:avLst/>
                          </a:prstTxWarp>
                          <a:noAutofit/>
                        </wps:bodyPr>
                      </wps:wsp>
                      <wps:wsp>
                        <wps:cNvPr id="1678" name="Graphic 1678"/>
                        <wps:cNvSpPr/>
                        <wps:spPr>
                          <a:xfrm>
                            <a:off x="81349" y="25702"/>
                            <a:ext cx="1270" cy="10795"/>
                          </a:xfrm>
                          <a:custGeom>
                            <a:avLst/>
                            <a:gdLst/>
                            <a:ahLst/>
                            <a:cxnLst/>
                            <a:rect l="l" t="t" r="r" b="b"/>
                            <a:pathLst>
                              <a:path h="10795">
                                <a:moveTo>
                                  <a:pt x="0" y="0"/>
                                </a:moveTo>
                                <a:lnTo>
                                  <a:pt x="0" y="10281"/>
                                </a:lnTo>
                              </a:path>
                            </a:pathLst>
                          </a:custGeom>
                          <a:ln w="6939">
                            <a:solidFill>
                              <a:srgbClr val="000000"/>
                            </a:solidFill>
                            <a:prstDash val="solid"/>
                          </a:ln>
                        </wps:spPr>
                        <wps:bodyPr wrap="square" lIns="0" tIns="0" rIns="0" bIns="0" rtlCol="0">
                          <a:prstTxWarp prst="textNoShape">
                            <a:avLst/>
                          </a:prstTxWarp>
                          <a:noAutofit/>
                        </wps:bodyPr>
                      </wps:wsp>
                      <wps:wsp>
                        <wps:cNvPr id="1679" name="Graphic 1679"/>
                        <wps:cNvSpPr/>
                        <wps:spPr>
                          <a:xfrm>
                            <a:off x="23903" y="0"/>
                            <a:ext cx="53975" cy="72390"/>
                          </a:xfrm>
                          <a:custGeom>
                            <a:avLst/>
                            <a:gdLst/>
                            <a:ahLst/>
                            <a:cxnLst/>
                            <a:rect l="l" t="t" r="r" b="b"/>
                            <a:pathLst>
                              <a:path w="53975" h="72390">
                                <a:moveTo>
                                  <a:pt x="53976" y="71967"/>
                                </a:moveTo>
                                <a:lnTo>
                                  <a:pt x="0" y="71967"/>
                                </a:lnTo>
                                <a:lnTo>
                                  <a:pt x="0" y="0"/>
                                </a:lnTo>
                                <a:lnTo>
                                  <a:pt x="53976" y="0"/>
                                </a:lnTo>
                                <a:lnTo>
                                  <a:pt x="53976"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5E030E0" id="Group 1676" o:spid="_x0000_s1026" style="position:absolute;margin-left:505.4pt;margin-top:185.7pt;width:6.7pt;height:5.7pt;z-index:-15446528;mso-wrap-distance-left:0;mso-wrap-distance-right:0;mso-position-horizontal-relative:page" coordsize="8509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">
                <v:shape id="Graphic 1677" o:spid="_x0000_s1027" style="position:absolute;top:30842;width:24130;height:1270;visibility:visible;mso-wrap-style:square;v-text-anchor:top" coordsize="24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" path="m,l23903,e" filled="f" strokeweight=".28558mm">
                  <v:path arrowok="t"/>
                </v:shape>
                <v:shape id="Graphic 1678" o:spid="_x0000_s1028" style="position:absolute;left:81349;top:25702;width:1270;height:10795;visibility:visible;mso-wrap-style:square;v-text-anchor:top" coordsize="12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" path="m,l,10281e" filled="f" strokeweight=".19275mm">
                  <v:path arrowok="t"/>
                </v:shape>
                <v:shape id="Graphic 1679" o:spid="_x0000_s1029" style="position:absolute;left:23903;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" path="m53976,71967l,71967,,,53976,r,71967xe" fillcolor="#0000c0" stroked="f">
                  <v:path arrowok="t"/>
                </v:shape>
                <w10:wrap type="topAndBottom" anchorx="page"/>
              </v:group>
            </w:pict>
          </mc:Fallback>
        </mc:AlternateContent>
      </w:r>
      <w:r w:rsidRPr="003C6DAE">
        <w:rPr>
          <w:rFonts w:ascii="Trebuchet MS"/>
          <w:noProof/>
          <w:sz w:val="5"/>
          <w:lang w:val="uk-UA"/>
        </w:rPr>
        <mc:AlternateContent>
          <mc:Choice Requires="wps">
            <w:drawing>
              <wp:anchor distT="0" distB="0" distL="0" distR="0" simplePos="0" relativeHeight="487870464" behindDoc="1" locked="0" layoutInCell="1" allowOverlap="1" wp14:anchorId="094DF0CB" wp14:editId="1AFF3776">
                <wp:simplePos x="0" y="0"/>
                <wp:positionH relativeFrom="page">
                  <wp:posOffset>6524689</wp:posOffset>
                </wp:positionH>
                <wp:positionV relativeFrom="paragraph">
                  <wp:posOffset>2523063</wp:posOffset>
                </wp:positionV>
                <wp:extent cx="53975" cy="72390"/>
                <wp:effectExtent l="0" t="0" r="0" b="0"/>
                <wp:wrapTopAndBottom/>
                <wp:docPr id="1680" name="Graphic 1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19C59C33" id="Graphic 1680" o:spid="_x0000_s1026" style="position:absolute;margin-left:513.75pt;margin-top:198.65pt;width:4.25pt;height:5.7pt;z-index:-15446016;visibility:visible;mso-wrap-style:square;mso-wrap-distance-left:0;mso-wrap-distance-top:0;mso-wrap-distance-right:0;mso-wrap-distance-bottom:0;mso-position-horizontal:absolute;mso-position-horizontal-relative:page;mso-position-vertical:absolute;mso-position-vertical-relative:text;v-text-anchor:top" coordsize="5397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" path="m53975,71967l,71967,,,53975,r,71967xe" fillcolor="#0000c0" stroked="f">
                <v:path arrowok="t"/>
                <w10:wrap type="topAndBottom" anchorx="page"/>
              </v:shape>
            </w:pict>
          </mc:Fallback>
        </mc:AlternateContent>
      </w:r>
      <w:r w:rsidRPr="003C6DAE">
        <w:rPr>
          <w:rFonts w:ascii="Trebuchet MS"/>
          <w:noProof/>
          <w:sz w:val="5"/>
          <w:lang w:val="uk-UA"/>
        </w:rPr>
        <mc:AlternateContent>
          <mc:Choice Requires="wpg">
            <w:drawing>
              <wp:anchor distT="0" distB="0" distL="0" distR="0" simplePos="0" relativeHeight="487870976" behindDoc="1" locked="0" layoutInCell="1" allowOverlap="1" wp14:anchorId="46C9C5C1" wp14:editId="4BFF7159">
                <wp:simplePos x="0" y="0"/>
                <wp:positionH relativeFrom="page">
                  <wp:posOffset>6463003</wp:posOffset>
                </wp:positionH>
                <wp:positionV relativeFrom="paragraph">
                  <wp:posOffset>2687561</wp:posOffset>
                </wp:positionV>
                <wp:extent cx="72390" cy="72390"/>
                <wp:effectExtent l="0" t="0" r="0" b="0"/>
                <wp:wrapTopAndBottom/>
                <wp:docPr id="1681" name="Group 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 cy="72390"/>
                          <a:chOff x="0" y="0"/>
                          <a:chExt cx="72390" cy="72390"/>
                        </a:xfrm>
                      </wpg:grpSpPr>
                      <wps:wsp>
                        <wps:cNvPr id="1682" name="Graphic 1682"/>
                        <wps:cNvSpPr/>
                        <wps:spPr>
                          <a:xfrm>
                            <a:off x="0" y="30842"/>
                            <a:ext cx="18415" cy="1270"/>
                          </a:xfrm>
                          <a:custGeom>
                            <a:avLst/>
                            <a:gdLst/>
                            <a:ahLst/>
                            <a:cxnLst/>
                            <a:rect l="l" t="t" r="r" b="b"/>
                            <a:pathLst>
                              <a:path w="18415">
                                <a:moveTo>
                                  <a:pt x="0" y="0"/>
                                </a:moveTo>
                                <a:lnTo>
                                  <a:pt x="18121" y="0"/>
                                </a:lnTo>
                              </a:path>
                            </a:pathLst>
                          </a:custGeom>
                          <a:ln w="10281">
                            <a:solidFill>
                              <a:srgbClr val="000000"/>
                            </a:solidFill>
                            <a:prstDash val="solid"/>
                          </a:ln>
                        </wps:spPr>
                        <wps:bodyPr wrap="square" lIns="0" tIns="0" rIns="0" bIns="0" rtlCol="0">
                          <a:prstTxWarp prst="textNoShape">
                            <a:avLst/>
                          </a:prstTxWarp>
                          <a:noAutofit/>
                        </wps:bodyPr>
                      </wps:wsp>
                      <wps:wsp>
                        <wps:cNvPr id="1683" name="Graphic 1683"/>
                        <wps:cNvSpPr/>
                        <wps:spPr>
                          <a:xfrm>
                            <a:off x="18121" y="0"/>
                            <a:ext cx="53975" cy="72390"/>
                          </a:xfrm>
                          <a:custGeom>
                            <a:avLst/>
                            <a:gdLst/>
                            <a:ahLst/>
                            <a:cxnLst/>
                            <a:rect l="l" t="t" r="r" b="b"/>
                            <a:pathLst>
                              <a:path w="53975" h="72390">
                                <a:moveTo>
                                  <a:pt x="53974" y="71967"/>
                                </a:moveTo>
                                <a:lnTo>
                                  <a:pt x="0" y="71967"/>
                                </a:lnTo>
                                <a:lnTo>
                                  <a:pt x="0" y="0"/>
                                </a:lnTo>
                                <a:lnTo>
                                  <a:pt x="53974" y="0"/>
                                </a:lnTo>
                                <a:lnTo>
                                  <a:pt x="53974"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53E18E8" id="Group 1681" o:spid="_x0000_s1026" style="position:absolute;margin-left:508.9pt;margin-top:211.6pt;width:5.7pt;height:5.7pt;z-index:-15445504;mso-wrap-distance-left:0;mso-wrap-distance-right:0;mso-position-horizontal-relative:page" coordsize="7239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">
                <v:shape id="Graphic 1682" o:spid="_x0000_s1027" style="position:absolute;top:30842;width:18415;height:1270;visibility:visible;mso-wrap-style:square;v-text-anchor:top" coordsize="18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" path="m,l18121,e" filled="f" strokeweight=".28558mm">
                  <v:path arrowok="t"/>
                </v:shape>
                <v:shape id="Graphic 1683" o:spid="_x0000_s1028" style="position:absolute;left:18121;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" path="m53974,71967l,71967,,,53974,r,71967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71488" behindDoc="1" locked="0" layoutInCell="1" allowOverlap="1" wp14:anchorId="30031CA3" wp14:editId="21AC481D">
                <wp:simplePos x="0" y="0"/>
                <wp:positionH relativeFrom="page">
                  <wp:posOffset>6525461</wp:posOffset>
                </wp:positionH>
                <wp:positionV relativeFrom="paragraph">
                  <wp:posOffset>2852058</wp:posOffset>
                </wp:positionV>
                <wp:extent cx="68580" cy="72390"/>
                <wp:effectExtent l="0" t="0" r="0" b="0"/>
                <wp:wrapTopAndBottom/>
                <wp:docPr id="1684" name="Group 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 cy="72390"/>
                          <a:chOff x="0" y="0"/>
                          <a:chExt cx="68580" cy="72390"/>
                        </a:xfrm>
                      </wpg:grpSpPr>
                      <wps:wsp>
                        <wps:cNvPr id="1685" name="Graphic 1685"/>
                        <wps:cNvSpPr/>
                        <wps:spPr>
                          <a:xfrm>
                            <a:off x="0" y="30843"/>
                            <a:ext cx="14604" cy="1270"/>
                          </a:xfrm>
                          <a:custGeom>
                            <a:avLst/>
                            <a:gdLst/>
                            <a:ahLst/>
                            <a:cxnLst/>
                            <a:rect l="l" t="t" r="r" b="b"/>
                            <a:pathLst>
                              <a:path w="14604">
                                <a:moveTo>
                                  <a:pt x="0" y="0"/>
                                </a:moveTo>
                                <a:lnTo>
                                  <a:pt x="14265" y="0"/>
                                </a:lnTo>
                              </a:path>
                            </a:pathLst>
                          </a:custGeom>
                          <a:ln w="10281">
                            <a:solidFill>
                              <a:srgbClr val="000000"/>
                            </a:solidFill>
                            <a:prstDash val="solid"/>
                          </a:ln>
                        </wps:spPr>
                        <wps:bodyPr wrap="square" lIns="0" tIns="0" rIns="0" bIns="0" rtlCol="0">
                          <a:prstTxWarp prst="textNoShape">
                            <a:avLst/>
                          </a:prstTxWarp>
                          <a:noAutofit/>
                        </wps:bodyPr>
                      </wps:wsp>
                      <wps:wsp>
                        <wps:cNvPr id="1686" name="Graphic 1686"/>
                        <wps:cNvSpPr/>
                        <wps:spPr>
                          <a:xfrm>
                            <a:off x="14265" y="0"/>
                            <a:ext cx="53975" cy="72390"/>
                          </a:xfrm>
                          <a:custGeom>
                            <a:avLst/>
                            <a:gdLst/>
                            <a:ahLst/>
                            <a:cxnLst/>
                            <a:rect l="l" t="t" r="r" b="b"/>
                            <a:pathLst>
                              <a:path w="53975" h="72390">
                                <a:moveTo>
                                  <a:pt x="53976" y="71967"/>
                                </a:moveTo>
                                <a:lnTo>
                                  <a:pt x="0" y="71967"/>
                                </a:lnTo>
                                <a:lnTo>
                                  <a:pt x="0" y="0"/>
                                </a:lnTo>
                                <a:lnTo>
                                  <a:pt x="53976" y="0"/>
                                </a:lnTo>
                                <a:lnTo>
                                  <a:pt x="53976"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7FC39F0" id="Group 1684" o:spid="_x0000_s1026" style="position:absolute;margin-left:513.8pt;margin-top:224.55pt;width:5.4pt;height:5.7pt;z-index:-15444992;mso-wrap-distance-left:0;mso-wrap-distance-right:0;mso-position-horizontal-relative:page" coordsize="6858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">
                <v:shape id="Graphic 1685" o:spid="_x0000_s1027" style="position:absolute;top:30843;width:14604;height:1270;visibility:visible;mso-wrap-style:square;v-text-anchor:top" coordsize="146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" path="m,l14265,e" filled="f" strokeweight=".28558mm">
                  <v:path arrowok="t"/>
                </v:shape>
                <v:shape id="Graphic 1686" o:spid="_x0000_s1028" style="position:absolute;left:14265;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" path="m53976,71967l,71967,,,53976,r,71967xe" fillcolor="#0000c0" stroked="f">
                  <v:path arrowok="t"/>
                </v:shape>
                <w10:wrap type="topAndBottom" anchorx="page"/>
              </v:group>
            </w:pict>
          </mc:Fallback>
        </mc:AlternateContent>
      </w:r>
      <w:r w:rsidRPr="003C6DAE">
        <w:rPr>
          <w:rFonts w:ascii="Trebuchet MS"/>
          <w:noProof/>
          <w:sz w:val="5"/>
          <w:lang w:val="uk-UA"/>
        </w:rPr>
        <mc:AlternateContent>
          <mc:Choice Requires="wps">
            <w:drawing>
              <wp:anchor distT="0" distB="0" distL="0" distR="0" simplePos="0" relativeHeight="487872000" behindDoc="1" locked="0" layoutInCell="1" allowOverlap="1" wp14:anchorId="5F74F1F5" wp14:editId="69573FC6">
                <wp:simplePos x="0" y="0"/>
                <wp:positionH relativeFrom="page">
                  <wp:posOffset>6536256</wp:posOffset>
                </wp:positionH>
                <wp:positionV relativeFrom="paragraph">
                  <wp:posOffset>3016556</wp:posOffset>
                </wp:positionV>
                <wp:extent cx="53975" cy="72390"/>
                <wp:effectExtent l="0" t="0" r="0" b="0"/>
                <wp:wrapTopAndBottom/>
                <wp:docPr id="1687" name="Graphic 1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72390"/>
                        </a:xfrm>
                        <a:custGeom>
                          <a:avLst/>
                          <a:gdLst/>
                          <a:ahLst/>
                          <a:cxnLst/>
                          <a:rect l="l" t="t" r="r" b="b"/>
                          <a:pathLst>
                            <a:path w="53975" h="72390">
                              <a:moveTo>
                                <a:pt x="53974" y="71967"/>
                              </a:moveTo>
                              <a:lnTo>
                                <a:pt x="0" y="71967"/>
                              </a:lnTo>
                              <a:lnTo>
                                <a:pt x="0" y="0"/>
                              </a:lnTo>
                              <a:lnTo>
                                <a:pt x="53974" y="0"/>
                              </a:lnTo>
                              <a:lnTo>
                                <a:pt x="53974" y="71967"/>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01818EDE" id="Graphic 1687" o:spid="_x0000_s1026" style="position:absolute;margin-left:514.65pt;margin-top:237.5pt;width:4.25pt;height:5.7pt;z-index:-15444480;visibility:visible;mso-wrap-style:square;mso-wrap-distance-left:0;mso-wrap-distance-top:0;mso-wrap-distance-right:0;mso-wrap-distance-bottom:0;mso-position-horizontal:absolute;mso-position-horizontal-relative:page;mso-position-vertical:absolute;mso-position-vertical-relative:text;v-text-anchor:top" coordsize="5397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" path="m53974,71967l,71967,,,53974,r,71967xe" fillcolor="#0000c0" stroked="f">
                <v:path arrowok="t"/>
                <w10:wrap type="topAndBottom" anchorx="page"/>
              </v:shape>
            </w:pict>
          </mc:Fallback>
        </mc:AlternateContent>
      </w:r>
      <w:r w:rsidRPr="003C6DAE">
        <w:rPr>
          <w:rFonts w:ascii="Trebuchet MS"/>
          <w:noProof/>
          <w:sz w:val="5"/>
          <w:lang w:val="uk-UA"/>
        </w:rPr>
        <mc:AlternateContent>
          <mc:Choice Requires="wps">
            <w:drawing>
              <wp:anchor distT="0" distB="0" distL="0" distR="0" simplePos="0" relativeHeight="487872512" behindDoc="1" locked="0" layoutInCell="1" allowOverlap="1" wp14:anchorId="73887F63" wp14:editId="53367475">
                <wp:simplePos x="0" y="0"/>
                <wp:positionH relativeFrom="page">
                  <wp:posOffset>6497702</wp:posOffset>
                </wp:positionH>
                <wp:positionV relativeFrom="paragraph">
                  <wp:posOffset>3181055</wp:posOffset>
                </wp:positionV>
                <wp:extent cx="53975" cy="72390"/>
                <wp:effectExtent l="0" t="0" r="0" b="0"/>
                <wp:wrapTopAndBottom/>
                <wp:docPr id="1688" name="Graphic 1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72390"/>
                        </a:xfrm>
                        <a:custGeom>
                          <a:avLst/>
                          <a:gdLst/>
                          <a:ahLst/>
                          <a:cxnLst/>
                          <a:rect l="l" t="t" r="r" b="b"/>
                          <a:pathLst>
                            <a:path w="53975" h="72390">
                              <a:moveTo>
                                <a:pt x="53976" y="71967"/>
                              </a:moveTo>
                              <a:lnTo>
                                <a:pt x="0" y="71967"/>
                              </a:lnTo>
                              <a:lnTo>
                                <a:pt x="0" y="0"/>
                              </a:lnTo>
                              <a:lnTo>
                                <a:pt x="53976" y="0"/>
                              </a:lnTo>
                              <a:lnTo>
                                <a:pt x="53976" y="71967"/>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6F640560" id="Graphic 1688" o:spid="_x0000_s1026" style="position:absolute;margin-left:511.65pt;margin-top:250.5pt;width:4.25pt;height:5.7pt;z-index:-15443968;visibility:visible;mso-wrap-style:square;mso-wrap-distance-left:0;mso-wrap-distance-top:0;mso-wrap-distance-right:0;mso-wrap-distance-bottom:0;mso-position-horizontal:absolute;mso-position-horizontal-relative:page;mso-position-vertical:absolute;mso-position-vertical-relative:text;v-text-anchor:top" coordsize="5397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" path="m53976,71967l,71967,,,53976,r,71967xe" fillcolor="#0000c0" stroked="f">
                <v:path arrowok="t"/>
                <w10:wrap type="topAndBottom" anchorx="page"/>
              </v:shape>
            </w:pict>
          </mc:Fallback>
        </mc:AlternateContent>
      </w:r>
      <w:r w:rsidRPr="003C6DAE">
        <w:rPr>
          <w:rFonts w:ascii="Trebuchet MS"/>
          <w:noProof/>
          <w:sz w:val="5"/>
          <w:lang w:val="uk-UA"/>
        </w:rPr>
        <mc:AlternateContent>
          <mc:Choice Requires="wpg">
            <w:drawing>
              <wp:anchor distT="0" distB="0" distL="0" distR="0" simplePos="0" relativeHeight="487873024" behindDoc="1" locked="0" layoutInCell="1" allowOverlap="1" wp14:anchorId="4E98A9C5" wp14:editId="6B1E8B10">
                <wp:simplePos x="0" y="0"/>
                <wp:positionH relativeFrom="page">
                  <wp:posOffset>6363918</wp:posOffset>
                </wp:positionH>
                <wp:positionV relativeFrom="paragraph">
                  <wp:posOffset>3345553</wp:posOffset>
                </wp:positionV>
                <wp:extent cx="193040" cy="72390"/>
                <wp:effectExtent l="0" t="0" r="0" b="0"/>
                <wp:wrapTopAndBottom/>
                <wp:docPr id="1689" name="Group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040" cy="72390"/>
                          <a:chOff x="0" y="0"/>
                          <a:chExt cx="193040" cy="72390"/>
                        </a:xfrm>
                      </wpg:grpSpPr>
                      <wps:wsp>
                        <wps:cNvPr id="1690" name="Graphic 1690"/>
                        <wps:cNvSpPr/>
                        <wps:spPr>
                          <a:xfrm>
                            <a:off x="0" y="30843"/>
                            <a:ext cx="193040" cy="1270"/>
                          </a:xfrm>
                          <a:custGeom>
                            <a:avLst/>
                            <a:gdLst/>
                            <a:ahLst/>
                            <a:cxnLst/>
                            <a:rect l="l" t="t" r="r" b="b"/>
                            <a:pathLst>
                              <a:path w="193040">
                                <a:moveTo>
                                  <a:pt x="0" y="0"/>
                                </a:moveTo>
                                <a:lnTo>
                                  <a:pt x="103325" y="0"/>
                                </a:lnTo>
                              </a:path>
                              <a:path w="193040">
                                <a:moveTo>
                                  <a:pt x="157301" y="0"/>
                                </a:moveTo>
                                <a:lnTo>
                                  <a:pt x="192771" y="0"/>
                                </a:lnTo>
                              </a:path>
                            </a:pathLst>
                          </a:custGeom>
                          <a:ln w="10281">
                            <a:solidFill>
                              <a:srgbClr val="000000"/>
                            </a:solidFill>
                            <a:prstDash val="solid"/>
                          </a:ln>
                        </wps:spPr>
                        <wps:bodyPr wrap="square" lIns="0" tIns="0" rIns="0" bIns="0" rtlCol="0">
                          <a:prstTxWarp prst="textNoShape">
                            <a:avLst/>
                          </a:prstTxWarp>
                          <a:noAutofit/>
                        </wps:bodyPr>
                      </wps:wsp>
                      <wps:wsp>
                        <wps:cNvPr id="1691" name="Graphic 1691"/>
                        <wps:cNvSpPr/>
                        <wps:spPr>
                          <a:xfrm>
                            <a:off x="103325"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1D2BE44" id="Group 1689" o:spid="_x0000_s1026" style="position:absolute;margin-left:501.1pt;margin-top:263.45pt;width:15.2pt;height:5.7pt;z-index:-15443456;mso-wrap-distance-left:0;mso-wrap-distance-right:0;mso-position-horizontal-relative:page" coordsize="19304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">
                <v:shape id="Graphic 1690" o:spid="_x0000_s1027" style="position:absolute;top:30843;width:193040;height:1270;visibility:visible;mso-wrap-style:square;v-text-anchor:top" coordsize="193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" path="m,l103325,em157301,r35470,e" filled="f" strokeweight=".28558mm">
                  <v:path arrowok="t"/>
                </v:shape>
                <v:shape id="Graphic 1691" o:spid="_x0000_s1028" style="position:absolute;left:103325;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" path="m53975,71967l,71967,,,53975,r,71967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73536" behindDoc="1" locked="0" layoutInCell="1" allowOverlap="1" wp14:anchorId="466A6DE0" wp14:editId="0DC9C77F">
                <wp:simplePos x="0" y="0"/>
                <wp:positionH relativeFrom="page">
                  <wp:posOffset>6387436</wp:posOffset>
                </wp:positionH>
                <wp:positionV relativeFrom="paragraph">
                  <wp:posOffset>3510050</wp:posOffset>
                </wp:positionV>
                <wp:extent cx="194310" cy="72390"/>
                <wp:effectExtent l="0" t="0" r="0" b="0"/>
                <wp:wrapTopAndBottom/>
                <wp:docPr id="1692"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 cy="72390"/>
                          <a:chOff x="0" y="0"/>
                          <a:chExt cx="194310" cy="72390"/>
                        </a:xfrm>
                      </wpg:grpSpPr>
                      <wps:wsp>
                        <wps:cNvPr id="1693" name="Graphic 1693"/>
                        <wps:cNvSpPr/>
                        <wps:spPr>
                          <a:xfrm>
                            <a:off x="0" y="30843"/>
                            <a:ext cx="133985" cy="1270"/>
                          </a:xfrm>
                          <a:custGeom>
                            <a:avLst/>
                            <a:gdLst/>
                            <a:ahLst/>
                            <a:cxnLst/>
                            <a:rect l="l" t="t" r="r" b="b"/>
                            <a:pathLst>
                              <a:path w="133985">
                                <a:moveTo>
                                  <a:pt x="0" y="0"/>
                                </a:moveTo>
                                <a:lnTo>
                                  <a:pt x="133783" y="0"/>
                                </a:lnTo>
                              </a:path>
                            </a:pathLst>
                          </a:custGeom>
                          <a:ln w="10281">
                            <a:solidFill>
                              <a:srgbClr val="000000"/>
                            </a:solidFill>
                            <a:prstDash val="solid"/>
                          </a:ln>
                        </wps:spPr>
                        <wps:bodyPr wrap="square" lIns="0" tIns="0" rIns="0" bIns="0" rtlCol="0">
                          <a:prstTxWarp prst="textNoShape">
                            <a:avLst/>
                          </a:prstTxWarp>
                          <a:noAutofit/>
                        </wps:bodyPr>
                      </wps:wsp>
                      <wps:wsp>
                        <wps:cNvPr id="1694" name="Graphic 1694"/>
                        <wps:cNvSpPr/>
                        <wps:spPr>
                          <a:xfrm>
                            <a:off x="191036" y="25703"/>
                            <a:ext cx="1270" cy="10795"/>
                          </a:xfrm>
                          <a:custGeom>
                            <a:avLst/>
                            <a:gdLst/>
                            <a:ahLst/>
                            <a:cxnLst/>
                            <a:rect l="l" t="t" r="r" b="b"/>
                            <a:pathLst>
                              <a:path h="10795">
                                <a:moveTo>
                                  <a:pt x="0" y="0"/>
                                </a:moveTo>
                                <a:lnTo>
                                  <a:pt x="0" y="10281"/>
                                </a:lnTo>
                              </a:path>
                            </a:pathLst>
                          </a:custGeom>
                          <a:ln w="6554">
                            <a:solidFill>
                              <a:srgbClr val="000000"/>
                            </a:solidFill>
                            <a:prstDash val="solid"/>
                          </a:ln>
                        </wps:spPr>
                        <wps:bodyPr wrap="square" lIns="0" tIns="0" rIns="0" bIns="0" rtlCol="0">
                          <a:prstTxWarp prst="textNoShape">
                            <a:avLst/>
                          </a:prstTxWarp>
                          <a:noAutofit/>
                        </wps:bodyPr>
                      </wps:wsp>
                      <wps:wsp>
                        <wps:cNvPr id="1695" name="Graphic 1695"/>
                        <wps:cNvSpPr/>
                        <wps:spPr>
                          <a:xfrm>
                            <a:off x="133783"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51DFF5D" id="Group 1692" o:spid="_x0000_s1026" style="position:absolute;margin-left:502.95pt;margin-top:276.4pt;width:15.3pt;height:5.7pt;z-index:-15442944;mso-wrap-distance-left:0;mso-wrap-distance-right:0;mso-position-horizontal-relative:page" coordsize="19431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">
                <v:shape id="Graphic 1693" o:spid="_x0000_s1027" style="position:absolute;top:30843;width:133985;height:1270;visibility:visible;mso-wrap-style:square;v-text-anchor:top" coordsize="133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" path="m,l133783,e" filled="f" strokeweight=".28558mm">
                  <v:path arrowok="t"/>
                </v:shape>
                <v:shape id="Graphic 1694" o:spid="_x0000_s1028" style="position:absolute;left:191036;top:25703;width:1270;height:10795;visibility:visible;mso-wrap-style:square;v-text-anchor:top" coordsize="12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" path="m,l,10281e" filled="f" strokeweight=".18206mm">
                  <v:path arrowok="t"/>
                </v:shape>
                <v:shape id="Graphic 1695" o:spid="_x0000_s1029" style="position:absolute;left:133783;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" path="m53975,71967l,71967,,,53975,r,71967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74048" behindDoc="1" locked="0" layoutInCell="1" allowOverlap="1" wp14:anchorId="0C3036ED" wp14:editId="10F70F28">
                <wp:simplePos x="0" y="0"/>
                <wp:positionH relativeFrom="page">
                  <wp:posOffset>6499629</wp:posOffset>
                </wp:positionH>
                <wp:positionV relativeFrom="paragraph">
                  <wp:posOffset>3674548</wp:posOffset>
                </wp:positionV>
                <wp:extent cx="60960" cy="72390"/>
                <wp:effectExtent l="0" t="0" r="0" b="0"/>
                <wp:wrapTopAndBottom/>
                <wp:docPr id="1696" name="Group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72390"/>
                          <a:chOff x="0" y="0"/>
                          <a:chExt cx="60960" cy="72390"/>
                        </a:xfrm>
                      </wpg:grpSpPr>
                      <wps:wsp>
                        <wps:cNvPr id="1697" name="Graphic 1697"/>
                        <wps:cNvSpPr/>
                        <wps:spPr>
                          <a:xfrm>
                            <a:off x="3276" y="25703"/>
                            <a:ext cx="1270" cy="10795"/>
                          </a:xfrm>
                          <a:custGeom>
                            <a:avLst/>
                            <a:gdLst/>
                            <a:ahLst/>
                            <a:cxnLst/>
                            <a:rect l="l" t="t" r="r" b="b"/>
                            <a:pathLst>
                              <a:path h="10795">
                                <a:moveTo>
                                  <a:pt x="0" y="0"/>
                                </a:moveTo>
                                <a:lnTo>
                                  <a:pt x="0" y="10281"/>
                                </a:lnTo>
                              </a:path>
                            </a:pathLst>
                          </a:custGeom>
                          <a:ln w="6553">
                            <a:solidFill>
                              <a:srgbClr val="000000"/>
                            </a:solidFill>
                            <a:prstDash val="solid"/>
                          </a:ln>
                        </wps:spPr>
                        <wps:bodyPr wrap="square" lIns="0" tIns="0" rIns="0" bIns="0" rtlCol="0">
                          <a:prstTxWarp prst="textNoShape">
                            <a:avLst/>
                          </a:prstTxWarp>
                          <a:noAutofit/>
                        </wps:bodyPr>
                      </wps:wsp>
                      <wps:wsp>
                        <wps:cNvPr id="1698" name="Graphic 1698"/>
                        <wps:cNvSpPr/>
                        <wps:spPr>
                          <a:xfrm>
                            <a:off x="6553" y="0"/>
                            <a:ext cx="53975" cy="72390"/>
                          </a:xfrm>
                          <a:custGeom>
                            <a:avLst/>
                            <a:gdLst/>
                            <a:ahLst/>
                            <a:cxnLst/>
                            <a:rect l="l" t="t" r="r" b="b"/>
                            <a:pathLst>
                              <a:path w="53975" h="72390">
                                <a:moveTo>
                                  <a:pt x="53976" y="71967"/>
                                </a:moveTo>
                                <a:lnTo>
                                  <a:pt x="0" y="71967"/>
                                </a:lnTo>
                                <a:lnTo>
                                  <a:pt x="0" y="0"/>
                                </a:lnTo>
                                <a:lnTo>
                                  <a:pt x="53976" y="0"/>
                                </a:lnTo>
                                <a:lnTo>
                                  <a:pt x="53976"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2A2D40C" id="Group 1696" o:spid="_x0000_s1026" style="position:absolute;margin-left:511.8pt;margin-top:289.35pt;width:4.8pt;height:5.7pt;z-index:-15442432;mso-wrap-distance-left:0;mso-wrap-distance-right:0;mso-position-horizontal-relative:page" coordsize="6096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">
                <v:shape id="Graphic 1697" o:spid="_x0000_s1027" style="position:absolute;left:3276;top:25703;width:1270;height:10795;visibility:visible;mso-wrap-style:square;v-text-anchor:top" coordsize="12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" path="m,l,10281e" filled="f" strokeweight=".18203mm">
                  <v:path arrowok="t"/>
                </v:shape>
                <v:shape id="Graphic 1698" o:spid="_x0000_s1028" style="position:absolute;left:6553;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" path="m53976,71967l,71967,,,53976,r,71967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74560" behindDoc="1" locked="0" layoutInCell="1" allowOverlap="1" wp14:anchorId="17837A56" wp14:editId="710D37F6">
                <wp:simplePos x="0" y="0"/>
                <wp:positionH relativeFrom="page">
                  <wp:posOffset>6174617</wp:posOffset>
                </wp:positionH>
                <wp:positionV relativeFrom="paragraph">
                  <wp:posOffset>3839047</wp:posOffset>
                </wp:positionV>
                <wp:extent cx="234950" cy="72390"/>
                <wp:effectExtent l="0" t="0" r="0" b="0"/>
                <wp:wrapTopAndBottom/>
                <wp:docPr id="1699" name="Group 1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72390"/>
                          <a:chOff x="0" y="0"/>
                          <a:chExt cx="234950" cy="72390"/>
                        </a:xfrm>
                      </wpg:grpSpPr>
                      <wps:wsp>
                        <wps:cNvPr id="1700" name="Graphic 1700"/>
                        <wps:cNvSpPr/>
                        <wps:spPr>
                          <a:xfrm>
                            <a:off x="0" y="30843"/>
                            <a:ext cx="234950" cy="1270"/>
                          </a:xfrm>
                          <a:custGeom>
                            <a:avLst/>
                            <a:gdLst/>
                            <a:ahLst/>
                            <a:cxnLst/>
                            <a:rect l="l" t="t" r="r" b="b"/>
                            <a:pathLst>
                              <a:path w="234950">
                                <a:moveTo>
                                  <a:pt x="0" y="0"/>
                                </a:moveTo>
                                <a:lnTo>
                                  <a:pt x="104097" y="0"/>
                                </a:lnTo>
                              </a:path>
                              <a:path w="234950">
                                <a:moveTo>
                                  <a:pt x="158073" y="0"/>
                                </a:moveTo>
                                <a:lnTo>
                                  <a:pt x="234410" y="0"/>
                                </a:lnTo>
                              </a:path>
                            </a:pathLst>
                          </a:custGeom>
                          <a:ln w="10281">
                            <a:solidFill>
                              <a:srgbClr val="000000"/>
                            </a:solidFill>
                            <a:prstDash val="solid"/>
                          </a:ln>
                        </wps:spPr>
                        <wps:bodyPr wrap="square" lIns="0" tIns="0" rIns="0" bIns="0" rtlCol="0">
                          <a:prstTxWarp prst="textNoShape">
                            <a:avLst/>
                          </a:prstTxWarp>
                          <a:noAutofit/>
                        </wps:bodyPr>
                      </wps:wsp>
                      <wps:wsp>
                        <wps:cNvPr id="1701" name="Graphic 1701"/>
                        <wps:cNvSpPr/>
                        <wps:spPr>
                          <a:xfrm>
                            <a:off x="104097" y="0"/>
                            <a:ext cx="53975" cy="72390"/>
                          </a:xfrm>
                          <a:custGeom>
                            <a:avLst/>
                            <a:gdLst/>
                            <a:ahLst/>
                            <a:cxnLst/>
                            <a:rect l="l" t="t" r="r" b="b"/>
                            <a:pathLst>
                              <a:path w="53975" h="72390">
                                <a:moveTo>
                                  <a:pt x="53975" y="71967"/>
                                </a:moveTo>
                                <a:lnTo>
                                  <a:pt x="0" y="71967"/>
                                </a:lnTo>
                                <a:lnTo>
                                  <a:pt x="0" y="0"/>
                                </a:lnTo>
                                <a:lnTo>
                                  <a:pt x="53975" y="0"/>
                                </a:lnTo>
                                <a:lnTo>
                                  <a:pt x="53975"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9D54F35" id="Group 1699" o:spid="_x0000_s1026" style="position:absolute;margin-left:486.2pt;margin-top:302.3pt;width:18.5pt;height:5.7pt;z-index:-15441920;mso-wrap-distance-left:0;mso-wrap-distance-right:0;mso-position-horizontal-relative:page" coordsize="23495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">
                <v:shape id="Graphic 1700" o:spid="_x0000_s1027" style="position:absolute;top:30843;width:234950;height:1270;visibility:visible;mso-wrap-style:square;v-text-anchor:top" coordsize="234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" path="m,l104097,em158073,r76337,e" filled="f" strokeweight=".28558mm">
                  <v:path arrowok="t"/>
                </v:shape>
                <v:shape id="Graphic 1701" o:spid="_x0000_s1028" style="position:absolute;left:104097;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" path="m53975,71967l,71967,,,53975,r,71967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75072" behindDoc="1" locked="0" layoutInCell="1" allowOverlap="1" wp14:anchorId="4E2F9F11" wp14:editId="2328CEAE">
                <wp:simplePos x="0" y="0"/>
                <wp:positionH relativeFrom="page">
                  <wp:posOffset>6439870</wp:posOffset>
                </wp:positionH>
                <wp:positionV relativeFrom="paragraph">
                  <wp:posOffset>4003545</wp:posOffset>
                </wp:positionV>
                <wp:extent cx="98425" cy="72390"/>
                <wp:effectExtent l="0" t="0" r="0" b="0"/>
                <wp:wrapTopAndBottom/>
                <wp:docPr id="1702"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72390"/>
                          <a:chOff x="0" y="0"/>
                          <a:chExt cx="98425" cy="72390"/>
                        </a:xfrm>
                      </wpg:grpSpPr>
                      <wps:wsp>
                        <wps:cNvPr id="1703" name="Graphic 1703"/>
                        <wps:cNvSpPr/>
                        <wps:spPr>
                          <a:xfrm>
                            <a:off x="0" y="30843"/>
                            <a:ext cx="35560" cy="1270"/>
                          </a:xfrm>
                          <a:custGeom>
                            <a:avLst/>
                            <a:gdLst/>
                            <a:ahLst/>
                            <a:cxnLst/>
                            <a:rect l="l" t="t" r="r" b="b"/>
                            <a:pathLst>
                              <a:path w="35560">
                                <a:moveTo>
                                  <a:pt x="0" y="0"/>
                                </a:moveTo>
                                <a:lnTo>
                                  <a:pt x="35083" y="0"/>
                                </a:lnTo>
                              </a:path>
                            </a:pathLst>
                          </a:custGeom>
                          <a:ln w="10281">
                            <a:solidFill>
                              <a:srgbClr val="000000"/>
                            </a:solidFill>
                            <a:prstDash val="solid"/>
                          </a:ln>
                        </wps:spPr>
                        <wps:bodyPr wrap="square" lIns="0" tIns="0" rIns="0" bIns="0" rtlCol="0">
                          <a:prstTxWarp prst="textNoShape">
                            <a:avLst/>
                          </a:prstTxWarp>
                          <a:noAutofit/>
                        </wps:bodyPr>
                      </wps:wsp>
                      <wps:wsp>
                        <wps:cNvPr id="1704" name="Graphic 1704"/>
                        <wps:cNvSpPr/>
                        <wps:spPr>
                          <a:xfrm>
                            <a:off x="93686" y="25703"/>
                            <a:ext cx="1270" cy="10795"/>
                          </a:xfrm>
                          <a:custGeom>
                            <a:avLst/>
                            <a:gdLst/>
                            <a:ahLst/>
                            <a:cxnLst/>
                            <a:rect l="l" t="t" r="r" b="b"/>
                            <a:pathLst>
                              <a:path h="10795">
                                <a:moveTo>
                                  <a:pt x="0" y="0"/>
                                </a:moveTo>
                                <a:lnTo>
                                  <a:pt x="0" y="10281"/>
                                </a:lnTo>
                              </a:path>
                            </a:pathLst>
                          </a:custGeom>
                          <a:ln w="9253">
                            <a:solidFill>
                              <a:srgbClr val="000000"/>
                            </a:solidFill>
                            <a:prstDash val="solid"/>
                          </a:ln>
                        </wps:spPr>
                        <wps:bodyPr wrap="square" lIns="0" tIns="0" rIns="0" bIns="0" rtlCol="0">
                          <a:prstTxWarp prst="textNoShape">
                            <a:avLst/>
                          </a:prstTxWarp>
                          <a:noAutofit/>
                        </wps:bodyPr>
                      </wps:wsp>
                      <wps:wsp>
                        <wps:cNvPr id="1705" name="Graphic 1705"/>
                        <wps:cNvSpPr/>
                        <wps:spPr>
                          <a:xfrm>
                            <a:off x="35083" y="0"/>
                            <a:ext cx="53975" cy="72390"/>
                          </a:xfrm>
                          <a:custGeom>
                            <a:avLst/>
                            <a:gdLst/>
                            <a:ahLst/>
                            <a:cxnLst/>
                            <a:rect l="l" t="t" r="r" b="b"/>
                            <a:pathLst>
                              <a:path w="53975" h="72390">
                                <a:moveTo>
                                  <a:pt x="53976" y="71967"/>
                                </a:moveTo>
                                <a:lnTo>
                                  <a:pt x="0" y="71967"/>
                                </a:lnTo>
                                <a:lnTo>
                                  <a:pt x="0" y="0"/>
                                </a:lnTo>
                                <a:lnTo>
                                  <a:pt x="53976" y="0"/>
                                </a:lnTo>
                                <a:lnTo>
                                  <a:pt x="53976" y="7196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78C055F" id="Group 1702" o:spid="_x0000_s1026" style="position:absolute;margin-left:507.1pt;margin-top:315.25pt;width:7.75pt;height:5.7pt;z-index:-15441408;mso-wrap-distance-left:0;mso-wrap-distance-right:0;mso-position-horizontal-relative:page" coordsize="9842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">
                <v:shape id="Graphic 1703" o:spid="_x0000_s1027" style="position:absolute;top:30843;width:35560;height:1270;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" path="m,l35083,e" filled="f" strokeweight=".28558mm">
                  <v:path arrowok="t"/>
                </v:shape>
                <v:shape id="Graphic 1704" o:spid="_x0000_s1028" style="position:absolute;left:93686;top:25703;width:1270;height:10795;visibility:visible;mso-wrap-style:square;v-text-anchor:top" coordsize="12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" path="m,l,10281e" filled="f" strokeweight=".25703mm">
                  <v:path arrowok="t"/>
                </v:shape>
                <v:shape id="Graphic 1705" o:spid="_x0000_s1029" style="position:absolute;left:35083;width:53975;height:72390;visibility:visible;mso-wrap-style:square;v-text-anchor:top" coordsize="5397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" path="m53976,71967l,71967,,,53976,r,71967xe" fillcolor="#0000c0" stroked="f">
                  <v:path arrowok="t"/>
                </v:shape>
                <w10:wrap type="topAndBottom" anchorx="page"/>
              </v:group>
            </w:pict>
          </mc:Fallback>
        </mc:AlternateContent>
      </w:r>
    </w:p>
    <w:p w14:paraId="63C2F7F5" w14:textId="77777777" w:rsidR="00E05B98" w:rsidRPr="003C6DAE" w:rsidRDefault="00E05B98">
      <w:pPr>
        <w:pStyle w:val="a3"/>
        <w:spacing w:before="5"/>
        <w:rPr>
          <w:rFonts w:ascii="Trebuchet MS"/>
          <w:sz w:val="10"/>
          <w:lang w:val="uk-UA"/>
        </w:rPr>
      </w:pPr>
    </w:p>
    <w:p w14:paraId="49AF60D3" w14:textId="77777777" w:rsidR="00E05B98" w:rsidRPr="003C6DAE" w:rsidRDefault="00E05B98">
      <w:pPr>
        <w:pStyle w:val="a3"/>
        <w:spacing w:before="5"/>
        <w:rPr>
          <w:rFonts w:ascii="Trebuchet MS"/>
          <w:sz w:val="10"/>
          <w:lang w:val="uk-UA"/>
        </w:rPr>
      </w:pPr>
    </w:p>
    <w:p w14:paraId="68224AED" w14:textId="77777777" w:rsidR="00E05B98" w:rsidRPr="003C6DAE" w:rsidRDefault="00E05B98">
      <w:pPr>
        <w:pStyle w:val="a3"/>
        <w:spacing w:before="5"/>
        <w:rPr>
          <w:rFonts w:ascii="Trebuchet MS"/>
          <w:sz w:val="10"/>
          <w:lang w:val="uk-UA"/>
        </w:rPr>
      </w:pPr>
    </w:p>
    <w:p w14:paraId="06A162DB" w14:textId="77777777" w:rsidR="00E05B98" w:rsidRPr="003C6DAE" w:rsidRDefault="00E05B98">
      <w:pPr>
        <w:pStyle w:val="a3"/>
        <w:spacing w:before="5"/>
        <w:rPr>
          <w:rFonts w:ascii="Trebuchet MS"/>
          <w:sz w:val="10"/>
          <w:lang w:val="uk-UA"/>
        </w:rPr>
      </w:pPr>
    </w:p>
    <w:p w14:paraId="785A2F97" w14:textId="77777777" w:rsidR="00E05B98" w:rsidRPr="003C6DAE" w:rsidRDefault="00E05B98">
      <w:pPr>
        <w:pStyle w:val="a3"/>
        <w:spacing w:before="5"/>
        <w:rPr>
          <w:rFonts w:ascii="Trebuchet MS"/>
          <w:sz w:val="10"/>
          <w:lang w:val="uk-UA"/>
        </w:rPr>
      </w:pPr>
    </w:p>
    <w:p w14:paraId="36E0B15C" w14:textId="77777777" w:rsidR="00E05B98" w:rsidRPr="003C6DAE" w:rsidRDefault="00E05B98">
      <w:pPr>
        <w:pStyle w:val="a3"/>
        <w:spacing w:before="5"/>
        <w:rPr>
          <w:rFonts w:ascii="Trebuchet MS"/>
          <w:sz w:val="10"/>
          <w:lang w:val="uk-UA"/>
        </w:rPr>
      </w:pPr>
    </w:p>
    <w:p w14:paraId="6500F9DA" w14:textId="77777777" w:rsidR="00E05B98" w:rsidRPr="003C6DAE" w:rsidRDefault="00E05B98">
      <w:pPr>
        <w:pStyle w:val="a3"/>
        <w:spacing w:before="5"/>
        <w:rPr>
          <w:rFonts w:ascii="Trebuchet MS"/>
          <w:sz w:val="10"/>
          <w:lang w:val="uk-UA"/>
        </w:rPr>
      </w:pPr>
    </w:p>
    <w:p w14:paraId="717DFB75" w14:textId="77777777" w:rsidR="00E05B98" w:rsidRPr="003C6DAE" w:rsidRDefault="00E05B98">
      <w:pPr>
        <w:pStyle w:val="a3"/>
        <w:spacing w:before="5"/>
        <w:rPr>
          <w:rFonts w:ascii="Trebuchet MS"/>
          <w:sz w:val="10"/>
          <w:lang w:val="uk-UA"/>
        </w:rPr>
      </w:pPr>
    </w:p>
    <w:p w14:paraId="09249A7D" w14:textId="77777777" w:rsidR="00E05B98" w:rsidRPr="003C6DAE" w:rsidRDefault="00E05B98">
      <w:pPr>
        <w:pStyle w:val="a3"/>
        <w:spacing w:before="5"/>
        <w:rPr>
          <w:rFonts w:ascii="Trebuchet MS"/>
          <w:sz w:val="10"/>
          <w:lang w:val="uk-UA"/>
        </w:rPr>
      </w:pPr>
    </w:p>
    <w:p w14:paraId="5C475EF0" w14:textId="77777777" w:rsidR="00E05B98" w:rsidRPr="003C6DAE" w:rsidRDefault="00E05B98">
      <w:pPr>
        <w:pStyle w:val="a3"/>
        <w:spacing w:before="5"/>
        <w:rPr>
          <w:rFonts w:ascii="Trebuchet MS"/>
          <w:sz w:val="10"/>
          <w:lang w:val="uk-UA"/>
        </w:rPr>
      </w:pPr>
    </w:p>
    <w:p w14:paraId="3911F980" w14:textId="77777777" w:rsidR="00E05B98" w:rsidRPr="003C6DAE" w:rsidRDefault="00E05B98">
      <w:pPr>
        <w:pStyle w:val="a3"/>
        <w:spacing w:before="5"/>
        <w:rPr>
          <w:rFonts w:ascii="Trebuchet MS"/>
          <w:sz w:val="10"/>
          <w:lang w:val="uk-UA"/>
        </w:rPr>
      </w:pPr>
    </w:p>
    <w:p w14:paraId="019D74F4" w14:textId="77777777" w:rsidR="00E05B98" w:rsidRPr="003C6DAE" w:rsidRDefault="00E05B98">
      <w:pPr>
        <w:pStyle w:val="a3"/>
        <w:spacing w:before="5"/>
        <w:rPr>
          <w:rFonts w:ascii="Trebuchet MS"/>
          <w:sz w:val="10"/>
          <w:lang w:val="uk-UA"/>
        </w:rPr>
      </w:pPr>
    </w:p>
    <w:p w14:paraId="109C52C4" w14:textId="77777777" w:rsidR="00E05B98" w:rsidRPr="003C6DAE" w:rsidRDefault="00E05B98">
      <w:pPr>
        <w:pStyle w:val="a3"/>
        <w:spacing w:before="5"/>
        <w:rPr>
          <w:rFonts w:ascii="Trebuchet MS"/>
          <w:sz w:val="10"/>
          <w:lang w:val="uk-UA"/>
        </w:rPr>
      </w:pPr>
    </w:p>
    <w:p w14:paraId="581FDD6E" w14:textId="77777777" w:rsidR="00E05B98" w:rsidRPr="003C6DAE" w:rsidRDefault="00E05B98">
      <w:pPr>
        <w:pStyle w:val="a3"/>
        <w:spacing w:before="5"/>
        <w:rPr>
          <w:rFonts w:ascii="Trebuchet MS"/>
          <w:sz w:val="10"/>
          <w:lang w:val="uk-UA"/>
        </w:rPr>
      </w:pPr>
    </w:p>
    <w:p w14:paraId="597E9B17" w14:textId="77777777" w:rsidR="00E05B98" w:rsidRPr="003C6DAE" w:rsidRDefault="00E05B98">
      <w:pPr>
        <w:pStyle w:val="a3"/>
        <w:spacing w:before="5"/>
        <w:rPr>
          <w:rFonts w:ascii="Trebuchet MS"/>
          <w:sz w:val="10"/>
          <w:lang w:val="uk-UA"/>
        </w:rPr>
      </w:pPr>
    </w:p>
    <w:p w14:paraId="6910A682" w14:textId="77777777" w:rsidR="00E05B98" w:rsidRPr="003C6DAE" w:rsidRDefault="00E05B98">
      <w:pPr>
        <w:pStyle w:val="a3"/>
        <w:spacing w:before="5"/>
        <w:rPr>
          <w:rFonts w:ascii="Trebuchet MS"/>
          <w:sz w:val="10"/>
          <w:lang w:val="uk-UA"/>
        </w:rPr>
      </w:pPr>
    </w:p>
    <w:p w14:paraId="3ED0AB4F" w14:textId="77777777" w:rsidR="00E05B98" w:rsidRPr="003C6DAE" w:rsidRDefault="00E05B98">
      <w:pPr>
        <w:pStyle w:val="a3"/>
        <w:spacing w:before="5"/>
        <w:rPr>
          <w:rFonts w:ascii="Trebuchet MS"/>
          <w:sz w:val="10"/>
          <w:lang w:val="uk-UA"/>
        </w:rPr>
      </w:pPr>
    </w:p>
    <w:p w14:paraId="6648C69F" w14:textId="77777777" w:rsidR="00E05B98" w:rsidRPr="003C6DAE" w:rsidRDefault="00E05B98">
      <w:pPr>
        <w:pStyle w:val="a3"/>
        <w:spacing w:before="5"/>
        <w:rPr>
          <w:rFonts w:ascii="Trebuchet MS"/>
          <w:sz w:val="10"/>
          <w:lang w:val="uk-UA"/>
        </w:rPr>
      </w:pPr>
    </w:p>
    <w:p w14:paraId="10F8A233" w14:textId="77777777" w:rsidR="00E05B98" w:rsidRPr="003C6DAE" w:rsidRDefault="00E05B98">
      <w:pPr>
        <w:pStyle w:val="a3"/>
        <w:spacing w:before="5"/>
        <w:rPr>
          <w:rFonts w:ascii="Trebuchet MS"/>
          <w:sz w:val="10"/>
          <w:lang w:val="uk-UA"/>
        </w:rPr>
      </w:pPr>
    </w:p>
    <w:p w14:paraId="2D73293D" w14:textId="77777777" w:rsidR="00E05B98" w:rsidRPr="003C6DAE" w:rsidRDefault="00E05B98">
      <w:pPr>
        <w:pStyle w:val="a3"/>
        <w:spacing w:before="5"/>
        <w:rPr>
          <w:rFonts w:ascii="Trebuchet MS"/>
          <w:sz w:val="10"/>
          <w:lang w:val="uk-UA"/>
        </w:rPr>
      </w:pPr>
    </w:p>
    <w:p w14:paraId="3601D12B" w14:textId="77777777" w:rsidR="00E05B98" w:rsidRPr="003C6DAE" w:rsidRDefault="00E05B98">
      <w:pPr>
        <w:pStyle w:val="a3"/>
        <w:spacing w:before="5"/>
        <w:rPr>
          <w:rFonts w:ascii="Trebuchet MS"/>
          <w:sz w:val="10"/>
          <w:lang w:val="uk-UA"/>
        </w:rPr>
      </w:pPr>
    </w:p>
    <w:p w14:paraId="7EC22773" w14:textId="77777777" w:rsidR="00E05B98" w:rsidRPr="003C6DAE" w:rsidRDefault="00E05B98">
      <w:pPr>
        <w:pStyle w:val="a3"/>
        <w:spacing w:before="5"/>
        <w:rPr>
          <w:rFonts w:ascii="Trebuchet MS"/>
          <w:sz w:val="10"/>
          <w:lang w:val="uk-UA"/>
        </w:rPr>
      </w:pPr>
    </w:p>
    <w:p w14:paraId="797055E5" w14:textId="77777777" w:rsidR="00E05B98" w:rsidRPr="003C6DAE" w:rsidRDefault="00E05B98">
      <w:pPr>
        <w:pStyle w:val="a3"/>
        <w:spacing w:before="5"/>
        <w:rPr>
          <w:rFonts w:ascii="Trebuchet MS"/>
          <w:sz w:val="10"/>
          <w:lang w:val="uk-UA"/>
        </w:rPr>
      </w:pPr>
    </w:p>
    <w:p w14:paraId="659C1A6A" w14:textId="77777777" w:rsidR="00E05B98" w:rsidRPr="003C6DAE" w:rsidRDefault="00E05B98">
      <w:pPr>
        <w:pStyle w:val="a3"/>
        <w:spacing w:before="5"/>
        <w:rPr>
          <w:rFonts w:ascii="Trebuchet MS"/>
          <w:sz w:val="10"/>
          <w:lang w:val="uk-UA"/>
        </w:rPr>
      </w:pPr>
    </w:p>
    <w:p w14:paraId="30AE47D3" w14:textId="77777777" w:rsidR="00E05B98" w:rsidRPr="003C6DAE" w:rsidRDefault="00E05B98">
      <w:pPr>
        <w:pStyle w:val="a3"/>
        <w:spacing w:before="169"/>
        <w:rPr>
          <w:rFonts w:ascii="Trebuchet MS"/>
          <w:sz w:val="19"/>
          <w:lang w:val="uk-UA"/>
        </w:rPr>
      </w:pPr>
    </w:p>
    <w:p w14:paraId="29063209" w14:textId="77777777" w:rsidR="00E05B98" w:rsidRPr="003C6DAE" w:rsidRDefault="00B01E0C">
      <w:pPr>
        <w:ind w:left="99"/>
        <w:rPr>
          <w:rFonts w:ascii="Trebuchet MS"/>
          <w:sz w:val="19"/>
          <w:lang w:val="uk-UA"/>
        </w:rPr>
      </w:pPr>
      <w:r w:rsidRPr="003C6DAE">
        <w:rPr>
          <w:rFonts w:ascii="Trebuchet MS"/>
          <w:w w:val="75"/>
          <w:sz w:val="19"/>
          <w:lang w:val="uk-UA"/>
        </w:rPr>
        <w:t>0</w:t>
      </w:r>
      <w:r w:rsidRPr="003C6DAE">
        <w:rPr>
          <w:rFonts w:ascii="Trebuchet MS"/>
          <w:spacing w:val="46"/>
          <w:sz w:val="19"/>
          <w:lang w:val="uk-UA"/>
        </w:rPr>
        <w:t xml:space="preserve"> </w:t>
      </w:r>
      <w:r w:rsidRPr="003C6DAE">
        <w:rPr>
          <w:rFonts w:ascii="Trebuchet MS"/>
          <w:w w:val="75"/>
          <w:sz w:val="19"/>
          <w:lang w:val="uk-UA"/>
        </w:rPr>
        <w:t>0.2</w:t>
      </w:r>
      <w:r w:rsidRPr="003C6DAE">
        <w:rPr>
          <w:rFonts w:ascii="Trebuchet MS"/>
          <w:spacing w:val="28"/>
          <w:sz w:val="19"/>
          <w:lang w:val="uk-UA"/>
        </w:rPr>
        <w:t xml:space="preserve"> </w:t>
      </w:r>
      <w:r w:rsidRPr="003C6DAE">
        <w:rPr>
          <w:rFonts w:ascii="Trebuchet MS"/>
          <w:w w:val="75"/>
          <w:sz w:val="19"/>
          <w:lang w:val="uk-UA"/>
        </w:rPr>
        <w:t>0.4</w:t>
      </w:r>
      <w:r w:rsidRPr="003C6DAE">
        <w:rPr>
          <w:rFonts w:ascii="Trebuchet MS"/>
          <w:spacing w:val="28"/>
          <w:sz w:val="19"/>
          <w:lang w:val="uk-UA"/>
        </w:rPr>
        <w:t xml:space="preserve"> </w:t>
      </w:r>
      <w:r w:rsidRPr="003C6DAE">
        <w:rPr>
          <w:rFonts w:ascii="Trebuchet MS"/>
          <w:w w:val="75"/>
          <w:sz w:val="19"/>
          <w:lang w:val="uk-UA"/>
        </w:rPr>
        <w:t>0.6</w:t>
      </w:r>
      <w:r w:rsidRPr="003C6DAE">
        <w:rPr>
          <w:rFonts w:ascii="Trebuchet MS"/>
          <w:spacing w:val="27"/>
          <w:sz w:val="19"/>
          <w:lang w:val="uk-UA"/>
        </w:rPr>
        <w:t xml:space="preserve"> </w:t>
      </w:r>
      <w:r w:rsidRPr="003C6DAE">
        <w:rPr>
          <w:rFonts w:ascii="Trebuchet MS"/>
          <w:w w:val="75"/>
          <w:sz w:val="19"/>
          <w:lang w:val="uk-UA"/>
        </w:rPr>
        <w:t>0.8</w:t>
      </w:r>
      <w:r w:rsidRPr="003C6DAE">
        <w:rPr>
          <w:rFonts w:ascii="Trebuchet MS"/>
          <w:spacing w:val="48"/>
          <w:sz w:val="19"/>
          <w:lang w:val="uk-UA"/>
        </w:rPr>
        <w:t xml:space="preserve"> </w:t>
      </w:r>
      <w:r w:rsidRPr="003C6DAE">
        <w:rPr>
          <w:rFonts w:ascii="Trebuchet MS"/>
          <w:spacing w:val="-10"/>
          <w:w w:val="75"/>
          <w:sz w:val="19"/>
          <w:lang w:val="uk-UA"/>
        </w:rPr>
        <w:t>1</w:t>
      </w:r>
    </w:p>
    <w:p w14:paraId="6DBA4893" w14:textId="77777777" w:rsidR="00E05B98" w:rsidRPr="003C6DAE" w:rsidRDefault="00E05B98">
      <w:pPr>
        <w:rPr>
          <w:rFonts w:ascii="Trebuchet MS"/>
          <w:sz w:val="19"/>
          <w:lang w:val="uk-UA"/>
        </w:rPr>
        <w:sectPr w:rsidR="00E05B98" w:rsidRPr="003C6DAE">
          <w:type w:val="continuous"/>
          <w:pgSz w:w="11910" w:h="16840"/>
          <w:pgMar w:top="1920" w:right="1275" w:bottom="280" w:left="850" w:header="0" w:footer="573" w:gutter="0"/>
          <w:cols w:num="9" w:space="720" w:equalWidth="0">
            <w:col w:w="1766" w:space="40"/>
            <w:col w:w="450" w:space="39"/>
            <w:col w:w="338" w:space="40"/>
            <w:col w:w="343" w:space="40"/>
            <w:col w:w="384" w:space="39"/>
            <w:col w:w="1442" w:space="40"/>
            <w:col w:w="1406" w:space="40"/>
            <w:col w:w="1514" w:space="39"/>
            <w:col w:w="1825"/>
          </w:cols>
        </w:sectPr>
      </w:pPr>
    </w:p>
    <w:p w14:paraId="1E7F3048" w14:textId="77777777" w:rsidR="00E05B98" w:rsidRPr="003C6DAE" w:rsidRDefault="00E05B98">
      <w:pPr>
        <w:pStyle w:val="a3"/>
        <w:spacing w:before="48"/>
        <w:rPr>
          <w:rFonts w:ascii="Trebuchet MS"/>
          <w:sz w:val="18"/>
          <w:lang w:val="uk-UA"/>
        </w:rPr>
      </w:pPr>
    </w:p>
    <w:p w14:paraId="482A455E" w14:textId="26871B6D" w:rsidR="00C92D8A" w:rsidRPr="00C92D8A" w:rsidRDefault="00C92D8A" w:rsidP="00C92D8A">
      <w:pPr>
        <w:spacing w:before="57"/>
        <w:ind w:left="567"/>
        <w:rPr>
          <w:sz w:val="16"/>
          <w:szCs w:val="16"/>
          <w:lang w:val="uk-UA"/>
        </w:rPr>
      </w:pPr>
      <w:r w:rsidRPr="00C92D8A">
        <w:rPr>
          <w:sz w:val="16"/>
          <w:szCs w:val="16"/>
          <w:lang w:val="uk-UA"/>
        </w:rPr>
        <w:t xml:space="preserve">ДІ: довірчий інтервал; FN: хибнонегативний результат; FP: хибнопозитивний </w:t>
      </w:r>
      <w:r w:rsidR="00507F6E" w:rsidRPr="00C92D8A">
        <w:rPr>
          <w:sz w:val="16"/>
          <w:szCs w:val="16"/>
          <w:lang w:val="uk-UA"/>
        </w:rPr>
        <w:t>результат</w:t>
      </w:r>
      <w:r w:rsidRPr="00C92D8A">
        <w:rPr>
          <w:sz w:val="16"/>
          <w:szCs w:val="16"/>
          <w:lang w:val="uk-UA"/>
        </w:rPr>
        <w:t xml:space="preserve"> ; рТАНК-НС: ручний тест ампліфікаці</w:t>
      </w:r>
      <w:r w:rsidR="00D41B42">
        <w:rPr>
          <w:sz w:val="16"/>
          <w:szCs w:val="16"/>
          <w:lang w:val="uk-UA"/>
        </w:rPr>
        <w:t>ї</w:t>
      </w:r>
      <w:r w:rsidRPr="00C92D8A">
        <w:rPr>
          <w:sz w:val="16"/>
          <w:szCs w:val="16"/>
          <w:lang w:val="uk-UA"/>
        </w:rPr>
        <w:t xml:space="preserve"> нуклеїнових кислот низької складності; MRS: мікробіологічний еталонний стандарт; T</w:t>
      </w:r>
      <w:r w:rsidR="00D41B42">
        <w:rPr>
          <w:sz w:val="16"/>
          <w:szCs w:val="16"/>
          <w:lang w:val="uk-UA"/>
        </w:rPr>
        <w:t>Б</w:t>
      </w:r>
      <w:r w:rsidRPr="00C92D8A">
        <w:rPr>
          <w:sz w:val="16"/>
          <w:szCs w:val="16"/>
          <w:lang w:val="uk-UA"/>
        </w:rPr>
        <w:t>: туберкульоз; TN: істинно негативний результат; TP: істинно позитивний результат.</w:t>
      </w:r>
    </w:p>
    <w:p w14:paraId="18B3F4ED" w14:textId="77777777" w:rsidR="00C92D8A" w:rsidRPr="00C92D8A" w:rsidRDefault="00C92D8A" w:rsidP="00C92D8A">
      <w:pPr>
        <w:spacing w:before="57"/>
        <w:ind w:left="567"/>
        <w:rPr>
          <w:sz w:val="18"/>
          <w:lang w:val="uk-UA"/>
        </w:rPr>
      </w:pPr>
    </w:p>
    <w:p w14:paraId="19F51597" w14:textId="4AC7F067" w:rsidR="00E05B98" w:rsidRPr="00C92D8A" w:rsidRDefault="00C92D8A" w:rsidP="00C92D8A">
      <w:pPr>
        <w:spacing w:before="57"/>
        <w:ind w:left="567"/>
        <w:rPr>
          <w:sz w:val="16"/>
          <w:szCs w:val="16"/>
          <w:lang w:val="uk-UA"/>
        </w:rPr>
      </w:pPr>
      <w:r w:rsidRPr="00C92D8A">
        <w:rPr>
          <w:sz w:val="18"/>
          <w:vertAlign w:val="superscript"/>
          <w:lang w:val="uk-UA"/>
        </w:rPr>
        <w:t>a</w:t>
      </w:r>
      <w:r w:rsidRPr="00C92D8A">
        <w:rPr>
          <w:sz w:val="18"/>
          <w:lang w:val="uk-UA"/>
        </w:rPr>
        <w:t xml:space="preserve"> </w:t>
      </w:r>
      <w:r w:rsidRPr="00C92D8A">
        <w:rPr>
          <w:sz w:val="16"/>
          <w:szCs w:val="16"/>
          <w:lang w:val="uk-UA"/>
        </w:rPr>
        <w:t>Дослідження впорядковано за зростанням чутливості.</w:t>
      </w:r>
    </w:p>
    <w:p w14:paraId="168649B0" w14:textId="77777777" w:rsidR="00E05B98" w:rsidRDefault="00E05B98">
      <w:pPr>
        <w:rPr>
          <w:sz w:val="18"/>
          <w:lang w:val="uk-UA"/>
        </w:rPr>
      </w:pPr>
    </w:p>
    <w:p w14:paraId="66929823" w14:textId="77777777" w:rsidR="000F63AB" w:rsidRDefault="000F63AB">
      <w:pPr>
        <w:rPr>
          <w:sz w:val="18"/>
          <w:lang w:val="uk-UA"/>
        </w:rPr>
      </w:pPr>
    </w:p>
    <w:p w14:paraId="6A4A1373" w14:textId="340BA8B6" w:rsidR="000F63AB" w:rsidRPr="003C6DAE" w:rsidRDefault="000F63AB">
      <w:pPr>
        <w:rPr>
          <w:sz w:val="18"/>
          <w:lang w:val="uk-UA"/>
        </w:rPr>
        <w:sectPr w:rsidR="000F63AB" w:rsidRPr="003C6DAE">
          <w:type w:val="continuous"/>
          <w:pgSz w:w="11910" w:h="16840"/>
          <w:pgMar w:top="1920" w:right="1275" w:bottom="280" w:left="850" w:header="0" w:footer="573" w:gutter="0"/>
          <w:cols w:space="720"/>
        </w:sectPr>
      </w:pPr>
    </w:p>
    <w:p w14:paraId="36D91B90" w14:textId="683329F2" w:rsidR="00E05B98" w:rsidRPr="00C92D8A" w:rsidRDefault="00C92D8A">
      <w:pPr>
        <w:pStyle w:val="5"/>
        <w:spacing w:before="45"/>
        <w:jc w:val="both"/>
        <w:rPr>
          <w:sz w:val="26"/>
          <w:szCs w:val="26"/>
          <w:lang w:val="uk-UA"/>
        </w:rPr>
      </w:pPr>
      <w:r w:rsidRPr="00C92D8A">
        <w:rPr>
          <w:color w:val="019648"/>
          <w:w w:val="110"/>
          <w:sz w:val="26"/>
          <w:szCs w:val="26"/>
          <w:lang w:val="uk-UA"/>
        </w:rPr>
        <w:lastRenderedPageBreak/>
        <w:t>Виявлення туберкульозу у людей, які живуть з ВІЛ</w:t>
      </w:r>
    </w:p>
    <w:p w14:paraId="420335A9" w14:textId="3455067E" w:rsidR="00E05B98" w:rsidRPr="00C92D8A" w:rsidRDefault="00C92D8A" w:rsidP="004D5917">
      <w:pPr>
        <w:pStyle w:val="7"/>
        <w:spacing w:before="231" w:line="250" w:lineRule="auto"/>
        <w:ind w:right="142"/>
        <w:jc w:val="both"/>
        <w:rPr>
          <w:rFonts w:ascii="Microsoft Sans Serif" w:hAnsi="Microsoft Sans Serif" w:cs="Microsoft Sans Serif"/>
          <w:sz w:val="22"/>
          <w:szCs w:val="22"/>
          <w:lang w:val="uk-UA"/>
        </w:rPr>
      </w:pPr>
      <w:r w:rsidRPr="00C92D8A">
        <w:rPr>
          <w:rFonts w:ascii="Microsoft Sans Serif" w:hAnsi="Microsoft Sans Serif" w:cs="Microsoft Sans Serif"/>
          <w:color w:val="019648"/>
          <w:sz w:val="22"/>
          <w:szCs w:val="22"/>
          <w:lang w:val="uk-UA"/>
        </w:rPr>
        <w:t xml:space="preserve">Чи слід використовувати рТАНК-НС на зразках </w:t>
      </w:r>
      <w:r w:rsidR="00D41B42">
        <w:rPr>
          <w:rFonts w:ascii="Microsoft Sans Serif" w:hAnsi="Microsoft Sans Serif" w:cs="Microsoft Sans Serif"/>
          <w:color w:val="019648"/>
          <w:sz w:val="22"/>
          <w:szCs w:val="22"/>
          <w:lang w:val="uk-UA"/>
        </w:rPr>
        <w:t>і</w:t>
      </w:r>
      <w:r w:rsidRPr="00C92D8A">
        <w:rPr>
          <w:rFonts w:ascii="Microsoft Sans Serif" w:hAnsi="Microsoft Sans Serif" w:cs="Microsoft Sans Serif"/>
          <w:color w:val="019648"/>
          <w:sz w:val="22"/>
          <w:szCs w:val="22"/>
          <w:lang w:val="uk-UA"/>
        </w:rPr>
        <w:t>з дихальних шляхів для діагностики ТБ легень у дорослих та підлітків, які живуть з ВІЛ, з ознаками та симптомами легеневого туберкульозу, на противагу MRS?</w:t>
      </w:r>
    </w:p>
    <w:p w14:paraId="357B7B4F" w14:textId="77777777" w:rsidR="00C92D8A" w:rsidRDefault="00C92D8A" w:rsidP="004D5917">
      <w:pPr>
        <w:pStyle w:val="a3"/>
        <w:spacing w:before="3" w:line="250" w:lineRule="auto"/>
        <w:ind w:left="567" w:right="142"/>
        <w:jc w:val="both"/>
        <w:rPr>
          <w:sz w:val="20"/>
          <w:szCs w:val="20"/>
          <w:lang w:val="uk-UA"/>
        </w:rPr>
      </w:pPr>
    </w:p>
    <w:p w14:paraId="5E1CFE6D" w14:textId="2A683BB9" w:rsidR="00E05B98" w:rsidRPr="00C92D8A" w:rsidRDefault="00C92D8A" w:rsidP="004D5917">
      <w:pPr>
        <w:pStyle w:val="a3"/>
        <w:spacing w:before="3" w:line="269" w:lineRule="auto"/>
        <w:ind w:left="567" w:right="142"/>
        <w:jc w:val="both"/>
        <w:rPr>
          <w:sz w:val="20"/>
          <w:szCs w:val="20"/>
          <w:lang w:val="uk-UA"/>
        </w:rPr>
      </w:pPr>
      <w:r w:rsidRPr="00C92D8A">
        <w:rPr>
          <w:sz w:val="20"/>
          <w:szCs w:val="20"/>
          <w:lang w:val="uk-UA"/>
        </w:rPr>
        <w:t>У восьми дослідженнях (2991 учасник), включених до цього метааналізу, чутливість коливалася від 52% до 100%, а специфічність — від 27% до 100% (</w:t>
      </w:r>
      <w:r w:rsidRPr="00C92D8A">
        <w:rPr>
          <w:b/>
          <w:bCs/>
          <w:sz w:val="20"/>
          <w:szCs w:val="20"/>
          <w:lang w:val="uk-UA"/>
        </w:rPr>
        <w:t>Рис. 2.2.1.2</w:t>
      </w:r>
      <w:r w:rsidRPr="00C92D8A">
        <w:rPr>
          <w:sz w:val="20"/>
          <w:szCs w:val="20"/>
          <w:lang w:val="uk-UA"/>
        </w:rPr>
        <w:t>). Загальна чутливість становила 77,1% (95% ДІ: 60,8–87,9), а загальна специфічність — 95,9% (95% ДІ: 84,9–99,0). Достовірність доказів була низькою стосовно чутливості та помірною стосовно специфічності.</w:t>
      </w:r>
    </w:p>
    <w:p w14:paraId="19599117" w14:textId="2833FAB1" w:rsidR="00E05B98" w:rsidRPr="003C6DAE" w:rsidRDefault="00C92D8A" w:rsidP="00F925DD">
      <w:pPr>
        <w:pStyle w:val="6"/>
        <w:spacing w:before="241" w:line="249" w:lineRule="auto"/>
        <w:ind w:right="142"/>
        <w:jc w:val="both"/>
        <w:rPr>
          <w:lang w:val="uk-UA"/>
        </w:rPr>
      </w:pPr>
      <w:r>
        <w:rPr>
          <w:color w:val="636466"/>
          <w:sz w:val="20"/>
          <w:szCs w:val="20"/>
          <w:lang w:val="uk-UA"/>
        </w:rPr>
        <w:t>Рис</w:t>
      </w:r>
      <w:r w:rsidR="00B01E0C" w:rsidRPr="00C92D8A">
        <w:rPr>
          <w:color w:val="636466"/>
          <w:sz w:val="20"/>
          <w:szCs w:val="20"/>
          <w:lang w:val="uk-UA"/>
        </w:rPr>
        <w:t xml:space="preserve">. 2.2.1.2 </w:t>
      </w:r>
      <w:r w:rsidRPr="00C92D8A">
        <w:rPr>
          <w:color w:val="636466"/>
          <w:sz w:val="20"/>
          <w:szCs w:val="20"/>
          <w:lang w:val="uk-UA"/>
        </w:rPr>
        <w:t>Лісова діаграма чутливості та специфічності рТАНК-НС для виявлення ТБ легень у зразка</w:t>
      </w:r>
      <w:r w:rsidR="00B125A2">
        <w:rPr>
          <w:color w:val="636466"/>
          <w:sz w:val="20"/>
          <w:szCs w:val="20"/>
          <w:lang w:val="uk-UA"/>
        </w:rPr>
        <w:t>х</w:t>
      </w:r>
      <w:r w:rsidRPr="00C92D8A">
        <w:rPr>
          <w:color w:val="636466"/>
          <w:sz w:val="20"/>
          <w:szCs w:val="20"/>
          <w:lang w:val="uk-UA"/>
        </w:rPr>
        <w:t xml:space="preserve"> із дихальних шляхів людей, які живуть з ВІЛ</w:t>
      </w:r>
      <w:r w:rsidR="00B125A2">
        <w:rPr>
          <w:color w:val="636466"/>
          <w:sz w:val="20"/>
          <w:szCs w:val="20"/>
          <w:lang w:val="uk-UA"/>
        </w:rPr>
        <w:t xml:space="preserve">, та </w:t>
      </w:r>
      <w:r w:rsidR="00B125A2" w:rsidRPr="00C92D8A">
        <w:rPr>
          <w:color w:val="636466"/>
          <w:sz w:val="20"/>
          <w:szCs w:val="20"/>
          <w:lang w:val="uk-UA"/>
        </w:rPr>
        <w:t>MRS</w:t>
      </w:r>
      <w:r w:rsidR="00507F6E">
        <w:rPr>
          <w:color w:val="636466"/>
          <w:sz w:val="20"/>
          <w:szCs w:val="20"/>
          <w:lang w:val="uk-UA"/>
        </w:rPr>
        <w:t xml:space="preserve"> </w:t>
      </w:r>
      <w:r w:rsidR="00B01E0C" w:rsidRPr="003C6DAE">
        <w:rPr>
          <w:color w:val="636466"/>
          <w:vertAlign w:val="superscript"/>
          <w:lang w:val="uk-UA"/>
        </w:rPr>
        <w:t>a</w:t>
      </w:r>
    </w:p>
    <w:p w14:paraId="1C1FCBA4" w14:textId="1D6F2766" w:rsidR="00E05B98" w:rsidRPr="003C6DAE" w:rsidRDefault="00C92D8A">
      <w:pPr>
        <w:pStyle w:val="a3"/>
        <w:spacing w:before="3"/>
        <w:rPr>
          <w:rFonts w:ascii="Arial"/>
          <w:b/>
          <w:sz w:val="11"/>
          <w:lang w:val="uk-UA"/>
        </w:rPr>
      </w:pPr>
      <w:r w:rsidRPr="003C6DAE">
        <w:rPr>
          <w:rFonts w:ascii="Arial"/>
          <w:b/>
          <w:noProof/>
          <w:sz w:val="24"/>
          <w:lang w:val="uk-UA"/>
        </w:rPr>
        <mc:AlternateContent>
          <mc:Choice Requires="wps">
            <w:drawing>
              <wp:anchor distT="0" distB="0" distL="114300" distR="114300" simplePos="0" relativeHeight="488106496" behindDoc="0" locked="0" layoutInCell="1" allowOverlap="1" wp14:anchorId="0BA1584F" wp14:editId="1AEDF694">
                <wp:simplePos x="0" y="0"/>
                <wp:positionH relativeFrom="margin">
                  <wp:posOffset>253302</wp:posOffset>
                </wp:positionH>
                <wp:positionV relativeFrom="paragraph">
                  <wp:posOffset>68932</wp:posOffset>
                </wp:positionV>
                <wp:extent cx="6273579" cy="225796"/>
                <wp:effectExtent l="0" t="0" r="0" b="3175"/>
                <wp:wrapNone/>
                <wp:docPr id="1450287803" name="Поле 1450287803"/>
                <wp:cNvGraphicFramePr/>
                <a:graphic xmlns:a="http://schemas.openxmlformats.org/drawingml/2006/main">
                  <a:graphicData uri="http://schemas.microsoft.com/office/word/2010/wordprocessingShape">
                    <wps:wsp>
                      <wps:cNvSpPr txBox="1"/>
                      <wps:spPr>
                        <a:xfrm>
                          <a:off x="0" y="0"/>
                          <a:ext cx="6273579" cy="225796"/>
                        </a:xfrm>
                        <a:prstGeom prst="rect">
                          <a:avLst/>
                        </a:prstGeom>
                        <a:solidFill>
                          <a:schemeClr val="bg1"/>
                        </a:solidFill>
                        <a:ln w="6350">
                          <a:noFill/>
                        </a:ln>
                      </wps:spPr>
                      <wps:txbx>
                        <w:txbxContent>
                          <w:p w14:paraId="1156270A" w14:textId="0BFCB9D4" w:rsidR="007372B2" w:rsidRPr="00B125A2" w:rsidRDefault="007372B2" w:rsidP="00B125A2">
                            <w:pPr>
                              <w:rPr>
                                <w:rFonts w:asciiTheme="minorHAnsi" w:hAnsiTheme="minorHAnsi" w:cstheme="minorHAnsi"/>
                                <w:b/>
                                <w:sz w:val="16"/>
                                <w:szCs w:val="16"/>
                                <w:lang w:val="uk-UA"/>
                              </w:rPr>
                            </w:pPr>
                            <w:r w:rsidRPr="00B125A2">
                              <w:rPr>
                                <w:rFonts w:asciiTheme="minorHAnsi" w:hAnsiTheme="minorHAnsi" w:cstheme="minorHAnsi"/>
                                <w:b/>
                                <w:sz w:val="16"/>
                                <w:szCs w:val="16"/>
                                <w:lang w:val="uk-UA"/>
                              </w:rPr>
                              <w:t xml:space="preserve">Дослідження                   </w:t>
                            </w:r>
                            <w:r w:rsidRPr="00B125A2">
                              <w:rPr>
                                <w:rFonts w:asciiTheme="minorHAnsi" w:hAnsiTheme="minorHAnsi" w:cstheme="minorHAnsi"/>
                                <w:b/>
                                <w:sz w:val="16"/>
                                <w:szCs w:val="16"/>
                              </w:rPr>
                              <w:t xml:space="preserve">TP    FP   FN   </w:t>
                            </w:r>
                            <w:r w:rsidRPr="00B125A2">
                              <w:rPr>
                                <w:rFonts w:asciiTheme="minorHAnsi" w:hAnsiTheme="minorHAnsi" w:cstheme="minorHAnsi"/>
                                <w:b/>
                                <w:sz w:val="16"/>
                                <w:szCs w:val="16"/>
                                <w:lang w:val="uk-UA"/>
                              </w:rPr>
                              <w:t xml:space="preserve">  </w:t>
                            </w:r>
                            <w:r w:rsidRPr="00B125A2">
                              <w:rPr>
                                <w:rFonts w:asciiTheme="minorHAnsi" w:hAnsiTheme="minorHAnsi" w:cstheme="minorHAnsi"/>
                                <w:b/>
                                <w:sz w:val="16"/>
                                <w:szCs w:val="16"/>
                              </w:rPr>
                              <w:t xml:space="preserve">TN   </w:t>
                            </w:r>
                            <w:r w:rsidRPr="00B125A2">
                              <w:rPr>
                                <w:rFonts w:asciiTheme="minorHAnsi" w:hAnsiTheme="minorHAnsi" w:cstheme="minorHAnsi"/>
                                <w:b/>
                                <w:sz w:val="16"/>
                                <w:szCs w:val="16"/>
                                <w:lang w:val="uk-UA"/>
                              </w:rPr>
                              <w:t xml:space="preserve">Чутливість (95% ДІ)  Специфічність (95% ДІ)  </w:t>
                            </w:r>
                            <w:r w:rsidRPr="00B125A2">
                              <w:rPr>
                                <w:rFonts w:asciiTheme="minorHAnsi" w:hAnsiTheme="minorHAnsi" w:cstheme="minorHAnsi"/>
                                <w:b/>
                                <w:sz w:val="16"/>
                                <w:szCs w:val="16"/>
                              </w:rPr>
                              <w:t xml:space="preserve">    </w:t>
                            </w:r>
                            <w:r w:rsidRPr="00B125A2">
                              <w:rPr>
                                <w:rFonts w:asciiTheme="minorHAnsi" w:hAnsiTheme="minorHAnsi" w:cstheme="minorHAnsi"/>
                                <w:b/>
                                <w:sz w:val="16"/>
                                <w:szCs w:val="16"/>
                                <w:lang w:val="uk-UA"/>
                              </w:rPr>
                              <w:t xml:space="preserve">   Чутливість (95% ДІ)                      Специфічність (95% ДІ)</w:t>
                            </w:r>
                            <w:r w:rsidRPr="00B125A2">
                              <w:rPr>
                                <w:rFonts w:asciiTheme="minorHAnsi" w:hAnsiTheme="minorHAnsi" w:cstheme="minorHAnsi"/>
                                <w:b/>
                                <w:sz w:val="16"/>
                                <w:szCs w:val="16"/>
                              </w:rPr>
                              <w:t xml:space="preserve">          </w:t>
                            </w:r>
                            <w:r w:rsidRPr="00B125A2">
                              <w:rPr>
                                <w:rFonts w:asciiTheme="minorHAnsi" w:hAnsiTheme="minorHAnsi" w:cstheme="minorHAnsi"/>
                                <w:b/>
                                <w:sz w:val="16"/>
                                <w:szCs w:val="16"/>
                                <w:lang w:val="uk-UA"/>
                              </w:rPr>
                              <w:t xml:space="preserve">                     </w:t>
                            </w:r>
                          </w:p>
                          <w:p w14:paraId="31247809" w14:textId="77777777" w:rsidR="007372B2" w:rsidRPr="00014B97" w:rsidRDefault="007372B2" w:rsidP="00C92D8A">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1584F" id="Поле 1450287803" o:spid="_x0000_s1098" type="#_x0000_t202" style="position:absolute;margin-left:19.95pt;margin-top:5.45pt;width:494pt;height:17.8pt;z-index:48810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" fillcolor="white [3212]" stroked="f" strokeweight=".5pt">
                <v:textbox>
                  <w:txbxContent>
                    <w:p w14:paraId="1156270A" w14:textId="0BFCB9D4" w:rsidR="007372B2" w:rsidRPr="00B125A2" w:rsidRDefault="007372B2" w:rsidP="00B125A2">
                      <w:pPr>
                        <w:rPr>
                          <w:rFonts w:asciiTheme="minorHAnsi" w:hAnsiTheme="minorHAnsi" w:cstheme="minorHAnsi"/>
                          <w:b/>
                          <w:sz w:val="16"/>
                          <w:szCs w:val="16"/>
                          <w:lang w:val="uk-UA"/>
                        </w:rPr>
                      </w:pPr>
                      <w:r w:rsidRPr="00B125A2">
                        <w:rPr>
                          <w:rFonts w:asciiTheme="minorHAnsi" w:hAnsiTheme="minorHAnsi" w:cstheme="minorHAnsi"/>
                          <w:b/>
                          <w:sz w:val="16"/>
                          <w:szCs w:val="16"/>
                          <w:lang w:val="uk-UA"/>
                        </w:rPr>
                        <w:t xml:space="preserve">Дослідження                   </w:t>
                      </w:r>
                      <w:r w:rsidRPr="00B125A2">
                        <w:rPr>
                          <w:rFonts w:asciiTheme="minorHAnsi" w:hAnsiTheme="minorHAnsi" w:cstheme="minorHAnsi"/>
                          <w:b/>
                          <w:sz w:val="16"/>
                          <w:szCs w:val="16"/>
                        </w:rPr>
                        <w:t xml:space="preserve">TP    FP   FN   </w:t>
                      </w:r>
                      <w:r w:rsidRPr="00B125A2">
                        <w:rPr>
                          <w:rFonts w:asciiTheme="minorHAnsi" w:hAnsiTheme="minorHAnsi" w:cstheme="minorHAnsi"/>
                          <w:b/>
                          <w:sz w:val="16"/>
                          <w:szCs w:val="16"/>
                          <w:lang w:val="uk-UA"/>
                        </w:rPr>
                        <w:t xml:space="preserve">  </w:t>
                      </w:r>
                      <w:r w:rsidRPr="00B125A2">
                        <w:rPr>
                          <w:rFonts w:asciiTheme="minorHAnsi" w:hAnsiTheme="minorHAnsi" w:cstheme="minorHAnsi"/>
                          <w:b/>
                          <w:sz w:val="16"/>
                          <w:szCs w:val="16"/>
                        </w:rPr>
                        <w:t xml:space="preserve">TN   </w:t>
                      </w:r>
                      <w:r w:rsidRPr="00B125A2">
                        <w:rPr>
                          <w:rFonts w:asciiTheme="minorHAnsi" w:hAnsiTheme="minorHAnsi" w:cstheme="minorHAnsi"/>
                          <w:b/>
                          <w:sz w:val="16"/>
                          <w:szCs w:val="16"/>
                          <w:lang w:val="uk-UA"/>
                        </w:rPr>
                        <w:t xml:space="preserve">Чутливість (95% ДІ)  Специфічність (95% ДІ)  </w:t>
                      </w:r>
                      <w:r w:rsidRPr="00B125A2">
                        <w:rPr>
                          <w:rFonts w:asciiTheme="minorHAnsi" w:hAnsiTheme="minorHAnsi" w:cstheme="minorHAnsi"/>
                          <w:b/>
                          <w:sz w:val="16"/>
                          <w:szCs w:val="16"/>
                        </w:rPr>
                        <w:t xml:space="preserve">    </w:t>
                      </w:r>
                      <w:r w:rsidRPr="00B125A2">
                        <w:rPr>
                          <w:rFonts w:asciiTheme="minorHAnsi" w:hAnsiTheme="minorHAnsi" w:cstheme="minorHAnsi"/>
                          <w:b/>
                          <w:sz w:val="16"/>
                          <w:szCs w:val="16"/>
                          <w:lang w:val="uk-UA"/>
                        </w:rPr>
                        <w:t xml:space="preserve">   Чутливість (95% ДІ)                      Специфічність (95% ДІ)</w:t>
                      </w:r>
                      <w:r w:rsidRPr="00B125A2">
                        <w:rPr>
                          <w:rFonts w:asciiTheme="minorHAnsi" w:hAnsiTheme="minorHAnsi" w:cstheme="minorHAnsi"/>
                          <w:b/>
                          <w:sz w:val="16"/>
                          <w:szCs w:val="16"/>
                        </w:rPr>
                        <w:t xml:space="preserve">          </w:t>
                      </w:r>
                      <w:r w:rsidRPr="00B125A2">
                        <w:rPr>
                          <w:rFonts w:asciiTheme="minorHAnsi" w:hAnsiTheme="minorHAnsi" w:cstheme="minorHAnsi"/>
                          <w:b/>
                          <w:sz w:val="16"/>
                          <w:szCs w:val="16"/>
                          <w:lang w:val="uk-UA"/>
                        </w:rPr>
                        <w:t xml:space="preserve">                     </w:t>
                      </w:r>
                    </w:p>
                    <w:p w14:paraId="31247809" w14:textId="77777777" w:rsidR="007372B2" w:rsidRPr="00014B97" w:rsidRDefault="007372B2" w:rsidP="00C92D8A">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v:textbox>
                <w10:wrap anchorx="margin"/>
              </v:shape>
            </w:pict>
          </mc:Fallback>
        </mc:AlternateContent>
      </w:r>
    </w:p>
    <w:p w14:paraId="0AD41378" w14:textId="77777777" w:rsidR="00E05B98" w:rsidRPr="003C6DAE" w:rsidRDefault="00E05B98">
      <w:pPr>
        <w:pStyle w:val="a3"/>
        <w:rPr>
          <w:rFonts w:ascii="Arial"/>
          <w:b/>
          <w:sz w:val="11"/>
          <w:lang w:val="uk-UA"/>
        </w:rPr>
        <w:sectPr w:rsidR="00E05B98" w:rsidRPr="003C6DAE" w:rsidSect="004D5917">
          <w:pgSz w:w="11910" w:h="16840"/>
          <w:pgMar w:top="1135" w:right="995" w:bottom="760" w:left="850" w:header="0" w:footer="573" w:gutter="0"/>
          <w:cols w:space="720"/>
        </w:sectPr>
      </w:pPr>
    </w:p>
    <w:p w14:paraId="04FBA19D" w14:textId="7903AF75" w:rsidR="00E05B98" w:rsidRPr="003C6DAE" w:rsidRDefault="00B01E0C">
      <w:pPr>
        <w:spacing w:before="106"/>
        <w:ind w:left="704"/>
        <w:rPr>
          <w:rFonts w:ascii="Trebuchet MS"/>
          <w:sz w:val="20"/>
          <w:lang w:val="uk-UA"/>
        </w:rPr>
      </w:pPr>
      <w:r w:rsidRPr="003C6DAE">
        <w:rPr>
          <w:rFonts w:ascii="Trebuchet MS"/>
          <w:color w:val="333333"/>
          <w:w w:val="75"/>
          <w:sz w:val="20"/>
          <w:lang w:val="uk-UA"/>
        </w:rPr>
        <w:t>S</w:t>
      </w:r>
      <w:r w:rsidRPr="003C6DAE">
        <w:rPr>
          <w:rFonts w:ascii="Trebuchet MS"/>
          <w:color w:val="333333"/>
          <w:spacing w:val="-19"/>
          <w:w w:val="75"/>
          <w:sz w:val="20"/>
          <w:lang w:val="uk-UA"/>
        </w:rPr>
        <w:t xml:space="preserve"> </w:t>
      </w:r>
      <w:proofErr w:type="spellStart"/>
      <w:r w:rsidRPr="003C6DAE">
        <w:rPr>
          <w:rFonts w:ascii="Trebuchet MS"/>
          <w:color w:val="333333"/>
          <w:spacing w:val="-4"/>
          <w:w w:val="85"/>
          <w:sz w:val="20"/>
          <w:lang w:val="uk-UA"/>
        </w:rPr>
        <w:t>tudy</w:t>
      </w:r>
      <w:proofErr w:type="spellEnd"/>
    </w:p>
    <w:p w14:paraId="4473AE4B" w14:textId="2C97B8BB" w:rsidR="00E05B98" w:rsidRPr="00C92D8A" w:rsidRDefault="00B01E0C">
      <w:pPr>
        <w:spacing w:before="68"/>
        <w:ind w:left="704"/>
        <w:rPr>
          <w:rFonts w:ascii="Trebuchet MS"/>
          <w:sz w:val="18"/>
          <w:szCs w:val="18"/>
          <w:lang w:val="uk-UA"/>
        </w:rPr>
      </w:pPr>
      <w:proofErr w:type="spellStart"/>
      <w:r w:rsidRPr="00C92D8A">
        <w:rPr>
          <w:rFonts w:ascii="Trebuchet MS"/>
          <w:w w:val="70"/>
          <w:sz w:val="18"/>
          <w:szCs w:val="18"/>
          <w:lang w:val="uk-UA"/>
        </w:rPr>
        <w:t>Nakiyingi</w:t>
      </w:r>
      <w:proofErr w:type="spellEnd"/>
      <w:r w:rsidRPr="00C92D8A">
        <w:rPr>
          <w:rFonts w:ascii="Trebuchet MS"/>
          <w:spacing w:val="9"/>
          <w:sz w:val="18"/>
          <w:szCs w:val="18"/>
          <w:lang w:val="uk-UA"/>
        </w:rPr>
        <w:t xml:space="preserve"> </w:t>
      </w:r>
      <w:r w:rsidRPr="00C92D8A">
        <w:rPr>
          <w:rFonts w:ascii="Trebuchet MS"/>
          <w:spacing w:val="-4"/>
          <w:w w:val="80"/>
          <w:sz w:val="18"/>
          <w:szCs w:val="18"/>
          <w:lang w:val="uk-UA"/>
        </w:rPr>
        <w:t>2018</w:t>
      </w:r>
    </w:p>
    <w:p w14:paraId="24F25E2C" w14:textId="562C382C" w:rsidR="00E05B98" w:rsidRPr="00C92D8A" w:rsidRDefault="00B01E0C">
      <w:pPr>
        <w:spacing w:before="34"/>
        <w:ind w:left="704"/>
        <w:rPr>
          <w:rFonts w:ascii="Trebuchet MS"/>
          <w:sz w:val="18"/>
          <w:szCs w:val="18"/>
          <w:lang w:val="uk-UA"/>
        </w:rPr>
      </w:pPr>
      <w:proofErr w:type="spellStart"/>
      <w:r w:rsidRPr="00C92D8A">
        <w:rPr>
          <w:rFonts w:ascii="Trebuchet MS"/>
          <w:w w:val="70"/>
          <w:sz w:val="18"/>
          <w:szCs w:val="18"/>
          <w:lang w:val="uk-UA"/>
        </w:rPr>
        <w:t>Spooner</w:t>
      </w:r>
      <w:proofErr w:type="spellEnd"/>
      <w:r w:rsidRPr="00C92D8A">
        <w:rPr>
          <w:rFonts w:ascii="Trebuchet MS"/>
          <w:spacing w:val="-3"/>
          <w:sz w:val="18"/>
          <w:szCs w:val="18"/>
          <w:lang w:val="uk-UA"/>
        </w:rPr>
        <w:t xml:space="preserve"> </w:t>
      </w:r>
      <w:r w:rsidRPr="00C92D8A">
        <w:rPr>
          <w:rFonts w:ascii="Trebuchet MS"/>
          <w:spacing w:val="-4"/>
          <w:w w:val="70"/>
          <w:sz w:val="18"/>
          <w:szCs w:val="18"/>
          <w:lang w:val="uk-UA"/>
        </w:rPr>
        <w:t>2022</w:t>
      </w:r>
    </w:p>
    <w:p w14:paraId="0113792F" w14:textId="6D2526D3" w:rsidR="00E05B98" w:rsidRPr="00C92D8A" w:rsidRDefault="00B01E0C">
      <w:pPr>
        <w:spacing w:before="34" w:line="276" w:lineRule="auto"/>
        <w:ind w:left="704"/>
        <w:rPr>
          <w:rFonts w:ascii="Trebuchet MS"/>
          <w:sz w:val="18"/>
          <w:szCs w:val="18"/>
          <w:lang w:val="uk-UA"/>
        </w:rPr>
      </w:pPr>
      <w:proofErr w:type="spellStart"/>
      <w:r w:rsidRPr="00C92D8A">
        <w:rPr>
          <w:rFonts w:ascii="Trebuchet MS"/>
          <w:w w:val="80"/>
          <w:sz w:val="18"/>
          <w:szCs w:val="18"/>
          <w:lang w:val="uk-UA"/>
        </w:rPr>
        <w:t>Odeume</w:t>
      </w:r>
      <w:proofErr w:type="spellEnd"/>
      <w:r w:rsidRPr="00C92D8A">
        <w:rPr>
          <w:rFonts w:ascii="Trebuchet MS"/>
          <w:w w:val="80"/>
          <w:sz w:val="18"/>
          <w:szCs w:val="18"/>
          <w:lang w:val="uk-UA"/>
        </w:rPr>
        <w:t xml:space="preserve"> 2021 </w:t>
      </w:r>
      <w:proofErr w:type="spellStart"/>
      <w:r w:rsidRPr="00C92D8A">
        <w:rPr>
          <w:rFonts w:ascii="Trebuchet MS"/>
          <w:w w:val="80"/>
          <w:sz w:val="18"/>
          <w:szCs w:val="18"/>
          <w:lang w:val="uk-UA"/>
        </w:rPr>
        <w:t>Nliwasa</w:t>
      </w:r>
      <w:proofErr w:type="spellEnd"/>
      <w:r w:rsidRPr="00C92D8A">
        <w:rPr>
          <w:rFonts w:ascii="Trebuchet MS"/>
          <w:w w:val="80"/>
          <w:sz w:val="18"/>
          <w:szCs w:val="18"/>
          <w:lang w:val="uk-UA"/>
        </w:rPr>
        <w:t xml:space="preserve"> 2016 </w:t>
      </w:r>
      <w:proofErr w:type="spellStart"/>
      <w:r w:rsidRPr="00C92D8A">
        <w:rPr>
          <w:rFonts w:ascii="Trebuchet MS"/>
          <w:w w:val="80"/>
          <w:sz w:val="18"/>
          <w:szCs w:val="18"/>
          <w:lang w:val="uk-UA"/>
        </w:rPr>
        <w:t>Danfack</w:t>
      </w:r>
      <w:proofErr w:type="spellEnd"/>
      <w:r w:rsidRPr="00C92D8A">
        <w:rPr>
          <w:rFonts w:ascii="Trebuchet MS"/>
          <w:w w:val="80"/>
          <w:sz w:val="18"/>
          <w:szCs w:val="18"/>
          <w:lang w:val="uk-UA"/>
        </w:rPr>
        <w:t xml:space="preserve"> 2023 </w:t>
      </w:r>
      <w:proofErr w:type="spellStart"/>
      <w:r w:rsidRPr="00C92D8A">
        <w:rPr>
          <w:rFonts w:ascii="Trebuchet MS"/>
          <w:w w:val="80"/>
          <w:sz w:val="18"/>
          <w:szCs w:val="18"/>
          <w:lang w:val="uk-UA"/>
        </w:rPr>
        <w:t>Danfack</w:t>
      </w:r>
      <w:proofErr w:type="spellEnd"/>
      <w:r w:rsidRPr="00C92D8A">
        <w:rPr>
          <w:rFonts w:ascii="Trebuchet MS"/>
          <w:w w:val="80"/>
          <w:sz w:val="18"/>
          <w:szCs w:val="18"/>
          <w:lang w:val="uk-UA"/>
        </w:rPr>
        <w:t xml:space="preserve"> 2024b </w:t>
      </w:r>
      <w:proofErr w:type="spellStart"/>
      <w:r w:rsidRPr="00C92D8A">
        <w:rPr>
          <w:rFonts w:ascii="Trebuchet MS"/>
          <w:w w:val="75"/>
          <w:sz w:val="18"/>
          <w:szCs w:val="18"/>
          <w:lang w:val="uk-UA"/>
        </w:rPr>
        <w:t>N'Guessan</w:t>
      </w:r>
      <w:proofErr w:type="spellEnd"/>
      <w:r w:rsidRPr="00C92D8A">
        <w:rPr>
          <w:rFonts w:ascii="Trebuchet MS"/>
          <w:w w:val="75"/>
          <w:sz w:val="18"/>
          <w:szCs w:val="18"/>
          <w:lang w:val="uk-UA"/>
        </w:rPr>
        <w:t xml:space="preserve"> 2016 </w:t>
      </w:r>
      <w:proofErr w:type="spellStart"/>
      <w:r w:rsidRPr="00C92D8A">
        <w:rPr>
          <w:rFonts w:ascii="Trebuchet MS"/>
          <w:w w:val="80"/>
          <w:sz w:val="18"/>
          <w:szCs w:val="18"/>
          <w:lang w:val="uk-UA"/>
        </w:rPr>
        <w:t>Danfack</w:t>
      </w:r>
      <w:proofErr w:type="spellEnd"/>
      <w:r w:rsidRPr="00C92D8A">
        <w:rPr>
          <w:rFonts w:ascii="Trebuchet MS"/>
          <w:w w:val="80"/>
          <w:sz w:val="18"/>
          <w:szCs w:val="18"/>
          <w:lang w:val="uk-UA"/>
        </w:rPr>
        <w:t xml:space="preserve"> 2018</w:t>
      </w:r>
    </w:p>
    <w:p w14:paraId="631CA037" w14:textId="51EB431E" w:rsidR="00E05B98" w:rsidRPr="00C92D8A" w:rsidRDefault="00B01E0C">
      <w:pPr>
        <w:spacing w:before="105" w:line="312" w:lineRule="auto"/>
        <w:ind w:left="296" w:hanging="21"/>
        <w:jc w:val="right"/>
        <w:rPr>
          <w:rFonts w:ascii="Trebuchet MS"/>
          <w:sz w:val="18"/>
          <w:szCs w:val="18"/>
          <w:lang w:val="uk-UA"/>
        </w:rPr>
      </w:pPr>
      <w:r w:rsidRPr="00C92D8A">
        <w:rPr>
          <w:sz w:val="18"/>
          <w:szCs w:val="18"/>
          <w:lang w:val="uk-UA"/>
        </w:rPr>
        <w:br w:type="column"/>
      </w:r>
      <w:r w:rsidRPr="00C92D8A">
        <w:rPr>
          <w:rFonts w:ascii="Trebuchet MS"/>
          <w:color w:val="333333"/>
          <w:spacing w:val="10"/>
          <w:w w:val="65"/>
          <w:sz w:val="18"/>
          <w:szCs w:val="18"/>
          <w:lang w:val="uk-UA"/>
        </w:rPr>
        <w:t xml:space="preserve">TP </w:t>
      </w:r>
      <w:r w:rsidRPr="00C92D8A">
        <w:rPr>
          <w:rFonts w:ascii="Trebuchet MS"/>
          <w:spacing w:val="-5"/>
          <w:w w:val="70"/>
          <w:sz w:val="18"/>
          <w:szCs w:val="18"/>
          <w:lang w:val="uk-UA"/>
        </w:rPr>
        <w:t>23</w:t>
      </w:r>
    </w:p>
    <w:p w14:paraId="5C3B5B43" w14:textId="77777777" w:rsidR="00E05B98" w:rsidRPr="00C92D8A" w:rsidRDefault="00B01E0C">
      <w:pPr>
        <w:spacing w:line="196" w:lineRule="exact"/>
        <w:jc w:val="right"/>
        <w:rPr>
          <w:rFonts w:ascii="Trebuchet MS"/>
          <w:sz w:val="18"/>
          <w:szCs w:val="18"/>
          <w:lang w:val="uk-UA"/>
        </w:rPr>
      </w:pPr>
      <w:r w:rsidRPr="00C92D8A">
        <w:rPr>
          <w:rFonts w:ascii="Trebuchet MS"/>
          <w:spacing w:val="-5"/>
          <w:w w:val="85"/>
          <w:sz w:val="18"/>
          <w:szCs w:val="18"/>
          <w:lang w:val="uk-UA"/>
        </w:rPr>
        <w:t>32</w:t>
      </w:r>
    </w:p>
    <w:p w14:paraId="6C28F340" w14:textId="77777777" w:rsidR="00E05B98" w:rsidRPr="00C92D8A" w:rsidRDefault="00B01E0C">
      <w:pPr>
        <w:spacing w:before="34"/>
        <w:ind w:right="4"/>
        <w:jc w:val="right"/>
        <w:rPr>
          <w:rFonts w:ascii="Trebuchet MS"/>
          <w:sz w:val="18"/>
          <w:szCs w:val="18"/>
          <w:lang w:val="uk-UA"/>
        </w:rPr>
      </w:pPr>
      <w:r w:rsidRPr="00C92D8A">
        <w:rPr>
          <w:rFonts w:ascii="Trebuchet MS"/>
          <w:spacing w:val="-10"/>
          <w:w w:val="85"/>
          <w:sz w:val="18"/>
          <w:szCs w:val="18"/>
          <w:lang w:val="uk-UA"/>
        </w:rPr>
        <w:t>9</w:t>
      </w:r>
    </w:p>
    <w:p w14:paraId="7A08DD40" w14:textId="77777777" w:rsidR="00E05B98" w:rsidRPr="00C92D8A" w:rsidRDefault="00B01E0C">
      <w:pPr>
        <w:spacing w:before="34"/>
        <w:jc w:val="right"/>
        <w:rPr>
          <w:rFonts w:ascii="Trebuchet MS"/>
          <w:sz w:val="18"/>
          <w:szCs w:val="18"/>
          <w:lang w:val="uk-UA"/>
        </w:rPr>
      </w:pPr>
      <w:r w:rsidRPr="00C92D8A">
        <w:rPr>
          <w:rFonts w:ascii="Trebuchet MS"/>
          <w:spacing w:val="-5"/>
          <w:w w:val="85"/>
          <w:sz w:val="18"/>
          <w:szCs w:val="18"/>
          <w:lang w:val="uk-UA"/>
        </w:rPr>
        <w:t>10</w:t>
      </w:r>
    </w:p>
    <w:p w14:paraId="411CDBF5" w14:textId="77777777" w:rsidR="00E05B98" w:rsidRPr="00C92D8A" w:rsidRDefault="00B01E0C">
      <w:pPr>
        <w:spacing w:before="34"/>
        <w:jc w:val="right"/>
        <w:rPr>
          <w:rFonts w:ascii="Trebuchet MS"/>
          <w:sz w:val="18"/>
          <w:szCs w:val="18"/>
          <w:lang w:val="uk-UA"/>
        </w:rPr>
      </w:pPr>
      <w:r w:rsidRPr="00C92D8A">
        <w:rPr>
          <w:rFonts w:ascii="Trebuchet MS"/>
          <w:spacing w:val="-5"/>
          <w:w w:val="85"/>
          <w:sz w:val="18"/>
          <w:szCs w:val="18"/>
          <w:lang w:val="uk-UA"/>
        </w:rPr>
        <w:t>51</w:t>
      </w:r>
    </w:p>
    <w:p w14:paraId="0B2F1BA7" w14:textId="77777777" w:rsidR="00E05B98" w:rsidRPr="00C92D8A" w:rsidRDefault="00B01E0C">
      <w:pPr>
        <w:spacing w:before="34"/>
        <w:ind w:right="1"/>
        <w:jc w:val="right"/>
        <w:rPr>
          <w:rFonts w:ascii="Trebuchet MS"/>
          <w:sz w:val="18"/>
          <w:szCs w:val="18"/>
          <w:lang w:val="uk-UA"/>
        </w:rPr>
      </w:pPr>
      <w:r w:rsidRPr="00C92D8A">
        <w:rPr>
          <w:rFonts w:ascii="Trebuchet MS"/>
          <w:spacing w:val="-5"/>
          <w:w w:val="85"/>
          <w:sz w:val="18"/>
          <w:szCs w:val="18"/>
          <w:lang w:val="uk-UA"/>
        </w:rPr>
        <w:t>148</w:t>
      </w:r>
    </w:p>
    <w:p w14:paraId="29447A62" w14:textId="77777777" w:rsidR="00E05B98" w:rsidRPr="00C92D8A" w:rsidRDefault="00B01E0C">
      <w:pPr>
        <w:spacing w:before="34"/>
        <w:jc w:val="right"/>
        <w:rPr>
          <w:rFonts w:ascii="Trebuchet MS"/>
          <w:sz w:val="18"/>
          <w:szCs w:val="18"/>
          <w:lang w:val="uk-UA"/>
        </w:rPr>
      </w:pPr>
      <w:r w:rsidRPr="00C92D8A">
        <w:rPr>
          <w:rFonts w:ascii="Trebuchet MS"/>
          <w:spacing w:val="-5"/>
          <w:w w:val="85"/>
          <w:sz w:val="18"/>
          <w:szCs w:val="18"/>
          <w:lang w:val="uk-UA"/>
        </w:rPr>
        <w:t>42</w:t>
      </w:r>
    </w:p>
    <w:p w14:paraId="4317DB97" w14:textId="77777777" w:rsidR="00E05B98" w:rsidRPr="00C92D8A" w:rsidRDefault="00B01E0C">
      <w:pPr>
        <w:spacing w:before="34"/>
        <w:jc w:val="right"/>
        <w:rPr>
          <w:rFonts w:ascii="Trebuchet MS"/>
          <w:sz w:val="18"/>
          <w:szCs w:val="18"/>
          <w:lang w:val="uk-UA"/>
        </w:rPr>
      </w:pPr>
      <w:r w:rsidRPr="00C92D8A">
        <w:rPr>
          <w:rFonts w:ascii="Trebuchet MS"/>
          <w:spacing w:val="-5"/>
          <w:w w:val="85"/>
          <w:sz w:val="18"/>
          <w:szCs w:val="18"/>
          <w:lang w:val="uk-UA"/>
        </w:rPr>
        <w:t>36</w:t>
      </w:r>
    </w:p>
    <w:p w14:paraId="05500F78" w14:textId="77777777" w:rsidR="00E05B98" w:rsidRPr="00C92D8A" w:rsidRDefault="00B01E0C">
      <w:pPr>
        <w:spacing w:before="105"/>
        <w:ind w:left="97"/>
        <w:rPr>
          <w:rFonts w:ascii="Trebuchet MS"/>
          <w:sz w:val="18"/>
          <w:szCs w:val="18"/>
          <w:lang w:val="uk-UA"/>
        </w:rPr>
      </w:pPr>
      <w:r w:rsidRPr="00C92D8A">
        <w:rPr>
          <w:sz w:val="18"/>
          <w:szCs w:val="18"/>
          <w:lang w:val="uk-UA"/>
        </w:rPr>
        <w:br w:type="column"/>
      </w:r>
      <w:r w:rsidRPr="00C92D8A">
        <w:rPr>
          <w:rFonts w:ascii="Trebuchet MS"/>
          <w:color w:val="333333"/>
          <w:w w:val="80"/>
          <w:sz w:val="18"/>
          <w:szCs w:val="18"/>
          <w:lang w:val="uk-UA"/>
        </w:rPr>
        <w:t>FP</w:t>
      </w:r>
      <w:r w:rsidRPr="00C92D8A">
        <w:rPr>
          <w:rFonts w:ascii="Trebuchet MS"/>
          <w:color w:val="333333"/>
          <w:spacing w:val="76"/>
          <w:sz w:val="18"/>
          <w:szCs w:val="18"/>
          <w:lang w:val="uk-UA"/>
        </w:rPr>
        <w:t xml:space="preserve"> </w:t>
      </w:r>
      <w:r w:rsidRPr="00C92D8A">
        <w:rPr>
          <w:rFonts w:ascii="Trebuchet MS"/>
          <w:color w:val="333333"/>
          <w:spacing w:val="-5"/>
          <w:w w:val="80"/>
          <w:sz w:val="18"/>
          <w:szCs w:val="18"/>
          <w:lang w:val="uk-UA"/>
        </w:rPr>
        <w:t xml:space="preserve">FN </w:t>
      </w:r>
    </w:p>
    <w:p w14:paraId="6B6E1960" w14:textId="77777777" w:rsidR="00E05B98" w:rsidRPr="00C92D8A" w:rsidRDefault="00B01E0C">
      <w:pPr>
        <w:spacing w:before="69"/>
        <w:ind w:left="188"/>
        <w:rPr>
          <w:rFonts w:ascii="Trebuchet MS"/>
          <w:sz w:val="18"/>
          <w:szCs w:val="18"/>
          <w:lang w:val="uk-UA"/>
        </w:rPr>
      </w:pPr>
      <w:r w:rsidRPr="00C92D8A">
        <w:rPr>
          <w:rFonts w:ascii="Trebuchet MS"/>
          <w:w w:val="85"/>
          <w:sz w:val="18"/>
          <w:szCs w:val="18"/>
          <w:lang w:val="uk-UA"/>
        </w:rPr>
        <w:t>2</w:t>
      </w:r>
      <w:r w:rsidRPr="00C92D8A">
        <w:rPr>
          <w:rFonts w:ascii="Trebuchet MS"/>
          <w:spacing w:val="78"/>
          <w:sz w:val="18"/>
          <w:szCs w:val="18"/>
          <w:lang w:val="uk-UA"/>
        </w:rPr>
        <w:t xml:space="preserve"> </w:t>
      </w:r>
      <w:r w:rsidRPr="00C92D8A">
        <w:rPr>
          <w:rFonts w:ascii="Trebuchet MS"/>
          <w:spacing w:val="-5"/>
          <w:w w:val="85"/>
          <w:sz w:val="18"/>
          <w:szCs w:val="18"/>
          <w:lang w:val="uk-UA"/>
        </w:rPr>
        <w:t>21</w:t>
      </w:r>
    </w:p>
    <w:p w14:paraId="79D06D36" w14:textId="77777777" w:rsidR="00E05B98" w:rsidRPr="00C92D8A" w:rsidRDefault="00B01E0C">
      <w:pPr>
        <w:spacing w:before="34"/>
        <w:ind w:left="105"/>
        <w:rPr>
          <w:rFonts w:ascii="Trebuchet MS"/>
          <w:sz w:val="18"/>
          <w:szCs w:val="18"/>
          <w:lang w:val="uk-UA"/>
        </w:rPr>
      </w:pPr>
      <w:r w:rsidRPr="00C92D8A">
        <w:rPr>
          <w:rFonts w:ascii="Trebuchet MS"/>
          <w:w w:val="85"/>
          <w:sz w:val="18"/>
          <w:szCs w:val="18"/>
          <w:lang w:val="uk-UA"/>
        </w:rPr>
        <w:t>12</w:t>
      </w:r>
      <w:r w:rsidRPr="00C92D8A">
        <w:rPr>
          <w:rFonts w:ascii="Trebuchet MS"/>
          <w:spacing w:val="71"/>
          <w:sz w:val="18"/>
          <w:szCs w:val="18"/>
          <w:lang w:val="uk-UA"/>
        </w:rPr>
        <w:t xml:space="preserve"> </w:t>
      </w:r>
      <w:r w:rsidRPr="00C92D8A">
        <w:rPr>
          <w:rFonts w:ascii="Trebuchet MS"/>
          <w:spacing w:val="-5"/>
          <w:w w:val="85"/>
          <w:sz w:val="18"/>
          <w:szCs w:val="18"/>
          <w:lang w:val="uk-UA"/>
        </w:rPr>
        <w:t>24</w:t>
      </w:r>
    </w:p>
    <w:p w14:paraId="4BFA9BD7" w14:textId="77777777" w:rsidR="00E05B98" w:rsidRPr="00C92D8A" w:rsidRDefault="00B01E0C">
      <w:pPr>
        <w:tabs>
          <w:tab w:val="left" w:pos="500"/>
        </w:tabs>
        <w:spacing w:before="33"/>
        <w:ind w:left="188"/>
        <w:rPr>
          <w:rFonts w:ascii="Trebuchet MS"/>
          <w:sz w:val="18"/>
          <w:szCs w:val="18"/>
          <w:lang w:val="uk-UA"/>
        </w:rPr>
      </w:pPr>
      <w:r w:rsidRPr="00C92D8A">
        <w:rPr>
          <w:rFonts w:ascii="Trebuchet MS"/>
          <w:spacing w:val="-10"/>
          <w:w w:val="85"/>
          <w:sz w:val="18"/>
          <w:szCs w:val="18"/>
          <w:lang w:val="uk-UA"/>
        </w:rPr>
        <w:t>3</w:t>
      </w:r>
      <w:r w:rsidRPr="00C92D8A">
        <w:rPr>
          <w:rFonts w:ascii="Trebuchet MS"/>
          <w:sz w:val="18"/>
          <w:szCs w:val="18"/>
          <w:lang w:val="uk-UA"/>
        </w:rPr>
        <w:tab/>
      </w:r>
      <w:r w:rsidRPr="00C92D8A">
        <w:rPr>
          <w:rFonts w:ascii="Trebuchet MS"/>
          <w:spacing w:val="-10"/>
          <w:w w:val="85"/>
          <w:sz w:val="18"/>
          <w:szCs w:val="18"/>
          <w:lang w:val="uk-UA"/>
        </w:rPr>
        <w:t>6</w:t>
      </w:r>
    </w:p>
    <w:p w14:paraId="68395E3F" w14:textId="77777777" w:rsidR="00E05B98" w:rsidRPr="00C92D8A" w:rsidRDefault="00B01E0C">
      <w:pPr>
        <w:tabs>
          <w:tab w:val="left" w:pos="500"/>
        </w:tabs>
        <w:spacing w:before="34"/>
        <w:ind w:left="188"/>
        <w:rPr>
          <w:rFonts w:ascii="Trebuchet MS"/>
          <w:sz w:val="18"/>
          <w:szCs w:val="18"/>
          <w:lang w:val="uk-UA"/>
        </w:rPr>
      </w:pPr>
      <w:r w:rsidRPr="00C92D8A">
        <w:rPr>
          <w:rFonts w:ascii="Trebuchet MS"/>
          <w:spacing w:val="-10"/>
          <w:w w:val="85"/>
          <w:sz w:val="18"/>
          <w:szCs w:val="18"/>
          <w:lang w:val="uk-UA"/>
        </w:rPr>
        <w:t>0</w:t>
      </w:r>
      <w:r w:rsidRPr="00C92D8A">
        <w:rPr>
          <w:rFonts w:ascii="Trebuchet MS"/>
          <w:sz w:val="18"/>
          <w:szCs w:val="18"/>
          <w:lang w:val="uk-UA"/>
        </w:rPr>
        <w:tab/>
      </w:r>
      <w:r w:rsidRPr="00C92D8A">
        <w:rPr>
          <w:rFonts w:ascii="Trebuchet MS"/>
          <w:spacing w:val="-10"/>
          <w:w w:val="85"/>
          <w:sz w:val="18"/>
          <w:szCs w:val="18"/>
          <w:lang w:val="uk-UA"/>
        </w:rPr>
        <w:t>5</w:t>
      </w:r>
    </w:p>
    <w:p w14:paraId="7BE17A3D" w14:textId="77777777" w:rsidR="00E05B98" w:rsidRPr="00C92D8A" w:rsidRDefault="00B01E0C">
      <w:pPr>
        <w:spacing w:before="34"/>
        <w:ind w:left="105"/>
        <w:rPr>
          <w:rFonts w:ascii="Trebuchet MS"/>
          <w:sz w:val="18"/>
          <w:szCs w:val="18"/>
          <w:lang w:val="uk-UA"/>
        </w:rPr>
      </w:pPr>
      <w:r w:rsidRPr="00C92D8A">
        <w:rPr>
          <w:rFonts w:ascii="Trebuchet MS"/>
          <w:w w:val="85"/>
          <w:sz w:val="18"/>
          <w:szCs w:val="18"/>
          <w:lang w:val="uk-UA"/>
        </w:rPr>
        <w:t>17</w:t>
      </w:r>
      <w:r w:rsidRPr="00C92D8A">
        <w:rPr>
          <w:rFonts w:ascii="Trebuchet MS"/>
          <w:spacing w:val="71"/>
          <w:sz w:val="18"/>
          <w:szCs w:val="18"/>
          <w:lang w:val="uk-UA"/>
        </w:rPr>
        <w:t xml:space="preserve"> </w:t>
      </w:r>
      <w:r w:rsidRPr="00C92D8A">
        <w:rPr>
          <w:rFonts w:ascii="Trebuchet MS"/>
          <w:spacing w:val="-5"/>
          <w:w w:val="85"/>
          <w:sz w:val="18"/>
          <w:szCs w:val="18"/>
          <w:lang w:val="uk-UA"/>
        </w:rPr>
        <w:t>13</w:t>
      </w:r>
    </w:p>
    <w:p w14:paraId="141B70D2" w14:textId="77777777" w:rsidR="00E05B98" w:rsidRPr="00C92D8A" w:rsidRDefault="00B01E0C">
      <w:pPr>
        <w:spacing w:before="34"/>
        <w:ind w:left="105"/>
        <w:rPr>
          <w:rFonts w:ascii="Trebuchet MS"/>
          <w:sz w:val="18"/>
          <w:szCs w:val="18"/>
          <w:lang w:val="uk-UA"/>
        </w:rPr>
      </w:pPr>
      <w:r w:rsidRPr="00C92D8A">
        <w:rPr>
          <w:rFonts w:ascii="Trebuchet MS"/>
          <w:w w:val="85"/>
          <w:sz w:val="18"/>
          <w:szCs w:val="18"/>
          <w:lang w:val="uk-UA"/>
        </w:rPr>
        <w:t>53</w:t>
      </w:r>
      <w:r w:rsidRPr="00C92D8A">
        <w:rPr>
          <w:rFonts w:ascii="Trebuchet MS"/>
          <w:spacing w:val="71"/>
          <w:sz w:val="18"/>
          <w:szCs w:val="18"/>
          <w:lang w:val="uk-UA"/>
        </w:rPr>
        <w:t xml:space="preserve"> </w:t>
      </w:r>
      <w:r w:rsidRPr="00C92D8A">
        <w:rPr>
          <w:rFonts w:ascii="Trebuchet MS"/>
          <w:spacing w:val="-5"/>
          <w:w w:val="85"/>
          <w:sz w:val="18"/>
          <w:szCs w:val="18"/>
          <w:lang w:val="uk-UA"/>
        </w:rPr>
        <w:t>37</w:t>
      </w:r>
    </w:p>
    <w:p w14:paraId="7BC3E919" w14:textId="77777777" w:rsidR="00E05B98" w:rsidRPr="00C92D8A" w:rsidRDefault="00B01E0C">
      <w:pPr>
        <w:tabs>
          <w:tab w:val="left" w:pos="500"/>
        </w:tabs>
        <w:spacing w:before="34"/>
        <w:ind w:left="188"/>
        <w:rPr>
          <w:rFonts w:ascii="Trebuchet MS"/>
          <w:sz w:val="18"/>
          <w:szCs w:val="18"/>
          <w:lang w:val="uk-UA"/>
        </w:rPr>
      </w:pPr>
      <w:r w:rsidRPr="00C92D8A">
        <w:rPr>
          <w:rFonts w:ascii="Trebuchet MS"/>
          <w:spacing w:val="-10"/>
          <w:w w:val="85"/>
          <w:sz w:val="18"/>
          <w:szCs w:val="18"/>
          <w:lang w:val="uk-UA"/>
        </w:rPr>
        <w:t>8</w:t>
      </w:r>
      <w:r w:rsidRPr="00C92D8A">
        <w:rPr>
          <w:rFonts w:ascii="Trebuchet MS"/>
          <w:sz w:val="18"/>
          <w:szCs w:val="18"/>
          <w:lang w:val="uk-UA"/>
        </w:rPr>
        <w:tab/>
      </w:r>
      <w:r w:rsidRPr="00C92D8A">
        <w:rPr>
          <w:rFonts w:ascii="Trebuchet MS"/>
          <w:spacing w:val="-10"/>
          <w:w w:val="85"/>
          <w:sz w:val="18"/>
          <w:szCs w:val="18"/>
          <w:lang w:val="uk-UA"/>
        </w:rPr>
        <w:t>3</w:t>
      </w:r>
    </w:p>
    <w:p w14:paraId="25D268DB" w14:textId="77777777" w:rsidR="00E05B98" w:rsidRPr="00C92D8A" w:rsidRDefault="00B01E0C">
      <w:pPr>
        <w:tabs>
          <w:tab w:val="left" w:pos="500"/>
        </w:tabs>
        <w:spacing w:before="34"/>
        <w:ind w:left="188"/>
        <w:rPr>
          <w:rFonts w:ascii="Trebuchet MS"/>
          <w:sz w:val="18"/>
          <w:szCs w:val="18"/>
          <w:lang w:val="uk-UA"/>
        </w:rPr>
      </w:pPr>
      <w:r w:rsidRPr="00C92D8A">
        <w:rPr>
          <w:rFonts w:ascii="Trebuchet MS"/>
          <w:spacing w:val="-10"/>
          <w:w w:val="85"/>
          <w:sz w:val="18"/>
          <w:szCs w:val="18"/>
          <w:lang w:val="uk-UA"/>
        </w:rPr>
        <w:t>0</w:t>
      </w:r>
      <w:r w:rsidRPr="00C92D8A">
        <w:rPr>
          <w:rFonts w:ascii="Trebuchet MS"/>
          <w:sz w:val="18"/>
          <w:szCs w:val="18"/>
          <w:lang w:val="uk-UA"/>
        </w:rPr>
        <w:tab/>
      </w:r>
      <w:r w:rsidRPr="00C92D8A">
        <w:rPr>
          <w:rFonts w:ascii="Trebuchet MS"/>
          <w:spacing w:val="-10"/>
          <w:w w:val="85"/>
          <w:sz w:val="18"/>
          <w:szCs w:val="18"/>
          <w:lang w:val="uk-UA"/>
        </w:rPr>
        <w:t>0</w:t>
      </w:r>
    </w:p>
    <w:p w14:paraId="140D6E4E" w14:textId="77777777" w:rsidR="00E05B98" w:rsidRPr="00C92D8A" w:rsidRDefault="00B01E0C">
      <w:pPr>
        <w:spacing w:before="104" w:line="312" w:lineRule="auto"/>
        <w:ind w:left="134" w:hanging="21"/>
        <w:jc w:val="right"/>
        <w:rPr>
          <w:rFonts w:ascii="Trebuchet MS"/>
          <w:sz w:val="18"/>
          <w:szCs w:val="18"/>
          <w:lang w:val="uk-UA"/>
        </w:rPr>
      </w:pPr>
      <w:r w:rsidRPr="00C92D8A">
        <w:rPr>
          <w:sz w:val="18"/>
          <w:szCs w:val="18"/>
          <w:lang w:val="uk-UA"/>
        </w:rPr>
        <w:br w:type="column"/>
      </w:r>
      <w:r w:rsidRPr="00C92D8A">
        <w:rPr>
          <w:rFonts w:ascii="Trebuchet MS"/>
          <w:color w:val="333333"/>
          <w:spacing w:val="10"/>
          <w:w w:val="70"/>
          <w:sz w:val="18"/>
          <w:szCs w:val="18"/>
          <w:lang w:val="uk-UA"/>
        </w:rPr>
        <w:t xml:space="preserve">TN </w:t>
      </w:r>
      <w:r w:rsidRPr="00C92D8A">
        <w:rPr>
          <w:rFonts w:ascii="Trebuchet MS"/>
          <w:spacing w:val="-5"/>
          <w:w w:val="80"/>
          <w:sz w:val="18"/>
          <w:szCs w:val="18"/>
          <w:lang w:val="uk-UA"/>
        </w:rPr>
        <w:t>67</w:t>
      </w:r>
    </w:p>
    <w:p w14:paraId="624D6A85" w14:textId="77777777" w:rsidR="00E05B98" w:rsidRPr="00C92D8A" w:rsidRDefault="00B01E0C">
      <w:pPr>
        <w:spacing w:line="196" w:lineRule="exact"/>
        <w:ind w:right="17"/>
        <w:jc w:val="right"/>
        <w:rPr>
          <w:rFonts w:ascii="Trebuchet MS"/>
          <w:sz w:val="18"/>
          <w:szCs w:val="18"/>
          <w:lang w:val="uk-UA"/>
        </w:rPr>
      </w:pPr>
      <w:r w:rsidRPr="00C92D8A">
        <w:rPr>
          <w:rFonts w:ascii="Trebuchet MS"/>
          <w:spacing w:val="-5"/>
          <w:w w:val="85"/>
          <w:sz w:val="18"/>
          <w:szCs w:val="18"/>
          <w:lang w:val="uk-UA"/>
        </w:rPr>
        <w:t>637</w:t>
      </w:r>
    </w:p>
    <w:p w14:paraId="4EFC5565" w14:textId="77777777" w:rsidR="00E05B98" w:rsidRPr="00C92D8A" w:rsidRDefault="00B01E0C">
      <w:pPr>
        <w:spacing w:before="34"/>
        <w:ind w:right="17"/>
        <w:jc w:val="right"/>
        <w:rPr>
          <w:rFonts w:ascii="Trebuchet MS"/>
          <w:sz w:val="18"/>
          <w:szCs w:val="18"/>
          <w:lang w:val="uk-UA"/>
        </w:rPr>
      </w:pPr>
      <w:r w:rsidRPr="00C92D8A">
        <w:rPr>
          <w:rFonts w:ascii="Trebuchet MS"/>
          <w:spacing w:val="-5"/>
          <w:w w:val="85"/>
          <w:sz w:val="18"/>
          <w:szCs w:val="18"/>
          <w:lang w:val="uk-UA"/>
        </w:rPr>
        <w:t>697</w:t>
      </w:r>
    </w:p>
    <w:p w14:paraId="4164DECE" w14:textId="77777777" w:rsidR="00E05B98" w:rsidRPr="00C92D8A" w:rsidRDefault="00B01E0C">
      <w:pPr>
        <w:spacing w:before="34"/>
        <w:ind w:right="17"/>
        <w:jc w:val="right"/>
        <w:rPr>
          <w:rFonts w:ascii="Trebuchet MS"/>
          <w:sz w:val="18"/>
          <w:szCs w:val="18"/>
          <w:lang w:val="uk-UA"/>
        </w:rPr>
      </w:pPr>
      <w:r w:rsidRPr="00C92D8A">
        <w:rPr>
          <w:rFonts w:ascii="Trebuchet MS"/>
          <w:spacing w:val="-5"/>
          <w:w w:val="85"/>
          <w:sz w:val="18"/>
          <w:szCs w:val="18"/>
          <w:lang w:val="uk-UA"/>
        </w:rPr>
        <w:t>87</w:t>
      </w:r>
    </w:p>
    <w:p w14:paraId="55C459E1" w14:textId="77777777" w:rsidR="00E05B98" w:rsidRPr="00C92D8A" w:rsidRDefault="00B01E0C">
      <w:pPr>
        <w:spacing w:before="34"/>
        <w:ind w:right="17"/>
        <w:jc w:val="right"/>
        <w:rPr>
          <w:rFonts w:ascii="Trebuchet MS"/>
          <w:sz w:val="18"/>
          <w:szCs w:val="18"/>
          <w:lang w:val="uk-UA"/>
        </w:rPr>
      </w:pPr>
      <w:r w:rsidRPr="00C92D8A">
        <w:rPr>
          <w:rFonts w:ascii="Trebuchet MS"/>
          <w:spacing w:val="-5"/>
          <w:w w:val="85"/>
          <w:sz w:val="18"/>
          <w:szCs w:val="18"/>
          <w:lang w:val="uk-UA"/>
        </w:rPr>
        <w:t>124</w:t>
      </w:r>
    </w:p>
    <w:p w14:paraId="68B8ECCB" w14:textId="77777777" w:rsidR="00E05B98" w:rsidRPr="00C92D8A" w:rsidRDefault="00B01E0C">
      <w:pPr>
        <w:spacing w:before="34"/>
        <w:ind w:right="17"/>
        <w:jc w:val="right"/>
        <w:rPr>
          <w:rFonts w:ascii="Trebuchet MS"/>
          <w:sz w:val="18"/>
          <w:szCs w:val="18"/>
          <w:lang w:val="uk-UA"/>
        </w:rPr>
      </w:pPr>
      <w:r w:rsidRPr="00C92D8A">
        <w:rPr>
          <w:rFonts w:ascii="Trebuchet MS"/>
          <w:spacing w:val="-5"/>
          <w:w w:val="85"/>
          <w:sz w:val="18"/>
          <w:szCs w:val="18"/>
          <w:lang w:val="uk-UA"/>
        </w:rPr>
        <w:t>810</w:t>
      </w:r>
    </w:p>
    <w:p w14:paraId="196122B5" w14:textId="77777777" w:rsidR="00E05B98" w:rsidRPr="00C92D8A" w:rsidRDefault="00B01E0C">
      <w:pPr>
        <w:spacing w:before="34"/>
        <w:ind w:right="23"/>
        <w:jc w:val="right"/>
        <w:rPr>
          <w:rFonts w:ascii="Trebuchet MS"/>
          <w:sz w:val="18"/>
          <w:szCs w:val="18"/>
          <w:lang w:val="uk-UA"/>
        </w:rPr>
      </w:pPr>
      <w:r w:rsidRPr="00C92D8A">
        <w:rPr>
          <w:rFonts w:ascii="Trebuchet MS"/>
          <w:spacing w:val="-10"/>
          <w:w w:val="85"/>
          <w:sz w:val="18"/>
          <w:szCs w:val="18"/>
          <w:lang w:val="uk-UA"/>
        </w:rPr>
        <w:t>3</w:t>
      </w:r>
    </w:p>
    <w:p w14:paraId="3E7D3001" w14:textId="77777777" w:rsidR="00E05B98" w:rsidRPr="00C92D8A" w:rsidRDefault="00B01E0C">
      <w:pPr>
        <w:spacing w:before="33"/>
        <w:ind w:right="17"/>
        <w:jc w:val="right"/>
        <w:rPr>
          <w:rFonts w:ascii="Trebuchet MS"/>
          <w:sz w:val="18"/>
          <w:szCs w:val="18"/>
          <w:lang w:val="uk-UA"/>
        </w:rPr>
      </w:pPr>
      <w:r w:rsidRPr="00C92D8A">
        <w:rPr>
          <w:rFonts w:ascii="Trebuchet MS"/>
          <w:spacing w:val="-5"/>
          <w:w w:val="85"/>
          <w:sz w:val="18"/>
          <w:szCs w:val="18"/>
          <w:lang w:val="uk-UA"/>
        </w:rPr>
        <w:t>11</w:t>
      </w:r>
    </w:p>
    <w:p w14:paraId="63A75D52" w14:textId="77777777" w:rsidR="00E05B98" w:rsidRPr="00C92D8A" w:rsidRDefault="00B01E0C">
      <w:pPr>
        <w:spacing w:before="104"/>
        <w:ind w:left="115"/>
        <w:rPr>
          <w:rFonts w:ascii="Trebuchet MS"/>
          <w:sz w:val="18"/>
          <w:szCs w:val="18"/>
          <w:lang w:val="uk-UA"/>
        </w:rPr>
      </w:pPr>
      <w:r w:rsidRPr="00C92D8A">
        <w:rPr>
          <w:sz w:val="18"/>
          <w:szCs w:val="18"/>
          <w:lang w:val="uk-UA"/>
        </w:rPr>
        <w:br w:type="column"/>
      </w:r>
      <w:r w:rsidRPr="00C92D8A">
        <w:rPr>
          <w:rFonts w:ascii="Trebuchet MS"/>
          <w:color w:val="333333"/>
          <w:w w:val="70"/>
          <w:sz w:val="18"/>
          <w:szCs w:val="18"/>
          <w:lang w:val="uk-UA"/>
        </w:rPr>
        <w:t>S</w:t>
      </w:r>
      <w:r w:rsidRPr="00C92D8A">
        <w:rPr>
          <w:rFonts w:ascii="Trebuchet MS"/>
          <w:color w:val="333333"/>
          <w:spacing w:val="-6"/>
          <w:w w:val="70"/>
          <w:sz w:val="18"/>
          <w:szCs w:val="18"/>
          <w:lang w:val="uk-UA"/>
        </w:rPr>
        <w:t xml:space="preserve"> </w:t>
      </w:r>
      <w:proofErr w:type="spellStart"/>
      <w:r w:rsidRPr="00C92D8A">
        <w:rPr>
          <w:rFonts w:ascii="Trebuchet MS"/>
          <w:color w:val="333333"/>
          <w:w w:val="70"/>
          <w:sz w:val="18"/>
          <w:szCs w:val="18"/>
          <w:lang w:val="uk-UA"/>
        </w:rPr>
        <w:t>ens</w:t>
      </w:r>
      <w:proofErr w:type="spellEnd"/>
      <w:r w:rsidRPr="00C92D8A">
        <w:rPr>
          <w:rFonts w:ascii="Trebuchet MS"/>
          <w:color w:val="333333"/>
          <w:spacing w:val="-8"/>
          <w:w w:val="70"/>
          <w:sz w:val="18"/>
          <w:szCs w:val="18"/>
          <w:lang w:val="uk-UA"/>
        </w:rPr>
        <w:t xml:space="preserve"> </w:t>
      </w:r>
      <w:proofErr w:type="spellStart"/>
      <w:r w:rsidRPr="00C92D8A">
        <w:rPr>
          <w:rFonts w:ascii="Trebuchet MS"/>
          <w:color w:val="333333"/>
          <w:w w:val="70"/>
          <w:sz w:val="18"/>
          <w:szCs w:val="18"/>
          <w:lang w:val="uk-UA"/>
        </w:rPr>
        <w:t>itivity</w:t>
      </w:r>
      <w:proofErr w:type="spellEnd"/>
      <w:r w:rsidRPr="00C92D8A">
        <w:rPr>
          <w:rFonts w:ascii="Trebuchet MS"/>
          <w:color w:val="333333"/>
          <w:spacing w:val="18"/>
          <w:sz w:val="18"/>
          <w:szCs w:val="18"/>
          <w:lang w:val="uk-UA"/>
        </w:rPr>
        <w:t xml:space="preserve"> </w:t>
      </w:r>
      <w:r w:rsidRPr="00C92D8A">
        <w:rPr>
          <w:rFonts w:ascii="Trebuchet MS"/>
          <w:color w:val="333333"/>
          <w:w w:val="70"/>
          <w:sz w:val="18"/>
          <w:szCs w:val="18"/>
          <w:lang w:val="uk-UA"/>
        </w:rPr>
        <w:t>(95%</w:t>
      </w:r>
      <w:r w:rsidRPr="00C92D8A">
        <w:rPr>
          <w:rFonts w:ascii="Trebuchet MS"/>
          <w:color w:val="333333"/>
          <w:spacing w:val="20"/>
          <w:sz w:val="18"/>
          <w:szCs w:val="18"/>
          <w:lang w:val="uk-UA"/>
        </w:rPr>
        <w:t xml:space="preserve"> </w:t>
      </w:r>
      <w:r w:rsidRPr="00C92D8A">
        <w:rPr>
          <w:rFonts w:ascii="Trebuchet MS"/>
          <w:color w:val="333333"/>
          <w:w w:val="70"/>
          <w:sz w:val="18"/>
          <w:szCs w:val="18"/>
          <w:lang w:val="uk-UA"/>
        </w:rPr>
        <w:t>C</w:t>
      </w:r>
      <w:r w:rsidRPr="00C92D8A">
        <w:rPr>
          <w:rFonts w:ascii="Trebuchet MS"/>
          <w:color w:val="333333"/>
          <w:spacing w:val="-13"/>
          <w:w w:val="70"/>
          <w:sz w:val="18"/>
          <w:szCs w:val="18"/>
          <w:lang w:val="uk-UA"/>
        </w:rPr>
        <w:t xml:space="preserve"> </w:t>
      </w:r>
      <w:r w:rsidRPr="00C92D8A">
        <w:rPr>
          <w:rFonts w:ascii="Trebuchet MS"/>
          <w:color w:val="333333"/>
          <w:spacing w:val="-5"/>
          <w:w w:val="70"/>
          <w:sz w:val="18"/>
          <w:szCs w:val="18"/>
          <w:lang w:val="uk-UA"/>
        </w:rPr>
        <w:t>I)</w:t>
      </w:r>
    </w:p>
    <w:p w14:paraId="26B3ED28" w14:textId="77777777" w:rsidR="00E05B98" w:rsidRPr="00C92D8A" w:rsidRDefault="00B01E0C">
      <w:pPr>
        <w:spacing w:before="69"/>
        <w:ind w:left="356"/>
        <w:rPr>
          <w:rFonts w:ascii="Trebuchet MS"/>
          <w:sz w:val="18"/>
          <w:szCs w:val="18"/>
          <w:lang w:val="uk-UA"/>
        </w:rPr>
      </w:pPr>
      <w:r w:rsidRPr="00C92D8A">
        <w:rPr>
          <w:rFonts w:ascii="Trebuchet MS"/>
          <w:w w:val="65"/>
          <w:sz w:val="18"/>
          <w:szCs w:val="18"/>
          <w:lang w:val="uk-UA"/>
        </w:rPr>
        <w:t>0.52</w:t>
      </w:r>
      <w:r w:rsidRPr="00C92D8A">
        <w:rPr>
          <w:rFonts w:ascii="Trebuchet MS"/>
          <w:spacing w:val="6"/>
          <w:sz w:val="18"/>
          <w:szCs w:val="18"/>
          <w:lang w:val="uk-UA"/>
        </w:rPr>
        <w:t xml:space="preserve"> </w:t>
      </w:r>
      <w:r w:rsidRPr="00C92D8A">
        <w:rPr>
          <w:rFonts w:ascii="Trebuchet MS"/>
          <w:w w:val="65"/>
          <w:sz w:val="18"/>
          <w:szCs w:val="18"/>
          <w:lang w:val="uk-UA"/>
        </w:rPr>
        <w:t>[0.37,</w:t>
      </w:r>
      <w:r w:rsidRPr="00C92D8A">
        <w:rPr>
          <w:rFonts w:ascii="Trebuchet MS"/>
          <w:spacing w:val="13"/>
          <w:sz w:val="18"/>
          <w:szCs w:val="18"/>
          <w:lang w:val="uk-UA"/>
        </w:rPr>
        <w:t xml:space="preserve"> </w:t>
      </w:r>
      <w:r w:rsidRPr="00C92D8A">
        <w:rPr>
          <w:rFonts w:ascii="Trebuchet MS"/>
          <w:spacing w:val="-2"/>
          <w:w w:val="65"/>
          <w:sz w:val="18"/>
          <w:szCs w:val="18"/>
          <w:lang w:val="uk-UA"/>
        </w:rPr>
        <w:t>0.68]</w:t>
      </w:r>
    </w:p>
    <w:p w14:paraId="5F9DCD41" w14:textId="77777777" w:rsidR="00E05B98" w:rsidRPr="00C92D8A" w:rsidRDefault="00B01E0C">
      <w:pPr>
        <w:spacing w:before="33"/>
        <w:ind w:left="356"/>
        <w:rPr>
          <w:rFonts w:ascii="Trebuchet MS"/>
          <w:sz w:val="18"/>
          <w:szCs w:val="18"/>
          <w:lang w:val="uk-UA"/>
        </w:rPr>
      </w:pPr>
      <w:r w:rsidRPr="00C92D8A">
        <w:rPr>
          <w:rFonts w:ascii="Trebuchet MS"/>
          <w:w w:val="65"/>
          <w:sz w:val="18"/>
          <w:szCs w:val="18"/>
          <w:lang w:val="uk-UA"/>
        </w:rPr>
        <w:t>0.57</w:t>
      </w:r>
      <w:r w:rsidRPr="00C92D8A">
        <w:rPr>
          <w:rFonts w:ascii="Trebuchet MS"/>
          <w:spacing w:val="6"/>
          <w:sz w:val="18"/>
          <w:szCs w:val="18"/>
          <w:lang w:val="uk-UA"/>
        </w:rPr>
        <w:t xml:space="preserve"> </w:t>
      </w:r>
      <w:r w:rsidRPr="00C92D8A">
        <w:rPr>
          <w:rFonts w:ascii="Trebuchet MS"/>
          <w:w w:val="65"/>
          <w:sz w:val="18"/>
          <w:szCs w:val="18"/>
          <w:lang w:val="uk-UA"/>
        </w:rPr>
        <w:t>[0.43,</w:t>
      </w:r>
      <w:r w:rsidRPr="00C92D8A">
        <w:rPr>
          <w:rFonts w:ascii="Trebuchet MS"/>
          <w:spacing w:val="13"/>
          <w:sz w:val="18"/>
          <w:szCs w:val="18"/>
          <w:lang w:val="uk-UA"/>
        </w:rPr>
        <w:t xml:space="preserve"> </w:t>
      </w:r>
      <w:r w:rsidRPr="00C92D8A">
        <w:rPr>
          <w:rFonts w:ascii="Trebuchet MS"/>
          <w:spacing w:val="-2"/>
          <w:w w:val="65"/>
          <w:sz w:val="18"/>
          <w:szCs w:val="18"/>
          <w:lang w:val="uk-UA"/>
        </w:rPr>
        <w:t>0.70]</w:t>
      </w:r>
    </w:p>
    <w:p w14:paraId="43D81985" w14:textId="77777777" w:rsidR="00E05B98" w:rsidRPr="00C92D8A" w:rsidRDefault="00B01E0C">
      <w:pPr>
        <w:spacing w:before="34"/>
        <w:ind w:left="356"/>
        <w:rPr>
          <w:rFonts w:ascii="Trebuchet MS"/>
          <w:sz w:val="18"/>
          <w:szCs w:val="18"/>
          <w:lang w:val="uk-UA"/>
        </w:rPr>
      </w:pPr>
      <w:r w:rsidRPr="00C92D8A">
        <w:rPr>
          <w:rFonts w:ascii="Trebuchet MS"/>
          <w:w w:val="65"/>
          <w:sz w:val="18"/>
          <w:szCs w:val="18"/>
          <w:lang w:val="uk-UA"/>
        </w:rPr>
        <w:t>0.60</w:t>
      </w:r>
      <w:r w:rsidRPr="00C92D8A">
        <w:rPr>
          <w:rFonts w:ascii="Trebuchet MS"/>
          <w:spacing w:val="6"/>
          <w:sz w:val="18"/>
          <w:szCs w:val="18"/>
          <w:lang w:val="uk-UA"/>
        </w:rPr>
        <w:t xml:space="preserve"> </w:t>
      </w:r>
      <w:r w:rsidRPr="00C92D8A">
        <w:rPr>
          <w:rFonts w:ascii="Trebuchet MS"/>
          <w:w w:val="65"/>
          <w:sz w:val="18"/>
          <w:szCs w:val="18"/>
          <w:lang w:val="uk-UA"/>
        </w:rPr>
        <w:t>[0.32,</w:t>
      </w:r>
      <w:r w:rsidRPr="00C92D8A">
        <w:rPr>
          <w:rFonts w:ascii="Trebuchet MS"/>
          <w:spacing w:val="13"/>
          <w:sz w:val="18"/>
          <w:szCs w:val="18"/>
          <w:lang w:val="uk-UA"/>
        </w:rPr>
        <w:t xml:space="preserve"> </w:t>
      </w:r>
      <w:r w:rsidRPr="00C92D8A">
        <w:rPr>
          <w:rFonts w:ascii="Trebuchet MS"/>
          <w:spacing w:val="-2"/>
          <w:w w:val="65"/>
          <w:sz w:val="18"/>
          <w:szCs w:val="18"/>
          <w:lang w:val="uk-UA"/>
        </w:rPr>
        <w:t>0.84]</w:t>
      </w:r>
    </w:p>
    <w:p w14:paraId="5457D42A" w14:textId="77777777" w:rsidR="00E05B98" w:rsidRPr="00C92D8A" w:rsidRDefault="00B01E0C">
      <w:pPr>
        <w:spacing w:before="34"/>
        <w:ind w:left="356"/>
        <w:rPr>
          <w:rFonts w:ascii="Trebuchet MS"/>
          <w:sz w:val="18"/>
          <w:szCs w:val="18"/>
          <w:lang w:val="uk-UA"/>
        </w:rPr>
      </w:pPr>
      <w:r w:rsidRPr="00C92D8A">
        <w:rPr>
          <w:rFonts w:ascii="Trebuchet MS"/>
          <w:w w:val="65"/>
          <w:sz w:val="18"/>
          <w:szCs w:val="18"/>
          <w:lang w:val="uk-UA"/>
        </w:rPr>
        <w:t>0.67</w:t>
      </w:r>
      <w:r w:rsidRPr="00C92D8A">
        <w:rPr>
          <w:rFonts w:ascii="Trebuchet MS"/>
          <w:spacing w:val="6"/>
          <w:sz w:val="18"/>
          <w:szCs w:val="18"/>
          <w:lang w:val="uk-UA"/>
        </w:rPr>
        <w:t xml:space="preserve"> </w:t>
      </w:r>
      <w:r w:rsidRPr="00C92D8A">
        <w:rPr>
          <w:rFonts w:ascii="Trebuchet MS"/>
          <w:w w:val="65"/>
          <w:sz w:val="18"/>
          <w:szCs w:val="18"/>
          <w:lang w:val="uk-UA"/>
        </w:rPr>
        <w:t>[0.38,</w:t>
      </w:r>
      <w:r w:rsidRPr="00C92D8A">
        <w:rPr>
          <w:rFonts w:ascii="Trebuchet MS"/>
          <w:spacing w:val="13"/>
          <w:sz w:val="18"/>
          <w:szCs w:val="18"/>
          <w:lang w:val="uk-UA"/>
        </w:rPr>
        <w:t xml:space="preserve"> </w:t>
      </w:r>
      <w:r w:rsidRPr="00C92D8A">
        <w:rPr>
          <w:rFonts w:ascii="Trebuchet MS"/>
          <w:spacing w:val="-2"/>
          <w:w w:val="65"/>
          <w:sz w:val="18"/>
          <w:szCs w:val="18"/>
          <w:lang w:val="uk-UA"/>
        </w:rPr>
        <w:t>0.88]</w:t>
      </w:r>
    </w:p>
    <w:p w14:paraId="487328B9" w14:textId="77777777" w:rsidR="00E05B98" w:rsidRPr="00C92D8A" w:rsidRDefault="00B01E0C">
      <w:pPr>
        <w:spacing w:before="34"/>
        <w:ind w:left="356"/>
        <w:rPr>
          <w:rFonts w:ascii="Trebuchet MS"/>
          <w:sz w:val="18"/>
          <w:szCs w:val="18"/>
          <w:lang w:val="uk-UA"/>
        </w:rPr>
      </w:pPr>
      <w:r w:rsidRPr="00C92D8A">
        <w:rPr>
          <w:rFonts w:ascii="Trebuchet MS"/>
          <w:w w:val="65"/>
          <w:sz w:val="18"/>
          <w:szCs w:val="18"/>
          <w:lang w:val="uk-UA"/>
        </w:rPr>
        <w:t>0.80</w:t>
      </w:r>
      <w:r w:rsidRPr="00C92D8A">
        <w:rPr>
          <w:rFonts w:ascii="Trebuchet MS"/>
          <w:spacing w:val="6"/>
          <w:sz w:val="18"/>
          <w:szCs w:val="18"/>
          <w:lang w:val="uk-UA"/>
        </w:rPr>
        <w:t xml:space="preserve"> </w:t>
      </w:r>
      <w:r w:rsidRPr="00C92D8A">
        <w:rPr>
          <w:rFonts w:ascii="Trebuchet MS"/>
          <w:w w:val="65"/>
          <w:sz w:val="18"/>
          <w:szCs w:val="18"/>
          <w:lang w:val="uk-UA"/>
        </w:rPr>
        <w:t>[0.68,</w:t>
      </w:r>
      <w:r w:rsidRPr="00C92D8A">
        <w:rPr>
          <w:rFonts w:ascii="Trebuchet MS"/>
          <w:spacing w:val="13"/>
          <w:sz w:val="18"/>
          <w:szCs w:val="18"/>
          <w:lang w:val="uk-UA"/>
        </w:rPr>
        <w:t xml:space="preserve"> </w:t>
      </w:r>
      <w:r w:rsidRPr="00C92D8A">
        <w:rPr>
          <w:rFonts w:ascii="Trebuchet MS"/>
          <w:spacing w:val="-2"/>
          <w:w w:val="65"/>
          <w:sz w:val="18"/>
          <w:szCs w:val="18"/>
          <w:lang w:val="uk-UA"/>
        </w:rPr>
        <w:t>0.89]</w:t>
      </w:r>
    </w:p>
    <w:p w14:paraId="04EE1668" w14:textId="77777777" w:rsidR="00E05B98" w:rsidRPr="00C92D8A" w:rsidRDefault="00B01E0C">
      <w:pPr>
        <w:spacing w:before="34"/>
        <w:ind w:left="356"/>
        <w:rPr>
          <w:rFonts w:ascii="Trebuchet MS"/>
          <w:sz w:val="18"/>
          <w:szCs w:val="18"/>
          <w:lang w:val="uk-UA"/>
        </w:rPr>
      </w:pPr>
      <w:r w:rsidRPr="00C92D8A">
        <w:rPr>
          <w:rFonts w:ascii="Trebuchet MS"/>
          <w:w w:val="65"/>
          <w:sz w:val="18"/>
          <w:szCs w:val="18"/>
          <w:lang w:val="uk-UA"/>
        </w:rPr>
        <w:t>0.80</w:t>
      </w:r>
      <w:r w:rsidRPr="00C92D8A">
        <w:rPr>
          <w:rFonts w:ascii="Trebuchet MS"/>
          <w:spacing w:val="6"/>
          <w:sz w:val="18"/>
          <w:szCs w:val="18"/>
          <w:lang w:val="uk-UA"/>
        </w:rPr>
        <w:t xml:space="preserve"> </w:t>
      </w:r>
      <w:r w:rsidRPr="00C92D8A">
        <w:rPr>
          <w:rFonts w:ascii="Trebuchet MS"/>
          <w:w w:val="65"/>
          <w:sz w:val="18"/>
          <w:szCs w:val="18"/>
          <w:lang w:val="uk-UA"/>
        </w:rPr>
        <w:t>[0.74,</w:t>
      </w:r>
      <w:r w:rsidRPr="00C92D8A">
        <w:rPr>
          <w:rFonts w:ascii="Trebuchet MS"/>
          <w:spacing w:val="13"/>
          <w:sz w:val="18"/>
          <w:szCs w:val="18"/>
          <w:lang w:val="uk-UA"/>
        </w:rPr>
        <w:t xml:space="preserve"> </w:t>
      </w:r>
      <w:r w:rsidRPr="00C92D8A">
        <w:rPr>
          <w:rFonts w:ascii="Trebuchet MS"/>
          <w:spacing w:val="-2"/>
          <w:w w:val="65"/>
          <w:sz w:val="18"/>
          <w:szCs w:val="18"/>
          <w:lang w:val="uk-UA"/>
        </w:rPr>
        <w:t>0.86]</w:t>
      </w:r>
    </w:p>
    <w:p w14:paraId="3CDE350D" w14:textId="77777777" w:rsidR="00E05B98" w:rsidRPr="00C92D8A" w:rsidRDefault="00B01E0C">
      <w:pPr>
        <w:spacing w:before="34"/>
        <w:ind w:left="356"/>
        <w:rPr>
          <w:rFonts w:ascii="Trebuchet MS"/>
          <w:sz w:val="18"/>
          <w:szCs w:val="18"/>
          <w:lang w:val="uk-UA"/>
        </w:rPr>
      </w:pPr>
      <w:r w:rsidRPr="00C92D8A">
        <w:rPr>
          <w:rFonts w:ascii="Trebuchet MS"/>
          <w:w w:val="65"/>
          <w:sz w:val="18"/>
          <w:szCs w:val="18"/>
          <w:lang w:val="uk-UA"/>
        </w:rPr>
        <w:t>0.93</w:t>
      </w:r>
      <w:r w:rsidRPr="00C92D8A">
        <w:rPr>
          <w:rFonts w:ascii="Trebuchet MS"/>
          <w:spacing w:val="6"/>
          <w:sz w:val="18"/>
          <w:szCs w:val="18"/>
          <w:lang w:val="uk-UA"/>
        </w:rPr>
        <w:t xml:space="preserve"> </w:t>
      </w:r>
      <w:r w:rsidRPr="00C92D8A">
        <w:rPr>
          <w:rFonts w:ascii="Trebuchet MS"/>
          <w:w w:val="65"/>
          <w:sz w:val="18"/>
          <w:szCs w:val="18"/>
          <w:lang w:val="uk-UA"/>
        </w:rPr>
        <w:t>[0.82,</w:t>
      </w:r>
      <w:r w:rsidRPr="00C92D8A">
        <w:rPr>
          <w:rFonts w:ascii="Trebuchet MS"/>
          <w:spacing w:val="13"/>
          <w:sz w:val="18"/>
          <w:szCs w:val="18"/>
          <w:lang w:val="uk-UA"/>
        </w:rPr>
        <w:t xml:space="preserve"> </w:t>
      </w:r>
      <w:r w:rsidRPr="00C92D8A">
        <w:rPr>
          <w:rFonts w:ascii="Trebuchet MS"/>
          <w:spacing w:val="-2"/>
          <w:w w:val="65"/>
          <w:sz w:val="18"/>
          <w:szCs w:val="18"/>
          <w:lang w:val="uk-UA"/>
        </w:rPr>
        <w:t>0.99]</w:t>
      </w:r>
    </w:p>
    <w:p w14:paraId="33A60013" w14:textId="77777777" w:rsidR="00E05B98" w:rsidRPr="00C92D8A" w:rsidRDefault="00B01E0C">
      <w:pPr>
        <w:spacing w:before="34"/>
        <w:ind w:left="356"/>
        <w:rPr>
          <w:rFonts w:ascii="Trebuchet MS"/>
          <w:sz w:val="18"/>
          <w:szCs w:val="18"/>
          <w:lang w:val="uk-UA"/>
        </w:rPr>
      </w:pPr>
      <w:r w:rsidRPr="00C92D8A">
        <w:rPr>
          <w:rFonts w:ascii="Trebuchet MS"/>
          <w:w w:val="65"/>
          <w:sz w:val="18"/>
          <w:szCs w:val="18"/>
          <w:lang w:val="uk-UA"/>
        </w:rPr>
        <w:t>1.00</w:t>
      </w:r>
      <w:r w:rsidRPr="00C92D8A">
        <w:rPr>
          <w:rFonts w:ascii="Trebuchet MS"/>
          <w:spacing w:val="6"/>
          <w:sz w:val="18"/>
          <w:szCs w:val="18"/>
          <w:lang w:val="uk-UA"/>
        </w:rPr>
        <w:t xml:space="preserve"> </w:t>
      </w:r>
      <w:r w:rsidRPr="00C92D8A">
        <w:rPr>
          <w:rFonts w:ascii="Trebuchet MS"/>
          <w:w w:val="65"/>
          <w:sz w:val="18"/>
          <w:szCs w:val="18"/>
          <w:lang w:val="uk-UA"/>
        </w:rPr>
        <w:t>[0.90,</w:t>
      </w:r>
      <w:r w:rsidRPr="00C92D8A">
        <w:rPr>
          <w:rFonts w:ascii="Trebuchet MS"/>
          <w:spacing w:val="13"/>
          <w:sz w:val="18"/>
          <w:szCs w:val="18"/>
          <w:lang w:val="uk-UA"/>
        </w:rPr>
        <w:t xml:space="preserve"> </w:t>
      </w:r>
      <w:r w:rsidRPr="00C92D8A">
        <w:rPr>
          <w:rFonts w:ascii="Trebuchet MS"/>
          <w:spacing w:val="-2"/>
          <w:w w:val="65"/>
          <w:sz w:val="18"/>
          <w:szCs w:val="18"/>
          <w:lang w:val="uk-UA"/>
        </w:rPr>
        <w:t>1.00]</w:t>
      </w:r>
    </w:p>
    <w:p w14:paraId="025DB644" w14:textId="77777777" w:rsidR="00E05B98" w:rsidRPr="00C92D8A" w:rsidRDefault="00B01E0C">
      <w:pPr>
        <w:spacing w:before="103"/>
        <w:ind w:left="77"/>
        <w:rPr>
          <w:rFonts w:ascii="Trebuchet MS"/>
          <w:sz w:val="18"/>
          <w:szCs w:val="18"/>
          <w:lang w:val="uk-UA"/>
        </w:rPr>
      </w:pPr>
      <w:r w:rsidRPr="00C92D8A">
        <w:rPr>
          <w:sz w:val="18"/>
          <w:szCs w:val="18"/>
          <w:lang w:val="uk-UA"/>
        </w:rPr>
        <w:br w:type="column"/>
      </w:r>
      <w:r w:rsidRPr="00C92D8A">
        <w:rPr>
          <w:rFonts w:ascii="Trebuchet MS"/>
          <w:color w:val="333333"/>
          <w:w w:val="70"/>
          <w:sz w:val="18"/>
          <w:szCs w:val="18"/>
          <w:lang w:val="uk-UA"/>
        </w:rPr>
        <w:t>S</w:t>
      </w:r>
      <w:r w:rsidRPr="00C92D8A">
        <w:rPr>
          <w:rFonts w:ascii="Trebuchet MS"/>
          <w:color w:val="333333"/>
          <w:spacing w:val="-3"/>
          <w:w w:val="70"/>
          <w:sz w:val="18"/>
          <w:szCs w:val="18"/>
          <w:lang w:val="uk-UA"/>
        </w:rPr>
        <w:t xml:space="preserve"> </w:t>
      </w:r>
      <w:proofErr w:type="spellStart"/>
      <w:r w:rsidRPr="00C92D8A">
        <w:rPr>
          <w:rFonts w:ascii="Trebuchet MS"/>
          <w:color w:val="333333"/>
          <w:w w:val="70"/>
          <w:sz w:val="18"/>
          <w:szCs w:val="18"/>
          <w:lang w:val="uk-UA"/>
        </w:rPr>
        <w:t>pecificity</w:t>
      </w:r>
      <w:proofErr w:type="spellEnd"/>
      <w:r w:rsidRPr="00C92D8A">
        <w:rPr>
          <w:rFonts w:ascii="Trebuchet MS"/>
          <w:color w:val="333333"/>
          <w:spacing w:val="25"/>
          <w:sz w:val="18"/>
          <w:szCs w:val="18"/>
          <w:lang w:val="uk-UA"/>
        </w:rPr>
        <w:t xml:space="preserve"> </w:t>
      </w:r>
      <w:r w:rsidRPr="00C92D8A">
        <w:rPr>
          <w:rFonts w:ascii="Trebuchet MS"/>
          <w:color w:val="333333"/>
          <w:w w:val="70"/>
          <w:sz w:val="18"/>
          <w:szCs w:val="18"/>
          <w:lang w:val="uk-UA"/>
        </w:rPr>
        <w:t>(95%</w:t>
      </w:r>
      <w:r w:rsidRPr="00C92D8A">
        <w:rPr>
          <w:rFonts w:ascii="Trebuchet MS"/>
          <w:color w:val="333333"/>
          <w:spacing w:val="28"/>
          <w:sz w:val="18"/>
          <w:szCs w:val="18"/>
          <w:lang w:val="uk-UA"/>
        </w:rPr>
        <w:t xml:space="preserve"> </w:t>
      </w:r>
      <w:r w:rsidRPr="00C92D8A">
        <w:rPr>
          <w:rFonts w:ascii="Trebuchet MS"/>
          <w:color w:val="333333"/>
          <w:w w:val="70"/>
          <w:sz w:val="18"/>
          <w:szCs w:val="18"/>
          <w:lang w:val="uk-UA"/>
        </w:rPr>
        <w:t>C</w:t>
      </w:r>
      <w:r w:rsidRPr="00C92D8A">
        <w:rPr>
          <w:rFonts w:ascii="Trebuchet MS"/>
          <w:color w:val="333333"/>
          <w:spacing w:val="-10"/>
          <w:w w:val="70"/>
          <w:sz w:val="18"/>
          <w:szCs w:val="18"/>
          <w:lang w:val="uk-UA"/>
        </w:rPr>
        <w:t xml:space="preserve"> </w:t>
      </w:r>
      <w:r w:rsidRPr="00C92D8A">
        <w:rPr>
          <w:rFonts w:ascii="Trebuchet MS"/>
          <w:color w:val="333333"/>
          <w:spacing w:val="-5"/>
          <w:w w:val="70"/>
          <w:sz w:val="18"/>
          <w:szCs w:val="18"/>
          <w:lang w:val="uk-UA"/>
        </w:rPr>
        <w:t>I)</w:t>
      </w:r>
    </w:p>
    <w:p w14:paraId="60260E9E" w14:textId="77777777" w:rsidR="00E05B98" w:rsidRPr="00C92D8A" w:rsidRDefault="00B01E0C">
      <w:pPr>
        <w:spacing w:before="69"/>
        <w:ind w:left="330"/>
        <w:rPr>
          <w:rFonts w:ascii="Trebuchet MS"/>
          <w:sz w:val="18"/>
          <w:szCs w:val="18"/>
          <w:lang w:val="uk-UA"/>
        </w:rPr>
      </w:pPr>
      <w:r w:rsidRPr="00C92D8A">
        <w:rPr>
          <w:rFonts w:ascii="Trebuchet MS"/>
          <w:w w:val="65"/>
          <w:sz w:val="18"/>
          <w:szCs w:val="18"/>
          <w:lang w:val="uk-UA"/>
        </w:rPr>
        <w:t>0.97</w:t>
      </w:r>
      <w:r w:rsidRPr="00C92D8A">
        <w:rPr>
          <w:rFonts w:ascii="Trebuchet MS"/>
          <w:spacing w:val="6"/>
          <w:sz w:val="18"/>
          <w:szCs w:val="18"/>
          <w:lang w:val="uk-UA"/>
        </w:rPr>
        <w:t xml:space="preserve"> </w:t>
      </w:r>
      <w:r w:rsidRPr="00C92D8A">
        <w:rPr>
          <w:rFonts w:ascii="Trebuchet MS"/>
          <w:w w:val="65"/>
          <w:sz w:val="18"/>
          <w:szCs w:val="18"/>
          <w:lang w:val="uk-UA"/>
        </w:rPr>
        <w:t>[0.90,</w:t>
      </w:r>
      <w:r w:rsidRPr="00C92D8A">
        <w:rPr>
          <w:rFonts w:ascii="Trebuchet MS"/>
          <w:spacing w:val="13"/>
          <w:sz w:val="18"/>
          <w:szCs w:val="18"/>
          <w:lang w:val="uk-UA"/>
        </w:rPr>
        <w:t xml:space="preserve"> </w:t>
      </w:r>
      <w:r w:rsidRPr="00C92D8A">
        <w:rPr>
          <w:rFonts w:ascii="Trebuchet MS"/>
          <w:spacing w:val="-2"/>
          <w:w w:val="65"/>
          <w:sz w:val="18"/>
          <w:szCs w:val="18"/>
          <w:lang w:val="uk-UA"/>
        </w:rPr>
        <w:t>1.00]</w:t>
      </w:r>
    </w:p>
    <w:p w14:paraId="2F0B9AEB" w14:textId="77777777" w:rsidR="00E05B98" w:rsidRPr="00C92D8A" w:rsidRDefault="00B01E0C">
      <w:pPr>
        <w:spacing w:before="34"/>
        <w:ind w:left="330"/>
        <w:rPr>
          <w:rFonts w:ascii="Trebuchet MS"/>
          <w:sz w:val="18"/>
          <w:szCs w:val="18"/>
          <w:lang w:val="uk-UA"/>
        </w:rPr>
      </w:pPr>
      <w:r w:rsidRPr="00C92D8A">
        <w:rPr>
          <w:rFonts w:ascii="Trebuchet MS"/>
          <w:w w:val="65"/>
          <w:sz w:val="18"/>
          <w:szCs w:val="18"/>
          <w:lang w:val="uk-UA"/>
        </w:rPr>
        <w:t>0.98</w:t>
      </w:r>
      <w:r w:rsidRPr="00C92D8A">
        <w:rPr>
          <w:rFonts w:ascii="Trebuchet MS"/>
          <w:spacing w:val="6"/>
          <w:sz w:val="18"/>
          <w:szCs w:val="18"/>
          <w:lang w:val="uk-UA"/>
        </w:rPr>
        <w:t xml:space="preserve"> </w:t>
      </w:r>
      <w:r w:rsidRPr="00C92D8A">
        <w:rPr>
          <w:rFonts w:ascii="Trebuchet MS"/>
          <w:w w:val="65"/>
          <w:sz w:val="18"/>
          <w:szCs w:val="18"/>
          <w:lang w:val="uk-UA"/>
        </w:rPr>
        <w:t>[0.97,</w:t>
      </w:r>
      <w:r w:rsidRPr="00C92D8A">
        <w:rPr>
          <w:rFonts w:ascii="Trebuchet MS"/>
          <w:spacing w:val="13"/>
          <w:sz w:val="18"/>
          <w:szCs w:val="18"/>
          <w:lang w:val="uk-UA"/>
        </w:rPr>
        <w:t xml:space="preserve"> </w:t>
      </w:r>
      <w:r w:rsidRPr="00C92D8A">
        <w:rPr>
          <w:rFonts w:ascii="Trebuchet MS"/>
          <w:spacing w:val="-2"/>
          <w:w w:val="65"/>
          <w:sz w:val="18"/>
          <w:szCs w:val="18"/>
          <w:lang w:val="uk-UA"/>
        </w:rPr>
        <w:t>0.99]</w:t>
      </w:r>
    </w:p>
    <w:p w14:paraId="6B42F9D7" w14:textId="77777777" w:rsidR="00E05B98" w:rsidRPr="00C92D8A" w:rsidRDefault="00B01E0C">
      <w:pPr>
        <w:spacing w:before="34"/>
        <w:ind w:left="330"/>
        <w:rPr>
          <w:rFonts w:ascii="Trebuchet MS"/>
          <w:sz w:val="18"/>
          <w:szCs w:val="18"/>
          <w:lang w:val="uk-UA"/>
        </w:rPr>
      </w:pPr>
      <w:r w:rsidRPr="00C92D8A">
        <w:rPr>
          <w:rFonts w:ascii="Trebuchet MS"/>
          <w:w w:val="65"/>
          <w:sz w:val="18"/>
          <w:szCs w:val="18"/>
          <w:lang w:val="uk-UA"/>
        </w:rPr>
        <w:t>1.00</w:t>
      </w:r>
      <w:r w:rsidRPr="00C92D8A">
        <w:rPr>
          <w:rFonts w:ascii="Trebuchet MS"/>
          <w:spacing w:val="6"/>
          <w:sz w:val="18"/>
          <w:szCs w:val="18"/>
          <w:lang w:val="uk-UA"/>
        </w:rPr>
        <w:t xml:space="preserve"> </w:t>
      </w:r>
      <w:r w:rsidRPr="00C92D8A">
        <w:rPr>
          <w:rFonts w:ascii="Trebuchet MS"/>
          <w:w w:val="65"/>
          <w:sz w:val="18"/>
          <w:szCs w:val="18"/>
          <w:lang w:val="uk-UA"/>
        </w:rPr>
        <w:t>[0.99,</w:t>
      </w:r>
      <w:r w:rsidRPr="00C92D8A">
        <w:rPr>
          <w:rFonts w:ascii="Trebuchet MS"/>
          <w:spacing w:val="13"/>
          <w:sz w:val="18"/>
          <w:szCs w:val="18"/>
          <w:lang w:val="uk-UA"/>
        </w:rPr>
        <w:t xml:space="preserve"> </w:t>
      </w:r>
      <w:r w:rsidRPr="00C92D8A">
        <w:rPr>
          <w:rFonts w:ascii="Trebuchet MS"/>
          <w:spacing w:val="-2"/>
          <w:w w:val="65"/>
          <w:sz w:val="18"/>
          <w:szCs w:val="18"/>
          <w:lang w:val="uk-UA"/>
        </w:rPr>
        <w:t>1.00]</w:t>
      </w:r>
    </w:p>
    <w:p w14:paraId="0377B075" w14:textId="77777777" w:rsidR="00E05B98" w:rsidRPr="00C92D8A" w:rsidRDefault="00B01E0C">
      <w:pPr>
        <w:spacing w:before="34"/>
        <w:ind w:left="330"/>
        <w:rPr>
          <w:rFonts w:ascii="Trebuchet MS"/>
          <w:sz w:val="18"/>
          <w:szCs w:val="18"/>
          <w:lang w:val="uk-UA"/>
        </w:rPr>
      </w:pPr>
      <w:r w:rsidRPr="00C92D8A">
        <w:rPr>
          <w:rFonts w:ascii="Trebuchet MS"/>
          <w:w w:val="65"/>
          <w:sz w:val="18"/>
          <w:szCs w:val="18"/>
          <w:lang w:val="uk-UA"/>
        </w:rPr>
        <w:t>1.00</w:t>
      </w:r>
      <w:r w:rsidRPr="00C92D8A">
        <w:rPr>
          <w:rFonts w:ascii="Trebuchet MS"/>
          <w:spacing w:val="6"/>
          <w:sz w:val="18"/>
          <w:szCs w:val="18"/>
          <w:lang w:val="uk-UA"/>
        </w:rPr>
        <w:t xml:space="preserve"> </w:t>
      </w:r>
      <w:r w:rsidRPr="00C92D8A">
        <w:rPr>
          <w:rFonts w:ascii="Trebuchet MS"/>
          <w:w w:val="65"/>
          <w:sz w:val="18"/>
          <w:szCs w:val="18"/>
          <w:lang w:val="uk-UA"/>
        </w:rPr>
        <w:t>[0.96,</w:t>
      </w:r>
      <w:r w:rsidRPr="00C92D8A">
        <w:rPr>
          <w:rFonts w:ascii="Trebuchet MS"/>
          <w:spacing w:val="13"/>
          <w:sz w:val="18"/>
          <w:szCs w:val="18"/>
          <w:lang w:val="uk-UA"/>
        </w:rPr>
        <w:t xml:space="preserve"> </w:t>
      </w:r>
      <w:r w:rsidRPr="00C92D8A">
        <w:rPr>
          <w:rFonts w:ascii="Trebuchet MS"/>
          <w:spacing w:val="-2"/>
          <w:w w:val="65"/>
          <w:sz w:val="18"/>
          <w:szCs w:val="18"/>
          <w:lang w:val="uk-UA"/>
        </w:rPr>
        <w:t>1.00]</w:t>
      </w:r>
    </w:p>
    <w:p w14:paraId="21B93C04" w14:textId="77777777" w:rsidR="00E05B98" w:rsidRPr="00C92D8A" w:rsidRDefault="00B01E0C">
      <w:pPr>
        <w:spacing w:before="34"/>
        <w:ind w:left="330"/>
        <w:rPr>
          <w:rFonts w:ascii="Trebuchet MS"/>
          <w:sz w:val="18"/>
          <w:szCs w:val="18"/>
          <w:lang w:val="uk-UA"/>
        </w:rPr>
      </w:pPr>
      <w:r w:rsidRPr="00C92D8A">
        <w:rPr>
          <w:rFonts w:ascii="Trebuchet MS"/>
          <w:w w:val="65"/>
          <w:sz w:val="18"/>
          <w:szCs w:val="18"/>
          <w:lang w:val="uk-UA"/>
        </w:rPr>
        <w:t>0.88</w:t>
      </w:r>
      <w:r w:rsidRPr="00C92D8A">
        <w:rPr>
          <w:rFonts w:ascii="Trebuchet MS"/>
          <w:spacing w:val="6"/>
          <w:sz w:val="18"/>
          <w:szCs w:val="18"/>
          <w:lang w:val="uk-UA"/>
        </w:rPr>
        <w:t xml:space="preserve"> </w:t>
      </w:r>
      <w:r w:rsidRPr="00C92D8A">
        <w:rPr>
          <w:rFonts w:ascii="Trebuchet MS"/>
          <w:w w:val="65"/>
          <w:sz w:val="18"/>
          <w:szCs w:val="18"/>
          <w:lang w:val="uk-UA"/>
        </w:rPr>
        <w:t>[0.81,</w:t>
      </w:r>
      <w:r w:rsidRPr="00C92D8A">
        <w:rPr>
          <w:rFonts w:ascii="Trebuchet MS"/>
          <w:spacing w:val="13"/>
          <w:sz w:val="18"/>
          <w:szCs w:val="18"/>
          <w:lang w:val="uk-UA"/>
        </w:rPr>
        <w:t xml:space="preserve"> </w:t>
      </w:r>
      <w:r w:rsidRPr="00C92D8A">
        <w:rPr>
          <w:rFonts w:ascii="Trebuchet MS"/>
          <w:spacing w:val="-2"/>
          <w:w w:val="65"/>
          <w:sz w:val="18"/>
          <w:szCs w:val="18"/>
          <w:lang w:val="uk-UA"/>
        </w:rPr>
        <w:t>0.93]</w:t>
      </w:r>
    </w:p>
    <w:p w14:paraId="5A40322E" w14:textId="77777777" w:rsidR="00E05B98" w:rsidRPr="00C92D8A" w:rsidRDefault="00B01E0C">
      <w:pPr>
        <w:spacing w:before="34"/>
        <w:ind w:left="330"/>
        <w:rPr>
          <w:rFonts w:ascii="Trebuchet MS"/>
          <w:sz w:val="18"/>
          <w:szCs w:val="18"/>
          <w:lang w:val="uk-UA"/>
        </w:rPr>
      </w:pPr>
      <w:r w:rsidRPr="00C92D8A">
        <w:rPr>
          <w:rFonts w:ascii="Trebuchet MS"/>
          <w:w w:val="65"/>
          <w:sz w:val="18"/>
          <w:szCs w:val="18"/>
          <w:lang w:val="uk-UA"/>
        </w:rPr>
        <w:t>0.94</w:t>
      </w:r>
      <w:r w:rsidRPr="00C92D8A">
        <w:rPr>
          <w:rFonts w:ascii="Trebuchet MS"/>
          <w:spacing w:val="6"/>
          <w:sz w:val="18"/>
          <w:szCs w:val="18"/>
          <w:lang w:val="uk-UA"/>
        </w:rPr>
        <w:t xml:space="preserve"> </w:t>
      </w:r>
      <w:r w:rsidRPr="00C92D8A">
        <w:rPr>
          <w:rFonts w:ascii="Trebuchet MS"/>
          <w:w w:val="65"/>
          <w:sz w:val="18"/>
          <w:szCs w:val="18"/>
          <w:lang w:val="uk-UA"/>
        </w:rPr>
        <w:t>[0.92,</w:t>
      </w:r>
      <w:r w:rsidRPr="00C92D8A">
        <w:rPr>
          <w:rFonts w:ascii="Trebuchet MS"/>
          <w:spacing w:val="13"/>
          <w:sz w:val="18"/>
          <w:szCs w:val="18"/>
          <w:lang w:val="uk-UA"/>
        </w:rPr>
        <w:t xml:space="preserve"> </w:t>
      </w:r>
      <w:r w:rsidRPr="00C92D8A">
        <w:rPr>
          <w:rFonts w:ascii="Trebuchet MS"/>
          <w:spacing w:val="-2"/>
          <w:w w:val="65"/>
          <w:sz w:val="18"/>
          <w:szCs w:val="18"/>
          <w:lang w:val="uk-UA"/>
        </w:rPr>
        <w:t>0.95]</w:t>
      </w:r>
    </w:p>
    <w:p w14:paraId="6BD1E88C" w14:textId="77777777" w:rsidR="00E05B98" w:rsidRPr="00C92D8A" w:rsidRDefault="00B01E0C">
      <w:pPr>
        <w:spacing w:before="33"/>
        <w:ind w:left="330"/>
        <w:rPr>
          <w:rFonts w:ascii="Trebuchet MS"/>
          <w:sz w:val="18"/>
          <w:szCs w:val="18"/>
          <w:lang w:val="uk-UA"/>
        </w:rPr>
      </w:pPr>
      <w:r w:rsidRPr="00C92D8A">
        <w:rPr>
          <w:rFonts w:ascii="Trebuchet MS"/>
          <w:w w:val="65"/>
          <w:sz w:val="18"/>
          <w:szCs w:val="18"/>
          <w:lang w:val="uk-UA"/>
        </w:rPr>
        <w:t>0.27</w:t>
      </w:r>
      <w:r w:rsidRPr="00C92D8A">
        <w:rPr>
          <w:rFonts w:ascii="Trebuchet MS"/>
          <w:spacing w:val="6"/>
          <w:sz w:val="18"/>
          <w:szCs w:val="18"/>
          <w:lang w:val="uk-UA"/>
        </w:rPr>
        <w:t xml:space="preserve"> </w:t>
      </w:r>
      <w:r w:rsidRPr="00C92D8A">
        <w:rPr>
          <w:rFonts w:ascii="Trebuchet MS"/>
          <w:w w:val="65"/>
          <w:sz w:val="18"/>
          <w:szCs w:val="18"/>
          <w:lang w:val="uk-UA"/>
        </w:rPr>
        <w:t>[0.06,</w:t>
      </w:r>
      <w:r w:rsidRPr="00C92D8A">
        <w:rPr>
          <w:rFonts w:ascii="Trebuchet MS"/>
          <w:spacing w:val="13"/>
          <w:sz w:val="18"/>
          <w:szCs w:val="18"/>
          <w:lang w:val="uk-UA"/>
        </w:rPr>
        <w:t xml:space="preserve"> </w:t>
      </w:r>
      <w:r w:rsidRPr="00C92D8A">
        <w:rPr>
          <w:rFonts w:ascii="Trebuchet MS"/>
          <w:spacing w:val="-2"/>
          <w:w w:val="65"/>
          <w:sz w:val="18"/>
          <w:szCs w:val="18"/>
          <w:lang w:val="uk-UA"/>
        </w:rPr>
        <w:t>0.61]</w:t>
      </w:r>
    </w:p>
    <w:p w14:paraId="6ED33AE4" w14:textId="77777777" w:rsidR="00E05B98" w:rsidRPr="00C92D8A" w:rsidRDefault="00B01E0C">
      <w:pPr>
        <w:spacing w:before="34"/>
        <w:ind w:left="330"/>
        <w:rPr>
          <w:rFonts w:ascii="Trebuchet MS"/>
          <w:sz w:val="18"/>
          <w:szCs w:val="18"/>
          <w:lang w:val="uk-UA"/>
        </w:rPr>
      </w:pPr>
      <w:r w:rsidRPr="00C92D8A">
        <w:rPr>
          <w:rFonts w:ascii="Trebuchet MS"/>
          <w:w w:val="65"/>
          <w:sz w:val="18"/>
          <w:szCs w:val="18"/>
          <w:lang w:val="uk-UA"/>
        </w:rPr>
        <w:t>1.00</w:t>
      </w:r>
      <w:r w:rsidRPr="00C92D8A">
        <w:rPr>
          <w:rFonts w:ascii="Trebuchet MS"/>
          <w:spacing w:val="6"/>
          <w:sz w:val="18"/>
          <w:szCs w:val="18"/>
          <w:lang w:val="uk-UA"/>
        </w:rPr>
        <w:t xml:space="preserve"> </w:t>
      </w:r>
      <w:r w:rsidRPr="00C92D8A">
        <w:rPr>
          <w:rFonts w:ascii="Trebuchet MS"/>
          <w:w w:val="65"/>
          <w:sz w:val="18"/>
          <w:szCs w:val="18"/>
          <w:lang w:val="uk-UA"/>
        </w:rPr>
        <w:t>[0.72,</w:t>
      </w:r>
      <w:r w:rsidRPr="00C92D8A">
        <w:rPr>
          <w:rFonts w:ascii="Trebuchet MS"/>
          <w:spacing w:val="13"/>
          <w:sz w:val="18"/>
          <w:szCs w:val="18"/>
          <w:lang w:val="uk-UA"/>
        </w:rPr>
        <w:t xml:space="preserve"> </w:t>
      </w:r>
      <w:r w:rsidRPr="00C92D8A">
        <w:rPr>
          <w:rFonts w:ascii="Trebuchet MS"/>
          <w:spacing w:val="-2"/>
          <w:w w:val="65"/>
          <w:sz w:val="18"/>
          <w:szCs w:val="18"/>
          <w:lang w:val="uk-UA"/>
        </w:rPr>
        <w:t>1.00]</w:t>
      </w:r>
    </w:p>
    <w:p w14:paraId="38873CBB" w14:textId="77777777" w:rsidR="00E05B98" w:rsidRPr="003C6DAE" w:rsidRDefault="00B01E0C">
      <w:pPr>
        <w:spacing w:before="103"/>
        <w:ind w:left="102"/>
        <w:rPr>
          <w:rFonts w:ascii="Trebuchet MS"/>
          <w:sz w:val="20"/>
          <w:lang w:val="uk-UA"/>
        </w:rPr>
      </w:pPr>
      <w:r w:rsidRPr="003C6DAE">
        <w:rPr>
          <w:lang w:val="uk-UA"/>
        </w:rPr>
        <w:br w:type="column"/>
      </w:r>
      <w:r w:rsidRPr="003C6DAE">
        <w:rPr>
          <w:rFonts w:ascii="Trebuchet MS"/>
          <w:color w:val="333333"/>
          <w:w w:val="70"/>
          <w:sz w:val="20"/>
          <w:lang w:val="uk-UA"/>
        </w:rPr>
        <w:t>S</w:t>
      </w:r>
      <w:r w:rsidRPr="003C6DAE">
        <w:rPr>
          <w:rFonts w:ascii="Trebuchet MS"/>
          <w:color w:val="333333"/>
          <w:spacing w:val="-6"/>
          <w:w w:val="70"/>
          <w:sz w:val="20"/>
          <w:lang w:val="uk-UA"/>
        </w:rPr>
        <w:t xml:space="preserve"> </w:t>
      </w:r>
      <w:proofErr w:type="spellStart"/>
      <w:r w:rsidRPr="003C6DAE">
        <w:rPr>
          <w:rFonts w:ascii="Trebuchet MS"/>
          <w:color w:val="333333"/>
          <w:w w:val="70"/>
          <w:sz w:val="20"/>
          <w:lang w:val="uk-UA"/>
        </w:rPr>
        <w:t>ens</w:t>
      </w:r>
      <w:proofErr w:type="spellEnd"/>
      <w:r w:rsidRPr="003C6DAE">
        <w:rPr>
          <w:rFonts w:ascii="Trebuchet MS"/>
          <w:color w:val="333333"/>
          <w:spacing w:val="-8"/>
          <w:w w:val="70"/>
          <w:sz w:val="20"/>
          <w:lang w:val="uk-UA"/>
        </w:rPr>
        <w:t xml:space="preserve"> </w:t>
      </w:r>
      <w:proofErr w:type="spellStart"/>
      <w:r w:rsidRPr="003C6DAE">
        <w:rPr>
          <w:rFonts w:ascii="Trebuchet MS"/>
          <w:color w:val="333333"/>
          <w:w w:val="70"/>
          <w:sz w:val="20"/>
          <w:lang w:val="uk-UA"/>
        </w:rPr>
        <w:t>itivity</w:t>
      </w:r>
      <w:proofErr w:type="spellEnd"/>
      <w:r w:rsidRPr="003C6DAE">
        <w:rPr>
          <w:rFonts w:ascii="Trebuchet MS"/>
          <w:color w:val="333333"/>
          <w:spacing w:val="18"/>
          <w:sz w:val="20"/>
          <w:lang w:val="uk-UA"/>
        </w:rPr>
        <w:t xml:space="preserve"> </w:t>
      </w:r>
      <w:r w:rsidRPr="003C6DAE">
        <w:rPr>
          <w:rFonts w:ascii="Trebuchet MS"/>
          <w:color w:val="333333"/>
          <w:w w:val="70"/>
          <w:sz w:val="20"/>
          <w:lang w:val="uk-UA"/>
        </w:rPr>
        <w:t>(95%</w:t>
      </w:r>
      <w:r w:rsidRPr="003C6DAE">
        <w:rPr>
          <w:rFonts w:ascii="Trebuchet MS"/>
          <w:color w:val="333333"/>
          <w:spacing w:val="20"/>
          <w:sz w:val="20"/>
          <w:lang w:val="uk-UA"/>
        </w:rPr>
        <w:t xml:space="preserve"> </w:t>
      </w:r>
      <w:r w:rsidRPr="003C6DAE">
        <w:rPr>
          <w:rFonts w:ascii="Trebuchet MS"/>
          <w:color w:val="333333"/>
          <w:w w:val="70"/>
          <w:sz w:val="20"/>
          <w:lang w:val="uk-UA"/>
        </w:rPr>
        <w:t>C</w:t>
      </w:r>
      <w:r w:rsidRPr="003C6DAE">
        <w:rPr>
          <w:rFonts w:ascii="Trebuchet MS"/>
          <w:color w:val="333333"/>
          <w:spacing w:val="-13"/>
          <w:w w:val="70"/>
          <w:sz w:val="20"/>
          <w:lang w:val="uk-UA"/>
        </w:rPr>
        <w:t xml:space="preserve"> </w:t>
      </w:r>
      <w:r w:rsidRPr="003C6DAE">
        <w:rPr>
          <w:rFonts w:ascii="Trebuchet MS"/>
          <w:color w:val="333333"/>
          <w:spacing w:val="-5"/>
          <w:w w:val="70"/>
          <w:sz w:val="20"/>
          <w:lang w:val="uk-UA"/>
        </w:rPr>
        <w:t>I)</w:t>
      </w:r>
    </w:p>
    <w:p w14:paraId="3731AE2C" w14:textId="77777777" w:rsidR="00E05B98" w:rsidRPr="003C6DAE" w:rsidRDefault="00B01E0C">
      <w:pPr>
        <w:pStyle w:val="a3"/>
        <w:spacing w:before="9"/>
        <w:rPr>
          <w:rFonts w:ascii="Trebuchet MS"/>
          <w:sz w:val="5"/>
          <w:lang w:val="uk-UA"/>
        </w:rPr>
      </w:pPr>
      <w:r w:rsidRPr="003C6DAE">
        <w:rPr>
          <w:rFonts w:ascii="Trebuchet MS"/>
          <w:noProof/>
          <w:sz w:val="5"/>
          <w:lang w:val="uk-UA"/>
        </w:rPr>
        <mc:AlternateContent>
          <mc:Choice Requires="wpg">
            <w:drawing>
              <wp:anchor distT="0" distB="0" distL="0" distR="0" simplePos="0" relativeHeight="487877120" behindDoc="1" locked="0" layoutInCell="1" allowOverlap="1" wp14:anchorId="64821C48" wp14:editId="6F8DBBDB">
                <wp:simplePos x="0" y="0"/>
                <wp:positionH relativeFrom="page">
                  <wp:posOffset>4948717</wp:posOffset>
                </wp:positionH>
                <wp:positionV relativeFrom="paragraph">
                  <wp:posOffset>58155</wp:posOffset>
                </wp:positionV>
                <wp:extent cx="293370" cy="74295"/>
                <wp:effectExtent l="0" t="0" r="0" b="0"/>
                <wp:wrapTopAndBottom/>
                <wp:docPr id="1706"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74295"/>
                          <a:chOff x="0" y="0"/>
                          <a:chExt cx="293370" cy="74295"/>
                        </a:xfrm>
                      </wpg:grpSpPr>
                      <wps:wsp>
                        <wps:cNvPr id="1707" name="Graphic 1707"/>
                        <wps:cNvSpPr/>
                        <wps:spPr>
                          <a:xfrm>
                            <a:off x="0" y="31690"/>
                            <a:ext cx="293370" cy="1270"/>
                          </a:xfrm>
                          <a:custGeom>
                            <a:avLst/>
                            <a:gdLst/>
                            <a:ahLst/>
                            <a:cxnLst/>
                            <a:rect l="l" t="t" r="r" b="b"/>
                            <a:pathLst>
                              <a:path w="293370">
                                <a:moveTo>
                                  <a:pt x="0" y="0"/>
                                </a:moveTo>
                                <a:lnTo>
                                  <a:pt x="124385" y="0"/>
                                </a:lnTo>
                              </a:path>
                              <a:path w="293370">
                                <a:moveTo>
                                  <a:pt x="179844" y="0"/>
                                </a:moveTo>
                                <a:lnTo>
                                  <a:pt x="293137" y="0"/>
                                </a:lnTo>
                              </a:path>
                            </a:pathLst>
                          </a:custGeom>
                          <a:ln w="10563">
                            <a:solidFill>
                              <a:srgbClr val="000000"/>
                            </a:solidFill>
                            <a:prstDash val="solid"/>
                          </a:ln>
                        </wps:spPr>
                        <wps:bodyPr wrap="square" lIns="0" tIns="0" rIns="0" bIns="0" rtlCol="0">
                          <a:prstTxWarp prst="textNoShape">
                            <a:avLst/>
                          </a:prstTxWarp>
                          <a:noAutofit/>
                        </wps:bodyPr>
                      </wps:wsp>
                      <wps:wsp>
                        <wps:cNvPr id="1708" name="Graphic 1708"/>
                        <wps:cNvSpPr/>
                        <wps:spPr>
                          <a:xfrm>
                            <a:off x="124385" y="0"/>
                            <a:ext cx="55880" cy="74295"/>
                          </a:xfrm>
                          <a:custGeom>
                            <a:avLst/>
                            <a:gdLst/>
                            <a:ahLst/>
                            <a:cxnLst/>
                            <a:rect l="l" t="t" r="r" b="b"/>
                            <a:pathLst>
                              <a:path w="55880" h="74295">
                                <a:moveTo>
                                  <a:pt x="55458" y="73944"/>
                                </a:moveTo>
                                <a:lnTo>
                                  <a:pt x="0" y="73944"/>
                                </a:lnTo>
                                <a:lnTo>
                                  <a:pt x="0" y="0"/>
                                </a:lnTo>
                                <a:lnTo>
                                  <a:pt x="55458" y="0"/>
                                </a:lnTo>
                                <a:lnTo>
                                  <a:pt x="55458" y="7394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AC24345" id="Group 1706" o:spid="_x0000_s1026" style="position:absolute;margin-left:389.65pt;margin-top:4.6pt;width:23.1pt;height:5.85pt;z-index:-15439360;mso-wrap-distance-left:0;mso-wrap-distance-right:0;mso-position-horizontal-relative:page" coordsize="29337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">
                <v:shape id="Graphic 1707" o:spid="_x0000_s1027" style="position:absolute;top:31690;width:293370;height:1270;visibility:visible;mso-wrap-style:square;v-text-anchor:top" coordsize="293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" path="m,l124385,em179844,l293137,e" filled="f" strokeweight=".29342mm">
                  <v:path arrowok="t"/>
                </v:shape>
                <v:shape id="Graphic 1708" o:spid="_x0000_s1028" style="position:absolute;left:124385;width:55880;height:74295;visibility:visible;mso-wrap-style:square;v-text-anchor:top" coordsize="5588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" path="m55458,73944l,73944,,,55458,r,73944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77632" behindDoc="1" locked="0" layoutInCell="1" allowOverlap="1" wp14:anchorId="524DB59E" wp14:editId="2B6CA7D0">
                <wp:simplePos x="0" y="0"/>
                <wp:positionH relativeFrom="page">
                  <wp:posOffset>5010910</wp:posOffset>
                </wp:positionH>
                <wp:positionV relativeFrom="paragraph">
                  <wp:posOffset>227172</wp:posOffset>
                </wp:positionV>
                <wp:extent cx="257175" cy="74295"/>
                <wp:effectExtent l="0" t="0" r="0" b="0"/>
                <wp:wrapTopAndBottom/>
                <wp:docPr id="1709" name="Group 1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175" cy="74295"/>
                          <a:chOff x="0" y="0"/>
                          <a:chExt cx="257175" cy="74295"/>
                        </a:xfrm>
                      </wpg:grpSpPr>
                      <wps:wsp>
                        <wps:cNvPr id="1710" name="Graphic 1710"/>
                        <wps:cNvSpPr/>
                        <wps:spPr>
                          <a:xfrm>
                            <a:off x="0" y="31689"/>
                            <a:ext cx="257175" cy="1270"/>
                          </a:xfrm>
                          <a:custGeom>
                            <a:avLst/>
                            <a:gdLst/>
                            <a:ahLst/>
                            <a:cxnLst/>
                            <a:rect l="l" t="t" r="r" b="b"/>
                            <a:pathLst>
                              <a:path w="257175">
                                <a:moveTo>
                                  <a:pt x="0" y="0"/>
                                </a:moveTo>
                                <a:lnTo>
                                  <a:pt x="108540" y="0"/>
                                </a:lnTo>
                              </a:path>
                              <a:path w="257175">
                                <a:moveTo>
                                  <a:pt x="163999" y="0"/>
                                </a:moveTo>
                                <a:lnTo>
                                  <a:pt x="257089" y="0"/>
                                </a:lnTo>
                              </a:path>
                            </a:pathLst>
                          </a:custGeom>
                          <a:ln w="10563">
                            <a:solidFill>
                              <a:srgbClr val="000000"/>
                            </a:solidFill>
                            <a:prstDash val="solid"/>
                          </a:ln>
                        </wps:spPr>
                        <wps:bodyPr wrap="square" lIns="0" tIns="0" rIns="0" bIns="0" rtlCol="0">
                          <a:prstTxWarp prst="textNoShape">
                            <a:avLst/>
                          </a:prstTxWarp>
                          <a:noAutofit/>
                        </wps:bodyPr>
                      </wps:wsp>
                      <wps:wsp>
                        <wps:cNvPr id="1711" name="Graphic 1711"/>
                        <wps:cNvSpPr/>
                        <wps:spPr>
                          <a:xfrm>
                            <a:off x="108540" y="0"/>
                            <a:ext cx="55880" cy="74295"/>
                          </a:xfrm>
                          <a:custGeom>
                            <a:avLst/>
                            <a:gdLst/>
                            <a:ahLst/>
                            <a:cxnLst/>
                            <a:rect l="l" t="t" r="r" b="b"/>
                            <a:pathLst>
                              <a:path w="55880" h="74295">
                                <a:moveTo>
                                  <a:pt x="55458" y="73942"/>
                                </a:moveTo>
                                <a:lnTo>
                                  <a:pt x="0" y="73942"/>
                                </a:lnTo>
                                <a:lnTo>
                                  <a:pt x="0" y="0"/>
                                </a:lnTo>
                                <a:lnTo>
                                  <a:pt x="55458" y="0"/>
                                </a:lnTo>
                                <a:lnTo>
                                  <a:pt x="55458" y="73942"/>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6FDB002" id="Group 1709" o:spid="_x0000_s1026" style="position:absolute;margin-left:394.55pt;margin-top:17.9pt;width:20.25pt;height:5.85pt;z-index:-15438848;mso-wrap-distance-left:0;mso-wrap-distance-right:0;mso-position-horizontal-relative:page" coordsize="25717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">
                <v:shape id="Graphic 1710" o:spid="_x0000_s1027" style="position:absolute;top:31689;width:257175;height:1270;visibility:visible;mso-wrap-style:square;v-text-anchor:top" coordsize="257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" path="m,l108540,em163999,r93090,e" filled="f" strokeweight=".29342mm">
                  <v:path arrowok="t"/>
                </v:shape>
                <v:shape id="Graphic 1711" o:spid="_x0000_s1028" style="position:absolute;left:108540;width:55880;height:74295;visibility:visible;mso-wrap-style:square;v-text-anchor:top" coordsize="5588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" path="m55458,73942l,73942,,,55458,r,73942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78144" behindDoc="1" locked="0" layoutInCell="1" allowOverlap="1" wp14:anchorId="6D900C3E" wp14:editId="026E95BB">
                <wp:simplePos x="0" y="0"/>
                <wp:positionH relativeFrom="page">
                  <wp:posOffset>4906727</wp:posOffset>
                </wp:positionH>
                <wp:positionV relativeFrom="paragraph">
                  <wp:posOffset>396187</wp:posOffset>
                </wp:positionV>
                <wp:extent cx="488950" cy="74295"/>
                <wp:effectExtent l="0" t="0" r="0" b="0"/>
                <wp:wrapTopAndBottom/>
                <wp:docPr id="1712"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74295"/>
                          <a:chOff x="0" y="0"/>
                          <a:chExt cx="488950" cy="74295"/>
                        </a:xfrm>
                      </wpg:grpSpPr>
                      <wps:wsp>
                        <wps:cNvPr id="1713" name="Graphic 1713"/>
                        <wps:cNvSpPr/>
                        <wps:spPr>
                          <a:xfrm>
                            <a:off x="0" y="31690"/>
                            <a:ext cx="488950" cy="1270"/>
                          </a:xfrm>
                          <a:custGeom>
                            <a:avLst/>
                            <a:gdLst/>
                            <a:ahLst/>
                            <a:cxnLst/>
                            <a:rect l="l" t="t" r="r" b="b"/>
                            <a:pathLst>
                              <a:path w="488950">
                                <a:moveTo>
                                  <a:pt x="0" y="0"/>
                                </a:moveTo>
                                <a:lnTo>
                                  <a:pt x="240056" y="0"/>
                                </a:lnTo>
                              </a:path>
                              <a:path w="488950">
                                <a:moveTo>
                                  <a:pt x="295514" y="0"/>
                                </a:moveTo>
                                <a:lnTo>
                                  <a:pt x="488430" y="0"/>
                                </a:lnTo>
                              </a:path>
                            </a:pathLst>
                          </a:custGeom>
                          <a:ln w="10563">
                            <a:solidFill>
                              <a:srgbClr val="000000"/>
                            </a:solidFill>
                            <a:prstDash val="solid"/>
                          </a:ln>
                        </wps:spPr>
                        <wps:bodyPr wrap="square" lIns="0" tIns="0" rIns="0" bIns="0" rtlCol="0">
                          <a:prstTxWarp prst="textNoShape">
                            <a:avLst/>
                          </a:prstTxWarp>
                          <a:noAutofit/>
                        </wps:bodyPr>
                      </wps:wsp>
                      <wps:wsp>
                        <wps:cNvPr id="1714" name="Graphic 1714"/>
                        <wps:cNvSpPr/>
                        <wps:spPr>
                          <a:xfrm>
                            <a:off x="240056" y="0"/>
                            <a:ext cx="55880" cy="74295"/>
                          </a:xfrm>
                          <a:custGeom>
                            <a:avLst/>
                            <a:gdLst/>
                            <a:ahLst/>
                            <a:cxnLst/>
                            <a:rect l="l" t="t" r="r" b="b"/>
                            <a:pathLst>
                              <a:path w="55880" h="74295">
                                <a:moveTo>
                                  <a:pt x="55458" y="73944"/>
                                </a:moveTo>
                                <a:lnTo>
                                  <a:pt x="0" y="73944"/>
                                </a:lnTo>
                                <a:lnTo>
                                  <a:pt x="0" y="0"/>
                                </a:lnTo>
                                <a:lnTo>
                                  <a:pt x="55458" y="0"/>
                                </a:lnTo>
                                <a:lnTo>
                                  <a:pt x="55458" y="7394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5C52A6D" id="Group 1712" o:spid="_x0000_s1026" style="position:absolute;margin-left:386.35pt;margin-top:31.2pt;width:38.5pt;height:5.85pt;z-index:-15438336;mso-wrap-distance-left:0;mso-wrap-distance-right:0;mso-position-horizontal-relative:page" coordsize="48895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">
                <v:shape id="Graphic 1713" o:spid="_x0000_s1027" style="position:absolute;top:31690;width:488950;height:1270;visibility:visible;mso-wrap-style:square;v-text-anchor:top" coordsize="488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" path="m,l240056,em295514,l488430,e" filled="f" strokeweight=".29342mm">
                  <v:path arrowok="t"/>
                </v:shape>
                <v:shape id="Graphic 1714" o:spid="_x0000_s1028" style="position:absolute;left:240056;width:55880;height:74295;visibility:visible;mso-wrap-style:square;v-text-anchor:top" coordsize="5588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" path="m55458,73944l,73944,,,55458,r,73944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78656" behindDoc="1" locked="0" layoutInCell="1" allowOverlap="1" wp14:anchorId="10A0E872" wp14:editId="6772DF21">
                <wp:simplePos x="0" y="0"/>
                <wp:positionH relativeFrom="page">
                  <wp:posOffset>4964958</wp:posOffset>
                </wp:positionH>
                <wp:positionV relativeFrom="paragraph">
                  <wp:posOffset>565204</wp:posOffset>
                </wp:positionV>
                <wp:extent cx="473709" cy="74295"/>
                <wp:effectExtent l="0" t="0" r="0" b="0"/>
                <wp:wrapTopAndBottom/>
                <wp:docPr id="1715" name="Group 1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709" cy="74295"/>
                          <a:chOff x="0" y="0"/>
                          <a:chExt cx="473709" cy="74295"/>
                        </a:xfrm>
                      </wpg:grpSpPr>
                      <wps:wsp>
                        <wps:cNvPr id="1716" name="Graphic 1716"/>
                        <wps:cNvSpPr/>
                        <wps:spPr>
                          <a:xfrm>
                            <a:off x="0" y="31690"/>
                            <a:ext cx="473709" cy="1270"/>
                          </a:xfrm>
                          <a:custGeom>
                            <a:avLst/>
                            <a:gdLst/>
                            <a:ahLst/>
                            <a:cxnLst/>
                            <a:rect l="l" t="t" r="r" b="b"/>
                            <a:pathLst>
                              <a:path w="473709">
                                <a:moveTo>
                                  <a:pt x="0" y="0"/>
                                </a:moveTo>
                                <a:lnTo>
                                  <a:pt x="245205" y="0"/>
                                </a:lnTo>
                              </a:path>
                              <a:path w="473709">
                                <a:moveTo>
                                  <a:pt x="300663" y="0"/>
                                </a:moveTo>
                                <a:lnTo>
                                  <a:pt x="473377" y="0"/>
                                </a:lnTo>
                              </a:path>
                            </a:pathLst>
                          </a:custGeom>
                          <a:ln w="10563">
                            <a:solidFill>
                              <a:srgbClr val="000000"/>
                            </a:solidFill>
                            <a:prstDash val="solid"/>
                          </a:ln>
                        </wps:spPr>
                        <wps:bodyPr wrap="square" lIns="0" tIns="0" rIns="0" bIns="0" rtlCol="0">
                          <a:prstTxWarp prst="textNoShape">
                            <a:avLst/>
                          </a:prstTxWarp>
                          <a:noAutofit/>
                        </wps:bodyPr>
                      </wps:wsp>
                      <wps:wsp>
                        <wps:cNvPr id="1717" name="Graphic 1717"/>
                        <wps:cNvSpPr/>
                        <wps:spPr>
                          <a:xfrm>
                            <a:off x="245205" y="0"/>
                            <a:ext cx="55880" cy="74295"/>
                          </a:xfrm>
                          <a:custGeom>
                            <a:avLst/>
                            <a:gdLst/>
                            <a:ahLst/>
                            <a:cxnLst/>
                            <a:rect l="l" t="t" r="r" b="b"/>
                            <a:pathLst>
                              <a:path w="55880" h="74295">
                                <a:moveTo>
                                  <a:pt x="55458" y="73944"/>
                                </a:moveTo>
                                <a:lnTo>
                                  <a:pt x="0" y="73944"/>
                                </a:lnTo>
                                <a:lnTo>
                                  <a:pt x="0" y="0"/>
                                </a:lnTo>
                                <a:lnTo>
                                  <a:pt x="55458" y="0"/>
                                </a:lnTo>
                                <a:lnTo>
                                  <a:pt x="55458" y="7394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77700AA" id="Group 1715" o:spid="_x0000_s1026" style="position:absolute;margin-left:390.95pt;margin-top:44.5pt;width:37.3pt;height:5.85pt;z-index:-15437824;mso-wrap-distance-left:0;mso-wrap-distance-right:0;mso-position-horizontal-relative:page" coordsize="473709,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">
                <v:shape id="Graphic 1716" o:spid="_x0000_s1027" style="position:absolute;top:31690;width:473709;height:1270;visibility:visible;mso-wrap-style:square;v-text-anchor:top" coordsize="4737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" path="m,l245205,em300663,l473377,e" filled="f" strokeweight=".29342mm">
                  <v:path arrowok="t"/>
                </v:shape>
                <v:shape id="Graphic 1717" o:spid="_x0000_s1028" style="position:absolute;left:245205;width:55880;height:74295;visibility:visible;mso-wrap-style:square;v-text-anchor:top" coordsize="5588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" path="m55458,73944l,73944,,,55458,r,73944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79168" behindDoc="1" locked="0" layoutInCell="1" allowOverlap="1" wp14:anchorId="543496A5" wp14:editId="3CE6D7AC">
                <wp:simplePos x="0" y="0"/>
                <wp:positionH relativeFrom="page">
                  <wp:posOffset>5244231</wp:posOffset>
                </wp:positionH>
                <wp:positionV relativeFrom="paragraph">
                  <wp:posOffset>734219</wp:posOffset>
                </wp:positionV>
                <wp:extent cx="199390" cy="74295"/>
                <wp:effectExtent l="0" t="0" r="0" b="0"/>
                <wp:wrapTopAndBottom/>
                <wp:docPr id="1718"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390" cy="74295"/>
                          <a:chOff x="0" y="0"/>
                          <a:chExt cx="199390" cy="74295"/>
                        </a:xfrm>
                      </wpg:grpSpPr>
                      <wps:wsp>
                        <wps:cNvPr id="1719" name="Graphic 1719"/>
                        <wps:cNvSpPr/>
                        <wps:spPr>
                          <a:xfrm>
                            <a:off x="0" y="31691"/>
                            <a:ext cx="199390" cy="1270"/>
                          </a:xfrm>
                          <a:custGeom>
                            <a:avLst/>
                            <a:gdLst/>
                            <a:ahLst/>
                            <a:cxnLst/>
                            <a:rect l="l" t="t" r="r" b="b"/>
                            <a:pathLst>
                              <a:path w="199390">
                                <a:moveTo>
                                  <a:pt x="0" y="0"/>
                                </a:moveTo>
                                <a:lnTo>
                                  <a:pt x="89526" y="0"/>
                                </a:lnTo>
                              </a:path>
                              <a:path w="199390">
                                <a:moveTo>
                                  <a:pt x="144983" y="0"/>
                                </a:moveTo>
                                <a:lnTo>
                                  <a:pt x="199254" y="0"/>
                                </a:lnTo>
                              </a:path>
                            </a:pathLst>
                          </a:custGeom>
                          <a:ln w="10563">
                            <a:solidFill>
                              <a:srgbClr val="000000"/>
                            </a:solidFill>
                            <a:prstDash val="solid"/>
                          </a:ln>
                        </wps:spPr>
                        <wps:bodyPr wrap="square" lIns="0" tIns="0" rIns="0" bIns="0" rtlCol="0">
                          <a:prstTxWarp prst="textNoShape">
                            <a:avLst/>
                          </a:prstTxWarp>
                          <a:noAutofit/>
                        </wps:bodyPr>
                      </wps:wsp>
                      <wps:wsp>
                        <wps:cNvPr id="1720" name="Graphic 1720"/>
                        <wps:cNvSpPr/>
                        <wps:spPr>
                          <a:xfrm>
                            <a:off x="89526" y="0"/>
                            <a:ext cx="55880" cy="74295"/>
                          </a:xfrm>
                          <a:custGeom>
                            <a:avLst/>
                            <a:gdLst/>
                            <a:ahLst/>
                            <a:cxnLst/>
                            <a:rect l="l" t="t" r="r" b="b"/>
                            <a:pathLst>
                              <a:path w="55880" h="74295">
                                <a:moveTo>
                                  <a:pt x="55456" y="73944"/>
                                </a:moveTo>
                                <a:lnTo>
                                  <a:pt x="0" y="73944"/>
                                </a:lnTo>
                                <a:lnTo>
                                  <a:pt x="0" y="0"/>
                                </a:lnTo>
                                <a:lnTo>
                                  <a:pt x="55456" y="0"/>
                                </a:lnTo>
                                <a:lnTo>
                                  <a:pt x="55456" y="7394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D3486BA" id="Group 1718" o:spid="_x0000_s1026" style="position:absolute;margin-left:412.95pt;margin-top:57.8pt;width:15.7pt;height:5.85pt;z-index:-15437312;mso-wrap-distance-left:0;mso-wrap-distance-right:0;mso-position-horizontal-relative:page" coordsize="19939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">
                <v:shape id="Graphic 1719" o:spid="_x0000_s1027" style="position:absolute;top:31691;width:199390;height:1270;visibility:visible;mso-wrap-style:square;v-text-anchor:top" coordsize="199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" path="m,l89526,em144983,r54271,e" filled="f" strokeweight=".29342mm">
                  <v:path arrowok="t"/>
                </v:shape>
                <v:shape id="Graphic 1720" o:spid="_x0000_s1028" style="position:absolute;left:89526;width:55880;height:74295;visibility:visible;mso-wrap-style:square;v-text-anchor:top" coordsize="5588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" path="m55456,73944l,73944,,,55456,r,73944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79680" behindDoc="1" locked="0" layoutInCell="1" allowOverlap="1" wp14:anchorId="64B6A252" wp14:editId="7EECB46D">
                <wp:simplePos x="0" y="0"/>
                <wp:positionH relativeFrom="page">
                  <wp:posOffset>5298898</wp:posOffset>
                </wp:positionH>
                <wp:positionV relativeFrom="paragraph">
                  <wp:posOffset>903235</wp:posOffset>
                </wp:positionV>
                <wp:extent cx="114300" cy="74295"/>
                <wp:effectExtent l="0" t="0" r="0" b="0"/>
                <wp:wrapTopAndBottom/>
                <wp:docPr id="1721" name="Group 1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74295"/>
                          <a:chOff x="0" y="0"/>
                          <a:chExt cx="114300" cy="74295"/>
                        </a:xfrm>
                      </wpg:grpSpPr>
                      <wps:wsp>
                        <wps:cNvPr id="1722" name="Graphic 1722"/>
                        <wps:cNvSpPr/>
                        <wps:spPr>
                          <a:xfrm>
                            <a:off x="0" y="31690"/>
                            <a:ext cx="114300" cy="1270"/>
                          </a:xfrm>
                          <a:custGeom>
                            <a:avLst/>
                            <a:gdLst/>
                            <a:ahLst/>
                            <a:cxnLst/>
                            <a:rect l="l" t="t" r="r" b="b"/>
                            <a:pathLst>
                              <a:path w="114300">
                                <a:moveTo>
                                  <a:pt x="0" y="0"/>
                                </a:moveTo>
                                <a:lnTo>
                                  <a:pt x="38028" y="0"/>
                                </a:lnTo>
                              </a:path>
                              <a:path w="114300">
                                <a:moveTo>
                                  <a:pt x="93487" y="0"/>
                                </a:moveTo>
                                <a:lnTo>
                                  <a:pt x="114086" y="0"/>
                                </a:lnTo>
                              </a:path>
                            </a:pathLst>
                          </a:custGeom>
                          <a:ln w="10563">
                            <a:solidFill>
                              <a:srgbClr val="000000"/>
                            </a:solidFill>
                            <a:prstDash val="solid"/>
                          </a:ln>
                        </wps:spPr>
                        <wps:bodyPr wrap="square" lIns="0" tIns="0" rIns="0" bIns="0" rtlCol="0">
                          <a:prstTxWarp prst="textNoShape">
                            <a:avLst/>
                          </a:prstTxWarp>
                          <a:noAutofit/>
                        </wps:bodyPr>
                      </wps:wsp>
                      <wps:wsp>
                        <wps:cNvPr id="1723" name="Graphic 1723"/>
                        <wps:cNvSpPr/>
                        <wps:spPr>
                          <a:xfrm>
                            <a:off x="38028" y="0"/>
                            <a:ext cx="55880" cy="74295"/>
                          </a:xfrm>
                          <a:custGeom>
                            <a:avLst/>
                            <a:gdLst/>
                            <a:ahLst/>
                            <a:cxnLst/>
                            <a:rect l="l" t="t" r="r" b="b"/>
                            <a:pathLst>
                              <a:path w="55880" h="74295">
                                <a:moveTo>
                                  <a:pt x="55458" y="73944"/>
                                </a:moveTo>
                                <a:lnTo>
                                  <a:pt x="0" y="73944"/>
                                </a:lnTo>
                                <a:lnTo>
                                  <a:pt x="0" y="0"/>
                                </a:lnTo>
                                <a:lnTo>
                                  <a:pt x="55458" y="0"/>
                                </a:lnTo>
                                <a:lnTo>
                                  <a:pt x="55458" y="7394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3C48D13" id="Group 1721" o:spid="_x0000_s1026" style="position:absolute;margin-left:417.25pt;margin-top:71.1pt;width:9pt;height:5.85pt;z-index:-15436800;mso-wrap-distance-left:0;mso-wrap-distance-right:0;mso-position-horizontal-relative:page" coordsize="11430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">
                <v:shape id="Graphic 1722" o:spid="_x0000_s1027" style="position:absolute;top:31690;width:114300;height:1270;visibility:visible;mso-wrap-style:square;v-text-anchor:top" coordsize="114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" path="m,l38028,em93487,r20599,e" filled="f" strokeweight=".29342mm">
                  <v:path arrowok="t"/>
                </v:shape>
                <v:shape id="Graphic 1723" o:spid="_x0000_s1028" style="position:absolute;left:38028;width:55880;height:74295;visibility:visible;mso-wrap-style:square;v-text-anchor:top" coordsize="5588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" path="m55458,73944l,73944,,,55458,r,73944xe" fillcolor="#0000c0" stroked="f">
                  <v:path arrowok="t"/>
                </v:shape>
                <w10:wrap type="topAndBottom" anchorx="page"/>
              </v:group>
            </w:pict>
          </mc:Fallback>
        </mc:AlternateContent>
      </w:r>
    </w:p>
    <w:p w14:paraId="07F39878" w14:textId="77777777" w:rsidR="00E05B98" w:rsidRPr="003C6DAE" w:rsidRDefault="00E05B98">
      <w:pPr>
        <w:pStyle w:val="a3"/>
        <w:spacing w:before="9"/>
        <w:rPr>
          <w:rFonts w:ascii="Trebuchet MS"/>
          <w:sz w:val="10"/>
          <w:lang w:val="uk-UA"/>
        </w:rPr>
      </w:pPr>
    </w:p>
    <w:p w14:paraId="272CD5D6" w14:textId="77777777" w:rsidR="00E05B98" w:rsidRPr="003C6DAE" w:rsidRDefault="00E05B98">
      <w:pPr>
        <w:pStyle w:val="a3"/>
        <w:spacing w:before="9"/>
        <w:rPr>
          <w:rFonts w:ascii="Trebuchet MS"/>
          <w:sz w:val="10"/>
          <w:lang w:val="uk-UA"/>
        </w:rPr>
      </w:pPr>
    </w:p>
    <w:p w14:paraId="7E144CF4" w14:textId="77777777" w:rsidR="00E05B98" w:rsidRPr="003C6DAE" w:rsidRDefault="00E05B98">
      <w:pPr>
        <w:pStyle w:val="a3"/>
        <w:spacing w:before="9"/>
        <w:rPr>
          <w:rFonts w:ascii="Trebuchet MS"/>
          <w:sz w:val="10"/>
          <w:lang w:val="uk-UA"/>
        </w:rPr>
      </w:pPr>
    </w:p>
    <w:p w14:paraId="6BD92127" w14:textId="77777777" w:rsidR="00E05B98" w:rsidRPr="003C6DAE" w:rsidRDefault="00E05B98">
      <w:pPr>
        <w:pStyle w:val="a3"/>
        <w:spacing w:before="9"/>
        <w:rPr>
          <w:rFonts w:ascii="Trebuchet MS"/>
          <w:sz w:val="10"/>
          <w:lang w:val="uk-UA"/>
        </w:rPr>
      </w:pPr>
    </w:p>
    <w:p w14:paraId="03D9C065" w14:textId="77777777" w:rsidR="00E05B98" w:rsidRPr="003C6DAE" w:rsidRDefault="00E05B98">
      <w:pPr>
        <w:pStyle w:val="a3"/>
        <w:spacing w:before="9"/>
        <w:rPr>
          <w:rFonts w:ascii="Trebuchet MS"/>
          <w:sz w:val="10"/>
          <w:lang w:val="uk-UA"/>
        </w:rPr>
      </w:pPr>
    </w:p>
    <w:p w14:paraId="53B69378" w14:textId="77777777" w:rsidR="00E05B98" w:rsidRPr="003C6DAE" w:rsidRDefault="00E05B98">
      <w:pPr>
        <w:pStyle w:val="a3"/>
        <w:spacing w:before="10"/>
        <w:rPr>
          <w:rFonts w:ascii="Trebuchet MS"/>
          <w:sz w:val="12"/>
          <w:lang w:val="uk-UA"/>
        </w:rPr>
      </w:pPr>
    </w:p>
    <w:p w14:paraId="1E4445F3" w14:textId="77777777" w:rsidR="00E05B98" w:rsidRPr="003C6DAE" w:rsidRDefault="00B01E0C">
      <w:pPr>
        <w:pStyle w:val="a3"/>
        <w:spacing w:line="116" w:lineRule="exact"/>
        <w:ind w:left="1229" w:right="-72"/>
        <w:rPr>
          <w:rFonts w:ascii="Trebuchet MS"/>
          <w:position w:val="-1"/>
          <w:sz w:val="11"/>
          <w:lang w:val="uk-UA"/>
        </w:rPr>
      </w:pPr>
      <w:r w:rsidRPr="003C6DAE">
        <w:rPr>
          <w:rFonts w:ascii="Trebuchet MS"/>
          <w:noProof/>
          <w:position w:val="-1"/>
          <w:sz w:val="11"/>
          <w:lang w:val="uk-UA"/>
        </w:rPr>
        <mc:AlternateContent>
          <mc:Choice Requires="wpg">
            <w:drawing>
              <wp:inline distT="0" distB="0" distL="0" distR="0" wp14:anchorId="76273EBB" wp14:editId="5A9E94D4">
                <wp:extent cx="160655" cy="74295"/>
                <wp:effectExtent l="9525" t="0" r="1269" b="1905"/>
                <wp:docPr id="1724"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 cy="74295"/>
                          <a:chOff x="0" y="0"/>
                          <a:chExt cx="160655" cy="74295"/>
                        </a:xfrm>
                      </wpg:grpSpPr>
                      <wps:wsp>
                        <wps:cNvPr id="1725" name="Graphic 1725"/>
                        <wps:cNvSpPr/>
                        <wps:spPr>
                          <a:xfrm>
                            <a:off x="0" y="31690"/>
                            <a:ext cx="160655" cy="1270"/>
                          </a:xfrm>
                          <a:custGeom>
                            <a:avLst/>
                            <a:gdLst/>
                            <a:ahLst/>
                            <a:cxnLst/>
                            <a:rect l="l" t="t" r="r" b="b"/>
                            <a:pathLst>
                              <a:path w="160655">
                                <a:moveTo>
                                  <a:pt x="0" y="0"/>
                                </a:moveTo>
                                <a:lnTo>
                                  <a:pt x="86753" y="0"/>
                                </a:lnTo>
                              </a:path>
                              <a:path w="160655">
                                <a:moveTo>
                                  <a:pt x="142210" y="0"/>
                                </a:moveTo>
                                <a:lnTo>
                                  <a:pt x="160433" y="0"/>
                                </a:lnTo>
                              </a:path>
                            </a:pathLst>
                          </a:custGeom>
                          <a:ln w="10563">
                            <a:solidFill>
                              <a:srgbClr val="000000"/>
                            </a:solidFill>
                            <a:prstDash val="solid"/>
                          </a:ln>
                        </wps:spPr>
                        <wps:bodyPr wrap="square" lIns="0" tIns="0" rIns="0" bIns="0" rtlCol="0">
                          <a:prstTxWarp prst="textNoShape">
                            <a:avLst/>
                          </a:prstTxWarp>
                          <a:noAutofit/>
                        </wps:bodyPr>
                      </wps:wsp>
                      <wps:wsp>
                        <wps:cNvPr id="1726" name="Graphic 1726"/>
                        <wps:cNvSpPr/>
                        <wps:spPr>
                          <a:xfrm>
                            <a:off x="86753" y="0"/>
                            <a:ext cx="55880" cy="74295"/>
                          </a:xfrm>
                          <a:custGeom>
                            <a:avLst/>
                            <a:gdLst/>
                            <a:ahLst/>
                            <a:cxnLst/>
                            <a:rect l="l" t="t" r="r" b="b"/>
                            <a:pathLst>
                              <a:path w="55880" h="74295">
                                <a:moveTo>
                                  <a:pt x="55456" y="73944"/>
                                </a:moveTo>
                                <a:lnTo>
                                  <a:pt x="0" y="73944"/>
                                </a:lnTo>
                                <a:lnTo>
                                  <a:pt x="0" y="0"/>
                                </a:lnTo>
                                <a:lnTo>
                                  <a:pt x="55456" y="0"/>
                                </a:lnTo>
                                <a:lnTo>
                                  <a:pt x="55456" y="73944"/>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50288788" id="Group 1724" o:spid="_x0000_s1026" style="width:12.65pt;height:5.85pt;mso-position-horizontal-relative:char;mso-position-vertical-relative:line" coordsize="16065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">
                <v:shape id="Graphic 1725" o:spid="_x0000_s1027" style="position:absolute;top:31690;width:160655;height:1270;visibility:visible;mso-wrap-style:square;v-text-anchor:top" coordsize="160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" path="m,l86753,em142210,r18223,e" filled="f" strokeweight=".29342mm">
                  <v:path arrowok="t"/>
                </v:shape>
                <v:shape id="Graphic 1726" o:spid="_x0000_s1028" style="position:absolute;left:86753;width:55880;height:74295;visibility:visible;mso-wrap-style:square;v-text-anchor:top" coordsize="5588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" path="m55456,73944l,73944,,,55456,r,73944xe" fillcolor="#0000c0" stroked="f">
                  <v:path arrowok="t"/>
                </v:shape>
                <w10:anchorlock/>
              </v:group>
            </w:pict>
          </mc:Fallback>
        </mc:AlternateContent>
      </w:r>
    </w:p>
    <w:p w14:paraId="3C3C4F92" w14:textId="77777777" w:rsidR="00E05B98" w:rsidRPr="003C6DAE" w:rsidRDefault="00E05B98">
      <w:pPr>
        <w:pStyle w:val="a3"/>
        <w:spacing w:before="164"/>
        <w:rPr>
          <w:rFonts w:ascii="Trebuchet MS"/>
          <w:sz w:val="20"/>
          <w:lang w:val="uk-UA"/>
        </w:rPr>
      </w:pPr>
    </w:p>
    <w:p w14:paraId="70C57B23" w14:textId="77777777" w:rsidR="00E05B98" w:rsidRPr="003C6DAE" w:rsidRDefault="00B01E0C">
      <w:pPr>
        <w:ind w:left="15"/>
        <w:rPr>
          <w:rFonts w:ascii="Trebuchet MS"/>
          <w:sz w:val="20"/>
          <w:lang w:val="uk-UA"/>
        </w:rPr>
      </w:pPr>
      <w:r w:rsidRPr="003C6DAE">
        <w:rPr>
          <w:rFonts w:ascii="Trebuchet MS"/>
          <w:noProof/>
          <w:sz w:val="20"/>
          <w:lang w:val="uk-UA"/>
        </w:rPr>
        <mc:AlternateContent>
          <mc:Choice Requires="wpg">
            <w:drawing>
              <wp:anchor distT="0" distB="0" distL="0" distR="0" simplePos="0" relativeHeight="16025088" behindDoc="0" locked="0" layoutInCell="1" allowOverlap="1" wp14:anchorId="10C05D77" wp14:editId="649E0D09">
                <wp:simplePos x="0" y="0"/>
                <wp:positionH relativeFrom="page">
                  <wp:posOffset>4596159</wp:posOffset>
                </wp:positionH>
                <wp:positionV relativeFrom="paragraph">
                  <wp:posOffset>-156248</wp:posOffset>
                </wp:positionV>
                <wp:extent cx="2016760" cy="158750"/>
                <wp:effectExtent l="0" t="0" r="0" b="0"/>
                <wp:wrapNone/>
                <wp:docPr id="1727" name="Group 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6760" cy="158750"/>
                          <a:chOff x="0" y="0"/>
                          <a:chExt cx="2016760" cy="158750"/>
                        </a:xfrm>
                      </wpg:grpSpPr>
                      <wps:wsp>
                        <wps:cNvPr id="1728" name="Graphic 1728"/>
                        <wps:cNvSpPr/>
                        <wps:spPr>
                          <a:xfrm>
                            <a:off x="861983" y="31691"/>
                            <a:ext cx="69215" cy="1270"/>
                          </a:xfrm>
                          <a:custGeom>
                            <a:avLst/>
                            <a:gdLst/>
                            <a:ahLst/>
                            <a:cxnLst/>
                            <a:rect l="l" t="t" r="r" b="b"/>
                            <a:pathLst>
                              <a:path w="69215">
                                <a:moveTo>
                                  <a:pt x="0" y="0"/>
                                </a:moveTo>
                                <a:lnTo>
                                  <a:pt x="68926" y="0"/>
                                </a:lnTo>
                              </a:path>
                            </a:pathLst>
                          </a:custGeom>
                          <a:ln w="10563">
                            <a:solidFill>
                              <a:srgbClr val="000000"/>
                            </a:solidFill>
                            <a:prstDash val="solid"/>
                          </a:ln>
                        </wps:spPr>
                        <wps:bodyPr wrap="square" lIns="0" tIns="0" rIns="0" bIns="0" rtlCol="0">
                          <a:prstTxWarp prst="textNoShape">
                            <a:avLst/>
                          </a:prstTxWarp>
                          <a:noAutofit/>
                        </wps:bodyPr>
                      </wps:wsp>
                      <wps:wsp>
                        <wps:cNvPr id="1729" name="Graphic 1729"/>
                        <wps:cNvSpPr/>
                        <wps:spPr>
                          <a:xfrm>
                            <a:off x="930910" y="0"/>
                            <a:ext cx="55880" cy="74295"/>
                          </a:xfrm>
                          <a:custGeom>
                            <a:avLst/>
                            <a:gdLst/>
                            <a:ahLst/>
                            <a:cxnLst/>
                            <a:rect l="l" t="t" r="r" b="b"/>
                            <a:pathLst>
                              <a:path w="55880" h="74295">
                                <a:moveTo>
                                  <a:pt x="55458" y="73944"/>
                                </a:moveTo>
                                <a:lnTo>
                                  <a:pt x="0" y="73944"/>
                                </a:lnTo>
                                <a:lnTo>
                                  <a:pt x="0" y="0"/>
                                </a:lnTo>
                                <a:lnTo>
                                  <a:pt x="55458" y="0"/>
                                </a:lnTo>
                                <a:lnTo>
                                  <a:pt x="55458" y="73944"/>
                                </a:lnTo>
                                <a:close/>
                              </a:path>
                            </a:pathLst>
                          </a:custGeom>
                          <a:solidFill>
                            <a:srgbClr val="0000C0"/>
                          </a:solidFill>
                        </wps:spPr>
                        <wps:bodyPr wrap="square" lIns="0" tIns="0" rIns="0" bIns="0" rtlCol="0">
                          <a:prstTxWarp prst="textNoShape">
                            <a:avLst/>
                          </a:prstTxWarp>
                          <a:noAutofit/>
                        </wps:bodyPr>
                      </wps:wsp>
                      <wps:wsp>
                        <wps:cNvPr id="1730" name="Graphic 1730"/>
                        <wps:cNvSpPr/>
                        <wps:spPr>
                          <a:xfrm>
                            <a:off x="3961" y="116199"/>
                            <a:ext cx="942975" cy="1270"/>
                          </a:xfrm>
                          <a:custGeom>
                            <a:avLst/>
                            <a:gdLst/>
                            <a:ahLst/>
                            <a:cxnLst/>
                            <a:rect l="l" t="t" r="r" b="b"/>
                            <a:pathLst>
                              <a:path w="942975">
                                <a:moveTo>
                                  <a:pt x="0" y="0"/>
                                </a:moveTo>
                                <a:lnTo>
                                  <a:pt x="942794" y="0"/>
                                </a:lnTo>
                              </a:path>
                            </a:pathLst>
                          </a:custGeom>
                          <a:ln w="10563">
                            <a:solidFill>
                              <a:srgbClr val="000000"/>
                            </a:solidFill>
                            <a:prstDash val="solid"/>
                          </a:ln>
                        </wps:spPr>
                        <wps:bodyPr wrap="square" lIns="0" tIns="0" rIns="0" bIns="0" rtlCol="0">
                          <a:prstTxWarp prst="textNoShape">
                            <a:avLst/>
                          </a:prstTxWarp>
                          <a:noAutofit/>
                        </wps:bodyPr>
                      </wps:wsp>
                      <wps:wsp>
                        <wps:cNvPr id="1731" name="Graphic 1731"/>
                        <wps:cNvSpPr/>
                        <wps:spPr>
                          <a:xfrm>
                            <a:off x="3961" y="73945"/>
                            <a:ext cx="1270" cy="85090"/>
                          </a:xfrm>
                          <a:custGeom>
                            <a:avLst/>
                            <a:gdLst/>
                            <a:ahLst/>
                            <a:cxnLst/>
                            <a:rect l="l" t="t" r="r" b="b"/>
                            <a:pathLst>
                              <a:path h="85090">
                                <a:moveTo>
                                  <a:pt x="0" y="0"/>
                                </a:moveTo>
                                <a:lnTo>
                                  <a:pt x="0" y="84508"/>
                                </a:lnTo>
                              </a:path>
                            </a:pathLst>
                          </a:custGeom>
                          <a:ln w="7922">
                            <a:solidFill>
                              <a:srgbClr val="000000"/>
                            </a:solidFill>
                            <a:prstDash val="solid"/>
                          </a:ln>
                        </wps:spPr>
                        <wps:bodyPr wrap="square" lIns="0" tIns="0" rIns="0" bIns="0" rtlCol="0">
                          <a:prstTxWarp prst="textNoShape">
                            <a:avLst/>
                          </a:prstTxWarp>
                          <a:noAutofit/>
                        </wps:bodyPr>
                      </wps:wsp>
                      <wps:wsp>
                        <wps:cNvPr id="1732" name="Graphic 1732"/>
                        <wps:cNvSpPr/>
                        <wps:spPr>
                          <a:xfrm>
                            <a:off x="192520" y="73945"/>
                            <a:ext cx="1270" cy="85090"/>
                          </a:xfrm>
                          <a:custGeom>
                            <a:avLst/>
                            <a:gdLst/>
                            <a:ahLst/>
                            <a:cxnLst/>
                            <a:rect l="l" t="t" r="r" b="b"/>
                            <a:pathLst>
                              <a:path h="85090">
                                <a:moveTo>
                                  <a:pt x="0" y="0"/>
                                </a:moveTo>
                                <a:lnTo>
                                  <a:pt x="0" y="84508"/>
                                </a:lnTo>
                              </a:path>
                            </a:pathLst>
                          </a:custGeom>
                          <a:ln w="7922">
                            <a:solidFill>
                              <a:srgbClr val="000000"/>
                            </a:solidFill>
                            <a:prstDash val="solid"/>
                          </a:ln>
                        </wps:spPr>
                        <wps:bodyPr wrap="square" lIns="0" tIns="0" rIns="0" bIns="0" rtlCol="0">
                          <a:prstTxWarp prst="textNoShape">
                            <a:avLst/>
                          </a:prstTxWarp>
                          <a:noAutofit/>
                        </wps:bodyPr>
                      </wps:wsp>
                      <wps:wsp>
                        <wps:cNvPr id="1733" name="Graphic 1733"/>
                        <wps:cNvSpPr/>
                        <wps:spPr>
                          <a:xfrm>
                            <a:off x="381079" y="73945"/>
                            <a:ext cx="1270" cy="85090"/>
                          </a:xfrm>
                          <a:custGeom>
                            <a:avLst/>
                            <a:gdLst/>
                            <a:ahLst/>
                            <a:cxnLst/>
                            <a:rect l="l" t="t" r="r" b="b"/>
                            <a:pathLst>
                              <a:path h="85090">
                                <a:moveTo>
                                  <a:pt x="0" y="0"/>
                                </a:moveTo>
                                <a:lnTo>
                                  <a:pt x="0" y="84508"/>
                                </a:lnTo>
                              </a:path>
                            </a:pathLst>
                          </a:custGeom>
                          <a:ln w="7922">
                            <a:solidFill>
                              <a:srgbClr val="000000"/>
                            </a:solidFill>
                            <a:prstDash val="solid"/>
                          </a:ln>
                        </wps:spPr>
                        <wps:bodyPr wrap="square" lIns="0" tIns="0" rIns="0" bIns="0" rtlCol="0">
                          <a:prstTxWarp prst="textNoShape">
                            <a:avLst/>
                          </a:prstTxWarp>
                          <a:noAutofit/>
                        </wps:bodyPr>
                      </wps:wsp>
                      <wps:wsp>
                        <wps:cNvPr id="1734" name="Graphic 1734"/>
                        <wps:cNvSpPr/>
                        <wps:spPr>
                          <a:xfrm>
                            <a:off x="569241" y="73945"/>
                            <a:ext cx="1270" cy="85090"/>
                          </a:xfrm>
                          <a:custGeom>
                            <a:avLst/>
                            <a:gdLst/>
                            <a:ahLst/>
                            <a:cxnLst/>
                            <a:rect l="l" t="t" r="r" b="b"/>
                            <a:pathLst>
                              <a:path h="85090">
                                <a:moveTo>
                                  <a:pt x="0" y="0"/>
                                </a:moveTo>
                                <a:lnTo>
                                  <a:pt x="0" y="84508"/>
                                </a:lnTo>
                              </a:path>
                            </a:pathLst>
                          </a:custGeom>
                          <a:ln w="7922">
                            <a:solidFill>
                              <a:srgbClr val="000000"/>
                            </a:solidFill>
                            <a:prstDash val="solid"/>
                          </a:ln>
                        </wps:spPr>
                        <wps:bodyPr wrap="square" lIns="0" tIns="0" rIns="0" bIns="0" rtlCol="0">
                          <a:prstTxWarp prst="textNoShape">
                            <a:avLst/>
                          </a:prstTxWarp>
                          <a:noAutofit/>
                        </wps:bodyPr>
                      </wps:wsp>
                      <wps:wsp>
                        <wps:cNvPr id="1735" name="Graphic 1735"/>
                        <wps:cNvSpPr/>
                        <wps:spPr>
                          <a:xfrm>
                            <a:off x="758196" y="73945"/>
                            <a:ext cx="1270" cy="85090"/>
                          </a:xfrm>
                          <a:custGeom>
                            <a:avLst/>
                            <a:gdLst/>
                            <a:ahLst/>
                            <a:cxnLst/>
                            <a:rect l="l" t="t" r="r" b="b"/>
                            <a:pathLst>
                              <a:path h="85090">
                                <a:moveTo>
                                  <a:pt x="0" y="0"/>
                                </a:moveTo>
                                <a:lnTo>
                                  <a:pt x="0" y="84508"/>
                                </a:lnTo>
                              </a:path>
                            </a:pathLst>
                          </a:custGeom>
                          <a:ln w="7922">
                            <a:solidFill>
                              <a:srgbClr val="000000"/>
                            </a:solidFill>
                            <a:prstDash val="solid"/>
                          </a:ln>
                        </wps:spPr>
                        <wps:bodyPr wrap="square" lIns="0" tIns="0" rIns="0" bIns="0" rtlCol="0">
                          <a:prstTxWarp prst="textNoShape">
                            <a:avLst/>
                          </a:prstTxWarp>
                          <a:noAutofit/>
                        </wps:bodyPr>
                      </wps:wsp>
                      <wps:wsp>
                        <wps:cNvPr id="1736" name="Graphic 1736"/>
                        <wps:cNvSpPr/>
                        <wps:spPr>
                          <a:xfrm>
                            <a:off x="946755" y="73945"/>
                            <a:ext cx="1270" cy="85090"/>
                          </a:xfrm>
                          <a:custGeom>
                            <a:avLst/>
                            <a:gdLst/>
                            <a:ahLst/>
                            <a:cxnLst/>
                            <a:rect l="l" t="t" r="r" b="b"/>
                            <a:pathLst>
                              <a:path h="85090">
                                <a:moveTo>
                                  <a:pt x="0" y="0"/>
                                </a:moveTo>
                                <a:lnTo>
                                  <a:pt x="0" y="84508"/>
                                </a:lnTo>
                              </a:path>
                            </a:pathLst>
                          </a:custGeom>
                          <a:ln w="7922">
                            <a:solidFill>
                              <a:srgbClr val="000000"/>
                            </a:solidFill>
                            <a:prstDash val="solid"/>
                          </a:ln>
                        </wps:spPr>
                        <wps:bodyPr wrap="square" lIns="0" tIns="0" rIns="0" bIns="0" rtlCol="0">
                          <a:prstTxWarp prst="textNoShape">
                            <a:avLst/>
                          </a:prstTxWarp>
                          <a:noAutofit/>
                        </wps:bodyPr>
                      </wps:wsp>
                      <wps:wsp>
                        <wps:cNvPr id="1737" name="Graphic 1737"/>
                        <wps:cNvSpPr/>
                        <wps:spPr>
                          <a:xfrm>
                            <a:off x="1713673" y="31691"/>
                            <a:ext cx="247650" cy="1270"/>
                          </a:xfrm>
                          <a:custGeom>
                            <a:avLst/>
                            <a:gdLst/>
                            <a:ahLst/>
                            <a:cxnLst/>
                            <a:rect l="l" t="t" r="r" b="b"/>
                            <a:pathLst>
                              <a:path w="247650">
                                <a:moveTo>
                                  <a:pt x="0" y="0"/>
                                </a:moveTo>
                                <a:lnTo>
                                  <a:pt x="247186" y="0"/>
                                </a:lnTo>
                              </a:path>
                            </a:pathLst>
                          </a:custGeom>
                          <a:ln w="10563">
                            <a:solidFill>
                              <a:srgbClr val="000000"/>
                            </a:solidFill>
                            <a:prstDash val="solid"/>
                          </a:ln>
                        </wps:spPr>
                        <wps:bodyPr wrap="square" lIns="0" tIns="0" rIns="0" bIns="0" rtlCol="0">
                          <a:prstTxWarp prst="textNoShape">
                            <a:avLst/>
                          </a:prstTxWarp>
                          <a:noAutofit/>
                        </wps:bodyPr>
                      </wps:wsp>
                      <wps:wsp>
                        <wps:cNvPr id="1738" name="Graphic 1738"/>
                        <wps:cNvSpPr/>
                        <wps:spPr>
                          <a:xfrm>
                            <a:off x="1960859" y="0"/>
                            <a:ext cx="55880" cy="74295"/>
                          </a:xfrm>
                          <a:custGeom>
                            <a:avLst/>
                            <a:gdLst/>
                            <a:ahLst/>
                            <a:cxnLst/>
                            <a:rect l="l" t="t" r="r" b="b"/>
                            <a:pathLst>
                              <a:path w="55880" h="74295">
                                <a:moveTo>
                                  <a:pt x="55458" y="73944"/>
                                </a:moveTo>
                                <a:lnTo>
                                  <a:pt x="0" y="73944"/>
                                </a:lnTo>
                                <a:lnTo>
                                  <a:pt x="0" y="0"/>
                                </a:lnTo>
                                <a:lnTo>
                                  <a:pt x="55458" y="0"/>
                                </a:lnTo>
                                <a:lnTo>
                                  <a:pt x="55458" y="73944"/>
                                </a:lnTo>
                                <a:close/>
                              </a:path>
                            </a:pathLst>
                          </a:custGeom>
                          <a:solidFill>
                            <a:srgbClr val="0000C0"/>
                          </a:solidFill>
                        </wps:spPr>
                        <wps:bodyPr wrap="square" lIns="0" tIns="0" rIns="0" bIns="0" rtlCol="0">
                          <a:prstTxWarp prst="textNoShape">
                            <a:avLst/>
                          </a:prstTxWarp>
                          <a:noAutofit/>
                        </wps:bodyPr>
                      </wps:wsp>
                      <wps:wsp>
                        <wps:cNvPr id="1739" name="Graphic 1739"/>
                        <wps:cNvSpPr/>
                        <wps:spPr>
                          <a:xfrm>
                            <a:off x="1033911" y="116199"/>
                            <a:ext cx="942975" cy="1270"/>
                          </a:xfrm>
                          <a:custGeom>
                            <a:avLst/>
                            <a:gdLst/>
                            <a:ahLst/>
                            <a:cxnLst/>
                            <a:rect l="l" t="t" r="r" b="b"/>
                            <a:pathLst>
                              <a:path w="942975">
                                <a:moveTo>
                                  <a:pt x="0" y="0"/>
                                </a:moveTo>
                                <a:lnTo>
                                  <a:pt x="942794" y="0"/>
                                </a:lnTo>
                              </a:path>
                            </a:pathLst>
                          </a:custGeom>
                          <a:ln w="10563">
                            <a:solidFill>
                              <a:srgbClr val="000000"/>
                            </a:solidFill>
                            <a:prstDash val="solid"/>
                          </a:ln>
                        </wps:spPr>
                        <wps:bodyPr wrap="square" lIns="0" tIns="0" rIns="0" bIns="0" rtlCol="0">
                          <a:prstTxWarp prst="textNoShape">
                            <a:avLst/>
                          </a:prstTxWarp>
                          <a:noAutofit/>
                        </wps:bodyPr>
                      </wps:wsp>
                      <wps:wsp>
                        <wps:cNvPr id="1740" name="Graphic 1740"/>
                        <wps:cNvSpPr/>
                        <wps:spPr>
                          <a:xfrm>
                            <a:off x="1033911" y="73945"/>
                            <a:ext cx="1270" cy="85090"/>
                          </a:xfrm>
                          <a:custGeom>
                            <a:avLst/>
                            <a:gdLst/>
                            <a:ahLst/>
                            <a:cxnLst/>
                            <a:rect l="l" t="t" r="r" b="b"/>
                            <a:pathLst>
                              <a:path h="85090">
                                <a:moveTo>
                                  <a:pt x="0" y="0"/>
                                </a:moveTo>
                                <a:lnTo>
                                  <a:pt x="0" y="84508"/>
                                </a:lnTo>
                              </a:path>
                            </a:pathLst>
                          </a:custGeom>
                          <a:ln w="7922">
                            <a:solidFill>
                              <a:srgbClr val="000000"/>
                            </a:solidFill>
                            <a:prstDash val="solid"/>
                          </a:ln>
                        </wps:spPr>
                        <wps:bodyPr wrap="square" lIns="0" tIns="0" rIns="0" bIns="0" rtlCol="0">
                          <a:prstTxWarp prst="textNoShape">
                            <a:avLst/>
                          </a:prstTxWarp>
                          <a:noAutofit/>
                        </wps:bodyPr>
                      </wps:wsp>
                      <wps:wsp>
                        <wps:cNvPr id="1741" name="Graphic 1741"/>
                        <wps:cNvSpPr/>
                        <wps:spPr>
                          <a:xfrm>
                            <a:off x="1222471" y="73945"/>
                            <a:ext cx="1270" cy="85090"/>
                          </a:xfrm>
                          <a:custGeom>
                            <a:avLst/>
                            <a:gdLst/>
                            <a:ahLst/>
                            <a:cxnLst/>
                            <a:rect l="l" t="t" r="r" b="b"/>
                            <a:pathLst>
                              <a:path h="85090">
                                <a:moveTo>
                                  <a:pt x="0" y="0"/>
                                </a:moveTo>
                                <a:lnTo>
                                  <a:pt x="0" y="84508"/>
                                </a:lnTo>
                              </a:path>
                            </a:pathLst>
                          </a:custGeom>
                          <a:ln w="7922">
                            <a:solidFill>
                              <a:srgbClr val="000000"/>
                            </a:solidFill>
                            <a:prstDash val="solid"/>
                          </a:ln>
                        </wps:spPr>
                        <wps:bodyPr wrap="square" lIns="0" tIns="0" rIns="0" bIns="0" rtlCol="0">
                          <a:prstTxWarp prst="textNoShape">
                            <a:avLst/>
                          </a:prstTxWarp>
                          <a:noAutofit/>
                        </wps:bodyPr>
                      </wps:wsp>
                      <wps:wsp>
                        <wps:cNvPr id="1742" name="Graphic 1742"/>
                        <wps:cNvSpPr/>
                        <wps:spPr>
                          <a:xfrm>
                            <a:off x="1411031" y="73945"/>
                            <a:ext cx="1270" cy="85090"/>
                          </a:xfrm>
                          <a:custGeom>
                            <a:avLst/>
                            <a:gdLst/>
                            <a:ahLst/>
                            <a:cxnLst/>
                            <a:rect l="l" t="t" r="r" b="b"/>
                            <a:pathLst>
                              <a:path h="85090">
                                <a:moveTo>
                                  <a:pt x="0" y="0"/>
                                </a:moveTo>
                                <a:lnTo>
                                  <a:pt x="0" y="84508"/>
                                </a:lnTo>
                              </a:path>
                            </a:pathLst>
                          </a:custGeom>
                          <a:ln w="7922">
                            <a:solidFill>
                              <a:srgbClr val="000000"/>
                            </a:solidFill>
                            <a:prstDash val="solid"/>
                          </a:ln>
                        </wps:spPr>
                        <wps:bodyPr wrap="square" lIns="0" tIns="0" rIns="0" bIns="0" rtlCol="0">
                          <a:prstTxWarp prst="textNoShape">
                            <a:avLst/>
                          </a:prstTxWarp>
                          <a:noAutofit/>
                        </wps:bodyPr>
                      </wps:wsp>
                      <wps:wsp>
                        <wps:cNvPr id="1743" name="Graphic 1743"/>
                        <wps:cNvSpPr/>
                        <wps:spPr>
                          <a:xfrm>
                            <a:off x="1599194" y="73945"/>
                            <a:ext cx="1270" cy="85090"/>
                          </a:xfrm>
                          <a:custGeom>
                            <a:avLst/>
                            <a:gdLst/>
                            <a:ahLst/>
                            <a:cxnLst/>
                            <a:rect l="l" t="t" r="r" b="b"/>
                            <a:pathLst>
                              <a:path h="85090">
                                <a:moveTo>
                                  <a:pt x="0" y="0"/>
                                </a:moveTo>
                                <a:lnTo>
                                  <a:pt x="0" y="84508"/>
                                </a:lnTo>
                              </a:path>
                            </a:pathLst>
                          </a:custGeom>
                          <a:ln w="7922">
                            <a:solidFill>
                              <a:srgbClr val="000000"/>
                            </a:solidFill>
                            <a:prstDash val="solid"/>
                          </a:ln>
                        </wps:spPr>
                        <wps:bodyPr wrap="square" lIns="0" tIns="0" rIns="0" bIns="0" rtlCol="0">
                          <a:prstTxWarp prst="textNoShape">
                            <a:avLst/>
                          </a:prstTxWarp>
                          <a:noAutofit/>
                        </wps:bodyPr>
                      </wps:wsp>
                      <wps:wsp>
                        <wps:cNvPr id="1744" name="Graphic 1744"/>
                        <wps:cNvSpPr/>
                        <wps:spPr>
                          <a:xfrm>
                            <a:off x="1788149" y="73945"/>
                            <a:ext cx="1270" cy="85090"/>
                          </a:xfrm>
                          <a:custGeom>
                            <a:avLst/>
                            <a:gdLst/>
                            <a:ahLst/>
                            <a:cxnLst/>
                            <a:rect l="l" t="t" r="r" b="b"/>
                            <a:pathLst>
                              <a:path h="85090">
                                <a:moveTo>
                                  <a:pt x="0" y="0"/>
                                </a:moveTo>
                                <a:lnTo>
                                  <a:pt x="0" y="84508"/>
                                </a:lnTo>
                              </a:path>
                            </a:pathLst>
                          </a:custGeom>
                          <a:ln w="7922">
                            <a:solidFill>
                              <a:srgbClr val="000000"/>
                            </a:solidFill>
                            <a:prstDash val="solid"/>
                          </a:ln>
                        </wps:spPr>
                        <wps:bodyPr wrap="square" lIns="0" tIns="0" rIns="0" bIns="0" rtlCol="0">
                          <a:prstTxWarp prst="textNoShape">
                            <a:avLst/>
                          </a:prstTxWarp>
                          <a:noAutofit/>
                        </wps:bodyPr>
                      </wps:wsp>
                      <wps:wsp>
                        <wps:cNvPr id="1745" name="Graphic 1745"/>
                        <wps:cNvSpPr/>
                        <wps:spPr>
                          <a:xfrm>
                            <a:off x="1976708" y="73945"/>
                            <a:ext cx="1270" cy="85090"/>
                          </a:xfrm>
                          <a:custGeom>
                            <a:avLst/>
                            <a:gdLst/>
                            <a:ahLst/>
                            <a:cxnLst/>
                            <a:rect l="l" t="t" r="r" b="b"/>
                            <a:pathLst>
                              <a:path h="85090">
                                <a:moveTo>
                                  <a:pt x="0" y="0"/>
                                </a:moveTo>
                                <a:lnTo>
                                  <a:pt x="0" y="84508"/>
                                </a:lnTo>
                              </a:path>
                            </a:pathLst>
                          </a:custGeom>
                          <a:ln w="792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2BA7F0" id="Group 1727" o:spid="_x0000_s1026" style="position:absolute;margin-left:361.9pt;margin-top:-12.3pt;width:158.8pt;height:12.5pt;z-index:16025088;mso-wrap-distance-left:0;mso-wrap-distance-right:0;mso-position-horizontal-relative:page" coordsize="20167,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">
                <v:shape id="Graphic 1728" o:spid="_x0000_s1027" style="position:absolute;left:8619;top:316;width:692;height:13;visibility:visible;mso-wrap-style:square;v-text-anchor:top" coordsize="69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" path="m,l68926,e" filled="f" strokeweight=".29342mm">
                  <v:path arrowok="t"/>
                </v:shape>
                <v:shape id="Graphic 1729" o:spid="_x0000_s1028" style="position:absolute;left:9309;width:558;height:742;visibility:visible;mso-wrap-style:square;v-text-anchor:top" coordsize="5588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" path="m55458,73944l,73944,,,55458,r,73944xe" fillcolor="#0000c0" stroked="f">
                  <v:path arrowok="t"/>
                </v:shape>
                <v:shape id="Graphic 1730" o:spid="_x0000_s1029" style="position:absolute;left:39;top:1161;width:9430;height:13;visibility:visible;mso-wrap-style:square;v-text-anchor:top" coordsize="942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" path="m,l942794,e" filled="f" strokeweight=".29342mm">
                  <v:path arrowok="t"/>
                </v:shape>
                <v:shape id="Graphic 1731" o:spid="_x0000_s1030" style="position:absolute;left:39;top:739;width:13;height:851;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" path="m,l,84508e" filled="f" strokeweight=".22006mm">
                  <v:path arrowok="t"/>
                </v:shape>
                <v:shape id="Graphic 1732" o:spid="_x0000_s1031" style="position:absolute;left:1925;top:739;width:12;height:851;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" path="m,l,84508e" filled="f" strokeweight=".22006mm">
                  <v:path arrowok="t"/>
                </v:shape>
                <v:shape id="Graphic 1733" o:spid="_x0000_s1032" style="position:absolute;left:3810;top:739;width:13;height:851;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" path="m,l,84508e" filled="f" strokeweight=".22006mm">
                  <v:path arrowok="t"/>
                </v:shape>
                <v:shape id="Graphic 1734" o:spid="_x0000_s1033" style="position:absolute;left:5692;top:739;width:13;height:851;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" path="m,l,84508e" filled="f" strokeweight=".22006mm">
                  <v:path arrowok="t"/>
                </v:shape>
                <v:shape id="Graphic 1735" o:spid="_x0000_s1034" style="position:absolute;left:7581;top:739;width:13;height:851;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" path="m,l,84508e" filled="f" strokeweight=".22006mm">
                  <v:path arrowok="t"/>
                </v:shape>
                <v:shape id="Graphic 1736" o:spid="_x0000_s1035" style="position:absolute;left:9467;top:739;width:13;height:851;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" path="m,l,84508e" filled="f" strokeweight=".22006mm">
                  <v:path arrowok="t"/>
                </v:shape>
                <v:shape id="Graphic 1737" o:spid="_x0000_s1036" style="position:absolute;left:17136;top:316;width:2477;height:13;visibility:visible;mso-wrap-style:square;v-text-anchor:top" coordsize="247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" path="m,l247186,e" filled="f" strokeweight=".29342mm">
                  <v:path arrowok="t"/>
                </v:shape>
                <v:shape id="Graphic 1738" o:spid="_x0000_s1037" style="position:absolute;left:19608;width:559;height:742;visibility:visible;mso-wrap-style:square;v-text-anchor:top" coordsize="5588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" path="m55458,73944l,73944,,,55458,r,73944xe" fillcolor="#0000c0" stroked="f">
                  <v:path arrowok="t"/>
                </v:shape>
                <v:shape id="Graphic 1739" o:spid="_x0000_s1038" style="position:absolute;left:10339;top:1161;width:9429;height:13;visibility:visible;mso-wrap-style:square;v-text-anchor:top" coordsize="942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" path="m,l942794,e" filled="f" strokeweight=".29342mm">
                  <v:path arrowok="t"/>
                </v:shape>
                <v:shape id="Graphic 1740" o:spid="_x0000_s1039" style="position:absolute;left:10339;top:739;width:12;height:851;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" path="m,l,84508e" filled="f" strokeweight=".22006mm">
                  <v:path arrowok="t"/>
                </v:shape>
                <v:shape id="Graphic 1741" o:spid="_x0000_s1040" style="position:absolute;left:12224;top:739;width:13;height:851;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" path="m,l,84508e" filled="f" strokeweight=".22006mm">
                  <v:path arrowok="t"/>
                </v:shape>
                <v:shape id="Graphic 1742" o:spid="_x0000_s1041" style="position:absolute;left:14110;top:739;width:13;height:851;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" path="m,l,84508e" filled="f" strokeweight=".22006mm">
                  <v:path arrowok="t"/>
                </v:shape>
                <v:shape id="Graphic 1743" o:spid="_x0000_s1042" style="position:absolute;left:15991;top:739;width:13;height:851;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" path="m,l,84508e" filled="f" strokeweight=".22006mm">
                  <v:path arrowok="t"/>
                </v:shape>
                <v:shape id="Graphic 1744" o:spid="_x0000_s1043" style="position:absolute;left:17881;top:739;width:13;height:851;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" path="m,l,84508e" filled="f" strokeweight=".22006mm">
                  <v:path arrowok="t"/>
                </v:shape>
                <v:shape id="Graphic 1745" o:spid="_x0000_s1044" style="position:absolute;left:19767;top:739;width:12;height:851;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" path="m,l,84508e" filled="f" strokeweight=".22006mm">
                  <v:path arrowok="t"/>
                </v:shape>
                <w10:wrap anchorx="page"/>
              </v:group>
            </w:pict>
          </mc:Fallback>
        </mc:AlternateContent>
      </w:r>
      <w:r w:rsidRPr="003C6DAE">
        <w:rPr>
          <w:rFonts w:ascii="Trebuchet MS"/>
          <w:w w:val="75"/>
          <w:sz w:val="20"/>
          <w:lang w:val="uk-UA"/>
        </w:rPr>
        <w:t>0</w:t>
      </w:r>
      <w:r w:rsidRPr="003C6DAE">
        <w:rPr>
          <w:rFonts w:ascii="Trebuchet MS"/>
          <w:spacing w:val="43"/>
          <w:sz w:val="20"/>
          <w:lang w:val="uk-UA"/>
        </w:rPr>
        <w:t xml:space="preserve"> </w:t>
      </w:r>
      <w:r w:rsidRPr="003C6DAE">
        <w:rPr>
          <w:rFonts w:ascii="Trebuchet MS"/>
          <w:w w:val="75"/>
          <w:sz w:val="20"/>
          <w:lang w:val="uk-UA"/>
        </w:rPr>
        <w:t>0.2</w:t>
      </w:r>
      <w:r w:rsidRPr="003C6DAE">
        <w:rPr>
          <w:rFonts w:ascii="Trebuchet MS"/>
          <w:spacing w:val="25"/>
          <w:sz w:val="20"/>
          <w:lang w:val="uk-UA"/>
        </w:rPr>
        <w:t xml:space="preserve"> </w:t>
      </w:r>
      <w:r w:rsidRPr="003C6DAE">
        <w:rPr>
          <w:rFonts w:ascii="Trebuchet MS"/>
          <w:w w:val="75"/>
          <w:sz w:val="20"/>
          <w:lang w:val="uk-UA"/>
        </w:rPr>
        <w:t>0.4</w:t>
      </w:r>
      <w:r w:rsidRPr="003C6DAE">
        <w:rPr>
          <w:rFonts w:ascii="Trebuchet MS"/>
          <w:spacing w:val="25"/>
          <w:sz w:val="20"/>
          <w:lang w:val="uk-UA"/>
        </w:rPr>
        <w:t xml:space="preserve"> </w:t>
      </w:r>
      <w:r w:rsidRPr="003C6DAE">
        <w:rPr>
          <w:rFonts w:ascii="Trebuchet MS"/>
          <w:w w:val="75"/>
          <w:sz w:val="20"/>
          <w:lang w:val="uk-UA"/>
        </w:rPr>
        <w:t>0.6</w:t>
      </w:r>
      <w:r w:rsidRPr="003C6DAE">
        <w:rPr>
          <w:rFonts w:ascii="Trebuchet MS"/>
          <w:spacing w:val="25"/>
          <w:sz w:val="20"/>
          <w:lang w:val="uk-UA"/>
        </w:rPr>
        <w:t xml:space="preserve"> </w:t>
      </w:r>
      <w:r w:rsidRPr="003C6DAE">
        <w:rPr>
          <w:rFonts w:ascii="Trebuchet MS"/>
          <w:w w:val="75"/>
          <w:sz w:val="20"/>
          <w:lang w:val="uk-UA"/>
        </w:rPr>
        <w:t>0.8</w:t>
      </w:r>
      <w:r w:rsidRPr="003C6DAE">
        <w:rPr>
          <w:rFonts w:ascii="Trebuchet MS"/>
          <w:spacing w:val="44"/>
          <w:sz w:val="20"/>
          <w:lang w:val="uk-UA"/>
        </w:rPr>
        <w:t xml:space="preserve"> </w:t>
      </w:r>
      <w:r w:rsidRPr="003C6DAE">
        <w:rPr>
          <w:rFonts w:ascii="Trebuchet MS"/>
          <w:spacing w:val="-12"/>
          <w:w w:val="75"/>
          <w:sz w:val="20"/>
          <w:lang w:val="uk-UA"/>
        </w:rPr>
        <w:t>1</w:t>
      </w:r>
    </w:p>
    <w:p w14:paraId="6311EB85" w14:textId="77777777" w:rsidR="00E05B98" w:rsidRPr="003C6DAE" w:rsidRDefault="00B01E0C">
      <w:pPr>
        <w:spacing w:before="106"/>
        <w:ind w:left="184"/>
        <w:rPr>
          <w:rFonts w:ascii="Trebuchet MS"/>
          <w:sz w:val="20"/>
          <w:lang w:val="uk-UA"/>
        </w:rPr>
      </w:pPr>
      <w:r w:rsidRPr="003C6DAE">
        <w:rPr>
          <w:lang w:val="uk-UA"/>
        </w:rPr>
        <w:br w:type="column"/>
      </w:r>
      <w:r w:rsidRPr="003C6DAE">
        <w:rPr>
          <w:rFonts w:ascii="Trebuchet MS"/>
          <w:color w:val="333333"/>
          <w:w w:val="70"/>
          <w:sz w:val="20"/>
          <w:lang w:val="uk-UA"/>
        </w:rPr>
        <w:t>S</w:t>
      </w:r>
      <w:r w:rsidRPr="003C6DAE">
        <w:rPr>
          <w:rFonts w:ascii="Trebuchet MS"/>
          <w:color w:val="333333"/>
          <w:spacing w:val="-3"/>
          <w:w w:val="70"/>
          <w:sz w:val="20"/>
          <w:lang w:val="uk-UA"/>
        </w:rPr>
        <w:t xml:space="preserve"> </w:t>
      </w:r>
      <w:proofErr w:type="spellStart"/>
      <w:r w:rsidRPr="003C6DAE">
        <w:rPr>
          <w:rFonts w:ascii="Trebuchet MS"/>
          <w:color w:val="333333"/>
          <w:w w:val="70"/>
          <w:sz w:val="20"/>
          <w:lang w:val="uk-UA"/>
        </w:rPr>
        <w:t>pecificity</w:t>
      </w:r>
      <w:proofErr w:type="spellEnd"/>
      <w:r w:rsidRPr="003C6DAE">
        <w:rPr>
          <w:rFonts w:ascii="Trebuchet MS"/>
          <w:color w:val="333333"/>
          <w:spacing w:val="25"/>
          <w:sz w:val="20"/>
          <w:lang w:val="uk-UA"/>
        </w:rPr>
        <w:t xml:space="preserve"> </w:t>
      </w:r>
      <w:r w:rsidRPr="003C6DAE">
        <w:rPr>
          <w:rFonts w:ascii="Trebuchet MS"/>
          <w:color w:val="333333"/>
          <w:w w:val="70"/>
          <w:sz w:val="20"/>
          <w:lang w:val="uk-UA"/>
        </w:rPr>
        <w:t>(95%</w:t>
      </w:r>
      <w:r w:rsidRPr="003C6DAE">
        <w:rPr>
          <w:rFonts w:ascii="Trebuchet MS"/>
          <w:color w:val="333333"/>
          <w:spacing w:val="28"/>
          <w:sz w:val="20"/>
          <w:lang w:val="uk-UA"/>
        </w:rPr>
        <w:t xml:space="preserve"> </w:t>
      </w:r>
      <w:r w:rsidRPr="003C6DAE">
        <w:rPr>
          <w:rFonts w:ascii="Trebuchet MS"/>
          <w:color w:val="333333"/>
          <w:w w:val="70"/>
          <w:sz w:val="20"/>
          <w:lang w:val="uk-UA"/>
        </w:rPr>
        <w:t>C</w:t>
      </w:r>
      <w:r w:rsidRPr="003C6DAE">
        <w:rPr>
          <w:rFonts w:ascii="Trebuchet MS"/>
          <w:color w:val="333333"/>
          <w:spacing w:val="-10"/>
          <w:w w:val="70"/>
          <w:sz w:val="20"/>
          <w:lang w:val="uk-UA"/>
        </w:rPr>
        <w:t xml:space="preserve"> </w:t>
      </w:r>
      <w:r w:rsidRPr="003C6DAE">
        <w:rPr>
          <w:rFonts w:ascii="Trebuchet MS"/>
          <w:color w:val="333333"/>
          <w:spacing w:val="-5"/>
          <w:w w:val="70"/>
          <w:sz w:val="20"/>
          <w:lang w:val="uk-UA"/>
        </w:rPr>
        <w:t>I)</w:t>
      </w:r>
    </w:p>
    <w:p w14:paraId="41852642" w14:textId="77777777" w:rsidR="00E05B98" w:rsidRPr="003C6DAE" w:rsidRDefault="00B01E0C">
      <w:pPr>
        <w:pStyle w:val="a3"/>
        <w:spacing w:before="6"/>
        <w:rPr>
          <w:rFonts w:ascii="Trebuchet MS"/>
          <w:sz w:val="5"/>
          <w:lang w:val="uk-UA"/>
        </w:rPr>
      </w:pPr>
      <w:r w:rsidRPr="003C6DAE">
        <w:rPr>
          <w:rFonts w:ascii="Trebuchet MS"/>
          <w:noProof/>
          <w:sz w:val="5"/>
          <w:lang w:val="uk-UA"/>
        </w:rPr>
        <mc:AlternateContent>
          <mc:Choice Requires="wpg">
            <w:drawing>
              <wp:anchor distT="0" distB="0" distL="0" distR="0" simplePos="0" relativeHeight="487880704" behindDoc="1" locked="0" layoutInCell="1" allowOverlap="1" wp14:anchorId="0A7511B3" wp14:editId="59D2BCB9">
                <wp:simplePos x="0" y="0"/>
                <wp:positionH relativeFrom="page">
                  <wp:posOffset>6484917</wp:posOffset>
                </wp:positionH>
                <wp:positionV relativeFrom="paragraph">
                  <wp:posOffset>56250</wp:posOffset>
                </wp:positionV>
                <wp:extent cx="100330" cy="74295"/>
                <wp:effectExtent l="0" t="0" r="0" b="0"/>
                <wp:wrapTopAndBottom/>
                <wp:docPr id="1746" name="Group 1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74295"/>
                          <a:chOff x="0" y="0"/>
                          <a:chExt cx="100330" cy="74295"/>
                        </a:xfrm>
                      </wpg:grpSpPr>
                      <wps:wsp>
                        <wps:cNvPr id="1747" name="Graphic 1747"/>
                        <wps:cNvSpPr/>
                        <wps:spPr>
                          <a:xfrm>
                            <a:off x="0" y="31690"/>
                            <a:ext cx="44450" cy="1270"/>
                          </a:xfrm>
                          <a:custGeom>
                            <a:avLst/>
                            <a:gdLst/>
                            <a:ahLst/>
                            <a:cxnLst/>
                            <a:rect l="l" t="t" r="r" b="b"/>
                            <a:pathLst>
                              <a:path w="44450">
                                <a:moveTo>
                                  <a:pt x="0" y="0"/>
                                </a:moveTo>
                                <a:lnTo>
                                  <a:pt x="44367" y="0"/>
                                </a:lnTo>
                              </a:path>
                            </a:pathLst>
                          </a:custGeom>
                          <a:ln w="10563">
                            <a:solidFill>
                              <a:srgbClr val="000000"/>
                            </a:solidFill>
                            <a:prstDash val="solid"/>
                          </a:ln>
                        </wps:spPr>
                        <wps:bodyPr wrap="square" lIns="0" tIns="0" rIns="0" bIns="0" rtlCol="0">
                          <a:prstTxWarp prst="textNoShape">
                            <a:avLst/>
                          </a:prstTxWarp>
                          <a:noAutofit/>
                        </wps:bodyPr>
                      </wps:wsp>
                      <wps:wsp>
                        <wps:cNvPr id="1748" name="Graphic 1748"/>
                        <wps:cNvSpPr/>
                        <wps:spPr>
                          <a:xfrm>
                            <a:off x="44367" y="0"/>
                            <a:ext cx="55880" cy="74295"/>
                          </a:xfrm>
                          <a:custGeom>
                            <a:avLst/>
                            <a:gdLst/>
                            <a:ahLst/>
                            <a:cxnLst/>
                            <a:rect l="l" t="t" r="r" b="b"/>
                            <a:pathLst>
                              <a:path w="55880" h="74295">
                                <a:moveTo>
                                  <a:pt x="55458" y="73944"/>
                                </a:moveTo>
                                <a:lnTo>
                                  <a:pt x="0" y="73944"/>
                                </a:lnTo>
                                <a:lnTo>
                                  <a:pt x="0" y="0"/>
                                </a:lnTo>
                                <a:lnTo>
                                  <a:pt x="55458" y="0"/>
                                </a:lnTo>
                                <a:lnTo>
                                  <a:pt x="55458" y="7394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7B2842B" id="Group 1746" o:spid="_x0000_s1026" style="position:absolute;margin-left:510.6pt;margin-top:4.45pt;width:7.9pt;height:5.85pt;z-index:-15435776;mso-wrap-distance-left:0;mso-wrap-distance-right:0;mso-position-horizontal-relative:page" coordsize="10033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">
                <v:shape id="Graphic 1747" o:spid="_x0000_s1027" style="position:absolute;top:31690;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" path="m,l44367,e" filled="f" strokeweight=".29342mm">
                  <v:path arrowok="t"/>
                </v:shape>
                <v:shape id="Graphic 1748" o:spid="_x0000_s1028" style="position:absolute;left:44367;width:55880;height:74295;visibility:visible;mso-wrap-style:square;v-text-anchor:top" coordsize="5588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" path="m55458,73944l,73944,,,55458,r,73944xe" fillcolor="#0000c0" stroked="f">
                  <v:path arrowok="t"/>
                </v:shape>
                <w10:wrap type="topAndBottom" anchorx="page"/>
              </v:group>
            </w:pict>
          </mc:Fallback>
        </mc:AlternateContent>
      </w:r>
      <w:r w:rsidRPr="003C6DAE">
        <w:rPr>
          <w:rFonts w:ascii="Trebuchet MS"/>
          <w:noProof/>
          <w:sz w:val="5"/>
          <w:lang w:val="uk-UA"/>
        </w:rPr>
        <mc:AlternateContent>
          <mc:Choice Requires="wps">
            <w:drawing>
              <wp:anchor distT="0" distB="0" distL="0" distR="0" simplePos="0" relativeHeight="487881216" behindDoc="1" locked="0" layoutInCell="1" allowOverlap="1" wp14:anchorId="28CE8DED" wp14:editId="049EDA41">
                <wp:simplePos x="0" y="0"/>
                <wp:positionH relativeFrom="page">
                  <wp:posOffset>6539188</wp:posOffset>
                </wp:positionH>
                <wp:positionV relativeFrom="paragraph">
                  <wp:posOffset>225265</wp:posOffset>
                </wp:positionV>
                <wp:extent cx="55880" cy="74295"/>
                <wp:effectExtent l="0" t="0" r="0" b="0"/>
                <wp:wrapTopAndBottom/>
                <wp:docPr id="1749" name="Graphic 1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74295"/>
                        </a:xfrm>
                        <a:custGeom>
                          <a:avLst/>
                          <a:gdLst/>
                          <a:ahLst/>
                          <a:cxnLst/>
                          <a:rect l="l" t="t" r="r" b="b"/>
                          <a:pathLst>
                            <a:path w="55880" h="74295">
                              <a:moveTo>
                                <a:pt x="55458" y="73944"/>
                              </a:moveTo>
                              <a:lnTo>
                                <a:pt x="0" y="73944"/>
                              </a:lnTo>
                              <a:lnTo>
                                <a:pt x="0" y="0"/>
                              </a:lnTo>
                              <a:lnTo>
                                <a:pt x="55458" y="0"/>
                              </a:lnTo>
                              <a:lnTo>
                                <a:pt x="55458" y="73944"/>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413FA493" id="Graphic 1749" o:spid="_x0000_s1026" style="position:absolute;margin-left:514.9pt;margin-top:17.75pt;width:4.4pt;height:5.85pt;z-index:-15435264;visibility:visible;mso-wrap-style:square;mso-wrap-distance-left:0;mso-wrap-distance-top:0;mso-wrap-distance-right:0;mso-wrap-distance-bottom:0;mso-position-horizontal:absolute;mso-position-horizontal-relative:page;mso-position-vertical:absolute;mso-position-vertical-relative:text;v-text-anchor:top" coordsize="5588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" path="m55458,73944l,73944,,,55458,r,73944xe" fillcolor="#0000c0" stroked="f">
                <v:path arrowok="t"/>
                <w10:wrap type="topAndBottom" anchorx="page"/>
              </v:shape>
            </w:pict>
          </mc:Fallback>
        </mc:AlternateContent>
      </w:r>
      <w:r w:rsidRPr="003C6DAE">
        <w:rPr>
          <w:rFonts w:ascii="Trebuchet MS"/>
          <w:noProof/>
          <w:sz w:val="5"/>
          <w:lang w:val="uk-UA"/>
        </w:rPr>
        <mc:AlternateContent>
          <mc:Choice Requires="wps">
            <w:drawing>
              <wp:anchor distT="0" distB="0" distL="0" distR="0" simplePos="0" relativeHeight="487881728" behindDoc="1" locked="0" layoutInCell="1" allowOverlap="1" wp14:anchorId="60DF9482" wp14:editId="5D27A94E">
                <wp:simplePos x="0" y="0"/>
                <wp:positionH relativeFrom="page">
                  <wp:posOffset>6552658</wp:posOffset>
                </wp:positionH>
                <wp:positionV relativeFrom="paragraph">
                  <wp:posOffset>394283</wp:posOffset>
                </wp:positionV>
                <wp:extent cx="55880" cy="74295"/>
                <wp:effectExtent l="0" t="0" r="0" b="0"/>
                <wp:wrapTopAndBottom/>
                <wp:docPr id="1750" name="Graphic 1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74295"/>
                        </a:xfrm>
                        <a:custGeom>
                          <a:avLst/>
                          <a:gdLst/>
                          <a:ahLst/>
                          <a:cxnLst/>
                          <a:rect l="l" t="t" r="r" b="b"/>
                          <a:pathLst>
                            <a:path w="55880" h="74295">
                              <a:moveTo>
                                <a:pt x="55458" y="73944"/>
                              </a:moveTo>
                              <a:lnTo>
                                <a:pt x="0" y="73944"/>
                              </a:lnTo>
                              <a:lnTo>
                                <a:pt x="0" y="0"/>
                              </a:lnTo>
                              <a:lnTo>
                                <a:pt x="55458" y="0"/>
                              </a:lnTo>
                              <a:lnTo>
                                <a:pt x="55458" y="73944"/>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6FDF9DBC" id="Graphic 1750" o:spid="_x0000_s1026" style="position:absolute;margin-left:515.95pt;margin-top:31.05pt;width:4.4pt;height:5.85pt;z-index:-15434752;visibility:visible;mso-wrap-style:square;mso-wrap-distance-left:0;mso-wrap-distance-top:0;mso-wrap-distance-right:0;mso-wrap-distance-bottom:0;mso-position-horizontal:absolute;mso-position-horizontal-relative:page;mso-position-vertical:absolute;mso-position-vertical-relative:text;v-text-anchor:top" coordsize="5588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" path="m55458,73944l,73944,,,55458,r,73944xe" fillcolor="#0000c0" stroked="f">
                <v:path arrowok="t"/>
                <w10:wrap type="topAndBottom" anchorx="page"/>
              </v:shape>
            </w:pict>
          </mc:Fallback>
        </mc:AlternateContent>
      </w:r>
      <w:r w:rsidRPr="003C6DAE">
        <w:rPr>
          <w:rFonts w:ascii="Trebuchet MS"/>
          <w:noProof/>
          <w:sz w:val="5"/>
          <w:lang w:val="uk-UA"/>
        </w:rPr>
        <mc:AlternateContent>
          <mc:Choice Requires="wpg">
            <w:drawing>
              <wp:anchor distT="0" distB="0" distL="0" distR="0" simplePos="0" relativeHeight="487882240" behindDoc="1" locked="0" layoutInCell="1" allowOverlap="1" wp14:anchorId="537416B6" wp14:editId="5597104B">
                <wp:simplePos x="0" y="0"/>
                <wp:positionH relativeFrom="page">
                  <wp:posOffset>6541171</wp:posOffset>
                </wp:positionH>
                <wp:positionV relativeFrom="paragraph">
                  <wp:posOffset>563298</wp:posOffset>
                </wp:positionV>
                <wp:extent cx="71755" cy="74295"/>
                <wp:effectExtent l="0" t="0" r="0" b="0"/>
                <wp:wrapTopAndBottom/>
                <wp:docPr id="1751" name="Group 1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74295"/>
                          <a:chOff x="0" y="0"/>
                          <a:chExt cx="71755" cy="74295"/>
                        </a:xfrm>
                      </wpg:grpSpPr>
                      <wps:wsp>
                        <wps:cNvPr id="1752" name="Graphic 1752"/>
                        <wps:cNvSpPr/>
                        <wps:spPr>
                          <a:xfrm>
                            <a:off x="0" y="31691"/>
                            <a:ext cx="15875" cy="1270"/>
                          </a:xfrm>
                          <a:custGeom>
                            <a:avLst/>
                            <a:gdLst/>
                            <a:ahLst/>
                            <a:cxnLst/>
                            <a:rect l="l" t="t" r="r" b="b"/>
                            <a:pathLst>
                              <a:path w="15875">
                                <a:moveTo>
                                  <a:pt x="0" y="0"/>
                                </a:moveTo>
                                <a:lnTo>
                                  <a:pt x="15845" y="0"/>
                                </a:lnTo>
                              </a:path>
                            </a:pathLst>
                          </a:custGeom>
                          <a:ln w="10563">
                            <a:solidFill>
                              <a:srgbClr val="000000"/>
                            </a:solidFill>
                            <a:prstDash val="solid"/>
                          </a:ln>
                        </wps:spPr>
                        <wps:bodyPr wrap="square" lIns="0" tIns="0" rIns="0" bIns="0" rtlCol="0">
                          <a:prstTxWarp prst="textNoShape">
                            <a:avLst/>
                          </a:prstTxWarp>
                          <a:noAutofit/>
                        </wps:bodyPr>
                      </wps:wsp>
                      <wps:wsp>
                        <wps:cNvPr id="1753" name="Graphic 1753"/>
                        <wps:cNvSpPr/>
                        <wps:spPr>
                          <a:xfrm>
                            <a:off x="15845" y="0"/>
                            <a:ext cx="55880" cy="74295"/>
                          </a:xfrm>
                          <a:custGeom>
                            <a:avLst/>
                            <a:gdLst/>
                            <a:ahLst/>
                            <a:cxnLst/>
                            <a:rect l="l" t="t" r="r" b="b"/>
                            <a:pathLst>
                              <a:path w="55880" h="74295">
                                <a:moveTo>
                                  <a:pt x="55458" y="73944"/>
                                </a:moveTo>
                                <a:lnTo>
                                  <a:pt x="0" y="73944"/>
                                </a:lnTo>
                                <a:lnTo>
                                  <a:pt x="0" y="0"/>
                                </a:lnTo>
                                <a:lnTo>
                                  <a:pt x="55458" y="0"/>
                                </a:lnTo>
                                <a:lnTo>
                                  <a:pt x="55458" y="7394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B93C0EB" id="Group 1751" o:spid="_x0000_s1026" style="position:absolute;margin-left:515.05pt;margin-top:44.35pt;width:5.65pt;height:5.85pt;z-index:-15434240;mso-wrap-distance-left:0;mso-wrap-distance-right:0;mso-position-horizontal-relative:page" coordsize="7175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">
                <v:shape id="Graphic 1752" o:spid="_x0000_s1027" style="position:absolute;top:31691;width:15875;height:1270;visibility:visible;mso-wrap-style:square;v-text-anchor:top" coordsize="1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" path="m,l15845,e" filled="f" strokeweight=".29342mm">
                  <v:path arrowok="t"/>
                </v:shape>
                <v:shape id="Graphic 1753" o:spid="_x0000_s1028" style="position:absolute;left:15845;width:55880;height:74295;visibility:visible;mso-wrap-style:square;v-text-anchor:top" coordsize="5588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" path="m55458,73944l,73944,,,55458,r,73944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82752" behindDoc="1" locked="0" layoutInCell="1" allowOverlap="1" wp14:anchorId="11FB8F18" wp14:editId="1F58E9DC">
                <wp:simplePos x="0" y="0"/>
                <wp:positionH relativeFrom="page">
                  <wp:posOffset>6403713</wp:posOffset>
                </wp:positionH>
                <wp:positionV relativeFrom="paragraph">
                  <wp:posOffset>732314</wp:posOffset>
                </wp:positionV>
                <wp:extent cx="108585" cy="74295"/>
                <wp:effectExtent l="0" t="0" r="0" b="0"/>
                <wp:wrapTopAndBottom/>
                <wp:docPr id="1754" name="Group 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74295"/>
                          <a:chOff x="0" y="0"/>
                          <a:chExt cx="108585" cy="74295"/>
                        </a:xfrm>
                      </wpg:grpSpPr>
                      <wps:wsp>
                        <wps:cNvPr id="1755" name="Graphic 1755"/>
                        <wps:cNvSpPr/>
                        <wps:spPr>
                          <a:xfrm>
                            <a:off x="0" y="31690"/>
                            <a:ext cx="108585" cy="1270"/>
                          </a:xfrm>
                          <a:custGeom>
                            <a:avLst/>
                            <a:gdLst/>
                            <a:ahLst/>
                            <a:cxnLst/>
                            <a:rect l="l" t="t" r="r" b="b"/>
                            <a:pathLst>
                              <a:path w="108585">
                                <a:moveTo>
                                  <a:pt x="0" y="0"/>
                                </a:moveTo>
                                <a:lnTo>
                                  <a:pt x="38425" y="0"/>
                                </a:lnTo>
                              </a:path>
                              <a:path w="108585">
                                <a:moveTo>
                                  <a:pt x="93884" y="0"/>
                                </a:moveTo>
                                <a:lnTo>
                                  <a:pt x="108540" y="0"/>
                                </a:lnTo>
                              </a:path>
                            </a:pathLst>
                          </a:custGeom>
                          <a:ln w="10563">
                            <a:solidFill>
                              <a:srgbClr val="000000"/>
                            </a:solidFill>
                            <a:prstDash val="solid"/>
                          </a:ln>
                        </wps:spPr>
                        <wps:bodyPr wrap="square" lIns="0" tIns="0" rIns="0" bIns="0" rtlCol="0">
                          <a:prstTxWarp prst="textNoShape">
                            <a:avLst/>
                          </a:prstTxWarp>
                          <a:noAutofit/>
                        </wps:bodyPr>
                      </wps:wsp>
                      <wps:wsp>
                        <wps:cNvPr id="1756" name="Graphic 1756"/>
                        <wps:cNvSpPr/>
                        <wps:spPr>
                          <a:xfrm>
                            <a:off x="38425" y="0"/>
                            <a:ext cx="55880" cy="74295"/>
                          </a:xfrm>
                          <a:custGeom>
                            <a:avLst/>
                            <a:gdLst/>
                            <a:ahLst/>
                            <a:cxnLst/>
                            <a:rect l="l" t="t" r="r" b="b"/>
                            <a:pathLst>
                              <a:path w="55880" h="74295">
                                <a:moveTo>
                                  <a:pt x="55458" y="73944"/>
                                </a:moveTo>
                                <a:lnTo>
                                  <a:pt x="0" y="73944"/>
                                </a:lnTo>
                                <a:lnTo>
                                  <a:pt x="0" y="0"/>
                                </a:lnTo>
                                <a:lnTo>
                                  <a:pt x="55458" y="0"/>
                                </a:lnTo>
                                <a:lnTo>
                                  <a:pt x="55458" y="7394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0B15F2F" id="Group 1754" o:spid="_x0000_s1026" style="position:absolute;margin-left:504.25pt;margin-top:57.65pt;width:8.55pt;height:5.85pt;z-index:-15433728;mso-wrap-distance-left:0;mso-wrap-distance-right:0;mso-position-horizontal-relative:page" coordsize="10858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">
                <v:shape id="Graphic 1755" o:spid="_x0000_s1027" style="position:absolute;top:31690;width:108585;height:1270;visibility:visible;mso-wrap-style:square;v-text-anchor:top" coordsize="108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" path="m,l38425,em93884,r14656,e" filled="f" strokeweight=".29342mm">
                  <v:path arrowok="t"/>
                </v:shape>
                <v:shape id="Graphic 1756" o:spid="_x0000_s1028" style="position:absolute;left:38425;width:55880;height:74295;visibility:visible;mso-wrap-style:square;v-text-anchor:top" coordsize="5588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" path="m55458,73944l,73944,,,55458,r,73944xe" fillcolor="#0000c0" stroked="f">
                  <v:path arrowok="t"/>
                </v:shape>
                <w10:wrap type="topAndBottom" anchorx="page"/>
              </v:group>
            </w:pict>
          </mc:Fallback>
        </mc:AlternateContent>
      </w:r>
      <w:r w:rsidRPr="003C6DAE">
        <w:rPr>
          <w:rFonts w:ascii="Trebuchet MS"/>
          <w:noProof/>
          <w:sz w:val="5"/>
          <w:lang w:val="uk-UA"/>
        </w:rPr>
        <mc:AlternateContent>
          <mc:Choice Requires="wps">
            <w:drawing>
              <wp:anchor distT="0" distB="0" distL="0" distR="0" simplePos="0" relativeHeight="487883264" behindDoc="1" locked="0" layoutInCell="1" allowOverlap="1" wp14:anchorId="62727D70" wp14:editId="311063E1">
                <wp:simplePos x="0" y="0"/>
                <wp:positionH relativeFrom="page">
                  <wp:posOffset>6498390</wp:posOffset>
                </wp:positionH>
                <wp:positionV relativeFrom="paragraph">
                  <wp:posOffset>901331</wp:posOffset>
                </wp:positionV>
                <wp:extent cx="55880" cy="74295"/>
                <wp:effectExtent l="0" t="0" r="0" b="0"/>
                <wp:wrapTopAndBottom/>
                <wp:docPr id="1757" name="Graphic 1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74295"/>
                        </a:xfrm>
                        <a:custGeom>
                          <a:avLst/>
                          <a:gdLst/>
                          <a:ahLst/>
                          <a:cxnLst/>
                          <a:rect l="l" t="t" r="r" b="b"/>
                          <a:pathLst>
                            <a:path w="55880" h="74295">
                              <a:moveTo>
                                <a:pt x="55458" y="73944"/>
                              </a:moveTo>
                              <a:lnTo>
                                <a:pt x="0" y="73944"/>
                              </a:lnTo>
                              <a:lnTo>
                                <a:pt x="0" y="0"/>
                              </a:lnTo>
                              <a:lnTo>
                                <a:pt x="55458" y="0"/>
                              </a:lnTo>
                              <a:lnTo>
                                <a:pt x="55458" y="73944"/>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37C2FD5D" id="Graphic 1757" o:spid="_x0000_s1026" style="position:absolute;margin-left:511.7pt;margin-top:70.95pt;width:4.4pt;height:5.85pt;z-index:-15433216;visibility:visible;mso-wrap-style:square;mso-wrap-distance-left:0;mso-wrap-distance-top:0;mso-wrap-distance-right:0;mso-wrap-distance-bottom:0;mso-position-horizontal:absolute;mso-position-horizontal-relative:page;mso-position-vertical:absolute;mso-position-vertical-relative:text;v-text-anchor:top" coordsize="5588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" path="m55458,73944l,73944,,,55458,r,73944xe" fillcolor="#0000c0" stroked="f">
                <v:path arrowok="t"/>
                <w10:wrap type="topAndBottom" anchorx="page"/>
              </v:shape>
            </w:pict>
          </mc:Fallback>
        </mc:AlternateContent>
      </w:r>
      <w:r w:rsidRPr="003C6DAE">
        <w:rPr>
          <w:rFonts w:ascii="Trebuchet MS"/>
          <w:noProof/>
          <w:sz w:val="5"/>
          <w:lang w:val="uk-UA"/>
        </w:rPr>
        <mc:AlternateContent>
          <mc:Choice Requires="wpg">
            <w:drawing>
              <wp:anchor distT="0" distB="0" distL="0" distR="0" simplePos="0" relativeHeight="487883776" behindDoc="1" locked="0" layoutInCell="1" allowOverlap="1" wp14:anchorId="74B2D6F2" wp14:editId="5CD4891A">
                <wp:simplePos x="0" y="0"/>
                <wp:positionH relativeFrom="page">
                  <wp:posOffset>5687112</wp:posOffset>
                </wp:positionH>
                <wp:positionV relativeFrom="paragraph">
                  <wp:posOffset>1070346</wp:posOffset>
                </wp:positionV>
                <wp:extent cx="522605" cy="74295"/>
                <wp:effectExtent l="0" t="0" r="0" b="0"/>
                <wp:wrapTopAndBottom/>
                <wp:docPr id="1758"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 cy="74295"/>
                          <a:chOff x="0" y="0"/>
                          <a:chExt cx="522605" cy="74295"/>
                        </a:xfrm>
                      </wpg:grpSpPr>
                      <wps:wsp>
                        <wps:cNvPr id="1759" name="Graphic 1759"/>
                        <wps:cNvSpPr/>
                        <wps:spPr>
                          <a:xfrm>
                            <a:off x="0" y="31691"/>
                            <a:ext cx="522605" cy="1270"/>
                          </a:xfrm>
                          <a:custGeom>
                            <a:avLst/>
                            <a:gdLst/>
                            <a:ahLst/>
                            <a:cxnLst/>
                            <a:rect l="l" t="t" r="r" b="b"/>
                            <a:pathLst>
                              <a:path w="522605">
                                <a:moveTo>
                                  <a:pt x="0" y="0"/>
                                </a:moveTo>
                                <a:lnTo>
                                  <a:pt x="178260" y="0"/>
                                </a:lnTo>
                              </a:path>
                              <a:path w="522605">
                                <a:moveTo>
                                  <a:pt x="233719" y="0"/>
                                </a:moveTo>
                                <a:lnTo>
                                  <a:pt x="522498" y="0"/>
                                </a:lnTo>
                              </a:path>
                            </a:pathLst>
                          </a:custGeom>
                          <a:ln w="10563">
                            <a:solidFill>
                              <a:srgbClr val="000000"/>
                            </a:solidFill>
                            <a:prstDash val="solid"/>
                          </a:ln>
                        </wps:spPr>
                        <wps:bodyPr wrap="square" lIns="0" tIns="0" rIns="0" bIns="0" rtlCol="0">
                          <a:prstTxWarp prst="textNoShape">
                            <a:avLst/>
                          </a:prstTxWarp>
                          <a:noAutofit/>
                        </wps:bodyPr>
                      </wps:wsp>
                      <wps:wsp>
                        <wps:cNvPr id="1760" name="Graphic 1760"/>
                        <wps:cNvSpPr/>
                        <wps:spPr>
                          <a:xfrm>
                            <a:off x="178260" y="0"/>
                            <a:ext cx="55880" cy="74295"/>
                          </a:xfrm>
                          <a:custGeom>
                            <a:avLst/>
                            <a:gdLst/>
                            <a:ahLst/>
                            <a:cxnLst/>
                            <a:rect l="l" t="t" r="r" b="b"/>
                            <a:pathLst>
                              <a:path w="55880" h="74295">
                                <a:moveTo>
                                  <a:pt x="55458" y="73944"/>
                                </a:moveTo>
                                <a:lnTo>
                                  <a:pt x="0" y="73944"/>
                                </a:lnTo>
                                <a:lnTo>
                                  <a:pt x="0" y="0"/>
                                </a:lnTo>
                                <a:lnTo>
                                  <a:pt x="55458" y="0"/>
                                </a:lnTo>
                                <a:lnTo>
                                  <a:pt x="55458" y="73944"/>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A8FC9BA" id="Group 1758" o:spid="_x0000_s1026" style="position:absolute;margin-left:447.8pt;margin-top:84.3pt;width:41.15pt;height:5.85pt;z-index:-15432704;mso-wrap-distance-left:0;mso-wrap-distance-right:0;mso-position-horizontal-relative:page" coordsize="52260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">
                <v:shape id="Graphic 1759" o:spid="_x0000_s1027" style="position:absolute;top:31691;width:522605;height:1270;visibility:visible;mso-wrap-style:square;v-text-anchor:top" coordsize="522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" path="m,l178260,em233719,l522498,e" filled="f" strokeweight=".29342mm">
                  <v:path arrowok="t"/>
                </v:shape>
                <v:shape id="Graphic 1760" o:spid="_x0000_s1028" style="position:absolute;left:178260;width:55880;height:74295;visibility:visible;mso-wrap-style:square;v-text-anchor:top" coordsize="5588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" path="m55458,73944l,73944,,,55458,r,73944xe" fillcolor="#0000c0" stroked="f">
                  <v:path arrowok="t"/>
                </v:shape>
                <w10:wrap type="topAndBottom" anchorx="page"/>
              </v:group>
            </w:pict>
          </mc:Fallback>
        </mc:AlternateContent>
      </w:r>
    </w:p>
    <w:p w14:paraId="2C197CC2" w14:textId="77777777" w:rsidR="00E05B98" w:rsidRPr="003C6DAE" w:rsidRDefault="00E05B98">
      <w:pPr>
        <w:pStyle w:val="a3"/>
        <w:spacing w:before="9"/>
        <w:rPr>
          <w:rFonts w:ascii="Trebuchet MS"/>
          <w:sz w:val="10"/>
          <w:lang w:val="uk-UA"/>
        </w:rPr>
      </w:pPr>
    </w:p>
    <w:p w14:paraId="68D3DC97" w14:textId="77777777" w:rsidR="00E05B98" w:rsidRPr="003C6DAE" w:rsidRDefault="00E05B98">
      <w:pPr>
        <w:pStyle w:val="a3"/>
        <w:spacing w:before="9"/>
        <w:rPr>
          <w:rFonts w:ascii="Trebuchet MS"/>
          <w:sz w:val="10"/>
          <w:lang w:val="uk-UA"/>
        </w:rPr>
      </w:pPr>
    </w:p>
    <w:p w14:paraId="22C27CF3" w14:textId="77777777" w:rsidR="00E05B98" w:rsidRPr="003C6DAE" w:rsidRDefault="00E05B98">
      <w:pPr>
        <w:pStyle w:val="a3"/>
        <w:spacing w:before="9"/>
        <w:rPr>
          <w:rFonts w:ascii="Trebuchet MS"/>
          <w:sz w:val="10"/>
          <w:lang w:val="uk-UA"/>
        </w:rPr>
      </w:pPr>
    </w:p>
    <w:p w14:paraId="1A4045EE" w14:textId="77777777" w:rsidR="00E05B98" w:rsidRPr="003C6DAE" w:rsidRDefault="00E05B98">
      <w:pPr>
        <w:pStyle w:val="a3"/>
        <w:spacing w:before="9"/>
        <w:rPr>
          <w:rFonts w:ascii="Trebuchet MS"/>
          <w:sz w:val="10"/>
          <w:lang w:val="uk-UA"/>
        </w:rPr>
      </w:pPr>
    </w:p>
    <w:p w14:paraId="2EC77229" w14:textId="77777777" w:rsidR="00E05B98" w:rsidRPr="003C6DAE" w:rsidRDefault="00E05B98">
      <w:pPr>
        <w:pStyle w:val="a3"/>
        <w:spacing w:before="9"/>
        <w:rPr>
          <w:rFonts w:ascii="Trebuchet MS"/>
          <w:sz w:val="10"/>
          <w:lang w:val="uk-UA"/>
        </w:rPr>
      </w:pPr>
    </w:p>
    <w:p w14:paraId="3473594D" w14:textId="77777777" w:rsidR="00E05B98" w:rsidRPr="003C6DAE" w:rsidRDefault="00E05B98">
      <w:pPr>
        <w:pStyle w:val="a3"/>
        <w:spacing w:before="9"/>
        <w:rPr>
          <w:rFonts w:ascii="Trebuchet MS"/>
          <w:sz w:val="10"/>
          <w:lang w:val="uk-UA"/>
        </w:rPr>
      </w:pPr>
    </w:p>
    <w:p w14:paraId="4835A09C" w14:textId="77777777" w:rsidR="00E05B98" w:rsidRPr="003C6DAE" w:rsidRDefault="00E05B98">
      <w:pPr>
        <w:pStyle w:val="a3"/>
        <w:spacing w:before="163"/>
        <w:rPr>
          <w:rFonts w:ascii="Trebuchet MS"/>
          <w:sz w:val="20"/>
          <w:lang w:val="uk-UA"/>
        </w:rPr>
      </w:pPr>
    </w:p>
    <w:p w14:paraId="4C5F5F02" w14:textId="77777777" w:rsidR="00E05B98" w:rsidRPr="003C6DAE" w:rsidRDefault="00B01E0C">
      <w:pPr>
        <w:ind w:left="103"/>
        <w:rPr>
          <w:rFonts w:ascii="Trebuchet MS"/>
          <w:sz w:val="20"/>
          <w:lang w:val="uk-UA"/>
        </w:rPr>
      </w:pPr>
      <w:r w:rsidRPr="003C6DAE">
        <w:rPr>
          <w:rFonts w:ascii="Trebuchet MS"/>
          <w:w w:val="75"/>
          <w:sz w:val="20"/>
          <w:lang w:val="uk-UA"/>
        </w:rPr>
        <w:t>0</w:t>
      </w:r>
      <w:r w:rsidRPr="003C6DAE">
        <w:rPr>
          <w:rFonts w:ascii="Trebuchet MS"/>
          <w:spacing w:val="43"/>
          <w:sz w:val="20"/>
          <w:lang w:val="uk-UA"/>
        </w:rPr>
        <w:t xml:space="preserve"> </w:t>
      </w:r>
      <w:r w:rsidRPr="003C6DAE">
        <w:rPr>
          <w:rFonts w:ascii="Trebuchet MS"/>
          <w:w w:val="75"/>
          <w:sz w:val="20"/>
          <w:lang w:val="uk-UA"/>
        </w:rPr>
        <w:t>0.2</w:t>
      </w:r>
      <w:r w:rsidRPr="003C6DAE">
        <w:rPr>
          <w:rFonts w:ascii="Trebuchet MS"/>
          <w:spacing w:val="25"/>
          <w:sz w:val="20"/>
          <w:lang w:val="uk-UA"/>
        </w:rPr>
        <w:t xml:space="preserve"> </w:t>
      </w:r>
      <w:r w:rsidRPr="003C6DAE">
        <w:rPr>
          <w:rFonts w:ascii="Trebuchet MS"/>
          <w:w w:val="75"/>
          <w:sz w:val="20"/>
          <w:lang w:val="uk-UA"/>
        </w:rPr>
        <w:t>0.4</w:t>
      </w:r>
      <w:r w:rsidRPr="003C6DAE">
        <w:rPr>
          <w:rFonts w:ascii="Trebuchet MS"/>
          <w:spacing w:val="25"/>
          <w:sz w:val="20"/>
          <w:lang w:val="uk-UA"/>
        </w:rPr>
        <w:t xml:space="preserve"> </w:t>
      </w:r>
      <w:r w:rsidRPr="003C6DAE">
        <w:rPr>
          <w:rFonts w:ascii="Trebuchet MS"/>
          <w:w w:val="75"/>
          <w:sz w:val="20"/>
          <w:lang w:val="uk-UA"/>
        </w:rPr>
        <w:t>0.6</w:t>
      </w:r>
      <w:r w:rsidRPr="003C6DAE">
        <w:rPr>
          <w:rFonts w:ascii="Trebuchet MS"/>
          <w:spacing w:val="25"/>
          <w:sz w:val="20"/>
          <w:lang w:val="uk-UA"/>
        </w:rPr>
        <w:t xml:space="preserve"> </w:t>
      </w:r>
      <w:r w:rsidRPr="003C6DAE">
        <w:rPr>
          <w:rFonts w:ascii="Trebuchet MS"/>
          <w:w w:val="75"/>
          <w:sz w:val="20"/>
          <w:lang w:val="uk-UA"/>
        </w:rPr>
        <w:t>0.8</w:t>
      </w:r>
      <w:r w:rsidRPr="003C6DAE">
        <w:rPr>
          <w:rFonts w:ascii="Trebuchet MS"/>
          <w:spacing w:val="44"/>
          <w:sz w:val="20"/>
          <w:lang w:val="uk-UA"/>
        </w:rPr>
        <w:t xml:space="preserve"> </w:t>
      </w:r>
      <w:r w:rsidRPr="003C6DAE">
        <w:rPr>
          <w:rFonts w:ascii="Trebuchet MS"/>
          <w:spacing w:val="-12"/>
          <w:w w:val="75"/>
          <w:sz w:val="20"/>
          <w:lang w:val="uk-UA"/>
        </w:rPr>
        <w:t>1</w:t>
      </w:r>
    </w:p>
    <w:p w14:paraId="01CC9D82" w14:textId="77777777" w:rsidR="00E05B98" w:rsidRPr="003C6DAE" w:rsidRDefault="00E05B98">
      <w:pPr>
        <w:rPr>
          <w:rFonts w:ascii="Trebuchet MS"/>
          <w:sz w:val="20"/>
          <w:lang w:val="uk-UA"/>
        </w:rPr>
        <w:sectPr w:rsidR="00E05B98" w:rsidRPr="003C6DAE">
          <w:type w:val="continuous"/>
          <w:pgSz w:w="11910" w:h="16840"/>
          <w:pgMar w:top="1920" w:right="1275" w:bottom="280" w:left="850" w:header="0" w:footer="573" w:gutter="0"/>
          <w:cols w:num="8" w:space="720" w:equalWidth="0">
            <w:col w:w="1812" w:space="40"/>
            <w:col w:w="464" w:space="39"/>
            <w:col w:w="617" w:space="39"/>
            <w:col w:w="321" w:space="40"/>
            <w:col w:w="1483" w:space="39"/>
            <w:col w:w="1445" w:space="40"/>
            <w:col w:w="1494" w:space="39"/>
            <w:col w:w="1873"/>
          </w:cols>
        </w:sectPr>
      </w:pPr>
    </w:p>
    <w:p w14:paraId="569C2453" w14:textId="494F378A" w:rsidR="00E05B98" w:rsidRPr="00B125A2" w:rsidRDefault="00F925DD" w:rsidP="004D5917">
      <w:pPr>
        <w:spacing w:line="254" w:lineRule="auto"/>
        <w:ind w:left="567" w:right="142"/>
        <w:jc w:val="both"/>
        <w:rPr>
          <w:sz w:val="15"/>
          <w:szCs w:val="15"/>
          <w:lang w:val="uk-UA"/>
        </w:rPr>
      </w:pPr>
      <w:r w:rsidRPr="00B125A2">
        <w:rPr>
          <w:sz w:val="15"/>
          <w:szCs w:val="15"/>
          <w:lang w:val="uk-UA"/>
        </w:rPr>
        <w:t>ДІ: довірчий інтервал; FN: хибнонегативний результат; FP: хибнопозитивний результат; ВІЛ: вірус імунодефіциту людини; рТАНК-НС: ручний тест ампліфікаці</w:t>
      </w:r>
      <w:r w:rsidR="00B125A2">
        <w:rPr>
          <w:sz w:val="15"/>
          <w:szCs w:val="15"/>
          <w:lang w:val="uk-UA"/>
        </w:rPr>
        <w:t>ї</w:t>
      </w:r>
      <w:r w:rsidRPr="00B125A2">
        <w:rPr>
          <w:sz w:val="15"/>
          <w:szCs w:val="15"/>
          <w:lang w:val="uk-UA"/>
        </w:rPr>
        <w:t xml:space="preserve"> нуклеїнових кислот низької складності; MRS: мікробіологічний еталонний стандарт; ТБ: туберкульоз; TN: істинно негативний результат; TP: істинно позитивний результат</w:t>
      </w:r>
      <w:r w:rsidR="00B01E0C" w:rsidRPr="00B125A2">
        <w:rPr>
          <w:sz w:val="15"/>
          <w:szCs w:val="15"/>
          <w:lang w:val="uk-UA"/>
        </w:rPr>
        <w:t>.</w:t>
      </w:r>
    </w:p>
    <w:p w14:paraId="3F2A79CA" w14:textId="04AF5A6A" w:rsidR="00E05B98" w:rsidRPr="00B125A2" w:rsidRDefault="00B01E0C" w:rsidP="00F925DD">
      <w:pPr>
        <w:spacing w:before="57"/>
        <w:ind w:left="567" w:right="140"/>
        <w:jc w:val="both"/>
        <w:rPr>
          <w:sz w:val="15"/>
          <w:szCs w:val="15"/>
          <w:lang w:val="uk-UA"/>
        </w:rPr>
      </w:pPr>
      <w:r w:rsidRPr="00B125A2">
        <w:rPr>
          <w:spacing w:val="-2"/>
          <w:sz w:val="15"/>
          <w:szCs w:val="15"/>
          <w:vertAlign w:val="superscript"/>
          <w:lang w:val="uk-UA"/>
        </w:rPr>
        <w:t>a</w:t>
      </w:r>
      <w:r w:rsidRPr="00B125A2">
        <w:rPr>
          <w:spacing w:val="-21"/>
          <w:sz w:val="15"/>
          <w:szCs w:val="15"/>
          <w:lang w:val="uk-UA"/>
        </w:rPr>
        <w:t xml:space="preserve"> </w:t>
      </w:r>
      <w:r w:rsidR="00C92D8A" w:rsidRPr="00B125A2">
        <w:rPr>
          <w:sz w:val="15"/>
          <w:szCs w:val="15"/>
          <w:lang w:val="uk-UA"/>
        </w:rPr>
        <w:t>Дослідження впорядковано за зростанням чутливості</w:t>
      </w:r>
      <w:r w:rsidRPr="00B125A2">
        <w:rPr>
          <w:spacing w:val="-2"/>
          <w:sz w:val="15"/>
          <w:szCs w:val="15"/>
          <w:lang w:val="uk-UA"/>
        </w:rPr>
        <w:t>.</w:t>
      </w:r>
    </w:p>
    <w:p w14:paraId="5B8F1AF7" w14:textId="77777777" w:rsidR="00E05B98" w:rsidRPr="003C6DAE" w:rsidRDefault="00E05B98" w:rsidP="00F925DD">
      <w:pPr>
        <w:pStyle w:val="a3"/>
        <w:spacing w:before="176"/>
        <w:ind w:right="140"/>
        <w:rPr>
          <w:sz w:val="18"/>
          <w:lang w:val="uk-UA"/>
        </w:rPr>
      </w:pPr>
    </w:p>
    <w:p w14:paraId="1C0A54BE" w14:textId="376D7E99" w:rsidR="00E05B98" w:rsidRPr="00F925DD" w:rsidRDefault="00F925DD" w:rsidP="00F925DD">
      <w:pPr>
        <w:pStyle w:val="5"/>
        <w:ind w:right="140"/>
        <w:jc w:val="both"/>
        <w:rPr>
          <w:sz w:val="26"/>
          <w:szCs w:val="26"/>
          <w:lang w:val="uk-UA"/>
        </w:rPr>
      </w:pPr>
      <w:r w:rsidRPr="00F925DD">
        <w:rPr>
          <w:color w:val="019648"/>
          <w:sz w:val="26"/>
          <w:szCs w:val="26"/>
          <w:lang w:val="uk-UA"/>
        </w:rPr>
        <w:t>Виявлення туберкульозу у дітей</w:t>
      </w:r>
    </w:p>
    <w:p w14:paraId="5361BCC9" w14:textId="1A333FC6" w:rsidR="00E05B98" w:rsidRPr="00F925DD" w:rsidRDefault="00F925DD" w:rsidP="00B125A2">
      <w:pPr>
        <w:pStyle w:val="7"/>
        <w:spacing w:before="231" w:line="250" w:lineRule="auto"/>
        <w:rPr>
          <w:sz w:val="22"/>
          <w:szCs w:val="22"/>
          <w:lang w:val="uk-UA"/>
        </w:rPr>
      </w:pPr>
      <w:r w:rsidRPr="00F925DD">
        <w:rPr>
          <w:color w:val="019648"/>
          <w:sz w:val="22"/>
          <w:szCs w:val="22"/>
          <w:lang w:val="uk-UA"/>
        </w:rPr>
        <w:t>Чи слід використовувати рТАНК-НС на зразках із дихальних шляхів для діагностики ТБ легень у дітей з ознаками та симптомами легеневого туберкульозу на противагу MRS?</w:t>
      </w:r>
    </w:p>
    <w:p w14:paraId="67945AF6" w14:textId="4C4929A1" w:rsidR="00E05B98" w:rsidRPr="00F925DD" w:rsidRDefault="00F925DD" w:rsidP="004D5917">
      <w:pPr>
        <w:pStyle w:val="a3"/>
        <w:spacing w:before="217" w:line="269" w:lineRule="auto"/>
        <w:ind w:left="567" w:right="142"/>
        <w:jc w:val="both"/>
        <w:rPr>
          <w:sz w:val="20"/>
          <w:szCs w:val="20"/>
          <w:lang w:val="uk-UA"/>
        </w:rPr>
      </w:pPr>
      <w:r w:rsidRPr="00F925DD">
        <w:rPr>
          <w:sz w:val="20"/>
          <w:szCs w:val="20"/>
          <w:lang w:val="uk-UA"/>
        </w:rPr>
        <w:t>У трьох дослідженнях (62 учасники, в</w:t>
      </w:r>
      <w:r w:rsidR="00B125A2">
        <w:rPr>
          <w:sz w:val="20"/>
          <w:szCs w:val="20"/>
          <w:lang w:val="uk-UA"/>
        </w:rPr>
        <w:t xml:space="preserve"> тому числі </w:t>
      </w:r>
      <w:r w:rsidRPr="00F925DD">
        <w:rPr>
          <w:sz w:val="20"/>
          <w:szCs w:val="20"/>
          <w:lang w:val="uk-UA"/>
        </w:rPr>
        <w:t>вісім з ТБ легень) оцінювали точність рТАНК-НС для виявлення ТБ легень, використовуючи зразки з дихальних шляхів (мокротиння, БАЛ та трахеальний аспірат), та MRS (</w:t>
      </w:r>
      <w:r w:rsidRPr="00F925DD">
        <w:rPr>
          <w:b/>
          <w:bCs/>
          <w:sz w:val="20"/>
          <w:szCs w:val="20"/>
          <w:lang w:val="uk-UA"/>
        </w:rPr>
        <w:t>Рис. 2.2.1.3</w:t>
      </w:r>
      <w:r w:rsidRPr="00F925DD">
        <w:rPr>
          <w:sz w:val="20"/>
          <w:szCs w:val="20"/>
          <w:lang w:val="uk-UA"/>
        </w:rPr>
        <w:t>). Чутливість становила від 60% до 100%, а специфічність – від 95% до 100%. Достовірність доказів була дуже низькою як стосовно чутливості, так і стосовно специфічності.</w:t>
      </w:r>
    </w:p>
    <w:p w14:paraId="41727771" w14:textId="4C809DB3" w:rsidR="00E05B98" w:rsidRPr="003C6DAE" w:rsidRDefault="00F925DD" w:rsidP="004D5917">
      <w:pPr>
        <w:pStyle w:val="6"/>
        <w:spacing w:before="240" w:line="269" w:lineRule="auto"/>
        <w:ind w:right="142"/>
        <w:rPr>
          <w:lang w:val="uk-UA"/>
        </w:rPr>
      </w:pPr>
      <w:r>
        <w:rPr>
          <w:color w:val="636466"/>
          <w:sz w:val="20"/>
          <w:szCs w:val="20"/>
          <w:lang w:val="uk-UA"/>
        </w:rPr>
        <w:t>Рис</w:t>
      </w:r>
      <w:r w:rsidR="00B01E0C" w:rsidRPr="00F925DD">
        <w:rPr>
          <w:color w:val="636466"/>
          <w:sz w:val="20"/>
          <w:szCs w:val="20"/>
          <w:lang w:val="uk-UA"/>
        </w:rPr>
        <w:t>.</w:t>
      </w:r>
      <w:r w:rsidR="00B01E0C" w:rsidRPr="00F925DD">
        <w:rPr>
          <w:color w:val="636466"/>
          <w:spacing w:val="-11"/>
          <w:sz w:val="20"/>
          <w:szCs w:val="20"/>
          <w:lang w:val="uk-UA"/>
        </w:rPr>
        <w:t xml:space="preserve"> </w:t>
      </w:r>
      <w:r w:rsidR="00B01E0C" w:rsidRPr="00F925DD">
        <w:rPr>
          <w:color w:val="636466"/>
          <w:sz w:val="20"/>
          <w:szCs w:val="20"/>
          <w:lang w:val="uk-UA"/>
        </w:rPr>
        <w:t>2.2.1.3</w:t>
      </w:r>
      <w:r w:rsidR="00B01E0C" w:rsidRPr="00F925DD">
        <w:rPr>
          <w:color w:val="636466"/>
          <w:spacing w:val="-11"/>
          <w:sz w:val="20"/>
          <w:szCs w:val="20"/>
          <w:lang w:val="uk-UA"/>
        </w:rPr>
        <w:t xml:space="preserve"> </w:t>
      </w:r>
      <w:r>
        <w:rPr>
          <w:color w:val="636466"/>
          <w:spacing w:val="-11"/>
          <w:sz w:val="20"/>
          <w:szCs w:val="20"/>
          <w:lang w:val="uk-UA"/>
        </w:rPr>
        <w:t xml:space="preserve"> </w:t>
      </w:r>
      <w:r w:rsidRPr="00F925DD">
        <w:rPr>
          <w:color w:val="636466"/>
          <w:sz w:val="20"/>
          <w:szCs w:val="20"/>
          <w:lang w:val="uk-UA"/>
        </w:rPr>
        <w:t>Лісова діаграма чутливості та специфічності рТАНК-НС для виявлення ТБ легень у</w:t>
      </w:r>
      <w:r w:rsidR="00B125A2">
        <w:rPr>
          <w:color w:val="636466"/>
          <w:sz w:val="20"/>
          <w:szCs w:val="20"/>
          <w:lang w:val="uk-UA"/>
        </w:rPr>
        <w:t xml:space="preserve"> </w:t>
      </w:r>
      <w:r w:rsidRPr="00F925DD">
        <w:rPr>
          <w:color w:val="636466"/>
          <w:sz w:val="20"/>
          <w:szCs w:val="20"/>
          <w:lang w:val="uk-UA"/>
        </w:rPr>
        <w:t xml:space="preserve">зразках </w:t>
      </w:r>
      <w:r w:rsidR="00B125A2">
        <w:rPr>
          <w:color w:val="636466"/>
          <w:sz w:val="20"/>
          <w:szCs w:val="20"/>
          <w:lang w:val="uk-UA"/>
        </w:rPr>
        <w:t>і</w:t>
      </w:r>
      <w:r w:rsidRPr="00F925DD">
        <w:rPr>
          <w:color w:val="636466"/>
          <w:sz w:val="20"/>
          <w:szCs w:val="20"/>
          <w:lang w:val="uk-UA"/>
        </w:rPr>
        <w:t>з дихальних шляхів та MRS</w:t>
      </w:r>
      <w:r w:rsidR="000530D1">
        <w:rPr>
          <w:color w:val="636466"/>
          <w:sz w:val="20"/>
          <w:szCs w:val="20"/>
          <w:lang w:val="uk-UA"/>
        </w:rPr>
        <w:t xml:space="preserve"> </w:t>
      </w:r>
      <w:r w:rsidR="00B01E0C" w:rsidRPr="003C6DAE">
        <w:rPr>
          <w:color w:val="636466"/>
          <w:vertAlign w:val="superscript"/>
          <w:lang w:val="uk-UA"/>
        </w:rPr>
        <w:t>a</w:t>
      </w:r>
    </w:p>
    <w:p w14:paraId="5F5D0F5A" w14:textId="6817CB2F" w:rsidR="00E05B98" w:rsidRPr="003C6DAE" w:rsidRDefault="00E05B98" w:rsidP="004D5917">
      <w:pPr>
        <w:pStyle w:val="a3"/>
        <w:spacing w:before="3" w:line="269" w:lineRule="auto"/>
        <w:ind w:right="142"/>
        <w:rPr>
          <w:rFonts w:ascii="Arial"/>
          <w:b/>
          <w:sz w:val="10"/>
          <w:lang w:val="uk-UA"/>
        </w:rPr>
      </w:pPr>
    </w:p>
    <w:p w14:paraId="1022DFB7" w14:textId="77777777" w:rsidR="00E05B98" w:rsidRPr="003C6DAE" w:rsidRDefault="00E05B98" w:rsidP="00F925DD">
      <w:pPr>
        <w:pStyle w:val="a3"/>
        <w:ind w:right="140"/>
        <w:rPr>
          <w:rFonts w:ascii="Arial"/>
          <w:b/>
          <w:sz w:val="10"/>
          <w:lang w:val="uk-UA"/>
        </w:rPr>
        <w:sectPr w:rsidR="00E05B98" w:rsidRPr="003C6DAE" w:rsidSect="00F925DD">
          <w:type w:val="continuous"/>
          <w:pgSz w:w="11910" w:h="16840"/>
          <w:pgMar w:top="1920" w:right="995" w:bottom="280" w:left="850" w:header="0" w:footer="573" w:gutter="0"/>
          <w:cols w:space="720"/>
        </w:sectPr>
      </w:pPr>
    </w:p>
    <w:p w14:paraId="24ED382A" w14:textId="5AEEB6F4" w:rsidR="00E05B98" w:rsidRPr="003C6DAE" w:rsidRDefault="00B2045E" w:rsidP="00F925DD">
      <w:pPr>
        <w:spacing w:before="107"/>
        <w:ind w:left="695" w:right="140"/>
        <w:rPr>
          <w:rFonts w:ascii="Trebuchet MS"/>
          <w:sz w:val="20"/>
          <w:lang w:val="uk-UA"/>
        </w:rPr>
      </w:pPr>
      <w:r>
        <w:rPr>
          <w:rFonts w:ascii="Arial"/>
          <w:b/>
          <w:noProof/>
          <w:sz w:val="24"/>
          <w:lang w:val="uk-UA"/>
        </w:rPr>
        <mc:AlternateContent>
          <mc:Choice Requires="wps">
            <w:drawing>
              <wp:anchor distT="0" distB="0" distL="114300" distR="114300" simplePos="0" relativeHeight="488132096" behindDoc="0" locked="0" layoutInCell="1" allowOverlap="1" wp14:anchorId="12ED838A" wp14:editId="2E17C2E3">
                <wp:simplePos x="0" y="0"/>
                <wp:positionH relativeFrom="column">
                  <wp:posOffset>247901</wp:posOffset>
                </wp:positionH>
                <wp:positionV relativeFrom="paragraph">
                  <wp:posOffset>323353</wp:posOffset>
                </wp:positionV>
                <wp:extent cx="6296101" cy="706171"/>
                <wp:effectExtent l="0" t="0" r="9525" b="0"/>
                <wp:wrapNone/>
                <wp:docPr id="1971485953" name="Поле 2327"/>
                <wp:cNvGraphicFramePr/>
                <a:graphic xmlns:a="http://schemas.openxmlformats.org/drawingml/2006/main">
                  <a:graphicData uri="http://schemas.microsoft.com/office/word/2010/wordprocessingShape">
                    <wps:wsp>
                      <wps:cNvSpPr txBox="1"/>
                      <wps:spPr>
                        <a:xfrm>
                          <a:off x="0" y="0"/>
                          <a:ext cx="6296101" cy="706171"/>
                        </a:xfrm>
                        <a:prstGeom prst="rect">
                          <a:avLst/>
                        </a:prstGeom>
                        <a:solidFill>
                          <a:schemeClr val="lt1"/>
                        </a:solidFill>
                        <a:ln w="6350">
                          <a:noFill/>
                        </a:ln>
                      </wps:spPr>
                      <wps:txbx>
                        <w:txbxContent>
                          <w:p w14:paraId="2F25509F" w14:textId="23A0A87F" w:rsidR="007372B2" w:rsidRPr="00B2045E" w:rsidRDefault="007372B2" w:rsidP="00B2045E">
                            <w:pPr>
                              <w:ind w:left="-142"/>
                              <w:rPr>
                                <w:lang w:val="uk-UA"/>
                              </w:rPr>
                            </w:pPr>
                            <w:r>
                              <w:rPr>
                                <w:noProof/>
                              </w:rPr>
                              <w:drawing>
                                <wp:inline distT="0" distB="0" distL="0" distR="0" wp14:anchorId="656CD991" wp14:editId="14A1B117">
                                  <wp:extent cx="6266845" cy="583949"/>
                                  <wp:effectExtent l="0" t="0" r="635" b="6985"/>
                                  <wp:docPr id="20995824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82453" name=""/>
                                          <pic:cNvPicPr/>
                                        </pic:nvPicPr>
                                        <pic:blipFill>
                                          <a:blip r:embed="rId93"/>
                                          <a:stretch>
                                            <a:fillRect/>
                                          </a:stretch>
                                        </pic:blipFill>
                                        <pic:spPr>
                                          <a:xfrm>
                                            <a:off x="0" y="0"/>
                                            <a:ext cx="6382685" cy="5947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ED838A" id="Поле 2327" o:spid="_x0000_s1099" type="#_x0000_t202" style="position:absolute;left:0;text-align:left;margin-left:19.5pt;margin-top:25.45pt;width:495.75pt;height:55.6pt;z-index:48813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" fillcolor="white [3201]" stroked="f" strokeweight=".5pt">
                <v:textbox>
                  <w:txbxContent>
                    <w:p w14:paraId="2F25509F" w14:textId="23A0A87F" w:rsidR="007372B2" w:rsidRPr="00B2045E" w:rsidRDefault="007372B2" w:rsidP="00B2045E">
                      <w:pPr>
                        <w:ind w:left="-142"/>
                        <w:rPr>
                          <w:lang w:val="uk-UA"/>
                        </w:rPr>
                      </w:pPr>
                      <w:r>
                        <w:rPr>
                          <w:noProof/>
                        </w:rPr>
                        <w:drawing>
                          <wp:inline distT="0" distB="0" distL="0" distR="0" wp14:anchorId="656CD991" wp14:editId="14A1B117">
                            <wp:extent cx="6266845" cy="583949"/>
                            <wp:effectExtent l="0" t="0" r="635" b="6985"/>
                            <wp:docPr id="20995824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82453" name=""/>
                                    <pic:cNvPicPr/>
                                  </pic:nvPicPr>
                                  <pic:blipFill>
                                    <a:blip r:embed="rId93"/>
                                    <a:stretch>
                                      <a:fillRect/>
                                    </a:stretch>
                                  </pic:blipFill>
                                  <pic:spPr>
                                    <a:xfrm>
                                      <a:off x="0" y="0"/>
                                      <a:ext cx="6382685" cy="594743"/>
                                    </a:xfrm>
                                    <a:prstGeom prst="rect">
                                      <a:avLst/>
                                    </a:prstGeom>
                                  </pic:spPr>
                                </pic:pic>
                              </a:graphicData>
                            </a:graphic>
                          </wp:inline>
                        </w:drawing>
                      </w:r>
                    </w:p>
                  </w:txbxContent>
                </v:textbox>
              </v:shape>
            </w:pict>
          </mc:Fallback>
        </mc:AlternateContent>
      </w:r>
      <w:r w:rsidR="00F925DD" w:rsidRPr="003C6DAE">
        <w:rPr>
          <w:rFonts w:ascii="Arial"/>
          <w:b/>
          <w:noProof/>
          <w:sz w:val="24"/>
          <w:lang w:val="uk-UA"/>
        </w:rPr>
        <mc:AlternateContent>
          <mc:Choice Requires="wps">
            <w:drawing>
              <wp:anchor distT="0" distB="0" distL="114300" distR="114300" simplePos="0" relativeHeight="488108544" behindDoc="0" locked="0" layoutInCell="1" allowOverlap="1" wp14:anchorId="54C76A72" wp14:editId="47AED4E1">
                <wp:simplePos x="0" y="0"/>
                <wp:positionH relativeFrom="margin">
                  <wp:posOffset>238848</wp:posOffset>
                </wp:positionH>
                <wp:positionV relativeFrom="paragraph">
                  <wp:posOffset>86907</wp:posOffset>
                </wp:positionV>
                <wp:extent cx="6273579" cy="334978"/>
                <wp:effectExtent l="0" t="0" r="0" b="8255"/>
                <wp:wrapNone/>
                <wp:docPr id="1477676569" name="Поле 1477676569"/>
                <wp:cNvGraphicFramePr/>
                <a:graphic xmlns:a="http://schemas.openxmlformats.org/drawingml/2006/main">
                  <a:graphicData uri="http://schemas.microsoft.com/office/word/2010/wordprocessingShape">
                    <wps:wsp>
                      <wps:cNvSpPr txBox="1"/>
                      <wps:spPr>
                        <a:xfrm>
                          <a:off x="0" y="0"/>
                          <a:ext cx="6273579" cy="334978"/>
                        </a:xfrm>
                        <a:prstGeom prst="rect">
                          <a:avLst/>
                        </a:prstGeom>
                        <a:solidFill>
                          <a:schemeClr val="bg1"/>
                        </a:solidFill>
                        <a:ln w="6350">
                          <a:noFill/>
                        </a:ln>
                      </wps:spPr>
                      <wps:txbx>
                        <w:txbxContent>
                          <w:p w14:paraId="6CC4B159" w14:textId="36F0D3DF" w:rsidR="007372B2" w:rsidRPr="00B2045E" w:rsidRDefault="007372B2" w:rsidP="00B2045E">
                            <w:pPr>
                              <w:rPr>
                                <w:rFonts w:asciiTheme="minorHAnsi" w:hAnsiTheme="minorHAnsi" w:cstheme="minorHAnsi"/>
                                <w:b/>
                                <w:sz w:val="16"/>
                                <w:szCs w:val="16"/>
                                <w:lang w:val="uk-UA"/>
                              </w:rPr>
                            </w:pPr>
                            <w:r w:rsidRPr="00B2045E">
                              <w:rPr>
                                <w:rFonts w:asciiTheme="minorHAnsi" w:hAnsiTheme="minorHAnsi" w:cstheme="minorHAnsi"/>
                                <w:b/>
                                <w:sz w:val="16"/>
                                <w:szCs w:val="16"/>
                                <w:lang w:val="uk-UA"/>
                              </w:rPr>
                              <w:t xml:space="preserve">Дослідження          </w:t>
                            </w:r>
                            <w:r>
                              <w:rPr>
                                <w:rFonts w:asciiTheme="minorHAnsi" w:hAnsiTheme="minorHAnsi" w:cstheme="minorHAnsi"/>
                                <w:b/>
                                <w:sz w:val="16"/>
                                <w:szCs w:val="16"/>
                                <w:lang w:val="uk-UA"/>
                              </w:rPr>
                              <w:t xml:space="preserve">      </w:t>
                            </w:r>
                            <w:r w:rsidRPr="00B2045E">
                              <w:rPr>
                                <w:rFonts w:asciiTheme="minorHAnsi" w:hAnsiTheme="minorHAnsi" w:cstheme="minorHAnsi"/>
                                <w:b/>
                                <w:sz w:val="16"/>
                                <w:szCs w:val="16"/>
                              </w:rPr>
                              <w:t xml:space="preserve">TP    </w:t>
                            </w:r>
                            <w:r>
                              <w:rPr>
                                <w:rFonts w:asciiTheme="minorHAnsi" w:hAnsiTheme="minorHAnsi" w:cstheme="minorHAnsi"/>
                                <w:b/>
                                <w:sz w:val="16"/>
                                <w:szCs w:val="16"/>
                                <w:lang w:val="uk-UA"/>
                              </w:rPr>
                              <w:t xml:space="preserve"> </w:t>
                            </w:r>
                            <w:r w:rsidRPr="00B2045E">
                              <w:rPr>
                                <w:rFonts w:asciiTheme="minorHAnsi" w:hAnsiTheme="minorHAnsi" w:cstheme="minorHAnsi"/>
                                <w:b/>
                                <w:sz w:val="16"/>
                                <w:szCs w:val="16"/>
                              </w:rPr>
                              <w:t xml:space="preserve">FP   </w:t>
                            </w:r>
                            <w:r>
                              <w:rPr>
                                <w:rFonts w:asciiTheme="minorHAnsi" w:hAnsiTheme="minorHAnsi" w:cstheme="minorHAnsi"/>
                                <w:b/>
                                <w:sz w:val="16"/>
                                <w:szCs w:val="16"/>
                                <w:lang w:val="uk-UA"/>
                              </w:rPr>
                              <w:t xml:space="preserve">  </w:t>
                            </w:r>
                            <w:r w:rsidRPr="00B2045E">
                              <w:rPr>
                                <w:rFonts w:asciiTheme="minorHAnsi" w:hAnsiTheme="minorHAnsi" w:cstheme="minorHAnsi"/>
                                <w:b/>
                                <w:sz w:val="16"/>
                                <w:szCs w:val="16"/>
                              </w:rPr>
                              <w:t xml:space="preserve">FN   TN        </w:t>
                            </w:r>
                            <w:r w:rsidRPr="00B2045E">
                              <w:rPr>
                                <w:rFonts w:asciiTheme="minorHAnsi" w:hAnsiTheme="minorHAnsi" w:cstheme="minorHAnsi"/>
                                <w:b/>
                                <w:sz w:val="16"/>
                                <w:szCs w:val="16"/>
                                <w:lang w:val="uk-UA"/>
                              </w:rPr>
                              <w:t xml:space="preserve"> Чутливість (95% ДІ)    Специфічність (95% ДІ)  </w:t>
                            </w:r>
                            <w:r w:rsidRPr="00B2045E">
                              <w:rPr>
                                <w:rFonts w:asciiTheme="minorHAnsi" w:hAnsiTheme="minorHAnsi" w:cstheme="minorHAnsi"/>
                                <w:b/>
                                <w:sz w:val="16"/>
                                <w:szCs w:val="16"/>
                              </w:rPr>
                              <w:t xml:space="preserve">    </w:t>
                            </w:r>
                            <w:r w:rsidRPr="00B2045E">
                              <w:rPr>
                                <w:rFonts w:asciiTheme="minorHAnsi" w:hAnsiTheme="minorHAnsi" w:cstheme="minorHAnsi"/>
                                <w:b/>
                                <w:sz w:val="16"/>
                                <w:szCs w:val="16"/>
                                <w:lang w:val="uk-UA"/>
                              </w:rPr>
                              <w:t xml:space="preserve">   Чутливість (95% ДІ)       Специфічність (95% ДІ)</w:t>
                            </w:r>
                            <w:r w:rsidRPr="00B2045E">
                              <w:rPr>
                                <w:rFonts w:asciiTheme="minorHAnsi" w:hAnsiTheme="minorHAnsi" w:cstheme="minorHAnsi"/>
                                <w:b/>
                                <w:sz w:val="16"/>
                                <w:szCs w:val="16"/>
                              </w:rPr>
                              <w:t xml:space="preserve">          </w:t>
                            </w:r>
                            <w:r w:rsidRPr="00B2045E">
                              <w:rPr>
                                <w:rFonts w:asciiTheme="minorHAnsi" w:hAnsiTheme="minorHAnsi" w:cstheme="minorHAnsi"/>
                                <w:b/>
                                <w:sz w:val="16"/>
                                <w:szCs w:val="16"/>
                                <w:lang w:val="uk-UA"/>
                              </w:rPr>
                              <w:t xml:space="preserve">                     </w:t>
                            </w:r>
                          </w:p>
                          <w:p w14:paraId="50D4900D"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76A72" id="Поле 1477676569" o:spid="_x0000_s1100" type="#_x0000_t202" style="position:absolute;left:0;text-align:left;margin-left:18.8pt;margin-top:6.85pt;width:494pt;height:26.4pt;z-index:48810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" fillcolor="white [3212]" stroked="f" strokeweight=".5pt">
                <v:textbox>
                  <w:txbxContent>
                    <w:p w14:paraId="6CC4B159" w14:textId="36F0D3DF" w:rsidR="007372B2" w:rsidRPr="00B2045E" w:rsidRDefault="007372B2" w:rsidP="00B2045E">
                      <w:pPr>
                        <w:rPr>
                          <w:rFonts w:asciiTheme="minorHAnsi" w:hAnsiTheme="minorHAnsi" w:cstheme="minorHAnsi"/>
                          <w:b/>
                          <w:sz w:val="16"/>
                          <w:szCs w:val="16"/>
                          <w:lang w:val="uk-UA"/>
                        </w:rPr>
                      </w:pPr>
                      <w:r w:rsidRPr="00B2045E">
                        <w:rPr>
                          <w:rFonts w:asciiTheme="minorHAnsi" w:hAnsiTheme="minorHAnsi" w:cstheme="minorHAnsi"/>
                          <w:b/>
                          <w:sz w:val="16"/>
                          <w:szCs w:val="16"/>
                          <w:lang w:val="uk-UA"/>
                        </w:rPr>
                        <w:t xml:space="preserve">Дослідження          </w:t>
                      </w:r>
                      <w:r>
                        <w:rPr>
                          <w:rFonts w:asciiTheme="minorHAnsi" w:hAnsiTheme="minorHAnsi" w:cstheme="minorHAnsi"/>
                          <w:b/>
                          <w:sz w:val="16"/>
                          <w:szCs w:val="16"/>
                          <w:lang w:val="uk-UA"/>
                        </w:rPr>
                        <w:t xml:space="preserve">      </w:t>
                      </w:r>
                      <w:r w:rsidRPr="00B2045E">
                        <w:rPr>
                          <w:rFonts w:asciiTheme="minorHAnsi" w:hAnsiTheme="minorHAnsi" w:cstheme="minorHAnsi"/>
                          <w:b/>
                          <w:sz w:val="16"/>
                          <w:szCs w:val="16"/>
                        </w:rPr>
                        <w:t xml:space="preserve">TP    </w:t>
                      </w:r>
                      <w:r>
                        <w:rPr>
                          <w:rFonts w:asciiTheme="minorHAnsi" w:hAnsiTheme="minorHAnsi" w:cstheme="minorHAnsi"/>
                          <w:b/>
                          <w:sz w:val="16"/>
                          <w:szCs w:val="16"/>
                          <w:lang w:val="uk-UA"/>
                        </w:rPr>
                        <w:t xml:space="preserve"> </w:t>
                      </w:r>
                      <w:r w:rsidRPr="00B2045E">
                        <w:rPr>
                          <w:rFonts w:asciiTheme="minorHAnsi" w:hAnsiTheme="minorHAnsi" w:cstheme="minorHAnsi"/>
                          <w:b/>
                          <w:sz w:val="16"/>
                          <w:szCs w:val="16"/>
                        </w:rPr>
                        <w:t xml:space="preserve">FP   </w:t>
                      </w:r>
                      <w:r>
                        <w:rPr>
                          <w:rFonts w:asciiTheme="minorHAnsi" w:hAnsiTheme="minorHAnsi" w:cstheme="minorHAnsi"/>
                          <w:b/>
                          <w:sz w:val="16"/>
                          <w:szCs w:val="16"/>
                          <w:lang w:val="uk-UA"/>
                        </w:rPr>
                        <w:t xml:space="preserve">  </w:t>
                      </w:r>
                      <w:r w:rsidRPr="00B2045E">
                        <w:rPr>
                          <w:rFonts w:asciiTheme="minorHAnsi" w:hAnsiTheme="minorHAnsi" w:cstheme="minorHAnsi"/>
                          <w:b/>
                          <w:sz w:val="16"/>
                          <w:szCs w:val="16"/>
                        </w:rPr>
                        <w:t xml:space="preserve">FN   TN        </w:t>
                      </w:r>
                      <w:r w:rsidRPr="00B2045E">
                        <w:rPr>
                          <w:rFonts w:asciiTheme="minorHAnsi" w:hAnsiTheme="minorHAnsi" w:cstheme="minorHAnsi"/>
                          <w:b/>
                          <w:sz w:val="16"/>
                          <w:szCs w:val="16"/>
                          <w:lang w:val="uk-UA"/>
                        </w:rPr>
                        <w:t xml:space="preserve"> Чутливість (95% ДІ)    Специфічність (95% ДІ)  </w:t>
                      </w:r>
                      <w:r w:rsidRPr="00B2045E">
                        <w:rPr>
                          <w:rFonts w:asciiTheme="minorHAnsi" w:hAnsiTheme="minorHAnsi" w:cstheme="minorHAnsi"/>
                          <w:b/>
                          <w:sz w:val="16"/>
                          <w:szCs w:val="16"/>
                        </w:rPr>
                        <w:t xml:space="preserve">    </w:t>
                      </w:r>
                      <w:r w:rsidRPr="00B2045E">
                        <w:rPr>
                          <w:rFonts w:asciiTheme="minorHAnsi" w:hAnsiTheme="minorHAnsi" w:cstheme="minorHAnsi"/>
                          <w:b/>
                          <w:sz w:val="16"/>
                          <w:szCs w:val="16"/>
                          <w:lang w:val="uk-UA"/>
                        </w:rPr>
                        <w:t xml:space="preserve">   Чутливість (95% ДІ)       Специфічність (95% ДІ)</w:t>
                      </w:r>
                      <w:r w:rsidRPr="00B2045E">
                        <w:rPr>
                          <w:rFonts w:asciiTheme="minorHAnsi" w:hAnsiTheme="minorHAnsi" w:cstheme="minorHAnsi"/>
                          <w:b/>
                          <w:sz w:val="16"/>
                          <w:szCs w:val="16"/>
                        </w:rPr>
                        <w:t xml:space="preserve">          </w:t>
                      </w:r>
                      <w:r w:rsidRPr="00B2045E">
                        <w:rPr>
                          <w:rFonts w:asciiTheme="minorHAnsi" w:hAnsiTheme="minorHAnsi" w:cstheme="minorHAnsi"/>
                          <w:b/>
                          <w:sz w:val="16"/>
                          <w:szCs w:val="16"/>
                          <w:lang w:val="uk-UA"/>
                        </w:rPr>
                        <w:t xml:space="preserve">                     </w:t>
                      </w:r>
                    </w:p>
                    <w:p w14:paraId="50D4900D"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v:textbox>
                <w10:wrap anchorx="margin"/>
              </v:shape>
            </w:pict>
          </mc:Fallback>
        </mc:AlternateContent>
      </w:r>
      <w:r w:rsidR="00B01E0C" w:rsidRPr="003C6DAE">
        <w:rPr>
          <w:rFonts w:ascii="Trebuchet MS"/>
          <w:color w:val="333333"/>
          <w:w w:val="75"/>
          <w:sz w:val="20"/>
          <w:lang w:val="uk-UA"/>
        </w:rPr>
        <w:t>S</w:t>
      </w:r>
      <w:r w:rsidR="00B01E0C" w:rsidRPr="003C6DAE">
        <w:rPr>
          <w:rFonts w:ascii="Trebuchet MS"/>
          <w:color w:val="333333"/>
          <w:spacing w:val="-17"/>
          <w:w w:val="75"/>
          <w:sz w:val="20"/>
          <w:lang w:val="uk-UA"/>
        </w:rPr>
        <w:t xml:space="preserve"> </w:t>
      </w:r>
      <w:proofErr w:type="spellStart"/>
      <w:r w:rsidR="00B01E0C" w:rsidRPr="003C6DAE">
        <w:rPr>
          <w:rFonts w:ascii="Trebuchet MS"/>
          <w:color w:val="333333"/>
          <w:spacing w:val="-4"/>
          <w:w w:val="80"/>
          <w:sz w:val="20"/>
          <w:lang w:val="uk-UA"/>
        </w:rPr>
        <w:t>tudy</w:t>
      </w:r>
      <w:proofErr w:type="spellEnd"/>
    </w:p>
    <w:p w14:paraId="3B905E14" w14:textId="77777777" w:rsidR="00E05B98" w:rsidRPr="003C6DAE" w:rsidRDefault="00B01E0C" w:rsidP="00F925DD">
      <w:pPr>
        <w:spacing w:before="107"/>
        <w:ind w:left="695" w:right="140"/>
        <w:rPr>
          <w:rFonts w:ascii="Trebuchet MS"/>
          <w:sz w:val="20"/>
          <w:lang w:val="uk-UA"/>
        </w:rPr>
      </w:pPr>
      <w:r w:rsidRPr="003C6DAE">
        <w:rPr>
          <w:lang w:val="uk-UA"/>
        </w:rPr>
        <w:br w:type="column"/>
      </w:r>
      <w:r w:rsidRPr="003C6DAE">
        <w:rPr>
          <w:rFonts w:ascii="Trebuchet MS"/>
          <w:color w:val="333333"/>
          <w:w w:val="80"/>
          <w:sz w:val="20"/>
          <w:lang w:val="uk-UA"/>
        </w:rPr>
        <w:t>TP</w:t>
      </w:r>
      <w:r w:rsidRPr="003C6DAE">
        <w:rPr>
          <w:rFonts w:ascii="Trebuchet MS"/>
          <w:color w:val="333333"/>
          <w:spacing w:val="57"/>
          <w:w w:val="150"/>
          <w:sz w:val="20"/>
          <w:lang w:val="uk-UA"/>
        </w:rPr>
        <w:t xml:space="preserve"> </w:t>
      </w:r>
      <w:r w:rsidRPr="003C6DAE">
        <w:rPr>
          <w:rFonts w:ascii="Trebuchet MS"/>
          <w:color w:val="333333"/>
          <w:spacing w:val="-5"/>
          <w:w w:val="80"/>
          <w:sz w:val="20"/>
          <w:lang w:val="uk-UA"/>
        </w:rPr>
        <w:t xml:space="preserve">FP </w:t>
      </w:r>
    </w:p>
    <w:p w14:paraId="2C75EF4C" w14:textId="50C4928F" w:rsidR="00E05B98" w:rsidRPr="003C6DAE" w:rsidRDefault="00B01E0C" w:rsidP="00F925DD">
      <w:pPr>
        <w:spacing w:before="107"/>
        <w:ind w:left="86" w:right="140"/>
        <w:rPr>
          <w:rFonts w:ascii="Trebuchet MS"/>
          <w:sz w:val="20"/>
          <w:lang w:val="uk-UA"/>
        </w:rPr>
      </w:pPr>
      <w:r w:rsidRPr="003C6DAE">
        <w:rPr>
          <w:lang w:val="uk-UA"/>
        </w:rPr>
        <w:br w:type="column"/>
      </w:r>
      <w:r w:rsidRPr="003C6DAE">
        <w:rPr>
          <w:rFonts w:ascii="Trebuchet MS"/>
          <w:color w:val="333333"/>
          <w:w w:val="85"/>
          <w:sz w:val="20"/>
          <w:lang w:val="uk-UA"/>
        </w:rPr>
        <w:t>FN</w:t>
      </w:r>
      <w:r w:rsidRPr="003C6DAE">
        <w:rPr>
          <w:rFonts w:ascii="Trebuchet MS"/>
          <w:color w:val="333333"/>
          <w:spacing w:val="46"/>
          <w:sz w:val="20"/>
          <w:lang w:val="uk-UA"/>
        </w:rPr>
        <w:t xml:space="preserve"> </w:t>
      </w:r>
      <w:r w:rsidRPr="003C6DAE">
        <w:rPr>
          <w:rFonts w:ascii="Trebuchet MS"/>
          <w:color w:val="333333"/>
          <w:spacing w:val="-5"/>
          <w:w w:val="80"/>
          <w:sz w:val="20"/>
          <w:lang w:val="uk-UA"/>
        </w:rPr>
        <w:t>TN</w:t>
      </w:r>
    </w:p>
    <w:p w14:paraId="4369FBC5" w14:textId="77777777" w:rsidR="00E05B98" w:rsidRPr="003C6DAE" w:rsidRDefault="00B01E0C" w:rsidP="00F925DD">
      <w:pPr>
        <w:spacing w:before="107"/>
        <w:ind w:left="119" w:right="140"/>
        <w:rPr>
          <w:rFonts w:ascii="Trebuchet MS"/>
          <w:sz w:val="20"/>
          <w:lang w:val="uk-UA"/>
        </w:rPr>
      </w:pPr>
      <w:r w:rsidRPr="003C6DAE">
        <w:rPr>
          <w:lang w:val="uk-UA"/>
        </w:rPr>
        <w:br w:type="column"/>
      </w:r>
      <w:r w:rsidRPr="003C6DAE">
        <w:rPr>
          <w:rFonts w:ascii="Trebuchet MS"/>
          <w:color w:val="333333"/>
          <w:w w:val="70"/>
          <w:sz w:val="20"/>
          <w:lang w:val="uk-UA"/>
        </w:rPr>
        <w:t>S</w:t>
      </w:r>
      <w:r w:rsidRPr="003C6DAE">
        <w:rPr>
          <w:rFonts w:ascii="Trebuchet MS"/>
          <w:color w:val="333333"/>
          <w:spacing w:val="-1"/>
          <w:w w:val="70"/>
          <w:sz w:val="20"/>
          <w:lang w:val="uk-UA"/>
        </w:rPr>
        <w:t xml:space="preserve"> </w:t>
      </w:r>
      <w:proofErr w:type="spellStart"/>
      <w:r w:rsidRPr="003C6DAE">
        <w:rPr>
          <w:rFonts w:ascii="Trebuchet MS"/>
          <w:color w:val="333333"/>
          <w:w w:val="70"/>
          <w:sz w:val="20"/>
          <w:lang w:val="uk-UA"/>
        </w:rPr>
        <w:t>ens</w:t>
      </w:r>
      <w:proofErr w:type="spellEnd"/>
      <w:r w:rsidRPr="003C6DAE">
        <w:rPr>
          <w:rFonts w:ascii="Trebuchet MS"/>
          <w:color w:val="333333"/>
          <w:spacing w:val="-5"/>
          <w:w w:val="70"/>
          <w:sz w:val="20"/>
          <w:lang w:val="uk-UA"/>
        </w:rPr>
        <w:t xml:space="preserve"> </w:t>
      </w:r>
      <w:proofErr w:type="spellStart"/>
      <w:r w:rsidRPr="003C6DAE">
        <w:rPr>
          <w:rFonts w:ascii="Trebuchet MS"/>
          <w:color w:val="333333"/>
          <w:w w:val="70"/>
          <w:sz w:val="20"/>
          <w:lang w:val="uk-UA"/>
        </w:rPr>
        <w:t>itivity</w:t>
      </w:r>
      <w:proofErr w:type="spellEnd"/>
      <w:r w:rsidRPr="003C6DAE">
        <w:rPr>
          <w:rFonts w:ascii="Trebuchet MS"/>
          <w:color w:val="333333"/>
          <w:spacing w:val="26"/>
          <w:sz w:val="20"/>
          <w:lang w:val="uk-UA"/>
        </w:rPr>
        <w:t xml:space="preserve"> </w:t>
      </w:r>
      <w:r w:rsidRPr="003C6DAE">
        <w:rPr>
          <w:rFonts w:ascii="Trebuchet MS"/>
          <w:color w:val="333333"/>
          <w:w w:val="70"/>
          <w:sz w:val="20"/>
          <w:lang w:val="uk-UA"/>
        </w:rPr>
        <w:t>(95%</w:t>
      </w:r>
      <w:r w:rsidRPr="003C6DAE">
        <w:rPr>
          <w:rFonts w:ascii="Trebuchet MS"/>
          <w:color w:val="333333"/>
          <w:spacing w:val="29"/>
          <w:sz w:val="20"/>
          <w:lang w:val="uk-UA"/>
        </w:rPr>
        <w:t xml:space="preserve"> </w:t>
      </w:r>
      <w:r w:rsidRPr="003C6DAE">
        <w:rPr>
          <w:rFonts w:ascii="Trebuchet MS"/>
          <w:color w:val="333333"/>
          <w:w w:val="70"/>
          <w:sz w:val="20"/>
          <w:lang w:val="uk-UA"/>
        </w:rPr>
        <w:t>C</w:t>
      </w:r>
      <w:r w:rsidRPr="003C6DAE">
        <w:rPr>
          <w:rFonts w:ascii="Trebuchet MS"/>
          <w:color w:val="333333"/>
          <w:spacing w:val="-9"/>
          <w:w w:val="70"/>
          <w:sz w:val="20"/>
          <w:lang w:val="uk-UA"/>
        </w:rPr>
        <w:t xml:space="preserve"> </w:t>
      </w:r>
      <w:r w:rsidRPr="003C6DAE">
        <w:rPr>
          <w:rFonts w:ascii="Trebuchet MS"/>
          <w:color w:val="333333"/>
          <w:spacing w:val="-5"/>
          <w:w w:val="70"/>
          <w:sz w:val="20"/>
          <w:lang w:val="uk-UA"/>
        </w:rPr>
        <w:t>I)</w:t>
      </w:r>
    </w:p>
    <w:p w14:paraId="53EC8124" w14:textId="77777777" w:rsidR="00E05B98" w:rsidRPr="003C6DAE" w:rsidRDefault="00B01E0C" w:rsidP="00F925DD">
      <w:pPr>
        <w:spacing w:before="107"/>
        <w:ind w:left="80" w:right="140"/>
        <w:rPr>
          <w:rFonts w:ascii="Trebuchet MS"/>
          <w:sz w:val="20"/>
          <w:lang w:val="uk-UA"/>
        </w:rPr>
      </w:pPr>
      <w:r w:rsidRPr="003C6DAE">
        <w:rPr>
          <w:lang w:val="uk-UA"/>
        </w:rPr>
        <w:br w:type="column"/>
      </w:r>
      <w:r w:rsidRPr="003C6DAE">
        <w:rPr>
          <w:rFonts w:ascii="Trebuchet MS"/>
          <w:color w:val="333333"/>
          <w:w w:val="70"/>
          <w:sz w:val="20"/>
          <w:lang w:val="uk-UA"/>
        </w:rPr>
        <w:t>S</w:t>
      </w:r>
      <w:r w:rsidRPr="003C6DAE">
        <w:rPr>
          <w:rFonts w:ascii="Trebuchet MS"/>
          <w:color w:val="333333"/>
          <w:spacing w:val="-14"/>
          <w:sz w:val="20"/>
          <w:lang w:val="uk-UA"/>
        </w:rPr>
        <w:t xml:space="preserve"> </w:t>
      </w:r>
      <w:proofErr w:type="spellStart"/>
      <w:r w:rsidRPr="003C6DAE">
        <w:rPr>
          <w:rFonts w:ascii="Trebuchet MS"/>
          <w:color w:val="333333"/>
          <w:w w:val="70"/>
          <w:sz w:val="20"/>
          <w:lang w:val="uk-UA"/>
        </w:rPr>
        <w:t>pecificity</w:t>
      </w:r>
      <w:proofErr w:type="spellEnd"/>
      <w:r w:rsidRPr="003C6DAE">
        <w:rPr>
          <w:rFonts w:ascii="Trebuchet MS"/>
          <w:color w:val="333333"/>
          <w:spacing w:val="35"/>
          <w:sz w:val="20"/>
          <w:lang w:val="uk-UA"/>
        </w:rPr>
        <w:t xml:space="preserve"> </w:t>
      </w:r>
      <w:r w:rsidRPr="003C6DAE">
        <w:rPr>
          <w:rFonts w:ascii="Trebuchet MS"/>
          <w:color w:val="333333"/>
          <w:w w:val="70"/>
          <w:sz w:val="20"/>
          <w:lang w:val="uk-UA"/>
        </w:rPr>
        <w:t>(95%</w:t>
      </w:r>
      <w:r w:rsidRPr="003C6DAE">
        <w:rPr>
          <w:rFonts w:ascii="Trebuchet MS"/>
          <w:color w:val="333333"/>
          <w:spacing w:val="40"/>
          <w:sz w:val="20"/>
          <w:lang w:val="uk-UA"/>
        </w:rPr>
        <w:t xml:space="preserve"> </w:t>
      </w:r>
      <w:r w:rsidRPr="003C6DAE">
        <w:rPr>
          <w:rFonts w:ascii="Trebuchet MS"/>
          <w:color w:val="333333"/>
          <w:w w:val="70"/>
          <w:sz w:val="20"/>
          <w:lang w:val="uk-UA"/>
        </w:rPr>
        <w:t>C</w:t>
      </w:r>
      <w:r w:rsidRPr="003C6DAE">
        <w:rPr>
          <w:rFonts w:ascii="Trebuchet MS"/>
          <w:color w:val="333333"/>
          <w:spacing w:val="-5"/>
          <w:w w:val="70"/>
          <w:sz w:val="20"/>
          <w:lang w:val="uk-UA"/>
        </w:rPr>
        <w:t xml:space="preserve"> I)</w:t>
      </w:r>
    </w:p>
    <w:p w14:paraId="33233458" w14:textId="77777777" w:rsidR="00E05B98" w:rsidRPr="003C6DAE" w:rsidRDefault="00B01E0C" w:rsidP="00F925DD">
      <w:pPr>
        <w:tabs>
          <w:tab w:val="left" w:pos="1747"/>
        </w:tabs>
        <w:spacing w:before="107"/>
        <w:ind w:left="93" w:right="140"/>
        <w:rPr>
          <w:rFonts w:ascii="Trebuchet MS"/>
          <w:sz w:val="20"/>
          <w:lang w:val="uk-UA"/>
        </w:rPr>
      </w:pPr>
      <w:r w:rsidRPr="003C6DAE">
        <w:rPr>
          <w:lang w:val="uk-UA"/>
        </w:rPr>
        <w:br w:type="column"/>
      </w:r>
      <w:r w:rsidRPr="003C6DAE">
        <w:rPr>
          <w:rFonts w:ascii="Trebuchet MS"/>
          <w:color w:val="333333"/>
          <w:w w:val="70"/>
          <w:sz w:val="20"/>
          <w:lang w:val="uk-UA"/>
        </w:rPr>
        <w:t>S</w:t>
      </w:r>
      <w:r w:rsidRPr="003C6DAE">
        <w:rPr>
          <w:rFonts w:ascii="Trebuchet MS"/>
          <w:color w:val="333333"/>
          <w:spacing w:val="-1"/>
          <w:w w:val="70"/>
          <w:sz w:val="20"/>
          <w:lang w:val="uk-UA"/>
        </w:rPr>
        <w:t xml:space="preserve"> </w:t>
      </w:r>
      <w:proofErr w:type="spellStart"/>
      <w:r w:rsidRPr="003C6DAE">
        <w:rPr>
          <w:rFonts w:ascii="Trebuchet MS"/>
          <w:color w:val="333333"/>
          <w:w w:val="70"/>
          <w:sz w:val="20"/>
          <w:lang w:val="uk-UA"/>
        </w:rPr>
        <w:t>ens</w:t>
      </w:r>
      <w:proofErr w:type="spellEnd"/>
      <w:r w:rsidRPr="003C6DAE">
        <w:rPr>
          <w:rFonts w:ascii="Trebuchet MS"/>
          <w:color w:val="333333"/>
          <w:spacing w:val="-5"/>
          <w:w w:val="70"/>
          <w:sz w:val="20"/>
          <w:lang w:val="uk-UA"/>
        </w:rPr>
        <w:t xml:space="preserve"> </w:t>
      </w:r>
      <w:proofErr w:type="spellStart"/>
      <w:r w:rsidRPr="003C6DAE">
        <w:rPr>
          <w:rFonts w:ascii="Trebuchet MS"/>
          <w:color w:val="333333"/>
          <w:w w:val="70"/>
          <w:sz w:val="20"/>
          <w:lang w:val="uk-UA"/>
        </w:rPr>
        <w:t>itivity</w:t>
      </w:r>
      <w:proofErr w:type="spellEnd"/>
      <w:r w:rsidRPr="003C6DAE">
        <w:rPr>
          <w:rFonts w:ascii="Trebuchet MS"/>
          <w:color w:val="333333"/>
          <w:spacing w:val="26"/>
          <w:sz w:val="20"/>
          <w:lang w:val="uk-UA"/>
        </w:rPr>
        <w:t xml:space="preserve"> </w:t>
      </w:r>
      <w:r w:rsidRPr="003C6DAE">
        <w:rPr>
          <w:rFonts w:ascii="Trebuchet MS"/>
          <w:color w:val="333333"/>
          <w:w w:val="70"/>
          <w:sz w:val="20"/>
          <w:lang w:val="uk-UA"/>
        </w:rPr>
        <w:t>(95%</w:t>
      </w:r>
      <w:r w:rsidRPr="003C6DAE">
        <w:rPr>
          <w:rFonts w:ascii="Trebuchet MS"/>
          <w:color w:val="333333"/>
          <w:spacing w:val="29"/>
          <w:sz w:val="20"/>
          <w:lang w:val="uk-UA"/>
        </w:rPr>
        <w:t xml:space="preserve"> </w:t>
      </w:r>
      <w:r w:rsidRPr="003C6DAE">
        <w:rPr>
          <w:rFonts w:ascii="Trebuchet MS"/>
          <w:color w:val="333333"/>
          <w:w w:val="70"/>
          <w:sz w:val="20"/>
          <w:lang w:val="uk-UA"/>
        </w:rPr>
        <w:t>C</w:t>
      </w:r>
      <w:r w:rsidRPr="003C6DAE">
        <w:rPr>
          <w:rFonts w:ascii="Trebuchet MS"/>
          <w:color w:val="333333"/>
          <w:spacing w:val="-9"/>
          <w:w w:val="70"/>
          <w:sz w:val="20"/>
          <w:lang w:val="uk-UA"/>
        </w:rPr>
        <w:t xml:space="preserve"> </w:t>
      </w:r>
      <w:r w:rsidRPr="003C6DAE">
        <w:rPr>
          <w:rFonts w:ascii="Trebuchet MS"/>
          <w:color w:val="333333"/>
          <w:spacing w:val="-5"/>
          <w:w w:val="70"/>
          <w:sz w:val="20"/>
          <w:lang w:val="uk-UA"/>
        </w:rPr>
        <w:t>I)</w:t>
      </w:r>
      <w:r w:rsidRPr="003C6DAE">
        <w:rPr>
          <w:rFonts w:ascii="Trebuchet MS"/>
          <w:color w:val="333333"/>
          <w:sz w:val="20"/>
          <w:lang w:val="uk-UA"/>
        </w:rPr>
        <w:tab/>
      </w:r>
      <w:r w:rsidRPr="003C6DAE">
        <w:rPr>
          <w:rFonts w:ascii="Trebuchet MS"/>
          <w:color w:val="333333"/>
          <w:w w:val="70"/>
          <w:sz w:val="20"/>
          <w:lang w:val="uk-UA"/>
        </w:rPr>
        <w:t>S</w:t>
      </w:r>
      <w:r w:rsidRPr="003C6DAE">
        <w:rPr>
          <w:rFonts w:ascii="Trebuchet MS"/>
          <w:color w:val="333333"/>
          <w:spacing w:val="-14"/>
          <w:sz w:val="20"/>
          <w:lang w:val="uk-UA"/>
        </w:rPr>
        <w:t xml:space="preserve"> </w:t>
      </w:r>
      <w:proofErr w:type="spellStart"/>
      <w:r w:rsidRPr="003C6DAE">
        <w:rPr>
          <w:rFonts w:ascii="Trebuchet MS"/>
          <w:color w:val="333333"/>
          <w:w w:val="70"/>
          <w:sz w:val="20"/>
          <w:lang w:val="uk-UA"/>
        </w:rPr>
        <w:t>pecificity</w:t>
      </w:r>
      <w:proofErr w:type="spellEnd"/>
      <w:r w:rsidRPr="003C6DAE">
        <w:rPr>
          <w:rFonts w:ascii="Trebuchet MS"/>
          <w:color w:val="333333"/>
          <w:spacing w:val="35"/>
          <w:sz w:val="20"/>
          <w:lang w:val="uk-UA"/>
        </w:rPr>
        <w:t xml:space="preserve"> </w:t>
      </w:r>
      <w:r w:rsidRPr="003C6DAE">
        <w:rPr>
          <w:rFonts w:ascii="Trebuchet MS"/>
          <w:color w:val="333333"/>
          <w:w w:val="70"/>
          <w:sz w:val="20"/>
          <w:lang w:val="uk-UA"/>
        </w:rPr>
        <w:t>(95%</w:t>
      </w:r>
      <w:r w:rsidRPr="003C6DAE">
        <w:rPr>
          <w:rFonts w:ascii="Trebuchet MS"/>
          <w:color w:val="333333"/>
          <w:spacing w:val="40"/>
          <w:sz w:val="20"/>
          <w:lang w:val="uk-UA"/>
        </w:rPr>
        <w:t xml:space="preserve"> </w:t>
      </w:r>
      <w:r w:rsidRPr="003C6DAE">
        <w:rPr>
          <w:rFonts w:ascii="Trebuchet MS"/>
          <w:color w:val="333333"/>
          <w:w w:val="70"/>
          <w:sz w:val="20"/>
          <w:lang w:val="uk-UA"/>
        </w:rPr>
        <w:t>C</w:t>
      </w:r>
      <w:r w:rsidRPr="003C6DAE">
        <w:rPr>
          <w:rFonts w:ascii="Trebuchet MS"/>
          <w:color w:val="333333"/>
          <w:spacing w:val="-5"/>
          <w:w w:val="70"/>
          <w:sz w:val="20"/>
          <w:lang w:val="uk-UA"/>
        </w:rPr>
        <w:t xml:space="preserve"> I)</w:t>
      </w:r>
    </w:p>
    <w:p w14:paraId="689BEDE1" w14:textId="77777777" w:rsidR="00E05B98" w:rsidRPr="003C6DAE" w:rsidRDefault="00E05B98" w:rsidP="00F925DD">
      <w:pPr>
        <w:ind w:right="140"/>
        <w:rPr>
          <w:rFonts w:ascii="Trebuchet MS"/>
          <w:sz w:val="20"/>
          <w:lang w:val="uk-UA"/>
        </w:rPr>
        <w:sectPr w:rsidR="00E05B98" w:rsidRPr="003C6DAE" w:rsidSect="00F925DD">
          <w:type w:val="continuous"/>
          <w:pgSz w:w="11910" w:h="16840"/>
          <w:pgMar w:top="1920" w:right="995" w:bottom="280" w:left="850" w:header="0" w:footer="573" w:gutter="0"/>
          <w:cols w:num="6" w:space="720" w:equalWidth="0">
            <w:col w:w="1147" w:space="182"/>
            <w:col w:w="1221" w:space="39"/>
            <w:col w:w="604" w:space="40"/>
            <w:col w:w="1520" w:space="40"/>
            <w:col w:w="1481" w:space="39"/>
            <w:col w:w="3472"/>
          </w:cols>
        </w:sectPr>
      </w:pPr>
    </w:p>
    <w:p w14:paraId="4101CFBE" w14:textId="7186C729" w:rsidR="00B2045E" w:rsidRPr="00F925DD" w:rsidRDefault="00B2045E" w:rsidP="00B2045E">
      <w:pPr>
        <w:spacing w:before="76"/>
        <w:ind w:left="695" w:right="140"/>
        <w:rPr>
          <w:rFonts w:ascii="Trebuchet MS"/>
          <w:w w:val="65"/>
          <w:sz w:val="16"/>
          <w:szCs w:val="16"/>
          <w:lang w:val="uk-UA"/>
        </w:rPr>
      </w:pPr>
    </w:p>
    <w:p w14:paraId="53FA0E11" w14:textId="77777777" w:rsidR="00E05B98" w:rsidRPr="00F925DD" w:rsidRDefault="00E05B98" w:rsidP="00F925DD">
      <w:pPr>
        <w:ind w:right="140"/>
        <w:rPr>
          <w:rFonts w:ascii="Trebuchet MS"/>
          <w:sz w:val="16"/>
          <w:szCs w:val="16"/>
          <w:lang w:val="uk-UA"/>
        </w:rPr>
        <w:sectPr w:rsidR="00E05B98" w:rsidRPr="00F925DD" w:rsidSect="00F925DD">
          <w:type w:val="continuous"/>
          <w:pgSz w:w="11910" w:h="16840"/>
          <w:pgMar w:top="1920" w:right="995" w:bottom="280" w:left="850" w:header="0" w:footer="573" w:gutter="0"/>
          <w:cols w:num="4" w:space="720" w:equalWidth="0">
            <w:col w:w="1774" w:space="40"/>
            <w:col w:w="1360" w:space="39"/>
            <w:col w:w="1495" w:space="40"/>
            <w:col w:w="5037"/>
          </w:cols>
        </w:sectPr>
      </w:pPr>
    </w:p>
    <w:p w14:paraId="6254E274" w14:textId="77777777" w:rsidR="00B2045E" w:rsidRDefault="00B2045E" w:rsidP="004D5917">
      <w:pPr>
        <w:spacing w:line="254" w:lineRule="auto"/>
        <w:ind w:left="567" w:right="-141"/>
        <w:rPr>
          <w:sz w:val="16"/>
          <w:szCs w:val="16"/>
          <w:lang w:val="uk-UA"/>
        </w:rPr>
      </w:pPr>
    </w:p>
    <w:p w14:paraId="7001E942" w14:textId="77777777" w:rsidR="00B2045E" w:rsidRDefault="00B2045E" w:rsidP="004D5917">
      <w:pPr>
        <w:spacing w:line="254" w:lineRule="auto"/>
        <w:ind w:left="567" w:right="-141"/>
        <w:rPr>
          <w:sz w:val="16"/>
          <w:szCs w:val="16"/>
          <w:lang w:val="uk-UA"/>
        </w:rPr>
      </w:pPr>
    </w:p>
    <w:p w14:paraId="05DBF0B4" w14:textId="77777777" w:rsidR="00B2045E" w:rsidRDefault="00B2045E" w:rsidP="004D5917">
      <w:pPr>
        <w:spacing w:line="254" w:lineRule="auto"/>
        <w:ind w:left="567" w:right="-141"/>
        <w:rPr>
          <w:sz w:val="16"/>
          <w:szCs w:val="16"/>
          <w:lang w:val="uk-UA"/>
        </w:rPr>
      </w:pPr>
    </w:p>
    <w:p w14:paraId="375A6CC8" w14:textId="34D977B7" w:rsidR="00E05B98" w:rsidRPr="00B125A2" w:rsidRDefault="004D5917" w:rsidP="004D5917">
      <w:pPr>
        <w:spacing w:line="254" w:lineRule="auto"/>
        <w:ind w:left="567" w:right="-141"/>
        <w:rPr>
          <w:sz w:val="15"/>
          <w:szCs w:val="15"/>
          <w:lang w:val="uk-UA"/>
        </w:rPr>
      </w:pPr>
      <w:r w:rsidRPr="00B125A2">
        <w:rPr>
          <w:sz w:val="15"/>
          <w:szCs w:val="15"/>
          <w:lang w:val="uk-UA"/>
        </w:rPr>
        <w:t>ДІ: довірчий інтервал; FN: хибнонегативний результат; FP: хибнопозитивний результат; рТАНК-НС: ручний тест ампліфікаці</w:t>
      </w:r>
      <w:r w:rsidR="00B125A2" w:rsidRPr="00B125A2">
        <w:rPr>
          <w:sz w:val="15"/>
          <w:szCs w:val="15"/>
          <w:lang w:val="uk-UA"/>
        </w:rPr>
        <w:t>ї</w:t>
      </w:r>
      <w:r w:rsidRPr="00B125A2">
        <w:rPr>
          <w:sz w:val="15"/>
          <w:szCs w:val="15"/>
          <w:lang w:val="uk-UA"/>
        </w:rPr>
        <w:t xml:space="preserve"> нуклеїнових кислот низької складності; MRS: мікробіологічний еталонний стандарт; ТБ: туберкульоз; TN: істинно негативний результат; TP: істинно позитивний результат.</w:t>
      </w:r>
    </w:p>
    <w:p w14:paraId="230BF745" w14:textId="4F9233B6" w:rsidR="00E05B98" w:rsidRPr="003C6DAE" w:rsidRDefault="00B01E0C" w:rsidP="00F925DD">
      <w:pPr>
        <w:spacing w:before="57"/>
        <w:ind w:left="567" w:right="140"/>
        <w:rPr>
          <w:sz w:val="18"/>
          <w:lang w:val="uk-UA"/>
        </w:rPr>
      </w:pPr>
      <w:r w:rsidRPr="003C6DAE">
        <w:rPr>
          <w:spacing w:val="-2"/>
          <w:sz w:val="18"/>
          <w:vertAlign w:val="superscript"/>
          <w:lang w:val="uk-UA"/>
        </w:rPr>
        <w:t>a</w:t>
      </w:r>
      <w:r w:rsidRPr="003C6DAE">
        <w:rPr>
          <w:spacing w:val="-21"/>
          <w:sz w:val="18"/>
          <w:lang w:val="uk-UA"/>
        </w:rPr>
        <w:t xml:space="preserve"> </w:t>
      </w:r>
      <w:r w:rsidR="004D5917" w:rsidRPr="00C92D8A">
        <w:rPr>
          <w:sz w:val="16"/>
          <w:szCs w:val="16"/>
          <w:lang w:val="uk-UA"/>
        </w:rPr>
        <w:t>Дослідження впорядковано за зростанням чутливості</w:t>
      </w:r>
      <w:r w:rsidRPr="003C6DAE">
        <w:rPr>
          <w:spacing w:val="-2"/>
          <w:sz w:val="18"/>
          <w:lang w:val="uk-UA"/>
        </w:rPr>
        <w:t>.</w:t>
      </w:r>
    </w:p>
    <w:p w14:paraId="1D19D7E7" w14:textId="77777777" w:rsidR="00E05B98" w:rsidRPr="003C6DAE" w:rsidRDefault="00E05B98" w:rsidP="00F925DD">
      <w:pPr>
        <w:ind w:right="140"/>
        <w:rPr>
          <w:sz w:val="18"/>
          <w:lang w:val="uk-UA"/>
        </w:rPr>
        <w:sectPr w:rsidR="00E05B98" w:rsidRPr="003C6DAE" w:rsidSect="00F925DD">
          <w:type w:val="continuous"/>
          <w:pgSz w:w="11910" w:h="16840"/>
          <w:pgMar w:top="1920" w:right="995" w:bottom="280" w:left="850" w:header="0" w:footer="573" w:gutter="0"/>
          <w:cols w:space="720"/>
        </w:sectPr>
      </w:pPr>
    </w:p>
    <w:p w14:paraId="037C777D" w14:textId="368B1423" w:rsidR="00E05B98" w:rsidRPr="004D5917" w:rsidRDefault="007417D7" w:rsidP="004D5917">
      <w:pPr>
        <w:pStyle w:val="7"/>
        <w:spacing w:before="46" w:line="249" w:lineRule="auto"/>
        <w:ind w:right="142"/>
        <w:jc w:val="both"/>
        <w:rPr>
          <w:sz w:val="22"/>
          <w:szCs w:val="22"/>
          <w:lang w:val="uk-UA"/>
        </w:rPr>
      </w:pPr>
      <w:r w:rsidRPr="007417D7">
        <w:rPr>
          <w:color w:val="019648"/>
          <w:sz w:val="22"/>
          <w:szCs w:val="22"/>
          <w:lang w:val="uk-UA"/>
        </w:rPr>
        <w:lastRenderedPageBreak/>
        <w:t>Чи слід використовувати рТАНК-НС на зразках шлункового аспірату для діагностики ТБ легень у дітей з ознаками та симптомами легеневого туберкульозу на противагу MRS?</w:t>
      </w:r>
    </w:p>
    <w:p w14:paraId="59009D39" w14:textId="14582005" w:rsidR="00E05B98" w:rsidRPr="004D5917" w:rsidRDefault="007417D7" w:rsidP="004D5917">
      <w:pPr>
        <w:pStyle w:val="a3"/>
        <w:spacing w:before="216" w:line="269" w:lineRule="auto"/>
        <w:ind w:left="567" w:right="142"/>
        <w:jc w:val="both"/>
        <w:rPr>
          <w:sz w:val="20"/>
          <w:szCs w:val="20"/>
          <w:lang w:val="uk-UA"/>
        </w:rPr>
      </w:pPr>
      <w:r w:rsidRPr="007417D7">
        <w:rPr>
          <w:sz w:val="20"/>
          <w:szCs w:val="20"/>
          <w:lang w:val="uk-UA"/>
        </w:rPr>
        <w:t>Три дослідження (176 учасників, включаючи 14 осіб з ТБ легень) оцінювали точність рТАНК-НС для виявлення ТБ легень з використанням шлункового аспірату на противагу мікробіологічному еталонному стандарту (MRS) (</w:t>
      </w:r>
      <w:r w:rsidRPr="007417D7">
        <w:rPr>
          <w:b/>
          <w:bCs/>
          <w:sz w:val="20"/>
          <w:szCs w:val="20"/>
          <w:lang w:val="uk-UA"/>
        </w:rPr>
        <w:t>Рис. 2.2.1.4</w:t>
      </w:r>
      <w:r w:rsidRPr="007417D7">
        <w:rPr>
          <w:sz w:val="20"/>
          <w:szCs w:val="20"/>
          <w:lang w:val="uk-UA"/>
        </w:rPr>
        <w:t xml:space="preserve">). Чутливість не була оцінена для двох досліджень, </w:t>
      </w:r>
      <w:r w:rsidR="0067671C">
        <w:rPr>
          <w:sz w:val="20"/>
          <w:szCs w:val="20"/>
          <w:lang w:val="uk-UA"/>
        </w:rPr>
        <w:t>а</w:t>
      </w:r>
      <w:r w:rsidRPr="007417D7">
        <w:rPr>
          <w:sz w:val="20"/>
          <w:szCs w:val="20"/>
          <w:lang w:val="uk-UA"/>
        </w:rPr>
        <w:t xml:space="preserve"> </w:t>
      </w:r>
      <w:r w:rsidR="0067671C" w:rsidRPr="007417D7">
        <w:rPr>
          <w:sz w:val="20"/>
          <w:szCs w:val="20"/>
          <w:lang w:val="uk-UA"/>
        </w:rPr>
        <w:t xml:space="preserve">під час проведення третього дослідження </w:t>
      </w:r>
      <w:r w:rsidRPr="007417D7">
        <w:rPr>
          <w:sz w:val="20"/>
          <w:szCs w:val="20"/>
          <w:lang w:val="uk-UA"/>
        </w:rPr>
        <w:t>становила 64%</w:t>
      </w:r>
      <w:r w:rsidR="0067671C">
        <w:rPr>
          <w:sz w:val="20"/>
          <w:szCs w:val="20"/>
          <w:lang w:val="uk-UA"/>
        </w:rPr>
        <w:t xml:space="preserve">. </w:t>
      </w:r>
      <w:r w:rsidRPr="007417D7">
        <w:rPr>
          <w:sz w:val="20"/>
          <w:szCs w:val="20"/>
          <w:lang w:val="uk-UA"/>
        </w:rPr>
        <w:t>Специфічність становила від 93% до 100%.</w:t>
      </w:r>
    </w:p>
    <w:p w14:paraId="079C70FF" w14:textId="560EFF3A" w:rsidR="00E05B98" w:rsidRPr="003C6DAE" w:rsidRDefault="007417D7" w:rsidP="004D5917">
      <w:pPr>
        <w:pStyle w:val="6"/>
        <w:spacing w:before="240" w:line="249" w:lineRule="auto"/>
        <w:ind w:right="140"/>
        <w:jc w:val="both"/>
        <w:rPr>
          <w:lang w:val="uk-UA"/>
        </w:rPr>
      </w:pPr>
      <w:r>
        <w:rPr>
          <w:color w:val="636466"/>
          <w:sz w:val="20"/>
          <w:szCs w:val="20"/>
          <w:lang w:val="uk-UA"/>
        </w:rPr>
        <w:t>Рис</w:t>
      </w:r>
      <w:r w:rsidR="00B01E0C" w:rsidRPr="004D5917">
        <w:rPr>
          <w:color w:val="636466"/>
          <w:sz w:val="20"/>
          <w:szCs w:val="20"/>
          <w:lang w:val="uk-UA"/>
        </w:rPr>
        <w:t xml:space="preserve">. 2.2.1.4 </w:t>
      </w:r>
      <w:r w:rsidRPr="007417D7">
        <w:rPr>
          <w:color w:val="636466"/>
          <w:sz w:val="20"/>
          <w:szCs w:val="20"/>
          <w:lang w:val="uk-UA"/>
        </w:rPr>
        <w:t xml:space="preserve">Лісова діаграма чутливості та специфічності рТАНК-НС для виявлення ТБ легень у шлунковому аспіраті та </w:t>
      </w:r>
      <w:proofErr w:type="spellStart"/>
      <w:r w:rsidRPr="007417D7">
        <w:rPr>
          <w:color w:val="636466"/>
          <w:sz w:val="20"/>
          <w:szCs w:val="20"/>
          <w:lang w:val="uk-UA"/>
        </w:rPr>
        <w:t>MRS</w:t>
      </w:r>
      <w:r w:rsidR="00B01E0C" w:rsidRPr="003C6DAE">
        <w:rPr>
          <w:color w:val="636466"/>
          <w:vertAlign w:val="superscript"/>
          <w:lang w:val="uk-UA"/>
        </w:rPr>
        <w:t>a</w:t>
      </w:r>
      <w:proofErr w:type="spellEnd"/>
    </w:p>
    <w:p w14:paraId="17A79F96" w14:textId="1F1F9BA1" w:rsidR="00E05B98" w:rsidRPr="003C6DAE" w:rsidRDefault="007417D7" w:rsidP="004D5917">
      <w:pPr>
        <w:pStyle w:val="a3"/>
        <w:spacing w:before="8"/>
        <w:ind w:right="140"/>
        <w:rPr>
          <w:rFonts w:ascii="Arial"/>
          <w:b/>
          <w:sz w:val="19"/>
          <w:lang w:val="uk-UA"/>
        </w:rPr>
      </w:pPr>
      <w:r w:rsidRPr="003C6DAE">
        <w:rPr>
          <w:rFonts w:ascii="Arial"/>
          <w:b/>
          <w:noProof/>
          <w:sz w:val="24"/>
          <w:lang w:val="uk-UA"/>
        </w:rPr>
        <mc:AlternateContent>
          <mc:Choice Requires="wps">
            <w:drawing>
              <wp:anchor distT="0" distB="0" distL="114300" distR="114300" simplePos="0" relativeHeight="488110592" behindDoc="0" locked="0" layoutInCell="1" allowOverlap="1" wp14:anchorId="2672E51C" wp14:editId="02950C99">
                <wp:simplePos x="0" y="0"/>
                <wp:positionH relativeFrom="margin">
                  <wp:posOffset>189054</wp:posOffset>
                </wp:positionH>
                <wp:positionV relativeFrom="paragraph">
                  <wp:posOffset>91446</wp:posOffset>
                </wp:positionV>
                <wp:extent cx="6482281" cy="225796"/>
                <wp:effectExtent l="0" t="0" r="0" b="3175"/>
                <wp:wrapNone/>
                <wp:docPr id="1449338126" name="Поле 1449338126"/>
                <wp:cNvGraphicFramePr/>
                <a:graphic xmlns:a="http://schemas.openxmlformats.org/drawingml/2006/main">
                  <a:graphicData uri="http://schemas.microsoft.com/office/word/2010/wordprocessingShape">
                    <wps:wsp>
                      <wps:cNvSpPr txBox="1"/>
                      <wps:spPr>
                        <a:xfrm>
                          <a:off x="0" y="0"/>
                          <a:ext cx="6482281" cy="225796"/>
                        </a:xfrm>
                        <a:prstGeom prst="rect">
                          <a:avLst/>
                        </a:prstGeom>
                        <a:solidFill>
                          <a:schemeClr val="bg1"/>
                        </a:solidFill>
                        <a:ln w="6350">
                          <a:noFill/>
                        </a:ln>
                      </wps:spPr>
                      <wps:txbx>
                        <w:txbxContent>
                          <w:p w14:paraId="51D9950D" w14:textId="7CD5580B" w:rsidR="007372B2" w:rsidRPr="007417D7" w:rsidRDefault="007372B2" w:rsidP="00F925DD">
                            <w:pPr>
                              <w:ind w:left="2160" w:hanging="2018"/>
                              <w:rPr>
                                <w:rFonts w:asciiTheme="minorHAnsi" w:hAnsiTheme="minorHAnsi" w:cstheme="minorHAnsi"/>
                                <w:b/>
                                <w:sz w:val="16"/>
                                <w:szCs w:val="16"/>
                                <w:lang w:val="uk-UA"/>
                              </w:rPr>
                            </w:pPr>
                            <w:r w:rsidRPr="007417D7">
                              <w:rPr>
                                <w:rFonts w:asciiTheme="minorHAnsi" w:hAnsiTheme="minorHAnsi" w:cstheme="minorHAnsi"/>
                                <w:b/>
                                <w:sz w:val="16"/>
                                <w:szCs w:val="16"/>
                                <w:lang w:val="uk-UA"/>
                              </w:rPr>
                              <w:t xml:space="preserve">Дослідження              </w:t>
                            </w:r>
                            <w:r>
                              <w:rPr>
                                <w:rFonts w:asciiTheme="minorHAnsi" w:hAnsiTheme="minorHAnsi" w:cstheme="minorHAnsi"/>
                                <w:b/>
                                <w:sz w:val="16"/>
                                <w:szCs w:val="16"/>
                                <w:lang w:val="uk-UA"/>
                              </w:rPr>
                              <w:t xml:space="preserve">  </w:t>
                            </w:r>
                            <w:r w:rsidRPr="007417D7">
                              <w:rPr>
                                <w:rFonts w:asciiTheme="minorHAnsi" w:hAnsiTheme="minorHAnsi" w:cstheme="minorHAnsi"/>
                                <w:b/>
                                <w:sz w:val="16"/>
                                <w:szCs w:val="16"/>
                              </w:rPr>
                              <w:t xml:space="preserve">TP    FP    </w:t>
                            </w:r>
                            <w:r w:rsidRPr="007417D7">
                              <w:rPr>
                                <w:rFonts w:asciiTheme="minorHAnsi" w:hAnsiTheme="minorHAnsi" w:cstheme="minorHAnsi"/>
                                <w:b/>
                                <w:sz w:val="16"/>
                                <w:szCs w:val="16"/>
                                <w:lang w:val="uk-UA"/>
                              </w:rPr>
                              <w:t xml:space="preserve"> </w:t>
                            </w:r>
                            <w:r w:rsidRPr="007417D7">
                              <w:rPr>
                                <w:rFonts w:asciiTheme="minorHAnsi" w:hAnsiTheme="minorHAnsi" w:cstheme="minorHAnsi"/>
                                <w:b/>
                                <w:sz w:val="16"/>
                                <w:szCs w:val="16"/>
                              </w:rPr>
                              <w:t xml:space="preserve">FN   </w:t>
                            </w:r>
                            <w:r w:rsidRPr="007417D7">
                              <w:rPr>
                                <w:rFonts w:asciiTheme="minorHAnsi" w:hAnsiTheme="minorHAnsi" w:cstheme="minorHAnsi"/>
                                <w:b/>
                                <w:sz w:val="16"/>
                                <w:szCs w:val="16"/>
                                <w:lang w:val="uk-UA"/>
                              </w:rPr>
                              <w:t xml:space="preserve"> </w:t>
                            </w:r>
                            <w:r w:rsidRPr="007417D7">
                              <w:rPr>
                                <w:rFonts w:asciiTheme="minorHAnsi" w:hAnsiTheme="minorHAnsi" w:cstheme="minorHAnsi"/>
                                <w:b/>
                                <w:sz w:val="16"/>
                                <w:szCs w:val="16"/>
                              </w:rPr>
                              <w:t xml:space="preserve">TN        </w:t>
                            </w:r>
                            <w:r w:rsidRPr="007417D7">
                              <w:rPr>
                                <w:rFonts w:asciiTheme="minorHAnsi" w:hAnsiTheme="minorHAnsi" w:cstheme="minorHAnsi"/>
                                <w:b/>
                                <w:sz w:val="16"/>
                                <w:szCs w:val="16"/>
                                <w:lang w:val="uk-UA"/>
                              </w:rPr>
                              <w:t xml:space="preserve">Чутливість (95% ДІ)    Специфічність (95% ДІ)  </w:t>
                            </w:r>
                            <w:r w:rsidRPr="007417D7">
                              <w:rPr>
                                <w:rFonts w:asciiTheme="minorHAnsi" w:hAnsiTheme="minorHAnsi" w:cstheme="minorHAnsi"/>
                                <w:b/>
                                <w:sz w:val="16"/>
                                <w:szCs w:val="16"/>
                              </w:rPr>
                              <w:t xml:space="preserve">    </w:t>
                            </w:r>
                            <w:r w:rsidRPr="007417D7">
                              <w:rPr>
                                <w:rFonts w:asciiTheme="minorHAnsi" w:hAnsiTheme="minorHAnsi" w:cstheme="minorHAnsi"/>
                                <w:b/>
                                <w:sz w:val="16"/>
                                <w:szCs w:val="16"/>
                                <w:lang w:val="uk-UA"/>
                              </w:rPr>
                              <w:t xml:space="preserve">   Чутливість (95% ДІ)        Специфічність (95% ДІ)</w:t>
                            </w:r>
                            <w:r w:rsidRPr="007417D7">
                              <w:rPr>
                                <w:rFonts w:asciiTheme="minorHAnsi" w:hAnsiTheme="minorHAnsi" w:cstheme="minorHAnsi"/>
                                <w:b/>
                                <w:sz w:val="16"/>
                                <w:szCs w:val="16"/>
                              </w:rPr>
                              <w:t xml:space="preserve">          </w:t>
                            </w:r>
                            <w:r w:rsidRPr="007417D7">
                              <w:rPr>
                                <w:rFonts w:asciiTheme="minorHAnsi" w:hAnsiTheme="minorHAnsi" w:cstheme="minorHAnsi"/>
                                <w:b/>
                                <w:sz w:val="16"/>
                                <w:szCs w:val="16"/>
                                <w:lang w:val="uk-UA"/>
                              </w:rPr>
                              <w:t xml:space="preserve">                     </w:t>
                            </w:r>
                          </w:p>
                          <w:p w14:paraId="2337F595"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2E51C" id="Поле 1449338126" o:spid="_x0000_s1101" type="#_x0000_t202" style="position:absolute;margin-left:14.9pt;margin-top:7.2pt;width:510.4pt;height:17.8pt;z-index:48811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" fillcolor="white [3212]" stroked="f" strokeweight=".5pt">
                <v:textbox>
                  <w:txbxContent>
                    <w:p w14:paraId="51D9950D" w14:textId="7CD5580B" w:rsidR="007372B2" w:rsidRPr="007417D7" w:rsidRDefault="007372B2" w:rsidP="00F925DD">
                      <w:pPr>
                        <w:ind w:left="2160" w:hanging="2018"/>
                        <w:rPr>
                          <w:rFonts w:asciiTheme="minorHAnsi" w:hAnsiTheme="minorHAnsi" w:cstheme="minorHAnsi"/>
                          <w:b/>
                          <w:sz w:val="16"/>
                          <w:szCs w:val="16"/>
                          <w:lang w:val="uk-UA"/>
                        </w:rPr>
                      </w:pPr>
                      <w:r w:rsidRPr="007417D7">
                        <w:rPr>
                          <w:rFonts w:asciiTheme="minorHAnsi" w:hAnsiTheme="minorHAnsi" w:cstheme="minorHAnsi"/>
                          <w:b/>
                          <w:sz w:val="16"/>
                          <w:szCs w:val="16"/>
                          <w:lang w:val="uk-UA"/>
                        </w:rPr>
                        <w:t xml:space="preserve">Дослідження              </w:t>
                      </w:r>
                      <w:r>
                        <w:rPr>
                          <w:rFonts w:asciiTheme="minorHAnsi" w:hAnsiTheme="minorHAnsi" w:cstheme="minorHAnsi"/>
                          <w:b/>
                          <w:sz w:val="16"/>
                          <w:szCs w:val="16"/>
                          <w:lang w:val="uk-UA"/>
                        </w:rPr>
                        <w:t xml:space="preserve">  </w:t>
                      </w:r>
                      <w:r w:rsidRPr="007417D7">
                        <w:rPr>
                          <w:rFonts w:asciiTheme="minorHAnsi" w:hAnsiTheme="minorHAnsi" w:cstheme="minorHAnsi"/>
                          <w:b/>
                          <w:sz w:val="16"/>
                          <w:szCs w:val="16"/>
                        </w:rPr>
                        <w:t xml:space="preserve">TP    FP    </w:t>
                      </w:r>
                      <w:r w:rsidRPr="007417D7">
                        <w:rPr>
                          <w:rFonts w:asciiTheme="minorHAnsi" w:hAnsiTheme="minorHAnsi" w:cstheme="minorHAnsi"/>
                          <w:b/>
                          <w:sz w:val="16"/>
                          <w:szCs w:val="16"/>
                          <w:lang w:val="uk-UA"/>
                        </w:rPr>
                        <w:t xml:space="preserve"> </w:t>
                      </w:r>
                      <w:r w:rsidRPr="007417D7">
                        <w:rPr>
                          <w:rFonts w:asciiTheme="minorHAnsi" w:hAnsiTheme="minorHAnsi" w:cstheme="minorHAnsi"/>
                          <w:b/>
                          <w:sz w:val="16"/>
                          <w:szCs w:val="16"/>
                        </w:rPr>
                        <w:t xml:space="preserve">FN   </w:t>
                      </w:r>
                      <w:r w:rsidRPr="007417D7">
                        <w:rPr>
                          <w:rFonts w:asciiTheme="minorHAnsi" w:hAnsiTheme="minorHAnsi" w:cstheme="minorHAnsi"/>
                          <w:b/>
                          <w:sz w:val="16"/>
                          <w:szCs w:val="16"/>
                          <w:lang w:val="uk-UA"/>
                        </w:rPr>
                        <w:t xml:space="preserve"> </w:t>
                      </w:r>
                      <w:r w:rsidRPr="007417D7">
                        <w:rPr>
                          <w:rFonts w:asciiTheme="minorHAnsi" w:hAnsiTheme="minorHAnsi" w:cstheme="minorHAnsi"/>
                          <w:b/>
                          <w:sz w:val="16"/>
                          <w:szCs w:val="16"/>
                        </w:rPr>
                        <w:t xml:space="preserve">TN        </w:t>
                      </w:r>
                      <w:r w:rsidRPr="007417D7">
                        <w:rPr>
                          <w:rFonts w:asciiTheme="minorHAnsi" w:hAnsiTheme="minorHAnsi" w:cstheme="minorHAnsi"/>
                          <w:b/>
                          <w:sz w:val="16"/>
                          <w:szCs w:val="16"/>
                          <w:lang w:val="uk-UA"/>
                        </w:rPr>
                        <w:t xml:space="preserve">Чутливість (95% ДІ)    Специфічність (95% ДІ)  </w:t>
                      </w:r>
                      <w:r w:rsidRPr="007417D7">
                        <w:rPr>
                          <w:rFonts w:asciiTheme="minorHAnsi" w:hAnsiTheme="minorHAnsi" w:cstheme="minorHAnsi"/>
                          <w:b/>
                          <w:sz w:val="16"/>
                          <w:szCs w:val="16"/>
                        </w:rPr>
                        <w:t xml:space="preserve">    </w:t>
                      </w:r>
                      <w:r w:rsidRPr="007417D7">
                        <w:rPr>
                          <w:rFonts w:asciiTheme="minorHAnsi" w:hAnsiTheme="minorHAnsi" w:cstheme="minorHAnsi"/>
                          <w:b/>
                          <w:sz w:val="16"/>
                          <w:szCs w:val="16"/>
                          <w:lang w:val="uk-UA"/>
                        </w:rPr>
                        <w:t xml:space="preserve">   Чутливість (95% ДІ)        Специфічність (95% ДІ)</w:t>
                      </w:r>
                      <w:r w:rsidRPr="007417D7">
                        <w:rPr>
                          <w:rFonts w:asciiTheme="minorHAnsi" w:hAnsiTheme="minorHAnsi" w:cstheme="minorHAnsi"/>
                          <w:b/>
                          <w:sz w:val="16"/>
                          <w:szCs w:val="16"/>
                        </w:rPr>
                        <w:t xml:space="preserve">          </w:t>
                      </w:r>
                      <w:r w:rsidRPr="007417D7">
                        <w:rPr>
                          <w:rFonts w:asciiTheme="minorHAnsi" w:hAnsiTheme="minorHAnsi" w:cstheme="minorHAnsi"/>
                          <w:b/>
                          <w:sz w:val="16"/>
                          <w:szCs w:val="16"/>
                          <w:lang w:val="uk-UA"/>
                        </w:rPr>
                        <w:t xml:space="preserve">                     </w:t>
                      </w:r>
                    </w:p>
                    <w:p w14:paraId="2337F595"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v:textbox>
                <w10:wrap anchorx="margin"/>
              </v:shape>
            </w:pict>
          </mc:Fallback>
        </mc:AlternateContent>
      </w:r>
    </w:p>
    <w:p w14:paraId="14A1F2C5" w14:textId="77777777" w:rsidR="00E05B98" w:rsidRPr="003C6DAE" w:rsidRDefault="00E05B98" w:rsidP="004D5917">
      <w:pPr>
        <w:pStyle w:val="a3"/>
        <w:ind w:right="140"/>
        <w:rPr>
          <w:rFonts w:ascii="Arial"/>
          <w:b/>
          <w:sz w:val="19"/>
          <w:lang w:val="uk-UA"/>
        </w:rPr>
        <w:sectPr w:rsidR="00E05B98" w:rsidRPr="003C6DAE" w:rsidSect="004D5917">
          <w:pgSz w:w="11910" w:h="16840"/>
          <w:pgMar w:top="1135" w:right="995" w:bottom="760" w:left="850" w:header="0" w:footer="573" w:gutter="0"/>
          <w:cols w:space="720"/>
        </w:sectPr>
      </w:pPr>
    </w:p>
    <w:p w14:paraId="4DC4E589" w14:textId="77777777" w:rsidR="00E05B98" w:rsidRDefault="00E05B98" w:rsidP="004D5917">
      <w:pPr>
        <w:ind w:right="140"/>
        <w:rPr>
          <w:rFonts w:ascii="Trebuchet MS"/>
          <w:sz w:val="20"/>
          <w:lang w:val="uk-UA"/>
        </w:rPr>
      </w:pPr>
    </w:p>
    <w:p w14:paraId="312B29AA" w14:textId="2F747D52" w:rsidR="007417D7" w:rsidRDefault="007417D7" w:rsidP="004D5917">
      <w:pPr>
        <w:ind w:right="140"/>
        <w:rPr>
          <w:rFonts w:ascii="Trebuchet MS"/>
          <w:sz w:val="20"/>
          <w:lang w:val="uk-UA"/>
        </w:rPr>
      </w:pPr>
      <w:r>
        <w:rPr>
          <w:rFonts w:ascii="Trebuchet MS"/>
          <w:noProof/>
          <w:color w:val="333333"/>
          <w:sz w:val="20"/>
          <w:lang w:val="uk-UA"/>
        </w:rPr>
        <mc:AlternateContent>
          <mc:Choice Requires="wps">
            <w:drawing>
              <wp:anchor distT="0" distB="0" distL="114300" distR="114300" simplePos="0" relativeHeight="488130048" behindDoc="0" locked="0" layoutInCell="1" allowOverlap="1" wp14:anchorId="1761342E" wp14:editId="5C68D42E">
                <wp:simplePos x="0" y="0"/>
                <wp:positionH relativeFrom="margin">
                  <wp:align>right</wp:align>
                </wp:positionH>
                <wp:positionV relativeFrom="paragraph">
                  <wp:posOffset>3684</wp:posOffset>
                </wp:positionV>
                <wp:extent cx="6129196" cy="783125"/>
                <wp:effectExtent l="0" t="0" r="5080" b="0"/>
                <wp:wrapNone/>
                <wp:docPr id="897121519" name="Поле 2325"/>
                <wp:cNvGraphicFramePr/>
                <a:graphic xmlns:a="http://schemas.openxmlformats.org/drawingml/2006/main">
                  <a:graphicData uri="http://schemas.microsoft.com/office/word/2010/wordprocessingShape">
                    <wps:wsp>
                      <wps:cNvSpPr txBox="1"/>
                      <wps:spPr>
                        <a:xfrm>
                          <a:off x="0" y="0"/>
                          <a:ext cx="6129196" cy="783125"/>
                        </a:xfrm>
                        <a:prstGeom prst="rect">
                          <a:avLst/>
                        </a:prstGeom>
                        <a:solidFill>
                          <a:schemeClr val="lt1"/>
                        </a:solidFill>
                        <a:ln w="6350">
                          <a:noFill/>
                        </a:ln>
                      </wps:spPr>
                      <wps:txbx>
                        <w:txbxContent>
                          <w:p w14:paraId="388D55BF" w14:textId="1A6D8F25" w:rsidR="007372B2" w:rsidRDefault="007372B2" w:rsidP="007417D7">
                            <w:pPr>
                              <w:ind w:left="-142"/>
                            </w:pPr>
                            <w:r>
                              <w:rPr>
                                <w:noProof/>
                              </w:rPr>
                              <w:drawing>
                                <wp:inline distT="0" distB="0" distL="0" distR="0" wp14:anchorId="78193A62" wp14:editId="299CD187">
                                  <wp:extent cx="6242364" cy="749300"/>
                                  <wp:effectExtent l="0" t="0" r="6350" b="0"/>
                                  <wp:docPr id="15132890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89033" name=""/>
                                          <pic:cNvPicPr/>
                                        </pic:nvPicPr>
                                        <pic:blipFill>
                                          <a:blip r:embed="rId94"/>
                                          <a:stretch>
                                            <a:fillRect/>
                                          </a:stretch>
                                        </pic:blipFill>
                                        <pic:spPr>
                                          <a:xfrm>
                                            <a:off x="0" y="0"/>
                                            <a:ext cx="6300987" cy="7563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1342E" id="Поле 2325" o:spid="_x0000_s1102" type="#_x0000_t202" style="position:absolute;margin-left:431.4pt;margin-top:.3pt;width:482.6pt;height:61.65pt;z-index:48813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" fillcolor="white [3201]" stroked="f" strokeweight=".5pt">
                <v:textbox>
                  <w:txbxContent>
                    <w:p w14:paraId="388D55BF" w14:textId="1A6D8F25" w:rsidR="007372B2" w:rsidRDefault="007372B2" w:rsidP="007417D7">
                      <w:pPr>
                        <w:ind w:left="-142"/>
                      </w:pPr>
                      <w:r>
                        <w:rPr>
                          <w:noProof/>
                        </w:rPr>
                        <w:drawing>
                          <wp:inline distT="0" distB="0" distL="0" distR="0" wp14:anchorId="78193A62" wp14:editId="299CD187">
                            <wp:extent cx="6242364" cy="749300"/>
                            <wp:effectExtent l="0" t="0" r="6350" b="0"/>
                            <wp:docPr id="15132890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89033" name=""/>
                                    <pic:cNvPicPr/>
                                  </pic:nvPicPr>
                                  <pic:blipFill>
                                    <a:blip r:embed="rId94"/>
                                    <a:stretch>
                                      <a:fillRect/>
                                    </a:stretch>
                                  </pic:blipFill>
                                  <pic:spPr>
                                    <a:xfrm>
                                      <a:off x="0" y="0"/>
                                      <a:ext cx="6300987" cy="756337"/>
                                    </a:xfrm>
                                    <a:prstGeom prst="rect">
                                      <a:avLst/>
                                    </a:prstGeom>
                                  </pic:spPr>
                                </pic:pic>
                              </a:graphicData>
                            </a:graphic>
                          </wp:inline>
                        </w:drawing>
                      </w:r>
                    </w:p>
                  </w:txbxContent>
                </v:textbox>
                <w10:wrap anchorx="margin"/>
              </v:shape>
            </w:pict>
          </mc:Fallback>
        </mc:AlternateContent>
      </w:r>
    </w:p>
    <w:p w14:paraId="37D7B3C3" w14:textId="77777777" w:rsidR="007417D7" w:rsidRDefault="007417D7" w:rsidP="004D5917">
      <w:pPr>
        <w:ind w:right="140"/>
        <w:rPr>
          <w:rFonts w:ascii="Trebuchet MS"/>
          <w:sz w:val="20"/>
          <w:lang w:val="uk-UA"/>
        </w:rPr>
      </w:pPr>
    </w:p>
    <w:p w14:paraId="5D1F5410" w14:textId="06B9EF71" w:rsidR="007417D7" w:rsidRDefault="007417D7" w:rsidP="004D5917">
      <w:pPr>
        <w:ind w:right="140"/>
        <w:rPr>
          <w:rFonts w:ascii="Trebuchet MS"/>
          <w:sz w:val="20"/>
          <w:lang w:val="uk-UA"/>
        </w:rPr>
      </w:pPr>
    </w:p>
    <w:p w14:paraId="1E89C520" w14:textId="0FCE923F" w:rsidR="007417D7" w:rsidRDefault="007417D7" w:rsidP="004D5917">
      <w:pPr>
        <w:ind w:right="140"/>
        <w:rPr>
          <w:rFonts w:ascii="Trebuchet MS"/>
          <w:sz w:val="20"/>
          <w:lang w:val="uk-UA"/>
        </w:rPr>
      </w:pPr>
    </w:p>
    <w:p w14:paraId="37C545E2" w14:textId="0D6D8CE5" w:rsidR="007417D7" w:rsidRDefault="007417D7" w:rsidP="004D5917">
      <w:pPr>
        <w:ind w:right="140"/>
        <w:rPr>
          <w:rFonts w:ascii="Trebuchet MS"/>
          <w:sz w:val="20"/>
          <w:lang w:val="uk-UA"/>
        </w:rPr>
      </w:pPr>
    </w:p>
    <w:p w14:paraId="4F986038" w14:textId="77777777" w:rsidR="007417D7" w:rsidRDefault="007417D7" w:rsidP="004D5917">
      <w:pPr>
        <w:ind w:right="140"/>
        <w:rPr>
          <w:rFonts w:ascii="Trebuchet MS"/>
          <w:sz w:val="20"/>
          <w:lang w:val="uk-UA"/>
        </w:rPr>
      </w:pPr>
    </w:p>
    <w:p w14:paraId="36BF2008" w14:textId="77777777" w:rsidR="007417D7" w:rsidRDefault="007417D7" w:rsidP="004D5917">
      <w:pPr>
        <w:ind w:right="140"/>
        <w:rPr>
          <w:rFonts w:ascii="Trebuchet MS"/>
          <w:sz w:val="20"/>
          <w:lang w:val="uk-UA"/>
        </w:rPr>
      </w:pPr>
    </w:p>
    <w:p w14:paraId="7A321EC6" w14:textId="77777777" w:rsidR="007417D7" w:rsidRDefault="007417D7" w:rsidP="004D5917">
      <w:pPr>
        <w:ind w:right="140"/>
        <w:rPr>
          <w:rFonts w:ascii="Trebuchet MS"/>
          <w:sz w:val="20"/>
          <w:lang w:val="uk-UA"/>
        </w:rPr>
      </w:pPr>
    </w:p>
    <w:p w14:paraId="20E7E78E" w14:textId="77777777" w:rsidR="007417D7" w:rsidRDefault="007417D7" w:rsidP="004D5917">
      <w:pPr>
        <w:ind w:right="140"/>
        <w:rPr>
          <w:rFonts w:ascii="Trebuchet MS"/>
          <w:sz w:val="20"/>
          <w:lang w:val="uk-UA"/>
        </w:rPr>
      </w:pPr>
    </w:p>
    <w:p w14:paraId="677F3784" w14:textId="77777777" w:rsidR="007417D7" w:rsidRDefault="007417D7" w:rsidP="004D5917">
      <w:pPr>
        <w:ind w:right="140"/>
        <w:rPr>
          <w:rFonts w:ascii="Trebuchet MS"/>
          <w:sz w:val="20"/>
          <w:lang w:val="uk-UA"/>
        </w:rPr>
      </w:pPr>
    </w:p>
    <w:p w14:paraId="07A7CF8E" w14:textId="77777777" w:rsidR="007417D7" w:rsidRDefault="007417D7" w:rsidP="004D5917">
      <w:pPr>
        <w:ind w:right="140"/>
        <w:rPr>
          <w:rFonts w:ascii="Trebuchet MS"/>
          <w:sz w:val="20"/>
          <w:lang w:val="uk-UA"/>
        </w:rPr>
      </w:pPr>
    </w:p>
    <w:p w14:paraId="5C238C1E" w14:textId="77777777" w:rsidR="007417D7" w:rsidRDefault="007417D7" w:rsidP="004D5917">
      <w:pPr>
        <w:ind w:right="140"/>
        <w:rPr>
          <w:rFonts w:ascii="Trebuchet MS"/>
          <w:sz w:val="20"/>
          <w:lang w:val="uk-UA"/>
        </w:rPr>
      </w:pPr>
    </w:p>
    <w:p w14:paraId="0F5D763B" w14:textId="77777777" w:rsidR="007417D7" w:rsidRDefault="007417D7" w:rsidP="004D5917">
      <w:pPr>
        <w:ind w:right="140"/>
        <w:rPr>
          <w:rFonts w:ascii="Trebuchet MS"/>
          <w:sz w:val="20"/>
          <w:lang w:val="uk-UA"/>
        </w:rPr>
      </w:pPr>
    </w:p>
    <w:p w14:paraId="3EB3C7AE" w14:textId="77777777" w:rsidR="007417D7" w:rsidRDefault="007417D7" w:rsidP="004D5917">
      <w:pPr>
        <w:ind w:right="140"/>
        <w:rPr>
          <w:rFonts w:ascii="Trebuchet MS"/>
          <w:sz w:val="20"/>
          <w:lang w:val="uk-UA"/>
        </w:rPr>
      </w:pPr>
    </w:p>
    <w:p w14:paraId="2C312AE1" w14:textId="77777777" w:rsidR="007417D7" w:rsidRDefault="007417D7" w:rsidP="004D5917">
      <w:pPr>
        <w:ind w:right="140"/>
        <w:rPr>
          <w:rFonts w:ascii="Trebuchet MS"/>
          <w:sz w:val="20"/>
          <w:lang w:val="uk-UA"/>
        </w:rPr>
      </w:pPr>
    </w:p>
    <w:p w14:paraId="394C6525" w14:textId="77777777" w:rsidR="007417D7" w:rsidRDefault="007417D7" w:rsidP="004D5917">
      <w:pPr>
        <w:ind w:right="140"/>
        <w:rPr>
          <w:rFonts w:ascii="Trebuchet MS"/>
          <w:sz w:val="20"/>
          <w:lang w:val="uk-UA"/>
        </w:rPr>
      </w:pPr>
    </w:p>
    <w:p w14:paraId="69D21F84" w14:textId="77777777" w:rsidR="007417D7" w:rsidRDefault="007417D7" w:rsidP="004D5917">
      <w:pPr>
        <w:ind w:right="140"/>
        <w:rPr>
          <w:rFonts w:ascii="Trebuchet MS"/>
          <w:sz w:val="20"/>
          <w:lang w:val="uk-UA"/>
        </w:rPr>
      </w:pPr>
    </w:p>
    <w:p w14:paraId="29E52216" w14:textId="77777777" w:rsidR="007417D7" w:rsidRDefault="007417D7" w:rsidP="004D5917">
      <w:pPr>
        <w:ind w:right="140"/>
        <w:rPr>
          <w:rFonts w:ascii="Trebuchet MS"/>
          <w:sz w:val="20"/>
          <w:lang w:val="uk-UA"/>
        </w:rPr>
      </w:pPr>
    </w:p>
    <w:p w14:paraId="40A6F5C7" w14:textId="77777777" w:rsidR="007417D7" w:rsidRDefault="007417D7" w:rsidP="004D5917">
      <w:pPr>
        <w:ind w:right="140"/>
        <w:rPr>
          <w:rFonts w:ascii="Trebuchet MS"/>
          <w:sz w:val="20"/>
          <w:lang w:val="uk-UA"/>
        </w:rPr>
      </w:pPr>
    </w:p>
    <w:p w14:paraId="204580B3" w14:textId="01387EE2" w:rsidR="007417D7" w:rsidRDefault="00455BB2" w:rsidP="004D5917">
      <w:pPr>
        <w:ind w:right="140"/>
        <w:rPr>
          <w:rFonts w:ascii="Trebuchet MS"/>
          <w:sz w:val="20"/>
          <w:lang w:val="uk-UA"/>
        </w:rPr>
      </w:pPr>
      <w:r>
        <w:rPr>
          <w:rFonts w:ascii="Trebuchet MS"/>
          <w:noProof/>
          <w:sz w:val="20"/>
          <w:lang w:val="uk-UA"/>
        </w:rPr>
        <mc:AlternateContent>
          <mc:Choice Requires="wps">
            <w:drawing>
              <wp:anchor distT="0" distB="0" distL="114300" distR="114300" simplePos="0" relativeHeight="488131072" behindDoc="0" locked="0" layoutInCell="1" allowOverlap="1" wp14:anchorId="6F685F4B" wp14:editId="7A0DCBB9">
                <wp:simplePos x="0" y="0"/>
                <wp:positionH relativeFrom="column">
                  <wp:posOffset>11292</wp:posOffset>
                </wp:positionH>
                <wp:positionV relativeFrom="paragraph">
                  <wp:posOffset>69121</wp:posOffset>
                </wp:positionV>
                <wp:extent cx="1167897" cy="434459"/>
                <wp:effectExtent l="0" t="0" r="0" b="3810"/>
                <wp:wrapNone/>
                <wp:docPr id="1390593500" name="Поле 2326"/>
                <wp:cNvGraphicFramePr/>
                <a:graphic xmlns:a="http://schemas.openxmlformats.org/drawingml/2006/main">
                  <a:graphicData uri="http://schemas.microsoft.com/office/word/2010/wordprocessingShape">
                    <wps:wsp>
                      <wps:cNvSpPr txBox="1"/>
                      <wps:spPr>
                        <a:xfrm>
                          <a:off x="0" y="0"/>
                          <a:ext cx="1167897" cy="434459"/>
                        </a:xfrm>
                        <a:prstGeom prst="rect">
                          <a:avLst/>
                        </a:prstGeom>
                        <a:solidFill>
                          <a:schemeClr val="bg1"/>
                        </a:solidFill>
                        <a:ln w="6350">
                          <a:noFill/>
                        </a:ln>
                      </wps:spPr>
                      <wps:txbx>
                        <w:txbxContent>
                          <w:p w14:paraId="422BF277" w14:textId="477F738D" w:rsidR="007372B2" w:rsidRDefault="007372B2">
                            <w:pPr>
                              <w:rPr>
                                <w:sz w:val="16"/>
                                <w:szCs w:val="16"/>
                                <w:lang w:val="uk-UA"/>
                              </w:rPr>
                            </w:pPr>
                            <w:r>
                              <w:rPr>
                                <w:sz w:val="16"/>
                                <w:szCs w:val="16"/>
                                <w:lang w:val="uk-UA"/>
                              </w:rPr>
                              <w:t xml:space="preserve">  </w:t>
                            </w:r>
                            <w:r w:rsidRPr="00455BB2">
                              <w:rPr>
                                <w:sz w:val="16"/>
                                <w:szCs w:val="16"/>
                                <w:lang w:val="uk-UA"/>
                              </w:rPr>
                              <w:t>Не підлягає</w:t>
                            </w:r>
                            <w:r>
                              <w:rPr>
                                <w:sz w:val="16"/>
                                <w:szCs w:val="16"/>
                                <w:lang w:val="uk-UA"/>
                              </w:rPr>
                              <w:t xml:space="preserve"> оцінці                                     </w:t>
                            </w:r>
                          </w:p>
                          <w:p w14:paraId="75F2C960" w14:textId="77777777" w:rsidR="007372B2" w:rsidRPr="00455BB2" w:rsidRDefault="007372B2">
                            <w:pPr>
                              <w:rPr>
                                <w:sz w:val="8"/>
                                <w:szCs w:val="8"/>
                                <w:lang w:val="uk-UA"/>
                              </w:rPr>
                            </w:pPr>
                          </w:p>
                          <w:p w14:paraId="56D30C58" w14:textId="7BC694AF" w:rsidR="007372B2" w:rsidRPr="00455BB2" w:rsidRDefault="007372B2">
                            <w:pPr>
                              <w:rPr>
                                <w:sz w:val="16"/>
                                <w:szCs w:val="16"/>
                                <w:lang w:val="uk-UA"/>
                              </w:rPr>
                            </w:pPr>
                            <w:r>
                              <w:rPr>
                                <w:sz w:val="16"/>
                                <w:szCs w:val="16"/>
                                <w:lang w:val="uk-UA"/>
                              </w:rPr>
                              <w:t xml:space="preserve">  Не підлягає оцінці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85F4B" id="Поле 2326" o:spid="_x0000_s1103" type="#_x0000_t202" style="position:absolute;margin-left:.9pt;margin-top:5.45pt;width:91.95pt;height:34.2pt;z-index:4881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" fillcolor="white [3212]" stroked="f" strokeweight=".5pt">
                <v:textbox>
                  <w:txbxContent>
                    <w:p w14:paraId="422BF277" w14:textId="477F738D" w:rsidR="007372B2" w:rsidRDefault="007372B2">
                      <w:pPr>
                        <w:rPr>
                          <w:sz w:val="16"/>
                          <w:szCs w:val="16"/>
                          <w:lang w:val="uk-UA"/>
                        </w:rPr>
                      </w:pPr>
                      <w:r>
                        <w:rPr>
                          <w:sz w:val="16"/>
                          <w:szCs w:val="16"/>
                          <w:lang w:val="uk-UA"/>
                        </w:rPr>
                        <w:t xml:space="preserve">  </w:t>
                      </w:r>
                      <w:r w:rsidRPr="00455BB2">
                        <w:rPr>
                          <w:sz w:val="16"/>
                          <w:szCs w:val="16"/>
                          <w:lang w:val="uk-UA"/>
                        </w:rPr>
                        <w:t>Не підлягає</w:t>
                      </w:r>
                      <w:r>
                        <w:rPr>
                          <w:sz w:val="16"/>
                          <w:szCs w:val="16"/>
                          <w:lang w:val="uk-UA"/>
                        </w:rPr>
                        <w:t xml:space="preserve"> оцінці                                     </w:t>
                      </w:r>
                    </w:p>
                    <w:p w14:paraId="75F2C960" w14:textId="77777777" w:rsidR="007372B2" w:rsidRPr="00455BB2" w:rsidRDefault="007372B2">
                      <w:pPr>
                        <w:rPr>
                          <w:sz w:val="8"/>
                          <w:szCs w:val="8"/>
                          <w:lang w:val="uk-UA"/>
                        </w:rPr>
                      </w:pPr>
                    </w:p>
                    <w:p w14:paraId="56D30C58" w14:textId="7BC694AF" w:rsidR="007372B2" w:rsidRPr="00455BB2" w:rsidRDefault="007372B2">
                      <w:pPr>
                        <w:rPr>
                          <w:sz w:val="16"/>
                          <w:szCs w:val="16"/>
                          <w:lang w:val="uk-UA"/>
                        </w:rPr>
                      </w:pPr>
                      <w:r>
                        <w:rPr>
                          <w:sz w:val="16"/>
                          <w:szCs w:val="16"/>
                          <w:lang w:val="uk-UA"/>
                        </w:rPr>
                        <w:t xml:space="preserve">  Не підлягає оцінці</w:t>
                      </w:r>
                    </w:p>
                  </w:txbxContent>
                </v:textbox>
              </v:shape>
            </w:pict>
          </mc:Fallback>
        </mc:AlternateContent>
      </w:r>
    </w:p>
    <w:p w14:paraId="7CC1D0E9" w14:textId="77777777" w:rsidR="007417D7" w:rsidRDefault="007417D7" w:rsidP="004D5917">
      <w:pPr>
        <w:ind w:right="140"/>
        <w:rPr>
          <w:rFonts w:ascii="Trebuchet MS"/>
          <w:sz w:val="20"/>
          <w:lang w:val="uk-UA"/>
        </w:rPr>
      </w:pPr>
    </w:p>
    <w:p w14:paraId="52F0E9DF" w14:textId="77777777" w:rsidR="007417D7" w:rsidRDefault="007417D7" w:rsidP="004D5917">
      <w:pPr>
        <w:ind w:right="140"/>
        <w:rPr>
          <w:rFonts w:ascii="Trebuchet MS"/>
          <w:sz w:val="20"/>
          <w:lang w:val="uk-UA"/>
        </w:rPr>
      </w:pPr>
    </w:p>
    <w:p w14:paraId="2CA771B4" w14:textId="77777777" w:rsidR="007417D7" w:rsidRDefault="007417D7" w:rsidP="004D5917">
      <w:pPr>
        <w:ind w:right="140"/>
        <w:rPr>
          <w:rFonts w:ascii="Trebuchet MS"/>
          <w:sz w:val="20"/>
          <w:lang w:val="uk-UA"/>
        </w:rPr>
      </w:pPr>
    </w:p>
    <w:p w14:paraId="5C402613" w14:textId="77777777" w:rsidR="007417D7" w:rsidRDefault="007417D7" w:rsidP="004D5917">
      <w:pPr>
        <w:ind w:right="140"/>
        <w:rPr>
          <w:rFonts w:ascii="Trebuchet MS"/>
          <w:sz w:val="20"/>
          <w:lang w:val="uk-UA"/>
        </w:rPr>
      </w:pPr>
    </w:p>
    <w:p w14:paraId="68FF8755" w14:textId="77777777" w:rsidR="007417D7" w:rsidRDefault="007417D7" w:rsidP="004D5917">
      <w:pPr>
        <w:ind w:right="140"/>
        <w:rPr>
          <w:rFonts w:ascii="Trebuchet MS"/>
          <w:sz w:val="20"/>
          <w:lang w:val="uk-UA"/>
        </w:rPr>
      </w:pPr>
    </w:p>
    <w:p w14:paraId="11235496" w14:textId="77777777" w:rsidR="007417D7" w:rsidRDefault="007417D7" w:rsidP="004D5917">
      <w:pPr>
        <w:ind w:right="140"/>
        <w:rPr>
          <w:rFonts w:ascii="Trebuchet MS"/>
          <w:sz w:val="20"/>
          <w:lang w:val="uk-UA"/>
        </w:rPr>
      </w:pPr>
    </w:p>
    <w:p w14:paraId="66D27878" w14:textId="77777777" w:rsidR="007417D7" w:rsidRDefault="007417D7" w:rsidP="004D5917">
      <w:pPr>
        <w:ind w:right="140"/>
        <w:rPr>
          <w:rFonts w:ascii="Trebuchet MS"/>
          <w:sz w:val="20"/>
          <w:lang w:val="uk-UA"/>
        </w:rPr>
      </w:pPr>
    </w:p>
    <w:p w14:paraId="3161EEFE" w14:textId="77777777" w:rsidR="007417D7" w:rsidRDefault="007417D7" w:rsidP="004D5917">
      <w:pPr>
        <w:ind w:right="140"/>
        <w:rPr>
          <w:rFonts w:ascii="Trebuchet MS"/>
          <w:sz w:val="20"/>
          <w:lang w:val="uk-UA"/>
        </w:rPr>
      </w:pPr>
    </w:p>
    <w:p w14:paraId="3047C5D0" w14:textId="77777777" w:rsidR="007417D7" w:rsidRDefault="007417D7" w:rsidP="004D5917">
      <w:pPr>
        <w:ind w:right="140"/>
        <w:rPr>
          <w:rFonts w:ascii="Trebuchet MS"/>
          <w:sz w:val="20"/>
          <w:lang w:val="uk-UA"/>
        </w:rPr>
      </w:pPr>
    </w:p>
    <w:p w14:paraId="5ED16B0F" w14:textId="77777777" w:rsidR="007417D7" w:rsidRDefault="007417D7" w:rsidP="004D5917">
      <w:pPr>
        <w:ind w:right="140"/>
        <w:rPr>
          <w:rFonts w:ascii="Trebuchet MS"/>
          <w:sz w:val="20"/>
          <w:lang w:val="uk-UA"/>
        </w:rPr>
      </w:pPr>
    </w:p>
    <w:p w14:paraId="13A71EAD" w14:textId="77777777" w:rsidR="007417D7" w:rsidRDefault="007417D7" w:rsidP="004D5917">
      <w:pPr>
        <w:ind w:right="140"/>
        <w:rPr>
          <w:rFonts w:ascii="Trebuchet MS"/>
          <w:sz w:val="20"/>
          <w:lang w:val="uk-UA"/>
        </w:rPr>
      </w:pPr>
    </w:p>
    <w:p w14:paraId="6457FA2B" w14:textId="77777777" w:rsidR="007417D7" w:rsidRDefault="007417D7" w:rsidP="004D5917">
      <w:pPr>
        <w:ind w:right="140"/>
        <w:rPr>
          <w:rFonts w:ascii="Trebuchet MS"/>
          <w:sz w:val="20"/>
          <w:lang w:val="uk-UA"/>
        </w:rPr>
      </w:pPr>
    </w:p>
    <w:p w14:paraId="1440A301" w14:textId="77777777" w:rsidR="007417D7" w:rsidRDefault="007417D7" w:rsidP="004D5917">
      <w:pPr>
        <w:ind w:right="140"/>
        <w:rPr>
          <w:rFonts w:ascii="Trebuchet MS"/>
          <w:sz w:val="20"/>
          <w:lang w:val="uk-UA"/>
        </w:rPr>
      </w:pPr>
    </w:p>
    <w:p w14:paraId="37B03A61" w14:textId="77777777" w:rsidR="007417D7" w:rsidRPr="003C6DAE" w:rsidRDefault="007417D7" w:rsidP="004D5917">
      <w:pPr>
        <w:ind w:right="140"/>
        <w:rPr>
          <w:rFonts w:ascii="Trebuchet MS"/>
          <w:sz w:val="20"/>
          <w:lang w:val="uk-UA"/>
        </w:rPr>
        <w:sectPr w:rsidR="007417D7" w:rsidRPr="003C6DAE" w:rsidSect="004D5917">
          <w:type w:val="continuous"/>
          <w:pgSz w:w="11910" w:h="16840"/>
          <w:pgMar w:top="1920" w:right="995" w:bottom="280" w:left="850" w:header="0" w:footer="573" w:gutter="0"/>
          <w:cols w:num="7" w:space="720" w:equalWidth="0">
            <w:col w:w="1764" w:space="40"/>
            <w:col w:w="730" w:space="39"/>
            <w:col w:w="662" w:space="39"/>
            <w:col w:w="1506" w:space="40"/>
            <w:col w:w="1468" w:space="40"/>
            <w:col w:w="1518" w:space="39"/>
            <w:col w:w="1900"/>
          </w:cols>
        </w:sectPr>
      </w:pPr>
    </w:p>
    <w:p w14:paraId="7EBC74ED" w14:textId="1502920D" w:rsidR="00E05B98" w:rsidRPr="003C6DAE" w:rsidRDefault="00E05B98" w:rsidP="004D5917">
      <w:pPr>
        <w:pStyle w:val="a3"/>
        <w:spacing w:before="104"/>
        <w:ind w:right="140"/>
        <w:rPr>
          <w:rFonts w:ascii="Trebuchet MS"/>
          <w:sz w:val="18"/>
          <w:lang w:val="uk-UA"/>
        </w:rPr>
      </w:pPr>
    </w:p>
    <w:p w14:paraId="65BE960E" w14:textId="266BA95D" w:rsidR="007417D7" w:rsidRPr="0067671C" w:rsidRDefault="007417D7" w:rsidP="007417D7">
      <w:pPr>
        <w:spacing w:line="254" w:lineRule="auto"/>
        <w:ind w:left="567" w:right="-141"/>
        <w:rPr>
          <w:sz w:val="15"/>
          <w:szCs w:val="15"/>
          <w:lang w:val="uk-UA"/>
        </w:rPr>
      </w:pPr>
      <w:r w:rsidRPr="0067671C">
        <w:rPr>
          <w:sz w:val="15"/>
          <w:szCs w:val="15"/>
          <w:lang w:val="uk-UA"/>
        </w:rPr>
        <w:t>ДІ: довірчий інтервал; FN: хибнонегативний результат; FP: хибнопозитивний результат; рТАНК-НС: ручний тест ампліфікаці</w:t>
      </w:r>
      <w:r w:rsidR="0067671C">
        <w:rPr>
          <w:sz w:val="15"/>
          <w:szCs w:val="15"/>
          <w:lang w:val="uk-UA"/>
        </w:rPr>
        <w:t>ї</w:t>
      </w:r>
      <w:r w:rsidRPr="0067671C">
        <w:rPr>
          <w:sz w:val="15"/>
          <w:szCs w:val="15"/>
          <w:lang w:val="uk-UA"/>
        </w:rPr>
        <w:t xml:space="preserve"> нуклеїнових кислот низької складності; MRS: мікробіологічний еталонний стандарт; ТБ: туберкульоз; TN: істинно негативний результат; TP: істинно позитивний результат.</w:t>
      </w:r>
    </w:p>
    <w:p w14:paraId="5B9B69CB" w14:textId="7E2451AC" w:rsidR="00E05B98" w:rsidRPr="003C6DAE" w:rsidRDefault="007417D7" w:rsidP="007417D7">
      <w:pPr>
        <w:spacing w:before="57"/>
        <w:ind w:left="567" w:right="140"/>
        <w:jc w:val="both"/>
        <w:rPr>
          <w:sz w:val="18"/>
          <w:lang w:val="uk-UA"/>
        </w:rPr>
      </w:pPr>
      <w:r w:rsidRPr="003C6DAE">
        <w:rPr>
          <w:spacing w:val="-2"/>
          <w:sz w:val="18"/>
          <w:vertAlign w:val="superscript"/>
          <w:lang w:val="uk-UA"/>
        </w:rPr>
        <w:t>a</w:t>
      </w:r>
      <w:r w:rsidRPr="003C6DAE">
        <w:rPr>
          <w:spacing w:val="-21"/>
          <w:sz w:val="18"/>
          <w:lang w:val="uk-UA"/>
        </w:rPr>
        <w:t xml:space="preserve"> </w:t>
      </w:r>
      <w:r w:rsidRPr="00C92D8A">
        <w:rPr>
          <w:sz w:val="16"/>
          <w:szCs w:val="16"/>
          <w:lang w:val="uk-UA"/>
        </w:rPr>
        <w:t>Дослідження впорядковано за зростанням чутливості</w:t>
      </w:r>
      <w:r w:rsidRPr="003C6DAE">
        <w:rPr>
          <w:spacing w:val="-2"/>
          <w:sz w:val="18"/>
          <w:lang w:val="uk-UA"/>
        </w:rPr>
        <w:t>.</w:t>
      </w:r>
    </w:p>
    <w:p w14:paraId="74368495" w14:textId="2019F6D9" w:rsidR="00E05B98" w:rsidRPr="003C6DAE" w:rsidRDefault="00E05B98" w:rsidP="004D5917">
      <w:pPr>
        <w:pStyle w:val="a3"/>
        <w:spacing w:before="161"/>
        <w:ind w:right="140"/>
        <w:rPr>
          <w:sz w:val="18"/>
          <w:lang w:val="uk-UA"/>
        </w:rPr>
      </w:pPr>
    </w:p>
    <w:p w14:paraId="6A894149" w14:textId="0B4D142E" w:rsidR="00E05B98" w:rsidRPr="00455BB2" w:rsidRDefault="00455BB2" w:rsidP="00455BB2">
      <w:pPr>
        <w:pStyle w:val="7"/>
        <w:spacing w:line="269" w:lineRule="auto"/>
        <w:rPr>
          <w:sz w:val="22"/>
          <w:szCs w:val="22"/>
          <w:lang w:val="uk-UA"/>
        </w:rPr>
      </w:pPr>
      <w:r w:rsidRPr="00455BB2">
        <w:rPr>
          <w:color w:val="019648"/>
          <w:spacing w:val="-2"/>
          <w:w w:val="105"/>
          <w:sz w:val="22"/>
          <w:szCs w:val="22"/>
          <w:lang w:val="uk-UA"/>
        </w:rPr>
        <w:t>Чи слід використовувати рТАНК-НС на зразках назофарингеального аспірату для діагностики ТБ легень у дітей з ознаками та симптомами легеневого туберкульозу на противагу мікробіологічному еталонному стандарту?</w:t>
      </w:r>
    </w:p>
    <w:p w14:paraId="2E9A82C9" w14:textId="16443728" w:rsidR="00E05B98" w:rsidRPr="004D5917" w:rsidRDefault="00455BB2" w:rsidP="00455BB2">
      <w:pPr>
        <w:pStyle w:val="a3"/>
        <w:spacing w:before="217" w:line="269" w:lineRule="auto"/>
        <w:ind w:left="567" w:right="142"/>
        <w:jc w:val="both"/>
        <w:rPr>
          <w:sz w:val="20"/>
          <w:szCs w:val="20"/>
          <w:lang w:val="uk-UA"/>
        </w:rPr>
      </w:pPr>
      <w:r w:rsidRPr="00455BB2">
        <w:rPr>
          <w:spacing w:val="-8"/>
          <w:sz w:val="20"/>
          <w:szCs w:val="20"/>
          <w:lang w:val="uk-UA"/>
        </w:rPr>
        <w:t>В одному дослідженні (144 учасники, в</w:t>
      </w:r>
      <w:r w:rsidR="0067671C">
        <w:rPr>
          <w:spacing w:val="-8"/>
          <w:sz w:val="20"/>
          <w:szCs w:val="20"/>
          <w:lang w:val="uk-UA"/>
        </w:rPr>
        <w:t xml:space="preserve"> тому числі 1</w:t>
      </w:r>
      <w:r w:rsidRPr="00455BB2">
        <w:rPr>
          <w:spacing w:val="-8"/>
          <w:sz w:val="20"/>
          <w:szCs w:val="20"/>
          <w:lang w:val="uk-UA"/>
        </w:rPr>
        <w:t>2 осіб з</w:t>
      </w:r>
      <w:r w:rsidR="000530D1">
        <w:rPr>
          <w:spacing w:val="-8"/>
          <w:sz w:val="20"/>
          <w:szCs w:val="20"/>
          <w:lang w:val="uk-UA"/>
        </w:rPr>
        <w:t xml:space="preserve"> </w:t>
      </w:r>
      <w:r w:rsidRPr="00455BB2">
        <w:rPr>
          <w:spacing w:val="-8"/>
          <w:sz w:val="20"/>
          <w:szCs w:val="20"/>
          <w:lang w:val="uk-UA"/>
        </w:rPr>
        <w:t xml:space="preserve">ТБ легень) оцінювали точність рТАНК-НС для виявлення ТБ </w:t>
      </w:r>
      <w:r w:rsidR="0067671C">
        <w:rPr>
          <w:spacing w:val="-8"/>
          <w:sz w:val="20"/>
          <w:szCs w:val="20"/>
          <w:lang w:val="uk-UA"/>
        </w:rPr>
        <w:t>л</w:t>
      </w:r>
      <w:r w:rsidRPr="00455BB2">
        <w:rPr>
          <w:spacing w:val="-8"/>
          <w:sz w:val="20"/>
          <w:szCs w:val="20"/>
          <w:lang w:val="uk-UA"/>
        </w:rPr>
        <w:t xml:space="preserve">егень, використовуючи зразки назофарингеального аспірату на противагу </w:t>
      </w:r>
      <w:r w:rsidR="000530D1">
        <w:rPr>
          <w:spacing w:val="-8"/>
          <w:sz w:val="20"/>
          <w:szCs w:val="20"/>
          <w:lang w:val="uk-UA"/>
        </w:rPr>
        <w:t>мікробіологічному</w:t>
      </w:r>
      <w:r w:rsidR="0067671C">
        <w:rPr>
          <w:spacing w:val="-8"/>
          <w:sz w:val="20"/>
          <w:szCs w:val="20"/>
          <w:lang w:val="uk-UA"/>
        </w:rPr>
        <w:t xml:space="preserve"> еталонному стандарту</w:t>
      </w:r>
      <w:r w:rsidRPr="00455BB2">
        <w:rPr>
          <w:spacing w:val="-8"/>
          <w:sz w:val="20"/>
          <w:szCs w:val="20"/>
          <w:lang w:val="uk-UA"/>
        </w:rPr>
        <w:t xml:space="preserve"> (</w:t>
      </w:r>
      <w:r w:rsidRPr="0067671C">
        <w:rPr>
          <w:b/>
          <w:bCs/>
          <w:spacing w:val="-8"/>
          <w:sz w:val="20"/>
          <w:szCs w:val="20"/>
          <w:lang w:val="uk-UA"/>
        </w:rPr>
        <w:t>Рис. 2.2.1.5</w:t>
      </w:r>
      <w:r w:rsidRPr="00455BB2">
        <w:rPr>
          <w:spacing w:val="-8"/>
          <w:sz w:val="20"/>
          <w:szCs w:val="20"/>
          <w:lang w:val="uk-UA"/>
        </w:rPr>
        <w:t>). Чутливість становила 58%, а специфічність – 94%. Внаслідок обмеженості даних, не було надано рекомендації стосовно використання рТАНК-НС для дослідження зразків назофарингеального аспірату з метою виявлення ТБ легень.</w:t>
      </w:r>
    </w:p>
    <w:p w14:paraId="789816C2" w14:textId="3F479D9B" w:rsidR="00E05B98" w:rsidRPr="0067671C" w:rsidRDefault="00455BB2" w:rsidP="004D5917">
      <w:pPr>
        <w:pStyle w:val="6"/>
        <w:spacing w:before="239" w:line="249" w:lineRule="auto"/>
        <w:ind w:right="140"/>
        <w:rPr>
          <w:sz w:val="20"/>
          <w:szCs w:val="20"/>
          <w:lang w:val="uk-UA"/>
        </w:rPr>
      </w:pPr>
      <w:r>
        <w:rPr>
          <w:color w:val="636466"/>
          <w:sz w:val="20"/>
          <w:szCs w:val="20"/>
          <w:lang w:val="uk-UA"/>
        </w:rPr>
        <w:t>Рис</w:t>
      </w:r>
      <w:r w:rsidR="00B01E0C" w:rsidRPr="004D5917">
        <w:rPr>
          <w:color w:val="636466"/>
          <w:sz w:val="20"/>
          <w:szCs w:val="20"/>
          <w:lang w:val="uk-UA"/>
        </w:rPr>
        <w:t xml:space="preserve">. 2.2.1.5 </w:t>
      </w:r>
      <w:r w:rsidR="000A010E" w:rsidRPr="000A010E">
        <w:rPr>
          <w:color w:val="636466"/>
          <w:sz w:val="20"/>
          <w:szCs w:val="20"/>
          <w:lang w:val="uk-UA"/>
        </w:rPr>
        <w:t>Лісова діаграма чутливості та специфічності рТАНК-НС для виявлення ТБ легень у зразках назофарингеального аспірату та</w:t>
      </w:r>
      <w:r w:rsidR="0067671C" w:rsidRPr="0067671C">
        <w:rPr>
          <w:color w:val="636466"/>
          <w:sz w:val="20"/>
          <w:szCs w:val="20"/>
          <w:lang w:val="uk-UA"/>
        </w:rPr>
        <w:t xml:space="preserve"> </w:t>
      </w:r>
      <w:r w:rsidR="0067671C" w:rsidRPr="0067671C">
        <w:rPr>
          <w:color w:val="636466"/>
          <w:sz w:val="20"/>
          <w:szCs w:val="20"/>
        </w:rPr>
        <w:t>MRS</w:t>
      </w:r>
      <w:r w:rsidR="00B01E0C" w:rsidRPr="0067671C">
        <w:rPr>
          <w:color w:val="636466"/>
          <w:sz w:val="20"/>
          <w:szCs w:val="20"/>
          <w:vertAlign w:val="superscript"/>
          <w:lang w:val="uk-UA"/>
        </w:rPr>
        <w:t>a</w:t>
      </w:r>
    </w:p>
    <w:p w14:paraId="7DAE0416" w14:textId="6F12EAFE" w:rsidR="00E05B98" w:rsidRPr="000A010E" w:rsidRDefault="000A010E" w:rsidP="004D5917">
      <w:pPr>
        <w:tabs>
          <w:tab w:val="left" w:pos="1905"/>
          <w:tab w:val="left" w:pos="2012"/>
          <w:tab w:val="left" w:pos="2335"/>
          <w:tab w:val="left" w:pos="2658"/>
          <w:tab w:val="left" w:pos="3562"/>
          <w:tab w:val="left" w:pos="5112"/>
          <w:tab w:val="left" w:pos="8048"/>
        </w:tabs>
        <w:spacing w:before="218" w:line="350" w:lineRule="atLeast"/>
        <w:ind w:left="690" w:right="140"/>
        <w:rPr>
          <w:rFonts w:ascii="Trebuchet MS"/>
          <w:position w:val="-7"/>
          <w:sz w:val="18"/>
          <w:szCs w:val="18"/>
          <w:lang w:val="uk-UA"/>
        </w:rPr>
      </w:pPr>
      <w:r w:rsidRPr="003C6DAE">
        <w:rPr>
          <w:rFonts w:ascii="Trebuchet MS"/>
          <w:noProof/>
          <w:position w:val="-7"/>
          <w:sz w:val="20"/>
          <w:lang w:val="uk-UA"/>
        </w:rPr>
        <mc:AlternateContent>
          <mc:Choice Requires="wpg">
            <w:drawing>
              <wp:anchor distT="0" distB="0" distL="0" distR="0" simplePos="0" relativeHeight="481656832" behindDoc="1" locked="0" layoutInCell="1" allowOverlap="1" wp14:anchorId="4C5872AD" wp14:editId="0103E673">
                <wp:simplePos x="0" y="0"/>
                <wp:positionH relativeFrom="page">
                  <wp:posOffset>5744311</wp:posOffset>
                </wp:positionH>
                <wp:positionV relativeFrom="paragraph">
                  <wp:posOffset>442230</wp:posOffset>
                </wp:positionV>
                <wp:extent cx="1086416" cy="120322"/>
                <wp:effectExtent l="0" t="0" r="19050" b="13335"/>
                <wp:wrapNone/>
                <wp:docPr id="1822"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6416" cy="120322"/>
                          <a:chOff x="0" y="0"/>
                          <a:chExt cx="984885" cy="164465"/>
                        </a:xfrm>
                      </wpg:grpSpPr>
                      <wps:wsp>
                        <wps:cNvPr id="1823" name="Graphic 1823"/>
                        <wps:cNvSpPr/>
                        <wps:spPr>
                          <a:xfrm>
                            <a:off x="874104" y="32815"/>
                            <a:ext cx="30480" cy="1270"/>
                          </a:xfrm>
                          <a:custGeom>
                            <a:avLst/>
                            <a:gdLst/>
                            <a:ahLst/>
                            <a:cxnLst/>
                            <a:rect l="l" t="t" r="r" b="b"/>
                            <a:pathLst>
                              <a:path w="30480">
                                <a:moveTo>
                                  <a:pt x="0" y="0"/>
                                </a:moveTo>
                                <a:lnTo>
                                  <a:pt x="29944" y="0"/>
                                </a:lnTo>
                              </a:path>
                            </a:pathLst>
                          </a:custGeom>
                          <a:ln w="10938">
                            <a:solidFill>
                              <a:srgbClr val="000000"/>
                            </a:solidFill>
                            <a:prstDash val="solid"/>
                          </a:ln>
                        </wps:spPr>
                        <wps:bodyPr wrap="square" lIns="0" tIns="0" rIns="0" bIns="0" rtlCol="0">
                          <a:prstTxWarp prst="textNoShape">
                            <a:avLst/>
                          </a:prstTxWarp>
                          <a:noAutofit/>
                        </wps:bodyPr>
                      </wps:wsp>
                      <wps:wsp>
                        <wps:cNvPr id="1824" name="Graphic 1824"/>
                        <wps:cNvSpPr/>
                        <wps:spPr>
                          <a:xfrm>
                            <a:off x="961884" y="27346"/>
                            <a:ext cx="1270" cy="11430"/>
                          </a:xfrm>
                          <a:custGeom>
                            <a:avLst/>
                            <a:gdLst/>
                            <a:ahLst/>
                            <a:cxnLst/>
                            <a:rect l="l" t="t" r="r" b="b"/>
                            <a:pathLst>
                              <a:path h="11430">
                                <a:moveTo>
                                  <a:pt x="0" y="0"/>
                                </a:moveTo>
                                <a:lnTo>
                                  <a:pt x="0" y="10938"/>
                                </a:lnTo>
                              </a:path>
                            </a:pathLst>
                          </a:custGeom>
                          <a:ln w="820">
                            <a:solidFill>
                              <a:srgbClr val="000000"/>
                            </a:solidFill>
                            <a:prstDash val="solid"/>
                          </a:ln>
                        </wps:spPr>
                        <wps:bodyPr wrap="square" lIns="0" tIns="0" rIns="0" bIns="0" rtlCol="0">
                          <a:prstTxWarp prst="textNoShape">
                            <a:avLst/>
                          </a:prstTxWarp>
                          <a:noAutofit/>
                        </wps:bodyPr>
                      </wps:wsp>
                      <wps:wsp>
                        <wps:cNvPr id="1825" name="Graphic 1825"/>
                        <wps:cNvSpPr/>
                        <wps:spPr>
                          <a:xfrm>
                            <a:off x="904049" y="0"/>
                            <a:ext cx="57785" cy="76835"/>
                          </a:xfrm>
                          <a:custGeom>
                            <a:avLst/>
                            <a:gdLst/>
                            <a:ahLst/>
                            <a:cxnLst/>
                            <a:rect l="l" t="t" r="r" b="b"/>
                            <a:pathLst>
                              <a:path w="57785" h="76835">
                                <a:moveTo>
                                  <a:pt x="57424" y="76568"/>
                                </a:moveTo>
                                <a:lnTo>
                                  <a:pt x="0" y="76568"/>
                                </a:lnTo>
                                <a:lnTo>
                                  <a:pt x="0" y="0"/>
                                </a:lnTo>
                                <a:lnTo>
                                  <a:pt x="57424" y="0"/>
                                </a:lnTo>
                                <a:lnTo>
                                  <a:pt x="57424" y="76568"/>
                                </a:lnTo>
                                <a:close/>
                              </a:path>
                            </a:pathLst>
                          </a:custGeom>
                          <a:solidFill>
                            <a:srgbClr val="0000C0"/>
                          </a:solidFill>
                        </wps:spPr>
                        <wps:bodyPr wrap="square" lIns="0" tIns="0" rIns="0" bIns="0" rtlCol="0">
                          <a:prstTxWarp prst="textNoShape">
                            <a:avLst/>
                          </a:prstTxWarp>
                          <a:noAutofit/>
                        </wps:bodyPr>
                      </wps:wsp>
                      <wps:wsp>
                        <wps:cNvPr id="1826" name="Graphic 1826"/>
                        <wps:cNvSpPr/>
                        <wps:spPr>
                          <a:xfrm>
                            <a:off x="4101" y="120322"/>
                            <a:ext cx="976630" cy="1270"/>
                          </a:xfrm>
                          <a:custGeom>
                            <a:avLst/>
                            <a:gdLst/>
                            <a:ahLst/>
                            <a:cxnLst/>
                            <a:rect l="l" t="t" r="r" b="b"/>
                            <a:pathLst>
                              <a:path w="976630">
                                <a:moveTo>
                                  <a:pt x="0" y="0"/>
                                </a:moveTo>
                                <a:lnTo>
                                  <a:pt x="976242" y="0"/>
                                </a:lnTo>
                              </a:path>
                            </a:pathLst>
                          </a:custGeom>
                          <a:ln w="10938">
                            <a:solidFill>
                              <a:srgbClr val="000000"/>
                            </a:solidFill>
                            <a:prstDash val="solid"/>
                          </a:ln>
                        </wps:spPr>
                        <wps:bodyPr wrap="square" lIns="0" tIns="0" rIns="0" bIns="0" rtlCol="0">
                          <a:prstTxWarp prst="textNoShape">
                            <a:avLst/>
                          </a:prstTxWarp>
                          <a:noAutofit/>
                        </wps:bodyPr>
                      </wps:wsp>
                      <wps:wsp>
                        <wps:cNvPr id="1827" name="Graphic 1827"/>
                        <wps:cNvSpPr/>
                        <wps:spPr>
                          <a:xfrm>
                            <a:off x="4101" y="76569"/>
                            <a:ext cx="1270" cy="87630"/>
                          </a:xfrm>
                          <a:custGeom>
                            <a:avLst/>
                            <a:gdLst/>
                            <a:ahLst/>
                            <a:cxnLst/>
                            <a:rect l="l" t="t" r="r" b="b"/>
                            <a:pathLst>
                              <a:path h="87630">
                                <a:moveTo>
                                  <a:pt x="0" y="0"/>
                                </a:moveTo>
                                <a:lnTo>
                                  <a:pt x="0" y="87506"/>
                                </a:lnTo>
                              </a:path>
                            </a:pathLst>
                          </a:custGeom>
                          <a:ln w="8203">
                            <a:solidFill>
                              <a:srgbClr val="000000"/>
                            </a:solidFill>
                            <a:prstDash val="solid"/>
                          </a:ln>
                        </wps:spPr>
                        <wps:bodyPr wrap="square" lIns="0" tIns="0" rIns="0" bIns="0" rtlCol="0">
                          <a:prstTxWarp prst="textNoShape">
                            <a:avLst/>
                          </a:prstTxWarp>
                          <a:noAutofit/>
                        </wps:bodyPr>
                      </wps:wsp>
                      <wps:wsp>
                        <wps:cNvPr id="1828" name="Graphic 1828"/>
                        <wps:cNvSpPr/>
                        <wps:spPr>
                          <a:xfrm>
                            <a:off x="199350" y="76569"/>
                            <a:ext cx="1270" cy="87630"/>
                          </a:xfrm>
                          <a:custGeom>
                            <a:avLst/>
                            <a:gdLst/>
                            <a:ahLst/>
                            <a:cxnLst/>
                            <a:rect l="l" t="t" r="r" b="b"/>
                            <a:pathLst>
                              <a:path h="87630">
                                <a:moveTo>
                                  <a:pt x="0" y="0"/>
                                </a:moveTo>
                                <a:lnTo>
                                  <a:pt x="0" y="87506"/>
                                </a:lnTo>
                              </a:path>
                            </a:pathLst>
                          </a:custGeom>
                          <a:ln w="8203">
                            <a:solidFill>
                              <a:srgbClr val="000000"/>
                            </a:solidFill>
                            <a:prstDash val="solid"/>
                          </a:ln>
                        </wps:spPr>
                        <wps:bodyPr wrap="square" lIns="0" tIns="0" rIns="0" bIns="0" rtlCol="0">
                          <a:prstTxWarp prst="textNoShape">
                            <a:avLst/>
                          </a:prstTxWarp>
                          <a:noAutofit/>
                        </wps:bodyPr>
                      </wps:wsp>
                      <wps:wsp>
                        <wps:cNvPr id="1829" name="Graphic 1829"/>
                        <wps:cNvSpPr/>
                        <wps:spPr>
                          <a:xfrm>
                            <a:off x="394599" y="76569"/>
                            <a:ext cx="1270" cy="87630"/>
                          </a:xfrm>
                          <a:custGeom>
                            <a:avLst/>
                            <a:gdLst/>
                            <a:ahLst/>
                            <a:cxnLst/>
                            <a:rect l="l" t="t" r="r" b="b"/>
                            <a:pathLst>
                              <a:path h="87630">
                                <a:moveTo>
                                  <a:pt x="0" y="0"/>
                                </a:moveTo>
                                <a:lnTo>
                                  <a:pt x="0" y="87506"/>
                                </a:lnTo>
                              </a:path>
                            </a:pathLst>
                          </a:custGeom>
                          <a:ln w="8203">
                            <a:solidFill>
                              <a:srgbClr val="000000"/>
                            </a:solidFill>
                            <a:prstDash val="solid"/>
                          </a:ln>
                        </wps:spPr>
                        <wps:bodyPr wrap="square" lIns="0" tIns="0" rIns="0" bIns="0" rtlCol="0">
                          <a:prstTxWarp prst="textNoShape">
                            <a:avLst/>
                          </a:prstTxWarp>
                          <a:noAutofit/>
                        </wps:bodyPr>
                      </wps:wsp>
                      <wps:wsp>
                        <wps:cNvPr id="1830" name="Graphic 1830"/>
                        <wps:cNvSpPr/>
                        <wps:spPr>
                          <a:xfrm>
                            <a:off x="589438" y="76569"/>
                            <a:ext cx="1270" cy="87630"/>
                          </a:xfrm>
                          <a:custGeom>
                            <a:avLst/>
                            <a:gdLst/>
                            <a:ahLst/>
                            <a:cxnLst/>
                            <a:rect l="l" t="t" r="r" b="b"/>
                            <a:pathLst>
                              <a:path h="87630">
                                <a:moveTo>
                                  <a:pt x="0" y="0"/>
                                </a:moveTo>
                                <a:lnTo>
                                  <a:pt x="0" y="87506"/>
                                </a:lnTo>
                              </a:path>
                            </a:pathLst>
                          </a:custGeom>
                          <a:ln w="8203">
                            <a:solidFill>
                              <a:srgbClr val="000000"/>
                            </a:solidFill>
                            <a:prstDash val="solid"/>
                          </a:ln>
                        </wps:spPr>
                        <wps:bodyPr wrap="square" lIns="0" tIns="0" rIns="0" bIns="0" rtlCol="0">
                          <a:prstTxWarp prst="textNoShape">
                            <a:avLst/>
                          </a:prstTxWarp>
                          <a:noAutofit/>
                        </wps:bodyPr>
                      </wps:wsp>
                      <wps:wsp>
                        <wps:cNvPr id="1831" name="Graphic 1831"/>
                        <wps:cNvSpPr/>
                        <wps:spPr>
                          <a:xfrm>
                            <a:off x="785098" y="76569"/>
                            <a:ext cx="1270" cy="87630"/>
                          </a:xfrm>
                          <a:custGeom>
                            <a:avLst/>
                            <a:gdLst/>
                            <a:ahLst/>
                            <a:cxnLst/>
                            <a:rect l="l" t="t" r="r" b="b"/>
                            <a:pathLst>
                              <a:path h="87630">
                                <a:moveTo>
                                  <a:pt x="0" y="0"/>
                                </a:moveTo>
                                <a:lnTo>
                                  <a:pt x="0" y="87506"/>
                                </a:lnTo>
                              </a:path>
                            </a:pathLst>
                          </a:custGeom>
                          <a:ln w="8203">
                            <a:solidFill>
                              <a:srgbClr val="000000"/>
                            </a:solidFill>
                            <a:prstDash val="solid"/>
                          </a:ln>
                        </wps:spPr>
                        <wps:bodyPr wrap="square" lIns="0" tIns="0" rIns="0" bIns="0" rtlCol="0">
                          <a:prstTxWarp prst="textNoShape">
                            <a:avLst/>
                          </a:prstTxWarp>
                          <a:noAutofit/>
                        </wps:bodyPr>
                      </wps:wsp>
                      <wps:wsp>
                        <wps:cNvPr id="1832" name="Graphic 1832"/>
                        <wps:cNvSpPr/>
                        <wps:spPr>
                          <a:xfrm>
                            <a:off x="980347" y="76569"/>
                            <a:ext cx="1270" cy="87630"/>
                          </a:xfrm>
                          <a:custGeom>
                            <a:avLst/>
                            <a:gdLst/>
                            <a:ahLst/>
                            <a:cxnLst/>
                            <a:rect l="l" t="t" r="r" b="b"/>
                            <a:pathLst>
                              <a:path h="87630">
                                <a:moveTo>
                                  <a:pt x="0" y="0"/>
                                </a:moveTo>
                                <a:lnTo>
                                  <a:pt x="0" y="87506"/>
                                </a:lnTo>
                              </a:path>
                            </a:pathLst>
                          </a:custGeom>
                          <a:ln w="8203">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ECF624" id="Group 1822" o:spid="_x0000_s1026" style="position:absolute;margin-left:452.3pt;margin-top:34.8pt;width:85.55pt;height:9.45pt;z-index:-21659648;mso-wrap-distance-left:0;mso-wrap-distance-right:0;mso-position-horizontal-relative:page;mso-width-relative:margin;mso-height-relative:margin" coordsize="984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">
                <v:shape id="Graphic 1823" o:spid="_x0000_s1027" style="position:absolute;left:8741;top:328;width:304;height:12;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" path="m,l29944,e" filled="f" strokeweight=".30383mm">
                  <v:path arrowok="t"/>
                </v:shape>
                <v:shape id="Graphic 1824" o:spid="_x0000_s1028" style="position:absolute;left:9618;top:273;width:13;height:114;visibility:visible;mso-wrap-style:square;v-text-anchor:top" coordsize="12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" path="m,l,10938e" filled="f" strokeweight=".02278mm">
                  <v:path arrowok="t"/>
                </v:shape>
                <v:shape id="Graphic 1825" o:spid="_x0000_s1029" style="position:absolute;left:9040;width:578;height:768;visibility:visible;mso-wrap-style:square;v-text-anchor:top" coordsize="5778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" path="m57424,76568l,76568,,,57424,r,76568xe" fillcolor="#0000c0" stroked="f">
                  <v:path arrowok="t"/>
                </v:shape>
                <v:shape id="Graphic 1826" o:spid="_x0000_s1030" style="position:absolute;left:41;top:1203;width:9766;height:12;visibility:visible;mso-wrap-style:square;v-text-anchor:top" coordsize="976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" path="m,l976242,e" filled="f" strokeweight=".30383mm">
                  <v:path arrowok="t"/>
                </v:shape>
                <v:shape id="Graphic 1827" o:spid="_x0000_s1031" style="position:absolute;left:41;top:765;width:12;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" path="m,l,87506e" filled="f" strokeweight=".22786mm">
                  <v:path arrowok="t"/>
                </v:shape>
                <v:shape id="Graphic 1828" o:spid="_x0000_s1032" style="position:absolute;left:1993;top:765;width:13;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" path="m,l,87506e" filled="f" strokeweight=".22786mm">
                  <v:path arrowok="t"/>
                </v:shape>
                <v:shape id="Graphic 1829" o:spid="_x0000_s1033" style="position:absolute;left:3945;top:765;width:13;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" path="m,l,87506e" filled="f" strokeweight=".22786mm">
                  <v:path arrowok="t"/>
                </v:shape>
                <v:shape id="Graphic 1830" o:spid="_x0000_s1034" style="position:absolute;left:5894;top:765;width:13;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" path="m,l,87506e" filled="f" strokeweight=".22786mm">
                  <v:path arrowok="t"/>
                </v:shape>
                <v:shape id="Graphic 1831" o:spid="_x0000_s1035" style="position:absolute;left:7850;top:765;width:13;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" path="m,l,87506e" filled="f" strokeweight=".22786mm">
                  <v:path arrowok="t"/>
                </v:shape>
                <v:shape id="Graphic 1832" o:spid="_x0000_s1036" style="position:absolute;left:9803;top:765;width:13;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" path="m,l,87506e" filled="f" strokeweight=".22786mm">
                  <v:path arrowok="t"/>
                </v:shape>
                <w10:wrap anchorx="page"/>
              </v:group>
            </w:pict>
          </mc:Fallback>
        </mc:AlternateContent>
      </w:r>
      <w:r w:rsidR="00F925DD" w:rsidRPr="003C6DAE">
        <w:rPr>
          <w:rFonts w:ascii="Arial"/>
          <w:b/>
          <w:noProof/>
          <w:sz w:val="24"/>
          <w:lang w:val="uk-UA"/>
        </w:rPr>
        <mc:AlternateContent>
          <mc:Choice Requires="wps">
            <w:drawing>
              <wp:anchor distT="0" distB="0" distL="114300" distR="114300" simplePos="0" relativeHeight="488112640" behindDoc="0" locked="0" layoutInCell="1" allowOverlap="1" wp14:anchorId="4F620F0E" wp14:editId="040BFD58">
                <wp:simplePos x="0" y="0"/>
                <wp:positionH relativeFrom="margin">
                  <wp:posOffset>225715</wp:posOffset>
                </wp:positionH>
                <wp:positionV relativeFrom="paragraph">
                  <wp:posOffset>184559</wp:posOffset>
                </wp:positionV>
                <wp:extent cx="6273579" cy="225796"/>
                <wp:effectExtent l="0" t="0" r="0" b="3175"/>
                <wp:wrapNone/>
                <wp:docPr id="200860049" name="Поле 200860049"/>
                <wp:cNvGraphicFramePr/>
                <a:graphic xmlns:a="http://schemas.openxmlformats.org/drawingml/2006/main">
                  <a:graphicData uri="http://schemas.microsoft.com/office/word/2010/wordprocessingShape">
                    <wps:wsp>
                      <wps:cNvSpPr txBox="1"/>
                      <wps:spPr>
                        <a:xfrm>
                          <a:off x="0" y="0"/>
                          <a:ext cx="6273579" cy="225796"/>
                        </a:xfrm>
                        <a:prstGeom prst="rect">
                          <a:avLst/>
                        </a:prstGeom>
                        <a:solidFill>
                          <a:schemeClr val="bg1"/>
                        </a:solidFill>
                        <a:ln w="6350">
                          <a:noFill/>
                        </a:ln>
                      </wps:spPr>
                      <wps:txbx>
                        <w:txbxContent>
                          <w:p w14:paraId="67185C3B" w14:textId="4AE6A527" w:rsidR="007372B2" w:rsidRPr="000A010E" w:rsidRDefault="007372B2" w:rsidP="00F925DD">
                            <w:pPr>
                              <w:ind w:left="2160" w:hanging="2018"/>
                              <w:rPr>
                                <w:rFonts w:asciiTheme="minorHAnsi" w:hAnsiTheme="minorHAnsi" w:cstheme="minorHAnsi"/>
                                <w:b/>
                                <w:sz w:val="16"/>
                                <w:szCs w:val="16"/>
                                <w:lang w:val="uk-UA"/>
                              </w:rPr>
                            </w:pPr>
                            <w:r w:rsidRPr="000A010E">
                              <w:rPr>
                                <w:rFonts w:asciiTheme="minorHAnsi" w:hAnsiTheme="minorHAnsi" w:cstheme="minorHAnsi"/>
                                <w:b/>
                                <w:sz w:val="16"/>
                                <w:szCs w:val="16"/>
                                <w:lang w:val="uk-UA"/>
                              </w:rPr>
                              <w:t xml:space="preserve">Дослідження           </w:t>
                            </w:r>
                            <w:r w:rsidRPr="000A010E">
                              <w:rPr>
                                <w:rFonts w:asciiTheme="minorHAnsi" w:hAnsiTheme="minorHAnsi" w:cstheme="minorHAnsi"/>
                                <w:b/>
                                <w:sz w:val="16"/>
                                <w:szCs w:val="16"/>
                              </w:rPr>
                              <w:t xml:space="preserve">TP    FP    </w:t>
                            </w:r>
                            <w:r w:rsidRPr="000A010E">
                              <w:rPr>
                                <w:rFonts w:asciiTheme="minorHAnsi" w:hAnsiTheme="minorHAnsi" w:cstheme="minorHAnsi"/>
                                <w:b/>
                                <w:sz w:val="16"/>
                                <w:szCs w:val="16"/>
                                <w:lang w:val="uk-UA"/>
                              </w:rPr>
                              <w:t xml:space="preserve"> </w:t>
                            </w:r>
                            <w:r w:rsidRPr="000A010E">
                              <w:rPr>
                                <w:rFonts w:asciiTheme="minorHAnsi" w:hAnsiTheme="minorHAnsi" w:cstheme="minorHAnsi"/>
                                <w:b/>
                                <w:sz w:val="16"/>
                                <w:szCs w:val="16"/>
                              </w:rPr>
                              <w:t xml:space="preserve">FN   TN      </w:t>
                            </w:r>
                            <w:r w:rsidRPr="000A010E">
                              <w:rPr>
                                <w:rFonts w:asciiTheme="minorHAnsi" w:hAnsiTheme="minorHAnsi" w:cstheme="minorHAnsi"/>
                                <w:b/>
                                <w:sz w:val="16"/>
                                <w:szCs w:val="16"/>
                                <w:lang w:val="uk-UA"/>
                              </w:rPr>
                              <w:t xml:space="preserve">Чутливість (95% ДІ)    Специфічність (95% ДІ)  </w:t>
                            </w:r>
                            <w:r w:rsidRPr="000A010E">
                              <w:rPr>
                                <w:rFonts w:asciiTheme="minorHAnsi" w:hAnsiTheme="minorHAnsi" w:cstheme="minorHAnsi"/>
                                <w:b/>
                                <w:sz w:val="16"/>
                                <w:szCs w:val="16"/>
                              </w:rPr>
                              <w:t xml:space="preserve">   </w:t>
                            </w:r>
                            <w:r w:rsidRPr="000A010E">
                              <w:rPr>
                                <w:rFonts w:asciiTheme="minorHAnsi" w:hAnsiTheme="minorHAnsi" w:cstheme="minorHAnsi"/>
                                <w:b/>
                                <w:sz w:val="16"/>
                                <w:szCs w:val="16"/>
                                <w:lang w:val="uk-UA"/>
                              </w:rPr>
                              <w:t xml:space="preserve"> Чутливість (95% ДІ)    </w:t>
                            </w:r>
                            <w:r>
                              <w:rPr>
                                <w:rFonts w:asciiTheme="minorHAnsi" w:hAnsiTheme="minorHAnsi" w:cstheme="minorHAnsi"/>
                                <w:b/>
                                <w:sz w:val="16"/>
                                <w:szCs w:val="16"/>
                                <w:lang w:val="uk-UA"/>
                              </w:rPr>
                              <w:t xml:space="preserve">    </w:t>
                            </w:r>
                            <w:r w:rsidRPr="000A010E">
                              <w:rPr>
                                <w:rFonts w:asciiTheme="minorHAnsi" w:hAnsiTheme="minorHAnsi" w:cstheme="minorHAnsi"/>
                                <w:b/>
                                <w:sz w:val="16"/>
                                <w:szCs w:val="16"/>
                                <w:lang w:val="uk-UA"/>
                              </w:rPr>
                              <w:t>Специфічність (95% ДІ)</w:t>
                            </w:r>
                            <w:r w:rsidRPr="000A010E">
                              <w:rPr>
                                <w:rFonts w:asciiTheme="minorHAnsi" w:hAnsiTheme="minorHAnsi" w:cstheme="minorHAnsi"/>
                                <w:b/>
                                <w:sz w:val="16"/>
                                <w:szCs w:val="16"/>
                              </w:rPr>
                              <w:t xml:space="preserve">          </w:t>
                            </w:r>
                            <w:r w:rsidRPr="000A010E">
                              <w:rPr>
                                <w:rFonts w:asciiTheme="minorHAnsi" w:hAnsiTheme="minorHAnsi" w:cstheme="minorHAnsi"/>
                                <w:b/>
                                <w:sz w:val="16"/>
                                <w:szCs w:val="16"/>
                                <w:lang w:val="uk-UA"/>
                              </w:rPr>
                              <w:t xml:space="preserve">                     </w:t>
                            </w:r>
                          </w:p>
                          <w:p w14:paraId="2C973553"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0F0E" id="Поле 200860049" o:spid="_x0000_s1104" type="#_x0000_t202" style="position:absolute;left:0;text-align:left;margin-left:17.75pt;margin-top:14.55pt;width:494pt;height:17.8pt;z-index:48811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" fillcolor="white [3212]" stroked="f" strokeweight=".5pt">
                <v:textbox>
                  <w:txbxContent>
                    <w:p w14:paraId="67185C3B" w14:textId="4AE6A527" w:rsidR="007372B2" w:rsidRPr="000A010E" w:rsidRDefault="007372B2" w:rsidP="00F925DD">
                      <w:pPr>
                        <w:ind w:left="2160" w:hanging="2018"/>
                        <w:rPr>
                          <w:rFonts w:asciiTheme="minorHAnsi" w:hAnsiTheme="minorHAnsi" w:cstheme="minorHAnsi"/>
                          <w:b/>
                          <w:sz w:val="16"/>
                          <w:szCs w:val="16"/>
                          <w:lang w:val="uk-UA"/>
                        </w:rPr>
                      </w:pPr>
                      <w:r w:rsidRPr="000A010E">
                        <w:rPr>
                          <w:rFonts w:asciiTheme="minorHAnsi" w:hAnsiTheme="minorHAnsi" w:cstheme="minorHAnsi"/>
                          <w:b/>
                          <w:sz w:val="16"/>
                          <w:szCs w:val="16"/>
                          <w:lang w:val="uk-UA"/>
                        </w:rPr>
                        <w:t xml:space="preserve">Дослідження           </w:t>
                      </w:r>
                      <w:r w:rsidRPr="000A010E">
                        <w:rPr>
                          <w:rFonts w:asciiTheme="minorHAnsi" w:hAnsiTheme="minorHAnsi" w:cstheme="minorHAnsi"/>
                          <w:b/>
                          <w:sz w:val="16"/>
                          <w:szCs w:val="16"/>
                        </w:rPr>
                        <w:t xml:space="preserve">TP    FP    </w:t>
                      </w:r>
                      <w:r w:rsidRPr="000A010E">
                        <w:rPr>
                          <w:rFonts w:asciiTheme="minorHAnsi" w:hAnsiTheme="minorHAnsi" w:cstheme="minorHAnsi"/>
                          <w:b/>
                          <w:sz w:val="16"/>
                          <w:szCs w:val="16"/>
                          <w:lang w:val="uk-UA"/>
                        </w:rPr>
                        <w:t xml:space="preserve"> </w:t>
                      </w:r>
                      <w:r w:rsidRPr="000A010E">
                        <w:rPr>
                          <w:rFonts w:asciiTheme="minorHAnsi" w:hAnsiTheme="minorHAnsi" w:cstheme="minorHAnsi"/>
                          <w:b/>
                          <w:sz w:val="16"/>
                          <w:szCs w:val="16"/>
                        </w:rPr>
                        <w:t xml:space="preserve">FN   TN      </w:t>
                      </w:r>
                      <w:r w:rsidRPr="000A010E">
                        <w:rPr>
                          <w:rFonts w:asciiTheme="minorHAnsi" w:hAnsiTheme="minorHAnsi" w:cstheme="minorHAnsi"/>
                          <w:b/>
                          <w:sz w:val="16"/>
                          <w:szCs w:val="16"/>
                          <w:lang w:val="uk-UA"/>
                        </w:rPr>
                        <w:t xml:space="preserve">Чутливість (95% ДІ)    Специфічність (95% ДІ)  </w:t>
                      </w:r>
                      <w:r w:rsidRPr="000A010E">
                        <w:rPr>
                          <w:rFonts w:asciiTheme="minorHAnsi" w:hAnsiTheme="minorHAnsi" w:cstheme="minorHAnsi"/>
                          <w:b/>
                          <w:sz w:val="16"/>
                          <w:szCs w:val="16"/>
                        </w:rPr>
                        <w:t xml:space="preserve">   </w:t>
                      </w:r>
                      <w:r w:rsidRPr="000A010E">
                        <w:rPr>
                          <w:rFonts w:asciiTheme="minorHAnsi" w:hAnsiTheme="minorHAnsi" w:cstheme="minorHAnsi"/>
                          <w:b/>
                          <w:sz w:val="16"/>
                          <w:szCs w:val="16"/>
                          <w:lang w:val="uk-UA"/>
                        </w:rPr>
                        <w:t xml:space="preserve"> Чутливість (95% ДІ)    </w:t>
                      </w:r>
                      <w:r>
                        <w:rPr>
                          <w:rFonts w:asciiTheme="minorHAnsi" w:hAnsiTheme="minorHAnsi" w:cstheme="minorHAnsi"/>
                          <w:b/>
                          <w:sz w:val="16"/>
                          <w:szCs w:val="16"/>
                          <w:lang w:val="uk-UA"/>
                        </w:rPr>
                        <w:t xml:space="preserve">    </w:t>
                      </w:r>
                      <w:r w:rsidRPr="000A010E">
                        <w:rPr>
                          <w:rFonts w:asciiTheme="minorHAnsi" w:hAnsiTheme="minorHAnsi" w:cstheme="minorHAnsi"/>
                          <w:b/>
                          <w:sz w:val="16"/>
                          <w:szCs w:val="16"/>
                          <w:lang w:val="uk-UA"/>
                        </w:rPr>
                        <w:t>Специфічність (95% ДІ)</w:t>
                      </w:r>
                      <w:r w:rsidRPr="000A010E">
                        <w:rPr>
                          <w:rFonts w:asciiTheme="minorHAnsi" w:hAnsiTheme="minorHAnsi" w:cstheme="minorHAnsi"/>
                          <w:b/>
                          <w:sz w:val="16"/>
                          <w:szCs w:val="16"/>
                        </w:rPr>
                        <w:t xml:space="preserve">          </w:t>
                      </w:r>
                      <w:r w:rsidRPr="000A010E">
                        <w:rPr>
                          <w:rFonts w:asciiTheme="minorHAnsi" w:hAnsiTheme="minorHAnsi" w:cstheme="minorHAnsi"/>
                          <w:b/>
                          <w:sz w:val="16"/>
                          <w:szCs w:val="16"/>
                          <w:lang w:val="uk-UA"/>
                        </w:rPr>
                        <w:t xml:space="preserve">                     </w:t>
                      </w:r>
                    </w:p>
                    <w:p w14:paraId="2C973553"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v:textbox>
                <w10:wrap anchorx="margin"/>
              </v:shape>
            </w:pict>
          </mc:Fallback>
        </mc:AlternateContent>
      </w:r>
      <w:r w:rsidR="00B01E0C" w:rsidRPr="003C6DAE">
        <w:rPr>
          <w:rFonts w:ascii="Trebuchet MS"/>
          <w:color w:val="333333"/>
          <w:w w:val="80"/>
          <w:sz w:val="20"/>
          <w:lang w:val="uk-UA"/>
        </w:rPr>
        <w:t>S</w:t>
      </w:r>
      <w:r w:rsidR="00B01E0C" w:rsidRPr="003C6DAE">
        <w:rPr>
          <w:rFonts w:ascii="Trebuchet MS"/>
          <w:color w:val="333333"/>
          <w:spacing w:val="-22"/>
          <w:w w:val="80"/>
          <w:sz w:val="20"/>
          <w:lang w:val="uk-UA"/>
        </w:rPr>
        <w:t xml:space="preserve"> </w:t>
      </w:r>
      <w:proofErr w:type="spellStart"/>
      <w:r w:rsidR="00B01E0C" w:rsidRPr="003C6DAE">
        <w:rPr>
          <w:rFonts w:ascii="Trebuchet MS"/>
          <w:color w:val="333333"/>
          <w:w w:val="80"/>
          <w:sz w:val="20"/>
          <w:lang w:val="uk-UA"/>
        </w:rPr>
        <w:t>tudy</w:t>
      </w:r>
      <w:proofErr w:type="spellEnd"/>
      <w:r w:rsidR="00B01E0C" w:rsidRPr="003C6DAE">
        <w:rPr>
          <w:rFonts w:ascii="Trebuchet MS"/>
          <w:color w:val="333333"/>
          <w:sz w:val="20"/>
          <w:lang w:val="uk-UA"/>
        </w:rPr>
        <w:tab/>
      </w:r>
      <w:r w:rsidR="00B01E0C" w:rsidRPr="003C6DAE">
        <w:rPr>
          <w:rFonts w:ascii="Trebuchet MS"/>
          <w:color w:val="333333"/>
          <w:w w:val="80"/>
          <w:sz w:val="20"/>
          <w:lang w:val="uk-UA"/>
        </w:rPr>
        <w:t>TP</w:t>
      </w:r>
      <w:r w:rsidR="00B01E0C" w:rsidRPr="003C6DAE">
        <w:rPr>
          <w:rFonts w:ascii="Trebuchet MS"/>
          <w:color w:val="333333"/>
          <w:spacing w:val="80"/>
          <w:sz w:val="20"/>
          <w:lang w:val="uk-UA"/>
        </w:rPr>
        <w:t xml:space="preserve"> </w:t>
      </w:r>
      <w:r w:rsidR="00B01E0C" w:rsidRPr="003C6DAE">
        <w:rPr>
          <w:rFonts w:ascii="Trebuchet MS"/>
          <w:color w:val="333333"/>
          <w:w w:val="80"/>
          <w:sz w:val="20"/>
          <w:lang w:val="uk-UA"/>
        </w:rPr>
        <w:t>FP</w:t>
      </w:r>
      <w:r w:rsidR="00B01E0C" w:rsidRPr="003C6DAE">
        <w:rPr>
          <w:rFonts w:ascii="Trebuchet MS"/>
          <w:color w:val="333333"/>
          <w:spacing w:val="80"/>
          <w:sz w:val="20"/>
          <w:lang w:val="uk-UA"/>
        </w:rPr>
        <w:t xml:space="preserve"> </w:t>
      </w:r>
      <w:r w:rsidR="00B01E0C" w:rsidRPr="003C6DAE">
        <w:rPr>
          <w:rFonts w:ascii="Trebuchet MS"/>
          <w:color w:val="333333"/>
          <w:w w:val="80"/>
          <w:sz w:val="20"/>
          <w:lang w:val="uk-UA"/>
        </w:rPr>
        <w:t>FN</w:t>
      </w:r>
      <w:r w:rsidR="00B01E0C" w:rsidRPr="003C6DAE">
        <w:rPr>
          <w:rFonts w:ascii="Trebuchet MS"/>
          <w:color w:val="333333"/>
          <w:spacing w:val="80"/>
          <w:sz w:val="20"/>
          <w:lang w:val="uk-UA"/>
        </w:rPr>
        <w:t xml:space="preserve"> </w:t>
      </w:r>
      <w:r w:rsidR="00B01E0C" w:rsidRPr="003C6DAE">
        <w:rPr>
          <w:rFonts w:ascii="Trebuchet MS"/>
          <w:color w:val="333333"/>
          <w:w w:val="80"/>
          <w:sz w:val="20"/>
          <w:lang w:val="uk-UA"/>
        </w:rPr>
        <w:t>TN</w:t>
      </w:r>
      <w:r w:rsidR="00B01E0C" w:rsidRPr="003C6DAE">
        <w:rPr>
          <w:rFonts w:ascii="Trebuchet MS"/>
          <w:color w:val="333333"/>
          <w:spacing w:val="80"/>
          <w:sz w:val="20"/>
          <w:lang w:val="uk-UA"/>
        </w:rPr>
        <w:t xml:space="preserve"> </w:t>
      </w:r>
      <w:r w:rsidR="00B01E0C" w:rsidRPr="003C6DAE">
        <w:rPr>
          <w:rFonts w:ascii="Trebuchet MS"/>
          <w:color w:val="333333"/>
          <w:w w:val="80"/>
          <w:sz w:val="20"/>
          <w:lang w:val="uk-UA"/>
        </w:rPr>
        <w:t>S</w:t>
      </w:r>
      <w:r w:rsidR="00B01E0C" w:rsidRPr="003C6DAE">
        <w:rPr>
          <w:rFonts w:ascii="Trebuchet MS"/>
          <w:color w:val="333333"/>
          <w:spacing w:val="-19"/>
          <w:w w:val="80"/>
          <w:sz w:val="20"/>
          <w:lang w:val="uk-UA"/>
        </w:rPr>
        <w:t xml:space="preserve"> </w:t>
      </w:r>
      <w:proofErr w:type="spellStart"/>
      <w:r w:rsidR="00B01E0C" w:rsidRPr="003C6DAE">
        <w:rPr>
          <w:rFonts w:ascii="Trebuchet MS"/>
          <w:color w:val="333333"/>
          <w:w w:val="80"/>
          <w:sz w:val="20"/>
          <w:lang w:val="uk-UA"/>
        </w:rPr>
        <w:t>ens</w:t>
      </w:r>
      <w:proofErr w:type="spellEnd"/>
      <w:r w:rsidR="00B01E0C" w:rsidRPr="003C6DAE">
        <w:rPr>
          <w:rFonts w:ascii="Trebuchet MS"/>
          <w:color w:val="333333"/>
          <w:spacing w:val="-22"/>
          <w:w w:val="80"/>
          <w:sz w:val="20"/>
          <w:lang w:val="uk-UA"/>
        </w:rPr>
        <w:t xml:space="preserve"> </w:t>
      </w:r>
      <w:proofErr w:type="spellStart"/>
      <w:r w:rsidR="00B01E0C" w:rsidRPr="003C6DAE">
        <w:rPr>
          <w:rFonts w:ascii="Trebuchet MS"/>
          <w:color w:val="333333"/>
          <w:w w:val="80"/>
          <w:sz w:val="20"/>
          <w:lang w:val="uk-UA"/>
        </w:rPr>
        <w:t>itivity</w:t>
      </w:r>
      <w:proofErr w:type="spellEnd"/>
      <w:r w:rsidR="00B01E0C" w:rsidRPr="003C6DAE">
        <w:rPr>
          <w:rFonts w:ascii="Trebuchet MS"/>
          <w:color w:val="333333"/>
          <w:w w:val="80"/>
          <w:sz w:val="20"/>
          <w:lang w:val="uk-UA"/>
        </w:rPr>
        <w:t xml:space="preserve"> (95% C</w:t>
      </w:r>
      <w:r w:rsidR="00B01E0C" w:rsidRPr="003C6DAE">
        <w:rPr>
          <w:rFonts w:ascii="Trebuchet MS"/>
          <w:color w:val="333333"/>
          <w:spacing w:val="-25"/>
          <w:w w:val="80"/>
          <w:sz w:val="20"/>
          <w:lang w:val="uk-UA"/>
        </w:rPr>
        <w:t xml:space="preserve"> </w:t>
      </w:r>
      <w:r w:rsidR="00B01E0C" w:rsidRPr="003C6DAE">
        <w:rPr>
          <w:rFonts w:ascii="Trebuchet MS"/>
          <w:color w:val="333333"/>
          <w:w w:val="80"/>
          <w:sz w:val="20"/>
          <w:lang w:val="uk-UA"/>
        </w:rPr>
        <w:t>I)</w:t>
      </w:r>
      <w:r w:rsidR="00B01E0C" w:rsidRPr="003C6DAE">
        <w:rPr>
          <w:rFonts w:ascii="Trebuchet MS"/>
          <w:color w:val="333333"/>
          <w:spacing w:val="40"/>
          <w:sz w:val="20"/>
          <w:lang w:val="uk-UA"/>
        </w:rPr>
        <w:t xml:space="preserve"> </w:t>
      </w:r>
      <w:r w:rsidR="00B01E0C" w:rsidRPr="003C6DAE">
        <w:rPr>
          <w:rFonts w:ascii="Trebuchet MS"/>
          <w:color w:val="333333"/>
          <w:w w:val="80"/>
          <w:sz w:val="20"/>
          <w:lang w:val="uk-UA"/>
        </w:rPr>
        <w:t>S</w:t>
      </w:r>
      <w:r w:rsidR="00B01E0C" w:rsidRPr="003C6DAE">
        <w:rPr>
          <w:rFonts w:ascii="Trebuchet MS"/>
          <w:color w:val="333333"/>
          <w:spacing w:val="-19"/>
          <w:w w:val="80"/>
          <w:sz w:val="20"/>
          <w:lang w:val="uk-UA"/>
        </w:rPr>
        <w:t xml:space="preserve"> </w:t>
      </w:r>
      <w:proofErr w:type="spellStart"/>
      <w:r w:rsidR="00B01E0C" w:rsidRPr="003C6DAE">
        <w:rPr>
          <w:rFonts w:ascii="Trebuchet MS"/>
          <w:color w:val="333333"/>
          <w:w w:val="80"/>
          <w:sz w:val="20"/>
          <w:lang w:val="uk-UA"/>
        </w:rPr>
        <w:t>pecificity</w:t>
      </w:r>
      <w:proofErr w:type="spellEnd"/>
      <w:r w:rsidR="00B01E0C" w:rsidRPr="003C6DAE">
        <w:rPr>
          <w:rFonts w:ascii="Trebuchet MS"/>
          <w:color w:val="333333"/>
          <w:w w:val="80"/>
          <w:sz w:val="20"/>
          <w:lang w:val="uk-UA"/>
        </w:rPr>
        <w:t xml:space="preserve"> (95% C</w:t>
      </w:r>
      <w:r w:rsidR="00B01E0C" w:rsidRPr="003C6DAE">
        <w:rPr>
          <w:rFonts w:ascii="Trebuchet MS"/>
          <w:color w:val="333333"/>
          <w:spacing w:val="-25"/>
          <w:w w:val="80"/>
          <w:sz w:val="20"/>
          <w:lang w:val="uk-UA"/>
        </w:rPr>
        <w:t xml:space="preserve"> </w:t>
      </w:r>
      <w:r w:rsidR="00B01E0C" w:rsidRPr="003C6DAE">
        <w:rPr>
          <w:rFonts w:ascii="Trebuchet MS"/>
          <w:color w:val="333333"/>
          <w:w w:val="80"/>
          <w:sz w:val="20"/>
          <w:lang w:val="uk-UA"/>
        </w:rPr>
        <w:t>I)</w:t>
      </w:r>
      <w:r w:rsidR="00B01E0C" w:rsidRPr="003C6DAE">
        <w:rPr>
          <w:rFonts w:ascii="Trebuchet MS"/>
          <w:color w:val="333333"/>
          <w:spacing w:val="40"/>
          <w:sz w:val="20"/>
          <w:lang w:val="uk-UA"/>
        </w:rPr>
        <w:t xml:space="preserve"> </w:t>
      </w:r>
      <w:r w:rsidR="00B01E0C" w:rsidRPr="003C6DAE">
        <w:rPr>
          <w:rFonts w:ascii="Trebuchet MS"/>
          <w:color w:val="333333"/>
          <w:w w:val="80"/>
          <w:sz w:val="20"/>
          <w:lang w:val="uk-UA"/>
        </w:rPr>
        <w:t>S</w:t>
      </w:r>
      <w:r w:rsidR="00B01E0C" w:rsidRPr="003C6DAE">
        <w:rPr>
          <w:rFonts w:ascii="Trebuchet MS"/>
          <w:color w:val="333333"/>
          <w:spacing w:val="-19"/>
          <w:w w:val="80"/>
          <w:sz w:val="20"/>
          <w:lang w:val="uk-UA"/>
        </w:rPr>
        <w:t xml:space="preserve"> </w:t>
      </w:r>
      <w:proofErr w:type="spellStart"/>
      <w:r w:rsidR="00B01E0C" w:rsidRPr="003C6DAE">
        <w:rPr>
          <w:rFonts w:ascii="Trebuchet MS"/>
          <w:color w:val="333333"/>
          <w:w w:val="80"/>
          <w:sz w:val="20"/>
          <w:lang w:val="uk-UA"/>
        </w:rPr>
        <w:t>ens</w:t>
      </w:r>
      <w:proofErr w:type="spellEnd"/>
      <w:r w:rsidR="00B01E0C" w:rsidRPr="003C6DAE">
        <w:rPr>
          <w:rFonts w:ascii="Trebuchet MS"/>
          <w:color w:val="333333"/>
          <w:spacing w:val="-22"/>
          <w:w w:val="80"/>
          <w:sz w:val="20"/>
          <w:lang w:val="uk-UA"/>
        </w:rPr>
        <w:t xml:space="preserve"> </w:t>
      </w:r>
      <w:proofErr w:type="spellStart"/>
      <w:r w:rsidR="00B01E0C" w:rsidRPr="003C6DAE">
        <w:rPr>
          <w:rFonts w:ascii="Trebuchet MS"/>
          <w:color w:val="333333"/>
          <w:w w:val="80"/>
          <w:sz w:val="20"/>
          <w:lang w:val="uk-UA"/>
        </w:rPr>
        <w:t>itivity</w:t>
      </w:r>
      <w:proofErr w:type="spellEnd"/>
      <w:r w:rsidR="00B01E0C" w:rsidRPr="003C6DAE">
        <w:rPr>
          <w:rFonts w:ascii="Trebuchet MS"/>
          <w:color w:val="333333"/>
          <w:w w:val="80"/>
          <w:sz w:val="20"/>
          <w:lang w:val="uk-UA"/>
        </w:rPr>
        <w:t xml:space="preserve"> (95% C</w:t>
      </w:r>
      <w:r w:rsidR="00B01E0C" w:rsidRPr="003C6DAE">
        <w:rPr>
          <w:rFonts w:ascii="Trebuchet MS"/>
          <w:color w:val="333333"/>
          <w:spacing w:val="-25"/>
          <w:w w:val="80"/>
          <w:sz w:val="20"/>
          <w:lang w:val="uk-UA"/>
        </w:rPr>
        <w:t xml:space="preserve"> </w:t>
      </w:r>
      <w:r w:rsidR="00B01E0C" w:rsidRPr="003C6DAE">
        <w:rPr>
          <w:rFonts w:ascii="Trebuchet MS"/>
          <w:color w:val="333333"/>
          <w:w w:val="80"/>
          <w:sz w:val="20"/>
          <w:lang w:val="uk-UA"/>
        </w:rPr>
        <w:t>I)</w:t>
      </w:r>
      <w:r w:rsidR="00B01E0C" w:rsidRPr="003C6DAE">
        <w:rPr>
          <w:rFonts w:ascii="Trebuchet MS"/>
          <w:color w:val="333333"/>
          <w:sz w:val="20"/>
          <w:lang w:val="uk-UA"/>
        </w:rPr>
        <w:tab/>
      </w:r>
      <w:r w:rsidR="00B01E0C" w:rsidRPr="003C6DAE">
        <w:rPr>
          <w:rFonts w:ascii="Trebuchet MS"/>
          <w:color w:val="333333"/>
          <w:w w:val="75"/>
          <w:sz w:val="20"/>
          <w:lang w:val="uk-UA"/>
        </w:rPr>
        <w:t>S</w:t>
      </w:r>
      <w:r w:rsidR="00B01E0C" w:rsidRPr="003C6DAE">
        <w:rPr>
          <w:rFonts w:ascii="Trebuchet MS"/>
          <w:color w:val="333333"/>
          <w:spacing w:val="-14"/>
          <w:w w:val="75"/>
          <w:sz w:val="20"/>
          <w:lang w:val="uk-UA"/>
        </w:rPr>
        <w:t xml:space="preserve"> </w:t>
      </w:r>
      <w:proofErr w:type="spellStart"/>
      <w:r w:rsidR="00B01E0C" w:rsidRPr="003C6DAE">
        <w:rPr>
          <w:rFonts w:ascii="Trebuchet MS"/>
          <w:color w:val="333333"/>
          <w:w w:val="75"/>
          <w:sz w:val="20"/>
          <w:lang w:val="uk-UA"/>
        </w:rPr>
        <w:t>pecificity</w:t>
      </w:r>
      <w:proofErr w:type="spellEnd"/>
      <w:r w:rsidR="00B01E0C" w:rsidRPr="003C6DAE">
        <w:rPr>
          <w:rFonts w:ascii="Trebuchet MS"/>
          <w:color w:val="333333"/>
          <w:sz w:val="20"/>
          <w:lang w:val="uk-UA"/>
        </w:rPr>
        <w:t xml:space="preserve"> </w:t>
      </w:r>
      <w:r w:rsidR="00B01E0C" w:rsidRPr="003C6DAE">
        <w:rPr>
          <w:rFonts w:ascii="Trebuchet MS"/>
          <w:color w:val="333333"/>
          <w:w w:val="75"/>
          <w:sz w:val="20"/>
          <w:lang w:val="uk-UA"/>
        </w:rPr>
        <w:t>(95%</w:t>
      </w:r>
      <w:r w:rsidR="00B01E0C" w:rsidRPr="003C6DAE">
        <w:rPr>
          <w:rFonts w:ascii="Trebuchet MS"/>
          <w:color w:val="333333"/>
          <w:sz w:val="20"/>
          <w:lang w:val="uk-UA"/>
        </w:rPr>
        <w:t xml:space="preserve"> </w:t>
      </w:r>
      <w:r w:rsidR="00B01E0C" w:rsidRPr="003C6DAE">
        <w:rPr>
          <w:rFonts w:ascii="Trebuchet MS"/>
          <w:color w:val="333333"/>
          <w:w w:val="75"/>
          <w:sz w:val="20"/>
          <w:lang w:val="uk-UA"/>
        </w:rPr>
        <w:t>C</w:t>
      </w:r>
      <w:r w:rsidR="00B01E0C" w:rsidRPr="003C6DAE">
        <w:rPr>
          <w:rFonts w:ascii="Trebuchet MS"/>
          <w:color w:val="333333"/>
          <w:spacing w:val="-20"/>
          <w:w w:val="75"/>
          <w:sz w:val="20"/>
          <w:lang w:val="uk-UA"/>
        </w:rPr>
        <w:t xml:space="preserve"> </w:t>
      </w:r>
      <w:r w:rsidR="00B01E0C" w:rsidRPr="003C6DAE">
        <w:rPr>
          <w:rFonts w:ascii="Trebuchet MS"/>
          <w:color w:val="333333"/>
          <w:w w:val="75"/>
          <w:sz w:val="20"/>
          <w:lang w:val="uk-UA"/>
        </w:rPr>
        <w:t xml:space="preserve">I) </w:t>
      </w:r>
      <w:r>
        <w:rPr>
          <w:rFonts w:ascii="Trebuchet MS"/>
          <w:color w:val="333333"/>
          <w:w w:val="75"/>
          <w:sz w:val="20"/>
          <w:lang w:val="uk-UA"/>
        </w:rPr>
        <w:t xml:space="preserve"> </w:t>
      </w:r>
      <w:proofErr w:type="spellStart"/>
      <w:r w:rsidR="00B01E0C" w:rsidRPr="000A010E">
        <w:rPr>
          <w:rFonts w:ascii="Trebuchet MS"/>
          <w:w w:val="80"/>
          <w:sz w:val="16"/>
          <w:szCs w:val="16"/>
          <w:lang w:val="uk-UA"/>
        </w:rPr>
        <w:t>Danfack</w:t>
      </w:r>
      <w:proofErr w:type="spellEnd"/>
      <w:r w:rsidR="00B01E0C" w:rsidRPr="000A010E">
        <w:rPr>
          <w:rFonts w:ascii="Trebuchet MS"/>
          <w:w w:val="80"/>
          <w:sz w:val="16"/>
          <w:szCs w:val="16"/>
          <w:lang w:val="uk-UA"/>
        </w:rPr>
        <w:t xml:space="preserve"> 2024</w:t>
      </w:r>
      <w:r w:rsidR="00B01E0C" w:rsidRPr="000A010E">
        <w:rPr>
          <w:rFonts w:ascii="Trebuchet MS"/>
          <w:sz w:val="16"/>
          <w:szCs w:val="16"/>
          <w:lang w:val="uk-UA"/>
        </w:rPr>
        <w:tab/>
      </w:r>
      <w:r w:rsidR="00B01E0C" w:rsidRPr="000A010E">
        <w:rPr>
          <w:rFonts w:ascii="Trebuchet MS"/>
          <w:sz w:val="16"/>
          <w:szCs w:val="16"/>
          <w:lang w:val="uk-UA"/>
        </w:rPr>
        <w:tab/>
      </w:r>
      <w:r w:rsidR="00B01E0C" w:rsidRPr="000A010E">
        <w:rPr>
          <w:rFonts w:ascii="Trebuchet MS"/>
          <w:spacing w:val="-10"/>
          <w:w w:val="80"/>
          <w:sz w:val="16"/>
          <w:szCs w:val="16"/>
          <w:lang w:val="uk-UA"/>
        </w:rPr>
        <w:t>7</w:t>
      </w:r>
      <w:r w:rsidR="00B01E0C" w:rsidRPr="000A010E">
        <w:rPr>
          <w:rFonts w:ascii="Trebuchet MS"/>
          <w:sz w:val="16"/>
          <w:szCs w:val="16"/>
          <w:lang w:val="uk-UA"/>
        </w:rPr>
        <w:tab/>
      </w:r>
      <w:r w:rsidR="00B01E0C" w:rsidRPr="000A010E">
        <w:rPr>
          <w:rFonts w:ascii="Trebuchet MS"/>
          <w:spacing w:val="-10"/>
          <w:w w:val="80"/>
          <w:sz w:val="16"/>
          <w:szCs w:val="16"/>
          <w:lang w:val="uk-UA"/>
        </w:rPr>
        <w:t>8</w:t>
      </w:r>
      <w:r w:rsidR="00B01E0C" w:rsidRPr="000A010E">
        <w:rPr>
          <w:rFonts w:ascii="Trebuchet MS"/>
          <w:sz w:val="16"/>
          <w:szCs w:val="16"/>
          <w:lang w:val="uk-UA"/>
        </w:rPr>
        <w:tab/>
      </w:r>
      <w:r w:rsidR="00B01E0C" w:rsidRPr="000A010E">
        <w:rPr>
          <w:rFonts w:ascii="Trebuchet MS"/>
          <w:w w:val="80"/>
          <w:sz w:val="16"/>
          <w:szCs w:val="16"/>
          <w:lang w:val="uk-UA"/>
        </w:rPr>
        <w:t>5</w:t>
      </w:r>
      <w:r w:rsidR="00B01E0C" w:rsidRPr="000A010E">
        <w:rPr>
          <w:rFonts w:ascii="Trebuchet MS"/>
          <w:spacing w:val="40"/>
          <w:sz w:val="16"/>
          <w:szCs w:val="16"/>
          <w:lang w:val="uk-UA"/>
        </w:rPr>
        <w:t xml:space="preserve"> </w:t>
      </w:r>
      <w:r>
        <w:rPr>
          <w:rFonts w:ascii="Trebuchet MS"/>
          <w:spacing w:val="40"/>
          <w:sz w:val="16"/>
          <w:szCs w:val="16"/>
          <w:lang w:val="uk-UA"/>
        </w:rPr>
        <w:t xml:space="preserve"> </w:t>
      </w:r>
      <w:r w:rsidR="00B01E0C" w:rsidRPr="000A010E">
        <w:rPr>
          <w:rFonts w:ascii="Trebuchet MS"/>
          <w:w w:val="80"/>
          <w:sz w:val="16"/>
          <w:szCs w:val="16"/>
          <w:lang w:val="uk-UA"/>
        </w:rPr>
        <w:t>124</w:t>
      </w:r>
      <w:r w:rsidR="00B01E0C" w:rsidRPr="000A010E">
        <w:rPr>
          <w:rFonts w:ascii="Trebuchet MS"/>
          <w:sz w:val="16"/>
          <w:szCs w:val="16"/>
          <w:lang w:val="uk-UA"/>
        </w:rPr>
        <w:tab/>
      </w:r>
      <w:r w:rsidR="00B01E0C" w:rsidRPr="000A010E">
        <w:rPr>
          <w:rFonts w:ascii="Trebuchet MS"/>
          <w:w w:val="80"/>
          <w:sz w:val="16"/>
          <w:szCs w:val="16"/>
          <w:lang w:val="uk-UA"/>
        </w:rPr>
        <w:t>0.58 [0.28, 0.85]</w:t>
      </w:r>
      <w:r w:rsidR="00B01E0C" w:rsidRPr="000A010E">
        <w:rPr>
          <w:rFonts w:ascii="Trebuchet MS"/>
          <w:sz w:val="16"/>
          <w:szCs w:val="16"/>
          <w:lang w:val="uk-UA"/>
        </w:rPr>
        <w:tab/>
      </w:r>
      <w:r w:rsidR="00B01E0C" w:rsidRPr="000A010E">
        <w:rPr>
          <w:rFonts w:ascii="Trebuchet MS"/>
          <w:w w:val="80"/>
          <w:sz w:val="16"/>
          <w:szCs w:val="16"/>
          <w:lang w:val="uk-UA"/>
        </w:rPr>
        <w:t>0.94 [0.88, 0.97]</w:t>
      </w:r>
      <w:r w:rsidR="00B01E0C" w:rsidRPr="000A010E">
        <w:rPr>
          <w:rFonts w:ascii="Trebuchet MS"/>
          <w:w w:val="80"/>
          <w:sz w:val="18"/>
          <w:szCs w:val="18"/>
          <w:lang w:val="uk-UA"/>
        </w:rPr>
        <w:t xml:space="preserve"> </w:t>
      </w:r>
      <w:r>
        <w:rPr>
          <w:rFonts w:ascii="Trebuchet MS"/>
          <w:w w:val="80"/>
          <w:sz w:val="18"/>
          <w:szCs w:val="18"/>
          <w:lang w:val="uk-UA"/>
        </w:rPr>
        <w:t xml:space="preserve">    </w:t>
      </w:r>
      <w:r w:rsidR="00B01E0C" w:rsidRPr="000A010E">
        <w:rPr>
          <w:rFonts w:ascii="Trebuchet MS"/>
          <w:noProof/>
          <w:spacing w:val="-11"/>
          <w:position w:val="-7"/>
          <w:sz w:val="18"/>
          <w:szCs w:val="18"/>
          <w:lang w:val="uk-UA"/>
        </w:rPr>
        <w:drawing>
          <wp:inline distT="0" distB="0" distL="0" distR="0" wp14:anchorId="077B87BF" wp14:editId="2ABBDB80">
            <wp:extent cx="1068309" cy="163830"/>
            <wp:effectExtent l="0" t="0" r="0" b="7620"/>
            <wp:docPr id="1833" name="Image 1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3" name="Image 1833"/>
                    <pic:cNvPicPr/>
                  </pic:nvPicPr>
                  <pic:blipFill>
                    <a:blip r:embed="rId95" cstate="print"/>
                    <a:stretch>
                      <a:fillRect/>
                    </a:stretch>
                  </pic:blipFill>
                  <pic:spPr>
                    <a:xfrm>
                      <a:off x="0" y="0"/>
                      <a:ext cx="1072908" cy="164535"/>
                    </a:xfrm>
                    <a:prstGeom prst="rect">
                      <a:avLst/>
                    </a:prstGeom>
                  </pic:spPr>
                </pic:pic>
              </a:graphicData>
            </a:graphic>
          </wp:inline>
        </w:drawing>
      </w:r>
    </w:p>
    <w:p w14:paraId="17DFCAB0" w14:textId="1F2D4BF8" w:rsidR="00E05B98" w:rsidRPr="003C6DAE" w:rsidRDefault="00B01E0C" w:rsidP="000A010E">
      <w:pPr>
        <w:spacing w:before="5"/>
        <w:ind w:left="6237" w:right="140"/>
        <w:rPr>
          <w:rFonts w:ascii="Trebuchet MS"/>
          <w:sz w:val="20"/>
          <w:lang w:val="uk-UA"/>
        </w:rPr>
      </w:pPr>
      <w:r w:rsidRPr="003C6DAE">
        <w:rPr>
          <w:rFonts w:ascii="Trebuchet MS"/>
          <w:w w:val="80"/>
          <w:sz w:val="20"/>
          <w:lang w:val="uk-UA"/>
        </w:rPr>
        <w:t>0</w:t>
      </w:r>
      <w:r w:rsidRPr="003C6DAE">
        <w:rPr>
          <w:rFonts w:ascii="Trebuchet MS"/>
          <w:spacing w:val="40"/>
          <w:sz w:val="20"/>
          <w:lang w:val="uk-UA"/>
        </w:rPr>
        <w:t xml:space="preserve"> </w:t>
      </w:r>
      <w:r w:rsidR="000A010E">
        <w:rPr>
          <w:rFonts w:ascii="Trebuchet MS"/>
          <w:spacing w:val="40"/>
          <w:sz w:val="20"/>
          <w:lang w:val="uk-UA"/>
        </w:rPr>
        <w:t xml:space="preserve"> </w:t>
      </w:r>
      <w:r w:rsidRPr="003C6DAE">
        <w:rPr>
          <w:rFonts w:ascii="Trebuchet MS"/>
          <w:w w:val="80"/>
          <w:sz w:val="20"/>
          <w:lang w:val="uk-UA"/>
        </w:rPr>
        <w:t>0.2</w:t>
      </w:r>
      <w:r w:rsidRPr="003C6DAE">
        <w:rPr>
          <w:rFonts w:ascii="Trebuchet MS"/>
          <w:spacing w:val="23"/>
          <w:sz w:val="20"/>
          <w:lang w:val="uk-UA"/>
        </w:rPr>
        <w:t xml:space="preserve"> </w:t>
      </w:r>
      <w:r w:rsidRPr="003C6DAE">
        <w:rPr>
          <w:rFonts w:ascii="Trebuchet MS"/>
          <w:w w:val="80"/>
          <w:sz w:val="20"/>
          <w:lang w:val="uk-UA"/>
        </w:rPr>
        <w:t>0.4</w:t>
      </w:r>
      <w:r w:rsidRPr="003C6DAE">
        <w:rPr>
          <w:rFonts w:ascii="Trebuchet MS"/>
          <w:spacing w:val="23"/>
          <w:sz w:val="20"/>
          <w:lang w:val="uk-UA"/>
        </w:rPr>
        <w:t xml:space="preserve"> </w:t>
      </w:r>
      <w:r w:rsidRPr="003C6DAE">
        <w:rPr>
          <w:rFonts w:ascii="Trebuchet MS"/>
          <w:w w:val="80"/>
          <w:sz w:val="20"/>
          <w:lang w:val="uk-UA"/>
        </w:rPr>
        <w:t>0.6</w:t>
      </w:r>
      <w:r w:rsidRPr="003C6DAE">
        <w:rPr>
          <w:rFonts w:ascii="Trebuchet MS"/>
          <w:spacing w:val="23"/>
          <w:sz w:val="20"/>
          <w:lang w:val="uk-UA"/>
        </w:rPr>
        <w:t xml:space="preserve"> </w:t>
      </w:r>
      <w:r w:rsidR="000A010E">
        <w:rPr>
          <w:rFonts w:ascii="Trebuchet MS"/>
          <w:spacing w:val="23"/>
          <w:sz w:val="20"/>
          <w:lang w:val="uk-UA"/>
        </w:rPr>
        <w:t xml:space="preserve"> </w:t>
      </w:r>
      <w:r w:rsidRPr="003C6DAE">
        <w:rPr>
          <w:rFonts w:ascii="Trebuchet MS"/>
          <w:w w:val="80"/>
          <w:sz w:val="20"/>
          <w:lang w:val="uk-UA"/>
        </w:rPr>
        <w:t>0.8</w:t>
      </w:r>
      <w:r w:rsidRPr="003C6DAE">
        <w:rPr>
          <w:rFonts w:ascii="Trebuchet MS"/>
          <w:spacing w:val="42"/>
          <w:sz w:val="20"/>
          <w:lang w:val="uk-UA"/>
        </w:rPr>
        <w:t xml:space="preserve"> </w:t>
      </w:r>
      <w:r w:rsidRPr="003C6DAE">
        <w:rPr>
          <w:rFonts w:ascii="Trebuchet MS"/>
          <w:w w:val="80"/>
          <w:sz w:val="20"/>
          <w:lang w:val="uk-UA"/>
        </w:rPr>
        <w:t>1</w:t>
      </w:r>
      <w:r w:rsidRPr="003C6DAE">
        <w:rPr>
          <w:rFonts w:ascii="Trebuchet MS"/>
          <w:spacing w:val="65"/>
          <w:sz w:val="20"/>
          <w:lang w:val="uk-UA"/>
        </w:rPr>
        <w:t xml:space="preserve"> </w:t>
      </w:r>
      <w:r w:rsidR="000A010E">
        <w:rPr>
          <w:rFonts w:ascii="Trebuchet MS"/>
          <w:spacing w:val="65"/>
          <w:sz w:val="20"/>
          <w:lang w:val="uk-UA"/>
        </w:rPr>
        <w:t xml:space="preserve"> </w:t>
      </w:r>
      <w:r w:rsidRPr="003C6DAE">
        <w:rPr>
          <w:rFonts w:ascii="Trebuchet MS"/>
          <w:w w:val="80"/>
          <w:sz w:val="20"/>
          <w:lang w:val="uk-UA"/>
        </w:rPr>
        <w:t>0</w:t>
      </w:r>
      <w:r w:rsidRPr="003C6DAE">
        <w:rPr>
          <w:rFonts w:ascii="Trebuchet MS"/>
          <w:spacing w:val="41"/>
          <w:sz w:val="20"/>
          <w:lang w:val="uk-UA"/>
        </w:rPr>
        <w:t xml:space="preserve"> </w:t>
      </w:r>
      <w:r w:rsidR="000A010E">
        <w:rPr>
          <w:rFonts w:ascii="Trebuchet MS"/>
          <w:spacing w:val="41"/>
          <w:sz w:val="20"/>
          <w:lang w:val="uk-UA"/>
        </w:rPr>
        <w:t xml:space="preserve"> </w:t>
      </w:r>
      <w:r w:rsidRPr="003C6DAE">
        <w:rPr>
          <w:rFonts w:ascii="Trebuchet MS"/>
          <w:w w:val="80"/>
          <w:sz w:val="20"/>
          <w:lang w:val="uk-UA"/>
        </w:rPr>
        <w:t>0.2</w:t>
      </w:r>
      <w:r w:rsidRPr="003C6DAE">
        <w:rPr>
          <w:rFonts w:ascii="Trebuchet MS"/>
          <w:spacing w:val="23"/>
          <w:sz w:val="20"/>
          <w:lang w:val="uk-UA"/>
        </w:rPr>
        <w:t xml:space="preserve"> </w:t>
      </w:r>
      <w:r w:rsidRPr="003C6DAE">
        <w:rPr>
          <w:rFonts w:ascii="Trebuchet MS"/>
          <w:w w:val="80"/>
          <w:sz w:val="20"/>
          <w:lang w:val="uk-UA"/>
        </w:rPr>
        <w:t>0.4</w:t>
      </w:r>
      <w:r w:rsidRPr="003C6DAE">
        <w:rPr>
          <w:rFonts w:ascii="Trebuchet MS"/>
          <w:spacing w:val="23"/>
          <w:sz w:val="20"/>
          <w:lang w:val="uk-UA"/>
        </w:rPr>
        <w:t xml:space="preserve"> </w:t>
      </w:r>
      <w:r w:rsidRPr="003C6DAE">
        <w:rPr>
          <w:rFonts w:ascii="Trebuchet MS"/>
          <w:w w:val="80"/>
          <w:sz w:val="20"/>
          <w:lang w:val="uk-UA"/>
        </w:rPr>
        <w:t>0.6</w:t>
      </w:r>
      <w:r w:rsidRPr="003C6DAE">
        <w:rPr>
          <w:rFonts w:ascii="Trebuchet MS"/>
          <w:spacing w:val="23"/>
          <w:sz w:val="20"/>
          <w:lang w:val="uk-UA"/>
        </w:rPr>
        <w:t xml:space="preserve"> </w:t>
      </w:r>
      <w:r w:rsidR="000A010E">
        <w:rPr>
          <w:rFonts w:ascii="Trebuchet MS"/>
          <w:spacing w:val="23"/>
          <w:sz w:val="20"/>
          <w:lang w:val="uk-UA"/>
        </w:rPr>
        <w:t xml:space="preserve"> </w:t>
      </w:r>
      <w:r w:rsidRPr="003C6DAE">
        <w:rPr>
          <w:rFonts w:ascii="Trebuchet MS"/>
          <w:w w:val="80"/>
          <w:sz w:val="20"/>
          <w:lang w:val="uk-UA"/>
        </w:rPr>
        <w:t>0.8</w:t>
      </w:r>
      <w:r w:rsidRPr="003C6DAE">
        <w:rPr>
          <w:rFonts w:ascii="Trebuchet MS"/>
          <w:spacing w:val="42"/>
          <w:sz w:val="20"/>
          <w:lang w:val="uk-UA"/>
        </w:rPr>
        <w:t xml:space="preserve"> </w:t>
      </w:r>
      <w:r w:rsidRPr="003C6DAE">
        <w:rPr>
          <w:rFonts w:ascii="Trebuchet MS"/>
          <w:spacing w:val="-10"/>
          <w:w w:val="80"/>
          <w:sz w:val="20"/>
          <w:lang w:val="uk-UA"/>
        </w:rPr>
        <w:t>1</w:t>
      </w:r>
    </w:p>
    <w:p w14:paraId="7F6F7DCD" w14:textId="77777777" w:rsidR="00E05B98" w:rsidRPr="003C6DAE" w:rsidRDefault="00E05B98" w:rsidP="004D5917">
      <w:pPr>
        <w:pStyle w:val="a3"/>
        <w:spacing w:before="95"/>
        <w:ind w:right="140"/>
        <w:rPr>
          <w:rFonts w:ascii="Trebuchet MS"/>
          <w:sz w:val="18"/>
          <w:lang w:val="uk-UA"/>
        </w:rPr>
      </w:pPr>
    </w:p>
    <w:p w14:paraId="7185CBE0" w14:textId="77777777" w:rsidR="000A010E" w:rsidRPr="0067671C" w:rsidRDefault="000A010E" w:rsidP="000A010E">
      <w:pPr>
        <w:spacing w:line="254" w:lineRule="auto"/>
        <w:ind w:left="567" w:right="-141"/>
        <w:rPr>
          <w:sz w:val="15"/>
          <w:szCs w:val="15"/>
          <w:lang w:val="uk-UA"/>
        </w:rPr>
      </w:pPr>
      <w:r w:rsidRPr="0067671C">
        <w:rPr>
          <w:sz w:val="15"/>
          <w:szCs w:val="15"/>
          <w:lang w:val="uk-UA"/>
        </w:rPr>
        <w:t>ДІ: довірчий інтервал; FN: хибнонегативний результат; FP: хибнопозитивний результат; рТАНК-НС: ручний тест на ампліфікацію нуклеїнових кислот низької складності; MRS: мікробіологічний еталонний стандарт; ТБ: туберкульоз; TN: істинно негативний результат; TP: істинно позитивний результат.</w:t>
      </w:r>
    </w:p>
    <w:p w14:paraId="18EB5302" w14:textId="3EEA18B1" w:rsidR="00E05B98" w:rsidRPr="004D5917" w:rsidRDefault="000A010E" w:rsidP="000A010E">
      <w:pPr>
        <w:spacing w:before="56"/>
        <w:ind w:left="567" w:right="140"/>
        <w:jc w:val="both"/>
        <w:rPr>
          <w:sz w:val="16"/>
          <w:szCs w:val="16"/>
          <w:lang w:val="uk-UA"/>
        </w:rPr>
      </w:pPr>
      <w:r w:rsidRPr="003C6DAE">
        <w:rPr>
          <w:spacing w:val="-2"/>
          <w:sz w:val="18"/>
          <w:vertAlign w:val="superscript"/>
          <w:lang w:val="uk-UA"/>
        </w:rPr>
        <w:t>a</w:t>
      </w:r>
      <w:r w:rsidRPr="003C6DAE">
        <w:rPr>
          <w:spacing w:val="-21"/>
          <w:sz w:val="18"/>
          <w:lang w:val="uk-UA"/>
        </w:rPr>
        <w:t xml:space="preserve"> </w:t>
      </w:r>
      <w:r w:rsidRPr="00C92D8A">
        <w:rPr>
          <w:sz w:val="16"/>
          <w:szCs w:val="16"/>
          <w:lang w:val="uk-UA"/>
        </w:rPr>
        <w:t>Дослідження впорядковано за зростанням чутливості</w:t>
      </w:r>
      <w:r w:rsidR="00B01E0C" w:rsidRPr="004D5917">
        <w:rPr>
          <w:spacing w:val="-2"/>
          <w:sz w:val="16"/>
          <w:szCs w:val="16"/>
          <w:lang w:val="uk-UA"/>
        </w:rPr>
        <w:t>.</w:t>
      </w:r>
    </w:p>
    <w:p w14:paraId="16DC2D33" w14:textId="77777777" w:rsidR="00E05B98" w:rsidRPr="004D5917" w:rsidRDefault="00E05B98" w:rsidP="004D5917">
      <w:pPr>
        <w:pStyle w:val="a3"/>
        <w:spacing w:before="162"/>
        <w:ind w:right="140"/>
        <w:rPr>
          <w:sz w:val="16"/>
          <w:szCs w:val="16"/>
          <w:lang w:val="uk-UA"/>
        </w:rPr>
      </w:pPr>
    </w:p>
    <w:p w14:paraId="17BEBD38" w14:textId="0EFBDF69" w:rsidR="00E05B98" w:rsidRPr="000A010E" w:rsidRDefault="000A010E" w:rsidP="004D5917">
      <w:pPr>
        <w:pStyle w:val="7"/>
        <w:spacing w:line="249" w:lineRule="auto"/>
        <w:ind w:right="140"/>
        <w:rPr>
          <w:sz w:val="22"/>
          <w:szCs w:val="22"/>
          <w:lang w:val="uk-UA"/>
        </w:rPr>
      </w:pPr>
      <w:r w:rsidRPr="000A010E">
        <w:rPr>
          <w:color w:val="019648"/>
          <w:w w:val="105"/>
          <w:sz w:val="22"/>
          <w:szCs w:val="22"/>
          <w:lang w:val="uk-UA"/>
        </w:rPr>
        <w:t>Чи слід використовувати рТАНК-НС на зразках калу для діагностики ТБ легень у дітей з ознаками та симптомами легеневого туберкульозу на противагу мікробіологічному еталонному стандарту?</w:t>
      </w:r>
    </w:p>
    <w:p w14:paraId="0B6DCFF5" w14:textId="27A5DC94" w:rsidR="00E05B98" w:rsidRPr="004D5917" w:rsidRDefault="00B2045E" w:rsidP="00B2045E">
      <w:pPr>
        <w:pStyle w:val="a3"/>
        <w:spacing w:before="216" w:line="269" w:lineRule="auto"/>
        <w:ind w:left="567" w:right="142"/>
        <w:jc w:val="both"/>
        <w:rPr>
          <w:sz w:val="20"/>
          <w:szCs w:val="20"/>
          <w:lang w:val="uk-UA"/>
        </w:rPr>
      </w:pPr>
      <w:r w:rsidRPr="00B2045E">
        <w:rPr>
          <w:sz w:val="20"/>
          <w:szCs w:val="20"/>
          <w:lang w:val="uk-UA"/>
        </w:rPr>
        <w:t xml:space="preserve">В одному дослідженні (144 учасники, в тому числі 7 осіб </w:t>
      </w:r>
      <w:r w:rsidR="0067671C">
        <w:rPr>
          <w:sz w:val="20"/>
          <w:szCs w:val="20"/>
          <w:lang w:val="uk-UA"/>
        </w:rPr>
        <w:t xml:space="preserve">з </w:t>
      </w:r>
      <w:r w:rsidRPr="00B2045E">
        <w:rPr>
          <w:sz w:val="20"/>
          <w:szCs w:val="20"/>
          <w:lang w:val="uk-UA"/>
        </w:rPr>
        <w:t xml:space="preserve">ТБ легень) оцінювали точність ручних ТАНК-НС для виявлення ТБ легень, використовуючи зразки калу, на противагу </w:t>
      </w:r>
      <w:r w:rsidR="0067671C">
        <w:rPr>
          <w:sz w:val="20"/>
          <w:szCs w:val="20"/>
          <w:lang w:val="uk-UA"/>
        </w:rPr>
        <w:t>мікробіологічному еталонному стандарту</w:t>
      </w:r>
      <w:r w:rsidRPr="00B2045E">
        <w:rPr>
          <w:sz w:val="20"/>
          <w:szCs w:val="20"/>
          <w:lang w:val="uk-UA"/>
        </w:rPr>
        <w:t xml:space="preserve"> (</w:t>
      </w:r>
      <w:r w:rsidRPr="0067671C">
        <w:rPr>
          <w:b/>
          <w:bCs/>
          <w:sz w:val="20"/>
          <w:szCs w:val="20"/>
          <w:lang w:val="uk-UA"/>
        </w:rPr>
        <w:t>Рис. 2.2.1.6</w:t>
      </w:r>
      <w:r w:rsidRPr="00B2045E">
        <w:rPr>
          <w:sz w:val="20"/>
          <w:szCs w:val="20"/>
          <w:lang w:val="uk-UA"/>
        </w:rPr>
        <w:t xml:space="preserve">). Чутливість становила 100%, а специфічність – 92%. Достовірність доказів була дуже низькою </w:t>
      </w:r>
      <w:r w:rsidR="0067671C">
        <w:rPr>
          <w:sz w:val="20"/>
          <w:szCs w:val="20"/>
          <w:lang w:val="uk-UA"/>
        </w:rPr>
        <w:t>для</w:t>
      </w:r>
      <w:r w:rsidRPr="00B2045E">
        <w:rPr>
          <w:sz w:val="20"/>
          <w:szCs w:val="20"/>
          <w:lang w:val="uk-UA"/>
        </w:rPr>
        <w:t xml:space="preserve"> чутливості та помірною </w:t>
      </w:r>
      <w:r w:rsidR="0067671C">
        <w:rPr>
          <w:sz w:val="20"/>
          <w:szCs w:val="20"/>
          <w:lang w:val="uk-UA"/>
        </w:rPr>
        <w:t>для</w:t>
      </w:r>
      <w:r w:rsidRPr="00B2045E">
        <w:rPr>
          <w:sz w:val="20"/>
          <w:szCs w:val="20"/>
          <w:lang w:val="uk-UA"/>
        </w:rPr>
        <w:t xml:space="preserve"> специфічності. Через обмеженість даних не було надано рекомендації щодо використання ручних ТАНК-НС на зразках калу для виявлення легеневого ТБ.</w:t>
      </w:r>
    </w:p>
    <w:p w14:paraId="0ECFAFD7" w14:textId="77777777" w:rsidR="00E05B98" w:rsidRPr="004D5917" w:rsidRDefault="00E05B98" w:rsidP="004D5917">
      <w:pPr>
        <w:pStyle w:val="a3"/>
        <w:spacing w:line="269" w:lineRule="auto"/>
        <w:ind w:right="142"/>
        <w:jc w:val="both"/>
        <w:rPr>
          <w:sz w:val="20"/>
          <w:szCs w:val="20"/>
          <w:lang w:val="uk-UA"/>
        </w:rPr>
        <w:sectPr w:rsidR="00E05B98" w:rsidRPr="004D5917" w:rsidSect="004D5917">
          <w:type w:val="continuous"/>
          <w:pgSz w:w="11910" w:h="16840"/>
          <w:pgMar w:top="1920" w:right="995" w:bottom="280" w:left="850" w:header="0" w:footer="573" w:gutter="0"/>
          <w:cols w:space="720"/>
        </w:sectPr>
      </w:pPr>
    </w:p>
    <w:p w14:paraId="509989AB" w14:textId="4B5C5494" w:rsidR="00E05B98" w:rsidRPr="00B2045E" w:rsidRDefault="00B2045E" w:rsidP="004D5917">
      <w:pPr>
        <w:pStyle w:val="6"/>
        <w:spacing w:line="268" w:lineRule="auto"/>
        <w:ind w:right="140"/>
        <w:rPr>
          <w:sz w:val="20"/>
          <w:szCs w:val="20"/>
          <w:lang w:val="uk-UA"/>
        </w:rPr>
      </w:pPr>
      <w:bookmarkStart w:id="50" w:name="_bookmark19"/>
      <w:bookmarkEnd w:id="50"/>
      <w:r>
        <w:rPr>
          <w:color w:val="636466"/>
          <w:sz w:val="20"/>
          <w:szCs w:val="20"/>
          <w:lang w:val="uk-UA"/>
        </w:rPr>
        <w:lastRenderedPageBreak/>
        <w:t>Рис</w:t>
      </w:r>
      <w:r w:rsidR="00B01E0C" w:rsidRPr="00B2045E">
        <w:rPr>
          <w:color w:val="636466"/>
          <w:sz w:val="20"/>
          <w:szCs w:val="20"/>
          <w:lang w:val="uk-UA"/>
        </w:rPr>
        <w:t xml:space="preserve">. 2.2.1.6 </w:t>
      </w:r>
      <w:r w:rsidRPr="00B2045E">
        <w:rPr>
          <w:color w:val="636466"/>
          <w:sz w:val="20"/>
          <w:szCs w:val="20"/>
          <w:lang w:val="uk-UA"/>
        </w:rPr>
        <w:t>Лісова діаграма порівняння чутливості та специфічності рТАНК-НС для виявлення ТБ легень у зразках калу та мікробіологічного еталонного стандарту</w:t>
      </w:r>
    </w:p>
    <w:p w14:paraId="0BAD28AF" w14:textId="5EB68C3E" w:rsidR="00E05B98" w:rsidRDefault="00F925DD" w:rsidP="00B2045E">
      <w:pPr>
        <w:tabs>
          <w:tab w:val="left" w:pos="1904"/>
          <w:tab w:val="left" w:pos="2012"/>
          <w:tab w:val="left" w:pos="2658"/>
          <w:tab w:val="left" w:pos="3561"/>
          <w:tab w:val="left" w:pos="5112"/>
          <w:tab w:val="left" w:pos="8048"/>
        </w:tabs>
        <w:spacing w:before="71" w:line="350" w:lineRule="atLeast"/>
        <w:ind w:left="690" w:right="140"/>
        <w:rPr>
          <w:rFonts w:ascii="Trebuchet MS"/>
          <w:color w:val="333333"/>
          <w:w w:val="75"/>
          <w:sz w:val="20"/>
          <w:lang w:val="uk-UA"/>
        </w:rPr>
      </w:pPr>
      <w:r w:rsidRPr="003C6DAE">
        <w:rPr>
          <w:rFonts w:ascii="Arial"/>
          <w:b/>
          <w:noProof/>
          <w:sz w:val="24"/>
          <w:lang w:val="uk-UA"/>
        </w:rPr>
        <mc:AlternateContent>
          <mc:Choice Requires="wps">
            <w:drawing>
              <wp:anchor distT="0" distB="0" distL="114300" distR="114300" simplePos="0" relativeHeight="488114688" behindDoc="0" locked="0" layoutInCell="1" allowOverlap="1" wp14:anchorId="21C7349E" wp14:editId="07FAB96B">
                <wp:simplePos x="0" y="0"/>
                <wp:positionH relativeFrom="margin">
                  <wp:posOffset>165644</wp:posOffset>
                </wp:positionH>
                <wp:positionV relativeFrom="paragraph">
                  <wp:posOffset>90092</wp:posOffset>
                </wp:positionV>
                <wp:extent cx="6495862" cy="242596"/>
                <wp:effectExtent l="0" t="0" r="635" b="5080"/>
                <wp:wrapNone/>
                <wp:docPr id="407633009" name="Поле 407633009"/>
                <wp:cNvGraphicFramePr/>
                <a:graphic xmlns:a="http://schemas.openxmlformats.org/drawingml/2006/main">
                  <a:graphicData uri="http://schemas.microsoft.com/office/word/2010/wordprocessingShape">
                    <wps:wsp>
                      <wps:cNvSpPr txBox="1"/>
                      <wps:spPr>
                        <a:xfrm>
                          <a:off x="0" y="0"/>
                          <a:ext cx="6495862" cy="242596"/>
                        </a:xfrm>
                        <a:prstGeom prst="rect">
                          <a:avLst/>
                        </a:prstGeom>
                        <a:solidFill>
                          <a:schemeClr val="bg1"/>
                        </a:solidFill>
                        <a:ln w="6350">
                          <a:noFill/>
                        </a:ln>
                      </wps:spPr>
                      <wps:txbx>
                        <w:txbxContent>
                          <w:p w14:paraId="729BA764" w14:textId="72C08FF6" w:rsidR="007372B2" w:rsidRPr="00B2045E" w:rsidRDefault="007372B2" w:rsidP="00F925DD">
                            <w:pPr>
                              <w:ind w:left="2160" w:hanging="2018"/>
                              <w:rPr>
                                <w:rFonts w:asciiTheme="minorHAnsi" w:hAnsiTheme="minorHAnsi" w:cstheme="minorHAnsi"/>
                                <w:b/>
                                <w:sz w:val="16"/>
                                <w:szCs w:val="16"/>
                                <w:lang w:val="uk-UA"/>
                              </w:rPr>
                            </w:pPr>
                            <w:r w:rsidRPr="00B2045E">
                              <w:rPr>
                                <w:rFonts w:asciiTheme="minorHAnsi" w:hAnsiTheme="minorHAnsi" w:cstheme="minorHAnsi"/>
                                <w:b/>
                                <w:sz w:val="18"/>
                                <w:szCs w:val="18"/>
                                <w:lang w:val="uk-UA"/>
                              </w:rPr>
                              <w:t xml:space="preserve">Дослідження     </w:t>
                            </w:r>
                            <w:r>
                              <w:rPr>
                                <w:rFonts w:asciiTheme="minorHAnsi" w:hAnsiTheme="minorHAnsi" w:cstheme="minorHAnsi"/>
                                <w:b/>
                                <w:sz w:val="18"/>
                                <w:szCs w:val="18"/>
                                <w:lang w:val="uk-UA"/>
                              </w:rPr>
                              <w:t xml:space="preserve">   </w:t>
                            </w:r>
                            <w:r w:rsidRPr="00B2045E">
                              <w:rPr>
                                <w:rFonts w:asciiTheme="minorHAnsi" w:hAnsiTheme="minorHAnsi" w:cstheme="minorHAnsi"/>
                                <w:b/>
                                <w:sz w:val="18"/>
                                <w:szCs w:val="18"/>
                              </w:rPr>
                              <w:t xml:space="preserve">TP  </w:t>
                            </w:r>
                            <w:r>
                              <w:rPr>
                                <w:rFonts w:asciiTheme="minorHAnsi" w:hAnsiTheme="minorHAnsi" w:cstheme="minorHAnsi"/>
                                <w:b/>
                                <w:sz w:val="18"/>
                                <w:szCs w:val="18"/>
                                <w:lang w:val="uk-UA"/>
                              </w:rPr>
                              <w:t xml:space="preserve"> </w:t>
                            </w:r>
                            <w:r w:rsidRPr="00B2045E">
                              <w:rPr>
                                <w:rFonts w:asciiTheme="minorHAnsi" w:hAnsiTheme="minorHAnsi" w:cstheme="minorHAnsi"/>
                                <w:b/>
                                <w:sz w:val="18"/>
                                <w:szCs w:val="18"/>
                              </w:rPr>
                              <w:t xml:space="preserve">FP    FN  </w:t>
                            </w:r>
                            <w:r>
                              <w:rPr>
                                <w:rFonts w:asciiTheme="minorHAnsi" w:hAnsiTheme="minorHAnsi" w:cstheme="minorHAnsi"/>
                                <w:b/>
                                <w:sz w:val="18"/>
                                <w:szCs w:val="18"/>
                                <w:lang w:val="uk-UA"/>
                              </w:rPr>
                              <w:t xml:space="preserve">  </w:t>
                            </w:r>
                            <w:r w:rsidRPr="00B2045E">
                              <w:rPr>
                                <w:rFonts w:asciiTheme="minorHAnsi" w:hAnsiTheme="minorHAnsi" w:cstheme="minorHAnsi"/>
                                <w:b/>
                                <w:sz w:val="18"/>
                                <w:szCs w:val="18"/>
                              </w:rPr>
                              <w:t xml:space="preserve">TN  </w:t>
                            </w:r>
                            <w:r>
                              <w:rPr>
                                <w:rFonts w:asciiTheme="minorHAnsi" w:hAnsiTheme="minorHAnsi" w:cstheme="minorHAnsi"/>
                                <w:b/>
                                <w:sz w:val="18"/>
                                <w:szCs w:val="18"/>
                                <w:lang w:val="uk-UA"/>
                              </w:rPr>
                              <w:t xml:space="preserve"> </w:t>
                            </w:r>
                            <w:r w:rsidR="00E6199E">
                              <w:rPr>
                                <w:rFonts w:asciiTheme="minorHAnsi" w:hAnsiTheme="minorHAnsi" w:cstheme="minorHAnsi"/>
                                <w:b/>
                                <w:sz w:val="18"/>
                                <w:szCs w:val="18"/>
                                <w:lang w:val="uk-UA"/>
                              </w:rPr>
                              <w:t xml:space="preserve"> </w:t>
                            </w:r>
                            <w:r>
                              <w:rPr>
                                <w:rFonts w:asciiTheme="minorHAnsi" w:hAnsiTheme="minorHAnsi" w:cstheme="minorHAnsi"/>
                                <w:b/>
                                <w:sz w:val="18"/>
                                <w:szCs w:val="18"/>
                                <w:lang w:val="uk-UA"/>
                              </w:rPr>
                              <w:t xml:space="preserve"> </w:t>
                            </w:r>
                            <w:r w:rsidRPr="00B2045E">
                              <w:rPr>
                                <w:rFonts w:asciiTheme="minorHAnsi" w:hAnsiTheme="minorHAnsi" w:cstheme="minorHAnsi"/>
                                <w:b/>
                                <w:sz w:val="18"/>
                                <w:szCs w:val="18"/>
                                <w:lang w:val="uk-UA"/>
                              </w:rPr>
                              <w:t xml:space="preserve">Чутливість (95% ДІ) Специфічність (95% ДІ) </w:t>
                            </w:r>
                            <w:r>
                              <w:rPr>
                                <w:rFonts w:asciiTheme="minorHAnsi" w:hAnsiTheme="minorHAnsi" w:cstheme="minorHAnsi"/>
                                <w:b/>
                                <w:sz w:val="18"/>
                                <w:szCs w:val="18"/>
                                <w:lang w:val="uk-UA"/>
                              </w:rPr>
                              <w:t xml:space="preserve"> </w:t>
                            </w:r>
                            <w:r w:rsidRPr="00B2045E">
                              <w:rPr>
                                <w:rFonts w:asciiTheme="minorHAnsi" w:hAnsiTheme="minorHAnsi" w:cstheme="minorHAnsi"/>
                                <w:b/>
                                <w:sz w:val="18"/>
                                <w:szCs w:val="18"/>
                                <w:lang w:val="uk-UA"/>
                              </w:rPr>
                              <w:t xml:space="preserve">Чутливість (95% ДІ)  </w:t>
                            </w:r>
                            <w:r>
                              <w:rPr>
                                <w:rFonts w:asciiTheme="minorHAnsi" w:hAnsiTheme="minorHAnsi" w:cstheme="minorHAnsi"/>
                                <w:b/>
                                <w:sz w:val="18"/>
                                <w:szCs w:val="18"/>
                                <w:lang w:val="uk-UA"/>
                              </w:rPr>
                              <w:t xml:space="preserve"> Спе</w:t>
                            </w:r>
                            <w:r w:rsidRPr="00B2045E">
                              <w:rPr>
                                <w:rFonts w:asciiTheme="minorHAnsi" w:hAnsiTheme="minorHAnsi" w:cstheme="minorHAnsi"/>
                                <w:b/>
                                <w:sz w:val="16"/>
                                <w:szCs w:val="16"/>
                                <w:lang w:val="uk-UA"/>
                              </w:rPr>
                              <w:t>цифічність (95% ДІ)</w:t>
                            </w:r>
                            <w:r w:rsidRPr="00B2045E">
                              <w:rPr>
                                <w:rFonts w:asciiTheme="minorHAnsi" w:hAnsiTheme="minorHAnsi" w:cstheme="minorHAnsi"/>
                                <w:b/>
                                <w:sz w:val="16"/>
                                <w:szCs w:val="16"/>
                              </w:rPr>
                              <w:t xml:space="preserve">          </w:t>
                            </w:r>
                            <w:r w:rsidRPr="00B2045E">
                              <w:rPr>
                                <w:rFonts w:asciiTheme="minorHAnsi" w:hAnsiTheme="minorHAnsi" w:cstheme="minorHAnsi"/>
                                <w:b/>
                                <w:sz w:val="16"/>
                                <w:szCs w:val="16"/>
                                <w:lang w:val="uk-UA"/>
                              </w:rPr>
                              <w:t xml:space="preserve">                     </w:t>
                            </w:r>
                          </w:p>
                          <w:p w14:paraId="5871A176"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7349E" id="Поле 407633009" o:spid="_x0000_s1105" type="#_x0000_t202" style="position:absolute;left:0;text-align:left;margin-left:13.05pt;margin-top:7.1pt;width:511.5pt;height:19.1pt;z-index:48811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" fillcolor="white [3212]" stroked="f" strokeweight=".5pt">
                <v:textbox>
                  <w:txbxContent>
                    <w:p w14:paraId="729BA764" w14:textId="72C08FF6" w:rsidR="007372B2" w:rsidRPr="00B2045E" w:rsidRDefault="007372B2" w:rsidP="00F925DD">
                      <w:pPr>
                        <w:ind w:left="2160" w:hanging="2018"/>
                        <w:rPr>
                          <w:rFonts w:asciiTheme="minorHAnsi" w:hAnsiTheme="minorHAnsi" w:cstheme="minorHAnsi"/>
                          <w:b/>
                          <w:sz w:val="16"/>
                          <w:szCs w:val="16"/>
                          <w:lang w:val="uk-UA"/>
                        </w:rPr>
                      </w:pPr>
                      <w:r w:rsidRPr="00B2045E">
                        <w:rPr>
                          <w:rFonts w:asciiTheme="minorHAnsi" w:hAnsiTheme="minorHAnsi" w:cstheme="minorHAnsi"/>
                          <w:b/>
                          <w:sz w:val="18"/>
                          <w:szCs w:val="18"/>
                          <w:lang w:val="uk-UA"/>
                        </w:rPr>
                        <w:t xml:space="preserve">Дослідження     </w:t>
                      </w:r>
                      <w:r>
                        <w:rPr>
                          <w:rFonts w:asciiTheme="minorHAnsi" w:hAnsiTheme="minorHAnsi" w:cstheme="minorHAnsi"/>
                          <w:b/>
                          <w:sz w:val="18"/>
                          <w:szCs w:val="18"/>
                          <w:lang w:val="uk-UA"/>
                        </w:rPr>
                        <w:t xml:space="preserve">   </w:t>
                      </w:r>
                      <w:r w:rsidRPr="00B2045E">
                        <w:rPr>
                          <w:rFonts w:asciiTheme="minorHAnsi" w:hAnsiTheme="minorHAnsi" w:cstheme="minorHAnsi"/>
                          <w:b/>
                          <w:sz w:val="18"/>
                          <w:szCs w:val="18"/>
                        </w:rPr>
                        <w:t xml:space="preserve">TP  </w:t>
                      </w:r>
                      <w:r>
                        <w:rPr>
                          <w:rFonts w:asciiTheme="minorHAnsi" w:hAnsiTheme="minorHAnsi" w:cstheme="minorHAnsi"/>
                          <w:b/>
                          <w:sz w:val="18"/>
                          <w:szCs w:val="18"/>
                          <w:lang w:val="uk-UA"/>
                        </w:rPr>
                        <w:t xml:space="preserve"> </w:t>
                      </w:r>
                      <w:r w:rsidRPr="00B2045E">
                        <w:rPr>
                          <w:rFonts w:asciiTheme="minorHAnsi" w:hAnsiTheme="minorHAnsi" w:cstheme="minorHAnsi"/>
                          <w:b/>
                          <w:sz w:val="18"/>
                          <w:szCs w:val="18"/>
                        </w:rPr>
                        <w:t xml:space="preserve">FP    FN  </w:t>
                      </w:r>
                      <w:r>
                        <w:rPr>
                          <w:rFonts w:asciiTheme="minorHAnsi" w:hAnsiTheme="minorHAnsi" w:cstheme="minorHAnsi"/>
                          <w:b/>
                          <w:sz w:val="18"/>
                          <w:szCs w:val="18"/>
                          <w:lang w:val="uk-UA"/>
                        </w:rPr>
                        <w:t xml:space="preserve">  </w:t>
                      </w:r>
                      <w:r w:rsidRPr="00B2045E">
                        <w:rPr>
                          <w:rFonts w:asciiTheme="minorHAnsi" w:hAnsiTheme="minorHAnsi" w:cstheme="minorHAnsi"/>
                          <w:b/>
                          <w:sz w:val="18"/>
                          <w:szCs w:val="18"/>
                        </w:rPr>
                        <w:t xml:space="preserve">TN  </w:t>
                      </w:r>
                      <w:r>
                        <w:rPr>
                          <w:rFonts w:asciiTheme="minorHAnsi" w:hAnsiTheme="minorHAnsi" w:cstheme="minorHAnsi"/>
                          <w:b/>
                          <w:sz w:val="18"/>
                          <w:szCs w:val="18"/>
                          <w:lang w:val="uk-UA"/>
                        </w:rPr>
                        <w:t xml:space="preserve"> </w:t>
                      </w:r>
                      <w:r w:rsidR="00E6199E">
                        <w:rPr>
                          <w:rFonts w:asciiTheme="minorHAnsi" w:hAnsiTheme="minorHAnsi" w:cstheme="minorHAnsi"/>
                          <w:b/>
                          <w:sz w:val="18"/>
                          <w:szCs w:val="18"/>
                          <w:lang w:val="uk-UA"/>
                        </w:rPr>
                        <w:t xml:space="preserve"> </w:t>
                      </w:r>
                      <w:r>
                        <w:rPr>
                          <w:rFonts w:asciiTheme="minorHAnsi" w:hAnsiTheme="minorHAnsi" w:cstheme="minorHAnsi"/>
                          <w:b/>
                          <w:sz w:val="18"/>
                          <w:szCs w:val="18"/>
                          <w:lang w:val="uk-UA"/>
                        </w:rPr>
                        <w:t xml:space="preserve"> </w:t>
                      </w:r>
                      <w:r w:rsidRPr="00B2045E">
                        <w:rPr>
                          <w:rFonts w:asciiTheme="minorHAnsi" w:hAnsiTheme="minorHAnsi" w:cstheme="minorHAnsi"/>
                          <w:b/>
                          <w:sz w:val="18"/>
                          <w:szCs w:val="18"/>
                          <w:lang w:val="uk-UA"/>
                        </w:rPr>
                        <w:t xml:space="preserve">Чутливість (95% ДІ) Специфічність (95% ДІ) </w:t>
                      </w:r>
                      <w:r>
                        <w:rPr>
                          <w:rFonts w:asciiTheme="minorHAnsi" w:hAnsiTheme="minorHAnsi" w:cstheme="minorHAnsi"/>
                          <w:b/>
                          <w:sz w:val="18"/>
                          <w:szCs w:val="18"/>
                          <w:lang w:val="uk-UA"/>
                        </w:rPr>
                        <w:t xml:space="preserve"> </w:t>
                      </w:r>
                      <w:r w:rsidRPr="00B2045E">
                        <w:rPr>
                          <w:rFonts w:asciiTheme="minorHAnsi" w:hAnsiTheme="minorHAnsi" w:cstheme="minorHAnsi"/>
                          <w:b/>
                          <w:sz w:val="18"/>
                          <w:szCs w:val="18"/>
                          <w:lang w:val="uk-UA"/>
                        </w:rPr>
                        <w:t xml:space="preserve">Чутливість (95% ДІ)  </w:t>
                      </w:r>
                      <w:r>
                        <w:rPr>
                          <w:rFonts w:asciiTheme="minorHAnsi" w:hAnsiTheme="minorHAnsi" w:cstheme="minorHAnsi"/>
                          <w:b/>
                          <w:sz w:val="18"/>
                          <w:szCs w:val="18"/>
                          <w:lang w:val="uk-UA"/>
                        </w:rPr>
                        <w:t xml:space="preserve"> Спе</w:t>
                      </w:r>
                      <w:r w:rsidRPr="00B2045E">
                        <w:rPr>
                          <w:rFonts w:asciiTheme="minorHAnsi" w:hAnsiTheme="minorHAnsi" w:cstheme="minorHAnsi"/>
                          <w:b/>
                          <w:sz w:val="16"/>
                          <w:szCs w:val="16"/>
                          <w:lang w:val="uk-UA"/>
                        </w:rPr>
                        <w:t>цифічність (95% ДІ)</w:t>
                      </w:r>
                      <w:r w:rsidRPr="00B2045E">
                        <w:rPr>
                          <w:rFonts w:asciiTheme="minorHAnsi" w:hAnsiTheme="minorHAnsi" w:cstheme="minorHAnsi"/>
                          <w:b/>
                          <w:sz w:val="16"/>
                          <w:szCs w:val="16"/>
                        </w:rPr>
                        <w:t xml:space="preserve">          </w:t>
                      </w:r>
                      <w:r w:rsidRPr="00B2045E">
                        <w:rPr>
                          <w:rFonts w:asciiTheme="minorHAnsi" w:hAnsiTheme="minorHAnsi" w:cstheme="minorHAnsi"/>
                          <w:b/>
                          <w:sz w:val="16"/>
                          <w:szCs w:val="16"/>
                          <w:lang w:val="uk-UA"/>
                        </w:rPr>
                        <w:t xml:space="preserve">                     </w:t>
                      </w:r>
                    </w:p>
                    <w:p w14:paraId="5871A176"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v:textbox>
                <w10:wrap anchorx="margin"/>
              </v:shape>
            </w:pict>
          </mc:Fallback>
        </mc:AlternateContent>
      </w:r>
      <w:r w:rsidR="00B01E0C" w:rsidRPr="003C6DAE">
        <w:rPr>
          <w:rFonts w:ascii="Trebuchet MS"/>
          <w:color w:val="333333"/>
          <w:w w:val="80"/>
          <w:sz w:val="20"/>
          <w:lang w:val="uk-UA"/>
        </w:rPr>
        <w:t>S</w:t>
      </w:r>
      <w:r w:rsidR="00B01E0C" w:rsidRPr="003C6DAE">
        <w:rPr>
          <w:rFonts w:ascii="Trebuchet MS"/>
          <w:color w:val="333333"/>
          <w:spacing w:val="-22"/>
          <w:w w:val="80"/>
          <w:sz w:val="20"/>
          <w:lang w:val="uk-UA"/>
        </w:rPr>
        <w:t xml:space="preserve"> </w:t>
      </w:r>
      <w:proofErr w:type="spellStart"/>
      <w:r w:rsidR="00B01E0C" w:rsidRPr="003C6DAE">
        <w:rPr>
          <w:rFonts w:ascii="Trebuchet MS"/>
          <w:color w:val="333333"/>
          <w:w w:val="80"/>
          <w:sz w:val="20"/>
          <w:lang w:val="uk-UA"/>
        </w:rPr>
        <w:t>tudy</w:t>
      </w:r>
      <w:proofErr w:type="spellEnd"/>
      <w:r w:rsidR="00B01E0C" w:rsidRPr="003C6DAE">
        <w:rPr>
          <w:rFonts w:ascii="Trebuchet MS"/>
          <w:color w:val="333333"/>
          <w:sz w:val="20"/>
          <w:lang w:val="uk-UA"/>
        </w:rPr>
        <w:tab/>
      </w:r>
      <w:r w:rsidR="00B01E0C" w:rsidRPr="003C6DAE">
        <w:rPr>
          <w:rFonts w:ascii="Trebuchet MS"/>
          <w:color w:val="333333"/>
          <w:w w:val="80"/>
          <w:sz w:val="20"/>
          <w:lang w:val="uk-UA"/>
        </w:rPr>
        <w:t>TP</w:t>
      </w:r>
      <w:r w:rsidR="00B01E0C" w:rsidRPr="003C6DAE">
        <w:rPr>
          <w:rFonts w:ascii="Trebuchet MS"/>
          <w:color w:val="333333"/>
          <w:spacing w:val="80"/>
          <w:sz w:val="20"/>
          <w:lang w:val="uk-UA"/>
        </w:rPr>
        <w:t xml:space="preserve"> </w:t>
      </w:r>
      <w:r w:rsidR="00B01E0C" w:rsidRPr="003C6DAE">
        <w:rPr>
          <w:rFonts w:ascii="Trebuchet MS"/>
          <w:color w:val="333333"/>
          <w:w w:val="80"/>
          <w:sz w:val="20"/>
          <w:lang w:val="uk-UA"/>
        </w:rPr>
        <w:t>FP</w:t>
      </w:r>
      <w:r w:rsidR="00B01E0C" w:rsidRPr="003C6DAE">
        <w:rPr>
          <w:rFonts w:ascii="Trebuchet MS"/>
          <w:color w:val="333333"/>
          <w:spacing w:val="80"/>
          <w:sz w:val="20"/>
          <w:lang w:val="uk-UA"/>
        </w:rPr>
        <w:t xml:space="preserve"> </w:t>
      </w:r>
      <w:r w:rsidR="00B01E0C" w:rsidRPr="003C6DAE">
        <w:rPr>
          <w:rFonts w:ascii="Trebuchet MS"/>
          <w:color w:val="333333"/>
          <w:w w:val="80"/>
          <w:sz w:val="20"/>
          <w:lang w:val="uk-UA"/>
        </w:rPr>
        <w:t>FN</w:t>
      </w:r>
      <w:r w:rsidR="00B01E0C" w:rsidRPr="003C6DAE">
        <w:rPr>
          <w:rFonts w:ascii="Trebuchet MS"/>
          <w:color w:val="333333"/>
          <w:spacing w:val="80"/>
          <w:sz w:val="20"/>
          <w:lang w:val="uk-UA"/>
        </w:rPr>
        <w:t xml:space="preserve"> </w:t>
      </w:r>
      <w:r w:rsidR="00B01E0C" w:rsidRPr="003C6DAE">
        <w:rPr>
          <w:rFonts w:ascii="Trebuchet MS"/>
          <w:color w:val="333333"/>
          <w:w w:val="80"/>
          <w:sz w:val="20"/>
          <w:lang w:val="uk-UA"/>
        </w:rPr>
        <w:t>TN</w:t>
      </w:r>
      <w:r w:rsidR="00B01E0C" w:rsidRPr="003C6DAE">
        <w:rPr>
          <w:rFonts w:ascii="Trebuchet MS"/>
          <w:color w:val="333333"/>
          <w:spacing w:val="80"/>
          <w:sz w:val="20"/>
          <w:lang w:val="uk-UA"/>
        </w:rPr>
        <w:t xml:space="preserve"> </w:t>
      </w:r>
      <w:r w:rsidR="00B01E0C" w:rsidRPr="003C6DAE">
        <w:rPr>
          <w:rFonts w:ascii="Trebuchet MS"/>
          <w:color w:val="333333"/>
          <w:w w:val="80"/>
          <w:sz w:val="20"/>
          <w:lang w:val="uk-UA"/>
        </w:rPr>
        <w:t>S</w:t>
      </w:r>
      <w:r w:rsidR="00B01E0C" w:rsidRPr="003C6DAE">
        <w:rPr>
          <w:rFonts w:ascii="Trebuchet MS"/>
          <w:color w:val="333333"/>
          <w:spacing w:val="-19"/>
          <w:w w:val="80"/>
          <w:sz w:val="20"/>
          <w:lang w:val="uk-UA"/>
        </w:rPr>
        <w:t xml:space="preserve"> </w:t>
      </w:r>
      <w:proofErr w:type="spellStart"/>
      <w:r w:rsidR="00B01E0C" w:rsidRPr="003C6DAE">
        <w:rPr>
          <w:rFonts w:ascii="Trebuchet MS"/>
          <w:color w:val="333333"/>
          <w:w w:val="80"/>
          <w:sz w:val="20"/>
          <w:lang w:val="uk-UA"/>
        </w:rPr>
        <w:t>ens</w:t>
      </w:r>
      <w:proofErr w:type="spellEnd"/>
      <w:r w:rsidR="00B01E0C" w:rsidRPr="003C6DAE">
        <w:rPr>
          <w:rFonts w:ascii="Trebuchet MS"/>
          <w:color w:val="333333"/>
          <w:spacing w:val="-22"/>
          <w:w w:val="80"/>
          <w:sz w:val="20"/>
          <w:lang w:val="uk-UA"/>
        </w:rPr>
        <w:t xml:space="preserve"> </w:t>
      </w:r>
      <w:proofErr w:type="spellStart"/>
      <w:r w:rsidR="00B01E0C" w:rsidRPr="003C6DAE">
        <w:rPr>
          <w:rFonts w:ascii="Trebuchet MS"/>
          <w:color w:val="333333"/>
          <w:w w:val="80"/>
          <w:sz w:val="20"/>
          <w:lang w:val="uk-UA"/>
        </w:rPr>
        <w:t>itivity</w:t>
      </w:r>
      <w:proofErr w:type="spellEnd"/>
      <w:r w:rsidR="00B01E0C" w:rsidRPr="003C6DAE">
        <w:rPr>
          <w:rFonts w:ascii="Trebuchet MS"/>
          <w:color w:val="333333"/>
          <w:w w:val="80"/>
          <w:sz w:val="20"/>
          <w:lang w:val="uk-UA"/>
        </w:rPr>
        <w:t xml:space="preserve"> (95% C</w:t>
      </w:r>
      <w:r w:rsidR="00B01E0C" w:rsidRPr="003C6DAE">
        <w:rPr>
          <w:rFonts w:ascii="Trebuchet MS"/>
          <w:color w:val="333333"/>
          <w:spacing w:val="-25"/>
          <w:w w:val="80"/>
          <w:sz w:val="20"/>
          <w:lang w:val="uk-UA"/>
        </w:rPr>
        <w:t xml:space="preserve"> </w:t>
      </w:r>
      <w:r w:rsidR="00B01E0C" w:rsidRPr="003C6DAE">
        <w:rPr>
          <w:rFonts w:ascii="Trebuchet MS"/>
          <w:color w:val="333333"/>
          <w:w w:val="80"/>
          <w:sz w:val="20"/>
          <w:lang w:val="uk-UA"/>
        </w:rPr>
        <w:t>I)</w:t>
      </w:r>
      <w:r w:rsidR="00B01E0C" w:rsidRPr="003C6DAE">
        <w:rPr>
          <w:rFonts w:ascii="Trebuchet MS"/>
          <w:color w:val="333333"/>
          <w:spacing w:val="40"/>
          <w:sz w:val="20"/>
          <w:lang w:val="uk-UA"/>
        </w:rPr>
        <w:t xml:space="preserve"> </w:t>
      </w:r>
      <w:r w:rsidR="00B01E0C" w:rsidRPr="003C6DAE">
        <w:rPr>
          <w:rFonts w:ascii="Trebuchet MS"/>
          <w:color w:val="333333"/>
          <w:w w:val="80"/>
          <w:sz w:val="20"/>
          <w:lang w:val="uk-UA"/>
        </w:rPr>
        <w:t>S</w:t>
      </w:r>
      <w:r w:rsidR="00B01E0C" w:rsidRPr="003C6DAE">
        <w:rPr>
          <w:rFonts w:ascii="Trebuchet MS"/>
          <w:color w:val="333333"/>
          <w:spacing w:val="-19"/>
          <w:w w:val="80"/>
          <w:sz w:val="20"/>
          <w:lang w:val="uk-UA"/>
        </w:rPr>
        <w:t xml:space="preserve"> </w:t>
      </w:r>
      <w:proofErr w:type="spellStart"/>
      <w:r w:rsidR="00B01E0C" w:rsidRPr="003C6DAE">
        <w:rPr>
          <w:rFonts w:ascii="Trebuchet MS"/>
          <w:color w:val="333333"/>
          <w:w w:val="80"/>
          <w:sz w:val="20"/>
          <w:lang w:val="uk-UA"/>
        </w:rPr>
        <w:t>pecificity</w:t>
      </w:r>
      <w:proofErr w:type="spellEnd"/>
      <w:r w:rsidR="00B01E0C" w:rsidRPr="003C6DAE">
        <w:rPr>
          <w:rFonts w:ascii="Trebuchet MS"/>
          <w:color w:val="333333"/>
          <w:w w:val="80"/>
          <w:sz w:val="20"/>
          <w:lang w:val="uk-UA"/>
        </w:rPr>
        <w:t xml:space="preserve"> (95% C</w:t>
      </w:r>
      <w:r w:rsidR="00B01E0C" w:rsidRPr="003C6DAE">
        <w:rPr>
          <w:rFonts w:ascii="Trebuchet MS"/>
          <w:color w:val="333333"/>
          <w:spacing w:val="-25"/>
          <w:w w:val="80"/>
          <w:sz w:val="20"/>
          <w:lang w:val="uk-UA"/>
        </w:rPr>
        <w:t xml:space="preserve"> </w:t>
      </w:r>
      <w:r w:rsidR="00B01E0C" w:rsidRPr="003C6DAE">
        <w:rPr>
          <w:rFonts w:ascii="Trebuchet MS"/>
          <w:color w:val="333333"/>
          <w:w w:val="80"/>
          <w:sz w:val="20"/>
          <w:lang w:val="uk-UA"/>
        </w:rPr>
        <w:t>I)</w:t>
      </w:r>
      <w:r w:rsidR="00B01E0C" w:rsidRPr="003C6DAE">
        <w:rPr>
          <w:rFonts w:ascii="Trebuchet MS"/>
          <w:color w:val="333333"/>
          <w:spacing w:val="40"/>
          <w:sz w:val="20"/>
          <w:lang w:val="uk-UA"/>
        </w:rPr>
        <w:t xml:space="preserve"> </w:t>
      </w:r>
      <w:r w:rsidR="00B01E0C" w:rsidRPr="003C6DAE">
        <w:rPr>
          <w:rFonts w:ascii="Trebuchet MS"/>
          <w:color w:val="333333"/>
          <w:w w:val="80"/>
          <w:sz w:val="20"/>
          <w:lang w:val="uk-UA"/>
        </w:rPr>
        <w:t>S</w:t>
      </w:r>
      <w:r w:rsidR="00B01E0C" w:rsidRPr="003C6DAE">
        <w:rPr>
          <w:rFonts w:ascii="Trebuchet MS"/>
          <w:color w:val="333333"/>
          <w:spacing w:val="-19"/>
          <w:w w:val="80"/>
          <w:sz w:val="20"/>
          <w:lang w:val="uk-UA"/>
        </w:rPr>
        <w:t xml:space="preserve"> </w:t>
      </w:r>
      <w:proofErr w:type="spellStart"/>
      <w:r w:rsidR="00B01E0C" w:rsidRPr="003C6DAE">
        <w:rPr>
          <w:rFonts w:ascii="Trebuchet MS"/>
          <w:color w:val="333333"/>
          <w:w w:val="80"/>
          <w:sz w:val="20"/>
          <w:lang w:val="uk-UA"/>
        </w:rPr>
        <w:t>ens</w:t>
      </w:r>
      <w:proofErr w:type="spellEnd"/>
      <w:r w:rsidR="00B01E0C" w:rsidRPr="003C6DAE">
        <w:rPr>
          <w:rFonts w:ascii="Trebuchet MS"/>
          <w:color w:val="333333"/>
          <w:spacing w:val="-22"/>
          <w:w w:val="80"/>
          <w:sz w:val="20"/>
          <w:lang w:val="uk-UA"/>
        </w:rPr>
        <w:t xml:space="preserve"> </w:t>
      </w:r>
      <w:proofErr w:type="spellStart"/>
      <w:r w:rsidR="00B01E0C" w:rsidRPr="003C6DAE">
        <w:rPr>
          <w:rFonts w:ascii="Trebuchet MS"/>
          <w:color w:val="333333"/>
          <w:w w:val="80"/>
          <w:sz w:val="20"/>
          <w:lang w:val="uk-UA"/>
        </w:rPr>
        <w:t>itivity</w:t>
      </w:r>
      <w:proofErr w:type="spellEnd"/>
      <w:r w:rsidR="00B01E0C" w:rsidRPr="003C6DAE">
        <w:rPr>
          <w:rFonts w:ascii="Trebuchet MS"/>
          <w:color w:val="333333"/>
          <w:w w:val="80"/>
          <w:sz w:val="20"/>
          <w:lang w:val="uk-UA"/>
        </w:rPr>
        <w:t xml:space="preserve"> (95% C</w:t>
      </w:r>
      <w:r w:rsidR="00B01E0C" w:rsidRPr="003C6DAE">
        <w:rPr>
          <w:rFonts w:ascii="Trebuchet MS"/>
          <w:color w:val="333333"/>
          <w:spacing w:val="-25"/>
          <w:w w:val="80"/>
          <w:sz w:val="20"/>
          <w:lang w:val="uk-UA"/>
        </w:rPr>
        <w:t xml:space="preserve"> </w:t>
      </w:r>
      <w:r w:rsidR="00B01E0C" w:rsidRPr="003C6DAE">
        <w:rPr>
          <w:rFonts w:ascii="Trebuchet MS"/>
          <w:color w:val="333333"/>
          <w:w w:val="80"/>
          <w:sz w:val="20"/>
          <w:lang w:val="uk-UA"/>
        </w:rPr>
        <w:t>I)</w:t>
      </w:r>
      <w:r w:rsidR="00B01E0C" w:rsidRPr="003C6DAE">
        <w:rPr>
          <w:rFonts w:ascii="Trebuchet MS"/>
          <w:color w:val="333333"/>
          <w:sz w:val="20"/>
          <w:lang w:val="uk-UA"/>
        </w:rPr>
        <w:tab/>
      </w:r>
      <w:r w:rsidR="00B01E0C" w:rsidRPr="003C6DAE">
        <w:rPr>
          <w:rFonts w:ascii="Trebuchet MS"/>
          <w:color w:val="333333"/>
          <w:w w:val="75"/>
          <w:sz w:val="20"/>
          <w:lang w:val="uk-UA"/>
        </w:rPr>
        <w:t>S</w:t>
      </w:r>
      <w:r w:rsidR="00B01E0C" w:rsidRPr="003C6DAE">
        <w:rPr>
          <w:rFonts w:ascii="Trebuchet MS"/>
          <w:color w:val="333333"/>
          <w:spacing w:val="-14"/>
          <w:w w:val="75"/>
          <w:sz w:val="20"/>
          <w:lang w:val="uk-UA"/>
        </w:rPr>
        <w:t xml:space="preserve"> </w:t>
      </w:r>
      <w:proofErr w:type="spellStart"/>
      <w:r w:rsidR="00B01E0C" w:rsidRPr="003C6DAE">
        <w:rPr>
          <w:rFonts w:ascii="Trebuchet MS"/>
          <w:color w:val="333333"/>
          <w:w w:val="75"/>
          <w:sz w:val="20"/>
          <w:lang w:val="uk-UA"/>
        </w:rPr>
        <w:t>pecificity</w:t>
      </w:r>
      <w:proofErr w:type="spellEnd"/>
      <w:r w:rsidR="00B01E0C" w:rsidRPr="003C6DAE">
        <w:rPr>
          <w:rFonts w:ascii="Trebuchet MS"/>
          <w:color w:val="333333"/>
          <w:sz w:val="20"/>
          <w:lang w:val="uk-UA"/>
        </w:rPr>
        <w:t xml:space="preserve"> </w:t>
      </w:r>
      <w:r w:rsidR="00B01E0C" w:rsidRPr="003C6DAE">
        <w:rPr>
          <w:rFonts w:ascii="Trebuchet MS"/>
          <w:color w:val="333333"/>
          <w:w w:val="75"/>
          <w:sz w:val="20"/>
          <w:lang w:val="uk-UA"/>
        </w:rPr>
        <w:t>(95%</w:t>
      </w:r>
      <w:r w:rsidR="00B01E0C" w:rsidRPr="003C6DAE">
        <w:rPr>
          <w:rFonts w:ascii="Trebuchet MS"/>
          <w:color w:val="333333"/>
          <w:sz w:val="20"/>
          <w:lang w:val="uk-UA"/>
        </w:rPr>
        <w:t xml:space="preserve"> </w:t>
      </w:r>
      <w:r w:rsidR="00B01E0C" w:rsidRPr="003C6DAE">
        <w:rPr>
          <w:rFonts w:ascii="Trebuchet MS"/>
          <w:color w:val="333333"/>
          <w:w w:val="75"/>
          <w:sz w:val="20"/>
          <w:lang w:val="uk-UA"/>
        </w:rPr>
        <w:t>C</w:t>
      </w:r>
      <w:r w:rsidR="00B01E0C" w:rsidRPr="003C6DAE">
        <w:rPr>
          <w:rFonts w:ascii="Trebuchet MS"/>
          <w:color w:val="333333"/>
          <w:spacing w:val="-20"/>
          <w:w w:val="75"/>
          <w:sz w:val="20"/>
          <w:lang w:val="uk-UA"/>
        </w:rPr>
        <w:t xml:space="preserve"> </w:t>
      </w:r>
      <w:r w:rsidR="00B01E0C" w:rsidRPr="003C6DAE">
        <w:rPr>
          <w:rFonts w:ascii="Trebuchet MS"/>
          <w:color w:val="333333"/>
          <w:w w:val="75"/>
          <w:sz w:val="20"/>
          <w:lang w:val="uk-UA"/>
        </w:rPr>
        <w:t xml:space="preserve">I) </w:t>
      </w:r>
      <w:r w:rsidR="00B2045E">
        <w:rPr>
          <w:rFonts w:ascii="Trebuchet MS"/>
          <w:color w:val="333333"/>
          <w:w w:val="75"/>
          <w:sz w:val="20"/>
          <w:lang w:val="uk-UA"/>
        </w:rPr>
        <w:t xml:space="preserve">           </w:t>
      </w:r>
    </w:p>
    <w:p w14:paraId="23EA6CA6" w14:textId="1664C7EA" w:rsidR="00B2045E" w:rsidRDefault="00B2045E" w:rsidP="00B2045E">
      <w:pPr>
        <w:tabs>
          <w:tab w:val="left" w:pos="1904"/>
          <w:tab w:val="left" w:pos="2012"/>
          <w:tab w:val="left" w:pos="2658"/>
          <w:tab w:val="left" w:pos="3561"/>
          <w:tab w:val="left" w:pos="5112"/>
          <w:tab w:val="left" w:pos="8048"/>
        </w:tabs>
        <w:spacing w:before="71" w:line="350" w:lineRule="atLeast"/>
        <w:ind w:left="426" w:right="140"/>
        <w:rPr>
          <w:rFonts w:ascii="Trebuchet MS"/>
          <w:sz w:val="20"/>
          <w:lang w:val="uk-UA"/>
        </w:rPr>
      </w:pPr>
      <w:r w:rsidRPr="00B2045E">
        <w:rPr>
          <w:rFonts w:ascii="Trebuchet MS"/>
          <w:noProof/>
          <w:sz w:val="20"/>
          <w:lang w:val="uk-UA"/>
        </w:rPr>
        <w:drawing>
          <wp:inline distT="0" distB="0" distL="0" distR="0" wp14:anchorId="33562763" wp14:editId="19528173">
            <wp:extent cx="6390912" cy="398780"/>
            <wp:effectExtent l="0" t="0" r="0" b="1270"/>
            <wp:docPr id="20315640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64040" name=""/>
                    <pic:cNvPicPr/>
                  </pic:nvPicPr>
                  <pic:blipFill>
                    <a:blip r:embed="rId96"/>
                    <a:stretch>
                      <a:fillRect/>
                    </a:stretch>
                  </pic:blipFill>
                  <pic:spPr>
                    <a:xfrm>
                      <a:off x="0" y="0"/>
                      <a:ext cx="6800068" cy="424311"/>
                    </a:xfrm>
                    <a:prstGeom prst="rect">
                      <a:avLst/>
                    </a:prstGeom>
                  </pic:spPr>
                </pic:pic>
              </a:graphicData>
            </a:graphic>
          </wp:inline>
        </w:drawing>
      </w:r>
    </w:p>
    <w:p w14:paraId="19AF1BF5" w14:textId="00D117ED" w:rsidR="00E05B98" w:rsidRPr="0067671C" w:rsidRDefault="00912D7A" w:rsidP="004D5917">
      <w:pPr>
        <w:spacing w:line="254" w:lineRule="auto"/>
        <w:ind w:left="567" w:right="140"/>
        <w:rPr>
          <w:sz w:val="15"/>
          <w:szCs w:val="15"/>
          <w:lang w:val="uk-UA"/>
        </w:rPr>
      </w:pPr>
      <w:r w:rsidRPr="0067671C">
        <w:rPr>
          <w:sz w:val="15"/>
          <w:szCs w:val="15"/>
          <w:lang w:val="uk-UA"/>
        </w:rPr>
        <w:t>ДІ: довірчий інтервал; FN: хибнонегативний результат; FP: хибнопозитивний результат; рТАНК-НС: ручний тест ампліфікаці</w:t>
      </w:r>
      <w:r w:rsidR="0067671C">
        <w:rPr>
          <w:sz w:val="15"/>
          <w:szCs w:val="15"/>
          <w:lang w:val="uk-UA"/>
        </w:rPr>
        <w:t>ї</w:t>
      </w:r>
      <w:r w:rsidRPr="0067671C">
        <w:rPr>
          <w:sz w:val="15"/>
          <w:szCs w:val="15"/>
          <w:lang w:val="uk-UA"/>
        </w:rPr>
        <w:t xml:space="preserve"> нуклеїнових кислот низької складності; MRS: мікробіологічний еталонний стандарт; ТБ: туберкульоз; TN: істинно негативний результат; TP: істинно позитивний результат</w:t>
      </w:r>
      <w:r w:rsidR="00B01E0C" w:rsidRPr="0067671C">
        <w:rPr>
          <w:sz w:val="15"/>
          <w:szCs w:val="15"/>
          <w:lang w:val="uk-UA"/>
        </w:rPr>
        <w:t>.</w:t>
      </w:r>
    </w:p>
    <w:p w14:paraId="6DD03F19" w14:textId="77777777" w:rsidR="00E05B98" w:rsidRPr="003C6DAE" w:rsidRDefault="00E05B98" w:rsidP="004D5917">
      <w:pPr>
        <w:pStyle w:val="a3"/>
        <w:spacing w:before="164"/>
        <w:ind w:right="140"/>
        <w:rPr>
          <w:sz w:val="18"/>
          <w:lang w:val="uk-UA"/>
        </w:rPr>
      </w:pPr>
    </w:p>
    <w:p w14:paraId="69118BA7" w14:textId="488D039E" w:rsidR="00E05B98" w:rsidRPr="00912D7A" w:rsidRDefault="00912D7A" w:rsidP="004D5917">
      <w:pPr>
        <w:pStyle w:val="5"/>
        <w:spacing w:before="1"/>
        <w:ind w:right="140"/>
        <w:rPr>
          <w:sz w:val="26"/>
          <w:szCs w:val="26"/>
          <w:lang w:val="uk-UA"/>
        </w:rPr>
      </w:pPr>
      <w:r w:rsidRPr="00912D7A">
        <w:rPr>
          <w:color w:val="019648"/>
          <w:sz w:val="26"/>
          <w:szCs w:val="26"/>
          <w:lang w:val="uk-UA"/>
        </w:rPr>
        <w:t>Виявлення туберкульозного менінгіту</w:t>
      </w:r>
    </w:p>
    <w:p w14:paraId="61278352" w14:textId="4D58F5B3" w:rsidR="00E05B98" w:rsidRPr="00912D7A" w:rsidRDefault="00912D7A" w:rsidP="00912D7A">
      <w:pPr>
        <w:pStyle w:val="7"/>
        <w:spacing w:before="230" w:line="249" w:lineRule="auto"/>
        <w:jc w:val="both"/>
        <w:rPr>
          <w:sz w:val="22"/>
          <w:szCs w:val="22"/>
          <w:lang w:val="uk-UA"/>
        </w:rPr>
      </w:pPr>
      <w:r w:rsidRPr="00912D7A">
        <w:rPr>
          <w:color w:val="019648"/>
          <w:sz w:val="22"/>
          <w:szCs w:val="22"/>
          <w:lang w:val="uk-UA"/>
        </w:rPr>
        <w:t>Чи слід використовувати ручні ТАНК-НС на зразках спинномозкової рідини для діагностики туберкульозного менінгіту у дорослих та підлітків з ознаками та симптомами туберкульозного менінгіту на противагу мікробіологічному еталонному стандарту?</w:t>
      </w:r>
    </w:p>
    <w:p w14:paraId="43E5D215" w14:textId="37EDC491" w:rsidR="00E05B98" w:rsidRPr="00912D7A" w:rsidRDefault="00912D7A" w:rsidP="00584509">
      <w:pPr>
        <w:pStyle w:val="a3"/>
        <w:spacing w:before="217" w:line="269" w:lineRule="auto"/>
        <w:ind w:left="567" w:right="142"/>
        <w:jc w:val="both"/>
        <w:rPr>
          <w:sz w:val="20"/>
          <w:szCs w:val="20"/>
          <w:lang w:val="uk-UA"/>
        </w:rPr>
      </w:pPr>
      <w:r w:rsidRPr="00912D7A">
        <w:rPr>
          <w:sz w:val="20"/>
          <w:szCs w:val="20"/>
          <w:lang w:val="uk-UA"/>
        </w:rPr>
        <w:t>У двох дослідженнях (70 учасників, троє з яких мали туберкульозний менінгіт) оцінювали точність ручних ТАНК-НС для виявлення туберкульозного менінгіту, використовуючи СМР, та мікробіологічного еталонного стандарту (</w:t>
      </w:r>
      <w:r w:rsidRPr="00912D7A">
        <w:rPr>
          <w:b/>
          <w:bCs/>
          <w:sz w:val="20"/>
          <w:szCs w:val="20"/>
          <w:lang w:val="uk-UA"/>
        </w:rPr>
        <w:t>Рис. 2.2.1.7</w:t>
      </w:r>
      <w:r w:rsidRPr="00912D7A">
        <w:rPr>
          <w:sz w:val="20"/>
          <w:szCs w:val="20"/>
          <w:lang w:val="uk-UA"/>
        </w:rPr>
        <w:t>). Очікувана чутливість та специфічність становили 100% в одному дослідженні та 0% і 97% відповідно в іншому. Достовірність доказів була дуже низькою стосовно чутливості та низькою стосовно специфічності. Через обмеженість даних, не було надано рекомендації щодо використання ручних ТАНК-НС на зразках СМР для виявлення туберкульозного менінгіту.</w:t>
      </w:r>
    </w:p>
    <w:p w14:paraId="62B93BAE" w14:textId="1AB57D26" w:rsidR="00E05B98" w:rsidRPr="003C6DAE" w:rsidRDefault="00912D7A" w:rsidP="00912D7A">
      <w:pPr>
        <w:pStyle w:val="6"/>
        <w:spacing w:before="240" w:line="269" w:lineRule="auto"/>
        <w:ind w:right="142"/>
        <w:rPr>
          <w:lang w:val="uk-UA"/>
        </w:rPr>
      </w:pPr>
      <w:r>
        <w:rPr>
          <w:color w:val="636466"/>
          <w:sz w:val="20"/>
          <w:szCs w:val="20"/>
          <w:lang w:val="uk-UA"/>
        </w:rPr>
        <w:t>Рис</w:t>
      </w:r>
      <w:r w:rsidR="00B01E0C" w:rsidRPr="00912D7A">
        <w:rPr>
          <w:color w:val="636466"/>
          <w:sz w:val="20"/>
          <w:szCs w:val="20"/>
          <w:lang w:val="uk-UA"/>
        </w:rPr>
        <w:t>.</w:t>
      </w:r>
      <w:r w:rsidR="00B01E0C" w:rsidRPr="00912D7A">
        <w:rPr>
          <w:color w:val="636466"/>
          <w:spacing w:val="-11"/>
          <w:sz w:val="20"/>
          <w:szCs w:val="20"/>
          <w:lang w:val="uk-UA"/>
        </w:rPr>
        <w:t xml:space="preserve"> </w:t>
      </w:r>
      <w:r w:rsidR="00B01E0C" w:rsidRPr="00912D7A">
        <w:rPr>
          <w:color w:val="636466"/>
          <w:sz w:val="20"/>
          <w:szCs w:val="20"/>
          <w:lang w:val="uk-UA"/>
        </w:rPr>
        <w:t>2.2.1.7</w:t>
      </w:r>
      <w:r w:rsidR="00B01E0C" w:rsidRPr="00912D7A">
        <w:rPr>
          <w:color w:val="636466"/>
          <w:spacing w:val="-11"/>
          <w:sz w:val="20"/>
          <w:szCs w:val="20"/>
          <w:lang w:val="uk-UA"/>
        </w:rPr>
        <w:t xml:space="preserve"> </w:t>
      </w:r>
      <w:r>
        <w:rPr>
          <w:color w:val="636466"/>
          <w:spacing w:val="-11"/>
          <w:sz w:val="20"/>
          <w:szCs w:val="20"/>
          <w:lang w:val="uk-UA"/>
        </w:rPr>
        <w:t xml:space="preserve"> </w:t>
      </w:r>
      <w:r w:rsidR="009376E1" w:rsidRPr="009376E1">
        <w:rPr>
          <w:color w:val="636466"/>
          <w:sz w:val="20"/>
          <w:szCs w:val="20"/>
          <w:lang w:val="uk-UA"/>
        </w:rPr>
        <w:t xml:space="preserve">Лісова діаграми чутливості та специфічності рТАНК-НС для виявлення туберкульозного менінгіту в зразках  спинномозкової рідини та </w:t>
      </w:r>
      <w:r w:rsidR="000530D1" w:rsidRPr="009376E1">
        <w:rPr>
          <w:color w:val="636466"/>
          <w:sz w:val="20"/>
          <w:szCs w:val="20"/>
          <w:lang w:val="uk-UA"/>
        </w:rPr>
        <w:t>мікробіологічного</w:t>
      </w:r>
      <w:r w:rsidR="009376E1" w:rsidRPr="009376E1">
        <w:rPr>
          <w:color w:val="636466"/>
          <w:sz w:val="20"/>
          <w:szCs w:val="20"/>
          <w:lang w:val="uk-UA"/>
        </w:rPr>
        <w:t xml:space="preserve"> еталонного стандарту</w:t>
      </w:r>
    </w:p>
    <w:p w14:paraId="77336A0F" w14:textId="77777777" w:rsidR="00E05B98" w:rsidRPr="003C6DAE" w:rsidRDefault="00E05B98" w:rsidP="004D5917">
      <w:pPr>
        <w:pStyle w:val="6"/>
        <w:spacing w:line="249" w:lineRule="auto"/>
        <w:ind w:right="140"/>
        <w:rPr>
          <w:lang w:val="uk-UA"/>
        </w:rPr>
        <w:sectPr w:rsidR="00E05B98" w:rsidRPr="003C6DAE" w:rsidSect="004D5917">
          <w:pgSz w:w="11910" w:h="16840"/>
          <w:pgMar w:top="1320" w:right="995" w:bottom="760" w:left="850" w:header="0" w:footer="573" w:gutter="0"/>
          <w:cols w:space="720"/>
        </w:sectPr>
      </w:pPr>
    </w:p>
    <w:p w14:paraId="7B33B2BC" w14:textId="003CA6C7" w:rsidR="00E05B98" w:rsidRDefault="009376E1" w:rsidP="004D5917">
      <w:pPr>
        <w:ind w:right="140"/>
        <w:rPr>
          <w:rFonts w:ascii="Trebuchet MS"/>
          <w:sz w:val="21"/>
          <w:lang w:val="uk-UA"/>
        </w:rPr>
      </w:pPr>
      <w:r w:rsidRPr="003C6DAE">
        <w:rPr>
          <w:rFonts w:ascii="Arial"/>
          <w:b/>
          <w:noProof/>
          <w:sz w:val="24"/>
          <w:lang w:val="uk-UA"/>
        </w:rPr>
        <mc:AlternateContent>
          <mc:Choice Requires="wps">
            <w:drawing>
              <wp:anchor distT="0" distB="0" distL="114300" distR="114300" simplePos="0" relativeHeight="488116736" behindDoc="0" locked="0" layoutInCell="1" allowOverlap="1" wp14:anchorId="00A9A2E5" wp14:editId="2B5E456D">
                <wp:simplePos x="0" y="0"/>
                <wp:positionH relativeFrom="margin">
                  <wp:posOffset>189054</wp:posOffset>
                </wp:positionH>
                <wp:positionV relativeFrom="paragraph">
                  <wp:posOffset>51492</wp:posOffset>
                </wp:positionV>
                <wp:extent cx="6273579" cy="248970"/>
                <wp:effectExtent l="0" t="0" r="0" b="0"/>
                <wp:wrapNone/>
                <wp:docPr id="1556540246" name="Поле 1556540246"/>
                <wp:cNvGraphicFramePr/>
                <a:graphic xmlns:a="http://schemas.openxmlformats.org/drawingml/2006/main">
                  <a:graphicData uri="http://schemas.microsoft.com/office/word/2010/wordprocessingShape">
                    <wps:wsp>
                      <wps:cNvSpPr txBox="1"/>
                      <wps:spPr>
                        <a:xfrm>
                          <a:off x="0" y="0"/>
                          <a:ext cx="6273579" cy="248970"/>
                        </a:xfrm>
                        <a:prstGeom prst="rect">
                          <a:avLst/>
                        </a:prstGeom>
                        <a:solidFill>
                          <a:schemeClr val="bg1"/>
                        </a:solidFill>
                        <a:ln w="6350">
                          <a:noFill/>
                        </a:ln>
                      </wps:spPr>
                      <wps:txbx>
                        <w:txbxContent>
                          <w:p w14:paraId="256D5FFE" w14:textId="55671314" w:rsidR="007372B2" w:rsidRPr="009376E1" w:rsidRDefault="007372B2" w:rsidP="009376E1">
                            <w:pPr>
                              <w:ind w:left="2160" w:hanging="2018"/>
                              <w:rPr>
                                <w:rFonts w:asciiTheme="minorHAnsi" w:hAnsiTheme="minorHAnsi" w:cstheme="minorHAnsi"/>
                                <w:b/>
                                <w:sz w:val="17"/>
                                <w:szCs w:val="17"/>
                                <w:lang w:val="uk-UA"/>
                              </w:rPr>
                            </w:pPr>
                            <w:r w:rsidRPr="009376E1">
                              <w:rPr>
                                <w:rFonts w:asciiTheme="minorHAnsi" w:hAnsiTheme="minorHAnsi" w:cstheme="minorHAnsi"/>
                                <w:b/>
                                <w:sz w:val="17"/>
                                <w:szCs w:val="17"/>
                                <w:lang w:val="uk-UA"/>
                              </w:rPr>
                              <w:t xml:space="preserve">Дослідження         </w:t>
                            </w:r>
                            <w:r>
                              <w:rPr>
                                <w:rFonts w:asciiTheme="minorHAnsi" w:hAnsiTheme="minorHAnsi" w:cstheme="minorHAnsi"/>
                                <w:b/>
                                <w:sz w:val="17"/>
                                <w:szCs w:val="17"/>
                                <w:lang w:val="uk-UA"/>
                              </w:rPr>
                              <w:t xml:space="preserve">  </w:t>
                            </w:r>
                            <w:r w:rsidRPr="009376E1">
                              <w:rPr>
                                <w:rFonts w:asciiTheme="minorHAnsi" w:hAnsiTheme="minorHAnsi" w:cstheme="minorHAnsi"/>
                                <w:b/>
                                <w:sz w:val="17"/>
                                <w:szCs w:val="17"/>
                              </w:rPr>
                              <w:t xml:space="preserve">TP   </w:t>
                            </w:r>
                            <w:r>
                              <w:rPr>
                                <w:rFonts w:asciiTheme="minorHAnsi" w:hAnsiTheme="minorHAnsi" w:cstheme="minorHAnsi"/>
                                <w:b/>
                                <w:sz w:val="17"/>
                                <w:szCs w:val="17"/>
                                <w:lang w:val="uk-UA"/>
                              </w:rPr>
                              <w:t xml:space="preserve"> </w:t>
                            </w:r>
                            <w:r w:rsidRPr="009376E1">
                              <w:rPr>
                                <w:rFonts w:asciiTheme="minorHAnsi" w:hAnsiTheme="minorHAnsi" w:cstheme="minorHAnsi"/>
                                <w:b/>
                                <w:sz w:val="17"/>
                                <w:szCs w:val="17"/>
                              </w:rPr>
                              <w:t xml:space="preserve">FP   </w:t>
                            </w:r>
                            <w:r w:rsidRPr="009376E1">
                              <w:rPr>
                                <w:rFonts w:asciiTheme="minorHAnsi" w:hAnsiTheme="minorHAnsi" w:cstheme="minorHAnsi"/>
                                <w:b/>
                                <w:sz w:val="17"/>
                                <w:szCs w:val="17"/>
                                <w:lang w:val="uk-UA"/>
                              </w:rPr>
                              <w:t xml:space="preserve"> </w:t>
                            </w:r>
                            <w:r w:rsidRPr="009376E1">
                              <w:rPr>
                                <w:rFonts w:asciiTheme="minorHAnsi" w:hAnsiTheme="minorHAnsi" w:cstheme="minorHAnsi"/>
                                <w:b/>
                                <w:sz w:val="17"/>
                                <w:szCs w:val="17"/>
                              </w:rPr>
                              <w:t xml:space="preserve">FN  TN   </w:t>
                            </w:r>
                            <w:r>
                              <w:rPr>
                                <w:rFonts w:asciiTheme="minorHAnsi" w:hAnsiTheme="minorHAnsi" w:cstheme="minorHAnsi"/>
                                <w:b/>
                                <w:sz w:val="17"/>
                                <w:szCs w:val="17"/>
                                <w:lang w:val="uk-UA"/>
                              </w:rPr>
                              <w:t xml:space="preserve">   </w:t>
                            </w:r>
                            <w:r w:rsidRPr="009376E1">
                              <w:rPr>
                                <w:rFonts w:asciiTheme="minorHAnsi" w:hAnsiTheme="minorHAnsi" w:cstheme="minorHAnsi"/>
                                <w:b/>
                                <w:sz w:val="17"/>
                                <w:szCs w:val="17"/>
                                <w:lang w:val="uk-UA"/>
                              </w:rPr>
                              <w:t xml:space="preserve">Чутливість (95% ДІ) Специфічність (95% ДІ)  </w:t>
                            </w:r>
                            <w:r w:rsidR="00E6199E">
                              <w:rPr>
                                <w:rFonts w:asciiTheme="minorHAnsi" w:hAnsiTheme="minorHAnsi" w:cstheme="minorHAnsi"/>
                                <w:b/>
                                <w:sz w:val="17"/>
                                <w:szCs w:val="17"/>
                                <w:lang w:val="uk-UA"/>
                              </w:rPr>
                              <w:t xml:space="preserve">  </w:t>
                            </w:r>
                            <w:r w:rsidRPr="009376E1">
                              <w:rPr>
                                <w:rFonts w:asciiTheme="minorHAnsi" w:hAnsiTheme="minorHAnsi" w:cstheme="minorHAnsi"/>
                                <w:b/>
                                <w:sz w:val="17"/>
                                <w:szCs w:val="17"/>
                                <w:lang w:val="uk-UA"/>
                              </w:rPr>
                              <w:t xml:space="preserve">Чутливість (95% ДІ) </w:t>
                            </w:r>
                            <w:r>
                              <w:rPr>
                                <w:rFonts w:asciiTheme="minorHAnsi" w:hAnsiTheme="minorHAnsi" w:cstheme="minorHAnsi"/>
                                <w:b/>
                                <w:sz w:val="17"/>
                                <w:szCs w:val="17"/>
                                <w:lang w:val="uk-UA"/>
                              </w:rPr>
                              <w:t xml:space="preserve">  </w:t>
                            </w:r>
                            <w:r w:rsidRPr="009376E1">
                              <w:rPr>
                                <w:rFonts w:asciiTheme="minorHAnsi" w:hAnsiTheme="minorHAnsi" w:cstheme="minorHAnsi"/>
                                <w:b/>
                                <w:sz w:val="17"/>
                                <w:szCs w:val="17"/>
                                <w:lang w:val="uk-UA"/>
                              </w:rPr>
                              <w:t>Специфічність (95% 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9A2E5" id="Поле 1556540246" o:spid="_x0000_s1106" type="#_x0000_t202" style="position:absolute;margin-left:14.9pt;margin-top:4.05pt;width:494pt;height:19.6pt;z-index:4881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" fillcolor="white [3212]" stroked="f" strokeweight=".5pt">
                <v:textbox>
                  <w:txbxContent>
                    <w:p w14:paraId="256D5FFE" w14:textId="55671314" w:rsidR="007372B2" w:rsidRPr="009376E1" w:rsidRDefault="007372B2" w:rsidP="009376E1">
                      <w:pPr>
                        <w:ind w:left="2160" w:hanging="2018"/>
                        <w:rPr>
                          <w:rFonts w:asciiTheme="minorHAnsi" w:hAnsiTheme="minorHAnsi" w:cstheme="minorHAnsi"/>
                          <w:b/>
                          <w:sz w:val="17"/>
                          <w:szCs w:val="17"/>
                          <w:lang w:val="uk-UA"/>
                        </w:rPr>
                      </w:pPr>
                      <w:r w:rsidRPr="009376E1">
                        <w:rPr>
                          <w:rFonts w:asciiTheme="minorHAnsi" w:hAnsiTheme="minorHAnsi" w:cstheme="minorHAnsi"/>
                          <w:b/>
                          <w:sz w:val="17"/>
                          <w:szCs w:val="17"/>
                          <w:lang w:val="uk-UA"/>
                        </w:rPr>
                        <w:t xml:space="preserve">Дослідження         </w:t>
                      </w:r>
                      <w:r>
                        <w:rPr>
                          <w:rFonts w:asciiTheme="minorHAnsi" w:hAnsiTheme="minorHAnsi" w:cstheme="minorHAnsi"/>
                          <w:b/>
                          <w:sz w:val="17"/>
                          <w:szCs w:val="17"/>
                          <w:lang w:val="uk-UA"/>
                        </w:rPr>
                        <w:t xml:space="preserve">  </w:t>
                      </w:r>
                      <w:r w:rsidRPr="009376E1">
                        <w:rPr>
                          <w:rFonts w:asciiTheme="minorHAnsi" w:hAnsiTheme="minorHAnsi" w:cstheme="minorHAnsi"/>
                          <w:b/>
                          <w:sz w:val="17"/>
                          <w:szCs w:val="17"/>
                        </w:rPr>
                        <w:t xml:space="preserve">TP   </w:t>
                      </w:r>
                      <w:r>
                        <w:rPr>
                          <w:rFonts w:asciiTheme="minorHAnsi" w:hAnsiTheme="minorHAnsi" w:cstheme="minorHAnsi"/>
                          <w:b/>
                          <w:sz w:val="17"/>
                          <w:szCs w:val="17"/>
                          <w:lang w:val="uk-UA"/>
                        </w:rPr>
                        <w:t xml:space="preserve"> </w:t>
                      </w:r>
                      <w:r w:rsidRPr="009376E1">
                        <w:rPr>
                          <w:rFonts w:asciiTheme="minorHAnsi" w:hAnsiTheme="minorHAnsi" w:cstheme="minorHAnsi"/>
                          <w:b/>
                          <w:sz w:val="17"/>
                          <w:szCs w:val="17"/>
                        </w:rPr>
                        <w:t xml:space="preserve">FP   </w:t>
                      </w:r>
                      <w:r w:rsidRPr="009376E1">
                        <w:rPr>
                          <w:rFonts w:asciiTheme="minorHAnsi" w:hAnsiTheme="minorHAnsi" w:cstheme="minorHAnsi"/>
                          <w:b/>
                          <w:sz w:val="17"/>
                          <w:szCs w:val="17"/>
                          <w:lang w:val="uk-UA"/>
                        </w:rPr>
                        <w:t xml:space="preserve"> </w:t>
                      </w:r>
                      <w:r w:rsidRPr="009376E1">
                        <w:rPr>
                          <w:rFonts w:asciiTheme="minorHAnsi" w:hAnsiTheme="minorHAnsi" w:cstheme="minorHAnsi"/>
                          <w:b/>
                          <w:sz w:val="17"/>
                          <w:szCs w:val="17"/>
                        </w:rPr>
                        <w:t xml:space="preserve">FN  TN   </w:t>
                      </w:r>
                      <w:r>
                        <w:rPr>
                          <w:rFonts w:asciiTheme="minorHAnsi" w:hAnsiTheme="minorHAnsi" w:cstheme="minorHAnsi"/>
                          <w:b/>
                          <w:sz w:val="17"/>
                          <w:szCs w:val="17"/>
                          <w:lang w:val="uk-UA"/>
                        </w:rPr>
                        <w:t xml:space="preserve">   </w:t>
                      </w:r>
                      <w:r w:rsidRPr="009376E1">
                        <w:rPr>
                          <w:rFonts w:asciiTheme="minorHAnsi" w:hAnsiTheme="minorHAnsi" w:cstheme="minorHAnsi"/>
                          <w:b/>
                          <w:sz w:val="17"/>
                          <w:szCs w:val="17"/>
                          <w:lang w:val="uk-UA"/>
                        </w:rPr>
                        <w:t xml:space="preserve">Чутливість (95% ДІ) Специфічність (95% ДІ)  </w:t>
                      </w:r>
                      <w:r w:rsidR="00E6199E">
                        <w:rPr>
                          <w:rFonts w:asciiTheme="minorHAnsi" w:hAnsiTheme="minorHAnsi" w:cstheme="minorHAnsi"/>
                          <w:b/>
                          <w:sz w:val="17"/>
                          <w:szCs w:val="17"/>
                          <w:lang w:val="uk-UA"/>
                        </w:rPr>
                        <w:t xml:space="preserve">  </w:t>
                      </w:r>
                      <w:r w:rsidRPr="009376E1">
                        <w:rPr>
                          <w:rFonts w:asciiTheme="minorHAnsi" w:hAnsiTheme="minorHAnsi" w:cstheme="minorHAnsi"/>
                          <w:b/>
                          <w:sz w:val="17"/>
                          <w:szCs w:val="17"/>
                          <w:lang w:val="uk-UA"/>
                        </w:rPr>
                        <w:t xml:space="preserve">Чутливість (95% ДІ) </w:t>
                      </w:r>
                      <w:r>
                        <w:rPr>
                          <w:rFonts w:asciiTheme="minorHAnsi" w:hAnsiTheme="minorHAnsi" w:cstheme="minorHAnsi"/>
                          <w:b/>
                          <w:sz w:val="17"/>
                          <w:szCs w:val="17"/>
                          <w:lang w:val="uk-UA"/>
                        </w:rPr>
                        <w:t xml:space="preserve">  </w:t>
                      </w:r>
                      <w:r w:rsidRPr="009376E1">
                        <w:rPr>
                          <w:rFonts w:asciiTheme="minorHAnsi" w:hAnsiTheme="minorHAnsi" w:cstheme="minorHAnsi"/>
                          <w:b/>
                          <w:sz w:val="17"/>
                          <w:szCs w:val="17"/>
                          <w:lang w:val="uk-UA"/>
                        </w:rPr>
                        <w:t>Специфічність (95% ДІ)</w:t>
                      </w:r>
                    </w:p>
                  </w:txbxContent>
                </v:textbox>
                <w10:wrap anchorx="margin"/>
              </v:shape>
            </w:pict>
          </mc:Fallback>
        </mc:AlternateContent>
      </w:r>
    </w:p>
    <w:p w14:paraId="484D6D74" w14:textId="73BA3730" w:rsidR="009376E1" w:rsidRDefault="009376E1" w:rsidP="004D5917">
      <w:pPr>
        <w:ind w:right="140"/>
        <w:rPr>
          <w:lang w:val="uk-UA"/>
        </w:rPr>
      </w:pPr>
    </w:p>
    <w:p w14:paraId="4F80791F" w14:textId="7A10CABF" w:rsidR="009376E1" w:rsidRDefault="009376E1" w:rsidP="004D5917">
      <w:pPr>
        <w:ind w:right="140"/>
        <w:rPr>
          <w:rFonts w:ascii="Trebuchet MS"/>
          <w:sz w:val="21"/>
          <w:lang w:val="uk-UA"/>
        </w:rPr>
      </w:pPr>
      <w:r>
        <w:rPr>
          <w:rFonts w:ascii="Trebuchet MS"/>
          <w:noProof/>
          <w:sz w:val="21"/>
          <w:lang w:val="uk-UA"/>
        </w:rPr>
        <mc:AlternateContent>
          <mc:Choice Requires="wps">
            <w:drawing>
              <wp:anchor distT="0" distB="0" distL="114300" distR="114300" simplePos="0" relativeHeight="488133120" behindDoc="0" locked="0" layoutInCell="1" allowOverlap="1" wp14:anchorId="713EE929" wp14:editId="1833EC69">
                <wp:simplePos x="0" y="0"/>
                <wp:positionH relativeFrom="column">
                  <wp:posOffset>256955</wp:posOffset>
                </wp:positionH>
                <wp:positionV relativeFrom="paragraph">
                  <wp:posOffset>10041</wp:posOffset>
                </wp:positionV>
                <wp:extent cx="6110938" cy="561314"/>
                <wp:effectExtent l="0" t="0" r="4445" b="0"/>
                <wp:wrapNone/>
                <wp:docPr id="1457029593" name="Поле 2329"/>
                <wp:cNvGraphicFramePr/>
                <a:graphic xmlns:a="http://schemas.openxmlformats.org/drawingml/2006/main">
                  <a:graphicData uri="http://schemas.microsoft.com/office/word/2010/wordprocessingShape">
                    <wps:wsp>
                      <wps:cNvSpPr txBox="1"/>
                      <wps:spPr>
                        <a:xfrm>
                          <a:off x="0" y="0"/>
                          <a:ext cx="6110938" cy="561314"/>
                        </a:xfrm>
                        <a:prstGeom prst="rect">
                          <a:avLst/>
                        </a:prstGeom>
                        <a:solidFill>
                          <a:schemeClr val="lt1"/>
                        </a:solidFill>
                        <a:ln w="6350">
                          <a:noFill/>
                        </a:ln>
                      </wps:spPr>
                      <wps:txbx>
                        <w:txbxContent>
                          <w:p w14:paraId="797A4F05" w14:textId="5FF19309" w:rsidR="007372B2" w:rsidRPr="009376E1" w:rsidRDefault="007372B2">
                            <w:pPr>
                              <w:rPr>
                                <w:lang w:val="uk-UA"/>
                              </w:rPr>
                            </w:pPr>
                            <w:r>
                              <w:rPr>
                                <w:noProof/>
                              </w:rPr>
                              <w:drawing>
                                <wp:inline distT="0" distB="0" distL="0" distR="0" wp14:anchorId="51A2A9C5" wp14:editId="7C802FD7">
                                  <wp:extent cx="6174464" cy="462915"/>
                                  <wp:effectExtent l="0" t="0" r="0" b="0"/>
                                  <wp:docPr id="987086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8686" name=""/>
                                          <pic:cNvPicPr/>
                                        </pic:nvPicPr>
                                        <pic:blipFill>
                                          <a:blip r:embed="rId97"/>
                                          <a:stretch>
                                            <a:fillRect/>
                                          </a:stretch>
                                        </pic:blipFill>
                                        <pic:spPr>
                                          <a:xfrm>
                                            <a:off x="0" y="0"/>
                                            <a:ext cx="6191809" cy="464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3EE929" id="Поле 2329" o:spid="_x0000_s1107" type="#_x0000_t202" style="position:absolute;margin-left:20.25pt;margin-top:.8pt;width:481.2pt;height:44.2pt;z-index:48813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" fillcolor="white [3201]" stroked="f" strokeweight=".5pt">
                <v:textbox>
                  <w:txbxContent>
                    <w:p w14:paraId="797A4F05" w14:textId="5FF19309" w:rsidR="007372B2" w:rsidRPr="009376E1" w:rsidRDefault="007372B2">
                      <w:pPr>
                        <w:rPr>
                          <w:lang w:val="uk-UA"/>
                        </w:rPr>
                      </w:pPr>
                      <w:r>
                        <w:rPr>
                          <w:noProof/>
                        </w:rPr>
                        <w:drawing>
                          <wp:inline distT="0" distB="0" distL="0" distR="0" wp14:anchorId="51A2A9C5" wp14:editId="7C802FD7">
                            <wp:extent cx="6174464" cy="462915"/>
                            <wp:effectExtent l="0" t="0" r="0" b="0"/>
                            <wp:docPr id="987086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8686" name=""/>
                                    <pic:cNvPicPr/>
                                  </pic:nvPicPr>
                                  <pic:blipFill>
                                    <a:blip r:embed="rId97"/>
                                    <a:stretch>
                                      <a:fillRect/>
                                    </a:stretch>
                                  </pic:blipFill>
                                  <pic:spPr>
                                    <a:xfrm>
                                      <a:off x="0" y="0"/>
                                      <a:ext cx="6191809" cy="464215"/>
                                    </a:xfrm>
                                    <a:prstGeom prst="rect">
                                      <a:avLst/>
                                    </a:prstGeom>
                                  </pic:spPr>
                                </pic:pic>
                              </a:graphicData>
                            </a:graphic>
                          </wp:inline>
                        </w:drawing>
                      </w:r>
                    </w:p>
                  </w:txbxContent>
                </v:textbox>
              </v:shape>
            </w:pict>
          </mc:Fallback>
        </mc:AlternateContent>
      </w:r>
    </w:p>
    <w:p w14:paraId="32BD9829" w14:textId="490F3DA7" w:rsidR="009376E1" w:rsidRDefault="009376E1" w:rsidP="004D5917">
      <w:pPr>
        <w:ind w:right="140"/>
        <w:rPr>
          <w:rFonts w:ascii="Trebuchet MS"/>
          <w:sz w:val="21"/>
          <w:lang w:val="uk-UA"/>
        </w:rPr>
      </w:pPr>
    </w:p>
    <w:p w14:paraId="7759A430" w14:textId="13CB15E5" w:rsidR="009376E1" w:rsidRDefault="009376E1" w:rsidP="004D5917">
      <w:pPr>
        <w:ind w:right="140"/>
        <w:rPr>
          <w:rFonts w:ascii="Trebuchet MS"/>
          <w:sz w:val="21"/>
          <w:lang w:val="uk-UA"/>
        </w:rPr>
      </w:pPr>
    </w:p>
    <w:p w14:paraId="2CBEBE5D" w14:textId="7A1633A9" w:rsidR="009376E1" w:rsidRDefault="009376E1" w:rsidP="004D5917">
      <w:pPr>
        <w:ind w:right="140"/>
        <w:rPr>
          <w:rFonts w:ascii="Trebuchet MS"/>
          <w:sz w:val="21"/>
          <w:lang w:val="uk-UA"/>
        </w:rPr>
      </w:pPr>
    </w:p>
    <w:p w14:paraId="21213CEF" w14:textId="24A11E0E" w:rsidR="009376E1" w:rsidRDefault="009376E1" w:rsidP="004D5917">
      <w:pPr>
        <w:ind w:right="140"/>
        <w:rPr>
          <w:rFonts w:ascii="Trebuchet MS"/>
          <w:sz w:val="21"/>
          <w:lang w:val="uk-UA"/>
        </w:rPr>
      </w:pPr>
    </w:p>
    <w:p w14:paraId="7FCE4A7A" w14:textId="77777777" w:rsidR="009376E1" w:rsidRDefault="009376E1" w:rsidP="004D5917">
      <w:pPr>
        <w:ind w:right="140"/>
        <w:rPr>
          <w:rFonts w:ascii="Trebuchet MS"/>
          <w:sz w:val="21"/>
          <w:lang w:val="uk-UA"/>
        </w:rPr>
      </w:pPr>
    </w:p>
    <w:p w14:paraId="75E7C713" w14:textId="77777777" w:rsidR="009376E1" w:rsidRDefault="009376E1" w:rsidP="004D5917">
      <w:pPr>
        <w:ind w:right="140"/>
        <w:rPr>
          <w:rFonts w:ascii="Trebuchet MS"/>
          <w:sz w:val="21"/>
          <w:lang w:val="uk-UA"/>
        </w:rPr>
      </w:pPr>
    </w:p>
    <w:p w14:paraId="74E90660" w14:textId="77777777" w:rsidR="009376E1" w:rsidRDefault="009376E1" w:rsidP="004D5917">
      <w:pPr>
        <w:ind w:right="140"/>
        <w:rPr>
          <w:rFonts w:ascii="Trebuchet MS"/>
          <w:sz w:val="21"/>
          <w:lang w:val="uk-UA"/>
        </w:rPr>
      </w:pPr>
    </w:p>
    <w:p w14:paraId="53211DB3" w14:textId="77777777" w:rsidR="009376E1" w:rsidRDefault="009376E1" w:rsidP="004D5917">
      <w:pPr>
        <w:ind w:right="140"/>
        <w:rPr>
          <w:rFonts w:ascii="Trebuchet MS"/>
          <w:sz w:val="21"/>
          <w:lang w:val="uk-UA"/>
        </w:rPr>
      </w:pPr>
    </w:p>
    <w:p w14:paraId="36B37562" w14:textId="77777777" w:rsidR="009376E1" w:rsidRDefault="009376E1" w:rsidP="004D5917">
      <w:pPr>
        <w:ind w:right="140"/>
        <w:rPr>
          <w:rFonts w:ascii="Trebuchet MS"/>
          <w:sz w:val="21"/>
          <w:lang w:val="uk-UA"/>
        </w:rPr>
      </w:pPr>
    </w:p>
    <w:p w14:paraId="42276BFA" w14:textId="77777777" w:rsidR="009376E1" w:rsidRDefault="009376E1" w:rsidP="004D5917">
      <w:pPr>
        <w:ind w:right="140"/>
        <w:rPr>
          <w:rFonts w:ascii="Trebuchet MS"/>
          <w:sz w:val="21"/>
          <w:lang w:val="uk-UA"/>
        </w:rPr>
      </w:pPr>
    </w:p>
    <w:p w14:paraId="55B7C720" w14:textId="77777777" w:rsidR="009376E1" w:rsidRDefault="009376E1" w:rsidP="004D5917">
      <w:pPr>
        <w:ind w:right="140"/>
        <w:rPr>
          <w:rFonts w:ascii="Trebuchet MS"/>
          <w:sz w:val="21"/>
          <w:lang w:val="uk-UA"/>
        </w:rPr>
      </w:pPr>
    </w:p>
    <w:p w14:paraId="02C31C57" w14:textId="77777777" w:rsidR="009376E1" w:rsidRDefault="009376E1" w:rsidP="004D5917">
      <w:pPr>
        <w:ind w:right="140"/>
        <w:rPr>
          <w:rFonts w:ascii="Trebuchet MS"/>
          <w:sz w:val="21"/>
          <w:lang w:val="uk-UA"/>
        </w:rPr>
      </w:pPr>
    </w:p>
    <w:p w14:paraId="5D74BD69" w14:textId="77777777" w:rsidR="009376E1" w:rsidRDefault="009376E1" w:rsidP="004D5917">
      <w:pPr>
        <w:ind w:right="140"/>
        <w:rPr>
          <w:rFonts w:ascii="Trebuchet MS"/>
          <w:sz w:val="21"/>
          <w:lang w:val="uk-UA"/>
        </w:rPr>
      </w:pPr>
    </w:p>
    <w:p w14:paraId="46657566" w14:textId="77777777" w:rsidR="009376E1" w:rsidRDefault="009376E1" w:rsidP="004D5917">
      <w:pPr>
        <w:ind w:right="140"/>
        <w:rPr>
          <w:rFonts w:ascii="Trebuchet MS"/>
          <w:sz w:val="21"/>
          <w:lang w:val="uk-UA"/>
        </w:rPr>
      </w:pPr>
    </w:p>
    <w:p w14:paraId="1A606FA6" w14:textId="77777777" w:rsidR="009376E1" w:rsidRDefault="009376E1" w:rsidP="004D5917">
      <w:pPr>
        <w:ind w:right="140"/>
        <w:rPr>
          <w:rFonts w:ascii="Trebuchet MS"/>
          <w:sz w:val="21"/>
          <w:lang w:val="uk-UA"/>
        </w:rPr>
      </w:pPr>
    </w:p>
    <w:p w14:paraId="47301717" w14:textId="77777777" w:rsidR="009376E1" w:rsidRDefault="009376E1" w:rsidP="004D5917">
      <w:pPr>
        <w:ind w:right="140"/>
        <w:rPr>
          <w:rFonts w:ascii="Trebuchet MS"/>
          <w:sz w:val="21"/>
          <w:lang w:val="uk-UA"/>
        </w:rPr>
      </w:pPr>
    </w:p>
    <w:p w14:paraId="6C358D14" w14:textId="77777777" w:rsidR="009376E1" w:rsidRDefault="009376E1" w:rsidP="004D5917">
      <w:pPr>
        <w:ind w:right="140"/>
        <w:rPr>
          <w:rFonts w:ascii="Trebuchet MS"/>
          <w:sz w:val="21"/>
          <w:lang w:val="uk-UA"/>
        </w:rPr>
      </w:pPr>
    </w:p>
    <w:p w14:paraId="00F5F077" w14:textId="77777777" w:rsidR="009376E1" w:rsidRDefault="009376E1" w:rsidP="004D5917">
      <w:pPr>
        <w:ind w:right="140"/>
        <w:rPr>
          <w:rFonts w:ascii="Trebuchet MS"/>
          <w:sz w:val="21"/>
          <w:lang w:val="uk-UA"/>
        </w:rPr>
      </w:pPr>
    </w:p>
    <w:p w14:paraId="63118E65" w14:textId="77777777" w:rsidR="009376E1" w:rsidRDefault="009376E1" w:rsidP="004D5917">
      <w:pPr>
        <w:ind w:right="140"/>
        <w:rPr>
          <w:rFonts w:ascii="Trebuchet MS"/>
          <w:sz w:val="21"/>
          <w:lang w:val="uk-UA"/>
        </w:rPr>
      </w:pPr>
    </w:p>
    <w:p w14:paraId="51264578" w14:textId="77777777" w:rsidR="009376E1" w:rsidRDefault="009376E1" w:rsidP="004D5917">
      <w:pPr>
        <w:ind w:right="140"/>
        <w:rPr>
          <w:rFonts w:ascii="Trebuchet MS"/>
          <w:sz w:val="21"/>
          <w:lang w:val="uk-UA"/>
        </w:rPr>
      </w:pPr>
    </w:p>
    <w:p w14:paraId="7AC10F71" w14:textId="77777777" w:rsidR="009376E1" w:rsidRDefault="009376E1" w:rsidP="004D5917">
      <w:pPr>
        <w:ind w:right="140"/>
        <w:rPr>
          <w:rFonts w:ascii="Trebuchet MS"/>
          <w:sz w:val="21"/>
          <w:lang w:val="uk-UA"/>
        </w:rPr>
      </w:pPr>
    </w:p>
    <w:p w14:paraId="0203DEC2" w14:textId="77777777" w:rsidR="009376E1" w:rsidRDefault="009376E1" w:rsidP="004D5917">
      <w:pPr>
        <w:ind w:right="140"/>
        <w:rPr>
          <w:rFonts w:ascii="Trebuchet MS"/>
          <w:sz w:val="21"/>
          <w:lang w:val="uk-UA"/>
        </w:rPr>
      </w:pPr>
    </w:p>
    <w:p w14:paraId="409F0964" w14:textId="77777777" w:rsidR="009376E1" w:rsidRDefault="009376E1" w:rsidP="004D5917">
      <w:pPr>
        <w:ind w:right="140"/>
        <w:rPr>
          <w:rFonts w:ascii="Trebuchet MS"/>
          <w:sz w:val="21"/>
          <w:lang w:val="uk-UA"/>
        </w:rPr>
      </w:pPr>
    </w:p>
    <w:p w14:paraId="71D3652C" w14:textId="77777777" w:rsidR="009376E1" w:rsidRDefault="009376E1" w:rsidP="004D5917">
      <w:pPr>
        <w:ind w:right="140"/>
        <w:rPr>
          <w:rFonts w:ascii="Trebuchet MS"/>
          <w:sz w:val="21"/>
          <w:lang w:val="uk-UA"/>
        </w:rPr>
      </w:pPr>
    </w:p>
    <w:p w14:paraId="236A9DEA" w14:textId="77777777" w:rsidR="009376E1" w:rsidRDefault="009376E1" w:rsidP="004D5917">
      <w:pPr>
        <w:ind w:right="140"/>
        <w:rPr>
          <w:rFonts w:ascii="Trebuchet MS"/>
          <w:sz w:val="21"/>
          <w:lang w:val="uk-UA"/>
        </w:rPr>
      </w:pPr>
    </w:p>
    <w:p w14:paraId="3B6EF15D" w14:textId="77777777" w:rsidR="009376E1" w:rsidRDefault="009376E1" w:rsidP="004D5917">
      <w:pPr>
        <w:ind w:right="140"/>
        <w:rPr>
          <w:rFonts w:ascii="Trebuchet MS"/>
          <w:sz w:val="21"/>
          <w:lang w:val="uk-UA"/>
        </w:rPr>
      </w:pPr>
    </w:p>
    <w:p w14:paraId="4F1CE587" w14:textId="77777777" w:rsidR="009376E1" w:rsidRDefault="009376E1" w:rsidP="004D5917">
      <w:pPr>
        <w:ind w:right="140"/>
        <w:rPr>
          <w:rFonts w:ascii="Trebuchet MS"/>
          <w:sz w:val="21"/>
          <w:lang w:val="uk-UA"/>
        </w:rPr>
      </w:pPr>
    </w:p>
    <w:p w14:paraId="2F78436B" w14:textId="77777777" w:rsidR="009376E1" w:rsidRDefault="009376E1" w:rsidP="004D5917">
      <w:pPr>
        <w:ind w:right="140"/>
        <w:rPr>
          <w:rFonts w:ascii="Trebuchet MS"/>
          <w:sz w:val="21"/>
          <w:lang w:val="uk-UA"/>
        </w:rPr>
      </w:pPr>
    </w:p>
    <w:p w14:paraId="47CE470B" w14:textId="77777777" w:rsidR="009376E1" w:rsidRDefault="009376E1" w:rsidP="004D5917">
      <w:pPr>
        <w:ind w:right="140"/>
        <w:rPr>
          <w:rFonts w:ascii="Trebuchet MS"/>
          <w:sz w:val="21"/>
          <w:lang w:val="uk-UA"/>
        </w:rPr>
      </w:pPr>
    </w:p>
    <w:p w14:paraId="397DF2FE" w14:textId="77777777" w:rsidR="009376E1" w:rsidRDefault="009376E1" w:rsidP="004D5917">
      <w:pPr>
        <w:ind w:right="140"/>
        <w:rPr>
          <w:rFonts w:ascii="Trebuchet MS"/>
          <w:sz w:val="21"/>
          <w:lang w:val="uk-UA"/>
        </w:rPr>
      </w:pPr>
    </w:p>
    <w:p w14:paraId="6B481163" w14:textId="77777777" w:rsidR="009376E1" w:rsidRPr="003C6DAE" w:rsidRDefault="009376E1" w:rsidP="004D5917">
      <w:pPr>
        <w:ind w:right="140"/>
        <w:rPr>
          <w:rFonts w:ascii="Trebuchet MS"/>
          <w:sz w:val="21"/>
          <w:lang w:val="uk-UA"/>
        </w:rPr>
        <w:sectPr w:rsidR="009376E1" w:rsidRPr="003C6DAE" w:rsidSect="004D5917">
          <w:type w:val="continuous"/>
          <w:pgSz w:w="11910" w:h="16840"/>
          <w:pgMar w:top="1920" w:right="995" w:bottom="280" w:left="850" w:header="0" w:footer="573" w:gutter="0"/>
          <w:cols w:num="6" w:space="720" w:equalWidth="0">
            <w:col w:w="1687" w:space="40"/>
            <w:col w:w="1394" w:space="39"/>
            <w:col w:w="1528" w:space="39"/>
            <w:col w:w="1526" w:space="39"/>
            <w:col w:w="1557" w:space="39"/>
            <w:col w:w="1897"/>
          </w:cols>
        </w:sectPr>
      </w:pPr>
    </w:p>
    <w:p w14:paraId="32B215FE" w14:textId="00437562" w:rsidR="00E05B98" w:rsidRPr="0067671C" w:rsidRDefault="00584509" w:rsidP="004D5917">
      <w:pPr>
        <w:spacing w:line="254" w:lineRule="auto"/>
        <w:ind w:left="567" w:right="140"/>
        <w:jc w:val="both"/>
        <w:rPr>
          <w:sz w:val="15"/>
          <w:szCs w:val="15"/>
          <w:lang w:val="uk-UA"/>
        </w:rPr>
      </w:pPr>
      <w:r w:rsidRPr="0067671C">
        <w:rPr>
          <w:sz w:val="15"/>
          <w:szCs w:val="15"/>
          <w:lang w:val="uk-UA"/>
        </w:rPr>
        <w:t>ДІ: довірчий інтервал; СМР: спинномозкова рідина; FN: хибнонегативний результат; FP: хибнопозитивний результат; рТАНК-НС: ручний тест ампліфікаці</w:t>
      </w:r>
      <w:r w:rsidR="00361B88">
        <w:rPr>
          <w:sz w:val="15"/>
          <w:szCs w:val="15"/>
          <w:lang w:val="uk-UA"/>
        </w:rPr>
        <w:t>ї</w:t>
      </w:r>
      <w:r w:rsidRPr="0067671C">
        <w:rPr>
          <w:sz w:val="15"/>
          <w:szCs w:val="15"/>
          <w:lang w:val="uk-UA"/>
        </w:rPr>
        <w:t xml:space="preserve"> нуклеїнових кислот низької складності; MRS: мікробіологічний еталонний стандарт; ТБ: туберкульоз; TN: істинно негативний результат; TP: істинно позитивний результат</w:t>
      </w:r>
      <w:r w:rsidR="00B01E0C" w:rsidRPr="0067671C">
        <w:rPr>
          <w:sz w:val="15"/>
          <w:szCs w:val="15"/>
          <w:lang w:val="uk-UA"/>
        </w:rPr>
        <w:t>.</w:t>
      </w:r>
    </w:p>
    <w:p w14:paraId="75026DAA" w14:textId="389D290D" w:rsidR="00E05B98" w:rsidRPr="003C6DAE" w:rsidRDefault="00E05B98" w:rsidP="004D5917">
      <w:pPr>
        <w:pStyle w:val="a3"/>
        <w:spacing w:before="164"/>
        <w:ind w:right="140"/>
        <w:rPr>
          <w:sz w:val="18"/>
          <w:lang w:val="uk-UA"/>
        </w:rPr>
      </w:pPr>
    </w:p>
    <w:p w14:paraId="7935FC07" w14:textId="531572A6" w:rsidR="00E05B98" w:rsidRPr="00584509" w:rsidRDefault="00584509" w:rsidP="004D5917">
      <w:pPr>
        <w:pStyle w:val="5"/>
        <w:spacing w:before="1"/>
        <w:ind w:right="140"/>
        <w:jc w:val="both"/>
        <w:rPr>
          <w:sz w:val="26"/>
          <w:szCs w:val="26"/>
          <w:lang w:val="uk-UA"/>
        </w:rPr>
      </w:pPr>
      <w:r w:rsidRPr="00584509">
        <w:rPr>
          <w:color w:val="019648"/>
          <w:spacing w:val="-2"/>
          <w:w w:val="110"/>
          <w:sz w:val="26"/>
          <w:szCs w:val="26"/>
          <w:lang w:val="uk-UA"/>
        </w:rPr>
        <w:t>Виявлення позалегеневого туберкульозу</w:t>
      </w:r>
    </w:p>
    <w:p w14:paraId="2712A0B1" w14:textId="3575AAD3" w:rsidR="00E05B98" w:rsidRPr="00584509" w:rsidRDefault="00584509" w:rsidP="0067671C">
      <w:pPr>
        <w:pStyle w:val="7"/>
        <w:spacing w:before="230" w:line="249" w:lineRule="auto"/>
        <w:jc w:val="both"/>
        <w:rPr>
          <w:sz w:val="22"/>
          <w:szCs w:val="22"/>
          <w:lang w:val="uk-UA"/>
        </w:rPr>
      </w:pPr>
      <w:r w:rsidRPr="00584509">
        <w:rPr>
          <w:color w:val="019648"/>
          <w:spacing w:val="-2"/>
          <w:w w:val="105"/>
          <w:sz w:val="22"/>
          <w:szCs w:val="22"/>
          <w:lang w:val="uk-UA"/>
        </w:rPr>
        <w:t xml:space="preserve">Чи слід використовувати рТАНК-НС на зразках тканини лімфатичних вузлів для діагностики ТБ лімфатичних вузлів у дорослих та підлітків з ознаками та симптомами ТБ лімфатичних вузлів на противагу </w:t>
      </w:r>
      <w:r w:rsidR="0067671C">
        <w:rPr>
          <w:color w:val="019648"/>
          <w:spacing w:val="-2"/>
          <w:w w:val="105"/>
          <w:sz w:val="22"/>
          <w:szCs w:val="22"/>
          <w:lang w:val="uk-UA"/>
        </w:rPr>
        <w:t>мікробіологічному еталонному стандарту</w:t>
      </w:r>
      <w:r w:rsidRPr="00584509">
        <w:rPr>
          <w:color w:val="019648"/>
          <w:spacing w:val="-2"/>
          <w:w w:val="105"/>
          <w:sz w:val="22"/>
          <w:szCs w:val="22"/>
          <w:lang w:val="uk-UA"/>
        </w:rPr>
        <w:t>?</w:t>
      </w:r>
    </w:p>
    <w:p w14:paraId="10AB5B6E" w14:textId="4D764B24" w:rsidR="00E05B98" w:rsidRPr="00584509" w:rsidRDefault="00584509" w:rsidP="00584509">
      <w:pPr>
        <w:pStyle w:val="a3"/>
        <w:spacing w:before="218" w:line="269" w:lineRule="auto"/>
        <w:ind w:left="567"/>
        <w:jc w:val="both"/>
        <w:rPr>
          <w:sz w:val="20"/>
          <w:szCs w:val="20"/>
          <w:lang w:val="uk-UA"/>
        </w:rPr>
      </w:pPr>
      <w:r w:rsidRPr="00584509">
        <w:rPr>
          <w:spacing w:val="-6"/>
          <w:sz w:val="20"/>
          <w:szCs w:val="20"/>
          <w:lang w:val="uk-UA"/>
        </w:rPr>
        <w:t>У трьох дослідженнях (95 учасників, в тому числі 35 осіб з ТБ) оцінювали точність рТАНК-НС для виявлення ТБ лімфатичних вузлів, використовуючи зразки тканини лімфатичних вузлів, отриман</w:t>
      </w:r>
      <w:r w:rsidR="0067671C">
        <w:rPr>
          <w:spacing w:val="-6"/>
          <w:sz w:val="20"/>
          <w:szCs w:val="20"/>
          <w:lang w:val="uk-UA"/>
        </w:rPr>
        <w:t>их</w:t>
      </w:r>
      <w:r w:rsidRPr="00584509">
        <w:rPr>
          <w:spacing w:val="-6"/>
          <w:sz w:val="20"/>
          <w:szCs w:val="20"/>
          <w:lang w:val="uk-UA"/>
        </w:rPr>
        <w:t xml:space="preserve"> шляхом біопсії, та </w:t>
      </w:r>
      <w:r w:rsidR="0067671C">
        <w:rPr>
          <w:spacing w:val="-6"/>
          <w:sz w:val="20"/>
          <w:szCs w:val="20"/>
          <w:lang w:val="uk-UA"/>
        </w:rPr>
        <w:t>мікробіологічного еталонного стандарту</w:t>
      </w:r>
      <w:r w:rsidRPr="00584509">
        <w:rPr>
          <w:spacing w:val="-6"/>
          <w:sz w:val="20"/>
          <w:szCs w:val="20"/>
          <w:lang w:val="uk-UA"/>
        </w:rPr>
        <w:t xml:space="preserve"> (</w:t>
      </w:r>
      <w:r w:rsidRPr="00584509">
        <w:rPr>
          <w:b/>
          <w:bCs/>
          <w:spacing w:val="-6"/>
          <w:sz w:val="20"/>
          <w:szCs w:val="20"/>
          <w:lang w:val="uk-UA"/>
        </w:rPr>
        <w:t>Рис. 2.2.1.8</w:t>
      </w:r>
      <w:r w:rsidRPr="00584509">
        <w:rPr>
          <w:spacing w:val="-6"/>
          <w:sz w:val="20"/>
          <w:szCs w:val="20"/>
          <w:lang w:val="uk-UA"/>
        </w:rPr>
        <w:t>). Розрахункова чутливість становила від 93% до 100%, а специфічність – від 88% до 100%. Загальна чутливість становила 94,3% (95% ДІ: 79,8–98,6), а загальна специфічність – 90,0% (95% ДІ: 79,5–95,4). Достовірність доказів була низькою як для чутливості, так і для специфічності. Через обмеженість даних,  не було надано  рекомендації щодо використання рТАНК-НС на зразках тканини лімфатичних вузлів для виявлення ТБ лімфатичних вузлів.</w:t>
      </w:r>
    </w:p>
    <w:p w14:paraId="18DF361F" w14:textId="77777777" w:rsidR="00E05B98" w:rsidRPr="00584509" w:rsidRDefault="00E05B98" w:rsidP="00584509">
      <w:pPr>
        <w:pStyle w:val="a3"/>
        <w:spacing w:line="269" w:lineRule="auto"/>
        <w:jc w:val="both"/>
        <w:rPr>
          <w:sz w:val="20"/>
          <w:szCs w:val="20"/>
          <w:lang w:val="uk-UA"/>
        </w:rPr>
        <w:sectPr w:rsidR="00E05B98" w:rsidRPr="00584509" w:rsidSect="00584509">
          <w:type w:val="continuous"/>
          <w:pgSz w:w="11910" w:h="16840"/>
          <w:pgMar w:top="1920" w:right="995" w:bottom="280" w:left="850" w:header="0" w:footer="573" w:gutter="0"/>
          <w:cols w:space="720"/>
        </w:sectPr>
      </w:pPr>
    </w:p>
    <w:p w14:paraId="462C0EB7" w14:textId="2FBC8FF5" w:rsidR="00E05B98" w:rsidRPr="003C6DAE" w:rsidRDefault="00584509" w:rsidP="00584509">
      <w:pPr>
        <w:pStyle w:val="6"/>
        <w:spacing w:line="268" w:lineRule="auto"/>
        <w:rPr>
          <w:lang w:val="uk-UA"/>
        </w:rPr>
      </w:pPr>
      <w:bookmarkStart w:id="51" w:name="_bookmark20"/>
      <w:bookmarkEnd w:id="51"/>
      <w:r>
        <w:rPr>
          <w:color w:val="636466"/>
          <w:sz w:val="20"/>
          <w:szCs w:val="20"/>
          <w:lang w:val="uk-UA"/>
        </w:rPr>
        <w:lastRenderedPageBreak/>
        <w:t>Рис</w:t>
      </w:r>
      <w:r w:rsidR="00B01E0C" w:rsidRPr="00584509">
        <w:rPr>
          <w:color w:val="636466"/>
          <w:sz w:val="20"/>
          <w:szCs w:val="20"/>
          <w:lang w:val="uk-UA"/>
        </w:rPr>
        <w:t xml:space="preserve">. 2.2.1.8 </w:t>
      </w:r>
      <w:r>
        <w:rPr>
          <w:color w:val="636466"/>
          <w:sz w:val="20"/>
          <w:szCs w:val="20"/>
          <w:lang w:val="uk-UA"/>
        </w:rPr>
        <w:t xml:space="preserve"> </w:t>
      </w:r>
      <w:r w:rsidRPr="00584509">
        <w:rPr>
          <w:color w:val="636466"/>
          <w:sz w:val="20"/>
          <w:szCs w:val="20"/>
          <w:lang w:val="uk-UA"/>
        </w:rPr>
        <w:t>Лісова діаграма чутливості та специфічності рТАНК-НС для виявлення ТБ лімфатичних вузлів у зразках тканини лімфатичних вузлів та MRS</w:t>
      </w:r>
    </w:p>
    <w:p w14:paraId="233D58F3" w14:textId="77777777" w:rsidR="00E05B98" w:rsidRPr="00A04BC3" w:rsidRDefault="00E05B98">
      <w:pPr>
        <w:pStyle w:val="a3"/>
        <w:spacing w:before="18"/>
        <w:rPr>
          <w:rFonts w:ascii="Arial"/>
          <w:b/>
          <w:sz w:val="10"/>
          <w:szCs w:val="10"/>
          <w:lang w:val="uk-UA"/>
        </w:rPr>
      </w:pPr>
    </w:p>
    <w:p w14:paraId="66F7F62D" w14:textId="45F8A30D" w:rsidR="00E05B98" w:rsidRPr="003C6DAE" w:rsidRDefault="008D2647" w:rsidP="008D2647">
      <w:pPr>
        <w:pStyle w:val="a3"/>
        <w:spacing w:before="9"/>
        <w:ind w:firstLine="567"/>
        <w:rPr>
          <w:rFonts w:ascii="Trebuchet MS"/>
          <w:sz w:val="13"/>
          <w:lang w:val="uk-UA"/>
        </w:rPr>
      </w:pPr>
      <w:r>
        <w:rPr>
          <w:rFonts w:ascii="Trebuchet MS"/>
          <w:color w:val="333333"/>
          <w:w w:val="85"/>
          <w:sz w:val="17"/>
          <w:lang w:val="uk-UA"/>
        </w:rPr>
        <w:t>Метод</w:t>
      </w:r>
      <w:r>
        <w:rPr>
          <w:rFonts w:ascii="Trebuchet MS"/>
          <w:color w:val="333333"/>
          <w:w w:val="85"/>
          <w:sz w:val="17"/>
          <w:lang w:val="uk-UA"/>
        </w:rPr>
        <w:t xml:space="preserve"> </w:t>
      </w:r>
      <w:r w:rsidR="005E2126" w:rsidRPr="005E2126">
        <w:rPr>
          <w:rFonts w:ascii="Trebuchet MS"/>
          <w:color w:val="333333"/>
          <w:w w:val="85"/>
          <w:sz w:val="17"/>
          <w:lang w:val="uk-UA"/>
        </w:rPr>
        <w:t>TB-LAMP (</w:t>
      </w:r>
      <w:r w:rsidR="005E2126" w:rsidRPr="005E2126">
        <w:rPr>
          <w:rFonts w:ascii="Trebuchet MS"/>
          <w:color w:val="333333"/>
          <w:w w:val="85"/>
          <w:sz w:val="17"/>
          <w:lang w:val="uk-UA"/>
        </w:rPr>
        <w:t>петльова</w:t>
      </w:r>
      <w:r w:rsidR="005E2126" w:rsidRPr="005E2126">
        <w:rPr>
          <w:rFonts w:ascii="Trebuchet MS"/>
          <w:color w:val="333333"/>
          <w:w w:val="85"/>
          <w:sz w:val="17"/>
          <w:lang w:val="uk-UA"/>
        </w:rPr>
        <w:t xml:space="preserve"> </w:t>
      </w:r>
      <w:r w:rsidR="005E2126" w:rsidRPr="005E2126">
        <w:rPr>
          <w:rFonts w:ascii="Trebuchet MS"/>
          <w:color w:val="333333"/>
          <w:w w:val="85"/>
          <w:sz w:val="17"/>
          <w:lang w:val="uk-UA"/>
        </w:rPr>
        <w:t>ізотермічна</w:t>
      </w:r>
      <w:r w:rsidR="005E2126" w:rsidRPr="005E2126">
        <w:rPr>
          <w:rFonts w:ascii="Trebuchet MS"/>
          <w:color w:val="333333"/>
          <w:w w:val="85"/>
          <w:sz w:val="17"/>
          <w:lang w:val="uk-UA"/>
        </w:rPr>
        <w:t xml:space="preserve"> </w:t>
      </w:r>
      <w:r w:rsidR="005E2126" w:rsidRPr="005E2126">
        <w:rPr>
          <w:rFonts w:ascii="Trebuchet MS"/>
          <w:color w:val="333333"/>
          <w:w w:val="85"/>
          <w:sz w:val="17"/>
          <w:lang w:val="uk-UA"/>
        </w:rPr>
        <w:t>ампліфікація</w:t>
      </w:r>
      <w:r w:rsidR="005E2126" w:rsidRPr="005E2126">
        <w:rPr>
          <w:rFonts w:ascii="Trebuchet MS"/>
          <w:color w:val="333333"/>
          <w:w w:val="85"/>
          <w:sz w:val="17"/>
          <w:lang w:val="uk-UA"/>
        </w:rPr>
        <w:t xml:space="preserve"> </w:t>
      </w:r>
      <w:r w:rsidR="005E2126" w:rsidRPr="005E2126">
        <w:rPr>
          <w:rFonts w:ascii="Trebuchet MS"/>
          <w:color w:val="333333"/>
          <w:w w:val="85"/>
          <w:sz w:val="17"/>
          <w:lang w:val="uk-UA"/>
        </w:rPr>
        <w:t>на</w:t>
      </w:r>
      <w:r w:rsidR="005E2126" w:rsidRPr="005E2126">
        <w:rPr>
          <w:rFonts w:ascii="Trebuchet MS"/>
          <w:color w:val="333333"/>
          <w:w w:val="85"/>
          <w:sz w:val="17"/>
          <w:lang w:val="uk-UA"/>
        </w:rPr>
        <w:t xml:space="preserve"> </w:t>
      </w:r>
      <w:r w:rsidR="005E2126" w:rsidRPr="005E2126">
        <w:rPr>
          <w:rFonts w:ascii="Trebuchet MS"/>
          <w:color w:val="333333"/>
          <w:w w:val="85"/>
          <w:sz w:val="17"/>
          <w:lang w:val="uk-UA"/>
        </w:rPr>
        <w:t>МБТК</w:t>
      </w:r>
      <w:r w:rsidR="005E2126" w:rsidRPr="005E2126">
        <w:rPr>
          <w:rFonts w:ascii="Trebuchet MS"/>
          <w:color w:val="333333"/>
          <w:w w:val="85"/>
          <w:sz w:val="17"/>
          <w:lang w:val="uk-UA"/>
        </w:rPr>
        <w:t xml:space="preserve">) </w:t>
      </w:r>
      <w:r w:rsidR="005E2126" w:rsidRPr="005E2126">
        <w:rPr>
          <w:rFonts w:ascii="Trebuchet MS"/>
          <w:color w:val="333333"/>
          <w:w w:val="85"/>
          <w:sz w:val="17"/>
          <w:lang w:val="uk-UA"/>
        </w:rPr>
        <w:t>для</w:t>
      </w:r>
      <w:r w:rsidR="005E2126" w:rsidRPr="005E2126">
        <w:rPr>
          <w:rFonts w:ascii="Trebuchet MS"/>
          <w:color w:val="333333"/>
          <w:w w:val="85"/>
          <w:sz w:val="17"/>
          <w:lang w:val="uk-UA"/>
        </w:rPr>
        <w:t xml:space="preserve"> </w:t>
      </w:r>
      <w:r w:rsidR="005E2126" w:rsidRPr="005E2126">
        <w:rPr>
          <w:rFonts w:ascii="Trebuchet MS"/>
          <w:color w:val="333333"/>
          <w:w w:val="85"/>
          <w:sz w:val="17"/>
          <w:lang w:val="uk-UA"/>
        </w:rPr>
        <w:t>виявлення</w:t>
      </w:r>
      <w:r w:rsidR="005E2126" w:rsidRPr="005E2126">
        <w:rPr>
          <w:rFonts w:ascii="Trebuchet MS"/>
          <w:color w:val="333333"/>
          <w:w w:val="85"/>
          <w:sz w:val="17"/>
          <w:lang w:val="uk-UA"/>
        </w:rPr>
        <w:t xml:space="preserve"> </w:t>
      </w:r>
      <w:r>
        <w:rPr>
          <w:rFonts w:ascii="Trebuchet MS"/>
          <w:color w:val="333333"/>
          <w:w w:val="85"/>
          <w:sz w:val="17"/>
          <w:lang w:val="uk-UA"/>
        </w:rPr>
        <w:t>ТБ</w:t>
      </w:r>
      <w:r>
        <w:rPr>
          <w:rFonts w:ascii="Trebuchet MS"/>
          <w:color w:val="333333"/>
          <w:w w:val="85"/>
          <w:sz w:val="17"/>
          <w:lang w:val="uk-UA"/>
        </w:rPr>
        <w:t xml:space="preserve"> </w:t>
      </w:r>
      <w:r w:rsidR="005E2126" w:rsidRPr="005E2126">
        <w:rPr>
          <w:rFonts w:ascii="Trebuchet MS"/>
          <w:color w:val="333333"/>
          <w:w w:val="85"/>
          <w:sz w:val="17"/>
          <w:lang w:val="uk-UA"/>
        </w:rPr>
        <w:t>лімфатичних</w:t>
      </w:r>
      <w:r w:rsidR="005E2126" w:rsidRPr="005E2126">
        <w:rPr>
          <w:rFonts w:ascii="Trebuchet MS"/>
          <w:color w:val="333333"/>
          <w:w w:val="85"/>
          <w:sz w:val="17"/>
          <w:lang w:val="uk-UA"/>
        </w:rPr>
        <w:t xml:space="preserve"> </w:t>
      </w:r>
      <w:r w:rsidR="005E2126" w:rsidRPr="005E2126">
        <w:rPr>
          <w:rFonts w:ascii="Trebuchet MS"/>
          <w:color w:val="333333"/>
          <w:w w:val="85"/>
          <w:sz w:val="17"/>
          <w:lang w:val="uk-UA"/>
        </w:rPr>
        <w:t>вузлів</w:t>
      </w:r>
      <w:r w:rsidR="005E2126" w:rsidRPr="005E2126">
        <w:rPr>
          <w:rFonts w:ascii="Trebuchet MS"/>
          <w:color w:val="333333"/>
          <w:w w:val="85"/>
          <w:sz w:val="17"/>
          <w:lang w:val="uk-UA"/>
        </w:rPr>
        <w:t xml:space="preserve"> </w:t>
      </w:r>
      <w:r w:rsidR="005E2126" w:rsidRPr="005E2126">
        <w:rPr>
          <w:rFonts w:ascii="Trebuchet MS"/>
          <w:color w:val="333333"/>
          <w:w w:val="85"/>
          <w:sz w:val="17"/>
          <w:lang w:val="uk-UA"/>
        </w:rPr>
        <w:t>у</w:t>
      </w:r>
      <w:r w:rsidR="005E2126" w:rsidRPr="005E2126">
        <w:rPr>
          <w:rFonts w:ascii="Trebuchet MS"/>
          <w:color w:val="333333"/>
          <w:w w:val="85"/>
          <w:sz w:val="17"/>
          <w:lang w:val="uk-UA"/>
        </w:rPr>
        <w:t xml:space="preserve"> </w:t>
      </w:r>
      <w:r w:rsidR="005E2126" w:rsidRPr="005E2126">
        <w:rPr>
          <w:rFonts w:ascii="Trebuchet MS"/>
          <w:color w:val="333333"/>
          <w:w w:val="85"/>
          <w:sz w:val="17"/>
          <w:lang w:val="uk-UA"/>
        </w:rPr>
        <w:t>зразках</w:t>
      </w:r>
      <w:r w:rsidR="005E2126" w:rsidRPr="005E2126">
        <w:rPr>
          <w:rFonts w:ascii="Trebuchet MS"/>
          <w:color w:val="333333"/>
          <w:w w:val="85"/>
          <w:sz w:val="17"/>
          <w:lang w:val="uk-UA"/>
        </w:rPr>
        <w:t xml:space="preserve"> </w:t>
      </w:r>
      <w:r w:rsidR="005E2126" w:rsidRPr="005E2126">
        <w:rPr>
          <w:rFonts w:ascii="Trebuchet MS"/>
          <w:color w:val="333333"/>
          <w:w w:val="85"/>
          <w:sz w:val="17"/>
          <w:lang w:val="uk-UA"/>
        </w:rPr>
        <w:t>біопсії</w:t>
      </w:r>
      <w:r w:rsidR="005E2126" w:rsidRPr="005E2126">
        <w:rPr>
          <w:rFonts w:ascii="Trebuchet MS"/>
          <w:color w:val="333333"/>
          <w:w w:val="85"/>
          <w:sz w:val="17"/>
          <w:lang w:val="uk-UA"/>
        </w:rPr>
        <w:t xml:space="preserve"> </w:t>
      </w:r>
      <w:r w:rsidR="005E2126" w:rsidRPr="005E2126">
        <w:rPr>
          <w:rFonts w:ascii="Trebuchet MS"/>
          <w:color w:val="333333"/>
          <w:w w:val="85"/>
          <w:sz w:val="17"/>
          <w:lang w:val="uk-UA"/>
        </w:rPr>
        <w:t>лімфатичних</w:t>
      </w:r>
      <w:r w:rsidR="005E2126" w:rsidRPr="005E2126">
        <w:rPr>
          <w:rFonts w:ascii="Trebuchet MS"/>
          <w:color w:val="333333"/>
          <w:w w:val="85"/>
          <w:sz w:val="17"/>
          <w:lang w:val="uk-UA"/>
        </w:rPr>
        <w:t xml:space="preserve"> </w:t>
      </w:r>
      <w:r w:rsidR="005E2126" w:rsidRPr="005E2126">
        <w:rPr>
          <w:rFonts w:ascii="Trebuchet MS"/>
          <w:color w:val="333333"/>
          <w:w w:val="85"/>
          <w:sz w:val="17"/>
          <w:lang w:val="uk-UA"/>
        </w:rPr>
        <w:t>вузлів</w:t>
      </w:r>
    </w:p>
    <w:p w14:paraId="07F1659D" w14:textId="1BED4A9C" w:rsidR="00E05B98" w:rsidRDefault="008D2647">
      <w:pPr>
        <w:pStyle w:val="a3"/>
        <w:rPr>
          <w:rFonts w:ascii="Trebuchet MS"/>
          <w:sz w:val="13"/>
          <w:lang w:val="uk-UA"/>
        </w:rPr>
      </w:pPr>
      <w:r w:rsidRPr="003C6DAE">
        <w:rPr>
          <w:rFonts w:ascii="Arial"/>
          <w:b/>
          <w:noProof/>
          <w:sz w:val="24"/>
          <w:lang w:val="uk-UA"/>
        </w:rPr>
        <mc:AlternateContent>
          <mc:Choice Requires="wps">
            <w:drawing>
              <wp:anchor distT="0" distB="0" distL="114300" distR="114300" simplePos="0" relativeHeight="488118784" behindDoc="0" locked="0" layoutInCell="1" allowOverlap="1" wp14:anchorId="5F1A140D" wp14:editId="64583964">
                <wp:simplePos x="0" y="0"/>
                <wp:positionH relativeFrom="margin">
                  <wp:posOffset>175776</wp:posOffset>
                </wp:positionH>
                <wp:positionV relativeFrom="paragraph">
                  <wp:posOffset>56075</wp:posOffset>
                </wp:positionV>
                <wp:extent cx="6273579" cy="225796"/>
                <wp:effectExtent l="0" t="0" r="0" b="3175"/>
                <wp:wrapNone/>
                <wp:docPr id="780597713" name="Поле 780597713"/>
                <wp:cNvGraphicFramePr/>
                <a:graphic xmlns:a="http://schemas.openxmlformats.org/drawingml/2006/main">
                  <a:graphicData uri="http://schemas.microsoft.com/office/word/2010/wordprocessingShape">
                    <wps:wsp>
                      <wps:cNvSpPr txBox="1"/>
                      <wps:spPr>
                        <a:xfrm>
                          <a:off x="0" y="0"/>
                          <a:ext cx="6273579" cy="225796"/>
                        </a:xfrm>
                        <a:prstGeom prst="rect">
                          <a:avLst/>
                        </a:prstGeom>
                        <a:solidFill>
                          <a:schemeClr val="bg1"/>
                        </a:solidFill>
                        <a:ln w="6350">
                          <a:noFill/>
                        </a:ln>
                      </wps:spPr>
                      <wps:txbx>
                        <w:txbxContent>
                          <w:p w14:paraId="7ED9C3CD" w14:textId="2CC60D33" w:rsidR="007372B2" w:rsidRPr="008D2647" w:rsidRDefault="007372B2" w:rsidP="00F925DD">
                            <w:pPr>
                              <w:ind w:left="2160" w:hanging="2018"/>
                              <w:rPr>
                                <w:rFonts w:asciiTheme="minorHAnsi" w:hAnsiTheme="minorHAnsi" w:cstheme="minorHAnsi"/>
                                <w:b/>
                                <w:sz w:val="16"/>
                                <w:szCs w:val="16"/>
                                <w:lang w:val="uk-UA"/>
                              </w:rPr>
                            </w:pPr>
                            <w:r w:rsidRPr="008D2647">
                              <w:rPr>
                                <w:rFonts w:asciiTheme="minorHAnsi" w:hAnsiTheme="minorHAnsi" w:cstheme="minorHAnsi"/>
                                <w:b/>
                                <w:sz w:val="16"/>
                                <w:szCs w:val="16"/>
                                <w:lang w:val="uk-UA"/>
                              </w:rPr>
                              <w:t xml:space="preserve">Дослідження              </w:t>
                            </w:r>
                            <w:r w:rsidRPr="008D2647">
                              <w:rPr>
                                <w:rFonts w:asciiTheme="minorHAnsi" w:hAnsiTheme="minorHAnsi" w:cstheme="minorHAnsi"/>
                                <w:b/>
                                <w:sz w:val="16"/>
                                <w:szCs w:val="16"/>
                              </w:rPr>
                              <w:t xml:space="preserve">TP     FP    </w:t>
                            </w:r>
                            <w:r w:rsidRPr="008D2647">
                              <w:rPr>
                                <w:rFonts w:asciiTheme="minorHAnsi" w:hAnsiTheme="minorHAnsi" w:cstheme="minorHAnsi"/>
                                <w:b/>
                                <w:sz w:val="16"/>
                                <w:szCs w:val="16"/>
                                <w:lang w:val="uk-UA"/>
                              </w:rPr>
                              <w:t xml:space="preserve"> </w:t>
                            </w:r>
                            <w:r w:rsidRPr="008D2647">
                              <w:rPr>
                                <w:rFonts w:asciiTheme="minorHAnsi" w:hAnsiTheme="minorHAnsi" w:cstheme="minorHAnsi"/>
                                <w:b/>
                                <w:sz w:val="16"/>
                                <w:szCs w:val="16"/>
                              </w:rPr>
                              <w:t xml:space="preserve">FN  TN    </w:t>
                            </w:r>
                            <w:r w:rsidRPr="008D2647">
                              <w:rPr>
                                <w:rFonts w:asciiTheme="minorHAnsi" w:hAnsiTheme="minorHAnsi" w:cstheme="minorHAnsi"/>
                                <w:b/>
                                <w:sz w:val="16"/>
                                <w:szCs w:val="16"/>
                                <w:lang w:val="uk-UA"/>
                              </w:rPr>
                              <w:t xml:space="preserve">Чутливість (95% ДІ)  Специфічність (95% ДІ)  </w:t>
                            </w:r>
                            <w:r w:rsidRPr="008D2647">
                              <w:rPr>
                                <w:rFonts w:asciiTheme="minorHAnsi" w:hAnsiTheme="minorHAnsi" w:cstheme="minorHAnsi"/>
                                <w:b/>
                                <w:sz w:val="16"/>
                                <w:szCs w:val="16"/>
                              </w:rPr>
                              <w:t xml:space="preserve"> </w:t>
                            </w:r>
                            <w:r w:rsidR="00E6199E">
                              <w:rPr>
                                <w:rFonts w:asciiTheme="minorHAnsi" w:hAnsiTheme="minorHAnsi" w:cstheme="minorHAnsi"/>
                                <w:b/>
                                <w:sz w:val="16"/>
                                <w:szCs w:val="16"/>
                                <w:lang w:val="uk-UA"/>
                              </w:rPr>
                              <w:t xml:space="preserve">  </w:t>
                            </w:r>
                            <w:r w:rsidRPr="008D2647">
                              <w:rPr>
                                <w:rFonts w:asciiTheme="minorHAnsi" w:hAnsiTheme="minorHAnsi" w:cstheme="minorHAnsi"/>
                                <w:b/>
                                <w:sz w:val="16"/>
                                <w:szCs w:val="16"/>
                                <w:lang w:val="uk-UA"/>
                              </w:rPr>
                              <w:t xml:space="preserve">Чутливість (95% ДІ)    </w:t>
                            </w:r>
                            <w:r w:rsidR="00E6199E">
                              <w:rPr>
                                <w:rFonts w:asciiTheme="minorHAnsi" w:hAnsiTheme="minorHAnsi" w:cstheme="minorHAnsi"/>
                                <w:b/>
                                <w:sz w:val="16"/>
                                <w:szCs w:val="16"/>
                                <w:lang w:val="uk-UA"/>
                              </w:rPr>
                              <w:t xml:space="preserve">  </w:t>
                            </w:r>
                            <w:r w:rsidRPr="008D2647">
                              <w:rPr>
                                <w:rFonts w:asciiTheme="minorHAnsi" w:hAnsiTheme="minorHAnsi" w:cstheme="minorHAnsi"/>
                                <w:b/>
                                <w:sz w:val="16"/>
                                <w:szCs w:val="16"/>
                                <w:lang w:val="uk-UA"/>
                              </w:rPr>
                              <w:t>Специфічність (95% ДІ)</w:t>
                            </w:r>
                            <w:r w:rsidRPr="008D2647">
                              <w:rPr>
                                <w:rFonts w:asciiTheme="minorHAnsi" w:hAnsiTheme="minorHAnsi" w:cstheme="minorHAnsi"/>
                                <w:b/>
                                <w:sz w:val="16"/>
                                <w:szCs w:val="16"/>
                              </w:rPr>
                              <w:t xml:space="preserve">          </w:t>
                            </w:r>
                            <w:r w:rsidRPr="008D2647">
                              <w:rPr>
                                <w:rFonts w:asciiTheme="minorHAnsi" w:hAnsiTheme="minorHAnsi" w:cstheme="minorHAnsi"/>
                                <w:b/>
                                <w:sz w:val="16"/>
                                <w:szCs w:val="16"/>
                                <w:lang w:val="uk-UA"/>
                              </w:rPr>
                              <w:t xml:space="preserve">                     </w:t>
                            </w:r>
                          </w:p>
                          <w:p w14:paraId="0339844A"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A140D" id="Поле 780597713" o:spid="_x0000_s1108" type="#_x0000_t202" style="position:absolute;margin-left:13.85pt;margin-top:4.4pt;width:494pt;height:17.8pt;z-index:4881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" fillcolor="white [3212]" stroked="f" strokeweight=".5pt">
                <v:textbox>
                  <w:txbxContent>
                    <w:p w14:paraId="7ED9C3CD" w14:textId="2CC60D33" w:rsidR="007372B2" w:rsidRPr="008D2647" w:rsidRDefault="007372B2" w:rsidP="00F925DD">
                      <w:pPr>
                        <w:ind w:left="2160" w:hanging="2018"/>
                        <w:rPr>
                          <w:rFonts w:asciiTheme="minorHAnsi" w:hAnsiTheme="minorHAnsi" w:cstheme="minorHAnsi"/>
                          <w:b/>
                          <w:sz w:val="16"/>
                          <w:szCs w:val="16"/>
                          <w:lang w:val="uk-UA"/>
                        </w:rPr>
                      </w:pPr>
                      <w:r w:rsidRPr="008D2647">
                        <w:rPr>
                          <w:rFonts w:asciiTheme="minorHAnsi" w:hAnsiTheme="minorHAnsi" w:cstheme="minorHAnsi"/>
                          <w:b/>
                          <w:sz w:val="16"/>
                          <w:szCs w:val="16"/>
                          <w:lang w:val="uk-UA"/>
                        </w:rPr>
                        <w:t xml:space="preserve">Дослідження              </w:t>
                      </w:r>
                      <w:r w:rsidRPr="008D2647">
                        <w:rPr>
                          <w:rFonts w:asciiTheme="minorHAnsi" w:hAnsiTheme="minorHAnsi" w:cstheme="minorHAnsi"/>
                          <w:b/>
                          <w:sz w:val="16"/>
                          <w:szCs w:val="16"/>
                        </w:rPr>
                        <w:t xml:space="preserve">TP     FP    </w:t>
                      </w:r>
                      <w:r w:rsidRPr="008D2647">
                        <w:rPr>
                          <w:rFonts w:asciiTheme="minorHAnsi" w:hAnsiTheme="minorHAnsi" w:cstheme="minorHAnsi"/>
                          <w:b/>
                          <w:sz w:val="16"/>
                          <w:szCs w:val="16"/>
                          <w:lang w:val="uk-UA"/>
                        </w:rPr>
                        <w:t xml:space="preserve"> </w:t>
                      </w:r>
                      <w:r w:rsidRPr="008D2647">
                        <w:rPr>
                          <w:rFonts w:asciiTheme="minorHAnsi" w:hAnsiTheme="minorHAnsi" w:cstheme="minorHAnsi"/>
                          <w:b/>
                          <w:sz w:val="16"/>
                          <w:szCs w:val="16"/>
                        </w:rPr>
                        <w:t xml:space="preserve">FN  TN    </w:t>
                      </w:r>
                      <w:r w:rsidRPr="008D2647">
                        <w:rPr>
                          <w:rFonts w:asciiTheme="minorHAnsi" w:hAnsiTheme="minorHAnsi" w:cstheme="minorHAnsi"/>
                          <w:b/>
                          <w:sz w:val="16"/>
                          <w:szCs w:val="16"/>
                          <w:lang w:val="uk-UA"/>
                        </w:rPr>
                        <w:t xml:space="preserve">Чутливість (95% ДІ)  Специфічність (95% ДІ)  </w:t>
                      </w:r>
                      <w:r w:rsidRPr="008D2647">
                        <w:rPr>
                          <w:rFonts w:asciiTheme="minorHAnsi" w:hAnsiTheme="minorHAnsi" w:cstheme="minorHAnsi"/>
                          <w:b/>
                          <w:sz w:val="16"/>
                          <w:szCs w:val="16"/>
                        </w:rPr>
                        <w:t xml:space="preserve"> </w:t>
                      </w:r>
                      <w:r w:rsidR="00E6199E">
                        <w:rPr>
                          <w:rFonts w:asciiTheme="minorHAnsi" w:hAnsiTheme="minorHAnsi" w:cstheme="minorHAnsi"/>
                          <w:b/>
                          <w:sz w:val="16"/>
                          <w:szCs w:val="16"/>
                          <w:lang w:val="uk-UA"/>
                        </w:rPr>
                        <w:t xml:space="preserve">  </w:t>
                      </w:r>
                      <w:r w:rsidRPr="008D2647">
                        <w:rPr>
                          <w:rFonts w:asciiTheme="minorHAnsi" w:hAnsiTheme="minorHAnsi" w:cstheme="minorHAnsi"/>
                          <w:b/>
                          <w:sz w:val="16"/>
                          <w:szCs w:val="16"/>
                          <w:lang w:val="uk-UA"/>
                        </w:rPr>
                        <w:t xml:space="preserve">Чутливість (95% ДІ)    </w:t>
                      </w:r>
                      <w:r w:rsidR="00E6199E">
                        <w:rPr>
                          <w:rFonts w:asciiTheme="minorHAnsi" w:hAnsiTheme="minorHAnsi" w:cstheme="minorHAnsi"/>
                          <w:b/>
                          <w:sz w:val="16"/>
                          <w:szCs w:val="16"/>
                          <w:lang w:val="uk-UA"/>
                        </w:rPr>
                        <w:t xml:space="preserve">  </w:t>
                      </w:r>
                      <w:r w:rsidRPr="008D2647">
                        <w:rPr>
                          <w:rFonts w:asciiTheme="minorHAnsi" w:hAnsiTheme="minorHAnsi" w:cstheme="minorHAnsi"/>
                          <w:b/>
                          <w:sz w:val="16"/>
                          <w:szCs w:val="16"/>
                          <w:lang w:val="uk-UA"/>
                        </w:rPr>
                        <w:t>Специфічність (95% ДІ)</w:t>
                      </w:r>
                      <w:r w:rsidRPr="008D2647">
                        <w:rPr>
                          <w:rFonts w:asciiTheme="minorHAnsi" w:hAnsiTheme="minorHAnsi" w:cstheme="minorHAnsi"/>
                          <w:b/>
                          <w:sz w:val="16"/>
                          <w:szCs w:val="16"/>
                        </w:rPr>
                        <w:t xml:space="preserve">          </w:t>
                      </w:r>
                      <w:r w:rsidRPr="008D2647">
                        <w:rPr>
                          <w:rFonts w:asciiTheme="minorHAnsi" w:hAnsiTheme="minorHAnsi" w:cstheme="minorHAnsi"/>
                          <w:b/>
                          <w:sz w:val="16"/>
                          <w:szCs w:val="16"/>
                          <w:lang w:val="uk-UA"/>
                        </w:rPr>
                        <w:t xml:space="preserve">                     </w:t>
                      </w:r>
                    </w:p>
                    <w:p w14:paraId="0339844A"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v:textbox>
                <w10:wrap anchorx="margin"/>
              </v:shape>
            </w:pict>
          </mc:Fallback>
        </mc:AlternateContent>
      </w:r>
    </w:p>
    <w:p w14:paraId="51AC0014" w14:textId="77777777" w:rsidR="008D2647" w:rsidRPr="003C6DAE" w:rsidRDefault="008D2647">
      <w:pPr>
        <w:pStyle w:val="a3"/>
        <w:rPr>
          <w:rFonts w:ascii="Trebuchet MS"/>
          <w:sz w:val="13"/>
          <w:lang w:val="uk-UA"/>
        </w:rPr>
        <w:sectPr w:rsidR="008D2647" w:rsidRPr="003C6DAE" w:rsidSect="00A04BC3">
          <w:pgSz w:w="11910" w:h="16840"/>
          <w:pgMar w:top="709" w:right="995" w:bottom="760" w:left="850" w:header="0" w:footer="573" w:gutter="0"/>
          <w:cols w:space="720"/>
        </w:sectPr>
      </w:pPr>
    </w:p>
    <w:p w14:paraId="4E8BD00A" w14:textId="4EE38DAB" w:rsidR="00E05B98" w:rsidRPr="003C6DAE" w:rsidRDefault="00B01E0C">
      <w:pPr>
        <w:spacing w:before="106"/>
        <w:ind w:left="693"/>
        <w:rPr>
          <w:rFonts w:ascii="Trebuchet MS"/>
          <w:sz w:val="17"/>
          <w:lang w:val="uk-UA"/>
        </w:rPr>
      </w:pPr>
      <w:r w:rsidRPr="003C6DAE">
        <w:rPr>
          <w:rFonts w:ascii="Trebuchet MS"/>
          <w:color w:val="333333"/>
          <w:w w:val="90"/>
          <w:sz w:val="17"/>
          <w:lang w:val="uk-UA"/>
        </w:rPr>
        <w:t>S</w:t>
      </w:r>
      <w:r w:rsidRPr="003C6DAE">
        <w:rPr>
          <w:rFonts w:ascii="Trebuchet MS"/>
          <w:color w:val="333333"/>
          <w:spacing w:val="-21"/>
          <w:w w:val="90"/>
          <w:sz w:val="17"/>
          <w:lang w:val="uk-UA"/>
        </w:rPr>
        <w:t xml:space="preserve"> </w:t>
      </w:r>
      <w:proofErr w:type="spellStart"/>
      <w:r w:rsidRPr="003C6DAE">
        <w:rPr>
          <w:rFonts w:ascii="Trebuchet MS"/>
          <w:color w:val="333333"/>
          <w:spacing w:val="-4"/>
          <w:w w:val="95"/>
          <w:sz w:val="17"/>
          <w:lang w:val="uk-UA"/>
        </w:rPr>
        <w:t>tudy</w:t>
      </w:r>
      <w:proofErr w:type="spellEnd"/>
    </w:p>
    <w:p w14:paraId="64B8E220" w14:textId="0A8C233E" w:rsidR="00E05B98" w:rsidRPr="003C6DAE" w:rsidRDefault="00B01E0C">
      <w:pPr>
        <w:spacing w:before="65" w:line="280" w:lineRule="auto"/>
        <w:ind w:left="693"/>
        <w:rPr>
          <w:rFonts w:ascii="Trebuchet MS"/>
          <w:sz w:val="17"/>
          <w:lang w:val="uk-UA"/>
        </w:rPr>
      </w:pPr>
      <w:proofErr w:type="spellStart"/>
      <w:r w:rsidRPr="003C6DAE">
        <w:rPr>
          <w:rFonts w:ascii="Trebuchet MS"/>
          <w:w w:val="90"/>
          <w:sz w:val="17"/>
          <w:lang w:val="uk-UA"/>
        </w:rPr>
        <w:t>Danfack</w:t>
      </w:r>
      <w:proofErr w:type="spellEnd"/>
      <w:r w:rsidRPr="003C6DAE">
        <w:rPr>
          <w:rFonts w:ascii="Trebuchet MS"/>
          <w:w w:val="90"/>
          <w:sz w:val="17"/>
          <w:lang w:val="uk-UA"/>
        </w:rPr>
        <w:t xml:space="preserve"> 2024a </w:t>
      </w:r>
      <w:proofErr w:type="spellStart"/>
      <w:r w:rsidRPr="003C6DAE">
        <w:rPr>
          <w:rFonts w:ascii="Trebuchet MS"/>
          <w:w w:val="85"/>
          <w:sz w:val="17"/>
          <w:lang w:val="uk-UA"/>
        </w:rPr>
        <w:t>Promsena</w:t>
      </w:r>
      <w:proofErr w:type="spellEnd"/>
      <w:r w:rsidRPr="003C6DAE">
        <w:rPr>
          <w:rFonts w:ascii="Trebuchet MS"/>
          <w:sz w:val="17"/>
          <w:lang w:val="uk-UA"/>
        </w:rPr>
        <w:t xml:space="preserve"> </w:t>
      </w:r>
      <w:r w:rsidRPr="003C6DAE">
        <w:rPr>
          <w:rFonts w:ascii="Trebuchet MS"/>
          <w:w w:val="85"/>
          <w:sz w:val="17"/>
          <w:lang w:val="uk-UA"/>
        </w:rPr>
        <w:t xml:space="preserve">2022 </w:t>
      </w:r>
      <w:proofErr w:type="spellStart"/>
      <w:r w:rsidRPr="003C6DAE">
        <w:rPr>
          <w:rFonts w:ascii="Trebuchet MS"/>
          <w:w w:val="95"/>
          <w:sz w:val="17"/>
          <w:lang w:val="uk-UA"/>
        </w:rPr>
        <w:t>Singh</w:t>
      </w:r>
      <w:proofErr w:type="spellEnd"/>
      <w:r w:rsidRPr="003C6DAE">
        <w:rPr>
          <w:rFonts w:ascii="Trebuchet MS"/>
          <w:w w:val="95"/>
          <w:sz w:val="17"/>
          <w:lang w:val="uk-UA"/>
        </w:rPr>
        <w:t xml:space="preserve"> 2021</w:t>
      </w:r>
    </w:p>
    <w:p w14:paraId="23C7E54E" w14:textId="77777777" w:rsidR="00E05B98" w:rsidRPr="003C6DAE" w:rsidRDefault="00B01E0C">
      <w:pPr>
        <w:spacing w:before="106"/>
        <w:ind w:left="206"/>
        <w:rPr>
          <w:rFonts w:ascii="Trebuchet MS"/>
          <w:sz w:val="17"/>
          <w:lang w:val="uk-UA"/>
        </w:rPr>
      </w:pPr>
      <w:r w:rsidRPr="003C6DAE">
        <w:rPr>
          <w:lang w:val="uk-UA"/>
        </w:rPr>
        <w:br w:type="column"/>
      </w:r>
      <w:r w:rsidRPr="003C6DAE">
        <w:rPr>
          <w:rFonts w:ascii="Trebuchet MS"/>
          <w:color w:val="333333"/>
          <w:w w:val="90"/>
          <w:sz w:val="17"/>
          <w:lang w:val="uk-UA"/>
        </w:rPr>
        <w:t>TP</w:t>
      </w:r>
      <w:r w:rsidRPr="003C6DAE">
        <w:rPr>
          <w:rFonts w:ascii="Trebuchet MS"/>
          <w:color w:val="333333"/>
          <w:spacing w:val="74"/>
          <w:w w:val="150"/>
          <w:sz w:val="17"/>
          <w:lang w:val="uk-UA"/>
        </w:rPr>
        <w:t xml:space="preserve"> </w:t>
      </w:r>
      <w:r w:rsidRPr="003C6DAE">
        <w:rPr>
          <w:rFonts w:ascii="Trebuchet MS"/>
          <w:color w:val="333333"/>
          <w:spacing w:val="-5"/>
          <w:w w:val="90"/>
          <w:sz w:val="17"/>
          <w:lang w:val="uk-UA"/>
        </w:rPr>
        <w:t xml:space="preserve">FP </w:t>
      </w:r>
    </w:p>
    <w:p w14:paraId="46B4A898" w14:textId="4087D437" w:rsidR="00E05B98" w:rsidRPr="003C6DAE" w:rsidRDefault="00B01E0C">
      <w:pPr>
        <w:tabs>
          <w:tab w:val="left" w:pos="625"/>
        </w:tabs>
        <w:spacing w:before="65"/>
        <w:ind w:left="227"/>
        <w:rPr>
          <w:rFonts w:ascii="Trebuchet MS"/>
          <w:sz w:val="17"/>
          <w:lang w:val="uk-UA"/>
        </w:rPr>
      </w:pPr>
      <w:r w:rsidRPr="003C6DAE">
        <w:rPr>
          <w:rFonts w:ascii="Trebuchet MS"/>
          <w:spacing w:val="-5"/>
          <w:w w:val="95"/>
          <w:sz w:val="17"/>
          <w:lang w:val="uk-UA"/>
        </w:rPr>
        <w:t>26</w:t>
      </w:r>
      <w:r w:rsidRPr="003C6DAE">
        <w:rPr>
          <w:rFonts w:ascii="Trebuchet MS"/>
          <w:sz w:val="17"/>
          <w:lang w:val="uk-UA"/>
        </w:rPr>
        <w:tab/>
      </w:r>
      <w:r w:rsidRPr="003C6DAE">
        <w:rPr>
          <w:rFonts w:ascii="Trebuchet MS"/>
          <w:spacing w:val="-10"/>
          <w:w w:val="95"/>
          <w:sz w:val="17"/>
          <w:lang w:val="uk-UA"/>
        </w:rPr>
        <w:t>6</w:t>
      </w:r>
    </w:p>
    <w:p w14:paraId="1BB49F18" w14:textId="4AE62032" w:rsidR="00E05B98" w:rsidRPr="003C6DAE" w:rsidRDefault="00B01E0C">
      <w:pPr>
        <w:tabs>
          <w:tab w:val="left" w:pos="625"/>
        </w:tabs>
        <w:spacing w:before="34"/>
        <w:ind w:left="311"/>
        <w:rPr>
          <w:rFonts w:ascii="Trebuchet MS"/>
          <w:sz w:val="17"/>
          <w:lang w:val="uk-UA"/>
        </w:rPr>
      </w:pPr>
      <w:r w:rsidRPr="003C6DAE">
        <w:rPr>
          <w:rFonts w:ascii="Trebuchet MS"/>
          <w:spacing w:val="-10"/>
          <w:w w:val="95"/>
          <w:sz w:val="17"/>
          <w:lang w:val="uk-UA"/>
        </w:rPr>
        <w:t>3</w:t>
      </w:r>
      <w:r w:rsidRPr="003C6DAE">
        <w:rPr>
          <w:rFonts w:ascii="Trebuchet MS"/>
          <w:sz w:val="17"/>
          <w:lang w:val="uk-UA"/>
        </w:rPr>
        <w:tab/>
      </w:r>
      <w:r w:rsidRPr="003C6DAE">
        <w:rPr>
          <w:rFonts w:ascii="Trebuchet MS"/>
          <w:spacing w:val="-10"/>
          <w:w w:val="95"/>
          <w:sz w:val="17"/>
          <w:lang w:val="uk-UA"/>
        </w:rPr>
        <w:t>0</w:t>
      </w:r>
    </w:p>
    <w:p w14:paraId="7B482751" w14:textId="0AB82912" w:rsidR="00E05B98" w:rsidRPr="003C6DAE" w:rsidRDefault="00B01E0C">
      <w:pPr>
        <w:tabs>
          <w:tab w:val="left" w:pos="625"/>
        </w:tabs>
        <w:spacing w:before="34"/>
        <w:ind w:left="311"/>
        <w:rPr>
          <w:rFonts w:ascii="Trebuchet MS"/>
          <w:sz w:val="17"/>
          <w:lang w:val="uk-UA"/>
        </w:rPr>
      </w:pPr>
      <w:r w:rsidRPr="003C6DAE">
        <w:rPr>
          <w:rFonts w:ascii="Trebuchet MS"/>
          <w:spacing w:val="-10"/>
          <w:w w:val="95"/>
          <w:sz w:val="17"/>
          <w:lang w:val="uk-UA"/>
        </w:rPr>
        <w:t>4</w:t>
      </w:r>
      <w:r w:rsidRPr="003C6DAE">
        <w:rPr>
          <w:rFonts w:ascii="Trebuchet MS"/>
          <w:sz w:val="17"/>
          <w:lang w:val="uk-UA"/>
        </w:rPr>
        <w:tab/>
      </w:r>
      <w:r w:rsidRPr="003C6DAE">
        <w:rPr>
          <w:rFonts w:ascii="Trebuchet MS"/>
          <w:spacing w:val="-10"/>
          <w:w w:val="95"/>
          <w:sz w:val="17"/>
          <w:lang w:val="uk-UA"/>
        </w:rPr>
        <w:t>0</w:t>
      </w:r>
    </w:p>
    <w:p w14:paraId="1A195932" w14:textId="77777777" w:rsidR="00E05B98" w:rsidRPr="003C6DAE" w:rsidRDefault="00B01E0C">
      <w:pPr>
        <w:spacing w:before="106"/>
        <w:ind w:left="84"/>
        <w:rPr>
          <w:rFonts w:ascii="Trebuchet MS"/>
          <w:sz w:val="17"/>
          <w:lang w:val="uk-UA"/>
        </w:rPr>
      </w:pPr>
      <w:r w:rsidRPr="003C6DAE">
        <w:rPr>
          <w:lang w:val="uk-UA"/>
        </w:rPr>
        <w:br w:type="column"/>
      </w:r>
      <w:r w:rsidRPr="003C6DAE">
        <w:rPr>
          <w:rFonts w:ascii="Trebuchet MS"/>
          <w:color w:val="333333"/>
          <w:w w:val="95"/>
          <w:sz w:val="17"/>
          <w:lang w:val="uk-UA"/>
        </w:rPr>
        <w:t>FN</w:t>
      </w:r>
      <w:r w:rsidRPr="003C6DAE">
        <w:rPr>
          <w:rFonts w:ascii="Trebuchet MS"/>
          <w:color w:val="333333"/>
          <w:spacing w:val="61"/>
          <w:sz w:val="17"/>
          <w:lang w:val="uk-UA"/>
        </w:rPr>
        <w:t xml:space="preserve"> </w:t>
      </w:r>
      <w:r w:rsidRPr="003C6DAE">
        <w:rPr>
          <w:rFonts w:ascii="Trebuchet MS"/>
          <w:color w:val="333333"/>
          <w:spacing w:val="-7"/>
          <w:w w:val="90"/>
          <w:sz w:val="17"/>
          <w:lang w:val="uk-UA"/>
        </w:rPr>
        <w:t>TN</w:t>
      </w:r>
      <w:r w:rsidRPr="003C6DAE">
        <w:rPr>
          <w:rFonts w:ascii="Trebuchet MS"/>
          <w:color w:val="333333"/>
          <w:w w:val="90"/>
          <w:sz w:val="17"/>
          <w:lang w:val="uk-UA"/>
        </w:rPr>
        <w:t xml:space="preserve"> </w:t>
      </w:r>
    </w:p>
    <w:p w14:paraId="597F95ED" w14:textId="77777777" w:rsidR="00E05B98" w:rsidRPr="003C6DAE" w:rsidRDefault="00B01E0C">
      <w:pPr>
        <w:spacing w:before="65"/>
        <w:ind w:left="176"/>
        <w:rPr>
          <w:rFonts w:ascii="Trebuchet MS"/>
          <w:sz w:val="17"/>
          <w:lang w:val="uk-UA"/>
        </w:rPr>
      </w:pPr>
      <w:r w:rsidRPr="003C6DAE">
        <w:rPr>
          <w:rFonts w:ascii="Trebuchet MS"/>
          <w:w w:val="95"/>
          <w:sz w:val="17"/>
          <w:lang w:val="uk-UA"/>
        </w:rPr>
        <w:t>2</w:t>
      </w:r>
      <w:r w:rsidRPr="003C6DAE">
        <w:rPr>
          <w:rFonts w:ascii="Trebuchet MS"/>
          <w:spacing w:val="67"/>
          <w:w w:val="150"/>
          <w:sz w:val="17"/>
          <w:lang w:val="uk-UA"/>
        </w:rPr>
        <w:t xml:space="preserve"> </w:t>
      </w:r>
      <w:r w:rsidRPr="003C6DAE">
        <w:rPr>
          <w:rFonts w:ascii="Trebuchet MS"/>
          <w:spacing w:val="-5"/>
          <w:w w:val="95"/>
          <w:sz w:val="17"/>
          <w:lang w:val="uk-UA"/>
        </w:rPr>
        <w:t>42</w:t>
      </w:r>
    </w:p>
    <w:p w14:paraId="0EA778DF" w14:textId="77777777" w:rsidR="00E05B98" w:rsidRPr="003C6DAE" w:rsidRDefault="00B01E0C">
      <w:pPr>
        <w:tabs>
          <w:tab w:val="left" w:pos="490"/>
        </w:tabs>
        <w:spacing w:before="34"/>
        <w:ind w:left="176"/>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10"/>
          <w:w w:val="95"/>
          <w:sz w:val="17"/>
          <w:lang w:val="uk-UA"/>
        </w:rPr>
        <w:t>5</w:t>
      </w:r>
    </w:p>
    <w:p w14:paraId="49D4B956" w14:textId="62206C5F" w:rsidR="00E05B98" w:rsidRPr="003C6DAE" w:rsidRDefault="00B01E0C">
      <w:pPr>
        <w:tabs>
          <w:tab w:val="left" w:pos="490"/>
        </w:tabs>
        <w:spacing w:before="34"/>
        <w:ind w:left="176"/>
        <w:rPr>
          <w:rFonts w:ascii="Trebuchet MS"/>
          <w:sz w:val="17"/>
          <w:lang w:val="uk-UA"/>
        </w:rPr>
      </w:pPr>
      <w:r w:rsidRPr="003C6DAE">
        <w:rPr>
          <w:rFonts w:ascii="Trebuchet MS"/>
          <w:spacing w:val="-10"/>
          <w:w w:val="95"/>
          <w:sz w:val="17"/>
          <w:lang w:val="uk-UA"/>
        </w:rPr>
        <w:t>0</w:t>
      </w:r>
      <w:r w:rsidRPr="003C6DAE">
        <w:rPr>
          <w:rFonts w:ascii="Trebuchet MS"/>
          <w:sz w:val="17"/>
          <w:lang w:val="uk-UA"/>
        </w:rPr>
        <w:tab/>
      </w:r>
      <w:r w:rsidRPr="003C6DAE">
        <w:rPr>
          <w:rFonts w:ascii="Trebuchet MS"/>
          <w:spacing w:val="-10"/>
          <w:w w:val="95"/>
          <w:sz w:val="17"/>
          <w:lang w:val="uk-UA"/>
        </w:rPr>
        <w:t>7</w:t>
      </w:r>
    </w:p>
    <w:p w14:paraId="00D6E62C" w14:textId="34A79433" w:rsidR="00E05B98" w:rsidRPr="003C6DAE" w:rsidRDefault="00B01E0C">
      <w:pPr>
        <w:spacing w:before="106"/>
        <w:ind w:left="116"/>
        <w:rPr>
          <w:rFonts w:ascii="Trebuchet MS"/>
          <w:sz w:val="17"/>
          <w:lang w:val="uk-UA"/>
        </w:rPr>
      </w:pPr>
      <w:r w:rsidRPr="003C6DAE">
        <w:rPr>
          <w:lang w:val="uk-UA"/>
        </w:rPr>
        <w:br w:type="column"/>
      </w:r>
      <w:r w:rsidRPr="003C6DAE">
        <w:rPr>
          <w:rFonts w:ascii="Trebuchet MS"/>
          <w:color w:val="333333"/>
          <w:w w:val="85"/>
          <w:sz w:val="17"/>
          <w:lang w:val="uk-UA"/>
        </w:rPr>
        <w:t>S</w:t>
      </w:r>
      <w:r w:rsidRPr="003C6DAE">
        <w:rPr>
          <w:rFonts w:ascii="Trebuchet MS"/>
          <w:color w:val="333333"/>
          <w:spacing w:val="-11"/>
          <w:w w:val="85"/>
          <w:sz w:val="17"/>
          <w:lang w:val="uk-UA"/>
        </w:rPr>
        <w:t xml:space="preserve"> </w:t>
      </w:r>
      <w:proofErr w:type="spellStart"/>
      <w:r w:rsidRPr="003C6DAE">
        <w:rPr>
          <w:rFonts w:ascii="Trebuchet MS"/>
          <w:color w:val="333333"/>
          <w:w w:val="85"/>
          <w:sz w:val="17"/>
          <w:lang w:val="uk-UA"/>
        </w:rPr>
        <w:t>ens</w:t>
      </w:r>
      <w:proofErr w:type="spellEnd"/>
      <w:r w:rsidRPr="003C6DAE">
        <w:rPr>
          <w:rFonts w:ascii="Trebuchet MS"/>
          <w:color w:val="333333"/>
          <w:spacing w:val="-13"/>
          <w:w w:val="85"/>
          <w:sz w:val="17"/>
          <w:lang w:val="uk-UA"/>
        </w:rPr>
        <w:t xml:space="preserve"> </w:t>
      </w:r>
      <w:proofErr w:type="spellStart"/>
      <w:r w:rsidRPr="003C6DAE">
        <w:rPr>
          <w:rFonts w:ascii="Trebuchet MS"/>
          <w:color w:val="333333"/>
          <w:w w:val="85"/>
          <w:sz w:val="17"/>
          <w:lang w:val="uk-UA"/>
        </w:rPr>
        <w:t>itivity</w:t>
      </w:r>
      <w:proofErr w:type="spellEnd"/>
      <w:r w:rsidRPr="003C6DAE">
        <w:rPr>
          <w:rFonts w:ascii="Trebuchet MS"/>
          <w:color w:val="333333"/>
          <w:spacing w:val="19"/>
          <w:sz w:val="17"/>
          <w:lang w:val="uk-UA"/>
        </w:rPr>
        <w:t xml:space="preserve"> </w:t>
      </w:r>
      <w:r w:rsidRPr="003C6DAE">
        <w:rPr>
          <w:rFonts w:ascii="Trebuchet MS"/>
          <w:color w:val="333333"/>
          <w:w w:val="85"/>
          <w:sz w:val="17"/>
          <w:lang w:val="uk-UA"/>
        </w:rPr>
        <w:t>(95%</w:t>
      </w:r>
      <w:r w:rsidRPr="003C6DAE">
        <w:rPr>
          <w:rFonts w:ascii="Trebuchet MS"/>
          <w:color w:val="333333"/>
          <w:spacing w:val="22"/>
          <w:sz w:val="17"/>
          <w:lang w:val="uk-UA"/>
        </w:rPr>
        <w:t xml:space="preserve"> </w:t>
      </w:r>
      <w:r w:rsidRPr="003C6DAE">
        <w:rPr>
          <w:rFonts w:ascii="Trebuchet MS"/>
          <w:color w:val="333333"/>
          <w:w w:val="85"/>
          <w:sz w:val="17"/>
          <w:lang w:val="uk-UA"/>
        </w:rPr>
        <w:t>C</w:t>
      </w:r>
      <w:r w:rsidRPr="003C6DAE">
        <w:rPr>
          <w:rFonts w:ascii="Trebuchet MS"/>
          <w:color w:val="333333"/>
          <w:spacing w:val="-16"/>
          <w:w w:val="85"/>
          <w:sz w:val="17"/>
          <w:lang w:val="uk-UA"/>
        </w:rPr>
        <w:t xml:space="preserve"> </w:t>
      </w:r>
      <w:r w:rsidRPr="003C6DAE">
        <w:rPr>
          <w:rFonts w:ascii="Trebuchet MS"/>
          <w:color w:val="333333"/>
          <w:spacing w:val="-5"/>
          <w:w w:val="85"/>
          <w:sz w:val="17"/>
          <w:lang w:val="uk-UA"/>
        </w:rPr>
        <w:t>I)</w:t>
      </w:r>
    </w:p>
    <w:p w14:paraId="4F48D5DD" w14:textId="77777777" w:rsidR="00E05B98" w:rsidRPr="003C6DAE" w:rsidRDefault="00B01E0C">
      <w:pPr>
        <w:spacing w:before="65"/>
        <w:ind w:left="359"/>
        <w:rPr>
          <w:rFonts w:ascii="Trebuchet MS"/>
          <w:sz w:val="17"/>
          <w:lang w:val="uk-UA"/>
        </w:rPr>
      </w:pPr>
      <w:r w:rsidRPr="003C6DAE">
        <w:rPr>
          <w:rFonts w:ascii="Trebuchet MS"/>
          <w:w w:val="75"/>
          <w:sz w:val="17"/>
          <w:lang w:val="uk-UA"/>
        </w:rPr>
        <w:t>0.93</w:t>
      </w:r>
      <w:r w:rsidRPr="003C6DAE">
        <w:rPr>
          <w:rFonts w:ascii="Trebuchet MS"/>
          <w:spacing w:val="22"/>
          <w:sz w:val="17"/>
          <w:lang w:val="uk-UA"/>
        </w:rPr>
        <w:t xml:space="preserve"> </w:t>
      </w:r>
      <w:r w:rsidRPr="003C6DAE">
        <w:rPr>
          <w:rFonts w:ascii="Trebuchet MS"/>
          <w:w w:val="75"/>
          <w:sz w:val="17"/>
          <w:lang w:val="uk-UA"/>
        </w:rPr>
        <w:t>[0.76,</w:t>
      </w:r>
      <w:r w:rsidRPr="003C6DAE">
        <w:rPr>
          <w:rFonts w:ascii="Trebuchet MS"/>
          <w:spacing w:val="29"/>
          <w:sz w:val="17"/>
          <w:lang w:val="uk-UA"/>
        </w:rPr>
        <w:t xml:space="preserve"> </w:t>
      </w:r>
      <w:r w:rsidRPr="003C6DAE">
        <w:rPr>
          <w:rFonts w:ascii="Trebuchet MS"/>
          <w:spacing w:val="-2"/>
          <w:w w:val="75"/>
          <w:sz w:val="17"/>
          <w:lang w:val="uk-UA"/>
        </w:rPr>
        <w:t>0.99]</w:t>
      </w:r>
    </w:p>
    <w:p w14:paraId="38415BC0" w14:textId="77777777" w:rsidR="00E05B98" w:rsidRPr="003C6DAE" w:rsidRDefault="00B01E0C">
      <w:pPr>
        <w:spacing w:before="34"/>
        <w:ind w:left="359"/>
        <w:rPr>
          <w:rFonts w:ascii="Trebuchet MS"/>
          <w:sz w:val="17"/>
          <w:lang w:val="uk-UA"/>
        </w:rPr>
      </w:pPr>
      <w:r w:rsidRPr="003C6DAE">
        <w:rPr>
          <w:rFonts w:ascii="Trebuchet MS"/>
          <w:w w:val="75"/>
          <w:sz w:val="17"/>
          <w:lang w:val="uk-UA"/>
        </w:rPr>
        <w:t>1.00</w:t>
      </w:r>
      <w:r w:rsidRPr="003C6DAE">
        <w:rPr>
          <w:rFonts w:ascii="Trebuchet MS"/>
          <w:spacing w:val="22"/>
          <w:sz w:val="17"/>
          <w:lang w:val="uk-UA"/>
        </w:rPr>
        <w:t xml:space="preserve"> </w:t>
      </w:r>
      <w:r w:rsidRPr="003C6DAE">
        <w:rPr>
          <w:rFonts w:ascii="Trebuchet MS"/>
          <w:w w:val="75"/>
          <w:sz w:val="17"/>
          <w:lang w:val="uk-UA"/>
        </w:rPr>
        <w:t>[0.29,</w:t>
      </w:r>
      <w:r w:rsidRPr="003C6DAE">
        <w:rPr>
          <w:rFonts w:ascii="Trebuchet MS"/>
          <w:spacing w:val="29"/>
          <w:sz w:val="17"/>
          <w:lang w:val="uk-UA"/>
        </w:rPr>
        <w:t xml:space="preserve"> </w:t>
      </w:r>
      <w:r w:rsidRPr="003C6DAE">
        <w:rPr>
          <w:rFonts w:ascii="Trebuchet MS"/>
          <w:spacing w:val="-2"/>
          <w:w w:val="75"/>
          <w:sz w:val="17"/>
          <w:lang w:val="uk-UA"/>
        </w:rPr>
        <w:t>1.00]</w:t>
      </w:r>
    </w:p>
    <w:p w14:paraId="3E69993C" w14:textId="77777777" w:rsidR="00E05B98" w:rsidRPr="003C6DAE" w:rsidRDefault="00B01E0C">
      <w:pPr>
        <w:spacing w:before="34"/>
        <w:ind w:left="359"/>
        <w:rPr>
          <w:rFonts w:ascii="Trebuchet MS"/>
          <w:sz w:val="17"/>
          <w:lang w:val="uk-UA"/>
        </w:rPr>
      </w:pPr>
      <w:r w:rsidRPr="003C6DAE">
        <w:rPr>
          <w:rFonts w:ascii="Trebuchet MS"/>
          <w:w w:val="75"/>
          <w:sz w:val="17"/>
          <w:lang w:val="uk-UA"/>
        </w:rPr>
        <w:t>1.00</w:t>
      </w:r>
      <w:r w:rsidRPr="003C6DAE">
        <w:rPr>
          <w:rFonts w:ascii="Trebuchet MS"/>
          <w:spacing w:val="22"/>
          <w:sz w:val="17"/>
          <w:lang w:val="uk-UA"/>
        </w:rPr>
        <w:t xml:space="preserve"> </w:t>
      </w:r>
      <w:r w:rsidRPr="003C6DAE">
        <w:rPr>
          <w:rFonts w:ascii="Trebuchet MS"/>
          <w:w w:val="75"/>
          <w:sz w:val="17"/>
          <w:lang w:val="uk-UA"/>
        </w:rPr>
        <w:t>[0.40,</w:t>
      </w:r>
      <w:r w:rsidRPr="003C6DAE">
        <w:rPr>
          <w:rFonts w:ascii="Trebuchet MS"/>
          <w:spacing w:val="29"/>
          <w:sz w:val="17"/>
          <w:lang w:val="uk-UA"/>
        </w:rPr>
        <w:t xml:space="preserve"> </w:t>
      </w:r>
      <w:r w:rsidRPr="003C6DAE">
        <w:rPr>
          <w:rFonts w:ascii="Trebuchet MS"/>
          <w:spacing w:val="-2"/>
          <w:w w:val="75"/>
          <w:sz w:val="17"/>
          <w:lang w:val="uk-UA"/>
        </w:rPr>
        <w:t>1.00]</w:t>
      </w:r>
    </w:p>
    <w:p w14:paraId="74286D62" w14:textId="77777777" w:rsidR="00E05B98" w:rsidRPr="003C6DAE" w:rsidRDefault="00B01E0C">
      <w:pPr>
        <w:spacing w:before="106"/>
        <w:ind w:left="78"/>
        <w:rPr>
          <w:rFonts w:ascii="Trebuchet MS"/>
          <w:sz w:val="17"/>
          <w:lang w:val="uk-UA"/>
        </w:rPr>
      </w:pPr>
      <w:r w:rsidRPr="003C6DAE">
        <w:rPr>
          <w:lang w:val="uk-UA"/>
        </w:rPr>
        <w:br w:type="column"/>
      </w:r>
      <w:r w:rsidRPr="003C6DAE">
        <w:rPr>
          <w:rFonts w:ascii="Trebuchet MS"/>
          <w:color w:val="333333"/>
          <w:w w:val="85"/>
          <w:sz w:val="17"/>
          <w:lang w:val="uk-UA"/>
        </w:rPr>
        <w:t>S</w:t>
      </w:r>
      <w:r w:rsidRPr="003C6DAE">
        <w:rPr>
          <w:rFonts w:ascii="Trebuchet MS"/>
          <w:color w:val="333333"/>
          <w:spacing w:val="-14"/>
          <w:w w:val="85"/>
          <w:sz w:val="17"/>
          <w:lang w:val="uk-UA"/>
        </w:rPr>
        <w:t xml:space="preserve"> </w:t>
      </w:r>
      <w:proofErr w:type="spellStart"/>
      <w:r w:rsidRPr="003C6DAE">
        <w:rPr>
          <w:rFonts w:ascii="Trebuchet MS"/>
          <w:color w:val="333333"/>
          <w:w w:val="85"/>
          <w:sz w:val="17"/>
          <w:lang w:val="uk-UA"/>
        </w:rPr>
        <w:t>pec</w:t>
      </w:r>
      <w:proofErr w:type="spellEnd"/>
      <w:r w:rsidRPr="003C6DAE">
        <w:rPr>
          <w:rFonts w:ascii="Trebuchet MS"/>
          <w:color w:val="333333"/>
          <w:spacing w:val="-25"/>
          <w:w w:val="85"/>
          <w:sz w:val="17"/>
          <w:lang w:val="uk-UA"/>
        </w:rPr>
        <w:t xml:space="preserve"> </w:t>
      </w:r>
      <w:proofErr w:type="spellStart"/>
      <w:r w:rsidRPr="003C6DAE">
        <w:rPr>
          <w:rFonts w:ascii="Trebuchet MS"/>
          <w:color w:val="333333"/>
          <w:w w:val="85"/>
          <w:sz w:val="17"/>
          <w:lang w:val="uk-UA"/>
        </w:rPr>
        <w:t>ific</w:t>
      </w:r>
      <w:proofErr w:type="spellEnd"/>
      <w:r w:rsidRPr="003C6DAE">
        <w:rPr>
          <w:rFonts w:ascii="Trebuchet MS"/>
          <w:color w:val="333333"/>
          <w:spacing w:val="-25"/>
          <w:w w:val="85"/>
          <w:sz w:val="17"/>
          <w:lang w:val="uk-UA"/>
        </w:rPr>
        <w:t xml:space="preserve"> </w:t>
      </w:r>
      <w:proofErr w:type="spellStart"/>
      <w:r w:rsidRPr="003C6DAE">
        <w:rPr>
          <w:rFonts w:ascii="Trebuchet MS"/>
          <w:color w:val="333333"/>
          <w:w w:val="85"/>
          <w:sz w:val="17"/>
          <w:lang w:val="uk-UA"/>
        </w:rPr>
        <w:t>ity</w:t>
      </w:r>
      <w:proofErr w:type="spellEnd"/>
      <w:r w:rsidRPr="003C6DAE">
        <w:rPr>
          <w:rFonts w:ascii="Trebuchet MS"/>
          <w:color w:val="333333"/>
          <w:spacing w:val="12"/>
          <w:sz w:val="17"/>
          <w:lang w:val="uk-UA"/>
        </w:rPr>
        <w:t xml:space="preserve"> </w:t>
      </w:r>
      <w:r w:rsidRPr="003C6DAE">
        <w:rPr>
          <w:rFonts w:ascii="Trebuchet MS"/>
          <w:color w:val="333333"/>
          <w:w w:val="85"/>
          <w:sz w:val="17"/>
          <w:lang w:val="uk-UA"/>
        </w:rPr>
        <w:t>(95%</w:t>
      </w:r>
      <w:r w:rsidRPr="003C6DAE">
        <w:rPr>
          <w:rFonts w:ascii="Trebuchet MS"/>
          <w:color w:val="333333"/>
          <w:spacing w:val="15"/>
          <w:sz w:val="17"/>
          <w:lang w:val="uk-UA"/>
        </w:rPr>
        <w:t xml:space="preserve"> </w:t>
      </w:r>
      <w:r w:rsidRPr="003C6DAE">
        <w:rPr>
          <w:rFonts w:ascii="Trebuchet MS"/>
          <w:color w:val="333333"/>
          <w:w w:val="85"/>
          <w:sz w:val="17"/>
          <w:lang w:val="uk-UA"/>
        </w:rPr>
        <w:t>C</w:t>
      </w:r>
      <w:r w:rsidRPr="003C6DAE">
        <w:rPr>
          <w:rFonts w:ascii="Trebuchet MS"/>
          <w:color w:val="333333"/>
          <w:spacing w:val="-18"/>
          <w:w w:val="85"/>
          <w:sz w:val="17"/>
          <w:lang w:val="uk-UA"/>
        </w:rPr>
        <w:t xml:space="preserve"> </w:t>
      </w:r>
      <w:r w:rsidRPr="003C6DAE">
        <w:rPr>
          <w:rFonts w:ascii="Trebuchet MS"/>
          <w:color w:val="333333"/>
          <w:spacing w:val="-5"/>
          <w:w w:val="85"/>
          <w:sz w:val="17"/>
          <w:lang w:val="uk-UA"/>
        </w:rPr>
        <w:t>I)</w:t>
      </w:r>
    </w:p>
    <w:p w14:paraId="4DF93998" w14:textId="77777777" w:rsidR="00E05B98" w:rsidRPr="003C6DAE" w:rsidRDefault="00B01E0C">
      <w:pPr>
        <w:spacing w:before="65"/>
        <w:ind w:left="333"/>
        <w:rPr>
          <w:rFonts w:ascii="Trebuchet MS"/>
          <w:sz w:val="17"/>
          <w:lang w:val="uk-UA"/>
        </w:rPr>
      </w:pPr>
      <w:r w:rsidRPr="003C6DAE">
        <w:rPr>
          <w:rFonts w:ascii="Trebuchet MS"/>
          <w:w w:val="75"/>
          <w:sz w:val="17"/>
          <w:lang w:val="uk-UA"/>
        </w:rPr>
        <w:t>0.88</w:t>
      </w:r>
      <w:r w:rsidRPr="003C6DAE">
        <w:rPr>
          <w:rFonts w:ascii="Trebuchet MS"/>
          <w:spacing w:val="22"/>
          <w:sz w:val="17"/>
          <w:lang w:val="uk-UA"/>
        </w:rPr>
        <w:t xml:space="preserve"> </w:t>
      </w:r>
      <w:r w:rsidRPr="003C6DAE">
        <w:rPr>
          <w:rFonts w:ascii="Trebuchet MS"/>
          <w:w w:val="75"/>
          <w:sz w:val="17"/>
          <w:lang w:val="uk-UA"/>
        </w:rPr>
        <w:t>[0.75,</w:t>
      </w:r>
      <w:r w:rsidRPr="003C6DAE">
        <w:rPr>
          <w:rFonts w:ascii="Trebuchet MS"/>
          <w:spacing w:val="29"/>
          <w:sz w:val="17"/>
          <w:lang w:val="uk-UA"/>
        </w:rPr>
        <w:t xml:space="preserve"> </w:t>
      </w:r>
      <w:r w:rsidRPr="003C6DAE">
        <w:rPr>
          <w:rFonts w:ascii="Trebuchet MS"/>
          <w:spacing w:val="-2"/>
          <w:w w:val="75"/>
          <w:sz w:val="17"/>
          <w:lang w:val="uk-UA"/>
        </w:rPr>
        <w:t>0.95]</w:t>
      </w:r>
    </w:p>
    <w:p w14:paraId="6D2352C2" w14:textId="77777777" w:rsidR="00E05B98" w:rsidRPr="003C6DAE" w:rsidRDefault="00B01E0C">
      <w:pPr>
        <w:spacing w:before="34"/>
        <w:ind w:left="333"/>
        <w:rPr>
          <w:rFonts w:ascii="Trebuchet MS"/>
          <w:sz w:val="17"/>
          <w:lang w:val="uk-UA"/>
        </w:rPr>
      </w:pPr>
      <w:r w:rsidRPr="003C6DAE">
        <w:rPr>
          <w:rFonts w:ascii="Trebuchet MS"/>
          <w:w w:val="75"/>
          <w:sz w:val="17"/>
          <w:lang w:val="uk-UA"/>
        </w:rPr>
        <w:t>1.00</w:t>
      </w:r>
      <w:r w:rsidRPr="003C6DAE">
        <w:rPr>
          <w:rFonts w:ascii="Trebuchet MS"/>
          <w:spacing w:val="22"/>
          <w:sz w:val="17"/>
          <w:lang w:val="uk-UA"/>
        </w:rPr>
        <w:t xml:space="preserve"> </w:t>
      </w:r>
      <w:r w:rsidRPr="003C6DAE">
        <w:rPr>
          <w:rFonts w:ascii="Trebuchet MS"/>
          <w:w w:val="75"/>
          <w:sz w:val="17"/>
          <w:lang w:val="uk-UA"/>
        </w:rPr>
        <w:t>[0.48,</w:t>
      </w:r>
      <w:r w:rsidRPr="003C6DAE">
        <w:rPr>
          <w:rFonts w:ascii="Trebuchet MS"/>
          <w:spacing w:val="29"/>
          <w:sz w:val="17"/>
          <w:lang w:val="uk-UA"/>
        </w:rPr>
        <w:t xml:space="preserve"> </w:t>
      </w:r>
      <w:r w:rsidRPr="003C6DAE">
        <w:rPr>
          <w:rFonts w:ascii="Trebuchet MS"/>
          <w:spacing w:val="-2"/>
          <w:w w:val="75"/>
          <w:sz w:val="17"/>
          <w:lang w:val="uk-UA"/>
        </w:rPr>
        <w:t>1.00]</w:t>
      </w:r>
    </w:p>
    <w:p w14:paraId="7F2AD4CF" w14:textId="77777777" w:rsidR="00E05B98" w:rsidRPr="003C6DAE" w:rsidRDefault="00B01E0C">
      <w:pPr>
        <w:spacing w:before="34"/>
        <w:ind w:left="333"/>
        <w:rPr>
          <w:rFonts w:ascii="Trebuchet MS"/>
          <w:sz w:val="17"/>
          <w:lang w:val="uk-UA"/>
        </w:rPr>
      </w:pPr>
      <w:r w:rsidRPr="003C6DAE">
        <w:rPr>
          <w:rFonts w:ascii="Trebuchet MS"/>
          <w:w w:val="75"/>
          <w:sz w:val="17"/>
          <w:lang w:val="uk-UA"/>
        </w:rPr>
        <w:t>1.00</w:t>
      </w:r>
      <w:r w:rsidRPr="003C6DAE">
        <w:rPr>
          <w:rFonts w:ascii="Trebuchet MS"/>
          <w:spacing w:val="22"/>
          <w:sz w:val="17"/>
          <w:lang w:val="uk-UA"/>
        </w:rPr>
        <w:t xml:space="preserve"> </w:t>
      </w:r>
      <w:r w:rsidRPr="003C6DAE">
        <w:rPr>
          <w:rFonts w:ascii="Trebuchet MS"/>
          <w:w w:val="75"/>
          <w:sz w:val="17"/>
          <w:lang w:val="uk-UA"/>
        </w:rPr>
        <w:t>[0.59,</w:t>
      </w:r>
      <w:r w:rsidRPr="003C6DAE">
        <w:rPr>
          <w:rFonts w:ascii="Trebuchet MS"/>
          <w:spacing w:val="29"/>
          <w:sz w:val="17"/>
          <w:lang w:val="uk-UA"/>
        </w:rPr>
        <w:t xml:space="preserve"> </w:t>
      </w:r>
      <w:r w:rsidRPr="003C6DAE">
        <w:rPr>
          <w:rFonts w:ascii="Trebuchet MS"/>
          <w:spacing w:val="-2"/>
          <w:w w:val="75"/>
          <w:sz w:val="17"/>
          <w:lang w:val="uk-UA"/>
        </w:rPr>
        <w:t>1.00]</w:t>
      </w:r>
    </w:p>
    <w:p w14:paraId="2932FE9D" w14:textId="77777777" w:rsidR="00E05B98" w:rsidRPr="003C6DAE" w:rsidRDefault="00B01E0C">
      <w:pPr>
        <w:spacing w:before="106"/>
        <w:ind w:left="91"/>
        <w:rPr>
          <w:rFonts w:ascii="Trebuchet MS"/>
          <w:sz w:val="17"/>
          <w:lang w:val="uk-UA"/>
        </w:rPr>
      </w:pPr>
      <w:r w:rsidRPr="003C6DAE">
        <w:rPr>
          <w:lang w:val="uk-UA"/>
        </w:rPr>
        <w:br w:type="column"/>
      </w:r>
      <w:r w:rsidRPr="003C6DAE">
        <w:rPr>
          <w:rFonts w:ascii="Trebuchet MS"/>
          <w:color w:val="333333"/>
          <w:w w:val="85"/>
          <w:sz w:val="17"/>
          <w:lang w:val="uk-UA"/>
        </w:rPr>
        <w:t>S</w:t>
      </w:r>
      <w:r w:rsidRPr="003C6DAE">
        <w:rPr>
          <w:rFonts w:ascii="Trebuchet MS"/>
          <w:color w:val="333333"/>
          <w:spacing w:val="-11"/>
          <w:w w:val="85"/>
          <w:sz w:val="17"/>
          <w:lang w:val="uk-UA"/>
        </w:rPr>
        <w:t xml:space="preserve"> </w:t>
      </w:r>
      <w:proofErr w:type="spellStart"/>
      <w:r w:rsidRPr="003C6DAE">
        <w:rPr>
          <w:rFonts w:ascii="Trebuchet MS"/>
          <w:color w:val="333333"/>
          <w:w w:val="85"/>
          <w:sz w:val="17"/>
          <w:lang w:val="uk-UA"/>
        </w:rPr>
        <w:t>ens</w:t>
      </w:r>
      <w:proofErr w:type="spellEnd"/>
      <w:r w:rsidRPr="003C6DAE">
        <w:rPr>
          <w:rFonts w:ascii="Trebuchet MS"/>
          <w:color w:val="333333"/>
          <w:spacing w:val="-13"/>
          <w:w w:val="85"/>
          <w:sz w:val="17"/>
          <w:lang w:val="uk-UA"/>
        </w:rPr>
        <w:t xml:space="preserve"> </w:t>
      </w:r>
      <w:proofErr w:type="spellStart"/>
      <w:r w:rsidRPr="003C6DAE">
        <w:rPr>
          <w:rFonts w:ascii="Trebuchet MS"/>
          <w:color w:val="333333"/>
          <w:w w:val="85"/>
          <w:sz w:val="17"/>
          <w:lang w:val="uk-UA"/>
        </w:rPr>
        <w:t>itivity</w:t>
      </w:r>
      <w:proofErr w:type="spellEnd"/>
      <w:r w:rsidRPr="003C6DAE">
        <w:rPr>
          <w:rFonts w:ascii="Trebuchet MS"/>
          <w:color w:val="333333"/>
          <w:spacing w:val="19"/>
          <w:sz w:val="17"/>
          <w:lang w:val="uk-UA"/>
        </w:rPr>
        <w:t xml:space="preserve"> </w:t>
      </w:r>
      <w:r w:rsidRPr="003C6DAE">
        <w:rPr>
          <w:rFonts w:ascii="Trebuchet MS"/>
          <w:color w:val="333333"/>
          <w:w w:val="85"/>
          <w:sz w:val="17"/>
          <w:lang w:val="uk-UA"/>
        </w:rPr>
        <w:t>(95%</w:t>
      </w:r>
      <w:r w:rsidRPr="003C6DAE">
        <w:rPr>
          <w:rFonts w:ascii="Trebuchet MS"/>
          <w:color w:val="333333"/>
          <w:spacing w:val="22"/>
          <w:sz w:val="17"/>
          <w:lang w:val="uk-UA"/>
        </w:rPr>
        <w:t xml:space="preserve"> </w:t>
      </w:r>
      <w:r w:rsidRPr="003C6DAE">
        <w:rPr>
          <w:rFonts w:ascii="Trebuchet MS"/>
          <w:color w:val="333333"/>
          <w:w w:val="85"/>
          <w:sz w:val="17"/>
          <w:lang w:val="uk-UA"/>
        </w:rPr>
        <w:t>C</w:t>
      </w:r>
      <w:r w:rsidRPr="003C6DAE">
        <w:rPr>
          <w:rFonts w:ascii="Trebuchet MS"/>
          <w:color w:val="333333"/>
          <w:spacing w:val="-16"/>
          <w:w w:val="85"/>
          <w:sz w:val="17"/>
          <w:lang w:val="uk-UA"/>
        </w:rPr>
        <w:t xml:space="preserve"> </w:t>
      </w:r>
      <w:r w:rsidRPr="003C6DAE">
        <w:rPr>
          <w:rFonts w:ascii="Trebuchet MS"/>
          <w:color w:val="333333"/>
          <w:spacing w:val="-5"/>
          <w:w w:val="85"/>
          <w:sz w:val="17"/>
          <w:lang w:val="uk-UA"/>
        </w:rPr>
        <w:t>I)</w:t>
      </w:r>
    </w:p>
    <w:p w14:paraId="245E98CA" w14:textId="77777777" w:rsidR="00E05B98" w:rsidRPr="003C6DAE" w:rsidRDefault="00E05B98">
      <w:pPr>
        <w:pStyle w:val="a3"/>
        <w:spacing w:before="8"/>
        <w:rPr>
          <w:rFonts w:ascii="Trebuchet MS"/>
          <w:sz w:val="6"/>
          <w:lang w:val="uk-UA"/>
        </w:rPr>
      </w:pPr>
    </w:p>
    <w:p w14:paraId="5C18495C" w14:textId="77777777" w:rsidR="00E05B98" w:rsidRPr="003C6DAE" w:rsidRDefault="00B01E0C">
      <w:pPr>
        <w:pStyle w:val="a3"/>
        <w:spacing w:line="101" w:lineRule="exact"/>
        <w:ind w:left="1148" w:right="-72"/>
        <w:rPr>
          <w:rFonts w:ascii="Trebuchet MS"/>
          <w:position w:val="-1"/>
          <w:sz w:val="10"/>
          <w:lang w:val="uk-UA"/>
        </w:rPr>
      </w:pPr>
      <w:r w:rsidRPr="003C6DAE">
        <w:rPr>
          <w:rFonts w:ascii="Trebuchet MS"/>
          <w:noProof/>
          <w:position w:val="-1"/>
          <w:sz w:val="10"/>
          <w:lang w:val="uk-UA"/>
        </w:rPr>
        <mc:AlternateContent>
          <mc:Choice Requires="wpg">
            <w:drawing>
              <wp:inline distT="0" distB="0" distL="0" distR="0" wp14:anchorId="7460F276" wp14:editId="464281FE">
                <wp:extent cx="217170" cy="64769"/>
                <wp:effectExtent l="9525" t="0" r="1904" b="1905"/>
                <wp:docPr id="1872"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170" cy="64769"/>
                          <a:chOff x="0" y="0"/>
                          <a:chExt cx="217170" cy="64769"/>
                        </a:xfrm>
                      </wpg:grpSpPr>
                      <wps:wsp>
                        <wps:cNvPr id="1873" name="Graphic 1873"/>
                        <wps:cNvSpPr/>
                        <wps:spPr>
                          <a:xfrm>
                            <a:off x="0" y="27596"/>
                            <a:ext cx="217170" cy="1270"/>
                          </a:xfrm>
                          <a:custGeom>
                            <a:avLst/>
                            <a:gdLst/>
                            <a:ahLst/>
                            <a:cxnLst/>
                            <a:rect l="l" t="t" r="r" b="b"/>
                            <a:pathLst>
                              <a:path w="217170">
                                <a:moveTo>
                                  <a:pt x="0" y="0"/>
                                </a:moveTo>
                                <a:lnTo>
                                  <a:pt x="132918" y="0"/>
                                </a:lnTo>
                              </a:path>
                              <a:path w="217170">
                                <a:moveTo>
                                  <a:pt x="188800" y="0"/>
                                </a:moveTo>
                                <a:lnTo>
                                  <a:pt x="216741" y="0"/>
                                </a:lnTo>
                              </a:path>
                            </a:pathLst>
                          </a:custGeom>
                          <a:ln w="9198">
                            <a:solidFill>
                              <a:srgbClr val="000000"/>
                            </a:solidFill>
                            <a:prstDash val="solid"/>
                          </a:ln>
                        </wps:spPr>
                        <wps:bodyPr wrap="square" lIns="0" tIns="0" rIns="0" bIns="0" rtlCol="0">
                          <a:prstTxWarp prst="textNoShape">
                            <a:avLst/>
                          </a:prstTxWarp>
                          <a:noAutofit/>
                        </wps:bodyPr>
                      </wps:wsp>
                      <wps:wsp>
                        <wps:cNvPr id="1874" name="Graphic 1874"/>
                        <wps:cNvSpPr/>
                        <wps:spPr>
                          <a:xfrm>
                            <a:off x="132918" y="0"/>
                            <a:ext cx="55880" cy="64769"/>
                          </a:xfrm>
                          <a:custGeom>
                            <a:avLst/>
                            <a:gdLst/>
                            <a:ahLst/>
                            <a:cxnLst/>
                            <a:rect l="l" t="t" r="r" b="b"/>
                            <a:pathLst>
                              <a:path w="55880" h="64769">
                                <a:moveTo>
                                  <a:pt x="55882" y="64388"/>
                                </a:moveTo>
                                <a:lnTo>
                                  <a:pt x="0" y="64388"/>
                                </a:lnTo>
                                <a:lnTo>
                                  <a:pt x="0" y="0"/>
                                </a:lnTo>
                                <a:lnTo>
                                  <a:pt x="55882" y="0"/>
                                </a:lnTo>
                                <a:lnTo>
                                  <a:pt x="55882" y="64388"/>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439A5C12" id="Group 1872" o:spid="_x0000_s1026" style="width:17.1pt;height:5.1pt;mso-position-horizontal-relative:char;mso-position-vertical-relative:line" coordsize="21717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">
                <v:shape id="Graphic 1873" o:spid="_x0000_s1027" style="position:absolute;top:27596;width:217170;height:1270;visibility:visible;mso-wrap-style:square;v-text-anchor:top" coordsize="217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" path="m,l132918,em188800,r27941,e" filled="f" strokeweight=".2555mm">
                  <v:path arrowok="t"/>
                </v:shape>
                <v:shape id="Graphic 1874" o:spid="_x0000_s1028" style="position:absolute;left:132918;width:55880;height:64769;visibility:visible;mso-wrap-style:square;v-text-anchor:top" coordsize="5588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" path="m55882,64388l,64388,,,55882,r,64388xe" fillcolor="#0000c0" stroked="f">
                  <v:path arrowok="t"/>
                </v:shape>
                <w10:anchorlock/>
              </v:group>
            </w:pict>
          </mc:Fallback>
        </mc:AlternateContent>
      </w:r>
    </w:p>
    <w:p w14:paraId="2AC32F4E" w14:textId="77777777" w:rsidR="00E05B98" w:rsidRPr="003C6DAE" w:rsidRDefault="00E05B98">
      <w:pPr>
        <w:pStyle w:val="a3"/>
        <w:rPr>
          <w:rFonts w:ascii="Trebuchet MS"/>
          <w:sz w:val="17"/>
          <w:lang w:val="uk-UA"/>
        </w:rPr>
      </w:pPr>
    </w:p>
    <w:p w14:paraId="1CFA97DC" w14:textId="77777777" w:rsidR="00E05B98" w:rsidRPr="003C6DAE" w:rsidRDefault="00E05B98">
      <w:pPr>
        <w:pStyle w:val="a3"/>
        <w:spacing w:before="186"/>
        <w:rPr>
          <w:rFonts w:ascii="Trebuchet MS"/>
          <w:sz w:val="17"/>
          <w:lang w:val="uk-UA"/>
        </w:rPr>
      </w:pPr>
    </w:p>
    <w:p w14:paraId="54A08233" w14:textId="77777777" w:rsidR="00E05B98" w:rsidRPr="003C6DAE" w:rsidRDefault="00B01E0C">
      <w:pPr>
        <w:spacing w:line="196" w:lineRule="exact"/>
        <w:ind w:left="3"/>
        <w:rPr>
          <w:rFonts w:ascii="Trebuchet MS"/>
          <w:sz w:val="17"/>
          <w:lang w:val="uk-UA"/>
        </w:rPr>
      </w:pPr>
      <w:r w:rsidRPr="003C6DAE">
        <w:rPr>
          <w:rFonts w:ascii="Trebuchet MS"/>
          <w:noProof/>
          <w:sz w:val="17"/>
          <w:lang w:val="uk-UA"/>
        </w:rPr>
        <mc:AlternateContent>
          <mc:Choice Requires="wpg">
            <w:drawing>
              <wp:anchor distT="0" distB="0" distL="0" distR="0" simplePos="0" relativeHeight="16038912" behindDoc="0" locked="0" layoutInCell="1" allowOverlap="1" wp14:anchorId="0081C11F" wp14:editId="1E66F51A">
                <wp:simplePos x="0" y="0"/>
                <wp:positionH relativeFrom="page">
                  <wp:posOffset>4772212</wp:posOffset>
                </wp:positionH>
                <wp:positionV relativeFrom="paragraph">
                  <wp:posOffset>-285405</wp:posOffset>
                </wp:positionV>
                <wp:extent cx="710565" cy="64769"/>
                <wp:effectExtent l="0" t="0" r="0" b="0"/>
                <wp:wrapNone/>
                <wp:docPr id="1875" name="Group 1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565" cy="64769"/>
                          <a:chOff x="0" y="0"/>
                          <a:chExt cx="710565" cy="64769"/>
                        </a:xfrm>
                      </wpg:grpSpPr>
                      <wps:wsp>
                        <wps:cNvPr id="1876" name="Graphic 1876"/>
                        <wps:cNvSpPr/>
                        <wps:spPr>
                          <a:xfrm>
                            <a:off x="0" y="27594"/>
                            <a:ext cx="654685" cy="1270"/>
                          </a:xfrm>
                          <a:custGeom>
                            <a:avLst/>
                            <a:gdLst/>
                            <a:ahLst/>
                            <a:cxnLst/>
                            <a:rect l="l" t="t" r="r" b="b"/>
                            <a:pathLst>
                              <a:path w="654685">
                                <a:moveTo>
                                  <a:pt x="0" y="0"/>
                                </a:moveTo>
                                <a:lnTo>
                                  <a:pt x="654217" y="0"/>
                                </a:lnTo>
                              </a:path>
                            </a:pathLst>
                          </a:custGeom>
                          <a:ln w="9198">
                            <a:solidFill>
                              <a:srgbClr val="000000"/>
                            </a:solidFill>
                            <a:prstDash val="solid"/>
                          </a:ln>
                        </wps:spPr>
                        <wps:bodyPr wrap="square" lIns="0" tIns="0" rIns="0" bIns="0" rtlCol="0">
                          <a:prstTxWarp prst="textNoShape">
                            <a:avLst/>
                          </a:prstTxWarp>
                          <a:noAutofit/>
                        </wps:bodyPr>
                      </wps:wsp>
                      <wps:wsp>
                        <wps:cNvPr id="1877" name="Graphic 1877"/>
                        <wps:cNvSpPr/>
                        <wps:spPr>
                          <a:xfrm>
                            <a:off x="654217" y="0"/>
                            <a:ext cx="55880" cy="64769"/>
                          </a:xfrm>
                          <a:custGeom>
                            <a:avLst/>
                            <a:gdLst/>
                            <a:ahLst/>
                            <a:cxnLst/>
                            <a:rect l="l" t="t" r="r" b="b"/>
                            <a:pathLst>
                              <a:path w="55880" h="64769">
                                <a:moveTo>
                                  <a:pt x="55880" y="64387"/>
                                </a:moveTo>
                                <a:lnTo>
                                  <a:pt x="0" y="64387"/>
                                </a:lnTo>
                                <a:lnTo>
                                  <a:pt x="0" y="0"/>
                                </a:lnTo>
                                <a:lnTo>
                                  <a:pt x="55880" y="0"/>
                                </a:lnTo>
                                <a:lnTo>
                                  <a:pt x="55880" y="6438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4581D75" id="Group 1875" o:spid="_x0000_s1026" style="position:absolute;margin-left:375.75pt;margin-top:-22.45pt;width:55.95pt;height:5.1pt;z-index:16038912;mso-wrap-distance-left:0;mso-wrap-distance-right:0;mso-position-horizontal-relative:page" coordsize="710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">
                <v:shape id="Graphic 1876" o:spid="_x0000_s1027" style="position:absolute;top:275;width:6546;height:13;visibility:visible;mso-wrap-style:square;v-text-anchor:top" coordsize="654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" path="m,l654217,e" filled="f" strokeweight=".2555mm">
                  <v:path arrowok="t"/>
                </v:shape>
                <v:shape id="Graphic 1877" o:spid="_x0000_s1028" style="position:absolute;left:6542;width:558;height:647;visibility:visible;mso-wrap-style:square;v-text-anchor:top" coordsize="5588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" path="m55880,64387l,64387,,,55880,r,64387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6039424" behindDoc="0" locked="0" layoutInCell="1" allowOverlap="1" wp14:anchorId="355C3464" wp14:editId="6ED5B052">
                <wp:simplePos x="0" y="0"/>
                <wp:positionH relativeFrom="page">
                  <wp:posOffset>4488414</wp:posOffset>
                </wp:positionH>
                <wp:positionV relativeFrom="paragraph">
                  <wp:posOffset>-138232</wp:posOffset>
                </wp:positionV>
                <wp:extent cx="2032000" cy="138430"/>
                <wp:effectExtent l="0" t="0" r="0" b="0"/>
                <wp:wrapNone/>
                <wp:docPr id="1878" name="Group 1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00" cy="138430"/>
                          <a:chOff x="0" y="0"/>
                          <a:chExt cx="2032000" cy="138430"/>
                        </a:xfrm>
                      </wpg:grpSpPr>
                      <wps:wsp>
                        <wps:cNvPr id="1879" name="Graphic 1879"/>
                        <wps:cNvSpPr/>
                        <wps:spPr>
                          <a:xfrm>
                            <a:off x="384785" y="27595"/>
                            <a:ext cx="553720" cy="1270"/>
                          </a:xfrm>
                          <a:custGeom>
                            <a:avLst/>
                            <a:gdLst/>
                            <a:ahLst/>
                            <a:cxnLst/>
                            <a:rect l="l" t="t" r="r" b="b"/>
                            <a:pathLst>
                              <a:path w="553720">
                                <a:moveTo>
                                  <a:pt x="0" y="0"/>
                                </a:moveTo>
                                <a:lnTo>
                                  <a:pt x="553229" y="0"/>
                                </a:lnTo>
                              </a:path>
                            </a:pathLst>
                          </a:custGeom>
                          <a:ln w="9198">
                            <a:solidFill>
                              <a:srgbClr val="000000"/>
                            </a:solidFill>
                            <a:prstDash val="solid"/>
                          </a:ln>
                        </wps:spPr>
                        <wps:bodyPr wrap="square" lIns="0" tIns="0" rIns="0" bIns="0" rtlCol="0">
                          <a:prstTxWarp prst="textNoShape">
                            <a:avLst/>
                          </a:prstTxWarp>
                          <a:noAutofit/>
                        </wps:bodyPr>
                      </wps:wsp>
                      <wps:wsp>
                        <wps:cNvPr id="1880" name="Graphic 1880"/>
                        <wps:cNvSpPr/>
                        <wps:spPr>
                          <a:xfrm>
                            <a:off x="938014" y="0"/>
                            <a:ext cx="55880" cy="64769"/>
                          </a:xfrm>
                          <a:custGeom>
                            <a:avLst/>
                            <a:gdLst/>
                            <a:ahLst/>
                            <a:cxnLst/>
                            <a:rect l="l" t="t" r="r" b="b"/>
                            <a:pathLst>
                              <a:path w="55880" h="64769">
                                <a:moveTo>
                                  <a:pt x="55882" y="64388"/>
                                </a:moveTo>
                                <a:lnTo>
                                  <a:pt x="0" y="64388"/>
                                </a:lnTo>
                                <a:lnTo>
                                  <a:pt x="0" y="0"/>
                                </a:lnTo>
                                <a:lnTo>
                                  <a:pt x="55882" y="0"/>
                                </a:lnTo>
                                <a:lnTo>
                                  <a:pt x="55882" y="64388"/>
                                </a:lnTo>
                                <a:close/>
                              </a:path>
                            </a:pathLst>
                          </a:custGeom>
                          <a:solidFill>
                            <a:srgbClr val="0000C0"/>
                          </a:solidFill>
                        </wps:spPr>
                        <wps:bodyPr wrap="square" lIns="0" tIns="0" rIns="0" bIns="0" rtlCol="0">
                          <a:prstTxWarp prst="textNoShape">
                            <a:avLst/>
                          </a:prstTxWarp>
                          <a:noAutofit/>
                        </wps:bodyPr>
                      </wps:wsp>
                      <wps:wsp>
                        <wps:cNvPr id="1881" name="Graphic 1881"/>
                        <wps:cNvSpPr/>
                        <wps:spPr>
                          <a:xfrm>
                            <a:off x="3991" y="101182"/>
                            <a:ext cx="950594" cy="1270"/>
                          </a:xfrm>
                          <a:custGeom>
                            <a:avLst/>
                            <a:gdLst/>
                            <a:ahLst/>
                            <a:cxnLst/>
                            <a:rect l="l" t="t" r="r" b="b"/>
                            <a:pathLst>
                              <a:path w="950594">
                                <a:moveTo>
                                  <a:pt x="0" y="0"/>
                                </a:moveTo>
                                <a:lnTo>
                                  <a:pt x="949991" y="0"/>
                                </a:lnTo>
                              </a:path>
                            </a:pathLst>
                          </a:custGeom>
                          <a:ln w="9198">
                            <a:solidFill>
                              <a:srgbClr val="000000"/>
                            </a:solidFill>
                            <a:prstDash val="solid"/>
                          </a:ln>
                        </wps:spPr>
                        <wps:bodyPr wrap="square" lIns="0" tIns="0" rIns="0" bIns="0" rtlCol="0">
                          <a:prstTxWarp prst="textNoShape">
                            <a:avLst/>
                          </a:prstTxWarp>
                          <a:noAutofit/>
                        </wps:bodyPr>
                      </wps:wsp>
                      <wps:wsp>
                        <wps:cNvPr id="1882" name="Graphic 1882"/>
                        <wps:cNvSpPr/>
                        <wps:spPr>
                          <a:xfrm>
                            <a:off x="3991" y="64388"/>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883" name="Graphic 1883"/>
                        <wps:cNvSpPr/>
                        <wps:spPr>
                          <a:xfrm>
                            <a:off x="193990" y="64388"/>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884" name="Graphic 1884"/>
                        <wps:cNvSpPr/>
                        <wps:spPr>
                          <a:xfrm>
                            <a:off x="383988" y="64388"/>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885" name="Graphic 1885"/>
                        <wps:cNvSpPr/>
                        <wps:spPr>
                          <a:xfrm>
                            <a:off x="573588" y="64388"/>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886" name="Graphic 1886"/>
                        <wps:cNvSpPr/>
                        <wps:spPr>
                          <a:xfrm>
                            <a:off x="763986" y="64388"/>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887" name="Graphic 1887"/>
                        <wps:cNvSpPr/>
                        <wps:spPr>
                          <a:xfrm>
                            <a:off x="953984" y="64388"/>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888" name="Graphic 1888"/>
                        <wps:cNvSpPr/>
                        <wps:spPr>
                          <a:xfrm>
                            <a:off x="1607005" y="27595"/>
                            <a:ext cx="368935" cy="1270"/>
                          </a:xfrm>
                          <a:custGeom>
                            <a:avLst/>
                            <a:gdLst/>
                            <a:ahLst/>
                            <a:cxnLst/>
                            <a:rect l="l" t="t" r="r" b="b"/>
                            <a:pathLst>
                              <a:path w="368935">
                                <a:moveTo>
                                  <a:pt x="0" y="0"/>
                                </a:moveTo>
                                <a:lnTo>
                                  <a:pt x="368821" y="0"/>
                                </a:lnTo>
                              </a:path>
                            </a:pathLst>
                          </a:custGeom>
                          <a:ln w="9198">
                            <a:solidFill>
                              <a:srgbClr val="000000"/>
                            </a:solidFill>
                            <a:prstDash val="solid"/>
                          </a:ln>
                        </wps:spPr>
                        <wps:bodyPr wrap="square" lIns="0" tIns="0" rIns="0" bIns="0" rtlCol="0">
                          <a:prstTxWarp prst="textNoShape">
                            <a:avLst/>
                          </a:prstTxWarp>
                          <a:noAutofit/>
                        </wps:bodyPr>
                      </wps:wsp>
                      <wps:wsp>
                        <wps:cNvPr id="1889" name="Graphic 1889"/>
                        <wps:cNvSpPr/>
                        <wps:spPr>
                          <a:xfrm>
                            <a:off x="1975826" y="0"/>
                            <a:ext cx="55880" cy="64769"/>
                          </a:xfrm>
                          <a:custGeom>
                            <a:avLst/>
                            <a:gdLst/>
                            <a:ahLst/>
                            <a:cxnLst/>
                            <a:rect l="l" t="t" r="r" b="b"/>
                            <a:pathLst>
                              <a:path w="55880" h="64769">
                                <a:moveTo>
                                  <a:pt x="55880" y="64387"/>
                                </a:moveTo>
                                <a:lnTo>
                                  <a:pt x="0" y="64387"/>
                                </a:lnTo>
                                <a:lnTo>
                                  <a:pt x="0" y="0"/>
                                </a:lnTo>
                                <a:lnTo>
                                  <a:pt x="55880" y="0"/>
                                </a:lnTo>
                                <a:lnTo>
                                  <a:pt x="55880" y="64387"/>
                                </a:lnTo>
                                <a:close/>
                              </a:path>
                            </a:pathLst>
                          </a:custGeom>
                          <a:solidFill>
                            <a:srgbClr val="0000C0"/>
                          </a:solidFill>
                        </wps:spPr>
                        <wps:bodyPr wrap="square" lIns="0" tIns="0" rIns="0" bIns="0" rtlCol="0">
                          <a:prstTxWarp prst="textNoShape">
                            <a:avLst/>
                          </a:prstTxWarp>
                          <a:noAutofit/>
                        </wps:bodyPr>
                      </wps:wsp>
                      <wps:wsp>
                        <wps:cNvPr id="1890" name="Graphic 1890"/>
                        <wps:cNvSpPr/>
                        <wps:spPr>
                          <a:xfrm>
                            <a:off x="1041801" y="101182"/>
                            <a:ext cx="950594" cy="1270"/>
                          </a:xfrm>
                          <a:custGeom>
                            <a:avLst/>
                            <a:gdLst/>
                            <a:ahLst/>
                            <a:cxnLst/>
                            <a:rect l="l" t="t" r="r" b="b"/>
                            <a:pathLst>
                              <a:path w="950594">
                                <a:moveTo>
                                  <a:pt x="0" y="0"/>
                                </a:moveTo>
                                <a:lnTo>
                                  <a:pt x="949991" y="0"/>
                                </a:lnTo>
                              </a:path>
                            </a:pathLst>
                          </a:custGeom>
                          <a:ln w="9198">
                            <a:solidFill>
                              <a:srgbClr val="000000"/>
                            </a:solidFill>
                            <a:prstDash val="solid"/>
                          </a:ln>
                        </wps:spPr>
                        <wps:bodyPr wrap="square" lIns="0" tIns="0" rIns="0" bIns="0" rtlCol="0">
                          <a:prstTxWarp prst="textNoShape">
                            <a:avLst/>
                          </a:prstTxWarp>
                          <a:noAutofit/>
                        </wps:bodyPr>
                      </wps:wsp>
                      <wps:wsp>
                        <wps:cNvPr id="1891" name="Graphic 1891"/>
                        <wps:cNvSpPr/>
                        <wps:spPr>
                          <a:xfrm>
                            <a:off x="1041802" y="64388"/>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892" name="Graphic 1892"/>
                        <wps:cNvSpPr/>
                        <wps:spPr>
                          <a:xfrm>
                            <a:off x="1231800" y="64388"/>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893" name="Graphic 1893"/>
                        <wps:cNvSpPr/>
                        <wps:spPr>
                          <a:xfrm>
                            <a:off x="1421799" y="64388"/>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894" name="Graphic 1894"/>
                        <wps:cNvSpPr/>
                        <wps:spPr>
                          <a:xfrm>
                            <a:off x="1611398" y="64388"/>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895" name="Graphic 1895"/>
                        <wps:cNvSpPr/>
                        <wps:spPr>
                          <a:xfrm>
                            <a:off x="1801796" y="64388"/>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896" name="Graphic 1896"/>
                        <wps:cNvSpPr/>
                        <wps:spPr>
                          <a:xfrm>
                            <a:off x="1991795" y="64388"/>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7CF8C7" id="Group 1878" o:spid="_x0000_s1026" style="position:absolute;margin-left:353.4pt;margin-top:-10.9pt;width:160pt;height:10.9pt;z-index:16039424;mso-wrap-distance-left:0;mso-wrap-distance-right:0;mso-position-horizontal-relative:page" coordsize="20320,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">
                <v:shape id="Graphic 1879" o:spid="_x0000_s1027" style="position:absolute;left:3847;top:275;width:5538;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" path="m,l553229,e" filled="f" strokeweight=".2555mm">
                  <v:path arrowok="t"/>
                </v:shape>
                <v:shape id="Graphic 1880" o:spid="_x0000_s1028" style="position:absolute;left:9380;width:558;height:647;visibility:visible;mso-wrap-style:square;v-text-anchor:top" coordsize="5588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" path="m55882,64388l,64388,,,55882,r,64388xe" fillcolor="#0000c0" stroked="f">
                  <v:path arrowok="t"/>
                </v:shape>
                <v:shape id="Graphic 1881" o:spid="_x0000_s1029" style="position:absolute;left:39;top:1011;width:9506;height:13;visibility:visible;mso-wrap-style:square;v-text-anchor:top" coordsize="950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" path="m,l949991,e" filled="f" strokeweight=".2555mm">
                  <v:path arrowok="t"/>
                </v:shape>
                <v:shape id="Graphic 1882" o:spid="_x0000_s1030" style="position:absolute;left:39;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" path="m,l,73586e" filled="f" strokeweight=".22175mm">
                  <v:path arrowok="t"/>
                </v:shape>
                <v:shape id="Graphic 1883" o:spid="_x0000_s1031" style="position:absolute;left:1939;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" path="m,l,73586e" filled="f" strokeweight=".22175mm">
                  <v:path arrowok="t"/>
                </v:shape>
                <v:shape id="Graphic 1884" o:spid="_x0000_s1032" style="position:absolute;left:3839;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" path="m,l,73586e" filled="f" strokeweight=".22175mm">
                  <v:path arrowok="t"/>
                </v:shape>
                <v:shape id="Graphic 1885" o:spid="_x0000_s1033" style="position:absolute;left:5735;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" path="m,l,73586e" filled="f" strokeweight=".22175mm">
                  <v:path arrowok="t"/>
                </v:shape>
                <v:shape id="Graphic 1886" o:spid="_x0000_s1034" style="position:absolute;left:7639;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" path="m,l,73586e" filled="f" strokeweight=".22175mm">
                  <v:path arrowok="t"/>
                </v:shape>
                <v:shape id="Graphic 1887" o:spid="_x0000_s1035" style="position:absolute;left:9539;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" path="m,l,73586e" filled="f" strokeweight=".22175mm">
                  <v:path arrowok="t"/>
                </v:shape>
                <v:shape id="Graphic 1888" o:spid="_x0000_s1036" style="position:absolute;left:16070;top:275;width:3689;height:13;visibility:visible;mso-wrap-style:square;v-text-anchor:top" coordsize="368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" path="m,l368821,e" filled="f" strokeweight=".2555mm">
                  <v:path arrowok="t"/>
                </v:shape>
                <v:shape id="Graphic 1889" o:spid="_x0000_s1037" style="position:absolute;left:19758;width:559;height:647;visibility:visible;mso-wrap-style:square;v-text-anchor:top" coordsize="5588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" path="m55880,64387l,64387,,,55880,r,64387xe" fillcolor="#0000c0" stroked="f">
                  <v:path arrowok="t"/>
                </v:shape>
                <v:shape id="Graphic 1890" o:spid="_x0000_s1038" style="position:absolute;left:10418;top:1011;width:9505;height:13;visibility:visible;mso-wrap-style:square;v-text-anchor:top" coordsize="950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" path="m,l949991,e" filled="f" strokeweight=".2555mm">
                  <v:path arrowok="t"/>
                </v:shape>
                <v:shape id="Graphic 1891" o:spid="_x0000_s1039" style="position:absolute;left:10418;top:643;width:12;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" path="m,l,73586e" filled="f" strokeweight=".22175mm">
                  <v:path arrowok="t"/>
                </v:shape>
                <v:shape id="Graphic 1892" o:spid="_x0000_s1040" style="position:absolute;left:12318;top:643;width:12;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" path="m,l,73586e" filled="f" strokeweight=".22175mm">
                  <v:path arrowok="t"/>
                </v:shape>
                <v:shape id="Graphic 1893" o:spid="_x0000_s1041" style="position:absolute;left:14217;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" path="m,l,73586e" filled="f" strokeweight=".22175mm">
                  <v:path arrowok="t"/>
                </v:shape>
                <v:shape id="Graphic 1894" o:spid="_x0000_s1042" style="position:absolute;left:16113;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" path="m,l,73586e" filled="f" strokeweight=".22175mm">
                  <v:path arrowok="t"/>
                </v:shape>
                <v:shape id="Graphic 1895" o:spid="_x0000_s1043" style="position:absolute;left:18017;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" path="m,l,73586e" filled="f" strokeweight=".22175mm">
                  <v:path arrowok="t"/>
                </v:shape>
                <v:shape id="Graphic 1896" o:spid="_x0000_s1044" style="position:absolute;left:19917;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" path="m,l,73586e" filled="f" strokeweight=".22175mm">
                  <v:path arrowok="t"/>
                </v:shape>
                <w10:wrap anchorx="page"/>
              </v:group>
            </w:pict>
          </mc:Fallback>
        </mc:AlternateContent>
      </w:r>
      <w:r w:rsidRPr="003C6DAE">
        <w:rPr>
          <w:rFonts w:ascii="Trebuchet MS"/>
          <w:w w:val="90"/>
          <w:sz w:val="17"/>
          <w:lang w:val="uk-UA"/>
        </w:rPr>
        <w:t>0</w:t>
      </w:r>
      <w:r w:rsidRPr="003C6DAE">
        <w:rPr>
          <w:rFonts w:ascii="Trebuchet MS"/>
          <w:spacing w:val="49"/>
          <w:sz w:val="17"/>
          <w:lang w:val="uk-UA"/>
        </w:rPr>
        <w:t xml:space="preserve"> </w:t>
      </w:r>
      <w:r w:rsidRPr="003C6DAE">
        <w:rPr>
          <w:rFonts w:ascii="Trebuchet MS"/>
          <w:w w:val="90"/>
          <w:sz w:val="17"/>
          <w:lang w:val="uk-UA"/>
        </w:rPr>
        <w:t>0.2</w:t>
      </w:r>
      <w:r w:rsidRPr="003C6DAE">
        <w:rPr>
          <w:rFonts w:ascii="Trebuchet MS"/>
          <w:spacing w:val="32"/>
          <w:sz w:val="17"/>
          <w:lang w:val="uk-UA"/>
        </w:rPr>
        <w:t xml:space="preserve"> </w:t>
      </w:r>
      <w:r w:rsidRPr="003C6DAE">
        <w:rPr>
          <w:rFonts w:ascii="Trebuchet MS"/>
          <w:w w:val="90"/>
          <w:sz w:val="17"/>
          <w:lang w:val="uk-UA"/>
        </w:rPr>
        <w:t>0.4</w:t>
      </w:r>
      <w:r w:rsidRPr="003C6DAE">
        <w:rPr>
          <w:rFonts w:ascii="Trebuchet MS"/>
          <w:spacing w:val="33"/>
          <w:sz w:val="17"/>
          <w:lang w:val="uk-UA"/>
        </w:rPr>
        <w:t xml:space="preserve"> </w:t>
      </w:r>
      <w:r w:rsidRPr="003C6DAE">
        <w:rPr>
          <w:rFonts w:ascii="Trebuchet MS"/>
          <w:w w:val="90"/>
          <w:sz w:val="17"/>
          <w:lang w:val="uk-UA"/>
        </w:rPr>
        <w:t>0.6</w:t>
      </w:r>
      <w:r w:rsidRPr="003C6DAE">
        <w:rPr>
          <w:rFonts w:ascii="Trebuchet MS"/>
          <w:spacing w:val="32"/>
          <w:sz w:val="17"/>
          <w:lang w:val="uk-UA"/>
        </w:rPr>
        <w:t xml:space="preserve"> </w:t>
      </w:r>
      <w:r w:rsidRPr="003C6DAE">
        <w:rPr>
          <w:rFonts w:ascii="Trebuchet MS"/>
          <w:w w:val="90"/>
          <w:sz w:val="17"/>
          <w:lang w:val="uk-UA"/>
        </w:rPr>
        <w:t>0.8</w:t>
      </w:r>
      <w:r w:rsidRPr="003C6DAE">
        <w:rPr>
          <w:rFonts w:ascii="Trebuchet MS"/>
          <w:spacing w:val="50"/>
          <w:sz w:val="17"/>
          <w:lang w:val="uk-UA"/>
        </w:rPr>
        <w:t xml:space="preserve"> </w:t>
      </w:r>
      <w:r w:rsidRPr="003C6DAE">
        <w:rPr>
          <w:rFonts w:ascii="Trebuchet MS"/>
          <w:spacing w:val="-10"/>
          <w:w w:val="90"/>
          <w:sz w:val="17"/>
          <w:lang w:val="uk-UA"/>
        </w:rPr>
        <w:t>1</w:t>
      </w:r>
    </w:p>
    <w:p w14:paraId="2CAFCFF8" w14:textId="77777777" w:rsidR="00E05B98" w:rsidRPr="003C6DAE" w:rsidRDefault="00B01E0C">
      <w:pPr>
        <w:spacing w:before="106"/>
        <w:ind w:left="186"/>
        <w:rPr>
          <w:rFonts w:ascii="Trebuchet MS"/>
          <w:sz w:val="17"/>
          <w:lang w:val="uk-UA"/>
        </w:rPr>
      </w:pPr>
      <w:r w:rsidRPr="003C6DAE">
        <w:rPr>
          <w:lang w:val="uk-UA"/>
        </w:rPr>
        <w:br w:type="column"/>
      </w:r>
      <w:r w:rsidRPr="003C6DAE">
        <w:rPr>
          <w:rFonts w:ascii="Trebuchet MS"/>
          <w:color w:val="333333"/>
          <w:w w:val="85"/>
          <w:sz w:val="17"/>
          <w:lang w:val="uk-UA"/>
        </w:rPr>
        <w:t>S</w:t>
      </w:r>
      <w:r w:rsidRPr="003C6DAE">
        <w:rPr>
          <w:rFonts w:ascii="Trebuchet MS"/>
          <w:color w:val="333333"/>
          <w:spacing w:val="-14"/>
          <w:w w:val="85"/>
          <w:sz w:val="17"/>
          <w:lang w:val="uk-UA"/>
        </w:rPr>
        <w:t xml:space="preserve"> </w:t>
      </w:r>
      <w:proofErr w:type="spellStart"/>
      <w:r w:rsidRPr="003C6DAE">
        <w:rPr>
          <w:rFonts w:ascii="Trebuchet MS"/>
          <w:color w:val="333333"/>
          <w:w w:val="85"/>
          <w:sz w:val="17"/>
          <w:lang w:val="uk-UA"/>
        </w:rPr>
        <w:t>pec</w:t>
      </w:r>
      <w:proofErr w:type="spellEnd"/>
      <w:r w:rsidRPr="003C6DAE">
        <w:rPr>
          <w:rFonts w:ascii="Trebuchet MS"/>
          <w:color w:val="333333"/>
          <w:spacing w:val="-25"/>
          <w:w w:val="85"/>
          <w:sz w:val="17"/>
          <w:lang w:val="uk-UA"/>
        </w:rPr>
        <w:t xml:space="preserve"> </w:t>
      </w:r>
      <w:proofErr w:type="spellStart"/>
      <w:r w:rsidRPr="003C6DAE">
        <w:rPr>
          <w:rFonts w:ascii="Trebuchet MS"/>
          <w:color w:val="333333"/>
          <w:w w:val="85"/>
          <w:sz w:val="17"/>
          <w:lang w:val="uk-UA"/>
        </w:rPr>
        <w:t>ific</w:t>
      </w:r>
      <w:proofErr w:type="spellEnd"/>
      <w:r w:rsidRPr="003C6DAE">
        <w:rPr>
          <w:rFonts w:ascii="Trebuchet MS"/>
          <w:color w:val="333333"/>
          <w:spacing w:val="-25"/>
          <w:w w:val="85"/>
          <w:sz w:val="17"/>
          <w:lang w:val="uk-UA"/>
        </w:rPr>
        <w:t xml:space="preserve"> </w:t>
      </w:r>
      <w:proofErr w:type="spellStart"/>
      <w:r w:rsidRPr="003C6DAE">
        <w:rPr>
          <w:rFonts w:ascii="Trebuchet MS"/>
          <w:color w:val="333333"/>
          <w:w w:val="85"/>
          <w:sz w:val="17"/>
          <w:lang w:val="uk-UA"/>
        </w:rPr>
        <w:t>ity</w:t>
      </w:r>
      <w:proofErr w:type="spellEnd"/>
      <w:r w:rsidRPr="003C6DAE">
        <w:rPr>
          <w:rFonts w:ascii="Trebuchet MS"/>
          <w:color w:val="333333"/>
          <w:spacing w:val="12"/>
          <w:sz w:val="17"/>
          <w:lang w:val="uk-UA"/>
        </w:rPr>
        <w:t xml:space="preserve"> </w:t>
      </w:r>
      <w:r w:rsidRPr="003C6DAE">
        <w:rPr>
          <w:rFonts w:ascii="Trebuchet MS"/>
          <w:color w:val="333333"/>
          <w:w w:val="85"/>
          <w:sz w:val="17"/>
          <w:lang w:val="uk-UA"/>
        </w:rPr>
        <w:t>(95%</w:t>
      </w:r>
      <w:r w:rsidRPr="003C6DAE">
        <w:rPr>
          <w:rFonts w:ascii="Trebuchet MS"/>
          <w:color w:val="333333"/>
          <w:spacing w:val="15"/>
          <w:sz w:val="17"/>
          <w:lang w:val="uk-UA"/>
        </w:rPr>
        <w:t xml:space="preserve"> </w:t>
      </w:r>
      <w:r w:rsidRPr="003C6DAE">
        <w:rPr>
          <w:rFonts w:ascii="Trebuchet MS"/>
          <w:color w:val="333333"/>
          <w:w w:val="85"/>
          <w:sz w:val="17"/>
          <w:lang w:val="uk-UA"/>
        </w:rPr>
        <w:t>C</w:t>
      </w:r>
      <w:r w:rsidRPr="003C6DAE">
        <w:rPr>
          <w:rFonts w:ascii="Trebuchet MS"/>
          <w:color w:val="333333"/>
          <w:spacing w:val="-18"/>
          <w:w w:val="85"/>
          <w:sz w:val="17"/>
          <w:lang w:val="uk-UA"/>
        </w:rPr>
        <w:t xml:space="preserve"> </w:t>
      </w:r>
      <w:r w:rsidRPr="003C6DAE">
        <w:rPr>
          <w:rFonts w:ascii="Trebuchet MS"/>
          <w:color w:val="333333"/>
          <w:spacing w:val="-5"/>
          <w:w w:val="85"/>
          <w:sz w:val="17"/>
          <w:lang w:val="uk-UA"/>
        </w:rPr>
        <w:t>I)</w:t>
      </w:r>
    </w:p>
    <w:p w14:paraId="6FCA3714" w14:textId="77777777" w:rsidR="00E05B98" w:rsidRPr="003C6DAE" w:rsidRDefault="00B01E0C">
      <w:pPr>
        <w:pStyle w:val="a3"/>
        <w:spacing w:before="7"/>
        <w:rPr>
          <w:rFonts w:ascii="Trebuchet MS"/>
          <w:sz w:val="4"/>
          <w:lang w:val="uk-UA"/>
        </w:rPr>
      </w:pPr>
      <w:r w:rsidRPr="003C6DAE">
        <w:rPr>
          <w:rFonts w:ascii="Trebuchet MS"/>
          <w:noProof/>
          <w:sz w:val="4"/>
          <w:lang w:val="uk-UA"/>
        </w:rPr>
        <mc:AlternateContent>
          <mc:Choice Requires="wpg">
            <w:drawing>
              <wp:anchor distT="0" distB="0" distL="0" distR="0" simplePos="0" relativeHeight="487894016" behindDoc="1" locked="0" layoutInCell="1" allowOverlap="1" wp14:anchorId="5AFA7700" wp14:editId="609C8688">
                <wp:simplePos x="0" y="0"/>
                <wp:positionH relativeFrom="page">
                  <wp:posOffset>6246299</wp:posOffset>
                </wp:positionH>
                <wp:positionV relativeFrom="paragraph">
                  <wp:posOffset>49673</wp:posOffset>
                </wp:positionV>
                <wp:extent cx="196850" cy="64769"/>
                <wp:effectExtent l="0" t="0" r="0" b="0"/>
                <wp:wrapTopAndBottom/>
                <wp:docPr id="1897" name="Group 1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64769"/>
                          <a:chOff x="0" y="0"/>
                          <a:chExt cx="196850" cy="64769"/>
                        </a:xfrm>
                      </wpg:grpSpPr>
                      <wps:wsp>
                        <wps:cNvPr id="1898" name="Graphic 1898"/>
                        <wps:cNvSpPr/>
                        <wps:spPr>
                          <a:xfrm>
                            <a:off x="0" y="27595"/>
                            <a:ext cx="196850" cy="1270"/>
                          </a:xfrm>
                          <a:custGeom>
                            <a:avLst/>
                            <a:gdLst/>
                            <a:ahLst/>
                            <a:cxnLst/>
                            <a:rect l="l" t="t" r="r" b="b"/>
                            <a:pathLst>
                              <a:path w="196850">
                                <a:moveTo>
                                  <a:pt x="0" y="0"/>
                                </a:moveTo>
                                <a:lnTo>
                                  <a:pt x="98192" y="0"/>
                                </a:lnTo>
                              </a:path>
                              <a:path w="196850">
                                <a:moveTo>
                                  <a:pt x="154074" y="0"/>
                                </a:moveTo>
                                <a:lnTo>
                                  <a:pt x="196384" y="0"/>
                                </a:lnTo>
                              </a:path>
                            </a:pathLst>
                          </a:custGeom>
                          <a:ln w="9198">
                            <a:solidFill>
                              <a:srgbClr val="000000"/>
                            </a:solidFill>
                            <a:prstDash val="solid"/>
                          </a:ln>
                        </wps:spPr>
                        <wps:bodyPr wrap="square" lIns="0" tIns="0" rIns="0" bIns="0" rtlCol="0">
                          <a:prstTxWarp prst="textNoShape">
                            <a:avLst/>
                          </a:prstTxWarp>
                          <a:noAutofit/>
                        </wps:bodyPr>
                      </wps:wsp>
                      <wps:wsp>
                        <wps:cNvPr id="1899" name="Graphic 1899"/>
                        <wps:cNvSpPr/>
                        <wps:spPr>
                          <a:xfrm>
                            <a:off x="98192" y="0"/>
                            <a:ext cx="55880" cy="64769"/>
                          </a:xfrm>
                          <a:custGeom>
                            <a:avLst/>
                            <a:gdLst/>
                            <a:ahLst/>
                            <a:cxnLst/>
                            <a:rect l="l" t="t" r="r" b="b"/>
                            <a:pathLst>
                              <a:path w="55880" h="64769">
                                <a:moveTo>
                                  <a:pt x="55882" y="64388"/>
                                </a:moveTo>
                                <a:lnTo>
                                  <a:pt x="0" y="64388"/>
                                </a:lnTo>
                                <a:lnTo>
                                  <a:pt x="0" y="0"/>
                                </a:lnTo>
                                <a:lnTo>
                                  <a:pt x="55882" y="0"/>
                                </a:lnTo>
                                <a:lnTo>
                                  <a:pt x="55882" y="6438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4C54428" id="Group 1897" o:spid="_x0000_s1026" style="position:absolute;margin-left:491.85pt;margin-top:3.9pt;width:15.5pt;height:5.1pt;z-index:-15422464;mso-wrap-distance-left:0;mso-wrap-distance-right:0;mso-position-horizontal-relative:page" coordsize="196850,6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">
                <v:shape id="Graphic 1898" o:spid="_x0000_s1027" style="position:absolute;top:27595;width:196850;height:1270;visibility:visible;mso-wrap-style:square;v-text-anchor:top" coordsize="196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" path="m,l98192,em154074,r42310,e" filled="f" strokeweight=".2555mm">
                  <v:path arrowok="t"/>
                </v:shape>
                <v:shape id="Graphic 1899" o:spid="_x0000_s1028" style="position:absolute;left:98192;width:55880;height:64769;visibility:visible;mso-wrap-style:square;v-text-anchor:top" coordsize="5588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" path="m55882,64388l,64388,,,55882,r,64388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894528" behindDoc="1" locked="0" layoutInCell="1" allowOverlap="1" wp14:anchorId="7C1E14CE" wp14:editId="6FE1F24F">
                <wp:simplePos x="0" y="0"/>
                <wp:positionH relativeFrom="page">
                  <wp:posOffset>5988046</wp:posOffset>
                </wp:positionH>
                <wp:positionV relativeFrom="paragraph">
                  <wp:posOffset>196846</wp:posOffset>
                </wp:positionV>
                <wp:extent cx="532130" cy="64769"/>
                <wp:effectExtent l="0" t="0" r="0" b="0"/>
                <wp:wrapTopAndBottom/>
                <wp:docPr id="1900" name="Group 1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130" cy="64769"/>
                          <a:chOff x="0" y="0"/>
                          <a:chExt cx="532130" cy="64769"/>
                        </a:xfrm>
                      </wpg:grpSpPr>
                      <wps:wsp>
                        <wps:cNvPr id="1901" name="Graphic 1901"/>
                        <wps:cNvSpPr/>
                        <wps:spPr>
                          <a:xfrm>
                            <a:off x="0" y="27595"/>
                            <a:ext cx="476250" cy="1270"/>
                          </a:xfrm>
                          <a:custGeom>
                            <a:avLst/>
                            <a:gdLst/>
                            <a:ahLst/>
                            <a:cxnLst/>
                            <a:rect l="l" t="t" r="r" b="b"/>
                            <a:pathLst>
                              <a:path w="476250">
                                <a:moveTo>
                                  <a:pt x="0" y="0"/>
                                </a:moveTo>
                                <a:lnTo>
                                  <a:pt x="476193" y="0"/>
                                </a:lnTo>
                              </a:path>
                            </a:pathLst>
                          </a:custGeom>
                          <a:ln w="9198">
                            <a:solidFill>
                              <a:srgbClr val="000000"/>
                            </a:solidFill>
                            <a:prstDash val="solid"/>
                          </a:ln>
                        </wps:spPr>
                        <wps:bodyPr wrap="square" lIns="0" tIns="0" rIns="0" bIns="0" rtlCol="0">
                          <a:prstTxWarp prst="textNoShape">
                            <a:avLst/>
                          </a:prstTxWarp>
                          <a:noAutofit/>
                        </wps:bodyPr>
                      </wps:wsp>
                      <wps:wsp>
                        <wps:cNvPr id="1902" name="Graphic 1902"/>
                        <wps:cNvSpPr/>
                        <wps:spPr>
                          <a:xfrm>
                            <a:off x="476193" y="0"/>
                            <a:ext cx="55880" cy="64769"/>
                          </a:xfrm>
                          <a:custGeom>
                            <a:avLst/>
                            <a:gdLst/>
                            <a:ahLst/>
                            <a:cxnLst/>
                            <a:rect l="l" t="t" r="r" b="b"/>
                            <a:pathLst>
                              <a:path w="55880" h="64769">
                                <a:moveTo>
                                  <a:pt x="55882" y="64388"/>
                                </a:moveTo>
                                <a:lnTo>
                                  <a:pt x="0" y="64388"/>
                                </a:lnTo>
                                <a:lnTo>
                                  <a:pt x="0" y="0"/>
                                </a:lnTo>
                                <a:lnTo>
                                  <a:pt x="55882" y="0"/>
                                </a:lnTo>
                                <a:lnTo>
                                  <a:pt x="55882" y="6438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EB92B80" id="Group 1900" o:spid="_x0000_s1026" style="position:absolute;margin-left:471.5pt;margin-top:15.5pt;width:41.9pt;height:5.1pt;z-index:-15421952;mso-wrap-distance-left:0;mso-wrap-distance-right:0;mso-position-horizontal-relative:page" coordsize="532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">
                <v:shape id="Graphic 1901" o:spid="_x0000_s1027" style="position:absolute;top:275;width:4762;height:13;visibility:visible;mso-wrap-style:square;v-text-anchor:top" coordsize="476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" path="m,l476193,e" filled="f" strokeweight=".2555mm">
                  <v:path arrowok="t"/>
                </v:shape>
                <v:shape id="Graphic 1902" o:spid="_x0000_s1028" style="position:absolute;left:4761;width:559;height:647;visibility:visible;mso-wrap-style:square;v-text-anchor:top" coordsize="5588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" path="m55882,64388l,64388,,,55882,r,64388xe" fillcolor="#0000c0" stroked="f">
                  <v:path arrowok="t"/>
                </v:shape>
                <w10:wrap type="topAndBottom" anchorx="page"/>
              </v:group>
            </w:pict>
          </mc:Fallback>
        </mc:AlternateContent>
      </w:r>
    </w:p>
    <w:p w14:paraId="3BB0003D" w14:textId="77777777" w:rsidR="00E05B98" w:rsidRPr="003C6DAE" w:rsidRDefault="00E05B98">
      <w:pPr>
        <w:pStyle w:val="a3"/>
        <w:spacing w:before="1"/>
        <w:rPr>
          <w:rFonts w:ascii="Trebuchet MS"/>
          <w:sz w:val="9"/>
          <w:lang w:val="uk-UA"/>
        </w:rPr>
      </w:pPr>
    </w:p>
    <w:p w14:paraId="6A05F54E" w14:textId="77777777" w:rsidR="00E05B98" w:rsidRPr="003C6DAE" w:rsidRDefault="00E05B98">
      <w:pPr>
        <w:pStyle w:val="a3"/>
        <w:spacing w:before="151"/>
        <w:rPr>
          <w:rFonts w:ascii="Trebuchet MS"/>
          <w:sz w:val="17"/>
          <w:lang w:val="uk-UA"/>
        </w:rPr>
      </w:pPr>
    </w:p>
    <w:p w14:paraId="01A0A6AE" w14:textId="77777777" w:rsidR="00E05B98" w:rsidRPr="003C6DAE" w:rsidRDefault="00B01E0C">
      <w:pPr>
        <w:spacing w:line="196" w:lineRule="exact"/>
        <w:ind w:left="104"/>
        <w:rPr>
          <w:rFonts w:ascii="Trebuchet MS"/>
          <w:sz w:val="17"/>
          <w:lang w:val="uk-UA"/>
        </w:rPr>
      </w:pPr>
      <w:r w:rsidRPr="003C6DAE">
        <w:rPr>
          <w:rFonts w:ascii="Trebuchet MS"/>
          <w:w w:val="90"/>
          <w:sz w:val="17"/>
          <w:lang w:val="uk-UA"/>
        </w:rPr>
        <w:t>0</w:t>
      </w:r>
      <w:r w:rsidRPr="003C6DAE">
        <w:rPr>
          <w:rFonts w:ascii="Trebuchet MS"/>
          <w:spacing w:val="49"/>
          <w:sz w:val="17"/>
          <w:lang w:val="uk-UA"/>
        </w:rPr>
        <w:t xml:space="preserve"> </w:t>
      </w:r>
      <w:r w:rsidRPr="003C6DAE">
        <w:rPr>
          <w:rFonts w:ascii="Trebuchet MS"/>
          <w:w w:val="90"/>
          <w:sz w:val="17"/>
          <w:lang w:val="uk-UA"/>
        </w:rPr>
        <w:t>0.2</w:t>
      </w:r>
      <w:r w:rsidRPr="003C6DAE">
        <w:rPr>
          <w:rFonts w:ascii="Trebuchet MS"/>
          <w:spacing w:val="32"/>
          <w:sz w:val="17"/>
          <w:lang w:val="uk-UA"/>
        </w:rPr>
        <w:t xml:space="preserve"> </w:t>
      </w:r>
      <w:r w:rsidRPr="003C6DAE">
        <w:rPr>
          <w:rFonts w:ascii="Trebuchet MS"/>
          <w:w w:val="90"/>
          <w:sz w:val="17"/>
          <w:lang w:val="uk-UA"/>
        </w:rPr>
        <w:t>0.4</w:t>
      </w:r>
      <w:r w:rsidRPr="003C6DAE">
        <w:rPr>
          <w:rFonts w:ascii="Trebuchet MS"/>
          <w:spacing w:val="33"/>
          <w:sz w:val="17"/>
          <w:lang w:val="uk-UA"/>
        </w:rPr>
        <w:t xml:space="preserve"> </w:t>
      </w:r>
      <w:r w:rsidRPr="003C6DAE">
        <w:rPr>
          <w:rFonts w:ascii="Trebuchet MS"/>
          <w:w w:val="90"/>
          <w:sz w:val="17"/>
          <w:lang w:val="uk-UA"/>
        </w:rPr>
        <w:t>0.6</w:t>
      </w:r>
      <w:r w:rsidRPr="003C6DAE">
        <w:rPr>
          <w:rFonts w:ascii="Trebuchet MS"/>
          <w:spacing w:val="32"/>
          <w:sz w:val="17"/>
          <w:lang w:val="uk-UA"/>
        </w:rPr>
        <w:t xml:space="preserve"> </w:t>
      </w:r>
      <w:r w:rsidRPr="003C6DAE">
        <w:rPr>
          <w:rFonts w:ascii="Trebuchet MS"/>
          <w:w w:val="90"/>
          <w:sz w:val="17"/>
          <w:lang w:val="uk-UA"/>
        </w:rPr>
        <w:t>0.8</w:t>
      </w:r>
      <w:r w:rsidRPr="003C6DAE">
        <w:rPr>
          <w:rFonts w:ascii="Trebuchet MS"/>
          <w:spacing w:val="50"/>
          <w:sz w:val="17"/>
          <w:lang w:val="uk-UA"/>
        </w:rPr>
        <w:t xml:space="preserve"> </w:t>
      </w:r>
      <w:r w:rsidRPr="003C6DAE">
        <w:rPr>
          <w:rFonts w:ascii="Trebuchet MS"/>
          <w:spacing w:val="-10"/>
          <w:w w:val="90"/>
          <w:sz w:val="17"/>
          <w:lang w:val="uk-UA"/>
        </w:rPr>
        <w:t>1</w:t>
      </w:r>
    </w:p>
    <w:p w14:paraId="0B26FF8F" w14:textId="77777777" w:rsidR="00E05B98" w:rsidRPr="003C6DAE" w:rsidRDefault="00E05B98">
      <w:pPr>
        <w:spacing w:line="196" w:lineRule="exact"/>
        <w:rPr>
          <w:rFonts w:ascii="Trebuchet MS"/>
          <w:sz w:val="17"/>
          <w:lang w:val="uk-UA"/>
        </w:rPr>
        <w:sectPr w:rsidR="00E05B98" w:rsidRPr="003C6DAE">
          <w:type w:val="continuous"/>
          <w:pgSz w:w="11910" w:h="16840"/>
          <w:pgMar w:top="1920" w:right="1275" w:bottom="280" w:left="850" w:header="0" w:footer="573" w:gutter="0"/>
          <w:cols w:num="7" w:space="720" w:equalWidth="0">
            <w:col w:w="1755" w:space="40"/>
            <w:col w:w="724" w:space="39"/>
            <w:col w:w="594" w:space="39"/>
            <w:col w:w="1495" w:space="40"/>
            <w:col w:w="1456" w:space="39"/>
            <w:col w:w="1493" w:space="40"/>
            <w:col w:w="2031"/>
          </w:cols>
        </w:sectPr>
      </w:pPr>
    </w:p>
    <w:p w14:paraId="7226DA14" w14:textId="6E0A09EC" w:rsidR="00E05B98" w:rsidRPr="003C6DAE" w:rsidRDefault="008D2647" w:rsidP="008D2647">
      <w:pPr>
        <w:spacing w:before="6"/>
        <w:ind w:firstLine="567"/>
        <w:rPr>
          <w:rFonts w:ascii="Trebuchet MS"/>
          <w:sz w:val="17"/>
          <w:lang w:val="uk-UA"/>
        </w:rPr>
      </w:pPr>
      <w:r w:rsidRPr="008D2647">
        <w:rPr>
          <w:rFonts w:ascii="Trebuchet MS"/>
          <w:color w:val="333333"/>
          <w:w w:val="85"/>
          <w:sz w:val="17"/>
          <w:lang w:val="uk-UA"/>
        </w:rPr>
        <w:t>Метод</w:t>
      </w:r>
      <w:r w:rsidRPr="008D2647">
        <w:rPr>
          <w:rFonts w:ascii="Trebuchet MS"/>
          <w:color w:val="333333"/>
          <w:w w:val="85"/>
          <w:sz w:val="17"/>
          <w:lang w:val="uk-UA"/>
        </w:rPr>
        <w:t xml:space="preserve"> T</w:t>
      </w:r>
      <w:r w:rsidR="007B4203">
        <w:rPr>
          <w:rFonts w:ascii="Trebuchet MS"/>
          <w:color w:val="333333"/>
          <w:w w:val="85"/>
          <w:sz w:val="17"/>
          <w:lang w:val="uk-UA"/>
        </w:rPr>
        <w:t>В</w:t>
      </w:r>
      <w:r w:rsidRPr="008D2647">
        <w:rPr>
          <w:rFonts w:ascii="Trebuchet MS"/>
          <w:color w:val="333333"/>
          <w:w w:val="85"/>
          <w:sz w:val="17"/>
          <w:lang w:val="uk-UA"/>
        </w:rPr>
        <w:t xml:space="preserve">-LAMP </w:t>
      </w:r>
      <w:r w:rsidRPr="008D2647">
        <w:rPr>
          <w:rFonts w:ascii="Trebuchet MS"/>
          <w:color w:val="333333"/>
          <w:w w:val="85"/>
          <w:sz w:val="17"/>
          <w:lang w:val="uk-UA"/>
        </w:rPr>
        <w:t>для</w:t>
      </w:r>
      <w:r w:rsidRPr="008D2647">
        <w:rPr>
          <w:rFonts w:ascii="Trebuchet MS"/>
          <w:color w:val="333333"/>
          <w:w w:val="85"/>
          <w:sz w:val="17"/>
          <w:lang w:val="uk-UA"/>
        </w:rPr>
        <w:t xml:space="preserve"> </w:t>
      </w:r>
      <w:r w:rsidRPr="008D2647">
        <w:rPr>
          <w:rFonts w:ascii="Trebuchet MS"/>
          <w:color w:val="333333"/>
          <w:w w:val="85"/>
          <w:sz w:val="17"/>
          <w:lang w:val="uk-UA"/>
        </w:rPr>
        <w:t>виявлення</w:t>
      </w:r>
      <w:r w:rsidRPr="008D2647">
        <w:rPr>
          <w:rFonts w:ascii="Trebuchet MS"/>
          <w:color w:val="333333"/>
          <w:w w:val="85"/>
          <w:sz w:val="17"/>
          <w:lang w:val="uk-UA"/>
        </w:rPr>
        <w:t xml:space="preserve"> </w:t>
      </w:r>
      <w:r w:rsidRPr="008D2647">
        <w:rPr>
          <w:rFonts w:ascii="Trebuchet MS"/>
          <w:color w:val="333333"/>
          <w:w w:val="85"/>
          <w:sz w:val="17"/>
          <w:lang w:val="uk-UA"/>
        </w:rPr>
        <w:t>ТБ</w:t>
      </w:r>
      <w:r w:rsidRPr="008D2647">
        <w:rPr>
          <w:rFonts w:ascii="Trebuchet MS"/>
          <w:color w:val="333333"/>
          <w:w w:val="85"/>
          <w:sz w:val="17"/>
          <w:lang w:val="uk-UA"/>
        </w:rPr>
        <w:t xml:space="preserve"> </w:t>
      </w:r>
      <w:r w:rsidRPr="008D2647">
        <w:rPr>
          <w:rFonts w:ascii="Trebuchet MS"/>
          <w:color w:val="333333"/>
          <w:w w:val="85"/>
          <w:sz w:val="17"/>
          <w:lang w:val="uk-UA"/>
        </w:rPr>
        <w:t>лімфатичних</w:t>
      </w:r>
      <w:r w:rsidRPr="008D2647">
        <w:rPr>
          <w:rFonts w:ascii="Trebuchet MS"/>
          <w:color w:val="333333"/>
          <w:w w:val="85"/>
          <w:sz w:val="17"/>
          <w:lang w:val="uk-UA"/>
        </w:rPr>
        <w:t xml:space="preserve"> </w:t>
      </w:r>
      <w:r w:rsidRPr="008D2647">
        <w:rPr>
          <w:rFonts w:ascii="Trebuchet MS"/>
          <w:color w:val="333333"/>
          <w:w w:val="85"/>
          <w:sz w:val="17"/>
          <w:lang w:val="uk-UA"/>
        </w:rPr>
        <w:t>вузлів</w:t>
      </w:r>
      <w:r w:rsidRPr="008D2647">
        <w:rPr>
          <w:rFonts w:ascii="Trebuchet MS"/>
          <w:color w:val="333333"/>
          <w:w w:val="85"/>
          <w:sz w:val="17"/>
          <w:lang w:val="uk-UA"/>
        </w:rPr>
        <w:t xml:space="preserve"> </w:t>
      </w:r>
      <w:r w:rsidRPr="008D2647">
        <w:rPr>
          <w:rFonts w:ascii="Trebuchet MS"/>
          <w:color w:val="333333"/>
          <w:w w:val="85"/>
          <w:sz w:val="17"/>
          <w:lang w:val="uk-UA"/>
        </w:rPr>
        <w:t>в</w:t>
      </w:r>
      <w:r w:rsidRPr="008D2647">
        <w:rPr>
          <w:rFonts w:ascii="Trebuchet MS"/>
          <w:color w:val="333333"/>
          <w:w w:val="85"/>
          <w:sz w:val="17"/>
          <w:lang w:val="uk-UA"/>
        </w:rPr>
        <w:t xml:space="preserve"> </w:t>
      </w:r>
      <w:r w:rsidRPr="008D2647">
        <w:rPr>
          <w:rFonts w:ascii="Trebuchet MS"/>
          <w:color w:val="333333"/>
          <w:w w:val="85"/>
          <w:sz w:val="17"/>
          <w:lang w:val="uk-UA"/>
        </w:rPr>
        <w:t>аспіраті</w:t>
      </w:r>
      <w:r w:rsidRPr="008D2647">
        <w:rPr>
          <w:rFonts w:ascii="Trebuchet MS"/>
          <w:color w:val="333333"/>
          <w:w w:val="85"/>
          <w:sz w:val="17"/>
          <w:lang w:val="uk-UA"/>
        </w:rPr>
        <w:t xml:space="preserve"> </w:t>
      </w:r>
      <w:r w:rsidRPr="008D2647">
        <w:rPr>
          <w:rFonts w:ascii="Trebuchet MS"/>
          <w:color w:val="333333"/>
          <w:w w:val="85"/>
          <w:sz w:val="17"/>
          <w:lang w:val="uk-UA"/>
        </w:rPr>
        <w:t>лімфатичних</w:t>
      </w:r>
      <w:r w:rsidRPr="008D2647">
        <w:rPr>
          <w:rFonts w:ascii="Trebuchet MS"/>
          <w:color w:val="333333"/>
          <w:w w:val="85"/>
          <w:sz w:val="17"/>
          <w:lang w:val="uk-UA"/>
        </w:rPr>
        <w:t xml:space="preserve"> </w:t>
      </w:r>
      <w:r w:rsidRPr="008D2647">
        <w:rPr>
          <w:rFonts w:ascii="Trebuchet MS"/>
          <w:color w:val="333333"/>
          <w:w w:val="85"/>
          <w:sz w:val="17"/>
          <w:lang w:val="uk-UA"/>
        </w:rPr>
        <w:t>вузлів</w:t>
      </w:r>
    </w:p>
    <w:p w14:paraId="57892165" w14:textId="18719769" w:rsidR="00E05B98" w:rsidRPr="003C6DAE" w:rsidRDefault="00E05B98">
      <w:pPr>
        <w:pStyle w:val="a3"/>
        <w:spacing w:before="9"/>
        <w:rPr>
          <w:rFonts w:ascii="Trebuchet MS"/>
          <w:sz w:val="13"/>
          <w:lang w:val="uk-UA"/>
        </w:rPr>
      </w:pPr>
    </w:p>
    <w:p w14:paraId="42D3061E" w14:textId="77777777" w:rsidR="00E05B98" w:rsidRPr="003C6DAE" w:rsidRDefault="00E05B98">
      <w:pPr>
        <w:pStyle w:val="a3"/>
        <w:rPr>
          <w:rFonts w:ascii="Trebuchet MS"/>
          <w:sz w:val="13"/>
          <w:lang w:val="uk-UA"/>
        </w:rPr>
        <w:sectPr w:rsidR="00E05B98" w:rsidRPr="003C6DAE">
          <w:type w:val="continuous"/>
          <w:pgSz w:w="11910" w:h="16840"/>
          <w:pgMar w:top="1920" w:right="1275" w:bottom="280" w:left="850" w:header="0" w:footer="573" w:gutter="0"/>
          <w:cols w:space="720"/>
        </w:sectPr>
      </w:pPr>
    </w:p>
    <w:p w14:paraId="349E925A" w14:textId="58CA5DBA" w:rsidR="00E05B98" w:rsidRPr="003C6DAE" w:rsidRDefault="00B500BB">
      <w:pPr>
        <w:spacing w:before="106"/>
        <w:ind w:left="692"/>
        <w:rPr>
          <w:rFonts w:ascii="Trebuchet MS"/>
          <w:sz w:val="17"/>
          <w:lang w:val="uk-UA"/>
        </w:rPr>
      </w:pPr>
      <w:r w:rsidRPr="003C6DAE">
        <w:rPr>
          <w:rFonts w:ascii="Arial"/>
          <w:b/>
          <w:noProof/>
          <w:sz w:val="24"/>
          <w:lang w:val="uk-UA"/>
        </w:rPr>
        <mc:AlternateContent>
          <mc:Choice Requires="wps">
            <w:drawing>
              <wp:anchor distT="0" distB="0" distL="114300" distR="114300" simplePos="0" relativeHeight="488120832" behindDoc="0" locked="0" layoutInCell="1" allowOverlap="1" wp14:anchorId="0E2E0BCD" wp14:editId="2717BA9A">
                <wp:simplePos x="0" y="0"/>
                <wp:positionH relativeFrom="margin">
                  <wp:posOffset>216227</wp:posOffset>
                </wp:positionH>
                <wp:positionV relativeFrom="paragraph">
                  <wp:posOffset>19339</wp:posOffset>
                </wp:positionV>
                <wp:extent cx="6273579" cy="225796"/>
                <wp:effectExtent l="0" t="0" r="0" b="3175"/>
                <wp:wrapNone/>
                <wp:docPr id="60185965" name="Поле 60185965"/>
                <wp:cNvGraphicFramePr/>
                <a:graphic xmlns:a="http://schemas.openxmlformats.org/drawingml/2006/main">
                  <a:graphicData uri="http://schemas.microsoft.com/office/word/2010/wordprocessingShape">
                    <wps:wsp>
                      <wps:cNvSpPr txBox="1"/>
                      <wps:spPr>
                        <a:xfrm>
                          <a:off x="0" y="0"/>
                          <a:ext cx="6273579" cy="225796"/>
                        </a:xfrm>
                        <a:prstGeom prst="rect">
                          <a:avLst/>
                        </a:prstGeom>
                        <a:solidFill>
                          <a:schemeClr val="bg1"/>
                        </a:solidFill>
                        <a:ln w="6350">
                          <a:noFill/>
                        </a:ln>
                      </wps:spPr>
                      <wps:txbx>
                        <w:txbxContent>
                          <w:p w14:paraId="38ABF48F" w14:textId="39A475DF" w:rsidR="007372B2" w:rsidRPr="008D2647" w:rsidRDefault="007372B2" w:rsidP="008D2647">
                            <w:pPr>
                              <w:ind w:left="2160" w:hanging="2160"/>
                              <w:rPr>
                                <w:rFonts w:asciiTheme="minorHAnsi" w:hAnsiTheme="minorHAnsi" w:cstheme="minorHAnsi"/>
                                <w:b/>
                                <w:sz w:val="16"/>
                                <w:szCs w:val="16"/>
                                <w:lang w:val="uk-UA"/>
                              </w:rPr>
                            </w:pPr>
                            <w:r>
                              <w:rPr>
                                <w:rFonts w:asciiTheme="minorHAnsi" w:hAnsiTheme="minorHAnsi" w:cstheme="minorHAnsi"/>
                                <w:b/>
                                <w:sz w:val="14"/>
                                <w:szCs w:val="14"/>
                                <w:lang w:val="uk-UA"/>
                              </w:rPr>
                              <w:t xml:space="preserve">  </w:t>
                            </w:r>
                            <w:r w:rsidRPr="008D2647">
                              <w:rPr>
                                <w:rFonts w:asciiTheme="minorHAnsi" w:hAnsiTheme="minorHAnsi" w:cstheme="minorHAnsi"/>
                                <w:b/>
                                <w:sz w:val="16"/>
                                <w:szCs w:val="16"/>
                                <w:lang w:val="uk-UA"/>
                              </w:rPr>
                              <w:t xml:space="preserve">Дослідження               </w:t>
                            </w:r>
                            <w:r w:rsidRPr="008D2647">
                              <w:rPr>
                                <w:rFonts w:asciiTheme="minorHAnsi" w:hAnsiTheme="minorHAnsi" w:cstheme="minorHAnsi"/>
                                <w:b/>
                                <w:sz w:val="16"/>
                                <w:szCs w:val="16"/>
                              </w:rPr>
                              <w:t>TP</w:t>
                            </w:r>
                            <w:r w:rsidRPr="004E168C">
                              <w:rPr>
                                <w:rFonts w:asciiTheme="minorHAnsi" w:hAnsiTheme="minorHAnsi" w:cstheme="minorHAnsi"/>
                                <w:b/>
                                <w:sz w:val="16"/>
                                <w:szCs w:val="16"/>
                                <w:lang w:val="uk-UA"/>
                              </w:rPr>
                              <w:t xml:space="preserve">    </w:t>
                            </w:r>
                            <w:r w:rsidRPr="008D2647">
                              <w:rPr>
                                <w:rFonts w:asciiTheme="minorHAnsi" w:hAnsiTheme="minorHAnsi" w:cstheme="minorHAnsi"/>
                                <w:b/>
                                <w:sz w:val="16"/>
                                <w:szCs w:val="16"/>
                              </w:rPr>
                              <w:t>FP</w:t>
                            </w:r>
                            <w:r w:rsidRPr="004E168C">
                              <w:rPr>
                                <w:rFonts w:asciiTheme="minorHAnsi" w:hAnsiTheme="minorHAnsi" w:cstheme="minorHAnsi"/>
                                <w:b/>
                                <w:sz w:val="16"/>
                                <w:szCs w:val="16"/>
                                <w:lang w:val="uk-UA"/>
                              </w:rPr>
                              <w:t xml:space="preserve">    </w:t>
                            </w:r>
                            <w:r w:rsidRPr="008D2647">
                              <w:rPr>
                                <w:rFonts w:asciiTheme="minorHAnsi" w:hAnsiTheme="minorHAnsi" w:cstheme="minorHAnsi"/>
                                <w:b/>
                                <w:sz w:val="16"/>
                                <w:szCs w:val="16"/>
                              </w:rPr>
                              <w:t>FN</w:t>
                            </w:r>
                            <w:r w:rsidRPr="004E168C">
                              <w:rPr>
                                <w:rFonts w:asciiTheme="minorHAnsi" w:hAnsiTheme="minorHAnsi" w:cstheme="minorHAnsi"/>
                                <w:b/>
                                <w:sz w:val="16"/>
                                <w:szCs w:val="16"/>
                                <w:lang w:val="uk-UA"/>
                              </w:rPr>
                              <w:t xml:space="preserve">   </w:t>
                            </w:r>
                            <w:r w:rsidRPr="008D2647">
                              <w:rPr>
                                <w:rFonts w:asciiTheme="minorHAnsi" w:hAnsiTheme="minorHAnsi" w:cstheme="minorHAnsi"/>
                                <w:b/>
                                <w:sz w:val="16"/>
                                <w:szCs w:val="16"/>
                                <w:lang w:val="uk-UA"/>
                              </w:rPr>
                              <w:t xml:space="preserve"> </w:t>
                            </w:r>
                            <w:r w:rsidRPr="008D2647">
                              <w:rPr>
                                <w:rFonts w:asciiTheme="minorHAnsi" w:hAnsiTheme="minorHAnsi" w:cstheme="minorHAnsi"/>
                                <w:b/>
                                <w:sz w:val="16"/>
                                <w:szCs w:val="16"/>
                              </w:rPr>
                              <w:t>TN</w:t>
                            </w:r>
                            <w:r w:rsidRPr="004E168C">
                              <w:rPr>
                                <w:rFonts w:asciiTheme="minorHAnsi" w:hAnsiTheme="minorHAnsi" w:cstheme="minorHAnsi"/>
                                <w:b/>
                                <w:sz w:val="16"/>
                                <w:szCs w:val="16"/>
                                <w:lang w:val="uk-UA"/>
                              </w:rPr>
                              <w:t xml:space="preserve">   </w:t>
                            </w:r>
                            <w:r w:rsidRPr="008D2647">
                              <w:rPr>
                                <w:rFonts w:asciiTheme="minorHAnsi" w:hAnsiTheme="minorHAnsi" w:cstheme="minorHAnsi"/>
                                <w:b/>
                                <w:sz w:val="16"/>
                                <w:szCs w:val="16"/>
                                <w:lang w:val="uk-UA"/>
                              </w:rPr>
                              <w:t xml:space="preserve">Чутливість (95% ДІ) Специфічність (95% ДІ)  </w:t>
                            </w:r>
                            <w:r w:rsidRPr="004E168C">
                              <w:rPr>
                                <w:rFonts w:asciiTheme="minorHAnsi" w:hAnsiTheme="minorHAnsi" w:cstheme="minorHAnsi"/>
                                <w:b/>
                                <w:sz w:val="16"/>
                                <w:szCs w:val="16"/>
                                <w:lang w:val="uk-UA"/>
                              </w:rPr>
                              <w:t xml:space="preserve">    </w:t>
                            </w:r>
                            <w:r w:rsidRPr="008D2647">
                              <w:rPr>
                                <w:rFonts w:asciiTheme="minorHAnsi" w:hAnsiTheme="minorHAnsi" w:cstheme="minorHAnsi"/>
                                <w:b/>
                                <w:sz w:val="16"/>
                                <w:szCs w:val="16"/>
                                <w:lang w:val="uk-UA"/>
                              </w:rPr>
                              <w:t xml:space="preserve">  Чутливість (95% ДІ)    Специфічність (95% ДІ)</w:t>
                            </w:r>
                            <w:r w:rsidRPr="004E168C">
                              <w:rPr>
                                <w:rFonts w:asciiTheme="minorHAnsi" w:hAnsiTheme="minorHAnsi" w:cstheme="minorHAnsi"/>
                                <w:b/>
                                <w:sz w:val="16"/>
                                <w:szCs w:val="16"/>
                                <w:lang w:val="uk-UA"/>
                              </w:rPr>
                              <w:t xml:space="preserve">          </w:t>
                            </w:r>
                            <w:r w:rsidRPr="008D2647">
                              <w:rPr>
                                <w:rFonts w:asciiTheme="minorHAnsi" w:hAnsiTheme="minorHAnsi" w:cstheme="minorHAnsi"/>
                                <w:b/>
                                <w:sz w:val="16"/>
                                <w:szCs w:val="16"/>
                                <w:lang w:val="uk-UA"/>
                              </w:rPr>
                              <w:t xml:space="preserve">                     </w:t>
                            </w:r>
                          </w:p>
                          <w:p w14:paraId="37D1E7D1"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E0BCD" id="Поле 60185965" o:spid="_x0000_s1109" type="#_x0000_t202" style="position:absolute;left:0;text-align:left;margin-left:17.05pt;margin-top:1.5pt;width:494pt;height:17.8pt;z-index:48812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" fillcolor="white [3212]" stroked="f" strokeweight=".5pt">
                <v:textbox>
                  <w:txbxContent>
                    <w:p w14:paraId="38ABF48F" w14:textId="39A475DF" w:rsidR="007372B2" w:rsidRPr="008D2647" w:rsidRDefault="007372B2" w:rsidP="008D2647">
                      <w:pPr>
                        <w:ind w:left="2160" w:hanging="2160"/>
                        <w:rPr>
                          <w:rFonts w:asciiTheme="minorHAnsi" w:hAnsiTheme="minorHAnsi" w:cstheme="minorHAnsi"/>
                          <w:b/>
                          <w:sz w:val="16"/>
                          <w:szCs w:val="16"/>
                          <w:lang w:val="uk-UA"/>
                        </w:rPr>
                      </w:pPr>
                      <w:r>
                        <w:rPr>
                          <w:rFonts w:asciiTheme="minorHAnsi" w:hAnsiTheme="minorHAnsi" w:cstheme="minorHAnsi"/>
                          <w:b/>
                          <w:sz w:val="14"/>
                          <w:szCs w:val="14"/>
                          <w:lang w:val="uk-UA"/>
                        </w:rPr>
                        <w:t xml:space="preserve">  </w:t>
                      </w:r>
                      <w:r w:rsidRPr="008D2647">
                        <w:rPr>
                          <w:rFonts w:asciiTheme="minorHAnsi" w:hAnsiTheme="minorHAnsi" w:cstheme="minorHAnsi"/>
                          <w:b/>
                          <w:sz w:val="16"/>
                          <w:szCs w:val="16"/>
                          <w:lang w:val="uk-UA"/>
                        </w:rPr>
                        <w:t xml:space="preserve">Дослідження               </w:t>
                      </w:r>
                      <w:r w:rsidRPr="008D2647">
                        <w:rPr>
                          <w:rFonts w:asciiTheme="minorHAnsi" w:hAnsiTheme="minorHAnsi" w:cstheme="minorHAnsi"/>
                          <w:b/>
                          <w:sz w:val="16"/>
                          <w:szCs w:val="16"/>
                        </w:rPr>
                        <w:t>TP</w:t>
                      </w:r>
                      <w:r w:rsidRPr="004E168C">
                        <w:rPr>
                          <w:rFonts w:asciiTheme="minorHAnsi" w:hAnsiTheme="minorHAnsi" w:cstheme="minorHAnsi"/>
                          <w:b/>
                          <w:sz w:val="16"/>
                          <w:szCs w:val="16"/>
                          <w:lang w:val="uk-UA"/>
                        </w:rPr>
                        <w:t xml:space="preserve">    </w:t>
                      </w:r>
                      <w:r w:rsidRPr="008D2647">
                        <w:rPr>
                          <w:rFonts w:asciiTheme="minorHAnsi" w:hAnsiTheme="minorHAnsi" w:cstheme="minorHAnsi"/>
                          <w:b/>
                          <w:sz w:val="16"/>
                          <w:szCs w:val="16"/>
                        </w:rPr>
                        <w:t>FP</w:t>
                      </w:r>
                      <w:r w:rsidRPr="004E168C">
                        <w:rPr>
                          <w:rFonts w:asciiTheme="minorHAnsi" w:hAnsiTheme="minorHAnsi" w:cstheme="minorHAnsi"/>
                          <w:b/>
                          <w:sz w:val="16"/>
                          <w:szCs w:val="16"/>
                          <w:lang w:val="uk-UA"/>
                        </w:rPr>
                        <w:t xml:space="preserve">    </w:t>
                      </w:r>
                      <w:r w:rsidRPr="008D2647">
                        <w:rPr>
                          <w:rFonts w:asciiTheme="minorHAnsi" w:hAnsiTheme="minorHAnsi" w:cstheme="minorHAnsi"/>
                          <w:b/>
                          <w:sz w:val="16"/>
                          <w:szCs w:val="16"/>
                        </w:rPr>
                        <w:t>FN</w:t>
                      </w:r>
                      <w:r w:rsidRPr="004E168C">
                        <w:rPr>
                          <w:rFonts w:asciiTheme="minorHAnsi" w:hAnsiTheme="minorHAnsi" w:cstheme="minorHAnsi"/>
                          <w:b/>
                          <w:sz w:val="16"/>
                          <w:szCs w:val="16"/>
                          <w:lang w:val="uk-UA"/>
                        </w:rPr>
                        <w:t xml:space="preserve">   </w:t>
                      </w:r>
                      <w:r w:rsidRPr="008D2647">
                        <w:rPr>
                          <w:rFonts w:asciiTheme="minorHAnsi" w:hAnsiTheme="minorHAnsi" w:cstheme="minorHAnsi"/>
                          <w:b/>
                          <w:sz w:val="16"/>
                          <w:szCs w:val="16"/>
                          <w:lang w:val="uk-UA"/>
                        </w:rPr>
                        <w:t xml:space="preserve"> </w:t>
                      </w:r>
                      <w:r w:rsidRPr="008D2647">
                        <w:rPr>
                          <w:rFonts w:asciiTheme="minorHAnsi" w:hAnsiTheme="minorHAnsi" w:cstheme="minorHAnsi"/>
                          <w:b/>
                          <w:sz w:val="16"/>
                          <w:szCs w:val="16"/>
                        </w:rPr>
                        <w:t>TN</w:t>
                      </w:r>
                      <w:r w:rsidRPr="004E168C">
                        <w:rPr>
                          <w:rFonts w:asciiTheme="minorHAnsi" w:hAnsiTheme="minorHAnsi" w:cstheme="minorHAnsi"/>
                          <w:b/>
                          <w:sz w:val="16"/>
                          <w:szCs w:val="16"/>
                          <w:lang w:val="uk-UA"/>
                        </w:rPr>
                        <w:t xml:space="preserve">   </w:t>
                      </w:r>
                      <w:r w:rsidRPr="008D2647">
                        <w:rPr>
                          <w:rFonts w:asciiTheme="minorHAnsi" w:hAnsiTheme="minorHAnsi" w:cstheme="minorHAnsi"/>
                          <w:b/>
                          <w:sz w:val="16"/>
                          <w:szCs w:val="16"/>
                          <w:lang w:val="uk-UA"/>
                        </w:rPr>
                        <w:t xml:space="preserve">Чутливість (95% ДІ) Специфічність (95% ДІ)  </w:t>
                      </w:r>
                      <w:r w:rsidRPr="004E168C">
                        <w:rPr>
                          <w:rFonts w:asciiTheme="minorHAnsi" w:hAnsiTheme="minorHAnsi" w:cstheme="minorHAnsi"/>
                          <w:b/>
                          <w:sz w:val="16"/>
                          <w:szCs w:val="16"/>
                          <w:lang w:val="uk-UA"/>
                        </w:rPr>
                        <w:t xml:space="preserve">    </w:t>
                      </w:r>
                      <w:r w:rsidRPr="008D2647">
                        <w:rPr>
                          <w:rFonts w:asciiTheme="minorHAnsi" w:hAnsiTheme="minorHAnsi" w:cstheme="minorHAnsi"/>
                          <w:b/>
                          <w:sz w:val="16"/>
                          <w:szCs w:val="16"/>
                          <w:lang w:val="uk-UA"/>
                        </w:rPr>
                        <w:t xml:space="preserve">  Чутливість (95% ДІ)    Специфічність (95% ДІ)</w:t>
                      </w:r>
                      <w:r w:rsidRPr="004E168C">
                        <w:rPr>
                          <w:rFonts w:asciiTheme="minorHAnsi" w:hAnsiTheme="minorHAnsi" w:cstheme="minorHAnsi"/>
                          <w:b/>
                          <w:sz w:val="16"/>
                          <w:szCs w:val="16"/>
                          <w:lang w:val="uk-UA"/>
                        </w:rPr>
                        <w:t xml:space="preserve">          </w:t>
                      </w:r>
                      <w:r w:rsidRPr="008D2647">
                        <w:rPr>
                          <w:rFonts w:asciiTheme="minorHAnsi" w:hAnsiTheme="minorHAnsi" w:cstheme="minorHAnsi"/>
                          <w:b/>
                          <w:sz w:val="16"/>
                          <w:szCs w:val="16"/>
                          <w:lang w:val="uk-UA"/>
                        </w:rPr>
                        <w:t xml:space="preserve">                     </w:t>
                      </w:r>
                    </w:p>
                    <w:p w14:paraId="37D1E7D1"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v:textbox>
                <w10:wrap anchorx="margin"/>
              </v:shape>
            </w:pict>
          </mc:Fallback>
        </mc:AlternateContent>
      </w:r>
      <w:r w:rsidR="00B01E0C" w:rsidRPr="003C6DAE">
        <w:rPr>
          <w:rFonts w:ascii="Trebuchet MS"/>
          <w:color w:val="333333"/>
          <w:w w:val="90"/>
          <w:sz w:val="17"/>
          <w:lang w:val="uk-UA"/>
        </w:rPr>
        <w:t>S</w:t>
      </w:r>
      <w:r w:rsidR="00B01E0C" w:rsidRPr="003C6DAE">
        <w:rPr>
          <w:rFonts w:ascii="Trebuchet MS"/>
          <w:color w:val="333333"/>
          <w:spacing w:val="-21"/>
          <w:w w:val="90"/>
          <w:sz w:val="17"/>
          <w:lang w:val="uk-UA"/>
        </w:rPr>
        <w:t xml:space="preserve"> </w:t>
      </w:r>
      <w:proofErr w:type="spellStart"/>
      <w:r w:rsidR="00B01E0C" w:rsidRPr="003C6DAE">
        <w:rPr>
          <w:rFonts w:ascii="Trebuchet MS"/>
          <w:color w:val="333333"/>
          <w:spacing w:val="-4"/>
          <w:w w:val="95"/>
          <w:sz w:val="17"/>
          <w:lang w:val="uk-UA"/>
        </w:rPr>
        <w:t>tudy</w:t>
      </w:r>
      <w:proofErr w:type="spellEnd"/>
    </w:p>
    <w:p w14:paraId="42615E49" w14:textId="7DCE65A6" w:rsidR="00E05B98" w:rsidRPr="003C6DAE" w:rsidRDefault="00B01E0C">
      <w:pPr>
        <w:spacing w:before="106"/>
        <w:ind w:left="692"/>
        <w:rPr>
          <w:rFonts w:ascii="Trebuchet MS"/>
          <w:sz w:val="17"/>
          <w:lang w:val="uk-UA"/>
        </w:rPr>
      </w:pPr>
      <w:r w:rsidRPr="003C6DAE">
        <w:rPr>
          <w:lang w:val="uk-UA"/>
        </w:rPr>
        <w:br w:type="column"/>
      </w:r>
      <w:r w:rsidRPr="003C6DAE">
        <w:rPr>
          <w:rFonts w:ascii="Trebuchet MS"/>
          <w:color w:val="333333"/>
          <w:w w:val="90"/>
          <w:sz w:val="17"/>
          <w:lang w:val="uk-UA"/>
        </w:rPr>
        <w:t>TP</w:t>
      </w:r>
      <w:r w:rsidRPr="003C6DAE">
        <w:rPr>
          <w:rFonts w:ascii="Trebuchet MS"/>
          <w:color w:val="333333"/>
          <w:spacing w:val="74"/>
          <w:w w:val="150"/>
          <w:sz w:val="17"/>
          <w:lang w:val="uk-UA"/>
        </w:rPr>
        <w:t xml:space="preserve"> </w:t>
      </w:r>
      <w:r w:rsidRPr="003C6DAE">
        <w:rPr>
          <w:rFonts w:ascii="Trebuchet MS"/>
          <w:color w:val="333333"/>
          <w:spacing w:val="-5"/>
          <w:w w:val="90"/>
          <w:sz w:val="17"/>
          <w:lang w:val="uk-UA"/>
        </w:rPr>
        <w:t xml:space="preserve">FP </w:t>
      </w:r>
    </w:p>
    <w:p w14:paraId="2C6AFD53" w14:textId="3A2E28C6" w:rsidR="00E05B98" w:rsidRPr="003C6DAE" w:rsidRDefault="00B01E0C">
      <w:pPr>
        <w:spacing w:before="106"/>
        <w:ind w:left="84"/>
        <w:rPr>
          <w:rFonts w:ascii="Trebuchet MS"/>
          <w:sz w:val="17"/>
          <w:lang w:val="uk-UA"/>
        </w:rPr>
      </w:pPr>
      <w:r w:rsidRPr="003C6DAE">
        <w:rPr>
          <w:lang w:val="uk-UA"/>
        </w:rPr>
        <w:br w:type="column"/>
      </w:r>
      <w:r w:rsidRPr="003C6DAE">
        <w:rPr>
          <w:rFonts w:ascii="Trebuchet MS"/>
          <w:color w:val="333333"/>
          <w:w w:val="95"/>
          <w:sz w:val="17"/>
          <w:lang w:val="uk-UA"/>
        </w:rPr>
        <w:t>FN</w:t>
      </w:r>
      <w:r w:rsidRPr="003C6DAE">
        <w:rPr>
          <w:rFonts w:ascii="Trebuchet MS"/>
          <w:color w:val="333333"/>
          <w:spacing w:val="61"/>
          <w:sz w:val="17"/>
          <w:lang w:val="uk-UA"/>
        </w:rPr>
        <w:t xml:space="preserve"> </w:t>
      </w:r>
      <w:r w:rsidRPr="003C6DAE">
        <w:rPr>
          <w:rFonts w:ascii="Trebuchet MS"/>
          <w:color w:val="333333"/>
          <w:spacing w:val="-7"/>
          <w:w w:val="90"/>
          <w:sz w:val="17"/>
          <w:lang w:val="uk-UA"/>
        </w:rPr>
        <w:t>TN</w:t>
      </w:r>
      <w:r w:rsidRPr="003C6DAE">
        <w:rPr>
          <w:rFonts w:ascii="Trebuchet MS"/>
          <w:color w:val="333333"/>
          <w:w w:val="90"/>
          <w:sz w:val="17"/>
          <w:lang w:val="uk-UA"/>
        </w:rPr>
        <w:t xml:space="preserve"> </w:t>
      </w:r>
    </w:p>
    <w:p w14:paraId="1F8514B9" w14:textId="37E22CA8" w:rsidR="00E05B98" w:rsidRPr="003C6DAE" w:rsidRDefault="00B01E0C">
      <w:pPr>
        <w:spacing w:before="106"/>
        <w:ind w:left="116"/>
        <w:rPr>
          <w:rFonts w:ascii="Trebuchet MS"/>
          <w:sz w:val="17"/>
          <w:lang w:val="uk-UA"/>
        </w:rPr>
      </w:pPr>
      <w:r w:rsidRPr="003C6DAE">
        <w:rPr>
          <w:lang w:val="uk-UA"/>
        </w:rPr>
        <w:br w:type="column"/>
      </w:r>
      <w:r w:rsidRPr="003C6DAE">
        <w:rPr>
          <w:rFonts w:ascii="Trebuchet MS"/>
          <w:color w:val="333333"/>
          <w:w w:val="85"/>
          <w:sz w:val="17"/>
          <w:lang w:val="uk-UA"/>
        </w:rPr>
        <w:t>S</w:t>
      </w:r>
      <w:r w:rsidRPr="003C6DAE">
        <w:rPr>
          <w:rFonts w:ascii="Trebuchet MS"/>
          <w:color w:val="333333"/>
          <w:spacing w:val="-11"/>
          <w:w w:val="85"/>
          <w:sz w:val="17"/>
          <w:lang w:val="uk-UA"/>
        </w:rPr>
        <w:t xml:space="preserve"> </w:t>
      </w:r>
      <w:proofErr w:type="spellStart"/>
      <w:r w:rsidRPr="003C6DAE">
        <w:rPr>
          <w:rFonts w:ascii="Trebuchet MS"/>
          <w:color w:val="333333"/>
          <w:w w:val="85"/>
          <w:sz w:val="17"/>
          <w:lang w:val="uk-UA"/>
        </w:rPr>
        <w:t>ens</w:t>
      </w:r>
      <w:proofErr w:type="spellEnd"/>
      <w:r w:rsidRPr="003C6DAE">
        <w:rPr>
          <w:rFonts w:ascii="Trebuchet MS"/>
          <w:color w:val="333333"/>
          <w:spacing w:val="-13"/>
          <w:w w:val="85"/>
          <w:sz w:val="17"/>
          <w:lang w:val="uk-UA"/>
        </w:rPr>
        <w:t xml:space="preserve"> </w:t>
      </w:r>
      <w:proofErr w:type="spellStart"/>
      <w:r w:rsidRPr="003C6DAE">
        <w:rPr>
          <w:rFonts w:ascii="Trebuchet MS"/>
          <w:color w:val="333333"/>
          <w:w w:val="85"/>
          <w:sz w:val="17"/>
          <w:lang w:val="uk-UA"/>
        </w:rPr>
        <w:t>itivity</w:t>
      </w:r>
      <w:proofErr w:type="spellEnd"/>
      <w:r w:rsidRPr="003C6DAE">
        <w:rPr>
          <w:rFonts w:ascii="Trebuchet MS"/>
          <w:color w:val="333333"/>
          <w:spacing w:val="19"/>
          <w:sz w:val="17"/>
          <w:lang w:val="uk-UA"/>
        </w:rPr>
        <w:t xml:space="preserve"> </w:t>
      </w:r>
      <w:r w:rsidRPr="003C6DAE">
        <w:rPr>
          <w:rFonts w:ascii="Trebuchet MS"/>
          <w:color w:val="333333"/>
          <w:w w:val="85"/>
          <w:sz w:val="17"/>
          <w:lang w:val="uk-UA"/>
        </w:rPr>
        <w:t>(95%</w:t>
      </w:r>
      <w:r w:rsidRPr="003C6DAE">
        <w:rPr>
          <w:rFonts w:ascii="Trebuchet MS"/>
          <w:color w:val="333333"/>
          <w:spacing w:val="22"/>
          <w:sz w:val="17"/>
          <w:lang w:val="uk-UA"/>
        </w:rPr>
        <w:t xml:space="preserve"> </w:t>
      </w:r>
      <w:r w:rsidRPr="003C6DAE">
        <w:rPr>
          <w:rFonts w:ascii="Trebuchet MS"/>
          <w:color w:val="333333"/>
          <w:w w:val="85"/>
          <w:sz w:val="17"/>
          <w:lang w:val="uk-UA"/>
        </w:rPr>
        <w:t>C</w:t>
      </w:r>
      <w:r w:rsidRPr="003C6DAE">
        <w:rPr>
          <w:rFonts w:ascii="Trebuchet MS"/>
          <w:color w:val="333333"/>
          <w:spacing w:val="-16"/>
          <w:w w:val="85"/>
          <w:sz w:val="17"/>
          <w:lang w:val="uk-UA"/>
        </w:rPr>
        <w:t xml:space="preserve"> </w:t>
      </w:r>
      <w:r w:rsidRPr="003C6DAE">
        <w:rPr>
          <w:rFonts w:ascii="Trebuchet MS"/>
          <w:color w:val="333333"/>
          <w:spacing w:val="-5"/>
          <w:w w:val="85"/>
          <w:sz w:val="17"/>
          <w:lang w:val="uk-UA"/>
        </w:rPr>
        <w:t>I)</w:t>
      </w:r>
    </w:p>
    <w:p w14:paraId="4F78C031" w14:textId="77777777" w:rsidR="00E05B98" w:rsidRPr="003C6DAE" w:rsidRDefault="00B01E0C">
      <w:pPr>
        <w:spacing w:before="106"/>
        <w:ind w:left="78"/>
        <w:rPr>
          <w:rFonts w:ascii="Trebuchet MS"/>
          <w:sz w:val="17"/>
          <w:lang w:val="uk-UA"/>
        </w:rPr>
      </w:pPr>
      <w:r w:rsidRPr="003C6DAE">
        <w:rPr>
          <w:lang w:val="uk-UA"/>
        </w:rPr>
        <w:br w:type="column"/>
      </w:r>
      <w:r w:rsidRPr="003C6DAE">
        <w:rPr>
          <w:rFonts w:ascii="Trebuchet MS"/>
          <w:color w:val="333333"/>
          <w:w w:val="85"/>
          <w:sz w:val="17"/>
          <w:lang w:val="uk-UA"/>
        </w:rPr>
        <w:t>S</w:t>
      </w:r>
      <w:r w:rsidRPr="003C6DAE">
        <w:rPr>
          <w:rFonts w:ascii="Trebuchet MS"/>
          <w:color w:val="333333"/>
          <w:spacing w:val="-14"/>
          <w:w w:val="85"/>
          <w:sz w:val="17"/>
          <w:lang w:val="uk-UA"/>
        </w:rPr>
        <w:t xml:space="preserve"> </w:t>
      </w:r>
      <w:proofErr w:type="spellStart"/>
      <w:r w:rsidRPr="003C6DAE">
        <w:rPr>
          <w:rFonts w:ascii="Trebuchet MS"/>
          <w:color w:val="333333"/>
          <w:w w:val="85"/>
          <w:sz w:val="17"/>
          <w:lang w:val="uk-UA"/>
        </w:rPr>
        <w:t>pec</w:t>
      </w:r>
      <w:proofErr w:type="spellEnd"/>
      <w:r w:rsidRPr="003C6DAE">
        <w:rPr>
          <w:rFonts w:ascii="Trebuchet MS"/>
          <w:color w:val="333333"/>
          <w:spacing w:val="-25"/>
          <w:w w:val="85"/>
          <w:sz w:val="17"/>
          <w:lang w:val="uk-UA"/>
        </w:rPr>
        <w:t xml:space="preserve"> </w:t>
      </w:r>
      <w:proofErr w:type="spellStart"/>
      <w:r w:rsidRPr="003C6DAE">
        <w:rPr>
          <w:rFonts w:ascii="Trebuchet MS"/>
          <w:color w:val="333333"/>
          <w:w w:val="85"/>
          <w:sz w:val="17"/>
          <w:lang w:val="uk-UA"/>
        </w:rPr>
        <w:t>ific</w:t>
      </w:r>
      <w:proofErr w:type="spellEnd"/>
      <w:r w:rsidRPr="003C6DAE">
        <w:rPr>
          <w:rFonts w:ascii="Trebuchet MS"/>
          <w:color w:val="333333"/>
          <w:spacing w:val="-25"/>
          <w:w w:val="85"/>
          <w:sz w:val="17"/>
          <w:lang w:val="uk-UA"/>
        </w:rPr>
        <w:t xml:space="preserve"> </w:t>
      </w:r>
      <w:proofErr w:type="spellStart"/>
      <w:r w:rsidRPr="003C6DAE">
        <w:rPr>
          <w:rFonts w:ascii="Trebuchet MS"/>
          <w:color w:val="333333"/>
          <w:w w:val="85"/>
          <w:sz w:val="17"/>
          <w:lang w:val="uk-UA"/>
        </w:rPr>
        <w:t>ity</w:t>
      </w:r>
      <w:proofErr w:type="spellEnd"/>
      <w:r w:rsidRPr="003C6DAE">
        <w:rPr>
          <w:rFonts w:ascii="Trebuchet MS"/>
          <w:color w:val="333333"/>
          <w:spacing w:val="12"/>
          <w:sz w:val="17"/>
          <w:lang w:val="uk-UA"/>
        </w:rPr>
        <w:t xml:space="preserve"> </w:t>
      </w:r>
      <w:r w:rsidRPr="003C6DAE">
        <w:rPr>
          <w:rFonts w:ascii="Trebuchet MS"/>
          <w:color w:val="333333"/>
          <w:w w:val="85"/>
          <w:sz w:val="17"/>
          <w:lang w:val="uk-UA"/>
        </w:rPr>
        <w:t>(95%</w:t>
      </w:r>
      <w:r w:rsidRPr="003C6DAE">
        <w:rPr>
          <w:rFonts w:ascii="Trebuchet MS"/>
          <w:color w:val="333333"/>
          <w:spacing w:val="15"/>
          <w:sz w:val="17"/>
          <w:lang w:val="uk-UA"/>
        </w:rPr>
        <w:t xml:space="preserve"> </w:t>
      </w:r>
      <w:r w:rsidRPr="003C6DAE">
        <w:rPr>
          <w:rFonts w:ascii="Trebuchet MS"/>
          <w:color w:val="333333"/>
          <w:w w:val="85"/>
          <w:sz w:val="17"/>
          <w:lang w:val="uk-UA"/>
        </w:rPr>
        <w:t>C</w:t>
      </w:r>
      <w:r w:rsidRPr="003C6DAE">
        <w:rPr>
          <w:rFonts w:ascii="Trebuchet MS"/>
          <w:color w:val="333333"/>
          <w:spacing w:val="-18"/>
          <w:w w:val="85"/>
          <w:sz w:val="17"/>
          <w:lang w:val="uk-UA"/>
        </w:rPr>
        <w:t xml:space="preserve"> </w:t>
      </w:r>
      <w:r w:rsidRPr="003C6DAE">
        <w:rPr>
          <w:rFonts w:ascii="Trebuchet MS"/>
          <w:color w:val="333333"/>
          <w:spacing w:val="-5"/>
          <w:w w:val="85"/>
          <w:sz w:val="17"/>
          <w:lang w:val="uk-UA"/>
        </w:rPr>
        <w:t>I)</w:t>
      </w:r>
    </w:p>
    <w:p w14:paraId="66720079" w14:textId="77777777" w:rsidR="00E05B98" w:rsidRPr="003C6DAE" w:rsidRDefault="00B01E0C">
      <w:pPr>
        <w:spacing w:before="106"/>
        <w:ind w:left="141"/>
        <w:rPr>
          <w:rFonts w:ascii="Trebuchet MS"/>
          <w:sz w:val="17"/>
          <w:lang w:val="uk-UA"/>
        </w:rPr>
      </w:pPr>
      <w:r w:rsidRPr="003C6DAE">
        <w:rPr>
          <w:lang w:val="uk-UA"/>
        </w:rPr>
        <w:br w:type="column"/>
      </w:r>
      <w:r w:rsidRPr="003C6DAE">
        <w:rPr>
          <w:rFonts w:ascii="Trebuchet MS"/>
          <w:color w:val="333333"/>
          <w:w w:val="85"/>
          <w:sz w:val="17"/>
          <w:lang w:val="uk-UA"/>
        </w:rPr>
        <w:t>S</w:t>
      </w:r>
      <w:r w:rsidRPr="003C6DAE">
        <w:rPr>
          <w:rFonts w:ascii="Trebuchet MS"/>
          <w:color w:val="333333"/>
          <w:spacing w:val="-11"/>
          <w:w w:val="85"/>
          <w:sz w:val="17"/>
          <w:lang w:val="uk-UA"/>
        </w:rPr>
        <w:t xml:space="preserve"> </w:t>
      </w:r>
      <w:proofErr w:type="spellStart"/>
      <w:r w:rsidRPr="003C6DAE">
        <w:rPr>
          <w:rFonts w:ascii="Trebuchet MS"/>
          <w:color w:val="333333"/>
          <w:w w:val="85"/>
          <w:sz w:val="17"/>
          <w:lang w:val="uk-UA"/>
        </w:rPr>
        <w:t>ens</w:t>
      </w:r>
      <w:proofErr w:type="spellEnd"/>
      <w:r w:rsidRPr="003C6DAE">
        <w:rPr>
          <w:rFonts w:ascii="Trebuchet MS"/>
          <w:color w:val="333333"/>
          <w:spacing w:val="-13"/>
          <w:w w:val="85"/>
          <w:sz w:val="17"/>
          <w:lang w:val="uk-UA"/>
        </w:rPr>
        <w:t xml:space="preserve"> </w:t>
      </w:r>
      <w:proofErr w:type="spellStart"/>
      <w:r w:rsidRPr="003C6DAE">
        <w:rPr>
          <w:rFonts w:ascii="Trebuchet MS"/>
          <w:color w:val="333333"/>
          <w:w w:val="85"/>
          <w:sz w:val="17"/>
          <w:lang w:val="uk-UA"/>
        </w:rPr>
        <w:t>itivity</w:t>
      </w:r>
      <w:proofErr w:type="spellEnd"/>
      <w:r w:rsidRPr="003C6DAE">
        <w:rPr>
          <w:rFonts w:ascii="Trebuchet MS"/>
          <w:color w:val="333333"/>
          <w:spacing w:val="19"/>
          <w:sz w:val="17"/>
          <w:lang w:val="uk-UA"/>
        </w:rPr>
        <w:t xml:space="preserve"> </w:t>
      </w:r>
      <w:r w:rsidRPr="003C6DAE">
        <w:rPr>
          <w:rFonts w:ascii="Trebuchet MS"/>
          <w:color w:val="333333"/>
          <w:w w:val="85"/>
          <w:sz w:val="17"/>
          <w:lang w:val="uk-UA"/>
        </w:rPr>
        <w:t>(95%</w:t>
      </w:r>
      <w:r w:rsidRPr="003C6DAE">
        <w:rPr>
          <w:rFonts w:ascii="Trebuchet MS"/>
          <w:color w:val="333333"/>
          <w:spacing w:val="22"/>
          <w:sz w:val="17"/>
          <w:lang w:val="uk-UA"/>
        </w:rPr>
        <w:t xml:space="preserve"> </w:t>
      </w:r>
      <w:r w:rsidRPr="003C6DAE">
        <w:rPr>
          <w:rFonts w:ascii="Trebuchet MS"/>
          <w:color w:val="333333"/>
          <w:w w:val="85"/>
          <w:sz w:val="17"/>
          <w:lang w:val="uk-UA"/>
        </w:rPr>
        <w:t>C</w:t>
      </w:r>
      <w:r w:rsidRPr="003C6DAE">
        <w:rPr>
          <w:rFonts w:ascii="Trebuchet MS"/>
          <w:color w:val="333333"/>
          <w:spacing w:val="-16"/>
          <w:w w:val="85"/>
          <w:sz w:val="17"/>
          <w:lang w:val="uk-UA"/>
        </w:rPr>
        <w:t xml:space="preserve"> </w:t>
      </w:r>
      <w:r w:rsidRPr="003C6DAE">
        <w:rPr>
          <w:rFonts w:ascii="Trebuchet MS"/>
          <w:color w:val="333333"/>
          <w:spacing w:val="-5"/>
          <w:w w:val="85"/>
          <w:sz w:val="17"/>
          <w:lang w:val="uk-UA"/>
        </w:rPr>
        <w:t>I)</w:t>
      </w:r>
    </w:p>
    <w:p w14:paraId="3E8918A5" w14:textId="02AF82FA" w:rsidR="00E05B98" w:rsidRPr="003C6DAE" w:rsidRDefault="00B500BB">
      <w:pPr>
        <w:spacing w:before="106"/>
        <w:ind w:left="210"/>
        <w:rPr>
          <w:rFonts w:ascii="Trebuchet MS"/>
          <w:sz w:val="17"/>
          <w:lang w:val="uk-UA"/>
        </w:rPr>
      </w:pPr>
      <w:r>
        <w:rPr>
          <w:noProof/>
          <w:lang w:val="uk-UA"/>
        </w:rPr>
        <mc:AlternateContent>
          <mc:Choice Requires="wps">
            <w:drawing>
              <wp:anchor distT="0" distB="0" distL="114300" distR="114300" simplePos="0" relativeHeight="488134144" behindDoc="0" locked="0" layoutInCell="1" allowOverlap="1" wp14:anchorId="22404FC5" wp14:editId="670EA9D1">
                <wp:simplePos x="0" y="0"/>
                <wp:positionH relativeFrom="column">
                  <wp:posOffset>89811</wp:posOffset>
                </wp:positionH>
                <wp:positionV relativeFrom="paragraph">
                  <wp:posOffset>113913</wp:posOffset>
                </wp:positionV>
                <wp:extent cx="2398823" cy="377687"/>
                <wp:effectExtent l="0" t="0" r="1905" b="3810"/>
                <wp:wrapNone/>
                <wp:docPr id="1640980761" name="Поле 2331"/>
                <wp:cNvGraphicFramePr/>
                <a:graphic xmlns:a="http://schemas.openxmlformats.org/drawingml/2006/main">
                  <a:graphicData uri="http://schemas.microsoft.com/office/word/2010/wordprocessingShape">
                    <wps:wsp>
                      <wps:cNvSpPr txBox="1"/>
                      <wps:spPr>
                        <a:xfrm>
                          <a:off x="0" y="0"/>
                          <a:ext cx="2398823" cy="377687"/>
                        </a:xfrm>
                        <a:prstGeom prst="rect">
                          <a:avLst/>
                        </a:prstGeom>
                        <a:solidFill>
                          <a:schemeClr val="lt1"/>
                        </a:solidFill>
                        <a:ln w="6350">
                          <a:noFill/>
                        </a:ln>
                      </wps:spPr>
                      <wps:txbx>
                        <w:txbxContent>
                          <w:p w14:paraId="063331D4" w14:textId="0E99D6FA" w:rsidR="007372B2" w:rsidRPr="00B500BB" w:rsidRDefault="007372B2">
                            <w:pPr>
                              <w:rPr>
                                <w:lang w:val="uk-UA"/>
                              </w:rPr>
                            </w:pPr>
                            <w:r>
                              <w:rPr>
                                <w:noProof/>
                              </w:rPr>
                              <w:drawing>
                                <wp:inline distT="0" distB="0" distL="0" distR="0" wp14:anchorId="3ED8E6CC" wp14:editId="4334DC5A">
                                  <wp:extent cx="2003446" cy="302150"/>
                                  <wp:effectExtent l="0" t="0" r="0" b="3175"/>
                                  <wp:docPr id="15477530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53050" name=""/>
                                          <pic:cNvPicPr/>
                                        </pic:nvPicPr>
                                        <pic:blipFill>
                                          <a:blip r:embed="rId98"/>
                                          <a:stretch>
                                            <a:fillRect/>
                                          </a:stretch>
                                        </pic:blipFill>
                                        <pic:spPr>
                                          <a:xfrm>
                                            <a:off x="0" y="0"/>
                                            <a:ext cx="2022556" cy="3050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04FC5" id="Поле 2331" o:spid="_x0000_s1110" type="#_x0000_t202" style="position:absolute;left:0;text-align:left;margin-left:7.05pt;margin-top:8.95pt;width:188.9pt;height:29.75pt;z-index:4881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" fillcolor="white [3201]" stroked="f" strokeweight=".5pt">
                <v:textbox>
                  <w:txbxContent>
                    <w:p w14:paraId="063331D4" w14:textId="0E99D6FA" w:rsidR="007372B2" w:rsidRPr="00B500BB" w:rsidRDefault="007372B2">
                      <w:pPr>
                        <w:rPr>
                          <w:lang w:val="uk-UA"/>
                        </w:rPr>
                      </w:pPr>
                      <w:r>
                        <w:rPr>
                          <w:noProof/>
                        </w:rPr>
                        <w:drawing>
                          <wp:inline distT="0" distB="0" distL="0" distR="0" wp14:anchorId="3ED8E6CC" wp14:editId="4334DC5A">
                            <wp:extent cx="2003446" cy="302150"/>
                            <wp:effectExtent l="0" t="0" r="0" b="3175"/>
                            <wp:docPr id="15477530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53050" name=""/>
                                    <pic:cNvPicPr/>
                                  </pic:nvPicPr>
                                  <pic:blipFill>
                                    <a:blip r:embed="rId98"/>
                                    <a:stretch>
                                      <a:fillRect/>
                                    </a:stretch>
                                  </pic:blipFill>
                                  <pic:spPr>
                                    <a:xfrm>
                                      <a:off x="0" y="0"/>
                                      <a:ext cx="2022556" cy="305032"/>
                                    </a:xfrm>
                                    <a:prstGeom prst="rect">
                                      <a:avLst/>
                                    </a:prstGeom>
                                  </pic:spPr>
                                </pic:pic>
                              </a:graphicData>
                            </a:graphic>
                          </wp:inline>
                        </w:drawing>
                      </w:r>
                    </w:p>
                  </w:txbxContent>
                </v:textbox>
              </v:shape>
            </w:pict>
          </mc:Fallback>
        </mc:AlternateContent>
      </w:r>
      <w:r w:rsidR="00B01E0C" w:rsidRPr="003C6DAE">
        <w:rPr>
          <w:lang w:val="uk-UA"/>
        </w:rPr>
        <w:br w:type="column"/>
      </w:r>
      <w:r w:rsidR="00B01E0C" w:rsidRPr="003C6DAE">
        <w:rPr>
          <w:rFonts w:ascii="Trebuchet MS"/>
          <w:color w:val="333333"/>
          <w:w w:val="85"/>
          <w:sz w:val="17"/>
          <w:lang w:val="uk-UA"/>
        </w:rPr>
        <w:t>S</w:t>
      </w:r>
      <w:r w:rsidR="00B01E0C" w:rsidRPr="003C6DAE">
        <w:rPr>
          <w:rFonts w:ascii="Trebuchet MS"/>
          <w:color w:val="333333"/>
          <w:spacing w:val="-14"/>
          <w:w w:val="85"/>
          <w:sz w:val="17"/>
          <w:lang w:val="uk-UA"/>
        </w:rPr>
        <w:t xml:space="preserve"> </w:t>
      </w:r>
      <w:proofErr w:type="spellStart"/>
      <w:r w:rsidR="00B01E0C" w:rsidRPr="003C6DAE">
        <w:rPr>
          <w:rFonts w:ascii="Trebuchet MS"/>
          <w:color w:val="333333"/>
          <w:w w:val="85"/>
          <w:sz w:val="17"/>
          <w:lang w:val="uk-UA"/>
        </w:rPr>
        <w:t>pec</w:t>
      </w:r>
      <w:proofErr w:type="spellEnd"/>
      <w:r w:rsidR="00B01E0C" w:rsidRPr="003C6DAE">
        <w:rPr>
          <w:rFonts w:ascii="Trebuchet MS"/>
          <w:color w:val="333333"/>
          <w:spacing w:val="-25"/>
          <w:w w:val="85"/>
          <w:sz w:val="17"/>
          <w:lang w:val="uk-UA"/>
        </w:rPr>
        <w:t xml:space="preserve"> </w:t>
      </w:r>
      <w:proofErr w:type="spellStart"/>
      <w:r w:rsidR="00B01E0C" w:rsidRPr="003C6DAE">
        <w:rPr>
          <w:rFonts w:ascii="Trebuchet MS"/>
          <w:color w:val="333333"/>
          <w:w w:val="85"/>
          <w:sz w:val="17"/>
          <w:lang w:val="uk-UA"/>
        </w:rPr>
        <w:t>ific</w:t>
      </w:r>
      <w:proofErr w:type="spellEnd"/>
      <w:r w:rsidR="00B01E0C" w:rsidRPr="003C6DAE">
        <w:rPr>
          <w:rFonts w:ascii="Trebuchet MS"/>
          <w:color w:val="333333"/>
          <w:spacing w:val="-25"/>
          <w:w w:val="85"/>
          <w:sz w:val="17"/>
          <w:lang w:val="uk-UA"/>
        </w:rPr>
        <w:t xml:space="preserve"> </w:t>
      </w:r>
      <w:proofErr w:type="spellStart"/>
      <w:r w:rsidR="00B01E0C" w:rsidRPr="003C6DAE">
        <w:rPr>
          <w:rFonts w:ascii="Trebuchet MS"/>
          <w:color w:val="333333"/>
          <w:w w:val="85"/>
          <w:sz w:val="17"/>
          <w:lang w:val="uk-UA"/>
        </w:rPr>
        <w:t>ity</w:t>
      </w:r>
      <w:proofErr w:type="spellEnd"/>
      <w:r w:rsidR="00B01E0C" w:rsidRPr="003C6DAE">
        <w:rPr>
          <w:rFonts w:ascii="Trebuchet MS"/>
          <w:color w:val="333333"/>
          <w:spacing w:val="12"/>
          <w:sz w:val="17"/>
          <w:lang w:val="uk-UA"/>
        </w:rPr>
        <w:t xml:space="preserve"> </w:t>
      </w:r>
      <w:r w:rsidR="00B01E0C" w:rsidRPr="003C6DAE">
        <w:rPr>
          <w:rFonts w:ascii="Trebuchet MS"/>
          <w:color w:val="333333"/>
          <w:w w:val="85"/>
          <w:sz w:val="17"/>
          <w:lang w:val="uk-UA"/>
        </w:rPr>
        <w:t>(95%</w:t>
      </w:r>
      <w:r w:rsidR="00B01E0C" w:rsidRPr="003C6DAE">
        <w:rPr>
          <w:rFonts w:ascii="Trebuchet MS"/>
          <w:color w:val="333333"/>
          <w:spacing w:val="15"/>
          <w:sz w:val="17"/>
          <w:lang w:val="uk-UA"/>
        </w:rPr>
        <w:t xml:space="preserve"> </w:t>
      </w:r>
      <w:r w:rsidR="00B01E0C" w:rsidRPr="003C6DAE">
        <w:rPr>
          <w:rFonts w:ascii="Trebuchet MS"/>
          <w:color w:val="333333"/>
          <w:w w:val="85"/>
          <w:sz w:val="17"/>
          <w:lang w:val="uk-UA"/>
        </w:rPr>
        <w:t>C</w:t>
      </w:r>
      <w:r w:rsidR="00B01E0C" w:rsidRPr="003C6DAE">
        <w:rPr>
          <w:rFonts w:ascii="Trebuchet MS"/>
          <w:color w:val="333333"/>
          <w:spacing w:val="-18"/>
          <w:w w:val="85"/>
          <w:sz w:val="17"/>
          <w:lang w:val="uk-UA"/>
        </w:rPr>
        <w:t xml:space="preserve"> </w:t>
      </w:r>
      <w:r w:rsidR="00B01E0C" w:rsidRPr="003C6DAE">
        <w:rPr>
          <w:rFonts w:ascii="Trebuchet MS"/>
          <w:color w:val="333333"/>
          <w:spacing w:val="-5"/>
          <w:w w:val="85"/>
          <w:sz w:val="17"/>
          <w:lang w:val="uk-UA"/>
        </w:rPr>
        <w:t>I)</w:t>
      </w:r>
    </w:p>
    <w:p w14:paraId="2C8340FE" w14:textId="77777777" w:rsidR="00E05B98" w:rsidRPr="003C6DAE" w:rsidRDefault="00E05B98">
      <w:pPr>
        <w:rPr>
          <w:rFonts w:ascii="Trebuchet MS"/>
          <w:sz w:val="17"/>
          <w:lang w:val="uk-UA"/>
        </w:rPr>
        <w:sectPr w:rsidR="00E05B98" w:rsidRPr="003C6DAE">
          <w:type w:val="continuous"/>
          <w:pgSz w:w="11910" w:h="16840"/>
          <w:pgMar w:top="1920" w:right="1275" w:bottom="280" w:left="850" w:header="0" w:footer="573" w:gutter="0"/>
          <w:cols w:num="7" w:space="720" w:equalWidth="0">
            <w:col w:w="1138" w:space="119"/>
            <w:col w:w="1211" w:space="40"/>
            <w:col w:w="594" w:space="39"/>
            <w:col w:w="1495" w:space="39"/>
            <w:col w:w="1456" w:space="40"/>
            <w:col w:w="1520" w:space="40"/>
            <w:col w:w="2054"/>
          </w:cols>
        </w:sectPr>
      </w:pPr>
    </w:p>
    <w:p w14:paraId="42611BF4" w14:textId="2078E634" w:rsidR="00E05B98" w:rsidRPr="003C6DAE" w:rsidRDefault="00B01E0C" w:rsidP="008D2647">
      <w:pPr>
        <w:tabs>
          <w:tab w:val="left" w:pos="2054"/>
          <w:tab w:val="left" w:pos="2369"/>
          <w:tab w:val="left" w:pos="2683"/>
          <w:tab w:val="left" w:pos="2997"/>
          <w:tab w:val="left" w:pos="3499"/>
          <w:tab w:val="left" w:pos="5008"/>
        </w:tabs>
        <w:spacing w:before="65"/>
        <w:ind w:left="426" w:firstLine="266"/>
        <w:rPr>
          <w:rFonts w:ascii="Trebuchet MS"/>
          <w:position w:val="-6"/>
          <w:sz w:val="17"/>
          <w:lang w:val="uk-UA"/>
        </w:rPr>
      </w:pPr>
      <w:proofErr w:type="spellStart"/>
      <w:r w:rsidRPr="003C6DAE">
        <w:rPr>
          <w:rFonts w:ascii="Trebuchet MS"/>
          <w:spacing w:val="2"/>
          <w:w w:val="80"/>
          <w:sz w:val="17"/>
          <w:lang w:val="uk-UA"/>
        </w:rPr>
        <w:t>Danfack</w:t>
      </w:r>
      <w:proofErr w:type="spellEnd"/>
      <w:r w:rsidRPr="003C6DAE">
        <w:rPr>
          <w:rFonts w:ascii="Trebuchet MS"/>
          <w:spacing w:val="34"/>
          <w:sz w:val="17"/>
          <w:lang w:val="uk-UA"/>
        </w:rPr>
        <w:t xml:space="preserve"> </w:t>
      </w:r>
      <w:r w:rsidRPr="003C6DAE">
        <w:rPr>
          <w:rFonts w:ascii="Trebuchet MS"/>
          <w:spacing w:val="-4"/>
          <w:w w:val="90"/>
          <w:sz w:val="17"/>
          <w:lang w:val="uk-UA"/>
        </w:rPr>
        <w:t>2024a</w:t>
      </w:r>
      <w:r w:rsidRPr="003C6DAE">
        <w:rPr>
          <w:rFonts w:ascii="Trebuchet MS"/>
          <w:sz w:val="17"/>
          <w:lang w:val="uk-UA"/>
        </w:rPr>
        <w:tab/>
      </w:r>
      <w:r w:rsidRPr="003C6DAE">
        <w:rPr>
          <w:rFonts w:ascii="Trebuchet MS"/>
          <w:spacing w:val="-10"/>
          <w:w w:val="90"/>
          <w:sz w:val="17"/>
          <w:lang w:val="uk-UA"/>
        </w:rPr>
        <w:t>2</w:t>
      </w:r>
      <w:r w:rsidRPr="003C6DAE">
        <w:rPr>
          <w:rFonts w:ascii="Trebuchet MS"/>
          <w:sz w:val="17"/>
          <w:lang w:val="uk-UA"/>
        </w:rPr>
        <w:tab/>
      </w:r>
      <w:r w:rsidRPr="003C6DAE">
        <w:rPr>
          <w:rFonts w:ascii="Trebuchet MS"/>
          <w:spacing w:val="-10"/>
          <w:w w:val="90"/>
          <w:sz w:val="17"/>
          <w:lang w:val="uk-UA"/>
        </w:rPr>
        <w:t>1</w:t>
      </w:r>
      <w:r w:rsidRPr="003C6DAE">
        <w:rPr>
          <w:rFonts w:ascii="Trebuchet MS"/>
          <w:sz w:val="17"/>
          <w:lang w:val="uk-UA"/>
        </w:rPr>
        <w:tab/>
      </w:r>
      <w:r w:rsidRPr="003C6DAE">
        <w:rPr>
          <w:rFonts w:ascii="Trebuchet MS"/>
          <w:spacing w:val="-10"/>
          <w:w w:val="90"/>
          <w:sz w:val="17"/>
          <w:lang w:val="uk-UA"/>
        </w:rPr>
        <w:t>1</w:t>
      </w:r>
      <w:r w:rsidRPr="003C6DAE">
        <w:rPr>
          <w:rFonts w:ascii="Trebuchet MS"/>
          <w:sz w:val="17"/>
          <w:lang w:val="uk-UA"/>
        </w:rPr>
        <w:tab/>
      </w:r>
      <w:r w:rsidRPr="003C6DAE">
        <w:rPr>
          <w:rFonts w:ascii="Trebuchet MS"/>
          <w:spacing w:val="-10"/>
          <w:w w:val="90"/>
          <w:sz w:val="17"/>
          <w:lang w:val="uk-UA"/>
        </w:rPr>
        <w:t>3</w:t>
      </w:r>
      <w:r w:rsidRPr="003C6DAE">
        <w:rPr>
          <w:rFonts w:ascii="Trebuchet MS"/>
          <w:sz w:val="17"/>
          <w:lang w:val="uk-UA"/>
        </w:rPr>
        <w:tab/>
      </w:r>
      <w:r w:rsidRPr="003C6DAE">
        <w:rPr>
          <w:rFonts w:ascii="Trebuchet MS"/>
          <w:w w:val="75"/>
          <w:sz w:val="17"/>
          <w:lang w:val="uk-UA"/>
        </w:rPr>
        <w:t>0.67</w:t>
      </w:r>
      <w:r w:rsidRPr="003C6DAE">
        <w:rPr>
          <w:rFonts w:ascii="Trebuchet MS"/>
          <w:spacing w:val="22"/>
          <w:sz w:val="17"/>
          <w:lang w:val="uk-UA"/>
        </w:rPr>
        <w:t xml:space="preserve"> </w:t>
      </w:r>
      <w:r w:rsidRPr="003C6DAE">
        <w:rPr>
          <w:rFonts w:ascii="Trebuchet MS"/>
          <w:w w:val="75"/>
          <w:sz w:val="17"/>
          <w:lang w:val="uk-UA"/>
        </w:rPr>
        <w:t>[0.09,</w:t>
      </w:r>
      <w:r w:rsidRPr="003C6DAE">
        <w:rPr>
          <w:rFonts w:ascii="Trebuchet MS"/>
          <w:spacing w:val="29"/>
          <w:sz w:val="17"/>
          <w:lang w:val="uk-UA"/>
        </w:rPr>
        <w:t xml:space="preserve"> </w:t>
      </w:r>
      <w:r w:rsidRPr="003C6DAE">
        <w:rPr>
          <w:rFonts w:ascii="Trebuchet MS"/>
          <w:spacing w:val="-4"/>
          <w:w w:val="75"/>
          <w:sz w:val="17"/>
          <w:lang w:val="uk-UA"/>
        </w:rPr>
        <w:t>0.99]</w:t>
      </w:r>
      <w:r w:rsidRPr="003C6DAE">
        <w:rPr>
          <w:rFonts w:ascii="Trebuchet MS"/>
          <w:sz w:val="17"/>
          <w:lang w:val="uk-UA"/>
        </w:rPr>
        <w:tab/>
      </w:r>
      <w:r w:rsidRPr="003C6DAE">
        <w:rPr>
          <w:rFonts w:ascii="Trebuchet MS"/>
          <w:w w:val="75"/>
          <w:sz w:val="17"/>
          <w:lang w:val="uk-UA"/>
        </w:rPr>
        <w:t>0.75</w:t>
      </w:r>
      <w:r w:rsidRPr="003C6DAE">
        <w:rPr>
          <w:rFonts w:ascii="Trebuchet MS"/>
          <w:sz w:val="17"/>
          <w:lang w:val="uk-UA"/>
        </w:rPr>
        <w:t xml:space="preserve"> </w:t>
      </w:r>
      <w:r w:rsidRPr="003C6DAE">
        <w:rPr>
          <w:rFonts w:ascii="Trebuchet MS"/>
          <w:w w:val="75"/>
          <w:sz w:val="17"/>
          <w:lang w:val="uk-UA"/>
        </w:rPr>
        <w:t>[0.19,</w:t>
      </w:r>
      <w:r w:rsidRPr="003C6DAE">
        <w:rPr>
          <w:rFonts w:ascii="Trebuchet MS"/>
          <w:spacing w:val="32"/>
          <w:sz w:val="17"/>
          <w:lang w:val="uk-UA"/>
        </w:rPr>
        <w:t xml:space="preserve"> </w:t>
      </w:r>
      <w:r w:rsidRPr="003C6DAE">
        <w:rPr>
          <w:rFonts w:ascii="Trebuchet MS"/>
          <w:w w:val="75"/>
          <w:sz w:val="17"/>
          <w:lang w:val="uk-UA"/>
        </w:rPr>
        <w:t>0.99]</w:t>
      </w:r>
      <w:r w:rsidRPr="003C6DAE">
        <w:rPr>
          <w:rFonts w:ascii="Trebuchet MS"/>
          <w:spacing w:val="80"/>
          <w:sz w:val="17"/>
          <w:lang w:val="uk-UA"/>
        </w:rPr>
        <w:t xml:space="preserve"> </w:t>
      </w:r>
    </w:p>
    <w:p w14:paraId="227A24A7" w14:textId="592413C8" w:rsidR="00E05B98" w:rsidRDefault="00E05B98">
      <w:pPr>
        <w:spacing w:before="1" w:line="196" w:lineRule="exact"/>
        <w:ind w:left="6224"/>
        <w:rPr>
          <w:rFonts w:ascii="Trebuchet MS"/>
          <w:sz w:val="17"/>
          <w:lang w:val="uk-UA"/>
        </w:rPr>
      </w:pPr>
    </w:p>
    <w:p w14:paraId="42DCD94F" w14:textId="122B9F58" w:rsidR="00E05B98" w:rsidRPr="003C6DAE" w:rsidRDefault="007B4203" w:rsidP="0002316C">
      <w:pPr>
        <w:spacing w:before="6"/>
        <w:ind w:left="567"/>
        <w:rPr>
          <w:rFonts w:ascii="Trebuchet MS"/>
          <w:sz w:val="17"/>
          <w:lang w:val="uk-UA"/>
        </w:rPr>
      </w:pPr>
      <w:r w:rsidRPr="007B4203">
        <w:rPr>
          <w:rFonts w:ascii="Trebuchet MS"/>
          <w:color w:val="333333"/>
          <w:w w:val="85"/>
          <w:sz w:val="17"/>
          <w:lang w:val="uk-UA"/>
        </w:rPr>
        <w:t>Метод</w:t>
      </w:r>
      <w:r w:rsidRPr="007B4203">
        <w:rPr>
          <w:rFonts w:ascii="Trebuchet MS"/>
          <w:color w:val="333333"/>
          <w:w w:val="85"/>
          <w:sz w:val="17"/>
          <w:lang w:val="uk-UA"/>
        </w:rPr>
        <w:t xml:space="preserve"> T</w:t>
      </w:r>
      <w:r w:rsidRPr="007B4203">
        <w:rPr>
          <w:rFonts w:ascii="Trebuchet MS"/>
          <w:color w:val="333333"/>
          <w:w w:val="85"/>
          <w:sz w:val="17"/>
          <w:lang w:val="uk-UA"/>
        </w:rPr>
        <w:t>В</w:t>
      </w:r>
      <w:r w:rsidRPr="007B4203">
        <w:rPr>
          <w:rFonts w:ascii="Trebuchet MS"/>
          <w:color w:val="333333"/>
          <w:w w:val="85"/>
          <w:sz w:val="17"/>
          <w:lang w:val="uk-UA"/>
        </w:rPr>
        <w:t xml:space="preserve">-LAMP </w:t>
      </w:r>
      <w:r w:rsidRPr="007B4203">
        <w:rPr>
          <w:rFonts w:ascii="Trebuchet MS"/>
          <w:color w:val="333333"/>
          <w:w w:val="85"/>
          <w:sz w:val="17"/>
          <w:lang w:val="uk-UA"/>
        </w:rPr>
        <w:t>для</w:t>
      </w:r>
      <w:r w:rsidRPr="007B4203">
        <w:rPr>
          <w:rFonts w:ascii="Trebuchet MS"/>
          <w:color w:val="333333"/>
          <w:w w:val="85"/>
          <w:sz w:val="17"/>
          <w:lang w:val="uk-UA"/>
        </w:rPr>
        <w:t xml:space="preserve"> </w:t>
      </w:r>
      <w:r w:rsidRPr="007B4203">
        <w:rPr>
          <w:rFonts w:ascii="Trebuchet MS"/>
          <w:color w:val="333333"/>
          <w:w w:val="85"/>
          <w:sz w:val="17"/>
          <w:lang w:val="uk-UA"/>
        </w:rPr>
        <w:t>виявлення</w:t>
      </w:r>
      <w:r w:rsidRPr="007B4203">
        <w:rPr>
          <w:rFonts w:ascii="Trebuchet MS"/>
          <w:color w:val="333333"/>
          <w:w w:val="85"/>
          <w:sz w:val="17"/>
          <w:lang w:val="uk-UA"/>
        </w:rPr>
        <w:t xml:space="preserve"> </w:t>
      </w:r>
      <w:r w:rsidRPr="007B4203">
        <w:rPr>
          <w:rFonts w:ascii="Trebuchet MS"/>
          <w:color w:val="333333"/>
          <w:w w:val="85"/>
          <w:sz w:val="17"/>
          <w:lang w:val="uk-UA"/>
        </w:rPr>
        <w:t>ТБ</w:t>
      </w:r>
      <w:r w:rsidRPr="007B4203">
        <w:rPr>
          <w:rFonts w:ascii="Trebuchet MS"/>
          <w:color w:val="333333"/>
          <w:w w:val="85"/>
          <w:sz w:val="17"/>
          <w:lang w:val="uk-UA"/>
        </w:rPr>
        <w:t xml:space="preserve"> </w:t>
      </w:r>
      <w:r w:rsidRPr="007B4203">
        <w:rPr>
          <w:rFonts w:ascii="Trebuchet MS"/>
          <w:color w:val="333333"/>
          <w:w w:val="85"/>
          <w:sz w:val="17"/>
          <w:lang w:val="uk-UA"/>
        </w:rPr>
        <w:t>лімфатичних</w:t>
      </w:r>
      <w:r w:rsidRPr="007B4203">
        <w:rPr>
          <w:rFonts w:ascii="Trebuchet MS"/>
          <w:color w:val="333333"/>
          <w:w w:val="85"/>
          <w:sz w:val="17"/>
          <w:lang w:val="uk-UA"/>
        </w:rPr>
        <w:t xml:space="preserve"> </w:t>
      </w:r>
      <w:r w:rsidRPr="007B4203">
        <w:rPr>
          <w:rFonts w:ascii="Trebuchet MS"/>
          <w:color w:val="333333"/>
          <w:w w:val="85"/>
          <w:sz w:val="17"/>
          <w:lang w:val="uk-UA"/>
        </w:rPr>
        <w:t>вузлів</w:t>
      </w:r>
      <w:r w:rsidRPr="007B4203">
        <w:rPr>
          <w:rFonts w:ascii="Trebuchet MS"/>
          <w:color w:val="333333"/>
          <w:w w:val="85"/>
          <w:sz w:val="17"/>
          <w:lang w:val="uk-UA"/>
        </w:rPr>
        <w:t xml:space="preserve"> </w:t>
      </w:r>
      <w:r w:rsidRPr="007B4203">
        <w:rPr>
          <w:rFonts w:ascii="Trebuchet MS"/>
          <w:color w:val="333333"/>
          <w:w w:val="85"/>
          <w:sz w:val="17"/>
          <w:lang w:val="uk-UA"/>
        </w:rPr>
        <w:t>у</w:t>
      </w:r>
      <w:r w:rsidRPr="007B4203">
        <w:rPr>
          <w:rFonts w:ascii="Trebuchet MS"/>
          <w:color w:val="333333"/>
          <w:w w:val="85"/>
          <w:sz w:val="17"/>
          <w:lang w:val="uk-UA"/>
        </w:rPr>
        <w:t xml:space="preserve"> </w:t>
      </w:r>
      <w:r w:rsidRPr="007B4203">
        <w:rPr>
          <w:rFonts w:ascii="Trebuchet MS"/>
          <w:color w:val="333333"/>
          <w:w w:val="85"/>
          <w:sz w:val="17"/>
          <w:lang w:val="uk-UA"/>
        </w:rPr>
        <w:t>зразках</w:t>
      </w:r>
      <w:r w:rsidRPr="007B4203">
        <w:rPr>
          <w:rFonts w:ascii="Trebuchet MS"/>
          <w:color w:val="333333"/>
          <w:w w:val="85"/>
          <w:sz w:val="17"/>
          <w:lang w:val="uk-UA"/>
        </w:rPr>
        <w:t xml:space="preserve"> </w:t>
      </w:r>
      <w:r w:rsidRPr="007B4203">
        <w:rPr>
          <w:rFonts w:ascii="Trebuchet MS"/>
          <w:color w:val="333333"/>
          <w:w w:val="85"/>
          <w:sz w:val="17"/>
          <w:lang w:val="uk-UA"/>
        </w:rPr>
        <w:t>гною</w:t>
      </w:r>
      <w:r w:rsidRPr="007B4203">
        <w:rPr>
          <w:rFonts w:ascii="Trebuchet MS"/>
          <w:color w:val="333333"/>
          <w:w w:val="85"/>
          <w:sz w:val="17"/>
          <w:lang w:val="uk-UA"/>
        </w:rPr>
        <w:t xml:space="preserve"> </w:t>
      </w:r>
      <w:r w:rsidRPr="007B4203">
        <w:rPr>
          <w:rFonts w:ascii="Trebuchet MS"/>
          <w:color w:val="333333"/>
          <w:w w:val="85"/>
          <w:sz w:val="17"/>
          <w:lang w:val="uk-UA"/>
        </w:rPr>
        <w:t>з</w:t>
      </w:r>
      <w:r w:rsidRPr="007B4203">
        <w:rPr>
          <w:rFonts w:ascii="Trebuchet MS"/>
          <w:color w:val="333333"/>
          <w:w w:val="85"/>
          <w:sz w:val="17"/>
          <w:lang w:val="uk-UA"/>
        </w:rPr>
        <w:t xml:space="preserve"> </w:t>
      </w:r>
      <w:r w:rsidRPr="007B4203">
        <w:rPr>
          <w:rFonts w:ascii="Trebuchet MS"/>
          <w:color w:val="333333"/>
          <w:w w:val="85"/>
          <w:sz w:val="17"/>
          <w:lang w:val="uk-UA"/>
        </w:rPr>
        <w:t>лімфатичних</w:t>
      </w:r>
      <w:r w:rsidRPr="007B4203">
        <w:rPr>
          <w:rFonts w:ascii="Trebuchet MS"/>
          <w:color w:val="333333"/>
          <w:w w:val="85"/>
          <w:sz w:val="17"/>
          <w:lang w:val="uk-UA"/>
        </w:rPr>
        <w:t xml:space="preserve"> </w:t>
      </w:r>
      <w:r w:rsidRPr="007B4203">
        <w:rPr>
          <w:rFonts w:ascii="Trebuchet MS"/>
          <w:color w:val="333333"/>
          <w:w w:val="85"/>
          <w:sz w:val="17"/>
          <w:lang w:val="uk-UA"/>
        </w:rPr>
        <w:t>вузлів</w:t>
      </w:r>
    </w:p>
    <w:p w14:paraId="2D897FD8" w14:textId="339BE3CC" w:rsidR="00E05B98" w:rsidRPr="003C6DAE" w:rsidRDefault="0002316C">
      <w:pPr>
        <w:pStyle w:val="a3"/>
        <w:spacing w:before="9"/>
        <w:rPr>
          <w:rFonts w:ascii="Trebuchet MS"/>
          <w:sz w:val="13"/>
          <w:lang w:val="uk-UA"/>
        </w:rPr>
      </w:pPr>
      <w:r w:rsidRPr="003C6DAE">
        <w:rPr>
          <w:rFonts w:ascii="Arial"/>
          <w:b/>
          <w:noProof/>
          <w:sz w:val="24"/>
          <w:lang w:val="uk-UA"/>
        </w:rPr>
        <mc:AlternateContent>
          <mc:Choice Requires="wps">
            <w:drawing>
              <wp:anchor distT="0" distB="0" distL="114300" distR="114300" simplePos="0" relativeHeight="488122880" behindDoc="0" locked="0" layoutInCell="1" allowOverlap="1" wp14:anchorId="026F933F" wp14:editId="78685DAE">
                <wp:simplePos x="0" y="0"/>
                <wp:positionH relativeFrom="margin">
                  <wp:posOffset>215944</wp:posOffset>
                </wp:positionH>
                <wp:positionV relativeFrom="paragraph">
                  <wp:posOffset>80683</wp:posOffset>
                </wp:positionV>
                <wp:extent cx="6273579" cy="225796"/>
                <wp:effectExtent l="0" t="0" r="0" b="3175"/>
                <wp:wrapNone/>
                <wp:docPr id="224150777" name="Поле 224150777"/>
                <wp:cNvGraphicFramePr/>
                <a:graphic xmlns:a="http://schemas.openxmlformats.org/drawingml/2006/main">
                  <a:graphicData uri="http://schemas.microsoft.com/office/word/2010/wordprocessingShape">
                    <wps:wsp>
                      <wps:cNvSpPr txBox="1"/>
                      <wps:spPr>
                        <a:xfrm>
                          <a:off x="0" y="0"/>
                          <a:ext cx="6273579" cy="225796"/>
                        </a:xfrm>
                        <a:prstGeom prst="rect">
                          <a:avLst/>
                        </a:prstGeom>
                        <a:solidFill>
                          <a:schemeClr val="bg1"/>
                        </a:solidFill>
                        <a:ln w="6350">
                          <a:noFill/>
                        </a:ln>
                      </wps:spPr>
                      <wps:txbx>
                        <w:txbxContent>
                          <w:p w14:paraId="3B7BEE7B" w14:textId="6A16F13D" w:rsidR="007372B2" w:rsidRPr="0002316C" w:rsidRDefault="007372B2" w:rsidP="00F925DD">
                            <w:pPr>
                              <w:ind w:left="2160" w:hanging="2018"/>
                              <w:rPr>
                                <w:rFonts w:asciiTheme="minorHAnsi" w:hAnsiTheme="minorHAnsi" w:cstheme="minorHAnsi"/>
                                <w:b/>
                                <w:sz w:val="16"/>
                                <w:szCs w:val="16"/>
                                <w:lang w:val="uk-UA"/>
                              </w:rPr>
                            </w:pPr>
                            <w:r w:rsidRPr="0002316C">
                              <w:rPr>
                                <w:rFonts w:asciiTheme="minorHAnsi" w:hAnsiTheme="minorHAnsi" w:cstheme="minorHAnsi"/>
                                <w:b/>
                                <w:sz w:val="16"/>
                                <w:szCs w:val="16"/>
                                <w:lang w:val="uk-UA"/>
                              </w:rPr>
                              <w:t xml:space="preserve">Дослідження             </w:t>
                            </w:r>
                            <w:r w:rsidRPr="0002316C">
                              <w:rPr>
                                <w:rFonts w:asciiTheme="minorHAnsi" w:hAnsiTheme="minorHAnsi" w:cstheme="minorHAnsi"/>
                                <w:b/>
                                <w:sz w:val="16"/>
                                <w:szCs w:val="16"/>
                              </w:rPr>
                              <w:t xml:space="preserve">TP   FP    FN   </w:t>
                            </w:r>
                            <w:r w:rsidRPr="0002316C">
                              <w:rPr>
                                <w:rFonts w:asciiTheme="minorHAnsi" w:hAnsiTheme="minorHAnsi" w:cstheme="minorHAnsi"/>
                                <w:b/>
                                <w:sz w:val="16"/>
                                <w:szCs w:val="16"/>
                                <w:lang w:val="uk-UA"/>
                              </w:rPr>
                              <w:t xml:space="preserve"> </w:t>
                            </w:r>
                            <w:r w:rsidRPr="0002316C">
                              <w:rPr>
                                <w:rFonts w:asciiTheme="minorHAnsi" w:hAnsiTheme="minorHAnsi" w:cstheme="minorHAnsi"/>
                                <w:b/>
                                <w:sz w:val="16"/>
                                <w:szCs w:val="16"/>
                              </w:rPr>
                              <w:t xml:space="preserve">TN   </w:t>
                            </w:r>
                            <w:r w:rsidRPr="0002316C">
                              <w:rPr>
                                <w:rFonts w:asciiTheme="minorHAnsi" w:hAnsiTheme="minorHAnsi" w:cstheme="minorHAnsi"/>
                                <w:b/>
                                <w:sz w:val="16"/>
                                <w:szCs w:val="16"/>
                                <w:lang w:val="uk-UA"/>
                              </w:rPr>
                              <w:t>Чутливість (95% ДІ) Специфічність (95% ДІ)  Чутливість (95% ДІ)       Специфічність (95% ДІ)</w:t>
                            </w:r>
                            <w:r w:rsidRPr="0002316C">
                              <w:rPr>
                                <w:rFonts w:asciiTheme="minorHAnsi" w:hAnsiTheme="minorHAnsi" w:cstheme="minorHAnsi"/>
                                <w:b/>
                                <w:sz w:val="16"/>
                                <w:szCs w:val="16"/>
                              </w:rPr>
                              <w:t xml:space="preserve">          </w:t>
                            </w:r>
                            <w:r w:rsidRPr="0002316C">
                              <w:rPr>
                                <w:rFonts w:asciiTheme="minorHAnsi" w:hAnsiTheme="minorHAnsi" w:cstheme="minorHAnsi"/>
                                <w:b/>
                                <w:sz w:val="16"/>
                                <w:szCs w:val="16"/>
                                <w:lang w:val="uk-UA"/>
                              </w:rPr>
                              <w:t xml:space="preserve">                     </w:t>
                            </w:r>
                          </w:p>
                          <w:p w14:paraId="1C78C9FD"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F933F" id="Поле 224150777" o:spid="_x0000_s1111" type="#_x0000_t202" style="position:absolute;margin-left:17pt;margin-top:6.35pt;width:494pt;height:17.8pt;z-index:4881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" fillcolor="white [3212]" stroked="f" strokeweight=".5pt">
                <v:textbox>
                  <w:txbxContent>
                    <w:p w14:paraId="3B7BEE7B" w14:textId="6A16F13D" w:rsidR="007372B2" w:rsidRPr="0002316C" w:rsidRDefault="007372B2" w:rsidP="00F925DD">
                      <w:pPr>
                        <w:ind w:left="2160" w:hanging="2018"/>
                        <w:rPr>
                          <w:rFonts w:asciiTheme="minorHAnsi" w:hAnsiTheme="minorHAnsi" w:cstheme="minorHAnsi"/>
                          <w:b/>
                          <w:sz w:val="16"/>
                          <w:szCs w:val="16"/>
                          <w:lang w:val="uk-UA"/>
                        </w:rPr>
                      </w:pPr>
                      <w:r w:rsidRPr="0002316C">
                        <w:rPr>
                          <w:rFonts w:asciiTheme="minorHAnsi" w:hAnsiTheme="minorHAnsi" w:cstheme="minorHAnsi"/>
                          <w:b/>
                          <w:sz w:val="16"/>
                          <w:szCs w:val="16"/>
                          <w:lang w:val="uk-UA"/>
                        </w:rPr>
                        <w:t xml:space="preserve">Дослідження             </w:t>
                      </w:r>
                      <w:r w:rsidRPr="0002316C">
                        <w:rPr>
                          <w:rFonts w:asciiTheme="minorHAnsi" w:hAnsiTheme="minorHAnsi" w:cstheme="minorHAnsi"/>
                          <w:b/>
                          <w:sz w:val="16"/>
                          <w:szCs w:val="16"/>
                        </w:rPr>
                        <w:t xml:space="preserve">TP   FP    FN   </w:t>
                      </w:r>
                      <w:r w:rsidRPr="0002316C">
                        <w:rPr>
                          <w:rFonts w:asciiTheme="minorHAnsi" w:hAnsiTheme="minorHAnsi" w:cstheme="minorHAnsi"/>
                          <w:b/>
                          <w:sz w:val="16"/>
                          <w:szCs w:val="16"/>
                          <w:lang w:val="uk-UA"/>
                        </w:rPr>
                        <w:t xml:space="preserve"> </w:t>
                      </w:r>
                      <w:r w:rsidRPr="0002316C">
                        <w:rPr>
                          <w:rFonts w:asciiTheme="minorHAnsi" w:hAnsiTheme="minorHAnsi" w:cstheme="minorHAnsi"/>
                          <w:b/>
                          <w:sz w:val="16"/>
                          <w:szCs w:val="16"/>
                        </w:rPr>
                        <w:t xml:space="preserve">TN   </w:t>
                      </w:r>
                      <w:r w:rsidRPr="0002316C">
                        <w:rPr>
                          <w:rFonts w:asciiTheme="minorHAnsi" w:hAnsiTheme="minorHAnsi" w:cstheme="minorHAnsi"/>
                          <w:b/>
                          <w:sz w:val="16"/>
                          <w:szCs w:val="16"/>
                          <w:lang w:val="uk-UA"/>
                        </w:rPr>
                        <w:t>Чутливість (95% ДІ) Специфічність (95% ДІ)  Чутливість (95% ДІ)       Специфічність (95% ДІ)</w:t>
                      </w:r>
                      <w:r w:rsidRPr="0002316C">
                        <w:rPr>
                          <w:rFonts w:asciiTheme="minorHAnsi" w:hAnsiTheme="minorHAnsi" w:cstheme="minorHAnsi"/>
                          <w:b/>
                          <w:sz w:val="16"/>
                          <w:szCs w:val="16"/>
                        </w:rPr>
                        <w:t xml:space="preserve">          </w:t>
                      </w:r>
                      <w:r w:rsidRPr="0002316C">
                        <w:rPr>
                          <w:rFonts w:asciiTheme="minorHAnsi" w:hAnsiTheme="minorHAnsi" w:cstheme="minorHAnsi"/>
                          <w:b/>
                          <w:sz w:val="16"/>
                          <w:szCs w:val="16"/>
                          <w:lang w:val="uk-UA"/>
                        </w:rPr>
                        <w:t xml:space="preserve">                     </w:t>
                      </w:r>
                    </w:p>
                    <w:p w14:paraId="1C78C9FD"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v:textbox>
                <w10:wrap anchorx="margin"/>
              </v:shape>
            </w:pict>
          </mc:Fallback>
        </mc:AlternateContent>
      </w:r>
    </w:p>
    <w:p w14:paraId="0EFA5AA3" w14:textId="77777777" w:rsidR="00E05B98" w:rsidRPr="003C6DAE" w:rsidRDefault="00E05B98">
      <w:pPr>
        <w:pStyle w:val="a3"/>
        <w:rPr>
          <w:rFonts w:ascii="Trebuchet MS"/>
          <w:sz w:val="13"/>
          <w:lang w:val="uk-UA"/>
        </w:rPr>
        <w:sectPr w:rsidR="00E05B98" w:rsidRPr="003C6DAE">
          <w:type w:val="continuous"/>
          <w:pgSz w:w="11910" w:h="16840"/>
          <w:pgMar w:top="1920" w:right="1275" w:bottom="280" w:left="850" w:header="0" w:footer="573" w:gutter="0"/>
          <w:cols w:space="720"/>
        </w:sectPr>
      </w:pPr>
    </w:p>
    <w:p w14:paraId="3846D7E3" w14:textId="6C0EFAD4" w:rsidR="00E05B98" w:rsidRPr="003C6DAE" w:rsidRDefault="00B01E0C">
      <w:pPr>
        <w:spacing w:before="106"/>
        <w:ind w:left="692"/>
        <w:rPr>
          <w:rFonts w:ascii="Trebuchet MS"/>
          <w:sz w:val="17"/>
          <w:lang w:val="uk-UA"/>
        </w:rPr>
      </w:pPr>
      <w:r w:rsidRPr="003C6DAE">
        <w:rPr>
          <w:lang w:val="uk-UA"/>
        </w:rPr>
        <w:br w:type="column"/>
      </w:r>
      <w:r w:rsidRPr="003C6DAE">
        <w:rPr>
          <w:rFonts w:ascii="Trebuchet MS"/>
          <w:color w:val="333333"/>
          <w:spacing w:val="-5"/>
          <w:w w:val="90"/>
          <w:sz w:val="17"/>
          <w:lang w:val="uk-UA"/>
        </w:rPr>
        <w:t xml:space="preserve"> </w:t>
      </w:r>
    </w:p>
    <w:p w14:paraId="0199F795" w14:textId="18EC7E09" w:rsidR="00E05B98" w:rsidRPr="003C6DAE" w:rsidRDefault="00B01E0C" w:rsidP="0002316C">
      <w:pPr>
        <w:spacing w:before="106"/>
        <w:ind w:left="84"/>
        <w:rPr>
          <w:rFonts w:ascii="Trebuchet MS"/>
          <w:sz w:val="17"/>
          <w:lang w:val="uk-UA"/>
        </w:rPr>
      </w:pPr>
      <w:r w:rsidRPr="003C6DAE">
        <w:rPr>
          <w:lang w:val="uk-UA"/>
        </w:rPr>
        <w:br w:type="column"/>
      </w:r>
    </w:p>
    <w:p w14:paraId="0ABBC4EE" w14:textId="77777777" w:rsidR="00E05B98" w:rsidRPr="003C6DAE" w:rsidRDefault="00E05B98">
      <w:pPr>
        <w:rPr>
          <w:rFonts w:ascii="Trebuchet MS"/>
          <w:sz w:val="17"/>
          <w:lang w:val="uk-UA"/>
        </w:rPr>
        <w:sectPr w:rsidR="00E05B98" w:rsidRPr="003C6DAE">
          <w:type w:val="continuous"/>
          <w:pgSz w:w="11910" w:h="16840"/>
          <w:pgMar w:top="1920" w:right="1275" w:bottom="280" w:left="850" w:header="0" w:footer="573" w:gutter="0"/>
          <w:cols w:num="7" w:space="720" w:equalWidth="0">
            <w:col w:w="1138" w:space="119"/>
            <w:col w:w="1211" w:space="40"/>
            <w:col w:w="594" w:space="39"/>
            <w:col w:w="1495" w:space="39"/>
            <w:col w:w="1457" w:space="40"/>
            <w:col w:w="1520" w:space="39"/>
            <w:col w:w="2054"/>
          </w:cols>
        </w:sectPr>
      </w:pPr>
    </w:p>
    <w:p w14:paraId="607EA1F9" w14:textId="5A680931" w:rsidR="00E05B98" w:rsidRPr="003C6DAE" w:rsidRDefault="00B01E0C">
      <w:pPr>
        <w:spacing w:before="65"/>
        <w:ind w:left="692"/>
        <w:rPr>
          <w:rFonts w:ascii="Trebuchet MS"/>
          <w:sz w:val="17"/>
          <w:lang w:val="uk-UA"/>
        </w:rPr>
      </w:pPr>
      <w:proofErr w:type="spellStart"/>
      <w:r w:rsidRPr="003C6DAE">
        <w:rPr>
          <w:rFonts w:ascii="Trebuchet MS"/>
          <w:spacing w:val="2"/>
          <w:w w:val="80"/>
          <w:sz w:val="17"/>
          <w:lang w:val="uk-UA"/>
        </w:rPr>
        <w:t>Danfack</w:t>
      </w:r>
      <w:proofErr w:type="spellEnd"/>
      <w:r w:rsidRPr="003C6DAE">
        <w:rPr>
          <w:rFonts w:ascii="Trebuchet MS"/>
          <w:spacing w:val="34"/>
          <w:sz w:val="17"/>
          <w:lang w:val="uk-UA"/>
        </w:rPr>
        <w:t xml:space="preserve"> </w:t>
      </w:r>
      <w:r w:rsidRPr="003C6DAE">
        <w:rPr>
          <w:rFonts w:ascii="Trebuchet MS"/>
          <w:spacing w:val="-4"/>
          <w:w w:val="90"/>
          <w:sz w:val="17"/>
          <w:lang w:val="uk-UA"/>
        </w:rPr>
        <w:t>2024a</w:t>
      </w:r>
    </w:p>
    <w:p w14:paraId="7518A5AF" w14:textId="77777777" w:rsidR="00E05B98" w:rsidRPr="003C6DAE" w:rsidRDefault="00B01E0C">
      <w:pPr>
        <w:tabs>
          <w:tab w:val="left" w:pos="629"/>
          <w:tab w:val="left" w:pos="943"/>
          <w:tab w:val="left" w:pos="1258"/>
        </w:tabs>
        <w:spacing w:before="65"/>
        <w:ind w:left="315"/>
        <w:rPr>
          <w:rFonts w:ascii="Trebuchet MS"/>
          <w:sz w:val="17"/>
          <w:lang w:val="uk-UA"/>
        </w:rPr>
      </w:pPr>
      <w:r w:rsidRPr="003C6DAE">
        <w:rPr>
          <w:lang w:val="uk-UA"/>
        </w:rPr>
        <w:br w:type="column"/>
      </w:r>
      <w:r w:rsidRPr="003C6DAE">
        <w:rPr>
          <w:rFonts w:ascii="Trebuchet MS"/>
          <w:spacing w:val="-10"/>
          <w:w w:val="95"/>
          <w:sz w:val="17"/>
          <w:lang w:val="uk-UA"/>
        </w:rPr>
        <w:t>0</w:t>
      </w:r>
      <w:r w:rsidRPr="003C6DAE">
        <w:rPr>
          <w:rFonts w:ascii="Trebuchet MS"/>
          <w:sz w:val="17"/>
          <w:lang w:val="uk-UA"/>
        </w:rPr>
        <w:tab/>
      </w:r>
      <w:r w:rsidRPr="003C6DAE">
        <w:rPr>
          <w:rFonts w:ascii="Trebuchet MS"/>
          <w:spacing w:val="-10"/>
          <w:w w:val="95"/>
          <w:sz w:val="17"/>
          <w:lang w:val="uk-UA"/>
        </w:rPr>
        <w:t>2</w:t>
      </w:r>
      <w:r w:rsidRPr="003C6DAE">
        <w:rPr>
          <w:rFonts w:ascii="Trebuchet MS"/>
          <w:sz w:val="17"/>
          <w:lang w:val="uk-UA"/>
        </w:rPr>
        <w:tab/>
      </w:r>
      <w:r w:rsidRPr="003C6DAE">
        <w:rPr>
          <w:rFonts w:ascii="Trebuchet MS"/>
          <w:spacing w:val="-10"/>
          <w:w w:val="95"/>
          <w:sz w:val="17"/>
          <w:lang w:val="uk-UA"/>
        </w:rPr>
        <w:t>0</w:t>
      </w:r>
      <w:r w:rsidRPr="003C6DAE">
        <w:rPr>
          <w:rFonts w:ascii="Trebuchet MS"/>
          <w:sz w:val="17"/>
          <w:lang w:val="uk-UA"/>
        </w:rPr>
        <w:tab/>
      </w:r>
      <w:r w:rsidRPr="003C6DAE">
        <w:rPr>
          <w:rFonts w:ascii="Trebuchet MS"/>
          <w:spacing w:val="-18"/>
          <w:w w:val="95"/>
          <w:sz w:val="17"/>
          <w:lang w:val="uk-UA"/>
        </w:rPr>
        <w:t>5</w:t>
      </w:r>
    </w:p>
    <w:p w14:paraId="4D991306" w14:textId="3849B382" w:rsidR="00E05B98" w:rsidRPr="0002316C" w:rsidRDefault="00B01E0C" w:rsidP="0002316C">
      <w:pPr>
        <w:spacing w:before="65"/>
        <w:ind w:left="142"/>
        <w:rPr>
          <w:rFonts w:ascii="Trebuchet MS"/>
          <w:sz w:val="16"/>
          <w:szCs w:val="16"/>
          <w:lang w:val="uk-UA"/>
        </w:rPr>
      </w:pPr>
      <w:r w:rsidRPr="003C6DAE">
        <w:rPr>
          <w:lang w:val="uk-UA"/>
        </w:rPr>
        <w:br w:type="column"/>
      </w:r>
      <w:r w:rsidR="0002316C">
        <w:rPr>
          <w:lang w:val="uk-UA"/>
        </w:rPr>
        <w:t xml:space="preserve">  </w:t>
      </w:r>
      <w:r w:rsidR="0002316C" w:rsidRPr="0002316C">
        <w:rPr>
          <w:rFonts w:ascii="Trebuchet MS"/>
          <w:w w:val="85"/>
          <w:sz w:val="16"/>
          <w:szCs w:val="16"/>
          <w:lang w:val="uk-UA"/>
        </w:rPr>
        <w:t>Не</w:t>
      </w:r>
      <w:r w:rsidR="0002316C" w:rsidRPr="0002316C">
        <w:rPr>
          <w:rFonts w:ascii="Trebuchet MS"/>
          <w:w w:val="85"/>
          <w:sz w:val="16"/>
          <w:szCs w:val="16"/>
          <w:lang w:val="uk-UA"/>
        </w:rPr>
        <w:t xml:space="preserve"> </w:t>
      </w:r>
      <w:r w:rsidR="0002316C" w:rsidRPr="0002316C">
        <w:rPr>
          <w:rFonts w:ascii="Trebuchet MS"/>
          <w:w w:val="85"/>
          <w:sz w:val="16"/>
          <w:szCs w:val="16"/>
          <w:lang w:val="uk-UA"/>
        </w:rPr>
        <w:t>підлягає</w:t>
      </w:r>
      <w:r w:rsidR="0002316C" w:rsidRPr="0002316C">
        <w:rPr>
          <w:rFonts w:ascii="Trebuchet MS"/>
          <w:w w:val="85"/>
          <w:sz w:val="16"/>
          <w:szCs w:val="16"/>
          <w:lang w:val="uk-UA"/>
        </w:rPr>
        <w:t xml:space="preserve"> </w:t>
      </w:r>
      <w:r w:rsidR="0002316C" w:rsidRPr="0002316C">
        <w:rPr>
          <w:rFonts w:ascii="Trebuchet MS"/>
          <w:w w:val="85"/>
          <w:sz w:val="16"/>
          <w:szCs w:val="16"/>
          <w:lang w:val="uk-UA"/>
        </w:rPr>
        <w:t>оцінці</w:t>
      </w:r>
    </w:p>
    <w:p w14:paraId="047BAF1D" w14:textId="77777777" w:rsidR="00E05B98" w:rsidRPr="003C6DAE" w:rsidRDefault="00B01E0C">
      <w:pPr>
        <w:spacing w:before="65"/>
        <w:ind w:left="390"/>
        <w:rPr>
          <w:rFonts w:ascii="Trebuchet MS"/>
          <w:sz w:val="17"/>
          <w:lang w:val="uk-UA"/>
        </w:rPr>
      </w:pPr>
      <w:r w:rsidRPr="003C6DAE">
        <w:rPr>
          <w:lang w:val="uk-UA"/>
        </w:rPr>
        <w:br w:type="column"/>
      </w:r>
      <w:r w:rsidRPr="003C6DAE">
        <w:rPr>
          <w:rFonts w:ascii="Trebuchet MS"/>
          <w:w w:val="75"/>
          <w:sz w:val="17"/>
          <w:lang w:val="uk-UA"/>
        </w:rPr>
        <w:t>0.71</w:t>
      </w:r>
      <w:r w:rsidRPr="003C6DAE">
        <w:rPr>
          <w:rFonts w:ascii="Trebuchet MS"/>
          <w:spacing w:val="22"/>
          <w:sz w:val="17"/>
          <w:lang w:val="uk-UA"/>
        </w:rPr>
        <w:t xml:space="preserve"> </w:t>
      </w:r>
      <w:r w:rsidRPr="003C6DAE">
        <w:rPr>
          <w:rFonts w:ascii="Trebuchet MS"/>
          <w:w w:val="75"/>
          <w:sz w:val="17"/>
          <w:lang w:val="uk-UA"/>
        </w:rPr>
        <w:t>[0.29,</w:t>
      </w:r>
      <w:r w:rsidRPr="003C6DAE">
        <w:rPr>
          <w:rFonts w:ascii="Trebuchet MS"/>
          <w:spacing w:val="29"/>
          <w:sz w:val="17"/>
          <w:lang w:val="uk-UA"/>
        </w:rPr>
        <w:t xml:space="preserve"> </w:t>
      </w:r>
      <w:r w:rsidRPr="003C6DAE">
        <w:rPr>
          <w:rFonts w:ascii="Trebuchet MS"/>
          <w:spacing w:val="-2"/>
          <w:w w:val="75"/>
          <w:sz w:val="17"/>
          <w:lang w:val="uk-UA"/>
        </w:rPr>
        <w:t>0.96]</w:t>
      </w:r>
    </w:p>
    <w:p w14:paraId="17F9AE86" w14:textId="77777777" w:rsidR="00E05B98" w:rsidRPr="003C6DAE" w:rsidRDefault="00B01E0C">
      <w:pPr>
        <w:spacing w:before="10"/>
        <w:rPr>
          <w:rFonts w:ascii="Trebuchet MS"/>
          <w:sz w:val="14"/>
          <w:lang w:val="uk-UA"/>
        </w:rPr>
      </w:pPr>
      <w:r w:rsidRPr="003C6DAE">
        <w:rPr>
          <w:lang w:val="uk-UA"/>
        </w:rPr>
        <w:br w:type="column"/>
      </w:r>
    </w:p>
    <w:p w14:paraId="60A90CFD" w14:textId="77777777" w:rsidR="00E05B98" w:rsidRPr="003C6DAE" w:rsidRDefault="00B01E0C">
      <w:pPr>
        <w:pStyle w:val="a3"/>
        <w:spacing w:line="129" w:lineRule="exact"/>
        <w:ind w:left="76" w:right="-72"/>
        <w:rPr>
          <w:rFonts w:ascii="Trebuchet MS"/>
          <w:position w:val="-2"/>
          <w:sz w:val="12"/>
          <w:lang w:val="uk-UA"/>
        </w:rPr>
      </w:pPr>
      <w:r w:rsidRPr="003C6DAE">
        <w:rPr>
          <w:rFonts w:ascii="Trebuchet MS"/>
          <w:noProof/>
          <w:position w:val="-2"/>
          <w:sz w:val="12"/>
          <w:lang w:val="uk-UA"/>
        </w:rPr>
        <mc:AlternateContent>
          <mc:Choice Requires="wpg">
            <w:drawing>
              <wp:inline distT="0" distB="0" distL="0" distR="0" wp14:anchorId="249BFD80" wp14:editId="0F58CF1A">
                <wp:extent cx="958215" cy="73660"/>
                <wp:effectExtent l="9525" t="0" r="0" b="12065"/>
                <wp:docPr id="1914" name="Group 1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8215" cy="73660"/>
                          <a:chOff x="0" y="0"/>
                          <a:chExt cx="958215" cy="73660"/>
                        </a:xfrm>
                      </wpg:grpSpPr>
                      <wps:wsp>
                        <wps:cNvPr id="1915" name="Graphic 1915"/>
                        <wps:cNvSpPr/>
                        <wps:spPr>
                          <a:xfrm>
                            <a:off x="3991" y="36793"/>
                            <a:ext cx="950594" cy="1270"/>
                          </a:xfrm>
                          <a:custGeom>
                            <a:avLst/>
                            <a:gdLst/>
                            <a:ahLst/>
                            <a:cxnLst/>
                            <a:rect l="l" t="t" r="r" b="b"/>
                            <a:pathLst>
                              <a:path w="950594">
                                <a:moveTo>
                                  <a:pt x="0" y="0"/>
                                </a:moveTo>
                                <a:lnTo>
                                  <a:pt x="949991" y="0"/>
                                </a:lnTo>
                              </a:path>
                            </a:pathLst>
                          </a:custGeom>
                          <a:ln w="9198">
                            <a:solidFill>
                              <a:srgbClr val="000000"/>
                            </a:solidFill>
                            <a:prstDash val="solid"/>
                          </a:ln>
                        </wps:spPr>
                        <wps:bodyPr wrap="square" lIns="0" tIns="0" rIns="0" bIns="0" rtlCol="0">
                          <a:prstTxWarp prst="textNoShape">
                            <a:avLst/>
                          </a:prstTxWarp>
                          <a:noAutofit/>
                        </wps:bodyPr>
                      </wps:wsp>
                      <wps:wsp>
                        <wps:cNvPr id="1916" name="Graphic 1916"/>
                        <wps:cNvSpPr/>
                        <wps:spPr>
                          <a:xfrm>
                            <a:off x="3991" y="0"/>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917" name="Graphic 1917"/>
                        <wps:cNvSpPr/>
                        <wps:spPr>
                          <a:xfrm>
                            <a:off x="193990" y="0"/>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918" name="Graphic 1918"/>
                        <wps:cNvSpPr/>
                        <wps:spPr>
                          <a:xfrm>
                            <a:off x="383988" y="0"/>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919" name="Graphic 1919"/>
                        <wps:cNvSpPr/>
                        <wps:spPr>
                          <a:xfrm>
                            <a:off x="573588" y="0"/>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920" name="Graphic 1920"/>
                        <wps:cNvSpPr/>
                        <wps:spPr>
                          <a:xfrm>
                            <a:off x="763986" y="0"/>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921" name="Graphic 1921"/>
                        <wps:cNvSpPr/>
                        <wps:spPr>
                          <a:xfrm>
                            <a:off x="953984" y="0"/>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D5CC45" id="Group 1914" o:spid="_x0000_s1026" style="width:75.45pt;height:5.8pt;mso-position-horizontal-relative:char;mso-position-vertical-relative:line" coordsize="958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">
                <v:shape id="Graphic 1915" o:spid="_x0000_s1027" style="position:absolute;left:39;top:367;width:9506;height:13;visibility:visible;mso-wrap-style:square;v-text-anchor:top" coordsize="950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" path="m,l949991,e" filled="f" strokeweight=".2555mm">
                  <v:path arrowok="t"/>
                </v:shape>
                <v:shape id="Graphic 1916" o:spid="_x0000_s1028" style="position:absolute;left:39;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" path="m,l,73586e" filled="f" strokeweight=".22175mm">
                  <v:path arrowok="t"/>
                </v:shape>
                <v:shape id="Graphic 1917" o:spid="_x0000_s1029" style="position:absolute;left:1939;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" path="m,l,73586e" filled="f" strokeweight=".22175mm">
                  <v:path arrowok="t"/>
                </v:shape>
                <v:shape id="Graphic 1918" o:spid="_x0000_s1030" style="position:absolute;left:3839;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" path="m,l,73586e" filled="f" strokeweight=".22175mm">
                  <v:path arrowok="t"/>
                </v:shape>
                <v:shape id="Graphic 1919" o:spid="_x0000_s1031" style="position:absolute;left:5735;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" path="m,l,73586e" filled="f" strokeweight=".22175mm">
                  <v:path arrowok="t"/>
                </v:shape>
                <v:shape id="Graphic 1920" o:spid="_x0000_s1032" style="position:absolute;left:7639;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" path="m,l,73586e" filled="f" strokeweight=".22175mm">
                  <v:path arrowok="t"/>
                </v:shape>
                <v:shape id="Graphic 1921" o:spid="_x0000_s1033" style="position:absolute;left:9539;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" path="m,l,73586e" filled="f" strokeweight=".22175mm">
                  <v:path arrowok="t"/>
                </v:shape>
                <w10:anchorlock/>
              </v:group>
            </w:pict>
          </mc:Fallback>
        </mc:AlternateContent>
      </w:r>
    </w:p>
    <w:p w14:paraId="50643C99" w14:textId="77777777" w:rsidR="00E05B98" w:rsidRPr="003C6DAE" w:rsidRDefault="00B01E0C">
      <w:pPr>
        <w:ind w:left="84"/>
        <w:rPr>
          <w:rFonts w:ascii="Trebuchet MS"/>
          <w:sz w:val="17"/>
          <w:lang w:val="uk-UA"/>
        </w:rPr>
      </w:pPr>
      <w:r w:rsidRPr="003C6DAE">
        <w:rPr>
          <w:rFonts w:ascii="Trebuchet MS"/>
          <w:w w:val="90"/>
          <w:sz w:val="17"/>
          <w:lang w:val="uk-UA"/>
        </w:rPr>
        <w:t>0</w:t>
      </w:r>
      <w:r w:rsidRPr="003C6DAE">
        <w:rPr>
          <w:rFonts w:ascii="Trebuchet MS"/>
          <w:spacing w:val="49"/>
          <w:sz w:val="17"/>
          <w:lang w:val="uk-UA"/>
        </w:rPr>
        <w:t xml:space="preserve"> </w:t>
      </w:r>
      <w:r w:rsidRPr="003C6DAE">
        <w:rPr>
          <w:rFonts w:ascii="Trebuchet MS"/>
          <w:w w:val="90"/>
          <w:sz w:val="17"/>
          <w:lang w:val="uk-UA"/>
        </w:rPr>
        <w:t>0.2</w:t>
      </w:r>
      <w:r w:rsidRPr="003C6DAE">
        <w:rPr>
          <w:rFonts w:ascii="Trebuchet MS"/>
          <w:spacing w:val="32"/>
          <w:sz w:val="17"/>
          <w:lang w:val="uk-UA"/>
        </w:rPr>
        <w:t xml:space="preserve"> </w:t>
      </w:r>
      <w:r w:rsidRPr="003C6DAE">
        <w:rPr>
          <w:rFonts w:ascii="Trebuchet MS"/>
          <w:w w:val="90"/>
          <w:sz w:val="17"/>
          <w:lang w:val="uk-UA"/>
        </w:rPr>
        <w:t>0.4</w:t>
      </w:r>
      <w:r w:rsidRPr="003C6DAE">
        <w:rPr>
          <w:rFonts w:ascii="Trebuchet MS"/>
          <w:spacing w:val="33"/>
          <w:sz w:val="17"/>
          <w:lang w:val="uk-UA"/>
        </w:rPr>
        <w:t xml:space="preserve"> </w:t>
      </w:r>
      <w:r w:rsidRPr="003C6DAE">
        <w:rPr>
          <w:rFonts w:ascii="Trebuchet MS"/>
          <w:w w:val="90"/>
          <w:sz w:val="17"/>
          <w:lang w:val="uk-UA"/>
        </w:rPr>
        <w:t>0.6</w:t>
      </w:r>
      <w:r w:rsidRPr="003C6DAE">
        <w:rPr>
          <w:rFonts w:ascii="Trebuchet MS"/>
          <w:spacing w:val="32"/>
          <w:sz w:val="17"/>
          <w:lang w:val="uk-UA"/>
        </w:rPr>
        <w:t xml:space="preserve"> </w:t>
      </w:r>
      <w:r w:rsidRPr="003C6DAE">
        <w:rPr>
          <w:rFonts w:ascii="Trebuchet MS"/>
          <w:w w:val="90"/>
          <w:sz w:val="17"/>
          <w:lang w:val="uk-UA"/>
        </w:rPr>
        <w:t>0.8</w:t>
      </w:r>
      <w:r w:rsidRPr="003C6DAE">
        <w:rPr>
          <w:rFonts w:ascii="Trebuchet MS"/>
          <w:spacing w:val="50"/>
          <w:sz w:val="17"/>
          <w:lang w:val="uk-UA"/>
        </w:rPr>
        <w:t xml:space="preserve"> </w:t>
      </w:r>
      <w:r w:rsidRPr="003C6DAE">
        <w:rPr>
          <w:rFonts w:ascii="Trebuchet MS"/>
          <w:spacing w:val="-10"/>
          <w:w w:val="90"/>
          <w:sz w:val="17"/>
          <w:lang w:val="uk-UA"/>
        </w:rPr>
        <w:t>1</w:t>
      </w:r>
    </w:p>
    <w:p w14:paraId="307588A2" w14:textId="77777777" w:rsidR="00E05B98" w:rsidRPr="003C6DAE" w:rsidRDefault="00B01E0C">
      <w:pPr>
        <w:spacing w:before="7" w:after="25"/>
        <w:rPr>
          <w:rFonts w:ascii="Trebuchet MS"/>
          <w:sz w:val="4"/>
          <w:lang w:val="uk-UA"/>
        </w:rPr>
      </w:pPr>
      <w:r w:rsidRPr="003C6DAE">
        <w:rPr>
          <w:lang w:val="uk-UA"/>
        </w:rPr>
        <w:br w:type="column"/>
      </w:r>
    </w:p>
    <w:p w14:paraId="28077A88" w14:textId="77777777" w:rsidR="00E05B98" w:rsidRPr="003C6DAE" w:rsidRDefault="00B01E0C">
      <w:pPr>
        <w:pStyle w:val="a3"/>
        <w:spacing w:line="224" w:lineRule="exact"/>
        <w:ind w:left="96"/>
        <w:rPr>
          <w:rFonts w:ascii="Trebuchet MS"/>
          <w:position w:val="-3"/>
          <w:sz w:val="20"/>
          <w:lang w:val="uk-UA"/>
        </w:rPr>
      </w:pPr>
      <w:r w:rsidRPr="003C6DAE">
        <w:rPr>
          <w:rFonts w:ascii="Trebuchet MS"/>
          <w:noProof/>
          <w:position w:val="-3"/>
          <w:sz w:val="20"/>
          <w:lang w:val="uk-UA"/>
        </w:rPr>
        <mc:AlternateContent>
          <mc:Choice Requires="wpg">
            <w:drawing>
              <wp:inline distT="0" distB="0" distL="0" distR="0" wp14:anchorId="5D0DC361" wp14:editId="740D3D26">
                <wp:extent cx="958215" cy="138430"/>
                <wp:effectExtent l="9525" t="0" r="0" b="4444"/>
                <wp:docPr id="1922" name="Group 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8215" cy="138430"/>
                          <a:chOff x="0" y="0"/>
                          <a:chExt cx="958215" cy="138430"/>
                        </a:xfrm>
                      </wpg:grpSpPr>
                      <wps:wsp>
                        <wps:cNvPr id="1923" name="Graphic 1923"/>
                        <wps:cNvSpPr/>
                        <wps:spPr>
                          <a:xfrm>
                            <a:off x="282202" y="27595"/>
                            <a:ext cx="644525" cy="1270"/>
                          </a:xfrm>
                          <a:custGeom>
                            <a:avLst/>
                            <a:gdLst/>
                            <a:ahLst/>
                            <a:cxnLst/>
                            <a:rect l="l" t="t" r="r" b="b"/>
                            <a:pathLst>
                              <a:path w="644525">
                                <a:moveTo>
                                  <a:pt x="0" y="0"/>
                                </a:moveTo>
                                <a:lnTo>
                                  <a:pt x="381992" y="0"/>
                                </a:lnTo>
                              </a:path>
                              <a:path w="644525">
                                <a:moveTo>
                                  <a:pt x="437874" y="0"/>
                                </a:moveTo>
                                <a:lnTo>
                                  <a:pt x="644237" y="0"/>
                                </a:lnTo>
                              </a:path>
                            </a:pathLst>
                          </a:custGeom>
                          <a:ln w="9198">
                            <a:solidFill>
                              <a:srgbClr val="000000"/>
                            </a:solidFill>
                            <a:prstDash val="solid"/>
                          </a:ln>
                        </wps:spPr>
                        <wps:bodyPr wrap="square" lIns="0" tIns="0" rIns="0" bIns="0" rtlCol="0">
                          <a:prstTxWarp prst="textNoShape">
                            <a:avLst/>
                          </a:prstTxWarp>
                          <a:noAutofit/>
                        </wps:bodyPr>
                      </wps:wsp>
                      <wps:wsp>
                        <wps:cNvPr id="1924" name="Graphic 1924"/>
                        <wps:cNvSpPr/>
                        <wps:spPr>
                          <a:xfrm>
                            <a:off x="664194" y="0"/>
                            <a:ext cx="55880" cy="64769"/>
                          </a:xfrm>
                          <a:custGeom>
                            <a:avLst/>
                            <a:gdLst/>
                            <a:ahLst/>
                            <a:cxnLst/>
                            <a:rect l="l" t="t" r="r" b="b"/>
                            <a:pathLst>
                              <a:path w="55880" h="64769">
                                <a:moveTo>
                                  <a:pt x="55882" y="64388"/>
                                </a:moveTo>
                                <a:lnTo>
                                  <a:pt x="0" y="64388"/>
                                </a:lnTo>
                                <a:lnTo>
                                  <a:pt x="0" y="0"/>
                                </a:lnTo>
                                <a:lnTo>
                                  <a:pt x="55882" y="0"/>
                                </a:lnTo>
                                <a:lnTo>
                                  <a:pt x="55882" y="64388"/>
                                </a:lnTo>
                                <a:close/>
                              </a:path>
                            </a:pathLst>
                          </a:custGeom>
                          <a:solidFill>
                            <a:srgbClr val="0000C0"/>
                          </a:solidFill>
                        </wps:spPr>
                        <wps:bodyPr wrap="square" lIns="0" tIns="0" rIns="0" bIns="0" rtlCol="0">
                          <a:prstTxWarp prst="textNoShape">
                            <a:avLst/>
                          </a:prstTxWarp>
                          <a:noAutofit/>
                        </wps:bodyPr>
                      </wps:wsp>
                      <wps:wsp>
                        <wps:cNvPr id="1925" name="Graphic 1925"/>
                        <wps:cNvSpPr/>
                        <wps:spPr>
                          <a:xfrm>
                            <a:off x="3991" y="101182"/>
                            <a:ext cx="950594" cy="1270"/>
                          </a:xfrm>
                          <a:custGeom>
                            <a:avLst/>
                            <a:gdLst/>
                            <a:ahLst/>
                            <a:cxnLst/>
                            <a:rect l="l" t="t" r="r" b="b"/>
                            <a:pathLst>
                              <a:path w="950594">
                                <a:moveTo>
                                  <a:pt x="0" y="0"/>
                                </a:moveTo>
                                <a:lnTo>
                                  <a:pt x="949991" y="0"/>
                                </a:lnTo>
                              </a:path>
                            </a:pathLst>
                          </a:custGeom>
                          <a:ln w="9198">
                            <a:solidFill>
                              <a:srgbClr val="000000"/>
                            </a:solidFill>
                            <a:prstDash val="solid"/>
                          </a:ln>
                        </wps:spPr>
                        <wps:bodyPr wrap="square" lIns="0" tIns="0" rIns="0" bIns="0" rtlCol="0">
                          <a:prstTxWarp prst="textNoShape">
                            <a:avLst/>
                          </a:prstTxWarp>
                          <a:noAutofit/>
                        </wps:bodyPr>
                      </wps:wsp>
                      <wps:wsp>
                        <wps:cNvPr id="1926" name="Graphic 1926"/>
                        <wps:cNvSpPr/>
                        <wps:spPr>
                          <a:xfrm>
                            <a:off x="3991" y="64388"/>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927" name="Graphic 1927"/>
                        <wps:cNvSpPr/>
                        <wps:spPr>
                          <a:xfrm>
                            <a:off x="193990" y="64389"/>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928" name="Graphic 1928"/>
                        <wps:cNvSpPr/>
                        <wps:spPr>
                          <a:xfrm>
                            <a:off x="383988" y="64389"/>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929" name="Graphic 1929"/>
                        <wps:cNvSpPr/>
                        <wps:spPr>
                          <a:xfrm>
                            <a:off x="573588" y="64389"/>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930" name="Graphic 1930"/>
                        <wps:cNvSpPr/>
                        <wps:spPr>
                          <a:xfrm>
                            <a:off x="763986" y="64389"/>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s:wsp>
                        <wps:cNvPr id="1931" name="Graphic 1931"/>
                        <wps:cNvSpPr/>
                        <wps:spPr>
                          <a:xfrm>
                            <a:off x="953985" y="64389"/>
                            <a:ext cx="1270" cy="73660"/>
                          </a:xfrm>
                          <a:custGeom>
                            <a:avLst/>
                            <a:gdLst/>
                            <a:ahLst/>
                            <a:cxnLst/>
                            <a:rect l="l" t="t" r="r" b="b"/>
                            <a:pathLst>
                              <a:path h="73660">
                                <a:moveTo>
                                  <a:pt x="0" y="0"/>
                                </a:moveTo>
                                <a:lnTo>
                                  <a:pt x="0" y="73586"/>
                                </a:lnTo>
                              </a:path>
                            </a:pathLst>
                          </a:custGeom>
                          <a:ln w="798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FF1CC7" id="Group 1922" o:spid="_x0000_s1026" style="width:75.45pt;height:10.9pt;mso-position-horizontal-relative:char;mso-position-vertical-relative:line" coordsize="9582,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">
                <v:shape id="Graphic 1923" o:spid="_x0000_s1027" style="position:absolute;left:2822;top:275;width:6445;height:13;visibility:visible;mso-wrap-style:square;v-text-anchor:top" coordsize="644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" path="m,l381992,em437874,l644237,e" filled="f" strokeweight=".2555mm">
                  <v:path arrowok="t"/>
                </v:shape>
                <v:shape id="Graphic 1924" o:spid="_x0000_s1028" style="position:absolute;left:6641;width:559;height:647;visibility:visible;mso-wrap-style:square;v-text-anchor:top" coordsize="5588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" path="m55882,64388l,64388,,,55882,r,64388xe" fillcolor="#0000c0" stroked="f">
                  <v:path arrowok="t"/>
                </v:shape>
                <v:shape id="Graphic 1925" o:spid="_x0000_s1029" style="position:absolute;left:39;top:1011;width:9506;height:13;visibility:visible;mso-wrap-style:square;v-text-anchor:top" coordsize="950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" path="m,l949991,e" filled="f" strokeweight=".2555mm">
                  <v:path arrowok="t"/>
                </v:shape>
                <v:shape id="Graphic 1926" o:spid="_x0000_s1030" style="position:absolute;left:39;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" path="m,l,73586e" filled="f" strokeweight=".22175mm">
                  <v:path arrowok="t"/>
                </v:shape>
                <v:shape id="Graphic 1927" o:spid="_x0000_s1031" style="position:absolute;left:1939;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" path="m,l,73586e" filled="f" strokeweight=".22175mm">
                  <v:path arrowok="t"/>
                </v:shape>
                <v:shape id="Graphic 1928" o:spid="_x0000_s1032" style="position:absolute;left:3839;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" path="m,l,73586e" filled="f" strokeweight=".22175mm">
                  <v:path arrowok="t"/>
                </v:shape>
                <v:shape id="Graphic 1929" o:spid="_x0000_s1033" style="position:absolute;left:5735;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" path="m,l,73586e" filled="f" strokeweight=".22175mm">
                  <v:path arrowok="t"/>
                </v:shape>
                <v:shape id="Graphic 1930" o:spid="_x0000_s1034" style="position:absolute;left:7639;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" path="m,l,73586e" filled="f" strokeweight=".22175mm">
                  <v:path arrowok="t"/>
                </v:shape>
                <v:shape id="Graphic 1931" o:spid="_x0000_s1035" style="position:absolute;left:9539;top:643;width:13;height:737;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" path="m,l,73586e" filled="f" strokeweight=".22175mm">
                  <v:path arrowok="t"/>
                </v:shape>
                <w10:anchorlock/>
              </v:group>
            </w:pict>
          </mc:Fallback>
        </mc:AlternateContent>
      </w:r>
    </w:p>
    <w:p w14:paraId="41F4786A" w14:textId="77777777" w:rsidR="00E05B98" w:rsidRPr="003C6DAE" w:rsidRDefault="00B01E0C">
      <w:pPr>
        <w:ind w:left="104"/>
        <w:rPr>
          <w:rFonts w:ascii="Trebuchet MS"/>
          <w:sz w:val="17"/>
          <w:lang w:val="uk-UA"/>
        </w:rPr>
      </w:pPr>
      <w:r w:rsidRPr="003C6DAE">
        <w:rPr>
          <w:rFonts w:ascii="Trebuchet MS"/>
          <w:w w:val="90"/>
          <w:sz w:val="17"/>
          <w:lang w:val="uk-UA"/>
        </w:rPr>
        <w:t>0</w:t>
      </w:r>
      <w:r w:rsidRPr="003C6DAE">
        <w:rPr>
          <w:rFonts w:ascii="Trebuchet MS"/>
          <w:spacing w:val="49"/>
          <w:sz w:val="17"/>
          <w:lang w:val="uk-UA"/>
        </w:rPr>
        <w:t xml:space="preserve"> </w:t>
      </w:r>
      <w:r w:rsidRPr="003C6DAE">
        <w:rPr>
          <w:rFonts w:ascii="Trebuchet MS"/>
          <w:w w:val="90"/>
          <w:sz w:val="17"/>
          <w:lang w:val="uk-UA"/>
        </w:rPr>
        <w:t>0.2</w:t>
      </w:r>
      <w:r w:rsidRPr="003C6DAE">
        <w:rPr>
          <w:rFonts w:ascii="Trebuchet MS"/>
          <w:spacing w:val="32"/>
          <w:sz w:val="17"/>
          <w:lang w:val="uk-UA"/>
        </w:rPr>
        <w:t xml:space="preserve"> </w:t>
      </w:r>
      <w:r w:rsidRPr="003C6DAE">
        <w:rPr>
          <w:rFonts w:ascii="Trebuchet MS"/>
          <w:w w:val="90"/>
          <w:sz w:val="17"/>
          <w:lang w:val="uk-UA"/>
        </w:rPr>
        <w:t>0.4</w:t>
      </w:r>
      <w:r w:rsidRPr="003C6DAE">
        <w:rPr>
          <w:rFonts w:ascii="Trebuchet MS"/>
          <w:spacing w:val="33"/>
          <w:sz w:val="17"/>
          <w:lang w:val="uk-UA"/>
        </w:rPr>
        <w:t xml:space="preserve"> </w:t>
      </w:r>
      <w:r w:rsidRPr="003C6DAE">
        <w:rPr>
          <w:rFonts w:ascii="Trebuchet MS"/>
          <w:w w:val="90"/>
          <w:sz w:val="17"/>
          <w:lang w:val="uk-UA"/>
        </w:rPr>
        <w:t>0.6</w:t>
      </w:r>
      <w:r w:rsidRPr="003C6DAE">
        <w:rPr>
          <w:rFonts w:ascii="Trebuchet MS"/>
          <w:spacing w:val="32"/>
          <w:sz w:val="17"/>
          <w:lang w:val="uk-UA"/>
        </w:rPr>
        <w:t xml:space="preserve"> </w:t>
      </w:r>
      <w:r w:rsidRPr="003C6DAE">
        <w:rPr>
          <w:rFonts w:ascii="Trebuchet MS"/>
          <w:w w:val="90"/>
          <w:sz w:val="17"/>
          <w:lang w:val="uk-UA"/>
        </w:rPr>
        <w:t>0.8</w:t>
      </w:r>
      <w:r w:rsidRPr="003C6DAE">
        <w:rPr>
          <w:rFonts w:ascii="Trebuchet MS"/>
          <w:spacing w:val="50"/>
          <w:sz w:val="17"/>
          <w:lang w:val="uk-UA"/>
        </w:rPr>
        <w:t xml:space="preserve"> </w:t>
      </w:r>
      <w:r w:rsidRPr="003C6DAE">
        <w:rPr>
          <w:rFonts w:ascii="Trebuchet MS"/>
          <w:spacing w:val="-10"/>
          <w:w w:val="90"/>
          <w:sz w:val="17"/>
          <w:lang w:val="uk-UA"/>
        </w:rPr>
        <w:t>1</w:t>
      </w:r>
    </w:p>
    <w:p w14:paraId="5ABC5F83" w14:textId="77777777" w:rsidR="00E05B98" w:rsidRPr="003C6DAE" w:rsidRDefault="00E05B98">
      <w:pPr>
        <w:rPr>
          <w:rFonts w:ascii="Trebuchet MS"/>
          <w:sz w:val="17"/>
          <w:lang w:val="uk-UA"/>
        </w:rPr>
        <w:sectPr w:rsidR="00E05B98" w:rsidRPr="003C6DAE">
          <w:type w:val="continuous"/>
          <w:pgSz w:w="11910" w:h="16840"/>
          <w:pgMar w:top="1920" w:right="1275" w:bottom="280" w:left="850" w:header="0" w:footer="573" w:gutter="0"/>
          <w:cols w:num="6" w:space="720" w:equalWidth="0">
            <w:col w:w="1700" w:space="40"/>
            <w:col w:w="1336" w:space="39"/>
            <w:col w:w="1464" w:space="40"/>
            <w:col w:w="1482" w:space="39"/>
            <w:col w:w="1574" w:space="40"/>
            <w:col w:w="2031"/>
          </w:cols>
        </w:sectPr>
      </w:pPr>
    </w:p>
    <w:p w14:paraId="785B1D75" w14:textId="70B67CBB" w:rsidR="00E05B98" w:rsidRPr="009A74A4" w:rsidRDefault="007C495C">
      <w:pPr>
        <w:spacing w:line="254" w:lineRule="auto"/>
        <w:ind w:left="567" w:right="140"/>
        <w:jc w:val="both"/>
        <w:rPr>
          <w:sz w:val="15"/>
          <w:szCs w:val="15"/>
          <w:lang w:val="uk-UA"/>
        </w:rPr>
      </w:pPr>
      <w:r w:rsidRPr="009A74A4">
        <w:rPr>
          <w:sz w:val="15"/>
          <w:szCs w:val="15"/>
          <w:lang w:val="uk-UA"/>
        </w:rPr>
        <w:t>ДІ: довірчий інтервал; FN; хибнонегативний результат; FP: хибнопозитивний результат; рТАНК-НС: ручний тест</w:t>
      </w:r>
      <w:r w:rsidR="009A74A4">
        <w:rPr>
          <w:sz w:val="15"/>
          <w:szCs w:val="15"/>
          <w:lang w:val="uk-UA"/>
        </w:rPr>
        <w:t xml:space="preserve"> </w:t>
      </w:r>
      <w:r w:rsidRPr="009A74A4">
        <w:rPr>
          <w:sz w:val="15"/>
          <w:szCs w:val="15"/>
          <w:lang w:val="uk-UA"/>
        </w:rPr>
        <w:t>ампліфікаці</w:t>
      </w:r>
      <w:r w:rsidR="009A74A4">
        <w:rPr>
          <w:sz w:val="15"/>
          <w:szCs w:val="15"/>
          <w:lang w:val="uk-UA"/>
        </w:rPr>
        <w:t>ї</w:t>
      </w:r>
      <w:r w:rsidRPr="009A74A4">
        <w:rPr>
          <w:sz w:val="15"/>
          <w:szCs w:val="15"/>
          <w:lang w:val="uk-UA"/>
        </w:rPr>
        <w:t xml:space="preserve"> нуклеїнових кислот низ</w:t>
      </w:r>
      <w:r w:rsidR="009A74A4">
        <w:rPr>
          <w:sz w:val="15"/>
          <w:szCs w:val="15"/>
          <w:lang w:val="uk-UA"/>
        </w:rPr>
        <w:t>ь</w:t>
      </w:r>
      <w:r w:rsidRPr="009A74A4">
        <w:rPr>
          <w:sz w:val="15"/>
          <w:szCs w:val="15"/>
          <w:lang w:val="uk-UA"/>
        </w:rPr>
        <w:t xml:space="preserve">кої складності; LN: лімфатичний вузол; MRS: мікробіологічний еталонний стандарт; ТБ: туберкульоз; TB-LAMP: молекулярний аналіз </w:t>
      </w:r>
      <w:r w:rsidR="009A74A4">
        <w:rPr>
          <w:sz w:val="15"/>
          <w:szCs w:val="15"/>
          <w:lang w:val="uk-UA"/>
        </w:rPr>
        <w:t>методом</w:t>
      </w:r>
      <w:r w:rsidRPr="009A74A4">
        <w:rPr>
          <w:sz w:val="15"/>
          <w:szCs w:val="15"/>
          <w:lang w:val="uk-UA"/>
        </w:rPr>
        <w:t xml:space="preserve"> петльової ізотермічної ампліфікації</w:t>
      </w:r>
      <w:r w:rsidR="009A74A4">
        <w:rPr>
          <w:sz w:val="15"/>
          <w:szCs w:val="15"/>
          <w:lang w:val="uk-UA"/>
        </w:rPr>
        <w:t xml:space="preserve"> для виявлення ТБ</w:t>
      </w:r>
      <w:r w:rsidRPr="009A74A4">
        <w:rPr>
          <w:sz w:val="15"/>
          <w:szCs w:val="15"/>
          <w:lang w:val="uk-UA"/>
        </w:rPr>
        <w:t>;  TN: істинно негативний результат; TP: істинно позитивний результат</w:t>
      </w:r>
      <w:r w:rsidR="00B01E0C" w:rsidRPr="009A74A4">
        <w:rPr>
          <w:sz w:val="15"/>
          <w:szCs w:val="15"/>
          <w:lang w:val="uk-UA"/>
        </w:rPr>
        <w:t>.</w:t>
      </w:r>
    </w:p>
    <w:p w14:paraId="5A86178D" w14:textId="77777777" w:rsidR="00E05B98" w:rsidRPr="00A04BC3" w:rsidRDefault="00E05B98">
      <w:pPr>
        <w:pStyle w:val="a3"/>
        <w:spacing w:before="150"/>
        <w:rPr>
          <w:sz w:val="8"/>
          <w:szCs w:val="8"/>
          <w:lang w:val="uk-UA"/>
        </w:rPr>
      </w:pPr>
    </w:p>
    <w:p w14:paraId="65425469" w14:textId="3E0F57C8" w:rsidR="00E05B98" w:rsidRPr="007C495C" w:rsidRDefault="001740F6" w:rsidP="001740F6">
      <w:pPr>
        <w:pStyle w:val="7"/>
        <w:spacing w:line="249" w:lineRule="auto"/>
        <w:ind w:right="142"/>
        <w:jc w:val="both"/>
        <w:rPr>
          <w:rFonts w:ascii="Microsoft Sans Serif" w:hAnsi="Microsoft Sans Serif" w:cs="Microsoft Sans Serif"/>
          <w:sz w:val="22"/>
          <w:szCs w:val="22"/>
          <w:lang w:val="uk-UA"/>
        </w:rPr>
      </w:pPr>
      <w:r w:rsidRPr="001740F6">
        <w:rPr>
          <w:rFonts w:ascii="Microsoft Sans Serif" w:hAnsi="Microsoft Sans Serif" w:cs="Microsoft Sans Serif"/>
          <w:color w:val="019648"/>
          <w:w w:val="105"/>
          <w:sz w:val="22"/>
          <w:szCs w:val="22"/>
          <w:lang w:val="uk-UA"/>
        </w:rPr>
        <w:t>Чи слід використовувати ручні ТАНК-НС на зразках плевральної рідини для діагностики плеврального ТБ у дорослих та підлітків з ознаками та симптомами плеврального ТБ на противагу MRS?</w:t>
      </w:r>
    </w:p>
    <w:p w14:paraId="3CAD3854" w14:textId="285EB0B1" w:rsidR="00E05B98" w:rsidRPr="007C495C" w:rsidRDefault="001740F6" w:rsidP="007C495C">
      <w:pPr>
        <w:pStyle w:val="a3"/>
        <w:spacing w:before="216" w:line="269" w:lineRule="auto"/>
        <w:ind w:left="567" w:right="136"/>
        <w:jc w:val="both"/>
        <w:rPr>
          <w:sz w:val="20"/>
          <w:szCs w:val="20"/>
          <w:lang w:val="uk-UA"/>
        </w:rPr>
      </w:pPr>
      <w:r w:rsidRPr="001740F6">
        <w:rPr>
          <w:spacing w:val="-6"/>
          <w:sz w:val="20"/>
          <w:szCs w:val="20"/>
          <w:lang w:val="uk-UA"/>
        </w:rPr>
        <w:t>У двох дослідженнях (292 учасники, в тому числі 37 осіб з ТБ) оцінювали точність рТАНК-НС для виявлення плеврального ТБ, використовуючи зразки плевральної рідини та MRS (</w:t>
      </w:r>
      <w:r w:rsidRPr="001740F6">
        <w:rPr>
          <w:i/>
          <w:iCs/>
          <w:spacing w:val="-6"/>
          <w:sz w:val="20"/>
          <w:szCs w:val="20"/>
          <w:lang w:val="uk-UA"/>
        </w:rPr>
        <w:t>Рис. 2.2.1.9</w:t>
      </w:r>
      <w:r w:rsidRPr="001740F6">
        <w:rPr>
          <w:spacing w:val="-6"/>
          <w:sz w:val="20"/>
          <w:szCs w:val="20"/>
          <w:lang w:val="uk-UA"/>
        </w:rPr>
        <w:t>). Орієнтовна чутливість становила 48% та 75%, а орієнтовна специфічність – 89% та 96%. Через обмеженість даних не було надано рекомендації щодо використання рТАНК-НС на зразках плевральної рідини для виявлення плеврального ТБ.</w:t>
      </w:r>
    </w:p>
    <w:p w14:paraId="5C56D5D7" w14:textId="796652F4" w:rsidR="00E05B98" w:rsidRPr="007C495C" w:rsidRDefault="001740F6">
      <w:pPr>
        <w:pStyle w:val="6"/>
        <w:spacing w:before="239" w:line="268" w:lineRule="auto"/>
        <w:rPr>
          <w:rFonts w:ascii="Microsoft Sans Serif" w:hAnsi="Microsoft Sans Serif" w:cs="Microsoft Sans Serif"/>
          <w:sz w:val="20"/>
          <w:szCs w:val="20"/>
          <w:lang w:val="uk-UA"/>
        </w:rPr>
      </w:pPr>
      <w:r>
        <w:rPr>
          <w:rFonts w:ascii="Microsoft Sans Serif" w:hAnsi="Microsoft Sans Serif" w:cs="Microsoft Sans Serif"/>
          <w:color w:val="636466"/>
          <w:sz w:val="20"/>
          <w:szCs w:val="20"/>
          <w:lang w:val="uk-UA"/>
        </w:rPr>
        <w:t>Рис</w:t>
      </w:r>
      <w:r w:rsidR="00B01E0C" w:rsidRPr="007C495C">
        <w:rPr>
          <w:rFonts w:ascii="Microsoft Sans Serif" w:hAnsi="Microsoft Sans Serif" w:cs="Microsoft Sans Serif"/>
          <w:color w:val="636466"/>
          <w:sz w:val="20"/>
          <w:szCs w:val="20"/>
          <w:lang w:val="uk-UA"/>
        </w:rPr>
        <w:t xml:space="preserve">. 2.2.1.9 </w:t>
      </w:r>
      <w:r>
        <w:rPr>
          <w:rFonts w:ascii="Microsoft Sans Serif" w:hAnsi="Microsoft Sans Serif" w:cs="Microsoft Sans Serif"/>
          <w:color w:val="636466"/>
          <w:sz w:val="20"/>
          <w:szCs w:val="20"/>
          <w:lang w:val="uk-UA"/>
        </w:rPr>
        <w:t xml:space="preserve"> </w:t>
      </w:r>
      <w:r w:rsidRPr="001740F6">
        <w:rPr>
          <w:rFonts w:ascii="Microsoft Sans Serif" w:hAnsi="Microsoft Sans Serif" w:cs="Microsoft Sans Serif"/>
          <w:color w:val="636466"/>
          <w:sz w:val="20"/>
          <w:szCs w:val="20"/>
          <w:lang w:val="uk-UA"/>
        </w:rPr>
        <w:t>Лісова діаграма чутливості та специфічності рТАНК-НС для виявлення плеврального ТБ у зразках плевральної рідини та MRS</w:t>
      </w:r>
    </w:p>
    <w:p w14:paraId="0A568575" w14:textId="28603E27" w:rsidR="00E05B98" w:rsidRPr="001740F6" w:rsidRDefault="00A04BC3" w:rsidP="00A04BC3">
      <w:pPr>
        <w:spacing w:before="203"/>
        <w:ind w:left="567"/>
        <w:rPr>
          <w:sz w:val="18"/>
          <w:szCs w:val="18"/>
          <w:lang w:val="uk-UA"/>
        </w:rPr>
      </w:pPr>
      <w:r>
        <w:rPr>
          <w:color w:val="333333"/>
          <w:w w:val="70"/>
          <w:sz w:val="18"/>
          <w:szCs w:val="18"/>
          <w:lang w:val="uk-UA"/>
        </w:rPr>
        <w:t xml:space="preserve"> </w:t>
      </w:r>
      <w:r w:rsidR="001740F6" w:rsidRPr="001740F6">
        <w:rPr>
          <w:color w:val="333333"/>
          <w:w w:val="70"/>
          <w:sz w:val="18"/>
          <w:szCs w:val="18"/>
          <w:lang w:val="uk-UA"/>
        </w:rPr>
        <w:t>Аналіз TB-LAMP для виявлення плеврального ТБ в плевральній рідині</w:t>
      </w:r>
    </w:p>
    <w:p w14:paraId="344A7FA5" w14:textId="550F26FE" w:rsidR="00E05B98" w:rsidRPr="003C6DAE" w:rsidRDefault="001740F6">
      <w:pPr>
        <w:pStyle w:val="a3"/>
        <w:spacing w:before="8"/>
        <w:rPr>
          <w:rFonts w:ascii="Trebuchet MS"/>
          <w:sz w:val="17"/>
          <w:lang w:val="uk-UA"/>
        </w:rPr>
      </w:pPr>
      <w:r w:rsidRPr="003C6DAE">
        <w:rPr>
          <w:rFonts w:ascii="Arial"/>
          <w:b/>
          <w:noProof/>
          <w:sz w:val="24"/>
          <w:lang w:val="uk-UA"/>
        </w:rPr>
        <mc:AlternateContent>
          <mc:Choice Requires="wps">
            <w:drawing>
              <wp:anchor distT="0" distB="0" distL="114300" distR="114300" simplePos="0" relativeHeight="488124928" behindDoc="0" locked="0" layoutInCell="1" allowOverlap="1" wp14:anchorId="20D8A5BA" wp14:editId="3E5EC783">
                <wp:simplePos x="0" y="0"/>
                <wp:positionH relativeFrom="margin">
                  <wp:posOffset>261482</wp:posOffset>
                </wp:positionH>
                <wp:positionV relativeFrom="paragraph">
                  <wp:posOffset>106611</wp:posOffset>
                </wp:positionV>
                <wp:extent cx="6273579" cy="258024"/>
                <wp:effectExtent l="0" t="0" r="0" b="8890"/>
                <wp:wrapNone/>
                <wp:docPr id="221456871" name="Поле 221456871"/>
                <wp:cNvGraphicFramePr/>
                <a:graphic xmlns:a="http://schemas.openxmlformats.org/drawingml/2006/main">
                  <a:graphicData uri="http://schemas.microsoft.com/office/word/2010/wordprocessingShape">
                    <wps:wsp>
                      <wps:cNvSpPr txBox="1"/>
                      <wps:spPr>
                        <a:xfrm>
                          <a:off x="0" y="0"/>
                          <a:ext cx="6273579" cy="258024"/>
                        </a:xfrm>
                        <a:prstGeom prst="rect">
                          <a:avLst/>
                        </a:prstGeom>
                        <a:solidFill>
                          <a:schemeClr val="bg1"/>
                        </a:solidFill>
                        <a:ln w="6350">
                          <a:noFill/>
                        </a:ln>
                      </wps:spPr>
                      <wps:txbx>
                        <w:txbxContent>
                          <w:p w14:paraId="11FAD642" w14:textId="411860C5" w:rsidR="007372B2" w:rsidRPr="001740F6" w:rsidRDefault="007372B2" w:rsidP="001740F6">
                            <w:pPr>
                              <w:rPr>
                                <w:rFonts w:asciiTheme="minorHAnsi" w:hAnsiTheme="minorHAnsi" w:cstheme="minorHAnsi"/>
                                <w:b/>
                                <w:sz w:val="16"/>
                                <w:szCs w:val="16"/>
                                <w:lang w:val="uk-UA"/>
                              </w:rPr>
                            </w:pPr>
                            <w:r w:rsidRPr="001740F6">
                              <w:rPr>
                                <w:rFonts w:asciiTheme="minorHAnsi" w:hAnsiTheme="minorHAnsi" w:cstheme="minorHAnsi"/>
                                <w:b/>
                                <w:sz w:val="16"/>
                                <w:szCs w:val="16"/>
                                <w:lang w:val="uk-UA"/>
                              </w:rPr>
                              <w:t xml:space="preserve">Дослідження             </w:t>
                            </w:r>
                            <w:r>
                              <w:rPr>
                                <w:rFonts w:asciiTheme="minorHAnsi" w:hAnsiTheme="minorHAnsi" w:cstheme="minorHAnsi"/>
                                <w:b/>
                                <w:sz w:val="16"/>
                                <w:szCs w:val="16"/>
                                <w:lang w:val="uk-UA"/>
                              </w:rPr>
                              <w:t xml:space="preserve"> </w:t>
                            </w:r>
                            <w:r w:rsidRPr="001740F6">
                              <w:rPr>
                                <w:rFonts w:asciiTheme="minorHAnsi" w:hAnsiTheme="minorHAnsi" w:cstheme="minorHAnsi"/>
                                <w:b/>
                                <w:sz w:val="16"/>
                                <w:szCs w:val="16"/>
                              </w:rPr>
                              <w:t xml:space="preserve">TP     FP  </w:t>
                            </w:r>
                            <w:r>
                              <w:rPr>
                                <w:rFonts w:asciiTheme="minorHAnsi" w:hAnsiTheme="minorHAnsi" w:cstheme="minorHAnsi"/>
                                <w:b/>
                                <w:sz w:val="16"/>
                                <w:szCs w:val="16"/>
                                <w:lang w:val="uk-UA"/>
                              </w:rPr>
                              <w:t xml:space="preserve"> </w:t>
                            </w:r>
                            <w:r w:rsidRPr="001740F6">
                              <w:rPr>
                                <w:rFonts w:asciiTheme="minorHAnsi" w:hAnsiTheme="minorHAnsi" w:cstheme="minorHAnsi"/>
                                <w:b/>
                                <w:sz w:val="16"/>
                                <w:szCs w:val="16"/>
                              </w:rPr>
                              <w:t xml:space="preserve">FN  TN    </w:t>
                            </w:r>
                            <w:r w:rsidRPr="001740F6">
                              <w:rPr>
                                <w:rFonts w:asciiTheme="minorHAnsi" w:hAnsiTheme="minorHAnsi" w:cstheme="minorHAnsi"/>
                                <w:b/>
                                <w:sz w:val="16"/>
                                <w:szCs w:val="16"/>
                                <w:lang w:val="uk-UA"/>
                              </w:rPr>
                              <w:t xml:space="preserve">Чутливість (95% ДІ)    Специфічність (95% ДІ)  </w:t>
                            </w:r>
                            <w:r w:rsidRPr="001740F6">
                              <w:rPr>
                                <w:rFonts w:asciiTheme="minorHAnsi" w:hAnsiTheme="minorHAnsi" w:cstheme="minorHAnsi"/>
                                <w:b/>
                                <w:sz w:val="16"/>
                                <w:szCs w:val="16"/>
                              </w:rPr>
                              <w:t xml:space="preserve"> </w:t>
                            </w:r>
                            <w:r w:rsidR="00E6199E">
                              <w:rPr>
                                <w:rFonts w:asciiTheme="minorHAnsi" w:hAnsiTheme="minorHAnsi" w:cstheme="minorHAnsi"/>
                                <w:b/>
                                <w:sz w:val="16"/>
                                <w:szCs w:val="16"/>
                                <w:lang w:val="uk-UA"/>
                              </w:rPr>
                              <w:t xml:space="preserve">    </w:t>
                            </w:r>
                            <w:r w:rsidRPr="001740F6">
                              <w:rPr>
                                <w:rFonts w:asciiTheme="minorHAnsi" w:hAnsiTheme="minorHAnsi" w:cstheme="minorHAnsi"/>
                                <w:b/>
                                <w:sz w:val="16"/>
                                <w:szCs w:val="16"/>
                                <w:lang w:val="uk-UA"/>
                              </w:rPr>
                              <w:t>Чутливість (95% ДІ)       Специфічність (95% ДІ)</w:t>
                            </w:r>
                            <w:r w:rsidRPr="001740F6">
                              <w:rPr>
                                <w:rFonts w:asciiTheme="minorHAnsi" w:hAnsiTheme="minorHAnsi" w:cstheme="minorHAnsi"/>
                                <w:b/>
                                <w:sz w:val="16"/>
                                <w:szCs w:val="16"/>
                              </w:rPr>
                              <w:t xml:space="preserve">          </w:t>
                            </w:r>
                            <w:r w:rsidRPr="001740F6">
                              <w:rPr>
                                <w:rFonts w:asciiTheme="minorHAnsi" w:hAnsiTheme="minorHAnsi" w:cstheme="minorHAnsi"/>
                                <w:b/>
                                <w:sz w:val="16"/>
                                <w:szCs w:val="16"/>
                                <w:lang w:val="uk-UA"/>
                              </w:rPr>
                              <w:t xml:space="preserve">                     </w:t>
                            </w:r>
                          </w:p>
                          <w:p w14:paraId="5EFA6CAE"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8A5BA" id="Поле 221456871" o:spid="_x0000_s1112" type="#_x0000_t202" style="position:absolute;margin-left:20.6pt;margin-top:8.4pt;width:494pt;height:20.3pt;z-index:4881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" fillcolor="white [3212]" stroked="f" strokeweight=".5pt">
                <v:textbox>
                  <w:txbxContent>
                    <w:p w14:paraId="11FAD642" w14:textId="411860C5" w:rsidR="007372B2" w:rsidRPr="001740F6" w:rsidRDefault="007372B2" w:rsidP="001740F6">
                      <w:pPr>
                        <w:rPr>
                          <w:rFonts w:asciiTheme="minorHAnsi" w:hAnsiTheme="minorHAnsi" w:cstheme="minorHAnsi"/>
                          <w:b/>
                          <w:sz w:val="16"/>
                          <w:szCs w:val="16"/>
                          <w:lang w:val="uk-UA"/>
                        </w:rPr>
                      </w:pPr>
                      <w:r w:rsidRPr="001740F6">
                        <w:rPr>
                          <w:rFonts w:asciiTheme="minorHAnsi" w:hAnsiTheme="minorHAnsi" w:cstheme="minorHAnsi"/>
                          <w:b/>
                          <w:sz w:val="16"/>
                          <w:szCs w:val="16"/>
                          <w:lang w:val="uk-UA"/>
                        </w:rPr>
                        <w:t xml:space="preserve">Дослідження             </w:t>
                      </w:r>
                      <w:r>
                        <w:rPr>
                          <w:rFonts w:asciiTheme="minorHAnsi" w:hAnsiTheme="minorHAnsi" w:cstheme="minorHAnsi"/>
                          <w:b/>
                          <w:sz w:val="16"/>
                          <w:szCs w:val="16"/>
                          <w:lang w:val="uk-UA"/>
                        </w:rPr>
                        <w:t xml:space="preserve"> </w:t>
                      </w:r>
                      <w:r w:rsidRPr="001740F6">
                        <w:rPr>
                          <w:rFonts w:asciiTheme="minorHAnsi" w:hAnsiTheme="minorHAnsi" w:cstheme="minorHAnsi"/>
                          <w:b/>
                          <w:sz w:val="16"/>
                          <w:szCs w:val="16"/>
                        </w:rPr>
                        <w:t xml:space="preserve">TP     FP  </w:t>
                      </w:r>
                      <w:r>
                        <w:rPr>
                          <w:rFonts w:asciiTheme="minorHAnsi" w:hAnsiTheme="minorHAnsi" w:cstheme="minorHAnsi"/>
                          <w:b/>
                          <w:sz w:val="16"/>
                          <w:szCs w:val="16"/>
                          <w:lang w:val="uk-UA"/>
                        </w:rPr>
                        <w:t xml:space="preserve"> </w:t>
                      </w:r>
                      <w:r w:rsidRPr="001740F6">
                        <w:rPr>
                          <w:rFonts w:asciiTheme="minorHAnsi" w:hAnsiTheme="minorHAnsi" w:cstheme="minorHAnsi"/>
                          <w:b/>
                          <w:sz w:val="16"/>
                          <w:szCs w:val="16"/>
                        </w:rPr>
                        <w:t xml:space="preserve">FN  TN    </w:t>
                      </w:r>
                      <w:r w:rsidRPr="001740F6">
                        <w:rPr>
                          <w:rFonts w:asciiTheme="minorHAnsi" w:hAnsiTheme="minorHAnsi" w:cstheme="minorHAnsi"/>
                          <w:b/>
                          <w:sz w:val="16"/>
                          <w:szCs w:val="16"/>
                          <w:lang w:val="uk-UA"/>
                        </w:rPr>
                        <w:t xml:space="preserve">Чутливість (95% ДІ)    Специфічність (95% ДІ)  </w:t>
                      </w:r>
                      <w:r w:rsidRPr="001740F6">
                        <w:rPr>
                          <w:rFonts w:asciiTheme="minorHAnsi" w:hAnsiTheme="minorHAnsi" w:cstheme="minorHAnsi"/>
                          <w:b/>
                          <w:sz w:val="16"/>
                          <w:szCs w:val="16"/>
                        </w:rPr>
                        <w:t xml:space="preserve"> </w:t>
                      </w:r>
                      <w:r w:rsidR="00E6199E">
                        <w:rPr>
                          <w:rFonts w:asciiTheme="minorHAnsi" w:hAnsiTheme="minorHAnsi" w:cstheme="minorHAnsi"/>
                          <w:b/>
                          <w:sz w:val="16"/>
                          <w:szCs w:val="16"/>
                          <w:lang w:val="uk-UA"/>
                        </w:rPr>
                        <w:t xml:space="preserve">    </w:t>
                      </w:r>
                      <w:r w:rsidRPr="001740F6">
                        <w:rPr>
                          <w:rFonts w:asciiTheme="minorHAnsi" w:hAnsiTheme="minorHAnsi" w:cstheme="minorHAnsi"/>
                          <w:b/>
                          <w:sz w:val="16"/>
                          <w:szCs w:val="16"/>
                          <w:lang w:val="uk-UA"/>
                        </w:rPr>
                        <w:t>Чутливість (95% ДІ)       Специфічність (95% ДІ)</w:t>
                      </w:r>
                      <w:r w:rsidRPr="001740F6">
                        <w:rPr>
                          <w:rFonts w:asciiTheme="minorHAnsi" w:hAnsiTheme="minorHAnsi" w:cstheme="minorHAnsi"/>
                          <w:b/>
                          <w:sz w:val="16"/>
                          <w:szCs w:val="16"/>
                        </w:rPr>
                        <w:t xml:space="preserve">          </w:t>
                      </w:r>
                      <w:r w:rsidRPr="001740F6">
                        <w:rPr>
                          <w:rFonts w:asciiTheme="minorHAnsi" w:hAnsiTheme="minorHAnsi" w:cstheme="minorHAnsi"/>
                          <w:b/>
                          <w:sz w:val="16"/>
                          <w:szCs w:val="16"/>
                          <w:lang w:val="uk-UA"/>
                        </w:rPr>
                        <w:t xml:space="preserve">                     </w:t>
                      </w:r>
                    </w:p>
                    <w:p w14:paraId="5EFA6CAE"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v:textbox>
                <w10:wrap anchorx="margin"/>
              </v:shape>
            </w:pict>
          </mc:Fallback>
        </mc:AlternateContent>
      </w:r>
    </w:p>
    <w:p w14:paraId="290FA1E1" w14:textId="77777777" w:rsidR="00E05B98" w:rsidRPr="003C6DAE" w:rsidRDefault="00E05B98">
      <w:pPr>
        <w:pStyle w:val="a3"/>
        <w:rPr>
          <w:rFonts w:ascii="Trebuchet MS"/>
          <w:sz w:val="17"/>
          <w:lang w:val="uk-UA"/>
        </w:rPr>
        <w:sectPr w:rsidR="00E05B98" w:rsidRPr="003C6DAE" w:rsidSect="007C495C">
          <w:type w:val="continuous"/>
          <w:pgSz w:w="11910" w:h="16840"/>
          <w:pgMar w:top="1920" w:right="995" w:bottom="280" w:left="850" w:header="0" w:footer="573" w:gutter="0"/>
          <w:cols w:space="720"/>
        </w:sectPr>
      </w:pPr>
    </w:p>
    <w:p w14:paraId="57C1EC69" w14:textId="54CD3414" w:rsidR="00E05B98" w:rsidRPr="003C6DAE" w:rsidRDefault="00B01E0C">
      <w:pPr>
        <w:spacing w:before="107"/>
        <w:ind w:left="695"/>
        <w:rPr>
          <w:rFonts w:ascii="Trebuchet MS"/>
          <w:sz w:val="20"/>
          <w:lang w:val="uk-UA"/>
        </w:rPr>
      </w:pPr>
      <w:r w:rsidRPr="003C6DAE">
        <w:rPr>
          <w:rFonts w:ascii="Trebuchet MS"/>
          <w:color w:val="333333"/>
          <w:w w:val="75"/>
          <w:sz w:val="20"/>
          <w:lang w:val="uk-UA"/>
        </w:rPr>
        <w:t>S</w:t>
      </w:r>
      <w:r w:rsidRPr="003C6DAE">
        <w:rPr>
          <w:rFonts w:ascii="Trebuchet MS"/>
          <w:color w:val="333333"/>
          <w:spacing w:val="-17"/>
          <w:w w:val="75"/>
          <w:sz w:val="20"/>
          <w:lang w:val="uk-UA"/>
        </w:rPr>
        <w:t xml:space="preserve"> </w:t>
      </w:r>
      <w:proofErr w:type="spellStart"/>
      <w:r w:rsidRPr="003C6DAE">
        <w:rPr>
          <w:rFonts w:ascii="Trebuchet MS"/>
          <w:color w:val="333333"/>
          <w:spacing w:val="-4"/>
          <w:w w:val="85"/>
          <w:sz w:val="20"/>
          <w:lang w:val="uk-UA"/>
        </w:rPr>
        <w:t>tudy</w:t>
      </w:r>
      <w:proofErr w:type="spellEnd"/>
    </w:p>
    <w:p w14:paraId="45975069" w14:textId="0DB489E1" w:rsidR="00E05B98" w:rsidRPr="001740F6" w:rsidRDefault="00B01E0C" w:rsidP="001740F6">
      <w:pPr>
        <w:spacing w:before="76" w:line="280" w:lineRule="auto"/>
        <w:ind w:left="567"/>
        <w:rPr>
          <w:rFonts w:ascii="Trebuchet MS"/>
          <w:sz w:val="16"/>
          <w:szCs w:val="16"/>
          <w:lang w:val="uk-UA"/>
        </w:rPr>
      </w:pPr>
      <w:proofErr w:type="spellStart"/>
      <w:r w:rsidRPr="001740F6">
        <w:rPr>
          <w:rFonts w:ascii="Trebuchet MS"/>
          <w:w w:val="75"/>
          <w:sz w:val="16"/>
          <w:szCs w:val="16"/>
          <w:lang w:val="uk-UA"/>
        </w:rPr>
        <w:t>Danfack</w:t>
      </w:r>
      <w:proofErr w:type="spellEnd"/>
      <w:r w:rsidRPr="001740F6">
        <w:rPr>
          <w:rFonts w:ascii="Trebuchet MS"/>
          <w:w w:val="75"/>
          <w:sz w:val="16"/>
          <w:szCs w:val="16"/>
          <w:lang w:val="uk-UA"/>
        </w:rPr>
        <w:t xml:space="preserve"> 2024a </w:t>
      </w:r>
      <w:r w:rsidR="001740F6">
        <w:rPr>
          <w:rFonts w:ascii="Trebuchet MS"/>
          <w:w w:val="75"/>
          <w:sz w:val="16"/>
          <w:szCs w:val="16"/>
          <w:lang w:val="uk-UA"/>
        </w:rPr>
        <w:t xml:space="preserve"> </w:t>
      </w:r>
      <w:proofErr w:type="spellStart"/>
      <w:r w:rsidRPr="001740F6">
        <w:rPr>
          <w:rFonts w:ascii="Trebuchet MS"/>
          <w:w w:val="85"/>
          <w:sz w:val="16"/>
          <w:szCs w:val="16"/>
          <w:lang w:val="uk-UA"/>
        </w:rPr>
        <w:t>Singh</w:t>
      </w:r>
      <w:proofErr w:type="spellEnd"/>
      <w:r w:rsidRPr="001740F6">
        <w:rPr>
          <w:rFonts w:ascii="Trebuchet MS"/>
          <w:w w:val="85"/>
          <w:sz w:val="16"/>
          <w:szCs w:val="16"/>
          <w:lang w:val="uk-UA"/>
        </w:rPr>
        <w:t xml:space="preserve"> 2021</w:t>
      </w:r>
    </w:p>
    <w:p w14:paraId="58F4A4EF" w14:textId="77777777" w:rsidR="00E05B98" w:rsidRPr="001740F6" w:rsidRDefault="00B01E0C">
      <w:pPr>
        <w:spacing w:before="107"/>
        <w:ind w:left="214"/>
        <w:rPr>
          <w:rFonts w:ascii="Trebuchet MS"/>
          <w:sz w:val="16"/>
          <w:szCs w:val="16"/>
          <w:lang w:val="uk-UA"/>
        </w:rPr>
      </w:pPr>
      <w:r w:rsidRPr="001740F6">
        <w:rPr>
          <w:sz w:val="16"/>
          <w:szCs w:val="16"/>
          <w:lang w:val="uk-UA"/>
        </w:rPr>
        <w:br w:type="column"/>
      </w:r>
      <w:r w:rsidRPr="001740F6">
        <w:rPr>
          <w:rFonts w:ascii="Trebuchet MS"/>
          <w:color w:val="333333"/>
          <w:w w:val="80"/>
          <w:sz w:val="16"/>
          <w:szCs w:val="16"/>
          <w:lang w:val="uk-UA"/>
        </w:rPr>
        <w:t>TP</w:t>
      </w:r>
      <w:r w:rsidRPr="001740F6">
        <w:rPr>
          <w:rFonts w:ascii="Trebuchet MS"/>
          <w:color w:val="333333"/>
          <w:spacing w:val="57"/>
          <w:w w:val="150"/>
          <w:sz w:val="16"/>
          <w:szCs w:val="16"/>
          <w:lang w:val="uk-UA"/>
        </w:rPr>
        <w:t xml:space="preserve"> </w:t>
      </w:r>
      <w:r w:rsidRPr="001740F6">
        <w:rPr>
          <w:rFonts w:ascii="Trebuchet MS"/>
          <w:color w:val="333333"/>
          <w:spacing w:val="-5"/>
          <w:w w:val="80"/>
          <w:sz w:val="16"/>
          <w:szCs w:val="16"/>
          <w:lang w:val="uk-UA"/>
        </w:rPr>
        <w:t xml:space="preserve">FP </w:t>
      </w:r>
    </w:p>
    <w:p w14:paraId="3C684808" w14:textId="77777777" w:rsidR="00E05B98" w:rsidRPr="001740F6" w:rsidRDefault="00B01E0C">
      <w:pPr>
        <w:tabs>
          <w:tab w:val="left" w:pos="640"/>
        </w:tabs>
        <w:spacing w:before="76"/>
        <w:ind w:left="235"/>
        <w:rPr>
          <w:rFonts w:ascii="Trebuchet MS"/>
          <w:sz w:val="16"/>
          <w:szCs w:val="16"/>
          <w:lang w:val="uk-UA"/>
        </w:rPr>
      </w:pPr>
      <w:r w:rsidRPr="001740F6">
        <w:rPr>
          <w:rFonts w:ascii="Trebuchet MS"/>
          <w:spacing w:val="-5"/>
          <w:w w:val="85"/>
          <w:sz w:val="16"/>
          <w:szCs w:val="16"/>
          <w:lang w:val="uk-UA"/>
        </w:rPr>
        <w:t>14</w:t>
      </w:r>
      <w:r w:rsidRPr="001740F6">
        <w:rPr>
          <w:rFonts w:ascii="Trebuchet MS"/>
          <w:sz w:val="16"/>
          <w:szCs w:val="16"/>
          <w:lang w:val="uk-UA"/>
        </w:rPr>
        <w:tab/>
      </w:r>
      <w:r w:rsidRPr="001740F6">
        <w:rPr>
          <w:rFonts w:ascii="Trebuchet MS"/>
          <w:spacing w:val="-10"/>
          <w:w w:val="85"/>
          <w:sz w:val="16"/>
          <w:szCs w:val="16"/>
          <w:lang w:val="uk-UA"/>
        </w:rPr>
        <w:t>8</w:t>
      </w:r>
    </w:p>
    <w:p w14:paraId="07A02145" w14:textId="625CEBD0" w:rsidR="00E05B98" w:rsidRPr="001740F6" w:rsidRDefault="00B01E0C">
      <w:pPr>
        <w:tabs>
          <w:tab w:val="left" w:pos="640"/>
        </w:tabs>
        <w:spacing w:before="40"/>
        <w:ind w:left="321"/>
        <w:rPr>
          <w:rFonts w:ascii="Trebuchet MS"/>
          <w:sz w:val="16"/>
          <w:szCs w:val="16"/>
          <w:lang w:val="uk-UA"/>
        </w:rPr>
      </w:pPr>
      <w:r w:rsidRPr="001740F6">
        <w:rPr>
          <w:rFonts w:ascii="Trebuchet MS"/>
          <w:spacing w:val="-10"/>
          <w:w w:val="85"/>
          <w:sz w:val="16"/>
          <w:szCs w:val="16"/>
          <w:lang w:val="uk-UA"/>
        </w:rPr>
        <w:t>6</w:t>
      </w:r>
      <w:r w:rsidRPr="001740F6">
        <w:rPr>
          <w:rFonts w:ascii="Trebuchet MS"/>
          <w:sz w:val="16"/>
          <w:szCs w:val="16"/>
          <w:lang w:val="uk-UA"/>
        </w:rPr>
        <w:tab/>
      </w:r>
      <w:r w:rsidRPr="001740F6">
        <w:rPr>
          <w:rFonts w:ascii="Trebuchet MS"/>
          <w:spacing w:val="-10"/>
          <w:w w:val="85"/>
          <w:sz w:val="16"/>
          <w:szCs w:val="16"/>
          <w:lang w:val="uk-UA"/>
        </w:rPr>
        <w:t>3</w:t>
      </w:r>
    </w:p>
    <w:p w14:paraId="2528F6AF" w14:textId="77777777" w:rsidR="00E05B98" w:rsidRPr="001740F6" w:rsidRDefault="00B01E0C">
      <w:pPr>
        <w:spacing w:before="107"/>
        <w:ind w:left="86"/>
        <w:rPr>
          <w:rFonts w:ascii="Trebuchet MS"/>
          <w:sz w:val="16"/>
          <w:szCs w:val="16"/>
          <w:lang w:val="uk-UA"/>
        </w:rPr>
      </w:pPr>
      <w:r w:rsidRPr="001740F6">
        <w:rPr>
          <w:sz w:val="16"/>
          <w:szCs w:val="16"/>
          <w:lang w:val="uk-UA"/>
        </w:rPr>
        <w:br w:type="column"/>
      </w:r>
      <w:r w:rsidRPr="001740F6">
        <w:rPr>
          <w:rFonts w:ascii="Trebuchet MS"/>
          <w:color w:val="333333"/>
          <w:w w:val="85"/>
          <w:sz w:val="16"/>
          <w:szCs w:val="16"/>
          <w:lang w:val="uk-UA"/>
        </w:rPr>
        <w:t>FN</w:t>
      </w:r>
      <w:r w:rsidRPr="001740F6">
        <w:rPr>
          <w:rFonts w:ascii="Trebuchet MS"/>
          <w:color w:val="333333"/>
          <w:spacing w:val="79"/>
          <w:w w:val="150"/>
          <w:sz w:val="16"/>
          <w:szCs w:val="16"/>
          <w:lang w:val="uk-UA"/>
        </w:rPr>
        <w:t xml:space="preserve"> </w:t>
      </w:r>
      <w:r w:rsidRPr="001740F6">
        <w:rPr>
          <w:rFonts w:ascii="Trebuchet MS"/>
          <w:color w:val="333333"/>
          <w:spacing w:val="-5"/>
          <w:w w:val="80"/>
          <w:sz w:val="16"/>
          <w:szCs w:val="16"/>
          <w:lang w:val="uk-UA"/>
        </w:rPr>
        <w:t>TN</w:t>
      </w:r>
    </w:p>
    <w:p w14:paraId="2F8C6E45" w14:textId="77777777" w:rsidR="00E05B98" w:rsidRPr="001740F6" w:rsidRDefault="00B01E0C">
      <w:pPr>
        <w:spacing w:before="76"/>
        <w:ind w:left="94"/>
        <w:rPr>
          <w:rFonts w:ascii="Trebuchet MS"/>
          <w:sz w:val="16"/>
          <w:szCs w:val="16"/>
          <w:lang w:val="uk-UA"/>
        </w:rPr>
      </w:pPr>
      <w:r w:rsidRPr="001740F6">
        <w:rPr>
          <w:rFonts w:ascii="Trebuchet MS"/>
          <w:w w:val="85"/>
          <w:sz w:val="16"/>
          <w:szCs w:val="16"/>
          <w:lang w:val="uk-UA"/>
        </w:rPr>
        <w:t>15</w:t>
      </w:r>
      <w:r w:rsidRPr="001740F6">
        <w:rPr>
          <w:rFonts w:ascii="Trebuchet MS"/>
          <w:spacing w:val="55"/>
          <w:sz w:val="16"/>
          <w:szCs w:val="16"/>
          <w:lang w:val="uk-UA"/>
        </w:rPr>
        <w:t xml:space="preserve"> </w:t>
      </w:r>
      <w:r w:rsidRPr="001740F6">
        <w:rPr>
          <w:rFonts w:ascii="Trebuchet MS"/>
          <w:spacing w:val="-5"/>
          <w:w w:val="80"/>
          <w:sz w:val="16"/>
          <w:szCs w:val="16"/>
          <w:lang w:val="uk-UA"/>
        </w:rPr>
        <w:t>220</w:t>
      </w:r>
    </w:p>
    <w:p w14:paraId="396F069D" w14:textId="23F1D9D1" w:rsidR="00E05B98" w:rsidRPr="001740F6" w:rsidRDefault="001740F6" w:rsidP="001740F6">
      <w:pPr>
        <w:tabs>
          <w:tab w:val="left" w:pos="477"/>
        </w:tabs>
        <w:spacing w:before="40"/>
        <w:rPr>
          <w:rFonts w:ascii="Trebuchet MS"/>
          <w:sz w:val="16"/>
          <w:szCs w:val="16"/>
          <w:lang w:val="uk-UA"/>
        </w:rPr>
      </w:pPr>
      <w:r>
        <w:rPr>
          <w:rFonts w:ascii="Trebuchet MS"/>
          <w:spacing w:val="-10"/>
          <w:w w:val="85"/>
          <w:sz w:val="16"/>
          <w:szCs w:val="16"/>
          <w:lang w:val="uk-UA"/>
        </w:rPr>
        <w:t xml:space="preserve">     </w:t>
      </w:r>
      <w:r w:rsidR="00B01E0C" w:rsidRPr="001740F6">
        <w:rPr>
          <w:rFonts w:ascii="Trebuchet MS"/>
          <w:spacing w:val="-10"/>
          <w:w w:val="85"/>
          <w:sz w:val="16"/>
          <w:szCs w:val="16"/>
          <w:lang w:val="uk-UA"/>
        </w:rPr>
        <w:t>2</w:t>
      </w:r>
      <w:r>
        <w:rPr>
          <w:rFonts w:ascii="Trebuchet MS"/>
          <w:sz w:val="16"/>
          <w:szCs w:val="16"/>
          <w:lang w:val="uk-UA"/>
        </w:rPr>
        <w:t xml:space="preserve">   </w:t>
      </w:r>
      <w:r w:rsidR="00B01E0C" w:rsidRPr="001740F6">
        <w:rPr>
          <w:rFonts w:ascii="Trebuchet MS"/>
          <w:spacing w:val="-5"/>
          <w:w w:val="85"/>
          <w:sz w:val="16"/>
          <w:szCs w:val="16"/>
          <w:lang w:val="uk-UA"/>
        </w:rPr>
        <w:t>24</w:t>
      </w:r>
    </w:p>
    <w:p w14:paraId="735D7BB1" w14:textId="23C4EEF0" w:rsidR="00E05B98" w:rsidRPr="001740F6" w:rsidRDefault="00B01E0C">
      <w:pPr>
        <w:spacing w:before="107"/>
        <w:jc w:val="right"/>
        <w:rPr>
          <w:rFonts w:ascii="Trebuchet MS"/>
          <w:sz w:val="16"/>
          <w:szCs w:val="16"/>
          <w:lang w:val="uk-UA"/>
        </w:rPr>
      </w:pPr>
      <w:r w:rsidRPr="001740F6">
        <w:rPr>
          <w:sz w:val="16"/>
          <w:szCs w:val="16"/>
          <w:lang w:val="uk-UA"/>
        </w:rPr>
        <w:br w:type="column"/>
      </w:r>
      <w:r w:rsidRPr="001740F6">
        <w:rPr>
          <w:rFonts w:ascii="Trebuchet MS"/>
          <w:color w:val="333333"/>
          <w:w w:val="70"/>
          <w:sz w:val="16"/>
          <w:szCs w:val="16"/>
          <w:lang w:val="uk-UA"/>
        </w:rPr>
        <w:t>S</w:t>
      </w:r>
      <w:r w:rsidRPr="001740F6">
        <w:rPr>
          <w:rFonts w:ascii="Trebuchet MS"/>
          <w:color w:val="333333"/>
          <w:spacing w:val="-1"/>
          <w:w w:val="70"/>
          <w:sz w:val="16"/>
          <w:szCs w:val="16"/>
          <w:lang w:val="uk-UA"/>
        </w:rPr>
        <w:t xml:space="preserve"> </w:t>
      </w:r>
      <w:proofErr w:type="spellStart"/>
      <w:r w:rsidRPr="001740F6">
        <w:rPr>
          <w:rFonts w:ascii="Trebuchet MS"/>
          <w:color w:val="333333"/>
          <w:w w:val="70"/>
          <w:sz w:val="16"/>
          <w:szCs w:val="16"/>
          <w:lang w:val="uk-UA"/>
        </w:rPr>
        <w:t>ens</w:t>
      </w:r>
      <w:proofErr w:type="spellEnd"/>
      <w:r w:rsidRPr="001740F6">
        <w:rPr>
          <w:rFonts w:ascii="Trebuchet MS"/>
          <w:color w:val="333333"/>
          <w:spacing w:val="-5"/>
          <w:w w:val="70"/>
          <w:sz w:val="16"/>
          <w:szCs w:val="16"/>
          <w:lang w:val="uk-UA"/>
        </w:rPr>
        <w:t xml:space="preserve"> </w:t>
      </w:r>
      <w:proofErr w:type="spellStart"/>
      <w:r w:rsidRPr="001740F6">
        <w:rPr>
          <w:rFonts w:ascii="Trebuchet MS"/>
          <w:color w:val="333333"/>
          <w:w w:val="70"/>
          <w:sz w:val="16"/>
          <w:szCs w:val="16"/>
          <w:lang w:val="uk-UA"/>
        </w:rPr>
        <w:t>itivity</w:t>
      </w:r>
      <w:proofErr w:type="spellEnd"/>
      <w:r w:rsidRPr="001740F6">
        <w:rPr>
          <w:rFonts w:ascii="Trebuchet MS"/>
          <w:color w:val="333333"/>
          <w:spacing w:val="26"/>
          <w:sz w:val="16"/>
          <w:szCs w:val="16"/>
          <w:lang w:val="uk-UA"/>
        </w:rPr>
        <w:t xml:space="preserve"> </w:t>
      </w:r>
      <w:r w:rsidRPr="001740F6">
        <w:rPr>
          <w:rFonts w:ascii="Trebuchet MS"/>
          <w:color w:val="333333"/>
          <w:w w:val="70"/>
          <w:sz w:val="16"/>
          <w:szCs w:val="16"/>
          <w:lang w:val="uk-UA"/>
        </w:rPr>
        <w:t>(95%</w:t>
      </w:r>
      <w:r w:rsidRPr="001740F6">
        <w:rPr>
          <w:rFonts w:ascii="Trebuchet MS"/>
          <w:color w:val="333333"/>
          <w:spacing w:val="29"/>
          <w:sz w:val="16"/>
          <w:szCs w:val="16"/>
          <w:lang w:val="uk-UA"/>
        </w:rPr>
        <w:t xml:space="preserve"> </w:t>
      </w:r>
      <w:r w:rsidRPr="001740F6">
        <w:rPr>
          <w:rFonts w:ascii="Trebuchet MS"/>
          <w:color w:val="333333"/>
          <w:w w:val="70"/>
          <w:sz w:val="16"/>
          <w:szCs w:val="16"/>
          <w:lang w:val="uk-UA"/>
        </w:rPr>
        <w:t>C</w:t>
      </w:r>
      <w:r w:rsidRPr="001740F6">
        <w:rPr>
          <w:rFonts w:ascii="Trebuchet MS"/>
          <w:color w:val="333333"/>
          <w:spacing w:val="-9"/>
          <w:w w:val="70"/>
          <w:sz w:val="16"/>
          <w:szCs w:val="16"/>
          <w:lang w:val="uk-UA"/>
        </w:rPr>
        <w:t xml:space="preserve"> </w:t>
      </w:r>
      <w:r w:rsidRPr="001740F6">
        <w:rPr>
          <w:rFonts w:ascii="Trebuchet MS"/>
          <w:color w:val="333333"/>
          <w:spacing w:val="-5"/>
          <w:w w:val="70"/>
          <w:sz w:val="16"/>
          <w:szCs w:val="16"/>
          <w:lang w:val="uk-UA"/>
        </w:rPr>
        <w:t>I)</w:t>
      </w:r>
    </w:p>
    <w:p w14:paraId="645F1A27" w14:textId="77777777" w:rsidR="00E05B98" w:rsidRPr="001740F6" w:rsidRDefault="00B01E0C" w:rsidP="001740F6">
      <w:pPr>
        <w:spacing w:before="76"/>
        <w:ind w:right="42"/>
        <w:jc w:val="center"/>
        <w:rPr>
          <w:rFonts w:ascii="Trebuchet MS"/>
          <w:sz w:val="16"/>
          <w:szCs w:val="16"/>
          <w:lang w:val="uk-UA"/>
        </w:rPr>
      </w:pPr>
      <w:r w:rsidRPr="001740F6">
        <w:rPr>
          <w:rFonts w:ascii="Trebuchet MS"/>
          <w:w w:val="65"/>
          <w:sz w:val="16"/>
          <w:szCs w:val="16"/>
          <w:lang w:val="uk-UA"/>
        </w:rPr>
        <w:t>0.48</w:t>
      </w:r>
      <w:r w:rsidRPr="001740F6">
        <w:rPr>
          <w:rFonts w:ascii="Trebuchet MS"/>
          <w:spacing w:val="12"/>
          <w:sz w:val="16"/>
          <w:szCs w:val="16"/>
          <w:lang w:val="uk-UA"/>
        </w:rPr>
        <w:t xml:space="preserve"> </w:t>
      </w:r>
      <w:r w:rsidRPr="001740F6">
        <w:rPr>
          <w:rFonts w:ascii="Trebuchet MS"/>
          <w:w w:val="65"/>
          <w:sz w:val="16"/>
          <w:szCs w:val="16"/>
          <w:lang w:val="uk-UA"/>
        </w:rPr>
        <w:t>[0.29,</w:t>
      </w:r>
      <w:r w:rsidRPr="001740F6">
        <w:rPr>
          <w:rFonts w:ascii="Trebuchet MS"/>
          <w:spacing w:val="19"/>
          <w:sz w:val="16"/>
          <w:szCs w:val="16"/>
          <w:lang w:val="uk-UA"/>
        </w:rPr>
        <w:t xml:space="preserve"> </w:t>
      </w:r>
      <w:r w:rsidRPr="001740F6">
        <w:rPr>
          <w:rFonts w:ascii="Trebuchet MS"/>
          <w:spacing w:val="-2"/>
          <w:w w:val="65"/>
          <w:sz w:val="16"/>
          <w:szCs w:val="16"/>
          <w:lang w:val="uk-UA"/>
        </w:rPr>
        <w:t>0.67]</w:t>
      </w:r>
    </w:p>
    <w:p w14:paraId="2F7B36E4" w14:textId="77777777" w:rsidR="00E05B98" w:rsidRPr="001740F6" w:rsidRDefault="00B01E0C" w:rsidP="001740F6">
      <w:pPr>
        <w:spacing w:before="40"/>
        <w:ind w:right="42"/>
        <w:jc w:val="center"/>
        <w:rPr>
          <w:rFonts w:ascii="Trebuchet MS"/>
          <w:sz w:val="16"/>
          <w:szCs w:val="16"/>
          <w:lang w:val="uk-UA"/>
        </w:rPr>
      </w:pPr>
      <w:r w:rsidRPr="001740F6">
        <w:rPr>
          <w:rFonts w:ascii="Trebuchet MS"/>
          <w:w w:val="65"/>
          <w:sz w:val="16"/>
          <w:szCs w:val="16"/>
          <w:lang w:val="uk-UA"/>
        </w:rPr>
        <w:t>0.75</w:t>
      </w:r>
      <w:r w:rsidRPr="001740F6">
        <w:rPr>
          <w:rFonts w:ascii="Trebuchet MS"/>
          <w:spacing w:val="12"/>
          <w:sz w:val="16"/>
          <w:szCs w:val="16"/>
          <w:lang w:val="uk-UA"/>
        </w:rPr>
        <w:t xml:space="preserve"> </w:t>
      </w:r>
      <w:r w:rsidRPr="001740F6">
        <w:rPr>
          <w:rFonts w:ascii="Trebuchet MS"/>
          <w:w w:val="65"/>
          <w:sz w:val="16"/>
          <w:szCs w:val="16"/>
          <w:lang w:val="uk-UA"/>
        </w:rPr>
        <w:t>[0.35,</w:t>
      </w:r>
      <w:r w:rsidRPr="001740F6">
        <w:rPr>
          <w:rFonts w:ascii="Trebuchet MS"/>
          <w:spacing w:val="19"/>
          <w:sz w:val="16"/>
          <w:szCs w:val="16"/>
          <w:lang w:val="uk-UA"/>
        </w:rPr>
        <w:t xml:space="preserve"> </w:t>
      </w:r>
      <w:r w:rsidRPr="001740F6">
        <w:rPr>
          <w:rFonts w:ascii="Trebuchet MS"/>
          <w:spacing w:val="-2"/>
          <w:w w:val="65"/>
          <w:sz w:val="16"/>
          <w:szCs w:val="16"/>
          <w:lang w:val="uk-UA"/>
        </w:rPr>
        <w:t>0.97]</w:t>
      </w:r>
    </w:p>
    <w:p w14:paraId="24F591CF" w14:textId="77777777" w:rsidR="00E05B98" w:rsidRPr="001740F6" w:rsidRDefault="00B01E0C">
      <w:pPr>
        <w:spacing w:before="107"/>
        <w:jc w:val="right"/>
        <w:rPr>
          <w:rFonts w:ascii="Trebuchet MS"/>
          <w:sz w:val="16"/>
          <w:szCs w:val="16"/>
          <w:lang w:val="uk-UA"/>
        </w:rPr>
      </w:pPr>
      <w:r w:rsidRPr="001740F6">
        <w:rPr>
          <w:sz w:val="16"/>
          <w:szCs w:val="16"/>
          <w:lang w:val="uk-UA"/>
        </w:rPr>
        <w:br w:type="column"/>
      </w:r>
      <w:r w:rsidRPr="001740F6">
        <w:rPr>
          <w:rFonts w:ascii="Trebuchet MS"/>
          <w:color w:val="333333"/>
          <w:w w:val="70"/>
          <w:sz w:val="16"/>
          <w:szCs w:val="16"/>
          <w:lang w:val="uk-UA"/>
        </w:rPr>
        <w:t>S</w:t>
      </w:r>
      <w:r w:rsidRPr="001740F6">
        <w:rPr>
          <w:rFonts w:ascii="Trebuchet MS"/>
          <w:color w:val="333333"/>
          <w:spacing w:val="-14"/>
          <w:sz w:val="16"/>
          <w:szCs w:val="16"/>
          <w:lang w:val="uk-UA"/>
        </w:rPr>
        <w:t xml:space="preserve"> </w:t>
      </w:r>
      <w:proofErr w:type="spellStart"/>
      <w:r w:rsidRPr="001740F6">
        <w:rPr>
          <w:rFonts w:ascii="Trebuchet MS"/>
          <w:color w:val="333333"/>
          <w:w w:val="70"/>
          <w:sz w:val="16"/>
          <w:szCs w:val="16"/>
          <w:lang w:val="uk-UA"/>
        </w:rPr>
        <w:t>pecificity</w:t>
      </w:r>
      <w:proofErr w:type="spellEnd"/>
      <w:r w:rsidRPr="001740F6">
        <w:rPr>
          <w:rFonts w:ascii="Trebuchet MS"/>
          <w:color w:val="333333"/>
          <w:spacing w:val="35"/>
          <w:sz w:val="16"/>
          <w:szCs w:val="16"/>
          <w:lang w:val="uk-UA"/>
        </w:rPr>
        <w:t xml:space="preserve"> </w:t>
      </w:r>
      <w:r w:rsidRPr="001740F6">
        <w:rPr>
          <w:rFonts w:ascii="Trebuchet MS"/>
          <w:color w:val="333333"/>
          <w:w w:val="70"/>
          <w:sz w:val="16"/>
          <w:szCs w:val="16"/>
          <w:lang w:val="uk-UA"/>
        </w:rPr>
        <w:t>(95%</w:t>
      </w:r>
      <w:r w:rsidRPr="001740F6">
        <w:rPr>
          <w:rFonts w:ascii="Trebuchet MS"/>
          <w:color w:val="333333"/>
          <w:spacing w:val="40"/>
          <w:sz w:val="16"/>
          <w:szCs w:val="16"/>
          <w:lang w:val="uk-UA"/>
        </w:rPr>
        <w:t xml:space="preserve"> </w:t>
      </w:r>
      <w:r w:rsidRPr="001740F6">
        <w:rPr>
          <w:rFonts w:ascii="Trebuchet MS"/>
          <w:color w:val="333333"/>
          <w:w w:val="70"/>
          <w:sz w:val="16"/>
          <w:szCs w:val="16"/>
          <w:lang w:val="uk-UA"/>
        </w:rPr>
        <w:t>C</w:t>
      </w:r>
      <w:r w:rsidRPr="001740F6">
        <w:rPr>
          <w:rFonts w:ascii="Trebuchet MS"/>
          <w:color w:val="333333"/>
          <w:spacing w:val="-5"/>
          <w:w w:val="70"/>
          <w:sz w:val="16"/>
          <w:szCs w:val="16"/>
          <w:lang w:val="uk-UA"/>
        </w:rPr>
        <w:t xml:space="preserve"> I)</w:t>
      </w:r>
    </w:p>
    <w:p w14:paraId="7BE788E3" w14:textId="77777777" w:rsidR="00E05B98" w:rsidRPr="001740F6" w:rsidRDefault="00B01E0C" w:rsidP="001740F6">
      <w:pPr>
        <w:spacing w:before="76"/>
        <w:ind w:right="29"/>
        <w:rPr>
          <w:rFonts w:ascii="Trebuchet MS"/>
          <w:sz w:val="16"/>
          <w:szCs w:val="16"/>
          <w:lang w:val="uk-UA"/>
        </w:rPr>
      </w:pPr>
      <w:r w:rsidRPr="001740F6">
        <w:rPr>
          <w:rFonts w:ascii="Trebuchet MS"/>
          <w:w w:val="65"/>
          <w:sz w:val="16"/>
          <w:szCs w:val="16"/>
          <w:lang w:val="uk-UA"/>
        </w:rPr>
        <w:t>0.96</w:t>
      </w:r>
      <w:r w:rsidRPr="001740F6">
        <w:rPr>
          <w:rFonts w:ascii="Trebuchet MS"/>
          <w:spacing w:val="12"/>
          <w:sz w:val="16"/>
          <w:szCs w:val="16"/>
          <w:lang w:val="uk-UA"/>
        </w:rPr>
        <w:t xml:space="preserve"> </w:t>
      </w:r>
      <w:r w:rsidRPr="001740F6">
        <w:rPr>
          <w:rFonts w:ascii="Trebuchet MS"/>
          <w:w w:val="65"/>
          <w:sz w:val="16"/>
          <w:szCs w:val="16"/>
          <w:lang w:val="uk-UA"/>
        </w:rPr>
        <w:t>[0.93,</w:t>
      </w:r>
      <w:r w:rsidRPr="001740F6">
        <w:rPr>
          <w:rFonts w:ascii="Trebuchet MS"/>
          <w:spacing w:val="19"/>
          <w:sz w:val="16"/>
          <w:szCs w:val="16"/>
          <w:lang w:val="uk-UA"/>
        </w:rPr>
        <w:t xml:space="preserve"> </w:t>
      </w:r>
      <w:r w:rsidRPr="001740F6">
        <w:rPr>
          <w:rFonts w:ascii="Trebuchet MS"/>
          <w:spacing w:val="-2"/>
          <w:w w:val="65"/>
          <w:sz w:val="16"/>
          <w:szCs w:val="16"/>
          <w:lang w:val="uk-UA"/>
        </w:rPr>
        <w:t>0.98]</w:t>
      </w:r>
    </w:p>
    <w:p w14:paraId="7C7B72BC" w14:textId="77777777" w:rsidR="00E05B98" w:rsidRPr="003C6DAE" w:rsidRDefault="00B01E0C" w:rsidP="001740F6">
      <w:pPr>
        <w:spacing w:before="40"/>
        <w:ind w:right="29"/>
        <w:rPr>
          <w:rFonts w:ascii="Trebuchet MS"/>
          <w:sz w:val="20"/>
          <w:lang w:val="uk-UA"/>
        </w:rPr>
      </w:pPr>
      <w:r w:rsidRPr="001740F6">
        <w:rPr>
          <w:rFonts w:ascii="Trebuchet MS"/>
          <w:w w:val="65"/>
          <w:sz w:val="16"/>
          <w:szCs w:val="16"/>
          <w:lang w:val="uk-UA"/>
        </w:rPr>
        <w:t>0.89</w:t>
      </w:r>
      <w:r w:rsidRPr="001740F6">
        <w:rPr>
          <w:rFonts w:ascii="Trebuchet MS"/>
          <w:spacing w:val="12"/>
          <w:sz w:val="16"/>
          <w:szCs w:val="16"/>
          <w:lang w:val="uk-UA"/>
        </w:rPr>
        <w:t xml:space="preserve"> </w:t>
      </w:r>
      <w:r w:rsidRPr="001740F6">
        <w:rPr>
          <w:rFonts w:ascii="Trebuchet MS"/>
          <w:w w:val="65"/>
          <w:sz w:val="16"/>
          <w:szCs w:val="16"/>
          <w:lang w:val="uk-UA"/>
        </w:rPr>
        <w:t>[0.71,</w:t>
      </w:r>
      <w:r w:rsidRPr="001740F6">
        <w:rPr>
          <w:rFonts w:ascii="Trebuchet MS"/>
          <w:spacing w:val="19"/>
          <w:sz w:val="16"/>
          <w:szCs w:val="16"/>
          <w:lang w:val="uk-UA"/>
        </w:rPr>
        <w:t xml:space="preserve"> </w:t>
      </w:r>
      <w:r w:rsidRPr="001740F6">
        <w:rPr>
          <w:rFonts w:ascii="Trebuchet MS"/>
          <w:spacing w:val="-2"/>
          <w:w w:val="65"/>
          <w:sz w:val="16"/>
          <w:szCs w:val="16"/>
          <w:lang w:val="uk-UA"/>
        </w:rPr>
        <w:t>0.98]</w:t>
      </w:r>
    </w:p>
    <w:p w14:paraId="26ED8352" w14:textId="77777777" w:rsidR="00E05B98" w:rsidRPr="003C6DAE" w:rsidRDefault="00B01E0C">
      <w:pPr>
        <w:spacing w:before="107"/>
        <w:ind w:left="89"/>
        <w:rPr>
          <w:rFonts w:ascii="Trebuchet MS"/>
          <w:sz w:val="20"/>
          <w:lang w:val="uk-UA"/>
        </w:rPr>
      </w:pPr>
      <w:r w:rsidRPr="003C6DAE">
        <w:rPr>
          <w:lang w:val="uk-UA"/>
        </w:rPr>
        <w:br w:type="column"/>
      </w:r>
      <w:r w:rsidRPr="003C6DAE">
        <w:rPr>
          <w:rFonts w:ascii="Trebuchet MS"/>
          <w:color w:val="333333"/>
          <w:w w:val="70"/>
          <w:sz w:val="20"/>
          <w:lang w:val="uk-UA"/>
        </w:rPr>
        <w:t>S</w:t>
      </w:r>
      <w:r w:rsidRPr="003C6DAE">
        <w:rPr>
          <w:rFonts w:ascii="Trebuchet MS"/>
          <w:color w:val="333333"/>
          <w:spacing w:val="-1"/>
          <w:w w:val="70"/>
          <w:sz w:val="20"/>
          <w:lang w:val="uk-UA"/>
        </w:rPr>
        <w:t xml:space="preserve"> </w:t>
      </w:r>
      <w:proofErr w:type="spellStart"/>
      <w:r w:rsidRPr="003C6DAE">
        <w:rPr>
          <w:rFonts w:ascii="Trebuchet MS"/>
          <w:color w:val="333333"/>
          <w:w w:val="70"/>
          <w:sz w:val="20"/>
          <w:lang w:val="uk-UA"/>
        </w:rPr>
        <w:t>ens</w:t>
      </w:r>
      <w:proofErr w:type="spellEnd"/>
      <w:r w:rsidRPr="003C6DAE">
        <w:rPr>
          <w:rFonts w:ascii="Trebuchet MS"/>
          <w:color w:val="333333"/>
          <w:spacing w:val="-5"/>
          <w:w w:val="70"/>
          <w:sz w:val="20"/>
          <w:lang w:val="uk-UA"/>
        </w:rPr>
        <w:t xml:space="preserve"> </w:t>
      </w:r>
      <w:proofErr w:type="spellStart"/>
      <w:r w:rsidRPr="003C6DAE">
        <w:rPr>
          <w:rFonts w:ascii="Trebuchet MS"/>
          <w:color w:val="333333"/>
          <w:w w:val="70"/>
          <w:sz w:val="20"/>
          <w:lang w:val="uk-UA"/>
        </w:rPr>
        <w:t>itivity</w:t>
      </w:r>
      <w:proofErr w:type="spellEnd"/>
      <w:r w:rsidRPr="003C6DAE">
        <w:rPr>
          <w:rFonts w:ascii="Trebuchet MS"/>
          <w:color w:val="333333"/>
          <w:spacing w:val="26"/>
          <w:sz w:val="20"/>
          <w:lang w:val="uk-UA"/>
        </w:rPr>
        <w:t xml:space="preserve"> </w:t>
      </w:r>
      <w:r w:rsidRPr="003C6DAE">
        <w:rPr>
          <w:rFonts w:ascii="Trebuchet MS"/>
          <w:color w:val="333333"/>
          <w:w w:val="70"/>
          <w:sz w:val="20"/>
          <w:lang w:val="uk-UA"/>
        </w:rPr>
        <w:t>(95%</w:t>
      </w:r>
      <w:r w:rsidRPr="003C6DAE">
        <w:rPr>
          <w:rFonts w:ascii="Trebuchet MS"/>
          <w:color w:val="333333"/>
          <w:spacing w:val="29"/>
          <w:sz w:val="20"/>
          <w:lang w:val="uk-UA"/>
        </w:rPr>
        <w:t xml:space="preserve"> </w:t>
      </w:r>
      <w:r w:rsidRPr="003C6DAE">
        <w:rPr>
          <w:rFonts w:ascii="Trebuchet MS"/>
          <w:color w:val="333333"/>
          <w:w w:val="70"/>
          <w:sz w:val="20"/>
          <w:lang w:val="uk-UA"/>
        </w:rPr>
        <w:t>C</w:t>
      </w:r>
      <w:r w:rsidRPr="003C6DAE">
        <w:rPr>
          <w:rFonts w:ascii="Trebuchet MS"/>
          <w:color w:val="333333"/>
          <w:spacing w:val="-9"/>
          <w:w w:val="70"/>
          <w:sz w:val="20"/>
          <w:lang w:val="uk-UA"/>
        </w:rPr>
        <w:t xml:space="preserve"> </w:t>
      </w:r>
      <w:r w:rsidRPr="003C6DAE">
        <w:rPr>
          <w:rFonts w:ascii="Trebuchet MS"/>
          <w:color w:val="333333"/>
          <w:spacing w:val="-5"/>
          <w:w w:val="70"/>
          <w:sz w:val="20"/>
          <w:lang w:val="uk-UA"/>
        </w:rPr>
        <w:t>I)</w:t>
      </w:r>
    </w:p>
    <w:p w14:paraId="00D39F5C" w14:textId="77777777" w:rsidR="00E05B98" w:rsidRPr="003C6DAE" w:rsidRDefault="00B01E0C">
      <w:pPr>
        <w:pStyle w:val="a3"/>
        <w:spacing w:before="10"/>
        <w:rPr>
          <w:rFonts w:ascii="Trebuchet MS"/>
          <w:sz w:val="5"/>
          <w:lang w:val="uk-UA"/>
        </w:rPr>
      </w:pPr>
      <w:r w:rsidRPr="003C6DAE">
        <w:rPr>
          <w:rFonts w:ascii="Trebuchet MS"/>
          <w:noProof/>
          <w:sz w:val="5"/>
          <w:lang w:val="uk-UA"/>
        </w:rPr>
        <mc:AlternateContent>
          <mc:Choice Requires="wpg">
            <w:drawing>
              <wp:anchor distT="0" distB="0" distL="0" distR="0" simplePos="0" relativeHeight="487896064" behindDoc="1" locked="0" layoutInCell="1" allowOverlap="1" wp14:anchorId="3AEFBDA3" wp14:editId="4A19B7E9">
                <wp:simplePos x="0" y="0"/>
                <wp:positionH relativeFrom="page">
                  <wp:posOffset>4837085</wp:posOffset>
                </wp:positionH>
                <wp:positionV relativeFrom="paragraph">
                  <wp:posOffset>58551</wp:posOffset>
                </wp:positionV>
                <wp:extent cx="370840" cy="76200"/>
                <wp:effectExtent l="0" t="0" r="0" b="0"/>
                <wp:wrapTopAndBottom/>
                <wp:docPr id="1932" name="Group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840" cy="76200"/>
                          <a:chOff x="0" y="0"/>
                          <a:chExt cx="370840" cy="76200"/>
                        </a:xfrm>
                      </wpg:grpSpPr>
                      <wps:wsp>
                        <wps:cNvPr id="1933" name="Graphic 1933"/>
                        <wps:cNvSpPr/>
                        <wps:spPr>
                          <a:xfrm>
                            <a:off x="0" y="32450"/>
                            <a:ext cx="370840" cy="1270"/>
                          </a:xfrm>
                          <a:custGeom>
                            <a:avLst/>
                            <a:gdLst/>
                            <a:ahLst/>
                            <a:cxnLst/>
                            <a:rect l="l" t="t" r="r" b="b"/>
                            <a:pathLst>
                              <a:path w="370840">
                                <a:moveTo>
                                  <a:pt x="0" y="0"/>
                                </a:moveTo>
                                <a:lnTo>
                                  <a:pt x="159009" y="0"/>
                                </a:lnTo>
                              </a:path>
                              <a:path w="370840">
                                <a:moveTo>
                                  <a:pt x="215796" y="0"/>
                                </a:moveTo>
                                <a:lnTo>
                                  <a:pt x="370344" y="0"/>
                                </a:lnTo>
                              </a:path>
                            </a:pathLst>
                          </a:custGeom>
                          <a:ln w="10816">
                            <a:solidFill>
                              <a:srgbClr val="000000"/>
                            </a:solidFill>
                            <a:prstDash val="solid"/>
                          </a:ln>
                        </wps:spPr>
                        <wps:bodyPr wrap="square" lIns="0" tIns="0" rIns="0" bIns="0" rtlCol="0">
                          <a:prstTxWarp prst="textNoShape">
                            <a:avLst/>
                          </a:prstTxWarp>
                          <a:noAutofit/>
                        </wps:bodyPr>
                      </wps:wsp>
                      <wps:wsp>
                        <wps:cNvPr id="1934" name="Graphic 1934"/>
                        <wps:cNvSpPr/>
                        <wps:spPr>
                          <a:xfrm>
                            <a:off x="159009" y="0"/>
                            <a:ext cx="57150" cy="76200"/>
                          </a:xfrm>
                          <a:custGeom>
                            <a:avLst/>
                            <a:gdLst/>
                            <a:ahLst/>
                            <a:cxnLst/>
                            <a:rect l="l" t="t" r="r" b="b"/>
                            <a:pathLst>
                              <a:path w="57150" h="76200">
                                <a:moveTo>
                                  <a:pt x="56787" y="75717"/>
                                </a:moveTo>
                                <a:lnTo>
                                  <a:pt x="0" y="75717"/>
                                </a:lnTo>
                                <a:lnTo>
                                  <a:pt x="0" y="0"/>
                                </a:lnTo>
                                <a:lnTo>
                                  <a:pt x="56787" y="0"/>
                                </a:lnTo>
                                <a:lnTo>
                                  <a:pt x="56787" y="75717"/>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24B3745" id="Group 1932" o:spid="_x0000_s1026" style="position:absolute;margin-left:380.85pt;margin-top:4.6pt;width:29.2pt;height:6pt;z-index:-15420416;mso-wrap-distance-left:0;mso-wrap-distance-right:0;mso-position-horizontal-relative:page" coordsize="37084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">
                <v:shape id="Graphic 1933" o:spid="_x0000_s1027" style="position:absolute;top:32450;width:370840;height:1270;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" path="m,l159009,em215796,l370344,e" filled="f" strokeweight=".30044mm">
                  <v:path arrowok="t"/>
                </v:shape>
                <v:shape id="Graphic 1934" o:spid="_x0000_s1028" style="position:absolute;left:159009;width:57150;height:76200;visibility:visible;mso-wrap-style:square;v-text-anchor:top" coordsize="571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" path="m56787,75717l,75717,,,56787,r,75717xe" fillcolor="#0000c0" stroked="f">
                  <v:path arrowok="t"/>
                </v:shape>
                <w10:wrap type="topAndBottom" anchorx="page"/>
              </v:group>
            </w:pict>
          </mc:Fallback>
        </mc:AlternateContent>
      </w:r>
    </w:p>
    <w:p w14:paraId="5195333C" w14:textId="77777777" w:rsidR="00E05B98" w:rsidRPr="003C6DAE" w:rsidRDefault="00E05B98">
      <w:pPr>
        <w:pStyle w:val="a3"/>
        <w:spacing w:before="2"/>
        <w:rPr>
          <w:rFonts w:ascii="Trebuchet MS"/>
          <w:sz w:val="13"/>
          <w:lang w:val="uk-UA"/>
        </w:rPr>
      </w:pPr>
    </w:p>
    <w:p w14:paraId="63DB6215" w14:textId="77777777" w:rsidR="00E05B98" w:rsidRPr="003C6DAE" w:rsidRDefault="00B01E0C">
      <w:pPr>
        <w:pStyle w:val="a3"/>
        <w:ind w:left="-9" w:right="-72"/>
        <w:rPr>
          <w:rFonts w:ascii="Trebuchet MS"/>
          <w:sz w:val="20"/>
          <w:lang w:val="uk-UA"/>
        </w:rPr>
      </w:pPr>
      <w:r w:rsidRPr="003C6DAE">
        <w:rPr>
          <w:rFonts w:ascii="Trebuchet MS"/>
          <w:noProof/>
          <w:sz w:val="20"/>
          <w:lang w:val="uk-UA"/>
        </w:rPr>
        <mc:AlternateContent>
          <mc:Choice Requires="wpg">
            <w:drawing>
              <wp:inline distT="0" distB="0" distL="0" distR="0" wp14:anchorId="4586B62D" wp14:editId="5C07AD0B">
                <wp:extent cx="974090" cy="162560"/>
                <wp:effectExtent l="9525" t="0" r="0" b="8889"/>
                <wp:docPr id="1935" name="Group 1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4090" cy="162560"/>
                          <a:chOff x="0" y="0"/>
                          <a:chExt cx="974090" cy="162560"/>
                        </a:xfrm>
                      </wpg:grpSpPr>
                      <wps:wsp>
                        <wps:cNvPr id="1936" name="Graphic 1936"/>
                        <wps:cNvSpPr/>
                        <wps:spPr>
                          <a:xfrm>
                            <a:off x="343572" y="32451"/>
                            <a:ext cx="603250" cy="1270"/>
                          </a:xfrm>
                          <a:custGeom>
                            <a:avLst/>
                            <a:gdLst/>
                            <a:ahLst/>
                            <a:cxnLst/>
                            <a:rect l="l" t="t" r="r" b="b"/>
                            <a:pathLst>
                              <a:path w="603250">
                                <a:moveTo>
                                  <a:pt x="0" y="0"/>
                                </a:moveTo>
                                <a:lnTo>
                                  <a:pt x="366287" y="0"/>
                                </a:lnTo>
                              </a:path>
                              <a:path w="603250">
                                <a:moveTo>
                                  <a:pt x="423076" y="0"/>
                                </a:moveTo>
                                <a:lnTo>
                                  <a:pt x="602772" y="0"/>
                                </a:lnTo>
                              </a:path>
                            </a:pathLst>
                          </a:custGeom>
                          <a:ln w="10816">
                            <a:solidFill>
                              <a:srgbClr val="000000"/>
                            </a:solidFill>
                            <a:prstDash val="solid"/>
                          </a:ln>
                        </wps:spPr>
                        <wps:bodyPr wrap="square" lIns="0" tIns="0" rIns="0" bIns="0" rtlCol="0">
                          <a:prstTxWarp prst="textNoShape">
                            <a:avLst/>
                          </a:prstTxWarp>
                          <a:noAutofit/>
                        </wps:bodyPr>
                      </wps:wsp>
                      <wps:wsp>
                        <wps:cNvPr id="1937" name="Graphic 1937"/>
                        <wps:cNvSpPr/>
                        <wps:spPr>
                          <a:xfrm>
                            <a:off x="709859" y="0"/>
                            <a:ext cx="57150" cy="76200"/>
                          </a:xfrm>
                          <a:custGeom>
                            <a:avLst/>
                            <a:gdLst/>
                            <a:ahLst/>
                            <a:cxnLst/>
                            <a:rect l="l" t="t" r="r" b="b"/>
                            <a:pathLst>
                              <a:path w="57150" h="76200">
                                <a:moveTo>
                                  <a:pt x="56789" y="75718"/>
                                </a:moveTo>
                                <a:lnTo>
                                  <a:pt x="0" y="75718"/>
                                </a:lnTo>
                                <a:lnTo>
                                  <a:pt x="0" y="0"/>
                                </a:lnTo>
                                <a:lnTo>
                                  <a:pt x="56789" y="0"/>
                                </a:lnTo>
                                <a:lnTo>
                                  <a:pt x="56789" y="75718"/>
                                </a:lnTo>
                                <a:close/>
                              </a:path>
                            </a:pathLst>
                          </a:custGeom>
                          <a:solidFill>
                            <a:srgbClr val="0000C0"/>
                          </a:solidFill>
                        </wps:spPr>
                        <wps:bodyPr wrap="square" lIns="0" tIns="0" rIns="0" bIns="0" rtlCol="0">
                          <a:prstTxWarp prst="textNoShape">
                            <a:avLst/>
                          </a:prstTxWarp>
                          <a:noAutofit/>
                        </wps:bodyPr>
                      </wps:wsp>
                      <wps:wsp>
                        <wps:cNvPr id="1938" name="Graphic 1938"/>
                        <wps:cNvSpPr/>
                        <wps:spPr>
                          <a:xfrm>
                            <a:off x="4056" y="118986"/>
                            <a:ext cx="965835" cy="1270"/>
                          </a:xfrm>
                          <a:custGeom>
                            <a:avLst/>
                            <a:gdLst/>
                            <a:ahLst/>
                            <a:cxnLst/>
                            <a:rect l="l" t="t" r="r" b="b"/>
                            <a:pathLst>
                              <a:path w="965835">
                                <a:moveTo>
                                  <a:pt x="0" y="0"/>
                                </a:moveTo>
                                <a:lnTo>
                                  <a:pt x="965409" y="0"/>
                                </a:lnTo>
                              </a:path>
                            </a:pathLst>
                          </a:custGeom>
                          <a:ln w="10816">
                            <a:solidFill>
                              <a:srgbClr val="000000"/>
                            </a:solidFill>
                            <a:prstDash val="solid"/>
                          </a:ln>
                        </wps:spPr>
                        <wps:bodyPr wrap="square" lIns="0" tIns="0" rIns="0" bIns="0" rtlCol="0">
                          <a:prstTxWarp prst="textNoShape">
                            <a:avLst/>
                          </a:prstTxWarp>
                          <a:noAutofit/>
                        </wps:bodyPr>
                      </wps:wsp>
                      <wps:wsp>
                        <wps:cNvPr id="1939" name="Graphic 1939"/>
                        <wps:cNvSpPr/>
                        <wps:spPr>
                          <a:xfrm>
                            <a:off x="4056" y="75719"/>
                            <a:ext cx="1270" cy="86995"/>
                          </a:xfrm>
                          <a:custGeom>
                            <a:avLst/>
                            <a:gdLst/>
                            <a:ahLst/>
                            <a:cxnLst/>
                            <a:rect l="l" t="t" r="r" b="b"/>
                            <a:pathLst>
                              <a:path h="86995">
                                <a:moveTo>
                                  <a:pt x="0" y="0"/>
                                </a:moveTo>
                                <a:lnTo>
                                  <a:pt x="0" y="86535"/>
                                </a:lnTo>
                              </a:path>
                            </a:pathLst>
                          </a:custGeom>
                          <a:ln w="8112">
                            <a:solidFill>
                              <a:srgbClr val="000000"/>
                            </a:solidFill>
                            <a:prstDash val="solid"/>
                          </a:ln>
                        </wps:spPr>
                        <wps:bodyPr wrap="square" lIns="0" tIns="0" rIns="0" bIns="0" rtlCol="0">
                          <a:prstTxWarp prst="textNoShape">
                            <a:avLst/>
                          </a:prstTxWarp>
                          <a:noAutofit/>
                        </wps:bodyPr>
                      </wps:wsp>
                      <wps:wsp>
                        <wps:cNvPr id="1940" name="Graphic 1940"/>
                        <wps:cNvSpPr/>
                        <wps:spPr>
                          <a:xfrm>
                            <a:off x="197138" y="75719"/>
                            <a:ext cx="1270" cy="86995"/>
                          </a:xfrm>
                          <a:custGeom>
                            <a:avLst/>
                            <a:gdLst/>
                            <a:ahLst/>
                            <a:cxnLst/>
                            <a:rect l="l" t="t" r="r" b="b"/>
                            <a:pathLst>
                              <a:path h="86995">
                                <a:moveTo>
                                  <a:pt x="0" y="0"/>
                                </a:moveTo>
                                <a:lnTo>
                                  <a:pt x="0" y="86535"/>
                                </a:lnTo>
                              </a:path>
                            </a:pathLst>
                          </a:custGeom>
                          <a:ln w="8112">
                            <a:solidFill>
                              <a:srgbClr val="000000"/>
                            </a:solidFill>
                            <a:prstDash val="solid"/>
                          </a:ln>
                        </wps:spPr>
                        <wps:bodyPr wrap="square" lIns="0" tIns="0" rIns="0" bIns="0" rtlCol="0">
                          <a:prstTxWarp prst="textNoShape">
                            <a:avLst/>
                          </a:prstTxWarp>
                          <a:noAutofit/>
                        </wps:bodyPr>
                      </wps:wsp>
                      <wps:wsp>
                        <wps:cNvPr id="1941" name="Graphic 1941"/>
                        <wps:cNvSpPr/>
                        <wps:spPr>
                          <a:xfrm>
                            <a:off x="390220" y="75718"/>
                            <a:ext cx="1270" cy="86995"/>
                          </a:xfrm>
                          <a:custGeom>
                            <a:avLst/>
                            <a:gdLst/>
                            <a:ahLst/>
                            <a:cxnLst/>
                            <a:rect l="l" t="t" r="r" b="b"/>
                            <a:pathLst>
                              <a:path h="86995">
                                <a:moveTo>
                                  <a:pt x="0" y="0"/>
                                </a:moveTo>
                                <a:lnTo>
                                  <a:pt x="0" y="86535"/>
                                </a:lnTo>
                              </a:path>
                            </a:pathLst>
                          </a:custGeom>
                          <a:ln w="8112">
                            <a:solidFill>
                              <a:srgbClr val="000000"/>
                            </a:solidFill>
                            <a:prstDash val="solid"/>
                          </a:ln>
                        </wps:spPr>
                        <wps:bodyPr wrap="square" lIns="0" tIns="0" rIns="0" bIns="0" rtlCol="0">
                          <a:prstTxWarp prst="textNoShape">
                            <a:avLst/>
                          </a:prstTxWarp>
                          <a:noAutofit/>
                        </wps:bodyPr>
                      </wps:wsp>
                      <wps:wsp>
                        <wps:cNvPr id="1942" name="Graphic 1942"/>
                        <wps:cNvSpPr/>
                        <wps:spPr>
                          <a:xfrm>
                            <a:off x="582896" y="75718"/>
                            <a:ext cx="1270" cy="86995"/>
                          </a:xfrm>
                          <a:custGeom>
                            <a:avLst/>
                            <a:gdLst/>
                            <a:ahLst/>
                            <a:cxnLst/>
                            <a:rect l="l" t="t" r="r" b="b"/>
                            <a:pathLst>
                              <a:path h="86995">
                                <a:moveTo>
                                  <a:pt x="0" y="0"/>
                                </a:moveTo>
                                <a:lnTo>
                                  <a:pt x="0" y="86535"/>
                                </a:lnTo>
                              </a:path>
                            </a:pathLst>
                          </a:custGeom>
                          <a:ln w="8112">
                            <a:solidFill>
                              <a:srgbClr val="000000"/>
                            </a:solidFill>
                            <a:prstDash val="solid"/>
                          </a:ln>
                        </wps:spPr>
                        <wps:bodyPr wrap="square" lIns="0" tIns="0" rIns="0" bIns="0" rtlCol="0">
                          <a:prstTxWarp prst="textNoShape">
                            <a:avLst/>
                          </a:prstTxWarp>
                          <a:noAutofit/>
                        </wps:bodyPr>
                      </wps:wsp>
                      <wps:wsp>
                        <wps:cNvPr id="1943" name="Graphic 1943"/>
                        <wps:cNvSpPr/>
                        <wps:spPr>
                          <a:xfrm>
                            <a:off x="776384" y="75717"/>
                            <a:ext cx="1270" cy="86995"/>
                          </a:xfrm>
                          <a:custGeom>
                            <a:avLst/>
                            <a:gdLst/>
                            <a:ahLst/>
                            <a:cxnLst/>
                            <a:rect l="l" t="t" r="r" b="b"/>
                            <a:pathLst>
                              <a:path h="86995">
                                <a:moveTo>
                                  <a:pt x="0" y="0"/>
                                </a:moveTo>
                                <a:lnTo>
                                  <a:pt x="0" y="86535"/>
                                </a:lnTo>
                              </a:path>
                            </a:pathLst>
                          </a:custGeom>
                          <a:ln w="8112">
                            <a:solidFill>
                              <a:srgbClr val="000000"/>
                            </a:solidFill>
                            <a:prstDash val="solid"/>
                          </a:ln>
                        </wps:spPr>
                        <wps:bodyPr wrap="square" lIns="0" tIns="0" rIns="0" bIns="0" rtlCol="0">
                          <a:prstTxWarp prst="textNoShape">
                            <a:avLst/>
                          </a:prstTxWarp>
                          <a:noAutofit/>
                        </wps:bodyPr>
                      </wps:wsp>
                      <wps:wsp>
                        <wps:cNvPr id="1944" name="Graphic 1944"/>
                        <wps:cNvSpPr/>
                        <wps:spPr>
                          <a:xfrm>
                            <a:off x="969465" y="75717"/>
                            <a:ext cx="1270" cy="86995"/>
                          </a:xfrm>
                          <a:custGeom>
                            <a:avLst/>
                            <a:gdLst/>
                            <a:ahLst/>
                            <a:cxnLst/>
                            <a:rect l="l" t="t" r="r" b="b"/>
                            <a:pathLst>
                              <a:path h="86995">
                                <a:moveTo>
                                  <a:pt x="0" y="0"/>
                                </a:moveTo>
                                <a:lnTo>
                                  <a:pt x="0" y="86535"/>
                                </a:lnTo>
                              </a:path>
                            </a:pathLst>
                          </a:custGeom>
                          <a:ln w="81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14CBB5" id="Group 1935" o:spid="_x0000_s1026" style="width:76.7pt;height:12.8pt;mso-position-horizontal-relative:char;mso-position-vertical-relative:line" coordsize="9740,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">
                <v:shape id="Graphic 1936" o:spid="_x0000_s1027" style="position:absolute;left:3435;top:324;width:6033;height:13;visibility:visible;mso-wrap-style:square;v-text-anchor:top" coordsize="603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" path="m,l366287,em423076,l602772,e" filled="f" strokeweight=".30044mm">
                  <v:path arrowok="t"/>
                </v:shape>
                <v:shape id="Graphic 1937" o:spid="_x0000_s1028" style="position:absolute;left:7098;width:572;height:762;visibility:visible;mso-wrap-style:square;v-text-anchor:top" coordsize="571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" path="m56789,75718l,75718,,,56789,r,75718xe" fillcolor="#0000c0" stroked="f">
                  <v:path arrowok="t"/>
                </v:shape>
                <v:shape id="Graphic 1938" o:spid="_x0000_s1029" style="position:absolute;left:40;top:1189;width:9658;height:13;visibility:visible;mso-wrap-style:square;v-text-anchor:top" coordsize="965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" path="m,l965409,e" filled="f" strokeweight=".30044mm">
                  <v:path arrowok="t"/>
                </v:shape>
                <v:shape id="Graphic 1939" o:spid="_x0000_s1030" style="position:absolute;left:40;top:757;width:13;height:870;visibility:visible;mso-wrap-style:square;v-text-anchor:top" coordsize="127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" path="m,l,86535e" filled="f" strokeweight=".22533mm">
                  <v:path arrowok="t"/>
                </v:shape>
                <v:shape id="Graphic 1940" o:spid="_x0000_s1031" style="position:absolute;left:1971;top:757;width:13;height:870;visibility:visible;mso-wrap-style:square;v-text-anchor:top" coordsize="127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" path="m,l,86535e" filled="f" strokeweight=".22533mm">
                  <v:path arrowok="t"/>
                </v:shape>
                <v:shape id="Graphic 1941" o:spid="_x0000_s1032" style="position:absolute;left:3902;top:757;width:12;height:870;visibility:visible;mso-wrap-style:square;v-text-anchor:top" coordsize="127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" path="m,l,86535e" filled="f" strokeweight=".22533mm">
                  <v:path arrowok="t"/>
                </v:shape>
                <v:shape id="Graphic 1942" o:spid="_x0000_s1033" style="position:absolute;left:5828;top:757;width:13;height:870;visibility:visible;mso-wrap-style:square;v-text-anchor:top" coordsize="127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" path="m,l,86535e" filled="f" strokeweight=".22533mm">
                  <v:path arrowok="t"/>
                </v:shape>
                <v:shape id="Graphic 1943" o:spid="_x0000_s1034" style="position:absolute;left:7763;top:757;width:13;height:870;visibility:visible;mso-wrap-style:square;v-text-anchor:top" coordsize="127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" path="m,l,86535e" filled="f" strokeweight=".22533mm">
                  <v:path arrowok="t"/>
                </v:shape>
                <v:shape id="Graphic 1944" o:spid="_x0000_s1035" style="position:absolute;left:9694;top:757;width:13;height:870;visibility:visible;mso-wrap-style:square;v-text-anchor:top" coordsize="127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" path="m,l,86535e" filled="f" strokeweight=".22533mm">
                  <v:path arrowok="t"/>
                </v:shape>
                <w10:anchorlock/>
              </v:group>
            </w:pict>
          </mc:Fallback>
        </mc:AlternateContent>
      </w:r>
    </w:p>
    <w:p w14:paraId="724EAA66" w14:textId="77777777" w:rsidR="00E05B98" w:rsidRPr="003C6DAE" w:rsidRDefault="00B01E0C">
      <w:pPr>
        <w:rPr>
          <w:rFonts w:ascii="Trebuchet MS"/>
          <w:sz w:val="20"/>
          <w:lang w:val="uk-UA"/>
        </w:rPr>
      </w:pPr>
      <w:r w:rsidRPr="003C6DAE">
        <w:rPr>
          <w:rFonts w:ascii="Trebuchet MS"/>
          <w:w w:val="75"/>
          <w:sz w:val="20"/>
          <w:lang w:val="uk-UA"/>
        </w:rPr>
        <w:t>0</w:t>
      </w:r>
      <w:r w:rsidRPr="003C6DAE">
        <w:rPr>
          <w:rFonts w:ascii="Trebuchet MS"/>
          <w:spacing w:val="48"/>
          <w:sz w:val="20"/>
          <w:lang w:val="uk-UA"/>
        </w:rPr>
        <w:t xml:space="preserve"> </w:t>
      </w:r>
      <w:r w:rsidRPr="003C6DAE">
        <w:rPr>
          <w:rFonts w:ascii="Trebuchet MS"/>
          <w:w w:val="75"/>
          <w:sz w:val="20"/>
          <w:lang w:val="uk-UA"/>
        </w:rPr>
        <w:t>0.2</w:t>
      </w:r>
      <w:r w:rsidRPr="003C6DAE">
        <w:rPr>
          <w:rFonts w:ascii="Trebuchet MS"/>
          <w:spacing w:val="30"/>
          <w:sz w:val="20"/>
          <w:lang w:val="uk-UA"/>
        </w:rPr>
        <w:t xml:space="preserve"> </w:t>
      </w:r>
      <w:r w:rsidRPr="003C6DAE">
        <w:rPr>
          <w:rFonts w:ascii="Trebuchet MS"/>
          <w:w w:val="75"/>
          <w:sz w:val="20"/>
          <w:lang w:val="uk-UA"/>
        </w:rPr>
        <w:t>0.4</w:t>
      </w:r>
      <w:r w:rsidRPr="003C6DAE">
        <w:rPr>
          <w:rFonts w:ascii="Trebuchet MS"/>
          <w:spacing w:val="29"/>
          <w:sz w:val="20"/>
          <w:lang w:val="uk-UA"/>
        </w:rPr>
        <w:t xml:space="preserve"> </w:t>
      </w:r>
      <w:r w:rsidRPr="003C6DAE">
        <w:rPr>
          <w:rFonts w:ascii="Trebuchet MS"/>
          <w:w w:val="75"/>
          <w:sz w:val="20"/>
          <w:lang w:val="uk-UA"/>
        </w:rPr>
        <w:t>0.6</w:t>
      </w:r>
      <w:r w:rsidRPr="003C6DAE">
        <w:rPr>
          <w:rFonts w:ascii="Trebuchet MS"/>
          <w:spacing w:val="30"/>
          <w:sz w:val="20"/>
          <w:lang w:val="uk-UA"/>
        </w:rPr>
        <w:t xml:space="preserve"> </w:t>
      </w:r>
      <w:r w:rsidRPr="003C6DAE">
        <w:rPr>
          <w:rFonts w:ascii="Trebuchet MS"/>
          <w:w w:val="75"/>
          <w:sz w:val="20"/>
          <w:lang w:val="uk-UA"/>
        </w:rPr>
        <w:t>0.8</w:t>
      </w:r>
      <w:r w:rsidRPr="003C6DAE">
        <w:rPr>
          <w:rFonts w:ascii="Trebuchet MS"/>
          <w:spacing w:val="49"/>
          <w:sz w:val="20"/>
          <w:lang w:val="uk-UA"/>
        </w:rPr>
        <w:t xml:space="preserve"> </w:t>
      </w:r>
      <w:r w:rsidRPr="003C6DAE">
        <w:rPr>
          <w:rFonts w:ascii="Trebuchet MS"/>
          <w:spacing w:val="-10"/>
          <w:w w:val="75"/>
          <w:sz w:val="20"/>
          <w:lang w:val="uk-UA"/>
        </w:rPr>
        <w:t>1</w:t>
      </w:r>
    </w:p>
    <w:p w14:paraId="4EEC050A" w14:textId="77777777" w:rsidR="00E05B98" w:rsidRPr="003C6DAE" w:rsidRDefault="00B01E0C">
      <w:pPr>
        <w:spacing w:before="107"/>
        <w:ind w:left="190"/>
        <w:rPr>
          <w:rFonts w:ascii="Trebuchet MS"/>
          <w:sz w:val="20"/>
          <w:lang w:val="uk-UA"/>
        </w:rPr>
      </w:pPr>
      <w:r w:rsidRPr="003C6DAE">
        <w:rPr>
          <w:lang w:val="uk-UA"/>
        </w:rPr>
        <w:br w:type="column"/>
      </w:r>
      <w:r w:rsidRPr="003C6DAE">
        <w:rPr>
          <w:rFonts w:ascii="Trebuchet MS"/>
          <w:color w:val="333333"/>
          <w:w w:val="70"/>
          <w:sz w:val="20"/>
          <w:lang w:val="uk-UA"/>
        </w:rPr>
        <w:t>S</w:t>
      </w:r>
      <w:r w:rsidRPr="003C6DAE">
        <w:rPr>
          <w:rFonts w:ascii="Trebuchet MS"/>
          <w:color w:val="333333"/>
          <w:spacing w:val="-14"/>
          <w:sz w:val="20"/>
          <w:lang w:val="uk-UA"/>
        </w:rPr>
        <w:t xml:space="preserve"> </w:t>
      </w:r>
      <w:proofErr w:type="spellStart"/>
      <w:r w:rsidRPr="003C6DAE">
        <w:rPr>
          <w:rFonts w:ascii="Trebuchet MS"/>
          <w:color w:val="333333"/>
          <w:w w:val="70"/>
          <w:sz w:val="20"/>
          <w:lang w:val="uk-UA"/>
        </w:rPr>
        <w:t>pecificity</w:t>
      </w:r>
      <w:proofErr w:type="spellEnd"/>
      <w:r w:rsidRPr="003C6DAE">
        <w:rPr>
          <w:rFonts w:ascii="Trebuchet MS"/>
          <w:color w:val="333333"/>
          <w:spacing w:val="35"/>
          <w:sz w:val="20"/>
          <w:lang w:val="uk-UA"/>
        </w:rPr>
        <w:t xml:space="preserve"> </w:t>
      </w:r>
      <w:r w:rsidRPr="003C6DAE">
        <w:rPr>
          <w:rFonts w:ascii="Trebuchet MS"/>
          <w:color w:val="333333"/>
          <w:w w:val="70"/>
          <w:sz w:val="20"/>
          <w:lang w:val="uk-UA"/>
        </w:rPr>
        <w:t>(95%</w:t>
      </w:r>
      <w:r w:rsidRPr="003C6DAE">
        <w:rPr>
          <w:rFonts w:ascii="Trebuchet MS"/>
          <w:color w:val="333333"/>
          <w:spacing w:val="40"/>
          <w:sz w:val="20"/>
          <w:lang w:val="uk-UA"/>
        </w:rPr>
        <w:t xml:space="preserve"> </w:t>
      </w:r>
      <w:r w:rsidRPr="003C6DAE">
        <w:rPr>
          <w:rFonts w:ascii="Trebuchet MS"/>
          <w:color w:val="333333"/>
          <w:w w:val="70"/>
          <w:sz w:val="20"/>
          <w:lang w:val="uk-UA"/>
        </w:rPr>
        <w:t>C</w:t>
      </w:r>
      <w:r w:rsidRPr="003C6DAE">
        <w:rPr>
          <w:rFonts w:ascii="Trebuchet MS"/>
          <w:color w:val="333333"/>
          <w:spacing w:val="-5"/>
          <w:w w:val="70"/>
          <w:sz w:val="20"/>
          <w:lang w:val="uk-UA"/>
        </w:rPr>
        <w:t xml:space="preserve"> I)</w:t>
      </w:r>
    </w:p>
    <w:p w14:paraId="4F8A1F62" w14:textId="77777777" w:rsidR="00E05B98" w:rsidRPr="003C6DAE" w:rsidRDefault="00B01E0C">
      <w:pPr>
        <w:pStyle w:val="a3"/>
        <w:spacing w:before="10"/>
        <w:rPr>
          <w:rFonts w:ascii="Trebuchet MS"/>
          <w:sz w:val="5"/>
          <w:lang w:val="uk-UA"/>
        </w:rPr>
      </w:pPr>
      <w:r w:rsidRPr="003C6DAE">
        <w:rPr>
          <w:rFonts w:ascii="Trebuchet MS"/>
          <w:noProof/>
          <w:sz w:val="5"/>
          <w:lang w:val="uk-UA"/>
        </w:rPr>
        <mc:AlternateContent>
          <mc:Choice Requires="wpg">
            <w:drawing>
              <wp:anchor distT="0" distB="0" distL="0" distR="0" simplePos="0" relativeHeight="487897088" behindDoc="1" locked="0" layoutInCell="1" allowOverlap="1" wp14:anchorId="2D8670E3" wp14:editId="57B13F2F">
                <wp:simplePos x="0" y="0"/>
                <wp:positionH relativeFrom="page">
                  <wp:posOffset>6512354</wp:posOffset>
                </wp:positionH>
                <wp:positionV relativeFrom="paragraph">
                  <wp:posOffset>58548</wp:posOffset>
                </wp:positionV>
                <wp:extent cx="64769" cy="76200"/>
                <wp:effectExtent l="0" t="0" r="0" b="0"/>
                <wp:wrapTopAndBottom/>
                <wp:docPr id="1945" name="Group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69" cy="76200"/>
                          <a:chOff x="0" y="0"/>
                          <a:chExt cx="64769" cy="76200"/>
                        </a:xfrm>
                      </wpg:grpSpPr>
                      <wps:wsp>
                        <wps:cNvPr id="1946" name="Graphic 1946"/>
                        <wps:cNvSpPr/>
                        <wps:spPr>
                          <a:xfrm>
                            <a:off x="3853" y="27042"/>
                            <a:ext cx="1270" cy="11430"/>
                          </a:xfrm>
                          <a:custGeom>
                            <a:avLst/>
                            <a:gdLst/>
                            <a:ahLst/>
                            <a:cxnLst/>
                            <a:rect l="l" t="t" r="r" b="b"/>
                            <a:pathLst>
                              <a:path h="11430">
                                <a:moveTo>
                                  <a:pt x="0" y="0"/>
                                </a:moveTo>
                                <a:lnTo>
                                  <a:pt x="0" y="10816"/>
                                </a:lnTo>
                              </a:path>
                            </a:pathLst>
                          </a:custGeom>
                          <a:ln w="7706">
                            <a:solidFill>
                              <a:srgbClr val="000000"/>
                            </a:solidFill>
                            <a:prstDash val="solid"/>
                          </a:ln>
                        </wps:spPr>
                        <wps:bodyPr wrap="square" lIns="0" tIns="0" rIns="0" bIns="0" rtlCol="0">
                          <a:prstTxWarp prst="textNoShape">
                            <a:avLst/>
                          </a:prstTxWarp>
                          <a:noAutofit/>
                        </wps:bodyPr>
                      </wps:wsp>
                      <wps:wsp>
                        <wps:cNvPr id="1947" name="Graphic 1947"/>
                        <wps:cNvSpPr/>
                        <wps:spPr>
                          <a:xfrm>
                            <a:off x="7706" y="0"/>
                            <a:ext cx="57150" cy="76200"/>
                          </a:xfrm>
                          <a:custGeom>
                            <a:avLst/>
                            <a:gdLst/>
                            <a:ahLst/>
                            <a:cxnLst/>
                            <a:rect l="l" t="t" r="r" b="b"/>
                            <a:pathLst>
                              <a:path w="57150" h="76200">
                                <a:moveTo>
                                  <a:pt x="56789" y="75718"/>
                                </a:moveTo>
                                <a:lnTo>
                                  <a:pt x="0" y="75718"/>
                                </a:lnTo>
                                <a:lnTo>
                                  <a:pt x="0" y="0"/>
                                </a:lnTo>
                                <a:lnTo>
                                  <a:pt x="56789" y="0"/>
                                </a:lnTo>
                                <a:lnTo>
                                  <a:pt x="56789" y="75718"/>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D94611E" id="Group 1945" o:spid="_x0000_s1026" style="position:absolute;margin-left:512.8pt;margin-top:4.6pt;width:5.1pt;height:6pt;z-index:-15419392;mso-wrap-distance-left:0;mso-wrap-distance-right:0;mso-position-horizontal-relative:page" coordsize="6476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">
                <v:shape id="Graphic 1946" o:spid="_x0000_s1027" style="position:absolute;left:3853;top:27042;width:1270;height:11430;visibility:visible;mso-wrap-style:square;v-text-anchor:top" coordsize="12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" path="m,l,10816e" filled="f" strokeweight=".21406mm">
                  <v:path arrowok="t"/>
                </v:shape>
                <v:shape id="Graphic 1947" o:spid="_x0000_s1028" style="position:absolute;left:7706;width:57150;height:76200;visibility:visible;mso-wrap-style:square;v-text-anchor:top" coordsize="571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" path="m56789,75718l,75718,,,56789,r,75718xe" fillcolor="#0000c0" stroked="f">
                  <v:path arrowok="t"/>
                </v:shape>
                <w10:wrap type="topAndBottom" anchorx="page"/>
              </v:group>
            </w:pict>
          </mc:Fallback>
        </mc:AlternateContent>
      </w:r>
      <w:r w:rsidRPr="003C6DAE">
        <w:rPr>
          <w:rFonts w:ascii="Trebuchet MS"/>
          <w:noProof/>
          <w:sz w:val="5"/>
          <w:lang w:val="uk-UA"/>
        </w:rPr>
        <mc:AlternateContent>
          <mc:Choice Requires="wpg">
            <w:drawing>
              <wp:anchor distT="0" distB="0" distL="0" distR="0" simplePos="0" relativeHeight="487897600" behindDoc="1" locked="0" layoutInCell="1" allowOverlap="1" wp14:anchorId="7FDB11CC" wp14:editId="45D1CA3C">
                <wp:simplePos x="0" y="0"/>
                <wp:positionH relativeFrom="page">
                  <wp:posOffset>5601299</wp:posOffset>
                </wp:positionH>
                <wp:positionV relativeFrom="paragraph">
                  <wp:posOffset>231619</wp:posOffset>
                </wp:positionV>
                <wp:extent cx="974090" cy="162560"/>
                <wp:effectExtent l="0" t="0" r="0" b="0"/>
                <wp:wrapTopAndBottom/>
                <wp:docPr id="1948"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4090" cy="162560"/>
                          <a:chOff x="0" y="0"/>
                          <a:chExt cx="974090" cy="162560"/>
                        </a:xfrm>
                      </wpg:grpSpPr>
                      <wps:wsp>
                        <wps:cNvPr id="1949" name="Graphic 1949"/>
                        <wps:cNvSpPr/>
                        <wps:spPr>
                          <a:xfrm>
                            <a:off x="693634" y="32449"/>
                            <a:ext cx="260985" cy="1270"/>
                          </a:xfrm>
                          <a:custGeom>
                            <a:avLst/>
                            <a:gdLst/>
                            <a:ahLst/>
                            <a:cxnLst/>
                            <a:rect l="l" t="t" r="r" b="b"/>
                            <a:pathLst>
                              <a:path w="260985">
                                <a:moveTo>
                                  <a:pt x="0" y="0"/>
                                </a:moveTo>
                                <a:lnTo>
                                  <a:pt x="151301" y="0"/>
                                </a:lnTo>
                              </a:path>
                              <a:path w="260985">
                                <a:moveTo>
                                  <a:pt x="208090" y="0"/>
                                </a:moveTo>
                                <a:lnTo>
                                  <a:pt x="260822" y="0"/>
                                </a:lnTo>
                              </a:path>
                            </a:pathLst>
                          </a:custGeom>
                          <a:ln w="10816">
                            <a:solidFill>
                              <a:srgbClr val="000000"/>
                            </a:solidFill>
                            <a:prstDash val="solid"/>
                          </a:ln>
                        </wps:spPr>
                        <wps:bodyPr wrap="square" lIns="0" tIns="0" rIns="0" bIns="0" rtlCol="0">
                          <a:prstTxWarp prst="textNoShape">
                            <a:avLst/>
                          </a:prstTxWarp>
                          <a:noAutofit/>
                        </wps:bodyPr>
                      </wps:wsp>
                      <wps:wsp>
                        <wps:cNvPr id="1950" name="Graphic 1950"/>
                        <wps:cNvSpPr/>
                        <wps:spPr>
                          <a:xfrm>
                            <a:off x="844936" y="0"/>
                            <a:ext cx="57150" cy="76200"/>
                          </a:xfrm>
                          <a:custGeom>
                            <a:avLst/>
                            <a:gdLst/>
                            <a:ahLst/>
                            <a:cxnLst/>
                            <a:rect l="l" t="t" r="r" b="b"/>
                            <a:pathLst>
                              <a:path w="57150" h="76200">
                                <a:moveTo>
                                  <a:pt x="56789" y="75717"/>
                                </a:moveTo>
                                <a:lnTo>
                                  <a:pt x="0" y="75717"/>
                                </a:lnTo>
                                <a:lnTo>
                                  <a:pt x="0" y="0"/>
                                </a:lnTo>
                                <a:lnTo>
                                  <a:pt x="56789" y="0"/>
                                </a:lnTo>
                                <a:lnTo>
                                  <a:pt x="56789" y="75717"/>
                                </a:lnTo>
                                <a:close/>
                              </a:path>
                            </a:pathLst>
                          </a:custGeom>
                          <a:solidFill>
                            <a:srgbClr val="0000C0"/>
                          </a:solidFill>
                        </wps:spPr>
                        <wps:bodyPr wrap="square" lIns="0" tIns="0" rIns="0" bIns="0" rtlCol="0">
                          <a:prstTxWarp prst="textNoShape">
                            <a:avLst/>
                          </a:prstTxWarp>
                          <a:noAutofit/>
                        </wps:bodyPr>
                      </wps:wsp>
                      <wps:wsp>
                        <wps:cNvPr id="1951" name="Graphic 1951"/>
                        <wps:cNvSpPr/>
                        <wps:spPr>
                          <a:xfrm>
                            <a:off x="4056" y="118984"/>
                            <a:ext cx="965835" cy="1270"/>
                          </a:xfrm>
                          <a:custGeom>
                            <a:avLst/>
                            <a:gdLst/>
                            <a:ahLst/>
                            <a:cxnLst/>
                            <a:rect l="l" t="t" r="r" b="b"/>
                            <a:pathLst>
                              <a:path w="965835">
                                <a:moveTo>
                                  <a:pt x="0" y="0"/>
                                </a:moveTo>
                                <a:lnTo>
                                  <a:pt x="965409" y="0"/>
                                </a:lnTo>
                              </a:path>
                            </a:pathLst>
                          </a:custGeom>
                          <a:ln w="10816">
                            <a:solidFill>
                              <a:srgbClr val="000000"/>
                            </a:solidFill>
                            <a:prstDash val="solid"/>
                          </a:ln>
                        </wps:spPr>
                        <wps:bodyPr wrap="square" lIns="0" tIns="0" rIns="0" bIns="0" rtlCol="0">
                          <a:prstTxWarp prst="textNoShape">
                            <a:avLst/>
                          </a:prstTxWarp>
                          <a:noAutofit/>
                        </wps:bodyPr>
                      </wps:wsp>
                      <wps:wsp>
                        <wps:cNvPr id="1952" name="Graphic 1952"/>
                        <wps:cNvSpPr/>
                        <wps:spPr>
                          <a:xfrm>
                            <a:off x="4056" y="75717"/>
                            <a:ext cx="1270" cy="86995"/>
                          </a:xfrm>
                          <a:custGeom>
                            <a:avLst/>
                            <a:gdLst/>
                            <a:ahLst/>
                            <a:cxnLst/>
                            <a:rect l="l" t="t" r="r" b="b"/>
                            <a:pathLst>
                              <a:path h="86995">
                                <a:moveTo>
                                  <a:pt x="0" y="0"/>
                                </a:moveTo>
                                <a:lnTo>
                                  <a:pt x="0" y="86535"/>
                                </a:lnTo>
                              </a:path>
                            </a:pathLst>
                          </a:custGeom>
                          <a:ln w="8112">
                            <a:solidFill>
                              <a:srgbClr val="000000"/>
                            </a:solidFill>
                            <a:prstDash val="solid"/>
                          </a:ln>
                        </wps:spPr>
                        <wps:bodyPr wrap="square" lIns="0" tIns="0" rIns="0" bIns="0" rtlCol="0">
                          <a:prstTxWarp prst="textNoShape">
                            <a:avLst/>
                          </a:prstTxWarp>
                          <a:noAutofit/>
                        </wps:bodyPr>
                      </wps:wsp>
                      <wps:wsp>
                        <wps:cNvPr id="1953" name="Graphic 1953"/>
                        <wps:cNvSpPr/>
                        <wps:spPr>
                          <a:xfrm>
                            <a:off x="197138" y="75717"/>
                            <a:ext cx="1270" cy="86995"/>
                          </a:xfrm>
                          <a:custGeom>
                            <a:avLst/>
                            <a:gdLst/>
                            <a:ahLst/>
                            <a:cxnLst/>
                            <a:rect l="l" t="t" r="r" b="b"/>
                            <a:pathLst>
                              <a:path h="86995">
                                <a:moveTo>
                                  <a:pt x="0" y="0"/>
                                </a:moveTo>
                                <a:lnTo>
                                  <a:pt x="0" y="86535"/>
                                </a:lnTo>
                              </a:path>
                            </a:pathLst>
                          </a:custGeom>
                          <a:ln w="8112">
                            <a:solidFill>
                              <a:srgbClr val="000000"/>
                            </a:solidFill>
                            <a:prstDash val="solid"/>
                          </a:ln>
                        </wps:spPr>
                        <wps:bodyPr wrap="square" lIns="0" tIns="0" rIns="0" bIns="0" rtlCol="0">
                          <a:prstTxWarp prst="textNoShape">
                            <a:avLst/>
                          </a:prstTxWarp>
                          <a:noAutofit/>
                        </wps:bodyPr>
                      </wps:wsp>
                      <wps:wsp>
                        <wps:cNvPr id="1954" name="Graphic 1954"/>
                        <wps:cNvSpPr/>
                        <wps:spPr>
                          <a:xfrm>
                            <a:off x="390219" y="75717"/>
                            <a:ext cx="1270" cy="86995"/>
                          </a:xfrm>
                          <a:custGeom>
                            <a:avLst/>
                            <a:gdLst/>
                            <a:ahLst/>
                            <a:cxnLst/>
                            <a:rect l="l" t="t" r="r" b="b"/>
                            <a:pathLst>
                              <a:path h="86995">
                                <a:moveTo>
                                  <a:pt x="0" y="0"/>
                                </a:moveTo>
                                <a:lnTo>
                                  <a:pt x="0" y="86535"/>
                                </a:lnTo>
                              </a:path>
                            </a:pathLst>
                          </a:custGeom>
                          <a:ln w="8112">
                            <a:solidFill>
                              <a:srgbClr val="000000"/>
                            </a:solidFill>
                            <a:prstDash val="solid"/>
                          </a:ln>
                        </wps:spPr>
                        <wps:bodyPr wrap="square" lIns="0" tIns="0" rIns="0" bIns="0" rtlCol="0">
                          <a:prstTxWarp prst="textNoShape">
                            <a:avLst/>
                          </a:prstTxWarp>
                          <a:noAutofit/>
                        </wps:bodyPr>
                      </wps:wsp>
                      <wps:wsp>
                        <wps:cNvPr id="1955" name="Graphic 1955"/>
                        <wps:cNvSpPr/>
                        <wps:spPr>
                          <a:xfrm>
                            <a:off x="582895" y="75717"/>
                            <a:ext cx="1270" cy="86995"/>
                          </a:xfrm>
                          <a:custGeom>
                            <a:avLst/>
                            <a:gdLst/>
                            <a:ahLst/>
                            <a:cxnLst/>
                            <a:rect l="l" t="t" r="r" b="b"/>
                            <a:pathLst>
                              <a:path h="86995">
                                <a:moveTo>
                                  <a:pt x="0" y="0"/>
                                </a:moveTo>
                                <a:lnTo>
                                  <a:pt x="0" y="86535"/>
                                </a:lnTo>
                              </a:path>
                            </a:pathLst>
                          </a:custGeom>
                          <a:ln w="8112">
                            <a:solidFill>
                              <a:srgbClr val="000000"/>
                            </a:solidFill>
                            <a:prstDash val="solid"/>
                          </a:ln>
                        </wps:spPr>
                        <wps:bodyPr wrap="square" lIns="0" tIns="0" rIns="0" bIns="0" rtlCol="0">
                          <a:prstTxWarp prst="textNoShape">
                            <a:avLst/>
                          </a:prstTxWarp>
                          <a:noAutofit/>
                        </wps:bodyPr>
                      </wps:wsp>
                      <wps:wsp>
                        <wps:cNvPr id="1956" name="Graphic 1956"/>
                        <wps:cNvSpPr/>
                        <wps:spPr>
                          <a:xfrm>
                            <a:off x="776383" y="75716"/>
                            <a:ext cx="1270" cy="86995"/>
                          </a:xfrm>
                          <a:custGeom>
                            <a:avLst/>
                            <a:gdLst/>
                            <a:ahLst/>
                            <a:cxnLst/>
                            <a:rect l="l" t="t" r="r" b="b"/>
                            <a:pathLst>
                              <a:path h="86995">
                                <a:moveTo>
                                  <a:pt x="0" y="0"/>
                                </a:moveTo>
                                <a:lnTo>
                                  <a:pt x="0" y="86535"/>
                                </a:lnTo>
                              </a:path>
                            </a:pathLst>
                          </a:custGeom>
                          <a:ln w="8112">
                            <a:solidFill>
                              <a:srgbClr val="000000"/>
                            </a:solidFill>
                            <a:prstDash val="solid"/>
                          </a:ln>
                        </wps:spPr>
                        <wps:bodyPr wrap="square" lIns="0" tIns="0" rIns="0" bIns="0" rtlCol="0">
                          <a:prstTxWarp prst="textNoShape">
                            <a:avLst/>
                          </a:prstTxWarp>
                          <a:noAutofit/>
                        </wps:bodyPr>
                      </wps:wsp>
                      <wps:wsp>
                        <wps:cNvPr id="1957" name="Graphic 1957"/>
                        <wps:cNvSpPr/>
                        <wps:spPr>
                          <a:xfrm>
                            <a:off x="969465" y="75716"/>
                            <a:ext cx="1270" cy="86995"/>
                          </a:xfrm>
                          <a:custGeom>
                            <a:avLst/>
                            <a:gdLst/>
                            <a:ahLst/>
                            <a:cxnLst/>
                            <a:rect l="l" t="t" r="r" b="b"/>
                            <a:pathLst>
                              <a:path h="86995">
                                <a:moveTo>
                                  <a:pt x="0" y="0"/>
                                </a:moveTo>
                                <a:lnTo>
                                  <a:pt x="0" y="86535"/>
                                </a:lnTo>
                              </a:path>
                            </a:pathLst>
                          </a:custGeom>
                          <a:ln w="811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D96058" id="Group 1948" o:spid="_x0000_s1026" style="position:absolute;margin-left:441.05pt;margin-top:18.25pt;width:76.7pt;height:12.8pt;z-index:-15418880;mso-wrap-distance-left:0;mso-wrap-distance-right:0;mso-position-horizontal-relative:page" coordsize="9740,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">
                <v:shape id="Graphic 1949" o:spid="_x0000_s1027" style="position:absolute;left:6936;top:324;width:2610;height:13;visibility:visible;mso-wrap-style:square;v-text-anchor:top" coordsize="260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" path="m,l151301,em208090,r52732,e" filled="f" strokeweight=".30044mm">
                  <v:path arrowok="t"/>
                </v:shape>
                <v:shape id="Graphic 1950" o:spid="_x0000_s1028" style="position:absolute;left:8449;width:571;height:762;visibility:visible;mso-wrap-style:square;v-text-anchor:top" coordsize="571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" path="m56789,75717l,75717,,,56789,r,75717xe" fillcolor="#0000c0" stroked="f">
                  <v:path arrowok="t"/>
                </v:shape>
                <v:shape id="Graphic 1951" o:spid="_x0000_s1029" style="position:absolute;left:40;top:1189;width:9658;height:13;visibility:visible;mso-wrap-style:square;v-text-anchor:top" coordsize="965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" path="m,l965409,e" filled="f" strokeweight=".30044mm">
                  <v:path arrowok="t"/>
                </v:shape>
                <v:shape id="Graphic 1952" o:spid="_x0000_s1030" style="position:absolute;left:40;top:757;width:13;height:870;visibility:visible;mso-wrap-style:square;v-text-anchor:top" coordsize="127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" path="m,l,86535e" filled="f" strokeweight=".22533mm">
                  <v:path arrowok="t"/>
                </v:shape>
                <v:shape id="Graphic 1953" o:spid="_x0000_s1031" style="position:absolute;left:1971;top:757;width:13;height:870;visibility:visible;mso-wrap-style:square;v-text-anchor:top" coordsize="127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" path="m,l,86535e" filled="f" strokeweight=".22533mm">
                  <v:path arrowok="t"/>
                </v:shape>
                <v:shape id="Graphic 1954" o:spid="_x0000_s1032" style="position:absolute;left:3902;top:757;width:12;height:870;visibility:visible;mso-wrap-style:square;v-text-anchor:top" coordsize="127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" path="m,l,86535e" filled="f" strokeweight=".22533mm">
                  <v:path arrowok="t"/>
                </v:shape>
                <v:shape id="Graphic 1955" o:spid="_x0000_s1033" style="position:absolute;left:5828;top:757;width:13;height:870;visibility:visible;mso-wrap-style:square;v-text-anchor:top" coordsize="127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" path="m,l,86535e" filled="f" strokeweight=".22533mm">
                  <v:path arrowok="t"/>
                </v:shape>
                <v:shape id="Graphic 1956" o:spid="_x0000_s1034" style="position:absolute;left:7763;top:757;width:13;height:870;visibility:visible;mso-wrap-style:square;v-text-anchor:top" coordsize="127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" path="m,l,86535e" filled="f" strokeweight=".22533mm">
                  <v:path arrowok="t"/>
                </v:shape>
                <v:shape id="Graphic 1957" o:spid="_x0000_s1035" style="position:absolute;left:9694;top:757;width:13;height:870;visibility:visible;mso-wrap-style:square;v-text-anchor:top" coordsize="127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" path="m,l,86535e" filled="f" strokeweight=".22533mm">
                  <v:path arrowok="t"/>
                </v:shape>
                <w10:wrap type="topAndBottom" anchorx="page"/>
              </v:group>
            </w:pict>
          </mc:Fallback>
        </mc:AlternateContent>
      </w:r>
    </w:p>
    <w:p w14:paraId="00E2C8C6" w14:textId="77777777" w:rsidR="00E05B98" w:rsidRPr="003C6DAE" w:rsidRDefault="00E05B98">
      <w:pPr>
        <w:pStyle w:val="a3"/>
        <w:spacing w:before="1"/>
        <w:rPr>
          <w:rFonts w:ascii="Trebuchet MS"/>
          <w:sz w:val="11"/>
          <w:lang w:val="uk-UA"/>
        </w:rPr>
      </w:pPr>
    </w:p>
    <w:p w14:paraId="173D0310" w14:textId="77777777" w:rsidR="00E05B98" w:rsidRPr="003C6DAE" w:rsidRDefault="00B01E0C">
      <w:pPr>
        <w:spacing w:before="1"/>
        <w:ind w:left="107"/>
        <w:rPr>
          <w:rFonts w:ascii="Trebuchet MS"/>
          <w:sz w:val="20"/>
          <w:lang w:val="uk-UA"/>
        </w:rPr>
      </w:pPr>
      <w:r w:rsidRPr="003C6DAE">
        <w:rPr>
          <w:rFonts w:ascii="Trebuchet MS"/>
          <w:w w:val="75"/>
          <w:sz w:val="20"/>
          <w:lang w:val="uk-UA"/>
        </w:rPr>
        <w:t>0</w:t>
      </w:r>
      <w:r w:rsidRPr="003C6DAE">
        <w:rPr>
          <w:rFonts w:ascii="Trebuchet MS"/>
          <w:spacing w:val="48"/>
          <w:sz w:val="20"/>
          <w:lang w:val="uk-UA"/>
        </w:rPr>
        <w:t xml:space="preserve"> </w:t>
      </w:r>
      <w:r w:rsidRPr="003C6DAE">
        <w:rPr>
          <w:rFonts w:ascii="Trebuchet MS"/>
          <w:w w:val="75"/>
          <w:sz w:val="20"/>
          <w:lang w:val="uk-UA"/>
        </w:rPr>
        <w:t>0.2</w:t>
      </w:r>
      <w:r w:rsidRPr="003C6DAE">
        <w:rPr>
          <w:rFonts w:ascii="Trebuchet MS"/>
          <w:spacing w:val="30"/>
          <w:sz w:val="20"/>
          <w:lang w:val="uk-UA"/>
        </w:rPr>
        <w:t xml:space="preserve"> </w:t>
      </w:r>
      <w:r w:rsidRPr="003C6DAE">
        <w:rPr>
          <w:rFonts w:ascii="Trebuchet MS"/>
          <w:w w:val="75"/>
          <w:sz w:val="20"/>
          <w:lang w:val="uk-UA"/>
        </w:rPr>
        <w:t>0.4</w:t>
      </w:r>
      <w:r w:rsidRPr="003C6DAE">
        <w:rPr>
          <w:rFonts w:ascii="Trebuchet MS"/>
          <w:spacing w:val="29"/>
          <w:sz w:val="20"/>
          <w:lang w:val="uk-UA"/>
        </w:rPr>
        <w:t xml:space="preserve"> </w:t>
      </w:r>
      <w:r w:rsidRPr="003C6DAE">
        <w:rPr>
          <w:rFonts w:ascii="Trebuchet MS"/>
          <w:w w:val="75"/>
          <w:sz w:val="20"/>
          <w:lang w:val="uk-UA"/>
        </w:rPr>
        <w:t>0.6</w:t>
      </w:r>
      <w:r w:rsidRPr="003C6DAE">
        <w:rPr>
          <w:rFonts w:ascii="Trebuchet MS"/>
          <w:spacing w:val="30"/>
          <w:sz w:val="20"/>
          <w:lang w:val="uk-UA"/>
        </w:rPr>
        <w:t xml:space="preserve"> </w:t>
      </w:r>
      <w:r w:rsidRPr="003C6DAE">
        <w:rPr>
          <w:rFonts w:ascii="Trebuchet MS"/>
          <w:w w:val="75"/>
          <w:sz w:val="20"/>
          <w:lang w:val="uk-UA"/>
        </w:rPr>
        <w:t>0.8</w:t>
      </w:r>
      <w:r w:rsidRPr="003C6DAE">
        <w:rPr>
          <w:rFonts w:ascii="Trebuchet MS"/>
          <w:spacing w:val="49"/>
          <w:sz w:val="20"/>
          <w:lang w:val="uk-UA"/>
        </w:rPr>
        <w:t xml:space="preserve"> </w:t>
      </w:r>
      <w:r w:rsidRPr="003C6DAE">
        <w:rPr>
          <w:rFonts w:ascii="Trebuchet MS"/>
          <w:spacing w:val="-10"/>
          <w:w w:val="75"/>
          <w:sz w:val="20"/>
          <w:lang w:val="uk-UA"/>
        </w:rPr>
        <w:t>1</w:t>
      </w:r>
    </w:p>
    <w:p w14:paraId="1AAB39F5" w14:textId="77777777" w:rsidR="00E05B98" w:rsidRPr="003C6DAE" w:rsidRDefault="00E05B98">
      <w:pPr>
        <w:rPr>
          <w:rFonts w:ascii="Trebuchet MS"/>
          <w:sz w:val="20"/>
          <w:lang w:val="uk-UA"/>
        </w:rPr>
        <w:sectPr w:rsidR="00E05B98" w:rsidRPr="003C6DAE">
          <w:type w:val="continuous"/>
          <w:pgSz w:w="11910" w:h="16840"/>
          <w:pgMar w:top="1920" w:right="1275" w:bottom="280" w:left="850" w:header="0" w:footer="573" w:gutter="0"/>
          <w:cols w:num="7" w:space="720" w:equalWidth="0">
            <w:col w:w="1719" w:space="40"/>
            <w:col w:w="741" w:space="39"/>
            <w:col w:w="668" w:space="39"/>
            <w:col w:w="1520" w:space="39"/>
            <w:col w:w="1481" w:space="31"/>
            <w:col w:w="1514" w:space="39"/>
            <w:col w:w="1915"/>
          </w:cols>
        </w:sectPr>
      </w:pPr>
    </w:p>
    <w:p w14:paraId="354EB105" w14:textId="4451C37C" w:rsidR="00E05B98" w:rsidRPr="00A04BC3" w:rsidRDefault="001740F6" w:rsidP="001740F6">
      <w:pPr>
        <w:spacing w:before="1" w:line="254" w:lineRule="auto"/>
        <w:ind w:left="567" w:right="-138"/>
        <w:jc w:val="both"/>
        <w:rPr>
          <w:sz w:val="15"/>
          <w:szCs w:val="15"/>
          <w:lang w:val="uk-UA"/>
        </w:rPr>
      </w:pPr>
      <w:r w:rsidRPr="00A04BC3">
        <w:rPr>
          <w:sz w:val="15"/>
          <w:szCs w:val="15"/>
          <w:lang w:val="uk-UA"/>
        </w:rPr>
        <w:t>ДІ: довірчий інтервал; FN; хибнонегативний результат; FP: хибнопозитивний результат; рТАНК-НС: ручний тест ампліфікаці</w:t>
      </w:r>
      <w:r w:rsidR="009A74A4">
        <w:rPr>
          <w:sz w:val="15"/>
          <w:szCs w:val="15"/>
          <w:lang w:val="uk-UA"/>
        </w:rPr>
        <w:t>ї</w:t>
      </w:r>
      <w:r w:rsidRPr="00A04BC3">
        <w:rPr>
          <w:sz w:val="15"/>
          <w:szCs w:val="15"/>
          <w:lang w:val="uk-UA"/>
        </w:rPr>
        <w:t xml:space="preserve"> нуклеїнових кислот низ</w:t>
      </w:r>
      <w:r w:rsidR="009A74A4">
        <w:rPr>
          <w:sz w:val="15"/>
          <w:szCs w:val="15"/>
          <w:lang w:val="uk-UA"/>
        </w:rPr>
        <w:t>ь</w:t>
      </w:r>
      <w:r w:rsidRPr="00A04BC3">
        <w:rPr>
          <w:sz w:val="15"/>
          <w:szCs w:val="15"/>
          <w:lang w:val="uk-UA"/>
        </w:rPr>
        <w:t>кої складності; MRS: мікробіологічний еталонний стандарт; ТБ: туберкульоз; TB-LAMP: молекулярний аналіз</w:t>
      </w:r>
      <w:r w:rsidR="009A74A4">
        <w:rPr>
          <w:sz w:val="15"/>
          <w:szCs w:val="15"/>
          <w:lang w:val="uk-UA"/>
        </w:rPr>
        <w:t xml:space="preserve"> методом </w:t>
      </w:r>
      <w:r w:rsidRPr="00A04BC3">
        <w:rPr>
          <w:sz w:val="15"/>
          <w:szCs w:val="15"/>
          <w:lang w:val="uk-UA"/>
        </w:rPr>
        <w:t>петльової ізотермічної ампліфікації</w:t>
      </w:r>
      <w:r w:rsidR="009A74A4">
        <w:rPr>
          <w:sz w:val="15"/>
          <w:szCs w:val="15"/>
          <w:lang w:val="uk-UA"/>
        </w:rPr>
        <w:t xml:space="preserve"> </w:t>
      </w:r>
      <w:r w:rsidR="009A74A4" w:rsidRPr="00A04BC3">
        <w:rPr>
          <w:sz w:val="15"/>
          <w:szCs w:val="15"/>
          <w:lang w:val="uk-UA"/>
        </w:rPr>
        <w:t>для виявлення ТБ</w:t>
      </w:r>
      <w:r w:rsidRPr="00A04BC3">
        <w:rPr>
          <w:sz w:val="15"/>
          <w:szCs w:val="15"/>
          <w:lang w:val="uk-UA"/>
        </w:rPr>
        <w:t>;  TN: істинно негативний результат; TP: істинно позитивний результат.</w:t>
      </w:r>
    </w:p>
    <w:p w14:paraId="26E9E562" w14:textId="77777777" w:rsidR="00E05B98" w:rsidRPr="00A04BC3" w:rsidRDefault="00E05B98">
      <w:pPr>
        <w:pStyle w:val="a3"/>
        <w:spacing w:before="149"/>
        <w:rPr>
          <w:sz w:val="10"/>
          <w:szCs w:val="10"/>
          <w:lang w:val="uk-UA"/>
        </w:rPr>
      </w:pPr>
    </w:p>
    <w:p w14:paraId="7611AEE6" w14:textId="591052B9" w:rsidR="00E05B98" w:rsidRPr="001740F6" w:rsidRDefault="00A04BC3">
      <w:pPr>
        <w:pStyle w:val="7"/>
        <w:spacing w:line="249" w:lineRule="auto"/>
        <w:ind w:right="142"/>
        <w:jc w:val="both"/>
        <w:rPr>
          <w:rFonts w:ascii="Microsoft Sans Serif" w:hAnsi="Microsoft Sans Serif" w:cs="Microsoft Sans Serif"/>
          <w:sz w:val="22"/>
          <w:szCs w:val="22"/>
          <w:lang w:val="uk-UA"/>
        </w:rPr>
      </w:pPr>
      <w:r w:rsidRPr="00A04BC3">
        <w:rPr>
          <w:rFonts w:ascii="Microsoft Sans Serif" w:hAnsi="Microsoft Sans Serif" w:cs="Microsoft Sans Serif"/>
          <w:color w:val="019648"/>
          <w:spacing w:val="-2"/>
          <w:w w:val="105"/>
          <w:sz w:val="22"/>
          <w:szCs w:val="22"/>
          <w:lang w:val="uk-UA"/>
        </w:rPr>
        <w:t xml:space="preserve">Чи слід використовувати рТАНК-НС на зразках синовіальної рідини для діагностики ТБ кісток або суглобів у дорослих та підлітків з ознаками та симптомами ТБ кісток або суглобів на противагу </w:t>
      </w:r>
      <w:r w:rsidR="009A74A4">
        <w:rPr>
          <w:rFonts w:ascii="Microsoft Sans Serif" w:hAnsi="Microsoft Sans Serif" w:cs="Microsoft Sans Serif"/>
          <w:color w:val="019648"/>
          <w:spacing w:val="-2"/>
          <w:w w:val="105"/>
          <w:sz w:val="22"/>
          <w:szCs w:val="22"/>
          <w:lang w:val="uk-UA"/>
        </w:rPr>
        <w:t>мікробіологічному еталонному стандарту</w:t>
      </w:r>
      <w:r w:rsidRPr="00A04BC3">
        <w:rPr>
          <w:rFonts w:ascii="Microsoft Sans Serif" w:hAnsi="Microsoft Sans Serif" w:cs="Microsoft Sans Serif"/>
          <w:color w:val="019648"/>
          <w:spacing w:val="-2"/>
          <w:w w:val="105"/>
          <w:sz w:val="22"/>
          <w:szCs w:val="22"/>
          <w:lang w:val="uk-UA"/>
        </w:rPr>
        <w:t>?</w:t>
      </w:r>
    </w:p>
    <w:p w14:paraId="1F6FA6A4" w14:textId="26999791" w:rsidR="00E05B98" w:rsidRPr="001740F6" w:rsidRDefault="00A04BC3" w:rsidP="00A04BC3">
      <w:pPr>
        <w:pStyle w:val="a3"/>
        <w:spacing w:before="216" w:line="269" w:lineRule="auto"/>
        <w:ind w:left="567"/>
        <w:jc w:val="both"/>
        <w:rPr>
          <w:sz w:val="20"/>
          <w:szCs w:val="20"/>
          <w:lang w:val="uk-UA"/>
        </w:rPr>
      </w:pPr>
      <w:r w:rsidRPr="00A04BC3">
        <w:rPr>
          <w:sz w:val="20"/>
          <w:szCs w:val="20"/>
          <w:lang w:val="uk-UA"/>
        </w:rPr>
        <w:t>В одному дослідженні (п'ять учасників, в т.ч. один випадок</w:t>
      </w:r>
      <w:r w:rsidR="00CD0B9F">
        <w:rPr>
          <w:sz w:val="20"/>
          <w:szCs w:val="20"/>
          <w:lang w:val="uk-UA"/>
        </w:rPr>
        <w:t xml:space="preserve"> ТБ</w:t>
      </w:r>
      <w:r w:rsidRPr="00A04BC3">
        <w:rPr>
          <w:sz w:val="20"/>
          <w:szCs w:val="20"/>
          <w:lang w:val="uk-UA"/>
        </w:rPr>
        <w:t>) оцінювали точність рТАНК-НС для виявлення ТБ кісток або суглобів, використовуючи синовіальну рідину та MRS (</w:t>
      </w:r>
      <w:r w:rsidRPr="00A04BC3">
        <w:rPr>
          <w:b/>
          <w:bCs/>
          <w:sz w:val="20"/>
          <w:szCs w:val="20"/>
          <w:lang w:val="uk-UA"/>
        </w:rPr>
        <w:t>Рис. 2.2.1.10</w:t>
      </w:r>
      <w:r w:rsidRPr="00A04BC3">
        <w:rPr>
          <w:sz w:val="20"/>
          <w:szCs w:val="20"/>
          <w:lang w:val="uk-UA"/>
        </w:rPr>
        <w:t xml:space="preserve">). Розрахункова чутливість та специфічність становили 100%. Через обмеженість даних не було надано рекомендації щодо використання рТАНК-НС </w:t>
      </w:r>
      <w:r w:rsidR="00064F68">
        <w:rPr>
          <w:sz w:val="20"/>
          <w:szCs w:val="20"/>
          <w:lang w:val="uk-UA"/>
        </w:rPr>
        <w:t xml:space="preserve">при дослідженні </w:t>
      </w:r>
      <w:r w:rsidRPr="00A04BC3">
        <w:rPr>
          <w:sz w:val="20"/>
          <w:szCs w:val="20"/>
          <w:lang w:val="uk-UA"/>
        </w:rPr>
        <w:t>зразків синовіальної рідини для виявлення ТБ кісток або суглобів</w:t>
      </w:r>
      <w:r w:rsidR="00B01E0C" w:rsidRPr="001740F6">
        <w:rPr>
          <w:w w:val="105"/>
          <w:sz w:val="20"/>
          <w:szCs w:val="20"/>
          <w:lang w:val="uk-UA"/>
        </w:rPr>
        <w:t>.</w:t>
      </w:r>
    </w:p>
    <w:p w14:paraId="1958A970" w14:textId="77777777" w:rsidR="00E05B98" w:rsidRPr="001740F6" w:rsidRDefault="00E05B98" w:rsidP="001740F6">
      <w:pPr>
        <w:pStyle w:val="a3"/>
        <w:spacing w:line="269" w:lineRule="auto"/>
        <w:jc w:val="both"/>
        <w:rPr>
          <w:sz w:val="20"/>
          <w:szCs w:val="20"/>
          <w:lang w:val="uk-UA"/>
        </w:rPr>
        <w:sectPr w:rsidR="00E05B98" w:rsidRPr="001740F6" w:rsidSect="00A04BC3">
          <w:type w:val="continuous"/>
          <w:pgSz w:w="11910" w:h="16840"/>
          <w:pgMar w:top="1920" w:right="995" w:bottom="280" w:left="850" w:header="0" w:footer="573" w:gutter="0"/>
          <w:cols w:space="720"/>
        </w:sectPr>
      </w:pPr>
    </w:p>
    <w:p w14:paraId="7968E894" w14:textId="149CF4B0" w:rsidR="00E05B98" w:rsidRPr="001740F6" w:rsidRDefault="00A04BC3" w:rsidP="001740F6">
      <w:pPr>
        <w:pStyle w:val="6"/>
        <w:spacing w:line="269" w:lineRule="auto"/>
        <w:rPr>
          <w:rFonts w:ascii="Microsoft Sans Serif" w:hAnsi="Microsoft Sans Serif" w:cs="Microsoft Sans Serif"/>
          <w:sz w:val="20"/>
          <w:szCs w:val="20"/>
          <w:lang w:val="uk-UA"/>
        </w:rPr>
      </w:pPr>
      <w:bookmarkStart w:id="52" w:name="_bookmark21"/>
      <w:bookmarkEnd w:id="52"/>
      <w:r>
        <w:rPr>
          <w:rFonts w:ascii="Microsoft Sans Serif" w:hAnsi="Microsoft Sans Serif" w:cs="Microsoft Sans Serif"/>
          <w:color w:val="636466"/>
          <w:sz w:val="20"/>
          <w:szCs w:val="20"/>
          <w:lang w:val="uk-UA"/>
        </w:rPr>
        <w:lastRenderedPageBreak/>
        <w:t>Рис</w:t>
      </w:r>
      <w:r w:rsidR="00B01E0C" w:rsidRPr="001740F6">
        <w:rPr>
          <w:rFonts w:ascii="Microsoft Sans Serif" w:hAnsi="Microsoft Sans Serif" w:cs="Microsoft Sans Serif"/>
          <w:color w:val="636466"/>
          <w:sz w:val="20"/>
          <w:szCs w:val="20"/>
          <w:lang w:val="uk-UA"/>
        </w:rPr>
        <w:t>.</w:t>
      </w:r>
      <w:r w:rsidR="00B01E0C" w:rsidRPr="001740F6">
        <w:rPr>
          <w:rFonts w:ascii="Microsoft Sans Serif" w:hAnsi="Microsoft Sans Serif" w:cs="Microsoft Sans Serif"/>
          <w:color w:val="636466"/>
          <w:spacing w:val="-6"/>
          <w:sz w:val="20"/>
          <w:szCs w:val="20"/>
          <w:lang w:val="uk-UA"/>
        </w:rPr>
        <w:t xml:space="preserve"> </w:t>
      </w:r>
      <w:r w:rsidR="00B01E0C" w:rsidRPr="001740F6">
        <w:rPr>
          <w:rFonts w:ascii="Microsoft Sans Serif" w:hAnsi="Microsoft Sans Serif" w:cs="Microsoft Sans Serif"/>
          <w:color w:val="636466"/>
          <w:sz w:val="20"/>
          <w:szCs w:val="20"/>
          <w:lang w:val="uk-UA"/>
        </w:rPr>
        <w:t>2.2.1.10</w:t>
      </w:r>
      <w:r w:rsidR="00B01E0C" w:rsidRPr="001740F6">
        <w:rPr>
          <w:rFonts w:ascii="Microsoft Sans Serif" w:hAnsi="Microsoft Sans Serif" w:cs="Microsoft Sans Serif"/>
          <w:color w:val="636466"/>
          <w:spacing w:val="-6"/>
          <w:sz w:val="20"/>
          <w:szCs w:val="20"/>
          <w:lang w:val="uk-UA"/>
        </w:rPr>
        <w:t xml:space="preserve"> </w:t>
      </w:r>
      <w:r>
        <w:rPr>
          <w:rFonts w:ascii="Microsoft Sans Serif" w:hAnsi="Microsoft Sans Serif" w:cs="Microsoft Sans Serif"/>
          <w:color w:val="636466"/>
          <w:spacing w:val="-6"/>
          <w:sz w:val="20"/>
          <w:szCs w:val="20"/>
          <w:lang w:val="uk-UA"/>
        </w:rPr>
        <w:t xml:space="preserve"> </w:t>
      </w:r>
      <w:r w:rsidR="007033BB" w:rsidRPr="007033BB">
        <w:rPr>
          <w:rFonts w:ascii="Microsoft Sans Serif" w:hAnsi="Microsoft Sans Serif" w:cs="Microsoft Sans Serif"/>
          <w:color w:val="636466"/>
          <w:sz w:val="20"/>
          <w:szCs w:val="20"/>
          <w:lang w:val="uk-UA"/>
        </w:rPr>
        <w:t>Лісова діаграма чутливості та специфічності рТАНК-НС для виявлення ТБ кісток або суглобів у синовіальній рідині та MRS</w:t>
      </w:r>
    </w:p>
    <w:p w14:paraId="48AF6D20" w14:textId="6215E5A5" w:rsidR="00E05B98" w:rsidRPr="003C6DAE" w:rsidRDefault="00A04BC3">
      <w:pPr>
        <w:pStyle w:val="a3"/>
        <w:spacing w:before="10"/>
        <w:rPr>
          <w:rFonts w:ascii="Arial"/>
          <w:b/>
          <w:sz w:val="12"/>
          <w:lang w:val="uk-UA"/>
        </w:rPr>
      </w:pPr>
      <w:r w:rsidRPr="003C6DAE">
        <w:rPr>
          <w:rFonts w:ascii="Arial"/>
          <w:b/>
          <w:noProof/>
          <w:sz w:val="24"/>
          <w:lang w:val="uk-UA"/>
        </w:rPr>
        <mc:AlternateContent>
          <mc:Choice Requires="wps">
            <w:drawing>
              <wp:anchor distT="0" distB="0" distL="114300" distR="114300" simplePos="0" relativeHeight="488126976" behindDoc="0" locked="0" layoutInCell="1" allowOverlap="1" wp14:anchorId="6E0FC726" wp14:editId="1941187B">
                <wp:simplePos x="0" y="0"/>
                <wp:positionH relativeFrom="margin">
                  <wp:posOffset>198107</wp:posOffset>
                </wp:positionH>
                <wp:positionV relativeFrom="paragraph">
                  <wp:posOffset>91710</wp:posOffset>
                </wp:positionV>
                <wp:extent cx="6073989" cy="217284"/>
                <wp:effectExtent l="0" t="0" r="3175" b="0"/>
                <wp:wrapNone/>
                <wp:docPr id="1236153104" name="Поле 1236153104"/>
                <wp:cNvGraphicFramePr/>
                <a:graphic xmlns:a="http://schemas.openxmlformats.org/drawingml/2006/main">
                  <a:graphicData uri="http://schemas.microsoft.com/office/word/2010/wordprocessingShape">
                    <wps:wsp>
                      <wps:cNvSpPr txBox="1"/>
                      <wps:spPr>
                        <a:xfrm>
                          <a:off x="0" y="0"/>
                          <a:ext cx="6073989" cy="217284"/>
                        </a:xfrm>
                        <a:prstGeom prst="rect">
                          <a:avLst/>
                        </a:prstGeom>
                        <a:solidFill>
                          <a:schemeClr val="bg1"/>
                        </a:solidFill>
                        <a:ln w="6350">
                          <a:noFill/>
                        </a:ln>
                      </wps:spPr>
                      <wps:txbx>
                        <w:txbxContent>
                          <w:p w14:paraId="0711D35F" w14:textId="0EF57001" w:rsidR="007372B2" w:rsidRPr="007033BB" w:rsidRDefault="007372B2" w:rsidP="00F925DD">
                            <w:pPr>
                              <w:ind w:left="2160" w:hanging="2018"/>
                              <w:rPr>
                                <w:rFonts w:asciiTheme="minorHAnsi" w:hAnsiTheme="minorHAnsi" w:cstheme="minorHAnsi"/>
                                <w:b/>
                                <w:sz w:val="16"/>
                                <w:szCs w:val="16"/>
                                <w:lang w:val="uk-UA"/>
                              </w:rPr>
                            </w:pPr>
                            <w:r w:rsidRPr="007033BB">
                              <w:rPr>
                                <w:rFonts w:asciiTheme="minorHAnsi" w:hAnsiTheme="minorHAnsi" w:cstheme="minorHAnsi"/>
                                <w:b/>
                                <w:sz w:val="16"/>
                                <w:szCs w:val="16"/>
                                <w:lang w:val="uk-UA"/>
                              </w:rPr>
                              <w:t xml:space="preserve">Дослідження              </w:t>
                            </w:r>
                            <w:r w:rsidRPr="007033BB">
                              <w:rPr>
                                <w:rFonts w:asciiTheme="minorHAnsi" w:hAnsiTheme="minorHAnsi" w:cstheme="minorHAnsi"/>
                                <w:b/>
                                <w:sz w:val="16"/>
                                <w:szCs w:val="16"/>
                              </w:rPr>
                              <w:t xml:space="preserve">TP     FP   FN   </w:t>
                            </w:r>
                            <w:r w:rsidRPr="007033BB">
                              <w:rPr>
                                <w:rFonts w:asciiTheme="minorHAnsi" w:hAnsiTheme="minorHAnsi" w:cstheme="minorHAnsi"/>
                                <w:b/>
                                <w:sz w:val="16"/>
                                <w:szCs w:val="16"/>
                                <w:lang w:val="uk-UA"/>
                              </w:rPr>
                              <w:t xml:space="preserve"> </w:t>
                            </w:r>
                            <w:r w:rsidRPr="007033BB">
                              <w:rPr>
                                <w:rFonts w:asciiTheme="minorHAnsi" w:hAnsiTheme="minorHAnsi" w:cstheme="minorHAnsi"/>
                                <w:b/>
                                <w:sz w:val="16"/>
                                <w:szCs w:val="16"/>
                              </w:rPr>
                              <w:t xml:space="preserve">TN     </w:t>
                            </w:r>
                            <w:r w:rsidRPr="007033BB">
                              <w:rPr>
                                <w:rFonts w:asciiTheme="minorHAnsi" w:hAnsiTheme="minorHAnsi" w:cstheme="minorHAnsi"/>
                                <w:b/>
                                <w:sz w:val="16"/>
                                <w:szCs w:val="16"/>
                                <w:lang w:val="uk-UA"/>
                              </w:rPr>
                              <w:t>Чутливість (95% ДІ)    Специфічність (95% ДІ)  Чутливість (95% ДІ)    Специфічність (95% ДІ)</w:t>
                            </w:r>
                            <w:r w:rsidRPr="007033BB">
                              <w:rPr>
                                <w:rFonts w:asciiTheme="minorHAnsi" w:hAnsiTheme="minorHAnsi" w:cstheme="minorHAnsi"/>
                                <w:b/>
                                <w:sz w:val="16"/>
                                <w:szCs w:val="16"/>
                              </w:rPr>
                              <w:t xml:space="preserve">          </w:t>
                            </w:r>
                            <w:r w:rsidRPr="007033BB">
                              <w:rPr>
                                <w:rFonts w:asciiTheme="minorHAnsi" w:hAnsiTheme="minorHAnsi" w:cstheme="minorHAnsi"/>
                                <w:b/>
                                <w:sz w:val="16"/>
                                <w:szCs w:val="16"/>
                                <w:lang w:val="uk-UA"/>
                              </w:rPr>
                              <w:t xml:space="preserve">                     </w:t>
                            </w:r>
                          </w:p>
                          <w:p w14:paraId="51E69736"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FC726" id="Поле 1236153104" o:spid="_x0000_s1113" type="#_x0000_t202" style="position:absolute;margin-left:15.6pt;margin-top:7.2pt;width:478.25pt;height:17.1pt;z-index:48812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" fillcolor="white [3212]" stroked="f" strokeweight=".5pt">
                <v:textbox>
                  <w:txbxContent>
                    <w:p w14:paraId="0711D35F" w14:textId="0EF57001" w:rsidR="007372B2" w:rsidRPr="007033BB" w:rsidRDefault="007372B2" w:rsidP="00F925DD">
                      <w:pPr>
                        <w:ind w:left="2160" w:hanging="2018"/>
                        <w:rPr>
                          <w:rFonts w:asciiTheme="minorHAnsi" w:hAnsiTheme="minorHAnsi" w:cstheme="minorHAnsi"/>
                          <w:b/>
                          <w:sz w:val="16"/>
                          <w:szCs w:val="16"/>
                          <w:lang w:val="uk-UA"/>
                        </w:rPr>
                      </w:pPr>
                      <w:r w:rsidRPr="007033BB">
                        <w:rPr>
                          <w:rFonts w:asciiTheme="minorHAnsi" w:hAnsiTheme="minorHAnsi" w:cstheme="minorHAnsi"/>
                          <w:b/>
                          <w:sz w:val="16"/>
                          <w:szCs w:val="16"/>
                          <w:lang w:val="uk-UA"/>
                        </w:rPr>
                        <w:t xml:space="preserve">Дослідження              </w:t>
                      </w:r>
                      <w:r w:rsidRPr="007033BB">
                        <w:rPr>
                          <w:rFonts w:asciiTheme="minorHAnsi" w:hAnsiTheme="minorHAnsi" w:cstheme="minorHAnsi"/>
                          <w:b/>
                          <w:sz w:val="16"/>
                          <w:szCs w:val="16"/>
                        </w:rPr>
                        <w:t xml:space="preserve">TP     FP   FN   </w:t>
                      </w:r>
                      <w:r w:rsidRPr="007033BB">
                        <w:rPr>
                          <w:rFonts w:asciiTheme="minorHAnsi" w:hAnsiTheme="minorHAnsi" w:cstheme="minorHAnsi"/>
                          <w:b/>
                          <w:sz w:val="16"/>
                          <w:szCs w:val="16"/>
                          <w:lang w:val="uk-UA"/>
                        </w:rPr>
                        <w:t xml:space="preserve"> </w:t>
                      </w:r>
                      <w:r w:rsidRPr="007033BB">
                        <w:rPr>
                          <w:rFonts w:asciiTheme="minorHAnsi" w:hAnsiTheme="minorHAnsi" w:cstheme="minorHAnsi"/>
                          <w:b/>
                          <w:sz w:val="16"/>
                          <w:szCs w:val="16"/>
                        </w:rPr>
                        <w:t xml:space="preserve">TN     </w:t>
                      </w:r>
                      <w:r w:rsidRPr="007033BB">
                        <w:rPr>
                          <w:rFonts w:asciiTheme="minorHAnsi" w:hAnsiTheme="minorHAnsi" w:cstheme="minorHAnsi"/>
                          <w:b/>
                          <w:sz w:val="16"/>
                          <w:szCs w:val="16"/>
                          <w:lang w:val="uk-UA"/>
                        </w:rPr>
                        <w:t>Чутливість (95% ДІ)    Специфічність (95% ДІ)  Чутливість (95% ДІ)    Специфічність (95% ДІ)</w:t>
                      </w:r>
                      <w:r w:rsidRPr="007033BB">
                        <w:rPr>
                          <w:rFonts w:asciiTheme="minorHAnsi" w:hAnsiTheme="minorHAnsi" w:cstheme="minorHAnsi"/>
                          <w:b/>
                          <w:sz w:val="16"/>
                          <w:szCs w:val="16"/>
                        </w:rPr>
                        <w:t xml:space="preserve">          </w:t>
                      </w:r>
                      <w:r w:rsidRPr="007033BB">
                        <w:rPr>
                          <w:rFonts w:asciiTheme="minorHAnsi" w:hAnsiTheme="minorHAnsi" w:cstheme="minorHAnsi"/>
                          <w:b/>
                          <w:sz w:val="16"/>
                          <w:szCs w:val="16"/>
                          <w:lang w:val="uk-UA"/>
                        </w:rPr>
                        <w:t xml:space="preserve">                     </w:t>
                      </w:r>
                    </w:p>
                    <w:p w14:paraId="51E69736"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v:textbox>
                <w10:wrap anchorx="margin"/>
              </v:shape>
            </w:pict>
          </mc:Fallback>
        </mc:AlternateContent>
      </w:r>
    </w:p>
    <w:p w14:paraId="0CFA4C1B" w14:textId="77777777" w:rsidR="00E05B98" w:rsidRPr="003C6DAE" w:rsidRDefault="00E05B98">
      <w:pPr>
        <w:pStyle w:val="a3"/>
        <w:rPr>
          <w:rFonts w:ascii="Arial"/>
          <w:b/>
          <w:sz w:val="12"/>
          <w:lang w:val="uk-UA"/>
        </w:rPr>
        <w:sectPr w:rsidR="00E05B98" w:rsidRPr="003C6DAE">
          <w:pgSz w:w="11910" w:h="16840"/>
          <w:pgMar w:top="1320" w:right="1275" w:bottom="760" w:left="850" w:header="0" w:footer="573" w:gutter="0"/>
          <w:cols w:space="720"/>
        </w:sectPr>
      </w:pPr>
    </w:p>
    <w:p w14:paraId="7946555D" w14:textId="1D65B678" w:rsidR="00E05B98" w:rsidRPr="003C6DAE" w:rsidRDefault="00B01E0C">
      <w:pPr>
        <w:spacing w:before="109"/>
        <w:ind w:left="696"/>
        <w:rPr>
          <w:rFonts w:ascii="Trebuchet MS"/>
          <w:sz w:val="20"/>
          <w:lang w:val="uk-UA"/>
        </w:rPr>
      </w:pPr>
      <w:r w:rsidRPr="003C6DAE">
        <w:rPr>
          <w:rFonts w:ascii="Trebuchet MS"/>
          <w:color w:val="333333"/>
          <w:w w:val="75"/>
          <w:sz w:val="20"/>
          <w:lang w:val="uk-UA"/>
        </w:rPr>
        <w:t>S</w:t>
      </w:r>
      <w:r w:rsidRPr="003C6DAE">
        <w:rPr>
          <w:rFonts w:ascii="Trebuchet MS"/>
          <w:color w:val="333333"/>
          <w:spacing w:val="-16"/>
          <w:w w:val="75"/>
          <w:sz w:val="20"/>
          <w:lang w:val="uk-UA"/>
        </w:rPr>
        <w:t xml:space="preserve"> </w:t>
      </w:r>
      <w:proofErr w:type="spellStart"/>
      <w:r w:rsidRPr="003C6DAE">
        <w:rPr>
          <w:rFonts w:ascii="Trebuchet MS"/>
          <w:color w:val="333333"/>
          <w:spacing w:val="-4"/>
          <w:w w:val="85"/>
          <w:sz w:val="20"/>
          <w:lang w:val="uk-UA"/>
        </w:rPr>
        <w:t>tudy</w:t>
      </w:r>
      <w:proofErr w:type="spellEnd"/>
    </w:p>
    <w:p w14:paraId="1A45BB69" w14:textId="77777777" w:rsidR="00E05B98" w:rsidRPr="003C6DAE" w:rsidRDefault="00B01E0C">
      <w:pPr>
        <w:spacing w:before="109"/>
        <w:ind w:left="696"/>
        <w:rPr>
          <w:rFonts w:ascii="Trebuchet MS"/>
          <w:sz w:val="20"/>
          <w:lang w:val="uk-UA"/>
        </w:rPr>
      </w:pPr>
      <w:r w:rsidRPr="003C6DAE">
        <w:rPr>
          <w:lang w:val="uk-UA"/>
        </w:rPr>
        <w:br w:type="column"/>
      </w:r>
      <w:r w:rsidRPr="003C6DAE">
        <w:rPr>
          <w:rFonts w:ascii="Trebuchet MS"/>
          <w:color w:val="333333"/>
          <w:w w:val="80"/>
          <w:sz w:val="20"/>
          <w:lang w:val="uk-UA"/>
        </w:rPr>
        <w:t>TP</w:t>
      </w:r>
      <w:r w:rsidRPr="003C6DAE">
        <w:rPr>
          <w:rFonts w:ascii="Trebuchet MS"/>
          <w:color w:val="333333"/>
          <w:spacing w:val="58"/>
          <w:w w:val="150"/>
          <w:sz w:val="20"/>
          <w:lang w:val="uk-UA"/>
        </w:rPr>
        <w:t xml:space="preserve"> </w:t>
      </w:r>
      <w:r w:rsidRPr="003C6DAE">
        <w:rPr>
          <w:rFonts w:ascii="Trebuchet MS"/>
          <w:color w:val="333333"/>
          <w:spacing w:val="-5"/>
          <w:w w:val="80"/>
          <w:sz w:val="20"/>
          <w:lang w:val="uk-UA"/>
        </w:rPr>
        <w:t xml:space="preserve">FP </w:t>
      </w:r>
    </w:p>
    <w:p w14:paraId="003370E8" w14:textId="77777777" w:rsidR="00E05B98" w:rsidRPr="003C6DAE" w:rsidRDefault="00B01E0C">
      <w:pPr>
        <w:spacing w:before="109"/>
        <w:ind w:left="87"/>
        <w:rPr>
          <w:rFonts w:ascii="Trebuchet MS"/>
          <w:sz w:val="20"/>
          <w:lang w:val="uk-UA"/>
        </w:rPr>
      </w:pPr>
      <w:r w:rsidRPr="003C6DAE">
        <w:rPr>
          <w:lang w:val="uk-UA"/>
        </w:rPr>
        <w:br w:type="column"/>
      </w:r>
      <w:r w:rsidRPr="003C6DAE">
        <w:rPr>
          <w:rFonts w:ascii="Trebuchet MS"/>
          <w:color w:val="333333"/>
          <w:w w:val="85"/>
          <w:sz w:val="20"/>
          <w:lang w:val="uk-UA"/>
        </w:rPr>
        <w:t>FN</w:t>
      </w:r>
      <w:r w:rsidRPr="003C6DAE">
        <w:rPr>
          <w:rFonts w:ascii="Trebuchet MS"/>
          <w:color w:val="333333"/>
          <w:spacing w:val="49"/>
          <w:sz w:val="20"/>
          <w:lang w:val="uk-UA"/>
        </w:rPr>
        <w:t xml:space="preserve"> </w:t>
      </w:r>
      <w:r w:rsidRPr="003C6DAE">
        <w:rPr>
          <w:rFonts w:ascii="Trebuchet MS"/>
          <w:color w:val="333333"/>
          <w:spacing w:val="-5"/>
          <w:w w:val="80"/>
          <w:sz w:val="20"/>
          <w:lang w:val="uk-UA"/>
        </w:rPr>
        <w:t>TN</w:t>
      </w:r>
    </w:p>
    <w:p w14:paraId="507F2BE1" w14:textId="77777777" w:rsidR="00E05B98" w:rsidRPr="003C6DAE" w:rsidRDefault="00B01E0C">
      <w:pPr>
        <w:spacing w:before="109"/>
        <w:ind w:left="120"/>
        <w:rPr>
          <w:rFonts w:ascii="Trebuchet MS"/>
          <w:sz w:val="20"/>
          <w:lang w:val="uk-UA"/>
        </w:rPr>
      </w:pPr>
      <w:r w:rsidRPr="003C6DAE">
        <w:rPr>
          <w:lang w:val="uk-UA"/>
        </w:rPr>
        <w:br w:type="column"/>
      </w:r>
      <w:r w:rsidRPr="003C6DAE">
        <w:rPr>
          <w:rFonts w:ascii="Trebuchet MS"/>
          <w:color w:val="333333"/>
          <w:w w:val="75"/>
          <w:sz w:val="20"/>
          <w:lang w:val="uk-UA"/>
        </w:rPr>
        <w:t>S</w:t>
      </w:r>
      <w:r w:rsidRPr="003C6DAE">
        <w:rPr>
          <w:rFonts w:ascii="Trebuchet MS"/>
          <w:color w:val="333333"/>
          <w:spacing w:val="-13"/>
          <w:w w:val="75"/>
          <w:sz w:val="20"/>
          <w:lang w:val="uk-UA"/>
        </w:rPr>
        <w:t xml:space="preserve"> </w:t>
      </w:r>
      <w:proofErr w:type="spellStart"/>
      <w:r w:rsidRPr="003C6DAE">
        <w:rPr>
          <w:rFonts w:ascii="Trebuchet MS"/>
          <w:color w:val="333333"/>
          <w:w w:val="75"/>
          <w:sz w:val="20"/>
          <w:lang w:val="uk-UA"/>
        </w:rPr>
        <w:t>ens</w:t>
      </w:r>
      <w:proofErr w:type="spellEnd"/>
      <w:r w:rsidRPr="003C6DAE">
        <w:rPr>
          <w:rFonts w:ascii="Trebuchet MS"/>
          <w:color w:val="333333"/>
          <w:spacing w:val="-15"/>
          <w:w w:val="75"/>
          <w:sz w:val="20"/>
          <w:lang w:val="uk-UA"/>
        </w:rPr>
        <w:t xml:space="preserve"> </w:t>
      </w:r>
      <w:proofErr w:type="spellStart"/>
      <w:r w:rsidRPr="003C6DAE">
        <w:rPr>
          <w:rFonts w:ascii="Trebuchet MS"/>
          <w:color w:val="333333"/>
          <w:w w:val="75"/>
          <w:sz w:val="20"/>
          <w:lang w:val="uk-UA"/>
        </w:rPr>
        <w:t>itivity</w:t>
      </w:r>
      <w:proofErr w:type="spellEnd"/>
      <w:r w:rsidRPr="003C6DAE">
        <w:rPr>
          <w:rFonts w:ascii="Trebuchet MS"/>
          <w:color w:val="333333"/>
          <w:spacing w:val="9"/>
          <w:sz w:val="20"/>
          <w:lang w:val="uk-UA"/>
        </w:rPr>
        <w:t xml:space="preserve"> </w:t>
      </w:r>
      <w:r w:rsidRPr="003C6DAE">
        <w:rPr>
          <w:rFonts w:ascii="Trebuchet MS"/>
          <w:color w:val="333333"/>
          <w:w w:val="75"/>
          <w:sz w:val="20"/>
          <w:lang w:val="uk-UA"/>
        </w:rPr>
        <w:t>(95%</w:t>
      </w:r>
      <w:r w:rsidRPr="003C6DAE">
        <w:rPr>
          <w:rFonts w:ascii="Trebuchet MS"/>
          <w:color w:val="333333"/>
          <w:spacing w:val="11"/>
          <w:sz w:val="20"/>
          <w:lang w:val="uk-UA"/>
        </w:rPr>
        <w:t xml:space="preserve"> </w:t>
      </w:r>
      <w:r w:rsidRPr="003C6DAE">
        <w:rPr>
          <w:rFonts w:ascii="Trebuchet MS"/>
          <w:color w:val="333333"/>
          <w:w w:val="75"/>
          <w:sz w:val="20"/>
          <w:lang w:val="uk-UA"/>
        </w:rPr>
        <w:t>C</w:t>
      </w:r>
      <w:r w:rsidRPr="003C6DAE">
        <w:rPr>
          <w:rFonts w:ascii="Trebuchet MS"/>
          <w:color w:val="333333"/>
          <w:spacing w:val="-19"/>
          <w:w w:val="75"/>
          <w:sz w:val="20"/>
          <w:lang w:val="uk-UA"/>
        </w:rPr>
        <w:t xml:space="preserve"> </w:t>
      </w:r>
      <w:r w:rsidRPr="003C6DAE">
        <w:rPr>
          <w:rFonts w:ascii="Trebuchet MS"/>
          <w:color w:val="333333"/>
          <w:spacing w:val="-5"/>
          <w:w w:val="75"/>
          <w:sz w:val="20"/>
          <w:lang w:val="uk-UA"/>
        </w:rPr>
        <w:t>I)</w:t>
      </w:r>
    </w:p>
    <w:p w14:paraId="39C3280A" w14:textId="77777777" w:rsidR="00E05B98" w:rsidRPr="003C6DAE" w:rsidRDefault="00B01E0C">
      <w:pPr>
        <w:spacing w:before="109"/>
        <w:ind w:left="81"/>
        <w:rPr>
          <w:rFonts w:ascii="Trebuchet MS"/>
          <w:sz w:val="20"/>
          <w:lang w:val="uk-UA"/>
        </w:rPr>
      </w:pPr>
      <w:r w:rsidRPr="003C6DAE">
        <w:rPr>
          <w:lang w:val="uk-UA"/>
        </w:rPr>
        <w:br w:type="column"/>
      </w:r>
      <w:r w:rsidRPr="003C6DAE">
        <w:rPr>
          <w:rFonts w:ascii="Trebuchet MS"/>
          <w:color w:val="333333"/>
          <w:w w:val="70"/>
          <w:sz w:val="20"/>
          <w:lang w:val="uk-UA"/>
        </w:rPr>
        <w:t>S</w:t>
      </w:r>
      <w:r w:rsidRPr="003C6DAE">
        <w:rPr>
          <w:rFonts w:ascii="Trebuchet MS"/>
          <w:color w:val="333333"/>
          <w:spacing w:val="-13"/>
          <w:sz w:val="20"/>
          <w:lang w:val="uk-UA"/>
        </w:rPr>
        <w:t xml:space="preserve"> </w:t>
      </w:r>
      <w:proofErr w:type="spellStart"/>
      <w:r w:rsidRPr="003C6DAE">
        <w:rPr>
          <w:rFonts w:ascii="Trebuchet MS"/>
          <w:color w:val="333333"/>
          <w:w w:val="70"/>
          <w:sz w:val="20"/>
          <w:lang w:val="uk-UA"/>
        </w:rPr>
        <w:t>pecificity</w:t>
      </w:r>
      <w:proofErr w:type="spellEnd"/>
      <w:r w:rsidRPr="003C6DAE">
        <w:rPr>
          <w:rFonts w:ascii="Trebuchet MS"/>
          <w:color w:val="333333"/>
          <w:spacing w:val="39"/>
          <w:sz w:val="20"/>
          <w:lang w:val="uk-UA"/>
        </w:rPr>
        <w:t xml:space="preserve"> </w:t>
      </w:r>
      <w:r w:rsidRPr="003C6DAE">
        <w:rPr>
          <w:rFonts w:ascii="Trebuchet MS"/>
          <w:color w:val="333333"/>
          <w:w w:val="70"/>
          <w:sz w:val="20"/>
          <w:lang w:val="uk-UA"/>
        </w:rPr>
        <w:t>(95%</w:t>
      </w:r>
      <w:r w:rsidRPr="003C6DAE">
        <w:rPr>
          <w:rFonts w:ascii="Trebuchet MS"/>
          <w:color w:val="333333"/>
          <w:spacing w:val="44"/>
          <w:sz w:val="20"/>
          <w:lang w:val="uk-UA"/>
        </w:rPr>
        <w:t xml:space="preserve"> </w:t>
      </w:r>
      <w:r w:rsidRPr="003C6DAE">
        <w:rPr>
          <w:rFonts w:ascii="Trebuchet MS"/>
          <w:color w:val="333333"/>
          <w:w w:val="70"/>
          <w:sz w:val="20"/>
          <w:lang w:val="uk-UA"/>
        </w:rPr>
        <w:t>C</w:t>
      </w:r>
      <w:r w:rsidRPr="003C6DAE">
        <w:rPr>
          <w:rFonts w:ascii="Trebuchet MS"/>
          <w:color w:val="333333"/>
          <w:spacing w:val="-4"/>
          <w:w w:val="70"/>
          <w:sz w:val="20"/>
          <w:lang w:val="uk-UA"/>
        </w:rPr>
        <w:t xml:space="preserve"> </w:t>
      </w:r>
      <w:r w:rsidRPr="003C6DAE">
        <w:rPr>
          <w:rFonts w:ascii="Trebuchet MS"/>
          <w:color w:val="333333"/>
          <w:spacing w:val="-5"/>
          <w:w w:val="70"/>
          <w:sz w:val="20"/>
          <w:lang w:val="uk-UA"/>
        </w:rPr>
        <w:t>I)</w:t>
      </w:r>
    </w:p>
    <w:p w14:paraId="0EE3CC92" w14:textId="77777777" w:rsidR="00E05B98" w:rsidRPr="003C6DAE" w:rsidRDefault="00B01E0C">
      <w:pPr>
        <w:spacing w:before="109"/>
        <w:ind w:left="68"/>
        <w:rPr>
          <w:rFonts w:ascii="Trebuchet MS"/>
          <w:sz w:val="20"/>
          <w:lang w:val="uk-UA"/>
        </w:rPr>
      </w:pPr>
      <w:r w:rsidRPr="003C6DAE">
        <w:rPr>
          <w:lang w:val="uk-UA"/>
        </w:rPr>
        <w:br w:type="column"/>
      </w:r>
      <w:r w:rsidRPr="003C6DAE">
        <w:rPr>
          <w:rFonts w:ascii="Trebuchet MS"/>
          <w:color w:val="333333"/>
          <w:w w:val="75"/>
          <w:sz w:val="20"/>
          <w:lang w:val="uk-UA"/>
        </w:rPr>
        <w:t>S</w:t>
      </w:r>
      <w:r w:rsidRPr="003C6DAE">
        <w:rPr>
          <w:rFonts w:ascii="Trebuchet MS"/>
          <w:color w:val="333333"/>
          <w:spacing w:val="-13"/>
          <w:w w:val="75"/>
          <w:sz w:val="20"/>
          <w:lang w:val="uk-UA"/>
        </w:rPr>
        <w:t xml:space="preserve"> </w:t>
      </w:r>
      <w:proofErr w:type="spellStart"/>
      <w:r w:rsidRPr="003C6DAE">
        <w:rPr>
          <w:rFonts w:ascii="Trebuchet MS"/>
          <w:color w:val="333333"/>
          <w:w w:val="75"/>
          <w:sz w:val="20"/>
          <w:lang w:val="uk-UA"/>
        </w:rPr>
        <w:t>ens</w:t>
      </w:r>
      <w:proofErr w:type="spellEnd"/>
      <w:r w:rsidRPr="003C6DAE">
        <w:rPr>
          <w:rFonts w:ascii="Trebuchet MS"/>
          <w:color w:val="333333"/>
          <w:spacing w:val="-15"/>
          <w:w w:val="75"/>
          <w:sz w:val="20"/>
          <w:lang w:val="uk-UA"/>
        </w:rPr>
        <w:t xml:space="preserve"> </w:t>
      </w:r>
      <w:proofErr w:type="spellStart"/>
      <w:r w:rsidRPr="003C6DAE">
        <w:rPr>
          <w:rFonts w:ascii="Trebuchet MS"/>
          <w:color w:val="333333"/>
          <w:w w:val="75"/>
          <w:sz w:val="20"/>
          <w:lang w:val="uk-UA"/>
        </w:rPr>
        <w:t>itivity</w:t>
      </w:r>
      <w:proofErr w:type="spellEnd"/>
      <w:r w:rsidRPr="003C6DAE">
        <w:rPr>
          <w:rFonts w:ascii="Trebuchet MS"/>
          <w:color w:val="333333"/>
          <w:spacing w:val="9"/>
          <w:sz w:val="20"/>
          <w:lang w:val="uk-UA"/>
        </w:rPr>
        <w:t xml:space="preserve"> </w:t>
      </w:r>
      <w:r w:rsidRPr="003C6DAE">
        <w:rPr>
          <w:rFonts w:ascii="Trebuchet MS"/>
          <w:color w:val="333333"/>
          <w:w w:val="75"/>
          <w:sz w:val="20"/>
          <w:lang w:val="uk-UA"/>
        </w:rPr>
        <w:t>(95%</w:t>
      </w:r>
      <w:r w:rsidRPr="003C6DAE">
        <w:rPr>
          <w:rFonts w:ascii="Trebuchet MS"/>
          <w:color w:val="333333"/>
          <w:spacing w:val="11"/>
          <w:sz w:val="20"/>
          <w:lang w:val="uk-UA"/>
        </w:rPr>
        <w:t xml:space="preserve"> </w:t>
      </w:r>
      <w:r w:rsidRPr="003C6DAE">
        <w:rPr>
          <w:rFonts w:ascii="Trebuchet MS"/>
          <w:color w:val="333333"/>
          <w:w w:val="75"/>
          <w:sz w:val="20"/>
          <w:lang w:val="uk-UA"/>
        </w:rPr>
        <w:t>C</w:t>
      </w:r>
      <w:r w:rsidRPr="003C6DAE">
        <w:rPr>
          <w:rFonts w:ascii="Trebuchet MS"/>
          <w:color w:val="333333"/>
          <w:spacing w:val="-19"/>
          <w:w w:val="75"/>
          <w:sz w:val="20"/>
          <w:lang w:val="uk-UA"/>
        </w:rPr>
        <w:t xml:space="preserve"> </w:t>
      </w:r>
      <w:r w:rsidRPr="003C6DAE">
        <w:rPr>
          <w:rFonts w:ascii="Trebuchet MS"/>
          <w:color w:val="333333"/>
          <w:spacing w:val="-5"/>
          <w:w w:val="75"/>
          <w:sz w:val="20"/>
          <w:lang w:val="uk-UA"/>
        </w:rPr>
        <w:t>I)</w:t>
      </w:r>
    </w:p>
    <w:p w14:paraId="542BB4B6" w14:textId="77777777" w:rsidR="00E05B98" w:rsidRPr="003C6DAE" w:rsidRDefault="00B01E0C">
      <w:pPr>
        <w:spacing w:before="109"/>
        <w:ind w:left="216"/>
        <w:rPr>
          <w:rFonts w:ascii="Trebuchet MS"/>
          <w:sz w:val="20"/>
          <w:lang w:val="uk-UA"/>
        </w:rPr>
      </w:pPr>
      <w:r w:rsidRPr="003C6DAE">
        <w:rPr>
          <w:lang w:val="uk-UA"/>
        </w:rPr>
        <w:br w:type="column"/>
      </w:r>
      <w:r w:rsidRPr="003C6DAE">
        <w:rPr>
          <w:rFonts w:ascii="Trebuchet MS"/>
          <w:color w:val="333333"/>
          <w:w w:val="70"/>
          <w:sz w:val="20"/>
          <w:lang w:val="uk-UA"/>
        </w:rPr>
        <w:t>S</w:t>
      </w:r>
      <w:r w:rsidRPr="003C6DAE">
        <w:rPr>
          <w:rFonts w:ascii="Trebuchet MS"/>
          <w:color w:val="333333"/>
          <w:spacing w:val="-13"/>
          <w:sz w:val="20"/>
          <w:lang w:val="uk-UA"/>
        </w:rPr>
        <w:t xml:space="preserve"> </w:t>
      </w:r>
      <w:proofErr w:type="spellStart"/>
      <w:r w:rsidRPr="003C6DAE">
        <w:rPr>
          <w:rFonts w:ascii="Trebuchet MS"/>
          <w:color w:val="333333"/>
          <w:w w:val="70"/>
          <w:sz w:val="20"/>
          <w:lang w:val="uk-UA"/>
        </w:rPr>
        <w:t>pecificity</w:t>
      </w:r>
      <w:proofErr w:type="spellEnd"/>
      <w:r w:rsidRPr="003C6DAE">
        <w:rPr>
          <w:rFonts w:ascii="Trebuchet MS"/>
          <w:color w:val="333333"/>
          <w:spacing w:val="39"/>
          <w:sz w:val="20"/>
          <w:lang w:val="uk-UA"/>
        </w:rPr>
        <w:t xml:space="preserve"> </w:t>
      </w:r>
      <w:r w:rsidRPr="003C6DAE">
        <w:rPr>
          <w:rFonts w:ascii="Trebuchet MS"/>
          <w:color w:val="333333"/>
          <w:w w:val="70"/>
          <w:sz w:val="20"/>
          <w:lang w:val="uk-UA"/>
        </w:rPr>
        <w:t>(95%</w:t>
      </w:r>
      <w:r w:rsidRPr="003C6DAE">
        <w:rPr>
          <w:rFonts w:ascii="Trebuchet MS"/>
          <w:color w:val="333333"/>
          <w:spacing w:val="44"/>
          <w:sz w:val="20"/>
          <w:lang w:val="uk-UA"/>
        </w:rPr>
        <w:t xml:space="preserve"> </w:t>
      </w:r>
      <w:r w:rsidRPr="003C6DAE">
        <w:rPr>
          <w:rFonts w:ascii="Trebuchet MS"/>
          <w:color w:val="333333"/>
          <w:w w:val="70"/>
          <w:sz w:val="20"/>
          <w:lang w:val="uk-UA"/>
        </w:rPr>
        <w:t>C</w:t>
      </w:r>
      <w:r w:rsidRPr="003C6DAE">
        <w:rPr>
          <w:rFonts w:ascii="Trebuchet MS"/>
          <w:color w:val="333333"/>
          <w:spacing w:val="-4"/>
          <w:w w:val="70"/>
          <w:sz w:val="20"/>
          <w:lang w:val="uk-UA"/>
        </w:rPr>
        <w:t xml:space="preserve"> </w:t>
      </w:r>
      <w:r w:rsidRPr="003C6DAE">
        <w:rPr>
          <w:rFonts w:ascii="Trebuchet MS"/>
          <w:color w:val="333333"/>
          <w:spacing w:val="-5"/>
          <w:w w:val="70"/>
          <w:sz w:val="20"/>
          <w:lang w:val="uk-UA"/>
        </w:rPr>
        <w:t>I)</w:t>
      </w:r>
    </w:p>
    <w:p w14:paraId="2BC08262" w14:textId="77777777" w:rsidR="00E05B98" w:rsidRPr="003C6DAE" w:rsidRDefault="00E05B98">
      <w:pPr>
        <w:rPr>
          <w:rFonts w:ascii="Trebuchet MS"/>
          <w:sz w:val="20"/>
          <w:lang w:val="uk-UA"/>
        </w:rPr>
        <w:sectPr w:rsidR="00E05B98" w:rsidRPr="003C6DAE">
          <w:type w:val="continuous"/>
          <w:pgSz w:w="11910" w:h="16840"/>
          <w:pgMar w:top="1920" w:right="1275" w:bottom="280" w:left="850" w:header="0" w:footer="573" w:gutter="0"/>
          <w:cols w:num="7" w:space="720" w:equalWidth="0">
            <w:col w:w="1152" w:space="137"/>
            <w:col w:w="1227" w:space="39"/>
            <w:col w:w="610" w:space="39"/>
            <w:col w:w="1533" w:space="39"/>
            <w:col w:w="1494" w:space="40"/>
            <w:col w:w="1481" w:space="39"/>
            <w:col w:w="1955"/>
          </w:cols>
        </w:sectPr>
      </w:pPr>
    </w:p>
    <w:p w14:paraId="1356C265" w14:textId="2AA66F18" w:rsidR="00E05B98" w:rsidRPr="003C6DAE" w:rsidRDefault="00B01E0C">
      <w:pPr>
        <w:tabs>
          <w:tab w:val="left" w:pos="2091"/>
          <w:tab w:val="left" w:pos="2414"/>
          <w:tab w:val="left" w:pos="2736"/>
          <w:tab w:val="left" w:pos="3058"/>
          <w:tab w:val="left" w:pos="3572"/>
          <w:tab w:val="left" w:pos="5119"/>
        </w:tabs>
        <w:spacing w:before="79"/>
        <w:ind w:left="696"/>
        <w:rPr>
          <w:rFonts w:ascii="Trebuchet MS"/>
          <w:position w:val="-7"/>
          <w:sz w:val="20"/>
          <w:lang w:val="uk-UA"/>
        </w:rPr>
      </w:pPr>
      <w:r w:rsidRPr="007033BB">
        <w:rPr>
          <w:rFonts w:ascii="Trebuchet MS"/>
          <w:noProof/>
          <w:position w:val="-7"/>
          <w:sz w:val="16"/>
          <w:szCs w:val="16"/>
          <w:lang w:val="uk-UA"/>
        </w:rPr>
        <mc:AlternateContent>
          <mc:Choice Requires="wpg">
            <w:drawing>
              <wp:anchor distT="0" distB="0" distL="0" distR="0" simplePos="0" relativeHeight="16040448" behindDoc="0" locked="0" layoutInCell="1" allowOverlap="1" wp14:anchorId="3E2EFCEF" wp14:editId="16DA3DBE">
                <wp:simplePos x="0" y="0"/>
                <wp:positionH relativeFrom="page">
                  <wp:posOffset>5592274</wp:posOffset>
                </wp:positionH>
                <wp:positionV relativeFrom="paragraph">
                  <wp:posOffset>59214</wp:posOffset>
                </wp:positionV>
                <wp:extent cx="1019175" cy="163830"/>
                <wp:effectExtent l="0" t="0" r="0" b="0"/>
                <wp:wrapNone/>
                <wp:docPr id="1958" name="Group 1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175" cy="163830"/>
                          <a:chOff x="0" y="0"/>
                          <a:chExt cx="1019175" cy="163830"/>
                        </a:xfrm>
                      </wpg:grpSpPr>
                      <wps:wsp>
                        <wps:cNvPr id="1959" name="Graphic 1959"/>
                        <wps:cNvSpPr/>
                        <wps:spPr>
                          <a:xfrm>
                            <a:off x="394363" y="32728"/>
                            <a:ext cx="567055" cy="1270"/>
                          </a:xfrm>
                          <a:custGeom>
                            <a:avLst/>
                            <a:gdLst/>
                            <a:ahLst/>
                            <a:cxnLst/>
                            <a:rect l="l" t="t" r="r" b="b"/>
                            <a:pathLst>
                              <a:path w="567055">
                                <a:moveTo>
                                  <a:pt x="0" y="0"/>
                                </a:moveTo>
                                <a:lnTo>
                                  <a:pt x="567000" y="0"/>
                                </a:lnTo>
                              </a:path>
                            </a:pathLst>
                          </a:custGeom>
                          <a:ln w="10909">
                            <a:solidFill>
                              <a:srgbClr val="000000"/>
                            </a:solidFill>
                            <a:prstDash val="solid"/>
                          </a:ln>
                        </wps:spPr>
                        <wps:bodyPr wrap="square" lIns="0" tIns="0" rIns="0" bIns="0" rtlCol="0">
                          <a:prstTxWarp prst="textNoShape">
                            <a:avLst/>
                          </a:prstTxWarp>
                          <a:noAutofit/>
                        </wps:bodyPr>
                      </wps:wsp>
                      <wps:wsp>
                        <wps:cNvPr id="1960" name="Graphic 1960"/>
                        <wps:cNvSpPr/>
                        <wps:spPr>
                          <a:xfrm>
                            <a:off x="961364" y="0"/>
                            <a:ext cx="57785" cy="76835"/>
                          </a:xfrm>
                          <a:custGeom>
                            <a:avLst/>
                            <a:gdLst/>
                            <a:ahLst/>
                            <a:cxnLst/>
                            <a:rect l="l" t="t" r="r" b="b"/>
                            <a:pathLst>
                              <a:path w="57785" h="76835">
                                <a:moveTo>
                                  <a:pt x="57271" y="76364"/>
                                </a:moveTo>
                                <a:lnTo>
                                  <a:pt x="0" y="76364"/>
                                </a:lnTo>
                                <a:lnTo>
                                  <a:pt x="0" y="0"/>
                                </a:lnTo>
                                <a:lnTo>
                                  <a:pt x="57271" y="0"/>
                                </a:lnTo>
                                <a:lnTo>
                                  <a:pt x="57271" y="76364"/>
                                </a:lnTo>
                                <a:close/>
                              </a:path>
                            </a:pathLst>
                          </a:custGeom>
                          <a:solidFill>
                            <a:srgbClr val="0000C0"/>
                          </a:solidFill>
                        </wps:spPr>
                        <wps:bodyPr wrap="square" lIns="0" tIns="0" rIns="0" bIns="0" rtlCol="0">
                          <a:prstTxWarp prst="textNoShape">
                            <a:avLst/>
                          </a:prstTxWarp>
                          <a:noAutofit/>
                        </wps:bodyPr>
                      </wps:wsp>
                      <wps:wsp>
                        <wps:cNvPr id="1961" name="Graphic 1961"/>
                        <wps:cNvSpPr/>
                        <wps:spPr>
                          <a:xfrm>
                            <a:off x="4090" y="120001"/>
                            <a:ext cx="974090" cy="1270"/>
                          </a:xfrm>
                          <a:custGeom>
                            <a:avLst/>
                            <a:gdLst/>
                            <a:ahLst/>
                            <a:cxnLst/>
                            <a:rect l="l" t="t" r="r" b="b"/>
                            <a:pathLst>
                              <a:path w="974090">
                                <a:moveTo>
                                  <a:pt x="0" y="0"/>
                                </a:moveTo>
                                <a:lnTo>
                                  <a:pt x="973636" y="0"/>
                                </a:lnTo>
                              </a:path>
                            </a:pathLst>
                          </a:custGeom>
                          <a:ln w="10909">
                            <a:solidFill>
                              <a:srgbClr val="000000"/>
                            </a:solidFill>
                            <a:prstDash val="solid"/>
                          </a:ln>
                        </wps:spPr>
                        <wps:bodyPr wrap="square" lIns="0" tIns="0" rIns="0" bIns="0" rtlCol="0">
                          <a:prstTxWarp prst="textNoShape">
                            <a:avLst/>
                          </a:prstTxWarp>
                          <a:noAutofit/>
                        </wps:bodyPr>
                      </wps:wsp>
                      <wps:wsp>
                        <wps:cNvPr id="1962" name="Graphic 1962"/>
                        <wps:cNvSpPr/>
                        <wps:spPr>
                          <a:xfrm>
                            <a:off x="4090" y="76364"/>
                            <a:ext cx="1270" cy="87630"/>
                          </a:xfrm>
                          <a:custGeom>
                            <a:avLst/>
                            <a:gdLst/>
                            <a:ahLst/>
                            <a:cxnLst/>
                            <a:rect l="l" t="t" r="r" b="b"/>
                            <a:pathLst>
                              <a:path h="87630">
                                <a:moveTo>
                                  <a:pt x="0" y="0"/>
                                </a:moveTo>
                                <a:lnTo>
                                  <a:pt x="0" y="87272"/>
                                </a:lnTo>
                              </a:path>
                            </a:pathLst>
                          </a:custGeom>
                          <a:ln w="8181">
                            <a:solidFill>
                              <a:srgbClr val="000000"/>
                            </a:solidFill>
                            <a:prstDash val="solid"/>
                          </a:ln>
                        </wps:spPr>
                        <wps:bodyPr wrap="square" lIns="0" tIns="0" rIns="0" bIns="0" rtlCol="0">
                          <a:prstTxWarp prst="textNoShape">
                            <a:avLst/>
                          </a:prstTxWarp>
                          <a:noAutofit/>
                        </wps:bodyPr>
                      </wps:wsp>
                      <wps:wsp>
                        <wps:cNvPr id="1963" name="Graphic 1963"/>
                        <wps:cNvSpPr/>
                        <wps:spPr>
                          <a:xfrm>
                            <a:off x="198818" y="76364"/>
                            <a:ext cx="1270" cy="87630"/>
                          </a:xfrm>
                          <a:custGeom>
                            <a:avLst/>
                            <a:gdLst/>
                            <a:ahLst/>
                            <a:cxnLst/>
                            <a:rect l="l" t="t" r="r" b="b"/>
                            <a:pathLst>
                              <a:path h="87630">
                                <a:moveTo>
                                  <a:pt x="0" y="0"/>
                                </a:moveTo>
                                <a:lnTo>
                                  <a:pt x="0" y="87272"/>
                                </a:lnTo>
                              </a:path>
                            </a:pathLst>
                          </a:custGeom>
                          <a:ln w="8181">
                            <a:solidFill>
                              <a:srgbClr val="000000"/>
                            </a:solidFill>
                            <a:prstDash val="solid"/>
                          </a:ln>
                        </wps:spPr>
                        <wps:bodyPr wrap="square" lIns="0" tIns="0" rIns="0" bIns="0" rtlCol="0">
                          <a:prstTxWarp prst="textNoShape">
                            <a:avLst/>
                          </a:prstTxWarp>
                          <a:noAutofit/>
                        </wps:bodyPr>
                      </wps:wsp>
                      <wps:wsp>
                        <wps:cNvPr id="1964" name="Graphic 1964"/>
                        <wps:cNvSpPr/>
                        <wps:spPr>
                          <a:xfrm>
                            <a:off x="393545" y="76364"/>
                            <a:ext cx="1270" cy="87630"/>
                          </a:xfrm>
                          <a:custGeom>
                            <a:avLst/>
                            <a:gdLst/>
                            <a:ahLst/>
                            <a:cxnLst/>
                            <a:rect l="l" t="t" r="r" b="b"/>
                            <a:pathLst>
                              <a:path h="87630">
                                <a:moveTo>
                                  <a:pt x="0" y="0"/>
                                </a:moveTo>
                                <a:lnTo>
                                  <a:pt x="0" y="87272"/>
                                </a:lnTo>
                              </a:path>
                            </a:pathLst>
                          </a:custGeom>
                          <a:ln w="8181">
                            <a:solidFill>
                              <a:srgbClr val="000000"/>
                            </a:solidFill>
                            <a:prstDash val="solid"/>
                          </a:ln>
                        </wps:spPr>
                        <wps:bodyPr wrap="square" lIns="0" tIns="0" rIns="0" bIns="0" rtlCol="0">
                          <a:prstTxWarp prst="textNoShape">
                            <a:avLst/>
                          </a:prstTxWarp>
                          <a:noAutofit/>
                        </wps:bodyPr>
                      </wps:wsp>
                      <wps:wsp>
                        <wps:cNvPr id="1965" name="Graphic 1965"/>
                        <wps:cNvSpPr/>
                        <wps:spPr>
                          <a:xfrm>
                            <a:off x="587863" y="76364"/>
                            <a:ext cx="1270" cy="87630"/>
                          </a:xfrm>
                          <a:custGeom>
                            <a:avLst/>
                            <a:gdLst/>
                            <a:ahLst/>
                            <a:cxnLst/>
                            <a:rect l="l" t="t" r="r" b="b"/>
                            <a:pathLst>
                              <a:path h="87630">
                                <a:moveTo>
                                  <a:pt x="0" y="0"/>
                                </a:moveTo>
                                <a:lnTo>
                                  <a:pt x="0" y="87272"/>
                                </a:lnTo>
                              </a:path>
                            </a:pathLst>
                          </a:custGeom>
                          <a:ln w="8181">
                            <a:solidFill>
                              <a:srgbClr val="000000"/>
                            </a:solidFill>
                            <a:prstDash val="solid"/>
                          </a:ln>
                        </wps:spPr>
                        <wps:bodyPr wrap="square" lIns="0" tIns="0" rIns="0" bIns="0" rtlCol="0">
                          <a:prstTxWarp prst="textNoShape">
                            <a:avLst/>
                          </a:prstTxWarp>
                          <a:noAutofit/>
                        </wps:bodyPr>
                      </wps:wsp>
                      <wps:wsp>
                        <wps:cNvPr id="1966" name="Graphic 1966"/>
                        <wps:cNvSpPr/>
                        <wps:spPr>
                          <a:xfrm>
                            <a:off x="783000" y="76364"/>
                            <a:ext cx="1270" cy="87630"/>
                          </a:xfrm>
                          <a:custGeom>
                            <a:avLst/>
                            <a:gdLst/>
                            <a:ahLst/>
                            <a:cxnLst/>
                            <a:rect l="l" t="t" r="r" b="b"/>
                            <a:pathLst>
                              <a:path h="87630">
                                <a:moveTo>
                                  <a:pt x="0" y="0"/>
                                </a:moveTo>
                                <a:lnTo>
                                  <a:pt x="0" y="87272"/>
                                </a:lnTo>
                              </a:path>
                            </a:pathLst>
                          </a:custGeom>
                          <a:ln w="8181">
                            <a:solidFill>
                              <a:srgbClr val="000000"/>
                            </a:solidFill>
                            <a:prstDash val="solid"/>
                          </a:ln>
                        </wps:spPr>
                        <wps:bodyPr wrap="square" lIns="0" tIns="0" rIns="0" bIns="0" rtlCol="0">
                          <a:prstTxWarp prst="textNoShape">
                            <a:avLst/>
                          </a:prstTxWarp>
                          <a:noAutofit/>
                        </wps:bodyPr>
                      </wps:wsp>
                      <wps:wsp>
                        <wps:cNvPr id="1967" name="Graphic 1967"/>
                        <wps:cNvSpPr/>
                        <wps:spPr>
                          <a:xfrm>
                            <a:off x="977727" y="76364"/>
                            <a:ext cx="1270" cy="87630"/>
                          </a:xfrm>
                          <a:custGeom>
                            <a:avLst/>
                            <a:gdLst/>
                            <a:ahLst/>
                            <a:cxnLst/>
                            <a:rect l="l" t="t" r="r" b="b"/>
                            <a:pathLst>
                              <a:path h="87630">
                                <a:moveTo>
                                  <a:pt x="0" y="0"/>
                                </a:moveTo>
                                <a:lnTo>
                                  <a:pt x="0" y="87272"/>
                                </a:lnTo>
                              </a:path>
                            </a:pathLst>
                          </a:custGeom>
                          <a:ln w="818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F7CF1A" id="Group 1958" o:spid="_x0000_s1026" style="position:absolute;margin-left:440.35pt;margin-top:4.65pt;width:80.25pt;height:12.9pt;z-index:16040448;mso-wrap-distance-left:0;mso-wrap-distance-right:0;mso-position-horizontal-relative:page" coordsize="10191,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">
                <v:shape id="Graphic 1959" o:spid="_x0000_s1027" style="position:absolute;left:3943;top:327;width:5671;height:12;visibility:visible;mso-wrap-style:square;v-text-anchor:top" coordsize="567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" path="m,l567000,e" filled="f" strokeweight=".30303mm">
                  <v:path arrowok="t"/>
                </v:shape>
                <v:shape id="Graphic 1960" o:spid="_x0000_s1028" style="position:absolute;left:9613;width:578;height:768;visibility:visible;mso-wrap-style:square;v-text-anchor:top" coordsize="5778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" path="m57271,76364l,76364,,,57271,r,76364xe" fillcolor="#0000c0" stroked="f">
                  <v:path arrowok="t"/>
                </v:shape>
                <v:shape id="Graphic 1961" o:spid="_x0000_s1029" style="position:absolute;left:40;top:1200;width:9741;height:12;visibility:visible;mso-wrap-style:square;v-text-anchor:top" coordsize="974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" path="m,l973636,e" filled="f" strokeweight=".30303mm">
                  <v:path arrowok="t"/>
                </v:shape>
                <v:shape id="Graphic 1962" o:spid="_x0000_s1030" style="position:absolute;left:40;top:763;width:13;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" path="m,l,87272e" filled="f" strokeweight=".22725mm">
                  <v:path arrowok="t"/>
                </v:shape>
                <v:shape id="Graphic 1963" o:spid="_x0000_s1031" style="position:absolute;left:1988;top:763;width:12;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" path="m,l,87272e" filled="f" strokeweight=".22725mm">
                  <v:path arrowok="t"/>
                </v:shape>
                <v:shape id="Graphic 1964" o:spid="_x0000_s1032" style="position:absolute;left:3935;top:763;width:13;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" path="m,l,87272e" filled="f" strokeweight=".22725mm">
                  <v:path arrowok="t"/>
                </v:shape>
                <v:shape id="Graphic 1965" o:spid="_x0000_s1033" style="position:absolute;left:5878;top:763;width:13;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" path="m,l,87272e" filled="f" strokeweight=".22725mm">
                  <v:path arrowok="t"/>
                </v:shape>
                <v:shape id="Graphic 1966" o:spid="_x0000_s1034" style="position:absolute;left:7830;top:763;width:12;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" path="m,l,87272e" filled="f" strokeweight=".22725mm">
                  <v:path arrowok="t"/>
                </v:shape>
                <v:shape id="Graphic 1967" o:spid="_x0000_s1035" style="position:absolute;left:9777;top:763;width:12;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" path="m,l,87272e" filled="f" strokeweight=".22725mm">
                  <v:path arrowok="t"/>
                </v:shape>
                <w10:wrap anchorx="page"/>
              </v:group>
            </w:pict>
          </mc:Fallback>
        </mc:AlternateContent>
      </w:r>
      <w:proofErr w:type="spellStart"/>
      <w:r w:rsidRPr="007033BB">
        <w:rPr>
          <w:rFonts w:ascii="Trebuchet MS"/>
          <w:spacing w:val="2"/>
          <w:w w:val="70"/>
          <w:sz w:val="16"/>
          <w:szCs w:val="16"/>
          <w:lang w:val="uk-UA"/>
        </w:rPr>
        <w:t>Danfack</w:t>
      </w:r>
      <w:proofErr w:type="spellEnd"/>
      <w:r w:rsidRPr="007033BB">
        <w:rPr>
          <w:rFonts w:ascii="Trebuchet MS"/>
          <w:spacing w:val="25"/>
          <w:sz w:val="16"/>
          <w:szCs w:val="16"/>
          <w:lang w:val="uk-UA"/>
        </w:rPr>
        <w:t xml:space="preserve"> </w:t>
      </w:r>
      <w:r w:rsidRPr="007033BB">
        <w:rPr>
          <w:rFonts w:ascii="Trebuchet MS"/>
          <w:spacing w:val="-2"/>
          <w:w w:val="80"/>
          <w:sz w:val="16"/>
          <w:szCs w:val="16"/>
          <w:lang w:val="uk-UA"/>
        </w:rPr>
        <w:t>2024a</w:t>
      </w:r>
      <w:r w:rsidRPr="007033BB">
        <w:rPr>
          <w:rFonts w:ascii="Trebuchet MS"/>
          <w:sz w:val="16"/>
          <w:szCs w:val="16"/>
          <w:lang w:val="uk-UA"/>
        </w:rPr>
        <w:tab/>
      </w:r>
      <w:r w:rsidRPr="007033BB">
        <w:rPr>
          <w:rFonts w:ascii="Trebuchet MS"/>
          <w:spacing w:val="-10"/>
          <w:w w:val="80"/>
          <w:sz w:val="16"/>
          <w:szCs w:val="16"/>
          <w:lang w:val="uk-UA"/>
        </w:rPr>
        <w:t>1</w:t>
      </w:r>
      <w:r w:rsidRPr="007033BB">
        <w:rPr>
          <w:rFonts w:ascii="Trebuchet MS"/>
          <w:sz w:val="16"/>
          <w:szCs w:val="16"/>
          <w:lang w:val="uk-UA"/>
        </w:rPr>
        <w:tab/>
      </w:r>
      <w:r w:rsidRPr="007033BB">
        <w:rPr>
          <w:rFonts w:ascii="Trebuchet MS"/>
          <w:spacing w:val="-10"/>
          <w:w w:val="80"/>
          <w:sz w:val="16"/>
          <w:szCs w:val="16"/>
          <w:lang w:val="uk-UA"/>
        </w:rPr>
        <w:t>0</w:t>
      </w:r>
      <w:r w:rsidRPr="007033BB">
        <w:rPr>
          <w:rFonts w:ascii="Trebuchet MS"/>
          <w:sz w:val="16"/>
          <w:szCs w:val="16"/>
          <w:lang w:val="uk-UA"/>
        </w:rPr>
        <w:tab/>
      </w:r>
      <w:r w:rsidRPr="007033BB">
        <w:rPr>
          <w:rFonts w:ascii="Trebuchet MS"/>
          <w:spacing w:val="-10"/>
          <w:w w:val="80"/>
          <w:sz w:val="16"/>
          <w:szCs w:val="16"/>
          <w:lang w:val="uk-UA"/>
        </w:rPr>
        <w:t>0</w:t>
      </w:r>
      <w:r w:rsidRPr="007033BB">
        <w:rPr>
          <w:rFonts w:ascii="Trebuchet MS"/>
          <w:sz w:val="16"/>
          <w:szCs w:val="16"/>
          <w:lang w:val="uk-UA"/>
        </w:rPr>
        <w:tab/>
      </w:r>
      <w:r w:rsidRPr="007033BB">
        <w:rPr>
          <w:rFonts w:ascii="Trebuchet MS"/>
          <w:spacing w:val="-10"/>
          <w:w w:val="80"/>
          <w:sz w:val="16"/>
          <w:szCs w:val="16"/>
          <w:lang w:val="uk-UA"/>
        </w:rPr>
        <w:t>4</w:t>
      </w:r>
      <w:r w:rsidRPr="007033BB">
        <w:rPr>
          <w:rFonts w:ascii="Trebuchet MS"/>
          <w:sz w:val="16"/>
          <w:szCs w:val="16"/>
          <w:lang w:val="uk-UA"/>
        </w:rPr>
        <w:tab/>
      </w:r>
      <w:r w:rsidR="007033BB">
        <w:rPr>
          <w:rFonts w:ascii="Trebuchet MS"/>
          <w:sz w:val="16"/>
          <w:szCs w:val="16"/>
        </w:rPr>
        <w:t xml:space="preserve">    </w:t>
      </w:r>
      <w:r w:rsidRPr="007033BB">
        <w:rPr>
          <w:rFonts w:ascii="Trebuchet MS"/>
          <w:w w:val="65"/>
          <w:sz w:val="16"/>
          <w:szCs w:val="16"/>
          <w:lang w:val="uk-UA"/>
        </w:rPr>
        <w:t>1.00</w:t>
      </w:r>
      <w:r w:rsidRPr="007033BB">
        <w:rPr>
          <w:rFonts w:ascii="Trebuchet MS"/>
          <w:spacing w:val="16"/>
          <w:sz w:val="16"/>
          <w:szCs w:val="16"/>
          <w:lang w:val="uk-UA"/>
        </w:rPr>
        <w:t xml:space="preserve"> </w:t>
      </w:r>
      <w:r w:rsidRPr="007033BB">
        <w:rPr>
          <w:rFonts w:ascii="Trebuchet MS"/>
          <w:w w:val="65"/>
          <w:sz w:val="16"/>
          <w:szCs w:val="16"/>
          <w:lang w:val="uk-UA"/>
        </w:rPr>
        <w:t>[0.03,</w:t>
      </w:r>
      <w:r w:rsidRPr="007033BB">
        <w:rPr>
          <w:rFonts w:ascii="Trebuchet MS"/>
          <w:spacing w:val="23"/>
          <w:sz w:val="16"/>
          <w:szCs w:val="16"/>
          <w:lang w:val="uk-UA"/>
        </w:rPr>
        <w:t xml:space="preserve"> </w:t>
      </w:r>
      <w:r w:rsidRPr="007033BB">
        <w:rPr>
          <w:rFonts w:ascii="Trebuchet MS"/>
          <w:spacing w:val="-4"/>
          <w:w w:val="65"/>
          <w:sz w:val="16"/>
          <w:szCs w:val="16"/>
          <w:lang w:val="uk-UA"/>
        </w:rPr>
        <w:t>1.00]</w:t>
      </w:r>
      <w:r w:rsidR="007033BB">
        <w:rPr>
          <w:rFonts w:ascii="Trebuchet MS"/>
          <w:sz w:val="16"/>
          <w:szCs w:val="16"/>
        </w:rPr>
        <w:t xml:space="preserve">           </w:t>
      </w:r>
      <w:r w:rsidRPr="007033BB">
        <w:rPr>
          <w:rFonts w:ascii="Trebuchet MS"/>
          <w:w w:val="65"/>
          <w:sz w:val="16"/>
          <w:szCs w:val="16"/>
          <w:lang w:val="uk-UA"/>
        </w:rPr>
        <w:t>1.00</w:t>
      </w:r>
      <w:r w:rsidRPr="007033BB">
        <w:rPr>
          <w:rFonts w:ascii="Trebuchet MS"/>
          <w:spacing w:val="10"/>
          <w:sz w:val="16"/>
          <w:szCs w:val="16"/>
          <w:lang w:val="uk-UA"/>
        </w:rPr>
        <w:t xml:space="preserve"> </w:t>
      </w:r>
      <w:r w:rsidRPr="007033BB">
        <w:rPr>
          <w:rFonts w:ascii="Trebuchet MS"/>
          <w:w w:val="65"/>
          <w:sz w:val="16"/>
          <w:szCs w:val="16"/>
          <w:lang w:val="uk-UA"/>
        </w:rPr>
        <w:t>[0.40,</w:t>
      </w:r>
      <w:r w:rsidRPr="007033BB">
        <w:rPr>
          <w:rFonts w:ascii="Trebuchet MS"/>
          <w:spacing w:val="15"/>
          <w:sz w:val="16"/>
          <w:szCs w:val="16"/>
          <w:lang w:val="uk-UA"/>
        </w:rPr>
        <w:t xml:space="preserve"> </w:t>
      </w:r>
      <w:r w:rsidRPr="007033BB">
        <w:rPr>
          <w:rFonts w:ascii="Trebuchet MS"/>
          <w:w w:val="65"/>
          <w:sz w:val="16"/>
          <w:szCs w:val="16"/>
          <w:lang w:val="uk-UA"/>
        </w:rPr>
        <w:t>1.00]</w:t>
      </w:r>
      <w:r w:rsidR="007033BB">
        <w:rPr>
          <w:rFonts w:ascii="Trebuchet MS"/>
          <w:w w:val="65"/>
          <w:sz w:val="16"/>
          <w:szCs w:val="16"/>
        </w:rPr>
        <w:t xml:space="preserve">       </w:t>
      </w:r>
      <w:r w:rsidRPr="003C6DAE">
        <w:rPr>
          <w:rFonts w:ascii="Trebuchet MS"/>
          <w:spacing w:val="11"/>
          <w:sz w:val="20"/>
          <w:lang w:val="uk-UA"/>
        </w:rPr>
        <w:t xml:space="preserve"> </w:t>
      </w:r>
      <w:r w:rsidRPr="003C6DAE">
        <w:rPr>
          <w:rFonts w:ascii="Trebuchet MS"/>
          <w:noProof/>
          <w:spacing w:val="-11"/>
          <w:position w:val="-7"/>
          <w:sz w:val="20"/>
          <w:lang w:val="uk-UA"/>
        </w:rPr>
        <w:drawing>
          <wp:inline distT="0" distB="0" distL="0" distR="0" wp14:anchorId="3898F09E" wp14:editId="5E53A57A">
            <wp:extent cx="1018636" cy="163636"/>
            <wp:effectExtent l="0" t="0" r="0" b="0"/>
            <wp:docPr id="1968" name="Image 1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8" name="Image 1968"/>
                    <pic:cNvPicPr/>
                  </pic:nvPicPr>
                  <pic:blipFill>
                    <a:blip r:embed="rId99" cstate="print"/>
                    <a:stretch>
                      <a:fillRect/>
                    </a:stretch>
                  </pic:blipFill>
                  <pic:spPr>
                    <a:xfrm>
                      <a:off x="0" y="0"/>
                      <a:ext cx="1018636" cy="163636"/>
                    </a:xfrm>
                    <a:prstGeom prst="rect">
                      <a:avLst/>
                    </a:prstGeom>
                  </pic:spPr>
                </pic:pic>
              </a:graphicData>
            </a:graphic>
          </wp:inline>
        </w:drawing>
      </w:r>
    </w:p>
    <w:p w14:paraId="026C598A" w14:textId="77777777" w:rsidR="00E05B98" w:rsidRPr="003C6DAE" w:rsidRDefault="00B01E0C">
      <w:pPr>
        <w:spacing w:before="2"/>
        <w:ind w:left="6288"/>
        <w:rPr>
          <w:rFonts w:ascii="Trebuchet MS"/>
          <w:sz w:val="20"/>
          <w:lang w:val="uk-UA"/>
        </w:rPr>
      </w:pPr>
      <w:r w:rsidRPr="003C6DAE">
        <w:rPr>
          <w:rFonts w:ascii="Trebuchet MS"/>
          <w:w w:val="80"/>
          <w:sz w:val="20"/>
          <w:lang w:val="uk-UA"/>
        </w:rPr>
        <w:t>0</w:t>
      </w:r>
      <w:r w:rsidRPr="003C6DAE">
        <w:rPr>
          <w:rFonts w:ascii="Trebuchet MS"/>
          <w:spacing w:val="40"/>
          <w:sz w:val="20"/>
          <w:lang w:val="uk-UA"/>
        </w:rPr>
        <w:t xml:space="preserve"> </w:t>
      </w:r>
      <w:r w:rsidRPr="003C6DAE">
        <w:rPr>
          <w:rFonts w:ascii="Trebuchet MS"/>
          <w:w w:val="80"/>
          <w:sz w:val="20"/>
          <w:lang w:val="uk-UA"/>
        </w:rPr>
        <w:t>0.2</w:t>
      </w:r>
      <w:r w:rsidRPr="003C6DAE">
        <w:rPr>
          <w:rFonts w:ascii="Trebuchet MS"/>
          <w:spacing w:val="23"/>
          <w:sz w:val="20"/>
          <w:lang w:val="uk-UA"/>
        </w:rPr>
        <w:t xml:space="preserve"> </w:t>
      </w:r>
      <w:r w:rsidRPr="003C6DAE">
        <w:rPr>
          <w:rFonts w:ascii="Trebuchet MS"/>
          <w:w w:val="80"/>
          <w:sz w:val="20"/>
          <w:lang w:val="uk-UA"/>
        </w:rPr>
        <w:t>0.4</w:t>
      </w:r>
      <w:r w:rsidRPr="003C6DAE">
        <w:rPr>
          <w:rFonts w:ascii="Trebuchet MS"/>
          <w:spacing w:val="23"/>
          <w:sz w:val="20"/>
          <w:lang w:val="uk-UA"/>
        </w:rPr>
        <w:t xml:space="preserve"> </w:t>
      </w:r>
      <w:r w:rsidRPr="003C6DAE">
        <w:rPr>
          <w:rFonts w:ascii="Trebuchet MS"/>
          <w:w w:val="80"/>
          <w:sz w:val="20"/>
          <w:lang w:val="uk-UA"/>
        </w:rPr>
        <w:t>0.6</w:t>
      </w:r>
      <w:r w:rsidRPr="003C6DAE">
        <w:rPr>
          <w:rFonts w:ascii="Trebuchet MS"/>
          <w:spacing w:val="23"/>
          <w:sz w:val="20"/>
          <w:lang w:val="uk-UA"/>
        </w:rPr>
        <w:t xml:space="preserve"> </w:t>
      </w:r>
      <w:r w:rsidRPr="003C6DAE">
        <w:rPr>
          <w:rFonts w:ascii="Trebuchet MS"/>
          <w:w w:val="80"/>
          <w:sz w:val="20"/>
          <w:lang w:val="uk-UA"/>
        </w:rPr>
        <w:t>0.8</w:t>
      </w:r>
      <w:r w:rsidRPr="003C6DAE">
        <w:rPr>
          <w:rFonts w:ascii="Trebuchet MS"/>
          <w:spacing w:val="42"/>
          <w:sz w:val="20"/>
          <w:lang w:val="uk-UA"/>
        </w:rPr>
        <w:t xml:space="preserve"> </w:t>
      </w:r>
      <w:r w:rsidRPr="003C6DAE">
        <w:rPr>
          <w:rFonts w:ascii="Trebuchet MS"/>
          <w:w w:val="80"/>
          <w:sz w:val="20"/>
          <w:lang w:val="uk-UA"/>
        </w:rPr>
        <w:t>1</w:t>
      </w:r>
      <w:r w:rsidRPr="003C6DAE">
        <w:rPr>
          <w:rFonts w:ascii="Trebuchet MS"/>
          <w:spacing w:val="64"/>
          <w:sz w:val="20"/>
          <w:lang w:val="uk-UA"/>
        </w:rPr>
        <w:t xml:space="preserve"> </w:t>
      </w:r>
      <w:r w:rsidRPr="003C6DAE">
        <w:rPr>
          <w:rFonts w:ascii="Trebuchet MS"/>
          <w:w w:val="80"/>
          <w:sz w:val="20"/>
          <w:lang w:val="uk-UA"/>
        </w:rPr>
        <w:t>0</w:t>
      </w:r>
      <w:r w:rsidRPr="003C6DAE">
        <w:rPr>
          <w:rFonts w:ascii="Trebuchet MS"/>
          <w:spacing w:val="41"/>
          <w:sz w:val="20"/>
          <w:lang w:val="uk-UA"/>
        </w:rPr>
        <w:t xml:space="preserve"> </w:t>
      </w:r>
      <w:r w:rsidRPr="003C6DAE">
        <w:rPr>
          <w:rFonts w:ascii="Trebuchet MS"/>
          <w:w w:val="80"/>
          <w:sz w:val="20"/>
          <w:lang w:val="uk-UA"/>
        </w:rPr>
        <w:t>0.2</w:t>
      </w:r>
      <w:r w:rsidRPr="003C6DAE">
        <w:rPr>
          <w:rFonts w:ascii="Trebuchet MS"/>
          <w:spacing w:val="23"/>
          <w:sz w:val="20"/>
          <w:lang w:val="uk-UA"/>
        </w:rPr>
        <w:t xml:space="preserve"> </w:t>
      </w:r>
      <w:r w:rsidRPr="003C6DAE">
        <w:rPr>
          <w:rFonts w:ascii="Trebuchet MS"/>
          <w:w w:val="80"/>
          <w:sz w:val="20"/>
          <w:lang w:val="uk-UA"/>
        </w:rPr>
        <w:t>0.4</w:t>
      </w:r>
      <w:r w:rsidRPr="003C6DAE">
        <w:rPr>
          <w:rFonts w:ascii="Trebuchet MS"/>
          <w:spacing w:val="23"/>
          <w:sz w:val="20"/>
          <w:lang w:val="uk-UA"/>
        </w:rPr>
        <w:t xml:space="preserve"> </w:t>
      </w:r>
      <w:r w:rsidRPr="003C6DAE">
        <w:rPr>
          <w:rFonts w:ascii="Trebuchet MS"/>
          <w:w w:val="80"/>
          <w:sz w:val="20"/>
          <w:lang w:val="uk-UA"/>
        </w:rPr>
        <w:t>0.6</w:t>
      </w:r>
      <w:r w:rsidRPr="003C6DAE">
        <w:rPr>
          <w:rFonts w:ascii="Trebuchet MS"/>
          <w:spacing w:val="23"/>
          <w:sz w:val="20"/>
          <w:lang w:val="uk-UA"/>
        </w:rPr>
        <w:t xml:space="preserve"> </w:t>
      </w:r>
      <w:r w:rsidRPr="003C6DAE">
        <w:rPr>
          <w:rFonts w:ascii="Trebuchet MS"/>
          <w:w w:val="80"/>
          <w:sz w:val="20"/>
          <w:lang w:val="uk-UA"/>
        </w:rPr>
        <w:t>0.8</w:t>
      </w:r>
      <w:r w:rsidRPr="003C6DAE">
        <w:rPr>
          <w:rFonts w:ascii="Trebuchet MS"/>
          <w:spacing w:val="42"/>
          <w:sz w:val="20"/>
          <w:lang w:val="uk-UA"/>
        </w:rPr>
        <w:t xml:space="preserve"> </w:t>
      </w:r>
      <w:r w:rsidRPr="003C6DAE">
        <w:rPr>
          <w:rFonts w:ascii="Trebuchet MS"/>
          <w:spacing w:val="-10"/>
          <w:w w:val="80"/>
          <w:sz w:val="20"/>
          <w:lang w:val="uk-UA"/>
        </w:rPr>
        <w:t>1</w:t>
      </w:r>
    </w:p>
    <w:p w14:paraId="11B3A321" w14:textId="77777777" w:rsidR="00E05B98" w:rsidRPr="003C6DAE" w:rsidRDefault="00E05B98">
      <w:pPr>
        <w:pStyle w:val="a3"/>
        <w:spacing w:before="90"/>
        <w:rPr>
          <w:rFonts w:ascii="Trebuchet MS"/>
          <w:sz w:val="18"/>
          <w:lang w:val="uk-UA"/>
        </w:rPr>
      </w:pPr>
    </w:p>
    <w:p w14:paraId="3385F1F9" w14:textId="58B564E9" w:rsidR="00E05B98" w:rsidRPr="007033BB" w:rsidRDefault="007033BB">
      <w:pPr>
        <w:spacing w:line="254" w:lineRule="auto"/>
        <w:ind w:left="567"/>
        <w:rPr>
          <w:sz w:val="18"/>
          <w:lang w:val="uk-UA"/>
        </w:rPr>
      </w:pPr>
      <w:r w:rsidRPr="00A04BC3">
        <w:rPr>
          <w:sz w:val="15"/>
          <w:szCs w:val="15"/>
          <w:lang w:val="uk-UA"/>
        </w:rPr>
        <w:t>ДІ: довірчий інтервал; FN</w:t>
      </w:r>
      <w:r w:rsidR="00064F68">
        <w:rPr>
          <w:sz w:val="15"/>
          <w:szCs w:val="15"/>
          <w:lang w:val="uk-UA"/>
        </w:rPr>
        <w:t>:</w:t>
      </w:r>
      <w:r w:rsidRPr="00A04BC3">
        <w:rPr>
          <w:sz w:val="15"/>
          <w:szCs w:val="15"/>
          <w:lang w:val="uk-UA"/>
        </w:rPr>
        <w:t xml:space="preserve"> хибнонегативний результат; FP: хибнопозитивний результат; рТАНК-НС: ручний тест ампліфікаці</w:t>
      </w:r>
      <w:r w:rsidR="00064F68">
        <w:rPr>
          <w:sz w:val="15"/>
          <w:szCs w:val="15"/>
          <w:lang w:val="uk-UA"/>
        </w:rPr>
        <w:t>ї</w:t>
      </w:r>
      <w:r w:rsidRPr="00A04BC3">
        <w:rPr>
          <w:sz w:val="15"/>
          <w:szCs w:val="15"/>
          <w:lang w:val="uk-UA"/>
        </w:rPr>
        <w:t xml:space="preserve"> нуклеїнових кислот низ</w:t>
      </w:r>
      <w:r w:rsidR="00064F68">
        <w:rPr>
          <w:sz w:val="15"/>
          <w:szCs w:val="15"/>
          <w:lang w:val="uk-UA"/>
        </w:rPr>
        <w:t>ь</w:t>
      </w:r>
      <w:r w:rsidRPr="00A04BC3">
        <w:rPr>
          <w:sz w:val="15"/>
          <w:szCs w:val="15"/>
          <w:lang w:val="uk-UA"/>
        </w:rPr>
        <w:t>кої складності; MRS: мікробіологічний еталонний стандарт; ТБ: туберкульоз; TN: істинно негативний результат; TP: істинно позитивний результат</w:t>
      </w:r>
      <w:r>
        <w:rPr>
          <w:sz w:val="15"/>
          <w:szCs w:val="15"/>
          <w:lang w:val="uk-UA"/>
        </w:rPr>
        <w:t>.</w:t>
      </w:r>
    </w:p>
    <w:p w14:paraId="34A0A4CA" w14:textId="77777777" w:rsidR="00E05B98" w:rsidRPr="003C6DAE" w:rsidRDefault="00E05B98">
      <w:pPr>
        <w:pStyle w:val="a3"/>
        <w:spacing w:before="149"/>
        <w:rPr>
          <w:sz w:val="18"/>
          <w:lang w:val="uk-UA"/>
        </w:rPr>
      </w:pPr>
    </w:p>
    <w:p w14:paraId="11DEB03A" w14:textId="55837FEA" w:rsidR="00E05B98" w:rsidRPr="007033BB" w:rsidRDefault="007033BB" w:rsidP="007033BB">
      <w:pPr>
        <w:pStyle w:val="7"/>
        <w:spacing w:before="1" w:line="249" w:lineRule="auto"/>
        <w:rPr>
          <w:rFonts w:ascii="Microsoft Sans Serif" w:hAnsi="Microsoft Sans Serif" w:cs="Microsoft Sans Serif"/>
          <w:sz w:val="22"/>
          <w:szCs w:val="22"/>
          <w:lang w:val="uk-UA"/>
        </w:rPr>
      </w:pPr>
      <w:r w:rsidRPr="007033BB">
        <w:rPr>
          <w:rFonts w:ascii="Microsoft Sans Serif" w:hAnsi="Microsoft Sans Serif" w:cs="Microsoft Sans Serif"/>
          <w:color w:val="019648"/>
          <w:w w:val="105"/>
          <w:sz w:val="22"/>
          <w:szCs w:val="22"/>
          <w:lang w:val="uk-UA"/>
        </w:rPr>
        <w:t>Чи слід використовувати ручні ТАНК-НС на зразках сечі для діагностики ТБ сечостатевих органів у дорослих та підлітків з ознаками та симптомами ТБ сечостатевих органів на  противагу MRS?</w:t>
      </w:r>
    </w:p>
    <w:p w14:paraId="271B688E" w14:textId="310DAD56" w:rsidR="00E05B98" w:rsidRPr="007033BB" w:rsidRDefault="009A26DD" w:rsidP="007033BB">
      <w:pPr>
        <w:pStyle w:val="a3"/>
        <w:spacing w:before="216" w:line="269" w:lineRule="auto"/>
        <w:ind w:left="567"/>
        <w:jc w:val="both"/>
        <w:rPr>
          <w:sz w:val="20"/>
          <w:szCs w:val="20"/>
          <w:lang w:val="uk-UA"/>
        </w:rPr>
      </w:pPr>
      <w:r w:rsidRPr="009A26DD">
        <w:rPr>
          <w:spacing w:val="-2"/>
          <w:sz w:val="20"/>
          <w:szCs w:val="20"/>
          <w:lang w:val="uk-UA"/>
        </w:rPr>
        <w:t>В одному дослідженні (32 учасники, в тому числі 2 особи з ТБ) оцінювали точність рТАНК-НС для виявлення ТБ сечостатевих органів, використовуючи зразки сечі, та MRS (</w:t>
      </w:r>
      <w:r w:rsidRPr="00064F68">
        <w:rPr>
          <w:b/>
          <w:bCs/>
          <w:spacing w:val="-2"/>
          <w:sz w:val="20"/>
          <w:szCs w:val="20"/>
          <w:lang w:val="uk-UA"/>
        </w:rPr>
        <w:t>Рис. 2.2.1.11</w:t>
      </w:r>
      <w:r w:rsidRPr="009A26DD">
        <w:rPr>
          <w:spacing w:val="-2"/>
          <w:sz w:val="20"/>
          <w:szCs w:val="20"/>
          <w:lang w:val="uk-UA"/>
        </w:rPr>
        <w:t xml:space="preserve">). </w:t>
      </w:r>
      <w:r w:rsidR="00064F68">
        <w:rPr>
          <w:spacing w:val="-2"/>
          <w:sz w:val="20"/>
          <w:szCs w:val="20"/>
          <w:lang w:val="uk-UA"/>
        </w:rPr>
        <w:t>Розрахункова</w:t>
      </w:r>
      <w:r w:rsidRPr="009A26DD">
        <w:rPr>
          <w:spacing w:val="-2"/>
          <w:sz w:val="20"/>
          <w:szCs w:val="20"/>
          <w:lang w:val="uk-UA"/>
        </w:rPr>
        <w:t xml:space="preserve"> чутливість та специфічність </w:t>
      </w:r>
      <w:r w:rsidR="00064F68">
        <w:rPr>
          <w:spacing w:val="-2"/>
          <w:sz w:val="20"/>
          <w:szCs w:val="20"/>
          <w:lang w:val="uk-UA"/>
        </w:rPr>
        <w:t xml:space="preserve">тесту </w:t>
      </w:r>
      <w:r w:rsidRPr="009A26DD">
        <w:rPr>
          <w:spacing w:val="-2"/>
          <w:sz w:val="20"/>
          <w:szCs w:val="20"/>
          <w:lang w:val="uk-UA"/>
        </w:rPr>
        <w:t>становили 50% та 100% відповідно. Через обмеженість даних не було надано рекомендації щодо використання рТАНК-НС на зразках сечі для виявлення ТБ сечостатевих органів.</w:t>
      </w:r>
    </w:p>
    <w:p w14:paraId="6186CE00" w14:textId="3BFF2E6E" w:rsidR="00E05B98" w:rsidRPr="007033BB" w:rsidRDefault="009A26DD">
      <w:pPr>
        <w:pStyle w:val="6"/>
        <w:spacing w:before="239" w:line="268" w:lineRule="auto"/>
        <w:rPr>
          <w:rFonts w:ascii="Microsoft Sans Serif" w:hAnsi="Microsoft Sans Serif" w:cs="Microsoft Sans Serif"/>
          <w:sz w:val="20"/>
          <w:szCs w:val="20"/>
          <w:lang w:val="uk-UA"/>
        </w:rPr>
      </w:pPr>
      <w:r>
        <w:rPr>
          <w:rFonts w:ascii="Microsoft Sans Serif" w:hAnsi="Microsoft Sans Serif" w:cs="Microsoft Sans Serif"/>
          <w:color w:val="636466"/>
          <w:sz w:val="20"/>
          <w:szCs w:val="20"/>
          <w:lang w:val="uk-UA"/>
        </w:rPr>
        <w:t>Рис</w:t>
      </w:r>
      <w:r w:rsidR="00B01E0C" w:rsidRPr="007033BB">
        <w:rPr>
          <w:rFonts w:ascii="Microsoft Sans Serif" w:hAnsi="Microsoft Sans Serif" w:cs="Microsoft Sans Serif"/>
          <w:color w:val="636466"/>
          <w:sz w:val="20"/>
          <w:szCs w:val="20"/>
          <w:lang w:val="uk-UA"/>
        </w:rPr>
        <w:t>.</w:t>
      </w:r>
      <w:r w:rsidR="00B01E0C" w:rsidRPr="007033BB">
        <w:rPr>
          <w:rFonts w:ascii="Microsoft Sans Serif" w:hAnsi="Microsoft Sans Serif" w:cs="Microsoft Sans Serif"/>
          <w:color w:val="636466"/>
          <w:spacing w:val="-6"/>
          <w:sz w:val="20"/>
          <w:szCs w:val="20"/>
          <w:lang w:val="uk-UA"/>
        </w:rPr>
        <w:t xml:space="preserve"> </w:t>
      </w:r>
      <w:r w:rsidR="00B01E0C" w:rsidRPr="007033BB">
        <w:rPr>
          <w:rFonts w:ascii="Microsoft Sans Serif" w:hAnsi="Microsoft Sans Serif" w:cs="Microsoft Sans Serif"/>
          <w:color w:val="636466"/>
          <w:sz w:val="20"/>
          <w:szCs w:val="20"/>
          <w:lang w:val="uk-UA"/>
        </w:rPr>
        <w:t>2.2.1.11</w:t>
      </w:r>
      <w:r w:rsidR="00B01E0C" w:rsidRPr="007033BB">
        <w:rPr>
          <w:rFonts w:ascii="Microsoft Sans Serif" w:hAnsi="Microsoft Sans Serif" w:cs="Microsoft Sans Serif"/>
          <w:color w:val="636466"/>
          <w:spacing w:val="-6"/>
          <w:sz w:val="20"/>
          <w:szCs w:val="20"/>
          <w:lang w:val="uk-UA"/>
        </w:rPr>
        <w:t xml:space="preserve"> </w:t>
      </w:r>
      <w:r>
        <w:rPr>
          <w:rFonts w:ascii="Microsoft Sans Serif" w:hAnsi="Microsoft Sans Serif" w:cs="Microsoft Sans Serif"/>
          <w:color w:val="636466"/>
          <w:spacing w:val="-6"/>
          <w:sz w:val="20"/>
          <w:szCs w:val="20"/>
          <w:lang w:val="uk-UA"/>
        </w:rPr>
        <w:t xml:space="preserve"> </w:t>
      </w:r>
      <w:r w:rsidRPr="009A26DD">
        <w:rPr>
          <w:rFonts w:ascii="Microsoft Sans Serif" w:hAnsi="Microsoft Sans Serif" w:cs="Microsoft Sans Serif"/>
          <w:color w:val="636466"/>
          <w:sz w:val="20"/>
          <w:szCs w:val="20"/>
          <w:lang w:val="uk-UA"/>
        </w:rPr>
        <w:t xml:space="preserve">Лісова діаграми чутливості та специфічності рТАНК-НС для виявлення ТБ сечостатевих органів </w:t>
      </w:r>
      <w:r w:rsidR="00064F68">
        <w:rPr>
          <w:rFonts w:ascii="Microsoft Sans Serif" w:hAnsi="Microsoft Sans Serif" w:cs="Microsoft Sans Serif"/>
          <w:color w:val="636466"/>
          <w:sz w:val="20"/>
          <w:szCs w:val="20"/>
          <w:lang w:val="uk-UA"/>
        </w:rPr>
        <w:t>при дослідженні зразків</w:t>
      </w:r>
      <w:r w:rsidRPr="009A26DD">
        <w:rPr>
          <w:rFonts w:ascii="Microsoft Sans Serif" w:hAnsi="Microsoft Sans Serif" w:cs="Microsoft Sans Serif"/>
          <w:color w:val="636466"/>
          <w:sz w:val="20"/>
          <w:szCs w:val="20"/>
          <w:lang w:val="uk-UA"/>
        </w:rPr>
        <w:t xml:space="preserve"> сечі та MRS</w:t>
      </w:r>
    </w:p>
    <w:p w14:paraId="0B99BB9B" w14:textId="77777777" w:rsidR="00E05B98" w:rsidRPr="003C6DAE" w:rsidRDefault="00E05B98">
      <w:pPr>
        <w:pStyle w:val="6"/>
        <w:spacing w:line="268" w:lineRule="auto"/>
        <w:rPr>
          <w:lang w:val="uk-UA"/>
        </w:rPr>
        <w:sectPr w:rsidR="00E05B98" w:rsidRPr="003C6DAE" w:rsidSect="007033BB">
          <w:type w:val="continuous"/>
          <w:pgSz w:w="11910" w:h="16840"/>
          <w:pgMar w:top="1920" w:right="1137" w:bottom="280" w:left="850" w:header="0" w:footer="573" w:gutter="0"/>
          <w:cols w:space="720"/>
        </w:sectPr>
      </w:pPr>
    </w:p>
    <w:p w14:paraId="23BEE87A" w14:textId="06103F5F" w:rsidR="00E05B98" w:rsidRPr="003C6DAE" w:rsidRDefault="009A26DD">
      <w:pPr>
        <w:spacing w:before="195"/>
        <w:ind w:left="696"/>
        <w:rPr>
          <w:rFonts w:ascii="Trebuchet MS"/>
          <w:sz w:val="20"/>
          <w:lang w:val="uk-UA"/>
        </w:rPr>
      </w:pPr>
      <w:r w:rsidRPr="003C6DAE">
        <w:rPr>
          <w:rFonts w:ascii="Arial"/>
          <w:b/>
          <w:noProof/>
          <w:sz w:val="24"/>
          <w:lang w:val="uk-UA"/>
        </w:rPr>
        <mc:AlternateContent>
          <mc:Choice Requires="wps">
            <w:drawing>
              <wp:anchor distT="0" distB="0" distL="114300" distR="114300" simplePos="0" relativeHeight="488129024" behindDoc="0" locked="0" layoutInCell="1" allowOverlap="1" wp14:anchorId="39878F87" wp14:editId="5A6917D6">
                <wp:simplePos x="0" y="0"/>
                <wp:positionH relativeFrom="margin">
                  <wp:posOffset>189374</wp:posOffset>
                </wp:positionH>
                <wp:positionV relativeFrom="paragraph">
                  <wp:posOffset>81280</wp:posOffset>
                </wp:positionV>
                <wp:extent cx="6273579" cy="225796"/>
                <wp:effectExtent l="0" t="0" r="0" b="3175"/>
                <wp:wrapNone/>
                <wp:docPr id="1897071384" name="Поле 1897071384"/>
                <wp:cNvGraphicFramePr/>
                <a:graphic xmlns:a="http://schemas.openxmlformats.org/drawingml/2006/main">
                  <a:graphicData uri="http://schemas.microsoft.com/office/word/2010/wordprocessingShape">
                    <wps:wsp>
                      <wps:cNvSpPr txBox="1"/>
                      <wps:spPr>
                        <a:xfrm>
                          <a:off x="0" y="0"/>
                          <a:ext cx="6273579" cy="225796"/>
                        </a:xfrm>
                        <a:prstGeom prst="rect">
                          <a:avLst/>
                        </a:prstGeom>
                        <a:solidFill>
                          <a:schemeClr val="bg1"/>
                        </a:solidFill>
                        <a:ln w="6350">
                          <a:noFill/>
                        </a:ln>
                      </wps:spPr>
                      <wps:txbx>
                        <w:txbxContent>
                          <w:p w14:paraId="4BF1F0AD" w14:textId="1809598D" w:rsidR="007372B2" w:rsidRPr="007033BB" w:rsidRDefault="007372B2" w:rsidP="00F925DD">
                            <w:pPr>
                              <w:ind w:left="2160" w:hanging="2018"/>
                              <w:rPr>
                                <w:rFonts w:asciiTheme="minorHAnsi" w:hAnsiTheme="minorHAnsi" w:cstheme="minorHAnsi"/>
                                <w:b/>
                                <w:sz w:val="16"/>
                                <w:szCs w:val="16"/>
                                <w:lang w:val="uk-UA"/>
                              </w:rPr>
                            </w:pPr>
                            <w:r w:rsidRPr="007033BB">
                              <w:rPr>
                                <w:rFonts w:asciiTheme="minorHAnsi" w:hAnsiTheme="minorHAnsi" w:cstheme="minorHAnsi"/>
                                <w:b/>
                                <w:sz w:val="16"/>
                                <w:szCs w:val="16"/>
                                <w:lang w:val="uk-UA"/>
                              </w:rPr>
                              <w:t xml:space="preserve">Дослідження              </w:t>
                            </w:r>
                            <w:r w:rsidRPr="007033BB">
                              <w:rPr>
                                <w:rFonts w:asciiTheme="minorHAnsi" w:hAnsiTheme="minorHAnsi" w:cstheme="minorHAnsi"/>
                                <w:b/>
                                <w:sz w:val="16"/>
                                <w:szCs w:val="16"/>
                              </w:rPr>
                              <w:t xml:space="preserve">TP    FP    </w:t>
                            </w:r>
                            <w:r w:rsidRPr="007033BB">
                              <w:rPr>
                                <w:rFonts w:asciiTheme="minorHAnsi" w:hAnsiTheme="minorHAnsi" w:cstheme="minorHAnsi"/>
                                <w:b/>
                                <w:sz w:val="16"/>
                                <w:szCs w:val="16"/>
                                <w:lang w:val="uk-UA"/>
                              </w:rPr>
                              <w:t xml:space="preserve"> </w:t>
                            </w:r>
                            <w:r w:rsidRPr="007033BB">
                              <w:rPr>
                                <w:rFonts w:asciiTheme="minorHAnsi" w:hAnsiTheme="minorHAnsi" w:cstheme="minorHAnsi"/>
                                <w:b/>
                                <w:sz w:val="16"/>
                                <w:szCs w:val="16"/>
                              </w:rPr>
                              <w:t xml:space="preserve">FN   TN    </w:t>
                            </w:r>
                            <w:r w:rsidRPr="007033BB">
                              <w:rPr>
                                <w:rFonts w:asciiTheme="minorHAnsi" w:hAnsiTheme="minorHAnsi" w:cstheme="minorHAnsi"/>
                                <w:b/>
                                <w:sz w:val="16"/>
                                <w:szCs w:val="16"/>
                                <w:lang w:val="uk-UA"/>
                              </w:rPr>
                              <w:t xml:space="preserve">Чутливість (95% ДІ)    Специфічність (95% ДІ)  </w:t>
                            </w:r>
                            <w:r w:rsidRPr="007033BB">
                              <w:rPr>
                                <w:rFonts w:asciiTheme="minorHAnsi" w:hAnsiTheme="minorHAnsi" w:cstheme="minorHAnsi"/>
                                <w:b/>
                                <w:sz w:val="16"/>
                                <w:szCs w:val="16"/>
                              </w:rPr>
                              <w:t xml:space="preserve">  </w:t>
                            </w:r>
                            <w:r w:rsidRPr="007033BB">
                              <w:rPr>
                                <w:rFonts w:asciiTheme="minorHAnsi" w:hAnsiTheme="minorHAnsi" w:cstheme="minorHAnsi"/>
                                <w:b/>
                                <w:sz w:val="16"/>
                                <w:szCs w:val="16"/>
                                <w:lang w:val="uk-UA"/>
                              </w:rPr>
                              <w:t>Чутливість (95% ДІ)       Специфічність (95% ДІ)</w:t>
                            </w:r>
                            <w:r w:rsidRPr="007033BB">
                              <w:rPr>
                                <w:rFonts w:asciiTheme="minorHAnsi" w:hAnsiTheme="minorHAnsi" w:cstheme="minorHAnsi"/>
                                <w:b/>
                                <w:sz w:val="16"/>
                                <w:szCs w:val="16"/>
                              </w:rPr>
                              <w:t xml:space="preserve">          </w:t>
                            </w:r>
                            <w:r w:rsidRPr="007033BB">
                              <w:rPr>
                                <w:rFonts w:asciiTheme="minorHAnsi" w:hAnsiTheme="minorHAnsi" w:cstheme="minorHAnsi"/>
                                <w:b/>
                                <w:sz w:val="16"/>
                                <w:szCs w:val="16"/>
                                <w:lang w:val="uk-UA"/>
                              </w:rPr>
                              <w:t xml:space="preserve">                     </w:t>
                            </w:r>
                          </w:p>
                          <w:p w14:paraId="1BAB0959"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78F87" id="Поле 1897071384" o:spid="_x0000_s1114" type="#_x0000_t202" style="position:absolute;left:0;text-align:left;margin-left:14.9pt;margin-top:6.4pt;width:494pt;height:17.8pt;z-index:48812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" fillcolor="white [3212]" stroked="f" strokeweight=".5pt">
                <v:textbox>
                  <w:txbxContent>
                    <w:p w14:paraId="4BF1F0AD" w14:textId="1809598D" w:rsidR="007372B2" w:rsidRPr="007033BB" w:rsidRDefault="007372B2" w:rsidP="00F925DD">
                      <w:pPr>
                        <w:ind w:left="2160" w:hanging="2018"/>
                        <w:rPr>
                          <w:rFonts w:asciiTheme="minorHAnsi" w:hAnsiTheme="minorHAnsi" w:cstheme="minorHAnsi"/>
                          <w:b/>
                          <w:sz w:val="16"/>
                          <w:szCs w:val="16"/>
                          <w:lang w:val="uk-UA"/>
                        </w:rPr>
                      </w:pPr>
                      <w:r w:rsidRPr="007033BB">
                        <w:rPr>
                          <w:rFonts w:asciiTheme="minorHAnsi" w:hAnsiTheme="minorHAnsi" w:cstheme="minorHAnsi"/>
                          <w:b/>
                          <w:sz w:val="16"/>
                          <w:szCs w:val="16"/>
                          <w:lang w:val="uk-UA"/>
                        </w:rPr>
                        <w:t xml:space="preserve">Дослідження              </w:t>
                      </w:r>
                      <w:r w:rsidRPr="007033BB">
                        <w:rPr>
                          <w:rFonts w:asciiTheme="minorHAnsi" w:hAnsiTheme="minorHAnsi" w:cstheme="minorHAnsi"/>
                          <w:b/>
                          <w:sz w:val="16"/>
                          <w:szCs w:val="16"/>
                        </w:rPr>
                        <w:t xml:space="preserve">TP    FP    </w:t>
                      </w:r>
                      <w:r w:rsidRPr="007033BB">
                        <w:rPr>
                          <w:rFonts w:asciiTheme="minorHAnsi" w:hAnsiTheme="minorHAnsi" w:cstheme="minorHAnsi"/>
                          <w:b/>
                          <w:sz w:val="16"/>
                          <w:szCs w:val="16"/>
                          <w:lang w:val="uk-UA"/>
                        </w:rPr>
                        <w:t xml:space="preserve"> </w:t>
                      </w:r>
                      <w:r w:rsidRPr="007033BB">
                        <w:rPr>
                          <w:rFonts w:asciiTheme="minorHAnsi" w:hAnsiTheme="minorHAnsi" w:cstheme="minorHAnsi"/>
                          <w:b/>
                          <w:sz w:val="16"/>
                          <w:szCs w:val="16"/>
                        </w:rPr>
                        <w:t xml:space="preserve">FN   TN    </w:t>
                      </w:r>
                      <w:r w:rsidRPr="007033BB">
                        <w:rPr>
                          <w:rFonts w:asciiTheme="minorHAnsi" w:hAnsiTheme="minorHAnsi" w:cstheme="minorHAnsi"/>
                          <w:b/>
                          <w:sz w:val="16"/>
                          <w:szCs w:val="16"/>
                          <w:lang w:val="uk-UA"/>
                        </w:rPr>
                        <w:t xml:space="preserve">Чутливість (95% ДІ)    Специфічність (95% ДІ)  </w:t>
                      </w:r>
                      <w:r w:rsidRPr="007033BB">
                        <w:rPr>
                          <w:rFonts w:asciiTheme="minorHAnsi" w:hAnsiTheme="minorHAnsi" w:cstheme="minorHAnsi"/>
                          <w:b/>
                          <w:sz w:val="16"/>
                          <w:szCs w:val="16"/>
                        </w:rPr>
                        <w:t xml:space="preserve">  </w:t>
                      </w:r>
                      <w:r w:rsidRPr="007033BB">
                        <w:rPr>
                          <w:rFonts w:asciiTheme="minorHAnsi" w:hAnsiTheme="minorHAnsi" w:cstheme="minorHAnsi"/>
                          <w:b/>
                          <w:sz w:val="16"/>
                          <w:szCs w:val="16"/>
                          <w:lang w:val="uk-UA"/>
                        </w:rPr>
                        <w:t>Чутливість (95% ДІ)       Специфічність (95% ДІ)</w:t>
                      </w:r>
                      <w:r w:rsidRPr="007033BB">
                        <w:rPr>
                          <w:rFonts w:asciiTheme="minorHAnsi" w:hAnsiTheme="minorHAnsi" w:cstheme="minorHAnsi"/>
                          <w:b/>
                          <w:sz w:val="16"/>
                          <w:szCs w:val="16"/>
                        </w:rPr>
                        <w:t xml:space="preserve">          </w:t>
                      </w:r>
                      <w:r w:rsidRPr="007033BB">
                        <w:rPr>
                          <w:rFonts w:asciiTheme="minorHAnsi" w:hAnsiTheme="minorHAnsi" w:cstheme="minorHAnsi"/>
                          <w:b/>
                          <w:sz w:val="16"/>
                          <w:szCs w:val="16"/>
                          <w:lang w:val="uk-UA"/>
                        </w:rPr>
                        <w:t xml:space="preserve">                     </w:t>
                      </w:r>
                    </w:p>
                    <w:p w14:paraId="1BAB0959" w14:textId="77777777" w:rsidR="007372B2" w:rsidRPr="00014B97" w:rsidRDefault="007372B2" w:rsidP="00F925DD">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v:textbox>
                <w10:wrap anchorx="margin"/>
              </v:shape>
            </w:pict>
          </mc:Fallback>
        </mc:AlternateContent>
      </w:r>
      <w:r w:rsidR="00B01E0C" w:rsidRPr="003C6DAE">
        <w:rPr>
          <w:rFonts w:ascii="Trebuchet MS"/>
          <w:color w:val="333333"/>
          <w:w w:val="75"/>
          <w:sz w:val="20"/>
          <w:lang w:val="uk-UA"/>
        </w:rPr>
        <w:t>S</w:t>
      </w:r>
      <w:r w:rsidR="00B01E0C" w:rsidRPr="003C6DAE">
        <w:rPr>
          <w:rFonts w:ascii="Trebuchet MS"/>
          <w:color w:val="333333"/>
          <w:spacing w:val="-16"/>
          <w:w w:val="75"/>
          <w:sz w:val="20"/>
          <w:lang w:val="uk-UA"/>
        </w:rPr>
        <w:t xml:space="preserve"> </w:t>
      </w:r>
      <w:proofErr w:type="spellStart"/>
      <w:r w:rsidR="00B01E0C" w:rsidRPr="003C6DAE">
        <w:rPr>
          <w:rFonts w:ascii="Trebuchet MS"/>
          <w:color w:val="333333"/>
          <w:spacing w:val="-4"/>
          <w:w w:val="85"/>
          <w:sz w:val="20"/>
          <w:lang w:val="uk-UA"/>
        </w:rPr>
        <w:t>tudy</w:t>
      </w:r>
      <w:proofErr w:type="spellEnd"/>
    </w:p>
    <w:p w14:paraId="6DE94884" w14:textId="77777777" w:rsidR="00E05B98" w:rsidRPr="003C6DAE" w:rsidRDefault="00B01E0C">
      <w:pPr>
        <w:spacing w:before="195"/>
        <w:ind w:left="696"/>
        <w:rPr>
          <w:rFonts w:ascii="Trebuchet MS"/>
          <w:sz w:val="20"/>
          <w:lang w:val="uk-UA"/>
        </w:rPr>
      </w:pPr>
      <w:r w:rsidRPr="003C6DAE">
        <w:rPr>
          <w:lang w:val="uk-UA"/>
        </w:rPr>
        <w:br w:type="column"/>
      </w:r>
      <w:r w:rsidRPr="003C6DAE">
        <w:rPr>
          <w:rFonts w:ascii="Trebuchet MS"/>
          <w:color w:val="333333"/>
          <w:w w:val="80"/>
          <w:sz w:val="20"/>
          <w:lang w:val="uk-UA"/>
        </w:rPr>
        <w:t>TP</w:t>
      </w:r>
      <w:r w:rsidRPr="003C6DAE">
        <w:rPr>
          <w:rFonts w:ascii="Trebuchet MS"/>
          <w:color w:val="333333"/>
          <w:spacing w:val="58"/>
          <w:w w:val="150"/>
          <w:sz w:val="20"/>
          <w:lang w:val="uk-UA"/>
        </w:rPr>
        <w:t xml:space="preserve"> </w:t>
      </w:r>
      <w:r w:rsidRPr="003C6DAE">
        <w:rPr>
          <w:rFonts w:ascii="Trebuchet MS"/>
          <w:color w:val="333333"/>
          <w:spacing w:val="-5"/>
          <w:w w:val="80"/>
          <w:sz w:val="20"/>
          <w:lang w:val="uk-UA"/>
        </w:rPr>
        <w:t xml:space="preserve">FP </w:t>
      </w:r>
    </w:p>
    <w:p w14:paraId="298FD2A3" w14:textId="77777777" w:rsidR="00E05B98" w:rsidRPr="003C6DAE" w:rsidRDefault="00B01E0C">
      <w:pPr>
        <w:spacing w:before="195"/>
        <w:ind w:left="87"/>
        <w:rPr>
          <w:rFonts w:ascii="Trebuchet MS"/>
          <w:sz w:val="20"/>
          <w:lang w:val="uk-UA"/>
        </w:rPr>
      </w:pPr>
      <w:r w:rsidRPr="003C6DAE">
        <w:rPr>
          <w:lang w:val="uk-UA"/>
        </w:rPr>
        <w:br w:type="column"/>
      </w:r>
      <w:r w:rsidRPr="003C6DAE">
        <w:rPr>
          <w:rFonts w:ascii="Trebuchet MS"/>
          <w:color w:val="333333"/>
          <w:w w:val="85"/>
          <w:sz w:val="20"/>
          <w:lang w:val="uk-UA"/>
        </w:rPr>
        <w:t>FN</w:t>
      </w:r>
      <w:r w:rsidRPr="003C6DAE">
        <w:rPr>
          <w:rFonts w:ascii="Trebuchet MS"/>
          <w:color w:val="333333"/>
          <w:spacing w:val="49"/>
          <w:sz w:val="20"/>
          <w:lang w:val="uk-UA"/>
        </w:rPr>
        <w:t xml:space="preserve"> </w:t>
      </w:r>
      <w:r w:rsidRPr="003C6DAE">
        <w:rPr>
          <w:rFonts w:ascii="Trebuchet MS"/>
          <w:color w:val="333333"/>
          <w:spacing w:val="-5"/>
          <w:w w:val="80"/>
          <w:sz w:val="20"/>
          <w:lang w:val="uk-UA"/>
        </w:rPr>
        <w:t>TN</w:t>
      </w:r>
    </w:p>
    <w:p w14:paraId="0D90733C" w14:textId="77777777" w:rsidR="00E05B98" w:rsidRPr="003C6DAE" w:rsidRDefault="00B01E0C">
      <w:pPr>
        <w:spacing w:before="195"/>
        <w:ind w:left="120"/>
        <w:rPr>
          <w:rFonts w:ascii="Trebuchet MS"/>
          <w:sz w:val="20"/>
          <w:lang w:val="uk-UA"/>
        </w:rPr>
      </w:pPr>
      <w:r w:rsidRPr="003C6DAE">
        <w:rPr>
          <w:lang w:val="uk-UA"/>
        </w:rPr>
        <w:br w:type="column"/>
      </w:r>
      <w:r w:rsidRPr="003C6DAE">
        <w:rPr>
          <w:rFonts w:ascii="Trebuchet MS"/>
          <w:color w:val="333333"/>
          <w:w w:val="75"/>
          <w:sz w:val="20"/>
          <w:lang w:val="uk-UA"/>
        </w:rPr>
        <w:t>S</w:t>
      </w:r>
      <w:r w:rsidRPr="003C6DAE">
        <w:rPr>
          <w:rFonts w:ascii="Trebuchet MS"/>
          <w:color w:val="333333"/>
          <w:spacing w:val="-13"/>
          <w:w w:val="75"/>
          <w:sz w:val="20"/>
          <w:lang w:val="uk-UA"/>
        </w:rPr>
        <w:t xml:space="preserve"> </w:t>
      </w:r>
      <w:proofErr w:type="spellStart"/>
      <w:r w:rsidRPr="003C6DAE">
        <w:rPr>
          <w:rFonts w:ascii="Trebuchet MS"/>
          <w:color w:val="333333"/>
          <w:w w:val="75"/>
          <w:sz w:val="20"/>
          <w:lang w:val="uk-UA"/>
        </w:rPr>
        <w:t>ens</w:t>
      </w:r>
      <w:proofErr w:type="spellEnd"/>
      <w:r w:rsidRPr="003C6DAE">
        <w:rPr>
          <w:rFonts w:ascii="Trebuchet MS"/>
          <w:color w:val="333333"/>
          <w:spacing w:val="-15"/>
          <w:w w:val="75"/>
          <w:sz w:val="20"/>
          <w:lang w:val="uk-UA"/>
        </w:rPr>
        <w:t xml:space="preserve"> </w:t>
      </w:r>
      <w:proofErr w:type="spellStart"/>
      <w:r w:rsidRPr="003C6DAE">
        <w:rPr>
          <w:rFonts w:ascii="Trebuchet MS"/>
          <w:color w:val="333333"/>
          <w:w w:val="75"/>
          <w:sz w:val="20"/>
          <w:lang w:val="uk-UA"/>
        </w:rPr>
        <w:t>itivity</w:t>
      </w:r>
      <w:proofErr w:type="spellEnd"/>
      <w:r w:rsidRPr="003C6DAE">
        <w:rPr>
          <w:rFonts w:ascii="Trebuchet MS"/>
          <w:color w:val="333333"/>
          <w:spacing w:val="9"/>
          <w:sz w:val="20"/>
          <w:lang w:val="uk-UA"/>
        </w:rPr>
        <w:t xml:space="preserve"> </w:t>
      </w:r>
      <w:r w:rsidRPr="003C6DAE">
        <w:rPr>
          <w:rFonts w:ascii="Trebuchet MS"/>
          <w:color w:val="333333"/>
          <w:w w:val="75"/>
          <w:sz w:val="20"/>
          <w:lang w:val="uk-UA"/>
        </w:rPr>
        <w:t>(95%</w:t>
      </w:r>
      <w:r w:rsidRPr="003C6DAE">
        <w:rPr>
          <w:rFonts w:ascii="Trebuchet MS"/>
          <w:color w:val="333333"/>
          <w:spacing w:val="11"/>
          <w:sz w:val="20"/>
          <w:lang w:val="uk-UA"/>
        </w:rPr>
        <w:t xml:space="preserve"> </w:t>
      </w:r>
      <w:r w:rsidRPr="003C6DAE">
        <w:rPr>
          <w:rFonts w:ascii="Trebuchet MS"/>
          <w:color w:val="333333"/>
          <w:w w:val="75"/>
          <w:sz w:val="20"/>
          <w:lang w:val="uk-UA"/>
        </w:rPr>
        <w:t>C</w:t>
      </w:r>
      <w:r w:rsidRPr="003C6DAE">
        <w:rPr>
          <w:rFonts w:ascii="Trebuchet MS"/>
          <w:color w:val="333333"/>
          <w:spacing w:val="-19"/>
          <w:w w:val="75"/>
          <w:sz w:val="20"/>
          <w:lang w:val="uk-UA"/>
        </w:rPr>
        <w:t xml:space="preserve"> </w:t>
      </w:r>
      <w:r w:rsidRPr="003C6DAE">
        <w:rPr>
          <w:rFonts w:ascii="Trebuchet MS"/>
          <w:color w:val="333333"/>
          <w:spacing w:val="-5"/>
          <w:w w:val="75"/>
          <w:sz w:val="20"/>
          <w:lang w:val="uk-UA"/>
        </w:rPr>
        <w:t>I)</w:t>
      </w:r>
    </w:p>
    <w:p w14:paraId="79A18B3A" w14:textId="77777777" w:rsidR="00E05B98" w:rsidRPr="003C6DAE" w:rsidRDefault="00B01E0C">
      <w:pPr>
        <w:spacing w:before="195"/>
        <w:ind w:left="81"/>
        <w:rPr>
          <w:rFonts w:ascii="Trebuchet MS"/>
          <w:sz w:val="20"/>
          <w:lang w:val="uk-UA"/>
        </w:rPr>
      </w:pPr>
      <w:r w:rsidRPr="003C6DAE">
        <w:rPr>
          <w:lang w:val="uk-UA"/>
        </w:rPr>
        <w:br w:type="column"/>
      </w:r>
      <w:r w:rsidRPr="003C6DAE">
        <w:rPr>
          <w:rFonts w:ascii="Trebuchet MS"/>
          <w:color w:val="333333"/>
          <w:w w:val="70"/>
          <w:sz w:val="20"/>
          <w:lang w:val="uk-UA"/>
        </w:rPr>
        <w:t>S</w:t>
      </w:r>
      <w:r w:rsidRPr="003C6DAE">
        <w:rPr>
          <w:rFonts w:ascii="Trebuchet MS"/>
          <w:color w:val="333333"/>
          <w:spacing w:val="-13"/>
          <w:sz w:val="20"/>
          <w:lang w:val="uk-UA"/>
        </w:rPr>
        <w:t xml:space="preserve"> </w:t>
      </w:r>
      <w:proofErr w:type="spellStart"/>
      <w:r w:rsidRPr="003C6DAE">
        <w:rPr>
          <w:rFonts w:ascii="Trebuchet MS"/>
          <w:color w:val="333333"/>
          <w:w w:val="70"/>
          <w:sz w:val="20"/>
          <w:lang w:val="uk-UA"/>
        </w:rPr>
        <w:t>pecificity</w:t>
      </w:r>
      <w:proofErr w:type="spellEnd"/>
      <w:r w:rsidRPr="003C6DAE">
        <w:rPr>
          <w:rFonts w:ascii="Trebuchet MS"/>
          <w:color w:val="333333"/>
          <w:spacing w:val="39"/>
          <w:sz w:val="20"/>
          <w:lang w:val="uk-UA"/>
        </w:rPr>
        <w:t xml:space="preserve"> </w:t>
      </w:r>
      <w:r w:rsidRPr="003C6DAE">
        <w:rPr>
          <w:rFonts w:ascii="Trebuchet MS"/>
          <w:color w:val="333333"/>
          <w:w w:val="70"/>
          <w:sz w:val="20"/>
          <w:lang w:val="uk-UA"/>
        </w:rPr>
        <w:t>(95%</w:t>
      </w:r>
      <w:r w:rsidRPr="003C6DAE">
        <w:rPr>
          <w:rFonts w:ascii="Trebuchet MS"/>
          <w:color w:val="333333"/>
          <w:spacing w:val="44"/>
          <w:sz w:val="20"/>
          <w:lang w:val="uk-UA"/>
        </w:rPr>
        <w:t xml:space="preserve"> </w:t>
      </w:r>
      <w:r w:rsidRPr="003C6DAE">
        <w:rPr>
          <w:rFonts w:ascii="Trebuchet MS"/>
          <w:color w:val="333333"/>
          <w:w w:val="70"/>
          <w:sz w:val="20"/>
          <w:lang w:val="uk-UA"/>
        </w:rPr>
        <w:t>C</w:t>
      </w:r>
      <w:r w:rsidRPr="003C6DAE">
        <w:rPr>
          <w:rFonts w:ascii="Trebuchet MS"/>
          <w:color w:val="333333"/>
          <w:spacing w:val="-4"/>
          <w:w w:val="70"/>
          <w:sz w:val="20"/>
          <w:lang w:val="uk-UA"/>
        </w:rPr>
        <w:t xml:space="preserve"> </w:t>
      </w:r>
      <w:r w:rsidRPr="003C6DAE">
        <w:rPr>
          <w:rFonts w:ascii="Trebuchet MS"/>
          <w:color w:val="333333"/>
          <w:spacing w:val="-5"/>
          <w:w w:val="70"/>
          <w:sz w:val="20"/>
          <w:lang w:val="uk-UA"/>
        </w:rPr>
        <w:t>I)</w:t>
      </w:r>
    </w:p>
    <w:p w14:paraId="45672662" w14:textId="77777777" w:rsidR="00E05B98" w:rsidRPr="003C6DAE" w:rsidRDefault="00B01E0C">
      <w:pPr>
        <w:spacing w:before="195"/>
        <w:ind w:left="68"/>
        <w:rPr>
          <w:rFonts w:ascii="Trebuchet MS"/>
          <w:sz w:val="20"/>
          <w:lang w:val="uk-UA"/>
        </w:rPr>
      </w:pPr>
      <w:r w:rsidRPr="003C6DAE">
        <w:rPr>
          <w:lang w:val="uk-UA"/>
        </w:rPr>
        <w:br w:type="column"/>
      </w:r>
      <w:r w:rsidRPr="003C6DAE">
        <w:rPr>
          <w:rFonts w:ascii="Trebuchet MS"/>
          <w:color w:val="333333"/>
          <w:w w:val="75"/>
          <w:sz w:val="20"/>
          <w:lang w:val="uk-UA"/>
        </w:rPr>
        <w:t>S</w:t>
      </w:r>
      <w:r w:rsidRPr="003C6DAE">
        <w:rPr>
          <w:rFonts w:ascii="Trebuchet MS"/>
          <w:color w:val="333333"/>
          <w:spacing w:val="-13"/>
          <w:w w:val="75"/>
          <w:sz w:val="20"/>
          <w:lang w:val="uk-UA"/>
        </w:rPr>
        <w:t xml:space="preserve"> </w:t>
      </w:r>
      <w:proofErr w:type="spellStart"/>
      <w:r w:rsidRPr="003C6DAE">
        <w:rPr>
          <w:rFonts w:ascii="Trebuchet MS"/>
          <w:color w:val="333333"/>
          <w:w w:val="75"/>
          <w:sz w:val="20"/>
          <w:lang w:val="uk-UA"/>
        </w:rPr>
        <w:t>ens</w:t>
      </w:r>
      <w:proofErr w:type="spellEnd"/>
      <w:r w:rsidRPr="003C6DAE">
        <w:rPr>
          <w:rFonts w:ascii="Trebuchet MS"/>
          <w:color w:val="333333"/>
          <w:spacing w:val="-15"/>
          <w:w w:val="75"/>
          <w:sz w:val="20"/>
          <w:lang w:val="uk-UA"/>
        </w:rPr>
        <w:t xml:space="preserve"> </w:t>
      </w:r>
      <w:proofErr w:type="spellStart"/>
      <w:r w:rsidRPr="003C6DAE">
        <w:rPr>
          <w:rFonts w:ascii="Trebuchet MS"/>
          <w:color w:val="333333"/>
          <w:w w:val="75"/>
          <w:sz w:val="20"/>
          <w:lang w:val="uk-UA"/>
        </w:rPr>
        <w:t>itivity</w:t>
      </w:r>
      <w:proofErr w:type="spellEnd"/>
      <w:r w:rsidRPr="003C6DAE">
        <w:rPr>
          <w:rFonts w:ascii="Trebuchet MS"/>
          <w:color w:val="333333"/>
          <w:spacing w:val="9"/>
          <w:sz w:val="20"/>
          <w:lang w:val="uk-UA"/>
        </w:rPr>
        <w:t xml:space="preserve"> </w:t>
      </w:r>
      <w:r w:rsidRPr="003C6DAE">
        <w:rPr>
          <w:rFonts w:ascii="Trebuchet MS"/>
          <w:color w:val="333333"/>
          <w:w w:val="75"/>
          <w:sz w:val="20"/>
          <w:lang w:val="uk-UA"/>
        </w:rPr>
        <w:t>(95%</w:t>
      </w:r>
      <w:r w:rsidRPr="003C6DAE">
        <w:rPr>
          <w:rFonts w:ascii="Trebuchet MS"/>
          <w:color w:val="333333"/>
          <w:spacing w:val="11"/>
          <w:sz w:val="20"/>
          <w:lang w:val="uk-UA"/>
        </w:rPr>
        <w:t xml:space="preserve"> </w:t>
      </w:r>
      <w:r w:rsidRPr="003C6DAE">
        <w:rPr>
          <w:rFonts w:ascii="Trebuchet MS"/>
          <w:color w:val="333333"/>
          <w:w w:val="75"/>
          <w:sz w:val="20"/>
          <w:lang w:val="uk-UA"/>
        </w:rPr>
        <w:t>C</w:t>
      </w:r>
      <w:r w:rsidRPr="003C6DAE">
        <w:rPr>
          <w:rFonts w:ascii="Trebuchet MS"/>
          <w:color w:val="333333"/>
          <w:spacing w:val="-19"/>
          <w:w w:val="75"/>
          <w:sz w:val="20"/>
          <w:lang w:val="uk-UA"/>
        </w:rPr>
        <w:t xml:space="preserve"> </w:t>
      </w:r>
      <w:r w:rsidRPr="003C6DAE">
        <w:rPr>
          <w:rFonts w:ascii="Trebuchet MS"/>
          <w:color w:val="333333"/>
          <w:spacing w:val="-5"/>
          <w:w w:val="75"/>
          <w:sz w:val="20"/>
          <w:lang w:val="uk-UA"/>
        </w:rPr>
        <w:t>I)</w:t>
      </w:r>
    </w:p>
    <w:p w14:paraId="21385040" w14:textId="77777777" w:rsidR="00E05B98" w:rsidRPr="003C6DAE" w:rsidRDefault="00B01E0C">
      <w:pPr>
        <w:spacing w:before="195"/>
        <w:ind w:left="216"/>
        <w:rPr>
          <w:rFonts w:ascii="Trebuchet MS"/>
          <w:sz w:val="20"/>
          <w:lang w:val="uk-UA"/>
        </w:rPr>
      </w:pPr>
      <w:r w:rsidRPr="003C6DAE">
        <w:rPr>
          <w:lang w:val="uk-UA"/>
        </w:rPr>
        <w:br w:type="column"/>
      </w:r>
      <w:r w:rsidRPr="003C6DAE">
        <w:rPr>
          <w:rFonts w:ascii="Trebuchet MS"/>
          <w:color w:val="333333"/>
          <w:w w:val="70"/>
          <w:sz w:val="20"/>
          <w:lang w:val="uk-UA"/>
        </w:rPr>
        <w:t>S</w:t>
      </w:r>
      <w:r w:rsidRPr="003C6DAE">
        <w:rPr>
          <w:rFonts w:ascii="Trebuchet MS"/>
          <w:color w:val="333333"/>
          <w:spacing w:val="-13"/>
          <w:sz w:val="20"/>
          <w:lang w:val="uk-UA"/>
        </w:rPr>
        <w:t xml:space="preserve"> </w:t>
      </w:r>
      <w:proofErr w:type="spellStart"/>
      <w:r w:rsidRPr="003C6DAE">
        <w:rPr>
          <w:rFonts w:ascii="Trebuchet MS"/>
          <w:color w:val="333333"/>
          <w:w w:val="70"/>
          <w:sz w:val="20"/>
          <w:lang w:val="uk-UA"/>
        </w:rPr>
        <w:t>pecificity</w:t>
      </w:r>
      <w:proofErr w:type="spellEnd"/>
      <w:r w:rsidRPr="003C6DAE">
        <w:rPr>
          <w:rFonts w:ascii="Trebuchet MS"/>
          <w:color w:val="333333"/>
          <w:spacing w:val="39"/>
          <w:sz w:val="20"/>
          <w:lang w:val="uk-UA"/>
        </w:rPr>
        <w:t xml:space="preserve"> </w:t>
      </w:r>
      <w:r w:rsidRPr="003C6DAE">
        <w:rPr>
          <w:rFonts w:ascii="Trebuchet MS"/>
          <w:color w:val="333333"/>
          <w:w w:val="70"/>
          <w:sz w:val="20"/>
          <w:lang w:val="uk-UA"/>
        </w:rPr>
        <w:t>(95%</w:t>
      </w:r>
      <w:r w:rsidRPr="003C6DAE">
        <w:rPr>
          <w:rFonts w:ascii="Trebuchet MS"/>
          <w:color w:val="333333"/>
          <w:spacing w:val="44"/>
          <w:sz w:val="20"/>
          <w:lang w:val="uk-UA"/>
        </w:rPr>
        <w:t xml:space="preserve"> </w:t>
      </w:r>
      <w:r w:rsidRPr="003C6DAE">
        <w:rPr>
          <w:rFonts w:ascii="Trebuchet MS"/>
          <w:color w:val="333333"/>
          <w:w w:val="70"/>
          <w:sz w:val="20"/>
          <w:lang w:val="uk-UA"/>
        </w:rPr>
        <w:t>C</w:t>
      </w:r>
      <w:r w:rsidRPr="003C6DAE">
        <w:rPr>
          <w:rFonts w:ascii="Trebuchet MS"/>
          <w:color w:val="333333"/>
          <w:spacing w:val="-4"/>
          <w:w w:val="70"/>
          <w:sz w:val="20"/>
          <w:lang w:val="uk-UA"/>
        </w:rPr>
        <w:t xml:space="preserve"> </w:t>
      </w:r>
      <w:r w:rsidRPr="003C6DAE">
        <w:rPr>
          <w:rFonts w:ascii="Trebuchet MS"/>
          <w:color w:val="333333"/>
          <w:spacing w:val="-5"/>
          <w:w w:val="70"/>
          <w:sz w:val="20"/>
          <w:lang w:val="uk-UA"/>
        </w:rPr>
        <w:t>I)</w:t>
      </w:r>
    </w:p>
    <w:p w14:paraId="086B6824" w14:textId="77777777" w:rsidR="00E05B98" w:rsidRPr="003C6DAE" w:rsidRDefault="00E05B98">
      <w:pPr>
        <w:rPr>
          <w:rFonts w:ascii="Trebuchet MS"/>
          <w:sz w:val="20"/>
          <w:lang w:val="uk-UA"/>
        </w:rPr>
        <w:sectPr w:rsidR="00E05B98" w:rsidRPr="003C6DAE">
          <w:type w:val="continuous"/>
          <w:pgSz w:w="11910" w:h="16840"/>
          <w:pgMar w:top="1920" w:right="1275" w:bottom="280" w:left="850" w:header="0" w:footer="573" w:gutter="0"/>
          <w:cols w:num="7" w:space="720" w:equalWidth="0">
            <w:col w:w="1152" w:space="137"/>
            <w:col w:w="1227" w:space="39"/>
            <w:col w:w="610" w:space="39"/>
            <w:col w:w="1533" w:space="39"/>
            <w:col w:w="1494" w:space="40"/>
            <w:col w:w="1481" w:space="39"/>
            <w:col w:w="1955"/>
          </w:cols>
        </w:sectPr>
      </w:pPr>
    </w:p>
    <w:p w14:paraId="1B86EC18" w14:textId="5F7619A9" w:rsidR="00E05B98" w:rsidRPr="007033BB" w:rsidRDefault="00B01E0C">
      <w:pPr>
        <w:tabs>
          <w:tab w:val="left" w:pos="2091"/>
          <w:tab w:val="left" w:pos="2414"/>
          <w:tab w:val="left" w:pos="2736"/>
          <w:tab w:val="left" w:pos="3572"/>
          <w:tab w:val="left" w:pos="5119"/>
        </w:tabs>
        <w:spacing w:before="79"/>
        <w:ind w:left="696"/>
        <w:rPr>
          <w:rFonts w:ascii="Trebuchet MS"/>
          <w:position w:val="-7"/>
          <w:sz w:val="16"/>
          <w:szCs w:val="16"/>
          <w:lang w:val="uk-UA"/>
        </w:rPr>
      </w:pPr>
      <w:r w:rsidRPr="007033BB">
        <w:rPr>
          <w:rFonts w:ascii="Trebuchet MS"/>
          <w:noProof/>
          <w:position w:val="-7"/>
          <w:sz w:val="16"/>
          <w:szCs w:val="16"/>
          <w:lang w:val="uk-UA"/>
        </w:rPr>
        <mc:AlternateContent>
          <mc:Choice Requires="wpg">
            <w:drawing>
              <wp:anchor distT="0" distB="0" distL="0" distR="0" simplePos="0" relativeHeight="16040960" behindDoc="0" locked="0" layoutInCell="1" allowOverlap="1" wp14:anchorId="4A002F7B" wp14:editId="4D7F508E">
                <wp:simplePos x="0" y="0"/>
                <wp:positionH relativeFrom="page">
                  <wp:posOffset>5666860</wp:posOffset>
                </wp:positionH>
                <wp:positionV relativeFrom="paragraph">
                  <wp:posOffset>59835</wp:posOffset>
                </wp:positionV>
                <wp:extent cx="1099996" cy="144856"/>
                <wp:effectExtent l="0" t="0" r="5080" b="26670"/>
                <wp:wrapNone/>
                <wp:docPr id="1969" name="Group 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9996" cy="144856"/>
                          <a:chOff x="0" y="0"/>
                          <a:chExt cx="1019175" cy="163830"/>
                        </a:xfrm>
                      </wpg:grpSpPr>
                      <wps:wsp>
                        <wps:cNvPr id="1970" name="Graphic 1970"/>
                        <wps:cNvSpPr/>
                        <wps:spPr>
                          <a:xfrm>
                            <a:off x="872182" y="32727"/>
                            <a:ext cx="89535" cy="1270"/>
                          </a:xfrm>
                          <a:custGeom>
                            <a:avLst/>
                            <a:gdLst/>
                            <a:ahLst/>
                            <a:cxnLst/>
                            <a:rect l="l" t="t" r="r" b="b"/>
                            <a:pathLst>
                              <a:path w="89535">
                                <a:moveTo>
                                  <a:pt x="0" y="0"/>
                                </a:moveTo>
                                <a:lnTo>
                                  <a:pt x="89181" y="0"/>
                                </a:lnTo>
                              </a:path>
                            </a:pathLst>
                          </a:custGeom>
                          <a:ln w="10909">
                            <a:solidFill>
                              <a:srgbClr val="000000"/>
                            </a:solidFill>
                            <a:prstDash val="solid"/>
                          </a:ln>
                        </wps:spPr>
                        <wps:bodyPr wrap="square" lIns="0" tIns="0" rIns="0" bIns="0" rtlCol="0">
                          <a:prstTxWarp prst="textNoShape">
                            <a:avLst/>
                          </a:prstTxWarp>
                          <a:noAutofit/>
                        </wps:bodyPr>
                      </wps:wsp>
                      <wps:wsp>
                        <wps:cNvPr id="1971" name="Graphic 1971"/>
                        <wps:cNvSpPr/>
                        <wps:spPr>
                          <a:xfrm>
                            <a:off x="961363" y="0"/>
                            <a:ext cx="57785" cy="76835"/>
                          </a:xfrm>
                          <a:custGeom>
                            <a:avLst/>
                            <a:gdLst/>
                            <a:ahLst/>
                            <a:cxnLst/>
                            <a:rect l="l" t="t" r="r" b="b"/>
                            <a:pathLst>
                              <a:path w="57785" h="76835">
                                <a:moveTo>
                                  <a:pt x="57273" y="76364"/>
                                </a:moveTo>
                                <a:lnTo>
                                  <a:pt x="0" y="76364"/>
                                </a:lnTo>
                                <a:lnTo>
                                  <a:pt x="0" y="0"/>
                                </a:lnTo>
                                <a:lnTo>
                                  <a:pt x="57273" y="0"/>
                                </a:lnTo>
                                <a:lnTo>
                                  <a:pt x="57273" y="76364"/>
                                </a:lnTo>
                                <a:close/>
                              </a:path>
                            </a:pathLst>
                          </a:custGeom>
                          <a:solidFill>
                            <a:srgbClr val="0000C0"/>
                          </a:solidFill>
                        </wps:spPr>
                        <wps:bodyPr wrap="square" lIns="0" tIns="0" rIns="0" bIns="0" rtlCol="0">
                          <a:prstTxWarp prst="textNoShape">
                            <a:avLst/>
                          </a:prstTxWarp>
                          <a:noAutofit/>
                        </wps:bodyPr>
                      </wps:wsp>
                      <wps:wsp>
                        <wps:cNvPr id="1972" name="Graphic 1972"/>
                        <wps:cNvSpPr/>
                        <wps:spPr>
                          <a:xfrm>
                            <a:off x="4090" y="120000"/>
                            <a:ext cx="974090" cy="1270"/>
                          </a:xfrm>
                          <a:custGeom>
                            <a:avLst/>
                            <a:gdLst/>
                            <a:ahLst/>
                            <a:cxnLst/>
                            <a:rect l="l" t="t" r="r" b="b"/>
                            <a:pathLst>
                              <a:path w="974090">
                                <a:moveTo>
                                  <a:pt x="0" y="0"/>
                                </a:moveTo>
                                <a:lnTo>
                                  <a:pt x="973636" y="0"/>
                                </a:lnTo>
                              </a:path>
                            </a:pathLst>
                          </a:custGeom>
                          <a:ln w="10909">
                            <a:solidFill>
                              <a:srgbClr val="000000"/>
                            </a:solidFill>
                            <a:prstDash val="solid"/>
                          </a:ln>
                        </wps:spPr>
                        <wps:bodyPr wrap="square" lIns="0" tIns="0" rIns="0" bIns="0" rtlCol="0">
                          <a:prstTxWarp prst="textNoShape">
                            <a:avLst/>
                          </a:prstTxWarp>
                          <a:noAutofit/>
                        </wps:bodyPr>
                      </wps:wsp>
                      <wps:wsp>
                        <wps:cNvPr id="1973" name="Graphic 1973"/>
                        <wps:cNvSpPr/>
                        <wps:spPr>
                          <a:xfrm>
                            <a:off x="4090" y="76364"/>
                            <a:ext cx="1270" cy="87630"/>
                          </a:xfrm>
                          <a:custGeom>
                            <a:avLst/>
                            <a:gdLst/>
                            <a:ahLst/>
                            <a:cxnLst/>
                            <a:rect l="l" t="t" r="r" b="b"/>
                            <a:pathLst>
                              <a:path h="87630">
                                <a:moveTo>
                                  <a:pt x="0" y="0"/>
                                </a:moveTo>
                                <a:lnTo>
                                  <a:pt x="0" y="87272"/>
                                </a:lnTo>
                              </a:path>
                            </a:pathLst>
                          </a:custGeom>
                          <a:ln w="8181">
                            <a:solidFill>
                              <a:srgbClr val="000000"/>
                            </a:solidFill>
                            <a:prstDash val="solid"/>
                          </a:ln>
                        </wps:spPr>
                        <wps:bodyPr wrap="square" lIns="0" tIns="0" rIns="0" bIns="0" rtlCol="0">
                          <a:prstTxWarp prst="textNoShape">
                            <a:avLst/>
                          </a:prstTxWarp>
                          <a:noAutofit/>
                        </wps:bodyPr>
                      </wps:wsp>
                      <wps:wsp>
                        <wps:cNvPr id="1974" name="Graphic 1974"/>
                        <wps:cNvSpPr/>
                        <wps:spPr>
                          <a:xfrm>
                            <a:off x="198818" y="76364"/>
                            <a:ext cx="1270" cy="87630"/>
                          </a:xfrm>
                          <a:custGeom>
                            <a:avLst/>
                            <a:gdLst/>
                            <a:ahLst/>
                            <a:cxnLst/>
                            <a:rect l="l" t="t" r="r" b="b"/>
                            <a:pathLst>
                              <a:path h="87630">
                                <a:moveTo>
                                  <a:pt x="0" y="0"/>
                                </a:moveTo>
                                <a:lnTo>
                                  <a:pt x="0" y="87272"/>
                                </a:lnTo>
                              </a:path>
                            </a:pathLst>
                          </a:custGeom>
                          <a:ln w="8181">
                            <a:solidFill>
                              <a:srgbClr val="000000"/>
                            </a:solidFill>
                            <a:prstDash val="solid"/>
                          </a:ln>
                        </wps:spPr>
                        <wps:bodyPr wrap="square" lIns="0" tIns="0" rIns="0" bIns="0" rtlCol="0">
                          <a:prstTxWarp prst="textNoShape">
                            <a:avLst/>
                          </a:prstTxWarp>
                          <a:noAutofit/>
                        </wps:bodyPr>
                      </wps:wsp>
                      <wps:wsp>
                        <wps:cNvPr id="1975" name="Graphic 1975"/>
                        <wps:cNvSpPr/>
                        <wps:spPr>
                          <a:xfrm>
                            <a:off x="393545" y="76364"/>
                            <a:ext cx="1270" cy="87630"/>
                          </a:xfrm>
                          <a:custGeom>
                            <a:avLst/>
                            <a:gdLst/>
                            <a:ahLst/>
                            <a:cxnLst/>
                            <a:rect l="l" t="t" r="r" b="b"/>
                            <a:pathLst>
                              <a:path h="87630">
                                <a:moveTo>
                                  <a:pt x="0" y="0"/>
                                </a:moveTo>
                                <a:lnTo>
                                  <a:pt x="0" y="87272"/>
                                </a:lnTo>
                              </a:path>
                            </a:pathLst>
                          </a:custGeom>
                          <a:ln w="8181">
                            <a:solidFill>
                              <a:srgbClr val="000000"/>
                            </a:solidFill>
                            <a:prstDash val="solid"/>
                          </a:ln>
                        </wps:spPr>
                        <wps:bodyPr wrap="square" lIns="0" tIns="0" rIns="0" bIns="0" rtlCol="0">
                          <a:prstTxWarp prst="textNoShape">
                            <a:avLst/>
                          </a:prstTxWarp>
                          <a:noAutofit/>
                        </wps:bodyPr>
                      </wps:wsp>
                      <wps:wsp>
                        <wps:cNvPr id="1976" name="Graphic 1976"/>
                        <wps:cNvSpPr/>
                        <wps:spPr>
                          <a:xfrm>
                            <a:off x="587863" y="76364"/>
                            <a:ext cx="1270" cy="87630"/>
                          </a:xfrm>
                          <a:custGeom>
                            <a:avLst/>
                            <a:gdLst/>
                            <a:ahLst/>
                            <a:cxnLst/>
                            <a:rect l="l" t="t" r="r" b="b"/>
                            <a:pathLst>
                              <a:path h="87630">
                                <a:moveTo>
                                  <a:pt x="0" y="0"/>
                                </a:moveTo>
                                <a:lnTo>
                                  <a:pt x="0" y="87272"/>
                                </a:lnTo>
                              </a:path>
                            </a:pathLst>
                          </a:custGeom>
                          <a:ln w="8181">
                            <a:solidFill>
                              <a:srgbClr val="000000"/>
                            </a:solidFill>
                            <a:prstDash val="solid"/>
                          </a:ln>
                        </wps:spPr>
                        <wps:bodyPr wrap="square" lIns="0" tIns="0" rIns="0" bIns="0" rtlCol="0">
                          <a:prstTxWarp prst="textNoShape">
                            <a:avLst/>
                          </a:prstTxWarp>
                          <a:noAutofit/>
                        </wps:bodyPr>
                      </wps:wsp>
                      <wps:wsp>
                        <wps:cNvPr id="1977" name="Graphic 1977"/>
                        <wps:cNvSpPr/>
                        <wps:spPr>
                          <a:xfrm>
                            <a:off x="783000" y="76364"/>
                            <a:ext cx="1270" cy="87630"/>
                          </a:xfrm>
                          <a:custGeom>
                            <a:avLst/>
                            <a:gdLst/>
                            <a:ahLst/>
                            <a:cxnLst/>
                            <a:rect l="l" t="t" r="r" b="b"/>
                            <a:pathLst>
                              <a:path h="87630">
                                <a:moveTo>
                                  <a:pt x="0" y="0"/>
                                </a:moveTo>
                                <a:lnTo>
                                  <a:pt x="0" y="87272"/>
                                </a:lnTo>
                              </a:path>
                            </a:pathLst>
                          </a:custGeom>
                          <a:ln w="8181">
                            <a:solidFill>
                              <a:srgbClr val="000000"/>
                            </a:solidFill>
                            <a:prstDash val="solid"/>
                          </a:ln>
                        </wps:spPr>
                        <wps:bodyPr wrap="square" lIns="0" tIns="0" rIns="0" bIns="0" rtlCol="0">
                          <a:prstTxWarp prst="textNoShape">
                            <a:avLst/>
                          </a:prstTxWarp>
                          <a:noAutofit/>
                        </wps:bodyPr>
                      </wps:wsp>
                      <wps:wsp>
                        <wps:cNvPr id="1978" name="Graphic 1978"/>
                        <wps:cNvSpPr/>
                        <wps:spPr>
                          <a:xfrm>
                            <a:off x="977727" y="76364"/>
                            <a:ext cx="1270" cy="87630"/>
                          </a:xfrm>
                          <a:custGeom>
                            <a:avLst/>
                            <a:gdLst/>
                            <a:ahLst/>
                            <a:cxnLst/>
                            <a:rect l="l" t="t" r="r" b="b"/>
                            <a:pathLst>
                              <a:path h="87630">
                                <a:moveTo>
                                  <a:pt x="0" y="0"/>
                                </a:moveTo>
                                <a:lnTo>
                                  <a:pt x="0" y="87272"/>
                                </a:lnTo>
                              </a:path>
                            </a:pathLst>
                          </a:custGeom>
                          <a:ln w="8181">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CCAD3F" id="Group 1969" o:spid="_x0000_s1026" style="position:absolute;margin-left:446.2pt;margin-top:4.7pt;width:86.6pt;height:11.4pt;z-index:16040960;mso-wrap-distance-left:0;mso-wrap-distance-right:0;mso-position-horizontal-relative:page;mso-width-relative:margin;mso-height-relative:margin" coordsize="10191,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">
                <v:shape id="Graphic 1970" o:spid="_x0000_s1027" style="position:absolute;left:8721;top:327;width:896;height:12;visibility:visible;mso-wrap-style:square;v-text-anchor:top" coordsize="89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" path="m,l89181,e" filled="f" strokeweight=".30303mm">
                  <v:path arrowok="t"/>
                </v:shape>
                <v:shape id="Graphic 1971" o:spid="_x0000_s1028" style="position:absolute;left:9613;width:578;height:768;visibility:visible;mso-wrap-style:square;v-text-anchor:top" coordsize="5778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" path="m57273,76364l,76364,,,57273,r,76364xe" fillcolor="#0000c0" stroked="f">
                  <v:path arrowok="t"/>
                </v:shape>
                <v:shape id="Graphic 1972" o:spid="_x0000_s1029" style="position:absolute;left:40;top:1200;width:9741;height:12;visibility:visible;mso-wrap-style:square;v-text-anchor:top" coordsize="974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" path="m,l973636,e" filled="f" strokeweight=".30303mm">
                  <v:path arrowok="t"/>
                </v:shape>
                <v:shape id="Graphic 1973" o:spid="_x0000_s1030" style="position:absolute;left:40;top:763;width:13;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" path="m,l,87272e" filled="f" strokeweight=".22725mm">
                  <v:path arrowok="t"/>
                </v:shape>
                <v:shape id="Graphic 1974" o:spid="_x0000_s1031" style="position:absolute;left:1988;top:763;width:12;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" path="m,l,87272e" filled="f" strokeweight=".22725mm">
                  <v:path arrowok="t"/>
                </v:shape>
                <v:shape id="Graphic 1975" o:spid="_x0000_s1032" style="position:absolute;left:3935;top:763;width:13;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" path="m,l,87272e" filled="f" strokeweight=".22725mm">
                  <v:path arrowok="t"/>
                </v:shape>
                <v:shape id="Graphic 1976" o:spid="_x0000_s1033" style="position:absolute;left:5878;top:763;width:13;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" path="m,l,87272e" filled="f" strokeweight=".22725mm">
                  <v:path arrowok="t"/>
                </v:shape>
                <v:shape id="Graphic 1977" o:spid="_x0000_s1034" style="position:absolute;left:7830;top:763;width:12;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" path="m,l,87272e" filled="f" strokeweight=".22725mm">
                  <v:path arrowok="t"/>
                </v:shape>
                <v:shape id="Graphic 1978" o:spid="_x0000_s1035" style="position:absolute;left:9777;top:763;width:12;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" path="m,l,87272e" filled="f" strokeweight=".22725mm">
                  <v:path arrowok="t"/>
                </v:shape>
                <w10:wrap anchorx="page"/>
              </v:group>
            </w:pict>
          </mc:Fallback>
        </mc:AlternateContent>
      </w:r>
      <w:proofErr w:type="spellStart"/>
      <w:r w:rsidRPr="007033BB">
        <w:rPr>
          <w:rFonts w:ascii="Trebuchet MS"/>
          <w:spacing w:val="2"/>
          <w:w w:val="70"/>
          <w:sz w:val="16"/>
          <w:szCs w:val="16"/>
          <w:lang w:val="uk-UA"/>
        </w:rPr>
        <w:t>Danfack</w:t>
      </w:r>
      <w:proofErr w:type="spellEnd"/>
      <w:r w:rsidRPr="007033BB">
        <w:rPr>
          <w:rFonts w:ascii="Trebuchet MS"/>
          <w:spacing w:val="25"/>
          <w:sz w:val="16"/>
          <w:szCs w:val="16"/>
          <w:lang w:val="uk-UA"/>
        </w:rPr>
        <w:t xml:space="preserve"> </w:t>
      </w:r>
      <w:r w:rsidRPr="007033BB">
        <w:rPr>
          <w:rFonts w:ascii="Trebuchet MS"/>
          <w:spacing w:val="-2"/>
          <w:w w:val="80"/>
          <w:sz w:val="16"/>
          <w:szCs w:val="16"/>
          <w:lang w:val="uk-UA"/>
        </w:rPr>
        <w:t>2024a</w:t>
      </w:r>
      <w:r w:rsidRPr="007033BB">
        <w:rPr>
          <w:rFonts w:ascii="Trebuchet MS"/>
          <w:sz w:val="16"/>
          <w:szCs w:val="16"/>
          <w:lang w:val="uk-UA"/>
        </w:rPr>
        <w:tab/>
      </w:r>
      <w:r w:rsidRPr="007033BB">
        <w:rPr>
          <w:rFonts w:ascii="Trebuchet MS"/>
          <w:spacing w:val="-10"/>
          <w:w w:val="80"/>
          <w:sz w:val="16"/>
          <w:szCs w:val="16"/>
          <w:lang w:val="uk-UA"/>
        </w:rPr>
        <w:t>1</w:t>
      </w:r>
      <w:r w:rsidRPr="007033BB">
        <w:rPr>
          <w:rFonts w:ascii="Trebuchet MS"/>
          <w:sz w:val="16"/>
          <w:szCs w:val="16"/>
          <w:lang w:val="uk-UA"/>
        </w:rPr>
        <w:tab/>
      </w:r>
      <w:r w:rsidRPr="007033BB">
        <w:rPr>
          <w:rFonts w:ascii="Trebuchet MS"/>
          <w:spacing w:val="-10"/>
          <w:w w:val="80"/>
          <w:sz w:val="16"/>
          <w:szCs w:val="16"/>
          <w:lang w:val="uk-UA"/>
        </w:rPr>
        <w:t>0</w:t>
      </w:r>
      <w:r w:rsidRPr="007033BB">
        <w:rPr>
          <w:rFonts w:ascii="Trebuchet MS"/>
          <w:sz w:val="16"/>
          <w:szCs w:val="16"/>
          <w:lang w:val="uk-UA"/>
        </w:rPr>
        <w:tab/>
      </w:r>
      <w:r w:rsidRPr="007033BB">
        <w:rPr>
          <w:rFonts w:ascii="Trebuchet MS"/>
          <w:w w:val="80"/>
          <w:sz w:val="16"/>
          <w:szCs w:val="16"/>
          <w:lang w:val="uk-UA"/>
        </w:rPr>
        <w:t>1</w:t>
      </w:r>
      <w:r w:rsidR="009A26DD">
        <w:rPr>
          <w:rFonts w:ascii="Trebuchet MS"/>
          <w:spacing w:val="60"/>
          <w:w w:val="150"/>
          <w:sz w:val="16"/>
          <w:szCs w:val="16"/>
          <w:lang w:val="uk-UA"/>
        </w:rPr>
        <w:t xml:space="preserve"> </w:t>
      </w:r>
      <w:r w:rsidRPr="007033BB">
        <w:rPr>
          <w:rFonts w:ascii="Trebuchet MS"/>
          <w:spacing w:val="-5"/>
          <w:w w:val="80"/>
          <w:sz w:val="16"/>
          <w:szCs w:val="16"/>
          <w:lang w:val="uk-UA"/>
        </w:rPr>
        <w:t>30</w:t>
      </w:r>
      <w:r w:rsidRPr="007033BB">
        <w:rPr>
          <w:rFonts w:ascii="Trebuchet MS"/>
          <w:sz w:val="16"/>
          <w:szCs w:val="16"/>
          <w:lang w:val="uk-UA"/>
        </w:rPr>
        <w:tab/>
      </w:r>
      <w:r w:rsidR="009A26DD">
        <w:rPr>
          <w:rFonts w:ascii="Trebuchet MS"/>
          <w:sz w:val="16"/>
          <w:szCs w:val="16"/>
          <w:lang w:val="uk-UA"/>
        </w:rPr>
        <w:t xml:space="preserve">  </w:t>
      </w:r>
      <w:r w:rsidRPr="007033BB">
        <w:rPr>
          <w:rFonts w:ascii="Trebuchet MS"/>
          <w:w w:val="65"/>
          <w:sz w:val="16"/>
          <w:szCs w:val="16"/>
          <w:lang w:val="uk-UA"/>
        </w:rPr>
        <w:t>0.50</w:t>
      </w:r>
      <w:r w:rsidRPr="007033BB">
        <w:rPr>
          <w:rFonts w:ascii="Trebuchet MS"/>
          <w:spacing w:val="16"/>
          <w:sz w:val="16"/>
          <w:szCs w:val="16"/>
          <w:lang w:val="uk-UA"/>
        </w:rPr>
        <w:t xml:space="preserve"> </w:t>
      </w:r>
      <w:r w:rsidRPr="007033BB">
        <w:rPr>
          <w:rFonts w:ascii="Trebuchet MS"/>
          <w:w w:val="65"/>
          <w:sz w:val="16"/>
          <w:szCs w:val="16"/>
          <w:lang w:val="uk-UA"/>
        </w:rPr>
        <w:t>[0.01,</w:t>
      </w:r>
      <w:r w:rsidRPr="007033BB">
        <w:rPr>
          <w:rFonts w:ascii="Trebuchet MS"/>
          <w:spacing w:val="23"/>
          <w:sz w:val="16"/>
          <w:szCs w:val="16"/>
          <w:lang w:val="uk-UA"/>
        </w:rPr>
        <w:t xml:space="preserve"> </w:t>
      </w:r>
      <w:r w:rsidRPr="007033BB">
        <w:rPr>
          <w:rFonts w:ascii="Trebuchet MS"/>
          <w:spacing w:val="-4"/>
          <w:w w:val="65"/>
          <w:sz w:val="16"/>
          <w:szCs w:val="16"/>
          <w:lang w:val="uk-UA"/>
        </w:rPr>
        <w:t>0.99</w:t>
      </w:r>
      <w:r w:rsidR="009A26DD">
        <w:rPr>
          <w:rFonts w:ascii="Trebuchet MS"/>
          <w:spacing w:val="-4"/>
          <w:w w:val="65"/>
          <w:sz w:val="16"/>
          <w:szCs w:val="16"/>
          <w:lang w:val="uk-UA"/>
        </w:rPr>
        <w:t xml:space="preserve">                              </w:t>
      </w:r>
      <w:r w:rsidRPr="007033BB">
        <w:rPr>
          <w:rFonts w:ascii="Trebuchet MS"/>
          <w:w w:val="65"/>
          <w:sz w:val="16"/>
          <w:szCs w:val="16"/>
          <w:lang w:val="uk-UA"/>
        </w:rPr>
        <w:t>1.00</w:t>
      </w:r>
      <w:r w:rsidRPr="007033BB">
        <w:rPr>
          <w:rFonts w:ascii="Trebuchet MS"/>
          <w:spacing w:val="10"/>
          <w:sz w:val="16"/>
          <w:szCs w:val="16"/>
          <w:lang w:val="uk-UA"/>
        </w:rPr>
        <w:t xml:space="preserve"> </w:t>
      </w:r>
      <w:r w:rsidRPr="007033BB">
        <w:rPr>
          <w:rFonts w:ascii="Trebuchet MS"/>
          <w:w w:val="65"/>
          <w:sz w:val="16"/>
          <w:szCs w:val="16"/>
          <w:lang w:val="uk-UA"/>
        </w:rPr>
        <w:t>[0.88,</w:t>
      </w:r>
      <w:r w:rsidRPr="007033BB">
        <w:rPr>
          <w:rFonts w:ascii="Trebuchet MS"/>
          <w:spacing w:val="15"/>
          <w:sz w:val="16"/>
          <w:szCs w:val="16"/>
          <w:lang w:val="uk-UA"/>
        </w:rPr>
        <w:t xml:space="preserve"> </w:t>
      </w:r>
      <w:r w:rsidRPr="007033BB">
        <w:rPr>
          <w:rFonts w:ascii="Trebuchet MS"/>
          <w:w w:val="65"/>
          <w:sz w:val="16"/>
          <w:szCs w:val="16"/>
          <w:lang w:val="uk-UA"/>
        </w:rPr>
        <w:t>1.00]</w:t>
      </w:r>
      <w:r w:rsidRPr="007033BB">
        <w:rPr>
          <w:rFonts w:ascii="Trebuchet MS"/>
          <w:spacing w:val="11"/>
          <w:sz w:val="16"/>
          <w:szCs w:val="16"/>
          <w:lang w:val="uk-UA"/>
        </w:rPr>
        <w:t xml:space="preserve"> </w:t>
      </w:r>
      <w:r w:rsidR="009A26DD">
        <w:rPr>
          <w:rFonts w:ascii="Trebuchet MS"/>
          <w:spacing w:val="11"/>
          <w:sz w:val="16"/>
          <w:szCs w:val="16"/>
          <w:lang w:val="uk-UA"/>
        </w:rPr>
        <w:t xml:space="preserve">  </w:t>
      </w:r>
      <w:r w:rsidRPr="007033BB">
        <w:rPr>
          <w:rFonts w:ascii="Trebuchet MS"/>
          <w:noProof/>
          <w:spacing w:val="-11"/>
          <w:position w:val="-7"/>
          <w:sz w:val="16"/>
          <w:szCs w:val="16"/>
          <w:lang w:val="uk-UA"/>
        </w:rPr>
        <w:drawing>
          <wp:inline distT="0" distB="0" distL="0" distR="0" wp14:anchorId="6A9837BC" wp14:editId="6C9F100B">
            <wp:extent cx="981818" cy="163636"/>
            <wp:effectExtent l="0" t="0" r="0" b="0"/>
            <wp:docPr id="1979" name="Image 1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9" name="Image 1979"/>
                    <pic:cNvPicPr/>
                  </pic:nvPicPr>
                  <pic:blipFill>
                    <a:blip r:embed="rId100" cstate="print"/>
                    <a:stretch>
                      <a:fillRect/>
                    </a:stretch>
                  </pic:blipFill>
                  <pic:spPr>
                    <a:xfrm>
                      <a:off x="0" y="0"/>
                      <a:ext cx="981818" cy="163636"/>
                    </a:xfrm>
                    <a:prstGeom prst="rect">
                      <a:avLst/>
                    </a:prstGeom>
                  </pic:spPr>
                </pic:pic>
              </a:graphicData>
            </a:graphic>
          </wp:inline>
        </w:drawing>
      </w:r>
      <w:r w:rsidR="009A26DD">
        <w:rPr>
          <w:rFonts w:ascii="Trebuchet MS"/>
          <w:spacing w:val="11"/>
          <w:sz w:val="16"/>
          <w:szCs w:val="16"/>
          <w:lang w:val="uk-UA"/>
        </w:rPr>
        <w:t xml:space="preserve">   </w:t>
      </w:r>
    </w:p>
    <w:p w14:paraId="221C2558" w14:textId="60516C03" w:rsidR="00E05B98" w:rsidRPr="003C6DAE" w:rsidRDefault="00B01E0C">
      <w:pPr>
        <w:spacing w:before="3"/>
        <w:ind w:left="6288"/>
        <w:rPr>
          <w:rFonts w:ascii="Trebuchet MS"/>
          <w:sz w:val="20"/>
          <w:lang w:val="uk-UA"/>
        </w:rPr>
      </w:pPr>
      <w:r w:rsidRPr="009A26DD">
        <w:rPr>
          <w:rFonts w:ascii="Trebuchet MS"/>
          <w:w w:val="80"/>
          <w:sz w:val="16"/>
          <w:szCs w:val="16"/>
          <w:lang w:val="uk-UA"/>
        </w:rPr>
        <w:t>0</w:t>
      </w:r>
      <w:r w:rsidRPr="009A26DD">
        <w:rPr>
          <w:rFonts w:ascii="Trebuchet MS"/>
          <w:spacing w:val="40"/>
          <w:sz w:val="16"/>
          <w:szCs w:val="16"/>
          <w:lang w:val="uk-UA"/>
        </w:rPr>
        <w:t xml:space="preserve"> </w:t>
      </w:r>
      <w:r w:rsidR="009A26DD">
        <w:rPr>
          <w:rFonts w:ascii="Trebuchet MS"/>
          <w:spacing w:val="40"/>
          <w:sz w:val="16"/>
          <w:szCs w:val="16"/>
          <w:lang w:val="uk-UA"/>
        </w:rPr>
        <w:t xml:space="preserve"> </w:t>
      </w:r>
      <w:r w:rsidRPr="009A26DD">
        <w:rPr>
          <w:rFonts w:ascii="Trebuchet MS"/>
          <w:w w:val="80"/>
          <w:sz w:val="16"/>
          <w:szCs w:val="16"/>
          <w:lang w:val="uk-UA"/>
        </w:rPr>
        <w:t>0.2</w:t>
      </w:r>
      <w:r w:rsidRPr="009A26DD">
        <w:rPr>
          <w:rFonts w:ascii="Trebuchet MS"/>
          <w:spacing w:val="23"/>
          <w:sz w:val="16"/>
          <w:szCs w:val="16"/>
          <w:lang w:val="uk-UA"/>
        </w:rPr>
        <w:t xml:space="preserve"> </w:t>
      </w:r>
      <w:r w:rsidR="009A26DD">
        <w:rPr>
          <w:rFonts w:ascii="Trebuchet MS"/>
          <w:spacing w:val="23"/>
          <w:sz w:val="16"/>
          <w:szCs w:val="16"/>
          <w:lang w:val="uk-UA"/>
        </w:rPr>
        <w:t xml:space="preserve"> </w:t>
      </w:r>
      <w:r w:rsidRPr="009A26DD">
        <w:rPr>
          <w:rFonts w:ascii="Trebuchet MS"/>
          <w:w w:val="80"/>
          <w:sz w:val="16"/>
          <w:szCs w:val="16"/>
          <w:lang w:val="uk-UA"/>
        </w:rPr>
        <w:t>0.4</w:t>
      </w:r>
      <w:r w:rsidRPr="009A26DD">
        <w:rPr>
          <w:rFonts w:ascii="Trebuchet MS"/>
          <w:spacing w:val="23"/>
          <w:sz w:val="16"/>
          <w:szCs w:val="16"/>
          <w:lang w:val="uk-UA"/>
        </w:rPr>
        <w:t xml:space="preserve"> </w:t>
      </w:r>
      <w:r w:rsidRPr="009A26DD">
        <w:rPr>
          <w:rFonts w:ascii="Trebuchet MS"/>
          <w:w w:val="80"/>
          <w:sz w:val="16"/>
          <w:szCs w:val="16"/>
          <w:lang w:val="uk-UA"/>
        </w:rPr>
        <w:t>0.6</w:t>
      </w:r>
      <w:r w:rsidRPr="009A26DD">
        <w:rPr>
          <w:rFonts w:ascii="Trebuchet MS"/>
          <w:spacing w:val="23"/>
          <w:sz w:val="16"/>
          <w:szCs w:val="16"/>
          <w:lang w:val="uk-UA"/>
        </w:rPr>
        <w:t xml:space="preserve"> </w:t>
      </w:r>
      <w:r w:rsidR="009A26DD">
        <w:rPr>
          <w:rFonts w:ascii="Trebuchet MS"/>
          <w:spacing w:val="23"/>
          <w:sz w:val="16"/>
          <w:szCs w:val="16"/>
          <w:lang w:val="uk-UA"/>
        </w:rPr>
        <w:t xml:space="preserve"> </w:t>
      </w:r>
      <w:r w:rsidRPr="009A26DD">
        <w:rPr>
          <w:rFonts w:ascii="Trebuchet MS"/>
          <w:w w:val="80"/>
          <w:sz w:val="16"/>
          <w:szCs w:val="16"/>
          <w:lang w:val="uk-UA"/>
        </w:rPr>
        <w:t>0.8</w:t>
      </w:r>
      <w:r w:rsidRPr="009A26DD">
        <w:rPr>
          <w:rFonts w:ascii="Trebuchet MS"/>
          <w:spacing w:val="42"/>
          <w:sz w:val="16"/>
          <w:szCs w:val="16"/>
          <w:lang w:val="uk-UA"/>
        </w:rPr>
        <w:t xml:space="preserve"> </w:t>
      </w:r>
      <w:r w:rsidR="009A26DD">
        <w:rPr>
          <w:rFonts w:ascii="Trebuchet MS"/>
          <w:spacing w:val="42"/>
          <w:sz w:val="16"/>
          <w:szCs w:val="16"/>
          <w:lang w:val="uk-UA"/>
        </w:rPr>
        <w:t xml:space="preserve"> </w:t>
      </w:r>
      <w:r w:rsidRPr="009A26DD">
        <w:rPr>
          <w:rFonts w:ascii="Trebuchet MS"/>
          <w:w w:val="80"/>
          <w:sz w:val="16"/>
          <w:szCs w:val="16"/>
          <w:lang w:val="uk-UA"/>
        </w:rPr>
        <w:t>1</w:t>
      </w:r>
      <w:r w:rsidRPr="003C6DAE">
        <w:rPr>
          <w:rFonts w:ascii="Trebuchet MS"/>
          <w:spacing w:val="64"/>
          <w:sz w:val="20"/>
          <w:lang w:val="uk-UA"/>
        </w:rPr>
        <w:t xml:space="preserve"> </w:t>
      </w:r>
      <w:r w:rsidR="009A26DD">
        <w:rPr>
          <w:rFonts w:ascii="Trebuchet MS"/>
          <w:spacing w:val="64"/>
          <w:sz w:val="20"/>
          <w:lang w:val="uk-UA"/>
        </w:rPr>
        <w:t xml:space="preserve"> </w:t>
      </w:r>
      <w:r w:rsidRPr="009A26DD">
        <w:rPr>
          <w:rFonts w:ascii="Trebuchet MS"/>
          <w:w w:val="80"/>
          <w:sz w:val="16"/>
          <w:szCs w:val="16"/>
          <w:lang w:val="uk-UA"/>
        </w:rPr>
        <w:t>0</w:t>
      </w:r>
      <w:r w:rsidRPr="009A26DD">
        <w:rPr>
          <w:rFonts w:ascii="Trebuchet MS"/>
          <w:spacing w:val="41"/>
          <w:sz w:val="16"/>
          <w:szCs w:val="16"/>
          <w:lang w:val="uk-UA"/>
        </w:rPr>
        <w:t xml:space="preserve"> </w:t>
      </w:r>
      <w:r w:rsidR="009A26DD">
        <w:rPr>
          <w:rFonts w:ascii="Trebuchet MS"/>
          <w:spacing w:val="41"/>
          <w:sz w:val="16"/>
          <w:szCs w:val="16"/>
          <w:lang w:val="uk-UA"/>
        </w:rPr>
        <w:t xml:space="preserve"> </w:t>
      </w:r>
      <w:r w:rsidRPr="009A26DD">
        <w:rPr>
          <w:rFonts w:ascii="Trebuchet MS"/>
          <w:w w:val="80"/>
          <w:sz w:val="16"/>
          <w:szCs w:val="16"/>
          <w:lang w:val="uk-UA"/>
        </w:rPr>
        <w:t>0.2</w:t>
      </w:r>
      <w:r w:rsidRPr="009A26DD">
        <w:rPr>
          <w:rFonts w:ascii="Trebuchet MS"/>
          <w:spacing w:val="23"/>
          <w:sz w:val="16"/>
          <w:szCs w:val="16"/>
          <w:lang w:val="uk-UA"/>
        </w:rPr>
        <w:t xml:space="preserve"> </w:t>
      </w:r>
      <w:r w:rsidRPr="009A26DD">
        <w:rPr>
          <w:rFonts w:ascii="Trebuchet MS"/>
          <w:w w:val="80"/>
          <w:sz w:val="16"/>
          <w:szCs w:val="16"/>
          <w:lang w:val="uk-UA"/>
        </w:rPr>
        <w:t>0.4</w:t>
      </w:r>
      <w:r w:rsidRPr="009A26DD">
        <w:rPr>
          <w:rFonts w:ascii="Trebuchet MS"/>
          <w:spacing w:val="23"/>
          <w:sz w:val="16"/>
          <w:szCs w:val="16"/>
          <w:lang w:val="uk-UA"/>
        </w:rPr>
        <w:t xml:space="preserve"> </w:t>
      </w:r>
      <w:r w:rsidR="009A26DD">
        <w:rPr>
          <w:rFonts w:ascii="Trebuchet MS"/>
          <w:spacing w:val="23"/>
          <w:sz w:val="16"/>
          <w:szCs w:val="16"/>
          <w:lang w:val="uk-UA"/>
        </w:rPr>
        <w:t xml:space="preserve">  </w:t>
      </w:r>
      <w:r w:rsidRPr="009A26DD">
        <w:rPr>
          <w:rFonts w:ascii="Trebuchet MS"/>
          <w:w w:val="80"/>
          <w:sz w:val="16"/>
          <w:szCs w:val="16"/>
          <w:lang w:val="uk-UA"/>
        </w:rPr>
        <w:t>0.6</w:t>
      </w:r>
      <w:r w:rsidRPr="009A26DD">
        <w:rPr>
          <w:rFonts w:ascii="Trebuchet MS"/>
          <w:spacing w:val="23"/>
          <w:sz w:val="16"/>
          <w:szCs w:val="16"/>
          <w:lang w:val="uk-UA"/>
        </w:rPr>
        <w:t xml:space="preserve"> </w:t>
      </w:r>
      <w:r w:rsidR="009A26DD">
        <w:rPr>
          <w:rFonts w:ascii="Trebuchet MS"/>
          <w:spacing w:val="23"/>
          <w:sz w:val="16"/>
          <w:szCs w:val="16"/>
          <w:lang w:val="uk-UA"/>
        </w:rPr>
        <w:t xml:space="preserve"> </w:t>
      </w:r>
      <w:r w:rsidRPr="009A26DD">
        <w:rPr>
          <w:rFonts w:ascii="Trebuchet MS"/>
          <w:w w:val="80"/>
          <w:sz w:val="16"/>
          <w:szCs w:val="16"/>
          <w:lang w:val="uk-UA"/>
        </w:rPr>
        <w:t>0.8</w:t>
      </w:r>
      <w:r w:rsidRPr="009A26DD">
        <w:rPr>
          <w:rFonts w:ascii="Trebuchet MS"/>
          <w:spacing w:val="42"/>
          <w:sz w:val="16"/>
          <w:szCs w:val="16"/>
          <w:lang w:val="uk-UA"/>
        </w:rPr>
        <w:t xml:space="preserve"> </w:t>
      </w:r>
      <w:r w:rsidR="009A26DD">
        <w:rPr>
          <w:rFonts w:ascii="Trebuchet MS"/>
          <w:spacing w:val="42"/>
          <w:sz w:val="16"/>
          <w:szCs w:val="16"/>
          <w:lang w:val="uk-UA"/>
        </w:rPr>
        <w:t xml:space="preserve"> </w:t>
      </w:r>
      <w:r w:rsidRPr="009A26DD">
        <w:rPr>
          <w:rFonts w:ascii="Trebuchet MS"/>
          <w:spacing w:val="-10"/>
          <w:w w:val="80"/>
          <w:sz w:val="16"/>
          <w:szCs w:val="16"/>
          <w:lang w:val="uk-UA"/>
        </w:rPr>
        <w:t>1</w:t>
      </w:r>
    </w:p>
    <w:p w14:paraId="2CD16588" w14:textId="77777777" w:rsidR="00E05B98" w:rsidRPr="003C6DAE" w:rsidRDefault="00E05B98">
      <w:pPr>
        <w:pStyle w:val="a3"/>
        <w:spacing w:before="94"/>
        <w:rPr>
          <w:rFonts w:ascii="Trebuchet MS"/>
          <w:sz w:val="18"/>
          <w:lang w:val="uk-UA"/>
        </w:rPr>
      </w:pPr>
    </w:p>
    <w:p w14:paraId="7830CD99" w14:textId="2A20F079" w:rsidR="00E05B98" w:rsidRPr="003C6DAE" w:rsidRDefault="007033BB">
      <w:pPr>
        <w:spacing w:line="254" w:lineRule="auto"/>
        <w:ind w:left="567" w:right="140"/>
        <w:jc w:val="both"/>
        <w:rPr>
          <w:sz w:val="18"/>
          <w:lang w:val="uk-UA"/>
        </w:rPr>
      </w:pPr>
      <w:r w:rsidRPr="00A04BC3">
        <w:rPr>
          <w:sz w:val="15"/>
          <w:szCs w:val="15"/>
          <w:lang w:val="uk-UA"/>
        </w:rPr>
        <w:t>ДІ: довірчий інтервал; FN</w:t>
      </w:r>
      <w:r w:rsidR="00064F68">
        <w:rPr>
          <w:sz w:val="15"/>
          <w:szCs w:val="15"/>
          <w:lang w:val="uk-UA"/>
        </w:rPr>
        <w:t>:</w:t>
      </w:r>
      <w:r w:rsidRPr="00A04BC3">
        <w:rPr>
          <w:sz w:val="15"/>
          <w:szCs w:val="15"/>
          <w:lang w:val="uk-UA"/>
        </w:rPr>
        <w:t xml:space="preserve"> хибнонегативний результат; FP: хибнопозитивний результат; рТАНК-НС: ручний тест ампліфікаці</w:t>
      </w:r>
      <w:r w:rsidR="00064F68">
        <w:rPr>
          <w:sz w:val="15"/>
          <w:szCs w:val="15"/>
          <w:lang w:val="uk-UA"/>
        </w:rPr>
        <w:t>ї</w:t>
      </w:r>
      <w:r w:rsidRPr="00A04BC3">
        <w:rPr>
          <w:sz w:val="15"/>
          <w:szCs w:val="15"/>
          <w:lang w:val="uk-UA"/>
        </w:rPr>
        <w:t xml:space="preserve"> нуклеїнових кислот низ</w:t>
      </w:r>
      <w:r w:rsidR="00064F68">
        <w:rPr>
          <w:sz w:val="15"/>
          <w:szCs w:val="15"/>
          <w:lang w:val="uk-UA"/>
        </w:rPr>
        <w:t>ь</w:t>
      </w:r>
      <w:r w:rsidRPr="00A04BC3">
        <w:rPr>
          <w:sz w:val="15"/>
          <w:szCs w:val="15"/>
          <w:lang w:val="uk-UA"/>
        </w:rPr>
        <w:t>кої складності; MRS: мікробіологічний еталонний стандарт; ТБ: туберкульоз; TN: істинно негативний результат; TP: істинно позитивний результат</w:t>
      </w:r>
      <w:r>
        <w:rPr>
          <w:sz w:val="15"/>
          <w:szCs w:val="15"/>
          <w:lang w:val="uk-UA"/>
        </w:rPr>
        <w:t>.</w:t>
      </w:r>
    </w:p>
    <w:p w14:paraId="034C5375" w14:textId="77777777" w:rsidR="00E05B98" w:rsidRPr="003C6DAE" w:rsidRDefault="00E05B98">
      <w:pPr>
        <w:pStyle w:val="a3"/>
        <w:spacing w:before="164"/>
        <w:rPr>
          <w:sz w:val="18"/>
          <w:lang w:val="uk-UA"/>
        </w:rPr>
      </w:pPr>
    </w:p>
    <w:p w14:paraId="222A6022" w14:textId="5F95677D" w:rsidR="00E05B98" w:rsidRPr="007033BB" w:rsidRDefault="009A26DD">
      <w:pPr>
        <w:pStyle w:val="5"/>
        <w:jc w:val="both"/>
        <w:rPr>
          <w:sz w:val="26"/>
          <w:szCs w:val="26"/>
          <w:lang w:val="uk-UA"/>
        </w:rPr>
      </w:pPr>
      <w:r w:rsidRPr="009A26DD">
        <w:rPr>
          <w:color w:val="019648"/>
          <w:w w:val="105"/>
          <w:sz w:val="26"/>
          <w:szCs w:val="26"/>
          <w:lang w:val="uk-UA"/>
        </w:rPr>
        <w:t>Аналіз ефективності</w:t>
      </w:r>
      <w:r w:rsidR="00CD0B9F">
        <w:rPr>
          <w:color w:val="019648"/>
          <w:w w:val="105"/>
          <w:sz w:val="26"/>
          <w:szCs w:val="26"/>
          <w:lang w:val="uk-UA"/>
        </w:rPr>
        <w:t xml:space="preserve"> витрат</w:t>
      </w:r>
    </w:p>
    <w:p w14:paraId="4EB6CDC6" w14:textId="471D574D" w:rsidR="00E05B98" w:rsidRPr="007033BB" w:rsidRDefault="009A26DD">
      <w:pPr>
        <w:pStyle w:val="a3"/>
        <w:spacing w:before="219"/>
        <w:ind w:left="567"/>
        <w:jc w:val="both"/>
        <w:rPr>
          <w:sz w:val="20"/>
          <w:szCs w:val="20"/>
          <w:lang w:val="uk-UA"/>
        </w:rPr>
      </w:pPr>
      <w:r w:rsidRPr="009A26DD">
        <w:rPr>
          <w:sz w:val="20"/>
          <w:szCs w:val="20"/>
          <w:lang w:val="uk-UA"/>
        </w:rPr>
        <w:t>У цьому розділі розглядається наступне додаткове питання:</w:t>
      </w:r>
    </w:p>
    <w:p w14:paraId="5600F21B" w14:textId="31086895" w:rsidR="00E05B98" w:rsidRPr="007033BB" w:rsidRDefault="009A26DD" w:rsidP="009A26DD">
      <w:pPr>
        <w:pStyle w:val="7"/>
        <w:spacing w:before="243" w:line="249" w:lineRule="auto"/>
        <w:ind w:right="-142"/>
        <w:rPr>
          <w:rFonts w:ascii="Microsoft Sans Serif" w:hAnsi="Microsoft Sans Serif" w:cs="Microsoft Sans Serif"/>
          <w:sz w:val="22"/>
          <w:szCs w:val="22"/>
          <w:lang w:val="uk-UA"/>
        </w:rPr>
      </w:pPr>
      <w:r w:rsidRPr="009A26DD">
        <w:rPr>
          <w:rFonts w:ascii="Microsoft Sans Serif" w:hAnsi="Microsoft Sans Serif" w:cs="Microsoft Sans Serif"/>
          <w:color w:val="019648"/>
          <w:w w:val="105"/>
          <w:sz w:val="22"/>
          <w:szCs w:val="22"/>
          <w:lang w:val="uk-UA"/>
        </w:rPr>
        <w:t>Якими є порівняльні показники вартості, доступності та ефективності</w:t>
      </w:r>
      <w:r w:rsidR="00CD0B9F">
        <w:rPr>
          <w:rFonts w:ascii="Microsoft Sans Serif" w:hAnsi="Microsoft Sans Serif" w:cs="Microsoft Sans Serif"/>
          <w:color w:val="019648"/>
          <w:w w:val="105"/>
          <w:sz w:val="22"/>
          <w:szCs w:val="22"/>
          <w:lang w:val="uk-UA"/>
        </w:rPr>
        <w:t xml:space="preserve"> витрат </w:t>
      </w:r>
      <w:r w:rsidRPr="009A26DD">
        <w:rPr>
          <w:rFonts w:ascii="Microsoft Sans Serif" w:hAnsi="Microsoft Sans Serif" w:cs="Microsoft Sans Serif"/>
          <w:color w:val="019648"/>
          <w:w w:val="105"/>
          <w:sz w:val="22"/>
          <w:szCs w:val="22"/>
          <w:lang w:val="uk-UA"/>
        </w:rPr>
        <w:t xml:space="preserve"> впровадження рТАНК-НС?</w:t>
      </w:r>
    </w:p>
    <w:p w14:paraId="7D54D317" w14:textId="0E57ECCD" w:rsidR="00E05B98" w:rsidRPr="007033BB" w:rsidRDefault="008C47A3" w:rsidP="007033BB">
      <w:pPr>
        <w:pStyle w:val="a3"/>
        <w:spacing w:before="217" w:line="269" w:lineRule="auto"/>
        <w:ind w:left="567" w:right="132"/>
        <w:jc w:val="both"/>
        <w:rPr>
          <w:sz w:val="20"/>
          <w:szCs w:val="20"/>
          <w:lang w:val="uk-UA"/>
        </w:rPr>
      </w:pPr>
      <w:r w:rsidRPr="008C47A3">
        <w:rPr>
          <w:w w:val="105"/>
          <w:sz w:val="20"/>
          <w:szCs w:val="20"/>
          <w:lang w:val="uk-UA"/>
        </w:rPr>
        <w:t xml:space="preserve">Систематичний огляд, замовлений ВООЗ, мав на меті виявити, оцінити та узагальнити результати наявних економічних даних щодо рТАНК-НС, серед інших </w:t>
      </w:r>
      <w:r w:rsidR="00361B88">
        <w:rPr>
          <w:w w:val="105"/>
          <w:sz w:val="20"/>
          <w:szCs w:val="20"/>
          <w:lang w:val="uk-UA"/>
        </w:rPr>
        <w:t>методів дослідження</w:t>
      </w:r>
      <w:r w:rsidRPr="008C47A3">
        <w:rPr>
          <w:w w:val="105"/>
          <w:sz w:val="20"/>
          <w:szCs w:val="20"/>
          <w:lang w:val="uk-UA"/>
        </w:rPr>
        <w:t xml:space="preserve">. Систематичний огляд забезпечив поглиблений аналіз фінансових наслідків та економічної ефективності впровадження TB-LAMP у різних країнах та закладах. За допомогою низки економічних аналізів, включаючи оцінки співвідношення </w:t>
      </w:r>
      <w:r w:rsidR="00361B88">
        <w:rPr>
          <w:w w:val="105"/>
          <w:sz w:val="20"/>
          <w:szCs w:val="20"/>
          <w:lang w:val="uk-UA"/>
        </w:rPr>
        <w:t>«</w:t>
      </w:r>
      <w:r w:rsidRPr="008C47A3">
        <w:rPr>
          <w:w w:val="105"/>
          <w:sz w:val="20"/>
          <w:szCs w:val="20"/>
          <w:lang w:val="uk-UA"/>
        </w:rPr>
        <w:t>витрати-</w:t>
      </w:r>
      <w:r w:rsidR="000530D1" w:rsidRPr="008C47A3">
        <w:rPr>
          <w:w w:val="105"/>
          <w:sz w:val="20"/>
          <w:szCs w:val="20"/>
          <w:lang w:val="uk-UA"/>
        </w:rPr>
        <w:t>результати</w:t>
      </w:r>
      <w:r w:rsidR="00361B88">
        <w:rPr>
          <w:w w:val="105"/>
          <w:sz w:val="20"/>
          <w:szCs w:val="20"/>
          <w:lang w:val="uk-UA"/>
        </w:rPr>
        <w:t>»</w:t>
      </w:r>
      <w:r w:rsidRPr="008C47A3">
        <w:rPr>
          <w:w w:val="105"/>
          <w:sz w:val="20"/>
          <w:szCs w:val="20"/>
          <w:lang w:val="uk-UA"/>
        </w:rPr>
        <w:t xml:space="preserve">, </w:t>
      </w:r>
      <w:r w:rsidR="00361B88">
        <w:rPr>
          <w:w w:val="105"/>
          <w:sz w:val="20"/>
          <w:szCs w:val="20"/>
          <w:lang w:val="uk-UA"/>
        </w:rPr>
        <w:t>«</w:t>
      </w:r>
      <w:r w:rsidRPr="008C47A3">
        <w:rPr>
          <w:w w:val="105"/>
          <w:sz w:val="20"/>
          <w:szCs w:val="20"/>
          <w:lang w:val="uk-UA"/>
        </w:rPr>
        <w:t>витрати-користь</w:t>
      </w:r>
      <w:r w:rsidR="00361B88">
        <w:rPr>
          <w:w w:val="105"/>
          <w:sz w:val="20"/>
          <w:szCs w:val="20"/>
          <w:lang w:val="uk-UA"/>
        </w:rPr>
        <w:t>»</w:t>
      </w:r>
      <w:r w:rsidRPr="008C47A3">
        <w:rPr>
          <w:w w:val="105"/>
          <w:sz w:val="20"/>
          <w:szCs w:val="20"/>
          <w:lang w:val="uk-UA"/>
        </w:rPr>
        <w:t xml:space="preserve"> та </w:t>
      </w:r>
      <w:r w:rsidR="00361B88">
        <w:rPr>
          <w:w w:val="105"/>
          <w:sz w:val="20"/>
          <w:szCs w:val="20"/>
          <w:lang w:val="uk-UA"/>
        </w:rPr>
        <w:t>«</w:t>
      </w:r>
      <w:r w:rsidRPr="008C47A3">
        <w:rPr>
          <w:w w:val="105"/>
          <w:sz w:val="20"/>
          <w:szCs w:val="20"/>
          <w:lang w:val="uk-UA"/>
        </w:rPr>
        <w:t>витрати-доступність</w:t>
      </w:r>
      <w:r w:rsidR="00361B88">
        <w:rPr>
          <w:w w:val="105"/>
          <w:sz w:val="20"/>
          <w:szCs w:val="20"/>
          <w:lang w:val="uk-UA"/>
        </w:rPr>
        <w:t>»</w:t>
      </w:r>
      <w:r w:rsidRPr="008C47A3">
        <w:rPr>
          <w:w w:val="105"/>
          <w:sz w:val="20"/>
          <w:szCs w:val="20"/>
          <w:lang w:val="uk-UA"/>
        </w:rPr>
        <w:t xml:space="preserve">, це дослідження надає цінну інформацію про потенційну роль </w:t>
      </w:r>
      <w:r w:rsidR="00CD0B9F">
        <w:rPr>
          <w:w w:val="105"/>
          <w:sz w:val="20"/>
          <w:szCs w:val="20"/>
          <w:lang w:val="uk-UA"/>
        </w:rPr>
        <w:t xml:space="preserve">аналізу </w:t>
      </w:r>
      <w:r w:rsidRPr="008C47A3">
        <w:rPr>
          <w:w w:val="105"/>
          <w:sz w:val="20"/>
          <w:szCs w:val="20"/>
          <w:lang w:val="uk-UA"/>
        </w:rPr>
        <w:t xml:space="preserve">TB LAMP </w:t>
      </w:r>
      <w:r w:rsidR="00CD0B9F">
        <w:rPr>
          <w:w w:val="105"/>
          <w:sz w:val="20"/>
          <w:szCs w:val="20"/>
          <w:lang w:val="uk-UA"/>
        </w:rPr>
        <w:t>для</w:t>
      </w:r>
      <w:r w:rsidRPr="008C47A3">
        <w:rPr>
          <w:w w:val="105"/>
          <w:sz w:val="20"/>
          <w:szCs w:val="20"/>
          <w:lang w:val="uk-UA"/>
        </w:rPr>
        <w:t xml:space="preserve"> діагности</w:t>
      </w:r>
      <w:r w:rsidR="00361B88">
        <w:rPr>
          <w:w w:val="105"/>
          <w:sz w:val="20"/>
          <w:szCs w:val="20"/>
          <w:lang w:val="uk-UA"/>
        </w:rPr>
        <w:t>ки</w:t>
      </w:r>
      <w:r w:rsidRPr="008C47A3">
        <w:rPr>
          <w:w w:val="105"/>
          <w:sz w:val="20"/>
          <w:szCs w:val="20"/>
          <w:lang w:val="uk-UA"/>
        </w:rPr>
        <w:t xml:space="preserve"> туберкульозу.</w:t>
      </w:r>
    </w:p>
    <w:p w14:paraId="3A331F07" w14:textId="0127012C" w:rsidR="00E05B98" w:rsidRPr="007033BB" w:rsidRDefault="008C47A3" w:rsidP="007033BB">
      <w:pPr>
        <w:pStyle w:val="a3"/>
        <w:spacing w:before="177" w:line="269" w:lineRule="auto"/>
        <w:ind w:left="567" w:right="135"/>
        <w:jc w:val="both"/>
        <w:rPr>
          <w:sz w:val="20"/>
          <w:szCs w:val="20"/>
          <w:lang w:val="uk-UA"/>
        </w:rPr>
      </w:pPr>
      <w:r w:rsidRPr="008C47A3">
        <w:rPr>
          <w:sz w:val="20"/>
          <w:szCs w:val="20"/>
          <w:lang w:val="uk-UA"/>
        </w:rPr>
        <w:t>Після видалення 638 повторюваних досліджень з тих, що були визначені під час початкового пошуку, залишилося 1990 унікальних досліджень. З них шість досліджень було включено до остаточного систематичного огляду. Були виключені дослідження, в яких</w:t>
      </w:r>
      <w:r w:rsidR="00FD5E4B">
        <w:rPr>
          <w:sz w:val="20"/>
          <w:szCs w:val="20"/>
          <w:lang w:val="uk-UA"/>
        </w:rPr>
        <w:t>:</w:t>
      </w:r>
      <w:r w:rsidRPr="008C47A3">
        <w:rPr>
          <w:sz w:val="20"/>
          <w:szCs w:val="20"/>
          <w:lang w:val="uk-UA"/>
        </w:rPr>
        <w:t xml:space="preserve"> не брали участ</w:t>
      </w:r>
      <w:r w:rsidR="00361B88">
        <w:rPr>
          <w:sz w:val="20"/>
          <w:szCs w:val="20"/>
          <w:lang w:val="uk-UA"/>
        </w:rPr>
        <w:t>ь</w:t>
      </w:r>
      <w:r w:rsidRPr="008C47A3">
        <w:rPr>
          <w:sz w:val="20"/>
          <w:szCs w:val="20"/>
          <w:lang w:val="uk-UA"/>
        </w:rPr>
        <w:t xml:space="preserve"> люди з ТБ, використовували TB LAMP в якості діагностичної інтервенції, або які не містили даних про вартість. Із шести включених досліджень - в одному проводили аналіз співвідношення </w:t>
      </w:r>
      <w:r w:rsidR="00FD5E4B">
        <w:rPr>
          <w:sz w:val="20"/>
          <w:szCs w:val="20"/>
          <w:lang w:val="uk-UA"/>
        </w:rPr>
        <w:t>«</w:t>
      </w:r>
      <w:r w:rsidRPr="008C47A3">
        <w:rPr>
          <w:sz w:val="20"/>
          <w:szCs w:val="20"/>
          <w:lang w:val="uk-UA"/>
        </w:rPr>
        <w:t>витрати-результат</w:t>
      </w:r>
      <w:r w:rsidR="00FD5E4B">
        <w:rPr>
          <w:sz w:val="20"/>
          <w:szCs w:val="20"/>
          <w:lang w:val="uk-UA"/>
        </w:rPr>
        <w:t>»</w:t>
      </w:r>
      <w:r w:rsidRPr="008C47A3">
        <w:rPr>
          <w:sz w:val="20"/>
          <w:szCs w:val="20"/>
          <w:lang w:val="uk-UA"/>
        </w:rPr>
        <w:t xml:space="preserve">, а у двох - аналіз співвідношення </w:t>
      </w:r>
      <w:r w:rsidR="00FD5E4B">
        <w:rPr>
          <w:sz w:val="20"/>
          <w:szCs w:val="20"/>
          <w:lang w:val="uk-UA"/>
        </w:rPr>
        <w:t>«</w:t>
      </w:r>
      <w:r w:rsidRPr="008C47A3">
        <w:rPr>
          <w:sz w:val="20"/>
          <w:szCs w:val="20"/>
          <w:lang w:val="uk-UA"/>
        </w:rPr>
        <w:t>витрати-доступність</w:t>
      </w:r>
      <w:r w:rsidR="00FD5E4B">
        <w:rPr>
          <w:sz w:val="20"/>
          <w:szCs w:val="20"/>
          <w:lang w:val="uk-UA"/>
        </w:rPr>
        <w:t>»</w:t>
      </w:r>
      <w:r w:rsidRPr="008C47A3">
        <w:rPr>
          <w:sz w:val="20"/>
          <w:szCs w:val="20"/>
          <w:lang w:val="uk-UA"/>
        </w:rPr>
        <w:t>. У трьох інших дослідженнях оцінювали вартість аналізу TB LAMP.</w:t>
      </w:r>
    </w:p>
    <w:p w14:paraId="563A2B2E" w14:textId="77777777" w:rsidR="00E05B98" w:rsidRPr="007033BB" w:rsidRDefault="00E05B98" w:rsidP="007033BB">
      <w:pPr>
        <w:pStyle w:val="a3"/>
        <w:spacing w:line="269" w:lineRule="auto"/>
        <w:jc w:val="both"/>
        <w:rPr>
          <w:sz w:val="20"/>
          <w:szCs w:val="20"/>
          <w:lang w:val="uk-UA"/>
        </w:rPr>
        <w:sectPr w:rsidR="00E05B98" w:rsidRPr="007033BB" w:rsidSect="007033BB">
          <w:type w:val="continuous"/>
          <w:pgSz w:w="11910" w:h="16840"/>
          <w:pgMar w:top="1920" w:right="1137" w:bottom="280" w:left="850" w:header="0" w:footer="573" w:gutter="0"/>
          <w:cols w:space="720"/>
        </w:sectPr>
      </w:pPr>
    </w:p>
    <w:p w14:paraId="1097632C" w14:textId="217DB445" w:rsidR="00E05B98" w:rsidRPr="008C47A3" w:rsidRDefault="00FC792D">
      <w:pPr>
        <w:pStyle w:val="a3"/>
        <w:spacing w:before="52" w:line="297" w:lineRule="auto"/>
        <w:ind w:left="567" w:right="139"/>
        <w:jc w:val="both"/>
        <w:rPr>
          <w:sz w:val="20"/>
          <w:szCs w:val="20"/>
          <w:lang w:val="uk-UA"/>
        </w:rPr>
      </w:pPr>
      <w:r w:rsidRPr="00FC792D">
        <w:rPr>
          <w:sz w:val="20"/>
          <w:szCs w:val="20"/>
          <w:lang w:val="uk-UA"/>
        </w:rPr>
        <w:lastRenderedPageBreak/>
        <w:t>Усі включені дослідження були проведені в країнах з низьким і середнім рівнем доходу. Зокрема, два дослідження були проведені в Таїланді, одне - в Малаві, по одному - в Малаві та В'єтнамі, а також по одному в Індії та Камеруні. Дослідження проводили в період між 2014 і 2021 рр. в різних медичних закладах, у таких як</w:t>
      </w:r>
      <w:r w:rsidR="004944DB">
        <w:rPr>
          <w:sz w:val="20"/>
          <w:szCs w:val="20"/>
          <w:lang w:val="uk-UA"/>
        </w:rPr>
        <w:t>:</w:t>
      </w:r>
      <w:r w:rsidRPr="00FC792D">
        <w:rPr>
          <w:sz w:val="20"/>
          <w:szCs w:val="20"/>
          <w:lang w:val="uk-UA"/>
        </w:rPr>
        <w:t xml:space="preserve"> амбулаторні відділення медичних центрів, периферійні лабораторії, лабораторії для розробки модифікованого тесту LAMP для виявлення ТБ, </w:t>
      </w:r>
      <w:r w:rsidRPr="00CD0B9F">
        <w:rPr>
          <w:sz w:val="20"/>
          <w:szCs w:val="20"/>
          <w:lang w:val="uk-UA"/>
        </w:rPr>
        <w:t xml:space="preserve">а також у в'язницях та поселеннях </w:t>
      </w:r>
      <w:r w:rsidR="00CD0B9F" w:rsidRPr="00CD0B9F">
        <w:rPr>
          <w:sz w:val="20"/>
          <w:szCs w:val="20"/>
          <w:lang w:val="uk-UA"/>
        </w:rPr>
        <w:t xml:space="preserve">тимчасового утримання </w:t>
      </w:r>
      <w:r w:rsidRPr="00CD0B9F">
        <w:rPr>
          <w:sz w:val="20"/>
          <w:szCs w:val="20"/>
          <w:lang w:val="uk-UA"/>
        </w:rPr>
        <w:t xml:space="preserve">спецконтингенту </w:t>
      </w:r>
      <w:r w:rsidR="00CD0B9F" w:rsidRPr="00CD0B9F">
        <w:rPr>
          <w:sz w:val="20"/>
          <w:szCs w:val="20"/>
          <w:lang w:val="uk-UA"/>
        </w:rPr>
        <w:t xml:space="preserve">(в’язнів) </w:t>
      </w:r>
      <w:r w:rsidRPr="00CD0B9F">
        <w:rPr>
          <w:sz w:val="20"/>
          <w:szCs w:val="20"/>
          <w:lang w:val="uk-UA"/>
        </w:rPr>
        <w:t>та біженців.</w:t>
      </w:r>
      <w:r w:rsidR="00B01E0C" w:rsidRPr="008C47A3">
        <w:rPr>
          <w:spacing w:val="-1"/>
          <w:sz w:val="20"/>
          <w:szCs w:val="20"/>
          <w:lang w:val="uk-UA"/>
        </w:rPr>
        <w:t xml:space="preserve"> </w:t>
      </w:r>
      <w:r w:rsidR="007B6081" w:rsidRPr="007B6081">
        <w:rPr>
          <w:sz w:val="20"/>
          <w:szCs w:val="20"/>
          <w:lang w:val="uk-UA"/>
        </w:rPr>
        <w:t>В одному дослідженні використовували зразки мокротиння від людей з відомим статусом захворювання на ТБ, а в іншому — зразки, отримані шляхом тонкоголкової аспіраційної біопсії лімфатичних вузлів від ВІЛ-позитивних пацієнтів з позалегеневим туберкульозним лімфаденітом. В інших чотирьох дослідженнях використовували зразки мокротиння від людей з ймовірним туберкульозом.</w:t>
      </w:r>
    </w:p>
    <w:p w14:paraId="1AC45233" w14:textId="271597B3" w:rsidR="00E05B98" w:rsidRPr="008C47A3" w:rsidRDefault="007B6081">
      <w:pPr>
        <w:pStyle w:val="a3"/>
        <w:spacing w:before="180" w:line="297" w:lineRule="auto"/>
        <w:ind w:left="567" w:right="134"/>
        <w:jc w:val="both"/>
        <w:rPr>
          <w:sz w:val="20"/>
          <w:szCs w:val="20"/>
          <w:lang w:val="uk-UA"/>
        </w:rPr>
      </w:pPr>
      <w:r w:rsidRPr="007B6081">
        <w:rPr>
          <w:sz w:val="20"/>
          <w:szCs w:val="20"/>
          <w:lang w:val="uk-UA"/>
        </w:rPr>
        <w:t xml:space="preserve">За даними трьох досліджень, вартість одного тесту становила від 1 до 19 дол.США (всі значення в доларах США станом на 2024 р.). Під час проведення всіх цих досліджень використовували власні методики і не застосовували комерційно доступний тест TB LAMP. Проаналізовані дослідження виявили, що такі фактори, як сценарії дозування та більша потужність тесту, впливають на вартість одного тесту, причому вартість одного тесту знижується за певних сценаріїв. Обсяги тестування, місце проведення та операційні параметри також можуть впливати на вартість. Варто зазначити, що аналіз співвідношення «витрати-результат» позитивно оцінив тест TB LAMP з точки зору ефективності </w:t>
      </w:r>
      <w:r w:rsidR="00CD0B9F">
        <w:rPr>
          <w:sz w:val="20"/>
          <w:szCs w:val="20"/>
          <w:lang w:val="uk-UA"/>
        </w:rPr>
        <w:t xml:space="preserve">витрат </w:t>
      </w:r>
      <w:r w:rsidRPr="007B6081">
        <w:rPr>
          <w:sz w:val="20"/>
          <w:szCs w:val="20"/>
          <w:lang w:val="uk-UA"/>
        </w:rPr>
        <w:t>порівняно з іншими діагностичними алгоритмами.</w:t>
      </w:r>
    </w:p>
    <w:p w14:paraId="78921F61" w14:textId="777FF5EF" w:rsidR="00E05B98" w:rsidRPr="008C47A3" w:rsidRDefault="00056D9E">
      <w:pPr>
        <w:pStyle w:val="a3"/>
        <w:spacing w:before="179" w:line="297" w:lineRule="auto"/>
        <w:ind w:left="567" w:right="140"/>
        <w:jc w:val="both"/>
        <w:rPr>
          <w:sz w:val="20"/>
          <w:szCs w:val="20"/>
          <w:lang w:val="uk-UA"/>
        </w:rPr>
      </w:pPr>
      <w:r w:rsidRPr="00056D9E">
        <w:rPr>
          <w:sz w:val="20"/>
          <w:szCs w:val="20"/>
          <w:lang w:val="uk-UA"/>
        </w:rPr>
        <w:t xml:space="preserve">Результати аналізу співвідношення «витрати-корисність» свідчать про те, що ТВ LAMP з подальшим проведенням ТМЧ є не лише ефективним, але й економічно вигідним порівняно зі стандартним діагностичним підходом (тобто дослідження мазку, бакпосів і ТМЧ). Ці результати надають цінну інформацію для практикуючих лікарів та осіб з </w:t>
      </w:r>
      <w:r>
        <w:rPr>
          <w:sz w:val="20"/>
          <w:szCs w:val="20"/>
          <w:lang w:val="uk-UA"/>
        </w:rPr>
        <w:t>розробки</w:t>
      </w:r>
      <w:r w:rsidRPr="00056D9E">
        <w:rPr>
          <w:sz w:val="20"/>
          <w:szCs w:val="20"/>
          <w:lang w:val="uk-UA"/>
        </w:rPr>
        <w:t xml:space="preserve"> політики </w:t>
      </w:r>
      <w:r w:rsidR="004944DB">
        <w:rPr>
          <w:sz w:val="20"/>
          <w:szCs w:val="20"/>
          <w:lang w:val="uk-UA"/>
        </w:rPr>
        <w:t>у сфері</w:t>
      </w:r>
      <w:r w:rsidRPr="00056D9E">
        <w:rPr>
          <w:sz w:val="20"/>
          <w:szCs w:val="20"/>
          <w:lang w:val="uk-UA"/>
        </w:rPr>
        <w:t xml:space="preserve"> оптимізації стратегій діагностики ТБ з урахуванням ефективності</w:t>
      </w:r>
      <w:r w:rsidR="00CD0B9F">
        <w:rPr>
          <w:sz w:val="20"/>
          <w:szCs w:val="20"/>
          <w:lang w:val="uk-UA"/>
        </w:rPr>
        <w:t xml:space="preserve"> витрат</w:t>
      </w:r>
      <w:r w:rsidRPr="00056D9E">
        <w:rPr>
          <w:sz w:val="20"/>
          <w:szCs w:val="20"/>
          <w:lang w:val="uk-UA"/>
        </w:rPr>
        <w:t>.</w:t>
      </w:r>
    </w:p>
    <w:p w14:paraId="18CAB690" w14:textId="1F364FAD" w:rsidR="00E05B98" w:rsidRPr="008C47A3" w:rsidRDefault="004944DB">
      <w:pPr>
        <w:pStyle w:val="a3"/>
        <w:spacing w:before="175" w:line="297" w:lineRule="auto"/>
        <w:ind w:left="567" w:right="135"/>
        <w:jc w:val="both"/>
        <w:rPr>
          <w:sz w:val="20"/>
          <w:szCs w:val="20"/>
          <w:lang w:val="uk-UA"/>
        </w:rPr>
      </w:pPr>
      <w:r>
        <w:rPr>
          <w:sz w:val="20"/>
          <w:szCs w:val="20"/>
          <w:lang w:val="uk-UA"/>
        </w:rPr>
        <w:t>А о</w:t>
      </w:r>
      <w:r w:rsidR="00117ED3" w:rsidRPr="00117ED3">
        <w:rPr>
          <w:sz w:val="20"/>
          <w:szCs w:val="20"/>
          <w:lang w:val="uk-UA"/>
        </w:rPr>
        <w:t>д</w:t>
      </w:r>
      <w:r>
        <w:rPr>
          <w:sz w:val="20"/>
          <w:szCs w:val="20"/>
          <w:lang w:val="uk-UA"/>
        </w:rPr>
        <w:t>ному</w:t>
      </w:r>
      <w:r w:rsidR="00117ED3" w:rsidRPr="00117ED3">
        <w:rPr>
          <w:sz w:val="20"/>
          <w:szCs w:val="20"/>
          <w:lang w:val="uk-UA"/>
        </w:rPr>
        <w:t xml:space="preserve"> аналіз</w:t>
      </w:r>
      <w:r>
        <w:rPr>
          <w:sz w:val="20"/>
          <w:szCs w:val="20"/>
          <w:lang w:val="uk-UA"/>
        </w:rPr>
        <w:t>і</w:t>
      </w:r>
      <w:r w:rsidR="00117ED3" w:rsidRPr="00117ED3">
        <w:rPr>
          <w:sz w:val="20"/>
          <w:szCs w:val="20"/>
          <w:lang w:val="uk-UA"/>
        </w:rPr>
        <w:t xml:space="preserve"> співвідношення </w:t>
      </w:r>
      <w:r>
        <w:rPr>
          <w:sz w:val="20"/>
          <w:szCs w:val="20"/>
          <w:lang w:val="uk-UA"/>
        </w:rPr>
        <w:t>«</w:t>
      </w:r>
      <w:r w:rsidR="00117ED3" w:rsidRPr="00117ED3">
        <w:rPr>
          <w:sz w:val="20"/>
          <w:szCs w:val="20"/>
          <w:lang w:val="uk-UA"/>
        </w:rPr>
        <w:t>витрати-доступність</w:t>
      </w:r>
      <w:r>
        <w:rPr>
          <w:sz w:val="20"/>
          <w:szCs w:val="20"/>
          <w:lang w:val="uk-UA"/>
        </w:rPr>
        <w:t>»</w:t>
      </w:r>
      <w:r w:rsidR="00117ED3" w:rsidRPr="00117ED3">
        <w:rPr>
          <w:sz w:val="20"/>
          <w:szCs w:val="20"/>
          <w:lang w:val="uk-UA"/>
        </w:rPr>
        <w:t>, проведен</w:t>
      </w:r>
      <w:r>
        <w:rPr>
          <w:sz w:val="20"/>
          <w:szCs w:val="20"/>
          <w:lang w:val="uk-UA"/>
        </w:rPr>
        <w:t>ому</w:t>
      </w:r>
      <w:r w:rsidR="00117ED3" w:rsidRPr="00117ED3">
        <w:rPr>
          <w:sz w:val="20"/>
          <w:szCs w:val="20"/>
          <w:lang w:val="uk-UA"/>
        </w:rPr>
        <w:t xml:space="preserve"> </w:t>
      </w:r>
      <w:r>
        <w:rPr>
          <w:sz w:val="20"/>
          <w:szCs w:val="20"/>
          <w:lang w:val="uk-UA"/>
        </w:rPr>
        <w:t>в</w:t>
      </w:r>
      <w:r w:rsidR="00117ED3" w:rsidRPr="00117ED3">
        <w:rPr>
          <w:sz w:val="20"/>
          <w:szCs w:val="20"/>
          <w:lang w:val="uk-UA"/>
        </w:rPr>
        <w:t xml:space="preserve"> периферійних лабораторіях Малаві та В'єтнаму, </w:t>
      </w:r>
      <w:r>
        <w:rPr>
          <w:sz w:val="20"/>
          <w:szCs w:val="20"/>
          <w:lang w:val="uk-UA"/>
        </w:rPr>
        <w:t>особливий акцент було зроблено на</w:t>
      </w:r>
      <w:r w:rsidR="00117ED3" w:rsidRPr="00117ED3">
        <w:rPr>
          <w:sz w:val="20"/>
          <w:szCs w:val="20"/>
          <w:lang w:val="uk-UA"/>
        </w:rPr>
        <w:t xml:space="preserve"> економічн</w:t>
      </w:r>
      <w:r w:rsidR="00F90608">
        <w:rPr>
          <w:sz w:val="20"/>
          <w:szCs w:val="20"/>
          <w:lang w:val="uk-UA"/>
        </w:rPr>
        <w:t>их</w:t>
      </w:r>
      <w:r w:rsidR="00117ED3" w:rsidRPr="00117ED3">
        <w:rPr>
          <w:sz w:val="20"/>
          <w:szCs w:val="20"/>
          <w:lang w:val="uk-UA"/>
        </w:rPr>
        <w:t xml:space="preserve"> аспект</w:t>
      </w:r>
      <w:r w:rsidR="00F90608">
        <w:rPr>
          <w:sz w:val="20"/>
          <w:szCs w:val="20"/>
          <w:lang w:val="uk-UA"/>
        </w:rPr>
        <w:t>ах</w:t>
      </w:r>
      <w:r w:rsidR="00117ED3" w:rsidRPr="00117ED3">
        <w:rPr>
          <w:sz w:val="20"/>
          <w:szCs w:val="20"/>
          <w:lang w:val="uk-UA"/>
        </w:rPr>
        <w:t xml:space="preserve"> впровадження TB LAMP та Xpert MTB/ RIF. Дослідження показало, що витрати на один тест для TB LAMP були нижчими, ніж для Xpert MTB/ RIF. Однак </w:t>
      </w:r>
      <w:r w:rsidR="00196C79">
        <w:rPr>
          <w:sz w:val="20"/>
          <w:szCs w:val="20"/>
          <w:lang w:val="uk-UA"/>
        </w:rPr>
        <w:t xml:space="preserve">з точки </w:t>
      </w:r>
      <w:r w:rsidR="00117ED3" w:rsidRPr="00117ED3">
        <w:rPr>
          <w:sz w:val="20"/>
          <w:szCs w:val="20"/>
          <w:lang w:val="uk-UA"/>
        </w:rPr>
        <w:t>потенційн</w:t>
      </w:r>
      <w:r w:rsidR="00196C79">
        <w:rPr>
          <w:sz w:val="20"/>
          <w:szCs w:val="20"/>
          <w:lang w:val="uk-UA"/>
        </w:rPr>
        <w:t>ого</w:t>
      </w:r>
      <w:r w:rsidR="00117ED3" w:rsidRPr="00117ED3">
        <w:rPr>
          <w:sz w:val="20"/>
          <w:szCs w:val="20"/>
          <w:lang w:val="uk-UA"/>
        </w:rPr>
        <w:t xml:space="preserve"> фінансов</w:t>
      </w:r>
      <w:r w:rsidR="00196C79">
        <w:rPr>
          <w:sz w:val="20"/>
          <w:szCs w:val="20"/>
          <w:lang w:val="uk-UA"/>
        </w:rPr>
        <w:t>ого</w:t>
      </w:r>
      <w:r w:rsidR="00117ED3" w:rsidRPr="00117ED3">
        <w:rPr>
          <w:sz w:val="20"/>
          <w:szCs w:val="20"/>
          <w:lang w:val="uk-UA"/>
        </w:rPr>
        <w:t xml:space="preserve"> тягар</w:t>
      </w:r>
      <w:r w:rsidR="00196C79">
        <w:rPr>
          <w:sz w:val="20"/>
          <w:szCs w:val="20"/>
          <w:lang w:val="uk-UA"/>
        </w:rPr>
        <w:t>я</w:t>
      </w:r>
      <w:r w:rsidR="00117ED3" w:rsidRPr="00117ED3">
        <w:rPr>
          <w:sz w:val="20"/>
          <w:szCs w:val="20"/>
          <w:lang w:val="uk-UA"/>
        </w:rPr>
        <w:t>, пов'язан</w:t>
      </w:r>
      <w:r w:rsidR="00196C79">
        <w:rPr>
          <w:sz w:val="20"/>
          <w:szCs w:val="20"/>
          <w:lang w:val="uk-UA"/>
        </w:rPr>
        <w:t>ого</w:t>
      </w:r>
      <w:r w:rsidR="00117ED3" w:rsidRPr="00117ED3">
        <w:rPr>
          <w:sz w:val="20"/>
          <w:szCs w:val="20"/>
          <w:lang w:val="uk-UA"/>
        </w:rPr>
        <w:t xml:space="preserve"> з широким впровадженням, </w:t>
      </w:r>
      <w:r w:rsidR="00196C79">
        <w:rPr>
          <w:sz w:val="20"/>
          <w:szCs w:val="20"/>
          <w:lang w:val="uk-UA"/>
        </w:rPr>
        <w:t>було зроблено акцент на</w:t>
      </w:r>
      <w:r w:rsidR="00117ED3" w:rsidRPr="00117ED3">
        <w:rPr>
          <w:sz w:val="20"/>
          <w:szCs w:val="20"/>
          <w:lang w:val="uk-UA"/>
        </w:rPr>
        <w:t xml:space="preserve"> важлив</w:t>
      </w:r>
      <w:r w:rsidR="00196C79">
        <w:rPr>
          <w:sz w:val="20"/>
          <w:szCs w:val="20"/>
          <w:lang w:val="uk-UA"/>
        </w:rPr>
        <w:t>ості</w:t>
      </w:r>
      <w:r w:rsidR="00117ED3" w:rsidRPr="00117ED3">
        <w:rPr>
          <w:sz w:val="20"/>
          <w:szCs w:val="20"/>
          <w:lang w:val="uk-UA"/>
        </w:rPr>
        <w:t xml:space="preserve"> оцінки ефективності </w:t>
      </w:r>
      <w:r w:rsidR="00CD0B9F">
        <w:rPr>
          <w:sz w:val="20"/>
          <w:szCs w:val="20"/>
          <w:lang w:val="uk-UA"/>
        </w:rPr>
        <w:t xml:space="preserve">витрат </w:t>
      </w:r>
      <w:r w:rsidR="00117ED3" w:rsidRPr="00117ED3">
        <w:rPr>
          <w:sz w:val="20"/>
          <w:szCs w:val="20"/>
          <w:lang w:val="uk-UA"/>
        </w:rPr>
        <w:t xml:space="preserve">при формуванні </w:t>
      </w:r>
      <w:r w:rsidR="00F90608">
        <w:rPr>
          <w:sz w:val="20"/>
          <w:szCs w:val="20"/>
          <w:lang w:val="uk-UA"/>
        </w:rPr>
        <w:t xml:space="preserve">стратегій </w:t>
      </w:r>
      <w:r w:rsidR="00117ED3" w:rsidRPr="00117ED3">
        <w:rPr>
          <w:sz w:val="20"/>
          <w:szCs w:val="20"/>
          <w:lang w:val="uk-UA"/>
        </w:rPr>
        <w:t>діагности</w:t>
      </w:r>
      <w:r w:rsidR="00F90608">
        <w:rPr>
          <w:sz w:val="20"/>
          <w:szCs w:val="20"/>
          <w:lang w:val="uk-UA"/>
        </w:rPr>
        <w:t>ки</w:t>
      </w:r>
      <w:r w:rsidR="00117ED3" w:rsidRPr="00117ED3">
        <w:rPr>
          <w:sz w:val="20"/>
          <w:szCs w:val="20"/>
          <w:lang w:val="uk-UA"/>
        </w:rPr>
        <w:t xml:space="preserve">. Детальніше див. </w:t>
      </w:r>
      <w:r w:rsidR="00117ED3" w:rsidRPr="00117ED3">
        <w:rPr>
          <w:b/>
          <w:bCs/>
          <w:sz w:val="20"/>
          <w:szCs w:val="20"/>
          <w:lang w:val="uk-UA"/>
        </w:rPr>
        <w:t>веб-додаток B.9</w:t>
      </w:r>
      <w:r w:rsidR="00117ED3" w:rsidRPr="00117ED3">
        <w:rPr>
          <w:sz w:val="20"/>
          <w:szCs w:val="20"/>
          <w:lang w:val="uk-UA"/>
        </w:rPr>
        <w:t>.</w:t>
      </w:r>
    </w:p>
    <w:p w14:paraId="33CA8290" w14:textId="21ABB3FC" w:rsidR="00E05B98" w:rsidRPr="008C47A3" w:rsidRDefault="00F17CDD">
      <w:pPr>
        <w:pStyle w:val="a3"/>
        <w:spacing w:before="173" w:line="297" w:lineRule="auto"/>
        <w:ind w:left="567" w:right="133"/>
        <w:jc w:val="both"/>
        <w:rPr>
          <w:sz w:val="20"/>
          <w:szCs w:val="20"/>
          <w:lang w:val="uk-UA"/>
        </w:rPr>
      </w:pPr>
      <w:r w:rsidRPr="00F17CDD">
        <w:rPr>
          <w:sz w:val="20"/>
          <w:szCs w:val="20"/>
          <w:lang w:val="uk-UA"/>
        </w:rPr>
        <w:t xml:space="preserve">Проаналізовані дослідження мали певні обмеження, такі як відмінності </w:t>
      </w:r>
      <w:r w:rsidR="00F90608">
        <w:rPr>
          <w:sz w:val="20"/>
          <w:szCs w:val="20"/>
          <w:lang w:val="uk-UA"/>
        </w:rPr>
        <w:t xml:space="preserve">в </w:t>
      </w:r>
      <w:r w:rsidRPr="00F17CDD">
        <w:rPr>
          <w:sz w:val="20"/>
          <w:szCs w:val="20"/>
          <w:lang w:val="uk-UA"/>
        </w:rPr>
        <w:t>умов</w:t>
      </w:r>
      <w:r w:rsidR="00F90608">
        <w:rPr>
          <w:sz w:val="20"/>
          <w:szCs w:val="20"/>
          <w:lang w:val="uk-UA"/>
        </w:rPr>
        <w:t>ах</w:t>
      </w:r>
      <w:r w:rsidRPr="00F17CDD">
        <w:rPr>
          <w:sz w:val="20"/>
          <w:szCs w:val="20"/>
          <w:lang w:val="uk-UA"/>
        </w:rPr>
        <w:t>, джерел</w:t>
      </w:r>
      <w:r w:rsidR="00F90608">
        <w:rPr>
          <w:sz w:val="20"/>
          <w:szCs w:val="20"/>
          <w:lang w:val="uk-UA"/>
        </w:rPr>
        <w:t>ах</w:t>
      </w:r>
      <w:r w:rsidRPr="00F17CDD">
        <w:rPr>
          <w:sz w:val="20"/>
          <w:szCs w:val="20"/>
          <w:lang w:val="uk-UA"/>
        </w:rPr>
        <w:t xml:space="preserve"> вибірки та тестів порівняння, що може вплинути на узагальненість результатів. Крім того, аналіз співвідношення </w:t>
      </w:r>
      <w:r w:rsidR="00F90608">
        <w:rPr>
          <w:sz w:val="20"/>
          <w:szCs w:val="20"/>
          <w:lang w:val="uk-UA"/>
        </w:rPr>
        <w:t>«</w:t>
      </w:r>
      <w:r w:rsidRPr="00F17CDD">
        <w:rPr>
          <w:sz w:val="20"/>
          <w:szCs w:val="20"/>
          <w:lang w:val="uk-UA"/>
        </w:rPr>
        <w:t>витрати-доступність</w:t>
      </w:r>
      <w:r w:rsidR="00F90608">
        <w:rPr>
          <w:sz w:val="20"/>
          <w:szCs w:val="20"/>
          <w:lang w:val="uk-UA"/>
        </w:rPr>
        <w:t>»</w:t>
      </w:r>
      <w:r w:rsidRPr="00F17CDD">
        <w:rPr>
          <w:sz w:val="20"/>
          <w:szCs w:val="20"/>
          <w:lang w:val="uk-UA"/>
        </w:rPr>
        <w:t xml:space="preserve"> підкреслює фінансові наслідки загальнонаціонального впровадження, що свідчить про необхідність ретельного планування </w:t>
      </w:r>
      <w:r w:rsidR="00196C79">
        <w:rPr>
          <w:sz w:val="20"/>
          <w:szCs w:val="20"/>
          <w:lang w:val="uk-UA"/>
        </w:rPr>
        <w:t xml:space="preserve">бюджету </w:t>
      </w:r>
      <w:r w:rsidRPr="00F17CDD">
        <w:rPr>
          <w:sz w:val="20"/>
          <w:szCs w:val="20"/>
          <w:lang w:val="uk-UA"/>
        </w:rPr>
        <w:t xml:space="preserve">та розподілу коштів. Крім того, недавнє зниження ціни на TB LAMP Глобальним фондом для боротьби з ВІЛ/СНІДом (нова ціна - 6 дол.США) може вплинути на результати економічних оцінок, потенційно підвищуючи ефективність </w:t>
      </w:r>
      <w:r w:rsidR="00196C79">
        <w:rPr>
          <w:sz w:val="20"/>
          <w:szCs w:val="20"/>
          <w:lang w:val="uk-UA"/>
        </w:rPr>
        <w:t xml:space="preserve">витрат </w:t>
      </w:r>
      <w:r w:rsidRPr="00F17CDD">
        <w:rPr>
          <w:sz w:val="20"/>
          <w:szCs w:val="20"/>
          <w:lang w:val="uk-UA"/>
        </w:rPr>
        <w:t>і доступність впровадження TB LAMP в різних країнах.</w:t>
      </w:r>
    </w:p>
    <w:p w14:paraId="48B67E08" w14:textId="77777777" w:rsidR="00F17CDD" w:rsidRPr="00F17CDD" w:rsidRDefault="00F17CDD" w:rsidP="00F90608">
      <w:pPr>
        <w:pStyle w:val="a3"/>
        <w:spacing w:before="171" w:line="288" w:lineRule="auto"/>
        <w:ind w:left="567"/>
        <w:jc w:val="both"/>
        <w:rPr>
          <w:sz w:val="20"/>
          <w:szCs w:val="20"/>
          <w:lang w:val="uk-UA"/>
        </w:rPr>
      </w:pPr>
      <w:r w:rsidRPr="00F17CDD">
        <w:rPr>
          <w:sz w:val="20"/>
          <w:szCs w:val="20"/>
          <w:lang w:val="uk-UA"/>
        </w:rPr>
        <w:t>Ці сукупні висновки свідчать про те, що TB LAMP є перспективним економічно ефективним та дієвим діагностичним інструментом для виявлення ТБ за умови інтеграції в ширші діагностичні алгоритми, особливо за умов обмежених ресурсів.</w:t>
      </w:r>
    </w:p>
    <w:p w14:paraId="3A39707E" w14:textId="1C0DE627" w:rsidR="00E05B98" w:rsidRPr="008C47A3" w:rsidRDefault="00F17CDD" w:rsidP="00F17CDD">
      <w:pPr>
        <w:pStyle w:val="a3"/>
        <w:spacing w:before="171"/>
        <w:ind w:left="567"/>
        <w:jc w:val="both"/>
        <w:rPr>
          <w:sz w:val="20"/>
          <w:szCs w:val="20"/>
          <w:lang w:val="uk-UA"/>
        </w:rPr>
      </w:pPr>
      <w:r w:rsidRPr="00F17CDD">
        <w:rPr>
          <w:sz w:val="20"/>
          <w:szCs w:val="20"/>
          <w:lang w:val="uk-UA"/>
        </w:rPr>
        <w:t xml:space="preserve">Більш детальну інформацію про економічну оцінку рТАНК-НС представлено у </w:t>
      </w:r>
      <w:r w:rsidRPr="00F17CDD">
        <w:rPr>
          <w:b/>
          <w:bCs/>
          <w:sz w:val="20"/>
          <w:szCs w:val="20"/>
          <w:lang w:val="uk-UA"/>
        </w:rPr>
        <w:t>веб-додатку B.9</w:t>
      </w:r>
      <w:r w:rsidRPr="00F17CDD">
        <w:rPr>
          <w:sz w:val="20"/>
          <w:szCs w:val="20"/>
          <w:lang w:val="uk-UA"/>
        </w:rPr>
        <w:t>.</w:t>
      </w:r>
    </w:p>
    <w:p w14:paraId="489D567C" w14:textId="77777777" w:rsidR="00E05B98" w:rsidRPr="008C47A3" w:rsidRDefault="00E05B98">
      <w:pPr>
        <w:pStyle w:val="a3"/>
        <w:spacing w:before="8"/>
        <w:rPr>
          <w:sz w:val="20"/>
          <w:szCs w:val="20"/>
          <w:lang w:val="uk-UA"/>
        </w:rPr>
      </w:pPr>
    </w:p>
    <w:p w14:paraId="570B9C2D" w14:textId="5BA134FA" w:rsidR="00E05B98" w:rsidRPr="00196C79" w:rsidRDefault="00F17CDD">
      <w:pPr>
        <w:pStyle w:val="5"/>
        <w:spacing w:before="1"/>
        <w:jc w:val="both"/>
        <w:rPr>
          <w:sz w:val="22"/>
          <w:szCs w:val="22"/>
          <w:lang w:val="uk-UA"/>
        </w:rPr>
      </w:pPr>
      <w:r w:rsidRPr="00196C79">
        <w:rPr>
          <w:color w:val="019648"/>
          <w:spacing w:val="-2"/>
          <w:sz w:val="22"/>
          <w:szCs w:val="22"/>
          <w:lang w:val="uk-UA"/>
        </w:rPr>
        <w:t>Точка зору користувача</w:t>
      </w:r>
    </w:p>
    <w:p w14:paraId="73734EF9" w14:textId="4120FBE6" w:rsidR="00E05B98" w:rsidRPr="003C6DAE" w:rsidRDefault="00F17CDD">
      <w:pPr>
        <w:spacing w:before="215"/>
        <w:ind w:left="567"/>
        <w:jc w:val="both"/>
        <w:rPr>
          <w:rFonts w:ascii="Arial"/>
          <w:i/>
          <w:lang w:val="uk-UA"/>
        </w:rPr>
      </w:pPr>
      <w:r w:rsidRPr="00F17CDD">
        <w:rPr>
          <w:i/>
          <w:sz w:val="20"/>
          <w:szCs w:val="20"/>
          <w:lang w:val="uk-UA"/>
        </w:rPr>
        <w:t xml:space="preserve">У цьому розділі розглядається наступне </w:t>
      </w:r>
      <w:r w:rsidR="00F90608">
        <w:rPr>
          <w:i/>
          <w:sz w:val="20"/>
          <w:szCs w:val="20"/>
          <w:lang w:val="uk-UA"/>
        </w:rPr>
        <w:t>за</w:t>
      </w:r>
      <w:r w:rsidRPr="00F17CDD">
        <w:rPr>
          <w:i/>
          <w:sz w:val="20"/>
          <w:szCs w:val="20"/>
          <w:lang w:val="uk-UA"/>
        </w:rPr>
        <w:t>питання:</w:t>
      </w:r>
    </w:p>
    <w:p w14:paraId="29A9A47D" w14:textId="77777777" w:rsidR="00E05B98" w:rsidRPr="003C6DAE" w:rsidRDefault="00E05B98">
      <w:pPr>
        <w:jc w:val="both"/>
        <w:rPr>
          <w:rFonts w:ascii="Arial"/>
          <w:i/>
          <w:lang w:val="uk-UA"/>
        </w:rPr>
        <w:sectPr w:rsidR="00E05B98" w:rsidRPr="003C6DAE" w:rsidSect="008C47A3">
          <w:pgSz w:w="11910" w:h="16840"/>
          <w:pgMar w:top="1320" w:right="995" w:bottom="760" w:left="850" w:header="0" w:footer="573" w:gutter="0"/>
          <w:cols w:space="720"/>
        </w:sectPr>
      </w:pPr>
    </w:p>
    <w:p w14:paraId="6C1816F7" w14:textId="661BF815" w:rsidR="00E05B98" w:rsidRPr="00196C79" w:rsidRDefault="00C25EC7" w:rsidP="00F17CDD">
      <w:pPr>
        <w:pStyle w:val="7"/>
        <w:spacing w:before="46" w:line="249" w:lineRule="auto"/>
        <w:jc w:val="both"/>
        <w:rPr>
          <w:sz w:val="22"/>
          <w:szCs w:val="22"/>
          <w:lang w:val="uk-UA"/>
        </w:rPr>
      </w:pPr>
      <w:r w:rsidRPr="00196C79">
        <w:rPr>
          <w:color w:val="019648"/>
          <w:sz w:val="22"/>
          <w:szCs w:val="22"/>
          <w:lang w:val="uk-UA"/>
        </w:rPr>
        <w:lastRenderedPageBreak/>
        <w:t xml:space="preserve">Чи впливає впровадження рТАНК-НС на уподобання та цінності користувачів, </w:t>
      </w:r>
      <w:r w:rsidR="00F90608" w:rsidRPr="00196C79">
        <w:rPr>
          <w:color w:val="019648"/>
          <w:sz w:val="22"/>
          <w:szCs w:val="22"/>
          <w:lang w:val="uk-UA"/>
        </w:rPr>
        <w:t xml:space="preserve">його </w:t>
      </w:r>
      <w:r w:rsidRPr="00196C79">
        <w:rPr>
          <w:color w:val="019648"/>
          <w:sz w:val="22"/>
          <w:szCs w:val="22"/>
          <w:lang w:val="uk-UA"/>
        </w:rPr>
        <w:t xml:space="preserve">прийнятність, можливість реалізації, </w:t>
      </w:r>
      <w:r w:rsidR="00196C79">
        <w:rPr>
          <w:color w:val="019648"/>
          <w:sz w:val="22"/>
          <w:szCs w:val="22"/>
          <w:lang w:val="uk-UA"/>
        </w:rPr>
        <w:t xml:space="preserve">рівність та </w:t>
      </w:r>
      <w:r w:rsidRPr="00196C79">
        <w:rPr>
          <w:color w:val="019648"/>
          <w:sz w:val="22"/>
          <w:szCs w:val="22"/>
          <w:lang w:val="uk-UA"/>
        </w:rPr>
        <w:t>справедливість у наданні послуг пацієнтам та на права людини?</w:t>
      </w:r>
    </w:p>
    <w:p w14:paraId="2879CB1C" w14:textId="4BBC2ED4" w:rsidR="00C25EC7" w:rsidRPr="00C25EC7" w:rsidRDefault="00C25EC7" w:rsidP="00C25EC7">
      <w:pPr>
        <w:pStyle w:val="a3"/>
        <w:spacing w:before="173" w:line="276" w:lineRule="auto"/>
        <w:ind w:left="567"/>
        <w:jc w:val="both"/>
        <w:rPr>
          <w:spacing w:val="-2"/>
          <w:sz w:val="20"/>
          <w:szCs w:val="20"/>
          <w:lang w:val="uk-UA"/>
        </w:rPr>
      </w:pPr>
      <w:r w:rsidRPr="00C25EC7">
        <w:rPr>
          <w:spacing w:val="-2"/>
          <w:sz w:val="20"/>
          <w:szCs w:val="20"/>
          <w:lang w:val="uk-UA"/>
        </w:rPr>
        <w:t xml:space="preserve">Результати досліджень, які були зосереджені на аТАНК-НС, значною мірою застосовні до рТАНК-НС, із застереженням </w:t>
      </w:r>
      <w:r w:rsidR="00F90608">
        <w:rPr>
          <w:spacing w:val="-2"/>
          <w:sz w:val="20"/>
          <w:szCs w:val="20"/>
          <w:lang w:val="uk-UA"/>
        </w:rPr>
        <w:t>з приводу</w:t>
      </w:r>
      <w:r w:rsidRPr="00C25EC7">
        <w:rPr>
          <w:spacing w:val="-2"/>
          <w:sz w:val="20"/>
          <w:szCs w:val="20"/>
          <w:lang w:val="uk-UA"/>
        </w:rPr>
        <w:t xml:space="preserve"> дещо більш низької чутливості та відсутності можливості виявляти стійкість до рифампіцину.</w:t>
      </w:r>
    </w:p>
    <w:p w14:paraId="76E442F3" w14:textId="6371A864" w:rsidR="00E05B98" w:rsidRPr="00F17CDD" w:rsidRDefault="00C25EC7" w:rsidP="00C25EC7">
      <w:pPr>
        <w:pStyle w:val="a3"/>
        <w:spacing w:before="173" w:line="276" w:lineRule="auto"/>
        <w:ind w:left="567"/>
        <w:jc w:val="both"/>
        <w:rPr>
          <w:sz w:val="20"/>
          <w:szCs w:val="20"/>
          <w:lang w:val="uk-UA"/>
        </w:rPr>
      </w:pPr>
      <w:r w:rsidRPr="00C25EC7">
        <w:rPr>
          <w:spacing w:val="-2"/>
          <w:sz w:val="20"/>
          <w:szCs w:val="20"/>
          <w:lang w:val="uk-UA"/>
        </w:rPr>
        <w:t>Систематичний огляд якісних доказів застосування ТАНК-НС (</w:t>
      </w:r>
      <w:r w:rsidRPr="00F90608">
        <w:rPr>
          <w:b/>
          <w:bCs/>
          <w:spacing w:val="-2"/>
          <w:sz w:val="20"/>
          <w:szCs w:val="20"/>
          <w:lang w:val="uk-UA"/>
        </w:rPr>
        <w:t>веб-додаток B.10</w:t>
      </w:r>
      <w:r w:rsidRPr="00C25EC7">
        <w:rPr>
          <w:spacing w:val="-2"/>
          <w:sz w:val="20"/>
          <w:szCs w:val="20"/>
          <w:lang w:val="uk-UA"/>
        </w:rPr>
        <w:t>) не виявив жодного дослідження, присвяченого рТАНК-НС  (за винятком того, що в кількох дослідженнях не було вказано тип ТАНК, на якому були зосереджені дослідження).</w:t>
      </w:r>
    </w:p>
    <w:p w14:paraId="2DE95831" w14:textId="13BADCED" w:rsidR="00E05B98" w:rsidRPr="00F17CDD" w:rsidRDefault="001558CA" w:rsidP="00F17CDD">
      <w:pPr>
        <w:pStyle w:val="a3"/>
        <w:spacing w:before="144" w:line="276" w:lineRule="auto"/>
        <w:ind w:left="567"/>
        <w:jc w:val="both"/>
        <w:rPr>
          <w:sz w:val="20"/>
          <w:szCs w:val="20"/>
          <w:lang w:val="uk-UA"/>
        </w:rPr>
      </w:pPr>
      <w:r w:rsidRPr="009C2B41">
        <w:rPr>
          <w:sz w:val="20"/>
          <w:szCs w:val="20"/>
          <w:lang w:val="uk-UA"/>
        </w:rPr>
        <w:t xml:space="preserve">Однак окремі </w:t>
      </w:r>
      <w:r w:rsidR="009C2B41" w:rsidRPr="009C2B41">
        <w:rPr>
          <w:sz w:val="20"/>
          <w:szCs w:val="20"/>
          <w:lang w:val="uk-UA"/>
        </w:rPr>
        <w:t xml:space="preserve">дані результатів </w:t>
      </w:r>
      <w:r w:rsidRPr="009C2B41">
        <w:rPr>
          <w:sz w:val="20"/>
          <w:szCs w:val="20"/>
          <w:lang w:val="uk-UA"/>
        </w:rPr>
        <w:t>дослідження</w:t>
      </w:r>
      <w:r w:rsidR="00196C79" w:rsidRPr="009C2B41">
        <w:rPr>
          <w:sz w:val="20"/>
          <w:szCs w:val="20"/>
          <w:lang w:val="uk-UA"/>
        </w:rPr>
        <w:t>, що передбача</w:t>
      </w:r>
      <w:r w:rsidR="009C2B41" w:rsidRPr="009C2B41">
        <w:rPr>
          <w:sz w:val="20"/>
          <w:szCs w:val="20"/>
          <w:lang w:val="uk-UA"/>
        </w:rPr>
        <w:t>ли</w:t>
      </w:r>
      <w:r w:rsidR="00196C79" w:rsidRPr="009C2B41">
        <w:rPr>
          <w:sz w:val="20"/>
          <w:szCs w:val="20"/>
          <w:lang w:val="uk-UA"/>
        </w:rPr>
        <w:t xml:space="preserve"> проведення </w:t>
      </w:r>
      <w:r w:rsidRPr="009C2B41">
        <w:rPr>
          <w:sz w:val="20"/>
          <w:szCs w:val="20"/>
          <w:lang w:val="uk-UA"/>
        </w:rPr>
        <w:t>інтерв'ю, були зосереджені</w:t>
      </w:r>
      <w:r w:rsidRPr="001558CA">
        <w:rPr>
          <w:sz w:val="20"/>
          <w:szCs w:val="20"/>
          <w:lang w:val="uk-UA"/>
        </w:rPr>
        <w:t xml:space="preserve"> саме на ТВ-LAMP:</w:t>
      </w:r>
    </w:p>
    <w:p w14:paraId="6BE929A3" w14:textId="087C0431" w:rsidR="00E05B98" w:rsidRPr="00F17CDD" w:rsidRDefault="00EA2F30" w:rsidP="004A2937">
      <w:pPr>
        <w:pStyle w:val="a4"/>
        <w:numPr>
          <w:ilvl w:val="0"/>
          <w:numId w:val="23"/>
        </w:numPr>
        <w:tabs>
          <w:tab w:val="left" w:pos="850"/>
        </w:tabs>
        <w:spacing w:before="146" w:line="276" w:lineRule="auto"/>
        <w:rPr>
          <w:sz w:val="20"/>
          <w:szCs w:val="20"/>
          <w:lang w:val="uk-UA"/>
        </w:rPr>
      </w:pPr>
      <w:r w:rsidRPr="00EA2F30">
        <w:rPr>
          <w:sz w:val="20"/>
          <w:szCs w:val="20"/>
          <w:lang w:val="uk-UA"/>
        </w:rPr>
        <w:t xml:space="preserve">У 2018 році Нігерія перейшла на використання аналізу TB-LAMP (разом з GeneXpert та Truenat). На </w:t>
      </w:r>
      <w:r w:rsidR="008D1899">
        <w:rPr>
          <w:sz w:val="20"/>
          <w:szCs w:val="20"/>
          <w:lang w:val="uk-UA"/>
        </w:rPr>
        <w:t>час проведення</w:t>
      </w:r>
      <w:r w:rsidRPr="00EA2F30">
        <w:rPr>
          <w:sz w:val="20"/>
          <w:szCs w:val="20"/>
          <w:lang w:val="uk-UA"/>
        </w:rPr>
        <w:t xml:space="preserve"> інтерв'ю в Нігерії було 199  приладів для виконання TB-LAMP. Вони розміщені на сайтах, </w:t>
      </w:r>
      <w:r w:rsidR="008D1899">
        <w:rPr>
          <w:sz w:val="20"/>
          <w:szCs w:val="20"/>
          <w:lang w:val="uk-UA"/>
        </w:rPr>
        <w:t>на яких</w:t>
      </w:r>
      <w:r w:rsidRPr="00EA2F30">
        <w:rPr>
          <w:sz w:val="20"/>
          <w:szCs w:val="20"/>
          <w:lang w:val="uk-UA"/>
        </w:rPr>
        <w:t xml:space="preserve"> доступна система GeneXpert, для зменшення робочого навантаження, так і в периферійних лабораторіях, де інфраструктура недостатня для розміщення системи GeneXpert. Позитивні результати TB-LAMP надсилають до найближчого закладу, в якому є система GeneXpert або Truenat для виконання ТМЧ.</w:t>
      </w:r>
    </w:p>
    <w:p w14:paraId="6AEF4A3F" w14:textId="2345160C" w:rsidR="00E05B98" w:rsidRPr="00F17CDD" w:rsidRDefault="007E7276" w:rsidP="004A2937">
      <w:pPr>
        <w:pStyle w:val="a4"/>
        <w:numPr>
          <w:ilvl w:val="0"/>
          <w:numId w:val="23"/>
        </w:numPr>
        <w:tabs>
          <w:tab w:val="left" w:pos="850"/>
        </w:tabs>
        <w:spacing w:before="6" w:line="276" w:lineRule="auto"/>
        <w:rPr>
          <w:sz w:val="20"/>
          <w:szCs w:val="20"/>
          <w:lang w:val="uk-UA"/>
        </w:rPr>
      </w:pPr>
      <w:r>
        <w:rPr>
          <w:sz w:val="20"/>
          <w:szCs w:val="20"/>
          <w:lang w:val="uk-UA"/>
        </w:rPr>
        <w:t xml:space="preserve">На Філіппінах, </w:t>
      </w:r>
      <w:r w:rsidR="002C5FCF" w:rsidRPr="002C5FCF">
        <w:rPr>
          <w:sz w:val="20"/>
          <w:szCs w:val="20"/>
          <w:lang w:val="uk-UA"/>
        </w:rPr>
        <w:t>Національна програма боротьби з ТБ (НПТ</w:t>
      </w:r>
      <w:r w:rsidR="008D1899">
        <w:rPr>
          <w:sz w:val="20"/>
          <w:szCs w:val="20"/>
          <w:lang w:val="uk-UA"/>
        </w:rPr>
        <w:t>Б</w:t>
      </w:r>
      <w:r w:rsidR="002C5FCF" w:rsidRPr="002C5FCF">
        <w:rPr>
          <w:sz w:val="20"/>
          <w:szCs w:val="20"/>
          <w:lang w:val="uk-UA"/>
        </w:rPr>
        <w:t xml:space="preserve">) рекомендує використовувати TB-LAMP як альтернативний </w:t>
      </w:r>
      <w:r w:rsidR="009C2B41">
        <w:rPr>
          <w:sz w:val="20"/>
          <w:szCs w:val="20"/>
          <w:lang w:val="uk-UA"/>
        </w:rPr>
        <w:t xml:space="preserve">тест для первинної </w:t>
      </w:r>
      <w:r w:rsidR="000530D1">
        <w:rPr>
          <w:sz w:val="20"/>
          <w:szCs w:val="20"/>
          <w:lang w:val="uk-UA"/>
        </w:rPr>
        <w:t>діагностики</w:t>
      </w:r>
      <w:r w:rsidR="009C2B41">
        <w:rPr>
          <w:sz w:val="20"/>
          <w:szCs w:val="20"/>
          <w:lang w:val="uk-UA"/>
        </w:rPr>
        <w:t xml:space="preserve"> ТБ</w:t>
      </w:r>
      <w:r w:rsidR="002C5FCF" w:rsidRPr="002C5FCF">
        <w:rPr>
          <w:sz w:val="20"/>
          <w:szCs w:val="20"/>
          <w:lang w:val="uk-UA"/>
        </w:rPr>
        <w:t xml:space="preserve"> в умовах обмеженого доступу до системи GeneXpert, де наразі покладаються на транспортування  мокротиння </w:t>
      </w:r>
      <w:r w:rsidR="000530D1" w:rsidRPr="002C5FCF">
        <w:rPr>
          <w:sz w:val="20"/>
          <w:szCs w:val="20"/>
          <w:lang w:val="uk-UA"/>
        </w:rPr>
        <w:t>кур’єрами</w:t>
      </w:r>
      <w:r w:rsidR="002C5FCF" w:rsidRPr="002C5FCF">
        <w:rPr>
          <w:sz w:val="20"/>
          <w:szCs w:val="20"/>
          <w:lang w:val="uk-UA"/>
        </w:rPr>
        <w:t xml:space="preserve"> (STRider). Було запущено </w:t>
      </w:r>
      <w:r>
        <w:rPr>
          <w:sz w:val="20"/>
          <w:szCs w:val="20"/>
          <w:lang w:val="uk-UA"/>
        </w:rPr>
        <w:t xml:space="preserve">процес </w:t>
      </w:r>
      <w:r w:rsidR="002C5FCF" w:rsidRPr="002C5FCF">
        <w:rPr>
          <w:sz w:val="20"/>
          <w:szCs w:val="20"/>
          <w:lang w:val="uk-UA"/>
        </w:rPr>
        <w:t>апробаці</w:t>
      </w:r>
      <w:r>
        <w:rPr>
          <w:sz w:val="20"/>
          <w:szCs w:val="20"/>
          <w:lang w:val="uk-UA"/>
        </w:rPr>
        <w:t>ї</w:t>
      </w:r>
      <w:r w:rsidR="002C5FCF" w:rsidRPr="002C5FCF">
        <w:rPr>
          <w:sz w:val="20"/>
          <w:szCs w:val="20"/>
          <w:lang w:val="uk-UA"/>
        </w:rPr>
        <w:t xml:space="preserve"> </w:t>
      </w:r>
      <w:r w:rsidR="009C2B41">
        <w:rPr>
          <w:sz w:val="20"/>
          <w:szCs w:val="20"/>
          <w:lang w:val="uk-UA"/>
        </w:rPr>
        <w:t xml:space="preserve">тестування методом </w:t>
      </w:r>
      <w:r w:rsidR="002C5FCF" w:rsidRPr="002C5FCF">
        <w:rPr>
          <w:sz w:val="20"/>
          <w:szCs w:val="20"/>
          <w:lang w:val="uk-UA"/>
        </w:rPr>
        <w:t xml:space="preserve">TB-LAMP у 2019 </w:t>
      </w:r>
      <w:r>
        <w:rPr>
          <w:sz w:val="20"/>
          <w:szCs w:val="20"/>
          <w:lang w:val="uk-UA"/>
        </w:rPr>
        <w:t xml:space="preserve">р. </w:t>
      </w:r>
      <w:r w:rsidR="002C5FCF" w:rsidRPr="002C5FCF">
        <w:rPr>
          <w:sz w:val="20"/>
          <w:szCs w:val="20"/>
          <w:lang w:val="uk-UA"/>
        </w:rPr>
        <w:t xml:space="preserve">(квітень-вересень) та 2020 </w:t>
      </w:r>
      <w:r>
        <w:rPr>
          <w:sz w:val="20"/>
          <w:szCs w:val="20"/>
          <w:lang w:val="uk-UA"/>
        </w:rPr>
        <w:t xml:space="preserve">р. </w:t>
      </w:r>
      <w:r w:rsidR="002C5FCF" w:rsidRPr="002C5FCF">
        <w:rPr>
          <w:sz w:val="20"/>
          <w:szCs w:val="20"/>
          <w:lang w:val="uk-UA"/>
        </w:rPr>
        <w:t>(жовтень</w:t>
      </w:r>
      <w:r>
        <w:rPr>
          <w:sz w:val="20"/>
          <w:szCs w:val="20"/>
          <w:lang w:val="uk-UA"/>
        </w:rPr>
        <w:t xml:space="preserve"> 2020 р.</w:t>
      </w:r>
      <w:r w:rsidR="002C5FCF" w:rsidRPr="002C5FCF">
        <w:rPr>
          <w:sz w:val="20"/>
          <w:szCs w:val="20"/>
          <w:lang w:val="uk-UA"/>
        </w:rPr>
        <w:t>-лютий 2021</w:t>
      </w:r>
      <w:r>
        <w:rPr>
          <w:sz w:val="20"/>
          <w:szCs w:val="20"/>
          <w:lang w:val="uk-UA"/>
        </w:rPr>
        <w:t xml:space="preserve"> р.</w:t>
      </w:r>
      <w:r w:rsidR="002C5FCF" w:rsidRPr="002C5FCF">
        <w:rPr>
          <w:sz w:val="20"/>
          <w:szCs w:val="20"/>
          <w:lang w:val="uk-UA"/>
        </w:rPr>
        <w:t>) у сільськ</w:t>
      </w:r>
      <w:r>
        <w:rPr>
          <w:sz w:val="20"/>
          <w:szCs w:val="20"/>
          <w:lang w:val="uk-UA"/>
        </w:rPr>
        <w:t>ому</w:t>
      </w:r>
      <w:r w:rsidR="002C5FCF" w:rsidRPr="002C5FCF">
        <w:rPr>
          <w:sz w:val="20"/>
          <w:szCs w:val="20"/>
          <w:lang w:val="uk-UA"/>
        </w:rPr>
        <w:t xml:space="preserve"> медичному пункті, поліклініці та приватній лікарні, а також для масового скринінгу на ТБ у сільському медичному пункті.</w:t>
      </w:r>
      <w:r w:rsidR="00B01E0C" w:rsidRPr="00F17CDD">
        <w:rPr>
          <w:sz w:val="20"/>
          <w:szCs w:val="20"/>
          <w:lang w:val="uk-UA"/>
        </w:rPr>
        <w:t xml:space="preserve"> </w:t>
      </w:r>
      <w:r w:rsidR="002C5FCF" w:rsidRPr="002C5FCF">
        <w:rPr>
          <w:sz w:val="20"/>
          <w:szCs w:val="20"/>
          <w:lang w:val="uk-UA"/>
        </w:rPr>
        <w:t>Під час пілотного впровадження тестували лише мокротиння за допомогою TB-LAMP, але не проводили тест на ТБ у групах ризику МЛС-ТБ, дітей та людей, які живуть з ВІЛ. За словами керівника лабораторії, на Філіппінах є близько шести чи семи апаратів для виконання TB-LAMP. Наразі вони не використовуються, але могли б, якби була надана підтримка у придбанні реа</w:t>
      </w:r>
      <w:r>
        <w:rPr>
          <w:sz w:val="20"/>
          <w:szCs w:val="20"/>
          <w:lang w:val="uk-UA"/>
        </w:rPr>
        <w:t>ктивів</w:t>
      </w:r>
      <w:r w:rsidR="00B01E0C" w:rsidRPr="00F17CDD">
        <w:rPr>
          <w:sz w:val="20"/>
          <w:szCs w:val="20"/>
          <w:lang w:val="uk-UA"/>
        </w:rPr>
        <w:t>.</w:t>
      </w:r>
    </w:p>
    <w:p w14:paraId="790052C9" w14:textId="28022FD6" w:rsidR="00E05B98" w:rsidRPr="00F17CDD" w:rsidRDefault="00A51720" w:rsidP="00F17CDD">
      <w:pPr>
        <w:pStyle w:val="a3"/>
        <w:spacing w:before="208" w:line="276" w:lineRule="auto"/>
        <w:ind w:left="567"/>
        <w:jc w:val="both"/>
        <w:rPr>
          <w:sz w:val="20"/>
          <w:szCs w:val="20"/>
          <w:lang w:val="uk-UA"/>
        </w:rPr>
      </w:pPr>
      <w:r w:rsidRPr="00A51720">
        <w:rPr>
          <w:sz w:val="20"/>
          <w:szCs w:val="20"/>
          <w:lang w:val="uk-UA"/>
        </w:rPr>
        <w:t>Відповідно до настанов Нігерії щодо використання ТВ-LAMP, з метою визначення пріоритетності сайтів для проведення тестування за допомогою ТВ-LAMP слід використовувати наступні критерії:</w:t>
      </w:r>
    </w:p>
    <w:p w14:paraId="61194EA1" w14:textId="719EDAB3" w:rsidR="00A51720" w:rsidRPr="00A51720" w:rsidRDefault="00A51720" w:rsidP="004A2937">
      <w:pPr>
        <w:pStyle w:val="a4"/>
        <w:numPr>
          <w:ilvl w:val="0"/>
          <w:numId w:val="23"/>
        </w:numPr>
        <w:tabs>
          <w:tab w:val="left" w:pos="850"/>
        </w:tabs>
        <w:spacing w:line="276" w:lineRule="auto"/>
        <w:rPr>
          <w:w w:val="105"/>
          <w:sz w:val="20"/>
          <w:szCs w:val="20"/>
          <w:lang w:val="uk-UA"/>
        </w:rPr>
      </w:pPr>
      <w:r w:rsidRPr="00A51720">
        <w:rPr>
          <w:w w:val="105"/>
          <w:sz w:val="20"/>
          <w:szCs w:val="20"/>
          <w:lang w:val="uk-UA"/>
        </w:rPr>
        <w:t xml:space="preserve">заклади з високим рівнем </w:t>
      </w:r>
      <w:r w:rsidR="007E7276">
        <w:rPr>
          <w:w w:val="105"/>
          <w:sz w:val="20"/>
          <w:szCs w:val="20"/>
          <w:lang w:val="uk-UA"/>
        </w:rPr>
        <w:t xml:space="preserve">робочого </w:t>
      </w:r>
      <w:r w:rsidRPr="00A51720">
        <w:rPr>
          <w:w w:val="105"/>
          <w:sz w:val="20"/>
          <w:szCs w:val="20"/>
          <w:lang w:val="uk-UA"/>
        </w:rPr>
        <w:t>навантаження;</w:t>
      </w:r>
    </w:p>
    <w:p w14:paraId="22EA6250" w14:textId="77777777" w:rsidR="00A51720" w:rsidRPr="00A51720" w:rsidRDefault="00A51720" w:rsidP="004A2937">
      <w:pPr>
        <w:pStyle w:val="a4"/>
        <w:numPr>
          <w:ilvl w:val="0"/>
          <w:numId w:val="23"/>
        </w:numPr>
        <w:tabs>
          <w:tab w:val="left" w:pos="850"/>
        </w:tabs>
        <w:spacing w:line="276" w:lineRule="auto"/>
        <w:rPr>
          <w:w w:val="105"/>
          <w:sz w:val="20"/>
          <w:szCs w:val="20"/>
          <w:lang w:val="uk-UA"/>
        </w:rPr>
      </w:pPr>
      <w:r w:rsidRPr="00A51720">
        <w:rPr>
          <w:w w:val="105"/>
          <w:sz w:val="20"/>
          <w:szCs w:val="20"/>
          <w:lang w:val="uk-UA"/>
        </w:rPr>
        <w:t>заклади з існуючою молекулярною платформою або без неї;</w:t>
      </w:r>
    </w:p>
    <w:p w14:paraId="14CA5927" w14:textId="05114586" w:rsidR="00A51720" w:rsidRPr="00A51720" w:rsidRDefault="00A51720" w:rsidP="004A2937">
      <w:pPr>
        <w:pStyle w:val="a4"/>
        <w:numPr>
          <w:ilvl w:val="0"/>
          <w:numId w:val="23"/>
        </w:numPr>
        <w:tabs>
          <w:tab w:val="left" w:pos="850"/>
        </w:tabs>
        <w:spacing w:line="276" w:lineRule="auto"/>
        <w:rPr>
          <w:w w:val="105"/>
          <w:sz w:val="20"/>
          <w:szCs w:val="20"/>
          <w:lang w:val="uk-UA"/>
        </w:rPr>
      </w:pPr>
      <w:r w:rsidRPr="00A51720">
        <w:rPr>
          <w:w w:val="105"/>
          <w:sz w:val="20"/>
          <w:szCs w:val="20"/>
          <w:lang w:val="uk-UA"/>
        </w:rPr>
        <w:t>лабораторії, забезпечені достатнім простором та інфраструктурою;</w:t>
      </w:r>
    </w:p>
    <w:p w14:paraId="31CAE896" w14:textId="02A4CDD8" w:rsidR="00A51720" w:rsidRPr="00A51720" w:rsidRDefault="00A51720" w:rsidP="004A2937">
      <w:pPr>
        <w:pStyle w:val="a4"/>
        <w:numPr>
          <w:ilvl w:val="0"/>
          <w:numId w:val="23"/>
        </w:numPr>
        <w:tabs>
          <w:tab w:val="left" w:pos="850"/>
        </w:tabs>
        <w:spacing w:line="276" w:lineRule="auto"/>
        <w:rPr>
          <w:w w:val="105"/>
          <w:sz w:val="20"/>
          <w:szCs w:val="20"/>
          <w:lang w:val="uk-UA"/>
        </w:rPr>
      </w:pPr>
      <w:r w:rsidRPr="00A51720">
        <w:rPr>
          <w:w w:val="105"/>
          <w:sz w:val="20"/>
          <w:szCs w:val="20"/>
          <w:lang w:val="uk-UA"/>
        </w:rPr>
        <w:t>наявність кваліфікованого медичного лабораторного персоналу;</w:t>
      </w:r>
    </w:p>
    <w:p w14:paraId="50499DE7" w14:textId="077998BC" w:rsidR="00A51720" w:rsidRPr="00A51720" w:rsidRDefault="00A51720" w:rsidP="004A2937">
      <w:pPr>
        <w:pStyle w:val="a4"/>
        <w:numPr>
          <w:ilvl w:val="0"/>
          <w:numId w:val="23"/>
        </w:numPr>
        <w:tabs>
          <w:tab w:val="left" w:pos="850"/>
        </w:tabs>
        <w:spacing w:line="276" w:lineRule="auto"/>
        <w:rPr>
          <w:w w:val="105"/>
          <w:sz w:val="20"/>
          <w:szCs w:val="20"/>
          <w:lang w:val="uk-UA"/>
        </w:rPr>
      </w:pPr>
      <w:r w:rsidRPr="00A51720">
        <w:rPr>
          <w:w w:val="105"/>
          <w:sz w:val="20"/>
          <w:szCs w:val="20"/>
          <w:lang w:val="uk-UA"/>
        </w:rPr>
        <w:t>достатня кількість медичного лабораторного персоналу; та</w:t>
      </w:r>
    </w:p>
    <w:p w14:paraId="2204EF27" w14:textId="1234CEFB" w:rsidR="00E05B98" w:rsidRPr="003C6DAE" w:rsidRDefault="00A51720" w:rsidP="004A2937">
      <w:pPr>
        <w:pStyle w:val="a4"/>
        <w:numPr>
          <w:ilvl w:val="0"/>
          <w:numId w:val="23"/>
        </w:numPr>
        <w:tabs>
          <w:tab w:val="left" w:pos="850"/>
        </w:tabs>
        <w:spacing w:line="276" w:lineRule="auto"/>
        <w:rPr>
          <w:lang w:val="uk-UA"/>
        </w:rPr>
      </w:pPr>
      <w:r w:rsidRPr="00A51720">
        <w:rPr>
          <w:w w:val="105"/>
          <w:sz w:val="20"/>
          <w:szCs w:val="20"/>
          <w:lang w:val="uk-UA"/>
        </w:rPr>
        <w:t>наявність</w:t>
      </w:r>
      <w:r w:rsidR="00B40394">
        <w:rPr>
          <w:w w:val="105"/>
          <w:sz w:val="20"/>
          <w:szCs w:val="20"/>
          <w:lang w:val="uk-UA"/>
        </w:rPr>
        <w:t xml:space="preserve"> </w:t>
      </w:r>
      <w:r w:rsidRPr="00A51720">
        <w:rPr>
          <w:w w:val="105"/>
          <w:sz w:val="20"/>
          <w:szCs w:val="20"/>
          <w:lang w:val="uk-UA"/>
        </w:rPr>
        <w:t>приміщення</w:t>
      </w:r>
      <w:r w:rsidR="00B40394">
        <w:rPr>
          <w:w w:val="105"/>
          <w:sz w:val="20"/>
          <w:szCs w:val="20"/>
          <w:lang w:val="uk-UA"/>
        </w:rPr>
        <w:t>/обладнання</w:t>
      </w:r>
      <w:r w:rsidRPr="00A51720">
        <w:rPr>
          <w:w w:val="105"/>
          <w:sz w:val="20"/>
          <w:szCs w:val="20"/>
          <w:lang w:val="uk-UA"/>
        </w:rPr>
        <w:t xml:space="preserve"> (наприклад, холодильник) для зберігання лабораторн</w:t>
      </w:r>
      <w:r w:rsidR="00B40394">
        <w:rPr>
          <w:w w:val="105"/>
          <w:sz w:val="20"/>
          <w:szCs w:val="20"/>
          <w:lang w:val="uk-UA"/>
        </w:rPr>
        <w:t>ого та матеріального-технічного забезпечення.</w:t>
      </w:r>
    </w:p>
    <w:p w14:paraId="325766AA" w14:textId="77777777" w:rsidR="00E05B98" w:rsidRPr="003C6DAE" w:rsidRDefault="00E05B98" w:rsidP="00F17CDD">
      <w:pPr>
        <w:pStyle w:val="a3"/>
        <w:spacing w:before="51"/>
        <w:jc w:val="both"/>
        <w:rPr>
          <w:lang w:val="uk-UA"/>
        </w:rPr>
      </w:pPr>
    </w:p>
    <w:p w14:paraId="5E0A43C6" w14:textId="2E26AE43" w:rsidR="00E05B98" w:rsidRPr="003C6DAE" w:rsidRDefault="00A51720" w:rsidP="00F17CDD">
      <w:pPr>
        <w:pStyle w:val="7"/>
        <w:jc w:val="both"/>
        <w:rPr>
          <w:lang w:val="uk-UA"/>
        </w:rPr>
      </w:pPr>
      <w:r w:rsidRPr="00A51720">
        <w:rPr>
          <w:color w:val="019648"/>
          <w:lang w:val="uk-UA"/>
        </w:rPr>
        <w:t>Уподобання та цінності користувача</w:t>
      </w:r>
    </w:p>
    <w:p w14:paraId="4AD6EFBA" w14:textId="08053687" w:rsidR="00E05B98" w:rsidRPr="00F17CDD" w:rsidRDefault="00685D26" w:rsidP="00F17CDD">
      <w:pPr>
        <w:pStyle w:val="a3"/>
        <w:spacing w:before="197" w:line="276" w:lineRule="auto"/>
        <w:ind w:left="567"/>
        <w:jc w:val="both"/>
        <w:rPr>
          <w:sz w:val="20"/>
          <w:szCs w:val="20"/>
          <w:lang w:val="uk-UA"/>
        </w:rPr>
      </w:pPr>
      <w:r w:rsidRPr="00685D26">
        <w:rPr>
          <w:sz w:val="20"/>
          <w:szCs w:val="20"/>
          <w:lang w:val="uk-UA"/>
        </w:rPr>
        <w:t xml:space="preserve">Під час </w:t>
      </w:r>
      <w:r w:rsidR="00B40394">
        <w:rPr>
          <w:sz w:val="20"/>
          <w:szCs w:val="20"/>
          <w:lang w:val="uk-UA"/>
        </w:rPr>
        <w:t>дослідження</w:t>
      </w:r>
      <w:r w:rsidR="009C2B41">
        <w:rPr>
          <w:sz w:val="20"/>
          <w:szCs w:val="20"/>
          <w:lang w:val="uk-UA"/>
        </w:rPr>
        <w:t>, яке передбачало проведення</w:t>
      </w:r>
      <w:r w:rsidR="00B40394">
        <w:rPr>
          <w:sz w:val="20"/>
          <w:szCs w:val="20"/>
          <w:lang w:val="uk-UA"/>
        </w:rPr>
        <w:t xml:space="preserve"> </w:t>
      </w:r>
      <w:r w:rsidRPr="00685D26">
        <w:rPr>
          <w:sz w:val="20"/>
          <w:szCs w:val="20"/>
          <w:lang w:val="uk-UA"/>
        </w:rPr>
        <w:t xml:space="preserve">інтерв'ю </w:t>
      </w:r>
      <w:r w:rsidR="00B40394">
        <w:rPr>
          <w:sz w:val="20"/>
          <w:szCs w:val="20"/>
          <w:lang w:val="uk-UA"/>
        </w:rPr>
        <w:t>стосовно</w:t>
      </w:r>
      <w:r w:rsidRPr="00685D26">
        <w:rPr>
          <w:sz w:val="20"/>
          <w:szCs w:val="20"/>
          <w:lang w:val="uk-UA"/>
        </w:rPr>
        <w:t xml:space="preserve"> використання TB- LAMP на сайтах у Нігерії та на Філіппінах</w:t>
      </w:r>
      <w:r w:rsidR="009C2B41">
        <w:rPr>
          <w:sz w:val="20"/>
          <w:szCs w:val="20"/>
          <w:lang w:val="uk-UA"/>
        </w:rPr>
        <w:t>,</w:t>
      </w:r>
      <w:r w:rsidRPr="00685D26">
        <w:rPr>
          <w:sz w:val="20"/>
          <w:szCs w:val="20"/>
          <w:lang w:val="uk-UA"/>
        </w:rPr>
        <w:t xml:space="preserve"> співробітник</w:t>
      </w:r>
      <w:r w:rsidR="009C2B41">
        <w:rPr>
          <w:sz w:val="20"/>
          <w:szCs w:val="20"/>
          <w:lang w:val="uk-UA"/>
        </w:rPr>
        <w:t>и</w:t>
      </w:r>
      <w:r w:rsidRPr="00685D26">
        <w:rPr>
          <w:sz w:val="20"/>
          <w:szCs w:val="20"/>
          <w:lang w:val="uk-UA"/>
        </w:rPr>
        <w:t xml:space="preserve"> лабораторій та керівник</w:t>
      </w:r>
      <w:r w:rsidR="009C2B41">
        <w:rPr>
          <w:sz w:val="20"/>
          <w:szCs w:val="20"/>
          <w:lang w:val="uk-UA"/>
        </w:rPr>
        <w:t>и</w:t>
      </w:r>
      <w:r w:rsidRPr="00685D26">
        <w:rPr>
          <w:sz w:val="20"/>
          <w:szCs w:val="20"/>
          <w:lang w:val="uk-UA"/>
        </w:rPr>
        <w:t xml:space="preserve"> програм</w:t>
      </w:r>
      <w:r w:rsidR="009C2B41">
        <w:rPr>
          <w:sz w:val="20"/>
          <w:szCs w:val="20"/>
          <w:lang w:val="uk-UA"/>
        </w:rPr>
        <w:t xml:space="preserve"> висловили наступні погляди з цього питання</w:t>
      </w:r>
      <w:r w:rsidRPr="00685D26">
        <w:rPr>
          <w:sz w:val="20"/>
          <w:szCs w:val="20"/>
          <w:lang w:val="uk-UA"/>
        </w:rPr>
        <w:t>:</w:t>
      </w:r>
    </w:p>
    <w:p w14:paraId="320B140F" w14:textId="77777777" w:rsidR="00685D26" w:rsidRPr="00685D26" w:rsidRDefault="00685D26" w:rsidP="004A2937">
      <w:pPr>
        <w:pStyle w:val="a4"/>
        <w:numPr>
          <w:ilvl w:val="0"/>
          <w:numId w:val="23"/>
        </w:numPr>
        <w:tabs>
          <w:tab w:val="left" w:pos="850"/>
        </w:tabs>
        <w:spacing w:before="2" w:line="276" w:lineRule="auto"/>
        <w:rPr>
          <w:sz w:val="20"/>
          <w:szCs w:val="20"/>
          <w:lang w:val="uk-UA"/>
        </w:rPr>
      </w:pPr>
      <w:r w:rsidRPr="00685D26">
        <w:rPr>
          <w:sz w:val="20"/>
          <w:szCs w:val="20"/>
          <w:lang w:val="uk-UA"/>
        </w:rPr>
        <w:t>TB-LAMP з часом полегшує роботу в лабораторії  завдяки знайомству з системою та тому, що вона звільняє робоче місце;</w:t>
      </w:r>
    </w:p>
    <w:p w14:paraId="4516FAE3" w14:textId="0EE3D8A1" w:rsidR="00E05B98" w:rsidRPr="00F17CDD" w:rsidRDefault="00685D26" w:rsidP="004A2937">
      <w:pPr>
        <w:pStyle w:val="a4"/>
        <w:numPr>
          <w:ilvl w:val="0"/>
          <w:numId w:val="23"/>
        </w:numPr>
        <w:tabs>
          <w:tab w:val="left" w:pos="850"/>
        </w:tabs>
        <w:spacing w:before="2" w:line="276" w:lineRule="auto"/>
        <w:rPr>
          <w:sz w:val="20"/>
          <w:szCs w:val="20"/>
          <w:lang w:val="uk-UA"/>
        </w:rPr>
      </w:pPr>
      <w:r w:rsidRPr="00685D26">
        <w:rPr>
          <w:sz w:val="20"/>
          <w:szCs w:val="20"/>
          <w:lang w:val="uk-UA"/>
        </w:rPr>
        <w:t xml:space="preserve">порівняно з </w:t>
      </w:r>
      <w:r w:rsidR="00B40394">
        <w:rPr>
          <w:sz w:val="20"/>
          <w:szCs w:val="20"/>
          <w:lang w:val="uk-UA"/>
        </w:rPr>
        <w:t>мікроскопією мазка мокротиння (</w:t>
      </w:r>
      <w:r w:rsidRPr="00685D26">
        <w:rPr>
          <w:sz w:val="20"/>
          <w:szCs w:val="20"/>
          <w:lang w:val="uk-UA"/>
        </w:rPr>
        <w:t>SSM</w:t>
      </w:r>
      <w:r w:rsidR="00B40394">
        <w:rPr>
          <w:sz w:val="20"/>
          <w:szCs w:val="20"/>
          <w:lang w:val="uk-UA"/>
        </w:rPr>
        <w:t>)</w:t>
      </w:r>
      <w:r w:rsidRPr="00685D26">
        <w:rPr>
          <w:sz w:val="20"/>
          <w:szCs w:val="20"/>
          <w:lang w:val="uk-UA"/>
        </w:rPr>
        <w:t>, система TB-LAMP є більш простою у використанні; та</w:t>
      </w:r>
    </w:p>
    <w:p w14:paraId="1DA3B6C0" w14:textId="35EF5DA5" w:rsidR="00E05B98" w:rsidRPr="00F17CDD" w:rsidRDefault="00685D26" w:rsidP="004A2937">
      <w:pPr>
        <w:pStyle w:val="a4"/>
        <w:numPr>
          <w:ilvl w:val="0"/>
          <w:numId w:val="23"/>
        </w:numPr>
        <w:tabs>
          <w:tab w:val="left" w:pos="850"/>
        </w:tabs>
        <w:spacing w:line="276" w:lineRule="auto"/>
        <w:rPr>
          <w:sz w:val="20"/>
          <w:szCs w:val="20"/>
          <w:lang w:val="uk-UA"/>
        </w:rPr>
      </w:pPr>
      <w:r w:rsidRPr="00685D26">
        <w:rPr>
          <w:sz w:val="20"/>
          <w:szCs w:val="20"/>
          <w:lang w:val="uk-UA"/>
        </w:rPr>
        <w:t xml:space="preserve">при </w:t>
      </w:r>
      <w:r w:rsidR="000530D1" w:rsidRPr="00685D26">
        <w:rPr>
          <w:sz w:val="20"/>
          <w:szCs w:val="20"/>
          <w:lang w:val="uk-UA"/>
        </w:rPr>
        <w:t>безпосередньому</w:t>
      </w:r>
      <w:r w:rsidRPr="00685D26">
        <w:rPr>
          <w:sz w:val="20"/>
          <w:szCs w:val="20"/>
          <w:lang w:val="uk-UA"/>
        </w:rPr>
        <w:t xml:space="preserve">  порівнянні з системою Xpert Ultra, TB-LAMP є більш практичним та вимагає виконання більшої кількості етапів і часу для підготовки та обробки зразків.</w:t>
      </w:r>
    </w:p>
    <w:p w14:paraId="2CA6A6E3" w14:textId="77777777" w:rsidR="00E05B98" w:rsidRPr="00F17CDD" w:rsidRDefault="00E05B98" w:rsidP="00F17CDD">
      <w:pPr>
        <w:pStyle w:val="a4"/>
        <w:spacing w:line="276" w:lineRule="auto"/>
        <w:rPr>
          <w:sz w:val="20"/>
          <w:szCs w:val="20"/>
          <w:lang w:val="uk-UA"/>
        </w:rPr>
        <w:sectPr w:rsidR="00E05B98" w:rsidRPr="00F17CDD" w:rsidSect="008C47A3">
          <w:pgSz w:w="11910" w:h="16840"/>
          <w:pgMar w:top="1320" w:right="995" w:bottom="760" w:left="850" w:header="0" w:footer="573" w:gutter="0"/>
          <w:cols w:space="720"/>
        </w:sectPr>
      </w:pPr>
    </w:p>
    <w:p w14:paraId="105D22B7" w14:textId="0B61EA7D" w:rsidR="00E05B98" w:rsidRPr="00F91005" w:rsidRDefault="00685D26">
      <w:pPr>
        <w:pStyle w:val="6"/>
        <w:rPr>
          <w:rFonts w:ascii="Microsoft Sans Serif" w:hAnsi="Microsoft Sans Serif" w:cs="Microsoft Sans Serif"/>
          <w:sz w:val="22"/>
          <w:szCs w:val="22"/>
          <w:lang w:val="uk-UA"/>
        </w:rPr>
      </w:pPr>
      <w:r w:rsidRPr="00F91005">
        <w:rPr>
          <w:rFonts w:ascii="Microsoft Sans Serif" w:hAnsi="Microsoft Sans Serif" w:cs="Microsoft Sans Serif"/>
          <w:spacing w:val="-2"/>
          <w:sz w:val="22"/>
          <w:szCs w:val="22"/>
          <w:lang w:val="uk-UA"/>
        </w:rPr>
        <w:lastRenderedPageBreak/>
        <w:t>Прийнятність</w:t>
      </w:r>
    </w:p>
    <w:p w14:paraId="60098E8F" w14:textId="2047E3DA" w:rsidR="00E05B98" w:rsidRPr="00685D26" w:rsidRDefault="00F91005">
      <w:pPr>
        <w:pStyle w:val="a3"/>
        <w:spacing w:before="227" w:line="297" w:lineRule="auto"/>
        <w:ind w:left="567" w:right="141"/>
        <w:jc w:val="both"/>
        <w:rPr>
          <w:sz w:val="20"/>
          <w:szCs w:val="20"/>
          <w:lang w:val="uk-UA"/>
        </w:rPr>
      </w:pPr>
      <w:r w:rsidRPr="00F91005">
        <w:rPr>
          <w:spacing w:val="-4"/>
          <w:sz w:val="20"/>
          <w:szCs w:val="20"/>
          <w:lang w:val="uk-UA"/>
        </w:rPr>
        <w:t>Прийнятність тесту, здається, дещо знижується, оскільки TB-LAMP не може перевіряти стійкість до рифампіцину та не має можливостей виконувати декілька команд одночасно (мультиплексування).</w:t>
      </w:r>
    </w:p>
    <w:p w14:paraId="69AEFA1C" w14:textId="19C01D48" w:rsidR="00E05B98" w:rsidRPr="00F91005" w:rsidRDefault="00F91005">
      <w:pPr>
        <w:pStyle w:val="6"/>
        <w:spacing w:before="184"/>
        <w:rPr>
          <w:rFonts w:ascii="Microsoft Sans Serif" w:hAnsi="Microsoft Sans Serif" w:cs="Microsoft Sans Serif"/>
          <w:sz w:val="22"/>
          <w:szCs w:val="22"/>
          <w:lang w:val="uk-UA"/>
        </w:rPr>
      </w:pPr>
      <w:r>
        <w:rPr>
          <w:rFonts w:ascii="Microsoft Sans Serif" w:hAnsi="Microsoft Sans Serif" w:cs="Microsoft Sans Serif"/>
          <w:spacing w:val="-2"/>
          <w:sz w:val="22"/>
          <w:szCs w:val="22"/>
          <w:lang w:val="uk-UA"/>
        </w:rPr>
        <w:t>Можливість реалізації</w:t>
      </w:r>
    </w:p>
    <w:p w14:paraId="78BDEF2B" w14:textId="4BD28BD3" w:rsidR="00E05B98" w:rsidRPr="00685D26" w:rsidRDefault="00E021BB">
      <w:pPr>
        <w:pStyle w:val="a3"/>
        <w:spacing w:before="227" w:line="297" w:lineRule="auto"/>
        <w:ind w:left="567" w:right="139"/>
        <w:jc w:val="both"/>
        <w:rPr>
          <w:sz w:val="20"/>
          <w:szCs w:val="20"/>
          <w:lang w:val="uk-UA"/>
        </w:rPr>
      </w:pPr>
      <w:r w:rsidRPr="00E021BB">
        <w:rPr>
          <w:sz w:val="20"/>
          <w:szCs w:val="20"/>
          <w:lang w:val="uk-UA"/>
        </w:rPr>
        <w:t>У ході</w:t>
      </w:r>
      <w:r w:rsidR="00B40394">
        <w:rPr>
          <w:sz w:val="20"/>
          <w:szCs w:val="20"/>
          <w:lang w:val="uk-UA"/>
        </w:rPr>
        <w:t xml:space="preserve"> дослідження</w:t>
      </w:r>
      <w:r w:rsidR="00813319">
        <w:rPr>
          <w:sz w:val="20"/>
          <w:szCs w:val="20"/>
          <w:lang w:val="uk-UA"/>
        </w:rPr>
        <w:t>, яке передбачає проведення</w:t>
      </w:r>
      <w:r w:rsidRPr="00E021BB">
        <w:rPr>
          <w:sz w:val="20"/>
          <w:szCs w:val="20"/>
          <w:lang w:val="uk-UA"/>
        </w:rPr>
        <w:t xml:space="preserve"> інтерв'ю </w:t>
      </w:r>
      <w:r w:rsidR="00B40394">
        <w:rPr>
          <w:sz w:val="20"/>
          <w:szCs w:val="20"/>
          <w:lang w:val="uk-UA"/>
        </w:rPr>
        <w:t xml:space="preserve">щодо використання </w:t>
      </w:r>
      <w:r w:rsidRPr="00E021BB">
        <w:rPr>
          <w:sz w:val="20"/>
          <w:szCs w:val="20"/>
          <w:lang w:val="uk-UA"/>
        </w:rPr>
        <w:t xml:space="preserve">TB-LAMP, були отримані наступні узагальнені висновки. TB LAMP покращує доступ до діагностики ТБ для людей, яких за інших обставин могли би пропустити, оскільки цей тест можна виконувати в лабораторіях з обмеженою інфраструктурою; </w:t>
      </w:r>
      <w:r w:rsidR="00B40394">
        <w:rPr>
          <w:sz w:val="20"/>
          <w:szCs w:val="20"/>
          <w:lang w:val="uk-UA"/>
        </w:rPr>
        <w:t>він</w:t>
      </w:r>
      <w:r w:rsidRPr="00E021BB">
        <w:rPr>
          <w:sz w:val="20"/>
          <w:szCs w:val="20"/>
          <w:lang w:val="uk-UA"/>
        </w:rPr>
        <w:t xml:space="preserve"> має високу пропускну здатність; є більш точним, ніж </w:t>
      </w:r>
      <w:r w:rsidR="00813319">
        <w:rPr>
          <w:sz w:val="20"/>
          <w:szCs w:val="20"/>
          <w:lang w:val="uk-UA"/>
        </w:rPr>
        <w:t xml:space="preserve">аналіз </w:t>
      </w:r>
      <w:r w:rsidRPr="00E021BB">
        <w:rPr>
          <w:sz w:val="20"/>
          <w:szCs w:val="20"/>
          <w:lang w:val="uk-UA"/>
        </w:rPr>
        <w:t xml:space="preserve">SSM; та зменшує </w:t>
      </w:r>
      <w:r w:rsidR="00813319">
        <w:rPr>
          <w:sz w:val="20"/>
          <w:szCs w:val="20"/>
          <w:lang w:val="uk-UA"/>
        </w:rPr>
        <w:t xml:space="preserve">робоче </w:t>
      </w:r>
      <w:r w:rsidRPr="00E021BB">
        <w:rPr>
          <w:sz w:val="20"/>
          <w:szCs w:val="20"/>
          <w:lang w:val="uk-UA"/>
        </w:rPr>
        <w:t xml:space="preserve">навантаження на сайтах </w:t>
      </w:r>
      <w:r w:rsidR="00813319">
        <w:rPr>
          <w:sz w:val="20"/>
          <w:szCs w:val="20"/>
          <w:lang w:val="uk-UA"/>
        </w:rPr>
        <w:t xml:space="preserve">використання </w:t>
      </w:r>
      <w:r w:rsidRPr="00E021BB">
        <w:rPr>
          <w:sz w:val="20"/>
          <w:szCs w:val="20"/>
          <w:lang w:val="uk-UA"/>
        </w:rPr>
        <w:t>GeneXpert. Він дозволяє децентралізувати тестування, а отже, має можливості зниження катастрофічних витрат для пацієнтів. Однак рішення про впровадження TB-LAMP також приймаються з урахуванням  інтересів донорів та інвестицій</w:t>
      </w:r>
      <w:r w:rsidR="00B01E0C" w:rsidRPr="00685D26">
        <w:rPr>
          <w:w w:val="105"/>
          <w:sz w:val="20"/>
          <w:szCs w:val="20"/>
          <w:lang w:val="uk-UA"/>
        </w:rPr>
        <w:t>.</w:t>
      </w:r>
    </w:p>
    <w:p w14:paraId="298D2D26" w14:textId="3B1620CB" w:rsidR="00E05B98" w:rsidRPr="00685D26" w:rsidRDefault="00E021BB">
      <w:pPr>
        <w:pStyle w:val="a3"/>
        <w:spacing w:before="177" w:line="297" w:lineRule="auto"/>
        <w:ind w:left="567" w:right="136"/>
        <w:jc w:val="both"/>
        <w:rPr>
          <w:sz w:val="20"/>
          <w:szCs w:val="20"/>
          <w:lang w:val="uk-UA"/>
        </w:rPr>
      </w:pPr>
      <w:r w:rsidRPr="00E021BB">
        <w:rPr>
          <w:spacing w:val="-2"/>
          <w:sz w:val="20"/>
          <w:szCs w:val="20"/>
          <w:lang w:val="uk-UA"/>
        </w:rPr>
        <w:t xml:space="preserve">Загалом, TB-LAMP дозволяє персоналу </w:t>
      </w:r>
      <w:r w:rsidR="009F1497">
        <w:rPr>
          <w:spacing w:val="-2"/>
          <w:sz w:val="20"/>
          <w:szCs w:val="20"/>
          <w:lang w:val="uk-UA"/>
        </w:rPr>
        <w:t>виконувати</w:t>
      </w:r>
      <w:r w:rsidRPr="00E021BB">
        <w:rPr>
          <w:spacing w:val="-2"/>
          <w:sz w:val="20"/>
          <w:szCs w:val="20"/>
          <w:lang w:val="uk-UA"/>
        </w:rPr>
        <w:t xml:space="preserve"> більше тестів і швидше. Висока пропускна здатність приладу сприяє прийнятності та </w:t>
      </w:r>
      <w:r w:rsidR="009F1497">
        <w:rPr>
          <w:spacing w:val="-2"/>
          <w:sz w:val="20"/>
          <w:szCs w:val="20"/>
          <w:lang w:val="uk-UA"/>
        </w:rPr>
        <w:t xml:space="preserve">використанню </w:t>
      </w:r>
      <w:r w:rsidRPr="00E021BB">
        <w:rPr>
          <w:spacing w:val="-2"/>
          <w:sz w:val="20"/>
          <w:szCs w:val="20"/>
          <w:lang w:val="uk-UA"/>
        </w:rPr>
        <w:t>таких тестів. Співробітники лабораторії в Нігерії отримують заохочення за кількість проведених тестів, що робить використання TB-LAMP ще більш привабливим. Ці стимули також сприяють швидкому реагуванню в разі необхідності технічного обслуговування або ремонту приладів.</w:t>
      </w:r>
    </w:p>
    <w:p w14:paraId="2809CD45" w14:textId="24CF0A49" w:rsidR="00E05B98" w:rsidRPr="00685D26" w:rsidRDefault="00C52BB3">
      <w:pPr>
        <w:pStyle w:val="a3"/>
        <w:spacing w:before="175" w:line="297" w:lineRule="auto"/>
        <w:ind w:left="567" w:right="133"/>
        <w:jc w:val="both"/>
        <w:rPr>
          <w:sz w:val="20"/>
          <w:szCs w:val="20"/>
          <w:lang w:val="uk-UA"/>
        </w:rPr>
      </w:pPr>
      <w:r w:rsidRPr="00C52BB3">
        <w:rPr>
          <w:sz w:val="20"/>
          <w:szCs w:val="20"/>
          <w:lang w:val="uk-UA"/>
        </w:rPr>
        <w:t>Реалізація програми викликає менше занепокоєння, ніж у випадку з системою GeneXpert. Порівняно з впровадженням GeneXpert, програмні спеціалісти вважають, що TB-LAMP є більш доцільним для впровадження через менші вимоги до інфраструктури, рівня кваліфікації та технічного обслуговування. Як і у випадку з усіма ТАНК-НС, проблеми з кадрами та постачанням реагентів ускладнюють його використання. Вплив TB-LAMP на загальний час, необхідний для постановки діагнозу ЛС-ТБ, початку лікування МЛС-ТБ</w:t>
      </w:r>
      <w:r w:rsidR="009F1497">
        <w:rPr>
          <w:sz w:val="20"/>
          <w:szCs w:val="20"/>
          <w:lang w:val="uk-UA"/>
        </w:rPr>
        <w:t>, а</w:t>
      </w:r>
      <w:r w:rsidRPr="00C52BB3">
        <w:rPr>
          <w:sz w:val="20"/>
          <w:szCs w:val="20"/>
          <w:lang w:val="uk-UA"/>
        </w:rPr>
        <w:t xml:space="preserve"> та</w:t>
      </w:r>
      <w:r w:rsidR="009F1497">
        <w:rPr>
          <w:sz w:val="20"/>
          <w:szCs w:val="20"/>
          <w:lang w:val="uk-UA"/>
        </w:rPr>
        <w:t>кож</w:t>
      </w:r>
      <w:r w:rsidRPr="00C52BB3">
        <w:rPr>
          <w:sz w:val="20"/>
          <w:szCs w:val="20"/>
          <w:lang w:val="uk-UA"/>
        </w:rPr>
        <w:t xml:space="preserve"> </w:t>
      </w:r>
      <w:r w:rsidR="009F1497">
        <w:rPr>
          <w:sz w:val="20"/>
          <w:szCs w:val="20"/>
          <w:lang w:val="uk-UA"/>
        </w:rPr>
        <w:t xml:space="preserve">на </w:t>
      </w:r>
      <w:r w:rsidRPr="00C52BB3">
        <w:rPr>
          <w:sz w:val="20"/>
          <w:szCs w:val="20"/>
          <w:lang w:val="uk-UA"/>
        </w:rPr>
        <w:t>втрату контактів з пацієнтами для подальшого спостереження на сайтах, які не мають системи тестування Xpert Ultra, залежить від ефективності та надійності системи транспортування чи системи направлення зразків.</w:t>
      </w:r>
    </w:p>
    <w:p w14:paraId="1B1487F7" w14:textId="080053D3" w:rsidR="00E05B98" w:rsidRPr="00685D26" w:rsidRDefault="00C52BB3">
      <w:pPr>
        <w:pStyle w:val="a3"/>
        <w:spacing w:before="176"/>
        <w:ind w:left="567"/>
        <w:jc w:val="both"/>
        <w:rPr>
          <w:b/>
          <w:sz w:val="20"/>
          <w:szCs w:val="20"/>
          <w:lang w:val="uk-UA"/>
        </w:rPr>
      </w:pPr>
      <w:r w:rsidRPr="00C52BB3">
        <w:rPr>
          <w:sz w:val="20"/>
          <w:szCs w:val="20"/>
          <w:lang w:val="uk-UA"/>
        </w:rPr>
        <w:t xml:space="preserve">Детальніша інформація про якісну оцінку рТАНК-НС представлена у </w:t>
      </w:r>
      <w:r w:rsidRPr="009F1497">
        <w:rPr>
          <w:b/>
          <w:bCs/>
          <w:sz w:val="20"/>
          <w:szCs w:val="20"/>
          <w:lang w:val="uk-UA"/>
        </w:rPr>
        <w:t>веб-додатку B.10</w:t>
      </w:r>
      <w:r w:rsidRPr="00C52BB3">
        <w:rPr>
          <w:sz w:val="20"/>
          <w:szCs w:val="20"/>
          <w:lang w:val="uk-UA"/>
        </w:rPr>
        <w:t>.</w:t>
      </w:r>
    </w:p>
    <w:p w14:paraId="7DB0D589" w14:textId="77777777" w:rsidR="00E05B98" w:rsidRPr="003C6DAE" w:rsidRDefault="00E05B98">
      <w:pPr>
        <w:pStyle w:val="a3"/>
        <w:spacing w:before="4"/>
        <w:rPr>
          <w:rFonts w:ascii="Arial"/>
          <w:b/>
          <w:lang w:val="uk-UA"/>
        </w:rPr>
      </w:pPr>
    </w:p>
    <w:p w14:paraId="03FCDB90" w14:textId="09C904E6" w:rsidR="00E05B98" w:rsidRDefault="00C52BB3">
      <w:pPr>
        <w:pStyle w:val="5"/>
        <w:spacing w:before="1"/>
        <w:jc w:val="both"/>
        <w:rPr>
          <w:color w:val="019648"/>
          <w:w w:val="110"/>
          <w:sz w:val="26"/>
          <w:szCs w:val="26"/>
          <w:lang w:val="uk-UA"/>
        </w:rPr>
      </w:pPr>
      <w:r w:rsidRPr="00C52BB3">
        <w:rPr>
          <w:color w:val="019648"/>
          <w:w w:val="110"/>
          <w:sz w:val="26"/>
          <w:szCs w:val="26"/>
          <w:lang w:val="uk-UA"/>
        </w:rPr>
        <w:t>Міркування щодо впровадження</w:t>
      </w:r>
    </w:p>
    <w:p w14:paraId="317DD92A" w14:textId="77777777" w:rsidR="009F1497" w:rsidRPr="009F1497" w:rsidRDefault="009F1497">
      <w:pPr>
        <w:pStyle w:val="5"/>
        <w:spacing w:before="1"/>
        <w:jc w:val="both"/>
        <w:rPr>
          <w:sz w:val="12"/>
          <w:szCs w:val="12"/>
          <w:lang w:val="uk-UA"/>
        </w:rPr>
      </w:pPr>
    </w:p>
    <w:p w14:paraId="556905E5" w14:textId="4400EEDC" w:rsidR="00822D87" w:rsidRPr="00822D87" w:rsidRDefault="00822D87" w:rsidP="004A2937">
      <w:pPr>
        <w:pStyle w:val="a4"/>
        <w:numPr>
          <w:ilvl w:val="0"/>
          <w:numId w:val="23"/>
        </w:numPr>
        <w:tabs>
          <w:tab w:val="left" w:pos="850"/>
        </w:tabs>
        <w:spacing w:before="3" w:line="297" w:lineRule="auto"/>
        <w:ind w:right="137"/>
        <w:rPr>
          <w:sz w:val="20"/>
          <w:szCs w:val="20"/>
          <w:lang w:val="uk-UA"/>
        </w:rPr>
      </w:pPr>
      <w:r w:rsidRPr="00822D87">
        <w:rPr>
          <w:sz w:val="20"/>
          <w:szCs w:val="20"/>
          <w:lang w:val="uk-UA"/>
        </w:rPr>
        <w:t>Діагностичні продукти в класах тестів низької складності повинні пройти прекваліфікацію ВООЗ або мають бути схвалені іншим регуляторним органом перед клінічним застосуванням.</w:t>
      </w:r>
    </w:p>
    <w:p w14:paraId="42F242F3" w14:textId="25B7372B" w:rsidR="00E05B98" w:rsidRPr="00685D26" w:rsidRDefault="00822D87" w:rsidP="004A2937">
      <w:pPr>
        <w:pStyle w:val="a4"/>
        <w:numPr>
          <w:ilvl w:val="0"/>
          <w:numId w:val="23"/>
        </w:numPr>
        <w:tabs>
          <w:tab w:val="left" w:pos="850"/>
        </w:tabs>
        <w:spacing w:before="3" w:line="297" w:lineRule="auto"/>
        <w:ind w:right="137"/>
        <w:rPr>
          <w:sz w:val="20"/>
          <w:szCs w:val="20"/>
          <w:lang w:val="uk-UA"/>
        </w:rPr>
      </w:pPr>
      <w:r w:rsidRPr="00822D87">
        <w:rPr>
          <w:sz w:val="20"/>
          <w:szCs w:val="20"/>
          <w:lang w:val="uk-UA"/>
        </w:rPr>
        <w:t xml:space="preserve">Виробники діагностичних тестів, керівники лабораторій та програм, а також особи, відповідальні за розробку політики, повинні бути ознайомлені з процесом попередньої кваліфікації ВООЗ щодо оцінки якості  діагностики ТБ </w:t>
      </w:r>
      <w:r w:rsidRPr="00822D87">
        <w:rPr>
          <w:i/>
          <w:iCs/>
          <w:sz w:val="20"/>
          <w:szCs w:val="20"/>
          <w:lang w:val="uk-UA"/>
        </w:rPr>
        <w:t>in vitro</w:t>
      </w:r>
      <w:r w:rsidRPr="00822D87">
        <w:rPr>
          <w:sz w:val="20"/>
          <w:szCs w:val="20"/>
          <w:lang w:val="uk-UA"/>
        </w:rPr>
        <w:t>.</w:t>
      </w:r>
    </w:p>
    <w:p w14:paraId="183CA4E8" w14:textId="77777777" w:rsidR="00822D87" w:rsidRPr="00822D87" w:rsidRDefault="00822D87" w:rsidP="004A2937">
      <w:pPr>
        <w:pStyle w:val="a4"/>
        <w:numPr>
          <w:ilvl w:val="0"/>
          <w:numId w:val="23"/>
        </w:numPr>
        <w:tabs>
          <w:tab w:val="left" w:pos="850"/>
        </w:tabs>
        <w:spacing w:line="297" w:lineRule="auto"/>
        <w:ind w:right="141"/>
        <w:rPr>
          <w:sz w:val="20"/>
          <w:szCs w:val="20"/>
          <w:lang w:val="uk-UA"/>
        </w:rPr>
      </w:pPr>
      <w:r w:rsidRPr="00822D87">
        <w:rPr>
          <w:sz w:val="20"/>
          <w:szCs w:val="20"/>
          <w:lang w:val="uk-UA"/>
        </w:rPr>
        <w:t>Забезпечення достатнього обсягу зразків та їх  якості є важливим чинником для отримання точних результатів.</w:t>
      </w:r>
    </w:p>
    <w:p w14:paraId="74B419EE" w14:textId="3B11D3A2" w:rsidR="00E05B98" w:rsidRPr="00685D26" w:rsidRDefault="00822D87" w:rsidP="004A2937">
      <w:pPr>
        <w:pStyle w:val="a4"/>
        <w:numPr>
          <w:ilvl w:val="0"/>
          <w:numId w:val="23"/>
        </w:numPr>
        <w:tabs>
          <w:tab w:val="left" w:pos="850"/>
        </w:tabs>
        <w:spacing w:line="297" w:lineRule="auto"/>
        <w:ind w:right="141"/>
        <w:jc w:val="left"/>
        <w:rPr>
          <w:sz w:val="20"/>
          <w:szCs w:val="20"/>
          <w:lang w:val="uk-UA"/>
        </w:rPr>
      </w:pPr>
      <w:r w:rsidRPr="00822D87">
        <w:rPr>
          <w:sz w:val="20"/>
          <w:szCs w:val="20"/>
          <w:lang w:val="uk-UA"/>
        </w:rPr>
        <w:t>Безпечну утилізацію використаних витратних матеріалів для тестування необхідно планувати заздалегідь, щоб мінімізувати ризики для навколишнього середовища.</w:t>
      </w:r>
    </w:p>
    <w:p w14:paraId="3C53B746" w14:textId="77777777" w:rsidR="00E05B98" w:rsidRPr="00685D26" w:rsidRDefault="00E05B98">
      <w:pPr>
        <w:pStyle w:val="a3"/>
        <w:spacing w:before="7"/>
        <w:rPr>
          <w:sz w:val="20"/>
          <w:szCs w:val="20"/>
          <w:lang w:val="uk-UA"/>
        </w:rPr>
      </w:pPr>
    </w:p>
    <w:p w14:paraId="72AABCFC" w14:textId="686A2C0C" w:rsidR="00E05B98" w:rsidRDefault="00822D87">
      <w:pPr>
        <w:pStyle w:val="5"/>
        <w:spacing w:before="1"/>
        <w:jc w:val="both"/>
        <w:rPr>
          <w:color w:val="019648"/>
          <w:w w:val="110"/>
          <w:sz w:val="26"/>
          <w:szCs w:val="26"/>
          <w:lang w:val="uk-UA"/>
        </w:rPr>
      </w:pPr>
      <w:r w:rsidRPr="00822D87">
        <w:rPr>
          <w:color w:val="019648"/>
          <w:w w:val="110"/>
          <w:sz w:val="26"/>
          <w:szCs w:val="26"/>
          <w:lang w:val="uk-UA"/>
        </w:rPr>
        <w:t xml:space="preserve">Моніторинг </w:t>
      </w:r>
      <w:r>
        <w:rPr>
          <w:color w:val="019648"/>
          <w:w w:val="110"/>
          <w:sz w:val="26"/>
          <w:szCs w:val="26"/>
          <w:lang w:val="uk-UA"/>
        </w:rPr>
        <w:t>і</w:t>
      </w:r>
      <w:r w:rsidRPr="00822D87">
        <w:rPr>
          <w:color w:val="019648"/>
          <w:w w:val="110"/>
          <w:sz w:val="26"/>
          <w:szCs w:val="26"/>
          <w:lang w:val="uk-UA"/>
        </w:rPr>
        <w:t xml:space="preserve"> оці</w:t>
      </w:r>
      <w:r>
        <w:rPr>
          <w:color w:val="019648"/>
          <w:w w:val="110"/>
          <w:sz w:val="26"/>
          <w:szCs w:val="26"/>
          <w:lang w:val="uk-UA"/>
        </w:rPr>
        <w:t>нка</w:t>
      </w:r>
    </w:p>
    <w:p w14:paraId="6BA253E7" w14:textId="77777777" w:rsidR="009F1497" w:rsidRPr="009F1497" w:rsidRDefault="009F1497">
      <w:pPr>
        <w:pStyle w:val="5"/>
        <w:spacing w:before="1"/>
        <w:jc w:val="both"/>
        <w:rPr>
          <w:sz w:val="12"/>
          <w:szCs w:val="12"/>
          <w:lang w:val="uk-UA"/>
        </w:rPr>
      </w:pPr>
    </w:p>
    <w:p w14:paraId="649C3184" w14:textId="77777777" w:rsidR="00822D87" w:rsidRPr="00822D87" w:rsidRDefault="00822D87" w:rsidP="004A2937">
      <w:pPr>
        <w:pStyle w:val="a4"/>
        <w:numPr>
          <w:ilvl w:val="0"/>
          <w:numId w:val="23"/>
        </w:numPr>
        <w:tabs>
          <w:tab w:val="left" w:pos="850"/>
        </w:tabs>
        <w:spacing w:before="3" w:line="297" w:lineRule="auto"/>
        <w:ind w:right="140"/>
        <w:rPr>
          <w:sz w:val="20"/>
          <w:szCs w:val="20"/>
          <w:lang w:val="uk-UA"/>
        </w:rPr>
      </w:pPr>
      <w:r w:rsidRPr="00822D87">
        <w:rPr>
          <w:sz w:val="20"/>
          <w:szCs w:val="20"/>
          <w:lang w:val="uk-UA"/>
        </w:rPr>
        <w:t>Відстежувати частоту помилок та показники недійсних результатів тестування для рекомендованих наразі продуктів та нових продуктів, які будуть представлені в цьому класі.</w:t>
      </w:r>
    </w:p>
    <w:p w14:paraId="5F8E1D40" w14:textId="2FA6956D" w:rsidR="00E05B98" w:rsidRPr="00685D26" w:rsidRDefault="00822D87" w:rsidP="004A2937">
      <w:pPr>
        <w:pStyle w:val="a4"/>
        <w:numPr>
          <w:ilvl w:val="0"/>
          <w:numId w:val="23"/>
        </w:numPr>
        <w:tabs>
          <w:tab w:val="left" w:pos="850"/>
        </w:tabs>
        <w:spacing w:before="3" w:line="297" w:lineRule="auto"/>
        <w:ind w:right="140"/>
        <w:jc w:val="left"/>
        <w:rPr>
          <w:sz w:val="20"/>
          <w:szCs w:val="20"/>
          <w:lang w:val="uk-UA"/>
        </w:rPr>
      </w:pPr>
      <w:r w:rsidRPr="00822D87">
        <w:rPr>
          <w:sz w:val="20"/>
          <w:szCs w:val="20"/>
          <w:lang w:val="uk-UA"/>
        </w:rPr>
        <w:t>Моніторинг частки людей з бактеріологічно підтвердженим ТБ, які не пройшли контрольне тестування на стійкість до рифампіцину або не мають доступу до подальшого виконання ТМЧ з плином часу</w:t>
      </w:r>
      <w:r w:rsidR="00B01E0C" w:rsidRPr="00685D26">
        <w:rPr>
          <w:sz w:val="20"/>
          <w:szCs w:val="20"/>
          <w:lang w:val="uk-UA"/>
        </w:rPr>
        <w:t>.</w:t>
      </w:r>
    </w:p>
    <w:p w14:paraId="6A05051A" w14:textId="77777777" w:rsidR="00E05B98" w:rsidRPr="00685D26" w:rsidRDefault="00E05B98">
      <w:pPr>
        <w:pStyle w:val="a4"/>
        <w:spacing w:line="297" w:lineRule="auto"/>
        <w:jc w:val="left"/>
        <w:rPr>
          <w:sz w:val="20"/>
          <w:szCs w:val="20"/>
          <w:lang w:val="uk-UA"/>
        </w:rPr>
        <w:sectPr w:rsidR="00E05B98" w:rsidRPr="00685D26">
          <w:pgSz w:w="11910" w:h="16840"/>
          <w:pgMar w:top="1320" w:right="1275" w:bottom="760" w:left="850" w:header="0" w:footer="573" w:gutter="0"/>
          <w:cols w:space="720"/>
        </w:sectPr>
      </w:pPr>
    </w:p>
    <w:p w14:paraId="5DA1A304" w14:textId="4027AF65" w:rsidR="00E05B98" w:rsidRDefault="00822D87">
      <w:pPr>
        <w:pStyle w:val="5"/>
        <w:spacing w:before="45"/>
        <w:jc w:val="both"/>
        <w:rPr>
          <w:color w:val="019648"/>
          <w:w w:val="95"/>
          <w:sz w:val="26"/>
          <w:szCs w:val="26"/>
          <w:lang w:val="uk-UA"/>
        </w:rPr>
      </w:pPr>
      <w:bookmarkStart w:id="53" w:name="2.3._Concurrent_use_of_initial_diagnosti"/>
      <w:bookmarkStart w:id="54" w:name="_bookmark22"/>
      <w:bookmarkEnd w:id="53"/>
      <w:bookmarkEnd w:id="54"/>
      <w:r>
        <w:rPr>
          <w:color w:val="019648"/>
          <w:w w:val="95"/>
          <w:sz w:val="26"/>
          <w:szCs w:val="26"/>
          <w:lang w:val="uk-UA"/>
        </w:rPr>
        <w:lastRenderedPageBreak/>
        <w:t>Пріоритети дослідження</w:t>
      </w:r>
    </w:p>
    <w:p w14:paraId="4F253AB4" w14:textId="77777777" w:rsidR="009F1497" w:rsidRPr="009F1497" w:rsidRDefault="009F1497">
      <w:pPr>
        <w:pStyle w:val="5"/>
        <w:spacing w:before="45"/>
        <w:jc w:val="both"/>
        <w:rPr>
          <w:sz w:val="12"/>
          <w:szCs w:val="12"/>
          <w:lang w:val="uk-UA"/>
        </w:rPr>
      </w:pPr>
    </w:p>
    <w:p w14:paraId="5C71158A" w14:textId="77777777" w:rsidR="00F3183F" w:rsidRPr="00F3183F" w:rsidRDefault="00F3183F" w:rsidP="004A2937">
      <w:pPr>
        <w:pStyle w:val="a4"/>
        <w:numPr>
          <w:ilvl w:val="0"/>
          <w:numId w:val="23"/>
        </w:numPr>
        <w:tabs>
          <w:tab w:val="left" w:pos="850"/>
        </w:tabs>
        <w:spacing w:before="2" w:line="297" w:lineRule="auto"/>
        <w:ind w:right="4"/>
        <w:rPr>
          <w:sz w:val="20"/>
          <w:szCs w:val="20"/>
          <w:lang w:val="uk-UA"/>
        </w:rPr>
      </w:pPr>
      <w:r w:rsidRPr="00F3183F">
        <w:rPr>
          <w:sz w:val="20"/>
          <w:szCs w:val="20"/>
          <w:lang w:val="uk-UA"/>
        </w:rPr>
        <w:t>Оцінити ефективність цього класу, використовуючи альтернативні типи зразків для дитячого ТБ (наприклад, аспірати зі шлунку та носоглотки, кал, індуковане мокротиння, БАЛ) та позалегеневого ТБ.</w:t>
      </w:r>
    </w:p>
    <w:p w14:paraId="656F23DB" w14:textId="09140548" w:rsidR="00E05B98" w:rsidRPr="00822D87" w:rsidRDefault="00F3183F" w:rsidP="004A2937">
      <w:pPr>
        <w:pStyle w:val="a4"/>
        <w:numPr>
          <w:ilvl w:val="0"/>
          <w:numId w:val="23"/>
        </w:numPr>
        <w:tabs>
          <w:tab w:val="left" w:pos="850"/>
        </w:tabs>
        <w:spacing w:before="2" w:line="297" w:lineRule="auto"/>
        <w:ind w:right="4"/>
        <w:rPr>
          <w:sz w:val="20"/>
          <w:szCs w:val="20"/>
          <w:lang w:val="uk-UA"/>
        </w:rPr>
      </w:pPr>
      <w:r w:rsidRPr="00F3183F">
        <w:rPr>
          <w:sz w:val="20"/>
          <w:szCs w:val="20"/>
          <w:lang w:val="uk-UA"/>
        </w:rPr>
        <w:t xml:space="preserve">Оцінити вплив тестування методом рТАНК-НС на важливі для пацієнта результати (вилікування, смертність, час до </w:t>
      </w:r>
      <w:r w:rsidR="00315300">
        <w:rPr>
          <w:sz w:val="20"/>
          <w:szCs w:val="20"/>
          <w:lang w:val="uk-UA"/>
        </w:rPr>
        <w:t>постановки</w:t>
      </w:r>
      <w:r w:rsidRPr="00F3183F">
        <w:rPr>
          <w:sz w:val="20"/>
          <w:szCs w:val="20"/>
          <w:lang w:val="uk-UA"/>
        </w:rPr>
        <w:t xml:space="preserve"> діагнозу та час початку лікування)</w:t>
      </w:r>
      <w:r>
        <w:rPr>
          <w:sz w:val="20"/>
          <w:szCs w:val="20"/>
          <w:lang w:val="uk-UA"/>
        </w:rPr>
        <w:t>.</w:t>
      </w:r>
    </w:p>
    <w:p w14:paraId="22BA8AD9" w14:textId="77777777" w:rsidR="00F3183F" w:rsidRPr="00F3183F" w:rsidRDefault="00F3183F" w:rsidP="004A2937">
      <w:pPr>
        <w:pStyle w:val="a4"/>
        <w:numPr>
          <w:ilvl w:val="0"/>
          <w:numId w:val="23"/>
        </w:numPr>
        <w:tabs>
          <w:tab w:val="left" w:pos="850"/>
        </w:tabs>
        <w:spacing w:before="2" w:line="297" w:lineRule="auto"/>
        <w:ind w:right="4"/>
        <w:rPr>
          <w:sz w:val="20"/>
          <w:szCs w:val="20"/>
          <w:lang w:val="uk-UA"/>
        </w:rPr>
      </w:pPr>
      <w:r w:rsidRPr="00F3183F">
        <w:rPr>
          <w:sz w:val="20"/>
          <w:szCs w:val="20"/>
          <w:lang w:val="uk-UA"/>
        </w:rPr>
        <w:t>Оцінити вплив методів концентрації зразка (наприклад, центрифугування) та його об'єму на ефективність технологій рТАНК-НС, в тому числі для зразків, отриманих при позалегеневому ТБ.</w:t>
      </w:r>
    </w:p>
    <w:p w14:paraId="10FACB8C" w14:textId="6AA7AF38" w:rsidR="00E05B98" w:rsidRPr="00822D87" w:rsidRDefault="00315300" w:rsidP="004A2937">
      <w:pPr>
        <w:pStyle w:val="a4"/>
        <w:numPr>
          <w:ilvl w:val="0"/>
          <w:numId w:val="23"/>
        </w:numPr>
        <w:tabs>
          <w:tab w:val="left" w:pos="850"/>
        </w:tabs>
        <w:spacing w:before="2" w:line="297" w:lineRule="auto"/>
        <w:ind w:right="4"/>
        <w:rPr>
          <w:sz w:val="20"/>
          <w:szCs w:val="20"/>
          <w:lang w:val="uk-UA"/>
        </w:rPr>
      </w:pPr>
      <w:r w:rsidRPr="00315300">
        <w:rPr>
          <w:sz w:val="20"/>
          <w:szCs w:val="20"/>
          <w:lang w:val="uk-UA"/>
        </w:rPr>
        <w:t>Оцінити вплив альтернативних типів зразків, які легше зб</w:t>
      </w:r>
      <w:r>
        <w:rPr>
          <w:sz w:val="20"/>
          <w:szCs w:val="20"/>
          <w:lang w:val="uk-UA"/>
        </w:rPr>
        <w:t>и</w:t>
      </w:r>
      <w:r w:rsidRPr="00315300">
        <w:rPr>
          <w:sz w:val="20"/>
          <w:szCs w:val="20"/>
          <w:lang w:val="uk-UA"/>
        </w:rPr>
        <w:t>рати, на додаткову точність і виявлення випадків.</w:t>
      </w:r>
    </w:p>
    <w:p w14:paraId="6ED4B662" w14:textId="77777777" w:rsidR="00EB7890" w:rsidRPr="00EB7890" w:rsidRDefault="00EB7890" w:rsidP="004A2937">
      <w:pPr>
        <w:pStyle w:val="a4"/>
        <w:numPr>
          <w:ilvl w:val="0"/>
          <w:numId w:val="23"/>
        </w:numPr>
        <w:tabs>
          <w:tab w:val="left" w:pos="850"/>
        </w:tabs>
        <w:spacing w:line="297" w:lineRule="auto"/>
        <w:ind w:right="4"/>
        <w:rPr>
          <w:sz w:val="20"/>
          <w:szCs w:val="20"/>
          <w:lang w:val="uk-UA"/>
        </w:rPr>
      </w:pPr>
      <w:r w:rsidRPr="00EB7890">
        <w:rPr>
          <w:sz w:val="20"/>
          <w:szCs w:val="20"/>
          <w:lang w:val="uk-UA"/>
        </w:rPr>
        <w:t>Розробити тест у цьому класі, який може виявляти стійкість ТБ до протитуберкульозних препаратів.</w:t>
      </w:r>
    </w:p>
    <w:p w14:paraId="7165C70F" w14:textId="380638C3" w:rsidR="00EB7890" w:rsidRPr="00EB7890" w:rsidRDefault="00EB7890" w:rsidP="004A2937">
      <w:pPr>
        <w:pStyle w:val="a4"/>
        <w:numPr>
          <w:ilvl w:val="0"/>
          <w:numId w:val="23"/>
        </w:numPr>
        <w:tabs>
          <w:tab w:val="left" w:pos="850"/>
        </w:tabs>
        <w:spacing w:line="297" w:lineRule="auto"/>
        <w:ind w:right="4"/>
        <w:rPr>
          <w:sz w:val="20"/>
          <w:szCs w:val="20"/>
          <w:lang w:val="uk-UA"/>
        </w:rPr>
      </w:pPr>
      <w:r w:rsidRPr="00EB7890">
        <w:rPr>
          <w:sz w:val="20"/>
          <w:szCs w:val="20"/>
          <w:lang w:val="uk-UA"/>
        </w:rPr>
        <w:t>Проаналізувати  ефективність в польових умовах сучасних технологій, які використовуються в закладах з реалізації програми.</w:t>
      </w:r>
    </w:p>
    <w:p w14:paraId="68927538" w14:textId="4941055E" w:rsidR="00EB7890" w:rsidRPr="00EB7890" w:rsidRDefault="00EB7890" w:rsidP="004A2937">
      <w:pPr>
        <w:pStyle w:val="a4"/>
        <w:numPr>
          <w:ilvl w:val="0"/>
          <w:numId w:val="23"/>
        </w:numPr>
        <w:tabs>
          <w:tab w:val="left" w:pos="850"/>
        </w:tabs>
        <w:spacing w:line="297" w:lineRule="auto"/>
        <w:ind w:right="4"/>
        <w:rPr>
          <w:sz w:val="20"/>
          <w:szCs w:val="20"/>
          <w:lang w:val="uk-UA"/>
        </w:rPr>
      </w:pPr>
      <w:r w:rsidRPr="00EB7890">
        <w:rPr>
          <w:sz w:val="20"/>
          <w:szCs w:val="20"/>
          <w:lang w:val="uk-UA"/>
        </w:rPr>
        <w:t>Провести операційні дослідження, щоб переконатися</w:t>
      </w:r>
      <w:r w:rsidR="00315300">
        <w:rPr>
          <w:sz w:val="20"/>
          <w:szCs w:val="20"/>
          <w:lang w:val="uk-UA"/>
        </w:rPr>
        <w:t xml:space="preserve"> в оптимальному використанні тестів</w:t>
      </w:r>
      <w:r w:rsidRPr="00EB7890">
        <w:rPr>
          <w:sz w:val="20"/>
          <w:szCs w:val="20"/>
          <w:lang w:val="uk-UA"/>
        </w:rPr>
        <w:t xml:space="preserve"> </w:t>
      </w:r>
      <w:r w:rsidR="00315300">
        <w:rPr>
          <w:sz w:val="20"/>
          <w:szCs w:val="20"/>
          <w:lang w:val="uk-UA"/>
        </w:rPr>
        <w:t>у</w:t>
      </w:r>
      <w:r w:rsidRPr="00EB7890">
        <w:rPr>
          <w:sz w:val="20"/>
          <w:szCs w:val="20"/>
          <w:lang w:val="uk-UA"/>
        </w:rPr>
        <w:t xml:space="preserve"> </w:t>
      </w:r>
      <w:r w:rsidR="00315300">
        <w:rPr>
          <w:sz w:val="20"/>
          <w:szCs w:val="20"/>
          <w:lang w:val="uk-UA"/>
        </w:rPr>
        <w:t>передбачених</w:t>
      </w:r>
      <w:r w:rsidRPr="00EB7890">
        <w:rPr>
          <w:sz w:val="20"/>
          <w:szCs w:val="20"/>
          <w:lang w:val="uk-UA"/>
        </w:rPr>
        <w:t xml:space="preserve"> закладах.</w:t>
      </w:r>
    </w:p>
    <w:p w14:paraId="70C9E261" w14:textId="37D6843F" w:rsidR="00E05B98" w:rsidRPr="00822D87" w:rsidRDefault="00EB7890" w:rsidP="004A2937">
      <w:pPr>
        <w:pStyle w:val="a4"/>
        <w:numPr>
          <w:ilvl w:val="0"/>
          <w:numId w:val="23"/>
        </w:numPr>
        <w:tabs>
          <w:tab w:val="left" w:pos="850"/>
        </w:tabs>
        <w:spacing w:line="297" w:lineRule="auto"/>
        <w:ind w:right="4"/>
        <w:rPr>
          <w:sz w:val="20"/>
          <w:szCs w:val="20"/>
          <w:lang w:val="uk-UA"/>
        </w:rPr>
      </w:pPr>
      <w:r w:rsidRPr="00EB7890">
        <w:rPr>
          <w:sz w:val="20"/>
          <w:szCs w:val="20"/>
          <w:lang w:val="uk-UA"/>
        </w:rPr>
        <w:t>Оцінити різні класи тестів, у тому числі рТАНК-НС, щоб визначити, які класи або стратегії тестування забезпечують вищу діагностичну точність</w:t>
      </w:r>
      <w:r w:rsidR="009025E4">
        <w:rPr>
          <w:sz w:val="20"/>
          <w:szCs w:val="20"/>
          <w:lang w:val="uk-UA"/>
        </w:rPr>
        <w:t xml:space="preserve"> дослідження</w:t>
      </w:r>
      <w:r w:rsidRPr="00EB7890">
        <w:rPr>
          <w:sz w:val="20"/>
          <w:szCs w:val="20"/>
          <w:lang w:val="uk-UA"/>
        </w:rPr>
        <w:t>, ефективність</w:t>
      </w:r>
      <w:r w:rsidR="00813319">
        <w:rPr>
          <w:sz w:val="20"/>
          <w:szCs w:val="20"/>
          <w:lang w:val="uk-UA"/>
        </w:rPr>
        <w:t xml:space="preserve"> витрат </w:t>
      </w:r>
      <w:r w:rsidRPr="00EB7890">
        <w:rPr>
          <w:sz w:val="20"/>
          <w:szCs w:val="20"/>
          <w:lang w:val="uk-UA"/>
        </w:rPr>
        <w:t xml:space="preserve"> та вплив на </w:t>
      </w:r>
      <w:r w:rsidR="00813319">
        <w:rPr>
          <w:sz w:val="20"/>
          <w:szCs w:val="20"/>
          <w:lang w:val="uk-UA"/>
        </w:rPr>
        <w:t xml:space="preserve">рівність і </w:t>
      </w:r>
      <w:r w:rsidR="009025E4">
        <w:rPr>
          <w:sz w:val="20"/>
          <w:szCs w:val="20"/>
          <w:lang w:val="uk-UA"/>
        </w:rPr>
        <w:t>справедливість</w:t>
      </w:r>
      <w:r w:rsidRPr="00EB7890">
        <w:rPr>
          <w:sz w:val="20"/>
          <w:szCs w:val="20"/>
          <w:lang w:val="uk-UA"/>
        </w:rPr>
        <w:t xml:space="preserve"> </w:t>
      </w:r>
      <w:r w:rsidR="00813319">
        <w:rPr>
          <w:sz w:val="20"/>
          <w:szCs w:val="20"/>
          <w:lang w:val="uk-UA"/>
        </w:rPr>
        <w:t xml:space="preserve">у </w:t>
      </w:r>
      <w:r w:rsidRPr="00EB7890">
        <w:rPr>
          <w:sz w:val="20"/>
          <w:szCs w:val="20"/>
          <w:lang w:val="uk-UA"/>
        </w:rPr>
        <w:t>наданн</w:t>
      </w:r>
      <w:r w:rsidR="00813319">
        <w:rPr>
          <w:sz w:val="20"/>
          <w:szCs w:val="20"/>
          <w:lang w:val="uk-UA"/>
        </w:rPr>
        <w:t>і</w:t>
      </w:r>
      <w:r w:rsidRPr="00EB7890">
        <w:rPr>
          <w:sz w:val="20"/>
          <w:szCs w:val="20"/>
          <w:lang w:val="uk-UA"/>
        </w:rPr>
        <w:t xml:space="preserve"> послуг пацієнтам і </w:t>
      </w:r>
      <w:r w:rsidR="009025E4">
        <w:rPr>
          <w:sz w:val="20"/>
          <w:szCs w:val="20"/>
          <w:lang w:val="uk-UA"/>
        </w:rPr>
        <w:t xml:space="preserve">їх </w:t>
      </w:r>
      <w:r w:rsidRPr="00EB7890">
        <w:rPr>
          <w:sz w:val="20"/>
          <w:szCs w:val="20"/>
          <w:lang w:val="uk-UA"/>
        </w:rPr>
        <w:t>прийнятність.</w:t>
      </w:r>
    </w:p>
    <w:p w14:paraId="0BFE8DDD" w14:textId="71565750" w:rsidR="00E05B98" w:rsidRPr="00822D87" w:rsidRDefault="00EB7890" w:rsidP="004A2937">
      <w:pPr>
        <w:pStyle w:val="a4"/>
        <w:numPr>
          <w:ilvl w:val="0"/>
          <w:numId w:val="23"/>
        </w:numPr>
        <w:tabs>
          <w:tab w:val="left" w:pos="850"/>
        </w:tabs>
        <w:spacing w:before="4" w:line="297" w:lineRule="auto"/>
        <w:ind w:right="4"/>
        <w:rPr>
          <w:sz w:val="20"/>
          <w:szCs w:val="20"/>
          <w:lang w:val="uk-UA"/>
        </w:rPr>
      </w:pPr>
      <w:r w:rsidRPr="00EB7890">
        <w:rPr>
          <w:sz w:val="20"/>
          <w:szCs w:val="20"/>
          <w:lang w:val="uk-UA"/>
        </w:rPr>
        <w:t>Визначити покращений еталонний стандарт, який дозволяє точно встановлювати захворювання на ТБ у дітей,  олігобацилярних зра</w:t>
      </w:r>
      <w:r w:rsidR="00813319">
        <w:rPr>
          <w:sz w:val="20"/>
          <w:szCs w:val="20"/>
          <w:lang w:val="uk-UA"/>
        </w:rPr>
        <w:t>з</w:t>
      </w:r>
      <w:r w:rsidRPr="00EB7890">
        <w:rPr>
          <w:sz w:val="20"/>
          <w:szCs w:val="20"/>
          <w:lang w:val="uk-UA"/>
        </w:rPr>
        <w:t>к</w:t>
      </w:r>
      <w:r w:rsidR="009025E4">
        <w:rPr>
          <w:sz w:val="20"/>
          <w:szCs w:val="20"/>
          <w:lang w:val="uk-UA"/>
        </w:rPr>
        <w:t>ах</w:t>
      </w:r>
      <w:r w:rsidRPr="00EB7890">
        <w:rPr>
          <w:sz w:val="20"/>
          <w:szCs w:val="20"/>
          <w:lang w:val="uk-UA"/>
        </w:rPr>
        <w:t xml:space="preserve"> та людей, які не можуть виділяти мокротиння, оскільки чутливість усіх наявних методів діагностики є неоптимальною.</w:t>
      </w:r>
    </w:p>
    <w:p w14:paraId="56271981" w14:textId="77777777" w:rsidR="00EB7890" w:rsidRPr="00EB7890" w:rsidRDefault="00EB7890" w:rsidP="004A2937">
      <w:pPr>
        <w:pStyle w:val="a4"/>
        <w:numPr>
          <w:ilvl w:val="0"/>
          <w:numId w:val="23"/>
        </w:numPr>
        <w:tabs>
          <w:tab w:val="left" w:pos="850"/>
        </w:tabs>
        <w:spacing w:before="2" w:line="297" w:lineRule="auto"/>
        <w:ind w:right="4"/>
        <w:rPr>
          <w:spacing w:val="-4"/>
          <w:sz w:val="20"/>
          <w:szCs w:val="20"/>
          <w:lang w:val="uk-UA"/>
        </w:rPr>
      </w:pPr>
      <w:r w:rsidRPr="00EB7890">
        <w:rPr>
          <w:spacing w:val="-4"/>
          <w:sz w:val="20"/>
          <w:szCs w:val="20"/>
          <w:lang w:val="uk-UA"/>
        </w:rPr>
        <w:t>Оцінити вплив на бюджет та економічну ефективність рТАНК-НС порівняно з іншими класами тестів.</w:t>
      </w:r>
    </w:p>
    <w:p w14:paraId="56880CF5" w14:textId="67E95A1C" w:rsidR="00E05B98" w:rsidRPr="003C6DAE" w:rsidRDefault="00EB7890" w:rsidP="004A2937">
      <w:pPr>
        <w:pStyle w:val="a4"/>
        <w:numPr>
          <w:ilvl w:val="0"/>
          <w:numId w:val="23"/>
        </w:numPr>
        <w:tabs>
          <w:tab w:val="left" w:pos="850"/>
        </w:tabs>
        <w:spacing w:before="2" w:line="297" w:lineRule="auto"/>
        <w:ind w:right="4"/>
        <w:rPr>
          <w:lang w:val="uk-UA"/>
        </w:rPr>
      </w:pPr>
      <w:r w:rsidRPr="00EB7890">
        <w:rPr>
          <w:spacing w:val="-4"/>
          <w:sz w:val="20"/>
          <w:szCs w:val="20"/>
          <w:lang w:val="uk-UA"/>
        </w:rPr>
        <w:t>Розробити та застосовувати стандартизовані методи оцінки витрат та економічної ефективності для покращення порівнянності та обсягу економічних доказів</w:t>
      </w:r>
      <w:r w:rsidR="00B01E0C" w:rsidRPr="00822D87">
        <w:rPr>
          <w:sz w:val="20"/>
          <w:szCs w:val="20"/>
          <w:lang w:val="uk-UA"/>
        </w:rPr>
        <w:t>.</w:t>
      </w:r>
    </w:p>
    <w:p w14:paraId="3C65E44D" w14:textId="77777777" w:rsidR="00E05B98" w:rsidRPr="003C6DAE" w:rsidRDefault="00E05B98" w:rsidP="00822D87">
      <w:pPr>
        <w:pStyle w:val="a3"/>
        <w:spacing w:before="92"/>
        <w:ind w:right="4"/>
        <w:jc w:val="both"/>
        <w:rPr>
          <w:lang w:val="uk-UA"/>
        </w:rPr>
      </w:pPr>
    </w:p>
    <w:p w14:paraId="2BF43AE3" w14:textId="1CD38B2B" w:rsidR="00E05B98" w:rsidRPr="003A6DCE" w:rsidRDefault="00EB7890" w:rsidP="004A2937">
      <w:pPr>
        <w:pStyle w:val="3"/>
        <w:numPr>
          <w:ilvl w:val="1"/>
          <w:numId w:val="31"/>
        </w:numPr>
        <w:tabs>
          <w:tab w:val="left" w:pos="1308"/>
        </w:tabs>
        <w:spacing w:line="254" w:lineRule="auto"/>
        <w:ind w:right="4" w:firstLine="0"/>
        <w:jc w:val="both"/>
        <w:rPr>
          <w:color w:val="019648"/>
          <w:sz w:val="34"/>
          <w:szCs w:val="34"/>
          <w:lang w:val="uk-UA"/>
        </w:rPr>
      </w:pPr>
      <w:bookmarkStart w:id="55" w:name="_bookmark23"/>
      <w:bookmarkEnd w:id="55"/>
      <w:r w:rsidRPr="003A6DCE">
        <w:rPr>
          <w:color w:val="019648"/>
          <w:spacing w:val="-4"/>
          <w:w w:val="110"/>
          <w:sz w:val="34"/>
          <w:szCs w:val="34"/>
          <w:lang w:val="uk-UA"/>
        </w:rPr>
        <w:t xml:space="preserve">Одночасне використання </w:t>
      </w:r>
      <w:r w:rsidR="002B0686">
        <w:rPr>
          <w:color w:val="019648"/>
          <w:spacing w:val="-4"/>
          <w:w w:val="110"/>
          <w:sz w:val="34"/>
          <w:szCs w:val="34"/>
          <w:lang w:val="uk-UA"/>
        </w:rPr>
        <w:t xml:space="preserve">різних </w:t>
      </w:r>
      <w:r w:rsidR="00E6199E">
        <w:rPr>
          <w:color w:val="019648"/>
          <w:spacing w:val="-4"/>
          <w:w w:val="110"/>
          <w:sz w:val="34"/>
          <w:szCs w:val="34"/>
          <w:lang w:val="uk-UA"/>
        </w:rPr>
        <w:t>т</w:t>
      </w:r>
      <w:r w:rsidR="003A6DCE" w:rsidRPr="003A6DCE">
        <w:rPr>
          <w:color w:val="019648"/>
          <w:spacing w:val="-4"/>
          <w:w w:val="110"/>
          <w:sz w:val="34"/>
          <w:szCs w:val="34"/>
          <w:lang w:val="uk-UA"/>
        </w:rPr>
        <w:t xml:space="preserve">естів для первинної </w:t>
      </w:r>
      <w:r w:rsidRPr="003A6DCE">
        <w:rPr>
          <w:color w:val="019648"/>
          <w:spacing w:val="-4"/>
          <w:w w:val="110"/>
          <w:sz w:val="34"/>
          <w:szCs w:val="34"/>
          <w:lang w:val="uk-UA"/>
        </w:rPr>
        <w:t>діагностики ТБ у людей, які живуть з ВІЛ, та дітей</w:t>
      </w:r>
    </w:p>
    <w:p w14:paraId="5383D2EE" w14:textId="7CCF5242" w:rsidR="00E05B98" w:rsidRPr="00822D87" w:rsidRDefault="00D210D2" w:rsidP="00822D87">
      <w:pPr>
        <w:pStyle w:val="a3"/>
        <w:spacing w:before="172" w:line="297" w:lineRule="auto"/>
        <w:ind w:left="567" w:right="4"/>
        <w:jc w:val="both"/>
        <w:rPr>
          <w:sz w:val="20"/>
          <w:szCs w:val="20"/>
          <w:lang w:val="uk-UA"/>
        </w:rPr>
      </w:pPr>
      <w:r w:rsidRPr="00D210D2">
        <w:rPr>
          <w:sz w:val="20"/>
          <w:szCs w:val="20"/>
          <w:lang w:val="uk-UA"/>
        </w:rPr>
        <w:t xml:space="preserve">Існує значний </w:t>
      </w:r>
      <w:r w:rsidR="000530D1" w:rsidRPr="00D210D2">
        <w:rPr>
          <w:sz w:val="20"/>
          <w:szCs w:val="20"/>
          <w:lang w:val="uk-UA"/>
        </w:rPr>
        <w:t>тягар</w:t>
      </w:r>
      <w:r w:rsidRPr="00D210D2">
        <w:rPr>
          <w:sz w:val="20"/>
          <w:szCs w:val="20"/>
          <w:lang w:val="uk-UA"/>
        </w:rPr>
        <w:t xml:space="preserve"> захворювання на ТБ у людей, які живуть з ВІЛ, та дітей, особливо в країнах з низьким та середнім рівнем доходу (</w:t>
      </w:r>
      <w:r w:rsidR="00053A28">
        <w:rPr>
          <w:sz w:val="20"/>
          <w:szCs w:val="20"/>
          <w:lang w:val="uk-UA"/>
        </w:rPr>
        <w:t>КНСРД</w:t>
      </w:r>
      <w:r w:rsidRPr="00D210D2">
        <w:rPr>
          <w:sz w:val="20"/>
          <w:szCs w:val="20"/>
          <w:lang w:val="uk-UA"/>
        </w:rPr>
        <w:t>). Люди, які живуть з ВІЛ, мають значно вищий ризик захворіти на ТБ через імуносупресію, а туберкульоз є основною причиною смертності серед цієї групи населення.</w:t>
      </w:r>
      <w:r w:rsidR="00B01E0C" w:rsidRPr="00822D87">
        <w:rPr>
          <w:sz w:val="20"/>
          <w:szCs w:val="20"/>
          <w:lang w:val="uk-UA"/>
        </w:rPr>
        <w:t xml:space="preserve"> </w:t>
      </w:r>
      <w:r w:rsidRPr="00D210D2">
        <w:rPr>
          <w:sz w:val="20"/>
          <w:szCs w:val="20"/>
          <w:lang w:val="uk-UA"/>
        </w:rPr>
        <w:t>Діти, особливо віком до п'яти років, мають високий ризик розвитку ТБ-інфекції у захворювання на ТБ та швидкого прогресування хвороби, а також часто мають широкий спектр респіраторних симптомів, що ускладнює діагностику та підвищує рівень захворюваності та смертності за відсутності своєчасного лікування. Боротьба з ТБ у цих групах ризику вимагає узгоджених зусиль, які враховують їхні унікальні клінічні прояви та потреби в проведенні діагностики.</w:t>
      </w:r>
    </w:p>
    <w:p w14:paraId="3114E8A6" w14:textId="1FBDC594" w:rsidR="00822D87" w:rsidRPr="00822D87" w:rsidRDefault="00D210D2" w:rsidP="00822D87">
      <w:pPr>
        <w:pStyle w:val="a3"/>
        <w:spacing w:before="180" w:line="297" w:lineRule="auto"/>
        <w:ind w:left="567" w:right="4"/>
        <w:jc w:val="both"/>
        <w:rPr>
          <w:sz w:val="20"/>
          <w:szCs w:val="20"/>
          <w:lang w:val="uk-UA"/>
        </w:rPr>
      </w:pPr>
      <w:r w:rsidRPr="00D210D2">
        <w:rPr>
          <w:sz w:val="20"/>
          <w:szCs w:val="20"/>
          <w:lang w:val="uk-UA"/>
        </w:rPr>
        <w:t>Діагностика ТБ у людей, які живуть з ВІЛ, та дітей є складним завданням, особливо через неспецифічні клінічні прояви та часто низьку або різну кількість мікобактерій у їхніх зразках, що знижує чутливість існуючих діагностичних тестів. Крім того, діти та люди, які живуть з ВІЛ, з глибокою імуносупресією можуть бути не в змозі надати зразки мокротиння і мати дисемінований ТБ, який складно підтвердити за допомогою лабораторних методів.</w:t>
      </w:r>
      <w:r w:rsidR="00B01E0C" w:rsidRPr="00822D87">
        <w:rPr>
          <w:spacing w:val="-10"/>
          <w:sz w:val="20"/>
          <w:szCs w:val="20"/>
          <w:lang w:val="uk-UA"/>
        </w:rPr>
        <w:t xml:space="preserve"> </w:t>
      </w:r>
      <w:r w:rsidRPr="00D210D2">
        <w:rPr>
          <w:sz w:val="20"/>
          <w:szCs w:val="20"/>
          <w:lang w:val="uk-UA"/>
        </w:rPr>
        <w:t xml:space="preserve">Щоб частково вирішити цю проблему, ВООЗ рекомендує використовувати аналіз калу для лабораторного підтвердження ТБ у дітей, а також аналіз сечі для підтвердження ТБ у </w:t>
      </w:r>
      <w:r w:rsidR="003A6DCE">
        <w:rPr>
          <w:sz w:val="20"/>
          <w:szCs w:val="20"/>
          <w:lang w:val="uk-UA"/>
        </w:rPr>
        <w:t>ЛЖВ</w:t>
      </w:r>
      <w:r w:rsidRPr="00D210D2">
        <w:rPr>
          <w:sz w:val="20"/>
          <w:szCs w:val="20"/>
          <w:lang w:val="uk-UA"/>
        </w:rPr>
        <w:t>. Однак навіть високочутливі тести для діагностики ТБ, такі як аТАНК-НС, можуть не виявити ТБ у цих групах. Тому існує потреба в удосконаленні підходів до діагностики для точного підтвердження ТБ у цих групах високого ризику з метою забезпечити раннє виявлення ТБ та ефективне його лікування.</w:t>
      </w:r>
    </w:p>
    <w:p w14:paraId="4535AAFA" w14:textId="77777777" w:rsidR="00E05B98" w:rsidRPr="00822D87" w:rsidRDefault="00E05B98" w:rsidP="00822D87">
      <w:pPr>
        <w:pStyle w:val="a3"/>
        <w:spacing w:line="297" w:lineRule="auto"/>
        <w:ind w:right="4"/>
        <w:jc w:val="both"/>
        <w:rPr>
          <w:sz w:val="20"/>
          <w:szCs w:val="20"/>
          <w:lang w:val="uk-UA"/>
        </w:rPr>
        <w:sectPr w:rsidR="00E05B98" w:rsidRPr="00822D87" w:rsidSect="00D210D2">
          <w:pgSz w:w="11910" w:h="16840"/>
          <w:pgMar w:top="993" w:right="995" w:bottom="760" w:left="850" w:header="0" w:footer="573" w:gutter="0"/>
          <w:cols w:space="720"/>
        </w:sectPr>
      </w:pPr>
    </w:p>
    <w:p w14:paraId="3F312EBC" w14:textId="0B5EB685" w:rsidR="00E05B98" w:rsidRPr="00EB7890" w:rsidRDefault="00543705" w:rsidP="00822D87">
      <w:pPr>
        <w:pStyle w:val="a3"/>
        <w:spacing w:before="173" w:line="297" w:lineRule="auto"/>
        <w:ind w:left="567" w:right="4"/>
        <w:jc w:val="both"/>
        <w:rPr>
          <w:sz w:val="20"/>
          <w:szCs w:val="20"/>
          <w:lang w:val="uk-UA"/>
        </w:rPr>
      </w:pPr>
      <w:r w:rsidRPr="00543705">
        <w:rPr>
          <w:sz w:val="20"/>
          <w:szCs w:val="20"/>
          <w:lang w:val="uk-UA"/>
        </w:rPr>
        <w:lastRenderedPageBreak/>
        <w:t>Тести, в основі яких лежить виявлення антигену ліпоарабіноманнану (ЛАМ), є тестами</w:t>
      </w:r>
      <w:r w:rsidR="000530D1">
        <w:rPr>
          <w:sz w:val="20"/>
          <w:szCs w:val="20"/>
          <w:lang w:val="uk-UA"/>
        </w:rPr>
        <w:t xml:space="preserve"> на біомаркери</w:t>
      </w:r>
      <w:r w:rsidRPr="00543705">
        <w:rPr>
          <w:sz w:val="20"/>
          <w:szCs w:val="20"/>
          <w:lang w:val="uk-UA"/>
        </w:rPr>
        <w:t xml:space="preserve">, які можна використовувати для виявлення ТБ у </w:t>
      </w:r>
      <w:r w:rsidR="00053A28">
        <w:rPr>
          <w:sz w:val="20"/>
          <w:szCs w:val="20"/>
          <w:lang w:val="uk-UA"/>
        </w:rPr>
        <w:t xml:space="preserve">зразках </w:t>
      </w:r>
      <w:r w:rsidRPr="00543705">
        <w:rPr>
          <w:sz w:val="20"/>
          <w:szCs w:val="20"/>
          <w:lang w:val="uk-UA"/>
        </w:rPr>
        <w:t xml:space="preserve">сечі на сайтах з надання медичної допомоги. Наявний на сьогоднішній день аналіз сечі на </w:t>
      </w:r>
      <w:r w:rsidR="00053A28">
        <w:rPr>
          <w:sz w:val="20"/>
          <w:szCs w:val="20"/>
          <w:lang w:val="uk-UA"/>
        </w:rPr>
        <w:t xml:space="preserve">виявлення </w:t>
      </w:r>
      <w:r w:rsidRPr="00543705">
        <w:rPr>
          <w:sz w:val="20"/>
          <w:szCs w:val="20"/>
          <w:lang w:val="uk-UA"/>
        </w:rPr>
        <w:t>ЛАМ є швидким (&lt;1 години для отримання результату), але має не</w:t>
      </w:r>
      <w:r w:rsidR="00053A28">
        <w:rPr>
          <w:sz w:val="20"/>
          <w:szCs w:val="20"/>
          <w:lang w:val="uk-UA"/>
        </w:rPr>
        <w:t>о</w:t>
      </w:r>
      <w:r w:rsidRPr="00543705">
        <w:rPr>
          <w:sz w:val="20"/>
          <w:szCs w:val="20"/>
          <w:lang w:val="uk-UA"/>
        </w:rPr>
        <w:t>птимальну чутливість, і тому не підходить в якості загальних тестів для діагностики ТБ.</w:t>
      </w:r>
      <w:r w:rsidR="00B01E0C" w:rsidRPr="00EB7890">
        <w:rPr>
          <w:sz w:val="20"/>
          <w:szCs w:val="20"/>
          <w:lang w:val="uk-UA"/>
        </w:rPr>
        <w:t xml:space="preserve"> </w:t>
      </w:r>
      <w:r w:rsidR="00FE515A" w:rsidRPr="00FE515A">
        <w:rPr>
          <w:sz w:val="20"/>
          <w:szCs w:val="20"/>
          <w:lang w:val="uk-UA"/>
        </w:rPr>
        <w:t xml:space="preserve">Однак, на відміну від традиційних діагностичних методів, цей тест демонструє підвищену чутливість для діагностики ТБ у людей з ко-інфекцією ВІЛ. </w:t>
      </w:r>
      <w:r w:rsidR="00053A28">
        <w:rPr>
          <w:sz w:val="20"/>
          <w:szCs w:val="20"/>
          <w:lang w:val="uk-UA"/>
        </w:rPr>
        <w:t>Передбачувана</w:t>
      </w:r>
      <w:r w:rsidR="00FE515A" w:rsidRPr="00FE515A">
        <w:rPr>
          <w:sz w:val="20"/>
          <w:szCs w:val="20"/>
          <w:lang w:val="uk-UA"/>
        </w:rPr>
        <w:t xml:space="preserve"> чутливість є ще вищою у пацієнтів з низькою кількістю CD4-клітин. Тест-смужка для дослідження сечі з використанням </w:t>
      </w:r>
      <w:r w:rsidR="008F67CD" w:rsidRPr="00543705">
        <w:rPr>
          <w:sz w:val="20"/>
          <w:szCs w:val="20"/>
          <w:lang w:val="uk-UA"/>
        </w:rPr>
        <w:t>ліпоарабіноманнан</w:t>
      </w:r>
      <w:r w:rsidR="008F67CD">
        <w:rPr>
          <w:sz w:val="20"/>
          <w:szCs w:val="20"/>
          <w:lang w:val="uk-UA"/>
        </w:rPr>
        <w:t>ового</w:t>
      </w:r>
      <w:r w:rsidR="00053A28">
        <w:rPr>
          <w:sz w:val="20"/>
          <w:szCs w:val="20"/>
          <w:lang w:val="uk-UA"/>
        </w:rPr>
        <w:t xml:space="preserve"> аналізу</w:t>
      </w:r>
      <w:r w:rsidR="00FE515A" w:rsidRPr="00FE515A">
        <w:rPr>
          <w:sz w:val="20"/>
          <w:szCs w:val="20"/>
          <w:lang w:val="uk-UA"/>
        </w:rPr>
        <w:t xml:space="preserve"> б</w:t>
      </w:r>
      <w:r w:rsidR="00053A28">
        <w:rPr>
          <w:sz w:val="20"/>
          <w:szCs w:val="20"/>
          <w:lang w:val="uk-UA"/>
        </w:rPr>
        <w:t xml:space="preserve">окового </w:t>
      </w:r>
      <w:r w:rsidR="00FE515A" w:rsidRPr="00FE515A">
        <w:rPr>
          <w:sz w:val="20"/>
          <w:szCs w:val="20"/>
          <w:lang w:val="uk-UA"/>
        </w:rPr>
        <w:t xml:space="preserve">зсуву  (LF-LAM) - тест-смужки Abbott/Alere Determine TB LAM Ag (США), далі LF-LAM - на сьогоднішній день є єдиним комерційно доступним </w:t>
      </w:r>
      <w:r w:rsidR="003A6DCE">
        <w:rPr>
          <w:sz w:val="20"/>
          <w:szCs w:val="20"/>
          <w:lang w:val="uk-UA"/>
        </w:rPr>
        <w:t xml:space="preserve">на ринку </w:t>
      </w:r>
      <w:r w:rsidR="00FE515A" w:rsidRPr="00FE515A">
        <w:rPr>
          <w:sz w:val="20"/>
          <w:szCs w:val="20"/>
          <w:lang w:val="uk-UA"/>
        </w:rPr>
        <w:t>тестом на виявлення антигену ЛАМ у сечі.</w:t>
      </w:r>
    </w:p>
    <w:p w14:paraId="5CDABA30" w14:textId="7BB7F296" w:rsidR="00E05B98" w:rsidRPr="00EB7890" w:rsidRDefault="00FE515A">
      <w:pPr>
        <w:pStyle w:val="a3"/>
        <w:spacing w:before="180" w:line="297" w:lineRule="auto"/>
        <w:ind w:left="567" w:right="137"/>
        <w:jc w:val="both"/>
        <w:rPr>
          <w:sz w:val="20"/>
          <w:szCs w:val="20"/>
          <w:lang w:val="uk-UA"/>
        </w:rPr>
      </w:pPr>
      <w:r w:rsidRPr="00FE515A">
        <w:rPr>
          <w:sz w:val="20"/>
          <w:szCs w:val="20"/>
          <w:lang w:val="uk-UA"/>
        </w:rPr>
        <w:t>Використання одночасного</w:t>
      </w:r>
      <w:r w:rsidRPr="00C131B2">
        <w:rPr>
          <w:sz w:val="20"/>
          <w:szCs w:val="20"/>
          <w:vertAlign w:val="superscript"/>
          <w:lang w:val="uk-UA"/>
        </w:rPr>
        <w:t>10</w:t>
      </w:r>
      <w:r w:rsidRPr="00FE515A">
        <w:rPr>
          <w:sz w:val="20"/>
          <w:szCs w:val="20"/>
          <w:lang w:val="uk-UA"/>
        </w:rPr>
        <w:t xml:space="preserve"> тестування різних типів зразків є перспективним підходом, який враховує бар'єри діагностичного тестування для ВІЛ-позитивних дорослих та підлітків, ВІЛ-позитивних дітей, а також дітей без ВІЛ або тих, чий ВІЛ-статус невідомий. Наприклад, тестування мокротиння та зразка калу під час одного візиту, коли це можливо, з використанням аТАНК-НС підвищує ймовірність виявлення ТБ у дітей, які можуть мати незначну кількість бактерій тільки в зразках </w:t>
      </w:r>
      <w:r w:rsidR="00092CFD">
        <w:rPr>
          <w:sz w:val="20"/>
          <w:szCs w:val="20"/>
          <w:lang w:val="uk-UA"/>
        </w:rPr>
        <w:t>і</w:t>
      </w:r>
      <w:r w:rsidRPr="00FE515A">
        <w:rPr>
          <w:sz w:val="20"/>
          <w:szCs w:val="20"/>
          <w:lang w:val="uk-UA"/>
        </w:rPr>
        <w:t>з дихальних шляхів</w:t>
      </w:r>
      <w:r w:rsidR="00B01E0C" w:rsidRPr="00EB7890">
        <w:rPr>
          <w:sz w:val="20"/>
          <w:szCs w:val="20"/>
          <w:lang w:val="uk-UA"/>
        </w:rPr>
        <w:t>.</w:t>
      </w:r>
      <w:r w:rsidR="00F63518" w:rsidRPr="00F63518">
        <w:rPr>
          <w:lang w:val="uk-UA"/>
        </w:rPr>
        <w:t xml:space="preserve"> </w:t>
      </w:r>
      <w:r w:rsidR="00F63518" w:rsidRPr="00F63518">
        <w:rPr>
          <w:spacing w:val="-5"/>
          <w:sz w:val="20"/>
          <w:szCs w:val="20"/>
          <w:lang w:val="uk-UA"/>
        </w:rPr>
        <w:t xml:space="preserve">Аналогічно, для людей, які живуть з ВІЛ, тестування мокротиння та сечі під час одного візиту, коли можливе виділення мокротиння, з використанням аТАНК-НС та LF-LAM підвищує ймовірність виявлення ТБ з отриманням швидкого результату на сайті надання медичної допомоги, а також забезпечує виявлення стійкості до рифампіцину. Такий підхід одночасного тестування ґрунтується на попередній рекомендації </w:t>
      </w:r>
      <w:r w:rsidR="00657E6B">
        <w:rPr>
          <w:spacing w:val="-5"/>
          <w:sz w:val="20"/>
          <w:szCs w:val="20"/>
          <w:lang w:val="uk-UA"/>
        </w:rPr>
        <w:t>щодо</w:t>
      </w:r>
      <w:r w:rsidR="00F63518" w:rsidRPr="00F63518">
        <w:rPr>
          <w:spacing w:val="-5"/>
          <w:sz w:val="20"/>
          <w:szCs w:val="20"/>
          <w:lang w:val="uk-UA"/>
        </w:rPr>
        <w:t xml:space="preserve"> використання аналізу LF-LAM серед </w:t>
      </w:r>
      <w:r w:rsidR="00657E6B">
        <w:rPr>
          <w:spacing w:val="-5"/>
          <w:sz w:val="20"/>
          <w:szCs w:val="20"/>
          <w:lang w:val="uk-UA"/>
        </w:rPr>
        <w:t>ЛЖВ</w:t>
      </w:r>
      <w:r w:rsidR="00F63518" w:rsidRPr="00F63518">
        <w:rPr>
          <w:spacing w:val="-5"/>
          <w:sz w:val="20"/>
          <w:szCs w:val="20"/>
          <w:lang w:val="uk-UA"/>
        </w:rPr>
        <w:t xml:space="preserve">, які відповідають критеріям проведення тестування, в якій підкреслюється необхідність виконання рекомендованих ВООЗ швидких тестів на наявних зразках </w:t>
      </w:r>
      <w:r w:rsidR="00657E6B">
        <w:rPr>
          <w:spacing w:val="-5"/>
          <w:sz w:val="20"/>
          <w:szCs w:val="20"/>
          <w:lang w:val="uk-UA"/>
        </w:rPr>
        <w:t>і</w:t>
      </w:r>
      <w:r w:rsidR="00F63518" w:rsidRPr="00F63518">
        <w:rPr>
          <w:spacing w:val="-5"/>
          <w:sz w:val="20"/>
          <w:szCs w:val="20"/>
          <w:lang w:val="uk-UA"/>
        </w:rPr>
        <w:t>з дихальних шляхів для забезпечення загального доступу пацієнтів до послуг тестування на стійкість до лікарських засобів.</w:t>
      </w:r>
    </w:p>
    <w:p w14:paraId="4E259FC0" w14:textId="77777777" w:rsidR="00E05B98" w:rsidRPr="00EB7890" w:rsidRDefault="00E05B98">
      <w:pPr>
        <w:pStyle w:val="a3"/>
        <w:spacing w:before="34"/>
        <w:rPr>
          <w:sz w:val="20"/>
          <w:szCs w:val="20"/>
          <w:lang w:val="uk-UA"/>
        </w:rPr>
      </w:pPr>
    </w:p>
    <w:p w14:paraId="146E5A33" w14:textId="14601859" w:rsidR="00E05B98" w:rsidRPr="00EB7890" w:rsidRDefault="00C131B2">
      <w:pPr>
        <w:pStyle w:val="a3"/>
        <w:spacing w:before="1" w:line="297" w:lineRule="auto"/>
        <w:ind w:left="567" w:right="138"/>
        <w:jc w:val="both"/>
        <w:rPr>
          <w:sz w:val="20"/>
          <w:szCs w:val="20"/>
          <w:lang w:val="uk-UA"/>
        </w:rPr>
      </w:pPr>
      <w:r w:rsidRPr="00C131B2">
        <w:rPr>
          <w:w w:val="105"/>
          <w:sz w:val="20"/>
          <w:szCs w:val="20"/>
          <w:lang w:val="uk-UA"/>
        </w:rPr>
        <w:t xml:space="preserve">Впровадження діагностичного підходу, який включає одночасне тестування </w:t>
      </w:r>
      <w:r w:rsidR="00657E6B">
        <w:rPr>
          <w:w w:val="105"/>
          <w:sz w:val="20"/>
          <w:szCs w:val="20"/>
          <w:lang w:val="uk-UA"/>
        </w:rPr>
        <w:t xml:space="preserve">кількох </w:t>
      </w:r>
      <w:r w:rsidRPr="00C131B2">
        <w:rPr>
          <w:w w:val="105"/>
          <w:sz w:val="20"/>
          <w:szCs w:val="20"/>
          <w:lang w:val="uk-UA"/>
        </w:rPr>
        <w:t xml:space="preserve">зразків, може спростити процеси діагностики, скоротити маршрут пацієнта, а також підвищити рівень виявлення ТБ і покращити наслідки для здоров'я людей цих груп ризику. У той же час, неможливість зібрати один або кілька зразків під час першого візиту або відсутність одного з двох типів тестів не повинні затримувати </w:t>
      </w:r>
      <w:r w:rsidR="008F67CD">
        <w:rPr>
          <w:w w:val="105"/>
          <w:sz w:val="20"/>
          <w:szCs w:val="20"/>
          <w:lang w:val="uk-UA"/>
        </w:rPr>
        <w:t>дослідження</w:t>
      </w:r>
      <w:r w:rsidRPr="00C131B2">
        <w:rPr>
          <w:w w:val="105"/>
          <w:sz w:val="20"/>
          <w:szCs w:val="20"/>
          <w:lang w:val="uk-UA"/>
        </w:rPr>
        <w:t xml:space="preserve"> наявних зразків і проведення тестів, а натомість ініціювати збір зразків і  їх тестування якомога швидше</w:t>
      </w:r>
      <w:r w:rsidR="00B01E0C" w:rsidRPr="00EB7890">
        <w:rPr>
          <w:w w:val="105"/>
          <w:sz w:val="20"/>
          <w:szCs w:val="20"/>
          <w:lang w:val="uk-UA"/>
        </w:rPr>
        <w:t>.</w:t>
      </w:r>
    </w:p>
    <w:p w14:paraId="64464FC8" w14:textId="651FF122" w:rsidR="00C131B2" w:rsidRPr="00C131B2" w:rsidRDefault="00C131B2" w:rsidP="00C131B2">
      <w:pPr>
        <w:tabs>
          <w:tab w:val="left" w:pos="850"/>
        </w:tabs>
        <w:spacing w:line="297" w:lineRule="auto"/>
        <w:ind w:left="567" w:right="137"/>
        <w:rPr>
          <w:sz w:val="20"/>
          <w:szCs w:val="20"/>
          <w:lang w:val="uk-UA"/>
        </w:rPr>
      </w:pPr>
      <w:r w:rsidRPr="00C131B2">
        <w:rPr>
          <w:sz w:val="20"/>
          <w:szCs w:val="20"/>
          <w:lang w:val="uk-UA"/>
        </w:rPr>
        <w:t>Нижче наведено</w:t>
      </w:r>
      <w:r w:rsidR="00657E6B">
        <w:rPr>
          <w:sz w:val="20"/>
          <w:szCs w:val="20"/>
          <w:lang w:val="uk-UA"/>
        </w:rPr>
        <w:t xml:space="preserve"> </w:t>
      </w:r>
      <w:r w:rsidRPr="00C131B2">
        <w:rPr>
          <w:sz w:val="20"/>
          <w:szCs w:val="20"/>
          <w:lang w:val="uk-UA"/>
        </w:rPr>
        <w:t>наступні три сценарії рекомендацій:</w:t>
      </w:r>
    </w:p>
    <w:p w14:paraId="786F9BE5" w14:textId="34B1BF40" w:rsidR="00C131B2" w:rsidRPr="00C131B2" w:rsidRDefault="00C131B2" w:rsidP="004A2937">
      <w:pPr>
        <w:pStyle w:val="a4"/>
        <w:numPr>
          <w:ilvl w:val="0"/>
          <w:numId w:val="22"/>
        </w:numPr>
        <w:tabs>
          <w:tab w:val="left" w:pos="850"/>
        </w:tabs>
        <w:spacing w:line="297" w:lineRule="auto"/>
        <w:ind w:right="137"/>
        <w:rPr>
          <w:sz w:val="20"/>
          <w:szCs w:val="20"/>
          <w:lang w:val="uk-UA"/>
        </w:rPr>
      </w:pPr>
      <w:r w:rsidRPr="00C131B2">
        <w:rPr>
          <w:sz w:val="20"/>
          <w:szCs w:val="20"/>
          <w:lang w:val="uk-UA"/>
        </w:rPr>
        <w:t>виконання аТАНК-НС на зразк</w:t>
      </w:r>
      <w:r w:rsidR="00657E6B">
        <w:rPr>
          <w:sz w:val="20"/>
          <w:szCs w:val="20"/>
          <w:lang w:val="uk-UA"/>
        </w:rPr>
        <w:t>у</w:t>
      </w:r>
      <w:r w:rsidRPr="00C131B2">
        <w:rPr>
          <w:sz w:val="20"/>
          <w:szCs w:val="20"/>
          <w:lang w:val="uk-UA"/>
        </w:rPr>
        <w:t xml:space="preserve"> з дихальних шляхів та аналізу LF-LAM на зразк</w:t>
      </w:r>
      <w:r w:rsidR="00657E6B">
        <w:rPr>
          <w:sz w:val="20"/>
          <w:szCs w:val="20"/>
          <w:lang w:val="uk-UA"/>
        </w:rPr>
        <w:t>у</w:t>
      </w:r>
      <w:r w:rsidRPr="00C131B2">
        <w:rPr>
          <w:sz w:val="20"/>
          <w:szCs w:val="20"/>
          <w:lang w:val="uk-UA"/>
        </w:rPr>
        <w:t xml:space="preserve"> сечі серед дорослих та підлітків, які живуть з ВІЛ</w:t>
      </w:r>
    </w:p>
    <w:p w14:paraId="6CBCA423" w14:textId="28C90364" w:rsidR="00C131B2" w:rsidRPr="00C131B2" w:rsidRDefault="00C131B2" w:rsidP="004A2937">
      <w:pPr>
        <w:pStyle w:val="a4"/>
        <w:numPr>
          <w:ilvl w:val="0"/>
          <w:numId w:val="22"/>
        </w:numPr>
        <w:tabs>
          <w:tab w:val="left" w:pos="850"/>
        </w:tabs>
        <w:spacing w:line="297" w:lineRule="auto"/>
        <w:ind w:right="137"/>
        <w:rPr>
          <w:sz w:val="20"/>
          <w:szCs w:val="20"/>
          <w:lang w:val="uk-UA"/>
        </w:rPr>
      </w:pPr>
      <w:r w:rsidRPr="00C131B2">
        <w:rPr>
          <w:sz w:val="20"/>
          <w:szCs w:val="20"/>
          <w:lang w:val="uk-UA"/>
        </w:rPr>
        <w:t>виконання аТАНК-НС на зраз</w:t>
      </w:r>
      <w:r w:rsidR="00657E6B">
        <w:rPr>
          <w:sz w:val="20"/>
          <w:szCs w:val="20"/>
          <w:lang w:val="uk-UA"/>
        </w:rPr>
        <w:t>ках</w:t>
      </w:r>
      <w:r w:rsidRPr="00C131B2">
        <w:rPr>
          <w:sz w:val="20"/>
          <w:szCs w:val="20"/>
          <w:lang w:val="uk-UA"/>
        </w:rPr>
        <w:t xml:space="preserve"> </w:t>
      </w:r>
      <w:r w:rsidR="00657E6B">
        <w:rPr>
          <w:sz w:val="20"/>
          <w:szCs w:val="20"/>
          <w:lang w:val="uk-UA"/>
        </w:rPr>
        <w:t>і</w:t>
      </w:r>
      <w:r w:rsidRPr="00C131B2">
        <w:rPr>
          <w:sz w:val="20"/>
          <w:szCs w:val="20"/>
          <w:lang w:val="uk-UA"/>
        </w:rPr>
        <w:t>з дихальних шляхів та стул</w:t>
      </w:r>
      <w:r w:rsidR="008F67CD">
        <w:rPr>
          <w:sz w:val="20"/>
          <w:szCs w:val="20"/>
          <w:lang w:val="uk-UA"/>
        </w:rPr>
        <w:t>а</w:t>
      </w:r>
      <w:r w:rsidRPr="00C131B2">
        <w:rPr>
          <w:sz w:val="20"/>
          <w:szCs w:val="20"/>
          <w:lang w:val="uk-UA"/>
        </w:rPr>
        <w:t xml:space="preserve"> у дітей</w:t>
      </w:r>
    </w:p>
    <w:p w14:paraId="181F53A7" w14:textId="3F4C2450" w:rsidR="00E05B98" w:rsidRPr="00EB7890" w:rsidRDefault="00C131B2" w:rsidP="004A2937">
      <w:pPr>
        <w:pStyle w:val="a4"/>
        <w:numPr>
          <w:ilvl w:val="0"/>
          <w:numId w:val="22"/>
        </w:numPr>
        <w:tabs>
          <w:tab w:val="left" w:pos="850"/>
        </w:tabs>
        <w:spacing w:line="297" w:lineRule="auto"/>
        <w:ind w:right="137"/>
        <w:rPr>
          <w:sz w:val="20"/>
          <w:szCs w:val="20"/>
          <w:lang w:val="uk-UA"/>
        </w:rPr>
      </w:pPr>
      <w:r w:rsidRPr="00C131B2">
        <w:rPr>
          <w:sz w:val="20"/>
          <w:szCs w:val="20"/>
          <w:lang w:val="uk-UA"/>
        </w:rPr>
        <w:t>виконання аТАНК-НС на зразках із дихальних шляхів та стул</w:t>
      </w:r>
      <w:r w:rsidR="008F67CD">
        <w:rPr>
          <w:sz w:val="20"/>
          <w:szCs w:val="20"/>
          <w:lang w:val="uk-UA"/>
        </w:rPr>
        <w:t>а</w:t>
      </w:r>
      <w:r w:rsidRPr="00C131B2">
        <w:rPr>
          <w:sz w:val="20"/>
          <w:szCs w:val="20"/>
          <w:lang w:val="uk-UA"/>
        </w:rPr>
        <w:t>, а також LF-LAM на зразку сечі серед дітей, які живуть з ВІЛ</w:t>
      </w:r>
    </w:p>
    <w:p w14:paraId="04D8D948" w14:textId="26A57072" w:rsidR="00E05B98" w:rsidRPr="00EB7890" w:rsidRDefault="00C131B2">
      <w:pPr>
        <w:pStyle w:val="a3"/>
        <w:spacing w:before="230" w:line="297" w:lineRule="auto"/>
        <w:ind w:left="567" w:right="130"/>
        <w:jc w:val="both"/>
        <w:rPr>
          <w:sz w:val="20"/>
          <w:szCs w:val="20"/>
          <w:lang w:val="uk-UA"/>
        </w:rPr>
      </w:pPr>
      <w:r w:rsidRPr="00C131B2">
        <w:rPr>
          <w:sz w:val="20"/>
          <w:szCs w:val="20"/>
          <w:lang w:val="uk-UA"/>
        </w:rPr>
        <w:t>Ці рекомендації слід впроваджувати в рамках рекомендацій</w:t>
      </w:r>
      <w:r w:rsidR="00657E6B">
        <w:rPr>
          <w:sz w:val="20"/>
          <w:szCs w:val="20"/>
          <w:lang w:val="uk-UA"/>
        </w:rPr>
        <w:t>, пов’язаних</w:t>
      </w:r>
      <w:r w:rsidRPr="00C131B2">
        <w:rPr>
          <w:sz w:val="20"/>
          <w:szCs w:val="20"/>
          <w:lang w:val="uk-UA"/>
        </w:rPr>
        <w:t xml:space="preserve"> </w:t>
      </w:r>
      <w:r w:rsidR="00657E6B">
        <w:rPr>
          <w:sz w:val="20"/>
          <w:szCs w:val="20"/>
          <w:lang w:val="uk-UA"/>
        </w:rPr>
        <w:t xml:space="preserve">з </w:t>
      </w:r>
      <w:r w:rsidRPr="00C131B2">
        <w:rPr>
          <w:sz w:val="20"/>
          <w:szCs w:val="20"/>
          <w:lang w:val="uk-UA"/>
        </w:rPr>
        <w:t>комплексно</w:t>
      </w:r>
      <w:r w:rsidR="00657E6B">
        <w:rPr>
          <w:sz w:val="20"/>
          <w:szCs w:val="20"/>
          <w:lang w:val="uk-UA"/>
        </w:rPr>
        <w:t>ю</w:t>
      </w:r>
      <w:r w:rsidRPr="00C131B2">
        <w:rPr>
          <w:sz w:val="20"/>
          <w:szCs w:val="20"/>
          <w:lang w:val="uk-UA"/>
        </w:rPr>
        <w:t xml:space="preserve"> діагностик</w:t>
      </w:r>
      <w:r w:rsidR="00657E6B">
        <w:rPr>
          <w:sz w:val="20"/>
          <w:szCs w:val="20"/>
          <w:lang w:val="uk-UA"/>
        </w:rPr>
        <w:t>ою</w:t>
      </w:r>
      <w:r w:rsidRPr="00C131B2">
        <w:rPr>
          <w:sz w:val="20"/>
          <w:szCs w:val="20"/>
          <w:lang w:val="uk-UA"/>
        </w:rPr>
        <w:t xml:space="preserve"> та ведення</w:t>
      </w:r>
      <w:r w:rsidR="00657E6B">
        <w:rPr>
          <w:sz w:val="20"/>
          <w:szCs w:val="20"/>
          <w:lang w:val="uk-UA"/>
        </w:rPr>
        <w:t>м</w:t>
      </w:r>
      <w:r w:rsidRPr="00C131B2">
        <w:rPr>
          <w:sz w:val="20"/>
          <w:szCs w:val="20"/>
          <w:lang w:val="uk-UA"/>
        </w:rPr>
        <w:t xml:space="preserve"> осіб, які живуть з ВІЛ, та дітей.</w:t>
      </w:r>
    </w:p>
    <w:p w14:paraId="0E1447B2" w14:textId="77777777" w:rsidR="00E05B98" w:rsidRPr="003C6DAE" w:rsidRDefault="00E05B98">
      <w:pPr>
        <w:pStyle w:val="a3"/>
        <w:rPr>
          <w:sz w:val="20"/>
          <w:lang w:val="uk-UA"/>
        </w:rPr>
      </w:pPr>
    </w:p>
    <w:p w14:paraId="3B0F3568" w14:textId="77777777" w:rsidR="00E05B98" w:rsidRPr="003C6DAE" w:rsidRDefault="00E05B98">
      <w:pPr>
        <w:pStyle w:val="a3"/>
        <w:rPr>
          <w:sz w:val="20"/>
          <w:lang w:val="uk-UA"/>
        </w:rPr>
      </w:pPr>
    </w:p>
    <w:p w14:paraId="5180A408" w14:textId="77777777" w:rsidR="00E05B98" w:rsidRPr="003C6DAE" w:rsidRDefault="00E05B98">
      <w:pPr>
        <w:pStyle w:val="a3"/>
        <w:rPr>
          <w:sz w:val="20"/>
          <w:lang w:val="uk-UA"/>
        </w:rPr>
      </w:pPr>
    </w:p>
    <w:p w14:paraId="4F21AB29" w14:textId="77777777" w:rsidR="00E05B98" w:rsidRPr="003C6DAE" w:rsidRDefault="00E05B98">
      <w:pPr>
        <w:pStyle w:val="a3"/>
        <w:rPr>
          <w:sz w:val="20"/>
          <w:lang w:val="uk-UA"/>
        </w:rPr>
      </w:pPr>
    </w:p>
    <w:p w14:paraId="59B01F15" w14:textId="77777777" w:rsidR="00E05B98" w:rsidRPr="003C6DAE" w:rsidRDefault="00E05B98">
      <w:pPr>
        <w:pStyle w:val="a3"/>
        <w:rPr>
          <w:sz w:val="20"/>
          <w:lang w:val="uk-UA"/>
        </w:rPr>
      </w:pPr>
    </w:p>
    <w:p w14:paraId="54A544A4" w14:textId="77777777" w:rsidR="00E05B98" w:rsidRPr="003C6DAE" w:rsidRDefault="00E05B98">
      <w:pPr>
        <w:pStyle w:val="a3"/>
        <w:rPr>
          <w:sz w:val="20"/>
          <w:lang w:val="uk-UA"/>
        </w:rPr>
      </w:pPr>
    </w:p>
    <w:p w14:paraId="63472383" w14:textId="77777777" w:rsidR="00E05B98" w:rsidRPr="003C6DAE" w:rsidRDefault="00B01E0C">
      <w:pPr>
        <w:pStyle w:val="a3"/>
        <w:spacing w:before="85"/>
        <w:rPr>
          <w:sz w:val="20"/>
          <w:lang w:val="uk-UA"/>
        </w:rPr>
      </w:pPr>
      <w:r w:rsidRPr="003C6DAE">
        <w:rPr>
          <w:noProof/>
          <w:sz w:val="20"/>
          <w:lang w:val="uk-UA"/>
        </w:rPr>
        <mc:AlternateContent>
          <mc:Choice Requires="wps">
            <w:drawing>
              <wp:anchor distT="0" distB="0" distL="0" distR="0" simplePos="0" relativeHeight="487900672" behindDoc="1" locked="0" layoutInCell="1" allowOverlap="1" wp14:anchorId="2D3773A7" wp14:editId="1C4849AC">
                <wp:simplePos x="0" y="0"/>
                <wp:positionH relativeFrom="page">
                  <wp:posOffset>899999</wp:posOffset>
                </wp:positionH>
                <wp:positionV relativeFrom="paragraph">
                  <wp:posOffset>213059</wp:posOffset>
                </wp:positionV>
                <wp:extent cx="1440180" cy="1270"/>
                <wp:effectExtent l="0" t="0" r="0" b="0"/>
                <wp:wrapTopAndBottom/>
                <wp:docPr id="1980" name="Graphic 1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E18DC0" id="Graphic 1980" o:spid="_x0000_s1026" style="position:absolute;margin-left:70.85pt;margin-top:16.8pt;width:113.4pt;height:.1pt;z-index:-15415808;visibility:visible;mso-wrap-style:square;mso-wrap-distance-left:0;mso-wrap-distance-top:0;mso-wrap-distance-right:0;mso-wrap-distance-bottom:0;mso-position-horizontal:absolute;mso-position-horizontal-relative:page;mso-position-vertical:absolute;mso-position-vertical-relative:text;v-text-anchor:top" coordsize="1440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" path="m,l1440002,e" filled="f" strokeweight=".5pt">
                <v:path arrowok="t"/>
                <w10:wrap type="topAndBottom" anchorx="page"/>
              </v:shape>
            </w:pict>
          </mc:Fallback>
        </mc:AlternateContent>
      </w:r>
    </w:p>
    <w:p w14:paraId="3B2A53EC" w14:textId="0B1F0EC5" w:rsidR="00E05B98" w:rsidRPr="003C6DAE" w:rsidRDefault="00B01E0C">
      <w:pPr>
        <w:spacing w:before="124" w:line="290" w:lineRule="auto"/>
        <w:ind w:left="787" w:right="5" w:hanging="220"/>
        <w:rPr>
          <w:sz w:val="16"/>
          <w:lang w:val="uk-UA"/>
        </w:rPr>
      </w:pPr>
      <w:r w:rsidRPr="003C6DAE">
        <w:rPr>
          <w:sz w:val="16"/>
          <w:vertAlign w:val="superscript"/>
          <w:lang w:val="uk-UA"/>
        </w:rPr>
        <w:t>10</w:t>
      </w:r>
      <w:r w:rsidRPr="003C6DAE">
        <w:rPr>
          <w:spacing w:val="80"/>
          <w:sz w:val="16"/>
          <w:lang w:val="uk-UA"/>
        </w:rPr>
        <w:t xml:space="preserve"> </w:t>
      </w:r>
      <w:r w:rsidR="00C131B2" w:rsidRPr="00C131B2">
        <w:rPr>
          <w:sz w:val="16"/>
          <w:lang w:val="uk-UA"/>
        </w:rPr>
        <w:t xml:space="preserve">Одночасне використання тестів: зразки беруть одночасно (коли це можливо), і </w:t>
      </w:r>
      <w:r w:rsidR="00657E6B">
        <w:rPr>
          <w:sz w:val="16"/>
          <w:lang w:val="uk-UA"/>
        </w:rPr>
        <w:t>дослідження</w:t>
      </w:r>
      <w:r w:rsidR="00C131B2" w:rsidRPr="00C131B2">
        <w:rPr>
          <w:sz w:val="16"/>
          <w:lang w:val="uk-UA"/>
        </w:rPr>
        <w:t xml:space="preserve"> проводиться </w:t>
      </w:r>
      <w:r w:rsidR="00E6199E">
        <w:rPr>
          <w:sz w:val="16"/>
          <w:lang w:val="uk-UA"/>
        </w:rPr>
        <w:t xml:space="preserve">за допомогою </w:t>
      </w:r>
      <w:r w:rsidR="00C131B2" w:rsidRPr="00C131B2">
        <w:rPr>
          <w:sz w:val="16"/>
          <w:lang w:val="uk-UA"/>
        </w:rPr>
        <w:t xml:space="preserve"> обох тестів. Позитивний результат будь-якого з них вважається позитивним результатом для комбінації.</w:t>
      </w:r>
    </w:p>
    <w:p w14:paraId="61E25DD3" w14:textId="77777777" w:rsidR="00E05B98" w:rsidRPr="003C6DAE" w:rsidRDefault="00E05B98">
      <w:pPr>
        <w:spacing w:line="290" w:lineRule="auto"/>
        <w:rPr>
          <w:sz w:val="16"/>
          <w:lang w:val="uk-UA"/>
        </w:rPr>
        <w:sectPr w:rsidR="00E05B98" w:rsidRPr="003C6DAE">
          <w:pgSz w:w="11910" w:h="16840"/>
          <w:pgMar w:top="1320" w:right="1275" w:bottom="760" w:left="850" w:header="0" w:footer="573" w:gutter="0"/>
          <w:cols w:space="720"/>
        </w:sectPr>
      </w:pPr>
    </w:p>
    <w:p w14:paraId="4436405E" w14:textId="494DD211" w:rsidR="00E05B98" w:rsidRPr="003C6DAE" w:rsidRDefault="00B01E0C" w:rsidP="004A2937">
      <w:pPr>
        <w:pStyle w:val="5"/>
        <w:numPr>
          <w:ilvl w:val="2"/>
          <w:numId w:val="31"/>
        </w:numPr>
        <w:tabs>
          <w:tab w:val="left" w:pos="993"/>
        </w:tabs>
        <w:spacing w:before="45" w:line="427" w:lineRule="auto"/>
        <w:ind w:right="567" w:firstLine="0"/>
        <w:rPr>
          <w:color w:val="019648"/>
          <w:lang w:val="uk-UA"/>
        </w:rPr>
      </w:pPr>
      <w:r w:rsidRPr="003C6DAE">
        <w:rPr>
          <w:noProof/>
          <w:lang w:val="uk-UA"/>
        </w:rPr>
        <w:lastRenderedPageBreak/>
        <mc:AlternateContent>
          <mc:Choice Requires="wpg">
            <w:drawing>
              <wp:anchor distT="0" distB="0" distL="0" distR="0" simplePos="0" relativeHeight="16042496" behindDoc="0" locked="0" layoutInCell="1" allowOverlap="1" wp14:anchorId="5259D181" wp14:editId="0CD08B99">
                <wp:simplePos x="0" y="0"/>
                <wp:positionH relativeFrom="page">
                  <wp:posOffset>6456155</wp:posOffset>
                </wp:positionH>
                <wp:positionV relativeFrom="paragraph">
                  <wp:posOffset>33655</wp:posOffset>
                </wp:positionV>
                <wp:extent cx="527547" cy="257671"/>
                <wp:effectExtent l="0" t="0" r="6350" b="9525"/>
                <wp:wrapNone/>
                <wp:docPr id="1981" name="Group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547" cy="257671"/>
                          <a:chOff x="0" y="-11926"/>
                          <a:chExt cx="527547" cy="257671"/>
                        </a:xfrm>
                      </wpg:grpSpPr>
                      <wps:wsp>
                        <wps:cNvPr id="1982" name="Graphic 1982"/>
                        <wps:cNvSpPr/>
                        <wps:spPr>
                          <a:xfrm>
                            <a:off x="0" y="0"/>
                            <a:ext cx="515620" cy="245745"/>
                          </a:xfrm>
                          <a:custGeom>
                            <a:avLst/>
                            <a:gdLst/>
                            <a:ahLst/>
                            <a:cxnLst/>
                            <a:rect l="l" t="t" r="r" b="b"/>
                            <a:pathLst>
                              <a:path w="515620" h="245745">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a:prstTxWarp prst="textNoShape">
                            <a:avLst/>
                          </a:prstTxWarp>
                          <a:noAutofit/>
                        </wps:bodyPr>
                      </wps:wsp>
                      <wps:wsp>
                        <wps:cNvPr id="1983" name="Textbox 1983"/>
                        <wps:cNvSpPr txBox="1"/>
                        <wps:spPr>
                          <a:xfrm>
                            <a:off x="11927" y="-11926"/>
                            <a:ext cx="515620" cy="245745"/>
                          </a:xfrm>
                          <a:prstGeom prst="rect">
                            <a:avLst/>
                          </a:prstGeom>
                        </wps:spPr>
                        <wps:txbx>
                          <w:txbxContent>
                            <w:p w14:paraId="2EDB70C4" w14:textId="5953CD81" w:rsidR="007372B2" w:rsidRPr="00C131B2" w:rsidRDefault="007372B2">
                              <w:pPr>
                                <w:spacing w:before="89"/>
                                <w:ind w:left="169"/>
                                <w:rPr>
                                  <w:sz w:val="20"/>
                                  <w:lang w:val="uk-UA"/>
                                </w:rPr>
                              </w:pPr>
                              <w:r>
                                <w:rPr>
                                  <w:color w:val="FFFFFF"/>
                                  <w:spacing w:val="-5"/>
                                  <w:sz w:val="20"/>
                                  <w:lang w:val="uk-UA"/>
                                </w:rPr>
                                <w:t>НОВ</w:t>
                              </w:r>
                              <w:r w:rsidR="00E6199E">
                                <w:rPr>
                                  <w:color w:val="FFFFFF"/>
                                  <w:spacing w:val="-5"/>
                                  <w:sz w:val="20"/>
                                  <w:lang w:val="uk-UA"/>
                                </w:rPr>
                                <w:t>Е</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59D181" id="Group 1981" o:spid="_x0000_s1115" style="position:absolute;left:0;text-align:left;margin-left:508.35pt;margin-top:2.65pt;width:41.55pt;height:20.3pt;z-index:16042496;mso-wrap-distance-left:0;mso-wrap-distance-right:0;mso-position-horizontal-relative:page;mso-position-vertical-relative:text;mso-width-relative:margin;mso-height-relative:margin" coordorigin=",-119" coordsize="5275,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">
                <v:shape id="Graphic 1982" o:spid="_x0000_s1116" style="position:absolute;width:5156;height:2457;visibility:visible;mso-wrap-style:square;v-text-anchor:top" coordsize="51562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" path="m515543,l,,,122796r9650,47797l35966,209626r39032,26316l122796,245592r269951,l440545,235942r39032,-26316l505893,170593r9650,-47797l515543,xe" fillcolor="#0c8140" stroked="f">
                  <v:path arrowok="t"/>
                </v:shape>
                <v:shape id="Textbox 1983" o:spid="_x0000_s1117" type="#_x0000_t202" style="position:absolute;left:119;top:-119;width:5156;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7xAAAAN0AAAAPAAAAZHJzL2Rvd25yZXYueG1sRE9Na8JA&#10;EL0X+h+WKXirm1oQ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H5mqjvEAAAA3QAAAA8A&#10;AAAAAAAAAAAAAAAABwIAAGRycy9kb3ducmV2LnhtbFBLBQYAAAAAAwADALcAAAD4AgAAAAA=&#10;" filled="f" stroked="f">
                  <v:textbox inset="0,0,0,0">
                    <w:txbxContent>
                      <w:p w14:paraId="2EDB70C4" w14:textId="5953CD81" w:rsidR="007372B2" w:rsidRPr="00C131B2" w:rsidRDefault="007372B2">
                        <w:pPr>
                          <w:spacing w:before="89"/>
                          <w:ind w:left="169"/>
                          <w:rPr>
                            <w:sz w:val="20"/>
                            <w:lang w:val="uk-UA"/>
                          </w:rPr>
                        </w:pPr>
                        <w:r>
                          <w:rPr>
                            <w:color w:val="FFFFFF"/>
                            <w:spacing w:val="-5"/>
                            <w:sz w:val="20"/>
                            <w:lang w:val="uk-UA"/>
                          </w:rPr>
                          <w:t>НОВ</w:t>
                        </w:r>
                        <w:r w:rsidR="00E6199E">
                          <w:rPr>
                            <w:color w:val="FFFFFF"/>
                            <w:spacing w:val="-5"/>
                            <w:sz w:val="20"/>
                            <w:lang w:val="uk-UA"/>
                          </w:rPr>
                          <w:t>Е</w:t>
                        </w:r>
                      </w:p>
                    </w:txbxContent>
                  </v:textbox>
                </v:shape>
                <w10:wrap anchorx="page"/>
              </v:group>
            </w:pict>
          </mc:Fallback>
        </mc:AlternateContent>
      </w:r>
      <w:bookmarkStart w:id="56" w:name="2.3.1_Concurrent_use_of_tests_in_people_"/>
      <w:bookmarkStart w:id="57" w:name="_bookmark24"/>
      <w:bookmarkEnd w:id="56"/>
      <w:bookmarkEnd w:id="57"/>
      <w:r w:rsidR="00A33666">
        <w:rPr>
          <w:color w:val="019648"/>
          <w:spacing w:val="-2"/>
          <w:w w:val="110"/>
          <w:sz w:val="24"/>
          <w:szCs w:val="24"/>
          <w:lang w:val="uk-UA"/>
        </w:rPr>
        <w:t xml:space="preserve"> </w:t>
      </w:r>
      <w:r w:rsidR="00C131B2" w:rsidRPr="00A33666">
        <w:rPr>
          <w:color w:val="019648"/>
          <w:spacing w:val="-2"/>
          <w:w w:val="110"/>
          <w:sz w:val="24"/>
          <w:szCs w:val="24"/>
          <w:lang w:val="uk-UA"/>
        </w:rPr>
        <w:t xml:space="preserve">Одночасне використання </w:t>
      </w:r>
      <w:r w:rsidR="002B0686">
        <w:rPr>
          <w:color w:val="019648"/>
          <w:spacing w:val="-2"/>
          <w:w w:val="110"/>
          <w:sz w:val="24"/>
          <w:szCs w:val="24"/>
          <w:lang w:val="uk-UA"/>
        </w:rPr>
        <w:t xml:space="preserve">різних </w:t>
      </w:r>
      <w:r w:rsidR="00C131B2" w:rsidRPr="00A33666">
        <w:rPr>
          <w:color w:val="019648"/>
          <w:spacing w:val="-2"/>
          <w:w w:val="110"/>
          <w:sz w:val="24"/>
          <w:szCs w:val="24"/>
          <w:lang w:val="uk-UA"/>
        </w:rPr>
        <w:t>тестів у людей, які живуть з ВІЛ</w:t>
      </w:r>
      <w:r w:rsidRPr="00A33666">
        <w:rPr>
          <w:color w:val="019648"/>
          <w:spacing w:val="-2"/>
          <w:w w:val="110"/>
          <w:sz w:val="24"/>
          <w:szCs w:val="24"/>
          <w:lang w:val="uk-UA"/>
        </w:rPr>
        <w:t xml:space="preserve"> </w:t>
      </w:r>
      <w:r w:rsidR="00C131B2" w:rsidRPr="00A33666">
        <w:rPr>
          <w:color w:val="019648"/>
          <w:spacing w:val="-2"/>
          <w:w w:val="110"/>
          <w:sz w:val="24"/>
          <w:szCs w:val="24"/>
          <w:lang w:val="uk-UA"/>
        </w:rPr>
        <w:t>Рекомендації</w:t>
      </w:r>
    </w:p>
    <w:p w14:paraId="70503262" w14:textId="6D616DC8" w:rsidR="00E05B98" w:rsidRPr="003C6DAE" w:rsidRDefault="00F92EA6">
      <w:pPr>
        <w:pStyle w:val="a3"/>
        <w:rPr>
          <w:sz w:val="28"/>
          <w:lang w:val="uk-UA"/>
        </w:rPr>
      </w:pPr>
      <w:r w:rsidRPr="003C6DAE">
        <w:rPr>
          <w:noProof/>
          <w:lang w:val="uk-UA"/>
        </w:rPr>
        <mc:AlternateContent>
          <mc:Choice Requires="wps">
            <w:drawing>
              <wp:anchor distT="0" distB="0" distL="0" distR="0" simplePos="0" relativeHeight="16043008" behindDoc="0" locked="0" layoutInCell="1" allowOverlap="1" wp14:anchorId="24FA08FE" wp14:editId="3CE638D3">
                <wp:simplePos x="0" y="0"/>
                <wp:positionH relativeFrom="page">
                  <wp:posOffset>857250</wp:posOffset>
                </wp:positionH>
                <wp:positionV relativeFrom="paragraph">
                  <wp:posOffset>19050</wp:posOffset>
                </wp:positionV>
                <wp:extent cx="6381750" cy="1779006"/>
                <wp:effectExtent l="0" t="0" r="0" b="0"/>
                <wp:wrapNone/>
                <wp:docPr id="1984" name="Text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0" cy="1779006"/>
                        </a:xfrm>
                        <a:prstGeom prst="rect">
                          <a:avLst/>
                        </a:prstGeom>
                      </wps:spPr>
                      <wps:txbx>
                        <w:txbxContent>
                          <w:tbl>
                            <w:tblPr>
                              <w:tblStyle w:val="TableNormal"/>
                              <w:tblW w:w="9564" w:type="dxa"/>
                              <w:tblInd w:w="67"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564"/>
                            </w:tblGrid>
                            <w:tr w:rsidR="007372B2" w:rsidRPr="007B3607" w14:paraId="24344534" w14:textId="77777777" w:rsidTr="0041632D">
                              <w:trPr>
                                <w:trHeight w:val="2334"/>
                              </w:trPr>
                              <w:tc>
                                <w:tcPr>
                                  <w:tcW w:w="9564" w:type="dxa"/>
                                </w:tcPr>
                                <w:p w14:paraId="168902B1" w14:textId="5FB842B0" w:rsidR="007372B2" w:rsidRPr="00507F6E" w:rsidRDefault="007372B2" w:rsidP="006875E3">
                                  <w:pPr>
                                    <w:pStyle w:val="TableParagraph"/>
                                    <w:spacing w:before="245" w:line="276" w:lineRule="auto"/>
                                    <w:ind w:left="681" w:right="558" w:hanging="397"/>
                                    <w:jc w:val="both"/>
                                    <w:rPr>
                                      <w:rFonts w:ascii="Arial"/>
                                      <w:b/>
                                      <w:lang w:val="uk-UA"/>
                                    </w:rPr>
                                  </w:pPr>
                                  <w:r>
                                    <w:rPr>
                                      <w:rFonts w:ascii="Arial"/>
                                      <w:b/>
                                    </w:rPr>
                                    <w:t>7.</w:t>
                                  </w:r>
                                  <w:r>
                                    <w:rPr>
                                      <w:rFonts w:ascii="Arial"/>
                                      <w:b/>
                                      <w:spacing w:val="31"/>
                                    </w:rPr>
                                    <w:t xml:space="preserve"> </w:t>
                                  </w:r>
                                  <w:r>
                                    <w:rPr>
                                      <w:rFonts w:ascii="Arial"/>
                                      <w:b/>
                                      <w:spacing w:val="31"/>
                                      <w:lang w:val="uk-UA"/>
                                    </w:rPr>
                                    <w:t xml:space="preserve"> </w:t>
                                  </w:r>
                                  <w:r w:rsidRPr="00507F6E">
                                    <w:rPr>
                                      <w:rFonts w:ascii="Arial"/>
                                      <w:b/>
                                      <w:sz w:val="20"/>
                                      <w:szCs w:val="20"/>
                                      <w:lang w:val="uk-UA"/>
                                    </w:rPr>
                                    <w:t>Для</w:t>
                                  </w:r>
                                  <w:r w:rsidRPr="00507F6E">
                                    <w:rPr>
                                      <w:rFonts w:ascii="Arial"/>
                                      <w:b/>
                                      <w:sz w:val="20"/>
                                      <w:szCs w:val="20"/>
                                      <w:lang w:val="uk-UA"/>
                                    </w:rPr>
                                    <w:t xml:space="preserve"> </w:t>
                                  </w:r>
                                  <w:r w:rsidRPr="00507F6E">
                                    <w:rPr>
                                      <w:rFonts w:ascii="Arial"/>
                                      <w:b/>
                                      <w:sz w:val="20"/>
                                      <w:szCs w:val="20"/>
                                      <w:lang w:val="uk-UA"/>
                                    </w:rPr>
                                    <w:t>дорослих</w:t>
                                  </w:r>
                                  <w:r w:rsidRPr="00507F6E">
                                    <w:rPr>
                                      <w:rFonts w:ascii="Arial"/>
                                      <w:b/>
                                      <w:sz w:val="20"/>
                                      <w:szCs w:val="20"/>
                                      <w:lang w:val="uk-UA"/>
                                    </w:rPr>
                                    <w:t xml:space="preserve"> </w:t>
                                  </w:r>
                                  <w:r w:rsidRPr="00507F6E">
                                    <w:rPr>
                                      <w:rFonts w:ascii="Arial"/>
                                      <w:b/>
                                      <w:sz w:val="20"/>
                                      <w:szCs w:val="20"/>
                                      <w:lang w:val="uk-UA"/>
                                    </w:rPr>
                                    <w:t>та</w:t>
                                  </w:r>
                                  <w:r w:rsidRPr="00507F6E">
                                    <w:rPr>
                                      <w:rFonts w:ascii="Arial"/>
                                      <w:b/>
                                      <w:sz w:val="20"/>
                                      <w:szCs w:val="20"/>
                                      <w:lang w:val="uk-UA"/>
                                    </w:rPr>
                                    <w:t xml:space="preserve"> </w:t>
                                  </w:r>
                                  <w:r w:rsidRPr="00507F6E">
                                    <w:rPr>
                                      <w:rFonts w:ascii="Arial"/>
                                      <w:b/>
                                      <w:sz w:val="20"/>
                                      <w:szCs w:val="20"/>
                                      <w:lang w:val="uk-UA"/>
                                    </w:rPr>
                                    <w:t>підлітків</w:t>
                                  </w:r>
                                  <w:r w:rsidRPr="00507F6E">
                                    <w:rPr>
                                      <w:rFonts w:ascii="Arial"/>
                                      <w:b/>
                                      <w:sz w:val="20"/>
                                      <w:szCs w:val="20"/>
                                      <w:lang w:val="uk-UA"/>
                                    </w:rPr>
                                    <w:t xml:space="preserve"> </w:t>
                                  </w:r>
                                  <w:r w:rsidRPr="00507F6E">
                                    <w:rPr>
                                      <w:rFonts w:ascii="Arial"/>
                                      <w:b/>
                                      <w:sz w:val="20"/>
                                      <w:szCs w:val="20"/>
                                      <w:lang w:val="uk-UA"/>
                                    </w:rPr>
                                    <w:t>з</w:t>
                                  </w:r>
                                  <w:r w:rsidRPr="00507F6E">
                                    <w:rPr>
                                      <w:rFonts w:ascii="Arial"/>
                                      <w:b/>
                                      <w:sz w:val="20"/>
                                      <w:szCs w:val="20"/>
                                      <w:lang w:val="uk-UA"/>
                                    </w:rPr>
                                    <w:t xml:space="preserve"> </w:t>
                                  </w:r>
                                  <w:r w:rsidRPr="00507F6E">
                                    <w:rPr>
                                      <w:rFonts w:ascii="Arial"/>
                                      <w:b/>
                                      <w:sz w:val="20"/>
                                      <w:szCs w:val="20"/>
                                      <w:lang w:val="uk-UA"/>
                                    </w:rPr>
                                    <w:t>ВІЛ</w:t>
                                  </w:r>
                                  <w:r w:rsidRPr="00507F6E">
                                    <w:rPr>
                                      <w:rFonts w:ascii="Arial"/>
                                      <w:b/>
                                      <w:sz w:val="20"/>
                                      <w:szCs w:val="20"/>
                                      <w:lang w:val="uk-UA"/>
                                    </w:rPr>
                                    <w:t xml:space="preserve">, </w:t>
                                  </w:r>
                                  <w:r w:rsidRPr="00507F6E">
                                    <w:rPr>
                                      <w:rFonts w:ascii="Arial"/>
                                      <w:b/>
                                      <w:sz w:val="20"/>
                                      <w:szCs w:val="20"/>
                                      <w:lang w:val="uk-UA"/>
                                    </w:rPr>
                                    <w:t>які</w:t>
                                  </w:r>
                                  <w:r w:rsidRPr="00507F6E">
                                    <w:rPr>
                                      <w:rFonts w:ascii="Arial"/>
                                      <w:b/>
                                      <w:sz w:val="20"/>
                                      <w:szCs w:val="20"/>
                                      <w:lang w:val="uk-UA"/>
                                    </w:rPr>
                                    <w:t xml:space="preserve"> </w:t>
                                  </w:r>
                                  <w:r w:rsidRPr="00507F6E">
                                    <w:rPr>
                                      <w:rFonts w:ascii="Arial"/>
                                      <w:b/>
                                      <w:sz w:val="20"/>
                                      <w:szCs w:val="20"/>
                                      <w:lang w:val="uk-UA"/>
                                    </w:rPr>
                                    <w:t>мають</w:t>
                                  </w:r>
                                  <w:r w:rsidRPr="00507F6E">
                                    <w:rPr>
                                      <w:rFonts w:ascii="Arial"/>
                                      <w:b/>
                                      <w:sz w:val="20"/>
                                      <w:szCs w:val="20"/>
                                      <w:lang w:val="uk-UA"/>
                                    </w:rPr>
                                    <w:t xml:space="preserve"> </w:t>
                                  </w:r>
                                  <w:r w:rsidRPr="00507F6E">
                                    <w:rPr>
                                      <w:rFonts w:ascii="Arial"/>
                                      <w:b/>
                                      <w:sz w:val="20"/>
                                      <w:szCs w:val="20"/>
                                      <w:lang w:val="uk-UA"/>
                                    </w:rPr>
                                    <w:t>ознаки</w:t>
                                  </w:r>
                                  <w:r w:rsidRPr="00507F6E">
                                    <w:rPr>
                                      <w:rFonts w:ascii="Arial"/>
                                      <w:b/>
                                      <w:sz w:val="20"/>
                                      <w:szCs w:val="20"/>
                                      <w:lang w:val="uk-UA"/>
                                    </w:rPr>
                                    <w:t xml:space="preserve"> </w:t>
                                  </w:r>
                                  <w:r w:rsidRPr="00507F6E">
                                    <w:rPr>
                                      <w:rFonts w:ascii="Arial"/>
                                      <w:b/>
                                      <w:sz w:val="20"/>
                                      <w:szCs w:val="20"/>
                                      <w:lang w:val="uk-UA"/>
                                    </w:rPr>
                                    <w:t>або</w:t>
                                  </w:r>
                                  <w:r w:rsidRPr="00507F6E">
                                    <w:rPr>
                                      <w:rFonts w:ascii="Arial"/>
                                      <w:b/>
                                      <w:sz w:val="20"/>
                                      <w:szCs w:val="20"/>
                                      <w:lang w:val="uk-UA"/>
                                    </w:rPr>
                                    <w:t xml:space="preserve"> </w:t>
                                  </w:r>
                                  <w:r w:rsidRPr="00507F6E">
                                    <w:rPr>
                                      <w:rFonts w:ascii="Arial"/>
                                      <w:b/>
                                      <w:sz w:val="20"/>
                                      <w:szCs w:val="20"/>
                                      <w:lang w:val="uk-UA"/>
                                    </w:rPr>
                                    <w:t>симптоми</w:t>
                                  </w:r>
                                  <w:r w:rsidRPr="00507F6E">
                                    <w:rPr>
                                      <w:rFonts w:ascii="Arial"/>
                                      <w:b/>
                                      <w:sz w:val="20"/>
                                      <w:szCs w:val="20"/>
                                      <w:lang w:val="uk-UA"/>
                                    </w:rPr>
                                    <w:t xml:space="preserve"> </w:t>
                                  </w:r>
                                  <w:r w:rsidRPr="00507F6E">
                                    <w:rPr>
                                      <w:rFonts w:ascii="Arial"/>
                                      <w:b/>
                                      <w:sz w:val="20"/>
                                      <w:szCs w:val="20"/>
                                      <w:lang w:val="uk-UA"/>
                                    </w:rPr>
                                    <w:t>ТБ</w:t>
                                  </w:r>
                                  <w:r w:rsidRPr="00507F6E">
                                    <w:rPr>
                                      <w:rFonts w:ascii="Arial"/>
                                      <w:b/>
                                      <w:sz w:val="20"/>
                                      <w:szCs w:val="20"/>
                                      <w:lang w:val="uk-UA"/>
                                    </w:rPr>
                                    <w:t xml:space="preserve">, </w:t>
                                  </w:r>
                                  <w:r w:rsidRPr="00507F6E">
                                    <w:rPr>
                                      <w:rFonts w:ascii="Arial"/>
                                      <w:b/>
                                      <w:sz w:val="20"/>
                                      <w:szCs w:val="20"/>
                                      <w:lang w:val="uk-UA"/>
                                    </w:rPr>
                                    <w:t>мають</w:t>
                                  </w:r>
                                  <w:r w:rsidRPr="00507F6E">
                                    <w:rPr>
                                      <w:rFonts w:ascii="Arial"/>
                                      <w:b/>
                                      <w:sz w:val="20"/>
                                      <w:szCs w:val="20"/>
                                      <w:lang w:val="uk-UA"/>
                                    </w:rPr>
                                    <w:t xml:space="preserve"> </w:t>
                                  </w:r>
                                  <w:r w:rsidRPr="00507F6E">
                                    <w:rPr>
                                      <w:rFonts w:ascii="Arial"/>
                                      <w:b/>
                                      <w:sz w:val="20"/>
                                      <w:szCs w:val="20"/>
                                      <w:lang w:val="uk-UA"/>
                                    </w:rPr>
                                    <w:t>позитивний</w:t>
                                  </w:r>
                                  <w:r w:rsidRPr="00507F6E">
                                    <w:rPr>
                                      <w:rFonts w:ascii="Arial"/>
                                      <w:b/>
                                      <w:sz w:val="20"/>
                                      <w:szCs w:val="20"/>
                                      <w:lang w:val="uk-UA"/>
                                    </w:rPr>
                                    <w:t xml:space="preserve"> </w:t>
                                  </w:r>
                                  <w:r w:rsidRPr="00507F6E">
                                    <w:rPr>
                                      <w:rFonts w:ascii="Arial"/>
                                      <w:b/>
                                      <w:sz w:val="20"/>
                                      <w:szCs w:val="20"/>
                                      <w:lang w:val="uk-UA"/>
                                    </w:rPr>
                                    <w:t>результат</w:t>
                                  </w:r>
                                  <w:r w:rsidRPr="00507F6E">
                                    <w:rPr>
                                      <w:rFonts w:ascii="Arial"/>
                                      <w:b/>
                                      <w:sz w:val="20"/>
                                      <w:szCs w:val="20"/>
                                      <w:lang w:val="uk-UA"/>
                                    </w:rPr>
                                    <w:t xml:space="preserve"> </w:t>
                                  </w:r>
                                  <w:r w:rsidRPr="00507F6E">
                                    <w:rPr>
                                      <w:rFonts w:ascii="Arial"/>
                                      <w:b/>
                                      <w:sz w:val="20"/>
                                      <w:szCs w:val="20"/>
                                      <w:lang w:val="uk-UA"/>
                                    </w:rPr>
                                    <w:t>скринінгу</w:t>
                                  </w:r>
                                  <w:r w:rsidRPr="00507F6E">
                                    <w:rPr>
                                      <w:rFonts w:ascii="Arial"/>
                                      <w:b/>
                                      <w:sz w:val="20"/>
                                      <w:szCs w:val="20"/>
                                      <w:lang w:val="uk-UA"/>
                                    </w:rPr>
                                    <w:t xml:space="preserve"> </w:t>
                                  </w:r>
                                  <w:r w:rsidRPr="00507F6E">
                                    <w:rPr>
                                      <w:rFonts w:ascii="Arial"/>
                                      <w:b/>
                                      <w:sz w:val="20"/>
                                      <w:szCs w:val="20"/>
                                      <w:lang w:val="uk-UA"/>
                                    </w:rPr>
                                    <w:t>на</w:t>
                                  </w:r>
                                  <w:r w:rsidRPr="00507F6E">
                                    <w:rPr>
                                      <w:rFonts w:ascii="Arial"/>
                                      <w:b/>
                                      <w:sz w:val="20"/>
                                      <w:szCs w:val="20"/>
                                      <w:lang w:val="uk-UA"/>
                                    </w:rPr>
                                    <w:t xml:space="preserve"> </w:t>
                                  </w:r>
                                  <w:r w:rsidRPr="00507F6E">
                                    <w:rPr>
                                      <w:rFonts w:ascii="Arial"/>
                                      <w:b/>
                                      <w:sz w:val="20"/>
                                      <w:szCs w:val="20"/>
                                      <w:lang w:val="uk-UA"/>
                                    </w:rPr>
                                    <w:t>ТБ</w:t>
                                  </w:r>
                                  <w:r w:rsidRPr="00507F6E">
                                    <w:rPr>
                                      <w:rFonts w:ascii="Arial"/>
                                      <w:b/>
                                      <w:sz w:val="20"/>
                                      <w:szCs w:val="20"/>
                                      <w:lang w:val="uk-UA"/>
                                    </w:rPr>
                                    <w:t xml:space="preserve">, </w:t>
                                  </w:r>
                                  <w:r w:rsidRPr="00507F6E">
                                    <w:rPr>
                                      <w:rFonts w:ascii="Arial"/>
                                      <w:b/>
                                      <w:sz w:val="20"/>
                                      <w:szCs w:val="20"/>
                                      <w:lang w:val="uk-UA"/>
                                    </w:rPr>
                                    <w:t>є</w:t>
                                  </w:r>
                                  <w:r w:rsidRPr="00507F6E">
                                    <w:rPr>
                                      <w:rFonts w:ascii="Arial"/>
                                      <w:b/>
                                      <w:sz w:val="20"/>
                                      <w:szCs w:val="20"/>
                                      <w:lang w:val="uk-UA"/>
                                    </w:rPr>
                                    <w:t xml:space="preserve"> </w:t>
                                  </w:r>
                                  <w:r w:rsidRPr="00507F6E">
                                    <w:rPr>
                                      <w:rFonts w:ascii="Arial"/>
                                      <w:b/>
                                      <w:sz w:val="20"/>
                                      <w:szCs w:val="20"/>
                                      <w:lang w:val="uk-UA"/>
                                    </w:rPr>
                                    <w:t>тяжкохворими</w:t>
                                  </w:r>
                                  <w:r w:rsidRPr="00507F6E">
                                    <w:rPr>
                                      <w:rFonts w:ascii="Arial"/>
                                      <w:b/>
                                      <w:sz w:val="20"/>
                                      <w:szCs w:val="20"/>
                                      <w:lang w:val="uk-UA"/>
                                    </w:rPr>
                                    <w:t xml:space="preserve"> </w:t>
                                  </w:r>
                                  <w:r w:rsidRPr="00507F6E">
                                    <w:rPr>
                                      <w:rFonts w:ascii="Arial"/>
                                      <w:b/>
                                      <w:sz w:val="20"/>
                                      <w:szCs w:val="20"/>
                                      <w:lang w:val="uk-UA"/>
                                    </w:rPr>
                                    <w:t>або</w:t>
                                  </w:r>
                                  <w:r w:rsidRPr="00507F6E">
                                    <w:rPr>
                                      <w:rFonts w:ascii="Arial"/>
                                      <w:b/>
                                      <w:sz w:val="20"/>
                                      <w:szCs w:val="20"/>
                                      <w:lang w:val="uk-UA"/>
                                    </w:rPr>
                                    <w:t xml:space="preserve"> </w:t>
                                  </w:r>
                                  <w:r w:rsidRPr="00507F6E">
                                    <w:rPr>
                                      <w:rFonts w:ascii="Arial"/>
                                      <w:b/>
                                      <w:sz w:val="20"/>
                                      <w:szCs w:val="20"/>
                                      <w:lang w:val="uk-UA"/>
                                    </w:rPr>
                                    <w:t>мають</w:t>
                                  </w:r>
                                  <w:r w:rsidRPr="00507F6E">
                                    <w:rPr>
                                      <w:rFonts w:ascii="Arial"/>
                                      <w:b/>
                                      <w:sz w:val="20"/>
                                      <w:szCs w:val="20"/>
                                      <w:lang w:val="uk-UA"/>
                                    </w:rPr>
                                    <w:t xml:space="preserve"> </w:t>
                                  </w:r>
                                  <w:r w:rsidRPr="00507F6E">
                                    <w:rPr>
                                      <w:rFonts w:ascii="Arial"/>
                                      <w:b/>
                                      <w:sz w:val="20"/>
                                      <w:szCs w:val="20"/>
                                      <w:lang w:val="uk-UA"/>
                                    </w:rPr>
                                    <w:t>прогресуючу</w:t>
                                  </w:r>
                                  <w:r w:rsidRPr="00507F6E">
                                    <w:rPr>
                                      <w:rFonts w:ascii="Arial"/>
                                      <w:b/>
                                      <w:sz w:val="20"/>
                                      <w:szCs w:val="20"/>
                                      <w:lang w:val="uk-UA"/>
                                    </w:rPr>
                                    <w:t xml:space="preserve"> </w:t>
                                  </w:r>
                                  <w:r w:rsidRPr="00507F6E">
                                    <w:rPr>
                                      <w:rFonts w:ascii="Arial"/>
                                      <w:b/>
                                      <w:sz w:val="20"/>
                                      <w:szCs w:val="20"/>
                                      <w:lang w:val="uk-UA"/>
                                    </w:rPr>
                                    <w:t>форму</w:t>
                                  </w:r>
                                  <w:r w:rsidRPr="00507F6E">
                                    <w:rPr>
                                      <w:rFonts w:ascii="Arial"/>
                                      <w:b/>
                                      <w:sz w:val="20"/>
                                      <w:szCs w:val="20"/>
                                      <w:lang w:val="uk-UA"/>
                                    </w:rPr>
                                    <w:t xml:space="preserve"> </w:t>
                                  </w:r>
                                  <w:r w:rsidRPr="00507F6E">
                                    <w:rPr>
                                      <w:rFonts w:ascii="Arial"/>
                                      <w:b/>
                                      <w:sz w:val="20"/>
                                      <w:szCs w:val="20"/>
                                      <w:lang w:val="uk-UA"/>
                                    </w:rPr>
                                    <w:t>ВІЛ</w:t>
                                  </w:r>
                                  <w:r w:rsidRPr="00507F6E">
                                    <w:rPr>
                                      <w:rFonts w:ascii="Arial"/>
                                      <w:b/>
                                      <w:sz w:val="20"/>
                                      <w:szCs w:val="20"/>
                                      <w:lang w:val="uk-UA"/>
                                    </w:rPr>
                                    <w:t>-</w:t>
                                  </w:r>
                                  <w:r w:rsidRPr="00507F6E">
                                    <w:rPr>
                                      <w:rFonts w:ascii="Arial"/>
                                      <w:b/>
                                      <w:sz w:val="20"/>
                                      <w:szCs w:val="20"/>
                                      <w:lang w:val="uk-UA"/>
                                    </w:rPr>
                                    <w:t>інфекції</w:t>
                                  </w:r>
                                  <w:r w:rsidRPr="00507F6E">
                                    <w:rPr>
                                      <w:rFonts w:ascii="Arial"/>
                                      <w:b/>
                                      <w:sz w:val="20"/>
                                      <w:szCs w:val="20"/>
                                      <w:lang w:val="uk-UA"/>
                                    </w:rPr>
                                    <w:t xml:space="preserve">, </w:t>
                                  </w:r>
                                  <w:r w:rsidRPr="00507F6E">
                                    <w:rPr>
                                      <w:rFonts w:ascii="Arial"/>
                                      <w:b/>
                                      <w:sz w:val="20"/>
                                      <w:szCs w:val="20"/>
                                      <w:lang w:val="uk-UA"/>
                                    </w:rPr>
                                    <w:t>в</w:t>
                                  </w:r>
                                  <w:r w:rsidRPr="00507F6E">
                                    <w:rPr>
                                      <w:rFonts w:ascii="Arial"/>
                                      <w:b/>
                                      <w:sz w:val="20"/>
                                      <w:szCs w:val="20"/>
                                      <w:lang w:val="uk-UA"/>
                                    </w:rPr>
                                    <w:t xml:space="preserve"> </w:t>
                                  </w:r>
                                  <w:r w:rsidRPr="00507F6E">
                                    <w:rPr>
                                      <w:rFonts w:ascii="Arial"/>
                                      <w:b/>
                                      <w:sz w:val="20"/>
                                      <w:szCs w:val="20"/>
                                      <w:lang w:val="uk-UA"/>
                                    </w:rPr>
                                    <w:t>якості</w:t>
                                  </w:r>
                                  <w:r w:rsidRPr="00507F6E">
                                    <w:rPr>
                                      <w:rFonts w:ascii="Arial"/>
                                      <w:b/>
                                      <w:sz w:val="20"/>
                                      <w:szCs w:val="20"/>
                                      <w:lang w:val="uk-UA"/>
                                    </w:rPr>
                                    <w:t xml:space="preserve"> </w:t>
                                  </w:r>
                                  <w:r w:rsidRPr="00507F6E">
                                    <w:rPr>
                                      <w:rFonts w:ascii="Arial"/>
                                      <w:b/>
                                      <w:sz w:val="20"/>
                                      <w:szCs w:val="20"/>
                                      <w:lang w:val="uk-UA"/>
                                    </w:rPr>
                                    <w:t>початкової</w:t>
                                  </w:r>
                                  <w:r w:rsidRPr="00507F6E">
                                    <w:rPr>
                                      <w:rFonts w:ascii="Arial"/>
                                      <w:b/>
                                      <w:sz w:val="20"/>
                                      <w:szCs w:val="20"/>
                                      <w:lang w:val="uk-UA"/>
                                    </w:rPr>
                                    <w:t xml:space="preserve"> </w:t>
                                  </w:r>
                                  <w:r w:rsidRPr="00507F6E">
                                    <w:rPr>
                                      <w:rFonts w:ascii="Arial"/>
                                      <w:b/>
                                      <w:sz w:val="20"/>
                                      <w:szCs w:val="20"/>
                                      <w:lang w:val="uk-UA"/>
                                    </w:rPr>
                                    <w:t>стратегії</w:t>
                                  </w:r>
                                  <w:r w:rsidRPr="00507F6E">
                                    <w:rPr>
                                      <w:rFonts w:ascii="Arial"/>
                                      <w:b/>
                                      <w:sz w:val="20"/>
                                      <w:szCs w:val="20"/>
                                      <w:lang w:val="uk-UA"/>
                                    </w:rPr>
                                    <w:t xml:space="preserve"> </w:t>
                                  </w:r>
                                  <w:r w:rsidRPr="00507F6E">
                                    <w:rPr>
                                      <w:rFonts w:ascii="Arial"/>
                                      <w:b/>
                                      <w:sz w:val="20"/>
                                      <w:szCs w:val="20"/>
                                      <w:lang w:val="uk-UA"/>
                                    </w:rPr>
                                    <w:t>діагностики</w:t>
                                  </w:r>
                                  <w:r w:rsidRPr="00507F6E">
                                    <w:rPr>
                                      <w:rFonts w:ascii="Arial"/>
                                      <w:b/>
                                      <w:sz w:val="20"/>
                                      <w:szCs w:val="20"/>
                                      <w:lang w:val="uk-UA"/>
                                    </w:rPr>
                                    <w:t xml:space="preserve"> </w:t>
                                  </w:r>
                                  <w:r w:rsidRPr="00507F6E">
                                    <w:rPr>
                                      <w:rFonts w:ascii="Arial"/>
                                      <w:b/>
                                      <w:sz w:val="20"/>
                                      <w:szCs w:val="20"/>
                                      <w:lang w:val="uk-UA"/>
                                    </w:rPr>
                                    <w:t>ТБ</w:t>
                                  </w:r>
                                  <w:r w:rsidRPr="00507F6E">
                                    <w:rPr>
                                      <w:rFonts w:ascii="Arial"/>
                                      <w:b/>
                                      <w:sz w:val="20"/>
                                      <w:szCs w:val="20"/>
                                      <w:lang w:val="uk-UA"/>
                                    </w:rPr>
                                    <w:t xml:space="preserve"> </w:t>
                                  </w:r>
                                  <w:r w:rsidRPr="00507F6E">
                                    <w:rPr>
                                      <w:rFonts w:ascii="Arial"/>
                                      <w:b/>
                                      <w:sz w:val="20"/>
                                      <w:szCs w:val="20"/>
                                      <w:lang w:val="uk-UA"/>
                                    </w:rPr>
                                    <w:t>слід</w:t>
                                  </w:r>
                                  <w:r w:rsidRPr="00507F6E">
                                    <w:rPr>
                                      <w:rFonts w:ascii="Arial"/>
                                      <w:b/>
                                      <w:sz w:val="20"/>
                                      <w:szCs w:val="20"/>
                                      <w:lang w:val="uk-UA"/>
                                    </w:rPr>
                                    <w:t xml:space="preserve"> </w:t>
                                  </w:r>
                                  <w:r w:rsidRPr="00507F6E">
                                    <w:rPr>
                                      <w:rFonts w:ascii="Arial"/>
                                      <w:b/>
                                      <w:sz w:val="20"/>
                                      <w:szCs w:val="20"/>
                                      <w:lang w:val="uk-UA"/>
                                    </w:rPr>
                                    <w:t>використовувати</w:t>
                                  </w:r>
                                  <w:r w:rsidRPr="00507F6E">
                                    <w:rPr>
                                      <w:rFonts w:ascii="Arial"/>
                                      <w:b/>
                                      <w:sz w:val="20"/>
                                      <w:szCs w:val="20"/>
                                      <w:lang w:val="uk-UA"/>
                                    </w:rPr>
                                    <w:t xml:space="preserve"> </w:t>
                                  </w:r>
                                  <w:r w:rsidRPr="00507F6E">
                                    <w:rPr>
                                      <w:rFonts w:ascii="Arial"/>
                                      <w:b/>
                                      <w:sz w:val="20"/>
                                      <w:szCs w:val="20"/>
                                      <w:lang w:val="uk-UA"/>
                                    </w:rPr>
                                    <w:t>одночасне</w:t>
                                  </w:r>
                                  <w:r w:rsidRPr="00507F6E">
                                    <w:rPr>
                                      <w:rFonts w:ascii="Arial"/>
                                      <w:b/>
                                      <w:sz w:val="20"/>
                                      <w:szCs w:val="20"/>
                                      <w:lang w:val="uk-UA"/>
                                    </w:rPr>
                                    <w:t xml:space="preserve"> </w:t>
                                  </w:r>
                                  <w:r w:rsidRPr="00507F6E">
                                    <w:rPr>
                                      <w:rFonts w:ascii="Arial"/>
                                      <w:b/>
                                      <w:sz w:val="20"/>
                                      <w:szCs w:val="20"/>
                                      <w:lang w:val="uk-UA"/>
                                    </w:rPr>
                                    <w:t>тестування</w:t>
                                  </w:r>
                                  <w:r w:rsidRPr="00507F6E">
                                    <w:rPr>
                                      <w:rFonts w:ascii="Arial"/>
                                      <w:b/>
                                      <w:sz w:val="20"/>
                                      <w:szCs w:val="20"/>
                                      <w:lang w:val="uk-UA"/>
                                    </w:rPr>
                                    <w:t xml:space="preserve"> </w:t>
                                  </w:r>
                                  <w:r w:rsidRPr="00507F6E">
                                    <w:rPr>
                                      <w:rFonts w:ascii="Arial"/>
                                      <w:b/>
                                      <w:sz w:val="20"/>
                                      <w:szCs w:val="20"/>
                                      <w:lang w:val="uk-UA"/>
                                    </w:rPr>
                                    <w:t>з</w:t>
                                  </w:r>
                                  <w:r w:rsidRPr="00507F6E">
                                    <w:rPr>
                                      <w:rFonts w:ascii="Arial"/>
                                      <w:b/>
                                      <w:sz w:val="20"/>
                                      <w:szCs w:val="20"/>
                                      <w:lang w:val="uk-UA"/>
                                    </w:rPr>
                                    <w:t xml:space="preserve"> </w:t>
                                  </w:r>
                                  <w:r w:rsidRPr="00507F6E">
                                    <w:rPr>
                                      <w:rFonts w:ascii="Arial"/>
                                      <w:b/>
                                      <w:sz w:val="20"/>
                                      <w:szCs w:val="20"/>
                                      <w:lang w:val="uk-UA"/>
                                    </w:rPr>
                                    <w:t>використанням</w:t>
                                  </w:r>
                                  <w:r w:rsidRPr="00507F6E">
                                    <w:rPr>
                                      <w:rFonts w:ascii="Arial"/>
                                      <w:b/>
                                      <w:sz w:val="20"/>
                                      <w:szCs w:val="20"/>
                                      <w:lang w:val="uk-UA"/>
                                    </w:rPr>
                                    <w:t xml:space="preserve"> </w:t>
                                  </w:r>
                                  <w:r w:rsidRPr="00507F6E">
                                    <w:rPr>
                                      <w:rFonts w:ascii="Arial"/>
                                      <w:b/>
                                      <w:sz w:val="20"/>
                                      <w:szCs w:val="20"/>
                                      <w:lang w:val="uk-UA"/>
                                    </w:rPr>
                                    <w:t>автоматизованих</w:t>
                                  </w:r>
                                  <w:r w:rsidRPr="00507F6E">
                                    <w:rPr>
                                      <w:rFonts w:ascii="Arial"/>
                                      <w:b/>
                                      <w:sz w:val="20"/>
                                      <w:szCs w:val="20"/>
                                      <w:lang w:val="uk-UA"/>
                                    </w:rPr>
                                    <w:t xml:space="preserve"> </w:t>
                                  </w:r>
                                  <w:r w:rsidRPr="00507F6E">
                                    <w:rPr>
                                      <w:rFonts w:ascii="Arial"/>
                                      <w:b/>
                                      <w:sz w:val="20"/>
                                      <w:szCs w:val="20"/>
                                      <w:lang w:val="uk-UA"/>
                                    </w:rPr>
                                    <w:t>ТАНК</w:t>
                                  </w:r>
                                  <w:r w:rsidRPr="00507F6E">
                                    <w:rPr>
                                      <w:rFonts w:ascii="Arial"/>
                                      <w:b/>
                                      <w:sz w:val="20"/>
                                      <w:szCs w:val="20"/>
                                      <w:lang w:val="uk-UA"/>
                                    </w:rPr>
                                    <w:t xml:space="preserve"> </w:t>
                                  </w:r>
                                  <w:r w:rsidRPr="00507F6E">
                                    <w:rPr>
                                      <w:rFonts w:ascii="Arial"/>
                                      <w:b/>
                                      <w:sz w:val="20"/>
                                      <w:szCs w:val="20"/>
                                      <w:lang w:val="uk-UA"/>
                                    </w:rPr>
                                    <w:t>низької</w:t>
                                  </w:r>
                                  <w:r w:rsidRPr="00507F6E">
                                    <w:rPr>
                                      <w:rFonts w:ascii="Arial"/>
                                      <w:b/>
                                      <w:sz w:val="20"/>
                                      <w:szCs w:val="20"/>
                                      <w:lang w:val="uk-UA"/>
                                    </w:rPr>
                                    <w:t xml:space="preserve"> </w:t>
                                  </w:r>
                                  <w:r w:rsidRPr="00507F6E">
                                    <w:rPr>
                                      <w:rFonts w:ascii="Arial"/>
                                      <w:b/>
                                      <w:sz w:val="20"/>
                                      <w:szCs w:val="20"/>
                                      <w:lang w:val="uk-UA"/>
                                    </w:rPr>
                                    <w:t>складності</w:t>
                                  </w:r>
                                  <w:r w:rsidRPr="00507F6E">
                                    <w:rPr>
                                      <w:rFonts w:ascii="Arial"/>
                                      <w:b/>
                                      <w:sz w:val="20"/>
                                      <w:szCs w:val="20"/>
                                      <w:lang w:val="uk-UA"/>
                                    </w:rPr>
                                    <w:t xml:space="preserve"> </w:t>
                                  </w:r>
                                  <w:r w:rsidRPr="00507F6E">
                                    <w:rPr>
                                      <w:rFonts w:ascii="Arial"/>
                                      <w:b/>
                                      <w:sz w:val="20"/>
                                      <w:szCs w:val="20"/>
                                      <w:lang w:val="uk-UA"/>
                                    </w:rPr>
                                    <w:t>на</w:t>
                                  </w:r>
                                  <w:r w:rsidRPr="00507F6E">
                                    <w:rPr>
                                      <w:rFonts w:ascii="Arial"/>
                                      <w:b/>
                                      <w:sz w:val="20"/>
                                      <w:szCs w:val="20"/>
                                      <w:lang w:val="uk-UA"/>
                                    </w:rPr>
                                    <w:t xml:space="preserve"> </w:t>
                                  </w:r>
                                  <w:r w:rsidRPr="00507F6E">
                                    <w:rPr>
                                      <w:rFonts w:ascii="Arial"/>
                                      <w:b/>
                                      <w:sz w:val="20"/>
                                      <w:szCs w:val="20"/>
                                      <w:lang w:val="uk-UA"/>
                                    </w:rPr>
                                    <w:t>зразках</w:t>
                                  </w:r>
                                  <w:r w:rsidRPr="00507F6E">
                                    <w:rPr>
                                      <w:rFonts w:ascii="Arial"/>
                                      <w:b/>
                                      <w:sz w:val="20"/>
                                      <w:szCs w:val="20"/>
                                      <w:lang w:val="uk-UA"/>
                                    </w:rPr>
                                    <w:t xml:space="preserve"> </w:t>
                                  </w:r>
                                  <w:r w:rsidRPr="00507F6E">
                                    <w:rPr>
                                      <w:rFonts w:ascii="Arial"/>
                                      <w:b/>
                                      <w:sz w:val="20"/>
                                      <w:szCs w:val="20"/>
                                      <w:lang w:val="uk-UA"/>
                                    </w:rPr>
                                    <w:t>з</w:t>
                                  </w:r>
                                  <w:r w:rsidRPr="00507F6E">
                                    <w:rPr>
                                      <w:rFonts w:ascii="Arial"/>
                                      <w:b/>
                                      <w:sz w:val="20"/>
                                      <w:szCs w:val="20"/>
                                      <w:lang w:val="uk-UA"/>
                                    </w:rPr>
                                    <w:t xml:space="preserve"> </w:t>
                                  </w:r>
                                  <w:r w:rsidRPr="00507F6E">
                                    <w:rPr>
                                      <w:rFonts w:ascii="Arial"/>
                                      <w:b/>
                                      <w:sz w:val="20"/>
                                      <w:szCs w:val="20"/>
                                      <w:lang w:val="uk-UA"/>
                                    </w:rPr>
                                    <w:t>дихальних</w:t>
                                  </w:r>
                                  <w:r w:rsidRPr="00507F6E">
                                    <w:rPr>
                                      <w:rFonts w:ascii="Arial"/>
                                      <w:b/>
                                      <w:sz w:val="20"/>
                                      <w:szCs w:val="20"/>
                                      <w:lang w:val="uk-UA"/>
                                    </w:rPr>
                                    <w:t xml:space="preserve"> </w:t>
                                  </w:r>
                                  <w:r w:rsidRPr="00507F6E">
                                    <w:rPr>
                                      <w:rFonts w:ascii="Arial"/>
                                      <w:b/>
                                      <w:sz w:val="20"/>
                                      <w:szCs w:val="20"/>
                                      <w:lang w:val="uk-UA"/>
                                    </w:rPr>
                                    <w:t>шляхів</w:t>
                                  </w:r>
                                  <w:r w:rsidRPr="00507F6E">
                                    <w:rPr>
                                      <w:rFonts w:ascii="Arial"/>
                                      <w:b/>
                                      <w:sz w:val="20"/>
                                      <w:szCs w:val="20"/>
                                      <w:lang w:val="uk-UA"/>
                                    </w:rPr>
                                    <w:t xml:space="preserve"> </w:t>
                                  </w:r>
                                  <w:r w:rsidRPr="00507F6E">
                                    <w:rPr>
                                      <w:rFonts w:ascii="Arial"/>
                                      <w:b/>
                                      <w:sz w:val="20"/>
                                      <w:szCs w:val="20"/>
                                      <w:lang w:val="uk-UA"/>
                                    </w:rPr>
                                    <w:t>та</w:t>
                                  </w:r>
                                  <w:r w:rsidRPr="00507F6E">
                                    <w:rPr>
                                      <w:rFonts w:ascii="Arial"/>
                                      <w:b/>
                                      <w:sz w:val="20"/>
                                      <w:szCs w:val="20"/>
                                      <w:lang w:val="uk-UA"/>
                                    </w:rPr>
                                    <w:t xml:space="preserve"> </w:t>
                                  </w:r>
                                  <w:r w:rsidRPr="00507F6E">
                                    <w:rPr>
                                      <w:rFonts w:ascii="Arial"/>
                                      <w:b/>
                                      <w:sz w:val="20"/>
                                      <w:szCs w:val="20"/>
                                      <w:lang w:val="uk-UA"/>
                                    </w:rPr>
                                    <w:t>аналізу</w:t>
                                  </w:r>
                                  <w:r w:rsidRPr="00507F6E">
                                    <w:rPr>
                                      <w:rFonts w:ascii="Arial"/>
                                      <w:b/>
                                      <w:sz w:val="20"/>
                                      <w:szCs w:val="20"/>
                                      <w:lang w:val="uk-UA"/>
                                    </w:rPr>
                                    <w:t xml:space="preserve"> LF-LAM </w:t>
                                  </w:r>
                                  <w:r w:rsidRPr="00507F6E">
                                    <w:rPr>
                                      <w:rFonts w:ascii="Arial"/>
                                      <w:b/>
                                      <w:sz w:val="20"/>
                                      <w:szCs w:val="20"/>
                                      <w:lang w:val="uk-UA"/>
                                    </w:rPr>
                                    <w:t>на</w:t>
                                  </w:r>
                                  <w:r w:rsidRPr="00507F6E">
                                    <w:rPr>
                                      <w:rFonts w:ascii="Arial"/>
                                      <w:b/>
                                      <w:sz w:val="20"/>
                                      <w:szCs w:val="20"/>
                                      <w:lang w:val="uk-UA"/>
                                    </w:rPr>
                                    <w:t xml:space="preserve"> </w:t>
                                  </w:r>
                                  <w:r w:rsidRPr="00507F6E">
                                    <w:rPr>
                                      <w:rFonts w:ascii="Arial"/>
                                      <w:b/>
                                      <w:sz w:val="20"/>
                                      <w:szCs w:val="20"/>
                                      <w:lang w:val="uk-UA"/>
                                    </w:rPr>
                                    <w:t>зразках</w:t>
                                  </w:r>
                                  <w:r w:rsidRPr="00507F6E">
                                    <w:rPr>
                                      <w:rFonts w:ascii="Arial"/>
                                      <w:b/>
                                      <w:sz w:val="20"/>
                                      <w:szCs w:val="20"/>
                                      <w:lang w:val="uk-UA"/>
                                    </w:rPr>
                                    <w:t xml:space="preserve"> </w:t>
                                  </w:r>
                                  <w:r w:rsidRPr="00507F6E">
                                    <w:rPr>
                                      <w:rFonts w:ascii="Arial"/>
                                      <w:b/>
                                      <w:sz w:val="20"/>
                                      <w:szCs w:val="20"/>
                                      <w:lang w:val="uk-UA"/>
                                    </w:rPr>
                                    <w:t>сечі</w:t>
                                  </w:r>
                                  <w:r w:rsidRPr="00507F6E">
                                    <w:rPr>
                                      <w:rFonts w:ascii="Arial"/>
                                      <w:b/>
                                      <w:sz w:val="20"/>
                                      <w:szCs w:val="20"/>
                                      <w:lang w:val="uk-UA"/>
                                    </w:rPr>
                                    <w:t xml:space="preserve">, </w:t>
                                  </w:r>
                                  <w:r w:rsidRPr="00507F6E">
                                    <w:rPr>
                                      <w:rFonts w:ascii="Arial"/>
                                      <w:b/>
                                      <w:sz w:val="20"/>
                                      <w:szCs w:val="20"/>
                                      <w:lang w:val="uk-UA"/>
                                    </w:rPr>
                                    <w:t>а</w:t>
                                  </w:r>
                                  <w:r w:rsidRPr="00507F6E">
                                    <w:rPr>
                                      <w:rFonts w:ascii="Arial"/>
                                      <w:b/>
                                      <w:sz w:val="20"/>
                                      <w:szCs w:val="20"/>
                                      <w:lang w:val="uk-UA"/>
                                    </w:rPr>
                                    <w:t xml:space="preserve"> </w:t>
                                  </w:r>
                                  <w:r w:rsidRPr="00507F6E">
                                    <w:rPr>
                                      <w:rFonts w:ascii="Arial"/>
                                      <w:b/>
                                      <w:sz w:val="20"/>
                                      <w:szCs w:val="20"/>
                                      <w:lang w:val="uk-UA"/>
                                    </w:rPr>
                                    <w:t>не</w:t>
                                  </w:r>
                                  <w:r w:rsidRPr="00507F6E">
                                    <w:rPr>
                                      <w:rFonts w:ascii="Arial"/>
                                      <w:b/>
                                      <w:sz w:val="20"/>
                                      <w:szCs w:val="20"/>
                                      <w:lang w:val="uk-UA"/>
                                    </w:rPr>
                                    <w:t xml:space="preserve"> </w:t>
                                  </w:r>
                                  <w:r w:rsidRPr="00507F6E">
                                    <w:rPr>
                                      <w:rFonts w:ascii="Arial"/>
                                      <w:b/>
                                      <w:sz w:val="20"/>
                                      <w:szCs w:val="20"/>
                                      <w:lang w:val="uk-UA"/>
                                    </w:rPr>
                                    <w:t>тільки</w:t>
                                  </w:r>
                                  <w:r w:rsidRPr="00507F6E">
                                    <w:rPr>
                                      <w:rFonts w:ascii="Arial"/>
                                      <w:b/>
                                      <w:sz w:val="20"/>
                                      <w:szCs w:val="20"/>
                                      <w:lang w:val="uk-UA"/>
                                    </w:rPr>
                                    <w:t xml:space="preserve"> </w:t>
                                  </w:r>
                                  <w:r w:rsidRPr="00507F6E">
                                    <w:rPr>
                                      <w:rFonts w:ascii="Arial"/>
                                      <w:b/>
                                      <w:sz w:val="20"/>
                                      <w:szCs w:val="20"/>
                                      <w:lang w:val="uk-UA"/>
                                    </w:rPr>
                                    <w:t>автоматизованих</w:t>
                                  </w:r>
                                  <w:r w:rsidRPr="00507F6E">
                                    <w:rPr>
                                      <w:rFonts w:ascii="Arial"/>
                                      <w:b/>
                                      <w:sz w:val="20"/>
                                      <w:szCs w:val="20"/>
                                      <w:lang w:val="uk-UA"/>
                                    </w:rPr>
                                    <w:t xml:space="preserve"> </w:t>
                                  </w:r>
                                  <w:r w:rsidRPr="00507F6E">
                                    <w:rPr>
                                      <w:rFonts w:ascii="Arial"/>
                                      <w:b/>
                                      <w:sz w:val="20"/>
                                      <w:szCs w:val="20"/>
                                      <w:lang w:val="uk-UA"/>
                                    </w:rPr>
                                    <w:t>ТАНК</w:t>
                                  </w:r>
                                  <w:r w:rsidRPr="00507F6E">
                                    <w:rPr>
                                      <w:rFonts w:ascii="Arial"/>
                                      <w:b/>
                                      <w:sz w:val="20"/>
                                      <w:szCs w:val="20"/>
                                      <w:lang w:val="uk-UA"/>
                                    </w:rPr>
                                    <w:t xml:space="preserve"> </w:t>
                                  </w:r>
                                  <w:r w:rsidRPr="00507F6E">
                                    <w:rPr>
                                      <w:rFonts w:ascii="Arial"/>
                                      <w:b/>
                                      <w:sz w:val="20"/>
                                      <w:szCs w:val="20"/>
                                      <w:lang w:val="uk-UA"/>
                                    </w:rPr>
                                    <w:t>низької</w:t>
                                  </w:r>
                                  <w:r w:rsidRPr="00507F6E">
                                    <w:rPr>
                                      <w:rFonts w:ascii="Arial"/>
                                      <w:b/>
                                      <w:sz w:val="20"/>
                                      <w:szCs w:val="20"/>
                                      <w:lang w:val="uk-UA"/>
                                    </w:rPr>
                                    <w:t xml:space="preserve"> </w:t>
                                  </w:r>
                                  <w:r w:rsidRPr="00507F6E">
                                    <w:rPr>
                                      <w:rFonts w:ascii="Arial"/>
                                      <w:b/>
                                      <w:sz w:val="20"/>
                                      <w:szCs w:val="20"/>
                                      <w:lang w:val="uk-UA"/>
                                    </w:rPr>
                                    <w:t>складності</w:t>
                                  </w:r>
                                  <w:r w:rsidRPr="00507F6E">
                                    <w:rPr>
                                      <w:rFonts w:ascii="Arial"/>
                                      <w:b/>
                                      <w:sz w:val="20"/>
                                      <w:szCs w:val="20"/>
                                      <w:lang w:val="uk-UA"/>
                                    </w:rPr>
                                    <w:t xml:space="preserve"> </w:t>
                                  </w:r>
                                  <w:r w:rsidRPr="00507F6E">
                                    <w:rPr>
                                      <w:rFonts w:ascii="Arial"/>
                                      <w:b/>
                                      <w:sz w:val="20"/>
                                      <w:szCs w:val="20"/>
                                      <w:lang w:val="uk-UA"/>
                                    </w:rPr>
                                    <w:t>на</w:t>
                                  </w:r>
                                  <w:r w:rsidRPr="00507F6E">
                                    <w:rPr>
                                      <w:rFonts w:ascii="Arial"/>
                                      <w:b/>
                                      <w:sz w:val="20"/>
                                      <w:szCs w:val="20"/>
                                      <w:lang w:val="uk-UA"/>
                                    </w:rPr>
                                    <w:t xml:space="preserve"> </w:t>
                                  </w:r>
                                  <w:r w:rsidRPr="00507F6E">
                                    <w:rPr>
                                      <w:rFonts w:ascii="Arial"/>
                                      <w:b/>
                                      <w:sz w:val="20"/>
                                      <w:szCs w:val="20"/>
                                      <w:lang w:val="uk-UA"/>
                                    </w:rPr>
                                    <w:t>зразках</w:t>
                                  </w:r>
                                  <w:r w:rsidRPr="00507F6E">
                                    <w:rPr>
                                      <w:rFonts w:ascii="Arial"/>
                                      <w:b/>
                                      <w:sz w:val="20"/>
                                      <w:szCs w:val="20"/>
                                      <w:lang w:val="uk-UA"/>
                                    </w:rPr>
                                    <w:t xml:space="preserve"> </w:t>
                                  </w:r>
                                  <w:r w:rsidRPr="00507F6E">
                                    <w:rPr>
                                      <w:rFonts w:ascii="Arial"/>
                                      <w:b/>
                                      <w:sz w:val="20"/>
                                      <w:szCs w:val="20"/>
                                      <w:lang w:val="uk-UA"/>
                                    </w:rPr>
                                    <w:t>із</w:t>
                                  </w:r>
                                  <w:r w:rsidRPr="00507F6E">
                                    <w:rPr>
                                      <w:rFonts w:ascii="Arial"/>
                                      <w:b/>
                                      <w:sz w:val="20"/>
                                      <w:szCs w:val="20"/>
                                      <w:lang w:val="uk-UA"/>
                                    </w:rPr>
                                    <w:t xml:space="preserve"> </w:t>
                                  </w:r>
                                  <w:r w:rsidRPr="00507F6E">
                                    <w:rPr>
                                      <w:rFonts w:ascii="Arial"/>
                                      <w:b/>
                                      <w:sz w:val="20"/>
                                      <w:szCs w:val="20"/>
                                      <w:lang w:val="uk-UA"/>
                                    </w:rPr>
                                    <w:t>дихальних</w:t>
                                  </w:r>
                                  <w:r w:rsidRPr="00507F6E">
                                    <w:rPr>
                                      <w:rFonts w:ascii="Arial"/>
                                      <w:b/>
                                      <w:sz w:val="20"/>
                                      <w:szCs w:val="20"/>
                                      <w:lang w:val="uk-UA"/>
                                    </w:rPr>
                                    <w:t xml:space="preserve"> </w:t>
                                  </w:r>
                                  <w:r w:rsidRPr="00507F6E">
                                    <w:rPr>
                                      <w:rFonts w:ascii="Arial"/>
                                      <w:b/>
                                      <w:sz w:val="20"/>
                                      <w:szCs w:val="20"/>
                                      <w:lang w:val="uk-UA"/>
                                    </w:rPr>
                                    <w:t>шляхів</w:t>
                                  </w:r>
                                  <w:r w:rsidRPr="00507F6E">
                                    <w:rPr>
                                      <w:rFonts w:ascii="Arial"/>
                                      <w:b/>
                                      <w:sz w:val="20"/>
                                      <w:szCs w:val="20"/>
                                      <w:lang w:val="uk-UA"/>
                                    </w:rPr>
                                    <w:t>.</w:t>
                                  </w:r>
                                </w:p>
                                <w:p w14:paraId="213909A8" w14:textId="039505CE" w:rsidR="007372B2" w:rsidRPr="00F32A98" w:rsidRDefault="007372B2" w:rsidP="00657E6B">
                                  <w:pPr>
                                    <w:pStyle w:val="TableParagraph"/>
                                    <w:spacing w:before="51" w:line="276" w:lineRule="auto"/>
                                    <w:ind w:left="680"/>
                                    <w:jc w:val="both"/>
                                    <w:rPr>
                                      <w:rFonts w:ascii="Arial"/>
                                      <w:i/>
                                      <w:lang w:val="ru-RU"/>
                                    </w:rPr>
                                  </w:pPr>
                                  <w:r w:rsidRPr="00507F6E">
                                    <w:rPr>
                                      <w:rFonts w:ascii="Arial"/>
                                      <w:i/>
                                      <w:lang w:val="uk-UA"/>
                                    </w:rPr>
                                    <w:t>(</w:t>
                                  </w:r>
                                  <w:r w:rsidRPr="00507F6E">
                                    <w:rPr>
                                      <w:rFonts w:ascii="Arial"/>
                                      <w:i/>
                                      <w:lang w:val="uk-UA"/>
                                    </w:rPr>
                                    <w:t>Настійна</w:t>
                                  </w:r>
                                  <w:r w:rsidRPr="00507F6E">
                                    <w:rPr>
                                      <w:rFonts w:ascii="Arial"/>
                                      <w:i/>
                                      <w:lang w:val="uk-UA"/>
                                    </w:rPr>
                                    <w:t xml:space="preserve"> </w:t>
                                  </w:r>
                                  <w:r w:rsidRPr="00507F6E">
                                    <w:rPr>
                                      <w:rFonts w:ascii="Arial"/>
                                      <w:i/>
                                      <w:lang w:val="uk-UA"/>
                                    </w:rPr>
                                    <w:t>рекомендація</w:t>
                                  </w:r>
                                  <w:r w:rsidRPr="00507F6E">
                                    <w:rPr>
                                      <w:rFonts w:ascii="Arial"/>
                                      <w:i/>
                                      <w:lang w:val="uk-UA"/>
                                    </w:rPr>
                                    <w:t xml:space="preserve">, </w:t>
                                  </w:r>
                                  <w:r w:rsidRPr="00507F6E">
                                    <w:rPr>
                                      <w:rFonts w:ascii="Arial"/>
                                      <w:i/>
                                      <w:lang w:val="uk-UA"/>
                                    </w:rPr>
                                    <w:t>низький</w:t>
                                  </w:r>
                                  <w:r w:rsidRPr="00507F6E">
                                    <w:rPr>
                                      <w:rFonts w:ascii="Arial"/>
                                      <w:i/>
                                      <w:lang w:val="uk-UA"/>
                                    </w:rPr>
                                    <w:t xml:space="preserve"> </w:t>
                                  </w:r>
                                  <w:r w:rsidRPr="00507F6E">
                                    <w:rPr>
                                      <w:rFonts w:ascii="Arial"/>
                                      <w:i/>
                                      <w:lang w:val="uk-UA"/>
                                    </w:rPr>
                                    <w:t>ступінь</w:t>
                                  </w:r>
                                  <w:r w:rsidRPr="00507F6E">
                                    <w:rPr>
                                      <w:rFonts w:ascii="Arial"/>
                                      <w:i/>
                                      <w:lang w:val="uk-UA"/>
                                    </w:rPr>
                                    <w:t xml:space="preserve"> </w:t>
                                  </w:r>
                                  <w:r w:rsidRPr="00507F6E">
                                    <w:rPr>
                                      <w:rFonts w:ascii="Arial"/>
                                      <w:i/>
                                      <w:lang w:val="uk-UA"/>
                                    </w:rPr>
                                    <w:t>достовірності</w:t>
                                  </w:r>
                                  <w:r w:rsidRPr="00507F6E">
                                    <w:rPr>
                                      <w:rFonts w:ascii="Arial"/>
                                      <w:i/>
                                      <w:lang w:val="uk-UA"/>
                                    </w:rPr>
                                    <w:t xml:space="preserve"> </w:t>
                                  </w:r>
                                  <w:r w:rsidRPr="00507F6E">
                                    <w:rPr>
                                      <w:rFonts w:ascii="Arial"/>
                                      <w:i/>
                                      <w:lang w:val="uk-UA"/>
                                    </w:rPr>
                                    <w:t>доказів</w:t>
                                  </w:r>
                                  <w:r w:rsidRPr="00507F6E">
                                    <w:rPr>
                                      <w:rFonts w:ascii="Arial"/>
                                      <w:i/>
                                      <w:spacing w:val="-2"/>
                                      <w:lang w:val="uk-UA"/>
                                    </w:rPr>
                                    <w:t>)</w:t>
                                  </w:r>
                                </w:p>
                              </w:tc>
                            </w:tr>
                          </w:tbl>
                          <w:p w14:paraId="044FA733" w14:textId="77777777" w:rsidR="007372B2" w:rsidRPr="00F32A98" w:rsidRDefault="007372B2">
                            <w:pPr>
                              <w:pStyle w:val="a3"/>
                              <w:rPr>
                                <w:lang w:val="ru-RU"/>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FA08FE" id="Textbox 1984" o:spid="_x0000_s1118" type="#_x0000_t202" style="position:absolute;margin-left:67.5pt;margin-top:1.5pt;width:502.5pt;height:140.1pt;z-index:1604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" filled="f" stroked="f">
                <v:textbox inset="0,0,0,0">
                  <w:txbxContent>
                    <w:tbl>
                      <w:tblPr>
                        <w:tblStyle w:val="TableNormal"/>
                        <w:tblW w:w="9564" w:type="dxa"/>
                        <w:tblInd w:w="67"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564"/>
                      </w:tblGrid>
                      <w:tr w:rsidR="007372B2" w:rsidRPr="007B3607" w14:paraId="24344534" w14:textId="77777777" w:rsidTr="0041632D">
                        <w:trPr>
                          <w:trHeight w:val="2334"/>
                        </w:trPr>
                        <w:tc>
                          <w:tcPr>
                            <w:tcW w:w="9564" w:type="dxa"/>
                          </w:tcPr>
                          <w:p w14:paraId="168902B1" w14:textId="5FB842B0" w:rsidR="007372B2" w:rsidRPr="00507F6E" w:rsidRDefault="007372B2" w:rsidP="006875E3">
                            <w:pPr>
                              <w:pStyle w:val="TableParagraph"/>
                              <w:spacing w:before="245" w:line="276" w:lineRule="auto"/>
                              <w:ind w:left="681" w:right="558" w:hanging="397"/>
                              <w:jc w:val="both"/>
                              <w:rPr>
                                <w:rFonts w:ascii="Arial"/>
                                <w:b/>
                                <w:lang w:val="uk-UA"/>
                              </w:rPr>
                            </w:pPr>
                            <w:r>
                              <w:rPr>
                                <w:rFonts w:ascii="Arial"/>
                                <w:b/>
                              </w:rPr>
                              <w:t>7.</w:t>
                            </w:r>
                            <w:r>
                              <w:rPr>
                                <w:rFonts w:ascii="Arial"/>
                                <w:b/>
                                <w:spacing w:val="31"/>
                              </w:rPr>
                              <w:t xml:space="preserve"> </w:t>
                            </w:r>
                            <w:r>
                              <w:rPr>
                                <w:rFonts w:ascii="Arial"/>
                                <w:b/>
                                <w:spacing w:val="31"/>
                                <w:lang w:val="uk-UA"/>
                              </w:rPr>
                              <w:t xml:space="preserve"> </w:t>
                            </w:r>
                            <w:r w:rsidRPr="00507F6E">
                              <w:rPr>
                                <w:rFonts w:ascii="Arial"/>
                                <w:b/>
                                <w:sz w:val="20"/>
                                <w:szCs w:val="20"/>
                                <w:lang w:val="uk-UA"/>
                              </w:rPr>
                              <w:t>Для</w:t>
                            </w:r>
                            <w:r w:rsidRPr="00507F6E">
                              <w:rPr>
                                <w:rFonts w:ascii="Arial"/>
                                <w:b/>
                                <w:sz w:val="20"/>
                                <w:szCs w:val="20"/>
                                <w:lang w:val="uk-UA"/>
                              </w:rPr>
                              <w:t xml:space="preserve"> </w:t>
                            </w:r>
                            <w:r w:rsidRPr="00507F6E">
                              <w:rPr>
                                <w:rFonts w:ascii="Arial"/>
                                <w:b/>
                                <w:sz w:val="20"/>
                                <w:szCs w:val="20"/>
                                <w:lang w:val="uk-UA"/>
                              </w:rPr>
                              <w:t>дорослих</w:t>
                            </w:r>
                            <w:r w:rsidRPr="00507F6E">
                              <w:rPr>
                                <w:rFonts w:ascii="Arial"/>
                                <w:b/>
                                <w:sz w:val="20"/>
                                <w:szCs w:val="20"/>
                                <w:lang w:val="uk-UA"/>
                              </w:rPr>
                              <w:t xml:space="preserve"> </w:t>
                            </w:r>
                            <w:r w:rsidRPr="00507F6E">
                              <w:rPr>
                                <w:rFonts w:ascii="Arial"/>
                                <w:b/>
                                <w:sz w:val="20"/>
                                <w:szCs w:val="20"/>
                                <w:lang w:val="uk-UA"/>
                              </w:rPr>
                              <w:t>та</w:t>
                            </w:r>
                            <w:r w:rsidRPr="00507F6E">
                              <w:rPr>
                                <w:rFonts w:ascii="Arial"/>
                                <w:b/>
                                <w:sz w:val="20"/>
                                <w:szCs w:val="20"/>
                                <w:lang w:val="uk-UA"/>
                              </w:rPr>
                              <w:t xml:space="preserve"> </w:t>
                            </w:r>
                            <w:r w:rsidRPr="00507F6E">
                              <w:rPr>
                                <w:rFonts w:ascii="Arial"/>
                                <w:b/>
                                <w:sz w:val="20"/>
                                <w:szCs w:val="20"/>
                                <w:lang w:val="uk-UA"/>
                              </w:rPr>
                              <w:t>підлітків</w:t>
                            </w:r>
                            <w:r w:rsidRPr="00507F6E">
                              <w:rPr>
                                <w:rFonts w:ascii="Arial"/>
                                <w:b/>
                                <w:sz w:val="20"/>
                                <w:szCs w:val="20"/>
                                <w:lang w:val="uk-UA"/>
                              </w:rPr>
                              <w:t xml:space="preserve"> </w:t>
                            </w:r>
                            <w:r w:rsidRPr="00507F6E">
                              <w:rPr>
                                <w:rFonts w:ascii="Arial"/>
                                <w:b/>
                                <w:sz w:val="20"/>
                                <w:szCs w:val="20"/>
                                <w:lang w:val="uk-UA"/>
                              </w:rPr>
                              <w:t>з</w:t>
                            </w:r>
                            <w:r w:rsidRPr="00507F6E">
                              <w:rPr>
                                <w:rFonts w:ascii="Arial"/>
                                <w:b/>
                                <w:sz w:val="20"/>
                                <w:szCs w:val="20"/>
                                <w:lang w:val="uk-UA"/>
                              </w:rPr>
                              <w:t xml:space="preserve"> </w:t>
                            </w:r>
                            <w:r w:rsidRPr="00507F6E">
                              <w:rPr>
                                <w:rFonts w:ascii="Arial"/>
                                <w:b/>
                                <w:sz w:val="20"/>
                                <w:szCs w:val="20"/>
                                <w:lang w:val="uk-UA"/>
                              </w:rPr>
                              <w:t>ВІЛ</w:t>
                            </w:r>
                            <w:r w:rsidRPr="00507F6E">
                              <w:rPr>
                                <w:rFonts w:ascii="Arial"/>
                                <w:b/>
                                <w:sz w:val="20"/>
                                <w:szCs w:val="20"/>
                                <w:lang w:val="uk-UA"/>
                              </w:rPr>
                              <w:t xml:space="preserve">, </w:t>
                            </w:r>
                            <w:r w:rsidRPr="00507F6E">
                              <w:rPr>
                                <w:rFonts w:ascii="Arial"/>
                                <w:b/>
                                <w:sz w:val="20"/>
                                <w:szCs w:val="20"/>
                                <w:lang w:val="uk-UA"/>
                              </w:rPr>
                              <w:t>які</w:t>
                            </w:r>
                            <w:r w:rsidRPr="00507F6E">
                              <w:rPr>
                                <w:rFonts w:ascii="Arial"/>
                                <w:b/>
                                <w:sz w:val="20"/>
                                <w:szCs w:val="20"/>
                                <w:lang w:val="uk-UA"/>
                              </w:rPr>
                              <w:t xml:space="preserve"> </w:t>
                            </w:r>
                            <w:r w:rsidRPr="00507F6E">
                              <w:rPr>
                                <w:rFonts w:ascii="Arial"/>
                                <w:b/>
                                <w:sz w:val="20"/>
                                <w:szCs w:val="20"/>
                                <w:lang w:val="uk-UA"/>
                              </w:rPr>
                              <w:t>мають</w:t>
                            </w:r>
                            <w:r w:rsidRPr="00507F6E">
                              <w:rPr>
                                <w:rFonts w:ascii="Arial"/>
                                <w:b/>
                                <w:sz w:val="20"/>
                                <w:szCs w:val="20"/>
                                <w:lang w:val="uk-UA"/>
                              </w:rPr>
                              <w:t xml:space="preserve"> </w:t>
                            </w:r>
                            <w:r w:rsidRPr="00507F6E">
                              <w:rPr>
                                <w:rFonts w:ascii="Arial"/>
                                <w:b/>
                                <w:sz w:val="20"/>
                                <w:szCs w:val="20"/>
                                <w:lang w:val="uk-UA"/>
                              </w:rPr>
                              <w:t>ознаки</w:t>
                            </w:r>
                            <w:r w:rsidRPr="00507F6E">
                              <w:rPr>
                                <w:rFonts w:ascii="Arial"/>
                                <w:b/>
                                <w:sz w:val="20"/>
                                <w:szCs w:val="20"/>
                                <w:lang w:val="uk-UA"/>
                              </w:rPr>
                              <w:t xml:space="preserve"> </w:t>
                            </w:r>
                            <w:r w:rsidRPr="00507F6E">
                              <w:rPr>
                                <w:rFonts w:ascii="Arial"/>
                                <w:b/>
                                <w:sz w:val="20"/>
                                <w:szCs w:val="20"/>
                                <w:lang w:val="uk-UA"/>
                              </w:rPr>
                              <w:t>або</w:t>
                            </w:r>
                            <w:r w:rsidRPr="00507F6E">
                              <w:rPr>
                                <w:rFonts w:ascii="Arial"/>
                                <w:b/>
                                <w:sz w:val="20"/>
                                <w:szCs w:val="20"/>
                                <w:lang w:val="uk-UA"/>
                              </w:rPr>
                              <w:t xml:space="preserve"> </w:t>
                            </w:r>
                            <w:r w:rsidRPr="00507F6E">
                              <w:rPr>
                                <w:rFonts w:ascii="Arial"/>
                                <w:b/>
                                <w:sz w:val="20"/>
                                <w:szCs w:val="20"/>
                                <w:lang w:val="uk-UA"/>
                              </w:rPr>
                              <w:t>симптоми</w:t>
                            </w:r>
                            <w:r w:rsidRPr="00507F6E">
                              <w:rPr>
                                <w:rFonts w:ascii="Arial"/>
                                <w:b/>
                                <w:sz w:val="20"/>
                                <w:szCs w:val="20"/>
                                <w:lang w:val="uk-UA"/>
                              </w:rPr>
                              <w:t xml:space="preserve"> </w:t>
                            </w:r>
                            <w:r w:rsidRPr="00507F6E">
                              <w:rPr>
                                <w:rFonts w:ascii="Arial"/>
                                <w:b/>
                                <w:sz w:val="20"/>
                                <w:szCs w:val="20"/>
                                <w:lang w:val="uk-UA"/>
                              </w:rPr>
                              <w:t>ТБ</w:t>
                            </w:r>
                            <w:r w:rsidRPr="00507F6E">
                              <w:rPr>
                                <w:rFonts w:ascii="Arial"/>
                                <w:b/>
                                <w:sz w:val="20"/>
                                <w:szCs w:val="20"/>
                                <w:lang w:val="uk-UA"/>
                              </w:rPr>
                              <w:t xml:space="preserve">, </w:t>
                            </w:r>
                            <w:r w:rsidRPr="00507F6E">
                              <w:rPr>
                                <w:rFonts w:ascii="Arial"/>
                                <w:b/>
                                <w:sz w:val="20"/>
                                <w:szCs w:val="20"/>
                                <w:lang w:val="uk-UA"/>
                              </w:rPr>
                              <w:t>мають</w:t>
                            </w:r>
                            <w:r w:rsidRPr="00507F6E">
                              <w:rPr>
                                <w:rFonts w:ascii="Arial"/>
                                <w:b/>
                                <w:sz w:val="20"/>
                                <w:szCs w:val="20"/>
                                <w:lang w:val="uk-UA"/>
                              </w:rPr>
                              <w:t xml:space="preserve"> </w:t>
                            </w:r>
                            <w:r w:rsidRPr="00507F6E">
                              <w:rPr>
                                <w:rFonts w:ascii="Arial"/>
                                <w:b/>
                                <w:sz w:val="20"/>
                                <w:szCs w:val="20"/>
                                <w:lang w:val="uk-UA"/>
                              </w:rPr>
                              <w:t>позитивний</w:t>
                            </w:r>
                            <w:r w:rsidRPr="00507F6E">
                              <w:rPr>
                                <w:rFonts w:ascii="Arial"/>
                                <w:b/>
                                <w:sz w:val="20"/>
                                <w:szCs w:val="20"/>
                                <w:lang w:val="uk-UA"/>
                              </w:rPr>
                              <w:t xml:space="preserve"> </w:t>
                            </w:r>
                            <w:r w:rsidRPr="00507F6E">
                              <w:rPr>
                                <w:rFonts w:ascii="Arial"/>
                                <w:b/>
                                <w:sz w:val="20"/>
                                <w:szCs w:val="20"/>
                                <w:lang w:val="uk-UA"/>
                              </w:rPr>
                              <w:t>результат</w:t>
                            </w:r>
                            <w:r w:rsidRPr="00507F6E">
                              <w:rPr>
                                <w:rFonts w:ascii="Arial"/>
                                <w:b/>
                                <w:sz w:val="20"/>
                                <w:szCs w:val="20"/>
                                <w:lang w:val="uk-UA"/>
                              </w:rPr>
                              <w:t xml:space="preserve"> </w:t>
                            </w:r>
                            <w:r w:rsidRPr="00507F6E">
                              <w:rPr>
                                <w:rFonts w:ascii="Arial"/>
                                <w:b/>
                                <w:sz w:val="20"/>
                                <w:szCs w:val="20"/>
                                <w:lang w:val="uk-UA"/>
                              </w:rPr>
                              <w:t>скринінгу</w:t>
                            </w:r>
                            <w:r w:rsidRPr="00507F6E">
                              <w:rPr>
                                <w:rFonts w:ascii="Arial"/>
                                <w:b/>
                                <w:sz w:val="20"/>
                                <w:szCs w:val="20"/>
                                <w:lang w:val="uk-UA"/>
                              </w:rPr>
                              <w:t xml:space="preserve"> </w:t>
                            </w:r>
                            <w:r w:rsidRPr="00507F6E">
                              <w:rPr>
                                <w:rFonts w:ascii="Arial"/>
                                <w:b/>
                                <w:sz w:val="20"/>
                                <w:szCs w:val="20"/>
                                <w:lang w:val="uk-UA"/>
                              </w:rPr>
                              <w:t>на</w:t>
                            </w:r>
                            <w:r w:rsidRPr="00507F6E">
                              <w:rPr>
                                <w:rFonts w:ascii="Arial"/>
                                <w:b/>
                                <w:sz w:val="20"/>
                                <w:szCs w:val="20"/>
                                <w:lang w:val="uk-UA"/>
                              </w:rPr>
                              <w:t xml:space="preserve"> </w:t>
                            </w:r>
                            <w:r w:rsidRPr="00507F6E">
                              <w:rPr>
                                <w:rFonts w:ascii="Arial"/>
                                <w:b/>
                                <w:sz w:val="20"/>
                                <w:szCs w:val="20"/>
                                <w:lang w:val="uk-UA"/>
                              </w:rPr>
                              <w:t>ТБ</w:t>
                            </w:r>
                            <w:r w:rsidRPr="00507F6E">
                              <w:rPr>
                                <w:rFonts w:ascii="Arial"/>
                                <w:b/>
                                <w:sz w:val="20"/>
                                <w:szCs w:val="20"/>
                                <w:lang w:val="uk-UA"/>
                              </w:rPr>
                              <w:t xml:space="preserve">, </w:t>
                            </w:r>
                            <w:r w:rsidRPr="00507F6E">
                              <w:rPr>
                                <w:rFonts w:ascii="Arial"/>
                                <w:b/>
                                <w:sz w:val="20"/>
                                <w:szCs w:val="20"/>
                                <w:lang w:val="uk-UA"/>
                              </w:rPr>
                              <w:t>є</w:t>
                            </w:r>
                            <w:r w:rsidRPr="00507F6E">
                              <w:rPr>
                                <w:rFonts w:ascii="Arial"/>
                                <w:b/>
                                <w:sz w:val="20"/>
                                <w:szCs w:val="20"/>
                                <w:lang w:val="uk-UA"/>
                              </w:rPr>
                              <w:t xml:space="preserve"> </w:t>
                            </w:r>
                            <w:r w:rsidRPr="00507F6E">
                              <w:rPr>
                                <w:rFonts w:ascii="Arial"/>
                                <w:b/>
                                <w:sz w:val="20"/>
                                <w:szCs w:val="20"/>
                                <w:lang w:val="uk-UA"/>
                              </w:rPr>
                              <w:t>тяжкохворими</w:t>
                            </w:r>
                            <w:r w:rsidRPr="00507F6E">
                              <w:rPr>
                                <w:rFonts w:ascii="Arial"/>
                                <w:b/>
                                <w:sz w:val="20"/>
                                <w:szCs w:val="20"/>
                                <w:lang w:val="uk-UA"/>
                              </w:rPr>
                              <w:t xml:space="preserve"> </w:t>
                            </w:r>
                            <w:r w:rsidRPr="00507F6E">
                              <w:rPr>
                                <w:rFonts w:ascii="Arial"/>
                                <w:b/>
                                <w:sz w:val="20"/>
                                <w:szCs w:val="20"/>
                                <w:lang w:val="uk-UA"/>
                              </w:rPr>
                              <w:t>або</w:t>
                            </w:r>
                            <w:r w:rsidRPr="00507F6E">
                              <w:rPr>
                                <w:rFonts w:ascii="Arial"/>
                                <w:b/>
                                <w:sz w:val="20"/>
                                <w:szCs w:val="20"/>
                                <w:lang w:val="uk-UA"/>
                              </w:rPr>
                              <w:t xml:space="preserve"> </w:t>
                            </w:r>
                            <w:r w:rsidRPr="00507F6E">
                              <w:rPr>
                                <w:rFonts w:ascii="Arial"/>
                                <w:b/>
                                <w:sz w:val="20"/>
                                <w:szCs w:val="20"/>
                                <w:lang w:val="uk-UA"/>
                              </w:rPr>
                              <w:t>мають</w:t>
                            </w:r>
                            <w:r w:rsidRPr="00507F6E">
                              <w:rPr>
                                <w:rFonts w:ascii="Arial"/>
                                <w:b/>
                                <w:sz w:val="20"/>
                                <w:szCs w:val="20"/>
                                <w:lang w:val="uk-UA"/>
                              </w:rPr>
                              <w:t xml:space="preserve"> </w:t>
                            </w:r>
                            <w:r w:rsidRPr="00507F6E">
                              <w:rPr>
                                <w:rFonts w:ascii="Arial"/>
                                <w:b/>
                                <w:sz w:val="20"/>
                                <w:szCs w:val="20"/>
                                <w:lang w:val="uk-UA"/>
                              </w:rPr>
                              <w:t>прогресуючу</w:t>
                            </w:r>
                            <w:r w:rsidRPr="00507F6E">
                              <w:rPr>
                                <w:rFonts w:ascii="Arial"/>
                                <w:b/>
                                <w:sz w:val="20"/>
                                <w:szCs w:val="20"/>
                                <w:lang w:val="uk-UA"/>
                              </w:rPr>
                              <w:t xml:space="preserve"> </w:t>
                            </w:r>
                            <w:r w:rsidRPr="00507F6E">
                              <w:rPr>
                                <w:rFonts w:ascii="Arial"/>
                                <w:b/>
                                <w:sz w:val="20"/>
                                <w:szCs w:val="20"/>
                                <w:lang w:val="uk-UA"/>
                              </w:rPr>
                              <w:t>форму</w:t>
                            </w:r>
                            <w:r w:rsidRPr="00507F6E">
                              <w:rPr>
                                <w:rFonts w:ascii="Arial"/>
                                <w:b/>
                                <w:sz w:val="20"/>
                                <w:szCs w:val="20"/>
                                <w:lang w:val="uk-UA"/>
                              </w:rPr>
                              <w:t xml:space="preserve"> </w:t>
                            </w:r>
                            <w:r w:rsidRPr="00507F6E">
                              <w:rPr>
                                <w:rFonts w:ascii="Arial"/>
                                <w:b/>
                                <w:sz w:val="20"/>
                                <w:szCs w:val="20"/>
                                <w:lang w:val="uk-UA"/>
                              </w:rPr>
                              <w:t>ВІЛ</w:t>
                            </w:r>
                            <w:r w:rsidRPr="00507F6E">
                              <w:rPr>
                                <w:rFonts w:ascii="Arial"/>
                                <w:b/>
                                <w:sz w:val="20"/>
                                <w:szCs w:val="20"/>
                                <w:lang w:val="uk-UA"/>
                              </w:rPr>
                              <w:t>-</w:t>
                            </w:r>
                            <w:r w:rsidRPr="00507F6E">
                              <w:rPr>
                                <w:rFonts w:ascii="Arial"/>
                                <w:b/>
                                <w:sz w:val="20"/>
                                <w:szCs w:val="20"/>
                                <w:lang w:val="uk-UA"/>
                              </w:rPr>
                              <w:t>інфекції</w:t>
                            </w:r>
                            <w:r w:rsidRPr="00507F6E">
                              <w:rPr>
                                <w:rFonts w:ascii="Arial"/>
                                <w:b/>
                                <w:sz w:val="20"/>
                                <w:szCs w:val="20"/>
                                <w:lang w:val="uk-UA"/>
                              </w:rPr>
                              <w:t xml:space="preserve">, </w:t>
                            </w:r>
                            <w:r w:rsidRPr="00507F6E">
                              <w:rPr>
                                <w:rFonts w:ascii="Arial"/>
                                <w:b/>
                                <w:sz w:val="20"/>
                                <w:szCs w:val="20"/>
                                <w:lang w:val="uk-UA"/>
                              </w:rPr>
                              <w:t>в</w:t>
                            </w:r>
                            <w:r w:rsidRPr="00507F6E">
                              <w:rPr>
                                <w:rFonts w:ascii="Arial"/>
                                <w:b/>
                                <w:sz w:val="20"/>
                                <w:szCs w:val="20"/>
                                <w:lang w:val="uk-UA"/>
                              </w:rPr>
                              <w:t xml:space="preserve"> </w:t>
                            </w:r>
                            <w:r w:rsidRPr="00507F6E">
                              <w:rPr>
                                <w:rFonts w:ascii="Arial"/>
                                <w:b/>
                                <w:sz w:val="20"/>
                                <w:szCs w:val="20"/>
                                <w:lang w:val="uk-UA"/>
                              </w:rPr>
                              <w:t>якості</w:t>
                            </w:r>
                            <w:r w:rsidRPr="00507F6E">
                              <w:rPr>
                                <w:rFonts w:ascii="Arial"/>
                                <w:b/>
                                <w:sz w:val="20"/>
                                <w:szCs w:val="20"/>
                                <w:lang w:val="uk-UA"/>
                              </w:rPr>
                              <w:t xml:space="preserve"> </w:t>
                            </w:r>
                            <w:r w:rsidRPr="00507F6E">
                              <w:rPr>
                                <w:rFonts w:ascii="Arial"/>
                                <w:b/>
                                <w:sz w:val="20"/>
                                <w:szCs w:val="20"/>
                                <w:lang w:val="uk-UA"/>
                              </w:rPr>
                              <w:t>початкової</w:t>
                            </w:r>
                            <w:r w:rsidRPr="00507F6E">
                              <w:rPr>
                                <w:rFonts w:ascii="Arial"/>
                                <w:b/>
                                <w:sz w:val="20"/>
                                <w:szCs w:val="20"/>
                                <w:lang w:val="uk-UA"/>
                              </w:rPr>
                              <w:t xml:space="preserve"> </w:t>
                            </w:r>
                            <w:r w:rsidRPr="00507F6E">
                              <w:rPr>
                                <w:rFonts w:ascii="Arial"/>
                                <w:b/>
                                <w:sz w:val="20"/>
                                <w:szCs w:val="20"/>
                                <w:lang w:val="uk-UA"/>
                              </w:rPr>
                              <w:t>стратегії</w:t>
                            </w:r>
                            <w:r w:rsidRPr="00507F6E">
                              <w:rPr>
                                <w:rFonts w:ascii="Arial"/>
                                <w:b/>
                                <w:sz w:val="20"/>
                                <w:szCs w:val="20"/>
                                <w:lang w:val="uk-UA"/>
                              </w:rPr>
                              <w:t xml:space="preserve"> </w:t>
                            </w:r>
                            <w:r w:rsidRPr="00507F6E">
                              <w:rPr>
                                <w:rFonts w:ascii="Arial"/>
                                <w:b/>
                                <w:sz w:val="20"/>
                                <w:szCs w:val="20"/>
                                <w:lang w:val="uk-UA"/>
                              </w:rPr>
                              <w:t>діагностики</w:t>
                            </w:r>
                            <w:r w:rsidRPr="00507F6E">
                              <w:rPr>
                                <w:rFonts w:ascii="Arial"/>
                                <w:b/>
                                <w:sz w:val="20"/>
                                <w:szCs w:val="20"/>
                                <w:lang w:val="uk-UA"/>
                              </w:rPr>
                              <w:t xml:space="preserve"> </w:t>
                            </w:r>
                            <w:r w:rsidRPr="00507F6E">
                              <w:rPr>
                                <w:rFonts w:ascii="Arial"/>
                                <w:b/>
                                <w:sz w:val="20"/>
                                <w:szCs w:val="20"/>
                                <w:lang w:val="uk-UA"/>
                              </w:rPr>
                              <w:t>ТБ</w:t>
                            </w:r>
                            <w:r w:rsidRPr="00507F6E">
                              <w:rPr>
                                <w:rFonts w:ascii="Arial"/>
                                <w:b/>
                                <w:sz w:val="20"/>
                                <w:szCs w:val="20"/>
                                <w:lang w:val="uk-UA"/>
                              </w:rPr>
                              <w:t xml:space="preserve"> </w:t>
                            </w:r>
                            <w:r w:rsidRPr="00507F6E">
                              <w:rPr>
                                <w:rFonts w:ascii="Arial"/>
                                <w:b/>
                                <w:sz w:val="20"/>
                                <w:szCs w:val="20"/>
                                <w:lang w:val="uk-UA"/>
                              </w:rPr>
                              <w:t>слід</w:t>
                            </w:r>
                            <w:r w:rsidRPr="00507F6E">
                              <w:rPr>
                                <w:rFonts w:ascii="Arial"/>
                                <w:b/>
                                <w:sz w:val="20"/>
                                <w:szCs w:val="20"/>
                                <w:lang w:val="uk-UA"/>
                              </w:rPr>
                              <w:t xml:space="preserve"> </w:t>
                            </w:r>
                            <w:r w:rsidRPr="00507F6E">
                              <w:rPr>
                                <w:rFonts w:ascii="Arial"/>
                                <w:b/>
                                <w:sz w:val="20"/>
                                <w:szCs w:val="20"/>
                                <w:lang w:val="uk-UA"/>
                              </w:rPr>
                              <w:t>використовувати</w:t>
                            </w:r>
                            <w:r w:rsidRPr="00507F6E">
                              <w:rPr>
                                <w:rFonts w:ascii="Arial"/>
                                <w:b/>
                                <w:sz w:val="20"/>
                                <w:szCs w:val="20"/>
                                <w:lang w:val="uk-UA"/>
                              </w:rPr>
                              <w:t xml:space="preserve"> </w:t>
                            </w:r>
                            <w:r w:rsidRPr="00507F6E">
                              <w:rPr>
                                <w:rFonts w:ascii="Arial"/>
                                <w:b/>
                                <w:sz w:val="20"/>
                                <w:szCs w:val="20"/>
                                <w:lang w:val="uk-UA"/>
                              </w:rPr>
                              <w:t>одночасне</w:t>
                            </w:r>
                            <w:r w:rsidRPr="00507F6E">
                              <w:rPr>
                                <w:rFonts w:ascii="Arial"/>
                                <w:b/>
                                <w:sz w:val="20"/>
                                <w:szCs w:val="20"/>
                                <w:lang w:val="uk-UA"/>
                              </w:rPr>
                              <w:t xml:space="preserve"> </w:t>
                            </w:r>
                            <w:r w:rsidRPr="00507F6E">
                              <w:rPr>
                                <w:rFonts w:ascii="Arial"/>
                                <w:b/>
                                <w:sz w:val="20"/>
                                <w:szCs w:val="20"/>
                                <w:lang w:val="uk-UA"/>
                              </w:rPr>
                              <w:t>тестування</w:t>
                            </w:r>
                            <w:r w:rsidRPr="00507F6E">
                              <w:rPr>
                                <w:rFonts w:ascii="Arial"/>
                                <w:b/>
                                <w:sz w:val="20"/>
                                <w:szCs w:val="20"/>
                                <w:lang w:val="uk-UA"/>
                              </w:rPr>
                              <w:t xml:space="preserve"> </w:t>
                            </w:r>
                            <w:r w:rsidRPr="00507F6E">
                              <w:rPr>
                                <w:rFonts w:ascii="Arial"/>
                                <w:b/>
                                <w:sz w:val="20"/>
                                <w:szCs w:val="20"/>
                                <w:lang w:val="uk-UA"/>
                              </w:rPr>
                              <w:t>з</w:t>
                            </w:r>
                            <w:r w:rsidRPr="00507F6E">
                              <w:rPr>
                                <w:rFonts w:ascii="Arial"/>
                                <w:b/>
                                <w:sz w:val="20"/>
                                <w:szCs w:val="20"/>
                                <w:lang w:val="uk-UA"/>
                              </w:rPr>
                              <w:t xml:space="preserve"> </w:t>
                            </w:r>
                            <w:r w:rsidRPr="00507F6E">
                              <w:rPr>
                                <w:rFonts w:ascii="Arial"/>
                                <w:b/>
                                <w:sz w:val="20"/>
                                <w:szCs w:val="20"/>
                                <w:lang w:val="uk-UA"/>
                              </w:rPr>
                              <w:t>використанням</w:t>
                            </w:r>
                            <w:r w:rsidRPr="00507F6E">
                              <w:rPr>
                                <w:rFonts w:ascii="Arial"/>
                                <w:b/>
                                <w:sz w:val="20"/>
                                <w:szCs w:val="20"/>
                                <w:lang w:val="uk-UA"/>
                              </w:rPr>
                              <w:t xml:space="preserve"> </w:t>
                            </w:r>
                            <w:r w:rsidRPr="00507F6E">
                              <w:rPr>
                                <w:rFonts w:ascii="Arial"/>
                                <w:b/>
                                <w:sz w:val="20"/>
                                <w:szCs w:val="20"/>
                                <w:lang w:val="uk-UA"/>
                              </w:rPr>
                              <w:t>автоматизованих</w:t>
                            </w:r>
                            <w:r w:rsidRPr="00507F6E">
                              <w:rPr>
                                <w:rFonts w:ascii="Arial"/>
                                <w:b/>
                                <w:sz w:val="20"/>
                                <w:szCs w:val="20"/>
                                <w:lang w:val="uk-UA"/>
                              </w:rPr>
                              <w:t xml:space="preserve"> </w:t>
                            </w:r>
                            <w:r w:rsidRPr="00507F6E">
                              <w:rPr>
                                <w:rFonts w:ascii="Arial"/>
                                <w:b/>
                                <w:sz w:val="20"/>
                                <w:szCs w:val="20"/>
                                <w:lang w:val="uk-UA"/>
                              </w:rPr>
                              <w:t>ТАНК</w:t>
                            </w:r>
                            <w:r w:rsidRPr="00507F6E">
                              <w:rPr>
                                <w:rFonts w:ascii="Arial"/>
                                <w:b/>
                                <w:sz w:val="20"/>
                                <w:szCs w:val="20"/>
                                <w:lang w:val="uk-UA"/>
                              </w:rPr>
                              <w:t xml:space="preserve"> </w:t>
                            </w:r>
                            <w:r w:rsidRPr="00507F6E">
                              <w:rPr>
                                <w:rFonts w:ascii="Arial"/>
                                <w:b/>
                                <w:sz w:val="20"/>
                                <w:szCs w:val="20"/>
                                <w:lang w:val="uk-UA"/>
                              </w:rPr>
                              <w:t>низької</w:t>
                            </w:r>
                            <w:r w:rsidRPr="00507F6E">
                              <w:rPr>
                                <w:rFonts w:ascii="Arial"/>
                                <w:b/>
                                <w:sz w:val="20"/>
                                <w:szCs w:val="20"/>
                                <w:lang w:val="uk-UA"/>
                              </w:rPr>
                              <w:t xml:space="preserve"> </w:t>
                            </w:r>
                            <w:r w:rsidRPr="00507F6E">
                              <w:rPr>
                                <w:rFonts w:ascii="Arial"/>
                                <w:b/>
                                <w:sz w:val="20"/>
                                <w:szCs w:val="20"/>
                                <w:lang w:val="uk-UA"/>
                              </w:rPr>
                              <w:t>складності</w:t>
                            </w:r>
                            <w:r w:rsidRPr="00507F6E">
                              <w:rPr>
                                <w:rFonts w:ascii="Arial"/>
                                <w:b/>
                                <w:sz w:val="20"/>
                                <w:szCs w:val="20"/>
                                <w:lang w:val="uk-UA"/>
                              </w:rPr>
                              <w:t xml:space="preserve"> </w:t>
                            </w:r>
                            <w:r w:rsidRPr="00507F6E">
                              <w:rPr>
                                <w:rFonts w:ascii="Arial"/>
                                <w:b/>
                                <w:sz w:val="20"/>
                                <w:szCs w:val="20"/>
                                <w:lang w:val="uk-UA"/>
                              </w:rPr>
                              <w:t>на</w:t>
                            </w:r>
                            <w:r w:rsidRPr="00507F6E">
                              <w:rPr>
                                <w:rFonts w:ascii="Arial"/>
                                <w:b/>
                                <w:sz w:val="20"/>
                                <w:szCs w:val="20"/>
                                <w:lang w:val="uk-UA"/>
                              </w:rPr>
                              <w:t xml:space="preserve"> </w:t>
                            </w:r>
                            <w:r w:rsidRPr="00507F6E">
                              <w:rPr>
                                <w:rFonts w:ascii="Arial"/>
                                <w:b/>
                                <w:sz w:val="20"/>
                                <w:szCs w:val="20"/>
                                <w:lang w:val="uk-UA"/>
                              </w:rPr>
                              <w:t>зразках</w:t>
                            </w:r>
                            <w:r w:rsidRPr="00507F6E">
                              <w:rPr>
                                <w:rFonts w:ascii="Arial"/>
                                <w:b/>
                                <w:sz w:val="20"/>
                                <w:szCs w:val="20"/>
                                <w:lang w:val="uk-UA"/>
                              </w:rPr>
                              <w:t xml:space="preserve"> </w:t>
                            </w:r>
                            <w:r w:rsidRPr="00507F6E">
                              <w:rPr>
                                <w:rFonts w:ascii="Arial"/>
                                <w:b/>
                                <w:sz w:val="20"/>
                                <w:szCs w:val="20"/>
                                <w:lang w:val="uk-UA"/>
                              </w:rPr>
                              <w:t>з</w:t>
                            </w:r>
                            <w:r w:rsidRPr="00507F6E">
                              <w:rPr>
                                <w:rFonts w:ascii="Arial"/>
                                <w:b/>
                                <w:sz w:val="20"/>
                                <w:szCs w:val="20"/>
                                <w:lang w:val="uk-UA"/>
                              </w:rPr>
                              <w:t xml:space="preserve"> </w:t>
                            </w:r>
                            <w:r w:rsidRPr="00507F6E">
                              <w:rPr>
                                <w:rFonts w:ascii="Arial"/>
                                <w:b/>
                                <w:sz w:val="20"/>
                                <w:szCs w:val="20"/>
                                <w:lang w:val="uk-UA"/>
                              </w:rPr>
                              <w:t>дихальних</w:t>
                            </w:r>
                            <w:r w:rsidRPr="00507F6E">
                              <w:rPr>
                                <w:rFonts w:ascii="Arial"/>
                                <w:b/>
                                <w:sz w:val="20"/>
                                <w:szCs w:val="20"/>
                                <w:lang w:val="uk-UA"/>
                              </w:rPr>
                              <w:t xml:space="preserve"> </w:t>
                            </w:r>
                            <w:r w:rsidRPr="00507F6E">
                              <w:rPr>
                                <w:rFonts w:ascii="Arial"/>
                                <w:b/>
                                <w:sz w:val="20"/>
                                <w:szCs w:val="20"/>
                                <w:lang w:val="uk-UA"/>
                              </w:rPr>
                              <w:t>шляхів</w:t>
                            </w:r>
                            <w:r w:rsidRPr="00507F6E">
                              <w:rPr>
                                <w:rFonts w:ascii="Arial"/>
                                <w:b/>
                                <w:sz w:val="20"/>
                                <w:szCs w:val="20"/>
                                <w:lang w:val="uk-UA"/>
                              </w:rPr>
                              <w:t xml:space="preserve"> </w:t>
                            </w:r>
                            <w:r w:rsidRPr="00507F6E">
                              <w:rPr>
                                <w:rFonts w:ascii="Arial"/>
                                <w:b/>
                                <w:sz w:val="20"/>
                                <w:szCs w:val="20"/>
                                <w:lang w:val="uk-UA"/>
                              </w:rPr>
                              <w:t>та</w:t>
                            </w:r>
                            <w:r w:rsidRPr="00507F6E">
                              <w:rPr>
                                <w:rFonts w:ascii="Arial"/>
                                <w:b/>
                                <w:sz w:val="20"/>
                                <w:szCs w:val="20"/>
                                <w:lang w:val="uk-UA"/>
                              </w:rPr>
                              <w:t xml:space="preserve"> </w:t>
                            </w:r>
                            <w:r w:rsidRPr="00507F6E">
                              <w:rPr>
                                <w:rFonts w:ascii="Arial"/>
                                <w:b/>
                                <w:sz w:val="20"/>
                                <w:szCs w:val="20"/>
                                <w:lang w:val="uk-UA"/>
                              </w:rPr>
                              <w:t>аналізу</w:t>
                            </w:r>
                            <w:r w:rsidRPr="00507F6E">
                              <w:rPr>
                                <w:rFonts w:ascii="Arial"/>
                                <w:b/>
                                <w:sz w:val="20"/>
                                <w:szCs w:val="20"/>
                                <w:lang w:val="uk-UA"/>
                              </w:rPr>
                              <w:t xml:space="preserve"> LF-LAM </w:t>
                            </w:r>
                            <w:r w:rsidRPr="00507F6E">
                              <w:rPr>
                                <w:rFonts w:ascii="Arial"/>
                                <w:b/>
                                <w:sz w:val="20"/>
                                <w:szCs w:val="20"/>
                                <w:lang w:val="uk-UA"/>
                              </w:rPr>
                              <w:t>на</w:t>
                            </w:r>
                            <w:r w:rsidRPr="00507F6E">
                              <w:rPr>
                                <w:rFonts w:ascii="Arial"/>
                                <w:b/>
                                <w:sz w:val="20"/>
                                <w:szCs w:val="20"/>
                                <w:lang w:val="uk-UA"/>
                              </w:rPr>
                              <w:t xml:space="preserve"> </w:t>
                            </w:r>
                            <w:r w:rsidRPr="00507F6E">
                              <w:rPr>
                                <w:rFonts w:ascii="Arial"/>
                                <w:b/>
                                <w:sz w:val="20"/>
                                <w:szCs w:val="20"/>
                                <w:lang w:val="uk-UA"/>
                              </w:rPr>
                              <w:t>зразках</w:t>
                            </w:r>
                            <w:r w:rsidRPr="00507F6E">
                              <w:rPr>
                                <w:rFonts w:ascii="Arial"/>
                                <w:b/>
                                <w:sz w:val="20"/>
                                <w:szCs w:val="20"/>
                                <w:lang w:val="uk-UA"/>
                              </w:rPr>
                              <w:t xml:space="preserve"> </w:t>
                            </w:r>
                            <w:r w:rsidRPr="00507F6E">
                              <w:rPr>
                                <w:rFonts w:ascii="Arial"/>
                                <w:b/>
                                <w:sz w:val="20"/>
                                <w:szCs w:val="20"/>
                                <w:lang w:val="uk-UA"/>
                              </w:rPr>
                              <w:t>сечі</w:t>
                            </w:r>
                            <w:r w:rsidRPr="00507F6E">
                              <w:rPr>
                                <w:rFonts w:ascii="Arial"/>
                                <w:b/>
                                <w:sz w:val="20"/>
                                <w:szCs w:val="20"/>
                                <w:lang w:val="uk-UA"/>
                              </w:rPr>
                              <w:t xml:space="preserve">, </w:t>
                            </w:r>
                            <w:r w:rsidRPr="00507F6E">
                              <w:rPr>
                                <w:rFonts w:ascii="Arial"/>
                                <w:b/>
                                <w:sz w:val="20"/>
                                <w:szCs w:val="20"/>
                                <w:lang w:val="uk-UA"/>
                              </w:rPr>
                              <w:t>а</w:t>
                            </w:r>
                            <w:r w:rsidRPr="00507F6E">
                              <w:rPr>
                                <w:rFonts w:ascii="Arial"/>
                                <w:b/>
                                <w:sz w:val="20"/>
                                <w:szCs w:val="20"/>
                                <w:lang w:val="uk-UA"/>
                              </w:rPr>
                              <w:t xml:space="preserve"> </w:t>
                            </w:r>
                            <w:r w:rsidRPr="00507F6E">
                              <w:rPr>
                                <w:rFonts w:ascii="Arial"/>
                                <w:b/>
                                <w:sz w:val="20"/>
                                <w:szCs w:val="20"/>
                                <w:lang w:val="uk-UA"/>
                              </w:rPr>
                              <w:t>не</w:t>
                            </w:r>
                            <w:r w:rsidRPr="00507F6E">
                              <w:rPr>
                                <w:rFonts w:ascii="Arial"/>
                                <w:b/>
                                <w:sz w:val="20"/>
                                <w:szCs w:val="20"/>
                                <w:lang w:val="uk-UA"/>
                              </w:rPr>
                              <w:t xml:space="preserve"> </w:t>
                            </w:r>
                            <w:r w:rsidRPr="00507F6E">
                              <w:rPr>
                                <w:rFonts w:ascii="Arial"/>
                                <w:b/>
                                <w:sz w:val="20"/>
                                <w:szCs w:val="20"/>
                                <w:lang w:val="uk-UA"/>
                              </w:rPr>
                              <w:t>тільки</w:t>
                            </w:r>
                            <w:r w:rsidRPr="00507F6E">
                              <w:rPr>
                                <w:rFonts w:ascii="Arial"/>
                                <w:b/>
                                <w:sz w:val="20"/>
                                <w:szCs w:val="20"/>
                                <w:lang w:val="uk-UA"/>
                              </w:rPr>
                              <w:t xml:space="preserve"> </w:t>
                            </w:r>
                            <w:r w:rsidRPr="00507F6E">
                              <w:rPr>
                                <w:rFonts w:ascii="Arial"/>
                                <w:b/>
                                <w:sz w:val="20"/>
                                <w:szCs w:val="20"/>
                                <w:lang w:val="uk-UA"/>
                              </w:rPr>
                              <w:t>автоматизованих</w:t>
                            </w:r>
                            <w:r w:rsidRPr="00507F6E">
                              <w:rPr>
                                <w:rFonts w:ascii="Arial"/>
                                <w:b/>
                                <w:sz w:val="20"/>
                                <w:szCs w:val="20"/>
                                <w:lang w:val="uk-UA"/>
                              </w:rPr>
                              <w:t xml:space="preserve"> </w:t>
                            </w:r>
                            <w:r w:rsidRPr="00507F6E">
                              <w:rPr>
                                <w:rFonts w:ascii="Arial"/>
                                <w:b/>
                                <w:sz w:val="20"/>
                                <w:szCs w:val="20"/>
                                <w:lang w:val="uk-UA"/>
                              </w:rPr>
                              <w:t>ТАНК</w:t>
                            </w:r>
                            <w:r w:rsidRPr="00507F6E">
                              <w:rPr>
                                <w:rFonts w:ascii="Arial"/>
                                <w:b/>
                                <w:sz w:val="20"/>
                                <w:szCs w:val="20"/>
                                <w:lang w:val="uk-UA"/>
                              </w:rPr>
                              <w:t xml:space="preserve"> </w:t>
                            </w:r>
                            <w:r w:rsidRPr="00507F6E">
                              <w:rPr>
                                <w:rFonts w:ascii="Arial"/>
                                <w:b/>
                                <w:sz w:val="20"/>
                                <w:szCs w:val="20"/>
                                <w:lang w:val="uk-UA"/>
                              </w:rPr>
                              <w:t>низької</w:t>
                            </w:r>
                            <w:r w:rsidRPr="00507F6E">
                              <w:rPr>
                                <w:rFonts w:ascii="Arial"/>
                                <w:b/>
                                <w:sz w:val="20"/>
                                <w:szCs w:val="20"/>
                                <w:lang w:val="uk-UA"/>
                              </w:rPr>
                              <w:t xml:space="preserve"> </w:t>
                            </w:r>
                            <w:r w:rsidRPr="00507F6E">
                              <w:rPr>
                                <w:rFonts w:ascii="Arial"/>
                                <w:b/>
                                <w:sz w:val="20"/>
                                <w:szCs w:val="20"/>
                                <w:lang w:val="uk-UA"/>
                              </w:rPr>
                              <w:t>складності</w:t>
                            </w:r>
                            <w:r w:rsidRPr="00507F6E">
                              <w:rPr>
                                <w:rFonts w:ascii="Arial"/>
                                <w:b/>
                                <w:sz w:val="20"/>
                                <w:szCs w:val="20"/>
                                <w:lang w:val="uk-UA"/>
                              </w:rPr>
                              <w:t xml:space="preserve"> </w:t>
                            </w:r>
                            <w:r w:rsidRPr="00507F6E">
                              <w:rPr>
                                <w:rFonts w:ascii="Arial"/>
                                <w:b/>
                                <w:sz w:val="20"/>
                                <w:szCs w:val="20"/>
                                <w:lang w:val="uk-UA"/>
                              </w:rPr>
                              <w:t>на</w:t>
                            </w:r>
                            <w:r w:rsidRPr="00507F6E">
                              <w:rPr>
                                <w:rFonts w:ascii="Arial"/>
                                <w:b/>
                                <w:sz w:val="20"/>
                                <w:szCs w:val="20"/>
                                <w:lang w:val="uk-UA"/>
                              </w:rPr>
                              <w:t xml:space="preserve"> </w:t>
                            </w:r>
                            <w:r w:rsidRPr="00507F6E">
                              <w:rPr>
                                <w:rFonts w:ascii="Arial"/>
                                <w:b/>
                                <w:sz w:val="20"/>
                                <w:szCs w:val="20"/>
                                <w:lang w:val="uk-UA"/>
                              </w:rPr>
                              <w:t>зразках</w:t>
                            </w:r>
                            <w:r w:rsidRPr="00507F6E">
                              <w:rPr>
                                <w:rFonts w:ascii="Arial"/>
                                <w:b/>
                                <w:sz w:val="20"/>
                                <w:szCs w:val="20"/>
                                <w:lang w:val="uk-UA"/>
                              </w:rPr>
                              <w:t xml:space="preserve"> </w:t>
                            </w:r>
                            <w:r w:rsidRPr="00507F6E">
                              <w:rPr>
                                <w:rFonts w:ascii="Arial"/>
                                <w:b/>
                                <w:sz w:val="20"/>
                                <w:szCs w:val="20"/>
                                <w:lang w:val="uk-UA"/>
                              </w:rPr>
                              <w:t>із</w:t>
                            </w:r>
                            <w:r w:rsidRPr="00507F6E">
                              <w:rPr>
                                <w:rFonts w:ascii="Arial"/>
                                <w:b/>
                                <w:sz w:val="20"/>
                                <w:szCs w:val="20"/>
                                <w:lang w:val="uk-UA"/>
                              </w:rPr>
                              <w:t xml:space="preserve"> </w:t>
                            </w:r>
                            <w:r w:rsidRPr="00507F6E">
                              <w:rPr>
                                <w:rFonts w:ascii="Arial"/>
                                <w:b/>
                                <w:sz w:val="20"/>
                                <w:szCs w:val="20"/>
                                <w:lang w:val="uk-UA"/>
                              </w:rPr>
                              <w:t>дихальних</w:t>
                            </w:r>
                            <w:r w:rsidRPr="00507F6E">
                              <w:rPr>
                                <w:rFonts w:ascii="Arial"/>
                                <w:b/>
                                <w:sz w:val="20"/>
                                <w:szCs w:val="20"/>
                                <w:lang w:val="uk-UA"/>
                              </w:rPr>
                              <w:t xml:space="preserve"> </w:t>
                            </w:r>
                            <w:r w:rsidRPr="00507F6E">
                              <w:rPr>
                                <w:rFonts w:ascii="Arial"/>
                                <w:b/>
                                <w:sz w:val="20"/>
                                <w:szCs w:val="20"/>
                                <w:lang w:val="uk-UA"/>
                              </w:rPr>
                              <w:t>шляхів</w:t>
                            </w:r>
                            <w:r w:rsidRPr="00507F6E">
                              <w:rPr>
                                <w:rFonts w:ascii="Arial"/>
                                <w:b/>
                                <w:sz w:val="20"/>
                                <w:szCs w:val="20"/>
                                <w:lang w:val="uk-UA"/>
                              </w:rPr>
                              <w:t>.</w:t>
                            </w:r>
                          </w:p>
                          <w:p w14:paraId="213909A8" w14:textId="039505CE" w:rsidR="007372B2" w:rsidRPr="00F32A98" w:rsidRDefault="007372B2" w:rsidP="00657E6B">
                            <w:pPr>
                              <w:pStyle w:val="TableParagraph"/>
                              <w:spacing w:before="51" w:line="276" w:lineRule="auto"/>
                              <w:ind w:left="680"/>
                              <w:jc w:val="both"/>
                              <w:rPr>
                                <w:rFonts w:ascii="Arial"/>
                                <w:i/>
                                <w:lang w:val="ru-RU"/>
                              </w:rPr>
                            </w:pPr>
                            <w:r w:rsidRPr="00507F6E">
                              <w:rPr>
                                <w:rFonts w:ascii="Arial"/>
                                <w:i/>
                                <w:lang w:val="uk-UA"/>
                              </w:rPr>
                              <w:t>(</w:t>
                            </w:r>
                            <w:r w:rsidRPr="00507F6E">
                              <w:rPr>
                                <w:rFonts w:ascii="Arial"/>
                                <w:i/>
                                <w:lang w:val="uk-UA"/>
                              </w:rPr>
                              <w:t>Настійна</w:t>
                            </w:r>
                            <w:r w:rsidRPr="00507F6E">
                              <w:rPr>
                                <w:rFonts w:ascii="Arial"/>
                                <w:i/>
                                <w:lang w:val="uk-UA"/>
                              </w:rPr>
                              <w:t xml:space="preserve"> </w:t>
                            </w:r>
                            <w:r w:rsidRPr="00507F6E">
                              <w:rPr>
                                <w:rFonts w:ascii="Arial"/>
                                <w:i/>
                                <w:lang w:val="uk-UA"/>
                              </w:rPr>
                              <w:t>рекомендація</w:t>
                            </w:r>
                            <w:r w:rsidRPr="00507F6E">
                              <w:rPr>
                                <w:rFonts w:ascii="Arial"/>
                                <w:i/>
                                <w:lang w:val="uk-UA"/>
                              </w:rPr>
                              <w:t xml:space="preserve">, </w:t>
                            </w:r>
                            <w:r w:rsidRPr="00507F6E">
                              <w:rPr>
                                <w:rFonts w:ascii="Arial"/>
                                <w:i/>
                                <w:lang w:val="uk-UA"/>
                              </w:rPr>
                              <w:t>низький</w:t>
                            </w:r>
                            <w:r w:rsidRPr="00507F6E">
                              <w:rPr>
                                <w:rFonts w:ascii="Arial"/>
                                <w:i/>
                                <w:lang w:val="uk-UA"/>
                              </w:rPr>
                              <w:t xml:space="preserve"> </w:t>
                            </w:r>
                            <w:r w:rsidRPr="00507F6E">
                              <w:rPr>
                                <w:rFonts w:ascii="Arial"/>
                                <w:i/>
                                <w:lang w:val="uk-UA"/>
                              </w:rPr>
                              <w:t>ступінь</w:t>
                            </w:r>
                            <w:r w:rsidRPr="00507F6E">
                              <w:rPr>
                                <w:rFonts w:ascii="Arial"/>
                                <w:i/>
                                <w:lang w:val="uk-UA"/>
                              </w:rPr>
                              <w:t xml:space="preserve"> </w:t>
                            </w:r>
                            <w:r w:rsidRPr="00507F6E">
                              <w:rPr>
                                <w:rFonts w:ascii="Arial"/>
                                <w:i/>
                                <w:lang w:val="uk-UA"/>
                              </w:rPr>
                              <w:t>достовірності</w:t>
                            </w:r>
                            <w:r w:rsidRPr="00507F6E">
                              <w:rPr>
                                <w:rFonts w:ascii="Arial"/>
                                <w:i/>
                                <w:lang w:val="uk-UA"/>
                              </w:rPr>
                              <w:t xml:space="preserve"> </w:t>
                            </w:r>
                            <w:r w:rsidRPr="00507F6E">
                              <w:rPr>
                                <w:rFonts w:ascii="Arial"/>
                                <w:i/>
                                <w:lang w:val="uk-UA"/>
                              </w:rPr>
                              <w:t>доказів</w:t>
                            </w:r>
                            <w:r w:rsidRPr="00507F6E">
                              <w:rPr>
                                <w:rFonts w:ascii="Arial"/>
                                <w:i/>
                                <w:spacing w:val="-2"/>
                                <w:lang w:val="uk-UA"/>
                              </w:rPr>
                              <w:t>)</w:t>
                            </w:r>
                          </w:p>
                        </w:tc>
                      </w:tr>
                    </w:tbl>
                    <w:p w14:paraId="044FA733" w14:textId="77777777" w:rsidR="007372B2" w:rsidRPr="00F32A98" w:rsidRDefault="007372B2">
                      <w:pPr>
                        <w:pStyle w:val="a3"/>
                        <w:rPr>
                          <w:lang w:val="ru-RU"/>
                        </w:rPr>
                      </w:pPr>
                    </w:p>
                  </w:txbxContent>
                </v:textbox>
                <w10:wrap anchorx="page"/>
              </v:shape>
            </w:pict>
          </mc:Fallback>
        </mc:AlternateContent>
      </w:r>
    </w:p>
    <w:p w14:paraId="4FA9CA71" w14:textId="77777777" w:rsidR="00E05B98" w:rsidRPr="003C6DAE" w:rsidRDefault="00E05B98">
      <w:pPr>
        <w:pStyle w:val="a3"/>
        <w:rPr>
          <w:sz w:val="28"/>
          <w:lang w:val="uk-UA"/>
        </w:rPr>
      </w:pPr>
    </w:p>
    <w:p w14:paraId="3FC8402B" w14:textId="77777777" w:rsidR="00E05B98" w:rsidRPr="003C6DAE" w:rsidRDefault="00E05B98">
      <w:pPr>
        <w:pStyle w:val="a3"/>
        <w:rPr>
          <w:sz w:val="28"/>
          <w:lang w:val="uk-UA"/>
        </w:rPr>
      </w:pPr>
    </w:p>
    <w:p w14:paraId="005299C7" w14:textId="77777777" w:rsidR="00E05B98" w:rsidRPr="003C6DAE" w:rsidRDefault="00E05B98">
      <w:pPr>
        <w:pStyle w:val="a3"/>
        <w:rPr>
          <w:sz w:val="28"/>
          <w:lang w:val="uk-UA"/>
        </w:rPr>
      </w:pPr>
    </w:p>
    <w:p w14:paraId="7BE206D6" w14:textId="77777777" w:rsidR="00E05B98" w:rsidRPr="003C6DAE" w:rsidRDefault="00E05B98">
      <w:pPr>
        <w:pStyle w:val="a3"/>
        <w:rPr>
          <w:sz w:val="28"/>
          <w:lang w:val="uk-UA"/>
        </w:rPr>
      </w:pPr>
    </w:p>
    <w:p w14:paraId="292D2BA4" w14:textId="77777777" w:rsidR="00E05B98" w:rsidRPr="003C6DAE" w:rsidRDefault="00E05B98">
      <w:pPr>
        <w:pStyle w:val="a3"/>
        <w:rPr>
          <w:sz w:val="28"/>
          <w:lang w:val="uk-UA"/>
        </w:rPr>
      </w:pPr>
    </w:p>
    <w:p w14:paraId="44F00A05" w14:textId="77777777" w:rsidR="00E05B98" w:rsidRPr="003C6DAE" w:rsidRDefault="00E05B98">
      <w:pPr>
        <w:pStyle w:val="a3"/>
        <w:spacing w:before="299"/>
        <w:rPr>
          <w:sz w:val="28"/>
          <w:lang w:val="uk-UA"/>
        </w:rPr>
      </w:pPr>
    </w:p>
    <w:p w14:paraId="391B0CE8" w14:textId="77777777" w:rsidR="00F92EA6" w:rsidRDefault="00F92EA6">
      <w:pPr>
        <w:pStyle w:val="6"/>
        <w:spacing w:before="0"/>
        <w:rPr>
          <w:spacing w:val="-2"/>
          <w:sz w:val="20"/>
          <w:szCs w:val="20"/>
          <w:lang w:val="uk-UA"/>
        </w:rPr>
      </w:pPr>
    </w:p>
    <w:p w14:paraId="4C9D0372" w14:textId="77777777" w:rsidR="00F92EA6" w:rsidRDefault="00F92EA6">
      <w:pPr>
        <w:pStyle w:val="6"/>
        <w:spacing w:before="0"/>
        <w:rPr>
          <w:spacing w:val="-2"/>
          <w:sz w:val="20"/>
          <w:szCs w:val="20"/>
          <w:lang w:val="uk-UA"/>
        </w:rPr>
      </w:pPr>
    </w:p>
    <w:p w14:paraId="47BD3AAE" w14:textId="161D6F20" w:rsidR="00E05B98" w:rsidRPr="00C77168" w:rsidRDefault="00DA5A55">
      <w:pPr>
        <w:pStyle w:val="6"/>
        <w:spacing w:before="0"/>
        <w:rPr>
          <w:sz w:val="20"/>
          <w:szCs w:val="20"/>
          <w:lang w:val="uk-UA"/>
        </w:rPr>
      </w:pPr>
      <w:r>
        <w:rPr>
          <w:spacing w:val="-2"/>
          <w:sz w:val="20"/>
          <w:szCs w:val="20"/>
          <w:lang w:val="uk-UA"/>
        </w:rPr>
        <w:t xml:space="preserve">Примітки </w:t>
      </w:r>
    </w:p>
    <w:p w14:paraId="41810F62" w14:textId="6F884453" w:rsidR="00E05B98" w:rsidRPr="00C77168" w:rsidRDefault="009511E1" w:rsidP="004A2937">
      <w:pPr>
        <w:pStyle w:val="a4"/>
        <w:numPr>
          <w:ilvl w:val="3"/>
          <w:numId w:val="31"/>
        </w:numPr>
        <w:tabs>
          <w:tab w:val="left" w:pos="850"/>
        </w:tabs>
        <w:spacing w:before="226" w:line="276" w:lineRule="auto"/>
        <w:ind w:hanging="284"/>
        <w:rPr>
          <w:sz w:val="20"/>
          <w:szCs w:val="20"/>
          <w:lang w:val="uk-UA"/>
        </w:rPr>
      </w:pPr>
      <w:r w:rsidRPr="009511E1">
        <w:rPr>
          <w:sz w:val="20"/>
          <w:szCs w:val="20"/>
          <w:lang w:val="uk-UA"/>
        </w:rPr>
        <w:t xml:space="preserve">Серйозне захворювання у людей, які живуть з ВІЛ, визначається на основі будь-якого з наступних симптомів: частота дихання ≥30 вдихів </w:t>
      </w:r>
      <w:r w:rsidR="00657E6B">
        <w:rPr>
          <w:sz w:val="20"/>
          <w:szCs w:val="20"/>
          <w:lang w:val="uk-UA"/>
        </w:rPr>
        <w:t>н</w:t>
      </w:r>
      <w:r w:rsidRPr="009511E1">
        <w:rPr>
          <w:sz w:val="20"/>
          <w:szCs w:val="20"/>
          <w:lang w:val="uk-UA"/>
        </w:rPr>
        <w:t xml:space="preserve">а хвилину, температура ≥39 °C, частота серцевих скорочень ≥120 ударів </w:t>
      </w:r>
      <w:r w:rsidR="00657E6B">
        <w:rPr>
          <w:sz w:val="20"/>
          <w:szCs w:val="20"/>
          <w:lang w:val="uk-UA"/>
        </w:rPr>
        <w:t>н</w:t>
      </w:r>
      <w:r w:rsidRPr="009511E1">
        <w:rPr>
          <w:sz w:val="20"/>
          <w:szCs w:val="20"/>
          <w:lang w:val="uk-UA"/>
        </w:rPr>
        <w:t>а хвилину або нездатність ходити без сторонньої допомоги.</w:t>
      </w:r>
    </w:p>
    <w:p w14:paraId="7412933E" w14:textId="59B2082E" w:rsidR="00E05B98" w:rsidRPr="009511E1" w:rsidRDefault="009511E1" w:rsidP="004A2937">
      <w:pPr>
        <w:pStyle w:val="a3"/>
        <w:numPr>
          <w:ilvl w:val="0"/>
          <w:numId w:val="37"/>
        </w:numPr>
        <w:spacing w:before="61" w:line="276" w:lineRule="auto"/>
        <w:ind w:left="851"/>
        <w:jc w:val="both"/>
        <w:rPr>
          <w:sz w:val="20"/>
          <w:szCs w:val="20"/>
          <w:lang w:val="uk-UA"/>
        </w:rPr>
      </w:pPr>
      <w:r w:rsidRPr="009511E1">
        <w:rPr>
          <w:sz w:val="20"/>
          <w:szCs w:val="20"/>
          <w:lang w:val="uk-UA"/>
        </w:rPr>
        <w:t>Прогресуюча стадія ВІЛ-інфекції визначається у людей, які живуть з ВІЛ і мають кількість клітин CD4</w:t>
      </w:r>
      <w:r>
        <w:rPr>
          <w:sz w:val="20"/>
          <w:szCs w:val="20"/>
          <w:lang w:val="uk-UA"/>
        </w:rPr>
        <w:t xml:space="preserve"> </w:t>
      </w:r>
      <w:r w:rsidRPr="009511E1">
        <w:rPr>
          <w:sz w:val="20"/>
          <w:szCs w:val="20"/>
          <w:lang w:val="uk-UA"/>
        </w:rPr>
        <w:t>&lt;200 клітин/мм</w:t>
      </w:r>
      <w:r w:rsidRPr="009511E1">
        <w:rPr>
          <w:sz w:val="20"/>
          <w:szCs w:val="20"/>
          <w:vertAlign w:val="superscript"/>
          <w:lang w:val="uk-UA"/>
        </w:rPr>
        <w:t>3</w:t>
      </w:r>
      <w:r w:rsidRPr="009511E1">
        <w:rPr>
          <w:sz w:val="20"/>
          <w:szCs w:val="20"/>
          <w:lang w:val="uk-UA"/>
        </w:rPr>
        <w:t xml:space="preserve"> або мають захворювання, визначене ВООЗ як СНІД 3/4 стадії.</w:t>
      </w:r>
    </w:p>
    <w:p w14:paraId="07A7AB10" w14:textId="7B43EECB" w:rsidR="00E05B98" w:rsidRPr="00C77168" w:rsidRDefault="009511E1" w:rsidP="004A2937">
      <w:pPr>
        <w:pStyle w:val="a4"/>
        <w:numPr>
          <w:ilvl w:val="3"/>
          <w:numId w:val="31"/>
        </w:numPr>
        <w:tabs>
          <w:tab w:val="left" w:pos="850"/>
        </w:tabs>
        <w:spacing w:line="276" w:lineRule="auto"/>
        <w:ind w:hanging="284"/>
        <w:rPr>
          <w:sz w:val="20"/>
          <w:szCs w:val="20"/>
          <w:lang w:val="uk-UA"/>
        </w:rPr>
      </w:pPr>
      <w:r w:rsidRPr="009511E1">
        <w:rPr>
          <w:sz w:val="20"/>
          <w:szCs w:val="20"/>
          <w:lang w:val="uk-UA"/>
        </w:rPr>
        <w:t xml:space="preserve">Ця рекомендація щодо одночасного тестування замінює попередні рекомендації щодо використання LF-LAM для людей, які живуть з ВІЛ, та використання </w:t>
      </w:r>
      <w:r>
        <w:rPr>
          <w:sz w:val="20"/>
          <w:szCs w:val="20"/>
          <w:lang w:val="uk-UA"/>
        </w:rPr>
        <w:t>од</w:t>
      </w:r>
      <w:r w:rsidRPr="009511E1">
        <w:rPr>
          <w:sz w:val="20"/>
          <w:szCs w:val="20"/>
          <w:lang w:val="uk-UA"/>
        </w:rPr>
        <w:t>ного молекулярного тесту для діагностики ТБ у цій групі.</w:t>
      </w:r>
    </w:p>
    <w:p w14:paraId="465A29E7" w14:textId="6C0B70B3" w:rsidR="00E05B98" w:rsidRPr="00C77168" w:rsidRDefault="009511E1" w:rsidP="004A2937">
      <w:pPr>
        <w:pStyle w:val="a4"/>
        <w:numPr>
          <w:ilvl w:val="3"/>
          <w:numId w:val="31"/>
        </w:numPr>
        <w:tabs>
          <w:tab w:val="left" w:pos="850"/>
        </w:tabs>
        <w:spacing w:before="2" w:line="276" w:lineRule="auto"/>
        <w:ind w:hanging="284"/>
        <w:rPr>
          <w:sz w:val="20"/>
          <w:szCs w:val="20"/>
          <w:lang w:val="uk-UA"/>
        </w:rPr>
      </w:pPr>
      <w:r w:rsidRPr="009511E1">
        <w:rPr>
          <w:sz w:val="20"/>
          <w:szCs w:val="20"/>
          <w:lang w:val="uk-UA"/>
        </w:rPr>
        <w:t>Ця рекомендація є настійною, незважаючи на низьку достовірність доказів, оскільки отримані дані свідчать про значні бажані ефекти (наприклад, швидка і точна діагностика ТБ у високоуразливої групи населення - людей, які живуть з ВІЛ, - у яких діагностика ТБ часто є складним завданням) порівняно з незначними небажаними ефектами (наприклад, негативними наслідками такої стратегії тестування).</w:t>
      </w:r>
    </w:p>
    <w:p w14:paraId="0C065964" w14:textId="73D1E72E" w:rsidR="00E05B98" w:rsidRPr="003C6DAE" w:rsidRDefault="00E413C0" w:rsidP="004A2937">
      <w:pPr>
        <w:pStyle w:val="a4"/>
        <w:numPr>
          <w:ilvl w:val="3"/>
          <w:numId w:val="31"/>
        </w:numPr>
        <w:tabs>
          <w:tab w:val="left" w:pos="850"/>
        </w:tabs>
        <w:spacing w:before="5" w:line="276" w:lineRule="auto"/>
        <w:ind w:hanging="284"/>
        <w:rPr>
          <w:lang w:val="uk-UA"/>
        </w:rPr>
      </w:pPr>
      <w:r w:rsidRPr="00E413C0">
        <w:rPr>
          <w:sz w:val="20"/>
          <w:szCs w:val="20"/>
          <w:lang w:val="uk-UA"/>
        </w:rPr>
        <w:t>Продукти аТАНК-НС, дані по яким відповідали критеріям ефективності на основі класу для цієї рекомендації, є тести Xpert MTB/RIF Ultra та Truenat MTB Plus. Дані щодо ефективності  тестів Truenat MTB Plus та MTB-RIF Dx були доступні лише для тестування людей, які живуть з ВІЛ, без одночасного тестування за допомогою LF-LAM</w:t>
      </w:r>
      <w:r w:rsidR="00B01E0C" w:rsidRPr="00C77168">
        <w:rPr>
          <w:sz w:val="20"/>
          <w:szCs w:val="20"/>
          <w:lang w:val="uk-UA"/>
        </w:rPr>
        <w:t>.</w:t>
      </w:r>
    </w:p>
    <w:p w14:paraId="6A9FF5F7" w14:textId="77777777" w:rsidR="00E05B98" w:rsidRPr="003C6DAE" w:rsidRDefault="00E05B98" w:rsidP="0041632D">
      <w:pPr>
        <w:pStyle w:val="a3"/>
        <w:spacing w:before="10"/>
        <w:jc w:val="both"/>
        <w:rPr>
          <w:lang w:val="uk-UA"/>
        </w:rPr>
      </w:pPr>
    </w:p>
    <w:p w14:paraId="15ABFE1E" w14:textId="20F109B1" w:rsidR="00E05B98" w:rsidRPr="003C6DAE" w:rsidRDefault="00E413C0" w:rsidP="0041632D">
      <w:pPr>
        <w:pStyle w:val="5"/>
        <w:jc w:val="both"/>
        <w:rPr>
          <w:lang w:val="uk-UA"/>
        </w:rPr>
      </w:pPr>
      <w:r w:rsidRPr="00E413C0">
        <w:rPr>
          <w:color w:val="019648"/>
          <w:lang w:val="uk-UA"/>
        </w:rPr>
        <w:t>Обґрунтування та докази</w:t>
      </w:r>
    </w:p>
    <w:p w14:paraId="02408245" w14:textId="118B060D" w:rsidR="00E05B98" w:rsidRPr="00C77168" w:rsidRDefault="00E413C0" w:rsidP="00657E6B">
      <w:pPr>
        <w:pStyle w:val="a3"/>
        <w:spacing w:before="219" w:line="276" w:lineRule="auto"/>
        <w:ind w:left="567"/>
        <w:jc w:val="both"/>
        <w:rPr>
          <w:sz w:val="20"/>
          <w:szCs w:val="20"/>
          <w:lang w:val="uk-UA"/>
        </w:rPr>
      </w:pPr>
      <w:r w:rsidRPr="00E413C0">
        <w:rPr>
          <w:spacing w:val="-4"/>
          <w:sz w:val="20"/>
          <w:szCs w:val="20"/>
          <w:lang w:val="uk-UA"/>
        </w:rPr>
        <w:t xml:space="preserve">У Кокранівському систематичному огляді </w:t>
      </w:r>
      <w:r w:rsidR="00A33666">
        <w:rPr>
          <w:spacing w:val="-4"/>
          <w:sz w:val="20"/>
          <w:szCs w:val="20"/>
          <w:lang w:val="uk-UA"/>
        </w:rPr>
        <w:t>(</w:t>
      </w:r>
      <w:r w:rsidRPr="00E413C0">
        <w:rPr>
          <w:spacing w:val="-4"/>
          <w:sz w:val="20"/>
          <w:szCs w:val="20"/>
          <w:lang w:val="uk-UA"/>
        </w:rPr>
        <w:t>2016 р</w:t>
      </w:r>
      <w:r w:rsidR="00A33666">
        <w:rPr>
          <w:spacing w:val="-4"/>
          <w:sz w:val="20"/>
          <w:szCs w:val="20"/>
          <w:lang w:val="uk-UA"/>
        </w:rPr>
        <w:t>ік)</w:t>
      </w:r>
      <w:r w:rsidRPr="00E413C0">
        <w:rPr>
          <w:spacing w:val="-4"/>
          <w:sz w:val="20"/>
          <w:szCs w:val="20"/>
          <w:lang w:val="uk-UA"/>
        </w:rPr>
        <w:t xml:space="preserve"> діагностичної точності LF-LAM чутливість збільшилася на 13% при поєднанні тестів LF-LAM і Xpert MTB/RIF </w:t>
      </w:r>
      <w:r w:rsidR="00A33666">
        <w:rPr>
          <w:spacing w:val="-4"/>
          <w:sz w:val="20"/>
          <w:szCs w:val="20"/>
          <w:lang w:val="uk-UA"/>
        </w:rPr>
        <w:t xml:space="preserve">на зразках </w:t>
      </w:r>
      <w:r w:rsidRPr="00E413C0">
        <w:rPr>
          <w:spacing w:val="-4"/>
          <w:sz w:val="20"/>
          <w:szCs w:val="20"/>
          <w:lang w:val="uk-UA"/>
        </w:rPr>
        <w:t xml:space="preserve">мокротиння порівняно з одним лише тестом Xpert </w:t>
      </w:r>
      <w:r w:rsidR="00A33666">
        <w:rPr>
          <w:spacing w:val="-4"/>
          <w:sz w:val="20"/>
          <w:szCs w:val="20"/>
          <w:lang w:val="uk-UA"/>
        </w:rPr>
        <w:t xml:space="preserve">на зразку </w:t>
      </w:r>
      <w:r w:rsidRPr="00E413C0">
        <w:rPr>
          <w:spacing w:val="-4"/>
          <w:sz w:val="20"/>
          <w:szCs w:val="20"/>
          <w:lang w:val="uk-UA"/>
        </w:rPr>
        <w:t>мокротиння, тоді як специфічність зменшилася на 4%. Однак результати базувалися лише на кількох дослідженнях, а аналіз обмежувався учасниками, здатними виділяти мокротиння.</w:t>
      </w:r>
    </w:p>
    <w:p w14:paraId="7FD23B79" w14:textId="53AB59EF" w:rsidR="00E05B98" w:rsidRPr="00A33666" w:rsidRDefault="001E5AF1" w:rsidP="00657E6B">
      <w:pPr>
        <w:pStyle w:val="5"/>
        <w:spacing w:before="202" w:line="276" w:lineRule="auto"/>
        <w:jc w:val="both"/>
        <w:rPr>
          <w:sz w:val="26"/>
          <w:szCs w:val="26"/>
          <w:lang w:val="uk-UA"/>
        </w:rPr>
      </w:pPr>
      <w:proofErr w:type="spellStart"/>
      <w:r>
        <w:rPr>
          <w:color w:val="019648"/>
          <w:spacing w:val="2"/>
          <w:sz w:val="26"/>
          <w:szCs w:val="26"/>
          <w:lang w:val="uk-UA"/>
        </w:rPr>
        <w:t>Інкремента</w:t>
      </w:r>
      <w:proofErr w:type="spellEnd"/>
      <w:r w:rsidR="00E413C0" w:rsidRPr="00A33666">
        <w:rPr>
          <w:color w:val="019648"/>
          <w:spacing w:val="2"/>
          <w:sz w:val="26"/>
          <w:szCs w:val="26"/>
          <w:lang w:val="uk-UA"/>
        </w:rPr>
        <w:t xml:space="preserve">  точн</w:t>
      </w:r>
      <w:r>
        <w:rPr>
          <w:color w:val="019648"/>
          <w:spacing w:val="2"/>
          <w:sz w:val="26"/>
          <w:szCs w:val="26"/>
          <w:lang w:val="uk-UA"/>
        </w:rPr>
        <w:t>ість</w:t>
      </w:r>
      <w:r w:rsidR="00E413C0" w:rsidRPr="00A33666">
        <w:rPr>
          <w:color w:val="019648"/>
          <w:spacing w:val="2"/>
          <w:sz w:val="26"/>
          <w:szCs w:val="26"/>
          <w:lang w:val="uk-UA"/>
        </w:rPr>
        <w:t xml:space="preserve"> діагностики</w:t>
      </w:r>
    </w:p>
    <w:p w14:paraId="3F4089D2" w14:textId="7CF01268" w:rsidR="00E05B98" w:rsidRPr="00C77168" w:rsidRDefault="00FD3547" w:rsidP="00657E6B">
      <w:pPr>
        <w:pStyle w:val="a3"/>
        <w:spacing w:before="219" w:line="276" w:lineRule="auto"/>
        <w:ind w:left="567"/>
        <w:jc w:val="both"/>
        <w:rPr>
          <w:sz w:val="20"/>
          <w:szCs w:val="20"/>
          <w:lang w:val="uk-UA"/>
        </w:rPr>
      </w:pPr>
      <w:r w:rsidRPr="003C6DAE">
        <w:rPr>
          <w:noProof/>
          <w:sz w:val="20"/>
          <w:lang w:val="uk-UA"/>
        </w:rPr>
        <mc:AlternateContent>
          <mc:Choice Requires="wps">
            <w:drawing>
              <wp:anchor distT="0" distB="0" distL="0" distR="0" simplePos="0" relativeHeight="487901184" behindDoc="1" locked="0" layoutInCell="1" allowOverlap="1" wp14:anchorId="226AC0E2" wp14:editId="1C3F1837">
                <wp:simplePos x="0" y="0"/>
                <wp:positionH relativeFrom="page">
                  <wp:posOffset>877162</wp:posOffset>
                </wp:positionH>
                <wp:positionV relativeFrom="paragraph">
                  <wp:posOffset>1284901</wp:posOffset>
                </wp:positionV>
                <wp:extent cx="1440180" cy="1270"/>
                <wp:effectExtent l="0" t="0" r="0" b="0"/>
                <wp:wrapTopAndBottom/>
                <wp:docPr id="1985" name="Graphic 1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B7A7D4" id="Graphic 1985" o:spid="_x0000_s1026" style="position:absolute;margin-left:69.05pt;margin-top:101.15pt;width:113.4pt;height:.1pt;z-index:-15415296;visibility:visible;mso-wrap-style:square;mso-wrap-distance-left:0;mso-wrap-distance-top:0;mso-wrap-distance-right:0;mso-wrap-distance-bottom:0;mso-position-horizontal:absolute;mso-position-horizontal-relative:page;mso-position-vertical:absolute;mso-position-vertical-relative:text;v-text-anchor:top" coordsize="1440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" path="m,l1440002,e" filled="f" strokeweight=".5pt">
                <v:path arrowok="t"/>
                <w10:wrap type="topAndBottom" anchorx="page"/>
              </v:shape>
            </w:pict>
          </mc:Fallback>
        </mc:AlternateContent>
      </w:r>
      <w:r w:rsidRPr="00FD3547">
        <w:rPr>
          <w:spacing w:val="-6"/>
          <w:sz w:val="20"/>
          <w:szCs w:val="20"/>
          <w:lang w:val="uk-UA"/>
        </w:rPr>
        <w:t xml:space="preserve">У 2023 році ВООЗ замовила серію систематичних оглядів для оцінки </w:t>
      </w:r>
      <w:r w:rsidR="001E5AF1">
        <w:rPr>
          <w:spacing w:val="-6"/>
          <w:sz w:val="20"/>
          <w:szCs w:val="20"/>
          <w:lang w:val="uk-UA"/>
        </w:rPr>
        <w:t>інкрементної</w:t>
      </w:r>
      <w:r w:rsidRPr="00FD3547">
        <w:rPr>
          <w:spacing w:val="-6"/>
          <w:sz w:val="20"/>
          <w:szCs w:val="20"/>
          <w:lang w:val="uk-UA"/>
        </w:rPr>
        <w:t xml:space="preserve"> діагностичної точності</w:t>
      </w:r>
      <w:r w:rsidRPr="00FD3547">
        <w:rPr>
          <w:spacing w:val="-6"/>
          <w:sz w:val="20"/>
          <w:szCs w:val="20"/>
          <w:vertAlign w:val="superscript"/>
          <w:lang w:val="uk-UA"/>
        </w:rPr>
        <w:t>11</w:t>
      </w:r>
      <w:r w:rsidRPr="00FD3547">
        <w:rPr>
          <w:spacing w:val="-6"/>
          <w:sz w:val="20"/>
          <w:szCs w:val="20"/>
          <w:lang w:val="uk-UA"/>
        </w:rPr>
        <w:t xml:space="preserve"> при одночасному використанні двох різних тестів - аТАНК-НС на зразках із дихальних шляхів та LF-LAM на сечі серед людей, які живуть з ВІЛ, або одного тесту для дослідження двох зразків (аТАНК-НС на зразках із дихальних шляхів та калу) у дітей, або в якості альтернативного варіанту - використання аТАНК-НС для аналізу зразків </w:t>
      </w:r>
      <w:r w:rsidR="00A33666">
        <w:rPr>
          <w:spacing w:val="-6"/>
          <w:sz w:val="20"/>
          <w:szCs w:val="20"/>
          <w:lang w:val="uk-UA"/>
        </w:rPr>
        <w:t>і</w:t>
      </w:r>
      <w:r w:rsidRPr="00FD3547">
        <w:rPr>
          <w:spacing w:val="-6"/>
          <w:sz w:val="20"/>
          <w:szCs w:val="20"/>
          <w:lang w:val="uk-UA"/>
        </w:rPr>
        <w:t>з дихальних шляхів та калу разом з аналізом LF-LAM на зразках сечі серед дітей з ВІЛ-інфекцією.</w:t>
      </w:r>
    </w:p>
    <w:p w14:paraId="0FDD61F7" w14:textId="5A4DBB19" w:rsidR="00E05B98" w:rsidRPr="003C6DAE" w:rsidRDefault="00B01E0C" w:rsidP="00A33666">
      <w:pPr>
        <w:pStyle w:val="a3"/>
        <w:spacing w:before="180" w:line="276" w:lineRule="auto"/>
        <w:ind w:left="720" w:hanging="294"/>
        <w:jc w:val="both"/>
        <w:rPr>
          <w:sz w:val="16"/>
          <w:lang w:val="uk-UA"/>
        </w:rPr>
      </w:pPr>
      <w:r w:rsidRPr="003C6DAE">
        <w:rPr>
          <w:sz w:val="16"/>
          <w:vertAlign w:val="superscript"/>
          <w:lang w:val="uk-UA"/>
        </w:rPr>
        <w:t>11</w:t>
      </w:r>
      <w:r w:rsidRPr="003C6DAE">
        <w:rPr>
          <w:spacing w:val="29"/>
          <w:sz w:val="16"/>
          <w:lang w:val="uk-UA"/>
        </w:rPr>
        <w:t xml:space="preserve">  </w:t>
      </w:r>
      <w:r w:rsidR="00FD3547" w:rsidRPr="00FD3547">
        <w:rPr>
          <w:sz w:val="16"/>
          <w:lang w:val="uk-UA"/>
        </w:rPr>
        <w:t xml:space="preserve">Поступова зміна діагностичної точності при одночасному тестуванні </w:t>
      </w:r>
      <w:r w:rsidR="00A33666">
        <w:rPr>
          <w:sz w:val="16"/>
          <w:lang w:val="uk-UA"/>
        </w:rPr>
        <w:t xml:space="preserve">кількох зразків </w:t>
      </w:r>
      <w:r w:rsidR="00FD3547" w:rsidRPr="00FD3547">
        <w:rPr>
          <w:sz w:val="16"/>
          <w:lang w:val="uk-UA"/>
        </w:rPr>
        <w:t>порівняно з тестуванням окремих зразків.</w:t>
      </w:r>
    </w:p>
    <w:p w14:paraId="3B040C42" w14:textId="77777777" w:rsidR="00E05B98" w:rsidRPr="003C6DAE" w:rsidRDefault="00E05B98" w:rsidP="00657E6B">
      <w:pPr>
        <w:spacing w:line="276" w:lineRule="auto"/>
        <w:jc w:val="both"/>
        <w:rPr>
          <w:sz w:val="16"/>
          <w:lang w:val="uk-UA"/>
        </w:rPr>
        <w:sectPr w:rsidR="00E05B98" w:rsidRPr="003C6DAE" w:rsidSect="0041632D">
          <w:pgSz w:w="11910" w:h="16840"/>
          <w:pgMar w:top="1320" w:right="995" w:bottom="760" w:left="850" w:header="0" w:footer="573" w:gutter="0"/>
          <w:cols w:space="720"/>
        </w:sectPr>
      </w:pPr>
    </w:p>
    <w:p w14:paraId="25571D6A" w14:textId="2F2CC52B" w:rsidR="00E05B98" w:rsidRPr="003C6DAE" w:rsidRDefault="009957C4" w:rsidP="0041632D">
      <w:pPr>
        <w:pStyle w:val="7"/>
        <w:spacing w:before="46" w:line="269" w:lineRule="auto"/>
        <w:jc w:val="both"/>
        <w:rPr>
          <w:lang w:val="uk-UA"/>
        </w:rPr>
      </w:pPr>
      <w:r w:rsidRPr="004F6E51">
        <w:rPr>
          <w:color w:val="019648"/>
          <w:lang w:val="uk-UA"/>
        </w:rPr>
        <w:lastRenderedPageBreak/>
        <w:t xml:space="preserve">Якою є </w:t>
      </w:r>
      <w:r w:rsidR="004F6E51" w:rsidRPr="004F6E51">
        <w:rPr>
          <w:color w:val="019648"/>
          <w:lang w:val="uk-UA"/>
        </w:rPr>
        <w:t xml:space="preserve">інкрементна </w:t>
      </w:r>
      <w:r w:rsidRPr="004F6E51">
        <w:rPr>
          <w:color w:val="019648"/>
          <w:lang w:val="uk-UA"/>
        </w:rPr>
        <w:t xml:space="preserve">точність </w:t>
      </w:r>
      <w:r w:rsidR="004F6E51" w:rsidRPr="004F6E51">
        <w:rPr>
          <w:color w:val="019648"/>
          <w:lang w:val="uk-UA"/>
        </w:rPr>
        <w:t xml:space="preserve">діагностики при </w:t>
      </w:r>
      <w:r w:rsidRPr="004F6E51">
        <w:rPr>
          <w:color w:val="019648"/>
          <w:lang w:val="uk-UA"/>
        </w:rPr>
        <w:t>одночасно</w:t>
      </w:r>
      <w:r w:rsidR="004F6E51" w:rsidRPr="004F6E51">
        <w:rPr>
          <w:color w:val="019648"/>
          <w:lang w:val="uk-UA"/>
        </w:rPr>
        <w:t>му</w:t>
      </w:r>
      <w:r w:rsidRPr="004F6E51">
        <w:rPr>
          <w:color w:val="019648"/>
          <w:lang w:val="uk-UA"/>
        </w:rPr>
        <w:t xml:space="preserve"> використанн</w:t>
      </w:r>
      <w:r w:rsidR="004F6E51" w:rsidRPr="004F6E51">
        <w:rPr>
          <w:color w:val="019648"/>
          <w:lang w:val="uk-UA"/>
        </w:rPr>
        <w:t>і</w:t>
      </w:r>
      <w:r w:rsidRPr="004F6E51">
        <w:rPr>
          <w:color w:val="019648"/>
          <w:lang w:val="uk-UA"/>
        </w:rPr>
        <w:t xml:space="preserve"> аТАНК-НС на зразках із дихальних шляхів і аналізу LF-LAM на зразках сечі для діагностики ТБ у дорослих і підлітків з ВІЛ</w:t>
      </w:r>
      <w:r w:rsidR="00890E8A" w:rsidRPr="004F6E51">
        <w:rPr>
          <w:color w:val="019648"/>
          <w:lang w:val="uk-UA"/>
        </w:rPr>
        <w:t xml:space="preserve"> та з</w:t>
      </w:r>
      <w:r w:rsidRPr="004F6E51">
        <w:rPr>
          <w:color w:val="019648"/>
          <w:lang w:val="uk-UA"/>
        </w:rPr>
        <w:t xml:space="preserve"> підозр</w:t>
      </w:r>
      <w:r w:rsidR="00890E8A" w:rsidRPr="004F6E51">
        <w:rPr>
          <w:color w:val="019648"/>
          <w:lang w:val="uk-UA"/>
        </w:rPr>
        <w:t>ою</w:t>
      </w:r>
      <w:r w:rsidRPr="004F6E51">
        <w:rPr>
          <w:color w:val="019648"/>
          <w:lang w:val="uk-UA"/>
        </w:rPr>
        <w:t xml:space="preserve"> на ТБ, порівняно з будь-яким </w:t>
      </w:r>
      <w:r w:rsidR="00890E8A" w:rsidRPr="004F6E51">
        <w:rPr>
          <w:color w:val="019648"/>
          <w:lang w:val="uk-UA"/>
        </w:rPr>
        <w:t>і</w:t>
      </w:r>
      <w:r w:rsidRPr="004F6E51">
        <w:rPr>
          <w:color w:val="019648"/>
          <w:lang w:val="uk-UA"/>
        </w:rPr>
        <w:t>з цих тестів окремо?</w:t>
      </w:r>
    </w:p>
    <w:p w14:paraId="1A103265" w14:textId="735A43F4" w:rsidR="00E05B98" w:rsidRPr="00C77168" w:rsidRDefault="009957C4" w:rsidP="0041632D">
      <w:pPr>
        <w:pStyle w:val="a3"/>
        <w:spacing w:before="218" w:line="269" w:lineRule="auto"/>
        <w:ind w:left="567"/>
        <w:jc w:val="both"/>
        <w:rPr>
          <w:sz w:val="20"/>
          <w:szCs w:val="20"/>
          <w:lang w:val="uk-UA"/>
        </w:rPr>
      </w:pPr>
      <w:r w:rsidRPr="009957C4">
        <w:rPr>
          <w:spacing w:val="-2"/>
          <w:sz w:val="20"/>
          <w:szCs w:val="20"/>
          <w:lang w:val="uk-UA"/>
        </w:rPr>
        <w:t xml:space="preserve">Із 31 дослідження, </w:t>
      </w:r>
      <w:r w:rsidR="007444F6">
        <w:rPr>
          <w:spacing w:val="-2"/>
          <w:sz w:val="20"/>
          <w:szCs w:val="20"/>
          <w:lang w:val="uk-UA"/>
        </w:rPr>
        <w:t xml:space="preserve">у </w:t>
      </w:r>
      <w:r w:rsidRPr="009957C4">
        <w:rPr>
          <w:spacing w:val="-2"/>
          <w:sz w:val="20"/>
          <w:szCs w:val="20"/>
          <w:lang w:val="uk-UA"/>
        </w:rPr>
        <w:t xml:space="preserve">27 </w:t>
      </w:r>
      <w:r w:rsidR="00B9205B">
        <w:rPr>
          <w:spacing w:val="-2"/>
          <w:sz w:val="20"/>
          <w:szCs w:val="20"/>
          <w:lang w:val="uk-UA"/>
        </w:rPr>
        <w:t xml:space="preserve">- </w:t>
      </w:r>
      <w:r w:rsidRPr="009957C4">
        <w:rPr>
          <w:spacing w:val="-2"/>
          <w:sz w:val="20"/>
          <w:szCs w:val="20"/>
          <w:lang w:val="uk-UA"/>
        </w:rPr>
        <w:t xml:space="preserve">оцінювали діагностичну точність </w:t>
      </w:r>
      <w:r w:rsidR="007444F6">
        <w:rPr>
          <w:spacing w:val="-2"/>
          <w:sz w:val="20"/>
          <w:szCs w:val="20"/>
          <w:lang w:val="uk-UA"/>
        </w:rPr>
        <w:t xml:space="preserve">тестів </w:t>
      </w:r>
      <w:r w:rsidRPr="009957C4">
        <w:rPr>
          <w:spacing w:val="-2"/>
          <w:sz w:val="20"/>
          <w:szCs w:val="20"/>
          <w:lang w:val="uk-UA"/>
        </w:rPr>
        <w:t xml:space="preserve">на противагу мікробіологічному еталонному стандарту (MRS), а </w:t>
      </w:r>
      <w:r w:rsidR="007444F6">
        <w:rPr>
          <w:spacing w:val="-2"/>
          <w:sz w:val="20"/>
          <w:szCs w:val="20"/>
          <w:lang w:val="uk-UA"/>
        </w:rPr>
        <w:t xml:space="preserve">у </w:t>
      </w:r>
      <w:r w:rsidRPr="009957C4">
        <w:rPr>
          <w:spacing w:val="-2"/>
          <w:sz w:val="20"/>
          <w:szCs w:val="20"/>
          <w:lang w:val="uk-UA"/>
        </w:rPr>
        <w:t xml:space="preserve">23 - </w:t>
      </w:r>
      <w:r w:rsidR="007444F6" w:rsidRPr="009957C4">
        <w:rPr>
          <w:spacing w:val="-2"/>
          <w:sz w:val="20"/>
          <w:szCs w:val="20"/>
          <w:lang w:val="uk-UA"/>
        </w:rPr>
        <w:t xml:space="preserve">діагностичну точність </w:t>
      </w:r>
      <w:r w:rsidR="007444F6">
        <w:rPr>
          <w:spacing w:val="-2"/>
          <w:sz w:val="20"/>
          <w:szCs w:val="20"/>
          <w:lang w:val="uk-UA"/>
        </w:rPr>
        <w:t>тестів</w:t>
      </w:r>
      <w:r w:rsidR="007444F6" w:rsidRPr="009957C4">
        <w:rPr>
          <w:spacing w:val="-2"/>
          <w:sz w:val="20"/>
          <w:szCs w:val="20"/>
          <w:lang w:val="uk-UA"/>
        </w:rPr>
        <w:t xml:space="preserve"> </w:t>
      </w:r>
      <w:r w:rsidRPr="009957C4">
        <w:rPr>
          <w:spacing w:val="-2"/>
          <w:sz w:val="20"/>
          <w:szCs w:val="20"/>
          <w:lang w:val="uk-UA"/>
        </w:rPr>
        <w:t xml:space="preserve">на противагу композитному еталонному стандарту (CRS), причому </w:t>
      </w:r>
      <w:r w:rsidR="007444F6">
        <w:rPr>
          <w:spacing w:val="-2"/>
          <w:sz w:val="20"/>
          <w:szCs w:val="20"/>
          <w:lang w:val="uk-UA"/>
        </w:rPr>
        <w:t xml:space="preserve">у </w:t>
      </w:r>
      <w:r w:rsidRPr="009957C4">
        <w:rPr>
          <w:spacing w:val="-2"/>
          <w:sz w:val="20"/>
          <w:szCs w:val="20"/>
          <w:lang w:val="uk-UA"/>
        </w:rPr>
        <w:t>20 досліджен</w:t>
      </w:r>
      <w:r w:rsidR="007444F6">
        <w:rPr>
          <w:spacing w:val="-2"/>
          <w:sz w:val="20"/>
          <w:szCs w:val="20"/>
          <w:lang w:val="uk-UA"/>
        </w:rPr>
        <w:t>нях</w:t>
      </w:r>
      <w:r w:rsidRPr="009957C4">
        <w:rPr>
          <w:spacing w:val="-2"/>
          <w:sz w:val="20"/>
          <w:szCs w:val="20"/>
          <w:lang w:val="uk-UA"/>
        </w:rPr>
        <w:t xml:space="preserve"> оцінювали точність </w:t>
      </w:r>
      <w:r w:rsidR="007444F6">
        <w:rPr>
          <w:spacing w:val="-2"/>
          <w:sz w:val="20"/>
          <w:szCs w:val="20"/>
          <w:lang w:val="uk-UA"/>
        </w:rPr>
        <w:t xml:space="preserve">тестів на виявлення ТБ </w:t>
      </w:r>
      <w:r w:rsidRPr="009957C4">
        <w:rPr>
          <w:spacing w:val="-2"/>
          <w:sz w:val="20"/>
          <w:szCs w:val="20"/>
          <w:lang w:val="uk-UA"/>
        </w:rPr>
        <w:t>порівняно з обома еталонними стандартами.</w:t>
      </w:r>
    </w:p>
    <w:p w14:paraId="73895051" w14:textId="77777777" w:rsidR="004F6E51" w:rsidRDefault="003C5BA2" w:rsidP="004F6E51">
      <w:pPr>
        <w:pStyle w:val="a3"/>
        <w:spacing w:before="173" w:line="269" w:lineRule="auto"/>
        <w:ind w:left="567"/>
        <w:jc w:val="both"/>
        <w:rPr>
          <w:sz w:val="20"/>
          <w:szCs w:val="20"/>
          <w:lang w:val="uk-UA"/>
        </w:rPr>
      </w:pPr>
      <w:r w:rsidRPr="003C5BA2">
        <w:rPr>
          <w:sz w:val="20"/>
          <w:szCs w:val="20"/>
          <w:lang w:val="uk-UA"/>
        </w:rPr>
        <w:t>Загалом у 27 дослідженнях (12 651 учасник, у тому числі 2368 осіб [18,7%] з ТБ) порівнювали точність одночасного використання аТАНК</w:t>
      </w:r>
      <w:r w:rsidR="0088552A">
        <w:rPr>
          <w:sz w:val="20"/>
          <w:szCs w:val="20"/>
          <w:lang w:val="uk-UA"/>
        </w:rPr>
        <w:t>-Н</w:t>
      </w:r>
      <w:r w:rsidRPr="003C5BA2">
        <w:rPr>
          <w:sz w:val="20"/>
          <w:szCs w:val="20"/>
          <w:lang w:val="uk-UA"/>
        </w:rPr>
        <w:t>С на зразках із респіраторних шляхів та аналізу LF-LAM на противагу кожному з тестів окремо, використовуючи MRS. Об'єднаний показник відмінностей в чутливості та специфічності між одночасним тестуванням та використанням лише аТАНК-НС становили 6,7% (95% довірчий інтервал [ДІ]: від 3,8 до 10,7; 95% довірчий інтервал [ДІ]: від 0,6 до 45,7; 95% довірчий інтервал [ДІ]: 0,6 до 45,9) і -6,8% (95% ДІ: -9,5 до -4,7; 95% ДІ: -32,8 до -6,8) відповідно (Рис. 2.3.1.1). Достовірність доказів була низькою як для чутливості, так і для специфічності.</w:t>
      </w:r>
    </w:p>
    <w:p w14:paraId="209BDB0A" w14:textId="60FA0B1D" w:rsidR="00E05B98" w:rsidRPr="00C77168" w:rsidRDefault="003C5BA2" w:rsidP="004F6E51">
      <w:pPr>
        <w:pStyle w:val="a3"/>
        <w:spacing w:before="173" w:line="269" w:lineRule="auto"/>
        <w:ind w:left="567"/>
        <w:jc w:val="both"/>
        <w:rPr>
          <w:sz w:val="20"/>
          <w:szCs w:val="20"/>
          <w:lang w:val="uk-UA"/>
        </w:rPr>
      </w:pPr>
      <w:r w:rsidRPr="003C5BA2">
        <w:rPr>
          <w:sz w:val="20"/>
          <w:szCs w:val="20"/>
          <w:lang w:val="uk-UA"/>
        </w:rPr>
        <w:t>Загалом у 23 дослідженнях (11 109 учасників, у тому числі 3723 осіб [33,5%] з ТБ) порівнювали точність одночасного застосування аТАНК-НС і аналізу LF-LAM на противагу лише аТАНК-НС, використовуючи CRS. Об'єднані відмінності в чутливості та специфічності між одночасним тестуванням за допомогою двох аналізів та лише аТАНК-НС становили 16,0% (95% ДІ: від 10,7 до 22,9; 95% ДІ: від 2,3 до 60,3) та -3,5% (95% ДІ: від -6,6 до -1,7; 95% ДІ: від -47,2 до -0,1), відповідно (</w:t>
      </w:r>
      <w:r w:rsidRPr="003C5BA2">
        <w:rPr>
          <w:b/>
          <w:bCs/>
          <w:sz w:val="20"/>
          <w:szCs w:val="20"/>
          <w:lang w:val="uk-UA"/>
        </w:rPr>
        <w:t>Рис. 2.3.1.1</w:t>
      </w:r>
      <w:r w:rsidRPr="003C5BA2">
        <w:rPr>
          <w:sz w:val="20"/>
          <w:szCs w:val="20"/>
          <w:lang w:val="uk-UA"/>
        </w:rPr>
        <w:t>). Достовірність доказів була низькою для чутливості та дуже низькою для специфічності</w:t>
      </w:r>
      <w:r w:rsidR="00B01E0C" w:rsidRPr="00C77168">
        <w:rPr>
          <w:w w:val="105"/>
          <w:sz w:val="20"/>
          <w:szCs w:val="20"/>
          <w:lang w:val="uk-UA"/>
        </w:rPr>
        <w:t>.</w:t>
      </w:r>
    </w:p>
    <w:p w14:paraId="162EE301" w14:textId="18BEE78F" w:rsidR="00E05B98" w:rsidRPr="003C6DAE" w:rsidRDefault="00B01E0C" w:rsidP="006E5FF6">
      <w:pPr>
        <w:pStyle w:val="6"/>
        <w:spacing w:before="240" w:line="269" w:lineRule="auto"/>
        <w:ind w:right="-138"/>
        <w:rPr>
          <w:lang w:val="uk-UA"/>
        </w:rPr>
      </w:pPr>
      <w:r w:rsidRPr="00C77168">
        <w:rPr>
          <w:rFonts w:ascii="Microsoft Sans Serif" w:hAnsi="Microsoft Sans Serif" w:cs="Microsoft Sans Serif"/>
          <w:noProof/>
          <w:sz w:val="20"/>
          <w:szCs w:val="20"/>
          <w:lang w:val="uk-UA"/>
        </w:rPr>
        <mc:AlternateContent>
          <mc:Choice Requires="wpg">
            <w:drawing>
              <wp:anchor distT="0" distB="0" distL="0" distR="0" simplePos="0" relativeHeight="16043520" behindDoc="0" locked="0" layoutInCell="1" allowOverlap="1" wp14:anchorId="7D1B4A4B" wp14:editId="734939B7">
                <wp:simplePos x="0" y="0"/>
                <wp:positionH relativeFrom="page">
                  <wp:posOffset>3288905</wp:posOffset>
                </wp:positionH>
                <wp:positionV relativeFrom="paragraph">
                  <wp:posOffset>854620</wp:posOffset>
                </wp:positionV>
                <wp:extent cx="106680" cy="63500"/>
                <wp:effectExtent l="0" t="0" r="0" b="0"/>
                <wp:wrapNone/>
                <wp:docPr id="1986" name="Group 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63500"/>
                          <a:chOff x="0" y="0"/>
                          <a:chExt cx="106680" cy="63500"/>
                        </a:xfrm>
                      </wpg:grpSpPr>
                      <wps:wsp>
                        <wps:cNvPr id="1987" name="Graphic 1987"/>
                        <wps:cNvSpPr/>
                        <wps:spPr>
                          <a:xfrm>
                            <a:off x="0" y="31597"/>
                            <a:ext cx="106680" cy="1270"/>
                          </a:xfrm>
                          <a:custGeom>
                            <a:avLst/>
                            <a:gdLst/>
                            <a:ahLst/>
                            <a:cxnLst/>
                            <a:rect l="l" t="t" r="r" b="b"/>
                            <a:pathLst>
                              <a:path w="106680">
                                <a:moveTo>
                                  <a:pt x="0" y="0"/>
                                </a:moveTo>
                                <a:lnTo>
                                  <a:pt x="106413" y="0"/>
                                </a:lnTo>
                              </a:path>
                            </a:pathLst>
                          </a:custGeom>
                          <a:ln w="7315">
                            <a:solidFill>
                              <a:srgbClr val="000000"/>
                            </a:solidFill>
                            <a:prstDash val="solid"/>
                          </a:ln>
                        </wps:spPr>
                        <wps:bodyPr wrap="square" lIns="0" tIns="0" rIns="0" bIns="0" rtlCol="0">
                          <a:prstTxWarp prst="textNoShape">
                            <a:avLst/>
                          </a:prstTxWarp>
                          <a:noAutofit/>
                        </wps:bodyPr>
                      </wps:wsp>
                      <wps:wsp>
                        <wps:cNvPr id="1988" name="Graphic 1988"/>
                        <wps:cNvSpPr/>
                        <wps:spPr>
                          <a:xfrm>
                            <a:off x="20537" y="0"/>
                            <a:ext cx="63500" cy="63500"/>
                          </a:xfrm>
                          <a:custGeom>
                            <a:avLst/>
                            <a:gdLst/>
                            <a:ahLst/>
                            <a:cxnLst/>
                            <a:rect l="l" t="t" r="r" b="b"/>
                            <a:pathLst>
                              <a:path w="63500" h="63500">
                                <a:moveTo>
                                  <a:pt x="31584" y="0"/>
                                </a:moveTo>
                                <a:lnTo>
                                  <a:pt x="0" y="31597"/>
                                </a:lnTo>
                                <a:lnTo>
                                  <a:pt x="31584" y="63144"/>
                                </a:lnTo>
                                <a:lnTo>
                                  <a:pt x="63144" y="31597"/>
                                </a:lnTo>
                                <a:lnTo>
                                  <a:pt x="315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C7A0AB" id="Group 1986" o:spid="_x0000_s1026" style="position:absolute;margin-left:258.95pt;margin-top:67.3pt;width:8.4pt;height:5pt;z-index:16043520;mso-wrap-distance-left:0;mso-wrap-distance-right:0;mso-position-horizontal-relative:page" coordsize="106680,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">
                <v:shape id="Graphic 1987" o:spid="_x0000_s1027" style="position:absolute;top:31597;width:106680;height:1270;visibility:visible;mso-wrap-style:square;v-text-anchor:top" coordsize="106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" path="m,l106413,e" filled="f" strokeweight=".20319mm">
                  <v:path arrowok="t"/>
                </v:shape>
                <v:shape id="Graphic 1988" o:spid="_x0000_s1028" style="position:absolute;left:20537;width:63500;height:63500;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" path="m31584,l,31597,31584,63144,63144,31597,31584,xe" fillcolor="black" stroked="f">
                  <v:path arrowok="t"/>
                </v:shape>
                <w10:wrap anchorx="page"/>
              </v:group>
            </w:pict>
          </mc:Fallback>
        </mc:AlternateContent>
      </w:r>
      <w:bookmarkStart w:id="58" w:name="_bookmark25"/>
      <w:bookmarkEnd w:id="58"/>
      <w:r w:rsidR="003C5BA2">
        <w:rPr>
          <w:rFonts w:ascii="Microsoft Sans Serif" w:hAnsi="Microsoft Sans Serif" w:cs="Microsoft Sans Serif"/>
          <w:color w:val="636466"/>
          <w:sz w:val="20"/>
          <w:szCs w:val="20"/>
          <w:lang w:val="uk-UA"/>
        </w:rPr>
        <w:t>Рис</w:t>
      </w:r>
      <w:r w:rsidRPr="00C77168">
        <w:rPr>
          <w:rFonts w:ascii="Microsoft Sans Serif" w:hAnsi="Microsoft Sans Serif" w:cs="Microsoft Sans Serif"/>
          <w:color w:val="636466"/>
          <w:sz w:val="20"/>
          <w:szCs w:val="20"/>
          <w:lang w:val="uk-UA"/>
        </w:rPr>
        <w:t xml:space="preserve">. 2.3.1.1. </w:t>
      </w:r>
      <w:r w:rsidR="003C5BA2" w:rsidRPr="003C5BA2">
        <w:rPr>
          <w:rFonts w:ascii="Microsoft Sans Serif" w:hAnsi="Microsoft Sans Serif" w:cs="Microsoft Sans Serif"/>
          <w:color w:val="636466"/>
          <w:sz w:val="20"/>
          <w:szCs w:val="20"/>
          <w:lang w:val="uk-UA"/>
        </w:rPr>
        <w:t xml:space="preserve">Лісова діаграма об'єднаних відмінностей </w:t>
      </w:r>
      <w:r w:rsidR="0088552A">
        <w:rPr>
          <w:rFonts w:ascii="Microsoft Sans Serif" w:hAnsi="Microsoft Sans Serif" w:cs="Microsoft Sans Serif"/>
          <w:color w:val="636466"/>
          <w:sz w:val="20"/>
          <w:szCs w:val="20"/>
          <w:lang w:val="uk-UA"/>
        </w:rPr>
        <w:t>в</w:t>
      </w:r>
      <w:r w:rsidR="003C5BA2" w:rsidRPr="003C5BA2">
        <w:rPr>
          <w:rFonts w:ascii="Microsoft Sans Serif" w:hAnsi="Microsoft Sans Serif" w:cs="Microsoft Sans Serif"/>
          <w:color w:val="636466"/>
          <w:sz w:val="20"/>
          <w:szCs w:val="20"/>
          <w:lang w:val="uk-UA"/>
        </w:rPr>
        <w:t xml:space="preserve"> чутливості та специфічності (усі дослідження разом) за допомогою індексного тесту: LF-LAM, аТАНК-НС та їх одночасне використання</w:t>
      </w:r>
      <w:r w:rsidR="00507F6E">
        <w:rPr>
          <w:rFonts w:ascii="Microsoft Sans Serif" w:hAnsi="Microsoft Sans Serif" w:cs="Microsoft Sans Serif"/>
          <w:color w:val="636466"/>
          <w:sz w:val="20"/>
          <w:szCs w:val="20"/>
          <w:lang w:val="uk-UA"/>
        </w:rPr>
        <w:t xml:space="preserve"> </w:t>
      </w:r>
      <w:r w:rsidRPr="003C6DAE">
        <w:rPr>
          <w:color w:val="636466"/>
          <w:spacing w:val="-2"/>
          <w:vertAlign w:val="superscript"/>
          <w:lang w:val="uk-UA"/>
        </w:rPr>
        <w:t>a</w:t>
      </w:r>
    </w:p>
    <w:p w14:paraId="1FC76512" w14:textId="77777777" w:rsidR="00E05B98" w:rsidRPr="003C6DAE" w:rsidRDefault="00E05B98">
      <w:pPr>
        <w:pStyle w:val="a3"/>
        <w:spacing w:before="1"/>
        <w:rPr>
          <w:rFonts w:ascii="Arial"/>
          <w:b/>
          <w:sz w:val="14"/>
          <w:lang w:val="uk-UA"/>
        </w:rPr>
      </w:pPr>
    </w:p>
    <w:p w14:paraId="3F7D36DC" w14:textId="77777777" w:rsidR="00E05B98" w:rsidRPr="003C6DAE" w:rsidRDefault="00E05B98">
      <w:pPr>
        <w:pStyle w:val="a3"/>
        <w:rPr>
          <w:rFonts w:ascii="Arial"/>
          <w:b/>
          <w:sz w:val="14"/>
          <w:lang w:val="uk-UA"/>
        </w:rPr>
        <w:sectPr w:rsidR="00E05B98" w:rsidRPr="003C6DAE" w:rsidSect="0041632D">
          <w:pgSz w:w="11910" w:h="16840"/>
          <w:pgMar w:top="993" w:right="995" w:bottom="760" w:left="850" w:header="0" w:footer="573" w:gutter="0"/>
          <w:cols w:space="720"/>
        </w:sectPr>
      </w:pPr>
    </w:p>
    <w:p w14:paraId="41AE6F29" w14:textId="5FFBAE18" w:rsidR="00E05B98" w:rsidRPr="003C6DAE" w:rsidRDefault="003C5BA2">
      <w:pPr>
        <w:spacing w:before="98" w:line="439" w:lineRule="auto"/>
        <w:ind w:left="614" w:hanging="24"/>
        <w:rPr>
          <w:rFonts w:ascii="Arial"/>
          <w:b/>
          <w:sz w:val="12"/>
          <w:lang w:val="uk-UA"/>
        </w:rPr>
      </w:pPr>
      <w:r>
        <w:rPr>
          <w:rFonts w:ascii="Arial"/>
          <w:b/>
          <w:spacing w:val="-2"/>
          <w:sz w:val="12"/>
          <w:lang w:val="uk-UA"/>
        </w:rPr>
        <w:t>Еталон</w:t>
      </w:r>
      <w:r>
        <w:rPr>
          <w:rFonts w:ascii="Arial"/>
          <w:b/>
          <w:spacing w:val="-2"/>
          <w:sz w:val="12"/>
          <w:lang w:val="uk-UA"/>
        </w:rPr>
        <w:t xml:space="preserve"> </w:t>
      </w:r>
      <w:r w:rsidR="00B01E0C" w:rsidRPr="003C6DAE">
        <w:rPr>
          <w:rFonts w:ascii="Arial"/>
          <w:b/>
          <w:spacing w:val="40"/>
          <w:sz w:val="12"/>
          <w:lang w:val="uk-UA"/>
        </w:rPr>
        <w:t xml:space="preserve"> </w:t>
      </w:r>
      <w:r w:rsidR="00B01E0C" w:rsidRPr="003C6DAE">
        <w:rPr>
          <w:rFonts w:ascii="Arial"/>
          <w:b/>
          <w:color w:val="62B6CB"/>
          <w:spacing w:val="-4"/>
          <w:sz w:val="12"/>
          <w:lang w:val="uk-UA"/>
        </w:rPr>
        <w:t>MRS</w:t>
      </w:r>
    </w:p>
    <w:p w14:paraId="5BEB5E8B" w14:textId="77777777" w:rsidR="00E05B98" w:rsidRPr="003C6DAE" w:rsidRDefault="00E05B98">
      <w:pPr>
        <w:pStyle w:val="a3"/>
        <w:rPr>
          <w:rFonts w:ascii="Arial"/>
          <w:b/>
          <w:sz w:val="12"/>
          <w:lang w:val="uk-UA"/>
        </w:rPr>
      </w:pPr>
    </w:p>
    <w:p w14:paraId="6F96F4DA" w14:textId="77777777" w:rsidR="00E05B98" w:rsidRPr="003C6DAE" w:rsidRDefault="00E05B98">
      <w:pPr>
        <w:pStyle w:val="a3"/>
        <w:rPr>
          <w:rFonts w:ascii="Arial"/>
          <w:b/>
          <w:sz w:val="12"/>
          <w:lang w:val="uk-UA"/>
        </w:rPr>
      </w:pPr>
    </w:p>
    <w:p w14:paraId="0D3C40CA" w14:textId="77777777" w:rsidR="00E05B98" w:rsidRPr="003C6DAE" w:rsidRDefault="00E05B98">
      <w:pPr>
        <w:pStyle w:val="a3"/>
        <w:rPr>
          <w:rFonts w:ascii="Arial"/>
          <w:b/>
          <w:sz w:val="12"/>
          <w:lang w:val="uk-UA"/>
        </w:rPr>
      </w:pPr>
    </w:p>
    <w:p w14:paraId="5B8E46F2" w14:textId="77777777" w:rsidR="00E05B98" w:rsidRPr="003C6DAE" w:rsidRDefault="00E05B98">
      <w:pPr>
        <w:pStyle w:val="a3"/>
        <w:rPr>
          <w:rFonts w:ascii="Arial"/>
          <w:b/>
          <w:sz w:val="12"/>
          <w:lang w:val="uk-UA"/>
        </w:rPr>
      </w:pPr>
    </w:p>
    <w:p w14:paraId="7C448947" w14:textId="77777777" w:rsidR="00E05B98" w:rsidRPr="003C6DAE" w:rsidRDefault="00E05B98">
      <w:pPr>
        <w:pStyle w:val="a3"/>
        <w:rPr>
          <w:rFonts w:ascii="Arial"/>
          <w:b/>
          <w:sz w:val="12"/>
          <w:lang w:val="uk-UA"/>
        </w:rPr>
      </w:pPr>
    </w:p>
    <w:p w14:paraId="6C53610D" w14:textId="77777777" w:rsidR="00E05B98" w:rsidRPr="003C6DAE" w:rsidRDefault="00E05B98">
      <w:pPr>
        <w:pStyle w:val="a3"/>
        <w:rPr>
          <w:rFonts w:ascii="Arial"/>
          <w:b/>
          <w:sz w:val="12"/>
          <w:lang w:val="uk-UA"/>
        </w:rPr>
      </w:pPr>
    </w:p>
    <w:p w14:paraId="55BF1E17" w14:textId="77777777" w:rsidR="00E05B98" w:rsidRPr="003C6DAE" w:rsidRDefault="00E05B98">
      <w:pPr>
        <w:pStyle w:val="a3"/>
        <w:spacing w:before="43"/>
        <w:rPr>
          <w:rFonts w:ascii="Arial"/>
          <w:b/>
          <w:sz w:val="12"/>
          <w:lang w:val="uk-UA"/>
        </w:rPr>
      </w:pPr>
    </w:p>
    <w:p w14:paraId="1FF247A0" w14:textId="77777777" w:rsidR="00E05B98" w:rsidRPr="003C6DAE" w:rsidRDefault="00B01E0C">
      <w:pPr>
        <w:spacing w:before="1"/>
        <w:ind w:left="627"/>
        <w:rPr>
          <w:rFonts w:ascii="Arial"/>
          <w:b/>
          <w:sz w:val="12"/>
          <w:lang w:val="uk-UA"/>
        </w:rPr>
      </w:pPr>
      <w:r w:rsidRPr="003C6DAE">
        <w:rPr>
          <w:rFonts w:ascii="Arial"/>
          <w:b/>
          <w:color w:val="FF0000"/>
          <w:spacing w:val="-5"/>
          <w:sz w:val="12"/>
          <w:lang w:val="uk-UA"/>
        </w:rPr>
        <w:t>CRS</w:t>
      </w:r>
    </w:p>
    <w:p w14:paraId="2CB294DA" w14:textId="724B3D16" w:rsidR="00E05B98" w:rsidRPr="003C6DAE" w:rsidRDefault="00B01E0C">
      <w:pPr>
        <w:spacing w:before="98"/>
        <w:ind w:left="82"/>
        <w:rPr>
          <w:rFonts w:ascii="Arial"/>
          <w:b/>
          <w:sz w:val="12"/>
          <w:lang w:val="uk-UA"/>
        </w:rPr>
      </w:pPr>
      <w:r w:rsidRPr="003C6DAE">
        <w:rPr>
          <w:lang w:val="uk-UA"/>
        </w:rPr>
        <w:br w:type="column"/>
      </w:r>
      <w:r w:rsidR="003C5BA2">
        <w:rPr>
          <w:rFonts w:ascii="Arial"/>
          <w:b/>
          <w:spacing w:val="-4"/>
          <w:sz w:val="12"/>
          <w:lang w:val="uk-UA"/>
        </w:rPr>
        <w:t>Тест</w:t>
      </w:r>
    </w:p>
    <w:p w14:paraId="5A052CDC" w14:textId="5D5E1954" w:rsidR="00E05B98" w:rsidRPr="003C6DAE" w:rsidRDefault="00B01E0C" w:rsidP="002C003A">
      <w:pPr>
        <w:spacing w:before="115" w:line="439" w:lineRule="auto"/>
        <w:ind w:right="20"/>
        <w:rPr>
          <w:rFonts w:ascii="Arial MT"/>
          <w:sz w:val="12"/>
          <w:lang w:val="uk-UA"/>
        </w:rPr>
      </w:pPr>
      <w:r w:rsidRPr="003C6DAE">
        <w:rPr>
          <w:rFonts w:ascii="Arial MT"/>
          <w:spacing w:val="-2"/>
          <w:sz w:val="12"/>
          <w:lang w:val="uk-UA"/>
        </w:rPr>
        <w:t>LF-LAM</w:t>
      </w:r>
      <w:r w:rsidRPr="003C6DAE">
        <w:rPr>
          <w:rFonts w:ascii="Arial MT"/>
          <w:spacing w:val="40"/>
          <w:sz w:val="12"/>
          <w:lang w:val="uk-UA"/>
        </w:rPr>
        <w:t xml:space="preserve"> </w:t>
      </w:r>
      <w:r w:rsidR="002C003A">
        <w:rPr>
          <w:rFonts w:ascii="Arial MT"/>
          <w:sz w:val="12"/>
          <w:lang w:val="uk-UA"/>
        </w:rPr>
        <w:t>аТАНК</w:t>
      </w:r>
      <w:r w:rsidR="002C003A">
        <w:rPr>
          <w:rFonts w:ascii="Arial MT"/>
          <w:sz w:val="12"/>
          <w:lang w:val="uk-UA"/>
        </w:rPr>
        <w:t>-</w:t>
      </w:r>
      <w:r w:rsidR="002C003A">
        <w:rPr>
          <w:rFonts w:ascii="Arial MT"/>
          <w:sz w:val="12"/>
          <w:lang w:val="uk-UA"/>
        </w:rPr>
        <w:t>НС</w:t>
      </w:r>
    </w:p>
    <w:p w14:paraId="1396E092" w14:textId="72A8D171" w:rsidR="00E05B98" w:rsidRPr="003C6DAE" w:rsidRDefault="002C003A" w:rsidP="002C003A">
      <w:pPr>
        <w:spacing w:line="439" w:lineRule="auto"/>
        <w:rPr>
          <w:rFonts w:ascii="Arial MT"/>
          <w:sz w:val="12"/>
          <w:lang w:val="uk-UA"/>
        </w:rPr>
      </w:pPr>
      <w:r>
        <w:rPr>
          <w:rFonts w:ascii="Arial MT"/>
          <w:spacing w:val="-2"/>
          <w:sz w:val="12"/>
          <w:lang w:val="uk-UA"/>
        </w:rPr>
        <w:t>Одночасно</w:t>
      </w:r>
      <w:r w:rsidR="00B01E0C" w:rsidRPr="003C6DAE">
        <w:rPr>
          <w:rFonts w:ascii="Arial MT"/>
          <w:spacing w:val="40"/>
          <w:sz w:val="12"/>
          <w:lang w:val="uk-UA"/>
        </w:rPr>
        <w:t xml:space="preserve"> </w:t>
      </w:r>
      <w:r>
        <w:rPr>
          <w:rFonts w:ascii="Arial MT"/>
          <w:spacing w:val="-2"/>
          <w:sz w:val="12"/>
          <w:lang w:val="uk-UA"/>
        </w:rPr>
        <w:t>Відмінність</w:t>
      </w:r>
      <w:r>
        <w:rPr>
          <w:rFonts w:ascii="Arial MT"/>
          <w:spacing w:val="-2"/>
          <w:sz w:val="12"/>
          <w:lang w:val="uk-UA"/>
        </w:rPr>
        <w:t xml:space="preserve"> </w:t>
      </w:r>
    </w:p>
    <w:p w14:paraId="1E32030E" w14:textId="77777777" w:rsidR="00E05B98" w:rsidRPr="003C6DAE" w:rsidRDefault="00E05B98">
      <w:pPr>
        <w:pStyle w:val="a3"/>
        <w:spacing w:before="113"/>
        <w:rPr>
          <w:rFonts w:ascii="Arial MT"/>
          <w:sz w:val="12"/>
          <w:lang w:val="uk-UA"/>
        </w:rPr>
      </w:pPr>
    </w:p>
    <w:p w14:paraId="7FABE488" w14:textId="038B2838" w:rsidR="00E05B98" w:rsidRPr="003C6DAE" w:rsidRDefault="00B01E0C" w:rsidP="002C003A">
      <w:pPr>
        <w:spacing w:before="1" w:line="439" w:lineRule="auto"/>
        <w:ind w:right="20"/>
        <w:rPr>
          <w:rFonts w:ascii="Arial MT"/>
          <w:sz w:val="12"/>
          <w:lang w:val="uk-UA"/>
        </w:rPr>
      </w:pPr>
      <w:r w:rsidRPr="003C6DAE">
        <w:rPr>
          <w:rFonts w:ascii="Arial MT"/>
          <w:spacing w:val="-2"/>
          <w:sz w:val="12"/>
          <w:lang w:val="uk-UA"/>
        </w:rPr>
        <w:t>LF-LAM</w:t>
      </w:r>
      <w:r w:rsidRPr="003C6DAE">
        <w:rPr>
          <w:rFonts w:ascii="Arial MT"/>
          <w:spacing w:val="40"/>
          <w:sz w:val="12"/>
          <w:lang w:val="uk-UA"/>
        </w:rPr>
        <w:t xml:space="preserve"> </w:t>
      </w:r>
      <w:r w:rsidR="002C003A">
        <w:rPr>
          <w:rFonts w:ascii="Arial MT"/>
          <w:sz w:val="12"/>
          <w:lang w:val="uk-UA"/>
        </w:rPr>
        <w:t>аТАНК</w:t>
      </w:r>
      <w:r w:rsidR="002C003A">
        <w:rPr>
          <w:rFonts w:ascii="Arial MT"/>
          <w:sz w:val="12"/>
          <w:lang w:val="uk-UA"/>
        </w:rPr>
        <w:t>-</w:t>
      </w:r>
      <w:r w:rsidR="002C003A">
        <w:rPr>
          <w:rFonts w:ascii="Arial MT"/>
          <w:sz w:val="12"/>
          <w:lang w:val="uk-UA"/>
        </w:rPr>
        <w:t>НС</w:t>
      </w:r>
    </w:p>
    <w:p w14:paraId="006B3B4F" w14:textId="26668466" w:rsidR="00E05B98" w:rsidRPr="003C6DAE" w:rsidRDefault="002C003A" w:rsidP="002C003A">
      <w:pPr>
        <w:spacing w:line="439" w:lineRule="auto"/>
        <w:rPr>
          <w:rFonts w:ascii="Arial MT"/>
          <w:sz w:val="12"/>
          <w:lang w:val="uk-UA"/>
        </w:rPr>
      </w:pPr>
      <w:r>
        <w:rPr>
          <w:rFonts w:ascii="Arial MT"/>
          <w:spacing w:val="-2"/>
          <w:sz w:val="12"/>
          <w:lang w:val="uk-UA"/>
        </w:rPr>
        <w:t>Одночасно</w:t>
      </w:r>
      <w:r w:rsidR="00B01E0C" w:rsidRPr="003C6DAE">
        <w:rPr>
          <w:rFonts w:ascii="Arial MT"/>
          <w:spacing w:val="40"/>
          <w:sz w:val="12"/>
          <w:lang w:val="uk-UA"/>
        </w:rPr>
        <w:t xml:space="preserve"> </w:t>
      </w:r>
      <w:r>
        <w:rPr>
          <w:rFonts w:ascii="Arial MT"/>
          <w:spacing w:val="-2"/>
          <w:sz w:val="12"/>
          <w:lang w:val="uk-UA"/>
        </w:rPr>
        <w:t>Відмінність</w:t>
      </w:r>
    </w:p>
    <w:p w14:paraId="2CCEE997" w14:textId="5072666C" w:rsidR="00E05B98" w:rsidRPr="003C6DAE" w:rsidRDefault="00B01E0C">
      <w:pPr>
        <w:spacing w:before="98"/>
        <w:ind w:left="78"/>
        <w:rPr>
          <w:rFonts w:ascii="Arial"/>
          <w:b/>
          <w:sz w:val="12"/>
          <w:lang w:val="uk-UA"/>
        </w:rPr>
      </w:pPr>
      <w:r w:rsidRPr="003C6DAE">
        <w:rPr>
          <w:lang w:val="uk-UA"/>
        </w:rPr>
        <w:br w:type="column"/>
      </w:r>
      <w:r w:rsidR="003C5BA2">
        <w:rPr>
          <w:rFonts w:ascii="Arial"/>
          <w:b/>
          <w:spacing w:val="-10"/>
          <w:sz w:val="12"/>
          <w:lang w:val="uk-UA"/>
        </w:rPr>
        <w:t>К</w:t>
      </w:r>
      <w:r w:rsidR="003C5BA2">
        <w:rPr>
          <w:rFonts w:ascii="Arial"/>
          <w:b/>
          <w:spacing w:val="-10"/>
          <w:sz w:val="12"/>
          <w:lang w:val="uk-UA"/>
        </w:rPr>
        <w:t>-</w:t>
      </w:r>
      <w:r w:rsidR="003C5BA2">
        <w:rPr>
          <w:rFonts w:ascii="Arial"/>
          <w:b/>
          <w:spacing w:val="-10"/>
          <w:sz w:val="12"/>
          <w:lang w:val="uk-UA"/>
        </w:rPr>
        <w:t>кість</w:t>
      </w:r>
    </w:p>
    <w:p w14:paraId="18E41FEC" w14:textId="77777777" w:rsidR="00E05B98" w:rsidRPr="003C6DAE" w:rsidRDefault="00B01E0C">
      <w:pPr>
        <w:spacing w:before="115"/>
        <w:ind w:left="78"/>
        <w:rPr>
          <w:rFonts w:ascii="Arial MT"/>
          <w:sz w:val="12"/>
          <w:lang w:val="uk-UA"/>
        </w:rPr>
      </w:pPr>
      <w:r w:rsidRPr="003C6DAE">
        <w:rPr>
          <w:rFonts w:ascii="Arial MT"/>
          <w:spacing w:val="-2"/>
          <w:sz w:val="12"/>
          <w:lang w:val="uk-UA"/>
        </w:rPr>
        <w:t>12651</w:t>
      </w:r>
    </w:p>
    <w:p w14:paraId="02A96C74" w14:textId="77777777" w:rsidR="00E05B98" w:rsidRPr="003C6DAE" w:rsidRDefault="00B01E0C">
      <w:pPr>
        <w:spacing w:before="114"/>
        <w:ind w:left="78"/>
        <w:rPr>
          <w:rFonts w:ascii="Arial MT"/>
          <w:sz w:val="12"/>
          <w:lang w:val="uk-UA"/>
        </w:rPr>
      </w:pPr>
      <w:r w:rsidRPr="003C6DAE">
        <w:rPr>
          <w:rFonts w:ascii="Arial MT"/>
          <w:spacing w:val="-2"/>
          <w:sz w:val="12"/>
          <w:lang w:val="uk-UA"/>
        </w:rPr>
        <w:t>12651</w:t>
      </w:r>
    </w:p>
    <w:p w14:paraId="38B25374" w14:textId="77777777" w:rsidR="00E05B98" w:rsidRPr="003C6DAE" w:rsidRDefault="00B01E0C">
      <w:pPr>
        <w:spacing w:before="114"/>
        <w:ind w:left="78"/>
        <w:rPr>
          <w:rFonts w:ascii="Arial MT"/>
          <w:sz w:val="12"/>
          <w:lang w:val="uk-UA"/>
        </w:rPr>
      </w:pPr>
      <w:r w:rsidRPr="003C6DAE">
        <w:rPr>
          <w:rFonts w:ascii="Arial MT"/>
          <w:spacing w:val="-2"/>
          <w:sz w:val="12"/>
          <w:lang w:val="uk-UA"/>
        </w:rPr>
        <w:t>12651</w:t>
      </w:r>
    </w:p>
    <w:p w14:paraId="2C3858E8" w14:textId="77777777" w:rsidR="00E05B98" w:rsidRPr="003C6DAE" w:rsidRDefault="00E05B98">
      <w:pPr>
        <w:pStyle w:val="a3"/>
        <w:rPr>
          <w:rFonts w:ascii="Arial MT"/>
          <w:sz w:val="12"/>
          <w:lang w:val="uk-UA"/>
        </w:rPr>
      </w:pPr>
    </w:p>
    <w:p w14:paraId="08B78138" w14:textId="77777777" w:rsidR="00E05B98" w:rsidRPr="003C6DAE" w:rsidRDefault="00E05B98">
      <w:pPr>
        <w:pStyle w:val="a3"/>
        <w:rPr>
          <w:rFonts w:ascii="Arial MT"/>
          <w:sz w:val="12"/>
          <w:lang w:val="uk-UA"/>
        </w:rPr>
      </w:pPr>
    </w:p>
    <w:p w14:paraId="02E4F905" w14:textId="77777777" w:rsidR="00E05B98" w:rsidRPr="003C6DAE" w:rsidRDefault="00E05B98">
      <w:pPr>
        <w:pStyle w:val="a3"/>
        <w:rPr>
          <w:rFonts w:ascii="Arial MT"/>
          <w:sz w:val="12"/>
          <w:lang w:val="uk-UA"/>
        </w:rPr>
      </w:pPr>
    </w:p>
    <w:p w14:paraId="2531E6B8" w14:textId="77777777" w:rsidR="00E05B98" w:rsidRPr="003C6DAE" w:rsidRDefault="00E05B98">
      <w:pPr>
        <w:pStyle w:val="a3"/>
        <w:spacing w:before="67"/>
        <w:rPr>
          <w:rFonts w:ascii="Arial MT"/>
          <w:sz w:val="12"/>
          <w:lang w:val="uk-UA"/>
        </w:rPr>
      </w:pPr>
    </w:p>
    <w:p w14:paraId="066CF9A4" w14:textId="77777777" w:rsidR="00E05B98" w:rsidRPr="003C6DAE" w:rsidRDefault="00B01E0C">
      <w:pPr>
        <w:spacing w:before="1"/>
        <w:ind w:left="78"/>
        <w:rPr>
          <w:rFonts w:ascii="Arial MT"/>
          <w:sz w:val="12"/>
          <w:lang w:val="uk-UA"/>
        </w:rPr>
      </w:pPr>
      <w:r w:rsidRPr="003C6DAE">
        <w:rPr>
          <w:rFonts w:ascii="Arial MT"/>
          <w:spacing w:val="-2"/>
          <w:sz w:val="12"/>
          <w:lang w:val="uk-UA"/>
        </w:rPr>
        <w:t>11109</w:t>
      </w:r>
    </w:p>
    <w:p w14:paraId="1DB1B610" w14:textId="77777777" w:rsidR="00E05B98" w:rsidRPr="003C6DAE" w:rsidRDefault="00B01E0C">
      <w:pPr>
        <w:spacing w:before="114"/>
        <w:ind w:left="78"/>
        <w:rPr>
          <w:rFonts w:ascii="Arial MT"/>
          <w:sz w:val="12"/>
          <w:lang w:val="uk-UA"/>
        </w:rPr>
      </w:pPr>
      <w:r w:rsidRPr="003C6DAE">
        <w:rPr>
          <w:rFonts w:ascii="Arial MT"/>
          <w:spacing w:val="-2"/>
          <w:sz w:val="12"/>
          <w:lang w:val="uk-UA"/>
        </w:rPr>
        <w:t>11109</w:t>
      </w:r>
    </w:p>
    <w:p w14:paraId="45A2411B" w14:textId="77777777" w:rsidR="00E05B98" w:rsidRPr="003C6DAE" w:rsidRDefault="00B01E0C">
      <w:pPr>
        <w:spacing w:before="114"/>
        <w:ind w:left="78"/>
        <w:rPr>
          <w:rFonts w:ascii="Arial MT"/>
          <w:sz w:val="12"/>
          <w:lang w:val="uk-UA"/>
        </w:rPr>
      </w:pPr>
      <w:r w:rsidRPr="003C6DAE">
        <w:rPr>
          <w:rFonts w:ascii="Arial MT"/>
          <w:spacing w:val="-2"/>
          <w:sz w:val="12"/>
          <w:lang w:val="uk-UA"/>
        </w:rPr>
        <w:t>11109</w:t>
      </w:r>
    </w:p>
    <w:p w14:paraId="7CA8729C" w14:textId="6EC06A3D" w:rsidR="00E05B98" w:rsidRPr="003C6DAE" w:rsidRDefault="00B01E0C">
      <w:pPr>
        <w:spacing w:before="98"/>
        <w:ind w:left="175"/>
        <w:rPr>
          <w:rFonts w:ascii="Arial"/>
          <w:b/>
          <w:sz w:val="12"/>
          <w:lang w:val="uk-UA"/>
        </w:rPr>
      </w:pPr>
      <w:r w:rsidRPr="003C6DAE">
        <w:rPr>
          <w:lang w:val="uk-UA"/>
        </w:rPr>
        <w:br w:type="column"/>
      </w:r>
      <w:r w:rsidR="003C5BA2">
        <w:rPr>
          <w:rFonts w:ascii="Arial"/>
          <w:b/>
          <w:sz w:val="12"/>
          <w:lang w:val="uk-UA"/>
        </w:rPr>
        <w:t>К</w:t>
      </w:r>
      <w:r w:rsidR="003C5BA2">
        <w:rPr>
          <w:rFonts w:ascii="Arial"/>
          <w:b/>
          <w:sz w:val="12"/>
          <w:lang w:val="uk-UA"/>
        </w:rPr>
        <w:t>-</w:t>
      </w:r>
      <w:r w:rsidR="003C5BA2">
        <w:rPr>
          <w:rFonts w:ascii="Arial"/>
          <w:b/>
          <w:sz w:val="12"/>
          <w:lang w:val="uk-UA"/>
        </w:rPr>
        <w:t>сть</w:t>
      </w:r>
      <w:r w:rsidRPr="003C6DAE">
        <w:rPr>
          <w:rFonts w:ascii="Arial"/>
          <w:b/>
          <w:sz w:val="12"/>
          <w:lang w:val="uk-UA"/>
        </w:rPr>
        <w:t>.</w:t>
      </w:r>
      <w:r w:rsidRPr="003C6DAE">
        <w:rPr>
          <w:rFonts w:ascii="Arial"/>
          <w:b/>
          <w:spacing w:val="2"/>
          <w:sz w:val="12"/>
          <w:lang w:val="uk-UA"/>
        </w:rPr>
        <w:t xml:space="preserve"> </w:t>
      </w:r>
      <w:r w:rsidRPr="003C6DAE">
        <w:rPr>
          <w:rFonts w:ascii="Arial"/>
          <w:b/>
          <w:sz w:val="12"/>
          <w:lang w:val="uk-UA"/>
        </w:rPr>
        <w:t>(%)</w:t>
      </w:r>
      <w:r w:rsidRPr="003C6DAE">
        <w:rPr>
          <w:rFonts w:ascii="Arial"/>
          <w:b/>
          <w:spacing w:val="2"/>
          <w:sz w:val="12"/>
          <w:lang w:val="uk-UA"/>
        </w:rPr>
        <w:t xml:space="preserve"> </w:t>
      </w:r>
      <w:r w:rsidR="003C5BA2">
        <w:rPr>
          <w:rFonts w:ascii="Arial"/>
          <w:b/>
          <w:sz w:val="12"/>
          <w:lang w:val="uk-UA"/>
        </w:rPr>
        <w:t>з</w:t>
      </w:r>
      <w:r w:rsidR="003C5BA2">
        <w:rPr>
          <w:rFonts w:ascii="Arial"/>
          <w:b/>
          <w:sz w:val="12"/>
          <w:lang w:val="uk-UA"/>
        </w:rPr>
        <w:t xml:space="preserve"> </w:t>
      </w:r>
      <w:r w:rsidR="003C5BA2">
        <w:rPr>
          <w:rFonts w:ascii="Arial"/>
          <w:b/>
          <w:sz w:val="12"/>
          <w:lang w:val="uk-UA"/>
        </w:rPr>
        <w:t>ТБ</w:t>
      </w:r>
    </w:p>
    <w:p w14:paraId="6541C7A6" w14:textId="77777777" w:rsidR="00E05B98" w:rsidRPr="003C6DAE" w:rsidRDefault="00B01E0C">
      <w:pPr>
        <w:spacing w:before="115"/>
        <w:ind w:left="175"/>
        <w:rPr>
          <w:rFonts w:ascii="Arial MT"/>
          <w:sz w:val="12"/>
          <w:lang w:val="uk-UA"/>
        </w:rPr>
      </w:pPr>
      <w:r w:rsidRPr="003C6DAE">
        <w:rPr>
          <w:rFonts w:ascii="Arial MT"/>
          <w:sz w:val="12"/>
          <w:lang w:val="uk-UA"/>
        </w:rPr>
        <w:t>2368</w:t>
      </w:r>
      <w:r w:rsidRPr="003C6DAE">
        <w:rPr>
          <w:rFonts w:ascii="Arial MT"/>
          <w:spacing w:val="2"/>
          <w:sz w:val="12"/>
          <w:lang w:val="uk-UA"/>
        </w:rPr>
        <w:t xml:space="preserve"> </w:t>
      </w:r>
      <w:r w:rsidRPr="003C6DAE">
        <w:rPr>
          <w:rFonts w:ascii="Arial MT"/>
          <w:spacing w:val="-2"/>
          <w:sz w:val="12"/>
          <w:lang w:val="uk-UA"/>
        </w:rPr>
        <w:t>(18.7%)</w:t>
      </w:r>
    </w:p>
    <w:p w14:paraId="27952A9C" w14:textId="77777777" w:rsidR="00E05B98" w:rsidRPr="003C6DAE" w:rsidRDefault="00B01E0C">
      <w:pPr>
        <w:spacing w:before="114"/>
        <w:ind w:left="175"/>
        <w:rPr>
          <w:rFonts w:ascii="Arial MT"/>
          <w:sz w:val="12"/>
          <w:lang w:val="uk-UA"/>
        </w:rPr>
      </w:pPr>
      <w:r w:rsidRPr="003C6DAE">
        <w:rPr>
          <w:rFonts w:ascii="Arial MT"/>
          <w:sz w:val="12"/>
          <w:lang w:val="uk-UA"/>
        </w:rPr>
        <w:t>2368</w:t>
      </w:r>
      <w:r w:rsidRPr="003C6DAE">
        <w:rPr>
          <w:rFonts w:ascii="Arial MT"/>
          <w:spacing w:val="2"/>
          <w:sz w:val="12"/>
          <w:lang w:val="uk-UA"/>
        </w:rPr>
        <w:t xml:space="preserve"> </w:t>
      </w:r>
      <w:r w:rsidRPr="003C6DAE">
        <w:rPr>
          <w:rFonts w:ascii="Arial MT"/>
          <w:spacing w:val="-2"/>
          <w:sz w:val="12"/>
          <w:lang w:val="uk-UA"/>
        </w:rPr>
        <w:t>(18.7%)</w:t>
      </w:r>
    </w:p>
    <w:p w14:paraId="20906D74" w14:textId="77777777" w:rsidR="00E05B98" w:rsidRPr="003C6DAE" w:rsidRDefault="00B01E0C">
      <w:pPr>
        <w:spacing w:before="114"/>
        <w:ind w:left="175"/>
        <w:rPr>
          <w:rFonts w:ascii="Arial MT"/>
          <w:sz w:val="12"/>
          <w:lang w:val="uk-UA"/>
        </w:rPr>
      </w:pPr>
      <w:r w:rsidRPr="003C6DAE">
        <w:rPr>
          <w:rFonts w:ascii="Arial MT"/>
          <w:sz w:val="12"/>
          <w:lang w:val="uk-UA"/>
        </w:rPr>
        <w:t>2368</w:t>
      </w:r>
      <w:r w:rsidRPr="003C6DAE">
        <w:rPr>
          <w:rFonts w:ascii="Arial MT"/>
          <w:spacing w:val="2"/>
          <w:sz w:val="12"/>
          <w:lang w:val="uk-UA"/>
        </w:rPr>
        <w:t xml:space="preserve"> </w:t>
      </w:r>
      <w:r w:rsidRPr="003C6DAE">
        <w:rPr>
          <w:rFonts w:ascii="Arial MT"/>
          <w:spacing w:val="-2"/>
          <w:sz w:val="12"/>
          <w:lang w:val="uk-UA"/>
        </w:rPr>
        <w:t>(18.7%)</w:t>
      </w:r>
    </w:p>
    <w:p w14:paraId="5FC3B941" w14:textId="77777777" w:rsidR="00E05B98" w:rsidRPr="003C6DAE" w:rsidRDefault="00E05B98">
      <w:pPr>
        <w:pStyle w:val="a3"/>
        <w:rPr>
          <w:rFonts w:ascii="Arial MT"/>
          <w:sz w:val="12"/>
          <w:lang w:val="uk-UA"/>
        </w:rPr>
      </w:pPr>
    </w:p>
    <w:p w14:paraId="72A6E2B4" w14:textId="77777777" w:rsidR="00E05B98" w:rsidRPr="003C6DAE" w:rsidRDefault="00E05B98">
      <w:pPr>
        <w:pStyle w:val="a3"/>
        <w:rPr>
          <w:rFonts w:ascii="Arial MT"/>
          <w:sz w:val="12"/>
          <w:lang w:val="uk-UA"/>
        </w:rPr>
      </w:pPr>
    </w:p>
    <w:p w14:paraId="07540968" w14:textId="77777777" w:rsidR="00E05B98" w:rsidRPr="003C6DAE" w:rsidRDefault="00E05B98">
      <w:pPr>
        <w:pStyle w:val="a3"/>
        <w:rPr>
          <w:rFonts w:ascii="Arial MT"/>
          <w:sz w:val="12"/>
          <w:lang w:val="uk-UA"/>
        </w:rPr>
      </w:pPr>
    </w:p>
    <w:p w14:paraId="3DF9918E" w14:textId="77777777" w:rsidR="00E05B98" w:rsidRPr="003C6DAE" w:rsidRDefault="00E05B98">
      <w:pPr>
        <w:pStyle w:val="a3"/>
        <w:spacing w:before="67"/>
        <w:rPr>
          <w:rFonts w:ascii="Arial MT"/>
          <w:sz w:val="12"/>
          <w:lang w:val="uk-UA"/>
        </w:rPr>
      </w:pPr>
    </w:p>
    <w:p w14:paraId="2A51C5F6" w14:textId="77777777" w:rsidR="00E05B98" w:rsidRPr="003C6DAE" w:rsidRDefault="00B01E0C">
      <w:pPr>
        <w:spacing w:before="1"/>
        <w:ind w:left="175"/>
        <w:rPr>
          <w:rFonts w:ascii="Arial MT"/>
          <w:sz w:val="12"/>
          <w:lang w:val="uk-UA"/>
        </w:rPr>
      </w:pPr>
      <w:r w:rsidRPr="003C6DAE">
        <w:rPr>
          <w:rFonts w:ascii="Arial MT"/>
          <w:sz w:val="12"/>
          <w:lang w:val="uk-UA"/>
        </w:rPr>
        <w:t>3723</w:t>
      </w:r>
      <w:r w:rsidRPr="003C6DAE">
        <w:rPr>
          <w:rFonts w:ascii="Arial MT"/>
          <w:spacing w:val="2"/>
          <w:sz w:val="12"/>
          <w:lang w:val="uk-UA"/>
        </w:rPr>
        <w:t xml:space="preserve"> </w:t>
      </w:r>
      <w:r w:rsidRPr="003C6DAE">
        <w:rPr>
          <w:rFonts w:ascii="Arial MT"/>
          <w:spacing w:val="-2"/>
          <w:sz w:val="12"/>
          <w:lang w:val="uk-UA"/>
        </w:rPr>
        <w:t>(33.5%)</w:t>
      </w:r>
    </w:p>
    <w:p w14:paraId="1E242BE3" w14:textId="77777777" w:rsidR="00E05B98" w:rsidRPr="003C6DAE" w:rsidRDefault="00B01E0C">
      <w:pPr>
        <w:spacing w:before="114"/>
        <w:ind w:left="175"/>
        <w:rPr>
          <w:rFonts w:ascii="Arial MT"/>
          <w:sz w:val="12"/>
          <w:lang w:val="uk-UA"/>
        </w:rPr>
      </w:pPr>
      <w:r w:rsidRPr="003C6DAE">
        <w:rPr>
          <w:rFonts w:ascii="Arial MT"/>
          <w:sz w:val="12"/>
          <w:lang w:val="uk-UA"/>
        </w:rPr>
        <w:t>3723</w:t>
      </w:r>
      <w:r w:rsidRPr="003C6DAE">
        <w:rPr>
          <w:rFonts w:ascii="Arial MT"/>
          <w:spacing w:val="2"/>
          <w:sz w:val="12"/>
          <w:lang w:val="uk-UA"/>
        </w:rPr>
        <w:t xml:space="preserve"> </w:t>
      </w:r>
      <w:r w:rsidRPr="003C6DAE">
        <w:rPr>
          <w:rFonts w:ascii="Arial MT"/>
          <w:spacing w:val="-2"/>
          <w:sz w:val="12"/>
          <w:lang w:val="uk-UA"/>
        </w:rPr>
        <w:t>(33.5%)</w:t>
      </w:r>
    </w:p>
    <w:p w14:paraId="6CB45BCF" w14:textId="77777777" w:rsidR="00E05B98" w:rsidRPr="003C6DAE" w:rsidRDefault="00B01E0C">
      <w:pPr>
        <w:spacing w:before="114"/>
        <w:ind w:left="175"/>
        <w:rPr>
          <w:rFonts w:ascii="Arial MT"/>
          <w:sz w:val="12"/>
          <w:lang w:val="uk-UA"/>
        </w:rPr>
      </w:pPr>
      <w:r w:rsidRPr="003C6DAE">
        <w:rPr>
          <w:rFonts w:ascii="Arial MT"/>
          <w:sz w:val="12"/>
          <w:lang w:val="uk-UA"/>
        </w:rPr>
        <w:t>3723</w:t>
      </w:r>
      <w:r w:rsidRPr="003C6DAE">
        <w:rPr>
          <w:rFonts w:ascii="Arial MT"/>
          <w:spacing w:val="2"/>
          <w:sz w:val="12"/>
          <w:lang w:val="uk-UA"/>
        </w:rPr>
        <w:t xml:space="preserve"> </w:t>
      </w:r>
      <w:r w:rsidRPr="003C6DAE">
        <w:rPr>
          <w:rFonts w:ascii="Arial MT"/>
          <w:spacing w:val="-2"/>
          <w:sz w:val="12"/>
          <w:lang w:val="uk-UA"/>
        </w:rPr>
        <w:t>(33.5%)</w:t>
      </w:r>
    </w:p>
    <w:p w14:paraId="5E3304D1" w14:textId="7CDBD797" w:rsidR="00E05B98" w:rsidRPr="003C6DAE" w:rsidRDefault="00B01E0C" w:rsidP="002C003A">
      <w:pPr>
        <w:spacing w:before="98"/>
        <w:ind w:left="-142"/>
        <w:rPr>
          <w:rFonts w:ascii="Arial"/>
          <w:b/>
          <w:sz w:val="12"/>
          <w:lang w:val="uk-UA"/>
        </w:rPr>
      </w:pPr>
      <w:r w:rsidRPr="003C6DAE">
        <w:rPr>
          <w:lang w:val="uk-UA"/>
        </w:rPr>
        <w:br w:type="column"/>
      </w:r>
      <w:r w:rsidR="002C003A">
        <w:rPr>
          <w:lang w:val="uk-UA"/>
        </w:rPr>
        <w:t xml:space="preserve">          </w:t>
      </w:r>
      <w:r w:rsidR="002C003A">
        <w:rPr>
          <w:rFonts w:ascii="Arial"/>
          <w:b/>
          <w:sz w:val="12"/>
          <w:lang w:val="uk-UA"/>
        </w:rPr>
        <w:t>Зведені</w:t>
      </w:r>
      <w:r w:rsidR="002C003A">
        <w:rPr>
          <w:rFonts w:ascii="Arial"/>
          <w:b/>
          <w:sz w:val="12"/>
          <w:lang w:val="uk-UA"/>
        </w:rPr>
        <w:t xml:space="preserve"> </w:t>
      </w:r>
      <w:r w:rsidR="002C003A">
        <w:rPr>
          <w:rFonts w:ascii="Arial"/>
          <w:b/>
          <w:sz w:val="12"/>
          <w:lang w:val="uk-UA"/>
        </w:rPr>
        <w:t>дані</w:t>
      </w:r>
      <w:r w:rsidR="003C5BA2">
        <w:rPr>
          <w:rFonts w:ascii="Arial"/>
          <w:b/>
          <w:sz w:val="12"/>
          <w:lang w:val="uk-UA"/>
        </w:rPr>
        <w:t xml:space="preserve"> </w:t>
      </w:r>
      <w:r w:rsidRPr="003C6DAE">
        <w:rPr>
          <w:rFonts w:ascii="Arial"/>
          <w:b/>
          <w:spacing w:val="3"/>
          <w:sz w:val="12"/>
          <w:lang w:val="uk-UA"/>
        </w:rPr>
        <w:t xml:space="preserve"> </w:t>
      </w:r>
      <w:r w:rsidRPr="003C6DAE">
        <w:rPr>
          <w:rFonts w:ascii="Arial"/>
          <w:b/>
          <w:sz w:val="12"/>
          <w:lang w:val="uk-UA"/>
        </w:rPr>
        <w:t>(95%</w:t>
      </w:r>
      <w:r w:rsidRPr="003C6DAE">
        <w:rPr>
          <w:rFonts w:ascii="Arial"/>
          <w:b/>
          <w:spacing w:val="4"/>
          <w:sz w:val="12"/>
          <w:lang w:val="uk-UA"/>
        </w:rPr>
        <w:t xml:space="preserve"> </w:t>
      </w:r>
      <w:r w:rsidRPr="003C6DAE">
        <w:rPr>
          <w:rFonts w:ascii="Arial"/>
          <w:b/>
          <w:spacing w:val="-4"/>
          <w:sz w:val="12"/>
          <w:lang w:val="uk-UA"/>
        </w:rPr>
        <w:t>CrI)</w:t>
      </w:r>
    </w:p>
    <w:p w14:paraId="664CA010" w14:textId="77777777" w:rsidR="00E05B98" w:rsidRPr="003C6DAE" w:rsidRDefault="00B01E0C">
      <w:pPr>
        <w:spacing w:before="115"/>
        <w:ind w:left="597"/>
        <w:rPr>
          <w:rFonts w:ascii="Arial MT"/>
          <w:sz w:val="12"/>
          <w:lang w:val="uk-UA"/>
        </w:rPr>
      </w:pPr>
      <w:r w:rsidRPr="003C6DAE">
        <w:rPr>
          <w:rFonts w:ascii="Arial MT"/>
          <w:noProof/>
          <w:sz w:val="12"/>
          <w:lang w:val="uk-UA"/>
        </w:rPr>
        <mc:AlternateContent>
          <mc:Choice Requires="wpg">
            <w:drawing>
              <wp:anchor distT="0" distB="0" distL="0" distR="0" simplePos="0" relativeHeight="16045568" behindDoc="0" locked="0" layoutInCell="1" allowOverlap="1" wp14:anchorId="1FECE8D7" wp14:editId="550085DF">
                <wp:simplePos x="0" y="0"/>
                <wp:positionH relativeFrom="page">
                  <wp:posOffset>2985538</wp:posOffset>
                </wp:positionH>
                <wp:positionV relativeFrom="paragraph">
                  <wp:posOffset>-43678</wp:posOffset>
                </wp:positionV>
                <wp:extent cx="880744" cy="1621790"/>
                <wp:effectExtent l="0" t="0" r="0" b="0"/>
                <wp:wrapNone/>
                <wp:docPr id="1989" name="Group 1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0744" cy="1621790"/>
                          <a:chOff x="0" y="0"/>
                          <a:chExt cx="880744" cy="1621790"/>
                        </a:xfrm>
                      </wpg:grpSpPr>
                      <wps:wsp>
                        <wps:cNvPr id="1990" name="Graphic 1990"/>
                        <wps:cNvSpPr/>
                        <wps:spPr>
                          <a:xfrm>
                            <a:off x="3657" y="0"/>
                            <a:ext cx="877569" cy="1603375"/>
                          </a:xfrm>
                          <a:custGeom>
                            <a:avLst/>
                            <a:gdLst/>
                            <a:ahLst/>
                            <a:cxnLst/>
                            <a:rect l="l" t="t" r="r" b="b"/>
                            <a:pathLst>
                              <a:path w="877569" h="1603375">
                                <a:moveTo>
                                  <a:pt x="0" y="1602752"/>
                                </a:moveTo>
                                <a:lnTo>
                                  <a:pt x="0" y="0"/>
                                </a:lnTo>
                              </a:path>
                              <a:path w="877569" h="1603375">
                                <a:moveTo>
                                  <a:pt x="0" y="1602752"/>
                                </a:moveTo>
                                <a:lnTo>
                                  <a:pt x="876947" y="1602752"/>
                                </a:lnTo>
                              </a:path>
                            </a:pathLst>
                          </a:custGeom>
                          <a:ln w="7315">
                            <a:solidFill>
                              <a:srgbClr val="000000"/>
                            </a:solidFill>
                            <a:prstDash val="solid"/>
                          </a:ln>
                        </wps:spPr>
                        <wps:bodyPr wrap="square" lIns="0" tIns="0" rIns="0" bIns="0" rtlCol="0">
                          <a:prstTxWarp prst="textNoShape">
                            <a:avLst/>
                          </a:prstTxWarp>
                          <a:noAutofit/>
                        </wps:bodyPr>
                      </wps:wsp>
                      <wps:wsp>
                        <wps:cNvPr id="1991" name="Graphic 1991"/>
                        <wps:cNvSpPr/>
                        <wps:spPr>
                          <a:xfrm>
                            <a:off x="43469" y="1602754"/>
                            <a:ext cx="1270" cy="19050"/>
                          </a:xfrm>
                          <a:custGeom>
                            <a:avLst/>
                            <a:gdLst/>
                            <a:ahLst/>
                            <a:cxnLst/>
                            <a:rect l="l" t="t" r="r" b="b"/>
                            <a:pathLst>
                              <a:path h="19050">
                                <a:moveTo>
                                  <a:pt x="0" y="18719"/>
                                </a:moveTo>
                                <a:lnTo>
                                  <a:pt x="0" y="0"/>
                                </a:lnTo>
                              </a:path>
                            </a:pathLst>
                          </a:custGeom>
                          <a:ln w="7315">
                            <a:solidFill>
                              <a:srgbClr val="333333"/>
                            </a:solidFill>
                            <a:prstDash val="solid"/>
                          </a:ln>
                        </wps:spPr>
                        <wps:bodyPr wrap="square" lIns="0" tIns="0" rIns="0" bIns="0" rtlCol="0">
                          <a:prstTxWarp prst="textNoShape">
                            <a:avLst/>
                          </a:prstTxWarp>
                          <a:noAutofit/>
                        </wps:bodyPr>
                      </wps:wsp>
                      <wps:wsp>
                        <wps:cNvPr id="1992" name="Graphic 1992"/>
                        <wps:cNvSpPr/>
                        <wps:spPr>
                          <a:xfrm>
                            <a:off x="242807" y="1602754"/>
                            <a:ext cx="1270" cy="19050"/>
                          </a:xfrm>
                          <a:custGeom>
                            <a:avLst/>
                            <a:gdLst/>
                            <a:ahLst/>
                            <a:cxnLst/>
                            <a:rect l="l" t="t" r="r" b="b"/>
                            <a:pathLst>
                              <a:path h="19050">
                                <a:moveTo>
                                  <a:pt x="0" y="18719"/>
                                </a:moveTo>
                                <a:lnTo>
                                  <a:pt x="0" y="0"/>
                                </a:lnTo>
                              </a:path>
                            </a:pathLst>
                          </a:custGeom>
                          <a:ln w="7315">
                            <a:solidFill>
                              <a:srgbClr val="333333"/>
                            </a:solidFill>
                            <a:prstDash val="solid"/>
                          </a:ln>
                        </wps:spPr>
                        <wps:bodyPr wrap="square" lIns="0" tIns="0" rIns="0" bIns="0" rtlCol="0">
                          <a:prstTxWarp prst="textNoShape">
                            <a:avLst/>
                          </a:prstTxWarp>
                          <a:noAutofit/>
                        </wps:bodyPr>
                      </wps:wsp>
                      <wps:wsp>
                        <wps:cNvPr id="1993" name="Graphic 1993"/>
                        <wps:cNvSpPr/>
                        <wps:spPr>
                          <a:xfrm>
                            <a:off x="442155" y="1602754"/>
                            <a:ext cx="1270" cy="19050"/>
                          </a:xfrm>
                          <a:custGeom>
                            <a:avLst/>
                            <a:gdLst/>
                            <a:ahLst/>
                            <a:cxnLst/>
                            <a:rect l="l" t="t" r="r" b="b"/>
                            <a:pathLst>
                              <a:path h="19050">
                                <a:moveTo>
                                  <a:pt x="0" y="18719"/>
                                </a:moveTo>
                                <a:lnTo>
                                  <a:pt x="0" y="0"/>
                                </a:lnTo>
                              </a:path>
                            </a:pathLst>
                          </a:custGeom>
                          <a:ln w="7315">
                            <a:solidFill>
                              <a:srgbClr val="333333"/>
                            </a:solidFill>
                            <a:prstDash val="solid"/>
                          </a:ln>
                        </wps:spPr>
                        <wps:bodyPr wrap="square" lIns="0" tIns="0" rIns="0" bIns="0" rtlCol="0">
                          <a:prstTxWarp prst="textNoShape">
                            <a:avLst/>
                          </a:prstTxWarp>
                          <a:noAutofit/>
                        </wps:bodyPr>
                      </wps:wsp>
                      <wps:wsp>
                        <wps:cNvPr id="1994" name="Graphic 1994"/>
                        <wps:cNvSpPr/>
                        <wps:spPr>
                          <a:xfrm>
                            <a:off x="641460" y="1602754"/>
                            <a:ext cx="1270" cy="19050"/>
                          </a:xfrm>
                          <a:custGeom>
                            <a:avLst/>
                            <a:gdLst/>
                            <a:ahLst/>
                            <a:cxnLst/>
                            <a:rect l="l" t="t" r="r" b="b"/>
                            <a:pathLst>
                              <a:path h="19050">
                                <a:moveTo>
                                  <a:pt x="0" y="18719"/>
                                </a:moveTo>
                                <a:lnTo>
                                  <a:pt x="0" y="0"/>
                                </a:lnTo>
                              </a:path>
                            </a:pathLst>
                          </a:custGeom>
                          <a:ln w="7315">
                            <a:solidFill>
                              <a:srgbClr val="333333"/>
                            </a:solidFill>
                            <a:prstDash val="solid"/>
                          </a:ln>
                        </wps:spPr>
                        <wps:bodyPr wrap="square" lIns="0" tIns="0" rIns="0" bIns="0" rtlCol="0">
                          <a:prstTxWarp prst="textNoShape">
                            <a:avLst/>
                          </a:prstTxWarp>
                          <a:noAutofit/>
                        </wps:bodyPr>
                      </wps:wsp>
                      <wps:wsp>
                        <wps:cNvPr id="1995" name="Graphic 1995"/>
                        <wps:cNvSpPr/>
                        <wps:spPr>
                          <a:xfrm>
                            <a:off x="840798" y="1602754"/>
                            <a:ext cx="1270" cy="19050"/>
                          </a:xfrm>
                          <a:custGeom>
                            <a:avLst/>
                            <a:gdLst/>
                            <a:ahLst/>
                            <a:cxnLst/>
                            <a:rect l="l" t="t" r="r" b="b"/>
                            <a:pathLst>
                              <a:path h="19050">
                                <a:moveTo>
                                  <a:pt x="0" y="18719"/>
                                </a:moveTo>
                                <a:lnTo>
                                  <a:pt x="0" y="0"/>
                                </a:lnTo>
                              </a:path>
                            </a:pathLst>
                          </a:custGeom>
                          <a:ln w="7315">
                            <a:solidFill>
                              <a:srgbClr val="333333"/>
                            </a:solidFill>
                            <a:prstDash val="solid"/>
                          </a:ln>
                        </wps:spPr>
                        <wps:bodyPr wrap="square" lIns="0" tIns="0" rIns="0" bIns="0" rtlCol="0">
                          <a:prstTxWarp prst="textNoShape">
                            <a:avLst/>
                          </a:prstTxWarp>
                          <a:noAutofit/>
                        </wps:bodyPr>
                      </wps:wsp>
                    </wpg:wgp>
                  </a:graphicData>
                </a:graphic>
              </wp:anchor>
            </w:drawing>
          </mc:Choice>
          <mc:Fallback>
            <w:pict>
              <v:group w14:anchorId="3DDCA57B" id="Group 1989" o:spid="_x0000_s1026" style="position:absolute;margin-left:235.1pt;margin-top:-3.45pt;width:69.35pt;height:127.7pt;z-index:16045568;mso-wrap-distance-left:0;mso-wrap-distance-right:0;mso-position-horizontal-relative:page" coordsize="8807,1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">
                <v:shape id="Graphic 1990" o:spid="_x0000_s1027" style="position:absolute;left:36;width:8776;height:16033;visibility:visible;mso-wrap-style:square;v-text-anchor:top" coordsize="877569,160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" path="m,1602752l,em,1602752r876947,e" filled="f" strokeweight=".20319mm">
                  <v:path arrowok="t"/>
                </v:shape>
                <v:shape id="Graphic 1991" o:spid="_x0000_s1028" style="position:absolute;left:434;top:16027;width:13;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" path="m,18719l,e" filled="f" strokecolor="#333" strokeweight=".20319mm">
                  <v:path arrowok="t"/>
                </v:shape>
                <v:shape id="Graphic 1992" o:spid="_x0000_s1029" style="position:absolute;left:2428;top:16027;width:12;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" path="m,18719l,e" filled="f" strokecolor="#333" strokeweight=".20319mm">
                  <v:path arrowok="t"/>
                </v:shape>
                <v:shape id="Graphic 1993" o:spid="_x0000_s1030" style="position:absolute;left:4421;top:16027;width:13;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" path="m,18719l,e" filled="f" strokecolor="#333" strokeweight=".20319mm">
                  <v:path arrowok="t"/>
                </v:shape>
                <v:shape id="Graphic 1994" o:spid="_x0000_s1031" style="position:absolute;left:6414;top:16027;width:13;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" path="m,18719l,e" filled="f" strokecolor="#333" strokeweight=".20319mm">
                  <v:path arrowok="t"/>
                </v:shape>
                <v:shape id="Graphic 1995" o:spid="_x0000_s1032" style="position:absolute;left:8407;top:16027;width:13;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" path="m,18719l,e" filled="f" strokecolor="#333" strokeweight=".20319mm">
                  <v:path arrowok="t"/>
                </v:shape>
                <w10:wrap anchorx="page"/>
              </v:group>
            </w:pict>
          </mc:Fallback>
        </mc:AlternateContent>
      </w:r>
      <w:r w:rsidRPr="003C6DAE">
        <w:rPr>
          <w:rFonts w:ascii="Arial MT"/>
          <w:sz w:val="12"/>
          <w:lang w:val="uk-UA"/>
        </w:rPr>
        <w:t>39.1%</w:t>
      </w:r>
      <w:r w:rsidRPr="003C6DAE">
        <w:rPr>
          <w:rFonts w:ascii="Arial MT"/>
          <w:spacing w:val="1"/>
          <w:sz w:val="12"/>
          <w:lang w:val="uk-UA"/>
        </w:rPr>
        <w:t xml:space="preserve"> </w:t>
      </w:r>
      <w:r w:rsidRPr="003C6DAE">
        <w:rPr>
          <w:rFonts w:ascii="Arial MT"/>
          <w:sz w:val="12"/>
          <w:lang w:val="uk-UA"/>
        </w:rPr>
        <w:t>(32.6</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45.9)</w:t>
      </w:r>
    </w:p>
    <w:p w14:paraId="24A5735C" w14:textId="77777777" w:rsidR="00E05B98" w:rsidRPr="003C6DAE" w:rsidRDefault="00B01E0C">
      <w:pPr>
        <w:spacing w:before="114"/>
        <w:ind w:left="597"/>
        <w:rPr>
          <w:rFonts w:ascii="Arial MT"/>
          <w:sz w:val="12"/>
          <w:lang w:val="uk-UA"/>
        </w:rPr>
      </w:pPr>
      <w:r w:rsidRPr="003C6DAE">
        <w:rPr>
          <w:rFonts w:ascii="Arial MT"/>
          <w:noProof/>
          <w:sz w:val="12"/>
          <w:lang w:val="uk-UA"/>
        </w:rPr>
        <mc:AlternateContent>
          <mc:Choice Requires="wpg">
            <w:drawing>
              <wp:anchor distT="0" distB="0" distL="0" distR="0" simplePos="0" relativeHeight="16044032" behindDoc="0" locked="0" layoutInCell="1" allowOverlap="1" wp14:anchorId="37BA349E" wp14:editId="5B3815D8">
                <wp:simplePos x="0" y="0"/>
                <wp:positionH relativeFrom="page">
                  <wp:posOffset>3513449</wp:posOffset>
                </wp:positionH>
                <wp:positionV relativeFrom="paragraph">
                  <wp:posOffset>84628</wp:posOffset>
                </wp:positionV>
                <wp:extent cx="165100" cy="356235"/>
                <wp:effectExtent l="0" t="0" r="0" b="0"/>
                <wp:wrapNone/>
                <wp:docPr id="1996"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356235"/>
                          <a:chOff x="0" y="0"/>
                          <a:chExt cx="165100" cy="356235"/>
                        </a:xfrm>
                      </wpg:grpSpPr>
                      <wps:wsp>
                        <wps:cNvPr id="1997" name="Graphic 1997"/>
                        <wps:cNvSpPr/>
                        <wps:spPr>
                          <a:xfrm>
                            <a:off x="0" y="31584"/>
                            <a:ext cx="112395" cy="1270"/>
                          </a:xfrm>
                          <a:custGeom>
                            <a:avLst/>
                            <a:gdLst/>
                            <a:ahLst/>
                            <a:cxnLst/>
                            <a:rect l="l" t="t" r="r" b="b"/>
                            <a:pathLst>
                              <a:path w="112395">
                                <a:moveTo>
                                  <a:pt x="0" y="0"/>
                                </a:moveTo>
                                <a:lnTo>
                                  <a:pt x="112382" y="0"/>
                                </a:lnTo>
                              </a:path>
                            </a:pathLst>
                          </a:custGeom>
                          <a:ln w="7315">
                            <a:solidFill>
                              <a:srgbClr val="000000"/>
                            </a:solidFill>
                            <a:prstDash val="solid"/>
                          </a:ln>
                        </wps:spPr>
                        <wps:bodyPr wrap="square" lIns="0" tIns="0" rIns="0" bIns="0" rtlCol="0">
                          <a:prstTxWarp prst="textNoShape">
                            <a:avLst/>
                          </a:prstTxWarp>
                          <a:noAutofit/>
                        </wps:bodyPr>
                      </wps:wsp>
                      <wps:wsp>
                        <wps:cNvPr id="1998" name="Graphic 1998"/>
                        <wps:cNvSpPr/>
                        <wps:spPr>
                          <a:xfrm>
                            <a:off x="101100" y="191863"/>
                            <a:ext cx="62865" cy="1270"/>
                          </a:xfrm>
                          <a:custGeom>
                            <a:avLst/>
                            <a:gdLst/>
                            <a:ahLst/>
                            <a:cxnLst/>
                            <a:rect l="l" t="t" r="r" b="b"/>
                            <a:pathLst>
                              <a:path w="62865">
                                <a:moveTo>
                                  <a:pt x="0" y="0"/>
                                </a:moveTo>
                                <a:lnTo>
                                  <a:pt x="62712" y="0"/>
                                </a:lnTo>
                              </a:path>
                            </a:pathLst>
                          </a:custGeom>
                          <a:ln w="7315">
                            <a:solidFill>
                              <a:srgbClr val="000000"/>
                            </a:solidFill>
                            <a:prstDash val="solid"/>
                          </a:ln>
                        </wps:spPr>
                        <wps:bodyPr wrap="square" lIns="0" tIns="0" rIns="0" bIns="0" rtlCol="0">
                          <a:prstTxWarp prst="textNoShape">
                            <a:avLst/>
                          </a:prstTxWarp>
                          <a:noAutofit/>
                        </wps:bodyPr>
                      </wps:wsp>
                      <wps:wsp>
                        <wps:cNvPr id="1999" name="Graphic 1999"/>
                        <wps:cNvSpPr/>
                        <wps:spPr>
                          <a:xfrm>
                            <a:off x="25748" y="3"/>
                            <a:ext cx="139065" cy="223520"/>
                          </a:xfrm>
                          <a:custGeom>
                            <a:avLst/>
                            <a:gdLst/>
                            <a:ahLst/>
                            <a:cxnLst/>
                            <a:rect l="l" t="t" r="r" b="b"/>
                            <a:pathLst>
                              <a:path w="139065" h="223520">
                                <a:moveTo>
                                  <a:pt x="63195" y="31584"/>
                                </a:moveTo>
                                <a:lnTo>
                                  <a:pt x="31648" y="0"/>
                                </a:lnTo>
                                <a:lnTo>
                                  <a:pt x="0" y="31584"/>
                                </a:lnTo>
                                <a:lnTo>
                                  <a:pt x="31648" y="63144"/>
                                </a:lnTo>
                                <a:lnTo>
                                  <a:pt x="63195" y="31584"/>
                                </a:lnTo>
                                <a:close/>
                              </a:path>
                              <a:path w="139065" h="223520">
                                <a:moveTo>
                                  <a:pt x="138798" y="191871"/>
                                </a:moveTo>
                                <a:lnTo>
                                  <a:pt x="107251" y="160274"/>
                                </a:lnTo>
                                <a:lnTo>
                                  <a:pt x="75692" y="191871"/>
                                </a:lnTo>
                                <a:lnTo>
                                  <a:pt x="107251" y="223418"/>
                                </a:lnTo>
                                <a:lnTo>
                                  <a:pt x="138798" y="191871"/>
                                </a:lnTo>
                                <a:close/>
                              </a:path>
                            </a:pathLst>
                          </a:custGeom>
                          <a:solidFill>
                            <a:srgbClr val="000000"/>
                          </a:solidFill>
                        </wps:spPr>
                        <wps:bodyPr wrap="square" lIns="0" tIns="0" rIns="0" bIns="0" rtlCol="0">
                          <a:prstTxWarp prst="textNoShape">
                            <a:avLst/>
                          </a:prstTxWarp>
                          <a:noAutofit/>
                        </wps:bodyPr>
                      </wps:wsp>
                      <wps:wsp>
                        <wps:cNvPr id="2000" name="Graphic 2000"/>
                        <wps:cNvSpPr/>
                        <wps:spPr>
                          <a:xfrm>
                            <a:off x="57405" y="31581"/>
                            <a:ext cx="1270" cy="320675"/>
                          </a:xfrm>
                          <a:custGeom>
                            <a:avLst/>
                            <a:gdLst/>
                            <a:ahLst/>
                            <a:cxnLst/>
                            <a:rect l="l" t="t" r="r" b="b"/>
                            <a:pathLst>
                              <a:path h="320675">
                                <a:moveTo>
                                  <a:pt x="0" y="320548"/>
                                </a:moveTo>
                                <a:lnTo>
                                  <a:pt x="0" y="0"/>
                                </a:lnTo>
                              </a:path>
                              <a:path h="320675">
                                <a:moveTo>
                                  <a:pt x="0" y="320548"/>
                                </a:moveTo>
                                <a:lnTo>
                                  <a:pt x="0" y="0"/>
                                </a:lnTo>
                              </a:path>
                              <a:path h="320675">
                                <a:moveTo>
                                  <a:pt x="0" y="320548"/>
                                </a:moveTo>
                                <a:lnTo>
                                  <a:pt x="0" y="0"/>
                                </a:lnTo>
                              </a:path>
                              <a:path h="320675">
                                <a:moveTo>
                                  <a:pt x="0" y="320548"/>
                                </a:moveTo>
                                <a:lnTo>
                                  <a:pt x="0" y="0"/>
                                </a:lnTo>
                              </a:path>
                              <a:path h="320675">
                                <a:moveTo>
                                  <a:pt x="0" y="320548"/>
                                </a:moveTo>
                                <a:lnTo>
                                  <a:pt x="0" y="0"/>
                                </a:lnTo>
                              </a:path>
                              <a:path h="320675">
                                <a:moveTo>
                                  <a:pt x="0" y="320548"/>
                                </a:moveTo>
                                <a:lnTo>
                                  <a:pt x="0" y="0"/>
                                </a:lnTo>
                              </a:path>
                              <a:path h="320675">
                                <a:moveTo>
                                  <a:pt x="0" y="320548"/>
                                </a:moveTo>
                                <a:lnTo>
                                  <a:pt x="0" y="0"/>
                                </a:lnTo>
                              </a:path>
                              <a:path h="320675">
                                <a:moveTo>
                                  <a:pt x="0" y="320548"/>
                                </a:moveTo>
                                <a:lnTo>
                                  <a:pt x="0" y="0"/>
                                </a:lnTo>
                              </a:path>
                              <a:path h="320675">
                                <a:moveTo>
                                  <a:pt x="0" y="320548"/>
                                </a:moveTo>
                                <a:lnTo>
                                  <a:pt x="0" y="0"/>
                                </a:lnTo>
                              </a:path>
                            </a:pathLst>
                          </a:custGeom>
                          <a:ln w="7315">
                            <a:solidFill>
                              <a:srgbClr val="000000"/>
                            </a:solidFill>
                            <a:prstDash val="solid"/>
                          </a:ln>
                        </wps:spPr>
                        <wps:bodyPr wrap="square" lIns="0" tIns="0" rIns="0" bIns="0" rtlCol="0">
                          <a:prstTxWarp prst="textNoShape">
                            <a:avLst/>
                          </a:prstTxWarp>
                          <a:noAutofit/>
                        </wps:bodyPr>
                      </wps:wsp>
                      <wps:wsp>
                        <wps:cNvPr id="2001" name="Graphic 2001"/>
                        <wps:cNvSpPr/>
                        <wps:spPr>
                          <a:xfrm>
                            <a:off x="133002" y="191867"/>
                            <a:ext cx="1270" cy="160655"/>
                          </a:xfrm>
                          <a:custGeom>
                            <a:avLst/>
                            <a:gdLst/>
                            <a:ahLst/>
                            <a:cxnLst/>
                            <a:rect l="l" t="t" r="r" b="b"/>
                            <a:pathLst>
                              <a:path h="160655">
                                <a:moveTo>
                                  <a:pt x="0" y="160261"/>
                                </a:moveTo>
                                <a:lnTo>
                                  <a:pt x="0" y="0"/>
                                </a:lnTo>
                              </a:path>
                              <a:path h="160655">
                                <a:moveTo>
                                  <a:pt x="0" y="160261"/>
                                </a:moveTo>
                                <a:lnTo>
                                  <a:pt x="0" y="0"/>
                                </a:lnTo>
                              </a:path>
                              <a:path h="160655">
                                <a:moveTo>
                                  <a:pt x="0" y="160261"/>
                                </a:moveTo>
                                <a:lnTo>
                                  <a:pt x="0" y="0"/>
                                </a:lnTo>
                              </a:path>
                              <a:path h="160655">
                                <a:moveTo>
                                  <a:pt x="0" y="160261"/>
                                </a:moveTo>
                                <a:lnTo>
                                  <a:pt x="0" y="0"/>
                                </a:lnTo>
                              </a:path>
                              <a:path h="160655">
                                <a:moveTo>
                                  <a:pt x="0" y="160261"/>
                                </a:moveTo>
                                <a:lnTo>
                                  <a:pt x="0" y="0"/>
                                </a:lnTo>
                              </a:path>
                              <a:path h="160655">
                                <a:moveTo>
                                  <a:pt x="0" y="160261"/>
                                </a:moveTo>
                                <a:lnTo>
                                  <a:pt x="0" y="0"/>
                                </a:lnTo>
                              </a:path>
                              <a:path h="160655">
                                <a:moveTo>
                                  <a:pt x="0" y="160261"/>
                                </a:moveTo>
                                <a:lnTo>
                                  <a:pt x="0" y="0"/>
                                </a:lnTo>
                              </a:path>
                              <a:path h="160655">
                                <a:moveTo>
                                  <a:pt x="0" y="160261"/>
                                </a:moveTo>
                                <a:lnTo>
                                  <a:pt x="0" y="0"/>
                                </a:lnTo>
                              </a:path>
                              <a:path h="160655">
                                <a:moveTo>
                                  <a:pt x="0" y="160261"/>
                                </a:moveTo>
                                <a:lnTo>
                                  <a:pt x="0" y="0"/>
                                </a:lnTo>
                              </a:path>
                            </a:pathLst>
                          </a:custGeom>
                          <a:ln w="7315">
                            <a:solidFill>
                              <a:srgbClr val="000000"/>
                            </a:solidFill>
                            <a:prstDash val="solid"/>
                          </a:ln>
                        </wps:spPr>
                        <wps:bodyPr wrap="square" lIns="0" tIns="0" rIns="0" bIns="0" rtlCol="0">
                          <a:prstTxWarp prst="textNoShape">
                            <a:avLst/>
                          </a:prstTxWarp>
                          <a:noAutofit/>
                        </wps:bodyPr>
                      </wps:wsp>
                      <wps:wsp>
                        <wps:cNvPr id="2002" name="Graphic 2002"/>
                        <wps:cNvSpPr/>
                        <wps:spPr>
                          <a:xfrm>
                            <a:off x="57405" y="352129"/>
                            <a:ext cx="76200" cy="1270"/>
                          </a:xfrm>
                          <a:custGeom>
                            <a:avLst/>
                            <a:gdLst/>
                            <a:ahLst/>
                            <a:cxnLst/>
                            <a:rect l="l" t="t" r="r" b="b"/>
                            <a:pathLst>
                              <a:path w="76200">
                                <a:moveTo>
                                  <a:pt x="0" y="0"/>
                                </a:moveTo>
                                <a:lnTo>
                                  <a:pt x="75603" y="0"/>
                                </a:lnTo>
                              </a:path>
                              <a:path w="76200">
                                <a:moveTo>
                                  <a:pt x="0" y="0"/>
                                </a:moveTo>
                                <a:lnTo>
                                  <a:pt x="75603" y="0"/>
                                </a:lnTo>
                              </a:path>
                              <a:path w="76200">
                                <a:moveTo>
                                  <a:pt x="0" y="0"/>
                                </a:moveTo>
                                <a:lnTo>
                                  <a:pt x="75603" y="0"/>
                                </a:lnTo>
                              </a:path>
                              <a:path w="76200">
                                <a:moveTo>
                                  <a:pt x="0" y="0"/>
                                </a:moveTo>
                                <a:lnTo>
                                  <a:pt x="75603" y="0"/>
                                </a:lnTo>
                              </a:path>
                              <a:path w="76200">
                                <a:moveTo>
                                  <a:pt x="0" y="0"/>
                                </a:moveTo>
                                <a:lnTo>
                                  <a:pt x="75603" y="0"/>
                                </a:lnTo>
                              </a:path>
                              <a:path w="76200">
                                <a:moveTo>
                                  <a:pt x="0" y="0"/>
                                </a:moveTo>
                                <a:lnTo>
                                  <a:pt x="75603" y="0"/>
                                </a:lnTo>
                              </a:path>
                              <a:path w="76200">
                                <a:moveTo>
                                  <a:pt x="0" y="0"/>
                                </a:moveTo>
                                <a:lnTo>
                                  <a:pt x="75603" y="0"/>
                                </a:lnTo>
                              </a:path>
                              <a:path w="76200">
                                <a:moveTo>
                                  <a:pt x="0" y="0"/>
                                </a:moveTo>
                                <a:lnTo>
                                  <a:pt x="75603" y="0"/>
                                </a:lnTo>
                              </a:path>
                              <a:path w="76200">
                                <a:moveTo>
                                  <a:pt x="0" y="0"/>
                                </a:moveTo>
                                <a:lnTo>
                                  <a:pt x="75603" y="0"/>
                                </a:lnTo>
                              </a:path>
                            </a:pathLst>
                          </a:custGeom>
                          <a:ln w="731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DFD175" id="Group 1996" o:spid="_x0000_s1026" style="position:absolute;margin-left:276.65pt;margin-top:6.65pt;width:13pt;height:28.05pt;z-index:16044032;mso-wrap-distance-left:0;mso-wrap-distance-right:0;mso-position-horizontal-relative:page" coordsize="16510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">
                <v:shape id="Graphic 1997" o:spid="_x0000_s1027" style="position:absolute;top:31584;width:112395;height:1270;visibility:visible;mso-wrap-style:square;v-text-anchor:top" coordsize="112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" path="m,l112382,e" filled="f" strokeweight=".20319mm">
                  <v:path arrowok="t"/>
                </v:shape>
                <v:shape id="Graphic 1998" o:spid="_x0000_s1028" style="position:absolute;left:101100;top:191863;width:62865;height:1270;visibility:visible;mso-wrap-style:square;v-text-anchor:top" coordsize="62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" path="m,l62712,e" filled="f" strokeweight=".20319mm">
                  <v:path arrowok="t"/>
                </v:shape>
                <v:shape id="Graphic 1999" o:spid="_x0000_s1029" style="position:absolute;left:25748;top:3;width:139065;height:223520;visibility:visible;mso-wrap-style:square;v-text-anchor:top" coordsize="139065,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" path="m63195,31584l31648,,,31584,31648,63144,63195,31584xem138798,191871l107251,160274,75692,191871r31559,31547l138798,191871xe" fillcolor="black" stroked="f">
                  <v:path arrowok="t"/>
                </v:shape>
                <v:shape id="Graphic 2000" o:spid="_x0000_s1030" style="position:absolute;left:57405;top:31581;width:1270;height:320675;visibility:visible;mso-wrap-style:square;v-text-anchor:top" coordsize="127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" path="m,320548l,em,320548l,em,320548l,em,320548l,em,320548l,em,320548l,em,320548l,em,320548l,em,320548l,e" filled="f" strokeweight=".20319mm">
                  <v:path arrowok="t"/>
                </v:shape>
                <v:shape id="Graphic 2001" o:spid="_x0000_s1031" style="position:absolute;left:133002;top:191867;width:1270;height:160655;visibility:visible;mso-wrap-style:square;v-text-anchor:top" coordsize="12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" path="m,160261l,em,160261l,em,160261l,em,160261l,em,160261l,em,160261l,em,160261l,em,160261l,em,160261l,e" filled="f" strokeweight=".20319mm">
                  <v:path arrowok="t"/>
                </v:shape>
                <v:shape id="Graphic 2002" o:spid="_x0000_s1032" style="position:absolute;left:57405;top:352129;width:76200;height:1270;visibility:visible;mso-wrap-style:square;v-text-anchor:top" coordsize="76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" path="m,l75603,em,l75603,em,l75603,em,l75603,em,l75603,em,l75603,em,l75603,em,l75603,em,l75603,e" filled="f" strokeweight=".20319mm">
                  <v:path arrowok="t"/>
                </v:shape>
                <w10:wrap anchorx="page"/>
              </v:group>
            </w:pict>
          </mc:Fallback>
        </mc:AlternateContent>
      </w:r>
      <w:r w:rsidRPr="003C6DAE">
        <w:rPr>
          <w:rFonts w:ascii="Arial MT"/>
          <w:sz w:val="12"/>
          <w:lang w:val="uk-UA"/>
        </w:rPr>
        <w:t>68.0%</w:t>
      </w:r>
      <w:r w:rsidRPr="003C6DAE">
        <w:rPr>
          <w:rFonts w:ascii="Arial MT"/>
          <w:spacing w:val="1"/>
          <w:sz w:val="12"/>
          <w:lang w:val="uk-UA"/>
        </w:rPr>
        <w:t xml:space="preserve"> </w:t>
      </w:r>
      <w:r w:rsidRPr="003C6DAE">
        <w:rPr>
          <w:rFonts w:ascii="Arial MT"/>
          <w:sz w:val="12"/>
          <w:lang w:val="uk-UA"/>
        </w:rPr>
        <w:t>(60.8</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74.9)</w:t>
      </w:r>
    </w:p>
    <w:p w14:paraId="7A475953" w14:textId="77777777" w:rsidR="00E05B98" w:rsidRPr="003C6DAE" w:rsidRDefault="00B01E0C">
      <w:pPr>
        <w:spacing w:before="114"/>
        <w:ind w:left="597"/>
        <w:rPr>
          <w:rFonts w:ascii="Arial MT"/>
          <w:sz w:val="12"/>
          <w:lang w:val="uk-UA"/>
        </w:rPr>
      </w:pPr>
      <w:r w:rsidRPr="003C6DAE">
        <w:rPr>
          <w:rFonts w:ascii="Arial MT"/>
          <w:sz w:val="12"/>
          <w:lang w:val="uk-UA"/>
        </w:rPr>
        <w:t>77.5%</w:t>
      </w:r>
      <w:r w:rsidRPr="003C6DAE">
        <w:rPr>
          <w:rFonts w:ascii="Arial MT"/>
          <w:spacing w:val="1"/>
          <w:sz w:val="12"/>
          <w:lang w:val="uk-UA"/>
        </w:rPr>
        <w:t xml:space="preserve"> </w:t>
      </w:r>
      <w:r w:rsidRPr="003C6DAE">
        <w:rPr>
          <w:rFonts w:ascii="Arial MT"/>
          <w:sz w:val="12"/>
          <w:lang w:val="uk-UA"/>
        </w:rPr>
        <w:t>(73.4</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81.3)</w:t>
      </w:r>
    </w:p>
    <w:p w14:paraId="1E3ABB3E" w14:textId="77777777" w:rsidR="00E05B98" w:rsidRPr="003C6DAE" w:rsidRDefault="00B01E0C">
      <w:pPr>
        <w:spacing w:before="115"/>
        <w:ind w:left="665"/>
        <w:rPr>
          <w:rFonts w:ascii="Arial MT"/>
          <w:sz w:val="12"/>
          <w:lang w:val="uk-UA"/>
        </w:rPr>
      </w:pPr>
      <w:r w:rsidRPr="003C6DAE">
        <w:rPr>
          <w:rFonts w:ascii="Arial MT"/>
          <w:sz w:val="12"/>
          <w:lang w:val="uk-UA"/>
        </w:rPr>
        <w:t>6.7%</w:t>
      </w:r>
      <w:r w:rsidRPr="003C6DAE">
        <w:rPr>
          <w:rFonts w:ascii="Arial MT"/>
          <w:spacing w:val="1"/>
          <w:sz w:val="12"/>
          <w:lang w:val="uk-UA"/>
        </w:rPr>
        <w:t xml:space="preserve"> </w:t>
      </w:r>
      <w:r w:rsidRPr="003C6DAE">
        <w:rPr>
          <w:rFonts w:ascii="Arial MT"/>
          <w:sz w:val="12"/>
          <w:lang w:val="uk-UA"/>
        </w:rPr>
        <w:t>(3.8</w:t>
      </w:r>
      <w:r w:rsidRPr="003C6DAE">
        <w:rPr>
          <w:rFonts w:ascii="Arial MT"/>
          <w:spacing w:val="2"/>
          <w:sz w:val="12"/>
          <w:lang w:val="uk-UA"/>
        </w:rPr>
        <w:t xml:space="preserve"> </w:t>
      </w:r>
      <w:r w:rsidRPr="003C6DAE">
        <w:rPr>
          <w:rFonts w:ascii="Arial MT"/>
          <w:sz w:val="12"/>
          <w:lang w:val="uk-UA"/>
        </w:rPr>
        <w:t>to</w:t>
      </w:r>
      <w:r w:rsidRPr="003C6DAE">
        <w:rPr>
          <w:rFonts w:ascii="Arial MT"/>
          <w:spacing w:val="1"/>
          <w:sz w:val="12"/>
          <w:lang w:val="uk-UA"/>
        </w:rPr>
        <w:t xml:space="preserve"> </w:t>
      </w:r>
      <w:r w:rsidRPr="003C6DAE">
        <w:rPr>
          <w:rFonts w:ascii="Arial MT"/>
          <w:spacing w:val="-2"/>
          <w:sz w:val="12"/>
          <w:lang w:val="uk-UA"/>
        </w:rPr>
        <w:t>10.7)</w:t>
      </w:r>
    </w:p>
    <w:p w14:paraId="4E2DF730" w14:textId="77777777" w:rsidR="00E05B98" w:rsidRPr="003C6DAE" w:rsidRDefault="00E05B98">
      <w:pPr>
        <w:pStyle w:val="a3"/>
        <w:rPr>
          <w:rFonts w:ascii="Arial MT"/>
          <w:sz w:val="12"/>
          <w:lang w:val="uk-UA"/>
        </w:rPr>
      </w:pPr>
    </w:p>
    <w:p w14:paraId="5470D915" w14:textId="77777777" w:rsidR="00E05B98" w:rsidRPr="003C6DAE" w:rsidRDefault="00E05B98">
      <w:pPr>
        <w:pStyle w:val="a3"/>
        <w:spacing w:before="90"/>
        <w:rPr>
          <w:rFonts w:ascii="Arial MT"/>
          <w:sz w:val="12"/>
          <w:lang w:val="uk-UA"/>
        </w:rPr>
      </w:pPr>
    </w:p>
    <w:p w14:paraId="0844E302" w14:textId="77777777" w:rsidR="00E05B98" w:rsidRPr="003C6DAE" w:rsidRDefault="00B01E0C">
      <w:pPr>
        <w:spacing w:before="1"/>
        <w:ind w:left="597"/>
        <w:rPr>
          <w:rFonts w:ascii="Arial MT"/>
          <w:sz w:val="12"/>
          <w:lang w:val="uk-UA"/>
        </w:rPr>
      </w:pPr>
      <w:r w:rsidRPr="003C6DAE">
        <w:rPr>
          <w:rFonts w:ascii="Arial MT"/>
          <w:noProof/>
          <w:sz w:val="12"/>
          <w:lang w:val="uk-UA"/>
        </w:rPr>
        <mc:AlternateContent>
          <mc:Choice Requires="wpg">
            <w:drawing>
              <wp:anchor distT="0" distB="0" distL="0" distR="0" simplePos="0" relativeHeight="16044544" behindDoc="0" locked="0" layoutInCell="1" allowOverlap="1" wp14:anchorId="68693B6D" wp14:editId="11AADCC2">
                <wp:simplePos x="0" y="0"/>
                <wp:positionH relativeFrom="page">
                  <wp:posOffset>3274122</wp:posOffset>
                </wp:positionH>
                <wp:positionV relativeFrom="paragraph">
                  <wp:posOffset>12637</wp:posOffset>
                </wp:positionV>
                <wp:extent cx="129539" cy="63500"/>
                <wp:effectExtent l="0" t="0" r="0" b="0"/>
                <wp:wrapNone/>
                <wp:docPr id="2003"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39" cy="63500"/>
                          <a:chOff x="0" y="0"/>
                          <a:chExt cx="129539" cy="63500"/>
                        </a:xfrm>
                      </wpg:grpSpPr>
                      <wps:wsp>
                        <wps:cNvPr id="2004" name="Graphic 2004"/>
                        <wps:cNvSpPr/>
                        <wps:spPr>
                          <a:xfrm>
                            <a:off x="0" y="31597"/>
                            <a:ext cx="129539" cy="1270"/>
                          </a:xfrm>
                          <a:custGeom>
                            <a:avLst/>
                            <a:gdLst/>
                            <a:ahLst/>
                            <a:cxnLst/>
                            <a:rect l="l" t="t" r="r" b="b"/>
                            <a:pathLst>
                              <a:path w="129539">
                                <a:moveTo>
                                  <a:pt x="0" y="0"/>
                                </a:moveTo>
                                <a:lnTo>
                                  <a:pt x="129451" y="0"/>
                                </a:lnTo>
                              </a:path>
                            </a:pathLst>
                          </a:custGeom>
                          <a:ln w="7315">
                            <a:solidFill>
                              <a:srgbClr val="000000"/>
                            </a:solidFill>
                            <a:prstDash val="solid"/>
                          </a:ln>
                        </wps:spPr>
                        <wps:bodyPr wrap="square" lIns="0" tIns="0" rIns="0" bIns="0" rtlCol="0">
                          <a:prstTxWarp prst="textNoShape">
                            <a:avLst/>
                          </a:prstTxWarp>
                          <a:noAutofit/>
                        </wps:bodyPr>
                      </wps:wsp>
                      <wps:wsp>
                        <wps:cNvPr id="2005" name="Graphic 2005"/>
                        <wps:cNvSpPr/>
                        <wps:spPr>
                          <a:xfrm>
                            <a:off x="31856" y="0"/>
                            <a:ext cx="63500" cy="63500"/>
                          </a:xfrm>
                          <a:custGeom>
                            <a:avLst/>
                            <a:gdLst/>
                            <a:ahLst/>
                            <a:cxnLst/>
                            <a:rect l="l" t="t" r="r" b="b"/>
                            <a:pathLst>
                              <a:path w="63500" h="63500">
                                <a:moveTo>
                                  <a:pt x="31559" y="0"/>
                                </a:moveTo>
                                <a:lnTo>
                                  <a:pt x="0" y="31597"/>
                                </a:lnTo>
                                <a:lnTo>
                                  <a:pt x="31559" y="63182"/>
                                </a:lnTo>
                                <a:lnTo>
                                  <a:pt x="63106" y="31597"/>
                                </a:lnTo>
                                <a:lnTo>
                                  <a:pt x="315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B3FA04" id="Group 2003" o:spid="_x0000_s1026" style="position:absolute;margin-left:257.8pt;margin-top:1pt;width:10.2pt;height:5pt;z-index:16044544;mso-wrap-distance-left:0;mso-wrap-distance-right:0;mso-position-horizontal-relative:page" coordsize="129539,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">
                <v:shape id="Graphic 2004" o:spid="_x0000_s1027" style="position:absolute;top:31597;width:129539;height:1270;visibility:visible;mso-wrap-style:square;v-text-anchor:top" coordsize="1295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" path="m,l129451,e" filled="f" strokeweight=".20319mm">
                  <v:path arrowok="t"/>
                </v:shape>
                <v:shape id="Graphic 2005" o:spid="_x0000_s1028" style="position:absolute;left:31856;width:63500;height:63500;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" path="m31559,l,31597,31559,63182,63106,31597,31559,xe" fillcolor="black" stroked="f">
                  <v:path arrowok="t"/>
                </v:shape>
                <w10:wrap anchorx="page"/>
              </v:group>
            </w:pict>
          </mc:Fallback>
        </mc:AlternateContent>
      </w:r>
      <w:r w:rsidRPr="003C6DAE">
        <w:rPr>
          <w:rFonts w:ascii="Arial MT"/>
          <w:sz w:val="12"/>
          <w:lang w:val="uk-UA"/>
        </w:rPr>
        <w:t>38.6%</w:t>
      </w:r>
      <w:r w:rsidRPr="003C6DAE">
        <w:rPr>
          <w:rFonts w:ascii="Arial MT"/>
          <w:spacing w:val="1"/>
          <w:sz w:val="12"/>
          <w:lang w:val="uk-UA"/>
        </w:rPr>
        <w:t xml:space="preserve"> </w:t>
      </w:r>
      <w:r w:rsidRPr="003C6DAE">
        <w:rPr>
          <w:rFonts w:ascii="Arial MT"/>
          <w:sz w:val="12"/>
          <w:lang w:val="uk-UA"/>
        </w:rPr>
        <w:t>(30.7</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47.0)</w:t>
      </w:r>
    </w:p>
    <w:p w14:paraId="55C5782D" w14:textId="77777777" w:rsidR="00E05B98" w:rsidRPr="003C6DAE" w:rsidRDefault="00B01E0C">
      <w:pPr>
        <w:spacing w:before="114"/>
        <w:ind w:left="597"/>
        <w:rPr>
          <w:rFonts w:ascii="Arial MT"/>
          <w:sz w:val="12"/>
          <w:lang w:val="uk-UA"/>
        </w:rPr>
      </w:pPr>
      <w:r w:rsidRPr="003C6DAE">
        <w:rPr>
          <w:rFonts w:ascii="Arial MT"/>
          <w:noProof/>
          <w:sz w:val="12"/>
          <w:lang w:val="uk-UA"/>
        </w:rPr>
        <mc:AlternateContent>
          <mc:Choice Requires="wpg">
            <w:drawing>
              <wp:anchor distT="0" distB="0" distL="0" distR="0" simplePos="0" relativeHeight="16045056" behindDoc="0" locked="0" layoutInCell="1" allowOverlap="1" wp14:anchorId="7C91E151" wp14:editId="62E3B76C">
                <wp:simplePos x="0" y="0"/>
                <wp:positionH relativeFrom="page">
                  <wp:posOffset>3336706</wp:posOffset>
                </wp:positionH>
                <wp:positionV relativeFrom="paragraph">
                  <wp:posOffset>84658</wp:posOffset>
                </wp:positionV>
                <wp:extent cx="287020" cy="356235"/>
                <wp:effectExtent l="0" t="0" r="0" b="0"/>
                <wp:wrapNone/>
                <wp:docPr id="2006" name="Group 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356235"/>
                          <a:chOff x="0" y="0"/>
                          <a:chExt cx="287020" cy="356235"/>
                        </a:xfrm>
                      </wpg:grpSpPr>
                      <wps:wsp>
                        <wps:cNvPr id="2007" name="Graphic 2007"/>
                        <wps:cNvSpPr/>
                        <wps:spPr>
                          <a:xfrm>
                            <a:off x="0" y="31584"/>
                            <a:ext cx="132715" cy="1270"/>
                          </a:xfrm>
                          <a:custGeom>
                            <a:avLst/>
                            <a:gdLst/>
                            <a:ahLst/>
                            <a:cxnLst/>
                            <a:rect l="l" t="t" r="r" b="b"/>
                            <a:pathLst>
                              <a:path w="132715">
                                <a:moveTo>
                                  <a:pt x="0" y="0"/>
                                </a:moveTo>
                                <a:lnTo>
                                  <a:pt x="132664" y="0"/>
                                </a:lnTo>
                              </a:path>
                            </a:pathLst>
                          </a:custGeom>
                          <a:ln w="7315">
                            <a:solidFill>
                              <a:srgbClr val="000000"/>
                            </a:solidFill>
                            <a:prstDash val="solid"/>
                          </a:ln>
                        </wps:spPr>
                        <wps:bodyPr wrap="square" lIns="0" tIns="0" rIns="0" bIns="0" rtlCol="0">
                          <a:prstTxWarp prst="textNoShape">
                            <a:avLst/>
                          </a:prstTxWarp>
                          <a:noAutofit/>
                        </wps:bodyPr>
                      </wps:wsp>
                      <wps:wsp>
                        <wps:cNvPr id="2008" name="Graphic 2008"/>
                        <wps:cNvSpPr/>
                        <wps:spPr>
                          <a:xfrm>
                            <a:off x="169484" y="191896"/>
                            <a:ext cx="117475" cy="1270"/>
                          </a:xfrm>
                          <a:custGeom>
                            <a:avLst/>
                            <a:gdLst/>
                            <a:ahLst/>
                            <a:cxnLst/>
                            <a:rect l="l" t="t" r="r" b="b"/>
                            <a:pathLst>
                              <a:path w="117475">
                                <a:moveTo>
                                  <a:pt x="0" y="0"/>
                                </a:moveTo>
                                <a:lnTo>
                                  <a:pt x="117436" y="0"/>
                                </a:lnTo>
                              </a:path>
                            </a:pathLst>
                          </a:custGeom>
                          <a:ln w="7315">
                            <a:solidFill>
                              <a:srgbClr val="000000"/>
                            </a:solidFill>
                            <a:prstDash val="solid"/>
                          </a:ln>
                        </wps:spPr>
                        <wps:bodyPr wrap="square" lIns="0" tIns="0" rIns="0" bIns="0" rtlCol="0">
                          <a:prstTxWarp prst="textNoShape">
                            <a:avLst/>
                          </a:prstTxWarp>
                          <a:noAutofit/>
                        </wps:bodyPr>
                      </wps:wsp>
                      <wps:wsp>
                        <wps:cNvPr id="2009" name="Graphic 2009"/>
                        <wps:cNvSpPr/>
                        <wps:spPr>
                          <a:xfrm>
                            <a:off x="33797" y="4"/>
                            <a:ext cx="228600" cy="223520"/>
                          </a:xfrm>
                          <a:custGeom>
                            <a:avLst/>
                            <a:gdLst/>
                            <a:ahLst/>
                            <a:cxnLst/>
                            <a:rect l="l" t="t" r="r" b="b"/>
                            <a:pathLst>
                              <a:path w="228600" h="223520">
                                <a:moveTo>
                                  <a:pt x="63144" y="31584"/>
                                </a:moveTo>
                                <a:lnTo>
                                  <a:pt x="31597" y="0"/>
                                </a:lnTo>
                                <a:lnTo>
                                  <a:pt x="0" y="31584"/>
                                </a:lnTo>
                                <a:lnTo>
                                  <a:pt x="31597" y="63182"/>
                                </a:lnTo>
                                <a:lnTo>
                                  <a:pt x="63144" y="31584"/>
                                </a:lnTo>
                                <a:close/>
                              </a:path>
                              <a:path w="228600" h="223520">
                                <a:moveTo>
                                  <a:pt x="228346" y="191897"/>
                                </a:moveTo>
                                <a:lnTo>
                                  <a:pt x="196748" y="160261"/>
                                </a:lnTo>
                                <a:lnTo>
                                  <a:pt x="165201" y="191897"/>
                                </a:lnTo>
                                <a:lnTo>
                                  <a:pt x="196748" y="223456"/>
                                </a:lnTo>
                                <a:lnTo>
                                  <a:pt x="228346" y="191897"/>
                                </a:lnTo>
                                <a:close/>
                              </a:path>
                            </a:pathLst>
                          </a:custGeom>
                          <a:solidFill>
                            <a:srgbClr val="000000"/>
                          </a:solidFill>
                        </wps:spPr>
                        <wps:bodyPr wrap="square" lIns="0" tIns="0" rIns="0" bIns="0" rtlCol="0">
                          <a:prstTxWarp prst="textNoShape">
                            <a:avLst/>
                          </a:prstTxWarp>
                          <a:noAutofit/>
                        </wps:bodyPr>
                      </wps:wsp>
                      <wps:wsp>
                        <wps:cNvPr id="2010" name="Graphic 2010"/>
                        <wps:cNvSpPr/>
                        <wps:spPr>
                          <a:xfrm>
                            <a:off x="65406" y="31588"/>
                            <a:ext cx="1270" cy="320675"/>
                          </a:xfrm>
                          <a:custGeom>
                            <a:avLst/>
                            <a:gdLst/>
                            <a:ahLst/>
                            <a:cxnLst/>
                            <a:rect l="l" t="t" r="r" b="b"/>
                            <a:pathLst>
                              <a:path h="320675">
                                <a:moveTo>
                                  <a:pt x="0" y="320586"/>
                                </a:moveTo>
                                <a:lnTo>
                                  <a:pt x="0" y="0"/>
                                </a:lnTo>
                              </a:path>
                              <a:path h="320675">
                                <a:moveTo>
                                  <a:pt x="0" y="320586"/>
                                </a:moveTo>
                                <a:lnTo>
                                  <a:pt x="0" y="0"/>
                                </a:lnTo>
                              </a:path>
                              <a:path h="320675">
                                <a:moveTo>
                                  <a:pt x="0" y="320586"/>
                                </a:moveTo>
                                <a:lnTo>
                                  <a:pt x="0" y="0"/>
                                </a:lnTo>
                              </a:path>
                              <a:path h="320675">
                                <a:moveTo>
                                  <a:pt x="0" y="320586"/>
                                </a:moveTo>
                                <a:lnTo>
                                  <a:pt x="0" y="0"/>
                                </a:lnTo>
                              </a:path>
                              <a:path h="320675">
                                <a:moveTo>
                                  <a:pt x="0" y="320586"/>
                                </a:moveTo>
                                <a:lnTo>
                                  <a:pt x="0" y="0"/>
                                </a:lnTo>
                              </a:path>
                              <a:path h="320675">
                                <a:moveTo>
                                  <a:pt x="0" y="320586"/>
                                </a:moveTo>
                                <a:lnTo>
                                  <a:pt x="0" y="0"/>
                                </a:lnTo>
                              </a:path>
                              <a:path h="320675">
                                <a:moveTo>
                                  <a:pt x="0" y="320586"/>
                                </a:moveTo>
                                <a:lnTo>
                                  <a:pt x="0" y="0"/>
                                </a:lnTo>
                              </a:path>
                              <a:path h="320675">
                                <a:moveTo>
                                  <a:pt x="0" y="320586"/>
                                </a:moveTo>
                                <a:lnTo>
                                  <a:pt x="0" y="0"/>
                                </a:lnTo>
                              </a:path>
                              <a:path h="320675">
                                <a:moveTo>
                                  <a:pt x="0" y="320586"/>
                                </a:moveTo>
                                <a:lnTo>
                                  <a:pt x="0" y="0"/>
                                </a:lnTo>
                              </a:path>
                            </a:pathLst>
                          </a:custGeom>
                          <a:ln w="7315">
                            <a:solidFill>
                              <a:srgbClr val="000000"/>
                            </a:solidFill>
                            <a:prstDash val="solid"/>
                          </a:ln>
                        </wps:spPr>
                        <wps:bodyPr wrap="square" lIns="0" tIns="0" rIns="0" bIns="0" rtlCol="0">
                          <a:prstTxWarp prst="textNoShape">
                            <a:avLst/>
                          </a:prstTxWarp>
                          <a:noAutofit/>
                        </wps:bodyPr>
                      </wps:wsp>
                      <wps:wsp>
                        <wps:cNvPr id="2011" name="Graphic 2011"/>
                        <wps:cNvSpPr/>
                        <wps:spPr>
                          <a:xfrm>
                            <a:off x="230551" y="191900"/>
                            <a:ext cx="1270" cy="160655"/>
                          </a:xfrm>
                          <a:custGeom>
                            <a:avLst/>
                            <a:gdLst/>
                            <a:ahLst/>
                            <a:cxnLst/>
                            <a:rect l="l" t="t" r="r" b="b"/>
                            <a:pathLst>
                              <a:path h="160655">
                                <a:moveTo>
                                  <a:pt x="0" y="160274"/>
                                </a:moveTo>
                                <a:lnTo>
                                  <a:pt x="0" y="0"/>
                                </a:lnTo>
                              </a:path>
                              <a:path h="160655">
                                <a:moveTo>
                                  <a:pt x="0" y="160274"/>
                                </a:moveTo>
                                <a:lnTo>
                                  <a:pt x="0" y="0"/>
                                </a:lnTo>
                              </a:path>
                              <a:path h="160655">
                                <a:moveTo>
                                  <a:pt x="0" y="160274"/>
                                </a:moveTo>
                                <a:lnTo>
                                  <a:pt x="0" y="0"/>
                                </a:lnTo>
                              </a:path>
                              <a:path h="160655">
                                <a:moveTo>
                                  <a:pt x="0" y="160274"/>
                                </a:moveTo>
                                <a:lnTo>
                                  <a:pt x="0" y="0"/>
                                </a:lnTo>
                              </a:path>
                              <a:path h="160655">
                                <a:moveTo>
                                  <a:pt x="0" y="160274"/>
                                </a:moveTo>
                                <a:lnTo>
                                  <a:pt x="0" y="0"/>
                                </a:lnTo>
                              </a:path>
                              <a:path h="160655">
                                <a:moveTo>
                                  <a:pt x="0" y="160274"/>
                                </a:moveTo>
                                <a:lnTo>
                                  <a:pt x="0" y="0"/>
                                </a:lnTo>
                              </a:path>
                              <a:path h="160655">
                                <a:moveTo>
                                  <a:pt x="0" y="160274"/>
                                </a:moveTo>
                                <a:lnTo>
                                  <a:pt x="0" y="0"/>
                                </a:lnTo>
                              </a:path>
                              <a:path h="160655">
                                <a:moveTo>
                                  <a:pt x="0" y="160274"/>
                                </a:moveTo>
                                <a:lnTo>
                                  <a:pt x="0" y="0"/>
                                </a:lnTo>
                              </a:path>
                              <a:path h="160655">
                                <a:moveTo>
                                  <a:pt x="0" y="160274"/>
                                </a:moveTo>
                                <a:lnTo>
                                  <a:pt x="0" y="0"/>
                                </a:lnTo>
                              </a:path>
                            </a:pathLst>
                          </a:custGeom>
                          <a:ln w="7315">
                            <a:solidFill>
                              <a:srgbClr val="000000"/>
                            </a:solidFill>
                            <a:prstDash val="solid"/>
                          </a:ln>
                        </wps:spPr>
                        <wps:bodyPr wrap="square" lIns="0" tIns="0" rIns="0" bIns="0" rtlCol="0">
                          <a:prstTxWarp prst="textNoShape">
                            <a:avLst/>
                          </a:prstTxWarp>
                          <a:noAutofit/>
                        </wps:bodyPr>
                      </wps:wsp>
                      <wps:wsp>
                        <wps:cNvPr id="2012" name="Graphic 2012"/>
                        <wps:cNvSpPr/>
                        <wps:spPr>
                          <a:xfrm>
                            <a:off x="65406" y="352174"/>
                            <a:ext cx="165735" cy="1270"/>
                          </a:xfrm>
                          <a:custGeom>
                            <a:avLst/>
                            <a:gdLst/>
                            <a:ahLst/>
                            <a:cxnLst/>
                            <a:rect l="l" t="t" r="r" b="b"/>
                            <a:pathLst>
                              <a:path w="165735">
                                <a:moveTo>
                                  <a:pt x="0" y="0"/>
                                </a:moveTo>
                                <a:lnTo>
                                  <a:pt x="165150" y="0"/>
                                </a:lnTo>
                              </a:path>
                              <a:path w="165735">
                                <a:moveTo>
                                  <a:pt x="0" y="0"/>
                                </a:moveTo>
                                <a:lnTo>
                                  <a:pt x="165150" y="0"/>
                                </a:lnTo>
                              </a:path>
                              <a:path w="165735">
                                <a:moveTo>
                                  <a:pt x="0" y="0"/>
                                </a:moveTo>
                                <a:lnTo>
                                  <a:pt x="165150" y="0"/>
                                </a:lnTo>
                              </a:path>
                              <a:path w="165735">
                                <a:moveTo>
                                  <a:pt x="0" y="0"/>
                                </a:moveTo>
                                <a:lnTo>
                                  <a:pt x="165150" y="0"/>
                                </a:lnTo>
                              </a:path>
                              <a:path w="165735">
                                <a:moveTo>
                                  <a:pt x="0" y="0"/>
                                </a:moveTo>
                                <a:lnTo>
                                  <a:pt x="165150" y="0"/>
                                </a:lnTo>
                              </a:path>
                              <a:path w="165735">
                                <a:moveTo>
                                  <a:pt x="0" y="0"/>
                                </a:moveTo>
                                <a:lnTo>
                                  <a:pt x="165150" y="0"/>
                                </a:lnTo>
                              </a:path>
                              <a:path w="165735">
                                <a:moveTo>
                                  <a:pt x="0" y="0"/>
                                </a:moveTo>
                                <a:lnTo>
                                  <a:pt x="165150" y="0"/>
                                </a:lnTo>
                              </a:path>
                              <a:path w="165735">
                                <a:moveTo>
                                  <a:pt x="0" y="0"/>
                                </a:moveTo>
                                <a:lnTo>
                                  <a:pt x="165150" y="0"/>
                                </a:lnTo>
                              </a:path>
                              <a:path w="165735">
                                <a:moveTo>
                                  <a:pt x="0" y="0"/>
                                </a:moveTo>
                                <a:lnTo>
                                  <a:pt x="165150" y="0"/>
                                </a:lnTo>
                              </a:path>
                            </a:pathLst>
                          </a:custGeom>
                          <a:ln w="731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2F1665" id="Group 2006" o:spid="_x0000_s1026" style="position:absolute;margin-left:262.75pt;margin-top:6.65pt;width:22.6pt;height:28.05pt;z-index:16045056;mso-wrap-distance-left:0;mso-wrap-distance-right:0;mso-position-horizontal-relative:page" coordsize="287020,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">
                <v:shape id="Graphic 2007" o:spid="_x0000_s1027" style="position:absolute;top:31584;width:132715;height:1270;visibility:visible;mso-wrap-style:square;v-text-anchor:top" coordsize="13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" path="m,l132664,e" filled="f" strokeweight=".20319mm">
                  <v:path arrowok="t"/>
                </v:shape>
                <v:shape id="Graphic 2008" o:spid="_x0000_s1028" style="position:absolute;left:169484;top:191896;width:117475;height:1270;visibility:visible;mso-wrap-style:square;v-text-anchor:top" coordsize="117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" path="m,l117436,e" filled="f" strokeweight=".20319mm">
                  <v:path arrowok="t"/>
                </v:shape>
                <v:shape id="Graphic 2009" o:spid="_x0000_s1029" style="position:absolute;left:33797;top:4;width:228600;height:223520;visibility:visible;mso-wrap-style:square;v-text-anchor:top" coordsize="22860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" path="m63144,31584l31597,,,31584,31597,63182,63144,31584xem228346,191897l196748,160261r-31547,31636l196748,223456r31598,-31559xe" fillcolor="black" stroked="f">
                  <v:path arrowok="t"/>
                </v:shape>
                <v:shape id="Graphic 2010" o:spid="_x0000_s1030" style="position:absolute;left:65406;top:31588;width:1270;height:320675;visibility:visible;mso-wrap-style:square;v-text-anchor:top" coordsize="127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" path="m,320586l,em,320586l,em,320586l,em,320586l,em,320586l,em,320586l,em,320586l,em,320586l,em,320586l,e" filled="f" strokeweight=".20319mm">
                  <v:path arrowok="t"/>
                </v:shape>
                <v:shape id="Graphic 2011" o:spid="_x0000_s1031" style="position:absolute;left:230551;top:191900;width:1270;height:160655;visibility:visible;mso-wrap-style:square;v-text-anchor:top" coordsize="12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" path="m,160274l,em,160274l,em,160274l,em,160274l,em,160274l,em,160274l,em,160274l,em,160274l,em,160274l,e" filled="f" strokeweight=".20319mm">
                  <v:path arrowok="t"/>
                </v:shape>
                <v:shape id="Graphic 2012" o:spid="_x0000_s1032" style="position:absolute;left:65406;top:352174;width:165735;height:1270;visibility:visible;mso-wrap-style:square;v-text-anchor:top" coordsize="165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" path="m,l165150,em,l165150,em,l165150,em,l165150,em,l165150,em,l165150,em,l165150,em,l165150,em,l165150,e" filled="f" strokeweight=".20319mm">
                  <v:path arrowok="t"/>
                </v:shape>
                <w10:wrap anchorx="page"/>
              </v:group>
            </w:pict>
          </mc:Fallback>
        </mc:AlternateContent>
      </w:r>
      <w:r w:rsidRPr="003C6DAE">
        <w:rPr>
          <w:rFonts w:ascii="Arial MT"/>
          <w:sz w:val="12"/>
          <w:lang w:val="uk-UA"/>
        </w:rPr>
        <w:t>46.8%</w:t>
      </w:r>
      <w:r w:rsidRPr="003C6DAE">
        <w:rPr>
          <w:rFonts w:ascii="Arial MT"/>
          <w:spacing w:val="1"/>
          <w:sz w:val="12"/>
          <w:lang w:val="uk-UA"/>
        </w:rPr>
        <w:t xml:space="preserve"> </w:t>
      </w:r>
      <w:r w:rsidRPr="003C6DAE">
        <w:rPr>
          <w:rFonts w:ascii="Arial MT"/>
          <w:sz w:val="12"/>
          <w:lang w:val="uk-UA"/>
        </w:rPr>
        <w:t>(38.6</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55.2)</w:t>
      </w:r>
    </w:p>
    <w:p w14:paraId="13A035E2" w14:textId="77777777" w:rsidR="00E05B98" w:rsidRPr="003C6DAE" w:rsidRDefault="00B01E0C">
      <w:pPr>
        <w:spacing w:before="114"/>
        <w:ind w:left="597"/>
        <w:rPr>
          <w:rFonts w:ascii="Arial MT"/>
          <w:sz w:val="12"/>
          <w:lang w:val="uk-UA"/>
        </w:rPr>
      </w:pPr>
      <w:r w:rsidRPr="003C6DAE">
        <w:rPr>
          <w:rFonts w:ascii="Arial MT"/>
          <w:sz w:val="12"/>
          <w:lang w:val="uk-UA"/>
        </w:rPr>
        <w:t>67.6%</w:t>
      </w:r>
      <w:r w:rsidRPr="003C6DAE">
        <w:rPr>
          <w:rFonts w:ascii="Arial MT"/>
          <w:spacing w:val="1"/>
          <w:sz w:val="12"/>
          <w:lang w:val="uk-UA"/>
        </w:rPr>
        <w:t xml:space="preserve"> </w:t>
      </w:r>
      <w:r w:rsidRPr="003C6DAE">
        <w:rPr>
          <w:rFonts w:ascii="Arial MT"/>
          <w:sz w:val="12"/>
          <w:lang w:val="uk-UA"/>
        </w:rPr>
        <w:t>(59.9</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74.6)</w:t>
      </w:r>
    </w:p>
    <w:p w14:paraId="043FE949" w14:textId="77777777" w:rsidR="00E05B98" w:rsidRPr="003C6DAE" w:rsidRDefault="00B01E0C">
      <w:pPr>
        <w:spacing w:before="115"/>
        <w:ind w:left="597"/>
        <w:rPr>
          <w:rFonts w:ascii="Arial MT"/>
          <w:sz w:val="12"/>
          <w:lang w:val="uk-UA"/>
        </w:rPr>
      </w:pPr>
      <w:r w:rsidRPr="003C6DAE">
        <w:rPr>
          <w:rFonts w:ascii="Arial MT"/>
          <w:sz w:val="12"/>
          <w:lang w:val="uk-UA"/>
        </w:rPr>
        <w:t>16.0%</w:t>
      </w:r>
      <w:r w:rsidRPr="003C6DAE">
        <w:rPr>
          <w:rFonts w:ascii="Arial MT"/>
          <w:spacing w:val="1"/>
          <w:sz w:val="12"/>
          <w:lang w:val="uk-UA"/>
        </w:rPr>
        <w:t xml:space="preserve"> </w:t>
      </w:r>
      <w:r w:rsidRPr="003C6DAE">
        <w:rPr>
          <w:rFonts w:ascii="Arial MT"/>
          <w:sz w:val="12"/>
          <w:lang w:val="uk-UA"/>
        </w:rPr>
        <w:t>(10.7</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22.9)</w:t>
      </w:r>
    </w:p>
    <w:p w14:paraId="22E54241" w14:textId="46237494" w:rsidR="00E05B98" w:rsidRPr="003C6DAE" w:rsidRDefault="00B01E0C">
      <w:pPr>
        <w:spacing w:before="98"/>
        <w:ind w:left="590"/>
        <w:rPr>
          <w:rFonts w:ascii="Arial"/>
          <w:b/>
          <w:sz w:val="12"/>
          <w:lang w:val="uk-UA"/>
        </w:rPr>
      </w:pPr>
      <w:r w:rsidRPr="003C6DAE">
        <w:rPr>
          <w:lang w:val="uk-UA"/>
        </w:rPr>
        <w:br w:type="column"/>
      </w:r>
      <w:r w:rsidR="002C003A">
        <w:rPr>
          <w:rFonts w:ascii="Arial"/>
          <w:b/>
          <w:sz w:val="12"/>
          <w:lang w:val="uk-UA"/>
        </w:rPr>
        <w:t>Зведені</w:t>
      </w:r>
      <w:r w:rsidR="002C003A">
        <w:rPr>
          <w:rFonts w:ascii="Arial"/>
          <w:b/>
          <w:sz w:val="12"/>
          <w:lang w:val="uk-UA"/>
        </w:rPr>
        <w:t xml:space="preserve"> </w:t>
      </w:r>
      <w:r w:rsidR="002C003A">
        <w:rPr>
          <w:rFonts w:ascii="Arial"/>
          <w:b/>
          <w:sz w:val="12"/>
          <w:lang w:val="uk-UA"/>
        </w:rPr>
        <w:t>дані</w:t>
      </w:r>
      <w:r w:rsidRPr="003C6DAE">
        <w:rPr>
          <w:rFonts w:ascii="Arial"/>
          <w:b/>
          <w:spacing w:val="3"/>
          <w:sz w:val="12"/>
          <w:lang w:val="uk-UA"/>
        </w:rPr>
        <w:t xml:space="preserve"> </w:t>
      </w:r>
      <w:r w:rsidRPr="003C6DAE">
        <w:rPr>
          <w:rFonts w:ascii="Arial"/>
          <w:b/>
          <w:sz w:val="12"/>
          <w:lang w:val="uk-UA"/>
        </w:rPr>
        <w:t>(95%</w:t>
      </w:r>
      <w:r w:rsidRPr="003C6DAE">
        <w:rPr>
          <w:rFonts w:ascii="Arial"/>
          <w:b/>
          <w:spacing w:val="4"/>
          <w:sz w:val="12"/>
          <w:lang w:val="uk-UA"/>
        </w:rPr>
        <w:t xml:space="preserve"> </w:t>
      </w:r>
      <w:r w:rsidRPr="003C6DAE">
        <w:rPr>
          <w:rFonts w:ascii="Arial"/>
          <w:b/>
          <w:spacing w:val="-4"/>
          <w:sz w:val="12"/>
          <w:lang w:val="uk-UA"/>
        </w:rPr>
        <w:t>CrI)</w:t>
      </w:r>
    </w:p>
    <w:p w14:paraId="502B7BF2" w14:textId="77777777" w:rsidR="00E05B98" w:rsidRPr="003C6DAE" w:rsidRDefault="00B01E0C">
      <w:pPr>
        <w:spacing w:before="115"/>
        <w:ind w:left="597"/>
        <w:rPr>
          <w:rFonts w:ascii="Arial MT"/>
          <w:sz w:val="12"/>
          <w:lang w:val="uk-UA"/>
        </w:rPr>
      </w:pPr>
      <w:r w:rsidRPr="003C6DAE">
        <w:rPr>
          <w:rFonts w:ascii="Arial MT"/>
          <w:noProof/>
          <w:sz w:val="12"/>
          <w:lang w:val="uk-UA"/>
        </w:rPr>
        <mc:AlternateContent>
          <mc:Choice Requires="wpg">
            <w:drawing>
              <wp:anchor distT="0" distB="0" distL="0" distR="0" simplePos="0" relativeHeight="16046080" behindDoc="0" locked="0" layoutInCell="1" allowOverlap="1" wp14:anchorId="10500488" wp14:editId="101C9B79">
                <wp:simplePos x="0" y="0"/>
                <wp:positionH relativeFrom="page">
                  <wp:posOffset>5613351</wp:posOffset>
                </wp:positionH>
                <wp:positionV relativeFrom="paragraph">
                  <wp:posOffset>84996</wp:posOffset>
                </wp:positionV>
                <wp:extent cx="63500" cy="63500"/>
                <wp:effectExtent l="0" t="0" r="0" b="0"/>
                <wp:wrapNone/>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 cy="63500"/>
                          <a:chOff x="0" y="0"/>
                          <a:chExt cx="63500" cy="63500"/>
                        </a:xfrm>
                      </wpg:grpSpPr>
                      <wps:wsp>
                        <wps:cNvPr id="2014" name="Graphic 2014"/>
                        <wps:cNvSpPr/>
                        <wps:spPr>
                          <a:xfrm>
                            <a:off x="6527" y="31597"/>
                            <a:ext cx="45720" cy="1270"/>
                          </a:xfrm>
                          <a:custGeom>
                            <a:avLst/>
                            <a:gdLst/>
                            <a:ahLst/>
                            <a:cxnLst/>
                            <a:rect l="l" t="t" r="r" b="b"/>
                            <a:pathLst>
                              <a:path w="45720">
                                <a:moveTo>
                                  <a:pt x="0" y="0"/>
                                </a:moveTo>
                                <a:lnTo>
                                  <a:pt x="45478" y="0"/>
                                </a:lnTo>
                              </a:path>
                            </a:pathLst>
                          </a:custGeom>
                          <a:ln w="7315">
                            <a:solidFill>
                              <a:srgbClr val="000000"/>
                            </a:solidFill>
                            <a:prstDash val="solid"/>
                          </a:ln>
                        </wps:spPr>
                        <wps:bodyPr wrap="square" lIns="0" tIns="0" rIns="0" bIns="0" rtlCol="0">
                          <a:prstTxWarp prst="textNoShape">
                            <a:avLst/>
                          </a:prstTxWarp>
                          <a:noAutofit/>
                        </wps:bodyPr>
                      </wps:wsp>
                      <wps:wsp>
                        <wps:cNvPr id="2015" name="Graphic 2015"/>
                        <wps:cNvSpPr/>
                        <wps:spPr>
                          <a:xfrm>
                            <a:off x="0" y="0"/>
                            <a:ext cx="63500" cy="63500"/>
                          </a:xfrm>
                          <a:custGeom>
                            <a:avLst/>
                            <a:gdLst/>
                            <a:ahLst/>
                            <a:cxnLst/>
                            <a:rect l="l" t="t" r="r" b="b"/>
                            <a:pathLst>
                              <a:path w="63500" h="63500">
                                <a:moveTo>
                                  <a:pt x="31597" y="0"/>
                                </a:moveTo>
                                <a:lnTo>
                                  <a:pt x="0" y="31597"/>
                                </a:lnTo>
                                <a:lnTo>
                                  <a:pt x="31597" y="63144"/>
                                </a:lnTo>
                                <a:lnTo>
                                  <a:pt x="63144" y="31597"/>
                                </a:lnTo>
                                <a:lnTo>
                                  <a:pt x="3159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E58CAD" id="Group 2013" o:spid="_x0000_s1026" style="position:absolute;margin-left:442pt;margin-top:6.7pt;width:5pt;height:5pt;z-index:16046080;mso-wrap-distance-left:0;mso-wrap-distance-right:0;mso-position-horizontal-relative:page" coordsize="63500,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">
                <v:shape id="Graphic 2014" o:spid="_x0000_s1027" style="position:absolute;left:6527;top:31597;width:45720;height:1270;visibility:visible;mso-wrap-style:square;v-text-anchor:top" coordsize="45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" path="m,l45478,e" filled="f" strokeweight=".20319mm">
                  <v:path arrowok="t"/>
                </v:shape>
                <v:shape id="Graphic 2015" o:spid="_x0000_s1028" style="position:absolute;width:63500;height:63500;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" path="m31597,l,31597,31597,63144,63144,31597,31597,xe" fillcolor="black" stroked="f">
                  <v:path arrowok="t"/>
                </v:shape>
                <w10:wrap anchorx="page"/>
              </v:group>
            </w:pict>
          </mc:Fallback>
        </mc:AlternateContent>
      </w:r>
      <w:r w:rsidRPr="003C6DAE">
        <w:rPr>
          <w:rFonts w:ascii="Arial MT"/>
          <w:noProof/>
          <w:sz w:val="12"/>
          <w:lang w:val="uk-UA"/>
        </w:rPr>
        <mc:AlternateContent>
          <mc:Choice Requires="wpg">
            <w:drawing>
              <wp:anchor distT="0" distB="0" distL="0" distR="0" simplePos="0" relativeHeight="16048128" behindDoc="0" locked="0" layoutInCell="1" allowOverlap="1" wp14:anchorId="3BB30621" wp14:editId="5154746C">
                <wp:simplePos x="0" y="0"/>
                <wp:positionH relativeFrom="page">
                  <wp:posOffset>4869505</wp:posOffset>
                </wp:positionH>
                <wp:positionV relativeFrom="paragraph">
                  <wp:posOffset>-43678</wp:posOffset>
                </wp:positionV>
                <wp:extent cx="880744" cy="1621790"/>
                <wp:effectExtent l="0" t="0" r="0" b="0"/>
                <wp:wrapNone/>
                <wp:docPr id="2016" name="Group 2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0744" cy="1621790"/>
                          <a:chOff x="0" y="0"/>
                          <a:chExt cx="880744" cy="1621790"/>
                        </a:xfrm>
                      </wpg:grpSpPr>
                      <wps:wsp>
                        <wps:cNvPr id="2017" name="Graphic 2017"/>
                        <wps:cNvSpPr/>
                        <wps:spPr>
                          <a:xfrm>
                            <a:off x="3657" y="0"/>
                            <a:ext cx="877569" cy="1603375"/>
                          </a:xfrm>
                          <a:custGeom>
                            <a:avLst/>
                            <a:gdLst/>
                            <a:ahLst/>
                            <a:cxnLst/>
                            <a:rect l="l" t="t" r="r" b="b"/>
                            <a:pathLst>
                              <a:path w="877569" h="1603375">
                                <a:moveTo>
                                  <a:pt x="0" y="1602752"/>
                                </a:moveTo>
                                <a:lnTo>
                                  <a:pt x="0" y="0"/>
                                </a:lnTo>
                              </a:path>
                              <a:path w="877569" h="1603375">
                                <a:moveTo>
                                  <a:pt x="0" y="1602752"/>
                                </a:moveTo>
                                <a:lnTo>
                                  <a:pt x="876998" y="1602752"/>
                                </a:lnTo>
                              </a:path>
                            </a:pathLst>
                          </a:custGeom>
                          <a:ln w="7315">
                            <a:solidFill>
                              <a:srgbClr val="000000"/>
                            </a:solidFill>
                            <a:prstDash val="solid"/>
                          </a:ln>
                        </wps:spPr>
                        <wps:bodyPr wrap="square" lIns="0" tIns="0" rIns="0" bIns="0" rtlCol="0">
                          <a:prstTxWarp prst="textNoShape">
                            <a:avLst/>
                          </a:prstTxWarp>
                          <a:noAutofit/>
                        </wps:bodyPr>
                      </wps:wsp>
                      <wps:wsp>
                        <wps:cNvPr id="2018" name="Graphic 2018"/>
                        <wps:cNvSpPr/>
                        <wps:spPr>
                          <a:xfrm>
                            <a:off x="43469" y="1602754"/>
                            <a:ext cx="1270" cy="19050"/>
                          </a:xfrm>
                          <a:custGeom>
                            <a:avLst/>
                            <a:gdLst/>
                            <a:ahLst/>
                            <a:cxnLst/>
                            <a:rect l="l" t="t" r="r" b="b"/>
                            <a:pathLst>
                              <a:path h="19050">
                                <a:moveTo>
                                  <a:pt x="0" y="18719"/>
                                </a:moveTo>
                                <a:lnTo>
                                  <a:pt x="0" y="0"/>
                                </a:lnTo>
                              </a:path>
                            </a:pathLst>
                          </a:custGeom>
                          <a:ln w="7315">
                            <a:solidFill>
                              <a:srgbClr val="333333"/>
                            </a:solidFill>
                            <a:prstDash val="solid"/>
                          </a:ln>
                        </wps:spPr>
                        <wps:bodyPr wrap="square" lIns="0" tIns="0" rIns="0" bIns="0" rtlCol="0">
                          <a:prstTxWarp prst="textNoShape">
                            <a:avLst/>
                          </a:prstTxWarp>
                          <a:noAutofit/>
                        </wps:bodyPr>
                      </wps:wsp>
                      <wps:wsp>
                        <wps:cNvPr id="2019" name="Graphic 2019"/>
                        <wps:cNvSpPr/>
                        <wps:spPr>
                          <a:xfrm>
                            <a:off x="242807" y="1602754"/>
                            <a:ext cx="1270" cy="19050"/>
                          </a:xfrm>
                          <a:custGeom>
                            <a:avLst/>
                            <a:gdLst/>
                            <a:ahLst/>
                            <a:cxnLst/>
                            <a:rect l="l" t="t" r="r" b="b"/>
                            <a:pathLst>
                              <a:path h="19050">
                                <a:moveTo>
                                  <a:pt x="0" y="18719"/>
                                </a:moveTo>
                                <a:lnTo>
                                  <a:pt x="0" y="0"/>
                                </a:lnTo>
                              </a:path>
                            </a:pathLst>
                          </a:custGeom>
                          <a:ln w="7315">
                            <a:solidFill>
                              <a:srgbClr val="333333"/>
                            </a:solidFill>
                            <a:prstDash val="solid"/>
                          </a:ln>
                        </wps:spPr>
                        <wps:bodyPr wrap="square" lIns="0" tIns="0" rIns="0" bIns="0" rtlCol="0">
                          <a:prstTxWarp prst="textNoShape">
                            <a:avLst/>
                          </a:prstTxWarp>
                          <a:noAutofit/>
                        </wps:bodyPr>
                      </wps:wsp>
                      <wps:wsp>
                        <wps:cNvPr id="2020" name="Graphic 2020"/>
                        <wps:cNvSpPr/>
                        <wps:spPr>
                          <a:xfrm>
                            <a:off x="442200" y="1602754"/>
                            <a:ext cx="1270" cy="19050"/>
                          </a:xfrm>
                          <a:custGeom>
                            <a:avLst/>
                            <a:gdLst/>
                            <a:ahLst/>
                            <a:cxnLst/>
                            <a:rect l="l" t="t" r="r" b="b"/>
                            <a:pathLst>
                              <a:path h="19050">
                                <a:moveTo>
                                  <a:pt x="0" y="18719"/>
                                </a:moveTo>
                                <a:lnTo>
                                  <a:pt x="0" y="0"/>
                                </a:lnTo>
                              </a:path>
                            </a:pathLst>
                          </a:custGeom>
                          <a:ln w="7315">
                            <a:solidFill>
                              <a:srgbClr val="333333"/>
                            </a:solidFill>
                            <a:prstDash val="solid"/>
                          </a:ln>
                        </wps:spPr>
                        <wps:bodyPr wrap="square" lIns="0" tIns="0" rIns="0" bIns="0" rtlCol="0">
                          <a:prstTxWarp prst="textNoShape">
                            <a:avLst/>
                          </a:prstTxWarp>
                          <a:noAutofit/>
                        </wps:bodyPr>
                      </wps:wsp>
                      <wps:wsp>
                        <wps:cNvPr id="2021" name="Graphic 2021"/>
                        <wps:cNvSpPr/>
                        <wps:spPr>
                          <a:xfrm>
                            <a:off x="641449" y="1602754"/>
                            <a:ext cx="1270" cy="19050"/>
                          </a:xfrm>
                          <a:custGeom>
                            <a:avLst/>
                            <a:gdLst/>
                            <a:ahLst/>
                            <a:cxnLst/>
                            <a:rect l="l" t="t" r="r" b="b"/>
                            <a:pathLst>
                              <a:path h="19050">
                                <a:moveTo>
                                  <a:pt x="0" y="18719"/>
                                </a:moveTo>
                                <a:lnTo>
                                  <a:pt x="0" y="0"/>
                                </a:lnTo>
                              </a:path>
                            </a:pathLst>
                          </a:custGeom>
                          <a:ln w="7315">
                            <a:solidFill>
                              <a:srgbClr val="333333"/>
                            </a:solidFill>
                            <a:prstDash val="solid"/>
                          </a:ln>
                        </wps:spPr>
                        <wps:bodyPr wrap="square" lIns="0" tIns="0" rIns="0" bIns="0" rtlCol="0">
                          <a:prstTxWarp prst="textNoShape">
                            <a:avLst/>
                          </a:prstTxWarp>
                          <a:noAutofit/>
                        </wps:bodyPr>
                      </wps:wsp>
                      <wps:wsp>
                        <wps:cNvPr id="2022" name="Graphic 2022"/>
                        <wps:cNvSpPr/>
                        <wps:spPr>
                          <a:xfrm>
                            <a:off x="840798" y="1602754"/>
                            <a:ext cx="1270" cy="19050"/>
                          </a:xfrm>
                          <a:custGeom>
                            <a:avLst/>
                            <a:gdLst/>
                            <a:ahLst/>
                            <a:cxnLst/>
                            <a:rect l="l" t="t" r="r" b="b"/>
                            <a:pathLst>
                              <a:path h="19050">
                                <a:moveTo>
                                  <a:pt x="0" y="18719"/>
                                </a:moveTo>
                                <a:lnTo>
                                  <a:pt x="0" y="0"/>
                                </a:lnTo>
                              </a:path>
                            </a:pathLst>
                          </a:custGeom>
                          <a:ln w="7315">
                            <a:solidFill>
                              <a:srgbClr val="333333"/>
                            </a:solidFill>
                            <a:prstDash val="solid"/>
                          </a:ln>
                        </wps:spPr>
                        <wps:bodyPr wrap="square" lIns="0" tIns="0" rIns="0" bIns="0" rtlCol="0">
                          <a:prstTxWarp prst="textNoShape">
                            <a:avLst/>
                          </a:prstTxWarp>
                          <a:noAutofit/>
                        </wps:bodyPr>
                      </wps:wsp>
                    </wpg:wgp>
                  </a:graphicData>
                </a:graphic>
              </wp:anchor>
            </w:drawing>
          </mc:Choice>
          <mc:Fallback>
            <w:pict>
              <v:group w14:anchorId="631BB255" id="Group 2016" o:spid="_x0000_s1026" style="position:absolute;margin-left:383.45pt;margin-top:-3.45pt;width:69.35pt;height:127.7pt;z-index:16048128;mso-wrap-distance-left:0;mso-wrap-distance-right:0;mso-position-horizontal-relative:page" coordsize="8807,1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">
                <v:shape id="Graphic 2017" o:spid="_x0000_s1027" style="position:absolute;left:36;width:8776;height:16033;visibility:visible;mso-wrap-style:square;v-text-anchor:top" coordsize="877569,160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" path="m,1602752l,em,1602752r876998,e" filled="f" strokeweight=".20319mm">
                  <v:path arrowok="t"/>
                </v:shape>
                <v:shape id="Graphic 2018" o:spid="_x0000_s1028" style="position:absolute;left:434;top:16027;width:13;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" path="m,18719l,e" filled="f" strokecolor="#333" strokeweight=".20319mm">
                  <v:path arrowok="t"/>
                </v:shape>
                <v:shape id="Graphic 2019" o:spid="_x0000_s1029" style="position:absolute;left:2428;top:16027;width:12;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" path="m,18719l,e" filled="f" strokecolor="#333" strokeweight=".20319mm">
                  <v:path arrowok="t"/>
                </v:shape>
                <v:shape id="Graphic 2020" o:spid="_x0000_s1030" style="position:absolute;left:4422;top:16027;width:12;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" path="m,18719l,e" filled="f" strokecolor="#333" strokeweight=".20319mm">
                  <v:path arrowok="t"/>
                </v:shape>
                <v:shape id="Graphic 2021" o:spid="_x0000_s1031" style="position:absolute;left:6414;top:16027;width:13;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" path="m,18719l,e" filled="f" strokecolor="#333" strokeweight=".20319mm">
                  <v:path arrowok="t"/>
                </v:shape>
                <v:shape id="Graphic 2022" o:spid="_x0000_s1032" style="position:absolute;left:8407;top:16027;width:13;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" path="m,18719l,e" filled="f" strokecolor="#333" strokeweight=".20319mm">
                  <v:path arrowok="t"/>
                </v:shape>
                <w10:wrap anchorx="page"/>
              </v:group>
            </w:pict>
          </mc:Fallback>
        </mc:AlternateContent>
      </w:r>
      <w:r w:rsidRPr="003C6DAE">
        <w:rPr>
          <w:rFonts w:ascii="Arial MT"/>
          <w:sz w:val="12"/>
          <w:lang w:val="uk-UA"/>
        </w:rPr>
        <w:t>91.9%</w:t>
      </w:r>
      <w:r w:rsidRPr="003C6DAE">
        <w:rPr>
          <w:rFonts w:ascii="Arial MT"/>
          <w:spacing w:val="1"/>
          <w:sz w:val="12"/>
          <w:lang w:val="uk-UA"/>
        </w:rPr>
        <w:t xml:space="preserve"> </w:t>
      </w:r>
      <w:r w:rsidRPr="003C6DAE">
        <w:rPr>
          <w:rFonts w:ascii="Arial MT"/>
          <w:sz w:val="12"/>
          <w:lang w:val="uk-UA"/>
        </w:rPr>
        <w:t>(88.7</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94.4)</w:t>
      </w:r>
    </w:p>
    <w:p w14:paraId="2F3EE5EE" w14:textId="77777777" w:rsidR="00E05B98" w:rsidRPr="003C6DAE" w:rsidRDefault="00B01E0C">
      <w:pPr>
        <w:spacing w:before="114"/>
        <w:ind w:left="597"/>
        <w:rPr>
          <w:rFonts w:ascii="Arial MT"/>
          <w:sz w:val="12"/>
          <w:lang w:val="uk-UA"/>
        </w:rPr>
      </w:pPr>
      <w:r w:rsidRPr="003C6DAE">
        <w:rPr>
          <w:rFonts w:ascii="Arial MT"/>
          <w:noProof/>
          <w:sz w:val="12"/>
          <w:lang w:val="uk-UA"/>
        </w:rPr>
        <mc:AlternateContent>
          <mc:Choice Requires="wpg">
            <w:drawing>
              <wp:anchor distT="0" distB="0" distL="0" distR="0" simplePos="0" relativeHeight="16046592" behindDoc="0" locked="0" layoutInCell="1" allowOverlap="1" wp14:anchorId="1941B183" wp14:editId="3485342B">
                <wp:simplePos x="0" y="0"/>
                <wp:positionH relativeFrom="page">
                  <wp:posOffset>5593345</wp:posOffset>
                </wp:positionH>
                <wp:positionV relativeFrom="paragraph">
                  <wp:posOffset>84628</wp:posOffset>
                </wp:positionV>
                <wp:extent cx="121285" cy="356235"/>
                <wp:effectExtent l="0" t="0" r="0" b="0"/>
                <wp:wrapNone/>
                <wp:docPr id="2023"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285" cy="356235"/>
                          <a:chOff x="0" y="0"/>
                          <a:chExt cx="121285" cy="356235"/>
                        </a:xfrm>
                      </wpg:grpSpPr>
                      <wps:wsp>
                        <wps:cNvPr id="2024" name="Graphic 2024"/>
                        <wps:cNvSpPr/>
                        <wps:spPr>
                          <a:xfrm>
                            <a:off x="80698" y="31584"/>
                            <a:ext cx="16510" cy="1270"/>
                          </a:xfrm>
                          <a:custGeom>
                            <a:avLst/>
                            <a:gdLst/>
                            <a:ahLst/>
                            <a:cxnLst/>
                            <a:rect l="l" t="t" r="r" b="b"/>
                            <a:pathLst>
                              <a:path w="16510">
                                <a:moveTo>
                                  <a:pt x="0" y="0"/>
                                </a:moveTo>
                                <a:lnTo>
                                  <a:pt x="16332" y="0"/>
                                </a:lnTo>
                              </a:path>
                            </a:pathLst>
                          </a:custGeom>
                          <a:ln w="7315">
                            <a:solidFill>
                              <a:srgbClr val="000000"/>
                            </a:solidFill>
                            <a:prstDash val="solid"/>
                          </a:ln>
                        </wps:spPr>
                        <wps:bodyPr wrap="square" lIns="0" tIns="0" rIns="0" bIns="0" rtlCol="0">
                          <a:prstTxWarp prst="textNoShape">
                            <a:avLst/>
                          </a:prstTxWarp>
                          <a:noAutofit/>
                        </wps:bodyPr>
                      </wps:wsp>
                      <wps:wsp>
                        <wps:cNvPr id="2025" name="Graphic 2025"/>
                        <wps:cNvSpPr/>
                        <wps:spPr>
                          <a:xfrm>
                            <a:off x="3540" y="191863"/>
                            <a:ext cx="52069" cy="1270"/>
                          </a:xfrm>
                          <a:custGeom>
                            <a:avLst/>
                            <a:gdLst/>
                            <a:ahLst/>
                            <a:cxnLst/>
                            <a:rect l="l" t="t" r="r" b="b"/>
                            <a:pathLst>
                              <a:path w="52069">
                                <a:moveTo>
                                  <a:pt x="0" y="0"/>
                                </a:moveTo>
                                <a:lnTo>
                                  <a:pt x="51612" y="0"/>
                                </a:lnTo>
                              </a:path>
                            </a:pathLst>
                          </a:custGeom>
                          <a:ln w="7315">
                            <a:solidFill>
                              <a:srgbClr val="000000"/>
                            </a:solidFill>
                            <a:prstDash val="solid"/>
                          </a:ln>
                        </wps:spPr>
                        <wps:bodyPr wrap="square" lIns="0" tIns="0" rIns="0" bIns="0" rtlCol="0">
                          <a:prstTxWarp prst="textNoShape">
                            <a:avLst/>
                          </a:prstTxWarp>
                          <a:noAutofit/>
                        </wps:bodyPr>
                      </wps:wsp>
                      <wps:wsp>
                        <wps:cNvPr id="2026" name="Graphic 2026"/>
                        <wps:cNvSpPr/>
                        <wps:spPr>
                          <a:xfrm>
                            <a:off x="-11" y="3"/>
                            <a:ext cx="121285" cy="223520"/>
                          </a:xfrm>
                          <a:custGeom>
                            <a:avLst/>
                            <a:gdLst/>
                            <a:ahLst/>
                            <a:cxnLst/>
                            <a:rect l="l" t="t" r="r" b="b"/>
                            <a:pathLst>
                              <a:path w="121285" h="223520">
                                <a:moveTo>
                                  <a:pt x="63144" y="191871"/>
                                </a:moveTo>
                                <a:lnTo>
                                  <a:pt x="31546" y="160274"/>
                                </a:lnTo>
                                <a:lnTo>
                                  <a:pt x="0" y="191871"/>
                                </a:lnTo>
                                <a:lnTo>
                                  <a:pt x="31546" y="223418"/>
                                </a:lnTo>
                                <a:lnTo>
                                  <a:pt x="63144" y="191871"/>
                                </a:lnTo>
                                <a:close/>
                              </a:path>
                              <a:path w="121285" h="223520">
                                <a:moveTo>
                                  <a:pt x="120980" y="31584"/>
                                </a:moveTo>
                                <a:lnTo>
                                  <a:pt x="89433" y="0"/>
                                </a:lnTo>
                                <a:lnTo>
                                  <a:pt x="57873" y="31584"/>
                                </a:lnTo>
                                <a:lnTo>
                                  <a:pt x="89433" y="63144"/>
                                </a:lnTo>
                                <a:lnTo>
                                  <a:pt x="120980" y="31584"/>
                                </a:lnTo>
                                <a:close/>
                              </a:path>
                            </a:pathLst>
                          </a:custGeom>
                          <a:solidFill>
                            <a:srgbClr val="000000"/>
                          </a:solidFill>
                        </wps:spPr>
                        <wps:bodyPr wrap="square" lIns="0" tIns="0" rIns="0" bIns="0" rtlCol="0">
                          <a:prstTxWarp prst="textNoShape">
                            <a:avLst/>
                          </a:prstTxWarp>
                          <a:noAutofit/>
                        </wps:bodyPr>
                      </wps:wsp>
                      <wps:wsp>
                        <wps:cNvPr id="2027" name="Graphic 2027"/>
                        <wps:cNvSpPr/>
                        <wps:spPr>
                          <a:xfrm>
                            <a:off x="89428" y="31581"/>
                            <a:ext cx="1270" cy="320675"/>
                          </a:xfrm>
                          <a:custGeom>
                            <a:avLst/>
                            <a:gdLst/>
                            <a:ahLst/>
                            <a:cxnLst/>
                            <a:rect l="l" t="t" r="r" b="b"/>
                            <a:pathLst>
                              <a:path h="320675">
                                <a:moveTo>
                                  <a:pt x="0" y="320548"/>
                                </a:moveTo>
                                <a:lnTo>
                                  <a:pt x="0" y="0"/>
                                </a:lnTo>
                              </a:path>
                              <a:path h="320675">
                                <a:moveTo>
                                  <a:pt x="0" y="320548"/>
                                </a:moveTo>
                                <a:lnTo>
                                  <a:pt x="0" y="0"/>
                                </a:lnTo>
                              </a:path>
                              <a:path h="320675">
                                <a:moveTo>
                                  <a:pt x="0" y="320548"/>
                                </a:moveTo>
                                <a:lnTo>
                                  <a:pt x="0" y="0"/>
                                </a:lnTo>
                              </a:path>
                              <a:path h="320675">
                                <a:moveTo>
                                  <a:pt x="0" y="320548"/>
                                </a:moveTo>
                                <a:lnTo>
                                  <a:pt x="0" y="0"/>
                                </a:lnTo>
                              </a:path>
                              <a:path h="320675">
                                <a:moveTo>
                                  <a:pt x="0" y="320548"/>
                                </a:moveTo>
                                <a:lnTo>
                                  <a:pt x="0" y="0"/>
                                </a:lnTo>
                              </a:path>
                              <a:path h="320675">
                                <a:moveTo>
                                  <a:pt x="0" y="320548"/>
                                </a:moveTo>
                                <a:lnTo>
                                  <a:pt x="0" y="0"/>
                                </a:lnTo>
                              </a:path>
                              <a:path h="320675">
                                <a:moveTo>
                                  <a:pt x="0" y="320548"/>
                                </a:moveTo>
                                <a:lnTo>
                                  <a:pt x="0" y="0"/>
                                </a:lnTo>
                              </a:path>
                              <a:path h="320675">
                                <a:moveTo>
                                  <a:pt x="0" y="320548"/>
                                </a:moveTo>
                                <a:lnTo>
                                  <a:pt x="0" y="0"/>
                                </a:lnTo>
                              </a:path>
                              <a:path h="320675">
                                <a:moveTo>
                                  <a:pt x="0" y="320548"/>
                                </a:moveTo>
                                <a:lnTo>
                                  <a:pt x="0" y="0"/>
                                </a:lnTo>
                              </a:path>
                            </a:pathLst>
                          </a:custGeom>
                          <a:ln w="7315">
                            <a:solidFill>
                              <a:srgbClr val="000000"/>
                            </a:solidFill>
                            <a:prstDash val="solid"/>
                          </a:ln>
                        </wps:spPr>
                        <wps:bodyPr wrap="square" lIns="0" tIns="0" rIns="0" bIns="0" rtlCol="0">
                          <a:prstTxWarp prst="textNoShape">
                            <a:avLst/>
                          </a:prstTxWarp>
                          <a:noAutofit/>
                        </wps:bodyPr>
                      </wps:wsp>
                      <wps:wsp>
                        <wps:cNvPr id="2028" name="Graphic 2028"/>
                        <wps:cNvSpPr/>
                        <wps:spPr>
                          <a:xfrm>
                            <a:off x="31546" y="191867"/>
                            <a:ext cx="58419" cy="160655"/>
                          </a:xfrm>
                          <a:custGeom>
                            <a:avLst/>
                            <a:gdLst/>
                            <a:ahLst/>
                            <a:cxnLst/>
                            <a:rect l="l" t="t" r="r" b="b"/>
                            <a:pathLst>
                              <a:path w="58419" h="160655">
                                <a:moveTo>
                                  <a:pt x="0" y="160261"/>
                                </a:moveTo>
                                <a:lnTo>
                                  <a:pt x="0" y="0"/>
                                </a:lnTo>
                              </a:path>
                              <a:path w="58419" h="160655">
                                <a:moveTo>
                                  <a:pt x="0" y="160261"/>
                                </a:moveTo>
                                <a:lnTo>
                                  <a:pt x="0" y="0"/>
                                </a:lnTo>
                              </a:path>
                              <a:path w="58419" h="160655">
                                <a:moveTo>
                                  <a:pt x="0" y="160261"/>
                                </a:moveTo>
                                <a:lnTo>
                                  <a:pt x="0" y="0"/>
                                </a:lnTo>
                              </a:path>
                              <a:path w="58419" h="160655">
                                <a:moveTo>
                                  <a:pt x="0" y="160261"/>
                                </a:moveTo>
                                <a:lnTo>
                                  <a:pt x="0" y="0"/>
                                </a:lnTo>
                              </a:path>
                              <a:path w="58419" h="160655">
                                <a:moveTo>
                                  <a:pt x="0" y="160261"/>
                                </a:moveTo>
                                <a:lnTo>
                                  <a:pt x="0" y="0"/>
                                </a:lnTo>
                              </a:path>
                              <a:path w="58419" h="160655">
                                <a:moveTo>
                                  <a:pt x="0" y="160261"/>
                                </a:moveTo>
                                <a:lnTo>
                                  <a:pt x="0" y="0"/>
                                </a:lnTo>
                              </a:path>
                              <a:path w="58419" h="160655">
                                <a:moveTo>
                                  <a:pt x="0" y="160261"/>
                                </a:moveTo>
                                <a:lnTo>
                                  <a:pt x="0" y="0"/>
                                </a:lnTo>
                              </a:path>
                              <a:path w="58419" h="160655">
                                <a:moveTo>
                                  <a:pt x="0" y="160261"/>
                                </a:moveTo>
                                <a:lnTo>
                                  <a:pt x="0" y="0"/>
                                </a:lnTo>
                              </a:path>
                              <a:path w="58419" h="160655">
                                <a:moveTo>
                                  <a:pt x="0" y="160261"/>
                                </a:moveTo>
                                <a:lnTo>
                                  <a:pt x="0" y="0"/>
                                </a:lnTo>
                              </a:path>
                              <a:path w="58419" h="160655">
                                <a:moveTo>
                                  <a:pt x="0" y="160261"/>
                                </a:moveTo>
                                <a:lnTo>
                                  <a:pt x="57886" y="160261"/>
                                </a:lnTo>
                              </a:path>
                              <a:path w="58419" h="160655">
                                <a:moveTo>
                                  <a:pt x="0" y="160261"/>
                                </a:moveTo>
                                <a:lnTo>
                                  <a:pt x="57886" y="160261"/>
                                </a:lnTo>
                              </a:path>
                              <a:path w="58419" h="160655">
                                <a:moveTo>
                                  <a:pt x="0" y="160261"/>
                                </a:moveTo>
                                <a:lnTo>
                                  <a:pt x="57886" y="160261"/>
                                </a:lnTo>
                              </a:path>
                              <a:path w="58419" h="160655">
                                <a:moveTo>
                                  <a:pt x="0" y="160261"/>
                                </a:moveTo>
                                <a:lnTo>
                                  <a:pt x="57886" y="160261"/>
                                </a:lnTo>
                              </a:path>
                              <a:path w="58419" h="160655">
                                <a:moveTo>
                                  <a:pt x="0" y="160261"/>
                                </a:moveTo>
                                <a:lnTo>
                                  <a:pt x="57886" y="160261"/>
                                </a:lnTo>
                              </a:path>
                              <a:path w="58419" h="160655">
                                <a:moveTo>
                                  <a:pt x="0" y="160261"/>
                                </a:moveTo>
                                <a:lnTo>
                                  <a:pt x="57886" y="160261"/>
                                </a:lnTo>
                              </a:path>
                              <a:path w="58419" h="160655">
                                <a:moveTo>
                                  <a:pt x="0" y="160261"/>
                                </a:moveTo>
                                <a:lnTo>
                                  <a:pt x="57886" y="160261"/>
                                </a:lnTo>
                              </a:path>
                              <a:path w="58419" h="160655">
                                <a:moveTo>
                                  <a:pt x="0" y="160261"/>
                                </a:moveTo>
                                <a:lnTo>
                                  <a:pt x="57886" y="160261"/>
                                </a:lnTo>
                              </a:path>
                              <a:path w="58419" h="160655">
                                <a:moveTo>
                                  <a:pt x="0" y="160261"/>
                                </a:moveTo>
                                <a:lnTo>
                                  <a:pt x="57886" y="160261"/>
                                </a:lnTo>
                              </a:path>
                            </a:pathLst>
                          </a:custGeom>
                          <a:ln w="731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6CA206" id="Group 2023" o:spid="_x0000_s1026" style="position:absolute;margin-left:440.4pt;margin-top:6.65pt;width:9.55pt;height:28.05pt;z-index:16046592;mso-wrap-distance-left:0;mso-wrap-distance-right:0;mso-position-horizontal-relative:page" coordsize="12128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">
                <v:shape id="Graphic 2024" o:spid="_x0000_s1027" style="position:absolute;left:80698;top:31584;width:16510;height:1270;visibility:visible;mso-wrap-style:square;v-text-anchor:top" coordsize="16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" path="m,l16332,e" filled="f" strokeweight=".20319mm">
                  <v:path arrowok="t"/>
                </v:shape>
                <v:shape id="Graphic 2025" o:spid="_x0000_s1028" style="position:absolute;left:3540;top:191863;width:52069;height:1270;visibility:visible;mso-wrap-style:square;v-text-anchor:top" coordsize="520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" path="m,l51612,e" filled="f" strokeweight=".20319mm">
                  <v:path arrowok="t"/>
                </v:shape>
                <v:shape id="Graphic 2026" o:spid="_x0000_s1029" style="position:absolute;left:-11;top:3;width:121285;height:223520;visibility:visible;mso-wrap-style:square;v-text-anchor:top" coordsize="121285,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" path="m63144,191871l31546,160274,,191871r31546,31547l63144,191871xem120980,31584l89433,,57873,31584,89433,63144,120980,31584xe" fillcolor="black" stroked="f">
                  <v:path arrowok="t"/>
                </v:shape>
                <v:shape id="Graphic 2027" o:spid="_x0000_s1030" style="position:absolute;left:89428;top:31581;width:1270;height:320675;visibility:visible;mso-wrap-style:square;v-text-anchor:top" coordsize="127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" path="m,320548l,em,320548l,em,320548l,em,320548l,em,320548l,em,320548l,em,320548l,em,320548l,em,320548l,e" filled="f" strokeweight=".20319mm">
                  <v:path arrowok="t"/>
                </v:shape>
                <v:shape id="Graphic 2028" o:spid="_x0000_s1031" style="position:absolute;left:31546;top:191867;width:58419;height:160655;visibility:visible;mso-wrap-style:square;v-text-anchor:top" coordsize="58419,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" path="m,160261l,em,160261l,em,160261l,em,160261l,em,160261l,em,160261l,em,160261l,em,160261l,em,160261l,em,160261r57886,em,160261r57886,em,160261r57886,em,160261r57886,em,160261r57886,em,160261r57886,em,160261r57886,em,160261r57886,em,160261r57886,e" filled="f" strokeweight=".20319mm">
                  <v:path arrowok="t"/>
                </v:shape>
                <w10:wrap anchorx="page"/>
              </v:group>
            </w:pict>
          </mc:Fallback>
        </mc:AlternateContent>
      </w:r>
      <w:r w:rsidRPr="003C6DAE">
        <w:rPr>
          <w:rFonts w:ascii="Arial MT"/>
          <w:sz w:val="12"/>
          <w:lang w:val="uk-UA"/>
        </w:rPr>
        <w:t>96.7%</w:t>
      </w:r>
      <w:r w:rsidRPr="003C6DAE">
        <w:rPr>
          <w:rFonts w:ascii="Arial MT"/>
          <w:spacing w:val="1"/>
          <w:sz w:val="12"/>
          <w:lang w:val="uk-UA"/>
        </w:rPr>
        <w:t xml:space="preserve"> </w:t>
      </w:r>
      <w:r w:rsidRPr="003C6DAE">
        <w:rPr>
          <w:rFonts w:ascii="Arial MT"/>
          <w:sz w:val="12"/>
          <w:lang w:val="uk-UA"/>
        </w:rPr>
        <w:t>(95.7</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97.6)</w:t>
      </w:r>
    </w:p>
    <w:p w14:paraId="1B07AE56" w14:textId="77777777" w:rsidR="00E05B98" w:rsidRPr="003C6DAE" w:rsidRDefault="00B01E0C">
      <w:pPr>
        <w:spacing w:before="114"/>
        <w:ind w:left="597"/>
        <w:rPr>
          <w:rFonts w:ascii="Arial MT"/>
          <w:sz w:val="12"/>
          <w:lang w:val="uk-UA"/>
        </w:rPr>
      </w:pPr>
      <w:r w:rsidRPr="003C6DAE">
        <w:rPr>
          <w:rFonts w:ascii="Arial MT"/>
          <w:sz w:val="12"/>
          <w:lang w:val="uk-UA"/>
        </w:rPr>
        <w:t>89.4%</w:t>
      </w:r>
      <w:r w:rsidRPr="003C6DAE">
        <w:rPr>
          <w:rFonts w:ascii="Arial MT"/>
          <w:spacing w:val="1"/>
          <w:sz w:val="12"/>
          <w:lang w:val="uk-UA"/>
        </w:rPr>
        <w:t xml:space="preserve"> </w:t>
      </w:r>
      <w:r w:rsidRPr="003C6DAE">
        <w:rPr>
          <w:rFonts w:ascii="Arial MT"/>
          <w:sz w:val="12"/>
          <w:lang w:val="uk-UA"/>
        </w:rPr>
        <w:t>(85.8</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92.3)</w:t>
      </w:r>
    </w:p>
    <w:p w14:paraId="10B7C8AD" w14:textId="77777777" w:rsidR="00E05B98" w:rsidRPr="003C6DAE" w:rsidRDefault="00B01E0C">
      <w:pPr>
        <w:spacing w:before="115"/>
        <w:ind w:left="638"/>
        <w:rPr>
          <w:rFonts w:ascii="Arial MT"/>
          <w:sz w:val="12"/>
          <w:lang w:val="uk-UA"/>
        </w:rPr>
      </w:pPr>
      <w:r w:rsidRPr="003C6DAE">
        <w:rPr>
          <w:rFonts w:ascii="Arial MT"/>
          <w:sz w:val="12"/>
          <w:lang w:val="uk-UA"/>
        </w:rPr>
        <w:t>-6.8%</w:t>
      </w:r>
      <w:r w:rsidRPr="003C6DAE">
        <w:rPr>
          <w:rFonts w:ascii="Arial MT"/>
          <w:spacing w:val="1"/>
          <w:sz w:val="12"/>
          <w:lang w:val="uk-UA"/>
        </w:rPr>
        <w:t xml:space="preserve"> </w:t>
      </w:r>
      <w:r w:rsidRPr="003C6DAE">
        <w:rPr>
          <w:rFonts w:ascii="Arial MT"/>
          <w:sz w:val="12"/>
          <w:lang w:val="uk-UA"/>
        </w:rPr>
        <w:t>(-9.5</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z w:val="12"/>
          <w:lang w:val="uk-UA"/>
        </w:rPr>
        <w:t>-</w:t>
      </w:r>
      <w:r w:rsidRPr="003C6DAE">
        <w:rPr>
          <w:rFonts w:ascii="Arial MT"/>
          <w:spacing w:val="-4"/>
          <w:sz w:val="12"/>
          <w:lang w:val="uk-UA"/>
        </w:rPr>
        <w:t>4.7)</w:t>
      </w:r>
    </w:p>
    <w:p w14:paraId="759A477F" w14:textId="77777777" w:rsidR="00E05B98" w:rsidRPr="003C6DAE" w:rsidRDefault="00E05B98">
      <w:pPr>
        <w:pStyle w:val="a3"/>
        <w:rPr>
          <w:rFonts w:ascii="Arial MT"/>
          <w:sz w:val="12"/>
          <w:lang w:val="uk-UA"/>
        </w:rPr>
      </w:pPr>
    </w:p>
    <w:p w14:paraId="3AB5CB3F" w14:textId="77777777" w:rsidR="00E05B98" w:rsidRPr="003C6DAE" w:rsidRDefault="00E05B98">
      <w:pPr>
        <w:pStyle w:val="a3"/>
        <w:spacing w:before="90"/>
        <w:rPr>
          <w:rFonts w:ascii="Arial MT"/>
          <w:sz w:val="12"/>
          <w:lang w:val="uk-UA"/>
        </w:rPr>
      </w:pPr>
    </w:p>
    <w:p w14:paraId="6B431051" w14:textId="77777777" w:rsidR="00E05B98" w:rsidRPr="003C6DAE" w:rsidRDefault="00B01E0C">
      <w:pPr>
        <w:spacing w:before="1"/>
        <w:ind w:left="597"/>
        <w:rPr>
          <w:rFonts w:ascii="Arial MT"/>
          <w:sz w:val="12"/>
          <w:lang w:val="uk-UA"/>
        </w:rPr>
      </w:pPr>
      <w:r w:rsidRPr="003C6DAE">
        <w:rPr>
          <w:rFonts w:ascii="Arial MT"/>
          <w:noProof/>
          <w:sz w:val="12"/>
          <w:lang w:val="uk-UA"/>
        </w:rPr>
        <mc:AlternateContent>
          <mc:Choice Requires="wpg">
            <w:drawing>
              <wp:anchor distT="0" distB="0" distL="0" distR="0" simplePos="0" relativeHeight="16047104" behindDoc="0" locked="0" layoutInCell="1" allowOverlap="1" wp14:anchorId="24A7A39E" wp14:editId="752F2CD6">
                <wp:simplePos x="0" y="0"/>
                <wp:positionH relativeFrom="page">
                  <wp:posOffset>5647587</wp:posOffset>
                </wp:positionH>
                <wp:positionV relativeFrom="paragraph">
                  <wp:posOffset>12637</wp:posOffset>
                </wp:positionV>
                <wp:extent cx="63500" cy="63500"/>
                <wp:effectExtent l="0" t="0" r="0" b="0"/>
                <wp:wrapNone/>
                <wp:docPr id="2029" name="Group 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 cy="63500"/>
                          <a:chOff x="0" y="0"/>
                          <a:chExt cx="63500" cy="63500"/>
                        </a:xfrm>
                      </wpg:grpSpPr>
                      <wps:wsp>
                        <wps:cNvPr id="2030" name="Graphic 2030"/>
                        <wps:cNvSpPr/>
                        <wps:spPr>
                          <a:xfrm>
                            <a:off x="7048" y="31597"/>
                            <a:ext cx="41275" cy="1270"/>
                          </a:xfrm>
                          <a:custGeom>
                            <a:avLst/>
                            <a:gdLst/>
                            <a:ahLst/>
                            <a:cxnLst/>
                            <a:rect l="l" t="t" r="r" b="b"/>
                            <a:pathLst>
                              <a:path w="41275">
                                <a:moveTo>
                                  <a:pt x="0" y="0"/>
                                </a:moveTo>
                                <a:lnTo>
                                  <a:pt x="40843" y="0"/>
                                </a:lnTo>
                              </a:path>
                            </a:pathLst>
                          </a:custGeom>
                          <a:ln w="7315">
                            <a:solidFill>
                              <a:srgbClr val="000000"/>
                            </a:solidFill>
                            <a:prstDash val="solid"/>
                          </a:ln>
                        </wps:spPr>
                        <wps:bodyPr wrap="square" lIns="0" tIns="0" rIns="0" bIns="0" rtlCol="0">
                          <a:prstTxWarp prst="textNoShape">
                            <a:avLst/>
                          </a:prstTxWarp>
                          <a:noAutofit/>
                        </wps:bodyPr>
                      </wps:wsp>
                      <wps:wsp>
                        <wps:cNvPr id="2031" name="Graphic 2031"/>
                        <wps:cNvSpPr/>
                        <wps:spPr>
                          <a:xfrm>
                            <a:off x="0" y="0"/>
                            <a:ext cx="63500" cy="63500"/>
                          </a:xfrm>
                          <a:custGeom>
                            <a:avLst/>
                            <a:gdLst/>
                            <a:ahLst/>
                            <a:cxnLst/>
                            <a:rect l="l" t="t" r="r" b="b"/>
                            <a:pathLst>
                              <a:path w="63500" h="63500">
                                <a:moveTo>
                                  <a:pt x="31648" y="0"/>
                                </a:moveTo>
                                <a:lnTo>
                                  <a:pt x="0" y="31597"/>
                                </a:lnTo>
                                <a:lnTo>
                                  <a:pt x="31648" y="63182"/>
                                </a:lnTo>
                                <a:lnTo>
                                  <a:pt x="63195" y="31597"/>
                                </a:lnTo>
                                <a:lnTo>
                                  <a:pt x="316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BC377F" id="Group 2029" o:spid="_x0000_s1026" style="position:absolute;margin-left:444.7pt;margin-top:1pt;width:5pt;height:5pt;z-index:16047104;mso-wrap-distance-left:0;mso-wrap-distance-right:0;mso-position-horizontal-relative:page" coordsize="63500,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">
                <v:shape id="Graphic 2030" o:spid="_x0000_s1027" style="position:absolute;left:7048;top:31597;width:41275;height:1270;visibility:visible;mso-wrap-style:square;v-text-anchor:top" coordsize="4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" path="m,l40843,e" filled="f" strokeweight=".20319mm">
                  <v:path arrowok="t"/>
                </v:shape>
                <v:shape id="Graphic 2031" o:spid="_x0000_s1028" style="position:absolute;width:63500;height:63500;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" path="m31648,l,31597,31648,63182,63195,31597,31648,xe" fillcolor="black" stroked="f">
                  <v:path arrowok="t"/>
                </v:shape>
                <w10:wrap anchorx="page"/>
              </v:group>
            </w:pict>
          </mc:Fallback>
        </mc:AlternateContent>
      </w:r>
      <w:r w:rsidRPr="003C6DAE">
        <w:rPr>
          <w:rFonts w:ascii="Arial MT"/>
          <w:sz w:val="12"/>
          <w:lang w:val="uk-UA"/>
        </w:rPr>
        <w:t>96.3%</w:t>
      </w:r>
      <w:r w:rsidRPr="003C6DAE">
        <w:rPr>
          <w:rFonts w:ascii="Arial MT"/>
          <w:spacing w:val="1"/>
          <w:sz w:val="12"/>
          <w:lang w:val="uk-UA"/>
        </w:rPr>
        <w:t xml:space="preserve"> </w:t>
      </w:r>
      <w:r w:rsidRPr="003C6DAE">
        <w:rPr>
          <w:rFonts w:ascii="Arial MT"/>
          <w:sz w:val="12"/>
          <w:lang w:val="uk-UA"/>
        </w:rPr>
        <w:t>(93.0</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98.1)</w:t>
      </w:r>
    </w:p>
    <w:p w14:paraId="06D5EADE" w14:textId="77777777" w:rsidR="00E05B98" w:rsidRPr="003C6DAE" w:rsidRDefault="00B01E0C">
      <w:pPr>
        <w:spacing w:before="114"/>
        <w:ind w:left="682"/>
        <w:rPr>
          <w:rFonts w:ascii="Arial MT"/>
          <w:sz w:val="12"/>
          <w:lang w:val="uk-UA"/>
        </w:rPr>
      </w:pPr>
      <w:r w:rsidRPr="003C6DAE">
        <w:rPr>
          <w:rFonts w:ascii="Arial MT"/>
          <w:noProof/>
          <w:sz w:val="12"/>
          <w:lang w:val="uk-UA"/>
        </w:rPr>
        <mc:AlternateContent>
          <mc:Choice Requires="wpg">
            <w:drawing>
              <wp:anchor distT="0" distB="0" distL="0" distR="0" simplePos="0" relativeHeight="16047616" behindDoc="0" locked="0" layoutInCell="1" allowOverlap="1" wp14:anchorId="09FF2B7C" wp14:editId="2DD7F811">
                <wp:simplePos x="0" y="0"/>
                <wp:positionH relativeFrom="page">
                  <wp:posOffset>5646855</wp:posOffset>
                </wp:positionH>
                <wp:positionV relativeFrom="paragraph">
                  <wp:posOffset>84658</wp:posOffset>
                </wp:positionV>
                <wp:extent cx="94615" cy="356235"/>
                <wp:effectExtent l="0" t="0" r="0" b="0"/>
                <wp:wrapNone/>
                <wp:docPr id="2032" name="Group 2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356235"/>
                          <a:chOff x="0" y="0"/>
                          <a:chExt cx="94615" cy="356235"/>
                        </a:xfrm>
                      </wpg:grpSpPr>
                      <wps:wsp>
                        <wps:cNvPr id="2033" name="Graphic 2033"/>
                        <wps:cNvSpPr/>
                        <wps:spPr>
                          <a:xfrm>
                            <a:off x="62109" y="31584"/>
                            <a:ext cx="1270" cy="1270"/>
                          </a:xfrm>
                          <a:custGeom>
                            <a:avLst/>
                            <a:gdLst/>
                            <a:ahLst/>
                            <a:cxnLst/>
                            <a:rect l="l" t="t" r="r" b="b"/>
                            <a:pathLst>
                              <a:path w="1270">
                                <a:moveTo>
                                  <a:pt x="0" y="0"/>
                                </a:moveTo>
                                <a:lnTo>
                                  <a:pt x="1130" y="0"/>
                                </a:lnTo>
                              </a:path>
                            </a:pathLst>
                          </a:custGeom>
                          <a:ln w="7315">
                            <a:solidFill>
                              <a:srgbClr val="000000"/>
                            </a:solidFill>
                            <a:prstDash val="solid"/>
                          </a:ln>
                        </wps:spPr>
                        <wps:bodyPr wrap="square" lIns="0" tIns="0" rIns="0" bIns="0" rtlCol="0">
                          <a:prstTxWarp prst="textNoShape">
                            <a:avLst/>
                          </a:prstTxWarp>
                          <a:noAutofit/>
                        </wps:bodyPr>
                      </wps:wsp>
                      <wps:wsp>
                        <wps:cNvPr id="2034" name="Graphic 2034"/>
                        <wps:cNvSpPr/>
                        <wps:spPr>
                          <a:xfrm>
                            <a:off x="-3" y="4"/>
                            <a:ext cx="94615" cy="223520"/>
                          </a:xfrm>
                          <a:custGeom>
                            <a:avLst/>
                            <a:gdLst/>
                            <a:ahLst/>
                            <a:cxnLst/>
                            <a:rect l="l" t="t" r="r" b="b"/>
                            <a:pathLst>
                              <a:path w="94615" h="223520">
                                <a:moveTo>
                                  <a:pt x="63106" y="191897"/>
                                </a:moveTo>
                                <a:lnTo>
                                  <a:pt x="31546" y="160261"/>
                                </a:lnTo>
                                <a:lnTo>
                                  <a:pt x="0" y="191897"/>
                                </a:lnTo>
                                <a:lnTo>
                                  <a:pt x="31546" y="223456"/>
                                </a:lnTo>
                                <a:lnTo>
                                  <a:pt x="63106" y="191897"/>
                                </a:lnTo>
                                <a:close/>
                              </a:path>
                              <a:path w="94615" h="223520">
                                <a:moveTo>
                                  <a:pt x="94170" y="31584"/>
                                </a:moveTo>
                                <a:lnTo>
                                  <a:pt x="62623" y="0"/>
                                </a:lnTo>
                                <a:lnTo>
                                  <a:pt x="31064" y="31584"/>
                                </a:lnTo>
                                <a:lnTo>
                                  <a:pt x="62623" y="63182"/>
                                </a:lnTo>
                                <a:lnTo>
                                  <a:pt x="94170" y="31584"/>
                                </a:lnTo>
                                <a:close/>
                              </a:path>
                            </a:pathLst>
                          </a:custGeom>
                          <a:solidFill>
                            <a:srgbClr val="000000"/>
                          </a:solidFill>
                        </wps:spPr>
                        <wps:bodyPr wrap="square" lIns="0" tIns="0" rIns="0" bIns="0" rtlCol="0">
                          <a:prstTxWarp prst="textNoShape">
                            <a:avLst/>
                          </a:prstTxWarp>
                          <a:noAutofit/>
                        </wps:bodyPr>
                      </wps:wsp>
                      <wps:wsp>
                        <wps:cNvPr id="2035" name="Graphic 2035"/>
                        <wps:cNvSpPr/>
                        <wps:spPr>
                          <a:xfrm>
                            <a:off x="62628" y="31588"/>
                            <a:ext cx="1270" cy="320675"/>
                          </a:xfrm>
                          <a:custGeom>
                            <a:avLst/>
                            <a:gdLst/>
                            <a:ahLst/>
                            <a:cxnLst/>
                            <a:rect l="l" t="t" r="r" b="b"/>
                            <a:pathLst>
                              <a:path h="320675">
                                <a:moveTo>
                                  <a:pt x="0" y="320586"/>
                                </a:moveTo>
                                <a:lnTo>
                                  <a:pt x="0" y="0"/>
                                </a:lnTo>
                              </a:path>
                              <a:path h="320675">
                                <a:moveTo>
                                  <a:pt x="0" y="320586"/>
                                </a:moveTo>
                                <a:lnTo>
                                  <a:pt x="0" y="0"/>
                                </a:lnTo>
                              </a:path>
                              <a:path h="320675">
                                <a:moveTo>
                                  <a:pt x="0" y="320586"/>
                                </a:moveTo>
                                <a:lnTo>
                                  <a:pt x="0" y="0"/>
                                </a:lnTo>
                              </a:path>
                              <a:path h="320675">
                                <a:moveTo>
                                  <a:pt x="0" y="320586"/>
                                </a:moveTo>
                                <a:lnTo>
                                  <a:pt x="0" y="0"/>
                                </a:lnTo>
                              </a:path>
                              <a:path h="320675">
                                <a:moveTo>
                                  <a:pt x="0" y="320586"/>
                                </a:moveTo>
                                <a:lnTo>
                                  <a:pt x="0" y="0"/>
                                </a:lnTo>
                              </a:path>
                              <a:path h="320675">
                                <a:moveTo>
                                  <a:pt x="0" y="320586"/>
                                </a:moveTo>
                                <a:lnTo>
                                  <a:pt x="0" y="0"/>
                                </a:lnTo>
                              </a:path>
                              <a:path h="320675">
                                <a:moveTo>
                                  <a:pt x="0" y="320586"/>
                                </a:moveTo>
                                <a:lnTo>
                                  <a:pt x="0" y="0"/>
                                </a:lnTo>
                              </a:path>
                              <a:path h="320675">
                                <a:moveTo>
                                  <a:pt x="0" y="320586"/>
                                </a:moveTo>
                                <a:lnTo>
                                  <a:pt x="0" y="0"/>
                                </a:lnTo>
                              </a:path>
                              <a:path h="320675">
                                <a:moveTo>
                                  <a:pt x="0" y="320586"/>
                                </a:moveTo>
                                <a:lnTo>
                                  <a:pt x="0" y="0"/>
                                </a:lnTo>
                              </a:path>
                            </a:pathLst>
                          </a:custGeom>
                          <a:ln w="7315">
                            <a:solidFill>
                              <a:srgbClr val="000000"/>
                            </a:solidFill>
                            <a:prstDash val="solid"/>
                          </a:ln>
                        </wps:spPr>
                        <wps:bodyPr wrap="square" lIns="0" tIns="0" rIns="0" bIns="0" rtlCol="0">
                          <a:prstTxWarp prst="textNoShape">
                            <a:avLst/>
                          </a:prstTxWarp>
                          <a:noAutofit/>
                        </wps:bodyPr>
                      </wps:wsp>
                      <wps:wsp>
                        <wps:cNvPr id="2036" name="Graphic 2036"/>
                        <wps:cNvSpPr/>
                        <wps:spPr>
                          <a:xfrm>
                            <a:off x="31546" y="191900"/>
                            <a:ext cx="31115" cy="160655"/>
                          </a:xfrm>
                          <a:custGeom>
                            <a:avLst/>
                            <a:gdLst/>
                            <a:ahLst/>
                            <a:cxnLst/>
                            <a:rect l="l" t="t" r="r" b="b"/>
                            <a:pathLst>
                              <a:path w="31115" h="160655">
                                <a:moveTo>
                                  <a:pt x="0" y="160274"/>
                                </a:moveTo>
                                <a:lnTo>
                                  <a:pt x="0" y="0"/>
                                </a:lnTo>
                              </a:path>
                              <a:path w="31115" h="160655">
                                <a:moveTo>
                                  <a:pt x="0" y="160274"/>
                                </a:moveTo>
                                <a:lnTo>
                                  <a:pt x="0" y="0"/>
                                </a:lnTo>
                              </a:path>
                              <a:path w="31115" h="160655">
                                <a:moveTo>
                                  <a:pt x="0" y="160274"/>
                                </a:moveTo>
                                <a:lnTo>
                                  <a:pt x="0" y="0"/>
                                </a:lnTo>
                              </a:path>
                              <a:path w="31115" h="160655">
                                <a:moveTo>
                                  <a:pt x="0" y="160274"/>
                                </a:moveTo>
                                <a:lnTo>
                                  <a:pt x="0" y="0"/>
                                </a:lnTo>
                              </a:path>
                              <a:path w="31115" h="160655">
                                <a:moveTo>
                                  <a:pt x="0" y="160274"/>
                                </a:moveTo>
                                <a:lnTo>
                                  <a:pt x="0" y="0"/>
                                </a:lnTo>
                              </a:path>
                              <a:path w="31115" h="160655">
                                <a:moveTo>
                                  <a:pt x="0" y="160274"/>
                                </a:moveTo>
                                <a:lnTo>
                                  <a:pt x="0" y="0"/>
                                </a:lnTo>
                              </a:path>
                              <a:path w="31115" h="160655">
                                <a:moveTo>
                                  <a:pt x="0" y="160274"/>
                                </a:moveTo>
                                <a:lnTo>
                                  <a:pt x="0" y="0"/>
                                </a:lnTo>
                              </a:path>
                              <a:path w="31115" h="160655">
                                <a:moveTo>
                                  <a:pt x="0" y="160274"/>
                                </a:moveTo>
                                <a:lnTo>
                                  <a:pt x="0" y="0"/>
                                </a:lnTo>
                              </a:path>
                              <a:path w="31115" h="160655">
                                <a:moveTo>
                                  <a:pt x="0" y="160274"/>
                                </a:moveTo>
                                <a:lnTo>
                                  <a:pt x="0" y="0"/>
                                </a:lnTo>
                              </a:path>
                              <a:path w="31115" h="160655">
                                <a:moveTo>
                                  <a:pt x="0" y="160274"/>
                                </a:moveTo>
                                <a:lnTo>
                                  <a:pt x="31076" y="160274"/>
                                </a:lnTo>
                              </a:path>
                              <a:path w="31115" h="160655">
                                <a:moveTo>
                                  <a:pt x="0" y="160274"/>
                                </a:moveTo>
                                <a:lnTo>
                                  <a:pt x="31076" y="160274"/>
                                </a:lnTo>
                              </a:path>
                              <a:path w="31115" h="160655">
                                <a:moveTo>
                                  <a:pt x="0" y="160274"/>
                                </a:moveTo>
                                <a:lnTo>
                                  <a:pt x="31076" y="160274"/>
                                </a:lnTo>
                              </a:path>
                              <a:path w="31115" h="160655">
                                <a:moveTo>
                                  <a:pt x="0" y="160274"/>
                                </a:moveTo>
                                <a:lnTo>
                                  <a:pt x="31076" y="160274"/>
                                </a:lnTo>
                              </a:path>
                              <a:path w="31115" h="160655">
                                <a:moveTo>
                                  <a:pt x="0" y="160274"/>
                                </a:moveTo>
                                <a:lnTo>
                                  <a:pt x="31076" y="160274"/>
                                </a:lnTo>
                              </a:path>
                              <a:path w="31115" h="160655">
                                <a:moveTo>
                                  <a:pt x="0" y="160274"/>
                                </a:moveTo>
                                <a:lnTo>
                                  <a:pt x="31076" y="160274"/>
                                </a:lnTo>
                              </a:path>
                              <a:path w="31115" h="160655">
                                <a:moveTo>
                                  <a:pt x="0" y="160274"/>
                                </a:moveTo>
                                <a:lnTo>
                                  <a:pt x="31076" y="160274"/>
                                </a:lnTo>
                              </a:path>
                              <a:path w="31115" h="160655">
                                <a:moveTo>
                                  <a:pt x="0" y="160274"/>
                                </a:moveTo>
                                <a:lnTo>
                                  <a:pt x="31076" y="160274"/>
                                </a:lnTo>
                              </a:path>
                              <a:path w="31115" h="160655">
                                <a:moveTo>
                                  <a:pt x="0" y="160274"/>
                                </a:moveTo>
                                <a:lnTo>
                                  <a:pt x="31076" y="160274"/>
                                </a:lnTo>
                              </a:path>
                            </a:pathLst>
                          </a:custGeom>
                          <a:ln w="731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440D41" id="Group 2032" o:spid="_x0000_s1026" style="position:absolute;margin-left:444.65pt;margin-top:6.65pt;width:7.45pt;height:28.05pt;z-index:16047616;mso-wrap-distance-left:0;mso-wrap-distance-right:0;mso-position-horizontal-relative:page" coordsize="9461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">
                <v:shape id="Graphic 2033" o:spid="_x0000_s1027" style="position:absolute;left:62109;top:31584;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" path="m,l1130,e" filled="f" strokeweight=".20319mm">
                  <v:path arrowok="t"/>
                </v:shape>
                <v:shape id="Graphic 2034" o:spid="_x0000_s1028" style="position:absolute;left:-3;top:4;width:94615;height:223520;visibility:visible;mso-wrap-style:square;v-text-anchor:top" coordsize="94615,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" path="m63106,191897l31546,160261,,191897r31546,31559l63106,191897xem94170,31584l62623,,31064,31584,62623,63182,94170,31584xe" fillcolor="black" stroked="f">
                  <v:path arrowok="t"/>
                </v:shape>
                <v:shape id="Graphic 2035" o:spid="_x0000_s1029" style="position:absolute;left:62628;top:31588;width:1270;height:320675;visibility:visible;mso-wrap-style:square;v-text-anchor:top" coordsize="127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" path="m,320586l,em,320586l,em,320586l,em,320586l,em,320586l,em,320586l,em,320586l,em,320586l,em,320586l,e" filled="f" strokeweight=".20319mm">
                  <v:path arrowok="t"/>
                </v:shape>
                <v:shape id="Graphic 2036" o:spid="_x0000_s1030" style="position:absolute;left:31546;top:191900;width:31115;height:160655;visibility:visible;mso-wrap-style:square;v-text-anchor:top" coordsize="31115,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" path="m,160274l,em,160274l,em,160274l,em,160274l,em,160274l,em,160274l,em,160274l,em,160274l,em,160274l,em,160274r31076,em,160274r31076,em,160274r31076,em,160274r31076,em,160274r31076,em,160274r31076,em,160274r31076,em,160274r31076,em,160274r31076,e" filled="f" strokeweight=".20319mm">
                  <v:path arrowok="t"/>
                </v:shape>
                <w10:wrap anchorx="page"/>
              </v:group>
            </w:pict>
          </mc:Fallback>
        </mc:AlternateContent>
      </w:r>
      <w:r w:rsidRPr="003C6DAE">
        <w:rPr>
          <w:rFonts w:ascii="Arial MT"/>
          <w:sz w:val="12"/>
          <w:lang w:val="uk-UA"/>
        </w:rPr>
        <w:t>99.9%</w:t>
      </w:r>
      <w:r w:rsidRPr="003C6DAE">
        <w:rPr>
          <w:rFonts w:ascii="Arial MT"/>
          <w:spacing w:val="1"/>
          <w:sz w:val="12"/>
          <w:lang w:val="uk-UA"/>
        </w:rPr>
        <w:t xml:space="preserve"> </w:t>
      </w:r>
      <w:r w:rsidRPr="003C6DAE">
        <w:rPr>
          <w:rFonts w:ascii="Arial MT"/>
          <w:sz w:val="12"/>
          <w:lang w:val="uk-UA"/>
        </w:rPr>
        <w:t>(99.8</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5"/>
          <w:sz w:val="12"/>
          <w:lang w:val="uk-UA"/>
        </w:rPr>
        <w:t>1)</w:t>
      </w:r>
    </w:p>
    <w:p w14:paraId="579FE871" w14:textId="77777777" w:rsidR="00E05B98" w:rsidRPr="003C6DAE" w:rsidRDefault="00B01E0C">
      <w:pPr>
        <w:spacing w:before="114"/>
        <w:ind w:left="597"/>
        <w:rPr>
          <w:rFonts w:ascii="Arial MT"/>
          <w:sz w:val="12"/>
          <w:lang w:val="uk-UA"/>
        </w:rPr>
      </w:pPr>
      <w:r w:rsidRPr="003C6DAE">
        <w:rPr>
          <w:rFonts w:ascii="Arial MT"/>
          <w:sz w:val="12"/>
          <w:lang w:val="uk-UA"/>
        </w:rPr>
        <w:t>96.2%</w:t>
      </w:r>
      <w:r w:rsidRPr="003C6DAE">
        <w:rPr>
          <w:rFonts w:ascii="Arial MT"/>
          <w:spacing w:val="1"/>
          <w:sz w:val="12"/>
          <w:lang w:val="uk-UA"/>
        </w:rPr>
        <w:t xml:space="preserve"> </w:t>
      </w:r>
      <w:r w:rsidRPr="003C6DAE">
        <w:rPr>
          <w:rFonts w:ascii="Arial MT"/>
          <w:sz w:val="12"/>
          <w:lang w:val="uk-UA"/>
        </w:rPr>
        <w:t>(92.8</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98.1)</w:t>
      </w:r>
    </w:p>
    <w:p w14:paraId="2CA50DD2" w14:textId="77777777" w:rsidR="00E05B98" w:rsidRPr="003C6DAE" w:rsidRDefault="00B01E0C">
      <w:pPr>
        <w:spacing w:before="115"/>
        <w:ind w:left="638"/>
        <w:rPr>
          <w:rFonts w:ascii="Arial MT"/>
          <w:sz w:val="12"/>
          <w:lang w:val="uk-UA"/>
        </w:rPr>
      </w:pPr>
      <w:r w:rsidRPr="003C6DAE">
        <w:rPr>
          <w:rFonts w:ascii="Arial MT"/>
          <w:sz w:val="12"/>
          <w:lang w:val="uk-UA"/>
        </w:rPr>
        <w:t>-3.5%</w:t>
      </w:r>
      <w:r w:rsidRPr="003C6DAE">
        <w:rPr>
          <w:rFonts w:ascii="Arial MT"/>
          <w:spacing w:val="1"/>
          <w:sz w:val="12"/>
          <w:lang w:val="uk-UA"/>
        </w:rPr>
        <w:t xml:space="preserve"> </w:t>
      </w:r>
      <w:r w:rsidRPr="003C6DAE">
        <w:rPr>
          <w:rFonts w:ascii="Arial MT"/>
          <w:sz w:val="12"/>
          <w:lang w:val="uk-UA"/>
        </w:rPr>
        <w:t>(-6.6</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z w:val="12"/>
          <w:lang w:val="uk-UA"/>
        </w:rPr>
        <w:t>-</w:t>
      </w:r>
      <w:r w:rsidRPr="003C6DAE">
        <w:rPr>
          <w:rFonts w:ascii="Arial MT"/>
          <w:spacing w:val="-4"/>
          <w:sz w:val="12"/>
          <w:lang w:val="uk-UA"/>
        </w:rPr>
        <w:t>1.7)</w:t>
      </w:r>
    </w:p>
    <w:p w14:paraId="530FF1CD" w14:textId="77777777" w:rsidR="00E05B98" w:rsidRPr="003C6DAE" w:rsidRDefault="00E05B98">
      <w:pPr>
        <w:rPr>
          <w:rFonts w:ascii="Arial MT"/>
          <w:sz w:val="12"/>
          <w:lang w:val="uk-UA"/>
        </w:rPr>
        <w:sectPr w:rsidR="00E05B98" w:rsidRPr="003C6DAE" w:rsidSect="002C003A">
          <w:type w:val="continuous"/>
          <w:pgSz w:w="11910" w:h="16840"/>
          <w:pgMar w:top="1920" w:right="1275" w:bottom="280" w:left="850" w:header="0" w:footer="573" w:gutter="0"/>
          <w:cols w:num="6" w:space="380" w:equalWidth="0">
            <w:col w:w="1183" w:space="40"/>
            <w:col w:w="689" w:space="39"/>
            <w:col w:w="420" w:space="39"/>
            <w:col w:w="1113" w:space="1217"/>
            <w:col w:w="1753" w:space="1214"/>
            <w:col w:w="2078"/>
          </w:cols>
        </w:sectPr>
      </w:pPr>
    </w:p>
    <w:p w14:paraId="25BC2E60" w14:textId="77777777" w:rsidR="00E05B98" w:rsidRPr="003C6DAE" w:rsidRDefault="00E05B98">
      <w:pPr>
        <w:pStyle w:val="a3"/>
        <w:spacing w:before="1"/>
        <w:rPr>
          <w:rFonts w:ascii="Arial MT"/>
          <w:sz w:val="9"/>
          <w:lang w:val="uk-UA"/>
        </w:rPr>
      </w:pPr>
    </w:p>
    <w:p w14:paraId="3F4BD7BD" w14:textId="77777777" w:rsidR="00E05B98" w:rsidRPr="003C6DAE" w:rsidRDefault="00B01E0C">
      <w:pPr>
        <w:jc w:val="right"/>
        <w:rPr>
          <w:rFonts w:ascii="Arial MT"/>
          <w:sz w:val="9"/>
          <w:lang w:val="uk-UA"/>
        </w:rPr>
      </w:pPr>
      <w:r w:rsidRPr="003C6DAE">
        <w:rPr>
          <w:rFonts w:ascii="Arial MT"/>
          <w:color w:val="4D4D4D"/>
          <w:w w:val="105"/>
          <w:sz w:val="9"/>
          <w:lang w:val="uk-UA"/>
        </w:rPr>
        <w:t>0.00</w:t>
      </w:r>
      <w:r w:rsidRPr="003C6DAE">
        <w:rPr>
          <w:rFonts w:ascii="Arial MT"/>
          <w:color w:val="4D4D4D"/>
          <w:spacing w:val="36"/>
          <w:w w:val="105"/>
          <w:sz w:val="9"/>
          <w:lang w:val="uk-UA"/>
        </w:rPr>
        <w:t xml:space="preserve">  </w:t>
      </w:r>
      <w:r w:rsidRPr="003C6DAE">
        <w:rPr>
          <w:rFonts w:ascii="Arial MT"/>
          <w:color w:val="4D4D4D"/>
          <w:w w:val="105"/>
          <w:sz w:val="9"/>
          <w:lang w:val="uk-UA"/>
        </w:rPr>
        <w:t>0.25</w:t>
      </w:r>
      <w:r w:rsidRPr="003C6DAE">
        <w:rPr>
          <w:rFonts w:ascii="Arial MT"/>
          <w:color w:val="4D4D4D"/>
          <w:spacing w:val="37"/>
          <w:w w:val="105"/>
          <w:sz w:val="9"/>
          <w:lang w:val="uk-UA"/>
        </w:rPr>
        <w:t xml:space="preserve">  </w:t>
      </w:r>
      <w:r w:rsidRPr="003C6DAE">
        <w:rPr>
          <w:rFonts w:ascii="Arial MT"/>
          <w:color w:val="4D4D4D"/>
          <w:w w:val="105"/>
          <w:sz w:val="9"/>
          <w:lang w:val="uk-UA"/>
        </w:rPr>
        <w:t>0.50</w:t>
      </w:r>
      <w:r w:rsidRPr="003C6DAE">
        <w:rPr>
          <w:rFonts w:ascii="Arial MT"/>
          <w:color w:val="4D4D4D"/>
          <w:spacing w:val="37"/>
          <w:w w:val="105"/>
          <w:sz w:val="9"/>
          <w:lang w:val="uk-UA"/>
        </w:rPr>
        <w:t xml:space="preserve">  </w:t>
      </w:r>
      <w:r w:rsidRPr="003C6DAE">
        <w:rPr>
          <w:rFonts w:ascii="Arial MT"/>
          <w:color w:val="4D4D4D"/>
          <w:w w:val="105"/>
          <w:sz w:val="9"/>
          <w:lang w:val="uk-UA"/>
        </w:rPr>
        <w:t>0.75</w:t>
      </w:r>
      <w:r w:rsidRPr="003C6DAE">
        <w:rPr>
          <w:rFonts w:ascii="Arial MT"/>
          <w:color w:val="4D4D4D"/>
          <w:spacing w:val="36"/>
          <w:w w:val="105"/>
          <w:sz w:val="9"/>
          <w:lang w:val="uk-UA"/>
        </w:rPr>
        <w:t xml:space="preserve">  </w:t>
      </w:r>
      <w:r w:rsidRPr="003C6DAE">
        <w:rPr>
          <w:rFonts w:ascii="Arial MT"/>
          <w:color w:val="4D4D4D"/>
          <w:spacing w:val="-4"/>
          <w:w w:val="105"/>
          <w:sz w:val="9"/>
          <w:lang w:val="uk-UA"/>
        </w:rPr>
        <w:t>1.00</w:t>
      </w:r>
    </w:p>
    <w:p w14:paraId="5BA056B5" w14:textId="13C433AF" w:rsidR="00E05B98" w:rsidRPr="003C6DAE" w:rsidRDefault="002C003A">
      <w:pPr>
        <w:spacing w:before="1"/>
        <w:ind w:right="394"/>
        <w:jc w:val="right"/>
        <w:rPr>
          <w:rFonts w:ascii="Arial"/>
          <w:b/>
          <w:sz w:val="13"/>
          <w:lang w:val="uk-UA"/>
        </w:rPr>
      </w:pPr>
      <w:r>
        <w:rPr>
          <w:rFonts w:ascii="Arial"/>
          <w:b/>
          <w:spacing w:val="-2"/>
          <w:sz w:val="13"/>
          <w:lang w:val="uk-UA"/>
        </w:rPr>
        <w:t>Чутливість</w:t>
      </w:r>
    </w:p>
    <w:p w14:paraId="312B50EB" w14:textId="77777777" w:rsidR="00E05B98" w:rsidRPr="003C6DAE" w:rsidRDefault="00B01E0C">
      <w:pPr>
        <w:spacing w:before="1"/>
        <w:rPr>
          <w:rFonts w:ascii="Arial"/>
          <w:b/>
          <w:sz w:val="9"/>
          <w:lang w:val="uk-UA"/>
        </w:rPr>
      </w:pPr>
      <w:r w:rsidRPr="003C6DAE">
        <w:rPr>
          <w:lang w:val="uk-UA"/>
        </w:rPr>
        <w:br w:type="column"/>
      </w:r>
    </w:p>
    <w:p w14:paraId="65CC282D" w14:textId="77777777" w:rsidR="00E05B98" w:rsidRPr="003C6DAE" w:rsidRDefault="00B01E0C">
      <w:pPr>
        <w:ind w:left="1487"/>
        <w:rPr>
          <w:rFonts w:ascii="Arial MT"/>
          <w:sz w:val="9"/>
          <w:lang w:val="uk-UA"/>
        </w:rPr>
      </w:pPr>
      <w:r w:rsidRPr="003C6DAE">
        <w:rPr>
          <w:rFonts w:ascii="Arial MT"/>
          <w:color w:val="4D4D4D"/>
          <w:w w:val="105"/>
          <w:sz w:val="9"/>
          <w:lang w:val="uk-UA"/>
        </w:rPr>
        <w:t>0.00</w:t>
      </w:r>
      <w:r w:rsidRPr="003C6DAE">
        <w:rPr>
          <w:rFonts w:ascii="Arial MT"/>
          <w:color w:val="4D4D4D"/>
          <w:spacing w:val="36"/>
          <w:w w:val="105"/>
          <w:sz w:val="9"/>
          <w:lang w:val="uk-UA"/>
        </w:rPr>
        <w:t xml:space="preserve">  </w:t>
      </w:r>
      <w:r w:rsidRPr="003C6DAE">
        <w:rPr>
          <w:rFonts w:ascii="Arial MT"/>
          <w:color w:val="4D4D4D"/>
          <w:w w:val="105"/>
          <w:sz w:val="9"/>
          <w:lang w:val="uk-UA"/>
        </w:rPr>
        <w:t>0.25</w:t>
      </w:r>
      <w:r w:rsidRPr="003C6DAE">
        <w:rPr>
          <w:rFonts w:ascii="Arial MT"/>
          <w:color w:val="4D4D4D"/>
          <w:spacing w:val="37"/>
          <w:w w:val="105"/>
          <w:sz w:val="9"/>
          <w:lang w:val="uk-UA"/>
        </w:rPr>
        <w:t xml:space="preserve">  </w:t>
      </w:r>
      <w:r w:rsidRPr="003C6DAE">
        <w:rPr>
          <w:rFonts w:ascii="Arial MT"/>
          <w:color w:val="4D4D4D"/>
          <w:w w:val="105"/>
          <w:sz w:val="9"/>
          <w:lang w:val="uk-UA"/>
        </w:rPr>
        <w:t>0.50</w:t>
      </w:r>
      <w:r w:rsidRPr="003C6DAE">
        <w:rPr>
          <w:rFonts w:ascii="Arial MT"/>
          <w:color w:val="4D4D4D"/>
          <w:spacing w:val="37"/>
          <w:w w:val="105"/>
          <w:sz w:val="9"/>
          <w:lang w:val="uk-UA"/>
        </w:rPr>
        <w:t xml:space="preserve">  </w:t>
      </w:r>
      <w:r w:rsidRPr="003C6DAE">
        <w:rPr>
          <w:rFonts w:ascii="Arial MT"/>
          <w:color w:val="4D4D4D"/>
          <w:w w:val="105"/>
          <w:sz w:val="9"/>
          <w:lang w:val="uk-UA"/>
        </w:rPr>
        <w:t>0.75</w:t>
      </w:r>
      <w:r w:rsidRPr="003C6DAE">
        <w:rPr>
          <w:rFonts w:ascii="Arial MT"/>
          <w:color w:val="4D4D4D"/>
          <w:spacing w:val="36"/>
          <w:w w:val="105"/>
          <w:sz w:val="9"/>
          <w:lang w:val="uk-UA"/>
        </w:rPr>
        <w:t xml:space="preserve">  </w:t>
      </w:r>
      <w:r w:rsidRPr="003C6DAE">
        <w:rPr>
          <w:rFonts w:ascii="Arial MT"/>
          <w:color w:val="4D4D4D"/>
          <w:spacing w:val="-4"/>
          <w:w w:val="105"/>
          <w:sz w:val="9"/>
          <w:lang w:val="uk-UA"/>
        </w:rPr>
        <w:t>1.00</w:t>
      </w:r>
    </w:p>
    <w:p w14:paraId="642E3A43" w14:textId="20A1AB7E" w:rsidR="00E05B98" w:rsidRPr="003C6DAE" w:rsidRDefault="002C003A">
      <w:pPr>
        <w:spacing w:before="1"/>
        <w:ind w:right="56"/>
        <w:jc w:val="center"/>
        <w:rPr>
          <w:rFonts w:ascii="Arial"/>
          <w:b/>
          <w:sz w:val="13"/>
          <w:lang w:val="uk-UA"/>
        </w:rPr>
      </w:pPr>
      <w:r>
        <w:rPr>
          <w:rFonts w:ascii="Arial"/>
          <w:b/>
          <w:spacing w:val="-2"/>
          <w:sz w:val="13"/>
          <w:lang w:val="uk-UA"/>
        </w:rPr>
        <w:t>Специфічність</w:t>
      </w:r>
      <w:r>
        <w:rPr>
          <w:rFonts w:ascii="Arial"/>
          <w:b/>
          <w:spacing w:val="-2"/>
          <w:sz w:val="13"/>
          <w:lang w:val="uk-UA"/>
        </w:rPr>
        <w:t xml:space="preserve"> </w:t>
      </w:r>
    </w:p>
    <w:p w14:paraId="5C7DF61A" w14:textId="77777777" w:rsidR="00E05B98" w:rsidRPr="003C6DAE" w:rsidRDefault="00E05B98">
      <w:pPr>
        <w:jc w:val="center"/>
        <w:rPr>
          <w:rFonts w:ascii="Arial"/>
          <w:b/>
          <w:sz w:val="13"/>
          <w:lang w:val="uk-UA"/>
        </w:rPr>
        <w:sectPr w:rsidR="00E05B98" w:rsidRPr="003C6DAE">
          <w:type w:val="continuous"/>
          <w:pgSz w:w="11910" w:h="16840"/>
          <w:pgMar w:top="1920" w:right="1275" w:bottom="280" w:left="850" w:header="0" w:footer="573" w:gutter="0"/>
          <w:cols w:num="2" w:space="720" w:equalWidth="0">
            <w:col w:w="5268" w:space="40"/>
            <w:col w:w="4477"/>
          </w:cols>
        </w:sectPr>
      </w:pPr>
    </w:p>
    <w:p w14:paraId="1786631A" w14:textId="01BDA859" w:rsidR="00E05B98" w:rsidRPr="0088552A" w:rsidRDefault="006E5FF6" w:rsidP="0088552A">
      <w:pPr>
        <w:spacing w:before="1" w:line="269" w:lineRule="auto"/>
        <w:ind w:left="567"/>
        <w:jc w:val="both"/>
        <w:rPr>
          <w:sz w:val="15"/>
          <w:szCs w:val="15"/>
          <w:lang w:val="uk-UA"/>
        </w:rPr>
      </w:pPr>
      <w:r w:rsidRPr="0088552A">
        <w:rPr>
          <w:sz w:val="15"/>
          <w:szCs w:val="15"/>
          <w:lang w:val="uk-UA"/>
        </w:rPr>
        <w:t>CrI: інтервал</w:t>
      </w:r>
      <w:r w:rsidR="00E8754E">
        <w:rPr>
          <w:sz w:val="15"/>
          <w:szCs w:val="15"/>
          <w:lang w:val="uk-UA"/>
        </w:rPr>
        <w:t xml:space="preserve"> достовірності</w:t>
      </w:r>
      <w:r w:rsidRPr="0088552A">
        <w:rPr>
          <w:sz w:val="15"/>
          <w:szCs w:val="15"/>
          <w:lang w:val="uk-UA"/>
        </w:rPr>
        <w:t>; CRS: композитний еталонний стандарт; аТАНК-НС: автоматизований тест ампліфікаці</w:t>
      </w:r>
      <w:r w:rsidR="0088552A">
        <w:rPr>
          <w:sz w:val="15"/>
          <w:szCs w:val="15"/>
          <w:lang w:val="uk-UA"/>
        </w:rPr>
        <w:t>ї</w:t>
      </w:r>
      <w:r w:rsidRPr="0088552A">
        <w:rPr>
          <w:sz w:val="15"/>
          <w:szCs w:val="15"/>
          <w:lang w:val="uk-UA"/>
        </w:rPr>
        <w:t xml:space="preserve"> нуклеїнових кислот низької складності; LF-LAM: ліпоарабіноманнановий аналіз бокового зсуву на зразках сечі; MRS: мікробіологічний еталонний стандарт</w:t>
      </w:r>
      <w:r w:rsidR="0088552A">
        <w:rPr>
          <w:sz w:val="15"/>
          <w:szCs w:val="15"/>
          <w:lang w:val="uk-UA"/>
        </w:rPr>
        <w:t>.</w:t>
      </w:r>
      <w:r w:rsidRPr="0088552A">
        <w:rPr>
          <w:sz w:val="15"/>
          <w:szCs w:val="15"/>
          <w:lang w:val="uk-UA"/>
        </w:rPr>
        <w:t xml:space="preserve"> </w:t>
      </w:r>
    </w:p>
    <w:p w14:paraId="1994AA4C" w14:textId="3E84DBD0" w:rsidR="00E05B98" w:rsidRPr="0088552A" w:rsidRDefault="00B01E0C" w:rsidP="0088552A">
      <w:pPr>
        <w:spacing w:before="56" w:line="269" w:lineRule="auto"/>
        <w:ind w:left="567"/>
        <w:jc w:val="both"/>
        <w:rPr>
          <w:sz w:val="15"/>
          <w:szCs w:val="15"/>
          <w:lang w:val="uk-UA"/>
        </w:rPr>
      </w:pPr>
      <w:r w:rsidRPr="0088552A">
        <w:rPr>
          <w:sz w:val="15"/>
          <w:szCs w:val="15"/>
          <w:vertAlign w:val="superscript"/>
          <w:lang w:val="uk-UA"/>
        </w:rPr>
        <w:t>a</w:t>
      </w:r>
      <w:r w:rsidRPr="0088552A">
        <w:rPr>
          <w:sz w:val="15"/>
          <w:szCs w:val="15"/>
          <w:lang w:val="uk-UA"/>
        </w:rPr>
        <w:t xml:space="preserve"> </w:t>
      </w:r>
      <w:r w:rsidR="006E5FF6" w:rsidRPr="0088552A">
        <w:rPr>
          <w:sz w:val="15"/>
          <w:szCs w:val="15"/>
          <w:lang w:val="uk-UA"/>
        </w:rPr>
        <w:t>Ромби представляють об'єднану чутливість і специфічність, а чорна горизонтальна лінія - 95%</w:t>
      </w:r>
      <w:r w:rsidR="0088552A">
        <w:rPr>
          <w:sz w:val="15"/>
          <w:szCs w:val="15"/>
          <w:lang w:val="uk-UA"/>
        </w:rPr>
        <w:t>-</w:t>
      </w:r>
      <w:r w:rsidR="006E5FF6" w:rsidRPr="0088552A">
        <w:rPr>
          <w:sz w:val="15"/>
          <w:szCs w:val="15"/>
          <w:lang w:val="uk-UA"/>
        </w:rPr>
        <w:t>вий інтервал достовірності (CrI). Об'єднана різниця в чутливості та специфічності між одночасним тестуванням за допомогою двох аналізів і лише аТАНК-НС позначена лінією, що з'єднує два ромби. Ця об'єднана різниця може не відповідати різниці між об'єднаними оцінками точності одного тесту (див. веб-додаток B.8).</w:t>
      </w:r>
    </w:p>
    <w:p w14:paraId="7755F4E1" w14:textId="77777777" w:rsidR="00E05B98" w:rsidRPr="006E5FF6" w:rsidRDefault="00E05B98" w:rsidP="0041632D">
      <w:pPr>
        <w:pStyle w:val="a3"/>
        <w:spacing w:before="134" w:line="269" w:lineRule="auto"/>
        <w:rPr>
          <w:sz w:val="12"/>
          <w:szCs w:val="12"/>
          <w:lang w:val="uk-UA"/>
        </w:rPr>
      </w:pPr>
    </w:p>
    <w:p w14:paraId="37A062AF" w14:textId="4110A9AA" w:rsidR="00E05B98" w:rsidRPr="00C77168" w:rsidRDefault="006E5FF6" w:rsidP="0041632D">
      <w:pPr>
        <w:pStyle w:val="a3"/>
        <w:spacing w:line="269" w:lineRule="auto"/>
        <w:ind w:left="567"/>
        <w:jc w:val="both"/>
        <w:rPr>
          <w:sz w:val="20"/>
          <w:szCs w:val="20"/>
          <w:lang w:val="uk-UA"/>
        </w:rPr>
      </w:pPr>
      <w:r w:rsidRPr="006E5FF6">
        <w:rPr>
          <w:w w:val="105"/>
          <w:sz w:val="20"/>
          <w:szCs w:val="20"/>
          <w:lang w:val="uk-UA"/>
        </w:rPr>
        <w:t xml:space="preserve">Окрім точності діагностики, оцінювали клінічні результати: смертність, час до постановки діагнозу та час до початку лікування. Дані щодо виліковності та втрат контакту з </w:t>
      </w:r>
      <w:r w:rsidR="00507F6E" w:rsidRPr="006E5FF6">
        <w:rPr>
          <w:w w:val="105"/>
          <w:sz w:val="20"/>
          <w:szCs w:val="20"/>
          <w:lang w:val="uk-UA"/>
        </w:rPr>
        <w:t>пацієнтом</w:t>
      </w:r>
      <w:r w:rsidRPr="006E5FF6">
        <w:rPr>
          <w:w w:val="105"/>
          <w:sz w:val="20"/>
          <w:szCs w:val="20"/>
          <w:lang w:val="uk-UA"/>
        </w:rPr>
        <w:t xml:space="preserve"> для подальшого спостереження не оцінювали через брак даних. Дані трьох досліджень показали, що інтервенція, яка включала проведення аТАНК-НС на зразках </w:t>
      </w:r>
      <w:r w:rsidR="00E8754E">
        <w:rPr>
          <w:w w:val="105"/>
          <w:sz w:val="20"/>
          <w:szCs w:val="20"/>
          <w:lang w:val="uk-UA"/>
        </w:rPr>
        <w:t>і</w:t>
      </w:r>
      <w:r w:rsidRPr="006E5FF6">
        <w:rPr>
          <w:w w:val="105"/>
          <w:sz w:val="20"/>
          <w:szCs w:val="20"/>
          <w:lang w:val="uk-UA"/>
        </w:rPr>
        <w:t>з дихальних шляхів</w:t>
      </w:r>
      <w:r w:rsidR="00A62B0B">
        <w:rPr>
          <w:w w:val="105"/>
          <w:sz w:val="20"/>
          <w:szCs w:val="20"/>
          <w:lang w:val="uk-UA"/>
        </w:rPr>
        <w:t xml:space="preserve"> </w:t>
      </w:r>
      <w:r w:rsidRPr="006E5FF6">
        <w:rPr>
          <w:w w:val="105"/>
          <w:sz w:val="20"/>
          <w:szCs w:val="20"/>
          <w:lang w:val="uk-UA"/>
        </w:rPr>
        <w:t xml:space="preserve"> і </w:t>
      </w:r>
      <w:r w:rsidR="00A62B0B">
        <w:rPr>
          <w:w w:val="105"/>
          <w:sz w:val="20"/>
          <w:szCs w:val="20"/>
          <w:lang w:val="uk-UA"/>
        </w:rPr>
        <w:t xml:space="preserve"> </w:t>
      </w:r>
      <w:r w:rsidRPr="006E5FF6">
        <w:rPr>
          <w:w w:val="105"/>
          <w:sz w:val="20"/>
          <w:szCs w:val="20"/>
          <w:lang w:val="uk-UA"/>
        </w:rPr>
        <w:t xml:space="preserve">аналізу </w:t>
      </w:r>
      <w:r w:rsidR="00A62B0B">
        <w:rPr>
          <w:w w:val="105"/>
          <w:sz w:val="20"/>
          <w:szCs w:val="20"/>
          <w:lang w:val="uk-UA"/>
        </w:rPr>
        <w:t xml:space="preserve"> </w:t>
      </w:r>
      <w:r w:rsidRPr="006E5FF6">
        <w:rPr>
          <w:w w:val="105"/>
          <w:sz w:val="20"/>
          <w:szCs w:val="20"/>
          <w:lang w:val="uk-UA"/>
        </w:rPr>
        <w:t xml:space="preserve">LF-LAM </w:t>
      </w:r>
      <w:r w:rsidR="00A62B0B">
        <w:rPr>
          <w:w w:val="105"/>
          <w:sz w:val="20"/>
          <w:szCs w:val="20"/>
          <w:lang w:val="uk-UA"/>
        </w:rPr>
        <w:t xml:space="preserve"> </w:t>
      </w:r>
      <w:r w:rsidRPr="006E5FF6">
        <w:rPr>
          <w:w w:val="105"/>
          <w:sz w:val="20"/>
          <w:szCs w:val="20"/>
          <w:lang w:val="uk-UA"/>
        </w:rPr>
        <w:t xml:space="preserve">на </w:t>
      </w:r>
      <w:r w:rsidR="00A62B0B">
        <w:rPr>
          <w:w w:val="105"/>
          <w:sz w:val="20"/>
          <w:szCs w:val="20"/>
          <w:lang w:val="uk-UA"/>
        </w:rPr>
        <w:t xml:space="preserve"> </w:t>
      </w:r>
      <w:r w:rsidRPr="006E5FF6">
        <w:rPr>
          <w:w w:val="105"/>
          <w:sz w:val="20"/>
          <w:szCs w:val="20"/>
          <w:lang w:val="uk-UA"/>
        </w:rPr>
        <w:t xml:space="preserve">зразках </w:t>
      </w:r>
      <w:r w:rsidR="00A62B0B">
        <w:rPr>
          <w:w w:val="105"/>
          <w:sz w:val="20"/>
          <w:szCs w:val="20"/>
          <w:lang w:val="uk-UA"/>
        </w:rPr>
        <w:t xml:space="preserve"> </w:t>
      </w:r>
      <w:r w:rsidRPr="006E5FF6">
        <w:rPr>
          <w:w w:val="105"/>
          <w:sz w:val="20"/>
          <w:szCs w:val="20"/>
          <w:lang w:val="uk-UA"/>
        </w:rPr>
        <w:t xml:space="preserve">сечі </w:t>
      </w:r>
      <w:r w:rsidR="00A62B0B">
        <w:rPr>
          <w:w w:val="105"/>
          <w:sz w:val="20"/>
          <w:szCs w:val="20"/>
          <w:lang w:val="uk-UA"/>
        </w:rPr>
        <w:t xml:space="preserve"> </w:t>
      </w:r>
      <w:r w:rsidRPr="006E5FF6">
        <w:rPr>
          <w:w w:val="105"/>
          <w:sz w:val="20"/>
          <w:szCs w:val="20"/>
          <w:lang w:val="uk-UA"/>
        </w:rPr>
        <w:t xml:space="preserve">у </w:t>
      </w:r>
      <w:r w:rsidR="00A62B0B">
        <w:rPr>
          <w:w w:val="105"/>
          <w:sz w:val="20"/>
          <w:szCs w:val="20"/>
          <w:lang w:val="uk-UA"/>
        </w:rPr>
        <w:t xml:space="preserve"> </w:t>
      </w:r>
      <w:r w:rsidRPr="006E5FF6">
        <w:rPr>
          <w:w w:val="105"/>
          <w:sz w:val="20"/>
          <w:szCs w:val="20"/>
          <w:lang w:val="uk-UA"/>
        </w:rPr>
        <w:t xml:space="preserve">дорослих </w:t>
      </w:r>
      <w:r w:rsidR="00A62B0B">
        <w:rPr>
          <w:w w:val="105"/>
          <w:sz w:val="20"/>
          <w:szCs w:val="20"/>
          <w:lang w:val="uk-UA"/>
        </w:rPr>
        <w:t xml:space="preserve"> </w:t>
      </w:r>
      <w:r w:rsidRPr="006E5FF6">
        <w:rPr>
          <w:w w:val="105"/>
          <w:sz w:val="20"/>
          <w:szCs w:val="20"/>
          <w:lang w:val="uk-UA"/>
        </w:rPr>
        <w:t xml:space="preserve">стаціонарних </w:t>
      </w:r>
      <w:r w:rsidR="00A62B0B">
        <w:rPr>
          <w:w w:val="105"/>
          <w:sz w:val="20"/>
          <w:szCs w:val="20"/>
          <w:lang w:val="uk-UA"/>
        </w:rPr>
        <w:t xml:space="preserve"> </w:t>
      </w:r>
      <w:r w:rsidRPr="006E5FF6">
        <w:rPr>
          <w:w w:val="105"/>
          <w:sz w:val="20"/>
          <w:szCs w:val="20"/>
          <w:lang w:val="uk-UA"/>
        </w:rPr>
        <w:t xml:space="preserve">пацієнтів </w:t>
      </w:r>
      <w:r w:rsidR="00A62B0B">
        <w:rPr>
          <w:w w:val="105"/>
          <w:sz w:val="20"/>
          <w:szCs w:val="20"/>
          <w:lang w:val="uk-UA"/>
        </w:rPr>
        <w:t xml:space="preserve"> </w:t>
      </w:r>
      <w:r w:rsidRPr="006E5FF6">
        <w:rPr>
          <w:w w:val="105"/>
          <w:sz w:val="20"/>
          <w:szCs w:val="20"/>
          <w:lang w:val="uk-UA"/>
        </w:rPr>
        <w:t xml:space="preserve">з </w:t>
      </w:r>
      <w:r w:rsidR="00A62B0B">
        <w:rPr>
          <w:w w:val="105"/>
          <w:sz w:val="20"/>
          <w:szCs w:val="20"/>
          <w:lang w:val="uk-UA"/>
        </w:rPr>
        <w:t xml:space="preserve"> </w:t>
      </w:r>
      <w:r w:rsidRPr="006E5FF6">
        <w:rPr>
          <w:w w:val="105"/>
          <w:sz w:val="20"/>
          <w:szCs w:val="20"/>
          <w:lang w:val="uk-UA"/>
        </w:rPr>
        <w:t>ВІЛ</w:t>
      </w:r>
      <w:r w:rsidR="0041632D">
        <w:rPr>
          <w:w w:val="105"/>
          <w:sz w:val="20"/>
          <w:szCs w:val="20"/>
          <w:lang w:val="uk-UA"/>
        </w:rPr>
        <w:t xml:space="preserve"> </w:t>
      </w:r>
      <w:r w:rsidR="0041632D" w:rsidRPr="006E5FF6">
        <w:rPr>
          <w:w w:val="105"/>
          <w:sz w:val="20"/>
          <w:szCs w:val="20"/>
          <w:lang w:val="uk-UA"/>
        </w:rPr>
        <w:t>асоціювалася з незначним</w:t>
      </w:r>
      <w:r w:rsidR="0041632D">
        <w:rPr>
          <w:w w:val="105"/>
          <w:sz w:val="20"/>
          <w:szCs w:val="20"/>
          <w:lang w:val="uk-UA"/>
        </w:rPr>
        <w:t xml:space="preserve"> </w:t>
      </w:r>
      <w:r w:rsidR="0041632D" w:rsidRPr="006E5FF6">
        <w:rPr>
          <w:w w:val="105"/>
          <w:sz w:val="20"/>
          <w:szCs w:val="20"/>
          <w:lang w:val="uk-UA"/>
        </w:rPr>
        <w:t>зниженням 8-тижневої смертності (відношення ризиків: 0,93;</w:t>
      </w:r>
      <w:r w:rsidR="0041632D">
        <w:rPr>
          <w:w w:val="105"/>
          <w:sz w:val="20"/>
          <w:szCs w:val="20"/>
          <w:lang w:val="uk-UA"/>
        </w:rPr>
        <w:t xml:space="preserve"> </w:t>
      </w:r>
      <w:r w:rsidR="0041632D" w:rsidRPr="006E5FF6">
        <w:rPr>
          <w:w w:val="105"/>
          <w:sz w:val="20"/>
          <w:szCs w:val="20"/>
          <w:lang w:val="uk-UA"/>
        </w:rPr>
        <w:t>95%ДІ: 0,74-1,17). Скориговане відношення ризиків часу до постановки діагнозу у дорослих стаціонарних пацієнтів з ВІЛ становило 1,55 (95% ДІ: 1,29-1,87).</w:t>
      </w:r>
      <w:r w:rsidR="0041632D" w:rsidRPr="00C77168">
        <w:rPr>
          <w:spacing w:val="-9"/>
          <w:sz w:val="20"/>
          <w:szCs w:val="20"/>
          <w:lang w:val="uk-UA"/>
        </w:rPr>
        <w:t xml:space="preserve"> </w:t>
      </w:r>
      <w:r w:rsidR="0041632D" w:rsidRPr="00A62B0B">
        <w:rPr>
          <w:sz w:val="20"/>
          <w:szCs w:val="20"/>
          <w:lang w:val="uk-UA"/>
        </w:rPr>
        <w:t>Це означає, що учасники груп</w:t>
      </w:r>
      <w:r w:rsidR="0041632D">
        <w:rPr>
          <w:sz w:val="20"/>
          <w:szCs w:val="20"/>
          <w:lang w:val="uk-UA"/>
        </w:rPr>
        <w:t xml:space="preserve"> </w:t>
      </w:r>
      <w:r w:rsidR="0041632D" w:rsidRPr="00A62B0B">
        <w:rPr>
          <w:sz w:val="20"/>
          <w:szCs w:val="20"/>
          <w:lang w:val="uk-UA"/>
        </w:rPr>
        <w:t xml:space="preserve">інтервенції (тобто ті, хто одночасно проходив тестування за допомогою аТАНК-НС на зразках із дихальних шляхів та LF-LAM на зразках </w:t>
      </w:r>
    </w:p>
    <w:p w14:paraId="1EF6B2A9" w14:textId="77777777" w:rsidR="00E05B98" w:rsidRPr="00C77168" w:rsidRDefault="00E05B98" w:rsidP="00A62B0B">
      <w:pPr>
        <w:pStyle w:val="a3"/>
        <w:spacing w:line="269" w:lineRule="auto"/>
        <w:jc w:val="both"/>
        <w:rPr>
          <w:sz w:val="20"/>
          <w:szCs w:val="20"/>
          <w:lang w:val="uk-UA"/>
        </w:rPr>
        <w:sectPr w:rsidR="00E05B98" w:rsidRPr="00C77168" w:rsidSect="0041632D">
          <w:type w:val="continuous"/>
          <w:pgSz w:w="11910" w:h="16840"/>
          <w:pgMar w:top="1920" w:right="995" w:bottom="280" w:left="850" w:header="0" w:footer="573" w:gutter="0"/>
          <w:cols w:space="720"/>
        </w:sectPr>
      </w:pPr>
    </w:p>
    <w:p w14:paraId="7930C420" w14:textId="547BA9E0" w:rsidR="00E05B98" w:rsidRPr="00A62B0B" w:rsidRDefault="0041632D" w:rsidP="0041632D">
      <w:pPr>
        <w:pStyle w:val="a3"/>
        <w:spacing w:before="52" w:line="269" w:lineRule="auto"/>
        <w:ind w:left="567" w:right="130"/>
        <w:jc w:val="both"/>
        <w:rPr>
          <w:w w:val="105"/>
          <w:sz w:val="20"/>
          <w:szCs w:val="20"/>
          <w:lang w:val="uk-UA"/>
        </w:rPr>
      </w:pPr>
      <w:r w:rsidRPr="00A62B0B">
        <w:rPr>
          <w:sz w:val="20"/>
          <w:szCs w:val="20"/>
          <w:lang w:val="uk-UA"/>
        </w:rPr>
        <w:lastRenderedPageBreak/>
        <w:t xml:space="preserve">сечі) мали в 1,55 рази більше шансів отримати діагноз </w:t>
      </w:r>
      <w:r w:rsidR="00A62B0B" w:rsidRPr="00A62B0B">
        <w:rPr>
          <w:sz w:val="20"/>
          <w:szCs w:val="20"/>
          <w:lang w:val="uk-UA"/>
        </w:rPr>
        <w:t xml:space="preserve">ТБ протягом меншої кількості днів (відносне скорочення на 2 дні та 1 день до того ж дня), ніж учасники контрольної групи. Об'єднане відношення ризиків </w:t>
      </w:r>
      <w:r w:rsidR="00E8754E">
        <w:rPr>
          <w:sz w:val="20"/>
          <w:szCs w:val="20"/>
          <w:lang w:val="uk-UA"/>
        </w:rPr>
        <w:t xml:space="preserve">для </w:t>
      </w:r>
      <w:r w:rsidR="00A62B0B" w:rsidRPr="00A62B0B">
        <w:rPr>
          <w:sz w:val="20"/>
          <w:szCs w:val="20"/>
          <w:lang w:val="uk-UA"/>
        </w:rPr>
        <w:t>дорослих стаціонарних пацієнтів з ВІЛ-інфекцією з діагнозом ТБ становило 1,56 (95% ДІ: 1,29-1,88), що вказує на те, що в групі надання інтервенції ризик діагностування ТБ (як мікробіологічно підтвердженого, так і клінічно діагностованого) був у 1,56 раза вищим порівняно з наданням стандартного лікування, яке включало лише дослідження зразків мокротиння за допомогою аТАНК-НС.</w:t>
      </w:r>
      <w:r w:rsidR="00B01E0C" w:rsidRPr="00C77168">
        <w:rPr>
          <w:spacing w:val="-11"/>
          <w:sz w:val="20"/>
          <w:szCs w:val="20"/>
          <w:lang w:val="uk-UA"/>
        </w:rPr>
        <w:t xml:space="preserve"> </w:t>
      </w:r>
      <w:r w:rsidRPr="0041632D">
        <w:rPr>
          <w:sz w:val="20"/>
          <w:szCs w:val="20"/>
          <w:lang w:val="uk-UA"/>
        </w:rPr>
        <w:t xml:space="preserve">Об'єднаний коефіцієнт ризиків для дорослих стаціонарних пацієнтів з ВІЛ з бактеріологічно підтвердженим діагнозом ТБ становив 3,06 (95% ДІ: 1,82-5,16), що вказує на те, що в групі інтервенції ризики мікробіологічного підтвердження діагнозу ТБ був утричі вищим порівняно зі стандартним лікуванням. Нарешті, об'єднане відношення ризиків </w:t>
      </w:r>
      <w:r w:rsidR="00E8754E">
        <w:rPr>
          <w:sz w:val="20"/>
          <w:szCs w:val="20"/>
          <w:lang w:val="uk-UA"/>
        </w:rPr>
        <w:t xml:space="preserve">для </w:t>
      </w:r>
      <w:r w:rsidRPr="0041632D">
        <w:rPr>
          <w:sz w:val="20"/>
          <w:szCs w:val="20"/>
          <w:lang w:val="uk-UA"/>
        </w:rPr>
        <w:t>дорослих стаціонарних пацієнтів з ВІЛ, які отримували лікування від ТБ, становило 1,47 (95% ДІ: 1,25-1,73), що вказує на те, що в групі інтервенції ймовірність лікування ТБ була в 1,47 рази вищою порівняно зі стандартним лікуванням.</w:t>
      </w:r>
    </w:p>
    <w:p w14:paraId="5EE0EB72" w14:textId="12242473" w:rsidR="00E05B98" w:rsidRPr="003C6DAE" w:rsidRDefault="0041632D" w:rsidP="0041632D">
      <w:pPr>
        <w:pStyle w:val="7"/>
        <w:spacing w:before="198" w:line="250" w:lineRule="auto"/>
        <w:jc w:val="both"/>
        <w:rPr>
          <w:lang w:val="uk-UA"/>
        </w:rPr>
      </w:pPr>
      <w:r w:rsidRPr="0041632D">
        <w:rPr>
          <w:color w:val="019648"/>
          <w:lang w:val="uk-UA"/>
        </w:rPr>
        <w:t>Тестування одного зразка, взятого у людей, які живуть з ВІЛ, порівняно з мікробіологічним еталонним стандартом (MRS)</w:t>
      </w:r>
    </w:p>
    <w:p w14:paraId="75B55CF0" w14:textId="3F54A9EE" w:rsidR="00E05B98" w:rsidRPr="003C6DAE" w:rsidRDefault="0041632D" w:rsidP="0041632D">
      <w:pPr>
        <w:spacing w:before="238" w:line="250" w:lineRule="auto"/>
        <w:ind w:left="567"/>
        <w:jc w:val="both"/>
        <w:rPr>
          <w:rFonts w:ascii="Arial"/>
          <w:i/>
          <w:sz w:val="24"/>
          <w:lang w:val="uk-UA"/>
        </w:rPr>
      </w:pPr>
      <w:r w:rsidRPr="0041632D">
        <w:rPr>
          <w:rFonts w:ascii="Arial"/>
          <w:i/>
          <w:color w:val="019648"/>
          <w:sz w:val="24"/>
          <w:lang w:val="uk-UA"/>
        </w:rPr>
        <w:t>Чи</w:t>
      </w:r>
      <w:r w:rsidRPr="0041632D">
        <w:rPr>
          <w:rFonts w:ascii="Arial"/>
          <w:i/>
          <w:color w:val="019648"/>
          <w:sz w:val="24"/>
          <w:lang w:val="uk-UA"/>
        </w:rPr>
        <w:t xml:space="preserve"> </w:t>
      </w:r>
      <w:r w:rsidRPr="0041632D">
        <w:rPr>
          <w:rFonts w:ascii="Arial"/>
          <w:i/>
          <w:color w:val="019648"/>
          <w:sz w:val="24"/>
          <w:lang w:val="uk-UA"/>
        </w:rPr>
        <w:t>слід</w:t>
      </w:r>
      <w:r w:rsidRPr="0041632D">
        <w:rPr>
          <w:rFonts w:ascii="Arial"/>
          <w:i/>
          <w:color w:val="019648"/>
          <w:sz w:val="24"/>
          <w:lang w:val="uk-UA"/>
        </w:rPr>
        <w:t xml:space="preserve"> </w:t>
      </w:r>
      <w:r w:rsidRPr="0041632D">
        <w:rPr>
          <w:rFonts w:ascii="Arial"/>
          <w:i/>
          <w:color w:val="019648"/>
          <w:sz w:val="24"/>
          <w:lang w:val="uk-UA"/>
        </w:rPr>
        <w:t>використовувати</w:t>
      </w:r>
      <w:r w:rsidRPr="0041632D">
        <w:rPr>
          <w:rFonts w:ascii="Arial"/>
          <w:i/>
          <w:color w:val="019648"/>
          <w:sz w:val="24"/>
          <w:lang w:val="uk-UA"/>
        </w:rPr>
        <w:t xml:space="preserve"> </w:t>
      </w:r>
      <w:r w:rsidRPr="0041632D">
        <w:rPr>
          <w:rFonts w:ascii="Arial"/>
          <w:i/>
          <w:color w:val="019648"/>
          <w:sz w:val="24"/>
          <w:lang w:val="uk-UA"/>
        </w:rPr>
        <w:t>аТАНК</w:t>
      </w:r>
      <w:r w:rsidRPr="0041632D">
        <w:rPr>
          <w:rFonts w:ascii="Arial"/>
          <w:i/>
          <w:color w:val="019648"/>
          <w:sz w:val="24"/>
          <w:lang w:val="uk-UA"/>
        </w:rPr>
        <w:t>-</w:t>
      </w:r>
      <w:r w:rsidRPr="0041632D">
        <w:rPr>
          <w:rFonts w:ascii="Arial"/>
          <w:i/>
          <w:color w:val="019648"/>
          <w:sz w:val="24"/>
          <w:lang w:val="uk-UA"/>
        </w:rPr>
        <w:t>НС</w:t>
      </w:r>
      <w:r w:rsidRPr="0041632D">
        <w:rPr>
          <w:rFonts w:ascii="Arial"/>
          <w:i/>
          <w:color w:val="019648"/>
          <w:sz w:val="24"/>
          <w:lang w:val="uk-UA"/>
        </w:rPr>
        <w:t xml:space="preserve"> </w:t>
      </w:r>
      <w:r w:rsidRPr="0041632D">
        <w:rPr>
          <w:rFonts w:ascii="Arial"/>
          <w:i/>
          <w:color w:val="019648"/>
          <w:sz w:val="24"/>
          <w:lang w:val="uk-UA"/>
        </w:rPr>
        <w:t>на</w:t>
      </w:r>
      <w:r w:rsidRPr="0041632D">
        <w:rPr>
          <w:rFonts w:ascii="Arial"/>
          <w:i/>
          <w:color w:val="019648"/>
          <w:sz w:val="24"/>
          <w:lang w:val="uk-UA"/>
        </w:rPr>
        <w:t xml:space="preserve"> </w:t>
      </w:r>
      <w:r w:rsidRPr="0041632D">
        <w:rPr>
          <w:rFonts w:ascii="Arial"/>
          <w:i/>
          <w:color w:val="019648"/>
          <w:sz w:val="24"/>
          <w:lang w:val="uk-UA"/>
        </w:rPr>
        <w:t>зразках</w:t>
      </w:r>
      <w:r w:rsidRPr="0041632D">
        <w:rPr>
          <w:rFonts w:ascii="Arial"/>
          <w:i/>
          <w:color w:val="019648"/>
          <w:sz w:val="24"/>
          <w:lang w:val="uk-UA"/>
        </w:rPr>
        <w:t xml:space="preserve"> </w:t>
      </w:r>
      <w:r w:rsidR="00E8754E">
        <w:rPr>
          <w:rFonts w:ascii="Arial"/>
          <w:i/>
          <w:color w:val="019648"/>
          <w:sz w:val="24"/>
          <w:lang w:val="uk-UA"/>
        </w:rPr>
        <w:t>і</w:t>
      </w:r>
      <w:r w:rsidRPr="0041632D">
        <w:rPr>
          <w:rFonts w:ascii="Arial"/>
          <w:i/>
          <w:color w:val="019648"/>
          <w:sz w:val="24"/>
          <w:lang w:val="uk-UA"/>
        </w:rPr>
        <w:t>з</w:t>
      </w:r>
      <w:r w:rsidRPr="0041632D">
        <w:rPr>
          <w:rFonts w:ascii="Arial"/>
          <w:i/>
          <w:color w:val="019648"/>
          <w:sz w:val="24"/>
          <w:lang w:val="uk-UA"/>
        </w:rPr>
        <w:t xml:space="preserve"> </w:t>
      </w:r>
      <w:r w:rsidRPr="0041632D">
        <w:rPr>
          <w:rFonts w:ascii="Arial"/>
          <w:i/>
          <w:color w:val="019648"/>
          <w:sz w:val="24"/>
          <w:lang w:val="uk-UA"/>
        </w:rPr>
        <w:t>дихальних</w:t>
      </w:r>
      <w:r w:rsidRPr="0041632D">
        <w:rPr>
          <w:rFonts w:ascii="Arial"/>
          <w:i/>
          <w:color w:val="019648"/>
          <w:sz w:val="24"/>
          <w:lang w:val="uk-UA"/>
        </w:rPr>
        <w:t xml:space="preserve"> </w:t>
      </w:r>
      <w:r w:rsidRPr="0041632D">
        <w:rPr>
          <w:rFonts w:ascii="Arial"/>
          <w:i/>
          <w:color w:val="019648"/>
          <w:sz w:val="24"/>
          <w:lang w:val="uk-UA"/>
        </w:rPr>
        <w:t>шляхів</w:t>
      </w:r>
      <w:r w:rsidRPr="0041632D">
        <w:rPr>
          <w:rFonts w:ascii="Arial"/>
          <w:i/>
          <w:color w:val="019648"/>
          <w:sz w:val="24"/>
          <w:lang w:val="uk-UA"/>
        </w:rPr>
        <w:t xml:space="preserve"> </w:t>
      </w:r>
      <w:r w:rsidRPr="0041632D">
        <w:rPr>
          <w:rFonts w:ascii="Arial"/>
          <w:i/>
          <w:color w:val="019648"/>
          <w:sz w:val="24"/>
          <w:lang w:val="uk-UA"/>
        </w:rPr>
        <w:t>для</w:t>
      </w:r>
      <w:r w:rsidRPr="0041632D">
        <w:rPr>
          <w:rFonts w:ascii="Arial"/>
          <w:i/>
          <w:color w:val="019648"/>
          <w:sz w:val="24"/>
          <w:lang w:val="uk-UA"/>
        </w:rPr>
        <w:t xml:space="preserve"> </w:t>
      </w:r>
      <w:r w:rsidRPr="0041632D">
        <w:rPr>
          <w:rFonts w:ascii="Arial"/>
          <w:i/>
          <w:color w:val="019648"/>
          <w:sz w:val="24"/>
          <w:lang w:val="uk-UA"/>
        </w:rPr>
        <w:t>діагностики</w:t>
      </w:r>
      <w:r w:rsidRPr="0041632D">
        <w:rPr>
          <w:rFonts w:ascii="Arial"/>
          <w:i/>
          <w:color w:val="019648"/>
          <w:sz w:val="24"/>
          <w:lang w:val="uk-UA"/>
        </w:rPr>
        <w:t xml:space="preserve"> </w:t>
      </w:r>
      <w:r w:rsidRPr="0041632D">
        <w:rPr>
          <w:rFonts w:ascii="Arial"/>
          <w:i/>
          <w:color w:val="019648"/>
          <w:sz w:val="24"/>
          <w:lang w:val="uk-UA"/>
        </w:rPr>
        <w:t>ТБ</w:t>
      </w:r>
      <w:r w:rsidRPr="0041632D">
        <w:rPr>
          <w:rFonts w:ascii="Arial"/>
          <w:i/>
          <w:color w:val="019648"/>
          <w:sz w:val="24"/>
          <w:lang w:val="uk-UA"/>
        </w:rPr>
        <w:t xml:space="preserve"> </w:t>
      </w:r>
      <w:r w:rsidRPr="0041632D">
        <w:rPr>
          <w:rFonts w:ascii="Arial"/>
          <w:i/>
          <w:color w:val="019648"/>
          <w:sz w:val="24"/>
          <w:lang w:val="uk-UA"/>
        </w:rPr>
        <w:t>легень</w:t>
      </w:r>
      <w:r w:rsidRPr="0041632D">
        <w:rPr>
          <w:rFonts w:ascii="Arial"/>
          <w:i/>
          <w:color w:val="019648"/>
          <w:sz w:val="24"/>
          <w:lang w:val="uk-UA"/>
        </w:rPr>
        <w:t xml:space="preserve"> </w:t>
      </w:r>
      <w:r w:rsidRPr="0041632D">
        <w:rPr>
          <w:rFonts w:ascii="Arial"/>
          <w:i/>
          <w:color w:val="019648"/>
          <w:sz w:val="24"/>
          <w:lang w:val="uk-UA"/>
        </w:rPr>
        <w:t>у</w:t>
      </w:r>
      <w:r w:rsidRPr="0041632D">
        <w:rPr>
          <w:rFonts w:ascii="Arial"/>
          <w:i/>
          <w:color w:val="019648"/>
          <w:sz w:val="24"/>
          <w:lang w:val="uk-UA"/>
        </w:rPr>
        <w:t xml:space="preserve"> </w:t>
      </w:r>
      <w:r w:rsidRPr="0041632D">
        <w:rPr>
          <w:rFonts w:ascii="Arial"/>
          <w:i/>
          <w:color w:val="019648"/>
          <w:sz w:val="24"/>
          <w:lang w:val="uk-UA"/>
        </w:rPr>
        <w:t>людей</w:t>
      </w:r>
      <w:r w:rsidRPr="0041632D">
        <w:rPr>
          <w:rFonts w:ascii="Arial"/>
          <w:i/>
          <w:color w:val="019648"/>
          <w:sz w:val="24"/>
          <w:lang w:val="uk-UA"/>
        </w:rPr>
        <w:t xml:space="preserve">, </w:t>
      </w:r>
      <w:r w:rsidRPr="0041632D">
        <w:rPr>
          <w:rFonts w:ascii="Arial"/>
          <w:i/>
          <w:color w:val="019648"/>
          <w:sz w:val="24"/>
          <w:lang w:val="uk-UA"/>
        </w:rPr>
        <w:t>які</w:t>
      </w:r>
      <w:r w:rsidRPr="0041632D">
        <w:rPr>
          <w:rFonts w:ascii="Arial"/>
          <w:i/>
          <w:color w:val="019648"/>
          <w:sz w:val="24"/>
          <w:lang w:val="uk-UA"/>
        </w:rPr>
        <w:t xml:space="preserve"> </w:t>
      </w:r>
      <w:r w:rsidRPr="0041632D">
        <w:rPr>
          <w:rFonts w:ascii="Arial"/>
          <w:i/>
          <w:color w:val="019648"/>
          <w:sz w:val="24"/>
          <w:lang w:val="uk-UA"/>
        </w:rPr>
        <w:t>живуть</w:t>
      </w:r>
      <w:r w:rsidRPr="0041632D">
        <w:rPr>
          <w:rFonts w:ascii="Arial"/>
          <w:i/>
          <w:color w:val="019648"/>
          <w:sz w:val="24"/>
          <w:lang w:val="uk-UA"/>
        </w:rPr>
        <w:t xml:space="preserve"> </w:t>
      </w:r>
      <w:r w:rsidRPr="0041632D">
        <w:rPr>
          <w:rFonts w:ascii="Arial"/>
          <w:i/>
          <w:color w:val="019648"/>
          <w:sz w:val="24"/>
          <w:lang w:val="uk-UA"/>
        </w:rPr>
        <w:t>з</w:t>
      </w:r>
      <w:r w:rsidRPr="0041632D">
        <w:rPr>
          <w:rFonts w:ascii="Arial"/>
          <w:i/>
          <w:color w:val="019648"/>
          <w:sz w:val="24"/>
          <w:lang w:val="uk-UA"/>
        </w:rPr>
        <w:t xml:space="preserve"> </w:t>
      </w:r>
      <w:r w:rsidRPr="0041632D">
        <w:rPr>
          <w:rFonts w:ascii="Arial"/>
          <w:i/>
          <w:color w:val="019648"/>
          <w:sz w:val="24"/>
          <w:lang w:val="uk-UA"/>
        </w:rPr>
        <w:t>ВІЛ</w:t>
      </w:r>
      <w:r w:rsidRPr="0041632D">
        <w:rPr>
          <w:rFonts w:ascii="Arial"/>
          <w:i/>
          <w:color w:val="019648"/>
          <w:sz w:val="24"/>
          <w:lang w:val="uk-UA"/>
        </w:rPr>
        <w:t xml:space="preserve"> (</w:t>
      </w:r>
      <w:r w:rsidRPr="0041632D">
        <w:rPr>
          <w:rFonts w:ascii="Arial"/>
          <w:i/>
          <w:color w:val="019648"/>
          <w:sz w:val="24"/>
          <w:lang w:val="uk-UA"/>
        </w:rPr>
        <w:t>дорослих</w:t>
      </w:r>
      <w:r w:rsidRPr="0041632D">
        <w:rPr>
          <w:rFonts w:ascii="Arial"/>
          <w:i/>
          <w:color w:val="019648"/>
          <w:sz w:val="24"/>
          <w:lang w:val="uk-UA"/>
        </w:rPr>
        <w:t xml:space="preserve"> </w:t>
      </w:r>
      <w:r w:rsidRPr="0041632D">
        <w:rPr>
          <w:rFonts w:ascii="Arial"/>
          <w:i/>
          <w:color w:val="019648"/>
          <w:sz w:val="24"/>
          <w:lang w:val="uk-UA"/>
        </w:rPr>
        <w:t>та</w:t>
      </w:r>
      <w:r w:rsidRPr="0041632D">
        <w:rPr>
          <w:rFonts w:ascii="Arial"/>
          <w:i/>
          <w:color w:val="019648"/>
          <w:sz w:val="24"/>
          <w:lang w:val="uk-UA"/>
        </w:rPr>
        <w:t xml:space="preserve"> </w:t>
      </w:r>
      <w:r w:rsidRPr="0041632D">
        <w:rPr>
          <w:rFonts w:ascii="Arial"/>
          <w:i/>
          <w:color w:val="019648"/>
          <w:sz w:val="24"/>
          <w:lang w:val="uk-UA"/>
        </w:rPr>
        <w:t>підлітків</w:t>
      </w:r>
      <w:r w:rsidRPr="0041632D">
        <w:rPr>
          <w:rFonts w:ascii="Arial"/>
          <w:i/>
          <w:color w:val="019648"/>
          <w:sz w:val="24"/>
          <w:lang w:val="uk-UA"/>
        </w:rPr>
        <w:t xml:space="preserve">), </w:t>
      </w:r>
      <w:r w:rsidRPr="0041632D">
        <w:rPr>
          <w:rFonts w:ascii="Arial"/>
          <w:i/>
          <w:color w:val="019648"/>
          <w:sz w:val="24"/>
          <w:lang w:val="uk-UA"/>
        </w:rPr>
        <w:t>з</w:t>
      </w:r>
      <w:r w:rsidRPr="0041632D">
        <w:rPr>
          <w:rFonts w:ascii="Arial"/>
          <w:i/>
          <w:color w:val="019648"/>
          <w:sz w:val="24"/>
          <w:lang w:val="uk-UA"/>
        </w:rPr>
        <w:t xml:space="preserve"> </w:t>
      </w:r>
      <w:r w:rsidRPr="0041632D">
        <w:rPr>
          <w:rFonts w:ascii="Arial"/>
          <w:i/>
          <w:color w:val="019648"/>
          <w:sz w:val="24"/>
          <w:lang w:val="uk-UA"/>
        </w:rPr>
        <w:t>ознаками</w:t>
      </w:r>
      <w:r w:rsidRPr="0041632D">
        <w:rPr>
          <w:rFonts w:ascii="Arial"/>
          <w:i/>
          <w:color w:val="019648"/>
          <w:sz w:val="24"/>
          <w:lang w:val="uk-UA"/>
        </w:rPr>
        <w:t xml:space="preserve"> </w:t>
      </w:r>
      <w:r w:rsidRPr="0041632D">
        <w:rPr>
          <w:rFonts w:ascii="Arial"/>
          <w:i/>
          <w:color w:val="019648"/>
          <w:sz w:val="24"/>
          <w:lang w:val="uk-UA"/>
        </w:rPr>
        <w:t>та</w:t>
      </w:r>
      <w:r w:rsidRPr="0041632D">
        <w:rPr>
          <w:rFonts w:ascii="Arial"/>
          <w:i/>
          <w:color w:val="019648"/>
          <w:sz w:val="24"/>
          <w:lang w:val="uk-UA"/>
        </w:rPr>
        <w:t xml:space="preserve"> </w:t>
      </w:r>
      <w:r w:rsidRPr="0041632D">
        <w:rPr>
          <w:rFonts w:ascii="Arial"/>
          <w:i/>
          <w:color w:val="019648"/>
          <w:sz w:val="24"/>
          <w:lang w:val="uk-UA"/>
        </w:rPr>
        <w:t>симптомами</w:t>
      </w:r>
      <w:r w:rsidRPr="0041632D">
        <w:rPr>
          <w:rFonts w:ascii="Arial"/>
          <w:i/>
          <w:color w:val="019648"/>
          <w:sz w:val="24"/>
          <w:lang w:val="uk-UA"/>
        </w:rPr>
        <w:t xml:space="preserve"> </w:t>
      </w:r>
      <w:r w:rsidR="00E8754E">
        <w:rPr>
          <w:rFonts w:ascii="Arial"/>
          <w:i/>
          <w:color w:val="019648"/>
          <w:sz w:val="24"/>
          <w:lang w:val="uk-UA"/>
        </w:rPr>
        <w:t>ТБ</w:t>
      </w:r>
      <w:r w:rsidR="00E8754E">
        <w:rPr>
          <w:rFonts w:ascii="Arial"/>
          <w:i/>
          <w:color w:val="019648"/>
          <w:sz w:val="24"/>
          <w:lang w:val="uk-UA"/>
        </w:rPr>
        <w:t xml:space="preserve"> </w:t>
      </w:r>
      <w:r w:rsidRPr="0041632D">
        <w:rPr>
          <w:rFonts w:ascii="Arial"/>
          <w:i/>
          <w:color w:val="019648"/>
          <w:sz w:val="24"/>
          <w:lang w:val="uk-UA"/>
        </w:rPr>
        <w:t>або</w:t>
      </w:r>
      <w:r w:rsidRPr="0041632D">
        <w:rPr>
          <w:rFonts w:ascii="Arial"/>
          <w:i/>
          <w:color w:val="019648"/>
          <w:sz w:val="24"/>
          <w:lang w:val="uk-UA"/>
        </w:rPr>
        <w:t xml:space="preserve"> </w:t>
      </w:r>
      <w:r w:rsidRPr="0041632D">
        <w:rPr>
          <w:rFonts w:ascii="Arial"/>
          <w:i/>
          <w:color w:val="019648"/>
          <w:sz w:val="24"/>
          <w:lang w:val="uk-UA"/>
        </w:rPr>
        <w:t>з</w:t>
      </w:r>
      <w:r w:rsidRPr="0041632D">
        <w:rPr>
          <w:rFonts w:ascii="Arial"/>
          <w:i/>
          <w:color w:val="019648"/>
          <w:sz w:val="24"/>
          <w:lang w:val="uk-UA"/>
        </w:rPr>
        <w:t xml:space="preserve"> </w:t>
      </w:r>
      <w:r w:rsidRPr="0041632D">
        <w:rPr>
          <w:rFonts w:ascii="Arial"/>
          <w:i/>
          <w:color w:val="019648"/>
          <w:sz w:val="24"/>
          <w:lang w:val="uk-UA"/>
        </w:rPr>
        <w:t>позитивним</w:t>
      </w:r>
      <w:r w:rsidRPr="0041632D">
        <w:rPr>
          <w:rFonts w:ascii="Arial"/>
          <w:i/>
          <w:color w:val="019648"/>
          <w:sz w:val="24"/>
          <w:lang w:val="uk-UA"/>
        </w:rPr>
        <w:t xml:space="preserve"> </w:t>
      </w:r>
      <w:r w:rsidRPr="0041632D">
        <w:rPr>
          <w:rFonts w:ascii="Arial"/>
          <w:i/>
          <w:color w:val="019648"/>
          <w:sz w:val="24"/>
          <w:lang w:val="uk-UA"/>
        </w:rPr>
        <w:t>результатом</w:t>
      </w:r>
      <w:r w:rsidRPr="0041632D">
        <w:rPr>
          <w:rFonts w:ascii="Arial"/>
          <w:i/>
          <w:color w:val="019648"/>
          <w:sz w:val="24"/>
          <w:lang w:val="uk-UA"/>
        </w:rPr>
        <w:t xml:space="preserve"> </w:t>
      </w:r>
      <w:r w:rsidRPr="0041632D">
        <w:rPr>
          <w:rFonts w:ascii="Arial"/>
          <w:i/>
          <w:color w:val="019648"/>
          <w:sz w:val="24"/>
          <w:lang w:val="uk-UA"/>
        </w:rPr>
        <w:t>скринінгу</w:t>
      </w:r>
      <w:r w:rsidRPr="0041632D">
        <w:rPr>
          <w:rFonts w:ascii="Arial"/>
          <w:i/>
          <w:color w:val="019648"/>
          <w:sz w:val="24"/>
          <w:lang w:val="uk-UA"/>
        </w:rPr>
        <w:t xml:space="preserve"> </w:t>
      </w:r>
      <w:r w:rsidRPr="0041632D">
        <w:rPr>
          <w:rFonts w:ascii="Arial"/>
          <w:i/>
          <w:color w:val="019648"/>
          <w:sz w:val="24"/>
          <w:lang w:val="uk-UA"/>
        </w:rPr>
        <w:t>на</w:t>
      </w:r>
      <w:r w:rsidRPr="0041632D">
        <w:rPr>
          <w:rFonts w:ascii="Arial"/>
          <w:i/>
          <w:color w:val="019648"/>
          <w:sz w:val="24"/>
          <w:lang w:val="uk-UA"/>
        </w:rPr>
        <w:t xml:space="preserve"> </w:t>
      </w:r>
      <w:r w:rsidRPr="0041632D">
        <w:rPr>
          <w:rFonts w:ascii="Arial"/>
          <w:i/>
          <w:color w:val="019648"/>
          <w:sz w:val="24"/>
          <w:lang w:val="uk-UA"/>
        </w:rPr>
        <w:t>ТБ</w:t>
      </w:r>
      <w:r w:rsidRPr="0041632D">
        <w:rPr>
          <w:rFonts w:ascii="Arial"/>
          <w:i/>
          <w:color w:val="019648"/>
          <w:sz w:val="24"/>
          <w:lang w:val="uk-UA"/>
        </w:rPr>
        <w:t xml:space="preserve"> </w:t>
      </w:r>
      <w:r w:rsidRPr="0041632D">
        <w:rPr>
          <w:rFonts w:ascii="Arial"/>
          <w:i/>
          <w:color w:val="019648"/>
          <w:sz w:val="24"/>
          <w:lang w:val="uk-UA"/>
        </w:rPr>
        <w:t>легень</w:t>
      </w:r>
      <w:r w:rsidRPr="0041632D">
        <w:rPr>
          <w:rFonts w:ascii="Arial"/>
          <w:i/>
          <w:color w:val="019648"/>
          <w:sz w:val="24"/>
          <w:lang w:val="uk-UA"/>
        </w:rPr>
        <w:t xml:space="preserve"> </w:t>
      </w:r>
      <w:r w:rsidRPr="0041632D">
        <w:rPr>
          <w:rFonts w:ascii="Arial"/>
          <w:i/>
          <w:color w:val="019648"/>
          <w:sz w:val="24"/>
          <w:lang w:val="uk-UA"/>
        </w:rPr>
        <w:t>на</w:t>
      </w:r>
      <w:r w:rsidRPr="0041632D">
        <w:rPr>
          <w:rFonts w:ascii="Arial"/>
          <w:i/>
          <w:color w:val="019648"/>
          <w:sz w:val="24"/>
          <w:lang w:val="uk-UA"/>
        </w:rPr>
        <w:t xml:space="preserve"> </w:t>
      </w:r>
      <w:r w:rsidRPr="0041632D">
        <w:rPr>
          <w:rFonts w:ascii="Arial"/>
          <w:i/>
          <w:color w:val="019648"/>
          <w:sz w:val="24"/>
          <w:lang w:val="uk-UA"/>
        </w:rPr>
        <w:t>противагу</w:t>
      </w:r>
      <w:r w:rsidRPr="0041632D">
        <w:rPr>
          <w:rFonts w:ascii="Arial"/>
          <w:i/>
          <w:color w:val="019648"/>
          <w:sz w:val="24"/>
          <w:lang w:val="uk-UA"/>
        </w:rPr>
        <w:t xml:space="preserve"> </w:t>
      </w:r>
      <w:r w:rsidRPr="0041632D">
        <w:rPr>
          <w:rFonts w:ascii="Arial"/>
          <w:i/>
          <w:color w:val="019648"/>
          <w:sz w:val="24"/>
          <w:lang w:val="uk-UA"/>
        </w:rPr>
        <w:t>мікробіологічному</w:t>
      </w:r>
      <w:r w:rsidRPr="0041632D">
        <w:rPr>
          <w:rFonts w:ascii="Arial"/>
          <w:i/>
          <w:color w:val="019648"/>
          <w:sz w:val="24"/>
          <w:lang w:val="uk-UA"/>
        </w:rPr>
        <w:t xml:space="preserve"> </w:t>
      </w:r>
      <w:r w:rsidRPr="0041632D">
        <w:rPr>
          <w:rFonts w:ascii="Arial"/>
          <w:i/>
          <w:color w:val="019648"/>
          <w:sz w:val="24"/>
          <w:lang w:val="uk-UA"/>
        </w:rPr>
        <w:t>еталонному</w:t>
      </w:r>
      <w:r w:rsidRPr="0041632D">
        <w:rPr>
          <w:rFonts w:ascii="Arial"/>
          <w:i/>
          <w:color w:val="019648"/>
          <w:sz w:val="24"/>
          <w:lang w:val="uk-UA"/>
        </w:rPr>
        <w:t xml:space="preserve"> </w:t>
      </w:r>
      <w:r w:rsidRPr="0041632D">
        <w:rPr>
          <w:rFonts w:ascii="Arial"/>
          <w:i/>
          <w:color w:val="019648"/>
          <w:sz w:val="24"/>
          <w:lang w:val="uk-UA"/>
        </w:rPr>
        <w:t>стандарту</w:t>
      </w:r>
      <w:r w:rsidRPr="0041632D">
        <w:rPr>
          <w:rFonts w:ascii="Arial"/>
          <w:i/>
          <w:color w:val="019648"/>
          <w:sz w:val="24"/>
          <w:lang w:val="uk-UA"/>
        </w:rPr>
        <w:t>?</w:t>
      </w:r>
    </w:p>
    <w:p w14:paraId="49BB4BF0" w14:textId="2E0B456F" w:rsidR="00E05B98" w:rsidRPr="0041632D" w:rsidRDefault="0041632D" w:rsidP="0041632D">
      <w:pPr>
        <w:pStyle w:val="a3"/>
        <w:spacing w:before="218" w:line="269" w:lineRule="auto"/>
        <w:ind w:left="567" w:right="57"/>
        <w:jc w:val="both"/>
        <w:rPr>
          <w:sz w:val="20"/>
          <w:szCs w:val="20"/>
          <w:lang w:val="uk-UA"/>
        </w:rPr>
      </w:pPr>
      <w:r w:rsidRPr="0041632D">
        <w:rPr>
          <w:sz w:val="20"/>
          <w:szCs w:val="20"/>
          <w:lang w:val="uk-UA"/>
        </w:rPr>
        <w:t>У під час проведення 12 досліджень (2016 учасників) оцінювали зразки мокротиння, в</w:t>
      </w:r>
      <w:r w:rsidR="00E8754E">
        <w:rPr>
          <w:sz w:val="20"/>
          <w:szCs w:val="20"/>
          <w:lang w:val="uk-UA"/>
        </w:rPr>
        <w:t>з</w:t>
      </w:r>
      <w:r w:rsidRPr="0041632D">
        <w:rPr>
          <w:sz w:val="20"/>
          <w:szCs w:val="20"/>
          <w:lang w:val="uk-UA"/>
        </w:rPr>
        <w:t>ятих у людей, які живуть з ВІЛ (Рис. 2.3.1.2). Чутливість коливалася від 54% до 100%, а специфічність - від 78% до 100%. Сумарна чутливість (95% ДІ) становила 87,4% (від 83,8 до 90,3), а сумарна специфічність - 95,2% (від 92,7 до 96,9). Достовірність доказів як для чутливості, так і для специфічності була оцінена як «висока».</w:t>
      </w:r>
    </w:p>
    <w:p w14:paraId="315D0DA1" w14:textId="341046B3" w:rsidR="00E05B98" w:rsidRPr="0041632D" w:rsidRDefault="0041632D" w:rsidP="0041632D">
      <w:pPr>
        <w:pStyle w:val="6"/>
        <w:spacing w:before="240" w:line="249" w:lineRule="auto"/>
        <w:ind w:right="55"/>
        <w:rPr>
          <w:sz w:val="20"/>
          <w:szCs w:val="20"/>
          <w:lang w:val="uk-UA"/>
        </w:rPr>
      </w:pPr>
      <w:r>
        <w:rPr>
          <w:color w:val="636466"/>
          <w:sz w:val="20"/>
          <w:szCs w:val="20"/>
          <w:lang w:val="uk-UA"/>
        </w:rPr>
        <w:t>Рис</w:t>
      </w:r>
      <w:r w:rsidR="00B01E0C" w:rsidRPr="0041632D">
        <w:rPr>
          <w:color w:val="636466"/>
          <w:sz w:val="20"/>
          <w:szCs w:val="20"/>
          <w:lang w:val="uk-UA"/>
        </w:rPr>
        <w:t>.</w:t>
      </w:r>
      <w:r w:rsidR="00B01E0C" w:rsidRPr="0041632D">
        <w:rPr>
          <w:color w:val="636466"/>
          <w:spacing w:val="-12"/>
          <w:sz w:val="20"/>
          <w:szCs w:val="20"/>
          <w:lang w:val="uk-UA"/>
        </w:rPr>
        <w:t xml:space="preserve"> </w:t>
      </w:r>
      <w:r w:rsidR="00B01E0C" w:rsidRPr="0041632D">
        <w:rPr>
          <w:color w:val="636466"/>
          <w:sz w:val="20"/>
          <w:szCs w:val="20"/>
          <w:lang w:val="uk-UA"/>
        </w:rPr>
        <w:t>2.3.1.2</w:t>
      </w:r>
      <w:r w:rsidR="00B01E0C" w:rsidRPr="0041632D">
        <w:rPr>
          <w:color w:val="636466"/>
          <w:spacing w:val="-12"/>
          <w:sz w:val="20"/>
          <w:szCs w:val="20"/>
          <w:lang w:val="uk-UA"/>
        </w:rPr>
        <w:t xml:space="preserve"> </w:t>
      </w:r>
      <w:r w:rsidR="00793D30">
        <w:rPr>
          <w:color w:val="636466"/>
          <w:spacing w:val="-12"/>
          <w:sz w:val="20"/>
          <w:szCs w:val="20"/>
          <w:lang w:val="uk-UA"/>
        </w:rPr>
        <w:t xml:space="preserve"> </w:t>
      </w:r>
      <w:r w:rsidR="00793D30" w:rsidRPr="00793D30">
        <w:rPr>
          <w:color w:val="636466"/>
          <w:sz w:val="20"/>
          <w:szCs w:val="20"/>
          <w:lang w:val="uk-UA"/>
        </w:rPr>
        <w:t xml:space="preserve">Лісова діаграми чутливості та специфічності аТАНК-НС для виявлення ТБ легень у </w:t>
      </w:r>
      <w:r w:rsidR="00793D30" w:rsidRPr="00793D30">
        <w:rPr>
          <w:color w:val="636466"/>
          <w:sz w:val="20"/>
          <w:szCs w:val="20"/>
          <w:u w:val="single"/>
          <w:lang w:val="uk-UA"/>
        </w:rPr>
        <w:t>ЛЖВ</w:t>
      </w:r>
      <w:r w:rsidR="00793D30" w:rsidRPr="00793D30">
        <w:rPr>
          <w:color w:val="636466"/>
          <w:sz w:val="20"/>
          <w:szCs w:val="20"/>
          <w:lang w:val="uk-UA"/>
        </w:rPr>
        <w:t xml:space="preserve"> з використанням мікробіологічного еталонного стандарту</w:t>
      </w:r>
    </w:p>
    <w:p w14:paraId="59E0B25A" w14:textId="77777777" w:rsidR="00E05B98" w:rsidRPr="003C6DAE" w:rsidRDefault="00E05B98" w:rsidP="0041632D">
      <w:pPr>
        <w:pStyle w:val="6"/>
        <w:spacing w:line="249" w:lineRule="auto"/>
        <w:ind w:right="55"/>
        <w:rPr>
          <w:lang w:val="uk-UA"/>
        </w:rPr>
        <w:sectPr w:rsidR="00E05B98" w:rsidRPr="003C6DAE" w:rsidSect="0041632D">
          <w:pgSz w:w="11910" w:h="16840"/>
          <w:pgMar w:top="1320" w:right="995" w:bottom="760" w:left="850" w:header="0" w:footer="573" w:gutter="0"/>
          <w:cols w:space="720"/>
        </w:sectPr>
      </w:pPr>
    </w:p>
    <w:p w14:paraId="51868D74" w14:textId="77777777" w:rsidR="00E05B98" w:rsidRPr="003C6DAE" w:rsidRDefault="00E05B98">
      <w:pPr>
        <w:pStyle w:val="a3"/>
        <w:spacing w:before="3"/>
        <w:rPr>
          <w:rFonts w:ascii="Trebuchet MS"/>
          <w:sz w:val="9"/>
          <w:lang w:val="uk-UA"/>
        </w:rPr>
      </w:pPr>
    </w:p>
    <w:p w14:paraId="31ED8D8F" w14:textId="2EC01FF6" w:rsidR="00E05B98" w:rsidRPr="003C6DAE" w:rsidRDefault="00793D30">
      <w:pPr>
        <w:pStyle w:val="a3"/>
        <w:spacing w:before="3"/>
        <w:rPr>
          <w:rFonts w:ascii="Trebuchet MS"/>
          <w:sz w:val="9"/>
          <w:lang w:val="uk-UA"/>
        </w:rPr>
      </w:pPr>
      <w:r w:rsidRPr="003C6DAE">
        <w:rPr>
          <w:rFonts w:ascii="Arial"/>
          <w:b/>
          <w:noProof/>
          <w:sz w:val="24"/>
          <w:lang w:val="uk-UA"/>
        </w:rPr>
        <mc:AlternateContent>
          <mc:Choice Requires="wps">
            <w:drawing>
              <wp:anchor distT="0" distB="0" distL="114300" distR="114300" simplePos="0" relativeHeight="488138240" behindDoc="0" locked="0" layoutInCell="1" allowOverlap="1" wp14:anchorId="39517E18" wp14:editId="1B96FF61">
                <wp:simplePos x="0" y="0"/>
                <wp:positionH relativeFrom="margin">
                  <wp:posOffset>170312</wp:posOffset>
                </wp:positionH>
                <wp:positionV relativeFrom="paragraph">
                  <wp:posOffset>5055</wp:posOffset>
                </wp:positionV>
                <wp:extent cx="6273579" cy="225796"/>
                <wp:effectExtent l="0" t="0" r="0" b="3175"/>
                <wp:wrapNone/>
                <wp:docPr id="1652081633" name="Поле 1652081633"/>
                <wp:cNvGraphicFramePr/>
                <a:graphic xmlns:a="http://schemas.openxmlformats.org/drawingml/2006/main">
                  <a:graphicData uri="http://schemas.microsoft.com/office/word/2010/wordprocessingShape">
                    <wps:wsp>
                      <wps:cNvSpPr txBox="1"/>
                      <wps:spPr>
                        <a:xfrm>
                          <a:off x="0" y="0"/>
                          <a:ext cx="6273579" cy="225796"/>
                        </a:xfrm>
                        <a:prstGeom prst="rect">
                          <a:avLst/>
                        </a:prstGeom>
                        <a:solidFill>
                          <a:schemeClr val="bg1"/>
                        </a:solidFill>
                        <a:ln w="6350">
                          <a:noFill/>
                        </a:ln>
                      </wps:spPr>
                      <wps:txbx>
                        <w:txbxContent>
                          <w:p w14:paraId="7200CF94" w14:textId="06ED0C3C" w:rsidR="007372B2" w:rsidRPr="00793D30" w:rsidRDefault="007372B2" w:rsidP="00793D30">
                            <w:pPr>
                              <w:ind w:left="2160" w:hanging="2018"/>
                              <w:rPr>
                                <w:rFonts w:asciiTheme="minorHAnsi" w:hAnsiTheme="minorHAnsi" w:cstheme="minorHAnsi"/>
                                <w:b/>
                                <w:sz w:val="14"/>
                                <w:szCs w:val="14"/>
                                <w:lang w:val="uk-UA"/>
                              </w:rPr>
                            </w:pPr>
                            <w:r w:rsidRPr="00793D30">
                              <w:rPr>
                                <w:rFonts w:asciiTheme="minorHAnsi" w:hAnsiTheme="minorHAnsi" w:cstheme="minorHAnsi"/>
                                <w:b/>
                                <w:sz w:val="14"/>
                                <w:szCs w:val="14"/>
                                <w:lang w:val="uk-UA"/>
                              </w:rPr>
                              <w:t xml:space="preserve">Дослідження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TP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FP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FN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TN    </w:t>
                            </w:r>
                            <w:r>
                              <w:rPr>
                                <w:rFonts w:asciiTheme="minorHAnsi" w:hAnsiTheme="minorHAnsi" w:cstheme="minorHAnsi"/>
                                <w:b/>
                                <w:sz w:val="14"/>
                                <w:szCs w:val="14"/>
                                <w:lang w:val="uk-UA"/>
                              </w:rPr>
                              <w:t xml:space="preserve">           Бренд тесту       </w:t>
                            </w:r>
                            <w:r w:rsidRPr="00793D30">
                              <w:rPr>
                                <w:rFonts w:asciiTheme="minorHAnsi" w:hAnsiTheme="minorHAnsi" w:cstheme="minorHAnsi"/>
                                <w:b/>
                                <w:sz w:val="14"/>
                                <w:szCs w:val="14"/>
                                <w:lang w:val="uk-UA"/>
                              </w:rPr>
                              <w:t xml:space="preserve">Чутливість (95% ДІ)  Специфічність (95% ДІ)  </w:t>
                            </w:r>
                            <w:r w:rsidRPr="00793D30">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 </w:t>
                            </w:r>
                            <w:r w:rsidRPr="00793D30">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lang w:val="uk-UA"/>
                              </w:rPr>
                              <w:t>Специфічність (95% ДІ)</w:t>
                            </w:r>
                            <w:r w:rsidRPr="00793D30">
                              <w:rPr>
                                <w:rFonts w:asciiTheme="minorHAnsi" w:hAnsiTheme="minorHAnsi" w:cstheme="minorHAnsi"/>
                                <w:b/>
                                <w:sz w:val="14"/>
                                <w:szCs w:val="14"/>
                              </w:rPr>
                              <w:t xml:space="preserve">          </w:t>
                            </w:r>
                            <w:r w:rsidRPr="00793D30">
                              <w:rPr>
                                <w:rFonts w:asciiTheme="minorHAnsi" w:hAnsiTheme="minorHAnsi" w:cstheme="minorHAnsi"/>
                                <w:b/>
                                <w:sz w:val="14"/>
                                <w:szCs w:val="14"/>
                                <w:lang w:val="uk-UA"/>
                              </w:rPr>
                              <w:t xml:space="preserve">                     </w:t>
                            </w:r>
                          </w:p>
                          <w:p w14:paraId="242844CC" w14:textId="77777777" w:rsidR="007372B2" w:rsidRPr="00014B97" w:rsidRDefault="007372B2" w:rsidP="00793D30">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17E18" id="Поле 1652081633" o:spid="_x0000_s1119" type="#_x0000_t202" style="position:absolute;margin-left:13.4pt;margin-top:.4pt;width:494pt;height:17.8pt;z-index:48813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" fillcolor="white [3212]" stroked="f" strokeweight=".5pt">
                <v:textbox>
                  <w:txbxContent>
                    <w:p w14:paraId="7200CF94" w14:textId="06ED0C3C" w:rsidR="007372B2" w:rsidRPr="00793D30" w:rsidRDefault="007372B2" w:rsidP="00793D30">
                      <w:pPr>
                        <w:ind w:left="2160" w:hanging="2018"/>
                        <w:rPr>
                          <w:rFonts w:asciiTheme="minorHAnsi" w:hAnsiTheme="minorHAnsi" w:cstheme="minorHAnsi"/>
                          <w:b/>
                          <w:sz w:val="14"/>
                          <w:szCs w:val="14"/>
                          <w:lang w:val="uk-UA"/>
                        </w:rPr>
                      </w:pPr>
                      <w:r w:rsidRPr="00793D30">
                        <w:rPr>
                          <w:rFonts w:asciiTheme="minorHAnsi" w:hAnsiTheme="minorHAnsi" w:cstheme="minorHAnsi"/>
                          <w:b/>
                          <w:sz w:val="14"/>
                          <w:szCs w:val="14"/>
                          <w:lang w:val="uk-UA"/>
                        </w:rPr>
                        <w:t xml:space="preserve">Дослідження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TP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FP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FN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TN    </w:t>
                      </w:r>
                      <w:r>
                        <w:rPr>
                          <w:rFonts w:asciiTheme="minorHAnsi" w:hAnsiTheme="minorHAnsi" w:cstheme="minorHAnsi"/>
                          <w:b/>
                          <w:sz w:val="14"/>
                          <w:szCs w:val="14"/>
                          <w:lang w:val="uk-UA"/>
                        </w:rPr>
                        <w:t xml:space="preserve">           Бренд тесту       </w:t>
                      </w:r>
                      <w:r w:rsidRPr="00793D30">
                        <w:rPr>
                          <w:rFonts w:asciiTheme="minorHAnsi" w:hAnsiTheme="minorHAnsi" w:cstheme="minorHAnsi"/>
                          <w:b/>
                          <w:sz w:val="14"/>
                          <w:szCs w:val="14"/>
                          <w:lang w:val="uk-UA"/>
                        </w:rPr>
                        <w:t xml:space="preserve">Чутливість (95% ДІ)  Специфічність (95% ДІ)  </w:t>
                      </w:r>
                      <w:r w:rsidRPr="00793D30">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 </w:t>
                      </w:r>
                      <w:r w:rsidRPr="00793D30">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lang w:val="uk-UA"/>
                        </w:rPr>
                        <w:t>Специфічність (95% ДІ)</w:t>
                      </w:r>
                      <w:r w:rsidRPr="00793D30">
                        <w:rPr>
                          <w:rFonts w:asciiTheme="minorHAnsi" w:hAnsiTheme="minorHAnsi" w:cstheme="minorHAnsi"/>
                          <w:b/>
                          <w:sz w:val="14"/>
                          <w:szCs w:val="14"/>
                        </w:rPr>
                        <w:t xml:space="preserve">          </w:t>
                      </w:r>
                      <w:r w:rsidRPr="00793D30">
                        <w:rPr>
                          <w:rFonts w:asciiTheme="minorHAnsi" w:hAnsiTheme="minorHAnsi" w:cstheme="minorHAnsi"/>
                          <w:b/>
                          <w:sz w:val="14"/>
                          <w:szCs w:val="14"/>
                          <w:lang w:val="uk-UA"/>
                        </w:rPr>
                        <w:t xml:space="preserve">                     </w:t>
                      </w:r>
                    </w:p>
                    <w:p w14:paraId="242844CC" w14:textId="77777777" w:rsidR="007372B2" w:rsidRPr="00014B97" w:rsidRDefault="007372B2" w:rsidP="00793D30">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v:textbox>
                <w10:wrap anchorx="margin"/>
              </v:shape>
            </w:pict>
          </mc:Fallback>
        </mc:AlternateContent>
      </w:r>
    </w:p>
    <w:p w14:paraId="015C6871" w14:textId="4BEA2865" w:rsidR="00E05B98" w:rsidRPr="003C6DAE" w:rsidRDefault="00E05B98">
      <w:pPr>
        <w:pStyle w:val="a3"/>
        <w:spacing w:before="3"/>
        <w:rPr>
          <w:rFonts w:ascii="Trebuchet MS"/>
          <w:sz w:val="9"/>
          <w:lang w:val="uk-UA"/>
        </w:rPr>
      </w:pPr>
    </w:p>
    <w:p w14:paraId="511F6116" w14:textId="6813D416" w:rsidR="00E05B98" w:rsidRPr="003C6DAE" w:rsidRDefault="00793D30">
      <w:pPr>
        <w:pStyle w:val="a3"/>
        <w:spacing w:before="3"/>
        <w:rPr>
          <w:rFonts w:ascii="Trebuchet MS"/>
          <w:sz w:val="9"/>
          <w:lang w:val="uk-UA"/>
        </w:rPr>
      </w:pPr>
      <w:r>
        <w:rPr>
          <w:rFonts w:ascii="Trebuchet MS"/>
          <w:noProof/>
          <w:sz w:val="9"/>
          <w:lang w:val="uk-UA"/>
        </w:rPr>
        <mc:AlternateContent>
          <mc:Choice Requires="wps">
            <w:drawing>
              <wp:anchor distT="0" distB="0" distL="114300" distR="114300" simplePos="0" relativeHeight="488135168" behindDoc="0" locked="0" layoutInCell="1" allowOverlap="1" wp14:anchorId="2CA05641" wp14:editId="5E1BF0D9">
                <wp:simplePos x="0" y="0"/>
                <wp:positionH relativeFrom="margin">
                  <wp:align>right</wp:align>
                </wp:positionH>
                <wp:positionV relativeFrom="paragraph">
                  <wp:posOffset>49712</wp:posOffset>
                </wp:positionV>
                <wp:extent cx="6106298" cy="1579830"/>
                <wp:effectExtent l="0" t="0" r="8890" b="1905"/>
                <wp:wrapNone/>
                <wp:docPr id="568900284" name="Поле 2252"/>
                <wp:cNvGraphicFramePr/>
                <a:graphic xmlns:a="http://schemas.openxmlformats.org/drawingml/2006/main">
                  <a:graphicData uri="http://schemas.microsoft.com/office/word/2010/wordprocessingShape">
                    <wps:wsp>
                      <wps:cNvSpPr txBox="1"/>
                      <wps:spPr>
                        <a:xfrm>
                          <a:off x="0" y="0"/>
                          <a:ext cx="6106298" cy="1579830"/>
                        </a:xfrm>
                        <a:prstGeom prst="rect">
                          <a:avLst/>
                        </a:prstGeom>
                        <a:solidFill>
                          <a:schemeClr val="lt1"/>
                        </a:solidFill>
                        <a:ln w="6350">
                          <a:noFill/>
                        </a:ln>
                      </wps:spPr>
                      <wps:txbx>
                        <w:txbxContent>
                          <w:p w14:paraId="382CE122" w14:textId="42B7C6E8" w:rsidR="007372B2" w:rsidRPr="00793D30" w:rsidRDefault="007372B2">
                            <w:pPr>
                              <w:rPr>
                                <w:lang w:val="uk-UA"/>
                              </w:rPr>
                            </w:pPr>
                            <w:r>
                              <w:rPr>
                                <w:noProof/>
                              </w:rPr>
                              <w:drawing>
                                <wp:inline distT="0" distB="0" distL="0" distR="0" wp14:anchorId="1F569B7C" wp14:editId="19D13825">
                                  <wp:extent cx="5959370" cy="1480820"/>
                                  <wp:effectExtent l="0" t="0" r="3810" b="5080"/>
                                  <wp:docPr id="11446600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60097" name=""/>
                                          <pic:cNvPicPr/>
                                        </pic:nvPicPr>
                                        <pic:blipFill>
                                          <a:blip r:embed="rId101"/>
                                          <a:stretch>
                                            <a:fillRect/>
                                          </a:stretch>
                                        </pic:blipFill>
                                        <pic:spPr>
                                          <a:xfrm>
                                            <a:off x="0" y="0"/>
                                            <a:ext cx="6013121" cy="14941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A05641" id="Поле 2252" o:spid="_x0000_s1120" type="#_x0000_t202" style="position:absolute;margin-left:429.6pt;margin-top:3.9pt;width:480.8pt;height:124.4pt;z-index:4881351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" fillcolor="white [3201]" stroked="f" strokeweight=".5pt">
                <v:textbox>
                  <w:txbxContent>
                    <w:p w14:paraId="382CE122" w14:textId="42B7C6E8" w:rsidR="007372B2" w:rsidRPr="00793D30" w:rsidRDefault="007372B2">
                      <w:pPr>
                        <w:rPr>
                          <w:lang w:val="uk-UA"/>
                        </w:rPr>
                      </w:pPr>
                      <w:r>
                        <w:rPr>
                          <w:noProof/>
                        </w:rPr>
                        <w:drawing>
                          <wp:inline distT="0" distB="0" distL="0" distR="0" wp14:anchorId="1F569B7C" wp14:editId="19D13825">
                            <wp:extent cx="5959370" cy="1480820"/>
                            <wp:effectExtent l="0" t="0" r="3810" b="5080"/>
                            <wp:docPr id="11446600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60097" name=""/>
                                    <pic:cNvPicPr/>
                                  </pic:nvPicPr>
                                  <pic:blipFill>
                                    <a:blip r:embed="rId101"/>
                                    <a:stretch>
                                      <a:fillRect/>
                                    </a:stretch>
                                  </pic:blipFill>
                                  <pic:spPr>
                                    <a:xfrm>
                                      <a:off x="0" y="0"/>
                                      <a:ext cx="6013121" cy="1494176"/>
                                    </a:xfrm>
                                    <a:prstGeom prst="rect">
                                      <a:avLst/>
                                    </a:prstGeom>
                                  </pic:spPr>
                                </pic:pic>
                              </a:graphicData>
                            </a:graphic>
                          </wp:inline>
                        </w:drawing>
                      </w:r>
                    </w:p>
                  </w:txbxContent>
                </v:textbox>
                <w10:wrap anchorx="margin"/>
              </v:shape>
            </w:pict>
          </mc:Fallback>
        </mc:AlternateContent>
      </w:r>
    </w:p>
    <w:p w14:paraId="3BDC5F03" w14:textId="3D7D4D58" w:rsidR="00E05B98" w:rsidRPr="003C6DAE" w:rsidRDefault="00E05B98">
      <w:pPr>
        <w:pStyle w:val="a3"/>
        <w:spacing w:before="3"/>
        <w:rPr>
          <w:rFonts w:ascii="Trebuchet MS"/>
          <w:sz w:val="9"/>
          <w:lang w:val="uk-UA"/>
        </w:rPr>
      </w:pPr>
    </w:p>
    <w:p w14:paraId="1035C91D" w14:textId="3F8364D5" w:rsidR="00E05B98" w:rsidRPr="003C6DAE" w:rsidRDefault="00E05B98">
      <w:pPr>
        <w:pStyle w:val="a3"/>
        <w:spacing w:before="156"/>
        <w:rPr>
          <w:rFonts w:ascii="Trebuchet MS"/>
          <w:sz w:val="17"/>
          <w:lang w:val="uk-UA"/>
        </w:rPr>
      </w:pPr>
    </w:p>
    <w:p w14:paraId="26B0EE67" w14:textId="77777777" w:rsidR="00E05B98" w:rsidRDefault="00E05B98" w:rsidP="00793D30">
      <w:pPr>
        <w:ind w:left="86"/>
        <w:rPr>
          <w:rFonts w:ascii="Trebuchet MS"/>
          <w:w w:val="80"/>
          <w:sz w:val="17"/>
          <w:lang w:val="uk-UA"/>
        </w:rPr>
      </w:pPr>
    </w:p>
    <w:p w14:paraId="37AF115A" w14:textId="77777777" w:rsidR="00793D30" w:rsidRDefault="00793D30" w:rsidP="00793D30">
      <w:pPr>
        <w:ind w:left="86"/>
        <w:rPr>
          <w:rFonts w:ascii="Trebuchet MS"/>
          <w:w w:val="80"/>
          <w:sz w:val="17"/>
          <w:lang w:val="uk-UA"/>
        </w:rPr>
      </w:pPr>
    </w:p>
    <w:p w14:paraId="00A39109" w14:textId="77777777" w:rsidR="00793D30" w:rsidRDefault="00793D30" w:rsidP="00793D30">
      <w:pPr>
        <w:ind w:left="86"/>
        <w:rPr>
          <w:rFonts w:ascii="Trebuchet MS"/>
          <w:w w:val="80"/>
          <w:sz w:val="17"/>
          <w:lang w:val="uk-UA"/>
        </w:rPr>
      </w:pPr>
    </w:p>
    <w:p w14:paraId="76DBE22D" w14:textId="77777777" w:rsidR="00793D30" w:rsidRDefault="00793D30" w:rsidP="00793D30">
      <w:pPr>
        <w:ind w:left="86"/>
        <w:rPr>
          <w:rFonts w:ascii="Trebuchet MS"/>
          <w:w w:val="80"/>
          <w:sz w:val="17"/>
          <w:lang w:val="uk-UA"/>
        </w:rPr>
      </w:pPr>
    </w:p>
    <w:p w14:paraId="2660B6AD" w14:textId="77777777" w:rsidR="00793D30" w:rsidRDefault="00793D30" w:rsidP="00793D30">
      <w:pPr>
        <w:ind w:left="86"/>
        <w:rPr>
          <w:rFonts w:ascii="Trebuchet MS"/>
          <w:w w:val="80"/>
          <w:sz w:val="17"/>
          <w:lang w:val="uk-UA"/>
        </w:rPr>
      </w:pPr>
    </w:p>
    <w:p w14:paraId="09FF9BDB" w14:textId="77777777" w:rsidR="00793D30" w:rsidRDefault="00793D30" w:rsidP="00793D30">
      <w:pPr>
        <w:ind w:left="86"/>
        <w:rPr>
          <w:rFonts w:ascii="Trebuchet MS"/>
          <w:w w:val="80"/>
          <w:sz w:val="17"/>
          <w:lang w:val="uk-UA"/>
        </w:rPr>
      </w:pPr>
    </w:p>
    <w:p w14:paraId="73215029" w14:textId="77777777" w:rsidR="00793D30" w:rsidRDefault="00793D30" w:rsidP="00793D30">
      <w:pPr>
        <w:ind w:left="86"/>
        <w:rPr>
          <w:rFonts w:ascii="Trebuchet MS"/>
          <w:w w:val="80"/>
          <w:sz w:val="17"/>
          <w:lang w:val="uk-UA"/>
        </w:rPr>
      </w:pPr>
    </w:p>
    <w:p w14:paraId="7267F81B" w14:textId="77777777" w:rsidR="00793D30" w:rsidRDefault="00793D30" w:rsidP="00793D30">
      <w:pPr>
        <w:ind w:left="86"/>
        <w:rPr>
          <w:rFonts w:ascii="Trebuchet MS"/>
          <w:w w:val="80"/>
          <w:sz w:val="17"/>
          <w:lang w:val="uk-UA"/>
        </w:rPr>
      </w:pPr>
    </w:p>
    <w:p w14:paraId="158F7B1D" w14:textId="77777777" w:rsidR="00793D30" w:rsidRDefault="00793D30" w:rsidP="00793D30">
      <w:pPr>
        <w:ind w:left="86"/>
        <w:rPr>
          <w:rFonts w:ascii="Trebuchet MS"/>
          <w:w w:val="80"/>
          <w:sz w:val="17"/>
          <w:lang w:val="uk-UA"/>
        </w:rPr>
      </w:pPr>
    </w:p>
    <w:p w14:paraId="1982C7FF" w14:textId="77777777" w:rsidR="00793D30" w:rsidRDefault="00793D30" w:rsidP="00793D30">
      <w:pPr>
        <w:ind w:left="86"/>
        <w:rPr>
          <w:rFonts w:ascii="Trebuchet MS"/>
          <w:w w:val="80"/>
          <w:sz w:val="17"/>
          <w:lang w:val="uk-UA"/>
        </w:rPr>
      </w:pPr>
    </w:p>
    <w:p w14:paraId="1A1EBD1D" w14:textId="77777777" w:rsidR="00793D30" w:rsidRDefault="00793D30" w:rsidP="00793D30">
      <w:pPr>
        <w:ind w:left="86"/>
        <w:rPr>
          <w:rFonts w:ascii="Trebuchet MS"/>
          <w:w w:val="80"/>
          <w:sz w:val="17"/>
          <w:lang w:val="uk-UA"/>
        </w:rPr>
      </w:pPr>
    </w:p>
    <w:p w14:paraId="304D1345" w14:textId="77777777" w:rsidR="00793D30" w:rsidRDefault="00793D30" w:rsidP="00793D30">
      <w:pPr>
        <w:ind w:left="86"/>
        <w:rPr>
          <w:rFonts w:ascii="Trebuchet MS"/>
          <w:w w:val="80"/>
          <w:sz w:val="17"/>
          <w:lang w:val="uk-UA"/>
        </w:rPr>
      </w:pPr>
    </w:p>
    <w:p w14:paraId="6221E9A7" w14:textId="77777777" w:rsidR="00793D30" w:rsidRDefault="00793D30" w:rsidP="00793D30">
      <w:pPr>
        <w:ind w:left="86"/>
        <w:rPr>
          <w:rFonts w:ascii="Trebuchet MS"/>
          <w:w w:val="80"/>
          <w:sz w:val="17"/>
          <w:lang w:val="uk-UA"/>
        </w:rPr>
      </w:pPr>
    </w:p>
    <w:p w14:paraId="06B01C68" w14:textId="77777777" w:rsidR="00793D30" w:rsidRDefault="00793D30" w:rsidP="00793D30">
      <w:pPr>
        <w:ind w:left="86"/>
        <w:rPr>
          <w:rFonts w:ascii="Trebuchet MS"/>
          <w:w w:val="80"/>
          <w:sz w:val="17"/>
          <w:lang w:val="uk-UA"/>
        </w:rPr>
      </w:pPr>
    </w:p>
    <w:p w14:paraId="51198BA8" w14:textId="77777777" w:rsidR="00793D30" w:rsidRDefault="00793D30" w:rsidP="00793D30">
      <w:pPr>
        <w:ind w:left="86"/>
        <w:rPr>
          <w:rFonts w:ascii="Trebuchet MS"/>
          <w:w w:val="80"/>
          <w:sz w:val="17"/>
          <w:lang w:val="uk-UA"/>
        </w:rPr>
      </w:pPr>
    </w:p>
    <w:p w14:paraId="59BDB720" w14:textId="77777777" w:rsidR="00793D30" w:rsidRDefault="00793D30" w:rsidP="00793D30">
      <w:pPr>
        <w:ind w:left="86"/>
        <w:rPr>
          <w:rFonts w:ascii="Trebuchet MS"/>
          <w:w w:val="80"/>
          <w:sz w:val="17"/>
          <w:lang w:val="uk-UA"/>
        </w:rPr>
      </w:pPr>
    </w:p>
    <w:p w14:paraId="1D1B3228" w14:textId="77777777" w:rsidR="00793D30" w:rsidRDefault="00793D30" w:rsidP="00793D30">
      <w:pPr>
        <w:ind w:left="86"/>
        <w:rPr>
          <w:rFonts w:ascii="Trebuchet MS"/>
          <w:w w:val="80"/>
          <w:sz w:val="17"/>
          <w:lang w:val="uk-UA"/>
        </w:rPr>
      </w:pPr>
    </w:p>
    <w:p w14:paraId="75739448" w14:textId="77777777" w:rsidR="00793D30" w:rsidRDefault="00793D30" w:rsidP="00793D30">
      <w:pPr>
        <w:ind w:left="86"/>
        <w:rPr>
          <w:rFonts w:ascii="Trebuchet MS"/>
          <w:w w:val="80"/>
          <w:sz w:val="17"/>
          <w:lang w:val="uk-UA"/>
        </w:rPr>
      </w:pPr>
    </w:p>
    <w:p w14:paraId="708DAA4F" w14:textId="77777777" w:rsidR="00793D30" w:rsidRDefault="00793D30" w:rsidP="00793D30">
      <w:pPr>
        <w:ind w:left="86"/>
        <w:rPr>
          <w:rFonts w:ascii="Trebuchet MS"/>
          <w:w w:val="80"/>
          <w:sz w:val="17"/>
          <w:lang w:val="uk-UA"/>
        </w:rPr>
      </w:pPr>
    </w:p>
    <w:p w14:paraId="6E59ABCD" w14:textId="77777777" w:rsidR="00793D30" w:rsidRDefault="00793D30" w:rsidP="00793D30">
      <w:pPr>
        <w:ind w:left="86"/>
        <w:rPr>
          <w:rFonts w:ascii="Trebuchet MS"/>
          <w:w w:val="80"/>
          <w:sz w:val="17"/>
          <w:lang w:val="uk-UA"/>
        </w:rPr>
      </w:pPr>
    </w:p>
    <w:p w14:paraId="61BD13AA" w14:textId="77777777" w:rsidR="00793D30" w:rsidRDefault="00793D30" w:rsidP="00793D30">
      <w:pPr>
        <w:ind w:left="86"/>
        <w:rPr>
          <w:rFonts w:ascii="Trebuchet MS"/>
          <w:w w:val="80"/>
          <w:sz w:val="17"/>
          <w:lang w:val="uk-UA"/>
        </w:rPr>
      </w:pPr>
    </w:p>
    <w:p w14:paraId="29898078" w14:textId="77777777" w:rsidR="00793D30" w:rsidRDefault="00793D30" w:rsidP="00793D30">
      <w:pPr>
        <w:ind w:left="86"/>
        <w:rPr>
          <w:rFonts w:ascii="Trebuchet MS"/>
          <w:w w:val="80"/>
          <w:sz w:val="17"/>
          <w:lang w:val="uk-UA"/>
        </w:rPr>
      </w:pPr>
    </w:p>
    <w:p w14:paraId="28C91BFB" w14:textId="77777777" w:rsidR="00793D30" w:rsidRDefault="00793D30" w:rsidP="00793D30">
      <w:pPr>
        <w:ind w:left="86"/>
        <w:rPr>
          <w:rFonts w:ascii="Trebuchet MS"/>
          <w:w w:val="80"/>
          <w:sz w:val="17"/>
          <w:lang w:val="uk-UA"/>
        </w:rPr>
      </w:pPr>
    </w:p>
    <w:p w14:paraId="1CABB3D2" w14:textId="77777777" w:rsidR="00793D30" w:rsidRDefault="00793D30" w:rsidP="00793D30">
      <w:pPr>
        <w:ind w:left="86"/>
        <w:rPr>
          <w:rFonts w:ascii="Trebuchet MS"/>
          <w:w w:val="80"/>
          <w:sz w:val="17"/>
          <w:lang w:val="uk-UA"/>
        </w:rPr>
      </w:pPr>
    </w:p>
    <w:p w14:paraId="5EF273D1" w14:textId="77777777" w:rsidR="00793D30" w:rsidRDefault="00793D30" w:rsidP="00793D30">
      <w:pPr>
        <w:ind w:left="86"/>
        <w:rPr>
          <w:rFonts w:ascii="Trebuchet MS"/>
          <w:w w:val="80"/>
          <w:sz w:val="17"/>
          <w:lang w:val="uk-UA"/>
        </w:rPr>
      </w:pPr>
    </w:p>
    <w:p w14:paraId="64000DAA" w14:textId="77777777" w:rsidR="00793D30" w:rsidRDefault="00793D30" w:rsidP="00793D30">
      <w:pPr>
        <w:ind w:left="86"/>
        <w:rPr>
          <w:rFonts w:ascii="Trebuchet MS"/>
          <w:w w:val="80"/>
          <w:sz w:val="17"/>
          <w:lang w:val="uk-UA"/>
        </w:rPr>
      </w:pPr>
    </w:p>
    <w:p w14:paraId="6CE4CEA2" w14:textId="77777777" w:rsidR="00793D30" w:rsidRDefault="00793D30" w:rsidP="00793D30">
      <w:pPr>
        <w:ind w:left="86"/>
        <w:rPr>
          <w:rFonts w:ascii="Trebuchet MS"/>
          <w:w w:val="80"/>
          <w:sz w:val="17"/>
          <w:lang w:val="uk-UA"/>
        </w:rPr>
      </w:pPr>
    </w:p>
    <w:p w14:paraId="1D77F87E" w14:textId="77777777" w:rsidR="00793D30" w:rsidRDefault="00793D30" w:rsidP="00793D30">
      <w:pPr>
        <w:ind w:left="86"/>
        <w:rPr>
          <w:rFonts w:ascii="Trebuchet MS"/>
          <w:w w:val="80"/>
          <w:sz w:val="17"/>
          <w:lang w:val="uk-UA"/>
        </w:rPr>
      </w:pPr>
    </w:p>
    <w:p w14:paraId="632DDF76" w14:textId="77777777" w:rsidR="00793D30" w:rsidRDefault="00793D30" w:rsidP="00793D30">
      <w:pPr>
        <w:ind w:left="86"/>
        <w:rPr>
          <w:rFonts w:ascii="Trebuchet MS"/>
          <w:w w:val="80"/>
          <w:sz w:val="17"/>
          <w:lang w:val="uk-UA"/>
        </w:rPr>
      </w:pPr>
    </w:p>
    <w:p w14:paraId="208891B4" w14:textId="77777777" w:rsidR="00793D30" w:rsidRDefault="00793D30" w:rsidP="00793D30">
      <w:pPr>
        <w:ind w:left="86"/>
        <w:rPr>
          <w:rFonts w:ascii="Trebuchet MS"/>
          <w:w w:val="80"/>
          <w:sz w:val="17"/>
          <w:lang w:val="uk-UA"/>
        </w:rPr>
      </w:pPr>
    </w:p>
    <w:p w14:paraId="6E853058" w14:textId="77777777" w:rsidR="00793D30" w:rsidRDefault="00793D30" w:rsidP="00793D30">
      <w:pPr>
        <w:ind w:left="86"/>
        <w:rPr>
          <w:rFonts w:ascii="Trebuchet MS"/>
          <w:w w:val="80"/>
          <w:sz w:val="17"/>
          <w:lang w:val="uk-UA"/>
        </w:rPr>
      </w:pPr>
    </w:p>
    <w:p w14:paraId="41BF4979" w14:textId="77777777" w:rsidR="00793D30" w:rsidRDefault="00793D30" w:rsidP="00793D30">
      <w:pPr>
        <w:ind w:left="86"/>
        <w:rPr>
          <w:rFonts w:ascii="Trebuchet MS"/>
          <w:w w:val="80"/>
          <w:sz w:val="17"/>
          <w:lang w:val="uk-UA"/>
        </w:rPr>
      </w:pPr>
    </w:p>
    <w:p w14:paraId="5D81C6C1" w14:textId="77777777" w:rsidR="00793D30" w:rsidRDefault="00793D30" w:rsidP="00793D30">
      <w:pPr>
        <w:ind w:left="86"/>
        <w:rPr>
          <w:rFonts w:ascii="Trebuchet MS"/>
          <w:w w:val="80"/>
          <w:sz w:val="17"/>
          <w:lang w:val="uk-UA"/>
        </w:rPr>
      </w:pPr>
    </w:p>
    <w:p w14:paraId="2351EAEC" w14:textId="77777777" w:rsidR="00793D30" w:rsidRDefault="00793D30" w:rsidP="00793D30">
      <w:pPr>
        <w:ind w:left="86"/>
        <w:rPr>
          <w:rFonts w:ascii="Trebuchet MS"/>
          <w:w w:val="80"/>
          <w:sz w:val="17"/>
          <w:lang w:val="uk-UA"/>
        </w:rPr>
      </w:pPr>
    </w:p>
    <w:p w14:paraId="6D6AFF03" w14:textId="77777777" w:rsidR="00793D30" w:rsidRDefault="00793D30" w:rsidP="00793D30">
      <w:pPr>
        <w:ind w:left="86"/>
        <w:rPr>
          <w:rFonts w:ascii="Trebuchet MS"/>
          <w:w w:val="80"/>
          <w:sz w:val="17"/>
          <w:lang w:val="uk-UA"/>
        </w:rPr>
      </w:pPr>
    </w:p>
    <w:p w14:paraId="16AB2910" w14:textId="77777777" w:rsidR="00793D30" w:rsidRDefault="00793D30" w:rsidP="00793D30">
      <w:pPr>
        <w:ind w:left="86"/>
        <w:rPr>
          <w:rFonts w:ascii="Trebuchet MS"/>
          <w:w w:val="80"/>
          <w:sz w:val="17"/>
          <w:lang w:val="uk-UA"/>
        </w:rPr>
      </w:pPr>
    </w:p>
    <w:p w14:paraId="6E11CD21" w14:textId="77777777" w:rsidR="00793D30" w:rsidRDefault="00793D30" w:rsidP="00793D30">
      <w:pPr>
        <w:ind w:left="86"/>
        <w:rPr>
          <w:rFonts w:ascii="Trebuchet MS"/>
          <w:w w:val="80"/>
          <w:sz w:val="17"/>
          <w:lang w:val="uk-UA"/>
        </w:rPr>
      </w:pPr>
    </w:p>
    <w:p w14:paraId="1CBB7547" w14:textId="77777777" w:rsidR="00793D30" w:rsidRDefault="00793D30" w:rsidP="00793D30">
      <w:pPr>
        <w:ind w:left="86"/>
        <w:rPr>
          <w:rFonts w:ascii="Trebuchet MS"/>
          <w:w w:val="80"/>
          <w:sz w:val="17"/>
          <w:lang w:val="uk-UA"/>
        </w:rPr>
      </w:pPr>
    </w:p>
    <w:p w14:paraId="2CA0977C" w14:textId="77777777" w:rsidR="00793D30" w:rsidRDefault="00793D30" w:rsidP="00793D30">
      <w:pPr>
        <w:ind w:left="86"/>
        <w:rPr>
          <w:rFonts w:ascii="Trebuchet MS"/>
          <w:w w:val="80"/>
          <w:sz w:val="17"/>
          <w:lang w:val="uk-UA"/>
        </w:rPr>
      </w:pPr>
    </w:p>
    <w:p w14:paraId="60E44DA1" w14:textId="77777777" w:rsidR="00793D30" w:rsidRDefault="00793D30" w:rsidP="00793D30">
      <w:pPr>
        <w:ind w:left="86"/>
        <w:rPr>
          <w:rFonts w:ascii="Trebuchet MS"/>
          <w:w w:val="80"/>
          <w:sz w:val="17"/>
          <w:lang w:val="uk-UA"/>
        </w:rPr>
      </w:pPr>
    </w:p>
    <w:p w14:paraId="09C0380B" w14:textId="77777777" w:rsidR="00793D30" w:rsidRDefault="00793D30" w:rsidP="00793D30">
      <w:pPr>
        <w:ind w:left="86"/>
        <w:rPr>
          <w:rFonts w:ascii="Trebuchet MS"/>
          <w:w w:val="80"/>
          <w:sz w:val="17"/>
          <w:lang w:val="uk-UA"/>
        </w:rPr>
      </w:pPr>
    </w:p>
    <w:p w14:paraId="686DB089" w14:textId="77777777" w:rsidR="00793D30" w:rsidRDefault="00793D30" w:rsidP="00793D30">
      <w:pPr>
        <w:ind w:left="86"/>
        <w:rPr>
          <w:rFonts w:ascii="Trebuchet MS"/>
          <w:w w:val="80"/>
          <w:sz w:val="17"/>
          <w:lang w:val="uk-UA"/>
        </w:rPr>
      </w:pPr>
    </w:p>
    <w:p w14:paraId="34E1B206" w14:textId="77777777" w:rsidR="00793D30" w:rsidRDefault="00793D30" w:rsidP="00793D30">
      <w:pPr>
        <w:ind w:left="86"/>
        <w:rPr>
          <w:rFonts w:ascii="Trebuchet MS"/>
          <w:w w:val="80"/>
          <w:sz w:val="17"/>
          <w:lang w:val="uk-UA"/>
        </w:rPr>
      </w:pPr>
    </w:p>
    <w:p w14:paraId="6CBAF888" w14:textId="77777777" w:rsidR="00793D30" w:rsidRDefault="00793D30" w:rsidP="00793D30">
      <w:pPr>
        <w:ind w:left="86"/>
        <w:rPr>
          <w:rFonts w:ascii="Trebuchet MS"/>
          <w:w w:val="80"/>
          <w:sz w:val="17"/>
          <w:lang w:val="uk-UA"/>
        </w:rPr>
      </w:pPr>
    </w:p>
    <w:p w14:paraId="55D4FDF0" w14:textId="77777777" w:rsidR="00793D30" w:rsidRDefault="00793D30" w:rsidP="00793D30">
      <w:pPr>
        <w:ind w:left="86"/>
        <w:rPr>
          <w:rFonts w:ascii="Trebuchet MS"/>
          <w:w w:val="80"/>
          <w:sz w:val="17"/>
          <w:lang w:val="uk-UA"/>
        </w:rPr>
      </w:pPr>
    </w:p>
    <w:p w14:paraId="24236A11" w14:textId="77777777" w:rsidR="00793D30" w:rsidRDefault="00793D30" w:rsidP="00793D30">
      <w:pPr>
        <w:ind w:left="86"/>
        <w:rPr>
          <w:rFonts w:ascii="Trebuchet MS"/>
          <w:w w:val="80"/>
          <w:sz w:val="17"/>
          <w:lang w:val="uk-UA"/>
        </w:rPr>
      </w:pPr>
    </w:p>
    <w:p w14:paraId="4FD1C18D" w14:textId="77777777" w:rsidR="00793D30" w:rsidRDefault="00793D30" w:rsidP="00793D30">
      <w:pPr>
        <w:ind w:left="86"/>
        <w:rPr>
          <w:rFonts w:ascii="Trebuchet MS"/>
          <w:w w:val="80"/>
          <w:sz w:val="17"/>
          <w:lang w:val="uk-UA"/>
        </w:rPr>
      </w:pPr>
    </w:p>
    <w:p w14:paraId="0B074AC2" w14:textId="77777777" w:rsidR="00793D30" w:rsidRDefault="00793D30" w:rsidP="00793D30">
      <w:pPr>
        <w:ind w:left="86"/>
        <w:rPr>
          <w:rFonts w:ascii="Trebuchet MS"/>
          <w:w w:val="80"/>
          <w:sz w:val="17"/>
          <w:lang w:val="uk-UA"/>
        </w:rPr>
      </w:pPr>
    </w:p>
    <w:p w14:paraId="6FBA2D7F" w14:textId="77777777" w:rsidR="00793D30" w:rsidRDefault="00793D30" w:rsidP="00793D30">
      <w:pPr>
        <w:ind w:left="86"/>
        <w:rPr>
          <w:rFonts w:ascii="Trebuchet MS"/>
          <w:w w:val="80"/>
          <w:sz w:val="17"/>
          <w:lang w:val="uk-UA"/>
        </w:rPr>
      </w:pPr>
    </w:p>
    <w:p w14:paraId="73CF3552" w14:textId="77777777" w:rsidR="00793D30" w:rsidRDefault="00793D30" w:rsidP="00793D30">
      <w:pPr>
        <w:ind w:left="86"/>
        <w:rPr>
          <w:rFonts w:ascii="Trebuchet MS"/>
          <w:w w:val="80"/>
          <w:sz w:val="17"/>
          <w:lang w:val="uk-UA"/>
        </w:rPr>
      </w:pPr>
    </w:p>
    <w:p w14:paraId="22A056EC" w14:textId="77777777" w:rsidR="00793D30" w:rsidRDefault="00793D30" w:rsidP="00793D30">
      <w:pPr>
        <w:ind w:left="86"/>
        <w:rPr>
          <w:rFonts w:ascii="Trebuchet MS"/>
          <w:w w:val="80"/>
          <w:sz w:val="17"/>
          <w:lang w:val="uk-UA"/>
        </w:rPr>
      </w:pPr>
    </w:p>
    <w:p w14:paraId="5AB9F686" w14:textId="77777777" w:rsidR="00793D30" w:rsidRDefault="00793D30" w:rsidP="00793D30">
      <w:pPr>
        <w:ind w:left="86"/>
        <w:rPr>
          <w:rFonts w:ascii="Trebuchet MS"/>
          <w:w w:val="80"/>
          <w:sz w:val="17"/>
          <w:lang w:val="uk-UA"/>
        </w:rPr>
      </w:pPr>
    </w:p>
    <w:p w14:paraId="6DA3329A" w14:textId="77777777" w:rsidR="00793D30" w:rsidRDefault="00793D30" w:rsidP="00793D30">
      <w:pPr>
        <w:ind w:left="86"/>
        <w:rPr>
          <w:rFonts w:ascii="Trebuchet MS"/>
          <w:w w:val="80"/>
          <w:sz w:val="17"/>
          <w:lang w:val="uk-UA"/>
        </w:rPr>
      </w:pPr>
    </w:p>
    <w:p w14:paraId="2EF8E329" w14:textId="77777777" w:rsidR="00793D30" w:rsidRDefault="00793D30" w:rsidP="00793D30">
      <w:pPr>
        <w:ind w:left="86"/>
        <w:rPr>
          <w:rFonts w:ascii="Trebuchet MS"/>
          <w:w w:val="80"/>
          <w:sz w:val="17"/>
          <w:lang w:val="uk-UA"/>
        </w:rPr>
      </w:pPr>
    </w:p>
    <w:p w14:paraId="3D8B8416" w14:textId="77777777" w:rsidR="00793D30" w:rsidRDefault="00793D30" w:rsidP="00793D30">
      <w:pPr>
        <w:ind w:left="86"/>
        <w:rPr>
          <w:rFonts w:ascii="Trebuchet MS"/>
          <w:w w:val="80"/>
          <w:sz w:val="17"/>
          <w:lang w:val="uk-UA"/>
        </w:rPr>
      </w:pPr>
    </w:p>
    <w:p w14:paraId="237B7E15" w14:textId="77777777" w:rsidR="00793D30" w:rsidRDefault="00793D30" w:rsidP="00793D30">
      <w:pPr>
        <w:ind w:left="86"/>
        <w:rPr>
          <w:rFonts w:ascii="Trebuchet MS"/>
          <w:w w:val="80"/>
          <w:sz w:val="17"/>
          <w:lang w:val="uk-UA"/>
        </w:rPr>
      </w:pPr>
    </w:p>
    <w:p w14:paraId="53E501E7" w14:textId="77777777" w:rsidR="00793D30" w:rsidRDefault="00793D30" w:rsidP="00793D30">
      <w:pPr>
        <w:ind w:left="86"/>
        <w:rPr>
          <w:rFonts w:ascii="Trebuchet MS"/>
          <w:w w:val="80"/>
          <w:sz w:val="17"/>
          <w:lang w:val="uk-UA"/>
        </w:rPr>
      </w:pPr>
    </w:p>
    <w:p w14:paraId="3796FCE6" w14:textId="77777777" w:rsidR="00793D30" w:rsidRDefault="00793D30" w:rsidP="00793D30">
      <w:pPr>
        <w:ind w:left="86"/>
        <w:rPr>
          <w:rFonts w:ascii="Trebuchet MS"/>
          <w:w w:val="80"/>
          <w:sz w:val="17"/>
          <w:lang w:val="uk-UA"/>
        </w:rPr>
      </w:pPr>
    </w:p>
    <w:p w14:paraId="20DC3508" w14:textId="77777777" w:rsidR="00793D30" w:rsidRDefault="00793D30" w:rsidP="00793D30">
      <w:pPr>
        <w:ind w:left="86"/>
        <w:rPr>
          <w:rFonts w:ascii="Trebuchet MS"/>
          <w:w w:val="80"/>
          <w:sz w:val="17"/>
          <w:lang w:val="uk-UA"/>
        </w:rPr>
      </w:pPr>
    </w:p>
    <w:p w14:paraId="6E0A2177" w14:textId="77777777" w:rsidR="00793D30" w:rsidRDefault="00793D30" w:rsidP="00793D30">
      <w:pPr>
        <w:ind w:left="86"/>
        <w:rPr>
          <w:rFonts w:ascii="Trebuchet MS"/>
          <w:w w:val="80"/>
          <w:sz w:val="17"/>
          <w:lang w:val="uk-UA"/>
        </w:rPr>
      </w:pPr>
    </w:p>
    <w:p w14:paraId="04FB43A2" w14:textId="77777777" w:rsidR="00793D30" w:rsidRDefault="00793D30" w:rsidP="00793D30">
      <w:pPr>
        <w:ind w:left="86"/>
        <w:rPr>
          <w:rFonts w:ascii="Trebuchet MS"/>
          <w:w w:val="80"/>
          <w:sz w:val="17"/>
          <w:lang w:val="uk-UA"/>
        </w:rPr>
      </w:pPr>
    </w:p>
    <w:p w14:paraId="5CCFE4C3" w14:textId="77777777" w:rsidR="00793D30" w:rsidRDefault="00793D30" w:rsidP="00793D30">
      <w:pPr>
        <w:ind w:left="86"/>
        <w:rPr>
          <w:rFonts w:ascii="Trebuchet MS"/>
          <w:w w:val="80"/>
          <w:sz w:val="17"/>
          <w:lang w:val="uk-UA"/>
        </w:rPr>
      </w:pPr>
    </w:p>
    <w:p w14:paraId="30A63BFE" w14:textId="77777777" w:rsidR="00793D30" w:rsidRDefault="00793D30" w:rsidP="00793D30">
      <w:pPr>
        <w:ind w:left="86"/>
        <w:rPr>
          <w:rFonts w:ascii="Trebuchet MS"/>
          <w:w w:val="80"/>
          <w:sz w:val="17"/>
          <w:lang w:val="uk-UA"/>
        </w:rPr>
      </w:pPr>
    </w:p>
    <w:p w14:paraId="7C3A20E3" w14:textId="77777777" w:rsidR="00793D30" w:rsidRDefault="00793D30" w:rsidP="00793D30">
      <w:pPr>
        <w:ind w:left="86"/>
        <w:rPr>
          <w:rFonts w:ascii="Trebuchet MS"/>
          <w:w w:val="80"/>
          <w:sz w:val="17"/>
          <w:lang w:val="uk-UA"/>
        </w:rPr>
      </w:pPr>
    </w:p>
    <w:p w14:paraId="458F6E7A" w14:textId="77777777" w:rsidR="00793D30" w:rsidRDefault="00793D30" w:rsidP="00793D30">
      <w:pPr>
        <w:ind w:left="86"/>
        <w:rPr>
          <w:rFonts w:ascii="Trebuchet MS"/>
          <w:w w:val="80"/>
          <w:sz w:val="17"/>
          <w:lang w:val="uk-UA"/>
        </w:rPr>
      </w:pPr>
    </w:p>
    <w:p w14:paraId="27AF152A" w14:textId="77777777" w:rsidR="00793D30" w:rsidRDefault="00793D30" w:rsidP="00793D30">
      <w:pPr>
        <w:ind w:left="86"/>
        <w:rPr>
          <w:rFonts w:ascii="Trebuchet MS"/>
          <w:w w:val="80"/>
          <w:sz w:val="17"/>
          <w:lang w:val="uk-UA"/>
        </w:rPr>
      </w:pPr>
    </w:p>
    <w:p w14:paraId="5B6AC20F" w14:textId="77777777" w:rsidR="00793D30" w:rsidRDefault="00793D30" w:rsidP="00793D30">
      <w:pPr>
        <w:ind w:left="86"/>
        <w:rPr>
          <w:rFonts w:ascii="Trebuchet MS"/>
          <w:w w:val="80"/>
          <w:sz w:val="17"/>
          <w:lang w:val="uk-UA"/>
        </w:rPr>
      </w:pPr>
    </w:p>
    <w:p w14:paraId="052531BD" w14:textId="77777777" w:rsidR="00793D30" w:rsidRDefault="00793D30" w:rsidP="00793D30">
      <w:pPr>
        <w:ind w:left="86"/>
        <w:rPr>
          <w:rFonts w:ascii="Trebuchet MS"/>
          <w:w w:val="80"/>
          <w:sz w:val="17"/>
          <w:lang w:val="uk-UA"/>
        </w:rPr>
      </w:pPr>
    </w:p>
    <w:p w14:paraId="20DE5920" w14:textId="77777777" w:rsidR="00793D30" w:rsidRDefault="00793D30" w:rsidP="00793D30">
      <w:pPr>
        <w:ind w:left="86"/>
        <w:rPr>
          <w:rFonts w:ascii="Trebuchet MS"/>
          <w:w w:val="80"/>
          <w:sz w:val="17"/>
          <w:lang w:val="uk-UA"/>
        </w:rPr>
      </w:pPr>
    </w:p>
    <w:p w14:paraId="6B7402BB" w14:textId="77777777" w:rsidR="00793D30" w:rsidRDefault="00793D30" w:rsidP="00793D30">
      <w:pPr>
        <w:ind w:left="86"/>
        <w:rPr>
          <w:rFonts w:ascii="Trebuchet MS"/>
          <w:w w:val="80"/>
          <w:sz w:val="17"/>
          <w:lang w:val="uk-UA"/>
        </w:rPr>
      </w:pPr>
    </w:p>
    <w:p w14:paraId="0C8D4898" w14:textId="77777777" w:rsidR="00793D30" w:rsidRDefault="00793D30" w:rsidP="00793D30">
      <w:pPr>
        <w:ind w:left="86"/>
        <w:rPr>
          <w:rFonts w:ascii="Trebuchet MS"/>
          <w:w w:val="80"/>
          <w:sz w:val="17"/>
          <w:lang w:val="uk-UA"/>
        </w:rPr>
      </w:pPr>
    </w:p>
    <w:p w14:paraId="1B08C62D" w14:textId="77777777" w:rsidR="00793D30" w:rsidRDefault="00793D30" w:rsidP="00793D30">
      <w:pPr>
        <w:ind w:left="86"/>
        <w:rPr>
          <w:rFonts w:ascii="Trebuchet MS"/>
          <w:w w:val="80"/>
          <w:sz w:val="17"/>
          <w:lang w:val="uk-UA"/>
        </w:rPr>
      </w:pPr>
    </w:p>
    <w:p w14:paraId="44D9F361" w14:textId="77777777" w:rsidR="00793D30" w:rsidRDefault="00793D30" w:rsidP="00793D30">
      <w:pPr>
        <w:ind w:left="86"/>
        <w:rPr>
          <w:rFonts w:ascii="Trebuchet MS"/>
          <w:w w:val="80"/>
          <w:sz w:val="17"/>
          <w:lang w:val="uk-UA"/>
        </w:rPr>
      </w:pPr>
    </w:p>
    <w:p w14:paraId="4BD954CE" w14:textId="77777777" w:rsidR="00793D30" w:rsidRDefault="00793D30" w:rsidP="00793D30">
      <w:pPr>
        <w:ind w:left="86"/>
        <w:rPr>
          <w:rFonts w:ascii="Trebuchet MS"/>
          <w:w w:val="80"/>
          <w:sz w:val="17"/>
          <w:lang w:val="uk-UA"/>
        </w:rPr>
      </w:pPr>
    </w:p>
    <w:p w14:paraId="23C60D1C" w14:textId="77777777" w:rsidR="00793D30" w:rsidRDefault="00793D30" w:rsidP="00793D30">
      <w:pPr>
        <w:ind w:left="86"/>
        <w:rPr>
          <w:rFonts w:ascii="Trebuchet MS"/>
          <w:w w:val="80"/>
          <w:sz w:val="17"/>
          <w:lang w:val="uk-UA"/>
        </w:rPr>
      </w:pPr>
    </w:p>
    <w:p w14:paraId="742F0EAA" w14:textId="77777777" w:rsidR="00793D30" w:rsidRDefault="00793D30" w:rsidP="00793D30">
      <w:pPr>
        <w:ind w:left="86"/>
        <w:rPr>
          <w:rFonts w:ascii="Trebuchet MS"/>
          <w:w w:val="80"/>
          <w:sz w:val="17"/>
          <w:lang w:val="uk-UA"/>
        </w:rPr>
      </w:pPr>
    </w:p>
    <w:p w14:paraId="12255343" w14:textId="77777777" w:rsidR="00793D30" w:rsidRDefault="00793D30" w:rsidP="00793D30">
      <w:pPr>
        <w:ind w:left="86"/>
        <w:rPr>
          <w:rFonts w:ascii="Trebuchet MS"/>
          <w:w w:val="80"/>
          <w:sz w:val="17"/>
          <w:lang w:val="uk-UA"/>
        </w:rPr>
      </w:pPr>
    </w:p>
    <w:p w14:paraId="0D03983F" w14:textId="77777777" w:rsidR="00793D30" w:rsidRDefault="00793D30" w:rsidP="00793D30">
      <w:pPr>
        <w:ind w:left="86"/>
        <w:rPr>
          <w:rFonts w:ascii="Trebuchet MS"/>
          <w:w w:val="80"/>
          <w:sz w:val="17"/>
          <w:lang w:val="uk-UA"/>
        </w:rPr>
      </w:pPr>
    </w:p>
    <w:p w14:paraId="058D6AAC" w14:textId="77777777" w:rsidR="00793D30" w:rsidRDefault="00793D30" w:rsidP="00793D30">
      <w:pPr>
        <w:ind w:left="86"/>
        <w:rPr>
          <w:rFonts w:ascii="Trebuchet MS"/>
          <w:w w:val="80"/>
          <w:sz w:val="17"/>
          <w:lang w:val="uk-UA"/>
        </w:rPr>
      </w:pPr>
    </w:p>
    <w:p w14:paraId="07F2F7F7" w14:textId="77777777" w:rsidR="00793D30" w:rsidRDefault="00793D30" w:rsidP="00793D30">
      <w:pPr>
        <w:ind w:left="86"/>
        <w:rPr>
          <w:rFonts w:ascii="Trebuchet MS"/>
          <w:w w:val="80"/>
          <w:sz w:val="17"/>
          <w:lang w:val="uk-UA"/>
        </w:rPr>
      </w:pPr>
    </w:p>
    <w:p w14:paraId="441410EF" w14:textId="77777777" w:rsidR="00793D30" w:rsidRDefault="00793D30" w:rsidP="00793D30">
      <w:pPr>
        <w:ind w:left="86"/>
        <w:rPr>
          <w:rFonts w:ascii="Trebuchet MS"/>
          <w:w w:val="80"/>
          <w:sz w:val="17"/>
          <w:lang w:val="uk-UA"/>
        </w:rPr>
      </w:pPr>
    </w:p>
    <w:p w14:paraId="6A752859" w14:textId="77777777" w:rsidR="00793D30" w:rsidRDefault="00793D30" w:rsidP="00793D30">
      <w:pPr>
        <w:ind w:left="86"/>
        <w:rPr>
          <w:rFonts w:ascii="Trebuchet MS"/>
          <w:w w:val="80"/>
          <w:sz w:val="17"/>
          <w:lang w:val="uk-UA"/>
        </w:rPr>
      </w:pPr>
    </w:p>
    <w:p w14:paraId="45FB81F9" w14:textId="77777777" w:rsidR="00793D30" w:rsidRDefault="00793D30" w:rsidP="00793D30">
      <w:pPr>
        <w:ind w:left="86"/>
        <w:rPr>
          <w:rFonts w:ascii="Trebuchet MS"/>
          <w:w w:val="80"/>
          <w:sz w:val="17"/>
          <w:lang w:val="uk-UA"/>
        </w:rPr>
      </w:pPr>
    </w:p>
    <w:p w14:paraId="4C5CF623" w14:textId="77777777" w:rsidR="00793D30" w:rsidRDefault="00793D30" w:rsidP="00793D30">
      <w:pPr>
        <w:ind w:left="86"/>
        <w:rPr>
          <w:rFonts w:ascii="Trebuchet MS"/>
          <w:w w:val="80"/>
          <w:sz w:val="17"/>
          <w:lang w:val="uk-UA"/>
        </w:rPr>
      </w:pPr>
    </w:p>
    <w:p w14:paraId="41B1CDD1" w14:textId="77777777" w:rsidR="00793D30" w:rsidRDefault="00793D30" w:rsidP="00793D30">
      <w:pPr>
        <w:ind w:left="86"/>
        <w:rPr>
          <w:rFonts w:ascii="Trebuchet MS"/>
          <w:w w:val="80"/>
          <w:sz w:val="17"/>
          <w:lang w:val="uk-UA"/>
        </w:rPr>
      </w:pPr>
    </w:p>
    <w:p w14:paraId="55625B2D" w14:textId="77777777" w:rsidR="00793D30" w:rsidRDefault="00793D30" w:rsidP="00793D30">
      <w:pPr>
        <w:ind w:left="86"/>
        <w:rPr>
          <w:rFonts w:ascii="Trebuchet MS"/>
          <w:w w:val="80"/>
          <w:sz w:val="17"/>
          <w:lang w:val="uk-UA"/>
        </w:rPr>
      </w:pPr>
    </w:p>
    <w:p w14:paraId="65C612A2" w14:textId="77777777" w:rsidR="00793D30" w:rsidRDefault="00793D30" w:rsidP="00793D30">
      <w:pPr>
        <w:ind w:left="86"/>
        <w:rPr>
          <w:rFonts w:ascii="Trebuchet MS"/>
          <w:w w:val="80"/>
          <w:sz w:val="17"/>
          <w:lang w:val="uk-UA"/>
        </w:rPr>
      </w:pPr>
    </w:p>
    <w:p w14:paraId="107F0872" w14:textId="77777777" w:rsidR="00793D30" w:rsidRDefault="00793D30" w:rsidP="00793D30">
      <w:pPr>
        <w:ind w:left="86"/>
        <w:rPr>
          <w:rFonts w:ascii="Trebuchet MS"/>
          <w:w w:val="80"/>
          <w:sz w:val="17"/>
          <w:lang w:val="uk-UA"/>
        </w:rPr>
      </w:pPr>
    </w:p>
    <w:p w14:paraId="1475B697" w14:textId="77777777" w:rsidR="00793D30" w:rsidRDefault="00793D30" w:rsidP="00793D30">
      <w:pPr>
        <w:ind w:left="86"/>
        <w:rPr>
          <w:rFonts w:ascii="Trebuchet MS"/>
          <w:w w:val="80"/>
          <w:sz w:val="17"/>
          <w:lang w:val="uk-UA"/>
        </w:rPr>
      </w:pPr>
    </w:p>
    <w:p w14:paraId="794D603C" w14:textId="77777777" w:rsidR="00793D30" w:rsidRDefault="00793D30" w:rsidP="00793D30">
      <w:pPr>
        <w:ind w:left="86"/>
        <w:rPr>
          <w:rFonts w:ascii="Trebuchet MS"/>
          <w:w w:val="80"/>
          <w:sz w:val="17"/>
          <w:lang w:val="uk-UA"/>
        </w:rPr>
      </w:pPr>
    </w:p>
    <w:p w14:paraId="322DDC62" w14:textId="77777777" w:rsidR="00793D30" w:rsidRDefault="00793D30" w:rsidP="00793D30">
      <w:pPr>
        <w:ind w:left="86"/>
        <w:rPr>
          <w:rFonts w:ascii="Trebuchet MS"/>
          <w:w w:val="80"/>
          <w:sz w:val="17"/>
          <w:lang w:val="uk-UA"/>
        </w:rPr>
      </w:pPr>
    </w:p>
    <w:p w14:paraId="70AE588A" w14:textId="77777777" w:rsidR="00793D30" w:rsidRDefault="00793D30" w:rsidP="00793D30">
      <w:pPr>
        <w:ind w:left="86"/>
        <w:rPr>
          <w:rFonts w:ascii="Trebuchet MS"/>
          <w:w w:val="80"/>
          <w:sz w:val="17"/>
          <w:lang w:val="uk-UA"/>
        </w:rPr>
      </w:pPr>
    </w:p>
    <w:p w14:paraId="4A590D34" w14:textId="77777777" w:rsidR="00793D30" w:rsidRDefault="00793D30" w:rsidP="00793D30">
      <w:pPr>
        <w:ind w:left="86"/>
        <w:rPr>
          <w:rFonts w:ascii="Trebuchet MS"/>
          <w:w w:val="80"/>
          <w:sz w:val="17"/>
          <w:lang w:val="uk-UA"/>
        </w:rPr>
      </w:pPr>
    </w:p>
    <w:p w14:paraId="543118D8" w14:textId="77777777" w:rsidR="00793D30" w:rsidRDefault="00793D30" w:rsidP="00793D30">
      <w:pPr>
        <w:ind w:left="86"/>
        <w:rPr>
          <w:rFonts w:ascii="Trebuchet MS"/>
          <w:w w:val="80"/>
          <w:sz w:val="17"/>
          <w:lang w:val="uk-UA"/>
        </w:rPr>
      </w:pPr>
    </w:p>
    <w:p w14:paraId="7538F46A" w14:textId="77777777" w:rsidR="00793D30" w:rsidRDefault="00793D30" w:rsidP="00793D30">
      <w:pPr>
        <w:ind w:left="86"/>
        <w:rPr>
          <w:rFonts w:ascii="Trebuchet MS"/>
          <w:w w:val="80"/>
          <w:sz w:val="17"/>
          <w:lang w:val="uk-UA"/>
        </w:rPr>
      </w:pPr>
    </w:p>
    <w:p w14:paraId="60C5BD96" w14:textId="77777777" w:rsidR="00793D30" w:rsidRDefault="00793D30" w:rsidP="00793D30">
      <w:pPr>
        <w:ind w:left="86"/>
        <w:rPr>
          <w:rFonts w:ascii="Trebuchet MS"/>
          <w:w w:val="80"/>
          <w:sz w:val="17"/>
          <w:lang w:val="uk-UA"/>
        </w:rPr>
      </w:pPr>
    </w:p>
    <w:p w14:paraId="31E38406" w14:textId="77777777" w:rsidR="00793D30" w:rsidRDefault="00793D30" w:rsidP="00793D30">
      <w:pPr>
        <w:ind w:left="86"/>
        <w:rPr>
          <w:rFonts w:ascii="Trebuchet MS"/>
          <w:w w:val="80"/>
          <w:sz w:val="17"/>
          <w:lang w:val="uk-UA"/>
        </w:rPr>
      </w:pPr>
    </w:p>
    <w:p w14:paraId="184CE4E1" w14:textId="77777777" w:rsidR="00793D30" w:rsidRDefault="00793D30" w:rsidP="00793D30">
      <w:pPr>
        <w:ind w:left="86"/>
        <w:rPr>
          <w:rFonts w:ascii="Trebuchet MS"/>
          <w:w w:val="80"/>
          <w:sz w:val="17"/>
          <w:lang w:val="uk-UA"/>
        </w:rPr>
      </w:pPr>
    </w:p>
    <w:p w14:paraId="57F66DEF" w14:textId="77777777" w:rsidR="00793D30" w:rsidRDefault="00793D30" w:rsidP="00793D30">
      <w:pPr>
        <w:ind w:left="86"/>
        <w:rPr>
          <w:rFonts w:ascii="Trebuchet MS"/>
          <w:w w:val="80"/>
          <w:sz w:val="17"/>
          <w:lang w:val="uk-UA"/>
        </w:rPr>
      </w:pPr>
    </w:p>
    <w:p w14:paraId="0AADB846" w14:textId="77777777" w:rsidR="00793D30" w:rsidRDefault="00793D30" w:rsidP="00793D30">
      <w:pPr>
        <w:ind w:left="86"/>
        <w:rPr>
          <w:rFonts w:ascii="Trebuchet MS"/>
          <w:w w:val="80"/>
          <w:sz w:val="17"/>
          <w:lang w:val="uk-UA"/>
        </w:rPr>
      </w:pPr>
    </w:p>
    <w:p w14:paraId="4ECB8006" w14:textId="77777777" w:rsidR="00793D30" w:rsidRDefault="00793D30" w:rsidP="00793D30">
      <w:pPr>
        <w:ind w:left="86"/>
        <w:rPr>
          <w:rFonts w:ascii="Trebuchet MS"/>
          <w:w w:val="80"/>
          <w:sz w:val="17"/>
          <w:lang w:val="uk-UA"/>
        </w:rPr>
      </w:pPr>
    </w:p>
    <w:p w14:paraId="1324A4E4" w14:textId="77777777" w:rsidR="00793D30" w:rsidRDefault="00793D30" w:rsidP="00793D30">
      <w:pPr>
        <w:ind w:left="86"/>
        <w:rPr>
          <w:rFonts w:ascii="Trebuchet MS"/>
          <w:w w:val="80"/>
          <w:sz w:val="17"/>
          <w:lang w:val="uk-UA"/>
        </w:rPr>
      </w:pPr>
    </w:p>
    <w:p w14:paraId="61816548" w14:textId="77777777" w:rsidR="00793D30" w:rsidRDefault="00793D30" w:rsidP="00793D30">
      <w:pPr>
        <w:ind w:left="86"/>
        <w:rPr>
          <w:rFonts w:ascii="Trebuchet MS"/>
          <w:w w:val="80"/>
          <w:sz w:val="17"/>
          <w:lang w:val="uk-UA"/>
        </w:rPr>
      </w:pPr>
    </w:p>
    <w:p w14:paraId="687A7168" w14:textId="77777777" w:rsidR="00793D30" w:rsidRDefault="00793D30" w:rsidP="00793D30">
      <w:pPr>
        <w:ind w:left="86"/>
        <w:rPr>
          <w:rFonts w:ascii="Trebuchet MS"/>
          <w:w w:val="80"/>
          <w:sz w:val="17"/>
          <w:lang w:val="uk-UA"/>
        </w:rPr>
      </w:pPr>
    </w:p>
    <w:p w14:paraId="6D3746C1" w14:textId="77777777" w:rsidR="00793D30" w:rsidRDefault="00793D30" w:rsidP="00793D30">
      <w:pPr>
        <w:ind w:left="86"/>
        <w:rPr>
          <w:rFonts w:ascii="Trebuchet MS"/>
          <w:w w:val="80"/>
          <w:sz w:val="17"/>
          <w:lang w:val="uk-UA"/>
        </w:rPr>
      </w:pPr>
    </w:p>
    <w:p w14:paraId="78C945B1" w14:textId="77777777" w:rsidR="00793D30" w:rsidRDefault="00793D30" w:rsidP="00793D30">
      <w:pPr>
        <w:ind w:left="86"/>
        <w:rPr>
          <w:rFonts w:ascii="Trebuchet MS"/>
          <w:w w:val="80"/>
          <w:sz w:val="17"/>
          <w:lang w:val="uk-UA"/>
        </w:rPr>
      </w:pPr>
    </w:p>
    <w:p w14:paraId="3C9AA12B" w14:textId="77777777" w:rsidR="00793D30" w:rsidRDefault="00793D30" w:rsidP="00793D30">
      <w:pPr>
        <w:ind w:left="86"/>
        <w:rPr>
          <w:rFonts w:ascii="Trebuchet MS"/>
          <w:w w:val="80"/>
          <w:sz w:val="17"/>
          <w:lang w:val="uk-UA"/>
        </w:rPr>
      </w:pPr>
    </w:p>
    <w:p w14:paraId="27F8F18A" w14:textId="77777777" w:rsidR="00793D30" w:rsidRDefault="00793D30" w:rsidP="00793D30">
      <w:pPr>
        <w:ind w:left="86"/>
        <w:rPr>
          <w:rFonts w:ascii="Trebuchet MS"/>
          <w:w w:val="80"/>
          <w:sz w:val="17"/>
          <w:lang w:val="uk-UA"/>
        </w:rPr>
      </w:pPr>
    </w:p>
    <w:p w14:paraId="664905A0" w14:textId="77777777" w:rsidR="00793D30" w:rsidRDefault="00793D30" w:rsidP="00793D30">
      <w:pPr>
        <w:ind w:left="86"/>
        <w:rPr>
          <w:rFonts w:ascii="Trebuchet MS"/>
          <w:w w:val="80"/>
          <w:sz w:val="17"/>
          <w:lang w:val="uk-UA"/>
        </w:rPr>
      </w:pPr>
    </w:p>
    <w:p w14:paraId="662058E7" w14:textId="77777777" w:rsidR="00793D30" w:rsidRDefault="00793D30" w:rsidP="00793D30">
      <w:pPr>
        <w:ind w:left="86"/>
        <w:rPr>
          <w:rFonts w:ascii="Trebuchet MS"/>
          <w:w w:val="80"/>
          <w:sz w:val="17"/>
          <w:lang w:val="uk-UA"/>
        </w:rPr>
      </w:pPr>
    </w:p>
    <w:p w14:paraId="437CE876" w14:textId="77777777" w:rsidR="00793D30" w:rsidRDefault="00793D30" w:rsidP="00793D30">
      <w:pPr>
        <w:ind w:left="86"/>
        <w:rPr>
          <w:rFonts w:ascii="Trebuchet MS"/>
          <w:w w:val="80"/>
          <w:sz w:val="17"/>
          <w:lang w:val="uk-UA"/>
        </w:rPr>
      </w:pPr>
    </w:p>
    <w:p w14:paraId="4AFD2A97" w14:textId="77777777" w:rsidR="00793D30" w:rsidRDefault="00793D30" w:rsidP="00793D30">
      <w:pPr>
        <w:ind w:left="86"/>
        <w:rPr>
          <w:rFonts w:ascii="Trebuchet MS"/>
          <w:w w:val="80"/>
          <w:sz w:val="17"/>
          <w:lang w:val="uk-UA"/>
        </w:rPr>
      </w:pPr>
    </w:p>
    <w:p w14:paraId="5B6A3943" w14:textId="77777777" w:rsidR="00793D30" w:rsidRDefault="00793D30" w:rsidP="00793D30">
      <w:pPr>
        <w:ind w:left="86"/>
        <w:rPr>
          <w:rFonts w:ascii="Trebuchet MS"/>
          <w:w w:val="80"/>
          <w:sz w:val="17"/>
          <w:lang w:val="uk-UA"/>
        </w:rPr>
      </w:pPr>
    </w:p>
    <w:p w14:paraId="16641596" w14:textId="77777777" w:rsidR="00793D30" w:rsidRDefault="00793D30" w:rsidP="00793D30">
      <w:pPr>
        <w:ind w:left="86"/>
        <w:rPr>
          <w:rFonts w:ascii="Trebuchet MS"/>
          <w:w w:val="80"/>
          <w:sz w:val="17"/>
          <w:lang w:val="uk-UA"/>
        </w:rPr>
      </w:pPr>
    </w:p>
    <w:p w14:paraId="54777DD9" w14:textId="77777777" w:rsidR="00793D30" w:rsidRDefault="00793D30" w:rsidP="00793D30">
      <w:pPr>
        <w:ind w:left="86"/>
        <w:rPr>
          <w:rFonts w:ascii="Trebuchet MS"/>
          <w:w w:val="80"/>
          <w:sz w:val="17"/>
          <w:lang w:val="uk-UA"/>
        </w:rPr>
      </w:pPr>
    </w:p>
    <w:p w14:paraId="053F45AD" w14:textId="77777777" w:rsidR="00793D30" w:rsidRDefault="00793D30" w:rsidP="00793D30">
      <w:pPr>
        <w:ind w:left="86"/>
        <w:rPr>
          <w:rFonts w:ascii="Trebuchet MS"/>
          <w:w w:val="80"/>
          <w:sz w:val="17"/>
          <w:lang w:val="uk-UA"/>
        </w:rPr>
      </w:pPr>
    </w:p>
    <w:p w14:paraId="6021E0B0" w14:textId="4CC8A82E" w:rsidR="00793D30" w:rsidRPr="003C6DAE" w:rsidRDefault="00793D30" w:rsidP="00793D30">
      <w:pPr>
        <w:ind w:left="86"/>
        <w:rPr>
          <w:rFonts w:ascii="Trebuchet MS"/>
          <w:sz w:val="17"/>
          <w:lang w:val="uk-UA"/>
        </w:rPr>
        <w:sectPr w:rsidR="00793D30" w:rsidRPr="003C6DAE">
          <w:type w:val="continuous"/>
          <w:pgSz w:w="11910" w:h="16840"/>
          <w:pgMar w:top="1920" w:right="1275" w:bottom="280" w:left="850" w:header="0" w:footer="573" w:gutter="0"/>
          <w:cols w:num="9" w:space="720" w:equalWidth="0">
            <w:col w:w="1625" w:space="40"/>
            <w:col w:w="395" w:space="39"/>
            <w:col w:w="538" w:space="39"/>
            <w:col w:w="277" w:space="40"/>
            <w:col w:w="1114" w:space="40"/>
            <w:col w:w="1309" w:space="39"/>
            <w:col w:w="1266" w:space="39"/>
            <w:col w:w="1331" w:space="39"/>
            <w:col w:w="1615"/>
          </w:cols>
        </w:sectPr>
      </w:pPr>
    </w:p>
    <w:p w14:paraId="0EB5B8F3" w14:textId="77777777" w:rsidR="00E05B98" w:rsidRPr="003C6DAE" w:rsidRDefault="00E05B98">
      <w:pPr>
        <w:pStyle w:val="a3"/>
        <w:spacing w:before="65"/>
        <w:rPr>
          <w:rFonts w:ascii="Trebuchet MS"/>
          <w:sz w:val="18"/>
          <w:lang w:val="uk-UA"/>
        </w:rPr>
      </w:pPr>
    </w:p>
    <w:p w14:paraId="6C85032A" w14:textId="1BBCAE71" w:rsidR="00E05B98" w:rsidRPr="00E8754E" w:rsidRDefault="00793D30">
      <w:pPr>
        <w:spacing w:line="254" w:lineRule="auto"/>
        <w:ind w:left="567" w:right="141"/>
        <w:jc w:val="both"/>
        <w:rPr>
          <w:sz w:val="16"/>
          <w:szCs w:val="16"/>
          <w:lang w:val="uk-UA"/>
        </w:rPr>
      </w:pPr>
      <w:r w:rsidRPr="00E8754E">
        <w:rPr>
          <w:sz w:val="16"/>
          <w:szCs w:val="16"/>
          <w:lang w:val="uk-UA"/>
        </w:rPr>
        <w:t xml:space="preserve">На </w:t>
      </w:r>
      <w:r w:rsidR="00E8754E" w:rsidRPr="00E8754E">
        <w:rPr>
          <w:sz w:val="16"/>
          <w:szCs w:val="16"/>
          <w:lang w:val="uk-UA"/>
        </w:rPr>
        <w:t>діаграмі</w:t>
      </w:r>
      <w:r w:rsidRPr="00E8754E">
        <w:rPr>
          <w:sz w:val="16"/>
          <w:szCs w:val="16"/>
          <w:lang w:val="uk-UA"/>
        </w:rPr>
        <w:t xml:space="preserve"> дослідження </w:t>
      </w:r>
      <w:r w:rsidR="00E8754E" w:rsidRPr="00E8754E">
        <w:rPr>
          <w:sz w:val="16"/>
          <w:szCs w:val="16"/>
          <w:lang w:val="uk-UA"/>
        </w:rPr>
        <w:t>впорядковано</w:t>
      </w:r>
      <w:r w:rsidRPr="00E8754E">
        <w:rPr>
          <w:sz w:val="16"/>
          <w:szCs w:val="16"/>
          <w:lang w:val="uk-UA"/>
        </w:rPr>
        <w:t xml:space="preserve"> за аналізом і </w:t>
      </w:r>
      <w:r w:rsidR="00E8754E" w:rsidRPr="00E8754E">
        <w:rPr>
          <w:sz w:val="16"/>
          <w:szCs w:val="16"/>
          <w:lang w:val="uk-UA"/>
        </w:rPr>
        <w:t>рівнем</w:t>
      </w:r>
      <w:r w:rsidRPr="00E8754E">
        <w:rPr>
          <w:sz w:val="16"/>
          <w:szCs w:val="16"/>
          <w:lang w:val="uk-UA"/>
        </w:rPr>
        <w:t xml:space="preserve"> чутливості (від низького до високого). FN: хибнонегативний результат; FP: хибнопозитивний результат; TN: істинно негативний результат; TP: істинно позитивний результат</w:t>
      </w:r>
      <w:r w:rsidR="00E8754E">
        <w:rPr>
          <w:sz w:val="16"/>
          <w:szCs w:val="16"/>
          <w:lang w:val="uk-UA"/>
        </w:rPr>
        <w:t>; ДІ: довірчий інтервал</w:t>
      </w:r>
      <w:r w:rsidR="004F6E51">
        <w:rPr>
          <w:sz w:val="16"/>
          <w:szCs w:val="16"/>
          <w:lang w:val="uk-UA"/>
        </w:rPr>
        <w:t>; ЛЖВ: люди, які живуть з ВІЛ</w:t>
      </w:r>
      <w:r w:rsidR="00E8754E">
        <w:rPr>
          <w:sz w:val="16"/>
          <w:szCs w:val="16"/>
          <w:lang w:val="uk-UA"/>
        </w:rPr>
        <w:t>.</w:t>
      </w:r>
    </w:p>
    <w:p w14:paraId="45D747A3" w14:textId="77777777" w:rsidR="00E05B98" w:rsidRPr="003C6DAE" w:rsidRDefault="00E05B98">
      <w:pPr>
        <w:pStyle w:val="a3"/>
        <w:spacing w:before="149"/>
        <w:rPr>
          <w:sz w:val="18"/>
          <w:lang w:val="uk-UA"/>
        </w:rPr>
      </w:pPr>
    </w:p>
    <w:p w14:paraId="6EE408E9" w14:textId="7DBC6ECD" w:rsidR="00E05B98" w:rsidRPr="003C6DAE" w:rsidRDefault="00793D30">
      <w:pPr>
        <w:pStyle w:val="7"/>
        <w:jc w:val="both"/>
        <w:rPr>
          <w:lang w:val="uk-UA"/>
        </w:rPr>
      </w:pPr>
      <w:r>
        <w:rPr>
          <w:color w:val="019648"/>
          <w:lang w:val="uk-UA"/>
        </w:rPr>
        <w:t xml:space="preserve">Аналіз ефективності </w:t>
      </w:r>
      <w:r w:rsidR="001E5AF1">
        <w:rPr>
          <w:color w:val="019648"/>
          <w:lang w:val="uk-UA"/>
        </w:rPr>
        <w:t>ви</w:t>
      </w:r>
      <w:r>
        <w:rPr>
          <w:color w:val="019648"/>
          <w:lang w:val="uk-UA"/>
        </w:rPr>
        <w:t>трат</w:t>
      </w:r>
    </w:p>
    <w:p w14:paraId="791E9934" w14:textId="7BAA5D8E" w:rsidR="00E05B98" w:rsidRPr="00793D30" w:rsidRDefault="007E45B4" w:rsidP="007E45B4">
      <w:pPr>
        <w:pStyle w:val="a3"/>
        <w:spacing w:before="227" w:line="297" w:lineRule="auto"/>
        <w:ind w:left="567" w:right="139"/>
        <w:jc w:val="both"/>
        <w:rPr>
          <w:sz w:val="20"/>
          <w:szCs w:val="20"/>
          <w:lang w:val="uk-UA"/>
        </w:rPr>
        <w:sectPr w:rsidR="00E05B98" w:rsidRPr="00793D30" w:rsidSect="007E45B4">
          <w:type w:val="continuous"/>
          <w:pgSz w:w="11910" w:h="16840"/>
          <w:pgMar w:top="1920" w:right="995" w:bottom="280" w:left="850" w:header="0" w:footer="573" w:gutter="0"/>
          <w:cols w:space="720"/>
        </w:sectPr>
      </w:pPr>
      <w:r w:rsidRPr="007E45B4">
        <w:rPr>
          <w:sz w:val="20"/>
          <w:szCs w:val="20"/>
          <w:lang w:val="uk-UA"/>
        </w:rPr>
        <w:t xml:space="preserve">На сьогодні докази ефективності </w:t>
      </w:r>
      <w:r w:rsidR="004F6E51">
        <w:rPr>
          <w:sz w:val="20"/>
          <w:szCs w:val="20"/>
          <w:lang w:val="uk-UA"/>
        </w:rPr>
        <w:t xml:space="preserve">витрат </w:t>
      </w:r>
      <w:r w:rsidRPr="007E45B4">
        <w:rPr>
          <w:sz w:val="20"/>
          <w:szCs w:val="20"/>
          <w:lang w:val="uk-UA"/>
        </w:rPr>
        <w:t>одночасного тестування обмежені. Кілька досліджень оцінювали використання Xpert MTB/RIF з LF-LAM для діагностики ТБ серед людей, які живуть з ВІЛ. Ці дослідження показали, що одночасне тестування, ймовірно, збільшує тривалість життя людей, які живуть з ВІЛ, і є економічно ефективним порівняно з використанням тільки Xpert MTB/RIF на зразках мокротиння.</w:t>
      </w:r>
      <w:r>
        <w:rPr>
          <w:sz w:val="20"/>
          <w:szCs w:val="20"/>
          <w:lang w:val="uk-UA"/>
        </w:rPr>
        <w:t xml:space="preserve"> </w:t>
      </w:r>
      <w:r w:rsidRPr="007E45B4">
        <w:rPr>
          <w:sz w:val="20"/>
          <w:szCs w:val="20"/>
          <w:lang w:val="uk-UA"/>
        </w:rPr>
        <w:t xml:space="preserve">Фекуда та ін. оцінили ефективність </w:t>
      </w:r>
      <w:r w:rsidR="004F6E51">
        <w:rPr>
          <w:sz w:val="20"/>
          <w:szCs w:val="20"/>
          <w:lang w:val="uk-UA"/>
        </w:rPr>
        <w:t xml:space="preserve">витрат при </w:t>
      </w:r>
      <w:r w:rsidRPr="007E45B4">
        <w:rPr>
          <w:sz w:val="20"/>
          <w:szCs w:val="20"/>
          <w:lang w:val="uk-UA"/>
        </w:rPr>
        <w:t>одночасно</w:t>
      </w:r>
      <w:r w:rsidR="004F6E51">
        <w:rPr>
          <w:sz w:val="20"/>
          <w:szCs w:val="20"/>
          <w:lang w:val="uk-UA"/>
        </w:rPr>
        <w:t>му</w:t>
      </w:r>
      <w:r w:rsidRPr="007E45B4">
        <w:rPr>
          <w:sz w:val="20"/>
          <w:szCs w:val="20"/>
          <w:lang w:val="uk-UA"/>
        </w:rPr>
        <w:t xml:space="preserve"> використанн</w:t>
      </w:r>
      <w:r w:rsidR="004F6E51">
        <w:rPr>
          <w:sz w:val="20"/>
          <w:szCs w:val="20"/>
          <w:lang w:val="uk-UA"/>
        </w:rPr>
        <w:t>і</w:t>
      </w:r>
      <w:r w:rsidRPr="007E45B4">
        <w:rPr>
          <w:sz w:val="20"/>
          <w:szCs w:val="20"/>
          <w:lang w:val="uk-UA"/>
        </w:rPr>
        <w:t xml:space="preserve"> Xpert Ultra та LF-LAM серед людей, які живуть з ВІЛ, і дійшли висновку, що одночасне тестування є кращою </w:t>
      </w:r>
    </w:p>
    <w:p w14:paraId="25E84D23" w14:textId="45C5AF07" w:rsidR="00E05B98" w:rsidRPr="00793D30" w:rsidRDefault="007E45B4">
      <w:pPr>
        <w:pStyle w:val="a3"/>
        <w:spacing w:before="52" w:line="297" w:lineRule="auto"/>
        <w:ind w:left="567" w:right="139"/>
        <w:jc w:val="both"/>
        <w:rPr>
          <w:rFonts w:ascii="Arial" w:hAnsi="Arial"/>
          <w:b/>
          <w:sz w:val="20"/>
          <w:szCs w:val="20"/>
          <w:lang w:val="uk-UA"/>
        </w:rPr>
      </w:pPr>
      <w:r w:rsidRPr="007E45B4">
        <w:rPr>
          <w:sz w:val="20"/>
          <w:szCs w:val="20"/>
          <w:lang w:val="uk-UA"/>
        </w:rPr>
        <w:lastRenderedPageBreak/>
        <w:t xml:space="preserve">стратегією з токи зору ефективності затрат. Попередні аналізи ефективності </w:t>
      </w:r>
      <w:r w:rsidR="004F6E51">
        <w:rPr>
          <w:sz w:val="20"/>
          <w:szCs w:val="20"/>
          <w:lang w:val="uk-UA"/>
        </w:rPr>
        <w:t xml:space="preserve">витрат </w:t>
      </w:r>
      <w:r w:rsidRPr="007E45B4">
        <w:rPr>
          <w:sz w:val="20"/>
          <w:szCs w:val="20"/>
          <w:lang w:val="uk-UA"/>
        </w:rPr>
        <w:t xml:space="preserve">були зосереджені переважно на Xpert MTB/ RIF або Xpert Ultra, залишаючи прогалину в доказах щодо застосування інших технологій, які можуть відповідати критеріям класу тесту аТАНК-НС. Детальну інформацію про конкретні дослідження див. у </w:t>
      </w:r>
      <w:r w:rsidRPr="007E45B4">
        <w:rPr>
          <w:b/>
          <w:bCs/>
          <w:sz w:val="20"/>
          <w:szCs w:val="20"/>
          <w:lang w:val="uk-UA"/>
        </w:rPr>
        <w:t>веб-додатку В.9</w:t>
      </w:r>
      <w:r w:rsidRPr="007E45B4">
        <w:rPr>
          <w:sz w:val="20"/>
          <w:szCs w:val="20"/>
          <w:lang w:val="uk-UA"/>
        </w:rPr>
        <w:t>.</w:t>
      </w:r>
    </w:p>
    <w:p w14:paraId="5BE40B42" w14:textId="00DB78B1" w:rsidR="00E05B98" w:rsidRPr="00793D30" w:rsidRDefault="009D5BE3">
      <w:pPr>
        <w:pStyle w:val="a3"/>
        <w:spacing w:before="172" w:line="297" w:lineRule="auto"/>
        <w:ind w:left="567" w:right="139"/>
        <w:jc w:val="both"/>
        <w:rPr>
          <w:sz w:val="20"/>
          <w:szCs w:val="20"/>
          <w:lang w:val="uk-UA"/>
        </w:rPr>
      </w:pPr>
      <w:r w:rsidRPr="009D5BE3">
        <w:rPr>
          <w:spacing w:val="-4"/>
          <w:sz w:val="20"/>
          <w:szCs w:val="20"/>
          <w:lang w:val="uk-UA"/>
        </w:rPr>
        <w:t>У рамках підготовки до з</w:t>
      </w:r>
      <w:r w:rsidR="00FA7E64">
        <w:rPr>
          <w:spacing w:val="-4"/>
          <w:sz w:val="20"/>
          <w:szCs w:val="20"/>
          <w:lang w:val="uk-UA"/>
        </w:rPr>
        <w:t xml:space="preserve">устрічі </w:t>
      </w:r>
      <w:r w:rsidRPr="009D5BE3">
        <w:rPr>
          <w:spacing w:val="-4"/>
          <w:sz w:val="20"/>
          <w:szCs w:val="20"/>
          <w:lang w:val="uk-UA"/>
        </w:rPr>
        <w:t>ГРН у травні 2024 року ВООЗ замовила дослідження для оцінки ефективності затрат на використання аТАНК-НС (включаючи Xpert Ultra, Truenat та інші нові аТАНК-НС, що перебувають на стадії розробки) для виявлення ТБ при одночасному їх застосуванні серед ЛЖВ та дітей, у тому числі дітей з ВІЛ, у двох різних країнах (Малаві та Філіппіни).</w:t>
      </w:r>
      <w:r w:rsidR="00B01E0C" w:rsidRPr="00793D30">
        <w:rPr>
          <w:sz w:val="20"/>
          <w:szCs w:val="20"/>
          <w:lang w:val="uk-UA"/>
        </w:rPr>
        <w:t xml:space="preserve"> </w:t>
      </w:r>
      <w:r w:rsidRPr="009D5BE3">
        <w:rPr>
          <w:sz w:val="20"/>
          <w:szCs w:val="20"/>
          <w:lang w:val="uk-UA"/>
        </w:rPr>
        <w:t xml:space="preserve">Мета дослідження полягала в тому, щоб оцінити ефективність </w:t>
      </w:r>
      <w:r w:rsidR="004F6E51">
        <w:rPr>
          <w:sz w:val="20"/>
          <w:szCs w:val="20"/>
          <w:lang w:val="uk-UA"/>
        </w:rPr>
        <w:t xml:space="preserve">витрат при </w:t>
      </w:r>
      <w:r w:rsidRPr="009D5BE3">
        <w:rPr>
          <w:sz w:val="20"/>
          <w:szCs w:val="20"/>
          <w:lang w:val="uk-UA"/>
        </w:rPr>
        <w:t>одночасно</w:t>
      </w:r>
      <w:r w:rsidR="004F6E51">
        <w:rPr>
          <w:sz w:val="20"/>
          <w:szCs w:val="20"/>
          <w:lang w:val="uk-UA"/>
        </w:rPr>
        <w:t>му</w:t>
      </w:r>
      <w:r w:rsidRPr="009D5BE3">
        <w:rPr>
          <w:sz w:val="20"/>
          <w:szCs w:val="20"/>
          <w:lang w:val="uk-UA"/>
        </w:rPr>
        <w:t xml:space="preserve"> застосуванн</w:t>
      </w:r>
      <w:r w:rsidR="004F6E51">
        <w:rPr>
          <w:sz w:val="20"/>
          <w:szCs w:val="20"/>
          <w:lang w:val="uk-UA"/>
        </w:rPr>
        <w:t>і</w:t>
      </w:r>
      <w:r w:rsidRPr="009D5BE3">
        <w:rPr>
          <w:sz w:val="20"/>
          <w:szCs w:val="20"/>
          <w:lang w:val="uk-UA"/>
        </w:rPr>
        <w:t xml:space="preserve"> аТАНК-НС на зразках із дихальних шляхів та аналізу LF-LAM на зразках сечі для діагностики ТБ та виявлення стійкості до рифампіцину серед дорослих ЛЖВ з підозрою на ТБ, порівняно з використанням лише одного аТАНК-НС на зразках із дихальних шляхів</w:t>
      </w:r>
      <w:r w:rsidR="00B01E0C" w:rsidRPr="00793D30">
        <w:rPr>
          <w:sz w:val="20"/>
          <w:szCs w:val="20"/>
          <w:lang w:val="uk-UA"/>
        </w:rPr>
        <w:t>.</w:t>
      </w:r>
    </w:p>
    <w:p w14:paraId="5690D11F" w14:textId="209DA9E1" w:rsidR="00E05B98" w:rsidRPr="00793D30" w:rsidRDefault="009D5BE3">
      <w:pPr>
        <w:pStyle w:val="a3"/>
        <w:spacing w:before="180" w:line="297" w:lineRule="auto"/>
        <w:ind w:left="567" w:right="138"/>
        <w:jc w:val="both"/>
        <w:rPr>
          <w:sz w:val="20"/>
          <w:szCs w:val="20"/>
          <w:lang w:val="uk-UA"/>
        </w:rPr>
      </w:pPr>
      <w:r w:rsidRPr="009D5BE3">
        <w:rPr>
          <w:sz w:val="20"/>
          <w:szCs w:val="20"/>
          <w:lang w:val="uk-UA"/>
        </w:rPr>
        <w:t xml:space="preserve">При гіпотетичній моделі, когорта ЛЖВ з ознаки та симптоми ТБ проходила через систему аналізу прийняття рішень. У групі інтервенції діагностика ТБ включала одночасне використання аТАНК-НС на зразках </w:t>
      </w:r>
      <w:r w:rsidR="00FA7E64">
        <w:rPr>
          <w:sz w:val="20"/>
          <w:szCs w:val="20"/>
          <w:lang w:val="uk-UA"/>
        </w:rPr>
        <w:t>і</w:t>
      </w:r>
      <w:r w:rsidRPr="009D5BE3">
        <w:rPr>
          <w:sz w:val="20"/>
          <w:szCs w:val="20"/>
          <w:lang w:val="uk-UA"/>
        </w:rPr>
        <w:t xml:space="preserve">з дихальних шляхів та аналіз LF-LAM на зразках сечі, тоді як у групі порівняння використовували виключно аТАНК-НС на зразках </w:t>
      </w:r>
      <w:r w:rsidR="00FA7E64">
        <w:rPr>
          <w:sz w:val="20"/>
          <w:szCs w:val="20"/>
          <w:lang w:val="uk-UA"/>
        </w:rPr>
        <w:t>і</w:t>
      </w:r>
      <w:r w:rsidRPr="009D5BE3">
        <w:rPr>
          <w:sz w:val="20"/>
          <w:szCs w:val="20"/>
          <w:lang w:val="uk-UA"/>
        </w:rPr>
        <w:t>з дихальних шляхів.</w:t>
      </w:r>
      <w:r w:rsidR="00B01E0C" w:rsidRPr="00793D30">
        <w:rPr>
          <w:sz w:val="20"/>
          <w:szCs w:val="20"/>
          <w:lang w:val="uk-UA"/>
        </w:rPr>
        <w:t xml:space="preserve"> </w:t>
      </w:r>
      <w:r w:rsidR="009A4C50" w:rsidRPr="009A4C50">
        <w:rPr>
          <w:sz w:val="20"/>
          <w:szCs w:val="20"/>
          <w:lang w:val="uk-UA"/>
        </w:rPr>
        <w:t xml:space="preserve">Було розглянуто ймовірність можливості надання зразка із дихальних шляхів, і тестування проводили або одночасно на зразках із дихальних шляхів і сечі або тільки на зразках сечі. Як у групі інтервенції, так і в групі порівняння, учасники, яким не було поставлено діагноз за допомогою діагностичної стратегії, мали можливість пройти клінічну діагностику. Особи з бактеріологічно підтвердженим ТБ проходили ТМЧ </w:t>
      </w:r>
      <w:r w:rsidR="00FA7E64">
        <w:rPr>
          <w:sz w:val="20"/>
          <w:szCs w:val="20"/>
          <w:lang w:val="uk-UA"/>
        </w:rPr>
        <w:t xml:space="preserve">до </w:t>
      </w:r>
      <w:r w:rsidR="009A4C50" w:rsidRPr="009A4C50">
        <w:rPr>
          <w:sz w:val="20"/>
          <w:szCs w:val="20"/>
          <w:lang w:val="uk-UA"/>
        </w:rPr>
        <w:t>рифампіцин</w:t>
      </w:r>
      <w:r w:rsidR="00FA7E64">
        <w:rPr>
          <w:sz w:val="20"/>
          <w:szCs w:val="20"/>
          <w:lang w:val="uk-UA"/>
        </w:rPr>
        <w:t>у</w:t>
      </w:r>
      <w:r w:rsidR="009A4C50" w:rsidRPr="009A4C50">
        <w:rPr>
          <w:sz w:val="20"/>
          <w:szCs w:val="20"/>
          <w:lang w:val="uk-UA"/>
        </w:rPr>
        <w:t xml:space="preserve"> та розпочинали лікування чутливого до </w:t>
      </w:r>
      <w:r w:rsidR="00507F6E" w:rsidRPr="009A4C50">
        <w:rPr>
          <w:sz w:val="20"/>
          <w:szCs w:val="20"/>
          <w:lang w:val="uk-UA"/>
        </w:rPr>
        <w:t>лікарських</w:t>
      </w:r>
      <w:r w:rsidR="009A4C50" w:rsidRPr="009A4C50">
        <w:rPr>
          <w:sz w:val="20"/>
          <w:szCs w:val="20"/>
          <w:lang w:val="uk-UA"/>
        </w:rPr>
        <w:t xml:space="preserve"> засобів ТБ або ЛС-ТБ, залежно від результату ТМЧ. Щодо всіх осіб, включно з тими, хто отримав хибнонегативний або хибнопозитивний результат діагностики, здійснювали спостереження протягом певного часу, щоб врахувати непотрібне лікування або додаткові випадки смертні через </w:t>
      </w:r>
      <w:r w:rsidR="009A4C50" w:rsidRPr="004F6E51">
        <w:rPr>
          <w:sz w:val="20"/>
          <w:szCs w:val="20"/>
          <w:lang w:val="uk-UA"/>
        </w:rPr>
        <w:t>пропущені діагнози.</w:t>
      </w:r>
    </w:p>
    <w:p w14:paraId="0CB36C8E" w14:textId="16F277C0" w:rsidR="00E05B98" w:rsidRPr="00793D30" w:rsidRDefault="009A4C50">
      <w:pPr>
        <w:pStyle w:val="a3"/>
        <w:spacing w:before="185" w:line="297" w:lineRule="auto"/>
        <w:ind w:left="567" w:right="138"/>
        <w:jc w:val="both"/>
        <w:rPr>
          <w:sz w:val="20"/>
          <w:szCs w:val="20"/>
          <w:lang w:val="uk-UA"/>
        </w:rPr>
      </w:pPr>
      <w:r w:rsidRPr="009A4C50">
        <w:rPr>
          <w:spacing w:val="-2"/>
          <w:sz w:val="20"/>
          <w:szCs w:val="20"/>
          <w:lang w:val="uk-UA"/>
        </w:rPr>
        <w:t xml:space="preserve">Результати економічної ефективності одночасного застосування аТАНК-НС </w:t>
      </w:r>
      <w:r w:rsidR="001E5AF1">
        <w:rPr>
          <w:spacing w:val="-2"/>
          <w:sz w:val="20"/>
          <w:szCs w:val="20"/>
          <w:lang w:val="uk-UA"/>
        </w:rPr>
        <w:t xml:space="preserve">разом </w:t>
      </w:r>
      <w:r w:rsidRPr="009A4C50">
        <w:rPr>
          <w:spacing w:val="-2"/>
          <w:sz w:val="20"/>
          <w:szCs w:val="20"/>
          <w:lang w:val="uk-UA"/>
        </w:rPr>
        <w:t>з LF-LAM серед людей, які живуть з ВІЛ, при використанні в символічних умовах у Малаві та на Філіппінах наведені в Таблиці 2.3.1.1. У Малаві середня вартість проведення аТАНК-НС на зразках із дихальних шляхів становила 276 доларів США, а відповідний середній показник DALY - 2,44. При одночасному застосуванні з аналізом LF-LAM середня вартість тестування зросла до 298 доларів США, а середній показник DALY знизився до 1,93.</w:t>
      </w:r>
      <w:r w:rsidR="00B01E0C" w:rsidRPr="00793D30">
        <w:rPr>
          <w:spacing w:val="-12"/>
          <w:sz w:val="20"/>
          <w:szCs w:val="20"/>
          <w:lang w:val="uk-UA"/>
        </w:rPr>
        <w:t xml:space="preserve"> </w:t>
      </w:r>
      <w:r w:rsidR="00982C66" w:rsidRPr="00982C66">
        <w:rPr>
          <w:spacing w:val="-2"/>
          <w:sz w:val="20"/>
          <w:szCs w:val="20"/>
          <w:lang w:val="uk-UA"/>
        </w:rPr>
        <w:t>Кінцев</w:t>
      </w:r>
      <w:r w:rsidR="00FA7E64">
        <w:rPr>
          <w:spacing w:val="-2"/>
          <w:sz w:val="20"/>
          <w:szCs w:val="20"/>
          <w:lang w:val="uk-UA"/>
        </w:rPr>
        <w:t>а</w:t>
      </w:r>
      <w:r w:rsidR="00982C66" w:rsidRPr="00982C66">
        <w:rPr>
          <w:spacing w:val="-2"/>
          <w:sz w:val="20"/>
          <w:szCs w:val="20"/>
          <w:lang w:val="uk-UA"/>
        </w:rPr>
        <w:t xml:space="preserve"> додаткова вартість за один DALY</w:t>
      </w:r>
      <w:r w:rsidR="00E31B85">
        <w:rPr>
          <w:spacing w:val="-2"/>
          <w:sz w:val="20"/>
          <w:szCs w:val="20"/>
          <w:lang w:val="uk-UA"/>
        </w:rPr>
        <w:t>, якому вдалося запобігти,</w:t>
      </w:r>
      <w:r w:rsidR="00982C66" w:rsidRPr="00982C66">
        <w:rPr>
          <w:spacing w:val="-2"/>
          <w:sz w:val="20"/>
          <w:szCs w:val="20"/>
          <w:lang w:val="uk-UA"/>
        </w:rPr>
        <w:t xml:space="preserve"> становила 42 долари США з 95%-</w:t>
      </w:r>
      <w:proofErr w:type="spellStart"/>
      <w:r w:rsidR="00982C66" w:rsidRPr="00982C66">
        <w:rPr>
          <w:spacing w:val="-2"/>
          <w:sz w:val="20"/>
          <w:szCs w:val="20"/>
          <w:lang w:val="uk-UA"/>
        </w:rPr>
        <w:t>вим</w:t>
      </w:r>
      <w:proofErr w:type="spellEnd"/>
      <w:r w:rsidR="00982C66" w:rsidRPr="00982C66">
        <w:rPr>
          <w:spacing w:val="-2"/>
          <w:sz w:val="20"/>
          <w:szCs w:val="20"/>
          <w:lang w:val="uk-UA"/>
        </w:rPr>
        <w:t xml:space="preserve"> діапазоном </w:t>
      </w:r>
      <w:r w:rsidR="00507F6E" w:rsidRPr="00982C66">
        <w:rPr>
          <w:spacing w:val="-2"/>
          <w:sz w:val="20"/>
          <w:szCs w:val="20"/>
          <w:lang w:val="uk-UA"/>
        </w:rPr>
        <w:t>невизначеності</w:t>
      </w:r>
      <w:r w:rsidR="00982C66" w:rsidRPr="00982C66">
        <w:rPr>
          <w:spacing w:val="-2"/>
          <w:sz w:val="20"/>
          <w:szCs w:val="20"/>
          <w:lang w:val="uk-UA"/>
        </w:rPr>
        <w:t xml:space="preserve"> (UR) </w:t>
      </w:r>
      <w:r w:rsidR="00701098" w:rsidRPr="00701098">
        <w:rPr>
          <w:spacing w:val="-2"/>
          <w:sz w:val="20"/>
          <w:szCs w:val="20"/>
          <w:lang w:val="ru-RU"/>
        </w:rPr>
        <w:t xml:space="preserve">- </w:t>
      </w:r>
      <w:r w:rsidR="00982C66" w:rsidRPr="00982C66">
        <w:rPr>
          <w:spacing w:val="-2"/>
          <w:sz w:val="20"/>
          <w:szCs w:val="20"/>
          <w:lang w:val="uk-UA"/>
        </w:rPr>
        <w:t xml:space="preserve">від 18 до 345 доларів США. Аналогічно, на Філіппінах </w:t>
      </w:r>
      <w:r w:rsidR="00507F6E" w:rsidRPr="00982C66">
        <w:rPr>
          <w:spacing w:val="-2"/>
          <w:sz w:val="20"/>
          <w:szCs w:val="20"/>
          <w:lang w:val="uk-UA"/>
        </w:rPr>
        <w:t>вартість</w:t>
      </w:r>
      <w:r w:rsidR="00982C66" w:rsidRPr="00982C66">
        <w:rPr>
          <w:spacing w:val="-2"/>
          <w:sz w:val="20"/>
          <w:szCs w:val="20"/>
          <w:lang w:val="uk-UA"/>
        </w:rPr>
        <w:t xml:space="preserve"> дослідження зразків із респіраторних шляхів за допомогою аТАНК-НС в середньому становила 220 доларів США, а середній показник DALY становив 2,78, тоді як одночасне застосування цього тесту з аналізом LF-LAM в середньому коштувало 238 доларів США, а середній показник DALY становив 2,13. Додаткові витрати на кожний DALY</w:t>
      </w:r>
      <w:r w:rsidR="00E31B85">
        <w:rPr>
          <w:spacing w:val="-2"/>
          <w:sz w:val="20"/>
          <w:szCs w:val="20"/>
          <w:lang w:val="uk-UA"/>
        </w:rPr>
        <w:t>, якому вдалося запобігти,</w:t>
      </w:r>
      <w:r w:rsidR="00982C66" w:rsidRPr="00982C66">
        <w:rPr>
          <w:spacing w:val="-2"/>
          <w:sz w:val="20"/>
          <w:szCs w:val="20"/>
          <w:lang w:val="uk-UA"/>
        </w:rPr>
        <w:t xml:space="preserve"> становили 28 доларів США (95%-вий діапазон невизначеності: 12-249).</w:t>
      </w:r>
    </w:p>
    <w:p w14:paraId="5A583257" w14:textId="77777777" w:rsidR="00E05B98" w:rsidRPr="00793D30" w:rsidRDefault="00E05B98">
      <w:pPr>
        <w:pStyle w:val="a3"/>
        <w:spacing w:line="297" w:lineRule="auto"/>
        <w:jc w:val="both"/>
        <w:rPr>
          <w:sz w:val="20"/>
          <w:szCs w:val="20"/>
          <w:lang w:val="uk-UA"/>
        </w:rPr>
        <w:sectPr w:rsidR="00E05B98" w:rsidRPr="00793D30" w:rsidSect="007E45B4">
          <w:pgSz w:w="11910" w:h="16840"/>
          <w:pgMar w:top="1320" w:right="995" w:bottom="760" w:left="850" w:header="0" w:footer="573" w:gutter="0"/>
          <w:cols w:space="720"/>
        </w:sectPr>
      </w:pPr>
    </w:p>
    <w:p w14:paraId="04901AA3" w14:textId="0B280C2F" w:rsidR="00E05B98" w:rsidRPr="00793D30" w:rsidRDefault="00982C66" w:rsidP="0091331B">
      <w:pPr>
        <w:pStyle w:val="6"/>
        <w:spacing w:line="249" w:lineRule="auto"/>
        <w:ind w:right="1"/>
        <w:rPr>
          <w:sz w:val="20"/>
          <w:szCs w:val="20"/>
          <w:lang w:val="uk-UA"/>
        </w:rPr>
      </w:pPr>
      <w:r>
        <w:rPr>
          <w:color w:val="636466"/>
          <w:sz w:val="20"/>
          <w:szCs w:val="20"/>
          <w:lang w:val="uk-UA"/>
        </w:rPr>
        <w:lastRenderedPageBreak/>
        <w:t>Таблиця</w:t>
      </w:r>
      <w:r w:rsidR="00B01E0C" w:rsidRPr="00793D30">
        <w:rPr>
          <w:color w:val="636466"/>
          <w:spacing w:val="21"/>
          <w:sz w:val="20"/>
          <w:szCs w:val="20"/>
          <w:lang w:val="uk-UA"/>
        </w:rPr>
        <w:t xml:space="preserve"> </w:t>
      </w:r>
      <w:r w:rsidR="00B01E0C" w:rsidRPr="00793D30">
        <w:rPr>
          <w:color w:val="636466"/>
          <w:sz w:val="20"/>
          <w:szCs w:val="20"/>
          <w:lang w:val="uk-UA"/>
        </w:rPr>
        <w:t>2.3.1.1</w:t>
      </w:r>
      <w:r w:rsidR="00B01E0C" w:rsidRPr="00793D30">
        <w:rPr>
          <w:color w:val="636466"/>
          <w:spacing w:val="21"/>
          <w:sz w:val="20"/>
          <w:szCs w:val="20"/>
          <w:lang w:val="uk-UA"/>
        </w:rPr>
        <w:t xml:space="preserve"> </w:t>
      </w:r>
      <w:r w:rsidRPr="00982C66">
        <w:rPr>
          <w:color w:val="636466"/>
          <w:sz w:val="20"/>
          <w:szCs w:val="20"/>
          <w:lang w:val="uk-UA"/>
        </w:rPr>
        <w:t xml:space="preserve">Аналіз ефективності </w:t>
      </w:r>
      <w:r w:rsidR="00507F6E">
        <w:rPr>
          <w:color w:val="636466"/>
          <w:sz w:val="20"/>
          <w:szCs w:val="20"/>
          <w:lang w:val="uk-UA"/>
        </w:rPr>
        <w:t>ви</w:t>
      </w:r>
      <w:r w:rsidRPr="00982C66">
        <w:rPr>
          <w:color w:val="636466"/>
          <w:sz w:val="20"/>
          <w:szCs w:val="20"/>
          <w:lang w:val="uk-UA"/>
        </w:rPr>
        <w:t>трат при одночасному застосуванні аТАНК-НС та аналізу LF-LAM серед людей, які живуть з ВІЛ, у Малаві та на Філіппінах</w:t>
      </w:r>
    </w:p>
    <w:p w14:paraId="275A8954" w14:textId="77777777" w:rsidR="00E05B98" w:rsidRPr="003C6DAE" w:rsidRDefault="00E05B98">
      <w:pPr>
        <w:pStyle w:val="a3"/>
        <w:spacing w:before="5"/>
        <w:rPr>
          <w:rFonts w:ascii="Arial"/>
          <w:b/>
          <w:sz w:val="16"/>
          <w:lang w:val="uk-UA"/>
        </w:rPr>
      </w:pPr>
    </w:p>
    <w:tbl>
      <w:tblPr>
        <w:tblStyle w:val="TableNormal"/>
        <w:tblW w:w="9609" w:type="dxa"/>
        <w:tblInd w:w="58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1304"/>
        <w:gridCol w:w="2835"/>
        <w:gridCol w:w="1021"/>
        <w:gridCol w:w="1701"/>
        <w:gridCol w:w="2748"/>
      </w:tblGrid>
      <w:tr w:rsidR="00E05B98" w:rsidRPr="00D029FF" w14:paraId="6F083951" w14:textId="77777777" w:rsidTr="0091331B">
        <w:trPr>
          <w:trHeight w:val="690"/>
        </w:trPr>
        <w:tc>
          <w:tcPr>
            <w:tcW w:w="1304" w:type="dxa"/>
            <w:tcBorders>
              <w:bottom w:val="single" w:sz="6" w:space="0" w:color="019648"/>
              <w:right w:val="single" w:sz="6" w:space="0" w:color="019648"/>
            </w:tcBorders>
            <w:shd w:val="clear" w:color="auto" w:fill="62A86B"/>
          </w:tcPr>
          <w:p w14:paraId="57531223" w14:textId="126D836E" w:rsidR="00E05B98" w:rsidRPr="00982C66" w:rsidRDefault="00982C66">
            <w:pPr>
              <w:pStyle w:val="TableParagraph"/>
              <w:spacing w:before="225"/>
              <w:ind w:left="136"/>
              <w:rPr>
                <w:rFonts w:asciiTheme="minorHAnsi" w:hAnsiTheme="minorHAnsi" w:cstheme="minorHAnsi"/>
                <w:b/>
                <w:sz w:val="19"/>
                <w:szCs w:val="19"/>
                <w:lang w:val="uk-UA"/>
              </w:rPr>
            </w:pPr>
            <w:r w:rsidRPr="00982C66">
              <w:rPr>
                <w:rFonts w:asciiTheme="minorHAnsi" w:hAnsiTheme="minorHAnsi" w:cstheme="minorHAnsi"/>
                <w:b/>
                <w:color w:val="FFFFFF"/>
                <w:spacing w:val="-2"/>
                <w:sz w:val="19"/>
                <w:szCs w:val="19"/>
                <w:lang w:val="uk-UA"/>
              </w:rPr>
              <w:t>Країна</w:t>
            </w:r>
          </w:p>
        </w:tc>
        <w:tc>
          <w:tcPr>
            <w:tcW w:w="2835" w:type="dxa"/>
            <w:tcBorders>
              <w:left w:val="single" w:sz="6" w:space="0" w:color="019648"/>
              <w:bottom w:val="single" w:sz="6" w:space="0" w:color="019648"/>
              <w:right w:val="single" w:sz="6" w:space="0" w:color="019648"/>
            </w:tcBorders>
            <w:shd w:val="clear" w:color="auto" w:fill="62A86B"/>
          </w:tcPr>
          <w:p w14:paraId="28EBB284" w14:textId="5595F362" w:rsidR="00E05B98" w:rsidRPr="00982C66" w:rsidRDefault="00982C66">
            <w:pPr>
              <w:pStyle w:val="TableParagraph"/>
              <w:spacing w:before="225"/>
              <w:ind w:left="138"/>
              <w:rPr>
                <w:rFonts w:asciiTheme="minorHAnsi" w:hAnsiTheme="minorHAnsi" w:cstheme="minorHAnsi"/>
                <w:b/>
                <w:sz w:val="19"/>
                <w:szCs w:val="19"/>
                <w:lang w:val="uk-UA"/>
              </w:rPr>
            </w:pPr>
            <w:r w:rsidRPr="00982C66">
              <w:rPr>
                <w:rFonts w:asciiTheme="minorHAnsi" w:hAnsiTheme="minorHAnsi" w:cstheme="minorHAnsi"/>
                <w:b/>
                <w:color w:val="FFFFFF"/>
                <w:spacing w:val="-2"/>
                <w:sz w:val="19"/>
                <w:szCs w:val="19"/>
                <w:lang w:val="uk-UA"/>
              </w:rPr>
              <w:t>Стратегія діагностики</w:t>
            </w:r>
          </w:p>
        </w:tc>
        <w:tc>
          <w:tcPr>
            <w:tcW w:w="1021" w:type="dxa"/>
            <w:tcBorders>
              <w:left w:val="single" w:sz="6" w:space="0" w:color="019648"/>
              <w:bottom w:val="single" w:sz="6" w:space="0" w:color="019648"/>
              <w:right w:val="single" w:sz="6" w:space="0" w:color="019648"/>
            </w:tcBorders>
            <w:shd w:val="clear" w:color="auto" w:fill="62A86B"/>
          </w:tcPr>
          <w:p w14:paraId="752C37B5" w14:textId="4009224B" w:rsidR="00E05B98" w:rsidRPr="00982C66" w:rsidRDefault="00507F6E" w:rsidP="00982C66">
            <w:pPr>
              <w:pStyle w:val="TableParagraph"/>
              <w:spacing w:before="95" w:line="247" w:lineRule="auto"/>
              <w:ind w:left="138" w:right="83"/>
              <w:rPr>
                <w:rFonts w:asciiTheme="minorHAnsi" w:hAnsiTheme="minorHAnsi" w:cstheme="minorHAnsi"/>
                <w:b/>
                <w:sz w:val="19"/>
                <w:szCs w:val="19"/>
                <w:lang w:val="uk-UA"/>
              </w:rPr>
            </w:pPr>
            <w:r w:rsidRPr="00982C66">
              <w:rPr>
                <w:rFonts w:asciiTheme="minorHAnsi" w:hAnsiTheme="minorHAnsi" w:cstheme="minorHAnsi"/>
                <w:b/>
                <w:color w:val="FFFFFF"/>
                <w:spacing w:val="-4"/>
                <w:w w:val="90"/>
                <w:sz w:val="19"/>
                <w:szCs w:val="19"/>
                <w:lang w:val="uk-UA"/>
              </w:rPr>
              <w:t>Вартість</w:t>
            </w:r>
            <w:r w:rsidR="00B01E0C" w:rsidRPr="00982C66">
              <w:rPr>
                <w:rFonts w:asciiTheme="minorHAnsi" w:hAnsiTheme="minorHAnsi" w:cstheme="minorHAnsi"/>
                <w:b/>
                <w:color w:val="FFFFFF"/>
                <w:spacing w:val="-4"/>
                <w:w w:val="90"/>
                <w:sz w:val="19"/>
                <w:szCs w:val="19"/>
                <w:lang w:val="uk-UA"/>
              </w:rPr>
              <w:t xml:space="preserve">, </w:t>
            </w:r>
            <w:r w:rsidR="00982C66" w:rsidRPr="00982C66">
              <w:rPr>
                <w:rFonts w:asciiTheme="minorHAnsi" w:hAnsiTheme="minorHAnsi" w:cstheme="minorHAnsi"/>
                <w:b/>
                <w:color w:val="FFFFFF"/>
                <w:spacing w:val="-4"/>
                <w:sz w:val="19"/>
                <w:szCs w:val="19"/>
                <w:lang w:val="uk-UA"/>
              </w:rPr>
              <w:t>в дол.США</w:t>
            </w:r>
          </w:p>
        </w:tc>
        <w:tc>
          <w:tcPr>
            <w:tcW w:w="1701" w:type="dxa"/>
            <w:tcBorders>
              <w:left w:val="single" w:sz="6" w:space="0" w:color="019648"/>
              <w:bottom w:val="single" w:sz="6" w:space="0" w:color="019648"/>
              <w:right w:val="single" w:sz="6" w:space="0" w:color="019648"/>
            </w:tcBorders>
            <w:shd w:val="clear" w:color="auto" w:fill="62A86B"/>
          </w:tcPr>
          <w:p w14:paraId="3C621F14" w14:textId="69F755CD" w:rsidR="00E05B98" w:rsidRPr="00982C66" w:rsidRDefault="00982C66">
            <w:pPr>
              <w:pStyle w:val="TableParagraph"/>
              <w:spacing w:before="95" w:line="247" w:lineRule="auto"/>
              <w:ind w:left="137"/>
              <w:rPr>
                <w:rFonts w:asciiTheme="minorHAnsi" w:hAnsiTheme="minorHAnsi" w:cstheme="minorHAnsi"/>
                <w:b/>
                <w:sz w:val="19"/>
                <w:szCs w:val="19"/>
                <w:lang w:val="uk-UA"/>
              </w:rPr>
            </w:pPr>
            <w:r w:rsidRPr="00982C66">
              <w:rPr>
                <w:rFonts w:asciiTheme="minorHAnsi" w:hAnsiTheme="minorHAnsi" w:cstheme="minorHAnsi"/>
                <w:b/>
                <w:color w:val="FFFFFF"/>
                <w:spacing w:val="-6"/>
                <w:sz w:val="19"/>
                <w:szCs w:val="19"/>
                <w:lang w:val="uk-UA"/>
              </w:rPr>
              <w:t>Ефективність</w:t>
            </w:r>
            <w:r w:rsidR="00B01E0C" w:rsidRPr="00982C66">
              <w:rPr>
                <w:rFonts w:asciiTheme="minorHAnsi" w:hAnsiTheme="minorHAnsi" w:cstheme="minorHAnsi"/>
                <w:b/>
                <w:color w:val="FFFFFF"/>
                <w:spacing w:val="-6"/>
                <w:sz w:val="19"/>
                <w:szCs w:val="19"/>
                <w:lang w:val="uk-UA"/>
              </w:rPr>
              <w:t xml:space="preserve">, </w:t>
            </w:r>
            <w:r w:rsidR="00B01E0C" w:rsidRPr="00982C66">
              <w:rPr>
                <w:rFonts w:asciiTheme="minorHAnsi" w:hAnsiTheme="minorHAnsi" w:cstheme="minorHAnsi"/>
                <w:b/>
                <w:color w:val="FFFFFF"/>
                <w:spacing w:val="-2"/>
                <w:sz w:val="19"/>
                <w:szCs w:val="19"/>
                <w:lang w:val="uk-UA"/>
              </w:rPr>
              <w:t>DALYs</w:t>
            </w:r>
          </w:p>
        </w:tc>
        <w:tc>
          <w:tcPr>
            <w:tcW w:w="2748" w:type="dxa"/>
            <w:tcBorders>
              <w:left w:val="single" w:sz="6" w:space="0" w:color="019648"/>
              <w:bottom w:val="single" w:sz="6" w:space="0" w:color="019648"/>
              <w:right w:val="single" w:sz="6" w:space="0" w:color="019648"/>
            </w:tcBorders>
            <w:shd w:val="clear" w:color="auto" w:fill="62A86B"/>
          </w:tcPr>
          <w:p w14:paraId="43B417F7" w14:textId="793B60AA" w:rsidR="00E05B98" w:rsidRPr="00982C66" w:rsidRDefault="00D8428B" w:rsidP="0091331B">
            <w:pPr>
              <w:pStyle w:val="TableParagraph"/>
              <w:spacing w:before="95"/>
              <w:ind w:left="137"/>
              <w:rPr>
                <w:rFonts w:asciiTheme="minorHAnsi" w:hAnsiTheme="minorHAnsi" w:cstheme="minorHAnsi"/>
                <w:b/>
                <w:sz w:val="19"/>
                <w:szCs w:val="19"/>
                <w:lang w:val="uk-UA"/>
              </w:rPr>
            </w:pPr>
            <w:r>
              <w:rPr>
                <w:rFonts w:asciiTheme="minorHAnsi" w:hAnsiTheme="minorHAnsi" w:cstheme="minorHAnsi"/>
                <w:b/>
                <w:color w:val="FFFFFF"/>
                <w:spacing w:val="-4"/>
                <w:sz w:val="19"/>
                <w:szCs w:val="19"/>
                <w:lang w:val="uk-UA"/>
              </w:rPr>
              <w:t>Інкремен</w:t>
            </w:r>
            <w:r w:rsidR="00507F6E">
              <w:rPr>
                <w:rFonts w:asciiTheme="minorHAnsi" w:hAnsiTheme="minorHAnsi" w:cstheme="minorHAnsi"/>
                <w:b/>
                <w:color w:val="FFFFFF"/>
                <w:spacing w:val="-4"/>
                <w:sz w:val="19"/>
                <w:szCs w:val="19"/>
                <w:lang w:val="uk-UA"/>
              </w:rPr>
              <w:t>т</w:t>
            </w:r>
            <w:r>
              <w:rPr>
                <w:rFonts w:asciiTheme="minorHAnsi" w:hAnsiTheme="minorHAnsi" w:cstheme="minorHAnsi"/>
                <w:b/>
                <w:color w:val="FFFFFF"/>
                <w:spacing w:val="-4"/>
                <w:sz w:val="19"/>
                <w:szCs w:val="19"/>
                <w:lang w:val="uk-UA"/>
              </w:rPr>
              <w:t xml:space="preserve">ний коефіцієнт </w:t>
            </w:r>
            <w:r w:rsidR="00507F6E">
              <w:rPr>
                <w:rFonts w:asciiTheme="minorHAnsi" w:hAnsiTheme="minorHAnsi" w:cstheme="minorHAnsi"/>
                <w:b/>
                <w:color w:val="FFFFFF"/>
                <w:spacing w:val="-4"/>
                <w:sz w:val="19"/>
                <w:szCs w:val="19"/>
                <w:lang w:val="uk-UA"/>
              </w:rPr>
              <w:t>ефективності витрат</w:t>
            </w:r>
            <w:r>
              <w:rPr>
                <w:rFonts w:asciiTheme="minorHAnsi" w:hAnsiTheme="minorHAnsi" w:cstheme="minorHAnsi"/>
                <w:b/>
                <w:color w:val="FFFFFF"/>
                <w:spacing w:val="-4"/>
                <w:sz w:val="19"/>
                <w:szCs w:val="19"/>
                <w:lang w:val="uk-UA"/>
              </w:rPr>
              <w:t xml:space="preserve"> </w:t>
            </w:r>
            <w:r w:rsidR="00B01E0C" w:rsidRPr="00982C66">
              <w:rPr>
                <w:rFonts w:asciiTheme="minorHAnsi" w:hAnsiTheme="minorHAnsi" w:cstheme="minorHAnsi"/>
                <w:b/>
                <w:color w:val="FFFFFF"/>
                <w:spacing w:val="-4"/>
                <w:sz w:val="19"/>
                <w:szCs w:val="19"/>
                <w:lang w:val="uk-UA"/>
              </w:rPr>
              <w:t>(95%</w:t>
            </w:r>
            <w:r>
              <w:rPr>
                <w:rFonts w:asciiTheme="minorHAnsi" w:hAnsiTheme="minorHAnsi" w:cstheme="minorHAnsi"/>
                <w:b/>
                <w:color w:val="FFFFFF"/>
                <w:spacing w:val="-4"/>
                <w:sz w:val="19"/>
                <w:szCs w:val="19"/>
                <w:lang w:val="uk-UA"/>
              </w:rPr>
              <w:t xml:space="preserve">-вий </w:t>
            </w:r>
            <w:r w:rsidR="00B01E0C" w:rsidRPr="00982C66">
              <w:rPr>
                <w:rFonts w:asciiTheme="minorHAnsi" w:hAnsiTheme="minorHAnsi" w:cstheme="minorHAnsi"/>
                <w:b/>
                <w:color w:val="FFFFFF"/>
                <w:spacing w:val="-4"/>
                <w:sz w:val="19"/>
                <w:szCs w:val="19"/>
                <w:lang w:val="uk-UA"/>
              </w:rPr>
              <w:t>UR</w:t>
            </w:r>
            <w:r w:rsidR="0091331B">
              <w:rPr>
                <w:rFonts w:asciiTheme="minorHAnsi" w:hAnsiTheme="minorHAnsi" w:cstheme="minorHAnsi"/>
                <w:b/>
                <w:color w:val="FFFFFF"/>
                <w:spacing w:val="-4"/>
                <w:sz w:val="19"/>
                <w:szCs w:val="19"/>
                <w:lang w:val="uk-UA"/>
              </w:rPr>
              <w:t>)</w:t>
            </w:r>
            <w:r w:rsidR="00B01E0C" w:rsidRPr="00982C66">
              <w:rPr>
                <w:rFonts w:asciiTheme="minorHAnsi" w:hAnsiTheme="minorHAnsi" w:cstheme="minorHAnsi"/>
                <w:b/>
                <w:color w:val="FFFFFF"/>
                <w:spacing w:val="-4"/>
                <w:sz w:val="19"/>
                <w:szCs w:val="19"/>
                <w:lang w:val="uk-UA"/>
              </w:rPr>
              <w:t>,</w:t>
            </w:r>
            <w:r>
              <w:rPr>
                <w:rFonts w:asciiTheme="minorHAnsi" w:hAnsiTheme="minorHAnsi" w:cstheme="minorHAnsi"/>
                <w:b/>
                <w:color w:val="FFFFFF"/>
                <w:spacing w:val="-4"/>
                <w:sz w:val="19"/>
                <w:szCs w:val="19"/>
                <w:lang w:val="uk-UA"/>
              </w:rPr>
              <w:t xml:space="preserve"> в дол.США</w:t>
            </w:r>
          </w:p>
        </w:tc>
      </w:tr>
      <w:tr w:rsidR="00E05B98" w:rsidRPr="003C6DAE" w14:paraId="18CD83D5" w14:textId="77777777" w:rsidTr="0091331B">
        <w:trPr>
          <w:trHeight w:val="647"/>
        </w:trPr>
        <w:tc>
          <w:tcPr>
            <w:tcW w:w="1304" w:type="dxa"/>
            <w:tcBorders>
              <w:top w:val="single" w:sz="6" w:space="0" w:color="019648"/>
              <w:left w:val="nil"/>
              <w:bottom w:val="nil"/>
              <w:right w:val="nil"/>
            </w:tcBorders>
          </w:tcPr>
          <w:p w14:paraId="298BC96B" w14:textId="7F2C2B39" w:rsidR="00E05B98" w:rsidRPr="00654D8E" w:rsidRDefault="00D8428B">
            <w:pPr>
              <w:pStyle w:val="TableParagraph"/>
              <w:rPr>
                <w:sz w:val="18"/>
                <w:szCs w:val="18"/>
                <w:lang w:val="uk-UA"/>
              </w:rPr>
            </w:pPr>
            <w:r w:rsidRPr="00654D8E">
              <w:rPr>
                <w:spacing w:val="-2"/>
                <w:w w:val="105"/>
                <w:sz w:val="18"/>
                <w:szCs w:val="18"/>
                <w:lang w:val="uk-UA"/>
              </w:rPr>
              <w:t>Малаві</w:t>
            </w:r>
          </w:p>
        </w:tc>
        <w:tc>
          <w:tcPr>
            <w:tcW w:w="2835" w:type="dxa"/>
            <w:tcBorders>
              <w:top w:val="single" w:sz="6" w:space="0" w:color="019648"/>
              <w:left w:val="nil"/>
              <w:bottom w:val="single" w:sz="6" w:space="0" w:color="019648"/>
              <w:right w:val="nil"/>
            </w:tcBorders>
          </w:tcPr>
          <w:p w14:paraId="72BAE469" w14:textId="7C84678C" w:rsidR="00E05B98" w:rsidRPr="00654D8E" w:rsidRDefault="00D8428B">
            <w:pPr>
              <w:pStyle w:val="TableParagraph"/>
              <w:spacing w:line="249" w:lineRule="auto"/>
              <w:rPr>
                <w:sz w:val="18"/>
                <w:szCs w:val="18"/>
                <w:lang w:val="uk-UA"/>
              </w:rPr>
            </w:pPr>
            <w:r w:rsidRPr="00654D8E">
              <w:rPr>
                <w:spacing w:val="-2"/>
                <w:sz w:val="18"/>
                <w:szCs w:val="18"/>
                <w:lang w:val="uk-UA"/>
              </w:rPr>
              <w:t>аТАНК-НС на зразках із дихальних шляхів</w:t>
            </w:r>
          </w:p>
        </w:tc>
        <w:tc>
          <w:tcPr>
            <w:tcW w:w="1021" w:type="dxa"/>
            <w:tcBorders>
              <w:top w:val="single" w:sz="6" w:space="0" w:color="019648"/>
              <w:left w:val="nil"/>
              <w:bottom w:val="single" w:sz="6" w:space="0" w:color="019648"/>
              <w:right w:val="nil"/>
            </w:tcBorders>
          </w:tcPr>
          <w:p w14:paraId="06D9887C" w14:textId="77777777" w:rsidR="00E05B98" w:rsidRPr="00654D8E" w:rsidRDefault="00B01E0C">
            <w:pPr>
              <w:pStyle w:val="TableParagraph"/>
              <w:ind w:left="122"/>
              <w:rPr>
                <w:sz w:val="18"/>
                <w:szCs w:val="18"/>
                <w:lang w:val="uk-UA"/>
              </w:rPr>
            </w:pPr>
            <w:r w:rsidRPr="00654D8E">
              <w:rPr>
                <w:spacing w:val="-5"/>
                <w:w w:val="105"/>
                <w:sz w:val="18"/>
                <w:szCs w:val="18"/>
                <w:lang w:val="uk-UA"/>
              </w:rPr>
              <w:t>276</w:t>
            </w:r>
          </w:p>
        </w:tc>
        <w:tc>
          <w:tcPr>
            <w:tcW w:w="1701" w:type="dxa"/>
            <w:tcBorders>
              <w:top w:val="single" w:sz="6" w:space="0" w:color="019648"/>
              <w:left w:val="nil"/>
              <w:bottom w:val="single" w:sz="6" w:space="0" w:color="019648"/>
              <w:right w:val="nil"/>
            </w:tcBorders>
          </w:tcPr>
          <w:p w14:paraId="6255A5BB" w14:textId="77777777" w:rsidR="00E05B98" w:rsidRPr="00654D8E" w:rsidRDefault="00B01E0C">
            <w:pPr>
              <w:pStyle w:val="TableParagraph"/>
              <w:ind w:left="122"/>
              <w:rPr>
                <w:sz w:val="18"/>
                <w:szCs w:val="18"/>
                <w:lang w:val="uk-UA"/>
              </w:rPr>
            </w:pPr>
            <w:r w:rsidRPr="00654D8E">
              <w:rPr>
                <w:spacing w:val="-4"/>
                <w:sz w:val="18"/>
                <w:szCs w:val="18"/>
                <w:lang w:val="uk-UA"/>
              </w:rPr>
              <w:t>2.44</w:t>
            </w:r>
          </w:p>
        </w:tc>
        <w:tc>
          <w:tcPr>
            <w:tcW w:w="2748" w:type="dxa"/>
            <w:tcBorders>
              <w:top w:val="single" w:sz="6" w:space="0" w:color="019648"/>
              <w:left w:val="nil"/>
              <w:bottom w:val="single" w:sz="6" w:space="0" w:color="019648"/>
              <w:right w:val="nil"/>
            </w:tcBorders>
          </w:tcPr>
          <w:p w14:paraId="0AC3E8FA" w14:textId="77777777" w:rsidR="00E05B98" w:rsidRPr="00654D8E" w:rsidRDefault="00B01E0C">
            <w:pPr>
              <w:pStyle w:val="TableParagraph"/>
              <w:ind w:left="122"/>
              <w:rPr>
                <w:sz w:val="18"/>
                <w:szCs w:val="18"/>
                <w:lang w:val="uk-UA"/>
              </w:rPr>
            </w:pPr>
            <w:r w:rsidRPr="00654D8E">
              <w:rPr>
                <w:spacing w:val="-5"/>
                <w:sz w:val="18"/>
                <w:szCs w:val="18"/>
                <w:lang w:val="uk-UA"/>
              </w:rPr>
              <w:t>Ref</w:t>
            </w:r>
          </w:p>
        </w:tc>
      </w:tr>
      <w:tr w:rsidR="00E05B98" w:rsidRPr="003C6DAE" w14:paraId="773495CF" w14:textId="77777777" w:rsidTr="0091331B">
        <w:trPr>
          <w:trHeight w:val="647"/>
        </w:trPr>
        <w:tc>
          <w:tcPr>
            <w:tcW w:w="1304" w:type="dxa"/>
            <w:tcBorders>
              <w:top w:val="nil"/>
              <w:left w:val="nil"/>
              <w:bottom w:val="single" w:sz="6" w:space="0" w:color="019648"/>
              <w:right w:val="nil"/>
            </w:tcBorders>
          </w:tcPr>
          <w:p w14:paraId="1F474105" w14:textId="77777777" w:rsidR="00E05B98" w:rsidRPr="00654D8E" w:rsidRDefault="00E05B98">
            <w:pPr>
              <w:pStyle w:val="TableParagraph"/>
              <w:spacing w:before="0"/>
              <w:ind w:left="0"/>
              <w:rPr>
                <w:rFonts w:ascii="Times New Roman"/>
                <w:sz w:val="18"/>
                <w:szCs w:val="18"/>
                <w:lang w:val="uk-UA"/>
              </w:rPr>
            </w:pPr>
          </w:p>
        </w:tc>
        <w:tc>
          <w:tcPr>
            <w:tcW w:w="2835" w:type="dxa"/>
            <w:tcBorders>
              <w:top w:val="single" w:sz="6" w:space="0" w:color="019648"/>
              <w:left w:val="nil"/>
              <w:bottom w:val="single" w:sz="6" w:space="0" w:color="019648"/>
              <w:right w:val="nil"/>
            </w:tcBorders>
          </w:tcPr>
          <w:p w14:paraId="0B9630F7" w14:textId="60C2FA56" w:rsidR="00E05B98" w:rsidRPr="00654D8E" w:rsidRDefault="00D8428B">
            <w:pPr>
              <w:pStyle w:val="TableParagraph"/>
              <w:spacing w:line="249" w:lineRule="auto"/>
              <w:rPr>
                <w:sz w:val="18"/>
                <w:szCs w:val="18"/>
                <w:lang w:val="uk-UA"/>
              </w:rPr>
            </w:pPr>
            <w:r w:rsidRPr="00654D8E">
              <w:rPr>
                <w:spacing w:val="-2"/>
                <w:sz w:val="18"/>
                <w:szCs w:val="18"/>
                <w:lang w:val="uk-UA"/>
              </w:rPr>
              <w:t>аТАНК-НС на зразках із дихальних шляхів та аналіз</w:t>
            </w:r>
            <w:r w:rsidR="00B01E0C" w:rsidRPr="00654D8E">
              <w:rPr>
                <w:sz w:val="18"/>
                <w:szCs w:val="18"/>
                <w:lang w:val="uk-UA"/>
              </w:rPr>
              <w:t xml:space="preserve"> LF-LAM</w:t>
            </w:r>
          </w:p>
        </w:tc>
        <w:tc>
          <w:tcPr>
            <w:tcW w:w="1021" w:type="dxa"/>
            <w:tcBorders>
              <w:top w:val="single" w:sz="6" w:space="0" w:color="019648"/>
              <w:left w:val="nil"/>
              <w:bottom w:val="single" w:sz="6" w:space="0" w:color="019648"/>
              <w:right w:val="nil"/>
            </w:tcBorders>
          </w:tcPr>
          <w:p w14:paraId="1BE12689" w14:textId="77777777" w:rsidR="00E05B98" w:rsidRPr="00654D8E" w:rsidRDefault="00B01E0C">
            <w:pPr>
              <w:pStyle w:val="TableParagraph"/>
              <w:ind w:left="122"/>
              <w:rPr>
                <w:sz w:val="18"/>
                <w:szCs w:val="18"/>
                <w:lang w:val="uk-UA"/>
              </w:rPr>
            </w:pPr>
            <w:r w:rsidRPr="00654D8E">
              <w:rPr>
                <w:spacing w:val="-5"/>
                <w:w w:val="105"/>
                <w:sz w:val="18"/>
                <w:szCs w:val="18"/>
                <w:lang w:val="uk-UA"/>
              </w:rPr>
              <w:t>298</w:t>
            </w:r>
          </w:p>
        </w:tc>
        <w:tc>
          <w:tcPr>
            <w:tcW w:w="1701" w:type="dxa"/>
            <w:tcBorders>
              <w:top w:val="single" w:sz="6" w:space="0" w:color="019648"/>
              <w:left w:val="nil"/>
              <w:bottom w:val="single" w:sz="6" w:space="0" w:color="019648"/>
              <w:right w:val="nil"/>
            </w:tcBorders>
          </w:tcPr>
          <w:p w14:paraId="27900F17" w14:textId="77777777" w:rsidR="00E05B98" w:rsidRPr="00654D8E" w:rsidRDefault="00B01E0C">
            <w:pPr>
              <w:pStyle w:val="TableParagraph"/>
              <w:ind w:left="122"/>
              <w:rPr>
                <w:sz w:val="18"/>
                <w:szCs w:val="18"/>
                <w:lang w:val="uk-UA"/>
              </w:rPr>
            </w:pPr>
            <w:r w:rsidRPr="00654D8E">
              <w:rPr>
                <w:spacing w:val="-4"/>
                <w:sz w:val="18"/>
                <w:szCs w:val="18"/>
                <w:lang w:val="uk-UA"/>
              </w:rPr>
              <w:t>1.93</w:t>
            </w:r>
          </w:p>
        </w:tc>
        <w:tc>
          <w:tcPr>
            <w:tcW w:w="2748" w:type="dxa"/>
            <w:tcBorders>
              <w:top w:val="single" w:sz="6" w:space="0" w:color="019648"/>
              <w:left w:val="nil"/>
              <w:bottom w:val="single" w:sz="6" w:space="0" w:color="019648"/>
              <w:right w:val="nil"/>
            </w:tcBorders>
          </w:tcPr>
          <w:p w14:paraId="5C9FBD78" w14:textId="77777777" w:rsidR="00E05B98" w:rsidRPr="00654D8E" w:rsidRDefault="00B01E0C">
            <w:pPr>
              <w:pStyle w:val="TableParagraph"/>
              <w:ind w:left="122"/>
              <w:rPr>
                <w:sz w:val="18"/>
                <w:szCs w:val="18"/>
                <w:lang w:val="uk-UA"/>
              </w:rPr>
            </w:pPr>
            <w:r w:rsidRPr="00654D8E">
              <w:rPr>
                <w:sz w:val="18"/>
                <w:szCs w:val="18"/>
                <w:lang w:val="uk-UA"/>
              </w:rPr>
              <w:t>42</w:t>
            </w:r>
            <w:r w:rsidRPr="00654D8E">
              <w:rPr>
                <w:spacing w:val="-1"/>
                <w:sz w:val="18"/>
                <w:szCs w:val="18"/>
                <w:lang w:val="uk-UA"/>
              </w:rPr>
              <w:t xml:space="preserve"> </w:t>
            </w:r>
            <w:r w:rsidRPr="00654D8E">
              <w:rPr>
                <w:spacing w:val="-2"/>
                <w:sz w:val="18"/>
                <w:szCs w:val="18"/>
                <w:lang w:val="uk-UA"/>
              </w:rPr>
              <w:t>(18–345)</w:t>
            </w:r>
          </w:p>
        </w:tc>
      </w:tr>
      <w:tr w:rsidR="00E05B98" w:rsidRPr="003C6DAE" w14:paraId="28E47004" w14:textId="77777777" w:rsidTr="0091331B">
        <w:trPr>
          <w:trHeight w:val="647"/>
        </w:trPr>
        <w:tc>
          <w:tcPr>
            <w:tcW w:w="1304" w:type="dxa"/>
            <w:tcBorders>
              <w:top w:val="single" w:sz="6" w:space="0" w:color="019648"/>
              <w:left w:val="nil"/>
              <w:bottom w:val="nil"/>
              <w:right w:val="nil"/>
            </w:tcBorders>
          </w:tcPr>
          <w:p w14:paraId="376411A6" w14:textId="20D1AACD" w:rsidR="00E05B98" w:rsidRPr="00654D8E" w:rsidRDefault="00507F6E">
            <w:pPr>
              <w:pStyle w:val="TableParagraph"/>
              <w:rPr>
                <w:sz w:val="18"/>
                <w:szCs w:val="18"/>
                <w:lang w:val="uk-UA"/>
              </w:rPr>
            </w:pPr>
            <w:r w:rsidRPr="00654D8E">
              <w:rPr>
                <w:spacing w:val="-2"/>
                <w:sz w:val="18"/>
                <w:szCs w:val="18"/>
                <w:lang w:val="uk-UA"/>
              </w:rPr>
              <w:t>Філіппіни</w:t>
            </w:r>
          </w:p>
        </w:tc>
        <w:tc>
          <w:tcPr>
            <w:tcW w:w="2835" w:type="dxa"/>
            <w:tcBorders>
              <w:top w:val="single" w:sz="6" w:space="0" w:color="019648"/>
              <w:left w:val="nil"/>
              <w:bottom w:val="single" w:sz="6" w:space="0" w:color="019648"/>
              <w:right w:val="nil"/>
            </w:tcBorders>
          </w:tcPr>
          <w:p w14:paraId="1505D311" w14:textId="404F1347" w:rsidR="00E05B98" w:rsidRPr="00654D8E" w:rsidRDefault="00D8428B">
            <w:pPr>
              <w:pStyle w:val="TableParagraph"/>
              <w:spacing w:line="249" w:lineRule="auto"/>
              <w:rPr>
                <w:sz w:val="18"/>
                <w:szCs w:val="18"/>
                <w:lang w:val="uk-UA"/>
              </w:rPr>
            </w:pPr>
            <w:r w:rsidRPr="00654D8E">
              <w:rPr>
                <w:spacing w:val="-2"/>
                <w:sz w:val="18"/>
                <w:szCs w:val="18"/>
                <w:lang w:val="uk-UA"/>
              </w:rPr>
              <w:t>аТАНК-НС на зразках із дихальних шляхів</w:t>
            </w:r>
          </w:p>
        </w:tc>
        <w:tc>
          <w:tcPr>
            <w:tcW w:w="1021" w:type="dxa"/>
            <w:tcBorders>
              <w:top w:val="single" w:sz="6" w:space="0" w:color="019648"/>
              <w:left w:val="nil"/>
              <w:bottom w:val="single" w:sz="6" w:space="0" w:color="019648"/>
              <w:right w:val="nil"/>
            </w:tcBorders>
          </w:tcPr>
          <w:p w14:paraId="1B7EEAC6" w14:textId="77777777" w:rsidR="00E05B98" w:rsidRPr="00654D8E" w:rsidRDefault="00B01E0C">
            <w:pPr>
              <w:pStyle w:val="TableParagraph"/>
              <w:ind w:left="122"/>
              <w:rPr>
                <w:sz w:val="18"/>
                <w:szCs w:val="18"/>
                <w:lang w:val="uk-UA"/>
              </w:rPr>
            </w:pPr>
            <w:r w:rsidRPr="00654D8E">
              <w:rPr>
                <w:spacing w:val="-5"/>
                <w:w w:val="105"/>
                <w:sz w:val="18"/>
                <w:szCs w:val="18"/>
                <w:lang w:val="uk-UA"/>
              </w:rPr>
              <w:t>220</w:t>
            </w:r>
          </w:p>
        </w:tc>
        <w:tc>
          <w:tcPr>
            <w:tcW w:w="1701" w:type="dxa"/>
            <w:tcBorders>
              <w:top w:val="single" w:sz="6" w:space="0" w:color="019648"/>
              <w:left w:val="nil"/>
              <w:bottom w:val="single" w:sz="6" w:space="0" w:color="019648"/>
              <w:right w:val="nil"/>
            </w:tcBorders>
          </w:tcPr>
          <w:p w14:paraId="6F017F39" w14:textId="77777777" w:rsidR="00E05B98" w:rsidRPr="00654D8E" w:rsidRDefault="00B01E0C">
            <w:pPr>
              <w:pStyle w:val="TableParagraph"/>
              <w:ind w:left="122"/>
              <w:rPr>
                <w:sz w:val="18"/>
                <w:szCs w:val="18"/>
                <w:lang w:val="uk-UA"/>
              </w:rPr>
            </w:pPr>
            <w:r w:rsidRPr="00654D8E">
              <w:rPr>
                <w:spacing w:val="-4"/>
                <w:sz w:val="18"/>
                <w:szCs w:val="18"/>
                <w:lang w:val="uk-UA"/>
              </w:rPr>
              <w:t>2.78</w:t>
            </w:r>
          </w:p>
        </w:tc>
        <w:tc>
          <w:tcPr>
            <w:tcW w:w="2748" w:type="dxa"/>
            <w:tcBorders>
              <w:top w:val="single" w:sz="6" w:space="0" w:color="019648"/>
              <w:left w:val="nil"/>
              <w:bottom w:val="single" w:sz="6" w:space="0" w:color="019648"/>
              <w:right w:val="nil"/>
            </w:tcBorders>
          </w:tcPr>
          <w:p w14:paraId="277AB0FC" w14:textId="77777777" w:rsidR="00E05B98" w:rsidRPr="00654D8E" w:rsidRDefault="00B01E0C">
            <w:pPr>
              <w:pStyle w:val="TableParagraph"/>
              <w:ind w:left="122"/>
              <w:rPr>
                <w:sz w:val="18"/>
                <w:szCs w:val="18"/>
                <w:lang w:val="uk-UA"/>
              </w:rPr>
            </w:pPr>
            <w:r w:rsidRPr="00654D8E">
              <w:rPr>
                <w:spacing w:val="-5"/>
                <w:sz w:val="18"/>
                <w:szCs w:val="18"/>
                <w:lang w:val="uk-UA"/>
              </w:rPr>
              <w:t>Ref</w:t>
            </w:r>
          </w:p>
        </w:tc>
      </w:tr>
      <w:tr w:rsidR="00E05B98" w:rsidRPr="003C6DAE" w14:paraId="3DAE0A84" w14:textId="77777777" w:rsidTr="0091331B">
        <w:trPr>
          <w:trHeight w:val="647"/>
        </w:trPr>
        <w:tc>
          <w:tcPr>
            <w:tcW w:w="1304" w:type="dxa"/>
            <w:tcBorders>
              <w:top w:val="nil"/>
              <w:left w:val="nil"/>
              <w:bottom w:val="single" w:sz="6" w:space="0" w:color="019648"/>
              <w:right w:val="nil"/>
            </w:tcBorders>
          </w:tcPr>
          <w:p w14:paraId="5EAA1355" w14:textId="77777777" w:rsidR="00E05B98" w:rsidRPr="00654D8E" w:rsidRDefault="00E05B98">
            <w:pPr>
              <w:pStyle w:val="TableParagraph"/>
              <w:spacing w:before="0"/>
              <w:ind w:left="0"/>
              <w:rPr>
                <w:rFonts w:ascii="Times New Roman"/>
                <w:sz w:val="18"/>
                <w:szCs w:val="18"/>
                <w:lang w:val="uk-UA"/>
              </w:rPr>
            </w:pPr>
          </w:p>
        </w:tc>
        <w:tc>
          <w:tcPr>
            <w:tcW w:w="2835" w:type="dxa"/>
            <w:tcBorders>
              <w:top w:val="single" w:sz="6" w:space="0" w:color="019648"/>
              <w:left w:val="nil"/>
              <w:bottom w:val="single" w:sz="6" w:space="0" w:color="019648"/>
              <w:right w:val="nil"/>
            </w:tcBorders>
          </w:tcPr>
          <w:p w14:paraId="3DB48177" w14:textId="4284EA38" w:rsidR="00E05B98" w:rsidRPr="00654D8E" w:rsidRDefault="00D8428B">
            <w:pPr>
              <w:pStyle w:val="TableParagraph"/>
              <w:spacing w:line="249" w:lineRule="auto"/>
              <w:rPr>
                <w:sz w:val="18"/>
                <w:szCs w:val="18"/>
                <w:lang w:val="uk-UA"/>
              </w:rPr>
            </w:pPr>
            <w:r w:rsidRPr="00654D8E">
              <w:rPr>
                <w:spacing w:val="-2"/>
                <w:sz w:val="18"/>
                <w:szCs w:val="18"/>
                <w:lang w:val="uk-UA"/>
              </w:rPr>
              <w:t>аТАНК-НС на зразках із дихальних шляхів та аналіз</w:t>
            </w:r>
            <w:r w:rsidRPr="00654D8E">
              <w:rPr>
                <w:sz w:val="18"/>
                <w:szCs w:val="18"/>
                <w:lang w:val="uk-UA"/>
              </w:rPr>
              <w:t xml:space="preserve"> LF-LAM</w:t>
            </w:r>
          </w:p>
        </w:tc>
        <w:tc>
          <w:tcPr>
            <w:tcW w:w="1021" w:type="dxa"/>
            <w:tcBorders>
              <w:top w:val="single" w:sz="6" w:space="0" w:color="019648"/>
              <w:left w:val="nil"/>
              <w:bottom w:val="single" w:sz="6" w:space="0" w:color="019648"/>
              <w:right w:val="nil"/>
            </w:tcBorders>
          </w:tcPr>
          <w:p w14:paraId="50D7870C" w14:textId="77777777" w:rsidR="00E05B98" w:rsidRPr="00654D8E" w:rsidRDefault="00B01E0C">
            <w:pPr>
              <w:pStyle w:val="TableParagraph"/>
              <w:ind w:left="122"/>
              <w:rPr>
                <w:sz w:val="18"/>
                <w:szCs w:val="18"/>
                <w:lang w:val="uk-UA"/>
              </w:rPr>
            </w:pPr>
            <w:r w:rsidRPr="00654D8E">
              <w:rPr>
                <w:spacing w:val="-5"/>
                <w:w w:val="105"/>
                <w:sz w:val="18"/>
                <w:szCs w:val="18"/>
                <w:lang w:val="uk-UA"/>
              </w:rPr>
              <w:t>238</w:t>
            </w:r>
          </w:p>
        </w:tc>
        <w:tc>
          <w:tcPr>
            <w:tcW w:w="1701" w:type="dxa"/>
            <w:tcBorders>
              <w:top w:val="single" w:sz="6" w:space="0" w:color="019648"/>
              <w:left w:val="nil"/>
              <w:bottom w:val="single" w:sz="6" w:space="0" w:color="019648"/>
              <w:right w:val="nil"/>
            </w:tcBorders>
          </w:tcPr>
          <w:p w14:paraId="7764C8DF" w14:textId="77777777" w:rsidR="00E05B98" w:rsidRPr="00654D8E" w:rsidRDefault="00B01E0C">
            <w:pPr>
              <w:pStyle w:val="TableParagraph"/>
              <w:ind w:left="122"/>
              <w:rPr>
                <w:sz w:val="18"/>
                <w:szCs w:val="18"/>
                <w:lang w:val="uk-UA"/>
              </w:rPr>
            </w:pPr>
            <w:r w:rsidRPr="00654D8E">
              <w:rPr>
                <w:spacing w:val="-4"/>
                <w:sz w:val="18"/>
                <w:szCs w:val="18"/>
                <w:lang w:val="uk-UA"/>
              </w:rPr>
              <w:t>2.13</w:t>
            </w:r>
          </w:p>
        </w:tc>
        <w:tc>
          <w:tcPr>
            <w:tcW w:w="2748" w:type="dxa"/>
            <w:tcBorders>
              <w:top w:val="single" w:sz="6" w:space="0" w:color="019648"/>
              <w:left w:val="nil"/>
              <w:bottom w:val="single" w:sz="6" w:space="0" w:color="019648"/>
              <w:right w:val="nil"/>
            </w:tcBorders>
          </w:tcPr>
          <w:p w14:paraId="707B1A54" w14:textId="77777777" w:rsidR="00E05B98" w:rsidRPr="00654D8E" w:rsidRDefault="00B01E0C">
            <w:pPr>
              <w:pStyle w:val="TableParagraph"/>
              <w:ind w:left="122"/>
              <w:rPr>
                <w:sz w:val="18"/>
                <w:szCs w:val="18"/>
                <w:lang w:val="uk-UA"/>
              </w:rPr>
            </w:pPr>
            <w:r w:rsidRPr="00654D8E">
              <w:rPr>
                <w:sz w:val="18"/>
                <w:szCs w:val="18"/>
                <w:lang w:val="uk-UA"/>
              </w:rPr>
              <w:t>28</w:t>
            </w:r>
            <w:r w:rsidRPr="00654D8E">
              <w:rPr>
                <w:spacing w:val="-1"/>
                <w:sz w:val="18"/>
                <w:szCs w:val="18"/>
                <w:lang w:val="uk-UA"/>
              </w:rPr>
              <w:t xml:space="preserve"> </w:t>
            </w:r>
            <w:r w:rsidRPr="00654D8E">
              <w:rPr>
                <w:spacing w:val="-2"/>
                <w:sz w:val="18"/>
                <w:szCs w:val="18"/>
                <w:lang w:val="uk-UA"/>
              </w:rPr>
              <w:t>(12–249)</w:t>
            </w:r>
          </w:p>
        </w:tc>
      </w:tr>
    </w:tbl>
    <w:p w14:paraId="58D6497C" w14:textId="598305D3" w:rsidR="00E05B98" w:rsidRPr="003C6DAE" w:rsidRDefault="00D8428B" w:rsidP="00F54E75">
      <w:pPr>
        <w:spacing w:before="257" w:line="254" w:lineRule="auto"/>
        <w:ind w:left="567"/>
        <w:jc w:val="both"/>
        <w:rPr>
          <w:sz w:val="18"/>
          <w:lang w:val="uk-UA"/>
        </w:rPr>
      </w:pPr>
      <w:r w:rsidRPr="00D8428B">
        <w:rPr>
          <w:sz w:val="16"/>
          <w:szCs w:val="16"/>
          <w:lang w:val="uk-UA"/>
        </w:rPr>
        <w:t xml:space="preserve">DALY: рік життя з поправкою </w:t>
      </w:r>
      <w:r w:rsidRPr="00E31B85">
        <w:rPr>
          <w:sz w:val="16"/>
          <w:szCs w:val="16"/>
          <w:lang w:val="uk-UA"/>
        </w:rPr>
        <w:t xml:space="preserve">на </w:t>
      </w:r>
      <w:r w:rsidRPr="00D8428B">
        <w:rPr>
          <w:sz w:val="16"/>
          <w:szCs w:val="16"/>
          <w:lang w:val="uk-UA"/>
        </w:rPr>
        <w:t xml:space="preserve">непрацездатність; ВІЛ: вірус імунодефіциту людини; ICER: </w:t>
      </w:r>
      <w:r w:rsidRPr="00E31B85">
        <w:rPr>
          <w:sz w:val="16"/>
          <w:szCs w:val="16"/>
          <w:lang w:val="uk-UA"/>
        </w:rPr>
        <w:t>інкрементний</w:t>
      </w:r>
      <w:r w:rsidRPr="00D8428B">
        <w:rPr>
          <w:sz w:val="16"/>
          <w:szCs w:val="16"/>
          <w:lang w:val="uk-UA"/>
        </w:rPr>
        <w:t xml:space="preserve"> </w:t>
      </w:r>
      <w:r w:rsidR="0084230E">
        <w:rPr>
          <w:sz w:val="16"/>
          <w:szCs w:val="16"/>
          <w:lang w:val="uk-UA"/>
        </w:rPr>
        <w:t>коефіцієнт</w:t>
      </w:r>
      <w:r w:rsidRPr="00D8428B">
        <w:rPr>
          <w:sz w:val="16"/>
          <w:szCs w:val="16"/>
          <w:lang w:val="uk-UA"/>
        </w:rPr>
        <w:t xml:space="preserve"> </w:t>
      </w:r>
      <w:r w:rsidR="0084230E">
        <w:rPr>
          <w:sz w:val="16"/>
          <w:szCs w:val="16"/>
          <w:lang w:val="uk-UA"/>
        </w:rPr>
        <w:t>ефективності витрат</w:t>
      </w:r>
      <w:r w:rsidRPr="00D8428B">
        <w:rPr>
          <w:sz w:val="16"/>
          <w:szCs w:val="16"/>
          <w:lang w:val="uk-UA"/>
        </w:rPr>
        <w:t>; аТАНК-НС: автоматизований тест ампліфікаці</w:t>
      </w:r>
      <w:r w:rsidR="0091331B">
        <w:rPr>
          <w:sz w:val="16"/>
          <w:szCs w:val="16"/>
          <w:lang w:val="uk-UA"/>
        </w:rPr>
        <w:t>ї</w:t>
      </w:r>
      <w:r w:rsidRPr="00D8428B">
        <w:rPr>
          <w:sz w:val="16"/>
          <w:szCs w:val="16"/>
          <w:lang w:val="uk-UA"/>
        </w:rPr>
        <w:t xml:space="preserve"> нуклеїнових кислот низької складності; LF-LAM: ліпоарабіноманнановий аналіз бокового зсуву на зразку сечі; UR: діапазон невизначеності</w:t>
      </w:r>
      <w:r w:rsidR="00B01E0C" w:rsidRPr="003C6DAE">
        <w:rPr>
          <w:sz w:val="18"/>
          <w:lang w:val="uk-UA"/>
        </w:rPr>
        <w:t>.</w:t>
      </w:r>
    </w:p>
    <w:p w14:paraId="2FCE0A97" w14:textId="77777777" w:rsidR="00E05B98" w:rsidRPr="00654D8E" w:rsidRDefault="00E05B98">
      <w:pPr>
        <w:pStyle w:val="a3"/>
        <w:spacing w:before="137"/>
        <w:rPr>
          <w:sz w:val="12"/>
          <w:szCs w:val="12"/>
          <w:lang w:val="uk-UA"/>
        </w:rPr>
      </w:pPr>
    </w:p>
    <w:p w14:paraId="0E7915F4" w14:textId="4421E0B5" w:rsidR="00E05B98" w:rsidRPr="00D8428B" w:rsidRDefault="00A30C5A" w:rsidP="00F54E75">
      <w:pPr>
        <w:pStyle w:val="a3"/>
        <w:spacing w:line="295" w:lineRule="auto"/>
        <w:ind w:left="567"/>
        <w:jc w:val="both"/>
        <w:rPr>
          <w:rFonts w:ascii="Arial" w:hAnsi="Arial"/>
          <w:b/>
          <w:sz w:val="20"/>
          <w:szCs w:val="20"/>
          <w:lang w:val="uk-UA"/>
        </w:rPr>
      </w:pPr>
      <w:r w:rsidRPr="00A30C5A">
        <w:rPr>
          <w:sz w:val="20"/>
          <w:szCs w:val="20"/>
          <w:lang w:val="uk-UA"/>
        </w:rPr>
        <w:t xml:space="preserve">Більше інформації про аналіз ефективності </w:t>
      </w:r>
      <w:r w:rsidR="00E31B85">
        <w:rPr>
          <w:sz w:val="20"/>
          <w:szCs w:val="20"/>
          <w:lang w:val="uk-UA"/>
        </w:rPr>
        <w:t xml:space="preserve">витрат при </w:t>
      </w:r>
      <w:r w:rsidRPr="00A30C5A">
        <w:rPr>
          <w:sz w:val="20"/>
          <w:szCs w:val="20"/>
          <w:lang w:val="uk-UA"/>
        </w:rPr>
        <w:t>одночасно</w:t>
      </w:r>
      <w:r w:rsidR="00E31B85">
        <w:rPr>
          <w:sz w:val="20"/>
          <w:szCs w:val="20"/>
          <w:lang w:val="uk-UA"/>
        </w:rPr>
        <w:t>му</w:t>
      </w:r>
      <w:r w:rsidRPr="00A30C5A">
        <w:rPr>
          <w:sz w:val="20"/>
          <w:szCs w:val="20"/>
          <w:lang w:val="uk-UA"/>
        </w:rPr>
        <w:t xml:space="preserve"> використанн</w:t>
      </w:r>
      <w:r w:rsidR="00E31B85">
        <w:rPr>
          <w:sz w:val="20"/>
          <w:szCs w:val="20"/>
          <w:lang w:val="uk-UA"/>
        </w:rPr>
        <w:t>і кількох типів</w:t>
      </w:r>
      <w:r w:rsidRPr="00A30C5A">
        <w:rPr>
          <w:sz w:val="20"/>
          <w:szCs w:val="20"/>
          <w:lang w:val="uk-UA"/>
        </w:rPr>
        <w:t xml:space="preserve"> тестів у людей, які живуть з ВІЛ, доступно у </w:t>
      </w:r>
      <w:r w:rsidRPr="00A30C5A">
        <w:rPr>
          <w:b/>
          <w:bCs/>
          <w:sz w:val="20"/>
          <w:szCs w:val="20"/>
          <w:lang w:val="uk-UA"/>
        </w:rPr>
        <w:t>веб-додатку B.9</w:t>
      </w:r>
      <w:r w:rsidRPr="00A30C5A">
        <w:rPr>
          <w:sz w:val="20"/>
          <w:szCs w:val="20"/>
          <w:lang w:val="uk-UA"/>
        </w:rPr>
        <w:t>.</w:t>
      </w:r>
    </w:p>
    <w:p w14:paraId="564BF5F9" w14:textId="0378F8A2" w:rsidR="00E05B98" w:rsidRPr="00A30C5A" w:rsidRDefault="00A30C5A" w:rsidP="00A30C5A">
      <w:pPr>
        <w:pStyle w:val="5"/>
        <w:spacing w:before="200"/>
        <w:jc w:val="both"/>
        <w:rPr>
          <w:sz w:val="26"/>
          <w:szCs w:val="26"/>
          <w:lang w:val="uk-UA"/>
        </w:rPr>
      </w:pPr>
      <w:r w:rsidRPr="00A30C5A">
        <w:rPr>
          <w:color w:val="019648"/>
          <w:spacing w:val="-2"/>
          <w:sz w:val="26"/>
          <w:szCs w:val="26"/>
          <w:lang w:val="uk-UA"/>
        </w:rPr>
        <w:t>Точка зору користувача</w:t>
      </w:r>
    </w:p>
    <w:p w14:paraId="3B284479" w14:textId="672C19B0" w:rsidR="00E05B98" w:rsidRPr="00D8428B" w:rsidRDefault="00A30C5A" w:rsidP="00A30C5A">
      <w:pPr>
        <w:spacing w:before="215"/>
        <w:ind w:left="567"/>
        <w:jc w:val="both"/>
        <w:rPr>
          <w:rFonts w:ascii="Arial"/>
          <w:i/>
          <w:sz w:val="20"/>
          <w:szCs w:val="20"/>
          <w:lang w:val="uk-UA"/>
        </w:rPr>
      </w:pPr>
      <w:r w:rsidRPr="00A30C5A">
        <w:rPr>
          <w:rFonts w:ascii="Arial"/>
          <w:i/>
          <w:sz w:val="20"/>
          <w:szCs w:val="20"/>
          <w:lang w:val="uk-UA"/>
        </w:rPr>
        <w:t>У</w:t>
      </w:r>
      <w:r w:rsidRPr="00A30C5A">
        <w:rPr>
          <w:rFonts w:ascii="Arial"/>
          <w:i/>
          <w:sz w:val="20"/>
          <w:szCs w:val="20"/>
          <w:lang w:val="uk-UA"/>
        </w:rPr>
        <w:t xml:space="preserve"> </w:t>
      </w:r>
      <w:r w:rsidRPr="00A30C5A">
        <w:rPr>
          <w:rFonts w:ascii="Arial"/>
          <w:i/>
          <w:sz w:val="20"/>
          <w:szCs w:val="20"/>
          <w:lang w:val="uk-UA"/>
        </w:rPr>
        <w:t>цьому</w:t>
      </w:r>
      <w:r w:rsidRPr="00A30C5A">
        <w:rPr>
          <w:rFonts w:ascii="Arial"/>
          <w:i/>
          <w:sz w:val="20"/>
          <w:szCs w:val="20"/>
          <w:lang w:val="uk-UA"/>
        </w:rPr>
        <w:t xml:space="preserve"> </w:t>
      </w:r>
      <w:r w:rsidRPr="00A30C5A">
        <w:rPr>
          <w:rFonts w:ascii="Arial"/>
          <w:i/>
          <w:sz w:val="20"/>
          <w:szCs w:val="20"/>
          <w:lang w:val="uk-UA"/>
        </w:rPr>
        <w:t>розділі</w:t>
      </w:r>
      <w:r w:rsidRPr="00A30C5A">
        <w:rPr>
          <w:rFonts w:ascii="Arial"/>
          <w:i/>
          <w:sz w:val="20"/>
          <w:szCs w:val="20"/>
          <w:lang w:val="uk-UA"/>
        </w:rPr>
        <w:t xml:space="preserve"> </w:t>
      </w:r>
      <w:r w:rsidRPr="00A30C5A">
        <w:rPr>
          <w:rFonts w:ascii="Arial"/>
          <w:i/>
          <w:sz w:val="20"/>
          <w:szCs w:val="20"/>
          <w:lang w:val="uk-UA"/>
        </w:rPr>
        <w:t>розглядається</w:t>
      </w:r>
      <w:r w:rsidRPr="00A30C5A">
        <w:rPr>
          <w:rFonts w:ascii="Arial"/>
          <w:i/>
          <w:sz w:val="20"/>
          <w:szCs w:val="20"/>
          <w:lang w:val="uk-UA"/>
        </w:rPr>
        <w:t xml:space="preserve"> </w:t>
      </w:r>
      <w:r w:rsidRPr="00A30C5A">
        <w:rPr>
          <w:rFonts w:ascii="Arial"/>
          <w:i/>
          <w:sz w:val="20"/>
          <w:szCs w:val="20"/>
          <w:lang w:val="uk-UA"/>
        </w:rPr>
        <w:t>наступне</w:t>
      </w:r>
      <w:r w:rsidRPr="00A30C5A">
        <w:rPr>
          <w:rFonts w:ascii="Arial"/>
          <w:i/>
          <w:sz w:val="20"/>
          <w:szCs w:val="20"/>
          <w:lang w:val="uk-UA"/>
        </w:rPr>
        <w:t xml:space="preserve"> </w:t>
      </w:r>
      <w:r w:rsidRPr="00A30C5A">
        <w:rPr>
          <w:rFonts w:ascii="Arial"/>
          <w:i/>
          <w:sz w:val="20"/>
          <w:szCs w:val="20"/>
          <w:lang w:val="uk-UA"/>
        </w:rPr>
        <w:t>питання</w:t>
      </w:r>
      <w:r w:rsidRPr="00A30C5A">
        <w:rPr>
          <w:rFonts w:ascii="Arial"/>
          <w:i/>
          <w:sz w:val="20"/>
          <w:szCs w:val="20"/>
          <w:lang w:val="uk-UA"/>
        </w:rPr>
        <w:t>:</w:t>
      </w:r>
    </w:p>
    <w:p w14:paraId="12D7A8D5" w14:textId="2BF225E7" w:rsidR="00E05B98" w:rsidRPr="003C6DAE" w:rsidRDefault="00A30C5A" w:rsidP="0091331B">
      <w:pPr>
        <w:pStyle w:val="7"/>
        <w:spacing w:before="243"/>
        <w:jc w:val="both"/>
        <w:rPr>
          <w:lang w:val="uk-UA"/>
        </w:rPr>
      </w:pPr>
      <w:r w:rsidRPr="00A30C5A">
        <w:rPr>
          <w:color w:val="019648"/>
          <w:lang w:val="uk-UA"/>
        </w:rPr>
        <w:t xml:space="preserve">Чи впливає впровадження підходу одночасного тестування (використання аТАНК-НС + аналіз LF-LAM) на вподобання та цінності користувачів, </w:t>
      </w:r>
      <w:r w:rsidR="00E31B85">
        <w:rPr>
          <w:color w:val="019648"/>
          <w:lang w:val="uk-UA"/>
        </w:rPr>
        <w:t xml:space="preserve">рівність і </w:t>
      </w:r>
      <w:r w:rsidR="0091331B">
        <w:rPr>
          <w:color w:val="019648"/>
          <w:lang w:val="uk-UA"/>
        </w:rPr>
        <w:t>справедливість</w:t>
      </w:r>
      <w:r w:rsidRPr="00A30C5A">
        <w:rPr>
          <w:color w:val="019648"/>
          <w:lang w:val="uk-UA"/>
        </w:rPr>
        <w:t xml:space="preserve"> </w:t>
      </w:r>
      <w:r w:rsidR="00E31B85">
        <w:rPr>
          <w:color w:val="019648"/>
          <w:lang w:val="uk-UA"/>
        </w:rPr>
        <w:t xml:space="preserve">у </w:t>
      </w:r>
      <w:r w:rsidRPr="00A30C5A">
        <w:rPr>
          <w:color w:val="019648"/>
          <w:lang w:val="uk-UA"/>
        </w:rPr>
        <w:t>наданн</w:t>
      </w:r>
      <w:r w:rsidR="00E31B85">
        <w:rPr>
          <w:color w:val="019648"/>
          <w:lang w:val="uk-UA"/>
        </w:rPr>
        <w:t>і</w:t>
      </w:r>
      <w:r w:rsidRPr="00A30C5A">
        <w:rPr>
          <w:color w:val="019648"/>
          <w:lang w:val="uk-UA"/>
        </w:rPr>
        <w:t xml:space="preserve"> послуг пацієнтам, прийнятність, можливість реалізації та на права людини?</w:t>
      </w:r>
    </w:p>
    <w:p w14:paraId="7674A2CE" w14:textId="6A164CC7" w:rsidR="00E05B98" w:rsidRPr="00A30C5A" w:rsidRDefault="00F54E75" w:rsidP="0091331B">
      <w:pPr>
        <w:pStyle w:val="a3"/>
        <w:spacing w:before="217" w:line="269" w:lineRule="auto"/>
        <w:ind w:left="567"/>
        <w:jc w:val="both"/>
        <w:rPr>
          <w:sz w:val="20"/>
          <w:szCs w:val="20"/>
          <w:lang w:val="uk-UA"/>
        </w:rPr>
      </w:pPr>
      <w:r w:rsidRPr="00F54E75">
        <w:rPr>
          <w:spacing w:val="-4"/>
          <w:sz w:val="20"/>
          <w:szCs w:val="20"/>
          <w:lang w:val="uk-UA"/>
        </w:rPr>
        <w:t>ГРН оцінювала, чи одночасне тестування кількох зразків підвищить точність діагностики (тобто користь для пацієнтів або програми з точки зору виявлення більшої кількості людей з ТБ). Три запитання PICO стосувалися різних комбінацій одночасного тестування для конкретних груп, які стикаються з проблемами, пов'язаними з використанням лише зразків із респіраторних шляхів (діти та люди, які живуть з ВІЛ). Одне з питань стосувалося одночасного використання аТАНК-НС на зразку з дихальних шляхів та аналізу LF-LAM на зразку сечі для діагностики ТБ у людей, які живуть з ВІЛ.</w:t>
      </w:r>
    </w:p>
    <w:p w14:paraId="7396B836" w14:textId="670B3039" w:rsidR="00E05B98" w:rsidRPr="00E31B85" w:rsidRDefault="00F54E75">
      <w:pPr>
        <w:pStyle w:val="7"/>
        <w:spacing w:before="190"/>
        <w:rPr>
          <w:sz w:val="22"/>
          <w:szCs w:val="22"/>
          <w:lang w:val="uk-UA"/>
        </w:rPr>
      </w:pPr>
      <w:r w:rsidRPr="00E31B85">
        <w:rPr>
          <w:color w:val="019648"/>
          <w:sz w:val="22"/>
          <w:szCs w:val="22"/>
          <w:lang w:val="uk-UA"/>
        </w:rPr>
        <w:t>Уподобання та цінності користувача</w:t>
      </w:r>
    </w:p>
    <w:p w14:paraId="7825E7B9" w14:textId="6362C517" w:rsidR="00E05B98" w:rsidRPr="00E31B85" w:rsidRDefault="00654D8E" w:rsidP="0091331B">
      <w:pPr>
        <w:pStyle w:val="a3"/>
        <w:spacing w:before="197" w:line="269" w:lineRule="auto"/>
        <w:ind w:left="567" w:right="-141"/>
        <w:jc w:val="both"/>
        <w:rPr>
          <w:sz w:val="20"/>
          <w:szCs w:val="20"/>
          <w:lang w:val="uk-UA"/>
        </w:rPr>
      </w:pPr>
      <w:r w:rsidRPr="00E31B85">
        <w:rPr>
          <w:sz w:val="20"/>
          <w:szCs w:val="20"/>
          <w:lang w:val="uk-UA"/>
        </w:rPr>
        <w:t>В якості важливих результатів діагностичного тесту люди в країнах з високим тягарем захворювання на ТБ цінують:</w:t>
      </w:r>
    </w:p>
    <w:p w14:paraId="6635DDDF" w14:textId="77777777" w:rsidR="00654D8E" w:rsidRPr="00E31B85" w:rsidRDefault="00654D8E" w:rsidP="004A2937">
      <w:pPr>
        <w:pStyle w:val="a4"/>
        <w:numPr>
          <w:ilvl w:val="0"/>
          <w:numId w:val="21"/>
        </w:numPr>
        <w:tabs>
          <w:tab w:val="left" w:pos="850"/>
        </w:tabs>
        <w:spacing w:before="60" w:line="269" w:lineRule="auto"/>
        <w:ind w:right="-141"/>
        <w:rPr>
          <w:sz w:val="20"/>
          <w:szCs w:val="20"/>
          <w:lang w:val="uk-UA"/>
        </w:rPr>
      </w:pPr>
      <w:r w:rsidRPr="00E31B85">
        <w:rPr>
          <w:sz w:val="20"/>
          <w:szCs w:val="20"/>
          <w:lang w:val="uk-UA"/>
        </w:rPr>
        <w:t>отримання точного діагнозу та завершення діагностики (нарешті зрозуміти, «що зі мною не так»)</w:t>
      </w:r>
    </w:p>
    <w:p w14:paraId="3B8D8EFA" w14:textId="2328A076" w:rsidR="00654D8E" w:rsidRPr="00E31B85" w:rsidRDefault="00654D8E" w:rsidP="004A2937">
      <w:pPr>
        <w:pStyle w:val="a4"/>
        <w:numPr>
          <w:ilvl w:val="0"/>
          <w:numId w:val="21"/>
        </w:numPr>
        <w:tabs>
          <w:tab w:val="left" w:pos="850"/>
        </w:tabs>
        <w:spacing w:before="60" w:line="269" w:lineRule="auto"/>
        <w:ind w:right="-141"/>
        <w:rPr>
          <w:sz w:val="20"/>
          <w:szCs w:val="20"/>
          <w:lang w:val="uk-UA"/>
        </w:rPr>
      </w:pPr>
      <w:r w:rsidRPr="00E31B85">
        <w:rPr>
          <w:sz w:val="20"/>
          <w:szCs w:val="20"/>
          <w:lang w:val="uk-UA"/>
        </w:rPr>
        <w:t>уникнення затримок проведення діагностики, оскільки вони посилюють існуючі фінансові труднощі, емоційні та фізичні страждання і змушують людей відчувати провину за інфікування інших людей (особливо дітей);</w:t>
      </w:r>
    </w:p>
    <w:p w14:paraId="40B2EAEE" w14:textId="73028120" w:rsidR="00654D8E" w:rsidRPr="00E31B85" w:rsidRDefault="00654D8E" w:rsidP="004A2937">
      <w:pPr>
        <w:pStyle w:val="a4"/>
        <w:numPr>
          <w:ilvl w:val="0"/>
          <w:numId w:val="21"/>
        </w:numPr>
        <w:tabs>
          <w:tab w:val="left" w:pos="850"/>
        </w:tabs>
        <w:spacing w:before="60" w:line="269" w:lineRule="auto"/>
        <w:ind w:right="-141"/>
        <w:rPr>
          <w:sz w:val="20"/>
          <w:szCs w:val="20"/>
          <w:lang w:val="uk-UA"/>
        </w:rPr>
      </w:pPr>
      <w:r w:rsidRPr="00E31B85">
        <w:rPr>
          <w:sz w:val="20"/>
          <w:szCs w:val="20"/>
          <w:lang w:val="uk-UA"/>
        </w:rPr>
        <w:t>наявність доступних закладів; та</w:t>
      </w:r>
    </w:p>
    <w:p w14:paraId="33C27563" w14:textId="2C64D632" w:rsidR="00E05B98" w:rsidRPr="00E31B85" w:rsidRDefault="00654D8E" w:rsidP="004A2937">
      <w:pPr>
        <w:pStyle w:val="a4"/>
        <w:numPr>
          <w:ilvl w:val="0"/>
          <w:numId w:val="21"/>
        </w:numPr>
        <w:tabs>
          <w:tab w:val="left" w:pos="850"/>
        </w:tabs>
        <w:spacing w:before="60" w:line="269" w:lineRule="auto"/>
        <w:ind w:right="-141"/>
        <w:rPr>
          <w:sz w:val="20"/>
          <w:szCs w:val="20"/>
          <w:lang w:val="uk-UA"/>
        </w:rPr>
      </w:pPr>
      <w:r w:rsidRPr="00E31B85">
        <w:rPr>
          <w:sz w:val="20"/>
          <w:szCs w:val="20"/>
          <w:lang w:val="uk-UA"/>
        </w:rPr>
        <w:t>зменшення витрат, пов'язаних з діагностикою (наприклад, витрати</w:t>
      </w:r>
      <w:r w:rsidR="00E31B85">
        <w:rPr>
          <w:sz w:val="20"/>
          <w:szCs w:val="20"/>
          <w:lang w:val="uk-UA"/>
        </w:rPr>
        <w:t xml:space="preserve"> на проїзд</w:t>
      </w:r>
      <w:r w:rsidRPr="00E31B85">
        <w:rPr>
          <w:sz w:val="20"/>
          <w:szCs w:val="20"/>
          <w:lang w:val="uk-UA"/>
        </w:rPr>
        <w:t>, відсутність на роботі).</w:t>
      </w:r>
    </w:p>
    <w:p w14:paraId="461E2018" w14:textId="77777777" w:rsidR="00E05B98" w:rsidRPr="00E31B85" w:rsidRDefault="00E05B98" w:rsidP="0091331B">
      <w:pPr>
        <w:pStyle w:val="a3"/>
        <w:spacing w:before="36" w:line="269" w:lineRule="auto"/>
        <w:ind w:right="-141"/>
        <w:jc w:val="both"/>
        <w:rPr>
          <w:sz w:val="20"/>
          <w:szCs w:val="20"/>
          <w:lang w:val="uk-UA"/>
        </w:rPr>
      </w:pPr>
    </w:p>
    <w:p w14:paraId="0CC21D5A" w14:textId="578A6188" w:rsidR="00E05B98" w:rsidRPr="00654D8E" w:rsidRDefault="00654D8E" w:rsidP="0091331B">
      <w:pPr>
        <w:pStyle w:val="a3"/>
        <w:spacing w:line="269" w:lineRule="auto"/>
        <w:ind w:left="567" w:right="-141"/>
        <w:jc w:val="both"/>
        <w:rPr>
          <w:rFonts w:ascii="Arial"/>
          <w:b/>
          <w:sz w:val="20"/>
          <w:szCs w:val="20"/>
          <w:lang w:val="uk-UA"/>
        </w:rPr>
      </w:pPr>
      <w:r w:rsidRPr="00E31B85">
        <w:rPr>
          <w:sz w:val="20"/>
          <w:szCs w:val="20"/>
          <w:lang w:val="uk-UA"/>
        </w:rPr>
        <w:t xml:space="preserve">Більш детальну інформацію про результати, важливі для пацієнта, можна знайти у </w:t>
      </w:r>
      <w:r w:rsidRPr="00E31B85">
        <w:rPr>
          <w:b/>
          <w:bCs/>
          <w:sz w:val="20"/>
          <w:szCs w:val="20"/>
          <w:lang w:val="uk-UA"/>
        </w:rPr>
        <w:t>веб-додатку B.10</w:t>
      </w:r>
      <w:r w:rsidRPr="00E31B85">
        <w:rPr>
          <w:sz w:val="20"/>
          <w:szCs w:val="20"/>
          <w:lang w:val="uk-UA"/>
        </w:rPr>
        <w:t>.</w:t>
      </w:r>
    </w:p>
    <w:p w14:paraId="0DECB700" w14:textId="77777777" w:rsidR="00E05B98" w:rsidRPr="003C6DAE" w:rsidRDefault="00E05B98" w:rsidP="0091331B">
      <w:pPr>
        <w:pStyle w:val="a3"/>
        <w:spacing w:line="269" w:lineRule="auto"/>
        <w:ind w:right="-141"/>
        <w:jc w:val="both"/>
        <w:rPr>
          <w:rFonts w:ascii="Arial"/>
          <w:b/>
          <w:lang w:val="uk-UA"/>
        </w:rPr>
        <w:sectPr w:rsidR="00E05B98" w:rsidRPr="003C6DAE" w:rsidSect="0091331B">
          <w:pgSz w:w="11910" w:h="16840"/>
          <w:pgMar w:top="1135" w:right="853" w:bottom="760" w:left="850" w:header="0" w:footer="573" w:gutter="0"/>
          <w:cols w:space="720"/>
        </w:sectPr>
      </w:pPr>
    </w:p>
    <w:p w14:paraId="4D354268" w14:textId="1C9663B1" w:rsidR="00E05B98" w:rsidRPr="00654D8E" w:rsidRDefault="00654D8E" w:rsidP="004A5D79">
      <w:pPr>
        <w:pStyle w:val="6"/>
        <w:spacing w:line="276" w:lineRule="auto"/>
        <w:jc w:val="both"/>
        <w:rPr>
          <w:sz w:val="22"/>
          <w:szCs w:val="22"/>
          <w:lang w:val="uk-UA"/>
        </w:rPr>
      </w:pPr>
      <w:r w:rsidRPr="00654D8E">
        <w:rPr>
          <w:spacing w:val="-2"/>
          <w:sz w:val="22"/>
          <w:szCs w:val="22"/>
          <w:lang w:val="uk-UA"/>
        </w:rPr>
        <w:lastRenderedPageBreak/>
        <w:t>Справедливість</w:t>
      </w:r>
    </w:p>
    <w:p w14:paraId="0F416D98" w14:textId="699A64D9" w:rsidR="00E05B98" w:rsidRPr="00654D8E" w:rsidRDefault="004476DB" w:rsidP="004A5D79">
      <w:pPr>
        <w:pStyle w:val="a3"/>
        <w:spacing w:before="227" w:line="276" w:lineRule="auto"/>
        <w:ind w:left="567"/>
        <w:jc w:val="both"/>
        <w:rPr>
          <w:sz w:val="20"/>
          <w:szCs w:val="20"/>
          <w:lang w:val="uk-UA"/>
        </w:rPr>
      </w:pPr>
      <w:r>
        <w:rPr>
          <w:w w:val="105"/>
          <w:sz w:val="20"/>
          <w:szCs w:val="20"/>
          <w:lang w:val="uk-UA"/>
        </w:rPr>
        <w:t>У</w:t>
      </w:r>
      <w:r w:rsidR="00B94CDC" w:rsidRPr="00B94CDC">
        <w:rPr>
          <w:w w:val="105"/>
          <w:sz w:val="20"/>
          <w:szCs w:val="20"/>
          <w:lang w:val="uk-UA"/>
        </w:rPr>
        <w:t xml:space="preserve"> країнах, що брали участь в опитуванні</w:t>
      </w:r>
      <w:r>
        <w:rPr>
          <w:w w:val="105"/>
          <w:sz w:val="20"/>
          <w:szCs w:val="20"/>
          <w:lang w:val="uk-UA"/>
        </w:rPr>
        <w:t>, н</w:t>
      </w:r>
      <w:r w:rsidR="00E31B85">
        <w:rPr>
          <w:w w:val="105"/>
          <w:sz w:val="20"/>
          <w:szCs w:val="20"/>
          <w:lang w:val="uk-UA"/>
        </w:rPr>
        <w:t>е</w:t>
      </w:r>
      <w:r>
        <w:rPr>
          <w:w w:val="105"/>
          <w:sz w:val="20"/>
          <w:szCs w:val="20"/>
          <w:lang w:val="uk-UA"/>
        </w:rPr>
        <w:t xml:space="preserve"> практикували застосування одночасного тестування кількох зразків</w:t>
      </w:r>
      <w:r w:rsidR="00B94CDC" w:rsidRPr="00B94CDC">
        <w:rPr>
          <w:w w:val="105"/>
          <w:sz w:val="20"/>
          <w:szCs w:val="20"/>
          <w:lang w:val="uk-UA"/>
        </w:rPr>
        <w:t xml:space="preserve">. Однак вважалося, що це покращує доступ до медичної допомоги шляхом мінімізації кількості повторних візитів і втрати контактів з пацієнтами для подальшого спостереження. На думку респондентів, які брали участь в інтерв'ю, використання зразків, які не </w:t>
      </w:r>
      <w:r w:rsidR="0091331B">
        <w:rPr>
          <w:w w:val="105"/>
          <w:sz w:val="20"/>
          <w:szCs w:val="20"/>
          <w:lang w:val="uk-UA"/>
        </w:rPr>
        <w:t xml:space="preserve">містять </w:t>
      </w:r>
      <w:r w:rsidR="00B94CDC" w:rsidRPr="00B94CDC">
        <w:rPr>
          <w:w w:val="105"/>
          <w:sz w:val="20"/>
          <w:szCs w:val="20"/>
          <w:lang w:val="uk-UA"/>
        </w:rPr>
        <w:t>мокротиння, має потенціал для покращення доступу до медичної допомоги, особливо за допомогою тесту, який можна проводити на всіх рівнях системи охорони здоров'я. Проблеми, пов'язані з отриманням достатньої кількості мокротиння</w:t>
      </w:r>
      <w:r w:rsidR="00C92044">
        <w:rPr>
          <w:w w:val="105"/>
          <w:sz w:val="20"/>
          <w:szCs w:val="20"/>
          <w:lang w:val="uk-UA"/>
        </w:rPr>
        <w:t xml:space="preserve"> та відповідної якості</w:t>
      </w:r>
      <w:r w:rsidR="00B94CDC" w:rsidRPr="00B94CDC">
        <w:rPr>
          <w:w w:val="105"/>
          <w:sz w:val="20"/>
          <w:szCs w:val="20"/>
          <w:lang w:val="uk-UA"/>
        </w:rPr>
        <w:t>, добре задокументовані і можуть призвести до повторного тестування або хибних результатів тесту.</w:t>
      </w:r>
    </w:p>
    <w:p w14:paraId="5C162394" w14:textId="46DBD992" w:rsidR="00E05B98" w:rsidRPr="00654D8E" w:rsidRDefault="00B94CDC" w:rsidP="004A5D79">
      <w:pPr>
        <w:pStyle w:val="6"/>
        <w:spacing w:before="189" w:line="276" w:lineRule="auto"/>
        <w:jc w:val="both"/>
        <w:rPr>
          <w:sz w:val="22"/>
          <w:szCs w:val="22"/>
          <w:lang w:val="uk-UA"/>
        </w:rPr>
      </w:pPr>
      <w:r w:rsidRPr="00B94CDC">
        <w:rPr>
          <w:spacing w:val="-2"/>
          <w:sz w:val="22"/>
          <w:szCs w:val="22"/>
          <w:lang w:val="uk-UA"/>
        </w:rPr>
        <w:t>Прийнятність</w:t>
      </w:r>
    </w:p>
    <w:p w14:paraId="585FC9EB" w14:textId="33C539C0" w:rsidR="00E05B98" w:rsidRPr="00654D8E" w:rsidRDefault="00E31B85" w:rsidP="004A5D79">
      <w:pPr>
        <w:pStyle w:val="a3"/>
        <w:spacing w:before="227" w:line="276" w:lineRule="auto"/>
        <w:ind w:left="567"/>
        <w:jc w:val="both"/>
        <w:rPr>
          <w:sz w:val="20"/>
          <w:szCs w:val="20"/>
          <w:lang w:val="uk-UA"/>
        </w:rPr>
      </w:pPr>
      <w:r>
        <w:rPr>
          <w:sz w:val="20"/>
          <w:szCs w:val="20"/>
          <w:lang w:val="uk-UA"/>
        </w:rPr>
        <w:t>На основі</w:t>
      </w:r>
      <w:r w:rsidR="00BC07C4" w:rsidRPr="00BC07C4">
        <w:rPr>
          <w:sz w:val="20"/>
          <w:szCs w:val="20"/>
          <w:lang w:val="uk-UA"/>
        </w:rPr>
        <w:t xml:space="preserve"> результат</w:t>
      </w:r>
      <w:r>
        <w:rPr>
          <w:sz w:val="20"/>
          <w:szCs w:val="20"/>
          <w:lang w:val="uk-UA"/>
        </w:rPr>
        <w:t>ів дослідження, що передбачало проведення</w:t>
      </w:r>
      <w:r w:rsidR="00BC07C4" w:rsidRPr="00BC07C4">
        <w:rPr>
          <w:sz w:val="20"/>
          <w:szCs w:val="20"/>
          <w:lang w:val="uk-UA"/>
        </w:rPr>
        <w:t xml:space="preserve"> інтерв'ю, аналіз LF-LAM використовується непослідовно для людей, які живуть з ВІЛ, і лише для дуже хворих пацієнтів, які не можуть виробляти мокротиння. Наші результати узгоджуються з опублікованими літературними даними про аналіз LF-LAM</w:t>
      </w:r>
      <w:r w:rsidR="00C92044">
        <w:rPr>
          <w:sz w:val="20"/>
          <w:szCs w:val="20"/>
          <w:lang w:val="uk-UA"/>
        </w:rPr>
        <w:t>.</w:t>
      </w:r>
    </w:p>
    <w:p w14:paraId="6DD21E73" w14:textId="1126CF93" w:rsidR="00E05B98" w:rsidRPr="003C6DAE" w:rsidRDefault="00896A41" w:rsidP="004A5D79">
      <w:pPr>
        <w:pStyle w:val="a3"/>
        <w:spacing w:before="174" w:line="276" w:lineRule="auto"/>
        <w:ind w:left="567"/>
        <w:jc w:val="both"/>
        <w:rPr>
          <w:lang w:val="uk-UA"/>
        </w:rPr>
      </w:pPr>
      <w:r w:rsidRPr="00896A41">
        <w:rPr>
          <w:sz w:val="20"/>
          <w:szCs w:val="20"/>
          <w:lang w:val="uk-UA"/>
        </w:rPr>
        <w:t xml:space="preserve">Попередні дослідження </w:t>
      </w:r>
      <w:r w:rsidR="001040E3">
        <w:rPr>
          <w:sz w:val="20"/>
          <w:szCs w:val="20"/>
          <w:lang w:val="uk-UA"/>
        </w:rPr>
        <w:t xml:space="preserve">точок зору </w:t>
      </w:r>
      <w:r w:rsidRPr="00896A41">
        <w:rPr>
          <w:sz w:val="20"/>
          <w:szCs w:val="20"/>
          <w:lang w:val="uk-UA"/>
        </w:rPr>
        <w:t xml:space="preserve">користувачів </w:t>
      </w:r>
      <w:r w:rsidR="001040E3">
        <w:rPr>
          <w:sz w:val="20"/>
          <w:szCs w:val="20"/>
          <w:lang w:val="uk-UA"/>
        </w:rPr>
        <w:t>стосовно</w:t>
      </w:r>
      <w:r w:rsidRPr="00896A41">
        <w:rPr>
          <w:sz w:val="20"/>
          <w:szCs w:val="20"/>
          <w:lang w:val="uk-UA"/>
        </w:rPr>
        <w:t xml:space="preserve"> використання аналізу LF-LAM показали, що ключові зацікавлені сторони загалом вважають його прийнятним завдяки швидкості циклу його виконання, простоті використання (відсутність необхідності в технічних знаннях), низькій потребі в технічному обслуговуванні обладнання або відсутності такої необхідності, а також тому, що отримання  зр</w:t>
      </w:r>
      <w:r w:rsidR="001040E3">
        <w:rPr>
          <w:sz w:val="20"/>
          <w:szCs w:val="20"/>
          <w:lang w:val="uk-UA"/>
        </w:rPr>
        <w:t>а</w:t>
      </w:r>
      <w:r w:rsidRPr="00896A41">
        <w:rPr>
          <w:sz w:val="20"/>
          <w:szCs w:val="20"/>
          <w:lang w:val="uk-UA"/>
        </w:rPr>
        <w:t xml:space="preserve">зка сечі є більш доступною процедурою та менш стигматизованою, ніж забір мокротиння. Аналіз LF-LAM вважається особливо прийнятним </w:t>
      </w:r>
      <w:r w:rsidR="001040E3">
        <w:rPr>
          <w:sz w:val="20"/>
          <w:szCs w:val="20"/>
          <w:lang w:val="uk-UA"/>
        </w:rPr>
        <w:t>для</w:t>
      </w:r>
      <w:r w:rsidRPr="00896A41">
        <w:rPr>
          <w:sz w:val="20"/>
          <w:szCs w:val="20"/>
          <w:lang w:val="uk-UA"/>
        </w:rPr>
        <w:t xml:space="preserve"> використанн</w:t>
      </w:r>
      <w:r w:rsidR="001040E3">
        <w:rPr>
          <w:sz w:val="20"/>
          <w:szCs w:val="20"/>
          <w:lang w:val="uk-UA"/>
        </w:rPr>
        <w:t>я</w:t>
      </w:r>
      <w:r w:rsidRPr="00896A41">
        <w:rPr>
          <w:sz w:val="20"/>
          <w:szCs w:val="20"/>
          <w:lang w:val="uk-UA"/>
        </w:rPr>
        <w:t xml:space="preserve"> в поєднанні з іншими тестами та з точки зору клінічних міркувань.</w:t>
      </w:r>
      <w:r w:rsidR="00B01E0C" w:rsidRPr="00654D8E">
        <w:rPr>
          <w:spacing w:val="-10"/>
          <w:sz w:val="20"/>
          <w:szCs w:val="20"/>
          <w:lang w:val="uk-UA"/>
        </w:rPr>
        <w:t xml:space="preserve"> </w:t>
      </w:r>
      <w:r w:rsidR="00327693" w:rsidRPr="00327693">
        <w:rPr>
          <w:sz w:val="20"/>
          <w:szCs w:val="20"/>
          <w:lang w:val="uk-UA"/>
        </w:rPr>
        <w:t>Оскільки чутливість LF-LAM особливо низька за низької предтестової ймовірності, учасники зазначили, що його не слід використовувати в якості окремого тесту, а краще використовувати в поєднанні з іншими тестами, і що результати повинні інтерпретуватися лікарем з урахуванням повного клінічного контексту, а не розглядатися окремо.</w:t>
      </w:r>
    </w:p>
    <w:p w14:paraId="30E71910" w14:textId="746BEE3C" w:rsidR="00E05B98" w:rsidRPr="00654D8E" w:rsidRDefault="00D06B1C" w:rsidP="004A5D79">
      <w:pPr>
        <w:pStyle w:val="6"/>
        <w:spacing w:before="193" w:line="276" w:lineRule="auto"/>
        <w:jc w:val="both"/>
        <w:rPr>
          <w:sz w:val="22"/>
          <w:szCs w:val="22"/>
          <w:lang w:val="uk-UA"/>
        </w:rPr>
      </w:pPr>
      <w:r>
        <w:rPr>
          <w:spacing w:val="-2"/>
          <w:sz w:val="22"/>
          <w:szCs w:val="22"/>
          <w:lang w:val="uk-UA"/>
        </w:rPr>
        <w:t>Можливість реалізації</w:t>
      </w:r>
    </w:p>
    <w:p w14:paraId="2CB95B3F" w14:textId="362684A5" w:rsidR="00E05B98" w:rsidRPr="00654D8E" w:rsidRDefault="00D06B1C" w:rsidP="004A5D79">
      <w:pPr>
        <w:pStyle w:val="a3"/>
        <w:spacing w:before="197" w:line="276" w:lineRule="auto"/>
        <w:ind w:left="567"/>
        <w:jc w:val="both"/>
        <w:rPr>
          <w:sz w:val="20"/>
          <w:szCs w:val="20"/>
          <w:lang w:val="uk-UA"/>
        </w:rPr>
      </w:pPr>
      <w:r w:rsidRPr="00D06B1C">
        <w:rPr>
          <w:w w:val="105"/>
          <w:sz w:val="20"/>
          <w:szCs w:val="20"/>
          <w:lang w:val="uk-UA"/>
        </w:rPr>
        <w:t>Результати дослідження</w:t>
      </w:r>
      <w:r w:rsidR="001040E3">
        <w:rPr>
          <w:w w:val="105"/>
          <w:sz w:val="20"/>
          <w:szCs w:val="20"/>
          <w:lang w:val="uk-UA"/>
        </w:rPr>
        <w:t>, що передбачали проведення</w:t>
      </w:r>
      <w:r w:rsidRPr="00D06B1C">
        <w:rPr>
          <w:w w:val="105"/>
          <w:sz w:val="20"/>
          <w:szCs w:val="20"/>
          <w:lang w:val="uk-UA"/>
        </w:rPr>
        <w:t xml:space="preserve"> інтерв'ю</w:t>
      </w:r>
      <w:r w:rsidR="001040E3">
        <w:rPr>
          <w:w w:val="105"/>
          <w:sz w:val="20"/>
          <w:szCs w:val="20"/>
          <w:lang w:val="uk-UA"/>
        </w:rPr>
        <w:t>,</w:t>
      </w:r>
      <w:r w:rsidRPr="00D06B1C">
        <w:rPr>
          <w:w w:val="105"/>
          <w:sz w:val="20"/>
          <w:szCs w:val="20"/>
          <w:lang w:val="uk-UA"/>
        </w:rPr>
        <w:t xml:space="preserve"> показали, що переваги аналізу LF-LAM суттєво залежать від того, яким чином вирішуються деякі проблеми, пов'язані з його реалізацією.</w:t>
      </w:r>
    </w:p>
    <w:p w14:paraId="5DEE50F5" w14:textId="5E2D12EA" w:rsidR="00E05B98" w:rsidRPr="00654D8E" w:rsidRDefault="00A421FB" w:rsidP="004A2937">
      <w:pPr>
        <w:pStyle w:val="a4"/>
        <w:numPr>
          <w:ilvl w:val="0"/>
          <w:numId w:val="21"/>
        </w:numPr>
        <w:tabs>
          <w:tab w:val="left" w:pos="850"/>
        </w:tabs>
        <w:spacing w:before="117" w:line="276" w:lineRule="auto"/>
        <w:ind w:right="140"/>
        <w:rPr>
          <w:sz w:val="20"/>
          <w:szCs w:val="20"/>
          <w:lang w:val="uk-UA"/>
        </w:rPr>
      </w:pPr>
      <w:r w:rsidRPr="00A421FB">
        <w:rPr>
          <w:sz w:val="20"/>
          <w:szCs w:val="20"/>
          <w:lang w:val="uk-UA"/>
        </w:rPr>
        <w:t xml:space="preserve">Для впровадження LF-LAM  на сайтах тестування необхідно забезпечити наявність гігієнічних, безпечних та приватних санітарних приміщень з постачанням проточної води, але такі приміщення не завжди є у доступі, особливо в сільській місцевості. Потрібні інвестиції на утримання персоналу та забезпечення санітарних </w:t>
      </w:r>
      <w:r w:rsidR="0072784E">
        <w:rPr>
          <w:sz w:val="20"/>
          <w:szCs w:val="20"/>
          <w:lang w:val="uk-UA"/>
        </w:rPr>
        <w:t>об’єктів</w:t>
      </w:r>
      <w:r w:rsidRPr="00A421FB">
        <w:rPr>
          <w:sz w:val="20"/>
          <w:szCs w:val="20"/>
          <w:lang w:val="uk-UA"/>
        </w:rPr>
        <w:t>.</w:t>
      </w:r>
    </w:p>
    <w:p w14:paraId="1AA4B560" w14:textId="54DF0812" w:rsidR="00E05B98" w:rsidRPr="00654D8E" w:rsidRDefault="0072784E" w:rsidP="004A2937">
      <w:pPr>
        <w:pStyle w:val="a4"/>
        <w:numPr>
          <w:ilvl w:val="0"/>
          <w:numId w:val="21"/>
        </w:numPr>
        <w:tabs>
          <w:tab w:val="left" w:pos="850"/>
        </w:tabs>
        <w:spacing w:before="4" w:line="276" w:lineRule="auto"/>
        <w:ind w:right="139"/>
        <w:rPr>
          <w:sz w:val="20"/>
          <w:szCs w:val="20"/>
          <w:lang w:val="uk-UA"/>
        </w:rPr>
      </w:pPr>
      <w:r w:rsidRPr="0072784E">
        <w:rPr>
          <w:spacing w:val="-2"/>
          <w:sz w:val="20"/>
          <w:szCs w:val="20"/>
          <w:lang w:val="uk-UA"/>
        </w:rPr>
        <w:t xml:space="preserve">Не кожен може спонтанно продукувати або збирати зразки сечі. Це може статися, наприклад, коли пацієнт </w:t>
      </w:r>
      <w:r w:rsidR="004A5D79">
        <w:rPr>
          <w:spacing w:val="-2"/>
          <w:sz w:val="20"/>
          <w:szCs w:val="20"/>
          <w:lang w:val="uk-UA"/>
        </w:rPr>
        <w:t>занадто</w:t>
      </w:r>
      <w:r w:rsidRPr="0072784E">
        <w:rPr>
          <w:spacing w:val="-2"/>
          <w:sz w:val="20"/>
          <w:szCs w:val="20"/>
          <w:lang w:val="uk-UA"/>
        </w:rPr>
        <w:t xml:space="preserve"> хворий чи має стан сепсису, або потребує дослідження з допомогою катетера, оскільки збір зразків сечі з підгузків неможливий, або якщо в лікарні немає чистого, окремого місця для збору сечі.</w:t>
      </w:r>
    </w:p>
    <w:p w14:paraId="3BCEECB5" w14:textId="353558BD" w:rsidR="00E05B98" w:rsidRPr="00654D8E" w:rsidRDefault="00D2778B" w:rsidP="004A2937">
      <w:pPr>
        <w:pStyle w:val="a4"/>
        <w:numPr>
          <w:ilvl w:val="0"/>
          <w:numId w:val="21"/>
        </w:numPr>
        <w:tabs>
          <w:tab w:val="left" w:pos="850"/>
        </w:tabs>
        <w:spacing w:before="4" w:line="276" w:lineRule="auto"/>
        <w:ind w:right="134"/>
        <w:rPr>
          <w:sz w:val="20"/>
          <w:szCs w:val="20"/>
          <w:lang w:val="uk-UA"/>
        </w:rPr>
      </w:pPr>
      <w:r w:rsidRPr="00D2778B">
        <w:rPr>
          <w:sz w:val="20"/>
          <w:szCs w:val="20"/>
          <w:lang w:val="uk-UA"/>
        </w:rPr>
        <w:t>Видимість слабких результатів та їх інтерпретація можуть бути проблематичними. Всебічне навчання медичних працівників інтерпретації результатів тесту (включаючи обов'язкове використання еталонної карти зчитування, де це необхідно) має вирішальне значення для забезпечення точної інтерпретації результатів для прийняття клінічних дій.</w:t>
      </w:r>
    </w:p>
    <w:p w14:paraId="0C5BA483" w14:textId="602C3DC0" w:rsidR="00E05B98" w:rsidRPr="00654D8E" w:rsidRDefault="00D2778B" w:rsidP="004A2937">
      <w:pPr>
        <w:pStyle w:val="a4"/>
        <w:numPr>
          <w:ilvl w:val="0"/>
          <w:numId w:val="21"/>
        </w:numPr>
        <w:tabs>
          <w:tab w:val="left" w:pos="850"/>
        </w:tabs>
        <w:spacing w:before="4" w:line="276" w:lineRule="auto"/>
        <w:ind w:right="135"/>
        <w:rPr>
          <w:sz w:val="20"/>
          <w:szCs w:val="20"/>
          <w:lang w:val="uk-UA"/>
        </w:rPr>
      </w:pPr>
      <w:r w:rsidRPr="00D2778B">
        <w:rPr>
          <w:spacing w:val="-2"/>
          <w:sz w:val="20"/>
          <w:szCs w:val="20"/>
          <w:lang w:val="uk-UA"/>
        </w:rPr>
        <w:t>Потреба в результатах підрахунку кількості клітин CD4 з метою відбору людей для проходження тесту є проблематичною, оскільки ці результати не завжди доступні одразу. Щоб полегшити впровадження і принести користь ширшому колу осіб, слід розглянути можливість виключення підрахунку кількості клітин CD4 в якості критерію проведення тесту для людей, які живуть з ВІЛ.</w:t>
      </w:r>
    </w:p>
    <w:p w14:paraId="7C6D72C7" w14:textId="77777777" w:rsidR="0005763B" w:rsidRPr="0005763B" w:rsidRDefault="0005763B" w:rsidP="004A2937">
      <w:pPr>
        <w:pStyle w:val="a4"/>
        <w:numPr>
          <w:ilvl w:val="0"/>
          <w:numId w:val="21"/>
        </w:numPr>
        <w:tabs>
          <w:tab w:val="left" w:pos="850"/>
        </w:tabs>
        <w:spacing w:before="3" w:line="276" w:lineRule="auto"/>
        <w:ind w:right="139"/>
        <w:rPr>
          <w:sz w:val="20"/>
          <w:szCs w:val="20"/>
          <w:lang w:val="uk-UA"/>
        </w:rPr>
      </w:pPr>
      <w:r w:rsidRPr="0005763B">
        <w:rPr>
          <w:sz w:val="20"/>
          <w:szCs w:val="20"/>
          <w:lang w:val="uk-UA"/>
        </w:rPr>
        <w:t>В умовах лікарні, тестування біля ліжка може порушити конфіденційність пацієнта.</w:t>
      </w:r>
    </w:p>
    <w:p w14:paraId="0DD92891" w14:textId="2456B60A" w:rsidR="0005763B" w:rsidRPr="0005763B" w:rsidRDefault="0005763B" w:rsidP="004A2937">
      <w:pPr>
        <w:pStyle w:val="a4"/>
        <w:numPr>
          <w:ilvl w:val="0"/>
          <w:numId w:val="21"/>
        </w:numPr>
        <w:tabs>
          <w:tab w:val="left" w:pos="850"/>
        </w:tabs>
        <w:spacing w:before="3" w:line="276" w:lineRule="auto"/>
        <w:ind w:right="139"/>
        <w:rPr>
          <w:sz w:val="20"/>
          <w:szCs w:val="20"/>
          <w:lang w:val="uk-UA"/>
        </w:rPr>
      </w:pPr>
      <w:r w:rsidRPr="0005763B">
        <w:rPr>
          <w:sz w:val="20"/>
          <w:szCs w:val="20"/>
          <w:lang w:val="uk-UA"/>
        </w:rPr>
        <w:t>Результати необхідно фіксувати стандартним способом, щоб дані потрапляли до систем звітування закладу та НПТ.</w:t>
      </w:r>
    </w:p>
    <w:p w14:paraId="16271957" w14:textId="61978CD5" w:rsidR="00E05B98" w:rsidRPr="00654D8E" w:rsidRDefault="0005763B" w:rsidP="004A2937">
      <w:pPr>
        <w:pStyle w:val="a4"/>
        <w:numPr>
          <w:ilvl w:val="0"/>
          <w:numId w:val="21"/>
        </w:numPr>
        <w:tabs>
          <w:tab w:val="left" w:pos="850"/>
        </w:tabs>
        <w:spacing w:before="3" w:line="276" w:lineRule="auto"/>
        <w:ind w:right="139"/>
        <w:rPr>
          <w:sz w:val="20"/>
          <w:szCs w:val="20"/>
          <w:lang w:val="uk-UA"/>
        </w:rPr>
      </w:pPr>
      <w:r w:rsidRPr="0005763B">
        <w:rPr>
          <w:sz w:val="20"/>
          <w:szCs w:val="20"/>
          <w:lang w:val="uk-UA"/>
        </w:rPr>
        <w:t>Необхідно впровадити схеми забезпечення якості, а також забезпечити доступ до зовнішнього контролю якості, щоб гарантувати контроль якості тестів та процесів тестування.</w:t>
      </w:r>
    </w:p>
    <w:p w14:paraId="7503E7A8" w14:textId="77777777" w:rsidR="00E05B98" w:rsidRPr="00654D8E" w:rsidRDefault="00E05B98">
      <w:pPr>
        <w:pStyle w:val="a4"/>
        <w:spacing w:line="297" w:lineRule="auto"/>
        <w:rPr>
          <w:sz w:val="20"/>
          <w:szCs w:val="20"/>
          <w:lang w:val="uk-UA"/>
        </w:rPr>
        <w:sectPr w:rsidR="00E05B98" w:rsidRPr="00654D8E" w:rsidSect="0005763B">
          <w:pgSz w:w="11910" w:h="16840"/>
          <w:pgMar w:top="993" w:right="853" w:bottom="760" w:left="850" w:header="0" w:footer="573" w:gutter="0"/>
          <w:cols w:space="720"/>
        </w:sectPr>
      </w:pPr>
    </w:p>
    <w:p w14:paraId="31DB1C0E" w14:textId="292A3089" w:rsidR="00E05B98" w:rsidRPr="00654D8E" w:rsidRDefault="001B5658" w:rsidP="00C04348">
      <w:pPr>
        <w:pStyle w:val="a3"/>
        <w:spacing w:before="52" w:line="269" w:lineRule="auto"/>
        <w:ind w:left="567" w:right="139"/>
        <w:jc w:val="both"/>
        <w:rPr>
          <w:sz w:val="20"/>
          <w:szCs w:val="20"/>
          <w:lang w:val="uk-UA"/>
        </w:rPr>
      </w:pPr>
      <w:r w:rsidRPr="001B5658">
        <w:rPr>
          <w:w w:val="105"/>
          <w:sz w:val="20"/>
          <w:szCs w:val="20"/>
          <w:lang w:val="uk-UA"/>
        </w:rPr>
        <w:lastRenderedPageBreak/>
        <w:t>Одночасне тестування слід розглядати як більш ефективний спосіб роботи (тобто тестування двох зразків одночасно під час одного візиту, замість тестування одного зразка під час кожного з двох окремих візитів), який також дозволяє розширити доступ</w:t>
      </w:r>
      <w:r w:rsidR="00327693">
        <w:rPr>
          <w:w w:val="105"/>
          <w:sz w:val="20"/>
          <w:szCs w:val="20"/>
          <w:lang w:val="uk-UA"/>
        </w:rPr>
        <w:t xml:space="preserve"> до послуг</w:t>
      </w:r>
      <w:r w:rsidRPr="001B5658">
        <w:rPr>
          <w:w w:val="105"/>
          <w:sz w:val="20"/>
          <w:szCs w:val="20"/>
          <w:lang w:val="uk-UA"/>
        </w:rPr>
        <w:t xml:space="preserve"> і знизити витрати для пацієнтів. За словами керівника лабораторії, така постановка задачі свідчить про те, що користь переважає додаткове навантаження і потенційно призводять до зменшення обсягу роботи в довгостроковій перспективі, буде мати вирішальне значення для того, щоб одночасне тестування не сприймалося як додаткова робота для вже і без того перевантажених </w:t>
      </w:r>
      <w:r w:rsidR="00327693">
        <w:rPr>
          <w:w w:val="105"/>
          <w:sz w:val="20"/>
          <w:szCs w:val="20"/>
          <w:lang w:val="uk-UA"/>
        </w:rPr>
        <w:t xml:space="preserve">роботою </w:t>
      </w:r>
      <w:r w:rsidRPr="001B5658">
        <w:rPr>
          <w:w w:val="105"/>
          <w:sz w:val="20"/>
          <w:szCs w:val="20"/>
          <w:lang w:val="uk-UA"/>
        </w:rPr>
        <w:t xml:space="preserve">медичних працівників (див. </w:t>
      </w:r>
      <w:r w:rsidRPr="001B5658">
        <w:rPr>
          <w:b/>
          <w:bCs/>
          <w:w w:val="105"/>
          <w:sz w:val="20"/>
          <w:szCs w:val="20"/>
          <w:lang w:val="uk-UA"/>
        </w:rPr>
        <w:t>веб-додаток B.10</w:t>
      </w:r>
      <w:r w:rsidRPr="001B5658">
        <w:rPr>
          <w:w w:val="105"/>
          <w:sz w:val="20"/>
          <w:szCs w:val="20"/>
          <w:lang w:val="uk-UA"/>
        </w:rPr>
        <w:t>).</w:t>
      </w:r>
    </w:p>
    <w:p w14:paraId="3DD02106" w14:textId="5087F11A" w:rsidR="00E05B98" w:rsidRPr="00654D8E" w:rsidRDefault="00E816CF" w:rsidP="00C04348">
      <w:pPr>
        <w:pStyle w:val="a3"/>
        <w:spacing w:before="174" w:line="269" w:lineRule="auto"/>
        <w:ind w:left="567" w:right="137"/>
        <w:jc w:val="both"/>
        <w:rPr>
          <w:sz w:val="20"/>
          <w:szCs w:val="20"/>
          <w:lang w:val="uk-UA"/>
        </w:rPr>
      </w:pPr>
      <w:r w:rsidRPr="00E816CF">
        <w:rPr>
          <w:sz w:val="20"/>
          <w:szCs w:val="20"/>
          <w:lang w:val="uk-UA"/>
        </w:rPr>
        <w:t xml:space="preserve">Попередньо зроблені інвестиції в передові технології, уподобання донорів, обмеженість мислення представників систем охорони здоров'я та непотрібна конкуренція між виробниками - все це створює проблеми для прийняття політики та впровадження нових методів молекулярної діагностики. Крім того, національні оцінки медичних технологій та економічної ефективності можуть відтермінувати прийняття рішень стосовно впровадження новітніх технологій і стратегій діагностики з використанням різних зразків (див. </w:t>
      </w:r>
      <w:r w:rsidRPr="00327693">
        <w:rPr>
          <w:b/>
          <w:bCs/>
          <w:sz w:val="20"/>
          <w:szCs w:val="20"/>
          <w:lang w:val="uk-UA"/>
        </w:rPr>
        <w:t>веб-додаток B.10</w:t>
      </w:r>
      <w:r w:rsidRPr="00E816CF">
        <w:rPr>
          <w:sz w:val="20"/>
          <w:szCs w:val="20"/>
          <w:lang w:val="uk-UA"/>
        </w:rPr>
        <w:t>).</w:t>
      </w:r>
    </w:p>
    <w:p w14:paraId="748FB825" w14:textId="05F04E9B" w:rsidR="00E05B98" w:rsidRDefault="00E816CF">
      <w:pPr>
        <w:pStyle w:val="5"/>
        <w:spacing w:before="199"/>
        <w:jc w:val="both"/>
        <w:rPr>
          <w:color w:val="019648"/>
          <w:w w:val="110"/>
          <w:sz w:val="26"/>
          <w:szCs w:val="26"/>
          <w:lang w:val="uk-UA"/>
        </w:rPr>
      </w:pPr>
      <w:r w:rsidRPr="00E816CF">
        <w:rPr>
          <w:color w:val="019648"/>
          <w:w w:val="110"/>
          <w:sz w:val="26"/>
          <w:szCs w:val="26"/>
          <w:lang w:val="uk-UA"/>
        </w:rPr>
        <w:t>Міркування щодо реалізації</w:t>
      </w:r>
    </w:p>
    <w:p w14:paraId="0053BB7A" w14:textId="77777777" w:rsidR="00E816CF" w:rsidRPr="00E816CF" w:rsidRDefault="00E816CF">
      <w:pPr>
        <w:pStyle w:val="5"/>
        <w:spacing w:before="199"/>
        <w:jc w:val="both"/>
        <w:rPr>
          <w:sz w:val="6"/>
          <w:szCs w:val="6"/>
          <w:lang w:val="uk-UA"/>
        </w:rPr>
      </w:pPr>
    </w:p>
    <w:p w14:paraId="13398B5F" w14:textId="77777777" w:rsidR="00E816CF" w:rsidRPr="00C04348" w:rsidRDefault="00E816CF" w:rsidP="004A2937">
      <w:pPr>
        <w:pStyle w:val="a4"/>
        <w:numPr>
          <w:ilvl w:val="0"/>
          <w:numId w:val="21"/>
        </w:numPr>
        <w:tabs>
          <w:tab w:val="left" w:pos="850"/>
        </w:tabs>
        <w:spacing w:before="3" w:line="269" w:lineRule="auto"/>
        <w:ind w:left="851" w:right="140"/>
        <w:rPr>
          <w:sz w:val="20"/>
          <w:szCs w:val="20"/>
          <w:lang w:val="uk-UA"/>
        </w:rPr>
      </w:pPr>
      <w:r w:rsidRPr="00C04348">
        <w:rPr>
          <w:sz w:val="20"/>
          <w:szCs w:val="20"/>
          <w:lang w:val="uk-UA"/>
        </w:rPr>
        <w:t>Глобальні та національні програми боротьби з ВІЛ і ТБ повинні регулярно і чітко інформувати про відповідальність за одночасне тестування людей, які живуть з ВІЛ.</w:t>
      </w:r>
    </w:p>
    <w:p w14:paraId="1916C3FC" w14:textId="670DEA27" w:rsidR="00E05B98" w:rsidRPr="00C04348" w:rsidRDefault="00E816CF" w:rsidP="004A2937">
      <w:pPr>
        <w:pStyle w:val="a4"/>
        <w:numPr>
          <w:ilvl w:val="0"/>
          <w:numId w:val="21"/>
        </w:numPr>
        <w:tabs>
          <w:tab w:val="left" w:pos="850"/>
        </w:tabs>
        <w:spacing w:before="3" w:line="269" w:lineRule="auto"/>
        <w:ind w:left="851" w:right="140"/>
        <w:rPr>
          <w:sz w:val="20"/>
          <w:szCs w:val="20"/>
          <w:lang w:val="uk-UA"/>
        </w:rPr>
      </w:pPr>
      <w:r w:rsidRPr="00C04348">
        <w:rPr>
          <w:sz w:val="20"/>
          <w:szCs w:val="20"/>
          <w:lang w:val="uk-UA"/>
        </w:rPr>
        <w:t>Одночасне тестування максимально розширює можливості діагностики та підвищує точність виявлення випадків, є більш ефективним способом задоволення потреб цієї групи населення, і йому надається перевага, навіть якщо при цьому може збільшитися робоче навантаження на співробітників лабораторії.</w:t>
      </w:r>
    </w:p>
    <w:p w14:paraId="13C41833" w14:textId="77777777" w:rsidR="00B241C4" w:rsidRPr="00C04348" w:rsidRDefault="00B241C4" w:rsidP="004A2937">
      <w:pPr>
        <w:pStyle w:val="a4"/>
        <w:numPr>
          <w:ilvl w:val="0"/>
          <w:numId w:val="21"/>
        </w:numPr>
        <w:tabs>
          <w:tab w:val="left" w:pos="850"/>
        </w:tabs>
        <w:spacing w:line="269" w:lineRule="auto"/>
        <w:ind w:left="851" w:right="141"/>
        <w:rPr>
          <w:sz w:val="20"/>
          <w:szCs w:val="20"/>
          <w:lang w:val="uk-UA"/>
        </w:rPr>
      </w:pPr>
      <w:r w:rsidRPr="00C04348">
        <w:rPr>
          <w:sz w:val="20"/>
          <w:szCs w:val="20"/>
          <w:lang w:val="uk-UA"/>
        </w:rPr>
        <w:t>Позитивний результат будь-якого з тестів є достатнім для підтвердження діагнозу ТБ.</w:t>
      </w:r>
    </w:p>
    <w:p w14:paraId="794A5DAF" w14:textId="59BE2637" w:rsidR="00E05B98" w:rsidRPr="00C04348" w:rsidRDefault="00B241C4" w:rsidP="004A2937">
      <w:pPr>
        <w:pStyle w:val="a4"/>
        <w:numPr>
          <w:ilvl w:val="0"/>
          <w:numId w:val="21"/>
        </w:numPr>
        <w:tabs>
          <w:tab w:val="left" w:pos="850"/>
        </w:tabs>
        <w:spacing w:line="269" w:lineRule="auto"/>
        <w:ind w:left="851" w:right="141"/>
        <w:rPr>
          <w:sz w:val="20"/>
          <w:szCs w:val="20"/>
          <w:lang w:val="uk-UA"/>
        </w:rPr>
      </w:pPr>
      <w:r w:rsidRPr="00C04348">
        <w:rPr>
          <w:sz w:val="20"/>
          <w:szCs w:val="20"/>
          <w:lang w:val="uk-UA"/>
        </w:rPr>
        <w:t>Необхідно відстежувати та запобігати втраті контактів з пацієнтами для подальшого спостереження за результатами другого тесту. Пацієнтам слід надавати інформацію, щоб вони розуміли підхід одночасного тестування та необхідність подальшого спостереження.</w:t>
      </w:r>
    </w:p>
    <w:p w14:paraId="110F1EA8" w14:textId="4CFD0463" w:rsidR="00B241C4" w:rsidRPr="00C04348" w:rsidRDefault="00B241C4" w:rsidP="004A2937">
      <w:pPr>
        <w:pStyle w:val="a4"/>
        <w:numPr>
          <w:ilvl w:val="0"/>
          <w:numId w:val="21"/>
        </w:numPr>
        <w:tabs>
          <w:tab w:val="left" w:pos="850"/>
        </w:tabs>
        <w:spacing w:before="4" w:line="269" w:lineRule="auto"/>
        <w:ind w:left="851" w:right="140"/>
        <w:rPr>
          <w:sz w:val="20"/>
          <w:szCs w:val="20"/>
          <w:lang w:val="uk-UA"/>
        </w:rPr>
      </w:pPr>
      <w:r w:rsidRPr="00C04348">
        <w:rPr>
          <w:sz w:val="20"/>
          <w:szCs w:val="20"/>
          <w:lang w:val="uk-UA"/>
        </w:rPr>
        <w:t xml:space="preserve">Аналіз LF-LAM, </w:t>
      </w:r>
      <w:r w:rsidR="004476DB">
        <w:rPr>
          <w:sz w:val="20"/>
          <w:szCs w:val="20"/>
          <w:lang w:val="uk-UA"/>
        </w:rPr>
        <w:t>який</w:t>
      </w:r>
      <w:r w:rsidRPr="00C04348">
        <w:rPr>
          <w:sz w:val="20"/>
          <w:szCs w:val="20"/>
          <w:lang w:val="uk-UA"/>
        </w:rPr>
        <w:t xml:space="preserve"> викону</w:t>
      </w:r>
      <w:r w:rsidR="004476DB">
        <w:rPr>
          <w:sz w:val="20"/>
          <w:szCs w:val="20"/>
          <w:lang w:val="uk-UA"/>
        </w:rPr>
        <w:t>ють</w:t>
      </w:r>
      <w:r w:rsidRPr="00C04348">
        <w:rPr>
          <w:sz w:val="20"/>
          <w:szCs w:val="20"/>
          <w:lang w:val="uk-UA"/>
        </w:rPr>
        <w:t xml:space="preserve"> </w:t>
      </w:r>
      <w:r w:rsidR="004476DB">
        <w:rPr>
          <w:sz w:val="20"/>
          <w:szCs w:val="20"/>
          <w:lang w:val="uk-UA"/>
        </w:rPr>
        <w:t>у</w:t>
      </w:r>
      <w:r w:rsidRPr="00C04348">
        <w:rPr>
          <w:sz w:val="20"/>
          <w:szCs w:val="20"/>
          <w:lang w:val="uk-UA"/>
        </w:rPr>
        <w:t xml:space="preserve"> закладах охорони здоров'я, може бути першим позитивним результатом і є достатнім для постановки первинного діагнозу. Все ще </w:t>
      </w:r>
      <w:r w:rsidR="00327693">
        <w:rPr>
          <w:sz w:val="20"/>
          <w:szCs w:val="20"/>
          <w:lang w:val="uk-UA"/>
        </w:rPr>
        <w:t>існує</w:t>
      </w:r>
      <w:r w:rsidRPr="00C04348">
        <w:rPr>
          <w:sz w:val="20"/>
          <w:szCs w:val="20"/>
          <w:lang w:val="uk-UA"/>
        </w:rPr>
        <w:t xml:space="preserve"> необхідність отримання зразка з дихальних шляхів для виявлення стійкості до рифампіцину, а також у разі негативного результату аналізу LF-LAM.</w:t>
      </w:r>
    </w:p>
    <w:p w14:paraId="4D659B36" w14:textId="0C17BEDE" w:rsidR="00E05B98" w:rsidRPr="00C04348" w:rsidRDefault="00B241C4" w:rsidP="004A2937">
      <w:pPr>
        <w:pStyle w:val="a4"/>
        <w:numPr>
          <w:ilvl w:val="0"/>
          <w:numId w:val="21"/>
        </w:numPr>
        <w:tabs>
          <w:tab w:val="left" w:pos="850"/>
        </w:tabs>
        <w:spacing w:before="4" w:line="269" w:lineRule="auto"/>
        <w:ind w:left="851" w:right="140"/>
        <w:rPr>
          <w:sz w:val="20"/>
          <w:szCs w:val="20"/>
          <w:lang w:val="uk-UA"/>
        </w:rPr>
      </w:pPr>
      <w:r w:rsidRPr="00C04348">
        <w:rPr>
          <w:sz w:val="20"/>
          <w:szCs w:val="20"/>
          <w:lang w:val="uk-UA"/>
        </w:rPr>
        <w:t>За недоступності аналізу LF-LAM для тестування людей, які живуть з ВІЛ, слід докласти зусиль для забезпечення такого доступу до тестування.</w:t>
      </w:r>
    </w:p>
    <w:p w14:paraId="10538A26" w14:textId="3BB91AEC" w:rsidR="00C04348" w:rsidRPr="00C04348" w:rsidRDefault="00C04348" w:rsidP="004A2937">
      <w:pPr>
        <w:pStyle w:val="a4"/>
        <w:numPr>
          <w:ilvl w:val="0"/>
          <w:numId w:val="21"/>
        </w:numPr>
        <w:tabs>
          <w:tab w:val="left" w:pos="850"/>
        </w:tabs>
        <w:spacing w:line="269" w:lineRule="auto"/>
        <w:ind w:left="851" w:right="131"/>
        <w:rPr>
          <w:sz w:val="20"/>
          <w:szCs w:val="20"/>
          <w:lang w:val="uk-UA"/>
        </w:rPr>
      </w:pPr>
      <w:r w:rsidRPr="00C04348">
        <w:rPr>
          <w:sz w:val="20"/>
          <w:szCs w:val="20"/>
          <w:lang w:val="uk-UA"/>
        </w:rPr>
        <w:t xml:space="preserve">LF-LAM не дає </w:t>
      </w:r>
      <w:r w:rsidR="00327693">
        <w:rPr>
          <w:sz w:val="20"/>
          <w:szCs w:val="20"/>
          <w:lang w:val="uk-UA"/>
        </w:rPr>
        <w:t>мо</w:t>
      </w:r>
      <w:r w:rsidRPr="00C04348">
        <w:rPr>
          <w:sz w:val="20"/>
          <w:szCs w:val="20"/>
          <w:lang w:val="uk-UA"/>
        </w:rPr>
        <w:t xml:space="preserve">жливості відрізняти </w:t>
      </w:r>
      <w:r w:rsidRPr="00327693">
        <w:rPr>
          <w:i/>
          <w:iCs/>
          <w:sz w:val="20"/>
          <w:szCs w:val="20"/>
          <w:lang w:val="uk-UA"/>
        </w:rPr>
        <w:t>Mtb</w:t>
      </w:r>
      <w:r w:rsidRPr="00C04348">
        <w:rPr>
          <w:sz w:val="20"/>
          <w:szCs w:val="20"/>
          <w:lang w:val="uk-UA"/>
        </w:rPr>
        <w:t xml:space="preserve"> від інших видів мікобактерій. Однак антиген LAM, виявлений у клінічному зразку в ендемічних на ТБ районах, найімовірніше</w:t>
      </w:r>
      <w:r w:rsidR="00B30EB4">
        <w:rPr>
          <w:sz w:val="20"/>
          <w:szCs w:val="20"/>
          <w:lang w:val="uk-UA"/>
        </w:rPr>
        <w:t xml:space="preserve">, пов’язаний з </w:t>
      </w:r>
      <w:r w:rsidRPr="00327693">
        <w:rPr>
          <w:i/>
          <w:iCs/>
          <w:sz w:val="20"/>
          <w:szCs w:val="20"/>
          <w:lang w:val="uk-UA"/>
        </w:rPr>
        <w:t>Mtb</w:t>
      </w:r>
      <w:r w:rsidRPr="00C04348">
        <w:rPr>
          <w:sz w:val="20"/>
          <w:szCs w:val="20"/>
          <w:lang w:val="uk-UA"/>
        </w:rPr>
        <w:t>.</w:t>
      </w:r>
    </w:p>
    <w:p w14:paraId="7DB517A4" w14:textId="2B5CAD90" w:rsidR="00E05B98" w:rsidRPr="00C04348" w:rsidRDefault="00C04348" w:rsidP="004A2937">
      <w:pPr>
        <w:pStyle w:val="a4"/>
        <w:numPr>
          <w:ilvl w:val="0"/>
          <w:numId w:val="21"/>
        </w:numPr>
        <w:tabs>
          <w:tab w:val="left" w:pos="850"/>
        </w:tabs>
        <w:spacing w:before="0" w:line="269" w:lineRule="auto"/>
        <w:ind w:left="851" w:right="131"/>
        <w:rPr>
          <w:sz w:val="20"/>
          <w:szCs w:val="20"/>
          <w:lang w:val="uk-UA"/>
        </w:rPr>
      </w:pPr>
      <w:r w:rsidRPr="00C04348">
        <w:rPr>
          <w:sz w:val="20"/>
          <w:szCs w:val="20"/>
          <w:lang w:val="uk-UA"/>
        </w:rPr>
        <w:t>Якщо результати LF-LAM є стабільно позитивними, але при цьому немає позитивних результатів аТАНК-НС, необхідно провести дослідження якості тестування та місцевої епідеміології нетуберкульозних мікобактерій і позалегеневого ТБ в обстежуваній популяції, щоб зрозуміти різницю в результатах.</w:t>
      </w:r>
    </w:p>
    <w:p w14:paraId="4C6F8EED" w14:textId="77777777" w:rsidR="00C04348" w:rsidRPr="00C04348" w:rsidRDefault="00C04348" w:rsidP="004A2937">
      <w:pPr>
        <w:pStyle w:val="a4"/>
        <w:numPr>
          <w:ilvl w:val="0"/>
          <w:numId w:val="21"/>
        </w:numPr>
        <w:tabs>
          <w:tab w:val="left" w:pos="850"/>
        </w:tabs>
        <w:spacing w:before="3" w:line="269" w:lineRule="auto"/>
        <w:ind w:left="851" w:right="149"/>
        <w:rPr>
          <w:sz w:val="20"/>
          <w:szCs w:val="20"/>
          <w:lang w:val="uk-UA"/>
        </w:rPr>
      </w:pPr>
      <w:r w:rsidRPr="00C04348">
        <w:rPr>
          <w:sz w:val="20"/>
          <w:szCs w:val="20"/>
          <w:lang w:val="uk-UA"/>
        </w:rPr>
        <w:t>Інтерпретацію смуг на тест-смужках LF-LAM слід виконувати за допомогою картки зчитування від виробника, щоб звести до мінімуму ймовірність отримання неправильних результатів.</w:t>
      </w:r>
    </w:p>
    <w:p w14:paraId="1B908C07" w14:textId="1A68D387" w:rsidR="00E05B98" w:rsidRPr="00C04348" w:rsidRDefault="00C04348" w:rsidP="004A2937">
      <w:pPr>
        <w:pStyle w:val="a4"/>
        <w:numPr>
          <w:ilvl w:val="0"/>
          <w:numId w:val="21"/>
        </w:numPr>
        <w:tabs>
          <w:tab w:val="left" w:pos="850"/>
        </w:tabs>
        <w:spacing w:before="3" w:line="269" w:lineRule="auto"/>
        <w:ind w:left="851" w:right="149"/>
        <w:rPr>
          <w:sz w:val="20"/>
          <w:szCs w:val="20"/>
          <w:lang w:val="uk-UA"/>
        </w:rPr>
      </w:pPr>
      <w:r w:rsidRPr="00C04348">
        <w:rPr>
          <w:sz w:val="20"/>
          <w:szCs w:val="20"/>
          <w:lang w:val="uk-UA"/>
        </w:rPr>
        <w:t>Тест-смужки LF-LAM необхідно зберігати відповідно до інструкцій виробника (наприклад, при температурі від 2 до 30 °C) в закритих пакетах і не використовувати після закінчення терміну придатності.</w:t>
      </w:r>
    </w:p>
    <w:p w14:paraId="1358A0BE" w14:textId="025D80EE" w:rsidR="00E05B98" w:rsidRPr="00C04348" w:rsidRDefault="00C04348" w:rsidP="004A2937">
      <w:pPr>
        <w:pStyle w:val="a4"/>
        <w:numPr>
          <w:ilvl w:val="0"/>
          <w:numId w:val="21"/>
        </w:numPr>
        <w:tabs>
          <w:tab w:val="left" w:pos="850"/>
        </w:tabs>
        <w:spacing w:before="2" w:line="269" w:lineRule="auto"/>
        <w:ind w:left="851" w:right="139"/>
        <w:rPr>
          <w:sz w:val="20"/>
          <w:szCs w:val="20"/>
          <w:lang w:val="uk-UA"/>
        </w:rPr>
      </w:pPr>
      <w:r w:rsidRPr="00C04348">
        <w:rPr>
          <w:w w:val="105"/>
          <w:sz w:val="20"/>
          <w:szCs w:val="20"/>
          <w:lang w:val="uk-UA"/>
        </w:rPr>
        <w:t>Повинна бути доступна інфраструктура для приватного збору зразків сечі. Пацієнтів слід проінструктувати, як правильно та з дотриманням санітарних норм збирати зразок сечі, щоб звести до мінімуму забруднення та запобігти хибнопозитивним результатам.</w:t>
      </w:r>
    </w:p>
    <w:p w14:paraId="78CED748" w14:textId="25B2E8E0" w:rsidR="00C04348" w:rsidRPr="00C04348" w:rsidRDefault="00C04348" w:rsidP="004A2937">
      <w:pPr>
        <w:pStyle w:val="a4"/>
        <w:numPr>
          <w:ilvl w:val="0"/>
          <w:numId w:val="21"/>
        </w:numPr>
        <w:tabs>
          <w:tab w:val="left" w:pos="850"/>
        </w:tabs>
        <w:spacing w:line="269" w:lineRule="auto"/>
        <w:ind w:left="851" w:right="140"/>
        <w:rPr>
          <w:sz w:val="20"/>
          <w:szCs w:val="20"/>
          <w:lang w:val="uk-UA"/>
        </w:rPr>
      </w:pPr>
      <w:r w:rsidRPr="00C04348">
        <w:rPr>
          <w:sz w:val="20"/>
          <w:szCs w:val="20"/>
          <w:lang w:val="uk-UA"/>
        </w:rPr>
        <w:t xml:space="preserve">Необхідно забезпечити наявність кваліфікованого персоналу для проведення </w:t>
      </w:r>
      <w:r w:rsidR="00B30EB4">
        <w:rPr>
          <w:sz w:val="20"/>
          <w:szCs w:val="20"/>
          <w:lang w:val="uk-UA"/>
        </w:rPr>
        <w:t>аналізу</w:t>
      </w:r>
      <w:r w:rsidRPr="00C04348">
        <w:rPr>
          <w:sz w:val="20"/>
          <w:szCs w:val="20"/>
          <w:lang w:val="uk-UA"/>
        </w:rPr>
        <w:t xml:space="preserve"> LF-LAM у пункті надання медичної допомоги.</w:t>
      </w:r>
    </w:p>
    <w:p w14:paraId="15A5CCEA" w14:textId="68BB3B5A" w:rsidR="00E05B98" w:rsidRPr="00C04348" w:rsidRDefault="00C04348" w:rsidP="004A2937">
      <w:pPr>
        <w:pStyle w:val="a4"/>
        <w:numPr>
          <w:ilvl w:val="0"/>
          <w:numId w:val="21"/>
        </w:numPr>
        <w:tabs>
          <w:tab w:val="left" w:pos="850"/>
        </w:tabs>
        <w:spacing w:line="269" w:lineRule="auto"/>
        <w:ind w:left="851" w:right="140"/>
        <w:rPr>
          <w:sz w:val="20"/>
          <w:szCs w:val="20"/>
          <w:lang w:val="uk-UA"/>
        </w:rPr>
      </w:pPr>
      <w:r w:rsidRPr="00C04348">
        <w:rPr>
          <w:sz w:val="20"/>
          <w:szCs w:val="20"/>
          <w:lang w:val="uk-UA"/>
        </w:rPr>
        <w:t>Як і для всіх рекомендованих ВООЗ методів діагностики ТБ, для обох тестів необхідні програми забезпечення якості та контролю якості.</w:t>
      </w:r>
    </w:p>
    <w:p w14:paraId="14B2EC7A" w14:textId="77777777" w:rsidR="00E05B98" w:rsidRPr="00C04348" w:rsidRDefault="00E05B98" w:rsidP="00C04348">
      <w:pPr>
        <w:pStyle w:val="a4"/>
        <w:spacing w:line="269" w:lineRule="auto"/>
        <w:ind w:left="851"/>
        <w:rPr>
          <w:sz w:val="20"/>
          <w:szCs w:val="20"/>
          <w:lang w:val="uk-UA"/>
        </w:rPr>
        <w:sectPr w:rsidR="00E05B98" w:rsidRPr="00C04348" w:rsidSect="00654D8E">
          <w:pgSz w:w="11910" w:h="16840"/>
          <w:pgMar w:top="1320" w:right="853" w:bottom="760" w:left="850" w:header="0" w:footer="573" w:gutter="0"/>
          <w:cols w:space="720"/>
        </w:sectPr>
      </w:pPr>
    </w:p>
    <w:p w14:paraId="2F26B207" w14:textId="5889D2ED" w:rsidR="00E05B98" w:rsidRPr="00C04348" w:rsidRDefault="00877388" w:rsidP="004A2937">
      <w:pPr>
        <w:pStyle w:val="a4"/>
        <w:numPr>
          <w:ilvl w:val="0"/>
          <w:numId w:val="21"/>
        </w:numPr>
        <w:tabs>
          <w:tab w:val="left" w:pos="850"/>
        </w:tabs>
        <w:spacing w:before="52" w:line="269" w:lineRule="auto"/>
        <w:ind w:left="851" w:right="140"/>
        <w:rPr>
          <w:sz w:val="20"/>
          <w:szCs w:val="20"/>
          <w:lang w:val="uk-UA"/>
        </w:rPr>
      </w:pPr>
      <w:bookmarkStart w:id="59" w:name="2.3.2_Concurrent_use_of_tests_in_childre"/>
      <w:bookmarkStart w:id="60" w:name="_bookmark26"/>
      <w:bookmarkEnd w:id="59"/>
      <w:bookmarkEnd w:id="60"/>
      <w:r w:rsidRPr="00877388">
        <w:rPr>
          <w:sz w:val="20"/>
          <w:szCs w:val="20"/>
          <w:lang w:val="uk-UA"/>
        </w:rPr>
        <w:lastRenderedPageBreak/>
        <w:t xml:space="preserve">LF-LAM призначений для виявлення мікобактеріального антигену LAM в сечі людини. </w:t>
      </w:r>
      <w:r w:rsidR="00B30EB4">
        <w:rPr>
          <w:sz w:val="20"/>
          <w:szCs w:val="20"/>
          <w:lang w:val="uk-UA"/>
        </w:rPr>
        <w:t>Не слід використовувати і</w:t>
      </w:r>
      <w:r w:rsidRPr="00877388">
        <w:rPr>
          <w:sz w:val="20"/>
          <w:szCs w:val="20"/>
          <w:lang w:val="uk-UA"/>
        </w:rPr>
        <w:t>нші зразки (наприклад, мокротиння, сироватка</w:t>
      </w:r>
      <w:r w:rsidR="00B30EB4">
        <w:rPr>
          <w:sz w:val="20"/>
          <w:szCs w:val="20"/>
          <w:lang w:val="uk-UA"/>
        </w:rPr>
        <w:t xml:space="preserve"> крові</w:t>
      </w:r>
      <w:r w:rsidRPr="00877388">
        <w:rPr>
          <w:sz w:val="20"/>
          <w:szCs w:val="20"/>
          <w:lang w:val="uk-UA"/>
        </w:rPr>
        <w:t>, плазма, СМР та зразки інших рідин організму) або об'єднані зразки сечі</w:t>
      </w:r>
      <w:r w:rsidR="00B01E0C" w:rsidRPr="00C04348">
        <w:rPr>
          <w:sz w:val="20"/>
          <w:szCs w:val="20"/>
          <w:lang w:val="uk-UA"/>
        </w:rPr>
        <w:t>.</w:t>
      </w:r>
    </w:p>
    <w:p w14:paraId="7A8888BC" w14:textId="016EB076" w:rsidR="00E05B98" w:rsidRDefault="00877388">
      <w:pPr>
        <w:spacing w:before="243"/>
        <w:ind w:left="567"/>
        <w:rPr>
          <w:rFonts w:ascii="Arial"/>
          <w:i/>
          <w:w w:val="110"/>
          <w:sz w:val="20"/>
          <w:szCs w:val="20"/>
          <w:lang w:val="uk-UA"/>
        </w:rPr>
      </w:pPr>
      <w:r>
        <w:rPr>
          <w:rFonts w:ascii="Arial"/>
          <w:i/>
          <w:w w:val="110"/>
          <w:sz w:val="20"/>
          <w:szCs w:val="20"/>
          <w:lang w:val="uk-UA"/>
        </w:rPr>
        <w:t>Моніторинг</w:t>
      </w:r>
      <w:r>
        <w:rPr>
          <w:rFonts w:ascii="Arial"/>
          <w:i/>
          <w:w w:val="110"/>
          <w:sz w:val="20"/>
          <w:szCs w:val="20"/>
          <w:lang w:val="uk-UA"/>
        </w:rPr>
        <w:t xml:space="preserve"> </w:t>
      </w:r>
      <w:r>
        <w:rPr>
          <w:rFonts w:ascii="Arial"/>
          <w:i/>
          <w:w w:val="110"/>
          <w:sz w:val="20"/>
          <w:szCs w:val="20"/>
          <w:lang w:val="uk-UA"/>
        </w:rPr>
        <w:t>і</w:t>
      </w:r>
      <w:r>
        <w:rPr>
          <w:rFonts w:ascii="Arial"/>
          <w:i/>
          <w:w w:val="110"/>
          <w:sz w:val="20"/>
          <w:szCs w:val="20"/>
          <w:lang w:val="uk-UA"/>
        </w:rPr>
        <w:t xml:space="preserve"> </w:t>
      </w:r>
      <w:r>
        <w:rPr>
          <w:rFonts w:ascii="Arial"/>
          <w:i/>
          <w:w w:val="110"/>
          <w:sz w:val="20"/>
          <w:szCs w:val="20"/>
          <w:lang w:val="uk-UA"/>
        </w:rPr>
        <w:t>оцінка</w:t>
      </w:r>
    </w:p>
    <w:p w14:paraId="437CF17B" w14:textId="77777777" w:rsidR="00B30EB4" w:rsidRPr="00B30EB4" w:rsidRDefault="00B30EB4">
      <w:pPr>
        <w:spacing w:before="243"/>
        <w:ind w:left="567"/>
        <w:rPr>
          <w:rFonts w:ascii="Arial"/>
          <w:i/>
          <w:sz w:val="2"/>
          <w:szCs w:val="2"/>
          <w:lang w:val="uk-UA"/>
        </w:rPr>
      </w:pPr>
    </w:p>
    <w:p w14:paraId="124C92DD" w14:textId="3BC7B86F" w:rsidR="004163F7" w:rsidRPr="004163F7" w:rsidRDefault="004163F7" w:rsidP="004A2937">
      <w:pPr>
        <w:pStyle w:val="a4"/>
        <w:numPr>
          <w:ilvl w:val="0"/>
          <w:numId w:val="21"/>
        </w:numPr>
        <w:tabs>
          <w:tab w:val="left" w:pos="850"/>
        </w:tabs>
        <w:spacing w:before="2" w:line="269" w:lineRule="auto"/>
        <w:ind w:right="139"/>
        <w:rPr>
          <w:sz w:val="20"/>
          <w:szCs w:val="20"/>
          <w:lang w:val="uk-UA"/>
        </w:rPr>
      </w:pPr>
      <w:r w:rsidRPr="004163F7">
        <w:rPr>
          <w:sz w:val="20"/>
          <w:szCs w:val="20"/>
          <w:lang w:val="uk-UA"/>
        </w:rPr>
        <w:t xml:space="preserve">Здійснювати моніторинг одночасного збору зразків і часу від надходження зразку до отримання результатів тесту </w:t>
      </w:r>
      <w:r w:rsidR="00B30EB4">
        <w:rPr>
          <w:sz w:val="20"/>
          <w:szCs w:val="20"/>
          <w:lang w:val="uk-UA"/>
        </w:rPr>
        <w:t>в рамках</w:t>
      </w:r>
      <w:r w:rsidRPr="004163F7">
        <w:rPr>
          <w:sz w:val="20"/>
          <w:szCs w:val="20"/>
          <w:lang w:val="uk-UA"/>
        </w:rPr>
        <w:t xml:space="preserve"> підход</w:t>
      </w:r>
      <w:r w:rsidR="00B30EB4">
        <w:rPr>
          <w:sz w:val="20"/>
          <w:szCs w:val="20"/>
          <w:lang w:val="uk-UA"/>
        </w:rPr>
        <w:t>у</w:t>
      </w:r>
      <w:r w:rsidRPr="004163F7">
        <w:rPr>
          <w:sz w:val="20"/>
          <w:szCs w:val="20"/>
          <w:lang w:val="uk-UA"/>
        </w:rPr>
        <w:t xml:space="preserve"> одночасного тестування.</w:t>
      </w:r>
    </w:p>
    <w:p w14:paraId="10B612FA" w14:textId="6C0B8843" w:rsidR="00E05B98" w:rsidRPr="00C04348" w:rsidRDefault="004163F7" w:rsidP="004A2937">
      <w:pPr>
        <w:pStyle w:val="a4"/>
        <w:numPr>
          <w:ilvl w:val="0"/>
          <w:numId w:val="21"/>
        </w:numPr>
        <w:tabs>
          <w:tab w:val="left" w:pos="850"/>
        </w:tabs>
        <w:spacing w:before="2" w:line="269" w:lineRule="auto"/>
        <w:ind w:right="139"/>
        <w:rPr>
          <w:sz w:val="20"/>
          <w:szCs w:val="20"/>
          <w:lang w:val="uk-UA"/>
        </w:rPr>
      </w:pPr>
      <w:r w:rsidRPr="004163F7">
        <w:rPr>
          <w:sz w:val="20"/>
          <w:szCs w:val="20"/>
          <w:lang w:val="uk-UA"/>
        </w:rPr>
        <w:t xml:space="preserve">Здійснювати моніторинг доступу пацієнта до другого тесту та втрату контакту з ним для подальшого спостереження при </w:t>
      </w:r>
      <w:r>
        <w:rPr>
          <w:sz w:val="20"/>
          <w:szCs w:val="20"/>
          <w:lang w:val="uk-UA"/>
        </w:rPr>
        <w:t xml:space="preserve">використанні підходу </w:t>
      </w:r>
      <w:r w:rsidRPr="004163F7">
        <w:rPr>
          <w:sz w:val="20"/>
          <w:szCs w:val="20"/>
          <w:lang w:val="uk-UA"/>
        </w:rPr>
        <w:t>одночасно</w:t>
      </w:r>
      <w:r>
        <w:rPr>
          <w:sz w:val="20"/>
          <w:szCs w:val="20"/>
          <w:lang w:val="uk-UA"/>
        </w:rPr>
        <w:t>го</w:t>
      </w:r>
      <w:r w:rsidRPr="004163F7">
        <w:rPr>
          <w:sz w:val="20"/>
          <w:szCs w:val="20"/>
          <w:lang w:val="uk-UA"/>
        </w:rPr>
        <w:t xml:space="preserve"> тестуванн</w:t>
      </w:r>
      <w:r>
        <w:rPr>
          <w:sz w:val="20"/>
          <w:szCs w:val="20"/>
          <w:lang w:val="uk-UA"/>
        </w:rPr>
        <w:t>я</w:t>
      </w:r>
      <w:r w:rsidRPr="004163F7">
        <w:rPr>
          <w:sz w:val="20"/>
          <w:szCs w:val="20"/>
          <w:lang w:val="uk-UA"/>
        </w:rPr>
        <w:t>.</w:t>
      </w:r>
    </w:p>
    <w:p w14:paraId="3402A8D5" w14:textId="7A732A78" w:rsidR="00E05B98" w:rsidRPr="00C04348" w:rsidRDefault="004163F7" w:rsidP="004A2937">
      <w:pPr>
        <w:pStyle w:val="a4"/>
        <w:numPr>
          <w:ilvl w:val="0"/>
          <w:numId w:val="21"/>
        </w:numPr>
        <w:tabs>
          <w:tab w:val="left" w:pos="850"/>
        </w:tabs>
        <w:spacing w:before="3" w:line="269" w:lineRule="auto"/>
        <w:ind w:right="139"/>
        <w:rPr>
          <w:sz w:val="20"/>
          <w:szCs w:val="20"/>
          <w:lang w:val="uk-UA"/>
        </w:rPr>
      </w:pPr>
      <w:r w:rsidRPr="004163F7">
        <w:rPr>
          <w:sz w:val="20"/>
          <w:szCs w:val="20"/>
          <w:lang w:val="uk-UA"/>
        </w:rPr>
        <w:t>Відстежувати доступ пацієнтів для подальшого виконання ТМЧ, втрату контакту з ними в ході подальшого спостереження серед тих, хто має позитивний результат LF-LAM, але негативний результат аТАНК-НС.</w:t>
      </w:r>
    </w:p>
    <w:p w14:paraId="6513CD11" w14:textId="626643E5" w:rsidR="00E05B98" w:rsidRPr="00F86A64" w:rsidRDefault="00F86A64" w:rsidP="004A2937">
      <w:pPr>
        <w:pStyle w:val="a4"/>
        <w:numPr>
          <w:ilvl w:val="0"/>
          <w:numId w:val="21"/>
        </w:numPr>
        <w:tabs>
          <w:tab w:val="left" w:pos="850"/>
        </w:tabs>
        <w:spacing w:before="2" w:line="269" w:lineRule="auto"/>
        <w:ind w:right="133"/>
        <w:rPr>
          <w:sz w:val="20"/>
          <w:szCs w:val="20"/>
          <w:lang w:val="uk-UA"/>
        </w:rPr>
      </w:pPr>
      <w:r w:rsidRPr="00F86A64">
        <w:rPr>
          <w:w w:val="105"/>
          <w:sz w:val="20"/>
          <w:szCs w:val="20"/>
          <w:lang w:val="uk-UA"/>
        </w:rPr>
        <w:t>Здійснювати моніторинг тенденцій щодо розбіжностей між результатами LF-LAM та аТАНК-НС. Якщо ці розбіжності відрізняються від інших місцевих або регіональних моделей, або якщо тенденції змінюються, необхідно провести подальше дослідження, а результати слід відстежувати на предмет повторного прояву з плином часу.</w:t>
      </w:r>
    </w:p>
    <w:p w14:paraId="43AEEF46" w14:textId="77777777" w:rsidR="00E05B98" w:rsidRPr="003C6DAE" w:rsidRDefault="00E05B98" w:rsidP="00877388">
      <w:pPr>
        <w:pStyle w:val="a3"/>
        <w:spacing w:before="9" w:line="269" w:lineRule="auto"/>
        <w:rPr>
          <w:lang w:val="uk-UA"/>
        </w:rPr>
      </w:pPr>
    </w:p>
    <w:p w14:paraId="291E3210" w14:textId="5D56F6CA" w:rsidR="00E05B98" w:rsidRDefault="00F86A64" w:rsidP="00877388">
      <w:pPr>
        <w:pStyle w:val="5"/>
        <w:spacing w:line="269" w:lineRule="auto"/>
        <w:rPr>
          <w:color w:val="019648"/>
          <w:w w:val="95"/>
          <w:sz w:val="26"/>
          <w:szCs w:val="26"/>
          <w:lang w:val="uk-UA"/>
        </w:rPr>
      </w:pPr>
      <w:r>
        <w:rPr>
          <w:color w:val="019648"/>
          <w:w w:val="95"/>
          <w:sz w:val="26"/>
          <w:szCs w:val="26"/>
          <w:lang w:val="uk-UA"/>
        </w:rPr>
        <w:t>Пріоритети дослідження</w:t>
      </w:r>
    </w:p>
    <w:p w14:paraId="2650AF0A" w14:textId="77777777" w:rsidR="00B30EB4" w:rsidRPr="00B30EB4" w:rsidRDefault="00B30EB4" w:rsidP="00877388">
      <w:pPr>
        <w:pStyle w:val="5"/>
        <w:spacing w:line="269" w:lineRule="auto"/>
        <w:rPr>
          <w:sz w:val="8"/>
          <w:szCs w:val="8"/>
          <w:lang w:val="uk-UA"/>
        </w:rPr>
      </w:pPr>
    </w:p>
    <w:p w14:paraId="69C3A4B7" w14:textId="77777777" w:rsidR="00565447" w:rsidRPr="00565447" w:rsidRDefault="00565447" w:rsidP="004A2937">
      <w:pPr>
        <w:pStyle w:val="a4"/>
        <w:numPr>
          <w:ilvl w:val="0"/>
          <w:numId w:val="21"/>
        </w:numPr>
        <w:tabs>
          <w:tab w:val="left" w:pos="850"/>
        </w:tabs>
        <w:spacing w:before="3" w:line="269" w:lineRule="auto"/>
        <w:rPr>
          <w:sz w:val="20"/>
          <w:szCs w:val="20"/>
          <w:lang w:val="uk-UA"/>
        </w:rPr>
      </w:pPr>
      <w:r w:rsidRPr="00565447">
        <w:rPr>
          <w:sz w:val="20"/>
          <w:szCs w:val="20"/>
          <w:lang w:val="uk-UA"/>
        </w:rPr>
        <w:t>Проводити більш ретельні дослідження з використанням якісніших еталонних стандартів, включаючи кілька типів зразків та позалегеневі зразки, щоб підвищити достовірність оцінок специфічності.</w:t>
      </w:r>
    </w:p>
    <w:p w14:paraId="12CEB2AF" w14:textId="6C055296" w:rsidR="00E05B98" w:rsidRPr="00877388" w:rsidRDefault="00565447" w:rsidP="004A2937">
      <w:pPr>
        <w:pStyle w:val="a4"/>
        <w:numPr>
          <w:ilvl w:val="0"/>
          <w:numId w:val="21"/>
        </w:numPr>
        <w:tabs>
          <w:tab w:val="left" w:pos="850"/>
        </w:tabs>
        <w:spacing w:before="3" w:line="269" w:lineRule="auto"/>
        <w:rPr>
          <w:sz w:val="20"/>
          <w:szCs w:val="20"/>
          <w:lang w:val="uk-UA"/>
        </w:rPr>
      </w:pPr>
      <w:r w:rsidRPr="00565447">
        <w:rPr>
          <w:sz w:val="20"/>
          <w:szCs w:val="20"/>
          <w:lang w:val="uk-UA"/>
        </w:rPr>
        <w:t>Збирати докази впливу одночасного тестування на початок лікування ТБ та смертність від ТБ</w:t>
      </w:r>
      <w:r w:rsidR="00B01E0C" w:rsidRPr="00877388">
        <w:rPr>
          <w:spacing w:val="-2"/>
          <w:sz w:val="20"/>
          <w:szCs w:val="20"/>
          <w:lang w:val="uk-UA"/>
        </w:rPr>
        <w:t>.</w:t>
      </w:r>
    </w:p>
    <w:p w14:paraId="174205F4" w14:textId="2596D796" w:rsidR="00565447" w:rsidRPr="00565447" w:rsidRDefault="00565447" w:rsidP="004A2937">
      <w:pPr>
        <w:pStyle w:val="a4"/>
        <w:numPr>
          <w:ilvl w:val="0"/>
          <w:numId w:val="21"/>
        </w:numPr>
        <w:tabs>
          <w:tab w:val="left" w:pos="850"/>
        </w:tabs>
        <w:spacing w:before="2" w:line="269" w:lineRule="auto"/>
        <w:ind w:right="140"/>
        <w:rPr>
          <w:sz w:val="20"/>
          <w:szCs w:val="20"/>
          <w:lang w:val="uk-UA"/>
        </w:rPr>
      </w:pPr>
      <w:r w:rsidRPr="00565447">
        <w:rPr>
          <w:sz w:val="20"/>
          <w:szCs w:val="20"/>
          <w:lang w:val="uk-UA"/>
        </w:rPr>
        <w:t xml:space="preserve">Визначити потреби </w:t>
      </w:r>
      <w:r w:rsidR="003578AF">
        <w:rPr>
          <w:sz w:val="20"/>
          <w:szCs w:val="20"/>
          <w:lang w:val="uk-UA"/>
        </w:rPr>
        <w:t xml:space="preserve">в </w:t>
      </w:r>
      <w:r w:rsidRPr="00565447">
        <w:rPr>
          <w:sz w:val="20"/>
          <w:szCs w:val="20"/>
          <w:lang w:val="uk-UA"/>
        </w:rPr>
        <w:t>навчанн</w:t>
      </w:r>
      <w:r w:rsidR="003578AF">
        <w:rPr>
          <w:sz w:val="20"/>
          <w:szCs w:val="20"/>
          <w:lang w:val="uk-UA"/>
        </w:rPr>
        <w:t>і</w:t>
      </w:r>
      <w:r w:rsidRPr="00565447">
        <w:rPr>
          <w:sz w:val="20"/>
          <w:szCs w:val="20"/>
          <w:lang w:val="uk-UA"/>
        </w:rPr>
        <w:t>, підвищенн</w:t>
      </w:r>
      <w:r w:rsidR="003578AF">
        <w:rPr>
          <w:sz w:val="20"/>
          <w:szCs w:val="20"/>
          <w:lang w:val="uk-UA"/>
        </w:rPr>
        <w:t>і</w:t>
      </w:r>
      <w:r w:rsidRPr="00565447">
        <w:rPr>
          <w:sz w:val="20"/>
          <w:szCs w:val="20"/>
          <w:lang w:val="uk-UA"/>
        </w:rPr>
        <w:t xml:space="preserve"> компетентності та оцінки якості </w:t>
      </w:r>
      <w:r w:rsidR="003578AF">
        <w:rPr>
          <w:sz w:val="20"/>
          <w:szCs w:val="20"/>
          <w:lang w:val="uk-UA"/>
        </w:rPr>
        <w:t>кожного медичного закладу</w:t>
      </w:r>
      <w:r w:rsidRPr="00565447">
        <w:rPr>
          <w:sz w:val="20"/>
          <w:szCs w:val="20"/>
          <w:lang w:val="uk-UA"/>
        </w:rPr>
        <w:t xml:space="preserve"> та кадров</w:t>
      </w:r>
      <w:r w:rsidR="003578AF">
        <w:rPr>
          <w:sz w:val="20"/>
          <w:szCs w:val="20"/>
          <w:lang w:val="uk-UA"/>
        </w:rPr>
        <w:t>ого</w:t>
      </w:r>
      <w:r w:rsidRPr="00565447">
        <w:rPr>
          <w:sz w:val="20"/>
          <w:szCs w:val="20"/>
          <w:lang w:val="uk-UA"/>
        </w:rPr>
        <w:t xml:space="preserve"> склад</w:t>
      </w:r>
      <w:r w:rsidR="003578AF">
        <w:rPr>
          <w:sz w:val="20"/>
          <w:szCs w:val="20"/>
          <w:lang w:val="uk-UA"/>
        </w:rPr>
        <w:t>у</w:t>
      </w:r>
      <w:r w:rsidRPr="00565447">
        <w:rPr>
          <w:sz w:val="20"/>
          <w:szCs w:val="20"/>
          <w:lang w:val="uk-UA"/>
        </w:rPr>
        <w:t xml:space="preserve"> (наприклад, медичні працівники, лаборанти або клінічний персонал).</w:t>
      </w:r>
    </w:p>
    <w:p w14:paraId="696E1267" w14:textId="03E4492F" w:rsidR="00E05B98" w:rsidRPr="00877388" w:rsidRDefault="00565447" w:rsidP="004A2937">
      <w:pPr>
        <w:pStyle w:val="a4"/>
        <w:numPr>
          <w:ilvl w:val="0"/>
          <w:numId w:val="21"/>
        </w:numPr>
        <w:tabs>
          <w:tab w:val="left" w:pos="850"/>
        </w:tabs>
        <w:spacing w:before="2" w:line="269" w:lineRule="auto"/>
        <w:ind w:right="140"/>
        <w:rPr>
          <w:sz w:val="20"/>
          <w:szCs w:val="20"/>
          <w:lang w:val="uk-UA"/>
        </w:rPr>
      </w:pPr>
      <w:r w:rsidRPr="00565447">
        <w:rPr>
          <w:sz w:val="20"/>
          <w:szCs w:val="20"/>
          <w:lang w:val="uk-UA"/>
        </w:rPr>
        <w:t xml:space="preserve">Провести аналіз співвідношення </w:t>
      </w:r>
      <w:r w:rsidR="003578AF">
        <w:rPr>
          <w:sz w:val="20"/>
          <w:szCs w:val="20"/>
          <w:lang w:val="uk-UA"/>
        </w:rPr>
        <w:t>«</w:t>
      </w:r>
      <w:r w:rsidRPr="00565447">
        <w:rPr>
          <w:sz w:val="20"/>
          <w:szCs w:val="20"/>
          <w:lang w:val="uk-UA"/>
        </w:rPr>
        <w:t>витрати-ефективність</w:t>
      </w:r>
      <w:r w:rsidR="003578AF">
        <w:rPr>
          <w:sz w:val="20"/>
          <w:szCs w:val="20"/>
          <w:lang w:val="uk-UA"/>
        </w:rPr>
        <w:t>»</w:t>
      </w:r>
      <w:r w:rsidRPr="00565447">
        <w:rPr>
          <w:sz w:val="20"/>
          <w:szCs w:val="20"/>
          <w:lang w:val="uk-UA"/>
        </w:rPr>
        <w:t xml:space="preserve"> та співвідношення </w:t>
      </w:r>
      <w:r w:rsidR="003578AF">
        <w:rPr>
          <w:sz w:val="20"/>
          <w:szCs w:val="20"/>
          <w:lang w:val="uk-UA"/>
        </w:rPr>
        <w:t>«</w:t>
      </w:r>
      <w:r w:rsidRPr="00565447">
        <w:rPr>
          <w:sz w:val="20"/>
          <w:szCs w:val="20"/>
          <w:lang w:val="uk-UA"/>
        </w:rPr>
        <w:t>витрати-</w:t>
      </w:r>
      <w:r w:rsidR="003578AF">
        <w:rPr>
          <w:sz w:val="20"/>
          <w:szCs w:val="20"/>
          <w:lang w:val="uk-UA"/>
        </w:rPr>
        <w:t>вигоди»</w:t>
      </w:r>
      <w:r w:rsidRPr="00565447">
        <w:rPr>
          <w:sz w:val="20"/>
          <w:szCs w:val="20"/>
          <w:lang w:val="uk-UA"/>
        </w:rPr>
        <w:t xml:space="preserve"> при використанні підходів одночасного або послідовного тестування в різних програмних умовах з урахуванням специфіки країни.</w:t>
      </w:r>
    </w:p>
    <w:p w14:paraId="3AEFA3CB" w14:textId="151686D6" w:rsidR="00BE1163" w:rsidRPr="00BE1163" w:rsidRDefault="00BE1163" w:rsidP="004A2937">
      <w:pPr>
        <w:pStyle w:val="a4"/>
        <w:numPr>
          <w:ilvl w:val="0"/>
          <w:numId w:val="21"/>
        </w:numPr>
        <w:tabs>
          <w:tab w:val="left" w:pos="850"/>
        </w:tabs>
        <w:spacing w:before="2" w:line="269" w:lineRule="auto"/>
        <w:ind w:right="135"/>
        <w:rPr>
          <w:sz w:val="20"/>
          <w:szCs w:val="20"/>
          <w:lang w:val="uk-UA"/>
        </w:rPr>
      </w:pPr>
      <w:r w:rsidRPr="00BE1163">
        <w:rPr>
          <w:sz w:val="20"/>
          <w:szCs w:val="20"/>
          <w:lang w:val="uk-UA"/>
        </w:rPr>
        <w:t xml:space="preserve">Розробити та застосувати стандартизовані методи оцінки витрат та співвідношення </w:t>
      </w:r>
      <w:r w:rsidR="003578AF">
        <w:rPr>
          <w:sz w:val="20"/>
          <w:szCs w:val="20"/>
          <w:lang w:val="uk-UA"/>
        </w:rPr>
        <w:t>«</w:t>
      </w:r>
      <w:r w:rsidRPr="00BE1163">
        <w:rPr>
          <w:sz w:val="20"/>
          <w:szCs w:val="20"/>
          <w:lang w:val="uk-UA"/>
        </w:rPr>
        <w:t>витрати-ефективність</w:t>
      </w:r>
      <w:r w:rsidR="003578AF">
        <w:rPr>
          <w:sz w:val="20"/>
          <w:szCs w:val="20"/>
          <w:lang w:val="uk-UA"/>
        </w:rPr>
        <w:t>»</w:t>
      </w:r>
      <w:r w:rsidRPr="00BE1163">
        <w:rPr>
          <w:sz w:val="20"/>
          <w:szCs w:val="20"/>
          <w:lang w:val="uk-UA"/>
        </w:rPr>
        <w:t xml:space="preserve"> для покращення співставності та обсягу економічних доказів.</w:t>
      </w:r>
    </w:p>
    <w:p w14:paraId="2464490D" w14:textId="6A0C8420" w:rsidR="00E05B98" w:rsidRPr="00877388" w:rsidRDefault="0069056E" w:rsidP="004A2937">
      <w:pPr>
        <w:pStyle w:val="a4"/>
        <w:numPr>
          <w:ilvl w:val="0"/>
          <w:numId w:val="21"/>
        </w:numPr>
        <w:tabs>
          <w:tab w:val="left" w:pos="850"/>
        </w:tabs>
        <w:spacing w:before="2" w:line="269" w:lineRule="auto"/>
        <w:ind w:right="135"/>
        <w:rPr>
          <w:sz w:val="20"/>
          <w:szCs w:val="20"/>
          <w:lang w:val="uk-UA"/>
        </w:rPr>
      </w:pPr>
      <w:r w:rsidRPr="0069056E">
        <w:rPr>
          <w:sz w:val="20"/>
          <w:szCs w:val="20"/>
          <w:lang w:val="uk-UA"/>
        </w:rPr>
        <w:t>Провести операційне дослідження щодо наявності</w:t>
      </w:r>
      <w:r w:rsidR="004A5D79">
        <w:rPr>
          <w:sz w:val="20"/>
          <w:szCs w:val="20"/>
          <w:lang w:val="uk-UA"/>
        </w:rPr>
        <w:t xml:space="preserve"> пунктів</w:t>
      </w:r>
      <w:r w:rsidRPr="0069056E">
        <w:rPr>
          <w:sz w:val="20"/>
          <w:szCs w:val="20"/>
          <w:lang w:val="uk-UA"/>
        </w:rPr>
        <w:t>, вимог та найкращих практик для облаштування пунктів надання медичної допомоги: приватного приміщення для збору зразків, забезпечення достатнього простору на робочому столі для тестування зразків та системи звітування (бажано цифрової) для введення результатів, з прив'язкою до існуючих систем управління інформацією (наприклад, систем управління медичною та лабораторною інформацією)</w:t>
      </w:r>
      <w:r w:rsidR="00BE1163" w:rsidRPr="00BE1163">
        <w:rPr>
          <w:sz w:val="20"/>
          <w:szCs w:val="20"/>
          <w:lang w:val="uk-UA"/>
        </w:rPr>
        <w:t>.</w:t>
      </w:r>
    </w:p>
    <w:p w14:paraId="36533012" w14:textId="77777777" w:rsidR="00E05B98" w:rsidRPr="003C6DAE" w:rsidRDefault="00E05B98" w:rsidP="00877388">
      <w:pPr>
        <w:pStyle w:val="a3"/>
        <w:spacing w:before="124" w:line="269" w:lineRule="auto"/>
        <w:rPr>
          <w:lang w:val="uk-UA"/>
        </w:rPr>
      </w:pPr>
    </w:p>
    <w:p w14:paraId="3067ECCB" w14:textId="28A41B4F" w:rsidR="00E05B98" w:rsidRPr="00F86A64" w:rsidRDefault="00B01E0C" w:rsidP="004A2937">
      <w:pPr>
        <w:pStyle w:val="5"/>
        <w:numPr>
          <w:ilvl w:val="2"/>
          <w:numId w:val="31"/>
        </w:numPr>
        <w:tabs>
          <w:tab w:val="left" w:pos="1286"/>
        </w:tabs>
        <w:spacing w:line="269" w:lineRule="auto"/>
        <w:ind w:right="2363" w:firstLine="0"/>
        <w:rPr>
          <w:color w:val="019648"/>
          <w:sz w:val="26"/>
          <w:szCs w:val="26"/>
          <w:lang w:val="uk-UA"/>
        </w:rPr>
      </w:pPr>
      <w:r w:rsidRPr="00F86A64">
        <w:rPr>
          <w:noProof/>
          <w:sz w:val="26"/>
          <w:szCs w:val="26"/>
          <w:lang w:val="uk-UA"/>
        </w:rPr>
        <mc:AlternateContent>
          <mc:Choice Requires="wpg">
            <w:drawing>
              <wp:anchor distT="0" distB="0" distL="0" distR="0" simplePos="0" relativeHeight="16060416" behindDoc="0" locked="0" layoutInCell="1" allowOverlap="1" wp14:anchorId="00358BE7" wp14:editId="300341AE">
                <wp:simplePos x="0" y="0"/>
                <wp:positionH relativeFrom="page">
                  <wp:posOffset>6144458</wp:posOffset>
                </wp:positionH>
                <wp:positionV relativeFrom="paragraph">
                  <wp:posOffset>26316</wp:posOffset>
                </wp:positionV>
                <wp:extent cx="515620" cy="245745"/>
                <wp:effectExtent l="0" t="0" r="0" b="0"/>
                <wp:wrapNone/>
                <wp:docPr id="2122"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620" cy="245745"/>
                          <a:chOff x="0" y="0"/>
                          <a:chExt cx="515620" cy="245745"/>
                        </a:xfrm>
                      </wpg:grpSpPr>
                      <wps:wsp>
                        <wps:cNvPr id="2123" name="Graphic 2123"/>
                        <wps:cNvSpPr/>
                        <wps:spPr>
                          <a:xfrm>
                            <a:off x="0" y="0"/>
                            <a:ext cx="515620" cy="245745"/>
                          </a:xfrm>
                          <a:custGeom>
                            <a:avLst/>
                            <a:gdLst/>
                            <a:ahLst/>
                            <a:cxnLst/>
                            <a:rect l="l" t="t" r="r" b="b"/>
                            <a:pathLst>
                              <a:path w="515620" h="245745">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a:prstTxWarp prst="textNoShape">
                            <a:avLst/>
                          </a:prstTxWarp>
                          <a:noAutofit/>
                        </wps:bodyPr>
                      </wps:wsp>
                      <wps:wsp>
                        <wps:cNvPr id="2124" name="Textbox 2124"/>
                        <wps:cNvSpPr txBox="1"/>
                        <wps:spPr>
                          <a:xfrm>
                            <a:off x="0" y="0"/>
                            <a:ext cx="515620" cy="245745"/>
                          </a:xfrm>
                          <a:prstGeom prst="rect">
                            <a:avLst/>
                          </a:prstGeom>
                        </wps:spPr>
                        <wps:txbx>
                          <w:txbxContent>
                            <w:p w14:paraId="3DBE0CE9" w14:textId="74255AE6" w:rsidR="007372B2" w:rsidRPr="00BE1163" w:rsidRDefault="007372B2">
                              <w:pPr>
                                <w:spacing w:before="89"/>
                                <w:ind w:left="169"/>
                                <w:rPr>
                                  <w:sz w:val="20"/>
                                  <w:lang w:val="uk-UA"/>
                                </w:rPr>
                              </w:pPr>
                              <w:r>
                                <w:rPr>
                                  <w:color w:val="FFFFFF"/>
                                  <w:spacing w:val="-5"/>
                                  <w:sz w:val="20"/>
                                  <w:lang w:val="uk-UA"/>
                                </w:rPr>
                                <w:t>НОВ</w:t>
                              </w:r>
                              <w:r w:rsidR="001E5AF1">
                                <w:rPr>
                                  <w:color w:val="FFFFFF"/>
                                  <w:spacing w:val="-5"/>
                                  <w:sz w:val="20"/>
                                  <w:lang w:val="uk-UA"/>
                                </w:rPr>
                                <w:t>Е</w:t>
                              </w:r>
                            </w:p>
                          </w:txbxContent>
                        </wps:txbx>
                        <wps:bodyPr wrap="square" lIns="0" tIns="0" rIns="0" bIns="0" rtlCol="0">
                          <a:noAutofit/>
                        </wps:bodyPr>
                      </wps:wsp>
                    </wpg:wgp>
                  </a:graphicData>
                </a:graphic>
              </wp:anchor>
            </w:drawing>
          </mc:Choice>
          <mc:Fallback>
            <w:pict>
              <v:group w14:anchorId="00358BE7" id="Group 2122" o:spid="_x0000_s1121" style="position:absolute;left:0;text-align:left;margin-left:483.8pt;margin-top:2.05pt;width:40.6pt;height:19.35pt;z-index:16060416;mso-wrap-distance-left:0;mso-wrap-distance-right:0;mso-position-horizontal-relative:page;mso-position-vertical-relative:text" coordsize="51562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">
                <v:shape id="Graphic 2123" o:spid="_x0000_s1122" style="position:absolute;width:515620;height:245745;visibility:visible;mso-wrap-style:square;v-text-anchor:top" coordsize="51562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" path="m515543,l,,,122796r9650,47797l35966,209626r39032,26316l122796,245592r269951,l440545,235942r39032,-26316l505893,170593r9650,-47797l515543,xe" fillcolor="#0c8140" stroked="f">
                  <v:path arrowok="t"/>
                </v:shape>
                <v:shape id="Textbox 2124" o:spid="_x0000_s1123" type="#_x0000_t202" style="position:absolute;width:515620;height:245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lX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CYnUlXxQAAAN0AAAAP&#10;AAAAAAAAAAAAAAAAAAcCAABkcnMvZG93bnJldi54bWxQSwUGAAAAAAMAAwC3AAAA+QIAAAAA&#10;" filled="f" stroked="f">
                  <v:textbox inset="0,0,0,0">
                    <w:txbxContent>
                      <w:p w14:paraId="3DBE0CE9" w14:textId="74255AE6" w:rsidR="007372B2" w:rsidRPr="00BE1163" w:rsidRDefault="007372B2">
                        <w:pPr>
                          <w:spacing w:before="89"/>
                          <w:ind w:left="169"/>
                          <w:rPr>
                            <w:sz w:val="20"/>
                            <w:lang w:val="uk-UA"/>
                          </w:rPr>
                        </w:pPr>
                        <w:r>
                          <w:rPr>
                            <w:color w:val="FFFFFF"/>
                            <w:spacing w:val="-5"/>
                            <w:sz w:val="20"/>
                            <w:lang w:val="uk-UA"/>
                          </w:rPr>
                          <w:t>НОВ</w:t>
                        </w:r>
                        <w:r w:rsidR="001E5AF1">
                          <w:rPr>
                            <w:color w:val="FFFFFF"/>
                            <w:spacing w:val="-5"/>
                            <w:sz w:val="20"/>
                            <w:lang w:val="uk-UA"/>
                          </w:rPr>
                          <w:t>Е</w:t>
                        </w:r>
                      </w:p>
                    </w:txbxContent>
                  </v:textbox>
                </v:shape>
                <w10:wrap anchorx="page"/>
              </v:group>
            </w:pict>
          </mc:Fallback>
        </mc:AlternateContent>
      </w:r>
      <w:r w:rsidR="00BE1163" w:rsidRPr="00BE1163">
        <w:rPr>
          <w:lang w:val="ru-RU"/>
        </w:rPr>
        <w:t xml:space="preserve"> </w:t>
      </w:r>
      <w:r w:rsidR="00BE1163" w:rsidRPr="00BE1163">
        <w:rPr>
          <w:color w:val="019648"/>
          <w:spacing w:val="-2"/>
          <w:w w:val="110"/>
          <w:sz w:val="26"/>
          <w:szCs w:val="26"/>
          <w:lang w:val="uk-UA"/>
        </w:rPr>
        <w:t xml:space="preserve">Одночасне використання </w:t>
      </w:r>
      <w:r w:rsidR="002B0686">
        <w:rPr>
          <w:color w:val="019648"/>
          <w:spacing w:val="-2"/>
          <w:w w:val="110"/>
          <w:sz w:val="26"/>
          <w:szCs w:val="26"/>
          <w:lang w:val="uk-UA"/>
        </w:rPr>
        <w:t xml:space="preserve">різних </w:t>
      </w:r>
      <w:r w:rsidR="00BE1163" w:rsidRPr="00BE1163">
        <w:rPr>
          <w:color w:val="019648"/>
          <w:spacing w:val="-2"/>
          <w:w w:val="110"/>
          <w:sz w:val="26"/>
          <w:szCs w:val="26"/>
          <w:lang w:val="uk-UA"/>
        </w:rPr>
        <w:t>тестів у дітей без ВІЛ або з невідомим ВІЛ-статусом</w:t>
      </w:r>
    </w:p>
    <w:p w14:paraId="1DF401D0" w14:textId="45495D37" w:rsidR="00E05B98" w:rsidRPr="003C6DAE" w:rsidRDefault="00BE1163" w:rsidP="00877388">
      <w:pPr>
        <w:spacing w:before="227" w:line="269" w:lineRule="auto"/>
        <w:ind w:left="567"/>
        <w:rPr>
          <w:sz w:val="28"/>
          <w:lang w:val="uk-UA"/>
        </w:rPr>
      </w:pPr>
      <w:r>
        <w:rPr>
          <w:color w:val="019648"/>
          <w:spacing w:val="-2"/>
          <w:w w:val="105"/>
          <w:sz w:val="26"/>
          <w:szCs w:val="26"/>
          <w:lang w:val="uk-UA"/>
        </w:rPr>
        <w:t>Рекомендації</w:t>
      </w:r>
    </w:p>
    <w:p w14:paraId="34F648C7" w14:textId="77777777" w:rsidR="00E05B98" w:rsidRPr="003C6DAE" w:rsidRDefault="00E05B98" w:rsidP="00877388">
      <w:pPr>
        <w:pStyle w:val="a3"/>
        <w:spacing w:before="10" w:line="269" w:lineRule="auto"/>
        <w:rPr>
          <w:sz w:val="16"/>
          <w:lang w:val="uk-UA"/>
        </w:rPr>
      </w:pPr>
    </w:p>
    <w:tbl>
      <w:tblPr>
        <w:tblStyle w:val="TableNormal"/>
        <w:tblW w:w="0" w:type="auto"/>
        <w:tblInd w:w="58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333"/>
      </w:tblGrid>
      <w:tr w:rsidR="00E05B98" w:rsidRPr="00D029FF" w14:paraId="62CF7A44" w14:textId="77777777" w:rsidTr="00877388">
        <w:trPr>
          <w:trHeight w:val="2334"/>
        </w:trPr>
        <w:tc>
          <w:tcPr>
            <w:tcW w:w="9333" w:type="dxa"/>
          </w:tcPr>
          <w:p w14:paraId="6752C751" w14:textId="66A05673" w:rsidR="00E05B98" w:rsidRPr="0069056E" w:rsidRDefault="00B01E0C" w:rsidP="00877388">
            <w:pPr>
              <w:pStyle w:val="TableParagraph"/>
              <w:spacing w:before="245" w:line="269" w:lineRule="auto"/>
              <w:ind w:left="680" w:right="265" w:hanging="397"/>
              <w:jc w:val="both"/>
              <w:rPr>
                <w:rFonts w:ascii="Arial"/>
                <w:b/>
                <w:sz w:val="20"/>
                <w:szCs w:val="20"/>
                <w:lang w:val="uk-UA"/>
              </w:rPr>
            </w:pPr>
            <w:r w:rsidRPr="0069056E">
              <w:rPr>
                <w:rFonts w:ascii="Arial"/>
                <w:b/>
                <w:sz w:val="20"/>
                <w:szCs w:val="20"/>
                <w:lang w:val="uk-UA"/>
              </w:rPr>
              <w:t>8.</w:t>
            </w:r>
            <w:r w:rsidRPr="0069056E">
              <w:rPr>
                <w:rFonts w:ascii="Arial"/>
                <w:b/>
                <w:spacing w:val="80"/>
                <w:sz w:val="20"/>
                <w:szCs w:val="20"/>
                <w:lang w:val="uk-UA"/>
              </w:rPr>
              <w:t xml:space="preserve"> </w:t>
            </w:r>
            <w:r w:rsidR="00885BE7" w:rsidRPr="0069056E">
              <w:rPr>
                <w:rFonts w:ascii="Arial"/>
                <w:b/>
                <w:sz w:val="20"/>
                <w:szCs w:val="20"/>
                <w:lang w:val="uk-UA"/>
              </w:rPr>
              <w:t>Для</w:t>
            </w:r>
            <w:r w:rsidR="00885BE7" w:rsidRPr="0069056E">
              <w:rPr>
                <w:rFonts w:ascii="Arial"/>
                <w:b/>
                <w:sz w:val="20"/>
                <w:szCs w:val="20"/>
                <w:lang w:val="uk-UA"/>
              </w:rPr>
              <w:t xml:space="preserve"> </w:t>
            </w:r>
            <w:r w:rsidR="00885BE7" w:rsidRPr="0069056E">
              <w:rPr>
                <w:rFonts w:ascii="Arial"/>
                <w:b/>
                <w:sz w:val="20"/>
                <w:szCs w:val="20"/>
                <w:lang w:val="uk-UA"/>
              </w:rPr>
              <w:t>дітей</w:t>
            </w:r>
            <w:r w:rsidR="00885BE7" w:rsidRPr="0069056E">
              <w:rPr>
                <w:rFonts w:ascii="Arial"/>
                <w:b/>
                <w:sz w:val="20"/>
                <w:szCs w:val="20"/>
                <w:lang w:val="uk-UA"/>
              </w:rPr>
              <w:t xml:space="preserve">, </w:t>
            </w:r>
            <w:r w:rsidR="00885BE7" w:rsidRPr="0069056E">
              <w:rPr>
                <w:rFonts w:ascii="Arial"/>
                <w:b/>
                <w:sz w:val="20"/>
                <w:szCs w:val="20"/>
                <w:lang w:val="uk-UA"/>
              </w:rPr>
              <w:t>які</w:t>
            </w:r>
            <w:r w:rsidR="00885BE7" w:rsidRPr="0069056E">
              <w:rPr>
                <w:rFonts w:ascii="Arial"/>
                <w:b/>
                <w:sz w:val="20"/>
                <w:szCs w:val="20"/>
                <w:lang w:val="uk-UA"/>
              </w:rPr>
              <w:t xml:space="preserve"> </w:t>
            </w:r>
            <w:r w:rsidR="00885BE7" w:rsidRPr="0069056E">
              <w:rPr>
                <w:rFonts w:ascii="Arial"/>
                <w:b/>
                <w:sz w:val="20"/>
                <w:szCs w:val="20"/>
                <w:lang w:val="uk-UA"/>
              </w:rPr>
              <w:t>є</w:t>
            </w:r>
            <w:r w:rsidR="00885BE7" w:rsidRPr="0069056E">
              <w:rPr>
                <w:rFonts w:ascii="Arial"/>
                <w:b/>
                <w:sz w:val="20"/>
                <w:szCs w:val="20"/>
                <w:lang w:val="uk-UA"/>
              </w:rPr>
              <w:t xml:space="preserve"> </w:t>
            </w:r>
            <w:r w:rsidR="00885BE7" w:rsidRPr="0069056E">
              <w:rPr>
                <w:rFonts w:ascii="Arial"/>
                <w:b/>
                <w:sz w:val="20"/>
                <w:szCs w:val="20"/>
                <w:lang w:val="uk-UA"/>
              </w:rPr>
              <w:t>ВІЛ</w:t>
            </w:r>
            <w:r w:rsidR="00885BE7" w:rsidRPr="0069056E">
              <w:rPr>
                <w:rFonts w:ascii="Arial"/>
                <w:b/>
                <w:sz w:val="20"/>
                <w:szCs w:val="20"/>
                <w:lang w:val="uk-UA"/>
              </w:rPr>
              <w:t>-</w:t>
            </w:r>
            <w:r w:rsidR="00885BE7" w:rsidRPr="0069056E">
              <w:rPr>
                <w:rFonts w:ascii="Arial"/>
                <w:b/>
                <w:sz w:val="20"/>
                <w:szCs w:val="20"/>
                <w:lang w:val="uk-UA"/>
              </w:rPr>
              <w:t>негативними</w:t>
            </w:r>
            <w:r w:rsidR="00885BE7" w:rsidRPr="0069056E">
              <w:rPr>
                <w:rFonts w:ascii="Arial"/>
                <w:b/>
                <w:sz w:val="20"/>
                <w:szCs w:val="20"/>
                <w:lang w:val="uk-UA"/>
              </w:rPr>
              <w:t xml:space="preserve"> </w:t>
            </w:r>
            <w:r w:rsidR="00885BE7" w:rsidRPr="0069056E">
              <w:rPr>
                <w:rFonts w:ascii="Arial"/>
                <w:b/>
                <w:sz w:val="20"/>
                <w:szCs w:val="20"/>
                <w:lang w:val="uk-UA"/>
              </w:rPr>
              <w:t>або</w:t>
            </w:r>
            <w:r w:rsidR="00885BE7" w:rsidRPr="0069056E">
              <w:rPr>
                <w:rFonts w:ascii="Arial"/>
                <w:b/>
                <w:sz w:val="20"/>
                <w:szCs w:val="20"/>
                <w:lang w:val="uk-UA"/>
              </w:rPr>
              <w:t xml:space="preserve"> </w:t>
            </w:r>
            <w:r w:rsidR="00885BE7" w:rsidRPr="0069056E">
              <w:rPr>
                <w:rFonts w:ascii="Arial"/>
                <w:b/>
                <w:sz w:val="20"/>
                <w:szCs w:val="20"/>
                <w:lang w:val="uk-UA"/>
              </w:rPr>
              <w:t>з</w:t>
            </w:r>
            <w:r w:rsidR="00885BE7" w:rsidRPr="0069056E">
              <w:rPr>
                <w:rFonts w:ascii="Arial"/>
                <w:b/>
                <w:sz w:val="20"/>
                <w:szCs w:val="20"/>
                <w:lang w:val="uk-UA"/>
              </w:rPr>
              <w:t xml:space="preserve"> </w:t>
            </w:r>
            <w:r w:rsidR="00885BE7" w:rsidRPr="0069056E">
              <w:rPr>
                <w:rFonts w:ascii="Arial"/>
                <w:b/>
                <w:sz w:val="20"/>
                <w:szCs w:val="20"/>
                <w:lang w:val="uk-UA"/>
              </w:rPr>
              <w:t>невідомим</w:t>
            </w:r>
            <w:r w:rsidR="00885BE7" w:rsidRPr="0069056E">
              <w:rPr>
                <w:rFonts w:ascii="Arial"/>
                <w:b/>
                <w:sz w:val="20"/>
                <w:szCs w:val="20"/>
                <w:lang w:val="uk-UA"/>
              </w:rPr>
              <w:t xml:space="preserve"> </w:t>
            </w:r>
            <w:r w:rsidR="00885BE7" w:rsidRPr="0069056E">
              <w:rPr>
                <w:rFonts w:ascii="Arial"/>
                <w:b/>
                <w:sz w:val="20"/>
                <w:szCs w:val="20"/>
                <w:lang w:val="uk-UA"/>
              </w:rPr>
              <w:t>ВІЛ</w:t>
            </w:r>
            <w:r w:rsidR="00885BE7" w:rsidRPr="0069056E">
              <w:rPr>
                <w:rFonts w:ascii="Arial"/>
                <w:b/>
                <w:sz w:val="20"/>
                <w:szCs w:val="20"/>
                <w:lang w:val="uk-UA"/>
              </w:rPr>
              <w:t>-</w:t>
            </w:r>
            <w:r w:rsidR="00885BE7" w:rsidRPr="0069056E">
              <w:rPr>
                <w:rFonts w:ascii="Arial"/>
                <w:b/>
                <w:sz w:val="20"/>
                <w:szCs w:val="20"/>
                <w:lang w:val="uk-UA"/>
              </w:rPr>
              <w:t>статусом</w:t>
            </w:r>
            <w:r w:rsidR="00885BE7" w:rsidRPr="0069056E">
              <w:rPr>
                <w:rFonts w:ascii="Arial"/>
                <w:b/>
                <w:sz w:val="20"/>
                <w:szCs w:val="20"/>
                <w:lang w:val="uk-UA"/>
              </w:rPr>
              <w:t xml:space="preserve">, </w:t>
            </w:r>
            <w:r w:rsidR="00885BE7" w:rsidRPr="0069056E">
              <w:rPr>
                <w:rFonts w:ascii="Arial"/>
                <w:b/>
                <w:sz w:val="20"/>
                <w:szCs w:val="20"/>
                <w:lang w:val="uk-UA"/>
              </w:rPr>
              <w:t>мають</w:t>
            </w:r>
            <w:r w:rsidR="00885BE7" w:rsidRPr="0069056E">
              <w:rPr>
                <w:rFonts w:ascii="Arial"/>
                <w:b/>
                <w:sz w:val="20"/>
                <w:szCs w:val="20"/>
                <w:lang w:val="uk-UA"/>
              </w:rPr>
              <w:t xml:space="preserve"> </w:t>
            </w:r>
            <w:r w:rsidR="00885BE7" w:rsidRPr="0069056E">
              <w:rPr>
                <w:rFonts w:ascii="Arial"/>
                <w:b/>
                <w:sz w:val="20"/>
                <w:szCs w:val="20"/>
                <w:lang w:val="uk-UA"/>
              </w:rPr>
              <w:t>ознаки</w:t>
            </w:r>
            <w:r w:rsidR="00885BE7" w:rsidRPr="0069056E">
              <w:rPr>
                <w:rFonts w:ascii="Arial"/>
                <w:b/>
                <w:sz w:val="20"/>
                <w:szCs w:val="20"/>
                <w:lang w:val="uk-UA"/>
              </w:rPr>
              <w:t xml:space="preserve"> </w:t>
            </w:r>
            <w:r w:rsidR="00885BE7" w:rsidRPr="0069056E">
              <w:rPr>
                <w:rFonts w:ascii="Arial"/>
                <w:b/>
                <w:sz w:val="20"/>
                <w:szCs w:val="20"/>
                <w:lang w:val="uk-UA"/>
              </w:rPr>
              <w:t>або</w:t>
            </w:r>
            <w:r w:rsidR="00885BE7" w:rsidRPr="0069056E">
              <w:rPr>
                <w:rFonts w:ascii="Arial"/>
                <w:b/>
                <w:sz w:val="20"/>
                <w:szCs w:val="20"/>
                <w:lang w:val="uk-UA"/>
              </w:rPr>
              <w:t xml:space="preserve"> </w:t>
            </w:r>
            <w:r w:rsidR="00885BE7" w:rsidRPr="0069056E">
              <w:rPr>
                <w:rFonts w:ascii="Arial"/>
                <w:b/>
                <w:sz w:val="20"/>
                <w:szCs w:val="20"/>
                <w:lang w:val="uk-UA"/>
              </w:rPr>
              <w:t>симптоми</w:t>
            </w:r>
            <w:r w:rsidR="00885BE7" w:rsidRPr="0069056E">
              <w:rPr>
                <w:rFonts w:ascii="Arial"/>
                <w:b/>
                <w:sz w:val="20"/>
                <w:szCs w:val="20"/>
                <w:lang w:val="uk-UA"/>
              </w:rPr>
              <w:t xml:space="preserve"> </w:t>
            </w:r>
            <w:r w:rsidR="0069056E" w:rsidRPr="0069056E">
              <w:rPr>
                <w:rFonts w:ascii="Arial"/>
                <w:b/>
                <w:sz w:val="20"/>
                <w:szCs w:val="20"/>
                <w:lang w:val="uk-UA"/>
              </w:rPr>
              <w:t>ТБ</w:t>
            </w:r>
            <w:r w:rsidR="0069056E" w:rsidRPr="0069056E">
              <w:rPr>
                <w:rFonts w:ascii="Arial"/>
                <w:b/>
                <w:sz w:val="20"/>
                <w:szCs w:val="20"/>
                <w:lang w:val="uk-UA"/>
              </w:rPr>
              <w:t xml:space="preserve"> </w:t>
            </w:r>
            <w:r w:rsidR="0069056E" w:rsidRPr="0069056E">
              <w:rPr>
                <w:rFonts w:ascii="Arial"/>
                <w:b/>
                <w:sz w:val="20"/>
                <w:szCs w:val="20"/>
                <w:lang w:val="uk-UA"/>
              </w:rPr>
              <w:t>чи</w:t>
            </w:r>
            <w:r w:rsidR="00885BE7" w:rsidRPr="0069056E">
              <w:rPr>
                <w:rFonts w:ascii="Arial"/>
                <w:b/>
                <w:sz w:val="20"/>
                <w:szCs w:val="20"/>
                <w:lang w:val="uk-UA"/>
              </w:rPr>
              <w:t xml:space="preserve"> </w:t>
            </w:r>
            <w:r w:rsidR="00885BE7" w:rsidRPr="0069056E">
              <w:rPr>
                <w:rFonts w:ascii="Arial"/>
                <w:b/>
                <w:sz w:val="20"/>
                <w:szCs w:val="20"/>
                <w:lang w:val="uk-UA"/>
              </w:rPr>
              <w:t>мають</w:t>
            </w:r>
            <w:r w:rsidR="00885BE7" w:rsidRPr="0069056E">
              <w:rPr>
                <w:rFonts w:ascii="Arial"/>
                <w:b/>
                <w:sz w:val="20"/>
                <w:szCs w:val="20"/>
                <w:lang w:val="uk-UA"/>
              </w:rPr>
              <w:t xml:space="preserve"> </w:t>
            </w:r>
            <w:r w:rsidR="00885BE7" w:rsidRPr="0069056E">
              <w:rPr>
                <w:rFonts w:ascii="Arial"/>
                <w:b/>
                <w:sz w:val="20"/>
                <w:szCs w:val="20"/>
                <w:lang w:val="uk-UA"/>
              </w:rPr>
              <w:t>позитивний</w:t>
            </w:r>
            <w:r w:rsidR="00885BE7" w:rsidRPr="0069056E">
              <w:rPr>
                <w:rFonts w:ascii="Arial"/>
                <w:b/>
                <w:sz w:val="20"/>
                <w:szCs w:val="20"/>
                <w:lang w:val="uk-UA"/>
              </w:rPr>
              <w:t xml:space="preserve"> </w:t>
            </w:r>
            <w:r w:rsidR="00885BE7" w:rsidRPr="0069056E">
              <w:rPr>
                <w:rFonts w:ascii="Arial"/>
                <w:b/>
                <w:sz w:val="20"/>
                <w:szCs w:val="20"/>
                <w:lang w:val="uk-UA"/>
              </w:rPr>
              <w:t>результат</w:t>
            </w:r>
            <w:r w:rsidR="00885BE7" w:rsidRPr="0069056E">
              <w:rPr>
                <w:rFonts w:ascii="Arial"/>
                <w:b/>
                <w:sz w:val="20"/>
                <w:szCs w:val="20"/>
                <w:lang w:val="uk-UA"/>
              </w:rPr>
              <w:t xml:space="preserve"> </w:t>
            </w:r>
            <w:r w:rsidR="00885BE7" w:rsidRPr="0069056E">
              <w:rPr>
                <w:rFonts w:ascii="Arial"/>
                <w:b/>
                <w:sz w:val="20"/>
                <w:szCs w:val="20"/>
                <w:lang w:val="uk-UA"/>
              </w:rPr>
              <w:t>скринінгу</w:t>
            </w:r>
            <w:r w:rsidR="00885BE7" w:rsidRPr="0069056E">
              <w:rPr>
                <w:rFonts w:ascii="Arial"/>
                <w:b/>
                <w:sz w:val="20"/>
                <w:szCs w:val="20"/>
                <w:lang w:val="uk-UA"/>
              </w:rPr>
              <w:t xml:space="preserve"> </w:t>
            </w:r>
            <w:r w:rsidR="00885BE7" w:rsidRPr="0069056E">
              <w:rPr>
                <w:rFonts w:ascii="Arial"/>
                <w:b/>
                <w:sz w:val="20"/>
                <w:szCs w:val="20"/>
                <w:lang w:val="uk-UA"/>
              </w:rPr>
              <w:t>на</w:t>
            </w:r>
            <w:r w:rsidR="00885BE7" w:rsidRPr="0069056E">
              <w:rPr>
                <w:rFonts w:ascii="Arial"/>
                <w:b/>
                <w:sz w:val="20"/>
                <w:szCs w:val="20"/>
                <w:lang w:val="uk-UA"/>
              </w:rPr>
              <w:t xml:space="preserve"> </w:t>
            </w:r>
            <w:r w:rsidR="00885BE7" w:rsidRPr="0069056E">
              <w:rPr>
                <w:rFonts w:ascii="Arial"/>
                <w:b/>
                <w:sz w:val="20"/>
                <w:szCs w:val="20"/>
                <w:lang w:val="uk-UA"/>
              </w:rPr>
              <w:t>ТБ</w:t>
            </w:r>
            <w:r w:rsidR="00885BE7" w:rsidRPr="0069056E">
              <w:rPr>
                <w:rFonts w:ascii="Arial"/>
                <w:b/>
                <w:sz w:val="20"/>
                <w:szCs w:val="20"/>
                <w:lang w:val="uk-UA"/>
              </w:rPr>
              <w:t xml:space="preserve"> </w:t>
            </w:r>
            <w:r w:rsidR="00885BE7" w:rsidRPr="0069056E">
              <w:rPr>
                <w:rFonts w:ascii="Arial"/>
                <w:b/>
                <w:sz w:val="20"/>
                <w:szCs w:val="20"/>
                <w:lang w:val="uk-UA"/>
              </w:rPr>
              <w:t>легень</w:t>
            </w:r>
            <w:r w:rsidR="00885BE7" w:rsidRPr="0069056E">
              <w:rPr>
                <w:rFonts w:ascii="Arial"/>
                <w:b/>
                <w:sz w:val="20"/>
                <w:szCs w:val="20"/>
                <w:lang w:val="uk-UA"/>
              </w:rPr>
              <w:t xml:space="preserve">, </w:t>
            </w:r>
            <w:r w:rsidR="00885BE7" w:rsidRPr="0069056E">
              <w:rPr>
                <w:rFonts w:ascii="Arial"/>
                <w:b/>
                <w:sz w:val="20"/>
                <w:szCs w:val="20"/>
                <w:lang w:val="uk-UA"/>
              </w:rPr>
              <w:t>слід</w:t>
            </w:r>
            <w:r w:rsidR="00885BE7" w:rsidRPr="0069056E">
              <w:rPr>
                <w:rFonts w:ascii="Arial"/>
                <w:b/>
                <w:sz w:val="20"/>
                <w:szCs w:val="20"/>
                <w:lang w:val="uk-UA"/>
              </w:rPr>
              <w:t xml:space="preserve"> </w:t>
            </w:r>
            <w:r w:rsidR="00885BE7" w:rsidRPr="0069056E">
              <w:rPr>
                <w:rFonts w:ascii="Arial"/>
                <w:b/>
                <w:sz w:val="20"/>
                <w:szCs w:val="20"/>
                <w:lang w:val="uk-UA"/>
              </w:rPr>
              <w:t>використовувати</w:t>
            </w:r>
            <w:r w:rsidR="00885BE7" w:rsidRPr="0069056E">
              <w:rPr>
                <w:rFonts w:ascii="Arial"/>
                <w:b/>
                <w:sz w:val="20"/>
                <w:szCs w:val="20"/>
                <w:lang w:val="uk-UA"/>
              </w:rPr>
              <w:t xml:space="preserve"> </w:t>
            </w:r>
            <w:r w:rsidR="00885BE7" w:rsidRPr="0069056E">
              <w:rPr>
                <w:rFonts w:ascii="Arial"/>
                <w:b/>
                <w:sz w:val="20"/>
                <w:szCs w:val="20"/>
                <w:lang w:val="uk-UA"/>
              </w:rPr>
              <w:t>одночасне</w:t>
            </w:r>
            <w:r w:rsidR="00885BE7" w:rsidRPr="0069056E">
              <w:rPr>
                <w:rFonts w:ascii="Arial"/>
                <w:b/>
                <w:sz w:val="20"/>
                <w:szCs w:val="20"/>
                <w:lang w:val="uk-UA"/>
              </w:rPr>
              <w:t xml:space="preserve"> </w:t>
            </w:r>
            <w:r w:rsidR="00885BE7" w:rsidRPr="0069056E">
              <w:rPr>
                <w:rFonts w:ascii="Arial"/>
                <w:b/>
                <w:sz w:val="20"/>
                <w:szCs w:val="20"/>
                <w:lang w:val="uk-UA"/>
              </w:rPr>
              <w:t>тестування</w:t>
            </w:r>
            <w:r w:rsidR="00885BE7" w:rsidRPr="0069056E">
              <w:rPr>
                <w:rFonts w:ascii="Arial"/>
                <w:b/>
                <w:sz w:val="20"/>
                <w:szCs w:val="20"/>
                <w:lang w:val="uk-UA"/>
              </w:rPr>
              <w:t xml:space="preserve"> </w:t>
            </w:r>
            <w:r w:rsidR="00885BE7" w:rsidRPr="0069056E">
              <w:rPr>
                <w:rFonts w:ascii="Arial"/>
                <w:b/>
                <w:sz w:val="20"/>
                <w:szCs w:val="20"/>
                <w:lang w:val="uk-UA"/>
              </w:rPr>
              <w:t>за</w:t>
            </w:r>
            <w:r w:rsidR="00885BE7" w:rsidRPr="0069056E">
              <w:rPr>
                <w:rFonts w:ascii="Arial"/>
                <w:b/>
                <w:sz w:val="20"/>
                <w:szCs w:val="20"/>
                <w:lang w:val="uk-UA"/>
              </w:rPr>
              <w:t xml:space="preserve"> </w:t>
            </w:r>
            <w:r w:rsidR="00885BE7" w:rsidRPr="0069056E">
              <w:rPr>
                <w:rFonts w:ascii="Arial"/>
                <w:b/>
                <w:sz w:val="20"/>
                <w:szCs w:val="20"/>
                <w:lang w:val="uk-UA"/>
              </w:rPr>
              <w:t>допомогою</w:t>
            </w:r>
            <w:r w:rsidR="00885BE7" w:rsidRPr="0069056E">
              <w:rPr>
                <w:rFonts w:ascii="Arial"/>
                <w:b/>
                <w:sz w:val="20"/>
                <w:szCs w:val="20"/>
                <w:lang w:val="uk-UA"/>
              </w:rPr>
              <w:t xml:space="preserve"> </w:t>
            </w:r>
            <w:r w:rsidR="00885BE7" w:rsidRPr="0069056E">
              <w:rPr>
                <w:rFonts w:ascii="Arial"/>
                <w:b/>
                <w:sz w:val="20"/>
                <w:szCs w:val="20"/>
                <w:lang w:val="uk-UA"/>
              </w:rPr>
              <w:t>автоматизованих</w:t>
            </w:r>
            <w:r w:rsidR="00885BE7" w:rsidRPr="0069056E">
              <w:rPr>
                <w:rFonts w:ascii="Arial"/>
                <w:b/>
                <w:sz w:val="20"/>
                <w:szCs w:val="20"/>
                <w:lang w:val="uk-UA"/>
              </w:rPr>
              <w:t xml:space="preserve"> </w:t>
            </w:r>
            <w:r w:rsidR="00885BE7" w:rsidRPr="0069056E">
              <w:rPr>
                <w:rFonts w:ascii="Arial"/>
                <w:b/>
                <w:sz w:val="20"/>
                <w:szCs w:val="20"/>
                <w:lang w:val="uk-UA"/>
              </w:rPr>
              <w:t>ТАНК</w:t>
            </w:r>
            <w:r w:rsidR="00885BE7" w:rsidRPr="0069056E">
              <w:rPr>
                <w:rFonts w:ascii="Arial"/>
                <w:b/>
                <w:sz w:val="20"/>
                <w:szCs w:val="20"/>
                <w:lang w:val="uk-UA"/>
              </w:rPr>
              <w:t xml:space="preserve"> </w:t>
            </w:r>
            <w:r w:rsidR="00885BE7" w:rsidRPr="0069056E">
              <w:rPr>
                <w:rFonts w:ascii="Arial"/>
                <w:b/>
                <w:sz w:val="20"/>
                <w:szCs w:val="20"/>
                <w:lang w:val="uk-UA"/>
              </w:rPr>
              <w:t>низької</w:t>
            </w:r>
            <w:r w:rsidR="00885BE7" w:rsidRPr="0069056E">
              <w:rPr>
                <w:rFonts w:ascii="Arial"/>
                <w:b/>
                <w:sz w:val="20"/>
                <w:szCs w:val="20"/>
                <w:lang w:val="uk-UA"/>
              </w:rPr>
              <w:t xml:space="preserve"> </w:t>
            </w:r>
            <w:r w:rsidR="00885BE7" w:rsidRPr="0069056E">
              <w:rPr>
                <w:rFonts w:ascii="Arial"/>
                <w:b/>
                <w:sz w:val="20"/>
                <w:szCs w:val="20"/>
                <w:lang w:val="uk-UA"/>
              </w:rPr>
              <w:t>складності</w:t>
            </w:r>
            <w:r w:rsidR="00885BE7" w:rsidRPr="0069056E">
              <w:rPr>
                <w:rFonts w:ascii="Arial"/>
                <w:b/>
                <w:sz w:val="20"/>
                <w:szCs w:val="20"/>
                <w:lang w:val="uk-UA"/>
              </w:rPr>
              <w:t xml:space="preserve"> </w:t>
            </w:r>
            <w:r w:rsidR="00885BE7" w:rsidRPr="0069056E">
              <w:rPr>
                <w:rFonts w:ascii="Arial"/>
                <w:b/>
                <w:sz w:val="20"/>
                <w:szCs w:val="20"/>
                <w:lang w:val="uk-UA"/>
              </w:rPr>
              <w:t>на</w:t>
            </w:r>
            <w:r w:rsidR="00885BE7" w:rsidRPr="0069056E">
              <w:rPr>
                <w:rFonts w:ascii="Arial"/>
                <w:b/>
                <w:sz w:val="20"/>
                <w:szCs w:val="20"/>
                <w:lang w:val="uk-UA"/>
              </w:rPr>
              <w:t xml:space="preserve"> </w:t>
            </w:r>
            <w:r w:rsidR="00885BE7" w:rsidRPr="0069056E">
              <w:rPr>
                <w:rFonts w:ascii="Arial"/>
                <w:b/>
                <w:sz w:val="20"/>
                <w:szCs w:val="20"/>
                <w:lang w:val="uk-UA"/>
              </w:rPr>
              <w:t>зразка</w:t>
            </w:r>
            <w:r w:rsidR="0069056E" w:rsidRPr="0069056E">
              <w:rPr>
                <w:rFonts w:ascii="Arial"/>
                <w:b/>
                <w:sz w:val="20"/>
                <w:szCs w:val="20"/>
                <w:lang w:val="uk-UA"/>
              </w:rPr>
              <w:t>х</w:t>
            </w:r>
            <w:r w:rsidR="00885BE7" w:rsidRPr="0069056E">
              <w:rPr>
                <w:rFonts w:ascii="Arial"/>
                <w:b/>
                <w:sz w:val="20"/>
                <w:szCs w:val="20"/>
                <w:lang w:val="uk-UA"/>
              </w:rPr>
              <w:t xml:space="preserve"> </w:t>
            </w:r>
            <w:r w:rsidR="00885BE7" w:rsidRPr="0069056E">
              <w:rPr>
                <w:rFonts w:ascii="Arial"/>
                <w:b/>
                <w:sz w:val="20"/>
                <w:szCs w:val="20"/>
                <w:lang w:val="uk-UA"/>
              </w:rPr>
              <w:t>із</w:t>
            </w:r>
            <w:r w:rsidR="00885BE7" w:rsidRPr="0069056E">
              <w:rPr>
                <w:rFonts w:ascii="Arial"/>
                <w:b/>
                <w:sz w:val="20"/>
                <w:szCs w:val="20"/>
                <w:lang w:val="uk-UA"/>
              </w:rPr>
              <w:t xml:space="preserve"> </w:t>
            </w:r>
            <w:r w:rsidR="00885BE7" w:rsidRPr="0069056E">
              <w:rPr>
                <w:rFonts w:ascii="Arial"/>
                <w:b/>
                <w:sz w:val="20"/>
                <w:szCs w:val="20"/>
                <w:lang w:val="uk-UA"/>
              </w:rPr>
              <w:t>дихальних</w:t>
            </w:r>
            <w:r w:rsidR="00885BE7" w:rsidRPr="0069056E">
              <w:rPr>
                <w:rFonts w:ascii="Arial"/>
                <w:b/>
                <w:sz w:val="20"/>
                <w:szCs w:val="20"/>
                <w:lang w:val="uk-UA"/>
              </w:rPr>
              <w:t xml:space="preserve"> </w:t>
            </w:r>
            <w:r w:rsidR="00885BE7" w:rsidRPr="0069056E">
              <w:rPr>
                <w:rFonts w:ascii="Arial"/>
                <w:b/>
                <w:sz w:val="20"/>
                <w:szCs w:val="20"/>
                <w:lang w:val="uk-UA"/>
              </w:rPr>
              <w:t>шляхів</w:t>
            </w:r>
            <w:r w:rsidR="00885BE7" w:rsidRPr="0069056E">
              <w:rPr>
                <w:rFonts w:ascii="Arial"/>
                <w:b/>
                <w:sz w:val="20"/>
                <w:szCs w:val="20"/>
                <w:lang w:val="uk-UA"/>
              </w:rPr>
              <w:t xml:space="preserve"> </w:t>
            </w:r>
            <w:r w:rsidR="00885BE7" w:rsidRPr="0069056E">
              <w:rPr>
                <w:rFonts w:ascii="Arial"/>
                <w:b/>
                <w:sz w:val="20"/>
                <w:szCs w:val="20"/>
                <w:lang w:val="uk-UA"/>
              </w:rPr>
              <w:t>та</w:t>
            </w:r>
            <w:r w:rsidR="00885BE7" w:rsidRPr="0069056E">
              <w:rPr>
                <w:rFonts w:ascii="Arial"/>
                <w:b/>
                <w:sz w:val="20"/>
                <w:szCs w:val="20"/>
                <w:lang w:val="uk-UA"/>
              </w:rPr>
              <w:t xml:space="preserve"> </w:t>
            </w:r>
            <w:r w:rsidR="00885BE7" w:rsidRPr="0069056E">
              <w:rPr>
                <w:rFonts w:ascii="Arial"/>
                <w:b/>
                <w:sz w:val="20"/>
                <w:szCs w:val="20"/>
                <w:lang w:val="uk-UA"/>
              </w:rPr>
              <w:t>калу</w:t>
            </w:r>
            <w:r w:rsidR="00885BE7" w:rsidRPr="0069056E">
              <w:rPr>
                <w:rFonts w:ascii="Arial"/>
                <w:b/>
                <w:sz w:val="20"/>
                <w:szCs w:val="20"/>
                <w:lang w:val="uk-UA"/>
              </w:rPr>
              <w:t xml:space="preserve"> </w:t>
            </w:r>
            <w:r w:rsidR="00885BE7" w:rsidRPr="0069056E">
              <w:rPr>
                <w:rFonts w:ascii="Arial"/>
                <w:b/>
                <w:sz w:val="20"/>
                <w:szCs w:val="20"/>
                <w:lang w:val="uk-UA"/>
              </w:rPr>
              <w:t>в</w:t>
            </w:r>
            <w:r w:rsidR="00885BE7" w:rsidRPr="0069056E">
              <w:rPr>
                <w:rFonts w:ascii="Arial"/>
                <w:b/>
                <w:sz w:val="20"/>
                <w:szCs w:val="20"/>
                <w:lang w:val="uk-UA"/>
              </w:rPr>
              <w:t xml:space="preserve"> </w:t>
            </w:r>
            <w:r w:rsidR="00885BE7" w:rsidRPr="0069056E">
              <w:rPr>
                <w:rFonts w:ascii="Arial"/>
                <w:b/>
                <w:sz w:val="20"/>
                <w:szCs w:val="20"/>
                <w:lang w:val="uk-UA"/>
              </w:rPr>
              <w:t>якості</w:t>
            </w:r>
            <w:r w:rsidR="00885BE7" w:rsidRPr="0069056E">
              <w:rPr>
                <w:rFonts w:ascii="Arial"/>
                <w:b/>
                <w:sz w:val="20"/>
                <w:szCs w:val="20"/>
                <w:lang w:val="uk-UA"/>
              </w:rPr>
              <w:t xml:space="preserve"> </w:t>
            </w:r>
            <w:r w:rsidR="00885BE7" w:rsidRPr="0069056E">
              <w:rPr>
                <w:rFonts w:ascii="Arial"/>
                <w:b/>
                <w:sz w:val="20"/>
                <w:szCs w:val="20"/>
                <w:lang w:val="uk-UA"/>
              </w:rPr>
              <w:t>стратегії</w:t>
            </w:r>
            <w:r w:rsidR="00885BE7" w:rsidRPr="0069056E">
              <w:rPr>
                <w:rFonts w:ascii="Arial"/>
                <w:b/>
                <w:sz w:val="20"/>
                <w:szCs w:val="20"/>
                <w:lang w:val="uk-UA"/>
              </w:rPr>
              <w:t xml:space="preserve"> </w:t>
            </w:r>
            <w:r w:rsidR="00885BE7" w:rsidRPr="0069056E">
              <w:rPr>
                <w:rFonts w:ascii="Arial"/>
                <w:b/>
                <w:sz w:val="20"/>
                <w:szCs w:val="20"/>
                <w:lang w:val="uk-UA"/>
              </w:rPr>
              <w:t>початкової</w:t>
            </w:r>
            <w:r w:rsidR="00885BE7" w:rsidRPr="0069056E">
              <w:rPr>
                <w:rFonts w:ascii="Arial"/>
                <w:b/>
                <w:sz w:val="20"/>
                <w:szCs w:val="20"/>
                <w:lang w:val="uk-UA"/>
              </w:rPr>
              <w:t xml:space="preserve"> </w:t>
            </w:r>
            <w:r w:rsidR="00885BE7" w:rsidRPr="0069056E">
              <w:rPr>
                <w:rFonts w:ascii="Arial"/>
                <w:b/>
                <w:sz w:val="20"/>
                <w:szCs w:val="20"/>
                <w:lang w:val="uk-UA"/>
              </w:rPr>
              <w:t>діагностики</w:t>
            </w:r>
            <w:r w:rsidR="00885BE7" w:rsidRPr="0069056E">
              <w:rPr>
                <w:rFonts w:ascii="Arial"/>
                <w:b/>
                <w:sz w:val="20"/>
                <w:szCs w:val="20"/>
                <w:lang w:val="uk-UA"/>
              </w:rPr>
              <w:t xml:space="preserve"> </w:t>
            </w:r>
            <w:r w:rsidR="00885BE7" w:rsidRPr="0069056E">
              <w:rPr>
                <w:rFonts w:ascii="Arial"/>
                <w:b/>
                <w:sz w:val="20"/>
                <w:szCs w:val="20"/>
                <w:lang w:val="uk-UA"/>
              </w:rPr>
              <w:t>ТБ</w:t>
            </w:r>
            <w:r w:rsidR="00885BE7" w:rsidRPr="0069056E">
              <w:rPr>
                <w:rFonts w:ascii="Arial"/>
                <w:b/>
                <w:sz w:val="20"/>
                <w:szCs w:val="20"/>
                <w:lang w:val="uk-UA"/>
              </w:rPr>
              <w:t xml:space="preserve"> </w:t>
            </w:r>
            <w:r w:rsidR="00885BE7" w:rsidRPr="0069056E">
              <w:rPr>
                <w:rFonts w:ascii="Arial"/>
                <w:b/>
                <w:sz w:val="20"/>
                <w:szCs w:val="20"/>
                <w:lang w:val="uk-UA"/>
              </w:rPr>
              <w:t>для</w:t>
            </w:r>
            <w:r w:rsidR="00885BE7" w:rsidRPr="0069056E">
              <w:rPr>
                <w:rFonts w:ascii="Arial"/>
                <w:b/>
                <w:sz w:val="20"/>
                <w:szCs w:val="20"/>
                <w:lang w:val="uk-UA"/>
              </w:rPr>
              <w:t xml:space="preserve"> </w:t>
            </w:r>
            <w:r w:rsidR="00885BE7" w:rsidRPr="0069056E">
              <w:rPr>
                <w:rFonts w:ascii="Arial"/>
                <w:b/>
                <w:sz w:val="20"/>
                <w:szCs w:val="20"/>
                <w:lang w:val="uk-UA"/>
              </w:rPr>
              <w:t>постановки</w:t>
            </w:r>
            <w:r w:rsidR="00885BE7" w:rsidRPr="0069056E">
              <w:rPr>
                <w:rFonts w:ascii="Arial"/>
                <w:b/>
                <w:sz w:val="20"/>
                <w:szCs w:val="20"/>
                <w:lang w:val="uk-UA"/>
              </w:rPr>
              <w:t xml:space="preserve"> </w:t>
            </w:r>
            <w:r w:rsidR="00885BE7" w:rsidRPr="0069056E">
              <w:rPr>
                <w:rFonts w:ascii="Arial"/>
                <w:b/>
                <w:sz w:val="20"/>
                <w:szCs w:val="20"/>
                <w:lang w:val="uk-UA"/>
              </w:rPr>
              <w:t>діагнозу</w:t>
            </w:r>
            <w:r w:rsidR="00885BE7" w:rsidRPr="0069056E">
              <w:rPr>
                <w:rFonts w:ascii="Arial"/>
                <w:b/>
                <w:sz w:val="20"/>
                <w:szCs w:val="20"/>
                <w:lang w:val="uk-UA"/>
              </w:rPr>
              <w:t xml:space="preserve">,  </w:t>
            </w:r>
            <w:r w:rsidR="00885BE7" w:rsidRPr="0069056E">
              <w:rPr>
                <w:rFonts w:ascii="Arial"/>
                <w:b/>
                <w:sz w:val="20"/>
                <w:szCs w:val="20"/>
                <w:lang w:val="uk-UA"/>
              </w:rPr>
              <w:t>а</w:t>
            </w:r>
            <w:r w:rsidR="00885BE7" w:rsidRPr="0069056E">
              <w:rPr>
                <w:rFonts w:ascii="Arial"/>
                <w:b/>
                <w:sz w:val="20"/>
                <w:szCs w:val="20"/>
                <w:lang w:val="uk-UA"/>
              </w:rPr>
              <w:t xml:space="preserve"> </w:t>
            </w:r>
            <w:r w:rsidR="00885BE7" w:rsidRPr="0069056E">
              <w:rPr>
                <w:rFonts w:ascii="Arial"/>
                <w:b/>
                <w:sz w:val="20"/>
                <w:szCs w:val="20"/>
                <w:lang w:val="uk-UA"/>
              </w:rPr>
              <w:t>не</w:t>
            </w:r>
            <w:r w:rsidR="00885BE7" w:rsidRPr="0069056E">
              <w:rPr>
                <w:rFonts w:ascii="Arial"/>
                <w:b/>
                <w:sz w:val="20"/>
                <w:szCs w:val="20"/>
                <w:lang w:val="uk-UA"/>
              </w:rPr>
              <w:t xml:space="preserve"> </w:t>
            </w:r>
            <w:r w:rsidR="00885BE7" w:rsidRPr="0069056E">
              <w:rPr>
                <w:rFonts w:ascii="Arial"/>
                <w:b/>
                <w:sz w:val="20"/>
                <w:szCs w:val="20"/>
                <w:lang w:val="uk-UA"/>
              </w:rPr>
              <w:t>лише</w:t>
            </w:r>
            <w:r w:rsidR="00885BE7" w:rsidRPr="0069056E">
              <w:rPr>
                <w:rFonts w:ascii="Arial"/>
                <w:b/>
                <w:sz w:val="20"/>
                <w:szCs w:val="20"/>
                <w:lang w:val="uk-UA"/>
              </w:rPr>
              <w:t xml:space="preserve"> </w:t>
            </w:r>
            <w:r w:rsidR="00885BE7" w:rsidRPr="0069056E">
              <w:rPr>
                <w:rFonts w:ascii="Arial"/>
                <w:b/>
                <w:sz w:val="20"/>
                <w:szCs w:val="20"/>
                <w:lang w:val="uk-UA"/>
              </w:rPr>
              <w:t>виконання</w:t>
            </w:r>
            <w:r w:rsidR="00885BE7" w:rsidRPr="0069056E">
              <w:rPr>
                <w:rFonts w:ascii="Arial"/>
                <w:b/>
                <w:sz w:val="20"/>
                <w:szCs w:val="20"/>
                <w:lang w:val="uk-UA"/>
              </w:rPr>
              <w:t xml:space="preserve"> </w:t>
            </w:r>
            <w:r w:rsidR="00885BE7" w:rsidRPr="0069056E">
              <w:rPr>
                <w:rFonts w:ascii="Arial"/>
                <w:b/>
                <w:sz w:val="20"/>
                <w:szCs w:val="20"/>
                <w:lang w:val="uk-UA"/>
              </w:rPr>
              <w:t>автоматизованих</w:t>
            </w:r>
            <w:r w:rsidR="00885BE7" w:rsidRPr="0069056E">
              <w:rPr>
                <w:rFonts w:ascii="Arial"/>
                <w:b/>
                <w:sz w:val="20"/>
                <w:szCs w:val="20"/>
                <w:lang w:val="uk-UA"/>
              </w:rPr>
              <w:t xml:space="preserve"> </w:t>
            </w:r>
            <w:r w:rsidR="00885BE7" w:rsidRPr="0069056E">
              <w:rPr>
                <w:rFonts w:ascii="Arial"/>
                <w:b/>
                <w:sz w:val="20"/>
                <w:szCs w:val="20"/>
                <w:lang w:val="uk-UA"/>
              </w:rPr>
              <w:t>ТАНК</w:t>
            </w:r>
            <w:r w:rsidR="00885BE7" w:rsidRPr="0069056E">
              <w:rPr>
                <w:rFonts w:ascii="Arial"/>
                <w:b/>
                <w:sz w:val="20"/>
                <w:szCs w:val="20"/>
                <w:lang w:val="uk-UA"/>
              </w:rPr>
              <w:t xml:space="preserve"> </w:t>
            </w:r>
            <w:r w:rsidR="00885BE7" w:rsidRPr="0069056E">
              <w:rPr>
                <w:rFonts w:ascii="Arial"/>
                <w:b/>
                <w:sz w:val="20"/>
                <w:szCs w:val="20"/>
                <w:lang w:val="uk-UA"/>
              </w:rPr>
              <w:t>низької</w:t>
            </w:r>
            <w:r w:rsidR="00885BE7" w:rsidRPr="0069056E">
              <w:rPr>
                <w:rFonts w:ascii="Arial"/>
                <w:b/>
                <w:sz w:val="20"/>
                <w:szCs w:val="20"/>
                <w:lang w:val="uk-UA"/>
              </w:rPr>
              <w:t xml:space="preserve"> </w:t>
            </w:r>
            <w:r w:rsidR="00885BE7" w:rsidRPr="0069056E">
              <w:rPr>
                <w:rFonts w:ascii="Arial"/>
                <w:b/>
                <w:sz w:val="20"/>
                <w:szCs w:val="20"/>
                <w:lang w:val="uk-UA"/>
              </w:rPr>
              <w:t>складності</w:t>
            </w:r>
            <w:r w:rsidR="00885BE7" w:rsidRPr="0069056E">
              <w:rPr>
                <w:rFonts w:ascii="Arial"/>
                <w:b/>
                <w:sz w:val="20"/>
                <w:szCs w:val="20"/>
                <w:lang w:val="uk-UA"/>
              </w:rPr>
              <w:t xml:space="preserve"> </w:t>
            </w:r>
            <w:r w:rsidR="00885BE7" w:rsidRPr="0069056E">
              <w:rPr>
                <w:rFonts w:ascii="Arial"/>
                <w:b/>
                <w:sz w:val="20"/>
                <w:szCs w:val="20"/>
                <w:lang w:val="uk-UA"/>
              </w:rPr>
              <w:t>на</w:t>
            </w:r>
            <w:r w:rsidR="00885BE7" w:rsidRPr="0069056E">
              <w:rPr>
                <w:rFonts w:ascii="Arial"/>
                <w:b/>
                <w:sz w:val="20"/>
                <w:szCs w:val="20"/>
                <w:lang w:val="uk-UA"/>
              </w:rPr>
              <w:t xml:space="preserve"> </w:t>
            </w:r>
            <w:r w:rsidR="00885BE7" w:rsidRPr="0069056E">
              <w:rPr>
                <w:rFonts w:ascii="Arial"/>
                <w:b/>
                <w:sz w:val="20"/>
                <w:szCs w:val="20"/>
                <w:lang w:val="uk-UA"/>
              </w:rPr>
              <w:t>зразках</w:t>
            </w:r>
            <w:r w:rsidR="00885BE7" w:rsidRPr="0069056E">
              <w:rPr>
                <w:rFonts w:ascii="Arial"/>
                <w:b/>
                <w:sz w:val="20"/>
                <w:szCs w:val="20"/>
                <w:lang w:val="uk-UA"/>
              </w:rPr>
              <w:t xml:space="preserve"> </w:t>
            </w:r>
            <w:r w:rsidR="00885BE7" w:rsidRPr="0069056E">
              <w:rPr>
                <w:rFonts w:ascii="Arial"/>
                <w:b/>
                <w:sz w:val="20"/>
                <w:szCs w:val="20"/>
                <w:lang w:val="uk-UA"/>
              </w:rPr>
              <w:t>із</w:t>
            </w:r>
            <w:r w:rsidR="00885BE7" w:rsidRPr="0069056E">
              <w:rPr>
                <w:rFonts w:ascii="Arial"/>
                <w:b/>
                <w:sz w:val="20"/>
                <w:szCs w:val="20"/>
                <w:lang w:val="uk-UA"/>
              </w:rPr>
              <w:t xml:space="preserve"> </w:t>
            </w:r>
            <w:r w:rsidR="00885BE7" w:rsidRPr="0069056E">
              <w:rPr>
                <w:rFonts w:ascii="Arial"/>
                <w:b/>
                <w:sz w:val="20"/>
                <w:szCs w:val="20"/>
                <w:lang w:val="uk-UA"/>
              </w:rPr>
              <w:t>дихальних</w:t>
            </w:r>
            <w:r w:rsidR="00885BE7" w:rsidRPr="0069056E">
              <w:rPr>
                <w:rFonts w:ascii="Arial"/>
                <w:b/>
                <w:sz w:val="20"/>
                <w:szCs w:val="20"/>
                <w:lang w:val="uk-UA"/>
              </w:rPr>
              <w:t xml:space="preserve"> </w:t>
            </w:r>
            <w:r w:rsidR="00885BE7" w:rsidRPr="0069056E">
              <w:rPr>
                <w:rFonts w:ascii="Arial"/>
                <w:b/>
                <w:sz w:val="20"/>
                <w:szCs w:val="20"/>
                <w:lang w:val="uk-UA"/>
              </w:rPr>
              <w:t>шляхів</w:t>
            </w:r>
            <w:r w:rsidR="00885BE7" w:rsidRPr="0069056E">
              <w:rPr>
                <w:rFonts w:ascii="Arial"/>
                <w:b/>
                <w:sz w:val="20"/>
                <w:szCs w:val="20"/>
                <w:lang w:val="uk-UA"/>
              </w:rPr>
              <w:t xml:space="preserve"> </w:t>
            </w:r>
            <w:r w:rsidR="00885BE7" w:rsidRPr="0069056E">
              <w:rPr>
                <w:rFonts w:ascii="Arial"/>
                <w:b/>
                <w:sz w:val="20"/>
                <w:szCs w:val="20"/>
                <w:lang w:val="uk-UA"/>
              </w:rPr>
              <w:t>або</w:t>
            </w:r>
            <w:r w:rsidR="00885BE7" w:rsidRPr="0069056E">
              <w:rPr>
                <w:rFonts w:ascii="Arial"/>
                <w:b/>
                <w:sz w:val="20"/>
                <w:szCs w:val="20"/>
                <w:lang w:val="uk-UA"/>
              </w:rPr>
              <w:t xml:space="preserve"> </w:t>
            </w:r>
            <w:r w:rsidR="00885BE7" w:rsidRPr="0069056E">
              <w:rPr>
                <w:rFonts w:ascii="Arial"/>
                <w:b/>
                <w:sz w:val="20"/>
                <w:szCs w:val="20"/>
                <w:lang w:val="uk-UA"/>
              </w:rPr>
              <w:t>на</w:t>
            </w:r>
            <w:r w:rsidR="00885BE7" w:rsidRPr="0069056E">
              <w:rPr>
                <w:rFonts w:ascii="Arial"/>
                <w:b/>
                <w:sz w:val="20"/>
                <w:szCs w:val="20"/>
                <w:lang w:val="uk-UA"/>
              </w:rPr>
              <w:t xml:space="preserve"> </w:t>
            </w:r>
            <w:r w:rsidR="00885BE7" w:rsidRPr="0069056E">
              <w:rPr>
                <w:rFonts w:ascii="Arial"/>
                <w:b/>
                <w:sz w:val="20"/>
                <w:szCs w:val="20"/>
                <w:lang w:val="uk-UA"/>
              </w:rPr>
              <w:t>зразках</w:t>
            </w:r>
            <w:r w:rsidR="00885BE7" w:rsidRPr="0069056E">
              <w:rPr>
                <w:rFonts w:ascii="Arial"/>
                <w:b/>
                <w:sz w:val="20"/>
                <w:szCs w:val="20"/>
                <w:lang w:val="uk-UA"/>
              </w:rPr>
              <w:t xml:space="preserve"> </w:t>
            </w:r>
            <w:r w:rsidR="00885BE7" w:rsidRPr="0069056E">
              <w:rPr>
                <w:rFonts w:ascii="Arial"/>
                <w:b/>
                <w:sz w:val="20"/>
                <w:szCs w:val="20"/>
                <w:lang w:val="uk-UA"/>
              </w:rPr>
              <w:t>калу</w:t>
            </w:r>
            <w:r w:rsidR="00885BE7" w:rsidRPr="0069056E">
              <w:rPr>
                <w:rFonts w:ascii="Arial"/>
                <w:b/>
                <w:sz w:val="20"/>
                <w:szCs w:val="20"/>
                <w:lang w:val="uk-UA"/>
              </w:rPr>
              <w:t xml:space="preserve"> </w:t>
            </w:r>
            <w:r w:rsidR="00885BE7" w:rsidRPr="0069056E">
              <w:rPr>
                <w:rFonts w:ascii="Arial"/>
                <w:b/>
                <w:sz w:val="20"/>
                <w:szCs w:val="20"/>
                <w:lang w:val="uk-UA"/>
              </w:rPr>
              <w:t>окремо</w:t>
            </w:r>
            <w:r w:rsidR="00885BE7" w:rsidRPr="0069056E">
              <w:rPr>
                <w:rFonts w:ascii="Arial"/>
                <w:b/>
                <w:sz w:val="20"/>
                <w:szCs w:val="20"/>
                <w:lang w:val="uk-UA"/>
              </w:rPr>
              <w:t>.</w:t>
            </w:r>
          </w:p>
          <w:p w14:paraId="6DB56423" w14:textId="10FBA16B" w:rsidR="00E05B98" w:rsidRPr="0069056E" w:rsidRDefault="00B01E0C" w:rsidP="00877388">
            <w:pPr>
              <w:pStyle w:val="TableParagraph"/>
              <w:spacing w:before="51" w:line="269" w:lineRule="auto"/>
              <w:ind w:left="680"/>
              <w:jc w:val="both"/>
              <w:rPr>
                <w:rFonts w:ascii="Arial"/>
                <w:i/>
                <w:sz w:val="20"/>
                <w:szCs w:val="20"/>
                <w:lang w:val="uk-UA"/>
              </w:rPr>
            </w:pPr>
            <w:r w:rsidRPr="0069056E">
              <w:rPr>
                <w:rFonts w:ascii="Arial"/>
                <w:i/>
                <w:sz w:val="20"/>
                <w:szCs w:val="20"/>
                <w:lang w:val="uk-UA"/>
              </w:rPr>
              <w:t>(</w:t>
            </w:r>
            <w:r w:rsidR="00885BE7" w:rsidRPr="0069056E">
              <w:rPr>
                <w:rFonts w:ascii="Arial"/>
                <w:i/>
                <w:sz w:val="20"/>
                <w:szCs w:val="20"/>
                <w:lang w:val="uk-UA"/>
              </w:rPr>
              <w:t>Настійна</w:t>
            </w:r>
            <w:r w:rsidR="00885BE7" w:rsidRPr="0069056E">
              <w:rPr>
                <w:rFonts w:ascii="Arial"/>
                <w:i/>
                <w:sz w:val="20"/>
                <w:szCs w:val="20"/>
                <w:lang w:val="uk-UA"/>
              </w:rPr>
              <w:t xml:space="preserve"> </w:t>
            </w:r>
            <w:r w:rsidR="00885BE7" w:rsidRPr="0069056E">
              <w:rPr>
                <w:rFonts w:ascii="Arial"/>
                <w:i/>
                <w:sz w:val="20"/>
                <w:szCs w:val="20"/>
                <w:lang w:val="uk-UA"/>
              </w:rPr>
              <w:t>рекомендація</w:t>
            </w:r>
            <w:r w:rsidR="00885BE7" w:rsidRPr="0069056E">
              <w:rPr>
                <w:rFonts w:ascii="Arial"/>
                <w:i/>
                <w:sz w:val="20"/>
                <w:szCs w:val="20"/>
                <w:lang w:val="uk-UA"/>
              </w:rPr>
              <w:t xml:space="preserve">, </w:t>
            </w:r>
            <w:r w:rsidR="00885BE7" w:rsidRPr="0069056E">
              <w:rPr>
                <w:rFonts w:ascii="Arial"/>
                <w:i/>
                <w:sz w:val="20"/>
                <w:szCs w:val="20"/>
                <w:lang w:val="uk-UA"/>
              </w:rPr>
              <w:t>низьк</w:t>
            </w:r>
            <w:r w:rsidR="0069056E">
              <w:rPr>
                <w:rFonts w:ascii="Arial"/>
                <w:i/>
                <w:sz w:val="20"/>
                <w:szCs w:val="20"/>
                <w:lang w:val="uk-UA"/>
              </w:rPr>
              <w:t>ий</w:t>
            </w:r>
            <w:r w:rsidR="0069056E">
              <w:rPr>
                <w:rFonts w:ascii="Arial"/>
                <w:i/>
                <w:sz w:val="20"/>
                <w:szCs w:val="20"/>
                <w:lang w:val="uk-UA"/>
              </w:rPr>
              <w:t xml:space="preserve"> </w:t>
            </w:r>
            <w:r w:rsidR="0069056E">
              <w:rPr>
                <w:rFonts w:ascii="Arial"/>
                <w:i/>
                <w:sz w:val="20"/>
                <w:szCs w:val="20"/>
                <w:lang w:val="uk-UA"/>
              </w:rPr>
              <w:t>ступінь</w:t>
            </w:r>
            <w:r w:rsidR="00885BE7" w:rsidRPr="0069056E">
              <w:rPr>
                <w:rFonts w:ascii="Arial"/>
                <w:i/>
                <w:sz w:val="20"/>
                <w:szCs w:val="20"/>
                <w:lang w:val="uk-UA"/>
              </w:rPr>
              <w:t xml:space="preserve"> </w:t>
            </w:r>
            <w:r w:rsidR="00885BE7" w:rsidRPr="0069056E">
              <w:rPr>
                <w:rFonts w:ascii="Arial"/>
                <w:i/>
                <w:sz w:val="20"/>
                <w:szCs w:val="20"/>
                <w:lang w:val="uk-UA"/>
              </w:rPr>
              <w:t>достовірн</w:t>
            </w:r>
            <w:r w:rsidR="0069056E">
              <w:rPr>
                <w:rFonts w:ascii="Arial"/>
                <w:i/>
                <w:sz w:val="20"/>
                <w:szCs w:val="20"/>
                <w:lang w:val="uk-UA"/>
              </w:rPr>
              <w:t>ості</w:t>
            </w:r>
            <w:r w:rsidR="00885BE7" w:rsidRPr="0069056E">
              <w:rPr>
                <w:rFonts w:ascii="Arial"/>
                <w:i/>
                <w:sz w:val="20"/>
                <w:szCs w:val="20"/>
                <w:lang w:val="uk-UA"/>
              </w:rPr>
              <w:t xml:space="preserve"> </w:t>
            </w:r>
            <w:r w:rsidR="00885BE7" w:rsidRPr="0069056E">
              <w:rPr>
                <w:rFonts w:ascii="Arial"/>
                <w:i/>
                <w:sz w:val="20"/>
                <w:szCs w:val="20"/>
                <w:lang w:val="uk-UA"/>
              </w:rPr>
              <w:t>доказів</w:t>
            </w:r>
            <w:r w:rsidR="00885BE7" w:rsidRPr="0069056E">
              <w:rPr>
                <w:rFonts w:ascii="Arial"/>
                <w:i/>
                <w:sz w:val="20"/>
                <w:szCs w:val="20"/>
                <w:lang w:val="uk-UA"/>
              </w:rPr>
              <w:t xml:space="preserve"> </w:t>
            </w:r>
            <w:r w:rsidR="00885BE7" w:rsidRPr="0069056E">
              <w:rPr>
                <w:rFonts w:ascii="Arial"/>
                <w:i/>
                <w:sz w:val="20"/>
                <w:szCs w:val="20"/>
                <w:lang w:val="uk-UA"/>
              </w:rPr>
              <w:t>точності</w:t>
            </w:r>
            <w:r w:rsidR="00885BE7" w:rsidRPr="0069056E">
              <w:rPr>
                <w:rFonts w:ascii="Arial"/>
                <w:i/>
                <w:sz w:val="20"/>
                <w:szCs w:val="20"/>
                <w:lang w:val="uk-UA"/>
              </w:rPr>
              <w:t xml:space="preserve"> </w:t>
            </w:r>
            <w:r w:rsidR="00885BE7" w:rsidRPr="0069056E">
              <w:rPr>
                <w:rFonts w:ascii="Arial"/>
                <w:i/>
                <w:sz w:val="20"/>
                <w:szCs w:val="20"/>
                <w:lang w:val="uk-UA"/>
              </w:rPr>
              <w:t>тесту</w:t>
            </w:r>
            <w:r w:rsidRPr="0069056E">
              <w:rPr>
                <w:rFonts w:ascii="Arial"/>
                <w:i/>
                <w:spacing w:val="-2"/>
                <w:sz w:val="20"/>
                <w:szCs w:val="20"/>
                <w:lang w:val="uk-UA"/>
              </w:rPr>
              <w:t>)</w:t>
            </w:r>
          </w:p>
        </w:tc>
      </w:tr>
    </w:tbl>
    <w:p w14:paraId="4C925DBE" w14:textId="77777777" w:rsidR="00E05B98" w:rsidRPr="003C6DAE" w:rsidRDefault="00E05B98" w:rsidP="00877388">
      <w:pPr>
        <w:pStyle w:val="TableParagraph"/>
        <w:spacing w:line="269" w:lineRule="auto"/>
        <w:jc w:val="both"/>
        <w:rPr>
          <w:rFonts w:ascii="Arial"/>
          <w:i/>
          <w:lang w:val="uk-UA"/>
        </w:rPr>
        <w:sectPr w:rsidR="00E05B98" w:rsidRPr="003C6DAE" w:rsidSect="00877388">
          <w:pgSz w:w="11910" w:h="16840"/>
          <w:pgMar w:top="1320" w:right="853" w:bottom="760" w:left="850" w:header="0" w:footer="573" w:gutter="0"/>
          <w:cols w:space="720"/>
        </w:sectPr>
      </w:pPr>
    </w:p>
    <w:p w14:paraId="2623101A" w14:textId="4491023E" w:rsidR="00E05B98" w:rsidRPr="00DA5A55" w:rsidRDefault="00DA5A55" w:rsidP="00877388">
      <w:pPr>
        <w:pStyle w:val="6"/>
        <w:spacing w:line="269" w:lineRule="auto"/>
        <w:rPr>
          <w:sz w:val="22"/>
          <w:szCs w:val="22"/>
          <w:lang w:val="uk-UA"/>
        </w:rPr>
      </w:pPr>
      <w:r w:rsidRPr="00DA5A55">
        <w:rPr>
          <w:spacing w:val="-2"/>
          <w:sz w:val="22"/>
          <w:szCs w:val="22"/>
          <w:lang w:val="uk-UA"/>
        </w:rPr>
        <w:lastRenderedPageBreak/>
        <w:t>Примітки</w:t>
      </w:r>
    </w:p>
    <w:p w14:paraId="2A2D7343" w14:textId="4D1AAD7A" w:rsidR="00E05B98" w:rsidRPr="00885BE7" w:rsidRDefault="00F827CA" w:rsidP="004A2937">
      <w:pPr>
        <w:pStyle w:val="a4"/>
        <w:numPr>
          <w:ilvl w:val="3"/>
          <w:numId w:val="31"/>
        </w:numPr>
        <w:tabs>
          <w:tab w:val="left" w:pos="850"/>
        </w:tabs>
        <w:spacing w:before="227" w:line="269" w:lineRule="auto"/>
        <w:ind w:right="140" w:hanging="284"/>
        <w:rPr>
          <w:sz w:val="20"/>
          <w:szCs w:val="20"/>
          <w:lang w:val="uk-UA"/>
        </w:rPr>
      </w:pPr>
      <w:r w:rsidRPr="00F827CA">
        <w:rPr>
          <w:sz w:val="20"/>
          <w:szCs w:val="20"/>
          <w:lang w:val="uk-UA"/>
        </w:rPr>
        <w:t>Ця рекомендація надає пріоритет одночасному тестуванню двох різних типів зразків над використанням одного молекулярного тесту для діагностики туберкульозу у дітей.</w:t>
      </w:r>
    </w:p>
    <w:p w14:paraId="3A0453E1" w14:textId="5557C864" w:rsidR="00025AD2" w:rsidRDefault="00025AD2" w:rsidP="004A2937">
      <w:pPr>
        <w:pStyle w:val="a4"/>
        <w:numPr>
          <w:ilvl w:val="3"/>
          <w:numId w:val="31"/>
        </w:numPr>
        <w:tabs>
          <w:tab w:val="left" w:pos="850"/>
        </w:tabs>
        <w:spacing w:before="5" w:line="269" w:lineRule="auto"/>
        <w:ind w:right="134" w:hanging="284"/>
        <w:rPr>
          <w:sz w:val="20"/>
          <w:szCs w:val="20"/>
          <w:lang w:val="uk-UA"/>
        </w:rPr>
      </w:pPr>
      <w:r w:rsidRPr="00025AD2">
        <w:rPr>
          <w:sz w:val="20"/>
          <w:szCs w:val="20"/>
          <w:lang w:val="uk-UA"/>
        </w:rPr>
        <w:t xml:space="preserve">Також було оцінено використання аТАНК-НС на </w:t>
      </w:r>
      <w:r w:rsidR="00AF59EB">
        <w:rPr>
          <w:sz w:val="20"/>
          <w:szCs w:val="20"/>
          <w:lang w:val="uk-UA"/>
        </w:rPr>
        <w:t>окремих</w:t>
      </w:r>
      <w:r w:rsidRPr="00025AD2">
        <w:rPr>
          <w:sz w:val="20"/>
          <w:szCs w:val="20"/>
          <w:lang w:val="uk-UA"/>
        </w:rPr>
        <w:t xml:space="preserve"> зразках. Результати підтвердили доцільність використання аТАНК-НС  для початкового діагностичного тестування на ТБ у дітей з ознаками або симптомами </w:t>
      </w:r>
      <w:r w:rsidR="00AF59EB">
        <w:rPr>
          <w:sz w:val="20"/>
          <w:szCs w:val="20"/>
          <w:lang w:val="uk-UA"/>
        </w:rPr>
        <w:t>ТБ чи</w:t>
      </w:r>
      <w:r w:rsidRPr="00025AD2">
        <w:rPr>
          <w:sz w:val="20"/>
          <w:szCs w:val="20"/>
          <w:lang w:val="uk-UA"/>
        </w:rPr>
        <w:t xml:space="preserve"> з позитивним результатом скринінгу на ТБ легень з використанням зразків із дихальних шляхів, зразків шлункового аспірату, кал</w:t>
      </w:r>
      <w:r w:rsidR="00AF59EB">
        <w:rPr>
          <w:sz w:val="20"/>
          <w:szCs w:val="20"/>
          <w:lang w:val="uk-UA"/>
        </w:rPr>
        <w:t>у</w:t>
      </w:r>
      <w:r w:rsidRPr="00025AD2">
        <w:rPr>
          <w:sz w:val="20"/>
          <w:szCs w:val="20"/>
          <w:lang w:val="uk-UA"/>
        </w:rPr>
        <w:t xml:space="preserve"> </w:t>
      </w:r>
      <w:r w:rsidR="00AF59EB">
        <w:rPr>
          <w:sz w:val="20"/>
          <w:szCs w:val="20"/>
          <w:lang w:val="uk-UA"/>
        </w:rPr>
        <w:t>чи</w:t>
      </w:r>
      <w:r w:rsidRPr="00025AD2">
        <w:rPr>
          <w:sz w:val="20"/>
          <w:szCs w:val="20"/>
          <w:lang w:val="uk-UA"/>
        </w:rPr>
        <w:t xml:space="preserve"> аспірату з носоглотки, замість мазка або бакпосіву.</w:t>
      </w:r>
    </w:p>
    <w:p w14:paraId="4FFB3F15" w14:textId="5C3CD7AC" w:rsidR="00E05B98" w:rsidRPr="00885BE7" w:rsidRDefault="00155AAC" w:rsidP="004A2937">
      <w:pPr>
        <w:pStyle w:val="a4"/>
        <w:numPr>
          <w:ilvl w:val="3"/>
          <w:numId w:val="31"/>
        </w:numPr>
        <w:tabs>
          <w:tab w:val="left" w:pos="850"/>
        </w:tabs>
        <w:spacing w:before="5" w:line="269" w:lineRule="auto"/>
        <w:ind w:right="134" w:hanging="284"/>
        <w:rPr>
          <w:sz w:val="20"/>
          <w:szCs w:val="20"/>
          <w:lang w:val="uk-UA"/>
        </w:rPr>
      </w:pPr>
      <w:r w:rsidRPr="00155AAC">
        <w:rPr>
          <w:sz w:val="20"/>
          <w:szCs w:val="20"/>
          <w:lang w:val="uk-UA"/>
        </w:rPr>
        <w:t xml:space="preserve">Ця рекомендація є настійною, незважаючи на низьку достовірність доказів, оскільки отримані дані свідчать про значні бажані ефекти (наприклад, швидка і точна діагностика ТБ у високо вразливій групі населення - дітей, у яких діагностика ТБ часто є складним завданням) порівняно з незначними небажаними ефектами (наприклад, негативними наслідками такої стратегії тестування) (для більш детальної інформації див. таблицю «Докази для прийняття рішення» (EtD) за шкалою GRADE, </w:t>
      </w:r>
      <w:r w:rsidRPr="00155AAC">
        <w:rPr>
          <w:b/>
          <w:bCs/>
          <w:sz w:val="20"/>
          <w:szCs w:val="20"/>
          <w:lang w:val="uk-UA"/>
        </w:rPr>
        <w:t>веб-додаток A.4</w:t>
      </w:r>
      <w:r w:rsidRPr="00155AAC">
        <w:rPr>
          <w:sz w:val="20"/>
          <w:szCs w:val="20"/>
          <w:lang w:val="uk-UA"/>
        </w:rPr>
        <w:t>).</w:t>
      </w:r>
    </w:p>
    <w:p w14:paraId="74AFE430" w14:textId="787E0089" w:rsidR="00E05B98" w:rsidRPr="003C6DAE" w:rsidRDefault="00155AAC" w:rsidP="004A2937">
      <w:pPr>
        <w:pStyle w:val="a4"/>
        <w:numPr>
          <w:ilvl w:val="3"/>
          <w:numId w:val="31"/>
        </w:numPr>
        <w:tabs>
          <w:tab w:val="left" w:pos="850"/>
        </w:tabs>
        <w:spacing w:before="1" w:line="269" w:lineRule="auto"/>
        <w:ind w:right="136" w:hanging="284"/>
        <w:rPr>
          <w:lang w:val="uk-UA"/>
        </w:rPr>
      </w:pPr>
      <w:r w:rsidRPr="00155AAC">
        <w:rPr>
          <w:w w:val="105"/>
          <w:sz w:val="20"/>
          <w:szCs w:val="20"/>
          <w:lang w:val="uk-UA"/>
        </w:rPr>
        <w:t xml:space="preserve">Продукт, дані </w:t>
      </w:r>
      <w:r w:rsidR="00AF59EB">
        <w:rPr>
          <w:w w:val="105"/>
          <w:sz w:val="20"/>
          <w:szCs w:val="20"/>
          <w:lang w:val="uk-UA"/>
        </w:rPr>
        <w:t xml:space="preserve">щодо </w:t>
      </w:r>
      <w:r w:rsidRPr="00155AAC">
        <w:rPr>
          <w:w w:val="105"/>
          <w:sz w:val="20"/>
          <w:szCs w:val="20"/>
          <w:lang w:val="uk-UA"/>
        </w:rPr>
        <w:t>якого відповідають критеріям ефективності на основі класу аТАНК-НС для цієї рекомендації, був тест Xpert MTB/RIF Ultra. Ефективність тестів Truenat MTB Plus та MTB-RIF Dx для цієї рекомендації не вдалося оцінити, оскільки дані були недоступні.</w:t>
      </w:r>
    </w:p>
    <w:p w14:paraId="1AD2044B" w14:textId="77777777" w:rsidR="00E05B98" w:rsidRPr="003C6DAE" w:rsidRDefault="00E05B98" w:rsidP="00A3753A">
      <w:pPr>
        <w:pStyle w:val="a3"/>
        <w:spacing w:before="9" w:line="269" w:lineRule="auto"/>
        <w:rPr>
          <w:lang w:val="uk-UA"/>
        </w:rPr>
      </w:pPr>
    </w:p>
    <w:p w14:paraId="05FB78A8" w14:textId="3FD04C61" w:rsidR="00E05B98" w:rsidRPr="00155AAC" w:rsidRDefault="00155AAC" w:rsidP="00A3753A">
      <w:pPr>
        <w:pStyle w:val="5"/>
        <w:spacing w:line="269" w:lineRule="auto"/>
        <w:rPr>
          <w:sz w:val="26"/>
          <w:szCs w:val="26"/>
          <w:lang w:val="uk-UA"/>
        </w:rPr>
      </w:pPr>
      <w:r w:rsidRPr="00155AAC">
        <w:rPr>
          <w:color w:val="019648"/>
          <w:sz w:val="26"/>
          <w:szCs w:val="26"/>
          <w:lang w:val="uk-UA"/>
        </w:rPr>
        <w:t>Обґрунтування та докази</w:t>
      </w:r>
    </w:p>
    <w:p w14:paraId="1B507C7B" w14:textId="460BD423" w:rsidR="00E05B98" w:rsidRPr="00885BE7" w:rsidRDefault="00155AAC" w:rsidP="00A3753A">
      <w:pPr>
        <w:pStyle w:val="a3"/>
        <w:spacing w:before="219" w:line="269" w:lineRule="auto"/>
        <w:ind w:left="567"/>
        <w:jc w:val="both"/>
        <w:rPr>
          <w:sz w:val="20"/>
          <w:szCs w:val="20"/>
          <w:lang w:val="uk-UA"/>
        </w:rPr>
      </w:pPr>
      <w:r w:rsidRPr="00155AAC">
        <w:rPr>
          <w:spacing w:val="-2"/>
          <w:sz w:val="20"/>
          <w:szCs w:val="20"/>
          <w:lang w:val="uk-UA"/>
        </w:rPr>
        <w:t xml:space="preserve">Тести аТАНК-НС на зразках </w:t>
      </w:r>
      <w:r w:rsidR="00AF59EB">
        <w:rPr>
          <w:spacing w:val="-2"/>
          <w:sz w:val="20"/>
          <w:szCs w:val="20"/>
          <w:lang w:val="uk-UA"/>
        </w:rPr>
        <w:t xml:space="preserve">із </w:t>
      </w:r>
      <w:r w:rsidRPr="00155AAC">
        <w:rPr>
          <w:spacing w:val="-2"/>
          <w:sz w:val="20"/>
          <w:szCs w:val="20"/>
          <w:lang w:val="uk-UA"/>
        </w:rPr>
        <w:t>дихальних шляхів та калу рекомендуються в якості першого тесту для симптоматичних дітей з ймовірним захворюванням на ТБ і широко використовуються для діагностики ТБ.</w:t>
      </w:r>
    </w:p>
    <w:p w14:paraId="79C43E0A" w14:textId="6895F5B0" w:rsidR="00E05B98" w:rsidRPr="00885BE7" w:rsidRDefault="00155AAC" w:rsidP="00A3753A">
      <w:pPr>
        <w:pStyle w:val="a3"/>
        <w:spacing w:before="172" w:line="269" w:lineRule="auto"/>
        <w:ind w:left="567"/>
        <w:jc w:val="both"/>
        <w:rPr>
          <w:sz w:val="20"/>
          <w:szCs w:val="20"/>
          <w:lang w:val="uk-UA"/>
        </w:rPr>
      </w:pPr>
      <w:r w:rsidRPr="00155AAC">
        <w:rPr>
          <w:spacing w:val="-2"/>
          <w:sz w:val="20"/>
          <w:szCs w:val="20"/>
          <w:lang w:val="uk-UA"/>
        </w:rPr>
        <w:t>Попередні систематичні огляди традиційно оцінювали діагностичну точність аТАНК-НС на двох зразках окремо для виявлення ТБ у дітей, але в клінічній практиці тести можуть використовувати одночасно (наприклад, аТАНК-НС на зразку з дихальних шляхів і зразку калу), і разом вони підвищують чутливість.</w:t>
      </w:r>
    </w:p>
    <w:p w14:paraId="788D1125" w14:textId="09DAEF20" w:rsidR="00E05B98" w:rsidRPr="003C6DAE" w:rsidRDefault="00372D96" w:rsidP="00A3753A">
      <w:pPr>
        <w:pStyle w:val="7"/>
        <w:spacing w:before="187" w:line="269" w:lineRule="auto"/>
        <w:jc w:val="both"/>
        <w:rPr>
          <w:lang w:val="uk-UA"/>
        </w:rPr>
      </w:pPr>
      <w:r>
        <w:rPr>
          <w:color w:val="019648"/>
          <w:lang w:val="uk-UA"/>
        </w:rPr>
        <w:t>Інкрементна</w:t>
      </w:r>
      <w:r w:rsidR="003512DC" w:rsidRPr="004A5D79">
        <w:rPr>
          <w:color w:val="019648"/>
          <w:lang w:val="uk-UA"/>
        </w:rPr>
        <w:t xml:space="preserve"> точн</w:t>
      </w:r>
      <w:r>
        <w:rPr>
          <w:color w:val="019648"/>
          <w:lang w:val="uk-UA"/>
        </w:rPr>
        <w:t xml:space="preserve">ість </w:t>
      </w:r>
      <w:r w:rsidR="003512DC" w:rsidRPr="004A5D79">
        <w:rPr>
          <w:color w:val="019648"/>
          <w:lang w:val="uk-UA"/>
        </w:rPr>
        <w:t xml:space="preserve">діагностики при </w:t>
      </w:r>
      <w:r w:rsidR="00FE30C5" w:rsidRPr="004A5D79">
        <w:rPr>
          <w:color w:val="019648"/>
          <w:lang w:val="uk-UA"/>
        </w:rPr>
        <w:t>одночасному</w:t>
      </w:r>
      <w:r w:rsidR="003512DC" w:rsidRPr="004A5D79">
        <w:rPr>
          <w:color w:val="019648"/>
          <w:lang w:val="uk-UA"/>
        </w:rPr>
        <w:t xml:space="preserve"> тестуванні кількох зразків порівняно з </w:t>
      </w:r>
      <w:r w:rsidR="00FE30C5" w:rsidRPr="004A5D79">
        <w:rPr>
          <w:color w:val="019648"/>
          <w:lang w:val="uk-UA"/>
        </w:rPr>
        <w:t>дослідження</w:t>
      </w:r>
      <w:r w:rsidR="003512DC" w:rsidRPr="004A5D79">
        <w:rPr>
          <w:color w:val="019648"/>
          <w:lang w:val="uk-UA"/>
        </w:rPr>
        <w:t xml:space="preserve"> одного зразку</w:t>
      </w:r>
    </w:p>
    <w:p w14:paraId="56D7C109" w14:textId="029FEC15" w:rsidR="00E05B98" w:rsidRPr="00FE30C5" w:rsidRDefault="004F4274" w:rsidP="00FE30C5">
      <w:pPr>
        <w:spacing w:before="229"/>
        <w:ind w:left="567"/>
        <w:jc w:val="both"/>
        <w:rPr>
          <w:rFonts w:ascii="Arial"/>
          <w:i/>
          <w:lang w:val="uk-UA"/>
        </w:rPr>
      </w:pPr>
      <w:r w:rsidRPr="00FE30C5">
        <w:rPr>
          <w:rFonts w:ascii="Arial"/>
          <w:i/>
          <w:color w:val="019648"/>
          <w:lang w:val="uk-UA"/>
        </w:rPr>
        <w:t>Як</w:t>
      </w:r>
      <w:r w:rsidR="004A5D79">
        <w:rPr>
          <w:rFonts w:ascii="Arial"/>
          <w:i/>
          <w:color w:val="019648"/>
          <w:lang w:val="uk-UA"/>
        </w:rPr>
        <w:t>ою</w:t>
      </w:r>
      <w:r w:rsidR="004A5D79">
        <w:rPr>
          <w:rFonts w:ascii="Arial"/>
          <w:i/>
          <w:color w:val="019648"/>
          <w:lang w:val="uk-UA"/>
        </w:rPr>
        <w:t xml:space="preserve"> </w:t>
      </w:r>
      <w:r w:rsidR="004A5D79">
        <w:rPr>
          <w:rFonts w:ascii="Arial"/>
          <w:i/>
          <w:color w:val="019648"/>
          <w:lang w:val="uk-UA"/>
        </w:rPr>
        <w:t>є</w:t>
      </w:r>
      <w:r w:rsidR="004A5D79">
        <w:rPr>
          <w:rFonts w:ascii="Arial"/>
          <w:i/>
          <w:color w:val="019648"/>
          <w:lang w:val="uk-UA"/>
        </w:rPr>
        <w:t xml:space="preserve"> </w:t>
      </w:r>
      <w:r w:rsidR="007C2B5C">
        <w:rPr>
          <w:rFonts w:ascii="Arial"/>
          <w:i/>
          <w:color w:val="019648"/>
          <w:lang w:val="uk-UA"/>
        </w:rPr>
        <w:t>інкрементна</w:t>
      </w:r>
      <w:r w:rsidR="00463B08">
        <w:rPr>
          <w:rFonts w:ascii="Arial"/>
          <w:i/>
          <w:color w:val="019648"/>
          <w:lang w:val="uk-UA"/>
        </w:rPr>
        <w:t xml:space="preserve"> </w:t>
      </w:r>
      <w:r w:rsidRPr="00FE30C5">
        <w:rPr>
          <w:rFonts w:ascii="Arial"/>
          <w:i/>
          <w:color w:val="019648"/>
          <w:lang w:val="uk-UA"/>
        </w:rPr>
        <w:t>точн</w:t>
      </w:r>
      <w:r w:rsidR="007C2B5C">
        <w:rPr>
          <w:rFonts w:ascii="Arial"/>
          <w:i/>
          <w:color w:val="019648"/>
          <w:lang w:val="uk-UA"/>
        </w:rPr>
        <w:t>ість</w:t>
      </w:r>
      <w:r w:rsidR="007C2B5C">
        <w:rPr>
          <w:rFonts w:ascii="Arial"/>
          <w:i/>
          <w:color w:val="019648"/>
          <w:lang w:val="uk-UA"/>
        </w:rPr>
        <w:t xml:space="preserve"> </w:t>
      </w:r>
      <w:r w:rsidRPr="00FE30C5">
        <w:rPr>
          <w:rFonts w:ascii="Arial"/>
          <w:i/>
          <w:color w:val="019648"/>
          <w:lang w:val="uk-UA"/>
        </w:rPr>
        <w:t>діагностики</w:t>
      </w:r>
      <w:r w:rsidRPr="00FE30C5">
        <w:rPr>
          <w:rFonts w:ascii="Arial"/>
          <w:i/>
          <w:color w:val="019648"/>
          <w:lang w:val="uk-UA"/>
        </w:rPr>
        <w:t xml:space="preserve"> </w:t>
      </w:r>
      <w:r w:rsidRPr="00FE30C5">
        <w:rPr>
          <w:rFonts w:ascii="Arial"/>
          <w:i/>
          <w:color w:val="019648"/>
          <w:lang w:val="uk-UA"/>
        </w:rPr>
        <w:t>при</w:t>
      </w:r>
      <w:r w:rsidRPr="00FE30C5">
        <w:rPr>
          <w:rFonts w:ascii="Arial"/>
          <w:i/>
          <w:color w:val="019648"/>
          <w:lang w:val="uk-UA"/>
        </w:rPr>
        <w:t xml:space="preserve"> </w:t>
      </w:r>
      <w:r w:rsidRPr="00FE30C5">
        <w:rPr>
          <w:rFonts w:ascii="Arial"/>
          <w:i/>
          <w:color w:val="019648"/>
          <w:lang w:val="uk-UA"/>
        </w:rPr>
        <w:t>одночасному</w:t>
      </w:r>
      <w:r w:rsidRPr="00FE30C5">
        <w:rPr>
          <w:rFonts w:ascii="Arial"/>
          <w:i/>
          <w:color w:val="019648"/>
          <w:lang w:val="uk-UA"/>
        </w:rPr>
        <w:t xml:space="preserve"> </w:t>
      </w:r>
      <w:r w:rsidRPr="00FE30C5">
        <w:rPr>
          <w:rFonts w:ascii="Arial"/>
          <w:i/>
          <w:color w:val="019648"/>
          <w:lang w:val="uk-UA"/>
        </w:rPr>
        <w:t>використанні</w:t>
      </w:r>
      <w:r w:rsidRPr="00FE30C5">
        <w:rPr>
          <w:rFonts w:ascii="Arial"/>
          <w:i/>
          <w:color w:val="019648"/>
          <w:lang w:val="uk-UA"/>
        </w:rPr>
        <w:t xml:space="preserve"> </w:t>
      </w:r>
      <w:r w:rsidRPr="00FE30C5">
        <w:rPr>
          <w:rFonts w:ascii="Arial"/>
          <w:i/>
          <w:color w:val="019648"/>
          <w:lang w:val="uk-UA"/>
        </w:rPr>
        <w:t>тесту</w:t>
      </w:r>
      <w:r w:rsidRPr="00FE30C5">
        <w:rPr>
          <w:rFonts w:ascii="Arial"/>
          <w:i/>
          <w:color w:val="019648"/>
          <w:lang w:val="uk-UA"/>
        </w:rPr>
        <w:t xml:space="preserve"> </w:t>
      </w:r>
      <w:r w:rsidRPr="00FE30C5">
        <w:rPr>
          <w:rFonts w:ascii="Arial"/>
          <w:i/>
          <w:color w:val="019648"/>
          <w:lang w:val="uk-UA"/>
        </w:rPr>
        <w:t>аТАНК</w:t>
      </w:r>
      <w:r w:rsidRPr="00FE30C5">
        <w:rPr>
          <w:rFonts w:ascii="Arial"/>
          <w:i/>
          <w:color w:val="019648"/>
          <w:lang w:val="uk-UA"/>
        </w:rPr>
        <w:t>-</w:t>
      </w:r>
      <w:r w:rsidRPr="00FE30C5">
        <w:rPr>
          <w:rFonts w:ascii="Arial"/>
          <w:i/>
          <w:color w:val="019648"/>
          <w:lang w:val="uk-UA"/>
        </w:rPr>
        <w:t>НС</w:t>
      </w:r>
      <w:r w:rsidRPr="00FE30C5">
        <w:rPr>
          <w:rFonts w:ascii="Arial"/>
          <w:i/>
          <w:color w:val="019648"/>
          <w:lang w:val="uk-UA"/>
        </w:rPr>
        <w:t xml:space="preserve">  </w:t>
      </w:r>
      <w:r w:rsidRPr="00FE30C5">
        <w:rPr>
          <w:rFonts w:ascii="Arial"/>
          <w:i/>
          <w:color w:val="019648"/>
          <w:lang w:val="uk-UA"/>
        </w:rPr>
        <w:t>на</w:t>
      </w:r>
      <w:r w:rsidRPr="00FE30C5">
        <w:rPr>
          <w:rFonts w:ascii="Arial"/>
          <w:i/>
          <w:color w:val="019648"/>
          <w:lang w:val="uk-UA"/>
        </w:rPr>
        <w:t xml:space="preserve"> </w:t>
      </w:r>
      <w:r w:rsidRPr="00FE30C5">
        <w:rPr>
          <w:rFonts w:ascii="Arial"/>
          <w:i/>
          <w:color w:val="019648"/>
          <w:lang w:val="uk-UA"/>
        </w:rPr>
        <w:t>зразках</w:t>
      </w:r>
      <w:r w:rsidRPr="00FE30C5">
        <w:rPr>
          <w:rFonts w:ascii="Arial"/>
          <w:i/>
          <w:color w:val="019648"/>
          <w:lang w:val="uk-UA"/>
        </w:rPr>
        <w:t xml:space="preserve"> </w:t>
      </w:r>
      <w:r w:rsidR="00FE30C5" w:rsidRPr="00FE30C5">
        <w:rPr>
          <w:rFonts w:ascii="Arial"/>
          <w:i/>
          <w:color w:val="019648"/>
          <w:lang w:val="uk-UA"/>
        </w:rPr>
        <w:t>і</w:t>
      </w:r>
      <w:r w:rsidRPr="00FE30C5">
        <w:rPr>
          <w:rFonts w:ascii="Arial"/>
          <w:i/>
          <w:color w:val="019648"/>
          <w:lang w:val="uk-UA"/>
        </w:rPr>
        <w:t>з</w:t>
      </w:r>
      <w:r w:rsidRPr="00FE30C5">
        <w:rPr>
          <w:rFonts w:ascii="Arial"/>
          <w:i/>
          <w:color w:val="019648"/>
          <w:lang w:val="uk-UA"/>
        </w:rPr>
        <w:t xml:space="preserve"> </w:t>
      </w:r>
      <w:r w:rsidRPr="00FE30C5">
        <w:rPr>
          <w:rFonts w:ascii="Arial"/>
          <w:i/>
          <w:color w:val="019648"/>
          <w:lang w:val="uk-UA"/>
        </w:rPr>
        <w:t>дихальних</w:t>
      </w:r>
      <w:r w:rsidRPr="00FE30C5">
        <w:rPr>
          <w:rFonts w:ascii="Arial"/>
          <w:i/>
          <w:color w:val="019648"/>
          <w:lang w:val="uk-UA"/>
        </w:rPr>
        <w:t xml:space="preserve"> </w:t>
      </w:r>
      <w:r w:rsidRPr="00FE30C5">
        <w:rPr>
          <w:rFonts w:ascii="Arial"/>
          <w:i/>
          <w:color w:val="019648"/>
          <w:lang w:val="uk-UA"/>
        </w:rPr>
        <w:t>шляхів</w:t>
      </w:r>
      <w:r w:rsidRPr="00FE30C5">
        <w:rPr>
          <w:rFonts w:ascii="Arial"/>
          <w:i/>
          <w:color w:val="019648"/>
          <w:lang w:val="uk-UA"/>
        </w:rPr>
        <w:t xml:space="preserve"> </w:t>
      </w:r>
      <w:r w:rsidRPr="00FE30C5">
        <w:rPr>
          <w:rFonts w:ascii="Arial"/>
          <w:i/>
          <w:color w:val="019648"/>
          <w:lang w:val="uk-UA"/>
        </w:rPr>
        <w:t>та</w:t>
      </w:r>
      <w:r w:rsidRPr="00FE30C5">
        <w:rPr>
          <w:rFonts w:ascii="Arial"/>
          <w:i/>
          <w:color w:val="019648"/>
          <w:lang w:val="uk-UA"/>
        </w:rPr>
        <w:t xml:space="preserve"> </w:t>
      </w:r>
      <w:r w:rsidRPr="00FE30C5">
        <w:rPr>
          <w:rFonts w:ascii="Arial"/>
          <w:i/>
          <w:color w:val="019648"/>
          <w:lang w:val="uk-UA"/>
        </w:rPr>
        <w:t>калу</w:t>
      </w:r>
      <w:r w:rsidRPr="00FE30C5">
        <w:rPr>
          <w:rFonts w:ascii="Arial"/>
          <w:i/>
          <w:color w:val="019648"/>
          <w:lang w:val="uk-UA"/>
        </w:rPr>
        <w:t xml:space="preserve"> </w:t>
      </w:r>
      <w:r w:rsidRPr="00FE30C5">
        <w:rPr>
          <w:rFonts w:ascii="Arial"/>
          <w:i/>
          <w:color w:val="019648"/>
          <w:lang w:val="uk-UA"/>
        </w:rPr>
        <w:t>для</w:t>
      </w:r>
      <w:r w:rsidRPr="00FE30C5">
        <w:rPr>
          <w:rFonts w:ascii="Arial"/>
          <w:i/>
          <w:color w:val="019648"/>
          <w:lang w:val="uk-UA"/>
        </w:rPr>
        <w:t xml:space="preserve"> </w:t>
      </w:r>
      <w:r w:rsidRPr="00FE30C5">
        <w:rPr>
          <w:rFonts w:ascii="Arial"/>
          <w:i/>
          <w:color w:val="019648"/>
          <w:lang w:val="uk-UA"/>
        </w:rPr>
        <w:t>постановки</w:t>
      </w:r>
      <w:r w:rsidRPr="00FE30C5">
        <w:rPr>
          <w:rFonts w:ascii="Arial"/>
          <w:i/>
          <w:color w:val="019648"/>
          <w:lang w:val="uk-UA"/>
        </w:rPr>
        <w:t xml:space="preserve"> </w:t>
      </w:r>
      <w:r w:rsidRPr="00FE30C5">
        <w:rPr>
          <w:rFonts w:ascii="Arial"/>
          <w:i/>
          <w:color w:val="019648"/>
          <w:lang w:val="uk-UA"/>
        </w:rPr>
        <w:t>діагнозу</w:t>
      </w:r>
      <w:r w:rsidRPr="00FE30C5">
        <w:rPr>
          <w:rFonts w:ascii="Arial"/>
          <w:i/>
          <w:color w:val="019648"/>
          <w:lang w:val="uk-UA"/>
        </w:rPr>
        <w:t xml:space="preserve"> </w:t>
      </w:r>
      <w:r w:rsidRPr="00FE30C5">
        <w:rPr>
          <w:rFonts w:ascii="Arial"/>
          <w:i/>
          <w:color w:val="019648"/>
          <w:lang w:val="uk-UA"/>
        </w:rPr>
        <w:t>ТБ</w:t>
      </w:r>
      <w:r w:rsidRPr="00FE30C5">
        <w:rPr>
          <w:rFonts w:ascii="Arial"/>
          <w:i/>
          <w:color w:val="019648"/>
          <w:lang w:val="uk-UA"/>
        </w:rPr>
        <w:t xml:space="preserve"> </w:t>
      </w:r>
      <w:r w:rsidRPr="00FE30C5">
        <w:rPr>
          <w:rFonts w:ascii="Arial"/>
          <w:i/>
          <w:color w:val="019648"/>
          <w:lang w:val="uk-UA"/>
        </w:rPr>
        <w:t>легень</w:t>
      </w:r>
      <w:r w:rsidRPr="00FE30C5">
        <w:rPr>
          <w:rFonts w:ascii="Arial"/>
          <w:i/>
          <w:color w:val="019648"/>
          <w:lang w:val="uk-UA"/>
        </w:rPr>
        <w:t xml:space="preserve"> </w:t>
      </w:r>
      <w:r w:rsidRPr="00FE30C5">
        <w:rPr>
          <w:rFonts w:ascii="Arial"/>
          <w:i/>
          <w:color w:val="019648"/>
          <w:lang w:val="uk-UA"/>
        </w:rPr>
        <w:t>у</w:t>
      </w:r>
      <w:r w:rsidRPr="00FE30C5">
        <w:rPr>
          <w:rFonts w:ascii="Arial"/>
          <w:i/>
          <w:color w:val="019648"/>
          <w:lang w:val="uk-UA"/>
        </w:rPr>
        <w:t xml:space="preserve"> </w:t>
      </w:r>
      <w:r w:rsidRPr="00FE30C5">
        <w:rPr>
          <w:rFonts w:ascii="Arial"/>
          <w:i/>
          <w:color w:val="019648"/>
          <w:lang w:val="uk-UA"/>
        </w:rPr>
        <w:t>дітей</w:t>
      </w:r>
      <w:r w:rsidRPr="00FE30C5">
        <w:rPr>
          <w:rFonts w:ascii="Arial"/>
          <w:i/>
          <w:color w:val="019648"/>
          <w:lang w:val="uk-UA"/>
        </w:rPr>
        <w:t xml:space="preserve"> </w:t>
      </w:r>
      <w:r w:rsidRPr="00FE30C5">
        <w:rPr>
          <w:rFonts w:ascii="Arial"/>
          <w:i/>
          <w:color w:val="019648"/>
          <w:lang w:val="uk-UA"/>
        </w:rPr>
        <w:t>з</w:t>
      </w:r>
      <w:r w:rsidRPr="00FE30C5">
        <w:rPr>
          <w:rFonts w:ascii="Arial"/>
          <w:i/>
          <w:color w:val="019648"/>
          <w:lang w:val="uk-UA"/>
        </w:rPr>
        <w:t xml:space="preserve"> </w:t>
      </w:r>
      <w:r w:rsidRPr="00FE30C5">
        <w:rPr>
          <w:rFonts w:ascii="Arial"/>
          <w:i/>
          <w:color w:val="019648"/>
          <w:lang w:val="uk-UA"/>
        </w:rPr>
        <w:t>ВІЛ</w:t>
      </w:r>
      <w:r w:rsidRPr="00FE30C5">
        <w:rPr>
          <w:rFonts w:ascii="Arial"/>
          <w:i/>
          <w:color w:val="019648"/>
          <w:lang w:val="uk-UA"/>
        </w:rPr>
        <w:t>-</w:t>
      </w:r>
      <w:r w:rsidRPr="00FE30C5">
        <w:rPr>
          <w:rFonts w:ascii="Arial"/>
          <w:i/>
          <w:color w:val="019648"/>
          <w:lang w:val="uk-UA"/>
        </w:rPr>
        <w:t>негативним</w:t>
      </w:r>
      <w:r w:rsidRPr="00FE30C5">
        <w:rPr>
          <w:rFonts w:ascii="Arial"/>
          <w:i/>
          <w:color w:val="019648"/>
          <w:lang w:val="uk-UA"/>
        </w:rPr>
        <w:t xml:space="preserve"> </w:t>
      </w:r>
      <w:r w:rsidRPr="00FE30C5">
        <w:rPr>
          <w:rFonts w:ascii="Arial"/>
          <w:i/>
          <w:color w:val="019648"/>
          <w:lang w:val="uk-UA"/>
        </w:rPr>
        <w:t>або</w:t>
      </w:r>
      <w:r w:rsidRPr="00FE30C5">
        <w:rPr>
          <w:rFonts w:ascii="Arial"/>
          <w:i/>
          <w:color w:val="019648"/>
          <w:lang w:val="uk-UA"/>
        </w:rPr>
        <w:t xml:space="preserve"> </w:t>
      </w:r>
      <w:r w:rsidRPr="00FE30C5">
        <w:rPr>
          <w:rFonts w:ascii="Arial"/>
          <w:i/>
          <w:color w:val="019648"/>
          <w:lang w:val="uk-UA"/>
        </w:rPr>
        <w:t>невідомим</w:t>
      </w:r>
      <w:r w:rsidRPr="00FE30C5">
        <w:rPr>
          <w:rFonts w:ascii="Arial"/>
          <w:i/>
          <w:color w:val="019648"/>
          <w:lang w:val="uk-UA"/>
        </w:rPr>
        <w:t xml:space="preserve"> </w:t>
      </w:r>
      <w:r w:rsidRPr="00FE30C5">
        <w:rPr>
          <w:rFonts w:ascii="Arial"/>
          <w:i/>
          <w:color w:val="019648"/>
          <w:lang w:val="uk-UA"/>
        </w:rPr>
        <w:t>ВІЛ</w:t>
      </w:r>
      <w:r w:rsidRPr="00FE30C5">
        <w:rPr>
          <w:rFonts w:ascii="Arial"/>
          <w:i/>
          <w:color w:val="019648"/>
          <w:lang w:val="uk-UA"/>
        </w:rPr>
        <w:t>-</w:t>
      </w:r>
      <w:r w:rsidRPr="00FE30C5">
        <w:rPr>
          <w:rFonts w:ascii="Arial"/>
          <w:i/>
          <w:color w:val="019648"/>
          <w:lang w:val="uk-UA"/>
        </w:rPr>
        <w:t>статусом</w:t>
      </w:r>
      <w:r w:rsidRPr="00FE30C5">
        <w:rPr>
          <w:rFonts w:ascii="Arial"/>
          <w:i/>
          <w:color w:val="019648"/>
          <w:lang w:val="uk-UA"/>
        </w:rPr>
        <w:t xml:space="preserve">, </w:t>
      </w:r>
      <w:r w:rsidRPr="00FE30C5">
        <w:rPr>
          <w:rFonts w:ascii="Arial"/>
          <w:i/>
          <w:color w:val="019648"/>
          <w:lang w:val="uk-UA"/>
        </w:rPr>
        <w:t>з</w:t>
      </w:r>
      <w:r w:rsidRPr="00FE30C5">
        <w:rPr>
          <w:rFonts w:ascii="Arial"/>
          <w:i/>
          <w:color w:val="019648"/>
          <w:lang w:val="uk-UA"/>
        </w:rPr>
        <w:t xml:space="preserve"> </w:t>
      </w:r>
      <w:r w:rsidRPr="00FE30C5">
        <w:rPr>
          <w:rFonts w:ascii="Arial"/>
          <w:i/>
          <w:color w:val="019648"/>
          <w:lang w:val="uk-UA"/>
        </w:rPr>
        <w:t>ознаками</w:t>
      </w:r>
      <w:r w:rsidRPr="00FE30C5">
        <w:rPr>
          <w:rFonts w:ascii="Arial"/>
          <w:i/>
          <w:color w:val="019648"/>
          <w:lang w:val="uk-UA"/>
        </w:rPr>
        <w:t xml:space="preserve"> </w:t>
      </w:r>
      <w:r w:rsidRPr="00FE30C5">
        <w:rPr>
          <w:rFonts w:ascii="Arial"/>
          <w:i/>
          <w:color w:val="019648"/>
          <w:lang w:val="uk-UA"/>
        </w:rPr>
        <w:t>та</w:t>
      </w:r>
      <w:r w:rsidRPr="00FE30C5">
        <w:rPr>
          <w:rFonts w:ascii="Arial"/>
          <w:i/>
          <w:color w:val="019648"/>
          <w:lang w:val="uk-UA"/>
        </w:rPr>
        <w:t xml:space="preserve"> </w:t>
      </w:r>
      <w:r w:rsidRPr="00FE30C5">
        <w:rPr>
          <w:rFonts w:ascii="Arial"/>
          <w:i/>
          <w:color w:val="019648"/>
          <w:lang w:val="uk-UA"/>
        </w:rPr>
        <w:t>симптомами</w:t>
      </w:r>
      <w:r w:rsidRPr="00FE30C5">
        <w:rPr>
          <w:rFonts w:ascii="Arial"/>
          <w:i/>
          <w:color w:val="019648"/>
          <w:lang w:val="uk-UA"/>
        </w:rPr>
        <w:t xml:space="preserve"> </w:t>
      </w:r>
      <w:r w:rsidR="00FE30C5" w:rsidRPr="00FE30C5">
        <w:rPr>
          <w:rFonts w:ascii="Arial"/>
          <w:i/>
          <w:color w:val="019648"/>
          <w:lang w:val="uk-UA"/>
        </w:rPr>
        <w:t>ТБ</w:t>
      </w:r>
      <w:r w:rsidR="00FE30C5" w:rsidRPr="00FE30C5">
        <w:rPr>
          <w:rFonts w:ascii="Arial"/>
          <w:i/>
          <w:color w:val="019648"/>
          <w:lang w:val="uk-UA"/>
        </w:rPr>
        <w:t xml:space="preserve"> </w:t>
      </w:r>
      <w:r w:rsidR="00FE30C5" w:rsidRPr="00FE30C5">
        <w:rPr>
          <w:rFonts w:ascii="Arial"/>
          <w:i/>
          <w:color w:val="019648"/>
          <w:lang w:val="uk-UA"/>
        </w:rPr>
        <w:t>чи</w:t>
      </w:r>
      <w:r w:rsidR="00FE30C5" w:rsidRPr="00FE30C5">
        <w:rPr>
          <w:rFonts w:ascii="Arial"/>
          <w:i/>
          <w:color w:val="019648"/>
          <w:lang w:val="uk-UA"/>
        </w:rPr>
        <w:t xml:space="preserve"> </w:t>
      </w:r>
      <w:r w:rsidRPr="00FE30C5">
        <w:rPr>
          <w:rFonts w:ascii="Arial"/>
          <w:i/>
          <w:color w:val="019648"/>
          <w:lang w:val="uk-UA"/>
        </w:rPr>
        <w:t>з</w:t>
      </w:r>
      <w:r w:rsidRPr="00FE30C5">
        <w:rPr>
          <w:rFonts w:ascii="Arial"/>
          <w:i/>
          <w:color w:val="019648"/>
          <w:lang w:val="uk-UA"/>
        </w:rPr>
        <w:t xml:space="preserve"> </w:t>
      </w:r>
      <w:r w:rsidRPr="00FE30C5">
        <w:rPr>
          <w:rFonts w:ascii="Arial"/>
          <w:i/>
          <w:color w:val="019648"/>
          <w:lang w:val="uk-UA"/>
        </w:rPr>
        <w:t>позитивним</w:t>
      </w:r>
      <w:r w:rsidRPr="00FE30C5">
        <w:rPr>
          <w:rFonts w:ascii="Arial"/>
          <w:i/>
          <w:color w:val="019648"/>
          <w:lang w:val="uk-UA"/>
        </w:rPr>
        <w:t xml:space="preserve"> </w:t>
      </w:r>
      <w:r w:rsidRPr="00FE30C5">
        <w:rPr>
          <w:rFonts w:ascii="Arial"/>
          <w:i/>
          <w:color w:val="019648"/>
          <w:lang w:val="uk-UA"/>
        </w:rPr>
        <w:t>результатом</w:t>
      </w:r>
      <w:r w:rsidRPr="00FE30C5">
        <w:rPr>
          <w:rFonts w:ascii="Arial"/>
          <w:i/>
          <w:color w:val="019648"/>
          <w:lang w:val="uk-UA"/>
        </w:rPr>
        <w:t xml:space="preserve"> </w:t>
      </w:r>
      <w:r w:rsidRPr="00FE30C5">
        <w:rPr>
          <w:rFonts w:ascii="Arial"/>
          <w:i/>
          <w:color w:val="019648"/>
          <w:lang w:val="uk-UA"/>
        </w:rPr>
        <w:t>скринінгу</w:t>
      </w:r>
      <w:r w:rsidRPr="00FE30C5">
        <w:rPr>
          <w:rFonts w:ascii="Arial"/>
          <w:i/>
          <w:color w:val="019648"/>
          <w:lang w:val="uk-UA"/>
        </w:rPr>
        <w:t xml:space="preserve"> </w:t>
      </w:r>
      <w:r w:rsidRPr="00FE30C5">
        <w:rPr>
          <w:rFonts w:ascii="Arial"/>
          <w:i/>
          <w:color w:val="019648"/>
          <w:lang w:val="uk-UA"/>
        </w:rPr>
        <w:t>на</w:t>
      </w:r>
      <w:r w:rsidRPr="00FE30C5">
        <w:rPr>
          <w:rFonts w:ascii="Arial"/>
          <w:i/>
          <w:color w:val="019648"/>
          <w:lang w:val="uk-UA"/>
        </w:rPr>
        <w:t xml:space="preserve"> </w:t>
      </w:r>
      <w:r w:rsidRPr="00FE30C5">
        <w:rPr>
          <w:rFonts w:ascii="Arial"/>
          <w:i/>
          <w:color w:val="019648"/>
          <w:lang w:val="uk-UA"/>
        </w:rPr>
        <w:t>легеневий</w:t>
      </w:r>
      <w:r w:rsidRPr="00FE30C5">
        <w:rPr>
          <w:rFonts w:ascii="Arial"/>
          <w:i/>
          <w:color w:val="019648"/>
          <w:lang w:val="uk-UA"/>
        </w:rPr>
        <w:t xml:space="preserve"> </w:t>
      </w:r>
      <w:r w:rsidRPr="00FE30C5">
        <w:rPr>
          <w:rFonts w:ascii="Arial"/>
          <w:i/>
          <w:color w:val="019648"/>
          <w:lang w:val="uk-UA"/>
        </w:rPr>
        <w:t>ТБ</w:t>
      </w:r>
      <w:r w:rsidRPr="00FE30C5">
        <w:rPr>
          <w:rFonts w:ascii="Arial"/>
          <w:i/>
          <w:color w:val="019648"/>
          <w:lang w:val="uk-UA"/>
        </w:rPr>
        <w:t xml:space="preserve">, </w:t>
      </w:r>
      <w:r w:rsidRPr="00FE30C5">
        <w:rPr>
          <w:rFonts w:ascii="Arial"/>
          <w:i/>
          <w:color w:val="019648"/>
          <w:lang w:val="uk-UA"/>
        </w:rPr>
        <w:t>порівняно</w:t>
      </w:r>
      <w:r w:rsidRPr="00FE30C5">
        <w:rPr>
          <w:rFonts w:ascii="Arial"/>
          <w:i/>
          <w:color w:val="019648"/>
          <w:lang w:val="uk-UA"/>
        </w:rPr>
        <w:t xml:space="preserve"> </w:t>
      </w:r>
      <w:r w:rsidRPr="00FE30C5">
        <w:rPr>
          <w:rFonts w:ascii="Arial"/>
          <w:i/>
          <w:color w:val="019648"/>
          <w:lang w:val="uk-UA"/>
        </w:rPr>
        <w:t>з</w:t>
      </w:r>
      <w:r w:rsidRPr="00FE30C5">
        <w:rPr>
          <w:rFonts w:ascii="Arial"/>
          <w:i/>
          <w:color w:val="019648"/>
          <w:lang w:val="uk-UA"/>
        </w:rPr>
        <w:t xml:space="preserve"> </w:t>
      </w:r>
      <w:r w:rsidRPr="00FE30C5">
        <w:rPr>
          <w:rFonts w:ascii="Arial"/>
          <w:i/>
          <w:color w:val="019648"/>
          <w:lang w:val="uk-UA"/>
        </w:rPr>
        <w:t>використанням</w:t>
      </w:r>
      <w:r w:rsidRPr="00FE30C5">
        <w:rPr>
          <w:rFonts w:ascii="Arial"/>
          <w:i/>
          <w:color w:val="019648"/>
          <w:lang w:val="uk-UA"/>
        </w:rPr>
        <w:t xml:space="preserve"> </w:t>
      </w:r>
      <w:r w:rsidRPr="00FE30C5">
        <w:rPr>
          <w:rFonts w:ascii="Arial"/>
          <w:i/>
          <w:color w:val="019648"/>
          <w:lang w:val="uk-UA"/>
        </w:rPr>
        <w:t>тесту</w:t>
      </w:r>
      <w:r w:rsidRPr="00FE30C5">
        <w:rPr>
          <w:rFonts w:ascii="Arial"/>
          <w:i/>
          <w:color w:val="019648"/>
          <w:lang w:val="uk-UA"/>
        </w:rPr>
        <w:t xml:space="preserve"> </w:t>
      </w:r>
      <w:r w:rsidRPr="00FE30C5">
        <w:rPr>
          <w:rFonts w:ascii="Arial"/>
          <w:i/>
          <w:color w:val="019648"/>
          <w:lang w:val="uk-UA"/>
        </w:rPr>
        <w:t>аТАНК</w:t>
      </w:r>
      <w:r w:rsidRPr="00FE30C5">
        <w:rPr>
          <w:rFonts w:ascii="Arial"/>
          <w:i/>
          <w:color w:val="019648"/>
          <w:lang w:val="uk-UA"/>
        </w:rPr>
        <w:t>-</w:t>
      </w:r>
      <w:r w:rsidRPr="00FE30C5">
        <w:rPr>
          <w:rFonts w:ascii="Arial"/>
          <w:i/>
          <w:color w:val="019648"/>
          <w:lang w:val="uk-UA"/>
        </w:rPr>
        <w:t>НС</w:t>
      </w:r>
      <w:r w:rsidRPr="00FE30C5">
        <w:rPr>
          <w:rFonts w:ascii="Arial"/>
          <w:i/>
          <w:color w:val="019648"/>
          <w:lang w:val="uk-UA"/>
        </w:rPr>
        <w:t xml:space="preserve"> </w:t>
      </w:r>
      <w:r w:rsidRPr="00FE30C5">
        <w:rPr>
          <w:rFonts w:ascii="Arial"/>
          <w:i/>
          <w:color w:val="019648"/>
          <w:lang w:val="uk-UA"/>
        </w:rPr>
        <w:t>при</w:t>
      </w:r>
      <w:r w:rsidRPr="00FE30C5">
        <w:rPr>
          <w:rFonts w:ascii="Arial"/>
          <w:i/>
          <w:color w:val="019648"/>
          <w:lang w:val="uk-UA"/>
        </w:rPr>
        <w:t xml:space="preserve"> </w:t>
      </w:r>
      <w:r w:rsidRPr="00FE30C5">
        <w:rPr>
          <w:rFonts w:ascii="Arial"/>
          <w:i/>
          <w:color w:val="019648"/>
          <w:lang w:val="uk-UA"/>
        </w:rPr>
        <w:t>дослідженні</w:t>
      </w:r>
      <w:r w:rsidRPr="00FE30C5">
        <w:rPr>
          <w:rFonts w:ascii="Arial"/>
          <w:i/>
          <w:color w:val="019648"/>
          <w:lang w:val="uk-UA"/>
        </w:rPr>
        <w:t xml:space="preserve"> </w:t>
      </w:r>
      <w:r w:rsidRPr="00FE30C5">
        <w:rPr>
          <w:rFonts w:ascii="Arial"/>
          <w:i/>
          <w:color w:val="019648"/>
          <w:lang w:val="uk-UA"/>
        </w:rPr>
        <w:t>одного</w:t>
      </w:r>
      <w:r w:rsidRPr="00FE30C5">
        <w:rPr>
          <w:rFonts w:ascii="Arial"/>
          <w:i/>
          <w:color w:val="019648"/>
          <w:lang w:val="uk-UA"/>
        </w:rPr>
        <w:t xml:space="preserve"> </w:t>
      </w:r>
      <w:r w:rsidRPr="00FE30C5">
        <w:rPr>
          <w:rFonts w:ascii="Arial"/>
          <w:i/>
          <w:color w:val="019648"/>
          <w:lang w:val="uk-UA"/>
        </w:rPr>
        <w:t>типу</w:t>
      </w:r>
      <w:r w:rsidRPr="00FE30C5">
        <w:rPr>
          <w:rFonts w:ascii="Arial"/>
          <w:i/>
          <w:color w:val="019648"/>
          <w:lang w:val="uk-UA"/>
        </w:rPr>
        <w:t xml:space="preserve"> </w:t>
      </w:r>
      <w:r w:rsidRPr="00FE30C5">
        <w:rPr>
          <w:rFonts w:ascii="Arial"/>
          <w:i/>
          <w:color w:val="019648"/>
          <w:lang w:val="uk-UA"/>
        </w:rPr>
        <w:t>зразка</w:t>
      </w:r>
      <w:r w:rsidRPr="00FE30C5">
        <w:rPr>
          <w:rFonts w:ascii="Arial"/>
          <w:i/>
          <w:color w:val="019648"/>
          <w:lang w:val="uk-UA"/>
        </w:rPr>
        <w:t xml:space="preserve"> (</w:t>
      </w:r>
      <w:r w:rsidRPr="00FE30C5">
        <w:rPr>
          <w:rFonts w:ascii="Arial"/>
          <w:i/>
          <w:color w:val="019648"/>
          <w:lang w:val="uk-UA"/>
        </w:rPr>
        <w:t>зразок</w:t>
      </w:r>
      <w:r w:rsidRPr="00FE30C5">
        <w:rPr>
          <w:rFonts w:ascii="Arial"/>
          <w:i/>
          <w:color w:val="019648"/>
          <w:lang w:val="uk-UA"/>
        </w:rPr>
        <w:t xml:space="preserve"> </w:t>
      </w:r>
      <w:r w:rsidR="00FE30C5" w:rsidRPr="00FE30C5">
        <w:rPr>
          <w:rFonts w:ascii="Arial"/>
          <w:i/>
          <w:color w:val="019648"/>
          <w:lang w:val="uk-UA"/>
        </w:rPr>
        <w:t>і</w:t>
      </w:r>
      <w:r w:rsidRPr="00FE30C5">
        <w:rPr>
          <w:rFonts w:ascii="Arial"/>
          <w:i/>
          <w:color w:val="019648"/>
          <w:lang w:val="uk-UA"/>
        </w:rPr>
        <w:t>з</w:t>
      </w:r>
      <w:r w:rsidRPr="00FE30C5">
        <w:rPr>
          <w:rFonts w:ascii="Arial"/>
          <w:i/>
          <w:color w:val="019648"/>
          <w:lang w:val="uk-UA"/>
        </w:rPr>
        <w:t xml:space="preserve"> </w:t>
      </w:r>
      <w:r w:rsidRPr="00FE30C5">
        <w:rPr>
          <w:rFonts w:ascii="Arial"/>
          <w:i/>
          <w:color w:val="019648"/>
          <w:lang w:val="uk-UA"/>
        </w:rPr>
        <w:t>дихальних</w:t>
      </w:r>
      <w:r w:rsidRPr="00FE30C5">
        <w:rPr>
          <w:rFonts w:ascii="Arial"/>
          <w:i/>
          <w:color w:val="019648"/>
          <w:lang w:val="uk-UA"/>
        </w:rPr>
        <w:t xml:space="preserve"> </w:t>
      </w:r>
      <w:r w:rsidRPr="00FE30C5">
        <w:rPr>
          <w:rFonts w:ascii="Arial"/>
          <w:i/>
          <w:color w:val="019648"/>
          <w:lang w:val="uk-UA"/>
        </w:rPr>
        <w:t>шляхів</w:t>
      </w:r>
      <w:r w:rsidRPr="00FE30C5">
        <w:rPr>
          <w:rFonts w:ascii="Arial"/>
          <w:i/>
          <w:color w:val="019648"/>
          <w:lang w:val="uk-UA"/>
        </w:rPr>
        <w:t xml:space="preserve"> </w:t>
      </w:r>
      <w:r w:rsidRPr="00FE30C5">
        <w:rPr>
          <w:rFonts w:ascii="Arial"/>
          <w:i/>
          <w:color w:val="019648"/>
          <w:lang w:val="uk-UA"/>
        </w:rPr>
        <w:t>або</w:t>
      </w:r>
      <w:r w:rsidRPr="00FE30C5">
        <w:rPr>
          <w:rFonts w:ascii="Arial"/>
          <w:i/>
          <w:color w:val="019648"/>
          <w:lang w:val="uk-UA"/>
        </w:rPr>
        <w:t xml:space="preserve"> </w:t>
      </w:r>
      <w:r w:rsidRPr="00FE30C5">
        <w:rPr>
          <w:rFonts w:ascii="Arial"/>
          <w:i/>
          <w:color w:val="019648"/>
          <w:lang w:val="uk-UA"/>
        </w:rPr>
        <w:t>зразок</w:t>
      </w:r>
      <w:r w:rsidRPr="00FE30C5">
        <w:rPr>
          <w:rFonts w:ascii="Arial"/>
          <w:i/>
          <w:color w:val="019648"/>
          <w:lang w:val="uk-UA"/>
        </w:rPr>
        <w:t xml:space="preserve"> </w:t>
      </w:r>
      <w:r w:rsidRPr="00FE30C5">
        <w:rPr>
          <w:rFonts w:ascii="Arial"/>
          <w:i/>
          <w:color w:val="019648"/>
          <w:lang w:val="uk-UA"/>
        </w:rPr>
        <w:t>калу</w:t>
      </w:r>
      <w:r w:rsidRPr="00FE30C5">
        <w:rPr>
          <w:rFonts w:ascii="Arial"/>
          <w:i/>
          <w:color w:val="019648"/>
          <w:lang w:val="uk-UA"/>
        </w:rPr>
        <w:t>)?</w:t>
      </w:r>
    </w:p>
    <w:p w14:paraId="2E155535" w14:textId="1D8E72EF" w:rsidR="00E05B98" w:rsidRPr="00885BE7" w:rsidRDefault="004F4274" w:rsidP="00A3753A">
      <w:pPr>
        <w:pStyle w:val="a3"/>
        <w:spacing w:before="220" w:line="269" w:lineRule="auto"/>
        <w:ind w:left="567"/>
        <w:jc w:val="both"/>
        <w:rPr>
          <w:sz w:val="20"/>
          <w:szCs w:val="20"/>
          <w:lang w:val="uk-UA"/>
        </w:rPr>
      </w:pPr>
      <w:r w:rsidRPr="004F4274">
        <w:rPr>
          <w:sz w:val="20"/>
          <w:szCs w:val="20"/>
          <w:lang w:val="uk-UA"/>
        </w:rPr>
        <w:t xml:space="preserve">У ході проведення 8 досліджень (2145 учасників, 173 [8,1%] з яких мали ТБ) порівнювали точність </w:t>
      </w:r>
      <w:r w:rsidR="00463B08">
        <w:rPr>
          <w:sz w:val="20"/>
          <w:szCs w:val="20"/>
          <w:lang w:val="uk-UA"/>
        </w:rPr>
        <w:t xml:space="preserve">діагностики при </w:t>
      </w:r>
      <w:r w:rsidRPr="004F4274">
        <w:rPr>
          <w:sz w:val="20"/>
          <w:szCs w:val="20"/>
          <w:lang w:val="uk-UA"/>
        </w:rPr>
        <w:t>одночасно</w:t>
      </w:r>
      <w:r w:rsidR="00463B08">
        <w:rPr>
          <w:sz w:val="20"/>
          <w:szCs w:val="20"/>
          <w:lang w:val="uk-UA"/>
        </w:rPr>
        <w:t>му</w:t>
      </w:r>
      <w:r w:rsidRPr="004F4274">
        <w:rPr>
          <w:sz w:val="20"/>
          <w:szCs w:val="20"/>
          <w:lang w:val="uk-UA"/>
        </w:rPr>
        <w:t xml:space="preserve"> використанн</w:t>
      </w:r>
      <w:r w:rsidR="00463B08">
        <w:rPr>
          <w:sz w:val="20"/>
          <w:szCs w:val="20"/>
          <w:lang w:val="uk-UA"/>
        </w:rPr>
        <w:t>і</w:t>
      </w:r>
      <w:r w:rsidRPr="004F4274">
        <w:rPr>
          <w:sz w:val="20"/>
          <w:szCs w:val="20"/>
          <w:lang w:val="uk-UA"/>
        </w:rPr>
        <w:t xml:space="preserve"> аТАНК-НС на зразках </w:t>
      </w:r>
      <w:r w:rsidR="00FE30C5">
        <w:rPr>
          <w:sz w:val="20"/>
          <w:szCs w:val="20"/>
          <w:lang w:val="uk-UA"/>
        </w:rPr>
        <w:t>і</w:t>
      </w:r>
      <w:r w:rsidRPr="004F4274">
        <w:rPr>
          <w:sz w:val="20"/>
          <w:szCs w:val="20"/>
          <w:lang w:val="uk-UA"/>
        </w:rPr>
        <w:t xml:space="preserve">з дихальних шляхів та калу (комбіновані аТАНК-НС) та аТАНК-НС на одному типі зразка (або </w:t>
      </w:r>
      <w:r w:rsidR="00463B08">
        <w:rPr>
          <w:sz w:val="20"/>
          <w:szCs w:val="20"/>
          <w:lang w:val="uk-UA"/>
        </w:rPr>
        <w:t xml:space="preserve">на </w:t>
      </w:r>
      <w:r w:rsidRPr="004F4274">
        <w:rPr>
          <w:sz w:val="20"/>
          <w:szCs w:val="20"/>
          <w:lang w:val="uk-UA"/>
        </w:rPr>
        <w:t>зраз</w:t>
      </w:r>
      <w:r w:rsidR="00463B08">
        <w:rPr>
          <w:sz w:val="20"/>
          <w:szCs w:val="20"/>
          <w:lang w:val="uk-UA"/>
        </w:rPr>
        <w:t>ку</w:t>
      </w:r>
      <w:r w:rsidRPr="004F4274">
        <w:rPr>
          <w:sz w:val="20"/>
          <w:szCs w:val="20"/>
          <w:lang w:val="uk-UA"/>
        </w:rPr>
        <w:t xml:space="preserve"> з дихальних шляхів або </w:t>
      </w:r>
      <w:r w:rsidR="00463B08">
        <w:rPr>
          <w:sz w:val="20"/>
          <w:szCs w:val="20"/>
          <w:lang w:val="uk-UA"/>
        </w:rPr>
        <w:t xml:space="preserve">на </w:t>
      </w:r>
      <w:r w:rsidRPr="004F4274">
        <w:rPr>
          <w:sz w:val="20"/>
          <w:szCs w:val="20"/>
          <w:lang w:val="uk-UA"/>
        </w:rPr>
        <w:t>зраз</w:t>
      </w:r>
      <w:r w:rsidR="00463B08">
        <w:rPr>
          <w:sz w:val="20"/>
          <w:szCs w:val="20"/>
          <w:lang w:val="uk-UA"/>
        </w:rPr>
        <w:t>ку</w:t>
      </w:r>
      <w:r w:rsidRPr="004F4274">
        <w:rPr>
          <w:sz w:val="20"/>
          <w:szCs w:val="20"/>
          <w:lang w:val="uk-UA"/>
        </w:rPr>
        <w:t xml:space="preserve"> калу) на противагу мікробіологічному еталонному стандарту (MRS)</w:t>
      </w:r>
      <w:r w:rsidR="00B01E0C" w:rsidRPr="00885BE7">
        <w:rPr>
          <w:sz w:val="20"/>
          <w:szCs w:val="20"/>
          <w:lang w:val="uk-UA"/>
        </w:rPr>
        <w:t>.</w:t>
      </w:r>
    </w:p>
    <w:p w14:paraId="03728B0E" w14:textId="242B1F11" w:rsidR="00E05B98" w:rsidRPr="00885BE7" w:rsidRDefault="00EC6BD4" w:rsidP="00A3753A">
      <w:pPr>
        <w:pStyle w:val="a3"/>
        <w:spacing w:before="173" w:line="269" w:lineRule="auto"/>
        <w:ind w:left="567"/>
        <w:jc w:val="both"/>
        <w:rPr>
          <w:sz w:val="20"/>
          <w:szCs w:val="20"/>
          <w:lang w:val="uk-UA"/>
        </w:rPr>
      </w:pPr>
      <w:r w:rsidRPr="00EC6BD4">
        <w:rPr>
          <w:spacing w:val="-2"/>
          <w:sz w:val="20"/>
          <w:szCs w:val="20"/>
          <w:lang w:val="uk-UA"/>
        </w:rPr>
        <w:t xml:space="preserve">Порівняно з використання аТАНК-НС лише на зразках </w:t>
      </w:r>
      <w:r w:rsidR="00FE30C5">
        <w:rPr>
          <w:spacing w:val="-2"/>
          <w:sz w:val="20"/>
          <w:szCs w:val="20"/>
          <w:lang w:val="uk-UA"/>
        </w:rPr>
        <w:t xml:space="preserve">із </w:t>
      </w:r>
      <w:r w:rsidRPr="00EC6BD4">
        <w:rPr>
          <w:spacing w:val="-2"/>
          <w:sz w:val="20"/>
          <w:szCs w:val="20"/>
          <w:lang w:val="uk-UA"/>
        </w:rPr>
        <w:t>дихальних шляхів, одночасне тестування має на 7,1 відсоткових пунктів (95%</w:t>
      </w:r>
      <w:r w:rsidR="00A3753A">
        <w:rPr>
          <w:spacing w:val="-2"/>
          <w:sz w:val="20"/>
          <w:szCs w:val="20"/>
          <w:lang w:val="uk-UA"/>
        </w:rPr>
        <w:t>-вий інтервал достовірності</w:t>
      </w:r>
      <w:r w:rsidRPr="00EC6BD4">
        <w:rPr>
          <w:spacing w:val="-2"/>
          <w:sz w:val="20"/>
          <w:szCs w:val="20"/>
          <w:lang w:val="uk-UA"/>
        </w:rPr>
        <w:t>: від 3,2 до 13,4) вищу чутливість і на -1,7 відсоткових пунктів (95%</w:t>
      </w:r>
      <w:r w:rsidR="00A3753A">
        <w:rPr>
          <w:spacing w:val="-2"/>
          <w:sz w:val="20"/>
          <w:szCs w:val="20"/>
          <w:lang w:val="uk-UA"/>
        </w:rPr>
        <w:t>-вий інтервал достовірності</w:t>
      </w:r>
      <w:r w:rsidRPr="00EC6BD4">
        <w:rPr>
          <w:spacing w:val="-2"/>
          <w:sz w:val="20"/>
          <w:szCs w:val="20"/>
          <w:lang w:val="uk-UA"/>
        </w:rPr>
        <w:t xml:space="preserve">: від -3,8 до -0,6) нижчу специфічність. Достовірність доказів як для чутливості, так і для специфічності була низькою при порівнянні з тестом аТАНК-НС лише на зразках </w:t>
      </w:r>
      <w:r w:rsidR="00FE30C5">
        <w:rPr>
          <w:spacing w:val="-2"/>
          <w:sz w:val="20"/>
          <w:szCs w:val="20"/>
          <w:lang w:val="uk-UA"/>
        </w:rPr>
        <w:t>і</w:t>
      </w:r>
      <w:r w:rsidRPr="00EC6BD4">
        <w:rPr>
          <w:spacing w:val="-2"/>
          <w:sz w:val="20"/>
          <w:szCs w:val="20"/>
          <w:lang w:val="uk-UA"/>
        </w:rPr>
        <w:t>з дихальних шляхів. Порівняно з тестом аТАНК-НС тільки на зразку калу, одночасне тестування мало на 22,1 відсоткових пункти (95%</w:t>
      </w:r>
      <w:r w:rsidR="00A3753A">
        <w:rPr>
          <w:spacing w:val="-2"/>
          <w:sz w:val="20"/>
          <w:szCs w:val="20"/>
          <w:lang w:val="uk-UA"/>
        </w:rPr>
        <w:t>-вий інтервал достовірності</w:t>
      </w:r>
      <w:r w:rsidRPr="00EC6BD4">
        <w:rPr>
          <w:spacing w:val="-2"/>
          <w:sz w:val="20"/>
          <w:szCs w:val="20"/>
          <w:lang w:val="uk-UA"/>
        </w:rPr>
        <w:t>: 13,7-32,7) вищу чутливість і на -4,1 відсоткових пункти (95%</w:t>
      </w:r>
      <w:r w:rsidR="00A3753A">
        <w:rPr>
          <w:spacing w:val="-2"/>
          <w:sz w:val="20"/>
          <w:szCs w:val="20"/>
          <w:lang w:val="uk-UA"/>
        </w:rPr>
        <w:t>-вий інтервал достовірності</w:t>
      </w:r>
      <w:r w:rsidRPr="00EC6BD4">
        <w:rPr>
          <w:spacing w:val="-2"/>
          <w:sz w:val="20"/>
          <w:szCs w:val="20"/>
          <w:lang w:val="uk-UA"/>
        </w:rPr>
        <w:t>: -8,0-1,7) нижчу специфічність. Достовірність доказів була помірною для чутливості і низькою для специфічності при порівнянні з тестом аТАНК-НС, який використовували для дослідження лише зразку калу.</w:t>
      </w:r>
    </w:p>
    <w:p w14:paraId="5C4D3F6C" w14:textId="77777777" w:rsidR="00E05B98" w:rsidRPr="00885BE7" w:rsidRDefault="00E05B98" w:rsidP="00885BE7">
      <w:pPr>
        <w:pStyle w:val="a3"/>
        <w:spacing w:line="297" w:lineRule="auto"/>
        <w:jc w:val="both"/>
        <w:rPr>
          <w:sz w:val="20"/>
          <w:szCs w:val="20"/>
          <w:lang w:val="uk-UA"/>
        </w:rPr>
        <w:sectPr w:rsidR="00E05B98" w:rsidRPr="00885BE7" w:rsidSect="00885BE7">
          <w:pgSz w:w="11910" w:h="16840"/>
          <w:pgMar w:top="1320" w:right="995" w:bottom="760" w:left="850" w:header="0" w:footer="573" w:gutter="0"/>
          <w:cols w:space="720"/>
        </w:sectPr>
      </w:pPr>
    </w:p>
    <w:p w14:paraId="1A86F9F0" w14:textId="4500302D" w:rsidR="00E05B98" w:rsidRPr="00885BE7" w:rsidRDefault="00EC6BD4" w:rsidP="00A3753A">
      <w:pPr>
        <w:pStyle w:val="a3"/>
        <w:spacing w:before="52" w:line="269" w:lineRule="auto"/>
        <w:ind w:left="567"/>
        <w:jc w:val="both"/>
        <w:rPr>
          <w:sz w:val="20"/>
          <w:szCs w:val="20"/>
          <w:lang w:val="uk-UA"/>
        </w:rPr>
      </w:pPr>
      <w:r w:rsidRPr="00EC6BD4">
        <w:rPr>
          <w:sz w:val="20"/>
          <w:szCs w:val="20"/>
          <w:lang w:val="uk-UA"/>
        </w:rPr>
        <w:lastRenderedPageBreak/>
        <w:t>Під час проведення дванадцяти досліджень (3579 учасників, 1464 [40,9%] з яких мали туберкульоз) порівнювали точність комбінованих тестів аТАНК-НС на противагу використанню аТАНК-НС для окремого зразка на противагу композитному еталонному стандарту (CRS).</w:t>
      </w:r>
    </w:p>
    <w:p w14:paraId="472F2EA6" w14:textId="73252E18" w:rsidR="00E05B98" w:rsidRPr="00885BE7" w:rsidRDefault="00A3753A" w:rsidP="00A3753A">
      <w:pPr>
        <w:pStyle w:val="a3"/>
        <w:spacing w:before="173" w:line="269" w:lineRule="auto"/>
        <w:ind w:left="567"/>
        <w:jc w:val="both"/>
        <w:rPr>
          <w:sz w:val="20"/>
          <w:szCs w:val="20"/>
          <w:lang w:val="uk-UA"/>
        </w:rPr>
      </w:pPr>
      <w:r w:rsidRPr="00A3753A">
        <w:rPr>
          <w:spacing w:val="-2"/>
          <w:sz w:val="20"/>
          <w:szCs w:val="20"/>
          <w:lang w:val="uk-UA"/>
        </w:rPr>
        <w:t xml:space="preserve">Порівняно з </w:t>
      </w:r>
      <w:r w:rsidR="00DE5C9A">
        <w:rPr>
          <w:spacing w:val="-2"/>
          <w:sz w:val="20"/>
          <w:szCs w:val="20"/>
          <w:lang w:val="uk-UA"/>
        </w:rPr>
        <w:t xml:space="preserve">виконанням </w:t>
      </w:r>
      <w:r w:rsidRPr="00A3753A">
        <w:rPr>
          <w:spacing w:val="-2"/>
          <w:sz w:val="20"/>
          <w:szCs w:val="20"/>
          <w:lang w:val="uk-UA"/>
        </w:rPr>
        <w:t xml:space="preserve">аТАНК-НС лише на зразках </w:t>
      </w:r>
      <w:r w:rsidR="00DE5C9A">
        <w:rPr>
          <w:spacing w:val="-2"/>
          <w:sz w:val="20"/>
          <w:szCs w:val="20"/>
          <w:lang w:val="uk-UA"/>
        </w:rPr>
        <w:t>і</w:t>
      </w:r>
      <w:r w:rsidRPr="00A3753A">
        <w:rPr>
          <w:spacing w:val="-2"/>
          <w:sz w:val="20"/>
          <w:szCs w:val="20"/>
          <w:lang w:val="uk-UA"/>
        </w:rPr>
        <w:t xml:space="preserve">з дихальних шляхів, одночасне тестування має на 4,7 відсоткових пункти (95%-вий інтервал достовірності: від 2,1 до 8,9) вищу чутливість і на -0,5 відсоткових пункти (95%-вий інтервал достовірності: від -1,4 до 0) нижчу специфічність. Порівняно з </w:t>
      </w:r>
      <w:r w:rsidR="00DE5C9A">
        <w:rPr>
          <w:spacing w:val="-2"/>
          <w:sz w:val="20"/>
          <w:szCs w:val="20"/>
          <w:lang w:val="uk-UA"/>
        </w:rPr>
        <w:t xml:space="preserve">використанням </w:t>
      </w:r>
      <w:r w:rsidRPr="00A3753A">
        <w:rPr>
          <w:spacing w:val="-2"/>
          <w:sz w:val="20"/>
          <w:szCs w:val="20"/>
          <w:lang w:val="uk-UA"/>
        </w:rPr>
        <w:t>аТАНК-НС тільки на зразку кал</w:t>
      </w:r>
      <w:r w:rsidR="00DE5C9A">
        <w:rPr>
          <w:spacing w:val="-2"/>
          <w:sz w:val="20"/>
          <w:szCs w:val="20"/>
          <w:lang w:val="uk-UA"/>
        </w:rPr>
        <w:t>у</w:t>
      </w:r>
      <w:r w:rsidRPr="00A3753A">
        <w:rPr>
          <w:spacing w:val="-2"/>
          <w:sz w:val="20"/>
          <w:szCs w:val="20"/>
          <w:lang w:val="uk-UA"/>
        </w:rPr>
        <w:t xml:space="preserve">, одночасне тестування мало на 10,5 відсоткових пунктів (95%-вий </w:t>
      </w:r>
      <w:r w:rsidR="00507F6E" w:rsidRPr="00A3753A">
        <w:rPr>
          <w:spacing w:val="-2"/>
          <w:sz w:val="20"/>
          <w:szCs w:val="20"/>
          <w:lang w:val="uk-UA"/>
        </w:rPr>
        <w:t>інтервал</w:t>
      </w:r>
      <w:r w:rsidRPr="00A3753A">
        <w:rPr>
          <w:spacing w:val="-2"/>
          <w:sz w:val="20"/>
          <w:szCs w:val="20"/>
          <w:lang w:val="uk-UA"/>
        </w:rPr>
        <w:t xml:space="preserve"> достовірності: від 6,9 до 15,0) вищу чутливість і на -0,1 відсоткових пунктів (95%-вий </w:t>
      </w:r>
      <w:r w:rsidR="00507F6E" w:rsidRPr="00A3753A">
        <w:rPr>
          <w:spacing w:val="-2"/>
          <w:sz w:val="20"/>
          <w:szCs w:val="20"/>
          <w:lang w:val="uk-UA"/>
        </w:rPr>
        <w:t>інтервал</w:t>
      </w:r>
      <w:r w:rsidRPr="00A3753A">
        <w:rPr>
          <w:spacing w:val="-2"/>
          <w:sz w:val="20"/>
          <w:szCs w:val="20"/>
          <w:lang w:val="uk-UA"/>
        </w:rPr>
        <w:t xml:space="preserve"> достовірності: від -0,7 до -0,005) нижчу специфічність. Достовірність доказів була дуже низькою як для чутливості, так і для специфічності для обох порівнянь (одночасне тестування порівняно з тестуванням лише зразків </w:t>
      </w:r>
      <w:r w:rsidR="00DE5C9A">
        <w:rPr>
          <w:spacing w:val="-2"/>
          <w:sz w:val="20"/>
          <w:szCs w:val="20"/>
          <w:lang w:val="uk-UA"/>
        </w:rPr>
        <w:t>і</w:t>
      </w:r>
      <w:r w:rsidRPr="00A3753A">
        <w:rPr>
          <w:spacing w:val="-2"/>
          <w:sz w:val="20"/>
          <w:szCs w:val="20"/>
          <w:lang w:val="uk-UA"/>
        </w:rPr>
        <w:t xml:space="preserve">з дихальних шляхів і лише зразків калу)  </w:t>
      </w:r>
      <w:r w:rsidR="004972CB">
        <w:rPr>
          <w:spacing w:val="-2"/>
          <w:sz w:val="20"/>
          <w:szCs w:val="20"/>
          <w:lang w:val="uk-UA"/>
        </w:rPr>
        <w:t xml:space="preserve">при </w:t>
      </w:r>
      <w:r w:rsidRPr="00A3753A">
        <w:rPr>
          <w:spacing w:val="-2"/>
          <w:sz w:val="20"/>
          <w:szCs w:val="20"/>
          <w:lang w:val="uk-UA"/>
        </w:rPr>
        <w:t>CRS (</w:t>
      </w:r>
      <w:r w:rsidRPr="004972CB">
        <w:rPr>
          <w:b/>
          <w:bCs/>
          <w:spacing w:val="-2"/>
          <w:sz w:val="20"/>
          <w:szCs w:val="20"/>
          <w:lang w:val="uk-UA"/>
        </w:rPr>
        <w:t>Рис. 2.3.2.1</w:t>
      </w:r>
      <w:r w:rsidRPr="00A3753A">
        <w:rPr>
          <w:spacing w:val="-2"/>
          <w:sz w:val="20"/>
          <w:szCs w:val="20"/>
          <w:lang w:val="uk-UA"/>
        </w:rPr>
        <w:t>). Дані щодо тестування за допомогою Truenat MTB Plus і MTB-RIF Dx були недоступні.</w:t>
      </w:r>
    </w:p>
    <w:p w14:paraId="781D7490" w14:textId="108561BF" w:rsidR="00E05B98" w:rsidRPr="003C6DAE" w:rsidRDefault="00A3753A">
      <w:pPr>
        <w:pStyle w:val="6"/>
        <w:spacing w:before="244" w:line="268" w:lineRule="auto"/>
        <w:ind w:right="419"/>
        <w:rPr>
          <w:lang w:val="uk-UA"/>
        </w:rPr>
      </w:pPr>
      <w:r>
        <w:rPr>
          <w:color w:val="636466"/>
          <w:sz w:val="20"/>
          <w:szCs w:val="20"/>
          <w:lang w:val="uk-UA"/>
        </w:rPr>
        <w:t>Рис</w:t>
      </w:r>
      <w:r w:rsidR="00B01E0C" w:rsidRPr="00885BE7">
        <w:rPr>
          <w:color w:val="636466"/>
          <w:sz w:val="20"/>
          <w:szCs w:val="20"/>
          <w:lang w:val="uk-UA"/>
        </w:rPr>
        <w:t>.</w:t>
      </w:r>
      <w:r w:rsidR="00B01E0C" w:rsidRPr="00885BE7">
        <w:rPr>
          <w:color w:val="636466"/>
          <w:spacing w:val="-11"/>
          <w:sz w:val="20"/>
          <w:szCs w:val="20"/>
          <w:lang w:val="uk-UA"/>
        </w:rPr>
        <w:t xml:space="preserve"> </w:t>
      </w:r>
      <w:r w:rsidR="00B01E0C" w:rsidRPr="00885BE7">
        <w:rPr>
          <w:color w:val="636466"/>
          <w:sz w:val="20"/>
          <w:szCs w:val="20"/>
          <w:lang w:val="uk-UA"/>
        </w:rPr>
        <w:t>2.3.2.1</w:t>
      </w:r>
      <w:r w:rsidR="00B01E0C" w:rsidRPr="00885BE7">
        <w:rPr>
          <w:color w:val="636466"/>
          <w:spacing w:val="-11"/>
          <w:sz w:val="20"/>
          <w:szCs w:val="20"/>
          <w:lang w:val="uk-UA"/>
        </w:rPr>
        <w:t xml:space="preserve"> </w:t>
      </w:r>
      <w:r>
        <w:rPr>
          <w:color w:val="636466"/>
          <w:spacing w:val="-11"/>
          <w:sz w:val="20"/>
          <w:szCs w:val="20"/>
          <w:lang w:val="uk-UA"/>
        </w:rPr>
        <w:t xml:space="preserve"> </w:t>
      </w:r>
      <w:r w:rsidRPr="00A3753A">
        <w:rPr>
          <w:color w:val="636466"/>
          <w:sz w:val="20"/>
          <w:szCs w:val="20"/>
          <w:lang w:val="uk-UA"/>
        </w:rPr>
        <w:t>Лісова діаграма об'єднаної чутливості та специфічності для всіх досліджень, за кожним індексним тестом</w:t>
      </w:r>
    </w:p>
    <w:p w14:paraId="1D0DA57C" w14:textId="55A5BE65" w:rsidR="00E05B98" w:rsidRPr="003C6DAE" w:rsidRDefault="00E91118">
      <w:pPr>
        <w:pStyle w:val="a3"/>
        <w:spacing w:before="1"/>
        <w:rPr>
          <w:rFonts w:ascii="Arial"/>
          <w:b/>
          <w:sz w:val="12"/>
          <w:lang w:val="uk-UA"/>
        </w:rPr>
      </w:pPr>
      <w:r>
        <w:rPr>
          <w:rFonts w:ascii="Arial"/>
          <w:b/>
          <w:noProof/>
          <w:sz w:val="12"/>
          <w:lang w:val="uk-UA"/>
        </w:rPr>
        <mc:AlternateContent>
          <mc:Choice Requires="wps">
            <w:drawing>
              <wp:anchor distT="0" distB="0" distL="114300" distR="114300" simplePos="0" relativeHeight="488139264" behindDoc="0" locked="0" layoutInCell="1" allowOverlap="1" wp14:anchorId="125D6ADC" wp14:editId="243F0478">
                <wp:simplePos x="0" y="0"/>
                <wp:positionH relativeFrom="column">
                  <wp:posOffset>2941307</wp:posOffset>
                </wp:positionH>
                <wp:positionV relativeFrom="paragraph">
                  <wp:posOffset>81187</wp:posOffset>
                </wp:positionV>
                <wp:extent cx="1606550" cy="198528"/>
                <wp:effectExtent l="0" t="0" r="0" b="0"/>
                <wp:wrapNone/>
                <wp:docPr id="1595803308" name="Поле 2192"/>
                <wp:cNvGraphicFramePr/>
                <a:graphic xmlns:a="http://schemas.openxmlformats.org/drawingml/2006/main">
                  <a:graphicData uri="http://schemas.microsoft.com/office/word/2010/wordprocessingShape">
                    <wps:wsp>
                      <wps:cNvSpPr txBox="1"/>
                      <wps:spPr>
                        <a:xfrm>
                          <a:off x="0" y="0"/>
                          <a:ext cx="1606550" cy="198528"/>
                        </a:xfrm>
                        <a:prstGeom prst="rect">
                          <a:avLst/>
                        </a:prstGeom>
                        <a:solidFill>
                          <a:schemeClr val="bg1"/>
                        </a:solidFill>
                        <a:ln w="6350">
                          <a:noFill/>
                        </a:ln>
                      </wps:spPr>
                      <wps:txbx>
                        <w:txbxContent>
                          <w:p w14:paraId="351D29DD" w14:textId="07790EDC" w:rsidR="007372B2" w:rsidRPr="00E91118" w:rsidRDefault="007372B2" w:rsidP="00667DAB">
                            <w:pPr>
                              <w:jc w:val="center"/>
                              <w:rPr>
                                <w:rFonts w:asciiTheme="minorHAnsi" w:hAnsiTheme="minorHAnsi" w:cstheme="minorHAnsi"/>
                              </w:rPr>
                            </w:pPr>
                            <w:r>
                              <w:rPr>
                                <w:rFonts w:asciiTheme="minorHAnsi" w:hAnsiTheme="minorHAnsi" w:cstheme="minorHAnsi"/>
                                <w:b/>
                                <w:sz w:val="12"/>
                              </w:rPr>
                              <w:t xml:space="preserve">                        </w:t>
                            </w:r>
                            <w:r w:rsidRPr="00E91118">
                              <w:rPr>
                                <w:rFonts w:asciiTheme="minorHAnsi" w:hAnsiTheme="minorHAnsi" w:cstheme="minorHAnsi"/>
                                <w:b/>
                                <w:sz w:val="12"/>
                                <w:lang w:val="uk-UA"/>
                              </w:rPr>
                              <w:t>Зведені дані</w:t>
                            </w:r>
                            <w:r w:rsidRPr="00E91118">
                              <w:rPr>
                                <w:rFonts w:asciiTheme="minorHAnsi" w:hAnsiTheme="minorHAnsi" w:cstheme="minorHAnsi"/>
                                <w:b/>
                                <w:spacing w:val="3"/>
                                <w:sz w:val="12"/>
                                <w:lang w:val="uk-UA"/>
                              </w:rPr>
                              <w:t xml:space="preserve"> </w:t>
                            </w:r>
                            <w:r w:rsidRPr="00E91118">
                              <w:rPr>
                                <w:rFonts w:asciiTheme="minorHAnsi" w:hAnsiTheme="minorHAnsi" w:cstheme="minorHAnsi"/>
                                <w:b/>
                                <w:sz w:val="12"/>
                                <w:lang w:val="uk-UA"/>
                              </w:rPr>
                              <w:t>(95%</w:t>
                            </w:r>
                            <w:r w:rsidRPr="00E91118">
                              <w:rPr>
                                <w:rFonts w:asciiTheme="minorHAnsi" w:hAnsiTheme="minorHAnsi" w:cstheme="minorHAnsi"/>
                                <w:b/>
                                <w:spacing w:val="4"/>
                                <w:sz w:val="12"/>
                                <w:lang w:val="uk-UA"/>
                              </w:rPr>
                              <w:t xml:space="preserve"> </w:t>
                            </w:r>
                            <w:r>
                              <w:rPr>
                                <w:rFonts w:asciiTheme="minorHAnsi" w:hAnsiTheme="minorHAnsi" w:cstheme="minorHAnsi"/>
                                <w:b/>
                                <w:spacing w:val="-4"/>
                                <w:sz w:val="12"/>
                              </w:rPr>
                              <w:t>Crl</w:t>
                            </w:r>
                            <w:r w:rsidRPr="00E91118">
                              <w:rPr>
                                <w:rFonts w:asciiTheme="minorHAnsi" w:hAnsiTheme="minorHAnsi" w:cstheme="minorHAnsi"/>
                                <w:b/>
                                <w:spacing w:val="-4"/>
                                <w:sz w:val="12"/>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5D6ADC" id="Поле 2192" o:spid="_x0000_s1124" type="#_x0000_t202" style="position:absolute;margin-left:231.6pt;margin-top:6.4pt;width:126.5pt;height:15.65pt;z-index:48813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" fillcolor="white [3212]" stroked="f" strokeweight=".5pt">
                <v:textbox>
                  <w:txbxContent>
                    <w:p w14:paraId="351D29DD" w14:textId="07790EDC" w:rsidR="007372B2" w:rsidRPr="00E91118" w:rsidRDefault="007372B2" w:rsidP="00667DAB">
                      <w:pPr>
                        <w:jc w:val="center"/>
                        <w:rPr>
                          <w:rFonts w:asciiTheme="minorHAnsi" w:hAnsiTheme="minorHAnsi" w:cstheme="minorHAnsi"/>
                        </w:rPr>
                      </w:pPr>
                      <w:r>
                        <w:rPr>
                          <w:rFonts w:asciiTheme="minorHAnsi" w:hAnsiTheme="minorHAnsi" w:cstheme="minorHAnsi"/>
                          <w:b/>
                          <w:sz w:val="12"/>
                        </w:rPr>
                        <w:t xml:space="preserve">                        </w:t>
                      </w:r>
                      <w:r w:rsidRPr="00E91118">
                        <w:rPr>
                          <w:rFonts w:asciiTheme="minorHAnsi" w:hAnsiTheme="minorHAnsi" w:cstheme="minorHAnsi"/>
                          <w:b/>
                          <w:sz w:val="12"/>
                          <w:lang w:val="uk-UA"/>
                        </w:rPr>
                        <w:t>Зведені дані</w:t>
                      </w:r>
                      <w:r w:rsidRPr="00E91118">
                        <w:rPr>
                          <w:rFonts w:asciiTheme="minorHAnsi" w:hAnsiTheme="minorHAnsi" w:cstheme="minorHAnsi"/>
                          <w:b/>
                          <w:spacing w:val="3"/>
                          <w:sz w:val="12"/>
                          <w:lang w:val="uk-UA"/>
                        </w:rPr>
                        <w:t xml:space="preserve"> </w:t>
                      </w:r>
                      <w:r w:rsidRPr="00E91118">
                        <w:rPr>
                          <w:rFonts w:asciiTheme="minorHAnsi" w:hAnsiTheme="minorHAnsi" w:cstheme="minorHAnsi"/>
                          <w:b/>
                          <w:sz w:val="12"/>
                          <w:lang w:val="uk-UA"/>
                        </w:rPr>
                        <w:t>(95%</w:t>
                      </w:r>
                      <w:r w:rsidRPr="00E91118">
                        <w:rPr>
                          <w:rFonts w:asciiTheme="minorHAnsi" w:hAnsiTheme="minorHAnsi" w:cstheme="minorHAnsi"/>
                          <w:b/>
                          <w:spacing w:val="4"/>
                          <w:sz w:val="12"/>
                          <w:lang w:val="uk-UA"/>
                        </w:rPr>
                        <w:t xml:space="preserve"> </w:t>
                      </w:r>
                      <w:r>
                        <w:rPr>
                          <w:rFonts w:asciiTheme="minorHAnsi" w:hAnsiTheme="minorHAnsi" w:cstheme="minorHAnsi"/>
                          <w:b/>
                          <w:spacing w:val="-4"/>
                          <w:sz w:val="12"/>
                        </w:rPr>
                        <w:t>Crl</w:t>
                      </w:r>
                      <w:r w:rsidRPr="00E91118">
                        <w:rPr>
                          <w:rFonts w:asciiTheme="minorHAnsi" w:hAnsiTheme="minorHAnsi" w:cstheme="minorHAnsi"/>
                          <w:b/>
                          <w:spacing w:val="-4"/>
                          <w:sz w:val="12"/>
                          <w:lang w:val="uk-UA"/>
                        </w:rPr>
                        <w:t>)</w:t>
                      </w:r>
                    </w:p>
                  </w:txbxContent>
                </v:textbox>
              </v:shape>
            </w:pict>
          </mc:Fallback>
        </mc:AlternateContent>
      </w:r>
      <w:r>
        <w:rPr>
          <w:rFonts w:ascii="Arial"/>
          <w:b/>
          <w:noProof/>
          <w:sz w:val="12"/>
          <w:lang w:val="uk-UA"/>
        </w:rPr>
        <mc:AlternateContent>
          <mc:Choice Requires="wps">
            <w:drawing>
              <wp:anchor distT="0" distB="0" distL="114300" distR="114300" simplePos="0" relativeHeight="488140288" behindDoc="0" locked="0" layoutInCell="1" allowOverlap="1" wp14:anchorId="21B68D0E" wp14:editId="7DC19854">
                <wp:simplePos x="0" y="0"/>
                <wp:positionH relativeFrom="column">
                  <wp:posOffset>4643359</wp:posOffset>
                </wp:positionH>
                <wp:positionV relativeFrom="paragraph">
                  <wp:posOffset>76659</wp:posOffset>
                </wp:positionV>
                <wp:extent cx="1760899" cy="185521"/>
                <wp:effectExtent l="0" t="0" r="0" b="5080"/>
                <wp:wrapNone/>
                <wp:docPr id="1409799704" name="Поле 2193"/>
                <wp:cNvGraphicFramePr/>
                <a:graphic xmlns:a="http://schemas.openxmlformats.org/drawingml/2006/main">
                  <a:graphicData uri="http://schemas.microsoft.com/office/word/2010/wordprocessingShape">
                    <wps:wsp>
                      <wps:cNvSpPr txBox="1"/>
                      <wps:spPr>
                        <a:xfrm>
                          <a:off x="0" y="0"/>
                          <a:ext cx="1760899" cy="185521"/>
                        </a:xfrm>
                        <a:prstGeom prst="rect">
                          <a:avLst/>
                        </a:prstGeom>
                        <a:solidFill>
                          <a:schemeClr val="bg1"/>
                        </a:solidFill>
                        <a:ln w="6350">
                          <a:noFill/>
                        </a:ln>
                      </wps:spPr>
                      <wps:txbx>
                        <w:txbxContent>
                          <w:p w14:paraId="166B8922" w14:textId="23D0041C" w:rsidR="007372B2" w:rsidRPr="00E91118" w:rsidRDefault="007372B2" w:rsidP="00667DAB">
                            <w:pPr>
                              <w:jc w:val="center"/>
                              <w:rPr>
                                <w:rFonts w:asciiTheme="minorHAnsi" w:hAnsiTheme="minorHAnsi" w:cstheme="minorHAnsi"/>
                                <w:sz w:val="12"/>
                                <w:szCs w:val="12"/>
                                <w:lang w:val="uk-UA"/>
                              </w:rPr>
                            </w:pPr>
                            <w:r w:rsidRPr="00E91118">
                              <w:rPr>
                                <w:rFonts w:asciiTheme="minorHAnsi" w:hAnsiTheme="minorHAnsi" w:cstheme="minorHAnsi"/>
                                <w:b/>
                                <w:sz w:val="12"/>
                                <w:lang w:val="uk-UA"/>
                              </w:rPr>
                              <w:t>Зведені дані</w:t>
                            </w:r>
                            <w:r w:rsidRPr="00E91118">
                              <w:rPr>
                                <w:rFonts w:asciiTheme="minorHAnsi" w:hAnsiTheme="minorHAnsi" w:cstheme="minorHAnsi"/>
                                <w:b/>
                                <w:spacing w:val="3"/>
                                <w:sz w:val="12"/>
                                <w:lang w:val="uk-UA"/>
                              </w:rPr>
                              <w:t xml:space="preserve"> </w:t>
                            </w:r>
                            <w:r w:rsidRPr="00E91118">
                              <w:rPr>
                                <w:rFonts w:asciiTheme="minorHAnsi" w:hAnsiTheme="minorHAnsi" w:cstheme="minorHAnsi"/>
                                <w:b/>
                                <w:sz w:val="12"/>
                                <w:lang w:val="uk-UA"/>
                              </w:rPr>
                              <w:t>(95%</w:t>
                            </w:r>
                            <w:r w:rsidRPr="00E91118">
                              <w:rPr>
                                <w:rFonts w:asciiTheme="minorHAnsi" w:hAnsiTheme="minorHAnsi" w:cstheme="minorHAnsi"/>
                                <w:b/>
                                <w:spacing w:val="4"/>
                                <w:sz w:val="12"/>
                                <w:lang w:val="uk-UA"/>
                              </w:rPr>
                              <w:t xml:space="preserve"> </w:t>
                            </w:r>
                            <w:r>
                              <w:rPr>
                                <w:rFonts w:asciiTheme="minorHAnsi" w:hAnsiTheme="minorHAnsi" w:cstheme="minorHAnsi"/>
                                <w:b/>
                                <w:spacing w:val="-4"/>
                                <w:sz w:val="12"/>
                              </w:rPr>
                              <w:t>Crl</w:t>
                            </w:r>
                            <w:r w:rsidRPr="00E91118">
                              <w:rPr>
                                <w:rFonts w:asciiTheme="minorHAnsi" w:hAnsiTheme="minorHAnsi" w:cstheme="minorHAnsi"/>
                                <w:b/>
                                <w:spacing w:val="-4"/>
                                <w:sz w:val="12"/>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B68D0E" id="Поле 2193" o:spid="_x0000_s1125" type="#_x0000_t202" style="position:absolute;margin-left:365.6pt;margin-top:6.05pt;width:138.65pt;height:14.6pt;z-index:48814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" fillcolor="white [3212]" stroked="f" strokeweight=".5pt">
                <v:textbox>
                  <w:txbxContent>
                    <w:p w14:paraId="166B8922" w14:textId="23D0041C" w:rsidR="007372B2" w:rsidRPr="00E91118" w:rsidRDefault="007372B2" w:rsidP="00667DAB">
                      <w:pPr>
                        <w:jc w:val="center"/>
                        <w:rPr>
                          <w:rFonts w:asciiTheme="minorHAnsi" w:hAnsiTheme="minorHAnsi" w:cstheme="minorHAnsi"/>
                          <w:sz w:val="12"/>
                          <w:szCs w:val="12"/>
                          <w:lang w:val="uk-UA"/>
                        </w:rPr>
                      </w:pPr>
                      <w:r w:rsidRPr="00E91118">
                        <w:rPr>
                          <w:rFonts w:asciiTheme="minorHAnsi" w:hAnsiTheme="minorHAnsi" w:cstheme="minorHAnsi"/>
                          <w:b/>
                          <w:sz w:val="12"/>
                          <w:lang w:val="uk-UA"/>
                        </w:rPr>
                        <w:t>Зведені дані</w:t>
                      </w:r>
                      <w:r w:rsidRPr="00E91118">
                        <w:rPr>
                          <w:rFonts w:asciiTheme="minorHAnsi" w:hAnsiTheme="minorHAnsi" w:cstheme="minorHAnsi"/>
                          <w:b/>
                          <w:spacing w:val="3"/>
                          <w:sz w:val="12"/>
                          <w:lang w:val="uk-UA"/>
                        </w:rPr>
                        <w:t xml:space="preserve"> </w:t>
                      </w:r>
                      <w:r w:rsidRPr="00E91118">
                        <w:rPr>
                          <w:rFonts w:asciiTheme="minorHAnsi" w:hAnsiTheme="minorHAnsi" w:cstheme="minorHAnsi"/>
                          <w:b/>
                          <w:sz w:val="12"/>
                          <w:lang w:val="uk-UA"/>
                        </w:rPr>
                        <w:t>(95%</w:t>
                      </w:r>
                      <w:r w:rsidRPr="00E91118">
                        <w:rPr>
                          <w:rFonts w:asciiTheme="minorHAnsi" w:hAnsiTheme="minorHAnsi" w:cstheme="minorHAnsi"/>
                          <w:b/>
                          <w:spacing w:val="4"/>
                          <w:sz w:val="12"/>
                          <w:lang w:val="uk-UA"/>
                        </w:rPr>
                        <w:t xml:space="preserve"> </w:t>
                      </w:r>
                      <w:r>
                        <w:rPr>
                          <w:rFonts w:asciiTheme="minorHAnsi" w:hAnsiTheme="minorHAnsi" w:cstheme="minorHAnsi"/>
                          <w:b/>
                          <w:spacing w:val="-4"/>
                          <w:sz w:val="12"/>
                        </w:rPr>
                        <w:t>Crl</w:t>
                      </w:r>
                      <w:r w:rsidRPr="00E91118">
                        <w:rPr>
                          <w:rFonts w:asciiTheme="minorHAnsi" w:hAnsiTheme="minorHAnsi" w:cstheme="minorHAnsi"/>
                          <w:b/>
                          <w:spacing w:val="-4"/>
                          <w:sz w:val="12"/>
                          <w:lang w:val="uk-UA"/>
                        </w:rPr>
                        <w:t>)</w:t>
                      </w:r>
                    </w:p>
                  </w:txbxContent>
                </v:textbox>
              </v:shape>
            </w:pict>
          </mc:Fallback>
        </mc:AlternateContent>
      </w:r>
    </w:p>
    <w:p w14:paraId="2F92528D" w14:textId="77777777" w:rsidR="00E05B98" w:rsidRPr="003C6DAE" w:rsidRDefault="00E05B98">
      <w:pPr>
        <w:pStyle w:val="a3"/>
        <w:rPr>
          <w:rFonts w:ascii="Arial"/>
          <w:b/>
          <w:sz w:val="12"/>
          <w:lang w:val="uk-UA"/>
        </w:rPr>
        <w:sectPr w:rsidR="00E05B98" w:rsidRPr="003C6DAE" w:rsidSect="00885BE7">
          <w:pgSz w:w="11910" w:h="16840"/>
          <w:pgMar w:top="1320" w:right="995" w:bottom="760" w:left="850" w:header="0" w:footer="573" w:gutter="0"/>
          <w:cols w:space="720"/>
        </w:sectPr>
      </w:pPr>
    </w:p>
    <w:p w14:paraId="1B75B029" w14:textId="385F8FA6" w:rsidR="00E05B98" w:rsidRPr="003C6DAE" w:rsidRDefault="00667DAB">
      <w:pPr>
        <w:spacing w:before="99" w:line="458" w:lineRule="auto"/>
        <w:ind w:left="655" w:hanging="25"/>
        <w:rPr>
          <w:rFonts w:ascii="Arial"/>
          <w:b/>
          <w:sz w:val="12"/>
          <w:lang w:val="uk-UA"/>
        </w:rPr>
      </w:pPr>
      <w:r>
        <w:rPr>
          <w:rFonts w:ascii="Arial"/>
          <w:b/>
          <w:noProof/>
          <w:sz w:val="12"/>
          <w:lang w:val="uk-UA"/>
        </w:rPr>
        <mc:AlternateContent>
          <mc:Choice Requires="wps">
            <w:drawing>
              <wp:anchor distT="0" distB="0" distL="114300" distR="114300" simplePos="0" relativeHeight="488141312" behindDoc="0" locked="0" layoutInCell="1" allowOverlap="1" wp14:anchorId="360A5FD0" wp14:editId="6D0CCC59">
                <wp:simplePos x="0" y="0"/>
                <wp:positionH relativeFrom="column">
                  <wp:posOffset>622300</wp:posOffset>
                </wp:positionH>
                <wp:positionV relativeFrom="paragraph">
                  <wp:posOffset>167640</wp:posOffset>
                </wp:positionV>
                <wp:extent cx="1129665" cy="1047750"/>
                <wp:effectExtent l="0" t="0" r="0" b="0"/>
                <wp:wrapNone/>
                <wp:docPr id="1428274239" name="Поле 2200"/>
                <wp:cNvGraphicFramePr/>
                <a:graphic xmlns:a="http://schemas.openxmlformats.org/drawingml/2006/main">
                  <a:graphicData uri="http://schemas.microsoft.com/office/word/2010/wordprocessingShape">
                    <wps:wsp>
                      <wps:cNvSpPr txBox="1"/>
                      <wps:spPr>
                        <a:xfrm>
                          <a:off x="0" y="0"/>
                          <a:ext cx="1129665" cy="1047750"/>
                        </a:xfrm>
                        <a:prstGeom prst="rect">
                          <a:avLst/>
                        </a:prstGeom>
                        <a:solidFill>
                          <a:schemeClr val="bg1"/>
                        </a:solidFill>
                        <a:ln w="6350">
                          <a:noFill/>
                        </a:ln>
                      </wps:spPr>
                      <wps:txbx>
                        <w:txbxContent>
                          <w:p w14:paraId="73186307" w14:textId="099C07DF" w:rsidR="007372B2" w:rsidRDefault="007372B2">
                            <w:pPr>
                              <w:rPr>
                                <w:rFonts w:asciiTheme="minorHAnsi" w:hAnsiTheme="minorHAnsi"/>
                                <w:sz w:val="12"/>
                                <w:lang w:val="uk-UA"/>
                              </w:rPr>
                            </w:pPr>
                            <w:r>
                              <w:rPr>
                                <w:rFonts w:asciiTheme="minorHAnsi" w:hAnsiTheme="minorHAnsi"/>
                                <w:sz w:val="12"/>
                                <w:lang w:val="uk-UA"/>
                              </w:rPr>
                              <w:t>аТАНК-НС, зразок калу</w:t>
                            </w:r>
                          </w:p>
                          <w:p w14:paraId="41B6E256" w14:textId="77777777" w:rsidR="007372B2" w:rsidRPr="00667DAB" w:rsidRDefault="007372B2">
                            <w:pPr>
                              <w:rPr>
                                <w:rFonts w:asciiTheme="minorHAnsi" w:hAnsiTheme="minorHAnsi"/>
                                <w:sz w:val="4"/>
                                <w:szCs w:val="4"/>
                                <w:lang w:val="uk-UA"/>
                              </w:rPr>
                            </w:pPr>
                          </w:p>
                          <w:p w14:paraId="7EFD3F62" w14:textId="1DC19654" w:rsidR="007372B2" w:rsidRDefault="007372B2">
                            <w:pPr>
                              <w:rPr>
                                <w:rFonts w:asciiTheme="minorHAnsi" w:hAnsiTheme="minorHAnsi" w:cstheme="minorHAnsi"/>
                                <w:sz w:val="12"/>
                                <w:szCs w:val="12"/>
                                <w:lang w:val="uk-UA"/>
                              </w:rPr>
                            </w:pPr>
                            <w:r>
                              <w:rPr>
                                <w:rFonts w:asciiTheme="minorHAnsi" w:hAnsiTheme="minorHAnsi"/>
                                <w:sz w:val="12"/>
                                <w:lang w:val="uk-UA"/>
                              </w:rPr>
                              <w:t>аТАНК-НС, зразок із дихальних шляхів</w:t>
                            </w:r>
                          </w:p>
                          <w:p w14:paraId="02CBFC94" w14:textId="77777777" w:rsidR="007372B2" w:rsidRPr="00667DAB" w:rsidRDefault="007372B2">
                            <w:pPr>
                              <w:rPr>
                                <w:rFonts w:asciiTheme="minorHAnsi" w:hAnsiTheme="minorHAnsi" w:cstheme="minorHAnsi"/>
                                <w:sz w:val="4"/>
                                <w:szCs w:val="4"/>
                                <w:lang w:val="uk-UA"/>
                              </w:rPr>
                            </w:pPr>
                          </w:p>
                          <w:p w14:paraId="7A88B9A6" w14:textId="0BEB362A" w:rsidR="007372B2" w:rsidRDefault="007372B2">
                            <w:pPr>
                              <w:rPr>
                                <w:rFonts w:asciiTheme="minorHAnsi" w:hAnsiTheme="minorHAnsi" w:cstheme="minorHAnsi"/>
                                <w:sz w:val="12"/>
                                <w:szCs w:val="12"/>
                                <w:lang w:val="uk-UA"/>
                              </w:rPr>
                            </w:pPr>
                            <w:r>
                              <w:rPr>
                                <w:rFonts w:asciiTheme="minorHAnsi" w:hAnsiTheme="minorHAnsi" w:cstheme="minorHAnsi"/>
                                <w:sz w:val="12"/>
                                <w:szCs w:val="12"/>
                                <w:lang w:val="uk-UA"/>
                              </w:rPr>
                              <w:t>Одночасний тестування зразків</w:t>
                            </w:r>
                          </w:p>
                          <w:p w14:paraId="3B712176" w14:textId="77777777" w:rsidR="007372B2" w:rsidRPr="00667DAB" w:rsidRDefault="007372B2">
                            <w:pPr>
                              <w:rPr>
                                <w:sz w:val="6"/>
                                <w:szCs w:val="6"/>
                                <w:lang w:val="uk-UA"/>
                              </w:rPr>
                            </w:pPr>
                          </w:p>
                          <w:p w14:paraId="6DFF3AB1" w14:textId="4C7DF8C8" w:rsidR="007372B2" w:rsidRDefault="007372B2">
                            <w:pPr>
                              <w:rPr>
                                <w:rFonts w:asciiTheme="minorHAnsi" w:hAnsiTheme="minorHAnsi"/>
                                <w:sz w:val="12"/>
                                <w:lang w:val="uk-UA"/>
                              </w:rPr>
                            </w:pPr>
                            <w:r w:rsidRPr="003C6DAE">
                              <w:rPr>
                                <w:sz w:val="12"/>
                                <w:lang w:val="uk-UA"/>
                              </w:rPr>
                              <w:t xml:space="preserve">Δ </w:t>
                            </w:r>
                            <w:r>
                              <w:rPr>
                                <w:rFonts w:asciiTheme="minorHAnsi" w:hAnsiTheme="minorHAnsi"/>
                                <w:sz w:val="12"/>
                                <w:lang w:val="uk-UA"/>
                              </w:rPr>
                              <w:t>Одночасний тест</w:t>
                            </w:r>
                            <w:r w:rsidRPr="003C6DAE">
                              <w:rPr>
                                <w:rFonts w:ascii="Arial MT" w:hAnsi="Arial MT"/>
                                <w:sz w:val="12"/>
                                <w:lang w:val="uk-UA"/>
                              </w:rPr>
                              <w:t xml:space="preserve"> </w:t>
                            </w:r>
                            <w:r>
                              <w:rPr>
                                <w:rFonts w:asciiTheme="minorHAnsi" w:hAnsiTheme="minorHAnsi"/>
                                <w:sz w:val="12"/>
                                <w:lang w:val="uk-UA"/>
                              </w:rPr>
                              <w:t>проти зразку з дихальн.шляхів</w:t>
                            </w:r>
                          </w:p>
                          <w:p w14:paraId="4DCB209D" w14:textId="7CC1A85B" w:rsidR="007372B2" w:rsidRDefault="007372B2" w:rsidP="00667DAB">
                            <w:pPr>
                              <w:rPr>
                                <w:rFonts w:asciiTheme="minorHAnsi" w:hAnsiTheme="minorHAnsi" w:cstheme="minorHAnsi"/>
                                <w:sz w:val="12"/>
                                <w:szCs w:val="12"/>
                                <w:lang w:val="uk-UA"/>
                              </w:rPr>
                            </w:pPr>
                            <w:r w:rsidRPr="003C6DAE">
                              <w:rPr>
                                <w:sz w:val="12"/>
                                <w:lang w:val="uk-UA"/>
                              </w:rPr>
                              <w:t xml:space="preserve">Δ </w:t>
                            </w:r>
                            <w:r>
                              <w:rPr>
                                <w:rFonts w:asciiTheme="minorHAnsi" w:hAnsiTheme="minorHAnsi"/>
                                <w:sz w:val="12"/>
                                <w:lang w:val="uk-UA"/>
                              </w:rPr>
                              <w:t>Одночасне тестування</w:t>
                            </w:r>
                            <w:r w:rsidRPr="003C6DAE">
                              <w:rPr>
                                <w:rFonts w:ascii="Arial MT" w:hAnsi="Arial MT"/>
                                <w:sz w:val="12"/>
                                <w:lang w:val="uk-UA"/>
                              </w:rPr>
                              <w:t xml:space="preserve"> </w:t>
                            </w:r>
                            <w:r>
                              <w:rPr>
                                <w:rFonts w:asciiTheme="minorHAnsi" w:hAnsiTheme="minorHAnsi"/>
                                <w:sz w:val="12"/>
                                <w:lang w:val="uk-UA"/>
                              </w:rPr>
                              <w:t>проти аналізу зразку калу</w:t>
                            </w:r>
                          </w:p>
                          <w:p w14:paraId="1E8E226B" w14:textId="77777777" w:rsidR="007372B2" w:rsidRDefault="007372B2">
                            <w:pPr>
                              <w:rPr>
                                <w:rFonts w:asciiTheme="minorHAnsi" w:hAnsiTheme="minorHAnsi" w:cstheme="minorHAnsi"/>
                                <w:sz w:val="12"/>
                                <w:szCs w:val="12"/>
                                <w:lang w:val="uk-UA"/>
                              </w:rPr>
                            </w:pPr>
                          </w:p>
                          <w:p w14:paraId="7162DA2B" w14:textId="77777777" w:rsidR="007372B2" w:rsidRPr="00E91118" w:rsidRDefault="007372B2">
                            <w:pPr>
                              <w:rPr>
                                <w:rFonts w:asciiTheme="minorHAnsi" w:hAnsiTheme="minorHAnsi" w:cstheme="minorHAnsi"/>
                                <w:sz w:val="12"/>
                                <w:szCs w:val="12"/>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5FD0" id="Поле 2200" o:spid="_x0000_s1126" type="#_x0000_t202" style="position:absolute;left:0;text-align:left;margin-left:49pt;margin-top:13.2pt;width:88.95pt;height:82.5pt;z-index:4881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" fillcolor="white [3212]" stroked="f" strokeweight=".5pt">
                <v:textbox>
                  <w:txbxContent>
                    <w:p w14:paraId="73186307" w14:textId="099C07DF" w:rsidR="007372B2" w:rsidRDefault="007372B2">
                      <w:pPr>
                        <w:rPr>
                          <w:rFonts w:asciiTheme="minorHAnsi" w:hAnsiTheme="minorHAnsi"/>
                          <w:sz w:val="12"/>
                          <w:lang w:val="uk-UA"/>
                        </w:rPr>
                      </w:pPr>
                      <w:r>
                        <w:rPr>
                          <w:rFonts w:asciiTheme="minorHAnsi" w:hAnsiTheme="minorHAnsi"/>
                          <w:sz w:val="12"/>
                          <w:lang w:val="uk-UA"/>
                        </w:rPr>
                        <w:t>аТАНК-НС, зразок калу</w:t>
                      </w:r>
                    </w:p>
                    <w:p w14:paraId="41B6E256" w14:textId="77777777" w:rsidR="007372B2" w:rsidRPr="00667DAB" w:rsidRDefault="007372B2">
                      <w:pPr>
                        <w:rPr>
                          <w:rFonts w:asciiTheme="minorHAnsi" w:hAnsiTheme="minorHAnsi"/>
                          <w:sz w:val="4"/>
                          <w:szCs w:val="4"/>
                          <w:lang w:val="uk-UA"/>
                        </w:rPr>
                      </w:pPr>
                    </w:p>
                    <w:p w14:paraId="7EFD3F62" w14:textId="1DC19654" w:rsidR="007372B2" w:rsidRDefault="007372B2">
                      <w:pPr>
                        <w:rPr>
                          <w:rFonts w:asciiTheme="minorHAnsi" w:hAnsiTheme="minorHAnsi" w:cstheme="minorHAnsi"/>
                          <w:sz w:val="12"/>
                          <w:szCs w:val="12"/>
                          <w:lang w:val="uk-UA"/>
                        </w:rPr>
                      </w:pPr>
                      <w:r>
                        <w:rPr>
                          <w:rFonts w:asciiTheme="minorHAnsi" w:hAnsiTheme="minorHAnsi"/>
                          <w:sz w:val="12"/>
                          <w:lang w:val="uk-UA"/>
                        </w:rPr>
                        <w:t>аТАНК-НС, зразок із дихальних шляхів</w:t>
                      </w:r>
                    </w:p>
                    <w:p w14:paraId="02CBFC94" w14:textId="77777777" w:rsidR="007372B2" w:rsidRPr="00667DAB" w:rsidRDefault="007372B2">
                      <w:pPr>
                        <w:rPr>
                          <w:rFonts w:asciiTheme="minorHAnsi" w:hAnsiTheme="minorHAnsi" w:cstheme="minorHAnsi"/>
                          <w:sz w:val="4"/>
                          <w:szCs w:val="4"/>
                          <w:lang w:val="uk-UA"/>
                        </w:rPr>
                      </w:pPr>
                    </w:p>
                    <w:p w14:paraId="7A88B9A6" w14:textId="0BEB362A" w:rsidR="007372B2" w:rsidRDefault="007372B2">
                      <w:pPr>
                        <w:rPr>
                          <w:rFonts w:asciiTheme="minorHAnsi" w:hAnsiTheme="minorHAnsi" w:cstheme="minorHAnsi"/>
                          <w:sz w:val="12"/>
                          <w:szCs w:val="12"/>
                          <w:lang w:val="uk-UA"/>
                        </w:rPr>
                      </w:pPr>
                      <w:r>
                        <w:rPr>
                          <w:rFonts w:asciiTheme="minorHAnsi" w:hAnsiTheme="minorHAnsi" w:cstheme="minorHAnsi"/>
                          <w:sz w:val="12"/>
                          <w:szCs w:val="12"/>
                          <w:lang w:val="uk-UA"/>
                        </w:rPr>
                        <w:t>Одночасний тестування зразків</w:t>
                      </w:r>
                    </w:p>
                    <w:p w14:paraId="3B712176" w14:textId="77777777" w:rsidR="007372B2" w:rsidRPr="00667DAB" w:rsidRDefault="007372B2">
                      <w:pPr>
                        <w:rPr>
                          <w:sz w:val="6"/>
                          <w:szCs w:val="6"/>
                          <w:lang w:val="uk-UA"/>
                        </w:rPr>
                      </w:pPr>
                    </w:p>
                    <w:p w14:paraId="6DFF3AB1" w14:textId="4C7DF8C8" w:rsidR="007372B2" w:rsidRDefault="007372B2">
                      <w:pPr>
                        <w:rPr>
                          <w:rFonts w:asciiTheme="minorHAnsi" w:hAnsiTheme="minorHAnsi"/>
                          <w:sz w:val="12"/>
                          <w:lang w:val="uk-UA"/>
                        </w:rPr>
                      </w:pPr>
                      <w:r w:rsidRPr="003C6DAE">
                        <w:rPr>
                          <w:sz w:val="12"/>
                          <w:lang w:val="uk-UA"/>
                        </w:rPr>
                        <w:t xml:space="preserve">Δ </w:t>
                      </w:r>
                      <w:r>
                        <w:rPr>
                          <w:rFonts w:asciiTheme="minorHAnsi" w:hAnsiTheme="minorHAnsi"/>
                          <w:sz w:val="12"/>
                          <w:lang w:val="uk-UA"/>
                        </w:rPr>
                        <w:t>Одночасний тест</w:t>
                      </w:r>
                      <w:r w:rsidRPr="003C6DAE">
                        <w:rPr>
                          <w:rFonts w:ascii="Arial MT" w:hAnsi="Arial MT"/>
                          <w:sz w:val="12"/>
                          <w:lang w:val="uk-UA"/>
                        </w:rPr>
                        <w:t xml:space="preserve"> </w:t>
                      </w:r>
                      <w:r>
                        <w:rPr>
                          <w:rFonts w:asciiTheme="minorHAnsi" w:hAnsiTheme="minorHAnsi"/>
                          <w:sz w:val="12"/>
                          <w:lang w:val="uk-UA"/>
                        </w:rPr>
                        <w:t>проти зразку з дихальн.шляхів</w:t>
                      </w:r>
                    </w:p>
                    <w:p w14:paraId="4DCB209D" w14:textId="7CC1A85B" w:rsidR="007372B2" w:rsidRDefault="007372B2" w:rsidP="00667DAB">
                      <w:pPr>
                        <w:rPr>
                          <w:rFonts w:asciiTheme="minorHAnsi" w:hAnsiTheme="minorHAnsi" w:cstheme="minorHAnsi"/>
                          <w:sz w:val="12"/>
                          <w:szCs w:val="12"/>
                          <w:lang w:val="uk-UA"/>
                        </w:rPr>
                      </w:pPr>
                      <w:r w:rsidRPr="003C6DAE">
                        <w:rPr>
                          <w:sz w:val="12"/>
                          <w:lang w:val="uk-UA"/>
                        </w:rPr>
                        <w:t xml:space="preserve">Δ </w:t>
                      </w:r>
                      <w:r>
                        <w:rPr>
                          <w:rFonts w:asciiTheme="minorHAnsi" w:hAnsiTheme="minorHAnsi"/>
                          <w:sz w:val="12"/>
                          <w:lang w:val="uk-UA"/>
                        </w:rPr>
                        <w:t>Одночасне тестування</w:t>
                      </w:r>
                      <w:r w:rsidRPr="003C6DAE">
                        <w:rPr>
                          <w:rFonts w:ascii="Arial MT" w:hAnsi="Arial MT"/>
                          <w:sz w:val="12"/>
                          <w:lang w:val="uk-UA"/>
                        </w:rPr>
                        <w:t xml:space="preserve"> </w:t>
                      </w:r>
                      <w:r>
                        <w:rPr>
                          <w:rFonts w:asciiTheme="minorHAnsi" w:hAnsiTheme="minorHAnsi"/>
                          <w:sz w:val="12"/>
                          <w:lang w:val="uk-UA"/>
                        </w:rPr>
                        <w:t>проти аналізу зразку калу</w:t>
                      </w:r>
                    </w:p>
                    <w:p w14:paraId="1E8E226B" w14:textId="77777777" w:rsidR="007372B2" w:rsidRDefault="007372B2">
                      <w:pPr>
                        <w:rPr>
                          <w:rFonts w:asciiTheme="minorHAnsi" w:hAnsiTheme="minorHAnsi" w:cstheme="minorHAnsi"/>
                          <w:sz w:val="12"/>
                          <w:szCs w:val="12"/>
                          <w:lang w:val="uk-UA"/>
                        </w:rPr>
                      </w:pPr>
                    </w:p>
                    <w:p w14:paraId="7162DA2B" w14:textId="77777777" w:rsidR="007372B2" w:rsidRPr="00E91118" w:rsidRDefault="007372B2">
                      <w:pPr>
                        <w:rPr>
                          <w:rFonts w:asciiTheme="minorHAnsi" w:hAnsiTheme="minorHAnsi" w:cstheme="minorHAnsi"/>
                          <w:sz w:val="12"/>
                          <w:szCs w:val="12"/>
                          <w:lang w:val="uk-UA"/>
                        </w:rPr>
                      </w:pPr>
                    </w:p>
                  </w:txbxContent>
                </v:textbox>
              </v:shape>
            </w:pict>
          </mc:Fallback>
        </mc:AlternateContent>
      </w:r>
      <w:r w:rsidR="00A3753A">
        <w:rPr>
          <w:rFonts w:ascii="Arial"/>
          <w:b/>
          <w:spacing w:val="-2"/>
          <w:sz w:val="12"/>
          <w:lang w:val="uk-UA"/>
        </w:rPr>
        <w:t>Еталон</w:t>
      </w:r>
      <w:r w:rsidR="00A3753A">
        <w:rPr>
          <w:rFonts w:ascii="Arial"/>
          <w:b/>
          <w:spacing w:val="-2"/>
          <w:sz w:val="12"/>
          <w:lang w:val="uk-UA"/>
        </w:rPr>
        <w:t xml:space="preserve"> </w:t>
      </w:r>
      <w:r w:rsidR="00B01E0C" w:rsidRPr="003C6DAE">
        <w:rPr>
          <w:rFonts w:ascii="Arial"/>
          <w:b/>
          <w:spacing w:val="40"/>
          <w:sz w:val="12"/>
          <w:lang w:val="uk-UA"/>
        </w:rPr>
        <w:t xml:space="preserve"> </w:t>
      </w:r>
      <w:r w:rsidR="00B01E0C" w:rsidRPr="003C6DAE">
        <w:rPr>
          <w:rFonts w:ascii="Arial"/>
          <w:b/>
          <w:color w:val="62B6CB"/>
          <w:spacing w:val="-4"/>
          <w:sz w:val="12"/>
          <w:lang w:val="uk-UA"/>
        </w:rPr>
        <w:t>MRS</w:t>
      </w:r>
    </w:p>
    <w:p w14:paraId="0CF3CC92" w14:textId="24419F09" w:rsidR="00E05B98" w:rsidRPr="003C6DAE" w:rsidRDefault="00E05B98">
      <w:pPr>
        <w:pStyle w:val="a3"/>
        <w:rPr>
          <w:rFonts w:ascii="Arial"/>
          <w:b/>
          <w:sz w:val="12"/>
          <w:lang w:val="uk-UA"/>
        </w:rPr>
      </w:pPr>
    </w:p>
    <w:p w14:paraId="7FFBAEF0" w14:textId="7A7BC8D2" w:rsidR="00E05B98" w:rsidRPr="003C6DAE" w:rsidRDefault="00E05B98">
      <w:pPr>
        <w:pStyle w:val="a3"/>
        <w:rPr>
          <w:rFonts w:ascii="Arial"/>
          <w:b/>
          <w:sz w:val="12"/>
          <w:lang w:val="uk-UA"/>
        </w:rPr>
      </w:pPr>
    </w:p>
    <w:p w14:paraId="75732C56" w14:textId="61DA6C19" w:rsidR="00E05B98" w:rsidRPr="003C6DAE" w:rsidRDefault="00E05B98">
      <w:pPr>
        <w:pStyle w:val="a3"/>
        <w:rPr>
          <w:rFonts w:ascii="Arial"/>
          <w:b/>
          <w:sz w:val="12"/>
          <w:lang w:val="uk-UA"/>
        </w:rPr>
      </w:pPr>
    </w:p>
    <w:p w14:paraId="5E78E8E2" w14:textId="77777777" w:rsidR="00E05B98" w:rsidRPr="003C6DAE" w:rsidRDefault="00E05B98">
      <w:pPr>
        <w:pStyle w:val="a3"/>
        <w:rPr>
          <w:rFonts w:ascii="Arial"/>
          <w:b/>
          <w:sz w:val="12"/>
          <w:lang w:val="uk-UA"/>
        </w:rPr>
      </w:pPr>
    </w:p>
    <w:p w14:paraId="5F8B19DD" w14:textId="77777777" w:rsidR="00E05B98" w:rsidRPr="003C6DAE" w:rsidRDefault="00E05B98">
      <w:pPr>
        <w:pStyle w:val="a3"/>
        <w:rPr>
          <w:rFonts w:ascii="Arial"/>
          <w:b/>
          <w:sz w:val="12"/>
          <w:lang w:val="uk-UA"/>
        </w:rPr>
      </w:pPr>
    </w:p>
    <w:p w14:paraId="766C2579" w14:textId="77777777" w:rsidR="00E05B98" w:rsidRPr="003C6DAE" w:rsidRDefault="00E05B98">
      <w:pPr>
        <w:pStyle w:val="a3"/>
        <w:rPr>
          <w:rFonts w:ascii="Arial"/>
          <w:b/>
          <w:sz w:val="12"/>
          <w:lang w:val="uk-UA"/>
        </w:rPr>
      </w:pPr>
    </w:p>
    <w:p w14:paraId="2DE68C44" w14:textId="77777777" w:rsidR="00E05B98" w:rsidRPr="003C6DAE" w:rsidRDefault="00E05B98">
      <w:pPr>
        <w:pStyle w:val="a3"/>
        <w:rPr>
          <w:rFonts w:ascii="Arial"/>
          <w:b/>
          <w:sz w:val="12"/>
          <w:lang w:val="uk-UA"/>
        </w:rPr>
      </w:pPr>
    </w:p>
    <w:p w14:paraId="009FE98B" w14:textId="77777777" w:rsidR="00E05B98" w:rsidRPr="003C6DAE" w:rsidRDefault="00E05B98">
      <w:pPr>
        <w:pStyle w:val="a3"/>
        <w:rPr>
          <w:rFonts w:ascii="Arial"/>
          <w:b/>
          <w:sz w:val="12"/>
          <w:lang w:val="uk-UA"/>
        </w:rPr>
      </w:pPr>
    </w:p>
    <w:p w14:paraId="11CF2EFF" w14:textId="7F27244F" w:rsidR="00E05B98" w:rsidRPr="003C6DAE" w:rsidRDefault="00667DAB">
      <w:pPr>
        <w:pStyle w:val="a3"/>
        <w:spacing w:before="72"/>
        <w:rPr>
          <w:rFonts w:ascii="Arial"/>
          <w:b/>
          <w:sz w:val="12"/>
          <w:lang w:val="uk-UA"/>
        </w:rPr>
      </w:pPr>
      <w:r>
        <w:rPr>
          <w:rFonts w:ascii="Arial"/>
          <w:b/>
          <w:noProof/>
          <w:sz w:val="12"/>
          <w:lang w:val="uk-UA"/>
        </w:rPr>
        <mc:AlternateContent>
          <mc:Choice Requires="wps">
            <w:drawing>
              <wp:anchor distT="0" distB="0" distL="114300" distR="114300" simplePos="0" relativeHeight="488143360" behindDoc="0" locked="0" layoutInCell="1" allowOverlap="1" wp14:anchorId="110B28AF" wp14:editId="7358D387">
                <wp:simplePos x="0" y="0"/>
                <wp:positionH relativeFrom="column">
                  <wp:posOffset>641350</wp:posOffset>
                </wp:positionH>
                <wp:positionV relativeFrom="paragraph">
                  <wp:posOffset>87630</wp:posOffset>
                </wp:positionV>
                <wp:extent cx="1111885" cy="1098550"/>
                <wp:effectExtent l="0" t="0" r="0" b="6350"/>
                <wp:wrapNone/>
                <wp:docPr id="627515084" name="Поле 2200"/>
                <wp:cNvGraphicFramePr/>
                <a:graphic xmlns:a="http://schemas.openxmlformats.org/drawingml/2006/main">
                  <a:graphicData uri="http://schemas.microsoft.com/office/word/2010/wordprocessingShape">
                    <wps:wsp>
                      <wps:cNvSpPr txBox="1"/>
                      <wps:spPr>
                        <a:xfrm>
                          <a:off x="0" y="0"/>
                          <a:ext cx="1111885" cy="1098550"/>
                        </a:xfrm>
                        <a:prstGeom prst="rect">
                          <a:avLst/>
                        </a:prstGeom>
                        <a:solidFill>
                          <a:schemeClr val="bg1"/>
                        </a:solidFill>
                        <a:ln w="6350">
                          <a:noFill/>
                        </a:ln>
                      </wps:spPr>
                      <wps:txbx>
                        <w:txbxContent>
                          <w:p w14:paraId="61F75BE3" w14:textId="77777777" w:rsidR="007372B2" w:rsidRDefault="007372B2" w:rsidP="00667DAB">
                            <w:pPr>
                              <w:rPr>
                                <w:rFonts w:asciiTheme="minorHAnsi" w:hAnsiTheme="minorHAnsi"/>
                                <w:sz w:val="12"/>
                                <w:lang w:val="uk-UA"/>
                              </w:rPr>
                            </w:pPr>
                            <w:r>
                              <w:rPr>
                                <w:rFonts w:asciiTheme="minorHAnsi" w:hAnsiTheme="minorHAnsi"/>
                                <w:sz w:val="12"/>
                                <w:lang w:val="uk-UA"/>
                              </w:rPr>
                              <w:t>аТАНК-НС, зразок калу</w:t>
                            </w:r>
                          </w:p>
                          <w:p w14:paraId="698D05CE" w14:textId="77777777" w:rsidR="007372B2" w:rsidRPr="00667DAB" w:rsidRDefault="007372B2" w:rsidP="00667DAB">
                            <w:pPr>
                              <w:rPr>
                                <w:rFonts w:asciiTheme="minorHAnsi" w:hAnsiTheme="minorHAnsi"/>
                                <w:sz w:val="4"/>
                                <w:szCs w:val="4"/>
                                <w:lang w:val="uk-UA"/>
                              </w:rPr>
                            </w:pPr>
                          </w:p>
                          <w:p w14:paraId="622490B7" w14:textId="06466634" w:rsidR="007372B2" w:rsidRDefault="007372B2" w:rsidP="00667DAB">
                            <w:pPr>
                              <w:rPr>
                                <w:rFonts w:asciiTheme="minorHAnsi" w:hAnsiTheme="minorHAnsi" w:cstheme="minorHAnsi"/>
                                <w:sz w:val="12"/>
                                <w:szCs w:val="12"/>
                                <w:lang w:val="uk-UA"/>
                              </w:rPr>
                            </w:pPr>
                            <w:r>
                              <w:rPr>
                                <w:rFonts w:asciiTheme="minorHAnsi" w:hAnsiTheme="minorHAnsi"/>
                                <w:sz w:val="12"/>
                                <w:lang w:val="uk-UA"/>
                              </w:rPr>
                              <w:t>аТАНК-НС, зразок із дихальних шляхів</w:t>
                            </w:r>
                          </w:p>
                          <w:p w14:paraId="2FD0B75D" w14:textId="77777777" w:rsidR="007372B2" w:rsidRPr="00667DAB" w:rsidRDefault="007372B2" w:rsidP="00667DAB">
                            <w:pPr>
                              <w:rPr>
                                <w:rFonts w:asciiTheme="minorHAnsi" w:hAnsiTheme="minorHAnsi" w:cstheme="minorHAnsi"/>
                                <w:sz w:val="4"/>
                                <w:szCs w:val="4"/>
                                <w:lang w:val="uk-UA"/>
                              </w:rPr>
                            </w:pPr>
                          </w:p>
                          <w:p w14:paraId="7517406D" w14:textId="44E721CB" w:rsidR="007372B2" w:rsidRDefault="007372B2" w:rsidP="00667DAB">
                            <w:pPr>
                              <w:rPr>
                                <w:rFonts w:asciiTheme="minorHAnsi" w:hAnsiTheme="minorHAnsi" w:cstheme="minorHAnsi"/>
                                <w:sz w:val="12"/>
                                <w:szCs w:val="12"/>
                                <w:lang w:val="uk-UA"/>
                              </w:rPr>
                            </w:pPr>
                            <w:r>
                              <w:rPr>
                                <w:rFonts w:asciiTheme="minorHAnsi" w:hAnsiTheme="minorHAnsi" w:cstheme="minorHAnsi"/>
                                <w:sz w:val="12"/>
                                <w:szCs w:val="12"/>
                                <w:lang w:val="uk-UA"/>
                              </w:rPr>
                              <w:t>Одночасне тестування зразків</w:t>
                            </w:r>
                          </w:p>
                          <w:p w14:paraId="180F870B" w14:textId="77777777" w:rsidR="007372B2" w:rsidRPr="00667DAB" w:rsidRDefault="007372B2" w:rsidP="00667DAB">
                            <w:pPr>
                              <w:rPr>
                                <w:sz w:val="6"/>
                                <w:szCs w:val="6"/>
                                <w:lang w:val="uk-UA"/>
                              </w:rPr>
                            </w:pPr>
                          </w:p>
                          <w:p w14:paraId="26BC64C6" w14:textId="700195D0" w:rsidR="007372B2" w:rsidRDefault="007372B2" w:rsidP="00667DAB">
                            <w:pPr>
                              <w:rPr>
                                <w:rFonts w:asciiTheme="minorHAnsi" w:hAnsiTheme="minorHAnsi"/>
                                <w:sz w:val="12"/>
                                <w:lang w:val="uk-UA"/>
                              </w:rPr>
                            </w:pPr>
                            <w:r w:rsidRPr="003C6DAE">
                              <w:rPr>
                                <w:sz w:val="12"/>
                                <w:lang w:val="uk-UA"/>
                              </w:rPr>
                              <w:t xml:space="preserve">Δ </w:t>
                            </w:r>
                            <w:r>
                              <w:rPr>
                                <w:rFonts w:asciiTheme="minorHAnsi" w:hAnsiTheme="minorHAnsi"/>
                                <w:sz w:val="12"/>
                                <w:lang w:val="uk-UA"/>
                              </w:rPr>
                              <w:t>Одночасний тест</w:t>
                            </w:r>
                            <w:r w:rsidRPr="003C6DAE">
                              <w:rPr>
                                <w:rFonts w:ascii="Arial MT" w:hAnsi="Arial MT"/>
                                <w:sz w:val="12"/>
                                <w:lang w:val="uk-UA"/>
                              </w:rPr>
                              <w:t xml:space="preserve"> </w:t>
                            </w:r>
                            <w:r>
                              <w:rPr>
                                <w:rFonts w:asciiTheme="minorHAnsi" w:hAnsiTheme="minorHAnsi"/>
                                <w:sz w:val="12"/>
                                <w:lang w:val="uk-UA"/>
                              </w:rPr>
                              <w:t>проти зразку з дихальн.шляхів</w:t>
                            </w:r>
                          </w:p>
                          <w:p w14:paraId="2472C71D" w14:textId="12DA832D" w:rsidR="007372B2" w:rsidRDefault="007372B2" w:rsidP="00667DAB">
                            <w:pPr>
                              <w:rPr>
                                <w:rFonts w:asciiTheme="minorHAnsi" w:hAnsiTheme="minorHAnsi" w:cstheme="minorHAnsi"/>
                                <w:sz w:val="12"/>
                                <w:szCs w:val="12"/>
                                <w:lang w:val="uk-UA"/>
                              </w:rPr>
                            </w:pPr>
                            <w:r w:rsidRPr="003C6DAE">
                              <w:rPr>
                                <w:sz w:val="12"/>
                                <w:lang w:val="uk-UA"/>
                              </w:rPr>
                              <w:t xml:space="preserve">Δ </w:t>
                            </w:r>
                            <w:r>
                              <w:rPr>
                                <w:rFonts w:asciiTheme="minorHAnsi" w:hAnsiTheme="minorHAnsi"/>
                                <w:sz w:val="12"/>
                                <w:lang w:val="uk-UA"/>
                              </w:rPr>
                              <w:t>Одночасне тестування</w:t>
                            </w:r>
                            <w:r w:rsidRPr="003C6DAE">
                              <w:rPr>
                                <w:rFonts w:ascii="Arial MT" w:hAnsi="Arial MT"/>
                                <w:sz w:val="12"/>
                                <w:lang w:val="uk-UA"/>
                              </w:rPr>
                              <w:t xml:space="preserve"> </w:t>
                            </w:r>
                            <w:r>
                              <w:rPr>
                                <w:rFonts w:asciiTheme="minorHAnsi" w:hAnsiTheme="minorHAnsi"/>
                                <w:sz w:val="12"/>
                                <w:lang w:val="uk-UA"/>
                              </w:rPr>
                              <w:t>проти аналізу зразка калу</w:t>
                            </w:r>
                          </w:p>
                          <w:p w14:paraId="624D6C70" w14:textId="77777777" w:rsidR="007372B2" w:rsidRDefault="007372B2" w:rsidP="00667DAB">
                            <w:pPr>
                              <w:rPr>
                                <w:rFonts w:asciiTheme="minorHAnsi" w:hAnsiTheme="minorHAnsi" w:cstheme="minorHAnsi"/>
                                <w:sz w:val="12"/>
                                <w:szCs w:val="12"/>
                                <w:lang w:val="uk-UA"/>
                              </w:rPr>
                            </w:pPr>
                          </w:p>
                          <w:p w14:paraId="4F45FAC6" w14:textId="77777777" w:rsidR="007372B2" w:rsidRPr="00E91118" w:rsidRDefault="007372B2" w:rsidP="00667DAB">
                            <w:pPr>
                              <w:rPr>
                                <w:rFonts w:asciiTheme="minorHAnsi" w:hAnsiTheme="minorHAnsi" w:cstheme="minorHAnsi"/>
                                <w:sz w:val="12"/>
                                <w:szCs w:val="12"/>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B28AF" id="_x0000_s1127" type="#_x0000_t202" style="position:absolute;margin-left:50.5pt;margin-top:6.9pt;width:87.55pt;height:86.5pt;z-index:4881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" fillcolor="white [3212]" stroked="f" strokeweight=".5pt">
                <v:textbox>
                  <w:txbxContent>
                    <w:p w14:paraId="61F75BE3" w14:textId="77777777" w:rsidR="007372B2" w:rsidRDefault="007372B2" w:rsidP="00667DAB">
                      <w:pPr>
                        <w:rPr>
                          <w:rFonts w:asciiTheme="minorHAnsi" w:hAnsiTheme="minorHAnsi"/>
                          <w:sz w:val="12"/>
                          <w:lang w:val="uk-UA"/>
                        </w:rPr>
                      </w:pPr>
                      <w:r>
                        <w:rPr>
                          <w:rFonts w:asciiTheme="minorHAnsi" w:hAnsiTheme="minorHAnsi"/>
                          <w:sz w:val="12"/>
                          <w:lang w:val="uk-UA"/>
                        </w:rPr>
                        <w:t>аТАНК-НС, зразок калу</w:t>
                      </w:r>
                    </w:p>
                    <w:p w14:paraId="698D05CE" w14:textId="77777777" w:rsidR="007372B2" w:rsidRPr="00667DAB" w:rsidRDefault="007372B2" w:rsidP="00667DAB">
                      <w:pPr>
                        <w:rPr>
                          <w:rFonts w:asciiTheme="minorHAnsi" w:hAnsiTheme="minorHAnsi"/>
                          <w:sz w:val="4"/>
                          <w:szCs w:val="4"/>
                          <w:lang w:val="uk-UA"/>
                        </w:rPr>
                      </w:pPr>
                    </w:p>
                    <w:p w14:paraId="622490B7" w14:textId="06466634" w:rsidR="007372B2" w:rsidRDefault="007372B2" w:rsidP="00667DAB">
                      <w:pPr>
                        <w:rPr>
                          <w:rFonts w:asciiTheme="minorHAnsi" w:hAnsiTheme="minorHAnsi" w:cstheme="minorHAnsi"/>
                          <w:sz w:val="12"/>
                          <w:szCs w:val="12"/>
                          <w:lang w:val="uk-UA"/>
                        </w:rPr>
                      </w:pPr>
                      <w:r>
                        <w:rPr>
                          <w:rFonts w:asciiTheme="minorHAnsi" w:hAnsiTheme="minorHAnsi"/>
                          <w:sz w:val="12"/>
                          <w:lang w:val="uk-UA"/>
                        </w:rPr>
                        <w:t>аТАНК-НС, зразок із дихальних шляхів</w:t>
                      </w:r>
                    </w:p>
                    <w:p w14:paraId="2FD0B75D" w14:textId="77777777" w:rsidR="007372B2" w:rsidRPr="00667DAB" w:rsidRDefault="007372B2" w:rsidP="00667DAB">
                      <w:pPr>
                        <w:rPr>
                          <w:rFonts w:asciiTheme="minorHAnsi" w:hAnsiTheme="minorHAnsi" w:cstheme="minorHAnsi"/>
                          <w:sz w:val="4"/>
                          <w:szCs w:val="4"/>
                          <w:lang w:val="uk-UA"/>
                        </w:rPr>
                      </w:pPr>
                    </w:p>
                    <w:p w14:paraId="7517406D" w14:textId="44E721CB" w:rsidR="007372B2" w:rsidRDefault="007372B2" w:rsidP="00667DAB">
                      <w:pPr>
                        <w:rPr>
                          <w:rFonts w:asciiTheme="minorHAnsi" w:hAnsiTheme="minorHAnsi" w:cstheme="minorHAnsi"/>
                          <w:sz w:val="12"/>
                          <w:szCs w:val="12"/>
                          <w:lang w:val="uk-UA"/>
                        </w:rPr>
                      </w:pPr>
                      <w:r>
                        <w:rPr>
                          <w:rFonts w:asciiTheme="minorHAnsi" w:hAnsiTheme="minorHAnsi" w:cstheme="minorHAnsi"/>
                          <w:sz w:val="12"/>
                          <w:szCs w:val="12"/>
                          <w:lang w:val="uk-UA"/>
                        </w:rPr>
                        <w:t>Одночасне тестування зразків</w:t>
                      </w:r>
                    </w:p>
                    <w:p w14:paraId="180F870B" w14:textId="77777777" w:rsidR="007372B2" w:rsidRPr="00667DAB" w:rsidRDefault="007372B2" w:rsidP="00667DAB">
                      <w:pPr>
                        <w:rPr>
                          <w:sz w:val="6"/>
                          <w:szCs w:val="6"/>
                          <w:lang w:val="uk-UA"/>
                        </w:rPr>
                      </w:pPr>
                    </w:p>
                    <w:p w14:paraId="26BC64C6" w14:textId="700195D0" w:rsidR="007372B2" w:rsidRDefault="007372B2" w:rsidP="00667DAB">
                      <w:pPr>
                        <w:rPr>
                          <w:rFonts w:asciiTheme="minorHAnsi" w:hAnsiTheme="minorHAnsi"/>
                          <w:sz w:val="12"/>
                          <w:lang w:val="uk-UA"/>
                        </w:rPr>
                      </w:pPr>
                      <w:r w:rsidRPr="003C6DAE">
                        <w:rPr>
                          <w:sz w:val="12"/>
                          <w:lang w:val="uk-UA"/>
                        </w:rPr>
                        <w:t xml:space="preserve">Δ </w:t>
                      </w:r>
                      <w:r>
                        <w:rPr>
                          <w:rFonts w:asciiTheme="minorHAnsi" w:hAnsiTheme="minorHAnsi"/>
                          <w:sz w:val="12"/>
                          <w:lang w:val="uk-UA"/>
                        </w:rPr>
                        <w:t>Одночасний тест</w:t>
                      </w:r>
                      <w:r w:rsidRPr="003C6DAE">
                        <w:rPr>
                          <w:rFonts w:ascii="Arial MT" w:hAnsi="Arial MT"/>
                          <w:sz w:val="12"/>
                          <w:lang w:val="uk-UA"/>
                        </w:rPr>
                        <w:t xml:space="preserve"> </w:t>
                      </w:r>
                      <w:r>
                        <w:rPr>
                          <w:rFonts w:asciiTheme="minorHAnsi" w:hAnsiTheme="minorHAnsi"/>
                          <w:sz w:val="12"/>
                          <w:lang w:val="uk-UA"/>
                        </w:rPr>
                        <w:t>проти зразку з дихальн.шляхів</w:t>
                      </w:r>
                    </w:p>
                    <w:p w14:paraId="2472C71D" w14:textId="12DA832D" w:rsidR="007372B2" w:rsidRDefault="007372B2" w:rsidP="00667DAB">
                      <w:pPr>
                        <w:rPr>
                          <w:rFonts w:asciiTheme="minorHAnsi" w:hAnsiTheme="minorHAnsi" w:cstheme="minorHAnsi"/>
                          <w:sz w:val="12"/>
                          <w:szCs w:val="12"/>
                          <w:lang w:val="uk-UA"/>
                        </w:rPr>
                      </w:pPr>
                      <w:r w:rsidRPr="003C6DAE">
                        <w:rPr>
                          <w:sz w:val="12"/>
                          <w:lang w:val="uk-UA"/>
                        </w:rPr>
                        <w:t xml:space="preserve">Δ </w:t>
                      </w:r>
                      <w:r>
                        <w:rPr>
                          <w:rFonts w:asciiTheme="minorHAnsi" w:hAnsiTheme="minorHAnsi"/>
                          <w:sz w:val="12"/>
                          <w:lang w:val="uk-UA"/>
                        </w:rPr>
                        <w:t>Одночасне тестування</w:t>
                      </w:r>
                      <w:r w:rsidRPr="003C6DAE">
                        <w:rPr>
                          <w:rFonts w:ascii="Arial MT" w:hAnsi="Arial MT"/>
                          <w:sz w:val="12"/>
                          <w:lang w:val="uk-UA"/>
                        </w:rPr>
                        <w:t xml:space="preserve"> </w:t>
                      </w:r>
                      <w:r>
                        <w:rPr>
                          <w:rFonts w:asciiTheme="minorHAnsi" w:hAnsiTheme="minorHAnsi"/>
                          <w:sz w:val="12"/>
                          <w:lang w:val="uk-UA"/>
                        </w:rPr>
                        <w:t>проти аналізу зразка калу</w:t>
                      </w:r>
                    </w:p>
                    <w:p w14:paraId="624D6C70" w14:textId="77777777" w:rsidR="007372B2" w:rsidRDefault="007372B2" w:rsidP="00667DAB">
                      <w:pPr>
                        <w:rPr>
                          <w:rFonts w:asciiTheme="minorHAnsi" w:hAnsiTheme="minorHAnsi" w:cstheme="minorHAnsi"/>
                          <w:sz w:val="12"/>
                          <w:szCs w:val="12"/>
                          <w:lang w:val="uk-UA"/>
                        </w:rPr>
                      </w:pPr>
                    </w:p>
                    <w:p w14:paraId="4F45FAC6" w14:textId="77777777" w:rsidR="007372B2" w:rsidRPr="00E91118" w:rsidRDefault="007372B2" w:rsidP="00667DAB">
                      <w:pPr>
                        <w:rPr>
                          <w:rFonts w:asciiTheme="minorHAnsi" w:hAnsiTheme="minorHAnsi" w:cstheme="minorHAnsi"/>
                          <w:sz w:val="12"/>
                          <w:szCs w:val="12"/>
                          <w:lang w:val="uk-UA"/>
                        </w:rPr>
                      </w:pPr>
                    </w:p>
                  </w:txbxContent>
                </v:textbox>
              </v:shape>
            </w:pict>
          </mc:Fallback>
        </mc:AlternateContent>
      </w:r>
    </w:p>
    <w:p w14:paraId="544ABAA3" w14:textId="77777777" w:rsidR="00E05B98" w:rsidRPr="003C6DAE" w:rsidRDefault="00B01E0C">
      <w:pPr>
        <w:ind w:left="669"/>
        <w:rPr>
          <w:rFonts w:ascii="Arial"/>
          <w:b/>
          <w:sz w:val="12"/>
          <w:lang w:val="uk-UA"/>
        </w:rPr>
      </w:pPr>
      <w:r w:rsidRPr="003C6DAE">
        <w:rPr>
          <w:rFonts w:ascii="Arial"/>
          <w:b/>
          <w:color w:val="FF0000"/>
          <w:spacing w:val="-5"/>
          <w:sz w:val="12"/>
          <w:lang w:val="uk-UA"/>
        </w:rPr>
        <w:t>CRS</w:t>
      </w:r>
    </w:p>
    <w:p w14:paraId="51E6E7ED" w14:textId="72FB0805" w:rsidR="00E05B98" w:rsidRPr="003C6DAE" w:rsidRDefault="00B01E0C" w:rsidP="007C2B5C">
      <w:pPr>
        <w:spacing w:before="99"/>
        <w:rPr>
          <w:rFonts w:ascii="Arial"/>
          <w:b/>
          <w:sz w:val="12"/>
          <w:lang w:val="uk-UA"/>
        </w:rPr>
      </w:pPr>
      <w:r w:rsidRPr="003C6DAE">
        <w:rPr>
          <w:lang w:val="uk-UA"/>
        </w:rPr>
        <w:br w:type="column"/>
      </w:r>
      <w:r w:rsidR="00A3753A">
        <w:rPr>
          <w:rFonts w:ascii="Arial"/>
          <w:b/>
          <w:spacing w:val="-4"/>
          <w:sz w:val="12"/>
          <w:lang w:val="uk-UA"/>
        </w:rPr>
        <w:t>Тест</w:t>
      </w:r>
    </w:p>
    <w:p w14:paraId="4FF492EA" w14:textId="782B8378" w:rsidR="00E91118" w:rsidRDefault="00E91118" w:rsidP="00E91118">
      <w:pPr>
        <w:spacing w:before="125" w:line="192" w:lineRule="auto"/>
        <w:ind w:left="70"/>
        <w:rPr>
          <w:rFonts w:asciiTheme="minorHAnsi" w:hAnsiTheme="minorHAnsi"/>
          <w:spacing w:val="-9"/>
          <w:sz w:val="12"/>
          <w:lang w:val="uk-UA"/>
        </w:rPr>
      </w:pPr>
      <w:r>
        <w:rPr>
          <w:rFonts w:asciiTheme="minorHAnsi" w:hAnsiTheme="minorHAnsi"/>
          <w:sz w:val="12"/>
          <w:lang w:val="uk-UA"/>
        </w:rPr>
        <w:t>аТАНК-НС, зразок калу</w:t>
      </w:r>
      <w:r w:rsidR="00B01E0C" w:rsidRPr="003C6DAE">
        <w:rPr>
          <w:rFonts w:ascii="Arial MT"/>
          <w:spacing w:val="-9"/>
          <w:sz w:val="12"/>
          <w:lang w:val="uk-UA"/>
        </w:rPr>
        <w:t xml:space="preserve"> </w:t>
      </w:r>
    </w:p>
    <w:p w14:paraId="2840F6CC" w14:textId="23FE7ED9" w:rsidR="00E91118" w:rsidRDefault="00E91118" w:rsidP="00E91118">
      <w:pPr>
        <w:spacing w:before="125" w:line="192" w:lineRule="auto"/>
        <w:ind w:left="68"/>
        <w:rPr>
          <w:rFonts w:asciiTheme="minorHAnsi" w:hAnsiTheme="minorHAnsi"/>
          <w:spacing w:val="40"/>
          <w:sz w:val="12"/>
          <w:lang w:val="uk-UA"/>
        </w:rPr>
      </w:pPr>
      <w:r>
        <w:rPr>
          <w:rFonts w:asciiTheme="minorHAnsi" w:hAnsiTheme="minorHAnsi"/>
          <w:sz w:val="12"/>
          <w:lang w:val="uk-UA"/>
        </w:rPr>
        <w:t>аТАНК-НС, зразок з дихальних шляхів</w:t>
      </w:r>
      <w:r w:rsidR="00B01E0C" w:rsidRPr="003C6DAE">
        <w:rPr>
          <w:rFonts w:ascii="Arial MT"/>
          <w:spacing w:val="40"/>
          <w:sz w:val="12"/>
          <w:lang w:val="uk-UA"/>
        </w:rPr>
        <w:t xml:space="preserve"> </w:t>
      </w:r>
      <w:r>
        <w:rPr>
          <w:rFonts w:asciiTheme="minorHAnsi" w:hAnsiTheme="minorHAnsi"/>
          <w:spacing w:val="40"/>
          <w:sz w:val="12"/>
          <w:lang w:val="uk-UA"/>
        </w:rPr>
        <w:t xml:space="preserve">                        </w:t>
      </w:r>
    </w:p>
    <w:p w14:paraId="225C560D" w14:textId="73EAF495" w:rsidR="00E05B98" w:rsidRPr="00E91118" w:rsidRDefault="00E91118" w:rsidP="00E91118">
      <w:pPr>
        <w:spacing w:before="125" w:line="192" w:lineRule="auto"/>
        <w:rPr>
          <w:rFonts w:asciiTheme="minorHAnsi" w:hAnsiTheme="minorHAnsi"/>
          <w:spacing w:val="40"/>
          <w:sz w:val="12"/>
          <w:lang w:val="uk-UA"/>
        </w:rPr>
      </w:pPr>
      <w:r>
        <w:rPr>
          <w:rFonts w:asciiTheme="minorHAnsi" w:hAnsiTheme="minorHAnsi"/>
          <w:spacing w:val="-2"/>
          <w:sz w:val="12"/>
          <w:lang w:val="uk-UA"/>
        </w:rPr>
        <w:t>Одночасний тест</w:t>
      </w:r>
    </w:p>
    <w:p w14:paraId="4B5DFA3A" w14:textId="33D60383" w:rsidR="00E05B98" w:rsidRPr="003C6DAE" w:rsidRDefault="00B01E0C" w:rsidP="00E91118">
      <w:pPr>
        <w:spacing w:line="192" w:lineRule="auto"/>
        <w:ind w:left="70"/>
        <w:rPr>
          <w:rFonts w:ascii="Arial MT" w:hAnsi="Arial MT"/>
          <w:sz w:val="12"/>
          <w:lang w:val="uk-UA"/>
        </w:rPr>
      </w:pPr>
      <w:r w:rsidRPr="003C6DAE">
        <w:rPr>
          <w:sz w:val="12"/>
          <w:lang w:val="uk-UA"/>
        </w:rPr>
        <w:t xml:space="preserve">Δ </w:t>
      </w:r>
      <w:r w:rsidR="00E91118">
        <w:rPr>
          <w:rFonts w:asciiTheme="minorHAnsi" w:hAnsiTheme="minorHAnsi"/>
          <w:sz w:val="12"/>
          <w:lang w:val="uk-UA"/>
        </w:rPr>
        <w:t>Одночасний</w:t>
      </w:r>
      <w:r w:rsidRPr="003C6DAE">
        <w:rPr>
          <w:rFonts w:ascii="Arial MT" w:hAnsi="Arial MT"/>
          <w:sz w:val="12"/>
          <w:lang w:val="uk-UA"/>
        </w:rPr>
        <w:t xml:space="preserve"> </w:t>
      </w:r>
      <w:r w:rsidR="00E91118">
        <w:rPr>
          <w:rFonts w:asciiTheme="minorHAnsi" w:hAnsiTheme="minorHAnsi"/>
          <w:sz w:val="12"/>
          <w:lang w:val="uk-UA"/>
        </w:rPr>
        <w:t xml:space="preserve">проти зразків із </w:t>
      </w:r>
      <w:proofErr w:type="spellStart"/>
      <w:r w:rsidR="00E91118">
        <w:rPr>
          <w:rFonts w:asciiTheme="minorHAnsi" w:hAnsiTheme="minorHAnsi"/>
          <w:sz w:val="12"/>
          <w:lang w:val="uk-UA"/>
        </w:rPr>
        <w:t>дих.шляхів</w:t>
      </w:r>
      <w:proofErr w:type="spellEnd"/>
      <w:r w:rsidRPr="003C6DAE">
        <w:rPr>
          <w:rFonts w:ascii="Arial MT" w:hAnsi="Arial MT"/>
          <w:sz w:val="12"/>
          <w:lang w:val="uk-UA"/>
        </w:rPr>
        <w:t xml:space="preserve"> </w:t>
      </w:r>
      <w:r w:rsidR="00E91118">
        <w:rPr>
          <w:rFonts w:asciiTheme="minorHAnsi" w:hAnsiTheme="minorHAnsi"/>
          <w:sz w:val="12"/>
          <w:lang w:val="uk-UA"/>
        </w:rPr>
        <w:t xml:space="preserve">  </w:t>
      </w:r>
      <w:r w:rsidRPr="003C6DAE">
        <w:rPr>
          <w:sz w:val="12"/>
          <w:lang w:val="uk-UA"/>
        </w:rPr>
        <w:t>Δ</w:t>
      </w:r>
      <w:r w:rsidRPr="003C6DAE">
        <w:rPr>
          <w:spacing w:val="6"/>
          <w:sz w:val="12"/>
          <w:lang w:val="uk-UA"/>
        </w:rPr>
        <w:t xml:space="preserve"> </w:t>
      </w:r>
      <w:proofErr w:type="spellStart"/>
      <w:r w:rsidRPr="003C6DAE">
        <w:rPr>
          <w:rFonts w:ascii="Arial MT" w:hAnsi="Arial MT"/>
          <w:sz w:val="12"/>
          <w:lang w:val="uk-UA"/>
        </w:rPr>
        <w:t>Concurrent</w:t>
      </w:r>
      <w:proofErr w:type="spellEnd"/>
      <w:r w:rsidRPr="003C6DAE">
        <w:rPr>
          <w:rFonts w:ascii="Arial MT" w:hAnsi="Arial MT"/>
          <w:spacing w:val="5"/>
          <w:sz w:val="12"/>
          <w:lang w:val="uk-UA"/>
        </w:rPr>
        <w:t xml:space="preserve"> </w:t>
      </w:r>
      <w:proofErr w:type="spellStart"/>
      <w:r w:rsidRPr="003C6DAE">
        <w:rPr>
          <w:rFonts w:ascii="Arial MT" w:hAnsi="Arial MT"/>
          <w:sz w:val="12"/>
          <w:lang w:val="uk-UA"/>
        </w:rPr>
        <w:t>vs</w:t>
      </w:r>
      <w:proofErr w:type="spellEnd"/>
      <w:r w:rsidRPr="003C6DAE">
        <w:rPr>
          <w:rFonts w:ascii="Arial MT" w:hAnsi="Arial MT"/>
          <w:sz w:val="12"/>
          <w:lang w:val="uk-UA"/>
        </w:rPr>
        <w:t>.</w:t>
      </w:r>
      <w:r w:rsidRPr="003C6DAE">
        <w:rPr>
          <w:rFonts w:ascii="Arial MT" w:hAnsi="Arial MT"/>
          <w:spacing w:val="5"/>
          <w:sz w:val="12"/>
          <w:lang w:val="uk-UA"/>
        </w:rPr>
        <w:t xml:space="preserve"> </w:t>
      </w:r>
      <w:proofErr w:type="spellStart"/>
      <w:r w:rsidRPr="003C6DAE">
        <w:rPr>
          <w:rFonts w:ascii="Arial MT" w:hAnsi="Arial MT"/>
          <w:spacing w:val="-2"/>
          <w:sz w:val="12"/>
          <w:lang w:val="uk-UA"/>
        </w:rPr>
        <w:t>stool</w:t>
      </w:r>
      <w:proofErr w:type="spellEnd"/>
    </w:p>
    <w:p w14:paraId="6F55642D" w14:textId="77777777" w:rsidR="00E05B98" w:rsidRPr="003C6DAE" w:rsidRDefault="00E05B98">
      <w:pPr>
        <w:pStyle w:val="a3"/>
        <w:spacing w:before="122"/>
        <w:rPr>
          <w:rFonts w:ascii="Arial MT"/>
          <w:sz w:val="12"/>
          <w:lang w:val="uk-UA"/>
        </w:rPr>
      </w:pPr>
    </w:p>
    <w:p w14:paraId="1A33344C" w14:textId="434839E7" w:rsidR="00667DAB" w:rsidRDefault="00667DAB">
      <w:pPr>
        <w:spacing w:before="1" w:line="458" w:lineRule="auto"/>
        <w:ind w:left="70" w:right="323"/>
        <w:jc w:val="both"/>
        <w:rPr>
          <w:rFonts w:asciiTheme="minorHAnsi" w:hAnsiTheme="minorHAnsi"/>
          <w:sz w:val="12"/>
          <w:lang w:val="uk-UA"/>
        </w:rPr>
      </w:pPr>
    </w:p>
    <w:p w14:paraId="39F0FBC6" w14:textId="38BE7F51" w:rsidR="00E05B98" w:rsidRPr="003C6DAE" w:rsidRDefault="00B01E0C">
      <w:pPr>
        <w:spacing w:before="1" w:line="458" w:lineRule="auto"/>
        <w:ind w:left="70" w:right="323"/>
        <w:jc w:val="both"/>
        <w:rPr>
          <w:rFonts w:ascii="Arial MT"/>
          <w:sz w:val="12"/>
          <w:lang w:val="uk-UA"/>
        </w:rPr>
      </w:pPr>
      <w:r w:rsidRPr="003C6DAE">
        <w:rPr>
          <w:rFonts w:ascii="Arial MT"/>
          <w:sz w:val="12"/>
          <w:lang w:val="uk-UA"/>
        </w:rPr>
        <w:t>LC-</w:t>
      </w:r>
      <w:proofErr w:type="spellStart"/>
      <w:r w:rsidRPr="003C6DAE">
        <w:rPr>
          <w:rFonts w:ascii="Arial MT"/>
          <w:sz w:val="12"/>
          <w:lang w:val="uk-UA"/>
        </w:rPr>
        <w:t>aNAAT</w:t>
      </w:r>
      <w:proofErr w:type="spellEnd"/>
      <w:r w:rsidRPr="003C6DAE">
        <w:rPr>
          <w:rFonts w:ascii="Arial MT"/>
          <w:spacing w:val="-9"/>
          <w:sz w:val="12"/>
          <w:lang w:val="uk-UA"/>
        </w:rPr>
        <w:t xml:space="preserve"> </w:t>
      </w:r>
      <w:proofErr w:type="spellStart"/>
      <w:r w:rsidRPr="003C6DAE">
        <w:rPr>
          <w:rFonts w:ascii="Arial MT"/>
          <w:sz w:val="12"/>
          <w:lang w:val="uk-UA"/>
        </w:rPr>
        <w:t>stool</w:t>
      </w:r>
      <w:proofErr w:type="spellEnd"/>
      <w:r w:rsidRPr="003C6DAE">
        <w:rPr>
          <w:rFonts w:ascii="Arial MT"/>
          <w:spacing w:val="40"/>
          <w:sz w:val="12"/>
          <w:lang w:val="uk-UA"/>
        </w:rPr>
        <w:t xml:space="preserve"> </w:t>
      </w:r>
      <w:r w:rsidRPr="003C6DAE">
        <w:rPr>
          <w:rFonts w:ascii="Arial MT"/>
          <w:sz w:val="12"/>
          <w:lang w:val="uk-UA"/>
        </w:rPr>
        <w:t>LC-</w:t>
      </w:r>
      <w:proofErr w:type="spellStart"/>
      <w:r w:rsidRPr="003C6DAE">
        <w:rPr>
          <w:rFonts w:ascii="Arial MT"/>
          <w:sz w:val="12"/>
          <w:lang w:val="uk-UA"/>
        </w:rPr>
        <w:t>aNAAT</w:t>
      </w:r>
      <w:proofErr w:type="spellEnd"/>
      <w:r w:rsidRPr="003C6DAE">
        <w:rPr>
          <w:rFonts w:ascii="Arial MT"/>
          <w:spacing w:val="-7"/>
          <w:sz w:val="12"/>
          <w:lang w:val="uk-UA"/>
        </w:rPr>
        <w:t xml:space="preserve"> </w:t>
      </w:r>
      <w:proofErr w:type="spellStart"/>
      <w:r w:rsidRPr="003C6DAE">
        <w:rPr>
          <w:rFonts w:ascii="Arial MT"/>
          <w:sz w:val="12"/>
          <w:lang w:val="uk-UA"/>
        </w:rPr>
        <w:t>resp</w:t>
      </w:r>
      <w:proofErr w:type="spellEnd"/>
      <w:r w:rsidRPr="003C6DAE">
        <w:rPr>
          <w:rFonts w:ascii="Arial MT"/>
          <w:spacing w:val="40"/>
          <w:sz w:val="12"/>
          <w:lang w:val="uk-UA"/>
        </w:rPr>
        <w:t xml:space="preserve"> </w:t>
      </w:r>
      <w:proofErr w:type="spellStart"/>
      <w:r w:rsidRPr="003C6DAE">
        <w:rPr>
          <w:rFonts w:ascii="Arial MT"/>
          <w:spacing w:val="-2"/>
          <w:sz w:val="12"/>
          <w:lang w:val="uk-UA"/>
        </w:rPr>
        <w:t>Concurrent</w:t>
      </w:r>
      <w:proofErr w:type="spellEnd"/>
    </w:p>
    <w:p w14:paraId="6CF7A448" w14:textId="77777777" w:rsidR="00E05B98" w:rsidRPr="003C6DAE" w:rsidRDefault="00B01E0C">
      <w:pPr>
        <w:spacing w:line="458" w:lineRule="auto"/>
        <w:ind w:left="70"/>
        <w:jc w:val="both"/>
        <w:rPr>
          <w:rFonts w:ascii="Arial MT" w:hAnsi="Arial MT"/>
          <w:sz w:val="12"/>
          <w:lang w:val="uk-UA"/>
        </w:rPr>
      </w:pPr>
      <w:r w:rsidRPr="003C6DAE">
        <w:rPr>
          <w:sz w:val="12"/>
          <w:lang w:val="uk-UA"/>
        </w:rPr>
        <w:t xml:space="preserve">Δ </w:t>
      </w:r>
      <w:proofErr w:type="spellStart"/>
      <w:r w:rsidRPr="003C6DAE">
        <w:rPr>
          <w:rFonts w:ascii="Arial MT" w:hAnsi="Arial MT"/>
          <w:sz w:val="12"/>
          <w:lang w:val="uk-UA"/>
        </w:rPr>
        <w:t>Concurrent</w:t>
      </w:r>
      <w:proofErr w:type="spellEnd"/>
      <w:r w:rsidRPr="003C6DAE">
        <w:rPr>
          <w:rFonts w:ascii="Arial MT" w:hAnsi="Arial MT"/>
          <w:sz w:val="12"/>
          <w:lang w:val="uk-UA"/>
        </w:rPr>
        <w:t xml:space="preserve"> </w:t>
      </w:r>
      <w:proofErr w:type="spellStart"/>
      <w:r w:rsidRPr="003C6DAE">
        <w:rPr>
          <w:rFonts w:ascii="Arial MT" w:hAnsi="Arial MT"/>
          <w:sz w:val="12"/>
          <w:lang w:val="uk-UA"/>
        </w:rPr>
        <w:t>vs</w:t>
      </w:r>
      <w:proofErr w:type="spellEnd"/>
      <w:r w:rsidRPr="003C6DAE">
        <w:rPr>
          <w:rFonts w:ascii="Arial MT" w:hAnsi="Arial MT"/>
          <w:sz w:val="12"/>
          <w:lang w:val="uk-UA"/>
        </w:rPr>
        <w:t xml:space="preserve">. </w:t>
      </w:r>
      <w:proofErr w:type="spellStart"/>
      <w:r w:rsidRPr="003C6DAE">
        <w:rPr>
          <w:rFonts w:ascii="Arial MT" w:hAnsi="Arial MT"/>
          <w:sz w:val="12"/>
          <w:lang w:val="uk-UA"/>
        </w:rPr>
        <w:t>resp</w:t>
      </w:r>
      <w:proofErr w:type="spellEnd"/>
      <w:r w:rsidRPr="003C6DAE">
        <w:rPr>
          <w:rFonts w:ascii="Arial MT" w:hAnsi="Arial MT"/>
          <w:spacing w:val="40"/>
          <w:sz w:val="12"/>
          <w:lang w:val="uk-UA"/>
        </w:rPr>
        <w:t xml:space="preserve"> </w:t>
      </w:r>
      <w:r w:rsidRPr="003C6DAE">
        <w:rPr>
          <w:sz w:val="12"/>
          <w:lang w:val="uk-UA"/>
        </w:rPr>
        <w:t>Δ</w:t>
      </w:r>
      <w:r w:rsidRPr="003C6DAE">
        <w:rPr>
          <w:spacing w:val="6"/>
          <w:sz w:val="12"/>
          <w:lang w:val="uk-UA"/>
        </w:rPr>
        <w:t xml:space="preserve"> </w:t>
      </w:r>
      <w:proofErr w:type="spellStart"/>
      <w:r w:rsidRPr="003C6DAE">
        <w:rPr>
          <w:rFonts w:ascii="Arial MT" w:hAnsi="Arial MT"/>
          <w:sz w:val="12"/>
          <w:lang w:val="uk-UA"/>
        </w:rPr>
        <w:t>Concurrent</w:t>
      </w:r>
      <w:proofErr w:type="spellEnd"/>
      <w:r w:rsidRPr="003C6DAE">
        <w:rPr>
          <w:rFonts w:ascii="Arial MT" w:hAnsi="Arial MT"/>
          <w:spacing w:val="5"/>
          <w:sz w:val="12"/>
          <w:lang w:val="uk-UA"/>
        </w:rPr>
        <w:t xml:space="preserve"> </w:t>
      </w:r>
      <w:proofErr w:type="spellStart"/>
      <w:r w:rsidRPr="003C6DAE">
        <w:rPr>
          <w:rFonts w:ascii="Arial MT" w:hAnsi="Arial MT"/>
          <w:sz w:val="12"/>
          <w:lang w:val="uk-UA"/>
        </w:rPr>
        <w:t>vs</w:t>
      </w:r>
      <w:proofErr w:type="spellEnd"/>
      <w:r w:rsidRPr="003C6DAE">
        <w:rPr>
          <w:rFonts w:ascii="Arial MT" w:hAnsi="Arial MT"/>
          <w:sz w:val="12"/>
          <w:lang w:val="uk-UA"/>
        </w:rPr>
        <w:t>.</w:t>
      </w:r>
      <w:r w:rsidRPr="003C6DAE">
        <w:rPr>
          <w:rFonts w:ascii="Arial MT" w:hAnsi="Arial MT"/>
          <w:spacing w:val="5"/>
          <w:sz w:val="12"/>
          <w:lang w:val="uk-UA"/>
        </w:rPr>
        <w:t xml:space="preserve"> </w:t>
      </w:r>
      <w:proofErr w:type="spellStart"/>
      <w:r w:rsidRPr="003C6DAE">
        <w:rPr>
          <w:rFonts w:ascii="Arial MT" w:hAnsi="Arial MT"/>
          <w:spacing w:val="-2"/>
          <w:sz w:val="12"/>
          <w:lang w:val="uk-UA"/>
        </w:rPr>
        <w:t>stool</w:t>
      </w:r>
      <w:proofErr w:type="spellEnd"/>
    </w:p>
    <w:p w14:paraId="736657B0" w14:textId="676C62F6" w:rsidR="00E05B98" w:rsidRPr="003C6DAE" w:rsidRDefault="00B01E0C">
      <w:pPr>
        <w:spacing w:before="99"/>
        <w:ind w:left="188"/>
        <w:rPr>
          <w:rFonts w:ascii="Arial"/>
          <w:b/>
          <w:sz w:val="12"/>
          <w:lang w:val="uk-UA"/>
        </w:rPr>
      </w:pPr>
      <w:r w:rsidRPr="003C6DAE">
        <w:rPr>
          <w:lang w:val="uk-UA"/>
        </w:rPr>
        <w:br w:type="column"/>
      </w:r>
      <w:r w:rsidR="00A3753A">
        <w:rPr>
          <w:rFonts w:ascii="Arial"/>
          <w:b/>
          <w:spacing w:val="-10"/>
          <w:sz w:val="12"/>
          <w:lang w:val="uk-UA"/>
        </w:rPr>
        <w:t>К</w:t>
      </w:r>
      <w:r w:rsidR="00A3753A">
        <w:rPr>
          <w:rFonts w:ascii="Arial"/>
          <w:b/>
          <w:spacing w:val="-10"/>
          <w:sz w:val="12"/>
          <w:lang w:val="uk-UA"/>
        </w:rPr>
        <w:t>-</w:t>
      </w:r>
      <w:r w:rsidR="00A3753A">
        <w:rPr>
          <w:rFonts w:ascii="Arial"/>
          <w:b/>
          <w:spacing w:val="-10"/>
          <w:sz w:val="12"/>
          <w:lang w:val="uk-UA"/>
        </w:rPr>
        <w:t>сть</w:t>
      </w:r>
    </w:p>
    <w:p w14:paraId="383EECC1" w14:textId="77777777" w:rsidR="00E05B98" w:rsidRPr="003C6DAE" w:rsidRDefault="00B01E0C">
      <w:pPr>
        <w:spacing w:before="125"/>
        <w:ind w:left="188"/>
        <w:rPr>
          <w:rFonts w:ascii="Arial MT"/>
          <w:sz w:val="12"/>
          <w:lang w:val="uk-UA"/>
        </w:rPr>
      </w:pPr>
      <w:r w:rsidRPr="003C6DAE">
        <w:rPr>
          <w:rFonts w:ascii="Arial MT"/>
          <w:spacing w:val="-4"/>
          <w:sz w:val="12"/>
          <w:lang w:val="uk-UA"/>
        </w:rPr>
        <w:t>2145</w:t>
      </w:r>
    </w:p>
    <w:p w14:paraId="610D7EA7" w14:textId="77777777" w:rsidR="00E05B98" w:rsidRPr="003C6DAE" w:rsidRDefault="00B01E0C">
      <w:pPr>
        <w:spacing w:before="125"/>
        <w:ind w:left="188"/>
        <w:rPr>
          <w:rFonts w:ascii="Arial MT"/>
          <w:sz w:val="12"/>
          <w:lang w:val="uk-UA"/>
        </w:rPr>
      </w:pPr>
      <w:r w:rsidRPr="003C6DAE">
        <w:rPr>
          <w:rFonts w:ascii="Arial MT"/>
          <w:spacing w:val="-4"/>
          <w:sz w:val="12"/>
          <w:lang w:val="uk-UA"/>
        </w:rPr>
        <w:t>2145</w:t>
      </w:r>
    </w:p>
    <w:p w14:paraId="5DC0C500" w14:textId="77777777" w:rsidR="00E05B98" w:rsidRPr="003C6DAE" w:rsidRDefault="00B01E0C">
      <w:pPr>
        <w:spacing w:before="125"/>
        <w:ind w:left="188"/>
        <w:rPr>
          <w:rFonts w:ascii="Arial MT"/>
          <w:sz w:val="12"/>
          <w:lang w:val="uk-UA"/>
        </w:rPr>
      </w:pPr>
      <w:r w:rsidRPr="003C6DAE">
        <w:rPr>
          <w:rFonts w:ascii="Arial MT"/>
          <w:spacing w:val="-4"/>
          <w:sz w:val="12"/>
          <w:lang w:val="uk-UA"/>
        </w:rPr>
        <w:t>2145</w:t>
      </w:r>
    </w:p>
    <w:p w14:paraId="47528643" w14:textId="77777777" w:rsidR="00E05B98" w:rsidRPr="003C6DAE" w:rsidRDefault="00E05B98">
      <w:pPr>
        <w:pStyle w:val="a3"/>
        <w:rPr>
          <w:rFonts w:ascii="Arial MT"/>
          <w:sz w:val="12"/>
          <w:lang w:val="uk-UA"/>
        </w:rPr>
      </w:pPr>
    </w:p>
    <w:p w14:paraId="43F59C72" w14:textId="77777777" w:rsidR="00E05B98" w:rsidRPr="003C6DAE" w:rsidRDefault="00E05B98">
      <w:pPr>
        <w:pStyle w:val="a3"/>
        <w:rPr>
          <w:rFonts w:ascii="Arial MT"/>
          <w:sz w:val="12"/>
          <w:lang w:val="uk-UA"/>
        </w:rPr>
      </w:pPr>
    </w:p>
    <w:p w14:paraId="407F8EAA" w14:textId="77777777" w:rsidR="00E05B98" w:rsidRPr="003C6DAE" w:rsidRDefault="00E05B98">
      <w:pPr>
        <w:pStyle w:val="a3"/>
        <w:rPr>
          <w:rFonts w:ascii="Arial MT"/>
          <w:sz w:val="12"/>
          <w:lang w:val="uk-UA"/>
        </w:rPr>
      </w:pPr>
    </w:p>
    <w:p w14:paraId="7890F402" w14:textId="77777777" w:rsidR="00E05B98" w:rsidRPr="003C6DAE" w:rsidRDefault="00E05B98">
      <w:pPr>
        <w:pStyle w:val="a3"/>
        <w:rPr>
          <w:rFonts w:ascii="Arial MT"/>
          <w:sz w:val="12"/>
          <w:lang w:val="uk-UA"/>
        </w:rPr>
      </w:pPr>
    </w:p>
    <w:p w14:paraId="6BEDF246" w14:textId="77777777" w:rsidR="00E05B98" w:rsidRPr="003C6DAE" w:rsidRDefault="00E05B98">
      <w:pPr>
        <w:pStyle w:val="a3"/>
        <w:rPr>
          <w:rFonts w:ascii="Arial MT"/>
          <w:sz w:val="12"/>
          <w:lang w:val="uk-UA"/>
        </w:rPr>
      </w:pPr>
    </w:p>
    <w:p w14:paraId="227469E2" w14:textId="77777777" w:rsidR="00E05B98" w:rsidRPr="003C6DAE" w:rsidRDefault="00E05B98">
      <w:pPr>
        <w:pStyle w:val="a3"/>
        <w:spacing w:before="86"/>
        <w:rPr>
          <w:rFonts w:ascii="Arial MT"/>
          <w:sz w:val="12"/>
          <w:lang w:val="uk-UA"/>
        </w:rPr>
      </w:pPr>
    </w:p>
    <w:p w14:paraId="670EBFB7" w14:textId="77777777" w:rsidR="00E05B98" w:rsidRPr="003C6DAE" w:rsidRDefault="00B01E0C">
      <w:pPr>
        <w:ind w:left="188"/>
        <w:rPr>
          <w:rFonts w:ascii="Arial MT"/>
          <w:sz w:val="12"/>
          <w:lang w:val="uk-UA"/>
        </w:rPr>
      </w:pPr>
      <w:r w:rsidRPr="003C6DAE">
        <w:rPr>
          <w:rFonts w:ascii="Arial MT"/>
          <w:spacing w:val="-4"/>
          <w:sz w:val="12"/>
          <w:lang w:val="uk-UA"/>
        </w:rPr>
        <w:t>3579</w:t>
      </w:r>
    </w:p>
    <w:p w14:paraId="3BDDCDA9" w14:textId="77777777" w:rsidR="00E05B98" w:rsidRPr="003C6DAE" w:rsidRDefault="00B01E0C">
      <w:pPr>
        <w:spacing w:before="125"/>
        <w:ind w:left="188"/>
        <w:rPr>
          <w:rFonts w:ascii="Arial MT"/>
          <w:sz w:val="12"/>
          <w:lang w:val="uk-UA"/>
        </w:rPr>
      </w:pPr>
      <w:r w:rsidRPr="003C6DAE">
        <w:rPr>
          <w:rFonts w:ascii="Arial MT"/>
          <w:spacing w:val="-4"/>
          <w:sz w:val="12"/>
          <w:lang w:val="uk-UA"/>
        </w:rPr>
        <w:t>3579</w:t>
      </w:r>
    </w:p>
    <w:p w14:paraId="4727A1BD" w14:textId="77777777" w:rsidR="00E05B98" w:rsidRPr="003C6DAE" w:rsidRDefault="00B01E0C">
      <w:pPr>
        <w:spacing w:before="126"/>
        <w:ind w:left="188"/>
        <w:rPr>
          <w:rFonts w:ascii="Arial MT"/>
          <w:sz w:val="12"/>
          <w:lang w:val="uk-UA"/>
        </w:rPr>
      </w:pPr>
      <w:r w:rsidRPr="003C6DAE">
        <w:rPr>
          <w:rFonts w:ascii="Arial MT"/>
          <w:spacing w:val="-4"/>
          <w:sz w:val="12"/>
          <w:lang w:val="uk-UA"/>
        </w:rPr>
        <w:t>3573</w:t>
      </w:r>
    </w:p>
    <w:p w14:paraId="5674A53A" w14:textId="71E0B884" w:rsidR="00E05B98" w:rsidRPr="003C6DAE" w:rsidRDefault="00B01E0C">
      <w:pPr>
        <w:spacing w:before="99"/>
        <w:ind w:left="230"/>
        <w:rPr>
          <w:rFonts w:ascii="Arial"/>
          <w:b/>
          <w:sz w:val="12"/>
          <w:lang w:val="uk-UA"/>
        </w:rPr>
      </w:pPr>
      <w:r w:rsidRPr="003C6DAE">
        <w:rPr>
          <w:lang w:val="uk-UA"/>
        </w:rPr>
        <w:br w:type="column"/>
      </w:r>
      <w:r w:rsidR="00A3753A">
        <w:rPr>
          <w:rFonts w:ascii="Arial"/>
          <w:b/>
          <w:sz w:val="12"/>
          <w:lang w:val="uk-UA"/>
        </w:rPr>
        <w:t>К</w:t>
      </w:r>
      <w:r w:rsidR="00A3753A">
        <w:rPr>
          <w:rFonts w:ascii="Arial"/>
          <w:b/>
          <w:sz w:val="12"/>
          <w:lang w:val="uk-UA"/>
        </w:rPr>
        <w:t>-</w:t>
      </w:r>
      <w:r w:rsidR="00A3753A">
        <w:rPr>
          <w:rFonts w:ascii="Arial"/>
          <w:b/>
          <w:sz w:val="12"/>
          <w:lang w:val="uk-UA"/>
        </w:rPr>
        <w:t>сть</w:t>
      </w:r>
      <w:r w:rsidRPr="003C6DAE">
        <w:rPr>
          <w:rFonts w:ascii="Arial"/>
          <w:b/>
          <w:sz w:val="12"/>
          <w:lang w:val="uk-UA"/>
        </w:rPr>
        <w:t>.</w:t>
      </w:r>
      <w:r w:rsidRPr="003C6DAE">
        <w:rPr>
          <w:rFonts w:ascii="Arial"/>
          <w:b/>
          <w:spacing w:val="4"/>
          <w:sz w:val="12"/>
          <w:lang w:val="uk-UA"/>
        </w:rPr>
        <w:t xml:space="preserve"> </w:t>
      </w:r>
      <w:r w:rsidRPr="003C6DAE">
        <w:rPr>
          <w:rFonts w:ascii="Arial"/>
          <w:b/>
          <w:sz w:val="12"/>
          <w:lang w:val="uk-UA"/>
        </w:rPr>
        <w:t>(%)</w:t>
      </w:r>
      <w:r w:rsidRPr="003C6DAE">
        <w:rPr>
          <w:rFonts w:ascii="Arial"/>
          <w:b/>
          <w:spacing w:val="4"/>
          <w:sz w:val="12"/>
          <w:lang w:val="uk-UA"/>
        </w:rPr>
        <w:t xml:space="preserve"> </w:t>
      </w:r>
      <w:r w:rsidR="00A3753A">
        <w:rPr>
          <w:rFonts w:ascii="Arial"/>
          <w:b/>
          <w:sz w:val="12"/>
          <w:lang w:val="uk-UA"/>
        </w:rPr>
        <w:t>з</w:t>
      </w:r>
      <w:r w:rsidR="00A3753A">
        <w:rPr>
          <w:rFonts w:ascii="Arial"/>
          <w:b/>
          <w:sz w:val="12"/>
          <w:lang w:val="uk-UA"/>
        </w:rPr>
        <w:t xml:space="preserve"> </w:t>
      </w:r>
      <w:r w:rsidR="00A3753A">
        <w:rPr>
          <w:rFonts w:ascii="Arial"/>
          <w:b/>
          <w:sz w:val="12"/>
          <w:lang w:val="uk-UA"/>
        </w:rPr>
        <w:t>ТБ</w:t>
      </w:r>
    </w:p>
    <w:p w14:paraId="53F38C8B" w14:textId="77777777" w:rsidR="00E05B98" w:rsidRPr="003C6DAE" w:rsidRDefault="00B01E0C">
      <w:pPr>
        <w:spacing w:before="125"/>
        <w:ind w:left="230"/>
        <w:rPr>
          <w:rFonts w:ascii="Arial MT"/>
          <w:sz w:val="12"/>
          <w:lang w:val="uk-UA"/>
        </w:rPr>
      </w:pPr>
      <w:r w:rsidRPr="003C6DAE">
        <w:rPr>
          <w:rFonts w:ascii="Arial MT"/>
          <w:sz w:val="12"/>
          <w:lang w:val="uk-UA"/>
        </w:rPr>
        <w:t>173</w:t>
      </w:r>
      <w:r w:rsidRPr="003C6DAE">
        <w:rPr>
          <w:rFonts w:ascii="Arial MT"/>
          <w:spacing w:val="2"/>
          <w:sz w:val="12"/>
          <w:lang w:val="uk-UA"/>
        </w:rPr>
        <w:t xml:space="preserve"> </w:t>
      </w:r>
      <w:r w:rsidRPr="003C6DAE">
        <w:rPr>
          <w:rFonts w:ascii="Arial MT"/>
          <w:spacing w:val="-2"/>
          <w:sz w:val="12"/>
          <w:lang w:val="uk-UA"/>
        </w:rPr>
        <w:t>(8.07%)</w:t>
      </w:r>
    </w:p>
    <w:p w14:paraId="41638E9B" w14:textId="77777777" w:rsidR="00E05B98" w:rsidRPr="003C6DAE" w:rsidRDefault="00B01E0C">
      <w:pPr>
        <w:spacing w:before="125"/>
        <w:ind w:left="230"/>
        <w:rPr>
          <w:rFonts w:ascii="Arial MT"/>
          <w:sz w:val="12"/>
          <w:lang w:val="uk-UA"/>
        </w:rPr>
      </w:pPr>
      <w:r w:rsidRPr="003C6DAE">
        <w:rPr>
          <w:rFonts w:ascii="Arial MT"/>
          <w:sz w:val="12"/>
          <w:lang w:val="uk-UA"/>
        </w:rPr>
        <w:t>173</w:t>
      </w:r>
      <w:r w:rsidRPr="003C6DAE">
        <w:rPr>
          <w:rFonts w:ascii="Arial MT"/>
          <w:spacing w:val="2"/>
          <w:sz w:val="12"/>
          <w:lang w:val="uk-UA"/>
        </w:rPr>
        <w:t xml:space="preserve"> </w:t>
      </w:r>
      <w:r w:rsidRPr="003C6DAE">
        <w:rPr>
          <w:rFonts w:ascii="Arial MT"/>
          <w:spacing w:val="-2"/>
          <w:sz w:val="12"/>
          <w:lang w:val="uk-UA"/>
        </w:rPr>
        <w:t>(8.07%)</w:t>
      </w:r>
    </w:p>
    <w:p w14:paraId="2362AF8B" w14:textId="77777777" w:rsidR="00E05B98" w:rsidRPr="003C6DAE" w:rsidRDefault="00B01E0C">
      <w:pPr>
        <w:spacing w:before="125"/>
        <w:ind w:left="230"/>
        <w:rPr>
          <w:rFonts w:ascii="Arial MT"/>
          <w:sz w:val="12"/>
          <w:lang w:val="uk-UA"/>
        </w:rPr>
      </w:pPr>
      <w:r w:rsidRPr="003C6DAE">
        <w:rPr>
          <w:rFonts w:ascii="Arial MT"/>
          <w:sz w:val="12"/>
          <w:lang w:val="uk-UA"/>
        </w:rPr>
        <w:t>173</w:t>
      </w:r>
      <w:r w:rsidRPr="003C6DAE">
        <w:rPr>
          <w:rFonts w:ascii="Arial MT"/>
          <w:spacing w:val="2"/>
          <w:sz w:val="12"/>
          <w:lang w:val="uk-UA"/>
        </w:rPr>
        <w:t xml:space="preserve"> </w:t>
      </w:r>
      <w:r w:rsidRPr="003C6DAE">
        <w:rPr>
          <w:rFonts w:ascii="Arial MT"/>
          <w:spacing w:val="-2"/>
          <w:sz w:val="12"/>
          <w:lang w:val="uk-UA"/>
        </w:rPr>
        <w:t>(8.07%)</w:t>
      </w:r>
    </w:p>
    <w:p w14:paraId="1BF53C2B" w14:textId="77777777" w:rsidR="00E05B98" w:rsidRPr="003C6DAE" w:rsidRDefault="00E05B98">
      <w:pPr>
        <w:pStyle w:val="a3"/>
        <w:rPr>
          <w:rFonts w:ascii="Arial MT"/>
          <w:sz w:val="12"/>
          <w:lang w:val="uk-UA"/>
        </w:rPr>
      </w:pPr>
    </w:p>
    <w:p w14:paraId="2A11FAD7" w14:textId="77777777" w:rsidR="00E05B98" w:rsidRPr="003C6DAE" w:rsidRDefault="00E05B98">
      <w:pPr>
        <w:pStyle w:val="a3"/>
        <w:rPr>
          <w:rFonts w:ascii="Arial MT"/>
          <w:sz w:val="12"/>
          <w:lang w:val="uk-UA"/>
        </w:rPr>
      </w:pPr>
    </w:p>
    <w:p w14:paraId="0ED0CCF2" w14:textId="77777777" w:rsidR="00E05B98" w:rsidRPr="003C6DAE" w:rsidRDefault="00E05B98">
      <w:pPr>
        <w:pStyle w:val="a3"/>
        <w:rPr>
          <w:rFonts w:ascii="Arial MT"/>
          <w:sz w:val="12"/>
          <w:lang w:val="uk-UA"/>
        </w:rPr>
      </w:pPr>
    </w:p>
    <w:p w14:paraId="7B531449" w14:textId="77777777" w:rsidR="00E05B98" w:rsidRPr="003C6DAE" w:rsidRDefault="00E05B98">
      <w:pPr>
        <w:pStyle w:val="a3"/>
        <w:rPr>
          <w:rFonts w:ascii="Arial MT"/>
          <w:sz w:val="12"/>
          <w:lang w:val="uk-UA"/>
        </w:rPr>
      </w:pPr>
    </w:p>
    <w:p w14:paraId="3D3E3373" w14:textId="77777777" w:rsidR="00E05B98" w:rsidRPr="003C6DAE" w:rsidRDefault="00E05B98">
      <w:pPr>
        <w:pStyle w:val="a3"/>
        <w:rPr>
          <w:rFonts w:ascii="Arial MT"/>
          <w:sz w:val="12"/>
          <w:lang w:val="uk-UA"/>
        </w:rPr>
      </w:pPr>
    </w:p>
    <w:p w14:paraId="1648913B" w14:textId="77777777" w:rsidR="00E05B98" w:rsidRPr="003C6DAE" w:rsidRDefault="00E05B98">
      <w:pPr>
        <w:pStyle w:val="a3"/>
        <w:spacing w:before="86"/>
        <w:rPr>
          <w:rFonts w:ascii="Arial MT"/>
          <w:sz w:val="12"/>
          <w:lang w:val="uk-UA"/>
        </w:rPr>
      </w:pPr>
    </w:p>
    <w:p w14:paraId="78F83EBA" w14:textId="77777777" w:rsidR="00E05B98" w:rsidRPr="003C6DAE" w:rsidRDefault="00B01E0C">
      <w:pPr>
        <w:ind w:left="230"/>
        <w:rPr>
          <w:rFonts w:ascii="Arial MT"/>
          <w:sz w:val="12"/>
          <w:lang w:val="uk-UA"/>
        </w:rPr>
      </w:pPr>
      <w:r w:rsidRPr="003C6DAE">
        <w:rPr>
          <w:rFonts w:ascii="Arial MT"/>
          <w:sz w:val="12"/>
          <w:lang w:val="uk-UA"/>
        </w:rPr>
        <w:t>1513</w:t>
      </w:r>
      <w:r w:rsidRPr="003C6DAE">
        <w:rPr>
          <w:rFonts w:ascii="Arial MT"/>
          <w:spacing w:val="2"/>
          <w:sz w:val="12"/>
          <w:lang w:val="uk-UA"/>
        </w:rPr>
        <w:t xml:space="preserve"> </w:t>
      </w:r>
      <w:r w:rsidRPr="003C6DAE">
        <w:rPr>
          <w:rFonts w:ascii="Arial MT"/>
          <w:spacing w:val="-2"/>
          <w:sz w:val="12"/>
          <w:lang w:val="uk-UA"/>
        </w:rPr>
        <w:t>(42.3%)</w:t>
      </w:r>
    </w:p>
    <w:p w14:paraId="668B4B8C" w14:textId="77777777" w:rsidR="00E05B98" w:rsidRPr="003C6DAE" w:rsidRDefault="00B01E0C">
      <w:pPr>
        <w:spacing w:before="125"/>
        <w:ind w:left="230"/>
        <w:rPr>
          <w:rFonts w:ascii="Arial MT"/>
          <w:sz w:val="12"/>
          <w:lang w:val="uk-UA"/>
        </w:rPr>
      </w:pPr>
      <w:r w:rsidRPr="003C6DAE">
        <w:rPr>
          <w:rFonts w:ascii="Arial MT"/>
          <w:sz w:val="12"/>
          <w:lang w:val="uk-UA"/>
        </w:rPr>
        <w:t>1513</w:t>
      </w:r>
      <w:r w:rsidRPr="003C6DAE">
        <w:rPr>
          <w:rFonts w:ascii="Arial MT"/>
          <w:spacing w:val="2"/>
          <w:sz w:val="12"/>
          <w:lang w:val="uk-UA"/>
        </w:rPr>
        <w:t xml:space="preserve"> </w:t>
      </w:r>
      <w:r w:rsidRPr="003C6DAE">
        <w:rPr>
          <w:rFonts w:ascii="Arial MT"/>
          <w:spacing w:val="-2"/>
          <w:sz w:val="12"/>
          <w:lang w:val="uk-UA"/>
        </w:rPr>
        <w:t>(42.3%)</w:t>
      </w:r>
    </w:p>
    <w:p w14:paraId="08DE1BF2" w14:textId="77777777" w:rsidR="00E05B98" w:rsidRPr="003C6DAE" w:rsidRDefault="00B01E0C">
      <w:pPr>
        <w:spacing w:before="126"/>
        <w:ind w:left="230"/>
        <w:rPr>
          <w:rFonts w:ascii="Arial MT"/>
          <w:sz w:val="12"/>
          <w:lang w:val="uk-UA"/>
        </w:rPr>
      </w:pPr>
      <w:r w:rsidRPr="003C6DAE">
        <w:rPr>
          <w:rFonts w:ascii="Arial MT"/>
          <w:sz w:val="12"/>
          <w:lang w:val="uk-UA"/>
        </w:rPr>
        <w:t>1507</w:t>
      </w:r>
      <w:r w:rsidRPr="003C6DAE">
        <w:rPr>
          <w:rFonts w:ascii="Arial MT"/>
          <w:spacing w:val="2"/>
          <w:sz w:val="12"/>
          <w:lang w:val="uk-UA"/>
        </w:rPr>
        <w:t xml:space="preserve"> </w:t>
      </w:r>
      <w:r w:rsidRPr="003C6DAE">
        <w:rPr>
          <w:rFonts w:ascii="Arial MT"/>
          <w:spacing w:val="-2"/>
          <w:sz w:val="12"/>
          <w:lang w:val="uk-UA"/>
        </w:rPr>
        <w:t>(42.2%)</w:t>
      </w:r>
    </w:p>
    <w:p w14:paraId="4BE2BD79" w14:textId="77777777" w:rsidR="00E05B98" w:rsidRPr="003C6DAE" w:rsidRDefault="00B01E0C">
      <w:pPr>
        <w:spacing w:before="99"/>
        <w:ind w:left="591"/>
        <w:jc w:val="center"/>
        <w:rPr>
          <w:rFonts w:ascii="Arial"/>
          <w:b/>
          <w:sz w:val="12"/>
          <w:lang w:val="uk-UA"/>
        </w:rPr>
      </w:pPr>
      <w:r w:rsidRPr="003C6DAE">
        <w:rPr>
          <w:lang w:val="uk-UA"/>
        </w:rPr>
        <w:br w:type="column"/>
      </w:r>
      <w:proofErr w:type="spellStart"/>
      <w:r w:rsidRPr="003C6DAE">
        <w:rPr>
          <w:rFonts w:ascii="Arial"/>
          <w:b/>
          <w:sz w:val="12"/>
          <w:lang w:val="uk-UA"/>
        </w:rPr>
        <w:t>Summary</w:t>
      </w:r>
      <w:proofErr w:type="spellEnd"/>
      <w:r w:rsidRPr="003C6DAE">
        <w:rPr>
          <w:rFonts w:ascii="Arial"/>
          <w:b/>
          <w:spacing w:val="3"/>
          <w:sz w:val="12"/>
          <w:lang w:val="uk-UA"/>
        </w:rPr>
        <w:t xml:space="preserve"> </w:t>
      </w:r>
      <w:r w:rsidRPr="003C6DAE">
        <w:rPr>
          <w:rFonts w:ascii="Arial"/>
          <w:b/>
          <w:sz w:val="12"/>
          <w:lang w:val="uk-UA"/>
        </w:rPr>
        <w:t>(95%</w:t>
      </w:r>
      <w:r w:rsidRPr="003C6DAE">
        <w:rPr>
          <w:rFonts w:ascii="Arial"/>
          <w:b/>
          <w:spacing w:val="4"/>
          <w:sz w:val="12"/>
          <w:lang w:val="uk-UA"/>
        </w:rPr>
        <w:t xml:space="preserve"> </w:t>
      </w:r>
      <w:r w:rsidRPr="003C6DAE">
        <w:rPr>
          <w:rFonts w:ascii="Arial"/>
          <w:b/>
          <w:spacing w:val="-4"/>
          <w:sz w:val="12"/>
          <w:lang w:val="uk-UA"/>
        </w:rPr>
        <w:t>CrI)</w:t>
      </w:r>
    </w:p>
    <w:p w14:paraId="548BAB64" w14:textId="77777777" w:rsidR="00E05B98" w:rsidRPr="003C6DAE" w:rsidRDefault="00B01E0C">
      <w:pPr>
        <w:spacing w:before="125"/>
        <w:ind w:left="591"/>
        <w:jc w:val="center"/>
        <w:rPr>
          <w:rFonts w:ascii="Arial MT"/>
          <w:sz w:val="12"/>
          <w:lang w:val="uk-UA"/>
        </w:rPr>
      </w:pPr>
      <w:r w:rsidRPr="003C6DAE">
        <w:rPr>
          <w:rFonts w:ascii="Arial MT"/>
          <w:noProof/>
          <w:sz w:val="12"/>
          <w:lang w:val="uk-UA"/>
        </w:rPr>
        <mc:AlternateContent>
          <mc:Choice Requires="wpg">
            <w:drawing>
              <wp:anchor distT="0" distB="0" distL="0" distR="0" simplePos="0" relativeHeight="16060928" behindDoc="0" locked="0" layoutInCell="1" allowOverlap="1" wp14:anchorId="692956C9" wp14:editId="07FB8003">
                <wp:simplePos x="0" y="0"/>
                <wp:positionH relativeFrom="page">
                  <wp:posOffset>3719581</wp:posOffset>
                </wp:positionH>
                <wp:positionV relativeFrom="paragraph">
                  <wp:posOffset>91214</wp:posOffset>
                </wp:positionV>
                <wp:extent cx="287020" cy="704215"/>
                <wp:effectExtent l="0" t="0" r="0" b="0"/>
                <wp:wrapNone/>
                <wp:docPr id="2125" name="Group 2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704215"/>
                          <a:chOff x="0" y="0"/>
                          <a:chExt cx="287020" cy="704215"/>
                        </a:xfrm>
                      </wpg:grpSpPr>
                      <wps:wsp>
                        <wps:cNvPr id="2126" name="Graphic 2126"/>
                        <wps:cNvSpPr/>
                        <wps:spPr>
                          <a:xfrm>
                            <a:off x="0" y="31826"/>
                            <a:ext cx="165735" cy="1270"/>
                          </a:xfrm>
                          <a:custGeom>
                            <a:avLst/>
                            <a:gdLst/>
                            <a:ahLst/>
                            <a:cxnLst/>
                            <a:rect l="l" t="t" r="r" b="b"/>
                            <a:pathLst>
                              <a:path w="165735">
                                <a:moveTo>
                                  <a:pt x="0" y="0"/>
                                </a:moveTo>
                                <a:lnTo>
                                  <a:pt x="165163" y="0"/>
                                </a:lnTo>
                              </a:path>
                            </a:pathLst>
                          </a:custGeom>
                          <a:ln w="7365">
                            <a:solidFill>
                              <a:srgbClr val="000000"/>
                            </a:solidFill>
                            <a:prstDash val="solid"/>
                          </a:ln>
                        </wps:spPr>
                        <wps:bodyPr wrap="square" lIns="0" tIns="0" rIns="0" bIns="0" rtlCol="0">
                          <a:prstTxWarp prst="textNoShape">
                            <a:avLst/>
                          </a:prstTxWarp>
                          <a:noAutofit/>
                        </wps:bodyPr>
                      </wps:wsp>
                      <wps:wsp>
                        <wps:cNvPr id="2127" name="Graphic 2127"/>
                        <wps:cNvSpPr/>
                        <wps:spPr>
                          <a:xfrm>
                            <a:off x="98125" y="198854"/>
                            <a:ext cx="157480" cy="1270"/>
                          </a:xfrm>
                          <a:custGeom>
                            <a:avLst/>
                            <a:gdLst/>
                            <a:ahLst/>
                            <a:cxnLst/>
                            <a:rect l="l" t="t" r="r" b="b"/>
                            <a:pathLst>
                              <a:path w="157480">
                                <a:moveTo>
                                  <a:pt x="0" y="0"/>
                                </a:moveTo>
                                <a:lnTo>
                                  <a:pt x="157022" y="0"/>
                                </a:lnTo>
                              </a:path>
                            </a:pathLst>
                          </a:custGeom>
                          <a:ln w="7365">
                            <a:solidFill>
                              <a:srgbClr val="000000"/>
                            </a:solidFill>
                            <a:prstDash val="solid"/>
                          </a:ln>
                        </wps:spPr>
                        <wps:bodyPr wrap="square" lIns="0" tIns="0" rIns="0" bIns="0" rtlCol="0">
                          <a:prstTxWarp prst="textNoShape">
                            <a:avLst/>
                          </a:prstTxWarp>
                          <a:noAutofit/>
                        </wps:bodyPr>
                      </wps:wsp>
                      <wps:wsp>
                        <wps:cNvPr id="2128" name="Graphic 2128"/>
                        <wps:cNvSpPr/>
                        <wps:spPr>
                          <a:xfrm>
                            <a:off x="152151" y="365850"/>
                            <a:ext cx="134620" cy="1270"/>
                          </a:xfrm>
                          <a:custGeom>
                            <a:avLst/>
                            <a:gdLst/>
                            <a:ahLst/>
                            <a:cxnLst/>
                            <a:rect l="l" t="t" r="r" b="b"/>
                            <a:pathLst>
                              <a:path w="134620">
                                <a:moveTo>
                                  <a:pt x="0" y="0"/>
                                </a:moveTo>
                                <a:lnTo>
                                  <a:pt x="134416" y="0"/>
                                </a:lnTo>
                              </a:path>
                            </a:pathLst>
                          </a:custGeom>
                          <a:ln w="7366">
                            <a:solidFill>
                              <a:srgbClr val="000000"/>
                            </a:solidFill>
                            <a:prstDash val="solid"/>
                          </a:ln>
                        </wps:spPr>
                        <wps:bodyPr wrap="square" lIns="0" tIns="0" rIns="0" bIns="0" rtlCol="0">
                          <a:prstTxWarp prst="textNoShape">
                            <a:avLst/>
                          </a:prstTxWarp>
                          <a:noAutofit/>
                        </wps:bodyPr>
                      </wps:wsp>
                      <wps:wsp>
                        <wps:cNvPr id="2129" name="Graphic 2129"/>
                        <wps:cNvSpPr/>
                        <wps:spPr>
                          <a:xfrm>
                            <a:off x="49893" y="8"/>
                            <a:ext cx="208279" cy="398145"/>
                          </a:xfrm>
                          <a:custGeom>
                            <a:avLst/>
                            <a:gdLst/>
                            <a:ahLst/>
                            <a:cxnLst/>
                            <a:rect l="l" t="t" r="r" b="b"/>
                            <a:pathLst>
                              <a:path w="208279" h="398145">
                                <a:moveTo>
                                  <a:pt x="63601" y="31826"/>
                                </a:moveTo>
                                <a:lnTo>
                                  <a:pt x="31813" y="0"/>
                                </a:lnTo>
                                <a:lnTo>
                                  <a:pt x="0" y="31826"/>
                                </a:lnTo>
                                <a:lnTo>
                                  <a:pt x="31813" y="63639"/>
                                </a:lnTo>
                                <a:lnTo>
                                  <a:pt x="63601" y="31826"/>
                                </a:lnTo>
                                <a:close/>
                              </a:path>
                              <a:path w="208279" h="398145">
                                <a:moveTo>
                                  <a:pt x="163537" y="198856"/>
                                </a:moveTo>
                                <a:lnTo>
                                  <a:pt x="131762" y="167081"/>
                                </a:lnTo>
                                <a:lnTo>
                                  <a:pt x="99987" y="198856"/>
                                </a:lnTo>
                                <a:lnTo>
                                  <a:pt x="131762" y="230644"/>
                                </a:lnTo>
                                <a:lnTo>
                                  <a:pt x="163537" y="198856"/>
                                </a:lnTo>
                                <a:close/>
                              </a:path>
                              <a:path w="208279" h="398145">
                                <a:moveTo>
                                  <a:pt x="208165" y="365848"/>
                                </a:moveTo>
                                <a:lnTo>
                                  <a:pt x="176339" y="334060"/>
                                </a:lnTo>
                                <a:lnTo>
                                  <a:pt x="144564" y="365848"/>
                                </a:lnTo>
                                <a:lnTo>
                                  <a:pt x="176339" y="397713"/>
                                </a:lnTo>
                                <a:lnTo>
                                  <a:pt x="208165" y="365848"/>
                                </a:lnTo>
                                <a:close/>
                              </a:path>
                            </a:pathLst>
                          </a:custGeom>
                          <a:solidFill>
                            <a:srgbClr val="000000"/>
                          </a:solidFill>
                        </wps:spPr>
                        <wps:bodyPr wrap="square" lIns="0" tIns="0" rIns="0" bIns="0" rtlCol="0">
                          <a:prstTxWarp prst="textNoShape">
                            <a:avLst/>
                          </a:prstTxWarp>
                          <a:noAutofit/>
                        </wps:bodyPr>
                      </wps:wsp>
                      <wps:wsp>
                        <wps:cNvPr id="2130" name="Graphic 2130"/>
                        <wps:cNvSpPr/>
                        <wps:spPr>
                          <a:xfrm>
                            <a:off x="81709" y="31826"/>
                            <a:ext cx="1270" cy="668655"/>
                          </a:xfrm>
                          <a:custGeom>
                            <a:avLst/>
                            <a:gdLst/>
                            <a:ahLst/>
                            <a:cxnLst/>
                            <a:rect l="l" t="t" r="r" b="b"/>
                            <a:pathLst>
                              <a:path h="668655">
                                <a:moveTo>
                                  <a:pt x="0" y="668083"/>
                                </a:moveTo>
                                <a:lnTo>
                                  <a:pt x="0" y="0"/>
                                </a:lnTo>
                              </a:path>
                              <a:path h="668655">
                                <a:moveTo>
                                  <a:pt x="0" y="668083"/>
                                </a:moveTo>
                                <a:lnTo>
                                  <a:pt x="0" y="0"/>
                                </a:lnTo>
                              </a:path>
                              <a:path h="668655">
                                <a:moveTo>
                                  <a:pt x="0" y="668083"/>
                                </a:moveTo>
                                <a:lnTo>
                                  <a:pt x="0" y="0"/>
                                </a:lnTo>
                              </a:path>
                              <a:path h="668655">
                                <a:moveTo>
                                  <a:pt x="0" y="668083"/>
                                </a:moveTo>
                                <a:lnTo>
                                  <a:pt x="0" y="0"/>
                                </a:lnTo>
                              </a:path>
                              <a:path h="668655">
                                <a:moveTo>
                                  <a:pt x="0" y="668083"/>
                                </a:moveTo>
                                <a:lnTo>
                                  <a:pt x="0" y="0"/>
                                </a:lnTo>
                              </a:path>
                              <a:path h="668655">
                                <a:moveTo>
                                  <a:pt x="0" y="668083"/>
                                </a:moveTo>
                                <a:lnTo>
                                  <a:pt x="0" y="0"/>
                                </a:lnTo>
                              </a:path>
                              <a:path h="668655">
                                <a:moveTo>
                                  <a:pt x="0" y="668083"/>
                                </a:moveTo>
                                <a:lnTo>
                                  <a:pt x="0" y="0"/>
                                </a:lnTo>
                              </a:path>
                              <a:path h="668655">
                                <a:moveTo>
                                  <a:pt x="0" y="668083"/>
                                </a:moveTo>
                                <a:lnTo>
                                  <a:pt x="0" y="0"/>
                                </a:lnTo>
                              </a:path>
                              <a:path h="668655">
                                <a:moveTo>
                                  <a:pt x="0" y="668083"/>
                                </a:moveTo>
                                <a:lnTo>
                                  <a:pt x="0" y="0"/>
                                </a:lnTo>
                              </a:path>
                              <a:path h="668655">
                                <a:moveTo>
                                  <a:pt x="0" y="668083"/>
                                </a:moveTo>
                                <a:lnTo>
                                  <a:pt x="0" y="0"/>
                                </a:lnTo>
                              </a:path>
                              <a:path h="668655">
                                <a:moveTo>
                                  <a:pt x="0" y="668083"/>
                                </a:moveTo>
                                <a:lnTo>
                                  <a:pt x="0" y="0"/>
                                </a:lnTo>
                              </a:path>
                            </a:pathLst>
                          </a:custGeom>
                          <a:ln w="7365">
                            <a:solidFill>
                              <a:srgbClr val="000000"/>
                            </a:solidFill>
                            <a:prstDash val="solid"/>
                          </a:ln>
                        </wps:spPr>
                        <wps:bodyPr wrap="square" lIns="0" tIns="0" rIns="0" bIns="0" rtlCol="0">
                          <a:prstTxWarp prst="textNoShape">
                            <a:avLst/>
                          </a:prstTxWarp>
                          <a:noAutofit/>
                        </wps:bodyPr>
                      </wps:wsp>
                      <wps:wsp>
                        <wps:cNvPr id="2131" name="Graphic 2131"/>
                        <wps:cNvSpPr/>
                        <wps:spPr>
                          <a:xfrm>
                            <a:off x="226239" y="365848"/>
                            <a:ext cx="1270" cy="334645"/>
                          </a:xfrm>
                          <a:custGeom>
                            <a:avLst/>
                            <a:gdLst/>
                            <a:ahLst/>
                            <a:cxnLst/>
                            <a:rect l="l" t="t" r="r" b="b"/>
                            <a:pathLst>
                              <a:path h="334645">
                                <a:moveTo>
                                  <a:pt x="0" y="334060"/>
                                </a:moveTo>
                                <a:lnTo>
                                  <a:pt x="0" y="0"/>
                                </a:lnTo>
                              </a:path>
                              <a:path h="334645">
                                <a:moveTo>
                                  <a:pt x="0" y="334060"/>
                                </a:moveTo>
                                <a:lnTo>
                                  <a:pt x="0" y="0"/>
                                </a:lnTo>
                              </a:path>
                              <a:path h="334645">
                                <a:moveTo>
                                  <a:pt x="0" y="334060"/>
                                </a:moveTo>
                                <a:lnTo>
                                  <a:pt x="0" y="0"/>
                                </a:lnTo>
                              </a:path>
                              <a:path h="334645">
                                <a:moveTo>
                                  <a:pt x="0" y="334060"/>
                                </a:moveTo>
                                <a:lnTo>
                                  <a:pt x="0" y="0"/>
                                </a:lnTo>
                              </a:path>
                              <a:path h="334645">
                                <a:moveTo>
                                  <a:pt x="0" y="334060"/>
                                </a:moveTo>
                                <a:lnTo>
                                  <a:pt x="0" y="0"/>
                                </a:lnTo>
                              </a:path>
                              <a:path h="334645">
                                <a:moveTo>
                                  <a:pt x="0" y="334060"/>
                                </a:moveTo>
                                <a:lnTo>
                                  <a:pt x="0" y="0"/>
                                </a:lnTo>
                              </a:path>
                              <a:path h="334645">
                                <a:moveTo>
                                  <a:pt x="0" y="334060"/>
                                </a:moveTo>
                                <a:lnTo>
                                  <a:pt x="0" y="0"/>
                                </a:lnTo>
                              </a:path>
                              <a:path h="334645">
                                <a:moveTo>
                                  <a:pt x="0" y="334060"/>
                                </a:moveTo>
                                <a:lnTo>
                                  <a:pt x="0" y="0"/>
                                </a:lnTo>
                              </a:path>
                              <a:path h="334645">
                                <a:moveTo>
                                  <a:pt x="0" y="334060"/>
                                </a:moveTo>
                                <a:lnTo>
                                  <a:pt x="0" y="0"/>
                                </a:lnTo>
                              </a:path>
                              <a:path h="334645">
                                <a:moveTo>
                                  <a:pt x="0" y="334060"/>
                                </a:moveTo>
                                <a:lnTo>
                                  <a:pt x="0" y="0"/>
                                </a:lnTo>
                              </a:path>
                              <a:path h="334645">
                                <a:moveTo>
                                  <a:pt x="0" y="334060"/>
                                </a:moveTo>
                                <a:lnTo>
                                  <a:pt x="0" y="0"/>
                                </a:lnTo>
                              </a:path>
                            </a:pathLst>
                          </a:custGeom>
                          <a:ln w="7365">
                            <a:solidFill>
                              <a:srgbClr val="000000"/>
                            </a:solidFill>
                            <a:prstDash val="solid"/>
                          </a:ln>
                        </wps:spPr>
                        <wps:bodyPr wrap="square" lIns="0" tIns="0" rIns="0" bIns="0" rtlCol="0">
                          <a:prstTxWarp prst="textNoShape">
                            <a:avLst/>
                          </a:prstTxWarp>
                          <a:noAutofit/>
                        </wps:bodyPr>
                      </wps:wsp>
                      <wps:wsp>
                        <wps:cNvPr id="2132" name="Graphic 2132"/>
                        <wps:cNvSpPr/>
                        <wps:spPr>
                          <a:xfrm>
                            <a:off x="81709" y="699909"/>
                            <a:ext cx="144780" cy="1270"/>
                          </a:xfrm>
                          <a:custGeom>
                            <a:avLst/>
                            <a:gdLst/>
                            <a:ahLst/>
                            <a:cxnLst/>
                            <a:rect l="l" t="t" r="r" b="b"/>
                            <a:pathLst>
                              <a:path w="144780">
                                <a:moveTo>
                                  <a:pt x="0" y="0"/>
                                </a:moveTo>
                                <a:lnTo>
                                  <a:pt x="144526" y="0"/>
                                </a:lnTo>
                              </a:path>
                              <a:path w="144780">
                                <a:moveTo>
                                  <a:pt x="0" y="0"/>
                                </a:moveTo>
                                <a:lnTo>
                                  <a:pt x="144526" y="0"/>
                                </a:lnTo>
                              </a:path>
                              <a:path w="144780">
                                <a:moveTo>
                                  <a:pt x="0" y="0"/>
                                </a:moveTo>
                                <a:lnTo>
                                  <a:pt x="144526" y="0"/>
                                </a:lnTo>
                              </a:path>
                              <a:path w="144780">
                                <a:moveTo>
                                  <a:pt x="0" y="0"/>
                                </a:moveTo>
                                <a:lnTo>
                                  <a:pt x="144526" y="0"/>
                                </a:lnTo>
                              </a:path>
                              <a:path w="144780">
                                <a:moveTo>
                                  <a:pt x="0" y="0"/>
                                </a:moveTo>
                                <a:lnTo>
                                  <a:pt x="144526" y="0"/>
                                </a:lnTo>
                              </a:path>
                              <a:path w="144780">
                                <a:moveTo>
                                  <a:pt x="0" y="0"/>
                                </a:moveTo>
                                <a:lnTo>
                                  <a:pt x="144526" y="0"/>
                                </a:lnTo>
                              </a:path>
                              <a:path w="144780">
                                <a:moveTo>
                                  <a:pt x="0" y="0"/>
                                </a:moveTo>
                                <a:lnTo>
                                  <a:pt x="144526" y="0"/>
                                </a:lnTo>
                              </a:path>
                              <a:path w="144780">
                                <a:moveTo>
                                  <a:pt x="0" y="0"/>
                                </a:moveTo>
                                <a:lnTo>
                                  <a:pt x="144526" y="0"/>
                                </a:lnTo>
                              </a:path>
                              <a:path w="144780">
                                <a:moveTo>
                                  <a:pt x="0" y="0"/>
                                </a:moveTo>
                                <a:lnTo>
                                  <a:pt x="144526" y="0"/>
                                </a:lnTo>
                              </a:path>
                              <a:path w="144780">
                                <a:moveTo>
                                  <a:pt x="0" y="0"/>
                                </a:moveTo>
                                <a:lnTo>
                                  <a:pt x="144526" y="0"/>
                                </a:lnTo>
                              </a:path>
                              <a:path w="144780">
                                <a:moveTo>
                                  <a:pt x="0" y="0"/>
                                </a:moveTo>
                                <a:lnTo>
                                  <a:pt x="144526" y="0"/>
                                </a:lnTo>
                              </a:path>
                            </a:pathLst>
                          </a:custGeom>
                          <a:ln w="7365">
                            <a:solidFill>
                              <a:srgbClr val="000000"/>
                            </a:solidFill>
                            <a:prstDash val="solid"/>
                          </a:ln>
                        </wps:spPr>
                        <wps:bodyPr wrap="square" lIns="0" tIns="0" rIns="0" bIns="0" rtlCol="0">
                          <a:prstTxWarp prst="textNoShape">
                            <a:avLst/>
                          </a:prstTxWarp>
                          <a:noAutofit/>
                        </wps:bodyPr>
                      </wps:wsp>
                      <wps:wsp>
                        <wps:cNvPr id="2133" name="Graphic 2133"/>
                        <wps:cNvSpPr/>
                        <wps:spPr>
                          <a:xfrm>
                            <a:off x="181662" y="198851"/>
                            <a:ext cx="1270" cy="334645"/>
                          </a:xfrm>
                          <a:custGeom>
                            <a:avLst/>
                            <a:gdLst/>
                            <a:ahLst/>
                            <a:cxnLst/>
                            <a:rect l="l" t="t" r="r" b="b"/>
                            <a:pathLst>
                              <a:path h="334645">
                                <a:moveTo>
                                  <a:pt x="0" y="334073"/>
                                </a:moveTo>
                                <a:lnTo>
                                  <a:pt x="0" y="0"/>
                                </a:lnTo>
                              </a:path>
                              <a:path h="334645">
                                <a:moveTo>
                                  <a:pt x="0" y="334073"/>
                                </a:moveTo>
                                <a:lnTo>
                                  <a:pt x="0" y="0"/>
                                </a:lnTo>
                              </a:path>
                              <a:path h="334645">
                                <a:moveTo>
                                  <a:pt x="0" y="334073"/>
                                </a:moveTo>
                                <a:lnTo>
                                  <a:pt x="0" y="0"/>
                                </a:lnTo>
                              </a:path>
                              <a:path h="334645">
                                <a:moveTo>
                                  <a:pt x="0" y="334073"/>
                                </a:moveTo>
                                <a:lnTo>
                                  <a:pt x="0" y="0"/>
                                </a:lnTo>
                              </a:path>
                              <a:path h="334645">
                                <a:moveTo>
                                  <a:pt x="0" y="334073"/>
                                </a:moveTo>
                                <a:lnTo>
                                  <a:pt x="0" y="0"/>
                                </a:lnTo>
                              </a:path>
                              <a:path h="334645">
                                <a:moveTo>
                                  <a:pt x="0" y="334073"/>
                                </a:moveTo>
                                <a:lnTo>
                                  <a:pt x="0" y="0"/>
                                </a:lnTo>
                              </a:path>
                              <a:path h="334645">
                                <a:moveTo>
                                  <a:pt x="0" y="334073"/>
                                </a:moveTo>
                                <a:lnTo>
                                  <a:pt x="0" y="0"/>
                                </a:lnTo>
                              </a:path>
                              <a:path h="334645">
                                <a:moveTo>
                                  <a:pt x="0" y="334073"/>
                                </a:moveTo>
                                <a:lnTo>
                                  <a:pt x="0" y="0"/>
                                </a:lnTo>
                              </a:path>
                              <a:path h="334645">
                                <a:moveTo>
                                  <a:pt x="0" y="334073"/>
                                </a:moveTo>
                                <a:lnTo>
                                  <a:pt x="0" y="0"/>
                                </a:lnTo>
                              </a:path>
                              <a:path h="334645">
                                <a:moveTo>
                                  <a:pt x="0" y="334073"/>
                                </a:moveTo>
                                <a:lnTo>
                                  <a:pt x="0" y="0"/>
                                </a:lnTo>
                              </a:path>
                              <a:path h="334645">
                                <a:moveTo>
                                  <a:pt x="0" y="334073"/>
                                </a:moveTo>
                                <a:lnTo>
                                  <a:pt x="0" y="0"/>
                                </a:lnTo>
                              </a:path>
                            </a:pathLst>
                          </a:custGeom>
                          <a:ln w="7365">
                            <a:solidFill>
                              <a:srgbClr val="000000"/>
                            </a:solidFill>
                            <a:prstDash val="dot"/>
                          </a:ln>
                        </wps:spPr>
                        <wps:bodyPr wrap="square" lIns="0" tIns="0" rIns="0" bIns="0" rtlCol="0">
                          <a:prstTxWarp prst="textNoShape">
                            <a:avLst/>
                          </a:prstTxWarp>
                          <a:noAutofit/>
                        </wps:bodyPr>
                      </wps:wsp>
                      <wps:wsp>
                        <wps:cNvPr id="2134" name="Graphic 2134"/>
                        <wps:cNvSpPr/>
                        <wps:spPr>
                          <a:xfrm>
                            <a:off x="226239" y="365856"/>
                            <a:ext cx="1270" cy="167640"/>
                          </a:xfrm>
                          <a:custGeom>
                            <a:avLst/>
                            <a:gdLst/>
                            <a:ahLst/>
                            <a:cxnLst/>
                            <a:rect l="l" t="t" r="r" b="b"/>
                            <a:pathLst>
                              <a:path h="167640">
                                <a:moveTo>
                                  <a:pt x="0" y="167068"/>
                                </a:moveTo>
                                <a:lnTo>
                                  <a:pt x="0" y="0"/>
                                </a:lnTo>
                              </a:path>
                              <a:path h="167640">
                                <a:moveTo>
                                  <a:pt x="0" y="167068"/>
                                </a:moveTo>
                                <a:lnTo>
                                  <a:pt x="0" y="0"/>
                                </a:lnTo>
                              </a:path>
                              <a:path h="167640">
                                <a:moveTo>
                                  <a:pt x="0" y="167068"/>
                                </a:moveTo>
                                <a:lnTo>
                                  <a:pt x="0" y="0"/>
                                </a:lnTo>
                              </a:path>
                              <a:path h="167640">
                                <a:moveTo>
                                  <a:pt x="0" y="167068"/>
                                </a:moveTo>
                                <a:lnTo>
                                  <a:pt x="0" y="0"/>
                                </a:lnTo>
                              </a:path>
                              <a:path h="167640">
                                <a:moveTo>
                                  <a:pt x="0" y="167068"/>
                                </a:moveTo>
                                <a:lnTo>
                                  <a:pt x="0" y="0"/>
                                </a:lnTo>
                              </a:path>
                              <a:path h="167640">
                                <a:moveTo>
                                  <a:pt x="0" y="167068"/>
                                </a:moveTo>
                                <a:lnTo>
                                  <a:pt x="0" y="0"/>
                                </a:lnTo>
                              </a:path>
                              <a:path h="167640">
                                <a:moveTo>
                                  <a:pt x="0" y="167068"/>
                                </a:moveTo>
                                <a:lnTo>
                                  <a:pt x="0" y="0"/>
                                </a:lnTo>
                              </a:path>
                              <a:path h="167640">
                                <a:moveTo>
                                  <a:pt x="0" y="167068"/>
                                </a:moveTo>
                                <a:lnTo>
                                  <a:pt x="0" y="0"/>
                                </a:lnTo>
                              </a:path>
                              <a:path h="167640">
                                <a:moveTo>
                                  <a:pt x="0" y="167068"/>
                                </a:moveTo>
                                <a:lnTo>
                                  <a:pt x="0" y="0"/>
                                </a:lnTo>
                              </a:path>
                              <a:path h="167640">
                                <a:moveTo>
                                  <a:pt x="0" y="167068"/>
                                </a:moveTo>
                                <a:lnTo>
                                  <a:pt x="0" y="0"/>
                                </a:lnTo>
                              </a:path>
                              <a:path h="167640">
                                <a:moveTo>
                                  <a:pt x="0" y="167068"/>
                                </a:moveTo>
                                <a:lnTo>
                                  <a:pt x="0" y="0"/>
                                </a:lnTo>
                              </a:path>
                            </a:pathLst>
                          </a:custGeom>
                          <a:ln w="7365">
                            <a:solidFill>
                              <a:srgbClr val="000000"/>
                            </a:solidFill>
                            <a:prstDash val="dot"/>
                          </a:ln>
                        </wps:spPr>
                        <wps:bodyPr wrap="square" lIns="0" tIns="0" rIns="0" bIns="0" rtlCol="0">
                          <a:prstTxWarp prst="textNoShape">
                            <a:avLst/>
                          </a:prstTxWarp>
                          <a:noAutofit/>
                        </wps:bodyPr>
                      </wps:wsp>
                      <wps:wsp>
                        <wps:cNvPr id="2135" name="Graphic 2135"/>
                        <wps:cNvSpPr/>
                        <wps:spPr>
                          <a:xfrm>
                            <a:off x="181662" y="532925"/>
                            <a:ext cx="45085" cy="1270"/>
                          </a:xfrm>
                          <a:custGeom>
                            <a:avLst/>
                            <a:gdLst/>
                            <a:ahLst/>
                            <a:cxnLst/>
                            <a:rect l="l" t="t" r="r" b="b"/>
                            <a:pathLst>
                              <a:path w="45085">
                                <a:moveTo>
                                  <a:pt x="0" y="0"/>
                                </a:moveTo>
                                <a:lnTo>
                                  <a:pt x="44577" y="0"/>
                                </a:lnTo>
                              </a:path>
                              <a:path w="45085">
                                <a:moveTo>
                                  <a:pt x="0" y="0"/>
                                </a:moveTo>
                                <a:lnTo>
                                  <a:pt x="44577" y="0"/>
                                </a:lnTo>
                              </a:path>
                              <a:path w="45085">
                                <a:moveTo>
                                  <a:pt x="0" y="0"/>
                                </a:moveTo>
                                <a:lnTo>
                                  <a:pt x="44577" y="0"/>
                                </a:lnTo>
                              </a:path>
                              <a:path w="45085">
                                <a:moveTo>
                                  <a:pt x="0" y="0"/>
                                </a:moveTo>
                                <a:lnTo>
                                  <a:pt x="44577" y="0"/>
                                </a:lnTo>
                              </a:path>
                              <a:path w="45085">
                                <a:moveTo>
                                  <a:pt x="0" y="0"/>
                                </a:moveTo>
                                <a:lnTo>
                                  <a:pt x="44577" y="0"/>
                                </a:lnTo>
                              </a:path>
                              <a:path w="45085">
                                <a:moveTo>
                                  <a:pt x="0" y="0"/>
                                </a:moveTo>
                                <a:lnTo>
                                  <a:pt x="44577" y="0"/>
                                </a:lnTo>
                              </a:path>
                              <a:path w="45085">
                                <a:moveTo>
                                  <a:pt x="0" y="0"/>
                                </a:moveTo>
                                <a:lnTo>
                                  <a:pt x="44577" y="0"/>
                                </a:lnTo>
                              </a:path>
                              <a:path w="45085">
                                <a:moveTo>
                                  <a:pt x="0" y="0"/>
                                </a:moveTo>
                                <a:lnTo>
                                  <a:pt x="44577" y="0"/>
                                </a:lnTo>
                              </a:path>
                              <a:path w="45085">
                                <a:moveTo>
                                  <a:pt x="0" y="0"/>
                                </a:moveTo>
                                <a:lnTo>
                                  <a:pt x="44577" y="0"/>
                                </a:lnTo>
                              </a:path>
                              <a:path w="45085">
                                <a:moveTo>
                                  <a:pt x="0" y="0"/>
                                </a:moveTo>
                                <a:lnTo>
                                  <a:pt x="44577" y="0"/>
                                </a:lnTo>
                              </a:path>
                              <a:path w="45085">
                                <a:moveTo>
                                  <a:pt x="0" y="0"/>
                                </a:moveTo>
                                <a:lnTo>
                                  <a:pt x="44577" y="0"/>
                                </a:lnTo>
                              </a:path>
                            </a:pathLst>
                          </a:custGeom>
                          <a:ln w="7365">
                            <a:solidFill>
                              <a:srgbClr val="000000"/>
                            </a:solidFill>
                            <a:prstDash val="dot"/>
                          </a:ln>
                        </wps:spPr>
                        <wps:bodyPr wrap="square" lIns="0" tIns="0" rIns="0" bIns="0" rtlCol="0">
                          <a:prstTxWarp prst="textNoShape">
                            <a:avLst/>
                          </a:prstTxWarp>
                          <a:noAutofit/>
                        </wps:bodyPr>
                      </wps:wsp>
                    </wpg:wgp>
                  </a:graphicData>
                </a:graphic>
              </wp:anchor>
            </w:drawing>
          </mc:Choice>
          <mc:Fallback>
            <w:pict>
              <v:group w14:anchorId="5D4CD7E9" id="Group 2125" o:spid="_x0000_s1026" style="position:absolute;margin-left:292.9pt;margin-top:7.2pt;width:22.6pt;height:55.45pt;z-index:16060928;mso-wrap-distance-left:0;mso-wrap-distance-right:0;mso-position-horizontal-relative:page" coordsize="2870,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">
                <v:shape id="Graphic 2126" o:spid="_x0000_s1027" style="position:absolute;top:318;width:1657;height:12;visibility:visible;mso-wrap-style:square;v-text-anchor:top" coordsize="165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" path="m,l165163,e" filled="f" strokeweight=".20458mm">
                  <v:path arrowok="t"/>
                </v:shape>
                <v:shape id="Graphic 2127" o:spid="_x0000_s1028" style="position:absolute;left:981;top:1988;width:1575;height:13;visibility:visible;mso-wrap-style:square;v-text-anchor:top" coordsize="157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" path="m,l157022,e" filled="f" strokeweight=".20458mm">
                  <v:path arrowok="t"/>
                </v:shape>
                <v:shape id="Graphic 2128" o:spid="_x0000_s1029" style="position:absolute;left:1521;top:3658;width:1346;height:13;visibility:visible;mso-wrap-style:square;v-text-anchor:top" coordsize="13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" path="m,l134416,e" filled="f" strokeweight=".58pt">
                  <v:path arrowok="t"/>
                </v:shape>
                <v:shape id="Graphic 2129" o:spid="_x0000_s1030" style="position:absolute;left:498;width:2083;height:3981;visibility:visible;mso-wrap-style:square;v-text-anchor:top" coordsize="208279,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" path="m63601,31826l31813,,,31826,31813,63639,63601,31826xem163537,198856l131762,167081,99987,198856r31775,31788l163537,198856xem208165,365848l176339,334060r-31775,31788l176339,397713r31826,-31865xe" fillcolor="black" stroked="f">
                  <v:path arrowok="t"/>
                </v:shape>
                <v:shape id="Graphic 2130" o:spid="_x0000_s1031" style="position:absolute;left:817;top:318;width:12;height:6686;visibility:visible;mso-wrap-style:square;v-text-anchor:top" coordsize="1270,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" path="m,668083l,em,668083l,em,668083l,em,668083l,em,668083l,em,668083l,em,668083l,em,668083l,em,668083l,em,668083l,em,668083l,e" filled="f" strokeweight=".20458mm">
                  <v:path arrowok="t"/>
                </v:shape>
                <v:shape id="Graphic 2131" o:spid="_x0000_s1032" style="position:absolute;left:2262;top:3658;width:13;height:3346;visibility:visible;mso-wrap-style:square;v-text-anchor:top" coordsize="127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" path="m,334060l,em,334060l,em,334060l,em,334060l,em,334060l,em,334060l,em,334060l,em,334060l,em,334060l,em,334060l,em,334060l,e" filled="f" strokeweight=".20458mm">
                  <v:path arrowok="t"/>
                </v:shape>
                <v:shape id="Graphic 2132" o:spid="_x0000_s1033" style="position:absolute;left:817;top:6999;width:1447;height:12;visibility:visible;mso-wrap-style:square;v-text-anchor:top" coordsize="144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" path="m,l144526,em,l144526,em,l144526,em,l144526,em,l144526,em,l144526,em,l144526,em,l144526,em,l144526,em,l144526,em,l144526,e" filled="f" strokeweight=".20458mm">
                  <v:path arrowok="t"/>
                </v:shape>
                <v:shape id="Graphic 2133" o:spid="_x0000_s1034" style="position:absolute;left:1816;top:1988;width:13;height:3346;visibility:visible;mso-wrap-style:square;v-text-anchor:top" coordsize="127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" path="m,334073l,em,334073l,em,334073l,em,334073l,em,334073l,em,334073l,em,334073l,em,334073l,em,334073l,em,334073l,em,334073l,e" filled="f" strokeweight=".20458mm">
                  <v:stroke dashstyle="dot"/>
                  <v:path arrowok="t"/>
                </v:shape>
                <v:shape id="Graphic 2134" o:spid="_x0000_s1035" style="position:absolute;left:2262;top:3658;width:13;height:1676;visibility:visible;mso-wrap-style:square;v-text-anchor:top" coordsize="127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" path="m,167068l,em,167068l,em,167068l,em,167068l,em,167068l,em,167068l,em,167068l,em,167068l,em,167068l,em,167068l,em,167068l,e" filled="f" strokeweight=".20458mm">
                  <v:stroke dashstyle="dot"/>
                  <v:path arrowok="t"/>
                </v:shape>
                <v:shape id="Graphic 2135" o:spid="_x0000_s1036" style="position:absolute;left:1816;top:5329;width:451;height:12;visibility:visible;mso-wrap-style:square;v-text-anchor:top" coordsize="45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" path="m,l44577,em,l44577,em,l44577,em,l44577,em,l44577,em,l44577,em,l44577,em,l44577,em,l44577,em,l44577,em,l44577,e" filled="f" strokeweight=".20458mm">
                  <v:stroke dashstyle="dot"/>
                  <v:path arrowok="t"/>
                </v:shape>
                <w10:wrap anchorx="page"/>
              </v:group>
            </w:pict>
          </mc:Fallback>
        </mc:AlternateContent>
      </w:r>
      <w:r w:rsidRPr="003C6DAE">
        <w:rPr>
          <w:rFonts w:ascii="Arial MT"/>
          <w:noProof/>
          <w:sz w:val="12"/>
          <w:lang w:val="uk-UA"/>
        </w:rPr>
        <mc:AlternateContent>
          <mc:Choice Requires="wpg">
            <w:drawing>
              <wp:anchor distT="0" distB="0" distL="0" distR="0" simplePos="0" relativeHeight="16061952" behindDoc="0" locked="0" layoutInCell="1" allowOverlap="1" wp14:anchorId="1B080209" wp14:editId="57171CBB">
                <wp:simplePos x="0" y="0"/>
                <wp:positionH relativeFrom="page">
                  <wp:posOffset>3422671</wp:posOffset>
                </wp:positionH>
                <wp:positionV relativeFrom="paragraph">
                  <wp:posOffset>-43950</wp:posOffset>
                </wp:positionV>
                <wp:extent cx="676910" cy="2023745"/>
                <wp:effectExtent l="0" t="0" r="0" b="0"/>
                <wp:wrapNone/>
                <wp:docPr id="2136" name="Group 2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2023745"/>
                          <a:chOff x="0" y="0"/>
                          <a:chExt cx="676910" cy="2023745"/>
                        </a:xfrm>
                      </wpg:grpSpPr>
                      <wps:wsp>
                        <wps:cNvPr id="2137" name="Graphic 2137"/>
                        <wps:cNvSpPr/>
                        <wps:spPr>
                          <a:xfrm>
                            <a:off x="3682" y="0"/>
                            <a:ext cx="673100" cy="2004695"/>
                          </a:xfrm>
                          <a:custGeom>
                            <a:avLst/>
                            <a:gdLst/>
                            <a:ahLst/>
                            <a:cxnLst/>
                            <a:rect l="l" t="t" r="r" b="b"/>
                            <a:pathLst>
                              <a:path w="673100" h="2004695">
                                <a:moveTo>
                                  <a:pt x="0" y="2004301"/>
                                </a:moveTo>
                                <a:lnTo>
                                  <a:pt x="0" y="0"/>
                                </a:lnTo>
                              </a:path>
                              <a:path w="673100" h="2004695">
                                <a:moveTo>
                                  <a:pt x="0" y="2004301"/>
                                </a:moveTo>
                                <a:lnTo>
                                  <a:pt x="673049" y="2004301"/>
                                </a:lnTo>
                              </a:path>
                            </a:pathLst>
                          </a:custGeom>
                          <a:ln w="7365">
                            <a:solidFill>
                              <a:srgbClr val="000000"/>
                            </a:solidFill>
                            <a:prstDash val="solid"/>
                          </a:ln>
                        </wps:spPr>
                        <wps:bodyPr wrap="square" lIns="0" tIns="0" rIns="0" bIns="0" rtlCol="0">
                          <a:prstTxWarp prst="textNoShape">
                            <a:avLst/>
                          </a:prstTxWarp>
                          <a:noAutofit/>
                        </wps:bodyPr>
                      </wps:wsp>
                      <wps:wsp>
                        <wps:cNvPr id="2138" name="Graphic 2138"/>
                        <wps:cNvSpPr/>
                        <wps:spPr>
                          <a:xfrm>
                            <a:off x="34284" y="2004299"/>
                            <a:ext cx="1270" cy="19050"/>
                          </a:xfrm>
                          <a:custGeom>
                            <a:avLst/>
                            <a:gdLst/>
                            <a:ahLst/>
                            <a:cxnLst/>
                            <a:rect l="l" t="t" r="r" b="b"/>
                            <a:pathLst>
                              <a:path h="19050">
                                <a:moveTo>
                                  <a:pt x="0" y="18846"/>
                                </a:moveTo>
                                <a:lnTo>
                                  <a:pt x="0" y="0"/>
                                </a:lnTo>
                              </a:path>
                            </a:pathLst>
                          </a:custGeom>
                          <a:ln w="7365">
                            <a:solidFill>
                              <a:srgbClr val="333333"/>
                            </a:solidFill>
                            <a:prstDash val="solid"/>
                          </a:ln>
                        </wps:spPr>
                        <wps:bodyPr wrap="square" lIns="0" tIns="0" rIns="0" bIns="0" rtlCol="0">
                          <a:prstTxWarp prst="textNoShape">
                            <a:avLst/>
                          </a:prstTxWarp>
                          <a:noAutofit/>
                        </wps:bodyPr>
                      </wps:wsp>
                      <wps:wsp>
                        <wps:cNvPr id="2139" name="Graphic 2139"/>
                        <wps:cNvSpPr/>
                        <wps:spPr>
                          <a:xfrm>
                            <a:off x="187261" y="2004299"/>
                            <a:ext cx="1270" cy="19050"/>
                          </a:xfrm>
                          <a:custGeom>
                            <a:avLst/>
                            <a:gdLst/>
                            <a:ahLst/>
                            <a:cxnLst/>
                            <a:rect l="l" t="t" r="r" b="b"/>
                            <a:pathLst>
                              <a:path h="19050">
                                <a:moveTo>
                                  <a:pt x="0" y="18846"/>
                                </a:moveTo>
                                <a:lnTo>
                                  <a:pt x="0" y="0"/>
                                </a:lnTo>
                              </a:path>
                            </a:pathLst>
                          </a:custGeom>
                          <a:ln w="7365">
                            <a:solidFill>
                              <a:srgbClr val="333333"/>
                            </a:solidFill>
                            <a:prstDash val="solid"/>
                          </a:ln>
                        </wps:spPr>
                        <wps:bodyPr wrap="square" lIns="0" tIns="0" rIns="0" bIns="0" rtlCol="0">
                          <a:prstTxWarp prst="textNoShape">
                            <a:avLst/>
                          </a:prstTxWarp>
                          <a:noAutofit/>
                        </wps:bodyPr>
                      </wps:wsp>
                      <wps:wsp>
                        <wps:cNvPr id="2140" name="Graphic 2140"/>
                        <wps:cNvSpPr/>
                        <wps:spPr>
                          <a:xfrm>
                            <a:off x="340226" y="2004299"/>
                            <a:ext cx="1270" cy="19050"/>
                          </a:xfrm>
                          <a:custGeom>
                            <a:avLst/>
                            <a:gdLst/>
                            <a:ahLst/>
                            <a:cxnLst/>
                            <a:rect l="l" t="t" r="r" b="b"/>
                            <a:pathLst>
                              <a:path h="19050">
                                <a:moveTo>
                                  <a:pt x="0" y="18846"/>
                                </a:moveTo>
                                <a:lnTo>
                                  <a:pt x="0" y="0"/>
                                </a:lnTo>
                              </a:path>
                            </a:pathLst>
                          </a:custGeom>
                          <a:ln w="7365">
                            <a:solidFill>
                              <a:srgbClr val="333333"/>
                            </a:solidFill>
                            <a:prstDash val="solid"/>
                          </a:ln>
                        </wps:spPr>
                        <wps:bodyPr wrap="square" lIns="0" tIns="0" rIns="0" bIns="0" rtlCol="0">
                          <a:prstTxWarp prst="textNoShape">
                            <a:avLst/>
                          </a:prstTxWarp>
                          <a:noAutofit/>
                        </wps:bodyPr>
                      </wps:wsp>
                      <wps:wsp>
                        <wps:cNvPr id="2141" name="Graphic 2141"/>
                        <wps:cNvSpPr/>
                        <wps:spPr>
                          <a:xfrm>
                            <a:off x="493158" y="2004299"/>
                            <a:ext cx="1270" cy="19050"/>
                          </a:xfrm>
                          <a:custGeom>
                            <a:avLst/>
                            <a:gdLst/>
                            <a:ahLst/>
                            <a:cxnLst/>
                            <a:rect l="l" t="t" r="r" b="b"/>
                            <a:pathLst>
                              <a:path h="19050">
                                <a:moveTo>
                                  <a:pt x="0" y="18846"/>
                                </a:moveTo>
                                <a:lnTo>
                                  <a:pt x="0" y="0"/>
                                </a:lnTo>
                              </a:path>
                            </a:pathLst>
                          </a:custGeom>
                          <a:ln w="7365">
                            <a:solidFill>
                              <a:srgbClr val="333333"/>
                            </a:solidFill>
                            <a:prstDash val="solid"/>
                          </a:ln>
                        </wps:spPr>
                        <wps:bodyPr wrap="square" lIns="0" tIns="0" rIns="0" bIns="0" rtlCol="0">
                          <a:prstTxWarp prst="textNoShape">
                            <a:avLst/>
                          </a:prstTxWarp>
                          <a:noAutofit/>
                        </wps:bodyPr>
                      </wps:wsp>
                      <wps:wsp>
                        <wps:cNvPr id="2142" name="Graphic 2142"/>
                        <wps:cNvSpPr/>
                        <wps:spPr>
                          <a:xfrm>
                            <a:off x="646168" y="2004299"/>
                            <a:ext cx="1270" cy="19050"/>
                          </a:xfrm>
                          <a:custGeom>
                            <a:avLst/>
                            <a:gdLst/>
                            <a:ahLst/>
                            <a:cxnLst/>
                            <a:rect l="l" t="t" r="r" b="b"/>
                            <a:pathLst>
                              <a:path h="19050">
                                <a:moveTo>
                                  <a:pt x="0" y="18846"/>
                                </a:moveTo>
                                <a:lnTo>
                                  <a:pt x="0" y="0"/>
                                </a:lnTo>
                              </a:path>
                            </a:pathLst>
                          </a:custGeom>
                          <a:ln w="7365">
                            <a:solidFill>
                              <a:srgbClr val="333333"/>
                            </a:solidFill>
                            <a:prstDash val="solid"/>
                          </a:ln>
                        </wps:spPr>
                        <wps:bodyPr wrap="square" lIns="0" tIns="0" rIns="0" bIns="0" rtlCol="0">
                          <a:prstTxWarp prst="textNoShape">
                            <a:avLst/>
                          </a:prstTxWarp>
                          <a:noAutofit/>
                        </wps:bodyPr>
                      </wps:wsp>
                    </wpg:wgp>
                  </a:graphicData>
                </a:graphic>
              </wp:anchor>
            </w:drawing>
          </mc:Choice>
          <mc:Fallback>
            <w:pict>
              <v:group w14:anchorId="7703ED32" id="Group 2136" o:spid="_x0000_s1026" style="position:absolute;margin-left:269.5pt;margin-top:-3.45pt;width:53.3pt;height:159.35pt;z-index:16061952;mso-wrap-distance-left:0;mso-wrap-distance-right:0;mso-position-horizontal-relative:page" coordsize="6769,20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">
                <v:shape id="Graphic 2137" o:spid="_x0000_s1027" style="position:absolute;left:36;width:6731;height:20046;visibility:visible;mso-wrap-style:square;v-text-anchor:top" coordsize="673100,200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" path="m,2004301l,em,2004301r673049,e" filled="f" strokeweight=".20458mm">
                  <v:path arrowok="t"/>
                </v:shape>
                <v:shape id="Graphic 2138" o:spid="_x0000_s1028" style="position:absolute;left:342;top:20042;width:13;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" path="m,18846l,e" filled="f" strokecolor="#333" strokeweight=".20458mm">
                  <v:path arrowok="t"/>
                </v:shape>
                <v:shape id="Graphic 2139" o:spid="_x0000_s1029" style="position:absolute;left:1872;top:20042;width:13;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" path="m,18846l,e" filled="f" strokecolor="#333" strokeweight=".20458mm">
                  <v:path arrowok="t"/>
                </v:shape>
                <v:shape id="Graphic 2140" o:spid="_x0000_s1030" style="position:absolute;left:3402;top:20042;width:12;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" path="m,18846l,e" filled="f" strokecolor="#333" strokeweight=".20458mm">
                  <v:path arrowok="t"/>
                </v:shape>
                <v:shape id="Graphic 2141" o:spid="_x0000_s1031" style="position:absolute;left:4931;top:20042;width:13;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" path="m,18846l,e" filled="f" strokecolor="#333" strokeweight=".20458mm">
                  <v:path arrowok="t"/>
                </v:shape>
                <v:shape id="Graphic 2142" o:spid="_x0000_s1032" style="position:absolute;left:6461;top:20042;width:13;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" path="m,18846l,e" filled="f" strokecolor="#333" strokeweight=".20458mm">
                  <v:path arrowok="t"/>
                </v:shape>
                <w10:wrap anchorx="page"/>
              </v:group>
            </w:pict>
          </mc:Fallback>
        </mc:AlternateContent>
      </w:r>
      <w:r w:rsidRPr="003C6DAE">
        <w:rPr>
          <w:rFonts w:ascii="Arial MT"/>
          <w:sz w:val="12"/>
          <w:lang w:val="uk-UA"/>
        </w:rPr>
        <w:t>56.3%</w:t>
      </w:r>
      <w:r w:rsidRPr="003C6DAE">
        <w:rPr>
          <w:rFonts w:ascii="Arial MT"/>
          <w:spacing w:val="1"/>
          <w:sz w:val="12"/>
          <w:lang w:val="uk-UA"/>
        </w:rPr>
        <w:t xml:space="preserve"> </w:t>
      </w:r>
      <w:r w:rsidRPr="003C6DAE">
        <w:rPr>
          <w:rFonts w:ascii="Arial MT"/>
          <w:sz w:val="12"/>
          <w:lang w:val="uk-UA"/>
        </w:rPr>
        <w:t>(42.9</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69.9)</w:t>
      </w:r>
    </w:p>
    <w:p w14:paraId="0D3AEC67" w14:textId="77777777" w:rsidR="00E05B98" w:rsidRPr="003C6DAE" w:rsidRDefault="00B01E0C">
      <w:pPr>
        <w:spacing w:before="125"/>
        <w:ind w:left="591"/>
        <w:jc w:val="center"/>
        <w:rPr>
          <w:rFonts w:ascii="Arial MT"/>
          <w:sz w:val="12"/>
          <w:lang w:val="uk-UA"/>
        </w:rPr>
      </w:pPr>
      <w:r w:rsidRPr="003C6DAE">
        <w:rPr>
          <w:rFonts w:ascii="Arial MT"/>
          <w:sz w:val="12"/>
          <w:lang w:val="uk-UA"/>
        </w:rPr>
        <w:t>72.6%</w:t>
      </w:r>
      <w:r w:rsidRPr="003C6DAE">
        <w:rPr>
          <w:rFonts w:ascii="Arial MT"/>
          <w:spacing w:val="1"/>
          <w:sz w:val="12"/>
          <w:lang w:val="uk-UA"/>
        </w:rPr>
        <w:t xml:space="preserve"> </w:t>
      </w:r>
      <w:r w:rsidRPr="003C6DAE">
        <w:rPr>
          <w:rFonts w:ascii="Arial MT"/>
          <w:sz w:val="12"/>
          <w:lang w:val="uk-UA"/>
        </w:rPr>
        <w:t>(59.0</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84.6)</w:t>
      </w:r>
    </w:p>
    <w:p w14:paraId="288BF36D" w14:textId="77777777" w:rsidR="00E05B98" w:rsidRPr="003C6DAE" w:rsidRDefault="00B01E0C">
      <w:pPr>
        <w:spacing w:before="125"/>
        <w:ind w:left="591"/>
        <w:jc w:val="center"/>
        <w:rPr>
          <w:rFonts w:ascii="Arial MT"/>
          <w:sz w:val="12"/>
          <w:lang w:val="uk-UA"/>
        </w:rPr>
      </w:pPr>
      <w:r w:rsidRPr="003C6DAE">
        <w:rPr>
          <w:rFonts w:ascii="Arial MT"/>
          <w:sz w:val="12"/>
          <w:lang w:val="uk-UA"/>
        </w:rPr>
        <w:t>79.9%</w:t>
      </w:r>
      <w:r w:rsidRPr="003C6DAE">
        <w:rPr>
          <w:rFonts w:ascii="Arial MT"/>
          <w:spacing w:val="1"/>
          <w:sz w:val="12"/>
          <w:lang w:val="uk-UA"/>
        </w:rPr>
        <w:t xml:space="preserve"> </w:t>
      </w:r>
      <w:r w:rsidRPr="003C6DAE">
        <w:rPr>
          <w:rFonts w:ascii="Arial MT"/>
          <w:sz w:val="12"/>
          <w:lang w:val="uk-UA"/>
        </w:rPr>
        <w:t>(67.8</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89.8)</w:t>
      </w:r>
    </w:p>
    <w:p w14:paraId="1C06656E" w14:textId="77777777" w:rsidR="00E05B98" w:rsidRPr="003C6DAE" w:rsidRDefault="00B01E0C">
      <w:pPr>
        <w:spacing w:before="125"/>
        <w:ind w:left="591"/>
        <w:jc w:val="center"/>
        <w:rPr>
          <w:rFonts w:ascii="Arial MT"/>
          <w:sz w:val="12"/>
          <w:lang w:val="uk-UA"/>
        </w:rPr>
      </w:pPr>
      <w:r w:rsidRPr="003C6DAE">
        <w:rPr>
          <w:rFonts w:ascii="Arial MT"/>
          <w:sz w:val="12"/>
          <w:lang w:val="uk-UA"/>
        </w:rPr>
        <w:t>7.1%</w:t>
      </w:r>
      <w:r w:rsidRPr="003C6DAE">
        <w:rPr>
          <w:rFonts w:ascii="Arial MT"/>
          <w:spacing w:val="1"/>
          <w:sz w:val="12"/>
          <w:lang w:val="uk-UA"/>
        </w:rPr>
        <w:t xml:space="preserve"> </w:t>
      </w:r>
      <w:r w:rsidRPr="003C6DAE">
        <w:rPr>
          <w:rFonts w:ascii="Arial MT"/>
          <w:sz w:val="12"/>
          <w:lang w:val="uk-UA"/>
        </w:rPr>
        <w:t>(3.2</w:t>
      </w:r>
      <w:r w:rsidRPr="003C6DAE">
        <w:rPr>
          <w:rFonts w:ascii="Arial MT"/>
          <w:spacing w:val="2"/>
          <w:sz w:val="12"/>
          <w:lang w:val="uk-UA"/>
        </w:rPr>
        <w:t xml:space="preserve"> </w:t>
      </w:r>
      <w:r w:rsidRPr="003C6DAE">
        <w:rPr>
          <w:rFonts w:ascii="Arial MT"/>
          <w:sz w:val="12"/>
          <w:lang w:val="uk-UA"/>
        </w:rPr>
        <w:t>to</w:t>
      </w:r>
      <w:r w:rsidRPr="003C6DAE">
        <w:rPr>
          <w:rFonts w:ascii="Arial MT"/>
          <w:spacing w:val="1"/>
          <w:sz w:val="12"/>
          <w:lang w:val="uk-UA"/>
        </w:rPr>
        <w:t xml:space="preserve"> </w:t>
      </w:r>
      <w:r w:rsidRPr="003C6DAE">
        <w:rPr>
          <w:rFonts w:ascii="Arial MT"/>
          <w:spacing w:val="-2"/>
          <w:sz w:val="12"/>
          <w:lang w:val="uk-UA"/>
        </w:rPr>
        <w:t>13.4)</w:t>
      </w:r>
    </w:p>
    <w:p w14:paraId="3C6DF5B8" w14:textId="77777777" w:rsidR="00E05B98" w:rsidRPr="003C6DAE" w:rsidRDefault="00B01E0C">
      <w:pPr>
        <w:spacing w:before="125"/>
        <w:ind w:left="591"/>
        <w:jc w:val="center"/>
        <w:rPr>
          <w:rFonts w:ascii="Arial MT"/>
          <w:sz w:val="12"/>
          <w:lang w:val="uk-UA"/>
        </w:rPr>
      </w:pPr>
      <w:r w:rsidRPr="003C6DAE">
        <w:rPr>
          <w:rFonts w:ascii="Arial MT"/>
          <w:sz w:val="12"/>
          <w:lang w:val="uk-UA"/>
        </w:rPr>
        <w:t>22.1%</w:t>
      </w:r>
      <w:r w:rsidRPr="003C6DAE">
        <w:rPr>
          <w:rFonts w:ascii="Arial MT"/>
          <w:spacing w:val="1"/>
          <w:sz w:val="12"/>
          <w:lang w:val="uk-UA"/>
        </w:rPr>
        <w:t xml:space="preserve"> </w:t>
      </w:r>
      <w:r w:rsidRPr="003C6DAE">
        <w:rPr>
          <w:rFonts w:ascii="Arial MT"/>
          <w:sz w:val="12"/>
          <w:lang w:val="uk-UA"/>
        </w:rPr>
        <w:t>(13.7</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32.7)</w:t>
      </w:r>
    </w:p>
    <w:p w14:paraId="617855A1" w14:textId="77777777" w:rsidR="00E05B98" w:rsidRPr="003C6DAE" w:rsidRDefault="00E05B98">
      <w:pPr>
        <w:pStyle w:val="a3"/>
        <w:rPr>
          <w:rFonts w:ascii="Arial MT"/>
          <w:sz w:val="12"/>
          <w:lang w:val="uk-UA"/>
        </w:rPr>
      </w:pPr>
    </w:p>
    <w:p w14:paraId="6079EDC2" w14:textId="02AAB590" w:rsidR="00E05B98" w:rsidRPr="003C6DAE" w:rsidRDefault="00E91118">
      <w:pPr>
        <w:pStyle w:val="a3"/>
        <w:spacing w:before="112"/>
        <w:rPr>
          <w:rFonts w:ascii="Arial MT"/>
          <w:sz w:val="12"/>
          <w:lang w:val="uk-UA"/>
        </w:rPr>
      </w:pPr>
      <w:r w:rsidRPr="003C6DAE">
        <w:rPr>
          <w:rFonts w:ascii="Arial MT"/>
          <w:noProof/>
          <w:sz w:val="9"/>
          <w:lang w:val="uk-UA"/>
        </w:rPr>
        <mc:AlternateContent>
          <mc:Choice Requires="wpg">
            <w:drawing>
              <wp:anchor distT="0" distB="0" distL="0" distR="0" simplePos="0" relativeHeight="16061440" behindDoc="0" locked="0" layoutInCell="1" allowOverlap="1" wp14:anchorId="0E80239D" wp14:editId="566AB7B9">
                <wp:simplePos x="0" y="0"/>
                <wp:positionH relativeFrom="page">
                  <wp:posOffset>3517428</wp:posOffset>
                </wp:positionH>
                <wp:positionV relativeFrom="paragraph">
                  <wp:posOffset>182742</wp:posOffset>
                </wp:positionV>
                <wp:extent cx="222250" cy="704215"/>
                <wp:effectExtent l="0" t="0" r="0" b="0"/>
                <wp:wrapNone/>
                <wp:docPr id="2168"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250" cy="704215"/>
                          <a:chOff x="0" y="0"/>
                          <a:chExt cx="222250" cy="704215"/>
                        </a:xfrm>
                      </wpg:grpSpPr>
                      <wps:wsp>
                        <wps:cNvPr id="2169" name="Graphic 2169"/>
                        <wps:cNvSpPr/>
                        <wps:spPr>
                          <a:xfrm>
                            <a:off x="0" y="31826"/>
                            <a:ext cx="128270" cy="1270"/>
                          </a:xfrm>
                          <a:custGeom>
                            <a:avLst/>
                            <a:gdLst/>
                            <a:ahLst/>
                            <a:cxnLst/>
                            <a:rect l="l" t="t" r="r" b="b"/>
                            <a:pathLst>
                              <a:path w="128270">
                                <a:moveTo>
                                  <a:pt x="0" y="0"/>
                                </a:moveTo>
                                <a:lnTo>
                                  <a:pt x="128206" y="0"/>
                                </a:lnTo>
                              </a:path>
                            </a:pathLst>
                          </a:custGeom>
                          <a:ln w="7365">
                            <a:solidFill>
                              <a:srgbClr val="000000"/>
                            </a:solidFill>
                            <a:prstDash val="solid"/>
                          </a:ln>
                        </wps:spPr>
                        <wps:bodyPr wrap="square" lIns="0" tIns="0" rIns="0" bIns="0" rtlCol="0">
                          <a:prstTxWarp prst="textNoShape">
                            <a:avLst/>
                          </a:prstTxWarp>
                          <a:noAutofit/>
                        </wps:bodyPr>
                      </wps:wsp>
                      <wps:wsp>
                        <wps:cNvPr id="2170" name="Graphic 2170"/>
                        <wps:cNvSpPr/>
                        <wps:spPr>
                          <a:xfrm>
                            <a:off x="27035" y="198855"/>
                            <a:ext cx="132080" cy="1270"/>
                          </a:xfrm>
                          <a:custGeom>
                            <a:avLst/>
                            <a:gdLst/>
                            <a:ahLst/>
                            <a:cxnLst/>
                            <a:rect l="l" t="t" r="r" b="b"/>
                            <a:pathLst>
                              <a:path w="132080">
                                <a:moveTo>
                                  <a:pt x="0" y="0"/>
                                </a:moveTo>
                                <a:lnTo>
                                  <a:pt x="132029" y="0"/>
                                </a:lnTo>
                              </a:path>
                            </a:pathLst>
                          </a:custGeom>
                          <a:ln w="7365">
                            <a:solidFill>
                              <a:srgbClr val="000000"/>
                            </a:solidFill>
                            <a:prstDash val="solid"/>
                          </a:ln>
                        </wps:spPr>
                        <wps:bodyPr wrap="square" lIns="0" tIns="0" rIns="0" bIns="0" rtlCol="0">
                          <a:prstTxWarp prst="textNoShape">
                            <a:avLst/>
                          </a:prstTxWarp>
                          <a:noAutofit/>
                        </wps:bodyPr>
                      </wps:wsp>
                      <wps:wsp>
                        <wps:cNvPr id="2171" name="Graphic 2171"/>
                        <wps:cNvSpPr/>
                        <wps:spPr>
                          <a:xfrm>
                            <a:off x="54507" y="365839"/>
                            <a:ext cx="167640" cy="1270"/>
                          </a:xfrm>
                          <a:custGeom>
                            <a:avLst/>
                            <a:gdLst/>
                            <a:ahLst/>
                            <a:cxnLst/>
                            <a:rect l="l" t="t" r="r" b="b"/>
                            <a:pathLst>
                              <a:path w="167640">
                                <a:moveTo>
                                  <a:pt x="0" y="0"/>
                                </a:moveTo>
                                <a:lnTo>
                                  <a:pt x="167601" y="0"/>
                                </a:lnTo>
                              </a:path>
                            </a:pathLst>
                          </a:custGeom>
                          <a:ln w="7365">
                            <a:solidFill>
                              <a:srgbClr val="000000"/>
                            </a:solidFill>
                            <a:prstDash val="solid"/>
                          </a:ln>
                        </wps:spPr>
                        <wps:bodyPr wrap="square" lIns="0" tIns="0" rIns="0" bIns="0" rtlCol="0">
                          <a:prstTxWarp prst="textNoShape">
                            <a:avLst/>
                          </a:prstTxWarp>
                          <a:noAutofit/>
                        </wps:bodyPr>
                      </wps:wsp>
                      <wps:wsp>
                        <wps:cNvPr id="2172" name="Graphic 2172"/>
                        <wps:cNvSpPr/>
                        <wps:spPr>
                          <a:xfrm>
                            <a:off x="16806" y="0"/>
                            <a:ext cx="140970" cy="398145"/>
                          </a:xfrm>
                          <a:custGeom>
                            <a:avLst/>
                            <a:gdLst/>
                            <a:ahLst/>
                            <a:cxnLst/>
                            <a:rect l="l" t="t" r="r" b="b"/>
                            <a:pathLst>
                              <a:path w="140970" h="398145">
                                <a:moveTo>
                                  <a:pt x="63639" y="31826"/>
                                </a:moveTo>
                                <a:lnTo>
                                  <a:pt x="31775" y="0"/>
                                </a:lnTo>
                                <a:lnTo>
                                  <a:pt x="0" y="31826"/>
                                </a:lnTo>
                                <a:lnTo>
                                  <a:pt x="31775" y="63639"/>
                                </a:lnTo>
                                <a:lnTo>
                                  <a:pt x="63639" y="31826"/>
                                </a:lnTo>
                                <a:close/>
                              </a:path>
                              <a:path w="140970" h="398145">
                                <a:moveTo>
                                  <a:pt x="96151" y="198856"/>
                                </a:moveTo>
                                <a:lnTo>
                                  <a:pt x="64376" y="167068"/>
                                </a:lnTo>
                                <a:lnTo>
                                  <a:pt x="32512" y="198856"/>
                                </a:lnTo>
                                <a:lnTo>
                                  <a:pt x="64376" y="230644"/>
                                </a:lnTo>
                                <a:lnTo>
                                  <a:pt x="96151" y="198856"/>
                                </a:lnTo>
                                <a:close/>
                              </a:path>
                              <a:path w="140970" h="398145">
                                <a:moveTo>
                                  <a:pt x="140893" y="365848"/>
                                </a:moveTo>
                                <a:lnTo>
                                  <a:pt x="109131" y="334073"/>
                                </a:lnTo>
                                <a:lnTo>
                                  <a:pt x="77254" y="365848"/>
                                </a:lnTo>
                                <a:lnTo>
                                  <a:pt x="109131" y="397725"/>
                                </a:lnTo>
                                <a:lnTo>
                                  <a:pt x="140893" y="365848"/>
                                </a:lnTo>
                                <a:close/>
                              </a:path>
                            </a:pathLst>
                          </a:custGeom>
                          <a:solidFill>
                            <a:srgbClr val="000000"/>
                          </a:solidFill>
                        </wps:spPr>
                        <wps:bodyPr wrap="square" lIns="0" tIns="0" rIns="0" bIns="0" rtlCol="0">
                          <a:prstTxWarp prst="textNoShape">
                            <a:avLst/>
                          </a:prstTxWarp>
                          <a:noAutofit/>
                        </wps:bodyPr>
                      </wps:wsp>
                      <wps:wsp>
                        <wps:cNvPr id="2173" name="Graphic 2173"/>
                        <wps:cNvSpPr/>
                        <wps:spPr>
                          <a:xfrm>
                            <a:off x="48577" y="31819"/>
                            <a:ext cx="1270" cy="668655"/>
                          </a:xfrm>
                          <a:custGeom>
                            <a:avLst/>
                            <a:gdLst/>
                            <a:ahLst/>
                            <a:cxnLst/>
                            <a:rect l="l" t="t" r="r" b="b"/>
                            <a:pathLst>
                              <a:path h="668655">
                                <a:moveTo>
                                  <a:pt x="0" y="668134"/>
                                </a:moveTo>
                                <a:lnTo>
                                  <a:pt x="0" y="0"/>
                                </a:lnTo>
                              </a:path>
                              <a:path h="668655">
                                <a:moveTo>
                                  <a:pt x="0" y="668134"/>
                                </a:moveTo>
                                <a:lnTo>
                                  <a:pt x="0" y="0"/>
                                </a:lnTo>
                              </a:path>
                              <a:path h="668655">
                                <a:moveTo>
                                  <a:pt x="0" y="668134"/>
                                </a:moveTo>
                                <a:lnTo>
                                  <a:pt x="0" y="0"/>
                                </a:lnTo>
                              </a:path>
                              <a:path h="668655">
                                <a:moveTo>
                                  <a:pt x="0" y="668134"/>
                                </a:moveTo>
                                <a:lnTo>
                                  <a:pt x="0" y="0"/>
                                </a:lnTo>
                              </a:path>
                              <a:path h="668655">
                                <a:moveTo>
                                  <a:pt x="0" y="668134"/>
                                </a:moveTo>
                                <a:lnTo>
                                  <a:pt x="0" y="0"/>
                                </a:lnTo>
                              </a:path>
                              <a:path h="668655">
                                <a:moveTo>
                                  <a:pt x="0" y="668134"/>
                                </a:moveTo>
                                <a:lnTo>
                                  <a:pt x="0" y="0"/>
                                </a:lnTo>
                              </a:path>
                              <a:path h="668655">
                                <a:moveTo>
                                  <a:pt x="0" y="668134"/>
                                </a:moveTo>
                                <a:lnTo>
                                  <a:pt x="0" y="0"/>
                                </a:lnTo>
                              </a:path>
                              <a:path h="668655">
                                <a:moveTo>
                                  <a:pt x="0" y="668134"/>
                                </a:moveTo>
                                <a:lnTo>
                                  <a:pt x="0" y="0"/>
                                </a:lnTo>
                              </a:path>
                              <a:path h="668655">
                                <a:moveTo>
                                  <a:pt x="0" y="668134"/>
                                </a:moveTo>
                                <a:lnTo>
                                  <a:pt x="0" y="0"/>
                                </a:lnTo>
                              </a:path>
                              <a:path h="668655">
                                <a:moveTo>
                                  <a:pt x="0" y="668134"/>
                                </a:moveTo>
                                <a:lnTo>
                                  <a:pt x="0" y="0"/>
                                </a:lnTo>
                              </a:path>
                              <a:path h="668655">
                                <a:moveTo>
                                  <a:pt x="0" y="668134"/>
                                </a:moveTo>
                                <a:lnTo>
                                  <a:pt x="0" y="0"/>
                                </a:lnTo>
                              </a:path>
                            </a:pathLst>
                          </a:custGeom>
                          <a:ln w="7365">
                            <a:solidFill>
                              <a:srgbClr val="000000"/>
                            </a:solidFill>
                            <a:prstDash val="solid"/>
                          </a:ln>
                        </wps:spPr>
                        <wps:bodyPr wrap="square" lIns="0" tIns="0" rIns="0" bIns="0" rtlCol="0">
                          <a:prstTxWarp prst="textNoShape">
                            <a:avLst/>
                          </a:prstTxWarp>
                          <a:noAutofit/>
                        </wps:bodyPr>
                      </wps:wsp>
                      <wps:wsp>
                        <wps:cNvPr id="2174" name="Graphic 2174"/>
                        <wps:cNvSpPr/>
                        <wps:spPr>
                          <a:xfrm>
                            <a:off x="125940" y="365842"/>
                            <a:ext cx="1270" cy="334645"/>
                          </a:xfrm>
                          <a:custGeom>
                            <a:avLst/>
                            <a:gdLst/>
                            <a:ahLst/>
                            <a:cxnLst/>
                            <a:rect l="l" t="t" r="r" b="b"/>
                            <a:pathLst>
                              <a:path h="334645">
                                <a:moveTo>
                                  <a:pt x="0" y="334111"/>
                                </a:moveTo>
                                <a:lnTo>
                                  <a:pt x="0" y="0"/>
                                </a:lnTo>
                              </a:path>
                              <a:path h="334645">
                                <a:moveTo>
                                  <a:pt x="0" y="334111"/>
                                </a:moveTo>
                                <a:lnTo>
                                  <a:pt x="0" y="0"/>
                                </a:lnTo>
                              </a:path>
                              <a:path h="334645">
                                <a:moveTo>
                                  <a:pt x="0" y="334111"/>
                                </a:moveTo>
                                <a:lnTo>
                                  <a:pt x="0" y="0"/>
                                </a:lnTo>
                              </a:path>
                              <a:path h="334645">
                                <a:moveTo>
                                  <a:pt x="0" y="334111"/>
                                </a:moveTo>
                                <a:lnTo>
                                  <a:pt x="0" y="0"/>
                                </a:lnTo>
                              </a:path>
                              <a:path h="334645">
                                <a:moveTo>
                                  <a:pt x="0" y="334111"/>
                                </a:moveTo>
                                <a:lnTo>
                                  <a:pt x="0" y="0"/>
                                </a:lnTo>
                              </a:path>
                              <a:path h="334645">
                                <a:moveTo>
                                  <a:pt x="0" y="334111"/>
                                </a:moveTo>
                                <a:lnTo>
                                  <a:pt x="0" y="0"/>
                                </a:lnTo>
                              </a:path>
                              <a:path h="334645">
                                <a:moveTo>
                                  <a:pt x="0" y="334111"/>
                                </a:moveTo>
                                <a:lnTo>
                                  <a:pt x="0" y="0"/>
                                </a:lnTo>
                              </a:path>
                              <a:path h="334645">
                                <a:moveTo>
                                  <a:pt x="0" y="334111"/>
                                </a:moveTo>
                                <a:lnTo>
                                  <a:pt x="0" y="0"/>
                                </a:lnTo>
                              </a:path>
                              <a:path h="334645">
                                <a:moveTo>
                                  <a:pt x="0" y="334111"/>
                                </a:moveTo>
                                <a:lnTo>
                                  <a:pt x="0" y="0"/>
                                </a:lnTo>
                              </a:path>
                              <a:path h="334645">
                                <a:moveTo>
                                  <a:pt x="0" y="334111"/>
                                </a:moveTo>
                                <a:lnTo>
                                  <a:pt x="0" y="0"/>
                                </a:lnTo>
                              </a:path>
                              <a:path h="334645">
                                <a:moveTo>
                                  <a:pt x="0" y="334111"/>
                                </a:moveTo>
                                <a:lnTo>
                                  <a:pt x="0" y="0"/>
                                </a:lnTo>
                              </a:path>
                            </a:pathLst>
                          </a:custGeom>
                          <a:ln w="7365">
                            <a:solidFill>
                              <a:srgbClr val="000000"/>
                            </a:solidFill>
                            <a:prstDash val="solid"/>
                          </a:ln>
                        </wps:spPr>
                        <wps:bodyPr wrap="square" lIns="0" tIns="0" rIns="0" bIns="0" rtlCol="0">
                          <a:prstTxWarp prst="textNoShape">
                            <a:avLst/>
                          </a:prstTxWarp>
                          <a:noAutofit/>
                        </wps:bodyPr>
                      </wps:wsp>
                      <wps:wsp>
                        <wps:cNvPr id="2175" name="Graphic 2175"/>
                        <wps:cNvSpPr/>
                        <wps:spPr>
                          <a:xfrm>
                            <a:off x="48577" y="699954"/>
                            <a:ext cx="77470" cy="1270"/>
                          </a:xfrm>
                          <a:custGeom>
                            <a:avLst/>
                            <a:gdLst/>
                            <a:ahLst/>
                            <a:cxnLst/>
                            <a:rect l="l" t="t" r="r" b="b"/>
                            <a:pathLst>
                              <a:path w="77470">
                                <a:moveTo>
                                  <a:pt x="0" y="0"/>
                                </a:moveTo>
                                <a:lnTo>
                                  <a:pt x="77368" y="0"/>
                                </a:lnTo>
                              </a:path>
                              <a:path w="77470">
                                <a:moveTo>
                                  <a:pt x="0" y="0"/>
                                </a:moveTo>
                                <a:lnTo>
                                  <a:pt x="77368" y="0"/>
                                </a:lnTo>
                              </a:path>
                              <a:path w="77470">
                                <a:moveTo>
                                  <a:pt x="0" y="0"/>
                                </a:moveTo>
                                <a:lnTo>
                                  <a:pt x="77368" y="0"/>
                                </a:lnTo>
                              </a:path>
                              <a:path w="77470">
                                <a:moveTo>
                                  <a:pt x="0" y="0"/>
                                </a:moveTo>
                                <a:lnTo>
                                  <a:pt x="77368" y="0"/>
                                </a:lnTo>
                              </a:path>
                              <a:path w="77470">
                                <a:moveTo>
                                  <a:pt x="0" y="0"/>
                                </a:moveTo>
                                <a:lnTo>
                                  <a:pt x="77368" y="0"/>
                                </a:lnTo>
                              </a:path>
                              <a:path w="77470">
                                <a:moveTo>
                                  <a:pt x="0" y="0"/>
                                </a:moveTo>
                                <a:lnTo>
                                  <a:pt x="77368" y="0"/>
                                </a:lnTo>
                              </a:path>
                              <a:path w="77470">
                                <a:moveTo>
                                  <a:pt x="0" y="0"/>
                                </a:moveTo>
                                <a:lnTo>
                                  <a:pt x="77368" y="0"/>
                                </a:lnTo>
                              </a:path>
                              <a:path w="77470">
                                <a:moveTo>
                                  <a:pt x="0" y="0"/>
                                </a:moveTo>
                                <a:lnTo>
                                  <a:pt x="77368" y="0"/>
                                </a:lnTo>
                              </a:path>
                              <a:path w="77470">
                                <a:moveTo>
                                  <a:pt x="0" y="0"/>
                                </a:moveTo>
                                <a:lnTo>
                                  <a:pt x="77368" y="0"/>
                                </a:lnTo>
                              </a:path>
                              <a:path w="77470">
                                <a:moveTo>
                                  <a:pt x="0" y="0"/>
                                </a:moveTo>
                                <a:lnTo>
                                  <a:pt x="77368" y="0"/>
                                </a:lnTo>
                              </a:path>
                              <a:path w="77470">
                                <a:moveTo>
                                  <a:pt x="0" y="0"/>
                                </a:moveTo>
                                <a:lnTo>
                                  <a:pt x="77368" y="0"/>
                                </a:lnTo>
                              </a:path>
                            </a:pathLst>
                          </a:custGeom>
                          <a:ln w="7365">
                            <a:solidFill>
                              <a:srgbClr val="000000"/>
                            </a:solidFill>
                            <a:prstDash val="solid"/>
                          </a:ln>
                        </wps:spPr>
                        <wps:bodyPr wrap="square" lIns="0" tIns="0" rIns="0" bIns="0" rtlCol="0">
                          <a:prstTxWarp prst="textNoShape">
                            <a:avLst/>
                          </a:prstTxWarp>
                          <a:noAutofit/>
                        </wps:bodyPr>
                      </wps:wsp>
                      <wps:wsp>
                        <wps:cNvPr id="2176" name="Graphic 2176"/>
                        <wps:cNvSpPr/>
                        <wps:spPr>
                          <a:xfrm>
                            <a:off x="81186" y="198852"/>
                            <a:ext cx="45085" cy="334645"/>
                          </a:xfrm>
                          <a:custGeom>
                            <a:avLst/>
                            <a:gdLst/>
                            <a:ahLst/>
                            <a:cxnLst/>
                            <a:rect l="l" t="t" r="r" b="b"/>
                            <a:pathLst>
                              <a:path w="45085" h="334645">
                                <a:moveTo>
                                  <a:pt x="0" y="334073"/>
                                </a:moveTo>
                                <a:lnTo>
                                  <a:pt x="0" y="0"/>
                                </a:lnTo>
                              </a:path>
                              <a:path w="45085" h="334645">
                                <a:moveTo>
                                  <a:pt x="0" y="334073"/>
                                </a:moveTo>
                                <a:lnTo>
                                  <a:pt x="0" y="0"/>
                                </a:lnTo>
                              </a:path>
                              <a:path w="45085" h="334645">
                                <a:moveTo>
                                  <a:pt x="0" y="334073"/>
                                </a:moveTo>
                                <a:lnTo>
                                  <a:pt x="0" y="0"/>
                                </a:lnTo>
                              </a:path>
                              <a:path w="45085" h="334645">
                                <a:moveTo>
                                  <a:pt x="0" y="334073"/>
                                </a:moveTo>
                                <a:lnTo>
                                  <a:pt x="0" y="0"/>
                                </a:lnTo>
                              </a:path>
                              <a:path w="45085" h="334645">
                                <a:moveTo>
                                  <a:pt x="0" y="334073"/>
                                </a:moveTo>
                                <a:lnTo>
                                  <a:pt x="0" y="0"/>
                                </a:lnTo>
                              </a:path>
                              <a:path w="45085" h="334645">
                                <a:moveTo>
                                  <a:pt x="0" y="334073"/>
                                </a:moveTo>
                                <a:lnTo>
                                  <a:pt x="0" y="0"/>
                                </a:lnTo>
                              </a:path>
                              <a:path w="45085" h="334645">
                                <a:moveTo>
                                  <a:pt x="0" y="334073"/>
                                </a:moveTo>
                                <a:lnTo>
                                  <a:pt x="0" y="0"/>
                                </a:lnTo>
                              </a:path>
                              <a:path w="45085" h="334645">
                                <a:moveTo>
                                  <a:pt x="0" y="334073"/>
                                </a:moveTo>
                                <a:lnTo>
                                  <a:pt x="0" y="0"/>
                                </a:lnTo>
                              </a:path>
                              <a:path w="45085" h="334645">
                                <a:moveTo>
                                  <a:pt x="0" y="334073"/>
                                </a:moveTo>
                                <a:lnTo>
                                  <a:pt x="0" y="0"/>
                                </a:lnTo>
                              </a:path>
                              <a:path w="45085" h="334645">
                                <a:moveTo>
                                  <a:pt x="0" y="334073"/>
                                </a:moveTo>
                                <a:lnTo>
                                  <a:pt x="0" y="0"/>
                                </a:lnTo>
                              </a:path>
                              <a:path w="45085" h="334645">
                                <a:moveTo>
                                  <a:pt x="0" y="334073"/>
                                </a:moveTo>
                                <a:lnTo>
                                  <a:pt x="0" y="0"/>
                                </a:lnTo>
                              </a:path>
                              <a:path w="45085" h="334645">
                                <a:moveTo>
                                  <a:pt x="0" y="334073"/>
                                </a:moveTo>
                                <a:lnTo>
                                  <a:pt x="44754" y="334073"/>
                                </a:lnTo>
                              </a:path>
                              <a:path w="45085" h="334645">
                                <a:moveTo>
                                  <a:pt x="0" y="334073"/>
                                </a:moveTo>
                                <a:lnTo>
                                  <a:pt x="44754" y="334073"/>
                                </a:lnTo>
                              </a:path>
                              <a:path w="45085" h="334645">
                                <a:moveTo>
                                  <a:pt x="0" y="334073"/>
                                </a:moveTo>
                                <a:lnTo>
                                  <a:pt x="44754" y="334073"/>
                                </a:lnTo>
                              </a:path>
                              <a:path w="45085" h="334645">
                                <a:moveTo>
                                  <a:pt x="0" y="334073"/>
                                </a:moveTo>
                                <a:lnTo>
                                  <a:pt x="44754" y="334073"/>
                                </a:lnTo>
                              </a:path>
                              <a:path w="45085" h="334645">
                                <a:moveTo>
                                  <a:pt x="0" y="334073"/>
                                </a:moveTo>
                                <a:lnTo>
                                  <a:pt x="44754" y="334073"/>
                                </a:lnTo>
                              </a:path>
                              <a:path w="45085" h="334645">
                                <a:moveTo>
                                  <a:pt x="0" y="334073"/>
                                </a:moveTo>
                                <a:lnTo>
                                  <a:pt x="44754" y="334073"/>
                                </a:lnTo>
                              </a:path>
                              <a:path w="45085" h="334645">
                                <a:moveTo>
                                  <a:pt x="0" y="334073"/>
                                </a:moveTo>
                                <a:lnTo>
                                  <a:pt x="44754" y="334073"/>
                                </a:lnTo>
                              </a:path>
                              <a:path w="45085" h="334645">
                                <a:moveTo>
                                  <a:pt x="0" y="334073"/>
                                </a:moveTo>
                                <a:lnTo>
                                  <a:pt x="44754" y="334073"/>
                                </a:lnTo>
                              </a:path>
                              <a:path w="45085" h="334645">
                                <a:moveTo>
                                  <a:pt x="0" y="334073"/>
                                </a:moveTo>
                                <a:lnTo>
                                  <a:pt x="44754" y="334073"/>
                                </a:lnTo>
                              </a:path>
                              <a:path w="45085" h="334645">
                                <a:moveTo>
                                  <a:pt x="0" y="334073"/>
                                </a:moveTo>
                                <a:lnTo>
                                  <a:pt x="44754" y="334073"/>
                                </a:lnTo>
                              </a:path>
                              <a:path w="45085" h="334645">
                                <a:moveTo>
                                  <a:pt x="0" y="334073"/>
                                </a:moveTo>
                                <a:lnTo>
                                  <a:pt x="44754" y="334073"/>
                                </a:lnTo>
                              </a:path>
                            </a:pathLst>
                          </a:custGeom>
                          <a:ln w="7365">
                            <a:solidFill>
                              <a:srgbClr val="000000"/>
                            </a:solidFill>
                            <a:prstDash val="dot"/>
                          </a:ln>
                        </wps:spPr>
                        <wps:bodyPr wrap="square" lIns="0" tIns="0" rIns="0" bIns="0" rtlCol="0">
                          <a:prstTxWarp prst="textNoShape">
                            <a:avLst/>
                          </a:prstTxWarp>
                          <a:noAutofit/>
                        </wps:bodyPr>
                      </wps:wsp>
                    </wpg:wgp>
                  </a:graphicData>
                </a:graphic>
              </wp:anchor>
            </w:drawing>
          </mc:Choice>
          <mc:Fallback>
            <w:pict>
              <v:group w14:anchorId="0381DED5" id="Group 2168" o:spid="_x0000_s1026" style="position:absolute;margin-left:276.95pt;margin-top:14.4pt;width:17.5pt;height:55.45pt;z-index:16061440;mso-wrap-distance-left:0;mso-wrap-distance-right:0;mso-position-horizontal-relative:page" coordsize="2222,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">
                <v:shape id="Graphic 2169" o:spid="_x0000_s1027" style="position:absolute;top:318;width:1282;height:12;visibility:visible;mso-wrap-style:square;v-text-anchor:top" coordsize="128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" path="m,l128206,e" filled="f" strokeweight=".20458mm">
                  <v:path arrowok="t"/>
                </v:shape>
                <v:shape id="Graphic 2170" o:spid="_x0000_s1028" style="position:absolute;left:270;top:1988;width:1321;height:13;visibility:visible;mso-wrap-style:square;v-text-anchor:top" coordsize="132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" path="m,l132029,e" filled="f" strokeweight=".20458mm">
                  <v:path arrowok="t"/>
                </v:shape>
                <v:shape id="Graphic 2171" o:spid="_x0000_s1029" style="position:absolute;left:545;top:3658;width:1676;height:13;visibility:visible;mso-wrap-style:square;v-text-anchor:top" coordsize="167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" path="m,l167601,e" filled="f" strokeweight=".20458mm">
                  <v:path arrowok="t"/>
                </v:shape>
                <v:shape id="Graphic 2172" o:spid="_x0000_s1030" style="position:absolute;left:168;width:1409;height:3981;visibility:visible;mso-wrap-style:square;v-text-anchor:top" coordsize="14097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" path="m63639,31826l31775,,,31826,31775,63639,63639,31826xem96151,198856l64376,167068,32512,198856r31864,31788l96151,198856xem140893,365848l109131,334073,77254,365848r31877,31877l140893,365848xe" fillcolor="black" stroked="f">
                  <v:path arrowok="t"/>
                </v:shape>
                <v:shape id="Graphic 2173" o:spid="_x0000_s1031" style="position:absolute;left:485;top:318;width:13;height:6686;visibility:visible;mso-wrap-style:square;v-text-anchor:top" coordsize="1270,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" path="m,668134l,em,668134l,em,668134l,em,668134l,em,668134l,em,668134l,em,668134l,em,668134l,em,668134l,em,668134l,em,668134l,e" filled="f" strokeweight=".20458mm">
                  <v:path arrowok="t"/>
                </v:shape>
                <v:shape id="Graphic 2174" o:spid="_x0000_s1032" style="position:absolute;left:1259;top:3658;width:13;height:3346;visibility:visible;mso-wrap-style:square;v-text-anchor:top" coordsize="127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" path="m,334111l,em,334111l,em,334111l,em,334111l,em,334111l,em,334111l,em,334111l,em,334111l,em,334111l,em,334111l,em,334111l,e" filled="f" strokeweight=".20458mm">
                  <v:path arrowok="t"/>
                </v:shape>
                <v:shape id="Graphic 2175" o:spid="_x0000_s1033" style="position:absolute;left:485;top:6999;width:775;height:13;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" path="m,l77368,em,l77368,em,l77368,em,l77368,em,l77368,em,l77368,em,l77368,em,l77368,em,l77368,em,l77368,em,l77368,e" filled="f" strokeweight=".20458mm">
                  <v:path arrowok="t"/>
                </v:shape>
                <v:shape id="Graphic 2176" o:spid="_x0000_s1034" style="position:absolute;left:811;top:1988;width:451;height:3346;visibility:visible;mso-wrap-style:square;v-text-anchor:top" coordsize="45085,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" path="m,334073l,em,334073l,em,334073l,em,334073l,em,334073l,em,334073l,em,334073l,em,334073l,em,334073l,em,334073l,em,334073l,em,334073r44754,em,334073r44754,em,334073r44754,em,334073r44754,em,334073r44754,em,334073r44754,em,334073r44754,em,334073r44754,em,334073r44754,em,334073r44754,em,334073r44754,e" filled="f" strokeweight=".20458mm">
                  <v:stroke dashstyle="dot"/>
                  <v:path arrowok="t"/>
                </v:shape>
                <w10:wrap anchorx="page"/>
              </v:group>
            </w:pict>
          </mc:Fallback>
        </mc:AlternateContent>
      </w:r>
    </w:p>
    <w:p w14:paraId="40A31760" w14:textId="4B1381BF" w:rsidR="00E05B98" w:rsidRPr="003C6DAE" w:rsidRDefault="00B01E0C">
      <w:pPr>
        <w:ind w:left="591"/>
        <w:jc w:val="center"/>
        <w:rPr>
          <w:rFonts w:ascii="Arial MT"/>
          <w:sz w:val="12"/>
          <w:lang w:val="uk-UA"/>
        </w:rPr>
      </w:pPr>
      <w:r w:rsidRPr="003C6DAE">
        <w:rPr>
          <w:rFonts w:ascii="Arial MT"/>
          <w:sz w:val="12"/>
          <w:lang w:val="uk-UA"/>
        </w:rPr>
        <w:t>16.4%</w:t>
      </w:r>
      <w:r w:rsidRPr="003C6DAE">
        <w:rPr>
          <w:rFonts w:ascii="Arial MT"/>
          <w:spacing w:val="1"/>
          <w:sz w:val="12"/>
          <w:lang w:val="uk-UA"/>
        </w:rPr>
        <w:t xml:space="preserve"> </w:t>
      </w:r>
      <w:r w:rsidRPr="003C6DAE">
        <w:rPr>
          <w:rFonts w:ascii="Arial MT"/>
          <w:sz w:val="12"/>
          <w:lang w:val="uk-UA"/>
        </w:rPr>
        <w:t>(8.4</w:t>
      </w:r>
      <w:r w:rsidRPr="003C6DAE">
        <w:rPr>
          <w:rFonts w:ascii="Arial MT"/>
          <w:spacing w:val="2"/>
          <w:sz w:val="12"/>
          <w:lang w:val="uk-UA"/>
        </w:rPr>
        <w:t xml:space="preserve"> </w:t>
      </w:r>
      <w:r w:rsidRPr="003C6DAE">
        <w:rPr>
          <w:rFonts w:ascii="Arial MT"/>
          <w:sz w:val="12"/>
          <w:lang w:val="uk-UA"/>
        </w:rPr>
        <w:t>to</w:t>
      </w:r>
      <w:r w:rsidRPr="003C6DAE">
        <w:rPr>
          <w:rFonts w:ascii="Arial MT"/>
          <w:spacing w:val="1"/>
          <w:sz w:val="12"/>
          <w:lang w:val="uk-UA"/>
        </w:rPr>
        <w:t xml:space="preserve"> </w:t>
      </w:r>
      <w:r w:rsidRPr="003C6DAE">
        <w:rPr>
          <w:rFonts w:ascii="Arial MT"/>
          <w:spacing w:val="-2"/>
          <w:sz w:val="12"/>
          <w:lang w:val="uk-UA"/>
        </w:rPr>
        <w:t>29.4)</w:t>
      </w:r>
    </w:p>
    <w:p w14:paraId="4BC486EE" w14:textId="77777777" w:rsidR="00E05B98" w:rsidRPr="003C6DAE" w:rsidRDefault="00B01E0C">
      <w:pPr>
        <w:spacing w:before="125"/>
        <w:ind w:left="591"/>
        <w:jc w:val="center"/>
        <w:rPr>
          <w:rFonts w:ascii="Arial MT"/>
          <w:sz w:val="12"/>
          <w:lang w:val="uk-UA"/>
        </w:rPr>
      </w:pPr>
      <w:r w:rsidRPr="003C6DAE">
        <w:rPr>
          <w:rFonts w:ascii="Arial MT"/>
          <w:sz w:val="12"/>
          <w:lang w:val="uk-UA"/>
        </w:rPr>
        <w:t>21.7%</w:t>
      </w:r>
      <w:r w:rsidRPr="003C6DAE">
        <w:rPr>
          <w:rFonts w:ascii="Arial MT"/>
          <w:spacing w:val="1"/>
          <w:sz w:val="12"/>
          <w:lang w:val="uk-UA"/>
        </w:rPr>
        <w:t xml:space="preserve"> </w:t>
      </w:r>
      <w:r w:rsidRPr="003C6DAE">
        <w:rPr>
          <w:rFonts w:ascii="Arial MT"/>
          <w:sz w:val="12"/>
          <w:lang w:val="uk-UA"/>
        </w:rPr>
        <w:t>(12.9</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34.4)</w:t>
      </w:r>
    </w:p>
    <w:p w14:paraId="4D79361F" w14:textId="77777777" w:rsidR="00E05B98" w:rsidRPr="003C6DAE" w:rsidRDefault="00B01E0C">
      <w:pPr>
        <w:spacing w:before="126"/>
        <w:ind w:left="591"/>
        <w:jc w:val="center"/>
        <w:rPr>
          <w:rFonts w:ascii="Arial MT"/>
          <w:sz w:val="12"/>
          <w:lang w:val="uk-UA"/>
        </w:rPr>
      </w:pPr>
      <w:r w:rsidRPr="003C6DAE">
        <w:rPr>
          <w:rFonts w:ascii="Arial MT"/>
          <w:sz w:val="12"/>
          <w:lang w:val="uk-UA"/>
        </w:rPr>
        <w:t>29.0%</w:t>
      </w:r>
      <w:r w:rsidRPr="003C6DAE">
        <w:rPr>
          <w:rFonts w:ascii="Arial MT"/>
          <w:spacing w:val="1"/>
          <w:sz w:val="12"/>
          <w:lang w:val="uk-UA"/>
        </w:rPr>
        <w:t xml:space="preserve"> </w:t>
      </w:r>
      <w:r w:rsidRPr="003C6DAE">
        <w:rPr>
          <w:rFonts w:ascii="Arial MT"/>
          <w:sz w:val="12"/>
          <w:lang w:val="uk-UA"/>
        </w:rPr>
        <w:t>(17.3</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44.7)</w:t>
      </w:r>
    </w:p>
    <w:p w14:paraId="3E1E1F0D" w14:textId="77777777" w:rsidR="00E05B98" w:rsidRPr="003C6DAE" w:rsidRDefault="00B01E0C">
      <w:pPr>
        <w:spacing w:before="124"/>
        <w:ind w:left="591"/>
        <w:jc w:val="center"/>
        <w:rPr>
          <w:rFonts w:ascii="Arial MT"/>
          <w:sz w:val="12"/>
          <w:lang w:val="uk-UA"/>
        </w:rPr>
      </w:pPr>
      <w:r w:rsidRPr="003C6DAE">
        <w:rPr>
          <w:rFonts w:ascii="Arial MT"/>
          <w:sz w:val="12"/>
          <w:lang w:val="uk-UA"/>
        </w:rPr>
        <w:t>4.7%</w:t>
      </w:r>
      <w:r w:rsidRPr="003C6DAE">
        <w:rPr>
          <w:rFonts w:ascii="Arial MT"/>
          <w:spacing w:val="1"/>
          <w:sz w:val="12"/>
          <w:lang w:val="uk-UA"/>
        </w:rPr>
        <w:t xml:space="preserve"> </w:t>
      </w:r>
      <w:r w:rsidRPr="003C6DAE">
        <w:rPr>
          <w:rFonts w:ascii="Arial MT"/>
          <w:sz w:val="12"/>
          <w:lang w:val="uk-UA"/>
        </w:rPr>
        <w:t>(2.1</w:t>
      </w:r>
      <w:r w:rsidRPr="003C6DAE">
        <w:rPr>
          <w:rFonts w:ascii="Arial MT"/>
          <w:spacing w:val="2"/>
          <w:sz w:val="12"/>
          <w:lang w:val="uk-UA"/>
        </w:rPr>
        <w:t xml:space="preserve"> </w:t>
      </w:r>
      <w:r w:rsidRPr="003C6DAE">
        <w:rPr>
          <w:rFonts w:ascii="Arial MT"/>
          <w:sz w:val="12"/>
          <w:lang w:val="uk-UA"/>
        </w:rPr>
        <w:t>to</w:t>
      </w:r>
      <w:r w:rsidRPr="003C6DAE">
        <w:rPr>
          <w:rFonts w:ascii="Arial MT"/>
          <w:spacing w:val="1"/>
          <w:sz w:val="12"/>
          <w:lang w:val="uk-UA"/>
        </w:rPr>
        <w:t xml:space="preserve"> </w:t>
      </w:r>
      <w:r w:rsidRPr="003C6DAE">
        <w:rPr>
          <w:rFonts w:ascii="Arial MT"/>
          <w:spacing w:val="-4"/>
          <w:sz w:val="12"/>
          <w:lang w:val="uk-UA"/>
        </w:rPr>
        <w:t>8.9)</w:t>
      </w:r>
    </w:p>
    <w:p w14:paraId="2499FCC2" w14:textId="77777777" w:rsidR="00E05B98" w:rsidRPr="003C6DAE" w:rsidRDefault="00B01E0C">
      <w:pPr>
        <w:spacing w:before="126"/>
        <w:ind w:left="591"/>
        <w:jc w:val="center"/>
        <w:rPr>
          <w:rFonts w:ascii="Arial MT"/>
          <w:sz w:val="12"/>
          <w:lang w:val="uk-UA"/>
        </w:rPr>
      </w:pPr>
      <w:r w:rsidRPr="003C6DAE">
        <w:rPr>
          <w:rFonts w:ascii="Arial MT"/>
          <w:sz w:val="12"/>
          <w:lang w:val="uk-UA"/>
        </w:rPr>
        <w:t>10.5%</w:t>
      </w:r>
      <w:r w:rsidRPr="003C6DAE">
        <w:rPr>
          <w:rFonts w:ascii="Arial MT"/>
          <w:spacing w:val="1"/>
          <w:sz w:val="12"/>
          <w:lang w:val="uk-UA"/>
        </w:rPr>
        <w:t xml:space="preserve"> </w:t>
      </w:r>
      <w:r w:rsidRPr="003C6DAE">
        <w:rPr>
          <w:rFonts w:ascii="Arial MT"/>
          <w:sz w:val="12"/>
          <w:lang w:val="uk-UA"/>
        </w:rPr>
        <w:t>(6.9</w:t>
      </w:r>
      <w:r w:rsidRPr="003C6DAE">
        <w:rPr>
          <w:rFonts w:ascii="Arial MT"/>
          <w:spacing w:val="2"/>
          <w:sz w:val="12"/>
          <w:lang w:val="uk-UA"/>
        </w:rPr>
        <w:t xml:space="preserve"> </w:t>
      </w:r>
      <w:r w:rsidRPr="003C6DAE">
        <w:rPr>
          <w:rFonts w:ascii="Arial MT"/>
          <w:sz w:val="12"/>
          <w:lang w:val="uk-UA"/>
        </w:rPr>
        <w:t>to</w:t>
      </w:r>
      <w:r w:rsidRPr="003C6DAE">
        <w:rPr>
          <w:rFonts w:ascii="Arial MT"/>
          <w:spacing w:val="1"/>
          <w:sz w:val="12"/>
          <w:lang w:val="uk-UA"/>
        </w:rPr>
        <w:t xml:space="preserve"> </w:t>
      </w:r>
      <w:r w:rsidRPr="003C6DAE">
        <w:rPr>
          <w:rFonts w:ascii="Arial MT"/>
          <w:spacing w:val="-2"/>
          <w:sz w:val="12"/>
          <w:lang w:val="uk-UA"/>
        </w:rPr>
        <w:t>15.0)</w:t>
      </w:r>
    </w:p>
    <w:p w14:paraId="42825972" w14:textId="77777777" w:rsidR="00E05B98" w:rsidRPr="003C6DAE" w:rsidRDefault="00B01E0C">
      <w:pPr>
        <w:spacing w:before="99"/>
        <w:ind w:left="652"/>
        <w:rPr>
          <w:rFonts w:ascii="Arial"/>
          <w:b/>
          <w:sz w:val="12"/>
          <w:lang w:val="uk-UA"/>
        </w:rPr>
      </w:pPr>
      <w:r w:rsidRPr="003C6DAE">
        <w:rPr>
          <w:lang w:val="uk-UA"/>
        </w:rPr>
        <w:br w:type="column"/>
      </w:r>
      <w:proofErr w:type="spellStart"/>
      <w:r w:rsidRPr="003C6DAE">
        <w:rPr>
          <w:rFonts w:ascii="Arial"/>
          <w:b/>
          <w:sz w:val="12"/>
          <w:lang w:val="uk-UA"/>
        </w:rPr>
        <w:t>Summary</w:t>
      </w:r>
      <w:proofErr w:type="spellEnd"/>
      <w:r w:rsidRPr="003C6DAE">
        <w:rPr>
          <w:rFonts w:ascii="Arial"/>
          <w:b/>
          <w:spacing w:val="3"/>
          <w:sz w:val="12"/>
          <w:lang w:val="uk-UA"/>
        </w:rPr>
        <w:t xml:space="preserve"> </w:t>
      </w:r>
      <w:r w:rsidRPr="003C6DAE">
        <w:rPr>
          <w:rFonts w:ascii="Arial"/>
          <w:b/>
          <w:sz w:val="12"/>
          <w:lang w:val="uk-UA"/>
        </w:rPr>
        <w:t>(95%</w:t>
      </w:r>
      <w:r w:rsidRPr="003C6DAE">
        <w:rPr>
          <w:rFonts w:ascii="Arial"/>
          <w:b/>
          <w:spacing w:val="4"/>
          <w:sz w:val="12"/>
          <w:lang w:val="uk-UA"/>
        </w:rPr>
        <w:t xml:space="preserve"> </w:t>
      </w:r>
      <w:r w:rsidRPr="003C6DAE">
        <w:rPr>
          <w:rFonts w:ascii="Arial"/>
          <w:b/>
          <w:spacing w:val="-4"/>
          <w:sz w:val="12"/>
          <w:lang w:val="uk-UA"/>
        </w:rPr>
        <w:t>CrI)</w:t>
      </w:r>
    </w:p>
    <w:p w14:paraId="1DAE4262" w14:textId="77777777" w:rsidR="00E05B98" w:rsidRPr="003C6DAE" w:rsidRDefault="00B01E0C">
      <w:pPr>
        <w:spacing w:before="125"/>
        <w:ind w:left="710"/>
        <w:rPr>
          <w:rFonts w:ascii="Arial MT"/>
          <w:sz w:val="12"/>
          <w:lang w:val="uk-UA"/>
        </w:rPr>
      </w:pPr>
      <w:r w:rsidRPr="003C6DAE">
        <w:rPr>
          <w:rFonts w:ascii="Arial MT"/>
          <w:noProof/>
          <w:sz w:val="12"/>
          <w:lang w:val="uk-UA"/>
        </w:rPr>
        <mc:AlternateContent>
          <mc:Choice Requires="wpg">
            <w:drawing>
              <wp:anchor distT="0" distB="0" distL="0" distR="0" simplePos="0" relativeHeight="16062464" behindDoc="0" locked="0" layoutInCell="1" allowOverlap="1" wp14:anchorId="27F1867D" wp14:editId="2CB61AAF">
                <wp:simplePos x="0" y="0"/>
                <wp:positionH relativeFrom="page">
                  <wp:posOffset>5646270</wp:posOffset>
                </wp:positionH>
                <wp:positionV relativeFrom="paragraph">
                  <wp:posOffset>91214</wp:posOffset>
                </wp:positionV>
                <wp:extent cx="91440" cy="704215"/>
                <wp:effectExtent l="0" t="0" r="0" b="0"/>
                <wp:wrapNone/>
                <wp:docPr id="2143" name="Group 2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04215"/>
                          <a:chOff x="0" y="0"/>
                          <a:chExt cx="91440" cy="704215"/>
                        </a:xfrm>
                      </wpg:grpSpPr>
                      <wps:wsp>
                        <wps:cNvPr id="2144" name="Graphic 2144"/>
                        <wps:cNvSpPr/>
                        <wps:spPr>
                          <a:xfrm>
                            <a:off x="43450" y="31826"/>
                            <a:ext cx="24765" cy="1270"/>
                          </a:xfrm>
                          <a:custGeom>
                            <a:avLst/>
                            <a:gdLst/>
                            <a:ahLst/>
                            <a:cxnLst/>
                            <a:rect l="l" t="t" r="r" b="b"/>
                            <a:pathLst>
                              <a:path w="24765">
                                <a:moveTo>
                                  <a:pt x="0" y="0"/>
                                </a:moveTo>
                                <a:lnTo>
                                  <a:pt x="24549" y="0"/>
                                </a:lnTo>
                              </a:path>
                            </a:pathLst>
                          </a:custGeom>
                          <a:ln w="7365">
                            <a:solidFill>
                              <a:srgbClr val="000000"/>
                            </a:solidFill>
                            <a:prstDash val="solid"/>
                          </a:ln>
                        </wps:spPr>
                        <wps:bodyPr wrap="square" lIns="0" tIns="0" rIns="0" bIns="0" rtlCol="0">
                          <a:prstTxWarp prst="textNoShape">
                            <a:avLst/>
                          </a:prstTxWarp>
                          <a:noAutofit/>
                        </wps:bodyPr>
                      </wps:wsp>
                      <wps:wsp>
                        <wps:cNvPr id="2145" name="Graphic 2145"/>
                        <wps:cNvSpPr/>
                        <wps:spPr>
                          <a:xfrm>
                            <a:off x="19368" y="198854"/>
                            <a:ext cx="41275" cy="1270"/>
                          </a:xfrm>
                          <a:custGeom>
                            <a:avLst/>
                            <a:gdLst/>
                            <a:ahLst/>
                            <a:cxnLst/>
                            <a:rect l="l" t="t" r="r" b="b"/>
                            <a:pathLst>
                              <a:path w="41275">
                                <a:moveTo>
                                  <a:pt x="0" y="0"/>
                                </a:moveTo>
                                <a:lnTo>
                                  <a:pt x="41008" y="0"/>
                                </a:lnTo>
                              </a:path>
                            </a:pathLst>
                          </a:custGeom>
                          <a:ln w="7365">
                            <a:solidFill>
                              <a:srgbClr val="000000"/>
                            </a:solidFill>
                            <a:prstDash val="solid"/>
                          </a:ln>
                        </wps:spPr>
                        <wps:bodyPr wrap="square" lIns="0" tIns="0" rIns="0" bIns="0" rtlCol="0">
                          <a:prstTxWarp prst="textNoShape">
                            <a:avLst/>
                          </a:prstTxWarp>
                          <a:noAutofit/>
                        </wps:bodyPr>
                      </wps:wsp>
                      <wps:wsp>
                        <wps:cNvPr id="2146" name="Graphic 2146"/>
                        <wps:cNvSpPr/>
                        <wps:spPr>
                          <a:xfrm>
                            <a:off x="0" y="365850"/>
                            <a:ext cx="56515" cy="1270"/>
                          </a:xfrm>
                          <a:custGeom>
                            <a:avLst/>
                            <a:gdLst/>
                            <a:ahLst/>
                            <a:cxnLst/>
                            <a:rect l="l" t="t" r="r" b="b"/>
                            <a:pathLst>
                              <a:path w="56515">
                                <a:moveTo>
                                  <a:pt x="0" y="0"/>
                                </a:moveTo>
                                <a:lnTo>
                                  <a:pt x="56248" y="0"/>
                                </a:lnTo>
                              </a:path>
                            </a:pathLst>
                          </a:custGeom>
                          <a:ln w="7366">
                            <a:solidFill>
                              <a:srgbClr val="000000"/>
                            </a:solidFill>
                            <a:prstDash val="solid"/>
                          </a:ln>
                        </wps:spPr>
                        <wps:bodyPr wrap="square" lIns="0" tIns="0" rIns="0" bIns="0" rtlCol="0">
                          <a:prstTxWarp prst="textNoShape">
                            <a:avLst/>
                          </a:prstTxWarp>
                          <a:noAutofit/>
                        </wps:bodyPr>
                      </wps:wsp>
                      <wps:wsp>
                        <wps:cNvPr id="2147" name="Graphic 2147"/>
                        <wps:cNvSpPr/>
                        <wps:spPr>
                          <a:xfrm>
                            <a:off x="3782" y="8"/>
                            <a:ext cx="87630" cy="398145"/>
                          </a:xfrm>
                          <a:custGeom>
                            <a:avLst/>
                            <a:gdLst/>
                            <a:ahLst/>
                            <a:cxnLst/>
                            <a:rect l="l" t="t" r="r" b="b"/>
                            <a:pathLst>
                              <a:path w="87630" h="398145">
                                <a:moveTo>
                                  <a:pt x="63639" y="365848"/>
                                </a:moveTo>
                                <a:lnTo>
                                  <a:pt x="31864" y="334060"/>
                                </a:lnTo>
                                <a:lnTo>
                                  <a:pt x="0" y="365848"/>
                                </a:lnTo>
                                <a:lnTo>
                                  <a:pt x="31864" y="397713"/>
                                </a:lnTo>
                                <a:lnTo>
                                  <a:pt x="63639" y="365848"/>
                                </a:lnTo>
                                <a:close/>
                              </a:path>
                              <a:path w="87630" h="398145">
                                <a:moveTo>
                                  <a:pt x="72999" y="198856"/>
                                </a:moveTo>
                                <a:lnTo>
                                  <a:pt x="41224" y="167081"/>
                                </a:lnTo>
                                <a:lnTo>
                                  <a:pt x="9448" y="198856"/>
                                </a:lnTo>
                                <a:lnTo>
                                  <a:pt x="41224" y="230644"/>
                                </a:lnTo>
                                <a:lnTo>
                                  <a:pt x="72999" y="198856"/>
                                </a:lnTo>
                                <a:close/>
                              </a:path>
                              <a:path w="87630" h="398145">
                                <a:moveTo>
                                  <a:pt x="87452" y="31826"/>
                                </a:moveTo>
                                <a:lnTo>
                                  <a:pt x="55676" y="0"/>
                                </a:lnTo>
                                <a:lnTo>
                                  <a:pt x="23901" y="31826"/>
                                </a:lnTo>
                                <a:lnTo>
                                  <a:pt x="55676" y="63639"/>
                                </a:lnTo>
                                <a:lnTo>
                                  <a:pt x="87452" y="31826"/>
                                </a:lnTo>
                                <a:close/>
                              </a:path>
                            </a:pathLst>
                          </a:custGeom>
                          <a:solidFill>
                            <a:srgbClr val="000000"/>
                          </a:solidFill>
                        </wps:spPr>
                        <wps:bodyPr wrap="square" lIns="0" tIns="0" rIns="0" bIns="0" rtlCol="0">
                          <a:prstTxWarp prst="textNoShape">
                            <a:avLst/>
                          </a:prstTxWarp>
                          <a:noAutofit/>
                        </wps:bodyPr>
                      </wps:wsp>
                      <wps:wsp>
                        <wps:cNvPr id="2148" name="Graphic 2148"/>
                        <wps:cNvSpPr/>
                        <wps:spPr>
                          <a:xfrm>
                            <a:off x="59465" y="31826"/>
                            <a:ext cx="1270" cy="668655"/>
                          </a:xfrm>
                          <a:custGeom>
                            <a:avLst/>
                            <a:gdLst/>
                            <a:ahLst/>
                            <a:cxnLst/>
                            <a:rect l="l" t="t" r="r" b="b"/>
                            <a:pathLst>
                              <a:path h="668655">
                                <a:moveTo>
                                  <a:pt x="0" y="668083"/>
                                </a:moveTo>
                                <a:lnTo>
                                  <a:pt x="0" y="0"/>
                                </a:lnTo>
                              </a:path>
                              <a:path h="668655">
                                <a:moveTo>
                                  <a:pt x="0" y="668083"/>
                                </a:moveTo>
                                <a:lnTo>
                                  <a:pt x="0" y="0"/>
                                </a:lnTo>
                              </a:path>
                              <a:path h="668655">
                                <a:moveTo>
                                  <a:pt x="0" y="668083"/>
                                </a:moveTo>
                                <a:lnTo>
                                  <a:pt x="0" y="0"/>
                                </a:lnTo>
                              </a:path>
                              <a:path h="668655">
                                <a:moveTo>
                                  <a:pt x="0" y="668083"/>
                                </a:moveTo>
                                <a:lnTo>
                                  <a:pt x="0" y="0"/>
                                </a:lnTo>
                              </a:path>
                              <a:path h="668655">
                                <a:moveTo>
                                  <a:pt x="0" y="668083"/>
                                </a:moveTo>
                                <a:lnTo>
                                  <a:pt x="0" y="0"/>
                                </a:lnTo>
                              </a:path>
                              <a:path h="668655">
                                <a:moveTo>
                                  <a:pt x="0" y="668083"/>
                                </a:moveTo>
                                <a:lnTo>
                                  <a:pt x="0" y="0"/>
                                </a:lnTo>
                              </a:path>
                              <a:path h="668655">
                                <a:moveTo>
                                  <a:pt x="0" y="668083"/>
                                </a:moveTo>
                                <a:lnTo>
                                  <a:pt x="0" y="0"/>
                                </a:lnTo>
                              </a:path>
                              <a:path h="668655">
                                <a:moveTo>
                                  <a:pt x="0" y="668083"/>
                                </a:moveTo>
                                <a:lnTo>
                                  <a:pt x="0" y="0"/>
                                </a:lnTo>
                              </a:path>
                              <a:path h="668655">
                                <a:moveTo>
                                  <a:pt x="0" y="668083"/>
                                </a:moveTo>
                                <a:lnTo>
                                  <a:pt x="0" y="0"/>
                                </a:lnTo>
                              </a:path>
                              <a:path h="668655">
                                <a:moveTo>
                                  <a:pt x="0" y="668083"/>
                                </a:moveTo>
                                <a:lnTo>
                                  <a:pt x="0" y="0"/>
                                </a:lnTo>
                              </a:path>
                              <a:path h="668655">
                                <a:moveTo>
                                  <a:pt x="0" y="668083"/>
                                </a:moveTo>
                                <a:lnTo>
                                  <a:pt x="0" y="0"/>
                                </a:lnTo>
                              </a:path>
                            </a:pathLst>
                          </a:custGeom>
                          <a:ln w="7365">
                            <a:solidFill>
                              <a:srgbClr val="000000"/>
                            </a:solidFill>
                            <a:prstDash val="solid"/>
                          </a:ln>
                        </wps:spPr>
                        <wps:bodyPr wrap="square" lIns="0" tIns="0" rIns="0" bIns="0" rtlCol="0">
                          <a:prstTxWarp prst="textNoShape">
                            <a:avLst/>
                          </a:prstTxWarp>
                          <a:noAutofit/>
                        </wps:bodyPr>
                      </wps:wsp>
                      <wps:wsp>
                        <wps:cNvPr id="2149" name="Graphic 2149"/>
                        <wps:cNvSpPr/>
                        <wps:spPr>
                          <a:xfrm>
                            <a:off x="35650" y="365848"/>
                            <a:ext cx="24130" cy="334645"/>
                          </a:xfrm>
                          <a:custGeom>
                            <a:avLst/>
                            <a:gdLst/>
                            <a:ahLst/>
                            <a:cxnLst/>
                            <a:rect l="l" t="t" r="r" b="b"/>
                            <a:pathLst>
                              <a:path w="24130" h="334645">
                                <a:moveTo>
                                  <a:pt x="0" y="334060"/>
                                </a:moveTo>
                                <a:lnTo>
                                  <a:pt x="0" y="0"/>
                                </a:lnTo>
                              </a:path>
                              <a:path w="24130" h="334645">
                                <a:moveTo>
                                  <a:pt x="0" y="334060"/>
                                </a:moveTo>
                                <a:lnTo>
                                  <a:pt x="0" y="0"/>
                                </a:lnTo>
                              </a:path>
                              <a:path w="24130" h="334645">
                                <a:moveTo>
                                  <a:pt x="0" y="334060"/>
                                </a:moveTo>
                                <a:lnTo>
                                  <a:pt x="0" y="0"/>
                                </a:lnTo>
                              </a:path>
                              <a:path w="24130" h="334645">
                                <a:moveTo>
                                  <a:pt x="0" y="334060"/>
                                </a:moveTo>
                                <a:lnTo>
                                  <a:pt x="0" y="0"/>
                                </a:lnTo>
                              </a:path>
                              <a:path w="24130" h="334645">
                                <a:moveTo>
                                  <a:pt x="0" y="334060"/>
                                </a:moveTo>
                                <a:lnTo>
                                  <a:pt x="0" y="0"/>
                                </a:lnTo>
                              </a:path>
                              <a:path w="24130" h="334645">
                                <a:moveTo>
                                  <a:pt x="0" y="334060"/>
                                </a:moveTo>
                                <a:lnTo>
                                  <a:pt x="0" y="0"/>
                                </a:lnTo>
                              </a:path>
                              <a:path w="24130" h="334645">
                                <a:moveTo>
                                  <a:pt x="0" y="334060"/>
                                </a:moveTo>
                                <a:lnTo>
                                  <a:pt x="0" y="0"/>
                                </a:lnTo>
                              </a:path>
                              <a:path w="24130" h="334645">
                                <a:moveTo>
                                  <a:pt x="0" y="334060"/>
                                </a:moveTo>
                                <a:lnTo>
                                  <a:pt x="0" y="0"/>
                                </a:lnTo>
                              </a:path>
                              <a:path w="24130" h="334645">
                                <a:moveTo>
                                  <a:pt x="0" y="334060"/>
                                </a:moveTo>
                                <a:lnTo>
                                  <a:pt x="0" y="0"/>
                                </a:lnTo>
                              </a:path>
                              <a:path w="24130" h="334645">
                                <a:moveTo>
                                  <a:pt x="0" y="334060"/>
                                </a:moveTo>
                                <a:lnTo>
                                  <a:pt x="0" y="0"/>
                                </a:lnTo>
                              </a:path>
                              <a:path w="24130" h="334645">
                                <a:moveTo>
                                  <a:pt x="0" y="334060"/>
                                </a:moveTo>
                                <a:lnTo>
                                  <a:pt x="0" y="0"/>
                                </a:lnTo>
                              </a:path>
                              <a:path w="24130" h="334645">
                                <a:moveTo>
                                  <a:pt x="0" y="334060"/>
                                </a:moveTo>
                                <a:lnTo>
                                  <a:pt x="23812" y="334060"/>
                                </a:lnTo>
                              </a:path>
                              <a:path w="24130" h="334645">
                                <a:moveTo>
                                  <a:pt x="0" y="334060"/>
                                </a:moveTo>
                                <a:lnTo>
                                  <a:pt x="23812" y="334060"/>
                                </a:lnTo>
                              </a:path>
                              <a:path w="24130" h="334645">
                                <a:moveTo>
                                  <a:pt x="0" y="334060"/>
                                </a:moveTo>
                                <a:lnTo>
                                  <a:pt x="23812" y="334060"/>
                                </a:lnTo>
                              </a:path>
                              <a:path w="24130" h="334645">
                                <a:moveTo>
                                  <a:pt x="0" y="334060"/>
                                </a:moveTo>
                                <a:lnTo>
                                  <a:pt x="23812" y="334060"/>
                                </a:lnTo>
                              </a:path>
                              <a:path w="24130" h="334645">
                                <a:moveTo>
                                  <a:pt x="0" y="334060"/>
                                </a:moveTo>
                                <a:lnTo>
                                  <a:pt x="23812" y="334060"/>
                                </a:lnTo>
                              </a:path>
                              <a:path w="24130" h="334645">
                                <a:moveTo>
                                  <a:pt x="0" y="334060"/>
                                </a:moveTo>
                                <a:lnTo>
                                  <a:pt x="23812" y="334060"/>
                                </a:lnTo>
                              </a:path>
                              <a:path w="24130" h="334645">
                                <a:moveTo>
                                  <a:pt x="0" y="334060"/>
                                </a:moveTo>
                                <a:lnTo>
                                  <a:pt x="23812" y="334060"/>
                                </a:lnTo>
                              </a:path>
                              <a:path w="24130" h="334645">
                                <a:moveTo>
                                  <a:pt x="0" y="334060"/>
                                </a:moveTo>
                                <a:lnTo>
                                  <a:pt x="23812" y="334060"/>
                                </a:lnTo>
                              </a:path>
                              <a:path w="24130" h="334645">
                                <a:moveTo>
                                  <a:pt x="0" y="334060"/>
                                </a:moveTo>
                                <a:lnTo>
                                  <a:pt x="23812" y="334060"/>
                                </a:lnTo>
                              </a:path>
                              <a:path w="24130" h="334645">
                                <a:moveTo>
                                  <a:pt x="0" y="334060"/>
                                </a:moveTo>
                                <a:lnTo>
                                  <a:pt x="23812" y="334060"/>
                                </a:lnTo>
                              </a:path>
                              <a:path w="24130" h="334645">
                                <a:moveTo>
                                  <a:pt x="0" y="334060"/>
                                </a:moveTo>
                                <a:lnTo>
                                  <a:pt x="23812" y="334060"/>
                                </a:lnTo>
                              </a:path>
                            </a:pathLst>
                          </a:custGeom>
                          <a:ln w="7365">
                            <a:solidFill>
                              <a:srgbClr val="000000"/>
                            </a:solidFill>
                            <a:prstDash val="solid"/>
                          </a:ln>
                        </wps:spPr>
                        <wps:bodyPr wrap="square" lIns="0" tIns="0" rIns="0" bIns="0" rtlCol="0">
                          <a:prstTxWarp prst="textNoShape">
                            <a:avLst/>
                          </a:prstTxWarp>
                          <a:noAutofit/>
                        </wps:bodyPr>
                      </wps:wsp>
                      <wps:wsp>
                        <wps:cNvPr id="2150" name="Graphic 2150"/>
                        <wps:cNvSpPr/>
                        <wps:spPr>
                          <a:xfrm>
                            <a:off x="45011" y="198851"/>
                            <a:ext cx="1270" cy="334645"/>
                          </a:xfrm>
                          <a:custGeom>
                            <a:avLst/>
                            <a:gdLst/>
                            <a:ahLst/>
                            <a:cxnLst/>
                            <a:rect l="l" t="t" r="r" b="b"/>
                            <a:pathLst>
                              <a:path h="334645">
                                <a:moveTo>
                                  <a:pt x="0" y="334073"/>
                                </a:moveTo>
                                <a:lnTo>
                                  <a:pt x="0" y="0"/>
                                </a:lnTo>
                              </a:path>
                              <a:path h="334645">
                                <a:moveTo>
                                  <a:pt x="0" y="334073"/>
                                </a:moveTo>
                                <a:lnTo>
                                  <a:pt x="0" y="0"/>
                                </a:lnTo>
                              </a:path>
                              <a:path h="334645">
                                <a:moveTo>
                                  <a:pt x="0" y="334073"/>
                                </a:moveTo>
                                <a:lnTo>
                                  <a:pt x="0" y="0"/>
                                </a:lnTo>
                              </a:path>
                              <a:path h="334645">
                                <a:moveTo>
                                  <a:pt x="0" y="334073"/>
                                </a:moveTo>
                                <a:lnTo>
                                  <a:pt x="0" y="0"/>
                                </a:lnTo>
                              </a:path>
                              <a:path h="334645">
                                <a:moveTo>
                                  <a:pt x="0" y="334073"/>
                                </a:moveTo>
                                <a:lnTo>
                                  <a:pt x="0" y="0"/>
                                </a:lnTo>
                              </a:path>
                              <a:path h="334645">
                                <a:moveTo>
                                  <a:pt x="0" y="334073"/>
                                </a:moveTo>
                                <a:lnTo>
                                  <a:pt x="0" y="0"/>
                                </a:lnTo>
                              </a:path>
                              <a:path h="334645">
                                <a:moveTo>
                                  <a:pt x="0" y="334073"/>
                                </a:moveTo>
                                <a:lnTo>
                                  <a:pt x="0" y="0"/>
                                </a:lnTo>
                              </a:path>
                              <a:path h="334645">
                                <a:moveTo>
                                  <a:pt x="0" y="334073"/>
                                </a:moveTo>
                                <a:lnTo>
                                  <a:pt x="0" y="0"/>
                                </a:lnTo>
                              </a:path>
                              <a:path h="334645">
                                <a:moveTo>
                                  <a:pt x="0" y="334073"/>
                                </a:moveTo>
                                <a:lnTo>
                                  <a:pt x="0" y="0"/>
                                </a:lnTo>
                              </a:path>
                              <a:path h="334645">
                                <a:moveTo>
                                  <a:pt x="0" y="334073"/>
                                </a:moveTo>
                                <a:lnTo>
                                  <a:pt x="0" y="0"/>
                                </a:lnTo>
                              </a:path>
                              <a:path h="334645">
                                <a:moveTo>
                                  <a:pt x="0" y="334073"/>
                                </a:moveTo>
                                <a:lnTo>
                                  <a:pt x="0" y="0"/>
                                </a:lnTo>
                              </a:path>
                            </a:pathLst>
                          </a:custGeom>
                          <a:ln w="7365">
                            <a:solidFill>
                              <a:srgbClr val="000000"/>
                            </a:solidFill>
                            <a:prstDash val="dot"/>
                          </a:ln>
                        </wps:spPr>
                        <wps:bodyPr wrap="square" lIns="0" tIns="0" rIns="0" bIns="0" rtlCol="0">
                          <a:prstTxWarp prst="textNoShape">
                            <a:avLst/>
                          </a:prstTxWarp>
                          <a:noAutofit/>
                        </wps:bodyPr>
                      </wps:wsp>
                      <wps:wsp>
                        <wps:cNvPr id="2151" name="Graphic 2151"/>
                        <wps:cNvSpPr/>
                        <wps:spPr>
                          <a:xfrm>
                            <a:off x="35650" y="532925"/>
                            <a:ext cx="9525" cy="1270"/>
                          </a:xfrm>
                          <a:custGeom>
                            <a:avLst/>
                            <a:gdLst/>
                            <a:ahLst/>
                            <a:cxnLst/>
                            <a:rect l="l" t="t" r="r" b="b"/>
                            <a:pathLst>
                              <a:path w="9525">
                                <a:moveTo>
                                  <a:pt x="0" y="0"/>
                                </a:moveTo>
                                <a:lnTo>
                                  <a:pt x="9359" y="0"/>
                                </a:lnTo>
                              </a:path>
                              <a:path w="9525">
                                <a:moveTo>
                                  <a:pt x="0" y="0"/>
                                </a:moveTo>
                                <a:lnTo>
                                  <a:pt x="9359" y="0"/>
                                </a:lnTo>
                              </a:path>
                              <a:path w="9525">
                                <a:moveTo>
                                  <a:pt x="0" y="0"/>
                                </a:moveTo>
                                <a:lnTo>
                                  <a:pt x="9359" y="0"/>
                                </a:lnTo>
                              </a:path>
                              <a:path w="9525">
                                <a:moveTo>
                                  <a:pt x="0" y="0"/>
                                </a:moveTo>
                                <a:lnTo>
                                  <a:pt x="9359" y="0"/>
                                </a:lnTo>
                              </a:path>
                              <a:path w="9525">
                                <a:moveTo>
                                  <a:pt x="0" y="0"/>
                                </a:moveTo>
                                <a:lnTo>
                                  <a:pt x="9359" y="0"/>
                                </a:lnTo>
                              </a:path>
                              <a:path w="9525">
                                <a:moveTo>
                                  <a:pt x="0" y="0"/>
                                </a:moveTo>
                                <a:lnTo>
                                  <a:pt x="9359" y="0"/>
                                </a:lnTo>
                              </a:path>
                              <a:path w="9525">
                                <a:moveTo>
                                  <a:pt x="0" y="0"/>
                                </a:moveTo>
                                <a:lnTo>
                                  <a:pt x="9359" y="0"/>
                                </a:lnTo>
                              </a:path>
                              <a:path w="9525">
                                <a:moveTo>
                                  <a:pt x="0" y="0"/>
                                </a:moveTo>
                                <a:lnTo>
                                  <a:pt x="9359" y="0"/>
                                </a:lnTo>
                              </a:path>
                              <a:path w="9525">
                                <a:moveTo>
                                  <a:pt x="0" y="0"/>
                                </a:moveTo>
                                <a:lnTo>
                                  <a:pt x="9359" y="0"/>
                                </a:lnTo>
                              </a:path>
                              <a:path w="9525">
                                <a:moveTo>
                                  <a:pt x="0" y="0"/>
                                </a:moveTo>
                                <a:lnTo>
                                  <a:pt x="9359" y="0"/>
                                </a:lnTo>
                              </a:path>
                              <a:path w="9525">
                                <a:moveTo>
                                  <a:pt x="0" y="0"/>
                                </a:moveTo>
                                <a:lnTo>
                                  <a:pt x="9359" y="0"/>
                                </a:lnTo>
                              </a:path>
                            </a:pathLst>
                          </a:custGeom>
                          <a:ln w="7365">
                            <a:solidFill>
                              <a:srgbClr val="000000"/>
                            </a:solidFill>
                            <a:prstDash val="dot"/>
                          </a:ln>
                        </wps:spPr>
                        <wps:bodyPr wrap="square" lIns="0" tIns="0" rIns="0" bIns="0" rtlCol="0">
                          <a:prstTxWarp prst="textNoShape">
                            <a:avLst/>
                          </a:prstTxWarp>
                          <a:noAutofit/>
                        </wps:bodyPr>
                      </wps:wsp>
                    </wpg:wgp>
                  </a:graphicData>
                </a:graphic>
              </wp:anchor>
            </w:drawing>
          </mc:Choice>
          <mc:Fallback>
            <w:pict>
              <v:group w14:anchorId="670EE93A" id="Group 2143" o:spid="_x0000_s1026" style="position:absolute;margin-left:444.6pt;margin-top:7.2pt;width:7.2pt;height:55.45pt;z-index:16062464;mso-wrap-distance-left:0;mso-wrap-distance-right:0;mso-position-horizontal-relative:page" coordsize="914,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">
                <v:shape id="Graphic 2144" o:spid="_x0000_s1027" style="position:absolute;left:434;top:318;width:248;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" path="m,l24549,e" filled="f" strokeweight=".20458mm">
                  <v:path arrowok="t"/>
                </v:shape>
                <v:shape id="Graphic 2145" o:spid="_x0000_s1028" style="position:absolute;left:193;top:1988;width:413;height:13;visibility:visible;mso-wrap-style:square;v-text-anchor:top" coordsize="4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" path="m,l41008,e" filled="f" strokeweight=".20458mm">
                  <v:path arrowok="t"/>
                </v:shape>
                <v:shape id="Graphic 2146" o:spid="_x0000_s1029" style="position:absolute;top:3658;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" path="m,l56248,e" filled="f" strokeweight=".58pt">
                  <v:path arrowok="t"/>
                </v:shape>
                <v:shape id="Graphic 2147" o:spid="_x0000_s1030" style="position:absolute;left:37;width:877;height:3981;visibility:visible;mso-wrap-style:square;v-text-anchor:top" coordsize="8763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" path="m63639,365848l31864,334060,,365848r31864,31865l63639,365848xem72999,198856l41224,167081,9448,198856r31776,31788l72999,198856xem87452,31826l55676,,23901,31826,55676,63639,87452,31826xe" fillcolor="black" stroked="f">
                  <v:path arrowok="t"/>
                </v:shape>
                <v:shape id="Graphic 2148" o:spid="_x0000_s1031" style="position:absolute;left:594;top:318;width:13;height:6686;visibility:visible;mso-wrap-style:square;v-text-anchor:top" coordsize="1270,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" path="m,668083l,em,668083l,em,668083l,em,668083l,em,668083l,em,668083l,em,668083l,em,668083l,em,668083l,em,668083l,em,668083l,e" filled="f" strokeweight=".20458mm">
                  <v:path arrowok="t"/>
                </v:shape>
                <v:shape id="Graphic 2149" o:spid="_x0000_s1032" style="position:absolute;left:356;top:3658;width:241;height:3346;visibility:visible;mso-wrap-style:square;v-text-anchor:top" coordsize="2413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" path="m,334060l,em,334060l,em,334060l,em,334060l,em,334060l,em,334060l,em,334060l,em,334060l,em,334060l,em,334060l,em,334060l,em,334060r23812,em,334060r23812,em,334060r23812,em,334060r23812,em,334060r23812,em,334060r23812,em,334060r23812,em,334060r23812,em,334060r23812,em,334060r23812,em,334060r23812,e" filled="f" strokeweight=".20458mm">
                  <v:path arrowok="t"/>
                </v:shape>
                <v:shape id="Graphic 2150" o:spid="_x0000_s1033" style="position:absolute;left:450;top:1988;width:12;height:3346;visibility:visible;mso-wrap-style:square;v-text-anchor:top" coordsize="127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" path="m,334073l,em,334073l,em,334073l,em,334073l,em,334073l,em,334073l,em,334073l,em,334073l,em,334073l,em,334073l,em,334073l,e" filled="f" strokeweight=".20458mm">
                  <v:stroke dashstyle="dot"/>
                  <v:path arrowok="t"/>
                </v:shape>
                <v:shape id="Graphic 2151" o:spid="_x0000_s1034" style="position:absolute;left:356;top:5329;width:95;height:12;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" path="m,l9359,em,l9359,em,l9359,em,l9359,em,l9359,em,l9359,em,l9359,em,l9359,em,l9359,em,l9359,em,l9359,e" filled="f" strokeweight=".20458mm">
                  <v:stroke dashstyle="dot"/>
                  <v:path arrowok="t"/>
                </v:shape>
                <w10:wrap anchorx="page"/>
              </v:group>
            </w:pict>
          </mc:Fallback>
        </mc:AlternateContent>
      </w:r>
      <w:r w:rsidRPr="003C6DAE">
        <w:rPr>
          <w:rFonts w:ascii="Arial MT"/>
          <w:noProof/>
          <w:sz w:val="12"/>
          <w:lang w:val="uk-UA"/>
        </w:rPr>
        <mc:AlternateContent>
          <mc:Choice Requires="wpg">
            <w:drawing>
              <wp:anchor distT="0" distB="0" distL="0" distR="0" simplePos="0" relativeHeight="16063488" behindDoc="0" locked="0" layoutInCell="1" allowOverlap="1" wp14:anchorId="49D0DBDB" wp14:editId="36EB4994">
                <wp:simplePos x="0" y="0"/>
                <wp:positionH relativeFrom="page">
                  <wp:posOffset>5111587</wp:posOffset>
                </wp:positionH>
                <wp:positionV relativeFrom="paragraph">
                  <wp:posOffset>-43950</wp:posOffset>
                </wp:positionV>
                <wp:extent cx="637540" cy="2023745"/>
                <wp:effectExtent l="0" t="0" r="0" b="0"/>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 cy="2023745"/>
                          <a:chOff x="0" y="0"/>
                          <a:chExt cx="637540" cy="2023745"/>
                        </a:xfrm>
                      </wpg:grpSpPr>
                      <wps:wsp>
                        <wps:cNvPr id="2153" name="Graphic 2153"/>
                        <wps:cNvSpPr/>
                        <wps:spPr>
                          <a:xfrm>
                            <a:off x="3682" y="0"/>
                            <a:ext cx="633730" cy="2004695"/>
                          </a:xfrm>
                          <a:custGeom>
                            <a:avLst/>
                            <a:gdLst/>
                            <a:ahLst/>
                            <a:cxnLst/>
                            <a:rect l="l" t="t" r="r" b="b"/>
                            <a:pathLst>
                              <a:path w="633730" h="2004695">
                                <a:moveTo>
                                  <a:pt x="0" y="2004301"/>
                                </a:moveTo>
                                <a:lnTo>
                                  <a:pt x="0" y="0"/>
                                </a:lnTo>
                              </a:path>
                              <a:path w="633730" h="2004695">
                                <a:moveTo>
                                  <a:pt x="0" y="2004301"/>
                                </a:moveTo>
                                <a:lnTo>
                                  <a:pt x="633476" y="2004301"/>
                                </a:lnTo>
                              </a:path>
                            </a:pathLst>
                          </a:custGeom>
                          <a:ln w="7365">
                            <a:solidFill>
                              <a:srgbClr val="000000"/>
                            </a:solidFill>
                            <a:prstDash val="solid"/>
                          </a:ln>
                        </wps:spPr>
                        <wps:bodyPr wrap="square" lIns="0" tIns="0" rIns="0" bIns="0" rtlCol="0">
                          <a:prstTxWarp prst="textNoShape">
                            <a:avLst/>
                          </a:prstTxWarp>
                          <a:noAutofit/>
                        </wps:bodyPr>
                      </wps:wsp>
                      <wps:wsp>
                        <wps:cNvPr id="2154" name="Graphic 2154"/>
                        <wps:cNvSpPr/>
                        <wps:spPr>
                          <a:xfrm>
                            <a:off x="32412" y="2004299"/>
                            <a:ext cx="1270" cy="19050"/>
                          </a:xfrm>
                          <a:custGeom>
                            <a:avLst/>
                            <a:gdLst/>
                            <a:ahLst/>
                            <a:cxnLst/>
                            <a:rect l="l" t="t" r="r" b="b"/>
                            <a:pathLst>
                              <a:path h="19050">
                                <a:moveTo>
                                  <a:pt x="0" y="18846"/>
                                </a:moveTo>
                                <a:lnTo>
                                  <a:pt x="0" y="0"/>
                                </a:lnTo>
                              </a:path>
                            </a:pathLst>
                          </a:custGeom>
                          <a:ln w="7365">
                            <a:solidFill>
                              <a:srgbClr val="333333"/>
                            </a:solidFill>
                            <a:prstDash val="solid"/>
                          </a:ln>
                        </wps:spPr>
                        <wps:bodyPr wrap="square" lIns="0" tIns="0" rIns="0" bIns="0" rtlCol="0">
                          <a:prstTxWarp prst="textNoShape">
                            <a:avLst/>
                          </a:prstTxWarp>
                          <a:noAutofit/>
                        </wps:bodyPr>
                      </wps:wsp>
                      <wps:wsp>
                        <wps:cNvPr id="2155" name="Graphic 2155"/>
                        <wps:cNvSpPr/>
                        <wps:spPr>
                          <a:xfrm>
                            <a:off x="176418" y="2004299"/>
                            <a:ext cx="1270" cy="19050"/>
                          </a:xfrm>
                          <a:custGeom>
                            <a:avLst/>
                            <a:gdLst/>
                            <a:ahLst/>
                            <a:cxnLst/>
                            <a:rect l="l" t="t" r="r" b="b"/>
                            <a:pathLst>
                              <a:path h="19050">
                                <a:moveTo>
                                  <a:pt x="0" y="18846"/>
                                </a:moveTo>
                                <a:lnTo>
                                  <a:pt x="0" y="0"/>
                                </a:lnTo>
                              </a:path>
                            </a:pathLst>
                          </a:custGeom>
                          <a:ln w="7365">
                            <a:solidFill>
                              <a:srgbClr val="333333"/>
                            </a:solidFill>
                            <a:prstDash val="solid"/>
                          </a:ln>
                        </wps:spPr>
                        <wps:bodyPr wrap="square" lIns="0" tIns="0" rIns="0" bIns="0" rtlCol="0">
                          <a:prstTxWarp prst="textNoShape">
                            <a:avLst/>
                          </a:prstTxWarp>
                          <a:noAutofit/>
                        </wps:bodyPr>
                      </wps:wsp>
                      <wps:wsp>
                        <wps:cNvPr id="2156" name="Graphic 2156"/>
                        <wps:cNvSpPr/>
                        <wps:spPr>
                          <a:xfrm>
                            <a:off x="320379" y="2004299"/>
                            <a:ext cx="1270" cy="19050"/>
                          </a:xfrm>
                          <a:custGeom>
                            <a:avLst/>
                            <a:gdLst/>
                            <a:ahLst/>
                            <a:cxnLst/>
                            <a:rect l="l" t="t" r="r" b="b"/>
                            <a:pathLst>
                              <a:path h="19050">
                                <a:moveTo>
                                  <a:pt x="0" y="18846"/>
                                </a:moveTo>
                                <a:lnTo>
                                  <a:pt x="0" y="0"/>
                                </a:lnTo>
                              </a:path>
                            </a:pathLst>
                          </a:custGeom>
                          <a:ln w="7365">
                            <a:solidFill>
                              <a:srgbClr val="333333"/>
                            </a:solidFill>
                            <a:prstDash val="solid"/>
                          </a:ln>
                        </wps:spPr>
                        <wps:bodyPr wrap="square" lIns="0" tIns="0" rIns="0" bIns="0" rtlCol="0">
                          <a:prstTxWarp prst="textNoShape">
                            <a:avLst/>
                          </a:prstTxWarp>
                          <a:noAutofit/>
                        </wps:bodyPr>
                      </wps:wsp>
                      <wps:wsp>
                        <wps:cNvPr id="2157" name="Graphic 2157"/>
                        <wps:cNvSpPr/>
                        <wps:spPr>
                          <a:xfrm>
                            <a:off x="464384" y="2004299"/>
                            <a:ext cx="1270" cy="19050"/>
                          </a:xfrm>
                          <a:custGeom>
                            <a:avLst/>
                            <a:gdLst/>
                            <a:ahLst/>
                            <a:cxnLst/>
                            <a:rect l="l" t="t" r="r" b="b"/>
                            <a:pathLst>
                              <a:path h="19050">
                                <a:moveTo>
                                  <a:pt x="0" y="18846"/>
                                </a:moveTo>
                                <a:lnTo>
                                  <a:pt x="0" y="0"/>
                                </a:lnTo>
                              </a:path>
                            </a:pathLst>
                          </a:custGeom>
                          <a:ln w="7365">
                            <a:solidFill>
                              <a:srgbClr val="333333"/>
                            </a:solidFill>
                            <a:prstDash val="solid"/>
                          </a:ln>
                        </wps:spPr>
                        <wps:bodyPr wrap="square" lIns="0" tIns="0" rIns="0" bIns="0" rtlCol="0">
                          <a:prstTxWarp prst="textNoShape">
                            <a:avLst/>
                          </a:prstTxWarp>
                          <a:noAutofit/>
                        </wps:bodyPr>
                      </wps:wsp>
                      <wps:wsp>
                        <wps:cNvPr id="2158" name="Graphic 2158"/>
                        <wps:cNvSpPr/>
                        <wps:spPr>
                          <a:xfrm>
                            <a:off x="608333" y="2004299"/>
                            <a:ext cx="1270" cy="19050"/>
                          </a:xfrm>
                          <a:custGeom>
                            <a:avLst/>
                            <a:gdLst/>
                            <a:ahLst/>
                            <a:cxnLst/>
                            <a:rect l="l" t="t" r="r" b="b"/>
                            <a:pathLst>
                              <a:path h="19050">
                                <a:moveTo>
                                  <a:pt x="0" y="18846"/>
                                </a:moveTo>
                                <a:lnTo>
                                  <a:pt x="0" y="0"/>
                                </a:lnTo>
                              </a:path>
                            </a:pathLst>
                          </a:custGeom>
                          <a:ln w="7365">
                            <a:solidFill>
                              <a:srgbClr val="333333"/>
                            </a:solidFill>
                            <a:prstDash val="solid"/>
                          </a:ln>
                        </wps:spPr>
                        <wps:bodyPr wrap="square" lIns="0" tIns="0" rIns="0" bIns="0" rtlCol="0">
                          <a:prstTxWarp prst="textNoShape">
                            <a:avLst/>
                          </a:prstTxWarp>
                          <a:noAutofit/>
                        </wps:bodyPr>
                      </wps:wsp>
                    </wpg:wgp>
                  </a:graphicData>
                </a:graphic>
              </wp:anchor>
            </w:drawing>
          </mc:Choice>
          <mc:Fallback>
            <w:pict>
              <v:group w14:anchorId="0D9B06B2" id="Group 2152" o:spid="_x0000_s1026" style="position:absolute;margin-left:402.5pt;margin-top:-3.45pt;width:50.2pt;height:159.35pt;z-index:16063488;mso-wrap-distance-left:0;mso-wrap-distance-right:0;mso-position-horizontal-relative:page" coordsize="6375,20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">
                <v:shape id="Graphic 2153" o:spid="_x0000_s1027" style="position:absolute;left:36;width:6338;height:20046;visibility:visible;mso-wrap-style:square;v-text-anchor:top" coordsize="633730,200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" path="m,2004301l,em,2004301r633476,e" filled="f" strokeweight=".20458mm">
                  <v:path arrowok="t"/>
                </v:shape>
                <v:shape id="Graphic 2154" o:spid="_x0000_s1028" style="position:absolute;left:324;top:20042;width:12;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" path="m,18846l,e" filled="f" strokecolor="#333" strokeweight=".20458mm">
                  <v:path arrowok="t"/>
                </v:shape>
                <v:shape id="Graphic 2155" o:spid="_x0000_s1029" style="position:absolute;left:1764;top:20042;width:12;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" path="m,18846l,e" filled="f" strokecolor="#333" strokeweight=".20458mm">
                  <v:path arrowok="t"/>
                </v:shape>
                <v:shape id="Graphic 2156" o:spid="_x0000_s1030" style="position:absolute;left:3203;top:20042;width:13;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" path="m,18846l,e" filled="f" strokecolor="#333" strokeweight=".20458mm">
                  <v:path arrowok="t"/>
                </v:shape>
                <v:shape id="Graphic 2157" o:spid="_x0000_s1031" style="position:absolute;left:4643;top:20042;width:13;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" path="m,18846l,e" filled="f" strokecolor="#333" strokeweight=".20458mm">
                  <v:path arrowok="t"/>
                </v:shape>
                <v:shape id="Graphic 2158" o:spid="_x0000_s1032" style="position:absolute;left:6083;top:20042;width:13;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" path="m,18846l,e" filled="f" strokecolor="#333" strokeweight=".20458mm">
                  <v:path arrowok="t"/>
                </v:shape>
                <w10:wrap anchorx="page"/>
              </v:group>
            </w:pict>
          </mc:Fallback>
        </mc:AlternateContent>
      </w:r>
      <w:r w:rsidRPr="003C6DAE">
        <w:rPr>
          <w:rFonts w:ascii="Arial MT"/>
          <w:sz w:val="12"/>
          <w:lang w:val="uk-UA"/>
        </w:rPr>
        <w:t>97.5%</w:t>
      </w:r>
      <w:r w:rsidRPr="003C6DAE">
        <w:rPr>
          <w:rFonts w:ascii="Arial MT"/>
          <w:spacing w:val="1"/>
          <w:sz w:val="12"/>
          <w:lang w:val="uk-UA"/>
        </w:rPr>
        <w:t xml:space="preserve"> </w:t>
      </w:r>
      <w:r w:rsidRPr="003C6DAE">
        <w:rPr>
          <w:rFonts w:ascii="Arial MT"/>
          <w:sz w:val="12"/>
          <w:lang w:val="uk-UA"/>
        </w:rPr>
        <w:t>(94.8</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5"/>
          <w:sz w:val="12"/>
          <w:lang w:val="uk-UA"/>
        </w:rPr>
        <w:t>99)</w:t>
      </w:r>
    </w:p>
    <w:p w14:paraId="41356685" w14:textId="77777777" w:rsidR="00E05B98" w:rsidRPr="003C6DAE" w:rsidRDefault="00B01E0C">
      <w:pPr>
        <w:spacing w:before="125"/>
        <w:ind w:left="710"/>
        <w:rPr>
          <w:rFonts w:ascii="Arial MT"/>
          <w:sz w:val="12"/>
          <w:lang w:val="uk-UA"/>
        </w:rPr>
      </w:pPr>
      <w:r w:rsidRPr="003C6DAE">
        <w:rPr>
          <w:rFonts w:ascii="Arial MT"/>
          <w:sz w:val="12"/>
          <w:lang w:val="uk-UA"/>
        </w:rPr>
        <w:t>95%</w:t>
      </w:r>
      <w:r w:rsidRPr="003C6DAE">
        <w:rPr>
          <w:rFonts w:ascii="Arial MT"/>
          <w:spacing w:val="1"/>
          <w:sz w:val="12"/>
          <w:lang w:val="uk-UA"/>
        </w:rPr>
        <w:t xml:space="preserve"> </w:t>
      </w:r>
      <w:r w:rsidRPr="003C6DAE">
        <w:rPr>
          <w:rFonts w:ascii="Arial MT"/>
          <w:sz w:val="12"/>
          <w:lang w:val="uk-UA"/>
        </w:rPr>
        <w:t>(90.6</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97.7)</w:t>
      </w:r>
    </w:p>
    <w:p w14:paraId="38AAC9A5" w14:textId="77777777" w:rsidR="00E05B98" w:rsidRPr="003C6DAE" w:rsidRDefault="00B01E0C">
      <w:pPr>
        <w:spacing w:before="125"/>
        <w:ind w:left="710"/>
        <w:rPr>
          <w:rFonts w:ascii="Arial MT"/>
          <w:sz w:val="12"/>
          <w:lang w:val="uk-UA"/>
        </w:rPr>
      </w:pPr>
      <w:r w:rsidRPr="003C6DAE">
        <w:rPr>
          <w:rFonts w:ascii="Arial MT"/>
          <w:sz w:val="12"/>
          <w:lang w:val="uk-UA"/>
        </w:rPr>
        <w:t>93.4%</w:t>
      </w:r>
      <w:r w:rsidRPr="003C6DAE">
        <w:rPr>
          <w:rFonts w:ascii="Arial MT"/>
          <w:spacing w:val="1"/>
          <w:sz w:val="12"/>
          <w:lang w:val="uk-UA"/>
        </w:rPr>
        <w:t xml:space="preserve"> </w:t>
      </w:r>
      <w:r w:rsidRPr="003C6DAE">
        <w:rPr>
          <w:rFonts w:ascii="Arial MT"/>
          <w:sz w:val="12"/>
          <w:lang w:val="uk-UA"/>
        </w:rPr>
        <w:t>(87.2</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5"/>
          <w:sz w:val="12"/>
          <w:lang w:val="uk-UA"/>
        </w:rPr>
        <w:t>97)</w:t>
      </w:r>
    </w:p>
    <w:p w14:paraId="0B0683CE" w14:textId="77777777" w:rsidR="00E05B98" w:rsidRPr="003C6DAE" w:rsidRDefault="00B01E0C">
      <w:pPr>
        <w:spacing w:before="125"/>
        <w:ind w:left="700"/>
        <w:rPr>
          <w:rFonts w:ascii="Arial MT"/>
          <w:sz w:val="12"/>
          <w:lang w:val="uk-UA"/>
        </w:rPr>
      </w:pPr>
      <w:r w:rsidRPr="003C6DAE">
        <w:rPr>
          <w:rFonts w:ascii="Arial MT"/>
          <w:sz w:val="12"/>
          <w:lang w:val="uk-UA"/>
        </w:rPr>
        <w:t>-1.7%</w:t>
      </w:r>
      <w:r w:rsidRPr="003C6DAE">
        <w:rPr>
          <w:rFonts w:ascii="Arial MT"/>
          <w:spacing w:val="1"/>
          <w:sz w:val="12"/>
          <w:lang w:val="uk-UA"/>
        </w:rPr>
        <w:t xml:space="preserve"> </w:t>
      </w:r>
      <w:r w:rsidRPr="003C6DAE">
        <w:rPr>
          <w:rFonts w:ascii="Arial MT"/>
          <w:sz w:val="12"/>
          <w:lang w:val="uk-UA"/>
        </w:rPr>
        <w:t>(-3.8</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z w:val="12"/>
          <w:lang w:val="uk-UA"/>
        </w:rPr>
        <w:t>-</w:t>
      </w:r>
      <w:r w:rsidRPr="003C6DAE">
        <w:rPr>
          <w:rFonts w:ascii="Arial MT"/>
          <w:spacing w:val="-4"/>
          <w:sz w:val="12"/>
          <w:lang w:val="uk-UA"/>
        </w:rPr>
        <w:t>0.6)</w:t>
      </w:r>
    </w:p>
    <w:p w14:paraId="13FB268B" w14:textId="77777777" w:rsidR="00E05B98" w:rsidRPr="003C6DAE" w:rsidRDefault="00B01E0C">
      <w:pPr>
        <w:spacing w:before="125"/>
        <w:ind w:left="700"/>
        <w:rPr>
          <w:rFonts w:ascii="Arial MT"/>
          <w:sz w:val="12"/>
          <w:lang w:val="uk-UA"/>
        </w:rPr>
      </w:pPr>
      <w:r w:rsidRPr="003C6DAE">
        <w:rPr>
          <w:rFonts w:ascii="Arial MT"/>
          <w:sz w:val="12"/>
          <w:lang w:val="uk-UA"/>
        </w:rPr>
        <w:t>-4.1%</w:t>
      </w:r>
      <w:r w:rsidRPr="003C6DAE">
        <w:rPr>
          <w:rFonts w:ascii="Arial MT"/>
          <w:spacing w:val="1"/>
          <w:sz w:val="12"/>
          <w:lang w:val="uk-UA"/>
        </w:rPr>
        <w:t xml:space="preserve"> </w:t>
      </w:r>
      <w:r w:rsidRPr="003C6DAE">
        <w:rPr>
          <w:rFonts w:ascii="Arial MT"/>
          <w:sz w:val="12"/>
          <w:lang w:val="uk-UA"/>
        </w:rPr>
        <w:t>(-8.0</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z w:val="12"/>
          <w:lang w:val="uk-UA"/>
        </w:rPr>
        <w:t>-</w:t>
      </w:r>
      <w:r w:rsidRPr="003C6DAE">
        <w:rPr>
          <w:rFonts w:ascii="Arial MT"/>
          <w:spacing w:val="-4"/>
          <w:sz w:val="12"/>
          <w:lang w:val="uk-UA"/>
        </w:rPr>
        <w:t>1.7)</w:t>
      </w:r>
    </w:p>
    <w:p w14:paraId="25025885" w14:textId="77777777" w:rsidR="00E05B98" w:rsidRPr="003C6DAE" w:rsidRDefault="00E05B98">
      <w:pPr>
        <w:pStyle w:val="a3"/>
        <w:rPr>
          <w:rFonts w:ascii="Arial MT"/>
          <w:sz w:val="12"/>
          <w:lang w:val="uk-UA"/>
        </w:rPr>
      </w:pPr>
    </w:p>
    <w:p w14:paraId="660ABEBB" w14:textId="77777777" w:rsidR="00E05B98" w:rsidRPr="003C6DAE" w:rsidRDefault="00E05B98">
      <w:pPr>
        <w:pStyle w:val="a3"/>
        <w:spacing w:before="112"/>
        <w:rPr>
          <w:rFonts w:ascii="Arial MT"/>
          <w:sz w:val="12"/>
          <w:lang w:val="uk-UA"/>
        </w:rPr>
      </w:pPr>
    </w:p>
    <w:p w14:paraId="4543F2A9" w14:textId="77777777" w:rsidR="00E05B98" w:rsidRPr="003C6DAE" w:rsidRDefault="00B01E0C">
      <w:pPr>
        <w:ind w:left="658"/>
        <w:rPr>
          <w:rFonts w:ascii="Arial MT"/>
          <w:sz w:val="12"/>
          <w:lang w:val="uk-UA"/>
        </w:rPr>
      </w:pPr>
      <w:r w:rsidRPr="003C6DAE">
        <w:rPr>
          <w:rFonts w:ascii="Arial MT"/>
          <w:noProof/>
          <w:sz w:val="12"/>
          <w:lang w:val="uk-UA"/>
        </w:rPr>
        <mc:AlternateContent>
          <mc:Choice Requires="wpg">
            <w:drawing>
              <wp:anchor distT="0" distB="0" distL="0" distR="0" simplePos="0" relativeHeight="16062976" behindDoc="0" locked="0" layoutInCell="1" allowOverlap="1" wp14:anchorId="4EDF9FCB" wp14:editId="612A82DD">
                <wp:simplePos x="0" y="0"/>
                <wp:positionH relativeFrom="page">
                  <wp:posOffset>5682968</wp:posOffset>
                </wp:positionH>
                <wp:positionV relativeFrom="paragraph">
                  <wp:posOffset>12014</wp:posOffset>
                </wp:positionV>
                <wp:extent cx="67310" cy="704215"/>
                <wp:effectExtent l="0" t="0" r="0" b="0"/>
                <wp:wrapNone/>
                <wp:docPr id="2159"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704215"/>
                          <a:chOff x="0" y="0"/>
                          <a:chExt cx="67310" cy="704215"/>
                        </a:xfrm>
                      </wpg:grpSpPr>
                      <wps:wsp>
                        <wps:cNvPr id="2160" name="Graphic 2160"/>
                        <wps:cNvSpPr/>
                        <wps:spPr>
                          <a:xfrm>
                            <a:off x="24427" y="31826"/>
                            <a:ext cx="11430" cy="1270"/>
                          </a:xfrm>
                          <a:custGeom>
                            <a:avLst/>
                            <a:gdLst/>
                            <a:ahLst/>
                            <a:cxnLst/>
                            <a:rect l="l" t="t" r="r" b="b"/>
                            <a:pathLst>
                              <a:path w="11430">
                                <a:moveTo>
                                  <a:pt x="0" y="0"/>
                                </a:moveTo>
                                <a:lnTo>
                                  <a:pt x="11353" y="0"/>
                                </a:lnTo>
                              </a:path>
                            </a:pathLst>
                          </a:custGeom>
                          <a:ln w="7365">
                            <a:solidFill>
                              <a:srgbClr val="000000"/>
                            </a:solidFill>
                            <a:prstDash val="solid"/>
                          </a:ln>
                        </wps:spPr>
                        <wps:bodyPr wrap="square" lIns="0" tIns="0" rIns="0" bIns="0" rtlCol="0">
                          <a:prstTxWarp prst="textNoShape">
                            <a:avLst/>
                          </a:prstTxWarp>
                          <a:noAutofit/>
                        </wps:bodyPr>
                      </wps:wsp>
                      <wps:wsp>
                        <wps:cNvPr id="2161" name="Graphic 2161"/>
                        <wps:cNvSpPr/>
                        <wps:spPr>
                          <a:xfrm>
                            <a:off x="24984" y="198855"/>
                            <a:ext cx="12065" cy="1270"/>
                          </a:xfrm>
                          <a:custGeom>
                            <a:avLst/>
                            <a:gdLst/>
                            <a:ahLst/>
                            <a:cxnLst/>
                            <a:rect l="l" t="t" r="r" b="b"/>
                            <a:pathLst>
                              <a:path w="12065">
                                <a:moveTo>
                                  <a:pt x="0" y="0"/>
                                </a:moveTo>
                                <a:lnTo>
                                  <a:pt x="11760" y="0"/>
                                </a:lnTo>
                              </a:path>
                            </a:pathLst>
                          </a:custGeom>
                          <a:ln w="7365">
                            <a:solidFill>
                              <a:srgbClr val="000000"/>
                            </a:solidFill>
                            <a:prstDash val="solid"/>
                          </a:ln>
                        </wps:spPr>
                        <wps:bodyPr wrap="square" lIns="0" tIns="0" rIns="0" bIns="0" rtlCol="0">
                          <a:prstTxWarp prst="textNoShape">
                            <a:avLst/>
                          </a:prstTxWarp>
                          <a:noAutofit/>
                        </wps:bodyPr>
                      </wps:wsp>
                      <wps:wsp>
                        <wps:cNvPr id="2162" name="Graphic 2162"/>
                        <wps:cNvSpPr/>
                        <wps:spPr>
                          <a:xfrm>
                            <a:off x="14453" y="365839"/>
                            <a:ext cx="21590" cy="1270"/>
                          </a:xfrm>
                          <a:custGeom>
                            <a:avLst/>
                            <a:gdLst/>
                            <a:ahLst/>
                            <a:cxnLst/>
                            <a:rect l="l" t="t" r="r" b="b"/>
                            <a:pathLst>
                              <a:path w="21590">
                                <a:moveTo>
                                  <a:pt x="0" y="0"/>
                                </a:moveTo>
                                <a:lnTo>
                                  <a:pt x="21374" y="0"/>
                                </a:lnTo>
                              </a:path>
                            </a:pathLst>
                          </a:custGeom>
                          <a:ln w="7365">
                            <a:solidFill>
                              <a:srgbClr val="000000"/>
                            </a:solidFill>
                            <a:prstDash val="solid"/>
                          </a:ln>
                        </wps:spPr>
                        <wps:bodyPr wrap="square" lIns="0" tIns="0" rIns="0" bIns="0" rtlCol="0">
                          <a:prstTxWarp prst="textNoShape">
                            <a:avLst/>
                          </a:prstTxWarp>
                          <a:noAutofit/>
                        </wps:bodyPr>
                      </wps:wsp>
                      <wps:wsp>
                        <wps:cNvPr id="2163" name="Graphic 2163"/>
                        <wps:cNvSpPr/>
                        <wps:spPr>
                          <a:xfrm>
                            <a:off x="-9" y="0"/>
                            <a:ext cx="67310" cy="398145"/>
                          </a:xfrm>
                          <a:custGeom>
                            <a:avLst/>
                            <a:gdLst/>
                            <a:ahLst/>
                            <a:cxnLst/>
                            <a:rect l="l" t="t" r="r" b="b"/>
                            <a:pathLst>
                              <a:path w="67310" h="398145">
                                <a:moveTo>
                                  <a:pt x="63550" y="365848"/>
                                </a:moveTo>
                                <a:lnTo>
                                  <a:pt x="31788" y="334073"/>
                                </a:lnTo>
                                <a:lnTo>
                                  <a:pt x="0" y="365848"/>
                                </a:lnTo>
                                <a:lnTo>
                                  <a:pt x="31788" y="397725"/>
                                </a:lnTo>
                                <a:lnTo>
                                  <a:pt x="63550" y="365848"/>
                                </a:lnTo>
                                <a:close/>
                              </a:path>
                              <a:path w="67310" h="398145">
                                <a:moveTo>
                                  <a:pt x="64465" y="31826"/>
                                </a:moveTo>
                                <a:lnTo>
                                  <a:pt x="32613" y="0"/>
                                </a:lnTo>
                                <a:lnTo>
                                  <a:pt x="825" y="31826"/>
                                </a:lnTo>
                                <a:lnTo>
                                  <a:pt x="32613" y="63639"/>
                                </a:lnTo>
                                <a:lnTo>
                                  <a:pt x="64465" y="31826"/>
                                </a:lnTo>
                                <a:close/>
                              </a:path>
                              <a:path w="67310" h="398145">
                                <a:moveTo>
                                  <a:pt x="67297" y="198856"/>
                                </a:moveTo>
                                <a:lnTo>
                                  <a:pt x="35445" y="167068"/>
                                </a:lnTo>
                                <a:lnTo>
                                  <a:pt x="3657" y="198856"/>
                                </a:lnTo>
                                <a:lnTo>
                                  <a:pt x="35445" y="230644"/>
                                </a:lnTo>
                                <a:lnTo>
                                  <a:pt x="67297" y="198856"/>
                                </a:lnTo>
                                <a:close/>
                              </a:path>
                            </a:pathLst>
                          </a:custGeom>
                          <a:solidFill>
                            <a:srgbClr val="000000"/>
                          </a:solidFill>
                        </wps:spPr>
                        <wps:bodyPr wrap="square" lIns="0" tIns="0" rIns="0" bIns="0" rtlCol="0">
                          <a:prstTxWarp prst="textNoShape">
                            <a:avLst/>
                          </a:prstTxWarp>
                          <a:noAutofit/>
                        </wps:bodyPr>
                      </wps:wsp>
                      <wps:wsp>
                        <wps:cNvPr id="2164" name="Graphic 2164"/>
                        <wps:cNvSpPr/>
                        <wps:spPr>
                          <a:xfrm>
                            <a:off x="31781" y="31819"/>
                            <a:ext cx="1270" cy="668655"/>
                          </a:xfrm>
                          <a:custGeom>
                            <a:avLst/>
                            <a:gdLst/>
                            <a:ahLst/>
                            <a:cxnLst/>
                            <a:rect l="l" t="t" r="r" b="b"/>
                            <a:pathLst>
                              <a:path h="668655">
                                <a:moveTo>
                                  <a:pt x="0" y="668134"/>
                                </a:moveTo>
                                <a:lnTo>
                                  <a:pt x="0" y="0"/>
                                </a:lnTo>
                              </a:path>
                              <a:path h="668655">
                                <a:moveTo>
                                  <a:pt x="0" y="668134"/>
                                </a:moveTo>
                                <a:lnTo>
                                  <a:pt x="0" y="0"/>
                                </a:lnTo>
                              </a:path>
                              <a:path h="668655">
                                <a:moveTo>
                                  <a:pt x="0" y="668134"/>
                                </a:moveTo>
                                <a:lnTo>
                                  <a:pt x="0" y="0"/>
                                </a:lnTo>
                              </a:path>
                              <a:path h="668655">
                                <a:moveTo>
                                  <a:pt x="0" y="668134"/>
                                </a:moveTo>
                                <a:lnTo>
                                  <a:pt x="0" y="0"/>
                                </a:lnTo>
                              </a:path>
                              <a:path h="668655">
                                <a:moveTo>
                                  <a:pt x="0" y="668134"/>
                                </a:moveTo>
                                <a:lnTo>
                                  <a:pt x="0" y="0"/>
                                </a:lnTo>
                              </a:path>
                              <a:path h="668655">
                                <a:moveTo>
                                  <a:pt x="0" y="668134"/>
                                </a:moveTo>
                                <a:lnTo>
                                  <a:pt x="0" y="0"/>
                                </a:lnTo>
                              </a:path>
                              <a:path h="668655">
                                <a:moveTo>
                                  <a:pt x="0" y="668134"/>
                                </a:moveTo>
                                <a:lnTo>
                                  <a:pt x="0" y="0"/>
                                </a:lnTo>
                              </a:path>
                              <a:path h="668655">
                                <a:moveTo>
                                  <a:pt x="0" y="668134"/>
                                </a:moveTo>
                                <a:lnTo>
                                  <a:pt x="0" y="0"/>
                                </a:lnTo>
                              </a:path>
                              <a:path h="668655">
                                <a:moveTo>
                                  <a:pt x="0" y="668134"/>
                                </a:moveTo>
                                <a:lnTo>
                                  <a:pt x="0" y="0"/>
                                </a:lnTo>
                              </a:path>
                              <a:path h="668655">
                                <a:moveTo>
                                  <a:pt x="0" y="668134"/>
                                </a:moveTo>
                                <a:lnTo>
                                  <a:pt x="0" y="0"/>
                                </a:lnTo>
                              </a:path>
                              <a:path h="668655">
                                <a:moveTo>
                                  <a:pt x="0" y="668134"/>
                                </a:moveTo>
                                <a:lnTo>
                                  <a:pt x="0" y="0"/>
                                </a:lnTo>
                              </a:path>
                            </a:pathLst>
                          </a:custGeom>
                          <a:ln w="7365">
                            <a:solidFill>
                              <a:srgbClr val="000000"/>
                            </a:solidFill>
                            <a:prstDash val="solid"/>
                          </a:ln>
                        </wps:spPr>
                        <wps:bodyPr wrap="square" lIns="0" tIns="0" rIns="0" bIns="0" rtlCol="0">
                          <a:prstTxWarp prst="textNoShape">
                            <a:avLst/>
                          </a:prstTxWarp>
                          <a:noAutofit/>
                        </wps:bodyPr>
                      </wps:wsp>
                      <wps:wsp>
                        <wps:cNvPr id="2165" name="Graphic 2165"/>
                        <wps:cNvSpPr/>
                        <wps:spPr>
                          <a:xfrm>
                            <a:off x="32607" y="198850"/>
                            <a:ext cx="1270" cy="501650"/>
                          </a:xfrm>
                          <a:custGeom>
                            <a:avLst/>
                            <a:gdLst/>
                            <a:ahLst/>
                            <a:cxnLst/>
                            <a:rect l="l" t="t" r="r" b="b"/>
                            <a:pathLst>
                              <a:path h="501650">
                                <a:moveTo>
                                  <a:pt x="0" y="501103"/>
                                </a:moveTo>
                                <a:lnTo>
                                  <a:pt x="0" y="0"/>
                                </a:lnTo>
                              </a:path>
                              <a:path h="501650">
                                <a:moveTo>
                                  <a:pt x="0" y="501103"/>
                                </a:moveTo>
                                <a:lnTo>
                                  <a:pt x="0" y="0"/>
                                </a:lnTo>
                              </a:path>
                              <a:path h="501650">
                                <a:moveTo>
                                  <a:pt x="0" y="501103"/>
                                </a:moveTo>
                                <a:lnTo>
                                  <a:pt x="0" y="0"/>
                                </a:lnTo>
                              </a:path>
                              <a:path h="501650">
                                <a:moveTo>
                                  <a:pt x="0" y="501103"/>
                                </a:moveTo>
                                <a:lnTo>
                                  <a:pt x="0" y="0"/>
                                </a:lnTo>
                              </a:path>
                              <a:path h="501650">
                                <a:moveTo>
                                  <a:pt x="0" y="501103"/>
                                </a:moveTo>
                                <a:lnTo>
                                  <a:pt x="0" y="0"/>
                                </a:lnTo>
                              </a:path>
                              <a:path h="501650">
                                <a:moveTo>
                                  <a:pt x="0" y="501103"/>
                                </a:moveTo>
                                <a:lnTo>
                                  <a:pt x="0" y="0"/>
                                </a:lnTo>
                              </a:path>
                              <a:path h="501650">
                                <a:moveTo>
                                  <a:pt x="0" y="501103"/>
                                </a:moveTo>
                                <a:lnTo>
                                  <a:pt x="0" y="0"/>
                                </a:lnTo>
                              </a:path>
                              <a:path h="501650">
                                <a:moveTo>
                                  <a:pt x="0" y="501103"/>
                                </a:moveTo>
                                <a:lnTo>
                                  <a:pt x="0" y="0"/>
                                </a:lnTo>
                              </a:path>
                              <a:path h="501650">
                                <a:moveTo>
                                  <a:pt x="0" y="501103"/>
                                </a:moveTo>
                                <a:lnTo>
                                  <a:pt x="0" y="0"/>
                                </a:lnTo>
                              </a:path>
                              <a:path h="501650">
                                <a:moveTo>
                                  <a:pt x="0" y="501103"/>
                                </a:moveTo>
                                <a:lnTo>
                                  <a:pt x="0" y="0"/>
                                </a:lnTo>
                              </a:path>
                              <a:path h="501650">
                                <a:moveTo>
                                  <a:pt x="0" y="501103"/>
                                </a:moveTo>
                                <a:lnTo>
                                  <a:pt x="0" y="0"/>
                                </a:lnTo>
                              </a:path>
                            </a:pathLst>
                          </a:custGeom>
                          <a:ln w="7365">
                            <a:solidFill>
                              <a:srgbClr val="000000"/>
                            </a:solidFill>
                            <a:prstDash val="solid"/>
                          </a:ln>
                        </wps:spPr>
                        <wps:bodyPr wrap="square" lIns="0" tIns="0" rIns="0" bIns="0" rtlCol="0">
                          <a:prstTxWarp prst="textNoShape">
                            <a:avLst/>
                          </a:prstTxWarp>
                          <a:noAutofit/>
                        </wps:bodyPr>
                      </wps:wsp>
                      <wps:wsp>
                        <wps:cNvPr id="2166" name="Graphic 2166"/>
                        <wps:cNvSpPr/>
                        <wps:spPr>
                          <a:xfrm>
                            <a:off x="31781" y="699954"/>
                            <a:ext cx="1270" cy="1270"/>
                          </a:xfrm>
                          <a:custGeom>
                            <a:avLst/>
                            <a:gdLst/>
                            <a:ahLst/>
                            <a:cxnLst/>
                            <a:rect l="l" t="t" r="r" b="b"/>
                            <a:pathLst>
                              <a:path w="1270">
                                <a:moveTo>
                                  <a:pt x="0" y="0"/>
                                </a:moveTo>
                                <a:lnTo>
                                  <a:pt x="825" y="0"/>
                                </a:lnTo>
                              </a:path>
                              <a:path w="1270">
                                <a:moveTo>
                                  <a:pt x="0" y="0"/>
                                </a:moveTo>
                                <a:lnTo>
                                  <a:pt x="825" y="0"/>
                                </a:lnTo>
                              </a:path>
                              <a:path w="1270">
                                <a:moveTo>
                                  <a:pt x="0" y="0"/>
                                </a:moveTo>
                                <a:lnTo>
                                  <a:pt x="825" y="0"/>
                                </a:lnTo>
                              </a:path>
                              <a:path w="1270">
                                <a:moveTo>
                                  <a:pt x="0" y="0"/>
                                </a:moveTo>
                                <a:lnTo>
                                  <a:pt x="825" y="0"/>
                                </a:lnTo>
                              </a:path>
                              <a:path w="1270">
                                <a:moveTo>
                                  <a:pt x="0" y="0"/>
                                </a:moveTo>
                                <a:lnTo>
                                  <a:pt x="825" y="0"/>
                                </a:lnTo>
                              </a:path>
                              <a:path w="1270">
                                <a:moveTo>
                                  <a:pt x="0" y="0"/>
                                </a:moveTo>
                                <a:lnTo>
                                  <a:pt x="825" y="0"/>
                                </a:lnTo>
                              </a:path>
                              <a:path w="1270">
                                <a:moveTo>
                                  <a:pt x="0" y="0"/>
                                </a:moveTo>
                                <a:lnTo>
                                  <a:pt x="825" y="0"/>
                                </a:lnTo>
                              </a:path>
                              <a:path w="1270">
                                <a:moveTo>
                                  <a:pt x="0" y="0"/>
                                </a:moveTo>
                                <a:lnTo>
                                  <a:pt x="825" y="0"/>
                                </a:lnTo>
                              </a:path>
                              <a:path w="1270">
                                <a:moveTo>
                                  <a:pt x="0" y="0"/>
                                </a:moveTo>
                                <a:lnTo>
                                  <a:pt x="825" y="0"/>
                                </a:lnTo>
                              </a:path>
                              <a:path w="1270">
                                <a:moveTo>
                                  <a:pt x="0" y="0"/>
                                </a:moveTo>
                                <a:lnTo>
                                  <a:pt x="825" y="0"/>
                                </a:lnTo>
                              </a:path>
                              <a:path w="1270">
                                <a:moveTo>
                                  <a:pt x="0" y="0"/>
                                </a:moveTo>
                                <a:lnTo>
                                  <a:pt x="825" y="0"/>
                                </a:lnTo>
                              </a:path>
                            </a:pathLst>
                          </a:custGeom>
                          <a:ln w="7365">
                            <a:solidFill>
                              <a:srgbClr val="000000"/>
                            </a:solidFill>
                            <a:prstDash val="solid"/>
                          </a:ln>
                        </wps:spPr>
                        <wps:bodyPr wrap="square" lIns="0" tIns="0" rIns="0" bIns="0" rtlCol="0">
                          <a:prstTxWarp prst="textNoShape">
                            <a:avLst/>
                          </a:prstTxWarp>
                          <a:noAutofit/>
                        </wps:bodyPr>
                      </wps:wsp>
                      <wps:wsp>
                        <wps:cNvPr id="2167" name="Graphic 2167"/>
                        <wps:cNvSpPr/>
                        <wps:spPr>
                          <a:xfrm>
                            <a:off x="31781" y="365845"/>
                            <a:ext cx="3810" cy="167640"/>
                          </a:xfrm>
                          <a:custGeom>
                            <a:avLst/>
                            <a:gdLst/>
                            <a:ahLst/>
                            <a:cxnLst/>
                            <a:rect l="l" t="t" r="r" b="b"/>
                            <a:pathLst>
                              <a:path w="3810" h="167640">
                                <a:moveTo>
                                  <a:pt x="0" y="167081"/>
                                </a:moveTo>
                                <a:lnTo>
                                  <a:pt x="0" y="0"/>
                                </a:lnTo>
                              </a:path>
                              <a:path w="3810" h="167640">
                                <a:moveTo>
                                  <a:pt x="0" y="167081"/>
                                </a:moveTo>
                                <a:lnTo>
                                  <a:pt x="0" y="0"/>
                                </a:lnTo>
                              </a:path>
                              <a:path w="3810" h="167640">
                                <a:moveTo>
                                  <a:pt x="0" y="167081"/>
                                </a:moveTo>
                                <a:lnTo>
                                  <a:pt x="0" y="0"/>
                                </a:lnTo>
                              </a:path>
                              <a:path w="3810" h="167640">
                                <a:moveTo>
                                  <a:pt x="0" y="167081"/>
                                </a:moveTo>
                                <a:lnTo>
                                  <a:pt x="0" y="0"/>
                                </a:lnTo>
                              </a:path>
                              <a:path w="3810" h="167640">
                                <a:moveTo>
                                  <a:pt x="0" y="167081"/>
                                </a:moveTo>
                                <a:lnTo>
                                  <a:pt x="0" y="0"/>
                                </a:lnTo>
                              </a:path>
                              <a:path w="3810" h="167640">
                                <a:moveTo>
                                  <a:pt x="0" y="167081"/>
                                </a:moveTo>
                                <a:lnTo>
                                  <a:pt x="0" y="0"/>
                                </a:lnTo>
                              </a:path>
                              <a:path w="3810" h="167640">
                                <a:moveTo>
                                  <a:pt x="0" y="167081"/>
                                </a:moveTo>
                                <a:lnTo>
                                  <a:pt x="0" y="0"/>
                                </a:lnTo>
                              </a:path>
                              <a:path w="3810" h="167640">
                                <a:moveTo>
                                  <a:pt x="0" y="167081"/>
                                </a:moveTo>
                                <a:lnTo>
                                  <a:pt x="0" y="0"/>
                                </a:lnTo>
                              </a:path>
                              <a:path w="3810" h="167640">
                                <a:moveTo>
                                  <a:pt x="0" y="167081"/>
                                </a:moveTo>
                                <a:lnTo>
                                  <a:pt x="0" y="0"/>
                                </a:lnTo>
                              </a:path>
                              <a:path w="3810" h="167640">
                                <a:moveTo>
                                  <a:pt x="0" y="167081"/>
                                </a:moveTo>
                                <a:lnTo>
                                  <a:pt x="0" y="0"/>
                                </a:lnTo>
                              </a:path>
                              <a:path w="3810" h="167640">
                                <a:moveTo>
                                  <a:pt x="0" y="167081"/>
                                </a:moveTo>
                                <a:lnTo>
                                  <a:pt x="0" y="0"/>
                                </a:lnTo>
                              </a:path>
                              <a:path w="3810" h="167640">
                                <a:moveTo>
                                  <a:pt x="0" y="167081"/>
                                </a:moveTo>
                                <a:lnTo>
                                  <a:pt x="3657" y="167081"/>
                                </a:lnTo>
                              </a:path>
                              <a:path w="3810" h="167640">
                                <a:moveTo>
                                  <a:pt x="0" y="167081"/>
                                </a:moveTo>
                                <a:lnTo>
                                  <a:pt x="3657" y="167081"/>
                                </a:lnTo>
                              </a:path>
                              <a:path w="3810" h="167640">
                                <a:moveTo>
                                  <a:pt x="0" y="167081"/>
                                </a:moveTo>
                                <a:lnTo>
                                  <a:pt x="3657" y="167081"/>
                                </a:lnTo>
                              </a:path>
                              <a:path w="3810" h="167640">
                                <a:moveTo>
                                  <a:pt x="0" y="167081"/>
                                </a:moveTo>
                                <a:lnTo>
                                  <a:pt x="3657" y="167081"/>
                                </a:lnTo>
                              </a:path>
                              <a:path w="3810" h="167640">
                                <a:moveTo>
                                  <a:pt x="0" y="167081"/>
                                </a:moveTo>
                                <a:lnTo>
                                  <a:pt x="3657" y="167081"/>
                                </a:lnTo>
                              </a:path>
                              <a:path w="3810" h="167640">
                                <a:moveTo>
                                  <a:pt x="0" y="167081"/>
                                </a:moveTo>
                                <a:lnTo>
                                  <a:pt x="3657" y="167081"/>
                                </a:lnTo>
                              </a:path>
                              <a:path w="3810" h="167640">
                                <a:moveTo>
                                  <a:pt x="0" y="167081"/>
                                </a:moveTo>
                                <a:lnTo>
                                  <a:pt x="3657" y="167081"/>
                                </a:lnTo>
                              </a:path>
                              <a:path w="3810" h="167640">
                                <a:moveTo>
                                  <a:pt x="0" y="167081"/>
                                </a:moveTo>
                                <a:lnTo>
                                  <a:pt x="3657" y="167081"/>
                                </a:lnTo>
                              </a:path>
                              <a:path w="3810" h="167640">
                                <a:moveTo>
                                  <a:pt x="0" y="167081"/>
                                </a:moveTo>
                                <a:lnTo>
                                  <a:pt x="3657" y="167081"/>
                                </a:lnTo>
                              </a:path>
                              <a:path w="3810" h="167640">
                                <a:moveTo>
                                  <a:pt x="0" y="167081"/>
                                </a:moveTo>
                                <a:lnTo>
                                  <a:pt x="3657" y="167081"/>
                                </a:lnTo>
                              </a:path>
                              <a:path w="3810" h="167640">
                                <a:moveTo>
                                  <a:pt x="0" y="167081"/>
                                </a:moveTo>
                                <a:lnTo>
                                  <a:pt x="3657" y="167081"/>
                                </a:lnTo>
                              </a:path>
                            </a:pathLst>
                          </a:custGeom>
                          <a:ln w="7365">
                            <a:solidFill>
                              <a:srgbClr val="000000"/>
                            </a:solidFill>
                            <a:prstDash val="dot"/>
                          </a:ln>
                        </wps:spPr>
                        <wps:bodyPr wrap="square" lIns="0" tIns="0" rIns="0" bIns="0" rtlCol="0">
                          <a:prstTxWarp prst="textNoShape">
                            <a:avLst/>
                          </a:prstTxWarp>
                          <a:noAutofit/>
                        </wps:bodyPr>
                      </wps:wsp>
                    </wpg:wgp>
                  </a:graphicData>
                </a:graphic>
              </wp:anchor>
            </w:drawing>
          </mc:Choice>
          <mc:Fallback>
            <w:pict>
              <v:group w14:anchorId="4EA7D5F9" id="Group 2159" o:spid="_x0000_s1026" style="position:absolute;margin-left:447.5pt;margin-top:.95pt;width:5.3pt;height:55.45pt;z-index:16062976;mso-wrap-distance-left:0;mso-wrap-distance-right:0;mso-position-horizontal-relative:page" coordsize="673,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">
                <v:shape id="Graphic 2160" o:spid="_x0000_s1027" style="position:absolute;left:244;top:318;width:114;height:12;visibility:visible;mso-wrap-style:square;v-text-anchor:top" coordsize="11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" path="m,l11353,e" filled="f" strokeweight=".20458mm">
                  <v:path arrowok="t"/>
                </v:shape>
                <v:shape id="Graphic 2161" o:spid="_x0000_s1028" style="position:absolute;left:249;top:1988;width:121;height:13;visibility:visible;mso-wrap-style:square;v-text-anchor:top" coordsize="12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" path="m,l11760,e" filled="f" strokeweight=".20458mm">
                  <v:path arrowok="t"/>
                </v:shape>
                <v:shape id="Graphic 2162" o:spid="_x0000_s1029" style="position:absolute;left:144;top:3658;width:216;height:13;visibility:visible;mso-wrap-style:square;v-text-anchor:top" coordsize="21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" path="m,l21374,e" filled="f" strokeweight=".20458mm">
                  <v:path arrowok="t"/>
                </v:shape>
                <v:shape id="Graphic 2163" o:spid="_x0000_s1030" style="position:absolute;width:673;height:3981;visibility:visible;mso-wrap-style:square;v-text-anchor:top" coordsize="6731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" path="m63550,365848l31788,334073,,365848r31788,31877l63550,365848xem64465,31826l32613,,825,31826,32613,63639,64465,31826xem67297,198856l35445,167068,3657,198856r31788,31788l67297,198856xe" fillcolor="black" stroked="f">
                  <v:path arrowok="t"/>
                </v:shape>
                <v:shape id="Graphic 2164" o:spid="_x0000_s1031" style="position:absolute;left:317;top:318;width:13;height:6686;visibility:visible;mso-wrap-style:square;v-text-anchor:top" coordsize="1270,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" path="m,668134l,em,668134l,em,668134l,em,668134l,em,668134l,em,668134l,em,668134l,em,668134l,em,668134l,em,668134l,em,668134l,e" filled="f" strokeweight=".20458mm">
                  <v:path arrowok="t"/>
                </v:shape>
                <v:shape id="Graphic 2165" o:spid="_x0000_s1032" style="position:absolute;left:326;top:1988;width:12;height:5017;visibility:visible;mso-wrap-style:square;v-text-anchor:top" coordsize="127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" path="m,501103l,em,501103l,em,501103l,em,501103l,em,501103l,em,501103l,em,501103l,em,501103l,em,501103l,em,501103l,em,501103l,e" filled="f" strokeweight=".20458mm">
                  <v:path arrowok="t"/>
                </v:shape>
                <v:shape id="Graphic 2166" o:spid="_x0000_s1033" style="position:absolute;left:317;top:6999;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" path="m,l825,em,l825,em,l825,em,l825,em,l825,em,l825,em,l825,em,l825,em,l825,em,l825,em,l825,e" filled="f" strokeweight=".20458mm">
                  <v:path arrowok="t"/>
                </v:shape>
                <v:shape id="Graphic 2167" o:spid="_x0000_s1034" style="position:absolute;left:317;top:3658;width:38;height:1676;visibility:visible;mso-wrap-style:square;v-text-anchor:top" coordsize="381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" path="m,167081l,em,167081l,em,167081l,em,167081l,em,167081l,em,167081l,em,167081l,em,167081l,em,167081l,em,167081l,em,167081l,em,167081r3657,em,167081r3657,em,167081r3657,em,167081r3657,em,167081r3657,em,167081r3657,em,167081r3657,em,167081r3657,em,167081r3657,em,167081r3657,em,167081r3657,e" filled="f" strokeweight=".20458mm">
                  <v:stroke dashstyle="dot"/>
                  <v:path arrowok="t"/>
                </v:shape>
                <w10:wrap anchorx="page"/>
              </v:group>
            </w:pict>
          </mc:Fallback>
        </mc:AlternateContent>
      </w:r>
      <w:r w:rsidRPr="003C6DAE">
        <w:rPr>
          <w:rFonts w:ascii="Arial MT"/>
          <w:sz w:val="12"/>
          <w:lang w:val="uk-UA"/>
        </w:rPr>
        <w:t>99.3%</w:t>
      </w:r>
      <w:r w:rsidRPr="003C6DAE">
        <w:rPr>
          <w:rFonts w:ascii="Arial MT"/>
          <w:spacing w:val="1"/>
          <w:sz w:val="12"/>
          <w:lang w:val="uk-UA"/>
        </w:rPr>
        <w:t xml:space="preserve"> </w:t>
      </w:r>
      <w:r w:rsidRPr="003C6DAE">
        <w:rPr>
          <w:rFonts w:ascii="Arial MT"/>
          <w:sz w:val="12"/>
          <w:lang w:val="uk-UA"/>
        </w:rPr>
        <w:t>(97.8</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99.8)</w:t>
      </w:r>
    </w:p>
    <w:p w14:paraId="5AC1185B" w14:textId="77777777" w:rsidR="00E05B98" w:rsidRPr="003C6DAE" w:rsidRDefault="00B01E0C">
      <w:pPr>
        <w:spacing w:before="125"/>
        <w:ind w:left="744"/>
        <w:rPr>
          <w:rFonts w:ascii="Arial MT"/>
          <w:sz w:val="12"/>
          <w:lang w:val="uk-UA"/>
        </w:rPr>
      </w:pPr>
      <w:r w:rsidRPr="003C6DAE">
        <w:rPr>
          <w:rFonts w:ascii="Arial MT"/>
          <w:sz w:val="12"/>
          <w:lang w:val="uk-UA"/>
        </w:rPr>
        <w:t>99.7%</w:t>
      </w:r>
      <w:r w:rsidRPr="003C6DAE">
        <w:rPr>
          <w:rFonts w:ascii="Arial MT"/>
          <w:spacing w:val="1"/>
          <w:sz w:val="12"/>
          <w:lang w:val="uk-UA"/>
        </w:rPr>
        <w:t xml:space="preserve"> </w:t>
      </w:r>
      <w:r w:rsidRPr="003C6DAE">
        <w:rPr>
          <w:rFonts w:ascii="Arial MT"/>
          <w:sz w:val="12"/>
          <w:lang w:val="uk-UA"/>
        </w:rPr>
        <w:t>(97.9</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5"/>
          <w:sz w:val="12"/>
          <w:lang w:val="uk-UA"/>
        </w:rPr>
        <w:t>1)</w:t>
      </w:r>
    </w:p>
    <w:p w14:paraId="3CD04888" w14:textId="77777777" w:rsidR="00E05B98" w:rsidRPr="003C6DAE" w:rsidRDefault="00B01E0C">
      <w:pPr>
        <w:spacing w:before="125"/>
        <w:ind w:left="658"/>
        <w:rPr>
          <w:rFonts w:ascii="Arial MT"/>
          <w:sz w:val="12"/>
          <w:lang w:val="uk-UA"/>
        </w:rPr>
      </w:pPr>
      <w:r w:rsidRPr="003C6DAE">
        <w:rPr>
          <w:rFonts w:ascii="Arial MT"/>
          <w:sz w:val="12"/>
          <w:lang w:val="uk-UA"/>
        </w:rPr>
        <w:t>99.1%</w:t>
      </w:r>
      <w:r w:rsidRPr="003C6DAE">
        <w:rPr>
          <w:rFonts w:ascii="Arial MT"/>
          <w:spacing w:val="1"/>
          <w:sz w:val="12"/>
          <w:lang w:val="uk-UA"/>
        </w:rPr>
        <w:t xml:space="preserve"> </w:t>
      </w:r>
      <w:r w:rsidRPr="003C6DAE">
        <w:rPr>
          <w:rFonts w:ascii="Arial MT"/>
          <w:sz w:val="12"/>
          <w:lang w:val="uk-UA"/>
        </w:rPr>
        <w:t>(96.1</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pacing w:val="-2"/>
          <w:sz w:val="12"/>
          <w:lang w:val="uk-UA"/>
        </w:rPr>
        <w:t>99.8)</w:t>
      </w:r>
    </w:p>
    <w:p w14:paraId="1D7B4B58" w14:textId="77777777" w:rsidR="00E05B98" w:rsidRPr="003C6DAE" w:rsidRDefault="00B01E0C">
      <w:pPr>
        <w:spacing w:before="125"/>
        <w:ind w:left="700"/>
        <w:rPr>
          <w:rFonts w:ascii="Arial MT"/>
          <w:sz w:val="12"/>
          <w:lang w:val="uk-UA"/>
        </w:rPr>
      </w:pPr>
      <w:r w:rsidRPr="003C6DAE">
        <w:rPr>
          <w:rFonts w:ascii="Arial MT"/>
          <w:sz w:val="12"/>
          <w:lang w:val="uk-UA"/>
        </w:rPr>
        <w:t>-0.5%</w:t>
      </w:r>
      <w:r w:rsidRPr="003C6DAE">
        <w:rPr>
          <w:rFonts w:ascii="Arial MT"/>
          <w:spacing w:val="1"/>
          <w:sz w:val="12"/>
          <w:lang w:val="uk-UA"/>
        </w:rPr>
        <w:t xml:space="preserve"> </w:t>
      </w:r>
      <w:r w:rsidRPr="003C6DAE">
        <w:rPr>
          <w:rFonts w:ascii="Arial MT"/>
          <w:sz w:val="12"/>
          <w:lang w:val="uk-UA"/>
        </w:rPr>
        <w:t>(-1.4</w:t>
      </w:r>
      <w:r w:rsidRPr="003C6DAE">
        <w:rPr>
          <w:rFonts w:ascii="Arial MT"/>
          <w:spacing w:val="2"/>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z w:val="12"/>
          <w:lang w:val="uk-UA"/>
        </w:rPr>
        <w:t>-</w:t>
      </w:r>
      <w:r w:rsidRPr="003C6DAE">
        <w:rPr>
          <w:rFonts w:ascii="Arial MT"/>
          <w:spacing w:val="-4"/>
          <w:sz w:val="12"/>
          <w:lang w:val="uk-UA"/>
        </w:rPr>
        <w:t>0.1)</w:t>
      </w:r>
    </w:p>
    <w:p w14:paraId="1E0642D1" w14:textId="77777777" w:rsidR="00E05B98" w:rsidRPr="003C6DAE" w:rsidRDefault="00B01E0C">
      <w:pPr>
        <w:spacing w:before="126"/>
        <w:ind w:left="631"/>
        <w:rPr>
          <w:rFonts w:ascii="Arial MT"/>
          <w:sz w:val="12"/>
          <w:lang w:val="uk-UA"/>
        </w:rPr>
      </w:pPr>
      <w:r w:rsidRPr="003C6DAE">
        <w:rPr>
          <w:rFonts w:ascii="Arial MT"/>
          <w:sz w:val="12"/>
          <w:lang w:val="uk-UA"/>
        </w:rPr>
        <w:t>-0.1%</w:t>
      </w:r>
      <w:r w:rsidRPr="003C6DAE">
        <w:rPr>
          <w:rFonts w:ascii="Arial MT"/>
          <w:spacing w:val="1"/>
          <w:sz w:val="12"/>
          <w:lang w:val="uk-UA"/>
        </w:rPr>
        <w:t xml:space="preserve"> </w:t>
      </w:r>
      <w:r w:rsidRPr="003C6DAE">
        <w:rPr>
          <w:rFonts w:ascii="Arial MT"/>
          <w:sz w:val="12"/>
          <w:lang w:val="uk-UA"/>
        </w:rPr>
        <w:t>(-0.7</w:t>
      </w:r>
      <w:r w:rsidRPr="003C6DAE">
        <w:rPr>
          <w:rFonts w:ascii="Arial MT"/>
          <w:spacing w:val="1"/>
          <w:sz w:val="12"/>
          <w:lang w:val="uk-UA"/>
        </w:rPr>
        <w:t xml:space="preserve"> </w:t>
      </w:r>
      <w:r w:rsidRPr="003C6DAE">
        <w:rPr>
          <w:rFonts w:ascii="Arial MT"/>
          <w:sz w:val="12"/>
          <w:lang w:val="uk-UA"/>
        </w:rPr>
        <w:t>to</w:t>
      </w:r>
      <w:r w:rsidRPr="003C6DAE">
        <w:rPr>
          <w:rFonts w:ascii="Arial MT"/>
          <w:spacing w:val="2"/>
          <w:sz w:val="12"/>
          <w:lang w:val="uk-UA"/>
        </w:rPr>
        <w:t xml:space="preserve"> </w:t>
      </w:r>
      <w:r w:rsidRPr="003C6DAE">
        <w:rPr>
          <w:rFonts w:ascii="Arial MT"/>
          <w:sz w:val="12"/>
          <w:lang w:val="uk-UA"/>
        </w:rPr>
        <w:t>-</w:t>
      </w:r>
      <w:r w:rsidRPr="003C6DAE">
        <w:rPr>
          <w:rFonts w:ascii="Arial MT"/>
          <w:spacing w:val="-2"/>
          <w:sz w:val="12"/>
          <w:lang w:val="uk-UA"/>
        </w:rPr>
        <w:t>0.005)</w:t>
      </w:r>
    </w:p>
    <w:p w14:paraId="713E0937" w14:textId="77777777" w:rsidR="00E05B98" w:rsidRPr="003C6DAE" w:rsidRDefault="00E05B98">
      <w:pPr>
        <w:rPr>
          <w:rFonts w:ascii="Arial MT"/>
          <w:sz w:val="12"/>
          <w:lang w:val="uk-UA"/>
        </w:rPr>
        <w:sectPr w:rsidR="00E05B98" w:rsidRPr="003C6DAE" w:rsidSect="007C2B5C">
          <w:type w:val="continuous"/>
          <w:pgSz w:w="11910" w:h="16840"/>
          <w:pgMar w:top="1920" w:right="1275" w:bottom="280" w:left="850" w:header="0" w:footer="573" w:gutter="0"/>
          <w:cols w:num="6" w:space="720" w:equalWidth="0">
            <w:col w:w="1228" w:space="40"/>
            <w:col w:w="1284" w:space="31"/>
            <w:col w:w="463" w:space="39"/>
            <w:col w:w="1175" w:space="807"/>
            <w:col w:w="1802" w:space="777"/>
            <w:col w:w="2139"/>
          </w:cols>
        </w:sectPr>
      </w:pPr>
    </w:p>
    <w:p w14:paraId="73F47325" w14:textId="705186BB" w:rsidR="00E05B98" w:rsidRPr="00667DAB" w:rsidRDefault="00B01E0C">
      <w:pPr>
        <w:spacing w:before="103"/>
        <w:jc w:val="right"/>
        <w:rPr>
          <w:rFonts w:asciiTheme="minorHAnsi" w:hAnsiTheme="minorHAnsi" w:cstheme="minorHAnsi"/>
          <w:sz w:val="9"/>
          <w:lang w:val="uk-UA"/>
        </w:rPr>
      </w:pPr>
      <w:r w:rsidRPr="00667DAB">
        <w:rPr>
          <w:rFonts w:asciiTheme="minorHAnsi" w:hAnsiTheme="minorHAnsi" w:cstheme="minorHAnsi"/>
          <w:color w:val="4D4D4D"/>
          <w:w w:val="105"/>
          <w:sz w:val="9"/>
          <w:lang w:val="uk-UA"/>
        </w:rPr>
        <w:t>0.00</w:t>
      </w:r>
      <w:r w:rsidRPr="00667DAB">
        <w:rPr>
          <w:rFonts w:asciiTheme="minorHAnsi" w:hAnsiTheme="minorHAnsi" w:cstheme="minorHAnsi"/>
          <w:color w:val="4D4D4D"/>
          <w:spacing w:val="23"/>
          <w:w w:val="105"/>
          <w:sz w:val="9"/>
          <w:lang w:val="uk-UA"/>
        </w:rPr>
        <w:t xml:space="preserve"> </w:t>
      </w:r>
      <w:r w:rsidRPr="00667DAB">
        <w:rPr>
          <w:rFonts w:asciiTheme="minorHAnsi" w:hAnsiTheme="minorHAnsi" w:cstheme="minorHAnsi"/>
          <w:color w:val="4D4D4D"/>
          <w:w w:val="105"/>
          <w:sz w:val="9"/>
          <w:lang w:val="uk-UA"/>
        </w:rPr>
        <w:t>0.25</w:t>
      </w:r>
      <w:r w:rsidRPr="00667DAB">
        <w:rPr>
          <w:rFonts w:asciiTheme="minorHAnsi" w:hAnsiTheme="minorHAnsi" w:cstheme="minorHAnsi"/>
          <w:color w:val="4D4D4D"/>
          <w:spacing w:val="26"/>
          <w:w w:val="105"/>
          <w:sz w:val="9"/>
          <w:lang w:val="uk-UA"/>
        </w:rPr>
        <w:t xml:space="preserve"> </w:t>
      </w:r>
      <w:r w:rsidRPr="00667DAB">
        <w:rPr>
          <w:rFonts w:asciiTheme="minorHAnsi" w:hAnsiTheme="minorHAnsi" w:cstheme="minorHAnsi"/>
          <w:color w:val="4D4D4D"/>
          <w:w w:val="105"/>
          <w:sz w:val="9"/>
          <w:lang w:val="uk-UA"/>
        </w:rPr>
        <w:t>0.50</w:t>
      </w:r>
      <w:r w:rsidRPr="00667DAB">
        <w:rPr>
          <w:rFonts w:asciiTheme="minorHAnsi" w:hAnsiTheme="minorHAnsi" w:cstheme="minorHAnsi"/>
          <w:color w:val="4D4D4D"/>
          <w:spacing w:val="26"/>
          <w:w w:val="105"/>
          <w:sz w:val="9"/>
          <w:lang w:val="uk-UA"/>
        </w:rPr>
        <w:t xml:space="preserve"> </w:t>
      </w:r>
      <w:r w:rsidRPr="00667DAB">
        <w:rPr>
          <w:rFonts w:asciiTheme="minorHAnsi" w:hAnsiTheme="minorHAnsi" w:cstheme="minorHAnsi"/>
          <w:color w:val="4D4D4D"/>
          <w:w w:val="105"/>
          <w:sz w:val="9"/>
          <w:lang w:val="uk-UA"/>
        </w:rPr>
        <w:t>0.75</w:t>
      </w:r>
      <w:r w:rsidRPr="00667DAB">
        <w:rPr>
          <w:rFonts w:asciiTheme="minorHAnsi" w:hAnsiTheme="minorHAnsi" w:cstheme="minorHAnsi"/>
          <w:color w:val="4D4D4D"/>
          <w:spacing w:val="26"/>
          <w:w w:val="105"/>
          <w:sz w:val="9"/>
          <w:lang w:val="uk-UA"/>
        </w:rPr>
        <w:t xml:space="preserve"> </w:t>
      </w:r>
      <w:r w:rsidRPr="00667DAB">
        <w:rPr>
          <w:rFonts w:asciiTheme="minorHAnsi" w:hAnsiTheme="minorHAnsi" w:cstheme="minorHAnsi"/>
          <w:color w:val="4D4D4D"/>
          <w:spacing w:val="-4"/>
          <w:w w:val="105"/>
          <w:sz w:val="9"/>
          <w:lang w:val="uk-UA"/>
        </w:rPr>
        <w:t>1.00</w:t>
      </w:r>
    </w:p>
    <w:p w14:paraId="03F24F80" w14:textId="7387FEB2" w:rsidR="00E05B98" w:rsidRPr="00667DAB" w:rsidRDefault="00667DAB">
      <w:pPr>
        <w:spacing w:before="1"/>
        <w:ind w:right="247"/>
        <w:jc w:val="right"/>
        <w:rPr>
          <w:rFonts w:asciiTheme="minorHAnsi" w:hAnsiTheme="minorHAnsi" w:cstheme="minorHAnsi"/>
          <w:b/>
          <w:sz w:val="13"/>
          <w:lang w:val="uk-UA"/>
        </w:rPr>
      </w:pPr>
      <w:r w:rsidRPr="00667DAB">
        <w:rPr>
          <w:rFonts w:asciiTheme="minorHAnsi" w:hAnsiTheme="minorHAnsi" w:cstheme="minorHAnsi"/>
          <w:b/>
          <w:spacing w:val="-2"/>
          <w:sz w:val="13"/>
          <w:lang w:val="uk-UA"/>
        </w:rPr>
        <w:t>Чутливість</w:t>
      </w:r>
    </w:p>
    <w:p w14:paraId="01E09B20" w14:textId="77777777" w:rsidR="00E05B98" w:rsidRPr="00667DAB" w:rsidRDefault="00B01E0C">
      <w:pPr>
        <w:spacing w:before="103"/>
        <w:ind w:left="1467"/>
        <w:rPr>
          <w:rFonts w:asciiTheme="minorHAnsi" w:hAnsiTheme="minorHAnsi" w:cstheme="minorHAnsi"/>
          <w:sz w:val="9"/>
          <w:lang w:val="uk-UA"/>
        </w:rPr>
      </w:pPr>
      <w:r w:rsidRPr="00667DAB">
        <w:rPr>
          <w:rFonts w:asciiTheme="minorHAnsi" w:hAnsiTheme="minorHAnsi" w:cstheme="minorHAnsi"/>
          <w:lang w:val="uk-UA"/>
        </w:rPr>
        <w:br w:type="column"/>
      </w:r>
      <w:r w:rsidRPr="00667DAB">
        <w:rPr>
          <w:rFonts w:asciiTheme="minorHAnsi" w:hAnsiTheme="minorHAnsi" w:cstheme="minorHAnsi"/>
          <w:color w:val="4D4D4D"/>
          <w:w w:val="105"/>
          <w:sz w:val="9"/>
          <w:lang w:val="uk-UA"/>
        </w:rPr>
        <w:t>0.00</w:t>
      </w:r>
      <w:r w:rsidRPr="00667DAB">
        <w:rPr>
          <w:rFonts w:asciiTheme="minorHAnsi" w:hAnsiTheme="minorHAnsi" w:cstheme="minorHAnsi"/>
          <w:color w:val="4D4D4D"/>
          <w:spacing w:val="9"/>
          <w:w w:val="105"/>
          <w:sz w:val="9"/>
          <w:lang w:val="uk-UA"/>
        </w:rPr>
        <w:t xml:space="preserve"> </w:t>
      </w:r>
      <w:r w:rsidRPr="00667DAB">
        <w:rPr>
          <w:rFonts w:asciiTheme="minorHAnsi" w:hAnsiTheme="minorHAnsi" w:cstheme="minorHAnsi"/>
          <w:color w:val="4D4D4D"/>
          <w:w w:val="105"/>
          <w:sz w:val="9"/>
          <w:lang w:val="uk-UA"/>
        </w:rPr>
        <w:t>0.25</w:t>
      </w:r>
      <w:r w:rsidRPr="00667DAB">
        <w:rPr>
          <w:rFonts w:asciiTheme="minorHAnsi" w:hAnsiTheme="minorHAnsi" w:cstheme="minorHAnsi"/>
          <w:color w:val="4D4D4D"/>
          <w:spacing w:val="12"/>
          <w:w w:val="105"/>
          <w:sz w:val="9"/>
          <w:lang w:val="uk-UA"/>
        </w:rPr>
        <w:t xml:space="preserve"> </w:t>
      </w:r>
      <w:r w:rsidRPr="00667DAB">
        <w:rPr>
          <w:rFonts w:asciiTheme="minorHAnsi" w:hAnsiTheme="minorHAnsi" w:cstheme="minorHAnsi"/>
          <w:color w:val="4D4D4D"/>
          <w:w w:val="105"/>
          <w:sz w:val="9"/>
          <w:lang w:val="uk-UA"/>
        </w:rPr>
        <w:t>0.50</w:t>
      </w:r>
      <w:r w:rsidRPr="00667DAB">
        <w:rPr>
          <w:rFonts w:asciiTheme="minorHAnsi" w:hAnsiTheme="minorHAnsi" w:cstheme="minorHAnsi"/>
          <w:color w:val="4D4D4D"/>
          <w:spacing w:val="12"/>
          <w:w w:val="105"/>
          <w:sz w:val="9"/>
          <w:lang w:val="uk-UA"/>
        </w:rPr>
        <w:t xml:space="preserve"> </w:t>
      </w:r>
      <w:r w:rsidRPr="00667DAB">
        <w:rPr>
          <w:rFonts w:asciiTheme="minorHAnsi" w:hAnsiTheme="minorHAnsi" w:cstheme="minorHAnsi"/>
          <w:color w:val="4D4D4D"/>
          <w:w w:val="105"/>
          <w:sz w:val="9"/>
          <w:lang w:val="uk-UA"/>
        </w:rPr>
        <w:t>0.75</w:t>
      </w:r>
      <w:r w:rsidRPr="00667DAB">
        <w:rPr>
          <w:rFonts w:asciiTheme="minorHAnsi" w:hAnsiTheme="minorHAnsi" w:cstheme="minorHAnsi"/>
          <w:color w:val="4D4D4D"/>
          <w:spacing w:val="12"/>
          <w:w w:val="105"/>
          <w:sz w:val="9"/>
          <w:lang w:val="uk-UA"/>
        </w:rPr>
        <w:t xml:space="preserve"> </w:t>
      </w:r>
      <w:r w:rsidRPr="00667DAB">
        <w:rPr>
          <w:rFonts w:asciiTheme="minorHAnsi" w:hAnsiTheme="minorHAnsi" w:cstheme="minorHAnsi"/>
          <w:color w:val="4D4D4D"/>
          <w:spacing w:val="-4"/>
          <w:w w:val="105"/>
          <w:sz w:val="9"/>
          <w:lang w:val="uk-UA"/>
        </w:rPr>
        <w:t>1.00</w:t>
      </w:r>
    </w:p>
    <w:p w14:paraId="20ABC1E4" w14:textId="5309BA0A" w:rsidR="00E05B98" w:rsidRPr="003C6DAE" w:rsidRDefault="00667DAB">
      <w:pPr>
        <w:spacing w:before="1"/>
        <w:ind w:right="60"/>
        <w:jc w:val="center"/>
        <w:rPr>
          <w:rFonts w:ascii="Arial"/>
          <w:b/>
          <w:sz w:val="13"/>
          <w:lang w:val="uk-UA"/>
        </w:rPr>
      </w:pPr>
      <w:r>
        <w:rPr>
          <w:rFonts w:asciiTheme="minorHAnsi" w:hAnsiTheme="minorHAnsi" w:cstheme="minorHAnsi"/>
          <w:b/>
          <w:spacing w:val="-2"/>
          <w:sz w:val="13"/>
          <w:lang w:val="uk-UA"/>
        </w:rPr>
        <w:t xml:space="preserve">Специфічність </w:t>
      </w:r>
    </w:p>
    <w:p w14:paraId="783A0232" w14:textId="77777777" w:rsidR="00E05B98" w:rsidRPr="003C6DAE" w:rsidRDefault="00E05B98">
      <w:pPr>
        <w:jc w:val="center"/>
        <w:rPr>
          <w:rFonts w:ascii="Arial"/>
          <w:b/>
          <w:sz w:val="13"/>
          <w:lang w:val="uk-UA"/>
        </w:rPr>
        <w:sectPr w:rsidR="00E05B98" w:rsidRPr="003C6DAE">
          <w:type w:val="continuous"/>
          <w:pgSz w:w="11910" w:h="16840"/>
          <w:pgMar w:top="1920" w:right="1275" w:bottom="280" w:left="850" w:header="0" w:footer="573" w:gutter="0"/>
          <w:cols w:num="2" w:space="720" w:equalWidth="0">
            <w:col w:w="5651" w:space="40"/>
            <w:col w:w="4094"/>
          </w:cols>
        </w:sectPr>
      </w:pPr>
    </w:p>
    <w:p w14:paraId="64733C1C" w14:textId="77777777" w:rsidR="00E05B98" w:rsidRPr="003C6DAE" w:rsidRDefault="00E05B98">
      <w:pPr>
        <w:pStyle w:val="a3"/>
        <w:spacing w:before="95"/>
        <w:rPr>
          <w:rFonts w:ascii="Arial"/>
          <w:b/>
          <w:sz w:val="18"/>
          <w:lang w:val="uk-UA"/>
        </w:rPr>
      </w:pPr>
    </w:p>
    <w:p w14:paraId="33D5F96E" w14:textId="2232B3C9" w:rsidR="00E05B98" w:rsidRPr="00885BE7" w:rsidRDefault="00B01E0C" w:rsidP="00885BE7">
      <w:pPr>
        <w:spacing w:line="254" w:lineRule="auto"/>
        <w:ind w:left="567" w:right="142"/>
        <w:jc w:val="both"/>
        <w:rPr>
          <w:sz w:val="16"/>
          <w:szCs w:val="16"/>
          <w:lang w:val="uk-UA"/>
        </w:rPr>
      </w:pPr>
      <w:r w:rsidRPr="00885BE7">
        <w:rPr>
          <w:sz w:val="16"/>
          <w:szCs w:val="16"/>
          <w:lang w:val="uk-UA"/>
        </w:rPr>
        <w:t xml:space="preserve">CrI: </w:t>
      </w:r>
      <w:r w:rsidR="00667DAB">
        <w:rPr>
          <w:sz w:val="16"/>
          <w:szCs w:val="16"/>
          <w:lang w:val="uk-UA"/>
        </w:rPr>
        <w:t>інтервал достовірності</w:t>
      </w:r>
      <w:r w:rsidRPr="00885BE7">
        <w:rPr>
          <w:sz w:val="16"/>
          <w:szCs w:val="16"/>
          <w:lang w:val="uk-UA"/>
        </w:rPr>
        <w:t xml:space="preserve">; CRS: </w:t>
      </w:r>
      <w:r w:rsidR="00AD0460" w:rsidRPr="00AD0460">
        <w:rPr>
          <w:sz w:val="16"/>
          <w:szCs w:val="16"/>
          <w:lang w:val="uk-UA"/>
        </w:rPr>
        <w:t>комбінований еталонний стандарт; аТАНК-НС: автоматизований тест ампліфікаці</w:t>
      </w:r>
      <w:r w:rsidR="004972CB">
        <w:rPr>
          <w:sz w:val="16"/>
          <w:szCs w:val="16"/>
          <w:lang w:val="uk-UA"/>
        </w:rPr>
        <w:t>ї</w:t>
      </w:r>
      <w:r w:rsidR="00AD0460" w:rsidRPr="00AD0460">
        <w:rPr>
          <w:sz w:val="16"/>
          <w:szCs w:val="16"/>
          <w:lang w:val="uk-UA"/>
        </w:rPr>
        <w:t xml:space="preserve"> нуклеїнових кислот низької складності; MRS: мікробіологічний еталонний стандарт; T</w:t>
      </w:r>
      <w:r w:rsidR="004972CB">
        <w:rPr>
          <w:sz w:val="16"/>
          <w:szCs w:val="16"/>
          <w:lang w:val="uk-UA"/>
        </w:rPr>
        <w:t>Б</w:t>
      </w:r>
      <w:r w:rsidR="00AD0460" w:rsidRPr="00AD0460">
        <w:rPr>
          <w:sz w:val="16"/>
          <w:szCs w:val="16"/>
          <w:lang w:val="uk-UA"/>
        </w:rPr>
        <w:t>: туберкульоз.</w:t>
      </w:r>
    </w:p>
    <w:p w14:paraId="32CEC315" w14:textId="4A61B3F5" w:rsidR="00E05B98" w:rsidRPr="003C6DAE" w:rsidRDefault="00AD0460" w:rsidP="00885BE7">
      <w:pPr>
        <w:spacing w:before="57" w:line="254" w:lineRule="auto"/>
        <w:ind w:left="567" w:right="142"/>
        <w:jc w:val="both"/>
        <w:rPr>
          <w:sz w:val="18"/>
          <w:lang w:val="uk-UA"/>
        </w:rPr>
      </w:pPr>
      <w:r>
        <w:rPr>
          <w:sz w:val="16"/>
          <w:szCs w:val="16"/>
          <w:lang w:val="uk-UA"/>
        </w:rPr>
        <w:t>У вигляді р</w:t>
      </w:r>
      <w:r w:rsidRPr="00AD0460">
        <w:rPr>
          <w:sz w:val="16"/>
          <w:szCs w:val="16"/>
          <w:lang w:val="uk-UA"/>
        </w:rPr>
        <w:t>омб</w:t>
      </w:r>
      <w:r>
        <w:rPr>
          <w:sz w:val="16"/>
          <w:szCs w:val="16"/>
          <w:lang w:val="uk-UA"/>
        </w:rPr>
        <w:t>ів</w:t>
      </w:r>
      <w:r w:rsidRPr="00AD0460">
        <w:rPr>
          <w:sz w:val="16"/>
          <w:szCs w:val="16"/>
          <w:lang w:val="uk-UA"/>
        </w:rPr>
        <w:t xml:space="preserve"> представлено об'єднану чутливість і специфічність, а чорною горизонтальною лінією - 95%-вий інтервал достовірності. Різниця в точності між індексними тестами позначена суцільними лініями (одночасний аналіз на противагу аналізу зразка калу) або пунктирними лініями (одночасний аналіз на противагу аналізу зраз</w:t>
      </w:r>
      <w:r w:rsidR="004972CB">
        <w:rPr>
          <w:sz w:val="16"/>
          <w:szCs w:val="16"/>
          <w:lang w:val="uk-UA"/>
        </w:rPr>
        <w:t>к</w:t>
      </w:r>
      <w:r w:rsidRPr="00AD0460">
        <w:rPr>
          <w:sz w:val="16"/>
          <w:szCs w:val="16"/>
          <w:lang w:val="uk-UA"/>
        </w:rPr>
        <w:t xml:space="preserve">ів </w:t>
      </w:r>
      <w:r w:rsidR="004972CB">
        <w:rPr>
          <w:sz w:val="16"/>
          <w:szCs w:val="16"/>
          <w:lang w:val="uk-UA"/>
        </w:rPr>
        <w:t>і</w:t>
      </w:r>
      <w:r w:rsidRPr="00AD0460">
        <w:rPr>
          <w:sz w:val="16"/>
          <w:szCs w:val="16"/>
          <w:lang w:val="uk-UA"/>
        </w:rPr>
        <w:t>з дихальних шляхів), які з'єднують ромби.</w:t>
      </w:r>
    </w:p>
    <w:p w14:paraId="411ED977" w14:textId="77777777" w:rsidR="00E05B98" w:rsidRPr="003C6DAE" w:rsidRDefault="00E05B98">
      <w:pPr>
        <w:pStyle w:val="a3"/>
        <w:spacing w:before="149"/>
        <w:rPr>
          <w:sz w:val="18"/>
          <w:lang w:val="uk-UA"/>
        </w:rPr>
      </w:pPr>
    </w:p>
    <w:p w14:paraId="57898617" w14:textId="550B393B" w:rsidR="00E05B98" w:rsidRPr="003C6DAE" w:rsidRDefault="00AD0460" w:rsidP="00885BE7">
      <w:pPr>
        <w:pStyle w:val="7"/>
        <w:jc w:val="both"/>
        <w:rPr>
          <w:lang w:val="uk-UA"/>
        </w:rPr>
      </w:pPr>
      <w:r>
        <w:rPr>
          <w:color w:val="019648"/>
          <w:lang w:val="uk-UA"/>
        </w:rPr>
        <w:t>Дослідження</w:t>
      </w:r>
      <w:r w:rsidRPr="00AD0460">
        <w:rPr>
          <w:color w:val="019648"/>
          <w:lang w:val="uk-UA"/>
        </w:rPr>
        <w:t xml:space="preserve"> одного зразка у дітей на противагу тесту за допомогою мікробіологічного еталонного стандарту (MRS)</w:t>
      </w:r>
    </w:p>
    <w:p w14:paraId="51EA14B8" w14:textId="3C69919F" w:rsidR="00E05B98" w:rsidRPr="003C6DAE" w:rsidRDefault="00AD0460" w:rsidP="00885BE7">
      <w:pPr>
        <w:spacing w:before="239" w:line="249" w:lineRule="auto"/>
        <w:ind w:left="567"/>
        <w:jc w:val="both"/>
        <w:rPr>
          <w:rFonts w:ascii="Arial"/>
          <w:i/>
          <w:sz w:val="24"/>
          <w:lang w:val="uk-UA"/>
        </w:rPr>
      </w:pPr>
      <w:r w:rsidRPr="00AD0460">
        <w:rPr>
          <w:rFonts w:ascii="Arial"/>
          <w:i/>
          <w:color w:val="019648"/>
          <w:sz w:val="24"/>
          <w:lang w:val="uk-UA"/>
        </w:rPr>
        <w:t>Чи</w:t>
      </w:r>
      <w:r w:rsidRPr="00AD0460">
        <w:rPr>
          <w:rFonts w:ascii="Arial"/>
          <w:i/>
          <w:color w:val="019648"/>
          <w:sz w:val="24"/>
          <w:lang w:val="uk-UA"/>
        </w:rPr>
        <w:t xml:space="preserve"> </w:t>
      </w:r>
      <w:r w:rsidRPr="00AD0460">
        <w:rPr>
          <w:rFonts w:ascii="Arial"/>
          <w:i/>
          <w:color w:val="019648"/>
          <w:sz w:val="24"/>
          <w:lang w:val="uk-UA"/>
        </w:rPr>
        <w:t>слід</w:t>
      </w:r>
      <w:r w:rsidRPr="00AD0460">
        <w:rPr>
          <w:rFonts w:ascii="Arial"/>
          <w:i/>
          <w:color w:val="019648"/>
          <w:sz w:val="24"/>
          <w:lang w:val="uk-UA"/>
        </w:rPr>
        <w:t xml:space="preserve"> </w:t>
      </w:r>
      <w:r w:rsidRPr="00AD0460">
        <w:rPr>
          <w:rFonts w:ascii="Arial"/>
          <w:i/>
          <w:color w:val="019648"/>
          <w:sz w:val="24"/>
          <w:lang w:val="uk-UA"/>
        </w:rPr>
        <w:t>використовувати</w:t>
      </w:r>
      <w:r w:rsidRPr="00AD0460">
        <w:rPr>
          <w:rFonts w:ascii="Arial"/>
          <w:i/>
          <w:color w:val="019648"/>
          <w:sz w:val="24"/>
          <w:lang w:val="uk-UA"/>
        </w:rPr>
        <w:t xml:space="preserve"> </w:t>
      </w:r>
      <w:r w:rsidRPr="00AD0460">
        <w:rPr>
          <w:rFonts w:ascii="Arial"/>
          <w:i/>
          <w:color w:val="019648"/>
          <w:sz w:val="24"/>
          <w:lang w:val="uk-UA"/>
        </w:rPr>
        <w:t>аТАНК</w:t>
      </w:r>
      <w:r w:rsidRPr="00AD0460">
        <w:rPr>
          <w:rFonts w:ascii="Arial"/>
          <w:i/>
          <w:color w:val="019648"/>
          <w:sz w:val="24"/>
          <w:lang w:val="uk-UA"/>
        </w:rPr>
        <w:t>-</w:t>
      </w:r>
      <w:r w:rsidRPr="00AD0460">
        <w:rPr>
          <w:rFonts w:ascii="Arial"/>
          <w:i/>
          <w:color w:val="019648"/>
          <w:sz w:val="24"/>
          <w:lang w:val="uk-UA"/>
        </w:rPr>
        <w:t>НС</w:t>
      </w:r>
      <w:r w:rsidRPr="00AD0460">
        <w:rPr>
          <w:rFonts w:ascii="Arial"/>
          <w:i/>
          <w:color w:val="019648"/>
          <w:sz w:val="24"/>
          <w:lang w:val="uk-UA"/>
        </w:rPr>
        <w:t xml:space="preserve"> </w:t>
      </w:r>
      <w:r w:rsidRPr="00AD0460">
        <w:rPr>
          <w:rFonts w:ascii="Arial"/>
          <w:i/>
          <w:color w:val="019648"/>
          <w:sz w:val="24"/>
          <w:lang w:val="uk-UA"/>
        </w:rPr>
        <w:t>на</w:t>
      </w:r>
      <w:r w:rsidRPr="00AD0460">
        <w:rPr>
          <w:rFonts w:ascii="Arial"/>
          <w:i/>
          <w:color w:val="019648"/>
          <w:sz w:val="24"/>
          <w:lang w:val="uk-UA"/>
        </w:rPr>
        <w:t xml:space="preserve"> </w:t>
      </w:r>
      <w:r w:rsidRPr="00AD0460">
        <w:rPr>
          <w:rFonts w:ascii="Arial"/>
          <w:i/>
          <w:color w:val="019648"/>
          <w:sz w:val="24"/>
          <w:lang w:val="uk-UA"/>
        </w:rPr>
        <w:t>зразках</w:t>
      </w:r>
      <w:r w:rsidRPr="00AD0460">
        <w:rPr>
          <w:rFonts w:ascii="Arial"/>
          <w:i/>
          <w:color w:val="019648"/>
          <w:sz w:val="24"/>
          <w:lang w:val="uk-UA"/>
        </w:rPr>
        <w:t xml:space="preserve"> </w:t>
      </w:r>
      <w:r w:rsidRPr="00AD0460">
        <w:rPr>
          <w:rFonts w:ascii="Arial"/>
          <w:i/>
          <w:color w:val="019648"/>
          <w:sz w:val="24"/>
          <w:lang w:val="uk-UA"/>
        </w:rPr>
        <w:t>із</w:t>
      </w:r>
      <w:r w:rsidRPr="00AD0460">
        <w:rPr>
          <w:rFonts w:ascii="Arial"/>
          <w:i/>
          <w:color w:val="019648"/>
          <w:sz w:val="24"/>
          <w:lang w:val="uk-UA"/>
        </w:rPr>
        <w:t xml:space="preserve"> </w:t>
      </w:r>
      <w:r w:rsidRPr="00AD0460">
        <w:rPr>
          <w:rFonts w:ascii="Arial"/>
          <w:i/>
          <w:color w:val="019648"/>
          <w:sz w:val="24"/>
          <w:lang w:val="uk-UA"/>
        </w:rPr>
        <w:t>дихальних</w:t>
      </w:r>
      <w:r w:rsidRPr="00AD0460">
        <w:rPr>
          <w:rFonts w:ascii="Arial"/>
          <w:i/>
          <w:color w:val="019648"/>
          <w:sz w:val="24"/>
          <w:lang w:val="uk-UA"/>
        </w:rPr>
        <w:t xml:space="preserve"> </w:t>
      </w:r>
      <w:r w:rsidRPr="00AD0460">
        <w:rPr>
          <w:rFonts w:ascii="Arial"/>
          <w:i/>
          <w:color w:val="019648"/>
          <w:sz w:val="24"/>
          <w:lang w:val="uk-UA"/>
        </w:rPr>
        <w:t>шляхів</w:t>
      </w:r>
      <w:r w:rsidRPr="00AD0460">
        <w:rPr>
          <w:rFonts w:ascii="Arial"/>
          <w:i/>
          <w:color w:val="019648"/>
          <w:sz w:val="24"/>
          <w:lang w:val="uk-UA"/>
        </w:rPr>
        <w:t xml:space="preserve"> </w:t>
      </w:r>
      <w:r w:rsidRPr="00AD0460">
        <w:rPr>
          <w:rFonts w:ascii="Arial"/>
          <w:i/>
          <w:color w:val="019648"/>
          <w:sz w:val="24"/>
          <w:lang w:val="uk-UA"/>
        </w:rPr>
        <w:t>для</w:t>
      </w:r>
      <w:r w:rsidRPr="00AD0460">
        <w:rPr>
          <w:rFonts w:ascii="Arial"/>
          <w:i/>
          <w:color w:val="019648"/>
          <w:sz w:val="24"/>
          <w:lang w:val="uk-UA"/>
        </w:rPr>
        <w:t xml:space="preserve"> </w:t>
      </w:r>
      <w:r w:rsidRPr="00AD0460">
        <w:rPr>
          <w:rFonts w:ascii="Arial"/>
          <w:i/>
          <w:color w:val="019648"/>
          <w:sz w:val="24"/>
          <w:lang w:val="uk-UA"/>
        </w:rPr>
        <w:t>діагностики</w:t>
      </w:r>
      <w:r w:rsidRPr="00AD0460">
        <w:rPr>
          <w:rFonts w:ascii="Arial"/>
          <w:i/>
          <w:color w:val="019648"/>
          <w:sz w:val="24"/>
          <w:lang w:val="uk-UA"/>
        </w:rPr>
        <w:t xml:space="preserve"> </w:t>
      </w:r>
      <w:r w:rsidRPr="00AD0460">
        <w:rPr>
          <w:rFonts w:ascii="Arial"/>
          <w:i/>
          <w:color w:val="019648"/>
          <w:sz w:val="24"/>
          <w:lang w:val="uk-UA"/>
        </w:rPr>
        <w:t>ТБ</w:t>
      </w:r>
      <w:r w:rsidRPr="00AD0460">
        <w:rPr>
          <w:rFonts w:ascii="Arial"/>
          <w:i/>
          <w:color w:val="019648"/>
          <w:sz w:val="24"/>
          <w:lang w:val="uk-UA"/>
        </w:rPr>
        <w:t xml:space="preserve"> </w:t>
      </w:r>
      <w:r w:rsidRPr="00AD0460">
        <w:rPr>
          <w:rFonts w:ascii="Arial"/>
          <w:i/>
          <w:color w:val="019648"/>
          <w:sz w:val="24"/>
          <w:lang w:val="uk-UA"/>
        </w:rPr>
        <w:t>легень</w:t>
      </w:r>
      <w:r w:rsidRPr="00AD0460">
        <w:rPr>
          <w:rFonts w:ascii="Arial"/>
          <w:i/>
          <w:color w:val="019648"/>
          <w:sz w:val="24"/>
          <w:lang w:val="uk-UA"/>
        </w:rPr>
        <w:t xml:space="preserve"> </w:t>
      </w:r>
      <w:r w:rsidRPr="00AD0460">
        <w:rPr>
          <w:rFonts w:ascii="Arial"/>
          <w:i/>
          <w:color w:val="019648"/>
          <w:sz w:val="24"/>
          <w:lang w:val="uk-UA"/>
        </w:rPr>
        <w:t>у</w:t>
      </w:r>
      <w:r w:rsidRPr="00AD0460">
        <w:rPr>
          <w:rFonts w:ascii="Arial"/>
          <w:i/>
          <w:color w:val="019648"/>
          <w:sz w:val="24"/>
          <w:lang w:val="uk-UA"/>
        </w:rPr>
        <w:t xml:space="preserve"> </w:t>
      </w:r>
      <w:r w:rsidRPr="00AD0460">
        <w:rPr>
          <w:rFonts w:ascii="Arial"/>
          <w:i/>
          <w:color w:val="019648"/>
          <w:sz w:val="24"/>
          <w:lang w:val="uk-UA"/>
        </w:rPr>
        <w:t>дітей</w:t>
      </w:r>
      <w:r w:rsidRPr="00AD0460">
        <w:rPr>
          <w:rFonts w:ascii="Arial"/>
          <w:i/>
          <w:color w:val="019648"/>
          <w:sz w:val="24"/>
          <w:lang w:val="uk-UA"/>
        </w:rPr>
        <w:t xml:space="preserve"> </w:t>
      </w:r>
      <w:r w:rsidRPr="00AD0460">
        <w:rPr>
          <w:rFonts w:ascii="Arial"/>
          <w:i/>
          <w:color w:val="019648"/>
          <w:sz w:val="24"/>
          <w:lang w:val="uk-UA"/>
        </w:rPr>
        <w:t>з</w:t>
      </w:r>
      <w:r w:rsidRPr="00AD0460">
        <w:rPr>
          <w:rFonts w:ascii="Arial"/>
          <w:i/>
          <w:color w:val="019648"/>
          <w:sz w:val="24"/>
          <w:lang w:val="uk-UA"/>
        </w:rPr>
        <w:t xml:space="preserve"> </w:t>
      </w:r>
      <w:r w:rsidRPr="00AD0460">
        <w:rPr>
          <w:rFonts w:ascii="Arial"/>
          <w:i/>
          <w:color w:val="019648"/>
          <w:sz w:val="24"/>
          <w:lang w:val="uk-UA"/>
        </w:rPr>
        <w:t>ознаками</w:t>
      </w:r>
      <w:r w:rsidRPr="00AD0460">
        <w:rPr>
          <w:rFonts w:ascii="Arial"/>
          <w:i/>
          <w:color w:val="019648"/>
          <w:sz w:val="24"/>
          <w:lang w:val="uk-UA"/>
        </w:rPr>
        <w:t xml:space="preserve"> </w:t>
      </w:r>
      <w:r w:rsidRPr="00AD0460">
        <w:rPr>
          <w:rFonts w:ascii="Arial"/>
          <w:i/>
          <w:color w:val="019648"/>
          <w:sz w:val="24"/>
          <w:lang w:val="uk-UA"/>
        </w:rPr>
        <w:t>та</w:t>
      </w:r>
      <w:r w:rsidRPr="00AD0460">
        <w:rPr>
          <w:rFonts w:ascii="Arial"/>
          <w:i/>
          <w:color w:val="019648"/>
          <w:sz w:val="24"/>
          <w:lang w:val="uk-UA"/>
        </w:rPr>
        <w:t xml:space="preserve"> </w:t>
      </w:r>
      <w:r w:rsidRPr="00AD0460">
        <w:rPr>
          <w:rFonts w:ascii="Arial"/>
          <w:i/>
          <w:color w:val="019648"/>
          <w:sz w:val="24"/>
          <w:lang w:val="uk-UA"/>
        </w:rPr>
        <w:t>симптомами</w:t>
      </w:r>
      <w:r w:rsidRPr="00AD0460">
        <w:rPr>
          <w:rFonts w:ascii="Arial"/>
          <w:i/>
          <w:color w:val="019648"/>
          <w:sz w:val="24"/>
          <w:lang w:val="uk-UA"/>
        </w:rPr>
        <w:t xml:space="preserve"> </w:t>
      </w:r>
      <w:r w:rsidRPr="00AD0460">
        <w:rPr>
          <w:rFonts w:ascii="Arial"/>
          <w:i/>
          <w:color w:val="019648"/>
          <w:sz w:val="24"/>
          <w:lang w:val="uk-UA"/>
        </w:rPr>
        <w:t>ТБ</w:t>
      </w:r>
      <w:r w:rsidRPr="00AD0460">
        <w:rPr>
          <w:rFonts w:ascii="Arial"/>
          <w:i/>
          <w:color w:val="019648"/>
          <w:sz w:val="24"/>
          <w:lang w:val="uk-UA"/>
        </w:rPr>
        <w:t xml:space="preserve">, </w:t>
      </w:r>
      <w:r w:rsidRPr="00AD0460">
        <w:rPr>
          <w:rFonts w:ascii="Arial"/>
          <w:i/>
          <w:color w:val="019648"/>
          <w:sz w:val="24"/>
          <w:lang w:val="uk-UA"/>
        </w:rPr>
        <w:t>або</w:t>
      </w:r>
      <w:r w:rsidRPr="00AD0460">
        <w:rPr>
          <w:rFonts w:ascii="Arial"/>
          <w:i/>
          <w:color w:val="019648"/>
          <w:sz w:val="24"/>
          <w:lang w:val="uk-UA"/>
        </w:rPr>
        <w:t xml:space="preserve"> </w:t>
      </w:r>
      <w:r w:rsidRPr="00AD0460">
        <w:rPr>
          <w:rFonts w:ascii="Arial"/>
          <w:i/>
          <w:color w:val="019648"/>
          <w:sz w:val="24"/>
          <w:lang w:val="uk-UA"/>
        </w:rPr>
        <w:t>у</w:t>
      </w:r>
      <w:r w:rsidRPr="00AD0460">
        <w:rPr>
          <w:rFonts w:ascii="Arial"/>
          <w:i/>
          <w:color w:val="019648"/>
          <w:sz w:val="24"/>
          <w:lang w:val="uk-UA"/>
        </w:rPr>
        <w:t xml:space="preserve"> </w:t>
      </w:r>
      <w:r w:rsidRPr="00AD0460">
        <w:rPr>
          <w:rFonts w:ascii="Arial"/>
          <w:i/>
          <w:color w:val="019648"/>
          <w:sz w:val="24"/>
          <w:lang w:val="uk-UA"/>
        </w:rPr>
        <w:t>яких</w:t>
      </w:r>
      <w:r w:rsidRPr="00AD0460">
        <w:rPr>
          <w:rFonts w:ascii="Arial"/>
          <w:i/>
          <w:color w:val="019648"/>
          <w:sz w:val="24"/>
          <w:lang w:val="uk-UA"/>
        </w:rPr>
        <w:t xml:space="preserve"> </w:t>
      </w:r>
      <w:r w:rsidRPr="00AD0460">
        <w:rPr>
          <w:rFonts w:ascii="Arial"/>
          <w:i/>
          <w:color w:val="019648"/>
          <w:sz w:val="24"/>
          <w:lang w:val="uk-UA"/>
        </w:rPr>
        <w:t>скринінг</w:t>
      </w:r>
      <w:r w:rsidRPr="00AD0460">
        <w:rPr>
          <w:rFonts w:ascii="Arial"/>
          <w:i/>
          <w:color w:val="019648"/>
          <w:sz w:val="24"/>
          <w:lang w:val="uk-UA"/>
        </w:rPr>
        <w:t xml:space="preserve"> </w:t>
      </w:r>
      <w:r w:rsidRPr="00AD0460">
        <w:rPr>
          <w:rFonts w:ascii="Arial"/>
          <w:i/>
          <w:color w:val="019648"/>
          <w:sz w:val="24"/>
          <w:lang w:val="uk-UA"/>
        </w:rPr>
        <w:t>на</w:t>
      </w:r>
      <w:r w:rsidRPr="00AD0460">
        <w:rPr>
          <w:rFonts w:ascii="Arial"/>
          <w:i/>
          <w:color w:val="019648"/>
          <w:sz w:val="24"/>
          <w:lang w:val="uk-UA"/>
        </w:rPr>
        <w:t xml:space="preserve"> </w:t>
      </w:r>
      <w:r w:rsidRPr="00AD0460">
        <w:rPr>
          <w:rFonts w:ascii="Arial"/>
          <w:i/>
          <w:color w:val="019648"/>
          <w:sz w:val="24"/>
          <w:lang w:val="uk-UA"/>
        </w:rPr>
        <w:t>легеневий</w:t>
      </w:r>
      <w:r w:rsidRPr="00AD0460">
        <w:rPr>
          <w:rFonts w:ascii="Arial"/>
          <w:i/>
          <w:color w:val="019648"/>
          <w:sz w:val="24"/>
          <w:lang w:val="uk-UA"/>
        </w:rPr>
        <w:t xml:space="preserve"> </w:t>
      </w:r>
      <w:r w:rsidRPr="00AD0460">
        <w:rPr>
          <w:rFonts w:ascii="Arial"/>
          <w:i/>
          <w:color w:val="019648"/>
          <w:sz w:val="24"/>
          <w:lang w:val="uk-UA"/>
        </w:rPr>
        <w:t>ТБ</w:t>
      </w:r>
      <w:r w:rsidRPr="00AD0460">
        <w:rPr>
          <w:rFonts w:ascii="Arial"/>
          <w:i/>
          <w:color w:val="019648"/>
          <w:sz w:val="24"/>
          <w:lang w:val="uk-UA"/>
        </w:rPr>
        <w:t xml:space="preserve"> </w:t>
      </w:r>
      <w:r w:rsidRPr="00AD0460">
        <w:rPr>
          <w:rFonts w:ascii="Arial"/>
          <w:i/>
          <w:color w:val="019648"/>
          <w:sz w:val="24"/>
          <w:lang w:val="uk-UA"/>
        </w:rPr>
        <w:t>був</w:t>
      </w:r>
      <w:r w:rsidRPr="00AD0460">
        <w:rPr>
          <w:rFonts w:ascii="Arial"/>
          <w:i/>
          <w:color w:val="019648"/>
          <w:sz w:val="24"/>
          <w:lang w:val="uk-UA"/>
        </w:rPr>
        <w:t xml:space="preserve"> </w:t>
      </w:r>
      <w:r w:rsidRPr="00AD0460">
        <w:rPr>
          <w:rFonts w:ascii="Arial"/>
          <w:i/>
          <w:color w:val="019648"/>
          <w:sz w:val="24"/>
          <w:lang w:val="uk-UA"/>
        </w:rPr>
        <w:t>позитивним</w:t>
      </w:r>
      <w:r w:rsidRPr="00AD0460">
        <w:rPr>
          <w:rFonts w:ascii="Arial"/>
          <w:i/>
          <w:color w:val="019648"/>
          <w:sz w:val="24"/>
          <w:lang w:val="uk-UA"/>
        </w:rPr>
        <w:t xml:space="preserve">, </w:t>
      </w:r>
      <w:r w:rsidRPr="00AD0460">
        <w:rPr>
          <w:rFonts w:ascii="Arial"/>
          <w:i/>
          <w:color w:val="019648"/>
          <w:sz w:val="24"/>
          <w:lang w:val="uk-UA"/>
        </w:rPr>
        <w:t>на</w:t>
      </w:r>
      <w:r w:rsidRPr="00AD0460">
        <w:rPr>
          <w:rFonts w:ascii="Arial"/>
          <w:i/>
          <w:color w:val="019648"/>
          <w:sz w:val="24"/>
          <w:lang w:val="uk-UA"/>
        </w:rPr>
        <w:t xml:space="preserve"> </w:t>
      </w:r>
      <w:r w:rsidRPr="00AD0460">
        <w:rPr>
          <w:rFonts w:ascii="Arial"/>
          <w:i/>
          <w:color w:val="019648"/>
          <w:sz w:val="24"/>
          <w:lang w:val="uk-UA"/>
        </w:rPr>
        <w:t>противагу</w:t>
      </w:r>
      <w:r w:rsidRPr="00AD0460">
        <w:rPr>
          <w:rFonts w:ascii="Arial"/>
          <w:i/>
          <w:color w:val="019648"/>
          <w:sz w:val="24"/>
          <w:lang w:val="uk-UA"/>
        </w:rPr>
        <w:t xml:space="preserve"> </w:t>
      </w:r>
      <w:r w:rsidRPr="00AD0460">
        <w:rPr>
          <w:rFonts w:ascii="Arial"/>
          <w:i/>
          <w:color w:val="019648"/>
          <w:sz w:val="24"/>
          <w:lang w:val="uk-UA"/>
        </w:rPr>
        <w:t>мікробіологічному</w:t>
      </w:r>
      <w:r w:rsidRPr="00AD0460">
        <w:rPr>
          <w:rFonts w:ascii="Arial"/>
          <w:i/>
          <w:color w:val="019648"/>
          <w:sz w:val="24"/>
          <w:lang w:val="uk-UA"/>
        </w:rPr>
        <w:t xml:space="preserve"> </w:t>
      </w:r>
      <w:r w:rsidRPr="00AD0460">
        <w:rPr>
          <w:rFonts w:ascii="Arial"/>
          <w:i/>
          <w:color w:val="019648"/>
          <w:sz w:val="24"/>
          <w:lang w:val="uk-UA"/>
        </w:rPr>
        <w:t>еталонному</w:t>
      </w:r>
      <w:r w:rsidRPr="00AD0460">
        <w:rPr>
          <w:rFonts w:ascii="Arial"/>
          <w:i/>
          <w:color w:val="019648"/>
          <w:sz w:val="24"/>
          <w:lang w:val="uk-UA"/>
        </w:rPr>
        <w:t xml:space="preserve"> </w:t>
      </w:r>
      <w:r w:rsidRPr="00AD0460">
        <w:rPr>
          <w:rFonts w:ascii="Arial"/>
          <w:i/>
          <w:color w:val="019648"/>
          <w:sz w:val="24"/>
          <w:lang w:val="uk-UA"/>
        </w:rPr>
        <w:t>стандарту</w:t>
      </w:r>
      <w:r w:rsidRPr="00AD0460">
        <w:rPr>
          <w:rFonts w:ascii="Arial"/>
          <w:i/>
          <w:color w:val="019648"/>
          <w:sz w:val="24"/>
          <w:lang w:val="uk-UA"/>
        </w:rPr>
        <w:t xml:space="preserve"> (MRS)?</w:t>
      </w:r>
    </w:p>
    <w:p w14:paraId="1C29B40F" w14:textId="21418D0E" w:rsidR="00E05B98" w:rsidRPr="00885BE7" w:rsidRDefault="003E4529" w:rsidP="00885BE7">
      <w:pPr>
        <w:pStyle w:val="a3"/>
        <w:spacing w:before="217" w:line="297" w:lineRule="auto"/>
        <w:ind w:left="567"/>
        <w:jc w:val="both"/>
        <w:rPr>
          <w:sz w:val="20"/>
          <w:szCs w:val="20"/>
          <w:lang w:val="uk-UA"/>
        </w:rPr>
      </w:pPr>
      <w:r w:rsidRPr="003E4529">
        <w:rPr>
          <w:sz w:val="20"/>
          <w:szCs w:val="20"/>
          <w:lang w:val="uk-UA"/>
        </w:rPr>
        <w:t>Було виявлено п'ятнадцять досліджень (3024 учасники), в яких чутливість тесту на зразках мокротиння була оцінена в діапазоні від 57% до 91% і специфічність - в діапазоні від 82% до 100% (</w:t>
      </w:r>
      <w:r w:rsidRPr="003E4529">
        <w:rPr>
          <w:b/>
          <w:bCs/>
          <w:sz w:val="20"/>
          <w:szCs w:val="20"/>
          <w:lang w:val="uk-UA"/>
        </w:rPr>
        <w:t>Рис. 2.3.2.2</w:t>
      </w:r>
      <w:r w:rsidRPr="003E4529">
        <w:rPr>
          <w:sz w:val="20"/>
          <w:szCs w:val="20"/>
          <w:lang w:val="uk-UA"/>
        </w:rPr>
        <w:t>). Одинадцять досліджень (2990 учасників) були включені в метааналіз. Сумарна чутливість становила 75,3% (95% ДІ: 68,9-80,8), а сумарна специфічність - 95,9% (95% ДІ: 92,3-97,9). Достовірність доказів була високою як для чутливості, так і для специфічності. Дані щодо тестів Truenat MTB Plus і MTB- RIF Dx були недоступні</w:t>
      </w:r>
      <w:r w:rsidR="00B01E0C" w:rsidRPr="00885BE7">
        <w:rPr>
          <w:sz w:val="20"/>
          <w:szCs w:val="20"/>
          <w:lang w:val="uk-UA"/>
        </w:rPr>
        <w:t>.</w:t>
      </w:r>
    </w:p>
    <w:p w14:paraId="06ED556E" w14:textId="77777777" w:rsidR="00E05B98" w:rsidRPr="00885BE7" w:rsidRDefault="00E05B98" w:rsidP="00885BE7">
      <w:pPr>
        <w:pStyle w:val="a3"/>
        <w:spacing w:line="297" w:lineRule="auto"/>
        <w:jc w:val="both"/>
        <w:rPr>
          <w:sz w:val="20"/>
          <w:szCs w:val="20"/>
          <w:lang w:val="uk-UA"/>
        </w:rPr>
        <w:sectPr w:rsidR="00E05B98" w:rsidRPr="00885BE7" w:rsidSect="00885BE7">
          <w:type w:val="continuous"/>
          <w:pgSz w:w="11910" w:h="16840"/>
          <w:pgMar w:top="1920" w:right="995" w:bottom="280" w:left="850" w:header="0" w:footer="573" w:gutter="0"/>
          <w:cols w:space="720"/>
        </w:sectPr>
      </w:pPr>
    </w:p>
    <w:p w14:paraId="59F3165B" w14:textId="485334C8" w:rsidR="00E05B98" w:rsidRPr="00885BE7" w:rsidRDefault="003E4529" w:rsidP="00885BE7">
      <w:pPr>
        <w:pStyle w:val="6"/>
        <w:spacing w:line="268" w:lineRule="auto"/>
        <w:jc w:val="both"/>
        <w:rPr>
          <w:sz w:val="20"/>
          <w:szCs w:val="20"/>
          <w:lang w:val="uk-UA"/>
        </w:rPr>
      </w:pPr>
      <w:bookmarkStart w:id="61" w:name="_bookmark27"/>
      <w:bookmarkEnd w:id="61"/>
      <w:r>
        <w:rPr>
          <w:color w:val="636466"/>
          <w:sz w:val="20"/>
          <w:szCs w:val="20"/>
          <w:lang w:val="uk-UA"/>
        </w:rPr>
        <w:lastRenderedPageBreak/>
        <w:t>Рис</w:t>
      </w:r>
      <w:r w:rsidR="00B01E0C" w:rsidRPr="00885BE7">
        <w:rPr>
          <w:color w:val="636466"/>
          <w:sz w:val="20"/>
          <w:szCs w:val="20"/>
          <w:lang w:val="uk-UA"/>
        </w:rPr>
        <w:t>.</w:t>
      </w:r>
      <w:r w:rsidR="00B01E0C" w:rsidRPr="00885BE7">
        <w:rPr>
          <w:color w:val="636466"/>
          <w:spacing w:val="-12"/>
          <w:sz w:val="20"/>
          <w:szCs w:val="20"/>
          <w:lang w:val="uk-UA"/>
        </w:rPr>
        <w:t xml:space="preserve"> </w:t>
      </w:r>
      <w:r w:rsidR="00B01E0C" w:rsidRPr="00885BE7">
        <w:rPr>
          <w:color w:val="636466"/>
          <w:sz w:val="20"/>
          <w:szCs w:val="20"/>
          <w:lang w:val="uk-UA"/>
        </w:rPr>
        <w:t>2.3.2.2</w:t>
      </w:r>
      <w:r w:rsidR="00B01E0C" w:rsidRPr="00885BE7">
        <w:rPr>
          <w:color w:val="636466"/>
          <w:spacing w:val="-12"/>
          <w:sz w:val="20"/>
          <w:szCs w:val="20"/>
          <w:lang w:val="uk-UA"/>
        </w:rPr>
        <w:t xml:space="preserve"> </w:t>
      </w:r>
      <w:r>
        <w:rPr>
          <w:color w:val="636466"/>
          <w:spacing w:val="-12"/>
          <w:sz w:val="20"/>
          <w:szCs w:val="20"/>
          <w:lang w:val="uk-UA"/>
        </w:rPr>
        <w:t xml:space="preserve">  </w:t>
      </w:r>
      <w:r w:rsidRPr="003E4529">
        <w:rPr>
          <w:color w:val="636466"/>
          <w:sz w:val="20"/>
          <w:szCs w:val="20"/>
          <w:lang w:val="uk-UA"/>
        </w:rPr>
        <w:t>Лісова діаграма чутливості та специфічності аналізу аТАНК-НС для виявлення ТБ легень у зразках мокротиння та мікробіологічного еталонного стандарту (MRS)</w:t>
      </w:r>
    </w:p>
    <w:p w14:paraId="5DAD8024" w14:textId="283FEA16" w:rsidR="00E05B98" w:rsidRPr="00885BE7" w:rsidRDefault="00EC1816">
      <w:pPr>
        <w:pStyle w:val="a3"/>
        <w:rPr>
          <w:rFonts w:ascii="Arial"/>
          <w:b/>
          <w:sz w:val="20"/>
          <w:szCs w:val="20"/>
          <w:lang w:val="uk-UA"/>
        </w:rPr>
      </w:pPr>
      <w:r w:rsidRPr="003C6DAE">
        <w:rPr>
          <w:rFonts w:ascii="Arial"/>
          <w:b/>
          <w:noProof/>
          <w:sz w:val="24"/>
          <w:lang w:val="uk-UA"/>
        </w:rPr>
        <mc:AlternateContent>
          <mc:Choice Requires="wps">
            <w:drawing>
              <wp:anchor distT="0" distB="0" distL="114300" distR="114300" simplePos="0" relativeHeight="488151552" behindDoc="0" locked="0" layoutInCell="1" allowOverlap="1" wp14:anchorId="48B4FE1A" wp14:editId="277B1E9F">
                <wp:simplePos x="0" y="0"/>
                <wp:positionH relativeFrom="margin">
                  <wp:posOffset>252428</wp:posOffset>
                </wp:positionH>
                <wp:positionV relativeFrom="paragraph">
                  <wp:posOffset>123479</wp:posOffset>
                </wp:positionV>
                <wp:extent cx="6175200" cy="253497"/>
                <wp:effectExtent l="0" t="0" r="0" b="0"/>
                <wp:wrapNone/>
                <wp:docPr id="365985516" name="Поле 365985516"/>
                <wp:cNvGraphicFramePr/>
                <a:graphic xmlns:a="http://schemas.openxmlformats.org/drawingml/2006/main">
                  <a:graphicData uri="http://schemas.microsoft.com/office/word/2010/wordprocessingShape">
                    <wps:wsp>
                      <wps:cNvSpPr txBox="1"/>
                      <wps:spPr>
                        <a:xfrm>
                          <a:off x="0" y="0"/>
                          <a:ext cx="6175200" cy="253497"/>
                        </a:xfrm>
                        <a:prstGeom prst="rect">
                          <a:avLst/>
                        </a:prstGeom>
                        <a:solidFill>
                          <a:schemeClr val="bg1"/>
                        </a:solidFill>
                        <a:ln w="6350">
                          <a:noFill/>
                        </a:ln>
                      </wps:spPr>
                      <wps:txbx>
                        <w:txbxContent>
                          <w:p w14:paraId="315E040B" w14:textId="61FD669A" w:rsidR="007372B2" w:rsidRPr="00014B97" w:rsidRDefault="007372B2" w:rsidP="00EC1816">
                            <w:pPr>
                              <w:rPr>
                                <w:rFonts w:asciiTheme="minorHAnsi" w:hAnsiTheme="minorHAnsi" w:cstheme="minorHAnsi"/>
                                <w:b/>
                                <w:sz w:val="14"/>
                                <w:szCs w:val="14"/>
                                <w:lang w:val="uk-UA"/>
                              </w:rPr>
                            </w:pPr>
                            <w:r>
                              <w:rPr>
                                <w:rFonts w:asciiTheme="minorHAnsi" w:hAnsiTheme="minorHAnsi" w:cstheme="minorHAnsi"/>
                                <w:b/>
                                <w:sz w:val="14"/>
                                <w:szCs w:val="14"/>
                                <w:lang w:val="uk-UA"/>
                              </w:rPr>
                              <w:t xml:space="preserve">Дослідження                               </w:t>
                            </w:r>
                            <w:r>
                              <w:rPr>
                                <w:rFonts w:asciiTheme="minorHAnsi" w:hAnsiTheme="minorHAnsi" w:cstheme="minorHAnsi"/>
                                <w:b/>
                                <w:sz w:val="14"/>
                                <w:szCs w:val="14"/>
                              </w:rPr>
                              <w:t xml:space="preserve">TP     FP    FN       TN         </w:t>
                            </w:r>
                            <w:r w:rsidRPr="00014B97">
                              <w:rPr>
                                <w:rFonts w:asciiTheme="minorHAnsi" w:hAnsiTheme="minorHAnsi" w:cstheme="minorHAnsi"/>
                                <w:b/>
                                <w:sz w:val="14"/>
                                <w:szCs w:val="14"/>
                                <w:lang w:val="uk-UA"/>
                              </w:rPr>
                              <w:t xml:space="preserve">Чутливість (95% ДІ)   Специфічність (95% ДІ)  </w:t>
                            </w:r>
                            <w:r>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w:t>
                            </w:r>
                            <w:r w:rsidRPr="00014B97">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С</w:t>
                            </w:r>
                            <w:r w:rsidRPr="00014B97">
                              <w:rPr>
                                <w:rFonts w:asciiTheme="minorHAnsi" w:hAnsiTheme="minorHAnsi" w:cstheme="minorHAnsi"/>
                                <w:b/>
                                <w:sz w:val="14"/>
                                <w:szCs w:val="14"/>
                                <w:lang w:val="uk-UA"/>
                              </w:rPr>
                              <w:t>пецифічність (95% 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4FE1A" id="Поле 365985516" o:spid="_x0000_s1128" type="#_x0000_t202" style="position:absolute;margin-left:19.9pt;margin-top:9.7pt;width:486.25pt;height:19.95pt;z-index:48815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" fillcolor="white [3212]" stroked="f" strokeweight=".5pt">
                <v:textbox>
                  <w:txbxContent>
                    <w:p w14:paraId="315E040B" w14:textId="61FD669A" w:rsidR="007372B2" w:rsidRPr="00014B97" w:rsidRDefault="007372B2" w:rsidP="00EC1816">
                      <w:pPr>
                        <w:rPr>
                          <w:rFonts w:asciiTheme="minorHAnsi" w:hAnsiTheme="minorHAnsi" w:cstheme="minorHAnsi"/>
                          <w:b/>
                          <w:sz w:val="14"/>
                          <w:szCs w:val="14"/>
                          <w:lang w:val="uk-UA"/>
                        </w:rPr>
                      </w:pPr>
                      <w:r>
                        <w:rPr>
                          <w:rFonts w:asciiTheme="minorHAnsi" w:hAnsiTheme="minorHAnsi" w:cstheme="minorHAnsi"/>
                          <w:b/>
                          <w:sz w:val="14"/>
                          <w:szCs w:val="14"/>
                          <w:lang w:val="uk-UA"/>
                        </w:rPr>
                        <w:t xml:space="preserve">Дослідження                               </w:t>
                      </w:r>
                      <w:r>
                        <w:rPr>
                          <w:rFonts w:asciiTheme="minorHAnsi" w:hAnsiTheme="minorHAnsi" w:cstheme="minorHAnsi"/>
                          <w:b/>
                          <w:sz w:val="14"/>
                          <w:szCs w:val="14"/>
                        </w:rPr>
                        <w:t xml:space="preserve">TP     FP    FN       TN         </w:t>
                      </w:r>
                      <w:r w:rsidRPr="00014B97">
                        <w:rPr>
                          <w:rFonts w:asciiTheme="minorHAnsi" w:hAnsiTheme="minorHAnsi" w:cstheme="minorHAnsi"/>
                          <w:b/>
                          <w:sz w:val="14"/>
                          <w:szCs w:val="14"/>
                          <w:lang w:val="uk-UA"/>
                        </w:rPr>
                        <w:t xml:space="preserve">Чутливість (95% ДІ)   Специфічність (95% ДІ)  </w:t>
                      </w:r>
                      <w:r>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w:t>
                      </w:r>
                      <w:r w:rsidRPr="00014B97">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С</w:t>
                      </w:r>
                      <w:r w:rsidRPr="00014B97">
                        <w:rPr>
                          <w:rFonts w:asciiTheme="minorHAnsi" w:hAnsiTheme="minorHAnsi" w:cstheme="minorHAnsi"/>
                          <w:b/>
                          <w:sz w:val="14"/>
                          <w:szCs w:val="14"/>
                          <w:lang w:val="uk-UA"/>
                        </w:rPr>
                        <w:t>пецифічність (95% ДІ)</w:t>
                      </w:r>
                    </w:p>
                  </w:txbxContent>
                </v:textbox>
                <w10:wrap anchorx="margin"/>
              </v:shape>
            </w:pict>
          </mc:Fallback>
        </mc:AlternateContent>
      </w:r>
    </w:p>
    <w:p w14:paraId="6419D22C" w14:textId="77777777" w:rsidR="00E05B98" w:rsidRPr="003C6DAE" w:rsidRDefault="00E05B98">
      <w:pPr>
        <w:pStyle w:val="a3"/>
        <w:rPr>
          <w:rFonts w:ascii="Arial"/>
          <w:b/>
          <w:sz w:val="9"/>
          <w:lang w:val="uk-UA"/>
        </w:rPr>
        <w:sectPr w:rsidR="00E05B98" w:rsidRPr="003C6DAE" w:rsidSect="00885BE7">
          <w:pgSz w:w="11910" w:h="16840"/>
          <w:pgMar w:top="1320" w:right="995" w:bottom="760" w:left="850" w:header="0" w:footer="573" w:gutter="0"/>
          <w:cols w:space="720"/>
        </w:sectPr>
      </w:pPr>
    </w:p>
    <w:p w14:paraId="21A0D026" w14:textId="51F467D3" w:rsidR="00EC1816" w:rsidRDefault="00EC1816">
      <w:pPr>
        <w:spacing w:before="68" w:line="285" w:lineRule="auto"/>
        <w:ind w:left="629"/>
        <w:rPr>
          <w:rFonts w:ascii="Trebuchet MS"/>
          <w:w w:val="85"/>
          <w:sz w:val="17"/>
          <w:lang w:val="uk-UA"/>
        </w:rPr>
      </w:pPr>
    </w:p>
    <w:p w14:paraId="2D04404A" w14:textId="7466354B" w:rsidR="00E05B98" w:rsidRPr="00EC1816" w:rsidRDefault="00B01E0C">
      <w:pPr>
        <w:spacing w:before="68" w:line="285" w:lineRule="auto"/>
        <w:ind w:left="629"/>
        <w:rPr>
          <w:rFonts w:ascii="Trebuchet MS"/>
          <w:sz w:val="16"/>
          <w:szCs w:val="16"/>
          <w:lang w:val="uk-UA"/>
        </w:rPr>
      </w:pPr>
      <w:proofErr w:type="spellStart"/>
      <w:r w:rsidRPr="00EC1816">
        <w:rPr>
          <w:rFonts w:ascii="Trebuchet MS"/>
          <w:w w:val="85"/>
          <w:sz w:val="16"/>
          <w:szCs w:val="16"/>
          <w:lang w:val="uk-UA"/>
        </w:rPr>
        <w:t>Aguilera-Alons</w:t>
      </w:r>
      <w:proofErr w:type="spellEnd"/>
      <w:r w:rsidRPr="00EC1816">
        <w:rPr>
          <w:rFonts w:ascii="Trebuchet MS"/>
          <w:spacing w:val="-29"/>
          <w:w w:val="85"/>
          <w:sz w:val="16"/>
          <w:szCs w:val="16"/>
          <w:lang w:val="uk-UA"/>
        </w:rPr>
        <w:t xml:space="preserve"> </w:t>
      </w:r>
      <w:r w:rsidRPr="00EC1816">
        <w:rPr>
          <w:rFonts w:ascii="Trebuchet MS"/>
          <w:w w:val="85"/>
          <w:sz w:val="16"/>
          <w:szCs w:val="16"/>
          <w:lang w:val="uk-UA"/>
        </w:rPr>
        <w:t>o</w:t>
      </w:r>
      <w:r w:rsidRPr="00EC1816">
        <w:rPr>
          <w:rFonts w:ascii="Trebuchet MS"/>
          <w:spacing w:val="-5"/>
          <w:w w:val="85"/>
          <w:sz w:val="16"/>
          <w:szCs w:val="16"/>
          <w:lang w:val="uk-UA"/>
        </w:rPr>
        <w:t xml:space="preserve"> </w:t>
      </w:r>
      <w:r w:rsidRPr="00EC1816">
        <w:rPr>
          <w:rFonts w:ascii="Trebuchet MS"/>
          <w:w w:val="85"/>
          <w:sz w:val="16"/>
          <w:szCs w:val="16"/>
          <w:lang w:val="uk-UA"/>
        </w:rPr>
        <w:t xml:space="preserve">2022 </w:t>
      </w:r>
      <w:proofErr w:type="spellStart"/>
      <w:r w:rsidRPr="00EC1816">
        <w:rPr>
          <w:rFonts w:ascii="Trebuchet MS"/>
          <w:w w:val="90"/>
          <w:sz w:val="16"/>
          <w:szCs w:val="16"/>
          <w:lang w:val="uk-UA"/>
        </w:rPr>
        <w:t>Barcellini</w:t>
      </w:r>
      <w:proofErr w:type="spellEnd"/>
      <w:r w:rsidRPr="00EC1816">
        <w:rPr>
          <w:rFonts w:ascii="Trebuchet MS"/>
          <w:w w:val="90"/>
          <w:sz w:val="16"/>
          <w:szCs w:val="16"/>
          <w:lang w:val="uk-UA"/>
        </w:rPr>
        <w:t xml:space="preserve"> 2019</w:t>
      </w:r>
    </w:p>
    <w:p w14:paraId="1723124E" w14:textId="77777777" w:rsidR="00E05B98" w:rsidRPr="00EC1816" w:rsidRDefault="00B01E0C">
      <w:pPr>
        <w:spacing w:before="1"/>
        <w:ind w:left="629"/>
        <w:rPr>
          <w:rFonts w:ascii="Trebuchet MS"/>
          <w:sz w:val="16"/>
          <w:szCs w:val="16"/>
          <w:lang w:val="uk-UA"/>
        </w:rPr>
      </w:pPr>
      <w:proofErr w:type="spellStart"/>
      <w:r w:rsidRPr="00EC1816">
        <w:rPr>
          <w:rFonts w:ascii="Trebuchet MS"/>
          <w:w w:val="80"/>
          <w:sz w:val="16"/>
          <w:szCs w:val="16"/>
          <w:lang w:val="uk-UA"/>
        </w:rPr>
        <w:t>Liu</w:t>
      </w:r>
      <w:proofErr w:type="spellEnd"/>
      <w:r w:rsidRPr="00EC1816">
        <w:rPr>
          <w:rFonts w:ascii="Trebuchet MS"/>
          <w:sz w:val="16"/>
          <w:szCs w:val="16"/>
          <w:lang w:val="uk-UA"/>
        </w:rPr>
        <w:t xml:space="preserve"> </w:t>
      </w:r>
      <w:r w:rsidRPr="00EC1816">
        <w:rPr>
          <w:rFonts w:ascii="Trebuchet MS"/>
          <w:spacing w:val="-4"/>
          <w:w w:val="85"/>
          <w:sz w:val="16"/>
          <w:szCs w:val="16"/>
          <w:lang w:val="uk-UA"/>
        </w:rPr>
        <w:t>2021</w:t>
      </w:r>
    </w:p>
    <w:p w14:paraId="3781EF63" w14:textId="56637F5B" w:rsidR="00E05B98" w:rsidRPr="00EC1816" w:rsidRDefault="00B01E0C">
      <w:pPr>
        <w:spacing w:before="38"/>
        <w:ind w:left="629"/>
        <w:rPr>
          <w:rFonts w:ascii="Trebuchet MS"/>
          <w:sz w:val="16"/>
          <w:szCs w:val="16"/>
          <w:lang w:val="uk-UA"/>
        </w:rPr>
      </w:pPr>
      <w:r w:rsidRPr="00EC1816">
        <w:rPr>
          <w:rFonts w:ascii="Trebuchet MS"/>
          <w:w w:val="80"/>
          <w:sz w:val="16"/>
          <w:szCs w:val="16"/>
          <w:lang w:val="uk-UA"/>
        </w:rPr>
        <w:t>NCT</w:t>
      </w:r>
      <w:r w:rsidRPr="00EC1816">
        <w:rPr>
          <w:rFonts w:ascii="Trebuchet MS"/>
          <w:spacing w:val="-18"/>
          <w:w w:val="80"/>
          <w:sz w:val="16"/>
          <w:szCs w:val="16"/>
          <w:lang w:val="uk-UA"/>
        </w:rPr>
        <w:t xml:space="preserve"> </w:t>
      </w:r>
      <w:r w:rsidRPr="00EC1816">
        <w:rPr>
          <w:rFonts w:ascii="Trebuchet MS"/>
          <w:spacing w:val="-2"/>
          <w:w w:val="80"/>
          <w:sz w:val="16"/>
          <w:szCs w:val="16"/>
          <w:lang w:val="uk-UA"/>
        </w:rPr>
        <w:t>04121026</w:t>
      </w:r>
    </w:p>
    <w:p w14:paraId="0EC97386" w14:textId="4219A645" w:rsidR="00E05B98" w:rsidRPr="00EC1816" w:rsidRDefault="00B01E0C">
      <w:pPr>
        <w:spacing w:before="37"/>
        <w:ind w:left="629"/>
        <w:rPr>
          <w:rFonts w:ascii="Trebuchet MS"/>
          <w:sz w:val="16"/>
          <w:szCs w:val="16"/>
          <w:lang w:val="uk-UA"/>
        </w:rPr>
      </w:pPr>
      <w:proofErr w:type="spellStart"/>
      <w:r w:rsidRPr="00EC1816">
        <w:rPr>
          <w:rFonts w:ascii="Trebuchet MS"/>
          <w:w w:val="80"/>
          <w:sz w:val="16"/>
          <w:szCs w:val="16"/>
          <w:lang w:val="uk-UA"/>
        </w:rPr>
        <w:t>Yenew</w:t>
      </w:r>
      <w:proofErr w:type="spellEnd"/>
      <w:r w:rsidRPr="00EC1816">
        <w:rPr>
          <w:rFonts w:ascii="Trebuchet MS"/>
          <w:spacing w:val="4"/>
          <w:sz w:val="16"/>
          <w:szCs w:val="16"/>
          <w:lang w:val="uk-UA"/>
        </w:rPr>
        <w:t xml:space="preserve"> </w:t>
      </w:r>
      <w:r w:rsidRPr="00EC1816">
        <w:rPr>
          <w:rFonts w:ascii="Trebuchet MS"/>
          <w:spacing w:val="-4"/>
          <w:w w:val="80"/>
          <w:sz w:val="16"/>
          <w:szCs w:val="16"/>
          <w:lang w:val="uk-UA"/>
        </w:rPr>
        <w:t>2023</w:t>
      </w:r>
    </w:p>
    <w:p w14:paraId="616184E3" w14:textId="6D0C6CB2" w:rsidR="00E05B98" w:rsidRPr="00EC1816" w:rsidRDefault="00B01E0C">
      <w:pPr>
        <w:spacing w:before="38"/>
        <w:ind w:left="629"/>
        <w:rPr>
          <w:rFonts w:ascii="Trebuchet MS"/>
          <w:sz w:val="16"/>
          <w:szCs w:val="16"/>
          <w:lang w:val="uk-UA"/>
        </w:rPr>
      </w:pPr>
      <w:proofErr w:type="spellStart"/>
      <w:r w:rsidRPr="00EC1816">
        <w:rPr>
          <w:rFonts w:ascii="Trebuchet MS"/>
          <w:w w:val="75"/>
          <w:sz w:val="16"/>
          <w:szCs w:val="16"/>
          <w:lang w:val="uk-UA"/>
        </w:rPr>
        <w:t>Enimill</w:t>
      </w:r>
      <w:proofErr w:type="spellEnd"/>
      <w:r w:rsidRPr="00EC1816">
        <w:rPr>
          <w:rFonts w:ascii="Trebuchet MS"/>
          <w:spacing w:val="-8"/>
          <w:sz w:val="16"/>
          <w:szCs w:val="16"/>
          <w:lang w:val="uk-UA"/>
        </w:rPr>
        <w:t xml:space="preserve"> </w:t>
      </w:r>
      <w:r w:rsidRPr="00EC1816">
        <w:rPr>
          <w:rFonts w:ascii="Trebuchet MS"/>
          <w:spacing w:val="-4"/>
          <w:w w:val="75"/>
          <w:sz w:val="16"/>
          <w:szCs w:val="16"/>
          <w:lang w:val="uk-UA"/>
        </w:rPr>
        <w:t>2022</w:t>
      </w:r>
    </w:p>
    <w:p w14:paraId="7533F4EB" w14:textId="77777777" w:rsidR="00E05B98" w:rsidRPr="00EC1816" w:rsidRDefault="00B01E0C">
      <w:pPr>
        <w:spacing w:before="38"/>
        <w:ind w:left="629"/>
        <w:rPr>
          <w:rFonts w:ascii="Trebuchet MS"/>
          <w:sz w:val="16"/>
          <w:szCs w:val="16"/>
          <w:lang w:val="uk-UA"/>
        </w:rPr>
      </w:pPr>
      <w:r w:rsidRPr="00EC1816">
        <w:rPr>
          <w:rFonts w:ascii="Trebuchet MS"/>
          <w:w w:val="80"/>
          <w:sz w:val="16"/>
          <w:szCs w:val="16"/>
          <w:lang w:val="uk-UA"/>
        </w:rPr>
        <w:t>Zar</w:t>
      </w:r>
      <w:r w:rsidRPr="00EC1816">
        <w:rPr>
          <w:rFonts w:ascii="Trebuchet MS"/>
          <w:spacing w:val="41"/>
          <w:sz w:val="16"/>
          <w:szCs w:val="16"/>
          <w:lang w:val="uk-UA"/>
        </w:rPr>
        <w:t xml:space="preserve"> </w:t>
      </w:r>
      <w:r w:rsidRPr="00EC1816">
        <w:rPr>
          <w:rFonts w:ascii="Trebuchet MS"/>
          <w:w w:val="80"/>
          <w:sz w:val="16"/>
          <w:szCs w:val="16"/>
          <w:lang w:val="uk-UA"/>
        </w:rPr>
        <w:t>2018-</w:t>
      </w:r>
      <w:r w:rsidRPr="00EC1816">
        <w:rPr>
          <w:rFonts w:ascii="Trebuchet MS"/>
          <w:spacing w:val="-4"/>
          <w:w w:val="80"/>
          <w:sz w:val="16"/>
          <w:szCs w:val="16"/>
          <w:lang w:val="uk-UA"/>
        </w:rPr>
        <w:t>2023</w:t>
      </w:r>
    </w:p>
    <w:p w14:paraId="6547D042" w14:textId="10B2DB62" w:rsidR="00E05B98" w:rsidRPr="00EC1816" w:rsidRDefault="00B01E0C">
      <w:pPr>
        <w:spacing w:before="38"/>
        <w:ind w:left="629"/>
        <w:rPr>
          <w:rFonts w:ascii="Trebuchet MS"/>
          <w:sz w:val="16"/>
          <w:szCs w:val="16"/>
          <w:lang w:val="uk-UA"/>
        </w:rPr>
      </w:pPr>
      <w:proofErr w:type="spellStart"/>
      <w:r w:rsidRPr="00EC1816">
        <w:rPr>
          <w:rFonts w:ascii="Trebuchet MS"/>
          <w:w w:val="75"/>
          <w:sz w:val="16"/>
          <w:szCs w:val="16"/>
          <w:lang w:val="uk-UA"/>
        </w:rPr>
        <w:t>Kabir</w:t>
      </w:r>
      <w:proofErr w:type="spellEnd"/>
      <w:r w:rsidRPr="00EC1816">
        <w:rPr>
          <w:rFonts w:ascii="Trebuchet MS"/>
          <w:spacing w:val="5"/>
          <w:sz w:val="16"/>
          <w:szCs w:val="16"/>
          <w:lang w:val="uk-UA"/>
        </w:rPr>
        <w:t xml:space="preserve"> </w:t>
      </w:r>
      <w:r w:rsidRPr="00EC1816">
        <w:rPr>
          <w:rFonts w:ascii="Trebuchet MS"/>
          <w:spacing w:val="-4"/>
          <w:w w:val="75"/>
          <w:sz w:val="16"/>
          <w:szCs w:val="16"/>
          <w:lang w:val="uk-UA"/>
        </w:rPr>
        <w:t>2020</w:t>
      </w:r>
    </w:p>
    <w:p w14:paraId="0F0D5B9B" w14:textId="63313D54" w:rsidR="00E05B98" w:rsidRPr="00EC1816" w:rsidRDefault="00B01E0C">
      <w:pPr>
        <w:spacing w:before="38" w:line="285" w:lineRule="auto"/>
        <w:ind w:left="629" w:right="354"/>
        <w:rPr>
          <w:rFonts w:ascii="Trebuchet MS"/>
          <w:sz w:val="16"/>
          <w:szCs w:val="16"/>
          <w:lang w:val="uk-UA"/>
        </w:rPr>
      </w:pPr>
      <w:proofErr w:type="spellStart"/>
      <w:r w:rsidRPr="00EC1816">
        <w:rPr>
          <w:rFonts w:ascii="Trebuchet MS"/>
          <w:w w:val="80"/>
          <w:sz w:val="16"/>
          <w:szCs w:val="16"/>
          <w:lang w:val="uk-UA"/>
        </w:rPr>
        <w:t>Jaganath</w:t>
      </w:r>
      <w:proofErr w:type="spellEnd"/>
      <w:r w:rsidRPr="00EC1816">
        <w:rPr>
          <w:rFonts w:ascii="Trebuchet MS"/>
          <w:w w:val="80"/>
          <w:sz w:val="16"/>
          <w:szCs w:val="16"/>
          <w:lang w:val="uk-UA"/>
        </w:rPr>
        <w:t xml:space="preserve"> 2021 </w:t>
      </w:r>
      <w:r w:rsidR="00EC1816">
        <w:rPr>
          <w:rFonts w:ascii="Trebuchet MS"/>
          <w:w w:val="80"/>
          <w:sz w:val="16"/>
          <w:szCs w:val="16"/>
          <w:lang w:val="uk-UA"/>
        </w:rPr>
        <w:t xml:space="preserve"> </w:t>
      </w:r>
      <w:r w:rsidRPr="00EC1816">
        <w:rPr>
          <w:rFonts w:ascii="Trebuchet MS"/>
          <w:w w:val="80"/>
          <w:sz w:val="16"/>
          <w:szCs w:val="16"/>
          <w:lang w:val="uk-UA"/>
        </w:rPr>
        <w:t>NCT</w:t>
      </w:r>
      <w:r w:rsidRPr="00EC1816">
        <w:rPr>
          <w:rFonts w:ascii="Trebuchet MS"/>
          <w:spacing w:val="-18"/>
          <w:w w:val="80"/>
          <w:sz w:val="16"/>
          <w:szCs w:val="16"/>
          <w:lang w:val="uk-UA"/>
        </w:rPr>
        <w:t xml:space="preserve"> </w:t>
      </w:r>
      <w:r w:rsidRPr="00EC1816">
        <w:rPr>
          <w:rFonts w:ascii="Trebuchet MS"/>
          <w:spacing w:val="-2"/>
          <w:w w:val="80"/>
          <w:sz w:val="16"/>
          <w:szCs w:val="16"/>
          <w:lang w:val="uk-UA"/>
        </w:rPr>
        <w:t>03734172</w:t>
      </w:r>
    </w:p>
    <w:p w14:paraId="0E8004CE" w14:textId="77777777" w:rsidR="00E05B98" w:rsidRPr="00EC1816" w:rsidRDefault="00B01E0C">
      <w:pPr>
        <w:ind w:left="629"/>
        <w:rPr>
          <w:rFonts w:ascii="Trebuchet MS"/>
          <w:sz w:val="16"/>
          <w:szCs w:val="16"/>
          <w:lang w:val="uk-UA"/>
        </w:rPr>
      </w:pPr>
      <w:proofErr w:type="spellStart"/>
      <w:r w:rsidRPr="00EC1816">
        <w:rPr>
          <w:rFonts w:ascii="Trebuchet MS"/>
          <w:w w:val="80"/>
          <w:sz w:val="16"/>
          <w:szCs w:val="16"/>
          <w:lang w:val="uk-UA"/>
        </w:rPr>
        <w:t>Nicol</w:t>
      </w:r>
      <w:proofErr w:type="spellEnd"/>
      <w:r w:rsidRPr="00EC1816">
        <w:rPr>
          <w:rFonts w:ascii="Trebuchet MS"/>
          <w:spacing w:val="6"/>
          <w:sz w:val="16"/>
          <w:szCs w:val="16"/>
          <w:lang w:val="uk-UA"/>
        </w:rPr>
        <w:t xml:space="preserve"> </w:t>
      </w:r>
      <w:r w:rsidRPr="00EC1816">
        <w:rPr>
          <w:rFonts w:ascii="Trebuchet MS"/>
          <w:spacing w:val="-4"/>
          <w:w w:val="90"/>
          <w:sz w:val="16"/>
          <w:szCs w:val="16"/>
          <w:lang w:val="uk-UA"/>
        </w:rPr>
        <w:t>2018</w:t>
      </w:r>
    </w:p>
    <w:p w14:paraId="60450EDA" w14:textId="730A9FB9" w:rsidR="00E05B98" w:rsidRPr="00EC1816" w:rsidRDefault="00B01E0C">
      <w:pPr>
        <w:spacing w:before="38"/>
        <w:ind w:left="629"/>
        <w:rPr>
          <w:rFonts w:ascii="Trebuchet MS"/>
          <w:sz w:val="16"/>
          <w:szCs w:val="16"/>
          <w:lang w:val="uk-UA"/>
        </w:rPr>
      </w:pPr>
      <w:r w:rsidRPr="00EC1816">
        <w:rPr>
          <w:rFonts w:ascii="Trebuchet MS"/>
          <w:w w:val="80"/>
          <w:sz w:val="16"/>
          <w:szCs w:val="16"/>
          <w:lang w:val="uk-UA"/>
        </w:rPr>
        <w:t>NCT</w:t>
      </w:r>
      <w:r w:rsidRPr="00EC1816">
        <w:rPr>
          <w:rFonts w:ascii="Trebuchet MS"/>
          <w:spacing w:val="-18"/>
          <w:w w:val="80"/>
          <w:sz w:val="16"/>
          <w:szCs w:val="16"/>
          <w:lang w:val="uk-UA"/>
        </w:rPr>
        <w:t xml:space="preserve"> </w:t>
      </w:r>
      <w:r w:rsidRPr="00EC1816">
        <w:rPr>
          <w:rFonts w:ascii="Trebuchet MS"/>
          <w:spacing w:val="-2"/>
          <w:w w:val="80"/>
          <w:sz w:val="16"/>
          <w:szCs w:val="16"/>
          <w:lang w:val="uk-UA"/>
        </w:rPr>
        <w:t>04899076</w:t>
      </w:r>
    </w:p>
    <w:p w14:paraId="5457ADFE" w14:textId="799E5EBC" w:rsidR="00E05B98" w:rsidRPr="00EC1816" w:rsidRDefault="00B01E0C">
      <w:pPr>
        <w:spacing w:before="38"/>
        <w:ind w:left="629"/>
        <w:rPr>
          <w:rFonts w:ascii="Trebuchet MS"/>
          <w:sz w:val="16"/>
          <w:szCs w:val="16"/>
          <w:lang w:val="uk-UA"/>
        </w:rPr>
      </w:pPr>
      <w:proofErr w:type="spellStart"/>
      <w:r w:rsidRPr="00EC1816">
        <w:rPr>
          <w:rFonts w:ascii="Trebuchet MS"/>
          <w:w w:val="80"/>
          <w:sz w:val="16"/>
          <w:szCs w:val="16"/>
          <w:lang w:val="uk-UA"/>
        </w:rPr>
        <w:t>Sabi</w:t>
      </w:r>
      <w:proofErr w:type="spellEnd"/>
      <w:r w:rsidRPr="00EC1816">
        <w:rPr>
          <w:rFonts w:ascii="Trebuchet MS"/>
          <w:spacing w:val="-4"/>
          <w:sz w:val="16"/>
          <w:szCs w:val="16"/>
          <w:lang w:val="uk-UA"/>
        </w:rPr>
        <w:t xml:space="preserve"> </w:t>
      </w:r>
      <w:r w:rsidRPr="00EC1816">
        <w:rPr>
          <w:rFonts w:ascii="Trebuchet MS"/>
          <w:spacing w:val="-4"/>
          <w:w w:val="80"/>
          <w:sz w:val="16"/>
          <w:szCs w:val="16"/>
          <w:lang w:val="uk-UA"/>
        </w:rPr>
        <w:t>2022</w:t>
      </w:r>
    </w:p>
    <w:p w14:paraId="42BAB939" w14:textId="23C01B0F" w:rsidR="00E05B98" w:rsidRPr="00EC1816" w:rsidRDefault="00B01E0C">
      <w:pPr>
        <w:spacing w:before="38" w:line="285" w:lineRule="auto"/>
        <w:ind w:left="629" w:right="277"/>
        <w:rPr>
          <w:rFonts w:ascii="Trebuchet MS"/>
          <w:sz w:val="16"/>
          <w:szCs w:val="16"/>
          <w:lang w:val="uk-UA"/>
        </w:rPr>
      </w:pPr>
      <w:proofErr w:type="spellStart"/>
      <w:r w:rsidRPr="00EC1816">
        <w:rPr>
          <w:rFonts w:ascii="Trebuchet MS"/>
          <w:w w:val="85"/>
          <w:sz w:val="16"/>
          <w:szCs w:val="16"/>
          <w:lang w:val="uk-UA"/>
        </w:rPr>
        <w:t>Ssengooba</w:t>
      </w:r>
      <w:proofErr w:type="spellEnd"/>
      <w:r w:rsidRPr="00EC1816">
        <w:rPr>
          <w:rFonts w:ascii="Trebuchet MS"/>
          <w:sz w:val="16"/>
          <w:szCs w:val="16"/>
          <w:lang w:val="uk-UA"/>
        </w:rPr>
        <w:t xml:space="preserve"> </w:t>
      </w:r>
      <w:r w:rsidRPr="00EC1816">
        <w:rPr>
          <w:rFonts w:ascii="Trebuchet MS"/>
          <w:w w:val="85"/>
          <w:sz w:val="16"/>
          <w:szCs w:val="16"/>
          <w:lang w:val="uk-UA"/>
        </w:rPr>
        <w:t xml:space="preserve">2020 </w:t>
      </w:r>
      <w:proofErr w:type="spellStart"/>
      <w:r w:rsidRPr="00EC1816">
        <w:rPr>
          <w:rFonts w:ascii="Trebuchet MS"/>
          <w:w w:val="95"/>
          <w:sz w:val="16"/>
          <w:szCs w:val="16"/>
          <w:lang w:val="uk-UA"/>
        </w:rPr>
        <w:t>Sabi</w:t>
      </w:r>
      <w:proofErr w:type="spellEnd"/>
      <w:r w:rsidRPr="00EC1816">
        <w:rPr>
          <w:rFonts w:ascii="Trebuchet MS"/>
          <w:w w:val="95"/>
          <w:sz w:val="16"/>
          <w:szCs w:val="16"/>
          <w:lang w:val="uk-UA"/>
        </w:rPr>
        <w:t xml:space="preserve"> 2018</w:t>
      </w:r>
    </w:p>
    <w:p w14:paraId="10609248" w14:textId="77777777" w:rsidR="00E05B98" w:rsidRPr="003C6DAE" w:rsidRDefault="00B01E0C">
      <w:pPr>
        <w:spacing w:before="113"/>
        <w:ind w:left="201"/>
        <w:rPr>
          <w:rFonts w:ascii="Trebuchet MS"/>
          <w:sz w:val="17"/>
          <w:lang w:val="uk-UA"/>
        </w:rPr>
      </w:pPr>
      <w:r w:rsidRPr="00EC1816">
        <w:rPr>
          <w:sz w:val="16"/>
          <w:szCs w:val="16"/>
          <w:lang w:val="uk-UA"/>
        </w:rPr>
        <w:br w:type="column"/>
      </w:r>
      <w:r w:rsidRPr="003C6DAE">
        <w:rPr>
          <w:rFonts w:ascii="Trebuchet MS"/>
          <w:color w:val="333333"/>
          <w:w w:val="90"/>
          <w:sz w:val="17"/>
          <w:lang w:val="uk-UA"/>
        </w:rPr>
        <w:t>TP</w:t>
      </w:r>
      <w:r w:rsidRPr="003C6DAE">
        <w:rPr>
          <w:rFonts w:ascii="Trebuchet MS"/>
          <w:color w:val="333333"/>
          <w:spacing w:val="66"/>
          <w:w w:val="150"/>
          <w:sz w:val="17"/>
          <w:lang w:val="uk-UA"/>
        </w:rPr>
        <w:t xml:space="preserve"> </w:t>
      </w:r>
      <w:r w:rsidRPr="003C6DAE">
        <w:rPr>
          <w:rFonts w:ascii="Trebuchet MS"/>
          <w:color w:val="333333"/>
          <w:spacing w:val="-5"/>
          <w:w w:val="90"/>
          <w:sz w:val="17"/>
          <w:lang w:val="uk-UA"/>
        </w:rPr>
        <w:t xml:space="preserve">FP </w:t>
      </w:r>
    </w:p>
    <w:p w14:paraId="63D88E13" w14:textId="77777777" w:rsidR="00E05B98" w:rsidRPr="00EC1816" w:rsidRDefault="00B01E0C">
      <w:pPr>
        <w:tabs>
          <w:tab w:val="left" w:pos="609"/>
        </w:tabs>
        <w:spacing w:before="69"/>
        <w:ind w:left="303"/>
        <w:rPr>
          <w:rFonts w:ascii="Trebuchet MS"/>
          <w:sz w:val="16"/>
          <w:szCs w:val="16"/>
          <w:lang w:val="uk-UA"/>
        </w:rPr>
      </w:pPr>
      <w:r w:rsidRPr="00EC1816">
        <w:rPr>
          <w:rFonts w:ascii="Trebuchet MS"/>
          <w:spacing w:val="-10"/>
          <w:w w:val="95"/>
          <w:sz w:val="16"/>
          <w:szCs w:val="16"/>
          <w:lang w:val="uk-UA"/>
        </w:rPr>
        <w:t>0</w:t>
      </w:r>
      <w:r w:rsidRPr="00EC1816">
        <w:rPr>
          <w:rFonts w:ascii="Trebuchet MS"/>
          <w:sz w:val="16"/>
          <w:szCs w:val="16"/>
          <w:lang w:val="uk-UA"/>
        </w:rPr>
        <w:tab/>
      </w:r>
      <w:r w:rsidRPr="00EC1816">
        <w:rPr>
          <w:rFonts w:ascii="Trebuchet MS"/>
          <w:spacing w:val="-10"/>
          <w:w w:val="95"/>
          <w:sz w:val="16"/>
          <w:szCs w:val="16"/>
          <w:lang w:val="uk-UA"/>
        </w:rPr>
        <w:t>0</w:t>
      </w:r>
    </w:p>
    <w:p w14:paraId="05CF5868" w14:textId="77777777" w:rsidR="00E05B98" w:rsidRPr="00EC1816" w:rsidRDefault="00B01E0C">
      <w:pPr>
        <w:tabs>
          <w:tab w:val="left" w:pos="609"/>
        </w:tabs>
        <w:spacing w:before="37"/>
        <w:ind w:left="303"/>
        <w:rPr>
          <w:rFonts w:ascii="Trebuchet MS"/>
          <w:sz w:val="16"/>
          <w:szCs w:val="16"/>
          <w:lang w:val="uk-UA"/>
        </w:rPr>
      </w:pPr>
      <w:r w:rsidRPr="00EC1816">
        <w:rPr>
          <w:rFonts w:ascii="Trebuchet MS"/>
          <w:spacing w:val="-10"/>
          <w:w w:val="95"/>
          <w:sz w:val="16"/>
          <w:szCs w:val="16"/>
          <w:lang w:val="uk-UA"/>
        </w:rPr>
        <w:t>0</w:t>
      </w:r>
      <w:r w:rsidRPr="00EC1816">
        <w:rPr>
          <w:rFonts w:ascii="Trebuchet MS"/>
          <w:sz w:val="16"/>
          <w:szCs w:val="16"/>
          <w:lang w:val="uk-UA"/>
        </w:rPr>
        <w:tab/>
      </w:r>
      <w:r w:rsidRPr="00EC1816">
        <w:rPr>
          <w:rFonts w:ascii="Trebuchet MS"/>
          <w:spacing w:val="-10"/>
          <w:w w:val="95"/>
          <w:sz w:val="16"/>
          <w:szCs w:val="16"/>
          <w:lang w:val="uk-UA"/>
        </w:rPr>
        <w:t>0</w:t>
      </w:r>
    </w:p>
    <w:p w14:paraId="7E7F37AA" w14:textId="77777777" w:rsidR="00E05B98" w:rsidRPr="00EC1816" w:rsidRDefault="00B01E0C">
      <w:pPr>
        <w:tabs>
          <w:tab w:val="left" w:pos="609"/>
        </w:tabs>
        <w:spacing w:before="38"/>
        <w:ind w:left="303"/>
        <w:rPr>
          <w:rFonts w:ascii="Trebuchet MS"/>
          <w:sz w:val="16"/>
          <w:szCs w:val="16"/>
          <w:lang w:val="uk-UA"/>
        </w:rPr>
      </w:pPr>
      <w:r w:rsidRPr="00EC1816">
        <w:rPr>
          <w:rFonts w:ascii="Trebuchet MS"/>
          <w:spacing w:val="-10"/>
          <w:w w:val="95"/>
          <w:sz w:val="16"/>
          <w:szCs w:val="16"/>
          <w:lang w:val="uk-UA"/>
        </w:rPr>
        <w:t>0</w:t>
      </w:r>
      <w:r w:rsidRPr="00EC1816">
        <w:rPr>
          <w:rFonts w:ascii="Trebuchet MS"/>
          <w:sz w:val="16"/>
          <w:szCs w:val="16"/>
          <w:lang w:val="uk-UA"/>
        </w:rPr>
        <w:tab/>
      </w:r>
      <w:r w:rsidRPr="00EC1816">
        <w:rPr>
          <w:rFonts w:ascii="Trebuchet MS"/>
          <w:spacing w:val="-10"/>
          <w:w w:val="95"/>
          <w:sz w:val="16"/>
          <w:szCs w:val="16"/>
          <w:lang w:val="uk-UA"/>
        </w:rPr>
        <w:t>1</w:t>
      </w:r>
    </w:p>
    <w:p w14:paraId="71876333" w14:textId="77777777" w:rsidR="00E05B98" w:rsidRPr="00EC1816" w:rsidRDefault="00B01E0C">
      <w:pPr>
        <w:tabs>
          <w:tab w:val="left" w:pos="609"/>
        </w:tabs>
        <w:spacing w:before="38"/>
        <w:ind w:left="303"/>
        <w:rPr>
          <w:rFonts w:ascii="Trebuchet MS"/>
          <w:sz w:val="16"/>
          <w:szCs w:val="16"/>
          <w:lang w:val="uk-UA"/>
        </w:rPr>
      </w:pPr>
      <w:r w:rsidRPr="00EC1816">
        <w:rPr>
          <w:rFonts w:ascii="Trebuchet MS"/>
          <w:spacing w:val="-10"/>
          <w:w w:val="95"/>
          <w:sz w:val="16"/>
          <w:szCs w:val="16"/>
          <w:lang w:val="uk-UA"/>
        </w:rPr>
        <w:t>0</w:t>
      </w:r>
      <w:r w:rsidRPr="00EC1816">
        <w:rPr>
          <w:rFonts w:ascii="Trebuchet MS"/>
          <w:sz w:val="16"/>
          <w:szCs w:val="16"/>
          <w:lang w:val="uk-UA"/>
        </w:rPr>
        <w:tab/>
      </w:r>
      <w:r w:rsidRPr="00EC1816">
        <w:rPr>
          <w:rFonts w:ascii="Trebuchet MS"/>
          <w:spacing w:val="-10"/>
          <w:w w:val="95"/>
          <w:sz w:val="16"/>
          <w:szCs w:val="16"/>
          <w:lang w:val="uk-UA"/>
        </w:rPr>
        <w:t>0</w:t>
      </w:r>
    </w:p>
    <w:p w14:paraId="71F591D6" w14:textId="77777777" w:rsidR="00E05B98" w:rsidRPr="00EC1816" w:rsidRDefault="00B01E0C">
      <w:pPr>
        <w:tabs>
          <w:tab w:val="left" w:pos="609"/>
        </w:tabs>
        <w:spacing w:before="38"/>
        <w:ind w:left="221"/>
        <w:rPr>
          <w:rFonts w:ascii="Trebuchet MS"/>
          <w:sz w:val="16"/>
          <w:szCs w:val="16"/>
          <w:lang w:val="uk-UA"/>
        </w:rPr>
      </w:pPr>
      <w:r w:rsidRPr="00EC1816">
        <w:rPr>
          <w:rFonts w:ascii="Trebuchet MS"/>
          <w:spacing w:val="-5"/>
          <w:w w:val="95"/>
          <w:sz w:val="16"/>
          <w:szCs w:val="16"/>
          <w:lang w:val="uk-UA"/>
        </w:rPr>
        <w:t>10</w:t>
      </w:r>
      <w:r w:rsidRPr="00EC1816">
        <w:rPr>
          <w:rFonts w:ascii="Trebuchet MS"/>
          <w:sz w:val="16"/>
          <w:szCs w:val="16"/>
          <w:lang w:val="uk-UA"/>
        </w:rPr>
        <w:tab/>
      </w:r>
      <w:r w:rsidRPr="00EC1816">
        <w:rPr>
          <w:rFonts w:ascii="Trebuchet MS"/>
          <w:spacing w:val="-10"/>
          <w:w w:val="95"/>
          <w:sz w:val="16"/>
          <w:szCs w:val="16"/>
          <w:lang w:val="uk-UA"/>
        </w:rPr>
        <w:t>0</w:t>
      </w:r>
    </w:p>
    <w:p w14:paraId="74E8B7C0" w14:textId="77777777" w:rsidR="00E05B98" w:rsidRPr="00EC1816" w:rsidRDefault="00B01E0C">
      <w:pPr>
        <w:spacing w:before="38"/>
        <w:ind w:left="221"/>
        <w:rPr>
          <w:rFonts w:ascii="Trebuchet MS"/>
          <w:sz w:val="16"/>
          <w:szCs w:val="16"/>
          <w:lang w:val="uk-UA"/>
        </w:rPr>
      </w:pPr>
      <w:r w:rsidRPr="00EC1816">
        <w:rPr>
          <w:rFonts w:ascii="Trebuchet MS"/>
          <w:w w:val="95"/>
          <w:sz w:val="16"/>
          <w:szCs w:val="16"/>
          <w:lang w:val="uk-UA"/>
        </w:rPr>
        <w:t>35</w:t>
      </w:r>
      <w:r w:rsidRPr="00EC1816">
        <w:rPr>
          <w:rFonts w:ascii="Trebuchet MS"/>
          <w:spacing w:val="57"/>
          <w:w w:val="150"/>
          <w:sz w:val="16"/>
          <w:szCs w:val="16"/>
          <w:lang w:val="uk-UA"/>
        </w:rPr>
        <w:t xml:space="preserve"> </w:t>
      </w:r>
      <w:r w:rsidRPr="00EC1816">
        <w:rPr>
          <w:rFonts w:ascii="Trebuchet MS"/>
          <w:spacing w:val="-5"/>
          <w:w w:val="90"/>
          <w:sz w:val="16"/>
          <w:szCs w:val="16"/>
          <w:lang w:val="uk-UA"/>
        </w:rPr>
        <w:t>16</w:t>
      </w:r>
    </w:p>
    <w:p w14:paraId="1EDE2814" w14:textId="77777777" w:rsidR="00E05B98" w:rsidRPr="00EC1816" w:rsidRDefault="00B01E0C">
      <w:pPr>
        <w:spacing w:before="37"/>
        <w:ind w:left="221"/>
        <w:rPr>
          <w:rFonts w:ascii="Trebuchet MS"/>
          <w:sz w:val="16"/>
          <w:szCs w:val="16"/>
          <w:lang w:val="uk-UA"/>
        </w:rPr>
      </w:pPr>
      <w:r w:rsidRPr="00EC1816">
        <w:rPr>
          <w:rFonts w:ascii="Trebuchet MS"/>
          <w:w w:val="95"/>
          <w:sz w:val="16"/>
          <w:szCs w:val="16"/>
          <w:lang w:val="uk-UA"/>
        </w:rPr>
        <w:t>89</w:t>
      </w:r>
      <w:r w:rsidRPr="00EC1816">
        <w:rPr>
          <w:rFonts w:ascii="Trebuchet MS"/>
          <w:spacing w:val="57"/>
          <w:w w:val="150"/>
          <w:sz w:val="16"/>
          <w:szCs w:val="16"/>
          <w:lang w:val="uk-UA"/>
        </w:rPr>
        <w:t xml:space="preserve"> </w:t>
      </w:r>
      <w:r w:rsidRPr="00EC1816">
        <w:rPr>
          <w:rFonts w:ascii="Trebuchet MS"/>
          <w:spacing w:val="-5"/>
          <w:w w:val="90"/>
          <w:sz w:val="16"/>
          <w:szCs w:val="16"/>
          <w:lang w:val="uk-UA"/>
        </w:rPr>
        <w:t>66</w:t>
      </w:r>
    </w:p>
    <w:p w14:paraId="4BB44D53" w14:textId="77777777" w:rsidR="00E05B98" w:rsidRPr="00EC1816" w:rsidRDefault="00B01E0C">
      <w:pPr>
        <w:spacing w:before="38"/>
        <w:ind w:left="303"/>
        <w:rPr>
          <w:rFonts w:ascii="Trebuchet MS"/>
          <w:sz w:val="16"/>
          <w:szCs w:val="16"/>
          <w:lang w:val="uk-UA"/>
        </w:rPr>
      </w:pPr>
      <w:r w:rsidRPr="00EC1816">
        <w:rPr>
          <w:rFonts w:ascii="Trebuchet MS"/>
          <w:w w:val="95"/>
          <w:sz w:val="16"/>
          <w:szCs w:val="16"/>
          <w:lang w:val="uk-UA"/>
        </w:rPr>
        <w:t>4</w:t>
      </w:r>
      <w:r w:rsidRPr="00EC1816">
        <w:rPr>
          <w:rFonts w:ascii="Trebuchet MS"/>
          <w:spacing w:val="61"/>
          <w:w w:val="150"/>
          <w:sz w:val="16"/>
          <w:szCs w:val="16"/>
          <w:lang w:val="uk-UA"/>
        </w:rPr>
        <w:t xml:space="preserve"> </w:t>
      </w:r>
      <w:r w:rsidRPr="00EC1816">
        <w:rPr>
          <w:rFonts w:ascii="Trebuchet MS"/>
          <w:spacing w:val="-5"/>
          <w:w w:val="90"/>
          <w:sz w:val="16"/>
          <w:szCs w:val="16"/>
          <w:lang w:val="uk-UA"/>
        </w:rPr>
        <w:t>18</w:t>
      </w:r>
    </w:p>
    <w:p w14:paraId="5F073C9F" w14:textId="77777777" w:rsidR="00E05B98" w:rsidRPr="00EC1816" w:rsidRDefault="00B01E0C">
      <w:pPr>
        <w:tabs>
          <w:tab w:val="left" w:pos="609"/>
        </w:tabs>
        <w:spacing w:before="38"/>
        <w:ind w:left="303"/>
        <w:rPr>
          <w:rFonts w:ascii="Trebuchet MS"/>
          <w:sz w:val="16"/>
          <w:szCs w:val="16"/>
          <w:lang w:val="uk-UA"/>
        </w:rPr>
      </w:pPr>
      <w:r w:rsidRPr="00EC1816">
        <w:rPr>
          <w:rFonts w:ascii="Trebuchet MS"/>
          <w:spacing w:val="-10"/>
          <w:w w:val="95"/>
          <w:sz w:val="16"/>
          <w:szCs w:val="16"/>
          <w:lang w:val="uk-UA"/>
        </w:rPr>
        <w:t>7</w:t>
      </w:r>
      <w:r w:rsidRPr="00EC1816">
        <w:rPr>
          <w:rFonts w:ascii="Trebuchet MS"/>
          <w:sz w:val="16"/>
          <w:szCs w:val="16"/>
          <w:lang w:val="uk-UA"/>
        </w:rPr>
        <w:tab/>
      </w:r>
      <w:r w:rsidRPr="00EC1816">
        <w:rPr>
          <w:rFonts w:ascii="Trebuchet MS"/>
          <w:spacing w:val="-10"/>
          <w:w w:val="95"/>
          <w:sz w:val="16"/>
          <w:szCs w:val="16"/>
          <w:lang w:val="uk-UA"/>
        </w:rPr>
        <w:t>1</w:t>
      </w:r>
    </w:p>
    <w:p w14:paraId="33AD86F0" w14:textId="77777777" w:rsidR="00E05B98" w:rsidRPr="00EC1816" w:rsidRDefault="00B01E0C">
      <w:pPr>
        <w:spacing w:before="38"/>
        <w:ind w:left="221"/>
        <w:rPr>
          <w:rFonts w:ascii="Trebuchet MS"/>
          <w:sz w:val="16"/>
          <w:szCs w:val="16"/>
          <w:lang w:val="uk-UA"/>
        </w:rPr>
      </w:pPr>
      <w:r w:rsidRPr="00EC1816">
        <w:rPr>
          <w:rFonts w:ascii="Trebuchet MS"/>
          <w:w w:val="95"/>
          <w:sz w:val="16"/>
          <w:szCs w:val="16"/>
          <w:lang w:val="uk-UA"/>
        </w:rPr>
        <w:t>38</w:t>
      </w:r>
      <w:r w:rsidRPr="00EC1816">
        <w:rPr>
          <w:rFonts w:ascii="Trebuchet MS"/>
          <w:spacing w:val="57"/>
          <w:w w:val="150"/>
          <w:sz w:val="16"/>
          <w:szCs w:val="16"/>
          <w:lang w:val="uk-UA"/>
        </w:rPr>
        <w:t xml:space="preserve"> </w:t>
      </w:r>
      <w:r w:rsidRPr="00EC1816">
        <w:rPr>
          <w:rFonts w:ascii="Trebuchet MS"/>
          <w:spacing w:val="-5"/>
          <w:w w:val="90"/>
          <w:sz w:val="16"/>
          <w:szCs w:val="16"/>
          <w:lang w:val="uk-UA"/>
        </w:rPr>
        <w:t>36</w:t>
      </w:r>
    </w:p>
    <w:p w14:paraId="231E8399" w14:textId="77777777" w:rsidR="00E05B98" w:rsidRPr="00EC1816" w:rsidRDefault="00B01E0C">
      <w:pPr>
        <w:tabs>
          <w:tab w:val="left" w:pos="609"/>
        </w:tabs>
        <w:spacing w:before="37"/>
        <w:ind w:left="221"/>
        <w:rPr>
          <w:rFonts w:ascii="Trebuchet MS"/>
          <w:sz w:val="16"/>
          <w:szCs w:val="16"/>
          <w:lang w:val="uk-UA"/>
        </w:rPr>
      </w:pPr>
      <w:r w:rsidRPr="00EC1816">
        <w:rPr>
          <w:rFonts w:ascii="Trebuchet MS"/>
          <w:spacing w:val="-5"/>
          <w:w w:val="95"/>
          <w:sz w:val="16"/>
          <w:szCs w:val="16"/>
          <w:lang w:val="uk-UA"/>
        </w:rPr>
        <w:t>47</w:t>
      </w:r>
      <w:r w:rsidRPr="00EC1816">
        <w:rPr>
          <w:rFonts w:ascii="Trebuchet MS"/>
          <w:sz w:val="16"/>
          <w:szCs w:val="16"/>
          <w:lang w:val="uk-UA"/>
        </w:rPr>
        <w:tab/>
      </w:r>
      <w:r w:rsidRPr="00EC1816">
        <w:rPr>
          <w:rFonts w:ascii="Trebuchet MS"/>
          <w:spacing w:val="-10"/>
          <w:w w:val="95"/>
          <w:sz w:val="16"/>
          <w:szCs w:val="16"/>
          <w:lang w:val="uk-UA"/>
        </w:rPr>
        <w:t>9</w:t>
      </w:r>
    </w:p>
    <w:p w14:paraId="64AB5953" w14:textId="77777777" w:rsidR="00E05B98" w:rsidRPr="00EC1816" w:rsidRDefault="00B01E0C">
      <w:pPr>
        <w:tabs>
          <w:tab w:val="left" w:pos="609"/>
        </w:tabs>
        <w:spacing w:before="38"/>
        <w:ind w:left="303"/>
        <w:rPr>
          <w:rFonts w:ascii="Trebuchet MS"/>
          <w:sz w:val="16"/>
          <w:szCs w:val="16"/>
          <w:lang w:val="uk-UA"/>
        </w:rPr>
      </w:pPr>
      <w:r w:rsidRPr="00EC1816">
        <w:rPr>
          <w:rFonts w:ascii="Trebuchet MS"/>
          <w:spacing w:val="-10"/>
          <w:w w:val="95"/>
          <w:sz w:val="16"/>
          <w:szCs w:val="16"/>
          <w:lang w:val="uk-UA"/>
        </w:rPr>
        <w:t>5</w:t>
      </w:r>
      <w:r w:rsidRPr="00EC1816">
        <w:rPr>
          <w:rFonts w:ascii="Trebuchet MS"/>
          <w:sz w:val="16"/>
          <w:szCs w:val="16"/>
          <w:lang w:val="uk-UA"/>
        </w:rPr>
        <w:tab/>
      </w:r>
      <w:r w:rsidRPr="00EC1816">
        <w:rPr>
          <w:rFonts w:ascii="Trebuchet MS"/>
          <w:spacing w:val="-10"/>
          <w:w w:val="95"/>
          <w:sz w:val="16"/>
          <w:szCs w:val="16"/>
          <w:lang w:val="uk-UA"/>
        </w:rPr>
        <w:t>7</w:t>
      </w:r>
    </w:p>
    <w:p w14:paraId="1C8EAFB4" w14:textId="77777777" w:rsidR="00E05B98" w:rsidRPr="00EC1816" w:rsidRDefault="00B01E0C">
      <w:pPr>
        <w:spacing w:before="38"/>
        <w:ind w:left="221"/>
        <w:rPr>
          <w:rFonts w:ascii="Trebuchet MS"/>
          <w:sz w:val="16"/>
          <w:szCs w:val="16"/>
          <w:lang w:val="uk-UA"/>
        </w:rPr>
      </w:pPr>
      <w:r w:rsidRPr="00EC1816">
        <w:rPr>
          <w:rFonts w:ascii="Trebuchet MS"/>
          <w:w w:val="95"/>
          <w:sz w:val="16"/>
          <w:szCs w:val="16"/>
          <w:lang w:val="uk-UA"/>
        </w:rPr>
        <w:t>17</w:t>
      </w:r>
      <w:r w:rsidRPr="00EC1816">
        <w:rPr>
          <w:rFonts w:ascii="Trebuchet MS"/>
          <w:spacing w:val="57"/>
          <w:w w:val="150"/>
          <w:sz w:val="16"/>
          <w:szCs w:val="16"/>
          <w:lang w:val="uk-UA"/>
        </w:rPr>
        <w:t xml:space="preserve"> </w:t>
      </w:r>
      <w:r w:rsidRPr="00EC1816">
        <w:rPr>
          <w:rFonts w:ascii="Trebuchet MS"/>
          <w:spacing w:val="-5"/>
          <w:w w:val="90"/>
          <w:sz w:val="16"/>
          <w:szCs w:val="16"/>
          <w:lang w:val="uk-UA"/>
        </w:rPr>
        <w:t>10</w:t>
      </w:r>
    </w:p>
    <w:p w14:paraId="28F74B1B" w14:textId="77777777" w:rsidR="00E05B98" w:rsidRPr="00EC1816" w:rsidRDefault="00B01E0C">
      <w:pPr>
        <w:tabs>
          <w:tab w:val="left" w:pos="609"/>
        </w:tabs>
        <w:spacing w:before="38"/>
        <w:ind w:left="303"/>
        <w:rPr>
          <w:rFonts w:ascii="Trebuchet MS"/>
          <w:sz w:val="16"/>
          <w:szCs w:val="16"/>
          <w:lang w:val="uk-UA"/>
        </w:rPr>
      </w:pPr>
      <w:r w:rsidRPr="00EC1816">
        <w:rPr>
          <w:rFonts w:ascii="Trebuchet MS"/>
          <w:spacing w:val="-10"/>
          <w:w w:val="95"/>
          <w:sz w:val="16"/>
          <w:szCs w:val="16"/>
          <w:lang w:val="uk-UA"/>
        </w:rPr>
        <w:t>2</w:t>
      </w:r>
      <w:r w:rsidRPr="00EC1816">
        <w:rPr>
          <w:rFonts w:ascii="Trebuchet MS"/>
          <w:sz w:val="16"/>
          <w:szCs w:val="16"/>
          <w:lang w:val="uk-UA"/>
        </w:rPr>
        <w:tab/>
      </w:r>
      <w:r w:rsidRPr="00EC1816">
        <w:rPr>
          <w:rFonts w:ascii="Trebuchet MS"/>
          <w:spacing w:val="-10"/>
          <w:w w:val="95"/>
          <w:sz w:val="16"/>
          <w:szCs w:val="16"/>
          <w:lang w:val="uk-UA"/>
        </w:rPr>
        <w:t>3</w:t>
      </w:r>
    </w:p>
    <w:p w14:paraId="320925EC" w14:textId="77777777" w:rsidR="00E05B98" w:rsidRPr="00EC1816" w:rsidRDefault="00B01E0C">
      <w:pPr>
        <w:tabs>
          <w:tab w:val="left" w:pos="609"/>
        </w:tabs>
        <w:spacing w:before="38"/>
        <w:ind w:left="221"/>
        <w:rPr>
          <w:rFonts w:ascii="Trebuchet MS"/>
          <w:sz w:val="16"/>
          <w:szCs w:val="16"/>
          <w:lang w:val="uk-UA"/>
        </w:rPr>
      </w:pPr>
      <w:r w:rsidRPr="00EC1816">
        <w:rPr>
          <w:rFonts w:ascii="Trebuchet MS"/>
          <w:spacing w:val="-5"/>
          <w:w w:val="95"/>
          <w:sz w:val="16"/>
          <w:szCs w:val="16"/>
          <w:lang w:val="uk-UA"/>
        </w:rPr>
        <w:t>12</w:t>
      </w:r>
      <w:r w:rsidRPr="00EC1816">
        <w:rPr>
          <w:rFonts w:ascii="Trebuchet MS"/>
          <w:sz w:val="16"/>
          <w:szCs w:val="16"/>
          <w:lang w:val="uk-UA"/>
        </w:rPr>
        <w:tab/>
      </w:r>
      <w:r w:rsidRPr="00EC1816">
        <w:rPr>
          <w:rFonts w:ascii="Trebuchet MS"/>
          <w:spacing w:val="-10"/>
          <w:w w:val="95"/>
          <w:sz w:val="16"/>
          <w:szCs w:val="16"/>
          <w:lang w:val="uk-UA"/>
        </w:rPr>
        <w:t>0</w:t>
      </w:r>
    </w:p>
    <w:p w14:paraId="2400A3C8" w14:textId="77777777" w:rsidR="00E05B98" w:rsidRPr="00EC1816" w:rsidRDefault="00B01E0C">
      <w:pPr>
        <w:spacing w:before="112"/>
        <w:ind w:left="80"/>
        <w:rPr>
          <w:rFonts w:ascii="Trebuchet MS"/>
          <w:sz w:val="16"/>
          <w:szCs w:val="16"/>
          <w:lang w:val="uk-UA"/>
        </w:rPr>
      </w:pPr>
      <w:r w:rsidRPr="00EC1816">
        <w:rPr>
          <w:sz w:val="16"/>
          <w:szCs w:val="16"/>
          <w:lang w:val="uk-UA"/>
        </w:rPr>
        <w:br w:type="column"/>
      </w:r>
      <w:r w:rsidRPr="00EC1816">
        <w:rPr>
          <w:rFonts w:ascii="Trebuchet MS"/>
          <w:color w:val="333333"/>
          <w:w w:val="95"/>
          <w:sz w:val="16"/>
          <w:szCs w:val="16"/>
          <w:lang w:val="uk-UA"/>
        </w:rPr>
        <w:t>FN</w:t>
      </w:r>
      <w:r w:rsidRPr="00EC1816">
        <w:rPr>
          <w:rFonts w:ascii="Trebuchet MS"/>
          <w:color w:val="333333"/>
          <w:spacing w:val="31"/>
          <w:sz w:val="16"/>
          <w:szCs w:val="16"/>
          <w:lang w:val="uk-UA"/>
        </w:rPr>
        <w:t xml:space="preserve">  </w:t>
      </w:r>
      <w:r w:rsidRPr="00EC1816">
        <w:rPr>
          <w:rFonts w:ascii="Trebuchet MS"/>
          <w:color w:val="333333"/>
          <w:spacing w:val="-7"/>
          <w:w w:val="90"/>
          <w:sz w:val="16"/>
          <w:szCs w:val="16"/>
          <w:lang w:val="uk-UA"/>
        </w:rPr>
        <w:t>TN</w:t>
      </w:r>
      <w:r w:rsidRPr="00EC1816">
        <w:rPr>
          <w:rFonts w:ascii="Trebuchet MS"/>
          <w:color w:val="333333"/>
          <w:w w:val="90"/>
          <w:sz w:val="16"/>
          <w:szCs w:val="16"/>
          <w:lang w:val="uk-UA"/>
        </w:rPr>
        <w:t xml:space="preserve"> </w:t>
      </w:r>
    </w:p>
    <w:p w14:paraId="4797E95A" w14:textId="77777777" w:rsidR="00E05B98" w:rsidRPr="00EC1816" w:rsidRDefault="00B01E0C">
      <w:pPr>
        <w:tabs>
          <w:tab w:val="left" w:pos="538"/>
        </w:tabs>
        <w:spacing w:before="68"/>
        <w:ind w:left="170"/>
        <w:rPr>
          <w:rFonts w:ascii="Trebuchet MS"/>
          <w:sz w:val="16"/>
          <w:szCs w:val="16"/>
          <w:lang w:val="uk-UA"/>
        </w:rPr>
      </w:pPr>
      <w:r w:rsidRPr="00EC1816">
        <w:rPr>
          <w:rFonts w:ascii="Trebuchet MS"/>
          <w:spacing w:val="-10"/>
          <w:w w:val="95"/>
          <w:sz w:val="16"/>
          <w:szCs w:val="16"/>
          <w:lang w:val="uk-UA"/>
        </w:rPr>
        <w:t>0</w:t>
      </w:r>
      <w:r w:rsidRPr="00EC1816">
        <w:rPr>
          <w:rFonts w:ascii="Trebuchet MS"/>
          <w:sz w:val="16"/>
          <w:szCs w:val="16"/>
          <w:lang w:val="uk-UA"/>
        </w:rPr>
        <w:tab/>
      </w:r>
      <w:r w:rsidRPr="00EC1816">
        <w:rPr>
          <w:rFonts w:ascii="Trebuchet MS"/>
          <w:spacing w:val="-10"/>
          <w:w w:val="95"/>
          <w:sz w:val="16"/>
          <w:szCs w:val="16"/>
          <w:lang w:val="uk-UA"/>
        </w:rPr>
        <w:t>1</w:t>
      </w:r>
    </w:p>
    <w:p w14:paraId="29DFF64B" w14:textId="77777777" w:rsidR="00E05B98" w:rsidRPr="00EC1816" w:rsidRDefault="00B01E0C">
      <w:pPr>
        <w:tabs>
          <w:tab w:val="left" w:pos="538"/>
        </w:tabs>
        <w:spacing w:before="38"/>
        <w:ind w:left="170"/>
        <w:rPr>
          <w:rFonts w:ascii="Trebuchet MS"/>
          <w:sz w:val="16"/>
          <w:szCs w:val="16"/>
          <w:lang w:val="uk-UA"/>
        </w:rPr>
      </w:pPr>
      <w:r w:rsidRPr="00EC1816">
        <w:rPr>
          <w:rFonts w:ascii="Trebuchet MS"/>
          <w:spacing w:val="-10"/>
          <w:w w:val="95"/>
          <w:sz w:val="16"/>
          <w:szCs w:val="16"/>
          <w:lang w:val="uk-UA"/>
        </w:rPr>
        <w:t>0</w:t>
      </w:r>
      <w:r w:rsidRPr="00EC1816">
        <w:rPr>
          <w:rFonts w:ascii="Trebuchet MS"/>
          <w:sz w:val="16"/>
          <w:szCs w:val="16"/>
          <w:lang w:val="uk-UA"/>
        </w:rPr>
        <w:tab/>
      </w:r>
      <w:r w:rsidRPr="00EC1816">
        <w:rPr>
          <w:rFonts w:ascii="Trebuchet MS"/>
          <w:spacing w:val="-10"/>
          <w:w w:val="95"/>
          <w:sz w:val="16"/>
          <w:szCs w:val="16"/>
          <w:lang w:val="uk-UA"/>
        </w:rPr>
        <w:t>1</w:t>
      </w:r>
    </w:p>
    <w:p w14:paraId="0FF8517F" w14:textId="77777777" w:rsidR="00E05B98" w:rsidRPr="00EC1816" w:rsidRDefault="00B01E0C">
      <w:pPr>
        <w:tabs>
          <w:tab w:val="left" w:pos="538"/>
        </w:tabs>
        <w:spacing w:before="38"/>
        <w:ind w:left="170"/>
        <w:rPr>
          <w:rFonts w:ascii="Trebuchet MS"/>
          <w:sz w:val="16"/>
          <w:szCs w:val="16"/>
          <w:lang w:val="uk-UA"/>
        </w:rPr>
      </w:pPr>
      <w:r w:rsidRPr="00EC1816">
        <w:rPr>
          <w:rFonts w:ascii="Trebuchet MS"/>
          <w:spacing w:val="-10"/>
          <w:w w:val="95"/>
          <w:sz w:val="16"/>
          <w:szCs w:val="16"/>
          <w:lang w:val="uk-UA"/>
        </w:rPr>
        <w:t>0</w:t>
      </w:r>
      <w:r w:rsidRPr="00EC1816">
        <w:rPr>
          <w:rFonts w:ascii="Trebuchet MS"/>
          <w:sz w:val="16"/>
          <w:szCs w:val="16"/>
          <w:lang w:val="uk-UA"/>
        </w:rPr>
        <w:tab/>
      </w:r>
      <w:r w:rsidRPr="00EC1816">
        <w:rPr>
          <w:rFonts w:ascii="Trebuchet MS"/>
          <w:spacing w:val="-10"/>
          <w:w w:val="95"/>
          <w:sz w:val="16"/>
          <w:szCs w:val="16"/>
          <w:lang w:val="uk-UA"/>
        </w:rPr>
        <w:t>6</w:t>
      </w:r>
    </w:p>
    <w:p w14:paraId="445B3C18" w14:textId="77777777" w:rsidR="00E05B98" w:rsidRPr="00EC1816" w:rsidRDefault="00B01E0C">
      <w:pPr>
        <w:tabs>
          <w:tab w:val="left" w:pos="456"/>
        </w:tabs>
        <w:spacing w:before="38"/>
        <w:ind w:left="170"/>
        <w:rPr>
          <w:rFonts w:ascii="Trebuchet MS"/>
          <w:sz w:val="16"/>
          <w:szCs w:val="16"/>
          <w:lang w:val="uk-UA"/>
        </w:rPr>
      </w:pPr>
      <w:r w:rsidRPr="00EC1816">
        <w:rPr>
          <w:rFonts w:ascii="Trebuchet MS"/>
          <w:spacing w:val="-10"/>
          <w:w w:val="95"/>
          <w:sz w:val="16"/>
          <w:szCs w:val="16"/>
          <w:lang w:val="uk-UA"/>
        </w:rPr>
        <w:t>0</w:t>
      </w:r>
      <w:r w:rsidRPr="00EC1816">
        <w:rPr>
          <w:rFonts w:ascii="Trebuchet MS"/>
          <w:sz w:val="16"/>
          <w:szCs w:val="16"/>
          <w:lang w:val="uk-UA"/>
        </w:rPr>
        <w:tab/>
      </w:r>
      <w:r w:rsidRPr="00EC1816">
        <w:rPr>
          <w:rFonts w:ascii="Trebuchet MS"/>
          <w:spacing w:val="-5"/>
          <w:w w:val="95"/>
          <w:sz w:val="16"/>
          <w:szCs w:val="16"/>
          <w:lang w:val="uk-UA"/>
        </w:rPr>
        <w:t>25</w:t>
      </w:r>
    </w:p>
    <w:p w14:paraId="7B1D3F14" w14:textId="77777777" w:rsidR="00E05B98" w:rsidRPr="00EC1816" w:rsidRDefault="00B01E0C">
      <w:pPr>
        <w:tabs>
          <w:tab w:val="left" w:pos="456"/>
        </w:tabs>
        <w:spacing w:before="37"/>
        <w:ind w:left="170"/>
        <w:rPr>
          <w:rFonts w:ascii="Trebuchet MS"/>
          <w:sz w:val="16"/>
          <w:szCs w:val="16"/>
          <w:lang w:val="uk-UA"/>
        </w:rPr>
      </w:pPr>
      <w:r w:rsidRPr="00EC1816">
        <w:rPr>
          <w:rFonts w:ascii="Trebuchet MS"/>
          <w:spacing w:val="-10"/>
          <w:w w:val="95"/>
          <w:sz w:val="16"/>
          <w:szCs w:val="16"/>
          <w:lang w:val="uk-UA"/>
        </w:rPr>
        <w:t>1</w:t>
      </w:r>
      <w:r w:rsidRPr="00EC1816">
        <w:rPr>
          <w:rFonts w:ascii="Trebuchet MS"/>
          <w:sz w:val="16"/>
          <w:szCs w:val="16"/>
          <w:lang w:val="uk-UA"/>
        </w:rPr>
        <w:tab/>
      </w:r>
      <w:r w:rsidRPr="00EC1816">
        <w:rPr>
          <w:rFonts w:ascii="Trebuchet MS"/>
          <w:spacing w:val="-5"/>
          <w:w w:val="95"/>
          <w:sz w:val="16"/>
          <w:szCs w:val="16"/>
          <w:lang w:val="uk-UA"/>
        </w:rPr>
        <w:t>93</w:t>
      </w:r>
    </w:p>
    <w:p w14:paraId="2C09E4B8" w14:textId="77777777" w:rsidR="00E05B98" w:rsidRPr="00EC1816" w:rsidRDefault="00B01E0C">
      <w:pPr>
        <w:tabs>
          <w:tab w:val="left" w:pos="456"/>
        </w:tabs>
        <w:spacing w:before="38"/>
        <w:ind w:left="170"/>
        <w:rPr>
          <w:rFonts w:ascii="Trebuchet MS"/>
          <w:sz w:val="16"/>
          <w:szCs w:val="16"/>
          <w:lang w:val="uk-UA"/>
        </w:rPr>
      </w:pPr>
      <w:r w:rsidRPr="00EC1816">
        <w:rPr>
          <w:rFonts w:ascii="Trebuchet MS"/>
          <w:spacing w:val="-10"/>
          <w:w w:val="95"/>
          <w:sz w:val="16"/>
          <w:szCs w:val="16"/>
          <w:lang w:val="uk-UA"/>
        </w:rPr>
        <w:t>7</w:t>
      </w:r>
      <w:r w:rsidRPr="00EC1816">
        <w:rPr>
          <w:rFonts w:ascii="Trebuchet MS"/>
          <w:sz w:val="16"/>
          <w:szCs w:val="16"/>
          <w:lang w:val="uk-UA"/>
        </w:rPr>
        <w:tab/>
      </w:r>
      <w:r w:rsidRPr="00EC1816">
        <w:rPr>
          <w:rFonts w:ascii="Trebuchet MS"/>
          <w:spacing w:val="-5"/>
          <w:w w:val="95"/>
          <w:sz w:val="16"/>
          <w:szCs w:val="16"/>
          <w:lang w:val="uk-UA"/>
        </w:rPr>
        <w:t>71</w:t>
      </w:r>
    </w:p>
    <w:p w14:paraId="12982377" w14:textId="77777777" w:rsidR="00E05B98" w:rsidRPr="00EC1816" w:rsidRDefault="00B01E0C">
      <w:pPr>
        <w:spacing w:before="38"/>
        <w:ind w:left="89"/>
        <w:rPr>
          <w:rFonts w:ascii="Trebuchet MS"/>
          <w:sz w:val="16"/>
          <w:szCs w:val="16"/>
          <w:lang w:val="uk-UA"/>
        </w:rPr>
      </w:pPr>
      <w:r w:rsidRPr="00EC1816">
        <w:rPr>
          <w:rFonts w:ascii="Trebuchet MS"/>
          <w:w w:val="95"/>
          <w:sz w:val="16"/>
          <w:szCs w:val="16"/>
          <w:lang w:val="uk-UA"/>
        </w:rPr>
        <w:t>19</w:t>
      </w:r>
      <w:r w:rsidRPr="00EC1816">
        <w:rPr>
          <w:rFonts w:ascii="Trebuchet MS"/>
          <w:spacing w:val="63"/>
          <w:sz w:val="16"/>
          <w:szCs w:val="16"/>
          <w:lang w:val="uk-UA"/>
        </w:rPr>
        <w:t xml:space="preserve"> </w:t>
      </w:r>
      <w:r w:rsidRPr="00EC1816">
        <w:rPr>
          <w:rFonts w:ascii="Trebuchet MS"/>
          <w:spacing w:val="-5"/>
          <w:w w:val="90"/>
          <w:sz w:val="16"/>
          <w:szCs w:val="16"/>
          <w:lang w:val="uk-UA"/>
        </w:rPr>
        <w:t>499</w:t>
      </w:r>
    </w:p>
    <w:p w14:paraId="71953DAE" w14:textId="77777777" w:rsidR="00E05B98" w:rsidRPr="00EC1816" w:rsidRDefault="00B01E0C">
      <w:pPr>
        <w:spacing w:before="38"/>
        <w:ind w:left="170"/>
        <w:rPr>
          <w:rFonts w:ascii="Trebuchet MS"/>
          <w:sz w:val="16"/>
          <w:szCs w:val="16"/>
          <w:lang w:val="uk-UA"/>
        </w:rPr>
      </w:pPr>
      <w:r w:rsidRPr="00EC1816">
        <w:rPr>
          <w:rFonts w:ascii="Trebuchet MS"/>
          <w:w w:val="95"/>
          <w:sz w:val="16"/>
          <w:szCs w:val="16"/>
          <w:lang w:val="uk-UA"/>
        </w:rPr>
        <w:t>1</w:t>
      </w:r>
      <w:r w:rsidRPr="00EC1816">
        <w:rPr>
          <w:rFonts w:ascii="Trebuchet MS"/>
          <w:spacing w:val="67"/>
          <w:sz w:val="16"/>
          <w:szCs w:val="16"/>
          <w:lang w:val="uk-UA"/>
        </w:rPr>
        <w:t xml:space="preserve"> </w:t>
      </w:r>
      <w:r w:rsidRPr="00EC1816">
        <w:rPr>
          <w:rFonts w:ascii="Trebuchet MS"/>
          <w:spacing w:val="-5"/>
          <w:w w:val="90"/>
          <w:sz w:val="16"/>
          <w:szCs w:val="16"/>
          <w:lang w:val="uk-UA"/>
        </w:rPr>
        <w:t>379</w:t>
      </w:r>
    </w:p>
    <w:p w14:paraId="056C37EC" w14:textId="77777777" w:rsidR="00E05B98" w:rsidRPr="00EC1816" w:rsidRDefault="00B01E0C">
      <w:pPr>
        <w:tabs>
          <w:tab w:val="left" w:pos="456"/>
        </w:tabs>
        <w:spacing w:before="38"/>
        <w:ind w:left="170"/>
        <w:rPr>
          <w:rFonts w:ascii="Trebuchet MS"/>
          <w:sz w:val="16"/>
          <w:szCs w:val="16"/>
          <w:lang w:val="uk-UA"/>
        </w:rPr>
      </w:pPr>
      <w:r w:rsidRPr="00EC1816">
        <w:rPr>
          <w:rFonts w:ascii="Trebuchet MS"/>
          <w:spacing w:val="-10"/>
          <w:w w:val="95"/>
          <w:sz w:val="16"/>
          <w:szCs w:val="16"/>
          <w:lang w:val="uk-UA"/>
        </w:rPr>
        <w:t>2</w:t>
      </w:r>
      <w:r w:rsidRPr="00EC1816">
        <w:rPr>
          <w:rFonts w:ascii="Trebuchet MS"/>
          <w:sz w:val="16"/>
          <w:szCs w:val="16"/>
          <w:lang w:val="uk-UA"/>
        </w:rPr>
        <w:tab/>
      </w:r>
      <w:r w:rsidRPr="00EC1816">
        <w:rPr>
          <w:rFonts w:ascii="Trebuchet MS"/>
          <w:spacing w:val="-5"/>
          <w:w w:val="95"/>
          <w:sz w:val="16"/>
          <w:szCs w:val="16"/>
          <w:lang w:val="uk-UA"/>
        </w:rPr>
        <w:t>71</w:t>
      </w:r>
    </w:p>
    <w:p w14:paraId="23AA0804" w14:textId="77777777" w:rsidR="00E05B98" w:rsidRPr="00EC1816" w:rsidRDefault="00B01E0C">
      <w:pPr>
        <w:spacing w:before="37"/>
        <w:ind w:left="89"/>
        <w:rPr>
          <w:rFonts w:ascii="Trebuchet MS"/>
          <w:sz w:val="16"/>
          <w:szCs w:val="16"/>
          <w:lang w:val="uk-UA"/>
        </w:rPr>
      </w:pPr>
      <w:r w:rsidRPr="00EC1816">
        <w:rPr>
          <w:rFonts w:ascii="Trebuchet MS"/>
          <w:w w:val="95"/>
          <w:sz w:val="16"/>
          <w:szCs w:val="16"/>
          <w:lang w:val="uk-UA"/>
        </w:rPr>
        <w:t>11</w:t>
      </w:r>
      <w:r w:rsidRPr="00EC1816">
        <w:rPr>
          <w:rFonts w:ascii="Trebuchet MS"/>
          <w:spacing w:val="63"/>
          <w:sz w:val="16"/>
          <w:szCs w:val="16"/>
          <w:lang w:val="uk-UA"/>
        </w:rPr>
        <w:t xml:space="preserve"> </w:t>
      </w:r>
      <w:r w:rsidRPr="00EC1816">
        <w:rPr>
          <w:rFonts w:ascii="Trebuchet MS"/>
          <w:spacing w:val="-5"/>
          <w:w w:val="90"/>
          <w:sz w:val="16"/>
          <w:szCs w:val="16"/>
          <w:lang w:val="uk-UA"/>
        </w:rPr>
        <w:t>519</w:t>
      </w:r>
    </w:p>
    <w:p w14:paraId="4D024C88" w14:textId="77777777" w:rsidR="00E05B98" w:rsidRPr="00EC1816" w:rsidRDefault="00B01E0C">
      <w:pPr>
        <w:spacing w:before="38"/>
        <w:ind w:left="89"/>
        <w:rPr>
          <w:rFonts w:ascii="Trebuchet MS"/>
          <w:sz w:val="16"/>
          <w:szCs w:val="16"/>
          <w:lang w:val="uk-UA"/>
        </w:rPr>
      </w:pPr>
      <w:r w:rsidRPr="00EC1816">
        <w:rPr>
          <w:rFonts w:ascii="Trebuchet MS"/>
          <w:w w:val="95"/>
          <w:sz w:val="16"/>
          <w:szCs w:val="16"/>
          <w:lang w:val="uk-UA"/>
        </w:rPr>
        <w:t>18</w:t>
      </w:r>
      <w:r w:rsidRPr="00EC1816">
        <w:rPr>
          <w:rFonts w:ascii="Trebuchet MS"/>
          <w:spacing w:val="63"/>
          <w:sz w:val="16"/>
          <w:szCs w:val="16"/>
          <w:lang w:val="uk-UA"/>
        </w:rPr>
        <w:t xml:space="preserve"> </w:t>
      </w:r>
      <w:r w:rsidRPr="00EC1816">
        <w:rPr>
          <w:rFonts w:ascii="Trebuchet MS"/>
          <w:spacing w:val="-5"/>
          <w:w w:val="90"/>
          <w:sz w:val="16"/>
          <w:szCs w:val="16"/>
          <w:lang w:val="uk-UA"/>
        </w:rPr>
        <w:t>261</w:t>
      </w:r>
    </w:p>
    <w:p w14:paraId="6C3ED765" w14:textId="77777777" w:rsidR="00E05B98" w:rsidRPr="00EC1816" w:rsidRDefault="00B01E0C">
      <w:pPr>
        <w:tabs>
          <w:tab w:val="left" w:pos="456"/>
        </w:tabs>
        <w:spacing w:before="38"/>
        <w:ind w:left="170"/>
        <w:rPr>
          <w:rFonts w:ascii="Trebuchet MS"/>
          <w:sz w:val="16"/>
          <w:szCs w:val="16"/>
          <w:lang w:val="uk-UA"/>
        </w:rPr>
      </w:pPr>
      <w:r w:rsidRPr="00EC1816">
        <w:rPr>
          <w:rFonts w:ascii="Trebuchet MS"/>
          <w:spacing w:val="-10"/>
          <w:w w:val="95"/>
          <w:sz w:val="16"/>
          <w:szCs w:val="16"/>
          <w:lang w:val="uk-UA"/>
        </w:rPr>
        <w:t>2</w:t>
      </w:r>
      <w:r w:rsidRPr="00EC1816">
        <w:rPr>
          <w:rFonts w:ascii="Trebuchet MS"/>
          <w:sz w:val="16"/>
          <w:szCs w:val="16"/>
          <w:lang w:val="uk-UA"/>
        </w:rPr>
        <w:tab/>
      </w:r>
      <w:r w:rsidRPr="00EC1816">
        <w:rPr>
          <w:rFonts w:ascii="Trebuchet MS"/>
          <w:spacing w:val="-5"/>
          <w:w w:val="95"/>
          <w:sz w:val="16"/>
          <w:szCs w:val="16"/>
          <w:lang w:val="uk-UA"/>
        </w:rPr>
        <w:t>56</w:t>
      </w:r>
    </w:p>
    <w:p w14:paraId="41DA1D4D" w14:textId="77777777" w:rsidR="00E05B98" w:rsidRPr="00EC1816" w:rsidRDefault="00B01E0C">
      <w:pPr>
        <w:spacing w:before="38"/>
        <w:ind w:left="170"/>
        <w:rPr>
          <w:rFonts w:ascii="Trebuchet MS"/>
          <w:sz w:val="16"/>
          <w:szCs w:val="16"/>
          <w:lang w:val="uk-UA"/>
        </w:rPr>
      </w:pPr>
      <w:r w:rsidRPr="00EC1816">
        <w:rPr>
          <w:rFonts w:ascii="Trebuchet MS"/>
          <w:w w:val="95"/>
          <w:sz w:val="16"/>
          <w:szCs w:val="16"/>
          <w:lang w:val="uk-UA"/>
        </w:rPr>
        <w:t>8</w:t>
      </w:r>
      <w:r w:rsidRPr="00EC1816">
        <w:rPr>
          <w:rFonts w:ascii="Trebuchet MS"/>
          <w:spacing w:val="67"/>
          <w:sz w:val="16"/>
          <w:szCs w:val="16"/>
          <w:lang w:val="uk-UA"/>
        </w:rPr>
        <w:t xml:space="preserve"> </w:t>
      </w:r>
      <w:r w:rsidRPr="00EC1816">
        <w:rPr>
          <w:rFonts w:ascii="Trebuchet MS"/>
          <w:spacing w:val="-5"/>
          <w:w w:val="90"/>
          <w:sz w:val="16"/>
          <w:szCs w:val="16"/>
          <w:lang w:val="uk-UA"/>
        </w:rPr>
        <w:t>340</w:t>
      </w:r>
    </w:p>
    <w:p w14:paraId="67A2E41E" w14:textId="77777777" w:rsidR="00E05B98" w:rsidRPr="00EC1816" w:rsidRDefault="00B01E0C">
      <w:pPr>
        <w:tabs>
          <w:tab w:val="left" w:pos="456"/>
        </w:tabs>
        <w:spacing w:before="37"/>
        <w:ind w:left="170"/>
        <w:rPr>
          <w:rFonts w:ascii="Trebuchet MS"/>
          <w:sz w:val="16"/>
          <w:szCs w:val="16"/>
          <w:lang w:val="uk-UA"/>
        </w:rPr>
      </w:pPr>
      <w:r w:rsidRPr="00EC1816">
        <w:rPr>
          <w:rFonts w:ascii="Trebuchet MS"/>
          <w:spacing w:val="-10"/>
          <w:w w:val="95"/>
          <w:sz w:val="16"/>
          <w:szCs w:val="16"/>
          <w:lang w:val="uk-UA"/>
        </w:rPr>
        <w:t>1</w:t>
      </w:r>
      <w:r w:rsidRPr="00EC1816">
        <w:rPr>
          <w:rFonts w:ascii="Trebuchet MS"/>
          <w:sz w:val="16"/>
          <w:szCs w:val="16"/>
          <w:lang w:val="uk-UA"/>
        </w:rPr>
        <w:tab/>
      </w:r>
      <w:r w:rsidRPr="00EC1816">
        <w:rPr>
          <w:rFonts w:ascii="Trebuchet MS"/>
          <w:spacing w:val="-5"/>
          <w:w w:val="95"/>
          <w:sz w:val="16"/>
          <w:szCs w:val="16"/>
          <w:lang w:val="uk-UA"/>
        </w:rPr>
        <w:t>68</w:t>
      </w:r>
    </w:p>
    <w:p w14:paraId="6F16483C" w14:textId="77777777" w:rsidR="00E05B98" w:rsidRPr="00EC1816" w:rsidRDefault="00B01E0C">
      <w:pPr>
        <w:spacing w:before="38"/>
        <w:ind w:left="170"/>
        <w:rPr>
          <w:rFonts w:ascii="Trebuchet MS"/>
          <w:sz w:val="16"/>
          <w:szCs w:val="16"/>
          <w:lang w:val="uk-UA"/>
        </w:rPr>
      </w:pPr>
      <w:r w:rsidRPr="00EC1816">
        <w:rPr>
          <w:rFonts w:ascii="Trebuchet MS"/>
          <w:w w:val="95"/>
          <w:sz w:val="16"/>
          <w:szCs w:val="16"/>
          <w:lang w:val="uk-UA"/>
        </w:rPr>
        <w:t>9</w:t>
      </w:r>
      <w:r w:rsidRPr="00EC1816">
        <w:rPr>
          <w:rFonts w:ascii="Trebuchet MS"/>
          <w:spacing w:val="67"/>
          <w:sz w:val="16"/>
          <w:szCs w:val="16"/>
          <w:lang w:val="uk-UA"/>
        </w:rPr>
        <w:t xml:space="preserve"> </w:t>
      </w:r>
      <w:r w:rsidRPr="00EC1816">
        <w:rPr>
          <w:rFonts w:ascii="Trebuchet MS"/>
          <w:spacing w:val="-5"/>
          <w:w w:val="90"/>
          <w:sz w:val="16"/>
          <w:szCs w:val="16"/>
          <w:lang w:val="uk-UA"/>
        </w:rPr>
        <w:t>122</w:t>
      </w:r>
    </w:p>
    <w:p w14:paraId="44DE10DF" w14:textId="757DB61E" w:rsidR="00E05B98" w:rsidRPr="00EC1816" w:rsidRDefault="00B01E0C" w:rsidP="00EC1816">
      <w:pPr>
        <w:spacing w:before="110" w:line="304" w:lineRule="auto"/>
        <w:ind w:left="284"/>
        <w:rPr>
          <w:rFonts w:ascii="Trebuchet MS"/>
          <w:sz w:val="16"/>
          <w:szCs w:val="16"/>
          <w:lang w:val="uk-UA"/>
        </w:rPr>
      </w:pPr>
      <w:r w:rsidRPr="00EC1816">
        <w:rPr>
          <w:sz w:val="16"/>
          <w:szCs w:val="16"/>
          <w:lang w:val="uk-UA"/>
        </w:rPr>
        <w:br w:type="column"/>
      </w:r>
      <w:r w:rsidR="003E4529" w:rsidRPr="00EC1816">
        <w:rPr>
          <w:rFonts w:ascii="Trebuchet MS"/>
          <w:color w:val="333333"/>
          <w:w w:val="85"/>
          <w:sz w:val="16"/>
          <w:szCs w:val="16"/>
          <w:lang w:val="uk-UA"/>
        </w:rPr>
        <w:t>Чутливість</w:t>
      </w:r>
      <w:r w:rsidRPr="00EC1816">
        <w:rPr>
          <w:rFonts w:ascii="Trebuchet MS"/>
          <w:color w:val="333333"/>
          <w:spacing w:val="-5"/>
          <w:sz w:val="16"/>
          <w:szCs w:val="16"/>
          <w:lang w:val="uk-UA"/>
        </w:rPr>
        <w:t xml:space="preserve"> </w:t>
      </w:r>
      <w:r w:rsidRPr="00EC1816">
        <w:rPr>
          <w:rFonts w:ascii="Trebuchet MS"/>
          <w:color w:val="333333"/>
          <w:w w:val="85"/>
          <w:sz w:val="16"/>
          <w:szCs w:val="16"/>
          <w:lang w:val="uk-UA"/>
        </w:rPr>
        <w:t>(</w:t>
      </w:r>
      <w:r w:rsidR="00EC1816">
        <w:rPr>
          <w:rFonts w:ascii="Trebuchet MS"/>
          <w:color w:val="333333"/>
          <w:w w:val="85"/>
          <w:sz w:val="16"/>
          <w:szCs w:val="16"/>
          <w:lang w:val="uk-UA"/>
        </w:rPr>
        <w:t xml:space="preserve">                </w:t>
      </w:r>
      <w:r w:rsidR="00EC1816">
        <w:rPr>
          <w:rFonts w:ascii="Trebuchet MS"/>
          <w:w w:val="85"/>
          <w:sz w:val="16"/>
          <w:szCs w:val="16"/>
          <w:lang w:val="uk-UA"/>
        </w:rPr>
        <w:t>Не</w:t>
      </w:r>
      <w:r w:rsidR="00EC1816">
        <w:rPr>
          <w:rFonts w:ascii="Trebuchet MS"/>
          <w:w w:val="85"/>
          <w:sz w:val="16"/>
          <w:szCs w:val="16"/>
          <w:lang w:val="uk-UA"/>
        </w:rPr>
        <w:t xml:space="preserve"> </w:t>
      </w:r>
      <w:r w:rsidR="00EC1816">
        <w:rPr>
          <w:rFonts w:ascii="Trebuchet MS"/>
          <w:w w:val="85"/>
          <w:sz w:val="16"/>
          <w:szCs w:val="16"/>
          <w:lang w:val="uk-UA"/>
        </w:rPr>
        <w:t>підлягає</w:t>
      </w:r>
      <w:r w:rsidR="00EC1816">
        <w:rPr>
          <w:rFonts w:ascii="Trebuchet MS"/>
          <w:w w:val="85"/>
          <w:sz w:val="16"/>
          <w:szCs w:val="16"/>
          <w:lang w:val="uk-UA"/>
        </w:rPr>
        <w:t xml:space="preserve"> </w:t>
      </w:r>
      <w:r w:rsidR="00EC1816">
        <w:rPr>
          <w:rFonts w:ascii="Trebuchet MS"/>
          <w:w w:val="85"/>
          <w:sz w:val="16"/>
          <w:szCs w:val="16"/>
          <w:lang w:val="uk-UA"/>
        </w:rPr>
        <w:t>оцінці</w:t>
      </w:r>
      <w:r w:rsidRPr="00EC1816">
        <w:rPr>
          <w:rFonts w:ascii="Trebuchet MS"/>
          <w:w w:val="85"/>
          <w:sz w:val="16"/>
          <w:szCs w:val="16"/>
          <w:lang w:val="uk-UA"/>
        </w:rPr>
        <w:t xml:space="preserve"> </w:t>
      </w:r>
      <w:r w:rsidR="00EC1816">
        <w:rPr>
          <w:rFonts w:ascii="Trebuchet MS"/>
          <w:w w:val="85"/>
          <w:sz w:val="16"/>
          <w:szCs w:val="16"/>
          <w:lang w:val="uk-UA"/>
        </w:rPr>
        <w:t>Не</w:t>
      </w:r>
      <w:r w:rsidR="00EC1816">
        <w:rPr>
          <w:rFonts w:ascii="Trebuchet MS"/>
          <w:w w:val="85"/>
          <w:sz w:val="16"/>
          <w:szCs w:val="16"/>
          <w:lang w:val="uk-UA"/>
        </w:rPr>
        <w:t xml:space="preserve"> </w:t>
      </w:r>
      <w:r w:rsidR="00EC1816">
        <w:rPr>
          <w:rFonts w:ascii="Trebuchet MS"/>
          <w:w w:val="85"/>
          <w:sz w:val="16"/>
          <w:szCs w:val="16"/>
          <w:lang w:val="uk-UA"/>
        </w:rPr>
        <w:t>підлягає</w:t>
      </w:r>
      <w:r w:rsidR="00EC1816">
        <w:rPr>
          <w:rFonts w:ascii="Trebuchet MS"/>
          <w:w w:val="85"/>
          <w:sz w:val="16"/>
          <w:szCs w:val="16"/>
          <w:lang w:val="uk-UA"/>
        </w:rPr>
        <w:t xml:space="preserve"> </w:t>
      </w:r>
      <w:r w:rsidR="00EC1816">
        <w:rPr>
          <w:rFonts w:ascii="Trebuchet MS"/>
          <w:w w:val="85"/>
          <w:sz w:val="16"/>
          <w:szCs w:val="16"/>
          <w:lang w:val="uk-UA"/>
        </w:rPr>
        <w:t>оцінці</w:t>
      </w:r>
    </w:p>
    <w:p w14:paraId="163A0438" w14:textId="39B98C6E" w:rsidR="00E05B98" w:rsidRPr="00EC1816" w:rsidRDefault="00EC1816" w:rsidP="00EC1816">
      <w:pPr>
        <w:spacing w:line="182" w:lineRule="exact"/>
        <w:ind w:left="284"/>
        <w:rPr>
          <w:rFonts w:ascii="Trebuchet MS"/>
          <w:sz w:val="16"/>
          <w:szCs w:val="16"/>
          <w:lang w:val="uk-UA"/>
        </w:rPr>
      </w:pPr>
      <w:r>
        <w:rPr>
          <w:rFonts w:ascii="Trebuchet MS"/>
          <w:w w:val="85"/>
          <w:sz w:val="16"/>
          <w:szCs w:val="16"/>
          <w:lang w:val="uk-UA"/>
        </w:rPr>
        <w:t>Не</w:t>
      </w:r>
      <w:r>
        <w:rPr>
          <w:rFonts w:ascii="Trebuchet MS"/>
          <w:w w:val="85"/>
          <w:sz w:val="16"/>
          <w:szCs w:val="16"/>
          <w:lang w:val="uk-UA"/>
        </w:rPr>
        <w:t xml:space="preserve"> </w:t>
      </w:r>
      <w:r>
        <w:rPr>
          <w:rFonts w:ascii="Trebuchet MS"/>
          <w:w w:val="85"/>
          <w:sz w:val="16"/>
          <w:szCs w:val="16"/>
          <w:lang w:val="uk-UA"/>
        </w:rPr>
        <w:t>підлягає</w:t>
      </w:r>
      <w:r>
        <w:rPr>
          <w:rFonts w:ascii="Trebuchet MS"/>
          <w:w w:val="85"/>
          <w:sz w:val="16"/>
          <w:szCs w:val="16"/>
          <w:lang w:val="uk-UA"/>
        </w:rPr>
        <w:t xml:space="preserve"> </w:t>
      </w:r>
      <w:r>
        <w:rPr>
          <w:rFonts w:ascii="Trebuchet MS"/>
          <w:w w:val="85"/>
          <w:sz w:val="16"/>
          <w:szCs w:val="16"/>
          <w:lang w:val="uk-UA"/>
        </w:rPr>
        <w:t>оцінці</w:t>
      </w:r>
    </w:p>
    <w:p w14:paraId="4AC09D94" w14:textId="11E3FE00" w:rsidR="00E05B98" w:rsidRPr="00EC1816" w:rsidRDefault="00EC1816" w:rsidP="00EC1816">
      <w:pPr>
        <w:spacing w:before="38"/>
        <w:ind w:left="284"/>
        <w:rPr>
          <w:rFonts w:ascii="Trebuchet MS"/>
          <w:sz w:val="16"/>
          <w:szCs w:val="16"/>
          <w:lang w:val="uk-UA"/>
        </w:rPr>
      </w:pPr>
      <w:r>
        <w:rPr>
          <w:rFonts w:ascii="Trebuchet MS"/>
          <w:w w:val="85"/>
          <w:sz w:val="16"/>
          <w:szCs w:val="16"/>
          <w:lang w:val="uk-UA"/>
        </w:rPr>
        <w:t>Не</w:t>
      </w:r>
      <w:r>
        <w:rPr>
          <w:rFonts w:ascii="Trebuchet MS"/>
          <w:w w:val="85"/>
          <w:sz w:val="16"/>
          <w:szCs w:val="16"/>
          <w:lang w:val="uk-UA"/>
        </w:rPr>
        <w:t xml:space="preserve"> </w:t>
      </w:r>
      <w:r>
        <w:rPr>
          <w:rFonts w:ascii="Trebuchet MS"/>
          <w:w w:val="85"/>
          <w:sz w:val="16"/>
          <w:szCs w:val="16"/>
          <w:lang w:val="uk-UA"/>
        </w:rPr>
        <w:t>підлягає</w:t>
      </w:r>
      <w:r>
        <w:rPr>
          <w:rFonts w:ascii="Trebuchet MS"/>
          <w:w w:val="85"/>
          <w:sz w:val="16"/>
          <w:szCs w:val="16"/>
          <w:lang w:val="uk-UA"/>
        </w:rPr>
        <w:t xml:space="preserve"> </w:t>
      </w:r>
      <w:r>
        <w:rPr>
          <w:rFonts w:ascii="Trebuchet MS"/>
          <w:w w:val="85"/>
          <w:sz w:val="16"/>
          <w:szCs w:val="16"/>
          <w:lang w:val="uk-UA"/>
        </w:rPr>
        <w:t>оцінці</w:t>
      </w:r>
    </w:p>
    <w:p w14:paraId="5A6A0A4F" w14:textId="77777777" w:rsidR="00E05B98" w:rsidRPr="00EC1816" w:rsidRDefault="00B01E0C">
      <w:pPr>
        <w:spacing w:before="38"/>
        <w:ind w:left="349"/>
        <w:rPr>
          <w:rFonts w:ascii="Trebuchet MS"/>
          <w:sz w:val="16"/>
          <w:szCs w:val="16"/>
          <w:lang w:val="uk-UA"/>
        </w:rPr>
      </w:pPr>
      <w:r w:rsidRPr="00EC1816">
        <w:rPr>
          <w:rFonts w:ascii="Trebuchet MS"/>
          <w:w w:val="75"/>
          <w:sz w:val="16"/>
          <w:szCs w:val="16"/>
          <w:lang w:val="uk-UA"/>
        </w:rPr>
        <w:t>0.91</w:t>
      </w:r>
      <w:r w:rsidRPr="00EC1816">
        <w:rPr>
          <w:rFonts w:ascii="Trebuchet MS"/>
          <w:spacing w:val="14"/>
          <w:sz w:val="16"/>
          <w:szCs w:val="16"/>
          <w:lang w:val="uk-UA"/>
        </w:rPr>
        <w:t xml:space="preserve"> </w:t>
      </w:r>
      <w:r w:rsidRPr="00EC1816">
        <w:rPr>
          <w:rFonts w:ascii="Trebuchet MS"/>
          <w:w w:val="75"/>
          <w:sz w:val="16"/>
          <w:szCs w:val="16"/>
          <w:lang w:val="uk-UA"/>
        </w:rPr>
        <w:t>[0.59,</w:t>
      </w:r>
      <w:r w:rsidRPr="00EC1816">
        <w:rPr>
          <w:rFonts w:ascii="Trebuchet MS"/>
          <w:spacing w:val="20"/>
          <w:sz w:val="16"/>
          <w:szCs w:val="16"/>
          <w:lang w:val="uk-UA"/>
        </w:rPr>
        <w:t xml:space="preserve"> </w:t>
      </w:r>
      <w:r w:rsidRPr="00EC1816">
        <w:rPr>
          <w:rFonts w:ascii="Trebuchet MS"/>
          <w:spacing w:val="-2"/>
          <w:w w:val="75"/>
          <w:sz w:val="16"/>
          <w:szCs w:val="16"/>
          <w:lang w:val="uk-UA"/>
        </w:rPr>
        <w:t>1.00]</w:t>
      </w:r>
    </w:p>
    <w:p w14:paraId="311A66D8" w14:textId="77777777" w:rsidR="00E05B98" w:rsidRPr="00EC1816" w:rsidRDefault="00B01E0C">
      <w:pPr>
        <w:spacing w:before="38"/>
        <w:ind w:left="349"/>
        <w:rPr>
          <w:rFonts w:ascii="Trebuchet MS"/>
          <w:sz w:val="16"/>
          <w:szCs w:val="16"/>
          <w:lang w:val="uk-UA"/>
        </w:rPr>
      </w:pPr>
      <w:r w:rsidRPr="00EC1816">
        <w:rPr>
          <w:rFonts w:ascii="Trebuchet MS"/>
          <w:w w:val="75"/>
          <w:sz w:val="16"/>
          <w:szCs w:val="16"/>
          <w:lang w:val="uk-UA"/>
        </w:rPr>
        <w:t>0.83</w:t>
      </w:r>
      <w:r w:rsidRPr="00EC1816">
        <w:rPr>
          <w:rFonts w:ascii="Trebuchet MS"/>
          <w:spacing w:val="14"/>
          <w:sz w:val="16"/>
          <w:szCs w:val="16"/>
          <w:lang w:val="uk-UA"/>
        </w:rPr>
        <w:t xml:space="preserve"> </w:t>
      </w:r>
      <w:r w:rsidRPr="00EC1816">
        <w:rPr>
          <w:rFonts w:ascii="Trebuchet MS"/>
          <w:w w:val="75"/>
          <w:sz w:val="16"/>
          <w:szCs w:val="16"/>
          <w:lang w:val="uk-UA"/>
        </w:rPr>
        <w:t>[0.69,</w:t>
      </w:r>
      <w:r w:rsidRPr="00EC1816">
        <w:rPr>
          <w:rFonts w:ascii="Trebuchet MS"/>
          <w:spacing w:val="20"/>
          <w:sz w:val="16"/>
          <w:szCs w:val="16"/>
          <w:lang w:val="uk-UA"/>
        </w:rPr>
        <w:t xml:space="preserve"> </w:t>
      </w:r>
      <w:r w:rsidRPr="00EC1816">
        <w:rPr>
          <w:rFonts w:ascii="Trebuchet MS"/>
          <w:spacing w:val="-2"/>
          <w:w w:val="75"/>
          <w:sz w:val="16"/>
          <w:szCs w:val="16"/>
          <w:lang w:val="uk-UA"/>
        </w:rPr>
        <w:t>0.93]</w:t>
      </w:r>
    </w:p>
    <w:p w14:paraId="5CE846C2" w14:textId="77777777" w:rsidR="00E05B98" w:rsidRPr="00EC1816" w:rsidRDefault="00B01E0C">
      <w:pPr>
        <w:spacing w:before="37"/>
        <w:ind w:left="349"/>
        <w:rPr>
          <w:rFonts w:ascii="Trebuchet MS"/>
          <w:sz w:val="16"/>
          <w:szCs w:val="16"/>
          <w:lang w:val="uk-UA"/>
        </w:rPr>
      </w:pPr>
      <w:r w:rsidRPr="00EC1816">
        <w:rPr>
          <w:rFonts w:ascii="Trebuchet MS"/>
          <w:w w:val="75"/>
          <w:sz w:val="16"/>
          <w:szCs w:val="16"/>
          <w:lang w:val="uk-UA"/>
        </w:rPr>
        <w:t>0.82</w:t>
      </w:r>
      <w:r w:rsidRPr="00EC1816">
        <w:rPr>
          <w:rFonts w:ascii="Trebuchet MS"/>
          <w:spacing w:val="14"/>
          <w:sz w:val="16"/>
          <w:szCs w:val="16"/>
          <w:lang w:val="uk-UA"/>
        </w:rPr>
        <w:t xml:space="preserve"> </w:t>
      </w:r>
      <w:r w:rsidRPr="00EC1816">
        <w:rPr>
          <w:rFonts w:ascii="Trebuchet MS"/>
          <w:w w:val="75"/>
          <w:sz w:val="16"/>
          <w:szCs w:val="16"/>
          <w:lang w:val="uk-UA"/>
        </w:rPr>
        <w:t>[0.74,</w:t>
      </w:r>
      <w:r w:rsidRPr="00EC1816">
        <w:rPr>
          <w:rFonts w:ascii="Trebuchet MS"/>
          <w:spacing w:val="20"/>
          <w:sz w:val="16"/>
          <w:szCs w:val="16"/>
          <w:lang w:val="uk-UA"/>
        </w:rPr>
        <w:t xml:space="preserve"> </w:t>
      </w:r>
      <w:r w:rsidRPr="00EC1816">
        <w:rPr>
          <w:rFonts w:ascii="Trebuchet MS"/>
          <w:spacing w:val="-2"/>
          <w:w w:val="75"/>
          <w:sz w:val="16"/>
          <w:szCs w:val="16"/>
          <w:lang w:val="uk-UA"/>
        </w:rPr>
        <w:t>0.89]</w:t>
      </w:r>
    </w:p>
    <w:p w14:paraId="55EF5598" w14:textId="77777777" w:rsidR="00E05B98" w:rsidRPr="00EC1816" w:rsidRDefault="00B01E0C">
      <w:pPr>
        <w:spacing w:before="38"/>
        <w:ind w:left="349"/>
        <w:rPr>
          <w:rFonts w:ascii="Trebuchet MS"/>
          <w:sz w:val="16"/>
          <w:szCs w:val="16"/>
          <w:lang w:val="uk-UA"/>
        </w:rPr>
      </w:pPr>
      <w:r w:rsidRPr="00EC1816">
        <w:rPr>
          <w:rFonts w:ascii="Trebuchet MS"/>
          <w:w w:val="75"/>
          <w:sz w:val="16"/>
          <w:szCs w:val="16"/>
          <w:lang w:val="uk-UA"/>
        </w:rPr>
        <w:t>0.80</w:t>
      </w:r>
      <w:r w:rsidRPr="00EC1816">
        <w:rPr>
          <w:rFonts w:ascii="Trebuchet MS"/>
          <w:spacing w:val="14"/>
          <w:sz w:val="16"/>
          <w:szCs w:val="16"/>
          <w:lang w:val="uk-UA"/>
        </w:rPr>
        <w:t xml:space="preserve"> </w:t>
      </w:r>
      <w:r w:rsidRPr="00EC1816">
        <w:rPr>
          <w:rFonts w:ascii="Trebuchet MS"/>
          <w:w w:val="75"/>
          <w:sz w:val="16"/>
          <w:szCs w:val="16"/>
          <w:lang w:val="uk-UA"/>
        </w:rPr>
        <w:t>[0.28,</w:t>
      </w:r>
      <w:r w:rsidRPr="00EC1816">
        <w:rPr>
          <w:rFonts w:ascii="Trebuchet MS"/>
          <w:spacing w:val="20"/>
          <w:sz w:val="16"/>
          <w:szCs w:val="16"/>
          <w:lang w:val="uk-UA"/>
        </w:rPr>
        <w:t xml:space="preserve"> </w:t>
      </w:r>
      <w:r w:rsidRPr="00EC1816">
        <w:rPr>
          <w:rFonts w:ascii="Trebuchet MS"/>
          <w:spacing w:val="-2"/>
          <w:w w:val="75"/>
          <w:sz w:val="16"/>
          <w:szCs w:val="16"/>
          <w:lang w:val="uk-UA"/>
        </w:rPr>
        <w:t>0.99]</w:t>
      </w:r>
    </w:p>
    <w:p w14:paraId="59B38F3E" w14:textId="77777777" w:rsidR="00E05B98" w:rsidRPr="00EC1816" w:rsidRDefault="00B01E0C">
      <w:pPr>
        <w:spacing w:before="38"/>
        <w:ind w:left="349"/>
        <w:rPr>
          <w:rFonts w:ascii="Trebuchet MS"/>
          <w:sz w:val="16"/>
          <w:szCs w:val="16"/>
          <w:lang w:val="uk-UA"/>
        </w:rPr>
      </w:pPr>
      <w:r w:rsidRPr="00EC1816">
        <w:rPr>
          <w:rFonts w:ascii="Trebuchet MS"/>
          <w:w w:val="75"/>
          <w:sz w:val="16"/>
          <w:szCs w:val="16"/>
          <w:lang w:val="uk-UA"/>
        </w:rPr>
        <w:t>0.78</w:t>
      </w:r>
      <w:r w:rsidRPr="00EC1816">
        <w:rPr>
          <w:rFonts w:ascii="Trebuchet MS"/>
          <w:spacing w:val="14"/>
          <w:sz w:val="16"/>
          <w:szCs w:val="16"/>
          <w:lang w:val="uk-UA"/>
        </w:rPr>
        <w:t xml:space="preserve"> </w:t>
      </w:r>
      <w:r w:rsidRPr="00EC1816">
        <w:rPr>
          <w:rFonts w:ascii="Trebuchet MS"/>
          <w:w w:val="75"/>
          <w:sz w:val="16"/>
          <w:szCs w:val="16"/>
          <w:lang w:val="uk-UA"/>
        </w:rPr>
        <w:t>[0.40,</w:t>
      </w:r>
      <w:r w:rsidRPr="00EC1816">
        <w:rPr>
          <w:rFonts w:ascii="Trebuchet MS"/>
          <w:spacing w:val="20"/>
          <w:sz w:val="16"/>
          <w:szCs w:val="16"/>
          <w:lang w:val="uk-UA"/>
        </w:rPr>
        <w:t xml:space="preserve"> </w:t>
      </w:r>
      <w:r w:rsidRPr="00EC1816">
        <w:rPr>
          <w:rFonts w:ascii="Trebuchet MS"/>
          <w:spacing w:val="-2"/>
          <w:w w:val="75"/>
          <w:sz w:val="16"/>
          <w:szCs w:val="16"/>
          <w:lang w:val="uk-UA"/>
        </w:rPr>
        <w:t>0.97]</w:t>
      </w:r>
    </w:p>
    <w:p w14:paraId="588B345C" w14:textId="77777777" w:rsidR="00E05B98" w:rsidRPr="00EC1816" w:rsidRDefault="00B01E0C">
      <w:pPr>
        <w:spacing w:before="38"/>
        <w:ind w:left="349"/>
        <w:rPr>
          <w:rFonts w:ascii="Trebuchet MS"/>
          <w:sz w:val="16"/>
          <w:szCs w:val="16"/>
          <w:lang w:val="uk-UA"/>
        </w:rPr>
      </w:pPr>
      <w:r w:rsidRPr="00EC1816">
        <w:rPr>
          <w:rFonts w:ascii="Trebuchet MS"/>
          <w:w w:val="75"/>
          <w:sz w:val="16"/>
          <w:szCs w:val="16"/>
          <w:lang w:val="uk-UA"/>
        </w:rPr>
        <w:t>0.78</w:t>
      </w:r>
      <w:r w:rsidRPr="00EC1816">
        <w:rPr>
          <w:rFonts w:ascii="Trebuchet MS"/>
          <w:spacing w:val="14"/>
          <w:sz w:val="16"/>
          <w:szCs w:val="16"/>
          <w:lang w:val="uk-UA"/>
        </w:rPr>
        <w:t xml:space="preserve"> </w:t>
      </w:r>
      <w:r w:rsidRPr="00EC1816">
        <w:rPr>
          <w:rFonts w:ascii="Trebuchet MS"/>
          <w:w w:val="75"/>
          <w:sz w:val="16"/>
          <w:szCs w:val="16"/>
          <w:lang w:val="uk-UA"/>
        </w:rPr>
        <w:t>[0.63,</w:t>
      </w:r>
      <w:r w:rsidRPr="00EC1816">
        <w:rPr>
          <w:rFonts w:ascii="Trebuchet MS"/>
          <w:spacing w:val="20"/>
          <w:sz w:val="16"/>
          <w:szCs w:val="16"/>
          <w:lang w:val="uk-UA"/>
        </w:rPr>
        <w:t xml:space="preserve"> </w:t>
      </w:r>
      <w:r w:rsidRPr="00EC1816">
        <w:rPr>
          <w:rFonts w:ascii="Trebuchet MS"/>
          <w:spacing w:val="-2"/>
          <w:w w:val="75"/>
          <w:sz w:val="16"/>
          <w:szCs w:val="16"/>
          <w:lang w:val="uk-UA"/>
        </w:rPr>
        <w:t>0.88]</w:t>
      </w:r>
    </w:p>
    <w:p w14:paraId="6F648A68" w14:textId="77777777" w:rsidR="00E05B98" w:rsidRPr="00EC1816" w:rsidRDefault="00B01E0C">
      <w:pPr>
        <w:spacing w:before="37"/>
        <w:ind w:left="349"/>
        <w:rPr>
          <w:rFonts w:ascii="Trebuchet MS"/>
          <w:sz w:val="16"/>
          <w:szCs w:val="16"/>
          <w:lang w:val="uk-UA"/>
        </w:rPr>
      </w:pPr>
      <w:r w:rsidRPr="00EC1816">
        <w:rPr>
          <w:rFonts w:ascii="Trebuchet MS"/>
          <w:w w:val="75"/>
          <w:sz w:val="16"/>
          <w:szCs w:val="16"/>
          <w:lang w:val="uk-UA"/>
        </w:rPr>
        <w:t>0.72</w:t>
      </w:r>
      <w:r w:rsidRPr="00EC1816">
        <w:rPr>
          <w:rFonts w:ascii="Trebuchet MS"/>
          <w:spacing w:val="14"/>
          <w:sz w:val="16"/>
          <w:szCs w:val="16"/>
          <w:lang w:val="uk-UA"/>
        </w:rPr>
        <w:t xml:space="preserve"> </w:t>
      </w:r>
      <w:r w:rsidRPr="00EC1816">
        <w:rPr>
          <w:rFonts w:ascii="Trebuchet MS"/>
          <w:w w:val="75"/>
          <w:sz w:val="16"/>
          <w:szCs w:val="16"/>
          <w:lang w:val="uk-UA"/>
        </w:rPr>
        <w:t>[0.60,</w:t>
      </w:r>
      <w:r w:rsidRPr="00EC1816">
        <w:rPr>
          <w:rFonts w:ascii="Trebuchet MS"/>
          <w:spacing w:val="20"/>
          <w:sz w:val="16"/>
          <w:szCs w:val="16"/>
          <w:lang w:val="uk-UA"/>
        </w:rPr>
        <w:t xml:space="preserve"> </w:t>
      </w:r>
      <w:r w:rsidRPr="00EC1816">
        <w:rPr>
          <w:rFonts w:ascii="Trebuchet MS"/>
          <w:spacing w:val="-2"/>
          <w:w w:val="75"/>
          <w:sz w:val="16"/>
          <w:szCs w:val="16"/>
          <w:lang w:val="uk-UA"/>
        </w:rPr>
        <w:t>0.83]</w:t>
      </w:r>
    </w:p>
    <w:p w14:paraId="7F1EA194" w14:textId="77777777" w:rsidR="00E05B98" w:rsidRPr="00EC1816" w:rsidRDefault="00B01E0C">
      <w:pPr>
        <w:spacing w:before="38"/>
        <w:ind w:left="349"/>
        <w:rPr>
          <w:rFonts w:ascii="Trebuchet MS"/>
          <w:sz w:val="16"/>
          <w:szCs w:val="16"/>
          <w:lang w:val="uk-UA"/>
        </w:rPr>
      </w:pPr>
      <w:r w:rsidRPr="00EC1816">
        <w:rPr>
          <w:rFonts w:ascii="Trebuchet MS"/>
          <w:w w:val="75"/>
          <w:sz w:val="16"/>
          <w:szCs w:val="16"/>
          <w:lang w:val="uk-UA"/>
        </w:rPr>
        <w:t>0.71</w:t>
      </w:r>
      <w:r w:rsidRPr="00EC1816">
        <w:rPr>
          <w:rFonts w:ascii="Trebuchet MS"/>
          <w:spacing w:val="14"/>
          <w:sz w:val="16"/>
          <w:szCs w:val="16"/>
          <w:lang w:val="uk-UA"/>
        </w:rPr>
        <w:t xml:space="preserve"> </w:t>
      </w:r>
      <w:r w:rsidRPr="00EC1816">
        <w:rPr>
          <w:rFonts w:ascii="Trebuchet MS"/>
          <w:w w:val="75"/>
          <w:sz w:val="16"/>
          <w:szCs w:val="16"/>
          <w:lang w:val="uk-UA"/>
        </w:rPr>
        <w:t>[0.29,</w:t>
      </w:r>
      <w:r w:rsidRPr="00EC1816">
        <w:rPr>
          <w:rFonts w:ascii="Trebuchet MS"/>
          <w:spacing w:val="20"/>
          <w:sz w:val="16"/>
          <w:szCs w:val="16"/>
          <w:lang w:val="uk-UA"/>
        </w:rPr>
        <w:t xml:space="preserve"> </w:t>
      </w:r>
      <w:r w:rsidRPr="00EC1816">
        <w:rPr>
          <w:rFonts w:ascii="Trebuchet MS"/>
          <w:spacing w:val="-2"/>
          <w:w w:val="75"/>
          <w:sz w:val="16"/>
          <w:szCs w:val="16"/>
          <w:lang w:val="uk-UA"/>
        </w:rPr>
        <w:t>0.96]</w:t>
      </w:r>
    </w:p>
    <w:p w14:paraId="552996E3" w14:textId="77777777" w:rsidR="00E05B98" w:rsidRPr="00EC1816" w:rsidRDefault="00B01E0C">
      <w:pPr>
        <w:spacing w:before="38"/>
        <w:ind w:left="349"/>
        <w:rPr>
          <w:rFonts w:ascii="Trebuchet MS"/>
          <w:sz w:val="16"/>
          <w:szCs w:val="16"/>
          <w:lang w:val="uk-UA"/>
        </w:rPr>
      </w:pPr>
      <w:r w:rsidRPr="00EC1816">
        <w:rPr>
          <w:rFonts w:ascii="Trebuchet MS"/>
          <w:w w:val="75"/>
          <w:sz w:val="16"/>
          <w:szCs w:val="16"/>
          <w:lang w:val="uk-UA"/>
        </w:rPr>
        <w:t>0.68</w:t>
      </w:r>
      <w:r w:rsidRPr="00EC1816">
        <w:rPr>
          <w:rFonts w:ascii="Trebuchet MS"/>
          <w:spacing w:val="14"/>
          <w:sz w:val="16"/>
          <w:szCs w:val="16"/>
          <w:lang w:val="uk-UA"/>
        </w:rPr>
        <w:t xml:space="preserve"> </w:t>
      </w:r>
      <w:r w:rsidRPr="00EC1816">
        <w:rPr>
          <w:rFonts w:ascii="Trebuchet MS"/>
          <w:w w:val="75"/>
          <w:sz w:val="16"/>
          <w:szCs w:val="16"/>
          <w:lang w:val="uk-UA"/>
        </w:rPr>
        <w:t>[0.46,</w:t>
      </w:r>
      <w:r w:rsidRPr="00EC1816">
        <w:rPr>
          <w:rFonts w:ascii="Trebuchet MS"/>
          <w:spacing w:val="20"/>
          <w:sz w:val="16"/>
          <w:szCs w:val="16"/>
          <w:lang w:val="uk-UA"/>
        </w:rPr>
        <w:t xml:space="preserve"> </w:t>
      </w:r>
      <w:r w:rsidRPr="00EC1816">
        <w:rPr>
          <w:rFonts w:ascii="Trebuchet MS"/>
          <w:spacing w:val="-2"/>
          <w:w w:val="75"/>
          <w:sz w:val="16"/>
          <w:szCs w:val="16"/>
          <w:lang w:val="uk-UA"/>
        </w:rPr>
        <w:t>0.85]</w:t>
      </w:r>
    </w:p>
    <w:p w14:paraId="378E6080" w14:textId="77777777" w:rsidR="00E05B98" w:rsidRPr="00EC1816" w:rsidRDefault="00B01E0C">
      <w:pPr>
        <w:spacing w:before="38"/>
        <w:ind w:left="349"/>
        <w:rPr>
          <w:rFonts w:ascii="Trebuchet MS"/>
          <w:sz w:val="16"/>
          <w:szCs w:val="16"/>
          <w:lang w:val="uk-UA"/>
        </w:rPr>
      </w:pPr>
      <w:r w:rsidRPr="00EC1816">
        <w:rPr>
          <w:rFonts w:ascii="Trebuchet MS"/>
          <w:w w:val="75"/>
          <w:sz w:val="16"/>
          <w:szCs w:val="16"/>
          <w:lang w:val="uk-UA"/>
        </w:rPr>
        <w:t>0.67</w:t>
      </w:r>
      <w:r w:rsidRPr="00EC1816">
        <w:rPr>
          <w:rFonts w:ascii="Trebuchet MS"/>
          <w:spacing w:val="14"/>
          <w:sz w:val="16"/>
          <w:szCs w:val="16"/>
          <w:lang w:val="uk-UA"/>
        </w:rPr>
        <w:t xml:space="preserve"> </w:t>
      </w:r>
      <w:r w:rsidRPr="00EC1816">
        <w:rPr>
          <w:rFonts w:ascii="Trebuchet MS"/>
          <w:w w:val="75"/>
          <w:sz w:val="16"/>
          <w:szCs w:val="16"/>
          <w:lang w:val="uk-UA"/>
        </w:rPr>
        <w:t>[0.09,</w:t>
      </w:r>
      <w:r w:rsidRPr="00EC1816">
        <w:rPr>
          <w:rFonts w:ascii="Trebuchet MS"/>
          <w:spacing w:val="20"/>
          <w:sz w:val="16"/>
          <w:szCs w:val="16"/>
          <w:lang w:val="uk-UA"/>
        </w:rPr>
        <w:t xml:space="preserve"> </w:t>
      </w:r>
      <w:r w:rsidRPr="00EC1816">
        <w:rPr>
          <w:rFonts w:ascii="Trebuchet MS"/>
          <w:spacing w:val="-2"/>
          <w:w w:val="75"/>
          <w:sz w:val="16"/>
          <w:szCs w:val="16"/>
          <w:lang w:val="uk-UA"/>
        </w:rPr>
        <w:t>0.99]</w:t>
      </w:r>
    </w:p>
    <w:p w14:paraId="6C18E6C3" w14:textId="77777777" w:rsidR="00E05B98" w:rsidRPr="00EC1816" w:rsidRDefault="00B01E0C">
      <w:pPr>
        <w:spacing w:before="38"/>
        <w:ind w:left="349"/>
        <w:rPr>
          <w:rFonts w:ascii="Trebuchet MS"/>
          <w:sz w:val="16"/>
          <w:szCs w:val="16"/>
          <w:lang w:val="uk-UA"/>
        </w:rPr>
      </w:pPr>
      <w:r w:rsidRPr="00EC1816">
        <w:rPr>
          <w:rFonts w:ascii="Trebuchet MS"/>
          <w:w w:val="75"/>
          <w:sz w:val="16"/>
          <w:szCs w:val="16"/>
          <w:lang w:val="uk-UA"/>
        </w:rPr>
        <w:t>0.57</w:t>
      </w:r>
      <w:r w:rsidRPr="00EC1816">
        <w:rPr>
          <w:rFonts w:ascii="Trebuchet MS"/>
          <w:spacing w:val="14"/>
          <w:sz w:val="16"/>
          <w:szCs w:val="16"/>
          <w:lang w:val="uk-UA"/>
        </w:rPr>
        <w:t xml:space="preserve"> </w:t>
      </w:r>
      <w:r w:rsidRPr="00EC1816">
        <w:rPr>
          <w:rFonts w:ascii="Trebuchet MS"/>
          <w:w w:val="75"/>
          <w:sz w:val="16"/>
          <w:szCs w:val="16"/>
          <w:lang w:val="uk-UA"/>
        </w:rPr>
        <w:t>[0.34,</w:t>
      </w:r>
      <w:r w:rsidRPr="00EC1816">
        <w:rPr>
          <w:rFonts w:ascii="Trebuchet MS"/>
          <w:spacing w:val="20"/>
          <w:sz w:val="16"/>
          <w:szCs w:val="16"/>
          <w:lang w:val="uk-UA"/>
        </w:rPr>
        <w:t xml:space="preserve"> </w:t>
      </w:r>
      <w:r w:rsidRPr="00EC1816">
        <w:rPr>
          <w:rFonts w:ascii="Trebuchet MS"/>
          <w:spacing w:val="-2"/>
          <w:w w:val="75"/>
          <w:sz w:val="16"/>
          <w:szCs w:val="16"/>
          <w:lang w:val="uk-UA"/>
        </w:rPr>
        <w:t>0.78]</w:t>
      </w:r>
    </w:p>
    <w:p w14:paraId="1259C5FF" w14:textId="143CAEE8" w:rsidR="00E05B98" w:rsidRPr="00EC1816" w:rsidRDefault="00B01E0C" w:rsidP="003E4529">
      <w:pPr>
        <w:spacing w:before="109"/>
        <w:rPr>
          <w:rFonts w:ascii="Trebuchet MS"/>
          <w:sz w:val="16"/>
          <w:szCs w:val="16"/>
          <w:lang w:val="uk-UA"/>
        </w:rPr>
      </w:pPr>
      <w:r w:rsidRPr="00EC1816">
        <w:rPr>
          <w:sz w:val="16"/>
          <w:szCs w:val="16"/>
          <w:lang w:val="uk-UA"/>
        </w:rPr>
        <w:br w:type="column"/>
      </w:r>
      <w:r w:rsidR="003E4529" w:rsidRPr="00EC1816">
        <w:rPr>
          <w:rFonts w:ascii="Trebuchet MS"/>
          <w:color w:val="333333"/>
          <w:w w:val="80"/>
          <w:sz w:val="16"/>
          <w:szCs w:val="16"/>
          <w:lang w:val="uk-UA"/>
        </w:rPr>
        <w:t>Специфічність</w:t>
      </w:r>
      <w:r w:rsidRPr="00EC1816">
        <w:rPr>
          <w:rFonts w:ascii="Trebuchet MS"/>
          <w:color w:val="333333"/>
          <w:w w:val="80"/>
          <w:sz w:val="16"/>
          <w:szCs w:val="16"/>
          <w:lang w:val="uk-UA"/>
        </w:rPr>
        <w:t>(95%</w:t>
      </w:r>
      <w:r w:rsidR="00EC1816" w:rsidRPr="00EC1816">
        <w:rPr>
          <w:rFonts w:ascii="Trebuchet MS"/>
          <w:color w:val="333333"/>
          <w:w w:val="80"/>
          <w:sz w:val="16"/>
          <w:szCs w:val="16"/>
          <w:lang w:val="uk-UA"/>
        </w:rPr>
        <w:t xml:space="preserve"> </w:t>
      </w:r>
      <w:r w:rsidR="00EC1816" w:rsidRPr="00EC1816">
        <w:rPr>
          <w:rFonts w:ascii="Trebuchet MS"/>
          <w:color w:val="333333"/>
          <w:w w:val="80"/>
          <w:sz w:val="16"/>
          <w:szCs w:val="16"/>
          <w:lang w:val="uk-UA"/>
        </w:rPr>
        <w:t>Д</w:t>
      </w:r>
    </w:p>
    <w:p w14:paraId="190D848E" w14:textId="77777777" w:rsidR="00E05B98" w:rsidRPr="00EC1816" w:rsidRDefault="00B01E0C">
      <w:pPr>
        <w:spacing w:before="69"/>
        <w:ind w:left="324"/>
        <w:rPr>
          <w:rFonts w:ascii="Trebuchet MS"/>
          <w:sz w:val="16"/>
          <w:szCs w:val="16"/>
          <w:lang w:val="uk-UA"/>
        </w:rPr>
      </w:pPr>
      <w:r w:rsidRPr="00EC1816">
        <w:rPr>
          <w:rFonts w:ascii="Trebuchet MS"/>
          <w:w w:val="75"/>
          <w:sz w:val="16"/>
          <w:szCs w:val="16"/>
          <w:lang w:val="uk-UA"/>
        </w:rPr>
        <w:t>1.00</w:t>
      </w:r>
      <w:r w:rsidRPr="00EC1816">
        <w:rPr>
          <w:rFonts w:ascii="Trebuchet MS"/>
          <w:spacing w:val="14"/>
          <w:sz w:val="16"/>
          <w:szCs w:val="16"/>
          <w:lang w:val="uk-UA"/>
        </w:rPr>
        <w:t xml:space="preserve"> </w:t>
      </w:r>
      <w:r w:rsidRPr="00EC1816">
        <w:rPr>
          <w:rFonts w:ascii="Trebuchet MS"/>
          <w:w w:val="75"/>
          <w:sz w:val="16"/>
          <w:szCs w:val="16"/>
          <w:lang w:val="uk-UA"/>
        </w:rPr>
        <w:t>[0.03,</w:t>
      </w:r>
      <w:r w:rsidRPr="00EC1816">
        <w:rPr>
          <w:rFonts w:ascii="Trebuchet MS"/>
          <w:spacing w:val="20"/>
          <w:sz w:val="16"/>
          <w:szCs w:val="16"/>
          <w:lang w:val="uk-UA"/>
        </w:rPr>
        <w:t xml:space="preserve"> </w:t>
      </w:r>
      <w:r w:rsidRPr="00EC1816">
        <w:rPr>
          <w:rFonts w:ascii="Trebuchet MS"/>
          <w:spacing w:val="-2"/>
          <w:w w:val="75"/>
          <w:sz w:val="16"/>
          <w:szCs w:val="16"/>
          <w:lang w:val="uk-UA"/>
        </w:rPr>
        <w:t>1.00]</w:t>
      </w:r>
    </w:p>
    <w:p w14:paraId="36A308EA" w14:textId="77777777" w:rsidR="00E05B98" w:rsidRPr="00EC1816" w:rsidRDefault="00B01E0C">
      <w:pPr>
        <w:spacing w:before="38"/>
        <w:ind w:left="324"/>
        <w:rPr>
          <w:rFonts w:ascii="Trebuchet MS"/>
          <w:sz w:val="16"/>
          <w:szCs w:val="16"/>
          <w:lang w:val="uk-UA"/>
        </w:rPr>
      </w:pPr>
      <w:r w:rsidRPr="00EC1816">
        <w:rPr>
          <w:rFonts w:ascii="Trebuchet MS"/>
          <w:w w:val="75"/>
          <w:sz w:val="16"/>
          <w:szCs w:val="16"/>
          <w:lang w:val="uk-UA"/>
        </w:rPr>
        <w:t>1.00</w:t>
      </w:r>
      <w:r w:rsidRPr="00EC1816">
        <w:rPr>
          <w:rFonts w:ascii="Trebuchet MS"/>
          <w:spacing w:val="14"/>
          <w:sz w:val="16"/>
          <w:szCs w:val="16"/>
          <w:lang w:val="uk-UA"/>
        </w:rPr>
        <w:t xml:space="preserve"> </w:t>
      </w:r>
      <w:r w:rsidRPr="00EC1816">
        <w:rPr>
          <w:rFonts w:ascii="Trebuchet MS"/>
          <w:w w:val="75"/>
          <w:sz w:val="16"/>
          <w:szCs w:val="16"/>
          <w:lang w:val="uk-UA"/>
        </w:rPr>
        <w:t>[0.03,</w:t>
      </w:r>
      <w:r w:rsidRPr="00EC1816">
        <w:rPr>
          <w:rFonts w:ascii="Trebuchet MS"/>
          <w:spacing w:val="20"/>
          <w:sz w:val="16"/>
          <w:szCs w:val="16"/>
          <w:lang w:val="uk-UA"/>
        </w:rPr>
        <w:t xml:space="preserve"> </w:t>
      </w:r>
      <w:r w:rsidRPr="00EC1816">
        <w:rPr>
          <w:rFonts w:ascii="Trebuchet MS"/>
          <w:spacing w:val="-2"/>
          <w:w w:val="75"/>
          <w:sz w:val="16"/>
          <w:szCs w:val="16"/>
          <w:lang w:val="uk-UA"/>
        </w:rPr>
        <w:t>1.00]</w:t>
      </w:r>
    </w:p>
    <w:p w14:paraId="2799BDDE" w14:textId="77777777" w:rsidR="00E05B98" w:rsidRPr="00EC1816" w:rsidRDefault="00B01E0C">
      <w:pPr>
        <w:spacing w:before="38"/>
        <w:ind w:left="324"/>
        <w:rPr>
          <w:rFonts w:ascii="Trebuchet MS"/>
          <w:sz w:val="16"/>
          <w:szCs w:val="16"/>
          <w:lang w:val="uk-UA"/>
        </w:rPr>
      </w:pPr>
      <w:r w:rsidRPr="00EC1816">
        <w:rPr>
          <w:rFonts w:ascii="Trebuchet MS"/>
          <w:w w:val="75"/>
          <w:sz w:val="16"/>
          <w:szCs w:val="16"/>
          <w:lang w:val="uk-UA"/>
        </w:rPr>
        <w:t>0.86</w:t>
      </w:r>
      <w:r w:rsidRPr="00EC1816">
        <w:rPr>
          <w:rFonts w:ascii="Trebuchet MS"/>
          <w:spacing w:val="14"/>
          <w:sz w:val="16"/>
          <w:szCs w:val="16"/>
          <w:lang w:val="uk-UA"/>
        </w:rPr>
        <w:t xml:space="preserve"> </w:t>
      </w:r>
      <w:r w:rsidRPr="00EC1816">
        <w:rPr>
          <w:rFonts w:ascii="Trebuchet MS"/>
          <w:w w:val="75"/>
          <w:sz w:val="16"/>
          <w:szCs w:val="16"/>
          <w:lang w:val="uk-UA"/>
        </w:rPr>
        <w:t>[0.42,</w:t>
      </w:r>
      <w:r w:rsidRPr="00EC1816">
        <w:rPr>
          <w:rFonts w:ascii="Trebuchet MS"/>
          <w:spacing w:val="20"/>
          <w:sz w:val="16"/>
          <w:szCs w:val="16"/>
          <w:lang w:val="uk-UA"/>
        </w:rPr>
        <w:t xml:space="preserve"> </w:t>
      </w:r>
      <w:r w:rsidRPr="00EC1816">
        <w:rPr>
          <w:rFonts w:ascii="Trebuchet MS"/>
          <w:spacing w:val="-2"/>
          <w:w w:val="75"/>
          <w:sz w:val="16"/>
          <w:szCs w:val="16"/>
          <w:lang w:val="uk-UA"/>
        </w:rPr>
        <w:t>1.00]</w:t>
      </w:r>
    </w:p>
    <w:p w14:paraId="5015C4B7" w14:textId="77777777" w:rsidR="00E05B98" w:rsidRPr="00EC1816" w:rsidRDefault="00B01E0C">
      <w:pPr>
        <w:spacing w:before="37"/>
        <w:ind w:left="324"/>
        <w:rPr>
          <w:rFonts w:ascii="Trebuchet MS"/>
          <w:sz w:val="16"/>
          <w:szCs w:val="16"/>
          <w:lang w:val="uk-UA"/>
        </w:rPr>
      </w:pPr>
      <w:r w:rsidRPr="00EC1816">
        <w:rPr>
          <w:rFonts w:ascii="Trebuchet MS"/>
          <w:w w:val="75"/>
          <w:sz w:val="16"/>
          <w:szCs w:val="16"/>
          <w:lang w:val="uk-UA"/>
        </w:rPr>
        <w:t>1.00</w:t>
      </w:r>
      <w:r w:rsidRPr="00EC1816">
        <w:rPr>
          <w:rFonts w:ascii="Trebuchet MS"/>
          <w:spacing w:val="14"/>
          <w:sz w:val="16"/>
          <w:szCs w:val="16"/>
          <w:lang w:val="uk-UA"/>
        </w:rPr>
        <w:t xml:space="preserve"> </w:t>
      </w:r>
      <w:r w:rsidRPr="00EC1816">
        <w:rPr>
          <w:rFonts w:ascii="Trebuchet MS"/>
          <w:w w:val="75"/>
          <w:sz w:val="16"/>
          <w:szCs w:val="16"/>
          <w:lang w:val="uk-UA"/>
        </w:rPr>
        <w:t>[0.86,</w:t>
      </w:r>
      <w:r w:rsidRPr="00EC1816">
        <w:rPr>
          <w:rFonts w:ascii="Trebuchet MS"/>
          <w:spacing w:val="20"/>
          <w:sz w:val="16"/>
          <w:szCs w:val="16"/>
          <w:lang w:val="uk-UA"/>
        </w:rPr>
        <w:t xml:space="preserve"> </w:t>
      </w:r>
      <w:r w:rsidRPr="00EC1816">
        <w:rPr>
          <w:rFonts w:ascii="Trebuchet MS"/>
          <w:spacing w:val="-2"/>
          <w:w w:val="75"/>
          <w:sz w:val="16"/>
          <w:szCs w:val="16"/>
          <w:lang w:val="uk-UA"/>
        </w:rPr>
        <w:t>1.00]</w:t>
      </w:r>
    </w:p>
    <w:p w14:paraId="6E287CDD" w14:textId="77777777" w:rsidR="00E05B98" w:rsidRPr="00EC1816" w:rsidRDefault="00B01E0C">
      <w:pPr>
        <w:spacing w:before="38"/>
        <w:ind w:left="324"/>
        <w:rPr>
          <w:rFonts w:ascii="Trebuchet MS"/>
          <w:sz w:val="16"/>
          <w:szCs w:val="16"/>
          <w:lang w:val="uk-UA"/>
        </w:rPr>
      </w:pPr>
      <w:r w:rsidRPr="00EC1816">
        <w:rPr>
          <w:rFonts w:ascii="Trebuchet MS"/>
          <w:w w:val="75"/>
          <w:sz w:val="16"/>
          <w:szCs w:val="16"/>
          <w:lang w:val="uk-UA"/>
        </w:rPr>
        <w:t>1.00</w:t>
      </w:r>
      <w:r w:rsidRPr="00EC1816">
        <w:rPr>
          <w:rFonts w:ascii="Trebuchet MS"/>
          <w:spacing w:val="14"/>
          <w:sz w:val="16"/>
          <w:szCs w:val="16"/>
          <w:lang w:val="uk-UA"/>
        </w:rPr>
        <w:t xml:space="preserve"> </w:t>
      </w:r>
      <w:r w:rsidRPr="00EC1816">
        <w:rPr>
          <w:rFonts w:ascii="Trebuchet MS"/>
          <w:w w:val="75"/>
          <w:sz w:val="16"/>
          <w:szCs w:val="16"/>
          <w:lang w:val="uk-UA"/>
        </w:rPr>
        <w:t>[0.96,</w:t>
      </w:r>
      <w:r w:rsidRPr="00EC1816">
        <w:rPr>
          <w:rFonts w:ascii="Trebuchet MS"/>
          <w:spacing w:val="20"/>
          <w:sz w:val="16"/>
          <w:szCs w:val="16"/>
          <w:lang w:val="uk-UA"/>
        </w:rPr>
        <w:t xml:space="preserve"> </w:t>
      </w:r>
      <w:r w:rsidRPr="00EC1816">
        <w:rPr>
          <w:rFonts w:ascii="Trebuchet MS"/>
          <w:spacing w:val="-2"/>
          <w:w w:val="75"/>
          <w:sz w:val="16"/>
          <w:szCs w:val="16"/>
          <w:lang w:val="uk-UA"/>
        </w:rPr>
        <w:t>1.00]</w:t>
      </w:r>
    </w:p>
    <w:p w14:paraId="224B2911" w14:textId="77777777" w:rsidR="00E05B98" w:rsidRPr="00EC1816" w:rsidRDefault="00B01E0C">
      <w:pPr>
        <w:spacing w:before="38"/>
        <w:ind w:left="324"/>
        <w:rPr>
          <w:rFonts w:ascii="Trebuchet MS"/>
          <w:sz w:val="16"/>
          <w:szCs w:val="16"/>
          <w:lang w:val="uk-UA"/>
        </w:rPr>
      </w:pPr>
      <w:r w:rsidRPr="00EC1816">
        <w:rPr>
          <w:rFonts w:ascii="Trebuchet MS"/>
          <w:w w:val="75"/>
          <w:sz w:val="16"/>
          <w:szCs w:val="16"/>
          <w:lang w:val="uk-UA"/>
        </w:rPr>
        <w:t>0.82</w:t>
      </w:r>
      <w:r w:rsidRPr="00EC1816">
        <w:rPr>
          <w:rFonts w:ascii="Trebuchet MS"/>
          <w:spacing w:val="14"/>
          <w:sz w:val="16"/>
          <w:szCs w:val="16"/>
          <w:lang w:val="uk-UA"/>
        </w:rPr>
        <w:t xml:space="preserve"> </w:t>
      </w:r>
      <w:r w:rsidRPr="00EC1816">
        <w:rPr>
          <w:rFonts w:ascii="Trebuchet MS"/>
          <w:w w:val="75"/>
          <w:sz w:val="16"/>
          <w:szCs w:val="16"/>
          <w:lang w:val="uk-UA"/>
        </w:rPr>
        <w:t>[0.72,</w:t>
      </w:r>
      <w:r w:rsidRPr="00EC1816">
        <w:rPr>
          <w:rFonts w:ascii="Trebuchet MS"/>
          <w:spacing w:val="20"/>
          <w:sz w:val="16"/>
          <w:szCs w:val="16"/>
          <w:lang w:val="uk-UA"/>
        </w:rPr>
        <w:t xml:space="preserve"> </w:t>
      </w:r>
      <w:r w:rsidRPr="00EC1816">
        <w:rPr>
          <w:rFonts w:ascii="Trebuchet MS"/>
          <w:spacing w:val="-2"/>
          <w:w w:val="75"/>
          <w:sz w:val="16"/>
          <w:szCs w:val="16"/>
          <w:lang w:val="uk-UA"/>
        </w:rPr>
        <w:t>0.89]</w:t>
      </w:r>
    </w:p>
    <w:p w14:paraId="3873318A" w14:textId="77777777" w:rsidR="00E05B98" w:rsidRPr="00EC1816" w:rsidRDefault="00B01E0C">
      <w:pPr>
        <w:spacing w:before="38"/>
        <w:ind w:left="324"/>
        <w:rPr>
          <w:rFonts w:ascii="Trebuchet MS"/>
          <w:sz w:val="16"/>
          <w:szCs w:val="16"/>
          <w:lang w:val="uk-UA"/>
        </w:rPr>
      </w:pPr>
      <w:r w:rsidRPr="00EC1816">
        <w:rPr>
          <w:rFonts w:ascii="Trebuchet MS"/>
          <w:w w:val="75"/>
          <w:sz w:val="16"/>
          <w:szCs w:val="16"/>
          <w:lang w:val="uk-UA"/>
        </w:rPr>
        <w:t>0.88</w:t>
      </w:r>
      <w:r w:rsidRPr="00EC1816">
        <w:rPr>
          <w:rFonts w:ascii="Trebuchet MS"/>
          <w:spacing w:val="14"/>
          <w:sz w:val="16"/>
          <w:szCs w:val="16"/>
          <w:lang w:val="uk-UA"/>
        </w:rPr>
        <w:t xml:space="preserve"> </w:t>
      </w:r>
      <w:r w:rsidRPr="00EC1816">
        <w:rPr>
          <w:rFonts w:ascii="Trebuchet MS"/>
          <w:w w:val="75"/>
          <w:sz w:val="16"/>
          <w:szCs w:val="16"/>
          <w:lang w:val="uk-UA"/>
        </w:rPr>
        <w:t>[0.85,</w:t>
      </w:r>
      <w:r w:rsidRPr="00EC1816">
        <w:rPr>
          <w:rFonts w:ascii="Trebuchet MS"/>
          <w:spacing w:val="20"/>
          <w:sz w:val="16"/>
          <w:szCs w:val="16"/>
          <w:lang w:val="uk-UA"/>
        </w:rPr>
        <w:t xml:space="preserve"> </w:t>
      </w:r>
      <w:r w:rsidRPr="00EC1816">
        <w:rPr>
          <w:rFonts w:ascii="Trebuchet MS"/>
          <w:spacing w:val="-2"/>
          <w:w w:val="75"/>
          <w:sz w:val="16"/>
          <w:szCs w:val="16"/>
          <w:lang w:val="uk-UA"/>
        </w:rPr>
        <w:t>0.91]</w:t>
      </w:r>
    </w:p>
    <w:p w14:paraId="36405619" w14:textId="77777777" w:rsidR="00E05B98" w:rsidRPr="00EC1816" w:rsidRDefault="00B01E0C">
      <w:pPr>
        <w:spacing w:before="38"/>
        <w:ind w:left="324"/>
        <w:rPr>
          <w:rFonts w:ascii="Trebuchet MS"/>
          <w:sz w:val="16"/>
          <w:szCs w:val="16"/>
          <w:lang w:val="uk-UA"/>
        </w:rPr>
      </w:pPr>
      <w:r w:rsidRPr="00EC1816">
        <w:rPr>
          <w:rFonts w:ascii="Trebuchet MS"/>
          <w:w w:val="75"/>
          <w:sz w:val="16"/>
          <w:szCs w:val="16"/>
          <w:lang w:val="uk-UA"/>
        </w:rPr>
        <w:t>0.95</w:t>
      </w:r>
      <w:r w:rsidRPr="00EC1816">
        <w:rPr>
          <w:rFonts w:ascii="Trebuchet MS"/>
          <w:spacing w:val="14"/>
          <w:sz w:val="16"/>
          <w:szCs w:val="16"/>
          <w:lang w:val="uk-UA"/>
        </w:rPr>
        <w:t xml:space="preserve"> </w:t>
      </w:r>
      <w:r w:rsidRPr="00EC1816">
        <w:rPr>
          <w:rFonts w:ascii="Trebuchet MS"/>
          <w:w w:val="75"/>
          <w:sz w:val="16"/>
          <w:szCs w:val="16"/>
          <w:lang w:val="uk-UA"/>
        </w:rPr>
        <w:t>[0.93,</w:t>
      </w:r>
      <w:r w:rsidRPr="00EC1816">
        <w:rPr>
          <w:rFonts w:ascii="Trebuchet MS"/>
          <w:spacing w:val="20"/>
          <w:sz w:val="16"/>
          <w:szCs w:val="16"/>
          <w:lang w:val="uk-UA"/>
        </w:rPr>
        <w:t xml:space="preserve"> </w:t>
      </w:r>
      <w:r w:rsidRPr="00EC1816">
        <w:rPr>
          <w:rFonts w:ascii="Trebuchet MS"/>
          <w:spacing w:val="-2"/>
          <w:w w:val="75"/>
          <w:sz w:val="16"/>
          <w:szCs w:val="16"/>
          <w:lang w:val="uk-UA"/>
        </w:rPr>
        <w:t>0.97]</w:t>
      </w:r>
    </w:p>
    <w:p w14:paraId="5D33C430" w14:textId="77777777" w:rsidR="00E05B98" w:rsidRPr="00EC1816" w:rsidRDefault="00B01E0C">
      <w:pPr>
        <w:spacing w:before="37"/>
        <w:ind w:left="324"/>
        <w:rPr>
          <w:rFonts w:ascii="Trebuchet MS"/>
          <w:sz w:val="16"/>
          <w:szCs w:val="16"/>
          <w:lang w:val="uk-UA"/>
        </w:rPr>
      </w:pPr>
      <w:r w:rsidRPr="00EC1816">
        <w:rPr>
          <w:rFonts w:ascii="Trebuchet MS"/>
          <w:w w:val="75"/>
          <w:sz w:val="16"/>
          <w:szCs w:val="16"/>
          <w:lang w:val="uk-UA"/>
        </w:rPr>
        <w:t>0.99</w:t>
      </w:r>
      <w:r w:rsidRPr="00EC1816">
        <w:rPr>
          <w:rFonts w:ascii="Trebuchet MS"/>
          <w:spacing w:val="14"/>
          <w:sz w:val="16"/>
          <w:szCs w:val="16"/>
          <w:lang w:val="uk-UA"/>
        </w:rPr>
        <w:t xml:space="preserve"> </w:t>
      </w:r>
      <w:r w:rsidRPr="00EC1816">
        <w:rPr>
          <w:rFonts w:ascii="Trebuchet MS"/>
          <w:w w:val="75"/>
          <w:sz w:val="16"/>
          <w:szCs w:val="16"/>
          <w:lang w:val="uk-UA"/>
        </w:rPr>
        <w:t>[0.93,</w:t>
      </w:r>
      <w:r w:rsidRPr="00EC1816">
        <w:rPr>
          <w:rFonts w:ascii="Trebuchet MS"/>
          <w:spacing w:val="20"/>
          <w:sz w:val="16"/>
          <w:szCs w:val="16"/>
          <w:lang w:val="uk-UA"/>
        </w:rPr>
        <w:t xml:space="preserve"> </w:t>
      </w:r>
      <w:r w:rsidRPr="00EC1816">
        <w:rPr>
          <w:rFonts w:ascii="Trebuchet MS"/>
          <w:spacing w:val="-2"/>
          <w:w w:val="75"/>
          <w:sz w:val="16"/>
          <w:szCs w:val="16"/>
          <w:lang w:val="uk-UA"/>
        </w:rPr>
        <w:t>1.00]</w:t>
      </w:r>
    </w:p>
    <w:p w14:paraId="25FA4DBD" w14:textId="77777777" w:rsidR="00E05B98" w:rsidRPr="00EC1816" w:rsidRDefault="00B01E0C">
      <w:pPr>
        <w:spacing w:before="38"/>
        <w:ind w:left="324"/>
        <w:rPr>
          <w:rFonts w:ascii="Trebuchet MS"/>
          <w:sz w:val="16"/>
          <w:szCs w:val="16"/>
          <w:lang w:val="uk-UA"/>
        </w:rPr>
      </w:pPr>
      <w:r w:rsidRPr="00EC1816">
        <w:rPr>
          <w:rFonts w:ascii="Trebuchet MS"/>
          <w:w w:val="75"/>
          <w:sz w:val="16"/>
          <w:szCs w:val="16"/>
          <w:lang w:val="uk-UA"/>
        </w:rPr>
        <w:t>0.94</w:t>
      </w:r>
      <w:r w:rsidRPr="00EC1816">
        <w:rPr>
          <w:rFonts w:ascii="Trebuchet MS"/>
          <w:spacing w:val="14"/>
          <w:sz w:val="16"/>
          <w:szCs w:val="16"/>
          <w:lang w:val="uk-UA"/>
        </w:rPr>
        <w:t xml:space="preserve"> </w:t>
      </w:r>
      <w:r w:rsidRPr="00EC1816">
        <w:rPr>
          <w:rFonts w:ascii="Trebuchet MS"/>
          <w:w w:val="75"/>
          <w:sz w:val="16"/>
          <w:szCs w:val="16"/>
          <w:lang w:val="uk-UA"/>
        </w:rPr>
        <w:t>[0.91,</w:t>
      </w:r>
      <w:r w:rsidRPr="00EC1816">
        <w:rPr>
          <w:rFonts w:ascii="Trebuchet MS"/>
          <w:spacing w:val="20"/>
          <w:sz w:val="16"/>
          <w:szCs w:val="16"/>
          <w:lang w:val="uk-UA"/>
        </w:rPr>
        <w:t xml:space="preserve"> </w:t>
      </w:r>
      <w:r w:rsidRPr="00EC1816">
        <w:rPr>
          <w:rFonts w:ascii="Trebuchet MS"/>
          <w:spacing w:val="-2"/>
          <w:w w:val="75"/>
          <w:sz w:val="16"/>
          <w:szCs w:val="16"/>
          <w:lang w:val="uk-UA"/>
        </w:rPr>
        <w:t>0.95]</w:t>
      </w:r>
    </w:p>
    <w:p w14:paraId="0E851F82" w14:textId="77777777" w:rsidR="00E05B98" w:rsidRPr="00EC1816" w:rsidRDefault="00B01E0C">
      <w:pPr>
        <w:spacing w:before="38"/>
        <w:ind w:left="324"/>
        <w:rPr>
          <w:rFonts w:ascii="Trebuchet MS"/>
          <w:sz w:val="16"/>
          <w:szCs w:val="16"/>
          <w:lang w:val="uk-UA"/>
        </w:rPr>
      </w:pPr>
      <w:r w:rsidRPr="00EC1816">
        <w:rPr>
          <w:rFonts w:ascii="Trebuchet MS"/>
          <w:w w:val="75"/>
          <w:sz w:val="16"/>
          <w:szCs w:val="16"/>
          <w:lang w:val="uk-UA"/>
        </w:rPr>
        <w:t>0.97</w:t>
      </w:r>
      <w:r w:rsidRPr="00EC1816">
        <w:rPr>
          <w:rFonts w:ascii="Trebuchet MS"/>
          <w:spacing w:val="14"/>
          <w:sz w:val="16"/>
          <w:szCs w:val="16"/>
          <w:lang w:val="uk-UA"/>
        </w:rPr>
        <w:t xml:space="preserve"> </w:t>
      </w:r>
      <w:r w:rsidRPr="00EC1816">
        <w:rPr>
          <w:rFonts w:ascii="Trebuchet MS"/>
          <w:w w:val="75"/>
          <w:sz w:val="16"/>
          <w:szCs w:val="16"/>
          <w:lang w:val="uk-UA"/>
        </w:rPr>
        <w:t>[0.94,</w:t>
      </w:r>
      <w:r w:rsidRPr="00EC1816">
        <w:rPr>
          <w:rFonts w:ascii="Trebuchet MS"/>
          <w:spacing w:val="20"/>
          <w:sz w:val="16"/>
          <w:szCs w:val="16"/>
          <w:lang w:val="uk-UA"/>
        </w:rPr>
        <w:t xml:space="preserve"> </w:t>
      </w:r>
      <w:r w:rsidRPr="00EC1816">
        <w:rPr>
          <w:rFonts w:ascii="Trebuchet MS"/>
          <w:spacing w:val="-2"/>
          <w:w w:val="75"/>
          <w:sz w:val="16"/>
          <w:szCs w:val="16"/>
          <w:lang w:val="uk-UA"/>
        </w:rPr>
        <w:t>0.98]</w:t>
      </w:r>
    </w:p>
    <w:p w14:paraId="24167B85" w14:textId="77777777" w:rsidR="00E05B98" w:rsidRPr="00EC1816" w:rsidRDefault="00B01E0C">
      <w:pPr>
        <w:spacing w:before="38"/>
        <w:ind w:left="324"/>
        <w:rPr>
          <w:rFonts w:ascii="Trebuchet MS"/>
          <w:sz w:val="16"/>
          <w:szCs w:val="16"/>
          <w:lang w:val="uk-UA"/>
        </w:rPr>
      </w:pPr>
      <w:r w:rsidRPr="00EC1816">
        <w:rPr>
          <w:rFonts w:ascii="Trebuchet MS"/>
          <w:w w:val="75"/>
          <w:sz w:val="16"/>
          <w:szCs w:val="16"/>
          <w:lang w:val="uk-UA"/>
        </w:rPr>
        <w:t>0.89</w:t>
      </w:r>
      <w:r w:rsidRPr="00EC1816">
        <w:rPr>
          <w:rFonts w:ascii="Trebuchet MS"/>
          <w:spacing w:val="14"/>
          <w:sz w:val="16"/>
          <w:szCs w:val="16"/>
          <w:lang w:val="uk-UA"/>
        </w:rPr>
        <w:t xml:space="preserve"> </w:t>
      </w:r>
      <w:r w:rsidRPr="00EC1816">
        <w:rPr>
          <w:rFonts w:ascii="Trebuchet MS"/>
          <w:w w:val="75"/>
          <w:sz w:val="16"/>
          <w:szCs w:val="16"/>
          <w:lang w:val="uk-UA"/>
        </w:rPr>
        <w:t>[0.78,</w:t>
      </w:r>
      <w:r w:rsidRPr="00EC1816">
        <w:rPr>
          <w:rFonts w:ascii="Trebuchet MS"/>
          <w:spacing w:val="20"/>
          <w:sz w:val="16"/>
          <w:szCs w:val="16"/>
          <w:lang w:val="uk-UA"/>
        </w:rPr>
        <w:t xml:space="preserve"> </w:t>
      </w:r>
      <w:r w:rsidRPr="00EC1816">
        <w:rPr>
          <w:rFonts w:ascii="Trebuchet MS"/>
          <w:spacing w:val="-2"/>
          <w:w w:val="75"/>
          <w:sz w:val="16"/>
          <w:szCs w:val="16"/>
          <w:lang w:val="uk-UA"/>
        </w:rPr>
        <w:t>0.95]</w:t>
      </w:r>
    </w:p>
    <w:p w14:paraId="0D8D6720" w14:textId="77777777" w:rsidR="00E05B98" w:rsidRPr="00EC1816" w:rsidRDefault="00B01E0C">
      <w:pPr>
        <w:spacing w:before="38"/>
        <w:ind w:left="324"/>
        <w:rPr>
          <w:rFonts w:ascii="Trebuchet MS"/>
          <w:sz w:val="16"/>
          <w:szCs w:val="16"/>
          <w:lang w:val="uk-UA"/>
        </w:rPr>
      </w:pPr>
      <w:r w:rsidRPr="00EC1816">
        <w:rPr>
          <w:rFonts w:ascii="Trebuchet MS"/>
          <w:w w:val="75"/>
          <w:sz w:val="16"/>
          <w:szCs w:val="16"/>
          <w:lang w:val="uk-UA"/>
        </w:rPr>
        <w:t>0.97</w:t>
      </w:r>
      <w:r w:rsidRPr="00EC1816">
        <w:rPr>
          <w:rFonts w:ascii="Trebuchet MS"/>
          <w:spacing w:val="14"/>
          <w:sz w:val="16"/>
          <w:szCs w:val="16"/>
          <w:lang w:val="uk-UA"/>
        </w:rPr>
        <w:t xml:space="preserve"> </w:t>
      </w:r>
      <w:r w:rsidRPr="00EC1816">
        <w:rPr>
          <w:rFonts w:ascii="Trebuchet MS"/>
          <w:w w:val="75"/>
          <w:sz w:val="16"/>
          <w:szCs w:val="16"/>
          <w:lang w:val="uk-UA"/>
        </w:rPr>
        <w:t>[0.95,</w:t>
      </w:r>
      <w:r w:rsidRPr="00EC1816">
        <w:rPr>
          <w:rFonts w:ascii="Trebuchet MS"/>
          <w:spacing w:val="20"/>
          <w:sz w:val="16"/>
          <w:szCs w:val="16"/>
          <w:lang w:val="uk-UA"/>
        </w:rPr>
        <w:t xml:space="preserve"> </w:t>
      </w:r>
      <w:r w:rsidRPr="00EC1816">
        <w:rPr>
          <w:rFonts w:ascii="Trebuchet MS"/>
          <w:spacing w:val="-2"/>
          <w:w w:val="75"/>
          <w:sz w:val="16"/>
          <w:szCs w:val="16"/>
          <w:lang w:val="uk-UA"/>
        </w:rPr>
        <w:t>0.99]</w:t>
      </w:r>
    </w:p>
    <w:p w14:paraId="04B9E6E2" w14:textId="77777777" w:rsidR="00E05B98" w:rsidRPr="00EC1816" w:rsidRDefault="00B01E0C">
      <w:pPr>
        <w:spacing w:before="37"/>
        <w:ind w:left="324"/>
        <w:rPr>
          <w:rFonts w:ascii="Trebuchet MS"/>
          <w:sz w:val="16"/>
          <w:szCs w:val="16"/>
          <w:lang w:val="uk-UA"/>
        </w:rPr>
      </w:pPr>
      <w:r w:rsidRPr="00EC1816">
        <w:rPr>
          <w:rFonts w:ascii="Trebuchet MS"/>
          <w:w w:val="75"/>
          <w:sz w:val="16"/>
          <w:szCs w:val="16"/>
          <w:lang w:val="uk-UA"/>
        </w:rPr>
        <w:t>0.96</w:t>
      </w:r>
      <w:r w:rsidRPr="00EC1816">
        <w:rPr>
          <w:rFonts w:ascii="Trebuchet MS"/>
          <w:spacing w:val="14"/>
          <w:sz w:val="16"/>
          <w:szCs w:val="16"/>
          <w:lang w:val="uk-UA"/>
        </w:rPr>
        <w:t xml:space="preserve"> </w:t>
      </w:r>
      <w:r w:rsidRPr="00EC1816">
        <w:rPr>
          <w:rFonts w:ascii="Trebuchet MS"/>
          <w:w w:val="75"/>
          <w:sz w:val="16"/>
          <w:szCs w:val="16"/>
          <w:lang w:val="uk-UA"/>
        </w:rPr>
        <w:t>[0.88,</w:t>
      </w:r>
      <w:r w:rsidRPr="00EC1816">
        <w:rPr>
          <w:rFonts w:ascii="Trebuchet MS"/>
          <w:spacing w:val="20"/>
          <w:sz w:val="16"/>
          <w:szCs w:val="16"/>
          <w:lang w:val="uk-UA"/>
        </w:rPr>
        <w:t xml:space="preserve"> </w:t>
      </w:r>
      <w:r w:rsidRPr="00EC1816">
        <w:rPr>
          <w:rFonts w:ascii="Trebuchet MS"/>
          <w:spacing w:val="-2"/>
          <w:w w:val="75"/>
          <w:sz w:val="16"/>
          <w:szCs w:val="16"/>
          <w:lang w:val="uk-UA"/>
        </w:rPr>
        <w:t>0.99]</w:t>
      </w:r>
    </w:p>
    <w:p w14:paraId="6ADB1EAD" w14:textId="77777777" w:rsidR="00E05B98" w:rsidRPr="00EC1816" w:rsidRDefault="00B01E0C">
      <w:pPr>
        <w:spacing w:before="38"/>
        <w:ind w:left="324"/>
        <w:rPr>
          <w:rFonts w:ascii="Trebuchet MS"/>
          <w:sz w:val="16"/>
          <w:szCs w:val="16"/>
          <w:lang w:val="uk-UA"/>
        </w:rPr>
      </w:pPr>
      <w:r w:rsidRPr="00EC1816">
        <w:rPr>
          <w:rFonts w:ascii="Trebuchet MS"/>
          <w:w w:val="75"/>
          <w:sz w:val="16"/>
          <w:szCs w:val="16"/>
          <w:lang w:val="uk-UA"/>
        </w:rPr>
        <w:t>1.00</w:t>
      </w:r>
      <w:r w:rsidRPr="00EC1816">
        <w:rPr>
          <w:rFonts w:ascii="Trebuchet MS"/>
          <w:spacing w:val="14"/>
          <w:sz w:val="16"/>
          <w:szCs w:val="16"/>
          <w:lang w:val="uk-UA"/>
        </w:rPr>
        <w:t xml:space="preserve"> </w:t>
      </w:r>
      <w:r w:rsidRPr="00EC1816">
        <w:rPr>
          <w:rFonts w:ascii="Trebuchet MS"/>
          <w:w w:val="75"/>
          <w:sz w:val="16"/>
          <w:szCs w:val="16"/>
          <w:lang w:val="uk-UA"/>
        </w:rPr>
        <w:t>[0.97,</w:t>
      </w:r>
      <w:r w:rsidRPr="00EC1816">
        <w:rPr>
          <w:rFonts w:ascii="Trebuchet MS"/>
          <w:spacing w:val="20"/>
          <w:sz w:val="16"/>
          <w:szCs w:val="16"/>
          <w:lang w:val="uk-UA"/>
        </w:rPr>
        <w:t xml:space="preserve"> </w:t>
      </w:r>
      <w:r w:rsidRPr="00EC1816">
        <w:rPr>
          <w:rFonts w:ascii="Trebuchet MS"/>
          <w:spacing w:val="-2"/>
          <w:w w:val="75"/>
          <w:sz w:val="16"/>
          <w:szCs w:val="16"/>
          <w:lang w:val="uk-UA"/>
        </w:rPr>
        <w:t>1.00]</w:t>
      </w:r>
    </w:p>
    <w:p w14:paraId="7334C3FD" w14:textId="77777777" w:rsidR="00E05B98" w:rsidRPr="003C6DAE" w:rsidRDefault="00B01E0C">
      <w:pPr>
        <w:spacing w:before="109"/>
        <w:ind w:left="87"/>
        <w:rPr>
          <w:rFonts w:ascii="Trebuchet MS"/>
          <w:sz w:val="17"/>
          <w:lang w:val="uk-UA"/>
        </w:rPr>
      </w:pPr>
      <w:r w:rsidRPr="00EC1816">
        <w:rPr>
          <w:sz w:val="16"/>
          <w:szCs w:val="16"/>
          <w:lang w:val="uk-UA"/>
        </w:rPr>
        <w:br w:type="column"/>
      </w:r>
      <w:r w:rsidRPr="003C6DAE">
        <w:rPr>
          <w:rFonts w:ascii="Trebuchet MS"/>
          <w:color w:val="333333"/>
          <w:w w:val="80"/>
          <w:sz w:val="17"/>
          <w:lang w:val="uk-UA"/>
        </w:rPr>
        <w:t>S</w:t>
      </w:r>
      <w:r w:rsidRPr="003C6DAE">
        <w:rPr>
          <w:rFonts w:ascii="Trebuchet MS"/>
          <w:color w:val="333333"/>
          <w:spacing w:val="-3"/>
          <w:w w:val="80"/>
          <w:sz w:val="17"/>
          <w:lang w:val="uk-UA"/>
        </w:rPr>
        <w:t xml:space="preserve"> </w:t>
      </w:r>
      <w:proofErr w:type="spellStart"/>
      <w:r w:rsidRPr="003C6DAE">
        <w:rPr>
          <w:rFonts w:ascii="Trebuchet MS"/>
          <w:color w:val="333333"/>
          <w:w w:val="80"/>
          <w:sz w:val="17"/>
          <w:lang w:val="uk-UA"/>
        </w:rPr>
        <w:t>ens</w:t>
      </w:r>
      <w:proofErr w:type="spellEnd"/>
      <w:r w:rsidRPr="003C6DAE">
        <w:rPr>
          <w:rFonts w:ascii="Trebuchet MS"/>
          <w:color w:val="333333"/>
          <w:spacing w:val="-6"/>
          <w:w w:val="80"/>
          <w:sz w:val="17"/>
          <w:lang w:val="uk-UA"/>
        </w:rPr>
        <w:t xml:space="preserve"> </w:t>
      </w:r>
      <w:proofErr w:type="spellStart"/>
      <w:r w:rsidRPr="003C6DAE">
        <w:rPr>
          <w:rFonts w:ascii="Trebuchet MS"/>
          <w:color w:val="333333"/>
          <w:w w:val="80"/>
          <w:sz w:val="17"/>
          <w:lang w:val="uk-UA"/>
        </w:rPr>
        <w:t>itivity</w:t>
      </w:r>
      <w:proofErr w:type="spellEnd"/>
      <w:r w:rsidRPr="003C6DAE">
        <w:rPr>
          <w:rFonts w:ascii="Trebuchet MS"/>
          <w:color w:val="333333"/>
          <w:spacing w:val="27"/>
          <w:sz w:val="17"/>
          <w:lang w:val="uk-UA"/>
        </w:rPr>
        <w:t xml:space="preserve"> </w:t>
      </w:r>
      <w:r w:rsidRPr="003C6DAE">
        <w:rPr>
          <w:rFonts w:ascii="Trebuchet MS"/>
          <w:color w:val="333333"/>
          <w:w w:val="80"/>
          <w:sz w:val="17"/>
          <w:lang w:val="uk-UA"/>
        </w:rPr>
        <w:t>(95%</w:t>
      </w:r>
      <w:r w:rsidRPr="003C6DAE">
        <w:rPr>
          <w:rFonts w:ascii="Trebuchet MS"/>
          <w:color w:val="333333"/>
          <w:spacing w:val="30"/>
          <w:sz w:val="17"/>
          <w:lang w:val="uk-UA"/>
        </w:rPr>
        <w:t xml:space="preserve"> </w:t>
      </w:r>
      <w:r w:rsidRPr="003C6DAE">
        <w:rPr>
          <w:rFonts w:ascii="Trebuchet MS"/>
          <w:color w:val="333333"/>
          <w:w w:val="80"/>
          <w:sz w:val="17"/>
          <w:lang w:val="uk-UA"/>
        </w:rPr>
        <w:t>C</w:t>
      </w:r>
      <w:r w:rsidRPr="003C6DAE">
        <w:rPr>
          <w:rFonts w:ascii="Trebuchet MS"/>
          <w:color w:val="333333"/>
          <w:spacing w:val="-10"/>
          <w:w w:val="80"/>
          <w:sz w:val="17"/>
          <w:lang w:val="uk-UA"/>
        </w:rPr>
        <w:t xml:space="preserve"> </w:t>
      </w:r>
      <w:r w:rsidRPr="003C6DAE">
        <w:rPr>
          <w:rFonts w:ascii="Trebuchet MS"/>
          <w:color w:val="333333"/>
          <w:spacing w:val="-5"/>
          <w:w w:val="80"/>
          <w:sz w:val="17"/>
          <w:lang w:val="uk-UA"/>
        </w:rPr>
        <w:t>I)</w:t>
      </w:r>
    </w:p>
    <w:p w14:paraId="4A4FA58A" w14:textId="77777777" w:rsidR="00E05B98" w:rsidRPr="003C6DAE" w:rsidRDefault="00E05B98">
      <w:pPr>
        <w:pStyle w:val="a3"/>
        <w:rPr>
          <w:rFonts w:ascii="Trebuchet MS"/>
          <w:sz w:val="20"/>
          <w:lang w:val="uk-UA"/>
        </w:rPr>
      </w:pPr>
    </w:p>
    <w:p w14:paraId="6C8E76DF" w14:textId="77777777" w:rsidR="00E05B98" w:rsidRPr="003C6DAE" w:rsidRDefault="00E05B98">
      <w:pPr>
        <w:pStyle w:val="a3"/>
        <w:rPr>
          <w:rFonts w:ascii="Trebuchet MS"/>
          <w:sz w:val="20"/>
          <w:lang w:val="uk-UA"/>
        </w:rPr>
      </w:pPr>
    </w:p>
    <w:p w14:paraId="30733DC0" w14:textId="77777777" w:rsidR="00E05B98" w:rsidRPr="003C6DAE" w:rsidRDefault="00E05B98">
      <w:pPr>
        <w:pStyle w:val="a3"/>
        <w:rPr>
          <w:rFonts w:ascii="Trebuchet MS"/>
          <w:sz w:val="20"/>
          <w:lang w:val="uk-UA"/>
        </w:rPr>
      </w:pPr>
    </w:p>
    <w:p w14:paraId="5014C897" w14:textId="77777777" w:rsidR="00E05B98" w:rsidRPr="003C6DAE" w:rsidRDefault="00E05B98">
      <w:pPr>
        <w:pStyle w:val="a3"/>
        <w:spacing w:before="96" w:after="1"/>
        <w:rPr>
          <w:rFonts w:ascii="Trebuchet MS"/>
          <w:sz w:val="20"/>
          <w:lang w:val="uk-UA"/>
        </w:rPr>
      </w:pPr>
    </w:p>
    <w:p w14:paraId="48601A87" w14:textId="77777777" w:rsidR="00E05B98" w:rsidRPr="003C6DAE" w:rsidRDefault="00B01E0C">
      <w:pPr>
        <w:pStyle w:val="a3"/>
        <w:spacing w:line="102" w:lineRule="exact"/>
        <w:ind w:left="856" w:right="-87"/>
        <w:rPr>
          <w:rFonts w:ascii="Trebuchet MS"/>
          <w:position w:val="-1"/>
          <w:sz w:val="10"/>
          <w:lang w:val="uk-UA"/>
        </w:rPr>
      </w:pPr>
      <w:r w:rsidRPr="003C6DAE">
        <w:rPr>
          <w:rFonts w:ascii="Trebuchet MS"/>
          <w:noProof/>
          <w:position w:val="-1"/>
          <w:sz w:val="10"/>
          <w:lang w:val="uk-UA"/>
        </w:rPr>
        <mc:AlternateContent>
          <mc:Choice Requires="wpg">
            <w:drawing>
              <wp:inline distT="0" distB="0" distL="0" distR="0" wp14:anchorId="72BC7039" wp14:editId="422A2E2C">
                <wp:extent cx="383540" cy="65405"/>
                <wp:effectExtent l="9525" t="0" r="0" b="1269"/>
                <wp:docPr id="2177"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540" cy="65405"/>
                          <a:chOff x="0" y="0"/>
                          <a:chExt cx="383540" cy="65405"/>
                        </a:xfrm>
                      </wpg:grpSpPr>
                      <wps:wsp>
                        <wps:cNvPr id="2178" name="Graphic 2178"/>
                        <wps:cNvSpPr/>
                        <wps:spPr>
                          <a:xfrm>
                            <a:off x="0" y="28007"/>
                            <a:ext cx="383540" cy="1270"/>
                          </a:xfrm>
                          <a:custGeom>
                            <a:avLst/>
                            <a:gdLst/>
                            <a:ahLst/>
                            <a:cxnLst/>
                            <a:rect l="l" t="t" r="r" b="b"/>
                            <a:pathLst>
                              <a:path w="383540">
                                <a:moveTo>
                                  <a:pt x="0" y="0"/>
                                </a:moveTo>
                                <a:lnTo>
                                  <a:pt x="276963" y="0"/>
                                </a:lnTo>
                              </a:path>
                              <a:path w="383540">
                                <a:moveTo>
                                  <a:pt x="331422" y="0"/>
                                </a:moveTo>
                                <a:lnTo>
                                  <a:pt x="383158" y="0"/>
                                </a:lnTo>
                              </a:path>
                            </a:pathLst>
                          </a:custGeom>
                          <a:ln w="9335">
                            <a:solidFill>
                              <a:srgbClr val="000000"/>
                            </a:solidFill>
                            <a:prstDash val="solid"/>
                          </a:ln>
                        </wps:spPr>
                        <wps:bodyPr wrap="square" lIns="0" tIns="0" rIns="0" bIns="0" rtlCol="0">
                          <a:prstTxWarp prst="textNoShape">
                            <a:avLst/>
                          </a:prstTxWarp>
                          <a:noAutofit/>
                        </wps:bodyPr>
                      </wps:wsp>
                      <wps:wsp>
                        <wps:cNvPr id="2179" name="Graphic 2179"/>
                        <wps:cNvSpPr/>
                        <wps:spPr>
                          <a:xfrm>
                            <a:off x="276963" y="0"/>
                            <a:ext cx="54610" cy="65405"/>
                          </a:xfrm>
                          <a:custGeom>
                            <a:avLst/>
                            <a:gdLst/>
                            <a:ahLst/>
                            <a:cxnLst/>
                            <a:rect l="l" t="t" r="r" b="b"/>
                            <a:pathLst>
                              <a:path w="54610" h="65405">
                                <a:moveTo>
                                  <a:pt x="54458" y="65350"/>
                                </a:moveTo>
                                <a:lnTo>
                                  <a:pt x="0" y="65350"/>
                                </a:lnTo>
                                <a:lnTo>
                                  <a:pt x="0" y="0"/>
                                </a:lnTo>
                                <a:lnTo>
                                  <a:pt x="54458" y="0"/>
                                </a:lnTo>
                                <a:lnTo>
                                  <a:pt x="54458" y="65350"/>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35BFBB8F" id="Group 2177" o:spid="_x0000_s1026" style="width:30.2pt;height:5.15pt;mso-position-horizontal-relative:char;mso-position-vertical-relative:line" coordsize="38354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">
                <v:shape id="Graphic 2178" o:spid="_x0000_s1027" style="position:absolute;top:28007;width:383540;height:1270;visibility:visible;mso-wrap-style:square;v-text-anchor:top" coordsize="383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" path="m,l276963,em331422,r51736,e" filled="f" strokeweight=".25931mm">
                  <v:path arrowok="t"/>
                </v:shape>
                <v:shape id="Graphic 2179" o:spid="_x0000_s1028" style="position:absolute;left:276963;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" path="m54458,65350l,65350,,,54458,r,65350xe" fillcolor="#0000c0" stroked="f">
                  <v:path arrowok="t"/>
                </v:shape>
                <w10:anchorlock/>
              </v:group>
            </w:pict>
          </mc:Fallback>
        </mc:AlternateContent>
      </w:r>
    </w:p>
    <w:p w14:paraId="29E6866F" w14:textId="77777777" w:rsidR="00E05B98" w:rsidRPr="003C6DAE" w:rsidRDefault="00B01E0C">
      <w:pPr>
        <w:pStyle w:val="a3"/>
        <w:spacing w:before="4"/>
        <w:rPr>
          <w:rFonts w:ascii="Trebuchet MS"/>
          <w:sz w:val="9"/>
          <w:lang w:val="uk-UA"/>
        </w:rPr>
      </w:pPr>
      <w:r w:rsidRPr="003C6DAE">
        <w:rPr>
          <w:rFonts w:ascii="Trebuchet MS"/>
          <w:noProof/>
          <w:sz w:val="9"/>
          <w:lang w:val="uk-UA"/>
        </w:rPr>
        <mc:AlternateContent>
          <mc:Choice Requires="wpg">
            <w:drawing>
              <wp:anchor distT="0" distB="0" distL="0" distR="0" simplePos="0" relativeHeight="487923712" behindDoc="1" locked="0" layoutInCell="1" allowOverlap="1" wp14:anchorId="673A2460" wp14:editId="3B90A975">
                <wp:simplePos x="0" y="0"/>
                <wp:positionH relativeFrom="page">
                  <wp:posOffset>5275802</wp:posOffset>
                </wp:positionH>
                <wp:positionV relativeFrom="paragraph">
                  <wp:posOffset>84603</wp:posOffset>
                </wp:positionV>
                <wp:extent cx="227965" cy="65405"/>
                <wp:effectExtent l="0" t="0" r="0" b="0"/>
                <wp:wrapTopAndBottom/>
                <wp:docPr id="2180" name="Group 2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965" cy="65405"/>
                          <a:chOff x="0" y="0"/>
                          <a:chExt cx="227965" cy="65405"/>
                        </a:xfrm>
                      </wpg:grpSpPr>
                      <wps:wsp>
                        <wps:cNvPr id="2181" name="Graphic 2181"/>
                        <wps:cNvSpPr/>
                        <wps:spPr>
                          <a:xfrm>
                            <a:off x="0" y="28007"/>
                            <a:ext cx="227965" cy="1270"/>
                          </a:xfrm>
                          <a:custGeom>
                            <a:avLst/>
                            <a:gdLst/>
                            <a:ahLst/>
                            <a:cxnLst/>
                            <a:rect l="l" t="t" r="r" b="b"/>
                            <a:pathLst>
                              <a:path w="227965">
                                <a:moveTo>
                                  <a:pt x="0" y="0"/>
                                </a:moveTo>
                                <a:lnTo>
                                  <a:pt x="113974" y="0"/>
                                </a:lnTo>
                              </a:path>
                              <a:path w="227965">
                                <a:moveTo>
                                  <a:pt x="168433" y="0"/>
                                </a:moveTo>
                                <a:lnTo>
                                  <a:pt x="227561" y="0"/>
                                </a:lnTo>
                              </a:path>
                            </a:pathLst>
                          </a:custGeom>
                          <a:ln w="9335">
                            <a:solidFill>
                              <a:srgbClr val="000000"/>
                            </a:solidFill>
                            <a:prstDash val="solid"/>
                          </a:ln>
                        </wps:spPr>
                        <wps:bodyPr wrap="square" lIns="0" tIns="0" rIns="0" bIns="0" rtlCol="0">
                          <a:prstTxWarp prst="textNoShape">
                            <a:avLst/>
                          </a:prstTxWarp>
                          <a:noAutofit/>
                        </wps:bodyPr>
                      </wps:wsp>
                      <wps:wsp>
                        <wps:cNvPr id="2182" name="Graphic 2182"/>
                        <wps:cNvSpPr/>
                        <wps:spPr>
                          <a:xfrm>
                            <a:off x="113974"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EB2B706" id="Group 2180" o:spid="_x0000_s1026" style="position:absolute;margin-left:415.4pt;margin-top:6.65pt;width:17.95pt;height:5.15pt;z-index:-15392768;mso-wrap-distance-left:0;mso-wrap-distance-right:0;mso-position-horizontal-relative:page" coordsize="227965,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">
                <v:shape id="Graphic 2181" o:spid="_x0000_s1027" style="position:absolute;top:28007;width:227965;height:1270;visibility:visible;mso-wrap-style:square;v-text-anchor:top" coordsize="227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" path="m,l113974,em168433,r59128,e" filled="f" strokeweight=".25931mm">
                  <v:path arrowok="t"/>
                </v:shape>
                <v:shape id="Graphic 2182" o:spid="_x0000_s1028" style="position:absolute;left:113974;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" path="m54459,65350l,65350,,,54459,r,65350xe" fillcolor="#0000c0" stroked="f">
                  <v:path arrowok="t"/>
                </v:shape>
                <w10:wrap type="topAndBottom" anchorx="page"/>
              </v:group>
            </w:pict>
          </mc:Fallback>
        </mc:AlternateContent>
      </w:r>
      <w:r w:rsidRPr="003C6DAE">
        <w:rPr>
          <w:rFonts w:ascii="Trebuchet MS"/>
          <w:noProof/>
          <w:sz w:val="9"/>
          <w:lang w:val="uk-UA"/>
        </w:rPr>
        <mc:AlternateContent>
          <mc:Choice Requires="wpg">
            <w:drawing>
              <wp:anchor distT="0" distB="0" distL="0" distR="0" simplePos="0" relativeHeight="487924224" behindDoc="1" locked="0" layoutInCell="1" allowOverlap="1" wp14:anchorId="56AA9192" wp14:editId="37C1BF2D">
                <wp:simplePos x="0" y="0"/>
                <wp:positionH relativeFrom="page">
                  <wp:posOffset>5324816</wp:posOffset>
                </wp:positionH>
                <wp:positionV relativeFrom="paragraph">
                  <wp:posOffset>233977</wp:posOffset>
                </wp:positionV>
                <wp:extent cx="141605" cy="65405"/>
                <wp:effectExtent l="0" t="0" r="0" b="0"/>
                <wp:wrapTopAndBottom/>
                <wp:docPr id="2183" name="Group 2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605" cy="65405"/>
                          <a:chOff x="0" y="0"/>
                          <a:chExt cx="141605" cy="65405"/>
                        </a:xfrm>
                      </wpg:grpSpPr>
                      <wps:wsp>
                        <wps:cNvPr id="2184" name="Graphic 2184"/>
                        <wps:cNvSpPr/>
                        <wps:spPr>
                          <a:xfrm>
                            <a:off x="0" y="28007"/>
                            <a:ext cx="141605" cy="1270"/>
                          </a:xfrm>
                          <a:custGeom>
                            <a:avLst/>
                            <a:gdLst/>
                            <a:ahLst/>
                            <a:cxnLst/>
                            <a:rect l="l" t="t" r="r" b="b"/>
                            <a:pathLst>
                              <a:path w="141605">
                                <a:moveTo>
                                  <a:pt x="0" y="0"/>
                                </a:moveTo>
                                <a:lnTo>
                                  <a:pt x="56015" y="0"/>
                                </a:lnTo>
                              </a:path>
                              <a:path w="141605">
                                <a:moveTo>
                                  <a:pt x="110474" y="0"/>
                                </a:moveTo>
                                <a:lnTo>
                                  <a:pt x="141593" y="0"/>
                                </a:lnTo>
                              </a:path>
                            </a:pathLst>
                          </a:custGeom>
                          <a:ln w="9335">
                            <a:solidFill>
                              <a:srgbClr val="000000"/>
                            </a:solidFill>
                            <a:prstDash val="solid"/>
                          </a:ln>
                        </wps:spPr>
                        <wps:bodyPr wrap="square" lIns="0" tIns="0" rIns="0" bIns="0" rtlCol="0">
                          <a:prstTxWarp prst="textNoShape">
                            <a:avLst/>
                          </a:prstTxWarp>
                          <a:noAutofit/>
                        </wps:bodyPr>
                      </wps:wsp>
                      <wps:wsp>
                        <wps:cNvPr id="2185" name="Graphic 2185"/>
                        <wps:cNvSpPr/>
                        <wps:spPr>
                          <a:xfrm>
                            <a:off x="56015"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13CBA3C" id="Group 2183" o:spid="_x0000_s1026" style="position:absolute;margin-left:419.3pt;margin-top:18.4pt;width:11.15pt;height:5.15pt;z-index:-15392256;mso-wrap-distance-left:0;mso-wrap-distance-right:0;mso-position-horizontal-relative:page" coordsize="141605,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">
                <v:shape id="Graphic 2184" o:spid="_x0000_s1027" style="position:absolute;top:28007;width:141605;height:1270;visibility:visible;mso-wrap-style:square;v-text-anchor:top" coordsize="141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" path="m,l56015,em110474,r31119,e" filled="f" strokeweight=".25931mm">
                  <v:path arrowok="t"/>
                </v:shape>
                <v:shape id="Graphic 2185" o:spid="_x0000_s1028" style="position:absolute;left:56015;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" path="m54459,65350l,65350,,,54459,r,65350xe" fillcolor="#0000c0" stroked="f">
                  <v:path arrowok="t"/>
                </v:shape>
                <w10:wrap type="topAndBottom" anchorx="page"/>
              </v:group>
            </w:pict>
          </mc:Fallback>
        </mc:AlternateContent>
      </w:r>
    </w:p>
    <w:p w14:paraId="0BC01E8E" w14:textId="77777777" w:rsidR="00E05B98" w:rsidRPr="003C6DAE" w:rsidRDefault="00E05B98">
      <w:pPr>
        <w:pStyle w:val="a3"/>
        <w:spacing w:before="3"/>
        <w:rPr>
          <w:rFonts w:ascii="Trebuchet MS"/>
          <w:sz w:val="9"/>
          <w:lang w:val="uk-UA"/>
        </w:rPr>
      </w:pPr>
    </w:p>
    <w:p w14:paraId="6460D2F9" w14:textId="77777777" w:rsidR="00E05B98" w:rsidRPr="003C6DAE" w:rsidRDefault="00E05B98">
      <w:pPr>
        <w:pStyle w:val="a3"/>
        <w:spacing w:before="4"/>
        <w:rPr>
          <w:rFonts w:ascii="Trebuchet MS"/>
          <w:sz w:val="11"/>
          <w:lang w:val="uk-UA"/>
        </w:rPr>
      </w:pPr>
    </w:p>
    <w:p w14:paraId="718A8CCB" w14:textId="77777777" w:rsidR="00E05B98" w:rsidRPr="003C6DAE" w:rsidRDefault="00B01E0C">
      <w:pPr>
        <w:pStyle w:val="a3"/>
        <w:spacing w:line="102" w:lineRule="exact"/>
        <w:ind w:left="410" w:right="-72"/>
        <w:rPr>
          <w:rFonts w:ascii="Trebuchet MS"/>
          <w:position w:val="-1"/>
          <w:sz w:val="10"/>
          <w:lang w:val="uk-UA"/>
        </w:rPr>
      </w:pPr>
      <w:r w:rsidRPr="003C6DAE">
        <w:rPr>
          <w:rFonts w:ascii="Trebuchet MS"/>
          <w:noProof/>
          <w:position w:val="-1"/>
          <w:sz w:val="10"/>
          <w:lang w:val="uk-UA"/>
        </w:rPr>
        <mc:AlternateContent>
          <mc:Choice Requires="wpg">
            <w:drawing>
              <wp:inline distT="0" distB="0" distL="0" distR="0" wp14:anchorId="47CE03FC" wp14:editId="457BC1A6">
                <wp:extent cx="664210" cy="65405"/>
                <wp:effectExtent l="9525" t="0" r="2540" b="1269"/>
                <wp:docPr id="2186" name="Group 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210" cy="65405"/>
                          <a:chOff x="0" y="0"/>
                          <a:chExt cx="664210" cy="65405"/>
                        </a:xfrm>
                      </wpg:grpSpPr>
                      <wps:wsp>
                        <wps:cNvPr id="2187" name="Graphic 2187"/>
                        <wps:cNvSpPr/>
                        <wps:spPr>
                          <a:xfrm>
                            <a:off x="0" y="28007"/>
                            <a:ext cx="664210" cy="1270"/>
                          </a:xfrm>
                          <a:custGeom>
                            <a:avLst/>
                            <a:gdLst/>
                            <a:ahLst/>
                            <a:cxnLst/>
                            <a:rect l="l" t="t" r="r" b="b"/>
                            <a:pathLst>
                              <a:path w="664210">
                                <a:moveTo>
                                  <a:pt x="0" y="0"/>
                                </a:moveTo>
                                <a:lnTo>
                                  <a:pt x="459012" y="0"/>
                                </a:lnTo>
                              </a:path>
                              <a:path w="664210">
                                <a:moveTo>
                                  <a:pt x="513471" y="0"/>
                                </a:moveTo>
                                <a:lnTo>
                                  <a:pt x="664011" y="0"/>
                                </a:lnTo>
                              </a:path>
                            </a:pathLst>
                          </a:custGeom>
                          <a:ln w="9335">
                            <a:solidFill>
                              <a:srgbClr val="000000"/>
                            </a:solidFill>
                            <a:prstDash val="solid"/>
                          </a:ln>
                        </wps:spPr>
                        <wps:bodyPr wrap="square" lIns="0" tIns="0" rIns="0" bIns="0" rtlCol="0">
                          <a:prstTxWarp prst="textNoShape">
                            <a:avLst/>
                          </a:prstTxWarp>
                          <a:noAutofit/>
                        </wps:bodyPr>
                      </wps:wsp>
                      <wps:wsp>
                        <wps:cNvPr id="2188" name="Graphic 2188"/>
                        <wps:cNvSpPr/>
                        <wps:spPr>
                          <a:xfrm>
                            <a:off x="459012"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36793079" id="Group 2186" o:spid="_x0000_s1026" style="width:52.3pt;height:5.15pt;mso-position-horizontal-relative:char;mso-position-vertical-relative:line" coordsize="6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">
                <v:shape id="Graphic 2187" o:spid="_x0000_s1027" style="position:absolute;top:280;width:6642;height:12;visibility:visible;mso-wrap-style:square;v-text-anchor:top" coordsize="664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" path="m,l459012,em513471,l664011,e" filled="f" strokeweight=".25931mm">
                  <v:path arrowok="t"/>
                </v:shape>
                <v:shape id="Graphic 2188" o:spid="_x0000_s1028" style="position:absolute;left:4590;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" path="m54459,65350l,65350,,,54459,r,65350xe" fillcolor="#0000c0" stroked="f">
                  <v:path arrowok="t"/>
                </v:shape>
                <w10:anchorlock/>
              </v:group>
            </w:pict>
          </mc:Fallback>
        </mc:AlternateContent>
      </w:r>
    </w:p>
    <w:p w14:paraId="6B484EFD" w14:textId="77777777" w:rsidR="00E05B98" w:rsidRPr="003C6DAE" w:rsidRDefault="00B01E0C">
      <w:pPr>
        <w:pStyle w:val="a3"/>
        <w:spacing w:before="4"/>
        <w:rPr>
          <w:rFonts w:ascii="Trebuchet MS"/>
          <w:sz w:val="9"/>
          <w:lang w:val="uk-UA"/>
        </w:rPr>
      </w:pPr>
      <w:r w:rsidRPr="003C6DAE">
        <w:rPr>
          <w:rFonts w:ascii="Trebuchet MS"/>
          <w:noProof/>
          <w:sz w:val="9"/>
          <w:lang w:val="uk-UA"/>
        </w:rPr>
        <mc:AlternateContent>
          <mc:Choice Requires="wpg">
            <w:drawing>
              <wp:anchor distT="0" distB="0" distL="0" distR="0" simplePos="0" relativeHeight="487925248" behindDoc="1" locked="0" layoutInCell="1" allowOverlap="1" wp14:anchorId="37C0D4BF" wp14:editId="1ECFFABD">
                <wp:simplePos x="0" y="0"/>
                <wp:positionH relativeFrom="page">
                  <wp:posOffset>5008175</wp:posOffset>
                </wp:positionH>
                <wp:positionV relativeFrom="paragraph">
                  <wp:posOffset>84603</wp:posOffset>
                </wp:positionV>
                <wp:extent cx="534670" cy="65405"/>
                <wp:effectExtent l="0" t="0" r="0" b="0"/>
                <wp:wrapTopAndBottom/>
                <wp:docPr id="2189" name="Group 2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65405"/>
                          <a:chOff x="0" y="0"/>
                          <a:chExt cx="534670" cy="65405"/>
                        </a:xfrm>
                      </wpg:grpSpPr>
                      <wps:wsp>
                        <wps:cNvPr id="2190" name="Graphic 2190"/>
                        <wps:cNvSpPr/>
                        <wps:spPr>
                          <a:xfrm>
                            <a:off x="0" y="28007"/>
                            <a:ext cx="534670" cy="1270"/>
                          </a:xfrm>
                          <a:custGeom>
                            <a:avLst/>
                            <a:gdLst/>
                            <a:ahLst/>
                            <a:cxnLst/>
                            <a:rect l="l" t="t" r="r" b="b"/>
                            <a:pathLst>
                              <a:path w="534670">
                                <a:moveTo>
                                  <a:pt x="0" y="0"/>
                                </a:moveTo>
                                <a:lnTo>
                                  <a:pt x="329477" y="0"/>
                                </a:lnTo>
                              </a:path>
                              <a:path w="534670">
                                <a:moveTo>
                                  <a:pt x="383936" y="0"/>
                                </a:moveTo>
                                <a:lnTo>
                                  <a:pt x="534087" y="0"/>
                                </a:lnTo>
                              </a:path>
                            </a:pathLst>
                          </a:custGeom>
                          <a:ln w="9335">
                            <a:solidFill>
                              <a:srgbClr val="000000"/>
                            </a:solidFill>
                            <a:prstDash val="solid"/>
                          </a:ln>
                        </wps:spPr>
                        <wps:bodyPr wrap="square" lIns="0" tIns="0" rIns="0" bIns="0" rtlCol="0">
                          <a:prstTxWarp prst="textNoShape">
                            <a:avLst/>
                          </a:prstTxWarp>
                          <a:noAutofit/>
                        </wps:bodyPr>
                      </wps:wsp>
                      <wps:wsp>
                        <wps:cNvPr id="2191" name="Graphic 2191"/>
                        <wps:cNvSpPr/>
                        <wps:spPr>
                          <a:xfrm>
                            <a:off x="329477" y="0"/>
                            <a:ext cx="54610" cy="65405"/>
                          </a:xfrm>
                          <a:custGeom>
                            <a:avLst/>
                            <a:gdLst/>
                            <a:ahLst/>
                            <a:cxnLst/>
                            <a:rect l="l" t="t" r="r" b="b"/>
                            <a:pathLst>
                              <a:path w="54610" h="65405">
                                <a:moveTo>
                                  <a:pt x="54458" y="65350"/>
                                </a:moveTo>
                                <a:lnTo>
                                  <a:pt x="0" y="65350"/>
                                </a:lnTo>
                                <a:lnTo>
                                  <a:pt x="0" y="0"/>
                                </a:lnTo>
                                <a:lnTo>
                                  <a:pt x="54458" y="0"/>
                                </a:lnTo>
                                <a:lnTo>
                                  <a:pt x="54458"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DE73FC9" id="Group 2189" o:spid="_x0000_s1026" style="position:absolute;margin-left:394.35pt;margin-top:6.65pt;width:42.1pt;height:5.15pt;z-index:-15391232;mso-wrap-distance-left:0;mso-wrap-distance-right:0;mso-position-horizontal-relative:page" coordsize="534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">
                <v:shape id="Graphic 2190" o:spid="_x0000_s1027" style="position:absolute;top:280;width:5346;height:12;visibility:visible;mso-wrap-style:square;v-text-anchor:top" coordsize="534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" path="m,l329477,em383936,l534087,e" filled="f" strokeweight=".25931mm">
                  <v:path arrowok="t"/>
                </v:shape>
                <v:shape id="Graphic 2191" o:spid="_x0000_s1028" style="position:absolute;left:3294;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" path="m54458,65350l,65350,,,54458,r,65350xe" fillcolor="#0000c0" stroked="f">
                  <v:path arrowok="t"/>
                </v:shape>
                <w10:wrap type="topAndBottom" anchorx="page"/>
              </v:group>
            </w:pict>
          </mc:Fallback>
        </mc:AlternateContent>
      </w:r>
      <w:r w:rsidRPr="003C6DAE">
        <w:rPr>
          <w:rFonts w:ascii="Trebuchet MS"/>
          <w:noProof/>
          <w:sz w:val="9"/>
          <w:lang w:val="uk-UA"/>
        </w:rPr>
        <mc:AlternateContent>
          <mc:Choice Requires="wpg">
            <w:drawing>
              <wp:anchor distT="0" distB="0" distL="0" distR="0" simplePos="0" relativeHeight="487925760" behindDoc="1" locked="0" layoutInCell="1" allowOverlap="1" wp14:anchorId="6FE18D6C" wp14:editId="2BD2F2E3">
                <wp:simplePos x="0" y="0"/>
                <wp:positionH relativeFrom="page">
                  <wp:posOffset>5226789</wp:posOffset>
                </wp:positionH>
                <wp:positionV relativeFrom="paragraph">
                  <wp:posOffset>233976</wp:posOffset>
                </wp:positionV>
                <wp:extent cx="232410" cy="65405"/>
                <wp:effectExtent l="0" t="0" r="0" b="0"/>
                <wp:wrapTopAndBottom/>
                <wp:docPr id="2192"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410" cy="65405"/>
                          <a:chOff x="0" y="0"/>
                          <a:chExt cx="232410" cy="65405"/>
                        </a:xfrm>
                      </wpg:grpSpPr>
                      <wps:wsp>
                        <wps:cNvPr id="2193" name="Graphic 2193"/>
                        <wps:cNvSpPr/>
                        <wps:spPr>
                          <a:xfrm>
                            <a:off x="0" y="28007"/>
                            <a:ext cx="232410" cy="1270"/>
                          </a:xfrm>
                          <a:custGeom>
                            <a:avLst/>
                            <a:gdLst/>
                            <a:ahLst/>
                            <a:cxnLst/>
                            <a:rect l="l" t="t" r="r" b="b"/>
                            <a:pathLst>
                              <a:path w="232410">
                                <a:moveTo>
                                  <a:pt x="0" y="0"/>
                                </a:moveTo>
                                <a:lnTo>
                                  <a:pt x="108918" y="0"/>
                                </a:lnTo>
                              </a:path>
                              <a:path w="232410">
                                <a:moveTo>
                                  <a:pt x="163377" y="0"/>
                                </a:moveTo>
                                <a:lnTo>
                                  <a:pt x="231840" y="0"/>
                                </a:lnTo>
                              </a:path>
                            </a:pathLst>
                          </a:custGeom>
                          <a:ln w="9335">
                            <a:solidFill>
                              <a:srgbClr val="000000"/>
                            </a:solidFill>
                            <a:prstDash val="solid"/>
                          </a:ln>
                        </wps:spPr>
                        <wps:bodyPr wrap="square" lIns="0" tIns="0" rIns="0" bIns="0" rtlCol="0">
                          <a:prstTxWarp prst="textNoShape">
                            <a:avLst/>
                          </a:prstTxWarp>
                          <a:noAutofit/>
                        </wps:bodyPr>
                      </wps:wsp>
                      <wps:wsp>
                        <wps:cNvPr id="2194" name="Graphic 2194"/>
                        <wps:cNvSpPr/>
                        <wps:spPr>
                          <a:xfrm>
                            <a:off x="108918"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6B427AD" id="Group 2192" o:spid="_x0000_s1026" style="position:absolute;margin-left:411.55pt;margin-top:18.4pt;width:18.3pt;height:5.15pt;z-index:-15390720;mso-wrap-distance-left:0;mso-wrap-distance-right:0;mso-position-horizontal-relative:page" coordsize="23241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">
                <v:shape id="Graphic 2193" o:spid="_x0000_s1027" style="position:absolute;top:28007;width:232410;height:1270;visibility:visible;mso-wrap-style:square;v-text-anchor:top" coordsize="232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" path="m,l108918,em163377,r68463,e" filled="f" strokeweight=".25931mm">
                  <v:path arrowok="t"/>
                </v:shape>
                <v:shape id="Graphic 2194" o:spid="_x0000_s1028" style="position:absolute;left:108918;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" path="m54459,65350l,65350,,,54459,r,65350xe" fillcolor="#0000c0" stroked="f">
                  <v:path arrowok="t"/>
                </v:shape>
                <w10:wrap type="topAndBottom" anchorx="page"/>
              </v:group>
            </w:pict>
          </mc:Fallback>
        </mc:AlternateContent>
      </w:r>
      <w:r w:rsidRPr="003C6DAE">
        <w:rPr>
          <w:rFonts w:ascii="Trebuchet MS"/>
          <w:noProof/>
          <w:sz w:val="9"/>
          <w:lang w:val="uk-UA"/>
        </w:rPr>
        <mc:AlternateContent>
          <mc:Choice Requires="wpg">
            <w:drawing>
              <wp:anchor distT="0" distB="0" distL="0" distR="0" simplePos="0" relativeHeight="487926272" behindDoc="1" locked="0" layoutInCell="1" allowOverlap="1" wp14:anchorId="565BCB0B" wp14:editId="56BCBA37">
                <wp:simplePos x="0" y="0"/>
                <wp:positionH relativeFrom="page">
                  <wp:posOffset>5193336</wp:posOffset>
                </wp:positionH>
                <wp:positionV relativeFrom="paragraph">
                  <wp:posOffset>383350</wp:posOffset>
                </wp:positionV>
                <wp:extent cx="213995" cy="65405"/>
                <wp:effectExtent l="0" t="0" r="0" b="0"/>
                <wp:wrapTopAndBottom/>
                <wp:docPr id="2195" name="Group 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995" cy="65405"/>
                          <a:chOff x="0" y="0"/>
                          <a:chExt cx="213995" cy="65405"/>
                        </a:xfrm>
                      </wpg:grpSpPr>
                      <wps:wsp>
                        <wps:cNvPr id="2196" name="Graphic 2196"/>
                        <wps:cNvSpPr/>
                        <wps:spPr>
                          <a:xfrm>
                            <a:off x="0" y="28007"/>
                            <a:ext cx="213995" cy="1270"/>
                          </a:xfrm>
                          <a:custGeom>
                            <a:avLst/>
                            <a:gdLst/>
                            <a:ahLst/>
                            <a:cxnLst/>
                            <a:rect l="l" t="t" r="r" b="b"/>
                            <a:pathLst>
                              <a:path w="213995">
                                <a:moveTo>
                                  <a:pt x="0" y="0"/>
                                </a:moveTo>
                                <a:lnTo>
                                  <a:pt x="93359" y="0"/>
                                </a:lnTo>
                              </a:path>
                              <a:path w="213995">
                                <a:moveTo>
                                  <a:pt x="147817" y="0"/>
                                </a:moveTo>
                                <a:lnTo>
                                  <a:pt x="213557" y="0"/>
                                </a:lnTo>
                              </a:path>
                            </a:pathLst>
                          </a:custGeom>
                          <a:ln w="9335">
                            <a:solidFill>
                              <a:srgbClr val="000000"/>
                            </a:solidFill>
                            <a:prstDash val="solid"/>
                          </a:ln>
                        </wps:spPr>
                        <wps:bodyPr wrap="square" lIns="0" tIns="0" rIns="0" bIns="0" rtlCol="0">
                          <a:prstTxWarp prst="textNoShape">
                            <a:avLst/>
                          </a:prstTxWarp>
                          <a:noAutofit/>
                        </wps:bodyPr>
                      </wps:wsp>
                      <wps:wsp>
                        <wps:cNvPr id="2197" name="Graphic 2197"/>
                        <wps:cNvSpPr/>
                        <wps:spPr>
                          <a:xfrm>
                            <a:off x="93359" y="0"/>
                            <a:ext cx="54610" cy="65405"/>
                          </a:xfrm>
                          <a:custGeom>
                            <a:avLst/>
                            <a:gdLst/>
                            <a:ahLst/>
                            <a:cxnLst/>
                            <a:rect l="l" t="t" r="r" b="b"/>
                            <a:pathLst>
                              <a:path w="54610" h="65405">
                                <a:moveTo>
                                  <a:pt x="54458" y="65350"/>
                                </a:moveTo>
                                <a:lnTo>
                                  <a:pt x="0" y="65350"/>
                                </a:lnTo>
                                <a:lnTo>
                                  <a:pt x="0" y="0"/>
                                </a:lnTo>
                                <a:lnTo>
                                  <a:pt x="54458" y="0"/>
                                </a:lnTo>
                                <a:lnTo>
                                  <a:pt x="54458"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239E2F0" id="Group 2195" o:spid="_x0000_s1026" style="position:absolute;margin-left:408.9pt;margin-top:30.2pt;width:16.85pt;height:5.15pt;z-index:-15390208;mso-wrap-distance-left:0;mso-wrap-distance-right:0;mso-position-horizontal-relative:page" coordsize="213995,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">
                <v:shape id="Graphic 2196" o:spid="_x0000_s1027" style="position:absolute;top:28007;width:213995;height:1270;visibility:visible;mso-wrap-style:square;v-text-anchor:top" coordsize="213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" path="m,l93359,em147817,r65740,e" filled="f" strokeweight=".25931mm">
                  <v:path arrowok="t"/>
                </v:shape>
                <v:shape id="Graphic 2197" o:spid="_x0000_s1028" style="position:absolute;left:93359;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" path="m54458,65350l,65350,,,54458,r,65350xe" fillcolor="#0000c0" stroked="f">
                  <v:path arrowok="t"/>
                </v:shape>
                <w10:wrap type="topAndBottom" anchorx="page"/>
              </v:group>
            </w:pict>
          </mc:Fallback>
        </mc:AlternateContent>
      </w:r>
      <w:r w:rsidRPr="003C6DAE">
        <w:rPr>
          <w:rFonts w:ascii="Trebuchet MS"/>
          <w:noProof/>
          <w:sz w:val="9"/>
          <w:lang w:val="uk-UA"/>
        </w:rPr>
        <mc:AlternateContent>
          <mc:Choice Requires="wpg">
            <w:drawing>
              <wp:anchor distT="0" distB="0" distL="0" distR="0" simplePos="0" relativeHeight="487926784" behindDoc="1" locked="0" layoutInCell="1" allowOverlap="1" wp14:anchorId="1DA9D003" wp14:editId="2140C253">
                <wp:simplePos x="0" y="0"/>
                <wp:positionH relativeFrom="page">
                  <wp:posOffset>4906259</wp:posOffset>
                </wp:positionH>
                <wp:positionV relativeFrom="paragraph">
                  <wp:posOffset>532723</wp:posOffset>
                </wp:positionV>
                <wp:extent cx="628015" cy="65405"/>
                <wp:effectExtent l="0" t="0" r="0" b="0"/>
                <wp:wrapTopAndBottom/>
                <wp:docPr id="2198" name="Group 2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 cy="65405"/>
                          <a:chOff x="0" y="0"/>
                          <a:chExt cx="628015" cy="65405"/>
                        </a:xfrm>
                      </wpg:grpSpPr>
                      <wps:wsp>
                        <wps:cNvPr id="2199" name="Graphic 2199"/>
                        <wps:cNvSpPr/>
                        <wps:spPr>
                          <a:xfrm>
                            <a:off x="0" y="28007"/>
                            <a:ext cx="628015" cy="1270"/>
                          </a:xfrm>
                          <a:custGeom>
                            <a:avLst/>
                            <a:gdLst/>
                            <a:ahLst/>
                            <a:cxnLst/>
                            <a:rect l="l" t="t" r="r" b="b"/>
                            <a:pathLst>
                              <a:path w="628015">
                                <a:moveTo>
                                  <a:pt x="0" y="0"/>
                                </a:moveTo>
                                <a:lnTo>
                                  <a:pt x="372267" y="0"/>
                                </a:lnTo>
                              </a:path>
                              <a:path w="628015">
                                <a:moveTo>
                                  <a:pt x="426726" y="0"/>
                                </a:moveTo>
                                <a:lnTo>
                                  <a:pt x="627835" y="0"/>
                                </a:lnTo>
                              </a:path>
                            </a:pathLst>
                          </a:custGeom>
                          <a:ln w="9335">
                            <a:solidFill>
                              <a:srgbClr val="000000"/>
                            </a:solidFill>
                            <a:prstDash val="solid"/>
                          </a:ln>
                        </wps:spPr>
                        <wps:bodyPr wrap="square" lIns="0" tIns="0" rIns="0" bIns="0" rtlCol="0">
                          <a:prstTxWarp prst="textNoShape">
                            <a:avLst/>
                          </a:prstTxWarp>
                          <a:noAutofit/>
                        </wps:bodyPr>
                      </wps:wsp>
                      <wps:wsp>
                        <wps:cNvPr id="2200" name="Graphic 2200"/>
                        <wps:cNvSpPr/>
                        <wps:spPr>
                          <a:xfrm>
                            <a:off x="372267"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181E653" id="Group 2198" o:spid="_x0000_s1026" style="position:absolute;margin-left:386.3pt;margin-top:41.95pt;width:49.45pt;height:5.15pt;z-index:-15389696;mso-wrap-distance-left:0;mso-wrap-distance-right:0;mso-position-horizontal-relative:page" coordsize="628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">
                <v:shape id="Graphic 2199" o:spid="_x0000_s1027" style="position:absolute;top:280;width:6280;height:12;visibility:visible;mso-wrap-style:square;v-text-anchor:top" coordsize="62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" path="m,l372267,em426726,l627835,e" filled="f" strokeweight=".25931mm">
                  <v:path arrowok="t"/>
                </v:shape>
                <v:shape id="Graphic 2200" o:spid="_x0000_s1028" style="position:absolute;left:3722;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" path="m54459,65350l,65350,,,54459,r,65350xe" fillcolor="#0000c0" stroked="f">
                  <v:path arrowok="t"/>
                </v:shape>
                <w10:wrap type="topAndBottom" anchorx="page"/>
              </v:group>
            </w:pict>
          </mc:Fallback>
        </mc:AlternateContent>
      </w:r>
      <w:r w:rsidRPr="003C6DAE">
        <w:rPr>
          <w:rFonts w:ascii="Trebuchet MS"/>
          <w:noProof/>
          <w:sz w:val="9"/>
          <w:lang w:val="uk-UA"/>
        </w:rPr>
        <mc:AlternateContent>
          <mc:Choice Requires="wpg">
            <w:drawing>
              <wp:anchor distT="0" distB="0" distL="0" distR="0" simplePos="0" relativeHeight="487927296" behindDoc="1" locked="0" layoutInCell="1" allowOverlap="1" wp14:anchorId="3E20AB70" wp14:editId="4C6BA4AC">
                <wp:simplePos x="0" y="0"/>
                <wp:positionH relativeFrom="page">
                  <wp:posOffset>5068858</wp:posOffset>
                </wp:positionH>
                <wp:positionV relativeFrom="paragraph">
                  <wp:posOffset>682097</wp:posOffset>
                </wp:positionV>
                <wp:extent cx="360680" cy="65405"/>
                <wp:effectExtent l="0" t="0" r="0" b="0"/>
                <wp:wrapTopAndBottom/>
                <wp:docPr id="2201" name="Group 2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680" cy="65405"/>
                          <a:chOff x="0" y="0"/>
                          <a:chExt cx="360680" cy="65405"/>
                        </a:xfrm>
                      </wpg:grpSpPr>
                      <wps:wsp>
                        <wps:cNvPr id="2202" name="Graphic 2202"/>
                        <wps:cNvSpPr/>
                        <wps:spPr>
                          <a:xfrm>
                            <a:off x="0" y="28007"/>
                            <a:ext cx="360680" cy="1270"/>
                          </a:xfrm>
                          <a:custGeom>
                            <a:avLst/>
                            <a:gdLst/>
                            <a:ahLst/>
                            <a:cxnLst/>
                            <a:rect l="l" t="t" r="r" b="b"/>
                            <a:pathLst>
                              <a:path w="360680">
                                <a:moveTo>
                                  <a:pt x="0" y="0"/>
                                </a:moveTo>
                                <a:lnTo>
                                  <a:pt x="177769" y="0"/>
                                </a:lnTo>
                              </a:path>
                              <a:path w="360680">
                                <a:moveTo>
                                  <a:pt x="232228" y="0"/>
                                </a:moveTo>
                                <a:lnTo>
                                  <a:pt x="360207" y="0"/>
                                </a:lnTo>
                              </a:path>
                            </a:pathLst>
                          </a:custGeom>
                          <a:ln w="9335">
                            <a:solidFill>
                              <a:srgbClr val="000000"/>
                            </a:solidFill>
                            <a:prstDash val="solid"/>
                          </a:ln>
                        </wps:spPr>
                        <wps:bodyPr wrap="square" lIns="0" tIns="0" rIns="0" bIns="0" rtlCol="0">
                          <a:prstTxWarp prst="textNoShape">
                            <a:avLst/>
                          </a:prstTxWarp>
                          <a:noAutofit/>
                        </wps:bodyPr>
                      </wps:wsp>
                      <wps:wsp>
                        <wps:cNvPr id="2203" name="Graphic 2203"/>
                        <wps:cNvSpPr/>
                        <wps:spPr>
                          <a:xfrm>
                            <a:off x="177769" y="0"/>
                            <a:ext cx="54610" cy="65405"/>
                          </a:xfrm>
                          <a:custGeom>
                            <a:avLst/>
                            <a:gdLst/>
                            <a:ahLst/>
                            <a:cxnLst/>
                            <a:rect l="l" t="t" r="r" b="b"/>
                            <a:pathLst>
                              <a:path w="54610" h="65405">
                                <a:moveTo>
                                  <a:pt x="54458" y="65350"/>
                                </a:moveTo>
                                <a:lnTo>
                                  <a:pt x="0" y="65350"/>
                                </a:lnTo>
                                <a:lnTo>
                                  <a:pt x="0" y="0"/>
                                </a:lnTo>
                                <a:lnTo>
                                  <a:pt x="54458" y="0"/>
                                </a:lnTo>
                                <a:lnTo>
                                  <a:pt x="54458"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91730AB" id="Group 2201" o:spid="_x0000_s1026" style="position:absolute;margin-left:399.1pt;margin-top:53.7pt;width:28.4pt;height:5.15pt;z-index:-15389184;mso-wrap-distance-left:0;mso-wrap-distance-right:0;mso-position-horizontal-relative:page" coordsize="36068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">
                <v:shape id="Graphic 2202" o:spid="_x0000_s1027" style="position:absolute;top:28007;width:360680;height:1270;visibility:visible;mso-wrap-style:square;v-text-anchor:top" coordsize="360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" path="m,l177769,em232228,l360207,e" filled="f" strokeweight=".25931mm">
                  <v:path arrowok="t"/>
                </v:shape>
                <v:shape id="Graphic 2203" o:spid="_x0000_s1028" style="position:absolute;left:177769;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" path="m54458,65350l,65350,,,54458,r,65350xe" fillcolor="#0000c0" stroked="f">
                  <v:path arrowok="t"/>
                </v:shape>
                <w10:wrap type="topAndBottom" anchorx="page"/>
              </v:group>
            </w:pict>
          </mc:Fallback>
        </mc:AlternateContent>
      </w:r>
    </w:p>
    <w:p w14:paraId="500B3ADE" w14:textId="77777777" w:rsidR="00E05B98" w:rsidRPr="003C6DAE" w:rsidRDefault="00E05B98">
      <w:pPr>
        <w:pStyle w:val="a3"/>
        <w:spacing w:before="3"/>
        <w:rPr>
          <w:rFonts w:ascii="Trebuchet MS"/>
          <w:sz w:val="9"/>
          <w:lang w:val="uk-UA"/>
        </w:rPr>
      </w:pPr>
    </w:p>
    <w:p w14:paraId="59DE3355" w14:textId="77777777" w:rsidR="00E05B98" w:rsidRPr="003C6DAE" w:rsidRDefault="00E05B98">
      <w:pPr>
        <w:pStyle w:val="a3"/>
        <w:spacing w:before="3"/>
        <w:rPr>
          <w:rFonts w:ascii="Trebuchet MS"/>
          <w:sz w:val="9"/>
          <w:lang w:val="uk-UA"/>
        </w:rPr>
      </w:pPr>
    </w:p>
    <w:p w14:paraId="3C64382B" w14:textId="77777777" w:rsidR="00E05B98" w:rsidRPr="003C6DAE" w:rsidRDefault="00E05B98">
      <w:pPr>
        <w:pStyle w:val="a3"/>
        <w:spacing w:before="3"/>
        <w:rPr>
          <w:rFonts w:ascii="Trebuchet MS"/>
          <w:sz w:val="9"/>
          <w:lang w:val="uk-UA"/>
        </w:rPr>
      </w:pPr>
    </w:p>
    <w:p w14:paraId="6BCB9FDC" w14:textId="77777777" w:rsidR="00E05B98" w:rsidRPr="003C6DAE" w:rsidRDefault="00E05B98">
      <w:pPr>
        <w:pStyle w:val="a3"/>
        <w:spacing w:before="3"/>
        <w:rPr>
          <w:rFonts w:ascii="Trebuchet MS"/>
          <w:sz w:val="9"/>
          <w:lang w:val="uk-UA"/>
        </w:rPr>
      </w:pPr>
    </w:p>
    <w:p w14:paraId="7DC0BDBE" w14:textId="77777777" w:rsidR="00E05B98" w:rsidRPr="003C6DAE" w:rsidRDefault="00E05B98">
      <w:pPr>
        <w:pStyle w:val="a3"/>
        <w:spacing w:before="4"/>
        <w:rPr>
          <w:rFonts w:ascii="Trebuchet MS"/>
          <w:sz w:val="11"/>
          <w:lang w:val="uk-UA"/>
        </w:rPr>
      </w:pPr>
    </w:p>
    <w:p w14:paraId="663C27EB" w14:textId="77777777" w:rsidR="00E05B98" w:rsidRPr="003C6DAE" w:rsidRDefault="00B01E0C">
      <w:pPr>
        <w:pStyle w:val="a3"/>
        <w:spacing w:line="102" w:lineRule="exact"/>
        <w:ind w:left="132" w:right="-72"/>
        <w:rPr>
          <w:rFonts w:ascii="Trebuchet MS"/>
          <w:position w:val="-1"/>
          <w:sz w:val="10"/>
          <w:lang w:val="uk-UA"/>
        </w:rPr>
      </w:pPr>
      <w:r w:rsidRPr="003C6DAE">
        <w:rPr>
          <w:rFonts w:ascii="Trebuchet MS"/>
          <w:noProof/>
          <w:position w:val="-1"/>
          <w:sz w:val="10"/>
          <w:lang w:val="uk-UA"/>
        </w:rPr>
        <mc:AlternateContent>
          <mc:Choice Requires="wpg">
            <w:drawing>
              <wp:inline distT="0" distB="0" distL="0" distR="0" wp14:anchorId="57A4F4E4" wp14:editId="6E53C344">
                <wp:extent cx="837565" cy="65405"/>
                <wp:effectExtent l="9525" t="0" r="634" b="1269"/>
                <wp:docPr id="2204" name="Group 2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7565" cy="65405"/>
                          <a:chOff x="0" y="0"/>
                          <a:chExt cx="837565" cy="65405"/>
                        </a:xfrm>
                      </wpg:grpSpPr>
                      <wps:wsp>
                        <wps:cNvPr id="2205" name="Graphic 2205"/>
                        <wps:cNvSpPr/>
                        <wps:spPr>
                          <a:xfrm>
                            <a:off x="0" y="28007"/>
                            <a:ext cx="837565" cy="1270"/>
                          </a:xfrm>
                          <a:custGeom>
                            <a:avLst/>
                            <a:gdLst/>
                            <a:ahLst/>
                            <a:cxnLst/>
                            <a:rect l="l" t="t" r="r" b="b"/>
                            <a:pathLst>
                              <a:path w="837565">
                                <a:moveTo>
                                  <a:pt x="0" y="0"/>
                                </a:moveTo>
                                <a:lnTo>
                                  <a:pt x="511138" y="0"/>
                                </a:lnTo>
                              </a:path>
                              <a:path w="837565">
                                <a:moveTo>
                                  <a:pt x="565596" y="0"/>
                                </a:moveTo>
                                <a:lnTo>
                                  <a:pt x="837502" y="0"/>
                                </a:lnTo>
                              </a:path>
                            </a:pathLst>
                          </a:custGeom>
                          <a:ln w="9335">
                            <a:solidFill>
                              <a:srgbClr val="000000"/>
                            </a:solidFill>
                            <a:prstDash val="solid"/>
                          </a:ln>
                        </wps:spPr>
                        <wps:bodyPr wrap="square" lIns="0" tIns="0" rIns="0" bIns="0" rtlCol="0">
                          <a:prstTxWarp prst="textNoShape">
                            <a:avLst/>
                          </a:prstTxWarp>
                          <a:noAutofit/>
                        </wps:bodyPr>
                      </wps:wsp>
                      <wps:wsp>
                        <wps:cNvPr id="2206" name="Graphic 2206"/>
                        <wps:cNvSpPr/>
                        <wps:spPr>
                          <a:xfrm>
                            <a:off x="511138" y="0"/>
                            <a:ext cx="54610" cy="65405"/>
                          </a:xfrm>
                          <a:custGeom>
                            <a:avLst/>
                            <a:gdLst/>
                            <a:ahLst/>
                            <a:cxnLst/>
                            <a:rect l="l" t="t" r="r" b="b"/>
                            <a:pathLst>
                              <a:path w="54610" h="65405">
                                <a:moveTo>
                                  <a:pt x="54458" y="65350"/>
                                </a:moveTo>
                                <a:lnTo>
                                  <a:pt x="0" y="65350"/>
                                </a:lnTo>
                                <a:lnTo>
                                  <a:pt x="0" y="0"/>
                                </a:lnTo>
                                <a:lnTo>
                                  <a:pt x="54458" y="0"/>
                                </a:lnTo>
                                <a:lnTo>
                                  <a:pt x="54458" y="65350"/>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27314E4C" id="Group 2204" o:spid="_x0000_s1026" style="width:65.95pt;height:5.15pt;mso-position-horizontal-relative:char;mso-position-vertical-relative:line" coordsize="837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">
                <v:shape id="Graphic 2205" o:spid="_x0000_s1027" style="position:absolute;top:280;width:8375;height:12;visibility:visible;mso-wrap-style:square;v-text-anchor:top" coordsize="837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" path="m,l511138,em565596,l837502,e" filled="f" strokeweight=".25931mm">
                  <v:path arrowok="t"/>
                </v:shape>
                <v:shape id="Graphic 2206" o:spid="_x0000_s1028" style="position:absolute;left:5111;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" path="m54458,65350l,65350,,,54458,r,65350xe" fillcolor="#0000c0" stroked="f">
                  <v:path arrowok="t"/>
                </v:shape>
                <w10:anchorlock/>
              </v:group>
            </w:pict>
          </mc:Fallback>
        </mc:AlternateContent>
      </w:r>
    </w:p>
    <w:p w14:paraId="2CD452FD" w14:textId="77777777" w:rsidR="00E05B98" w:rsidRPr="003C6DAE" w:rsidRDefault="00E05B98">
      <w:pPr>
        <w:pStyle w:val="a3"/>
        <w:spacing w:before="5"/>
        <w:rPr>
          <w:rFonts w:ascii="Trebuchet MS"/>
          <w:sz w:val="11"/>
          <w:lang w:val="uk-UA"/>
        </w:rPr>
      </w:pPr>
    </w:p>
    <w:p w14:paraId="68808DF9" w14:textId="77777777" w:rsidR="00E05B98" w:rsidRPr="003C6DAE" w:rsidRDefault="00B01E0C">
      <w:pPr>
        <w:pStyle w:val="a3"/>
        <w:spacing w:line="227" w:lineRule="exact"/>
        <w:ind w:left="-7" w:right="-72"/>
        <w:rPr>
          <w:rFonts w:ascii="Trebuchet MS"/>
          <w:position w:val="-4"/>
          <w:sz w:val="20"/>
          <w:lang w:val="uk-UA"/>
        </w:rPr>
      </w:pPr>
      <w:r w:rsidRPr="003C6DAE">
        <w:rPr>
          <w:rFonts w:ascii="Trebuchet MS"/>
          <w:noProof/>
          <w:position w:val="-4"/>
          <w:sz w:val="20"/>
          <w:lang w:val="uk-UA"/>
        </w:rPr>
        <mc:AlternateContent>
          <mc:Choice Requires="wpg">
            <w:drawing>
              <wp:inline distT="0" distB="0" distL="0" distR="0" wp14:anchorId="1E76EBE2" wp14:editId="53441165">
                <wp:extent cx="934085" cy="140335"/>
                <wp:effectExtent l="9525" t="0" r="0" b="12064"/>
                <wp:docPr id="2207" name="Group 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085" cy="140335"/>
                          <a:chOff x="0" y="0"/>
                          <a:chExt cx="934085" cy="140335"/>
                        </a:xfrm>
                      </wpg:grpSpPr>
                      <wps:wsp>
                        <wps:cNvPr id="2208" name="Graphic 2208"/>
                        <wps:cNvSpPr/>
                        <wps:spPr>
                          <a:xfrm>
                            <a:off x="321308" y="28008"/>
                            <a:ext cx="412750" cy="1270"/>
                          </a:xfrm>
                          <a:custGeom>
                            <a:avLst/>
                            <a:gdLst/>
                            <a:ahLst/>
                            <a:cxnLst/>
                            <a:rect l="l" t="t" r="r" b="b"/>
                            <a:pathLst>
                              <a:path w="412750">
                                <a:moveTo>
                                  <a:pt x="0" y="0"/>
                                </a:moveTo>
                                <a:lnTo>
                                  <a:pt x="192551" y="0"/>
                                </a:lnTo>
                              </a:path>
                              <a:path w="412750">
                                <a:moveTo>
                                  <a:pt x="247010" y="0"/>
                                </a:moveTo>
                                <a:lnTo>
                                  <a:pt x="412332" y="0"/>
                                </a:lnTo>
                              </a:path>
                            </a:pathLst>
                          </a:custGeom>
                          <a:ln w="9335">
                            <a:solidFill>
                              <a:srgbClr val="000000"/>
                            </a:solidFill>
                            <a:prstDash val="solid"/>
                          </a:ln>
                        </wps:spPr>
                        <wps:bodyPr wrap="square" lIns="0" tIns="0" rIns="0" bIns="0" rtlCol="0">
                          <a:prstTxWarp prst="textNoShape">
                            <a:avLst/>
                          </a:prstTxWarp>
                          <a:noAutofit/>
                        </wps:bodyPr>
                      </wps:wsp>
                      <wps:wsp>
                        <wps:cNvPr id="2209" name="Graphic 2209"/>
                        <wps:cNvSpPr/>
                        <wps:spPr>
                          <a:xfrm>
                            <a:off x="513860"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s:wsp>
                        <wps:cNvPr id="2210" name="Graphic 2210"/>
                        <wps:cNvSpPr/>
                        <wps:spPr>
                          <a:xfrm>
                            <a:off x="3889" y="102695"/>
                            <a:ext cx="925830" cy="1270"/>
                          </a:xfrm>
                          <a:custGeom>
                            <a:avLst/>
                            <a:gdLst/>
                            <a:ahLst/>
                            <a:cxnLst/>
                            <a:rect l="l" t="t" r="r" b="b"/>
                            <a:pathLst>
                              <a:path w="925830">
                                <a:moveTo>
                                  <a:pt x="0" y="0"/>
                                </a:moveTo>
                                <a:lnTo>
                                  <a:pt x="925804" y="0"/>
                                </a:lnTo>
                              </a:path>
                            </a:pathLst>
                          </a:custGeom>
                          <a:ln w="9335">
                            <a:solidFill>
                              <a:srgbClr val="000000"/>
                            </a:solidFill>
                            <a:prstDash val="solid"/>
                          </a:ln>
                        </wps:spPr>
                        <wps:bodyPr wrap="square" lIns="0" tIns="0" rIns="0" bIns="0" rtlCol="0">
                          <a:prstTxWarp prst="textNoShape">
                            <a:avLst/>
                          </a:prstTxWarp>
                          <a:noAutofit/>
                        </wps:bodyPr>
                      </wps:wsp>
                      <wps:wsp>
                        <wps:cNvPr id="2211" name="Graphic 2211"/>
                        <wps:cNvSpPr/>
                        <wps:spPr>
                          <a:xfrm>
                            <a:off x="3889" y="65351"/>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212" name="Graphic 2212"/>
                        <wps:cNvSpPr/>
                        <wps:spPr>
                          <a:xfrm>
                            <a:off x="189050" y="65351"/>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213" name="Graphic 2213"/>
                        <wps:cNvSpPr/>
                        <wps:spPr>
                          <a:xfrm>
                            <a:off x="374210" y="65352"/>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214" name="Graphic 2214"/>
                        <wps:cNvSpPr/>
                        <wps:spPr>
                          <a:xfrm>
                            <a:off x="558982" y="65352"/>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215" name="Graphic 2215"/>
                        <wps:cNvSpPr/>
                        <wps:spPr>
                          <a:xfrm>
                            <a:off x="744532" y="65352"/>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216" name="Graphic 2216"/>
                        <wps:cNvSpPr/>
                        <wps:spPr>
                          <a:xfrm>
                            <a:off x="929692" y="65353"/>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1D3C29" id="Group 2207" o:spid="_x0000_s1026" style="width:73.55pt;height:11.05pt;mso-position-horizontal-relative:char;mso-position-vertical-relative:line" coordsize="9340,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">
                <v:shape id="Graphic 2208" o:spid="_x0000_s1027" style="position:absolute;left:3213;top:280;width:4127;height:12;visibility:visible;mso-wrap-style:square;v-text-anchor:top" coordsize="412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" path="m,l192551,em247010,l412332,e" filled="f" strokeweight=".25931mm">
                  <v:path arrowok="t"/>
                </v:shape>
                <v:shape id="Graphic 2209" o:spid="_x0000_s1028" style="position:absolute;left:5138;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" path="m54459,65350l,65350,,,54459,r,65350xe" fillcolor="#0000c0" stroked="f">
                  <v:path arrowok="t"/>
                </v:shape>
                <v:shape id="Graphic 2210" o:spid="_x0000_s1029" style="position:absolute;left:38;top:1026;width:9259;height:13;visibility:visible;mso-wrap-style:square;v-text-anchor:top" coordsize="925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" path="m,l925804,e" filled="f" strokeweight=".25931mm">
                  <v:path arrowok="t"/>
                </v:shape>
                <v:shape id="Graphic 2211" o:spid="_x0000_s1030" style="position:absolute;left:38;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" path="m,l,74686e" filled="f" strokeweight=".21608mm">
                  <v:path arrowok="t"/>
                </v:shape>
                <v:shape id="Graphic 2212" o:spid="_x0000_s1031" style="position:absolute;left:1890;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" path="m,l,74686e" filled="f" strokeweight=".21608mm">
                  <v:path arrowok="t"/>
                </v:shape>
                <v:shape id="Graphic 2213" o:spid="_x0000_s1032" style="position:absolute;left:3742;top:653;width:12;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" path="m,l,74686e" filled="f" strokeweight=".21608mm">
                  <v:path arrowok="t"/>
                </v:shape>
                <v:shape id="Graphic 2214" o:spid="_x0000_s1033" style="position:absolute;left:5589;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" path="m,l,74686e" filled="f" strokeweight=".21608mm">
                  <v:path arrowok="t"/>
                </v:shape>
                <v:shape id="Graphic 2215" o:spid="_x0000_s1034" style="position:absolute;left:7445;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" path="m,l,74686e" filled="f" strokeweight=".21608mm">
                  <v:path arrowok="t"/>
                </v:shape>
                <v:shape id="Graphic 2216" o:spid="_x0000_s1035" style="position:absolute;left:9296;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" path="m,l,74686e" filled="f" strokeweight=".21608mm">
                  <v:path arrowok="t"/>
                </v:shape>
                <w10:anchorlock/>
              </v:group>
            </w:pict>
          </mc:Fallback>
        </mc:AlternateContent>
      </w:r>
    </w:p>
    <w:p w14:paraId="26D37009" w14:textId="77777777" w:rsidR="00E05B98" w:rsidRPr="003C6DAE" w:rsidRDefault="00B01E0C">
      <w:pPr>
        <w:ind w:left="1"/>
        <w:rPr>
          <w:rFonts w:ascii="Trebuchet MS"/>
          <w:sz w:val="17"/>
          <w:lang w:val="uk-UA"/>
        </w:rPr>
      </w:pPr>
      <w:r w:rsidRPr="003C6DAE">
        <w:rPr>
          <w:rFonts w:ascii="Trebuchet MS"/>
          <w:w w:val="85"/>
          <w:sz w:val="17"/>
          <w:lang w:val="uk-UA"/>
        </w:rPr>
        <w:t>0</w:t>
      </w:r>
      <w:r w:rsidRPr="003C6DAE">
        <w:rPr>
          <w:rFonts w:ascii="Trebuchet MS"/>
          <w:spacing w:val="53"/>
          <w:sz w:val="17"/>
          <w:lang w:val="uk-UA"/>
        </w:rPr>
        <w:t xml:space="preserve"> </w:t>
      </w:r>
      <w:r w:rsidRPr="003C6DAE">
        <w:rPr>
          <w:rFonts w:ascii="Trebuchet MS"/>
          <w:w w:val="85"/>
          <w:sz w:val="17"/>
          <w:lang w:val="uk-UA"/>
        </w:rPr>
        <w:t>0.2</w:t>
      </w:r>
      <w:r w:rsidRPr="003C6DAE">
        <w:rPr>
          <w:rFonts w:ascii="Trebuchet MS"/>
          <w:spacing w:val="35"/>
          <w:sz w:val="17"/>
          <w:lang w:val="uk-UA"/>
        </w:rPr>
        <w:t xml:space="preserve"> </w:t>
      </w:r>
      <w:r w:rsidRPr="003C6DAE">
        <w:rPr>
          <w:rFonts w:ascii="Trebuchet MS"/>
          <w:w w:val="85"/>
          <w:sz w:val="17"/>
          <w:lang w:val="uk-UA"/>
        </w:rPr>
        <w:t>0.4</w:t>
      </w:r>
      <w:r w:rsidRPr="003C6DAE">
        <w:rPr>
          <w:rFonts w:ascii="Trebuchet MS"/>
          <w:spacing w:val="35"/>
          <w:sz w:val="17"/>
          <w:lang w:val="uk-UA"/>
        </w:rPr>
        <w:t xml:space="preserve"> </w:t>
      </w:r>
      <w:r w:rsidRPr="003C6DAE">
        <w:rPr>
          <w:rFonts w:ascii="Trebuchet MS"/>
          <w:w w:val="85"/>
          <w:sz w:val="17"/>
          <w:lang w:val="uk-UA"/>
        </w:rPr>
        <w:t>0.6</w:t>
      </w:r>
      <w:r w:rsidRPr="003C6DAE">
        <w:rPr>
          <w:rFonts w:ascii="Trebuchet MS"/>
          <w:spacing w:val="35"/>
          <w:sz w:val="17"/>
          <w:lang w:val="uk-UA"/>
        </w:rPr>
        <w:t xml:space="preserve"> </w:t>
      </w:r>
      <w:r w:rsidRPr="003C6DAE">
        <w:rPr>
          <w:rFonts w:ascii="Trebuchet MS"/>
          <w:w w:val="85"/>
          <w:sz w:val="17"/>
          <w:lang w:val="uk-UA"/>
        </w:rPr>
        <w:t>0.8</w:t>
      </w:r>
      <w:r w:rsidRPr="003C6DAE">
        <w:rPr>
          <w:rFonts w:ascii="Trebuchet MS"/>
          <w:spacing w:val="55"/>
          <w:sz w:val="17"/>
          <w:lang w:val="uk-UA"/>
        </w:rPr>
        <w:t xml:space="preserve"> </w:t>
      </w:r>
      <w:r w:rsidRPr="003C6DAE">
        <w:rPr>
          <w:rFonts w:ascii="Trebuchet MS"/>
          <w:spacing w:val="-10"/>
          <w:w w:val="85"/>
          <w:sz w:val="17"/>
          <w:lang w:val="uk-UA"/>
        </w:rPr>
        <w:t>1</w:t>
      </w:r>
    </w:p>
    <w:p w14:paraId="187DD64C" w14:textId="77777777" w:rsidR="00E05B98" w:rsidRPr="003C6DAE" w:rsidRDefault="00B01E0C">
      <w:pPr>
        <w:spacing w:before="114"/>
        <w:ind w:left="180"/>
        <w:rPr>
          <w:rFonts w:ascii="Trebuchet MS"/>
          <w:sz w:val="17"/>
          <w:lang w:val="uk-UA"/>
        </w:rPr>
      </w:pPr>
      <w:r w:rsidRPr="003C6DAE">
        <w:rPr>
          <w:lang w:val="uk-UA"/>
        </w:rPr>
        <w:br w:type="column"/>
      </w:r>
      <w:r w:rsidRPr="003C6DAE">
        <w:rPr>
          <w:rFonts w:ascii="Trebuchet MS"/>
          <w:color w:val="333333"/>
          <w:w w:val="80"/>
          <w:sz w:val="17"/>
          <w:lang w:val="uk-UA"/>
        </w:rPr>
        <w:t>S</w:t>
      </w:r>
      <w:r w:rsidRPr="003C6DAE">
        <w:rPr>
          <w:rFonts w:ascii="Trebuchet MS"/>
          <w:color w:val="333333"/>
          <w:spacing w:val="-6"/>
          <w:w w:val="80"/>
          <w:sz w:val="17"/>
          <w:lang w:val="uk-UA"/>
        </w:rPr>
        <w:t xml:space="preserve"> </w:t>
      </w:r>
      <w:proofErr w:type="spellStart"/>
      <w:r w:rsidRPr="003C6DAE">
        <w:rPr>
          <w:rFonts w:ascii="Trebuchet MS"/>
          <w:color w:val="333333"/>
          <w:w w:val="80"/>
          <w:sz w:val="17"/>
          <w:lang w:val="uk-UA"/>
        </w:rPr>
        <w:t>pec</w:t>
      </w:r>
      <w:proofErr w:type="spellEnd"/>
      <w:r w:rsidRPr="003C6DAE">
        <w:rPr>
          <w:rFonts w:ascii="Trebuchet MS"/>
          <w:color w:val="333333"/>
          <w:spacing w:val="-20"/>
          <w:w w:val="80"/>
          <w:sz w:val="17"/>
          <w:lang w:val="uk-UA"/>
        </w:rPr>
        <w:t xml:space="preserve"> </w:t>
      </w:r>
      <w:proofErr w:type="spellStart"/>
      <w:r w:rsidRPr="003C6DAE">
        <w:rPr>
          <w:rFonts w:ascii="Trebuchet MS"/>
          <w:color w:val="333333"/>
          <w:w w:val="80"/>
          <w:sz w:val="17"/>
          <w:lang w:val="uk-UA"/>
        </w:rPr>
        <w:t>ific</w:t>
      </w:r>
      <w:proofErr w:type="spellEnd"/>
      <w:r w:rsidRPr="003C6DAE">
        <w:rPr>
          <w:rFonts w:ascii="Trebuchet MS"/>
          <w:color w:val="333333"/>
          <w:spacing w:val="-20"/>
          <w:w w:val="80"/>
          <w:sz w:val="17"/>
          <w:lang w:val="uk-UA"/>
        </w:rPr>
        <w:t xml:space="preserve"> </w:t>
      </w:r>
      <w:proofErr w:type="spellStart"/>
      <w:r w:rsidRPr="003C6DAE">
        <w:rPr>
          <w:rFonts w:ascii="Trebuchet MS"/>
          <w:color w:val="333333"/>
          <w:w w:val="80"/>
          <w:sz w:val="17"/>
          <w:lang w:val="uk-UA"/>
        </w:rPr>
        <w:t>ity</w:t>
      </w:r>
      <w:proofErr w:type="spellEnd"/>
      <w:r w:rsidRPr="003C6DAE">
        <w:rPr>
          <w:rFonts w:ascii="Trebuchet MS"/>
          <w:color w:val="333333"/>
          <w:spacing w:val="22"/>
          <w:sz w:val="17"/>
          <w:lang w:val="uk-UA"/>
        </w:rPr>
        <w:t xml:space="preserve"> </w:t>
      </w:r>
      <w:r w:rsidRPr="003C6DAE">
        <w:rPr>
          <w:rFonts w:ascii="Trebuchet MS"/>
          <w:color w:val="333333"/>
          <w:w w:val="80"/>
          <w:sz w:val="17"/>
          <w:lang w:val="uk-UA"/>
        </w:rPr>
        <w:t>(95%</w:t>
      </w:r>
      <w:r w:rsidRPr="003C6DAE">
        <w:rPr>
          <w:rFonts w:ascii="Trebuchet MS"/>
          <w:color w:val="333333"/>
          <w:spacing w:val="24"/>
          <w:sz w:val="17"/>
          <w:lang w:val="uk-UA"/>
        </w:rPr>
        <w:t xml:space="preserve"> </w:t>
      </w:r>
      <w:r w:rsidRPr="003C6DAE">
        <w:rPr>
          <w:rFonts w:ascii="Trebuchet MS"/>
          <w:color w:val="333333"/>
          <w:w w:val="80"/>
          <w:sz w:val="17"/>
          <w:lang w:val="uk-UA"/>
        </w:rPr>
        <w:t>C</w:t>
      </w:r>
      <w:r w:rsidRPr="003C6DAE">
        <w:rPr>
          <w:rFonts w:ascii="Trebuchet MS"/>
          <w:color w:val="333333"/>
          <w:spacing w:val="-12"/>
          <w:w w:val="80"/>
          <w:sz w:val="17"/>
          <w:lang w:val="uk-UA"/>
        </w:rPr>
        <w:t xml:space="preserve"> </w:t>
      </w:r>
      <w:r w:rsidRPr="003C6DAE">
        <w:rPr>
          <w:rFonts w:ascii="Trebuchet MS"/>
          <w:color w:val="333333"/>
          <w:spacing w:val="-5"/>
          <w:w w:val="80"/>
          <w:sz w:val="17"/>
          <w:lang w:val="uk-UA"/>
        </w:rPr>
        <w:t>I)</w:t>
      </w:r>
    </w:p>
    <w:p w14:paraId="2E92F0F6" w14:textId="77777777" w:rsidR="00E05B98" w:rsidRPr="003C6DAE" w:rsidRDefault="00B01E0C">
      <w:pPr>
        <w:pStyle w:val="a3"/>
        <w:spacing w:before="9"/>
        <w:rPr>
          <w:rFonts w:ascii="Trebuchet MS"/>
          <w:sz w:val="4"/>
          <w:lang w:val="uk-UA"/>
        </w:rPr>
      </w:pPr>
      <w:r w:rsidRPr="003C6DAE">
        <w:rPr>
          <w:rFonts w:ascii="Trebuchet MS"/>
          <w:noProof/>
          <w:sz w:val="4"/>
          <w:lang w:val="uk-UA"/>
        </w:rPr>
        <mc:AlternateContent>
          <mc:Choice Requires="wpg">
            <w:drawing>
              <wp:anchor distT="0" distB="0" distL="0" distR="0" simplePos="0" relativeHeight="487928832" behindDoc="1" locked="0" layoutInCell="1" allowOverlap="1" wp14:anchorId="755C36CA" wp14:editId="58992F01">
                <wp:simplePos x="0" y="0"/>
                <wp:positionH relativeFrom="page">
                  <wp:posOffset>5669851</wp:posOffset>
                </wp:positionH>
                <wp:positionV relativeFrom="paragraph">
                  <wp:posOffset>50716</wp:posOffset>
                </wp:positionV>
                <wp:extent cx="941705" cy="65405"/>
                <wp:effectExtent l="0" t="0" r="0" b="0"/>
                <wp:wrapTopAndBottom/>
                <wp:docPr id="2217" name="Group 2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1705" cy="65405"/>
                          <a:chOff x="0" y="0"/>
                          <a:chExt cx="941705" cy="65405"/>
                        </a:xfrm>
                      </wpg:grpSpPr>
                      <wps:wsp>
                        <wps:cNvPr id="2218" name="Graphic 2218"/>
                        <wps:cNvSpPr/>
                        <wps:spPr>
                          <a:xfrm>
                            <a:off x="0" y="28007"/>
                            <a:ext cx="887094" cy="1270"/>
                          </a:xfrm>
                          <a:custGeom>
                            <a:avLst/>
                            <a:gdLst/>
                            <a:ahLst/>
                            <a:cxnLst/>
                            <a:rect l="l" t="t" r="r" b="b"/>
                            <a:pathLst>
                              <a:path w="887094">
                                <a:moveTo>
                                  <a:pt x="0" y="0"/>
                                </a:moveTo>
                                <a:lnTo>
                                  <a:pt x="886904" y="0"/>
                                </a:lnTo>
                              </a:path>
                            </a:pathLst>
                          </a:custGeom>
                          <a:ln w="9335">
                            <a:solidFill>
                              <a:srgbClr val="000000"/>
                            </a:solidFill>
                            <a:prstDash val="solid"/>
                          </a:ln>
                        </wps:spPr>
                        <wps:bodyPr wrap="square" lIns="0" tIns="0" rIns="0" bIns="0" rtlCol="0">
                          <a:prstTxWarp prst="textNoShape">
                            <a:avLst/>
                          </a:prstTxWarp>
                          <a:noAutofit/>
                        </wps:bodyPr>
                      </wps:wsp>
                      <wps:wsp>
                        <wps:cNvPr id="2219" name="Graphic 2219"/>
                        <wps:cNvSpPr/>
                        <wps:spPr>
                          <a:xfrm>
                            <a:off x="886904"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8782719" id="Group 2217" o:spid="_x0000_s1026" style="position:absolute;margin-left:446.45pt;margin-top:4pt;width:74.15pt;height:5.15pt;z-index:-15387648;mso-wrap-distance-left:0;mso-wrap-distance-right:0;mso-position-horizontal-relative:page" coordsize="941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">
                <v:shape id="Graphic 2218" o:spid="_x0000_s1027" style="position:absolute;top:280;width:8870;height:12;visibility:visible;mso-wrap-style:square;v-text-anchor:top" coordsize="8870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" path="m,l886904,e" filled="f" strokeweight=".25931mm">
                  <v:path arrowok="t"/>
                </v:shape>
                <v:shape id="Graphic 2219" o:spid="_x0000_s1028" style="position:absolute;left:8869;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" path="m54459,65350l,65350,,,54459,r,6535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929344" behindDoc="1" locked="0" layoutInCell="1" allowOverlap="1" wp14:anchorId="6901C760" wp14:editId="07AD0F03">
                <wp:simplePos x="0" y="0"/>
                <wp:positionH relativeFrom="page">
                  <wp:posOffset>5669850</wp:posOffset>
                </wp:positionH>
                <wp:positionV relativeFrom="paragraph">
                  <wp:posOffset>200090</wp:posOffset>
                </wp:positionV>
                <wp:extent cx="941705" cy="65405"/>
                <wp:effectExtent l="0" t="0" r="0" b="0"/>
                <wp:wrapTopAndBottom/>
                <wp:docPr id="2220" name="Group 2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1705" cy="65405"/>
                          <a:chOff x="0" y="0"/>
                          <a:chExt cx="941705" cy="65405"/>
                        </a:xfrm>
                      </wpg:grpSpPr>
                      <wps:wsp>
                        <wps:cNvPr id="2221" name="Graphic 2221"/>
                        <wps:cNvSpPr/>
                        <wps:spPr>
                          <a:xfrm>
                            <a:off x="0" y="28008"/>
                            <a:ext cx="887094" cy="1270"/>
                          </a:xfrm>
                          <a:custGeom>
                            <a:avLst/>
                            <a:gdLst/>
                            <a:ahLst/>
                            <a:cxnLst/>
                            <a:rect l="l" t="t" r="r" b="b"/>
                            <a:pathLst>
                              <a:path w="887094">
                                <a:moveTo>
                                  <a:pt x="0" y="0"/>
                                </a:moveTo>
                                <a:lnTo>
                                  <a:pt x="886904" y="0"/>
                                </a:lnTo>
                              </a:path>
                            </a:pathLst>
                          </a:custGeom>
                          <a:ln w="9335">
                            <a:solidFill>
                              <a:srgbClr val="000000"/>
                            </a:solidFill>
                            <a:prstDash val="solid"/>
                          </a:ln>
                        </wps:spPr>
                        <wps:bodyPr wrap="square" lIns="0" tIns="0" rIns="0" bIns="0" rtlCol="0">
                          <a:prstTxWarp prst="textNoShape">
                            <a:avLst/>
                          </a:prstTxWarp>
                          <a:noAutofit/>
                        </wps:bodyPr>
                      </wps:wsp>
                      <wps:wsp>
                        <wps:cNvPr id="2222" name="Graphic 2222"/>
                        <wps:cNvSpPr/>
                        <wps:spPr>
                          <a:xfrm>
                            <a:off x="886904" y="0"/>
                            <a:ext cx="54610" cy="65405"/>
                          </a:xfrm>
                          <a:custGeom>
                            <a:avLst/>
                            <a:gdLst/>
                            <a:ahLst/>
                            <a:cxnLst/>
                            <a:rect l="l" t="t" r="r" b="b"/>
                            <a:pathLst>
                              <a:path w="54610" h="65405">
                                <a:moveTo>
                                  <a:pt x="54459" y="65352"/>
                                </a:moveTo>
                                <a:lnTo>
                                  <a:pt x="0" y="65352"/>
                                </a:lnTo>
                                <a:lnTo>
                                  <a:pt x="0" y="0"/>
                                </a:lnTo>
                                <a:lnTo>
                                  <a:pt x="54459" y="0"/>
                                </a:lnTo>
                                <a:lnTo>
                                  <a:pt x="54459" y="65352"/>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8CCCF6F" id="Group 2220" o:spid="_x0000_s1026" style="position:absolute;margin-left:446.45pt;margin-top:15.75pt;width:74.15pt;height:5.15pt;z-index:-15387136;mso-wrap-distance-left:0;mso-wrap-distance-right:0;mso-position-horizontal-relative:page" coordsize="941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">
                <v:shape id="Graphic 2221" o:spid="_x0000_s1027" style="position:absolute;top:280;width:8870;height:12;visibility:visible;mso-wrap-style:square;v-text-anchor:top" coordsize="8870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" path="m,l886904,e" filled="f" strokeweight=".25931mm">
                  <v:path arrowok="t"/>
                </v:shape>
                <v:shape id="Graphic 2222" o:spid="_x0000_s1028" style="position:absolute;left:8869;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" path="m54459,65352l,65352,,,54459,r,65352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929856" behindDoc="1" locked="0" layoutInCell="1" allowOverlap="1" wp14:anchorId="3DC620CE" wp14:editId="15258ACF">
                <wp:simplePos x="0" y="0"/>
                <wp:positionH relativeFrom="page">
                  <wp:posOffset>6039782</wp:posOffset>
                </wp:positionH>
                <wp:positionV relativeFrom="paragraph">
                  <wp:posOffset>349464</wp:posOffset>
                </wp:positionV>
                <wp:extent cx="537210" cy="65405"/>
                <wp:effectExtent l="0" t="0" r="0" b="0"/>
                <wp:wrapTopAndBottom/>
                <wp:docPr id="2223" name="Group 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 cy="65405"/>
                          <a:chOff x="0" y="0"/>
                          <a:chExt cx="537210" cy="65405"/>
                        </a:xfrm>
                      </wpg:grpSpPr>
                      <wps:wsp>
                        <wps:cNvPr id="2224" name="Graphic 2224"/>
                        <wps:cNvSpPr/>
                        <wps:spPr>
                          <a:xfrm>
                            <a:off x="0" y="28007"/>
                            <a:ext cx="537210" cy="1270"/>
                          </a:xfrm>
                          <a:custGeom>
                            <a:avLst/>
                            <a:gdLst/>
                            <a:ahLst/>
                            <a:cxnLst/>
                            <a:rect l="l" t="t" r="r" b="b"/>
                            <a:pathLst>
                              <a:path w="537210">
                                <a:moveTo>
                                  <a:pt x="0" y="0"/>
                                </a:moveTo>
                                <a:lnTo>
                                  <a:pt x="383547" y="0"/>
                                </a:lnTo>
                              </a:path>
                              <a:path w="537210">
                                <a:moveTo>
                                  <a:pt x="438006" y="0"/>
                                </a:moveTo>
                                <a:lnTo>
                                  <a:pt x="536810" y="0"/>
                                </a:lnTo>
                              </a:path>
                            </a:pathLst>
                          </a:custGeom>
                          <a:ln w="9335">
                            <a:solidFill>
                              <a:srgbClr val="000000"/>
                            </a:solidFill>
                            <a:prstDash val="solid"/>
                          </a:ln>
                        </wps:spPr>
                        <wps:bodyPr wrap="square" lIns="0" tIns="0" rIns="0" bIns="0" rtlCol="0">
                          <a:prstTxWarp prst="textNoShape">
                            <a:avLst/>
                          </a:prstTxWarp>
                          <a:noAutofit/>
                        </wps:bodyPr>
                      </wps:wsp>
                      <wps:wsp>
                        <wps:cNvPr id="2225" name="Graphic 2225"/>
                        <wps:cNvSpPr/>
                        <wps:spPr>
                          <a:xfrm>
                            <a:off x="383547"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8BEF805" id="Group 2223" o:spid="_x0000_s1026" style="position:absolute;margin-left:475.55pt;margin-top:27.5pt;width:42.3pt;height:5.15pt;z-index:-15386624;mso-wrap-distance-left:0;mso-wrap-distance-right:0;mso-position-horizontal-relative:page" coordsize="537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">
                <v:shape id="Graphic 2224" o:spid="_x0000_s1027" style="position:absolute;top:280;width:5372;height:12;visibility:visible;mso-wrap-style:square;v-text-anchor:top" coordsize="537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" path="m,l383547,em438006,r98804,e" filled="f" strokeweight=".25931mm">
                  <v:path arrowok="t"/>
                </v:shape>
                <v:shape id="Graphic 2225" o:spid="_x0000_s1028" style="position:absolute;left:3835;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" path="m54459,65350l,65350,,,54459,r,6535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930368" behindDoc="1" locked="0" layoutInCell="1" allowOverlap="1" wp14:anchorId="1A7F9971" wp14:editId="5C4ADAD3">
                <wp:simplePos x="0" y="0"/>
                <wp:positionH relativeFrom="page">
                  <wp:posOffset>6451725</wp:posOffset>
                </wp:positionH>
                <wp:positionV relativeFrom="paragraph">
                  <wp:posOffset>498838</wp:posOffset>
                </wp:positionV>
                <wp:extent cx="160020" cy="65405"/>
                <wp:effectExtent l="0" t="0" r="0" b="0"/>
                <wp:wrapTopAndBottom/>
                <wp:docPr id="2226" name="Group 2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65405"/>
                          <a:chOff x="0" y="0"/>
                          <a:chExt cx="160020" cy="65405"/>
                        </a:xfrm>
                      </wpg:grpSpPr>
                      <wps:wsp>
                        <wps:cNvPr id="2227" name="Graphic 2227"/>
                        <wps:cNvSpPr/>
                        <wps:spPr>
                          <a:xfrm>
                            <a:off x="0" y="28007"/>
                            <a:ext cx="105410" cy="1270"/>
                          </a:xfrm>
                          <a:custGeom>
                            <a:avLst/>
                            <a:gdLst/>
                            <a:ahLst/>
                            <a:cxnLst/>
                            <a:rect l="l" t="t" r="r" b="b"/>
                            <a:pathLst>
                              <a:path w="105410">
                                <a:moveTo>
                                  <a:pt x="0" y="0"/>
                                </a:moveTo>
                                <a:lnTo>
                                  <a:pt x="105027" y="0"/>
                                </a:lnTo>
                              </a:path>
                            </a:pathLst>
                          </a:custGeom>
                          <a:ln w="9335">
                            <a:solidFill>
                              <a:srgbClr val="000000"/>
                            </a:solidFill>
                            <a:prstDash val="solid"/>
                          </a:ln>
                        </wps:spPr>
                        <wps:bodyPr wrap="square" lIns="0" tIns="0" rIns="0" bIns="0" rtlCol="0">
                          <a:prstTxWarp prst="textNoShape">
                            <a:avLst/>
                          </a:prstTxWarp>
                          <a:noAutofit/>
                        </wps:bodyPr>
                      </wps:wsp>
                      <wps:wsp>
                        <wps:cNvPr id="2228" name="Graphic 2228"/>
                        <wps:cNvSpPr/>
                        <wps:spPr>
                          <a:xfrm>
                            <a:off x="105027"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6D263B7" id="Group 2226" o:spid="_x0000_s1026" style="position:absolute;margin-left:508pt;margin-top:39.3pt;width:12.6pt;height:5.15pt;z-index:-15386112;mso-wrap-distance-left:0;mso-wrap-distance-right:0;mso-position-horizontal-relative:page" coordsize="16002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">
                <v:shape id="Graphic 2227" o:spid="_x0000_s1027" style="position:absolute;top:28007;width:105410;height:1270;visibility:visible;mso-wrap-style:square;v-text-anchor:top" coordsize="105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" path="m,l105027,e" filled="f" strokeweight=".25931mm">
                  <v:path arrowok="t"/>
                </v:shape>
                <v:shape id="Graphic 2228" o:spid="_x0000_s1028" style="position:absolute;left:105027;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" path="m54459,65350l,65350,,,54459,r,6535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930880" behindDoc="1" locked="0" layoutInCell="1" allowOverlap="1" wp14:anchorId="0409883C" wp14:editId="3EB9B043">
                <wp:simplePos x="0" y="0"/>
                <wp:positionH relativeFrom="page">
                  <wp:posOffset>6543526</wp:posOffset>
                </wp:positionH>
                <wp:positionV relativeFrom="paragraph">
                  <wp:posOffset>648211</wp:posOffset>
                </wp:positionV>
                <wp:extent cx="67945" cy="65405"/>
                <wp:effectExtent l="0" t="0" r="0" b="0"/>
                <wp:wrapTopAndBottom/>
                <wp:docPr id="2229" name="Group 2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 cy="65405"/>
                          <a:chOff x="0" y="0"/>
                          <a:chExt cx="67945" cy="65405"/>
                        </a:xfrm>
                      </wpg:grpSpPr>
                      <wps:wsp>
                        <wps:cNvPr id="2230" name="Graphic 2230"/>
                        <wps:cNvSpPr/>
                        <wps:spPr>
                          <a:xfrm>
                            <a:off x="0" y="28007"/>
                            <a:ext cx="13335" cy="1270"/>
                          </a:xfrm>
                          <a:custGeom>
                            <a:avLst/>
                            <a:gdLst/>
                            <a:ahLst/>
                            <a:cxnLst/>
                            <a:rect l="l" t="t" r="r" b="b"/>
                            <a:pathLst>
                              <a:path w="13335">
                                <a:moveTo>
                                  <a:pt x="0" y="0"/>
                                </a:moveTo>
                                <a:lnTo>
                                  <a:pt x="13225" y="0"/>
                                </a:lnTo>
                              </a:path>
                            </a:pathLst>
                          </a:custGeom>
                          <a:ln w="9335">
                            <a:solidFill>
                              <a:srgbClr val="000000"/>
                            </a:solidFill>
                            <a:prstDash val="solid"/>
                          </a:ln>
                        </wps:spPr>
                        <wps:bodyPr wrap="square" lIns="0" tIns="0" rIns="0" bIns="0" rtlCol="0">
                          <a:prstTxWarp prst="textNoShape">
                            <a:avLst/>
                          </a:prstTxWarp>
                          <a:noAutofit/>
                        </wps:bodyPr>
                      </wps:wsp>
                      <wps:wsp>
                        <wps:cNvPr id="2231" name="Graphic 2231"/>
                        <wps:cNvSpPr/>
                        <wps:spPr>
                          <a:xfrm>
                            <a:off x="13225" y="0"/>
                            <a:ext cx="54610" cy="65405"/>
                          </a:xfrm>
                          <a:custGeom>
                            <a:avLst/>
                            <a:gdLst/>
                            <a:ahLst/>
                            <a:cxnLst/>
                            <a:rect l="l" t="t" r="r" b="b"/>
                            <a:pathLst>
                              <a:path w="54610" h="65405">
                                <a:moveTo>
                                  <a:pt x="54458" y="65350"/>
                                </a:moveTo>
                                <a:lnTo>
                                  <a:pt x="0" y="65350"/>
                                </a:lnTo>
                                <a:lnTo>
                                  <a:pt x="0" y="0"/>
                                </a:lnTo>
                                <a:lnTo>
                                  <a:pt x="54458" y="0"/>
                                </a:lnTo>
                                <a:lnTo>
                                  <a:pt x="54458"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135AE3B" id="Group 2229" o:spid="_x0000_s1026" style="position:absolute;margin-left:515.25pt;margin-top:51.05pt;width:5.35pt;height:5.15pt;z-index:-15385600;mso-wrap-distance-left:0;mso-wrap-distance-right:0;mso-position-horizontal-relative:page" coordsize="67945,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">
                <v:shape id="Graphic 2230" o:spid="_x0000_s1027" style="position:absolute;top:28007;width:13335;height:1270;visibility:visible;mso-wrap-style:square;v-text-anchor:top" coordsize="13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" path="m,l13225,e" filled="f" strokeweight=".25931mm">
                  <v:path arrowok="t"/>
                </v:shape>
                <v:shape id="Graphic 2231" o:spid="_x0000_s1028" style="position:absolute;left:13225;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" path="m54458,65350l,65350,,,54458,r,6535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931392" behindDoc="1" locked="0" layoutInCell="1" allowOverlap="1" wp14:anchorId="5989886D" wp14:editId="74ABCB7C">
                <wp:simplePos x="0" y="0"/>
                <wp:positionH relativeFrom="page">
                  <wp:posOffset>6317132</wp:posOffset>
                </wp:positionH>
                <wp:positionV relativeFrom="paragraph">
                  <wp:posOffset>797584</wp:posOffset>
                </wp:positionV>
                <wp:extent cx="161290" cy="65405"/>
                <wp:effectExtent l="0" t="0" r="0" b="0"/>
                <wp:wrapTopAndBottom/>
                <wp:docPr id="2232" name="Group 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65405"/>
                          <a:chOff x="0" y="0"/>
                          <a:chExt cx="161290" cy="65405"/>
                        </a:xfrm>
                      </wpg:grpSpPr>
                      <wps:wsp>
                        <wps:cNvPr id="2233" name="Graphic 2233"/>
                        <wps:cNvSpPr/>
                        <wps:spPr>
                          <a:xfrm>
                            <a:off x="0" y="28007"/>
                            <a:ext cx="161290" cy="1270"/>
                          </a:xfrm>
                          <a:custGeom>
                            <a:avLst/>
                            <a:gdLst/>
                            <a:ahLst/>
                            <a:cxnLst/>
                            <a:rect l="l" t="t" r="r" b="b"/>
                            <a:pathLst>
                              <a:path w="161290">
                                <a:moveTo>
                                  <a:pt x="0" y="0"/>
                                </a:moveTo>
                                <a:lnTo>
                                  <a:pt x="67685" y="0"/>
                                </a:lnTo>
                              </a:path>
                              <a:path w="161290">
                                <a:moveTo>
                                  <a:pt x="122144" y="0"/>
                                </a:moveTo>
                                <a:lnTo>
                                  <a:pt x="161043" y="0"/>
                                </a:lnTo>
                              </a:path>
                            </a:pathLst>
                          </a:custGeom>
                          <a:ln w="9335">
                            <a:solidFill>
                              <a:srgbClr val="000000"/>
                            </a:solidFill>
                            <a:prstDash val="solid"/>
                          </a:ln>
                        </wps:spPr>
                        <wps:bodyPr wrap="square" lIns="0" tIns="0" rIns="0" bIns="0" rtlCol="0">
                          <a:prstTxWarp prst="textNoShape">
                            <a:avLst/>
                          </a:prstTxWarp>
                          <a:noAutofit/>
                        </wps:bodyPr>
                      </wps:wsp>
                      <wps:wsp>
                        <wps:cNvPr id="2234" name="Graphic 2234"/>
                        <wps:cNvSpPr/>
                        <wps:spPr>
                          <a:xfrm>
                            <a:off x="67685"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F72F7AA" id="Group 2232" o:spid="_x0000_s1026" style="position:absolute;margin-left:497.4pt;margin-top:62.8pt;width:12.7pt;height:5.15pt;z-index:-15385088;mso-wrap-distance-left:0;mso-wrap-distance-right:0;mso-position-horizontal-relative:page" coordsize="16129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">
                <v:shape id="Graphic 2233" o:spid="_x0000_s1027" style="position:absolute;top:28007;width:161290;height:1270;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" path="m,l67685,em122144,r38899,e" filled="f" strokeweight=".25931mm">
                  <v:path arrowok="t"/>
                </v:shape>
                <v:shape id="Graphic 2234" o:spid="_x0000_s1028" style="position:absolute;left:67685;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" path="m54459,65350l,65350,,,54459,r,6535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931904" behindDoc="1" locked="0" layoutInCell="1" allowOverlap="1" wp14:anchorId="1815755D" wp14:editId="7DAA4962">
                <wp:simplePos x="0" y="0"/>
                <wp:positionH relativeFrom="page">
                  <wp:posOffset>6443554</wp:posOffset>
                </wp:positionH>
                <wp:positionV relativeFrom="paragraph">
                  <wp:posOffset>946957</wp:posOffset>
                </wp:positionV>
                <wp:extent cx="58419" cy="65405"/>
                <wp:effectExtent l="0" t="0" r="0" b="0"/>
                <wp:wrapTopAndBottom/>
                <wp:docPr id="2235"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65405"/>
                          <a:chOff x="0" y="0"/>
                          <a:chExt cx="58419" cy="65405"/>
                        </a:xfrm>
                      </wpg:grpSpPr>
                      <wps:wsp>
                        <wps:cNvPr id="2236" name="Graphic 2236"/>
                        <wps:cNvSpPr/>
                        <wps:spPr>
                          <a:xfrm>
                            <a:off x="1945" y="23340"/>
                            <a:ext cx="1270" cy="9525"/>
                          </a:xfrm>
                          <a:custGeom>
                            <a:avLst/>
                            <a:gdLst/>
                            <a:ahLst/>
                            <a:cxnLst/>
                            <a:rect l="l" t="t" r="r" b="b"/>
                            <a:pathLst>
                              <a:path h="9525">
                                <a:moveTo>
                                  <a:pt x="0" y="0"/>
                                </a:moveTo>
                                <a:lnTo>
                                  <a:pt x="0" y="9335"/>
                                </a:lnTo>
                              </a:path>
                            </a:pathLst>
                          </a:custGeom>
                          <a:ln w="3890">
                            <a:solidFill>
                              <a:srgbClr val="000000"/>
                            </a:solidFill>
                            <a:prstDash val="solid"/>
                          </a:ln>
                        </wps:spPr>
                        <wps:bodyPr wrap="square" lIns="0" tIns="0" rIns="0" bIns="0" rtlCol="0">
                          <a:prstTxWarp prst="textNoShape">
                            <a:avLst/>
                          </a:prstTxWarp>
                          <a:noAutofit/>
                        </wps:bodyPr>
                      </wps:wsp>
                      <wps:wsp>
                        <wps:cNvPr id="2237" name="Graphic 2237"/>
                        <wps:cNvSpPr/>
                        <wps:spPr>
                          <a:xfrm>
                            <a:off x="3890"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893E6C0" id="Group 2235" o:spid="_x0000_s1026" style="position:absolute;margin-left:507.35pt;margin-top:74.55pt;width:4.6pt;height:5.15pt;z-index:-15384576;mso-wrap-distance-left:0;mso-wrap-distance-right:0;mso-position-horizontal-relative:page" coordsize="58419,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">
                <v:shape id="Graphic 2236" o:spid="_x0000_s1027" style="position:absolute;left:1945;top:23340;width:1270;height:952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" path="m,l,9335e" filled="f" strokeweight=".1081mm">
                  <v:path arrowok="t"/>
                </v:shape>
                <v:shape id="Graphic 2237" o:spid="_x0000_s1028" style="position:absolute;left:3890;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" path="m54459,65350l,65350,,,54459,r,65350xe" fillcolor="#0000c0" stroked="f">
                  <v:path arrowok="t"/>
                </v:shape>
                <w10:wrap type="topAndBottom" anchorx="page"/>
              </v:group>
            </w:pict>
          </mc:Fallback>
        </mc:AlternateContent>
      </w:r>
      <w:r w:rsidRPr="003C6DAE">
        <w:rPr>
          <w:rFonts w:ascii="Trebuchet MS"/>
          <w:noProof/>
          <w:sz w:val="4"/>
          <w:lang w:val="uk-UA"/>
        </w:rPr>
        <mc:AlternateContent>
          <mc:Choice Requires="wps">
            <w:drawing>
              <wp:anchor distT="0" distB="0" distL="0" distR="0" simplePos="0" relativeHeight="487932416" behindDoc="1" locked="0" layoutInCell="1" allowOverlap="1" wp14:anchorId="731EB0C9" wp14:editId="08CE1FD4">
                <wp:simplePos x="0" y="0"/>
                <wp:positionH relativeFrom="page">
                  <wp:posOffset>6514350</wp:posOffset>
                </wp:positionH>
                <wp:positionV relativeFrom="paragraph">
                  <wp:posOffset>1096333</wp:posOffset>
                </wp:positionV>
                <wp:extent cx="54610" cy="65405"/>
                <wp:effectExtent l="0" t="0" r="0" b="0"/>
                <wp:wrapTopAndBottom/>
                <wp:docPr id="2238" name="Graphic 2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5B6C9846" id="Graphic 2238" o:spid="_x0000_s1026" style="position:absolute;margin-left:512.95pt;margin-top:86.35pt;width:4.3pt;height:5.15pt;z-index:-15384064;visibility:visible;mso-wrap-style:square;mso-wrap-distance-left:0;mso-wrap-distance-top:0;mso-wrap-distance-right:0;mso-wrap-distance-bottom:0;mso-position-horizontal:absolute;mso-position-horizontal-relative:page;mso-position-vertical:absolute;mso-position-vertical-relative:text;v-text-anchor:top" coordsize="5461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" path="m54459,65350l,65350,,,54459,r,65350xe" fillcolor="#0000c0" stroked="f">
                <v:path arrowok="t"/>
                <w10:wrap type="topAndBottom" anchorx="page"/>
              </v:shape>
            </w:pict>
          </mc:Fallback>
        </mc:AlternateContent>
      </w:r>
      <w:r w:rsidRPr="003C6DAE">
        <w:rPr>
          <w:rFonts w:ascii="Trebuchet MS"/>
          <w:noProof/>
          <w:sz w:val="4"/>
          <w:lang w:val="uk-UA"/>
        </w:rPr>
        <mc:AlternateContent>
          <mc:Choice Requires="wpg">
            <w:drawing>
              <wp:anchor distT="0" distB="0" distL="0" distR="0" simplePos="0" relativeHeight="487932928" behindDoc="1" locked="0" layoutInCell="1" allowOverlap="1" wp14:anchorId="394567C5" wp14:editId="66A7B8CB">
                <wp:simplePos x="0" y="0"/>
                <wp:positionH relativeFrom="page">
                  <wp:posOffset>6510070</wp:posOffset>
                </wp:positionH>
                <wp:positionV relativeFrom="paragraph">
                  <wp:posOffset>1245706</wp:posOffset>
                </wp:positionV>
                <wp:extent cx="88265" cy="65405"/>
                <wp:effectExtent l="0" t="0" r="0" b="0"/>
                <wp:wrapTopAndBottom/>
                <wp:docPr id="2239" name="Group 2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 cy="65405"/>
                          <a:chOff x="0" y="0"/>
                          <a:chExt cx="88265" cy="65405"/>
                        </a:xfrm>
                      </wpg:grpSpPr>
                      <wps:wsp>
                        <wps:cNvPr id="2240" name="Graphic 2240"/>
                        <wps:cNvSpPr/>
                        <wps:spPr>
                          <a:xfrm>
                            <a:off x="0" y="28007"/>
                            <a:ext cx="33655" cy="1270"/>
                          </a:xfrm>
                          <a:custGeom>
                            <a:avLst/>
                            <a:gdLst/>
                            <a:ahLst/>
                            <a:cxnLst/>
                            <a:rect l="l" t="t" r="r" b="b"/>
                            <a:pathLst>
                              <a:path w="33655">
                                <a:moveTo>
                                  <a:pt x="0" y="0"/>
                                </a:moveTo>
                                <a:lnTo>
                                  <a:pt x="33453" y="0"/>
                                </a:lnTo>
                              </a:path>
                            </a:pathLst>
                          </a:custGeom>
                          <a:ln w="9335">
                            <a:solidFill>
                              <a:srgbClr val="000000"/>
                            </a:solidFill>
                            <a:prstDash val="solid"/>
                          </a:ln>
                        </wps:spPr>
                        <wps:bodyPr wrap="square" lIns="0" tIns="0" rIns="0" bIns="0" rtlCol="0">
                          <a:prstTxWarp prst="textNoShape">
                            <a:avLst/>
                          </a:prstTxWarp>
                          <a:noAutofit/>
                        </wps:bodyPr>
                      </wps:wsp>
                      <wps:wsp>
                        <wps:cNvPr id="2241" name="Graphic 2241"/>
                        <wps:cNvSpPr/>
                        <wps:spPr>
                          <a:xfrm>
                            <a:off x="33453"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C94DF0B" id="Group 2239" o:spid="_x0000_s1026" style="position:absolute;margin-left:512.6pt;margin-top:98.1pt;width:6.95pt;height:5.15pt;z-index:-15383552;mso-wrap-distance-left:0;mso-wrap-distance-right:0;mso-position-horizontal-relative:page" coordsize="88265,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">
                <v:shape id="Graphic 2240" o:spid="_x0000_s1027" style="position:absolute;top:28007;width:33655;height:1270;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" path="m,l33453,e" filled="f" strokeweight=".25931mm">
                  <v:path arrowok="t"/>
                </v:shape>
                <v:shape id="Graphic 2241" o:spid="_x0000_s1028" style="position:absolute;left:33453;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" path="m54459,65350l,65350,,,54459,r,65350xe" fillcolor="#0000c0" stroked="f">
                  <v:path arrowok="t"/>
                </v:shape>
                <w10:wrap type="topAndBottom" anchorx="page"/>
              </v:group>
            </w:pict>
          </mc:Fallback>
        </mc:AlternateContent>
      </w:r>
      <w:r w:rsidRPr="003C6DAE">
        <w:rPr>
          <w:rFonts w:ascii="Trebuchet MS"/>
          <w:noProof/>
          <w:sz w:val="4"/>
          <w:lang w:val="uk-UA"/>
        </w:rPr>
        <mc:AlternateContent>
          <mc:Choice Requires="wps">
            <w:drawing>
              <wp:anchor distT="0" distB="0" distL="0" distR="0" simplePos="0" relativeHeight="487933440" behindDoc="1" locked="0" layoutInCell="1" allowOverlap="1" wp14:anchorId="4D80735B" wp14:editId="4B69271A">
                <wp:simplePos x="0" y="0"/>
                <wp:positionH relativeFrom="page">
                  <wp:posOffset>6496065</wp:posOffset>
                </wp:positionH>
                <wp:positionV relativeFrom="paragraph">
                  <wp:posOffset>1395079</wp:posOffset>
                </wp:positionV>
                <wp:extent cx="54610" cy="65405"/>
                <wp:effectExtent l="0" t="0" r="0" b="0"/>
                <wp:wrapTopAndBottom/>
                <wp:docPr id="2242" name="Graphic 2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1446DB81" id="Graphic 2242" o:spid="_x0000_s1026" style="position:absolute;margin-left:511.5pt;margin-top:109.85pt;width:4.3pt;height:5.15pt;z-index:-15383040;visibility:visible;mso-wrap-style:square;mso-wrap-distance-left:0;mso-wrap-distance-top:0;mso-wrap-distance-right:0;mso-wrap-distance-bottom:0;mso-position-horizontal:absolute;mso-position-horizontal-relative:page;mso-position-vertical:absolute;mso-position-vertical-relative:text;v-text-anchor:top" coordsize="5461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" path="m54459,65350l,65350,,,54459,r,65350xe" fillcolor="#0000c0" stroked="f">
                <v:path arrowok="t"/>
                <w10:wrap type="topAndBottom" anchorx="page"/>
              </v:shape>
            </w:pict>
          </mc:Fallback>
        </mc:AlternateContent>
      </w:r>
      <w:r w:rsidRPr="003C6DAE">
        <w:rPr>
          <w:rFonts w:ascii="Trebuchet MS"/>
          <w:noProof/>
          <w:sz w:val="4"/>
          <w:lang w:val="uk-UA"/>
        </w:rPr>
        <mc:AlternateContent>
          <mc:Choice Requires="wpg">
            <w:drawing>
              <wp:anchor distT="0" distB="0" distL="0" distR="0" simplePos="0" relativeHeight="487933952" behindDoc="1" locked="0" layoutInCell="1" allowOverlap="1" wp14:anchorId="5CC6EDEF" wp14:editId="1C0DE4BE">
                <wp:simplePos x="0" y="0"/>
                <wp:positionH relativeFrom="page">
                  <wp:posOffset>6521739</wp:posOffset>
                </wp:positionH>
                <wp:positionV relativeFrom="paragraph">
                  <wp:posOffset>1544453</wp:posOffset>
                </wp:positionV>
                <wp:extent cx="58419" cy="65405"/>
                <wp:effectExtent l="0" t="0" r="0" b="0"/>
                <wp:wrapTopAndBottom/>
                <wp:docPr id="2243" name="Group 2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65405"/>
                          <a:chOff x="0" y="0"/>
                          <a:chExt cx="58419" cy="65405"/>
                        </a:xfrm>
                      </wpg:grpSpPr>
                      <wps:wsp>
                        <wps:cNvPr id="2244" name="Graphic 2244"/>
                        <wps:cNvSpPr/>
                        <wps:spPr>
                          <a:xfrm>
                            <a:off x="1945" y="23339"/>
                            <a:ext cx="1270" cy="9525"/>
                          </a:xfrm>
                          <a:custGeom>
                            <a:avLst/>
                            <a:gdLst/>
                            <a:ahLst/>
                            <a:cxnLst/>
                            <a:rect l="l" t="t" r="r" b="b"/>
                            <a:pathLst>
                              <a:path h="9525">
                                <a:moveTo>
                                  <a:pt x="0" y="0"/>
                                </a:moveTo>
                                <a:lnTo>
                                  <a:pt x="0" y="9335"/>
                                </a:lnTo>
                              </a:path>
                            </a:pathLst>
                          </a:custGeom>
                          <a:ln w="3890">
                            <a:solidFill>
                              <a:srgbClr val="000000"/>
                            </a:solidFill>
                            <a:prstDash val="solid"/>
                          </a:ln>
                        </wps:spPr>
                        <wps:bodyPr wrap="square" lIns="0" tIns="0" rIns="0" bIns="0" rtlCol="0">
                          <a:prstTxWarp prst="textNoShape">
                            <a:avLst/>
                          </a:prstTxWarp>
                          <a:noAutofit/>
                        </wps:bodyPr>
                      </wps:wsp>
                      <wps:wsp>
                        <wps:cNvPr id="2245" name="Graphic 2245"/>
                        <wps:cNvSpPr/>
                        <wps:spPr>
                          <a:xfrm>
                            <a:off x="3890"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2D78EBF" id="Group 2243" o:spid="_x0000_s1026" style="position:absolute;margin-left:513.5pt;margin-top:121.6pt;width:4.6pt;height:5.15pt;z-index:-15382528;mso-wrap-distance-left:0;mso-wrap-distance-right:0;mso-position-horizontal-relative:page" coordsize="58419,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">
                <v:shape id="Graphic 2244" o:spid="_x0000_s1027" style="position:absolute;left:1945;top:23339;width:1270;height:952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" path="m,l,9335e" filled="f" strokeweight=".1081mm">
                  <v:path arrowok="t"/>
                </v:shape>
                <v:shape id="Graphic 2245" o:spid="_x0000_s1028" style="position:absolute;left:3890;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" path="m54459,65350l,65350,,,54459,r,6535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934464" behindDoc="1" locked="0" layoutInCell="1" allowOverlap="1" wp14:anchorId="3F610999" wp14:editId="5C0D0DC3">
                <wp:simplePos x="0" y="0"/>
                <wp:positionH relativeFrom="page">
                  <wp:posOffset>6378588</wp:posOffset>
                </wp:positionH>
                <wp:positionV relativeFrom="paragraph">
                  <wp:posOffset>1693826</wp:posOffset>
                </wp:positionV>
                <wp:extent cx="158750" cy="65405"/>
                <wp:effectExtent l="0" t="0" r="0" b="0"/>
                <wp:wrapTopAndBottom/>
                <wp:docPr id="2246" name="Group 2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65405"/>
                          <a:chOff x="0" y="0"/>
                          <a:chExt cx="158750" cy="65405"/>
                        </a:xfrm>
                      </wpg:grpSpPr>
                      <wps:wsp>
                        <wps:cNvPr id="2247" name="Graphic 2247"/>
                        <wps:cNvSpPr/>
                        <wps:spPr>
                          <a:xfrm>
                            <a:off x="0" y="28007"/>
                            <a:ext cx="158750" cy="1270"/>
                          </a:xfrm>
                          <a:custGeom>
                            <a:avLst/>
                            <a:gdLst/>
                            <a:ahLst/>
                            <a:cxnLst/>
                            <a:rect l="l" t="t" r="r" b="b"/>
                            <a:pathLst>
                              <a:path w="158750">
                                <a:moveTo>
                                  <a:pt x="0" y="0"/>
                                </a:moveTo>
                                <a:lnTo>
                                  <a:pt x="74297" y="0"/>
                                </a:lnTo>
                              </a:path>
                              <a:path w="158750">
                                <a:moveTo>
                                  <a:pt x="128756" y="0"/>
                                </a:moveTo>
                                <a:lnTo>
                                  <a:pt x="158320" y="0"/>
                                </a:lnTo>
                              </a:path>
                            </a:pathLst>
                          </a:custGeom>
                          <a:ln w="9335">
                            <a:solidFill>
                              <a:srgbClr val="000000"/>
                            </a:solidFill>
                            <a:prstDash val="solid"/>
                          </a:ln>
                        </wps:spPr>
                        <wps:bodyPr wrap="square" lIns="0" tIns="0" rIns="0" bIns="0" rtlCol="0">
                          <a:prstTxWarp prst="textNoShape">
                            <a:avLst/>
                          </a:prstTxWarp>
                          <a:noAutofit/>
                        </wps:bodyPr>
                      </wps:wsp>
                      <wps:wsp>
                        <wps:cNvPr id="2248" name="Graphic 2248"/>
                        <wps:cNvSpPr/>
                        <wps:spPr>
                          <a:xfrm>
                            <a:off x="74297"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FFE9A0F" id="Group 2246" o:spid="_x0000_s1026" style="position:absolute;margin-left:502.25pt;margin-top:133.35pt;width:12.5pt;height:5.15pt;z-index:-15382016;mso-wrap-distance-left:0;mso-wrap-distance-right:0;mso-position-horizontal-relative:page" coordsize="15875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">
                <v:shape id="Graphic 2247" o:spid="_x0000_s1027" style="position:absolute;top:28007;width:158750;height:1270;visibility:visible;mso-wrap-style:square;v-text-anchor:top" coordsize="158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" path="m,l74297,em128756,r29564,e" filled="f" strokeweight=".25931mm">
                  <v:path arrowok="t"/>
                </v:shape>
                <v:shape id="Graphic 2248" o:spid="_x0000_s1028" style="position:absolute;left:74297;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" path="m54459,65350l,65350,,,54459,r,65350xe" fillcolor="#0000c0" stroked="f">
                  <v:path arrowok="t"/>
                </v:shape>
                <w10:wrap type="topAndBottom" anchorx="page"/>
              </v:group>
            </w:pict>
          </mc:Fallback>
        </mc:AlternateContent>
      </w:r>
      <w:r w:rsidRPr="003C6DAE">
        <w:rPr>
          <w:rFonts w:ascii="Trebuchet MS"/>
          <w:noProof/>
          <w:sz w:val="4"/>
          <w:lang w:val="uk-UA"/>
        </w:rPr>
        <mc:AlternateContent>
          <mc:Choice Requires="wps">
            <w:drawing>
              <wp:anchor distT="0" distB="0" distL="0" distR="0" simplePos="0" relativeHeight="487934976" behindDoc="1" locked="0" layoutInCell="1" allowOverlap="1" wp14:anchorId="669204D9" wp14:editId="7BD5C947">
                <wp:simplePos x="0" y="0"/>
                <wp:positionH relativeFrom="page">
                  <wp:posOffset>6529906</wp:posOffset>
                </wp:positionH>
                <wp:positionV relativeFrom="paragraph">
                  <wp:posOffset>1843200</wp:posOffset>
                </wp:positionV>
                <wp:extent cx="54610" cy="65405"/>
                <wp:effectExtent l="0" t="0" r="0" b="0"/>
                <wp:wrapTopAndBottom/>
                <wp:docPr id="2249" name="Graphic 2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1C6105BE" id="Graphic 2249" o:spid="_x0000_s1026" style="position:absolute;margin-left:514.15pt;margin-top:145.15pt;width:4.3pt;height:5.15pt;z-index:-15381504;visibility:visible;mso-wrap-style:square;mso-wrap-distance-left:0;mso-wrap-distance-top:0;mso-wrap-distance-right:0;mso-wrap-distance-bottom:0;mso-position-horizontal:absolute;mso-position-horizontal-relative:page;mso-position-vertical:absolute;mso-position-vertical-relative:text;v-text-anchor:top" coordsize="5461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" path="m54459,65350l,65350,,,54459,r,65350xe" fillcolor="#0000c0" stroked="f">
                <v:path arrowok="t"/>
                <w10:wrap type="topAndBottom" anchorx="page"/>
              </v:shape>
            </w:pict>
          </mc:Fallback>
        </mc:AlternateContent>
      </w:r>
      <w:r w:rsidRPr="003C6DAE">
        <w:rPr>
          <w:rFonts w:ascii="Trebuchet MS"/>
          <w:noProof/>
          <w:sz w:val="4"/>
          <w:lang w:val="uk-UA"/>
        </w:rPr>
        <mc:AlternateContent>
          <mc:Choice Requires="wpg">
            <w:drawing>
              <wp:anchor distT="0" distB="0" distL="0" distR="0" simplePos="0" relativeHeight="487935488" behindDoc="1" locked="0" layoutInCell="1" allowOverlap="1" wp14:anchorId="0DFA1F6D" wp14:editId="5397A805">
                <wp:simplePos x="0" y="0"/>
                <wp:positionH relativeFrom="page">
                  <wp:posOffset>6469222</wp:posOffset>
                </wp:positionH>
                <wp:positionV relativeFrom="paragraph">
                  <wp:posOffset>1992573</wp:posOffset>
                </wp:positionV>
                <wp:extent cx="102870" cy="65405"/>
                <wp:effectExtent l="0" t="0" r="0" b="0"/>
                <wp:wrapTopAndBottom/>
                <wp:docPr id="2250" name="Group 2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5405"/>
                          <a:chOff x="0" y="0"/>
                          <a:chExt cx="102870" cy="65405"/>
                        </a:xfrm>
                      </wpg:grpSpPr>
                      <wps:wsp>
                        <wps:cNvPr id="2251" name="Graphic 2251"/>
                        <wps:cNvSpPr/>
                        <wps:spPr>
                          <a:xfrm>
                            <a:off x="0" y="28007"/>
                            <a:ext cx="48260" cy="1270"/>
                          </a:xfrm>
                          <a:custGeom>
                            <a:avLst/>
                            <a:gdLst/>
                            <a:ahLst/>
                            <a:cxnLst/>
                            <a:rect l="l" t="t" r="r" b="b"/>
                            <a:pathLst>
                              <a:path w="48260">
                                <a:moveTo>
                                  <a:pt x="0" y="0"/>
                                </a:moveTo>
                                <a:lnTo>
                                  <a:pt x="47845" y="0"/>
                                </a:lnTo>
                              </a:path>
                            </a:pathLst>
                          </a:custGeom>
                          <a:ln w="9335">
                            <a:solidFill>
                              <a:srgbClr val="000000"/>
                            </a:solidFill>
                            <a:prstDash val="solid"/>
                          </a:ln>
                        </wps:spPr>
                        <wps:bodyPr wrap="square" lIns="0" tIns="0" rIns="0" bIns="0" rtlCol="0">
                          <a:prstTxWarp prst="textNoShape">
                            <a:avLst/>
                          </a:prstTxWarp>
                          <a:noAutofit/>
                        </wps:bodyPr>
                      </wps:wsp>
                      <wps:wsp>
                        <wps:cNvPr id="2252" name="Graphic 2252"/>
                        <wps:cNvSpPr/>
                        <wps:spPr>
                          <a:xfrm>
                            <a:off x="47845"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BB837AF" id="Group 2250" o:spid="_x0000_s1026" style="position:absolute;margin-left:509.4pt;margin-top:156.9pt;width:8.1pt;height:5.15pt;z-index:-15380992;mso-wrap-distance-left:0;mso-wrap-distance-right:0;mso-position-horizontal-relative:page" coordsize="10287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">
                <v:shape id="Graphic 2251" o:spid="_x0000_s1027" style="position:absolute;top:28007;width:48260;height:1270;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" path="m,l47845,e" filled="f" strokeweight=".25931mm">
                  <v:path arrowok="t"/>
                </v:shape>
                <v:shape id="Graphic 2252" o:spid="_x0000_s1028" style="position:absolute;left:47845;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" path="m54459,65350l,65350,,,54459,r,6535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936000" behindDoc="1" locked="0" layoutInCell="1" allowOverlap="1" wp14:anchorId="0A6D6197" wp14:editId="7C15B223">
                <wp:simplePos x="0" y="0"/>
                <wp:positionH relativeFrom="page">
                  <wp:posOffset>5642609</wp:posOffset>
                </wp:positionH>
                <wp:positionV relativeFrom="paragraph">
                  <wp:posOffset>2141946</wp:posOffset>
                </wp:positionV>
                <wp:extent cx="969010" cy="140335"/>
                <wp:effectExtent l="0" t="0" r="0" b="0"/>
                <wp:wrapTopAndBottom/>
                <wp:docPr id="2253" name="Group 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010" cy="140335"/>
                          <a:chOff x="0" y="0"/>
                          <a:chExt cx="969010" cy="140335"/>
                        </a:xfrm>
                      </wpg:grpSpPr>
                      <wps:wsp>
                        <wps:cNvPr id="2254" name="Graphic 2254"/>
                        <wps:cNvSpPr/>
                        <wps:spPr>
                          <a:xfrm>
                            <a:off x="911801" y="23340"/>
                            <a:ext cx="1270" cy="9525"/>
                          </a:xfrm>
                          <a:custGeom>
                            <a:avLst/>
                            <a:gdLst/>
                            <a:ahLst/>
                            <a:cxnLst/>
                            <a:rect l="l" t="t" r="r" b="b"/>
                            <a:pathLst>
                              <a:path h="9525">
                                <a:moveTo>
                                  <a:pt x="0" y="0"/>
                                </a:moveTo>
                                <a:lnTo>
                                  <a:pt x="0" y="9335"/>
                                </a:lnTo>
                              </a:path>
                            </a:pathLst>
                          </a:custGeom>
                          <a:ln w="4666">
                            <a:solidFill>
                              <a:srgbClr val="000000"/>
                            </a:solidFill>
                            <a:prstDash val="solid"/>
                          </a:ln>
                        </wps:spPr>
                        <wps:bodyPr wrap="square" lIns="0" tIns="0" rIns="0" bIns="0" rtlCol="0">
                          <a:prstTxWarp prst="textNoShape">
                            <a:avLst/>
                          </a:prstTxWarp>
                          <a:noAutofit/>
                        </wps:bodyPr>
                      </wps:wsp>
                      <wps:wsp>
                        <wps:cNvPr id="2255" name="Graphic 2255"/>
                        <wps:cNvSpPr/>
                        <wps:spPr>
                          <a:xfrm>
                            <a:off x="914134"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s:wsp>
                        <wps:cNvPr id="2256" name="Graphic 2256"/>
                        <wps:cNvSpPr/>
                        <wps:spPr>
                          <a:xfrm>
                            <a:off x="3890" y="102695"/>
                            <a:ext cx="925830" cy="1270"/>
                          </a:xfrm>
                          <a:custGeom>
                            <a:avLst/>
                            <a:gdLst/>
                            <a:ahLst/>
                            <a:cxnLst/>
                            <a:rect l="l" t="t" r="r" b="b"/>
                            <a:pathLst>
                              <a:path w="925830">
                                <a:moveTo>
                                  <a:pt x="0" y="0"/>
                                </a:moveTo>
                                <a:lnTo>
                                  <a:pt x="925804" y="0"/>
                                </a:lnTo>
                              </a:path>
                            </a:pathLst>
                          </a:custGeom>
                          <a:ln w="9335">
                            <a:solidFill>
                              <a:srgbClr val="000000"/>
                            </a:solidFill>
                            <a:prstDash val="solid"/>
                          </a:ln>
                        </wps:spPr>
                        <wps:bodyPr wrap="square" lIns="0" tIns="0" rIns="0" bIns="0" rtlCol="0">
                          <a:prstTxWarp prst="textNoShape">
                            <a:avLst/>
                          </a:prstTxWarp>
                          <a:noAutofit/>
                        </wps:bodyPr>
                      </wps:wsp>
                      <wps:wsp>
                        <wps:cNvPr id="2257" name="Graphic 2257"/>
                        <wps:cNvSpPr/>
                        <wps:spPr>
                          <a:xfrm>
                            <a:off x="3889" y="65351"/>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258" name="Graphic 2258"/>
                        <wps:cNvSpPr/>
                        <wps:spPr>
                          <a:xfrm>
                            <a:off x="189050" y="65351"/>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259" name="Graphic 2259"/>
                        <wps:cNvSpPr/>
                        <wps:spPr>
                          <a:xfrm>
                            <a:off x="374210" y="65351"/>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260" name="Graphic 2260"/>
                        <wps:cNvSpPr/>
                        <wps:spPr>
                          <a:xfrm>
                            <a:off x="558981" y="65351"/>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261" name="Graphic 2261"/>
                        <wps:cNvSpPr/>
                        <wps:spPr>
                          <a:xfrm>
                            <a:off x="744530" y="65352"/>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262" name="Graphic 2262"/>
                        <wps:cNvSpPr/>
                        <wps:spPr>
                          <a:xfrm>
                            <a:off x="929691" y="65352"/>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197B02" id="Group 2253" o:spid="_x0000_s1026" style="position:absolute;margin-left:444.3pt;margin-top:168.65pt;width:76.3pt;height:11.05pt;z-index:-15380480;mso-wrap-distance-left:0;mso-wrap-distance-right:0;mso-position-horizontal-relative:page" coordsize="9690,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">
                <v:shape id="Graphic 2254" o:spid="_x0000_s1027" style="position:absolute;left:9118;top:233;width:12;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" path="m,l,9335e" filled="f" strokeweight=".1296mm">
                  <v:path arrowok="t"/>
                </v:shape>
                <v:shape id="Graphic 2255" o:spid="_x0000_s1028" style="position:absolute;left:9141;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" path="m54459,65350l,65350,,,54459,r,65350xe" fillcolor="#0000c0" stroked="f">
                  <v:path arrowok="t"/>
                </v:shape>
                <v:shape id="Graphic 2256" o:spid="_x0000_s1029" style="position:absolute;left:38;top:1026;width:9259;height:13;visibility:visible;mso-wrap-style:square;v-text-anchor:top" coordsize="925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" path="m,l925804,e" filled="f" strokeweight=".25931mm">
                  <v:path arrowok="t"/>
                </v:shape>
                <v:shape id="Graphic 2257" o:spid="_x0000_s1030" style="position:absolute;left:38;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" path="m,l,74686e" filled="f" strokeweight=".21608mm">
                  <v:path arrowok="t"/>
                </v:shape>
                <v:shape id="Graphic 2258" o:spid="_x0000_s1031" style="position:absolute;left:1890;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" path="m,l,74686e" filled="f" strokeweight=".21608mm">
                  <v:path arrowok="t"/>
                </v:shape>
                <v:shape id="Graphic 2259" o:spid="_x0000_s1032" style="position:absolute;left:3742;top:653;width:12;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" path="m,l,74686e" filled="f" strokeweight=".21608mm">
                  <v:path arrowok="t"/>
                </v:shape>
                <v:shape id="Graphic 2260" o:spid="_x0000_s1033" style="position:absolute;left:5589;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" path="m,l,74686e" filled="f" strokeweight=".21608mm">
                  <v:path arrowok="t"/>
                </v:shape>
                <v:shape id="Graphic 2261" o:spid="_x0000_s1034" style="position:absolute;left:7445;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" path="m,l,74686e" filled="f" strokeweight=".21608mm">
                  <v:path arrowok="t"/>
                </v:shape>
                <v:shape id="Graphic 2262" o:spid="_x0000_s1035" style="position:absolute;left:9296;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" path="m,l,74686e" filled="f" strokeweight=".21608mm">
                  <v:path arrowok="t"/>
                </v:shape>
                <w10:wrap type="topAndBottom" anchorx="page"/>
              </v:group>
            </w:pict>
          </mc:Fallback>
        </mc:AlternateContent>
      </w:r>
    </w:p>
    <w:p w14:paraId="5632CE8E" w14:textId="77777777" w:rsidR="00E05B98" w:rsidRPr="003C6DAE" w:rsidRDefault="00E05B98">
      <w:pPr>
        <w:pStyle w:val="a3"/>
        <w:spacing w:before="3"/>
        <w:rPr>
          <w:rFonts w:ascii="Trebuchet MS"/>
          <w:sz w:val="9"/>
          <w:lang w:val="uk-UA"/>
        </w:rPr>
      </w:pPr>
    </w:p>
    <w:p w14:paraId="762AF879" w14:textId="77777777" w:rsidR="00E05B98" w:rsidRPr="003C6DAE" w:rsidRDefault="00E05B98">
      <w:pPr>
        <w:pStyle w:val="a3"/>
        <w:spacing w:before="3"/>
        <w:rPr>
          <w:rFonts w:ascii="Trebuchet MS"/>
          <w:sz w:val="9"/>
          <w:lang w:val="uk-UA"/>
        </w:rPr>
      </w:pPr>
    </w:p>
    <w:p w14:paraId="698B2075" w14:textId="77777777" w:rsidR="00E05B98" w:rsidRPr="003C6DAE" w:rsidRDefault="00E05B98">
      <w:pPr>
        <w:pStyle w:val="a3"/>
        <w:spacing w:before="3"/>
        <w:rPr>
          <w:rFonts w:ascii="Trebuchet MS"/>
          <w:sz w:val="9"/>
          <w:lang w:val="uk-UA"/>
        </w:rPr>
      </w:pPr>
    </w:p>
    <w:p w14:paraId="196914EE" w14:textId="77777777" w:rsidR="00E05B98" w:rsidRPr="003C6DAE" w:rsidRDefault="00E05B98">
      <w:pPr>
        <w:pStyle w:val="a3"/>
        <w:spacing w:before="3"/>
        <w:rPr>
          <w:rFonts w:ascii="Trebuchet MS"/>
          <w:sz w:val="9"/>
          <w:lang w:val="uk-UA"/>
        </w:rPr>
      </w:pPr>
    </w:p>
    <w:p w14:paraId="6F549B91" w14:textId="77777777" w:rsidR="00E05B98" w:rsidRPr="003C6DAE" w:rsidRDefault="00E05B98">
      <w:pPr>
        <w:pStyle w:val="a3"/>
        <w:spacing w:before="3"/>
        <w:rPr>
          <w:rFonts w:ascii="Trebuchet MS"/>
          <w:sz w:val="9"/>
          <w:lang w:val="uk-UA"/>
        </w:rPr>
      </w:pPr>
    </w:p>
    <w:p w14:paraId="1BE0F0DB" w14:textId="77777777" w:rsidR="00E05B98" w:rsidRPr="003C6DAE" w:rsidRDefault="00E05B98">
      <w:pPr>
        <w:pStyle w:val="a3"/>
        <w:spacing w:before="3"/>
        <w:rPr>
          <w:rFonts w:ascii="Trebuchet MS"/>
          <w:sz w:val="9"/>
          <w:lang w:val="uk-UA"/>
        </w:rPr>
      </w:pPr>
    </w:p>
    <w:p w14:paraId="1F84B9AF" w14:textId="77777777" w:rsidR="00E05B98" w:rsidRPr="003C6DAE" w:rsidRDefault="00E05B98">
      <w:pPr>
        <w:pStyle w:val="a3"/>
        <w:spacing w:before="3"/>
        <w:rPr>
          <w:rFonts w:ascii="Trebuchet MS"/>
          <w:sz w:val="9"/>
          <w:lang w:val="uk-UA"/>
        </w:rPr>
      </w:pPr>
    </w:p>
    <w:p w14:paraId="41D423EC" w14:textId="77777777" w:rsidR="00E05B98" w:rsidRPr="003C6DAE" w:rsidRDefault="00E05B98">
      <w:pPr>
        <w:pStyle w:val="a3"/>
        <w:spacing w:before="3"/>
        <w:rPr>
          <w:rFonts w:ascii="Trebuchet MS"/>
          <w:sz w:val="9"/>
          <w:lang w:val="uk-UA"/>
        </w:rPr>
      </w:pPr>
    </w:p>
    <w:p w14:paraId="0272FB2A" w14:textId="77777777" w:rsidR="00E05B98" w:rsidRPr="003C6DAE" w:rsidRDefault="00E05B98">
      <w:pPr>
        <w:pStyle w:val="a3"/>
        <w:spacing w:before="3"/>
        <w:rPr>
          <w:rFonts w:ascii="Trebuchet MS"/>
          <w:sz w:val="9"/>
          <w:lang w:val="uk-UA"/>
        </w:rPr>
      </w:pPr>
    </w:p>
    <w:p w14:paraId="101A395A" w14:textId="77777777" w:rsidR="00E05B98" w:rsidRPr="003C6DAE" w:rsidRDefault="00E05B98">
      <w:pPr>
        <w:pStyle w:val="a3"/>
        <w:spacing w:before="3"/>
        <w:rPr>
          <w:rFonts w:ascii="Trebuchet MS"/>
          <w:sz w:val="9"/>
          <w:lang w:val="uk-UA"/>
        </w:rPr>
      </w:pPr>
    </w:p>
    <w:p w14:paraId="5916E2ED" w14:textId="77777777" w:rsidR="00E05B98" w:rsidRPr="003C6DAE" w:rsidRDefault="00E05B98">
      <w:pPr>
        <w:pStyle w:val="a3"/>
        <w:spacing w:before="3"/>
        <w:rPr>
          <w:rFonts w:ascii="Trebuchet MS"/>
          <w:sz w:val="9"/>
          <w:lang w:val="uk-UA"/>
        </w:rPr>
      </w:pPr>
    </w:p>
    <w:p w14:paraId="5E0C758A" w14:textId="77777777" w:rsidR="00E05B98" w:rsidRPr="003C6DAE" w:rsidRDefault="00E05B98">
      <w:pPr>
        <w:pStyle w:val="a3"/>
        <w:spacing w:before="3"/>
        <w:rPr>
          <w:rFonts w:ascii="Trebuchet MS"/>
          <w:sz w:val="9"/>
          <w:lang w:val="uk-UA"/>
        </w:rPr>
      </w:pPr>
    </w:p>
    <w:p w14:paraId="1F060800" w14:textId="77777777" w:rsidR="00E05B98" w:rsidRPr="003C6DAE" w:rsidRDefault="00E05B98">
      <w:pPr>
        <w:pStyle w:val="a3"/>
        <w:spacing w:before="3"/>
        <w:rPr>
          <w:rFonts w:ascii="Trebuchet MS"/>
          <w:sz w:val="9"/>
          <w:lang w:val="uk-UA"/>
        </w:rPr>
      </w:pPr>
    </w:p>
    <w:p w14:paraId="456DABCF" w14:textId="77777777" w:rsidR="00E05B98" w:rsidRPr="003C6DAE" w:rsidRDefault="00E05B98">
      <w:pPr>
        <w:pStyle w:val="a3"/>
        <w:spacing w:before="3"/>
        <w:rPr>
          <w:rFonts w:ascii="Trebuchet MS"/>
          <w:sz w:val="9"/>
          <w:lang w:val="uk-UA"/>
        </w:rPr>
      </w:pPr>
    </w:p>
    <w:p w14:paraId="1B650CCD" w14:textId="77777777" w:rsidR="00E05B98" w:rsidRPr="003C6DAE" w:rsidRDefault="00B01E0C">
      <w:pPr>
        <w:spacing w:before="3"/>
        <w:ind w:left="101"/>
        <w:rPr>
          <w:rFonts w:ascii="Trebuchet MS"/>
          <w:sz w:val="17"/>
          <w:lang w:val="uk-UA"/>
        </w:rPr>
      </w:pPr>
      <w:r w:rsidRPr="003C6DAE">
        <w:rPr>
          <w:rFonts w:ascii="Trebuchet MS"/>
          <w:w w:val="85"/>
          <w:sz w:val="17"/>
          <w:lang w:val="uk-UA"/>
        </w:rPr>
        <w:t>0</w:t>
      </w:r>
      <w:r w:rsidRPr="003C6DAE">
        <w:rPr>
          <w:rFonts w:ascii="Trebuchet MS"/>
          <w:spacing w:val="53"/>
          <w:sz w:val="17"/>
          <w:lang w:val="uk-UA"/>
        </w:rPr>
        <w:t xml:space="preserve"> </w:t>
      </w:r>
      <w:r w:rsidRPr="003C6DAE">
        <w:rPr>
          <w:rFonts w:ascii="Trebuchet MS"/>
          <w:w w:val="85"/>
          <w:sz w:val="17"/>
          <w:lang w:val="uk-UA"/>
        </w:rPr>
        <w:t>0.2</w:t>
      </w:r>
      <w:r w:rsidRPr="003C6DAE">
        <w:rPr>
          <w:rFonts w:ascii="Trebuchet MS"/>
          <w:spacing w:val="35"/>
          <w:sz w:val="17"/>
          <w:lang w:val="uk-UA"/>
        </w:rPr>
        <w:t xml:space="preserve"> </w:t>
      </w:r>
      <w:r w:rsidRPr="003C6DAE">
        <w:rPr>
          <w:rFonts w:ascii="Trebuchet MS"/>
          <w:w w:val="85"/>
          <w:sz w:val="17"/>
          <w:lang w:val="uk-UA"/>
        </w:rPr>
        <w:t>0.4</w:t>
      </w:r>
      <w:r w:rsidRPr="003C6DAE">
        <w:rPr>
          <w:rFonts w:ascii="Trebuchet MS"/>
          <w:spacing w:val="35"/>
          <w:sz w:val="17"/>
          <w:lang w:val="uk-UA"/>
        </w:rPr>
        <w:t xml:space="preserve"> </w:t>
      </w:r>
      <w:r w:rsidRPr="003C6DAE">
        <w:rPr>
          <w:rFonts w:ascii="Trebuchet MS"/>
          <w:w w:val="85"/>
          <w:sz w:val="17"/>
          <w:lang w:val="uk-UA"/>
        </w:rPr>
        <w:t>0.6</w:t>
      </w:r>
      <w:r w:rsidRPr="003C6DAE">
        <w:rPr>
          <w:rFonts w:ascii="Trebuchet MS"/>
          <w:spacing w:val="35"/>
          <w:sz w:val="17"/>
          <w:lang w:val="uk-UA"/>
        </w:rPr>
        <w:t xml:space="preserve"> </w:t>
      </w:r>
      <w:r w:rsidRPr="003C6DAE">
        <w:rPr>
          <w:rFonts w:ascii="Trebuchet MS"/>
          <w:w w:val="85"/>
          <w:sz w:val="17"/>
          <w:lang w:val="uk-UA"/>
        </w:rPr>
        <w:t>0.8</w:t>
      </w:r>
      <w:r w:rsidRPr="003C6DAE">
        <w:rPr>
          <w:rFonts w:ascii="Trebuchet MS"/>
          <w:spacing w:val="55"/>
          <w:sz w:val="17"/>
          <w:lang w:val="uk-UA"/>
        </w:rPr>
        <w:t xml:space="preserve"> </w:t>
      </w:r>
      <w:r w:rsidRPr="003C6DAE">
        <w:rPr>
          <w:rFonts w:ascii="Trebuchet MS"/>
          <w:spacing w:val="-10"/>
          <w:w w:val="85"/>
          <w:sz w:val="17"/>
          <w:lang w:val="uk-UA"/>
        </w:rPr>
        <w:t>1</w:t>
      </w:r>
    </w:p>
    <w:p w14:paraId="0EA8DDD5" w14:textId="77777777" w:rsidR="00E05B98" w:rsidRPr="003C6DAE" w:rsidRDefault="00E05B98">
      <w:pPr>
        <w:rPr>
          <w:rFonts w:ascii="Trebuchet MS"/>
          <w:sz w:val="17"/>
          <w:lang w:val="uk-UA"/>
        </w:rPr>
        <w:sectPr w:rsidR="00E05B98" w:rsidRPr="003C6DAE">
          <w:type w:val="continuous"/>
          <w:pgSz w:w="11910" w:h="16840"/>
          <w:pgMar w:top="1920" w:right="1275" w:bottom="280" w:left="850" w:header="0" w:footer="573" w:gutter="0"/>
          <w:cols w:num="7" w:space="720" w:equalWidth="0">
            <w:col w:w="2031" w:space="40"/>
            <w:col w:w="706" w:space="39"/>
            <w:col w:w="639" w:space="39"/>
            <w:col w:w="1456" w:space="40"/>
            <w:col w:w="1419" w:space="39"/>
            <w:col w:w="1454" w:space="39"/>
            <w:col w:w="1844"/>
          </w:cols>
        </w:sectPr>
      </w:pPr>
    </w:p>
    <w:p w14:paraId="2995B9BE" w14:textId="4EFABA51" w:rsidR="00E05B98" w:rsidRPr="00885BE7" w:rsidRDefault="00EC1816" w:rsidP="00885BE7">
      <w:pPr>
        <w:spacing w:line="254" w:lineRule="auto"/>
        <w:ind w:left="567"/>
        <w:jc w:val="both"/>
        <w:rPr>
          <w:sz w:val="16"/>
          <w:szCs w:val="16"/>
          <w:lang w:val="uk-UA"/>
        </w:rPr>
      </w:pPr>
      <w:r w:rsidRPr="00EC1816">
        <w:rPr>
          <w:sz w:val="16"/>
          <w:szCs w:val="16"/>
          <w:lang w:val="uk-UA"/>
        </w:rPr>
        <w:t>ДІ: довірчий інтервал; FN: хибнонегативний результат; FP: хибнопозитивний результат; аТАНК-НС: автоматизований тест ампліфікаці</w:t>
      </w:r>
      <w:r w:rsidR="00DD1F21">
        <w:rPr>
          <w:sz w:val="16"/>
          <w:szCs w:val="16"/>
          <w:lang w:val="uk-UA"/>
        </w:rPr>
        <w:t>ї</w:t>
      </w:r>
      <w:r w:rsidRPr="00EC1816">
        <w:rPr>
          <w:sz w:val="16"/>
          <w:szCs w:val="16"/>
          <w:lang w:val="uk-UA"/>
        </w:rPr>
        <w:t xml:space="preserve"> нуклеїнових кислот низької складності; MRS: мікробіологічний еталонний стандарт; T</w:t>
      </w:r>
      <w:r w:rsidR="00DD1F21">
        <w:rPr>
          <w:sz w:val="16"/>
          <w:szCs w:val="16"/>
          <w:lang w:val="uk-UA"/>
        </w:rPr>
        <w:t>Б</w:t>
      </w:r>
      <w:r w:rsidRPr="00EC1816">
        <w:rPr>
          <w:sz w:val="16"/>
          <w:szCs w:val="16"/>
          <w:lang w:val="uk-UA"/>
        </w:rPr>
        <w:t>: туберкульоз; TN: істинно негативний результат; TP: істинно позитивний результат.</w:t>
      </w:r>
    </w:p>
    <w:p w14:paraId="700376A0" w14:textId="77777777" w:rsidR="00E05B98" w:rsidRPr="003C6DAE" w:rsidRDefault="00E05B98" w:rsidP="00885BE7">
      <w:pPr>
        <w:pStyle w:val="a3"/>
        <w:spacing w:before="149"/>
        <w:rPr>
          <w:sz w:val="18"/>
          <w:lang w:val="uk-UA"/>
        </w:rPr>
      </w:pPr>
    </w:p>
    <w:p w14:paraId="4FEAD8B4" w14:textId="59DB7A52" w:rsidR="00E05B98" w:rsidRPr="003C6DAE" w:rsidRDefault="00EC1816" w:rsidP="00885BE7">
      <w:pPr>
        <w:pStyle w:val="7"/>
        <w:spacing w:line="249" w:lineRule="auto"/>
        <w:jc w:val="both"/>
        <w:rPr>
          <w:lang w:val="uk-UA"/>
        </w:rPr>
      </w:pPr>
      <w:r w:rsidRPr="00EC1816">
        <w:rPr>
          <w:color w:val="019648"/>
          <w:lang w:val="uk-UA"/>
        </w:rPr>
        <w:t xml:space="preserve">Чи слід використовувати </w:t>
      </w:r>
      <w:r w:rsidR="00DD1F21">
        <w:rPr>
          <w:color w:val="019648"/>
          <w:lang w:val="uk-UA"/>
        </w:rPr>
        <w:t>аТАНК-НС</w:t>
      </w:r>
      <w:r w:rsidRPr="00EC1816">
        <w:rPr>
          <w:color w:val="019648"/>
          <w:lang w:val="uk-UA"/>
        </w:rPr>
        <w:t xml:space="preserve"> на зразках шлункового аспірату для діагностики легеневого туберкульозу у дітей з ознаками та симптомами </w:t>
      </w:r>
      <w:r w:rsidR="00DD1F21">
        <w:rPr>
          <w:color w:val="019648"/>
          <w:lang w:val="uk-UA"/>
        </w:rPr>
        <w:t xml:space="preserve">ТБ, </w:t>
      </w:r>
      <w:r w:rsidRPr="00EC1816">
        <w:rPr>
          <w:color w:val="019648"/>
          <w:lang w:val="uk-UA"/>
        </w:rPr>
        <w:t xml:space="preserve">або у яких скринінг на </w:t>
      </w:r>
      <w:r w:rsidR="00DD1F21">
        <w:rPr>
          <w:color w:val="019648"/>
          <w:lang w:val="uk-UA"/>
        </w:rPr>
        <w:t>ТБ легень</w:t>
      </w:r>
      <w:r w:rsidRPr="00EC1816">
        <w:rPr>
          <w:color w:val="019648"/>
          <w:lang w:val="uk-UA"/>
        </w:rPr>
        <w:t xml:space="preserve"> був позитивним</w:t>
      </w:r>
      <w:r w:rsidR="00DD1F21">
        <w:rPr>
          <w:color w:val="019648"/>
          <w:lang w:val="uk-UA"/>
        </w:rPr>
        <w:t>,</w:t>
      </w:r>
      <w:r w:rsidRPr="00EC1816">
        <w:rPr>
          <w:color w:val="019648"/>
          <w:lang w:val="uk-UA"/>
        </w:rPr>
        <w:t xml:space="preserve"> на </w:t>
      </w:r>
      <w:r w:rsidR="00DD1F21">
        <w:rPr>
          <w:color w:val="019648"/>
          <w:lang w:val="uk-UA"/>
        </w:rPr>
        <w:t>противагу</w:t>
      </w:r>
      <w:r w:rsidRPr="00EC1816">
        <w:rPr>
          <w:color w:val="019648"/>
          <w:lang w:val="uk-UA"/>
        </w:rPr>
        <w:t xml:space="preserve"> MRS?</w:t>
      </w:r>
    </w:p>
    <w:p w14:paraId="7F883F8A" w14:textId="0F540434" w:rsidR="00E05B98" w:rsidRDefault="00552341" w:rsidP="00885BE7">
      <w:pPr>
        <w:pStyle w:val="a3"/>
        <w:spacing w:before="218" w:line="297" w:lineRule="auto"/>
        <w:ind w:left="567"/>
        <w:jc w:val="both"/>
        <w:rPr>
          <w:sz w:val="20"/>
          <w:szCs w:val="20"/>
          <w:lang w:val="uk-UA"/>
        </w:rPr>
      </w:pPr>
      <w:r w:rsidRPr="00552341">
        <w:rPr>
          <w:sz w:val="20"/>
          <w:szCs w:val="20"/>
          <w:lang w:val="uk-UA"/>
        </w:rPr>
        <w:t xml:space="preserve">Було виявлено 12 досліджень (1959 учасників), під час яких чутливість тесту </w:t>
      </w:r>
      <w:r w:rsidR="00195808">
        <w:rPr>
          <w:sz w:val="20"/>
          <w:szCs w:val="20"/>
          <w:lang w:val="uk-UA"/>
        </w:rPr>
        <w:t>коливалась</w:t>
      </w:r>
      <w:r w:rsidRPr="00552341">
        <w:rPr>
          <w:sz w:val="20"/>
          <w:szCs w:val="20"/>
          <w:lang w:val="uk-UA"/>
        </w:rPr>
        <w:t xml:space="preserve"> в діапазоні від 0% до 100% і специфічність тесту - в діапазоні від 67% до 100% (</w:t>
      </w:r>
      <w:r w:rsidRPr="00552341">
        <w:rPr>
          <w:b/>
          <w:bCs/>
          <w:sz w:val="20"/>
          <w:szCs w:val="20"/>
          <w:lang w:val="uk-UA"/>
        </w:rPr>
        <w:t>Рис. 2.3.2.3</w:t>
      </w:r>
      <w:r w:rsidRPr="00552341">
        <w:rPr>
          <w:sz w:val="20"/>
          <w:szCs w:val="20"/>
          <w:lang w:val="uk-UA"/>
        </w:rPr>
        <w:t>). Усі 12 досліджень були включені в метааналіз. Сумарна чутливість становила 69,6% (95% ДІ: 60,3-77,6), а сумарна специфічність - 91,0% (95% ДІ: 82,5-95,6). Достовірність доказів була помірною як для чутливості, так і для специфічності. Дані щодо тестів Truenat MTB Plus і MTB-RIF Dx були недоступні</w:t>
      </w:r>
      <w:r w:rsidR="00B01E0C" w:rsidRPr="00885BE7">
        <w:rPr>
          <w:sz w:val="20"/>
          <w:szCs w:val="20"/>
          <w:lang w:val="uk-UA"/>
        </w:rPr>
        <w:t>.</w:t>
      </w:r>
    </w:p>
    <w:p w14:paraId="28FA7C48" w14:textId="5F063C37" w:rsidR="00E05B98" w:rsidRPr="003C6DAE" w:rsidRDefault="00552341" w:rsidP="00885BE7">
      <w:pPr>
        <w:pStyle w:val="6"/>
        <w:spacing w:before="240" w:line="268" w:lineRule="auto"/>
        <w:jc w:val="both"/>
        <w:rPr>
          <w:lang w:val="uk-UA"/>
        </w:rPr>
      </w:pPr>
      <w:r>
        <w:rPr>
          <w:color w:val="636466"/>
          <w:sz w:val="20"/>
          <w:szCs w:val="20"/>
          <w:lang w:val="uk-UA"/>
        </w:rPr>
        <w:t>Рис</w:t>
      </w:r>
      <w:r w:rsidR="00B01E0C" w:rsidRPr="00885BE7">
        <w:rPr>
          <w:color w:val="636466"/>
          <w:sz w:val="20"/>
          <w:szCs w:val="20"/>
          <w:lang w:val="uk-UA"/>
        </w:rPr>
        <w:t>.</w:t>
      </w:r>
      <w:r w:rsidR="00B01E0C" w:rsidRPr="00885BE7">
        <w:rPr>
          <w:color w:val="636466"/>
          <w:spacing w:val="-12"/>
          <w:sz w:val="20"/>
          <w:szCs w:val="20"/>
          <w:lang w:val="uk-UA"/>
        </w:rPr>
        <w:t xml:space="preserve"> </w:t>
      </w:r>
      <w:r w:rsidR="00B01E0C" w:rsidRPr="00885BE7">
        <w:rPr>
          <w:color w:val="636466"/>
          <w:sz w:val="20"/>
          <w:szCs w:val="20"/>
          <w:lang w:val="uk-UA"/>
        </w:rPr>
        <w:t>2.3.2.3</w:t>
      </w:r>
      <w:r w:rsidR="00B01E0C" w:rsidRPr="00885BE7">
        <w:rPr>
          <w:color w:val="636466"/>
          <w:spacing w:val="-12"/>
          <w:sz w:val="20"/>
          <w:szCs w:val="20"/>
          <w:lang w:val="uk-UA"/>
        </w:rPr>
        <w:t xml:space="preserve"> </w:t>
      </w:r>
      <w:r>
        <w:rPr>
          <w:color w:val="636466"/>
          <w:spacing w:val="-12"/>
          <w:sz w:val="20"/>
          <w:szCs w:val="20"/>
          <w:lang w:val="uk-UA"/>
        </w:rPr>
        <w:t xml:space="preserve"> </w:t>
      </w:r>
      <w:r w:rsidRPr="00552341">
        <w:rPr>
          <w:color w:val="636466"/>
          <w:sz w:val="20"/>
          <w:szCs w:val="20"/>
          <w:lang w:val="uk-UA"/>
        </w:rPr>
        <w:t>Лісова діаграма чутливості та специфічності аТАНК-НС для виявлення ТБ легень у зразках шлункового аспірату та чутливості і специфічності MRS</w:t>
      </w:r>
      <w:r w:rsidR="00507F6E">
        <w:rPr>
          <w:color w:val="636466"/>
          <w:sz w:val="20"/>
          <w:szCs w:val="20"/>
          <w:lang w:val="uk-UA"/>
        </w:rPr>
        <w:t xml:space="preserve"> </w:t>
      </w:r>
      <w:r w:rsidR="00B01E0C" w:rsidRPr="003C6DAE">
        <w:rPr>
          <w:color w:val="636466"/>
          <w:vertAlign w:val="superscript"/>
          <w:lang w:val="uk-UA"/>
        </w:rPr>
        <w:t>a</w:t>
      </w:r>
    </w:p>
    <w:p w14:paraId="2C7EA668" w14:textId="5BBF8884" w:rsidR="00E05B98" w:rsidRPr="003C6DAE" w:rsidRDefault="00507F6E">
      <w:pPr>
        <w:pStyle w:val="a3"/>
        <w:spacing w:before="1"/>
        <w:rPr>
          <w:rFonts w:ascii="Arial"/>
          <w:b/>
          <w:sz w:val="9"/>
          <w:lang w:val="uk-UA"/>
        </w:rPr>
      </w:pPr>
      <w:r w:rsidRPr="003C6DAE">
        <w:rPr>
          <w:rFonts w:ascii="Arial"/>
          <w:b/>
          <w:noProof/>
          <w:sz w:val="24"/>
          <w:lang w:val="uk-UA"/>
        </w:rPr>
        <mc:AlternateContent>
          <mc:Choice Requires="wps">
            <w:drawing>
              <wp:anchor distT="0" distB="0" distL="114300" distR="114300" simplePos="0" relativeHeight="488149504" behindDoc="0" locked="0" layoutInCell="1" allowOverlap="1" wp14:anchorId="6DBF584D" wp14:editId="6E18E36D">
                <wp:simplePos x="0" y="0"/>
                <wp:positionH relativeFrom="margin">
                  <wp:posOffset>266700</wp:posOffset>
                </wp:positionH>
                <wp:positionV relativeFrom="paragraph">
                  <wp:posOffset>2540</wp:posOffset>
                </wp:positionV>
                <wp:extent cx="6174740" cy="277495"/>
                <wp:effectExtent l="0" t="0" r="0" b="8255"/>
                <wp:wrapNone/>
                <wp:docPr id="2016997358" name="Поле 2016997358"/>
                <wp:cNvGraphicFramePr/>
                <a:graphic xmlns:a="http://schemas.openxmlformats.org/drawingml/2006/main">
                  <a:graphicData uri="http://schemas.microsoft.com/office/word/2010/wordprocessingShape">
                    <wps:wsp>
                      <wps:cNvSpPr txBox="1"/>
                      <wps:spPr>
                        <a:xfrm>
                          <a:off x="0" y="0"/>
                          <a:ext cx="6174740" cy="277495"/>
                        </a:xfrm>
                        <a:prstGeom prst="rect">
                          <a:avLst/>
                        </a:prstGeom>
                        <a:solidFill>
                          <a:schemeClr val="bg1"/>
                        </a:solidFill>
                        <a:ln w="6350">
                          <a:noFill/>
                        </a:ln>
                      </wps:spPr>
                      <wps:txbx>
                        <w:txbxContent>
                          <w:p w14:paraId="183D72B9" w14:textId="61F3137E" w:rsidR="007372B2" w:rsidRPr="00552341" w:rsidRDefault="007372B2" w:rsidP="00EC1816">
                            <w:pPr>
                              <w:rPr>
                                <w:rFonts w:asciiTheme="minorHAnsi" w:hAnsiTheme="minorHAnsi" w:cstheme="minorHAnsi"/>
                                <w:b/>
                                <w:sz w:val="16"/>
                                <w:szCs w:val="16"/>
                                <w:lang w:val="uk-UA"/>
                              </w:rPr>
                            </w:pPr>
                            <w:r w:rsidRPr="00552341">
                              <w:rPr>
                                <w:rFonts w:asciiTheme="minorHAnsi" w:hAnsiTheme="minorHAnsi" w:cstheme="minorHAnsi"/>
                                <w:b/>
                                <w:sz w:val="16"/>
                                <w:szCs w:val="16"/>
                                <w:lang w:val="uk-UA"/>
                              </w:rPr>
                              <w:t xml:space="preserve">Дослідження                      </w:t>
                            </w:r>
                            <w:r w:rsidRPr="00552341">
                              <w:rPr>
                                <w:rFonts w:asciiTheme="minorHAnsi" w:hAnsiTheme="minorHAnsi" w:cstheme="minorHAnsi"/>
                                <w:b/>
                                <w:sz w:val="16"/>
                                <w:szCs w:val="16"/>
                              </w:rPr>
                              <w:t xml:space="preserve">TP     FP    FN   TN  </w:t>
                            </w:r>
                            <w:r w:rsidRPr="00552341">
                              <w:rPr>
                                <w:rFonts w:asciiTheme="minorHAnsi" w:hAnsiTheme="minorHAnsi" w:cstheme="minorHAnsi"/>
                                <w:b/>
                                <w:sz w:val="16"/>
                                <w:szCs w:val="16"/>
                                <w:lang w:val="uk-UA"/>
                              </w:rPr>
                              <w:t xml:space="preserve">Чутливість (95% ДІ)   Специфічність (95% ДІ)  </w:t>
                            </w:r>
                            <w:r w:rsidRPr="00552341">
                              <w:rPr>
                                <w:rFonts w:asciiTheme="minorHAnsi" w:hAnsiTheme="minorHAnsi" w:cstheme="minorHAnsi"/>
                                <w:b/>
                                <w:sz w:val="16"/>
                                <w:szCs w:val="16"/>
                              </w:rPr>
                              <w:t xml:space="preserve">  </w:t>
                            </w:r>
                            <w:r w:rsidRPr="00552341">
                              <w:rPr>
                                <w:rFonts w:asciiTheme="minorHAnsi" w:hAnsiTheme="minorHAnsi" w:cstheme="minorHAnsi"/>
                                <w:b/>
                                <w:sz w:val="16"/>
                                <w:szCs w:val="16"/>
                                <w:lang w:val="uk-UA"/>
                              </w:rPr>
                              <w:t xml:space="preserve">Чутливість (95% ДІ)  </w:t>
                            </w:r>
                            <w:r w:rsidRPr="00552341">
                              <w:rPr>
                                <w:rFonts w:asciiTheme="minorHAnsi" w:hAnsiTheme="minorHAnsi" w:cstheme="minorHAnsi"/>
                                <w:b/>
                                <w:sz w:val="16"/>
                                <w:szCs w:val="16"/>
                              </w:rPr>
                              <w:t xml:space="preserve">        </w:t>
                            </w:r>
                            <w:r w:rsidRPr="00552341">
                              <w:rPr>
                                <w:rFonts w:asciiTheme="minorHAnsi" w:hAnsiTheme="minorHAnsi" w:cstheme="minorHAnsi"/>
                                <w:b/>
                                <w:sz w:val="16"/>
                                <w:szCs w:val="16"/>
                                <w:lang w:val="uk-UA"/>
                              </w:rPr>
                              <w:t>Специфічність (95% 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F584D" id="Поле 2016997358" o:spid="_x0000_s1129" type="#_x0000_t202" style="position:absolute;margin-left:21pt;margin-top:.2pt;width:486.2pt;height:21.85pt;z-index:48814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" fillcolor="white [3212]" stroked="f" strokeweight=".5pt">
                <v:textbox>
                  <w:txbxContent>
                    <w:p w14:paraId="183D72B9" w14:textId="61F3137E" w:rsidR="007372B2" w:rsidRPr="00552341" w:rsidRDefault="007372B2" w:rsidP="00EC1816">
                      <w:pPr>
                        <w:rPr>
                          <w:rFonts w:asciiTheme="minorHAnsi" w:hAnsiTheme="minorHAnsi" w:cstheme="minorHAnsi"/>
                          <w:b/>
                          <w:sz w:val="16"/>
                          <w:szCs w:val="16"/>
                          <w:lang w:val="uk-UA"/>
                        </w:rPr>
                      </w:pPr>
                      <w:r w:rsidRPr="00552341">
                        <w:rPr>
                          <w:rFonts w:asciiTheme="minorHAnsi" w:hAnsiTheme="minorHAnsi" w:cstheme="minorHAnsi"/>
                          <w:b/>
                          <w:sz w:val="16"/>
                          <w:szCs w:val="16"/>
                          <w:lang w:val="uk-UA"/>
                        </w:rPr>
                        <w:t xml:space="preserve">Дослідження                      </w:t>
                      </w:r>
                      <w:r w:rsidRPr="00552341">
                        <w:rPr>
                          <w:rFonts w:asciiTheme="minorHAnsi" w:hAnsiTheme="minorHAnsi" w:cstheme="minorHAnsi"/>
                          <w:b/>
                          <w:sz w:val="16"/>
                          <w:szCs w:val="16"/>
                        </w:rPr>
                        <w:t xml:space="preserve">TP     FP    FN   TN  </w:t>
                      </w:r>
                      <w:r w:rsidRPr="00552341">
                        <w:rPr>
                          <w:rFonts w:asciiTheme="minorHAnsi" w:hAnsiTheme="minorHAnsi" w:cstheme="minorHAnsi"/>
                          <w:b/>
                          <w:sz w:val="16"/>
                          <w:szCs w:val="16"/>
                          <w:lang w:val="uk-UA"/>
                        </w:rPr>
                        <w:t xml:space="preserve">Чутливість (95% ДІ)   Специфічність (95% ДІ)  </w:t>
                      </w:r>
                      <w:r w:rsidRPr="00552341">
                        <w:rPr>
                          <w:rFonts w:asciiTheme="minorHAnsi" w:hAnsiTheme="minorHAnsi" w:cstheme="minorHAnsi"/>
                          <w:b/>
                          <w:sz w:val="16"/>
                          <w:szCs w:val="16"/>
                        </w:rPr>
                        <w:t xml:space="preserve">  </w:t>
                      </w:r>
                      <w:r w:rsidRPr="00552341">
                        <w:rPr>
                          <w:rFonts w:asciiTheme="minorHAnsi" w:hAnsiTheme="minorHAnsi" w:cstheme="minorHAnsi"/>
                          <w:b/>
                          <w:sz w:val="16"/>
                          <w:szCs w:val="16"/>
                          <w:lang w:val="uk-UA"/>
                        </w:rPr>
                        <w:t xml:space="preserve">Чутливість (95% ДІ)  </w:t>
                      </w:r>
                      <w:r w:rsidRPr="00552341">
                        <w:rPr>
                          <w:rFonts w:asciiTheme="minorHAnsi" w:hAnsiTheme="minorHAnsi" w:cstheme="minorHAnsi"/>
                          <w:b/>
                          <w:sz w:val="16"/>
                          <w:szCs w:val="16"/>
                        </w:rPr>
                        <w:t xml:space="preserve">        </w:t>
                      </w:r>
                      <w:r w:rsidRPr="00552341">
                        <w:rPr>
                          <w:rFonts w:asciiTheme="minorHAnsi" w:hAnsiTheme="minorHAnsi" w:cstheme="minorHAnsi"/>
                          <w:b/>
                          <w:sz w:val="16"/>
                          <w:szCs w:val="16"/>
                          <w:lang w:val="uk-UA"/>
                        </w:rPr>
                        <w:t>Специфічність (95% ДІ)</w:t>
                      </w:r>
                    </w:p>
                  </w:txbxContent>
                </v:textbox>
                <w10:wrap anchorx="margin"/>
              </v:shape>
            </w:pict>
          </mc:Fallback>
        </mc:AlternateContent>
      </w:r>
    </w:p>
    <w:p w14:paraId="11C2ABDE" w14:textId="77777777" w:rsidR="00E05B98" w:rsidRPr="003C6DAE" w:rsidRDefault="00E05B98">
      <w:pPr>
        <w:pStyle w:val="a3"/>
        <w:rPr>
          <w:rFonts w:ascii="Arial"/>
          <w:b/>
          <w:sz w:val="9"/>
          <w:lang w:val="uk-UA"/>
        </w:rPr>
        <w:sectPr w:rsidR="00E05B98" w:rsidRPr="003C6DAE" w:rsidSect="00885BE7">
          <w:type w:val="continuous"/>
          <w:pgSz w:w="11910" w:h="16840"/>
          <w:pgMar w:top="1920" w:right="1137" w:bottom="280" w:left="850" w:header="0" w:footer="573" w:gutter="0"/>
          <w:cols w:space="720"/>
        </w:sectPr>
      </w:pPr>
    </w:p>
    <w:p w14:paraId="74480D15" w14:textId="6B8EAE3F" w:rsidR="00E05B98" w:rsidRPr="003C6DAE" w:rsidRDefault="00B01E0C">
      <w:pPr>
        <w:spacing w:before="113"/>
        <w:ind w:left="629"/>
        <w:rPr>
          <w:rFonts w:ascii="Trebuchet MS"/>
          <w:sz w:val="17"/>
          <w:lang w:val="uk-UA"/>
        </w:rPr>
      </w:pPr>
      <w:r w:rsidRPr="003C6DAE">
        <w:rPr>
          <w:rFonts w:ascii="Trebuchet MS"/>
          <w:color w:val="333333"/>
          <w:w w:val="85"/>
          <w:sz w:val="17"/>
          <w:lang w:val="uk-UA"/>
        </w:rPr>
        <w:t>S</w:t>
      </w:r>
      <w:r w:rsidRPr="003C6DAE">
        <w:rPr>
          <w:rFonts w:ascii="Trebuchet MS"/>
          <w:color w:val="333333"/>
          <w:spacing w:val="-16"/>
          <w:w w:val="85"/>
          <w:sz w:val="17"/>
          <w:lang w:val="uk-UA"/>
        </w:rPr>
        <w:t xml:space="preserve"> </w:t>
      </w:r>
      <w:proofErr w:type="spellStart"/>
      <w:r w:rsidRPr="003C6DAE">
        <w:rPr>
          <w:rFonts w:ascii="Trebuchet MS"/>
          <w:color w:val="333333"/>
          <w:spacing w:val="-4"/>
          <w:w w:val="95"/>
          <w:sz w:val="17"/>
          <w:lang w:val="uk-UA"/>
        </w:rPr>
        <w:t>tudy</w:t>
      </w:r>
      <w:proofErr w:type="spellEnd"/>
    </w:p>
    <w:p w14:paraId="0B2AC9A1" w14:textId="453FC275" w:rsidR="00E05B98" w:rsidRPr="00552341" w:rsidRDefault="00B01E0C">
      <w:pPr>
        <w:spacing w:before="68" w:line="285" w:lineRule="auto"/>
        <w:ind w:left="629" w:right="354"/>
        <w:rPr>
          <w:rFonts w:ascii="Trebuchet MS"/>
          <w:sz w:val="16"/>
          <w:szCs w:val="16"/>
          <w:lang w:val="uk-UA"/>
        </w:rPr>
      </w:pPr>
      <w:r w:rsidRPr="00552341">
        <w:rPr>
          <w:rFonts w:ascii="Trebuchet MS"/>
          <w:w w:val="85"/>
          <w:sz w:val="16"/>
          <w:szCs w:val="16"/>
          <w:lang w:val="uk-UA"/>
        </w:rPr>
        <w:t>NC</w:t>
      </w:r>
      <w:r w:rsidRPr="00552341">
        <w:rPr>
          <w:rFonts w:ascii="Trebuchet MS"/>
          <w:spacing w:val="-24"/>
          <w:w w:val="85"/>
          <w:sz w:val="16"/>
          <w:szCs w:val="16"/>
          <w:lang w:val="uk-UA"/>
        </w:rPr>
        <w:t xml:space="preserve"> </w:t>
      </w:r>
      <w:r w:rsidRPr="00552341">
        <w:rPr>
          <w:rFonts w:ascii="Trebuchet MS"/>
          <w:w w:val="85"/>
          <w:sz w:val="16"/>
          <w:szCs w:val="16"/>
          <w:lang w:val="uk-UA"/>
        </w:rPr>
        <w:t>T</w:t>
      </w:r>
      <w:r w:rsidRPr="00552341">
        <w:rPr>
          <w:rFonts w:ascii="Trebuchet MS"/>
          <w:spacing w:val="-27"/>
          <w:w w:val="85"/>
          <w:sz w:val="16"/>
          <w:szCs w:val="16"/>
          <w:lang w:val="uk-UA"/>
        </w:rPr>
        <w:t xml:space="preserve"> </w:t>
      </w:r>
      <w:r w:rsidRPr="00552341">
        <w:rPr>
          <w:rFonts w:ascii="Trebuchet MS"/>
          <w:w w:val="85"/>
          <w:sz w:val="16"/>
          <w:szCs w:val="16"/>
          <w:lang w:val="uk-UA"/>
        </w:rPr>
        <w:t xml:space="preserve">04899076 </w:t>
      </w:r>
      <w:r w:rsidRPr="00552341">
        <w:rPr>
          <w:rFonts w:ascii="Trebuchet MS"/>
          <w:w w:val="80"/>
          <w:sz w:val="16"/>
          <w:szCs w:val="16"/>
          <w:lang w:val="uk-UA"/>
        </w:rPr>
        <w:t>NCT</w:t>
      </w:r>
      <w:r w:rsidRPr="00552341">
        <w:rPr>
          <w:rFonts w:ascii="Trebuchet MS"/>
          <w:spacing w:val="-18"/>
          <w:w w:val="80"/>
          <w:sz w:val="16"/>
          <w:szCs w:val="16"/>
          <w:lang w:val="uk-UA"/>
        </w:rPr>
        <w:t xml:space="preserve"> </w:t>
      </w:r>
      <w:r w:rsidRPr="00552341">
        <w:rPr>
          <w:rFonts w:ascii="Trebuchet MS"/>
          <w:spacing w:val="-2"/>
          <w:w w:val="80"/>
          <w:sz w:val="16"/>
          <w:szCs w:val="16"/>
          <w:lang w:val="uk-UA"/>
        </w:rPr>
        <w:t>04121026</w:t>
      </w:r>
    </w:p>
    <w:p w14:paraId="0385E7A7" w14:textId="3A13DBBF" w:rsidR="00E05B98" w:rsidRPr="00552341" w:rsidRDefault="00B01E0C">
      <w:pPr>
        <w:spacing w:before="1" w:line="285" w:lineRule="auto"/>
        <w:ind w:left="629"/>
        <w:rPr>
          <w:rFonts w:ascii="Trebuchet MS"/>
          <w:sz w:val="16"/>
          <w:szCs w:val="16"/>
          <w:lang w:val="uk-UA"/>
        </w:rPr>
      </w:pPr>
      <w:proofErr w:type="spellStart"/>
      <w:r w:rsidRPr="00552341">
        <w:rPr>
          <w:rFonts w:ascii="Trebuchet MS"/>
          <w:w w:val="85"/>
          <w:sz w:val="16"/>
          <w:szCs w:val="16"/>
          <w:lang w:val="uk-UA"/>
        </w:rPr>
        <w:t>Aguilera-Alons</w:t>
      </w:r>
      <w:proofErr w:type="spellEnd"/>
      <w:r w:rsidRPr="00552341">
        <w:rPr>
          <w:rFonts w:ascii="Trebuchet MS"/>
          <w:spacing w:val="-29"/>
          <w:w w:val="85"/>
          <w:sz w:val="16"/>
          <w:szCs w:val="16"/>
          <w:lang w:val="uk-UA"/>
        </w:rPr>
        <w:t xml:space="preserve"> </w:t>
      </w:r>
      <w:r w:rsidRPr="00552341">
        <w:rPr>
          <w:rFonts w:ascii="Trebuchet MS"/>
          <w:w w:val="85"/>
          <w:sz w:val="16"/>
          <w:szCs w:val="16"/>
          <w:lang w:val="uk-UA"/>
        </w:rPr>
        <w:t>o</w:t>
      </w:r>
      <w:r w:rsidRPr="00552341">
        <w:rPr>
          <w:rFonts w:ascii="Trebuchet MS"/>
          <w:spacing w:val="-5"/>
          <w:w w:val="85"/>
          <w:sz w:val="16"/>
          <w:szCs w:val="16"/>
          <w:lang w:val="uk-UA"/>
        </w:rPr>
        <w:t xml:space="preserve"> </w:t>
      </w:r>
      <w:r w:rsidRPr="00552341">
        <w:rPr>
          <w:rFonts w:ascii="Trebuchet MS"/>
          <w:w w:val="85"/>
          <w:sz w:val="16"/>
          <w:szCs w:val="16"/>
          <w:lang w:val="uk-UA"/>
        </w:rPr>
        <w:t xml:space="preserve">2022 </w:t>
      </w:r>
      <w:proofErr w:type="spellStart"/>
      <w:r w:rsidRPr="00552341">
        <w:rPr>
          <w:rFonts w:ascii="Trebuchet MS"/>
          <w:w w:val="90"/>
          <w:sz w:val="16"/>
          <w:szCs w:val="16"/>
          <w:lang w:val="uk-UA"/>
        </w:rPr>
        <w:t>Parigi</w:t>
      </w:r>
      <w:proofErr w:type="spellEnd"/>
      <w:r w:rsidRPr="00552341">
        <w:rPr>
          <w:rFonts w:ascii="Trebuchet MS"/>
          <w:w w:val="90"/>
          <w:sz w:val="16"/>
          <w:szCs w:val="16"/>
          <w:lang w:val="uk-UA"/>
        </w:rPr>
        <w:t xml:space="preserve"> 2021</w:t>
      </w:r>
    </w:p>
    <w:p w14:paraId="4314B40E" w14:textId="26E1EEAD" w:rsidR="00E05B98" w:rsidRPr="00552341" w:rsidRDefault="00B01E0C">
      <w:pPr>
        <w:ind w:left="629"/>
        <w:rPr>
          <w:rFonts w:ascii="Trebuchet MS"/>
          <w:sz w:val="16"/>
          <w:szCs w:val="16"/>
          <w:lang w:val="uk-UA"/>
        </w:rPr>
      </w:pPr>
      <w:proofErr w:type="spellStart"/>
      <w:r w:rsidRPr="00552341">
        <w:rPr>
          <w:rFonts w:ascii="Trebuchet MS"/>
          <w:w w:val="80"/>
          <w:sz w:val="16"/>
          <w:szCs w:val="16"/>
          <w:lang w:val="uk-UA"/>
        </w:rPr>
        <w:t>Yenew</w:t>
      </w:r>
      <w:proofErr w:type="spellEnd"/>
      <w:r w:rsidRPr="00552341">
        <w:rPr>
          <w:rFonts w:ascii="Trebuchet MS"/>
          <w:spacing w:val="4"/>
          <w:sz w:val="16"/>
          <w:szCs w:val="16"/>
          <w:lang w:val="uk-UA"/>
        </w:rPr>
        <w:t xml:space="preserve"> </w:t>
      </w:r>
      <w:r w:rsidRPr="00552341">
        <w:rPr>
          <w:rFonts w:ascii="Trebuchet MS"/>
          <w:spacing w:val="-4"/>
          <w:w w:val="80"/>
          <w:sz w:val="16"/>
          <w:szCs w:val="16"/>
          <w:lang w:val="uk-UA"/>
        </w:rPr>
        <w:t>2023</w:t>
      </w:r>
    </w:p>
    <w:p w14:paraId="0C4C5462" w14:textId="448E36D8" w:rsidR="00E05B98" w:rsidRPr="00552341" w:rsidRDefault="00B01E0C">
      <w:pPr>
        <w:spacing w:before="38" w:line="285" w:lineRule="auto"/>
        <w:ind w:left="629" w:right="354"/>
        <w:rPr>
          <w:rFonts w:ascii="Trebuchet MS"/>
          <w:sz w:val="16"/>
          <w:szCs w:val="16"/>
          <w:lang w:val="uk-UA"/>
        </w:rPr>
      </w:pPr>
      <w:r w:rsidRPr="00552341">
        <w:rPr>
          <w:rFonts w:ascii="Trebuchet MS"/>
          <w:w w:val="85"/>
          <w:sz w:val="16"/>
          <w:szCs w:val="16"/>
          <w:lang w:val="uk-UA"/>
        </w:rPr>
        <w:t>NCT</w:t>
      </w:r>
      <w:r w:rsidRPr="00552341">
        <w:rPr>
          <w:rFonts w:ascii="Trebuchet MS"/>
          <w:spacing w:val="-27"/>
          <w:w w:val="85"/>
          <w:sz w:val="16"/>
          <w:szCs w:val="16"/>
          <w:lang w:val="uk-UA"/>
        </w:rPr>
        <w:t xml:space="preserve"> </w:t>
      </w:r>
      <w:r w:rsidRPr="00552341">
        <w:rPr>
          <w:rFonts w:ascii="Trebuchet MS"/>
          <w:w w:val="85"/>
          <w:sz w:val="16"/>
          <w:szCs w:val="16"/>
          <w:lang w:val="uk-UA"/>
        </w:rPr>
        <w:t xml:space="preserve">03734172 </w:t>
      </w:r>
      <w:proofErr w:type="spellStart"/>
      <w:r w:rsidRPr="00552341">
        <w:rPr>
          <w:rFonts w:ascii="Trebuchet MS"/>
          <w:w w:val="95"/>
          <w:sz w:val="16"/>
          <w:szCs w:val="16"/>
          <w:lang w:val="uk-UA"/>
        </w:rPr>
        <w:t>Liu</w:t>
      </w:r>
      <w:proofErr w:type="spellEnd"/>
      <w:r w:rsidRPr="00552341">
        <w:rPr>
          <w:rFonts w:ascii="Trebuchet MS"/>
          <w:spacing w:val="-9"/>
          <w:w w:val="95"/>
          <w:sz w:val="16"/>
          <w:szCs w:val="16"/>
          <w:lang w:val="uk-UA"/>
        </w:rPr>
        <w:t xml:space="preserve"> </w:t>
      </w:r>
      <w:r w:rsidRPr="00552341">
        <w:rPr>
          <w:rFonts w:ascii="Trebuchet MS"/>
          <w:w w:val="95"/>
          <w:sz w:val="16"/>
          <w:szCs w:val="16"/>
          <w:lang w:val="uk-UA"/>
        </w:rPr>
        <w:t>2021</w:t>
      </w:r>
    </w:p>
    <w:p w14:paraId="674DD82A" w14:textId="1EDAC7B3" w:rsidR="00E05B98" w:rsidRPr="00552341" w:rsidRDefault="00B01E0C">
      <w:pPr>
        <w:spacing w:before="1"/>
        <w:ind w:left="629"/>
        <w:rPr>
          <w:rFonts w:ascii="Trebuchet MS"/>
          <w:sz w:val="16"/>
          <w:szCs w:val="16"/>
          <w:lang w:val="uk-UA"/>
        </w:rPr>
      </w:pPr>
      <w:r w:rsidRPr="00552341">
        <w:rPr>
          <w:rFonts w:ascii="Trebuchet MS"/>
          <w:w w:val="80"/>
          <w:sz w:val="16"/>
          <w:szCs w:val="16"/>
          <w:lang w:val="uk-UA"/>
        </w:rPr>
        <w:t>NCT</w:t>
      </w:r>
      <w:r w:rsidRPr="00552341">
        <w:rPr>
          <w:rFonts w:ascii="Trebuchet MS"/>
          <w:spacing w:val="-18"/>
          <w:w w:val="80"/>
          <w:sz w:val="16"/>
          <w:szCs w:val="16"/>
          <w:lang w:val="uk-UA"/>
        </w:rPr>
        <w:t xml:space="preserve"> </w:t>
      </w:r>
      <w:r w:rsidRPr="00552341">
        <w:rPr>
          <w:rFonts w:ascii="Trebuchet MS"/>
          <w:spacing w:val="-2"/>
          <w:w w:val="80"/>
          <w:sz w:val="16"/>
          <w:szCs w:val="16"/>
          <w:lang w:val="uk-UA"/>
        </w:rPr>
        <w:t>04240990</w:t>
      </w:r>
    </w:p>
    <w:p w14:paraId="306AB5AD" w14:textId="37397A20" w:rsidR="00E05B98" w:rsidRPr="00552341" w:rsidRDefault="00B01E0C">
      <w:pPr>
        <w:spacing w:before="37" w:line="285" w:lineRule="auto"/>
        <w:ind w:left="629" w:right="277"/>
        <w:rPr>
          <w:rFonts w:ascii="Trebuchet MS"/>
          <w:sz w:val="16"/>
          <w:szCs w:val="16"/>
          <w:lang w:val="uk-UA"/>
        </w:rPr>
      </w:pPr>
      <w:proofErr w:type="spellStart"/>
      <w:r w:rsidRPr="00552341">
        <w:rPr>
          <w:rFonts w:ascii="Trebuchet MS"/>
          <w:w w:val="85"/>
          <w:sz w:val="16"/>
          <w:szCs w:val="16"/>
          <w:lang w:val="uk-UA"/>
        </w:rPr>
        <w:t>Ssengooba</w:t>
      </w:r>
      <w:proofErr w:type="spellEnd"/>
      <w:r w:rsidRPr="00552341">
        <w:rPr>
          <w:rFonts w:ascii="Trebuchet MS"/>
          <w:sz w:val="16"/>
          <w:szCs w:val="16"/>
          <w:lang w:val="uk-UA"/>
        </w:rPr>
        <w:t xml:space="preserve"> </w:t>
      </w:r>
      <w:r w:rsidRPr="00552341">
        <w:rPr>
          <w:rFonts w:ascii="Trebuchet MS"/>
          <w:w w:val="85"/>
          <w:sz w:val="16"/>
          <w:szCs w:val="16"/>
          <w:lang w:val="uk-UA"/>
        </w:rPr>
        <w:t xml:space="preserve">2020 </w:t>
      </w:r>
      <w:proofErr w:type="spellStart"/>
      <w:r w:rsidRPr="00552341">
        <w:rPr>
          <w:rFonts w:ascii="Trebuchet MS"/>
          <w:w w:val="95"/>
          <w:sz w:val="16"/>
          <w:szCs w:val="16"/>
          <w:lang w:val="uk-UA"/>
        </w:rPr>
        <w:t>Enimill</w:t>
      </w:r>
      <w:proofErr w:type="spellEnd"/>
      <w:r w:rsidRPr="00552341">
        <w:rPr>
          <w:rFonts w:ascii="Trebuchet MS"/>
          <w:w w:val="95"/>
          <w:sz w:val="16"/>
          <w:szCs w:val="16"/>
          <w:lang w:val="uk-UA"/>
        </w:rPr>
        <w:t xml:space="preserve"> 2022</w:t>
      </w:r>
    </w:p>
    <w:p w14:paraId="08C86F57" w14:textId="3BDD0B9B" w:rsidR="00E05B98" w:rsidRPr="00552341" w:rsidRDefault="00B01E0C">
      <w:pPr>
        <w:spacing w:before="1"/>
        <w:ind w:left="629"/>
        <w:rPr>
          <w:rFonts w:ascii="Trebuchet MS"/>
          <w:sz w:val="16"/>
          <w:szCs w:val="16"/>
          <w:lang w:val="uk-UA"/>
        </w:rPr>
      </w:pPr>
      <w:proofErr w:type="spellStart"/>
      <w:r w:rsidRPr="00552341">
        <w:rPr>
          <w:rFonts w:ascii="Trebuchet MS"/>
          <w:w w:val="80"/>
          <w:sz w:val="16"/>
          <w:szCs w:val="16"/>
          <w:lang w:val="uk-UA"/>
        </w:rPr>
        <w:t>Sabi</w:t>
      </w:r>
      <w:proofErr w:type="spellEnd"/>
      <w:r w:rsidRPr="00552341">
        <w:rPr>
          <w:rFonts w:ascii="Trebuchet MS"/>
          <w:spacing w:val="-4"/>
          <w:sz w:val="16"/>
          <w:szCs w:val="16"/>
          <w:lang w:val="uk-UA"/>
        </w:rPr>
        <w:t xml:space="preserve"> </w:t>
      </w:r>
      <w:r w:rsidRPr="00552341">
        <w:rPr>
          <w:rFonts w:ascii="Trebuchet MS"/>
          <w:spacing w:val="-4"/>
          <w:w w:val="80"/>
          <w:sz w:val="16"/>
          <w:szCs w:val="16"/>
          <w:lang w:val="uk-UA"/>
        </w:rPr>
        <w:t>2022</w:t>
      </w:r>
    </w:p>
    <w:p w14:paraId="0C6406A5" w14:textId="2A13013E" w:rsidR="00E05B98" w:rsidRPr="00552341" w:rsidRDefault="00B01E0C">
      <w:pPr>
        <w:spacing w:before="38"/>
        <w:ind w:left="629"/>
        <w:rPr>
          <w:rFonts w:ascii="Trebuchet MS"/>
          <w:sz w:val="16"/>
          <w:szCs w:val="16"/>
          <w:lang w:val="uk-UA"/>
        </w:rPr>
      </w:pPr>
      <w:proofErr w:type="spellStart"/>
      <w:r w:rsidRPr="00552341">
        <w:rPr>
          <w:rFonts w:ascii="Trebuchet MS"/>
          <w:w w:val="80"/>
          <w:sz w:val="16"/>
          <w:szCs w:val="16"/>
          <w:lang w:val="uk-UA"/>
        </w:rPr>
        <w:t>Jaganath</w:t>
      </w:r>
      <w:proofErr w:type="spellEnd"/>
      <w:r w:rsidRPr="00552341">
        <w:rPr>
          <w:rFonts w:ascii="Trebuchet MS"/>
          <w:spacing w:val="8"/>
          <w:sz w:val="16"/>
          <w:szCs w:val="16"/>
          <w:lang w:val="uk-UA"/>
        </w:rPr>
        <w:t xml:space="preserve"> </w:t>
      </w:r>
      <w:r w:rsidRPr="00552341">
        <w:rPr>
          <w:rFonts w:ascii="Trebuchet MS"/>
          <w:spacing w:val="-4"/>
          <w:w w:val="80"/>
          <w:sz w:val="16"/>
          <w:szCs w:val="16"/>
          <w:lang w:val="uk-UA"/>
        </w:rPr>
        <w:t>2021</w:t>
      </w:r>
    </w:p>
    <w:p w14:paraId="745F9798" w14:textId="77777777" w:rsidR="00E05B98" w:rsidRPr="00552341" w:rsidRDefault="00B01E0C">
      <w:pPr>
        <w:spacing w:before="112"/>
        <w:ind w:left="201"/>
        <w:rPr>
          <w:rFonts w:ascii="Trebuchet MS"/>
          <w:sz w:val="16"/>
          <w:szCs w:val="16"/>
          <w:lang w:val="uk-UA"/>
        </w:rPr>
      </w:pPr>
      <w:r w:rsidRPr="00552341">
        <w:rPr>
          <w:sz w:val="16"/>
          <w:szCs w:val="16"/>
          <w:lang w:val="uk-UA"/>
        </w:rPr>
        <w:br w:type="column"/>
      </w:r>
      <w:r w:rsidRPr="00552341">
        <w:rPr>
          <w:rFonts w:ascii="Trebuchet MS"/>
          <w:color w:val="333333"/>
          <w:w w:val="90"/>
          <w:sz w:val="16"/>
          <w:szCs w:val="16"/>
          <w:lang w:val="uk-UA"/>
        </w:rPr>
        <w:t>TP</w:t>
      </w:r>
      <w:r w:rsidRPr="00552341">
        <w:rPr>
          <w:rFonts w:ascii="Trebuchet MS"/>
          <w:color w:val="333333"/>
          <w:spacing w:val="66"/>
          <w:w w:val="150"/>
          <w:sz w:val="16"/>
          <w:szCs w:val="16"/>
          <w:lang w:val="uk-UA"/>
        </w:rPr>
        <w:t xml:space="preserve"> </w:t>
      </w:r>
      <w:r w:rsidRPr="00552341">
        <w:rPr>
          <w:rFonts w:ascii="Trebuchet MS"/>
          <w:color w:val="333333"/>
          <w:spacing w:val="-5"/>
          <w:w w:val="90"/>
          <w:sz w:val="16"/>
          <w:szCs w:val="16"/>
          <w:lang w:val="uk-UA"/>
        </w:rPr>
        <w:t xml:space="preserve">FP </w:t>
      </w:r>
    </w:p>
    <w:p w14:paraId="12479024" w14:textId="77777777" w:rsidR="00E05B98" w:rsidRPr="00552341" w:rsidRDefault="00B01E0C">
      <w:pPr>
        <w:tabs>
          <w:tab w:val="left" w:pos="609"/>
        </w:tabs>
        <w:spacing w:before="69"/>
        <w:ind w:left="303"/>
        <w:rPr>
          <w:rFonts w:ascii="Trebuchet MS"/>
          <w:sz w:val="16"/>
          <w:szCs w:val="16"/>
          <w:lang w:val="uk-UA"/>
        </w:rPr>
      </w:pPr>
      <w:r w:rsidRPr="00552341">
        <w:rPr>
          <w:rFonts w:ascii="Trebuchet MS"/>
          <w:spacing w:val="-10"/>
          <w:w w:val="95"/>
          <w:sz w:val="16"/>
          <w:szCs w:val="16"/>
          <w:lang w:val="uk-UA"/>
        </w:rPr>
        <w:t>1</w:t>
      </w:r>
      <w:r w:rsidRPr="00552341">
        <w:rPr>
          <w:rFonts w:ascii="Trebuchet MS"/>
          <w:sz w:val="16"/>
          <w:szCs w:val="16"/>
          <w:lang w:val="uk-UA"/>
        </w:rPr>
        <w:tab/>
      </w:r>
      <w:r w:rsidRPr="00552341">
        <w:rPr>
          <w:rFonts w:ascii="Trebuchet MS"/>
          <w:spacing w:val="-10"/>
          <w:w w:val="95"/>
          <w:sz w:val="16"/>
          <w:szCs w:val="16"/>
          <w:lang w:val="uk-UA"/>
        </w:rPr>
        <w:t>6</w:t>
      </w:r>
    </w:p>
    <w:p w14:paraId="5E717A89" w14:textId="77777777" w:rsidR="00E05B98" w:rsidRPr="00552341" w:rsidRDefault="00B01E0C">
      <w:pPr>
        <w:tabs>
          <w:tab w:val="left" w:pos="609"/>
        </w:tabs>
        <w:spacing w:before="37"/>
        <w:ind w:left="303"/>
        <w:rPr>
          <w:rFonts w:ascii="Trebuchet MS"/>
          <w:sz w:val="16"/>
          <w:szCs w:val="16"/>
          <w:lang w:val="uk-UA"/>
        </w:rPr>
      </w:pPr>
      <w:r w:rsidRPr="00552341">
        <w:rPr>
          <w:rFonts w:ascii="Trebuchet MS"/>
          <w:spacing w:val="-10"/>
          <w:w w:val="95"/>
          <w:sz w:val="16"/>
          <w:szCs w:val="16"/>
          <w:lang w:val="uk-UA"/>
        </w:rPr>
        <w:t>4</w:t>
      </w:r>
      <w:r w:rsidRPr="00552341">
        <w:rPr>
          <w:rFonts w:ascii="Trebuchet MS"/>
          <w:sz w:val="16"/>
          <w:szCs w:val="16"/>
          <w:lang w:val="uk-UA"/>
        </w:rPr>
        <w:tab/>
      </w:r>
      <w:r w:rsidRPr="00552341">
        <w:rPr>
          <w:rFonts w:ascii="Trebuchet MS"/>
          <w:spacing w:val="-10"/>
          <w:w w:val="95"/>
          <w:sz w:val="16"/>
          <w:szCs w:val="16"/>
          <w:lang w:val="uk-UA"/>
        </w:rPr>
        <w:t>0</w:t>
      </w:r>
    </w:p>
    <w:p w14:paraId="4276C238" w14:textId="77777777" w:rsidR="00E05B98" w:rsidRPr="00552341" w:rsidRDefault="00B01E0C">
      <w:pPr>
        <w:spacing w:before="38"/>
        <w:ind w:left="221"/>
        <w:rPr>
          <w:rFonts w:ascii="Trebuchet MS"/>
          <w:sz w:val="16"/>
          <w:szCs w:val="16"/>
          <w:lang w:val="uk-UA"/>
        </w:rPr>
      </w:pPr>
      <w:r w:rsidRPr="00552341">
        <w:rPr>
          <w:rFonts w:ascii="Trebuchet MS"/>
          <w:w w:val="95"/>
          <w:sz w:val="16"/>
          <w:szCs w:val="16"/>
          <w:lang w:val="uk-UA"/>
        </w:rPr>
        <w:t>19</w:t>
      </w:r>
      <w:r w:rsidRPr="00552341">
        <w:rPr>
          <w:rFonts w:ascii="Trebuchet MS"/>
          <w:spacing w:val="57"/>
          <w:w w:val="150"/>
          <w:sz w:val="16"/>
          <w:szCs w:val="16"/>
          <w:lang w:val="uk-UA"/>
        </w:rPr>
        <w:t xml:space="preserve"> </w:t>
      </w:r>
      <w:r w:rsidRPr="00552341">
        <w:rPr>
          <w:rFonts w:ascii="Trebuchet MS"/>
          <w:spacing w:val="-5"/>
          <w:w w:val="90"/>
          <w:sz w:val="16"/>
          <w:szCs w:val="16"/>
          <w:lang w:val="uk-UA"/>
        </w:rPr>
        <w:t>10</w:t>
      </w:r>
    </w:p>
    <w:p w14:paraId="6105C020" w14:textId="77777777" w:rsidR="00E05B98" w:rsidRPr="00552341" w:rsidRDefault="00B01E0C">
      <w:pPr>
        <w:tabs>
          <w:tab w:val="left" w:pos="609"/>
        </w:tabs>
        <w:spacing w:before="38"/>
        <w:ind w:left="221"/>
        <w:rPr>
          <w:rFonts w:ascii="Trebuchet MS"/>
          <w:sz w:val="16"/>
          <w:szCs w:val="16"/>
          <w:lang w:val="uk-UA"/>
        </w:rPr>
      </w:pPr>
      <w:r w:rsidRPr="00552341">
        <w:rPr>
          <w:rFonts w:ascii="Trebuchet MS"/>
          <w:spacing w:val="-5"/>
          <w:w w:val="95"/>
          <w:sz w:val="16"/>
          <w:szCs w:val="16"/>
          <w:lang w:val="uk-UA"/>
        </w:rPr>
        <w:t>13</w:t>
      </w:r>
      <w:r w:rsidRPr="00552341">
        <w:rPr>
          <w:rFonts w:ascii="Trebuchet MS"/>
          <w:sz w:val="16"/>
          <w:szCs w:val="16"/>
          <w:lang w:val="uk-UA"/>
        </w:rPr>
        <w:tab/>
      </w:r>
      <w:r w:rsidRPr="00552341">
        <w:rPr>
          <w:rFonts w:ascii="Trebuchet MS"/>
          <w:spacing w:val="-10"/>
          <w:w w:val="95"/>
          <w:sz w:val="16"/>
          <w:szCs w:val="16"/>
          <w:lang w:val="uk-UA"/>
        </w:rPr>
        <w:t>5</w:t>
      </w:r>
    </w:p>
    <w:p w14:paraId="34A8670A" w14:textId="77777777" w:rsidR="00E05B98" w:rsidRPr="00552341" w:rsidRDefault="00B01E0C">
      <w:pPr>
        <w:tabs>
          <w:tab w:val="left" w:pos="609"/>
        </w:tabs>
        <w:spacing w:before="38"/>
        <w:ind w:left="221"/>
        <w:rPr>
          <w:rFonts w:ascii="Trebuchet MS"/>
          <w:sz w:val="16"/>
          <w:szCs w:val="16"/>
          <w:lang w:val="uk-UA"/>
        </w:rPr>
      </w:pPr>
      <w:r w:rsidRPr="00552341">
        <w:rPr>
          <w:rFonts w:ascii="Trebuchet MS"/>
          <w:spacing w:val="-5"/>
          <w:w w:val="95"/>
          <w:sz w:val="16"/>
          <w:szCs w:val="16"/>
          <w:lang w:val="uk-UA"/>
        </w:rPr>
        <w:t>31</w:t>
      </w:r>
      <w:r w:rsidRPr="00552341">
        <w:rPr>
          <w:rFonts w:ascii="Trebuchet MS"/>
          <w:sz w:val="16"/>
          <w:szCs w:val="16"/>
          <w:lang w:val="uk-UA"/>
        </w:rPr>
        <w:tab/>
      </w:r>
      <w:r w:rsidRPr="00552341">
        <w:rPr>
          <w:rFonts w:ascii="Trebuchet MS"/>
          <w:spacing w:val="-10"/>
          <w:w w:val="95"/>
          <w:sz w:val="16"/>
          <w:szCs w:val="16"/>
          <w:lang w:val="uk-UA"/>
        </w:rPr>
        <w:t>8</w:t>
      </w:r>
    </w:p>
    <w:p w14:paraId="3B85B530" w14:textId="77777777" w:rsidR="00E05B98" w:rsidRPr="00552341" w:rsidRDefault="00B01E0C">
      <w:pPr>
        <w:tabs>
          <w:tab w:val="left" w:pos="609"/>
        </w:tabs>
        <w:spacing w:before="38"/>
        <w:ind w:left="303"/>
        <w:rPr>
          <w:rFonts w:ascii="Trebuchet MS"/>
          <w:sz w:val="16"/>
          <w:szCs w:val="16"/>
          <w:lang w:val="uk-UA"/>
        </w:rPr>
      </w:pPr>
      <w:r w:rsidRPr="00552341">
        <w:rPr>
          <w:rFonts w:ascii="Trebuchet MS"/>
          <w:spacing w:val="-10"/>
          <w:w w:val="95"/>
          <w:sz w:val="16"/>
          <w:szCs w:val="16"/>
          <w:lang w:val="uk-UA"/>
        </w:rPr>
        <w:t>3</w:t>
      </w:r>
      <w:r w:rsidRPr="00552341">
        <w:rPr>
          <w:rFonts w:ascii="Trebuchet MS"/>
          <w:sz w:val="16"/>
          <w:szCs w:val="16"/>
          <w:lang w:val="uk-UA"/>
        </w:rPr>
        <w:tab/>
      </w:r>
      <w:r w:rsidRPr="00552341">
        <w:rPr>
          <w:rFonts w:ascii="Trebuchet MS"/>
          <w:spacing w:val="-10"/>
          <w:w w:val="95"/>
          <w:sz w:val="16"/>
          <w:szCs w:val="16"/>
          <w:lang w:val="uk-UA"/>
        </w:rPr>
        <w:t>6</w:t>
      </w:r>
    </w:p>
    <w:p w14:paraId="1384C204" w14:textId="77777777" w:rsidR="00E05B98" w:rsidRPr="00552341" w:rsidRDefault="00B01E0C">
      <w:pPr>
        <w:tabs>
          <w:tab w:val="left" w:pos="609"/>
        </w:tabs>
        <w:spacing w:before="37"/>
        <w:ind w:left="221"/>
        <w:rPr>
          <w:rFonts w:ascii="Trebuchet MS"/>
          <w:sz w:val="16"/>
          <w:szCs w:val="16"/>
          <w:lang w:val="uk-UA"/>
        </w:rPr>
      </w:pPr>
      <w:r w:rsidRPr="00552341">
        <w:rPr>
          <w:rFonts w:ascii="Trebuchet MS"/>
          <w:spacing w:val="-5"/>
          <w:w w:val="95"/>
          <w:sz w:val="16"/>
          <w:szCs w:val="16"/>
          <w:lang w:val="uk-UA"/>
        </w:rPr>
        <w:t>18</w:t>
      </w:r>
      <w:r w:rsidRPr="00552341">
        <w:rPr>
          <w:rFonts w:ascii="Trebuchet MS"/>
          <w:sz w:val="16"/>
          <w:szCs w:val="16"/>
          <w:lang w:val="uk-UA"/>
        </w:rPr>
        <w:tab/>
      </w:r>
      <w:r w:rsidRPr="00552341">
        <w:rPr>
          <w:rFonts w:ascii="Trebuchet MS"/>
          <w:spacing w:val="-10"/>
          <w:w w:val="95"/>
          <w:sz w:val="16"/>
          <w:szCs w:val="16"/>
          <w:lang w:val="uk-UA"/>
        </w:rPr>
        <w:t>9</w:t>
      </w:r>
    </w:p>
    <w:p w14:paraId="6713C32E" w14:textId="77777777" w:rsidR="00E05B98" w:rsidRPr="00552341" w:rsidRDefault="00B01E0C">
      <w:pPr>
        <w:spacing w:before="38"/>
        <w:ind w:left="303"/>
        <w:rPr>
          <w:rFonts w:ascii="Trebuchet MS"/>
          <w:sz w:val="16"/>
          <w:szCs w:val="16"/>
          <w:lang w:val="uk-UA"/>
        </w:rPr>
      </w:pPr>
      <w:r w:rsidRPr="00552341">
        <w:rPr>
          <w:rFonts w:ascii="Trebuchet MS"/>
          <w:w w:val="95"/>
          <w:sz w:val="16"/>
          <w:szCs w:val="16"/>
          <w:lang w:val="uk-UA"/>
        </w:rPr>
        <w:t>9</w:t>
      </w:r>
      <w:r w:rsidRPr="00552341">
        <w:rPr>
          <w:rFonts w:ascii="Trebuchet MS"/>
          <w:spacing w:val="61"/>
          <w:w w:val="150"/>
          <w:sz w:val="16"/>
          <w:szCs w:val="16"/>
          <w:lang w:val="uk-UA"/>
        </w:rPr>
        <w:t xml:space="preserve"> </w:t>
      </w:r>
      <w:r w:rsidRPr="00552341">
        <w:rPr>
          <w:rFonts w:ascii="Trebuchet MS"/>
          <w:spacing w:val="-5"/>
          <w:w w:val="90"/>
          <w:sz w:val="16"/>
          <w:szCs w:val="16"/>
          <w:lang w:val="uk-UA"/>
        </w:rPr>
        <w:t>25</w:t>
      </w:r>
    </w:p>
    <w:p w14:paraId="7C33B099" w14:textId="77777777" w:rsidR="00E05B98" w:rsidRPr="00552341" w:rsidRDefault="00B01E0C">
      <w:pPr>
        <w:spacing w:before="38"/>
        <w:ind w:left="221"/>
        <w:rPr>
          <w:rFonts w:ascii="Trebuchet MS"/>
          <w:sz w:val="16"/>
          <w:szCs w:val="16"/>
          <w:lang w:val="uk-UA"/>
        </w:rPr>
      </w:pPr>
      <w:r w:rsidRPr="00552341">
        <w:rPr>
          <w:rFonts w:ascii="Trebuchet MS"/>
          <w:w w:val="95"/>
          <w:sz w:val="16"/>
          <w:szCs w:val="16"/>
          <w:lang w:val="uk-UA"/>
        </w:rPr>
        <w:t>11</w:t>
      </w:r>
      <w:r w:rsidRPr="00552341">
        <w:rPr>
          <w:rFonts w:ascii="Trebuchet MS"/>
          <w:spacing w:val="57"/>
          <w:w w:val="150"/>
          <w:sz w:val="16"/>
          <w:szCs w:val="16"/>
          <w:lang w:val="uk-UA"/>
        </w:rPr>
        <w:t xml:space="preserve"> </w:t>
      </w:r>
      <w:r w:rsidRPr="00552341">
        <w:rPr>
          <w:rFonts w:ascii="Trebuchet MS"/>
          <w:spacing w:val="-5"/>
          <w:w w:val="90"/>
          <w:sz w:val="16"/>
          <w:szCs w:val="16"/>
          <w:lang w:val="uk-UA"/>
        </w:rPr>
        <w:t>12</w:t>
      </w:r>
    </w:p>
    <w:p w14:paraId="660AC535" w14:textId="77777777" w:rsidR="00E05B98" w:rsidRPr="00552341" w:rsidRDefault="00B01E0C">
      <w:pPr>
        <w:tabs>
          <w:tab w:val="left" w:pos="609"/>
        </w:tabs>
        <w:spacing w:before="38"/>
        <w:ind w:left="303"/>
        <w:rPr>
          <w:rFonts w:ascii="Trebuchet MS"/>
          <w:sz w:val="16"/>
          <w:szCs w:val="16"/>
          <w:lang w:val="uk-UA"/>
        </w:rPr>
      </w:pPr>
      <w:r w:rsidRPr="00552341">
        <w:rPr>
          <w:rFonts w:ascii="Trebuchet MS"/>
          <w:spacing w:val="-10"/>
          <w:w w:val="95"/>
          <w:sz w:val="16"/>
          <w:szCs w:val="16"/>
          <w:lang w:val="uk-UA"/>
        </w:rPr>
        <w:t>2</w:t>
      </w:r>
      <w:r w:rsidRPr="00552341">
        <w:rPr>
          <w:rFonts w:ascii="Trebuchet MS"/>
          <w:sz w:val="16"/>
          <w:szCs w:val="16"/>
          <w:lang w:val="uk-UA"/>
        </w:rPr>
        <w:tab/>
      </w:r>
      <w:r w:rsidRPr="00552341">
        <w:rPr>
          <w:rFonts w:ascii="Trebuchet MS"/>
          <w:spacing w:val="-10"/>
          <w:w w:val="95"/>
          <w:sz w:val="16"/>
          <w:szCs w:val="16"/>
          <w:lang w:val="uk-UA"/>
        </w:rPr>
        <w:t>2</w:t>
      </w:r>
    </w:p>
    <w:p w14:paraId="463C642F" w14:textId="77777777" w:rsidR="00E05B98" w:rsidRPr="00552341" w:rsidRDefault="00B01E0C">
      <w:pPr>
        <w:tabs>
          <w:tab w:val="left" w:pos="609"/>
        </w:tabs>
        <w:spacing w:before="37"/>
        <w:ind w:left="303"/>
        <w:rPr>
          <w:rFonts w:ascii="Trebuchet MS"/>
          <w:sz w:val="16"/>
          <w:szCs w:val="16"/>
          <w:lang w:val="uk-UA"/>
        </w:rPr>
      </w:pPr>
      <w:r w:rsidRPr="00552341">
        <w:rPr>
          <w:rFonts w:ascii="Trebuchet MS"/>
          <w:spacing w:val="-10"/>
          <w:w w:val="95"/>
          <w:sz w:val="16"/>
          <w:szCs w:val="16"/>
          <w:lang w:val="uk-UA"/>
        </w:rPr>
        <w:t>6</w:t>
      </w:r>
      <w:r w:rsidRPr="00552341">
        <w:rPr>
          <w:rFonts w:ascii="Trebuchet MS"/>
          <w:sz w:val="16"/>
          <w:szCs w:val="16"/>
          <w:lang w:val="uk-UA"/>
        </w:rPr>
        <w:tab/>
      </w:r>
      <w:r w:rsidRPr="00552341">
        <w:rPr>
          <w:rFonts w:ascii="Trebuchet MS"/>
          <w:spacing w:val="-10"/>
          <w:w w:val="95"/>
          <w:sz w:val="16"/>
          <w:szCs w:val="16"/>
          <w:lang w:val="uk-UA"/>
        </w:rPr>
        <w:t>6</w:t>
      </w:r>
    </w:p>
    <w:p w14:paraId="15DC486D" w14:textId="77777777" w:rsidR="00E05B98" w:rsidRPr="00552341" w:rsidRDefault="00B01E0C">
      <w:pPr>
        <w:tabs>
          <w:tab w:val="left" w:pos="609"/>
        </w:tabs>
        <w:spacing w:before="38"/>
        <w:ind w:left="303"/>
        <w:rPr>
          <w:rFonts w:ascii="Trebuchet MS"/>
          <w:sz w:val="16"/>
          <w:szCs w:val="16"/>
          <w:lang w:val="uk-UA"/>
        </w:rPr>
      </w:pPr>
      <w:r w:rsidRPr="00552341">
        <w:rPr>
          <w:rFonts w:ascii="Trebuchet MS"/>
          <w:spacing w:val="-10"/>
          <w:w w:val="95"/>
          <w:sz w:val="16"/>
          <w:szCs w:val="16"/>
          <w:lang w:val="uk-UA"/>
        </w:rPr>
        <w:t>0</w:t>
      </w:r>
      <w:r w:rsidRPr="00552341">
        <w:rPr>
          <w:rFonts w:ascii="Trebuchet MS"/>
          <w:sz w:val="16"/>
          <w:szCs w:val="16"/>
          <w:lang w:val="uk-UA"/>
        </w:rPr>
        <w:tab/>
      </w:r>
      <w:r w:rsidRPr="00552341">
        <w:rPr>
          <w:rFonts w:ascii="Trebuchet MS"/>
          <w:spacing w:val="-10"/>
          <w:w w:val="95"/>
          <w:sz w:val="16"/>
          <w:szCs w:val="16"/>
          <w:lang w:val="uk-UA"/>
        </w:rPr>
        <w:t>3</w:t>
      </w:r>
    </w:p>
    <w:p w14:paraId="3ED33FE9" w14:textId="77777777" w:rsidR="00E05B98" w:rsidRPr="00552341" w:rsidRDefault="00B01E0C">
      <w:pPr>
        <w:spacing w:before="111"/>
        <w:ind w:left="80"/>
        <w:rPr>
          <w:rFonts w:ascii="Trebuchet MS"/>
          <w:sz w:val="16"/>
          <w:szCs w:val="16"/>
          <w:lang w:val="uk-UA"/>
        </w:rPr>
      </w:pPr>
      <w:r w:rsidRPr="00552341">
        <w:rPr>
          <w:sz w:val="16"/>
          <w:szCs w:val="16"/>
          <w:lang w:val="uk-UA"/>
        </w:rPr>
        <w:br w:type="column"/>
      </w:r>
      <w:r w:rsidRPr="00552341">
        <w:rPr>
          <w:rFonts w:ascii="Trebuchet MS"/>
          <w:color w:val="333333"/>
          <w:w w:val="95"/>
          <w:sz w:val="16"/>
          <w:szCs w:val="16"/>
          <w:lang w:val="uk-UA"/>
        </w:rPr>
        <w:t>FN</w:t>
      </w:r>
      <w:r w:rsidRPr="00552341">
        <w:rPr>
          <w:rFonts w:ascii="Trebuchet MS"/>
          <w:color w:val="333333"/>
          <w:spacing w:val="31"/>
          <w:sz w:val="16"/>
          <w:szCs w:val="16"/>
          <w:lang w:val="uk-UA"/>
        </w:rPr>
        <w:t xml:space="preserve">  </w:t>
      </w:r>
      <w:r w:rsidRPr="00552341">
        <w:rPr>
          <w:rFonts w:ascii="Trebuchet MS"/>
          <w:color w:val="333333"/>
          <w:spacing w:val="-7"/>
          <w:w w:val="90"/>
          <w:sz w:val="16"/>
          <w:szCs w:val="16"/>
          <w:lang w:val="uk-UA"/>
        </w:rPr>
        <w:t>TN</w:t>
      </w:r>
      <w:r w:rsidRPr="00552341">
        <w:rPr>
          <w:rFonts w:ascii="Trebuchet MS"/>
          <w:color w:val="333333"/>
          <w:w w:val="90"/>
          <w:sz w:val="16"/>
          <w:szCs w:val="16"/>
          <w:lang w:val="uk-UA"/>
        </w:rPr>
        <w:t xml:space="preserve"> </w:t>
      </w:r>
    </w:p>
    <w:p w14:paraId="49479DF8" w14:textId="77777777" w:rsidR="00E05B98" w:rsidRPr="00552341" w:rsidRDefault="00B01E0C">
      <w:pPr>
        <w:tabs>
          <w:tab w:val="left" w:pos="456"/>
        </w:tabs>
        <w:spacing w:before="69"/>
        <w:ind w:left="170"/>
        <w:rPr>
          <w:rFonts w:ascii="Trebuchet MS"/>
          <w:sz w:val="16"/>
          <w:szCs w:val="16"/>
          <w:lang w:val="uk-UA"/>
        </w:rPr>
      </w:pPr>
      <w:r w:rsidRPr="00552341">
        <w:rPr>
          <w:rFonts w:ascii="Trebuchet MS"/>
          <w:spacing w:val="-10"/>
          <w:w w:val="95"/>
          <w:sz w:val="16"/>
          <w:szCs w:val="16"/>
          <w:lang w:val="uk-UA"/>
        </w:rPr>
        <w:t>0</w:t>
      </w:r>
      <w:r w:rsidRPr="00552341">
        <w:rPr>
          <w:rFonts w:ascii="Trebuchet MS"/>
          <w:sz w:val="16"/>
          <w:szCs w:val="16"/>
          <w:lang w:val="uk-UA"/>
        </w:rPr>
        <w:tab/>
      </w:r>
      <w:r w:rsidRPr="00552341">
        <w:rPr>
          <w:rFonts w:ascii="Trebuchet MS"/>
          <w:spacing w:val="-5"/>
          <w:w w:val="95"/>
          <w:sz w:val="16"/>
          <w:szCs w:val="16"/>
          <w:lang w:val="uk-UA"/>
        </w:rPr>
        <w:t>13</w:t>
      </w:r>
    </w:p>
    <w:p w14:paraId="5B840224" w14:textId="77777777" w:rsidR="00E05B98" w:rsidRPr="00552341" w:rsidRDefault="00B01E0C">
      <w:pPr>
        <w:spacing w:before="37"/>
        <w:ind w:left="170"/>
        <w:rPr>
          <w:rFonts w:ascii="Trebuchet MS"/>
          <w:sz w:val="16"/>
          <w:szCs w:val="16"/>
          <w:lang w:val="uk-UA"/>
        </w:rPr>
      </w:pPr>
      <w:r w:rsidRPr="00552341">
        <w:rPr>
          <w:rFonts w:ascii="Trebuchet MS"/>
          <w:w w:val="95"/>
          <w:sz w:val="16"/>
          <w:szCs w:val="16"/>
          <w:lang w:val="uk-UA"/>
        </w:rPr>
        <w:t>0</w:t>
      </w:r>
      <w:r w:rsidRPr="00552341">
        <w:rPr>
          <w:rFonts w:ascii="Trebuchet MS"/>
          <w:spacing w:val="67"/>
          <w:sz w:val="16"/>
          <w:szCs w:val="16"/>
          <w:lang w:val="uk-UA"/>
        </w:rPr>
        <w:t xml:space="preserve"> </w:t>
      </w:r>
      <w:r w:rsidRPr="00552341">
        <w:rPr>
          <w:rFonts w:ascii="Trebuchet MS"/>
          <w:spacing w:val="-5"/>
          <w:w w:val="90"/>
          <w:sz w:val="16"/>
          <w:szCs w:val="16"/>
          <w:lang w:val="uk-UA"/>
        </w:rPr>
        <w:t>137</w:t>
      </w:r>
    </w:p>
    <w:p w14:paraId="7253111E" w14:textId="77777777" w:rsidR="00E05B98" w:rsidRPr="00552341" w:rsidRDefault="00B01E0C">
      <w:pPr>
        <w:tabs>
          <w:tab w:val="left" w:pos="456"/>
        </w:tabs>
        <w:spacing w:before="38"/>
        <w:ind w:left="170"/>
        <w:rPr>
          <w:rFonts w:ascii="Trebuchet MS"/>
          <w:sz w:val="16"/>
          <w:szCs w:val="16"/>
          <w:lang w:val="uk-UA"/>
        </w:rPr>
      </w:pPr>
      <w:r w:rsidRPr="00552341">
        <w:rPr>
          <w:rFonts w:ascii="Trebuchet MS"/>
          <w:spacing w:val="-10"/>
          <w:w w:val="95"/>
          <w:sz w:val="16"/>
          <w:szCs w:val="16"/>
          <w:lang w:val="uk-UA"/>
        </w:rPr>
        <w:t>4</w:t>
      </w:r>
      <w:r w:rsidRPr="00552341">
        <w:rPr>
          <w:rFonts w:ascii="Trebuchet MS"/>
          <w:sz w:val="16"/>
          <w:szCs w:val="16"/>
          <w:lang w:val="uk-UA"/>
        </w:rPr>
        <w:tab/>
      </w:r>
      <w:r w:rsidRPr="00552341">
        <w:rPr>
          <w:rFonts w:ascii="Trebuchet MS"/>
          <w:spacing w:val="-5"/>
          <w:w w:val="95"/>
          <w:sz w:val="16"/>
          <w:szCs w:val="16"/>
          <w:lang w:val="uk-UA"/>
        </w:rPr>
        <w:t>33</w:t>
      </w:r>
    </w:p>
    <w:p w14:paraId="77C49745" w14:textId="77777777" w:rsidR="00E05B98" w:rsidRPr="00552341" w:rsidRDefault="00B01E0C">
      <w:pPr>
        <w:tabs>
          <w:tab w:val="left" w:pos="456"/>
        </w:tabs>
        <w:spacing w:before="38"/>
        <w:ind w:left="170"/>
        <w:rPr>
          <w:rFonts w:ascii="Trebuchet MS"/>
          <w:sz w:val="16"/>
          <w:szCs w:val="16"/>
          <w:lang w:val="uk-UA"/>
        </w:rPr>
      </w:pPr>
      <w:r w:rsidRPr="00552341">
        <w:rPr>
          <w:rFonts w:ascii="Trebuchet MS"/>
          <w:spacing w:val="-10"/>
          <w:w w:val="95"/>
          <w:sz w:val="16"/>
          <w:szCs w:val="16"/>
          <w:lang w:val="uk-UA"/>
        </w:rPr>
        <w:t>3</w:t>
      </w:r>
      <w:r w:rsidRPr="00552341">
        <w:rPr>
          <w:rFonts w:ascii="Trebuchet MS"/>
          <w:sz w:val="16"/>
          <w:szCs w:val="16"/>
          <w:lang w:val="uk-UA"/>
        </w:rPr>
        <w:tab/>
      </w:r>
      <w:r w:rsidRPr="00552341">
        <w:rPr>
          <w:rFonts w:ascii="Trebuchet MS"/>
          <w:spacing w:val="-5"/>
          <w:w w:val="95"/>
          <w:sz w:val="16"/>
          <w:szCs w:val="16"/>
          <w:lang w:val="uk-UA"/>
        </w:rPr>
        <w:t>16</w:t>
      </w:r>
    </w:p>
    <w:p w14:paraId="4BEC1725" w14:textId="77777777" w:rsidR="00E05B98" w:rsidRPr="00552341" w:rsidRDefault="00B01E0C">
      <w:pPr>
        <w:spacing w:before="38"/>
        <w:ind w:left="170"/>
        <w:rPr>
          <w:rFonts w:ascii="Trebuchet MS"/>
          <w:sz w:val="16"/>
          <w:szCs w:val="16"/>
          <w:lang w:val="uk-UA"/>
        </w:rPr>
      </w:pPr>
      <w:r w:rsidRPr="00552341">
        <w:rPr>
          <w:rFonts w:ascii="Trebuchet MS"/>
          <w:w w:val="95"/>
          <w:sz w:val="16"/>
          <w:szCs w:val="16"/>
          <w:lang w:val="uk-UA"/>
        </w:rPr>
        <w:t>9</w:t>
      </w:r>
      <w:r w:rsidRPr="00552341">
        <w:rPr>
          <w:rFonts w:ascii="Trebuchet MS"/>
          <w:spacing w:val="67"/>
          <w:sz w:val="16"/>
          <w:szCs w:val="16"/>
          <w:lang w:val="uk-UA"/>
        </w:rPr>
        <w:t xml:space="preserve"> </w:t>
      </w:r>
      <w:r w:rsidRPr="00552341">
        <w:rPr>
          <w:rFonts w:ascii="Trebuchet MS"/>
          <w:spacing w:val="-5"/>
          <w:w w:val="90"/>
          <w:sz w:val="16"/>
          <w:szCs w:val="16"/>
          <w:lang w:val="uk-UA"/>
        </w:rPr>
        <w:t>632</w:t>
      </w:r>
    </w:p>
    <w:p w14:paraId="3B40C1A1" w14:textId="77777777" w:rsidR="00E05B98" w:rsidRPr="00552341" w:rsidRDefault="00B01E0C">
      <w:pPr>
        <w:tabs>
          <w:tab w:val="left" w:pos="456"/>
        </w:tabs>
        <w:spacing w:before="38"/>
        <w:ind w:left="170"/>
        <w:rPr>
          <w:rFonts w:ascii="Trebuchet MS"/>
          <w:sz w:val="16"/>
          <w:szCs w:val="16"/>
          <w:lang w:val="uk-UA"/>
        </w:rPr>
      </w:pPr>
      <w:r w:rsidRPr="00552341">
        <w:rPr>
          <w:rFonts w:ascii="Trebuchet MS"/>
          <w:spacing w:val="-10"/>
          <w:w w:val="95"/>
          <w:sz w:val="16"/>
          <w:szCs w:val="16"/>
          <w:lang w:val="uk-UA"/>
        </w:rPr>
        <w:t>1</w:t>
      </w:r>
      <w:r w:rsidRPr="00552341">
        <w:rPr>
          <w:rFonts w:ascii="Trebuchet MS"/>
          <w:sz w:val="16"/>
          <w:szCs w:val="16"/>
          <w:lang w:val="uk-UA"/>
        </w:rPr>
        <w:tab/>
      </w:r>
      <w:r w:rsidRPr="00552341">
        <w:rPr>
          <w:rFonts w:ascii="Trebuchet MS"/>
          <w:spacing w:val="-5"/>
          <w:w w:val="95"/>
          <w:sz w:val="16"/>
          <w:szCs w:val="16"/>
          <w:lang w:val="uk-UA"/>
        </w:rPr>
        <w:t>24</w:t>
      </w:r>
    </w:p>
    <w:p w14:paraId="3E511980" w14:textId="77777777" w:rsidR="00E05B98" w:rsidRPr="00552341" w:rsidRDefault="00B01E0C">
      <w:pPr>
        <w:tabs>
          <w:tab w:val="left" w:pos="456"/>
        </w:tabs>
        <w:spacing w:before="37"/>
        <w:ind w:left="170"/>
        <w:rPr>
          <w:rFonts w:ascii="Trebuchet MS"/>
          <w:sz w:val="16"/>
          <w:szCs w:val="16"/>
          <w:lang w:val="uk-UA"/>
        </w:rPr>
      </w:pPr>
      <w:r w:rsidRPr="00552341">
        <w:rPr>
          <w:rFonts w:ascii="Trebuchet MS"/>
          <w:spacing w:val="-10"/>
          <w:w w:val="95"/>
          <w:sz w:val="16"/>
          <w:szCs w:val="16"/>
          <w:lang w:val="uk-UA"/>
        </w:rPr>
        <w:t>7</w:t>
      </w:r>
      <w:r w:rsidRPr="00552341">
        <w:rPr>
          <w:rFonts w:ascii="Trebuchet MS"/>
          <w:sz w:val="16"/>
          <w:szCs w:val="16"/>
          <w:lang w:val="uk-UA"/>
        </w:rPr>
        <w:tab/>
      </w:r>
      <w:r w:rsidRPr="00552341">
        <w:rPr>
          <w:rFonts w:ascii="Trebuchet MS"/>
          <w:spacing w:val="-5"/>
          <w:w w:val="95"/>
          <w:sz w:val="16"/>
          <w:szCs w:val="16"/>
          <w:lang w:val="uk-UA"/>
        </w:rPr>
        <w:t>46</w:t>
      </w:r>
    </w:p>
    <w:p w14:paraId="484C1F70" w14:textId="77777777" w:rsidR="00E05B98" w:rsidRPr="00552341" w:rsidRDefault="00B01E0C">
      <w:pPr>
        <w:spacing w:before="38"/>
        <w:ind w:left="170"/>
        <w:rPr>
          <w:rFonts w:ascii="Trebuchet MS"/>
          <w:sz w:val="16"/>
          <w:szCs w:val="16"/>
          <w:lang w:val="uk-UA"/>
        </w:rPr>
      </w:pPr>
      <w:r w:rsidRPr="00552341">
        <w:rPr>
          <w:rFonts w:ascii="Trebuchet MS"/>
          <w:w w:val="95"/>
          <w:sz w:val="16"/>
          <w:szCs w:val="16"/>
          <w:lang w:val="uk-UA"/>
        </w:rPr>
        <w:t>7</w:t>
      </w:r>
      <w:r w:rsidRPr="00552341">
        <w:rPr>
          <w:rFonts w:ascii="Trebuchet MS"/>
          <w:spacing w:val="67"/>
          <w:sz w:val="16"/>
          <w:szCs w:val="16"/>
          <w:lang w:val="uk-UA"/>
        </w:rPr>
        <w:t xml:space="preserve"> </w:t>
      </w:r>
      <w:r w:rsidRPr="00552341">
        <w:rPr>
          <w:rFonts w:ascii="Trebuchet MS"/>
          <w:spacing w:val="-5"/>
          <w:w w:val="90"/>
          <w:sz w:val="16"/>
          <w:szCs w:val="16"/>
          <w:lang w:val="uk-UA"/>
        </w:rPr>
        <w:t>504</w:t>
      </w:r>
    </w:p>
    <w:p w14:paraId="2B5EE0A8" w14:textId="77777777" w:rsidR="00E05B98" w:rsidRPr="00552341" w:rsidRDefault="00B01E0C">
      <w:pPr>
        <w:spacing w:before="38"/>
        <w:ind w:left="170"/>
        <w:rPr>
          <w:rFonts w:ascii="Trebuchet MS"/>
          <w:sz w:val="16"/>
          <w:szCs w:val="16"/>
          <w:lang w:val="uk-UA"/>
        </w:rPr>
      </w:pPr>
      <w:r w:rsidRPr="00552341">
        <w:rPr>
          <w:rFonts w:ascii="Trebuchet MS"/>
          <w:w w:val="95"/>
          <w:sz w:val="16"/>
          <w:szCs w:val="16"/>
          <w:lang w:val="uk-UA"/>
        </w:rPr>
        <w:t>9</w:t>
      </w:r>
      <w:r w:rsidRPr="00552341">
        <w:rPr>
          <w:rFonts w:ascii="Trebuchet MS"/>
          <w:spacing w:val="67"/>
          <w:sz w:val="16"/>
          <w:szCs w:val="16"/>
          <w:lang w:val="uk-UA"/>
        </w:rPr>
        <w:t xml:space="preserve"> </w:t>
      </w:r>
      <w:r w:rsidRPr="00552341">
        <w:rPr>
          <w:rFonts w:ascii="Trebuchet MS"/>
          <w:spacing w:val="-5"/>
          <w:w w:val="90"/>
          <w:sz w:val="16"/>
          <w:szCs w:val="16"/>
          <w:lang w:val="uk-UA"/>
        </w:rPr>
        <w:t>212</w:t>
      </w:r>
    </w:p>
    <w:p w14:paraId="71DD661E" w14:textId="77777777" w:rsidR="00E05B98" w:rsidRPr="00552341" w:rsidRDefault="00B01E0C">
      <w:pPr>
        <w:tabs>
          <w:tab w:val="left" w:pos="538"/>
        </w:tabs>
        <w:spacing w:before="38"/>
        <w:ind w:left="170"/>
        <w:rPr>
          <w:rFonts w:ascii="Trebuchet MS"/>
          <w:sz w:val="16"/>
          <w:szCs w:val="16"/>
          <w:lang w:val="uk-UA"/>
        </w:rPr>
      </w:pPr>
      <w:r w:rsidRPr="00552341">
        <w:rPr>
          <w:rFonts w:ascii="Trebuchet MS"/>
          <w:spacing w:val="-10"/>
          <w:w w:val="95"/>
          <w:sz w:val="16"/>
          <w:szCs w:val="16"/>
          <w:lang w:val="uk-UA"/>
        </w:rPr>
        <w:t>2</w:t>
      </w:r>
      <w:r w:rsidRPr="00552341">
        <w:rPr>
          <w:rFonts w:ascii="Trebuchet MS"/>
          <w:sz w:val="16"/>
          <w:szCs w:val="16"/>
          <w:lang w:val="uk-UA"/>
        </w:rPr>
        <w:tab/>
      </w:r>
      <w:r w:rsidRPr="00552341">
        <w:rPr>
          <w:rFonts w:ascii="Trebuchet MS"/>
          <w:spacing w:val="-10"/>
          <w:w w:val="95"/>
          <w:sz w:val="16"/>
          <w:szCs w:val="16"/>
          <w:lang w:val="uk-UA"/>
        </w:rPr>
        <w:t>4</w:t>
      </w:r>
    </w:p>
    <w:p w14:paraId="55A38BFA" w14:textId="77777777" w:rsidR="00E05B98" w:rsidRPr="00552341" w:rsidRDefault="00B01E0C">
      <w:pPr>
        <w:tabs>
          <w:tab w:val="left" w:pos="456"/>
        </w:tabs>
        <w:spacing w:before="37"/>
        <w:ind w:left="170"/>
        <w:rPr>
          <w:rFonts w:ascii="Trebuchet MS"/>
          <w:sz w:val="16"/>
          <w:szCs w:val="16"/>
          <w:lang w:val="uk-UA"/>
        </w:rPr>
      </w:pPr>
      <w:r w:rsidRPr="00552341">
        <w:rPr>
          <w:rFonts w:ascii="Trebuchet MS"/>
          <w:spacing w:val="-10"/>
          <w:w w:val="95"/>
          <w:sz w:val="16"/>
          <w:szCs w:val="16"/>
          <w:lang w:val="uk-UA"/>
        </w:rPr>
        <w:t>7</w:t>
      </w:r>
      <w:r w:rsidRPr="00552341">
        <w:rPr>
          <w:rFonts w:ascii="Trebuchet MS"/>
          <w:sz w:val="16"/>
          <w:szCs w:val="16"/>
          <w:lang w:val="uk-UA"/>
        </w:rPr>
        <w:tab/>
      </w:r>
      <w:r w:rsidRPr="00552341">
        <w:rPr>
          <w:rFonts w:ascii="Trebuchet MS"/>
          <w:spacing w:val="-5"/>
          <w:w w:val="95"/>
          <w:sz w:val="16"/>
          <w:szCs w:val="16"/>
          <w:lang w:val="uk-UA"/>
        </w:rPr>
        <w:t>56</w:t>
      </w:r>
    </w:p>
    <w:p w14:paraId="7E3DD20E" w14:textId="77777777" w:rsidR="00E05B98" w:rsidRPr="00552341" w:rsidRDefault="00B01E0C">
      <w:pPr>
        <w:tabs>
          <w:tab w:val="left" w:pos="456"/>
        </w:tabs>
        <w:spacing w:before="38"/>
        <w:ind w:left="170"/>
        <w:rPr>
          <w:rFonts w:ascii="Trebuchet MS"/>
          <w:sz w:val="16"/>
          <w:szCs w:val="16"/>
          <w:lang w:val="uk-UA"/>
        </w:rPr>
      </w:pPr>
      <w:r w:rsidRPr="00552341">
        <w:rPr>
          <w:rFonts w:ascii="Trebuchet MS"/>
          <w:spacing w:val="-10"/>
          <w:w w:val="95"/>
          <w:sz w:val="16"/>
          <w:szCs w:val="16"/>
          <w:lang w:val="uk-UA"/>
        </w:rPr>
        <w:t>1</w:t>
      </w:r>
      <w:r w:rsidRPr="00552341">
        <w:rPr>
          <w:rFonts w:ascii="Trebuchet MS"/>
          <w:sz w:val="16"/>
          <w:szCs w:val="16"/>
          <w:lang w:val="uk-UA"/>
        </w:rPr>
        <w:tab/>
      </w:r>
      <w:r w:rsidRPr="00552341">
        <w:rPr>
          <w:rFonts w:ascii="Trebuchet MS"/>
          <w:spacing w:val="-5"/>
          <w:w w:val="95"/>
          <w:sz w:val="16"/>
          <w:szCs w:val="16"/>
          <w:lang w:val="uk-UA"/>
        </w:rPr>
        <w:t>23</w:t>
      </w:r>
    </w:p>
    <w:p w14:paraId="24B053EE" w14:textId="77777777" w:rsidR="00E05B98" w:rsidRPr="00552341" w:rsidRDefault="00B01E0C">
      <w:pPr>
        <w:spacing w:before="110"/>
        <w:ind w:left="112"/>
        <w:rPr>
          <w:rFonts w:ascii="Trebuchet MS"/>
          <w:sz w:val="16"/>
          <w:szCs w:val="16"/>
          <w:lang w:val="uk-UA"/>
        </w:rPr>
      </w:pPr>
      <w:r w:rsidRPr="00552341">
        <w:rPr>
          <w:sz w:val="16"/>
          <w:szCs w:val="16"/>
          <w:lang w:val="uk-UA"/>
        </w:rPr>
        <w:br w:type="column"/>
      </w:r>
      <w:r w:rsidRPr="00552341">
        <w:rPr>
          <w:rFonts w:ascii="Trebuchet MS"/>
          <w:color w:val="333333"/>
          <w:w w:val="80"/>
          <w:sz w:val="16"/>
          <w:szCs w:val="16"/>
          <w:lang w:val="uk-UA"/>
        </w:rPr>
        <w:t>S</w:t>
      </w:r>
      <w:r w:rsidRPr="00552341">
        <w:rPr>
          <w:rFonts w:ascii="Trebuchet MS"/>
          <w:color w:val="333333"/>
          <w:spacing w:val="-3"/>
          <w:w w:val="80"/>
          <w:sz w:val="16"/>
          <w:szCs w:val="16"/>
          <w:lang w:val="uk-UA"/>
        </w:rPr>
        <w:t xml:space="preserve"> </w:t>
      </w:r>
      <w:proofErr w:type="spellStart"/>
      <w:r w:rsidRPr="00552341">
        <w:rPr>
          <w:rFonts w:ascii="Trebuchet MS"/>
          <w:color w:val="333333"/>
          <w:w w:val="80"/>
          <w:sz w:val="16"/>
          <w:szCs w:val="16"/>
          <w:lang w:val="uk-UA"/>
        </w:rPr>
        <w:t>ens</w:t>
      </w:r>
      <w:proofErr w:type="spellEnd"/>
      <w:r w:rsidRPr="00552341">
        <w:rPr>
          <w:rFonts w:ascii="Trebuchet MS"/>
          <w:color w:val="333333"/>
          <w:spacing w:val="-6"/>
          <w:w w:val="80"/>
          <w:sz w:val="16"/>
          <w:szCs w:val="16"/>
          <w:lang w:val="uk-UA"/>
        </w:rPr>
        <w:t xml:space="preserve"> </w:t>
      </w:r>
      <w:proofErr w:type="spellStart"/>
      <w:r w:rsidRPr="00552341">
        <w:rPr>
          <w:rFonts w:ascii="Trebuchet MS"/>
          <w:color w:val="333333"/>
          <w:w w:val="80"/>
          <w:sz w:val="16"/>
          <w:szCs w:val="16"/>
          <w:lang w:val="uk-UA"/>
        </w:rPr>
        <w:t>itivity</w:t>
      </w:r>
      <w:proofErr w:type="spellEnd"/>
      <w:r w:rsidRPr="00552341">
        <w:rPr>
          <w:rFonts w:ascii="Trebuchet MS"/>
          <w:color w:val="333333"/>
          <w:spacing w:val="27"/>
          <w:sz w:val="16"/>
          <w:szCs w:val="16"/>
          <w:lang w:val="uk-UA"/>
        </w:rPr>
        <w:t xml:space="preserve"> </w:t>
      </w:r>
      <w:r w:rsidRPr="00552341">
        <w:rPr>
          <w:rFonts w:ascii="Trebuchet MS"/>
          <w:color w:val="333333"/>
          <w:w w:val="80"/>
          <w:sz w:val="16"/>
          <w:szCs w:val="16"/>
          <w:lang w:val="uk-UA"/>
        </w:rPr>
        <w:t>(95%</w:t>
      </w:r>
      <w:r w:rsidRPr="00552341">
        <w:rPr>
          <w:rFonts w:ascii="Trebuchet MS"/>
          <w:color w:val="333333"/>
          <w:spacing w:val="30"/>
          <w:sz w:val="16"/>
          <w:szCs w:val="16"/>
          <w:lang w:val="uk-UA"/>
        </w:rPr>
        <w:t xml:space="preserve"> </w:t>
      </w:r>
      <w:r w:rsidRPr="00552341">
        <w:rPr>
          <w:rFonts w:ascii="Trebuchet MS"/>
          <w:color w:val="333333"/>
          <w:w w:val="80"/>
          <w:sz w:val="16"/>
          <w:szCs w:val="16"/>
          <w:lang w:val="uk-UA"/>
        </w:rPr>
        <w:t>C</w:t>
      </w:r>
      <w:r w:rsidRPr="00552341">
        <w:rPr>
          <w:rFonts w:ascii="Trebuchet MS"/>
          <w:color w:val="333333"/>
          <w:spacing w:val="-10"/>
          <w:w w:val="80"/>
          <w:sz w:val="16"/>
          <w:szCs w:val="16"/>
          <w:lang w:val="uk-UA"/>
        </w:rPr>
        <w:t xml:space="preserve"> </w:t>
      </w:r>
      <w:r w:rsidRPr="00552341">
        <w:rPr>
          <w:rFonts w:ascii="Trebuchet MS"/>
          <w:color w:val="333333"/>
          <w:spacing w:val="-5"/>
          <w:w w:val="80"/>
          <w:sz w:val="16"/>
          <w:szCs w:val="16"/>
          <w:lang w:val="uk-UA"/>
        </w:rPr>
        <w:t>I)</w:t>
      </w:r>
    </w:p>
    <w:p w14:paraId="1B909A38" w14:textId="77777777" w:rsidR="00E05B98" w:rsidRPr="00552341" w:rsidRDefault="00B01E0C">
      <w:pPr>
        <w:spacing w:before="69"/>
        <w:ind w:left="348"/>
        <w:rPr>
          <w:rFonts w:ascii="Trebuchet MS"/>
          <w:sz w:val="16"/>
          <w:szCs w:val="16"/>
          <w:lang w:val="uk-UA"/>
        </w:rPr>
      </w:pPr>
      <w:r w:rsidRPr="00552341">
        <w:rPr>
          <w:rFonts w:ascii="Trebuchet MS"/>
          <w:w w:val="75"/>
          <w:sz w:val="16"/>
          <w:szCs w:val="16"/>
          <w:lang w:val="uk-UA"/>
        </w:rPr>
        <w:t>1.00</w:t>
      </w:r>
      <w:r w:rsidRPr="00552341">
        <w:rPr>
          <w:rFonts w:ascii="Trebuchet MS"/>
          <w:spacing w:val="14"/>
          <w:sz w:val="16"/>
          <w:szCs w:val="16"/>
          <w:lang w:val="uk-UA"/>
        </w:rPr>
        <w:t xml:space="preserve"> </w:t>
      </w:r>
      <w:r w:rsidRPr="00552341">
        <w:rPr>
          <w:rFonts w:ascii="Trebuchet MS"/>
          <w:w w:val="75"/>
          <w:sz w:val="16"/>
          <w:szCs w:val="16"/>
          <w:lang w:val="uk-UA"/>
        </w:rPr>
        <w:t>[0.03,</w:t>
      </w:r>
      <w:r w:rsidRPr="00552341">
        <w:rPr>
          <w:rFonts w:ascii="Trebuchet MS"/>
          <w:spacing w:val="20"/>
          <w:sz w:val="16"/>
          <w:szCs w:val="16"/>
          <w:lang w:val="uk-UA"/>
        </w:rPr>
        <w:t xml:space="preserve"> </w:t>
      </w:r>
      <w:r w:rsidRPr="00552341">
        <w:rPr>
          <w:rFonts w:ascii="Trebuchet MS"/>
          <w:spacing w:val="-2"/>
          <w:w w:val="75"/>
          <w:sz w:val="16"/>
          <w:szCs w:val="16"/>
          <w:lang w:val="uk-UA"/>
        </w:rPr>
        <w:t>1.00]</w:t>
      </w:r>
    </w:p>
    <w:p w14:paraId="15791822" w14:textId="77777777" w:rsidR="00E05B98" w:rsidRPr="00552341" w:rsidRDefault="00B01E0C">
      <w:pPr>
        <w:spacing w:before="37"/>
        <w:ind w:left="348"/>
        <w:rPr>
          <w:rFonts w:ascii="Trebuchet MS"/>
          <w:sz w:val="16"/>
          <w:szCs w:val="16"/>
          <w:lang w:val="uk-UA"/>
        </w:rPr>
      </w:pPr>
      <w:r w:rsidRPr="00552341">
        <w:rPr>
          <w:rFonts w:ascii="Trebuchet MS"/>
          <w:w w:val="75"/>
          <w:sz w:val="16"/>
          <w:szCs w:val="16"/>
          <w:lang w:val="uk-UA"/>
        </w:rPr>
        <w:t>1.00</w:t>
      </w:r>
      <w:r w:rsidRPr="00552341">
        <w:rPr>
          <w:rFonts w:ascii="Trebuchet MS"/>
          <w:spacing w:val="14"/>
          <w:sz w:val="16"/>
          <w:szCs w:val="16"/>
          <w:lang w:val="uk-UA"/>
        </w:rPr>
        <w:t xml:space="preserve"> </w:t>
      </w:r>
      <w:r w:rsidRPr="00552341">
        <w:rPr>
          <w:rFonts w:ascii="Trebuchet MS"/>
          <w:w w:val="75"/>
          <w:sz w:val="16"/>
          <w:szCs w:val="16"/>
          <w:lang w:val="uk-UA"/>
        </w:rPr>
        <w:t>[0.40,</w:t>
      </w:r>
      <w:r w:rsidRPr="00552341">
        <w:rPr>
          <w:rFonts w:ascii="Trebuchet MS"/>
          <w:spacing w:val="20"/>
          <w:sz w:val="16"/>
          <w:szCs w:val="16"/>
          <w:lang w:val="uk-UA"/>
        </w:rPr>
        <w:t xml:space="preserve"> </w:t>
      </w:r>
      <w:r w:rsidRPr="00552341">
        <w:rPr>
          <w:rFonts w:ascii="Trebuchet MS"/>
          <w:spacing w:val="-2"/>
          <w:w w:val="75"/>
          <w:sz w:val="16"/>
          <w:szCs w:val="16"/>
          <w:lang w:val="uk-UA"/>
        </w:rPr>
        <w:t>1.00]</w:t>
      </w:r>
    </w:p>
    <w:p w14:paraId="619F9642" w14:textId="77777777" w:rsidR="00E05B98" w:rsidRPr="00552341" w:rsidRDefault="00B01E0C">
      <w:pPr>
        <w:spacing w:before="38"/>
        <w:ind w:left="348"/>
        <w:rPr>
          <w:rFonts w:ascii="Trebuchet MS"/>
          <w:sz w:val="16"/>
          <w:szCs w:val="16"/>
          <w:lang w:val="uk-UA"/>
        </w:rPr>
      </w:pPr>
      <w:r w:rsidRPr="00552341">
        <w:rPr>
          <w:rFonts w:ascii="Trebuchet MS"/>
          <w:w w:val="75"/>
          <w:sz w:val="16"/>
          <w:szCs w:val="16"/>
          <w:lang w:val="uk-UA"/>
        </w:rPr>
        <w:t>0.83</w:t>
      </w:r>
      <w:r w:rsidRPr="00552341">
        <w:rPr>
          <w:rFonts w:ascii="Trebuchet MS"/>
          <w:spacing w:val="14"/>
          <w:sz w:val="16"/>
          <w:szCs w:val="16"/>
          <w:lang w:val="uk-UA"/>
        </w:rPr>
        <w:t xml:space="preserve"> </w:t>
      </w:r>
      <w:r w:rsidRPr="00552341">
        <w:rPr>
          <w:rFonts w:ascii="Trebuchet MS"/>
          <w:w w:val="75"/>
          <w:sz w:val="16"/>
          <w:szCs w:val="16"/>
          <w:lang w:val="uk-UA"/>
        </w:rPr>
        <w:t>[0.61,</w:t>
      </w:r>
      <w:r w:rsidRPr="00552341">
        <w:rPr>
          <w:rFonts w:ascii="Trebuchet MS"/>
          <w:spacing w:val="20"/>
          <w:sz w:val="16"/>
          <w:szCs w:val="16"/>
          <w:lang w:val="uk-UA"/>
        </w:rPr>
        <w:t xml:space="preserve"> </w:t>
      </w:r>
      <w:r w:rsidRPr="00552341">
        <w:rPr>
          <w:rFonts w:ascii="Trebuchet MS"/>
          <w:spacing w:val="-2"/>
          <w:w w:val="75"/>
          <w:sz w:val="16"/>
          <w:szCs w:val="16"/>
          <w:lang w:val="uk-UA"/>
        </w:rPr>
        <w:t>0.95]</w:t>
      </w:r>
    </w:p>
    <w:p w14:paraId="42544DE0" w14:textId="77777777" w:rsidR="00E05B98" w:rsidRPr="00552341" w:rsidRDefault="00B01E0C">
      <w:pPr>
        <w:spacing w:before="38"/>
        <w:ind w:left="348"/>
        <w:rPr>
          <w:rFonts w:ascii="Trebuchet MS"/>
          <w:sz w:val="16"/>
          <w:szCs w:val="16"/>
          <w:lang w:val="uk-UA"/>
        </w:rPr>
      </w:pPr>
      <w:r w:rsidRPr="00552341">
        <w:rPr>
          <w:rFonts w:ascii="Trebuchet MS"/>
          <w:w w:val="75"/>
          <w:sz w:val="16"/>
          <w:szCs w:val="16"/>
          <w:lang w:val="uk-UA"/>
        </w:rPr>
        <w:t>0.81</w:t>
      </w:r>
      <w:r w:rsidRPr="00552341">
        <w:rPr>
          <w:rFonts w:ascii="Trebuchet MS"/>
          <w:spacing w:val="14"/>
          <w:sz w:val="16"/>
          <w:szCs w:val="16"/>
          <w:lang w:val="uk-UA"/>
        </w:rPr>
        <w:t xml:space="preserve"> </w:t>
      </w:r>
      <w:r w:rsidRPr="00552341">
        <w:rPr>
          <w:rFonts w:ascii="Trebuchet MS"/>
          <w:w w:val="75"/>
          <w:sz w:val="16"/>
          <w:szCs w:val="16"/>
          <w:lang w:val="uk-UA"/>
        </w:rPr>
        <w:t>[0.54,</w:t>
      </w:r>
      <w:r w:rsidRPr="00552341">
        <w:rPr>
          <w:rFonts w:ascii="Trebuchet MS"/>
          <w:spacing w:val="20"/>
          <w:sz w:val="16"/>
          <w:szCs w:val="16"/>
          <w:lang w:val="uk-UA"/>
        </w:rPr>
        <w:t xml:space="preserve"> </w:t>
      </w:r>
      <w:r w:rsidRPr="00552341">
        <w:rPr>
          <w:rFonts w:ascii="Trebuchet MS"/>
          <w:spacing w:val="-2"/>
          <w:w w:val="75"/>
          <w:sz w:val="16"/>
          <w:szCs w:val="16"/>
          <w:lang w:val="uk-UA"/>
        </w:rPr>
        <w:t>0.96]</w:t>
      </w:r>
    </w:p>
    <w:p w14:paraId="373C536E" w14:textId="77777777" w:rsidR="00E05B98" w:rsidRPr="00552341" w:rsidRDefault="00B01E0C">
      <w:pPr>
        <w:spacing w:before="38"/>
        <w:ind w:left="348"/>
        <w:rPr>
          <w:rFonts w:ascii="Trebuchet MS"/>
          <w:sz w:val="16"/>
          <w:szCs w:val="16"/>
          <w:lang w:val="uk-UA"/>
        </w:rPr>
      </w:pPr>
      <w:r w:rsidRPr="00552341">
        <w:rPr>
          <w:rFonts w:ascii="Trebuchet MS"/>
          <w:w w:val="75"/>
          <w:sz w:val="16"/>
          <w:szCs w:val="16"/>
          <w:lang w:val="uk-UA"/>
        </w:rPr>
        <w:t>0.78</w:t>
      </w:r>
      <w:r w:rsidRPr="00552341">
        <w:rPr>
          <w:rFonts w:ascii="Trebuchet MS"/>
          <w:spacing w:val="14"/>
          <w:sz w:val="16"/>
          <w:szCs w:val="16"/>
          <w:lang w:val="uk-UA"/>
        </w:rPr>
        <w:t xml:space="preserve"> </w:t>
      </w:r>
      <w:r w:rsidRPr="00552341">
        <w:rPr>
          <w:rFonts w:ascii="Trebuchet MS"/>
          <w:w w:val="75"/>
          <w:sz w:val="16"/>
          <w:szCs w:val="16"/>
          <w:lang w:val="uk-UA"/>
        </w:rPr>
        <w:t>[0.62,</w:t>
      </w:r>
      <w:r w:rsidRPr="00552341">
        <w:rPr>
          <w:rFonts w:ascii="Trebuchet MS"/>
          <w:spacing w:val="20"/>
          <w:sz w:val="16"/>
          <w:szCs w:val="16"/>
          <w:lang w:val="uk-UA"/>
        </w:rPr>
        <w:t xml:space="preserve"> </w:t>
      </w:r>
      <w:r w:rsidRPr="00552341">
        <w:rPr>
          <w:rFonts w:ascii="Trebuchet MS"/>
          <w:spacing w:val="-2"/>
          <w:w w:val="75"/>
          <w:sz w:val="16"/>
          <w:szCs w:val="16"/>
          <w:lang w:val="uk-UA"/>
        </w:rPr>
        <w:t>0.89]</w:t>
      </w:r>
    </w:p>
    <w:p w14:paraId="205980A0" w14:textId="77777777" w:rsidR="00E05B98" w:rsidRPr="00552341" w:rsidRDefault="00B01E0C">
      <w:pPr>
        <w:spacing w:before="37"/>
        <w:ind w:left="348"/>
        <w:rPr>
          <w:rFonts w:ascii="Trebuchet MS"/>
          <w:sz w:val="16"/>
          <w:szCs w:val="16"/>
          <w:lang w:val="uk-UA"/>
        </w:rPr>
      </w:pPr>
      <w:r w:rsidRPr="00552341">
        <w:rPr>
          <w:rFonts w:ascii="Trebuchet MS"/>
          <w:w w:val="75"/>
          <w:sz w:val="16"/>
          <w:szCs w:val="16"/>
          <w:lang w:val="uk-UA"/>
        </w:rPr>
        <w:t>0.75</w:t>
      </w:r>
      <w:r w:rsidRPr="00552341">
        <w:rPr>
          <w:rFonts w:ascii="Trebuchet MS"/>
          <w:spacing w:val="14"/>
          <w:sz w:val="16"/>
          <w:szCs w:val="16"/>
          <w:lang w:val="uk-UA"/>
        </w:rPr>
        <w:t xml:space="preserve"> </w:t>
      </w:r>
      <w:r w:rsidRPr="00552341">
        <w:rPr>
          <w:rFonts w:ascii="Trebuchet MS"/>
          <w:w w:val="75"/>
          <w:sz w:val="16"/>
          <w:szCs w:val="16"/>
          <w:lang w:val="uk-UA"/>
        </w:rPr>
        <w:t>[0.19,</w:t>
      </w:r>
      <w:r w:rsidRPr="00552341">
        <w:rPr>
          <w:rFonts w:ascii="Trebuchet MS"/>
          <w:spacing w:val="20"/>
          <w:sz w:val="16"/>
          <w:szCs w:val="16"/>
          <w:lang w:val="uk-UA"/>
        </w:rPr>
        <w:t xml:space="preserve"> </w:t>
      </w:r>
      <w:r w:rsidRPr="00552341">
        <w:rPr>
          <w:rFonts w:ascii="Trebuchet MS"/>
          <w:spacing w:val="-2"/>
          <w:w w:val="75"/>
          <w:sz w:val="16"/>
          <w:szCs w:val="16"/>
          <w:lang w:val="uk-UA"/>
        </w:rPr>
        <w:t>0.99]</w:t>
      </w:r>
    </w:p>
    <w:p w14:paraId="24A82F8D" w14:textId="77777777" w:rsidR="00E05B98" w:rsidRPr="00552341" w:rsidRDefault="00B01E0C">
      <w:pPr>
        <w:spacing w:before="38"/>
        <w:ind w:left="348"/>
        <w:rPr>
          <w:rFonts w:ascii="Trebuchet MS"/>
          <w:sz w:val="16"/>
          <w:szCs w:val="16"/>
          <w:lang w:val="uk-UA"/>
        </w:rPr>
      </w:pPr>
      <w:r w:rsidRPr="00552341">
        <w:rPr>
          <w:rFonts w:ascii="Trebuchet MS"/>
          <w:w w:val="75"/>
          <w:sz w:val="16"/>
          <w:szCs w:val="16"/>
          <w:lang w:val="uk-UA"/>
        </w:rPr>
        <w:t>0.72</w:t>
      </w:r>
      <w:r w:rsidRPr="00552341">
        <w:rPr>
          <w:rFonts w:ascii="Trebuchet MS"/>
          <w:spacing w:val="14"/>
          <w:sz w:val="16"/>
          <w:szCs w:val="16"/>
          <w:lang w:val="uk-UA"/>
        </w:rPr>
        <w:t xml:space="preserve"> </w:t>
      </w:r>
      <w:r w:rsidRPr="00552341">
        <w:rPr>
          <w:rFonts w:ascii="Trebuchet MS"/>
          <w:w w:val="75"/>
          <w:sz w:val="16"/>
          <w:szCs w:val="16"/>
          <w:lang w:val="uk-UA"/>
        </w:rPr>
        <w:t>[0.51,</w:t>
      </w:r>
      <w:r w:rsidRPr="00552341">
        <w:rPr>
          <w:rFonts w:ascii="Trebuchet MS"/>
          <w:spacing w:val="20"/>
          <w:sz w:val="16"/>
          <w:szCs w:val="16"/>
          <w:lang w:val="uk-UA"/>
        </w:rPr>
        <w:t xml:space="preserve"> </w:t>
      </w:r>
      <w:r w:rsidRPr="00552341">
        <w:rPr>
          <w:rFonts w:ascii="Trebuchet MS"/>
          <w:spacing w:val="-2"/>
          <w:w w:val="75"/>
          <w:sz w:val="16"/>
          <w:szCs w:val="16"/>
          <w:lang w:val="uk-UA"/>
        </w:rPr>
        <w:t>0.88]</w:t>
      </w:r>
    </w:p>
    <w:p w14:paraId="6334FB41" w14:textId="77777777" w:rsidR="00E05B98" w:rsidRPr="00552341" w:rsidRDefault="00B01E0C">
      <w:pPr>
        <w:spacing w:before="38"/>
        <w:ind w:left="348"/>
        <w:rPr>
          <w:rFonts w:ascii="Trebuchet MS"/>
          <w:sz w:val="16"/>
          <w:szCs w:val="16"/>
          <w:lang w:val="uk-UA"/>
        </w:rPr>
      </w:pPr>
      <w:r w:rsidRPr="00552341">
        <w:rPr>
          <w:rFonts w:ascii="Trebuchet MS"/>
          <w:w w:val="75"/>
          <w:sz w:val="16"/>
          <w:szCs w:val="16"/>
          <w:lang w:val="uk-UA"/>
        </w:rPr>
        <w:t>0.56</w:t>
      </w:r>
      <w:r w:rsidRPr="00552341">
        <w:rPr>
          <w:rFonts w:ascii="Trebuchet MS"/>
          <w:spacing w:val="14"/>
          <w:sz w:val="16"/>
          <w:szCs w:val="16"/>
          <w:lang w:val="uk-UA"/>
        </w:rPr>
        <w:t xml:space="preserve"> </w:t>
      </w:r>
      <w:r w:rsidRPr="00552341">
        <w:rPr>
          <w:rFonts w:ascii="Trebuchet MS"/>
          <w:w w:val="75"/>
          <w:sz w:val="16"/>
          <w:szCs w:val="16"/>
          <w:lang w:val="uk-UA"/>
        </w:rPr>
        <w:t>[0.30,</w:t>
      </w:r>
      <w:r w:rsidRPr="00552341">
        <w:rPr>
          <w:rFonts w:ascii="Trebuchet MS"/>
          <w:spacing w:val="20"/>
          <w:sz w:val="16"/>
          <w:szCs w:val="16"/>
          <w:lang w:val="uk-UA"/>
        </w:rPr>
        <w:t xml:space="preserve"> </w:t>
      </w:r>
      <w:r w:rsidRPr="00552341">
        <w:rPr>
          <w:rFonts w:ascii="Trebuchet MS"/>
          <w:spacing w:val="-2"/>
          <w:w w:val="75"/>
          <w:sz w:val="16"/>
          <w:szCs w:val="16"/>
          <w:lang w:val="uk-UA"/>
        </w:rPr>
        <w:t>0.80]</w:t>
      </w:r>
    </w:p>
    <w:p w14:paraId="0297CDF3" w14:textId="77777777" w:rsidR="00E05B98" w:rsidRPr="00552341" w:rsidRDefault="00B01E0C">
      <w:pPr>
        <w:spacing w:before="38"/>
        <w:ind w:left="348"/>
        <w:rPr>
          <w:rFonts w:ascii="Trebuchet MS"/>
          <w:sz w:val="16"/>
          <w:szCs w:val="16"/>
          <w:lang w:val="uk-UA"/>
        </w:rPr>
      </w:pPr>
      <w:r w:rsidRPr="00552341">
        <w:rPr>
          <w:rFonts w:ascii="Trebuchet MS"/>
          <w:w w:val="75"/>
          <w:sz w:val="16"/>
          <w:szCs w:val="16"/>
          <w:lang w:val="uk-UA"/>
        </w:rPr>
        <w:t>0.55</w:t>
      </w:r>
      <w:r w:rsidRPr="00552341">
        <w:rPr>
          <w:rFonts w:ascii="Trebuchet MS"/>
          <w:spacing w:val="14"/>
          <w:sz w:val="16"/>
          <w:szCs w:val="16"/>
          <w:lang w:val="uk-UA"/>
        </w:rPr>
        <w:t xml:space="preserve"> </w:t>
      </w:r>
      <w:r w:rsidRPr="00552341">
        <w:rPr>
          <w:rFonts w:ascii="Trebuchet MS"/>
          <w:w w:val="75"/>
          <w:sz w:val="16"/>
          <w:szCs w:val="16"/>
          <w:lang w:val="uk-UA"/>
        </w:rPr>
        <w:t>[0.32,</w:t>
      </w:r>
      <w:r w:rsidRPr="00552341">
        <w:rPr>
          <w:rFonts w:ascii="Trebuchet MS"/>
          <w:spacing w:val="20"/>
          <w:sz w:val="16"/>
          <w:szCs w:val="16"/>
          <w:lang w:val="uk-UA"/>
        </w:rPr>
        <w:t xml:space="preserve"> </w:t>
      </w:r>
      <w:r w:rsidRPr="00552341">
        <w:rPr>
          <w:rFonts w:ascii="Trebuchet MS"/>
          <w:spacing w:val="-2"/>
          <w:w w:val="75"/>
          <w:sz w:val="16"/>
          <w:szCs w:val="16"/>
          <w:lang w:val="uk-UA"/>
        </w:rPr>
        <w:t>0.77]</w:t>
      </w:r>
    </w:p>
    <w:p w14:paraId="14C494E2" w14:textId="77777777" w:rsidR="00E05B98" w:rsidRPr="00552341" w:rsidRDefault="00B01E0C">
      <w:pPr>
        <w:spacing w:before="38"/>
        <w:ind w:left="348"/>
        <w:rPr>
          <w:rFonts w:ascii="Trebuchet MS"/>
          <w:sz w:val="16"/>
          <w:szCs w:val="16"/>
          <w:lang w:val="uk-UA"/>
        </w:rPr>
      </w:pPr>
      <w:r w:rsidRPr="00552341">
        <w:rPr>
          <w:rFonts w:ascii="Trebuchet MS"/>
          <w:w w:val="75"/>
          <w:sz w:val="16"/>
          <w:szCs w:val="16"/>
          <w:lang w:val="uk-UA"/>
        </w:rPr>
        <w:t>0.50</w:t>
      </w:r>
      <w:r w:rsidRPr="00552341">
        <w:rPr>
          <w:rFonts w:ascii="Trebuchet MS"/>
          <w:spacing w:val="14"/>
          <w:sz w:val="16"/>
          <w:szCs w:val="16"/>
          <w:lang w:val="uk-UA"/>
        </w:rPr>
        <w:t xml:space="preserve"> </w:t>
      </w:r>
      <w:r w:rsidRPr="00552341">
        <w:rPr>
          <w:rFonts w:ascii="Trebuchet MS"/>
          <w:w w:val="75"/>
          <w:sz w:val="16"/>
          <w:szCs w:val="16"/>
          <w:lang w:val="uk-UA"/>
        </w:rPr>
        <w:t>[0.07,</w:t>
      </w:r>
      <w:r w:rsidRPr="00552341">
        <w:rPr>
          <w:rFonts w:ascii="Trebuchet MS"/>
          <w:spacing w:val="20"/>
          <w:sz w:val="16"/>
          <w:szCs w:val="16"/>
          <w:lang w:val="uk-UA"/>
        </w:rPr>
        <w:t xml:space="preserve"> </w:t>
      </w:r>
      <w:r w:rsidRPr="00552341">
        <w:rPr>
          <w:rFonts w:ascii="Trebuchet MS"/>
          <w:spacing w:val="-2"/>
          <w:w w:val="75"/>
          <w:sz w:val="16"/>
          <w:szCs w:val="16"/>
          <w:lang w:val="uk-UA"/>
        </w:rPr>
        <w:t>0.93]</w:t>
      </w:r>
    </w:p>
    <w:p w14:paraId="54905F05" w14:textId="77777777" w:rsidR="00E05B98" w:rsidRPr="00552341" w:rsidRDefault="00B01E0C">
      <w:pPr>
        <w:spacing w:before="37"/>
        <w:ind w:left="348"/>
        <w:rPr>
          <w:rFonts w:ascii="Trebuchet MS"/>
          <w:sz w:val="16"/>
          <w:szCs w:val="16"/>
          <w:lang w:val="uk-UA"/>
        </w:rPr>
      </w:pPr>
      <w:r w:rsidRPr="00552341">
        <w:rPr>
          <w:rFonts w:ascii="Trebuchet MS"/>
          <w:w w:val="75"/>
          <w:sz w:val="16"/>
          <w:szCs w:val="16"/>
          <w:lang w:val="uk-UA"/>
        </w:rPr>
        <w:t>0.46</w:t>
      </w:r>
      <w:r w:rsidRPr="00552341">
        <w:rPr>
          <w:rFonts w:ascii="Trebuchet MS"/>
          <w:spacing w:val="14"/>
          <w:sz w:val="16"/>
          <w:szCs w:val="16"/>
          <w:lang w:val="uk-UA"/>
        </w:rPr>
        <w:t xml:space="preserve"> </w:t>
      </w:r>
      <w:r w:rsidRPr="00552341">
        <w:rPr>
          <w:rFonts w:ascii="Trebuchet MS"/>
          <w:w w:val="75"/>
          <w:sz w:val="16"/>
          <w:szCs w:val="16"/>
          <w:lang w:val="uk-UA"/>
        </w:rPr>
        <w:t>[0.19,</w:t>
      </w:r>
      <w:r w:rsidRPr="00552341">
        <w:rPr>
          <w:rFonts w:ascii="Trebuchet MS"/>
          <w:spacing w:val="20"/>
          <w:sz w:val="16"/>
          <w:szCs w:val="16"/>
          <w:lang w:val="uk-UA"/>
        </w:rPr>
        <w:t xml:space="preserve"> </w:t>
      </w:r>
      <w:r w:rsidRPr="00552341">
        <w:rPr>
          <w:rFonts w:ascii="Trebuchet MS"/>
          <w:spacing w:val="-2"/>
          <w:w w:val="75"/>
          <w:sz w:val="16"/>
          <w:szCs w:val="16"/>
          <w:lang w:val="uk-UA"/>
        </w:rPr>
        <w:t>0.75]</w:t>
      </w:r>
    </w:p>
    <w:p w14:paraId="419A2725" w14:textId="77777777" w:rsidR="00E05B98" w:rsidRPr="00552341" w:rsidRDefault="00B01E0C">
      <w:pPr>
        <w:spacing w:before="38"/>
        <w:ind w:left="348"/>
        <w:rPr>
          <w:rFonts w:ascii="Trebuchet MS"/>
          <w:sz w:val="16"/>
          <w:szCs w:val="16"/>
          <w:lang w:val="uk-UA"/>
        </w:rPr>
      </w:pPr>
      <w:r w:rsidRPr="00552341">
        <w:rPr>
          <w:rFonts w:ascii="Trebuchet MS"/>
          <w:w w:val="75"/>
          <w:sz w:val="16"/>
          <w:szCs w:val="16"/>
          <w:lang w:val="uk-UA"/>
        </w:rPr>
        <w:t>0.00</w:t>
      </w:r>
      <w:r w:rsidRPr="00552341">
        <w:rPr>
          <w:rFonts w:ascii="Trebuchet MS"/>
          <w:spacing w:val="14"/>
          <w:sz w:val="16"/>
          <w:szCs w:val="16"/>
          <w:lang w:val="uk-UA"/>
        </w:rPr>
        <w:t xml:space="preserve"> </w:t>
      </w:r>
      <w:r w:rsidRPr="00552341">
        <w:rPr>
          <w:rFonts w:ascii="Trebuchet MS"/>
          <w:w w:val="75"/>
          <w:sz w:val="16"/>
          <w:szCs w:val="16"/>
          <w:lang w:val="uk-UA"/>
        </w:rPr>
        <w:t>[0.00,</w:t>
      </w:r>
      <w:r w:rsidRPr="00552341">
        <w:rPr>
          <w:rFonts w:ascii="Trebuchet MS"/>
          <w:spacing w:val="20"/>
          <w:sz w:val="16"/>
          <w:szCs w:val="16"/>
          <w:lang w:val="uk-UA"/>
        </w:rPr>
        <w:t xml:space="preserve"> </w:t>
      </w:r>
      <w:r w:rsidRPr="00552341">
        <w:rPr>
          <w:rFonts w:ascii="Trebuchet MS"/>
          <w:spacing w:val="-2"/>
          <w:w w:val="75"/>
          <w:sz w:val="16"/>
          <w:szCs w:val="16"/>
          <w:lang w:val="uk-UA"/>
        </w:rPr>
        <w:t>0.97]</w:t>
      </w:r>
    </w:p>
    <w:p w14:paraId="51DC9899" w14:textId="77777777" w:rsidR="00E05B98" w:rsidRPr="00552341" w:rsidRDefault="00B01E0C">
      <w:pPr>
        <w:spacing w:before="109"/>
        <w:ind w:left="75"/>
        <w:rPr>
          <w:rFonts w:ascii="Trebuchet MS"/>
          <w:sz w:val="16"/>
          <w:szCs w:val="16"/>
          <w:lang w:val="uk-UA"/>
        </w:rPr>
      </w:pPr>
      <w:r w:rsidRPr="00552341">
        <w:rPr>
          <w:sz w:val="16"/>
          <w:szCs w:val="16"/>
          <w:lang w:val="uk-UA"/>
        </w:rPr>
        <w:br w:type="column"/>
      </w:r>
      <w:r w:rsidRPr="00552341">
        <w:rPr>
          <w:rFonts w:ascii="Trebuchet MS"/>
          <w:color w:val="333333"/>
          <w:w w:val="80"/>
          <w:sz w:val="16"/>
          <w:szCs w:val="16"/>
          <w:lang w:val="uk-UA"/>
        </w:rPr>
        <w:t>S</w:t>
      </w:r>
      <w:r w:rsidRPr="00552341">
        <w:rPr>
          <w:rFonts w:ascii="Trebuchet MS"/>
          <w:color w:val="333333"/>
          <w:spacing w:val="-6"/>
          <w:w w:val="80"/>
          <w:sz w:val="16"/>
          <w:szCs w:val="16"/>
          <w:lang w:val="uk-UA"/>
        </w:rPr>
        <w:t xml:space="preserve"> </w:t>
      </w:r>
      <w:proofErr w:type="spellStart"/>
      <w:r w:rsidRPr="00552341">
        <w:rPr>
          <w:rFonts w:ascii="Trebuchet MS"/>
          <w:color w:val="333333"/>
          <w:w w:val="80"/>
          <w:sz w:val="16"/>
          <w:szCs w:val="16"/>
          <w:lang w:val="uk-UA"/>
        </w:rPr>
        <w:t>pec</w:t>
      </w:r>
      <w:proofErr w:type="spellEnd"/>
      <w:r w:rsidRPr="00552341">
        <w:rPr>
          <w:rFonts w:ascii="Trebuchet MS"/>
          <w:color w:val="333333"/>
          <w:spacing w:val="-20"/>
          <w:w w:val="80"/>
          <w:sz w:val="16"/>
          <w:szCs w:val="16"/>
          <w:lang w:val="uk-UA"/>
        </w:rPr>
        <w:t xml:space="preserve"> </w:t>
      </w:r>
      <w:proofErr w:type="spellStart"/>
      <w:r w:rsidRPr="00552341">
        <w:rPr>
          <w:rFonts w:ascii="Trebuchet MS"/>
          <w:color w:val="333333"/>
          <w:w w:val="80"/>
          <w:sz w:val="16"/>
          <w:szCs w:val="16"/>
          <w:lang w:val="uk-UA"/>
        </w:rPr>
        <w:t>ific</w:t>
      </w:r>
      <w:proofErr w:type="spellEnd"/>
      <w:r w:rsidRPr="00552341">
        <w:rPr>
          <w:rFonts w:ascii="Trebuchet MS"/>
          <w:color w:val="333333"/>
          <w:spacing w:val="-20"/>
          <w:w w:val="80"/>
          <w:sz w:val="16"/>
          <w:szCs w:val="16"/>
          <w:lang w:val="uk-UA"/>
        </w:rPr>
        <w:t xml:space="preserve"> </w:t>
      </w:r>
      <w:proofErr w:type="spellStart"/>
      <w:r w:rsidRPr="00552341">
        <w:rPr>
          <w:rFonts w:ascii="Trebuchet MS"/>
          <w:color w:val="333333"/>
          <w:w w:val="80"/>
          <w:sz w:val="16"/>
          <w:szCs w:val="16"/>
          <w:lang w:val="uk-UA"/>
        </w:rPr>
        <w:t>ity</w:t>
      </w:r>
      <w:proofErr w:type="spellEnd"/>
      <w:r w:rsidRPr="00552341">
        <w:rPr>
          <w:rFonts w:ascii="Trebuchet MS"/>
          <w:color w:val="333333"/>
          <w:spacing w:val="22"/>
          <w:sz w:val="16"/>
          <w:szCs w:val="16"/>
          <w:lang w:val="uk-UA"/>
        </w:rPr>
        <w:t xml:space="preserve"> </w:t>
      </w:r>
      <w:r w:rsidRPr="00552341">
        <w:rPr>
          <w:rFonts w:ascii="Trebuchet MS"/>
          <w:color w:val="333333"/>
          <w:w w:val="80"/>
          <w:sz w:val="16"/>
          <w:szCs w:val="16"/>
          <w:lang w:val="uk-UA"/>
        </w:rPr>
        <w:t>(95%</w:t>
      </w:r>
      <w:r w:rsidRPr="00552341">
        <w:rPr>
          <w:rFonts w:ascii="Trebuchet MS"/>
          <w:color w:val="333333"/>
          <w:spacing w:val="24"/>
          <w:sz w:val="16"/>
          <w:szCs w:val="16"/>
          <w:lang w:val="uk-UA"/>
        </w:rPr>
        <w:t xml:space="preserve"> </w:t>
      </w:r>
      <w:r w:rsidRPr="00552341">
        <w:rPr>
          <w:rFonts w:ascii="Trebuchet MS"/>
          <w:color w:val="333333"/>
          <w:w w:val="80"/>
          <w:sz w:val="16"/>
          <w:szCs w:val="16"/>
          <w:lang w:val="uk-UA"/>
        </w:rPr>
        <w:t>C</w:t>
      </w:r>
      <w:r w:rsidRPr="00552341">
        <w:rPr>
          <w:rFonts w:ascii="Trebuchet MS"/>
          <w:color w:val="333333"/>
          <w:spacing w:val="-12"/>
          <w:w w:val="80"/>
          <w:sz w:val="16"/>
          <w:szCs w:val="16"/>
          <w:lang w:val="uk-UA"/>
        </w:rPr>
        <w:t xml:space="preserve"> </w:t>
      </w:r>
      <w:r w:rsidRPr="00552341">
        <w:rPr>
          <w:rFonts w:ascii="Trebuchet MS"/>
          <w:color w:val="333333"/>
          <w:spacing w:val="-5"/>
          <w:w w:val="80"/>
          <w:sz w:val="16"/>
          <w:szCs w:val="16"/>
          <w:lang w:val="uk-UA"/>
        </w:rPr>
        <w:t>I)</w:t>
      </w:r>
    </w:p>
    <w:p w14:paraId="16D6FD7A" w14:textId="77777777" w:rsidR="00E05B98" w:rsidRPr="00552341" w:rsidRDefault="00B01E0C">
      <w:pPr>
        <w:spacing w:before="69"/>
        <w:ind w:left="323"/>
        <w:rPr>
          <w:rFonts w:ascii="Trebuchet MS"/>
          <w:sz w:val="16"/>
          <w:szCs w:val="16"/>
          <w:lang w:val="uk-UA"/>
        </w:rPr>
      </w:pPr>
      <w:r w:rsidRPr="00552341">
        <w:rPr>
          <w:rFonts w:ascii="Trebuchet MS"/>
          <w:w w:val="75"/>
          <w:sz w:val="16"/>
          <w:szCs w:val="16"/>
          <w:lang w:val="uk-UA"/>
        </w:rPr>
        <w:t>0.68</w:t>
      </w:r>
      <w:r w:rsidRPr="00552341">
        <w:rPr>
          <w:rFonts w:ascii="Trebuchet MS"/>
          <w:spacing w:val="14"/>
          <w:sz w:val="16"/>
          <w:szCs w:val="16"/>
          <w:lang w:val="uk-UA"/>
        </w:rPr>
        <w:t xml:space="preserve"> </w:t>
      </w:r>
      <w:r w:rsidRPr="00552341">
        <w:rPr>
          <w:rFonts w:ascii="Trebuchet MS"/>
          <w:w w:val="75"/>
          <w:sz w:val="16"/>
          <w:szCs w:val="16"/>
          <w:lang w:val="uk-UA"/>
        </w:rPr>
        <w:t>[0.43,</w:t>
      </w:r>
      <w:r w:rsidRPr="00552341">
        <w:rPr>
          <w:rFonts w:ascii="Trebuchet MS"/>
          <w:spacing w:val="20"/>
          <w:sz w:val="16"/>
          <w:szCs w:val="16"/>
          <w:lang w:val="uk-UA"/>
        </w:rPr>
        <w:t xml:space="preserve"> </w:t>
      </w:r>
      <w:r w:rsidRPr="00552341">
        <w:rPr>
          <w:rFonts w:ascii="Trebuchet MS"/>
          <w:spacing w:val="-2"/>
          <w:w w:val="75"/>
          <w:sz w:val="16"/>
          <w:szCs w:val="16"/>
          <w:lang w:val="uk-UA"/>
        </w:rPr>
        <w:t>0.87]</w:t>
      </w:r>
    </w:p>
    <w:p w14:paraId="50C6E745" w14:textId="77777777" w:rsidR="00E05B98" w:rsidRPr="00552341" w:rsidRDefault="00B01E0C">
      <w:pPr>
        <w:spacing w:before="38"/>
        <w:ind w:left="323"/>
        <w:rPr>
          <w:rFonts w:ascii="Trebuchet MS"/>
          <w:sz w:val="16"/>
          <w:szCs w:val="16"/>
          <w:lang w:val="uk-UA"/>
        </w:rPr>
      </w:pPr>
      <w:r w:rsidRPr="00552341">
        <w:rPr>
          <w:rFonts w:ascii="Trebuchet MS"/>
          <w:w w:val="75"/>
          <w:sz w:val="16"/>
          <w:szCs w:val="16"/>
          <w:lang w:val="uk-UA"/>
        </w:rPr>
        <w:t>1.00</w:t>
      </w:r>
      <w:r w:rsidRPr="00552341">
        <w:rPr>
          <w:rFonts w:ascii="Trebuchet MS"/>
          <w:spacing w:val="14"/>
          <w:sz w:val="16"/>
          <w:szCs w:val="16"/>
          <w:lang w:val="uk-UA"/>
        </w:rPr>
        <w:t xml:space="preserve"> </w:t>
      </w:r>
      <w:r w:rsidRPr="00552341">
        <w:rPr>
          <w:rFonts w:ascii="Trebuchet MS"/>
          <w:w w:val="75"/>
          <w:sz w:val="16"/>
          <w:szCs w:val="16"/>
          <w:lang w:val="uk-UA"/>
        </w:rPr>
        <w:t>[0.97,</w:t>
      </w:r>
      <w:r w:rsidRPr="00552341">
        <w:rPr>
          <w:rFonts w:ascii="Trebuchet MS"/>
          <w:spacing w:val="20"/>
          <w:sz w:val="16"/>
          <w:szCs w:val="16"/>
          <w:lang w:val="uk-UA"/>
        </w:rPr>
        <w:t xml:space="preserve"> </w:t>
      </w:r>
      <w:r w:rsidRPr="00552341">
        <w:rPr>
          <w:rFonts w:ascii="Trebuchet MS"/>
          <w:spacing w:val="-2"/>
          <w:w w:val="75"/>
          <w:sz w:val="16"/>
          <w:szCs w:val="16"/>
          <w:lang w:val="uk-UA"/>
        </w:rPr>
        <w:t>1.00]</w:t>
      </w:r>
    </w:p>
    <w:p w14:paraId="79A31383" w14:textId="77777777" w:rsidR="00E05B98" w:rsidRPr="00552341" w:rsidRDefault="00B01E0C">
      <w:pPr>
        <w:spacing w:before="38"/>
        <w:ind w:left="323"/>
        <w:rPr>
          <w:rFonts w:ascii="Trebuchet MS"/>
          <w:sz w:val="16"/>
          <w:szCs w:val="16"/>
          <w:lang w:val="uk-UA"/>
        </w:rPr>
      </w:pPr>
      <w:r w:rsidRPr="00552341">
        <w:rPr>
          <w:rFonts w:ascii="Trebuchet MS"/>
          <w:w w:val="75"/>
          <w:sz w:val="16"/>
          <w:szCs w:val="16"/>
          <w:lang w:val="uk-UA"/>
        </w:rPr>
        <w:t>0.77</w:t>
      </w:r>
      <w:r w:rsidRPr="00552341">
        <w:rPr>
          <w:rFonts w:ascii="Trebuchet MS"/>
          <w:spacing w:val="14"/>
          <w:sz w:val="16"/>
          <w:szCs w:val="16"/>
          <w:lang w:val="uk-UA"/>
        </w:rPr>
        <w:t xml:space="preserve"> </w:t>
      </w:r>
      <w:r w:rsidRPr="00552341">
        <w:rPr>
          <w:rFonts w:ascii="Trebuchet MS"/>
          <w:w w:val="75"/>
          <w:sz w:val="16"/>
          <w:szCs w:val="16"/>
          <w:lang w:val="uk-UA"/>
        </w:rPr>
        <w:t>[0.61,</w:t>
      </w:r>
      <w:r w:rsidRPr="00552341">
        <w:rPr>
          <w:rFonts w:ascii="Trebuchet MS"/>
          <w:spacing w:val="20"/>
          <w:sz w:val="16"/>
          <w:szCs w:val="16"/>
          <w:lang w:val="uk-UA"/>
        </w:rPr>
        <w:t xml:space="preserve"> </w:t>
      </w:r>
      <w:r w:rsidRPr="00552341">
        <w:rPr>
          <w:rFonts w:ascii="Trebuchet MS"/>
          <w:spacing w:val="-2"/>
          <w:w w:val="75"/>
          <w:sz w:val="16"/>
          <w:szCs w:val="16"/>
          <w:lang w:val="uk-UA"/>
        </w:rPr>
        <w:t>0.88]</w:t>
      </w:r>
    </w:p>
    <w:p w14:paraId="00307371" w14:textId="77777777" w:rsidR="00E05B98" w:rsidRPr="00552341" w:rsidRDefault="00B01E0C">
      <w:pPr>
        <w:spacing w:before="37"/>
        <w:ind w:left="323"/>
        <w:rPr>
          <w:rFonts w:ascii="Trebuchet MS"/>
          <w:sz w:val="16"/>
          <w:szCs w:val="16"/>
          <w:lang w:val="uk-UA"/>
        </w:rPr>
      </w:pPr>
      <w:r w:rsidRPr="00552341">
        <w:rPr>
          <w:rFonts w:ascii="Trebuchet MS"/>
          <w:w w:val="75"/>
          <w:sz w:val="16"/>
          <w:szCs w:val="16"/>
          <w:lang w:val="uk-UA"/>
        </w:rPr>
        <w:t>0.76</w:t>
      </w:r>
      <w:r w:rsidRPr="00552341">
        <w:rPr>
          <w:rFonts w:ascii="Trebuchet MS"/>
          <w:spacing w:val="14"/>
          <w:sz w:val="16"/>
          <w:szCs w:val="16"/>
          <w:lang w:val="uk-UA"/>
        </w:rPr>
        <w:t xml:space="preserve"> </w:t>
      </w:r>
      <w:r w:rsidRPr="00552341">
        <w:rPr>
          <w:rFonts w:ascii="Trebuchet MS"/>
          <w:w w:val="75"/>
          <w:sz w:val="16"/>
          <w:szCs w:val="16"/>
          <w:lang w:val="uk-UA"/>
        </w:rPr>
        <w:t>[0.53,</w:t>
      </w:r>
      <w:r w:rsidRPr="00552341">
        <w:rPr>
          <w:rFonts w:ascii="Trebuchet MS"/>
          <w:spacing w:val="20"/>
          <w:sz w:val="16"/>
          <w:szCs w:val="16"/>
          <w:lang w:val="uk-UA"/>
        </w:rPr>
        <w:t xml:space="preserve"> </w:t>
      </w:r>
      <w:r w:rsidRPr="00552341">
        <w:rPr>
          <w:rFonts w:ascii="Trebuchet MS"/>
          <w:spacing w:val="-2"/>
          <w:w w:val="75"/>
          <w:sz w:val="16"/>
          <w:szCs w:val="16"/>
          <w:lang w:val="uk-UA"/>
        </w:rPr>
        <w:t>0.92]</w:t>
      </w:r>
    </w:p>
    <w:p w14:paraId="5DC96A6D" w14:textId="77777777" w:rsidR="00E05B98" w:rsidRPr="00552341" w:rsidRDefault="00B01E0C">
      <w:pPr>
        <w:spacing w:before="38"/>
        <w:ind w:left="323"/>
        <w:rPr>
          <w:rFonts w:ascii="Trebuchet MS"/>
          <w:sz w:val="16"/>
          <w:szCs w:val="16"/>
          <w:lang w:val="uk-UA"/>
        </w:rPr>
      </w:pPr>
      <w:r w:rsidRPr="00552341">
        <w:rPr>
          <w:rFonts w:ascii="Trebuchet MS"/>
          <w:w w:val="75"/>
          <w:sz w:val="16"/>
          <w:szCs w:val="16"/>
          <w:lang w:val="uk-UA"/>
        </w:rPr>
        <w:t>0.99</w:t>
      </w:r>
      <w:r w:rsidRPr="00552341">
        <w:rPr>
          <w:rFonts w:ascii="Trebuchet MS"/>
          <w:spacing w:val="14"/>
          <w:sz w:val="16"/>
          <w:szCs w:val="16"/>
          <w:lang w:val="uk-UA"/>
        </w:rPr>
        <w:t xml:space="preserve"> </w:t>
      </w:r>
      <w:r w:rsidRPr="00552341">
        <w:rPr>
          <w:rFonts w:ascii="Trebuchet MS"/>
          <w:w w:val="75"/>
          <w:sz w:val="16"/>
          <w:szCs w:val="16"/>
          <w:lang w:val="uk-UA"/>
        </w:rPr>
        <w:t>[0.98,</w:t>
      </w:r>
      <w:r w:rsidRPr="00552341">
        <w:rPr>
          <w:rFonts w:ascii="Trebuchet MS"/>
          <w:spacing w:val="20"/>
          <w:sz w:val="16"/>
          <w:szCs w:val="16"/>
          <w:lang w:val="uk-UA"/>
        </w:rPr>
        <w:t xml:space="preserve"> </w:t>
      </w:r>
      <w:r w:rsidRPr="00552341">
        <w:rPr>
          <w:rFonts w:ascii="Trebuchet MS"/>
          <w:spacing w:val="-2"/>
          <w:w w:val="75"/>
          <w:sz w:val="16"/>
          <w:szCs w:val="16"/>
          <w:lang w:val="uk-UA"/>
        </w:rPr>
        <w:t>0.99]</w:t>
      </w:r>
    </w:p>
    <w:p w14:paraId="1304B02B" w14:textId="77777777" w:rsidR="00E05B98" w:rsidRPr="00552341" w:rsidRDefault="00B01E0C">
      <w:pPr>
        <w:spacing w:before="38"/>
        <w:ind w:left="323"/>
        <w:rPr>
          <w:rFonts w:ascii="Trebuchet MS"/>
          <w:sz w:val="16"/>
          <w:szCs w:val="16"/>
          <w:lang w:val="uk-UA"/>
        </w:rPr>
      </w:pPr>
      <w:r w:rsidRPr="00552341">
        <w:rPr>
          <w:rFonts w:ascii="Trebuchet MS"/>
          <w:w w:val="75"/>
          <w:sz w:val="16"/>
          <w:szCs w:val="16"/>
          <w:lang w:val="uk-UA"/>
        </w:rPr>
        <w:t>0.80</w:t>
      </w:r>
      <w:r w:rsidRPr="00552341">
        <w:rPr>
          <w:rFonts w:ascii="Trebuchet MS"/>
          <w:spacing w:val="14"/>
          <w:sz w:val="16"/>
          <w:szCs w:val="16"/>
          <w:lang w:val="uk-UA"/>
        </w:rPr>
        <w:t xml:space="preserve"> </w:t>
      </w:r>
      <w:r w:rsidRPr="00552341">
        <w:rPr>
          <w:rFonts w:ascii="Trebuchet MS"/>
          <w:w w:val="75"/>
          <w:sz w:val="16"/>
          <w:szCs w:val="16"/>
          <w:lang w:val="uk-UA"/>
        </w:rPr>
        <w:t>[0.61,</w:t>
      </w:r>
      <w:r w:rsidRPr="00552341">
        <w:rPr>
          <w:rFonts w:ascii="Trebuchet MS"/>
          <w:spacing w:val="20"/>
          <w:sz w:val="16"/>
          <w:szCs w:val="16"/>
          <w:lang w:val="uk-UA"/>
        </w:rPr>
        <w:t xml:space="preserve"> </w:t>
      </w:r>
      <w:r w:rsidRPr="00552341">
        <w:rPr>
          <w:rFonts w:ascii="Trebuchet MS"/>
          <w:spacing w:val="-2"/>
          <w:w w:val="75"/>
          <w:sz w:val="16"/>
          <w:szCs w:val="16"/>
          <w:lang w:val="uk-UA"/>
        </w:rPr>
        <w:t>0.92]</w:t>
      </w:r>
    </w:p>
    <w:p w14:paraId="35E717F2" w14:textId="77777777" w:rsidR="00E05B98" w:rsidRPr="00552341" w:rsidRDefault="00B01E0C">
      <w:pPr>
        <w:spacing w:before="38"/>
        <w:ind w:left="323"/>
        <w:rPr>
          <w:rFonts w:ascii="Trebuchet MS"/>
          <w:sz w:val="16"/>
          <w:szCs w:val="16"/>
          <w:lang w:val="uk-UA"/>
        </w:rPr>
      </w:pPr>
      <w:r w:rsidRPr="00552341">
        <w:rPr>
          <w:rFonts w:ascii="Trebuchet MS"/>
          <w:w w:val="75"/>
          <w:sz w:val="16"/>
          <w:szCs w:val="16"/>
          <w:lang w:val="uk-UA"/>
        </w:rPr>
        <w:t>0.84</w:t>
      </w:r>
      <w:r w:rsidRPr="00552341">
        <w:rPr>
          <w:rFonts w:ascii="Trebuchet MS"/>
          <w:spacing w:val="14"/>
          <w:sz w:val="16"/>
          <w:szCs w:val="16"/>
          <w:lang w:val="uk-UA"/>
        </w:rPr>
        <w:t xml:space="preserve"> </w:t>
      </w:r>
      <w:r w:rsidRPr="00552341">
        <w:rPr>
          <w:rFonts w:ascii="Trebuchet MS"/>
          <w:w w:val="75"/>
          <w:sz w:val="16"/>
          <w:szCs w:val="16"/>
          <w:lang w:val="uk-UA"/>
        </w:rPr>
        <w:t>[0.71,</w:t>
      </w:r>
      <w:r w:rsidRPr="00552341">
        <w:rPr>
          <w:rFonts w:ascii="Trebuchet MS"/>
          <w:spacing w:val="20"/>
          <w:sz w:val="16"/>
          <w:szCs w:val="16"/>
          <w:lang w:val="uk-UA"/>
        </w:rPr>
        <w:t xml:space="preserve"> </w:t>
      </w:r>
      <w:r w:rsidRPr="00552341">
        <w:rPr>
          <w:rFonts w:ascii="Trebuchet MS"/>
          <w:spacing w:val="-2"/>
          <w:w w:val="75"/>
          <w:sz w:val="16"/>
          <w:szCs w:val="16"/>
          <w:lang w:val="uk-UA"/>
        </w:rPr>
        <w:t>0.92]</w:t>
      </w:r>
    </w:p>
    <w:p w14:paraId="7D8E6CD6" w14:textId="77777777" w:rsidR="00E05B98" w:rsidRPr="00552341" w:rsidRDefault="00B01E0C">
      <w:pPr>
        <w:spacing w:before="37"/>
        <w:ind w:left="323"/>
        <w:rPr>
          <w:rFonts w:ascii="Trebuchet MS"/>
          <w:sz w:val="16"/>
          <w:szCs w:val="16"/>
          <w:lang w:val="uk-UA"/>
        </w:rPr>
      </w:pPr>
      <w:r w:rsidRPr="00552341">
        <w:rPr>
          <w:rFonts w:ascii="Trebuchet MS"/>
          <w:w w:val="75"/>
          <w:sz w:val="16"/>
          <w:szCs w:val="16"/>
          <w:lang w:val="uk-UA"/>
        </w:rPr>
        <w:t>0.95</w:t>
      </w:r>
      <w:r w:rsidRPr="00552341">
        <w:rPr>
          <w:rFonts w:ascii="Trebuchet MS"/>
          <w:spacing w:val="14"/>
          <w:sz w:val="16"/>
          <w:szCs w:val="16"/>
          <w:lang w:val="uk-UA"/>
        </w:rPr>
        <w:t xml:space="preserve"> </w:t>
      </w:r>
      <w:r w:rsidRPr="00552341">
        <w:rPr>
          <w:rFonts w:ascii="Trebuchet MS"/>
          <w:w w:val="75"/>
          <w:sz w:val="16"/>
          <w:szCs w:val="16"/>
          <w:lang w:val="uk-UA"/>
        </w:rPr>
        <w:t>[0.93,</w:t>
      </w:r>
      <w:r w:rsidRPr="00552341">
        <w:rPr>
          <w:rFonts w:ascii="Trebuchet MS"/>
          <w:spacing w:val="20"/>
          <w:sz w:val="16"/>
          <w:szCs w:val="16"/>
          <w:lang w:val="uk-UA"/>
        </w:rPr>
        <w:t xml:space="preserve"> </w:t>
      </w:r>
      <w:r w:rsidRPr="00552341">
        <w:rPr>
          <w:rFonts w:ascii="Trebuchet MS"/>
          <w:spacing w:val="-2"/>
          <w:w w:val="75"/>
          <w:sz w:val="16"/>
          <w:szCs w:val="16"/>
          <w:lang w:val="uk-UA"/>
        </w:rPr>
        <w:t>0.97]</w:t>
      </w:r>
    </w:p>
    <w:p w14:paraId="5BF24A59" w14:textId="77777777" w:rsidR="00E05B98" w:rsidRPr="00552341" w:rsidRDefault="00B01E0C">
      <w:pPr>
        <w:spacing w:before="38"/>
        <w:ind w:left="323"/>
        <w:rPr>
          <w:rFonts w:ascii="Trebuchet MS"/>
          <w:sz w:val="16"/>
          <w:szCs w:val="16"/>
          <w:lang w:val="uk-UA"/>
        </w:rPr>
      </w:pPr>
      <w:r w:rsidRPr="00552341">
        <w:rPr>
          <w:rFonts w:ascii="Trebuchet MS"/>
          <w:w w:val="75"/>
          <w:sz w:val="16"/>
          <w:szCs w:val="16"/>
          <w:lang w:val="uk-UA"/>
        </w:rPr>
        <w:t>0.95</w:t>
      </w:r>
      <w:r w:rsidRPr="00552341">
        <w:rPr>
          <w:rFonts w:ascii="Trebuchet MS"/>
          <w:spacing w:val="14"/>
          <w:sz w:val="16"/>
          <w:szCs w:val="16"/>
          <w:lang w:val="uk-UA"/>
        </w:rPr>
        <w:t xml:space="preserve"> </w:t>
      </w:r>
      <w:r w:rsidRPr="00552341">
        <w:rPr>
          <w:rFonts w:ascii="Trebuchet MS"/>
          <w:w w:val="75"/>
          <w:sz w:val="16"/>
          <w:szCs w:val="16"/>
          <w:lang w:val="uk-UA"/>
        </w:rPr>
        <w:t>[0.91,</w:t>
      </w:r>
      <w:r w:rsidRPr="00552341">
        <w:rPr>
          <w:rFonts w:ascii="Trebuchet MS"/>
          <w:spacing w:val="20"/>
          <w:sz w:val="16"/>
          <w:szCs w:val="16"/>
          <w:lang w:val="uk-UA"/>
        </w:rPr>
        <w:t xml:space="preserve"> </w:t>
      </w:r>
      <w:r w:rsidRPr="00552341">
        <w:rPr>
          <w:rFonts w:ascii="Trebuchet MS"/>
          <w:spacing w:val="-2"/>
          <w:w w:val="75"/>
          <w:sz w:val="16"/>
          <w:szCs w:val="16"/>
          <w:lang w:val="uk-UA"/>
        </w:rPr>
        <w:t>0.97]</w:t>
      </w:r>
    </w:p>
    <w:p w14:paraId="791B14DE" w14:textId="77777777" w:rsidR="00E05B98" w:rsidRPr="00552341" w:rsidRDefault="00B01E0C">
      <w:pPr>
        <w:spacing w:before="38"/>
        <w:ind w:left="323"/>
        <w:rPr>
          <w:rFonts w:ascii="Trebuchet MS"/>
          <w:sz w:val="16"/>
          <w:szCs w:val="16"/>
          <w:lang w:val="uk-UA"/>
        </w:rPr>
      </w:pPr>
      <w:r w:rsidRPr="00552341">
        <w:rPr>
          <w:rFonts w:ascii="Trebuchet MS"/>
          <w:w w:val="75"/>
          <w:sz w:val="16"/>
          <w:szCs w:val="16"/>
          <w:lang w:val="uk-UA"/>
        </w:rPr>
        <w:t>0.67</w:t>
      </w:r>
      <w:r w:rsidRPr="00552341">
        <w:rPr>
          <w:rFonts w:ascii="Trebuchet MS"/>
          <w:spacing w:val="14"/>
          <w:sz w:val="16"/>
          <w:szCs w:val="16"/>
          <w:lang w:val="uk-UA"/>
        </w:rPr>
        <w:t xml:space="preserve"> </w:t>
      </w:r>
      <w:r w:rsidRPr="00552341">
        <w:rPr>
          <w:rFonts w:ascii="Trebuchet MS"/>
          <w:w w:val="75"/>
          <w:sz w:val="16"/>
          <w:szCs w:val="16"/>
          <w:lang w:val="uk-UA"/>
        </w:rPr>
        <w:t>[0.22,</w:t>
      </w:r>
      <w:r w:rsidRPr="00552341">
        <w:rPr>
          <w:rFonts w:ascii="Trebuchet MS"/>
          <w:spacing w:val="20"/>
          <w:sz w:val="16"/>
          <w:szCs w:val="16"/>
          <w:lang w:val="uk-UA"/>
        </w:rPr>
        <w:t xml:space="preserve"> </w:t>
      </w:r>
      <w:r w:rsidRPr="00552341">
        <w:rPr>
          <w:rFonts w:ascii="Trebuchet MS"/>
          <w:spacing w:val="-2"/>
          <w:w w:val="75"/>
          <w:sz w:val="16"/>
          <w:szCs w:val="16"/>
          <w:lang w:val="uk-UA"/>
        </w:rPr>
        <w:t>0.96]</w:t>
      </w:r>
    </w:p>
    <w:p w14:paraId="1EFC6F01" w14:textId="77777777" w:rsidR="00E05B98" w:rsidRPr="00552341" w:rsidRDefault="00B01E0C">
      <w:pPr>
        <w:spacing w:before="38"/>
        <w:ind w:left="323"/>
        <w:rPr>
          <w:rFonts w:ascii="Trebuchet MS"/>
          <w:sz w:val="16"/>
          <w:szCs w:val="16"/>
          <w:lang w:val="uk-UA"/>
        </w:rPr>
      </w:pPr>
      <w:r w:rsidRPr="00552341">
        <w:rPr>
          <w:rFonts w:ascii="Trebuchet MS"/>
          <w:w w:val="75"/>
          <w:sz w:val="16"/>
          <w:szCs w:val="16"/>
          <w:lang w:val="uk-UA"/>
        </w:rPr>
        <w:t>0.90</w:t>
      </w:r>
      <w:r w:rsidRPr="00552341">
        <w:rPr>
          <w:rFonts w:ascii="Trebuchet MS"/>
          <w:spacing w:val="14"/>
          <w:sz w:val="16"/>
          <w:szCs w:val="16"/>
          <w:lang w:val="uk-UA"/>
        </w:rPr>
        <w:t xml:space="preserve"> </w:t>
      </w:r>
      <w:r w:rsidRPr="00552341">
        <w:rPr>
          <w:rFonts w:ascii="Trebuchet MS"/>
          <w:w w:val="75"/>
          <w:sz w:val="16"/>
          <w:szCs w:val="16"/>
          <w:lang w:val="uk-UA"/>
        </w:rPr>
        <w:t>[0.80,</w:t>
      </w:r>
      <w:r w:rsidRPr="00552341">
        <w:rPr>
          <w:rFonts w:ascii="Trebuchet MS"/>
          <w:spacing w:val="20"/>
          <w:sz w:val="16"/>
          <w:szCs w:val="16"/>
          <w:lang w:val="uk-UA"/>
        </w:rPr>
        <w:t xml:space="preserve"> </w:t>
      </w:r>
      <w:r w:rsidRPr="00552341">
        <w:rPr>
          <w:rFonts w:ascii="Trebuchet MS"/>
          <w:spacing w:val="-2"/>
          <w:w w:val="75"/>
          <w:sz w:val="16"/>
          <w:szCs w:val="16"/>
          <w:lang w:val="uk-UA"/>
        </w:rPr>
        <w:t>0.96]</w:t>
      </w:r>
    </w:p>
    <w:p w14:paraId="553B31A2" w14:textId="77777777" w:rsidR="00E05B98" w:rsidRPr="00552341" w:rsidRDefault="00B01E0C">
      <w:pPr>
        <w:spacing w:before="38"/>
        <w:ind w:left="323"/>
        <w:rPr>
          <w:rFonts w:ascii="Trebuchet MS"/>
          <w:sz w:val="16"/>
          <w:szCs w:val="16"/>
          <w:lang w:val="uk-UA"/>
        </w:rPr>
      </w:pPr>
      <w:r w:rsidRPr="00552341">
        <w:rPr>
          <w:rFonts w:ascii="Trebuchet MS"/>
          <w:w w:val="75"/>
          <w:sz w:val="16"/>
          <w:szCs w:val="16"/>
          <w:lang w:val="uk-UA"/>
        </w:rPr>
        <w:t>0.88</w:t>
      </w:r>
      <w:r w:rsidRPr="00552341">
        <w:rPr>
          <w:rFonts w:ascii="Trebuchet MS"/>
          <w:spacing w:val="14"/>
          <w:sz w:val="16"/>
          <w:szCs w:val="16"/>
          <w:lang w:val="uk-UA"/>
        </w:rPr>
        <w:t xml:space="preserve"> </w:t>
      </w:r>
      <w:r w:rsidRPr="00552341">
        <w:rPr>
          <w:rFonts w:ascii="Trebuchet MS"/>
          <w:w w:val="75"/>
          <w:sz w:val="16"/>
          <w:szCs w:val="16"/>
          <w:lang w:val="uk-UA"/>
        </w:rPr>
        <w:t>[0.70,</w:t>
      </w:r>
      <w:r w:rsidRPr="00552341">
        <w:rPr>
          <w:rFonts w:ascii="Trebuchet MS"/>
          <w:spacing w:val="20"/>
          <w:sz w:val="16"/>
          <w:szCs w:val="16"/>
          <w:lang w:val="uk-UA"/>
        </w:rPr>
        <w:t xml:space="preserve"> </w:t>
      </w:r>
      <w:r w:rsidRPr="00552341">
        <w:rPr>
          <w:rFonts w:ascii="Trebuchet MS"/>
          <w:spacing w:val="-2"/>
          <w:w w:val="75"/>
          <w:sz w:val="16"/>
          <w:szCs w:val="16"/>
          <w:lang w:val="uk-UA"/>
        </w:rPr>
        <w:t>0.98]</w:t>
      </w:r>
    </w:p>
    <w:p w14:paraId="5AEBFD80" w14:textId="77777777" w:rsidR="00E05B98" w:rsidRPr="003C6DAE" w:rsidRDefault="00B01E0C">
      <w:pPr>
        <w:spacing w:before="109"/>
        <w:ind w:left="87"/>
        <w:rPr>
          <w:rFonts w:ascii="Trebuchet MS"/>
          <w:sz w:val="17"/>
          <w:lang w:val="uk-UA"/>
        </w:rPr>
      </w:pPr>
      <w:r w:rsidRPr="00552341">
        <w:rPr>
          <w:sz w:val="16"/>
          <w:szCs w:val="16"/>
          <w:lang w:val="uk-UA"/>
        </w:rPr>
        <w:br w:type="column"/>
      </w:r>
      <w:r w:rsidRPr="003C6DAE">
        <w:rPr>
          <w:rFonts w:ascii="Trebuchet MS"/>
          <w:color w:val="333333"/>
          <w:w w:val="80"/>
          <w:sz w:val="17"/>
          <w:lang w:val="uk-UA"/>
        </w:rPr>
        <w:t>S</w:t>
      </w:r>
      <w:r w:rsidRPr="003C6DAE">
        <w:rPr>
          <w:rFonts w:ascii="Trebuchet MS"/>
          <w:color w:val="333333"/>
          <w:spacing w:val="-3"/>
          <w:w w:val="80"/>
          <w:sz w:val="17"/>
          <w:lang w:val="uk-UA"/>
        </w:rPr>
        <w:t xml:space="preserve"> </w:t>
      </w:r>
      <w:proofErr w:type="spellStart"/>
      <w:r w:rsidRPr="003C6DAE">
        <w:rPr>
          <w:rFonts w:ascii="Trebuchet MS"/>
          <w:color w:val="333333"/>
          <w:w w:val="80"/>
          <w:sz w:val="17"/>
          <w:lang w:val="uk-UA"/>
        </w:rPr>
        <w:t>ens</w:t>
      </w:r>
      <w:proofErr w:type="spellEnd"/>
      <w:r w:rsidRPr="003C6DAE">
        <w:rPr>
          <w:rFonts w:ascii="Trebuchet MS"/>
          <w:color w:val="333333"/>
          <w:spacing w:val="-6"/>
          <w:w w:val="80"/>
          <w:sz w:val="17"/>
          <w:lang w:val="uk-UA"/>
        </w:rPr>
        <w:t xml:space="preserve"> </w:t>
      </w:r>
      <w:proofErr w:type="spellStart"/>
      <w:r w:rsidRPr="003C6DAE">
        <w:rPr>
          <w:rFonts w:ascii="Trebuchet MS"/>
          <w:color w:val="333333"/>
          <w:w w:val="80"/>
          <w:sz w:val="17"/>
          <w:lang w:val="uk-UA"/>
        </w:rPr>
        <w:t>itivity</w:t>
      </w:r>
      <w:proofErr w:type="spellEnd"/>
      <w:r w:rsidRPr="003C6DAE">
        <w:rPr>
          <w:rFonts w:ascii="Trebuchet MS"/>
          <w:color w:val="333333"/>
          <w:spacing w:val="27"/>
          <w:sz w:val="17"/>
          <w:lang w:val="uk-UA"/>
        </w:rPr>
        <w:t xml:space="preserve"> </w:t>
      </w:r>
      <w:r w:rsidRPr="003C6DAE">
        <w:rPr>
          <w:rFonts w:ascii="Trebuchet MS"/>
          <w:color w:val="333333"/>
          <w:w w:val="80"/>
          <w:sz w:val="17"/>
          <w:lang w:val="uk-UA"/>
        </w:rPr>
        <w:t>(95%</w:t>
      </w:r>
      <w:r w:rsidRPr="003C6DAE">
        <w:rPr>
          <w:rFonts w:ascii="Trebuchet MS"/>
          <w:color w:val="333333"/>
          <w:spacing w:val="30"/>
          <w:sz w:val="17"/>
          <w:lang w:val="uk-UA"/>
        </w:rPr>
        <w:t xml:space="preserve"> </w:t>
      </w:r>
      <w:r w:rsidRPr="003C6DAE">
        <w:rPr>
          <w:rFonts w:ascii="Trebuchet MS"/>
          <w:color w:val="333333"/>
          <w:w w:val="80"/>
          <w:sz w:val="17"/>
          <w:lang w:val="uk-UA"/>
        </w:rPr>
        <w:t>C</w:t>
      </w:r>
      <w:r w:rsidRPr="003C6DAE">
        <w:rPr>
          <w:rFonts w:ascii="Trebuchet MS"/>
          <w:color w:val="333333"/>
          <w:spacing w:val="-10"/>
          <w:w w:val="80"/>
          <w:sz w:val="17"/>
          <w:lang w:val="uk-UA"/>
        </w:rPr>
        <w:t xml:space="preserve"> </w:t>
      </w:r>
      <w:r w:rsidRPr="003C6DAE">
        <w:rPr>
          <w:rFonts w:ascii="Trebuchet MS"/>
          <w:color w:val="333333"/>
          <w:spacing w:val="-5"/>
          <w:w w:val="80"/>
          <w:sz w:val="17"/>
          <w:lang w:val="uk-UA"/>
        </w:rPr>
        <w:t>I)</w:t>
      </w:r>
    </w:p>
    <w:p w14:paraId="2A68F5B0" w14:textId="77777777" w:rsidR="00E05B98" w:rsidRPr="003C6DAE" w:rsidRDefault="00E05B98">
      <w:pPr>
        <w:pStyle w:val="a3"/>
        <w:rPr>
          <w:rFonts w:ascii="Trebuchet MS"/>
          <w:sz w:val="20"/>
          <w:lang w:val="uk-UA"/>
        </w:rPr>
      </w:pPr>
    </w:p>
    <w:p w14:paraId="17A620C7" w14:textId="77777777" w:rsidR="00E05B98" w:rsidRPr="003C6DAE" w:rsidRDefault="00B01E0C">
      <w:pPr>
        <w:pStyle w:val="a3"/>
        <w:spacing w:before="65"/>
        <w:rPr>
          <w:rFonts w:ascii="Trebuchet MS"/>
          <w:sz w:val="20"/>
          <w:lang w:val="uk-UA"/>
        </w:rPr>
      </w:pPr>
      <w:r w:rsidRPr="003C6DAE">
        <w:rPr>
          <w:rFonts w:ascii="Trebuchet MS"/>
          <w:noProof/>
          <w:sz w:val="20"/>
          <w:lang w:val="uk-UA"/>
        </w:rPr>
        <mc:AlternateContent>
          <mc:Choice Requires="wpg">
            <w:drawing>
              <wp:anchor distT="0" distB="0" distL="0" distR="0" simplePos="0" relativeHeight="487936512" behindDoc="1" locked="0" layoutInCell="1" allowOverlap="1" wp14:anchorId="066C29F7" wp14:editId="675FDF40">
                <wp:simplePos x="0" y="0"/>
                <wp:positionH relativeFrom="page">
                  <wp:posOffset>5206562</wp:posOffset>
                </wp:positionH>
                <wp:positionV relativeFrom="paragraph">
                  <wp:posOffset>204414</wp:posOffset>
                </wp:positionV>
                <wp:extent cx="316230" cy="65405"/>
                <wp:effectExtent l="0" t="0" r="0" b="0"/>
                <wp:wrapTopAndBottom/>
                <wp:docPr id="2263"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 cy="65405"/>
                          <a:chOff x="0" y="0"/>
                          <a:chExt cx="316230" cy="65405"/>
                        </a:xfrm>
                      </wpg:grpSpPr>
                      <wps:wsp>
                        <wps:cNvPr id="2264" name="Graphic 2264"/>
                        <wps:cNvSpPr/>
                        <wps:spPr>
                          <a:xfrm>
                            <a:off x="0" y="28008"/>
                            <a:ext cx="316230" cy="1270"/>
                          </a:xfrm>
                          <a:custGeom>
                            <a:avLst/>
                            <a:gdLst/>
                            <a:ahLst/>
                            <a:cxnLst/>
                            <a:rect l="l" t="t" r="r" b="b"/>
                            <a:pathLst>
                              <a:path w="316230">
                                <a:moveTo>
                                  <a:pt x="0" y="0"/>
                                </a:moveTo>
                                <a:lnTo>
                                  <a:pt x="176213" y="0"/>
                                </a:lnTo>
                              </a:path>
                              <a:path w="316230">
                                <a:moveTo>
                                  <a:pt x="230672" y="0"/>
                                </a:moveTo>
                                <a:lnTo>
                                  <a:pt x="315862" y="0"/>
                                </a:lnTo>
                              </a:path>
                            </a:pathLst>
                          </a:custGeom>
                          <a:ln w="9335">
                            <a:solidFill>
                              <a:srgbClr val="000000"/>
                            </a:solidFill>
                            <a:prstDash val="solid"/>
                          </a:ln>
                        </wps:spPr>
                        <wps:bodyPr wrap="square" lIns="0" tIns="0" rIns="0" bIns="0" rtlCol="0">
                          <a:prstTxWarp prst="textNoShape">
                            <a:avLst/>
                          </a:prstTxWarp>
                          <a:noAutofit/>
                        </wps:bodyPr>
                      </wps:wsp>
                      <wps:wsp>
                        <wps:cNvPr id="2265" name="Graphic 2265"/>
                        <wps:cNvSpPr/>
                        <wps:spPr>
                          <a:xfrm>
                            <a:off x="176213"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EDB7E32" id="Group 2263" o:spid="_x0000_s1026" style="position:absolute;margin-left:409.95pt;margin-top:16.1pt;width:24.9pt;height:5.15pt;z-index:-15379968;mso-wrap-distance-left:0;mso-wrap-distance-right:0;mso-position-horizontal-relative:page" coordsize="31623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">
                <v:shape id="Graphic 2264" o:spid="_x0000_s1027" style="position:absolute;top:28008;width:316230;height:1270;visibility:visible;mso-wrap-style:square;v-text-anchor:top" coordsize="31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" path="m,l176213,em230672,r85190,e" filled="f" strokeweight=".25931mm">
                  <v:path arrowok="t"/>
                </v:shape>
                <v:shape id="Graphic 2265" o:spid="_x0000_s1028" style="position:absolute;left:176213;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" path="m54459,65350l,65350,,,54459,r,65350xe" fillcolor="#0000c0" stroked="f">
                  <v:path arrowok="t"/>
                </v:shape>
                <w10:wrap type="topAndBottom" anchorx="page"/>
              </v:group>
            </w:pict>
          </mc:Fallback>
        </mc:AlternateContent>
      </w:r>
      <w:r w:rsidRPr="003C6DAE">
        <w:rPr>
          <w:rFonts w:ascii="Trebuchet MS"/>
          <w:noProof/>
          <w:sz w:val="20"/>
          <w:lang w:val="uk-UA"/>
        </w:rPr>
        <mc:AlternateContent>
          <mc:Choice Requires="wpg">
            <w:drawing>
              <wp:anchor distT="0" distB="0" distL="0" distR="0" simplePos="0" relativeHeight="487937024" behindDoc="1" locked="0" layoutInCell="1" allowOverlap="1" wp14:anchorId="5BAD15D6" wp14:editId="640481E0">
                <wp:simplePos x="0" y="0"/>
                <wp:positionH relativeFrom="page">
                  <wp:posOffset>5142379</wp:posOffset>
                </wp:positionH>
                <wp:positionV relativeFrom="paragraph">
                  <wp:posOffset>353788</wp:posOffset>
                </wp:positionV>
                <wp:extent cx="388620" cy="65405"/>
                <wp:effectExtent l="0" t="0" r="0" b="0"/>
                <wp:wrapTopAndBottom/>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620" cy="65405"/>
                          <a:chOff x="0" y="0"/>
                          <a:chExt cx="388620" cy="65405"/>
                        </a:xfrm>
                      </wpg:grpSpPr>
                      <wps:wsp>
                        <wps:cNvPr id="2267" name="Graphic 2267"/>
                        <wps:cNvSpPr/>
                        <wps:spPr>
                          <a:xfrm>
                            <a:off x="0" y="28008"/>
                            <a:ext cx="388620" cy="1270"/>
                          </a:xfrm>
                          <a:custGeom>
                            <a:avLst/>
                            <a:gdLst/>
                            <a:ahLst/>
                            <a:cxnLst/>
                            <a:rect l="l" t="t" r="r" b="b"/>
                            <a:pathLst>
                              <a:path w="388620">
                                <a:moveTo>
                                  <a:pt x="0" y="0"/>
                                </a:moveTo>
                                <a:lnTo>
                                  <a:pt x="227950" y="0"/>
                                </a:lnTo>
                              </a:path>
                              <a:path w="388620">
                                <a:moveTo>
                                  <a:pt x="282409" y="0"/>
                                </a:moveTo>
                                <a:lnTo>
                                  <a:pt x="388215" y="0"/>
                                </a:lnTo>
                              </a:path>
                            </a:pathLst>
                          </a:custGeom>
                          <a:ln w="9335">
                            <a:solidFill>
                              <a:srgbClr val="000000"/>
                            </a:solidFill>
                            <a:prstDash val="solid"/>
                          </a:ln>
                        </wps:spPr>
                        <wps:bodyPr wrap="square" lIns="0" tIns="0" rIns="0" bIns="0" rtlCol="0">
                          <a:prstTxWarp prst="textNoShape">
                            <a:avLst/>
                          </a:prstTxWarp>
                          <a:noAutofit/>
                        </wps:bodyPr>
                      </wps:wsp>
                      <wps:wsp>
                        <wps:cNvPr id="2268" name="Graphic 2268"/>
                        <wps:cNvSpPr/>
                        <wps:spPr>
                          <a:xfrm>
                            <a:off x="227950"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FA80F4C" id="Group 2266" o:spid="_x0000_s1026" style="position:absolute;margin-left:404.9pt;margin-top:27.85pt;width:30.6pt;height:5.15pt;z-index:-15379456;mso-wrap-distance-left:0;mso-wrap-distance-right:0;mso-position-horizontal-relative:page" coordsize="38862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">
                <v:shape id="Graphic 2267" o:spid="_x0000_s1027" style="position:absolute;top:28008;width:388620;height:1270;visibility:visible;mso-wrap-style:square;v-text-anchor:top" coordsize="388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" path="m,l227950,em282409,l388215,e" filled="f" strokeweight=".25931mm">
                  <v:path arrowok="t"/>
                </v:shape>
                <v:shape id="Graphic 2268" o:spid="_x0000_s1028" style="position:absolute;left:227950;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" path="m54459,65350l,65350,,,54459,r,65350xe" fillcolor="#0000c0" stroked="f">
                  <v:path arrowok="t"/>
                </v:shape>
                <w10:wrap type="topAndBottom" anchorx="page"/>
              </v:group>
            </w:pict>
          </mc:Fallback>
        </mc:AlternateContent>
      </w:r>
      <w:r w:rsidRPr="003C6DAE">
        <w:rPr>
          <w:rFonts w:ascii="Trebuchet MS"/>
          <w:noProof/>
          <w:sz w:val="20"/>
          <w:lang w:val="uk-UA"/>
        </w:rPr>
        <mc:AlternateContent>
          <mc:Choice Requires="wpg">
            <w:drawing>
              <wp:anchor distT="0" distB="0" distL="0" distR="0" simplePos="0" relativeHeight="487937536" behindDoc="1" locked="0" layoutInCell="1" allowOverlap="1" wp14:anchorId="149777FA" wp14:editId="1BF7503C">
                <wp:simplePos x="0" y="0"/>
                <wp:positionH relativeFrom="page">
                  <wp:posOffset>5209675</wp:posOffset>
                </wp:positionH>
                <wp:positionV relativeFrom="paragraph">
                  <wp:posOffset>503162</wp:posOffset>
                </wp:positionV>
                <wp:extent cx="257810" cy="65405"/>
                <wp:effectExtent l="0" t="0" r="0" b="0"/>
                <wp:wrapTopAndBottom/>
                <wp:docPr id="2269" name="Group 2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 cy="65405"/>
                          <a:chOff x="0" y="0"/>
                          <a:chExt cx="257810" cy="65405"/>
                        </a:xfrm>
                      </wpg:grpSpPr>
                      <wps:wsp>
                        <wps:cNvPr id="2270" name="Graphic 2270"/>
                        <wps:cNvSpPr/>
                        <wps:spPr>
                          <a:xfrm>
                            <a:off x="0" y="28008"/>
                            <a:ext cx="257810" cy="1270"/>
                          </a:xfrm>
                          <a:custGeom>
                            <a:avLst/>
                            <a:gdLst/>
                            <a:ahLst/>
                            <a:cxnLst/>
                            <a:rect l="l" t="t" r="r" b="b"/>
                            <a:pathLst>
                              <a:path w="257810">
                                <a:moveTo>
                                  <a:pt x="0" y="0"/>
                                </a:moveTo>
                                <a:lnTo>
                                  <a:pt x="125645" y="0"/>
                                </a:lnTo>
                              </a:path>
                              <a:path w="257810">
                                <a:moveTo>
                                  <a:pt x="180104" y="0"/>
                                </a:moveTo>
                                <a:lnTo>
                                  <a:pt x="257513" y="0"/>
                                </a:lnTo>
                              </a:path>
                            </a:pathLst>
                          </a:custGeom>
                          <a:ln w="9335">
                            <a:solidFill>
                              <a:srgbClr val="000000"/>
                            </a:solidFill>
                            <a:prstDash val="solid"/>
                          </a:ln>
                        </wps:spPr>
                        <wps:bodyPr wrap="square" lIns="0" tIns="0" rIns="0" bIns="0" rtlCol="0">
                          <a:prstTxWarp prst="textNoShape">
                            <a:avLst/>
                          </a:prstTxWarp>
                          <a:noAutofit/>
                        </wps:bodyPr>
                      </wps:wsp>
                      <wps:wsp>
                        <wps:cNvPr id="2271" name="Graphic 2271"/>
                        <wps:cNvSpPr/>
                        <wps:spPr>
                          <a:xfrm>
                            <a:off x="125645" y="0"/>
                            <a:ext cx="54610" cy="65405"/>
                          </a:xfrm>
                          <a:custGeom>
                            <a:avLst/>
                            <a:gdLst/>
                            <a:ahLst/>
                            <a:cxnLst/>
                            <a:rect l="l" t="t" r="r" b="b"/>
                            <a:pathLst>
                              <a:path w="54610" h="65405">
                                <a:moveTo>
                                  <a:pt x="54459" y="65352"/>
                                </a:moveTo>
                                <a:lnTo>
                                  <a:pt x="0" y="65352"/>
                                </a:lnTo>
                                <a:lnTo>
                                  <a:pt x="0" y="0"/>
                                </a:lnTo>
                                <a:lnTo>
                                  <a:pt x="54459" y="0"/>
                                </a:lnTo>
                                <a:lnTo>
                                  <a:pt x="54459" y="65352"/>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F3D8EC7" id="Group 2269" o:spid="_x0000_s1026" style="position:absolute;margin-left:410.2pt;margin-top:39.6pt;width:20.3pt;height:5.15pt;z-index:-15378944;mso-wrap-distance-left:0;mso-wrap-distance-right:0;mso-position-horizontal-relative:page" coordsize="25781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">
                <v:shape id="Graphic 2270" o:spid="_x0000_s1027" style="position:absolute;top:28008;width:257810;height:1270;visibility:visible;mso-wrap-style:square;v-text-anchor:top" coordsize="257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" path="m,l125645,em180104,r77409,e" filled="f" strokeweight=".25931mm">
                  <v:path arrowok="t"/>
                </v:shape>
                <v:shape id="Graphic 2271" o:spid="_x0000_s1028" style="position:absolute;left:125645;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" path="m54459,65352l,65352,,,54459,r,65352xe" fillcolor="#0000c0" stroked="f">
                  <v:path arrowok="t"/>
                </v:shape>
                <w10:wrap type="topAndBottom" anchorx="page"/>
              </v:group>
            </w:pict>
          </mc:Fallback>
        </mc:AlternateContent>
      </w:r>
    </w:p>
    <w:p w14:paraId="5B4442D7" w14:textId="77777777" w:rsidR="00E05B98" w:rsidRPr="003C6DAE" w:rsidRDefault="00E05B98">
      <w:pPr>
        <w:pStyle w:val="a3"/>
        <w:spacing w:before="3"/>
        <w:rPr>
          <w:rFonts w:ascii="Trebuchet MS"/>
          <w:sz w:val="9"/>
          <w:lang w:val="uk-UA"/>
        </w:rPr>
      </w:pPr>
    </w:p>
    <w:p w14:paraId="64C5160F" w14:textId="77777777" w:rsidR="00E05B98" w:rsidRPr="003C6DAE" w:rsidRDefault="00E05B98">
      <w:pPr>
        <w:pStyle w:val="a3"/>
        <w:spacing w:before="3"/>
        <w:rPr>
          <w:rFonts w:ascii="Trebuchet MS"/>
          <w:sz w:val="9"/>
          <w:lang w:val="uk-UA"/>
        </w:rPr>
      </w:pPr>
    </w:p>
    <w:p w14:paraId="77EC2320" w14:textId="77777777" w:rsidR="00E05B98" w:rsidRPr="003C6DAE" w:rsidRDefault="00E05B98">
      <w:pPr>
        <w:pStyle w:val="a3"/>
        <w:spacing w:before="4"/>
        <w:rPr>
          <w:rFonts w:ascii="Trebuchet MS"/>
          <w:sz w:val="11"/>
          <w:lang w:val="uk-UA"/>
        </w:rPr>
      </w:pPr>
    </w:p>
    <w:p w14:paraId="390C6F1F" w14:textId="77777777" w:rsidR="00E05B98" w:rsidRPr="003C6DAE" w:rsidRDefault="00B01E0C">
      <w:pPr>
        <w:pStyle w:val="a3"/>
        <w:spacing w:line="102" w:lineRule="exact"/>
        <w:ind w:left="278" w:right="-72"/>
        <w:rPr>
          <w:rFonts w:ascii="Trebuchet MS"/>
          <w:position w:val="-1"/>
          <w:sz w:val="10"/>
          <w:lang w:val="uk-UA"/>
        </w:rPr>
      </w:pPr>
      <w:r w:rsidRPr="003C6DAE">
        <w:rPr>
          <w:rFonts w:ascii="Trebuchet MS"/>
          <w:noProof/>
          <w:position w:val="-1"/>
          <w:sz w:val="10"/>
          <w:lang w:val="uk-UA"/>
        </w:rPr>
        <mc:AlternateContent>
          <mc:Choice Requires="wpg">
            <w:drawing>
              <wp:inline distT="0" distB="0" distL="0" distR="0" wp14:anchorId="345231EC" wp14:editId="5051F763">
                <wp:extent cx="746760" cy="65405"/>
                <wp:effectExtent l="9525" t="0" r="0" b="1269"/>
                <wp:docPr id="2272" name="Group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6760" cy="65405"/>
                          <a:chOff x="0" y="0"/>
                          <a:chExt cx="746760" cy="65405"/>
                        </a:xfrm>
                      </wpg:grpSpPr>
                      <wps:wsp>
                        <wps:cNvPr id="2273" name="Graphic 2273"/>
                        <wps:cNvSpPr/>
                        <wps:spPr>
                          <a:xfrm>
                            <a:off x="0" y="28006"/>
                            <a:ext cx="746760" cy="1270"/>
                          </a:xfrm>
                          <a:custGeom>
                            <a:avLst/>
                            <a:gdLst/>
                            <a:ahLst/>
                            <a:cxnLst/>
                            <a:rect l="l" t="t" r="r" b="b"/>
                            <a:pathLst>
                              <a:path w="746760">
                                <a:moveTo>
                                  <a:pt x="0" y="0"/>
                                </a:moveTo>
                                <a:lnTo>
                                  <a:pt x="495966" y="0"/>
                                </a:lnTo>
                              </a:path>
                              <a:path w="746760">
                                <a:moveTo>
                                  <a:pt x="550424" y="0"/>
                                </a:moveTo>
                                <a:lnTo>
                                  <a:pt x="746478" y="0"/>
                                </a:lnTo>
                              </a:path>
                            </a:pathLst>
                          </a:custGeom>
                          <a:ln w="9335">
                            <a:solidFill>
                              <a:srgbClr val="000000"/>
                            </a:solidFill>
                            <a:prstDash val="solid"/>
                          </a:ln>
                        </wps:spPr>
                        <wps:bodyPr wrap="square" lIns="0" tIns="0" rIns="0" bIns="0" rtlCol="0">
                          <a:prstTxWarp prst="textNoShape">
                            <a:avLst/>
                          </a:prstTxWarp>
                          <a:noAutofit/>
                        </wps:bodyPr>
                      </wps:wsp>
                      <wps:wsp>
                        <wps:cNvPr id="2274" name="Graphic 2274"/>
                        <wps:cNvSpPr/>
                        <wps:spPr>
                          <a:xfrm>
                            <a:off x="495966" y="0"/>
                            <a:ext cx="54610" cy="65405"/>
                          </a:xfrm>
                          <a:custGeom>
                            <a:avLst/>
                            <a:gdLst/>
                            <a:ahLst/>
                            <a:cxnLst/>
                            <a:rect l="l" t="t" r="r" b="b"/>
                            <a:pathLst>
                              <a:path w="54610" h="65405">
                                <a:moveTo>
                                  <a:pt x="54458" y="65350"/>
                                </a:moveTo>
                                <a:lnTo>
                                  <a:pt x="0" y="65350"/>
                                </a:lnTo>
                                <a:lnTo>
                                  <a:pt x="0" y="0"/>
                                </a:lnTo>
                                <a:lnTo>
                                  <a:pt x="54458" y="0"/>
                                </a:lnTo>
                                <a:lnTo>
                                  <a:pt x="54458" y="65350"/>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5B9FDE0D" id="Group 2272" o:spid="_x0000_s1026" style="width:58.8pt;height:5.15pt;mso-position-horizontal-relative:char;mso-position-vertical-relative:line" coordsize="746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">
                <v:shape id="Graphic 2273" o:spid="_x0000_s1027" style="position:absolute;top:280;width:7467;height:12;visibility:visible;mso-wrap-style:square;v-text-anchor:top" coordsize="746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" path="m,l495966,em550424,l746478,e" filled="f" strokeweight=".25931mm">
                  <v:path arrowok="t"/>
                </v:shape>
                <v:shape id="Graphic 2274" o:spid="_x0000_s1028" style="position:absolute;left:4959;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" path="m54458,65350l,65350,,,54458,r,65350xe" fillcolor="#0000c0" stroked="f">
                  <v:path arrowok="t"/>
                </v:shape>
                <w10:anchorlock/>
              </v:group>
            </w:pict>
          </mc:Fallback>
        </mc:AlternateContent>
      </w:r>
    </w:p>
    <w:p w14:paraId="2D0FD2B4" w14:textId="77777777" w:rsidR="00E05B98" w:rsidRPr="003C6DAE" w:rsidRDefault="00B01E0C">
      <w:pPr>
        <w:pStyle w:val="a3"/>
        <w:spacing w:before="4"/>
        <w:rPr>
          <w:rFonts w:ascii="Trebuchet MS"/>
          <w:sz w:val="9"/>
          <w:lang w:val="uk-UA"/>
        </w:rPr>
      </w:pPr>
      <w:r w:rsidRPr="003C6DAE">
        <w:rPr>
          <w:rFonts w:ascii="Trebuchet MS"/>
          <w:noProof/>
          <w:sz w:val="9"/>
          <w:lang w:val="uk-UA"/>
        </w:rPr>
        <mc:AlternateContent>
          <mc:Choice Requires="wpg">
            <w:drawing>
              <wp:anchor distT="0" distB="0" distL="0" distR="0" simplePos="0" relativeHeight="487938560" behindDoc="1" locked="0" layoutInCell="1" allowOverlap="1" wp14:anchorId="738C63D5" wp14:editId="79CDC9D0">
                <wp:simplePos x="0" y="0"/>
                <wp:positionH relativeFrom="page">
                  <wp:posOffset>5107369</wp:posOffset>
                </wp:positionH>
                <wp:positionV relativeFrom="paragraph">
                  <wp:posOffset>84603</wp:posOffset>
                </wp:positionV>
                <wp:extent cx="348615" cy="65405"/>
                <wp:effectExtent l="0" t="0" r="0" b="0"/>
                <wp:wrapTopAndBottom/>
                <wp:docPr id="2275" name="Group 2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65405"/>
                          <a:chOff x="0" y="0"/>
                          <a:chExt cx="348615" cy="65405"/>
                        </a:xfrm>
                      </wpg:grpSpPr>
                      <wps:wsp>
                        <wps:cNvPr id="2276" name="Graphic 2276"/>
                        <wps:cNvSpPr/>
                        <wps:spPr>
                          <a:xfrm>
                            <a:off x="0" y="28006"/>
                            <a:ext cx="348615" cy="1270"/>
                          </a:xfrm>
                          <a:custGeom>
                            <a:avLst/>
                            <a:gdLst/>
                            <a:ahLst/>
                            <a:cxnLst/>
                            <a:rect l="l" t="t" r="r" b="b"/>
                            <a:pathLst>
                              <a:path w="348615">
                                <a:moveTo>
                                  <a:pt x="0" y="0"/>
                                </a:moveTo>
                                <a:lnTo>
                                  <a:pt x="176214" y="0"/>
                                </a:lnTo>
                              </a:path>
                              <a:path w="348615">
                                <a:moveTo>
                                  <a:pt x="230673" y="0"/>
                                </a:moveTo>
                                <a:lnTo>
                                  <a:pt x="348538" y="0"/>
                                </a:lnTo>
                              </a:path>
                            </a:pathLst>
                          </a:custGeom>
                          <a:ln w="9335">
                            <a:solidFill>
                              <a:srgbClr val="000000"/>
                            </a:solidFill>
                            <a:prstDash val="solid"/>
                          </a:ln>
                        </wps:spPr>
                        <wps:bodyPr wrap="square" lIns="0" tIns="0" rIns="0" bIns="0" rtlCol="0">
                          <a:prstTxWarp prst="textNoShape">
                            <a:avLst/>
                          </a:prstTxWarp>
                          <a:noAutofit/>
                        </wps:bodyPr>
                      </wps:wsp>
                      <wps:wsp>
                        <wps:cNvPr id="2277" name="Graphic 2277"/>
                        <wps:cNvSpPr/>
                        <wps:spPr>
                          <a:xfrm>
                            <a:off x="176214" y="0"/>
                            <a:ext cx="54610" cy="65405"/>
                          </a:xfrm>
                          <a:custGeom>
                            <a:avLst/>
                            <a:gdLst/>
                            <a:ahLst/>
                            <a:cxnLst/>
                            <a:rect l="l" t="t" r="r" b="b"/>
                            <a:pathLst>
                              <a:path w="54610" h="65405">
                                <a:moveTo>
                                  <a:pt x="54458" y="65350"/>
                                </a:moveTo>
                                <a:lnTo>
                                  <a:pt x="0" y="65350"/>
                                </a:lnTo>
                                <a:lnTo>
                                  <a:pt x="0" y="0"/>
                                </a:lnTo>
                                <a:lnTo>
                                  <a:pt x="54458" y="0"/>
                                </a:lnTo>
                                <a:lnTo>
                                  <a:pt x="54458"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70F6F6A" id="Group 2275" o:spid="_x0000_s1026" style="position:absolute;margin-left:402.15pt;margin-top:6.65pt;width:27.45pt;height:5.15pt;z-index:-15377920;mso-wrap-distance-left:0;mso-wrap-distance-right:0;mso-position-horizontal-relative:page" coordsize="348615,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">
                <v:shape id="Graphic 2276" o:spid="_x0000_s1027" style="position:absolute;top:28006;width:348615;height:1270;visibility:visible;mso-wrap-style:square;v-text-anchor:top" coordsize="348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" path="m,l176214,em230673,l348538,e" filled="f" strokeweight=".25931mm">
                  <v:path arrowok="t"/>
                </v:shape>
                <v:shape id="Graphic 2277" o:spid="_x0000_s1028" style="position:absolute;left:176214;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" path="m54458,65350l,65350,,,54458,r,65350xe" fillcolor="#0000c0" stroked="f">
                  <v:path arrowok="t"/>
                </v:shape>
                <w10:wrap type="topAndBottom" anchorx="page"/>
              </v:group>
            </w:pict>
          </mc:Fallback>
        </mc:AlternateContent>
      </w:r>
      <w:r w:rsidRPr="003C6DAE">
        <w:rPr>
          <w:rFonts w:ascii="Trebuchet MS"/>
          <w:noProof/>
          <w:sz w:val="9"/>
          <w:lang w:val="uk-UA"/>
        </w:rPr>
        <mc:AlternateContent>
          <mc:Choice Requires="wpg">
            <w:drawing>
              <wp:anchor distT="0" distB="0" distL="0" distR="0" simplePos="0" relativeHeight="487939072" behindDoc="1" locked="0" layoutInCell="1" allowOverlap="1" wp14:anchorId="600C06DC" wp14:editId="66C41D5B">
                <wp:simplePos x="0" y="0"/>
                <wp:positionH relativeFrom="page">
                  <wp:posOffset>4914039</wp:posOffset>
                </wp:positionH>
                <wp:positionV relativeFrom="paragraph">
                  <wp:posOffset>233977</wp:posOffset>
                </wp:positionV>
                <wp:extent cx="469900" cy="65405"/>
                <wp:effectExtent l="0" t="0" r="0" b="0"/>
                <wp:wrapTopAndBottom/>
                <wp:docPr id="2278" name="Group 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900" cy="65405"/>
                          <a:chOff x="0" y="0"/>
                          <a:chExt cx="469900" cy="65405"/>
                        </a:xfrm>
                      </wpg:grpSpPr>
                      <wps:wsp>
                        <wps:cNvPr id="2279" name="Graphic 2279"/>
                        <wps:cNvSpPr/>
                        <wps:spPr>
                          <a:xfrm>
                            <a:off x="0" y="28006"/>
                            <a:ext cx="469900" cy="1270"/>
                          </a:xfrm>
                          <a:custGeom>
                            <a:avLst/>
                            <a:gdLst/>
                            <a:ahLst/>
                            <a:cxnLst/>
                            <a:rect l="l" t="t" r="r" b="b"/>
                            <a:pathLst>
                              <a:path w="469900">
                                <a:moveTo>
                                  <a:pt x="0" y="0"/>
                                </a:moveTo>
                                <a:lnTo>
                                  <a:pt x="222892" y="0"/>
                                </a:lnTo>
                              </a:path>
                              <a:path w="469900">
                                <a:moveTo>
                                  <a:pt x="277353" y="0"/>
                                </a:moveTo>
                                <a:lnTo>
                                  <a:pt x="469904" y="0"/>
                                </a:lnTo>
                              </a:path>
                            </a:pathLst>
                          </a:custGeom>
                          <a:ln w="9335">
                            <a:solidFill>
                              <a:srgbClr val="000000"/>
                            </a:solidFill>
                            <a:prstDash val="solid"/>
                          </a:ln>
                        </wps:spPr>
                        <wps:bodyPr wrap="square" lIns="0" tIns="0" rIns="0" bIns="0" rtlCol="0">
                          <a:prstTxWarp prst="textNoShape">
                            <a:avLst/>
                          </a:prstTxWarp>
                          <a:noAutofit/>
                        </wps:bodyPr>
                      </wps:wsp>
                      <wps:wsp>
                        <wps:cNvPr id="2280" name="Graphic 2280"/>
                        <wps:cNvSpPr/>
                        <wps:spPr>
                          <a:xfrm>
                            <a:off x="222892" y="0"/>
                            <a:ext cx="54610" cy="65405"/>
                          </a:xfrm>
                          <a:custGeom>
                            <a:avLst/>
                            <a:gdLst/>
                            <a:ahLst/>
                            <a:cxnLst/>
                            <a:rect l="l" t="t" r="r" b="b"/>
                            <a:pathLst>
                              <a:path w="54610" h="65405">
                                <a:moveTo>
                                  <a:pt x="54460" y="65350"/>
                                </a:moveTo>
                                <a:lnTo>
                                  <a:pt x="0" y="65350"/>
                                </a:lnTo>
                                <a:lnTo>
                                  <a:pt x="0" y="0"/>
                                </a:lnTo>
                                <a:lnTo>
                                  <a:pt x="54460" y="0"/>
                                </a:lnTo>
                                <a:lnTo>
                                  <a:pt x="54460"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4B1D6A1" id="Group 2278" o:spid="_x0000_s1026" style="position:absolute;margin-left:386.95pt;margin-top:18.4pt;width:37pt;height:5.15pt;z-index:-15377408;mso-wrap-distance-left:0;mso-wrap-distance-right:0;mso-position-horizontal-relative:page" coordsize="46990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">
                <v:shape id="Graphic 2279" o:spid="_x0000_s1027" style="position:absolute;top:28006;width:469900;height:1270;visibility:visible;mso-wrap-style:square;v-text-anchor:top" coordsize="469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" path="m,l222892,em277353,l469904,e" filled="f" strokeweight=".25931mm">
                  <v:path arrowok="t"/>
                </v:shape>
                <v:shape id="Graphic 2280" o:spid="_x0000_s1028" style="position:absolute;left:222892;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" path="m54460,65350l,65350,,,54460,r,65350xe" fillcolor="#0000c0" stroked="f">
                  <v:path arrowok="t"/>
                </v:shape>
                <w10:wrap type="topAndBottom" anchorx="page"/>
              </v:group>
            </w:pict>
          </mc:Fallback>
        </mc:AlternateContent>
      </w:r>
      <w:r w:rsidRPr="003C6DAE">
        <w:rPr>
          <w:rFonts w:ascii="Trebuchet MS"/>
          <w:noProof/>
          <w:sz w:val="9"/>
          <w:lang w:val="uk-UA"/>
        </w:rPr>
        <mc:AlternateContent>
          <mc:Choice Requires="wpg">
            <w:drawing>
              <wp:anchor distT="0" distB="0" distL="0" distR="0" simplePos="0" relativeHeight="487939584" behindDoc="1" locked="0" layoutInCell="1" allowOverlap="1" wp14:anchorId="0B8B6F53" wp14:editId="0CA72260">
                <wp:simplePos x="0" y="0"/>
                <wp:positionH relativeFrom="page">
                  <wp:posOffset>4929210</wp:posOffset>
                </wp:positionH>
                <wp:positionV relativeFrom="paragraph">
                  <wp:posOffset>383350</wp:posOffset>
                </wp:positionV>
                <wp:extent cx="424180" cy="65405"/>
                <wp:effectExtent l="0" t="0" r="0" b="0"/>
                <wp:wrapTopAndBottom/>
                <wp:docPr id="2281" name="Group 2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65405"/>
                          <a:chOff x="0" y="0"/>
                          <a:chExt cx="424180" cy="65405"/>
                        </a:xfrm>
                      </wpg:grpSpPr>
                      <wps:wsp>
                        <wps:cNvPr id="2282" name="Graphic 2282"/>
                        <wps:cNvSpPr/>
                        <wps:spPr>
                          <a:xfrm>
                            <a:off x="0" y="28006"/>
                            <a:ext cx="424180" cy="1270"/>
                          </a:xfrm>
                          <a:custGeom>
                            <a:avLst/>
                            <a:gdLst/>
                            <a:ahLst/>
                            <a:cxnLst/>
                            <a:rect l="l" t="t" r="r" b="b"/>
                            <a:pathLst>
                              <a:path w="424180">
                                <a:moveTo>
                                  <a:pt x="0" y="0"/>
                                </a:moveTo>
                                <a:lnTo>
                                  <a:pt x="196053" y="0"/>
                                </a:lnTo>
                              </a:path>
                              <a:path w="424180">
                                <a:moveTo>
                                  <a:pt x="250512" y="0"/>
                                </a:moveTo>
                                <a:lnTo>
                                  <a:pt x="424002" y="0"/>
                                </a:lnTo>
                              </a:path>
                            </a:pathLst>
                          </a:custGeom>
                          <a:ln w="9335">
                            <a:solidFill>
                              <a:srgbClr val="000000"/>
                            </a:solidFill>
                            <a:prstDash val="solid"/>
                          </a:ln>
                        </wps:spPr>
                        <wps:bodyPr wrap="square" lIns="0" tIns="0" rIns="0" bIns="0" rtlCol="0">
                          <a:prstTxWarp prst="textNoShape">
                            <a:avLst/>
                          </a:prstTxWarp>
                          <a:noAutofit/>
                        </wps:bodyPr>
                      </wps:wsp>
                      <wps:wsp>
                        <wps:cNvPr id="2283" name="Graphic 2283"/>
                        <wps:cNvSpPr/>
                        <wps:spPr>
                          <a:xfrm>
                            <a:off x="196053"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6A38724" id="Group 2281" o:spid="_x0000_s1026" style="position:absolute;margin-left:388.15pt;margin-top:30.2pt;width:33.4pt;height:5.15pt;z-index:-15376896;mso-wrap-distance-left:0;mso-wrap-distance-right:0;mso-position-horizontal-relative:page" coordsize="42418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">
                <v:shape id="Graphic 2282" o:spid="_x0000_s1027" style="position:absolute;top:28006;width:424180;height:1270;visibility:visible;mso-wrap-style:square;v-text-anchor:top" coordsize="424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" path="m,l196053,em250512,l424002,e" filled="f" strokeweight=".25931mm">
                  <v:path arrowok="t"/>
                </v:shape>
                <v:shape id="Graphic 2283" o:spid="_x0000_s1028" style="position:absolute;left:196053;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" path="m54459,65350l,65350,,,54459,r,65350xe" fillcolor="#0000c0" stroked="f">
                  <v:path arrowok="t"/>
                </v:shape>
                <w10:wrap type="topAndBottom" anchorx="page"/>
              </v:group>
            </w:pict>
          </mc:Fallback>
        </mc:AlternateContent>
      </w:r>
      <w:r w:rsidRPr="003C6DAE">
        <w:rPr>
          <w:rFonts w:ascii="Trebuchet MS"/>
          <w:noProof/>
          <w:sz w:val="9"/>
          <w:lang w:val="uk-UA"/>
        </w:rPr>
        <mc:AlternateContent>
          <mc:Choice Requires="wpg">
            <w:drawing>
              <wp:anchor distT="0" distB="0" distL="0" distR="0" simplePos="0" relativeHeight="487940096" behindDoc="1" locked="0" layoutInCell="1" allowOverlap="1" wp14:anchorId="03BA2F93" wp14:editId="02DE6916">
                <wp:simplePos x="0" y="0"/>
                <wp:positionH relativeFrom="page">
                  <wp:posOffset>4698148</wp:posOffset>
                </wp:positionH>
                <wp:positionV relativeFrom="paragraph">
                  <wp:posOffset>532723</wp:posOffset>
                </wp:positionV>
                <wp:extent cx="807720" cy="65405"/>
                <wp:effectExtent l="0" t="0" r="0" b="0"/>
                <wp:wrapTopAndBottom/>
                <wp:docPr id="2284" name="Group 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7720" cy="65405"/>
                          <a:chOff x="0" y="0"/>
                          <a:chExt cx="807720" cy="65405"/>
                        </a:xfrm>
                      </wpg:grpSpPr>
                      <wps:wsp>
                        <wps:cNvPr id="2285" name="Graphic 2285"/>
                        <wps:cNvSpPr/>
                        <wps:spPr>
                          <a:xfrm>
                            <a:off x="0" y="28007"/>
                            <a:ext cx="807720" cy="1270"/>
                          </a:xfrm>
                          <a:custGeom>
                            <a:avLst/>
                            <a:gdLst/>
                            <a:ahLst/>
                            <a:cxnLst/>
                            <a:rect l="l" t="t" r="r" b="b"/>
                            <a:pathLst>
                              <a:path w="807720">
                                <a:moveTo>
                                  <a:pt x="0" y="0"/>
                                </a:moveTo>
                                <a:lnTo>
                                  <a:pt x="380435" y="0"/>
                                </a:lnTo>
                              </a:path>
                              <a:path w="807720">
                                <a:moveTo>
                                  <a:pt x="434894" y="0"/>
                                </a:moveTo>
                                <a:lnTo>
                                  <a:pt x="807161" y="0"/>
                                </a:lnTo>
                              </a:path>
                            </a:pathLst>
                          </a:custGeom>
                          <a:ln w="9335">
                            <a:solidFill>
                              <a:srgbClr val="000000"/>
                            </a:solidFill>
                            <a:prstDash val="solid"/>
                          </a:ln>
                        </wps:spPr>
                        <wps:bodyPr wrap="square" lIns="0" tIns="0" rIns="0" bIns="0" rtlCol="0">
                          <a:prstTxWarp prst="textNoShape">
                            <a:avLst/>
                          </a:prstTxWarp>
                          <a:noAutofit/>
                        </wps:bodyPr>
                      </wps:wsp>
                      <wps:wsp>
                        <wps:cNvPr id="2286" name="Graphic 2286"/>
                        <wps:cNvSpPr/>
                        <wps:spPr>
                          <a:xfrm>
                            <a:off x="380435" y="0"/>
                            <a:ext cx="54610" cy="65405"/>
                          </a:xfrm>
                          <a:custGeom>
                            <a:avLst/>
                            <a:gdLst/>
                            <a:ahLst/>
                            <a:cxnLst/>
                            <a:rect l="l" t="t" r="r" b="b"/>
                            <a:pathLst>
                              <a:path w="54610" h="65405">
                                <a:moveTo>
                                  <a:pt x="54458" y="65350"/>
                                </a:moveTo>
                                <a:lnTo>
                                  <a:pt x="0" y="65350"/>
                                </a:lnTo>
                                <a:lnTo>
                                  <a:pt x="0" y="0"/>
                                </a:lnTo>
                                <a:lnTo>
                                  <a:pt x="54458" y="0"/>
                                </a:lnTo>
                                <a:lnTo>
                                  <a:pt x="54458"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6C8F6D0" id="Group 2284" o:spid="_x0000_s1026" style="position:absolute;margin-left:369.95pt;margin-top:41.95pt;width:63.6pt;height:5.15pt;z-index:-15376384;mso-wrap-distance-left:0;mso-wrap-distance-right:0;mso-position-horizontal-relative:page" coordsize="807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">
                <v:shape id="Graphic 2285" o:spid="_x0000_s1027" style="position:absolute;top:280;width:8077;height:12;visibility:visible;mso-wrap-style:square;v-text-anchor:top" coordsize="807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" path="m,l380435,em434894,l807161,e" filled="f" strokeweight=".25931mm">
                  <v:path arrowok="t"/>
                </v:shape>
                <v:shape id="Graphic 2286" o:spid="_x0000_s1028" style="position:absolute;left:3804;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" path="m54458,65350l,65350,,,54458,r,65350xe" fillcolor="#0000c0" stroked="f">
                  <v:path arrowok="t"/>
                </v:shape>
                <w10:wrap type="topAndBottom" anchorx="page"/>
              </v:group>
            </w:pict>
          </mc:Fallback>
        </mc:AlternateContent>
      </w:r>
      <w:r w:rsidRPr="003C6DAE">
        <w:rPr>
          <w:rFonts w:ascii="Trebuchet MS"/>
          <w:noProof/>
          <w:sz w:val="9"/>
          <w:lang w:val="uk-UA"/>
        </w:rPr>
        <mc:AlternateContent>
          <mc:Choice Requires="wpg">
            <w:drawing>
              <wp:anchor distT="0" distB="0" distL="0" distR="0" simplePos="0" relativeHeight="487940608" behindDoc="1" locked="0" layoutInCell="1" allowOverlap="1" wp14:anchorId="10D70796" wp14:editId="29722AEA">
                <wp:simplePos x="0" y="0"/>
                <wp:positionH relativeFrom="page">
                  <wp:posOffset>4814457</wp:posOffset>
                </wp:positionH>
                <wp:positionV relativeFrom="paragraph">
                  <wp:posOffset>682097</wp:posOffset>
                </wp:positionV>
                <wp:extent cx="519430" cy="65405"/>
                <wp:effectExtent l="0" t="0" r="0" b="0"/>
                <wp:wrapTopAndBottom/>
                <wp:docPr id="2287"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430" cy="65405"/>
                          <a:chOff x="0" y="0"/>
                          <a:chExt cx="519430" cy="65405"/>
                        </a:xfrm>
                      </wpg:grpSpPr>
                      <wps:wsp>
                        <wps:cNvPr id="2288" name="Graphic 2288"/>
                        <wps:cNvSpPr/>
                        <wps:spPr>
                          <a:xfrm>
                            <a:off x="0" y="28007"/>
                            <a:ext cx="519430" cy="1270"/>
                          </a:xfrm>
                          <a:custGeom>
                            <a:avLst/>
                            <a:gdLst/>
                            <a:ahLst/>
                            <a:cxnLst/>
                            <a:rect l="l" t="t" r="r" b="b"/>
                            <a:pathLst>
                              <a:path w="519430">
                                <a:moveTo>
                                  <a:pt x="0" y="0"/>
                                </a:moveTo>
                                <a:lnTo>
                                  <a:pt x="227950" y="0"/>
                                </a:lnTo>
                              </a:path>
                              <a:path w="519430">
                                <a:moveTo>
                                  <a:pt x="282409" y="0"/>
                                </a:moveTo>
                                <a:lnTo>
                                  <a:pt x="519306" y="0"/>
                                </a:lnTo>
                              </a:path>
                            </a:pathLst>
                          </a:custGeom>
                          <a:ln w="9335">
                            <a:solidFill>
                              <a:srgbClr val="000000"/>
                            </a:solidFill>
                            <a:prstDash val="solid"/>
                          </a:ln>
                        </wps:spPr>
                        <wps:bodyPr wrap="square" lIns="0" tIns="0" rIns="0" bIns="0" rtlCol="0">
                          <a:prstTxWarp prst="textNoShape">
                            <a:avLst/>
                          </a:prstTxWarp>
                          <a:noAutofit/>
                        </wps:bodyPr>
                      </wps:wsp>
                      <wps:wsp>
                        <wps:cNvPr id="2289" name="Graphic 2289"/>
                        <wps:cNvSpPr/>
                        <wps:spPr>
                          <a:xfrm>
                            <a:off x="227950" y="0"/>
                            <a:ext cx="54610" cy="65405"/>
                          </a:xfrm>
                          <a:custGeom>
                            <a:avLst/>
                            <a:gdLst/>
                            <a:ahLst/>
                            <a:cxnLst/>
                            <a:rect l="l" t="t" r="r" b="b"/>
                            <a:pathLst>
                              <a:path w="54610" h="65405">
                                <a:moveTo>
                                  <a:pt x="54458" y="65350"/>
                                </a:moveTo>
                                <a:lnTo>
                                  <a:pt x="0" y="65350"/>
                                </a:lnTo>
                                <a:lnTo>
                                  <a:pt x="0" y="0"/>
                                </a:lnTo>
                                <a:lnTo>
                                  <a:pt x="54458" y="0"/>
                                </a:lnTo>
                                <a:lnTo>
                                  <a:pt x="54458"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956E156" id="Group 2287" o:spid="_x0000_s1026" style="position:absolute;margin-left:379.1pt;margin-top:53.7pt;width:40.9pt;height:5.15pt;z-index:-15375872;mso-wrap-distance-left:0;mso-wrap-distance-right:0;mso-position-horizontal-relative:page" coordsize="51943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">
                <v:shape id="Graphic 2288" o:spid="_x0000_s1027" style="position:absolute;top:28007;width:519430;height:1270;visibility:visible;mso-wrap-style:square;v-text-anchor:top" coordsize="519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" path="m,l227950,em282409,l519306,e" filled="f" strokeweight=".25931mm">
                  <v:path arrowok="t"/>
                </v:shape>
                <v:shape id="Graphic 2289" o:spid="_x0000_s1028" style="position:absolute;left:227950;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" path="m54458,65350l,65350,,,54458,r,65350xe" fillcolor="#0000c0" stroked="f">
                  <v:path arrowok="t"/>
                </v:shape>
                <w10:wrap type="topAndBottom" anchorx="page"/>
              </v:group>
            </w:pict>
          </mc:Fallback>
        </mc:AlternateContent>
      </w:r>
    </w:p>
    <w:p w14:paraId="53130015" w14:textId="77777777" w:rsidR="00E05B98" w:rsidRPr="003C6DAE" w:rsidRDefault="00E05B98">
      <w:pPr>
        <w:pStyle w:val="a3"/>
        <w:spacing w:before="3"/>
        <w:rPr>
          <w:rFonts w:ascii="Trebuchet MS"/>
          <w:sz w:val="9"/>
          <w:lang w:val="uk-UA"/>
        </w:rPr>
      </w:pPr>
    </w:p>
    <w:p w14:paraId="1AF7046A" w14:textId="77777777" w:rsidR="00E05B98" w:rsidRPr="003C6DAE" w:rsidRDefault="00E05B98">
      <w:pPr>
        <w:pStyle w:val="a3"/>
        <w:spacing w:before="3"/>
        <w:rPr>
          <w:rFonts w:ascii="Trebuchet MS"/>
          <w:sz w:val="9"/>
          <w:lang w:val="uk-UA"/>
        </w:rPr>
      </w:pPr>
    </w:p>
    <w:p w14:paraId="117127BC" w14:textId="77777777" w:rsidR="00E05B98" w:rsidRPr="003C6DAE" w:rsidRDefault="00E05B98">
      <w:pPr>
        <w:pStyle w:val="a3"/>
        <w:spacing w:before="3"/>
        <w:rPr>
          <w:rFonts w:ascii="Trebuchet MS"/>
          <w:sz w:val="9"/>
          <w:lang w:val="uk-UA"/>
        </w:rPr>
      </w:pPr>
    </w:p>
    <w:p w14:paraId="3D0E06E0" w14:textId="77777777" w:rsidR="00E05B98" w:rsidRPr="003C6DAE" w:rsidRDefault="00E05B98">
      <w:pPr>
        <w:pStyle w:val="a3"/>
        <w:spacing w:before="3"/>
        <w:rPr>
          <w:rFonts w:ascii="Trebuchet MS"/>
          <w:sz w:val="9"/>
          <w:lang w:val="uk-UA"/>
        </w:rPr>
      </w:pPr>
    </w:p>
    <w:p w14:paraId="5E2AA653" w14:textId="77777777" w:rsidR="00E05B98" w:rsidRPr="003C6DAE" w:rsidRDefault="00E05B98">
      <w:pPr>
        <w:pStyle w:val="a3"/>
        <w:spacing w:before="158"/>
        <w:rPr>
          <w:rFonts w:ascii="Trebuchet MS"/>
          <w:sz w:val="17"/>
          <w:lang w:val="uk-UA"/>
        </w:rPr>
      </w:pPr>
    </w:p>
    <w:p w14:paraId="253BAE06" w14:textId="77777777" w:rsidR="00E05B98" w:rsidRPr="003C6DAE" w:rsidRDefault="00B01E0C">
      <w:pPr>
        <w:spacing w:before="1"/>
        <w:ind w:left="1"/>
        <w:rPr>
          <w:rFonts w:ascii="Trebuchet MS"/>
          <w:sz w:val="17"/>
          <w:lang w:val="uk-UA"/>
        </w:rPr>
      </w:pPr>
      <w:r w:rsidRPr="003C6DAE">
        <w:rPr>
          <w:rFonts w:ascii="Trebuchet MS"/>
          <w:noProof/>
          <w:sz w:val="17"/>
          <w:lang w:val="uk-UA"/>
        </w:rPr>
        <mc:AlternateContent>
          <mc:Choice Requires="wpg">
            <w:drawing>
              <wp:anchor distT="0" distB="0" distL="0" distR="0" simplePos="0" relativeHeight="16088064" behindDoc="0" locked="0" layoutInCell="1" allowOverlap="1" wp14:anchorId="634A80E2" wp14:editId="7B727ED1">
                <wp:simplePos x="0" y="0"/>
                <wp:positionH relativeFrom="page">
                  <wp:posOffset>4658471</wp:posOffset>
                </wp:positionH>
                <wp:positionV relativeFrom="paragraph">
                  <wp:posOffset>-1784761</wp:posOffset>
                </wp:positionV>
                <wp:extent cx="941705" cy="65405"/>
                <wp:effectExtent l="0" t="0" r="0" b="0"/>
                <wp:wrapNone/>
                <wp:docPr id="2290" name="Group 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1705" cy="65405"/>
                          <a:chOff x="0" y="0"/>
                          <a:chExt cx="941705" cy="65405"/>
                        </a:xfrm>
                      </wpg:grpSpPr>
                      <wps:wsp>
                        <wps:cNvPr id="2291" name="Graphic 2291"/>
                        <wps:cNvSpPr/>
                        <wps:spPr>
                          <a:xfrm>
                            <a:off x="0" y="28008"/>
                            <a:ext cx="887094" cy="1270"/>
                          </a:xfrm>
                          <a:custGeom>
                            <a:avLst/>
                            <a:gdLst/>
                            <a:ahLst/>
                            <a:cxnLst/>
                            <a:rect l="l" t="t" r="r" b="b"/>
                            <a:pathLst>
                              <a:path w="887094">
                                <a:moveTo>
                                  <a:pt x="0" y="0"/>
                                </a:moveTo>
                                <a:lnTo>
                                  <a:pt x="886905" y="0"/>
                                </a:lnTo>
                              </a:path>
                            </a:pathLst>
                          </a:custGeom>
                          <a:ln w="9335">
                            <a:solidFill>
                              <a:srgbClr val="000000"/>
                            </a:solidFill>
                            <a:prstDash val="solid"/>
                          </a:ln>
                        </wps:spPr>
                        <wps:bodyPr wrap="square" lIns="0" tIns="0" rIns="0" bIns="0" rtlCol="0">
                          <a:prstTxWarp prst="textNoShape">
                            <a:avLst/>
                          </a:prstTxWarp>
                          <a:noAutofit/>
                        </wps:bodyPr>
                      </wps:wsp>
                      <wps:wsp>
                        <wps:cNvPr id="2292" name="Graphic 2292"/>
                        <wps:cNvSpPr/>
                        <wps:spPr>
                          <a:xfrm>
                            <a:off x="886905" y="0"/>
                            <a:ext cx="54610" cy="65405"/>
                          </a:xfrm>
                          <a:custGeom>
                            <a:avLst/>
                            <a:gdLst/>
                            <a:ahLst/>
                            <a:cxnLst/>
                            <a:rect l="l" t="t" r="r" b="b"/>
                            <a:pathLst>
                              <a:path w="54610" h="65405">
                                <a:moveTo>
                                  <a:pt x="54458" y="65350"/>
                                </a:moveTo>
                                <a:lnTo>
                                  <a:pt x="0" y="65350"/>
                                </a:lnTo>
                                <a:lnTo>
                                  <a:pt x="0" y="0"/>
                                </a:lnTo>
                                <a:lnTo>
                                  <a:pt x="54458" y="0"/>
                                </a:lnTo>
                                <a:lnTo>
                                  <a:pt x="54458"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BDF246D" id="Group 2290" o:spid="_x0000_s1026" style="position:absolute;margin-left:366.8pt;margin-top:-140.55pt;width:74.15pt;height:5.15pt;z-index:16088064;mso-wrap-distance-left:0;mso-wrap-distance-right:0;mso-position-horizontal-relative:page" coordsize="941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">
                <v:shape id="Graphic 2291" o:spid="_x0000_s1027" style="position:absolute;top:280;width:8870;height:12;visibility:visible;mso-wrap-style:square;v-text-anchor:top" coordsize="8870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" path="m,l886905,e" filled="f" strokeweight=".25931mm">
                  <v:path arrowok="t"/>
                </v:shape>
                <v:shape id="Graphic 2292" o:spid="_x0000_s1028" style="position:absolute;left:8869;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" path="m54458,65350l,65350,,,54458,r,65350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6088576" behindDoc="0" locked="0" layoutInCell="1" allowOverlap="1" wp14:anchorId="6212560C" wp14:editId="7277FFC6">
                <wp:simplePos x="0" y="0"/>
                <wp:positionH relativeFrom="page">
                  <wp:posOffset>5006231</wp:posOffset>
                </wp:positionH>
                <wp:positionV relativeFrom="paragraph">
                  <wp:posOffset>-1635387</wp:posOffset>
                </wp:positionV>
                <wp:extent cx="593725" cy="65405"/>
                <wp:effectExtent l="0" t="0" r="0" b="0"/>
                <wp:wrapNone/>
                <wp:docPr id="2293"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 cy="65405"/>
                          <a:chOff x="0" y="0"/>
                          <a:chExt cx="593725" cy="65405"/>
                        </a:xfrm>
                      </wpg:grpSpPr>
                      <wps:wsp>
                        <wps:cNvPr id="2294" name="Graphic 2294"/>
                        <wps:cNvSpPr/>
                        <wps:spPr>
                          <a:xfrm>
                            <a:off x="0" y="28008"/>
                            <a:ext cx="539750" cy="1270"/>
                          </a:xfrm>
                          <a:custGeom>
                            <a:avLst/>
                            <a:gdLst/>
                            <a:ahLst/>
                            <a:cxnLst/>
                            <a:rect l="l" t="t" r="r" b="b"/>
                            <a:pathLst>
                              <a:path w="539750">
                                <a:moveTo>
                                  <a:pt x="0" y="0"/>
                                </a:moveTo>
                                <a:lnTo>
                                  <a:pt x="539145" y="0"/>
                                </a:lnTo>
                              </a:path>
                            </a:pathLst>
                          </a:custGeom>
                          <a:ln w="9335">
                            <a:solidFill>
                              <a:srgbClr val="000000"/>
                            </a:solidFill>
                            <a:prstDash val="solid"/>
                          </a:ln>
                        </wps:spPr>
                        <wps:bodyPr wrap="square" lIns="0" tIns="0" rIns="0" bIns="0" rtlCol="0">
                          <a:prstTxWarp prst="textNoShape">
                            <a:avLst/>
                          </a:prstTxWarp>
                          <a:noAutofit/>
                        </wps:bodyPr>
                      </wps:wsp>
                      <wps:wsp>
                        <wps:cNvPr id="2295" name="Graphic 2295"/>
                        <wps:cNvSpPr/>
                        <wps:spPr>
                          <a:xfrm>
                            <a:off x="539145" y="0"/>
                            <a:ext cx="54610" cy="65405"/>
                          </a:xfrm>
                          <a:custGeom>
                            <a:avLst/>
                            <a:gdLst/>
                            <a:ahLst/>
                            <a:cxnLst/>
                            <a:rect l="l" t="t" r="r" b="b"/>
                            <a:pathLst>
                              <a:path w="54610" h="65405">
                                <a:moveTo>
                                  <a:pt x="54458" y="65350"/>
                                </a:moveTo>
                                <a:lnTo>
                                  <a:pt x="0" y="65350"/>
                                </a:lnTo>
                                <a:lnTo>
                                  <a:pt x="0" y="0"/>
                                </a:lnTo>
                                <a:lnTo>
                                  <a:pt x="54458" y="0"/>
                                </a:lnTo>
                                <a:lnTo>
                                  <a:pt x="54458"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63B14DF" id="Group 2293" o:spid="_x0000_s1026" style="position:absolute;margin-left:394.2pt;margin-top:-128.75pt;width:46.75pt;height:5.15pt;z-index:16088576;mso-wrap-distance-left:0;mso-wrap-distance-right:0;mso-position-horizontal-relative:page" coordsize="593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">
                <v:shape id="Graphic 2294" o:spid="_x0000_s1027" style="position:absolute;top:280;width:5397;height:12;visibility:visible;mso-wrap-style:square;v-text-anchor:top" coordsize="539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" path="m,l539145,e" filled="f" strokeweight=".25931mm">
                  <v:path arrowok="t"/>
                </v:shape>
                <v:shape id="Graphic 2295" o:spid="_x0000_s1028" style="position:absolute;left:5391;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" path="m54458,65350l,65350,,,54458,r,65350xe" fillcolor="#0000c0" stroked="f">
                  <v:path arrowok="t"/>
                </v:shape>
                <w10:wrap anchorx="page"/>
              </v:group>
            </w:pict>
          </mc:Fallback>
        </mc:AlternateContent>
      </w:r>
      <w:r w:rsidRPr="003C6DAE">
        <w:rPr>
          <w:rFonts w:ascii="Trebuchet MS"/>
          <w:noProof/>
          <w:sz w:val="17"/>
          <w:lang w:val="uk-UA"/>
        </w:rPr>
        <mc:AlternateContent>
          <mc:Choice Requires="wpg">
            <w:drawing>
              <wp:anchor distT="0" distB="0" distL="0" distR="0" simplePos="0" relativeHeight="16089088" behindDoc="0" locked="0" layoutInCell="1" allowOverlap="1" wp14:anchorId="51417AF0" wp14:editId="009C45D8">
                <wp:simplePos x="0" y="0"/>
                <wp:positionH relativeFrom="page">
                  <wp:posOffset>4611792</wp:posOffset>
                </wp:positionH>
                <wp:positionV relativeFrom="paragraph">
                  <wp:posOffset>-141651</wp:posOffset>
                </wp:positionV>
                <wp:extent cx="953135" cy="140335"/>
                <wp:effectExtent l="0" t="0" r="0" b="0"/>
                <wp:wrapNone/>
                <wp:docPr id="2296" name="Group 2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3135" cy="140335"/>
                          <a:chOff x="0" y="0"/>
                          <a:chExt cx="953135" cy="140335"/>
                        </a:xfrm>
                      </wpg:grpSpPr>
                      <wps:wsp>
                        <wps:cNvPr id="2297" name="Graphic 2297"/>
                        <wps:cNvSpPr/>
                        <wps:spPr>
                          <a:xfrm>
                            <a:off x="54459" y="28007"/>
                            <a:ext cx="878840" cy="1270"/>
                          </a:xfrm>
                          <a:custGeom>
                            <a:avLst/>
                            <a:gdLst/>
                            <a:ahLst/>
                            <a:cxnLst/>
                            <a:rect l="l" t="t" r="r" b="b"/>
                            <a:pathLst>
                              <a:path w="878840">
                                <a:moveTo>
                                  <a:pt x="0" y="0"/>
                                </a:moveTo>
                                <a:lnTo>
                                  <a:pt x="878735" y="0"/>
                                </a:lnTo>
                              </a:path>
                            </a:pathLst>
                          </a:custGeom>
                          <a:ln w="9335">
                            <a:solidFill>
                              <a:srgbClr val="000000"/>
                            </a:solidFill>
                            <a:prstDash val="solid"/>
                          </a:ln>
                        </wps:spPr>
                        <wps:bodyPr wrap="square" lIns="0" tIns="0" rIns="0" bIns="0" rtlCol="0">
                          <a:prstTxWarp prst="textNoShape">
                            <a:avLst/>
                          </a:prstTxWarp>
                          <a:noAutofit/>
                        </wps:bodyPr>
                      </wps:wsp>
                      <wps:wsp>
                        <wps:cNvPr id="2298" name="Graphic 2298"/>
                        <wps:cNvSpPr/>
                        <wps:spPr>
                          <a:xfrm>
                            <a:off x="0"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s:wsp>
                        <wps:cNvPr id="2299" name="Graphic 2299"/>
                        <wps:cNvSpPr/>
                        <wps:spPr>
                          <a:xfrm>
                            <a:off x="23339" y="102694"/>
                            <a:ext cx="925830" cy="1270"/>
                          </a:xfrm>
                          <a:custGeom>
                            <a:avLst/>
                            <a:gdLst/>
                            <a:ahLst/>
                            <a:cxnLst/>
                            <a:rect l="l" t="t" r="r" b="b"/>
                            <a:pathLst>
                              <a:path w="925830">
                                <a:moveTo>
                                  <a:pt x="0" y="0"/>
                                </a:moveTo>
                                <a:lnTo>
                                  <a:pt x="925804" y="0"/>
                                </a:lnTo>
                              </a:path>
                            </a:pathLst>
                          </a:custGeom>
                          <a:ln w="9335">
                            <a:solidFill>
                              <a:srgbClr val="000000"/>
                            </a:solidFill>
                            <a:prstDash val="solid"/>
                          </a:ln>
                        </wps:spPr>
                        <wps:bodyPr wrap="square" lIns="0" tIns="0" rIns="0" bIns="0" rtlCol="0">
                          <a:prstTxWarp prst="textNoShape">
                            <a:avLst/>
                          </a:prstTxWarp>
                          <a:noAutofit/>
                        </wps:bodyPr>
                      </wps:wsp>
                      <wps:wsp>
                        <wps:cNvPr id="2300" name="Graphic 2300"/>
                        <wps:cNvSpPr/>
                        <wps:spPr>
                          <a:xfrm>
                            <a:off x="23339" y="65350"/>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301" name="Graphic 2301"/>
                        <wps:cNvSpPr/>
                        <wps:spPr>
                          <a:xfrm>
                            <a:off x="208499" y="65350"/>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302" name="Graphic 2302"/>
                        <wps:cNvSpPr/>
                        <wps:spPr>
                          <a:xfrm>
                            <a:off x="393660" y="65350"/>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303" name="Graphic 2303"/>
                        <wps:cNvSpPr/>
                        <wps:spPr>
                          <a:xfrm>
                            <a:off x="578431" y="65350"/>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304" name="Graphic 2304"/>
                        <wps:cNvSpPr/>
                        <wps:spPr>
                          <a:xfrm>
                            <a:off x="763981" y="65350"/>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305" name="Graphic 2305"/>
                        <wps:cNvSpPr/>
                        <wps:spPr>
                          <a:xfrm>
                            <a:off x="949141" y="65350"/>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B8B983" id="Group 2296" o:spid="_x0000_s1026" style="position:absolute;margin-left:363.15pt;margin-top:-11.15pt;width:75.05pt;height:11.05pt;z-index:16089088;mso-wrap-distance-left:0;mso-wrap-distance-right:0;mso-position-horizontal-relative:page" coordsize="9531,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">
                <v:shape id="Graphic 2297" o:spid="_x0000_s1027" style="position:absolute;left:544;top:280;width:8788;height:12;visibility:visible;mso-wrap-style:square;v-text-anchor:top" coordsize="878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" path="m,l878735,e" filled="f" strokeweight=".25931mm">
                  <v:path arrowok="t"/>
                </v:shape>
                <v:shape id="Graphic 2298" o:spid="_x0000_s1028" style="position:absolute;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" path="m54459,65350l,65350,,,54459,r,65350xe" fillcolor="#0000c0" stroked="f">
                  <v:path arrowok="t"/>
                </v:shape>
                <v:shape id="Graphic 2299" o:spid="_x0000_s1029" style="position:absolute;left:233;top:1026;width:9258;height:13;visibility:visible;mso-wrap-style:square;v-text-anchor:top" coordsize="925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" path="m,l925804,e" filled="f" strokeweight=".25931mm">
                  <v:path arrowok="t"/>
                </v:shape>
                <v:shape id="Graphic 2300" o:spid="_x0000_s1030" style="position:absolute;left:233;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" path="m,l,74686e" filled="f" strokeweight=".21608mm">
                  <v:path arrowok="t"/>
                </v:shape>
                <v:shape id="Graphic 2301" o:spid="_x0000_s1031" style="position:absolute;left:2084;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" path="m,l,74686e" filled="f" strokeweight=".21608mm">
                  <v:path arrowok="t"/>
                </v:shape>
                <v:shape id="Graphic 2302" o:spid="_x0000_s1032" style="position:absolute;left:3936;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" path="m,l,74686e" filled="f" strokeweight=".21608mm">
                  <v:path arrowok="t"/>
                </v:shape>
                <v:shape id="Graphic 2303" o:spid="_x0000_s1033" style="position:absolute;left:5784;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" path="m,l,74686e" filled="f" strokeweight=".21608mm">
                  <v:path arrowok="t"/>
                </v:shape>
                <v:shape id="Graphic 2304" o:spid="_x0000_s1034" style="position:absolute;left:7639;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" path="m,l,74686e" filled="f" strokeweight=".21608mm">
                  <v:path arrowok="t"/>
                </v:shape>
                <v:shape id="Graphic 2305" o:spid="_x0000_s1035" style="position:absolute;left:9491;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" path="m,l,74686e" filled="f" strokeweight=".21608mm">
                  <v:path arrowok="t"/>
                </v:shape>
                <w10:wrap anchorx="page"/>
              </v:group>
            </w:pict>
          </mc:Fallback>
        </mc:AlternateContent>
      </w:r>
      <w:r w:rsidRPr="003C6DAE">
        <w:rPr>
          <w:rFonts w:ascii="Trebuchet MS"/>
          <w:w w:val="85"/>
          <w:sz w:val="17"/>
          <w:lang w:val="uk-UA"/>
        </w:rPr>
        <w:t>0</w:t>
      </w:r>
      <w:r w:rsidRPr="003C6DAE">
        <w:rPr>
          <w:rFonts w:ascii="Trebuchet MS"/>
          <w:spacing w:val="53"/>
          <w:sz w:val="17"/>
          <w:lang w:val="uk-UA"/>
        </w:rPr>
        <w:t xml:space="preserve"> </w:t>
      </w:r>
      <w:r w:rsidRPr="003C6DAE">
        <w:rPr>
          <w:rFonts w:ascii="Trebuchet MS"/>
          <w:w w:val="85"/>
          <w:sz w:val="17"/>
          <w:lang w:val="uk-UA"/>
        </w:rPr>
        <w:t>0.2</w:t>
      </w:r>
      <w:r w:rsidRPr="003C6DAE">
        <w:rPr>
          <w:rFonts w:ascii="Trebuchet MS"/>
          <w:spacing w:val="35"/>
          <w:sz w:val="17"/>
          <w:lang w:val="uk-UA"/>
        </w:rPr>
        <w:t xml:space="preserve"> </w:t>
      </w:r>
      <w:r w:rsidRPr="003C6DAE">
        <w:rPr>
          <w:rFonts w:ascii="Trebuchet MS"/>
          <w:w w:val="85"/>
          <w:sz w:val="17"/>
          <w:lang w:val="uk-UA"/>
        </w:rPr>
        <w:t>0.4</w:t>
      </w:r>
      <w:r w:rsidRPr="003C6DAE">
        <w:rPr>
          <w:rFonts w:ascii="Trebuchet MS"/>
          <w:spacing w:val="35"/>
          <w:sz w:val="17"/>
          <w:lang w:val="uk-UA"/>
        </w:rPr>
        <w:t xml:space="preserve"> </w:t>
      </w:r>
      <w:r w:rsidRPr="003C6DAE">
        <w:rPr>
          <w:rFonts w:ascii="Trebuchet MS"/>
          <w:w w:val="85"/>
          <w:sz w:val="17"/>
          <w:lang w:val="uk-UA"/>
        </w:rPr>
        <w:t>0.6</w:t>
      </w:r>
      <w:r w:rsidRPr="003C6DAE">
        <w:rPr>
          <w:rFonts w:ascii="Trebuchet MS"/>
          <w:spacing w:val="35"/>
          <w:sz w:val="17"/>
          <w:lang w:val="uk-UA"/>
        </w:rPr>
        <w:t xml:space="preserve"> </w:t>
      </w:r>
      <w:r w:rsidRPr="003C6DAE">
        <w:rPr>
          <w:rFonts w:ascii="Trebuchet MS"/>
          <w:w w:val="85"/>
          <w:sz w:val="17"/>
          <w:lang w:val="uk-UA"/>
        </w:rPr>
        <w:t>0.8</w:t>
      </w:r>
      <w:r w:rsidRPr="003C6DAE">
        <w:rPr>
          <w:rFonts w:ascii="Trebuchet MS"/>
          <w:spacing w:val="55"/>
          <w:sz w:val="17"/>
          <w:lang w:val="uk-UA"/>
        </w:rPr>
        <w:t xml:space="preserve"> </w:t>
      </w:r>
      <w:r w:rsidRPr="003C6DAE">
        <w:rPr>
          <w:rFonts w:ascii="Trebuchet MS"/>
          <w:spacing w:val="-10"/>
          <w:w w:val="85"/>
          <w:sz w:val="17"/>
          <w:lang w:val="uk-UA"/>
        </w:rPr>
        <w:t>1</w:t>
      </w:r>
    </w:p>
    <w:p w14:paraId="7D8FD6EC" w14:textId="77777777" w:rsidR="00E05B98" w:rsidRPr="003C6DAE" w:rsidRDefault="00B01E0C">
      <w:pPr>
        <w:spacing w:before="112"/>
        <w:ind w:left="180"/>
        <w:rPr>
          <w:rFonts w:ascii="Trebuchet MS"/>
          <w:sz w:val="17"/>
          <w:lang w:val="uk-UA"/>
        </w:rPr>
      </w:pPr>
      <w:r w:rsidRPr="003C6DAE">
        <w:rPr>
          <w:lang w:val="uk-UA"/>
        </w:rPr>
        <w:br w:type="column"/>
      </w:r>
      <w:r w:rsidRPr="003C6DAE">
        <w:rPr>
          <w:rFonts w:ascii="Trebuchet MS"/>
          <w:color w:val="333333"/>
          <w:w w:val="80"/>
          <w:sz w:val="17"/>
          <w:lang w:val="uk-UA"/>
        </w:rPr>
        <w:t>S</w:t>
      </w:r>
      <w:r w:rsidRPr="003C6DAE">
        <w:rPr>
          <w:rFonts w:ascii="Trebuchet MS"/>
          <w:color w:val="333333"/>
          <w:spacing w:val="-6"/>
          <w:w w:val="80"/>
          <w:sz w:val="17"/>
          <w:lang w:val="uk-UA"/>
        </w:rPr>
        <w:t xml:space="preserve"> </w:t>
      </w:r>
      <w:proofErr w:type="spellStart"/>
      <w:r w:rsidRPr="003C6DAE">
        <w:rPr>
          <w:rFonts w:ascii="Trebuchet MS"/>
          <w:color w:val="333333"/>
          <w:w w:val="80"/>
          <w:sz w:val="17"/>
          <w:lang w:val="uk-UA"/>
        </w:rPr>
        <w:t>pec</w:t>
      </w:r>
      <w:proofErr w:type="spellEnd"/>
      <w:r w:rsidRPr="003C6DAE">
        <w:rPr>
          <w:rFonts w:ascii="Trebuchet MS"/>
          <w:color w:val="333333"/>
          <w:spacing w:val="-20"/>
          <w:w w:val="80"/>
          <w:sz w:val="17"/>
          <w:lang w:val="uk-UA"/>
        </w:rPr>
        <w:t xml:space="preserve"> </w:t>
      </w:r>
      <w:proofErr w:type="spellStart"/>
      <w:r w:rsidRPr="003C6DAE">
        <w:rPr>
          <w:rFonts w:ascii="Trebuchet MS"/>
          <w:color w:val="333333"/>
          <w:w w:val="80"/>
          <w:sz w:val="17"/>
          <w:lang w:val="uk-UA"/>
        </w:rPr>
        <w:t>ific</w:t>
      </w:r>
      <w:proofErr w:type="spellEnd"/>
      <w:r w:rsidRPr="003C6DAE">
        <w:rPr>
          <w:rFonts w:ascii="Trebuchet MS"/>
          <w:color w:val="333333"/>
          <w:spacing w:val="-20"/>
          <w:w w:val="80"/>
          <w:sz w:val="17"/>
          <w:lang w:val="uk-UA"/>
        </w:rPr>
        <w:t xml:space="preserve"> </w:t>
      </w:r>
      <w:proofErr w:type="spellStart"/>
      <w:r w:rsidRPr="003C6DAE">
        <w:rPr>
          <w:rFonts w:ascii="Trebuchet MS"/>
          <w:color w:val="333333"/>
          <w:w w:val="80"/>
          <w:sz w:val="17"/>
          <w:lang w:val="uk-UA"/>
        </w:rPr>
        <w:t>ity</w:t>
      </w:r>
      <w:proofErr w:type="spellEnd"/>
      <w:r w:rsidRPr="003C6DAE">
        <w:rPr>
          <w:rFonts w:ascii="Trebuchet MS"/>
          <w:color w:val="333333"/>
          <w:spacing w:val="22"/>
          <w:sz w:val="17"/>
          <w:lang w:val="uk-UA"/>
        </w:rPr>
        <w:t xml:space="preserve"> </w:t>
      </w:r>
      <w:r w:rsidRPr="003C6DAE">
        <w:rPr>
          <w:rFonts w:ascii="Trebuchet MS"/>
          <w:color w:val="333333"/>
          <w:w w:val="80"/>
          <w:sz w:val="17"/>
          <w:lang w:val="uk-UA"/>
        </w:rPr>
        <w:t>(95%</w:t>
      </w:r>
      <w:r w:rsidRPr="003C6DAE">
        <w:rPr>
          <w:rFonts w:ascii="Trebuchet MS"/>
          <w:color w:val="333333"/>
          <w:spacing w:val="24"/>
          <w:sz w:val="17"/>
          <w:lang w:val="uk-UA"/>
        </w:rPr>
        <w:t xml:space="preserve"> </w:t>
      </w:r>
      <w:r w:rsidRPr="003C6DAE">
        <w:rPr>
          <w:rFonts w:ascii="Trebuchet MS"/>
          <w:color w:val="333333"/>
          <w:w w:val="80"/>
          <w:sz w:val="17"/>
          <w:lang w:val="uk-UA"/>
        </w:rPr>
        <w:t>C</w:t>
      </w:r>
      <w:r w:rsidRPr="003C6DAE">
        <w:rPr>
          <w:rFonts w:ascii="Trebuchet MS"/>
          <w:color w:val="333333"/>
          <w:spacing w:val="-12"/>
          <w:w w:val="80"/>
          <w:sz w:val="17"/>
          <w:lang w:val="uk-UA"/>
        </w:rPr>
        <w:t xml:space="preserve"> </w:t>
      </w:r>
      <w:r w:rsidRPr="003C6DAE">
        <w:rPr>
          <w:rFonts w:ascii="Trebuchet MS"/>
          <w:color w:val="333333"/>
          <w:spacing w:val="-5"/>
          <w:w w:val="80"/>
          <w:sz w:val="17"/>
          <w:lang w:val="uk-UA"/>
        </w:rPr>
        <w:t>I)</w:t>
      </w:r>
    </w:p>
    <w:p w14:paraId="12350529" w14:textId="77777777" w:rsidR="00E05B98" w:rsidRPr="003C6DAE" w:rsidRDefault="00B01E0C">
      <w:pPr>
        <w:pStyle w:val="a3"/>
        <w:spacing w:before="10"/>
        <w:rPr>
          <w:rFonts w:ascii="Trebuchet MS"/>
          <w:sz w:val="4"/>
          <w:lang w:val="uk-UA"/>
        </w:rPr>
      </w:pPr>
      <w:r w:rsidRPr="003C6DAE">
        <w:rPr>
          <w:rFonts w:ascii="Trebuchet MS"/>
          <w:noProof/>
          <w:sz w:val="4"/>
          <w:lang w:val="uk-UA"/>
        </w:rPr>
        <mc:AlternateContent>
          <mc:Choice Requires="wpg">
            <w:drawing>
              <wp:anchor distT="0" distB="0" distL="0" distR="0" simplePos="0" relativeHeight="487941120" behindDoc="1" locked="0" layoutInCell="1" allowOverlap="1" wp14:anchorId="66168085" wp14:editId="1BE51626">
                <wp:simplePos x="0" y="0"/>
                <wp:positionH relativeFrom="page">
                  <wp:posOffset>6051843</wp:posOffset>
                </wp:positionH>
                <wp:positionV relativeFrom="paragraph">
                  <wp:posOffset>51227</wp:posOffset>
                </wp:positionV>
                <wp:extent cx="410845" cy="65405"/>
                <wp:effectExtent l="0" t="0" r="0" b="0"/>
                <wp:wrapTopAndBottom/>
                <wp:docPr id="2306" name="Group 2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845" cy="65405"/>
                          <a:chOff x="0" y="0"/>
                          <a:chExt cx="410845" cy="65405"/>
                        </a:xfrm>
                      </wpg:grpSpPr>
                      <wps:wsp>
                        <wps:cNvPr id="2307" name="Graphic 2307"/>
                        <wps:cNvSpPr/>
                        <wps:spPr>
                          <a:xfrm>
                            <a:off x="0" y="28007"/>
                            <a:ext cx="410845" cy="1270"/>
                          </a:xfrm>
                          <a:custGeom>
                            <a:avLst/>
                            <a:gdLst/>
                            <a:ahLst/>
                            <a:cxnLst/>
                            <a:rect l="l" t="t" r="r" b="b"/>
                            <a:pathLst>
                              <a:path w="410845">
                                <a:moveTo>
                                  <a:pt x="0" y="0"/>
                                </a:moveTo>
                                <a:lnTo>
                                  <a:pt x="210055" y="0"/>
                                </a:lnTo>
                              </a:path>
                              <a:path w="410845">
                                <a:moveTo>
                                  <a:pt x="264514" y="0"/>
                                </a:moveTo>
                                <a:lnTo>
                                  <a:pt x="410777" y="0"/>
                                </a:lnTo>
                              </a:path>
                            </a:pathLst>
                          </a:custGeom>
                          <a:ln w="9335">
                            <a:solidFill>
                              <a:srgbClr val="000000"/>
                            </a:solidFill>
                            <a:prstDash val="solid"/>
                          </a:ln>
                        </wps:spPr>
                        <wps:bodyPr wrap="square" lIns="0" tIns="0" rIns="0" bIns="0" rtlCol="0">
                          <a:prstTxWarp prst="textNoShape">
                            <a:avLst/>
                          </a:prstTxWarp>
                          <a:noAutofit/>
                        </wps:bodyPr>
                      </wps:wsp>
                      <wps:wsp>
                        <wps:cNvPr id="2308" name="Graphic 2308"/>
                        <wps:cNvSpPr/>
                        <wps:spPr>
                          <a:xfrm>
                            <a:off x="210055"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9767094" id="Group 2306" o:spid="_x0000_s1026" style="position:absolute;margin-left:476.5pt;margin-top:4.05pt;width:32.35pt;height:5.15pt;z-index:-15375360;mso-wrap-distance-left:0;mso-wrap-distance-right:0;mso-position-horizontal-relative:page" coordsize="410845,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">
                <v:shape id="Graphic 2307" o:spid="_x0000_s1027" style="position:absolute;top:28007;width:410845;height:1270;visibility:visible;mso-wrap-style:square;v-text-anchor:top" coordsize="410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" path="m,l210055,em264514,l410777,e" filled="f" strokeweight=".25931mm">
                  <v:path arrowok="t"/>
                </v:shape>
                <v:shape id="Graphic 2308" o:spid="_x0000_s1028" style="position:absolute;left:210055;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" path="m54459,65350l,65350,,,54459,r,6535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941632" behindDoc="1" locked="0" layoutInCell="1" allowOverlap="1" wp14:anchorId="1C70832F" wp14:editId="3E8F70B1">
                <wp:simplePos x="0" y="0"/>
                <wp:positionH relativeFrom="page">
                  <wp:posOffset>6555199</wp:posOffset>
                </wp:positionH>
                <wp:positionV relativeFrom="paragraph">
                  <wp:posOffset>200601</wp:posOffset>
                </wp:positionV>
                <wp:extent cx="56515" cy="65405"/>
                <wp:effectExtent l="0" t="0" r="0" b="0"/>
                <wp:wrapTopAndBottom/>
                <wp:docPr id="2309" name="Group 2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65405"/>
                          <a:chOff x="0" y="0"/>
                          <a:chExt cx="56515" cy="65405"/>
                        </a:xfrm>
                      </wpg:grpSpPr>
                      <wps:wsp>
                        <wps:cNvPr id="2310" name="Graphic 2310"/>
                        <wps:cNvSpPr/>
                        <wps:spPr>
                          <a:xfrm>
                            <a:off x="778" y="23339"/>
                            <a:ext cx="1270" cy="9525"/>
                          </a:xfrm>
                          <a:custGeom>
                            <a:avLst/>
                            <a:gdLst/>
                            <a:ahLst/>
                            <a:cxnLst/>
                            <a:rect l="l" t="t" r="r" b="b"/>
                            <a:pathLst>
                              <a:path h="9525">
                                <a:moveTo>
                                  <a:pt x="0" y="0"/>
                                </a:moveTo>
                                <a:lnTo>
                                  <a:pt x="0" y="9335"/>
                                </a:lnTo>
                              </a:path>
                            </a:pathLst>
                          </a:custGeom>
                          <a:ln w="1556">
                            <a:solidFill>
                              <a:srgbClr val="000000"/>
                            </a:solidFill>
                            <a:prstDash val="solid"/>
                          </a:ln>
                        </wps:spPr>
                        <wps:bodyPr wrap="square" lIns="0" tIns="0" rIns="0" bIns="0" rtlCol="0">
                          <a:prstTxWarp prst="textNoShape">
                            <a:avLst/>
                          </a:prstTxWarp>
                          <a:noAutofit/>
                        </wps:bodyPr>
                      </wps:wsp>
                      <wps:wsp>
                        <wps:cNvPr id="2311" name="Graphic 2311"/>
                        <wps:cNvSpPr/>
                        <wps:spPr>
                          <a:xfrm>
                            <a:off x="1556"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7C6D2FFE" id="Group 2309" o:spid="_x0000_s1026" style="position:absolute;margin-left:516.15pt;margin-top:15.8pt;width:4.45pt;height:5.15pt;z-index:-15374848;mso-wrap-distance-left:0;mso-wrap-distance-right:0;mso-position-horizontal-relative:page" coordsize="56515,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">
                <v:shape id="Graphic 2310" o:spid="_x0000_s1027" style="position:absolute;left:778;top:23339;width:1270;height:952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" path="m,l,9335e" filled="f" strokeweight=".04322mm">
                  <v:path arrowok="t"/>
                </v:shape>
                <v:shape id="Graphic 2311" o:spid="_x0000_s1028" style="position:absolute;left:1556;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" path="m54459,65350l,65350,,,54459,r,6535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942144" behindDoc="1" locked="0" layoutInCell="1" allowOverlap="1" wp14:anchorId="013F5785" wp14:editId="1FE31BAE">
                <wp:simplePos x="0" y="0"/>
                <wp:positionH relativeFrom="page">
                  <wp:posOffset>6219109</wp:posOffset>
                </wp:positionH>
                <wp:positionV relativeFrom="paragraph">
                  <wp:posOffset>349974</wp:posOffset>
                </wp:positionV>
                <wp:extent cx="251460" cy="65405"/>
                <wp:effectExtent l="0" t="0" r="0" b="0"/>
                <wp:wrapTopAndBottom/>
                <wp:docPr id="2312" name="Group 2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65405"/>
                          <a:chOff x="0" y="0"/>
                          <a:chExt cx="251460" cy="65405"/>
                        </a:xfrm>
                      </wpg:grpSpPr>
                      <wps:wsp>
                        <wps:cNvPr id="2313" name="Graphic 2313"/>
                        <wps:cNvSpPr/>
                        <wps:spPr>
                          <a:xfrm>
                            <a:off x="0" y="28007"/>
                            <a:ext cx="251460" cy="1270"/>
                          </a:xfrm>
                          <a:custGeom>
                            <a:avLst/>
                            <a:gdLst/>
                            <a:ahLst/>
                            <a:cxnLst/>
                            <a:rect l="l" t="t" r="r" b="b"/>
                            <a:pathLst>
                              <a:path w="251460">
                                <a:moveTo>
                                  <a:pt x="0" y="0"/>
                                </a:moveTo>
                                <a:lnTo>
                                  <a:pt x="120198" y="0"/>
                                </a:lnTo>
                              </a:path>
                              <a:path w="251460">
                                <a:moveTo>
                                  <a:pt x="174656" y="0"/>
                                </a:moveTo>
                                <a:lnTo>
                                  <a:pt x="250900" y="0"/>
                                </a:lnTo>
                              </a:path>
                            </a:pathLst>
                          </a:custGeom>
                          <a:ln w="9335">
                            <a:solidFill>
                              <a:srgbClr val="000000"/>
                            </a:solidFill>
                            <a:prstDash val="solid"/>
                          </a:ln>
                        </wps:spPr>
                        <wps:bodyPr wrap="square" lIns="0" tIns="0" rIns="0" bIns="0" rtlCol="0">
                          <a:prstTxWarp prst="textNoShape">
                            <a:avLst/>
                          </a:prstTxWarp>
                          <a:noAutofit/>
                        </wps:bodyPr>
                      </wps:wsp>
                      <wps:wsp>
                        <wps:cNvPr id="2314" name="Graphic 2314"/>
                        <wps:cNvSpPr/>
                        <wps:spPr>
                          <a:xfrm>
                            <a:off x="120198" y="0"/>
                            <a:ext cx="54610" cy="65405"/>
                          </a:xfrm>
                          <a:custGeom>
                            <a:avLst/>
                            <a:gdLst/>
                            <a:ahLst/>
                            <a:cxnLst/>
                            <a:rect l="l" t="t" r="r" b="b"/>
                            <a:pathLst>
                              <a:path w="54610" h="65405">
                                <a:moveTo>
                                  <a:pt x="54458" y="65350"/>
                                </a:moveTo>
                                <a:lnTo>
                                  <a:pt x="0" y="65350"/>
                                </a:lnTo>
                                <a:lnTo>
                                  <a:pt x="0" y="0"/>
                                </a:lnTo>
                                <a:lnTo>
                                  <a:pt x="54458" y="0"/>
                                </a:lnTo>
                                <a:lnTo>
                                  <a:pt x="54458"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9F02F9D" id="Group 2312" o:spid="_x0000_s1026" style="position:absolute;margin-left:489.7pt;margin-top:27.55pt;width:19.8pt;height:5.15pt;z-index:-15374336;mso-wrap-distance-left:0;mso-wrap-distance-right:0;mso-position-horizontal-relative:page" coordsize="25146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">
                <v:shape id="Graphic 2313" o:spid="_x0000_s1027" style="position:absolute;top:28007;width:251460;height:1270;visibility:visible;mso-wrap-style:square;v-text-anchor:top" coordsize="251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" path="m,l120198,em174656,r76244,e" filled="f" strokeweight=".25931mm">
                  <v:path arrowok="t"/>
                </v:shape>
                <v:shape id="Graphic 2314" o:spid="_x0000_s1028" style="position:absolute;left:120198;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" path="m54458,65350l,65350,,,54458,r,6535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942656" behindDoc="1" locked="0" layoutInCell="1" allowOverlap="1" wp14:anchorId="74DC49AD" wp14:editId="66A9B2D5">
                <wp:simplePos x="0" y="0"/>
                <wp:positionH relativeFrom="page">
                  <wp:posOffset>6139753</wp:posOffset>
                </wp:positionH>
                <wp:positionV relativeFrom="paragraph">
                  <wp:posOffset>499347</wp:posOffset>
                </wp:positionV>
                <wp:extent cx="363855" cy="65405"/>
                <wp:effectExtent l="0" t="0" r="0" b="0"/>
                <wp:wrapTopAndBottom/>
                <wp:docPr id="2315" name="Group 2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855" cy="65405"/>
                          <a:chOff x="0" y="0"/>
                          <a:chExt cx="363855" cy="65405"/>
                        </a:xfrm>
                      </wpg:grpSpPr>
                      <wps:wsp>
                        <wps:cNvPr id="2316" name="Graphic 2316"/>
                        <wps:cNvSpPr/>
                        <wps:spPr>
                          <a:xfrm>
                            <a:off x="0" y="28007"/>
                            <a:ext cx="363855" cy="1270"/>
                          </a:xfrm>
                          <a:custGeom>
                            <a:avLst/>
                            <a:gdLst/>
                            <a:ahLst/>
                            <a:cxnLst/>
                            <a:rect l="l" t="t" r="r" b="b"/>
                            <a:pathLst>
                              <a:path w="363855">
                                <a:moveTo>
                                  <a:pt x="0" y="0"/>
                                </a:moveTo>
                                <a:lnTo>
                                  <a:pt x="194495" y="0"/>
                                </a:lnTo>
                              </a:path>
                              <a:path w="363855">
                                <a:moveTo>
                                  <a:pt x="248954" y="0"/>
                                </a:moveTo>
                                <a:lnTo>
                                  <a:pt x="363319" y="0"/>
                                </a:lnTo>
                              </a:path>
                            </a:pathLst>
                          </a:custGeom>
                          <a:ln w="9335">
                            <a:solidFill>
                              <a:srgbClr val="000000"/>
                            </a:solidFill>
                            <a:prstDash val="solid"/>
                          </a:ln>
                        </wps:spPr>
                        <wps:bodyPr wrap="square" lIns="0" tIns="0" rIns="0" bIns="0" rtlCol="0">
                          <a:prstTxWarp prst="textNoShape">
                            <a:avLst/>
                          </a:prstTxWarp>
                          <a:noAutofit/>
                        </wps:bodyPr>
                      </wps:wsp>
                      <wps:wsp>
                        <wps:cNvPr id="2317" name="Graphic 2317"/>
                        <wps:cNvSpPr/>
                        <wps:spPr>
                          <a:xfrm>
                            <a:off x="194495"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8636657" id="Group 2315" o:spid="_x0000_s1026" style="position:absolute;margin-left:483.45pt;margin-top:39.3pt;width:28.65pt;height:5.15pt;z-index:-15373824;mso-wrap-distance-left:0;mso-wrap-distance-right:0;mso-position-horizontal-relative:page" coordsize="363855,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">
                <v:shape id="Graphic 2316" o:spid="_x0000_s1027" style="position:absolute;top:28007;width:363855;height:1270;visibility:visible;mso-wrap-style:square;v-text-anchor:top" coordsize="363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" path="m,l194495,em248954,l363319,e" filled="f" strokeweight=".25931mm">
                  <v:path arrowok="t"/>
                </v:shape>
                <v:shape id="Graphic 2317" o:spid="_x0000_s1028" style="position:absolute;left:194495;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" path="m54459,65350l,65350,,,54459,r,65350xe" fillcolor="#0000c0" stroked="f">
                  <v:path arrowok="t"/>
                </v:shape>
                <w10:wrap type="topAndBottom" anchorx="page"/>
              </v:group>
            </w:pict>
          </mc:Fallback>
        </mc:AlternateContent>
      </w:r>
      <w:r w:rsidRPr="003C6DAE">
        <w:rPr>
          <w:rFonts w:ascii="Trebuchet MS"/>
          <w:noProof/>
          <w:sz w:val="4"/>
          <w:lang w:val="uk-UA"/>
        </w:rPr>
        <mc:AlternateContent>
          <mc:Choice Requires="wps">
            <w:drawing>
              <wp:anchor distT="0" distB="0" distL="0" distR="0" simplePos="0" relativeHeight="487943168" behindDoc="1" locked="0" layoutInCell="1" allowOverlap="1" wp14:anchorId="16610F52" wp14:editId="173E804E">
                <wp:simplePos x="0" y="0"/>
                <wp:positionH relativeFrom="page">
                  <wp:posOffset>6545084</wp:posOffset>
                </wp:positionH>
                <wp:positionV relativeFrom="paragraph">
                  <wp:posOffset>648720</wp:posOffset>
                </wp:positionV>
                <wp:extent cx="54610" cy="65405"/>
                <wp:effectExtent l="0" t="0" r="0" b="0"/>
                <wp:wrapTopAndBottom/>
                <wp:docPr id="2318" name="Graphic 2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70A5A172" id="Graphic 2318" o:spid="_x0000_s1026" style="position:absolute;margin-left:515.35pt;margin-top:51.1pt;width:4.3pt;height:5.15pt;z-index:-15373312;visibility:visible;mso-wrap-style:square;mso-wrap-distance-left:0;mso-wrap-distance-top:0;mso-wrap-distance-right:0;mso-wrap-distance-bottom:0;mso-position-horizontal:absolute;mso-position-horizontal-relative:page;mso-position-vertical:absolute;mso-position-vertical-relative:text;v-text-anchor:top" coordsize="5461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" path="m54459,65350l,65350,,,54459,r,65350xe" fillcolor="#0000c0" stroked="f">
                <v:path arrowok="t"/>
                <w10:wrap type="topAndBottom" anchorx="page"/>
              </v:shape>
            </w:pict>
          </mc:Fallback>
        </mc:AlternateContent>
      </w:r>
      <w:r w:rsidRPr="003C6DAE">
        <w:rPr>
          <w:rFonts w:ascii="Trebuchet MS"/>
          <w:noProof/>
          <w:sz w:val="4"/>
          <w:lang w:val="uk-UA"/>
        </w:rPr>
        <mc:AlternateContent>
          <mc:Choice Requires="wpg">
            <w:drawing>
              <wp:anchor distT="0" distB="0" distL="0" distR="0" simplePos="0" relativeHeight="487943680" behindDoc="1" locked="0" layoutInCell="1" allowOverlap="1" wp14:anchorId="169E743F" wp14:editId="53CCEB87">
                <wp:simplePos x="0" y="0"/>
                <wp:positionH relativeFrom="page">
                  <wp:posOffset>6219884</wp:posOffset>
                </wp:positionH>
                <wp:positionV relativeFrom="paragraph">
                  <wp:posOffset>798093</wp:posOffset>
                </wp:positionV>
                <wp:extent cx="288290" cy="65405"/>
                <wp:effectExtent l="0" t="0" r="0" b="0"/>
                <wp:wrapTopAndBottom/>
                <wp:docPr id="2319" name="Group 2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 cy="65405"/>
                          <a:chOff x="0" y="0"/>
                          <a:chExt cx="288290" cy="65405"/>
                        </a:xfrm>
                      </wpg:grpSpPr>
                      <wps:wsp>
                        <wps:cNvPr id="2320" name="Graphic 2320"/>
                        <wps:cNvSpPr/>
                        <wps:spPr>
                          <a:xfrm>
                            <a:off x="0" y="28008"/>
                            <a:ext cx="288290" cy="1270"/>
                          </a:xfrm>
                          <a:custGeom>
                            <a:avLst/>
                            <a:gdLst/>
                            <a:ahLst/>
                            <a:cxnLst/>
                            <a:rect l="l" t="t" r="r" b="b"/>
                            <a:pathLst>
                              <a:path w="288290">
                                <a:moveTo>
                                  <a:pt x="0" y="0"/>
                                </a:moveTo>
                                <a:lnTo>
                                  <a:pt x="150151" y="0"/>
                                </a:lnTo>
                              </a:path>
                              <a:path w="288290">
                                <a:moveTo>
                                  <a:pt x="204610" y="0"/>
                                </a:moveTo>
                                <a:lnTo>
                                  <a:pt x="287855" y="0"/>
                                </a:lnTo>
                              </a:path>
                            </a:pathLst>
                          </a:custGeom>
                          <a:ln w="9335">
                            <a:solidFill>
                              <a:srgbClr val="000000"/>
                            </a:solidFill>
                            <a:prstDash val="solid"/>
                          </a:ln>
                        </wps:spPr>
                        <wps:bodyPr wrap="square" lIns="0" tIns="0" rIns="0" bIns="0" rtlCol="0">
                          <a:prstTxWarp prst="textNoShape">
                            <a:avLst/>
                          </a:prstTxWarp>
                          <a:noAutofit/>
                        </wps:bodyPr>
                      </wps:wsp>
                      <wps:wsp>
                        <wps:cNvPr id="2321" name="Graphic 2321"/>
                        <wps:cNvSpPr/>
                        <wps:spPr>
                          <a:xfrm>
                            <a:off x="150151" y="0"/>
                            <a:ext cx="54610" cy="65405"/>
                          </a:xfrm>
                          <a:custGeom>
                            <a:avLst/>
                            <a:gdLst/>
                            <a:ahLst/>
                            <a:cxnLst/>
                            <a:rect l="l" t="t" r="r" b="b"/>
                            <a:pathLst>
                              <a:path w="54610" h="65405">
                                <a:moveTo>
                                  <a:pt x="54459" y="65352"/>
                                </a:moveTo>
                                <a:lnTo>
                                  <a:pt x="0" y="65352"/>
                                </a:lnTo>
                                <a:lnTo>
                                  <a:pt x="0" y="0"/>
                                </a:lnTo>
                                <a:lnTo>
                                  <a:pt x="54459" y="0"/>
                                </a:lnTo>
                                <a:lnTo>
                                  <a:pt x="54459" y="65352"/>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27CCDDCD" id="Group 2319" o:spid="_x0000_s1026" style="position:absolute;margin-left:489.75pt;margin-top:62.85pt;width:22.7pt;height:5.15pt;z-index:-15372800;mso-wrap-distance-left:0;mso-wrap-distance-right:0;mso-position-horizontal-relative:page" coordsize="28829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">
                <v:shape id="Graphic 2320" o:spid="_x0000_s1027" style="position:absolute;top:28008;width:288290;height:1270;visibility:visible;mso-wrap-style:square;v-text-anchor:top" coordsize="288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" path="m,l150151,em204610,r83245,e" filled="f" strokeweight=".25931mm">
                  <v:path arrowok="t"/>
                </v:shape>
                <v:shape id="Graphic 2321" o:spid="_x0000_s1028" style="position:absolute;left:150151;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" path="m54459,65352l,65352,,,54459,r,65352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944192" behindDoc="1" locked="0" layoutInCell="1" allowOverlap="1" wp14:anchorId="054E8C2D" wp14:editId="777486E9">
                <wp:simplePos x="0" y="0"/>
                <wp:positionH relativeFrom="page">
                  <wp:posOffset>6310908</wp:posOffset>
                </wp:positionH>
                <wp:positionV relativeFrom="paragraph">
                  <wp:posOffset>947469</wp:posOffset>
                </wp:positionV>
                <wp:extent cx="196850" cy="65405"/>
                <wp:effectExtent l="0" t="0" r="0" b="0"/>
                <wp:wrapTopAndBottom/>
                <wp:docPr id="2322" name="Group 2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65405"/>
                          <a:chOff x="0" y="0"/>
                          <a:chExt cx="196850" cy="65405"/>
                        </a:xfrm>
                      </wpg:grpSpPr>
                      <wps:wsp>
                        <wps:cNvPr id="2323" name="Graphic 2323"/>
                        <wps:cNvSpPr/>
                        <wps:spPr>
                          <a:xfrm>
                            <a:off x="0" y="28006"/>
                            <a:ext cx="196850" cy="1270"/>
                          </a:xfrm>
                          <a:custGeom>
                            <a:avLst/>
                            <a:gdLst/>
                            <a:ahLst/>
                            <a:cxnLst/>
                            <a:rect l="l" t="t" r="r" b="b"/>
                            <a:pathLst>
                              <a:path w="196850">
                                <a:moveTo>
                                  <a:pt x="0" y="0"/>
                                </a:moveTo>
                                <a:lnTo>
                                  <a:pt x="92968" y="0"/>
                                </a:lnTo>
                              </a:path>
                              <a:path w="196850">
                                <a:moveTo>
                                  <a:pt x="147427" y="0"/>
                                </a:moveTo>
                                <a:lnTo>
                                  <a:pt x="196441" y="0"/>
                                </a:lnTo>
                              </a:path>
                            </a:pathLst>
                          </a:custGeom>
                          <a:ln w="9335">
                            <a:solidFill>
                              <a:srgbClr val="000000"/>
                            </a:solidFill>
                            <a:prstDash val="solid"/>
                          </a:ln>
                        </wps:spPr>
                        <wps:bodyPr wrap="square" lIns="0" tIns="0" rIns="0" bIns="0" rtlCol="0">
                          <a:prstTxWarp prst="textNoShape">
                            <a:avLst/>
                          </a:prstTxWarp>
                          <a:noAutofit/>
                        </wps:bodyPr>
                      </wps:wsp>
                      <wps:wsp>
                        <wps:cNvPr id="2324" name="Graphic 2324"/>
                        <wps:cNvSpPr/>
                        <wps:spPr>
                          <a:xfrm>
                            <a:off x="92968"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8295A33" id="Group 2322" o:spid="_x0000_s1026" style="position:absolute;margin-left:496.9pt;margin-top:74.6pt;width:15.5pt;height:5.15pt;z-index:-15372288;mso-wrap-distance-left:0;mso-wrap-distance-right:0;mso-position-horizontal-relative:page" coordsize="19685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">
                <v:shape id="Graphic 2323" o:spid="_x0000_s1027" style="position:absolute;top:28006;width:196850;height:1270;visibility:visible;mso-wrap-style:square;v-text-anchor:top" coordsize="196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" path="m,l92968,em147427,r49014,e" filled="f" strokeweight=".25931mm">
                  <v:path arrowok="t"/>
                </v:shape>
                <v:shape id="Graphic 2324" o:spid="_x0000_s1028" style="position:absolute;left:92968;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" path="m54459,65350l,65350,,,54459,r,65350xe" fillcolor="#0000c0" stroked="f">
                  <v:path arrowok="t"/>
                </v:shape>
                <w10:wrap type="topAndBottom" anchorx="page"/>
              </v:group>
            </w:pict>
          </mc:Fallback>
        </mc:AlternateContent>
      </w:r>
      <w:r w:rsidRPr="003C6DAE">
        <w:rPr>
          <w:rFonts w:ascii="Trebuchet MS"/>
          <w:noProof/>
          <w:sz w:val="4"/>
          <w:lang w:val="uk-UA"/>
        </w:rPr>
        <mc:AlternateContent>
          <mc:Choice Requires="wps">
            <w:drawing>
              <wp:anchor distT="0" distB="0" distL="0" distR="0" simplePos="0" relativeHeight="487944704" behindDoc="1" locked="0" layoutInCell="1" allowOverlap="1" wp14:anchorId="7171B928" wp14:editId="4C6895ED">
                <wp:simplePos x="0" y="0"/>
                <wp:positionH relativeFrom="page">
                  <wp:posOffset>6512405</wp:posOffset>
                </wp:positionH>
                <wp:positionV relativeFrom="paragraph">
                  <wp:posOffset>1096842</wp:posOffset>
                </wp:positionV>
                <wp:extent cx="54610" cy="65405"/>
                <wp:effectExtent l="0" t="0" r="0" b="0"/>
                <wp:wrapTopAndBottom/>
                <wp:docPr id="2325" name="Graphic 2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7431B288" id="Graphic 2325" o:spid="_x0000_s1026" style="position:absolute;margin-left:512.8pt;margin-top:86.35pt;width:4.3pt;height:5.15pt;z-index:-15371776;visibility:visible;mso-wrap-style:square;mso-wrap-distance-left:0;mso-wrap-distance-top:0;mso-wrap-distance-right:0;mso-wrap-distance-bottom:0;mso-position-horizontal:absolute;mso-position-horizontal-relative:page;mso-position-vertical:absolute;mso-position-vertical-relative:text;v-text-anchor:top" coordsize="5461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" path="m54459,65350l,65350,,,54459,r,65350xe" fillcolor="#0000c0" stroked="f">
                <v:path arrowok="t"/>
                <w10:wrap type="topAndBottom" anchorx="page"/>
              </v:shape>
            </w:pict>
          </mc:Fallback>
        </mc:AlternateContent>
      </w:r>
      <w:r w:rsidRPr="003C6DAE">
        <w:rPr>
          <w:rFonts w:ascii="Trebuchet MS"/>
          <w:noProof/>
          <w:sz w:val="4"/>
          <w:lang w:val="uk-UA"/>
        </w:rPr>
        <mc:AlternateContent>
          <mc:Choice Requires="wpg">
            <w:drawing>
              <wp:anchor distT="0" distB="0" distL="0" distR="0" simplePos="0" relativeHeight="487945216" behindDoc="1" locked="0" layoutInCell="1" allowOverlap="1" wp14:anchorId="4F1BC237" wp14:editId="634C738C">
                <wp:simplePos x="0" y="0"/>
                <wp:positionH relativeFrom="page">
                  <wp:posOffset>6494122</wp:posOffset>
                </wp:positionH>
                <wp:positionV relativeFrom="paragraph">
                  <wp:posOffset>1246215</wp:posOffset>
                </wp:positionV>
                <wp:extent cx="67310" cy="65405"/>
                <wp:effectExtent l="0" t="0" r="0" b="0"/>
                <wp:wrapTopAndBottom/>
                <wp:docPr id="2326" name="Group 2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65405"/>
                          <a:chOff x="0" y="0"/>
                          <a:chExt cx="67310" cy="65405"/>
                        </a:xfrm>
                      </wpg:grpSpPr>
                      <wps:wsp>
                        <wps:cNvPr id="2327" name="Graphic 2327"/>
                        <wps:cNvSpPr/>
                        <wps:spPr>
                          <a:xfrm>
                            <a:off x="0" y="28007"/>
                            <a:ext cx="12700" cy="1270"/>
                          </a:xfrm>
                          <a:custGeom>
                            <a:avLst/>
                            <a:gdLst/>
                            <a:ahLst/>
                            <a:cxnLst/>
                            <a:rect l="l" t="t" r="r" b="b"/>
                            <a:pathLst>
                              <a:path w="12700">
                                <a:moveTo>
                                  <a:pt x="0" y="0"/>
                                </a:moveTo>
                                <a:lnTo>
                                  <a:pt x="12447" y="0"/>
                                </a:lnTo>
                              </a:path>
                            </a:pathLst>
                          </a:custGeom>
                          <a:ln w="9335">
                            <a:solidFill>
                              <a:srgbClr val="000000"/>
                            </a:solidFill>
                            <a:prstDash val="solid"/>
                          </a:ln>
                        </wps:spPr>
                        <wps:bodyPr wrap="square" lIns="0" tIns="0" rIns="0" bIns="0" rtlCol="0">
                          <a:prstTxWarp prst="textNoShape">
                            <a:avLst/>
                          </a:prstTxWarp>
                          <a:noAutofit/>
                        </wps:bodyPr>
                      </wps:wsp>
                      <wps:wsp>
                        <wps:cNvPr id="2328" name="Graphic 2328"/>
                        <wps:cNvSpPr/>
                        <wps:spPr>
                          <a:xfrm>
                            <a:off x="12447"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7B22B22" id="Group 2326" o:spid="_x0000_s1026" style="position:absolute;margin-left:511.35pt;margin-top:98.15pt;width:5.3pt;height:5.15pt;z-index:-15371264;mso-wrap-distance-left:0;mso-wrap-distance-right:0;mso-position-horizontal-relative:page" coordsize="6731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">
                <v:shape id="Graphic 2327" o:spid="_x0000_s1027" style="position:absolute;top:28007;width:12700;height:1270;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" path="m,l12447,e" filled="f" strokeweight=".25931mm">
                  <v:path arrowok="t"/>
                </v:shape>
                <v:shape id="Graphic 2328" o:spid="_x0000_s1028" style="position:absolute;left:12447;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" path="m54459,65350l,65350,,,54459,r,6535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945728" behindDoc="1" locked="0" layoutInCell="1" allowOverlap="1" wp14:anchorId="6F44746E" wp14:editId="06F9A285">
                <wp:simplePos x="0" y="0"/>
                <wp:positionH relativeFrom="page">
                  <wp:posOffset>5854227</wp:posOffset>
                </wp:positionH>
                <wp:positionV relativeFrom="paragraph">
                  <wp:posOffset>1395589</wp:posOffset>
                </wp:positionV>
                <wp:extent cx="685800" cy="65405"/>
                <wp:effectExtent l="0" t="0" r="0" b="0"/>
                <wp:wrapTopAndBottom/>
                <wp:docPr id="2329" name="Group 2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65405"/>
                          <a:chOff x="0" y="0"/>
                          <a:chExt cx="685800" cy="65405"/>
                        </a:xfrm>
                      </wpg:grpSpPr>
                      <wps:wsp>
                        <wps:cNvPr id="2330" name="Graphic 2330"/>
                        <wps:cNvSpPr/>
                        <wps:spPr>
                          <a:xfrm>
                            <a:off x="0" y="28007"/>
                            <a:ext cx="685800" cy="1270"/>
                          </a:xfrm>
                          <a:custGeom>
                            <a:avLst/>
                            <a:gdLst/>
                            <a:ahLst/>
                            <a:cxnLst/>
                            <a:rect l="l" t="t" r="r" b="b"/>
                            <a:pathLst>
                              <a:path w="685800">
                                <a:moveTo>
                                  <a:pt x="0" y="0"/>
                                </a:moveTo>
                                <a:lnTo>
                                  <a:pt x="391327" y="0"/>
                                </a:lnTo>
                              </a:path>
                              <a:path w="685800">
                                <a:moveTo>
                                  <a:pt x="445786" y="0"/>
                                </a:moveTo>
                                <a:lnTo>
                                  <a:pt x="685406" y="0"/>
                                </a:lnTo>
                              </a:path>
                            </a:pathLst>
                          </a:custGeom>
                          <a:ln w="9335">
                            <a:solidFill>
                              <a:srgbClr val="000000"/>
                            </a:solidFill>
                            <a:prstDash val="solid"/>
                          </a:ln>
                        </wps:spPr>
                        <wps:bodyPr wrap="square" lIns="0" tIns="0" rIns="0" bIns="0" rtlCol="0">
                          <a:prstTxWarp prst="textNoShape">
                            <a:avLst/>
                          </a:prstTxWarp>
                          <a:noAutofit/>
                        </wps:bodyPr>
                      </wps:wsp>
                      <wps:wsp>
                        <wps:cNvPr id="2331" name="Graphic 2331"/>
                        <wps:cNvSpPr/>
                        <wps:spPr>
                          <a:xfrm>
                            <a:off x="391327" y="0"/>
                            <a:ext cx="54610" cy="65405"/>
                          </a:xfrm>
                          <a:custGeom>
                            <a:avLst/>
                            <a:gdLst/>
                            <a:ahLst/>
                            <a:cxnLst/>
                            <a:rect l="l" t="t" r="r" b="b"/>
                            <a:pathLst>
                              <a:path w="54610" h="65405">
                                <a:moveTo>
                                  <a:pt x="54458" y="65350"/>
                                </a:moveTo>
                                <a:lnTo>
                                  <a:pt x="0" y="65350"/>
                                </a:lnTo>
                                <a:lnTo>
                                  <a:pt x="0" y="0"/>
                                </a:lnTo>
                                <a:lnTo>
                                  <a:pt x="54458" y="0"/>
                                </a:lnTo>
                                <a:lnTo>
                                  <a:pt x="54458"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98766B9" id="Group 2329" o:spid="_x0000_s1026" style="position:absolute;margin-left:460.95pt;margin-top:109.9pt;width:54pt;height:5.15pt;z-index:-15370752;mso-wrap-distance-left:0;mso-wrap-distance-right:0;mso-position-horizontal-relative:page" coordsize="6858,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">
                <v:shape id="Graphic 2330" o:spid="_x0000_s1027" style="position:absolute;top:280;width:6858;height:12;visibility:visible;mso-wrap-style:square;v-text-anchor:top" coordsize="685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" path="m,l391327,em445786,l685406,e" filled="f" strokeweight=".25931mm">
                  <v:path arrowok="t"/>
                </v:shape>
                <v:shape id="Graphic 2331" o:spid="_x0000_s1028" style="position:absolute;left:3913;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" path="m54458,65350l,65350,,,54458,r,6535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946240" behindDoc="1" locked="0" layoutInCell="1" allowOverlap="1" wp14:anchorId="439AAAC9" wp14:editId="31DC87EF">
                <wp:simplePos x="0" y="0"/>
                <wp:positionH relativeFrom="page">
                  <wp:posOffset>6394150</wp:posOffset>
                </wp:positionH>
                <wp:positionV relativeFrom="paragraph">
                  <wp:posOffset>1544963</wp:posOffset>
                </wp:positionV>
                <wp:extent cx="151765" cy="65405"/>
                <wp:effectExtent l="0" t="0" r="0" b="0"/>
                <wp:wrapTopAndBottom/>
                <wp:docPr id="2332"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65" cy="65405"/>
                          <a:chOff x="0" y="0"/>
                          <a:chExt cx="151765" cy="65405"/>
                        </a:xfrm>
                      </wpg:grpSpPr>
                      <wps:wsp>
                        <wps:cNvPr id="2333" name="Graphic 2333"/>
                        <wps:cNvSpPr/>
                        <wps:spPr>
                          <a:xfrm>
                            <a:off x="0" y="28006"/>
                            <a:ext cx="151765" cy="1270"/>
                          </a:xfrm>
                          <a:custGeom>
                            <a:avLst/>
                            <a:gdLst/>
                            <a:ahLst/>
                            <a:cxnLst/>
                            <a:rect l="l" t="t" r="r" b="b"/>
                            <a:pathLst>
                              <a:path w="151765">
                                <a:moveTo>
                                  <a:pt x="0" y="0"/>
                                </a:moveTo>
                                <a:lnTo>
                                  <a:pt x="71962" y="0"/>
                                </a:lnTo>
                              </a:path>
                              <a:path w="151765">
                                <a:moveTo>
                                  <a:pt x="126421" y="0"/>
                                </a:moveTo>
                                <a:lnTo>
                                  <a:pt x="151707" y="0"/>
                                </a:lnTo>
                              </a:path>
                            </a:pathLst>
                          </a:custGeom>
                          <a:ln w="9335">
                            <a:solidFill>
                              <a:srgbClr val="000000"/>
                            </a:solidFill>
                            <a:prstDash val="solid"/>
                          </a:ln>
                        </wps:spPr>
                        <wps:bodyPr wrap="square" lIns="0" tIns="0" rIns="0" bIns="0" rtlCol="0">
                          <a:prstTxWarp prst="textNoShape">
                            <a:avLst/>
                          </a:prstTxWarp>
                          <a:noAutofit/>
                        </wps:bodyPr>
                      </wps:wsp>
                      <wps:wsp>
                        <wps:cNvPr id="2334" name="Graphic 2334"/>
                        <wps:cNvSpPr/>
                        <wps:spPr>
                          <a:xfrm>
                            <a:off x="71962" y="0"/>
                            <a:ext cx="54610" cy="65405"/>
                          </a:xfrm>
                          <a:custGeom>
                            <a:avLst/>
                            <a:gdLst/>
                            <a:ahLst/>
                            <a:cxnLst/>
                            <a:rect l="l" t="t" r="r" b="b"/>
                            <a:pathLst>
                              <a:path w="54610" h="65405">
                                <a:moveTo>
                                  <a:pt x="54459" y="65350"/>
                                </a:moveTo>
                                <a:lnTo>
                                  <a:pt x="0" y="65350"/>
                                </a:lnTo>
                                <a:lnTo>
                                  <a:pt x="0" y="0"/>
                                </a:lnTo>
                                <a:lnTo>
                                  <a:pt x="54459" y="0"/>
                                </a:lnTo>
                                <a:lnTo>
                                  <a:pt x="54459" y="6535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07A2B6E" id="Group 2332" o:spid="_x0000_s1026" style="position:absolute;margin-left:503.5pt;margin-top:121.65pt;width:11.95pt;height:5.15pt;z-index:-15370240;mso-wrap-distance-left:0;mso-wrap-distance-right:0;mso-position-horizontal-relative:page" coordsize="151765,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">
                <v:shape id="Graphic 2333" o:spid="_x0000_s1027" style="position:absolute;top:28006;width:151765;height:1270;visibility:visible;mso-wrap-style:square;v-text-anchor:top" coordsize="151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" path="m,l71962,em126421,r25286,e" filled="f" strokeweight=".25931mm">
                  <v:path arrowok="t"/>
                </v:shape>
                <v:shape id="Graphic 2334" o:spid="_x0000_s1028" style="position:absolute;left:71962;width:54610;height:65405;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" path="m54459,65350l,65350,,,54459,r,65350xe" fillcolor="#0000c0" stroked="f">
                  <v:path arrowok="t"/>
                </v:shape>
                <w10:wrap type="topAndBottom" anchorx="page"/>
              </v:group>
            </w:pict>
          </mc:Fallback>
        </mc:AlternateContent>
      </w:r>
      <w:r w:rsidRPr="003C6DAE">
        <w:rPr>
          <w:rFonts w:ascii="Trebuchet MS"/>
          <w:noProof/>
          <w:sz w:val="4"/>
          <w:lang w:val="uk-UA"/>
        </w:rPr>
        <mc:AlternateContent>
          <mc:Choice Requires="wpg">
            <w:drawing>
              <wp:anchor distT="0" distB="0" distL="0" distR="0" simplePos="0" relativeHeight="487946752" behindDoc="1" locked="0" layoutInCell="1" allowOverlap="1" wp14:anchorId="75ADAE87" wp14:editId="74579777">
                <wp:simplePos x="0" y="0"/>
                <wp:positionH relativeFrom="page">
                  <wp:posOffset>5642612</wp:posOffset>
                </wp:positionH>
                <wp:positionV relativeFrom="paragraph">
                  <wp:posOffset>1694337</wp:posOffset>
                </wp:positionV>
                <wp:extent cx="934085" cy="140335"/>
                <wp:effectExtent l="0" t="0" r="0" b="0"/>
                <wp:wrapTopAndBottom/>
                <wp:docPr id="2335" name="Group 2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085" cy="140335"/>
                          <a:chOff x="0" y="0"/>
                          <a:chExt cx="934085" cy="140335"/>
                        </a:xfrm>
                      </wpg:grpSpPr>
                      <wps:wsp>
                        <wps:cNvPr id="2336" name="Graphic 2336"/>
                        <wps:cNvSpPr/>
                        <wps:spPr>
                          <a:xfrm>
                            <a:off x="655843" y="28006"/>
                            <a:ext cx="259079" cy="1270"/>
                          </a:xfrm>
                          <a:custGeom>
                            <a:avLst/>
                            <a:gdLst/>
                            <a:ahLst/>
                            <a:cxnLst/>
                            <a:rect l="l" t="t" r="r" b="b"/>
                            <a:pathLst>
                              <a:path w="259079">
                                <a:moveTo>
                                  <a:pt x="0" y="0"/>
                                </a:moveTo>
                                <a:lnTo>
                                  <a:pt x="150539" y="0"/>
                                </a:lnTo>
                              </a:path>
                              <a:path w="259079">
                                <a:moveTo>
                                  <a:pt x="204999" y="0"/>
                                </a:moveTo>
                                <a:lnTo>
                                  <a:pt x="258680" y="0"/>
                                </a:lnTo>
                              </a:path>
                            </a:pathLst>
                          </a:custGeom>
                          <a:ln w="9335">
                            <a:solidFill>
                              <a:srgbClr val="000000"/>
                            </a:solidFill>
                            <a:prstDash val="solid"/>
                          </a:ln>
                        </wps:spPr>
                        <wps:bodyPr wrap="square" lIns="0" tIns="0" rIns="0" bIns="0" rtlCol="0">
                          <a:prstTxWarp prst="textNoShape">
                            <a:avLst/>
                          </a:prstTxWarp>
                          <a:noAutofit/>
                        </wps:bodyPr>
                      </wps:wsp>
                      <wps:wsp>
                        <wps:cNvPr id="2337" name="Graphic 2337"/>
                        <wps:cNvSpPr/>
                        <wps:spPr>
                          <a:xfrm>
                            <a:off x="806383" y="0"/>
                            <a:ext cx="54610" cy="65405"/>
                          </a:xfrm>
                          <a:custGeom>
                            <a:avLst/>
                            <a:gdLst/>
                            <a:ahLst/>
                            <a:cxnLst/>
                            <a:rect l="l" t="t" r="r" b="b"/>
                            <a:pathLst>
                              <a:path w="54610" h="65405">
                                <a:moveTo>
                                  <a:pt x="54460" y="65350"/>
                                </a:moveTo>
                                <a:lnTo>
                                  <a:pt x="0" y="65350"/>
                                </a:lnTo>
                                <a:lnTo>
                                  <a:pt x="0" y="0"/>
                                </a:lnTo>
                                <a:lnTo>
                                  <a:pt x="54460" y="0"/>
                                </a:lnTo>
                                <a:lnTo>
                                  <a:pt x="54460" y="65350"/>
                                </a:lnTo>
                                <a:close/>
                              </a:path>
                            </a:pathLst>
                          </a:custGeom>
                          <a:solidFill>
                            <a:srgbClr val="0000C0"/>
                          </a:solidFill>
                        </wps:spPr>
                        <wps:bodyPr wrap="square" lIns="0" tIns="0" rIns="0" bIns="0" rtlCol="0">
                          <a:prstTxWarp prst="textNoShape">
                            <a:avLst/>
                          </a:prstTxWarp>
                          <a:noAutofit/>
                        </wps:bodyPr>
                      </wps:wsp>
                      <wps:wsp>
                        <wps:cNvPr id="2338" name="Graphic 2338"/>
                        <wps:cNvSpPr/>
                        <wps:spPr>
                          <a:xfrm>
                            <a:off x="3890" y="102693"/>
                            <a:ext cx="925830" cy="1270"/>
                          </a:xfrm>
                          <a:custGeom>
                            <a:avLst/>
                            <a:gdLst/>
                            <a:ahLst/>
                            <a:cxnLst/>
                            <a:rect l="l" t="t" r="r" b="b"/>
                            <a:pathLst>
                              <a:path w="925830">
                                <a:moveTo>
                                  <a:pt x="0" y="0"/>
                                </a:moveTo>
                                <a:lnTo>
                                  <a:pt x="925804" y="0"/>
                                </a:lnTo>
                              </a:path>
                            </a:pathLst>
                          </a:custGeom>
                          <a:ln w="9335">
                            <a:solidFill>
                              <a:srgbClr val="000000"/>
                            </a:solidFill>
                            <a:prstDash val="solid"/>
                          </a:ln>
                        </wps:spPr>
                        <wps:bodyPr wrap="square" lIns="0" tIns="0" rIns="0" bIns="0" rtlCol="0">
                          <a:prstTxWarp prst="textNoShape">
                            <a:avLst/>
                          </a:prstTxWarp>
                          <a:noAutofit/>
                        </wps:bodyPr>
                      </wps:wsp>
                      <wps:wsp>
                        <wps:cNvPr id="2339" name="Graphic 2339"/>
                        <wps:cNvSpPr/>
                        <wps:spPr>
                          <a:xfrm>
                            <a:off x="3889" y="65350"/>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340" name="Graphic 2340"/>
                        <wps:cNvSpPr/>
                        <wps:spPr>
                          <a:xfrm>
                            <a:off x="189050" y="65350"/>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341" name="Graphic 2341"/>
                        <wps:cNvSpPr/>
                        <wps:spPr>
                          <a:xfrm>
                            <a:off x="374210" y="65350"/>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342" name="Graphic 2342"/>
                        <wps:cNvSpPr/>
                        <wps:spPr>
                          <a:xfrm>
                            <a:off x="558981" y="65350"/>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343" name="Graphic 2343"/>
                        <wps:cNvSpPr/>
                        <wps:spPr>
                          <a:xfrm>
                            <a:off x="744530" y="65350"/>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s:wsp>
                        <wps:cNvPr id="2344" name="Graphic 2344"/>
                        <wps:cNvSpPr/>
                        <wps:spPr>
                          <a:xfrm>
                            <a:off x="929691" y="65350"/>
                            <a:ext cx="1270" cy="74930"/>
                          </a:xfrm>
                          <a:custGeom>
                            <a:avLst/>
                            <a:gdLst/>
                            <a:ahLst/>
                            <a:cxnLst/>
                            <a:rect l="l" t="t" r="r" b="b"/>
                            <a:pathLst>
                              <a:path h="74930">
                                <a:moveTo>
                                  <a:pt x="0" y="0"/>
                                </a:moveTo>
                                <a:lnTo>
                                  <a:pt x="0" y="74686"/>
                                </a:lnTo>
                              </a:path>
                            </a:pathLst>
                          </a:custGeom>
                          <a:ln w="777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265E67" id="Group 2335" o:spid="_x0000_s1026" style="position:absolute;margin-left:444.3pt;margin-top:133.4pt;width:73.55pt;height:11.05pt;z-index:-15369728;mso-wrap-distance-left:0;mso-wrap-distance-right:0;mso-position-horizontal-relative:page" coordsize="9340,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">
                <v:shape id="Graphic 2336" o:spid="_x0000_s1027" style="position:absolute;left:6558;top:280;width:2591;height:12;visibility:visible;mso-wrap-style:square;v-text-anchor:top" coordsize="2590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" path="m,l150539,em204999,r53681,e" filled="f" strokeweight=".25931mm">
                  <v:path arrowok="t"/>
                </v:shape>
                <v:shape id="Graphic 2337" o:spid="_x0000_s1028" style="position:absolute;left:8063;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" path="m54460,65350l,65350,,,54460,r,65350xe" fillcolor="#0000c0" stroked="f">
                  <v:path arrowok="t"/>
                </v:shape>
                <v:shape id="Graphic 2338" o:spid="_x0000_s1029" style="position:absolute;left:38;top:1026;width:9259;height:13;visibility:visible;mso-wrap-style:square;v-text-anchor:top" coordsize="925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" path="m,l925804,e" filled="f" strokeweight=".25931mm">
                  <v:path arrowok="t"/>
                </v:shape>
                <v:shape id="Graphic 2339" o:spid="_x0000_s1030" style="position:absolute;left:38;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" path="m,l,74686e" filled="f" strokeweight=".21608mm">
                  <v:path arrowok="t"/>
                </v:shape>
                <v:shape id="Graphic 2340" o:spid="_x0000_s1031" style="position:absolute;left:1890;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" path="m,l,74686e" filled="f" strokeweight=".21608mm">
                  <v:path arrowok="t"/>
                </v:shape>
                <v:shape id="Graphic 2341" o:spid="_x0000_s1032" style="position:absolute;left:3742;top:653;width:12;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" path="m,l,74686e" filled="f" strokeweight=".21608mm">
                  <v:path arrowok="t"/>
                </v:shape>
                <v:shape id="Graphic 2342" o:spid="_x0000_s1033" style="position:absolute;left:5589;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" path="m,l,74686e" filled="f" strokeweight=".21608mm">
                  <v:path arrowok="t"/>
                </v:shape>
                <v:shape id="Graphic 2343" o:spid="_x0000_s1034" style="position:absolute;left:7445;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" path="m,l,74686e" filled="f" strokeweight=".21608mm">
                  <v:path arrowok="t"/>
                </v:shape>
                <v:shape id="Graphic 2344" o:spid="_x0000_s1035" style="position:absolute;left:9296;top:653;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" path="m,l,74686e" filled="f" strokeweight=".21608mm">
                  <v:path arrowok="t"/>
                </v:shape>
                <w10:wrap type="topAndBottom" anchorx="page"/>
              </v:group>
            </w:pict>
          </mc:Fallback>
        </mc:AlternateContent>
      </w:r>
    </w:p>
    <w:p w14:paraId="1713BF41" w14:textId="77777777" w:rsidR="00E05B98" w:rsidRPr="003C6DAE" w:rsidRDefault="00E05B98">
      <w:pPr>
        <w:pStyle w:val="a3"/>
        <w:spacing w:before="3"/>
        <w:rPr>
          <w:rFonts w:ascii="Trebuchet MS"/>
          <w:sz w:val="9"/>
          <w:lang w:val="uk-UA"/>
        </w:rPr>
      </w:pPr>
    </w:p>
    <w:p w14:paraId="6B9CCD6B" w14:textId="77777777" w:rsidR="00E05B98" w:rsidRPr="003C6DAE" w:rsidRDefault="00E05B98">
      <w:pPr>
        <w:pStyle w:val="a3"/>
        <w:spacing w:before="3"/>
        <w:rPr>
          <w:rFonts w:ascii="Trebuchet MS"/>
          <w:sz w:val="9"/>
          <w:lang w:val="uk-UA"/>
        </w:rPr>
      </w:pPr>
    </w:p>
    <w:p w14:paraId="79817389" w14:textId="77777777" w:rsidR="00E05B98" w:rsidRPr="003C6DAE" w:rsidRDefault="00E05B98">
      <w:pPr>
        <w:pStyle w:val="a3"/>
        <w:spacing w:before="3"/>
        <w:rPr>
          <w:rFonts w:ascii="Trebuchet MS"/>
          <w:sz w:val="9"/>
          <w:lang w:val="uk-UA"/>
        </w:rPr>
      </w:pPr>
    </w:p>
    <w:p w14:paraId="763A3DBC" w14:textId="77777777" w:rsidR="00E05B98" w:rsidRPr="003C6DAE" w:rsidRDefault="00E05B98">
      <w:pPr>
        <w:pStyle w:val="a3"/>
        <w:spacing w:before="3"/>
        <w:rPr>
          <w:rFonts w:ascii="Trebuchet MS"/>
          <w:sz w:val="9"/>
          <w:lang w:val="uk-UA"/>
        </w:rPr>
      </w:pPr>
    </w:p>
    <w:p w14:paraId="335F55F3" w14:textId="77777777" w:rsidR="00E05B98" w:rsidRPr="003C6DAE" w:rsidRDefault="00E05B98">
      <w:pPr>
        <w:pStyle w:val="a3"/>
        <w:spacing w:before="3"/>
        <w:rPr>
          <w:rFonts w:ascii="Trebuchet MS"/>
          <w:sz w:val="9"/>
          <w:lang w:val="uk-UA"/>
        </w:rPr>
      </w:pPr>
    </w:p>
    <w:p w14:paraId="6B712078" w14:textId="77777777" w:rsidR="00E05B98" w:rsidRPr="003C6DAE" w:rsidRDefault="00E05B98">
      <w:pPr>
        <w:pStyle w:val="a3"/>
        <w:spacing w:before="3"/>
        <w:rPr>
          <w:rFonts w:ascii="Trebuchet MS"/>
          <w:sz w:val="9"/>
          <w:lang w:val="uk-UA"/>
        </w:rPr>
      </w:pPr>
    </w:p>
    <w:p w14:paraId="6DF78996" w14:textId="77777777" w:rsidR="00E05B98" w:rsidRPr="003C6DAE" w:rsidRDefault="00E05B98">
      <w:pPr>
        <w:pStyle w:val="a3"/>
        <w:spacing w:before="3"/>
        <w:rPr>
          <w:rFonts w:ascii="Trebuchet MS"/>
          <w:sz w:val="9"/>
          <w:lang w:val="uk-UA"/>
        </w:rPr>
      </w:pPr>
    </w:p>
    <w:p w14:paraId="4C663235" w14:textId="77777777" w:rsidR="00E05B98" w:rsidRPr="003C6DAE" w:rsidRDefault="00E05B98">
      <w:pPr>
        <w:pStyle w:val="a3"/>
        <w:spacing w:before="3"/>
        <w:rPr>
          <w:rFonts w:ascii="Trebuchet MS"/>
          <w:sz w:val="9"/>
          <w:lang w:val="uk-UA"/>
        </w:rPr>
      </w:pPr>
    </w:p>
    <w:p w14:paraId="07A0F8B1" w14:textId="77777777" w:rsidR="00E05B98" w:rsidRPr="003C6DAE" w:rsidRDefault="00E05B98">
      <w:pPr>
        <w:pStyle w:val="a3"/>
        <w:spacing w:before="3"/>
        <w:rPr>
          <w:rFonts w:ascii="Trebuchet MS"/>
          <w:sz w:val="9"/>
          <w:lang w:val="uk-UA"/>
        </w:rPr>
      </w:pPr>
    </w:p>
    <w:p w14:paraId="4571652F" w14:textId="77777777" w:rsidR="00E05B98" w:rsidRPr="003C6DAE" w:rsidRDefault="00E05B98">
      <w:pPr>
        <w:pStyle w:val="a3"/>
        <w:spacing w:before="3"/>
        <w:rPr>
          <w:rFonts w:ascii="Trebuchet MS"/>
          <w:sz w:val="9"/>
          <w:lang w:val="uk-UA"/>
        </w:rPr>
      </w:pPr>
    </w:p>
    <w:p w14:paraId="2A438F79" w14:textId="77777777" w:rsidR="00E05B98" w:rsidRPr="003C6DAE" w:rsidRDefault="00E05B98">
      <w:pPr>
        <w:pStyle w:val="a3"/>
        <w:spacing w:before="3"/>
        <w:rPr>
          <w:rFonts w:ascii="Trebuchet MS"/>
          <w:sz w:val="9"/>
          <w:lang w:val="uk-UA"/>
        </w:rPr>
      </w:pPr>
    </w:p>
    <w:p w14:paraId="7CE3CECC" w14:textId="77777777" w:rsidR="00E05B98" w:rsidRPr="003C6DAE" w:rsidRDefault="00B01E0C">
      <w:pPr>
        <w:spacing w:before="3"/>
        <w:ind w:left="101"/>
        <w:rPr>
          <w:rFonts w:ascii="Trebuchet MS"/>
          <w:sz w:val="17"/>
          <w:lang w:val="uk-UA"/>
        </w:rPr>
      </w:pPr>
      <w:r w:rsidRPr="003C6DAE">
        <w:rPr>
          <w:rFonts w:ascii="Trebuchet MS"/>
          <w:w w:val="85"/>
          <w:sz w:val="17"/>
          <w:lang w:val="uk-UA"/>
        </w:rPr>
        <w:t>0</w:t>
      </w:r>
      <w:r w:rsidRPr="003C6DAE">
        <w:rPr>
          <w:rFonts w:ascii="Trebuchet MS"/>
          <w:spacing w:val="53"/>
          <w:sz w:val="17"/>
          <w:lang w:val="uk-UA"/>
        </w:rPr>
        <w:t xml:space="preserve"> </w:t>
      </w:r>
      <w:r w:rsidRPr="003C6DAE">
        <w:rPr>
          <w:rFonts w:ascii="Trebuchet MS"/>
          <w:w w:val="85"/>
          <w:sz w:val="17"/>
          <w:lang w:val="uk-UA"/>
        </w:rPr>
        <w:t>0.2</w:t>
      </w:r>
      <w:r w:rsidRPr="003C6DAE">
        <w:rPr>
          <w:rFonts w:ascii="Trebuchet MS"/>
          <w:spacing w:val="35"/>
          <w:sz w:val="17"/>
          <w:lang w:val="uk-UA"/>
        </w:rPr>
        <w:t xml:space="preserve"> </w:t>
      </w:r>
      <w:r w:rsidRPr="003C6DAE">
        <w:rPr>
          <w:rFonts w:ascii="Trebuchet MS"/>
          <w:w w:val="85"/>
          <w:sz w:val="17"/>
          <w:lang w:val="uk-UA"/>
        </w:rPr>
        <w:t>0.4</w:t>
      </w:r>
      <w:r w:rsidRPr="003C6DAE">
        <w:rPr>
          <w:rFonts w:ascii="Trebuchet MS"/>
          <w:spacing w:val="35"/>
          <w:sz w:val="17"/>
          <w:lang w:val="uk-UA"/>
        </w:rPr>
        <w:t xml:space="preserve"> </w:t>
      </w:r>
      <w:r w:rsidRPr="003C6DAE">
        <w:rPr>
          <w:rFonts w:ascii="Trebuchet MS"/>
          <w:w w:val="85"/>
          <w:sz w:val="17"/>
          <w:lang w:val="uk-UA"/>
        </w:rPr>
        <w:t>0.6</w:t>
      </w:r>
      <w:r w:rsidRPr="003C6DAE">
        <w:rPr>
          <w:rFonts w:ascii="Trebuchet MS"/>
          <w:spacing w:val="35"/>
          <w:sz w:val="17"/>
          <w:lang w:val="uk-UA"/>
        </w:rPr>
        <w:t xml:space="preserve"> </w:t>
      </w:r>
      <w:r w:rsidRPr="003C6DAE">
        <w:rPr>
          <w:rFonts w:ascii="Trebuchet MS"/>
          <w:w w:val="85"/>
          <w:sz w:val="17"/>
          <w:lang w:val="uk-UA"/>
        </w:rPr>
        <w:t>0.8</w:t>
      </w:r>
      <w:r w:rsidRPr="003C6DAE">
        <w:rPr>
          <w:rFonts w:ascii="Trebuchet MS"/>
          <w:spacing w:val="55"/>
          <w:sz w:val="17"/>
          <w:lang w:val="uk-UA"/>
        </w:rPr>
        <w:t xml:space="preserve"> </w:t>
      </w:r>
      <w:r w:rsidRPr="003C6DAE">
        <w:rPr>
          <w:rFonts w:ascii="Trebuchet MS"/>
          <w:spacing w:val="-10"/>
          <w:w w:val="85"/>
          <w:sz w:val="17"/>
          <w:lang w:val="uk-UA"/>
        </w:rPr>
        <w:t>1</w:t>
      </w:r>
    </w:p>
    <w:p w14:paraId="4A817101" w14:textId="77777777" w:rsidR="00E05B98" w:rsidRPr="003C6DAE" w:rsidRDefault="00E05B98">
      <w:pPr>
        <w:rPr>
          <w:rFonts w:ascii="Trebuchet MS"/>
          <w:sz w:val="17"/>
          <w:lang w:val="uk-UA"/>
        </w:rPr>
        <w:sectPr w:rsidR="00E05B98" w:rsidRPr="003C6DAE">
          <w:type w:val="continuous"/>
          <w:pgSz w:w="11910" w:h="16840"/>
          <w:pgMar w:top="1920" w:right="1275" w:bottom="280" w:left="850" w:header="0" w:footer="573" w:gutter="0"/>
          <w:cols w:num="7" w:space="720" w:equalWidth="0">
            <w:col w:w="2031" w:space="40"/>
            <w:col w:w="706" w:space="39"/>
            <w:col w:w="639" w:space="39"/>
            <w:col w:w="1456" w:space="40"/>
            <w:col w:w="1418" w:space="39"/>
            <w:col w:w="1454" w:space="40"/>
            <w:col w:w="1844"/>
          </w:cols>
        </w:sectPr>
      </w:pPr>
    </w:p>
    <w:p w14:paraId="3B0D5EE0" w14:textId="34985472" w:rsidR="00E05B98" w:rsidRPr="00885BE7" w:rsidRDefault="00195808" w:rsidP="00885BE7">
      <w:pPr>
        <w:spacing w:line="254" w:lineRule="auto"/>
        <w:ind w:left="567"/>
        <w:jc w:val="both"/>
        <w:rPr>
          <w:sz w:val="16"/>
          <w:szCs w:val="16"/>
          <w:lang w:val="uk-UA"/>
        </w:rPr>
      </w:pPr>
      <w:r w:rsidRPr="00195808">
        <w:rPr>
          <w:sz w:val="16"/>
          <w:szCs w:val="16"/>
          <w:lang w:val="uk-UA"/>
        </w:rPr>
        <w:t>ДІ: довірчий інтервал; FN: хибнонегативний результат; FP: хибнопозитивний результат; аТАНК-НС: автоматизований тест ампліфікаці</w:t>
      </w:r>
      <w:r w:rsidR="004935A1">
        <w:rPr>
          <w:sz w:val="16"/>
          <w:szCs w:val="16"/>
          <w:lang w:val="uk-UA"/>
        </w:rPr>
        <w:t>ї</w:t>
      </w:r>
      <w:r w:rsidRPr="00195808">
        <w:rPr>
          <w:sz w:val="16"/>
          <w:szCs w:val="16"/>
          <w:lang w:val="uk-UA"/>
        </w:rPr>
        <w:t xml:space="preserve"> нуклеїнових кислот низької складності; MRS: мікробіологічний еталонний стандарт; T</w:t>
      </w:r>
      <w:r w:rsidR="004935A1">
        <w:rPr>
          <w:sz w:val="16"/>
          <w:szCs w:val="16"/>
          <w:lang w:val="uk-UA"/>
        </w:rPr>
        <w:t>Б</w:t>
      </w:r>
      <w:r w:rsidRPr="00195808">
        <w:rPr>
          <w:sz w:val="16"/>
          <w:szCs w:val="16"/>
          <w:lang w:val="uk-UA"/>
        </w:rPr>
        <w:t xml:space="preserve"> туберкульоз; TN: істинно негативний результат; TP: істинно позитивний результат</w:t>
      </w:r>
      <w:r w:rsidR="00B01E0C" w:rsidRPr="00885BE7">
        <w:rPr>
          <w:sz w:val="16"/>
          <w:szCs w:val="16"/>
          <w:lang w:val="uk-UA"/>
        </w:rPr>
        <w:t>.</w:t>
      </w:r>
    </w:p>
    <w:p w14:paraId="0AFD8694" w14:textId="1B9AF4C0" w:rsidR="00E05B98" w:rsidRPr="003C6DAE" w:rsidRDefault="00B01E0C" w:rsidP="00885BE7">
      <w:pPr>
        <w:spacing w:before="57"/>
        <w:ind w:left="567"/>
        <w:jc w:val="both"/>
        <w:rPr>
          <w:sz w:val="18"/>
          <w:lang w:val="uk-UA"/>
        </w:rPr>
      </w:pPr>
      <w:r w:rsidRPr="00885BE7">
        <w:rPr>
          <w:sz w:val="16"/>
          <w:szCs w:val="16"/>
          <w:vertAlign w:val="superscript"/>
          <w:lang w:val="uk-UA"/>
        </w:rPr>
        <w:t>a</w:t>
      </w:r>
      <w:r w:rsidRPr="00885BE7">
        <w:rPr>
          <w:spacing w:val="-4"/>
          <w:sz w:val="16"/>
          <w:szCs w:val="16"/>
          <w:lang w:val="uk-UA"/>
        </w:rPr>
        <w:t xml:space="preserve"> </w:t>
      </w:r>
      <w:r w:rsidR="00195808" w:rsidRPr="00195808">
        <w:rPr>
          <w:sz w:val="16"/>
          <w:szCs w:val="16"/>
          <w:lang w:val="uk-UA"/>
        </w:rPr>
        <w:t xml:space="preserve">На діаграмі дослідження </w:t>
      </w:r>
      <w:r w:rsidR="004935A1">
        <w:rPr>
          <w:sz w:val="16"/>
          <w:szCs w:val="16"/>
          <w:lang w:val="uk-UA"/>
        </w:rPr>
        <w:t>впорядковані</w:t>
      </w:r>
      <w:r w:rsidR="00195808" w:rsidRPr="00195808">
        <w:rPr>
          <w:sz w:val="16"/>
          <w:szCs w:val="16"/>
          <w:lang w:val="uk-UA"/>
        </w:rPr>
        <w:t xml:space="preserve"> за зменшення</w:t>
      </w:r>
      <w:r w:rsidR="00FA5D0C">
        <w:rPr>
          <w:sz w:val="16"/>
          <w:szCs w:val="16"/>
          <w:lang w:val="uk-UA"/>
        </w:rPr>
        <w:t>м рівня</w:t>
      </w:r>
      <w:r w:rsidR="00195808" w:rsidRPr="00195808">
        <w:rPr>
          <w:sz w:val="16"/>
          <w:szCs w:val="16"/>
          <w:lang w:val="uk-UA"/>
        </w:rPr>
        <w:t xml:space="preserve"> чутливості та специфічності</w:t>
      </w:r>
      <w:r w:rsidRPr="00885BE7">
        <w:rPr>
          <w:spacing w:val="-2"/>
          <w:sz w:val="16"/>
          <w:szCs w:val="16"/>
          <w:lang w:val="uk-UA"/>
        </w:rPr>
        <w:t>.</w:t>
      </w:r>
    </w:p>
    <w:p w14:paraId="3B208F04" w14:textId="77777777" w:rsidR="00E05B98" w:rsidRPr="003C6DAE" w:rsidRDefault="00E05B98">
      <w:pPr>
        <w:rPr>
          <w:sz w:val="18"/>
          <w:lang w:val="uk-UA"/>
        </w:rPr>
        <w:sectPr w:rsidR="00E05B98" w:rsidRPr="003C6DAE" w:rsidSect="00885BE7">
          <w:type w:val="continuous"/>
          <w:pgSz w:w="11910" w:h="16840"/>
          <w:pgMar w:top="1920" w:right="995" w:bottom="280" w:left="850" w:header="0" w:footer="573" w:gutter="0"/>
          <w:cols w:space="720"/>
        </w:sectPr>
      </w:pPr>
    </w:p>
    <w:p w14:paraId="6B1B6F95" w14:textId="426636E0" w:rsidR="00E05B98" w:rsidRPr="003C6DAE" w:rsidRDefault="00195808" w:rsidP="00885BE7">
      <w:pPr>
        <w:pStyle w:val="7"/>
        <w:spacing w:before="46" w:line="249" w:lineRule="auto"/>
        <w:ind w:right="142"/>
        <w:jc w:val="both"/>
        <w:rPr>
          <w:lang w:val="uk-UA"/>
        </w:rPr>
      </w:pPr>
      <w:r w:rsidRPr="00195808">
        <w:rPr>
          <w:color w:val="019648"/>
          <w:spacing w:val="-2"/>
          <w:w w:val="105"/>
          <w:lang w:val="uk-UA"/>
        </w:rPr>
        <w:lastRenderedPageBreak/>
        <w:t>Чи слід використовувати аТАНК-НС на зразках аспірату з носоглотки для діагностики ТБ легень у дітей з ознаками та симптомами ТБ, або у яких скринінг на ТБ легень був позитивним, на противагу мікробіологічном</w:t>
      </w:r>
      <w:r w:rsidR="005A7875">
        <w:rPr>
          <w:color w:val="019648"/>
          <w:spacing w:val="-2"/>
          <w:w w:val="105"/>
          <w:lang w:val="uk-UA"/>
        </w:rPr>
        <w:t>у</w:t>
      </w:r>
      <w:r w:rsidRPr="00195808">
        <w:rPr>
          <w:color w:val="019648"/>
          <w:spacing w:val="-2"/>
          <w:w w:val="105"/>
          <w:lang w:val="uk-UA"/>
        </w:rPr>
        <w:t xml:space="preserve"> еталонному стандарту?</w:t>
      </w:r>
    </w:p>
    <w:p w14:paraId="16948CE2" w14:textId="301D3ABF" w:rsidR="00E05B98" w:rsidRPr="00885BE7" w:rsidRDefault="00195808" w:rsidP="00885BE7">
      <w:pPr>
        <w:pStyle w:val="a3"/>
        <w:spacing w:before="217" w:line="297" w:lineRule="auto"/>
        <w:ind w:left="567"/>
        <w:jc w:val="both"/>
        <w:rPr>
          <w:sz w:val="20"/>
          <w:szCs w:val="20"/>
          <w:lang w:val="uk-UA"/>
        </w:rPr>
      </w:pPr>
      <w:r w:rsidRPr="00195808">
        <w:rPr>
          <w:sz w:val="20"/>
          <w:szCs w:val="20"/>
          <w:lang w:val="uk-UA"/>
        </w:rPr>
        <w:t xml:space="preserve">Було виявлено 7 досліджень (1355 учасників), під час яких </w:t>
      </w:r>
      <w:r w:rsidR="004935A1">
        <w:rPr>
          <w:sz w:val="20"/>
          <w:szCs w:val="20"/>
          <w:lang w:val="uk-UA"/>
        </w:rPr>
        <w:t xml:space="preserve">оцінка </w:t>
      </w:r>
      <w:r w:rsidRPr="00195808">
        <w:rPr>
          <w:sz w:val="20"/>
          <w:szCs w:val="20"/>
          <w:lang w:val="uk-UA"/>
        </w:rPr>
        <w:t>чутлив</w:t>
      </w:r>
      <w:r w:rsidR="004935A1">
        <w:rPr>
          <w:sz w:val="20"/>
          <w:szCs w:val="20"/>
          <w:lang w:val="uk-UA"/>
        </w:rPr>
        <w:t>ості</w:t>
      </w:r>
      <w:r w:rsidRPr="00195808">
        <w:rPr>
          <w:sz w:val="20"/>
          <w:szCs w:val="20"/>
          <w:lang w:val="uk-UA"/>
        </w:rPr>
        <w:t xml:space="preserve"> тесту коливалась від 33% до 67% і </w:t>
      </w:r>
      <w:r w:rsidR="005A7875" w:rsidRPr="00195808">
        <w:rPr>
          <w:sz w:val="20"/>
          <w:szCs w:val="20"/>
          <w:lang w:val="uk-UA"/>
        </w:rPr>
        <w:t>специфічн</w:t>
      </w:r>
      <w:r w:rsidR="005A7875">
        <w:rPr>
          <w:sz w:val="20"/>
          <w:szCs w:val="20"/>
          <w:lang w:val="uk-UA"/>
        </w:rPr>
        <w:t>ості</w:t>
      </w:r>
      <w:r w:rsidRPr="00195808">
        <w:rPr>
          <w:sz w:val="20"/>
          <w:szCs w:val="20"/>
          <w:lang w:val="uk-UA"/>
        </w:rPr>
        <w:t xml:space="preserve"> тесту -  від 50% до 99% (</w:t>
      </w:r>
      <w:r w:rsidRPr="00195808">
        <w:rPr>
          <w:b/>
          <w:bCs/>
          <w:sz w:val="20"/>
          <w:szCs w:val="20"/>
          <w:lang w:val="uk-UA"/>
        </w:rPr>
        <w:t>Рис. 2.3.2.4</w:t>
      </w:r>
      <w:r w:rsidRPr="00195808">
        <w:rPr>
          <w:sz w:val="20"/>
          <w:szCs w:val="20"/>
          <w:lang w:val="uk-UA"/>
        </w:rPr>
        <w:t>). Шість досліджень були включені в метааналіз. Сумарна чутливість становила 46,2% (95% ДІ: 34.9–57.9), а сумарна специфічність - 97.5% (95% ДІ: 95.1–98.7). Достовірність доказів була помірною для чутливості та високою для специфічності. Дані щодо тестів Truenat MTB Plus і MTB-RIF Dx були недоступні</w:t>
      </w:r>
    </w:p>
    <w:p w14:paraId="5BED875A" w14:textId="323858E5" w:rsidR="00E05B98" w:rsidRPr="003C6DAE" w:rsidRDefault="00195808" w:rsidP="00885BE7">
      <w:pPr>
        <w:pStyle w:val="6"/>
        <w:spacing w:before="241" w:line="268" w:lineRule="auto"/>
        <w:rPr>
          <w:lang w:val="uk-UA"/>
        </w:rPr>
      </w:pPr>
      <w:r>
        <w:rPr>
          <w:color w:val="636466"/>
          <w:sz w:val="20"/>
          <w:szCs w:val="20"/>
          <w:lang w:val="uk-UA"/>
        </w:rPr>
        <w:t>Рис</w:t>
      </w:r>
      <w:r w:rsidR="00B01E0C" w:rsidRPr="00885BE7">
        <w:rPr>
          <w:color w:val="636466"/>
          <w:sz w:val="20"/>
          <w:szCs w:val="20"/>
          <w:lang w:val="uk-UA"/>
        </w:rPr>
        <w:t>.</w:t>
      </w:r>
      <w:r w:rsidR="00B01E0C" w:rsidRPr="00885BE7">
        <w:rPr>
          <w:color w:val="636466"/>
          <w:spacing w:val="-12"/>
          <w:sz w:val="20"/>
          <w:szCs w:val="20"/>
          <w:lang w:val="uk-UA"/>
        </w:rPr>
        <w:t xml:space="preserve"> </w:t>
      </w:r>
      <w:r w:rsidR="00B01E0C" w:rsidRPr="00885BE7">
        <w:rPr>
          <w:color w:val="636466"/>
          <w:sz w:val="20"/>
          <w:szCs w:val="20"/>
          <w:lang w:val="uk-UA"/>
        </w:rPr>
        <w:t>2.3.2.4</w:t>
      </w:r>
      <w:r w:rsidR="00B01E0C" w:rsidRPr="00885BE7">
        <w:rPr>
          <w:color w:val="636466"/>
          <w:spacing w:val="-12"/>
          <w:sz w:val="20"/>
          <w:szCs w:val="20"/>
          <w:lang w:val="uk-UA"/>
        </w:rPr>
        <w:t xml:space="preserve"> </w:t>
      </w:r>
      <w:r>
        <w:rPr>
          <w:color w:val="636466"/>
          <w:spacing w:val="-12"/>
          <w:sz w:val="20"/>
          <w:szCs w:val="20"/>
          <w:lang w:val="uk-UA"/>
        </w:rPr>
        <w:t xml:space="preserve"> </w:t>
      </w:r>
      <w:r w:rsidR="00460CDE" w:rsidRPr="00460CDE">
        <w:rPr>
          <w:color w:val="636466"/>
          <w:sz w:val="20"/>
          <w:szCs w:val="20"/>
          <w:lang w:val="uk-UA"/>
        </w:rPr>
        <w:t>Лісова діаграма чутливості та специфічності аТАНК-НС для виявлення ТБ легень у зразках аспірату з носоглотки та чутливості і специфічності мікробіологічного еталонного стандарту</w:t>
      </w:r>
    </w:p>
    <w:p w14:paraId="426E6BF3" w14:textId="77777777" w:rsidR="00E05B98" w:rsidRPr="003C6DAE" w:rsidRDefault="00E05B98">
      <w:pPr>
        <w:pStyle w:val="6"/>
        <w:spacing w:line="268" w:lineRule="auto"/>
        <w:rPr>
          <w:lang w:val="uk-UA"/>
        </w:rPr>
        <w:sectPr w:rsidR="00E05B98" w:rsidRPr="003C6DAE" w:rsidSect="00885BE7">
          <w:pgSz w:w="11910" w:h="16840"/>
          <w:pgMar w:top="1320" w:right="995" w:bottom="760" w:left="850" w:header="0" w:footer="573" w:gutter="0"/>
          <w:cols w:space="720"/>
        </w:sectPr>
      </w:pPr>
    </w:p>
    <w:p w14:paraId="21302478" w14:textId="5A9B309E" w:rsidR="00E05B98" w:rsidRPr="00460CDE" w:rsidRDefault="00460CDE">
      <w:pPr>
        <w:spacing w:before="189"/>
        <w:ind w:left="657"/>
        <w:rPr>
          <w:rFonts w:ascii="Trebuchet MS"/>
          <w:sz w:val="16"/>
          <w:szCs w:val="16"/>
          <w:lang w:val="uk-UA"/>
        </w:rPr>
      </w:pPr>
      <w:r w:rsidRPr="00460CDE">
        <w:rPr>
          <w:rFonts w:ascii="Arial"/>
          <w:b/>
          <w:noProof/>
          <w:sz w:val="16"/>
          <w:szCs w:val="16"/>
          <w:lang w:val="uk-UA"/>
        </w:rPr>
        <mc:AlternateContent>
          <mc:Choice Requires="wps">
            <w:drawing>
              <wp:anchor distT="0" distB="0" distL="114300" distR="114300" simplePos="0" relativeHeight="488147456" behindDoc="0" locked="0" layoutInCell="1" allowOverlap="1" wp14:anchorId="7707D262" wp14:editId="4EB667E5">
                <wp:simplePos x="0" y="0"/>
                <wp:positionH relativeFrom="margin">
                  <wp:posOffset>292100</wp:posOffset>
                </wp:positionH>
                <wp:positionV relativeFrom="paragraph">
                  <wp:posOffset>0</wp:posOffset>
                </wp:positionV>
                <wp:extent cx="6175200" cy="245745"/>
                <wp:effectExtent l="0" t="0" r="0" b="1905"/>
                <wp:wrapNone/>
                <wp:docPr id="1308358864" name="Поле 1308358864"/>
                <wp:cNvGraphicFramePr/>
                <a:graphic xmlns:a="http://schemas.openxmlformats.org/drawingml/2006/main">
                  <a:graphicData uri="http://schemas.microsoft.com/office/word/2010/wordprocessingShape">
                    <wps:wsp>
                      <wps:cNvSpPr txBox="1"/>
                      <wps:spPr>
                        <a:xfrm>
                          <a:off x="0" y="0"/>
                          <a:ext cx="6175200" cy="245745"/>
                        </a:xfrm>
                        <a:prstGeom prst="rect">
                          <a:avLst/>
                        </a:prstGeom>
                        <a:solidFill>
                          <a:schemeClr val="bg1"/>
                        </a:solidFill>
                        <a:ln w="6350">
                          <a:noFill/>
                        </a:ln>
                      </wps:spPr>
                      <wps:txbx>
                        <w:txbxContent>
                          <w:p w14:paraId="0C55D1FE" w14:textId="0D53B234" w:rsidR="007372B2" w:rsidRPr="00460CDE" w:rsidRDefault="007372B2" w:rsidP="00EC1816">
                            <w:pPr>
                              <w:rPr>
                                <w:rFonts w:asciiTheme="minorHAnsi" w:hAnsiTheme="minorHAnsi" w:cstheme="minorHAnsi"/>
                                <w:b/>
                                <w:sz w:val="16"/>
                                <w:szCs w:val="16"/>
                                <w:lang w:val="uk-UA"/>
                              </w:rPr>
                            </w:pPr>
                            <w:r w:rsidRPr="00460CDE">
                              <w:rPr>
                                <w:rFonts w:asciiTheme="minorHAnsi" w:hAnsiTheme="minorHAnsi" w:cstheme="minorHAnsi"/>
                                <w:b/>
                                <w:sz w:val="16"/>
                                <w:szCs w:val="16"/>
                                <w:lang w:val="uk-UA"/>
                              </w:rPr>
                              <w:t xml:space="preserve">Дослідження           </w:t>
                            </w:r>
                            <w:r w:rsidRPr="00460CDE">
                              <w:rPr>
                                <w:rFonts w:asciiTheme="minorHAnsi" w:hAnsiTheme="minorHAnsi" w:cstheme="minorHAnsi"/>
                                <w:b/>
                                <w:sz w:val="16"/>
                                <w:szCs w:val="16"/>
                              </w:rPr>
                              <w:t xml:space="preserve">TP     FP    FN  TN   </w:t>
                            </w:r>
                            <w:r w:rsidRPr="00460CDE">
                              <w:rPr>
                                <w:rFonts w:asciiTheme="minorHAnsi" w:hAnsiTheme="minorHAnsi" w:cstheme="minorHAnsi"/>
                                <w:b/>
                                <w:sz w:val="16"/>
                                <w:szCs w:val="16"/>
                                <w:lang w:val="uk-UA"/>
                              </w:rPr>
                              <w:t xml:space="preserve">Чутливість (95% ДІ)   Специфічність (95% ДІ)  </w:t>
                            </w:r>
                            <w:r w:rsidRPr="00460CDE">
                              <w:rPr>
                                <w:rFonts w:asciiTheme="minorHAnsi" w:hAnsiTheme="minorHAnsi" w:cstheme="minorHAnsi"/>
                                <w:b/>
                                <w:sz w:val="16"/>
                                <w:szCs w:val="16"/>
                              </w:rPr>
                              <w:t xml:space="preserve"> </w:t>
                            </w:r>
                            <w:r w:rsidRPr="00460CDE">
                              <w:rPr>
                                <w:rFonts w:asciiTheme="minorHAnsi" w:hAnsiTheme="minorHAnsi" w:cstheme="minorHAnsi"/>
                                <w:b/>
                                <w:sz w:val="16"/>
                                <w:szCs w:val="16"/>
                                <w:lang w:val="uk-UA"/>
                              </w:rPr>
                              <w:t xml:space="preserve">Чутливість (95% ДІ)  </w:t>
                            </w:r>
                            <w:r w:rsidRPr="00460CDE">
                              <w:rPr>
                                <w:rFonts w:asciiTheme="minorHAnsi" w:hAnsiTheme="minorHAnsi" w:cstheme="minorHAnsi"/>
                                <w:b/>
                                <w:sz w:val="16"/>
                                <w:szCs w:val="16"/>
                              </w:rPr>
                              <w:t xml:space="preserve">    </w:t>
                            </w:r>
                            <w:r w:rsidRPr="00460CDE">
                              <w:rPr>
                                <w:rFonts w:asciiTheme="minorHAnsi" w:hAnsiTheme="minorHAnsi" w:cstheme="minorHAnsi"/>
                                <w:b/>
                                <w:sz w:val="16"/>
                                <w:szCs w:val="16"/>
                                <w:lang w:val="uk-UA"/>
                              </w:rPr>
                              <w:t>Специфічність (95% 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7D262" id="Поле 1308358864" o:spid="_x0000_s1130" type="#_x0000_t202" style="position:absolute;left:0;text-align:left;margin-left:23pt;margin-top:0;width:486.25pt;height:19.35pt;z-index:48814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" fillcolor="white [3212]" stroked="f" strokeweight=".5pt">
                <v:textbox>
                  <w:txbxContent>
                    <w:p w14:paraId="0C55D1FE" w14:textId="0D53B234" w:rsidR="007372B2" w:rsidRPr="00460CDE" w:rsidRDefault="007372B2" w:rsidP="00EC1816">
                      <w:pPr>
                        <w:rPr>
                          <w:rFonts w:asciiTheme="minorHAnsi" w:hAnsiTheme="minorHAnsi" w:cstheme="minorHAnsi"/>
                          <w:b/>
                          <w:sz w:val="16"/>
                          <w:szCs w:val="16"/>
                          <w:lang w:val="uk-UA"/>
                        </w:rPr>
                      </w:pPr>
                      <w:r w:rsidRPr="00460CDE">
                        <w:rPr>
                          <w:rFonts w:asciiTheme="minorHAnsi" w:hAnsiTheme="minorHAnsi" w:cstheme="minorHAnsi"/>
                          <w:b/>
                          <w:sz w:val="16"/>
                          <w:szCs w:val="16"/>
                          <w:lang w:val="uk-UA"/>
                        </w:rPr>
                        <w:t xml:space="preserve">Дослідження           </w:t>
                      </w:r>
                      <w:r w:rsidRPr="00460CDE">
                        <w:rPr>
                          <w:rFonts w:asciiTheme="minorHAnsi" w:hAnsiTheme="minorHAnsi" w:cstheme="minorHAnsi"/>
                          <w:b/>
                          <w:sz w:val="16"/>
                          <w:szCs w:val="16"/>
                        </w:rPr>
                        <w:t xml:space="preserve">TP     FP    FN  TN   </w:t>
                      </w:r>
                      <w:r w:rsidRPr="00460CDE">
                        <w:rPr>
                          <w:rFonts w:asciiTheme="minorHAnsi" w:hAnsiTheme="minorHAnsi" w:cstheme="minorHAnsi"/>
                          <w:b/>
                          <w:sz w:val="16"/>
                          <w:szCs w:val="16"/>
                          <w:lang w:val="uk-UA"/>
                        </w:rPr>
                        <w:t xml:space="preserve">Чутливість (95% ДІ)   Специфічність (95% ДІ)  </w:t>
                      </w:r>
                      <w:r w:rsidRPr="00460CDE">
                        <w:rPr>
                          <w:rFonts w:asciiTheme="minorHAnsi" w:hAnsiTheme="minorHAnsi" w:cstheme="minorHAnsi"/>
                          <w:b/>
                          <w:sz w:val="16"/>
                          <w:szCs w:val="16"/>
                        </w:rPr>
                        <w:t xml:space="preserve"> </w:t>
                      </w:r>
                      <w:r w:rsidRPr="00460CDE">
                        <w:rPr>
                          <w:rFonts w:asciiTheme="minorHAnsi" w:hAnsiTheme="minorHAnsi" w:cstheme="minorHAnsi"/>
                          <w:b/>
                          <w:sz w:val="16"/>
                          <w:szCs w:val="16"/>
                          <w:lang w:val="uk-UA"/>
                        </w:rPr>
                        <w:t xml:space="preserve">Чутливість (95% ДІ)  </w:t>
                      </w:r>
                      <w:r w:rsidRPr="00460CDE">
                        <w:rPr>
                          <w:rFonts w:asciiTheme="minorHAnsi" w:hAnsiTheme="minorHAnsi" w:cstheme="minorHAnsi"/>
                          <w:b/>
                          <w:sz w:val="16"/>
                          <w:szCs w:val="16"/>
                        </w:rPr>
                        <w:t xml:space="preserve">    </w:t>
                      </w:r>
                      <w:r w:rsidRPr="00460CDE">
                        <w:rPr>
                          <w:rFonts w:asciiTheme="minorHAnsi" w:hAnsiTheme="minorHAnsi" w:cstheme="minorHAnsi"/>
                          <w:b/>
                          <w:sz w:val="16"/>
                          <w:szCs w:val="16"/>
                          <w:lang w:val="uk-UA"/>
                        </w:rPr>
                        <w:t>Специфічність (95% ДІ)</w:t>
                      </w:r>
                    </w:p>
                  </w:txbxContent>
                </v:textbox>
                <w10:wrap anchorx="margin"/>
              </v:shape>
            </w:pict>
          </mc:Fallback>
        </mc:AlternateContent>
      </w:r>
      <w:r w:rsidR="00B01E0C" w:rsidRPr="00460CDE">
        <w:rPr>
          <w:rFonts w:ascii="Trebuchet MS"/>
          <w:color w:val="333333"/>
          <w:w w:val="85"/>
          <w:sz w:val="16"/>
          <w:szCs w:val="16"/>
          <w:lang w:val="uk-UA"/>
        </w:rPr>
        <w:t>S</w:t>
      </w:r>
      <w:r w:rsidR="00B01E0C" w:rsidRPr="00460CDE">
        <w:rPr>
          <w:rFonts w:ascii="Trebuchet MS"/>
          <w:color w:val="333333"/>
          <w:spacing w:val="-21"/>
          <w:w w:val="85"/>
          <w:sz w:val="16"/>
          <w:szCs w:val="16"/>
          <w:lang w:val="uk-UA"/>
        </w:rPr>
        <w:t xml:space="preserve"> </w:t>
      </w:r>
      <w:proofErr w:type="spellStart"/>
      <w:r w:rsidR="00B01E0C" w:rsidRPr="00460CDE">
        <w:rPr>
          <w:rFonts w:ascii="Trebuchet MS"/>
          <w:color w:val="333333"/>
          <w:spacing w:val="-4"/>
          <w:w w:val="85"/>
          <w:sz w:val="16"/>
          <w:szCs w:val="16"/>
          <w:lang w:val="uk-UA"/>
        </w:rPr>
        <w:t>tudy</w:t>
      </w:r>
      <w:proofErr w:type="spellEnd"/>
    </w:p>
    <w:p w14:paraId="4EF3C53E" w14:textId="77777777" w:rsidR="00E05B98" w:rsidRPr="00460CDE" w:rsidRDefault="00B01E0C">
      <w:pPr>
        <w:spacing w:before="61"/>
        <w:ind w:left="657"/>
        <w:rPr>
          <w:rFonts w:ascii="Trebuchet MS"/>
          <w:sz w:val="16"/>
          <w:szCs w:val="16"/>
          <w:lang w:val="uk-UA"/>
        </w:rPr>
      </w:pPr>
      <w:proofErr w:type="spellStart"/>
      <w:r w:rsidRPr="00460CDE">
        <w:rPr>
          <w:rFonts w:ascii="Trebuchet MS"/>
          <w:w w:val="75"/>
          <w:sz w:val="16"/>
          <w:szCs w:val="16"/>
          <w:lang w:val="uk-UA"/>
        </w:rPr>
        <w:t>Liu</w:t>
      </w:r>
      <w:proofErr w:type="spellEnd"/>
      <w:r w:rsidRPr="00460CDE">
        <w:rPr>
          <w:rFonts w:ascii="Trebuchet MS"/>
          <w:spacing w:val="3"/>
          <w:sz w:val="16"/>
          <w:szCs w:val="16"/>
          <w:lang w:val="uk-UA"/>
        </w:rPr>
        <w:t xml:space="preserve"> </w:t>
      </w:r>
      <w:r w:rsidRPr="00460CDE">
        <w:rPr>
          <w:rFonts w:ascii="Trebuchet MS"/>
          <w:spacing w:val="-4"/>
          <w:w w:val="85"/>
          <w:sz w:val="16"/>
          <w:szCs w:val="16"/>
          <w:lang w:val="uk-UA"/>
        </w:rPr>
        <w:t>2021</w:t>
      </w:r>
    </w:p>
    <w:p w14:paraId="78E2B775" w14:textId="0EA5064D" w:rsidR="00E05B98" w:rsidRPr="00460CDE" w:rsidRDefault="00B01E0C">
      <w:pPr>
        <w:spacing w:before="31"/>
        <w:ind w:left="657"/>
        <w:rPr>
          <w:rFonts w:ascii="Trebuchet MS"/>
          <w:sz w:val="16"/>
          <w:szCs w:val="16"/>
          <w:lang w:val="uk-UA"/>
        </w:rPr>
      </w:pPr>
      <w:r w:rsidRPr="00460CDE">
        <w:rPr>
          <w:rFonts w:ascii="Trebuchet MS"/>
          <w:w w:val="75"/>
          <w:sz w:val="16"/>
          <w:szCs w:val="16"/>
          <w:lang w:val="uk-UA"/>
        </w:rPr>
        <w:t>NCT</w:t>
      </w:r>
      <w:r w:rsidRPr="00460CDE">
        <w:rPr>
          <w:rFonts w:ascii="Trebuchet MS"/>
          <w:spacing w:val="-15"/>
          <w:w w:val="75"/>
          <w:sz w:val="16"/>
          <w:szCs w:val="16"/>
          <w:lang w:val="uk-UA"/>
        </w:rPr>
        <w:t xml:space="preserve"> </w:t>
      </w:r>
      <w:r w:rsidRPr="00460CDE">
        <w:rPr>
          <w:rFonts w:ascii="Trebuchet MS"/>
          <w:spacing w:val="-2"/>
          <w:w w:val="75"/>
          <w:sz w:val="16"/>
          <w:szCs w:val="16"/>
          <w:lang w:val="uk-UA"/>
        </w:rPr>
        <w:t>04121026</w:t>
      </w:r>
    </w:p>
    <w:p w14:paraId="2CA4FED6" w14:textId="6BEF76D6" w:rsidR="00E05B98" w:rsidRPr="00460CDE" w:rsidRDefault="00B01E0C">
      <w:pPr>
        <w:spacing w:before="30"/>
        <w:ind w:left="657"/>
        <w:rPr>
          <w:rFonts w:ascii="Trebuchet MS"/>
          <w:sz w:val="16"/>
          <w:szCs w:val="16"/>
          <w:lang w:val="uk-UA"/>
        </w:rPr>
      </w:pPr>
      <w:r w:rsidRPr="00460CDE">
        <w:rPr>
          <w:rFonts w:ascii="Trebuchet MS"/>
          <w:w w:val="75"/>
          <w:sz w:val="16"/>
          <w:szCs w:val="16"/>
          <w:lang w:val="uk-UA"/>
        </w:rPr>
        <w:t>NCT</w:t>
      </w:r>
      <w:r w:rsidRPr="00460CDE">
        <w:rPr>
          <w:rFonts w:ascii="Trebuchet MS"/>
          <w:spacing w:val="-15"/>
          <w:w w:val="75"/>
          <w:sz w:val="16"/>
          <w:szCs w:val="16"/>
          <w:lang w:val="uk-UA"/>
        </w:rPr>
        <w:t xml:space="preserve"> </w:t>
      </w:r>
      <w:r w:rsidRPr="00460CDE">
        <w:rPr>
          <w:rFonts w:ascii="Trebuchet MS"/>
          <w:spacing w:val="-2"/>
          <w:w w:val="75"/>
          <w:sz w:val="16"/>
          <w:szCs w:val="16"/>
          <w:lang w:val="uk-UA"/>
        </w:rPr>
        <w:t>04899076</w:t>
      </w:r>
    </w:p>
    <w:p w14:paraId="50D130FB" w14:textId="6C636EC0" w:rsidR="00E05B98" w:rsidRPr="00460CDE" w:rsidRDefault="00B01E0C">
      <w:pPr>
        <w:spacing w:before="30" w:line="273" w:lineRule="auto"/>
        <w:ind w:left="657"/>
        <w:rPr>
          <w:rFonts w:ascii="Trebuchet MS"/>
          <w:sz w:val="16"/>
          <w:szCs w:val="16"/>
          <w:lang w:val="uk-UA"/>
        </w:rPr>
      </w:pPr>
      <w:proofErr w:type="spellStart"/>
      <w:r w:rsidRPr="00460CDE">
        <w:rPr>
          <w:rFonts w:ascii="Trebuchet MS"/>
          <w:w w:val="80"/>
          <w:sz w:val="16"/>
          <w:szCs w:val="16"/>
          <w:lang w:val="uk-UA"/>
        </w:rPr>
        <w:t>Jaganath</w:t>
      </w:r>
      <w:proofErr w:type="spellEnd"/>
      <w:r w:rsidRPr="00460CDE">
        <w:rPr>
          <w:rFonts w:ascii="Trebuchet MS"/>
          <w:spacing w:val="-2"/>
          <w:w w:val="80"/>
          <w:sz w:val="16"/>
          <w:szCs w:val="16"/>
          <w:lang w:val="uk-UA"/>
        </w:rPr>
        <w:t xml:space="preserve"> </w:t>
      </w:r>
      <w:r w:rsidRPr="00460CDE">
        <w:rPr>
          <w:rFonts w:ascii="Trebuchet MS"/>
          <w:w w:val="80"/>
          <w:sz w:val="16"/>
          <w:szCs w:val="16"/>
          <w:lang w:val="uk-UA"/>
        </w:rPr>
        <w:t xml:space="preserve">2021 </w:t>
      </w:r>
      <w:r w:rsidRPr="00460CDE">
        <w:rPr>
          <w:rFonts w:ascii="Trebuchet MS"/>
          <w:w w:val="75"/>
          <w:sz w:val="16"/>
          <w:szCs w:val="16"/>
          <w:lang w:val="uk-UA"/>
        </w:rPr>
        <w:t>Zar</w:t>
      </w:r>
      <w:r w:rsidR="00460CDE">
        <w:rPr>
          <w:rFonts w:ascii="Trebuchet MS"/>
          <w:spacing w:val="54"/>
          <w:sz w:val="16"/>
          <w:szCs w:val="16"/>
          <w:lang w:val="uk-UA"/>
        </w:rPr>
        <w:t xml:space="preserve"> </w:t>
      </w:r>
      <w:r w:rsidRPr="00460CDE">
        <w:rPr>
          <w:rFonts w:ascii="Trebuchet MS"/>
          <w:w w:val="75"/>
          <w:sz w:val="16"/>
          <w:szCs w:val="16"/>
          <w:lang w:val="uk-UA"/>
        </w:rPr>
        <w:t>2018-</w:t>
      </w:r>
      <w:r w:rsidRPr="00460CDE">
        <w:rPr>
          <w:rFonts w:ascii="Trebuchet MS"/>
          <w:spacing w:val="-4"/>
          <w:w w:val="75"/>
          <w:sz w:val="16"/>
          <w:szCs w:val="16"/>
          <w:lang w:val="uk-UA"/>
        </w:rPr>
        <w:t>2023</w:t>
      </w:r>
    </w:p>
    <w:p w14:paraId="0450F3D7" w14:textId="66EA8B68" w:rsidR="00E05B98" w:rsidRPr="00460CDE" w:rsidRDefault="00B01E0C">
      <w:pPr>
        <w:spacing w:before="2"/>
        <w:ind w:left="657"/>
        <w:rPr>
          <w:rFonts w:ascii="Trebuchet MS"/>
          <w:sz w:val="16"/>
          <w:szCs w:val="16"/>
          <w:lang w:val="uk-UA"/>
        </w:rPr>
      </w:pPr>
      <w:r w:rsidRPr="00460CDE">
        <w:rPr>
          <w:rFonts w:ascii="Trebuchet MS"/>
          <w:w w:val="75"/>
          <w:sz w:val="16"/>
          <w:szCs w:val="16"/>
          <w:lang w:val="uk-UA"/>
        </w:rPr>
        <w:t>NCT</w:t>
      </w:r>
      <w:r w:rsidRPr="00460CDE">
        <w:rPr>
          <w:rFonts w:ascii="Trebuchet MS"/>
          <w:spacing w:val="-15"/>
          <w:w w:val="75"/>
          <w:sz w:val="16"/>
          <w:szCs w:val="16"/>
          <w:lang w:val="uk-UA"/>
        </w:rPr>
        <w:t xml:space="preserve"> </w:t>
      </w:r>
      <w:r w:rsidRPr="00460CDE">
        <w:rPr>
          <w:rFonts w:ascii="Trebuchet MS"/>
          <w:spacing w:val="-2"/>
          <w:w w:val="75"/>
          <w:sz w:val="16"/>
          <w:szCs w:val="16"/>
          <w:lang w:val="uk-UA"/>
        </w:rPr>
        <w:t>03734172</w:t>
      </w:r>
    </w:p>
    <w:p w14:paraId="30A72CBD" w14:textId="4EF30074" w:rsidR="00E05B98" w:rsidRPr="00460CDE" w:rsidRDefault="00B01E0C">
      <w:pPr>
        <w:spacing w:before="30"/>
        <w:ind w:left="657"/>
        <w:rPr>
          <w:rFonts w:ascii="Trebuchet MS"/>
          <w:sz w:val="16"/>
          <w:szCs w:val="16"/>
          <w:lang w:val="uk-UA"/>
        </w:rPr>
      </w:pPr>
      <w:r w:rsidRPr="00460CDE">
        <w:rPr>
          <w:rFonts w:ascii="Trebuchet MS"/>
          <w:w w:val="75"/>
          <w:sz w:val="16"/>
          <w:szCs w:val="16"/>
          <w:lang w:val="uk-UA"/>
        </w:rPr>
        <w:t>NCT</w:t>
      </w:r>
      <w:r w:rsidRPr="00460CDE">
        <w:rPr>
          <w:rFonts w:ascii="Trebuchet MS"/>
          <w:spacing w:val="-15"/>
          <w:w w:val="75"/>
          <w:sz w:val="16"/>
          <w:szCs w:val="16"/>
          <w:lang w:val="uk-UA"/>
        </w:rPr>
        <w:t xml:space="preserve"> </w:t>
      </w:r>
      <w:r w:rsidRPr="00460CDE">
        <w:rPr>
          <w:rFonts w:ascii="Trebuchet MS"/>
          <w:spacing w:val="-2"/>
          <w:w w:val="75"/>
          <w:sz w:val="16"/>
          <w:szCs w:val="16"/>
          <w:lang w:val="uk-UA"/>
        </w:rPr>
        <w:t>04240990</w:t>
      </w:r>
    </w:p>
    <w:p w14:paraId="186C19E4" w14:textId="77777777" w:rsidR="00E05B98" w:rsidRPr="00460CDE" w:rsidRDefault="00B01E0C">
      <w:pPr>
        <w:spacing w:before="188"/>
        <w:ind w:left="208"/>
        <w:rPr>
          <w:rFonts w:ascii="Trebuchet MS"/>
          <w:sz w:val="16"/>
          <w:szCs w:val="16"/>
          <w:lang w:val="uk-UA"/>
        </w:rPr>
      </w:pPr>
      <w:r w:rsidRPr="00460CDE">
        <w:rPr>
          <w:sz w:val="16"/>
          <w:szCs w:val="16"/>
          <w:lang w:val="uk-UA"/>
        </w:rPr>
        <w:br w:type="column"/>
      </w:r>
      <w:r w:rsidRPr="00460CDE">
        <w:rPr>
          <w:rFonts w:ascii="Trebuchet MS"/>
          <w:color w:val="333333"/>
          <w:w w:val="85"/>
          <w:sz w:val="16"/>
          <w:szCs w:val="16"/>
          <w:lang w:val="uk-UA"/>
        </w:rPr>
        <w:t>TP</w:t>
      </w:r>
      <w:r w:rsidRPr="00460CDE">
        <w:rPr>
          <w:rFonts w:ascii="Trebuchet MS"/>
          <w:color w:val="333333"/>
          <w:spacing w:val="66"/>
          <w:w w:val="150"/>
          <w:sz w:val="16"/>
          <w:szCs w:val="16"/>
          <w:lang w:val="uk-UA"/>
        </w:rPr>
        <w:t xml:space="preserve"> </w:t>
      </w:r>
      <w:r w:rsidRPr="00460CDE">
        <w:rPr>
          <w:rFonts w:ascii="Trebuchet MS"/>
          <w:color w:val="333333"/>
          <w:spacing w:val="-5"/>
          <w:w w:val="85"/>
          <w:sz w:val="16"/>
          <w:szCs w:val="16"/>
          <w:lang w:val="uk-UA"/>
        </w:rPr>
        <w:t xml:space="preserve">FP </w:t>
      </w:r>
    </w:p>
    <w:p w14:paraId="062A0165" w14:textId="77777777" w:rsidR="00E05B98" w:rsidRPr="00460CDE" w:rsidRDefault="00B01E0C">
      <w:pPr>
        <w:tabs>
          <w:tab w:val="left" w:pos="623"/>
        </w:tabs>
        <w:spacing w:before="62"/>
        <w:ind w:left="311"/>
        <w:rPr>
          <w:rFonts w:ascii="Trebuchet MS"/>
          <w:sz w:val="16"/>
          <w:szCs w:val="16"/>
          <w:lang w:val="uk-UA"/>
        </w:rPr>
      </w:pPr>
      <w:r w:rsidRPr="00460CDE">
        <w:rPr>
          <w:rFonts w:ascii="Trebuchet MS"/>
          <w:spacing w:val="-10"/>
          <w:w w:val="90"/>
          <w:sz w:val="16"/>
          <w:szCs w:val="16"/>
          <w:lang w:val="uk-UA"/>
        </w:rPr>
        <w:t>0</w:t>
      </w:r>
      <w:r w:rsidRPr="00460CDE">
        <w:rPr>
          <w:rFonts w:ascii="Trebuchet MS"/>
          <w:sz w:val="16"/>
          <w:szCs w:val="16"/>
          <w:lang w:val="uk-UA"/>
        </w:rPr>
        <w:tab/>
      </w:r>
      <w:r w:rsidRPr="00460CDE">
        <w:rPr>
          <w:rFonts w:ascii="Trebuchet MS"/>
          <w:spacing w:val="-10"/>
          <w:w w:val="90"/>
          <w:sz w:val="16"/>
          <w:szCs w:val="16"/>
          <w:lang w:val="uk-UA"/>
        </w:rPr>
        <w:t>1</w:t>
      </w:r>
    </w:p>
    <w:p w14:paraId="148430B3" w14:textId="0C3DE046" w:rsidR="00E05B98" w:rsidRPr="00460CDE" w:rsidRDefault="00B01E0C">
      <w:pPr>
        <w:tabs>
          <w:tab w:val="left" w:pos="623"/>
        </w:tabs>
        <w:spacing w:before="30"/>
        <w:ind w:left="311"/>
        <w:rPr>
          <w:rFonts w:ascii="Trebuchet MS"/>
          <w:sz w:val="16"/>
          <w:szCs w:val="16"/>
          <w:lang w:val="uk-UA"/>
        </w:rPr>
      </w:pPr>
      <w:r w:rsidRPr="00460CDE">
        <w:rPr>
          <w:rFonts w:ascii="Trebuchet MS"/>
          <w:spacing w:val="-10"/>
          <w:w w:val="90"/>
          <w:sz w:val="16"/>
          <w:szCs w:val="16"/>
          <w:lang w:val="uk-UA"/>
        </w:rPr>
        <w:t>2</w:t>
      </w:r>
      <w:r w:rsidRPr="00460CDE">
        <w:rPr>
          <w:rFonts w:ascii="Trebuchet MS"/>
          <w:sz w:val="16"/>
          <w:szCs w:val="16"/>
          <w:lang w:val="uk-UA"/>
        </w:rPr>
        <w:tab/>
      </w:r>
      <w:r w:rsidRPr="00460CDE">
        <w:rPr>
          <w:rFonts w:ascii="Trebuchet MS"/>
          <w:spacing w:val="-10"/>
          <w:w w:val="90"/>
          <w:sz w:val="16"/>
          <w:szCs w:val="16"/>
          <w:lang w:val="uk-UA"/>
        </w:rPr>
        <w:t>6</w:t>
      </w:r>
    </w:p>
    <w:p w14:paraId="2E4CEE90" w14:textId="77777777" w:rsidR="00E05B98" w:rsidRPr="00460CDE" w:rsidRDefault="00B01E0C">
      <w:pPr>
        <w:tabs>
          <w:tab w:val="left" w:pos="623"/>
        </w:tabs>
        <w:spacing w:before="30"/>
        <w:ind w:left="311"/>
        <w:rPr>
          <w:rFonts w:ascii="Trebuchet MS"/>
          <w:sz w:val="16"/>
          <w:szCs w:val="16"/>
          <w:lang w:val="uk-UA"/>
        </w:rPr>
      </w:pPr>
      <w:r w:rsidRPr="00460CDE">
        <w:rPr>
          <w:rFonts w:ascii="Trebuchet MS"/>
          <w:spacing w:val="-10"/>
          <w:w w:val="90"/>
          <w:sz w:val="16"/>
          <w:szCs w:val="16"/>
          <w:lang w:val="uk-UA"/>
        </w:rPr>
        <w:t>2</w:t>
      </w:r>
      <w:r w:rsidRPr="00460CDE">
        <w:rPr>
          <w:rFonts w:ascii="Trebuchet MS"/>
          <w:sz w:val="16"/>
          <w:szCs w:val="16"/>
          <w:lang w:val="uk-UA"/>
        </w:rPr>
        <w:tab/>
      </w:r>
      <w:r w:rsidRPr="00460CDE">
        <w:rPr>
          <w:rFonts w:ascii="Trebuchet MS"/>
          <w:spacing w:val="-10"/>
          <w:w w:val="90"/>
          <w:sz w:val="16"/>
          <w:szCs w:val="16"/>
          <w:lang w:val="uk-UA"/>
        </w:rPr>
        <w:t>7</w:t>
      </w:r>
    </w:p>
    <w:p w14:paraId="5868D23E" w14:textId="77777777" w:rsidR="00E05B98" w:rsidRPr="00460CDE" w:rsidRDefault="00B01E0C">
      <w:pPr>
        <w:tabs>
          <w:tab w:val="left" w:pos="623"/>
        </w:tabs>
        <w:spacing w:before="31"/>
        <w:ind w:left="311"/>
        <w:rPr>
          <w:rFonts w:ascii="Trebuchet MS"/>
          <w:sz w:val="16"/>
          <w:szCs w:val="16"/>
          <w:lang w:val="uk-UA"/>
        </w:rPr>
      </w:pPr>
      <w:r w:rsidRPr="00460CDE">
        <w:rPr>
          <w:rFonts w:ascii="Trebuchet MS"/>
          <w:spacing w:val="-10"/>
          <w:w w:val="90"/>
          <w:sz w:val="16"/>
          <w:szCs w:val="16"/>
          <w:lang w:val="uk-UA"/>
        </w:rPr>
        <w:t>2</w:t>
      </w:r>
      <w:r w:rsidRPr="00460CDE">
        <w:rPr>
          <w:rFonts w:ascii="Trebuchet MS"/>
          <w:sz w:val="16"/>
          <w:szCs w:val="16"/>
          <w:lang w:val="uk-UA"/>
        </w:rPr>
        <w:tab/>
      </w:r>
      <w:r w:rsidRPr="00460CDE">
        <w:rPr>
          <w:rFonts w:ascii="Trebuchet MS"/>
          <w:spacing w:val="-10"/>
          <w:w w:val="90"/>
          <w:sz w:val="16"/>
          <w:szCs w:val="16"/>
          <w:lang w:val="uk-UA"/>
        </w:rPr>
        <w:t>2</w:t>
      </w:r>
    </w:p>
    <w:p w14:paraId="48567CC0" w14:textId="485A8BE2" w:rsidR="00E05B98" w:rsidRPr="00460CDE" w:rsidRDefault="00B01E0C">
      <w:pPr>
        <w:tabs>
          <w:tab w:val="left" w:pos="623"/>
        </w:tabs>
        <w:spacing w:before="30"/>
        <w:ind w:left="228"/>
        <w:rPr>
          <w:rFonts w:ascii="Trebuchet MS"/>
          <w:sz w:val="16"/>
          <w:szCs w:val="16"/>
          <w:lang w:val="uk-UA"/>
        </w:rPr>
      </w:pPr>
      <w:r w:rsidRPr="00460CDE">
        <w:rPr>
          <w:rFonts w:ascii="Trebuchet MS"/>
          <w:spacing w:val="-5"/>
          <w:w w:val="90"/>
          <w:sz w:val="16"/>
          <w:szCs w:val="16"/>
          <w:lang w:val="uk-UA"/>
        </w:rPr>
        <w:t>16</w:t>
      </w:r>
      <w:r w:rsidRPr="00460CDE">
        <w:rPr>
          <w:rFonts w:ascii="Trebuchet MS"/>
          <w:sz w:val="16"/>
          <w:szCs w:val="16"/>
          <w:lang w:val="uk-UA"/>
        </w:rPr>
        <w:tab/>
      </w:r>
      <w:r w:rsidRPr="00460CDE">
        <w:rPr>
          <w:rFonts w:ascii="Trebuchet MS"/>
          <w:spacing w:val="-12"/>
          <w:w w:val="90"/>
          <w:sz w:val="16"/>
          <w:szCs w:val="16"/>
          <w:lang w:val="uk-UA"/>
        </w:rPr>
        <w:t>4</w:t>
      </w:r>
    </w:p>
    <w:p w14:paraId="38FC9EA1" w14:textId="77777777" w:rsidR="00E05B98" w:rsidRPr="00460CDE" w:rsidRDefault="00B01E0C">
      <w:pPr>
        <w:tabs>
          <w:tab w:val="left" w:pos="623"/>
        </w:tabs>
        <w:spacing w:before="30"/>
        <w:ind w:left="228"/>
        <w:rPr>
          <w:rFonts w:ascii="Trebuchet MS"/>
          <w:sz w:val="16"/>
          <w:szCs w:val="16"/>
          <w:lang w:val="uk-UA"/>
        </w:rPr>
      </w:pPr>
      <w:r w:rsidRPr="00460CDE">
        <w:rPr>
          <w:rFonts w:ascii="Trebuchet MS"/>
          <w:spacing w:val="-5"/>
          <w:w w:val="90"/>
          <w:sz w:val="16"/>
          <w:szCs w:val="16"/>
          <w:lang w:val="uk-UA"/>
        </w:rPr>
        <w:t>15</w:t>
      </w:r>
      <w:r w:rsidRPr="00460CDE">
        <w:rPr>
          <w:rFonts w:ascii="Trebuchet MS"/>
          <w:sz w:val="16"/>
          <w:szCs w:val="16"/>
          <w:lang w:val="uk-UA"/>
        </w:rPr>
        <w:tab/>
      </w:r>
      <w:r w:rsidRPr="00460CDE">
        <w:rPr>
          <w:rFonts w:ascii="Trebuchet MS"/>
          <w:spacing w:val="-12"/>
          <w:w w:val="90"/>
          <w:sz w:val="16"/>
          <w:szCs w:val="16"/>
          <w:lang w:val="uk-UA"/>
        </w:rPr>
        <w:t>5</w:t>
      </w:r>
    </w:p>
    <w:p w14:paraId="4E5E47E6" w14:textId="77777777" w:rsidR="00E05B98" w:rsidRPr="00460CDE" w:rsidRDefault="00B01E0C">
      <w:pPr>
        <w:tabs>
          <w:tab w:val="left" w:pos="623"/>
        </w:tabs>
        <w:spacing w:before="30"/>
        <w:ind w:left="311"/>
        <w:rPr>
          <w:rFonts w:ascii="Trebuchet MS"/>
          <w:sz w:val="16"/>
          <w:szCs w:val="16"/>
          <w:lang w:val="uk-UA"/>
        </w:rPr>
      </w:pPr>
      <w:r w:rsidRPr="00460CDE">
        <w:rPr>
          <w:rFonts w:ascii="Trebuchet MS"/>
          <w:spacing w:val="-10"/>
          <w:w w:val="90"/>
          <w:sz w:val="16"/>
          <w:szCs w:val="16"/>
          <w:lang w:val="uk-UA"/>
        </w:rPr>
        <w:t>5</w:t>
      </w:r>
      <w:r w:rsidRPr="00460CDE">
        <w:rPr>
          <w:rFonts w:ascii="Trebuchet MS"/>
          <w:sz w:val="16"/>
          <w:szCs w:val="16"/>
          <w:lang w:val="uk-UA"/>
        </w:rPr>
        <w:tab/>
      </w:r>
      <w:r w:rsidRPr="00460CDE">
        <w:rPr>
          <w:rFonts w:ascii="Trebuchet MS"/>
          <w:spacing w:val="-10"/>
          <w:w w:val="90"/>
          <w:sz w:val="16"/>
          <w:szCs w:val="16"/>
          <w:lang w:val="uk-UA"/>
        </w:rPr>
        <w:t>3</w:t>
      </w:r>
    </w:p>
    <w:p w14:paraId="11F9325A" w14:textId="77777777" w:rsidR="00E05B98" w:rsidRPr="00460CDE" w:rsidRDefault="00B01E0C">
      <w:pPr>
        <w:spacing w:before="188"/>
        <w:ind w:left="83"/>
        <w:rPr>
          <w:rFonts w:ascii="Trebuchet MS"/>
          <w:sz w:val="16"/>
          <w:szCs w:val="16"/>
          <w:lang w:val="uk-UA"/>
        </w:rPr>
      </w:pPr>
      <w:r w:rsidRPr="00460CDE">
        <w:rPr>
          <w:sz w:val="16"/>
          <w:szCs w:val="16"/>
          <w:lang w:val="uk-UA"/>
        </w:rPr>
        <w:br w:type="column"/>
      </w:r>
      <w:r w:rsidRPr="00460CDE">
        <w:rPr>
          <w:rFonts w:ascii="Trebuchet MS"/>
          <w:color w:val="333333"/>
          <w:w w:val="90"/>
          <w:sz w:val="16"/>
          <w:szCs w:val="16"/>
          <w:lang w:val="uk-UA"/>
        </w:rPr>
        <w:t>FN</w:t>
      </w:r>
      <w:r w:rsidRPr="00460CDE">
        <w:rPr>
          <w:rFonts w:ascii="Trebuchet MS"/>
          <w:color w:val="333333"/>
          <w:spacing w:val="30"/>
          <w:sz w:val="16"/>
          <w:szCs w:val="16"/>
          <w:lang w:val="uk-UA"/>
        </w:rPr>
        <w:t xml:space="preserve">  </w:t>
      </w:r>
      <w:r w:rsidRPr="00460CDE">
        <w:rPr>
          <w:rFonts w:ascii="Trebuchet MS"/>
          <w:color w:val="333333"/>
          <w:spacing w:val="-7"/>
          <w:w w:val="85"/>
          <w:sz w:val="16"/>
          <w:szCs w:val="16"/>
          <w:lang w:val="uk-UA"/>
        </w:rPr>
        <w:t>TN</w:t>
      </w:r>
      <w:r w:rsidRPr="00460CDE">
        <w:rPr>
          <w:rFonts w:ascii="Trebuchet MS"/>
          <w:color w:val="333333"/>
          <w:w w:val="85"/>
          <w:sz w:val="16"/>
          <w:szCs w:val="16"/>
          <w:lang w:val="uk-UA"/>
        </w:rPr>
        <w:t xml:space="preserve"> </w:t>
      </w:r>
    </w:p>
    <w:p w14:paraId="200D5A79" w14:textId="38B0B16F" w:rsidR="00E05B98" w:rsidRPr="00460CDE" w:rsidRDefault="00B01E0C">
      <w:pPr>
        <w:tabs>
          <w:tab w:val="left" w:pos="548"/>
        </w:tabs>
        <w:spacing w:before="61"/>
        <w:ind w:left="174"/>
        <w:rPr>
          <w:rFonts w:ascii="Trebuchet MS"/>
          <w:sz w:val="16"/>
          <w:szCs w:val="16"/>
          <w:lang w:val="uk-UA"/>
        </w:rPr>
      </w:pPr>
      <w:r w:rsidRPr="00460CDE">
        <w:rPr>
          <w:rFonts w:ascii="Trebuchet MS"/>
          <w:spacing w:val="-10"/>
          <w:w w:val="90"/>
          <w:sz w:val="16"/>
          <w:szCs w:val="16"/>
          <w:lang w:val="uk-UA"/>
        </w:rPr>
        <w:t>0</w:t>
      </w:r>
      <w:r w:rsidR="00460CDE">
        <w:rPr>
          <w:rFonts w:ascii="Trebuchet MS"/>
          <w:sz w:val="16"/>
          <w:szCs w:val="16"/>
          <w:lang w:val="uk-UA"/>
        </w:rPr>
        <w:t xml:space="preserve">     </w:t>
      </w:r>
      <w:r w:rsidRPr="00460CDE">
        <w:rPr>
          <w:rFonts w:ascii="Trebuchet MS"/>
          <w:spacing w:val="-10"/>
          <w:w w:val="90"/>
          <w:sz w:val="16"/>
          <w:szCs w:val="16"/>
          <w:lang w:val="uk-UA"/>
        </w:rPr>
        <w:t>1</w:t>
      </w:r>
    </w:p>
    <w:p w14:paraId="3B549B24" w14:textId="77777777" w:rsidR="00E05B98" w:rsidRPr="00460CDE" w:rsidRDefault="00B01E0C">
      <w:pPr>
        <w:spacing w:before="31"/>
        <w:ind w:left="174"/>
        <w:rPr>
          <w:rFonts w:ascii="Trebuchet MS"/>
          <w:sz w:val="16"/>
          <w:szCs w:val="16"/>
          <w:lang w:val="uk-UA"/>
        </w:rPr>
      </w:pPr>
      <w:r w:rsidRPr="00460CDE">
        <w:rPr>
          <w:rFonts w:ascii="Trebuchet MS"/>
          <w:w w:val="90"/>
          <w:sz w:val="16"/>
          <w:szCs w:val="16"/>
          <w:lang w:val="uk-UA"/>
        </w:rPr>
        <w:t>1</w:t>
      </w:r>
      <w:r w:rsidRPr="00460CDE">
        <w:rPr>
          <w:rFonts w:ascii="Trebuchet MS"/>
          <w:spacing w:val="67"/>
          <w:sz w:val="16"/>
          <w:szCs w:val="16"/>
          <w:lang w:val="uk-UA"/>
        </w:rPr>
        <w:t xml:space="preserve"> </w:t>
      </w:r>
      <w:r w:rsidRPr="00460CDE">
        <w:rPr>
          <w:rFonts w:ascii="Trebuchet MS"/>
          <w:spacing w:val="-5"/>
          <w:w w:val="85"/>
          <w:sz w:val="16"/>
          <w:szCs w:val="16"/>
          <w:lang w:val="uk-UA"/>
        </w:rPr>
        <w:t>154</w:t>
      </w:r>
    </w:p>
    <w:p w14:paraId="37D07CFC" w14:textId="77777777" w:rsidR="00E05B98" w:rsidRPr="00460CDE" w:rsidRDefault="00B01E0C">
      <w:pPr>
        <w:spacing w:before="30"/>
        <w:ind w:left="174"/>
        <w:rPr>
          <w:rFonts w:ascii="Trebuchet MS"/>
          <w:sz w:val="16"/>
          <w:szCs w:val="16"/>
          <w:lang w:val="uk-UA"/>
        </w:rPr>
      </w:pPr>
      <w:r w:rsidRPr="00460CDE">
        <w:rPr>
          <w:rFonts w:ascii="Trebuchet MS"/>
          <w:w w:val="90"/>
          <w:sz w:val="16"/>
          <w:szCs w:val="16"/>
          <w:lang w:val="uk-UA"/>
        </w:rPr>
        <w:t>2</w:t>
      </w:r>
      <w:r w:rsidRPr="00460CDE">
        <w:rPr>
          <w:rFonts w:ascii="Trebuchet MS"/>
          <w:spacing w:val="67"/>
          <w:sz w:val="16"/>
          <w:szCs w:val="16"/>
          <w:lang w:val="uk-UA"/>
        </w:rPr>
        <w:t xml:space="preserve"> </w:t>
      </w:r>
      <w:r w:rsidRPr="00460CDE">
        <w:rPr>
          <w:rFonts w:ascii="Trebuchet MS"/>
          <w:spacing w:val="-5"/>
          <w:w w:val="85"/>
          <w:sz w:val="16"/>
          <w:szCs w:val="16"/>
          <w:lang w:val="uk-UA"/>
        </w:rPr>
        <w:t>115</w:t>
      </w:r>
    </w:p>
    <w:p w14:paraId="54579F45" w14:textId="6BF77E9D" w:rsidR="00E05B98" w:rsidRPr="00460CDE" w:rsidRDefault="00B01E0C">
      <w:pPr>
        <w:tabs>
          <w:tab w:val="left" w:pos="465"/>
        </w:tabs>
        <w:spacing w:before="30"/>
        <w:ind w:left="174"/>
        <w:rPr>
          <w:rFonts w:ascii="Trebuchet MS"/>
          <w:sz w:val="16"/>
          <w:szCs w:val="16"/>
          <w:lang w:val="uk-UA"/>
        </w:rPr>
      </w:pPr>
      <w:r w:rsidRPr="00460CDE">
        <w:rPr>
          <w:rFonts w:ascii="Trebuchet MS"/>
          <w:spacing w:val="-10"/>
          <w:w w:val="90"/>
          <w:sz w:val="16"/>
          <w:szCs w:val="16"/>
          <w:lang w:val="uk-UA"/>
        </w:rPr>
        <w:t>2</w:t>
      </w:r>
      <w:r w:rsidR="00460CDE">
        <w:rPr>
          <w:rFonts w:ascii="Trebuchet MS"/>
          <w:sz w:val="16"/>
          <w:szCs w:val="16"/>
          <w:lang w:val="uk-UA"/>
        </w:rPr>
        <w:t xml:space="preserve">   </w:t>
      </w:r>
      <w:r w:rsidRPr="00460CDE">
        <w:rPr>
          <w:rFonts w:ascii="Trebuchet MS"/>
          <w:spacing w:val="-5"/>
          <w:w w:val="90"/>
          <w:sz w:val="16"/>
          <w:szCs w:val="16"/>
          <w:lang w:val="uk-UA"/>
        </w:rPr>
        <w:t>20</w:t>
      </w:r>
    </w:p>
    <w:p w14:paraId="4085FE19" w14:textId="77777777" w:rsidR="00E05B98" w:rsidRPr="00460CDE" w:rsidRDefault="00B01E0C">
      <w:pPr>
        <w:spacing w:before="30"/>
        <w:ind w:left="91"/>
        <w:rPr>
          <w:rFonts w:ascii="Trebuchet MS"/>
          <w:sz w:val="16"/>
          <w:szCs w:val="16"/>
          <w:lang w:val="uk-UA"/>
        </w:rPr>
      </w:pPr>
      <w:r w:rsidRPr="00460CDE">
        <w:rPr>
          <w:rFonts w:ascii="Trebuchet MS"/>
          <w:w w:val="90"/>
          <w:sz w:val="16"/>
          <w:szCs w:val="16"/>
          <w:lang w:val="uk-UA"/>
        </w:rPr>
        <w:t>19</w:t>
      </w:r>
      <w:r w:rsidRPr="00460CDE">
        <w:rPr>
          <w:rFonts w:ascii="Trebuchet MS"/>
          <w:spacing w:val="65"/>
          <w:sz w:val="16"/>
          <w:szCs w:val="16"/>
          <w:lang w:val="uk-UA"/>
        </w:rPr>
        <w:t xml:space="preserve"> </w:t>
      </w:r>
      <w:r w:rsidRPr="00460CDE">
        <w:rPr>
          <w:rFonts w:ascii="Trebuchet MS"/>
          <w:spacing w:val="-5"/>
          <w:w w:val="85"/>
          <w:sz w:val="16"/>
          <w:szCs w:val="16"/>
          <w:lang w:val="uk-UA"/>
        </w:rPr>
        <w:t>151</w:t>
      </w:r>
    </w:p>
    <w:p w14:paraId="6F71CB5D" w14:textId="77777777" w:rsidR="00E05B98" w:rsidRPr="00460CDE" w:rsidRDefault="00B01E0C">
      <w:pPr>
        <w:spacing w:before="30"/>
        <w:ind w:left="91"/>
        <w:rPr>
          <w:rFonts w:ascii="Trebuchet MS"/>
          <w:sz w:val="16"/>
          <w:szCs w:val="16"/>
          <w:lang w:val="uk-UA"/>
        </w:rPr>
      </w:pPr>
      <w:r w:rsidRPr="00460CDE">
        <w:rPr>
          <w:rFonts w:ascii="Trebuchet MS"/>
          <w:w w:val="90"/>
          <w:sz w:val="16"/>
          <w:szCs w:val="16"/>
          <w:lang w:val="uk-UA"/>
        </w:rPr>
        <w:t>18</w:t>
      </w:r>
      <w:r w:rsidRPr="00460CDE">
        <w:rPr>
          <w:rFonts w:ascii="Trebuchet MS"/>
          <w:spacing w:val="65"/>
          <w:sz w:val="16"/>
          <w:szCs w:val="16"/>
          <w:lang w:val="uk-UA"/>
        </w:rPr>
        <w:t xml:space="preserve"> </w:t>
      </w:r>
      <w:r w:rsidRPr="00460CDE">
        <w:rPr>
          <w:rFonts w:ascii="Trebuchet MS"/>
          <w:spacing w:val="-5"/>
          <w:w w:val="85"/>
          <w:sz w:val="16"/>
          <w:szCs w:val="16"/>
          <w:lang w:val="uk-UA"/>
        </w:rPr>
        <w:t>280</w:t>
      </w:r>
    </w:p>
    <w:p w14:paraId="7B939728" w14:textId="6961C8F0" w:rsidR="00E05B98" w:rsidRPr="00460CDE" w:rsidRDefault="00B01E0C">
      <w:pPr>
        <w:spacing w:before="30"/>
        <w:ind w:left="91"/>
        <w:rPr>
          <w:rFonts w:ascii="Trebuchet MS"/>
          <w:sz w:val="16"/>
          <w:szCs w:val="16"/>
          <w:lang w:val="uk-UA"/>
        </w:rPr>
      </w:pPr>
      <w:r w:rsidRPr="00460CDE">
        <w:rPr>
          <w:rFonts w:ascii="Trebuchet MS"/>
          <w:w w:val="90"/>
          <w:sz w:val="16"/>
          <w:szCs w:val="16"/>
          <w:lang w:val="uk-UA"/>
        </w:rPr>
        <w:t>10</w:t>
      </w:r>
      <w:r w:rsidRPr="00460CDE">
        <w:rPr>
          <w:rFonts w:ascii="Trebuchet MS"/>
          <w:spacing w:val="65"/>
          <w:sz w:val="16"/>
          <w:szCs w:val="16"/>
          <w:lang w:val="uk-UA"/>
        </w:rPr>
        <w:t xml:space="preserve"> </w:t>
      </w:r>
      <w:r w:rsidRPr="00460CDE">
        <w:rPr>
          <w:rFonts w:ascii="Trebuchet MS"/>
          <w:spacing w:val="-5"/>
          <w:w w:val="85"/>
          <w:sz w:val="16"/>
          <w:szCs w:val="16"/>
          <w:lang w:val="uk-UA"/>
        </w:rPr>
        <w:t>512</w:t>
      </w:r>
    </w:p>
    <w:p w14:paraId="681ADAC8" w14:textId="3F87811C" w:rsidR="00E05B98" w:rsidRPr="00460CDE" w:rsidRDefault="00B01E0C" w:rsidP="00460CDE">
      <w:pPr>
        <w:spacing w:before="187" w:line="309" w:lineRule="auto"/>
        <w:ind w:left="142" w:firstLine="45"/>
        <w:rPr>
          <w:rFonts w:ascii="Trebuchet MS"/>
          <w:sz w:val="16"/>
          <w:szCs w:val="16"/>
          <w:lang w:val="uk-UA"/>
        </w:rPr>
      </w:pPr>
      <w:r w:rsidRPr="00460CDE">
        <w:rPr>
          <w:sz w:val="16"/>
          <w:szCs w:val="16"/>
          <w:lang w:val="uk-UA"/>
        </w:rPr>
        <w:br w:type="column"/>
      </w:r>
      <w:r w:rsidRPr="00460CDE">
        <w:rPr>
          <w:rFonts w:ascii="Trebuchet MS"/>
          <w:color w:val="333333"/>
          <w:w w:val="80"/>
          <w:sz w:val="16"/>
          <w:szCs w:val="16"/>
          <w:lang w:val="uk-UA"/>
        </w:rPr>
        <w:t>S</w:t>
      </w:r>
      <w:r w:rsidRPr="00460CDE">
        <w:rPr>
          <w:rFonts w:ascii="Trebuchet MS"/>
          <w:color w:val="333333"/>
          <w:spacing w:val="-16"/>
          <w:w w:val="80"/>
          <w:sz w:val="16"/>
          <w:szCs w:val="16"/>
          <w:lang w:val="uk-UA"/>
        </w:rPr>
        <w:t xml:space="preserve"> </w:t>
      </w:r>
      <w:proofErr w:type="spellStart"/>
      <w:r w:rsidRPr="00460CDE">
        <w:rPr>
          <w:rFonts w:ascii="Trebuchet MS"/>
          <w:color w:val="333333"/>
          <w:w w:val="80"/>
          <w:sz w:val="16"/>
          <w:szCs w:val="16"/>
          <w:lang w:val="uk-UA"/>
        </w:rPr>
        <w:t>ens</w:t>
      </w:r>
      <w:proofErr w:type="spellEnd"/>
      <w:r w:rsidRPr="00460CDE">
        <w:rPr>
          <w:rFonts w:ascii="Trebuchet MS"/>
          <w:color w:val="333333"/>
          <w:spacing w:val="-19"/>
          <w:w w:val="80"/>
          <w:sz w:val="16"/>
          <w:szCs w:val="16"/>
          <w:lang w:val="uk-UA"/>
        </w:rPr>
        <w:t xml:space="preserve"> </w:t>
      </w:r>
      <w:proofErr w:type="spellStart"/>
      <w:r w:rsidRPr="00460CDE">
        <w:rPr>
          <w:rFonts w:ascii="Trebuchet MS"/>
          <w:color w:val="333333"/>
          <w:w w:val="80"/>
          <w:sz w:val="16"/>
          <w:szCs w:val="16"/>
          <w:lang w:val="uk-UA"/>
        </w:rPr>
        <w:t>itivity</w:t>
      </w:r>
      <w:proofErr w:type="spellEnd"/>
      <w:r w:rsidRPr="00460CDE">
        <w:rPr>
          <w:rFonts w:ascii="Trebuchet MS"/>
          <w:color w:val="333333"/>
          <w:sz w:val="16"/>
          <w:szCs w:val="16"/>
          <w:lang w:val="uk-UA"/>
        </w:rPr>
        <w:t xml:space="preserve"> </w:t>
      </w:r>
      <w:r w:rsidRPr="00460CDE">
        <w:rPr>
          <w:rFonts w:ascii="Trebuchet MS"/>
          <w:color w:val="333333"/>
          <w:w w:val="80"/>
          <w:sz w:val="16"/>
          <w:szCs w:val="16"/>
          <w:lang w:val="uk-UA"/>
        </w:rPr>
        <w:t>(95%</w:t>
      </w:r>
      <w:r w:rsidRPr="00460CDE">
        <w:rPr>
          <w:rFonts w:ascii="Trebuchet MS"/>
          <w:color w:val="333333"/>
          <w:sz w:val="16"/>
          <w:szCs w:val="16"/>
          <w:lang w:val="uk-UA"/>
        </w:rPr>
        <w:t xml:space="preserve"> </w:t>
      </w:r>
      <w:r w:rsidRPr="00460CDE">
        <w:rPr>
          <w:rFonts w:ascii="Trebuchet MS"/>
          <w:color w:val="333333"/>
          <w:w w:val="80"/>
          <w:sz w:val="16"/>
          <w:szCs w:val="16"/>
          <w:lang w:val="uk-UA"/>
        </w:rPr>
        <w:t>C</w:t>
      </w:r>
      <w:r w:rsidRPr="00460CDE">
        <w:rPr>
          <w:rFonts w:ascii="Trebuchet MS"/>
          <w:color w:val="333333"/>
          <w:spacing w:val="-22"/>
          <w:w w:val="80"/>
          <w:sz w:val="16"/>
          <w:szCs w:val="16"/>
          <w:lang w:val="uk-UA"/>
        </w:rPr>
        <w:t xml:space="preserve"> </w:t>
      </w:r>
      <w:r w:rsidRPr="00460CDE">
        <w:rPr>
          <w:rFonts w:ascii="Trebuchet MS"/>
          <w:color w:val="333333"/>
          <w:w w:val="80"/>
          <w:sz w:val="16"/>
          <w:szCs w:val="16"/>
          <w:lang w:val="uk-UA"/>
        </w:rPr>
        <w:t xml:space="preserve">I) </w:t>
      </w:r>
      <w:r w:rsidR="00460CDE">
        <w:rPr>
          <w:rFonts w:ascii="Trebuchet MS"/>
          <w:color w:val="333333"/>
          <w:w w:val="80"/>
          <w:sz w:val="16"/>
          <w:szCs w:val="16"/>
          <w:lang w:val="uk-UA"/>
        </w:rPr>
        <w:t xml:space="preserve">   </w:t>
      </w:r>
      <w:r w:rsidR="00460CDE">
        <w:rPr>
          <w:rFonts w:ascii="Trebuchet MS"/>
          <w:w w:val="80"/>
          <w:sz w:val="16"/>
          <w:szCs w:val="16"/>
          <w:lang w:val="uk-UA"/>
        </w:rPr>
        <w:t>Не</w:t>
      </w:r>
      <w:r w:rsidR="00460CDE">
        <w:rPr>
          <w:rFonts w:ascii="Trebuchet MS"/>
          <w:w w:val="80"/>
          <w:sz w:val="16"/>
          <w:szCs w:val="16"/>
          <w:lang w:val="uk-UA"/>
        </w:rPr>
        <w:t xml:space="preserve"> </w:t>
      </w:r>
      <w:r w:rsidR="00460CDE">
        <w:rPr>
          <w:rFonts w:ascii="Trebuchet MS"/>
          <w:w w:val="80"/>
          <w:sz w:val="16"/>
          <w:szCs w:val="16"/>
          <w:lang w:val="uk-UA"/>
        </w:rPr>
        <w:t>підлягає</w:t>
      </w:r>
      <w:r w:rsidR="00460CDE">
        <w:rPr>
          <w:rFonts w:ascii="Trebuchet MS"/>
          <w:w w:val="80"/>
          <w:sz w:val="16"/>
          <w:szCs w:val="16"/>
          <w:lang w:val="uk-UA"/>
        </w:rPr>
        <w:t xml:space="preserve"> </w:t>
      </w:r>
      <w:r w:rsidR="005A7875">
        <w:rPr>
          <w:rFonts w:ascii="Trebuchet MS"/>
          <w:w w:val="80"/>
          <w:sz w:val="16"/>
          <w:szCs w:val="16"/>
          <w:lang w:val="uk-UA"/>
        </w:rPr>
        <w:t>оцінці</w:t>
      </w:r>
    </w:p>
    <w:p w14:paraId="6948113B" w14:textId="77777777" w:rsidR="00E05B98" w:rsidRPr="00460CDE" w:rsidRDefault="00B01E0C">
      <w:pPr>
        <w:spacing w:line="180" w:lineRule="exact"/>
        <w:ind w:left="355"/>
        <w:rPr>
          <w:rFonts w:ascii="Trebuchet MS"/>
          <w:sz w:val="16"/>
          <w:szCs w:val="16"/>
          <w:lang w:val="uk-UA"/>
        </w:rPr>
      </w:pPr>
      <w:r w:rsidRPr="00460CDE">
        <w:rPr>
          <w:rFonts w:ascii="Trebuchet MS"/>
          <w:w w:val="70"/>
          <w:sz w:val="16"/>
          <w:szCs w:val="16"/>
          <w:lang w:val="uk-UA"/>
        </w:rPr>
        <w:t>0.67</w:t>
      </w:r>
      <w:r w:rsidRPr="00460CDE">
        <w:rPr>
          <w:rFonts w:ascii="Trebuchet MS"/>
          <w:spacing w:val="21"/>
          <w:sz w:val="16"/>
          <w:szCs w:val="16"/>
          <w:lang w:val="uk-UA"/>
        </w:rPr>
        <w:t xml:space="preserve"> </w:t>
      </w:r>
      <w:r w:rsidRPr="00460CDE">
        <w:rPr>
          <w:rFonts w:ascii="Trebuchet MS"/>
          <w:w w:val="70"/>
          <w:sz w:val="16"/>
          <w:szCs w:val="16"/>
          <w:lang w:val="uk-UA"/>
        </w:rPr>
        <w:t>[0.09,</w:t>
      </w:r>
      <w:r w:rsidRPr="00460CDE">
        <w:rPr>
          <w:rFonts w:ascii="Trebuchet MS"/>
          <w:spacing w:val="29"/>
          <w:sz w:val="16"/>
          <w:szCs w:val="16"/>
          <w:lang w:val="uk-UA"/>
        </w:rPr>
        <w:t xml:space="preserve"> </w:t>
      </w:r>
      <w:r w:rsidRPr="00460CDE">
        <w:rPr>
          <w:rFonts w:ascii="Trebuchet MS"/>
          <w:spacing w:val="-2"/>
          <w:w w:val="70"/>
          <w:sz w:val="16"/>
          <w:szCs w:val="16"/>
          <w:lang w:val="uk-UA"/>
        </w:rPr>
        <w:t>0.99]</w:t>
      </w:r>
    </w:p>
    <w:p w14:paraId="0CC9F7D4" w14:textId="77777777" w:rsidR="00E05B98" w:rsidRPr="00460CDE" w:rsidRDefault="00B01E0C">
      <w:pPr>
        <w:spacing w:before="30"/>
        <w:ind w:left="355"/>
        <w:rPr>
          <w:rFonts w:ascii="Trebuchet MS"/>
          <w:sz w:val="16"/>
          <w:szCs w:val="16"/>
          <w:lang w:val="uk-UA"/>
        </w:rPr>
      </w:pPr>
      <w:r w:rsidRPr="00460CDE">
        <w:rPr>
          <w:rFonts w:ascii="Trebuchet MS"/>
          <w:w w:val="70"/>
          <w:sz w:val="16"/>
          <w:szCs w:val="16"/>
          <w:lang w:val="uk-UA"/>
        </w:rPr>
        <w:t>0.50</w:t>
      </w:r>
      <w:r w:rsidRPr="00460CDE">
        <w:rPr>
          <w:rFonts w:ascii="Trebuchet MS"/>
          <w:spacing w:val="21"/>
          <w:sz w:val="16"/>
          <w:szCs w:val="16"/>
          <w:lang w:val="uk-UA"/>
        </w:rPr>
        <w:t xml:space="preserve"> </w:t>
      </w:r>
      <w:r w:rsidRPr="00460CDE">
        <w:rPr>
          <w:rFonts w:ascii="Trebuchet MS"/>
          <w:w w:val="70"/>
          <w:sz w:val="16"/>
          <w:szCs w:val="16"/>
          <w:lang w:val="uk-UA"/>
        </w:rPr>
        <w:t>[0.07,</w:t>
      </w:r>
      <w:r w:rsidRPr="00460CDE">
        <w:rPr>
          <w:rFonts w:ascii="Trebuchet MS"/>
          <w:spacing w:val="29"/>
          <w:sz w:val="16"/>
          <w:szCs w:val="16"/>
          <w:lang w:val="uk-UA"/>
        </w:rPr>
        <w:t xml:space="preserve"> </w:t>
      </w:r>
      <w:r w:rsidRPr="00460CDE">
        <w:rPr>
          <w:rFonts w:ascii="Trebuchet MS"/>
          <w:spacing w:val="-2"/>
          <w:w w:val="70"/>
          <w:sz w:val="16"/>
          <w:szCs w:val="16"/>
          <w:lang w:val="uk-UA"/>
        </w:rPr>
        <w:t>0.93]</w:t>
      </w:r>
    </w:p>
    <w:p w14:paraId="3B352901" w14:textId="77777777" w:rsidR="00E05B98" w:rsidRPr="00460CDE" w:rsidRDefault="00B01E0C">
      <w:pPr>
        <w:spacing w:before="30"/>
        <w:ind w:left="355"/>
        <w:rPr>
          <w:rFonts w:ascii="Trebuchet MS"/>
          <w:sz w:val="16"/>
          <w:szCs w:val="16"/>
          <w:lang w:val="uk-UA"/>
        </w:rPr>
      </w:pPr>
      <w:r w:rsidRPr="00460CDE">
        <w:rPr>
          <w:rFonts w:ascii="Trebuchet MS"/>
          <w:w w:val="70"/>
          <w:sz w:val="16"/>
          <w:szCs w:val="16"/>
          <w:lang w:val="uk-UA"/>
        </w:rPr>
        <w:t>0.50</w:t>
      </w:r>
      <w:r w:rsidRPr="00460CDE">
        <w:rPr>
          <w:rFonts w:ascii="Trebuchet MS"/>
          <w:spacing w:val="21"/>
          <w:sz w:val="16"/>
          <w:szCs w:val="16"/>
          <w:lang w:val="uk-UA"/>
        </w:rPr>
        <w:t xml:space="preserve"> </w:t>
      </w:r>
      <w:r w:rsidRPr="00460CDE">
        <w:rPr>
          <w:rFonts w:ascii="Trebuchet MS"/>
          <w:w w:val="70"/>
          <w:sz w:val="16"/>
          <w:szCs w:val="16"/>
          <w:lang w:val="uk-UA"/>
        </w:rPr>
        <w:t>[0.07,</w:t>
      </w:r>
      <w:r w:rsidRPr="00460CDE">
        <w:rPr>
          <w:rFonts w:ascii="Trebuchet MS"/>
          <w:spacing w:val="29"/>
          <w:sz w:val="16"/>
          <w:szCs w:val="16"/>
          <w:lang w:val="uk-UA"/>
        </w:rPr>
        <w:t xml:space="preserve"> </w:t>
      </w:r>
      <w:r w:rsidRPr="00460CDE">
        <w:rPr>
          <w:rFonts w:ascii="Trebuchet MS"/>
          <w:spacing w:val="-2"/>
          <w:w w:val="70"/>
          <w:sz w:val="16"/>
          <w:szCs w:val="16"/>
          <w:lang w:val="uk-UA"/>
        </w:rPr>
        <w:t>0.93]</w:t>
      </w:r>
    </w:p>
    <w:p w14:paraId="0172CC8E" w14:textId="77777777" w:rsidR="00E05B98" w:rsidRPr="00460CDE" w:rsidRDefault="00B01E0C">
      <w:pPr>
        <w:spacing w:before="31"/>
        <w:ind w:left="355"/>
        <w:rPr>
          <w:rFonts w:ascii="Trebuchet MS"/>
          <w:sz w:val="16"/>
          <w:szCs w:val="16"/>
          <w:lang w:val="uk-UA"/>
        </w:rPr>
      </w:pPr>
      <w:r w:rsidRPr="00460CDE">
        <w:rPr>
          <w:rFonts w:ascii="Trebuchet MS"/>
          <w:w w:val="70"/>
          <w:sz w:val="16"/>
          <w:szCs w:val="16"/>
          <w:lang w:val="uk-UA"/>
        </w:rPr>
        <w:t>0.46</w:t>
      </w:r>
      <w:r w:rsidRPr="00460CDE">
        <w:rPr>
          <w:rFonts w:ascii="Trebuchet MS"/>
          <w:spacing w:val="21"/>
          <w:sz w:val="16"/>
          <w:szCs w:val="16"/>
          <w:lang w:val="uk-UA"/>
        </w:rPr>
        <w:t xml:space="preserve"> </w:t>
      </w:r>
      <w:r w:rsidRPr="00460CDE">
        <w:rPr>
          <w:rFonts w:ascii="Trebuchet MS"/>
          <w:w w:val="70"/>
          <w:sz w:val="16"/>
          <w:szCs w:val="16"/>
          <w:lang w:val="uk-UA"/>
        </w:rPr>
        <w:t>[0.29,</w:t>
      </w:r>
      <w:r w:rsidRPr="00460CDE">
        <w:rPr>
          <w:rFonts w:ascii="Trebuchet MS"/>
          <w:spacing w:val="29"/>
          <w:sz w:val="16"/>
          <w:szCs w:val="16"/>
          <w:lang w:val="uk-UA"/>
        </w:rPr>
        <w:t xml:space="preserve"> </w:t>
      </w:r>
      <w:r w:rsidRPr="00460CDE">
        <w:rPr>
          <w:rFonts w:ascii="Trebuchet MS"/>
          <w:spacing w:val="-2"/>
          <w:w w:val="70"/>
          <w:sz w:val="16"/>
          <w:szCs w:val="16"/>
          <w:lang w:val="uk-UA"/>
        </w:rPr>
        <w:t>0.63]</w:t>
      </w:r>
    </w:p>
    <w:p w14:paraId="2C1E181D" w14:textId="77777777" w:rsidR="00E05B98" w:rsidRPr="00460CDE" w:rsidRDefault="00B01E0C">
      <w:pPr>
        <w:spacing w:before="30"/>
        <w:ind w:left="355"/>
        <w:rPr>
          <w:rFonts w:ascii="Trebuchet MS"/>
          <w:sz w:val="16"/>
          <w:szCs w:val="16"/>
          <w:lang w:val="uk-UA"/>
        </w:rPr>
      </w:pPr>
      <w:r w:rsidRPr="00460CDE">
        <w:rPr>
          <w:rFonts w:ascii="Trebuchet MS"/>
          <w:w w:val="70"/>
          <w:sz w:val="16"/>
          <w:szCs w:val="16"/>
          <w:lang w:val="uk-UA"/>
        </w:rPr>
        <w:t>0.45</w:t>
      </w:r>
      <w:r w:rsidRPr="00460CDE">
        <w:rPr>
          <w:rFonts w:ascii="Trebuchet MS"/>
          <w:spacing w:val="21"/>
          <w:sz w:val="16"/>
          <w:szCs w:val="16"/>
          <w:lang w:val="uk-UA"/>
        </w:rPr>
        <w:t xml:space="preserve"> </w:t>
      </w:r>
      <w:r w:rsidRPr="00460CDE">
        <w:rPr>
          <w:rFonts w:ascii="Trebuchet MS"/>
          <w:w w:val="70"/>
          <w:sz w:val="16"/>
          <w:szCs w:val="16"/>
          <w:lang w:val="uk-UA"/>
        </w:rPr>
        <w:t>[0.28,</w:t>
      </w:r>
      <w:r w:rsidRPr="00460CDE">
        <w:rPr>
          <w:rFonts w:ascii="Trebuchet MS"/>
          <w:spacing w:val="29"/>
          <w:sz w:val="16"/>
          <w:szCs w:val="16"/>
          <w:lang w:val="uk-UA"/>
        </w:rPr>
        <w:t xml:space="preserve"> </w:t>
      </w:r>
      <w:r w:rsidRPr="00460CDE">
        <w:rPr>
          <w:rFonts w:ascii="Trebuchet MS"/>
          <w:spacing w:val="-2"/>
          <w:w w:val="70"/>
          <w:sz w:val="16"/>
          <w:szCs w:val="16"/>
          <w:lang w:val="uk-UA"/>
        </w:rPr>
        <w:t>0.64]</w:t>
      </w:r>
    </w:p>
    <w:p w14:paraId="198FD0AD" w14:textId="77777777" w:rsidR="00E05B98" w:rsidRPr="00460CDE" w:rsidRDefault="00B01E0C">
      <w:pPr>
        <w:spacing w:before="30"/>
        <w:ind w:left="355"/>
        <w:rPr>
          <w:rFonts w:ascii="Trebuchet MS"/>
          <w:sz w:val="16"/>
          <w:szCs w:val="16"/>
          <w:lang w:val="uk-UA"/>
        </w:rPr>
      </w:pPr>
      <w:r w:rsidRPr="00460CDE">
        <w:rPr>
          <w:rFonts w:ascii="Trebuchet MS"/>
          <w:w w:val="70"/>
          <w:sz w:val="16"/>
          <w:szCs w:val="16"/>
          <w:lang w:val="uk-UA"/>
        </w:rPr>
        <w:t>0.33</w:t>
      </w:r>
      <w:r w:rsidRPr="00460CDE">
        <w:rPr>
          <w:rFonts w:ascii="Trebuchet MS"/>
          <w:spacing w:val="21"/>
          <w:sz w:val="16"/>
          <w:szCs w:val="16"/>
          <w:lang w:val="uk-UA"/>
        </w:rPr>
        <w:t xml:space="preserve"> </w:t>
      </w:r>
      <w:r w:rsidRPr="00460CDE">
        <w:rPr>
          <w:rFonts w:ascii="Trebuchet MS"/>
          <w:w w:val="70"/>
          <w:sz w:val="16"/>
          <w:szCs w:val="16"/>
          <w:lang w:val="uk-UA"/>
        </w:rPr>
        <w:t>[0.12,</w:t>
      </w:r>
      <w:r w:rsidRPr="00460CDE">
        <w:rPr>
          <w:rFonts w:ascii="Trebuchet MS"/>
          <w:spacing w:val="29"/>
          <w:sz w:val="16"/>
          <w:szCs w:val="16"/>
          <w:lang w:val="uk-UA"/>
        </w:rPr>
        <w:t xml:space="preserve"> </w:t>
      </w:r>
      <w:r w:rsidRPr="00460CDE">
        <w:rPr>
          <w:rFonts w:ascii="Trebuchet MS"/>
          <w:spacing w:val="-2"/>
          <w:w w:val="70"/>
          <w:sz w:val="16"/>
          <w:szCs w:val="16"/>
          <w:lang w:val="uk-UA"/>
        </w:rPr>
        <w:t>0.62]</w:t>
      </w:r>
    </w:p>
    <w:p w14:paraId="3D454E68" w14:textId="77777777" w:rsidR="00E05B98" w:rsidRPr="00460CDE" w:rsidRDefault="00B01E0C">
      <w:pPr>
        <w:spacing w:before="187"/>
        <w:ind w:left="77"/>
        <w:rPr>
          <w:rFonts w:ascii="Trebuchet MS"/>
          <w:sz w:val="16"/>
          <w:szCs w:val="16"/>
          <w:lang w:val="uk-UA"/>
        </w:rPr>
      </w:pPr>
      <w:r w:rsidRPr="00460CDE">
        <w:rPr>
          <w:sz w:val="16"/>
          <w:szCs w:val="16"/>
          <w:lang w:val="uk-UA"/>
        </w:rPr>
        <w:br w:type="column"/>
      </w:r>
      <w:r w:rsidRPr="00460CDE">
        <w:rPr>
          <w:rFonts w:ascii="Trebuchet MS"/>
          <w:color w:val="333333"/>
          <w:w w:val="80"/>
          <w:sz w:val="16"/>
          <w:szCs w:val="16"/>
          <w:lang w:val="uk-UA"/>
        </w:rPr>
        <w:t>S</w:t>
      </w:r>
      <w:r w:rsidRPr="00460CDE">
        <w:rPr>
          <w:rFonts w:ascii="Trebuchet MS"/>
          <w:color w:val="333333"/>
          <w:spacing w:val="-9"/>
          <w:w w:val="80"/>
          <w:sz w:val="16"/>
          <w:szCs w:val="16"/>
          <w:lang w:val="uk-UA"/>
        </w:rPr>
        <w:t xml:space="preserve"> </w:t>
      </w:r>
      <w:proofErr w:type="spellStart"/>
      <w:r w:rsidRPr="00460CDE">
        <w:rPr>
          <w:rFonts w:ascii="Trebuchet MS"/>
          <w:color w:val="333333"/>
          <w:w w:val="80"/>
          <w:sz w:val="16"/>
          <w:szCs w:val="16"/>
          <w:lang w:val="uk-UA"/>
        </w:rPr>
        <w:t>pecificity</w:t>
      </w:r>
      <w:proofErr w:type="spellEnd"/>
      <w:r w:rsidRPr="00460CDE">
        <w:rPr>
          <w:rFonts w:ascii="Trebuchet MS"/>
          <w:color w:val="333333"/>
          <w:spacing w:val="20"/>
          <w:sz w:val="16"/>
          <w:szCs w:val="16"/>
          <w:lang w:val="uk-UA"/>
        </w:rPr>
        <w:t xml:space="preserve"> </w:t>
      </w:r>
      <w:r w:rsidRPr="00460CDE">
        <w:rPr>
          <w:rFonts w:ascii="Trebuchet MS"/>
          <w:color w:val="333333"/>
          <w:w w:val="80"/>
          <w:sz w:val="16"/>
          <w:szCs w:val="16"/>
          <w:lang w:val="uk-UA"/>
        </w:rPr>
        <w:t>(95%</w:t>
      </w:r>
      <w:r w:rsidRPr="00460CDE">
        <w:rPr>
          <w:rFonts w:ascii="Trebuchet MS"/>
          <w:color w:val="333333"/>
          <w:spacing w:val="23"/>
          <w:sz w:val="16"/>
          <w:szCs w:val="16"/>
          <w:lang w:val="uk-UA"/>
        </w:rPr>
        <w:t xml:space="preserve"> </w:t>
      </w:r>
      <w:r w:rsidRPr="00460CDE">
        <w:rPr>
          <w:rFonts w:ascii="Trebuchet MS"/>
          <w:color w:val="333333"/>
          <w:w w:val="80"/>
          <w:sz w:val="16"/>
          <w:szCs w:val="16"/>
          <w:lang w:val="uk-UA"/>
        </w:rPr>
        <w:t>C</w:t>
      </w:r>
      <w:r w:rsidRPr="00460CDE">
        <w:rPr>
          <w:rFonts w:ascii="Trebuchet MS"/>
          <w:color w:val="333333"/>
          <w:spacing w:val="-15"/>
          <w:w w:val="80"/>
          <w:sz w:val="16"/>
          <w:szCs w:val="16"/>
          <w:lang w:val="uk-UA"/>
        </w:rPr>
        <w:t xml:space="preserve"> </w:t>
      </w:r>
      <w:r w:rsidRPr="00460CDE">
        <w:rPr>
          <w:rFonts w:ascii="Trebuchet MS"/>
          <w:color w:val="333333"/>
          <w:spacing w:val="-5"/>
          <w:w w:val="80"/>
          <w:sz w:val="16"/>
          <w:szCs w:val="16"/>
          <w:lang w:val="uk-UA"/>
        </w:rPr>
        <w:t>I)</w:t>
      </w:r>
    </w:p>
    <w:p w14:paraId="26DDCDE7" w14:textId="77777777" w:rsidR="00E05B98" w:rsidRPr="00460CDE" w:rsidRDefault="00B01E0C">
      <w:pPr>
        <w:spacing w:before="61"/>
        <w:ind w:left="330"/>
        <w:rPr>
          <w:rFonts w:ascii="Trebuchet MS"/>
          <w:sz w:val="16"/>
          <w:szCs w:val="16"/>
          <w:lang w:val="uk-UA"/>
        </w:rPr>
      </w:pPr>
      <w:r w:rsidRPr="00460CDE">
        <w:rPr>
          <w:rFonts w:ascii="Trebuchet MS"/>
          <w:w w:val="70"/>
          <w:sz w:val="16"/>
          <w:szCs w:val="16"/>
          <w:lang w:val="uk-UA"/>
        </w:rPr>
        <w:t>0.50</w:t>
      </w:r>
      <w:r w:rsidRPr="00460CDE">
        <w:rPr>
          <w:rFonts w:ascii="Trebuchet MS"/>
          <w:spacing w:val="21"/>
          <w:sz w:val="16"/>
          <w:szCs w:val="16"/>
          <w:lang w:val="uk-UA"/>
        </w:rPr>
        <w:t xml:space="preserve"> </w:t>
      </w:r>
      <w:r w:rsidRPr="00460CDE">
        <w:rPr>
          <w:rFonts w:ascii="Trebuchet MS"/>
          <w:w w:val="70"/>
          <w:sz w:val="16"/>
          <w:szCs w:val="16"/>
          <w:lang w:val="uk-UA"/>
        </w:rPr>
        <w:t>[0.01,</w:t>
      </w:r>
      <w:r w:rsidRPr="00460CDE">
        <w:rPr>
          <w:rFonts w:ascii="Trebuchet MS"/>
          <w:spacing w:val="29"/>
          <w:sz w:val="16"/>
          <w:szCs w:val="16"/>
          <w:lang w:val="uk-UA"/>
        </w:rPr>
        <w:t xml:space="preserve"> </w:t>
      </w:r>
      <w:r w:rsidRPr="00460CDE">
        <w:rPr>
          <w:rFonts w:ascii="Trebuchet MS"/>
          <w:spacing w:val="-2"/>
          <w:w w:val="70"/>
          <w:sz w:val="16"/>
          <w:szCs w:val="16"/>
          <w:lang w:val="uk-UA"/>
        </w:rPr>
        <w:t>0.99]</w:t>
      </w:r>
    </w:p>
    <w:p w14:paraId="2630D81C" w14:textId="77777777" w:rsidR="00E05B98" w:rsidRPr="00460CDE" w:rsidRDefault="00B01E0C">
      <w:pPr>
        <w:spacing w:before="30"/>
        <w:ind w:left="330"/>
        <w:rPr>
          <w:rFonts w:ascii="Trebuchet MS"/>
          <w:sz w:val="16"/>
          <w:szCs w:val="16"/>
          <w:lang w:val="uk-UA"/>
        </w:rPr>
      </w:pPr>
      <w:r w:rsidRPr="00460CDE">
        <w:rPr>
          <w:rFonts w:ascii="Trebuchet MS"/>
          <w:w w:val="70"/>
          <w:sz w:val="16"/>
          <w:szCs w:val="16"/>
          <w:lang w:val="uk-UA"/>
        </w:rPr>
        <w:t>0.96</w:t>
      </w:r>
      <w:r w:rsidRPr="00460CDE">
        <w:rPr>
          <w:rFonts w:ascii="Trebuchet MS"/>
          <w:spacing w:val="21"/>
          <w:sz w:val="16"/>
          <w:szCs w:val="16"/>
          <w:lang w:val="uk-UA"/>
        </w:rPr>
        <w:t xml:space="preserve"> </w:t>
      </w:r>
      <w:r w:rsidRPr="00460CDE">
        <w:rPr>
          <w:rFonts w:ascii="Trebuchet MS"/>
          <w:w w:val="70"/>
          <w:sz w:val="16"/>
          <w:szCs w:val="16"/>
          <w:lang w:val="uk-UA"/>
        </w:rPr>
        <w:t>[0.92,</w:t>
      </w:r>
      <w:r w:rsidRPr="00460CDE">
        <w:rPr>
          <w:rFonts w:ascii="Trebuchet MS"/>
          <w:spacing w:val="29"/>
          <w:sz w:val="16"/>
          <w:szCs w:val="16"/>
          <w:lang w:val="uk-UA"/>
        </w:rPr>
        <w:t xml:space="preserve"> </w:t>
      </w:r>
      <w:r w:rsidRPr="00460CDE">
        <w:rPr>
          <w:rFonts w:ascii="Trebuchet MS"/>
          <w:spacing w:val="-2"/>
          <w:w w:val="70"/>
          <w:sz w:val="16"/>
          <w:szCs w:val="16"/>
          <w:lang w:val="uk-UA"/>
        </w:rPr>
        <w:t>0.99]</w:t>
      </w:r>
    </w:p>
    <w:p w14:paraId="3ADF5EB2" w14:textId="77777777" w:rsidR="00E05B98" w:rsidRPr="00460CDE" w:rsidRDefault="00B01E0C">
      <w:pPr>
        <w:spacing w:before="31"/>
        <w:ind w:left="330"/>
        <w:rPr>
          <w:rFonts w:ascii="Trebuchet MS"/>
          <w:sz w:val="16"/>
          <w:szCs w:val="16"/>
          <w:lang w:val="uk-UA"/>
        </w:rPr>
      </w:pPr>
      <w:r w:rsidRPr="00460CDE">
        <w:rPr>
          <w:rFonts w:ascii="Trebuchet MS"/>
          <w:w w:val="70"/>
          <w:sz w:val="16"/>
          <w:szCs w:val="16"/>
          <w:lang w:val="uk-UA"/>
        </w:rPr>
        <w:t>0.94</w:t>
      </w:r>
      <w:r w:rsidRPr="00460CDE">
        <w:rPr>
          <w:rFonts w:ascii="Trebuchet MS"/>
          <w:spacing w:val="21"/>
          <w:sz w:val="16"/>
          <w:szCs w:val="16"/>
          <w:lang w:val="uk-UA"/>
        </w:rPr>
        <w:t xml:space="preserve"> </w:t>
      </w:r>
      <w:r w:rsidRPr="00460CDE">
        <w:rPr>
          <w:rFonts w:ascii="Trebuchet MS"/>
          <w:w w:val="70"/>
          <w:sz w:val="16"/>
          <w:szCs w:val="16"/>
          <w:lang w:val="uk-UA"/>
        </w:rPr>
        <w:t>[0.89,</w:t>
      </w:r>
      <w:r w:rsidRPr="00460CDE">
        <w:rPr>
          <w:rFonts w:ascii="Trebuchet MS"/>
          <w:spacing w:val="29"/>
          <w:sz w:val="16"/>
          <w:szCs w:val="16"/>
          <w:lang w:val="uk-UA"/>
        </w:rPr>
        <w:t xml:space="preserve"> </w:t>
      </w:r>
      <w:r w:rsidRPr="00460CDE">
        <w:rPr>
          <w:rFonts w:ascii="Trebuchet MS"/>
          <w:spacing w:val="-2"/>
          <w:w w:val="70"/>
          <w:sz w:val="16"/>
          <w:szCs w:val="16"/>
          <w:lang w:val="uk-UA"/>
        </w:rPr>
        <w:t>0.98]</w:t>
      </w:r>
    </w:p>
    <w:p w14:paraId="2640B92B" w14:textId="77777777" w:rsidR="00E05B98" w:rsidRPr="00460CDE" w:rsidRDefault="00B01E0C">
      <w:pPr>
        <w:spacing w:before="30"/>
        <w:ind w:left="330"/>
        <w:rPr>
          <w:rFonts w:ascii="Trebuchet MS"/>
          <w:sz w:val="16"/>
          <w:szCs w:val="16"/>
          <w:lang w:val="uk-UA"/>
        </w:rPr>
      </w:pPr>
      <w:r w:rsidRPr="00460CDE">
        <w:rPr>
          <w:rFonts w:ascii="Trebuchet MS"/>
          <w:w w:val="70"/>
          <w:sz w:val="16"/>
          <w:szCs w:val="16"/>
          <w:lang w:val="uk-UA"/>
        </w:rPr>
        <w:t>0.91</w:t>
      </w:r>
      <w:r w:rsidRPr="00460CDE">
        <w:rPr>
          <w:rFonts w:ascii="Trebuchet MS"/>
          <w:spacing w:val="21"/>
          <w:sz w:val="16"/>
          <w:szCs w:val="16"/>
          <w:lang w:val="uk-UA"/>
        </w:rPr>
        <w:t xml:space="preserve"> </w:t>
      </w:r>
      <w:r w:rsidRPr="00460CDE">
        <w:rPr>
          <w:rFonts w:ascii="Trebuchet MS"/>
          <w:w w:val="70"/>
          <w:sz w:val="16"/>
          <w:szCs w:val="16"/>
          <w:lang w:val="uk-UA"/>
        </w:rPr>
        <w:t>[0.71,</w:t>
      </w:r>
      <w:r w:rsidRPr="00460CDE">
        <w:rPr>
          <w:rFonts w:ascii="Trebuchet MS"/>
          <w:spacing w:val="29"/>
          <w:sz w:val="16"/>
          <w:szCs w:val="16"/>
          <w:lang w:val="uk-UA"/>
        </w:rPr>
        <w:t xml:space="preserve"> </w:t>
      </w:r>
      <w:r w:rsidRPr="00460CDE">
        <w:rPr>
          <w:rFonts w:ascii="Trebuchet MS"/>
          <w:spacing w:val="-2"/>
          <w:w w:val="70"/>
          <w:sz w:val="16"/>
          <w:szCs w:val="16"/>
          <w:lang w:val="uk-UA"/>
        </w:rPr>
        <w:t>0.99]</w:t>
      </w:r>
    </w:p>
    <w:p w14:paraId="1C0C6CAE" w14:textId="77777777" w:rsidR="00E05B98" w:rsidRPr="00460CDE" w:rsidRDefault="00B01E0C">
      <w:pPr>
        <w:spacing w:before="30"/>
        <w:ind w:left="330"/>
        <w:rPr>
          <w:rFonts w:ascii="Trebuchet MS"/>
          <w:sz w:val="16"/>
          <w:szCs w:val="16"/>
          <w:lang w:val="uk-UA"/>
        </w:rPr>
      </w:pPr>
      <w:r w:rsidRPr="00460CDE">
        <w:rPr>
          <w:rFonts w:ascii="Trebuchet MS"/>
          <w:w w:val="70"/>
          <w:sz w:val="16"/>
          <w:szCs w:val="16"/>
          <w:lang w:val="uk-UA"/>
        </w:rPr>
        <w:t>0.97</w:t>
      </w:r>
      <w:r w:rsidRPr="00460CDE">
        <w:rPr>
          <w:rFonts w:ascii="Trebuchet MS"/>
          <w:spacing w:val="21"/>
          <w:sz w:val="16"/>
          <w:szCs w:val="16"/>
          <w:lang w:val="uk-UA"/>
        </w:rPr>
        <w:t xml:space="preserve"> </w:t>
      </w:r>
      <w:r w:rsidRPr="00460CDE">
        <w:rPr>
          <w:rFonts w:ascii="Trebuchet MS"/>
          <w:w w:val="70"/>
          <w:sz w:val="16"/>
          <w:szCs w:val="16"/>
          <w:lang w:val="uk-UA"/>
        </w:rPr>
        <w:t>[0.94,</w:t>
      </w:r>
      <w:r w:rsidRPr="00460CDE">
        <w:rPr>
          <w:rFonts w:ascii="Trebuchet MS"/>
          <w:spacing w:val="29"/>
          <w:sz w:val="16"/>
          <w:szCs w:val="16"/>
          <w:lang w:val="uk-UA"/>
        </w:rPr>
        <w:t xml:space="preserve"> </w:t>
      </w:r>
      <w:r w:rsidRPr="00460CDE">
        <w:rPr>
          <w:rFonts w:ascii="Trebuchet MS"/>
          <w:spacing w:val="-2"/>
          <w:w w:val="70"/>
          <w:sz w:val="16"/>
          <w:szCs w:val="16"/>
          <w:lang w:val="uk-UA"/>
        </w:rPr>
        <w:t>0.99]</w:t>
      </w:r>
    </w:p>
    <w:p w14:paraId="23B222AF" w14:textId="77777777" w:rsidR="00E05B98" w:rsidRPr="00460CDE" w:rsidRDefault="00B01E0C">
      <w:pPr>
        <w:spacing w:before="30"/>
        <w:ind w:left="330"/>
        <w:rPr>
          <w:rFonts w:ascii="Trebuchet MS"/>
          <w:sz w:val="16"/>
          <w:szCs w:val="16"/>
          <w:lang w:val="uk-UA"/>
        </w:rPr>
      </w:pPr>
      <w:r w:rsidRPr="00460CDE">
        <w:rPr>
          <w:rFonts w:ascii="Trebuchet MS"/>
          <w:w w:val="70"/>
          <w:sz w:val="16"/>
          <w:szCs w:val="16"/>
          <w:lang w:val="uk-UA"/>
        </w:rPr>
        <w:t>0.98</w:t>
      </w:r>
      <w:r w:rsidRPr="00460CDE">
        <w:rPr>
          <w:rFonts w:ascii="Trebuchet MS"/>
          <w:spacing w:val="21"/>
          <w:sz w:val="16"/>
          <w:szCs w:val="16"/>
          <w:lang w:val="uk-UA"/>
        </w:rPr>
        <w:t xml:space="preserve"> </w:t>
      </w:r>
      <w:r w:rsidRPr="00460CDE">
        <w:rPr>
          <w:rFonts w:ascii="Trebuchet MS"/>
          <w:w w:val="70"/>
          <w:sz w:val="16"/>
          <w:szCs w:val="16"/>
          <w:lang w:val="uk-UA"/>
        </w:rPr>
        <w:t>[0.96,</w:t>
      </w:r>
      <w:r w:rsidRPr="00460CDE">
        <w:rPr>
          <w:rFonts w:ascii="Trebuchet MS"/>
          <w:spacing w:val="29"/>
          <w:sz w:val="16"/>
          <w:szCs w:val="16"/>
          <w:lang w:val="uk-UA"/>
        </w:rPr>
        <w:t xml:space="preserve"> </w:t>
      </w:r>
      <w:r w:rsidRPr="00460CDE">
        <w:rPr>
          <w:rFonts w:ascii="Trebuchet MS"/>
          <w:spacing w:val="-2"/>
          <w:w w:val="70"/>
          <w:sz w:val="16"/>
          <w:szCs w:val="16"/>
          <w:lang w:val="uk-UA"/>
        </w:rPr>
        <w:t>0.99]</w:t>
      </w:r>
    </w:p>
    <w:p w14:paraId="03E95464" w14:textId="77777777" w:rsidR="00E05B98" w:rsidRPr="00460CDE" w:rsidRDefault="00B01E0C">
      <w:pPr>
        <w:spacing w:before="30"/>
        <w:ind w:left="330"/>
        <w:rPr>
          <w:rFonts w:ascii="Trebuchet MS"/>
          <w:sz w:val="16"/>
          <w:szCs w:val="16"/>
          <w:lang w:val="uk-UA"/>
        </w:rPr>
      </w:pPr>
      <w:r w:rsidRPr="00460CDE">
        <w:rPr>
          <w:rFonts w:ascii="Trebuchet MS"/>
          <w:w w:val="70"/>
          <w:sz w:val="16"/>
          <w:szCs w:val="16"/>
          <w:lang w:val="uk-UA"/>
        </w:rPr>
        <w:t>0.99</w:t>
      </w:r>
      <w:r w:rsidRPr="00460CDE">
        <w:rPr>
          <w:rFonts w:ascii="Trebuchet MS"/>
          <w:spacing w:val="21"/>
          <w:sz w:val="16"/>
          <w:szCs w:val="16"/>
          <w:lang w:val="uk-UA"/>
        </w:rPr>
        <w:t xml:space="preserve"> </w:t>
      </w:r>
      <w:r w:rsidRPr="00460CDE">
        <w:rPr>
          <w:rFonts w:ascii="Trebuchet MS"/>
          <w:w w:val="70"/>
          <w:sz w:val="16"/>
          <w:szCs w:val="16"/>
          <w:lang w:val="uk-UA"/>
        </w:rPr>
        <w:t>[0.98,</w:t>
      </w:r>
      <w:r w:rsidRPr="00460CDE">
        <w:rPr>
          <w:rFonts w:ascii="Trebuchet MS"/>
          <w:spacing w:val="29"/>
          <w:sz w:val="16"/>
          <w:szCs w:val="16"/>
          <w:lang w:val="uk-UA"/>
        </w:rPr>
        <w:t xml:space="preserve"> </w:t>
      </w:r>
      <w:r w:rsidRPr="00460CDE">
        <w:rPr>
          <w:rFonts w:ascii="Trebuchet MS"/>
          <w:spacing w:val="-2"/>
          <w:w w:val="70"/>
          <w:sz w:val="16"/>
          <w:szCs w:val="16"/>
          <w:lang w:val="uk-UA"/>
        </w:rPr>
        <w:t>1.00]</w:t>
      </w:r>
    </w:p>
    <w:p w14:paraId="29573860" w14:textId="77777777" w:rsidR="00E05B98" w:rsidRPr="00460CDE" w:rsidRDefault="00B01E0C">
      <w:pPr>
        <w:spacing w:before="186"/>
        <w:ind w:left="87"/>
        <w:rPr>
          <w:rFonts w:ascii="Trebuchet MS"/>
          <w:sz w:val="16"/>
          <w:szCs w:val="16"/>
          <w:lang w:val="uk-UA"/>
        </w:rPr>
      </w:pPr>
      <w:r w:rsidRPr="00460CDE">
        <w:rPr>
          <w:sz w:val="16"/>
          <w:szCs w:val="16"/>
          <w:lang w:val="uk-UA"/>
        </w:rPr>
        <w:br w:type="column"/>
      </w:r>
      <w:r w:rsidRPr="00460CDE">
        <w:rPr>
          <w:rFonts w:ascii="Trebuchet MS"/>
          <w:color w:val="333333"/>
          <w:w w:val="80"/>
          <w:sz w:val="16"/>
          <w:szCs w:val="16"/>
          <w:lang w:val="uk-UA"/>
        </w:rPr>
        <w:t>S</w:t>
      </w:r>
      <w:r w:rsidRPr="00460CDE">
        <w:rPr>
          <w:rFonts w:ascii="Trebuchet MS"/>
          <w:color w:val="333333"/>
          <w:spacing w:val="-12"/>
          <w:w w:val="80"/>
          <w:sz w:val="16"/>
          <w:szCs w:val="16"/>
          <w:lang w:val="uk-UA"/>
        </w:rPr>
        <w:t xml:space="preserve"> </w:t>
      </w:r>
      <w:proofErr w:type="spellStart"/>
      <w:r w:rsidRPr="00460CDE">
        <w:rPr>
          <w:rFonts w:ascii="Trebuchet MS"/>
          <w:color w:val="333333"/>
          <w:w w:val="80"/>
          <w:sz w:val="16"/>
          <w:szCs w:val="16"/>
          <w:lang w:val="uk-UA"/>
        </w:rPr>
        <w:t>ens</w:t>
      </w:r>
      <w:proofErr w:type="spellEnd"/>
      <w:r w:rsidRPr="00460CDE">
        <w:rPr>
          <w:rFonts w:ascii="Trebuchet MS"/>
          <w:color w:val="333333"/>
          <w:spacing w:val="-13"/>
          <w:w w:val="80"/>
          <w:sz w:val="16"/>
          <w:szCs w:val="16"/>
          <w:lang w:val="uk-UA"/>
        </w:rPr>
        <w:t xml:space="preserve"> </w:t>
      </w:r>
      <w:proofErr w:type="spellStart"/>
      <w:r w:rsidRPr="00460CDE">
        <w:rPr>
          <w:rFonts w:ascii="Trebuchet MS"/>
          <w:color w:val="333333"/>
          <w:w w:val="80"/>
          <w:sz w:val="16"/>
          <w:szCs w:val="16"/>
          <w:lang w:val="uk-UA"/>
        </w:rPr>
        <w:t>itivity</w:t>
      </w:r>
      <w:proofErr w:type="spellEnd"/>
      <w:r w:rsidRPr="00460CDE">
        <w:rPr>
          <w:rFonts w:ascii="Trebuchet MS"/>
          <w:color w:val="333333"/>
          <w:spacing w:val="13"/>
          <w:sz w:val="16"/>
          <w:szCs w:val="16"/>
          <w:lang w:val="uk-UA"/>
        </w:rPr>
        <w:t xml:space="preserve"> </w:t>
      </w:r>
      <w:r w:rsidRPr="00460CDE">
        <w:rPr>
          <w:rFonts w:ascii="Trebuchet MS"/>
          <w:color w:val="333333"/>
          <w:w w:val="80"/>
          <w:sz w:val="16"/>
          <w:szCs w:val="16"/>
          <w:lang w:val="uk-UA"/>
        </w:rPr>
        <w:t>(95%</w:t>
      </w:r>
      <w:r w:rsidRPr="00460CDE">
        <w:rPr>
          <w:rFonts w:ascii="Trebuchet MS"/>
          <w:color w:val="333333"/>
          <w:spacing w:val="17"/>
          <w:sz w:val="16"/>
          <w:szCs w:val="16"/>
          <w:lang w:val="uk-UA"/>
        </w:rPr>
        <w:t xml:space="preserve"> </w:t>
      </w:r>
      <w:r w:rsidRPr="00460CDE">
        <w:rPr>
          <w:rFonts w:ascii="Trebuchet MS"/>
          <w:color w:val="333333"/>
          <w:w w:val="80"/>
          <w:sz w:val="16"/>
          <w:szCs w:val="16"/>
          <w:lang w:val="uk-UA"/>
        </w:rPr>
        <w:t>C</w:t>
      </w:r>
      <w:r w:rsidRPr="00460CDE">
        <w:rPr>
          <w:rFonts w:ascii="Trebuchet MS"/>
          <w:color w:val="333333"/>
          <w:spacing w:val="-18"/>
          <w:w w:val="80"/>
          <w:sz w:val="16"/>
          <w:szCs w:val="16"/>
          <w:lang w:val="uk-UA"/>
        </w:rPr>
        <w:t xml:space="preserve"> </w:t>
      </w:r>
      <w:r w:rsidRPr="00460CDE">
        <w:rPr>
          <w:rFonts w:ascii="Trebuchet MS"/>
          <w:color w:val="333333"/>
          <w:spacing w:val="-5"/>
          <w:w w:val="80"/>
          <w:sz w:val="16"/>
          <w:szCs w:val="16"/>
          <w:lang w:val="uk-UA"/>
        </w:rPr>
        <w:t>I)</w:t>
      </w:r>
    </w:p>
    <w:p w14:paraId="121A8F9F" w14:textId="77777777" w:rsidR="00E05B98" w:rsidRPr="00460CDE" w:rsidRDefault="00E05B98">
      <w:pPr>
        <w:pStyle w:val="a3"/>
        <w:spacing w:before="89"/>
        <w:rPr>
          <w:rFonts w:ascii="Trebuchet MS"/>
          <w:sz w:val="16"/>
          <w:szCs w:val="16"/>
          <w:lang w:val="uk-UA"/>
        </w:rPr>
      </w:pPr>
    </w:p>
    <w:p w14:paraId="20048AF3" w14:textId="77777777" w:rsidR="00E05B98" w:rsidRPr="00460CDE" w:rsidRDefault="00B01E0C">
      <w:pPr>
        <w:pStyle w:val="a3"/>
        <w:spacing w:line="104" w:lineRule="exact"/>
        <w:ind w:left="132" w:right="-72"/>
        <w:rPr>
          <w:rFonts w:ascii="Trebuchet MS"/>
          <w:position w:val="-1"/>
          <w:sz w:val="16"/>
          <w:szCs w:val="16"/>
          <w:lang w:val="uk-UA"/>
        </w:rPr>
      </w:pPr>
      <w:r w:rsidRPr="00460CDE">
        <w:rPr>
          <w:rFonts w:ascii="Trebuchet MS"/>
          <w:noProof/>
          <w:position w:val="-1"/>
          <w:sz w:val="16"/>
          <w:szCs w:val="16"/>
          <w:lang w:val="uk-UA"/>
        </w:rPr>
        <mc:AlternateContent>
          <mc:Choice Requires="wpg">
            <w:drawing>
              <wp:inline distT="0" distB="0" distL="0" distR="0" wp14:anchorId="568A6686" wp14:editId="168C1852">
                <wp:extent cx="852169" cy="66675"/>
                <wp:effectExtent l="9525" t="0" r="0" b="0"/>
                <wp:docPr id="2345" name="Group 2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66675"/>
                          <a:chOff x="0" y="0"/>
                          <a:chExt cx="852169" cy="66675"/>
                        </a:xfrm>
                      </wpg:grpSpPr>
                      <wps:wsp>
                        <wps:cNvPr id="2346" name="Graphic 2346"/>
                        <wps:cNvSpPr/>
                        <wps:spPr>
                          <a:xfrm>
                            <a:off x="0" y="28485"/>
                            <a:ext cx="852169" cy="1270"/>
                          </a:xfrm>
                          <a:custGeom>
                            <a:avLst/>
                            <a:gdLst/>
                            <a:ahLst/>
                            <a:cxnLst/>
                            <a:rect l="l" t="t" r="r" b="b"/>
                            <a:pathLst>
                              <a:path w="852169">
                                <a:moveTo>
                                  <a:pt x="0" y="0"/>
                                </a:moveTo>
                                <a:lnTo>
                                  <a:pt x="519863" y="0"/>
                                </a:lnTo>
                              </a:path>
                              <a:path w="852169">
                                <a:moveTo>
                                  <a:pt x="575251" y="0"/>
                                </a:moveTo>
                                <a:lnTo>
                                  <a:pt x="851800" y="0"/>
                                </a:lnTo>
                              </a:path>
                            </a:pathLst>
                          </a:custGeom>
                          <a:ln w="9495">
                            <a:solidFill>
                              <a:srgbClr val="000000"/>
                            </a:solidFill>
                            <a:prstDash val="solid"/>
                          </a:ln>
                        </wps:spPr>
                        <wps:bodyPr wrap="square" lIns="0" tIns="0" rIns="0" bIns="0" rtlCol="0">
                          <a:prstTxWarp prst="textNoShape">
                            <a:avLst/>
                          </a:prstTxWarp>
                          <a:noAutofit/>
                        </wps:bodyPr>
                      </wps:wsp>
                      <wps:wsp>
                        <wps:cNvPr id="2347" name="Graphic 2347"/>
                        <wps:cNvSpPr/>
                        <wps:spPr>
                          <a:xfrm>
                            <a:off x="519863" y="0"/>
                            <a:ext cx="55880" cy="66675"/>
                          </a:xfrm>
                          <a:custGeom>
                            <a:avLst/>
                            <a:gdLst/>
                            <a:ahLst/>
                            <a:cxnLst/>
                            <a:rect l="l" t="t" r="r" b="b"/>
                            <a:pathLst>
                              <a:path w="55880" h="66675">
                                <a:moveTo>
                                  <a:pt x="55388" y="66466"/>
                                </a:moveTo>
                                <a:lnTo>
                                  <a:pt x="0" y="66466"/>
                                </a:lnTo>
                                <a:lnTo>
                                  <a:pt x="0" y="0"/>
                                </a:lnTo>
                                <a:lnTo>
                                  <a:pt x="55388" y="0"/>
                                </a:lnTo>
                                <a:lnTo>
                                  <a:pt x="55388" y="66466"/>
                                </a:lnTo>
                                <a:close/>
                              </a:path>
                            </a:pathLst>
                          </a:custGeom>
                          <a:solidFill>
                            <a:srgbClr val="0000C0"/>
                          </a:solidFill>
                        </wps:spPr>
                        <wps:bodyPr wrap="square" lIns="0" tIns="0" rIns="0" bIns="0" rtlCol="0">
                          <a:prstTxWarp prst="textNoShape">
                            <a:avLst/>
                          </a:prstTxWarp>
                          <a:noAutofit/>
                        </wps:bodyPr>
                      </wps:wsp>
                    </wpg:wgp>
                  </a:graphicData>
                </a:graphic>
              </wp:inline>
            </w:drawing>
          </mc:Choice>
          <mc:Fallback>
            <w:pict>
              <v:group w14:anchorId="6BD6608E" id="Group 2345" o:spid="_x0000_s1026" style="width:67.1pt;height:5.25pt;mso-position-horizontal-relative:char;mso-position-vertical-relative:line" coordsize="852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">
                <v:shape id="Graphic 2346" o:spid="_x0000_s1027" style="position:absolute;top:284;width:8521;height:13;visibility:visible;mso-wrap-style:square;v-text-anchor:top" coordsize="8521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" path="m,l519863,em575251,l851800,e" filled="f" strokeweight=".26375mm">
                  <v:path arrowok="t"/>
                </v:shape>
                <v:shape id="Graphic 2347" o:spid="_x0000_s1028" style="position:absolute;left:5198;width:559;height:666;visibility:visible;mso-wrap-style:square;v-text-anchor:top" coordsize="5588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" path="m55388,66466l,66466,,,55388,r,66466xe" fillcolor="#0000c0" stroked="f">
                  <v:path arrowok="t"/>
                </v:shape>
                <w10:anchorlock/>
              </v:group>
            </w:pict>
          </mc:Fallback>
        </mc:AlternateContent>
      </w:r>
    </w:p>
    <w:p w14:paraId="69534AFD" w14:textId="77777777" w:rsidR="00E05B98" w:rsidRPr="00460CDE" w:rsidRDefault="00B01E0C">
      <w:pPr>
        <w:pStyle w:val="a3"/>
        <w:spacing w:before="6"/>
        <w:rPr>
          <w:rFonts w:ascii="Trebuchet MS"/>
          <w:sz w:val="16"/>
          <w:szCs w:val="16"/>
          <w:lang w:val="uk-UA"/>
        </w:rPr>
      </w:pPr>
      <w:r w:rsidRPr="00460CDE">
        <w:rPr>
          <w:rFonts w:ascii="Trebuchet MS"/>
          <w:noProof/>
          <w:sz w:val="16"/>
          <w:szCs w:val="16"/>
          <w:lang w:val="uk-UA"/>
        </w:rPr>
        <mc:AlternateContent>
          <mc:Choice Requires="wpg">
            <w:drawing>
              <wp:anchor distT="0" distB="0" distL="0" distR="0" simplePos="0" relativeHeight="487949312" behindDoc="1" locked="0" layoutInCell="1" allowOverlap="1" wp14:anchorId="178DBC03" wp14:editId="5F5AA08C">
                <wp:simplePos x="0" y="0"/>
                <wp:positionH relativeFrom="page">
                  <wp:posOffset>4495081</wp:posOffset>
                </wp:positionH>
                <wp:positionV relativeFrom="paragraph">
                  <wp:posOffset>85883</wp:posOffset>
                </wp:positionV>
                <wp:extent cx="821055" cy="66675"/>
                <wp:effectExtent l="0" t="0" r="0" b="0"/>
                <wp:wrapTopAndBottom/>
                <wp:docPr id="2348" name="Group 2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66675"/>
                          <a:chOff x="0" y="0"/>
                          <a:chExt cx="821055" cy="66675"/>
                        </a:xfrm>
                      </wpg:grpSpPr>
                      <wps:wsp>
                        <wps:cNvPr id="2349" name="Graphic 2349"/>
                        <wps:cNvSpPr/>
                        <wps:spPr>
                          <a:xfrm>
                            <a:off x="0" y="28485"/>
                            <a:ext cx="821055" cy="1270"/>
                          </a:xfrm>
                          <a:custGeom>
                            <a:avLst/>
                            <a:gdLst/>
                            <a:ahLst/>
                            <a:cxnLst/>
                            <a:rect l="l" t="t" r="r" b="b"/>
                            <a:pathLst>
                              <a:path w="821055">
                                <a:moveTo>
                                  <a:pt x="0" y="0"/>
                                </a:moveTo>
                                <a:lnTo>
                                  <a:pt x="386929" y="0"/>
                                </a:lnTo>
                              </a:path>
                              <a:path w="821055">
                                <a:moveTo>
                                  <a:pt x="442319" y="0"/>
                                </a:moveTo>
                                <a:lnTo>
                                  <a:pt x="820940" y="0"/>
                                </a:lnTo>
                              </a:path>
                            </a:pathLst>
                          </a:custGeom>
                          <a:ln w="9495">
                            <a:solidFill>
                              <a:srgbClr val="000000"/>
                            </a:solidFill>
                            <a:prstDash val="solid"/>
                          </a:ln>
                        </wps:spPr>
                        <wps:bodyPr wrap="square" lIns="0" tIns="0" rIns="0" bIns="0" rtlCol="0">
                          <a:prstTxWarp prst="textNoShape">
                            <a:avLst/>
                          </a:prstTxWarp>
                          <a:noAutofit/>
                        </wps:bodyPr>
                      </wps:wsp>
                      <wps:wsp>
                        <wps:cNvPr id="2350" name="Graphic 2350"/>
                        <wps:cNvSpPr/>
                        <wps:spPr>
                          <a:xfrm>
                            <a:off x="386929" y="0"/>
                            <a:ext cx="55880" cy="66675"/>
                          </a:xfrm>
                          <a:custGeom>
                            <a:avLst/>
                            <a:gdLst/>
                            <a:ahLst/>
                            <a:cxnLst/>
                            <a:rect l="l" t="t" r="r" b="b"/>
                            <a:pathLst>
                              <a:path w="55880" h="66675">
                                <a:moveTo>
                                  <a:pt x="55390" y="66466"/>
                                </a:moveTo>
                                <a:lnTo>
                                  <a:pt x="0" y="66466"/>
                                </a:lnTo>
                                <a:lnTo>
                                  <a:pt x="0" y="0"/>
                                </a:lnTo>
                                <a:lnTo>
                                  <a:pt x="55390" y="0"/>
                                </a:lnTo>
                                <a:lnTo>
                                  <a:pt x="55390" y="66466"/>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BB03017" id="Group 2348" o:spid="_x0000_s1026" style="position:absolute;margin-left:353.95pt;margin-top:6.75pt;width:64.65pt;height:5.25pt;z-index:-15367168;mso-wrap-distance-left:0;mso-wrap-distance-right:0;mso-position-horizontal-relative:page" coordsize="82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">
                <v:shape id="Graphic 2349" o:spid="_x0000_s1027" style="position:absolute;top:284;width:8210;height:13;visibility:visible;mso-wrap-style:square;v-text-anchor:top" coordsize="821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" path="m,l386929,em442319,l820940,e" filled="f" strokeweight=".26375mm">
                  <v:path arrowok="t"/>
                </v:shape>
                <v:shape id="Graphic 2350" o:spid="_x0000_s1028" style="position:absolute;left:3869;width:559;height:666;visibility:visible;mso-wrap-style:square;v-text-anchor:top" coordsize="5588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" path="m55390,66466l,66466,,,55390,r,66466xe" fillcolor="#0000c0" stroked="f">
                  <v:path arrowok="t"/>
                </v:shape>
                <w10:wrap type="topAndBottom" anchorx="page"/>
              </v:group>
            </w:pict>
          </mc:Fallback>
        </mc:AlternateContent>
      </w:r>
      <w:r w:rsidRPr="00460CDE">
        <w:rPr>
          <w:rFonts w:ascii="Trebuchet MS"/>
          <w:noProof/>
          <w:sz w:val="16"/>
          <w:szCs w:val="16"/>
          <w:lang w:val="uk-UA"/>
        </w:rPr>
        <mc:AlternateContent>
          <mc:Choice Requires="wpg">
            <w:drawing>
              <wp:anchor distT="0" distB="0" distL="0" distR="0" simplePos="0" relativeHeight="487949824" behindDoc="1" locked="0" layoutInCell="1" allowOverlap="1" wp14:anchorId="49684D6D" wp14:editId="32CDFF7D">
                <wp:simplePos x="0" y="0"/>
                <wp:positionH relativeFrom="page">
                  <wp:posOffset>4495081</wp:posOffset>
                </wp:positionH>
                <wp:positionV relativeFrom="paragraph">
                  <wp:posOffset>237806</wp:posOffset>
                </wp:positionV>
                <wp:extent cx="821055" cy="66675"/>
                <wp:effectExtent l="0" t="0" r="0" b="0"/>
                <wp:wrapTopAndBottom/>
                <wp:docPr id="2351" name="Group 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66675"/>
                          <a:chOff x="0" y="0"/>
                          <a:chExt cx="821055" cy="66675"/>
                        </a:xfrm>
                      </wpg:grpSpPr>
                      <wps:wsp>
                        <wps:cNvPr id="2352" name="Graphic 2352"/>
                        <wps:cNvSpPr/>
                        <wps:spPr>
                          <a:xfrm>
                            <a:off x="0" y="28485"/>
                            <a:ext cx="821055" cy="1270"/>
                          </a:xfrm>
                          <a:custGeom>
                            <a:avLst/>
                            <a:gdLst/>
                            <a:ahLst/>
                            <a:cxnLst/>
                            <a:rect l="l" t="t" r="r" b="b"/>
                            <a:pathLst>
                              <a:path w="821055">
                                <a:moveTo>
                                  <a:pt x="0" y="0"/>
                                </a:moveTo>
                                <a:lnTo>
                                  <a:pt x="386929" y="0"/>
                                </a:lnTo>
                              </a:path>
                              <a:path w="821055">
                                <a:moveTo>
                                  <a:pt x="442318" y="0"/>
                                </a:moveTo>
                                <a:lnTo>
                                  <a:pt x="820940" y="0"/>
                                </a:lnTo>
                              </a:path>
                            </a:pathLst>
                          </a:custGeom>
                          <a:ln w="9495">
                            <a:solidFill>
                              <a:srgbClr val="000000"/>
                            </a:solidFill>
                            <a:prstDash val="solid"/>
                          </a:ln>
                        </wps:spPr>
                        <wps:bodyPr wrap="square" lIns="0" tIns="0" rIns="0" bIns="0" rtlCol="0">
                          <a:prstTxWarp prst="textNoShape">
                            <a:avLst/>
                          </a:prstTxWarp>
                          <a:noAutofit/>
                        </wps:bodyPr>
                      </wps:wsp>
                      <wps:wsp>
                        <wps:cNvPr id="2353" name="Graphic 2353"/>
                        <wps:cNvSpPr/>
                        <wps:spPr>
                          <a:xfrm>
                            <a:off x="386929" y="0"/>
                            <a:ext cx="55880" cy="66675"/>
                          </a:xfrm>
                          <a:custGeom>
                            <a:avLst/>
                            <a:gdLst/>
                            <a:ahLst/>
                            <a:cxnLst/>
                            <a:rect l="l" t="t" r="r" b="b"/>
                            <a:pathLst>
                              <a:path w="55880" h="66675">
                                <a:moveTo>
                                  <a:pt x="55388" y="66466"/>
                                </a:moveTo>
                                <a:lnTo>
                                  <a:pt x="0" y="66466"/>
                                </a:lnTo>
                                <a:lnTo>
                                  <a:pt x="0" y="0"/>
                                </a:lnTo>
                                <a:lnTo>
                                  <a:pt x="55388" y="0"/>
                                </a:lnTo>
                                <a:lnTo>
                                  <a:pt x="55388" y="66466"/>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85A19ED" id="Group 2351" o:spid="_x0000_s1026" style="position:absolute;margin-left:353.95pt;margin-top:18.7pt;width:64.65pt;height:5.25pt;z-index:-15366656;mso-wrap-distance-left:0;mso-wrap-distance-right:0;mso-position-horizontal-relative:page" coordsize="82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">
                <v:shape id="Graphic 2352" o:spid="_x0000_s1027" style="position:absolute;top:284;width:8210;height:13;visibility:visible;mso-wrap-style:square;v-text-anchor:top" coordsize="821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" path="m,l386929,em442318,l820940,e" filled="f" strokeweight=".26375mm">
                  <v:path arrowok="t"/>
                </v:shape>
                <v:shape id="Graphic 2353" o:spid="_x0000_s1028" style="position:absolute;left:3869;width:559;height:666;visibility:visible;mso-wrap-style:square;v-text-anchor:top" coordsize="5588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" path="m55388,66466l,66466,,,55388,r,66466xe" fillcolor="#0000c0" stroked="f">
                  <v:path arrowok="t"/>
                </v:shape>
                <w10:wrap type="topAndBottom" anchorx="page"/>
              </v:group>
            </w:pict>
          </mc:Fallback>
        </mc:AlternateContent>
      </w:r>
      <w:r w:rsidRPr="00460CDE">
        <w:rPr>
          <w:rFonts w:ascii="Trebuchet MS"/>
          <w:noProof/>
          <w:sz w:val="16"/>
          <w:szCs w:val="16"/>
          <w:lang w:val="uk-UA"/>
        </w:rPr>
        <mc:AlternateContent>
          <mc:Choice Requires="wpg">
            <w:drawing>
              <wp:anchor distT="0" distB="0" distL="0" distR="0" simplePos="0" relativeHeight="487950336" behindDoc="1" locked="0" layoutInCell="1" allowOverlap="1" wp14:anchorId="5DFF5E6C" wp14:editId="23CF3614">
                <wp:simplePos x="0" y="0"/>
                <wp:positionH relativeFrom="page">
                  <wp:posOffset>4704370</wp:posOffset>
                </wp:positionH>
                <wp:positionV relativeFrom="paragraph">
                  <wp:posOffset>389730</wp:posOffset>
                </wp:positionV>
                <wp:extent cx="328295" cy="66675"/>
                <wp:effectExtent l="0" t="0" r="0" b="0"/>
                <wp:wrapTopAndBottom/>
                <wp:docPr id="2354" name="Group 2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295" cy="66675"/>
                          <a:chOff x="0" y="0"/>
                          <a:chExt cx="328295" cy="66675"/>
                        </a:xfrm>
                      </wpg:grpSpPr>
                      <wps:wsp>
                        <wps:cNvPr id="2355" name="Graphic 2355"/>
                        <wps:cNvSpPr/>
                        <wps:spPr>
                          <a:xfrm>
                            <a:off x="0" y="28486"/>
                            <a:ext cx="328295" cy="1270"/>
                          </a:xfrm>
                          <a:custGeom>
                            <a:avLst/>
                            <a:gdLst/>
                            <a:ahLst/>
                            <a:cxnLst/>
                            <a:rect l="l" t="t" r="r" b="b"/>
                            <a:pathLst>
                              <a:path w="328295">
                                <a:moveTo>
                                  <a:pt x="0" y="0"/>
                                </a:moveTo>
                                <a:lnTo>
                                  <a:pt x="136889" y="0"/>
                                </a:lnTo>
                              </a:path>
                              <a:path w="328295">
                                <a:moveTo>
                                  <a:pt x="192278" y="0"/>
                                </a:moveTo>
                                <a:lnTo>
                                  <a:pt x="327980" y="0"/>
                                </a:lnTo>
                              </a:path>
                            </a:pathLst>
                          </a:custGeom>
                          <a:ln w="9495">
                            <a:solidFill>
                              <a:srgbClr val="000000"/>
                            </a:solidFill>
                            <a:prstDash val="solid"/>
                          </a:ln>
                        </wps:spPr>
                        <wps:bodyPr wrap="square" lIns="0" tIns="0" rIns="0" bIns="0" rtlCol="0">
                          <a:prstTxWarp prst="textNoShape">
                            <a:avLst/>
                          </a:prstTxWarp>
                          <a:noAutofit/>
                        </wps:bodyPr>
                      </wps:wsp>
                      <wps:wsp>
                        <wps:cNvPr id="2356" name="Graphic 2356"/>
                        <wps:cNvSpPr/>
                        <wps:spPr>
                          <a:xfrm>
                            <a:off x="136889" y="0"/>
                            <a:ext cx="55880" cy="66675"/>
                          </a:xfrm>
                          <a:custGeom>
                            <a:avLst/>
                            <a:gdLst/>
                            <a:ahLst/>
                            <a:cxnLst/>
                            <a:rect l="l" t="t" r="r" b="b"/>
                            <a:pathLst>
                              <a:path w="55880" h="66675">
                                <a:moveTo>
                                  <a:pt x="55388" y="66466"/>
                                </a:moveTo>
                                <a:lnTo>
                                  <a:pt x="0" y="66466"/>
                                </a:lnTo>
                                <a:lnTo>
                                  <a:pt x="0" y="0"/>
                                </a:lnTo>
                                <a:lnTo>
                                  <a:pt x="55388" y="0"/>
                                </a:lnTo>
                                <a:lnTo>
                                  <a:pt x="55388" y="66466"/>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1BC1FFD" id="Group 2354" o:spid="_x0000_s1026" style="position:absolute;margin-left:370.4pt;margin-top:30.7pt;width:25.85pt;height:5.25pt;z-index:-15366144;mso-wrap-distance-left:0;mso-wrap-distance-right:0;mso-position-horizontal-relative:page" coordsize="32829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">
                <v:shape id="Graphic 2355" o:spid="_x0000_s1027" style="position:absolute;top:28486;width:328295;height:1270;visibility:visible;mso-wrap-style:square;v-text-anchor:top" coordsize="328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" path="m,l136889,em192278,l327980,e" filled="f" strokeweight=".26375mm">
                  <v:path arrowok="t"/>
                </v:shape>
                <v:shape id="Graphic 2356" o:spid="_x0000_s1028" style="position:absolute;left:136889;width:55880;height:66675;visibility:visible;mso-wrap-style:square;v-text-anchor:top" coordsize="5588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" path="m55388,66466l,66466,,,55388,r,66466xe" fillcolor="#0000c0" stroked="f">
                  <v:path arrowok="t"/>
                </v:shape>
                <w10:wrap type="topAndBottom" anchorx="page"/>
              </v:group>
            </w:pict>
          </mc:Fallback>
        </mc:AlternateContent>
      </w:r>
      <w:r w:rsidRPr="00460CDE">
        <w:rPr>
          <w:rFonts w:ascii="Trebuchet MS"/>
          <w:noProof/>
          <w:sz w:val="16"/>
          <w:szCs w:val="16"/>
          <w:lang w:val="uk-UA"/>
        </w:rPr>
        <mc:AlternateContent>
          <mc:Choice Requires="wpg">
            <w:drawing>
              <wp:anchor distT="0" distB="0" distL="0" distR="0" simplePos="0" relativeHeight="487950848" behindDoc="1" locked="0" layoutInCell="1" allowOverlap="1" wp14:anchorId="3D9089CA" wp14:editId="5F5A64AC">
                <wp:simplePos x="0" y="0"/>
                <wp:positionH relativeFrom="page">
                  <wp:posOffset>4697644</wp:posOffset>
                </wp:positionH>
                <wp:positionV relativeFrom="paragraph">
                  <wp:posOffset>541653</wp:posOffset>
                </wp:positionV>
                <wp:extent cx="337820" cy="66675"/>
                <wp:effectExtent l="0" t="0" r="0" b="0"/>
                <wp:wrapTopAndBottom/>
                <wp:docPr id="2357" name="Group 2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66675"/>
                          <a:chOff x="0" y="0"/>
                          <a:chExt cx="337820" cy="66675"/>
                        </a:xfrm>
                      </wpg:grpSpPr>
                      <wps:wsp>
                        <wps:cNvPr id="2358" name="Graphic 2358"/>
                        <wps:cNvSpPr/>
                        <wps:spPr>
                          <a:xfrm>
                            <a:off x="0" y="28486"/>
                            <a:ext cx="337820" cy="1270"/>
                          </a:xfrm>
                          <a:custGeom>
                            <a:avLst/>
                            <a:gdLst/>
                            <a:ahLst/>
                            <a:cxnLst/>
                            <a:rect l="l" t="t" r="r" b="b"/>
                            <a:pathLst>
                              <a:path w="337820">
                                <a:moveTo>
                                  <a:pt x="0" y="0"/>
                                </a:moveTo>
                                <a:lnTo>
                                  <a:pt x="140845" y="0"/>
                                </a:lnTo>
                              </a:path>
                              <a:path w="337820">
                                <a:moveTo>
                                  <a:pt x="196233" y="0"/>
                                </a:moveTo>
                                <a:lnTo>
                                  <a:pt x="337475" y="0"/>
                                </a:lnTo>
                              </a:path>
                            </a:pathLst>
                          </a:custGeom>
                          <a:ln w="9495">
                            <a:solidFill>
                              <a:srgbClr val="000000"/>
                            </a:solidFill>
                            <a:prstDash val="solid"/>
                          </a:ln>
                        </wps:spPr>
                        <wps:bodyPr wrap="square" lIns="0" tIns="0" rIns="0" bIns="0" rtlCol="0">
                          <a:prstTxWarp prst="textNoShape">
                            <a:avLst/>
                          </a:prstTxWarp>
                          <a:noAutofit/>
                        </wps:bodyPr>
                      </wps:wsp>
                      <wps:wsp>
                        <wps:cNvPr id="2359" name="Graphic 2359"/>
                        <wps:cNvSpPr/>
                        <wps:spPr>
                          <a:xfrm>
                            <a:off x="140845" y="0"/>
                            <a:ext cx="55880" cy="66675"/>
                          </a:xfrm>
                          <a:custGeom>
                            <a:avLst/>
                            <a:gdLst/>
                            <a:ahLst/>
                            <a:cxnLst/>
                            <a:rect l="l" t="t" r="r" b="b"/>
                            <a:pathLst>
                              <a:path w="55880" h="66675">
                                <a:moveTo>
                                  <a:pt x="55388" y="66466"/>
                                </a:moveTo>
                                <a:lnTo>
                                  <a:pt x="0" y="66466"/>
                                </a:lnTo>
                                <a:lnTo>
                                  <a:pt x="0" y="0"/>
                                </a:lnTo>
                                <a:lnTo>
                                  <a:pt x="55388" y="0"/>
                                </a:lnTo>
                                <a:lnTo>
                                  <a:pt x="55388" y="66466"/>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0574F7E" id="Group 2357" o:spid="_x0000_s1026" style="position:absolute;margin-left:369.9pt;margin-top:42.65pt;width:26.6pt;height:5.25pt;z-index:-15365632;mso-wrap-distance-left:0;mso-wrap-distance-right:0;mso-position-horizontal-relative:page" coordsize="33782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">
                <v:shape id="Graphic 2358" o:spid="_x0000_s1027" style="position:absolute;top:28486;width:337820;height:1270;visibility:visible;mso-wrap-style:square;v-text-anchor:top" coordsize="337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" path="m,l140845,em196233,l337475,e" filled="f" strokeweight=".26375mm">
                  <v:path arrowok="t"/>
                </v:shape>
                <v:shape id="Graphic 2359" o:spid="_x0000_s1028" style="position:absolute;left:140845;width:55880;height:66675;visibility:visible;mso-wrap-style:square;v-text-anchor:top" coordsize="5588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" path="m55388,66466l,66466,,,55388,r,66466xe" fillcolor="#0000c0" stroked="f">
                  <v:path arrowok="t"/>
                </v:shape>
                <w10:wrap type="topAndBottom" anchorx="page"/>
              </v:group>
            </w:pict>
          </mc:Fallback>
        </mc:AlternateContent>
      </w:r>
    </w:p>
    <w:p w14:paraId="445EAA76" w14:textId="77777777" w:rsidR="00E05B98" w:rsidRPr="00460CDE" w:rsidRDefault="00B01E0C">
      <w:pPr>
        <w:pStyle w:val="a3"/>
        <w:spacing w:line="231" w:lineRule="exact"/>
        <w:ind w:left="-8" w:right="-72"/>
        <w:rPr>
          <w:rFonts w:ascii="Trebuchet MS"/>
          <w:position w:val="-4"/>
          <w:sz w:val="16"/>
          <w:szCs w:val="16"/>
          <w:lang w:val="uk-UA"/>
        </w:rPr>
      </w:pPr>
      <w:r w:rsidRPr="00460CDE">
        <w:rPr>
          <w:rFonts w:ascii="Trebuchet MS"/>
          <w:noProof/>
          <w:position w:val="-4"/>
          <w:sz w:val="16"/>
          <w:szCs w:val="16"/>
          <w:lang w:val="uk-UA"/>
        </w:rPr>
        <mc:AlternateContent>
          <mc:Choice Requires="wpg">
            <w:drawing>
              <wp:inline distT="0" distB="0" distL="0" distR="0" wp14:anchorId="2067EDFF" wp14:editId="4E2219BE">
                <wp:extent cx="949960" cy="142875"/>
                <wp:effectExtent l="9525" t="0" r="0" b="9525"/>
                <wp:docPr id="2360"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142875"/>
                          <a:chOff x="0" y="0"/>
                          <a:chExt cx="949960" cy="142875"/>
                        </a:xfrm>
                      </wpg:grpSpPr>
                      <wps:wsp>
                        <wps:cNvPr id="2361" name="Graphic 2361"/>
                        <wps:cNvSpPr/>
                        <wps:spPr>
                          <a:xfrm>
                            <a:off x="115921" y="28486"/>
                            <a:ext cx="473075" cy="1270"/>
                          </a:xfrm>
                          <a:custGeom>
                            <a:avLst/>
                            <a:gdLst/>
                            <a:ahLst/>
                            <a:cxnLst/>
                            <a:rect l="l" t="t" r="r" b="b"/>
                            <a:pathLst>
                              <a:path w="473075">
                                <a:moveTo>
                                  <a:pt x="0" y="0"/>
                                </a:moveTo>
                                <a:lnTo>
                                  <a:pt x="180804" y="0"/>
                                </a:lnTo>
                              </a:path>
                              <a:path w="473075">
                                <a:moveTo>
                                  <a:pt x="236193" y="0"/>
                                </a:moveTo>
                                <a:lnTo>
                                  <a:pt x="472782" y="0"/>
                                </a:lnTo>
                              </a:path>
                            </a:pathLst>
                          </a:custGeom>
                          <a:ln w="9495">
                            <a:solidFill>
                              <a:srgbClr val="000000"/>
                            </a:solidFill>
                            <a:prstDash val="solid"/>
                          </a:ln>
                        </wps:spPr>
                        <wps:bodyPr wrap="square" lIns="0" tIns="0" rIns="0" bIns="0" rtlCol="0">
                          <a:prstTxWarp prst="textNoShape">
                            <a:avLst/>
                          </a:prstTxWarp>
                          <a:noAutofit/>
                        </wps:bodyPr>
                      </wps:wsp>
                      <wps:wsp>
                        <wps:cNvPr id="2362" name="Graphic 2362"/>
                        <wps:cNvSpPr/>
                        <wps:spPr>
                          <a:xfrm>
                            <a:off x="296726" y="0"/>
                            <a:ext cx="55880" cy="66675"/>
                          </a:xfrm>
                          <a:custGeom>
                            <a:avLst/>
                            <a:gdLst/>
                            <a:ahLst/>
                            <a:cxnLst/>
                            <a:rect l="l" t="t" r="r" b="b"/>
                            <a:pathLst>
                              <a:path w="55880" h="66675">
                                <a:moveTo>
                                  <a:pt x="55388" y="66466"/>
                                </a:moveTo>
                                <a:lnTo>
                                  <a:pt x="0" y="66466"/>
                                </a:lnTo>
                                <a:lnTo>
                                  <a:pt x="0" y="0"/>
                                </a:lnTo>
                                <a:lnTo>
                                  <a:pt x="55388" y="0"/>
                                </a:lnTo>
                                <a:lnTo>
                                  <a:pt x="55388" y="66466"/>
                                </a:lnTo>
                                <a:close/>
                              </a:path>
                            </a:pathLst>
                          </a:custGeom>
                          <a:solidFill>
                            <a:srgbClr val="0000C0"/>
                          </a:solidFill>
                        </wps:spPr>
                        <wps:bodyPr wrap="square" lIns="0" tIns="0" rIns="0" bIns="0" rtlCol="0">
                          <a:prstTxWarp prst="textNoShape">
                            <a:avLst/>
                          </a:prstTxWarp>
                          <a:noAutofit/>
                        </wps:bodyPr>
                      </wps:wsp>
                      <wps:wsp>
                        <wps:cNvPr id="2363" name="Graphic 2363"/>
                        <wps:cNvSpPr/>
                        <wps:spPr>
                          <a:xfrm>
                            <a:off x="3956" y="104448"/>
                            <a:ext cx="941705" cy="1270"/>
                          </a:xfrm>
                          <a:custGeom>
                            <a:avLst/>
                            <a:gdLst/>
                            <a:ahLst/>
                            <a:cxnLst/>
                            <a:rect l="l" t="t" r="r" b="b"/>
                            <a:pathLst>
                              <a:path w="941705">
                                <a:moveTo>
                                  <a:pt x="0" y="0"/>
                                </a:moveTo>
                                <a:lnTo>
                                  <a:pt x="941609" y="0"/>
                                </a:lnTo>
                              </a:path>
                            </a:pathLst>
                          </a:custGeom>
                          <a:ln w="9495">
                            <a:solidFill>
                              <a:srgbClr val="000000"/>
                            </a:solidFill>
                            <a:prstDash val="solid"/>
                          </a:ln>
                        </wps:spPr>
                        <wps:bodyPr wrap="square" lIns="0" tIns="0" rIns="0" bIns="0" rtlCol="0">
                          <a:prstTxWarp prst="textNoShape">
                            <a:avLst/>
                          </a:prstTxWarp>
                          <a:noAutofit/>
                        </wps:bodyPr>
                      </wps:wsp>
                      <wps:wsp>
                        <wps:cNvPr id="2364" name="Graphic 2364"/>
                        <wps:cNvSpPr/>
                        <wps:spPr>
                          <a:xfrm>
                            <a:off x="3956" y="66467"/>
                            <a:ext cx="1270" cy="76200"/>
                          </a:xfrm>
                          <a:custGeom>
                            <a:avLst/>
                            <a:gdLst/>
                            <a:ahLst/>
                            <a:cxnLst/>
                            <a:rect l="l" t="t" r="r" b="b"/>
                            <a:pathLst>
                              <a:path h="76200">
                                <a:moveTo>
                                  <a:pt x="0" y="0"/>
                                </a:moveTo>
                                <a:lnTo>
                                  <a:pt x="0" y="75961"/>
                                </a:lnTo>
                              </a:path>
                            </a:pathLst>
                          </a:custGeom>
                          <a:ln w="7912">
                            <a:solidFill>
                              <a:srgbClr val="000000"/>
                            </a:solidFill>
                            <a:prstDash val="solid"/>
                          </a:ln>
                        </wps:spPr>
                        <wps:bodyPr wrap="square" lIns="0" tIns="0" rIns="0" bIns="0" rtlCol="0">
                          <a:prstTxWarp prst="textNoShape">
                            <a:avLst/>
                          </a:prstTxWarp>
                          <a:noAutofit/>
                        </wps:bodyPr>
                      </wps:wsp>
                      <wps:wsp>
                        <wps:cNvPr id="2365" name="Graphic 2365"/>
                        <wps:cNvSpPr/>
                        <wps:spPr>
                          <a:xfrm>
                            <a:off x="192277" y="66467"/>
                            <a:ext cx="1270" cy="76200"/>
                          </a:xfrm>
                          <a:custGeom>
                            <a:avLst/>
                            <a:gdLst/>
                            <a:ahLst/>
                            <a:cxnLst/>
                            <a:rect l="l" t="t" r="r" b="b"/>
                            <a:pathLst>
                              <a:path h="76200">
                                <a:moveTo>
                                  <a:pt x="0" y="0"/>
                                </a:moveTo>
                                <a:lnTo>
                                  <a:pt x="0" y="75961"/>
                                </a:lnTo>
                              </a:path>
                            </a:pathLst>
                          </a:custGeom>
                          <a:ln w="7912">
                            <a:solidFill>
                              <a:srgbClr val="000000"/>
                            </a:solidFill>
                            <a:prstDash val="solid"/>
                          </a:ln>
                        </wps:spPr>
                        <wps:bodyPr wrap="square" lIns="0" tIns="0" rIns="0" bIns="0" rtlCol="0">
                          <a:prstTxWarp prst="textNoShape">
                            <a:avLst/>
                          </a:prstTxWarp>
                          <a:noAutofit/>
                        </wps:bodyPr>
                      </wps:wsp>
                      <wps:wsp>
                        <wps:cNvPr id="2366" name="Graphic 2366"/>
                        <wps:cNvSpPr/>
                        <wps:spPr>
                          <a:xfrm>
                            <a:off x="380598" y="66467"/>
                            <a:ext cx="1270" cy="76200"/>
                          </a:xfrm>
                          <a:custGeom>
                            <a:avLst/>
                            <a:gdLst/>
                            <a:ahLst/>
                            <a:cxnLst/>
                            <a:rect l="l" t="t" r="r" b="b"/>
                            <a:pathLst>
                              <a:path h="76200">
                                <a:moveTo>
                                  <a:pt x="0" y="0"/>
                                </a:moveTo>
                                <a:lnTo>
                                  <a:pt x="0" y="75961"/>
                                </a:lnTo>
                              </a:path>
                            </a:pathLst>
                          </a:custGeom>
                          <a:ln w="7912">
                            <a:solidFill>
                              <a:srgbClr val="000000"/>
                            </a:solidFill>
                            <a:prstDash val="solid"/>
                          </a:ln>
                        </wps:spPr>
                        <wps:bodyPr wrap="square" lIns="0" tIns="0" rIns="0" bIns="0" rtlCol="0">
                          <a:prstTxWarp prst="textNoShape">
                            <a:avLst/>
                          </a:prstTxWarp>
                          <a:noAutofit/>
                        </wps:bodyPr>
                      </wps:wsp>
                      <wps:wsp>
                        <wps:cNvPr id="2367" name="Graphic 2367"/>
                        <wps:cNvSpPr/>
                        <wps:spPr>
                          <a:xfrm>
                            <a:off x="568524" y="66467"/>
                            <a:ext cx="1270" cy="76200"/>
                          </a:xfrm>
                          <a:custGeom>
                            <a:avLst/>
                            <a:gdLst/>
                            <a:ahLst/>
                            <a:cxnLst/>
                            <a:rect l="l" t="t" r="r" b="b"/>
                            <a:pathLst>
                              <a:path h="76200">
                                <a:moveTo>
                                  <a:pt x="0" y="0"/>
                                </a:moveTo>
                                <a:lnTo>
                                  <a:pt x="0" y="75961"/>
                                </a:lnTo>
                              </a:path>
                            </a:pathLst>
                          </a:custGeom>
                          <a:ln w="7912">
                            <a:solidFill>
                              <a:srgbClr val="000000"/>
                            </a:solidFill>
                            <a:prstDash val="solid"/>
                          </a:ln>
                        </wps:spPr>
                        <wps:bodyPr wrap="square" lIns="0" tIns="0" rIns="0" bIns="0" rtlCol="0">
                          <a:prstTxWarp prst="textNoShape">
                            <a:avLst/>
                          </a:prstTxWarp>
                          <a:noAutofit/>
                        </wps:bodyPr>
                      </wps:wsp>
                      <wps:wsp>
                        <wps:cNvPr id="2368" name="Graphic 2368"/>
                        <wps:cNvSpPr/>
                        <wps:spPr>
                          <a:xfrm>
                            <a:off x="757241" y="66467"/>
                            <a:ext cx="1270" cy="76200"/>
                          </a:xfrm>
                          <a:custGeom>
                            <a:avLst/>
                            <a:gdLst/>
                            <a:ahLst/>
                            <a:cxnLst/>
                            <a:rect l="l" t="t" r="r" b="b"/>
                            <a:pathLst>
                              <a:path h="76200">
                                <a:moveTo>
                                  <a:pt x="0" y="0"/>
                                </a:moveTo>
                                <a:lnTo>
                                  <a:pt x="0" y="75961"/>
                                </a:lnTo>
                              </a:path>
                            </a:pathLst>
                          </a:custGeom>
                          <a:ln w="7912">
                            <a:solidFill>
                              <a:srgbClr val="000000"/>
                            </a:solidFill>
                            <a:prstDash val="solid"/>
                          </a:ln>
                        </wps:spPr>
                        <wps:bodyPr wrap="square" lIns="0" tIns="0" rIns="0" bIns="0" rtlCol="0">
                          <a:prstTxWarp prst="textNoShape">
                            <a:avLst/>
                          </a:prstTxWarp>
                          <a:noAutofit/>
                        </wps:bodyPr>
                      </wps:wsp>
                      <wps:wsp>
                        <wps:cNvPr id="2369" name="Graphic 2369"/>
                        <wps:cNvSpPr/>
                        <wps:spPr>
                          <a:xfrm>
                            <a:off x="945562" y="66467"/>
                            <a:ext cx="1270" cy="76200"/>
                          </a:xfrm>
                          <a:custGeom>
                            <a:avLst/>
                            <a:gdLst/>
                            <a:ahLst/>
                            <a:cxnLst/>
                            <a:rect l="l" t="t" r="r" b="b"/>
                            <a:pathLst>
                              <a:path h="76200">
                                <a:moveTo>
                                  <a:pt x="0" y="0"/>
                                </a:moveTo>
                                <a:lnTo>
                                  <a:pt x="0" y="75961"/>
                                </a:lnTo>
                              </a:path>
                            </a:pathLst>
                          </a:custGeom>
                          <a:ln w="79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CF07B2" id="Group 2360" o:spid="_x0000_s1026" style="width:74.8pt;height:11.25pt;mso-position-horizontal-relative:char;mso-position-vertical-relative:line" coordsize="9499,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">
                <v:shape id="Graphic 2361" o:spid="_x0000_s1027" style="position:absolute;left:1159;top:284;width:4730;height:13;visibility:visible;mso-wrap-style:square;v-text-anchor:top" coordsize="473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" path="m,l180804,em236193,l472782,e" filled="f" strokeweight=".26375mm">
                  <v:path arrowok="t"/>
                </v:shape>
                <v:shape id="Graphic 2362" o:spid="_x0000_s1028" style="position:absolute;left:2967;width:559;height:666;visibility:visible;mso-wrap-style:square;v-text-anchor:top" coordsize="5588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" path="m55388,66466l,66466,,,55388,r,66466xe" fillcolor="#0000c0" stroked="f">
                  <v:path arrowok="t"/>
                </v:shape>
                <v:shape id="Graphic 2363" o:spid="_x0000_s1029" style="position:absolute;left:39;top:1044;width:9417;height:13;visibility:visible;mso-wrap-style:square;v-text-anchor:top" coordsize="941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" path="m,l941609,e" filled="f" strokeweight=".26375mm">
                  <v:path arrowok="t"/>
                </v:shape>
                <v:shape id="Graphic 2364" o:spid="_x0000_s1030" style="position:absolute;left:39;top:664;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" path="m,l,75961e" filled="f" strokeweight=".21978mm">
                  <v:path arrowok="t"/>
                </v:shape>
                <v:shape id="Graphic 2365" o:spid="_x0000_s1031" style="position:absolute;left:1922;top:664;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" path="m,l,75961e" filled="f" strokeweight=".21978mm">
                  <v:path arrowok="t"/>
                </v:shape>
                <v:shape id="Graphic 2366" o:spid="_x0000_s1032" style="position:absolute;left:3805;top:664;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" path="m,l,75961e" filled="f" strokeweight=".21978mm">
                  <v:path arrowok="t"/>
                </v:shape>
                <v:shape id="Graphic 2367" o:spid="_x0000_s1033" style="position:absolute;left:5685;top:664;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" path="m,l,75961e" filled="f" strokeweight=".21978mm">
                  <v:path arrowok="t"/>
                </v:shape>
                <v:shape id="Graphic 2368" o:spid="_x0000_s1034" style="position:absolute;left:7572;top:664;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" path="m,l,75961e" filled="f" strokeweight=".21978mm">
                  <v:path arrowok="t"/>
                </v:shape>
                <v:shape id="Graphic 2369" o:spid="_x0000_s1035" style="position:absolute;left:9455;top:664;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" path="m,l,75961e" filled="f" strokeweight=".21978mm">
                  <v:path arrowok="t"/>
                </v:shape>
                <w10:anchorlock/>
              </v:group>
            </w:pict>
          </mc:Fallback>
        </mc:AlternateContent>
      </w:r>
    </w:p>
    <w:p w14:paraId="7EBE5CFC" w14:textId="1EB33E6A" w:rsidR="00E05B98" w:rsidRPr="00460CDE" w:rsidRDefault="00B01E0C" w:rsidP="00460CDE">
      <w:pPr>
        <w:ind w:right="-83"/>
        <w:rPr>
          <w:rFonts w:ascii="Trebuchet MS"/>
          <w:sz w:val="16"/>
          <w:szCs w:val="16"/>
          <w:lang w:val="uk-UA"/>
        </w:rPr>
      </w:pPr>
      <w:r w:rsidRPr="00460CDE">
        <w:rPr>
          <w:rFonts w:ascii="Trebuchet MS"/>
          <w:w w:val="85"/>
          <w:sz w:val="16"/>
          <w:szCs w:val="16"/>
          <w:lang w:val="uk-UA"/>
        </w:rPr>
        <w:t>0</w:t>
      </w:r>
      <w:r w:rsidRPr="00460CDE">
        <w:rPr>
          <w:rFonts w:ascii="Trebuchet MS"/>
          <w:spacing w:val="45"/>
          <w:sz w:val="16"/>
          <w:szCs w:val="16"/>
          <w:lang w:val="uk-UA"/>
        </w:rPr>
        <w:t xml:space="preserve"> </w:t>
      </w:r>
      <w:r w:rsidR="00460CDE">
        <w:rPr>
          <w:rFonts w:ascii="Trebuchet MS"/>
          <w:spacing w:val="45"/>
          <w:sz w:val="16"/>
          <w:szCs w:val="16"/>
          <w:lang w:val="uk-UA"/>
        </w:rPr>
        <w:t xml:space="preserve"> </w:t>
      </w:r>
      <w:r w:rsidRPr="00460CDE">
        <w:rPr>
          <w:rFonts w:ascii="Trebuchet MS"/>
          <w:w w:val="85"/>
          <w:sz w:val="16"/>
          <w:szCs w:val="16"/>
          <w:lang w:val="uk-UA"/>
        </w:rPr>
        <w:t>0.2</w:t>
      </w:r>
      <w:r w:rsidRPr="00460CDE">
        <w:rPr>
          <w:rFonts w:ascii="Trebuchet MS"/>
          <w:spacing w:val="28"/>
          <w:sz w:val="16"/>
          <w:szCs w:val="16"/>
          <w:lang w:val="uk-UA"/>
        </w:rPr>
        <w:t xml:space="preserve"> </w:t>
      </w:r>
      <w:r w:rsidRPr="00460CDE">
        <w:rPr>
          <w:rFonts w:ascii="Trebuchet MS"/>
          <w:w w:val="85"/>
          <w:sz w:val="16"/>
          <w:szCs w:val="16"/>
          <w:lang w:val="uk-UA"/>
        </w:rPr>
        <w:t>0.4</w:t>
      </w:r>
      <w:r w:rsidRPr="00460CDE">
        <w:rPr>
          <w:rFonts w:ascii="Trebuchet MS"/>
          <w:spacing w:val="28"/>
          <w:sz w:val="16"/>
          <w:szCs w:val="16"/>
          <w:lang w:val="uk-UA"/>
        </w:rPr>
        <w:t xml:space="preserve"> </w:t>
      </w:r>
      <w:r w:rsidRPr="00460CDE">
        <w:rPr>
          <w:rFonts w:ascii="Trebuchet MS"/>
          <w:w w:val="85"/>
          <w:sz w:val="16"/>
          <w:szCs w:val="16"/>
          <w:lang w:val="uk-UA"/>
        </w:rPr>
        <w:t>0.6</w:t>
      </w:r>
      <w:r w:rsidRPr="00460CDE">
        <w:rPr>
          <w:rFonts w:ascii="Trebuchet MS"/>
          <w:spacing w:val="28"/>
          <w:sz w:val="16"/>
          <w:szCs w:val="16"/>
          <w:lang w:val="uk-UA"/>
        </w:rPr>
        <w:t xml:space="preserve"> </w:t>
      </w:r>
      <w:r w:rsidRPr="00460CDE">
        <w:rPr>
          <w:rFonts w:ascii="Trebuchet MS"/>
          <w:w w:val="85"/>
          <w:sz w:val="16"/>
          <w:szCs w:val="16"/>
          <w:lang w:val="uk-UA"/>
        </w:rPr>
        <w:t>0.8</w:t>
      </w:r>
      <w:r w:rsidRPr="00460CDE">
        <w:rPr>
          <w:rFonts w:ascii="Trebuchet MS"/>
          <w:spacing w:val="46"/>
          <w:sz w:val="16"/>
          <w:szCs w:val="16"/>
          <w:lang w:val="uk-UA"/>
        </w:rPr>
        <w:t xml:space="preserve"> </w:t>
      </w:r>
      <w:r w:rsidR="00460CDE">
        <w:rPr>
          <w:rFonts w:ascii="Trebuchet MS"/>
          <w:spacing w:val="46"/>
          <w:sz w:val="16"/>
          <w:szCs w:val="16"/>
          <w:lang w:val="uk-UA"/>
        </w:rPr>
        <w:t xml:space="preserve"> </w:t>
      </w:r>
      <w:r w:rsidRPr="00460CDE">
        <w:rPr>
          <w:rFonts w:ascii="Trebuchet MS"/>
          <w:spacing w:val="-10"/>
          <w:w w:val="85"/>
          <w:sz w:val="16"/>
          <w:szCs w:val="16"/>
          <w:lang w:val="uk-UA"/>
        </w:rPr>
        <w:t>1</w:t>
      </w:r>
    </w:p>
    <w:p w14:paraId="680233DE" w14:textId="77777777" w:rsidR="00E05B98" w:rsidRPr="00460CDE" w:rsidRDefault="00B01E0C">
      <w:pPr>
        <w:spacing w:before="189"/>
        <w:ind w:left="184"/>
        <w:rPr>
          <w:rFonts w:ascii="Trebuchet MS"/>
          <w:sz w:val="16"/>
          <w:szCs w:val="16"/>
          <w:lang w:val="uk-UA"/>
        </w:rPr>
      </w:pPr>
      <w:r w:rsidRPr="00460CDE">
        <w:rPr>
          <w:sz w:val="16"/>
          <w:szCs w:val="16"/>
          <w:lang w:val="uk-UA"/>
        </w:rPr>
        <w:br w:type="column"/>
      </w:r>
      <w:r w:rsidRPr="00460CDE">
        <w:rPr>
          <w:rFonts w:ascii="Trebuchet MS"/>
          <w:color w:val="333333"/>
          <w:w w:val="80"/>
          <w:sz w:val="16"/>
          <w:szCs w:val="16"/>
          <w:lang w:val="uk-UA"/>
        </w:rPr>
        <w:t>S</w:t>
      </w:r>
      <w:r w:rsidRPr="00460CDE">
        <w:rPr>
          <w:rFonts w:ascii="Trebuchet MS"/>
          <w:color w:val="333333"/>
          <w:spacing w:val="-9"/>
          <w:w w:val="80"/>
          <w:sz w:val="16"/>
          <w:szCs w:val="16"/>
          <w:lang w:val="uk-UA"/>
        </w:rPr>
        <w:t xml:space="preserve"> </w:t>
      </w:r>
      <w:proofErr w:type="spellStart"/>
      <w:r w:rsidRPr="00460CDE">
        <w:rPr>
          <w:rFonts w:ascii="Trebuchet MS"/>
          <w:color w:val="333333"/>
          <w:w w:val="80"/>
          <w:sz w:val="16"/>
          <w:szCs w:val="16"/>
          <w:lang w:val="uk-UA"/>
        </w:rPr>
        <w:t>pecificity</w:t>
      </w:r>
      <w:proofErr w:type="spellEnd"/>
      <w:r w:rsidRPr="00460CDE">
        <w:rPr>
          <w:rFonts w:ascii="Trebuchet MS"/>
          <w:color w:val="333333"/>
          <w:spacing w:val="20"/>
          <w:sz w:val="16"/>
          <w:szCs w:val="16"/>
          <w:lang w:val="uk-UA"/>
        </w:rPr>
        <w:t xml:space="preserve"> </w:t>
      </w:r>
      <w:r w:rsidRPr="00460CDE">
        <w:rPr>
          <w:rFonts w:ascii="Trebuchet MS"/>
          <w:color w:val="333333"/>
          <w:w w:val="80"/>
          <w:sz w:val="16"/>
          <w:szCs w:val="16"/>
          <w:lang w:val="uk-UA"/>
        </w:rPr>
        <w:t>(95%</w:t>
      </w:r>
      <w:r w:rsidRPr="00460CDE">
        <w:rPr>
          <w:rFonts w:ascii="Trebuchet MS"/>
          <w:color w:val="333333"/>
          <w:spacing w:val="23"/>
          <w:sz w:val="16"/>
          <w:szCs w:val="16"/>
          <w:lang w:val="uk-UA"/>
        </w:rPr>
        <w:t xml:space="preserve"> </w:t>
      </w:r>
      <w:r w:rsidRPr="00460CDE">
        <w:rPr>
          <w:rFonts w:ascii="Trebuchet MS"/>
          <w:color w:val="333333"/>
          <w:w w:val="80"/>
          <w:sz w:val="16"/>
          <w:szCs w:val="16"/>
          <w:lang w:val="uk-UA"/>
        </w:rPr>
        <w:t>C</w:t>
      </w:r>
      <w:r w:rsidRPr="00460CDE">
        <w:rPr>
          <w:rFonts w:ascii="Trebuchet MS"/>
          <w:color w:val="333333"/>
          <w:spacing w:val="-15"/>
          <w:w w:val="80"/>
          <w:sz w:val="16"/>
          <w:szCs w:val="16"/>
          <w:lang w:val="uk-UA"/>
        </w:rPr>
        <w:t xml:space="preserve"> </w:t>
      </w:r>
      <w:r w:rsidRPr="00460CDE">
        <w:rPr>
          <w:rFonts w:ascii="Trebuchet MS"/>
          <w:color w:val="333333"/>
          <w:spacing w:val="-5"/>
          <w:w w:val="80"/>
          <w:sz w:val="16"/>
          <w:szCs w:val="16"/>
          <w:lang w:val="uk-UA"/>
        </w:rPr>
        <w:t>I)</w:t>
      </w:r>
    </w:p>
    <w:p w14:paraId="439ECE53" w14:textId="28D74482" w:rsidR="00E05B98" w:rsidRPr="00460CDE" w:rsidRDefault="00B01E0C" w:rsidP="00460CDE">
      <w:pPr>
        <w:pStyle w:val="a3"/>
        <w:spacing w:before="9"/>
        <w:rPr>
          <w:rFonts w:ascii="Trebuchet MS"/>
          <w:sz w:val="16"/>
          <w:szCs w:val="16"/>
          <w:lang w:val="uk-UA"/>
        </w:rPr>
      </w:pPr>
      <w:r w:rsidRPr="00460CDE">
        <w:rPr>
          <w:rFonts w:ascii="Trebuchet MS"/>
          <w:noProof/>
          <w:sz w:val="16"/>
          <w:szCs w:val="16"/>
          <w:lang w:val="uk-UA"/>
        </w:rPr>
        <mc:AlternateContent>
          <mc:Choice Requires="wpg">
            <w:drawing>
              <wp:anchor distT="0" distB="0" distL="0" distR="0" simplePos="0" relativeHeight="487951872" behindDoc="1" locked="0" layoutInCell="1" allowOverlap="1" wp14:anchorId="0D425A27" wp14:editId="29D4F84C">
                <wp:simplePos x="0" y="0"/>
                <wp:positionH relativeFrom="page">
                  <wp:posOffset>5471498</wp:posOffset>
                </wp:positionH>
                <wp:positionV relativeFrom="paragraph">
                  <wp:posOffset>50593</wp:posOffset>
                </wp:positionV>
                <wp:extent cx="925830" cy="66675"/>
                <wp:effectExtent l="0" t="0" r="0" b="0"/>
                <wp:wrapTopAndBottom/>
                <wp:docPr id="2370" name="Group 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830" cy="66675"/>
                          <a:chOff x="0" y="0"/>
                          <a:chExt cx="925830" cy="66675"/>
                        </a:xfrm>
                      </wpg:grpSpPr>
                      <wps:wsp>
                        <wps:cNvPr id="2371" name="Graphic 2371"/>
                        <wps:cNvSpPr/>
                        <wps:spPr>
                          <a:xfrm>
                            <a:off x="0" y="28485"/>
                            <a:ext cx="925830" cy="1270"/>
                          </a:xfrm>
                          <a:custGeom>
                            <a:avLst/>
                            <a:gdLst/>
                            <a:ahLst/>
                            <a:cxnLst/>
                            <a:rect l="l" t="t" r="r" b="b"/>
                            <a:pathLst>
                              <a:path w="925830">
                                <a:moveTo>
                                  <a:pt x="0" y="0"/>
                                </a:moveTo>
                                <a:lnTo>
                                  <a:pt x="439153" y="0"/>
                                </a:lnTo>
                              </a:path>
                              <a:path w="925830">
                                <a:moveTo>
                                  <a:pt x="494542" y="0"/>
                                </a:moveTo>
                                <a:lnTo>
                                  <a:pt x="925388" y="0"/>
                                </a:lnTo>
                              </a:path>
                            </a:pathLst>
                          </a:custGeom>
                          <a:ln w="9495">
                            <a:solidFill>
                              <a:srgbClr val="000000"/>
                            </a:solidFill>
                            <a:prstDash val="solid"/>
                          </a:ln>
                        </wps:spPr>
                        <wps:bodyPr wrap="square" lIns="0" tIns="0" rIns="0" bIns="0" rtlCol="0">
                          <a:prstTxWarp prst="textNoShape">
                            <a:avLst/>
                          </a:prstTxWarp>
                          <a:noAutofit/>
                        </wps:bodyPr>
                      </wps:wsp>
                      <wps:wsp>
                        <wps:cNvPr id="2372" name="Graphic 2372"/>
                        <wps:cNvSpPr/>
                        <wps:spPr>
                          <a:xfrm>
                            <a:off x="439153" y="0"/>
                            <a:ext cx="55880" cy="66675"/>
                          </a:xfrm>
                          <a:custGeom>
                            <a:avLst/>
                            <a:gdLst/>
                            <a:ahLst/>
                            <a:cxnLst/>
                            <a:rect l="l" t="t" r="r" b="b"/>
                            <a:pathLst>
                              <a:path w="55880" h="66675">
                                <a:moveTo>
                                  <a:pt x="55388" y="66466"/>
                                </a:moveTo>
                                <a:lnTo>
                                  <a:pt x="0" y="66466"/>
                                </a:lnTo>
                                <a:lnTo>
                                  <a:pt x="0" y="0"/>
                                </a:lnTo>
                                <a:lnTo>
                                  <a:pt x="55388" y="0"/>
                                </a:lnTo>
                                <a:lnTo>
                                  <a:pt x="55388" y="66466"/>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1A36B84A" id="Group 2370" o:spid="_x0000_s1026" style="position:absolute;margin-left:430.85pt;margin-top:4pt;width:72.9pt;height:5.25pt;z-index:-15364608;mso-wrap-distance-left:0;mso-wrap-distance-right:0;mso-position-horizontal-relative:page" coordsize="925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">
                <v:shape id="Graphic 2371" o:spid="_x0000_s1027" style="position:absolute;top:284;width:9258;height:13;visibility:visible;mso-wrap-style:square;v-text-anchor:top" coordsize="925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" path="m,l439153,em494542,l925388,e" filled="f" strokeweight=".26375mm">
                  <v:path arrowok="t"/>
                </v:shape>
                <v:shape id="Graphic 2372" o:spid="_x0000_s1028" style="position:absolute;left:4391;width:559;height:666;visibility:visible;mso-wrap-style:square;v-text-anchor:top" coordsize="5588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" path="m55388,66466l,66466,,,55388,r,66466xe" fillcolor="#0000c0" stroked="f">
                  <v:path arrowok="t"/>
                </v:shape>
                <w10:wrap type="topAndBottom" anchorx="page"/>
              </v:group>
            </w:pict>
          </mc:Fallback>
        </mc:AlternateContent>
      </w:r>
      <w:r w:rsidRPr="00460CDE">
        <w:rPr>
          <w:rFonts w:ascii="Trebuchet MS"/>
          <w:noProof/>
          <w:sz w:val="16"/>
          <w:szCs w:val="16"/>
          <w:lang w:val="uk-UA"/>
        </w:rPr>
        <mc:AlternateContent>
          <mc:Choice Requires="wpg">
            <w:drawing>
              <wp:anchor distT="0" distB="0" distL="0" distR="0" simplePos="0" relativeHeight="487952384" behindDoc="1" locked="0" layoutInCell="1" allowOverlap="1" wp14:anchorId="40339067" wp14:editId="6A463EF8">
                <wp:simplePos x="0" y="0"/>
                <wp:positionH relativeFrom="page">
                  <wp:posOffset>6333189</wp:posOffset>
                </wp:positionH>
                <wp:positionV relativeFrom="paragraph">
                  <wp:posOffset>202516</wp:posOffset>
                </wp:positionV>
                <wp:extent cx="72390" cy="66675"/>
                <wp:effectExtent l="0" t="0" r="0" b="0"/>
                <wp:wrapTopAndBottom/>
                <wp:docPr id="2373" name="Group 2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 cy="66675"/>
                          <a:chOff x="0" y="0"/>
                          <a:chExt cx="72390" cy="66675"/>
                        </a:xfrm>
                      </wpg:grpSpPr>
                      <wps:wsp>
                        <wps:cNvPr id="2374" name="Graphic 2374"/>
                        <wps:cNvSpPr/>
                        <wps:spPr>
                          <a:xfrm>
                            <a:off x="0" y="28486"/>
                            <a:ext cx="17145" cy="1270"/>
                          </a:xfrm>
                          <a:custGeom>
                            <a:avLst/>
                            <a:gdLst/>
                            <a:ahLst/>
                            <a:cxnLst/>
                            <a:rect l="l" t="t" r="r" b="b"/>
                            <a:pathLst>
                              <a:path w="17145">
                                <a:moveTo>
                                  <a:pt x="0" y="0"/>
                                </a:moveTo>
                                <a:lnTo>
                                  <a:pt x="16615" y="0"/>
                                </a:lnTo>
                              </a:path>
                            </a:pathLst>
                          </a:custGeom>
                          <a:ln w="9495">
                            <a:solidFill>
                              <a:srgbClr val="000000"/>
                            </a:solidFill>
                            <a:prstDash val="solid"/>
                          </a:ln>
                        </wps:spPr>
                        <wps:bodyPr wrap="square" lIns="0" tIns="0" rIns="0" bIns="0" rtlCol="0">
                          <a:prstTxWarp prst="textNoShape">
                            <a:avLst/>
                          </a:prstTxWarp>
                          <a:noAutofit/>
                        </wps:bodyPr>
                      </wps:wsp>
                      <wps:wsp>
                        <wps:cNvPr id="2375" name="Graphic 2375"/>
                        <wps:cNvSpPr/>
                        <wps:spPr>
                          <a:xfrm>
                            <a:off x="16615" y="0"/>
                            <a:ext cx="55880" cy="66675"/>
                          </a:xfrm>
                          <a:custGeom>
                            <a:avLst/>
                            <a:gdLst/>
                            <a:ahLst/>
                            <a:cxnLst/>
                            <a:rect l="l" t="t" r="r" b="b"/>
                            <a:pathLst>
                              <a:path w="55880" h="66675">
                                <a:moveTo>
                                  <a:pt x="55388" y="66466"/>
                                </a:moveTo>
                                <a:lnTo>
                                  <a:pt x="0" y="66466"/>
                                </a:lnTo>
                                <a:lnTo>
                                  <a:pt x="0" y="0"/>
                                </a:lnTo>
                                <a:lnTo>
                                  <a:pt x="55388" y="0"/>
                                </a:lnTo>
                                <a:lnTo>
                                  <a:pt x="55388" y="66466"/>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DFB61A7" id="Group 2373" o:spid="_x0000_s1026" style="position:absolute;margin-left:498.7pt;margin-top:15.95pt;width:5.7pt;height:5.25pt;z-index:-15364096;mso-wrap-distance-left:0;mso-wrap-distance-right:0;mso-position-horizontal-relative:page" coordsize="7239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">
                <v:shape id="Graphic 2374" o:spid="_x0000_s1027" style="position:absolute;top:28486;width:17145;height:1270;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" path="m,l16615,e" filled="f" strokeweight=".26375mm">
                  <v:path arrowok="t"/>
                </v:shape>
                <v:shape id="Graphic 2375" o:spid="_x0000_s1028" style="position:absolute;left:16615;width:55880;height:66675;visibility:visible;mso-wrap-style:square;v-text-anchor:top" coordsize="5588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" path="m55388,66466l,66466,,,55388,r,66466xe" fillcolor="#0000c0" stroked="f">
                  <v:path arrowok="t"/>
                </v:shape>
                <w10:wrap type="topAndBottom" anchorx="page"/>
              </v:group>
            </w:pict>
          </mc:Fallback>
        </mc:AlternateContent>
      </w:r>
      <w:r w:rsidRPr="00460CDE">
        <w:rPr>
          <w:rFonts w:ascii="Trebuchet MS"/>
          <w:noProof/>
          <w:sz w:val="16"/>
          <w:szCs w:val="16"/>
          <w:lang w:val="uk-UA"/>
        </w:rPr>
        <mc:AlternateContent>
          <mc:Choice Requires="wpg">
            <w:drawing>
              <wp:anchor distT="0" distB="0" distL="0" distR="0" simplePos="0" relativeHeight="487952896" behindDoc="1" locked="0" layoutInCell="1" allowOverlap="1" wp14:anchorId="107B109A" wp14:editId="23EA9540">
                <wp:simplePos x="0" y="0"/>
                <wp:positionH relativeFrom="page">
                  <wp:posOffset>6299955</wp:posOffset>
                </wp:positionH>
                <wp:positionV relativeFrom="paragraph">
                  <wp:posOffset>354440</wp:posOffset>
                </wp:positionV>
                <wp:extent cx="86995" cy="66675"/>
                <wp:effectExtent l="0" t="0" r="0" b="0"/>
                <wp:wrapTopAndBottom/>
                <wp:docPr id="2376" name="Group 2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95" cy="66675"/>
                          <a:chOff x="0" y="0"/>
                          <a:chExt cx="86995" cy="66675"/>
                        </a:xfrm>
                      </wpg:grpSpPr>
                      <wps:wsp>
                        <wps:cNvPr id="2377" name="Graphic 2377"/>
                        <wps:cNvSpPr/>
                        <wps:spPr>
                          <a:xfrm>
                            <a:off x="0" y="28486"/>
                            <a:ext cx="31115" cy="1270"/>
                          </a:xfrm>
                          <a:custGeom>
                            <a:avLst/>
                            <a:gdLst/>
                            <a:ahLst/>
                            <a:cxnLst/>
                            <a:rect l="l" t="t" r="r" b="b"/>
                            <a:pathLst>
                              <a:path w="31115">
                                <a:moveTo>
                                  <a:pt x="0" y="0"/>
                                </a:moveTo>
                                <a:lnTo>
                                  <a:pt x="30859" y="0"/>
                                </a:lnTo>
                              </a:path>
                            </a:pathLst>
                          </a:custGeom>
                          <a:ln w="9495">
                            <a:solidFill>
                              <a:srgbClr val="000000"/>
                            </a:solidFill>
                            <a:prstDash val="solid"/>
                          </a:ln>
                        </wps:spPr>
                        <wps:bodyPr wrap="square" lIns="0" tIns="0" rIns="0" bIns="0" rtlCol="0">
                          <a:prstTxWarp prst="textNoShape">
                            <a:avLst/>
                          </a:prstTxWarp>
                          <a:noAutofit/>
                        </wps:bodyPr>
                      </wps:wsp>
                      <wps:wsp>
                        <wps:cNvPr id="2378" name="Graphic 2378"/>
                        <wps:cNvSpPr/>
                        <wps:spPr>
                          <a:xfrm>
                            <a:off x="86446" y="23738"/>
                            <a:ext cx="1270" cy="9525"/>
                          </a:xfrm>
                          <a:custGeom>
                            <a:avLst/>
                            <a:gdLst/>
                            <a:ahLst/>
                            <a:cxnLst/>
                            <a:rect l="l" t="t" r="r" b="b"/>
                            <a:pathLst>
                              <a:path h="9525">
                                <a:moveTo>
                                  <a:pt x="0" y="0"/>
                                </a:moveTo>
                                <a:lnTo>
                                  <a:pt x="0" y="9495"/>
                                </a:lnTo>
                              </a:path>
                            </a:pathLst>
                          </a:custGeom>
                          <a:ln w="395">
                            <a:solidFill>
                              <a:srgbClr val="000000"/>
                            </a:solidFill>
                            <a:prstDash val="solid"/>
                          </a:ln>
                        </wps:spPr>
                        <wps:bodyPr wrap="square" lIns="0" tIns="0" rIns="0" bIns="0" rtlCol="0">
                          <a:prstTxWarp prst="textNoShape">
                            <a:avLst/>
                          </a:prstTxWarp>
                          <a:noAutofit/>
                        </wps:bodyPr>
                      </wps:wsp>
                      <wps:wsp>
                        <wps:cNvPr id="2379" name="Graphic 2379"/>
                        <wps:cNvSpPr/>
                        <wps:spPr>
                          <a:xfrm>
                            <a:off x="30859" y="0"/>
                            <a:ext cx="55880" cy="66675"/>
                          </a:xfrm>
                          <a:custGeom>
                            <a:avLst/>
                            <a:gdLst/>
                            <a:ahLst/>
                            <a:cxnLst/>
                            <a:rect l="l" t="t" r="r" b="b"/>
                            <a:pathLst>
                              <a:path w="55880" h="66675">
                                <a:moveTo>
                                  <a:pt x="55388" y="66466"/>
                                </a:moveTo>
                                <a:lnTo>
                                  <a:pt x="0" y="66466"/>
                                </a:lnTo>
                                <a:lnTo>
                                  <a:pt x="0" y="0"/>
                                </a:lnTo>
                                <a:lnTo>
                                  <a:pt x="55388" y="0"/>
                                </a:lnTo>
                                <a:lnTo>
                                  <a:pt x="55388" y="66466"/>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C908380" id="Group 2376" o:spid="_x0000_s1026" style="position:absolute;margin-left:496.05pt;margin-top:27.9pt;width:6.85pt;height:5.25pt;z-index:-15363584;mso-wrap-distance-left:0;mso-wrap-distance-right:0;mso-position-horizontal-relative:page" coordsize="8699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">
                <v:shape id="Graphic 2377" o:spid="_x0000_s1027" style="position:absolute;top:28486;width:31115;height:1270;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" path="m,l30859,e" filled="f" strokeweight=".26375mm">
                  <v:path arrowok="t"/>
                </v:shape>
                <v:shape id="Graphic 2378" o:spid="_x0000_s1028" style="position:absolute;left:86446;top:23738;width:1270;height:952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" path="m,l,9495e" filled="f" strokeweight=".011mm">
                  <v:path arrowok="t"/>
                </v:shape>
                <v:shape id="Graphic 2379" o:spid="_x0000_s1029" style="position:absolute;left:30859;width:55880;height:66675;visibility:visible;mso-wrap-style:square;v-text-anchor:top" coordsize="5588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" path="m55388,66466l,66466,,,55388,r,66466xe" fillcolor="#0000c0" stroked="f">
                  <v:path arrowok="t"/>
                </v:shape>
                <w10:wrap type="topAndBottom" anchorx="page"/>
              </v:group>
            </w:pict>
          </mc:Fallback>
        </mc:AlternateContent>
      </w:r>
      <w:r w:rsidRPr="00460CDE">
        <w:rPr>
          <w:rFonts w:ascii="Trebuchet MS"/>
          <w:noProof/>
          <w:sz w:val="16"/>
          <w:szCs w:val="16"/>
          <w:lang w:val="uk-UA"/>
        </w:rPr>
        <mc:AlternateContent>
          <mc:Choice Requires="wpg">
            <w:drawing>
              <wp:anchor distT="0" distB="0" distL="0" distR="0" simplePos="0" relativeHeight="487953408" behindDoc="1" locked="0" layoutInCell="1" allowOverlap="1" wp14:anchorId="01AE6091" wp14:editId="796C73F7">
                <wp:simplePos x="0" y="0"/>
                <wp:positionH relativeFrom="page">
                  <wp:posOffset>6132205</wp:posOffset>
                </wp:positionH>
                <wp:positionV relativeFrom="paragraph">
                  <wp:posOffset>506364</wp:posOffset>
                </wp:positionV>
                <wp:extent cx="266700" cy="66675"/>
                <wp:effectExtent l="0" t="0" r="0" b="0"/>
                <wp:wrapTopAndBottom/>
                <wp:docPr id="2380" name="Group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66675"/>
                          <a:chOff x="0" y="0"/>
                          <a:chExt cx="266700" cy="66675"/>
                        </a:xfrm>
                      </wpg:grpSpPr>
                      <wps:wsp>
                        <wps:cNvPr id="2381" name="Graphic 2381"/>
                        <wps:cNvSpPr/>
                        <wps:spPr>
                          <a:xfrm>
                            <a:off x="0" y="28486"/>
                            <a:ext cx="266700" cy="1270"/>
                          </a:xfrm>
                          <a:custGeom>
                            <a:avLst/>
                            <a:gdLst/>
                            <a:ahLst/>
                            <a:cxnLst/>
                            <a:rect l="l" t="t" r="r" b="b"/>
                            <a:pathLst>
                              <a:path w="266700">
                                <a:moveTo>
                                  <a:pt x="0" y="0"/>
                                </a:moveTo>
                                <a:lnTo>
                                  <a:pt x="166561" y="0"/>
                                </a:lnTo>
                              </a:path>
                              <a:path w="266700">
                                <a:moveTo>
                                  <a:pt x="221950" y="0"/>
                                </a:moveTo>
                                <a:lnTo>
                                  <a:pt x="266261" y="0"/>
                                </a:lnTo>
                              </a:path>
                            </a:pathLst>
                          </a:custGeom>
                          <a:ln w="9495">
                            <a:solidFill>
                              <a:srgbClr val="000000"/>
                            </a:solidFill>
                            <a:prstDash val="solid"/>
                          </a:ln>
                        </wps:spPr>
                        <wps:bodyPr wrap="square" lIns="0" tIns="0" rIns="0" bIns="0" rtlCol="0">
                          <a:prstTxWarp prst="textNoShape">
                            <a:avLst/>
                          </a:prstTxWarp>
                          <a:noAutofit/>
                        </wps:bodyPr>
                      </wps:wsp>
                      <wps:wsp>
                        <wps:cNvPr id="2382" name="Graphic 2382"/>
                        <wps:cNvSpPr/>
                        <wps:spPr>
                          <a:xfrm>
                            <a:off x="166561" y="0"/>
                            <a:ext cx="55880" cy="66675"/>
                          </a:xfrm>
                          <a:custGeom>
                            <a:avLst/>
                            <a:gdLst/>
                            <a:ahLst/>
                            <a:cxnLst/>
                            <a:rect l="l" t="t" r="r" b="b"/>
                            <a:pathLst>
                              <a:path w="55880" h="66675">
                                <a:moveTo>
                                  <a:pt x="55388" y="66466"/>
                                </a:moveTo>
                                <a:lnTo>
                                  <a:pt x="0" y="66466"/>
                                </a:lnTo>
                                <a:lnTo>
                                  <a:pt x="0" y="0"/>
                                </a:lnTo>
                                <a:lnTo>
                                  <a:pt x="55388" y="0"/>
                                </a:lnTo>
                                <a:lnTo>
                                  <a:pt x="55388" y="66466"/>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384C223" id="Group 2380" o:spid="_x0000_s1026" style="position:absolute;margin-left:482.85pt;margin-top:39.85pt;width:21pt;height:5.25pt;z-index:-15363072;mso-wrap-distance-left:0;mso-wrap-distance-right:0;mso-position-horizontal-relative:page" coordsize="2667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">
                <v:shape id="Graphic 2381" o:spid="_x0000_s1027" style="position:absolute;top:28486;width:266700;height:1270;visibility:visible;mso-wrap-style:square;v-text-anchor:top" coordsize="266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" path="m,l166561,em221950,r44311,e" filled="f" strokeweight=".26375mm">
                  <v:path arrowok="t"/>
                </v:shape>
                <v:shape id="Graphic 2382" o:spid="_x0000_s1028" style="position:absolute;left:166561;width:55880;height:66675;visibility:visible;mso-wrap-style:square;v-text-anchor:top" coordsize="5588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" path="m55388,66466l,66466,,,55388,r,66466xe" fillcolor="#0000c0" stroked="f">
                  <v:path arrowok="t"/>
                </v:shape>
                <w10:wrap type="topAndBottom" anchorx="page"/>
              </v:group>
            </w:pict>
          </mc:Fallback>
        </mc:AlternateContent>
      </w:r>
      <w:r w:rsidRPr="00460CDE">
        <w:rPr>
          <w:rFonts w:ascii="Trebuchet MS"/>
          <w:noProof/>
          <w:sz w:val="16"/>
          <w:szCs w:val="16"/>
          <w:lang w:val="uk-UA"/>
        </w:rPr>
        <mc:AlternateContent>
          <mc:Choice Requires="wpg">
            <w:drawing>
              <wp:anchor distT="0" distB="0" distL="0" distR="0" simplePos="0" relativeHeight="487953920" behindDoc="1" locked="0" layoutInCell="1" allowOverlap="1" wp14:anchorId="40DD496A" wp14:editId="50A9C204">
                <wp:simplePos x="0" y="0"/>
                <wp:positionH relativeFrom="page">
                  <wp:posOffset>6347429</wp:posOffset>
                </wp:positionH>
                <wp:positionV relativeFrom="paragraph">
                  <wp:posOffset>658287</wp:posOffset>
                </wp:positionV>
                <wp:extent cx="69215" cy="66675"/>
                <wp:effectExtent l="0" t="0" r="0" b="0"/>
                <wp:wrapTopAndBottom/>
                <wp:docPr id="2383"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15" cy="66675"/>
                          <a:chOff x="0" y="0"/>
                          <a:chExt cx="69215" cy="66675"/>
                        </a:xfrm>
                      </wpg:grpSpPr>
                      <wps:wsp>
                        <wps:cNvPr id="2384" name="Graphic 2384"/>
                        <wps:cNvSpPr/>
                        <wps:spPr>
                          <a:xfrm>
                            <a:off x="0" y="28486"/>
                            <a:ext cx="13970" cy="1270"/>
                          </a:xfrm>
                          <a:custGeom>
                            <a:avLst/>
                            <a:gdLst/>
                            <a:ahLst/>
                            <a:cxnLst/>
                            <a:rect l="l" t="t" r="r" b="b"/>
                            <a:pathLst>
                              <a:path w="13970">
                                <a:moveTo>
                                  <a:pt x="0" y="0"/>
                                </a:moveTo>
                                <a:lnTo>
                                  <a:pt x="13450" y="0"/>
                                </a:lnTo>
                              </a:path>
                            </a:pathLst>
                          </a:custGeom>
                          <a:ln w="9495">
                            <a:solidFill>
                              <a:srgbClr val="000000"/>
                            </a:solidFill>
                            <a:prstDash val="solid"/>
                          </a:ln>
                        </wps:spPr>
                        <wps:bodyPr wrap="square" lIns="0" tIns="0" rIns="0" bIns="0" rtlCol="0">
                          <a:prstTxWarp prst="textNoShape">
                            <a:avLst/>
                          </a:prstTxWarp>
                          <a:noAutofit/>
                        </wps:bodyPr>
                      </wps:wsp>
                      <wps:wsp>
                        <wps:cNvPr id="2385" name="Graphic 2385"/>
                        <wps:cNvSpPr/>
                        <wps:spPr>
                          <a:xfrm>
                            <a:off x="13450" y="0"/>
                            <a:ext cx="55880" cy="66675"/>
                          </a:xfrm>
                          <a:custGeom>
                            <a:avLst/>
                            <a:gdLst/>
                            <a:ahLst/>
                            <a:cxnLst/>
                            <a:rect l="l" t="t" r="r" b="b"/>
                            <a:pathLst>
                              <a:path w="55880" h="66675">
                                <a:moveTo>
                                  <a:pt x="55388" y="66466"/>
                                </a:moveTo>
                                <a:lnTo>
                                  <a:pt x="0" y="66466"/>
                                </a:lnTo>
                                <a:lnTo>
                                  <a:pt x="0" y="0"/>
                                </a:lnTo>
                                <a:lnTo>
                                  <a:pt x="55388" y="0"/>
                                </a:lnTo>
                                <a:lnTo>
                                  <a:pt x="55388" y="66466"/>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0EA248E" id="Group 2383" o:spid="_x0000_s1026" style="position:absolute;margin-left:499.8pt;margin-top:51.85pt;width:5.45pt;height:5.25pt;z-index:-15362560;mso-wrap-distance-left:0;mso-wrap-distance-right:0;mso-position-horizontal-relative:page" coordsize="6921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">
                <v:shape id="Graphic 2384" o:spid="_x0000_s1027" style="position:absolute;top:28486;width:13970;height:1270;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" path="m,l13450,e" filled="f" strokeweight=".26375mm">
                  <v:path arrowok="t"/>
                </v:shape>
                <v:shape id="Graphic 2385" o:spid="_x0000_s1028" style="position:absolute;left:13450;width:55880;height:66675;visibility:visible;mso-wrap-style:square;v-text-anchor:top" coordsize="5588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" path="m55388,66466l,66466,,,55388,r,66466xe" fillcolor="#0000c0" stroked="f">
                  <v:path arrowok="t"/>
                </v:shape>
                <w10:wrap type="topAndBottom" anchorx="page"/>
              </v:group>
            </w:pict>
          </mc:Fallback>
        </mc:AlternateContent>
      </w:r>
      <w:r w:rsidRPr="00460CDE">
        <w:rPr>
          <w:rFonts w:ascii="Trebuchet MS"/>
          <w:noProof/>
          <w:sz w:val="16"/>
          <w:szCs w:val="16"/>
          <w:lang w:val="uk-UA"/>
        </w:rPr>
        <mc:AlternateContent>
          <mc:Choice Requires="wps">
            <w:drawing>
              <wp:anchor distT="0" distB="0" distL="0" distR="0" simplePos="0" relativeHeight="487954432" behindDoc="1" locked="0" layoutInCell="1" allowOverlap="1" wp14:anchorId="796C83A7" wp14:editId="1B84F3E3">
                <wp:simplePos x="0" y="0"/>
                <wp:positionH relativeFrom="page">
                  <wp:posOffset>6368397</wp:posOffset>
                </wp:positionH>
                <wp:positionV relativeFrom="paragraph">
                  <wp:posOffset>810211</wp:posOffset>
                </wp:positionV>
                <wp:extent cx="55880" cy="66675"/>
                <wp:effectExtent l="0" t="0" r="0" b="0"/>
                <wp:wrapTopAndBottom/>
                <wp:docPr id="2386" name="Graphic 2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66675"/>
                        </a:xfrm>
                        <a:custGeom>
                          <a:avLst/>
                          <a:gdLst/>
                          <a:ahLst/>
                          <a:cxnLst/>
                          <a:rect l="l" t="t" r="r" b="b"/>
                          <a:pathLst>
                            <a:path w="55880" h="66675">
                              <a:moveTo>
                                <a:pt x="55388" y="66466"/>
                              </a:moveTo>
                              <a:lnTo>
                                <a:pt x="0" y="66466"/>
                              </a:lnTo>
                              <a:lnTo>
                                <a:pt x="0" y="0"/>
                              </a:lnTo>
                              <a:lnTo>
                                <a:pt x="55388" y="0"/>
                              </a:lnTo>
                              <a:lnTo>
                                <a:pt x="55388" y="66466"/>
                              </a:lnTo>
                              <a:close/>
                            </a:path>
                          </a:pathLst>
                        </a:custGeom>
                        <a:solidFill>
                          <a:srgbClr val="0000C0"/>
                        </a:solidFill>
                      </wps:spPr>
                      <wps:bodyPr wrap="square" lIns="0" tIns="0" rIns="0" bIns="0" rtlCol="0">
                        <a:prstTxWarp prst="textNoShape">
                          <a:avLst/>
                        </a:prstTxWarp>
                        <a:noAutofit/>
                      </wps:bodyPr>
                    </wps:wsp>
                  </a:graphicData>
                </a:graphic>
              </wp:anchor>
            </w:drawing>
          </mc:Choice>
          <mc:Fallback>
            <w:pict>
              <v:shape w14:anchorId="4BC913E6" id="Graphic 2386" o:spid="_x0000_s1026" style="position:absolute;margin-left:501.45pt;margin-top:63.8pt;width:4.4pt;height:5.25pt;z-index:-15362048;visibility:visible;mso-wrap-style:square;mso-wrap-distance-left:0;mso-wrap-distance-top:0;mso-wrap-distance-right:0;mso-wrap-distance-bottom:0;mso-position-horizontal:absolute;mso-position-horizontal-relative:page;mso-position-vertical:absolute;mso-position-vertical-relative:text;v-text-anchor:top" coordsize="5588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" path="m55388,66466l,66466,,,55388,r,66466xe" fillcolor="#0000c0" stroked="f">
                <v:path arrowok="t"/>
                <w10:wrap type="topAndBottom" anchorx="page"/>
              </v:shape>
            </w:pict>
          </mc:Fallback>
        </mc:AlternateContent>
      </w:r>
      <w:r w:rsidRPr="00460CDE">
        <w:rPr>
          <w:rFonts w:ascii="Trebuchet MS"/>
          <w:noProof/>
          <w:sz w:val="16"/>
          <w:szCs w:val="16"/>
          <w:lang w:val="uk-UA"/>
        </w:rPr>
        <mc:AlternateContent>
          <mc:Choice Requires="wpg">
            <w:drawing>
              <wp:anchor distT="0" distB="0" distL="0" distR="0" simplePos="0" relativeHeight="487954944" behindDoc="1" locked="0" layoutInCell="1" allowOverlap="1" wp14:anchorId="499ECA48" wp14:editId="568D1C89">
                <wp:simplePos x="0" y="0"/>
                <wp:positionH relativeFrom="page">
                  <wp:posOffset>5455667</wp:posOffset>
                </wp:positionH>
                <wp:positionV relativeFrom="paragraph">
                  <wp:posOffset>962135</wp:posOffset>
                </wp:positionV>
                <wp:extent cx="979805" cy="142875"/>
                <wp:effectExtent l="0" t="0" r="0" b="0"/>
                <wp:wrapTopAndBottom/>
                <wp:docPr id="2387" name="Group 2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9805" cy="142875"/>
                          <a:chOff x="0" y="0"/>
                          <a:chExt cx="979805" cy="142875"/>
                        </a:xfrm>
                      </wpg:grpSpPr>
                      <wps:wsp>
                        <wps:cNvPr id="2388" name="Graphic 2388"/>
                        <wps:cNvSpPr/>
                        <wps:spPr>
                          <a:xfrm>
                            <a:off x="924202" y="0"/>
                            <a:ext cx="55880" cy="66675"/>
                          </a:xfrm>
                          <a:custGeom>
                            <a:avLst/>
                            <a:gdLst/>
                            <a:ahLst/>
                            <a:cxnLst/>
                            <a:rect l="l" t="t" r="r" b="b"/>
                            <a:pathLst>
                              <a:path w="55880" h="66675">
                                <a:moveTo>
                                  <a:pt x="55389" y="66466"/>
                                </a:moveTo>
                                <a:lnTo>
                                  <a:pt x="0" y="66466"/>
                                </a:lnTo>
                                <a:lnTo>
                                  <a:pt x="0" y="0"/>
                                </a:lnTo>
                                <a:lnTo>
                                  <a:pt x="55389" y="0"/>
                                </a:lnTo>
                                <a:lnTo>
                                  <a:pt x="55389" y="66466"/>
                                </a:lnTo>
                                <a:close/>
                              </a:path>
                            </a:pathLst>
                          </a:custGeom>
                          <a:solidFill>
                            <a:srgbClr val="0000C0"/>
                          </a:solidFill>
                        </wps:spPr>
                        <wps:bodyPr wrap="square" lIns="0" tIns="0" rIns="0" bIns="0" rtlCol="0">
                          <a:prstTxWarp prst="textNoShape">
                            <a:avLst/>
                          </a:prstTxWarp>
                          <a:noAutofit/>
                        </wps:bodyPr>
                      </wps:wsp>
                      <wps:wsp>
                        <wps:cNvPr id="2389" name="Graphic 2389"/>
                        <wps:cNvSpPr/>
                        <wps:spPr>
                          <a:xfrm>
                            <a:off x="3956" y="104447"/>
                            <a:ext cx="941705" cy="1270"/>
                          </a:xfrm>
                          <a:custGeom>
                            <a:avLst/>
                            <a:gdLst/>
                            <a:ahLst/>
                            <a:cxnLst/>
                            <a:rect l="l" t="t" r="r" b="b"/>
                            <a:pathLst>
                              <a:path w="941705">
                                <a:moveTo>
                                  <a:pt x="0" y="0"/>
                                </a:moveTo>
                                <a:lnTo>
                                  <a:pt x="941609" y="0"/>
                                </a:lnTo>
                              </a:path>
                            </a:pathLst>
                          </a:custGeom>
                          <a:ln w="9495">
                            <a:solidFill>
                              <a:srgbClr val="000000"/>
                            </a:solidFill>
                            <a:prstDash val="solid"/>
                          </a:ln>
                        </wps:spPr>
                        <wps:bodyPr wrap="square" lIns="0" tIns="0" rIns="0" bIns="0" rtlCol="0">
                          <a:prstTxWarp prst="textNoShape">
                            <a:avLst/>
                          </a:prstTxWarp>
                          <a:noAutofit/>
                        </wps:bodyPr>
                      </wps:wsp>
                      <wps:wsp>
                        <wps:cNvPr id="2390" name="Graphic 2390"/>
                        <wps:cNvSpPr/>
                        <wps:spPr>
                          <a:xfrm>
                            <a:off x="3956" y="66466"/>
                            <a:ext cx="1270" cy="76200"/>
                          </a:xfrm>
                          <a:custGeom>
                            <a:avLst/>
                            <a:gdLst/>
                            <a:ahLst/>
                            <a:cxnLst/>
                            <a:rect l="l" t="t" r="r" b="b"/>
                            <a:pathLst>
                              <a:path h="76200">
                                <a:moveTo>
                                  <a:pt x="0" y="0"/>
                                </a:moveTo>
                                <a:lnTo>
                                  <a:pt x="0" y="75961"/>
                                </a:lnTo>
                              </a:path>
                            </a:pathLst>
                          </a:custGeom>
                          <a:ln w="7912">
                            <a:solidFill>
                              <a:srgbClr val="000000"/>
                            </a:solidFill>
                            <a:prstDash val="solid"/>
                          </a:ln>
                        </wps:spPr>
                        <wps:bodyPr wrap="square" lIns="0" tIns="0" rIns="0" bIns="0" rtlCol="0">
                          <a:prstTxWarp prst="textNoShape">
                            <a:avLst/>
                          </a:prstTxWarp>
                          <a:noAutofit/>
                        </wps:bodyPr>
                      </wps:wsp>
                      <wps:wsp>
                        <wps:cNvPr id="2391" name="Graphic 2391"/>
                        <wps:cNvSpPr/>
                        <wps:spPr>
                          <a:xfrm>
                            <a:off x="192277" y="66466"/>
                            <a:ext cx="1270" cy="76200"/>
                          </a:xfrm>
                          <a:custGeom>
                            <a:avLst/>
                            <a:gdLst/>
                            <a:ahLst/>
                            <a:cxnLst/>
                            <a:rect l="l" t="t" r="r" b="b"/>
                            <a:pathLst>
                              <a:path h="76200">
                                <a:moveTo>
                                  <a:pt x="0" y="0"/>
                                </a:moveTo>
                                <a:lnTo>
                                  <a:pt x="0" y="75961"/>
                                </a:lnTo>
                              </a:path>
                            </a:pathLst>
                          </a:custGeom>
                          <a:ln w="7912">
                            <a:solidFill>
                              <a:srgbClr val="000000"/>
                            </a:solidFill>
                            <a:prstDash val="solid"/>
                          </a:ln>
                        </wps:spPr>
                        <wps:bodyPr wrap="square" lIns="0" tIns="0" rIns="0" bIns="0" rtlCol="0">
                          <a:prstTxWarp prst="textNoShape">
                            <a:avLst/>
                          </a:prstTxWarp>
                          <a:noAutofit/>
                        </wps:bodyPr>
                      </wps:wsp>
                      <wps:wsp>
                        <wps:cNvPr id="2392" name="Graphic 2392"/>
                        <wps:cNvSpPr/>
                        <wps:spPr>
                          <a:xfrm>
                            <a:off x="380598" y="66466"/>
                            <a:ext cx="1270" cy="76200"/>
                          </a:xfrm>
                          <a:custGeom>
                            <a:avLst/>
                            <a:gdLst/>
                            <a:ahLst/>
                            <a:cxnLst/>
                            <a:rect l="l" t="t" r="r" b="b"/>
                            <a:pathLst>
                              <a:path h="76200">
                                <a:moveTo>
                                  <a:pt x="0" y="0"/>
                                </a:moveTo>
                                <a:lnTo>
                                  <a:pt x="0" y="75961"/>
                                </a:lnTo>
                              </a:path>
                            </a:pathLst>
                          </a:custGeom>
                          <a:ln w="7912">
                            <a:solidFill>
                              <a:srgbClr val="000000"/>
                            </a:solidFill>
                            <a:prstDash val="solid"/>
                          </a:ln>
                        </wps:spPr>
                        <wps:bodyPr wrap="square" lIns="0" tIns="0" rIns="0" bIns="0" rtlCol="0">
                          <a:prstTxWarp prst="textNoShape">
                            <a:avLst/>
                          </a:prstTxWarp>
                          <a:noAutofit/>
                        </wps:bodyPr>
                      </wps:wsp>
                      <wps:wsp>
                        <wps:cNvPr id="2393" name="Graphic 2393"/>
                        <wps:cNvSpPr/>
                        <wps:spPr>
                          <a:xfrm>
                            <a:off x="568524" y="66466"/>
                            <a:ext cx="1270" cy="76200"/>
                          </a:xfrm>
                          <a:custGeom>
                            <a:avLst/>
                            <a:gdLst/>
                            <a:ahLst/>
                            <a:cxnLst/>
                            <a:rect l="l" t="t" r="r" b="b"/>
                            <a:pathLst>
                              <a:path h="76200">
                                <a:moveTo>
                                  <a:pt x="0" y="0"/>
                                </a:moveTo>
                                <a:lnTo>
                                  <a:pt x="0" y="75961"/>
                                </a:lnTo>
                              </a:path>
                            </a:pathLst>
                          </a:custGeom>
                          <a:ln w="7912">
                            <a:solidFill>
                              <a:srgbClr val="000000"/>
                            </a:solidFill>
                            <a:prstDash val="solid"/>
                          </a:ln>
                        </wps:spPr>
                        <wps:bodyPr wrap="square" lIns="0" tIns="0" rIns="0" bIns="0" rtlCol="0">
                          <a:prstTxWarp prst="textNoShape">
                            <a:avLst/>
                          </a:prstTxWarp>
                          <a:noAutofit/>
                        </wps:bodyPr>
                      </wps:wsp>
                      <wps:wsp>
                        <wps:cNvPr id="2394" name="Graphic 2394"/>
                        <wps:cNvSpPr/>
                        <wps:spPr>
                          <a:xfrm>
                            <a:off x="757240" y="66466"/>
                            <a:ext cx="1270" cy="76200"/>
                          </a:xfrm>
                          <a:custGeom>
                            <a:avLst/>
                            <a:gdLst/>
                            <a:ahLst/>
                            <a:cxnLst/>
                            <a:rect l="l" t="t" r="r" b="b"/>
                            <a:pathLst>
                              <a:path h="76200">
                                <a:moveTo>
                                  <a:pt x="0" y="0"/>
                                </a:moveTo>
                                <a:lnTo>
                                  <a:pt x="0" y="75961"/>
                                </a:lnTo>
                              </a:path>
                            </a:pathLst>
                          </a:custGeom>
                          <a:ln w="7912">
                            <a:solidFill>
                              <a:srgbClr val="000000"/>
                            </a:solidFill>
                            <a:prstDash val="solid"/>
                          </a:ln>
                        </wps:spPr>
                        <wps:bodyPr wrap="square" lIns="0" tIns="0" rIns="0" bIns="0" rtlCol="0">
                          <a:prstTxWarp prst="textNoShape">
                            <a:avLst/>
                          </a:prstTxWarp>
                          <a:noAutofit/>
                        </wps:bodyPr>
                      </wps:wsp>
                      <wps:wsp>
                        <wps:cNvPr id="2395" name="Graphic 2395"/>
                        <wps:cNvSpPr/>
                        <wps:spPr>
                          <a:xfrm>
                            <a:off x="945561" y="66466"/>
                            <a:ext cx="1270" cy="76200"/>
                          </a:xfrm>
                          <a:custGeom>
                            <a:avLst/>
                            <a:gdLst/>
                            <a:ahLst/>
                            <a:cxnLst/>
                            <a:rect l="l" t="t" r="r" b="b"/>
                            <a:pathLst>
                              <a:path h="76200">
                                <a:moveTo>
                                  <a:pt x="0" y="0"/>
                                </a:moveTo>
                                <a:lnTo>
                                  <a:pt x="0" y="75961"/>
                                </a:lnTo>
                              </a:path>
                            </a:pathLst>
                          </a:custGeom>
                          <a:ln w="791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A14833" id="Group 2387" o:spid="_x0000_s1026" style="position:absolute;margin-left:429.6pt;margin-top:75.75pt;width:77.15pt;height:11.25pt;z-index:-15361536;mso-wrap-distance-left:0;mso-wrap-distance-right:0;mso-position-horizontal-relative:page" coordsize="9798,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">
                <v:shape id="Graphic 2388" o:spid="_x0000_s1027" style="position:absolute;left:9242;width:558;height:666;visibility:visible;mso-wrap-style:square;v-text-anchor:top" coordsize="5588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" path="m55389,66466l,66466,,,55389,r,66466xe" fillcolor="#0000c0" stroked="f">
                  <v:path arrowok="t"/>
                </v:shape>
                <v:shape id="Graphic 2389" o:spid="_x0000_s1028" style="position:absolute;left:39;top:1044;width:9417;height:13;visibility:visible;mso-wrap-style:square;v-text-anchor:top" coordsize="941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" path="m,l941609,e" filled="f" strokeweight=".26375mm">
                  <v:path arrowok="t"/>
                </v:shape>
                <v:shape id="Graphic 2390" o:spid="_x0000_s1029" style="position:absolute;left:39;top:664;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" path="m,l,75961e" filled="f" strokeweight=".21978mm">
                  <v:path arrowok="t"/>
                </v:shape>
                <v:shape id="Graphic 2391" o:spid="_x0000_s1030" style="position:absolute;left:1922;top:664;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" path="m,l,75961e" filled="f" strokeweight=".21978mm">
                  <v:path arrowok="t"/>
                </v:shape>
                <v:shape id="Graphic 2392" o:spid="_x0000_s1031" style="position:absolute;left:3805;top:664;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" path="m,l,75961e" filled="f" strokeweight=".21978mm">
                  <v:path arrowok="t"/>
                </v:shape>
                <v:shape id="Graphic 2393" o:spid="_x0000_s1032" style="position:absolute;left:5685;top:664;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" path="m,l,75961e" filled="f" strokeweight=".21978mm">
                  <v:path arrowok="t"/>
                </v:shape>
                <v:shape id="Graphic 2394" o:spid="_x0000_s1033" style="position:absolute;left:7572;top:664;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" path="m,l,75961e" filled="f" strokeweight=".21978mm">
                  <v:path arrowok="t"/>
                </v:shape>
                <v:shape id="Graphic 2395" o:spid="_x0000_s1034" style="position:absolute;left:9455;top:664;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" path="m,l,75961e" filled="f" strokeweight=".21978mm">
                  <v:path arrowok="t"/>
                </v:shape>
                <w10:wrap type="topAndBottom" anchorx="page"/>
              </v:group>
            </w:pict>
          </mc:Fallback>
        </mc:AlternateContent>
      </w:r>
      <w:r w:rsidR="00460CDE">
        <w:rPr>
          <w:rFonts w:ascii="Trebuchet MS"/>
          <w:w w:val="85"/>
          <w:sz w:val="16"/>
          <w:szCs w:val="16"/>
          <w:lang w:val="uk-UA"/>
        </w:rPr>
        <w:t xml:space="preserve">  </w:t>
      </w:r>
      <w:r w:rsidRPr="00460CDE">
        <w:rPr>
          <w:rFonts w:ascii="Trebuchet MS"/>
          <w:w w:val="85"/>
          <w:sz w:val="16"/>
          <w:szCs w:val="16"/>
          <w:lang w:val="uk-UA"/>
        </w:rPr>
        <w:t>0</w:t>
      </w:r>
      <w:r w:rsidRPr="00460CDE">
        <w:rPr>
          <w:rFonts w:ascii="Trebuchet MS"/>
          <w:spacing w:val="45"/>
          <w:sz w:val="16"/>
          <w:szCs w:val="16"/>
          <w:lang w:val="uk-UA"/>
        </w:rPr>
        <w:t xml:space="preserve"> </w:t>
      </w:r>
      <w:r w:rsidRPr="00460CDE">
        <w:rPr>
          <w:rFonts w:ascii="Trebuchet MS"/>
          <w:w w:val="85"/>
          <w:sz w:val="16"/>
          <w:szCs w:val="16"/>
          <w:lang w:val="uk-UA"/>
        </w:rPr>
        <w:t>0.2</w:t>
      </w:r>
      <w:r w:rsidRPr="00460CDE">
        <w:rPr>
          <w:rFonts w:ascii="Trebuchet MS"/>
          <w:spacing w:val="28"/>
          <w:sz w:val="16"/>
          <w:szCs w:val="16"/>
          <w:lang w:val="uk-UA"/>
        </w:rPr>
        <w:t xml:space="preserve"> </w:t>
      </w:r>
      <w:r w:rsidR="00460CDE">
        <w:rPr>
          <w:rFonts w:ascii="Trebuchet MS"/>
          <w:spacing w:val="28"/>
          <w:sz w:val="16"/>
          <w:szCs w:val="16"/>
          <w:lang w:val="uk-UA"/>
        </w:rPr>
        <w:t xml:space="preserve"> </w:t>
      </w:r>
      <w:r w:rsidRPr="00460CDE">
        <w:rPr>
          <w:rFonts w:ascii="Trebuchet MS"/>
          <w:w w:val="85"/>
          <w:sz w:val="16"/>
          <w:szCs w:val="16"/>
          <w:lang w:val="uk-UA"/>
        </w:rPr>
        <w:t>0.4</w:t>
      </w:r>
      <w:r w:rsidRPr="00460CDE">
        <w:rPr>
          <w:rFonts w:ascii="Trebuchet MS"/>
          <w:spacing w:val="28"/>
          <w:sz w:val="16"/>
          <w:szCs w:val="16"/>
          <w:lang w:val="uk-UA"/>
        </w:rPr>
        <w:t xml:space="preserve"> </w:t>
      </w:r>
      <w:r w:rsidRPr="00460CDE">
        <w:rPr>
          <w:rFonts w:ascii="Trebuchet MS"/>
          <w:w w:val="85"/>
          <w:sz w:val="16"/>
          <w:szCs w:val="16"/>
          <w:lang w:val="uk-UA"/>
        </w:rPr>
        <w:t>0.6</w:t>
      </w:r>
      <w:r w:rsidRPr="00460CDE">
        <w:rPr>
          <w:rFonts w:ascii="Trebuchet MS"/>
          <w:spacing w:val="28"/>
          <w:sz w:val="16"/>
          <w:szCs w:val="16"/>
          <w:lang w:val="uk-UA"/>
        </w:rPr>
        <w:t xml:space="preserve"> </w:t>
      </w:r>
      <w:r w:rsidR="00460CDE">
        <w:rPr>
          <w:rFonts w:ascii="Trebuchet MS"/>
          <w:spacing w:val="28"/>
          <w:sz w:val="16"/>
          <w:szCs w:val="16"/>
          <w:lang w:val="uk-UA"/>
        </w:rPr>
        <w:t xml:space="preserve"> </w:t>
      </w:r>
      <w:r w:rsidRPr="00460CDE">
        <w:rPr>
          <w:rFonts w:ascii="Trebuchet MS"/>
          <w:w w:val="85"/>
          <w:sz w:val="16"/>
          <w:szCs w:val="16"/>
          <w:lang w:val="uk-UA"/>
        </w:rPr>
        <w:t>0.8</w:t>
      </w:r>
      <w:r w:rsidRPr="00460CDE">
        <w:rPr>
          <w:rFonts w:ascii="Trebuchet MS"/>
          <w:spacing w:val="46"/>
          <w:sz w:val="16"/>
          <w:szCs w:val="16"/>
          <w:lang w:val="uk-UA"/>
        </w:rPr>
        <w:t xml:space="preserve"> </w:t>
      </w:r>
      <w:r w:rsidRPr="00460CDE">
        <w:rPr>
          <w:rFonts w:ascii="Trebuchet MS"/>
          <w:spacing w:val="-10"/>
          <w:w w:val="85"/>
          <w:sz w:val="16"/>
          <w:szCs w:val="16"/>
          <w:lang w:val="uk-UA"/>
        </w:rPr>
        <w:t>1</w:t>
      </w:r>
    </w:p>
    <w:p w14:paraId="3E5E0DEF" w14:textId="77777777" w:rsidR="00E05B98" w:rsidRPr="00460CDE" w:rsidRDefault="00E05B98">
      <w:pPr>
        <w:rPr>
          <w:rFonts w:ascii="Trebuchet MS"/>
          <w:sz w:val="16"/>
          <w:szCs w:val="16"/>
          <w:lang w:val="uk-UA"/>
        </w:rPr>
        <w:sectPr w:rsidR="00E05B98" w:rsidRPr="00460CDE">
          <w:type w:val="continuous"/>
          <w:pgSz w:w="11910" w:h="16840"/>
          <w:pgMar w:top="1920" w:right="1275" w:bottom="280" w:left="850" w:header="0" w:footer="573" w:gutter="0"/>
          <w:cols w:num="7" w:space="720" w:equalWidth="0">
            <w:col w:w="1644" w:space="40"/>
            <w:col w:w="721" w:space="39"/>
            <w:col w:w="651" w:space="39"/>
            <w:col w:w="1481" w:space="40"/>
            <w:col w:w="1443" w:space="30"/>
            <w:col w:w="1477" w:space="39"/>
            <w:col w:w="2141"/>
          </w:cols>
        </w:sectPr>
      </w:pPr>
    </w:p>
    <w:p w14:paraId="3949641D" w14:textId="77777777" w:rsidR="00E05B98" w:rsidRPr="003C6DAE" w:rsidRDefault="00E05B98">
      <w:pPr>
        <w:pStyle w:val="a3"/>
        <w:spacing w:before="41"/>
        <w:rPr>
          <w:rFonts w:ascii="Trebuchet MS"/>
          <w:sz w:val="18"/>
          <w:lang w:val="uk-UA"/>
        </w:rPr>
      </w:pPr>
    </w:p>
    <w:p w14:paraId="4F9281A7" w14:textId="269ED158" w:rsidR="00E05B98" w:rsidRPr="003C6DAE" w:rsidRDefault="00460CDE">
      <w:pPr>
        <w:spacing w:line="254" w:lineRule="auto"/>
        <w:ind w:left="567"/>
        <w:rPr>
          <w:sz w:val="18"/>
          <w:lang w:val="uk-UA"/>
        </w:rPr>
      </w:pPr>
      <w:r w:rsidRPr="00195808">
        <w:rPr>
          <w:sz w:val="16"/>
          <w:szCs w:val="16"/>
          <w:lang w:val="uk-UA"/>
        </w:rPr>
        <w:t>ДІ: довірчий інтервал; FN: хибнонегативний результат; FP: хибнопозитивний результат; аТАНК-НС: автоматизований тест ампліфікаці</w:t>
      </w:r>
      <w:r w:rsidR="009E2BF3">
        <w:rPr>
          <w:sz w:val="16"/>
          <w:szCs w:val="16"/>
          <w:lang w:val="uk-UA"/>
        </w:rPr>
        <w:t>ї</w:t>
      </w:r>
      <w:r w:rsidRPr="00195808">
        <w:rPr>
          <w:sz w:val="16"/>
          <w:szCs w:val="16"/>
          <w:lang w:val="uk-UA"/>
        </w:rPr>
        <w:t xml:space="preserve"> нуклеїнових кислот низької складності; MRS: мікробіологічний еталонний стандарт; T</w:t>
      </w:r>
      <w:r w:rsidR="009E2BF3">
        <w:rPr>
          <w:sz w:val="16"/>
          <w:szCs w:val="16"/>
          <w:lang w:val="uk-UA"/>
        </w:rPr>
        <w:t>Б</w:t>
      </w:r>
      <w:r w:rsidRPr="00195808">
        <w:rPr>
          <w:sz w:val="16"/>
          <w:szCs w:val="16"/>
          <w:lang w:val="uk-UA"/>
        </w:rPr>
        <w:t>: туберкульоз; TN: істинно негативний результат; TP: істинно позитивний результат</w:t>
      </w:r>
      <w:r w:rsidR="00B01E0C" w:rsidRPr="003C6DAE">
        <w:rPr>
          <w:sz w:val="18"/>
          <w:lang w:val="uk-UA"/>
        </w:rPr>
        <w:t>.</w:t>
      </w:r>
    </w:p>
    <w:p w14:paraId="4284CAB2" w14:textId="77777777" w:rsidR="00E05B98" w:rsidRPr="003C6DAE" w:rsidRDefault="00E05B98">
      <w:pPr>
        <w:pStyle w:val="a3"/>
        <w:spacing w:before="150"/>
        <w:rPr>
          <w:sz w:val="18"/>
          <w:lang w:val="uk-UA"/>
        </w:rPr>
      </w:pPr>
    </w:p>
    <w:p w14:paraId="7B60DF22" w14:textId="4D75B43E" w:rsidR="00E05B98" w:rsidRPr="003C6DAE" w:rsidRDefault="00460CDE">
      <w:pPr>
        <w:pStyle w:val="7"/>
        <w:spacing w:line="249" w:lineRule="auto"/>
        <w:rPr>
          <w:lang w:val="uk-UA"/>
        </w:rPr>
      </w:pPr>
      <w:r w:rsidRPr="00460CDE">
        <w:rPr>
          <w:color w:val="019648"/>
          <w:w w:val="105"/>
          <w:lang w:val="uk-UA"/>
        </w:rPr>
        <w:t>Чи слід використовувати автоматизовані ТАНК-НС на зразках кал</w:t>
      </w:r>
      <w:r w:rsidR="009E2BF3">
        <w:rPr>
          <w:color w:val="019648"/>
          <w:w w:val="105"/>
          <w:lang w:val="uk-UA"/>
        </w:rPr>
        <w:t>у</w:t>
      </w:r>
      <w:r w:rsidRPr="00460CDE">
        <w:rPr>
          <w:color w:val="019648"/>
          <w:w w:val="105"/>
          <w:lang w:val="uk-UA"/>
        </w:rPr>
        <w:t xml:space="preserve"> для діагностики ТБ легень у дітей з ознаками та симптомами ТБ, або у яких скринінг на ТБ легень був позитивним, на противагу використанню MRS?</w:t>
      </w:r>
    </w:p>
    <w:p w14:paraId="4E5D1EB3" w14:textId="486CAED9" w:rsidR="00E05B98" w:rsidRPr="00460CDE" w:rsidRDefault="00C85238">
      <w:pPr>
        <w:pStyle w:val="a3"/>
        <w:spacing w:before="216" w:line="297" w:lineRule="auto"/>
        <w:ind w:left="567" w:right="135"/>
        <w:jc w:val="both"/>
        <w:rPr>
          <w:sz w:val="20"/>
          <w:szCs w:val="20"/>
          <w:lang w:val="uk-UA"/>
        </w:rPr>
      </w:pPr>
      <w:r w:rsidRPr="00C85238">
        <w:rPr>
          <w:sz w:val="20"/>
          <w:szCs w:val="20"/>
          <w:lang w:val="uk-UA"/>
        </w:rPr>
        <w:t xml:space="preserve">Було виявлено десять досліджень (2855 учасників), під час яких </w:t>
      </w:r>
      <w:r w:rsidR="009E2BF3">
        <w:rPr>
          <w:sz w:val="20"/>
          <w:szCs w:val="20"/>
          <w:lang w:val="uk-UA"/>
        </w:rPr>
        <w:t xml:space="preserve">оцінка </w:t>
      </w:r>
      <w:r w:rsidRPr="00C85238">
        <w:rPr>
          <w:sz w:val="20"/>
          <w:szCs w:val="20"/>
          <w:lang w:val="uk-UA"/>
        </w:rPr>
        <w:t>чутлив</w:t>
      </w:r>
      <w:r w:rsidR="009E2BF3">
        <w:rPr>
          <w:sz w:val="20"/>
          <w:szCs w:val="20"/>
          <w:lang w:val="uk-UA"/>
        </w:rPr>
        <w:t>ості</w:t>
      </w:r>
      <w:r w:rsidRPr="00C85238">
        <w:rPr>
          <w:sz w:val="20"/>
          <w:szCs w:val="20"/>
          <w:lang w:val="uk-UA"/>
        </w:rPr>
        <w:t xml:space="preserve"> тесту коливалась від 26% до 100% та специфічн</w:t>
      </w:r>
      <w:r w:rsidR="009E2BF3">
        <w:rPr>
          <w:sz w:val="20"/>
          <w:szCs w:val="20"/>
          <w:lang w:val="uk-UA"/>
        </w:rPr>
        <w:t>ості</w:t>
      </w:r>
      <w:r w:rsidRPr="00C85238">
        <w:rPr>
          <w:sz w:val="20"/>
          <w:szCs w:val="20"/>
          <w:lang w:val="uk-UA"/>
        </w:rPr>
        <w:t xml:space="preserve"> - від 89% до 100% (</w:t>
      </w:r>
      <w:r w:rsidRPr="00C85238">
        <w:rPr>
          <w:b/>
          <w:bCs/>
          <w:sz w:val="20"/>
          <w:szCs w:val="20"/>
          <w:lang w:val="uk-UA"/>
        </w:rPr>
        <w:t>Рис. 2.3.2.5</w:t>
      </w:r>
      <w:r w:rsidRPr="00C85238">
        <w:rPr>
          <w:sz w:val="20"/>
          <w:szCs w:val="20"/>
          <w:lang w:val="uk-UA"/>
        </w:rPr>
        <w:t>). Усі 10 досліджень були включені до метааналізу. Загальна чутливість становила 68,0% (95% ДІ: 50,3–81,7), а загальна специфічність – 98,2% (95% ДІ: від 96,3 до 99,1). Достовірність доказів була помірною для чутливості та високою для специфічності. Дані щодо тестів Truenat MTB Plus і MTB-RIF Dx були недоступні.</w:t>
      </w:r>
    </w:p>
    <w:p w14:paraId="656FA2E6" w14:textId="46BC95F5" w:rsidR="00E05B98" w:rsidRPr="003C6DAE" w:rsidRDefault="00C85238">
      <w:pPr>
        <w:pStyle w:val="6"/>
        <w:spacing w:before="241" w:line="249" w:lineRule="auto"/>
        <w:rPr>
          <w:lang w:val="uk-UA"/>
        </w:rPr>
      </w:pPr>
      <w:r>
        <w:rPr>
          <w:color w:val="636466"/>
          <w:sz w:val="20"/>
          <w:szCs w:val="20"/>
          <w:lang w:val="uk-UA"/>
        </w:rPr>
        <w:t>Рис</w:t>
      </w:r>
      <w:r w:rsidR="00B01E0C" w:rsidRPr="00460CDE">
        <w:rPr>
          <w:color w:val="636466"/>
          <w:sz w:val="20"/>
          <w:szCs w:val="20"/>
          <w:lang w:val="uk-UA"/>
        </w:rPr>
        <w:t>.</w:t>
      </w:r>
      <w:r w:rsidR="00B01E0C" w:rsidRPr="00460CDE">
        <w:rPr>
          <w:color w:val="636466"/>
          <w:spacing w:val="-12"/>
          <w:sz w:val="20"/>
          <w:szCs w:val="20"/>
          <w:lang w:val="uk-UA"/>
        </w:rPr>
        <w:t xml:space="preserve"> </w:t>
      </w:r>
      <w:r w:rsidR="00B01E0C" w:rsidRPr="00460CDE">
        <w:rPr>
          <w:color w:val="636466"/>
          <w:sz w:val="20"/>
          <w:szCs w:val="20"/>
          <w:lang w:val="uk-UA"/>
        </w:rPr>
        <w:t>2.3.2.5</w:t>
      </w:r>
      <w:r w:rsidR="00B01E0C" w:rsidRPr="00460CDE">
        <w:rPr>
          <w:color w:val="636466"/>
          <w:spacing w:val="-12"/>
          <w:sz w:val="20"/>
          <w:szCs w:val="20"/>
          <w:lang w:val="uk-UA"/>
        </w:rPr>
        <w:t xml:space="preserve"> </w:t>
      </w:r>
      <w:r>
        <w:rPr>
          <w:color w:val="636466"/>
          <w:spacing w:val="-12"/>
          <w:sz w:val="20"/>
          <w:szCs w:val="20"/>
          <w:lang w:val="uk-UA"/>
        </w:rPr>
        <w:t xml:space="preserve"> </w:t>
      </w:r>
      <w:r w:rsidRPr="00C85238">
        <w:rPr>
          <w:color w:val="636466"/>
          <w:sz w:val="20"/>
          <w:szCs w:val="20"/>
          <w:lang w:val="uk-UA"/>
        </w:rPr>
        <w:t>Лісова діаграма чутливості та специфічності аТАНК-НС для виявлення ТБ легень у зразках калу та чутливості і специфічності MRS</w:t>
      </w:r>
      <w:r w:rsidR="005A7875">
        <w:rPr>
          <w:color w:val="636466"/>
          <w:sz w:val="20"/>
          <w:szCs w:val="20"/>
          <w:lang w:val="uk-UA"/>
        </w:rPr>
        <w:t xml:space="preserve"> </w:t>
      </w:r>
      <w:r w:rsidR="00B01E0C" w:rsidRPr="003C6DAE">
        <w:rPr>
          <w:color w:val="636466"/>
          <w:vertAlign w:val="superscript"/>
          <w:lang w:val="uk-UA"/>
        </w:rPr>
        <w:t>a</w:t>
      </w:r>
    </w:p>
    <w:p w14:paraId="06C944A6" w14:textId="693E4485" w:rsidR="00E05B98" w:rsidRPr="003C6DAE" w:rsidRDefault="00C85238">
      <w:pPr>
        <w:pStyle w:val="a3"/>
        <w:spacing w:before="6"/>
        <w:rPr>
          <w:rFonts w:ascii="Arial"/>
          <w:b/>
          <w:sz w:val="11"/>
          <w:lang w:val="uk-UA"/>
        </w:rPr>
      </w:pPr>
      <w:r w:rsidRPr="003C6DAE">
        <w:rPr>
          <w:rFonts w:ascii="Arial"/>
          <w:b/>
          <w:noProof/>
          <w:sz w:val="24"/>
          <w:lang w:val="uk-UA"/>
        </w:rPr>
        <mc:AlternateContent>
          <mc:Choice Requires="wps">
            <w:drawing>
              <wp:anchor distT="0" distB="0" distL="114300" distR="114300" simplePos="0" relativeHeight="488145408" behindDoc="0" locked="0" layoutInCell="1" allowOverlap="1" wp14:anchorId="3DC5E513" wp14:editId="77493383">
                <wp:simplePos x="0" y="0"/>
                <wp:positionH relativeFrom="margin">
                  <wp:posOffset>266160</wp:posOffset>
                </wp:positionH>
                <wp:positionV relativeFrom="paragraph">
                  <wp:posOffset>46543</wp:posOffset>
                </wp:positionV>
                <wp:extent cx="6174740" cy="207645"/>
                <wp:effectExtent l="0" t="0" r="0" b="1905"/>
                <wp:wrapNone/>
                <wp:docPr id="74198908" name="Поле 74198908"/>
                <wp:cNvGraphicFramePr/>
                <a:graphic xmlns:a="http://schemas.openxmlformats.org/drawingml/2006/main">
                  <a:graphicData uri="http://schemas.microsoft.com/office/word/2010/wordprocessingShape">
                    <wps:wsp>
                      <wps:cNvSpPr txBox="1"/>
                      <wps:spPr>
                        <a:xfrm>
                          <a:off x="0" y="0"/>
                          <a:ext cx="6174740" cy="207645"/>
                        </a:xfrm>
                        <a:prstGeom prst="rect">
                          <a:avLst/>
                        </a:prstGeom>
                        <a:solidFill>
                          <a:schemeClr val="bg1"/>
                        </a:solidFill>
                        <a:ln w="6350">
                          <a:noFill/>
                        </a:ln>
                      </wps:spPr>
                      <wps:txbx>
                        <w:txbxContent>
                          <w:p w14:paraId="74FF7C17" w14:textId="5861E12F" w:rsidR="007372B2" w:rsidRPr="00C85238" w:rsidRDefault="007372B2" w:rsidP="00EC1816">
                            <w:pPr>
                              <w:rPr>
                                <w:rFonts w:asciiTheme="minorHAnsi" w:hAnsiTheme="minorHAnsi" w:cstheme="minorHAnsi"/>
                                <w:b/>
                                <w:sz w:val="16"/>
                                <w:szCs w:val="16"/>
                                <w:lang w:val="uk-UA"/>
                              </w:rPr>
                            </w:pPr>
                            <w:r w:rsidRPr="00C85238">
                              <w:rPr>
                                <w:rFonts w:asciiTheme="minorHAnsi" w:hAnsiTheme="minorHAnsi" w:cstheme="minorHAnsi"/>
                                <w:b/>
                                <w:sz w:val="16"/>
                                <w:szCs w:val="16"/>
                                <w:lang w:val="uk-UA"/>
                              </w:rPr>
                              <w:t xml:space="preserve">Дослідження           </w:t>
                            </w:r>
                            <w:r w:rsidRPr="00C85238">
                              <w:rPr>
                                <w:rFonts w:asciiTheme="minorHAnsi" w:hAnsiTheme="minorHAnsi" w:cstheme="minorHAnsi"/>
                                <w:b/>
                                <w:sz w:val="16"/>
                                <w:szCs w:val="16"/>
                              </w:rPr>
                              <w:t xml:space="preserve">TP     FP    FN  </w:t>
                            </w:r>
                            <w:r>
                              <w:rPr>
                                <w:rFonts w:asciiTheme="minorHAnsi" w:hAnsiTheme="minorHAnsi" w:cstheme="minorHAnsi"/>
                                <w:b/>
                                <w:sz w:val="16"/>
                                <w:szCs w:val="16"/>
                                <w:lang w:val="uk-UA"/>
                              </w:rPr>
                              <w:t xml:space="preserve">  </w:t>
                            </w:r>
                            <w:r w:rsidRPr="00C85238">
                              <w:rPr>
                                <w:rFonts w:asciiTheme="minorHAnsi" w:hAnsiTheme="minorHAnsi" w:cstheme="minorHAnsi"/>
                                <w:b/>
                                <w:sz w:val="16"/>
                                <w:szCs w:val="16"/>
                              </w:rPr>
                              <w:t xml:space="preserve">TN   </w:t>
                            </w:r>
                            <w:r>
                              <w:rPr>
                                <w:rFonts w:asciiTheme="minorHAnsi" w:hAnsiTheme="minorHAnsi" w:cstheme="minorHAnsi"/>
                                <w:b/>
                                <w:sz w:val="16"/>
                                <w:szCs w:val="16"/>
                                <w:lang w:val="uk-UA"/>
                              </w:rPr>
                              <w:t xml:space="preserve">    </w:t>
                            </w:r>
                            <w:r w:rsidRPr="00C85238">
                              <w:rPr>
                                <w:rFonts w:asciiTheme="minorHAnsi" w:hAnsiTheme="minorHAnsi" w:cstheme="minorHAnsi"/>
                                <w:b/>
                                <w:sz w:val="16"/>
                                <w:szCs w:val="16"/>
                                <w:lang w:val="uk-UA"/>
                              </w:rPr>
                              <w:t xml:space="preserve">Чутливість (95% ДІ)   Специфічність (95% ДІ)  </w:t>
                            </w:r>
                            <w:r w:rsidRPr="00C85238">
                              <w:rPr>
                                <w:rFonts w:asciiTheme="minorHAnsi" w:hAnsiTheme="minorHAnsi" w:cstheme="minorHAnsi"/>
                                <w:b/>
                                <w:sz w:val="16"/>
                                <w:szCs w:val="16"/>
                              </w:rPr>
                              <w:t xml:space="preserve">    </w:t>
                            </w:r>
                            <w:r w:rsidRPr="00C85238">
                              <w:rPr>
                                <w:rFonts w:asciiTheme="minorHAnsi" w:hAnsiTheme="minorHAnsi" w:cstheme="minorHAnsi"/>
                                <w:b/>
                                <w:sz w:val="16"/>
                                <w:szCs w:val="16"/>
                                <w:lang w:val="uk-UA"/>
                              </w:rPr>
                              <w:t xml:space="preserve">Чутливість (95% ДІ)  </w:t>
                            </w:r>
                            <w:r w:rsidRPr="00C85238">
                              <w:rPr>
                                <w:rFonts w:asciiTheme="minorHAnsi" w:hAnsiTheme="minorHAnsi" w:cstheme="minorHAnsi"/>
                                <w:b/>
                                <w:sz w:val="16"/>
                                <w:szCs w:val="16"/>
                              </w:rPr>
                              <w:t xml:space="preserve">          </w:t>
                            </w:r>
                            <w:r w:rsidRPr="00C85238">
                              <w:rPr>
                                <w:rFonts w:asciiTheme="minorHAnsi" w:hAnsiTheme="minorHAnsi" w:cstheme="minorHAnsi"/>
                                <w:b/>
                                <w:sz w:val="16"/>
                                <w:szCs w:val="16"/>
                                <w:lang w:val="uk-UA"/>
                              </w:rPr>
                              <w:t>Специфічність (95% 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5E513" id="Поле 74198908" o:spid="_x0000_s1131" type="#_x0000_t202" style="position:absolute;margin-left:20.95pt;margin-top:3.65pt;width:486.2pt;height:16.35pt;z-index:48814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" fillcolor="white [3212]" stroked="f" strokeweight=".5pt">
                <v:textbox>
                  <w:txbxContent>
                    <w:p w14:paraId="74FF7C17" w14:textId="5861E12F" w:rsidR="007372B2" w:rsidRPr="00C85238" w:rsidRDefault="007372B2" w:rsidP="00EC1816">
                      <w:pPr>
                        <w:rPr>
                          <w:rFonts w:asciiTheme="minorHAnsi" w:hAnsiTheme="minorHAnsi" w:cstheme="minorHAnsi"/>
                          <w:b/>
                          <w:sz w:val="16"/>
                          <w:szCs w:val="16"/>
                          <w:lang w:val="uk-UA"/>
                        </w:rPr>
                      </w:pPr>
                      <w:r w:rsidRPr="00C85238">
                        <w:rPr>
                          <w:rFonts w:asciiTheme="minorHAnsi" w:hAnsiTheme="minorHAnsi" w:cstheme="minorHAnsi"/>
                          <w:b/>
                          <w:sz w:val="16"/>
                          <w:szCs w:val="16"/>
                          <w:lang w:val="uk-UA"/>
                        </w:rPr>
                        <w:t xml:space="preserve">Дослідження           </w:t>
                      </w:r>
                      <w:r w:rsidRPr="00C85238">
                        <w:rPr>
                          <w:rFonts w:asciiTheme="minorHAnsi" w:hAnsiTheme="minorHAnsi" w:cstheme="minorHAnsi"/>
                          <w:b/>
                          <w:sz w:val="16"/>
                          <w:szCs w:val="16"/>
                        </w:rPr>
                        <w:t xml:space="preserve">TP     FP    FN  </w:t>
                      </w:r>
                      <w:r>
                        <w:rPr>
                          <w:rFonts w:asciiTheme="minorHAnsi" w:hAnsiTheme="minorHAnsi" w:cstheme="minorHAnsi"/>
                          <w:b/>
                          <w:sz w:val="16"/>
                          <w:szCs w:val="16"/>
                          <w:lang w:val="uk-UA"/>
                        </w:rPr>
                        <w:t xml:space="preserve">  </w:t>
                      </w:r>
                      <w:r w:rsidRPr="00C85238">
                        <w:rPr>
                          <w:rFonts w:asciiTheme="minorHAnsi" w:hAnsiTheme="minorHAnsi" w:cstheme="minorHAnsi"/>
                          <w:b/>
                          <w:sz w:val="16"/>
                          <w:szCs w:val="16"/>
                        </w:rPr>
                        <w:t xml:space="preserve">TN   </w:t>
                      </w:r>
                      <w:r>
                        <w:rPr>
                          <w:rFonts w:asciiTheme="minorHAnsi" w:hAnsiTheme="minorHAnsi" w:cstheme="minorHAnsi"/>
                          <w:b/>
                          <w:sz w:val="16"/>
                          <w:szCs w:val="16"/>
                          <w:lang w:val="uk-UA"/>
                        </w:rPr>
                        <w:t xml:space="preserve">    </w:t>
                      </w:r>
                      <w:r w:rsidRPr="00C85238">
                        <w:rPr>
                          <w:rFonts w:asciiTheme="minorHAnsi" w:hAnsiTheme="minorHAnsi" w:cstheme="minorHAnsi"/>
                          <w:b/>
                          <w:sz w:val="16"/>
                          <w:szCs w:val="16"/>
                          <w:lang w:val="uk-UA"/>
                        </w:rPr>
                        <w:t xml:space="preserve">Чутливість (95% ДІ)   Специфічність (95% ДІ)  </w:t>
                      </w:r>
                      <w:r w:rsidRPr="00C85238">
                        <w:rPr>
                          <w:rFonts w:asciiTheme="minorHAnsi" w:hAnsiTheme="minorHAnsi" w:cstheme="minorHAnsi"/>
                          <w:b/>
                          <w:sz w:val="16"/>
                          <w:szCs w:val="16"/>
                        </w:rPr>
                        <w:t xml:space="preserve">    </w:t>
                      </w:r>
                      <w:r w:rsidRPr="00C85238">
                        <w:rPr>
                          <w:rFonts w:asciiTheme="minorHAnsi" w:hAnsiTheme="minorHAnsi" w:cstheme="minorHAnsi"/>
                          <w:b/>
                          <w:sz w:val="16"/>
                          <w:szCs w:val="16"/>
                          <w:lang w:val="uk-UA"/>
                        </w:rPr>
                        <w:t xml:space="preserve">Чутливість (95% ДІ)  </w:t>
                      </w:r>
                      <w:r w:rsidRPr="00C85238">
                        <w:rPr>
                          <w:rFonts w:asciiTheme="minorHAnsi" w:hAnsiTheme="minorHAnsi" w:cstheme="minorHAnsi"/>
                          <w:b/>
                          <w:sz w:val="16"/>
                          <w:szCs w:val="16"/>
                        </w:rPr>
                        <w:t xml:space="preserve">          </w:t>
                      </w:r>
                      <w:r w:rsidRPr="00C85238">
                        <w:rPr>
                          <w:rFonts w:asciiTheme="minorHAnsi" w:hAnsiTheme="minorHAnsi" w:cstheme="minorHAnsi"/>
                          <w:b/>
                          <w:sz w:val="16"/>
                          <w:szCs w:val="16"/>
                          <w:lang w:val="uk-UA"/>
                        </w:rPr>
                        <w:t>Специфічність (95% ДІ)</w:t>
                      </w:r>
                    </w:p>
                  </w:txbxContent>
                </v:textbox>
                <w10:wrap anchorx="margin"/>
              </v:shape>
            </w:pict>
          </mc:Fallback>
        </mc:AlternateContent>
      </w:r>
    </w:p>
    <w:p w14:paraId="725B47C7" w14:textId="77777777" w:rsidR="00E05B98" w:rsidRPr="003C6DAE" w:rsidRDefault="00E05B98">
      <w:pPr>
        <w:pStyle w:val="a3"/>
        <w:rPr>
          <w:rFonts w:ascii="Arial"/>
          <w:b/>
          <w:sz w:val="11"/>
          <w:lang w:val="uk-UA"/>
        </w:rPr>
        <w:sectPr w:rsidR="00E05B98" w:rsidRPr="003C6DAE" w:rsidSect="00460CDE">
          <w:type w:val="continuous"/>
          <w:pgSz w:w="11910" w:h="16840"/>
          <w:pgMar w:top="1920" w:right="995" w:bottom="280" w:left="850" w:header="0" w:footer="573" w:gutter="0"/>
          <w:cols w:space="720"/>
        </w:sectPr>
      </w:pPr>
    </w:p>
    <w:p w14:paraId="32DD9554" w14:textId="23B6CA81" w:rsidR="00E05B98" w:rsidRPr="003C6DAE" w:rsidRDefault="00FA5D0C">
      <w:pPr>
        <w:spacing w:before="105"/>
        <w:ind w:left="631"/>
        <w:rPr>
          <w:rFonts w:ascii="Trebuchet MS"/>
          <w:sz w:val="18"/>
          <w:lang w:val="uk-UA"/>
        </w:rPr>
      </w:pPr>
      <w:r>
        <w:rPr>
          <w:rFonts w:ascii="Trebuchet MS"/>
          <w:noProof/>
          <w:color w:val="333333"/>
          <w:spacing w:val="66"/>
          <w:sz w:val="16"/>
          <w:szCs w:val="16"/>
          <w:lang w:val="uk-UA"/>
        </w:rPr>
        <mc:AlternateContent>
          <mc:Choice Requires="wps">
            <w:drawing>
              <wp:anchor distT="0" distB="0" distL="114300" distR="114300" simplePos="0" relativeHeight="488152576" behindDoc="0" locked="0" layoutInCell="1" allowOverlap="1" wp14:anchorId="53CF4C88" wp14:editId="3A722B08">
                <wp:simplePos x="0" y="0"/>
                <wp:positionH relativeFrom="column">
                  <wp:posOffset>175474</wp:posOffset>
                </wp:positionH>
                <wp:positionV relativeFrom="paragraph">
                  <wp:posOffset>138732</wp:posOffset>
                </wp:positionV>
                <wp:extent cx="6201523" cy="1190530"/>
                <wp:effectExtent l="0" t="0" r="8890" b="0"/>
                <wp:wrapNone/>
                <wp:docPr id="1158674645" name="Поле 2202"/>
                <wp:cNvGraphicFramePr/>
                <a:graphic xmlns:a="http://schemas.openxmlformats.org/drawingml/2006/main">
                  <a:graphicData uri="http://schemas.microsoft.com/office/word/2010/wordprocessingShape">
                    <wps:wsp>
                      <wps:cNvSpPr txBox="1"/>
                      <wps:spPr>
                        <a:xfrm>
                          <a:off x="0" y="0"/>
                          <a:ext cx="6201523" cy="1190530"/>
                        </a:xfrm>
                        <a:prstGeom prst="rect">
                          <a:avLst/>
                        </a:prstGeom>
                        <a:solidFill>
                          <a:schemeClr val="bg1"/>
                        </a:solidFill>
                        <a:ln w="6350">
                          <a:noFill/>
                        </a:ln>
                      </wps:spPr>
                      <wps:txbx>
                        <w:txbxContent>
                          <w:p w14:paraId="72DA7145" w14:textId="7A38F455" w:rsidR="007372B2" w:rsidRPr="00C85238" w:rsidRDefault="007372B2" w:rsidP="00FA5D0C">
                            <w:pPr>
                              <w:rPr>
                                <w:lang w:val="uk-UA"/>
                              </w:rPr>
                            </w:pPr>
                            <w:r>
                              <w:rPr>
                                <w:noProof/>
                              </w:rPr>
                              <w:drawing>
                                <wp:inline distT="0" distB="0" distL="0" distR="0" wp14:anchorId="76025816" wp14:editId="7B0E6F88">
                                  <wp:extent cx="5943600" cy="1095469"/>
                                  <wp:effectExtent l="0" t="0" r="0" b="9525"/>
                                  <wp:docPr id="3716461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46153" name=""/>
                                          <pic:cNvPicPr/>
                                        </pic:nvPicPr>
                                        <pic:blipFill>
                                          <a:blip r:embed="rId102"/>
                                          <a:stretch>
                                            <a:fillRect/>
                                          </a:stretch>
                                        </pic:blipFill>
                                        <pic:spPr>
                                          <a:xfrm>
                                            <a:off x="0" y="0"/>
                                            <a:ext cx="5978278" cy="11018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F4C88" id="Поле 2202" o:spid="_x0000_s1132" type="#_x0000_t202" style="position:absolute;left:0;text-align:left;margin-left:13.8pt;margin-top:10.9pt;width:488.3pt;height:93.75pt;z-index:4881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" fillcolor="white [3212]" stroked="f" strokeweight=".5pt">
                <v:textbox>
                  <w:txbxContent>
                    <w:p w14:paraId="72DA7145" w14:textId="7A38F455" w:rsidR="007372B2" w:rsidRPr="00C85238" w:rsidRDefault="007372B2" w:rsidP="00FA5D0C">
                      <w:pPr>
                        <w:rPr>
                          <w:lang w:val="uk-UA"/>
                        </w:rPr>
                      </w:pPr>
                      <w:r>
                        <w:rPr>
                          <w:noProof/>
                        </w:rPr>
                        <w:drawing>
                          <wp:inline distT="0" distB="0" distL="0" distR="0" wp14:anchorId="76025816" wp14:editId="7B0E6F88">
                            <wp:extent cx="5943600" cy="1095469"/>
                            <wp:effectExtent l="0" t="0" r="0" b="9525"/>
                            <wp:docPr id="3716461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46153" name=""/>
                                    <pic:cNvPicPr/>
                                  </pic:nvPicPr>
                                  <pic:blipFill>
                                    <a:blip r:embed="rId102"/>
                                    <a:stretch>
                                      <a:fillRect/>
                                    </a:stretch>
                                  </pic:blipFill>
                                  <pic:spPr>
                                    <a:xfrm>
                                      <a:off x="0" y="0"/>
                                      <a:ext cx="5978278" cy="1101861"/>
                                    </a:xfrm>
                                    <a:prstGeom prst="rect">
                                      <a:avLst/>
                                    </a:prstGeom>
                                  </pic:spPr>
                                </pic:pic>
                              </a:graphicData>
                            </a:graphic>
                          </wp:inline>
                        </w:drawing>
                      </w:r>
                    </w:p>
                  </w:txbxContent>
                </v:textbox>
              </v:shape>
            </w:pict>
          </mc:Fallback>
        </mc:AlternateContent>
      </w:r>
    </w:p>
    <w:p w14:paraId="0A7F3E36" w14:textId="4FD46F18" w:rsidR="00E05B98" w:rsidRPr="00C85238" w:rsidRDefault="00B01E0C">
      <w:pPr>
        <w:spacing w:before="105"/>
        <w:ind w:left="218"/>
        <w:rPr>
          <w:rFonts w:ascii="Trebuchet MS"/>
          <w:sz w:val="16"/>
          <w:szCs w:val="16"/>
          <w:lang w:val="uk-UA"/>
        </w:rPr>
      </w:pPr>
      <w:r w:rsidRPr="00C85238">
        <w:rPr>
          <w:rFonts w:ascii="Trebuchet MS"/>
          <w:color w:val="333333"/>
          <w:spacing w:val="66"/>
          <w:w w:val="150"/>
          <w:sz w:val="16"/>
          <w:szCs w:val="16"/>
          <w:lang w:val="uk-UA"/>
        </w:rPr>
        <w:t xml:space="preserve"> </w:t>
      </w:r>
      <w:r w:rsidRPr="00C85238">
        <w:rPr>
          <w:rFonts w:ascii="Trebuchet MS"/>
          <w:color w:val="333333"/>
          <w:spacing w:val="-5"/>
          <w:w w:val="85"/>
          <w:sz w:val="16"/>
          <w:szCs w:val="16"/>
          <w:lang w:val="uk-UA"/>
        </w:rPr>
        <w:t xml:space="preserve"> </w:t>
      </w:r>
    </w:p>
    <w:p w14:paraId="0EA1CBA8" w14:textId="47689FB2" w:rsidR="00E05B98" w:rsidRDefault="00E05B98" w:rsidP="00C85238">
      <w:pPr>
        <w:spacing w:before="30"/>
        <w:rPr>
          <w:rFonts w:ascii="Trebuchet MS"/>
          <w:w w:val="70"/>
          <w:sz w:val="16"/>
          <w:szCs w:val="16"/>
          <w:lang w:val="uk-UA"/>
        </w:rPr>
      </w:pPr>
    </w:p>
    <w:p w14:paraId="4640C787" w14:textId="77777777" w:rsidR="00C85238" w:rsidRDefault="00C85238" w:rsidP="00C85238">
      <w:pPr>
        <w:spacing w:before="30"/>
        <w:rPr>
          <w:rFonts w:ascii="Trebuchet MS"/>
          <w:w w:val="70"/>
          <w:sz w:val="16"/>
          <w:szCs w:val="16"/>
          <w:lang w:val="uk-UA"/>
        </w:rPr>
      </w:pPr>
    </w:p>
    <w:p w14:paraId="51FB2968" w14:textId="77777777" w:rsidR="00C85238" w:rsidRDefault="00C85238" w:rsidP="00C85238">
      <w:pPr>
        <w:spacing w:before="30"/>
        <w:rPr>
          <w:rFonts w:ascii="Trebuchet MS"/>
          <w:w w:val="70"/>
          <w:sz w:val="16"/>
          <w:szCs w:val="16"/>
          <w:lang w:val="uk-UA"/>
        </w:rPr>
      </w:pPr>
    </w:p>
    <w:p w14:paraId="0E31D789" w14:textId="77777777" w:rsidR="00C85238" w:rsidRDefault="00C85238" w:rsidP="00C85238">
      <w:pPr>
        <w:spacing w:before="30"/>
        <w:rPr>
          <w:rFonts w:ascii="Trebuchet MS"/>
          <w:w w:val="70"/>
          <w:sz w:val="16"/>
          <w:szCs w:val="16"/>
          <w:lang w:val="uk-UA"/>
        </w:rPr>
      </w:pPr>
    </w:p>
    <w:p w14:paraId="3D09F49B" w14:textId="77777777" w:rsidR="00C85238" w:rsidRDefault="00C85238" w:rsidP="00C85238">
      <w:pPr>
        <w:spacing w:before="30"/>
        <w:rPr>
          <w:rFonts w:ascii="Trebuchet MS"/>
          <w:w w:val="70"/>
          <w:sz w:val="16"/>
          <w:szCs w:val="16"/>
          <w:lang w:val="uk-UA"/>
        </w:rPr>
      </w:pPr>
    </w:p>
    <w:p w14:paraId="22069367" w14:textId="77777777" w:rsidR="00C85238" w:rsidRPr="003C6DAE" w:rsidRDefault="00C85238" w:rsidP="00C85238">
      <w:pPr>
        <w:spacing w:before="30"/>
        <w:rPr>
          <w:rFonts w:ascii="Trebuchet MS"/>
          <w:sz w:val="18"/>
          <w:lang w:val="uk-UA"/>
        </w:rPr>
      </w:pPr>
    </w:p>
    <w:p w14:paraId="51614829" w14:textId="77777777" w:rsidR="00FA5D0C" w:rsidRDefault="00FA5D0C">
      <w:pPr>
        <w:spacing w:line="254" w:lineRule="auto"/>
        <w:ind w:left="567"/>
        <w:rPr>
          <w:sz w:val="16"/>
          <w:szCs w:val="16"/>
          <w:lang w:val="uk-UA"/>
        </w:rPr>
      </w:pPr>
    </w:p>
    <w:p w14:paraId="30D71CC8" w14:textId="77777777" w:rsidR="00FA5D0C" w:rsidRDefault="00FA5D0C">
      <w:pPr>
        <w:spacing w:line="254" w:lineRule="auto"/>
        <w:ind w:left="567"/>
        <w:rPr>
          <w:sz w:val="16"/>
          <w:szCs w:val="16"/>
          <w:lang w:val="uk-UA"/>
        </w:rPr>
      </w:pPr>
    </w:p>
    <w:p w14:paraId="700E95EA" w14:textId="7F654F48" w:rsidR="00E05B98" w:rsidRPr="00FA5D0C" w:rsidRDefault="00460CDE" w:rsidP="00FA5D0C">
      <w:pPr>
        <w:spacing w:line="228" w:lineRule="auto"/>
        <w:ind w:left="567"/>
        <w:rPr>
          <w:sz w:val="16"/>
          <w:szCs w:val="16"/>
          <w:lang w:val="uk-UA"/>
        </w:rPr>
      </w:pPr>
      <w:r w:rsidRPr="00FA5D0C">
        <w:rPr>
          <w:sz w:val="16"/>
          <w:szCs w:val="16"/>
          <w:lang w:val="uk-UA"/>
        </w:rPr>
        <w:t>ДІ: довірчий інтервал; FN: хибнонегативний результат; FP: хибнопозитивний результат; аТАНК-НС: автоматизований тест ампліфікаці</w:t>
      </w:r>
      <w:r w:rsidR="009E2BF3">
        <w:rPr>
          <w:sz w:val="16"/>
          <w:szCs w:val="16"/>
          <w:lang w:val="uk-UA"/>
        </w:rPr>
        <w:t>ї</w:t>
      </w:r>
      <w:r w:rsidRPr="00FA5D0C">
        <w:rPr>
          <w:sz w:val="16"/>
          <w:szCs w:val="16"/>
          <w:lang w:val="uk-UA"/>
        </w:rPr>
        <w:t xml:space="preserve"> нуклеїнових кислот низької складності; MRS: мікробіологічний еталонний стандарт; T</w:t>
      </w:r>
      <w:r w:rsidR="009E2BF3">
        <w:rPr>
          <w:sz w:val="16"/>
          <w:szCs w:val="16"/>
          <w:lang w:val="uk-UA"/>
        </w:rPr>
        <w:t>Б</w:t>
      </w:r>
      <w:r w:rsidRPr="00FA5D0C">
        <w:rPr>
          <w:sz w:val="16"/>
          <w:szCs w:val="16"/>
          <w:lang w:val="uk-UA"/>
        </w:rPr>
        <w:t>: туберкульоз; TN: істинно негативний результат; TP: істинно позитивний результат</w:t>
      </w:r>
      <w:r w:rsidR="00B01E0C" w:rsidRPr="00FA5D0C">
        <w:rPr>
          <w:sz w:val="16"/>
          <w:szCs w:val="16"/>
          <w:lang w:val="uk-UA"/>
        </w:rPr>
        <w:t>.</w:t>
      </w:r>
    </w:p>
    <w:p w14:paraId="7A9A2073" w14:textId="24C6D0A5" w:rsidR="00E05B98" w:rsidRPr="00FA5D0C" w:rsidRDefault="00B01E0C" w:rsidP="00FA5D0C">
      <w:pPr>
        <w:spacing w:before="57" w:line="228" w:lineRule="auto"/>
        <w:ind w:left="567"/>
        <w:rPr>
          <w:sz w:val="16"/>
          <w:szCs w:val="16"/>
          <w:lang w:val="uk-UA"/>
        </w:rPr>
      </w:pPr>
      <w:r w:rsidRPr="00FA5D0C">
        <w:rPr>
          <w:sz w:val="16"/>
          <w:szCs w:val="16"/>
          <w:vertAlign w:val="superscript"/>
          <w:lang w:val="uk-UA"/>
        </w:rPr>
        <w:t>a</w:t>
      </w:r>
      <w:r w:rsidRPr="00FA5D0C">
        <w:rPr>
          <w:spacing w:val="-4"/>
          <w:sz w:val="16"/>
          <w:szCs w:val="16"/>
          <w:lang w:val="uk-UA"/>
        </w:rPr>
        <w:t xml:space="preserve"> </w:t>
      </w:r>
      <w:r w:rsidR="00FA5D0C" w:rsidRPr="00FA5D0C">
        <w:rPr>
          <w:sz w:val="16"/>
          <w:szCs w:val="16"/>
          <w:lang w:val="uk-UA"/>
        </w:rPr>
        <w:t xml:space="preserve">На діаграмі дослідження </w:t>
      </w:r>
      <w:r w:rsidR="009E2BF3">
        <w:rPr>
          <w:sz w:val="16"/>
          <w:szCs w:val="16"/>
          <w:lang w:val="uk-UA"/>
        </w:rPr>
        <w:t>впорядковано</w:t>
      </w:r>
      <w:r w:rsidR="00FA5D0C" w:rsidRPr="00FA5D0C">
        <w:rPr>
          <w:sz w:val="16"/>
          <w:szCs w:val="16"/>
          <w:lang w:val="uk-UA"/>
        </w:rPr>
        <w:t xml:space="preserve"> за зменшенням рівня чутливості.</w:t>
      </w:r>
    </w:p>
    <w:p w14:paraId="05DBD218" w14:textId="77777777" w:rsidR="00E05B98" w:rsidRPr="00FA5D0C" w:rsidRDefault="00E05B98" w:rsidP="00FA5D0C">
      <w:pPr>
        <w:spacing w:line="228" w:lineRule="auto"/>
        <w:rPr>
          <w:sz w:val="16"/>
          <w:szCs w:val="16"/>
          <w:lang w:val="uk-UA"/>
        </w:rPr>
        <w:sectPr w:rsidR="00E05B98" w:rsidRPr="00FA5D0C">
          <w:type w:val="continuous"/>
          <w:pgSz w:w="11910" w:h="16840"/>
          <w:pgMar w:top="1920" w:right="1275" w:bottom="280" w:left="850" w:header="0" w:footer="573" w:gutter="0"/>
          <w:cols w:space="720"/>
        </w:sectPr>
      </w:pPr>
    </w:p>
    <w:p w14:paraId="5D178F00" w14:textId="10103379" w:rsidR="00E05B98" w:rsidRPr="00FA5D0C" w:rsidRDefault="00FA5D0C">
      <w:pPr>
        <w:pStyle w:val="5"/>
        <w:spacing w:before="45"/>
        <w:jc w:val="both"/>
        <w:rPr>
          <w:sz w:val="20"/>
          <w:szCs w:val="20"/>
          <w:lang w:val="uk-UA"/>
        </w:rPr>
      </w:pPr>
      <w:r>
        <w:rPr>
          <w:color w:val="019648"/>
          <w:w w:val="105"/>
          <w:sz w:val="26"/>
          <w:szCs w:val="26"/>
          <w:lang w:val="uk-UA"/>
        </w:rPr>
        <w:lastRenderedPageBreak/>
        <w:t>Аналіз ефективності затрат</w:t>
      </w:r>
    </w:p>
    <w:p w14:paraId="6BD5DA40" w14:textId="457A92F5" w:rsidR="00E05B98" w:rsidRPr="00FA5D0C" w:rsidRDefault="00ED733F" w:rsidP="00FA5D0C">
      <w:pPr>
        <w:pStyle w:val="a3"/>
        <w:spacing w:before="219" w:line="297" w:lineRule="auto"/>
        <w:ind w:left="567" w:right="138"/>
        <w:jc w:val="both"/>
        <w:rPr>
          <w:sz w:val="20"/>
          <w:szCs w:val="20"/>
          <w:lang w:val="uk-UA"/>
        </w:rPr>
      </w:pPr>
      <w:r w:rsidRPr="00ED733F">
        <w:rPr>
          <w:sz w:val="20"/>
          <w:szCs w:val="20"/>
          <w:lang w:val="uk-UA"/>
        </w:rPr>
        <w:t>У рамках підготовки до з</w:t>
      </w:r>
      <w:r w:rsidR="009E2BF3">
        <w:rPr>
          <w:sz w:val="20"/>
          <w:szCs w:val="20"/>
          <w:lang w:val="uk-UA"/>
        </w:rPr>
        <w:t>устрічі</w:t>
      </w:r>
      <w:r w:rsidRPr="00ED733F">
        <w:rPr>
          <w:sz w:val="20"/>
          <w:szCs w:val="20"/>
          <w:lang w:val="uk-UA"/>
        </w:rPr>
        <w:t xml:space="preserve"> ГРН у травні 2024 року ВООЗ замовила проведення модельного дослідження для оцінки ефективності </w:t>
      </w:r>
      <w:r w:rsidR="00231780">
        <w:rPr>
          <w:sz w:val="20"/>
          <w:szCs w:val="20"/>
          <w:lang w:val="uk-UA"/>
        </w:rPr>
        <w:t>витрат при виконанні</w:t>
      </w:r>
      <w:r w:rsidRPr="00ED733F">
        <w:rPr>
          <w:sz w:val="20"/>
          <w:szCs w:val="20"/>
          <w:lang w:val="uk-UA"/>
        </w:rPr>
        <w:t xml:space="preserve"> аТАНК-НС (в тому числі систем тестування Xpert Ultra, Truenat та інших нових</w:t>
      </w:r>
      <w:r w:rsidR="009E2BF3">
        <w:rPr>
          <w:sz w:val="20"/>
          <w:szCs w:val="20"/>
          <w:lang w:val="uk-UA"/>
        </w:rPr>
        <w:t xml:space="preserve"> </w:t>
      </w:r>
      <w:r w:rsidRPr="00ED733F">
        <w:rPr>
          <w:sz w:val="20"/>
          <w:szCs w:val="20"/>
          <w:lang w:val="uk-UA"/>
        </w:rPr>
        <w:t>аТАНК-НС, що знаходяться на стадії розробки) для виявлення туберкульозу при одночасному використанні кількох зразків серед людей, які живуть з ВІЛ, та дітей, включаючи дітей з ВІЛ, у двох різних країнах (</w:t>
      </w:r>
      <w:r w:rsidR="009E2BF3">
        <w:rPr>
          <w:sz w:val="20"/>
          <w:szCs w:val="20"/>
          <w:lang w:val="uk-UA"/>
        </w:rPr>
        <w:t xml:space="preserve">у </w:t>
      </w:r>
      <w:r w:rsidRPr="00ED733F">
        <w:rPr>
          <w:sz w:val="20"/>
          <w:szCs w:val="20"/>
          <w:lang w:val="uk-UA"/>
        </w:rPr>
        <w:t>Малаві та на Філіппінах).</w:t>
      </w:r>
    </w:p>
    <w:p w14:paraId="0622AEA2" w14:textId="6D4F10DC" w:rsidR="00E05B98" w:rsidRPr="00FA5D0C" w:rsidRDefault="00ED733F" w:rsidP="00FA5D0C">
      <w:pPr>
        <w:pStyle w:val="a3"/>
        <w:spacing w:before="176" w:line="297" w:lineRule="auto"/>
        <w:ind w:left="567" w:right="138"/>
        <w:jc w:val="both"/>
        <w:rPr>
          <w:sz w:val="20"/>
          <w:szCs w:val="20"/>
          <w:lang w:val="uk-UA"/>
        </w:rPr>
      </w:pPr>
      <w:r w:rsidRPr="00ED733F">
        <w:rPr>
          <w:sz w:val="20"/>
          <w:szCs w:val="20"/>
          <w:lang w:val="uk-UA"/>
        </w:rPr>
        <w:t xml:space="preserve">Мета дослідження полягала в оцінюванні ефективності </w:t>
      </w:r>
      <w:r w:rsidR="00231780">
        <w:rPr>
          <w:sz w:val="20"/>
          <w:szCs w:val="20"/>
          <w:lang w:val="uk-UA"/>
        </w:rPr>
        <w:t xml:space="preserve">витрат  під час </w:t>
      </w:r>
      <w:r w:rsidRPr="00ED733F">
        <w:rPr>
          <w:sz w:val="20"/>
          <w:szCs w:val="20"/>
          <w:lang w:val="uk-UA"/>
        </w:rPr>
        <w:t xml:space="preserve">одночасного використання аТАНК-НС на зразках із дихальних шляхів та зразках калу для діагностики ТБ та виявлення стійкості до рифампіцину у дітей (віком &lt;10 років) з ймовірним туберкульозом та без ВІЛ-інфекції порівняно з </w:t>
      </w:r>
      <w:r w:rsidR="009E2BF3">
        <w:rPr>
          <w:sz w:val="20"/>
          <w:szCs w:val="20"/>
          <w:lang w:val="uk-UA"/>
        </w:rPr>
        <w:t xml:space="preserve">використанням </w:t>
      </w:r>
      <w:r w:rsidRPr="00ED733F">
        <w:rPr>
          <w:sz w:val="20"/>
          <w:szCs w:val="20"/>
          <w:lang w:val="uk-UA"/>
        </w:rPr>
        <w:t>одн</w:t>
      </w:r>
      <w:r w:rsidR="009E2BF3">
        <w:rPr>
          <w:sz w:val="20"/>
          <w:szCs w:val="20"/>
          <w:lang w:val="uk-UA"/>
        </w:rPr>
        <w:t>ого</w:t>
      </w:r>
      <w:r w:rsidRPr="00ED733F">
        <w:rPr>
          <w:sz w:val="20"/>
          <w:szCs w:val="20"/>
          <w:lang w:val="uk-UA"/>
        </w:rPr>
        <w:t xml:space="preserve"> аТАНК-НС лише для дослідження зразків із дихальних шляхів.</w:t>
      </w:r>
    </w:p>
    <w:p w14:paraId="7B92272F" w14:textId="25376EE0" w:rsidR="00E05B98" w:rsidRPr="00FA5D0C" w:rsidRDefault="00F7746C" w:rsidP="00FA5D0C">
      <w:pPr>
        <w:pStyle w:val="a3"/>
        <w:spacing w:before="175" w:line="297" w:lineRule="auto"/>
        <w:ind w:left="567" w:right="138"/>
        <w:jc w:val="both"/>
        <w:rPr>
          <w:sz w:val="20"/>
          <w:szCs w:val="20"/>
          <w:lang w:val="uk-UA"/>
        </w:rPr>
      </w:pPr>
      <w:r w:rsidRPr="00F7746C">
        <w:rPr>
          <w:sz w:val="20"/>
          <w:szCs w:val="20"/>
          <w:lang w:val="uk-UA"/>
        </w:rPr>
        <w:t xml:space="preserve">При цій гіпотетичній моделі когорта дітей з ймовірним діагнозом ТБ проходила через систему аналізу прийняття рішень. </w:t>
      </w:r>
      <w:r w:rsidR="009E2BF3">
        <w:rPr>
          <w:sz w:val="20"/>
          <w:szCs w:val="20"/>
          <w:lang w:val="uk-UA"/>
        </w:rPr>
        <w:t>У групі інтервенції</w:t>
      </w:r>
      <w:r w:rsidRPr="00F7746C">
        <w:rPr>
          <w:sz w:val="20"/>
          <w:szCs w:val="20"/>
          <w:lang w:val="uk-UA"/>
        </w:rPr>
        <w:t xml:space="preserve"> діагностика ТБ включала одночасне використання аТАНК-НС як </w:t>
      </w:r>
      <w:r w:rsidR="009E2BF3">
        <w:rPr>
          <w:sz w:val="20"/>
          <w:szCs w:val="20"/>
          <w:lang w:val="uk-UA"/>
        </w:rPr>
        <w:t>на</w:t>
      </w:r>
      <w:r w:rsidRPr="00F7746C">
        <w:rPr>
          <w:sz w:val="20"/>
          <w:szCs w:val="20"/>
          <w:lang w:val="uk-UA"/>
        </w:rPr>
        <w:t xml:space="preserve"> зразках </w:t>
      </w:r>
      <w:r w:rsidR="009E2BF3">
        <w:rPr>
          <w:sz w:val="20"/>
          <w:szCs w:val="20"/>
          <w:lang w:val="uk-UA"/>
        </w:rPr>
        <w:t>і</w:t>
      </w:r>
      <w:r w:rsidRPr="00F7746C">
        <w:rPr>
          <w:sz w:val="20"/>
          <w:szCs w:val="20"/>
          <w:lang w:val="uk-UA"/>
        </w:rPr>
        <w:t xml:space="preserve">з дихальних шляхів, так і </w:t>
      </w:r>
      <w:r w:rsidR="009E2BF3">
        <w:rPr>
          <w:sz w:val="20"/>
          <w:szCs w:val="20"/>
          <w:lang w:val="uk-UA"/>
        </w:rPr>
        <w:t>на</w:t>
      </w:r>
      <w:r w:rsidRPr="00F7746C">
        <w:rPr>
          <w:sz w:val="20"/>
          <w:szCs w:val="20"/>
          <w:lang w:val="uk-UA"/>
        </w:rPr>
        <w:t xml:space="preserve"> зразках калу</w:t>
      </w:r>
      <w:r w:rsidR="009E2BF3">
        <w:rPr>
          <w:sz w:val="20"/>
          <w:szCs w:val="20"/>
          <w:lang w:val="uk-UA"/>
        </w:rPr>
        <w:t xml:space="preserve"> для виявлення ТБ</w:t>
      </w:r>
      <w:r w:rsidRPr="00F7746C">
        <w:rPr>
          <w:sz w:val="20"/>
          <w:szCs w:val="20"/>
          <w:lang w:val="uk-UA"/>
        </w:rPr>
        <w:t xml:space="preserve">, тоді як у групі порівняння використовували лише аТАНК-НС на зразках </w:t>
      </w:r>
      <w:r w:rsidR="009E2BF3">
        <w:rPr>
          <w:sz w:val="20"/>
          <w:szCs w:val="20"/>
          <w:lang w:val="uk-UA"/>
        </w:rPr>
        <w:t>і</w:t>
      </w:r>
      <w:r w:rsidRPr="00F7746C">
        <w:rPr>
          <w:sz w:val="20"/>
          <w:szCs w:val="20"/>
          <w:lang w:val="uk-UA"/>
        </w:rPr>
        <w:t xml:space="preserve">з дихальних шляхів. Було враховано ймовірність можливості отримати зразки з дихальних шляхів, і тестування проводили або на зразках із дихальних шляхів і калу одночасно, або використовуючи тільки </w:t>
      </w:r>
      <w:r w:rsidR="005A7875" w:rsidRPr="00F7746C">
        <w:rPr>
          <w:sz w:val="20"/>
          <w:szCs w:val="20"/>
          <w:lang w:val="uk-UA"/>
        </w:rPr>
        <w:t>зразки</w:t>
      </w:r>
      <w:r w:rsidRPr="00F7746C">
        <w:rPr>
          <w:sz w:val="20"/>
          <w:szCs w:val="20"/>
          <w:lang w:val="uk-UA"/>
        </w:rPr>
        <w:t xml:space="preserve"> калу. Як в групі інтервенції, так і в групі порівняння, учасники, яким не було </w:t>
      </w:r>
      <w:r w:rsidR="005A7875" w:rsidRPr="00F7746C">
        <w:rPr>
          <w:sz w:val="20"/>
          <w:szCs w:val="20"/>
          <w:lang w:val="uk-UA"/>
        </w:rPr>
        <w:t>поставлено</w:t>
      </w:r>
      <w:r w:rsidRPr="00F7746C">
        <w:rPr>
          <w:sz w:val="20"/>
          <w:szCs w:val="20"/>
          <w:lang w:val="uk-UA"/>
        </w:rPr>
        <w:t xml:space="preserve"> діагноз ТБ за допомогою діагностичної стратегії, мали можливість пройти клінічну діагностику.</w:t>
      </w:r>
      <w:r w:rsidR="00B01E0C" w:rsidRPr="00FA5D0C">
        <w:rPr>
          <w:sz w:val="20"/>
          <w:szCs w:val="20"/>
          <w:lang w:val="uk-UA"/>
        </w:rPr>
        <w:t xml:space="preserve"> </w:t>
      </w:r>
      <w:r w:rsidRPr="00F7746C">
        <w:rPr>
          <w:sz w:val="20"/>
          <w:szCs w:val="20"/>
          <w:lang w:val="uk-UA"/>
        </w:rPr>
        <w:t xml:space="preserve">Діти з бактеріологічно підтвердженим ТБ проходили ТМЧ до рифампіцину і починали лікування лікарсько-чутливого ТБ або ЛС-ТБ, залежно від результату ТМЧ. За всіма пацієнтами </w:t>
      </w:r>
      <w:r w:rsidR="009E2BF3">
        <w:rPr>
          <w:sz w:val="20"/>
          <w:szCs w:val="20"/>
          <w:lang w:val="uk-UA"/>
        </w:rPr>
        <w:t>з</w:t>
      </w:r>
      <w:r w:rsidRPr="00F7746C">
        <w:rPr>
          <w:sz w:val="20"/>
          <w:szCs w:val="20"/>
          <w:lang w:val="uk-UA"/>
        </w:rPr>
        <w:t xml:space="preserve">дійснювали подальше спостереження </w:t>
      </w:r>
      <w:r w:rsidR="009E2BF3">
        <w:rPr>
          <w:sz w:val="20"/>
          <w:szCs w:val="20"/>
          <w:lang w:val="uk-UA"/>
        </w:rPr>
        <w:t>п</w:t>
      </w:r>
      <w:r w:rsidRPr="00F7746C">
        <w:rPr>
          <w:sz w:val="20"/>
          <w:szCs w:val="20"/>
          <w:lang w:val="uk-UA"/>
        </w:rPr>
        <w:t xml:space="preserve">ротягом певного часу,  в тому числі за тими, хто мав хибнонегативний або хибнопозитивний результат діагностики, щоб врахувати випадки </w:t>
      </w:r>
      <w:r w:rsidRPr="00231780">
        <w:rPr>
          <w:sz w:val="20"/>
          <w:szCs w:val="20"/>
          <w:lang w:val="uk-UA"/>
        </w:rPr>
        <w:t>непотрібного лікування або додатков</w:t>
      </w:r>
      <w:r w:rsidR="0059338B" w:rsidRPr="00231780">
        <w:rPr>
          <w:sz w:val="20"/>
          <w:szCs w:val="20"/>
          <w:lang w:val="uk-UA"/>
        </w:rPr>
        <w:t>у</w:t>
      </w:r>
      <w:r w:rsidRPr="00231780">
        <w:rPr>
          <w:sz w:val="20"/>
          <w:szCs w:val="20"/>
          <w:lang w:val="uk-UA"/>
        </w:rPr>
        <w:t xml:space="preserve"> смертн</w:t>
      </w:r>
      <w:r w:rsidR="0059338B" w:rsidRPr="00231780">
        <w:rPr>
          <w:sz w:val="20"/>
          <w:szCs w:val="20"/>
          <w:lang w:val="uk-UA"/>
        </w:rPr>
        <w:t>ість</w:t>
      </w:r>
      <w:r w:rsidRPr="00231780">
        <w:rPr>
          <w:sz w:val="20"/>
          <w:szCs w:val="20"/>
          <w:lang w:val="uk-UA"/>
        </w:rPr>
        <w:t xml:space="preserve"> через </w:t>
      </w:r>
      <w:r w:rsidR="00231780" w:rsidRPr="00231780">
        <w:rPr>
          <w:sz w:val="20"/>
          <w:szCs w:val="20"/>
          <w:lang w:val="uk-UA"/>
        </w:rPr>
        <w:t xml:space="preserve">пропущені </w:t>
      </w:r>
      <w:r w:rsidRPr="00231780">
        <w:rPr>
          <w:sz w:val="20"/>
          <w:szCs w:val="20"/>
          <w:lang w:val="uk-UA"/>
        </w:rPr>
        <w:t>діагнози.</w:t>
      </w:r>
    </w:p>
    <w:p w14:paraId="30F627F7" w14:textId="64D9E1FE" w:rsidR="00E05B98" w:rsidRPr="00FA5D0C" w:rsidRDefault="00E26E6B" w:rsidP="00FA5D0C">
      <w:pPr>
        <w:pStyle w:val="a3"/>
        <w:spacing w:before="184" w:line="297" w:lineRule="auto"/>
        <w:ind w:left="567" w:right="138"/>
        <w:jc w:val="both"/>
        <w:rPr>
          <w:sz w:val="20"/>
          <w:szCs w:val="20"/>
          <w:lang w:val="uk-UA"/>
        </w:rPr>
      </w:pPr>
      <w:r w:rsidRPr="00E26E6B">
        <w:rPr>
          <w:sz w:val="20"/>
          <w:szCs w:val="20"/>
          <w:lang w:val="uk-UA"/>
        </w:rPr>
        <w:t>При використанні параметрів моделі з високим тягарем захворюваності на ТБ у Малаві, моделювання економічної ефективності показало, що використання аТАНК-НС на зразку з дихальних шляхів призвело до середніх витрат у розмірі 144 доларів США, а відповідний середній показник DALY становив 0,93</w:t>
      </w:r>
      <w:r w:rsidR="00CE6220" w:rsidRPr="00CE6220">
        <w:rPr>
          <w:sz w:val="20"/>
          <w:szCs w:val="20"/>
          <w:lang w:val="uk-UA"/>
        </w:rPr>
        <w:t xml:space="preserve">. На противагу цьому, одночасне використання аТАНК-НС на зразках із дихальних шляхів і зразках калу призвело до середніх витрат у розмірі 204 доларів США і показнику DALY на рівні 0,57, в результаті чого додаткові витрати на один </w:t>
      </w:r>
      <w:r w:rsidR="00231780">
        <w:rPr>
          <w:sz w:val="20"/>
          <w:szCs w:val="20"/>
          <w:lang w:val="uk-UA"/>
        </w:rPr>
        <w:t xml:space="preserve">рік </w:t>
      </w:r>
      <w:r w:rsidR="00CE6220" w:rsidRPr="00CE6220">
        <w:rPr>
          <w:sz w:val="20"/>
          <w:szCs w:val="20"/>
          <w:lang w:val="uk-UA"/>
        </w:rPr>
        <w:t>DALY</w:t>
      </w:r>
      <w:r w:rsidR="00231780">
        <w:rPr>
          <w:sz w:val="20"/>
          <w:szCs w:val="20"/>
          <w:lang w:val="uk-UA"/>
        </w:rPr>
        <w:t>, якому вдалося запобігти,</w:t>
      </w:r>
      <w:r w:rsidR="00CE6220" w:rsidRPr="00CE6220">
        <w:rPr>
          <w:sz w:val="20"/>
          <w:szCs w:val="20"/>
          <w:lang w:val="uk-UA"/>
        </w:rPr>
        <w:t xml:space="preserve"> становили 253 долари США (95%-вий діапазон невиз</w:t>
      </w:r>
      <w:r>
        <w:rPr>
          <w:sz w:val="20"/>
          <w:szCs w:val="20"/>
          <w:lang w:val="uk-UA"/>
        </w:rPr>
        <w:t>н</w:t>
      </w:r>
      <w:r w:rsidR="00CE6220" w:rsidRPr="00CE6220">
        <w:rPr>
          <w:sz w:val="20"/>
          <w:szCs w:val="20"/>
          <w:lang w:val="uk-UA"/>
        </w:rPr>
        <w:t>аченості (UR): 123-2317) (</w:t>
      </w:r>
      <w:r w:rsidR="00CE6220" w:rsidRPr="00CE6220">
        <w:rPr>
          <w:b/>
          <w:bCs/>
          <w:sz w:val="20"/>
          <w:szCs w:val="20"/>
          <w:lang w:val="uk-UA"/>
        </w:rPr>
        <w:t>Таблиця 2.3.2.1</w:t>
      </w:r>
      <w:r w:rsidR="00CE6220" w:rsidRPr="00CE6220">
        <w:rPr>
          <w:sz w:val="20"/>
          <w:szCs w:val="20"/>
          <w:lang w:val="uk-UA"/>
        </w:rPr>
        <w:t>)</w:t>
      </w:r>
      <w:r w:rsidR="00B01E0C" w:rsidRPr="00FA5D0C">
        <w:rPr>
          <w:sz w:val="20"/>
          <w:szCs w:val="20"/>
          <w:lang w:val="uk-UA"/>
        </w:rPr>
        <w:t>.</w:t>
      </w:r>
    </w:p>
    <w:p w14:paraId="6E680C2A" w14:textId="4DC48A1B" w:rsidR="00E05B98" w:rsidRPr="00FA5D0C" w:rsidRDefault="00CE6220" w:rsidP="00FA5D0C">
      <w:pPr>
        <w:pStyle w:val="a3"/>
        <w:spacing w:before="172" w:line="297" w:lineRule="auto"/>
        <w:ind w:left="567" w:right="138"/>
        <w:jc w:val="both"/>
        <w:rPr>
          <w:sz w:val="20"/>
          <w:szCs w:val="20"/>
          <w:lang w:val="uk-UA"/>
        </w:rPr>
      </w:pPr>
      <w:r w:rsidRPr="00CE6220">
        <w:rPr>
          <w:sz w:val="20"/>
          <w:szCs w:val="20"/>
          <w:lang w:val="uk-UA"/>
        </w:rPr>
        <w:t xml:space="preserve">Аналогічно, на Філіппінах вартість </w:t>
      </w:r>
      <w:r w:rsidR="00E26E6B">
        <w:rPr>
          <w:sz w:val="20"/>
          <w:szCs w:val="20"/>
          <w:lang w:val="uk-UA"/>
        </w:rPr>
        <w:t xml:space="preserve">застосування </w:t>
      </w:r>
      <w:r w:rsidRPr="00CE6220">
        <w:rPr>
          <w:sz w:val="20"/>
          <w:szCs w:val="20"/>
          <w:lang w:val="uk-UA"/>
        </w:rPr>
        <w:t xml:space="preserve">аТАНК-НС на зразках із дихальних шляхів становила 84 долари США, що асоціювалося з показником DALY на рівні 1,04. На </w:t>
      </w:r>
      <w:r w:rsidR="005A7875" w:rsidRPr="00CE6220">
        <w:rPr>
          <w:sz w:val="20"/>
          <w:szCs w:val="20"/>
          <w:lang w:val="uk-UA"/>
        </w:rPr>
        <w:t>Філіппінах</w:t>
      </w:r>
      <w:r w:rsidRPr="00CE6220">
        <w:rPr>
          <w:sz w:val="20"/>
          <w:szCs w:val="20"/>
          <w:lang w:val="uk-UA"/>
        </w:rPr>
        <w:t xml:space="preserve">, проведення одночасного тестування призвело до середньої вартості аналізу в сумі 149 доларів США та показника DALY на рівні 0,66, з </w:t>
      </w:r>
      <w:r w:rsidR="00231780">
        <w:rPr>
          <w:sz w:val="20"/>
          <w:szCs w:val="20"/>
          <w:lang w:val="uk-UA"/>
        </w:rPr>
        <w:t xml:space="preserve">інкрементним коефіцієнтом  </w:t>
      </w:r>
      <w:r w:rsidRPr="00CE6220">
        <w:rPr>
          <w:sz w:val="20"/>
          <w:szCs w:val="20"/>
          <w:lang w:val="uk-UA"/>
        </w:rPr>
        <w:t>ефективності</w:t>
      </w:r>
      <w:r w:rsidR="00231780">
        <w:rPr>
          <w:sz w:val="20"/>
          <w:szCs w:val="20"/>
          <w:lang w:val="uk-UA"/>
        </w:rPr>
        <w:t xml:space="preserve"> витрат</w:t>
      </w:r>
      <w:r w:rsidRPr="00CE6220">
        <w:rPr>
          <w:sz w:val="20"/>
          <w:szCs w:val="20"/>
          <w:lang w:val="uk-UA"/>
        </w:rPr>
        <w:t xml:space="preserve"> (ICER) в сумі  156 доларів США за кожен попереджений DALY (95%-вий діапазон невизначеності (UR): 79–888) (</w:t>
      </w:r>
      <w:r w:rsidRPr="00CE6220">
        <w:rPr>
          <w:b/>
          <w:bCs/>
          <w:sz w:val="20"/>
          <w:szCs w:val="20"/>
          <w:lang w:val="uk-UA"/>
        </w:rPr>
        <w:t>Таблиця 2.3.2.1</w:t>
      </w:r>
      <w:r w:rsidRPr="00CE6220">
        <w:rPr>
          <w:sz w:val="20"/>
          <w:szCs w:val="20"/>
          <w:lang w:val="uk-UA"/>
        </w:rPr>
        <w:t>).</w:t>
      </w:r>
    </w:p>
    <w:p w14:paraId="28A79481" w14:textId="77777777" w:rsidR="00E05B98" w:rsidRPr="00FA5D0C" w:rsidRDefault="00E05B98" w:rsidP="00FA5D0C">
      <w:pPr>
        <w:pStyle w:val="a3"/>
        <w:spacing w:line="297" w:lineRule="auto"/>
        <w:ind w:right="138"/>
        <w:jc w:val="both"/>
        <w:rPr>
          <w:sz w:val="20"/>
          <w:szCs w:val="20"/>
          <w:lang w:val="uk-UA"/>
        </w:rPr>
        <w:sectPr w:rsidR="00E05B98" w:rsidRPr="00FA5D0C" w:rsidSect="00FA5D0C">
          <w:pgSz w:w="11910" w:h="16840"/>
          <w:pgMar w:top="1320" w:right="853" w:bottom="760" w:left="850" w:header="0" w:footer="573" w:gutter="0"/>
          <w:cols w:space="720"/>
        </w:sectPr>
      </w:pPr>
    </w:p>
    <w:p w14:paraId="3FF8EC69" w14:textId="0D338741" w:rsidR="00E05B98" w:rsidRPr="003C6DAE" w:rsidRDefault="00CE6220" w:rsidP="00FA5D0C">
      <w:pPr>
        <w:pStyle w:val="6"/>
        <w:spacing w:line="249" w:lineRule="auto"/>
        <w:ind w:right="138"/>
        <w:rPr>
          <w:lang w:val="uk-UA"/>
        </w:rPr>
      </w:pPr>
      <w:bookmarkStart w:id="62" w:name="_bookmark28"/>
      <w:bookmarkEnd w:id="62"/>
      <w:r>
        <w:rPr>
          <w:color w:val="636466"/>
          <w:spacing w:val="-2"/>
          <w:sz w:val="20"/>
          <w:szCs w:val="20"/>
          <w:lang w:val="uk-UA"/>
        </w:rPr>
        <w:lastRenderedPageBreak/>
        <w:t>Таблиця</w:t>
      </w:r>
      <w:r w:rsidR="00B01E0C" w:rsidRPr="00FA5D0C">
        <w:rPr>
          <w:color w:val="636466"/>
          <w:spacing w:val="-15"/>
          <w:sz w:val="20"/>
          <w:szCs w:val="20"/>
          <w:lang w:val="uk-UA"/>
        </w:rPr>
        <w:t xml:space="preserve"> </w:t>
      </w:r>
      <w:r w:rsidR="00B01E0C" w:rsidRPr="00FA5D0C">
        <w:rPr>
          <w:color w:val="636466"/>
          <w:spacing w:val="-2"/>
          <w:sz w:val="20"/>
          <w:szCs w:val="20"/>
          <w:lang w:val="uk-UA"/>
        </w:rPr>
        <w:t>2.3.2.1</w:t>
      </w:r>
      <w:r w:rsidR="00B01E0C" w:rsidRPr="00FA5D0C">
        <w:rPr>
          <w:color w:val="636466"/>
          <w:spacing w:val="-15"/>
          <w:sz w:val="20"/>
          <w:szCs w:val="20"/>
          <w:lang w:val="uk-UA"/>
        </w:rPr>
        <w:t xml:space="preserve"> </w:t>
      </w:r>
      <w:r>
        <w:rPr>
          <w:color w:val="636466"/>
          <w:spacing w:val="-15"/>
          <w:sz w:val="20"/>
          <w:szCs w:val="20"/>
          <w:lang w:val="uk-UA"/>
        </w:rPr>
        <w:t xml:space="preserve"> </w:t>
      </w:r>
      <w:r w:rsidRPr="00CE6220">
        <w:rPr>
          <w:color w:val="636466"/>
          <w:spacing w:val="-2"/>
          <w:sz w:val="20"/>
          <w:szCs w:val="20"/>
          <w:lang w:val="uk-UA"/>
        </w:rPr>
        <w:t>Аналіз економічної ефективності одночасного використання тестів аТАНК-НС серед дітей у Малаві та на Філіппінах</w:t>
      </w:r>
    </w:p>
    <w:p w14:paraId="4B923FED" w14:textId="77777777" w:rsidR="00E05B98" w:rsidRPr="00551235" w:rsidRDefault="00E05B98" w:rsidP="00FA5D0C">
      <w:pPr>
        <w:pStyle w:val="a3"/>
        <w:spacing w:before="29"/>
        <w:ind w:right="138"/>
        <w:rPr>
          <w:rFonts w:ascii="Arial"/>
          <w:b/>
          <w:sz w:val="12"/>
          <w:szCs w:val="12"/>
          <w:lang w:val="uk-UA"/>
        </w:rPr>
      </w:pPr>
    </w:p>
    <w:tbl>
      <w:tblPr>
        <w:tblStyle w:val="TableNormal"/>
        <w:tblW w:w="9609" w:type="dxa"/>
        <w:tblInd w:w="58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1417"/>
        <w:gridCol w:w="2778"/>
        <w:gridCol w:w="28"/>
        <w:gridCol w:w="1276"/>
        <w:gridCol w:w="28"/>
        <w:gridCol w:w="1673"/>
        <w:gridCol w:w="283"/>
        <w:gridCol w:w="2126"/>
      </w:tblGrid>
      <w:tr w:rsidR="00E05B98" w:rsidRPr="00D029FF" w14:paraId="67C830CF" w14:textId="77777777" w:rsidTr="00047479">
        <w:trPr>
          <w:trHeight w:val="429"/>
        </w:trPr>
        <w:tc>
          <w:tcPr>
            <w:tcW w:w="1417" w:type="dxa"/>
            <w:tcBorders>
              <w:bottom w:val="single" w:sz="6" w:space="0" w:color="019648"/>
              <w:right w:val="single" w:sz="6" w:space="0" w:color="019648"/>
            </w:tcBorders>
            <w:shd w:val="clear" w:color="auto" w:fill="62A86B"/>
          </w:tcPr>
          <w:p w14:paraId="44AB4163" w14:textId="59E68ACC" w:rsidR="00E05B98" w:rsidRPr="00047479" w:rsidRDefault="00CE6220" w:rsidP="00E26E6B">
            <w:pPr>
              <w:pStyle w:val="TableParagraph"/>
              <w:spacing w:before="225"/>
              <w:ind w:left="136" w:right="138"/>
              <w:jc w:val="center"/>
              <w:rPr>
                <w:rFonts w:asciiTheme="minorHAnsi" w:hAnsiTheme="minorHAnsi" w:cstheme="minorHAnsi"/>
                <w:b/>
                <w:sz w:val="20"/>
                <w:szCs w:val="20"/>
                <w:lang w:val="uk-UA"/>
              </w:rPr>
            </w:pPr>
            <w:r w:rsidRPr="00047479">
              <w:rPr>
                <w:rFonts w:asciiTheme="minorHAnsi" w:hAnsiTheme="minorHAnsi" w:cstheme="minorHAnsi"/>
                <w:b/>
                <w:color w:val="FFFFFF"/>
                <w:spacing w:val="-2"/>
                <w:sz w:val="20"/>
                <w:szCs w:val="20"/>
                <w:lang w:val="uk-UA"/>
              </w:rPr>
              <w:t>Країна</w:t>
            </w:r>
          </w:p>
        </w:tc>
        <w:tc>
          <w:tcPr>
            <w:tcW w:w="2806" w:type="dxa"/>
            <w:gridSpan w:val="2"/>
            <w:tcBorders>
              <w:left w:val="single" w:sz="6" w:space="0" w:color="019648"/>
              <w:bottom w:val="single" w:sz="6" w:space="0" w:color="019648"/>
              <w:right w:val="single" w:sz="6" w:space="0" w:color="019648"/>
            </w:tcBorders>
            <w:shd w:val="clear" w:color="auto" w:fill="62A86B"/>
          </w:tcPr>
          <w:p w14:paraId="78F84815" w14:textId="05AEF31F" w:rsidR="00E05B98" w:rsidRPr="00047479" w:rsidRDefault="00CE6220" w:rsidP="00E26E6B">
            <w:pPr>
              <w:pStyle w:val="TableParagraph"/>
              <w:spacing w:before="225"/>
              <w:ind w:left="138" w:right="138"/>
              <w:jc w:val="center"/>
              <w:rPr>
                <w:rFonts w:asciiTheme="minorHAnsi" w:hAnsiTheme="minorHAnsi" w:cstheme="minorHAnsi"/>
                <w:b/>
                <w:sz w:val="20"/>
                <w:szCs w:val="20"/>
                <w:lang w:val="uk-UA"/>
              </w:rPr>
            </w:pPr>
            <w:r w:rsidRPr="00047479">
              <w:rPr>
                <w:rFonts w:asciiTheme="minorHAnsi" w:hAnsiTheme="minorHAnsi" w:cstheme="minorHAnsi"/>
                <w:b/>
                <w:color w:val="FFFFFF"/>
                <w:spacing w:val="-2"/>
                <w:sz w:val="20"/>
                <w:szCs w:val="20"/>
                <w:lang w:val="uk-UA"/>
              </w:rPr>
              <w:t>Стратегія діагностики</w:t>
            </w:r>
          </w:p>
        </w:tc>
        <w:tc>
          <w:tcPr>
            <w:tcW w:w="1304" w:type="dxa"/>
            <w:gridSpan w:val="2"/>
            <w:tcBorders>
              <w:left w:val="single" w:sz="6" w:space="0" w:color="019648"/>
              <w:bottom w:val="single" w:sz="6" w:space="0" w:color="019648"/>
              <w:right w:val="single" w:sz="6" w:space="0" w:color="019648"/>
            </w:tcBorders>
            <w:shd w:val="clear" w:color="auto" w:fill="62A86B"/>
          </w:tcPr>
          <w:p w14:paraId="67F234A7" w14:textId="5B3A657B" w:rsidR="00E05B98" w:rsidRPr="00047479" w:rsidRDefault="005A7875" w:rsidP="00E26E6B">
            <w:pPr>
              <w:pStyle w:val="TableParagraph"/>
              <w:spacing w:before="225"/>
              <w:ind w:left="0" w:right="138"/>
              <w:jc w:val="center"/>
              <w:rPr>
                <w:rFonts w:asciiTheme="minorHAnsi" w:hAnsiTheme="minorHAnsi" w:cstheme="minorHAnsi"/>
                <w:b/>
                <w:sz w:val="20"/>
                <w:szCs w:val="20"/>
                <w:lang w:val="uk-UA"/>
              </w:rPr>
            </w:pPr>
            <w:r w:rsidRPr="00047479">
              <w:rPr>
                <w:rFonts w:asciiTheme="minorHAnsi" w:hAnsiTheme="minorHAnsi" w:cstheme="minorHAnsi"/>
                <w:b/>
                <w:color w:val="FFFFFF"/>
                <w:w w:val="90"/>
                <w:sz w:val="20"/>
                <w:szCs w:val="20"/>
                <w:lang w:val="uk-UA"/>
              </w:rPr>
              <w:t>Вартість</w:t>
            </w:r>
            <w:r w:rsidR="00B01E0C" w:rsidRPr="00047479">
              <w:rPr>
                <w:rFonts w:asciiTheme="minorHAnsi" w:hAnsiTheme="minorHAnsi" w:cstheme="minorHAnsi"/>
                <w:b/>
                <w:color w:val="FFFFFF"/>
                <w:w w:val="90"/>
                <w:sz w:val="20"/>
                <w:szCs w:val="20"/>
                <w:lang w:val="uk-UA"/>
              </w:rPr>
              <w:t>,</w:t>
            </w:r>
            <w:r w:rsidR="00B01E0C" w:rsidRPr="00047479">
              <w:rPr>
                <w:rFonts w:asciiTheme="minorHAnsi" w:hAnsiTheme="minorHAnsi" w:cstheme="minorHAnsi"/>
                <w:b/>
                <w:color w:val="FFFFFF"/>
                <w:spacing w:val="9"/>
                <w:sz w:val="20"/>
                <w:szCs w:val="20"/>
                <w:lang w:val="uk-UA"/>
              </w:rPr>
              <w:t xml:space="preserve"> </w:t>
            </w:r>
            <w:r w:rsidR="00CE6220" w:rsidRPr="00047479">
              <w:rPr>
                <w:rFonts w:asciiTheme="minorHAnsi" w:hAnsiTheme="minorHAnsi" w:cstheme="minorHAnsi"/>
                <w:b/>
                <w:color w:val="FFFFFF"/>
                <w:spacing w:val="9"/>
                <w:sz w:val="20"/>
                <w:szCs w:val="20"/>
                <w:lang w:val="uk-UA"/>
              </w:rPr>
              <w:t xml:space="preserve">               </w:t>
            </w:r>
            <w:r w:rsidR="00CE6220" w:rsidRPr="00047479">
              <w:rPr>
                <w:rFonts w:asciiTheme="minorHAnsi" w:hAnsiTheme="minorHAnsi" w:cstheme="minorHAnsi"/>
                <w:b/>
                <w:color w:val="FFFFFF"/>
                <w:spacing w:val="-5"/>
                <w:sz w:val="20"/>
                <w:szCs w:val="20"/>
                <w:lang w:val="uk-UA"/>
              </w:rPr>
              <w:t>в дол. США</w:t>
            </w:r>
          </w:p>
        </w:tc>
        <w:tc>
          <w:tcPr>
            <w:tcW w:w="1956" w:type="dxa"/>
            <w:gridSpan w:val="2"/>
            <w:tcBorders>
              <w:left w:val="single" w:sz="6" w:space="0" w:color="019648"/>
              <w:bottom w:val="single" w:sz="6" w:space="0" w:color="019648"/>
              <w:right w:val="single" w:sz="6" w:space="0" w:color="019648"/>
            </w:tcBorders>
            <w:shd w:val="clear" w:color="auto" w:fill="62A86B"/>
          </w:tcPr>
          <w:p w14:paraId="51DAE194" w14:textId="6B7486F4" w:rsidR="00E05B98" w:rsidRPr="00047479" w:rsidRDefault="00CE6220" w:rsidP="00E26E6B">
            <w:pPr>
              <w:pStyle w:val="TableParagraph"/>
              <w:spacing w:before="95" w:line="247" w:lineRule="auto"/>
              <w:ind w:left="138" w:right="138"/>
              <w:jc w:val="center"/>
              <w:rPr>
                <w:rFonts w:asciiTheme="minorHAnsi" w:hAnsiTheme="minorHAnsi" w:cstheme="minorHAnsi"/>
                <w:b/>
                <w:sz w:val="20"/>
                <w:szCs w:val="20"/>
                <w:lang w:val="uk-UA"/>
              </w:rPr>
            </w:pPr>
            <w:r w:rsidRPr="00047479">
              <w:rPr>
                <w:rFonts w:asciiTheme="minorHAnsi" w:hAnsiTheme="minorHAnsi" w:cstheme="minorHAnsi"/>
                <w:b/>
                <w:color w:val="FFFFFF"/>
                <w:spacing w:val="-6"/>
                <w:sz w:val="20"/>
                <w:szCs w:val="20"/>
                <w:lang w:val="uk-UA"/>
              </w:rPr>
              <w:t>Ефективність</w:t>
            </w:r>
            <w:r w:rsidR="00B01E0C" w:rsidRPr="00047479">
              <w:rPr>
                <w:rFonts w:asciiTheme="minorHAnsi" w:hAnsiTheme="minorHAnsi" w:cstheme="minorHAnsi"/>
                <w:b/>
                <w:color w:val="FFFFFF"/>
                <w:spacing w:val="-6"/>
                <w:sz w:val="20"/>
                <w:szCs w:val="20"/>
                <w:lang w:val="uk-UA"/>
              </w:rPr>
              <w:t xml:space="preserve">, </w:t>
            </w:r>
            <w:r w:rsidRPr="00047479">
              <w:rPr>
                <w:rFonts w:asciiTheme="minorHAnsi" w:hAnsiTheme="minorHAnsi" w:cstheme="minorHAnsi"/>
                <w:b/>
                <w:color w:val="FFFFFF"/>
                <w:spacing w:val="-6"/>
                <w:sz w:val="20"/>
                <w:szCs w:val="20"/>
                <w:lang w:val="uk-UA"/>
              </w:rPr>
              <w:t xml:space="preserve">за показником </w:t>
            </w:r>
            <w:r w:rsidR="00B01E0C" w:rsidRPr="00047479">
              <w:rPr>
                <w:rFonts w:asciiTheme="minorHAnsi" w:hAnsiTheme="minorHAnsi" w:cstheme="minorHAnsi"/>
                <w:b/>
                <w:color w:val="FFFFFF"/>
                <w:spacing w:val="-2"/>
                <w:sz w:val="20"/>
                <w:szCs w:val="20"/>
                <w:lang w:val="uk-UA"/>
              </w:rPr>
              <w:t>DALY</w:t>
            </w:r>
          </w:p>
        </w:tc>
        <w:tc>
          <w:tcPr>
            <w:tcW w:w="2126" w:type="dxa"/>
            <w:tcBorders>
              <w:left w:val="single" w:sz="6" w:space="0" w:color="019648"/>
              <w:bottom w:val="single" w:sz="6" w:space="0" w:color="019648"/>
              <w:right w:val="single" w:sz="6" w:space="0" w:color="019648"/>
            </w:tcBorders>
            <w:shd w:val="clear" w:color="auto" w:fill="62A86B"/>
          </w:tcPr>
          <w:p w14:paraId="550CCEB8" w14:textId="77777777" w:rsidR="00E05B98" w:rsidRPr="00047479" w:rsidRDefault="00B01E0C" w:rsidP="00E26E6B">
            <w:pPr>
              <w:pStyle w:val="TableParagraph"/>
              <w:spacing w:before="95"/>
              <w:ind w:left="138" w:right="138"/>
              <w:jc w:val="center"/>
              <w:rPr>
                <w:rFonts w:asciiTheme="minorHAnsi" w:hAnsiTheme="minorHAnsi" w:cstheme="minorHAnsi"/>
                <w:b/>
                <w:sz w:val="20"/>
                <w:szCs w:val="20"/>
                <w:lang w:val="uk-UA"/>
              </w:rPr>
            </w:pPr>
            <w:r w:rsidRPr="00047479">
              <w:rPr>
                <w:rFonts w:asciiTheme="minorHAnsi" w:hAnsiTheme="minorHAnsi" w:cstheme="minorHAnsi"/>
                <w:b/>
                <w:color w:val="FFFFFF"/>
                <w:spacing w:val="-4"/>
                <w:sz w:val="20"/>
                <w:szCs w:val="20"/>
                <w:lang w:val="uk-UA"/>
              </w:rPr>
              <w:t>ICER</w:t>
            </w:r>
            <w:r w:rsidRPr="00047479">
              <w:rPr>
                <w:rFonts w:asciiTheme="minorHAnsi" w:hAnsiTheme="minorHAnsi" w:cstheme="minorHAnsi"/>
                <w:b/>
                <w:color w:val="FFFFFF"/>
                <w:spacing w:val="-8"/>
                <w:sz w:val="20"/>
                <w:szCs w:val="20"/>
                <w:lang w:val="uk-UA"/>
              </w:rPr>
              <w:t xml:space="preserve"> </w:t>
            </w:r>
            <w:r w:rsidRPr="00047479">
              <w:rPr>
                <w:rFonts w:asciiTheme="minorHAnsi" w:hAnsiTheme="minorHAnsi" w:cstheme="minorHAnsi"/>
                <w:b/>
                <w:color w:val="FFFFFF"/>
                <w:spacing w:val="-4"/>
                <w:sz w:val="20"/>
                <w:szCs w:val="20"/>
                <w:lang w:val="uk-UA"/>
              </w:rPr>
              <w:t>(95%</w:t>
            </w:r>
            <w:r w:rsidRPr="00047479">
              <w:rPr>
                <w:rFonts w:asciiTheme="minorHAnsi" w:hAnsiTheme="minorHAnsi" w:cstheme="minorHAnsi"/>
                <w:b/>
                <w:color w:val="FFFFFF"/>
                <w:spacing w:val="-7"/>
                <w:sz w:val="20"/>
                <w:szCs w:val="20"/>
                <w:lang w:val="uk-UA"/>
              </w:rPr>
              <w:t xml:space="preserve"> </w:t>
            </w:r>
            <w:r w:rsidRPr="00047479">
              <w:rPr>
                <w:rFonts w:asciiTheme="minorHAnsi" w:hAnsiTheme="minorHAnsi" w:cstheme="minorHAnsi"/>
                <w:b/>
                <w:color w:val="FFFFFF"/>
                <w:spacing w:val="-4"/>
                <w:sz w:val="20"/>
                <w:szCs w:val="20"/>
                <w:lang w:val="uk-UA"/>
              </w:rPr>
              <w:t>UR),</w:t>
            </w:r>
          </w:p>
          <w:p w14:paraId="67634E85" w14:textId="69CD4D5E" w:rsidR="00E05B98" w:rsidRPr="00047479" w:rsidRDefault="00CE6220" w:rsidP="00E26E6B">
            <w:pPr>
              <w:pStyle w:val="TableParagraph"/>
              <w:spacing w:before="7"/>
              <w:ind w:left="138" w:right="138"/>
              <w:jc w:val="center"/>
              <w:rPr>
                <w:rFonts w:asciiTheme="minorHAnsi" w:hAnsiTheme="minorHAnsi" w:cstheme="minorHAnsi"/>
                <w:b/>
                <w:sz w:val="20"/>
                <w:szCs w:val="20"/>
                <w:lang w:val="uk-UA"/>
              </w:rPr>
            </w:pPr>
            <w:r w:rsidRPr="00047479">
              <w:rPr>
                <w:rFonts w:asciiTheme="minorHAnsi" w:hAnsiTheme="minorHAnsi" w:cstheme="minorHAnsi"/>
                <w:b/>
                <w:color w:val="FFFFFF"/>
                <w:spacing w:val="-5"/>
                <w:sz w:val="20"/>
                <w:szCs w:val="20"/>
                <w:lang w:val="uk-UA"/>
              </w:rPr>
              <w:t>в дол. США</w:t>
            </w:r>
          </w:p>
        </w:tc>
      </w:tr>
      <w:tr w:rsidR="00E05B98" w:rsidRPr="00047479" w14:paraId="28D5609D" w14:textId="77777777" w:rsidTr="00047479">
        <w:trPr>
          <w:trHeight w:val="570"/>
        </w:trPr>
        <w:tc>
          <w:tcPr>
            <w:tcW w:w="1417" w:type="dxa"/>
            <w:tcBorders>
              <w:top w:val="single" w:sz="6" w:space="0" w:color="019648"/>
              <w:left w:val="nil"/>
              <w:bottom w:val="nil"/>
              <w:right w:val="nil"/>
            </w:tcBorders>
          </w:tcPr>
          <w:p w14:paraId="06057601" w14:textId="607825D0" w:rsidR="00E05B98" w:rsidRPr="00047479" w:rsidRDefault="00CE6220" w:rsidP="00FA5D0C">
            <w:pPr>
              <w:pStyle w:val="TableParagraph"/>
              <w:spacing w:before="75"/>
              <w:ind w:right="138"/>
              <w:rPr>
                <w:rFonts w:asciiTheme="minorHAnsi" w:hAnsiTheme="minorHAnsi" w:cstheme="minorHAnsi"/>
                <w:b/>
                <w:sz w:val="20"/>
                <w:szCs w:val="20"/>
                <w:lang w:val="uk-UA"/>
              </w:rPr>
            </w:pPr>
            <w:r w:rsidRPr="00047479">
              <w:rPr>
                <w:rFonts w:asciiTheme="minorHAnsi" w:hAnsiTheme="minorHAnsi" w:cstheme="minorHAnsi"/>
                <w:b/>
                <w:spacing w:val="-2"/>
                <w:w w:val="110"/>
                <w:sz w:val="20"/>
                <w:szCs w:val="20"/>
                <w:lang w:val="uk-UA"/>
              </w:rPr>
              <w:t>Малаві</w:t>
            </w:r>
          </w:p>
        </w:tc>
        <w:tc>
          <w:tcPr>
            <w:tcW w:w="2778" w:type="dxa"/>
            <w:tcBorders>
              <w:top w:val="single" w:sz="6" w:space="0" w:color="019648"/>
              <w:left w:val="nil"/>
              <w:bottom w:val="single" w:sz="6" w:space="0" w:color="019648"/>
              <w:right w:val="nil"/>
            </w:tcBorders>
          </w:tcPr>
          <w:p w14:paraId="1A8CC10F" w14:textId="1CE56128" w:rsidR="00E05B98" w:rsidRPr="00047479" w:rsidRDefault="00820C2D" w:rsidP="00FA5D0C">
            <w:pPr>
              <w:pStyle w:val="TableParagraph"/>
              <w:spacing w:line="249" w:lineRule="auto"/>
              <w:ind w:right="138"/>
              <w:rPr>
                <w:rFonts w:asciiTheme="minorHAnsi" w:hAnsiTheme="minorHAnsi" w:cstheme="minorHAnsi"/>
                <w:sz w:val="20"/>
                <w:szCs w:val="20"/>
                <w:lang w:val="uk-UA"/>
              </w:rPr>
            </w:pPr>
            <w:r w:rsidRPr="00047479">
              <w:rPr>
                <w:rFonts w:asciiTheme="minorHAnsi" w:hAnsiTheme="minorHAnsi" w:cstheme="minorHAnsi"/>
                <w:spacing w:val="-2"/>
                <w:sz w:val="20"/>
                <w:szCs w:val="20"/>
                <w:lang w:val="uk-UA"/>
              </w:rPr>
              <w:t>аТАНК-НС на зразку з дихальних шляхів</w:t>
            </w:r>
          </w:p>
        </w:tc>
        <w:tc>
          <w:tcPr>
            <w:tcW w:w="1304" w:type="dxa"/>
            <w:gridSpan w:val="2"/>
            <w:tcBorders>
              <w:top w:val="single" w:sz="6" w:space="0" w:color="019648"/>
              <w:left w:val="nil"/>
              <w:bottom w:val="single" w:sz="6" w:space="0" w:color="019648"/>
              <w:right w:val="nil"/>
            </w:tcBorders>
          </w:tcPr>
          <w:p w14:paraId="24D714DF" w14:textId="77777777" w:rsidR="00E05B98" w:rsidRPr="00047479" w:rsidRDefault="00B01E0C" w:rsidP="00FA5D0C">
            <w:pPr>
              <w:pStyle w:val="TableParagraph"/>
              <w:ind w:left="20" w:right="138"/>
              <w:jc w:val="center"/>
              <w:rPr>
                <w:rFonts w:asciiTheme="minorHAnsi" w:hAnsiTheme="minorHAnsi" w:cstheme="minorHAnsi"/>
                <w:sz w:val="20"/>
                <w:szCs w:val="20"/>
                <w:lang w:val="uk-UA"/>
              </w:rPr>
            </w:pPr>
            <w:r w:rsidRPr="00047479">
              <w:rPr>
                <w:rFonts w:asciiTheme="minorHAnsi" w:hAnsiTheme="minorHAnsi" w:cstheme="minorHAnsi"/>
                <w:spacing w:val="-5"/>
                <w:w w:val="105"/>
                <w:sz w:val="20"/>
                <w:szCs w:val="20"/>
                <w:lang w:val="uk-UA"/>
              </w:rPr>
              <w:t>114</w:t>
            </w:r>
          </w:p>
        </w:tc>
        <w:tc>
          <w:tcPr>
            <w:tcW w:w="1701" w:type="dxa"/>
            <w:gridSpan w:val="2"/>
            <w:tcBorders>
              <w:top w:val="single" w:sz="6" w:space="0" w:color="019648"/>
              <w:left w:val="nil"/>
              <w:bottom w:val="single" w:sz="6" w:space="0" w:color="019648"/>
              <w:right w:val="nil"/>
            </w:tcBorders>
          </w:tcPr>
          <w:p w14:paraId="6A48803B" w14:textId="77777777" w:rsidR="00E05B98" w:rsidRPr="00047479" w:rsidRDefault="00B01E0C" w:rsidP="00FA5D0C">
            <w:pPr>
              <w:pStyle w:val="TableParagraph"/>
              <w:ind w:left="20" w:right="138"/>
              <w:jc w:val="center"/>
              <w:rPr>
                <w:rFonts w:asciiTheme="minorHAnsi" w:hAnsiTheme="minorHAnsi" w:cstheme="minorHAnsi"/>
                <w:sz w:val="20"/>
                <w:szCs w:val="20"/>
                <w:lang w:val="uk-UA"/>
              </w:rPr>
            </w:pPr>
            <w:r w:rsidRPr="00047479">
              <w:rPr>
                <w:rFonts w:asciiTheme="minorHAnsi" w:hAnsiTheme="minorHAnsi" w:cstheme="minorHAnsi"/>
                <w:spacing w:val="-4"/>
                <w:sz w:val="20"/>
                <w:szCs w:val="20"/>
                <w:lang w:val="uk-UA"/>
              </w:rPr>
              <w:t>0.93</w:t>
            </w:r>
          </w:p>
        </w:tc>
        <w:tc>
          <w:tcPr>
            <w:tcW w:w="2409" w:type="dxa"/>
            <w:gridSpan w:val="2"/>
            <w:tcBorders>
              <w:top w:val="single" w:sz="6" w:space="0" w:color="019648"/>
              <w:left w:val="nil"/>
              <w:bottom w:val="single" w:sz="6" w:space="0" w:color="019648"/>
              <w:right w:val="nil"/>
            </w:tcBorders>
          </w:tcPr>
          <w:p w14:paraId="7A6C53BD" w14:textId="2CED0962" w:rsidR="00E05B98" w:rsidRPr="00047479" w:rsidRDefault="00047479" w:rsidP="00047479">
            <w:pPr>
              <w:pStyle w:val="TableParagraph"/>
              <w:ind w:left="281" w:right="138"/>
              <w:rPr>
                <w:rFonts w:asciiTheme="minorHAnsi" w:hAnsiTheme="minorHAnsi" w:cstheme="minorHAnsi"/>
                <w:sz w:val="20"/>
                <w:szCs w:val="20"/>
                <w:lang w:val="uk-UA"/>
              </w:rPr>
            </w:pPr>
            <w:r w:rsidRPr="00047479">
              <w:rPr>
                <w:rFonts w:asciiTheme="minorHAnsi" w:hAnsiTheme="minorHAnsi" w:cstheme="minorHAnsi"/>
                <w:spacing w:val="-2"/>
                <w:sz w:val="20"/>
                <w:szCs w:val="20"/>
                <w:lang w:val="uk-UA"/>
              </w:rPr>
              <w:t>Референтне значення</w:t>
            </w:r>
          </w:p>
        </w:tc>
      </w:tr>
      <w:tr w:rsidR="00E05B98" w:rsidRPr="00047479" w14:paraId="11FC1097" w14:textId="77777777" w:rsidTr="00047479">
        <w:trPr>
          <w:trHeight w:val="550"/>
        </w:trPr>
        <w:tc>
          <w:tcPr>
            <w:tcW w:w="1417" w:type="dxa"/>
            <w:tcBorders>
              <w:top w:val="nil"/>
              <w:left w:val="nil"/>
              <w:bottom w:val="single" w:sz="6" w:space="0" w:color="019648"/>
              <w:right w:val="nil"/>
            </w:tcBorders>
          </w:tcPr>
          <w:p w14:paraId="1CE830B1" w14:textId="77777777" w:rsidR="00E05B98" w:rsidRPr="00047479" w:rsidRDefault="00E05B98" w:rsidP="00FA5D0C">
            <w:pPr>
              <w:pStyle w:val="TableParagraph"/>
              <w:spacing w:before="0"/>
              <w:ind w:left="0" w:right="138"/>
              <w:rPr>
                <w:rFonts w:asciiTheme="minorHAnsi" w:hAnsiTheme="minorHAnsi" w:cstheme="minorHAnsi"/>
                <w:sz w:val="20"/>
                <w:szCs w:val="20"/>
                <w:lang w:val="uk-UA"/>
              </w:rPr>
            </w:pPr>
          </w:p>
        </w:tc>
        <w:tc>
          <w:tcPr>
            <w:tcW w:w="2778" w:type="dxa"/>
            <w:tcBorders>
              <w:top w:val="single" w:sz="6" w:space="0" w:color="019648"/>
              <w:left w:val="nil"/>
              <w:bottom w:val="single" w:sz="6" w:space="0" w:color="019648"/>
              <w:right w:val="nil"/>
            </w:tcBorders>
          </w:tcPr>
          <w:p w14:paraId="12A0BEFC" w14:textId="5D8A3A27" w:rsidR="00E05B98" w:rsidRPr="00047479" w:rsidRDefault="00820C2D" w:rsidP="00FA5D0C">
            <w:pPr>
              <w:pStyle w:val="TableParagraph"/>
              <w:spacing w:line="249" w:lineRule="auto"/>
              <w:ind w:right="138"/>
              <w:rPr>
                <w:rFonts w:asciiTheme="minorHAnsi" w:hAnsiTheme="minorHAnsi" w:cstheme="minorHAnsi"/>
                <w:sz w:val="20"/>
                <w:szCs w:val="20"/>
                <w:lang w:val="uk-UA"/>
              </w:rPr>
            </w:pPr>
            <w:r w:rsidRPr="00047479">
              <w:rPr>
                <w:rFonts w:asciiTheme="minorHAnsi" w:hAnsiTheme="minorHAnsi" w:cstheme="minorHAnsi"/>
                <w:spacing w:val="-2"/>
                <w:sz w:val="20"/>
                <w:szCs w:val="20"/>
                <w:lang w:val="uk-UA"/>
              </w:rPr>
              <w:t>аТАНК-НС на зразку з дихальних шляхів та калу</w:t>
            </w:r>
          </w:p>
        </w:tc>
        <w:tc>
          <w:tcPr>
            <w:tcW w:w="1304" w:type="dxa"/>
            <w:gridSpan w:val="2"/>
            <w:tcBorders>
              <w:top w:val="single" w:sz="6" w:space="0" w:color="019648"/>
              <w:left w:val="nil"/>
              <w:bottom w:val="single" w:sz="6" w:space="0" w:color="019648"/>
              <w:right w:val="nil"/>
            </w:tcBorders>
          </w:tcPr>
          <w:p w14:paraId="3BCB845E" w14:textId="77777777" w:rsidR="00E05B98" w:rsidRPr="00047479" w:rsidRDefault="00B01E0C" w:rsidP="00FA5D0C">
            <w:pPr>
              <w:pStyle w:val="TableParagraph"/>
              <w:ind w:left="20" w:right="138"/>
              <w:jc w:val="center"/>
              <w:rPr>
                <w:rFonts w:asciiTheme="minorHAnsi" w:hAnsiTheme="minorHAnsi" w:cstheme="minorHAnsi"/>
                <w:sz w:val="20"/>
                <w:szCs w:val="20"/>
                <w:lang w:val="uk-UA"/>
              </w:rPr>
            </w:pPr>
            <w:r w:rsidRPr="00047479">
              <w:rPr>
                <w:rFonts w:asciiTheme="minorHAnsi" w:hAnsiTheme="minorHAnsi" w:cstheme="minorHAnsi"/>
                <w:spacing w:val="-5"/>
                <w:w w:val="105"/>
                <w:sz w:val="20"/>
                <w:szCs w:val="20"/>
                <w:lang w:val="uk-UA"/>
              </w:rPr>
              <w:t>204</w:t>
            </w:r>
          </w:p>
        </w:tc>
        <w:tc>
          <w:tcPr>
            <w:tcW w:w="1701" w:type="dxa"/>
            <w:gridSpan w:val="2"/>
            <w:tcBorders>
              <w:top w:val="single" w:sz="6" w:space="0" w:color="019648"/>
              <w:left w:val="nil"/>
              <w:bottom w:val="single" w:sz="6" w:space="0" w:color="019648"/>
              <w:right w:val="nil"/>
            </w:tcBorders>
          </w:tcPr>
          <w:p w14:paraId="09A1D42E" w14:textId="77777777" w:rsidR="00E05B98" w:rsidRPr="00047479" w:rsidRDefault="00B01E0C" w:rsidP="00FA5D0C">
            <w:pPr>
              <w:pStyle w:val="TableParagraph"/>
              <w:ind w:left="20" w:right="138"/>
              <w:jc w:val="center"/>
              <w:rPr>
                <w:rFonts w:asciiTheme="minorHAnsi" w:hAnsiTheme="minorHAnsi" w:cstheme="minorHAnsi"/>
                <w:sz w:val="20"/>
                <w:szCs w:val="20"/>
                <w:lang w:val="uk-UA"/>
              </w:rPr>
            </w:pPr>
            <w:r w:rsidRPr="00047479">
              <w:rPr>
                <w:rFonts w:asciiTheme="minorHAnsi" w:hAnsiTheme="minorHAnsi" w:cstheme="minorHAnsi"/>
                <w:spacing w:val="-4"/>
                <w:sz w:val="20"/>
                <w:szCs w:val="20"/>
                <w:lang w:val="uk-UA"/>
              </w:rPr>
              <w:t>0.57</w:t>
            </w:r>
          </w:p>
        </w:tc>
        <w:tc>
          <w:tcPr>
            <w:tcW w:w="2409" w:type="dxa"/>
            <w:gridSpan w:val="2"/>
            <w:tcBorders>
              <w:top w:val="single" w:sz="6" w:space="0" w:color="019648"/>
              <w:left w:val="nil"/>
              <w:bottom w:val="single" w:sz="6" w:space="0" w:color="019648"/>
              <w:right w:val="nil"/>
            </w:tcBorders>
          </w:tcPr>
          <w:p w14:paraId="2055ADDF" w14:textId="77777777" w:rsidR="00E05B98" w:rsidRPr="00047479" w:rsidRDefault="00B01E0C" w:rsidP="00047479">
            <w:pPr>
              <w:pStyle w:val="TableParagraph"/>
              <w:ind w:left="281" w:right="138"/>
              <w:rPr>
                <w:rFonts w:asciiTheme="minorHAnsi" w:hAnsiTheme="minorHAnsi" w:cstheme="minorHAnsi"/>
                <w:sz w:val="20"/>
                <w:szCs w:val="20"/>
                <w:lang w:val="uk-UA"/>
              </w:rPr>
            </w:pPr>
            <w:r w:rsidRPr="00047479">
              <w:rPr>
                <w:rFonts w:asciiTheme="minorHAnsi" w:hAnsiTheme="minorHAnsi" w:cstheme="minorHAnsi"/>
                <w:sz w:val="20"/>
                <w:szCs w:val="20"/>
                <w:lang w:val="uk-UA"/>
              </w:rPr>
              <w:t>253</w:t>
            </w:r>
            <w:r w:rsidRPr="00047479">
              <w:rPr>
                <w:rFonts w:asciiTheme="minorHAnsi" w:hAnsiTheme="minorHAnsi" w:cstheme="minorHAnsi"/>
                <w:spacing w:val="3"/>
                <w:sz w:val="20"/>
                <w:szCs w:val="20"/>
                <w:lang w:val="uk-UA"/>
              </w:rPr>
              <w:t xml:space="preserve"> </w:t>
            </w:r>
            <w:r w:rsidRPr="00047479">
              <w:rPr>
                <w:rFonts w:asciiTheme="minorHAnsi" w:hAnsiTheme="minorHAnsi" w:cstheme="minorHAnsi"/>
                <w:spacing w:val="-2"/>
                <w:sz w:val="20"/>
                <w:szCs w:val="20"/>
                <w:lang w:val="uk-UA"/>
              </w:rPr>
              <w:t>(123–2317)</w:t>
            </w:r>
          </w:p>
        </w:tc>
      </w:tr>
      <w:tr w:rsidR="00E05B98" w:rsidRPr="00047479" w14:paraId="669C3732" w14:textId="77777777" w:rsidTr="00047479">
        <w:trPr>
          <w:trHeight w:val="544"/>
        </w:trPr>
        <w:tc>
          <w:tcPr>
            <w:tcW w:w="1417" w:type="dxa"/>
            <w:tcBorders>
              <w:top w:val="single" w:sz="6" w:space="0" w:color="019648"/>
              <w:left w:val="nil"/>
              <w:bottom w:val="nil"/>
              <w:right w:val="nil"/>
            </w:tcBorders>
          </w:tcPr>
          <w:p w14:paraId="0E153CC3" w14:textId="3F03E65F" w:rsidR="00E05B98" w:rsidRPr="00047479" w:rsidRDefault="00CE6220" w:rsidP="00FA5D0C">
            <w:pPr>
              <w:pStyle w:val="TableParagraph"/>
              <w:spacing w:before="75"/>
              <w:ind w:right="138"/>
              <w:rPr>
                <w:rFonts w:asciiTheme="minorHAnsi" w:hAnsiTheme="minorHAnsi" w:cstheme="minorHAnsi"/>
                <w:b/>
                <w:sz w:val="20"/>
                <w:szCs w:val="20"/>
                <w:lang w:val="uk-UA"/>
              </w:rPr>
            </w:pPr>
            <w:r w:rsidRPr="00047479">
              <w:rPr>
                <w:rFonts w:asciiTheme="minorHAnsi" w:hAnsiTheme="minorHAnsi" w:cstheme="minorHAnsi"/>
                <w:b/>
                <w:spacing w:val="-2"/>
                <w:sz w:val="20"/>
                <w:szCs w:val="20"/>
                <w:lang w:val="uk-UA"/>
              </w:rPr>
              <w:t>Філіппіни</w:t>
            </w:r>
          </w:p>
        </w:tc>
        <w:tc>
          <w:tcPr>
            <w:tcW w:w="2778" w:type="dxa"/>
            <w:tcBorders>
              <w:top w:val="single" w:sz="6" w:space="0" w:color="019648"/>
              <w:left w:val="nil"/>
              <w:bottom w:val="single" w:sz="6" w:space="0" w:color="019648"/>
              <w:right w:val="nil"/>
            </w:tcBorders>
          </w:tcPr>
          <w:p w14:paraId="5FC8B864" w14:textId="7A3AB91B" w:rsidR="00E05B98" w:rsidRPr="00047479" w:rsidRDefault="00820C2D" w:rsidP="00FA5D0C">
            <w:pPr>
              <w:pStyle w:val="TableParagraph"/>
              <w:spacing w:line="249" w:lineRule="auto"/>
              <w:ind w:right="138"/>
              <w:rPr>
                <w:rFonts w:asciiTheme="minorHAnsi" w:hAnsiTheme="minorHAnsi" w:cstheme="minorHAnsi"/>
                <w:sz w:val="20"/>
                <w:szCs w:val="20"/>
                <w:lang w:val="uk-UA"/>
              </w:rPr>
            </w:pPr>
            <w:r w:rsidRPr="00047479">
              <w:rPr>
                <w:rFonts w:asciiTheme="minorHAnsi" w:hAnsiTheme="minorHAnsi" w:cstheme="minorHAnsi"/>
                <w:spacing w:val="-2"/>
                <w:sz w:val="20"/>
                <w:szCs w:val="20"/>
                <w:lang w:val="uk-UA"/>
              </w:rPr>
              <w:t>аТАНК-НС на зразку з дихальних шляхів</w:t>
            </w:r>
          </w:p>
        </w:tc>
        <w:tc>
          <w:tcPr>
            <w:tcW w:w="1304" w:type="dxa"/>
            <w:gridSpan w:val="2"/>
            <w:tcBorders>
              <w:top w:val="single" w:sz="6" w:space="0" w:color="019648"/>
              <w:left w:val="nil"/>
              <w:bottom w:val="single" w:sz="6" w:space="0" w:color="019648"/>
              <w:right w:val="nil"/>
            </w:tcBorders>
          </w:tcPr>
          <w:p w14:paraId="3256ACF8" w14:textId="77777777" w:rsidR="00E05B98" w:rsidRPr="00047479" w:rsidRDefault="00B01E0C" w:rsidP="00FA5D0C">
            <w:pPr>
              <w:pStyle w:val="TableParagraph"/>
              <w:ind w:left="20" w:right="138"/>
              <w:jc w:val="center"/>
              <w:rPr>
                <w:rFonts w:asciiTheme="minorHAnsi" w:hAnsiTheme="minorHAnsi" w:cstheme="minorHAnsi"/>
                <w:sz w:val="20"/>
                <w:szCs w:val="20"/>
                <w:lang w:val="uk-UA"/>
              </w:rPr>
            </w:pPr>
            <w:r w:rsidRPr="00047479">
              <w:rPr>
                <w:rFonts w:asciiTheme="minorHAnsi" w:hAnsiTheme="minorHAnsi" w:cstheme="minorHAnsi"/>
                <w:spacing w:val="-5"/>
                <w:w w:val="105"/>
                <w:sz w:val="20"/>
                <w:szCs w:val="20"/>
                <w:lang w:val="uk-UA"/>
              </w:rPr>
              <w:t>84</w:t>
            </w:r>
          </w:p>
        </w:tc>
        <w:tc>
          <w:tcPr>
            <w:tcW w:w="1701" w:type="dxa"/>
            <w:gridSpan w:val="2"/>
            <w:tcBorders>
              <w:top w:val="single" w:sz="6" w:space="0" w:color="019648"/>
              <w:left w:val="nil"/>
              <w:bottom w:val="single" w:sz="6" w:space="0" w:color="019648"/>
              <w:right w:val="nil"/>
            </w:tcBorders>
          </w:tcPr>
          <w:p w14:paraId="42367B5D" w14:textId="77777777" w:rsidR="00E05B98" w:rsidRPr="00047479" w:rsidRDefault="00B01E0C" w:rsidP="00FA5D0C">
            <w:pPr>
              <w:pStyle w:val="TableParagraph"/>
              <w:ind w:left="20" w:right="138"/>
              <w:jc w:val="center"/>
              <w:rPr>
                <w:rFonts w:asciiTheme="minorHAnsi" w:hAnsiTheme="minorHAnsi" w:cstheme="minorHAnsi"/>
                <w:sz w:val="20"/>
                <w:szCs w:val="20"/>
                <w:lang w:val="uk-UA"/>
              </w:rPr>
            </w:pPr>
            <w:r w:rsidRPr="00047479">
              <w:rPr>
                <w:rFonts w:asciiTheme="minorHAnsi" w:hAnsiTheme="minorHAnsi" w:cstheme="minorHAnsi"/>
                <w:spacing w:val="-4"/>
                <w:sz w:val="20"/>
                <w:szCs w:val="20"/>
                <w:lang w:val="uk-UA"/>
              </w:rPr>
              <w:t>1.04</w:t>
            </w:r>
          </w:p>
        </w:tc>
        <w:tc>
          <w:tcPr>
            <w:tcW w:w="2409" w:type="dxa"/>
            <w:gridSpan w:val="2"/>
            <w:tcBorders>
              <w:top w:val="single" w:sz="6" w:space="0" w:color="019648"/>
              <w:left w:val="nil"/>
              <w:bottom w:val="single" w:sz="6" w:space="0" w:color="019648"/>
              <w:right w:val="nil"/>
            </w:tcBorders>
          </w:tcPr>
          <w:p w14:paraId="3F276D63" w14:textId="06AE93CF" w:rsidR="00E05B98" w:rsidRPr="00047479" w:rsidRDefault="00047479" w:rsidP="00047479">
            <w:pPr>
              <w:pStyle w:val="TableParagraph"/>
              <w:ind w:left="281" w:right="138"/>
              <w:rPr>
                <w:rFonts w:asciiTheme="minorHAnsi" w:hAnsiTheme="minorHAnsi" w:cstheme="minorHAnsi"/>
                <w:sz w:val="20"/>
                <w:szCs w:val="20"/>
              </w:rPr>
            </w:pPr>
            <w:r w:rsidRPr="00047479">
              <w:rPr>
                <w:rFonts w:asciiTheme="minorHAnsi" w:hAnsiTheme="minorHAnsi" w:cstheme="minorHAnsi"/>
                <w:spacing w:val="-2"/>
                <w:sz w:val="20"/>
                <w:szCs w:val="20"/>
                <w:lang w:val="uk-UA"/>
              </w:rPr>
              <w:t>Референтне значення</w:t>
            </w:r>
          </w:p>
        </w:tc>
      </w:tr>
      <w:tr w:rsidR="00E05B98" w:rsidRPr="00047479" w14:paraId="2B372012" w14:textId="77777777" w:rsidTr="00047479">
        <w:trPr>
          <w:trHeight w:val="552"/>
        </w:trPr>
        <w:tc>
          <w:tcPr>
            <w:tcW w:w="1417" w:type="dxa"/>
            <w:tcBorders>
              <w:top w:val="nil"/>
              <w:left w:val="nil"/>
              <w:bottom w:val="single" w:sz="6" w:space="0" w:color="019648"/>
              <w:right w:val="nil"/>
            </w:tcBorders>
          </w:tcPr>
          <w:p w14:paraId="11FE56E7" w14:textId="77777777" w:rsidR="00E05B98" w:rsidRPr="00047479" w:rsidRDefault="00E05B98" w:rsidP="00FA5D0C">
            <w:pPr>
              <w:pStyle w:val="TableParagraph"/>
              <w:spacing w:before="0"/>
              <w:ind w:left="0" w:right="138"/>
              <w:rPr>
                <w:rFonts w:asciiTheme="minorHAnsi" w:hAnsiTheme="minorHAnsi" w:cstheme="minorHAnsi"/>
                <w:sz w:val="20"/>
                <w:szCs w:val="20"/>
                <w:lang w:val="uk-UA"/>
              </w:rPr>
            </w:pPr>
          </w:p>
        </w:tc>
        <w:tc>
          <w:tcPr>
            <w:tcW w:w="2778" w:type="dxa"/>
            <w:tcBorders>
              <w:top w:val="single" w:sz="6" w:space="0" w:color="019648"/>
              <w:left w:val="nil"/>
              <w:bottom w:val="single" w:sz="6" w:space="0" w:color="019648"/>
              <w:right w:val="nil"/>
            </w:tcBorders>
          </w:tcPr>
          <w:p w14:paraId="6558984F" w14:textId="0E19ED25" w:rsidR="00E05B98" w:rsidRPr="00047479" w:rsidRDefault="00820C2D" w:rsidP="00FA5D0C">
            <w:pPr>
              <w:pStyle w:val="TableParagraph"/>
              <w:spacing w:line="249" w:lineRule="auto"/>
              <w:ind w:right="138"/>
              <w:rPr>
                <w:rFonts w:asciiTheme="minorHAnsi" w:hAnsiTheme="minorHAnsi" w:cstheme="minorHAnsi"/>
                <w:sz w:val="20"/>
                <w:szCs w:val="20"/>
                <w:lang w:val="uk-UA"/>
              </w:rPr>
            </w:pPr>
            <w:r w:rsidRPr="00047479">
              <w:rPr>
                <w:rFonts w:asciiTheme="minorHAnsi" w:hAnsiTheme="minorHAnsi" w:cstheme="minorHAnsi"/>
                <w:spacing w:val="-2"/>
                <w:sz w:val="20"/>
                <w:szCs w:val="20"/>
                <w:lang w:val="uk-UA"/>
              </w:rPr>
              <w:t>аТАНК-НС на зразку з дихальних шляхів та калу</w:t>
            </w:r>
          </w:p>
        </w:tc>
        <w:tc>
          <w:tcPr>
            <w:tcW w:w="1304" w:type="dxa"/>
            <w:gridSpan w:val="2"/>
            <w:tcBorders>
              <w:top w:val="single" w:sz="6" w:space="0" w:color="019648"/>
              <w:left w:val="nil"/>
              <w:bottom w:val="single" w:sz="6" w:space="0" w:color="019648"/>
              <w:right w:val="nil"/>
            </w:tcBorders>
          </w:tcPr>
          <w:p w14:paraId="12D7F7FA" w14:textId="77777777" w:rsidR="00E05B98" w:rsidRPr="00047479" w:rsidRDefault="00B01E0C" w:rsidP="00FA5D0C">
            <w:pPr>
              <w:pStyle w:val="TableParagraph"/>
              <w:ind w:left="20" w:right="138"/>
              <w:jc w:val="center"/>
              <w:rPr>
                <w:rFonts w:asciiTheme="minorHAnsi" w:hAnsiTheme="minorHAnsi" w:cstheme="minorHAnsi"/>
                <w:sz w:val="20"/>
                <w:szCs w:val="20"/>
                <w:lang w:val="uk-UA"/>
              </w:rPr>
            </w:pPr>
            <w:r w:rsidRPr="00047479">
              <w:rPr>
                <w:rFonts w:asciiTheme="minorHAnsi" w:hAnsiTheme="minorHAnsi" w:cstheme="minorHAnsi"/>
                <w:spacing w:val="-5"/>
                <w:w w:val="105"/>
                <w:sz w:val="20"/>
                <w:szCs w:val="20"/>
                <w:lang w:val="uk-UA"/>
              </w:rPr>
              <w:t>149</w:t>
            </w:r>
          </w:p>
        </w:tc>
        <w:tc>
          <w:tcPr>
            <w:tcW w:w="1701" w:type="dxa"/>
            <w:gridSpan w:val="2"/>
            <w:tcBorders>
              <w:top w:val="single" w:sz="6" w:space="0" w:color="019648"/>
              <w:left w:val="nil"/>
              <w:bottom w:val="single" w:sz="6" w:space="0" w:color="019648"/>
              <w:right w:val="nil"/>
            </w:tcBorders>
          </w:tcPr>
          <w:p w14:paraId="0250ED2B" w14:textId="77777777" w:rsidR="00E05B98" w:rsidRPr="00047479" w:rsidRDefault="00B01E0C" w:rsidP="00FA5D0C">
            <w:pPr>
              <w:pStyle w:val="TableParagraph"/>
              <w:ind w:left="20" w:right="138"/>
              <w:jc w:val="center"/>
              <w:rPr>
                <w:rFonts w:asciiTheme="minorHAnsi" w:hAnsiTheme="minorHAnsi" w:cstheme="minorHAnsi"/>
                <w:sz w:val="20"/>
                <w:szCs w:val="20"/>
                <w:lang w:val="uk-UA"/>
              </w:rPr>
            </w:pPr>
            <w:r w:rsidRPr="00047479">
              <w:rPr>
                <w:rFonts w:asciiTheme="minorHAnsi" w:hAnsiTheme="minorHAnsi" w:cstheme="minorHAnsi"/>
                <w:spacing w:val="-4"/>
                <w:sz w:val="20"/>
                <w:szCs w:val="20"/>
                <w:lang w:val="uk-UA"/>
              </w:rPr>
              <w:t>0.62</w:t>
            </w:r>
          </w:p>
        </w:tc>
        <w:tc>
          <w:tcPr>
            <w:tcW w:w="2409" w:type="dxa"/>
            <w:gridSpan w:val="2"/>
            <w:tcBorders>
              <w:top w:val="single" w:sz="6" w:space="0" w:color="019648"/>
              <w:left w:val="nil"/>
              <w:bottom w:val="single" w:sz="6" w:space="0" w:color="019648"/>
              <w:right w:val="nil"/>
            </w:tcBorders>
          </w:tcPr>
          <w:p w14:paraId="75A738B3" w14:textId="77777777" w:rsidR="00E05B98" w:rsidRPr="00047479" w:rsidRDefault="00B01E0C" w:rsidP="00047479">
            <w:pPr>
              <w:pStyle w:val="TableParagraph"/>
              <w:ind w:left="281" w:right="138"/>
              <w:rPr>
                <w:rFonts w:asciiTheme="minorHAnsi" w:hAnsiTheme="minorHAnsi" w:cstheme="minorHAnsi"/>
                <w:sz w:val="20"/>
                <w:szCs w:val="20"/>
                <w:lang w:val="uk-UA"/>
              </w:rPr>
            </w:pPr>
            <w:r w:rsidRPr="00047479">
              <w:rPr>
                <w:rFonts w:asciiTheme="minorHAnsi" w:hAnsiTheme="minorHAnsi" w:cstheme="minorHAnsi"/>
                <w:sz w:val="20"/>
                <w:szCs w:val="20"/>
                <w:lang w:val="uk-UA"/>
              </w:rPr>
              <w:t>156</w:t>
            </w:r>
            <w:r w:rsidRPr="00047479">
              <w:rPr>
                <w:rFonts w:asciiTheme="minorHAnsi" w:hAnsiTheme="minorHAnsi" w:cstheme="minorHAnsi"/>
                <w:spacing w:val="3"/>
                <w:sz w:val="20"/>
                <w:szCs w:val="20"/>
                <w:lang w:val="uk-UA"/>
              </w:rPr>
              <w:t xml:space="preserve"> </w:t>
            </w:r>
            <w:r w:rsidRPr="00047479">
              <w:rPr>
                <w:rFonts w:asciiTheme="minorHAnsi" w:hAnsiTheme="minorHAnsi" w:cstheme="minorHAnsi"/>
                <w:spacing w:val="-2"/>
                <w:sz w:val="20"/>
                <w:szCs w:val="20"/>
                <w:lang w:val="uk-UA"/>
              </w:rPr>
              <w:t>(79–888)</w:t>
            </w:r>
          </w:p>
        </w:tc>
      </w:tr>
    </w:tbl>
    <w:p w14:paraId="7CD61273" w14:textId="107E42A0" w:rsidR="00E05B98" w:rsidRPr="00820C2D" w:rsidRDefault="000969EA" w:rsidP="00FA5D0C">
      <w:pPr>
        <w:spacing w:before="257" w:line="254" w:lineRule="auto"/>
        <w:ind w:left="567" w:right="138"/>
        <w:rPr>
          <w:sz w:val="16"/>
          <w:szCs w:val="16"/>
          <w:lang w:val="uk-UA"/>
        </w:rPr>
      </w:pPr>
      <w:r w:rsidRPr="00820C2D">
        <w:rPr>
          <w:sz w:val="16"/>
          <w:szCs w:val="16"/>
          <w:lang w:val="uk-UA"/>
        </w:rPr>
        <w:t>аТАНК-НС: автоматизований тест ампліфікаці</w:t>
      </w:r>
      <w:r>
        <w:rPr>
          <w:sz w:val="16"/>
          <w:szCs w:val="16"/>
          <w:lang w:val="uk-UA"/>
        </w:rPr>
        <w:t>ї</w:t>
      </w:r>
      <w:r w:rsidRPr="00820C2D">
        <w:rPr>
          <w:sz w:val="16"/>
          <w:szCs w:val="16"/>
          <w:lang w:val="uk-UA"/>
        </w:rPr>
        <w:t xml:space="preserve"> нуклеїнових кислот низької складності;</w:t>
      </w:r>
      <w:r>
        <w:rPr>
          <w:sz w:val="16"/>
          <w:szCs w:val="16"/>
          <w:lang w:val="uk-UA"/>
        </w:rPr>
        <w:t xml:space="preserve"> </w:t>
      </w:r>
      <w:r w:rsidR="00820C2D" w:rsidRPr="00820C2D">
        <w:rPr>
          <w:sz w:val="16"/>
          <w:szCs w:val="16"/>
          <w:lang w:val="uk-UA"/>
        </w:rPr>
        <w:t xml:space="preserve">DALY: рік життя з поправкою </w:t>
      </w:r>
      <w:r w:rsidR="00820C2D" w:rsidRPr="00231780">
        <w:rPr>
          <w:sz w:val="16"/>
          <w:szCs w:val="16"/>
          <w:lang w:val="uk-UA"/>
        </w:rPr>
        <w:t xml:space="preserve">на непрацездатність; ICER: </w:t>
      </w:r>
      <w:r w:rsidR="00F15A11" w:rsidRPr="00231780">
        <w:rPr>
          <w:sz w:val="16"/>
          <w:szCs w:val="16"/>
          <w:lang w:val="uk-UA"/>
        </w:rPr>
        <w:t>інк</w:t>
      </w:r>
      <w:r w:rsidR="00F15A11">
        <w:rPr>
          <w:sz w:val="16"/>
          <w:szCs w:val="16"/>
          <w:lang w:val="uk-UA"/>
        </w:rPr>
        <w:t xml:space="preserve">рементний </w:t>
      </w:r>
      <w:r w:rsidR="00820C2D" w:rsidRPr="00820C2D">
        <w:rPr>
          <w:sz w:val="16"/>
          <w:szCs w:val="16"/>
          <w:lang w:val="uk-UA"/>
        </w:rPr>
        <w:t>коефіцієнт ефективності</w:t>
      </w:r>
      <w:r w:rsidR="00F15A11">
        <w:rPr>
          <w:sz w:val="16"/>
          <w:szCs w:val="16"/>
          <w:lang w:val="uk-UA"/>
        </w:rPr>
        <w:t xml:space="preserve"> витрат</w:t>
      </w:r>
      <w:r w:rsidR="00820C2D" w:rsidRPr="00820C2D">
        <w:rPr>
          <w:sz w:val="16"/>
          <w:szCs w:val="16"/>
          <w:lang w:val="uk-UA"/>
        </w:rPr>
        <w:t>; UR: діапазон невизначеності.</w:t>
      </w:r>
    </w:p>
    <w:p w14:paraId="3B8EC3A8" w14:textId="77777777" w:rsidR="00E05B98" w:rsidRPr="00551235" w:rsidRDefault="00E05B98" w:rsidP="00FA5D0C">
      <w:pPr>
        <w:pStyle w:val="a3"/>
        <w:spacing w:before="137"/>
        <w:ind w:right="138"/>
        <w:rPr>
          <w:sz w:val="16"/>
          <w:szCs w:val="16"/>
          <w:lang w:val="uk-UA"/>
        </w:rPr>
      </w:pPr>
    </w:p>
    <w:p w14:paraId="6EF4E3DD" w14:textId="5F65BA8A" w:rsidR="00E05B98" w:rsidRPr="00820C2D" w:rsidRDefault="00820C2D" w:rsidP="00551235">
      <w:pPr>
        <w:pStyle w:val="a3"/>
        <w:spacing w:line="269" w:lineRule="auto"/>
        <w:ind w:left="567" w:right="136"/>
        <w:jc w:val="both"/>
        <w:rPr>
          <w:rFonts w:ascii="Arial" w:hAnsi="Arial"/>
          <w:b/>
          <w:sz w:val="20"/>
          <w:szCs w:val="20"/>
          <w:lang w:val="uk-UA"/>
        </w:rPr>
      </w:pPr>
      <w:r w:rsidRPr="00820C2D">
        <w:rPr>
          <w:sz w:val="20"/>
          <w:szCs w:val="20"/>
          <w:lang w:val="uk-UA"/>
        </w:rPr>
        <w:t xml:space="preserve">Більше інформації про аналіз економічної ефективності одночасного використання тестів у дітей див. </w:t>
      </w:r>
      <w:r w:rsidRPr="00820C2D">
        <w:rPr>
          <w:b/>
          <w:bCs/>
          <w:sz w:val="20"/>
          <w:szCs w:val="20"/>
          <w:lang w:val="uk-UA"/>
        </w:rPr>
        <w:t>у веб-додатку B.9</w:t>
      </w:r>
      <w:r w:rsidRPr="00820C2D">
        <w:rPr>
          <w:sz w:val="20"/>
          <w:szCs w:val="20"/>
          <w:lang w:val="uk-UA"/>
        </w:rPr>
        <w:t>.</w:t>
      </w:r>
    </w:p>
    <w:p w14:paraId="43D67B56" w14:textId="54F87673" w:rsidR="00E05B98" w:rsidRPr="003C6DAE" w:rsidRDefault="003672BE" w:rsidP="00551235">
      <w:pPr>
        <w:pStyle w:val="5"/>
        <w:spacing w:before="200" w:line="269" w:lineRule="auto"/>
        <w:rPr>
          <w:lang w:val="uk-UA"/>
        </w:rPr>
      </w:pPr>
      <w:r>
        <w:rPr>
          <w:color w:val="019648"/>
          <w:spacing w:val="-2"/>
          <w:lang w:val="uk-UA"/>
        </w:rPr>
        <w:t>Точка зору користувача</w:t>
      </w:r>
    </w:p>
    <w:p w14:paraId="16467B5F" w14:textId="33B20EAE" w:rsidR="00E05B98" w:rsidRPr="00820C2D" w:rsidRDefault="003672BE" w:rsidP="00551235">
      <w:pPr>
        <w:pStyle w:val="a3"/>
        <w:spacing w:before="218" w:line="269" w:lineRule="auto"/>
        <w:ind w:left="567"/>
        <w:jc w:val="both"/>
        <w:rPr>
          <w:sz w:val="20"/>
          <w:szCs w:val="20"/>
          <w:lang w:val="uk-UA"/>
        </w:rPr>
      </w:pPr>
      <w:r w:rsidRPr="003672BE">
        <w:rPr>
          <w:spacing w:val="-4"/>
          <w:sz w:val="20"/>
          <w:szCs w:val="20"/>
          <w:lang w:val="uk-UA"/>
        </w:rPr>
        <w:t xml:space="preserve">ГРН </w:t>
      </w:r>
      <w:r w:rsidR="005A7875" w:rsidRPr="003672BE">
        <w:rPr>
          <w:spacing w:val="-4"/>
          <w:sz w:val="20"/>
          <w:szCs w:val="20"/>
          <w:lang w:val="uk-UA"/>
        </w:rPr>
        <w:t>проводила</w:t>
      </w:r>
      <w:r w:rsidRPr="003672BE">
        <w:rPr>
          <w:spacing w:val="-4"/>
          <w:sz w:val="20"/>
          <w:szCs w:val="20"/>
          <w:lang w:val="uk-UA"/>
        </w:rPr>
        <w:t xml:space="preserve"> оцінку того, чи підвищить діагностичну значимість одночасне тестування кількох зразків (тобто користь для пацієнтів або програми </w:t>
      </w:r>
      <w:r w:rsidR="00DC7817">
        <w:rPr>
          <w:spacing w:val="-4"/>
          <w:sz w:val="20"/>
          <w:szCs w:val="20"/>
          <w:lang w:val="uk-UA"/>
        </w:rPr>
        <w:t>з точки зору</w:t>
      </w:r>
      <w:r w:rsidRPr="003672BE">
        <w:rPr>
          <w:spacing w:val="-4"/>
          <w:sz w:val="20"/>
          <w:szCs w:val="20"/>
          <w:lang w:val="uk-UA"/>
        </w:rPr>
        <w:t xml:space="preserve"> виявлення більшої кількості людей з ТБ). Одне з питань PICO стосувалося одночасного використання тестів аТАНК-НС на зразках із дихальних шляхів та калу для діагностики ТБ у дітей.</w:t>
      </w:r>
    </w:p>
    <w:p w14:paraId="28F798EC" w14:textId="1B1B354E" w:rsidR="00E05B98" w:rsidRPr="00F83DA9" w:rsidRDefault="003672BE" w:rsidP="00551235">
      <w:pPr>
        <w:pStyle w:val="5"/>
        <w:spacing w:before="203" w:line="269" w:lineRule="auto"/>
        <w:rPr>
          <w:sz w:val="26"/>
          <w:szCs w:val="26"/>
          <w:lang w:val="uk-UA"/>
        </w:rPr>
      </w:pPr>
      <w:r w:rsidRPr="00F83DA9">
        <w:rPr>
          <w:color w:val="019648"/>
          <w:sz w:val="26"/>
          <w:szCs w:val="26"/>
          <w:lang w:val="uk-UA"/>
        </w:rPr>
        <w:t>Уподобання та цінності користувача</w:t>
      </w:r>
    </w:p>
    <w:p w14:paraId="3DB24C0F" w14:textId="495C56CF" w:rsidR="00E05B98" w:rsidRPr="003672BE" w:rsidRDefault="003672BE" w:rsidP="00551235">
      <w:pPr>
        <w:pStyle w:val="a3"/>
        <w:spacing w:before="188" w:line="269" w:lineRule="auto"/>
        <w:ind w:left="567"/>
        <w:jc w:val="both"/>
        <w:rPr>
          <w:sz w:val="20"/>
          <w:szCs w:val="20"/>
          <w:lang w:val="uk-UA"/>
        </w:rPr>
      </w:pPr>
      <w:r w:rsidRPr="003672BE">
        <w:rPr>
          <w:sz w:val="20"/>
          <w:szCs w:val="20"/>
          <w:lang w:val="uk-UA"/>
        </w:rPr>
        <w:t>Люди в країнах з високим тягарем захворювання на ТБ, в якості важливих результатів цінують:</w:t>
      </w:r>
    </w:p>
    <w:p w14:paraId="4B63C680" w14:textId="67641DE7" w:rsidR="003672BE" w:rsidRPr="003672BE" w:rsidRDefault="003672BE" w:rsidP="004A2937">
      <w:pPr>
        <w:pStyle w:val="a4"/>
        <w:numPr>
          <w:ilvl w:val="0"/>
          <w:numId w:val="20"/>
        </w:numPr>
        <w:tabs>
          <w:tab w:val="left" w:pos="850"/>
        </w:tabs>
        <w:spacing w:line="269" w:lineRule="auto"/>
        <w:rPr>
          <w:sz w:val="20"/>
          <w:szCs w:val="20"/>
          <w:lang w:val="uk-UA"/>
        </w:rPr>
      </w:pPr>
      <w:r w:rsidRPr="003672BE">
        <w:rPr>
          <w:sz w:val="20"/>
          <w:szCs w:val="20"/>
          <w:lang w:val="uk-UA"/>
        </w:rPr>
        <w:t>встановлення точного діагнозу та досягнення завершення діагностики (нарешті усвідом</w:t>
      </w:r>
      <w:r w:rsidR="00F83DA9">
        <w:rPr>
          <w:sz w:val="20"/>
          <w:szCs w:val="20"/>
          <w:lang w:val="uk-UA"/>
        </w:rPr>
        <w:t>ити</w:t>
      </w:r>
      <w:r w:rsidRPr="003672BE">
        <w:rPr>
          <w:sz w:val="20"/>
          <w:szCs w:val="20"/>
          <w:lang w:val="uk-UA"/>
        </w:rPr>
        <w:t xml:space="preserve"> </w:t>
      </w:r>
      <w:r w:rsidR="00F83DA9">
        <w:rPr>
          <w:sz w:val="20"/>
          <w:szCs w:val="20"/>
          <w:lang w:val="uk-UA"/>
        </w:rPr>
        <w:t>те</w:t>
      </w:r>
      <w:r w:rsidRPr="003672BE">
        <w:rPr>
          <w:sz w:val="20"/>
          <w:szCs w:val="20"/>
          <w:lang w:val="uk-UA"/>
        </w:rPr>
        <w:t>, «що зі мною не так»);</w:t>
      </w:r>
    </w:p>
    <w:p w14:paraId="4DC309AC" w14:textId="4E99A840" w:rsidR="003672BE" w:rsidRPr="003672BE" w:rsidRDefault="003672BE" w:rsidP="004A2937">
      <w:pPr>
        <w:pStyle w:val="a4"/>
        <w:numPr>
          <w:ilvl w:val="0"/>
          <w:numId w:val="20"/>
        </w:numPr>
        <w:tabs>
          <w:tab w:val="left" w:pos="850"/>
        </w:tabs>
        <w:spacing w:line="269" w:lineRule="auto"/>
        <w:rPr>
          <w:sz w:val="20"/>
          <w:szCs w:val="20"/>
          <w:lang w:val="uk-UA"/>
        </w:rPr>
      </w:pPr>
      <w:r w:rsidRPr="003672BE">
        <w:rPr>
          <w:sz w:val="20"/>
          <w:szCs w:val="20"/>
          <w:lang w:val="uk-UA"/>
        </w:rPr>
        <w:t>уникнення затримок проведення діагностики, оскільки вони посилюють існуючі фінансові труднощі, емоційні та фізичні страждання та змушують людей відчувати провину за зараження інших (особливо дітей);</w:t>
      </w:r>
    </w:p>
    <w:p w14:paraId="4E56EEEA" w14:textId="77D87B8F" w:rsidR="003672BE" w:rsidRPr="002B0686" w:rsidRDefault="003672BE" w:rsidP="004A2937">
      <w:pPr>
        <w:pStyle w:val="a4"/>
        <w:numPr>
          <w:ilvl w:val="0"/>
          <w:numId w:val="20"/>
        </w:numPr>
        <w:tabs>
          <w:tab w:val="left" w:pos="850"/>
        </w:tabs>
        <w:spacing w:line="269" w:lineRule="auto"/>
        <w:rPr>
          <w:sz w:val="20"/>
          <w:szCs w:val="20"/>
          <w:lang w:val="uk-UA"/>
        </w:rPr>
      </w:pPr>
      <w:r w:rsidRPr="002B0686">
        <w:rPr>
          <w:sz w:val="20"/>
          <w:szCs w:val="20"/>
          <w:lang w:val="uk-UA"/>
        </w:rPr>
        <w:t>наявність доступних закладів;   та</w:t>
      </w:r>
    </w:p>
    <w:p w14:paraId="07F9A5C1" w14:textId="2DDA30A5" w:rsidR="00E05B98" w:rsidRPr="003672BE" w:rsidRDefault="003672BE" w:rsidP="004A2937">
      <w:pPr>
        <w:pStyle w:val="a4"/>
        <w:numPr>
          <w:ilvl w:val="0"/>
          <w:numId w:val="20"/>
        </w:numPr>
        <w:tabs>
          <w:tab w:val="left" w:pos="850"/>
        </w:tabs>
        <w:spacing w:line="269" w:lineRule="auto"/>
        <w:rPr>
          <w:sz w:val="20"/>
          <w:szCs w:val="20"/>
          <w:lang w:val="uk-UA"/>
        </w:rPr>
      </w:pPr>
      <w:r w:rsidRPr="003672BE">
        <w:rPr>
          <w:sz w:val="20"/>
          <w:szCs w:val="20"/>
          <w:lang w:val="uk-UA"/>
        </w:rPr>
        <w:t xml:space="preserve">зменшення </w:t>
      </w:r>
      <w:r w:rsidR="00F83DA9">
        <w:rPr>
          <w:sz w:val="20"/>
          <w:szCs w:val="20"/>
          <w:lang w:val="uk-UA"/>
        </w:rPr>
        <w:t>за</w:t>
      </w:r>
      <w:r w:rsidRPr="003672BE">
        <w:rPr>
          <w:sz w:val="20"/>
          <w:szCs w:val="20"/>
          <w:lang w:val="uk-UA"/>
        </w:rPr>
        <w:t>трат, пов’язаних з діагностикою (наприклад, транспортні витрати, відсутність на роботі).</w:t>
      </w:r>
    </w:p>
    <w:p w14:paraId="0F589C35" w14:textId="77777777" w:rsidR="00E05B98" w:rsidRPr="00551235" w:rsidRDefault="00E05B98" w:rsidP="00551235">
      <w:pPr>
        <w:pStyle w:val="a3"/>
        <w:spacing w:before="39" w:line="269" w:lineRule="auto"/>
        <w:jc w:val="both"/>
        <w:rPr>
          <w:sz w:val="16"/>
          <w:szCs w:val="16"/>
          <w:lang w:val="uk-UA"/>
        </w:rPr>
      </w:pPr>
    </w:p>
    <w:p w14:paraId="556D4E7B" w14:textId="64CDA41D" w:rsidR="00E05B98" w:rsidRPr="003C6DAE" w:rsidRDefault="00551235" w:rsidP="00551235">
      <w:pPr>
        <w:pStyle w:val="a3"/>
        <w:spacing w:line="269" w:lineRule="auto"/>
        <w:ind w:left="567"/>
        <w:jc w:val="both"/>
        <w:rPr>
          <w:lang w:val="uk-UA"/>
        </w:rPr>
      </w:pPr>
      <w:r w:rsidRPr="00551235">
        <w:rPr>
          <w:sz w:val="20"/>
          <w:szCs w:val="20"/>
          <w:lang w:val="uk-UA"/>
        </w:rPr>
        <w:t xml:space="preserve">Учасники визнають, що збір калу є набагато менш інвазивним способом, ніж промивання шлунка, і таким чином може зменшити фізичні та емоційні страждання дітей та їхніх батьків (див. </w:t>
      </w:r>
      <w:r w:rsidRPr="00551235">
        <w:rPr>
          <w:b/>
          <w:bCs/>
          <w:sz w:val="20"/>
          <w:szCs w:val="20"/>
          <w:lang w:val="uk-UA"/>
        </w:rPr>
        <w:t>веб-додаток B.10</w:t>
      </w:r>
      <w:r w:rsidRPr="00551235">
        <w:rPr>
          <w:sz w:val="20"/>
          <w:szCs w:val="20"/>
          <w:lang w:val="uk-UA"/>
        </w:rPr>
        <w:t>).</w:t>
      </w:r>
    </w:p>
    <w:p w14:paraId="5D68AB7C" w14:textId="699BC249" w:rsidR="00E05B98" w:rsidRPr="00F83DA9" w:rsidRDefault="00551235" w:rsidP="00551235">
      <w:pPr>
        <w:pStyle w:val="5"/>
        <w:spacing w:before="199" w:line="269" w:lineRule="auto"/>
        <w:rPr>
          <w:sz w:val="26"/>
          <w:szCs w:val="26"/>
          <w:lang w:val="uk-UA"/>
        </w:rPr>
      </w:pPr>
      <w:r w:rsidRPr="00F83DA9">
        <w:rPr>
          <w:color w:val="019648"/>
          <w:spacing w:val="-2"/>
          <w:w w:val="110"/>
          <w:sz w:val="26"/>
          <w:szCs w:val="26"/>
          <w:lang w:val="uk-UA"/>
        </w:rPr>
        <w:t xml:space="preserve">Справедливість </w:t>
      </w:r>
    </w:p>
    <w:p w14:paraId="138795FB" w14:textId="6EF967FE" w:rsidR="00E05B98" w:rsidRPr="00551235" w:rsidRDefault="00551235" w:rsidP="00551235">
      <w:pPr>
        <w:pStyle w:val="a3"/>
        <w:spacing w:before="218" w:line="269" w:lineRule="auto"/>
        <w:ind w:left="567"/>
        <w:jc w:val="both"/>
        <w:rPr>
          <w:sz w:val="20"/>
          <w:szCs w:val="20"/>
          <w:lang w:val="uk-UA"/>
        </w:rPr>
      </w:pPr>
      <w:r w:rsidRPr="00551235">
        <w:rPr>
          <w:sz w:val="20"/>
          <w:szCs w:val="20"/>
          <w:lang w:val="uk-UA"/>
        </w:rPr>
        <w:t>Одночасне тестування зразків не практикувалося у країнах, в яких проводили дослідження шляхом інтерв'ю. Однак вважалося, що це покращує доступ до медичної допомоги, зводячи до мінімуму повторні візити та втрати контакту з пацієнтом для подальшого спостереження.</w:t>
      </w:r>
    </w:p>
    <w:p w14:paraId="18F72EEF" w14:textId="33ABCC86" w:rsidR="00E05B98" w:rsidRDefault="00551235" w:rsidP="00551235">
      <w:pPr>
        <w:pStyle w:val="a3"/>
        <w:spacing w:before="52" w:line="269" w:lineRule="auto"/>
        <w:ind w:left="567"/>
        <w:jc w:val="both"/>
        <w:rPr>
          <w:w w:val="105"/>
          <w:sz w:val="20"/>
          <w:szCs w:val="20"/>
          <w:lang w:val="uk-UA"/>
        </w:rPr>
      </w:pPr>
      <w:r w:rsidRPr="00551235">
        <w:rPr>
          <w:sz w:val="20"/>
          <w:szCs w:val="20"/>
          <w:lang w:val="uk-UA"/>
        </w:rPr>
        <w:t xml:space="preserve">За словами респондентів в рамках дослідження, використання зразків, що не містять мокротиння, потенційно може покращити доступ до послуг медичної допомоги, особливо за умови проведення тесту на всіх рівнях системи охорони здоров'я. </w:t>
      </w:r>
      <w:r w:rsidRPr="002B0686">
        <w:rPr>
          <w:sz w:val="20"/>
          <w:szCs w:val="20"/>
          <w:lang w:val="uk-UA"/>
        </w:rPr>
        <w:t>Проблеми</w:t>
      </w:r>
      <w:r w:rsidR="00F83DA9" w:rsidRPr="002B0686">
        <w:rPr>
          <w:sz w:val="20"/>
          <w:szCs w:val="20"/>
          <w:lang w:val="uk-UA"/>
        </w:rPr>
        <w:t>, пов’язані</w:t>
      </w:r>
      <w:r w:rsidRPr="002B0686">
        <w:rPr>
          <w:sz w:val="20"/>
          <w:szCs w:val="20"/>
          <w:lang w:val="uk-UA"/>
        </w:rPr>
        <w:t xml:space="preserve"> з отриманням </w:t>
      </w:r>
      <w:r w:rsidR="00505664" w:rsidRPr="002B0686">
        <w:rPr>
          <w:sz w:val="20"/>
          <w:szCs w:val="20"/>
          <w:lang w:val="uk-UA"/>
        </w:rPr>
        <w:t>зразка мокротиння відповідної</w:t>
      </w:r>
      <w:r w:rsidRPr="002B0686">
        <w:rPr>
          <w:sz w:val="20"/>
          <w:szCs w:val="20"/>
          <w:lang w:val="uk-UA"/>
        </w:rPr>
        <w:t xml:space="preserve"> якості та </w:t>
      </w:r>
      <w:r w:rsidR="00505664" w:rsidRPr="002B0686">
        <w:rPr>
          <w:sz w:val="20"/>
          <w:szCs w:val="20"/>
          <w:lang w:val="uk-UA"/>
        </w:rPr>
        <w:t xml:space="preserve">в достатній </w:t>
      </w:r>
      <w:r w:rsidRPr="002B0686">
        <w:rPr>
          <w:sz w:val="20"/>
          <w:szCs w:val="20"/>
          <w:lang w:val="uk-UA"/>
        </w:rPr>
        <w:t>кількості</w:t>
      </w:r>
      <w:r w:rsidR="00F83DA9" w:rsidRPr="002B0686">
        <w:rPr>
          <w:sz w:val="20"/>
          <w:szCs w:val="20"/>
          <w:lang w:val="uk-UA"/>
        </w:rPr>
        <w:t>,</w:t>
      </w:r>
      <w:r w:rsidRPr="002B0686">
        <w:rPr>
          <w:sz w:val="20"/>
          <w:szCs w:val="20"/>
          <w:lang w:val="uk-UA"/>
        </w:rPr>
        <w:t xml:space="preserve"> добре задокументовані та можуть призвести до повторного тестування або отримання хибних результатів</w:t>
      </w:r>
      <w:r w:rsidR="00B01E0C" w:rsidRPr="002B0686">
        <w:rPr>
          <w:w w:val="105"/>
          <w:sz w:val="20"/>
          <w:szCs w:val="20"/>
          <w:lang w:val="uk-UA"/>
        </w:rPr>
        <w:t>.</w:t>
      </w:r>
    </w:p>
    <w:p w14:paraId="71C4F338" w14:textId="77777777" w:rsidR="00F83DA9" w:rsidRDefault="00F83DA9" w:rsidP="00551235">
      <w:pPr>
        <w:pStyle w:val="a3"/>
        <w:spacing w:before="52" w:line="269" w:lineRule="auto"/>
        <w:ind w:left="567"/>
        <w:jc w:val="both"/>
        <w:rPr>
          <w:w w:val="105"/>
          <w:sz w:val="20"/>
          <w:szCs w:val="20"/>
          <w:lang w:val="uk-UA"/>
        </w:rPr>
      </w:pPr>
    </w:p>
    <w:p w14:paraId="249864C0" w14:textId="77777777" w:rsidR="00F83DA9" w:rsidRPr="003C6DAE" w:rsidRDefault="00F83DA9" w:rsidP="00551235">
      <w:pPr>
        <w:pStyle w:val="a3"/>
        <w:spacing w:before="52" w:line="269" w:lineRule="auto"/>
        <w:ind w:left="567"/>
        <w:jc w:val="both"/>
        <w:rPr>
          <w:lang w:val="uk-UA"/>
        </w:rPr>
      </w:pPr>
    </w:p>
    <w:p w14:paraId="5DD055DF" w14:textId="75B9D40B" w:rsidR="00E05B98" w:rsidRPr="00F83DA9" w:rsidRDefault="008A1B07">
      <w:pPr>
        <w:pStyle w:val="5"/>
        <w:spacing w:before="200"/>
        <w:rPr>
          <w:sz w:val="26"/>
          <w:szCs w:val="26"/>
          <w:lang w:val="uk-UA"/>
        </w:rPr>
      </w:pPr>
      <w:r w:rsidRPr="00F83DA9">
        <w:rPr>
          <w:color w:val="019648"/>
          <w:spacing w:val="-2"/>
          <w:w w:val="115"/>
          <w:sz w:val="26"/>
          <w:szCs w:val="26"/>
          <w:lang w:val="uk-UA"/>
        </w:rPr>
        <w:lastRenderedPageBreak/>
        <w:t>Прийнятність</w:t>
      </w:r>
    </w:p>
    <w:p w14:paraId="1C7B3E0E" w14:textId="055DF11F" w:rsidR="00E05B98" w:rsidRPr="008A1B07" w:rsidRDefault="00D87979">
      <w:pPr>
        <w:pStyle w:val="a3"/>
        <w:spacing w:before="219" w:line="297" w:lineRule="auto"/>
        <w:ind w:left="567" w:right="133"/>
        <w:jc w:val="both"/>
        <w:rPr>
          <w:sz w:val="20"/>
          <w:szCs w:val="20"/>
          <w:lang w:val="uk-UA"/>
        </w:rPr>
      </w:pPr>
      <w:r w:rsidRPr="00D87979">
        <w:rPr>
          <w:sz w:val="20"/>
          <w:szCs w:val="20"/>
          <w:lang w:val="uk-UA"/>
        </w:rPr>
        <w:t>Більшість учасників дослідження, в тому числі медичні працівники та особи, які здійснюють догляд, не відразу зрозуміли, чому під час одного візиту потрібно брати кілька зразків одночасно, якщо у доступі є зразок із дихальних шляхів. Вони підкреслили, що зразок мокротинн</w:t>
      </w:r>
      <w:r w:rsidR="00F83DA9">
        <w:rPr>
          <w:sz w:val="20"/>
          <w:szCs w:val="20"/>
          <w:lang w:val="uk-UA"/>
        </w:rPr>
        <w:t>я</w:t>
      </w:r>
      <w:r w:rsidRPr="00D87979">
        <w:rPr>
          <w:sz w:val="20"/>
          <w:szCs w:val="20"/>
          <w:lang w:val="uk-UA"/>
        </w:rPr>
        <w:t xml:space="preserve"> є кращим вибором, і що вони будуть збирати другий за якістю зразок лише в тому випадку, якщо його не буде в наявності. Однак учасники також вважали, що одночасне тестування зразків може бути можливим за наявності рекомендації ВООЗ, змінених діагностичних алгоритмів та спеціального навчання і зміцнення потенціалу для сприяння цьому процесу (див. </w:t>
      </w:r>
      <w:r w:rsidRPr="00D87979">
        <w:rPr>
          <w:b/>
          <w:bCs/>
          <w:sz w:val="20"/>
          <w:szCs w:val="20"/>
          <w:lang w:val="uk-UA"/>
        </w:rPr>
        <w:t>веб-додаток B.10</w:t>
      </w:r>
      <w:r w:rsidRPr="00D87979">
        <w:rPr>
          <w:sz w:val="20"/>
          <w:szCs w:val="20"/>
          <w:lang w:val="uk-UA"/>
        </w:rPr>
        <w:t>).</w:t>
      </w:r>
    </w:p>
    <w:p w14:paraId="3F086418" w14:textId="0A9A9F93" w:rsidR="00E05B98" w:rsidRPr="003C6DAE" w:rsidRDefault="00D87979">
      <w:pPr>
        <w:pStyle w:val="a3"/>
        <w:spacing w:before="169" w:line="297" w:lineRule="auto"/>
        <w:ind w:left="567" w:right="140"/>
        <w:jc w:val="both"/>
        <w:rPr>
          <w:lang w:val="uk-UA"/>
        </w:rPr>
      </w:pPr>
      <w:r w:rsidRPr="00D87979">
        <w:rPr>
          <w:spacing w:val="-4"/>
          <w:sz w:val="20"/>
          <w:szCs w:val="20"/>
          <w:lang w:val="uk-UA"/>
        </w:rPr>
        <w:t xml:space="preserve">Для маленьких дітей стул здається прийнятним зразком, особливо після відповідного навчання щодо його обробки. Стул дорослих вважається більш складним як з точки зору </w:t>
      </w:r>
      <w:r w:rsidR="00F04DC9">
        <w:rPr>
          <w:spacing w:val="-4"/>
          <w:sz w:val="20"/>
          <w:szCs w:val="20"/>
          <w:lang w:val="uk-UA"/>
        </w:rPr>
        <w:t>прийнятності зразка</w:t>
      </w:r>
      <w:r w:rsidRPr="00D87979">
        <w:rPr>
          <w:spacing w:val="-4"/>
          <w:sz w:val="20"/>
          <w:szCs w:val="20"/>
          <w:lang w:val="uk-UA"/>
        </w:rPr>
        <w:t xml:space="preserve">, так і з точки зору часу його обробки. Загалом, учасники були впевнені в результатах аналізу калу за допомогою GeneXpert (див. </w:t>
      </w:r>
      <w:r w:rsidRPr="00D87979">
        <w:rPr>
          <w:b/>
          <w:bCs/>
          <w:spacing w:val="-4"/>
          <w:sz w:val="20"/>
          <w:szCs w:val="20"/>
          <w:lang w:val="uk-UA"/>
        </w:rPr>
        <w:t>веб-додаток B.10</w:t>
      </w:r>
      <w:r w:rsidRPr="00D87979">
        <w:rPr>
          <w:spacing w:val="-4"/>
          <w:sz w:val="20"/>
          <w:szCs w:val="20"/>
          <w:lang w:val="uk-UA"/>
        </w:rPr>
        <w:t>).</w:t>
      </w:r>
    </w:p>
    <w:p w14:paraId="3FF4D1B9" w14:textId="3E4C4163" w:rsidR="00E05B98" w:rsidRPr="00F04DC9" w:rsidRDefault="00D87979">
      <w:pPr>
        <w:pStyle w:val="5"/>
        <w:spacing w:before="197"/>
        <w:rPr>
          <w:sz w:val="26"/>
          <w:szCs w:val="26"/>
          <w:lang w:val="uk-UA"/>
        </w:rPr>
      </w:pPr>
      <w:r w:rsidRPr="00F04DC9">
        <w:rPr>
          <w:color w:val="019648"/>
          <w:spacing w:val="-2"/>
          <w:w w:val="110"/>
          <w:sz w:val="26"/>
          <w:szCs w:val="26"/>
          <w:lang w:val="uk-UA"/>
        </w:rPr>
        <w:t>Можливість реалізації</w:t>
      </w:r>
    </w:p>
    <w:p w14:paraId="2E1E7A5A" w14:textId="1F55A8B0" w:rsidR="00E05B98" w:rsidRPr="008A1B07" w:rsidRDefault="00D87979">
      <w:pPr>
        <w:pStyle w:val="a3"/>
        <w:spacing w:before="219" w:line="295" w:lineRule="auto"/>
        <w:ind w:left="567" w:right="148"/>
        <w:jc w:val="both"/>
        <w:rPr>
          <w:sz w:val="20"/>
          <w:szCs w:val="20"/>
          <w:lang w:val="uk-UA"/>
        </w:rPr>
      </w:pPr>
      <w:r w:rsidRPr="00D87979">
        <w:rPr>
          <w:spacing w:val="-2"/>
          <w:sz w:val="20"/>
          <w:szCs w:val="20"/>
          <w:lang w:val="uk-UA"/>
        </w:rPr>
        <w:t>Важливі проблеми</w:t>
      </w:r>
      <w:r w:rsidR="002974B2">
        <w:rPr>
          <w:spacing w:val="-2"/>
          <w:sz w:val="20"/>
          <w:szCs w:val="20"/>
          <w:lang w:val="uk-UA"/>
        </w:rPr>
        <w:t>, з якими стикаються при</w:t>
      </w:r>
      <w:r w:rsidRPr="00D87979">
        <w:rPr>
          <w:spacing w:val="-2"/>
          <w:sz w:val="20"/>
          <w:szCs w:val="20"/>
          <w:lang w:val="uk-UA"/>
        </w:rPr>
        <w:t xml:space="preserve"> реалізації </w:t>
      </w:r>
      <w:r w:rsidR="002974B2">
        <w:rPr>
          <w:spacing w:val="-2"/>
          <w:sz w:val="20"/>
          <w:szCs w:val="20"/>
          <w:lang w:val="uk-UA"/>
        </w:rPr>
        <w:t xml:space="preserve">тестування </w:t>
      </w:r>
      <w:r w:rsidRPr="00D87979">
        <w:rPr>
          <w:spacing w:val="-2"/>
          <w:sz w:val="20"/>
          <w:szCs w:val="20"/>
          <w:lang w:val="uk-UA"/>
        </w:rPr>
        <w:t>зразку стула</w:t>
      </w:r>
      <w:r w:rsidR="002974B2">
        <w:rPr>
          <w:spacing w:val="-2"/>
          <w:sz w:val="20"/>
          <w:szCs w:val="20"/>
          <w:lang w:val="uk-UA"/>
        </w:rPr>
        <w:t>,</w:t>
      </w:r>
      <w:r w:rsidRPr="00D87979">
        <w:rPr>
          <w:spacing w:val="-2"/>
          <w:sz w:val="20"/>
          <w:szCs w:val="20"/>
          <w:lang w:val="uk-UA"/>
        </w:rPr>
        <w:t xml:space="preserve"> пов'язані з погіршенням якості стула, спричиненим затримкою </w:t>
      </w:r>
      <w:r w:rsidR="002974B2">
        <w:rPr>
          <w:spacing w:val="-2"/>
          <w:sz w:val="20"/>
          <w:szCs w:val="20"/>
          <w:lang w:val="uk-UA"/>
        </w:rPr>
        <w:t>від</w:t>
      </w:r>
      <w:r w:rsidRPr="00D87979">
        <w:rPr>
          <w:spacing w:val="-2"/>
          <w:sz w:val="20"/>
          <w:szCs w:val="20"/>
          <w:lang w:val="uk-UA"/>
        </w:rPr>
        <w:t xml:space="preserve"> час</w:t>
      </w:r>
      <w:r w:rsidR="002974B2">
        <w:rPr>
          <w:spacing w:val="-2"/>
          <w:sz w:val="20"/>
          <w:szCs w:val="20"/>
          <w:lang w:val="uk-UA"/>
        </w:rPr>
        <w:t>у</w:t>
      </w:r>
      <w:r w:rsidRPr="00D87979">
        <w:rPr>
          <w:spacing w:val="-2"/>
          <w:sz w:val="20"/>
          <w:szCs w:val="20"/>
          <w:lang w:val="uk-UA"/>
        </w:rPr>
        <w:t xml:space="preserve"> його збору та час</w:t>
      </w:r>
      <w:r w:rsidR="002974B2">
        <w:rPr>
          <w:spacing w:val="-2"/>
          <w:sz w:val="20"/>
          <w:szCs w:val="20"/>
          <w:lang w:val="uk-UA"/>
        </w:rPr>
        <w:t>у</w:t>
      </w:r>
      <w:r w:rsidRPr="00D87979">
        <w:rPr>
          <w:spacing w:val="-2"/>
          <w:sz w:val="20"/>
          <w:szCs w:val="20"/>
          <w:lang w:val="uk-UA"/>
        </w:rPr>
        <w:t xml:space="preserve"> обробки в лабораторії (див. </w:t>
      </w:r>
      <w:r w:rsidRPr="00D87979">
        <w:rPr>
          <w:b/>
          <w:bCs/>
          <w:spacing w:val="-2"/>
          <w:sz w:val="20"/>
          <w:szCs w:val="20"/>
          <w:lang w:val="uk-UA"/>
        </w:rPr>
        <w:t>веб-додаток B.10</w:t>
      </w:r>
      <w:r w:rsidRPr="00D87979">
        <w:rPr>
          <w:spacing w:val="-2"/>
          <w:sz w:val="20"/>
          <w:szCs w:val="20"/>
          <w:lang w:val="uk-UA"/>
        </w:rPr>
        <w:t>).</w:t>
      </w:r>
    </w:p>
    <w:p w14:paraId="6248A7DC" w14:textId="0F2C16FD" w:rsidR="00E05B98" w:rsidRPr="008A1B07" w:rsidRDefault="005A54B2">
      <w:pPr>
        <w:pStyle w:val="a3"/>
        <w:spacing w:before="172" w:line="297" w:lineRule="auto"/>
        <w:ind w:left="567" w:right="135"/>
        <w:jc w:val="both"/>
        <w:rPr>
          <w:sz w:val="20"/>
          <w:szCs w:val="20"/>
          <w:lang w:val="uk-UA"/>
        </w:rPr>
      </w:pPr>
      <w:r w:rsidRPr="005A54B2">
        <w:rPr>
          <w:w w:val="105"/>
          <w:sz w:val="20"/>
          <w:szCs w:val="20"/>
          <w:lang w:val="uk-UA"/>
        </w:rPr>
        <w:t>Одночасне тестування кількох зразків має бути представлен</w:t>
      </w:r>
      <w:r w:rsidR="002974B2">
        <w:rPr>
          <w:w w:val="105"/>
          <w:sz w:val="20"/>
          <w:szCs w:val="20"/>
          <w:lang w:val="uk-UA"/>
        </w:rPr>
        <w:t>о</w:t>
      </w:r>
      <w:r w:rsidRPr="005A54B2">
        <w:rPr>
          <w:w w:val="105"/>
          <w:sz w:val="20"/>
          <w:szCs w:val="20"/>
          <w:lang w:val="uk-UA"/>
        </w:rPr>
        <w:t xml:space="preserve"> як більш ефективний спосіб роботи (тобто тестування двох зразків одночасно під час одного візиту, замість тестування одного зразка під час кожного з двох окремих візитів), який також дозволяє розширити доступ і зменшити витрати для пацієнтів. Практику одночасного тестування слід сформулювати як таку, що приносить достатню користь, щоб виправдати додаткове короткострокове робоче навантаження, і має потенціал для зменшення робочого навантаження в довгостроковій перспективі. Без такого підходу існує ризик того, що і без </w:t>
      </w:r>
      <w:r w:rsidR="002974B2">
        <w:rPr>
          <w:w w:val="105"/>
          <w:sz w:val="20"/>
          <w:szCs w:val="20"/>
          <w:lang w:val="uk-UA"/>
        </w:rPr>
        <w:t>цього</w:t>
      </w:r>
      <w:r w:rsidRPr="005A54B2">
        <w:rPr>
          <w:w w:val="105"/>
          <w:sz w:val="20"/>
          <w:szCs w:val="20"/>
          <w:lang w:val="uk-UA"/>
        </w:rPr>
        <w:t xml:space="preserve"> перевантажені роботою медичні працівники уникатимуть проведення одночасного тестування (див. </w:t>
      </w:r>
      <w:r w:rsidRPr="005A54B2">
        <w:rPr>
          <w:b/>
          <w:bCs/>
          <w:w w:val="105"/>
          <w:sz w:val="20"/>
          <w:szCs w:val="20"/>
          <w:lang w:val="uk-UA"/>
        </w:rPr>
        <w:t>веб-додаток B.10</w:t>
      </w:r>
      <w:r w:rsidRPr="005A54B2">
        <w:rPr>
          <w:w w:val="105"/>
          <w:sz w:val="20"/>
          <w:szCs w:val="20"/>
          <w:lang w:val="uk-UA"/>
        </w:rPr>
        <w:t>).</w:t>
      </w:r>
    </w:p>
    <w:p w14:paraId="185C829C" w14:textId="3B1FA697" w:rsidR="00E05B98" w:rsidRPr="008A1B07" w:rsidRDefault="005A54B2" w:rsidP="005A54B2">
      <w:pPr>
        <w:pStyle w:val="a3"/>
        <w:spacing w:before="174" w:line="298" w:lineRule="auto"/>
        <w:ind w:left="567" w:right="136"/>
        <w:jc w:val="both"/>
        <w:rPr>
          <w:sz w:val="20"/>
          <w:szCs w:val="20"/>
          <w:lang w:val="uk-UA"/>
        </w:rPr>
      </w:pPr>
      <w:r w:rsidRPr="005A54B2">
        <w:rPr>
          <w:sz w:val="20"/>
          <w:szCs w:val="20"/>
          <w:lang w:val="uk-UA"/>
        </w:rPr>
        <w:t>Надані попередні інвестиції в передові технології, уподобання донорів, обмежене мислення стосовно систем охорони здоров'я та непотрібна конкуренція між виробниками - все це створює проблеми для прийняття політики та впровадження нових методів молекулярної діагностики. Крім того, національні оцінки медичних технологій та економічної ефективності можуть відтермінувати прийняття рішень щодо реалізації новітніх технологій і стратегій у сфері діагностики з використанням різних зразків (див.</w:t>
      </w:r>
      <w:r w:rsidRPr="005A54B2">
        <w:rPr>
          <w:b/>
          <w:bCs/>
          <w:sz w:val="20"/>
          <w:szCs w:val="20"/>
          <w:lang w:val="uk-UA"/>
        </w:rPr>
        <w:t xml:space="preserve"> веб-додаток B.10</w:t>
      </w:r>
      <w:r w:rsidRPr="005A54B2">
        <w:rPr>
          <w:sz w:val="20"/>
          <w:szCs w:val="20"/>
          <w:lang w:val="uk-UA"/>
        </w:rPr>
        <w:t>).</w:t>
      </w:r>
    </w:p>
    <w:p w14:paraId="300B4C6D" w14:textId="0B5C2041" w:rsidR="00E05B98" w:rsidRPr="008A1B07" w:rsidRDefault="005A54B2">
      <w:pPr>
        <w:pStyle w:val="a3"/>
        <w:spacing w:before="171" w:line="295" w:lineRule="auto"/>
        <w:ind w:left="567" w:right="135"/>
        <w:jc w:val="both"/>
        <w:rPr>
          <w:rFonts w:ascii="Arial"/>
          <w:b/>
          <w:sz w:val="20"/>
          <w:szCs w:val="20"/>
          <w:lang w:val="uk-UA"/>
        </w:rPr>
      </w:pPr>
      <w:r w:rsidRPr="005A54B2">
        <w:rPr>
          <w:sz w:val="20"/>
          <w:szCs w:val="20"/>
          <w:lang w:val="uk-UA"/>
        </w:rPr>
        <w:t xml:space="preserve">Більше інформації про якісний аналіз та синтез доказів для одночасного використання тестів у дітей можна знайти у </w:t>
      </w:r>
      <w:r w:rsidRPr="005A54B2">
        <w:rPr>
          <w:b/>
          <w:bCs/>
          <w:sz w:val="20"/>
          <w:szCs w:val="20"/>
          <w:lang w:val="uk-UA"/>
        </w:rPr>
        <w:t>веб-додатку B.10</w:t>
      </w:r>
      <w:r w:rsidRPr="005A54B2">
        <w:rPr>
          <w:sz w:val="20"/>
          <w:szCs w:val="20"/>
          <w:lang w:val="uk-UA"/>
        </w:rPr>
        <w:t>.</w:t>
      </w:r>
    </w:p>
    <w:p w14:paraId="3C7FBC74" w14:textId="0372F681" w:rsidR="00E05B98" w:rsidRDefault="005A54B2">
      <w:pPr>
        <w:pStyle w:val="5"/>
        <w:spacing w:before="200"/>
        <w:rPr>
          <w:color w:val="019648"/>
          <w:w w:val="110"/>
          <w:sz w:val="26"/>
          <w:szCs w:val="26"/>
          <w:lang w:val="uk-UA"/>
        </w:rPr>
      </w:pPr>
      <w:r w:rsidRPr="002974B2">
        <w:rPr>
          <w:color w:val="019648"/>
          <w:w w:val="110"/>
          <w:sz w:val="26"/>
          <w:szCs w:val="26"/>
          <w:lang w:val="uk-UA"/>
        </w:rPr>
        <w:t xml:space="preserve">Міркування щодо </w:t>
      </w:r>
      <w:r w:rsidR="00634275">
        <w:rPr>
          <w:color w:val="019648"/>
          <w:w w:val="110"/>
          <w:sz w:val="26"/>
          <w:szCs w:val="26"/>
          <w:lang w:val="uk-UA"/>
        </w:rPr>
        <w:t>реалізації</w:t>
      </w:r>
    </w:p>
    <w:p w14:paraId="62039B7A" w14:textId="77777777" w:rsidR="002974B2" w:rsidRPr="002974B2" w:rsidRDefault="002974B2">
      <w:pPr>
        <w:pStyle w:val="5"/>
        <w:spacing w:before="200"/>
        <w:rPr>
          <w:sz w:val="4"/>
          <w:szCs w:val="4"/>
          <w:lang w:val="uk-UA"/>
        </w:rPr>
      </w:pPr>
    </w:p>
    <w:p w14:paraId="22B6D74C" w14:textId="235B7559" w:rsidR="005A54B2" w:rsidRPr="005A54B2" w:rsidRDefault="005A54B2" w:rsidP="004A2937">
      <w:pPr>
        <w:pStyle w:val="a4"/>
        <w:numPr>
          <w:ilvl w:val="0"/>
          <w:numId w:val="20"/>
        </w:numPr>
        <w:tabs>
          <w:tab w:val="left" w:pos="850"/>
        </w:tabs>
        <w:spacing w:before="4" w:line="288" w:lineRule="auto"/>
        <w:ind w:left="851" w:right="142"/>
        <w:rPr>
          <w:sz w:val="20"/>
          <w:szCs w:val="20"/>
          <w:lang w:val="uk-UA"/>
        </w:rPr>
      </w:pPr>
      <w:r w:rsidRPr="005A54B2">
        <w:rPr>
          <w:sz w:val="20"/>
          <w:szCs w:val="20"/>
          <w:lang w:val="uk-UA"/>
        </w:rPr>
        <w:t xml:space="preserve">Одночасне тестування кількох зразків максимально збільшує можливості діагностики та підвищує точність виявлення випадків, є більш ефективним способом задоволення потреб цієї групи населення, і </w:t>
      </w:r>
      <w:r w:rsidR="002974B2">
        <w:rPr>
          <w:sz w:val="20"/>
          <w:szCs w:val="20"/>
          <w:lang w:val="uk-UA"/>
        </w:rPr>
        <w:t>такому тестуванню</w:t>
      </w:r>
      <w:r w:rsidRPr="005A54B2">
        <w:rPr>
          <w:sz w:val="20"/>
          <w:szCs w:val="20"/>
          <w:lang w:val="uk-UA"/>
        </w:rPr>
        <w:t xml:space="preserve"> надається перевага, навіть якщо робоче навантаження для проведення тесту може збільшитися.</w:t>
      </w:r>
    </w:p>
    <w:p w14:paraId="00EA3DAF" w14:textId="027FA543" w:rsidR="00E05B98" w:rsidRPr="008A1B07" w:rsidRDefault="005A54B2" w:rsidP="004A2937">
      <w:pPr>
        <w:pStyle w:val="a4"/>
        <w:numPr>
          <w:ilvl w:val="0"/>
          <w:numId w:val="20"/>
        </w:numPr>
        <w:tabs>
          <w:tab w:val="left" w:pos="850"/>
        </w:tabs>
        <w:spacing w:before="4" w:line="288" w:lineRule="auto"/>
        <w:ind w:left="851" w:right="142"/>
        <w:rPr>
          <w:sz w:val="20"/>
          <w:szCs w:val="20"/>
          <w:lang w:val="uk-UA"/>
        </w:rPr>
      </w:pPr>
      <w:r w:rsidRPr="005A54B2">
        <w:rPr>
          <w:sz w:val="20"/>
          <w:szCs w:val="20"/>
          <w:lang w:val="uk-UA"/>
        </w:rPr>
        <w:t>Позитивний результат будь-якого з тестів є достатнім для підтвердження діагнозу ТБ</w:t>
      </w:r>
      <w:r>
        <w:rPr>
          <w:sz w:val="20"/>
          <w:szCs w:val="20"/>
          <w:lang w:val="uk-UA"/>
        </w:rPr>
        <w:t>.</w:t>
      </w:r>
    </w:p>
    <w:p w14:paraId="354D0C3C" w14:textId="459A6142" w:rsidR="00E05B98" w:rsidRPr="008A1B07" w:rsidRDefault="00CB17B7" w:rsidP="004A2937">
      <w:pPr>
        <w:pStyle w:val="a4"/>
        <w:numPr>
          <w:ilvl w:val="0"/>
          <w:numId w:val="20"/>
        </w:numPr>
        <w:tabs>
          <w:tab w:val="left" w:pos="850"/>
        </w:tabs>
        <w:spacing w:line="288" w:lineRule="auto"/>
        <w:ind w:left="851" w:right="142"/>
        <w:rPr>
          <w:sz w:val="20"/>
          <w:szCs w:val="20"/>
          <w:lang w:val="uk-UA"/>
        </w:rPr>
      </w:pPr>
      <w:r w:rsidRPr="00CB17B7">
        <w:rPr>
          <w:w w:val="105"/>
          <w:sz w:val="20"/>
          <w:szCs w:val="20"/>
          <w:lang w:val="uk-UA"/>
        </w:rPr>
        <w:t xml:space="preserve">Необхідно відстежувати та запобігати втраті контактів з пацієнтом для подальшого спостереження за результатами другого тесту. Пацієнтам слід надавати інформацію, щоб вони розуміли підхід до одночасного тестування кількох </w:t>
      </w:r>
      <w:r w:rsidR="005A7875" w:rsidRPr="00CB17B7">
        <w:rPr>
          <w:w w:val="105"/>
          <w:sz w:val="20"/>
          <w:szCs w:val="20"/>
          <w:lang w:val="uk-UA"/>
        </w:rPr>
        <w:t>зразків</w:t>
      </w:r>
      <w:r w:rsidRPr="00CB17B7">
        <w:rPr>
          <w:w w:val="105"/>
          <w:sz w:val="20"/>
          <w:szCs w:val="20"/>
          <w:lang w:val="uk-UA"/>
        </w:rPr>
        <w:t xml:space="preserve"> та необхідність подальшого спостереження.</w:t>
      </w:r>
    </w:p>
    <w:p w14:paraId="67DB3356" w14:textId="77777777" w:rsidR="00E05B98" w:rsidRPr="008A1B07" w:rsidRDefault="00E05B98" w:rsidP="008A1B07">
      <w:pPr>
        <w:pStyle w:val="a4"/>
        <w:spacing w:line="297" w:lineRule="auto"/>
        <w:ind w:right="140"/>
        <w:rPr>
          <w:sz w:val="20"/>
          <w:szCs w:val="20"/>
          <w:lang w:val="uk-UA"/>
        </w:rPr>
        <w:sectPr w:rsidR="00E05B98" w:rsidRPr="008A1B07" w:rsidSect="00551235">
          <w:pgSz w:w="11910" w:h="16840"/>
          <w:pgMar w:top="1134" w:right="995" w:bottom="760" w:left="850" w:header="0" w:footer="573" w:gutter="0"/>
          <w:cols w:space="720"/>
        </w:sectPr>
      </w:pPr>
    </w:p>
    <w:p w14:paraId="4DB00744" w14:textId="77777777" w:rsidR="00CB17B7" w:rsidRPr="00873A48" w:rsidRDefault="00CB17B7" w:rsidP="004A2937">
      <w:pPr>
        <w:pStyle w:val="a4"/>
        <w:numPr>
          <w:ilvl w:val="0"/>
          <w:numId w:val="20"/>
        </w:numPr>
        <w:tabs>
          <w:tab w:val="left" w:pos="850"/>
        </w:tabs>
        <w:spacing w:before="3" w:line="276" w:lineRule="auto"/>
        <w:ind w:right="139"/>
        <w:rPr>
          <w:sz w:val="20"/>
          <w:szCs w:val="20"/>
          <w:lang w:val="uk-UA"/>
        </w:rPr>
      </w:pPr>
      <w:r w:rsidRPr="00873A48">
        <w:rPr>
          <w:sz w:val="20"/>
          <w:szCs w:val="20"/>
          <w:lang w:val="uk-UA"/>
        </w:rPr>
        <w:lastRenderedPageBreak/>
        <w:t>Необхідно забезпечити можливості для проведення другого тесту, оскільки обсяги тестування зростатимуть.</w:t>
      </w:r>
    </w:p>
    <w:p w14:paraId="751395EA" w14:textId="42753033" w:rsidR="00CB17B7" w:rsidRPr="00873A48" w:rsidRDefault="00CB17B7" w:rsidP="004A2937">
      <w:pPr>
        <w:pStyle w:val="a4"/>
        <w:numPr>
          <w:ilvl w:val="0"/>
          <w:numId w:val="20"/>
        </w:numPr>
        <w:tabs>
          <w:tab w:val="left" w:pos="850"/>
        </w:tabs>
        <w:spacing w:before="3" w:line="276" w:lineRule="auto"/>
        <w:ind w:right="139"/>
        <w:rPr>
          <w:sz w:val="20"/>
          <w:szCs w:val="20"/>
          <w:lang w:val="uk-UA"/>
        </w:rPr>
      </w:pPr>
      <w:r w:rsidRPr="00873A48">
        <w:rPr>
          <w:sz w:val="20"/>
          <w:szCs w:val="20"/>
          <w:lang w:val="uk-UA"/>
        </w:rPr>
        <w:t>Для покращення відбору різних типів зразків та обробки відібраних зразків в лабораторії необхідно забезпечити наявність відповідного кадрового потенціалу та навчання працівників.</w:t>
      </w:r>
    </w:p>
    <w:p w14:paraId="632B6341" w14:textId="7F15196B" w:rsidR="00E05B98" w:rsidRPr="00873A48" w:rsidRDefault="00CB17B7" w:rsidP="004A2937">
      <w:pPr>
        <w:pStyle w:val="a4"/>
        <w:numPr>
          <w:ilvl w:val="0"/>
          <w:numId w:val="20"/>
        </w:numPr>
        <w:tabs>
          <w:tab w:val="left" w:pos="850"/>
        </w:tabs>
        <w:spacing w:before="3" w:line="276" w:lineRule="auto"/>
        <w:ind w:right="139"/>
        <w:rPr>
          <w:sz w:val="20"/>
          <w:szCs w:val="20"/>
          <w:lang w:val="uk-UA"/>
        </w:rPr>
      </w:pPr>
      <w:r w:rsidRPr="00873A48">
        <w:rPr>
          <w:sz w:val="20"/>
          <w:szCs w:val="20"/>
          <w:lang w:val="uk-UA"/>
        </w:rPr>
        <w:t>Виконання такого ж самого тесту на новому зразку може потребувати додаткового схвалення регуляторного органу на національному та міжнародному рівнях.</w:t>
      </w:r>
    </w:p>
    <w:p w14:paraId="64E8C274" w14:textId="58019F3F" w:rsidR="00873A48" w:rsidRPr="00873A48" w:rsidRDefault="00873A48" w:rsidP="004A2937">
      <w:pPr>
        <w:pStyle w:val="a4"/>
        <w:numPr>
          <w:ilvl w:val="0"/>
          <w:numId w:val="20"/>
        </w:numPr>
        <w:tabs>
          <w:tab w:val="left" w:pos="850"/>
        </w:tabs>
        <w:spacing w:line="276" w:lineRule="auto"/>
        <w:ind w:right="135"/>
        <w:rPr>
          <w:sz w:val="20"/>
          <w:szCs w:val="20"/>
          <w:lang w:val="uk-UA"/>
        </w:rPr>
      </w:pPr>
      <w:r w:rsidRPr="00873A48">
        <w:rPr>
          <w:sz w:val="20"/>
          <w:szCs w:val="20"/>
          <w:lang w:val="uk-UA"/>
        </w:rPr>
        <w:t xml:space="preserve">Необхідно створити інфраструктуру та провести навчання співробітників лабораторій щодо того, як збирати зразки калу </w:t>
      </w:r>
      <w:r w:rsidR="00FE4DF0">
        <w:rPr>
          <w:sz w:val="20"/>
          <w:szCs w:val="20"/>
          <w:lang w:val="uk-UA"/>
        </w:rPr>
        <w:t xml:space="preserve">з дотриманням вимог </w:t>
      </w:r>
      <w:r w:rsidRPr="00873A48">
        <w:rPr>
          <w:sz w:val="20"/>
          <w:szCs w:val="20"/>
          <w:lang w:val="uk-UA"/>
        </w:rPr>
        <w:t>приватно</w:t>
      </w:r>
      <w:r w:rsidR="00FE4DF0">
        <w:rPr>
          <w:sz w:val="20"/>
          <w:szCs w:val="20"/>
          <w:lang w:val="uk-UA"/>
        </w:rPr>
        <w:t>сті</w:t>
      </w:r>
      <w:r w:rsidRPr="00873A48">
        <w:rPr>
          <w:sz w:val="20"/>
          <w:szCs w:val="20"/>
          <w:lang w:val="uk-UA"/>
        </w:rPr>
        <w:t>.</w:t>
      </w:r>
    </w:p>
    <w:p w14:paraId="0F326653" w14:textId="4FDD66A0" w:rsidR="00E05B98" w:rsidRPr="00873A48" w:rsidRDefault="00873A48" w:rsidP="004A2937">
      <w:pPr>
        <w:pStyle w:val="a4"/>
        <w:numPr>
          <w:ilvl w:val="0"/>
          <w:numId w:val="20"/>
        </w:numPr>
        <w:tabs>
          <w:tab w:val="left" w:pos="850"/>
        </w:tabs>
        <w:spacing w:line="276" w:lineRule="auto"/>
        <w:ind w:right="135"/>
        <w:rPr>
          <w:sz w:val="20"/>
          <w:szCs w:val="20"/>
          <w:lang w:val="uk-UA"/>
        </w:rPr>
      </w:pPr>
      <w:r w:rsidRPr="00873A48">
        <w:rPr>
          <w:sz w:val="20"/>
          <w:szCs w:val="20"/>
          <w:lang w:val="uk-UA"/>
        </w:rPr>
        <w:t>Як і для всіх рекомендованих ВООЗ методів діагностики ТБ, необхідні програми забезпечення якості для обох типів зразків.</w:t>
      </w:r>
    </w:p>
    <w:p w14:paraId="1B8C3501" w14:textId="37C1840F" w:rsidR="00E05B98" w:rsidRPr="00873A48" w:rsidRDefault="00873A48" w:rsidP="004A2937">
      <w:pPr>
        <w:pStyle w:val="a4"/>
        <w:numPr>
          <w:ilvl w:val="0"/>
          <w:numId w:val="20"/>
        </w:numPr>
        <w:tabs>
          <w:tab w:val="left" w:pos="850"/>
        </w:tabs>
        <w:spacing w:before="3" w:line="276" w:lineRule="auto"/>
        <w:ind w:right="131"/>
        <w:rPr>
          <w:sz w:val="20"/>
          <w:szCs w:val="20"/>
          <w:lang w:val="uk-UA"/>
        </w:rPr>
      </w:pPr>
      <w:r w:rsidRPr="00873A48">
        <w:rPr>
          <w:sz w:val="20"/>
          <w:szCs w:val="20"/>
          <w:lang w:val="uk-UA"/>
        </w:rPr>
        <w:t>На рівні закладів первинної медико-санітарної допомоги, у разі недостатньої кількості</w:t>
      </w:r>
      <w:r w:rsidR="00FE4DF0">
        <w:rPr>
          <w:sz w:val="20"/>
          <w:szCs w:val="20"/>
          <w:lang w:val="uk-UA"/>
        </w:rPr>
        <w:t xml:space="preserve"> зразку</w:t>
      </w:r>
      <w:r w:rsidRPr="00873A48">
        <w:rPr>
          <w:sz w:val="20"/>
          <w:szCs w:val="20"/>
          <w:lang w:val="uk-UA"/>
        </w:rPr>
        <w:t xml:space="preserve"> мокротиння</w:t>
      </w:r>
      <w:r w:rsidR="00FE4DF0">
        <w:rPr>
          <w:sz w:val="20"/>
          <w:szCs w:val="20"/>
          <w:lang w:val="uk-UA"/>
        </w:rPr>
        <w:t xml:space="preserve"> чи його відсутності</w:t>
      </w:r>
      <w:r w:rsidRPr="00873A48">
        <w:rPr>
          <w:sz w:val="20"/>
          <w:szCs w:val="20"/>
          <w:lang w:val="uk-UA"/>
        </w:rPr>
        <w:t>, може бути доцільним проведення дослідження зразку калу та аспірату з носоглотки, тоді як збір більш інвазивних зразків (наприклад, індукованого мокротиння, БАЛ та шлункового аспірату) потребуватиме направлення на вищий рівень медичного закладу, залежно від можливостей та досвіду на місцевому рівні. За таких обставин може бути доцільним виконання аналізу калу на рівні закладу первинної медичної допомоги та дочекатися результату аналізу перед тим, як скерувати дитину до спеціаліста медичного закладу вищого рівня.</w:t>
      </w:r>
    </w:p>
    <w:p w14:paraId="6CDA1957" w14:textId="77777777" w:rsidR="00E05B98" w:rsidRPr="003C6DAE" w:rsidRDefault="00E05B98" w:rsidP="007174AC">
      <w:pPr>
        <w:pStyle w:val="a3"/>
        <w:spacing w:before="12" w:line="276" w:lineRule="auto"/>
        <w:rPr>
          <w:lang w:val="uk-UA"/>
        </w:rPr>
      </w:pPr>
    </w:p>
    <w:p w14:paraId="060AFE5E" w14:textId="7AFA1E63" w:rsidR="00E05B98" w:rsidRPr="00C70392" w:rsidRDefault="00873A48" w:rsidP="007174AC">
      <w:pPr>
        <w:pStyle w:val="5"/>
        <w:spacing w:line="276" w:lineRule="auto"/>
        <w:jc w:val="both"/>
        <w:rPr>
          <w:sz w:val="26"/>
          <w:szCs w:val="26"/>
          <w:lang w:val="uk-UA"/>
        </w:rPr>
      </w:pPr>
      <w:r w:rsidRPr="00C70392">
        <w:rPr>
          <w:color w:val="019648"/>
          <w:w w:val="110"/>
          <w:sz w:val="26"/>
          <w:szCs w:val="26"/>
          <w:lang w:val="uk-UA"/>
        </w:rPr>
        <w:t>Моніторинг  і оцінка</w:t>
      </w:r>
    </w:p>
    <w:p w14:paraId="26EC27EA" w14:textId="4A480A43" w:rsidR="00C70392" w:rsidRPr="00C70392" w:rsidRDefault="00C70392" w:rsidP="004A2937">
      <w:pPr>
        <w:pStyle w:val="a4"/>
        <w:numPr>
          <w:ilvl w:val="0"/>
          <w:numId w:val="20"/>
        </w:numPr>
        <w:tabs>
          <w:tab w:val="left" w:pos="850"/>
        </w:tabs>
        <w:spacing w:line="276" w:lineRule="auto"/>
        <w:rPr>
          <w:sz w:val="20"/>
          <w:szCs w:val="20"/>
          <w:lang w:val="uk-UA"/>
        </w:rPr>
      </w:pPr>
      <w:r w:rsidRPr="00C70392">
        <w:rPr>
          <w:sz w:val="20"/>
          <w:szCs w:val="20"/>
          <w:lang w:val="uk-UA"/>
        </w:rPr>
        <w:t xml:space="preserve">Здійснювати моніторинг одночасного збору зразків і часу очікування результатів тесту при використанні </w:t>
      </w:r>
      <w:r w:rsidR="00FE4DF0">
        <w:rPr>
          <w:sz w:val="20"/>
          <w:szCs w:val="20"/>
          <w:lang w:val="uk-UA"/>
        </w:rPr>
        <w:t>п</w:t>
      </w:r>
      <w:r w:rsidRPr="00C70392">
        <w:rPr>
          <w:sz w:val="20"/>
          <w:szCs w:val="20"/>
          <w:lang w:val="uk-UA"/>
        </w:rPr>
        <w:t>ідходу одночасного тестування  кількох зразків.</w:t>
      </w:r>
    </w:p>
    <w:p w14:paraId="4CC3F3AE" w14:textId="459E602A" w:rsidR="00C70392" w:rsidRPr="00C70392" w:rsidRDefault="00C70392" w:rsidP="004A2937">
      <w:pPr>
        <w:pStyle w:val="a4"/>
        <w:numPr>
          <w:ilvl w:val="0"/>
          <w:numId w:val="20"/>
        </w:numPr>
        <w:tabs>
          <w:tab w:val="left" w:pos="850"/>
        </w:tabs>
        <w:spacing w:line="276" w:lineRule="auto"/>
        <w:rPr>
          <w:sz w:val="20"/>
          <w:szCs w:val="20"/>
          <w:lang w:val="uk-UA"/>
        </w:rPr>
      </w:pPr>
      <w:r w:rsidRPr="00C70392">
        <w:rPr>
          <w:sz w:val="20"/>
          <w:szCs w:val="20"/>
          <w:lang w:val="uk-UA"/>
        </w:rPr>
        <w:t xml:space="preserve">Здійснювати моніторинг </w:t>
      </w:r>
      <w:r w:rsidR="00FE4DF0">
        <w:rPr>
          <w:sz w:val="20"/>
          <w:szCs w:val="20"/>
          <w:lang w:val="uk-UA"/>
        </w:rPr>
        <w:t xml:space="preserve">випадків </w:t>
      </w:r>
      <w:r w:rsidRPr="00C70392">
        <w:rPr>
          <w:sz w:val="20"/>
          <w:szCs w:val="20"/>
          <w:lang w:val="uk-UA"/>
        </w:rPr>
        <w:t>втрати контакту з пацієнтом для подальшого спостереження після проведення другого тесту при застосуванні підходу одночасного тестування кількох зразків.</w:t>
      </w:r>
    </w:p>
    <w:p w14:paraId="058CB9C8" w14:textId="1468327B" w:rsidR="00E05B98" w:rsidRPr="00873A48" w:rsidRDefault="00C70392" w:rsidP="004A2937">
      <w:pPr>
        <w:pStyle w:val="a4"/>
        <w:numPr>
          <w:ilvl w:val="0"/>
          <w:numId w:val="20"/>
        </w:numPr>
        <w:tabs>
          <w:tab w:val="left" w:pos="850"/>
        </w:tabs>
        <w:spacing w:line="276" w:lineRule="auto"/>
        <w:rPr>
          <w:sz w:val="20"/>
          <w:szCs w:val="20"/>
          <w:lang w:val="uk-UA"/>
        </w:rPr>
      </w:pPr>
      <w:r w:rsidRPr="00C70392">
        <w:rPr>
          <w:sz w:val="20"/>
          <w:szCs w:val="20"/>
          <w:lang w:val="uk-UA"/>
        </w:rPr>
        <w:t>Моніторити тенденції з точки зору частоти невизначених результатів аналізу для обох типів зразків за допомогою аТАНК-НС.</w:t>
      </w:r>
    </w:p>
    <w:p w14:paraId="02BFD812" w14:textId="523DF9C2" w:rsidR="00E05B98" w:rsidRPr="003C6DAE" w:rsidRDefault="00C70392" w:rsidP="004A2937">
      <w:pPr>
        <w:pStyle w:val="a4"/>
        <w:numPr>
          <w:ilvl w:val="0"/>
          <w:numId w:val="20"/>
        </w:numPr>
        <w:tabs>
          <w:tab w:val="left" w:pos="850"/>
        </w:tabs>
        <w:spacing w:line="276" w:lineRule="auto"/>
        <w:rPr>
          <w:lang w:val="uk-UA"/>
        </w:rPr>
      </w:pPr>
      <w:r w:rsidRPr="00C70392">
        <w:rPr>
          <w:sz w:val="20"/>
          <w:szCs w:val="20"/>
          <w:lang w:val="uk-UA"/>
        </w:rPr>
        <w:t xml:space="preserve">Відстежувати тенденції  </w:t>
      </w:r>
      <w:r w:rsidR="00FE4DF0">
        <w:rPr>
          <w:sz w:val="20"/>
          <w:szCs w:val="20"/>
          <w:lang w:val="uk-UA"/>
        </w:rPr>
        <w:t>в</w:t>
      </w:r>
      <w:r w:rsidRPr="00C70392">
        <w:rPr>
          <w:sz w:val="20"/>
          <w:szCs w:val="20"/>
          <w:lang w:val="uk-UA"/>
        </w:rPr>
        <w:t xml:space="preserve"> розбіжності між результатами аналізу зразку із дихальних шляхів і зразку калу за допомогою аТАНК-НС. Якщо ці розбіжності відрізняються від інших місцевих або регіональних показників, або якщо тенденції змінюються, необхідно провести подальше дослідження.</w:t>
      </w:r>
    </w:p>
    <w:p w14:paraId="14D0D6AD" w14:textId="77777777" w:rsidR="00E05B98" w:rsidRPr="003C6DAE" w:rsidRDefault="00E05B98" w:rsidP="007174AC">
      <w:pPr>
        <w:pStyle w:val="a3"/>
        <w:spacing w:before="9" w:line="276" w:lineRule="auto"/>
        <w:jc w:val="both"/>
        <w:rPr>
          <w:lang w:val="uk-UA"/>
        </w:rPr>
      </w:pPr>
    </w:p>
    <w:p w14:paraId="2AC85DCE" w14:textId="417418CC" w:rsidR="00E05B98" w:rsidRPr="00C70392" w:rsidRDefault="00C70392" w:rsidP="007174AC">
      <w:pPr>
        <w:pStyle w:val="5"/>
        <w:spacing w:line="276" w:lineRule="auto"/>
        <w:jc w:val="both"/>
        <w:rPr>
          <w:sz w:val="26"/>
          <w:szCs w:val="26"/>
          <w:lang w:val="uk-UA"/>
        </w:rPr>
      </w:pPr>
      <w:r w:rsidRPr="00C70392">
        <w:rPr>
          <w:color w:val="019648"/>
          <w:w w:val="95"/>
          <w:sz w:val="26"/>
          <w:szCs w:val="26"/>
          <w:lang w:val="uk-UA"/>
        </w:rPr>
        <w:t>Пріоритети дослідження</w:t>
      </w:r>
    </w:p>
    <w:p w14:paraId="533DF585" w14:textId="249995AD" w:rsidR="00C70392" w:rsidRPr="00C70392" w:rsidRDefault="00C70392" w:rsidP="004A2937">
      <w:pPr>
        <w:pStyle w:val="a4"/>
        <w:numPr>
          <w:ilvl w:val="0"/>
          <w:numId w:val="20"/>
        </w:numPr>
        <w:tabs>
          <w:tab w:val="left" w:pos="850"/>
        </w:tabs>
        <w:spacing w:before="3" w:line="276" w:lineRule="auto"/>
        <w:rPr>
          <w:w w:val="105"/>
          <w:sz w:val="20"/>
          <w:szCs w:val="20"/>
          <w:lang w:val="uk-UA"/>
        </w:rPr>
      </w:pPr>
      <w:r w:rsidRPr="00C70392">
        <w:rPr>
          <w:w w:val="105"/>
          <w:sz w:val="20"/>
          <w:szCs w:val="20"/>
          <w:lang w:val="uk-UA"/>
        </w:rPr>
        <w:t xml:space="preserve">Оцінити вплив одночасного тестування різних типів зразків на важливі для пацієнта результати </w:t>
      </w:r>
      <w:r w:rsidR="007174AC">
        <w:rPr>
          <w:w w:val="105"/>
          <w:sz w:val="20"/>
          <w:szCs w:val="20"/>
          <w:lang w:val="uk-UA"/>
        </w:rPr>
        <w:t>у</w:t>
      </w:r>
      <w:r w:rsidRPr="00C70392">
        <w:rPr>
          <w:w w:val="105"/>
          <w:sz w:val="20"/>
          <w:szCs w:val="20"/>
          <w:lang w:val="uk-UA"/>
        </w:rPr>
        <w:t xml:space="preserve"> дітей (вилікування, смертність, час постановки діагнозу та час початку лікування).</w:t>
      </w:r>
    </w:p>
    <w:p w14:paraId="0B00C7F6" w14:textId="218B6624" w:rsidR="00C70392" w:rsidRPr="00C70392" w:rsidRDefault="00C70392" w:rsidP="004A2937">
      <w:pPr>
        <w:pStyle w:val="a4"/>
        <w:numPr>
          <w:ilvl w:val="0"/>
          <w:numId w:val="20"/>
        </w:numPr>
        <w:tabs>
          <w:tab w:val="left" w:pos="850"/>
        </w:tabs>
        <w:spacing w:before="3" w:line="276" w:lineRule="auto"/>
        <w:rPr>
          <w:w w:val="105"/>
          <w:sz w:val="20"/>
          <w:szCs w:val="20"/>
          <w:lang w:val="uk-UA"/>
        </w:rPr>
      </w:pPr>
      <w:r w:rsidRPr="00C70392">
        <w:rPr>
          <w:w w:val="105"/>
          <w:sz w:val="20"/>
          <w:szCs w:val="20"/>
          <w:lang w:val="uk-UA"/>
        </w:rPr>
        <w:t>Оцінити вплив одночасного тестування різних типів зразків на економічну доступність та економічну ефективність у передбачуваних умовах використання.</w:t>
      </w:r>
    </w:p>
    <w:p w14:paraId="7F8BB63B" w14:textId="7B9B6088" w:rsidR="00E05B98" w:rsidRPr="00C70392" w:rsidRDefault="00C70392" w:rsidP="004A2937">
      <w:pPr>
        <w:pStyle w:val="a4"/>
        <w:numPr>
          <w:ilvl w:val="0"/>
          <w:numId w:val="20"/>
        </w:numPr>
        <w:tabs>
          <w:tab w:val="left" w:pos="850"/>
        </w:tabs>
        <w:spacing w:before="3" w:line="276" w:lineRule="auto"/>
        <w:rPr>
          <w:sz w:val="20"/>
          <w:szCs w:val="20"/>
          <w:lang w:val="uk-UA"/>
        </w:rPr>
      </w:pPr>
      <w:r w:rsidRPr="00C70392">
        <w:rPr>
          <w:w w:val="105"/>
          <w:sz w:val="20"/>
          <w:szCs w:val="20"/>
          <w:lang w:val="uk-UA"/>
        </w:rPr>
        <w:t>Оцінити ефективність інших аТАНК-НС при одночасному тестуванні різних типів зразків.</w:t>
      </w:r>
    </w:p>
    <w:p w14:paraId="6D03E22F" w14:textId="77777777" w:rsidR="007A7B4E" w:rsidRPr="007A7B4E" w:rsidRDefault="007A7B4E" w:rsidP="004A2937">
      <w:pPr>
        <w:pStyle w:val="a4"/>
        <w:numPr>
          <w:ilvl w:val="0"/>
          <w:numId w:val="20"/>
        </w:numPr>
        <w:tabs>
          <w:tab w:val="left" w:pos="850"/>
        </w:tabs>
        <w:spacing w:before="2" w:line="276" w:lineRule="auto"/>
        <w:rPr>
          <w:sz w:val="20"/>
          <w:szCs w:val="20"/>
          <w:lang w:val="uk-UA"/>
        </w:rPr>
      </w:pPr>
      <w:r w:rsidRPr="007A7B4E">
        <w:rPr>
          <w:sz w:val="20"/>
          <w:szCs w:val="20"/>
          <w:lang w:val="uk-UA"/>
        </w:rPr>
        <w:t>Визначити покращений еталонний стандарт, який точно визначає захворювання на ТБ у дітей та в олігобацилярних зразках, оскільки чутливість усіх наявних діагностичних тестів є неоптимальною.</w:t>
      </w:r>
    </w:p>
    <w:p w14:paraId="45A0ADDB" w14:textId="66DE0850" w:rsidR="00E05B98" w:rsidRPr="00C70392" w:rsidRDefault="007A7B4E" w:rsidP="004A2937">
      <w:pPr>
        <w:pStyle w:val="a4"/>
        <w:numPr>
          <w:ilvl w:val="0"/>
          <w:numId w:val="20"/>
        </w:numPr>
        <w:tabs>
          <w:tab w:val="left" w:pos="850"/>
        </w:tabs>
        <w:spacing w:before="2" w:line="276" w:lineRule="auto"/>
        <w:rPr>
          <w:sz w:val="20"/>
          <w:szCs w:val="20"/>
          <w:lang w:val="uk-UA"/>
        </w:rPr>
      </w:pPr>
      <w:r w:rsidRPr="007A7B4E">
        <w:rPr>
          <w:sz w:val="20"/>
          <w:szCs w:val="20"/>
          <w:lang w:val="uk-UA"/>
        </w:rPr>
        <w:t>Розробити нові інструменти, які правильно діагностують більшу частку випадків ТБ у дітей. В ідеалі, нові інструменти повинні бути швидкими, доступними, можливим для реалізації та прийнятними для дітей та їхніх батьків.</w:t>
      </w:r>
    </w:p>
    <w:p w14:paraId="4D7FE412" w14:textId="77777777" w:rsidR="007A7B4E" w:rsidRPr="007A7B4E" w:rsidRDefault="007A7B4E" w:rsidP="004A2937">
      <w:pPr>
        <w:pStyle w:val="a4"/>
        <w:numPr>
          <w:ilvl w:val="0"/>
          <w:numId w:val="20"/>
        </w:numPr>
        <w:tabs>
          <w:tab w:val="left" w:pos="850"/>
        </w:tabs>
        <w:spacing w:line="276" w:lineRule="auto"/>
        <w:rPr>
          <w:w w:val="105"/>
          <w:sz w:val="20"/>
          <w:szCs w:val="20"/>
          <w:lang w:val="uk-UA"/>
        </w:rPr>
      </w:pPr>
      <w:r w:rsidRPr="007A7B4E">
        <w:rPr>
          <w:w w:val="105"/>
          <w:sz w:val="20"/>
          <w:szCs w:val="20"/>
          <w:lang w:val="uk-UA"/>
        </w:rPr>
        <w:t>Розробити швидкі діагностичні тести в місцях надання медичної допомоги та простіші альтернативні типи зразків для виявлення олігобацилярного та позалегеневого ТБ у дітей.</w:t>
      </w:r>
    </w:p>
    <w:p w14:paraId="3E5D6FAA" w14:textId="1E0ECEDD" w:rsidR="007A7B4E" w:rsidRPr="007A7B4E" w:rsidRDefault="007A7B4E" w:rsidP="004A2937">
      <w:pPr>
        <w:pStyle w:val="a4"/>
        <w:numPr>
          <w:ilvl w:val="0"/>
          <w:numId w:val="20"/>
        </w:numPr>
        <w:tabs>
          <w:tab w:val="left" w:pos="850"/>
        </w:tabs>
        <w:spacing w:line="276" w:lineRule="auto"/>
        <w:rPr>
          <w:w w:val="105"/>
          <w:sz w:val="20"/>
          <w:szCs w:val="20"/>
          <w:lang w:val="uk-UA"/>
        </w:rPr>
      </w:pPr>
      <w:r w:rsidRPr="007A7B4E">
        <w:rPr>
          <w:w w:val="105"/>
          <w:sz w:val="20"/>
          <w:szCs w:val="20"/>
          <w:lang w:val="uk-UA"/>
        </w:rPr>
        <w:t>Провести операційні дослідження для забезпечення оптимального використання тестів у відповідно визначених умовах.</w:t>
      </w:r>
    </w:p>
    <w:p w14:paraId="1A0D85A3" w14:textId="330FD16F" w:rsidR="00E05B98" w:rsidRPr="003C6DAE" w:rsidRDefault="007A7B4E" w:rsidP="004A2937">
      <w:pPr>
        <w:pStyle w:val="a4"/>
        <w:numPr>
          <w:ilvl w:val="0"/>
          <w:numId w:val="20"/>
        </w:numPr>
        <w:tabs>
          <w:tab w:val="left" w:pos="850"/>
        </w:tabs>
        <w:spacing w:line="276" w:lineRule="auto"/>
        <w:rPr>
          <w:lang w:val="uk-UA"/>
        </w:rPr>
      </w:pPr>
      <w:r w:rsidRPr="007A7B4E">
        <w:rPr>
          <w:w w:val="105"/>
          <w:sz w:val="20"/>
          <w:szCs w:val="20"/>
          <w:lang w:val="uk-UA"/>
        </w:rPr>
        <w:t xml:space="preserve">Розробити та застосувати стандартизовані методи оцінки вартості та співвідношення </w:t>
      </w:r>
      <w:r>
        <w:rPr>
          <w:w w:val="105"/>
          <w:sz w:val="20"/>
          <w:szCs w:val="20"/>
          <w:lang w:val="uk-UA"/>
        </w:rPr>
        <w:t>«</w:t>
      </w:r>
      <w:r w:rsidRPr="007A7B4E">
        <w:rPr>
          <w:w w:val="105"/>
          <w:sz w:val="20"/>
          <w:szCs w:val="20"/>
          <w:lang w:val="uk-UA"/>
        </w:rPr>
        <w:t>витрати-ефективність</w:t>
      </w:r>
      <w:r>
        <w:rPr>
          <w:w w:val="105"/>
          <w:sz w:val="20"/>
          <w:szCs w:val="20"/>
          <w:lang w:val="uk-UA"/>
        </w:rPr>
        <w:t>»</w:t>
      </w:r>
      <w:r w:rsidRPr="007A7B4E">
        <w:rPr>
          <w:w w:val="105"/>
          <w:sz w:val="20"/>
          <w:szCs w:val="20"/>
          <w:lang w:val="uk-UA"/>
        </w:rPr>
        <w:t xml:space="preserve"> для покращення порівнянності та обсягу економічних доказів.</w:t>
      </w:r>
    </w:p>
    <w:p w14:paraId="13CC7F2E" w14:textId="77777777" w:rsidR="00E05B98" w:rsidRPr="003C6DAE" w:rsidRDefault="00E05B98" w:rsidP="00873A48">
      <w:pPr>
        <w:pStyle w:val="a4"/>
        <w:spacing w:line="297" w:lineRule="auto"/>
        <w:rPr>
          <w:lang w:val="uk-UA"/>
        </w:rPr>
        <w:sectPr w:rsidR="00E05B98" w:rsidRPr="003C6DAE" w:rsidSect="007174AC">
          <w:pgSz w:w="11910" w:h="16840"/>
          <w:pgMar w:top="1134" w:right="995" w:bottom="760" w:left="850" w:header="0" w:footer="573" w:gutter="0"/>
          <w:cols w:space="720"/>
        </w:sectPr>
      </w:pPr>
    </w:p>
    <w:p w14:paraId="2737CDB2" w14:textId="3BB618FD" w:rsidR="00E05B98" w:rsidRPr="007174AC" w:rsidRDefault="00B01E0C" w:rsidP="004A2937">
      <w:pPr>
        <w:pStyle w:val="4"/>
        <w:numPr>
          <w:ilvl w:val="2"/>
          <w:numId w:val="31"/>
        </w:numPr>
        <w:tabs>
          <w:tab w:val="left" w:pos="1302"/>
        </w:tabs>
        <w:ind w:left="1302" w:hanging="735"/>
        <w:rPr>
          <w:color w:val="019648"/>
          <w:sz w:val="26"/>
          <w:szCs w:val="26"/>
          <w:lang w:val="uk-UA"/>
        </w:rPr>
      </w:pPr>
      <w:r w:rsidRPr="003C6DAE">
        <w:rPr>
          <w:noProof/>
          <w:lang w:val="uk-UA"/>
        </w:rPr>
        <w:lastRenderedPageBreak/>
        <mc:AlternateContent>
          <mc:Choice Requires="wpg">
            <w:drawing>
              <wp:anchor distT="0" distB="0" distL="0" distR="0" simplePos="0" relativeHeight="16106496" behindDoc="0" locked="0" layoutInCell="1" allowOverlap="1" wp14:anchorId="716908E0" wp14:editId="06302D23">
                <wp:simplePos x="0" y="0"/>
                <wp:positionH relativeFrom="page">
                  <wp:posOffset>6144458</wp:posOffset>
                </wp:positionH>
                <wp:positionV relativeFrom="paragraph">
                  <wp:posOffset>59463</wp:posOffset>
                </wp:positionV>
                <wp:extent cx="515620" cy="245745"/>
                <wp:effectExtent l="0" t="0" r="0" b="0"/>
                <wp:wrapNone/>
                <wp:docPr id="2464" name="Group 2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620" cy="245745"/>
                          <a:chOff x="0" y="0"/>
                          <a:chExt cx="515620" cy="245745"/>
                        </a:xfrm>
                      </wpg:grpSpPr>
                      <wps:wsp>
                        <wps:cNvPr id="2465" name="Graphic 2465"/>
                        <wps:cNvSpPr/>
                        <wps:spPr>
                          <a:xfrm>
                            <a:off x="0" y="0"/>
                            <a:ext cx="515620" cy="245745"/>
                          </a:xfrm>
                          <a:custGeom>
                            <a:avLst/>
                            <a:gdLst/>
                            <a:ahLst/>
                            <a:cxnLst/>
                            <a:rect l="l" t="t" r="r" b="b"/>
                            <a:pathLst>
                              <a:path w="515620" h="245745">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a:prstTxWarp prst="textNoShape">
                            <a:avLst/>
                          </a:prstTxWarp>
                          <a:noAutofit/>
                        </wps:bodyPr>
                      </wps:wsp>
                      <wps:wsp>
                        <wps:cNvPr id="2466" name="Textbox 2466"/>
                        <wps:cNvSpPr txBox="1"/>
                        <wps:spPr>
                          <a:xfrm>
                            <a:off x="0" y="0"/>
                            <a:ext cx="515620" cy="245745"/>
                          </a:xfrm>
                          <a:prstGeom prst="rect">
                            <a:avLst/>
                          </a:prstGeom>
                        </wps:spPr>
                        <wps:txbx>
                          <w:txbxContent>
                            <w:p w14:paraId="4E8593A7" w14:textId="75162306" w:rsidR="007372B2" w:rsidRPr="007A7B4E" w:rsidRDefault="007372B2">
                              <w:pPr>
                                <w:spacing w:before="89"/>
                                <w:ind w:left="169"/>
                                <w:rPr>
                                  <w:sz w:val="20"/>
                                  <w:lang w:val="uk-UA"/>
                                </w:rPr>
                              </w:pPr>
                              <w:r>
                                <w:rPr>
                                  <w:color w:val="FFFFFF"/>
                                  <w:spacing w:val="-5"/>
                                  <w:sz w:val="20"/>
                                  <w:lang w:val="uk-UA"/>
                                </w:rPr>
                                <w:t>НОВ</w:t>
                              </w:r>
                              <w:r w:rsidR="002B0686">
                                <w:rPr>
                                  <w:color w:val="FFFFFF"/>
                                  <w:spacing w:val="-5"/>
                                  <w:sz w:val="20"/>
                                  <w:lang w:val="uk-UA"/>
                                </w:rPr>
                                <w:t>Е</w:t>
                              </w:r>
                            </w:p>
                          </w:txbxContent>
                        </wps:txbx>
                        <wps:bodyPr wrap="square" lIns="0" tIns="0" rIns="0" bIns="0" rtlCol="0">
                          <a:noAutofit/>
                        </wps:bodyPr>
                      </wps:wsp>
                    </wpg:wgp>
                  </a:graphicData>
                </a:graphic>
              </wp:anchor>
            </w:drawing>
          </mc:Choice>
          <mc:Fallback>
            <w:pict>
              <v:group w14:anchorId="716908E0" id="Group 2464" o:spid="_x0000_s1133" style="position:absolute;left:0;text-align:left;margin-left:483.8pt;margin-top:4.7pt;width:40.6pt;height:19.35pt;z-index:16106496;mso-wrap-distance-left:0;mso-wrap-distance-right:0;mso-position-horizontal-relative:page;mso-position-vertical-relative:text" coordsize="51562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">
                <v:shape id="Graphic 2465" o:spid="_x0000_s1134" style="position:absolute;width:515620;height:245745;visibility:visible;mso-wrap-style:square;v-text-anchor:top" coordsize="51562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" path="m515543,l,,,122796r9650,47797l35966,209626r39032,26316l122796,245592r269951,l440545,235942r39032,-26316l505893,170593r9650,-47797l515543,xe" fillcolor="#0c8140" stroked="f">
                  <v:path arrowok="t"/>
                </v:shape>
                <v:shape id="Textbox 2466" o:spid="_x0000_s1135" type="#_x0000_t202" style="position:absolute;width:515620;height:245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" filled="f" stroked="f">
                  <v:textbox inset="0,0,0,0">
                    <w:txbxContent>
                      <w:p w14:paraId="4E8593A7" w14:textId="75162306" w:rsidR="007372B2" w:rsidRPr="007A7B4E" w:rsidRDefault="007372B2">
                        <w:pPr>
                          <w:spacing w:before="89"/>
                          <w:ind w:left="169"/>
                          <w:rPr>
                            <w:sz w:val="20"/>
                            <w:lang w:val="uk-UA"/>
                          </w:rPr>
                        </w:pPr>
                        <w:r>
                          <w:rPr>
                            <w:color w:val="FFFFFF"/>
                            <w:spacing w:val="-5"/>
                            <w:sz w:val="20"/>
                            <w:lang w:val="uk-UA"/>
                          </w:rPr>
                          <w:t>НОВ</w:t>
                        </w:r>
                        <w:r w:rsidR="002B0686">
                          <w:rPr>
                            <w:color w:val="FFFFFF"/>
                            <w:spacing w:val="-5"/>
                            <w:sz w:val="20"/>
                            <w:lang w:val="uk-UA"/>
                          </w:rPr>
                          <w:t>Е</w:t>
                        </w:r>
                      </w:p>
                    </w:txbxContent>
                  </v:textbox>
                </v:shape>
                <w10:wrap anchorx="page"/>
              </v:group>
            </w:pict>
          </mc:Fallback>
        </mc:AlternateContent>
      </w:r>
      <w:bookmarkStart w:id="63" w:name="2.3.3_Concurrent_use_of_tests_in_childre"/>
      <w:bookmarkStart w:id="64" w:name="_bookmark29"/>
      <w:bookmarkEnd w:id="63"/>
      <w:bookmarkEnd w:id="64"/>
      <w:r w:rsidR="007A7B4E" w:rsidRPr="007A7B4E">
        <w:rPr>
          <w:lang w:val="ru-RU"/>
        </w:rPr>
        <w:t xml:space="preserve"> </w:t>
      </w:r>
      <w:r w:rsidR="007A7B4E" w:rsidRPr="007174AC">
        <w:rPr>
          <w:color w:val="019648"/>
          <w:sz w:val="26"/>
          <w:szCs w:val="26"/>
          <w:lang w:val="uk-UA"/>
        </w:rPr>
        <w:t>Одночасне використання різних тестів у дітей з ВІЛ</w:t>
      </w:r>
    </w:p>
    <w:p w14:paraId="22DAF22B" w14:textId="2D67C1AF" w:rsidR="00E05B98" w:rsidRPr="007174AC" w:rsidRDefault="007A7B4E">
      <w:pPr>
        <w:pStyle w:val="5"/>
        <w:spacing w:before="245"/>
        <w:rPr>
          <w:sz w:val="26"/>
          <w:szCs w:val="26"/>
          <w:lang w:val="uk-UA"/>
        </w:rPr>
      </w:pPr>
      <w:r w:rsidRPr="007174AC">
        <w:rPr>
          <w:color w:val="019648"/>
          <w:spacing w:val="-2"/>
          <w:w w:val="105"/>
          <w:sz w:val="26"/>
          <w:szCs w:val="26"/>
          <w:lang w:val="uk-UA"/>
        </w:rPr>
        <w:t>Рекомендації</w:t>
      </w:r>
    </w:p>
    <w:p w14:paraId="4489208E" w14:textId="77777777" w:rsidR="00E05B98" w:rsidRPr="003C6DAE" w:rsidRDefault="00E05B98">
      <w:pPr>
        <w:pStyle w:val="a3"/>
        <w:spacing w:before="10"/>
        <w:rPr>
          <w:sz w:val="16"/>
          <w:lang w:val="uk-UA"/>
        </w:rPr>
      </w:pPr>
    </w:p>
    <w:tbl>
      <w:tblPr>
        <w:tblStyle w:val="TableNormal"/>
        <w:tblW w:w="0" w:type="auto"/>
        <w:tblInd w:w="58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475"/>
      </w:tblGrid>
      <w:tr w:rsidR="00E05B98" w:rsidRPr="00D029FF" w14:paraId="5EB60E55" w14:textId="77777777" w:rsidTr="009405E0">
        <w:trPr>
          <w:trHeight w:val="2448"/>
        </w:trPr>
        <w:tc>
          <w:tcPr>
            <w:tcW w:w="9475" w:type="dxa"/>
          </w:tcPr>
          <w:p w14:paraId="5BB2C59F" w14:textId="40B6BD5E" w:rsidR="00E05B98" w:rsidRPr="00821945" w:rsidRDefault="00B01E0C">
            <w:pPr>
              <w:pStyle w:val="TableParagraph"/>
              <w:spacing w:before="245" w:line="295" w:lineRule="auto"/>
              <w:ind w:left="743" w:right="264" w:hanging="460"/>
              <w:jc w:val="both"/>
              <w:rPr>
                <w:rFonts w:ascii="Arial"/>
                <w:b/>
                <w:sz w:val="20"/>
                <w:szCs w:val="20"/>
                <w:lang w:val="uk-UA"/>
              </w:rPr>
            </w:pPr>
            <w:r w:rsidRPr="003C6DAE">
              <w:rPr>
                <w:rFonts w:ascii="Arial"/>
                <w:b/>
                <w:lang w:val="uk-UA"/>
              </w:rPr>
              <w:t>9.</w:t>
            </w:r>
            <w:r w:rsidRPr="003C6DAE">
              <w:rPr>
                <w:rFonts w:ascii="Arial"/>
                <w:b/>
                <w:spacing w:val="80"/>
                <w:lang w:val="uk-UA"/>
              </w:rPr>
              <w:t xml:space="preserve"> </w:t>
            </w:r>
            <w:r w:rsidR="004E168C">
              <w:rPr>
                <w:rFonts w:ascii="Arial"/>
                <w:b/>
                <w:spacing w:val="80"/>
                <w:lang w:val="uk-UA"/>
              </w:rPr>
              <w:t xml:space="preserve"> </w:t>
            </w:r>
            <w:r w:rsidR="004E168C" w:rsidRPr="004E168C">
              <w:rPr>
                <w:rFonts w:ascii="Arial"/>
                <w:b/>
                <w:sz w:val="20"/>
                <w:szCs w:val="20"/>
                <w:lang w:val="uk-UA"/>
              </w:rPr>
              <w:t>Для</w:t>
            </w:r>
            <w:r w:rsidR="004E168C" w:rsidRPr="004E168C">
              <w:rPr>
                <w:rFonts w:ascii="Arial"/>
                <w:b/>
                <w:sz w:val="20"/>
                <w:szCs w:val="20"/>
                <w:lang w:val="uk-UA"/>
              </w:rPr>
              <w:t xml:space="preserve"> </w:t>
            </w:r>
            <w:r w:rsidR="004E168C" w:rsidRPr="004E168C">
              <w:rPr>
                <w:rFonts w:ascii="Arial"/>
                <w:b/>
                <w:sz w:val="20"/>
                <w:szCs w:val="20"/>
                <w:lang w:val="uk-UA"/>
              </w:rPr>
              <w:t>дітей</w:t>
            </w:r>
            <w:r w:rsidR="004E168C" w:rsidRPr="004E168C">
              <w:rPr>
                <w:rFonts w:ascii="Arial"/>
                <w:b/>
                <w:sz w:val="20"/>
                <w:szCs w:val="20"/>
                <w:lang w:val="uk-UA"/>
              </w:rPr>
              <w:t xml:space="preserve"> </w:t>
            </w:r>
            <w:r w:rsidR="004E168C" w:rsidRPr="004E168C">
              <w:rPr>
                <w:rFonts w:ascii="Arial"/>
                <w:b/>
                <w:sz w:val="20"/>
                <w:szCs w:val="20"/>
                <w:lang w:val="uk-UA"/>
              </w:rPr>
              <w:t>з</w:t>
            </w:r>
            <w:r w:rsidR="004E168C" w:rsidRPr="004E168C">
              <w:rPr>
                <w:rFonts w:ascii="Arial"/>
                <w:b/>
                <w:sz w:val="20"/>
                <w:szCs w:val="20"/>
                <w:lang w:val="uk-UA"/>
              </w:rPr>
              <w:t xml:space="preserve"> </w:t>
            </w:r>
            <w:r w:rsidR="004E168C" w:rsidRPr="004E168C">
              <w:rPr>
                <w:rFonts w:ascii="Arial"/>
                <w:b/>
                <w:sz w:val="20"/>
                <w:szCs w:val="20"/>
                <w:lang w:val="uk-UA"/>
              </w:rPr>
              <w:t>ВІЛ</w:t>
            </w:r>
            <w:r w:rsidR="004E168C" w:rsidRPr="004E168C">
              <w:rPr>
                <w:rFonts w:ascii="Arial"/>
                <w:b/>
                <w:sz w:val="20"/>
                <w:szCs w:val="20"/>
                <w:lang w:val="uk-UA"/>
              </w:rPr>
              <w:t xml:space="preserve">, </w:t>
            </w:r>
            <w:r w:rsidR="004E168C" w:rsidRPr="004E168C">
              <w:rPr>
                <w:rFonts w:ascii="Arial"/>
                <w:b/>
                <w:sz w:val="20"/>
                <w:szCs w:val="20"/>
                <w:lang w:val="uk-UA"/>
              </w:rPr>
              <w:t>які</w:t>
            </w:r>
            <w:r w:rsidR="004E168C" w:rsidRPr="004E168C">
              <w:rPr>
                <w:rFonts w:ascii="Arial"/>
                <w:b/>
                <w:sz w:val="20"/>
                <w:szCs w:val="20"/>
                <w:lang w:val="uk-UA"/>
              </w:rPr>
              <w:t xml:space="preserve"> </w:t>
            </w:r>
            <w:r w:rsidR="004E168C" w:rsidRPr="004E168C">
              <w:rPr>
                <w:rFonts w:ascii="Arial"/>
                <w:b/>
                <w:sz w:val="20"/>
                <w:szCs w:val="20"/>
                <w:lang w:val="uk-UA"/>
              </w:rPr>
              <w:t>мають</w:t>
            </w:r>
            <w:r w:rsidR="004E168C" w:rsidRPr="004E168C">
              <w:rPr>
                <w:rFonts w:ascii="Arial"/>
                <w:b/>
                <w:sz w:val="20"/>
                <w:szCs w:val="20"/>
                <w:lang w:val="uk-UA"/>
              </w:rPr>
              <w:t xml:space="preserve"> </w:t>
            </w:r>
            <w:r w:rsidR="004E168C" w:rsidRPr="004E168C">
              <w:rPr>
                <w:rFonts w:ascii="Arial"/>
                <w:b/>
                <w:sz w:val="20"/>
                <w:szCs w:val="20"/>
                <w:lang w:val="uk-UA"/>
              </w:rPr>
              <w:t>ознаки</w:t>
            </w:r>
            <w:r w:rsidR="004E168C" w:rsidRPr="004E168C">
              <w:rPr>
                <w:rFonts w:ascii="Arial"/>
                <w:b/>
                <w:sz w:val="20"/>
                <w:szCs w:val="20"/>
                <w:lang w:val="uk-UA"/>
              </w:rPr>
              <w:t xml:space="preserve"> </w:t>
            </w:r>
            <w:r w:rsidR="004E168C" w:rsidRPr="004E168C">
              <w:rPr>
                <w:rFonts w:ascii="Arial"/>
                <w:b/>
                <w:sz w:val="20"/>
                <w:szCs w:val="20"/>
                <w:lang w:val="uk-UA"/>
              </w:rPr>
              <w:t>або</w:t>
            </w:r>
            <w:r w:rsidR="004E168C" w:rsidRPr="004E168C">
              <w:rPr>
                <w:rFonts w:ascii="Arial"/>
                <w:b/>
                <w:sz w:val="20"/>
                <w:szCs w:val="20"/>
                <w:lang w:val="uk-UA"/>
              </w:rPr>
              <w:t xml:space="preserve"> </w:t>
            </w:r>
            <w:r w:rsidR="004E168C" w:rsidRPr="004E168C">
              <w:rPr>
                <w:rFonts w:ascii="Arial"/>
                <w:b/>
                <w:sz w:val="20"/>
                <w:szCs w:val="20"/>
                <w:lang w:val="uk-UA"/>
              </w:rPr>
              <w:t>симптоми</w:t>
            </w:r>
            <w:r w:rsidR="004E168C" w:rsidRPr="004E168C">
              <w:rPr>
                <w:rFonts w:ascii="Arial"/>
                <w:b/>
                <w:sz w:val="20"/>
                <w:szCs w:val="20"/>
                <w:lang w:val="uk-UA"/>
              </w:rPr>
              <w:t xml:space="preserve"> </w:t>
            </w:r>
            <w:r w:rsidR="004E168C" w:rsidRPr="004E168C">
              <w:rPr>
                <w:rFonts w:ascii="Arial"/>
                <w:b/>
                <w:sz w:val="20"/>
                <w:szCs w:val="20"/>
                <w:lang w:val="uk-UA"/>
              </w:rPr>
              <w:t>ТБ</w:t>
            </w:r>
            <w:r w:rsidR="004E168C" w:rsidRPr="004E168C">
              <w:rPr>
                <w:rFonts w:ascii="Arial"/>
                <w:b/>
                <w:sz w:val="20"/>
                <w:szCs w:val="20"/>
                <w:lang w:val="uk-UA"/>
              </w:rPr>
              <w:t xml:space="preserve"> </w:t>
            </w:r>
            <w:r w:rsidR="007174AC">
              <w:rPr>
                <w:rFonts w:ascii="Arial"/>
                <w:b/>
                <w:sz w:val="20"/>
                <w:szCs w:val="20"/>
                <w:lang w:val="uk-UA"/>
              </w:rPr>
              <w:t>чи</w:t>
            </w:r>
            <w:r w:rsidR="004E168C" w:rsidRPr="004E168C">
              <w:rPr>
                <w:rFonts w:ascii="Arial"/>
                <w:b/>
                <w:sz w:val="20"/>
                <w:szCs w:val="20"/>
                <w:lang w:val="uk-UA"/>
              </w:rPr>
              <w:t xml:space="preserve"> </w:t>
            </w:r>
            <w:r w:rsidR="004E168C" w:rsidRPr="004E168C">
              <w:rPr>
                <w:rFonts w:ascii="Arial"/>
                <w:b/>
                <w:sz w:val="20"/>
                <w:szCs w:val="20"/>
                <w:lang w:val="uk-UA"/>
              </w:rPr>
              <w:t>позитивний</w:t>
            </w:r>
            <w:r w:rsidR="004E168C" w:rsidRPr="004E168C">
              <w:rPr>
                <w:rFonts w:ascii="Arial"/>
                <w:b/>
                <w:sz w:val="20"/>
                <w:szCs w:val="20"/>
                <w:lang w:val="uk-UA"/>
              </w:rPr>
              <w:t xml:space="preserve"> </w:t>
            </w:r>
            <w:r w:rsidR="004E168C" w:rsidRPr="004E168C">
              <w:rPr>
                <w:rFonts w:ascii="Arial"/>
                <w:b/>
                <w:sz w:val="20"/>
                <w:szCs w:val="20"/>
                <w:lang w:val="uk-UA"/>
              </w:rPr>
              <w:t>результат</w:t>
            </w:r>
            <w:r w:rsidR="004E168C" w:rsidRPr="004E168C">
              <w:rPr>
                <w:rFonts w:ascii="Arial"/>
                <w:b/>
                <w:sz w:val="20"/>
                <w:szCs w:val="20"/>
                <w:lang w:val="uk-UA"/>
              </w:rPr>
              <w:t xml:space="preserve"> </w:t>
            </w:r>
            <w:r w:rsidR="004E168C" w:rsidRPr="004E168C">
              <w:rPr>
                <w:rFonts w:ascii="Arial"/>
                <w:b/>
                <w:sz w:val="20"/>
                <w:szCs w:val="20"/>
                <w:lang w:val="uk-UA"/>
              </w:rPr>
              <w:t>скринінгу</w:t>
            </w:r>
            <w:r w:rsidR="004E168C" w:rsidRPr="004E168C">
              <w:rPr>
                <w:rFonts w:ascii="Arial"/>
                <w:b/>
                <w:sz w:val="20"/>
                <w:szCs w:val="20"/>
                <w:lang w:val="uk-UA"/>
              </w:rPr>
              <w:t xml:space="preserve"> </w:t>
            </w:r>
            <w:r w:rsidR="004E168C" w:rsidRPr="004E168C">
              <w:rPr>
                <w:rFonts w:ascii="Arial"/>
                <w:b/>
                <w:sz w:val="20"/>
                <w:szCs w:val="20"/>
                <w:lang w:val="uk-UA"/>
              </w:rPr>
              <w:t>на</w:t>
            </w:r>
            <w:r w:rsidR="004E168C" w:rsidRPr="004E168C">
              <w:rPr>
                <w:rFonts w:ascii="Arial"/>
                <w:b/>
                <w:sz w:val="20"/>
                <w:szCs w:val="20"/>
                <w:lang w:val="uk-UA"/>
              </w:rPr>
              <w:t xml:space="preserve"> </w:t>
            </w:r>
            <w:r w:rsidR="004E168C" w:rsidRPr="004E168C">
              <w:rPr>
                <w:rFonts w:ascii="Arial"/>
                <w:b/>
                <w:sz w:val="20"/>
                <w:szCs w:val="20"/>
                <w:lang w:val="uk-UA"/>
              </w:rPr>
              <w:t>ТБ</w:t>
            </w:r>
            <w:r w:rsidR="004E168C" w:rsidRPr="004E168C">
              <w:rPr>
                <w:rFonts w:ascii="Arial"/>
                <w:b/>
                <w:sz w:val="20"/>
                <w:szCs w:val="20"/>
                <w:lang w:val="uk-UA"/>
              </w:rPr>
              <w:t xml:space="preserve"> </w:t>
            </w:r>
            <w:r w:rsidR="004E168C" w:rsidRPr="004E168C">
              <w:rPr>
                <w:rFonts w:ascii="Arial"/>
                <w:b/>
                <w:sz w:val="20"/>
                <w:szCs w:val="20"/>
                <w:lang w:val="uk-UA"/>
              </w:rPr>
              <w:t>легень</w:t>
            </w:r>
            <w:r w:rsidR="004E168C" w:rsidRPr="004E168C">
              <w:rPr>
                <w:rFonts w:ascii="Arial"/>
                <w:b/>
                <w:sz w:val="20"/>
                <w:szCs w:val="20"/>
                <w:lang w:val="uk-UA"/>
              </w:rPr>
              <w:t xml:space="preserve">, </w:t>
            </w:r>
            <w:r w:rsidR="004E168C" w:rsidRPr="004E168C">
              <w:rPr>
                <w:rFonts w:ascii="Arial"/>
                <w:b/>
                <w:sz w:val="20"/>
                <w:szCs w:val="20"/>
                <w:lang w:val="uk-UA"/>
              </w:rPr>
              <w:t>в</w:t>
            </w:r>
            <w:r w:rsidR="004E168C" w:rsidRPr="004E168C">
              <w:rPr>
                <w:rFonts w:ascii="Arial"/>
                <w:b/>
                <w:sz w:val="20"/>
                <w:szCs w:val="20"/>
                <w:lang w:val="uk-UA"/>
              </w:rPr>
              <w:t xml:space="preserve"> </w:t>
            </w:r>
            <w:r w:rsidR="004E168C" w:rsidRPr="004E168C">
              <w:rPr>
                <w:rFonts w:ascii="Arial"/>
                <w:b/>
                <w:sz w:val="20"/>
                <w:szCs w:val="20"/>
                <w:lang w:val="uk-UA"/>
              </w:rPr>
              <w:t>якості</w:t>
            </w:r>
            <w:r w:rsidR="004E168C" w:rsidRPr="004E168C">
              <w:rPr>
                <w:rFonts w:ascii="Arial"/>
                <w:b/>
                <w:sz w:val="20"/>
                <w:szCs w:val="20"/>
                <w:lang w:val="uk-UA"/>
              </w:rPr>
              <w:t xml:space="preserve"> </w:t>
            </w:r>
            <w:r w:rsidR="004E168C" w:rsidRPr="004E168C">
              <w:rPr>
                <w:rFonts w:ascii="Arial"/>
                <w:b/>
                <w:sz w:val="20"/>
                <w:szCs w:val="20"/>
                <w:lang w:val="uk-UA"/>
              </w:rPr>
              <w:t>початкової</w:t>
            </w:r>
            <w:r w:rsidR="004E168C" w:rsidRPr="004E168C">
              <w:rPr>
                <w:rFonts w:ascii="Arial"/>
                <w:b/>
                <w:sz w:val="20"/>
                <w:szCs w:val="20"/>
                <w:lang w:val="uk-UA"/>
              </w:rPr>
              <w:t xml:space="preserve"> </w:t>
            </w:r>
            <w:r w:rsidR="004E168C" w:rsidRPr="004E168C">
              <w:rPr>
                <w:rFonts w:ascii="Arial"/>
                <w:b/>
                <w:sz w:val="20"/>
                <w:szCs w:val="20"/>
                <w:lang w:val="uk-UA"/>
              </w:rPr>
              <w:t>діагностичної</w:t>
            </w:r>
            <w:r w:rsidR="004E168C" w:rsidRPr="004E168C">
              <w:rPr>
                <w:rFonts w:ascii="Arial"/>
                <w:b/>
                <w:sz w:val="20"/>
                <w:szCs w:val="20"/>
                <w:lang w:val="uk-UA"/>
              </w:rPr>
              <w:t xml:space="preserve"> </w:t>
            </w:r>
            <w:r w:rsidR="004E168C" w:rsidRPr="004E168C">
              <w:rPr>
                <w:rFonts w:ascii="Arial"/>
                <w:b/>
                <w:sz w:val="20"/>
                <w:szCs w:val="20"/>
                <w:lang w:val="uk-UA"/>
              </w:rPr>
              <w:t>стратегії</w:t>
            </w:r>
            <w:r w:rsidR="004E168C" w:rsidRPr="004E168C">
              <w:rPr>
                <w:rFonts w:ascii="Arial"/>
                <w:b/>
                <w:sz w:val="20"/>
                <w:szCs w:val="20"/>
                <w:lang w:val="uk-UA"/>
              </w:rPr>
              <w:t xml:space="preserve"> </w:t>
            </w:r>
            <w:r w:rsidR="004E168C" w:rsidRPr="004E168C">
              <w:rPr>
                <w:rFonts w:ascii="Arial"/>
                <w:b/>
                <w:sz w:val="20"/>
                <w:szCs w:val="20"/>
                <w:lang w:val="uk-UA"/>
              </w:rPr>
              <w:t>виявлення</w:t>
            </w:r>
            <w:r w:rsidR="004E168C" w:rsidRPr="004E168C">
              <w:rPr>
                <w:rFonts w:ascii="Arial"/>
                <w:b/>
                <w:sz w:val="20"/>
                <w:szCs w:val="20"/>
                <w:lang w:val="uk-UA"/>
              </w:rPr>
              <w:t xml:space="preserve"> </w:t>
            </w:r>
            <w:r w:rsidR="004E168C" w:rsidRPr="004E168C">
              <w:rPr>
                <w:rFonts w:ascii="Arial"/>
                <w:b/>
                <w:sz w:val="20"/>
                <w:szCs w:val="20"/>
                <w:lang w:val="uk-UA"/>
              </w:rPr>
              <w:t>ТБ</w:t>
            </w:r>
            <w:r w:rsidR="004E168C" w:rsidRPr="004E168C">
              <w:rPr>
                <w:rFonts w:ascii="Arial"/>
                <w:b/>
                <w:sz w:val="20"/>
                <w:szCs w:val="20"/>
                <w:lang w:val="uk-UA"/>
              </w:rPr>
              <w:t xml:space="preserve"> </w:t>
            </w:r>
            <w:r w:rsidR="004E168C" w:rsidRPr="004E168C">
              <w:rPr>
                <w:rFonts w:ascii="Arial"/>
                <w:b/>
                <w:sz w:val="20"/>
                <w:szCs w:val="20"/>
                <w:lang w:val="uk-UA"/>
              </w:rPr>
              <w:t>мож</w:t>
            </w:r>
            <w:r w:rsidR="007174AC">
              <w:rPr>
                <w:rFonts w:ascii="Arial"/>
                <w:b/>
                <w:sz w:val="20"/>
                <w:szCs w:val="20"/>
                <w:lang w:val="uk-UA"/>
              </w:rPr>
              <w:t>на</w:t>
            </w:r>
            <w:r w:rsidR="004E168C" w:rsidRPr="004E168C">
              <w:rPr>
                <w:rFonts w:ascii="Arial"/>
                <w:b/>
                <w:sz w:val="20"/>
                <w:szCs w:val="20"/>
                <w:lang w:val="uk-UA"/>
              </w:rPr>
              <w:t xml:space="preserve"> </w:t>
            </w:r>
            <w:r w:rsidR="004E168C" w:rsidRPr="004E168C">
              <w:rPr>
                <w:rFonts w:ascii="Arial"/>
                <w:b/>
                <w:sz w:val="20"/>
                <w:szCs w:val="20"/>
                <w:lang w:val="uk-UA"/>
              </w:rPr>
              <w:t>використовувати</w:t>
            </w:r>
            <w:r w:rsidR="004E168C" w:rsidRPr="004E168C">
              <w:rPr>
                <w:rFonts w:ascii="Arial"/>
                <w:b/>
                <w:sz w:val="20"/>
                <w:szCs w:val="20"/>
                <w:lang w:val="uk-UA"/>
              </w:rPr>
              <w:t xml:space="preserve"> </w:t>
            </w:r>
            <w:r w:rsidR="004E168C" w:rsidRPr="004E168C">
              <w:rPr>
                <w:rFonts w:ascii="Arial"/>
                <w:b/>
                <w:sz w:val="20"/>
                <w:szCs w:val="20"/>
                <w:lang w:val="uk-UA"/>
              </w:rPr>
              <w:t>одночасне</w:t>
            </w:r>
            <w:r w:rsidR="004E168C" w:rsidRPr="004E168C">
              <w:rPr>
                <w:rFonts w:ascii="Arial"/>
                <w:b/>
                <w:sz w:val="20"/>
                <w:szCs w:val="20"/>
                <w:lang w:val="uk-UA"/>
              </w:rPr>
              <w:t xml:space="preserve"> </w:t>
            </w:r>
            <w:r w:rsidR="004E168C" w:rsidRPr="004E168C">
              <w:rPr>
                <w:rFonts w:ascii="Arial"/>
                <w:b/>
                <w:sz w:val="20"/>
                <w:szCs w:val="20"/>
                <w:lang w:val="uk-UA"/>
              </w:rPr>
              <w:t>тестування</w:t>
            </w:r>
            <w:r w:rsidR="004E168C" w:rsidRPr="004E168C">
              <w:rPr>
                <w:rFonts w:ascii="Arial"/>
                <w:b/>
                <w:sz w:val="20"/>
                <w:szCs w:val="20"/>
                <w:lang w:val="uk-UA"/>
              </w:rPr>
              <w:t xml:space="preserve"> </w:t>
            </w:r>
            <w:r w:rsidR="004E168C" w:rsidRPr="004E168C">
              <w:rPr>
                <w:rFonts w:ascii="Arial"/>
                <w:b/>
                <w:sz w:val="20"/>
                <w:szCs w:val="20"/>
                <w:lang w:val="uk-UA"/>
              </w:rPr>
              <w:t>зразків</w:t>
            </w:r>
            <w:r w:rsidR="004E168C" w:rsidRPr="004E168C">
              <w:rPr>
                <w:rFonts w:ascii="Arial"/>
                <w:b/>
                <w:sz w:val="20"/>
                <w:szCs w:val="20"/>
                <w:lang w:val="uk-UA"/>
              </w:rPr>
              <w:t xml:space="preserve"> </w:t>
            </w:r>
            <w:r w:rsidR="004E168C" w:rsidRPr="004E168C">
              <w:rPr>
                <w:rFonts w:ascii="Arial"/>
                <w:b/>
                <w:sz w:val="20"/>
                <w:szCs w:val="20"/>
                <w:lang w:val="uk-UA"/>
              </w:rPr>
              <w:t>із</w:t>
            </w:r>
            <w:r w:rsidR="004E168C" w:rsidRPr="004E168C">
              <w:rPr>
                <w:rFonts w:ascii="Arial"/>
                <w:b/>
                <w:sz w:val="20"/>
                <w:szCs w:val="20"/>
                <w:lang w:val="uk-UA"/>
              </w:rPr>
              <w:t xml:space="preserve"> </w:t>
            </w:r>
            <w:r w:rsidR="004E168C" w:rsidRPr="004E168C">
              <w:rPr>
                <w:rFonts w:ascii="Arial"/>
                <w:b/>
                <w:sz w:val="20"/>
                <w:szCs w:val="20"/>
                <w:lang w:val="uk-UA"/>
              </w:rPr>
              <w:t>дихальних</w:t>
            </w:r>
            <w:r w:rsidR="004E168C" w:rsidRPr="004E168C">
              <w:rPr>
                <w:rFonts w:ascii="Arial"/>
                <w:b/>
                <w:sz w:val="20"/>
                <w:szCs w:val="20"/>
                <w:lang w:val="uk-UA"/>
              </w:rPr>
              <w:t xml:space="preserve"> </w:t>
            </w:r>
            <w:r w:rsidR="004E168C" w:rsidRPr="004E168C">
              <w:rPr>
                <w:rFonts w:ascii="Arial"/>
                <w:b/>
                <w:sz w:val="20"/>
                <w:szCs w:val="20"/>
                <w:lang w:val="uk-UA"/>
              </w:rPr>
              <w:t>шляхів</w:t>
            </w:r>
            <w:r w:rsidR="004E168C" w:rsidRPr="004E168C">
              <w:rPr>
                <w:rFonts w:ascii="Arial"/>
                <w:b/>
                <w:sz w:val="20"/>
                <w:szCs w:val="20"/>
                <w:lang w:val="uk-UA"/>
              </w:rPr>
              <w:t xml:space="preserve"> </w:t>
            </w:r>
            <w:r w:rsidR="004E168C" w:rsidRPr="004E168C">
              <w:rPr>
                <w:rFonts w:ascii="Arial"/>
                <w:b/>
                <w:sz w:val="20"/>
                <w:szCs w:val="20"/>
                <w:lang w:val="uk-UA"/>
              </w:rPr>
              <w:t>та</w:t>
            </w:r>
            <w:r w:rsidR="004E168C" w:rsidRPr="004E168C">
              <w:rPr>
                <w:rFonts w:ascii="Arial"/>
                <w:b/>
                <w:sz w:val="20"/>
                <w:szCs w:val="20"/>
                <w:lang w:val="uk-UA"/>
              </w:rPr>
              <w:t xml:space="preserve"> </w:t>
            </w:r>
            <w:r w:rsidR="004E168C" w:rsidRPr="004E168C">
              <w:rPr>
                <w:rFonts w:ascii="Arial"/>
                <w:b/>
                <w:sz w:val="20"/>
                <w:szCs w:val="20"/>
                <w:lang w:val="uk-UA"/>
              </w:rPr>
              <w:t>зразків</w:t>
            </w:r>
            <w:r w:rsidR="004E168C" w:rsidRPr="004E168C">
              <w:rPr>
                <w:rFonts w:ascii="Arial"/>
                <w:b/>
                <w:sz w:val="20"/>
                <w:szCs w:val="20"/>
                <w:lang w:val="uk-UA"/>
              </w:rPr>
              <w:t xml:space="preserve"> </w:t>
            </w:r>
            <w:r w:rsidR="004E168C" w:rsidRPr="004E168C">
              <w:rPr>
                <w:rFonts w:ascii="Arial"/>
                <w:b/>
                <w:sz w:val="20"/>
                <w:szCs w:val="20"/>
                <w:lang w:val="uk-UA"/>
              </w:rPr>
              <w:t>калу</w:t>
            </w:r>
            <w:r w:rsidR="004E168C" w:rsidRPr="004E168C">
              <w:rPr>
                <w:rFonts w:ascii="Arial"/>
                <w:b/>
                <w:sz w:val="20"/>
                <w:szCs w:val="20"/>
                <w:lang w:val="uk-UA"/>
              </w:rPr>
              <w:t xml:space="preserve"> </w:t>
            </w:r>
            <w:r w:rsidR="004E168C" w:rsidRPr="004E168C">
              <w:rPr>
                <w:rFonts w:ascii="Arial"/>
                <w:b/>
                <w:sz w:val="20"/>
                <w:szCs w:val="20"/>
                <w:lang w:val="uk-UA"/>
              </w:rPr>
              <w:t>за</w:t>
            </w:r>
            <w:r w:rsidR="004E168C" w:rsidRPr="004E168C">
              <w:rPr>
                <w:rFonts w:ascii="Arial"/>
                <w:b/>
                <w:sz w:val="20"/>
                <w:szCs w:val="20"/>
                <w:lang w:val="uk-UA"/>
              </w:rPr>
              <w:t xml:space="preserve"> </w:t>
            </w:r>
            <w:r w:rsidR="004E168C" w:rsidRPr="004E168C">
              <w:rPr>
                <w:rFonts w:ascii="Arial"/>
                <w:b/>
                <w:sz w:val="20"/>
                <w:szCs w:val="20"/>
                <w:lang w:val="uk-UA"/>
              </w:rPr>
              <w:t>допомогою</w:t>
            </w:r>
            <w:r w:rsidR="004E168C" w:rsidRPr="004E168C">
              <w:rPr>
                <w:rFonts w:ascii="Arial"/>
                <w:b/>
                <w:sz w:val="20"/>
                <w:szCs w:val="20"/>
                <w:lang w:val="uk-UA"/>
              </w:rPr>
              <w:t xml:space="preserve"> </w:t>
            </w:r>
            <w:r w:rsidR="004E168C" w:rsidRPr="004E168C">
              <w:rPr>
                <w:rFonts w:ascii="Arial"/>
                <w:b/>
                <w:sz w:val="20"/>
                <w:szCs w:val="20"/>
                <w:lang w:val="uk-UA"/>
              </w:rPr>
              <w:t>автоматизованих</w:t>
            </w:r>
            <w:r w:rsidR="004E168C" w:rsidRPr="004E168C">
              <w:rPr>
                <w:rFonts w:ascii="Arial"/>
                <w:b/>
                <w:sz w:val="20"/>
                <w:szCs w:val="20"/>
                <w:lang w:val="uk-UA"/>
              </w:rPr>
              <w:t xml:space="preserve"> </w:t>
            </w:r>
            <w:r w:rsidR="004E168C" w:rsidRPr="004E168C">
              <w:rPr>
                <w:rFonts w:ascii="Arial"/>
                <w:b/>
                <w:sz w:val="20"/>
                <w:szCs w:val="20"/>
                <w:lang w:val="uk-UA"/>
              </w:rPr>
              <w:t>ТАНК</w:t>
            </w:r>
            <w:r w:rsidR="004E168C" w:rsidRPr="004E168C">
              <w:rPr>
                <w:rFonts w:ascii="Arial"/>
                <w:b/>
                <w:sz w:val="20"/>
                <w:szCs w:val="20"/>
                <w:lang w:val="uk-UA"/>
              </w:rPr>
              <w:t xml:space="preserve"> </w:t>
            </w:r>
            <w:r w:rsidR="004E168C" w:rsidRPr="004E168C">
              <w:rPr>
                <w:rFonts w:ascii="Arial"/>
                <w:b/>
                <w:sz w:val="20"/>
                <w:szCs w:val="20"/>
                <w:lang w:val="uk-UA"/>
              </w:rPr>
              <w:t>низької</w:t>
            </w:r>
            <w:r w:rsidR="004E168C" w:rsidRPr="004E168C">
              <w:rPr>
                <w:rFonts w:ascii="Arial"/>
                <w:b/>
                <w:sz w:val="20"/>
                <w:szCs w:val="20"/>
                <w:lang w:val="uk-UA"/>
              </w:rPr>
              <w:t xml:space="preserve"> </w:t>
            </w:r>
            <w:r w:rsidR="004E168C" w:rsidRPr="004E168C">
              <w:rPr>
                <w:rFonts w:ascii="Arial"/>
                <w:b/>
                <w:sz w:val="20"/>
                <w:szCs w:val="20"/>
                <w:lang w:val="uk-UA"/>
              </w:rPr>
              <w:t>складності</w:t>
            </w:r>
            <w:r w:rsidR="004E168C" w:rsidRPr="004E168C">
              <w:rPr>
                <w:rFonts w:ascii="Arial"/>
                <w:b/>
                <w:sz w:val="20"/>
                <w:szCs w:val="20"/>
                <w:lang w:val="uk-UA"/>
              </w:rPr>
              <w:t xml:space="preserve"> </w:t>
            </w:r>
            <w:r w:rsidR="004E168C" w:rsidRPr="004E168C">
              <w:rPr>
                <w:rFonts w:ascii="Arial"/>
                <w:b/>
                <w:sz w:val="20"/>
                <w:szCs w:val="20"/>
                <w:lang w:val="uk-UA"/>
              </w:rPr>
              <w:t>та</w:t>
            </w:r>
            <w:r w:rsidR="004E168C" w:rsidRPr="004E168C">
              <w:rPr>
                <w:rFonts w:ascii="Arial"/>
                <w:b/>
                <w:sz w:val="20"/>
                <w:szCs w:val="20"/>
                <w:lang w:val="uk-UA"/>
              </w:rPr>
              <w:t xml:space="preserve"> </w:t>
            </w:r>
            <w:r w:rsidR="004E168C" w:rsidRPr="004E168C">
              <w:rPr>
                <w:rFonts w:ascii="Arial"/>
                <w:b/>
                <w:sz w:val="20"/>
                <w:szCs w:val="20"/>
                <w:lang w:val="uk-UA"/>
              </w:rPr>
              <w:t>аналізу</w:t>
            </w:r>
            <w:r w:rsidR="004E168C" w:rsidRPr="004E168C">
              <w:rPr>
                <w:rFonts w:ascii="Arial"/>
                <w:b/>
                <w:sz w:val="20"/>
                <w:szCs w:val="20"/>
                <w:lang w:val="uk-UA"/>
              </w:rPr>
              <w:t xml:space="preserve"> LF-LAM </w:t>
            </w:r>
            <w:r w:rsidR="004E168C" w:rsidRPr="004E168C">
              <w:rPr>
                <w:rFonts w:ascii="Arial"/>
                <w:b/>
                <w:sz w:val="20"/>
                <w:szCs w:val="20"/>
                <w:lang w:val="uk-UA"/>
              </w:rPr>
              <w:t>на</w:t>
            </w:r>
            <w:r w:rsidR="004E168C" w:rsidRPr="004E168C">
              <w:rPr>
                <w:rFonts w:ascii="Arial"/>
                <w:b/>
                <w:sz w:val="20"/>
                <w:szCs w:val="20"/>
                <w:lang w:val="uk-UA"/>
              </w:rPr>
              <w:t xml:space="preserve"> </w:t>
            </w:r>
            <w:r w:rsidR="004E168C" w:rsidRPr="004E168C">
              <w:rPr>
                <w:rFonts w:ascii="Arial"/>
                <w:b/>
                <w:sz w:val="20"/>
                <w:szCs w:val="20"/>
                <w:lang w:val="uk-UA"/>
              </w:rPr>
              <w:t>зразках</w:t>
            </w:r>
            <w:r w:rsidR="004E168C" w:rsidRPr="004E168C">
              <w:rPr>
                <w:rFonts w:ascii="Arial"/>
                <w:b/>
                <w:sz w:val="20"/>
                <w:szCs w:val="20"/>
                <w:lang w:val="uk-UA"/>
              </w:rPr>
              <w:t xml:space="preserve"> </w:t>
            </w:r>
            <w:r w:rsidR="004E168C" w:rsidRPr="004E168C">
              <w:rPr>
                <w:rFonts w:ascii="Arial"/>
                <w:b/>
                <w:sz w:val="20"/>
                <w:szCs w:val="20"/>
                <w:lang w:val="uk-UA"/>
              </w:rPr>
              <w:t>сечі</w:t>
            </w:r>
            <w:r w:rsidR="004E168C" w:rsidRPr="004E168C">
              <w:rPr>
                <w:rFonts w:ascii="Arial"/>
                <w:b/>
                <w:sz w:val="20"/>
                <w:szCs w:val="20"/>
                <w:lang w:val="uk-UA"/>
              </w:rPr>
              <w:t xml:space="preserve">, </w:t>
            </w:r>
            <w:r w:rsidR="004E168C" w:rsidRPr="004E168C">
              <w:rPr>
                <w:rFonts w:ascii="Arial"/>
                <w:b/>
                <w:sz w:val="20"/>
                <w:szCs w:val="20"/>
                <w:lang w:val="uk-UA"/>
              </w:rPr>
              <w:t>а</w:t>
            </w:r>
            <w:r w:rsidR="004E168C" w:rsidRPr="004E168C">
              <w:rPr>
                <w:rFonts w:ascii="Arial"/>
                <w:b/>
                <w:sz w:val="20"/>
                <w:szCs w:val="20"/>
                <w:lang w:val="uk-UA"/>
              </w:rPr>
              <w:t xml:space="preserve"> </w:t>
            </w:r>
            <w:r w:rsidR="004E168C" w:rsidRPr="004E168C">
              <w:rPr>
                <w:rFonts w:ascii="Arial"/>
                <w:b/>
                <w:sz w:val="20"/>
                <w:szCs w:val="20"/>
                <w:lang w:val="uk-UA"/>
              </w:rPr>
              <w:t>не</w:t>
            </w:r>
            <w:r w:rsidR="004E168C" w:rsidRPr="004E168C">
              <w:rPr>
                <w:rFonts w:ascii="Arial"/>
                <w:b/>
                <w:sz w:val="20"/>
                <w:szCs w:val="20"/>
                <w:lang w:val="uk-UA"/>
              </w:rPr>
              <w:t xml:space="preserve"> </w:t>
            </w:r>
            <w:r w:rsidR="004E168C" w:rsidRPr="004E168C">
              <w:rPr>
                <w:rFonts w:ascii="Arial"/>
                <w:b/>
                <w:sz w:val="20"/>
                <w:szCs w:val="20"/>
                <w:lang w:val="uk-UA"/>
              </w:rPr>
              <w:t>тільки</w:t>
            </w:r>
            <w:r w:rsidR="004E168C" w:rsidRPr="004E168C">
              <w:rPr>
                <w:rFonts w:ascii="Arial"/>
                <w:b/>
                <w:sz w:val="20"/>
                <w:szCs w:val="20"/>
                <w:lang w:val="uk-UA"/>
              </w:rPr>
              <w:t xml:space="preserve"> </w:t>
            </w:r>
            <w:r w:rsidR="004E168C" w:rsidRPr="004E168C">
              <w:rPr>
                <w:rFonts w:ascii="Arial"/>
                <w:b/>
                <w:sz w:val="20"/>
                <w:szCs w:val="20"/>
                <w:lang w:val="uk-UA"/>
              </w:rPr>
              <w:t>автоматизованих</w:t>
            </w:r>
            <w:r w:rsidR="004E168C" w:rsidRPr="004E168C">
              <w:rPr>
                <w:rFonts w:ascii="Arial"/>
                <w:b/>
                <w:sz w:val="20"/>
                <w:szCs w:val="20"/>
                <w:lang w:val="uk-UA"/>
              </w:rPr>
              <w:t xml:space="preserve"> </w:t>
            </w:r>
            <w:r w:rsidR="004E168C" w:rsidRPr="004E168C">
              <w:rPr>
                <w:rFonts w:ascii="Arial"/>
                <w:b/>
                <w:sz w:val="20"/>
                <w:szCs w:val="20"/>
                <w:lang w:val="uk-UA"/>
              </w:rPr>
              <w:t>ТАНК</w:t>
            </w:r>
            <w:r w:rsidR="004E168C" w:rsidRPr="004E168C">
              <w:rPr>
                <w:rFonts w:ascii="Arial"/>
                <w:b/>
                <w:sz w:val="20"/>
                <w:szCs w:val="20"/>
                <w:lang w:val="uk-UA"/>
              </w:rPr>
              <w:t xml:space="preserve"> </w:t>
            </w:r>
            <w:r w:rsidR="004E168C" w:rsidRPr="004E168C">
              <w:rPr>
                <w:rFonts w:ascii="Arial"/>
                <w:b/>
                <w:sz w:val="20"/>
                <w:szCs w:val="20"/>
                <w:lang w:val="uk-UA"/>
              </w:rPr>
              <w:t>низької</w:t>
            </w:r>
            <w:r w:rsidR="004E168C" w:rsidRPr="004E168C">
              <w:rPr>
                <w:rFonts w:ascii="Arial"/>
                <w:b/>
                <w:sz w:val="20"/>
                <w:szCs w:val="20"/>
                <w:lang w:val="uk-UA"/>
              </w:rPr>
              <w:t xml:space="preserve"> </w:t>
            </w:r>
            <w:r w:rsidR="004E168C" w:rsidRPr="004E168C">
              <w:rPr>
                <w:rFonts w:ascii="Arial"/>
                <w:b/>
                <w:sz w:val="20"/>
                <w:szCs w:val="20"/>
                <w:lang w:val="uk-UA"/>
              </w:rPr>
              <w:t>складності</w:t>
            </w:r>
            <w:r w:rsidR="004E168C" w:rsidRPr="004E168C">
              <w:rPr>
                <w:rFonts w:ascii="Arial"/>
                <w:b/>
                <w:sz w:val="20"/>
                <w:szCs w:val="20"/>
                <w:lang w:val="uk-UA"/>
              </w:rPr>
              <w:t xml:space="preserve"> </w:t>
            </w:r>
            <w:r w:rsidR="004E168C" w:rsidRPr="004E168C">
              <w:rPr>
                <w:rFonts w:ascii="Arial"/>
                <w:b/>
                <w:sz w:val="20"/>
                <w:szCs w:val="20"/>
                <w:lang w:val="uk-UA"/>
              </w:rPr>
              <w:t>на</w:t>
            </w:r>
            <w:r w:rsidR="004E168C" w:rsidRPr="004E168C">
              <w:rPr>
                <w:rFonts w:ascii="Arial"/>
                <w:b/>
                <w:sz w:val="20"/>
                <w:szCs w:val="20"/>
                <w:lang w:val="uk-UA"/>
              </w:rPr>
              <w:t xml:space="preserve"> </w:t>
            </w:r>
            <w:r w:rsidR="004E168C" w:rsidRPr="004E168C">
              <w:rPr>
                <w:rFonts w:ascii="Arial"/>
                <w:b/>
                <w:sz w:val="20"/>
                <w:szCs w:val="20"/>
                <w:lang w:val="uk-UA"/>
              </w:rPr>
              <w:t>зразках</w:t>
            </w:r>
            <w:r w:rsidR="004E168C" w:rsidRPr="004E168C">
              <w:rPr>
                <w:rFonts w:ascii="Arial"/>
                <w:b/>
                <w:sz w:val="20"/>
                <w:szCs w:val="20"/>
                <w:lang w:val="uk-UA"/>
              </w:rPr>
              <w:t xml:space="preserve"> </w:t>
            </w:r>
            <w:r w:rsidR="004E168C" w:rsidRPr="004E168C">
              <w:rPr>
                <w:rFonts w:ascii="Arial"/>
                <w:b/>
                <w:sz w:val="20"/>
                <w:szCs w:val="20"/>
                <w:lang w:val="uk-UA"/>
              </w:rPr>
              <w:t>із</w:t>
            </w:r>
            <w:r w:rsidR="004E168C" w:rsidRPr="004E168C">
              <w:rPr>
                <w:rFonts w:ascii="Arial"/>
                <w:b/>
                <w:sz w:val="20"/>
                <w:szCs w:val="20"/>
                <w:lang w:val="uk-UA"/>
              </w:rPr>
              <w:t xml:space="preserve"> </w:t>
            </w:r>
            <w:r w:rsidR="004E168C" w:rsidRPr="004E168C">
              <w:rPr>
                <w:rFonts w:ascii="Arial"/>
                <w:b/>
                <w:sz w:val="20"/>
                <w:szCs w:val="20"/>
                <w:lang w:val="uk-UA"/>
              </w:rPr>
              <w:t>дихальних</w:t>
            </w:r>
            <w:r w:rsidR="004E168C" w:rsidRPr="004E168C">
              <w:rPr>
                <w:rFonts w:ascii="Arial"/>
                <w:b/>
                <w:sz w:val="20"/>
                <w:szCs w:val="20"/>
                <w:lang w:val="uk-UA"/>
              </w:rPr>
              <w:t xml:space="preserve"> </w:t>
            </w:r>
            <w:r w:rsidR="004E168C" w:rsidRPr="004E168C">
              <w:rPr>
                <w:rFonts w:ascii="Arial"/>
                <w:b/>
                <w:sz w:val="20"/>
                <w:szCs w:val="20"/>
                <w:lang w:val="uk-UA"/>
              </w:rPr>
              <w:t>шляхів</w:t>
            </w:r>
            <w:r w:rsidR="004E168C" w:rsidRPr="004E168C">
              <w:rPr>
                <w:rFonts w:ascii="Arial"/>
                <w:b/>
                <w:sz w:val="20"/>
                <w:szCs w:val="20"/>
                <w:lang w:val="uk-UA"/>
              </w:rPr>
              <w:t xml:space="preserve"> </w:t>
            </w:r>
            <w:r w:rsidR="004E168C" w:rsidRPr="004E168C">
              <w:rPr>
                <w:rFonts w:ascii="Arial"/>
                <w:b/>
                <w:sz w:val="20"/>
                <w:szCs w:val="20"/>
                <w:lang w:val="uk-UA"/>
              </w:rPr>
              <w:t>або</w:t>
            </w:r>
            <w:r w:rsidR="004E168C" w:rsidRPr="004E168C">
              <w:rPr>
                <w:rFonts w:ascii="Arial"/>
                <w:b/>
                <w:sz w:val="20"/>
                <w:szCs w:val="20"/>
                <w:lang w:val="uk-UA"/>
              </w:rPr>
              <w:t xml:space="preserve"> </w:t>
            </w:r>
            <w:r w:rsidR="004E168C" w:rsidRPr="004E168C">
              <w:rPr>
                <w:rFonts w:ascii="Arial"/>
                <w:b/>
                <w:sz w:val="20"/>
                <w:szCs w:val="20"/>
                <w:lang w:val="uk-UA"/>
              </w:rPr>
              <w:t>на</w:t>
            </w:r>
            <w:r w:rsidR="004E168C" w:rsidRPr="004E168C">
              <w:rPr>
                <w:rFonts w:ascii="Arial"/>
                <w:b/>
                <w:sz w:val="20"/>
                <w:szCs w:val="20"/>
                <w:lang w:val="uk-UA"/>
              </w:rPr>
              <w:t xml:space="preserve"> </w:t>
            </w:r>
            <w:r w:rsidR="004E168C" w:rsidRPr="004E168C">
              <w:rPr>
                <w:rFonts w:ascii="Arial"/>
                <w:b/>
                <w:sz w:val="20"/>
                <w:szCs w:val="20"/>
                <w:lang w:val="uk-UA"/>
              </w:rPr>
              <w:t>зразках</w:t>
            </w:r>
            <w:r w:rsidR="004E168C" w:rsidRPr="004E168C">
              <w:rPr>
                <w:rFonts w:ascii="Arial"/>
                <w:b/>
                <w:sz w:val="20"/>
                <w:szCs w:val="20"/>
                <w:lang w:val="uk-UA"/>
              </w:rPr>
              <w:t xml:space="preserve"> </w:t>
            </w:r>
            <w:r w:rsidR="004E168C" w:rsidRPr="004E168C">
              <w:rPr>
                <w:rFonts w:ascii="Arial"/>
                <w:b/>
                <w:sz w:val="20"/>
                <w:szCs w:val="20"/>
                <w:lang w:val="uk-UA"/>
              </w:rPr>
              <w:t>калу</w:t>
            </w:r>
            <w:r w:rsidRPr="00821945">
              <w:rPr>
                <w:rFonts w:ascii="Arial"/>
                <w:b/>
                <w:sz w:val="20"/>
                <w:szCs w:val="20"/>
                <w:lang w:val="uk-UA"/>
              </w:rPr>
              <w:t>.</w:t>
            </w:r>
          </w:p>
          <w:p w14:paraId="74543D06" w14:textId="7489B9E2" w:rsidR="00E05B98" w:rsidRPr="003C6DAE" w:rsidRDefault="00B01E0C">
            <w:pPr>
              <w:pStyle w:val="TableParagraph"/>
              <w:spacing w:before="165"/>
              <w:ind w:left="680"/>
              <w:rPr>
                <w:rFonts w:ascii="Arial"/>
                <w:i/>
                <w:lang w:val="uk-UA"/>
              </w:rPr>
            </w:pPr>
            <w:r w:rsidRPr="00821945">
              <w:rPr>
                <w:rFonts w:ascii="Arial"/>
                <w:i/>
                <w:sz w:val="20"/>
                <w:szCs w:val="20"/>
                <w:lang w:val="uk-UA"/>
              </w:rPr>
              <w:t>(</w:t>
            </w:r>
            <w:r w:rsidR="00011CD4">
              <w:rPr>
                <w:rFonts w:ascii="Arial"/>
                <w:i/>
                <w:sz w:val="20"/>
                <w:szCs w:val="20"/>
                <w:lang w:val="uk-UA"/>
              </w:rPr>
              <w:t>Умовна</w:t>
            </w:r>
            <w:r w:rsidR="00011CD4">
              <w:rPr>
                <w:rFonts w:ascii="Arial"/>
                <w:i/>
                <w:sz w:val="20"/>
                <w:szCs w:val="20"/>
                <w:lang w:val="uk-UA"/>
              </w:rPr>
              <w:t xml:space="preserve"> </w:t>
            </w:r>
            <w:r w:rsidR="00011CD4">
              <w:rPr>
                <w:rFonts w:ascii="Arial"/>
                <w:i/>
                <w:sz w:val="20"/>
                <w:szCs w:val="20"/>
                <w:lang w:val="uk-UA"/>
              </w:rPr>
              <w:t>реком</w:t>
            </w:r>
            <w:r w:rsidR="007174AC">
              <w:rPr>
                <w:rFonts w:ascii="Arial"/>
                <w:i/>
                <w:sz w:val="20"/>
                <w:szCs w:val="20"/>
                <w:lang w:val="uk-UA"/>
              </w:rPr>
              <w:t>е</w:t>
            </w:r>
            <w:r w:rsidR="00011CD4">
              <w:rPr>
                <w:rFonts w:ascii="Arial"/>
                <w:i/>
                <w:sz w:val="20"/>
                <w:szCs w:val="20"/>
                <w:lang w:val="uk-UA"/>
              </w:rPr>
              <w:t>ндація</w:t>
            </w:r>
            <w:r w:rsidRPr="00821945">
              <w:rPr>
                <w:rFonts w:ascii="Arial"/>
                <w:i/>
                <w:sz w:val="20"/>
                <w:szCs w:val="20"/>
                <w:lang w:val="uk-UA"/>
              </w:rPr>
              <w:t>,</w:t>
            </w:r>
            <w:r w:rsidRPr="00821945">
              <w:rPr>
                <w:rFonts w:ascii="Arial"/>
                <w:i/>
                <w:spacing w:val="-3"/>
                <w:sz w:val="20"/>
                <w:szCs w:val="20"/>
                <w:lang w:val="uk-UA"/>
              </w:rPr>
              <w:t xml:space="preserve"> </w:t>
            </w:r>
            <w:r w:rsidR="005A7875">
              <w:rPr>
                <w:rFonts w:ascii="Arial"/>
                <w:i/>
                <w:sz w:val="20"/>
                <w:szCs w:val="20"/>
                <w:lang w:val="uk-UA"/>
              </w:rPr>
              <w:t>низький</w:t>
            </w:r>
            <w:r w:rsidR="007174AC">
              <w:rPr>
                <w:rFonts w:ascii="Arial"/>
                <w:i/>
                <w:sz w:val="20"/>
                <w:szCs w:val="20"/>
                <w:lang w:val="uk-UA"/>
              </w:rPr>
              <w:t xml:space="preserve"> </w:t>
            </w:r>
            <w:r w:rsidR="007174AC">
              <w:rPr>
                <w:rFonts w:ascii="Arial"/>
                <w:i/>
                <w:sz w:val="20"/>
                <w:szCs w:val="20"/>
                <w:lang w:val="uk-UA"/>
              </w:rPr>
              <w:t>ступінь</w:t>
            </w:r>
            <w:r w:rsidR="00011CD4">
              <w:rPr>
                <w:rFonts w:ascii="Arial"/>
                <w:i/>
                <w:sz w:val="20"/>
                <w:szCs w:val="20"/>
                <w:lang w:val="uk-UA"/>
              </w:rPr>
              <w:t xml:space="preserve"> </w:t>
            </w:r>
            <w:r w:rsidR="00011CD4">
              <w:rPr>
                <w:rFonts w:ascii="Arial"/>
                <w:i/>
                <w:sz w:val="20"/>
                <w:szCs w:val="20"/>
                <w:lang w:val="uk-UA"/>
              </w:rPr>
              <w:t>достовірн</w:t>
            </w:r>
            <w:r w:rsidR="007174AC">
              <w:rPr>
                <w:rFonts w:ascii="Arial"/>
                <w:i/>
                <w:sz w:val="20"/>
                <w:szCs w:val="20"/>
                <w:lang w:val="uk-UA"/>
              </w:rPr>
              <w:t>ості</w:t>
            </w:r>
            <w:r w:rsidR="00011CD4">
              <w:rPr>
                <w:rFonts w:ascii="Arial"/>
                <w:i/>
                <w:sz w:val="20"/>
                <w:szCs w:val="20"/>
                <w:lang w:val="uk-UA"/>
              </w:rPr>
              <w:t xml:space="preserve"> </w:t>
            </w:r>
            <w:r w:rsidR="00011CD4">
              <w:rPr>
                <w:rFonts w:ascii="Arial"/>
                <w:i/>
                <w:sz w:val="20"/>
                <w:szCs w:val="20"/>
                <w:lang w:val="uk-UA"/>
              </w:rPr>
              <w:t>доказів</w:t>
            </w:r>
            <w:r w:rsidR="00011CD4">
              <w:rPr>
                <w:rFonts w:ascii="Arial"/>
                <w:i/>
                <w:sz w:val="20"/>
                <w:szCs w:val="20"/>
                <w:lang w:val="uk-UA"/>
              </w:rPr>
              <w:t xml:space="preserve"> </w:t>
            </w:r>
            <w:r w:rsidR="00011CD4">
              <w:rPr>
                <w:rFonts w:ascii="Arial"/>
                <w:i/>
                <w:sz w:val="20"/>
                <w:szCs w:val="20"/>
                <w:lang w:val="uk-UA"/>
              </w:rPr>
              <w:t>точності</w:t>
            </w:r>
            <w:r w:rsidR="00011CD4">
              <w:rPr>
                <w:rFonts w:ascii="Arial"/>
                <w:i/>
                <w:sz w:val="20"/>
                <w:szCs w:val="20"/>
                <w:lang w:val="uk-UA"/>
              </w:rPr>
              <w:t xml:space="preserve"> </w:t>
            </w:r>
            <w:r w:rsidR="00011CD4">
              <w:rPr>
                <w:rFonts w:ascii="Arial"/>
                <w:i/>
                <w:sz w:val="20"/>
                <w:szCs w:val="20"/>
                <w:lang w:val="uk-UA"/>
              </w:rPr>
              <w:t>тесту</w:t>
            </w:r>
            <w:r w:rsidRPr="00821945">
              <w:rPr>
                <w:rFonts w:ascii="Arial"/>
                <w:i/>
                <w:spacing w:val="-2"/>
                <w:sz w:val="20"/>
                <w:szCs w:val="20"/>
                <w:lang w:val="uk-UA"/>
              </w:rPr>
              <w:t>)</w:t>
            </w:r>
          </w:p>
        </w:tc>
      </w:tr>
    </w:tbl>
    <w:p w14:paraId="0950B62A" w14:textId="576F4BF3" w:rsidR="00E05B98" w:rsidRPr="004E168C" w:rsidRDefault="00DA5A55">
      <w:pPr>
        <w:pStyle w:val="6"/>
        <w:spacing w:before="209"/>
        <w:rPr>
          <w:sz w:val="22"/>
          <w:szCs w:val="22"/>
          <w:lang w:val="uk-UA"/>
        </w:rPr>
      </w:pPr>
      <w:r>
        <w:rPr>
          <w:spacing w:val="-2"/>
          <w:sz w:val="22"/>
          <w:szCs w:val="22"/>
          <w:lang w:val="uk-UA"/>
        </w:rPr>
        <w:t>Примітки</w:t>
      </w:r>
    </w:p>
    <w:p w14:paraId="1D00FE97" w14:textId="276CE73D" w:rsidR="00DB5D23" w:rsidRPr="00DB5D23" w:rsidRDefault="00DB5D23" w:rsidP="004A2937">
      <w:pPr>
        <w:pStyle w:val="a4"/>
        <w:numPr>
          <w:ilvl w:val="3"/>
          <w:numId w:val="31"/>
        </w:numPr>
        <w:tabs>
          <w:tab w:val="left" w:pos="850"/>
        </w:tabs>
        <w:spacing w:before="2" w:line="297" w:lineRule="auto"/>
        <w:ind w:right="139" w:hanging="283"/>
        <w:rPr>
          <w:sz w:val="20"/>
          <w:szCs w:val="20"/>
          <w:lang w:val="uk-UA"/>
        </w:rPr>
      </w:pPr>
      <w:r w:rsidRPr="00DB5D23">
        <w:rPr>
          <w:sz w:val="20"/>
          <w:szCs w:val="20"/>
          <w:lang w:val="uk-UA"/>
        </w:rPr>
        <w:t xml:space="preserve">У цій рекомендації пріоритет надається одночасному тестуванню різних типів </w:t>
      </w:r>
      <w:r w:rsidR="005A7875" w:rsidRPr="00DB5D23">
        <w:rPr>
          <w:sz w:val="20"/>
          <w:szCs w:val="20"/>
          <w:lang w:val="uk-UA"/>
        </w:rPr>
        <w:t>зразків</w:t>
      </w:r>
      <w:r w:rsidRPr="00DB5D23">
        <w:rPr>
          <w:sz w:val="20"/>
          <w:szCs w:val="20"/>
          <w:lang w:val="uk-UA"/>
        </w:rPr>
        <w:t xml:space="preserve"> над використанням молекулярного </w:t>
      </w:r>
      <w:r w:rsidR="005A7875">
        <w:rPr>
          <w:sz w:val="20"/>
          <w:szCs w:val="20"/>
          <w:lang w:val="uk-UA"/>
        </w:rPr>
        <w:t>дослідження</w:t>
      </w:r>
      <w:r w:rsidRPr="00DB5D23">
        <w:rPr>
          <w:sz w:val="20"/>
          <w:szCs w:val="20"/>
          <w:lang w:val="uk-UA"/>
        </w:rPr>
        <w:t xml:space="preserve"> та аналізу LF-LAM окремо для діагностики ТБ у дітей з ВІЛ-інфекцією.</w:t>
      </w:r>
    </w:p>
    <w:p w14:paraId="71A01F90" w14:textId="3E7FA877" w:rsidR="00E05B98" w:rsidRPr="00821945" w:rsidRDefault="00DB5D23" w:rsidP="004A2937">
      <w:pPr>
        <w:pStyle w:val="a4"/>
        <w:numPr>
          <w:ilvl w:val="3"/>
          <w:numId w:val="31"/>
        </w:numPr>
        <w:tabs>
          <w:tab w:val="left" w:pos="850"/>
        </w:tabs>
        <w:spacing w:before="2" w:line="297" w:lineRule="auto"/>
        <w:ind w:right="139" w:hanging="283"/>
        <w:rPr>
          <w:sz w:val="20"/>
          <w:szCs w:val="20"/>
          <w:lang w:val="uk-UA"/>
        </w:rPr>
      </w:pPr>
      <w:r w:rsidRPr="00DB5D23">
        <w:rPr>
          <w:sz w:val="20"/>
          <w:szCs w:val="20"/>
          <w:lang w:val="uk-UA"/>
        </w:rPr>
        <w:t xml:space="preserve">Також було оцінено використання аТАНК-НС на </w:t>
      </w:r>
      <w:r w:rsidR="007174AC">
        <w:rPr>
          <w:sz w:val="20"/>
          <w:szCs w:val="20"/>
          <w:lang w:val="uk-UA"/>
        </w:rPr>
        <w:t>окремих</w:t>
      </w:r>
      <w:r w:rsidRPr="00DB5D23">
        <w:rPr>
          <w:sz w:val="20"/>
          <w:szCs w:val="20"/>
          <w:lang w:val="uk-UA"/>
        </w:rPr>
        <w:t xml:space="preserve"> зразках. Результати підтвердили доцільність використання аналізу аТАНК-НС на зразках мокротиння, шлункового аспірату, калу або аспірату із носоглотки для початкового діагностичного тестування на ТБ у ВІЛ-позитивних дітей з ознаками або симптомами ТБ або з позитивним результатом скринінгу на ТБ легень, замість мазка або бакпосіву.</w:t>
      </w:r>
    </w:p>
    <w:p w14:paraId="26E7D4D2" w14:textId="22E75D4D" w:rsidR="00E05B98" w:rsidRPr="00821945" w:rsidRDefault="00DB5D23" w:rsidP="004A2937">
      <w:pPr>
        <w:pStyle w:val="a4"/>
        <w:numPr>
          <w:ilvl w:val="3"/>
          <w:numId w:val="31"/>
        </w:numPr>
        <w:tabs>
          <w:tab w:val="left" w:pos="850"/>
        </w:tabs>
        <w:spacing w:before="5" w:line="297" w:lineRule="auto"/>
        <w:ind w:right="140" w:hanging="284"/>
        <w:rPr>
          <w:sz w:val="20"/>
          <w:szCs w:val="20"/>
          <w:lang w:val="uk-UA"/>
        </w:rPr>
      </w:pPr>
      <w:r w:rsidRPr="00DB5D23">
        <w:rPr>
          <w:spacing w:val="-2"/>
          <w:w w:val="105"/>
          <w:sz w:val="20"/>
          <w:szCs w:val="20"/>
          <w:lang w:val="uk-UA"/>
        </w:rPr>
        <w:t xml:space="preserve">Ця рекомендація є умовною, оскільки отримані дані вказують на помірні небажані </w:t>
      </w:r>
      <w:r w:rsidR="009405E0">
        <w:rPr>
          <w:spacing w:val="-2"/>
          <w:w w:val="105"/>
          <w:sz w:val="20"/>
          <w:szCs w:val="20"/>
          <w:lang w:val="uk-UA"/>
        </w:rPr>
        <w:t>результати</w:t>
      </w:r>
      <w:r w:rsidRPr="00DB5D23">
        <w:rPr>
          <w:spacing w:val="-2"/>
          <w:w w:val="105"/>
          <w:sz w:val="20"/>
          <w:szCs w:val="20"/>
          <w:lang w:val="uk-UA"/>
        </w:rPr>
        <w:t xml:space="preserve"> (тобто зниження специфічності, що призводить до більшої кількості хибнопозитивних результатів) порівняно зі стратегією тестування одного зразка</w:t>
      </w:r>
      <w:r w:rsidR="00B01E0C" w:rsidRPr="00821945">
        <w:rPr>
          <w:w w:val="105"/>
          <w:sz w:val="20"/>
          <w:szCs w:val="20"/>
          <w:lang w:val="uk-UA"/>
        </w:rPr>
        <w:t>.</w:t>
      </w:r>
    </w:p>
    <w:p w14:paraId="26DC395C" w14:textId="455E2F4E" w:rsidR="00E05B98" w:rsidRPr="00821945" w:rsidRDefault="00DB5D23" w:rsidP="004A2937">
      <w:pPr>
        <w:pStyle w:val="a4"/>
        <w:numPr>
          <w:ilvl w:val="3"/>
          <w:numId w:val="31"/>
        </w:numPr>
        <w:tabs>
          <w:tab w:val="left" w:pos="850"/>
        </w:tabs>
        <w:spacing w:before="4" w:line="297" w:lineRule="auto"/>
        <w:ind w:right="136" w:hanging="284"/>
        <w:rPr>
          <w:sz w:val="20"/>
          <w:szCs w:val="20"/>
          <w:lang w:val="uk-UA"/>
        </w:rPr>
      </w:pPr>
      <w:r w:rsidRPr="00DB5D23">
        <w:rPr>
          <w:w w:val="105"/>
          <w:sz w:val="20"/>
          <w:szCs w:val="20"/>
          <w:lang w:val="uk-UA"/>
        </w:rPr>
        <w:t>Пр</w:t>
      </w:r>
      <w:r w:rsidR="009405E0">
        <w:rPr>
          <w:w w:val="105"/>
          <w:sz w:val="20"/>
          <w:szCs w:val="20"/>
          <w:lang w:val="uk-UA"/>
        </w:rPr>
        <w:t>одуктом</w:t>
      </w:r>
      <w:r w:rsidRPr="00DB5D23">
        <w:rPr>
          <w:w w:val="105"/>
          <w:sz w:val="20"/>
          <w:szCs w:val="20"/>
          <w:lang w:val="uk-UA"/>
        </w:rPr>
        <w:t>, дані щодо якого відповідали критеріям ефективності на основі класу тестів аТАНК-НС для цієї рекомендації, був Xpert MTB/RIF Ultra. Ефективність Truenat MTB Plus та MTB-RIF Dx для цієї рекомендації оцінити не вдалося, оскільки дані були недоступні</w:t>
      </w:r>
      <w:r w:rsidR="00B01E0C" w:rsidRPr="00821945">
        <w:rPr>
          <w:sz w:val="20"/>
          <w:szCs w:val="20"/>
          <w:lang w:val="uk-UA"/>
        </w:rPr>
        <w:t>.</w:t>
      </w:r>
    </w:p>
    <w:p w14:paraId="69913352" w14:textId="77777777" w:rsidR="00E05B98" w:rsidRPr="00821945" w:rsidRDefault="00E05B98">
      <w:pPr>
        <w:pStyle w:val="a3"/>
        <w:spacing w:before="9"/>
        <w:rPr>
          <w:sz w:val="20"/>
          <w:szCs w:val="20"/>
          <w:lang w:val="uk-UA"/>
        </w:rPr>
      </w:pPr>
    </w:p>
    <w:p w14:paraId="026AB3C6" w14:textId="543B24C1" w:rsidR="00E05B98" w:rsidRPr="00821945" w:rsidRDefault="00DB5D23">
      <w:pPr>
        <w:pStyle w:val="5"/>
        <w:rPr>
          <w:sz w:val="26"/>
          <w:szCs w:val="26"/>
          <w:lang w:val="uk-UA"/>
        </w:rPr>
      </w:pPr>
      <w:r w:rsidRPr="00DB5D23">
        <w:rPr>
          <w:color w:val="019648"/>
          <w:sz w:val="26"/>
          <w:szCs w:val="26"/>
          <w:lang w:val="uk-UA"/>
        </w:rPr>
        <w:t>Обґрунтування та докази</w:t>
      </w:r>
    </w:p>
    <w:p w14:paraId="527F6462" w14:textId="168601F1" w:rsidR="00E05B98" w:rsidRPr="00821945" w:rsidRDefault="00DB5D23">
      <w:pPr>
        <w:pStyle w:val="a3"/>
        <w:spacing w:before="218" w:line="297" w:lineRule="auto"/>
        <w:ind w:left="567" w:right="136"/>
        <w:jc w:val="both"/>
        <w:rPr>
          <w:sz w:val="20"/>
          <w:szCs w:val="20"/>
          <w:lang w:val="uk-UA"/>
        </w:rPr>
      </w:pPr>
      <w:r w:rsidRPr="00DB5D23">
        <w:rPr>
          <w:spacing w:val="-2"/>
          <w:sz w:val="20"/>
          <w:szCs w:val="20"/>
          <w:lang w:val="uk-UA"/>
        </w:rPr>
        <w:t>У якості  першого тесту рекомендується використовувати аТАНК-НС на зразках із дихальних шляхів та калу, а також аналіз LF-LAM на зразках сечі для дітей з симптомами ВІЛ, які ймовірно мають захворювання на ТБ, і їх слід використовувати для діагностики ТБ.</w:t>
      </w:r>
    </w:p>
    <w:p w14:paraId="7C3AD8F2" w14:textId="284D31C4" w:rsidR="00E05B98" w:rsidRPr="003C6DAE" w:rsidRDefault="001E664F">
      <w:pPr>
        <w:pStyle w:val="a3"/>
        <w:spacing w:before="174" w:line="297" w:lineRule="auto"/>
        <w:ind w:left="567" w:right="139"/>
        <w:jc w:val="both"/>
        <w:rPr>
          <w:lang w:val="uk-UA"/>
        </w:rPr>
      </w:pPr>
      <w:r w:rsidRPr="001E664F">
        <w:rPr>
          <w:spacing w:val="-2"/>
          <w:sz w:val="20"/>
          <w:szCs w:val="20"/>
          <w:lang w:val="uk-UA"/>
        </w:rPr>
        <w:t>Попередні систематичні огляди традиційно оцінювали діагностичну точність аТАНК-НС на двох типах зразків та LF-LAM окремо на зразку сечі для виявлення ТБ у дітей, але в клінічній практиці тести можуть використовуватися одночасно (тобто аТАНК-НС на зразках з дихальних шляхів і калу та LF-LAM на зразках сечі), і разом вони підвищують чутливість</w:t>
      </w:r>
      <w:r w:rsidR="00B01E0C" w:rsidRPr="00821945">
        <w:rPr>
          <w:sz w:val="20"/>
          <w:szCs w:val="20"/>
          <w:lang w:val="uk-UA"/>
        </w:rPr>
        <w:t>.</w:t>
      </w:r>
    </w:p>
    <w:p w14:paraId="78A1A87B" w14:textId="6C6773E6" w:rsidR="00E05B98" w:rsidRPr="00821945" w:rsidRDefault="001E664F">
      <w:pPr>
        <w:pStyle w:val="5"/>
        <w:spacing w:before="202"/>
        <w:rPr>
          <w:sz w:val="26"/>
          <w:szCs w:val="26"/>
          <w:lang w:val="uk-UA"/>
        </w:rPr>
      </w:pPr>
      <w:r w:rsidRPr="001E664F">
        <w:rPr>
          <w:color w:val="019648"/>
          <w:spacing w:val="2"/>
          <w:sz w:val="26"/>
          <w:szCs w:val="26"/>
          <w:lang w:val="uk-UA"/>
        </w:rPr>
        <w:t xml:space="preserve">Підвищення точності діагностики </w:t>
      </w:r>
    </w:p>
    <w:p w14:paraId="6CC97E87" w14:textId="3A32D400" w:rsidR="00E05B98" w:rsidRDefault="007D5B6F" w:rsidP="009405E0">
      <w:pPr>
        <w:pStyle w:val="7"/>
        <w:spacing w:before="231" w:line="250" w:lineRule="auto"/>
        <w:ind w:right="159"/>
        <w:jc w:val="both"/>
        <w:rPr>
          <w:color w:val="019648"/>
          <w:w w:val="105"/>
          <w:sz w:val="22"/>
          <w:szCs w:val="22"/>
          <w:lang w:val="uk-UA"/>
        </w:rPr>
      </w:pPr>
      <w:r w:rsidRPr="009405E0">
        <w:rPr>
          <w:color w:val="019648"/>
          <w:w w:val="105"/>
          <w:sz w:val="22"/>
          <w:szCs w:val="22"/>
          <w:lang w:val="uk-UA"/>
        </w:rPr>
        <w:t>Як</w:t>
      </w:r>
      <w:r w:rsidR="00505664">
        <w:rPr>
          <w:color w:val="019648"/>
          <w:w w:val="105"/>
          <w:sz w:val="22"/>
          <w:szCs w:val="22"/>
          <w:lang w:val="uk-UA"/>
        </w:rPr>
        <w:t xml:space="preserve">им є </w:t>
      </w:r>
      <w:r w:rsidR="00634275">
        <w:rPr>
          <w:color w:val="019648"/>
          <w:w w:val="105"/>
          <w:sz w:val="22"/>
          <w:szCs w:val="22"/>
          <w:lang w:val="uk-UA"/>
        </w:rPr>
        <w:t>показник</w:t>
      </w:r>
      <w:r w:rsidR="00B51447">
        <w:rPr>
          <w:color w:val="019648"/>
          <w:w w:val="105"/>
          <w:sz w:val="22"/>
          <w:szCs w:val="22"/>
          <w:lang w:val="uk-UA"/>
        </w:rPr>
        <w:t xml:space="preserve"> підвищення</w:t>
      </w:r>
      <w:r w:rsidRPr="009405E0">
        <w:rPr>
          <w:color w:val="019648"/>
          <w:w w:val="105"/>
          <w:sz w:val="22"/>
          <w:szCs w:val="22"/>
          <w:lang w:val="uk-UA"/>
        </w:rPr>
        <w:t xml:space="preserve"> </w:t>
      </w:r>
      <w:r w:rsidR="00B51447">
        <w:rPr>
          <w:color w:val="019648"/>
          <w:w w:val="105"/>
          <w:sz w:val="22"/>
          <w:szCs w:val="22"/>
          <w:lang w:val="uk-UA"/>
        </w:rPr>
        <w:t xml:space="preserve">точності </w:t>
      </w:r>
      <w:r w:rsidRPr="009405E0">
        <w:rPr>
          <w:color w:val="019648"/>
          <w:w w:val="105"/>
          <w:sz w:val="22"/>
          <w:szCs w:val="22"/>
          <w:lang w:val="uk-UA"/>
        </w:rPr>
        <w:t>діагности</w:t>
      </w:r>
      <w:r w:rsidR="00B51447">
        <w:rPr>
          <w:color w:val="019648"/>
          <w:w w:val="105"/>
          <w:sz w:val="22"/>
          <w:szCs w:val="22"/>
          <w:lang w:val="uk-UA"/>
        </w:rPr>
        <w:t>ки при</w:t>
      </w:r>
      <w:r w:rsidRPr="009405E0">
        <w:rPr>
          <w:color w:val="019648"/>
          <w:w w:val="105"/>
          <w:sz w:val="22"/>
          <w:szCs w:val="22"/>
          <w:lang w:val="uk-UA"/>
        </w:rPr>
        <w:t xml:space="preserve"> одночасно</w:t>
      </w:r>
      <w:r w:rsidR="00B51447">
        <w:rPr>
          <w:color w:val="019648"/>
          <w:w w:val="105"/>
          <w:sz w:val="22"/>
          <w:szCs w:val="22"/>
          <w:lang w:val="uk-UA"/>
        </w:rPr>
        <w:t>му</w:t>
      </w:r>
      <w:r w:rsidRPr="009405E0">
        <w:rPr>
          <w:color w:val="019648"/>
          <w:w w:val="105"/>
          <w:sz w:val="22"/>
          <w:szCs w:val="22"/>
          <w:lang w:val="uk-UA"/>
        </w:rPr>
        <w:t xml:space="preserve"> використанн</w:t>
      </w:r>
      <w:r w:rsidR="00B51447">
        <w:rPr>
          <w:color w:val="019648"/>
          <w:w w:val="105"/>
          <w:sz w:val="22"/>
          <w:szCs w:val="22"/>
          <w:lang w:val="uk-UA"/>
        </w:rPr>
        <w:t>і</w:t>
      </w:r>
      <w:r w:rsidRPr="009405E0">
        <w:rPr>
          <w:color w:val="019648"/>
          <w:w w:val="105"/>
          <w:sz w:val="22"/>
          <w:szCs w:val="22"/>
          <w:lang w:val="uk-UA"/>
        </w:rPr>
        <w:t xml:space="preserve"> аТАНК-НС на зразках з дихальних шляхів і калу та аналізу LF-LAM на зразках сечі порівняно з дослідженням лише одного типу зразка окремо для діагностики ТБ легень у дітей з ВІЛ, з ознаками та симптомами ТБ або позитивним результатом скринінгу на ТБ легень порівняно з будь-яким із тестів (комбінованим аТАНК-НС або LF-LAM) для дослідження окремого типу зразка?</w:t>
      </w:r>
    </w:p>
    <w:p w14:paraId="5AC9CDD4" w14:textId="77777777" w:rsidR="00B51447" w:rsidRPr="00B51447" w:rsidRDefault="00B51447" w:rsidP="009405E0">
      <w:pPr>
        <w:pStyle w:val="7"/>
        <w:spacing w:before="231" w:line="250" w:lineRule="auto"/>
        <w:ind w:right="159"/>
        <w:jc w:val="both"/>
        <w:rPr>
          <w:sz w:val="6"/>
          <w:szCs w:val="6"/>
          <w:lang w:val="uk-UA"/>
        </w:rPr>
      </w:pPr>
    </w:p>
    <w:p w14:paraId="513BEF3B" w14:textId="0A5578DD" w:rsidR="007407D5" w:rsidRDefault="00641F4C">
      <w:pPr>
        <w:pStyle w:val="a3"/>
        <w:spacing w:before="52" w:line="297" w:lineRule="auto"/>
        <w:ind w:left="567" w:right="139"/>
        <w:jc w:val="both"/>
        <w:rPr>
          <w:spacing w:val="-4"/>
          <w:sz w:val="20"/>
          <w:szCs w:val="20"/>
          <w:lang w:val="uk-UA"/>
        </w:rPr>
      </w:pPr>
      <w:r w:rsidRPr="00641F4C">
        <w:rPr>
          <w:spacing w:val="-4"/>
          <w:sz w:val="20"/>
          <w:szCs w:val="20"/>
          <w:lang w:val="uk-UA"/>
        </w:rPr>
        <w:t xml:space="preserve">За результатами шести досліджень (653 учасники, в тому числі 43 [6,6%] - з ТБ), включених до метааналізу для MRS, </w:t>
      </w:r>
      <w:r w:rsidR="007407D5">
        <w:rPr>
          <w:spacing w:val="-4"/>
          <w:sz w:val="20"/>
          <w:szCs w:val="20"/>
          <w:lang w:val="uk-UA"/>
        </w:rPr>
        <w:t>за оцінками</w:t>
      </w:r>
      <w:r w:rsidRPr="00641F4C">
        <w:rPr>
          <w:spacing w:val="-4"/>
          <w:sz w:val="20"/>
          <w:szCs w:val="20"/>
          <w:lang w:val="uk-UA"/>
        </w:rPr>
        <w:t xml:space="preserve"> діагностична точність одночасного використання аТАНК-НС на зразках із </w:t>
      </w:r>
    </w:p>
    <w:p w14:paraId="018F90D0" w14:textId="77777777" w:rsidR="007407D5" w:rsidRDefault="007407D5">
      <w:pPr>
        <w:pStyle w:val="a3"/>
        <w:spacing w:before="52" w:line="297" w:lineRule="auto"/>
        <w:ind w:left="567" w:right="139"/>
        <w:jc w:val="both"/>
        <w:rPr>
          <w:spacing w:val="-4"/>
          <w:sz w:val="20"/>
          <w:szCs w:val="20"/>
          <w:lang w:val="uk-UA"/>
        </w:rPr>
      </w:pPr>
    </w:p>
    <w:p w14:paraId="26484B7A" w14:textId="77777777" w:rsidR="007407D5" w:rsidRDefault="007407D5">
      <w:pPr>
        <w:pStyle w:val="a3"/>
        <w:spacing w:before="52" w:line="297" w:lineRule="auto"/>
        <w:ind w:left="567" w:right="139"/>
        <w:jc w:val="both"/>
        <w:rPr>
          <w:spacing w:val="-4"/>
          <w:sz w:val="20"/>
          <w:szCs w:val="20"/>
          <w:lang w:val="uk-UA"/>
        </w:rPr>
      </w:pPr>
    </w:p>
    <w:p w14:paraId="3AC8247A" w14:textId="79632AE4" w:rsidR="00E05B98" w:rsidRPr="007407D5" w:rsidRDefault="00641F4C" w:rsidP="007407D5">
      <w:pPr>
        <w:pStyle w:val="a3"/>
        <w:spacing w:before="52" w:line="297" w:lineRule="auto"/>
        <w:ind w:left="567" w:right="139"/>
        <w:jc w:val="both"/>
        <w:rPr>
          <w:spacing w:val="-4"/>
          <w:sz w:val="20"/>
          <w:szCs w:val="20"/>
          <w:lang w:val="uk-UA"/>
        </w:rPr>
      </w:pPr>
      <w:r w:rsidRPr="00641F4C">
        <w:rPr>
          <w:spacing w:val="-4"/>
          <w:sz w:val="20"/>
          <w:szCs w:val="20"/>
          <w:lang w:val="uk-UA"/>
        </w:rPr>
        <w:lastRenderedPageBreak/>
        <w:t xml:space="preserve">дихальних шляхів, а також аТАНК-НС на зразку калу та LF-LAM на зразку сечі становила </w:t>
      </w:r>
      <w:r w:rsidR="007407D5">
        <w:rPr>
          <w:spacing w:val="-4"/>
          <w:sz w:val="20"/>
          <w:szCs w:val="20"/>
          <w:lang w:val="uk-UA"/>
        </w:rPr>
        <w:t xml:space="preserve"> </w:t>
      </w:r>
      <w:r w:rsidRPr="00641F4C">
        <w:rPr>
          <w:spacing w:val="-4"/>
          <w:sz w:val="20"/>
          <w:szCs w:val="20"/>
          <w:lang w:val="uk-UA"/>
        </w:rPr>
        <w:t xml:space="preserve">77,8% (95%-вий </w:t>
      </w:r>
      <w:r w:rsidR="007407D5">
        <w:rPr>
          <w:spacing w:val="-4"/>
          <w:sz w:val="20"/>
          <w:szCs w:val="20"/>
          <w:lang w:val="uk-UA"/>
        </w:rPr>
        <w:t xml:space="preserve">інтервал </w:t>
      </w:r>
      <w:r w:rsidRPr="00641F4C">
        <w:rPr>
          <w:spacing w:val="-4"/>
          <w:sz w:val="20"/>
          <w:szCs w:val="20"/>
          <w:lang w:val="uk-UA"/>
        </w:rPr>
        <w:t>достовір</w:t>
      </w:r>
      <w:r w:rsidR="007407D5">
        <w:rPr>
          <w:spacing w:val="-4"/>
          <w:sz w:val="20"/>
          <w:szCs w:val="20"/>
          <w:lang w:val="uk-UA"/>
        </w:rPr>
        <w:t>ності</w:t>
      </w:r>
      <w:r w:rsidRPr="00641F4C">
        <w:rPr>
          <w:spacing w:val="-4"/>
          <w:sz w:val="20"/>
          <w:szCs w:val="20"/>
          <w:lang w:val="uk-UA"/>
        </w:rPr>
        <w:t xml:space="preserve">: 59,9-89,8) та 83,9% (95%-вий </w:t>
      </w:r>
      <w:r w:rsidR="007407D5">
        <w:rPr>
          <w:spacing w:val="-4"/>
          <w:sz w:val="20"/>
          <w:szCs w:val="20"/>
          <w:lang w:val="uk-UA"/>
        </w:rPr>
        <w:t xml:space="preserve">інтервал </w:t>
      </w:r>
      <w:r w:rsidRPr="00641F4C">
        <w:rPr>
          <w:spacing w:val="-4"/>
          <w:sz w:val="20"/>
          <w:szCs w:val="20"/>
          <w:lang w:val="uk-UA"/>
        </w:rPr>
        <w:t>достовірн</w:t>
      </w:r>
      <w:r w:rsidR="007407D5">
        <w:rPr>
          <w:spacing w:val="-4"/>
          <w:sz w:val="20"/>
          <w:szCs w:val="20"/>
          <w:lang w:val="uk-UA"/>
        </w:rPr>
        <w:t>ості</w:t>
      </w:r>
      <w:r w:rsidRPr="00641F4C">
        <w:rPr>
          <w:spacing w:val="-4"/>
          <w:sz w:val="20"/>
          <w:szCs w:val="20"/>
          <w:lang w:val="uk-UA"/>
        </w:rPr>
        <w:t>: 73,9-90,4) (</w:t>
      </w:r>
      <w:r w:rsidRPr="00A04E69">
        <w:rPr>
          <w:b/>
          <w:bCs/>
          <w:spacing w:val="-4"/>
          <w:sz w:val="20"/>
          <w:szCs w:val="20"/>
          <w:lang w:val="uk-UA"/>
        </w:rPr>
        <w:t>Рис. 2.3.7</w:t>
      </w:r>
      <w:r w:rsidRPr="00641F4C">
        <w:rPr>
          <w:spacing w:val="-4"/>
          <w:sz w:val="20"/>
          <w:szCs w:val="20"/>
          <w:lang w:val="uk-UA"/>
        </w:rPr>
        <w:t xml:space="preserve">). Порівняно з аТАНК-НС лише на зразках із дихальних шляхів, одночасне тестування мало на 6,9 відсоткових пунктів (95%-вий </w:t>
      </w:r>
      <w:r w:rsidR="007407D5">
        <w:rPr>
          <w:spacing w:val="-4"/>
          <w:sz w:val="20"/>
          <w:szCs w:val="20"/>
          <w:lang w:val="uk-UA"/>
        </w:rPr>
        <w:t xml:space="preserve">інтервал </w:t>
      </w:r>
      <w:r w:rsidRPr="00641F4C">
        <w:rPr>
          <w:spacing w:val="-4"/>
          <w:sz w:val="20"/>
          <w:szCs w:val="20"/>
          <w:lang w:val="uk-UA"/>
        </w:rPr>
        <w:t>достовірн</w:t>
      </w:r>
      <w:r w:rsidR="007407D5">
        <w:rPr>
          <w:spacing w:val="-4"/>
          <w:sz w:val="20"/>
          <w:szCs w:val="20"/>
          <w:lang w:val="uk-UA"/>
        </w:rPr>
        <w:t>ості</w:t>
      </w:r>
      <w:r w:rsidRPr="00641F4C">
        <w:rPr>
          <w:spacing w:val="-4"/>
          <w:sz w:val="20"/>
          <w:szCs w:val="20"/>
          <w:lang w:val="uk-UA"/>
        </w:rPr>
        <w:t xml:space="preserve">: від 1,5 до 20,1) вищу чутливість і на -10,1 відсоткових пунктів (95%-вий </w:t>
      </w:r>
      <w:r w:rsidR="007407D5">
        <w:rPr>
          <w:spacing w:val="-4"/>
          <w:sz w:val="20"/>
          <w:szCs w:val="20"/>
          <w:lang w:val="uk-UA"/>
        </w:rPr>
        <w:t xml:space="preserve">інтервал </w:t>
      </w:r>
      <w:r w:rsidRPr="00641F4C">
        <w:rPr>
          <w:spacing w:val="-4"/>
          <w:sz w:val="20"/>
          <w:szCs w:val="20"/>
          <w:lang w:val="uk-UA"/>
        </w:rPr>
        <w:t>достовірн</w:t>
      </w:r>
      <w:r w:rsidR="007407D5">
        <w:rPr>
          <w:spacing w:val="-4"/>
          <w:sz w:val="20"/>
          <w:szCs w:val="20"/>
          <w:lang w:val="uk-UA"/>
        </w:rPr>
        <w:t>ості</w:t>
      </w:r>
      <w:r w:rsidRPr="00641F4C">
        <w:rPr>
          <w:spacing w:val="-4"/>
          <w:sz w:val="20"/>
          <w:szCs w:val="20"/>
          <w:lang w:val="uk-UA"/>
        </w:rPr>
        <w:t>: від -21,6 до -4,9) нижчу специфічність. Достовірність доказів була низькою для специфічності та помірною для чутливості</w:t>
      </w:r>
      <w:r w:rsidR="00B01E0C" w:rsidRPr="00821945">
        <w:rPr>
          <w:sz w:val="20"/>
          <w:szCs w:val="20"/>
          <w:lang w:val="uk-UA"/>
        </w:rPr>
        <w:t>.</w:t>
      </w:r>
    </w:p>
    <w:p w14:paraId="5B23892F" w14:textId="6563A95E" w:rsidR="00E05B98" w:rsidRPr="00821945" w:rsidRDefault="00CF463F" w:rsidP="009D173D">
      <w:pPr>
        <w:pStyle w:val="a3"/>
        <w:spacing w:before="172" w:line="269" w:lineRule="auto"/>
        <w:ind w:left="567" w:right="137"/>
        <w:jc w:val="both"/>
        <w:rPr>
          <w:sz w:val="20"/>
          <w:szCs w:val="20"/>
          <w:lang w:val="uk-UA"/>
        </w:rPr>
      </w:pPr>
      <w:r w:rsidRPr="00CF463F">
        <w:rPr>
          <w:sz w:val="20"/>
          <w:szCs w:val="20"/>
          <w:lang w:val="uk-UA"/>
        </w:rPr>
        <w:t>За результатами шести досліджень (674 учасники, в тому числі 286 [42,4%] - з ТБ), включених до мета</w:t>
      </w:r>
      <w:r w:rsidR="007407D5">
        <w:rPr>
          <w:sz w:val="20"/>
          <w:szCs w:val="20"/>
          <w:lang w:val="uk-UA"/>
        </w:rPr>
        <w:t>-</w:t>
      </w:r>
      <w:r w:rsidRPr="00CF463F">
        <w:rPr>
          <w:sz w:val="20"/>
          <w:szCs w:val="20"/>
          <w:lang w:val="uk-UA"/>
        </w:rPr>
        <w:t xml:space="preserve">аналізу для CRS, </w:t>
      </w:r>
      <w:r w:rsidR="007407D5">
        <w:rPr>
          <w:sz w:val="20"/>
          <w:szCs w:val="20"/>
          <w:lang w:val="uk-UA"/>
        </w:rPr>
        <w:t>за оцінками</w:t>
      </w:r>
      <w:r w:rsidRPr="00CF463F">
        <w:rPr>
          <w:sz w:val="20"/>
          <w:szCs w:val="20"/>
          <w:lang w:val="uk-UA"/>
        </w:rPr>
        <w:t xml:space="preserve"> діагностична точність одночасного використання аТАНК-НС на зразках з дихальних шляхів плюс аналізу </w:t>
      </w:r>
      <w:r w:rsidR="00A04E69">
        <w:rPr>
          <w:sz w:val="20"/>
          <w:szCs w:val="20"/>
          <w:lang w:val="uk-UA"/>
        </w:rPr>
        <w:t>аТАНК-НС</w:t>
      </w:r>
      <w:r w:rsidRPr="00CF463F">
        <w:rPr>
          <w:sz w:val="20"/>
          <w:szCs w:val="20"/>
          <w:lang w:val="uk-UA"/>
        </w:rPr>
        <w:t xml:space="preserve"> на зразку калу та аналізу LF-LAM на зразку сечі мала об'єднану чутливість 30,1% (95%-вий </w:t>
      </w:r>
      <w:r w:rsidR="007407D5">
        <w:rPr>
          <w:sz w:val="20"/>
          <w:szCs w:val="20"/>
          <w:lang w:val="uk-UA"/>
        </w:rPr>
        <w:t xml:space="preserve">інтервал </w:t>
      </w:r>
      <w:r w:rsidRPr="00CF463F">
        <w:rPr>
          <w:sz w:val="20"/>
          <w:szCs w:val="20"/>
          <w:lang w:val="uk-UA"/>
        </w:rPr>
        <w:t>достовірн</w:t>
      </w:r>
      <w:r w:rsidR="007407D5">
        <w:rPr>
          <w:sz w:val="20"/>
          <w:szCs w:val="20"/>
          <w:lang w:val="uk-UA"/>
        </w:rPr>
        <w:t>ості</w:t>
      </w:r>
      <w:r w:rsidRPr="00CF463F">
        <w:rPr>
          <w:sz w:val="20"/>
          <w:szCs w:val="20"/>
          <w:lang w:val="uk-UA"/>
        </w:rPr>
        <w:t>: від 13,2 до 54,9) та об'єднану специфічність 83,3% (95%-вий інтервал</w:t>
      </w:r>
      <w:r w:rsidR="00A04E69">
        <w:rPr>
          <w:sz w:val="20"/>
          <w:szCs w:val="20"/>
          <w:lang w:val="uk-UA"/>
        </w:rPr>
        <w:t xml:space="preserve"> </w:t>
      </w:r>
      <w:r w:rsidR="005A7875">
        <w:rPr>
          <w:sz w:val="20"/>
          <w:szCs w:val="20"/>
          <w:lang w:val="uk-UA"/>
        </w:rPr>
        <w:t>достовірності</w:t>
      </w:r>
      <w:r w:rsidRPr="00CF463F">
        <w:rPr>
          <w:sz w:val="20"/>
          <w:szCs w:val="20"/>
          <w:lang w:val="uk-UA"/>
        </w:rPr>
        <w:t>: від 69,6 до 90,2) (</w:t>
      </w:r>
      <w:r w:rsidRPr="00A04E69">
        <w:rPr>
          <w:b/>
          <w:bCs/>
          <w:sz w:val="20"/>
          <w:szCs w:val="20"/>
          <w:lang w:val="uk-UA"/>
        </w:rPr>
        <w:t>Рис. 2.3.3.1</w:t>
      </w:r>
      <w:r w:rsidRPr="00CF463F">
        <w:rPr>
          <w:sz w:val="20"/>
          <w:szCs w:val="20"/>
          <w:lang w:val="uk-UA"/>
        </w:rPr>
        <w:t>).</w:t>
      </w:r>
      <w:r w:rsidR="00B01E0C" w:rsidRPr="00821945">
        <w:rPr>
          <w:spacing w:val="-15"/>
          <w:sz w:val="20"/>
          <w:szCs w:val="20"/>
          <w:lang w:val="uk-UA"/>
        </w:rPr>
        <w:t xml:space="preserve"> </w:t>
      </w:r>
      <w:r w:rsidRPr="00CF463F">
        <w:rPr>
          <w:sz w:val="20"/>
          <w:szCs w:val="20"/>
          <w:lang w:val="uk-UA"/>
        </w:rPr>
        <w:t xml:space="preserve">Порівняно з використанням аТАНК-НС лише на зразках із дихальних шляхів, одночасне тестування різних типів зразків мало на 14,9 відсоткових пунктів (95%-вий </w:t>
      </w:r>
      <w:r w:rsidR="00A04E69">
        <w:rPr>
          <w:sz w:val="20"/>
          <w:szCs w:val="20"/>
          <w:lang w:val="uk-UA"/>
        </w:rPr>
        <w:t xml:space="preserve">інтервал </w:t>
      </w:r>
      <w:r>
        <w:rPr>
          <w:sz w:val="20"/>
          <w:szCs w:val="20"/>
          <w:lang w:val="uk-UA"/>
        </w:rPr>
        <w:t>достовірн</w:t>
      </w:r>
      <w:r w:rsidR="00A04E69">
        <w:rPr>
          <w:sz w:val="20"/>
          <w:szCs w:val="20"/>
          <w:lang w:val="uk-UA"/>
        </w:rPr>
        <w:t>ості</w:t>
      </w:r>
      <w:r w:rsidRPr="00CF463F">
        <w:rPr>
          <w:sz w:val="20"/>
          <w:szCs w:val="20"/>
          <w:lang w:val="uk-UA"/>
        </w:rPr>
        <w:t xml:space="preserve">: від 0 до 41,1) вищу чутливість і на -12,0 відсоткових пунктів (95%-вий </w:t>
      </w:r>
      <w:r w:rsidR="00A04E69">
        <w:rPr>
          <w:sz w:val="20"/>
          <w:szCs w:val="20"/>
          <w:lang w:val="uk-UA"/>
        </w:rPr>
        <w:t xml:space="preserve">інтервал </w:t>
      </w:r>
      <w:r>
        <w:rPr>
          <w:sz w:val="20"/>
          <w:szCs w:val="20"/>
          <w:lang w:val="uk-UA"/>
        </w:rPr>
        <w:t>достовірн</w:t>
      </w:r>
      <w:r w:rsidR="00A04E69">
        <w:rPr>
          <w:sz w:val="20"/>
          <w:szCs w:val="20"/>
          <w:lang w:val="uk-UA"/>
        </w:rPr>
        <w:t>ості</w:t>
      </w:r>
      <w:r w:rsidRPr="00CF463F">
        <w:rPr>
          <w:sz w:val="20"/>
          <w:szCs w:val="20"/>
          <w:lang w:val="uk-UA"/>
        </w:rPr>
        <w:t>: від -27,0 до -2,6) нижчу специфічність. Достовірність доказів була дуже низькою для чутливості та низькою для специфічності.</w:t>
      </w:r>
    </w:p>
    <w:p w14:paraId="7D52BE71" w14:textId="195AD3B6" w:rsidR="00E05B98" w:rsidRPr="003C6DAE" w:rsidRDefault="00CF463F">
      <w:pPr>
        <w:pStyle w:val="6"/>
        <w:spacing w:before="243" w:line="249" w:lineRule="auto"/>
        <w:ind w:right="419"/>
        <w:rPr>
          <w:lang w:val="uk-UA"/>
        </w:rPr>
      </w:pPr>
      <w:r>
        <w:rPr>
          <w:color w:val="636466"/>
          <w:sz w:val="20"/>
          <w:szCs w:val="20"/>
          <w:lang w:val="uk-UA"/>
        </w:rPr>
        <w:t>Рис</w:t>
      </w:r>
      <w:r w:rsidR="00B01E0C" w:rsidRPr="00821945">
        <w:rPr>
          <w:color w:val="636466"/>
          <w:sz w:val="20"/>
          <w:szCs w:val="20"/>
          <w:lang w:val="uk-UA"/>
        </w:rPr>
        <w:t>.</w:t>
      </w:r>
      <w:r w:rsidR="00B01E0C" w:rsidRPr="00821945">
        <w:rPr>
          <w:color w:val="636466"/>
          <w:spacing w:val="-11"/>
          <w:sz w:val="20"/>
          <w:szCs w:val="20"/>
          <w:lang w:val="uk-UA"/>
        </w:rPr>
        <w:t xml:space="preserve"> </w:t>
      </w:r>
      <w:r w:rsidR="00B01E0C" w:rsidRPr="00821945">
        <w:rPr>
          <w:color w:val="636466"/>
          <w:sz w:val="20"/>
          <w:szCs w:val="20"/>
          <w:lang w:val="uk-UA"/>
        </w:rPr>
        <w:t>2.3.3.1</w:t>
      </w:r>
      <w:r w:rsidR="00B01E0C" w:rsidRPr="00821945">
        <w:rPr>
          <w:color w:val="636466"/>
          <w:spacing w:val="-11"/>
          <w:sz w:val="20"/>
          <w:szCs w:val="20"/>
          <w:lang w:val="uk-UA"/>
        </w:rPr>
        <w:t xml:space="preserve"> </w:t>
      </w:r>
      <w:r w:rsidRPr="00CF463F">
        <w:rPr>
          <w:color w:val="636466"/>
          <w:sz w:val="20"/>
          <w:szCs w:val="20"/>
          <w:lang w:val="uk-UA"/>
        </w:rPr>
        <w:t>Лісова діаграма об'єднаної чутливості та специфічності для всіх досліджень, за кожним індексним тестом</w:t>
      </w:r>
    </w:p>
    <w:p w14:paraId="22210DA5" w14:textId="3F8A1AC4" w:rsidR="00E05B98" w:rsidRPr="003C6DAE" w:rsidRDefault="00E05B98">
      <w:pPr>
        <w:pStyle w:val="a3"/>
        <w:spacing w:before="110"/>
        <w:rPr>
          <w:rFonts w:ascii="Arial"/>
          <w:b/>
          <w:sz w:val="20"/>
          <w:lang w:val="uk-UA"/>
        </w:rPr>
      </w:pPr>
    </w:p>
    <w:p w14:paraId="691534BA" w14:textId="77777777" w:rsidR="00E05B98" w:rsidRPr="003C6DAE" w:rsidRDefault="00E05B98">
      <w:pPr>
        <w:pStyle w:val="a3"/>
        <w:rPr>
          <w:rFonts w:ascii="Arial"/>
          <w:b/>
          <w:sz w:val="20"/>
          <w:lang w:val="uk-UA"/>
        </w:rPr>
        <w:sectPr w:rsidR="00E05B98" w:rsidRPr="003C6DAE" w:rsidSect="009405E0">
          <w:pgSz w:w="11910" w:h="16840"/>
          <w:pgMar w:top="1320" w:right="853" w:bottom="760" w:left="850" w:header="0" w:footer="573" w:gutter="0"/>
          <w:cols w:space="720"/>
        </w:sectPr>
      </w:pPr>
    </w:p>
    <w:p w14:paraId="6D94AFD7" w14:textId="303194DD" w:rsidR="00E05B98" w:rsidRPr="001751A7" w:rsidRDefault="001751A7">
      <w:pPr>
        <w:spacing w:before="95"/>
        <w:ind w:left="593"/>
        <w:rPr>
          <w:rFonts w:asciiTheme="minorHAnsi" w:hAnsiTheme="minorHAnsi" w:cstheme="minorHAnsi"/>
          <w:b/>
          <w:sz w:val="12"/>
          <w:lang w:val="uk-UA"/>
        </w:rPr>
      </w:pPr>
      <w:r w:rsidRPr="001751A7">
        <w:rPr>
          <w:rFonts w:asciiTheme="minorHAnsi" w:hAnsiTheme="minorHAnsi" w:cstheme="minorHAnsi"/>
          <w:b/>
          <w:noProof/>
          <w:spacing w:val="-2"/>
          <w:sz w:val="12"/>
          <w:lang w:val="uk-UA"/>
        </w:rPr>
        <mc:AlternateContent>
          <mc:Choice Requires="wps">
            <w:drawing>
              <wp:anchor distT="0" distB="0" distL="114300" distR="114300" simplePos="0" relativeHeight="488156672" behindDoc="0" locked="0" layoutInCell="1" allowOverlap="1" wp14:anchorId="237E03D8" wp14:editId="0FAACECE">
                <wp:simplePos x="0" y="0"/>
                <wp:positionH relativeFrom="column">
                  <wp:posOffset>741315</wp:posOffset>
                </wp:positionH>
                <wp:positionV relativeFrom="paragraph">
                  <wp:posOffset>8885</wp:posOffset>
                </wp:positionV>
                <wp:extent cx="624205" cy="189802"/>
                <wp:effectExtent l="0" t="0" r="4445" b="1270"/>
                <wp:wrapNone/>
                <wp:docPr id="862512012" name="Поле 2151"/>
                <wp:cNvGraphicFramePr/>
                <a:graphic xmlns:a="http://schemas.openxmlformats.org/drawingml/2006/main">
                  <a:graphicData uri="http://schemas.microsoft.com/office/word/2010/wordprocessingShape">
                    <wps:wsp>
                      <wps:cNvSpPr txBox="1"/>
                      <wps:spPr>
                        <a:xfrm>
                          <a:off x="0" y="0"/>
                          <a:ext cx="624205" cy="189802"/>
                        </a:xfrm>
                        <a:prstGeom prst="rect">
                          <a:avLst/>
                        </a:prstGeom>
                        <a:solidFill>
                          <a:schemeClr val="bg1"/>
                        </a:solidFill>
                        <a:ln w="6350">
                          <a:noFill/>
                        </a:ln>
                      </wps:spPr>
                      <wps:txbx>
                        <w:txbxContent>
                          <w:p w14:paraId="693E5824" w14:textId="5D50C2CC" w:rsidR="007372B2" w:rsidRPr="001751A7" w:rsidRDefault="007372B2">
                            <w:pPr>
                              <w:rPr>
                                <w:rFonts w:asciiTheme="minorHAnsi" w:hAnsiTheme="minorHAnsi" w:cstheme="minorHAnsi"/>
                                <w:b/>
                                <w:bCs/>
                                <w:sz w:val="12"/>
                                <w:szCs w:val="12"/>
                                <w:lang w:val="uk-UA"/>
                              </w:rPr>
                            </w:pPr>
                            <w:r w:rsidRPr="001751A7">
                              <w:rPr>
                                <w:rFonts w:asciiTheme="minorHAnsi" w:hAnsiTheme="minorHAnsi" w:cstheme="minorHAnsi"/>
                                <w:b/>
                                <w:bCs/>
                                <w:sz w:val="12"/>
                                <w:szCs w:val="12"/>
                                <w:lang w:val="uk-UA"/>
                              </w:rPr>
                              <w:t>Тест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E03D8" id="Поле 2151" o:spid="_x0000_s1136" type="#_x0000_t202" style="position:absolute;left:0;text-align:left;margin-left:58.35pt;margin-top:.7pt;width:49.15pt;height:14.95pt;z-index:48815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" fillcolor="white [3212]" stroked="f" strokeweight=".5pt">
                <v:textbox>
                  <w:txbxContent>
                    <w:p w14:paraId="693E5824" w14:textId="5D50C2CC" w:rsidR="007372B2" w:rsidRPr="001751A7" w:rsidRDefault="007372B2">
                      <w:pPr>
                        <w:rPr>
                          <w:rFonts w:asciiTheme="minorHAnsi" w:hAnsiTheme="minorHAnsi" w:cstheme="minorHAnsi"/>
                          <w:b/>
                          <w:bCs/>
                          <w:sz w:val="12"/>
                          <w:szCs w:val="12"/>
                          <w:lang w:val="uk-UA"/>
                        </w:rPr>
                      </w:pPr>
                      <w:r w:rsidRPr="001751A7">
                        <w:rPr>
                          <w:rFonts w:asciiTheme="minorHAnsi" w:hAnsiTheme="minorHAnsi" w:cstheme="minorHAnsi"/>
                          <w:b/>
                          <w:bCs/>
                          <w:sz w:val="12"/>
                          <w:szCs w:val="12"/>
                          <w:lang w:val="uk-UA"/>
                        </w:rPr>
                        <w:t>Тест</w:t>
                      </w:r>
                    </w:p>
                  </w:txbxContent>
                </v:textbox>
              </v:shape>
            </w:pict>
          </mc:Fallback>
        </mc:AlternateContent>
      </w:r>
      <w:r w:rsidRPr="001751A7">
        <w:rPr>
          <w:rFonts w:asciiTheme="minorHAnsi" w:hAnsiTheme="minorHAnsi" w:cstheme="minorHAnsi"/>
          <w:b/>
          <w:spacing w:val="-2"/>
          <w:sz w:val="12"/>
          <w:lang w:val="uk-UA"/>
        </w:rPr>
        <w:t xml:space="preserve">Еталон </w:t>
      </w:r>
    </w:p>
    <w:p w14:paraId="7C2AB700" w14:textId="42E3F1BF" w:rsidR="00E05B98" w:rsidRPr="003C6DAE" w:rsidRDefault="00B27122">
      <w:pPr>
        <w:spacing w:before="95"/>
        <w:ind w:left="100"/>
        <w:rPr>
          <w:rFonts w:ascii="Arial"/>
          <w:b/>
          <w:sz w:val="12"/>
          <w:lang w:val="uk-UA"/>
        </w:rPr>
      </w:pPr>
      <w:r>
        <w:rPr>
          <w:noProof/>
          <w:lang w:val="uk-UA"/>
        </w:rPr>
        <mc:AlternateContent>
          <mc:Choice Requires="wps">
            <w:drawing>
              <wp:anchor distT="0" distB="0" distL="114300" distR="114300" simplePos="0" relativeHeight="488153600" behindDoc="0" locked="0" layoutInCell="1" allowOverlap="1" wp14:anchorId="19145CFE" wp14:editId="7C5DAA25">
                <wp:simplePos x="0" y="0"/>
                <wp:positionH relativeFrom="column">
                  <wp:posOffset>664361</wp:posOffset>
                </wp:positionH>
                <wp:positionV relativeFrom="paragraph">
                  <wp:posOffset>250228</wp:posOffset>
                </wp:positionV>
                <wp:extent cx="1104523" cy="995881"/>
                <wp:effectExtent l="0" t="0" r="635" b="0"/>
                <wp:wrapNone/>
                <wp:docPr id="2077827045" name="Поле 2150"/>
                <wp:cNvGraphicFramePr/>
                <a:graphic xmlns:a="http://schemas.openxmlformats.org/drawingml/2006/main">
                  <a:graphicData uri="http://schemas.microsoft.com/office/word/2010/wordprocessingShape">
                    <wps:wsp>
                      <wps:cNvSpPr txBox="1"/>
                      <wps:spPr>
                        <a:xfrm>
                          <a:off x="0" y="0"/>
                          <a:ext cx="1104523" cy="995881"/>
                        </a:xfrm>
                        <a:prstGeom prst="rect">
                          <a:avLst/>
                        </a:prstGeom>
                        <a:solidFill>
                          <a:schemeClr val="bg1"/>
                        </a:solidFill>
                        <a:ln w="6350">
                          <a:noFill/>
                        </a:ln>
                      </wps:spPr>
                      <wps:txbx>
                        <w:txbxContent>
                          <w:p w14:paraId="1AB66759" w14:textId="77777777" w:rsidR="007372B2" w:rsidRPr="00B27122" w:rsidRDefault="007372B2" w:rsidP="00B27122">
                            <w:pPr>
                              <w:rPr>
                                <w:rFonts w:asciiTheme="minorHAnsi" w:hAnsiTheme="minorHAnsi"/>
                                <w:sz w:val="11"/>
                                <w:szCs w:val="11"/>
                                <w:lang w:val="uk-UA"/>
                              </w:rPr>
                            </w:pPr>
                            <w:r w:rsidRPr="00B27122">
                              <w:rPr>
                                <w:rFonts w:asciiTheme="minorHAnsi" w:hAnsiTheme="minorHAnsi"/>
                                <w:sz w:val="11"/>
                                <w:szCs w:val="11"/>
                                <w:lang w:val="uk-UA"/>
                              </w:rPr>
                              <w:t xml:space="preserve">Аналіз </w:t>
                            </w:r>
                            <w:r w:rsidRPr="00B27122">
                              <w:rPr>
                                <w:rFonts w:asciiTheme="minorHAnsi" w:hAnsiTheme="minorHAnsi"/>
                                <w:sz w:val="11"/>
                                <w:szCs w:val="11"/>
                              </w:rPr>
                              <w:t>LF</w:t>
                            </w:r>
                            <w:r w:rsidRPr="00B27122">
                              <w:rPr>
                                <w:rFonts w:asciiTheme="minorHAnsi" w:hAnsiTheme="minorHAnsi"/>
                                <w:sz w:val="11"/>
                                <w:szCs w:val="11"/>
                                <w:lang w:val="uk-UA"/>
                              </w:rPr>
                              <w:t>-</w:t>
                            </w:r>
                            <w:r w:rsidRPr="00B27122">
                              <w:rPr>
                                <w:rFonts w:asciiTheme="minorHAnsi" w:hAnsiTheme="minorHAnsi"/>
                                <w:sz w:val="11"/>
                                <w:szCs w:val="11"/>
                              </w:rPr>
                              <w:t>LAM</w:t>
                            </w:r>
                          </w:p>
                          <w:p w14:paraId="62A786B7" w14:textId="77777777" w:rsidR="007372B2" w:rsidRPr="00B27122" w:rsidRDefault="007372B2" w:rsidP="00B27122">
                            <w:pPr>
                              <w:rPr>
                                <w:rFonts w:asciiTheme="minorHAnsi" w:hAnsiTheme="minorHAnsi"/>
                                <w:sz w:val="11"/>
                                <w:szCs w:val="11"/>
                                <w:lang w:val="uk-UA"/>
                              </w:rPr>
                            </w:pPr>
                          </w:p>
                          <w:p w14:paraId="4FE7FBF6" w14:textId="77777777" w:rsidR="007372B2" w:rsidRPr="00B27122" w:rsidRDefault="007372B2" w:rsidP="00B27122">
                            <w:pPr>
                              <w:rPr>
                                <w:rFonts w:asciiTheme="minorHAnsi" w:hAnsiTheme="minorHAnsi" w:cstheme="minorHAnsi"/>
                                <w:sz w:val="11"/>
                                <w:szCs w:val="11"/>
                                <w:lang w:val="uk-UA"/>
                              </w:rPr>
                            </w:pPr>
                            <w:r w:rsidRPr="00B27122">
                              <w:rPr>
                                <w:rFonts w:asciiTheme="minorHAnsi" w:hAnsiTheme="minorHAnsi"/>
                                <w:sz w:val="11"/>
                                <w:szCs w:val="11"/>
                                <w:lang w:val="uk-UA"/>
                              </w:rPr>
                              <w:t>Комбіновані аТАНК-НС</w:t>
                            </w:r>
                          </w:p>
                          <w:p w14:paraId="11B9F246" w14:textId="77777777" w:rsidR="007372B2" w:rsidRPr="00B27122" w:rsidRDefault="007372B2" w:rsidP="00B27122">
                            <w:pPr>
                              <w:rPr>
                                <w:rFonts w:asciiTheme="minorHAnsi" w:hAnsiTheme="minorHAnsi" w:cstheme="minorHAnsi"/>
                                <w:sz w:val="8"/>
                                <w:szCs w:val="8"/>
                                <w:lang w:val="uk-UA"/>
                              </w:rPr>
                            </w:pPr>
                          </w:p>
                          <w:p w14:paraId="25901C1B" w14:textId="77777777" w:rsidR="007372B2" w:rsidRPr="00B27122" w:rsidRDefault="007372B2" w:rsidP="00B27122">
                            <w:pPr>
                              <w:spacing w:line="204" w:lineRule="auto"/>
                              <w:rPr>
                                <w:rFonts w:asciiTheme="minorHAnsi" w:hAnsiTheme="minorHAnsi" w:cstheme="minorHAnsi"/>
                                <w:sz w:val="11"/>
                                <w:szCs w:val="11"/>
                                <w:lang w:val="uk-UA"/>
                              </w:rPr>
                            </w:pPr>
                            <w:r w:rsidRPr="00B27122">
                              <w:rPr>
                                <w:rFonts w:asciiTheme="minorHAnsi" w:hAnsiTheme="minorHAnsi" w:cstheme="minorHAnsi"/>
                                <w:sz w:val="11"/>
                                <w:szCs w:val="11"/>
                                <w:lang w:val="uk-UA"/>
                              </w:rPr>
                              <w:t>Одночасний тест різних типів зразків</w:t>
                            </w:r>
                          </w:p>
                          <w:p w14:paraId="249305E3" w14:textId="77777777" w:rsidR="007372B2" w:rsidRPr="00B27122" w:rsidRDefault="007372B2" w:rsidP="00B27122">
                            <w:pPr>
                              <w:rPr>
                                <w:sz w:val="8"/>
                                <w:szCs w:val="8"/>
                                <w:lang w:val="uk-UA"/>
                              </w:rPr>
                            </w:pPr>
                          </w:p>
                          <w:p w14:paraId="69000560" w14:textId="41328C20" w:rsidR="007372B2" w:rsidRPr="00B27122" w:rsidRDefault="007372B2" w:rsidP="001751A7">
                            <w:pPr>
                              <w:spacing w:line="204" w:lineRule="auto"/>
                              <w:ind w:right="-120"/>
                              <w:rPr>
                                <w:rFonts w:asciiTheme="minorHAnsi" w:hAnsiTheme="minorHAnsi"/>
                                <w:sz w:val="11"/>
                                <w:szCs w:val="11"/>
                                <w:lang w:val="uk-UA"/>
                              </w:rPr>
                            </w:pPr>
                            <w:r w:rsidRPr="00B27122">
                              <w:rPr>
                                <w:sz w:val="11"/>
                                <w:szCs w:val="11"/>
                                <w:lang w:val="uk-UA"/>
                              </w:rPr>
                              <w:t xml:space="preserve">Δ </w:t>
                            </w:r>
                            <w:r w:rsidRPr="00B27122">
                              <w:rPr>
                                <w:rFonts w:asciiTheme="minorHAnsi" w:hAnsiTheme="minorHAnsi"/>
                                <w:sz w:val="11"/>
                                <w:szCs w:val="11"/>
                                <w:lang w:val="uk-UA"/>
                              </w:rPr>
                              <w:t xml:space="preserve">Одночасне тестування </w:t>
                            </w:r>
                            <w:r>
                              <w:rPr>
                                <w:rFonts w:asciiTheme="minorHAnsi" w:hAnsiTheme="minorHAnsi"/>
                                <w:sz w:val="11"/>
                                <w:szCs w:val="11"/>
                                <w:lang w:val="uk-UA"/>
                              </w:rPr>
                              <w:t xml:space="preserve">різних </w:t>
                            </w:r>
                            <w:r w:rsidRPr="00B27122">
                              <w:rPr>
                                <w:rFonts w:asciiTheme="minorHAnsi" w:hAnsiTheme="minorHAnsi"/>
                                <w:sz w:val="11"/>
                                <w:szCs w:val="11"/>
                                <w:lang w:val="uk-UA"/>
                              </w:rPr>
                              <w:t>типів зразків</w:t>
                            </w:r>
                            <w:r w:rsidRPr="00B27122">
                              <w:rPr>
                                <w:rFonts w:ascii="Arial MT" w:hAnsi="Arial MT"/>
                                <w:sz w:val="11"/>
                                <w:szCs w:val="11"/>
                                <w:lang w:val="uk-UA"/>
                              </w:rPr>
                              <w:t xml:space="preserve"> </w:t>
                            </w:r>
                            <w:r w:rsidRPr="00B27122">
                              <w:rPr>
                                <w:rFonts w:asciiTheme="minorHAnsi" w:hAnsiTheme="minorHAnsi"/>
                                <w:sz w:val="11"/>
                                <w:szCs w:val="11"/>
                                <w:lang w:val="uk-UA"/>
                              </w:rPr>
                              <w:t>проти комбінованих аТАНК-НС</w:t>
                            </w:r>
                          </w:p>
                          <w:p w14:paraId="2F9B6C4A" w14:textId="144D519B" w:rsidR="007372B2" w:rsidRPr="001751A7" w:rsidRDefault="007372B2" w:rsidP="001751A7">
                            <w:pPr>
                              <w:spacing w:line="204" w:lineRule="auto"/>
                              <w:rPr>
                                <w:rFonts w:asciiTheme="minorHAnsi" w:hAnsiTheme="minorHAnsi"/>
                                <w:sz w:val="11"/>
                                <w:szCs w:val="11"/>
                                <w:lang w:val="uk-UA"/>
                              </w:rPr>
                            </w:pPr>
                            <w:r w:rsidRPr="003C6DAE">
                              <w:rPr>
                                <w:sz w:val="12"/>
                                <w:lang w:val="uk-UA"/>
                              </w:rPr>
                              <w:t xml:space="preserve">Δ </w:t>
                            </w:r>
                            <w:r w:rsidRPr="001751A7">
                              <w:rPr>
                                <w:rFonts w:asciiTheme="minorHAnsi" w:hAnsiTheme="minorHAnsi"/>
                                <w:sz w:val="11"/>
                                <w:szCs w:val="11"/>
                                <w:lang w:val="uk-UA"/>
                              </w:rPr>
                              <w:t>Одночасний</w:t>
                            </w:r>
                            <w:r w:rsidRPr="001751A7">
                              <w:rPr>
                                <w:rFonts w:ascii="Arial MT" w:hAnsi="Arial MT"/>
                                <w:sz w:val="11"/>
                                <w:szCs w:val="11"/>
                                <w:lang w:val="uk-UA"/>
                              </w:rPr>
                              <w:t xml:space="preserve"> </w:t>
                            </w:r>
                            <w:r w:rsidRPr="001751A7">
                              <w:rPr>
                                <w:rFonts w:asciiTheme="minorHAnsi" w:hAnsiTheme="minorHAnsi"/>
                                <w:sz w:val="11"/>
                                <w:szCs w:val="11"/>
                                <w:lang w:val="uk-UA"/>
                              </w:rPr>
                              <w:t xml:space="preserve">тест різних типів проти аналізу </w:t>
                            </w:r>
                            <w:r w:rsidRPr="001751A7">
                              <w:rPr>
                                <w:rFonts w:asciiTheme="minorHAnsi" w:hAnsiTheme="minorHAnsi"/>
                                <w:sz w:val="11"/>
                                <w:szCs w:val="11"/>
                              </w:rPr>
                              <w:t>LF</w:t>
                            </w:r>
                            <w:r w:rsidRPr="001751A7">
                              <w:rPr>
                                <w:rFonts w:asciiTheme="minorHAnsi" w:hAnsiTheme="minorHAnsi"/>
                                <w:sz w:val="11"/>
                                <w:szCs w:val="11"/>
                                <w:lang w:val="uk-UA"/>
                              </w:rPr>
                              <w:t>-</w:t>
                            </w:r>
                            <w:r w:rsidRPr="001751A7">
                              <w:rPr>
                                <w:rFonts w:asciiTheme="minorHAnsi" w:hAnsiTheme="minorHAnsi"/>
                                <w:sz w:val="11"/>
                                <w:szCs w:val="11"/>
                              </w:rPr>
                              <w:t>LAM</w:t>
                            </w:r>
                            <w:r w:rsidRPr="001751A7">
                              <w:rPr>
                                <w:rFonts w:asciiTheme="minorHAnsi" w:hAnsiTheme="minorHAnsi"/>
                                <w:sz w:val="11"/>
                                <w:szCs w:val="11"/>
                                <w:lang w:val="uk-UA"/>
                              </w:rPr>
                              <w:t xml:space="preserve"> </w:t>
                            </w:r>
                          </w:p>
                          <w:p w14:paraId="0E462BE1" w14:textId="77777777" w:rsidR="007372B2" w:rsidRPr="001751A7" w:rsidRDefault="007372B2">
                            <w:pPr>
                              <w:rPr>
                                <w:sz w:val="11"/>
                                <w:szCs w:val="11"/>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45CFE" id="Поле 2150" o:spid="_x0000_s1137" type="#_x0000_t202" style="position:absolute;left:0;text-align:left;margin-left:52.3pt;margin-top:19.7pt;width:86.95pt;height:78.4pt;z-index:4881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" fillcolor="white [3212]" stroked="f" strokeweight=".5pt">
                <v:textbox>
                  <w:txbxContent>
                    <w:p w14:paraId="1AB66759" w14:textId="77777777" w:rsidR="007372B2" w:rsidRPr="00B27122" w:rsidRDefault="007372B2" w:rsidP="00B27122">
                      <w:pPr>
                        <w:rPr>
                          <w:rFonts w:asciiTheme="minorHAnsi" w:hAnsiTheme="minorHAnsi"/>
                          <w:sz w:val="11"/>
                          <w:szCs w:val="11"/>
                          <w:lang w:val="uk-UA"/>
                        </w:rPr>
                      </w:pPr>
                      <w:r w:rsidRPr="00B27122">
                        <w:rPr>
                          <w:rFonts w:asciiTheme="minorHAnsi" w:hAnsiTheme="minorHAnsi"/>
                          <w:sz w:val="11"/>
                          <w:szCs w:val="11"/>
                          <w:lang w:val="uk-UA"/>
                        </w:rPr>
                        <w:t xml:space="preserve">Аналіз </w:t>
                      </w:r>
                      <w:r w:rsidRPr="00B27122">
                        <w:rPr>
                          <w:rFonts w:asciiTheme="minorHAnsi" w:hAnsiTheme="minorHAnsi"/>
                          <w:sz w:val="11"/>
                          <w:szCs w:val="11"/>
                        </w:rPr>
                        <w:t>LF</w:t>
                      </w:r>
                      <w:r w:rsidRPr="00B27122">
                        <w:rPr>
                          <w:rFonts w:asciiTheme="minorHAnsi" w:hAnsiTheme="minorHAnsi"/>
                          <w:sz w:val="11"/>
                          <w:szCs w:val="11"/>
                          <w:lang w:val="uk-UA"/>
                        </w:rPr>
                        <w:t>-</w:t>
                      </w:r>
                      <w:r w:rsidRPr="00B27122">
                        <w:rPr>
                          <w:rFonts w:asciiTheme="minorHAnsi" w:hAnsiTheme="minorHAnsi"/>
                          <w:sz w:val="11"/>
                          <w:szCs w:val="11"/>
                        </w:rPr>
                        <w:t>LAM</w:t>
                      </w:r>
                    </w:p>
                    <w:p w14:paraId="62A786B7" w14:textId="77777777" w:rsidR="007372B2" w:rsidRPr="00B27122" w:rsidRDefault="007372B2" w:rsidP="00B27122">
                      <w:pPr>
                        <w:rPr>
                          <w:rFonts w:asciiTheme="minorHAnsi" w:hAnsiTheme="minorHAnsi"/>
                          <w:sz w:val="11"/>
                          <w:szCs w:val="11"/>
                          <w:lang w:val="uk-UA"/>
                        </w:rPr>
                      </w:pPr>
                    </w:p>
                    <w:p w14:paraId="4FE7FBF6" w14:textId="77777777" w:rsidR="007372B2" w:rsidRPr="00B27122" w:rsidRDefault="007372B2" w:rsidP="00B27122">
                      <w:pPr>
                        <w:rPr>
                          <w:rFonts w:asciiTheme="minorHAnsi" w:hAnsiTheme="minorHAnsi" w:cstheme="minorHAnsi"/>
                          <w:sz w:val="11"/>
                          <w:szCs w:val="11"/>
                          <w:lang w:val="uk-UA"/>
                        </w:rPr>
                      </w:pPr>
                      <w:r w:rsidRPr="00B27122">
                        <w:rPr>
                          <w:rFonts w:asciiTheme="minorHAnsi" w:hAnsiTheme="minorHAnsi"/>
                          <w:sz w:val="11"/>
                          <w:szCs w:val="11"/>
                          <w:lang w:val="uk-UA"/>
                        </w:rPr>
                        <w:t>Комбіновані аТАНК-НС</w:t>
                      </w:r>
                    </w:p>
                    <w:p w14:paraId="11B9F246" w14:textId="77777777" w:rsidR="007372B2" w:rsidRPr="00B27122" w:rsidRDefault="007372B2" w:rsidP="00B27122">
                      <w:pPr>
                        <w:rPr>
                          <w:rFonts w:asciiTheme="minorHAnsi" w:hAnsiTheme="minorHAnsi" w:cstheme="minorHAnsi"/>
                          <w:sz w:val="8"/>
                          <w:szCs w:val="8"/>
                          <w:lang w:val="uk-UA"/>
                        </w:rPr>
                      </w:pPr>
                    </w:p>
                    <w:p w14:paraId="25901C1B" w14:textId="77777777" w:rsidR="007372B2" w:rsidRPr="00B27122" w:rsidRDefault="007372B2" w:rsidP="00B27122">
                      <w:pPr>
                        <w:spacing w:line="204" w:lineRule="auto"/>
                        <w:rPr>
                          <w:rFonts w:asciiTheme="minorHAnsi" w:hAnsiTheme="minorHAnsi" w:cstheme="minorHAnsi"/>
                          <w:sz w:val="11"/>
                          <w:szCs w:val="11"/>
                          <w:lang w:val="uk-UA"/>
                        </w:rPr>
                      </w:pPr>
                      <w:r w:rsidRPr="00B27122">
                        <w:rPr>
                          <w:rFonts w:asciiTheme="minorHAnsi" w:hAnsiTheme="minorHAnsi" w:cstheme="minorHAnsi"/>
                          <w:sz w:val="11"/>
                          <w:szCs w:val="11"/>
                          <w:lang w:val="uk-UA"/>
                        </w:rPr>
                        <w:t>Одночасний тест різних типів зразків</w:t>
                      </w:r>
                    </w:p>
                    <w:p w14:paraId="249305E3" w14:textId="77777777" w:rsidR="007372B2" w:rsidRPr="00B27122" w:rsidRDefault="007372B2" w:rsidP="00B27122">
                      <w:pPr>
                        <w:rPr>
                          <w:sz w:val="8"/>
                          <w:szCs w:val="8"/>
                          <w:lang w:val="uk-UA"/>
                        </w:rPr>
                      </w:pPr>
                    </w:p>
                    <w:p w14:paraId="69000560" w14:textId="41328C20" w:rsidR="007372B2" w:rsidRPr="00B27122" w:rsidRDefault="007372B2" w:rsidP="001751A7">
                      <w:pPr>
                        <w:spacing w:line="204" w:lineRule="auto"/>
                        <w:ind w:right="-120"/>
                        <w:rPr>
                          <w:rFonts w:asciiTheme="minorHAnsi" w:hAnsiTheme="minorHAnsi"/>
                          <w:sz w:val="11"/>
                          <w:szCs w:val="11"/>
                          <w:lang w:val="uk-UA"/>
                        </w:rPr>
                      </w:pPr>
                      <w:r w:rsidRPr="00B27122">
                        <w:rPr>
                          <w:sz w:val="11"/>
                          <w:szCs w:val="11"/>
                          <w:lang w:val="uk-UA"/>
                        </w:rPr>
                        <w:t xml:space="preserve">Δ </w:t>
                      </w:r>
                      <w:r w:rsidRPr="00B27122">
                        <w:rPr>
                          <w:rFonts w:asciiTheme="minorHAnsi" w:hAnsiTheme="minorHAnsi"/>
                          <w:sz w:val="11"/>
                          <w:szCs w:val="11"/>
                          <w:lang w:val="uk-UA"/>
                        </w:rPr>
                        <w:t xml:space="preserve">Одночасне тестування </w:t>
                      </w:r>
                      <w:r>
                        <w:rPr>
                          <w:rFonts w:asciiTheme="minorHAnsi" w:hAnsiTheme="minorHAnsi"/>
                          <w:sz w:val="11"/>
                          <w:szCs w:val="11"/>
                          <w:lang w:val="uk-UA"/>
                        </w:rPr>
                        <w:t xml:space="preserve">різних </w:t>
                      </w:r>
                      <w:r w:rsidRPr="00B27122">
                        <w:rPr>
                          <w:rFonts w:asciiTheme="minorHAnsi" w:hAnsiTheme="minorHAnsi"/>
                          <w:sz w:val="11"/>
                          <w:szCs w:val="11"/>
                          <w:lang w:val="uk-UA"/>
                        </w:rPr>
                        <w:t>типів зразків</w:t>
                      </w:r>
                      <w:r w:rsidRPr="00B27122">
                        <w:rPr>
                          <w:rFonts w:ascii="Arial MT" w:hAnsi="Arial MT"/>
                          <w:sz w:val="11"/>
                          <w:szCs w:val="11"/>
                          <w:lang w:val="uk-UA"/>
                        </w:rPr>
                        <w:t xml:space="preserve"> </w:t>
                      </w:r>
                      <w:r w:rsidRPr="00B27122">
                        <w:rPr>
                          <w:rFonts w:asciiTheme="minorHAnsi" w:hAnsiTheme="minorHAnsi"/>
                          <w:sz w:val="11"/>
                          <w:szCs w:val="11"/>
                          <w:lang w:val="uk-UA"/>
                        </w:rPr>
                        <w:t>проти комбінованих аТАНК-НС</w:t>
                      </w:r>
                    </w:p>
                    <w:p w14:paraId="2F9B6C4A" w14:textId="144D519B" w:rsidR="007372B2" w:rsidRPr="001751A7" w:rsidRDefault="007372B2" w:rsidP="001751A7">
                      <w:pPr>
                        <w:spacing w:line="204" w:lineRule="auto"/>
                        <w:rPr>
                          <w:rFonts w:asciiTheme="minorHAnsi" w:hAnsiTheme="minorHAnsi"/>
                          <w:sz w:val="11"/>
                          <w:szCs w:val="11"/>
                          <w:lang w:val="uk-UA"/>
                        </w:rPr>
                      </w:pPr>
                      <w:r w:rsidRPr="003C6DAE">
                        <w:rPr>
                          <w:sz w:val="12"/>
                          <w:lang w:val="uk-UA"/>
                        </w:rPr>
                        <w:t xml:space="preserve">Δ </w:t>
                      </w:r>
                      <w:r w:rsidRPr="001751A7">
                        <w:rPr>
                          <w:rFonts w:asciiTheme="minorHAnsi" w:hAnsiTheme="minorHAnsi"/>
                          <w:sz w:val="11"/>
                          <w:szCs w:val="11"/>
                          <w:lang w:val="uk-UA"/>
                        </w:rPr>
                        <w:t>Одночасний</w:t>
                      </w:r>
                      <w:r w:rsidRPr="001751A7">
                        <w:rPr>
                          <w:rFonts w:ascii="Arial MT" w:hAnsi="Arial MT"/>
                          <w:sz w:val="11"/>
                          <w:szCs w:val="11"/>
                          <w:lang w:val="uk-UA"/>
                        </w:rPr>
                        <w:t xml:space="preserve"> </w:t>
                      </w:r>
                      <w:r w:rsidRPr="001751A7">
                        <w:rPr>
                          <w:rFonts w:asciiTheme="minorHAnsi" w:hAnsiTheme="minorHAnsi"/>
                          <w:sz w:val="11"/>
                          <w:szCs w:val="11"/>
                          <w:lang w:val="uk-UA"/>
                        </w:rPr>
                        <w:t xml:space="preserve">тест різних типів проти аналізу </w:t>
                      </w:r>
                      <w:r w:rsidRPr="001751A7">
                        <w:rPr>
                          <w:rFonts w:asciiTheme="minorHAnsi" w:hAnsiTheme="minorHAnsi"/>
                          <w:sz w:val="11"/>
                          <w:szCs w:val="11"/>
                        </w:rPr>
                        <w:t>LF</w:t>
                      </w:r>
                      <w:r w:rsidRPr="001751A7">
                        <w:rPr>
                          <w:rFonts w:asciiTheme="minorHAnsi" w:hAnsiTheme="minorHAnsi"/>
                          <w:sz w:val="11"/>
                          <w:szCs w:val="11"/>
                          <w:lang w:val="uk-UA"/>
                        </w:rPr>
                        <w:t>-</w:t>
                      </w:r>
                      <w:r w:rsidRPr="001751A7">
                        <w:rPr>
                          <w:rFonts w:asciiTheme="minorHAnsi" w:hAnsiTheme="minorHAnsi"/>
                          <w:sz w:val="11"/>
                          <w:szCs w:val="11"/>
                        </w:rPr>
                        <w:t>LAM</w:t>
                      </w:r>
                      <w:r w:rsidRPr="001751A7">
                        <w:rPr>
                          <w:rFonts w:asciiTheme="minorHAnsi" w:hAnsiTheme="minorHAnsi"/>
                          <w:sz w:val="11"/>
                          <w:szCs w:val="11"/>
                          <w:lang w:val="uk-UA"/>
                        </w:rPr>
                        <w:t xml:space="preserve"> </w:t>
                      </w:r>
                    </w:p>
                    <w:p w14:paraId="0E462BE1" w14:textId="77777777" w:rsidR="007372B2" w:rsidRPr="001751A7" w:rsidRDefault="007372B2">
                      <w:pPr>
                        <w:rPr>
                          <w:sz w:val="11"/>
                          <w:szCs w:val="11"/>
                          <w:lang w:val="ru-RU"/>
                        </w:rPr>
                      </w:pPr>
                    </w:p>
                  </w:txbxContent>
                </v:textbox>
              </v:shape>
            </w:pict>
          </mc:Fallback>
        </mc:AlternateContent>
      </w:r>
      <w:r w:rsidR="00B01E0C" w:rsidRPr="003C6DAE">
        <w:rPr>
          <w:lang w:val="uk-UA"/>
        </w:rPr>
        <w:br w:type="column"/>
      </w:r>
    </w:p>
    <w:p w14:paraId="0DBB6A6C" w14:textId="38D4786B" w:rsidR="00E05B98" w:rsidRPr="001751A7" w:rsidRDefault="00B01E0C">
      <w:pPr>
        <w:tabs>
          <w:tab w:val="left" w:pos="1053"/>
        </w:tabs>
        <w:spacing w:before="95"/>
        <w:ind w:left="593"/>
        <w:rPr>
          <w:rFonts w:asciiTheme="minorHAnsi" w:hAnsiTheme="minorHAnsi" w:cstheme="minorHAnsi"/>
          <w:b/>
          <w:sz w:val="12"/>
          <w:lang w:val="uk-UA"/>
        </w:rPr>
      </w:pPr>
      <w:r w:rsidRPr="003C6DAE">
        <w:rPr>
          <w:lang w:val="uk-UA"/>
        </w:rPr>
        <w:br w:type="column"/>
      </w:r>
      <w:r w:rsidR="001751A7">
        <w:rPr>
          <w:rFonts w:asciiTheme="minorHAnsi" w:hAnsiTheme="minorHAnsi" w:cstheme="minorHAnsi"/>
          <w:b/>
          <w:spacing w:val="-10"/>
          <w:sz w:val="12"/>
          <w:lang w:val="uk-UA"/>
        </w:rPr>
        <w:t>К-сть</w:t>
      </w:r>
      <w:r w:rsidRPr="001751A7">
        <w:rPr>
          <w:rFonts w:asciiTheme="minorHAnsi" w:hAnsiTheme="minorHAnsi" w:cstheme="minorHAnsi"/>
          <w:b/>
          <w:sz w:val="12"/>
          <w:lang w:val="uk-UA"/>
        </w:rPr>
        <w:tab/>
      </w:r>
      <w:proofErr w:type="spellStart"/>
      <w:r w:rsidR="001751A7">
        <w:rPr>
          <w:rFonts w:asciiTheme="minorHAnsi" w:hAnsiTheme="minorHAnsi" w:cstheme="minorHAnsi"/>
          <w:b/>
          <w:sz w:val="12"/>
          <w:lang w:val="uk-UA"/>
        </w:rPr>
        <w:t>К-сть</w:t>
      </w:r>
      <w:proofErr w:type="spellEnd"/>
      <w:r w:rsidRPr="001751A7">
        <w:rPr>
          <w:rFonts w:asciiTheme="minorHAnsi" w:hAnsiTheme="minorHAnsi" w:cstheme="minorHAnsi"/>
          <w:b/>
          <w:spacing w:val="-6"/>
          <w:sz w:val="12"/>
          <w:lang w:val="uk-UA"/>
        </w:rPr>
        <w:t xml:space="preserve"> </w:t>
      </w:r>
      <w:r w:rsidRPr="001751A7">
        <w:rPr>
          <w:rFonts w:asciiTheme="minorHAnsi" w:hAnsiTheme="minorHAnsi" w:cstheme="minorHAnsi"/>
          <w:b/>
          <w:sz w:val="12"/>
          <w:lang w:val="uk-UA"/>
        </w:rPr>
        <w:t>(%)</w:t>
      </w:r>
      <w:r w:rsidRPr="001751A7">
        <w:rPr>
          <w:rFonts w:asciiTheme="minorHAnsi" w:hAnsiTheme="minorHAnsi" w:cstheme="minorHAnsi"/>
          <w:b/>
          <w:spacing w:val="-5"/>
          <w:sz w:val="12"/>
          <w:lang w:val="uk-UA"/>
        </w:rPr>
        <w:t xml:space="preserve"> </w:t>
      </w:r>
      <w:r w:rsidR="001751A7">
        <w:rPr>
          <w:rFonts w:asciiTheme="minorHAnsi" w:hAnsiTheme="minorHAnsi" w:cstheme="minorHAnsi"/>
          <w:b/>
          <w:sz w:val="12"/>
          <w:lang w:val="uk-UA"/>
        </w:rPr>
        <w:t>з ТБ</w:t>
      </w:r>
    </w:p>
    <w:p w14:paraId="69EE689B" w14:textId="5732134D" w:rsidR="00E05B98" w:rsidRPr="001751A7" w:rsidRDefault="00B01E0C" w:rsidP="001751A7">
      <w:pPr>
        <w:spacing w:before="95"/>
        <w:ind w:left="284"/>
        <w:rPr>
          <w:rFonts w:asciiTheme="minorHAnsi" w:hAnsiTheme="minorHAnsi" w:cstheme="minorHAnsi"/>
          <w:b/>
          <w:sz w:val="12"/>
          <w:lang w:val="uk-UA"/>
        </w:rPr>
      </w:pPr>
      <w:r w:rsidRPr="003C6DAE">
        <w:rPr>
          <w:lang w:val="uk-UA"/>
        </w:rPr>
        <w:br w:type="column"/>
      </w:r>
      <w:r w:rsidR="001751A7" w:rsidRPr="001751A7">
        <w:rPr>
          <w:rFonts w:asciiTheme="minorHAnsi" w:hAnsiTheme="minorHAnsi" w:cstheme="minorHAnsi"/>
          <w:b/>
          <w:spacing w:val="-2"/>
          <w:sz w:val="12"/>
          <w:lang w:val="uk-UA"/>
        </w:rPr>
        <w:t>Зведені дані</w:t>
      </w:r>
      <w:r w:rsidRPr="001751A7">
        <w:rPr>
          <w:rFonts w:asciiTheme="minorHAnsi" w:hAnsiTheme="minorHAnsi" w:cstheme="minorHAnsi"/>
          <w:b/>
          <w:spacing w:val="-3"/>
          <w:sz w:val="12"/>
          <w:lang w:val="uk-UA"/>
        </w:rPr>
        <w:t xml:space="preserve"> </w:t>
      </w:r>
      <w:r w:rsidRPr="001751A7">
        <w:rPr>
          <w:rFonts w:asciiTheme="minorHAnsi" w:hAnsiTheme="minorHAnsi" w:cstheme="minorHAnsi"/>
          <w:b/>
          <w:spacing w:val="-2"/>
          <w:sz w:val="12"/>
          <w:lang w:val="uk-UA"/>
        </w:rPr>
        <w:t>(95%</w:t>
      </w:r>
      <w:r w:rsidRPr="001751A7">
        <w:rPr>
          <w:rFonts w:asciiTheme="minorHAnsi" w:hAnsiTheme="minorHAnsi" w:cstheme="minorHAnsi"/>
          <w:b/>
          <w:spacing w:val="-3"/>
          <w:sz w:val="12"/>
          <w:lang w:val="uk-UA"/>
        </w:rPr>
        <w:t xml:space="preserve"> </w:t>
      </w:r>
      <w:r w:rsidRPr="001751A7">
        <w:rPr>
          <w:rFonts w:asciiTheme="minorHAnsi" w:hAnsiTheme="minorHAnsi" w:cstheme="minorHAnsi"/>
          <w:b/>
          <w:spacing w:val="-4"/>
          <w:sz w:val="12"/>
          <w:lang w:val="uk-UA"/>
        </w:rPr>
        <w:t>CrI)</w:t>
      </w:r>
    </w:p>
    <w:p w14:paraId="7A2FE510" w14:textId="1C994A82" w:rsidR="00E05B98" w:rsidRPr="003C6DAE" w:rsidRDefault="00B01E0C">
      <w:pPr>
        <w:spacing w:before="95"/>
        <w:ind w:left="593"/>
        <w:rPr>
          <w:rFonts w:ascii="Arial"/>
          <w:b/>
          <w:sz w:val="12"/>
          <w:lang w:val="uk-UA"/>
        </w:rPr>
      </w:pPr>
      <w:r w:rsidRPr="003C6DAE">
        <w:rPr>
          <w:lang w:val="uk-UA"/>
        </w:rPr>
        <w:br w:type="column"/>
      </w:r>
      <w:r w:rsidR="001751A7">
        <w:rPr>
          <w:rFonts w:asciiTheme="minorHAnsi" w:hAnsiTheme="minorHAnsi" w:cstheme="minorHAnsi"/>
          <w:b/>
          <w:spacing w:val="-2"/>
          <w:sz w:val="12"/>
          <w:lang w:val="uk-UA"/>
        </w:rPr>
        <w:t xml:space="preserve">Зведені дані </w:t>
      </w:r>
      <w:r w:rsidRPr="003C6DAE">
        <w:rPr>
          <w:rFonts w:ascii="Arial"/>
          <w:b/>
          <w:spacing w:val="-2"/>
          <w:sz w:val="12"/>
          <w:lang w:val="uk-UA"/>
        </w:rPr>
        <w:t>(95%</w:t>
      </w:r>
      <w:r w:rsidRPr="003C6DAE">
        <w:rPr>
          <w:rFonts w:ascii="Arial"/>
          <w:b/>
          <w:spacing w:val="-3"/>
          <w:sz w:val="12"/>
          <w:lang w:val="uk-UA"/>
        </w:rPr>
        <w:t xml:space="preserve"> </w:t>
      </w:r>
      <w:r w:rsidRPr="003C6DAE">
        <w:rPr>
          <w:rFonts w:ascii="Arial"/>
          <w:b/>
          <w:spacing w:val="-4"/>
          <w:sz w:val="12"/>
          <w:lang w:val="uk-UA"/>
        </w:rPr>
        <w:t>CrI)</w:t>
      </w:r>
    </w:p>
    <w:p w14:paraId="1A738017" w14:textId="77777777" w:rsidR="00E05B98" w:rsidRPr="003C6DAE" w:rsidRDefault="00E05B98">
      <w:pPr>
        <w:rPr>
          <w:rFonts w:ascii="Arial"/>
          <w:b/>
          <w:sz w:val="12"/>
          <w:lang w:val="uk-UA"/>
        </w:rPr>
        <w:sectPr w:rsidR="00E05B98" w:rsidRPr="003C6DAE">
          <w:type w:val="continuous"/>
          <w:pgSz w:w="11910" w:h="16840"/>
          <w:pgMar w:top="1920" w:right="1275" w:bottom="280" w:left="850" w:header="0" w:footer="573" w:gutter="0"/>
          <w:cols w:num="5" w:space="720" w:equalWidth="0">
            <w:col w:w="1166" w:space="40"/>
            <w:col w:w="376" w:space="612"/>
            <w:col w:w="1963" w:space="974"/>
            <w:col w:w="1719" w:space="1007"/>
            <w:col w:w="1928"/>
          </w:cols>
        </w:sectPr>
      </w:pPr>
    </w:p>
    <w:p w14:paraId="5C05ADC6" w14:textId="77777777" w:rsidR="00E05B98" w:rsidRPr="003C6DAE" w:rsidRDefault="00B01E0C">
      <w:pPr>
        <w:spacing w:before="128"/>
        <w:jc w:val="right"/>
        <w:rPr>
          <w:rFonts w:ascii="Arial"/>
          <w:b/>
          <w:sz w:val="12"/>
          <w:lang w:val="uk-UA"/>
        </w:rPr>
      </w:pPr>
      <w:r w:rsidRPr="003C6DAE">
        <w:rPr>
          <w:rFonts w:ascii="Arial"/>
          <w:b/>
          <w:color w:val="62B6CB"/>
          <w:spacing w:val="-5"/>
          <w:sz w:val="12"/>
          <w:lang w:val="uk-UA"/>
        </w:rPr>
        <w:t>MRS</w:t>
      </w:r>
    </w:p>
    <w:p w14:paraId="60E86057" w14:textId="77777777" w:rsidR="00E05B98" w:rsidRPr="003C6DAE" w:rsidRDefault="00E05B98">
      <w:pPr>
        <w:pStyle w:val="a3"/>
        <w:rPr>
          <w:rFonts w:ascii="Arial"/>
          <w:b/>
          <w:sz w:val="12"/>
          <w:lang w:val="uk-UA"/>
        </w:rPr>
      </w:pPr>
    </w:p>
    <w:p w14:paraId="4DC4DA86" w14:textId="77777777" w:rsidR="00E05B98" w:rsidRPr="003C6DAE" w:rsidRDefault="00E05B98">
      <w:pPr>
        <w:pStyle w:val="a3"/>
        <w:rPr>
          <w:rFonts w:ascii="Arial"/>
          <w:b/>
          <w:sz w:val="12"/>
          <w:lang w:val="uk-UA"/>
        </w:rPr>
      </w:pPr>
    </w:p>
    <w:p w14:paraId="14001642" w14:textId="77777777" w:rsidR="00E05B98" w:rsidRPr="003C6DAE" w:rsidRDefault="00E05B98">
      <w:pPr>
        <w:pStyle w:val="a3"/>
        <w:rPr>
          <w:rFonts w:ascii="Arial"/>
          <w:b/>
          <w:sz w:val="12"/>
          <w:lang w:val="uk-UA"/>
        </w:rPr>
      </w:pPr>
    </w:p>
    <w:p w14:paraId="626291B4" w14:textId="77777777" w:rsidR="00E05B98" w:rsidRPr="003C6DAE" w:rsidRDefault="00E05B98">
      <w:pPr>
        <w:pStyle w:val="a3"/>
        <w:rPr>
          <w:rFonts w:ascii="Arial"/>
          <w:b/>
          <w:sz w:val="12"/>
          <w:lang w:val="uk-UA"/>
        </w:rPr>
      </w:pPr>
    </w:p>
    <w:p w14:paraId="7A7C9B47" w14:textId="77777777" w:rsidR="00E05B98" w:rsidRPr="003C6DAE" w:rsidRDefault="00E05B98">
      <w:pPr>
        <w:pStyle w:val="a3"/>
        <w:rPr>
          <w:rFonts w:ascii="Arial"/>
          <w:b/>
          <w:sz w:val="12"/>
          <w:lang w:val="uk-UA"/>
        </w:rPr>
      </w:pPr>
    </w:p>
    <w:p w14:paraId="195DDA6C" w14:textId="77777777" w:rsidR="00E05B98" w:rsidRPr="003C6DAE" w:rsidRDefault="00E05B98">
      <w:pPr>
        <w:pStyle w:val="a3"/>
        <w:rPr>
          <w:rFonts w:ascii="Arial"/>
          <w:b/>
          <w:sz w:val="12"/>
          <w:lang w:val="uk-UA"/>
        </w:rPr>
      </w:pPr>
    </w:p>
    <w:p w14:paraId="40911CCD" w14:textId="77777777" w:rsidR="00E05B98" w:rsidRPr="003C6DAE" w:rsidRDefault="00E05B98">
      <w:pPr>
        <w:pStyle w:val="a3"/>
        <w:rPr>
          <w:rFonts w:ascii="Arial"/>
          <w:b/>
          <w:sz w:val="12"/>
          <w:lang w:val="uk-UA"/>
        </w:rPr>
      </w:pPr>
    </w:p>
    <w:p w14:paraId="1A0ACDD3" w14:textId="77777777" w:rsidR="00E05B98" w:rsidRPr="003C6DAE" w:rsidRDefault="00E05B98">
      <w:pPr>
        <w:pStyle w:val="a3"/>
        <w:rPr>
          <w:rFonts w:ascii="Arial"/>
          <w:b/>
          <w:sz w:val="12"/>
          <w:lang w:val="uk-UA"/>
        </w:rPr>
      </w:pPr>
    </w:p>
    <w:p w14:paraId="2B86D9F7" w14:textId="77777777" w:rsidR="00E05B98" w:rsidRPr="003C6DAE" w:rsidRDefault="00E05B98">
      <w:pPr>
        <w:pStyle w:val="a3"/>
        <w:rPr>
          <w:rFonts w:ascii="Arial"/>
          <w:b/>
          <w:sz w:val="12"/>
          <w:lang w:val="uk-UA"/>
        </w:rPr>
      </w:pPr>
    </w:p>
    <w:p w14:paraId="6F64A90D" w14:textId="77777777" w:rsidR="00E05B98" w:rsidRPr="003C6DAE" w:rsidRDefault="00E05B98">
      <w:pPr>
        <w:pStyle w:val="a3"/>
        <w:spacing w:before="78"/>
        <w:rPr>
          <w:rFonts w:ascii="Arial"/>
          <w:b/>
          <w:sz w:val="12"/>
          <w:lang w:val="uk-UA"/>
        </w:rPr>
      </w:pPr>
    </w:p>
    <w:p w14:paraId="5B441947" w14:textId="77777777" w:rsidR="001751A7" w:rsidRDefault="001751A7">
      <w:pPr>
        <w:jc w:val="right"/>
        <w:rPr>
          <w:rFonts w:ascii="Arial"/>
          <w:b/>
          <w:color w:val="FF0000"/>
          <w:spacing w:val="-5"/>
          <w:sz w:val="12"/>
          <w:lang w:val="uk-UA"/>
        </w:rPr>
      </w:pPr>
    </w:p>
    <w:p w14:paraId="03B64D24" w14:textId="20078348" w:rsidR="00E05B98" w:rsidRPr="003C6DAE" w:rsidRDefault="00B01E0C">
      <w:pPr>
        <w:jc w:val="right"/>
        <w:rPr>
          <w:rFonts w:ascii="Arial"/>
          <w:b/>
          <w:sz w:val="12"/>
          <w:lang w:val="uk-UA"/>
        </w:rPr>
      </w:pPr>
      <w:r w:rsidRPr="003C6DAE">
        <w:rPr>
          <w:rFonts w:ascii="Arial"/>
          <w:b/>
          <w:color w:val="FF0000"/>
          <w:spacing w:val="-5"/>
          <w:sz w:val="12"/>
          <w:lang w:val="uk-UA"/>
        </w:rPr>
        <w:t>CRS</w:t>
      </w:r>
    </w:p>
    <w:p w14:paraId="03BA0379" w14:textId="77777777" w:rsidR="00E05B98" w:rsidRPr="003C6DAE" w:rsidRDefault="00B01E0C">
      <w:pPr>
        <w:spacing w:before="128"/>
        <w:ind w:left="387"/>
        <w:rPr>
          <w:rFonts w:ascii="Arial MT"/>
          <w:sz w:val="12"/>
          <w:lang w:val="uk-UA"/>
        </w:rPr>
      </w:pPr>
      <w:r w:rsidRPr="003C6DAE">
        <w:rPr>
          <w:lang w:val="uk-UA"/>
        </w:rPr>
        <w:br w:type="column"/>
      </w:r>
      <w:r w:rsidRPr="003C6DAE">
        <w:rPr>
          <w:rFonts w:ascii="Arial MT"/>
          <w:spacing w:val="-2"/>
          <w:sz w:val="12"/>
          <w:lang w:val="uk-UA"/>
        </w:rPr>
        <w:t>LF-</w:t>
      </w:r>
      <w:r w:rsidRPr="003C6DAE">
        <w:rPr>
          <w:rFonts w:ascii="Arial MT"/>
          <w:spacing w:val="-5"/>
          <w:sz w:val="12"/>
          <w:lang w:val="uk-UA"/>
        </w:rPr>
        <w:t>LAM</w:t>
      </w:r>
    </w:p>
    <w:p w14:paraId="1223DE93" w14:textId="77777777" w:rsidR="00E05B98" w:rsidRPr="003C6DAE" w:rsidRDefault="00B01E0C">
      <w:pPr>
        <w:spacing w:before="6" w:line="260" w:lineRule="atLeast"/>
        <w:ind w:left="387"/>
        <w:rPr>
          <w:rFonts w:ascii="Arial MT"/>
          <w:sz w:val="12"/>
          <w:lang w:val="uk-UA"/>
        </w:rPr>
      </w:pPr>
      <w:proofErr w:type="spellStart"/>
      <w:r w:rsidRPr="003C6DAE">
        <w:rPr>
          <w:rFonts w:ascii="Arial MT"/>
          <w:spacing w:val="-4"/>
          <w:sz w:val="12"/>
          <w:lang w:val="uk-UA"/>
        </w:rPr>
        <w:t>Combined</w:t>
      </w:r>
      <w:proofErr w:type="spellEnd"/>
      <w:r w:rsidRPr="003C6DAE">
        <w:rPr>
          <w:rFonts w:ascii="Arial MT"/>
          <w:spacing w:val="-5"/>
          <w:sz w:val="12"/>
          <w:lang w:val="uk-UA"/>
        </w:rPr>
        <w:t xml:space="preserve"> </w:t>
      </w:r>
      <w:r w:rsidRPr="003C6DAE">
        <w:rPr>
          <w:rFonts w:ascii="Arial MT"/>
          <w:spacing w:val="-4"/>
          <w:sz w:val="12"/>
          <w:lang w:val="uk-UA"/>
        </w:rPr>
        <w:t>LC-</w:t>
      </w:r>
      <w:proofErr w:type="spellStart"/>
      <w:r w:rsidRPr="003C6DAE">
        <w:rPr>
          <w:rFonts w:ascii="Arial MT"/>
          <w:spacing w:val="-4"/>
          <w:sz w:val="12"/>
          <w:lang w:val="uk-UA"/>
        </w:rPr>
        <w:t>aNAATs</w:t>
      </w:r>
      <w:proofErr w:type="spellEnd"/>
      <w:r w:rsidRPr="003C6DAE">
        <w:rPr>
          <w:rFonts w:ascii="Arial MT"/>
          <w:spacing w:val="40"/>
          <w:sz w:val="12"/>
          <w:lang w:val="uk-UA"/>
        </w:rPr>
        <w:t xml:space="preserve"> </w:t>
      </w:r>
      <w:proofErr w:type="spellStart"/>
      <w:r w:rsidRPr="003C6DAE">
        <w:rPr>
          <w:rFonts w:ascii="Arial MT"/>
          <w:spacing w:val="-2"/>
          <w:sz w:val="12"/>
          <w:lang w:val="uk-UA"/>
        </w:rPr>
        <w:t>Concurrent</w:t>
      </w:r>
      <w:proofErr w:type="spellEnd"/>
    </w:p>
    <w:p w14:paraId="051E67ED" w14:textId="77777777" w:rsidR="00E05B98" w:rsidRPr="003C6DAE" w:rsidRDefault="00B01E0C">
      <w:pPr>
        <w:spacing w:before="49" w:line="297" w:lineRule="auto"/>
        <w:ind w:left="387" w:right="148"/>
        <w:rPr>
          <w:rFonts w:ascii="Arial MT" w:hAnsi="Arial MT"/>
          <w:sz w:val="12"/>
          <w:lang w:val="uk-UA"/>
        </w:rPr>
      </w:pPr>
      <w:r w:rsidRPr="003C6DAE">
        <w:rPr>
          <w:sz w:val="12"/>
          <w:lang w:val="uk-UA"/>
        </w:rPr>
        <w:t xml:space="preserve">Δ </w:t>
      </w:r>
      <w:proofErr w:type="spellStart"/>
      <w:r w:rsidRPr="003C6DAE">
        <w:rPr>
          <w:rFonts w:ascii="Arial MT" w:hAnsi="Arial MT"/>
          <w:sz w:val="12"/>
          <w:lang w:val="uk-UA"/>
        </w:rPr>
        <w:t>Concurrent</w:t>
      </w:r>
      <w:proofErr w:type="spellEnd"/>
      <w:r w:rsidRPr="003C6DAE">
        <w:rPr>
          <w:rFonts w:ascii="Arial MT" w:hAnsi="Arial MT"/>
          <w:sz w:val="12"/>
          <w:lang w:val="uk-UA"/>
        </w:rPr>
        <w:t xml:space="preserve"> </w:t>
      </w:r>
      <w:proofErr w:type="spellStart"/>
      <w:r w:rsidRPr="003C6DAE">
        <w:rPr>
          <w:rFonts w:ascii="Arial MT" w:hAnsi="Arial MT"/>
          <w:sz w:val="12"/>
          <w:lang w:val="uk-UA"/>
        </w:rPr>
        <w:t>vs</w:t>
      </w:r>
      <w:proofErr w:type="spellEnd"/>
      <w:r w:rsidRPr="003C6DAE">
        <w:rPr>
          <w:rFonts w:ascii="Arial MT" w:hAnsi="Arial MT"/>
          <w:sz w:val="12"/>
          <w:lang w:val="uk-UA"/>
        </w:rPr>
        <w:t>.</w:t>
      </w:r>
      <w:r w:rsidRPr="003C6DAE">
        <w:rPr>
          <w:rFonts w:ascii="Arial MT" w:hAnsi="Arial MT"/>
          <w:spacing w:val="40"/>
          <w:sz w:val="12"/>
          <w:lang w:val="uk-UA"/>
        </w:rPr>
        <w:t xml:space="preserve"> </w:t>
      </w:r>
      <w:proofErr w:type="spellStart"/>
      <w:r w:rsidRPr="003C6DAE">
        <w:rPr>
          <w:rFonts w:ascii="Arial MT" w:hAnsi="Arial MT"/>
          <w:spacing w:val="-4"/>
          <w:sz w:val="12"/>
          <w:lang w:val="uk-UA"/>
        </w:rPr>
        <w:t>comb</w:t>
      </w:r>
      <w:proofErr w:type="spellEnd"/>
      <w:r w:rsidRPr="003C6DAE">
        <w:rPr>
          <w:rFonts w:ascii="Arial MT" w:hAnsi="Arial MT"/>
          <w:spacing w:val="-4"/>
          <w:sz w:val="12"/>
          <w:lang w:val="uk-UA"/>
        </w:rPr>
        <w:t>.</w:t>
      </w:r>
      <w:r w:rsidRPr="003C6DAE">
        <w:rPr>
          <w:rFonts w:ascii="Arial MT" w:hAnsi="Arial MT"/>
          <w:spacing w:val="-5"/>
          <w:sz w:val="12"/>
          <w:lang w:val="uk-UA"/>
        </w:rPr>
        <w:t xml:space="preserve"> </w:t>
      </w:r>
      <w:r w:rsidRPr="003C6DAE">
        <w:rPr>
          <w:rFonts w:ascii="Arial MT" w:hAnsi="Arial MT"/>
          <w:spacing w:val="-4"/>
          <w:sz w:val="12"/>
          <w:lang w:val="uk-UA"/>
        </w:rPr>
        <w:t>LC-</w:t>
      </w:r>
      <w:proofErr w:type="spellStart"/>
      <w:r w:rsidRPr="003C6DAE">
        <w:rPr>
          <w:rFonts w:ascii="Arial MT" w:hAnsi="Arial MT"/>
          <w:spacing w:val="-4"/>
          <w:sz w:val="12"/>
          <w:lang w:val="uk-UA"/>
        </w:rPr>
        <w:t>aNAATs</w:t>
      </w:r>
      <w:proofErr w:type="spellEnd"/>
    </w:p>
    <w:p w14:paraId="7A859D40" w14:textId="77777777" w:rsidR="00E05B98" w:rsidRPr="003C6DAE" w:rsidRDefault="00B01E0C">
      <w:pPr>
        <w:spacing w:before="9"/>
        <w:ind w:left="387"/>
        <w:rPr>
          <w:rFonts w:ascii="Arial MT" w:hAnsi="Arial MT"/>
          <w:sz w:val="12"/>
          <w:lang w:val="uk-UA"/>
        </w:rPr>
      </w:pPr>
      <w:r w:rsidRPr="003C6DAE">
        <w:rPr>
          <w:sz w:val="12"/>
          <w:lang w:val="uk-UA"/>
        </w:rPr>
        <w:t>Δ</w:t>
      </w:r>
      <w:r w:rsidRPr="003C6DAE">
        <w:rPr>
          <w:spacing w:val="-8"/>
          <w:sz w:val="12"/>
          <w:lang w:val="uk-UA"/>
        </w:rPr>
        <w:t xml:space="preserve"> </w:t>
      </w:r>
      <w:proofErr w:type="spellStart"/>
      <w:r w:rsidRPr="003C6DAE">
        <w:rPr>
          <w:rFonts w:ascii="Arial MT" w:hAnsi="Arial MT"/>
          <w:sz w:val="12"/>
          <w:lang w:val="uk-UA"/>
        </w:rPr>
        <w:t>Concurrent</w:t>
      </w:r>
      <w:proofErr w:type="spellEnd"/>
      <w:r w:rsidRPr="003C6DAE">
        <w:rPr>
          <w:rFonts w:ascii="Arial MT" w:hAnsi="Arial MT"/>
          <w:spacing w:val="-8"/>
          <w:sz w:val="12"/>
          <w:lang w:val="uk-UA"/>
        </w:rPr>
        <w:t xml:space="preserve"> </w:t>
      </w:r>
      <w:proofErr w:type="spellStart"/>
      <w:r w:rsidRPr="003C6DAE">
        <w:rPr>
          <w:rFonts w:ascii="Arial MT" w:hAnsi="Arial MT"/>
          <w:sz w:val="12"/>
          <w:lang w:val="uk-UA"/>
        </w:rPr>
        <w:t>vs</w:t>
      </w:r>
      <w:proofErr w:type="spellEnd"/>
      <w:r w:rsidRPr="003C6DAE">
        <w:rPr>
          <w:rFonts w:ascii="Arial MT" w:hAnsi="Arial MT"/>
          <w:sz w:val="12"/>
          <w:lang w:val="uk-UA"/>
        </w:rPr>
        <w:t>.</w:t>
      </w:r>
      <w:r w:rsidRPr="003C6DAE">
        <w:rPr>
          <w:rFonts w:ascii="Arial MT" w:hAnsi="Arial MT"/>
          <w:spacing w:val="-8"/>
          <w:sz w:val="12"/>
          <w:lang w:val="uk-UA"/>
        </w:rPr>
        <w:t xml:space="preserve"> </w:t>
      </w:r>
      <w:r w:rsidRPr="003C6DAE">
        <w:rPr>
          <w:rFonts w:ascii="Arial MT" w:hAnsi="Arial MT"/>
          <w:sz w:val="12"/>
          <w:lang w:val="uk-UA"/>
        </w:rPr>
        <w:t>LF-</w:t>
      </w:r>
      <w:r w:rsidRPr="003C6DAE">
        <w:rPr>
          <w:rFonts w:ascii="Arial MT" w:hAnsi="Arial MT"/>
          <w:spacing w:val="-5"/>
          <w:sz w:val="12"/>
          <w:lang w:val="uk-UA"/>
        </w:rPr>
        <w:t>LAM</w:t>
      </w:r>
    </w:p>
    <w:p w14:paraId="72EE9C41" w14:textId="77777777" w:rsidR="00E05B98" w:rsidRPr="003C6DAE" w:rsidRDefault="00E05B98">
      <w:pPr>
        <w:pStyle w:val="a3"/>
        <w:rPr>
          <w:rFonts w:ascii="Arial MT"/>
          <w:sz w:val="12"/>
          <w:lang w:val="uk-UA"/>
        </w:rPr>
      </w:pPr>
    </w:p>
    <w:p w14:paraId="46ED5B21" w14:textId="52660C29" w:rsidR="00E05B98" w:rsidRPr="003C6DAE" w:rsidRDefault="00E05B98">
      <w:pPr>
        <w:pStyle w:val="a3"/>
        <w:spacing w:before="118"/>
        <w:rPr>
          <w:rFonts w:ascii="Arial MT"/>
          <w:sz w:val="12"/>
          <w:lang w:val="uk-UA"/>
        </w:rPr>
      </w:pPr>
    </w:p>
    <w:p w14:paraId="056FFF4B" w14:textId="0641DCCA" w:rsidR="001751A7" w:rsidRDefault="001751A7">
      <w:pPr>
        <w:ind w:left="387"/>
        <w:rPr>
          <w:rFonts w:ascii="Arial MT"/>
          <w:spacing w:val="-2"/>
          <w:sz w:val="12"/>
          <w:lang w:val="uk-UA"/>
        </w:rPr>
      </w:pPr>
      <w:r>
        <w:rPr>
          <w:noProof/>
          <w:lang w:val="uk-UA"/>
        </w:rPr>
        <mc:AlternateContent>
          <mc:Choice Requires="wps">
            <w:drawing>
              <wp:anchor distT="0" distB="0" distL="114300" distR="114300" simplePos="0" relativeHeight="488155648" behindDoc="0" locked="0" layoutInCell="1" allowOverlap="1" wp14:anchorId="7E69CC82" wp14:editId="283303C8">
                <wp:simplePos x="0" y="0"/>
                <wp:positionH relativeFrom="column">
                  <wp:posOffset>71107</wp:posOffset>
                </wp:positionH>
                <wp:positionV relativeFrom="paragraph">
                  <wp:posOffset>37044</wp:posOffset>
                </wp:positionV>
                <wp:extent cx="1104523" cy="1022840"/>
                <wp:effectExtent l="0" t="0" r="635" b="6350"/>
                <wp:wrapNone/>
                <wp:docPr id="263969479" name="Поле 2150"/>
                <wp:cNvGraphicFramePr/>
                <a:graphic xmlns:a="http://schemas.openxmlformats.org/drawingml/2006/main">
                  <a:graphicData uri="http://schemas.microsoft.com/office/word/2010/wordprocessingShape">
                    <wps:wsp>
                      <wps:cNvSpPr txBox="1"/>
                      <wps:spPr>
                        <a:xfrm>
                          <a:off x="0" y="0"/>
                          <a:ext cx="1104523" cy="1022840"/>
                        </a:xfrm>
                        <a:prstGeom prst="rect">
                          <a:avLst/>
                        </a:prstGeom>
                        <a:solidFill>
                          <a:schemeClr val="bg1"/>
                        </a:solidFill>
                        <a:ln w="6350">
                          <a:noFill/>
                        </a:ln>
                      </wps:spPr>
                      <wps:txbx>
                        <w:txbxContent>
                          <w:p w14:paraId="46EB0E3D" w14:textId="77777777" w:rsidR="007372B2" w:rsidRPr="00B27122" w:rsidRDefault="007372B2" w:rsidP="001751A7">
                            <w:pPr>
                              <w:rPr>
                                <w:rFonts w:asciiTheme="minorHAnsi" w:hAnsiTheme="minorHAnsi"/>
                                <w:sz w:val="11"/>
                                <w:szCs w:val="11"/>
                                <w:lang w:val="uk-UA"/>
                              </w:rPr>
                            </w:pPr>
                            <w:r w:rsidRPr="00B27122">
                              <w:rPr>
                                <w:rFonts w:asciiTheme="minorHAnsi" w:hAnsiTheme="minorHAnsi"/>
                                <w:sz w:val="11"/>
                                <w:szCs w:val="11"/>
                                <w:lang w:val="uk-UA"/>
                              </w:rPr>
                              <w:t xml:space="preserve">Аналіз </w:t>
                            </w:r>
                            <w:r w:rsidRPr="00B27122">
                              <w:rPr>
                                <w:rFonts w:asciiTheme="minorHAnsi" w:hAnsiTheme="minorHAnsi"/>
                                <w:sz w:val="11"/>
                                <w:szCs w:val="11"/>
                              </w:rPr>
                              <w:t>LF</w:t>
                            </w:r>
                            <w:r w:rsidRPr="00B27122">
                              <w:rPr>
                                <w:rFonts w:asciiTheme="minorHAnsi" w:hAnsiTheme="minorHAnsi"/>
                                <w:sz w:val="11"/>
                                <w:szCs w:val="11"/>
                                <w:lang w:val="uk-UA"/>
                              </w:rPr>
                              <w:t>-</w:t>
                            </w:r>
                            <w:r w:rsidRPr="00B27122">
                              <w:rPr>
                                <w:rFonts w:asciiTheme="minorHAnsi" w:hAnsiTheme="minorHAnsi"/>
                                <w:sz w:val="11"/>
                                <w:szCs w:val="11"/>
                              </w:rPr>
                              <w:t>LAM</w:t>
                            </w:r>
                          </w:p>
                          <w:p w14:paraId="428E1DAA" w14:textId="77777777" w:rsidR="007372B2" w:rsidRPr="00B27122" w:rsidRDefault="007372B2" w:rsidP="001751A7">
                            <w:pPr>
                              <w:rPr>
                                <w:rFonts w:asciiTheme="minorHAnsi" w:hAnsiTheme="minorHAnsi"/>
                                <w:sz w:val="11"/>
                                <w:szCs w:val="11"/>
                                <w:lang w:val="uk-UA"/>
                              </w:rPr>
                            </w:pPr>
                          </w:p>
                          <w:p w14:paraId="6114E4FD" w14:textId="77777777" w:rsidR="007372B2" w:rsidRPr="00B27122" w:rsidRDefault="007372B2" w:rsidP="001751A7">
                            <w:pPr>
                              <w:rPr>
                                <w:rFonts w:asciiTheme="minorHAnsi" w:hAnsiTheme="minorHAnsi" w:cstheme="minorHAnsi"/>
                                <w:sz w:val="11"/>
                                <w:szCs w:val="11"/>
                                <w:lang w:val="uk-UA"/>
                              </w:rPr>
                            </w:pPr>
                            <w:r w:rsidRPr="00B27122">
                              <w:rPr>
                                <w:rFonts w:asciiTheme="minorHAnsi" w:hAnsiTheme="minorHAnsi"/>
                                <w:sz w:val="11"/>
                                <w:szCs w:val="11"/>
                                <w:lang w:val="uk-UA"/>
                              </w:rPr>
                              <w:t>Комбіновані аТАНК-НС</w:t>
                            </w:r>
                          </w:p>
                          <w:p w14:paraId="79A19CC4" w14:textId="77777777" w:rsidR="007372B2" w:rsidRPr="00B27122" w:rsidRDefault="007372B2" w:rsidP="001751A7">
                            <w:pPr>
                              <w:rPr>
                                <w:rFonts w:asciiTheme="minorHAnsi" w:hAnsiTheme="minorHAnsi" w:cstheme="minorHAnsi"/>
                                <w:sz w:val="8"/>
                                <w:szCs w:val="8"/>
                                <w:lang w:val="uk-UA"/>
                              </w:rPr>
                            </w:pPr>
                          </w:p>
                          <w:p w14:paraId="480809C2" w14:textId="77777777" w:rsidR="007372B2" w:rsidRPr="00B27122" w:rsidRDefault="007372B2" w:rsidP="001751A7">
                            <w:pPr>
                              <w:spacing w:line="204" w:lineRule="auto"/>
                              <w:rPr>
                                <w:rFonts w:asciiTheme="minorHAnsi" w:hAnsiTheme="minorHAnsi" w:cstheme="minorHAnsi"/>
                                <w:sz w:val="11"/>
                                <w:szCs w:val="11"/>
                                <w:lang w:val="uk-UA"/>
                              </w:rPr>
                            </w:pPr>
                            <w:r w:rsidRPr="00B27122">
                              <w:rPr>
                                <w:rFonts w:asciiTheme="minorHAnsi" w:hAnsiTheme="minorHAnsi" w:cstheme="minorHAnsi"/>
                                <w:sz w:val="11"/>
                                <w:szCs w:val="11"/>
                                <w:lang w:val="uk-UA"/>
                              </w:rPr>
                              <w:t>Одночасний тест різних типів зразків</w:t>
                            </w:r>
                          </w:p>
                          <w:p w14:paraId="776B295F" w14:textId="77777777" w:rsidR="007372B2" w:rsidRPr="00B27122" w:rsidRDefault="007372B2" w:rsidP="001751A7">
                            <w:pPr>
                              <w:rPr>
                                <w:sz w:val="8"/>
                                <w:szCs w:val="8"/>
                                <w:lang w:val="uk-UA"/>
                              </w:rPr>
                            </w:pPr>
                          </w:p>
                          <w:p w14:paraId="651F0FCE" w14:textId="77777777" w:rsidR="007372B2" w:rsidRPr="00B27122" w:rsidRDefault="007372B2" w:rsidP="001751A7">
                            <w:pPr>
                              <w:spacing w:line="204" w:lineRule="auto"/>
                              <w:ind w:right="-120"/>
                              <w:rPr>
                                <w:rFonts w:asciiTheme="minorHAnsi" w:hAnsiTheme="minorHAnsi"/>
                                <w:sz w:val="11"/>
                                <w:szCs w:val="11"/>
                                <w:lang w:val="uk-UA"/>
                              </w:rPr>
                            </w:pPr>
                            <w:r w:rsidRPr="00B27122">
                              <w:rPr>
                                <w:sz w:val="11"/>
                                <w:szCs w:val="11"/>
                                <w:lang w:val="uk-UA"/>
                              </w:rPr>
                              <w:t xml:space="preserve">Δ </w:t>
                            </w:r>
                            <w:r w:rsidRPr="00B27122">
                              <w:rPr>
                                <w:rFonts w:asciiTheme="minorHAnsi" w:hAnsiTheme="minorHAnsi"/>
                                <w:sz w:val="11"/>
                                <w:szCs w:val="11"/>
                                <w:lang w:val="uk-UA"/>
                              </w:rPr>
                              <w:t xml:space="preserve">Одночасне тестування </w:t>
                            </w:r>
                            <w:r>
                              <w:rPr>
                                <w:rFonts w:asciiTheme="minorHAnsi" w:hAnsiTheme="minorHAnsi"/>
                                <w:sz w:val="11"/>
                                <w:szCs w:val="11"/>
                                <w:lang w:val="uk-UA"/>
                              </w:rPr>
                              <w:t xml:space="preserve">різних </w:t>
                            </w:r>
                            <w:r w:rsidRPr="00B27122">
                              <w:rPr>
                                <w:rFonts w:asciiTheme="minorHAnsi" w:hAnsiTheme="minorHAnsi"/>
                                <w:sz w:val="11"/>
                                <w:szCs w:val="11"/>
                                <w:lang w:val="uk-UA"/>
                              </w:rPr>
                              <w:t>типів зразків</w:t>
                            </w:r>
                            <w:r w:rsidRPr="00B27122">
                              <w:rPr>
                                <w:rFonts w:ascii="Arial MT" w:hAnsi="Arial MT"/>
                                <w:sz w:val="11"/>
                                <w:szCs w:val="11"/>
                                <w:lang w:val="uk-UA"/>
                              </w:rPr>
                              <w:t xml:space="preserve"> </w:t>
                            </w:r>
                            <w:r w:rsidRPr="00B27122">
                              <w:rPr>
                                <w:rFonts w:asciiTheme="minorHAnsi" w:hAnsiTheme="minorHAnsi"/>
                                <w:sz w:val="11"/>
                                <w:szCs w:val="11"/>
                                <w:lang w:val="uk-UA"/>
                              </w:rPr>
                              <w:t>проти комбінованих аТАНК-НС</w:t>
                            </w:r>
                          </w:p>
                          <w:p w14:paraId="73AE3A0F" w14:textId="77777777" w:rsidR="007372B2" w:rsidRPr="001751A7" w:rsidRDefault="007372B2" w:rsidP="001751A7">
                            <w:pPr>
                              <w:spacing w:line="204" w:lineRule="auto"/>
                              <w:rPr>
                                <w:rFonts w:asciiTheme="minorHAnsi" w:hAnsiTheme="minorHAnsi"/>
                                <w:sz w:val="11"/>
                                <w:szCs w:val="11"/>
                                <w:lang w:val="uk-UA"/>
                              </w:rPr>
                            </w:pPr>
                            <w:r w:rsidRPr="003C6DAE">
                              <w:rPr>
                                <w:sz w:val="12"/>
                                <w:lang w:val="uk-UA"/>
                              </w:rPr>
                              <w:t xml:space="preserve">Δ </w:t>
                            </w:r>
                            <w:r w:rsidRPr="001751A7">
                              <w:rPr>
                                <w:rFonts w:asciiTheme="minorHAnsi" w:hAnsiTheme="minorHAnsi"/>
                                <w:sz w:val="11"/>
                                <w:szCs w:val="11"/>
                                <w:lang w:val="uk-UA"/>
                              </w:rPr>
                              <w:t>Одночасний</w:t>
                            </w:r>
                            <w:r w:rsidRPr="001751A7">
                              <w:rPr>
                                <w:rFonts w:ascii="Arial MT" w:hAnsi="Arial MT"/>
                                <w:sz w:val="11"/>
                                <w:szCs w:val="11"/>
                                <w:lang w:val="uk-UA"/>
                              </w:rPr>
                              <w:t xml:space="preserve"> </w:t>
                            </w:r>
                            <w:r w:rsidRPr="001751A7">
                              <w:rPr>
                                <w:rFonts w:asciiTheme="minorHAnsi" w:hAnsiTheme="minorHAnsi"/>
                                <w:sz w:val="11"/>
                                <w:szCs w:val="11"/>
                                <w:lang w:val="uk-UA"/>
                              </w:rPr>
                              <w:t xml:space="preserve">тест різних типів проти аналізу </w:t>
                            </w:r>
                            <w:r w:rsidRPr="001751A7">
                              <w:rPr>
                                <w:rFonts w:asciiTheme="minorHAnsi" w:hAnsiTheme="minorHAnsi"/>
                                <w:sz w:val="11"/>
                                <w:szCs w:val="11"/>
                              </w:rPr>
                              <w:t>LF</w:t>
                            </w:r>
                            <w:r w:rsidRPr="001751A7">
                              <w:rPr>
                                <w:rFonts w:asciiTheme="minorHAnsi" w:hAnsiTheme="minorHAnsi"/>
                                <w:sz w:val="11"/>
                                <w:szCs w:val="11"/>
                                <w:lang w:val="uk-UA"/>
                              </w:rPr>
                              <w:t>-</w:t>
                            </w:r>
                            <w:r w:rsidRPr="001751A7">
                              <w:rPr>
                                <w:rFonts w:asciiTheme="minorHAnsi" w:hAnsiTheme="minorHAnsi"/>
                                <w:sz w:val="11"/>
                                <w:szCs w:val="11"/>
                              </w:rPr>
                              <w:t>LAM</w:t>
                            </w:r>
                            <w:r w:rsidRPr="001751A7">
                              <w:rPr>
                                <w:rFonts w:asciiTheme="minorHAnsi" w:hAnsiTheme="minorHAnsi"/>
                                <w:sz w:val="11"/>
                                <w:szCs w:val="11"/>
                                <w:lang w:val="uk-UA"/>
                              </w:rPr>
                              <w:t xml:space="preserve"> </w:t>
                            </w:r>
                          </w:p>
                          <w:p w14:paraId="7DF644AF" w14:textId="77777777" w:rsidR="007372B2" w:rsidRPr="001751A7" w:rsidRDefault="007372B2" w:rsidP="001751A7">
                            <w:pPr>
                              <w:rPr>
                                <w:sz w:val="11"/>
                                <w:szCs w:val="11"/>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9CC82" id="_x0000_s1138" type="#_x0000_t202" style="position:absolute;left:0;text-align:left;margin-left:5.6pt;margin-top:2.9pt;width:86.95pt;height:80.55pt;z-index:4881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" fillcolor="white [3212]" stroked="f" strokeweight=".5pt">
                <v:textbox>
                  <w:txbxContent>
                    <w:p w14:paraId="46EB0E3D" w14:textId="77777777" w:rsidR="007372B2" w:rsidRPr="00B27122" w:rsidRDefault="007372B2" w:rsidP="001751A7">
                      <w:pPr>
                        <w:rPr>
                          <w:rFonts w:asciiTheme="minorHAnsi" w:hAnsiTheme="minorHAnsi"/>
                          <w:sz w:val="11"/>
                          <w:szCs w:val="11"/>
                          <w:lang w:val="uk-UA"/>
                        </w:rPr>
                      </w:pPr>
                      <w:r w:rsidRPr="00B27122">
                        <w:rPr>
                          <w:rFonts w:asciiTheme="minorHAnsi" w:hAnsiTheme="minorHAnsi"/>
                          <w:sz w:val="11"/>
                          <w:szCs w:val="11"/>
                          <w:lang w:val="uk-UA"/>
                        </w:rPr>
                        <w:t xml:space="preserve">Аналіз </w:t>
                      </w:r>
                      <w:r w:rsidRPr="00B27122">
                        <w:rPr>
                          <w:rFonts w:asciiTheme="minorHAnsi" w:hAnsiTheme="minorHAnsi"/>
                          <w:sz w:val="11"/>
                          <w:szCs w:val="11"/>
                        </w:rPr>
                        <w:t>LF</w:t>
                      </w:r>
                      <w:r w:rsidRPr="00B27122">
                        <w:rPr>
                          <w:rFonts w:asciiTheme="minorHAnsi" w:hAnsiTheme="minorHAnsi"/>
                          <w:sz w:val="11"/>
                          <w:szCs w:val="11"/>
                          <w:lang w:val="uk-UA"/>
                        </w:rPr>
                        <w:t>-</w:t>
                      </w:r>
                      <w:r w:rsidRPr="00B27122">
                        <w:rPr>
                          <w:rFonts w:asciiTheme="minorHAnsi" w:hAnsiTheme="minorHAnsi"/>
                          <w:sz w:val="11"/>
                          <w:szCs w:val="11"/>
                        </w:rPr>
                        <w:t>LAM</w:t>
                      </w:r>
                    </w:p>
                    <w:p w14:paraId="428E1DAA" w14:textId="77777777" w:rsidR="007372B2" w:rsidRPr="00B27122" w:rsidRDefault="007372B2" w:rsidP="001751A7">
                      <w:pPr>
                        <w:rPr>
                          <w:rFonts w:asciiTheme="minorHAnsi" w:hAnsiTheme="minorHAnsi"/>
                          <w:sz w:val="11"/>
                          <w:szCs w:val="11"/>
                          <w:lang w:val="uk-UA"/>
                        </w:rPr>
                      </w:pPr>
                    </w:p>
                    <w:p w14:paraId="6114E4FD" w14:textId="77777777" w:rsidR="007372B2" w:rsidRPr="00B27122" w:rsidRDefault="007372B2" w:rsidP="001751A7">
                      <w:pPr>
                        <w:rPr>
                          <w:rFonts w:asciiTheme="minorHAnsi" w:hAnsiTheme="minorHAnsi" w:cstheme="minorHAnsi"/>
                          <w:sz w:val="11"/>
                          <w:szCs w:val="11"/>
                          <w:lang w:val="uk-UA"/>
                        </w:rPr>
                      </w:pPr>
                      <w:r w:rsidRPr="00B27122">
                        <w:rPr>
                          <w:rFonts w:asciiTheme="minorHAnsi" w:hAnsiTheme="minorHAnsi"/>
                          <w:sz w:val="11"/>
                          <w:szCs w:val="11"/>
                          <w:lang w:val="uk-UA"/>
                        </w:rPr>
                        <w:t>Комбіновані аТАНК-НС</w:t>
                      </w:r>
                    </w:p>
                    <w:p w14:paraId="79A19CC4" w14:textId="77777777" w:rsidR="007372B2" w:rsidRPr="00B27122" w:rsidRDefault="007372B2" w:rsidP="001751A7">
                      <w:pPr>
                        <w:rPr>
                          <w:rFonts w:asciiTheme="minorHAnsi" w:hAnsiTheme="minorHAnsi" w:cstheme="minorHAnsi"/>
                          <w:sz w:val="8"/>
                          <w:szCs w:val="8"/>
                          <w:lang w:val="uk-UA"/>
                        </w:rPr>
                      </w:pPr>
                    </w:p>
                    <w:p w14:paraId="480809C2" w14:textId="77777777" w:rsidR="007372B2" w:rsidRPr="00B27122" w:rsidRDefault="007372B2" w:rsidP="001751A7">
                      <w:pPr>
                        <w:spacing w:line="204" w:lineRule="auto"/>
                        <w:rPr>
                          <w:rFonts w:asciiTheme="minorHAnsi" w:hAnsiTheme="minorHAnsi" w:cstheme="minorHAnsi"/>
                          <w:sz w:val="11"/>
                          <w:szCs w:val="11"/>
                          <w:lang w:val="uk-UA"/>
                        </w:rPr>
                      </w:pPr>
                      <w:r w:rsidRPr="00B27122">
                        <w:rPr>
                          <w:rFonts w:asciiTheme="minorHAnsi" w:hAnsiTheme="minorHAnsi" w:cstheme="minorHAnsi"/>
                          <w:sz w:val="11"/>
                          <w:szCs w:val="11"/>
                          <w:lang w:val="uk-UA"/>
                        </w:rPr>
                        <w:t>Одночасний тест різних типів зразків</w:t>
                      </w:r>
                    </w:p>
                    <w:p w14:paraId="776B295F" w14:textId="77777777" w:rsidR="007372B2" w:rsidRPr="00B27122" w:rsidRDefault="007372B2" w:rsidP="001751A7">
                      <w:pPr>
                        <w:rPr>
                          <w:sz w:val="8"/>
                          <w:szCs w:val="8"/>
                          <w:lang w:val="uk-UA"/>
                        </w:rPr>
                      </w:pPr>
                    </w:p>
                    <w:p w14:paraId="651F0FCE" w14:textId="77777777" w:rsidR="007372B2" w:rsidRPr="00B27122" w:rsidRDefault="007372B2" w:rsidP="001751A7">
                      <w:pPr>
                        <w:spacing w:line="204" w:lineRule="auto"/>
                        <w:ind w:right="-120"/>
                        <w:rPr>
                          <w:rFonts w:asciiTheme="minorHAnsi" w:hAnsiTheme="minorHAnsi"/>
                          <w:sz w:val="11"/>
                          <w:szCs w:val="11"/>
                          <w:lang w:val="uk-UA"/>
                        </w:rPr>
                      </w:pPr>
                      <w:r w:rsidRPr="00B27122">
                        <w:rPr>
                          <w:sz w:val="11"/>
                          <w:szCs w:val="11"/>
                          <w:lang w:val="uk-UA"/>
                        </w:rPr>
                        <w:t xml:space="preserve">Δ </w:t>
                      </w:r>
                      <w:r w:rsidRPr="00B27122">
                        <w:rPr>
                          <w:rFonts w:asciiTheme="minorHAnsi" w:hAnsiTheme="minorHAnsi"/>
                          <w:sz w:val="11"/>
                          <w:szCs w:val="11"/>
                          <w:lang w:val="uk-UA"/>
                        </w:rPr>
                        <w:t xml:space="preserve">Одночасне тестування </w:t>
                      </w:r>
                      <w:r>
                        <w:rPr>
                          <w:rFonts w:asciiTheme="minorHAnsi" w:hAnsiTheme="minorHAnsi"/>
                          <w:sz w:val="11"/>
                          <w:szCs w:val="11"/>
                          <w:lang w:val="uk-UA"/>
                        </w:rPr>
                        <w:t xml:space="preserve">різних </w:t>
                      </w:r>
                      <w:r w:rsidRPr="00B27122">
                        <w:rPr>
                          <w:rFonts w:asciiTheme="minorHAnsi" w:hAnsiTheme="minorHAnsi"/>
                          <w:sz w:val="11"/>
                          <w:szCs w:val="11"/>
                          <w:lang w:val="uk-UA"/>
                        </w:rPr>
                        <w:t>типів зразків</w:t>
                      </w:r>
                      <w:r w:rsidRPr="00B27122">
                        <w:rPr>
                          <w:rFonts w:ascii="Arial MT" w:hAnsi="Arial MT"/>
                          <w:sz w:val="11"/>
                          <w:szCs w:val="11"/>
                          <w:lang w:val="uk-UA"/>
                        </w:rPr>
                        <w:t xml:space="preserve"> </w:t>
                      </w:r>
                      <w:r w:rsidRPr="00B27122">
                        <w:rPr>
                          <w:rFonts w:asciiTheme="minorHAnsi" w:hAnsiTheme="minorHAnsi"/>
                          <w:sz w:val="11"/>
                          <w:szCs w:val="11"/>
                          <w:lang w:val="uk-UA"/>
                        </w:rPr>
                        <w:t>проти комбінованих аТАНК-НС</w:t>
                      </w:r>
                    </w:p>
                    <w:p w14:paraId="73AE3A0F" w14:textId="77777777" w:rsidR="007372B2" w:rsidRPr="001751A7" w:rsidRDefault="007372B2" w:rsidP="001751A7">
                      <w:pPr>
                        <w:spacing w:line="204" w:lineRule="auto"/>
                        <w:rPr>
                          <w:rFonts w:asciiTheme="minorHAnsi" w:hAnsiTheme="minorHAnsi"/>
                          <w:sz w:val="11"/>
                          <w:szCs w:val="11"/>
                          <w:lang w:val="uk-UA"/>
                        </w:rPr>
                      </w:pPr>
                      <w:r w:rsidRPr="003C6DAE">
                        <w:rPr>
                          <w:sz w:val="12"/>
                          <w:lang w:val="uk-UA"/>
                        </w:rPr>
                        <w:t xml:space="preserve">Δ </w:t>
                      </w:r>
                      <w:r w:rsidRPr="001751A7">
                        <w:rPr>
                          <w:rFonts w:asciiTheme="minorHAnsi" w:hAnsiTheme="minorHAnsi"/>
                          <w:sz w:val="11"/>
                          <w:szCs w:val="11"/>
                          <w:lang w:val="uk-UA"/>
                        </w:rPr>
                        <w:t>Одночасний</w:t>
                      </w:r>
                      <w:r w:rsidRPr="001751A7">
                        <w:rPr>
                          <w:rFonts w:ascii="Arial MT" w:hAnsi="Arial MT"/>
                          <w:sz w:val="11"/>
                          <w:szCs w:val="11"/>
                          <w:lang w:val="uk-UA"/>
                        </w:rPr>
                        <w:t xml:space="preserve"> </w:t>
                      </w:r>
                      <w:r w:rsidRPr="001751A7">
                        <w:rPr>
                          <w:rFonts w:asciiTheme="minorHAnsi" w:hAnsiTheme="minorHAnsi"/>
                          <w:sz w:val="11"/>
                          <w:szCs w:val="11"/>
                          <w:lang w:val="uk-UA"/>
                        </w:rPr>
                        <w:t xml:space="preserve">тест різних типів проти аналізу </w:t>
                      </w:r>
                      <w:r w:rsidRPr="001751A7">
                        <w:rPr>
                          <w:rFonts w:asciiTheme="minorHAnsi" w:hAnsiTheme="minorHAnsi"/>
                          <w:sz w:val="11"/>
                          <w:szCs w:val="11"/>
                        </w:rPr>
                        <w:t>LF</w:t>
                      </w:r>
                      <w:r w:rsidRPr="001751A7">
                        <w:rPr>
                          <w:rFonts w:asciiTheme="minorHAnsi" w:hAnsiTheme="minorHAnsi"/>
                          <w:sz w:val="11"/>
                          <w:szCs w:val="11"/>
                          <w:lang w:val="uk-UA"/>
                        </w:rPr>
                        <w:t>-</w:t>
                      </w:r>
                      <w:r w:rsidRPr="001751A7">
                        <w:rPr>
                          <w:rFonts w:asciiTheme="minorHAnsi" w:hAnsiTheme="minorHAnsi"/>
                          <w:sz w:val="11"/>
                          <w:szCs w:val="11"/>
                        </w:rPr>
                        <w:t>LAM</w:t>
                      </w:r>
                      <w:r w:rsidRPr="001751A7">
                        <w:rPr>
                          <w:rFonts w:asciiTheme="minorHAnsi" w:hAnsiTheme="minorHAnsi"/>
                          <w:sz w:val="11"/>
                          <w:szCs w:val="11"/>
                          <w:lang w:val="uk-UA"/>
                        </w:rPr>
                        <w:t xml:space="preserve"> </w:t>
                      </w:r>
                    </w:p>
                    <w:p w14:paraId="7DF644AF" w14:textId="77777777" w:rsidR="007372B2" w:rsidRPr="001751A7" w:rsidRDefault="007372B2" w:rsidP="001751A7">
                      <w:pPr>
                        <w:rPr>
                          <w:sz w:val="11"/>
                          <w:szCs w:val="11"/>
                          <w:lang w:val="ru-RU"/>
                        </w:rPr>
                      </w:pPr>
                    </w:p>
                  </w:txbxContent>
                </v:textbox>
              </v:shape>
            </w:pict>
          </mc:Fallback>
        </mc:AlternateContent>
      </w:r>
    </w:p>
    <w:p w14:paraId="1ACDE206" w14:textId="496D6ED6" w:rsidR="00E05B98" w:rsidRPr="003C6DAE" w:rsidRDefault="00B01E0C">
      <w:pPr>
        <w:ind w:left="387"/>
        <w:rPr>
          <w:rFonts w:ascii="Arial MT"/>
          <w:sz w:val="12"/>
          <w:lang w:val="uk-UA"/>
        </w:rPr>
      </w:pPr>
      <w:r w:rsidRPr="003C6DAE">
        <w:rPr>
          <w:rFonts w:ascii="Arial MT"/>
          <w:spacing w:val="-2"/>
          <w:sz w:val="12"/>
          <w:lang w:val="uk-UA"/>
        </w:rPr>
        <w:t>LF-</w:t>
      </w:r>
      <w:r w:rsidRPr="003C6DAE">
        <w:rPr>
          <w:rFonts w:ascii="Arial MT"/>
          <w:spacing w:val="-5"/>
          <w:sz w:val="12"/>
          <w:lang w:val="uk-UA"/>
        </w:rPr>
        <w:t>LAM</w:t>
      </w:r>
    </w:p>
    <w:p w14:paraId="6764BC45" w14:textId="77777777" w:rsidR="00E05B98" w:rsidRPr="003C6DAE" w:rsidRDefault="00B01E0C">
      <w:pPr>
        <w:spacing w:before="6" w:line="260" w:lineRule="atLeast"/>
        <w:ind w:left="387"/>
        <w:rPr>
          <w:rFonts w:ascii="Arial MT"/>
          <w:sz w:val="12"/>
          <w:lang w:val="uk-UA"/>
        </w:rPr>
      </w:pPr>
      <w:proofErr w:type="spellStart"/>
      <w:r w:rsidRPr="003C6DAE">
        <w:rPr>
          <w:rFonts w:ascii="Arial MT"/>
          <w:spacing w:val="-4"/>
          <w:sz w:val="12"/>
          <w:lang w:val="uk-UA"/>
        </w:rPr>
        <w:t>Combined</w:t>
      </w:r>
      <w:proofErr w:type="spellEnd"/>
      <w:r w:rsidRPr="003C6DAE">
        <w:rPr>
          <w:rFonts w:ascii="Arial MT"/>
          <w:spacing w:val="-5"/>
          <w:sz w:val="12"/>
          <w:lang w:val="uk-UA"/>
        </w:rPr>
        <w:t xml:space="preserve"> </w:t>
      </w:r>
      <w:r w:rsidRPr="003C6DAE">
        <w:rPr>
          <w:rFonts w:ascii="Arial MT"/>
          <w:spacing w:val="-4"/>
          <w:sz w:val="12"/>
          <w:lang w:val="uk-UA"/>
        </w:rPr>
        <w:t>LC-</w:t>
      </w:r>
      <w:proofErr w:type="spellStart"/>
      <w:r w:rsidRPr="003C6DAE">
        <w:rPr>
          <w:rFonts w:ascii="Arial MT"/>
          <w:spacing w:val="-4"/>
          <w:sz w:val="12"/>
          <w:lang w:val="uk-UA"/>
        </w:rPr>
        <w:t>aNAATs</w:t>
      </w:r>
      <w:proofErr w:type="spellEnd"/>
      <w:r w:rsidRPr="003C6DAE">
        <w:rPr>
          <w:rFonts w:ascii="Arial MT"/>
          <w:spacing w:val="40"/>
          <w:sz w:val="12"/>
          <w:lang w:val="uk-UA"/>
        </w:rPr>
        <w:t xml:space="preserve"> </w:t>
      </w:r>
      <w:proofErr w:type="spellStart"/>
      <w:r w:rsidRPr="003C6DAE">
        <w:rPr>
          <w:rFonts w:ascii="Arial MT"/>
          <w:spacing w:val="-2"/>
          <w:sz w:val="12"/>
          <w:lang w:val="uk-UA"/>
        </w:rPr>
        <w:t>Concurrent</w:t>
      </w:r>
      <w:proofErr w:type="spellEnd"/>
    </w:p>
    <w:p w14:paraId="1E9796D5" w14:textId="77777777" w:rsidR="00E05B98" w:rsidRPr="003C6DAE" w:rsidRDefault="00B01E0C">
      <w:pPr>
        <w:spacing w:before="49" w:line="297" w:lineRule="auto"/>
        <w:ind w:left="387" w:right="148"/>
        <w:rPr>
          <w:rFonts w:ascii="Arial MT" w:hAnsi="Arial MT"/>
          <w:sz w:val="12"/>
          <w:lang w:val="uk-UA"/>
        </w:rPr>
      </w:pPr>
      <w:r w:rsidRPr="003C6DAE">
        <w:rPr>
          <w:sz w:val="12"/>
          <w:lang w:val="uk-UA"/>
        </w:rPr>
        <w:t xml:space="preserve">Δ </w:t>
      </w:r>
      <w:proofErr w:type="spellStart"/>
      <w:r w:rsidRPr="003C6DAE">
        <w:rPr>
          <w:rFonts w:ascii="Arial MT" w:hAnsi="Arial MT"/>
          <w:sz w:val="12"/>
          <w:lang w:val="uk-UA"/>
        </w:rPr>
        <w:t>Concurrent</w:t>
      </w:r>
      <w:proofErr w:type="spellEnd"/>
      <w:r w:rsidRPr="003C6DAE">
        <w:rPr>
          <w:rFonts w:ascii="Arial MT" w:hAnsi="Arial MT"/>
          <w:sz w:val="12"/>
          <w:lang w:val="uk-UA"/>
        </w:rPr>
        <w:t xml:space="preserve"> </w:t>
      </w:r>
      <w:proofErr w:type="spellStart"/>
      <w:r w:rsidRPr="003C6DAE">
        <w:rPr>
          <w:rFonts w:ascii="Arial MT" w:hAnsi="Arial MT"/>
          <w:sz w:val="12"/>
          <w:lang w:val="uk-UA"/>
        </w:rPr>
        <w:t>vs</w:t>
      </w:r>
      <w:proofErr w:type="spellEnd"/>
      <w:r w:rsidRPr="003C6DAE">
        <w:rPr>
          <w:rFonts w:ascii="Arial MT" w:hAnsi="Arial MT"/>
          <w:sz w:val="12"/>
          <w:lang w:val="uk-UA"/>
        </w:rPr>
        <w:t>.</w:t>
      </w:r>
      <w:r w:rsidRPr="003C6DAE">
        <w:rPr>
          <w:rFonts w:ascii="Arial MT" w:hAnsi="Arial MT"/>
          <w:spacing w:val="40"/>
          <w:sz w:val="12"/>
          <w:lang w:val="uk-UA"/>
        </w:rPr>
        <w:t xml:space="preserve"> </w:t>
      </w:r>
      <w:proofErr w:type="spellStart"/>
      <w:r w:rsidRPr="003C6DAE">
        <w:rPr>
          <w:rFonts w:ascii="Arial MT" w:hAnsi="Arial MT"/>
          <w:spacing w:val="-4"/>
          <w:sz w:val="12"/>
          <w:lang w:val="uk-UA"/>
        </w:rPr>
        <w:t>comb</w:t>
      </w:r>
      <w:proofErr w:type="spellEnd"/>
      <w:r w:rsidRPr="003C6DAE">
        <w:rPr>
          <w:rFonts w:ascii="Arial MT" w:hAnsi="Arial MT"/>
          <w:spacing w:val="-4"/>
          <w:sz w:val="12"/>
          <w:lang w:val="uk-UA"/>
        </w:rPr>
        <w:t>.</w:t>
      </w:r>
      <w:r w:rsidRPr="003C6DAE">
        <w:rPr>
          <w:rFonts w:ascii="Arial MT" w:hAnsi="Arial MT"/>
          <w:spacing w:val="-5"/>
          <w:sz w:val="12"/>
          <w:lang w:val="uk-UA"/>
        </w:rPr>
        <w:t xml:space="preserve"> </w:t>
      </w:r>
      <w:r w:rsidRPr="003C6DAE">
        <w:rPr>
          <w:rFonts w:ascii="Arial MT" w:hAnsi="Arial MT"/>
          <w:spacing w:val="-4"/>
          <w:sz w:val="12"/>
          <w:lang w:val="uk-UA"/>
        </w:rPr>
        <w:t>LC-</w:t>
      </w:r>
      <w:proofErr w:type="spellStart"/>
      <w:r w:rsidRPr="003C6DAE">
        <w:rPr>
          <w:rFonts w:ascii="Arial MT" w:hAnsi="Arial MT"/>
          <w:spacing w:val="-4"/>
          <w:sz w:val="12"/>
          <w:lang w:val="uk-UA"/>
        </w:rPr>
        <w:t>aNAATs</w:t>
      </w:r>
      <w:proofErr w:type="spellEnd"/>
    </w:p>
    <w:p w14:paraId="38823535" w14:textId="77777777" w:rsidR="00E05B98" w:rsidRPr="003C6DAE" w:rsidRDefault="00B01E0C">
      <w:pPr>
        <w:spacing w:before="9"/>
        <w:ind w:left="387"/>
        <w:rPr>
          <w:rFonts w:ascii="Arial MT" w:hAnsi="Arial MT"/>
          <w:sz w:val="12"/>
          <w:lang w:val="uk-UA"/>
        </w:rPr>
      </w:pPr>
      <w:r w:rsidRPr="003C6DAE">
        <w:rPr>
          <w:sz w:val="12"/>
          <w:lang w:val="uk-UA"/>
        </w:rPr>
        <w:t>Δ</w:t>
      </w:r>
      <w:r w:rsidRPr="003C6DAE">
        <w:rPr>
          <w:spacing w:val="-8"/>
          <w:sz w:val="12"/>
          <w:lang w:val="uk-UA"/>
        </w:rPr>
        <w:t xml:space="preserve"> </w:t>
      </w:r>
      <w:proofErr w:type="spellStart"/>
      <w:r w:rsidRPr="003C6DAE">
        <w:rPr>
          <w:rFonts w:ascii="Arial MT" w:hAnsi="Arial MT"/>
          <w:sz w:val="12"/>
          <w:lang w:val="uk-UA"/>
        </w:rPr>
        <w:t>Concurrent</w:t>
      </w:r>
      <w:proofErr w:type="spellEnd"/>
      <w:r w:rsidRPr="003C6DAE">
        <w:rPr>
          <w:rFonts w:ascii="Arial MT" w:hAnsi="Arial MT"/>
          <w:spacing w:val="-8"/>
          <w:sz w:val="12"/>
          <w:lang w:val="uk-UA"/>
        </w:rPr>
        <w:t xml:space="preserve"> </w:t>
      </w:r>
      <w:proofErr w:type="spellStart"/>
      <w:r w:rsidRPr="003C6DAE">
        <w:rPr>
          <w:rFonts w:ascii="Arial MT" w:hAnsi="Arial MT"/>
          <w:sz w:val="12"/>
          <w:lang w:val="uk-UA"/>
        </w:rPr>
        <w:t>vs</w:t>
      </w:r>
      <w:proofErr w:type="spellEnd"/>
      <w:r w:rsidRPr="003C6DAE">
        <w:rPr>
          <w:rFonts w:ascii="Arial MT" w:hAnsi="Arial MT"/>
          <w:sz w:val="12"/>
          <w:lang w:val="uk-UA"/>
        </w:rPr>
        <w:t>.</w:t>
      </w:r>
      <w:r w:rsidRPr="003C6DAE">
        <w:rPr>
          <w:rFonts w:ascii="Arial MT" w:hAnsi="Arial MT"/>
          <w:spacing w:val="-8"/>
          <w:sz w:val="12"/>
          <w:lang w:val="uk-UA"/>
        </w:rPr>
        <w:t xml:space="preserve"> </w:t>
      </w:r>
      <w:r w:rsidRPr="003C6DAE">
        <w:rPr>
          <w:rFonts w:ascii="Arial MT" w:hAnsi="Arial MT"/>
          <w:sz w:val="12"/>
          <w:lang w:val="uk-UA"/>
        </w:rPr>
        <w:t>LF-</w:t>
      </w:r>
      <w:r w:rsidRPr="003C6DAE">
        <w:rPr>
          <w:rFonts w:ascii="Arial MT" w:hAnsi="Arial MT"/>
          <w:spacing w:val="-5"/>
          <w:sz w:val="12"/>
          <w:lang w:val="uk-UA"/>
        </w:rPr>
        <w:t>LAM</w:t>
      </w:r>
    </w:p>
    <w:p w14:paraId="76400532" w14:textId="77777777" w:rsidR="00E05B98" w:rsidRPr="003C6DAE" w:rsidRDefault="00B01E0C">
      <w:pPr>
        <w:spacing w:before="128"/>
        <w:ind w:left="112"/>
        <w:rPr>
          <w:rFonts w:ascii="Arial MT"/>
          <w:sz w:val="12"/>
          <w:lang w:val="uk-UA"/>
        </w:rPr>
      </w:pPr>
      <w:r w:rsidRPr="003C6DAE">
        <w:rPr>
          <w:lang w:val="uk-UA"/>
        </w:rPr>
        <w:br w:type="column"/>
      </w:r>
      <w:r w:rsidRPr="003C6DAE">
        <w:rPr>
          <w:rFonts w:ascii="Arial MT"/>
          <w:spacing w:val="-5"/>
          <w:sz w:val="12"/>
          <w:lang w:val="uk-UA"/>
        </w:rPr>
        <w:t>653</w:t>
      </w:r>
    </w:p>
    <w:p w14:paraId="1114524B" w14:textId="77777777" w:rsidR="00E05B98" w:rsidRPr="003C6DAE" w:rsidRDefault="00B01E0C">
      <w:pPr>
        <w:spacing w:before="128"/>
        <w:ind w:left="112"/>
        <w:rPr>
          <w:rFonts w:ascii="Arial MT"/>
          <w:sz w:val="12"/>
          <w:lang w:val="uk-UA"/>
        </w:rPr>
      </w:pPr>
      <w:r w:rsidRPr="003C6DAE">
        <w:rPr>
          <w:rFonts w:ascii="Arial MT"/>
          <w:spacing w:val="-5"/>
          <w:sz w:val="12"/>
          <w:lang w:val="uk-UA"/>
        </w:rPr>
        <w:t>653</w:t>
      </w:r>
    </w:p>
    <w:p w14:paraId="53A5B5ED" w14:textId="77777777" w:rsidR="00E05B98" w:rsidRPr="003C6DAE" w:rsidRDefault="00B01E0C">
      <w:pPr>
        <w:spacing w:before="128"/>
        <w:ind w:left="112"/>
        <w:rPr>
          <w:rFonts w:ascii="Arial MT"/>
          <w:sz w:val="12"/>
          <w:lang w:val="uk-UA"/>
        </w:rPr>
      </w:pPr>
      <w:r w:rsidRPr="003C6DAE">
        <w:rPr>
          <w:rFonts w:ascii="Arial MT"/>
          <w:spacing w:val="-5"/>
          <w:sz w:val="12"/>
          <w:lang w:val="uk-UA"/>
        </w:rPr>
        <w:t>653</w:t>
      </w:r>
    </w:p>
    <w:p w14:paraId="17412529" w14:textId="77777777" w:rsidR="00E05B98" w:rsidRPr="003C6DAE" w:rsidRDefault="00E05B98">
      <w:pPr>
        <w:pStyle w:val="a3"/>
        <w:rPr>
          <w:rFonts w:ascii="Arial MT"/>
          <w:sz w:val="12"/>
          <w:lang w:val="uk-UA"/>
        </w:rPr>
      </w:pPr>
    </w:p>
    <w:p w14:paraId="393B4420" w14:textId="77777777" w:rsidR="00E05B98" w:rsidRPr="003C6DAE" w:rsidRDefault="00E05B98">
      <w:pPr>
        <w:pStyle w:val="a3"/>
        <w:rPr>
          <w:rFonts w:ascii="Arial MT"/>
          <w:sz w:val="12"/>
          <w:lang w:val="uk-UA"/>
        </w:rPr>
      </w:pPr>
    </w:p>
    <w:p w14:paraId="31B15C3D" w14:textId="77777777" w:rsidR="00E05B98" w:rsidRPr="003C6DAE" w:rsidRDefault="00E05B98">
      <w:pPr>
        <w:pStyle w:val="a3"/>
        <w:rPr>
          <w:rFonts w:ascii="Arial MT"/>
          <w:sz w:val="12"/>
          <w:lang w:val="uk-UA"/>
        </w:rPr>
      </w:pPr>
    </w:p>
    <w:p w14:paraId="7C2C571D" w14:textId="77777777" w:rsidR="00E05B98" w:rsidRPr="003C6DAE" w:rsidRDefault="00E05B98">
      <w:pPr>
        <w:pStyle w:val="a3"/>
        <w:rPr>
          <w:rFonts w:ascii="Arial MT"/>
          <w:sz w:val="12"/>
          <w:lang w:val="uk-UA"/>
        </w:rPr>
      </w:pPr>
    </w:p>
    <w:p w14:paraId="4C16F443" w14:textId="77777777" w:rsidR="00E05B98" w:rsidRPr="003C6DAE" w:rsidRDefault="00E05B98">
      <w:pPr>
        <w:pStyle w:val="a3"/>
        <w:rPr>
          <w:rFonts w:ascii="Arial MT"/>
          <w:sz w:val="12"/>
          <w:lang w:val="uk-UA"/>
        </w:rPr>
      </w:pPr>
    </w:p>
    <w:p w14:paraId="27A58A94" w14:textId="77777777" w:rsidR="00E05B98" w:rsidRPr="003C6DAE" w:rsidRDefault="00E05B98">
      <w:pPr>
        <w:pStyle w:val="a3"/>
        <w:spacing w:before="98"/>
        <w:rPr>
          <w:rFonts w:ascii="Arial MT"/>
          <w:sz w:val="12"/>
          <w:lang w:val="uk-UA"/>
        </w:rPr>
      </w:pPr>
    </w:p>
    <w:p w14:paraId="376A7DD6" w14:textId="77777777" w:rsidR="001751A7" w:rsidRDefault="001751A7">
      <w:pPr>
        <w:ind w:left="112"/>
        <w:rPr>
          <w:rFonts w:ascii="Arial MT"/>
          <w:spacing w:val="-5"/>
          <w:sz w:val="12"/>
          <w:lang w:val="uk-UA"/>
        </w:rPr>
      </w:pPr>
    </w:p>
    <w:p w14:paraId="14C21A3F" w14:textId="34A19F56" w:rsidR="00E05B98" w:rsidRPr="003C6DAE" w:rsidRDefault="00B01E0C">
      <w:pPr>
        <w:ind w:left="112"/>
        <w:rPr>
          <w:rFonts w:ascii="Arial MT"/>
          <w:sz w:val="12"/>
          <w:lang w:val="uk-UA"/>
        </w:rPr>
      </w:pPr>
      <w:r w:rsidRPr="003C6DAE">
        <w:rPr>
          <w:rFonts w:ascii="Arial MT"/>
          <w:spacing w:val="-5"/>
          <w:sz w:val="12"/>
          <w:lang w:val="uk-UA"/>
        </w:rPr>
        <w:t>674</w:t>
      </w:r>
    </w:p>
    <w:p w14:paraId="7575AB7D" w14:textId="77777777" w:rsidR="00E05B98" w:rsidRPr="003C6DAE" w:rsidRDefault="00B01E0C">
      <w:pPr>
        <w:spacing w:before="128"/>
        <w:ind w:left="112"/>
        <w:rPr>
          <w:rFonts w:ascii="Arial MT"/>
          <w:sz w:val="12"/>
          <w:lang w:val="uk-UA"/>
        </w:rPr>
      </w:pPr>
      <w:r w:rsidRPr="003C6DAE">
        <w:rPr>
          <w:rFonts w:ascii="Arial MT"/>
          <w:spacing w:val="-5"/>
          <w:sz w:val="12"/>
          <w:lang w:val="uk-UA"/>
        </w:rPr>
        <w:t>674</w:t>
      </w:r>
    </w:p>
    <w:p w14:paraId="3E40DAFD" w14:textId="77777777" w:rsidR="00E05B98" w:rsidRPr="003C6DAE" w:rsidRDefault="00B01E0C">
      <w:pPr>
        <w:spacing w:before="128"/>
        <w:ind w:left="112"/>
        <w:rPr>
          <w:rFonts w:ascii="Arial MT"/>
          <w:sz w:val="12"/>
          <w:lang w:val="uk-UA"/>
        </w:rPr>
      </w:pPr>
      <w:r w:rsidRPr="003C6DAE">
        <w:rPr>
          <w:rFonts w:ascii="Arial MT"/>
          <w:spacing w:val="-5"/>
          <w:sz w:val="12"/>
          <w:lang w:val="uk-UA"/>
        </w:rPr>
        <w:t>674</w:t>
      </w:r>
    </w:p>
    <w:p w14:paraId="591DEA0F" w14:textId="77777777" w:rsidR="00E05B98" w:rsidRPr="003C6DAE" w:rsidRDefault="00B01E0C">
      <w:pPr>
        <w:spacing w:before="128"/>
        <w:ind w:left="223"/>
        <w:rPr>
          <w:rFonts w:ascii="Arial MT"/>
          <w:sz w:val="12"/>
          <w:lang w:val="uk-UA"/>
        </w:rPr>
      </w:pPr>
      <w:r w:rsidRPr="003C6DAE">
        <w:rPr>
          <w:lang w:val="uk-UA"/>
        </w:rPr>
        <w:br w:type="column"/>
      </w:r>
      <w:r w:rsidRPr="003C6DAE">
        <w:rPr>
          <w:rFonts w:ascii="Arial MT"/>
          <w:sz w:val="12"/>
          <w:lang w:val="uk-UA"/>
        </w:rPr>
        <w:t>43</w:t>
      </w:r>
      <w:r w:rsidRPr="003C6DAE">
        <w:rPr>
          <w:rFonts w:ascii="Arial MT"/>
          <w:spacing w:val="-5"/>
          <w:sz w:val="12"/>
          <w:lang w:val="uk-UA"/>
        </w:rPr>
        <w:t xml:space="preserve"> </w:t>
      </w:r>
      <w:r w:rsidRPr="003C6DAE">
        <w:rPr>
          <w:rFonts w:ascii="Arial MT"/>
          <w:spacing w:val="-2"/>
          <w:sz w:val="12"/>
          <w:lang w:val="uk-UA"/>
        </w:rPr>
        <w:t>(6.6%)</w:t>
      </w:r>
    </w:p>
    <w:p w14:paraId="6BA92C98" w14:textId="77777777" w:rsidR="00E05B98" w:rsidRPr="003C6DAE" w:rsidRDefault="00B01E0C">
      <w:pPr>
        <w:spacing w:before="128"/>
        <w:ind w:left="223"/>
        <w:rPr>
          <w:rFonts w:ascii="Arial MT"/>
          <w:sz w:val="12"/>
          <w:lang w:val="uk-UA"/>
        </w:rPr>
      </w:pPr>
      <w:r w:rsidRPr="003C6DAE">
        <w:rPr>
          <w:rFonts w:ascii="Arial MT"/>
          <w:sz w:val="12"/>
          <w:lang w:val="uk-UA"/>
        </w:rPr>
        <w:t>43</w:t>
      </w:r>
      <w:r w:rsidRPr="003C6DAE">
        <w:rPr>
          <w:rFonts w:ascii="Arial MT"/>
          <w:spacing w:val="-5"/>
          <w:sz w:val="12"/>
          <w:lang w:val="uk-UA"/>
        </w:rPr>
        <w:t xml:space="preserve"> </w:t>
      </w:r>
      <w:r w:rsidRPr="003C6DAE">
        <w:rPr>
          <w:rFonts w:ascii="Arial MT"/>
          <w:spacing w:val="-2"/>
          <w:sz w:val="12"/>
          <w:lang w:val="uk-UA"/>
        </w:rPr>
        <w:t>(6.6%)</w:t>
      </w:r>
    </w:p>
    <w:p w14:paraId="5420B9AE" w14:textId="77777777" w:rsidR="00E05B98" w:rsidRPr="003C6DAE" w:rsidRDefault="00B01E0C">
      <w:pPr>
        <w:spacing w:before="128"/>
        <w:ind w:left="223"/>
        <w:rPr>
          <w:rFonts w:ascii="Arial MT"/>
          <w:sz w:val="12"/>
          <w:lang w:val="uk-UA"/>
        </w:rPr>
      </w:pPr>
      <w:r w:rsidRPr="003C6DAE">
        <w:rPr>
          <w:rFonts w:ascii="Arial MT"/>
          <w:sz w:val="12"/>
          <w:lang w:val="uk-UA"/>
        </w:rPr>
        <w:t>43</w:t>
      </w:r>
      <w:r w:rsidRPr="003C6DAE">
        <w:rPr>
          <w:rFonts w:ascii="Arial MT"/>
          <w:spacing w:val="-5"/>
          <w:sz w:val="12"/>
          <w:lang w:val="uk-UA"/>
        </w:rPr>
        <w:t xml:space="preserve"> </w:t>
      </w:r>
      <w:r w:rsidRPr="003C6DAE">
        <w:rPr>
          <w:rFonts w:ascii="Arial MT"/>
          <w:spacing w:val="-2"/>
          <w:sz w:val="12"/>
          <w:lang w:val="uk-UA"/>
        </w:rPr>
        <w:t>(6.6%)</w:t>
      </w:r>
    </w:p>
    <w:p w14:paraId="068028CC" w14:textId="77777777" w:rsidR="00E05B98" w:rsidRPr="003C6DAE" w:rsidRDefault="00E05B98">
      <w:pPr>
        <w:pStyle w:val="a3"/>
        <w:rPr>
          <w:rFonts w:ascii="Arial MT"/>
          <w:sz w:val="12"/>
          <w:lang w:val="uk-UA"/>
        </w:rPr>
      </w:pPr>
    </w:p>
    <w:p w14:paraId="7DA9D2C0" w14:textId="77777777" w:rsidR="00E05B98" w:rsidRPr="003C6DAE" w:rsidRDefault="00E05B98">
      <w:pPr>
        <w:pStyle w:val="a3"/>
        <w:rPr>
          <w:rFonts w:ascii="Arial MT"/>
          <w:sz w:val="12"/>
          <w:lang w:val="uk-UA"/>
        </w:rPr>
      </w:pPr>
    </w:p>
    <w:p w14:paraId="77071C3D" w14:textId="77777777" w:rsidR="00E05B98" w:rsidRPr="003C6DAE" w:rsidRDefault="00E05B98">
      <w:pPr>
        <w:pStyle w:val="a3"/>
        <w:rPr>
          <w:rFonts w:ascii="Arial MT"/>
          <w:sz w:val="12"/>
          <w:lang w:val="uk-UA"/>
        </w:rPr>
      </w:pPr>
    </w:p>
    <w:p w14:paraId="66D3402D" w14:textId="77777777" w:rsidR="00E05B98" w:rsidRPr="003C6DAE" w:rsidRDefault="00E05B98">
      <w:pPr>
        <w:pStyle w:val="a3"/>
        <w:rPr>
          <w:rFonts w:ascii="Arial MT"/>
          <w:sz w:val="12"/>
          <w:lang w:val="uk-UA"/>
        </w:rPr>
      </w:pPr>
    </w:p>
    <w:p w14:paraId="5151ED77" w14:textId="77777777" w:rsidR="00E05B98" w:rsidRPr="003C6DAE" w:rsidRDefault="00E05B98">
      <w:pPr>
        <w:pStyle w:val="a3"/>
        <w:rPr>
          <w:rFonts w:ascii="Arial MT"/>
          <w:sz w:val="12"/>
          <w:lang w:val="uk-UA"/>
        </w:rPr>
      </w:pPr>
    </w:p>
    <w:p w14:paraId="4F0FD661" w14:textId="77777777" w:rsidR="00E05B98" w:rsidRPr="003C6DAE" w:rsidRDefault="00E05B98">
      <w:pPr>
        <w:pStyle w:val="a3"/>
        <w:spacing w:before="98"/>
        <w:rPr>
          <w:rFonts w:ascii="Arial MT"/>
          <w:sz w:val="12"/>
          <w:lang w:val="uk-UA"/>
        </w:rPr>
      </w:pPr>
    </w:p>
    <w:p w14:paraId="056D35A5" w14:textId="77777777" w:rsidR="001751A7" w:rsidRDefault="001751A7">
      <w:pPr>
        <w:ind w:left="223"/>
        <w:rPr>
          <w:rFonts w:ascii="Arial MT"/>
          <w:sz w:val="12"/>
          <w:lang w:val="uk-UA"/>
        </w:rPr>
      </w:pPr>
    </w:p>
    <w:p w14:paraId="2DA03383" w14:textId="0B6A3B2F" w:rsidR="00E05B98" w:rsidRPr="003C6DAE" w:rsidRDefault="00B01E0C">
      <w:pPr>
        <w:ind w:left="223"/>
        <w:rPr>
          <w:rFonts w:ascii="Arial MT"/>
          <w:sz w:val="12"/>
          <w:lang w:val="uk-UA"/>
        </w:rPr>
      </w:pPr>
      <w:r w:rsidRPr="003C6DAE">
        <w:rPr>
          <w:rFonts w:ascii="Arial MT"/>
          <w:sz w:val="12"/>
          <w:lang w:val="uk-UA"/>
        </w:rPr>
        <w:t>286</w:t>
      </w:r>
      <w:r w:rsidRPr="003C6DAE">
        <w:rPr>
          <w:rFonts w:ascii="Arial MT"/>
          <w:spacing w:val="-9"/>
          <w:sz w:val="12"/>
          <w:lang w:val="uk-UA"/>
        </w:rPr>
        <w:t xml:space="preserve"> </w:t>
      </w:r>
      <w:r w:rsidRPr="003C6DAE">
        <w:rPr>
          <w:rFonts w:ascii="Arial MT"/>
          <w:spacing w:val="-2"/>
          <w:sz w:val="12"/>
          <w:lang w:val="uk-UA"/>
        </w:rPr>
        <w:t>(42.4%)</w:t>
      </w:r>
    </w:p>
    <w:p w14:paraId="75E4EE1F" w14:textId="77777777" w:rsidR="00E05B98" w:rsidRPr="003C6DAE" w:rsidRDefault="00B01E0C">
      <w:pPr>
        <w:spacing w:before="128"/>
        <w:ind w:left="223"/>
        <w:rPr>
          <w:rFonts w:ascii="Arial MT"/>
          <w:sz w:val="12"/>
          <w:lang w:val="uk-UA"/>
        </w:rPr>
      </w:pPr>
      <w:r w:rsidRPr="003C6DAE">
        <w:rPr>
          <w:rFonts w:ascii="Arial MT"/>
          <w:sz w:val="12"/>
          <w:lang w:val="uk-UA"/>
        </w:rPr>
        <w:t>286</w:t>
      </w:r>
      <w:r w:rsidRPr="003C6DAE">
        <w:rPr>
          <w:rFonts w:ascii="Arial MT"/>
          <w:spacing w:val="-9"/>
          <w:sz w:val="12"/>
          <w:lang w:val="uk-UA"/>
        </w:rPr>
        <w:t xml:space="preserve"> </w:t>
      </w:r>
      <w:r w:rsidRPr="003C6DAE">
        <w:rPr>
          <w:rFonts w:ascii="Arial MT"/>
          <w:spacing w:val="-2"/>
          <w:sz w:val="12"/>
          <w:lang w:val="uk-UA"/>
        </w:rPr>
        <w:t>(42.4%)</w:t>
      </w:r>
    </w:p>
    <w:p w14:paraId="6A900AAE" w14:textId="77777777" w:rsidR="00E05B98" w:rsidRPr="003C6DAE" w:rsidRDefault="00B01E0C">
      <w:pPr>
        <w:spacing w:before="128"/>
        <w:ind w:left="223"/>
        <w:rPr>
          <w:rFonts w:ascii="Arial MT"/>
          <w:sz w:val="12"/>
          <w:lang w:val="uk-UA"/>
        </w:rPr>
      </w:pPr>
      <w:r w:rsidRPr="003C6DAE">
        <w:rPr>
          <w:rFonts w:ascii="Arial MT"/>
          <w:sz w:val="12"/>
          <w:lang w:val="uk-UA"/>
        </w:rPr>
        <w:t>286</w:t>
      </w:r>
      <w:r w:rsidRPr="003C6DAE">
        <w:rPr>
          <w:rFonts w:ascii="Arial MT"/>
          <w:spacing w:val="-9"/>
          <w:sz w:val="12"/>
          <w:lang w:val="uk-UA"/>
        </w:rPr>
        <w:t xml:space="preserve"> </w:t>
      </w:r>
      <w:r w:rsidRPr="003C6DAE">
        <w:rPr>
          <w:rFonts w:ascii="Arial MT"/>
          <w:spacing w:val="-2"/>
          <w:sz w:val="12"/>
          <w:lang w:val="uk-UA"/>
        </w:rPr>
        <w:t>(42.4%)</w:t>
      </w:r>
    </w:p>
    <w:p w14:paraId="32F692F3" w14:textId="77777777" w:rsidR="00E05B98" w:rsidRPr="003C6DAE" w:rsidRDefault="00B01E0C">
      <w:pPr>
        <w:spacing w:before="128"/>
        <w:ind w:left="616"/>
        <w:rPr>
          <w:rFonts w:ascii="Arial MT"/>
          <w:sz w:val="12"/>
          <w:lang w:val="uk-UA"/>
        </w:rPr>
      </w:pPr>
      <w:r w:rsidRPr="003C6DAE">
        <w:rPr>
          <w:lang w:val="uk-UA"/>
        </w:rPr>
        <w:br w:type="column"/>
      </w:r>
      <w:r w:rsidRPr="003C6DAE">
        <w:rPr>
          <w:rFonts w:ascii="Arial MT"/>
          <w:spacing w:val="-2"/>
          <w:sz w:val="12"/>
          <w:lang w:val="uk-UA"/>
        </w:rPr>
        <w:t>27.4%</w:t>
      </w:r>
      <w:r w:rsidRPr="003C6DAE">
        <w:rPr>
          <w:rFonts w:ascii="Arial MT"/>
          <w:spacing w:val="-1"/>
          <w:sz w:val="12"/>
          <w:lang w:val="uk-UA"/>
        </w:rPr>
        <w:t xml:space="preserve"> </w:t>
      </w:r>
      <w:r w:rsidRPr="003C6DAE">
        <w:rPr>
          <w:rFonts w:ascii="Arial MT"/>
          <w:spacing w:val="-2"/>
          <w:sz w:val="12"/>
          <w:lang w:val="uk-UA"/>
        </w:rPr>
        <w:t>(13.5</w:t>
      </w:r>
      <w:r w:rsidRPr="003C6DAE">
        <w:rPr>
          <w:rFonts w:ascii="Arial MT"/>
          <w:spacing w:val="-1"/>
          <w:sz w:val="12"/>
          <w:lang w:val="uk-UA"/>
        </w:rPr>
        <w:t xml:space="preserve"> </w:t>
      </w:r>
      <w:r w:rsidRPr="003C6DAE">
        <w:rPr>
          <w:rFonts w:ascii="Arial MT"/>
          <w:spacing w:val="-2"/>
          <w:sz w:val="12"/>
          <w:lang w:val="uk-UA"/>
        </w:rPr>
        <w:t>to</w:t>
      </w:r>
      <w:r w:rsidRPr="003C6DAE">
        <w:rPr>
          <w:rFonts w:ascii="Arial MT"/>
          <w:spacing w:val="-1"/>
          <w:sz w:val="12"/>
          <w:lang w:val="uk-UA"/>
        </w:rPr>
        <w:t xml:space="preserve"> </w:t>
      </w:r>
      <w:r w:rsidRPr="003C6DAE">
        <w:rPr>
          <w:rFonts w:ascii="Arial MT"/>
          <w:spacing w:val="-2"/>
          <w:sz w:val="12"/>
          <w:lang w:val="uk-UA"/>
        </w:rPr>
        <w:t>47.5)</w:t>
      </w:r>
    </w:p>
    <w:p w14:paraId="387030AC" w14:textId="77777777" w:rsidR="00E05B98" w:rsidRPr="003C6DAE" w:rsidRDefault="00B01E0C">
      <w:pPr>
        <w:spacing w:before="128"/>
        <w:ind w:left="665"/>
        <w:rPr>
          <w:rFonts w:ascii="Arial MT"/>
          <w:sz w:val="12"/>
          <w:lang w:val="uk-UA"/>
        </w:rPr>
      </w:pPr>
      <w:r w:rsidRPr="003C6DAE">
        <w:rPr>
          <w:rFonts w:ascii="Arial MT"/>
          <w:noProof/>
          <w:sz w:val="12"/>
          <w:lang w:val="uk-UA"/>
        </w:rPr>
        <mc:AlternateContent>
          <mc:Choice Requires="wpg">
            <w:drawing>
              <wp:anchor distT="0" distB="0" distL="0" distR="0" simplePos="0" relativeHeight="16107008" behindDoc="0" locked="0" layoutInCell="1" allowOverlap="1" wp14:anchorId="72F8B440" wp14:editId="01405E01">
                <wp:simplePos x="0" y="0"/>
                <wp:positionH relativeFrom="page">
                  <wp:posOffset>3495637</wp:posOffset>
                </wp:positionH>
                <wp:positionV relativeFrom="paragraph">
                  <wp:posOffset>-73772</wp:posOffset>
                </wp:positionV>
                <wp:extent cx="501015" cy="710565"/>
                <wp:effectExtent l="0" t="0" r="0" b="0"/>
                <wp:wrapNone/>
                <wp:docPr id="2467" name="Group 2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015" cy="710565"/>
                          <a:chOff x="0" y="0"/>
                          <a:chExt cx="501015" cy="710565"/>
                        </a:xfrm>
                      </wpg:grpSpPr>
                      <wps:wsp>
                        <wps:cNvPr id="2468" name="Graphic 2468"/>
                        <wps:cNvSpPr/>
                        <wps:spPr>
                          <a:xfrm>
                            <a:off x="0" y="30657"/>
                            <a:ext cx="224154" cy="1270"/>
                          </a:xfrm>
                          <a:custGeom>
                            <a:avLst/>
                            <a:gdLst/>
                            <a:ahLst/>
                            <a:cxnLst/>
                            <a:rect l="l" t="t" r="r" b="b"/>
                            <a:pathLst>
                              <a:path w="224154">
                                <a:moveTo>
                                  <a:pt x="0" y="0"/>
                                </a:moveTo>
                                <a:lnTo>
                                  <a:pt x="223837" y="0"/>
                                </a:lnTo>
                              </a:path>
                            </a:pathLst>
                          </a:custGeom>
                          <a:ln w="7454">
                            <a:solidFill>
                              <a:srgbClr val="000000"/>
                            </a:solidFill>
                            <a:prstDash val="solid"/>
                          </a:ln>
                        </wps:spPr>
                        <wps:bodyPr wrap="square" lIns="0" tIns="0" rIns="0" bIns="0" rtlCol="0">
                          <a:prstTxWarp prst="textNoShape">
                            <a:avLst/>
                          </a:prstTxWarp>
                          <a:noAutofit/>
                        </wps:bodyPr>
                      </wps:wsp>
                      <wps:wsp>
                        <wps:cNvPr id="2469" name="Graphic 2469"/>
                        <wps:cNvSpPr/>
                        <wps:spPr>
                          <a:xfrm>
                            <a:off x="239428" y="199624"/>
                            <a:ext cx="224790" cy="1270"/>
                          </a:xfrm>
                          <a:custGeom>
                            <a:avLst/>
                            <a:gdLst/>
                            <a:ahLst/>
                            <a:cxnLst/>
                            <a:rect l="l" t="t" r="r" b="b"/>
                            <a:pathLst>
                              <a:path w="224790">
                                <a:moveTo>
                                  <a:pt x="0" y="0"/>
                                </a:moveTo>
                                <a:lnTo>
                                  <a:pt x="224193" y="0"/>
                                </a:lnTo>
                              </a:path>
                            </a:pathLst>
                          </a:custGeom>
                          <a:ln w="7454">
                            <a:solidFill>
                              <a:srgbClr val="000000"/>
                            </a:solidFill>
                            <a:prstDash val="solid"/>
                          </a:ln>
                        </wps:spPr>
                        <wps:bodyPr wrap="square" lIns="0" tIns="0" rIns="0" bIns="0" rtlCol="0">
                          <a:prstTxWarp prst="textNoShape">
                            <a:avLst/>
                          </a:prstTxWarp>
                          <a:noAutofit/>
                        </wps:bodyPr>
                      </wps:wsp>
                      <wps:wsp>
                        <wps:cNvPr id="2470" name="Graphic 2470"/>
                        <wps:cNvSpPr/>
                        <wps:spPr>
                          <a:xfrm>
                            <a:off x="306143" y="368559"/>
                            <a:ext cx="194945" cy="1270"/>
                          </a:xfrm>
                          <a:custGeom>
                            <a:avLst/>
                            <a:gdLst/>
                            <a:ahLst/>
                            <a:cxnLst/>
                            <a:rect l="l" t="t" r="r" b="b"/>
                            <a:pathLst>
                              <a:path w="194945">
                                <a:moveTo>
                                  <a:pt x="0" y="0"/>
                                </a:moveTo>
                                <a:lnTo>
                                  <a:pt x="194424" y="0"/>
                                </a:lnTo>
                              </a:path>
                            </a:pathLst>
                          </a:custGeom>
                          <a:ln w="7454">
                            <a:solidFill>
                              <a:srgbClr val="000000"/>
                            </a:solidFill>
                            <a:prstDash val="solid"/>
                          </a:ln>
                        </wps:spPr>
                        <wps:bodyPr wrap="square" lIns="0" tIns="0" rIns="0" bIns="0" rtlCol="0">
                          <a:prstTxWarp prst="textNoShape">
                            <a:avLst/>
                          </a:prstTxWarp>
                          <a:noAutofit/>
                        </wps:bodyPr>
                      </wps:wsp>
                      <wps:wsp>
                        <wps:cNvPr id="2471" name="Graphic 2471"/>
                        <wps:cNvSpPr/>
                        <wps:spPr>
                          <a:xfrm>
                            <a:off x="61214" y="4"/>
                            <a:ext cx="391160" cy="399415"/>
                          </a:xfrm>
                          <a:custGeom>
                            <a:avLst/>
                            <a:gdLst/>
                            <a:ahLst/>
                            <a:cxnLst/>
                            <a:rect l="l" t="t" r="r" b="b"/>
                            <a:pathLst>
                              <a:path w="391160" h="399415">
                                <a:moveTo>
                                  <a:pt x="61429" y="30657"/>
                                </a:moveTo>
                                <a:lnTo>
                                  <a:pt x="30734" y="0"/>
                                </a:lnTo>
                                <a:lnTo>
                                  <a:pt x="0" y="30657"/>
                                </a:lnTo>
                                <a:lnTo>
                                  <a:pt x="30734" y="61353"/>
                                </a:lnTo>
                                <a:lnTo>
                                  <a:pt x="61429" y="30657"/>
                                </a:lnTo>
                                <a:close/>
                              </a:path>
                              <a:path w="391160" h="399415">
                                <a:moveTo>
                                  <a:pt x="336740" y="199631"/>
                                </a:moveTo>
                                <a:lnTo>
                                  <a:pt x="306044" y="168948"/>
                                </a:lnTo>
                                <a:lnTo>
                                  <a:pt x="275348" y="199631"/>
                                </a:lnTo>
                                <a:lnTo>
                                  <a:pt x="306044" y="230327"/>
                                </a:lnTo>
                                <a:lnTo>
                                  <a:pt x="336740" y="199631"/>
                                </a:lnTo>
                                <a:close/>
                              </a:path>
                              <a:path w="391160" h="399415">
                                <a:moveTo>
                                  <a:pt x="390906" y="368554"/>
                                </a:moveTo>
                                <a:lnTo>
                                  <a:pt x="360222" y="337947"/>
                                </a:lnTo>
                                <a:lnTo>
                                  <a:pt x="329526" y="368554"/>
                                </a:lnTo>
                                <a:lnTo>
                                  <a:pt x="360222" y="399237"/>
                                </a:lnTo>
                                <a:lnTo>
                                  <a:pt x="390906" y="368554"/>
                                </a:lnTo>
                                <a:close/>
                              </a:path>
                            </a:pathLst>
                          </a:custGeom>
                          <a:solidFill>
                            <a:srgbClr val="000000"/>
                          </a:solidFill>
                        </wps:spPr>
                        <wps:bodyPr wrap="square" lIns="0" tIns="0" rIns="0" bIns="0" rtlCol="0">
                          <a:prstTxWarp prst="textNoShape">
                            <a:avLst/>
                          </a:prstTxWarp>
                          <a:noAutofit/>
                        </wps:bodyPr>
                      </wps:wsp>
                      <wps:wsp>
                        <wps:cNvPr id="2472" name="Graphic 2472"/>
                        <wps:cNvSpPr/>
                        <wps:spPr>
                          <a:xfrm>
                            <a:off x="91946" y="30662"/>
                            <a:ext cx="1270" cy="676275"/>
                          </a:xfrm>
                          <a:custGeom>
                            <a:avLst/>
                            <a:gdLst/>
                            <a:ahLst/>
                            <a:cxnLst/>
                            <a:rect l="l" t="t" r="r" b="b"/>
                            <a:pathLst>
                              <a:path h="676275">
                                <a:moveTo>
                                  <a:pt x="0" y="675830"/>
                                </a:moveTo>
                                <a:lnTo>
                                  <a:pt x="0" y="0"/>
                                </a:lnTo>
                              </a:path>
                              <a:path h="676275">
                                <a:moveTo>
                                  <a:pt x="0" y="675830"/>
                                </a:moveTo>
                                <a:lnTo>
                                  <a:pt x="0" y="0"/>
                                </a:lnTo>
                              </a:path>
                              <a:path h="676275">
                                <a:moveTo>
                                  <a:pt x="0" y="675830"/>
                                </a:moveTo>
                                <a:lnTo>
                                  <a:pt x="0" y="0"/>
                                </a:lnTo>
                              </a:path>
                              <a:path h="676275">
                                <a:moveTo>
                                  <a:pt x="0" y="675830"/>
                                </a:moveTo>
                                <a:lnTo>
                                  <a:pt x="0" y="0"/>
                                </a:lnTo>
                              </a:path>
                              <a:path h="676275">
                                <a:moveTo>
                                  <a:pt x="0" y="675830"/>
                                </a:moveTo>
                                <a:lnTo>
                                  <a:pt x="0" y="0"/>
                                </a:lnTo>
                              </a:path>
                              <a:path h="676275">
                                <a:moveTo>
                                  <a:pt x="0" y="675830"/>
                                </a:moveTo>
                                <a:lnTo>
                                  <a:pt x="0" y="0"/>
                                </a:lnTo>
                              </a:path>
                              <a:path h="676275">
                                <a:moveTo>
                                  <a:pt x="0" y="675830"/>
                                </a:moveTo>
                                <a:lnTo>
                                  <a:pt x="0" y="0"/>
                                </a:lnTo>
                              </a:path>
                              <a:path h="676275">
                                <a:moveTo>
                                  <a:pt x="0" y="675830"/>
                                </a:moveTo>
                                <a:lnTo>
                                  <a:pt x="0" y="0"/>
                                </a:lnTo>
                              </a:path>
                              <a:path h="676275">
                                <a:moveTo>
                                  <a:pt x="0" y="675830"/>
                                </a:moveTo>
                                <a:lnTo>
                                  <a:pt x="0" y="0"/>
                                </a:lnTo>
                              </a:path>
                              <a:path h="676275">
                                <a:moveTo>
                                  <a:pt x="0" y="675830"/>
                                </a:moveTo>
                                <a:lnTo>
                                  <a:pt x="0" y="0"/>
                                </a:lnTo>
                              </a:path>
                              <a:path h="676275">
                                <a:moveTo>
                                  <a:pt x="0" y="675830"/>
                                </a:moveTo>
                                <a:lnTo>
                                  <a:pt x="0" y="0"/>
                                </a:lnTo>
                              </a:path>
                            </a:pathLst>
                          </a:custGeom>
                          <a:ln w="7454">
                            <a:solidFill>
                              <a:srgbClr val="000000"/>
                            </a:solidFill>
                            <a:prstDash val="solid"/>
                          </a:ln>
                        </wps:spPr>
                        <wps:bodyPr wrap="square" lIns="0" tIns="0" rIns="0" bIns="0" rtlCol="0">
                          <a:prstTxWarp prst="textNoShape">
                            <a:avLst/>
                          </a:prstTxWarp>
                          <a:noAutofit/>
                        </wps:bodyPr>
                      </wps:wsp>
                      <wps:wsp>
                        <wps:cNvPr id="2473" name="Graphic 2473"/>
                        <wps:cNvSpPr/>
                        <wps:spPr>
                          <a:xfrm>
                            <a:off x="422972" y="368559"/>
                            <a:ext cx="1270" cy="338455"/>
                          </a:xfrm>
                          <a:custGeom>
                            <a:avLst/>
                            <a:gdLst/>
                            <a:ahLst/>
                            <a:cxnLst/>
                            <a:rect l="l" t="t" r="r" b="b"/>
                            <a:pathLst>
                              <a:path h="338455">
                                <a:moveTo>
                                  <a:pt x="0" y="337934"/>
                                </a:moveTo>
                                <a:lnTo>
                                  <a:pt x="0" y="0"/>
                                </a:lnTo>
                              </a:path>
                              <a:path h="338455">
                                <a:moveTo>
                                  <a:pt x="0" y="337934"/>
                                </a:moveTo>
                                <a:lnTo>
                                  <a:pt x="0" y="0"/>
                                </a:lnTo>
                              </a:path>
                              <a:path h="338455">
                                <a:moveTo>
                                  <a:pt x="0" y="337934"/>
                                </a:moveTo>
                                <a:lnTo>
                                  <a:pt x="0" y="0"/>
                                </a:lnTo>
                              </a:path>
                              <a:path h="338455">
                                <a:moveTo>
                                  <a:pt x="0" y="337934"/>
                                </a:moveTo>
                                <a:lnTo>
                                  <a:pt x="0" y="0"/>
                                </a:lnTo>
                              </a:path>
                              <a:path h="338455">
                                <a:moveTo>
                                  <a:pt x="0" y="337934"/>
                                </a:moveTo>
                                <a:lnTo>
                                  <a:pt x="0" y="0"/>
                                </a:lnTo>
                              </a:path>
                              <a:path h="338455">
                                <a:moveTo>
                                  <a:pt x="0" y="337934"/>
                                </a:moveTo>
                                <a:lnTo>
                                  <a:pt x="0" y="0"/>
                                </a:lnTo>
                              </a:path>
                              <a:path h="338455">
                                <a:moveTo>
                                  <a:pt x="0" y="337934"/>
                                </a:moveTo>
                                <a:lnTo>
                                  <a:pt x="0" y="0"/>
                                </a:lnTo>
                              </a:path>
                              <a:path h="338455">
                                <a:moveTo>
                                  <a:pt x="0" y="337934"/>
                                </a:moveTo>
                                <a:lnTo>
                                  <a:pt x="0" y="0"/>
                                </a:lnTo>
                              </a:path>
                              <a:path h="338455">
                                <a:moveTo>
                                  <a:pt x="0" y="337934"/>
                                </a:moveTo>
                                <a:lnTo>
                                  <a:pt x="0" y="0"/>
                                </a:lnTo>
                              </a:path>
                              <a:path h="338455">
                                <a:moveTo>
                                  <a:pt x="0" y="337934"/>
                                </a:moveTo>
                                <a:lnTo>
                                  <a:pt x="0" y="0"/>
                                </a:lnTo>
                              </a:path>
                              <a:path h="338455">
                                <a:moveTo>
                                  <a:pt x="0" y="337934"/>
                                </a:moveTo>
                                <a:lnTo>
                                  <a:pt x="0" y="0"/>
                                </a:lnTo>
                              </a:path>
                            </a:pathLst>
                          </a:custGeom>
                          <a:ln w="7454">
                            <a:solidFill>
                              <a:srgbClr val="000000"/>
                            </a:solidFill>
                            <a:prstDash val="solid"/>
                          </a:ln>
                        </wps:spPr>
                        <wps:bodyPr wrap="square" lIns="0" tIns="0" rIns="0" bIns="0" rtlCol="0">
                          <a:prstTxWarp prst="textNoShape">
                            <a:avLst/>
                          </a:prstTxWarp>
                          <a:noAutofit/>
                        </wps:bodyPr>
                      </wps:wsp>
                      <wps:wsp>
                        <wps:cNvPr id="2474" name="Graphic 2474"/>
                        <wps:cNvSpPr/>
                        <wps:spPr>
                          <a:xfrm>
                            <a:off x="91946" y="706493"/>
                            <a:ext cx="331470" cy="1270"/>
                          </a:xfrm>
                          <a:custGeom>
                            <a:avLst/>
                            <a:gdLst/>
                            <a:ahLst/>
                            <a:cxnLst/>
                            <a:rect l="l" t="t" r="r" b="b"/>
                            <a:pathLst>
                              <a:path w="331470">
                                <a:moveTo>
                                  <a:pt x="0" y="0"/>
                                </a:moveTo>
                                <a:lnTo>
                                  <a:pt x="331025" y="0"/>
                                </a:lnTo>
                              </a:path>
                              <a:path w="331470">
                                <a:moveTo>
                                  <a:pt x="0" y="0"/>
                                </a:moveTo>
                                <a:lnTo>
                                  <a:pt x="331025" y="0"/>
                                </a:lnTo>
                              </a:path>
                              <a:path w="331470">
                                <a:moveTo>
                                  <a:pt x="0" y="0"/>
                                </a:moveTo>
                                <a:lnTo>
                                  <a:pt x="331025" y="0"/>
                                </a:lnTo>
                              </a:path>
                              <a:path w="331470">
                                <a:moveTo>
                                  <a:pt x="0" y="0"/>
                                </a:moveTo>
                                <a:lnTo>
                                  <a:pt x="331025" y="0"/>
                                </a:lnTo>
                              </a:path>
                              <a:path w="331470">
                                <a:moveTo>
                                  <a:pt x="0" y="0"/>
                                </a:moveTo>
                                <a:lnTo>
                                  <a:pt x="331025" y="0"/>
                                </a:lnTo>
                              </a:path>
                              <a:path w="331470">
                                <a:moveTo>
                                  <a:pt x="0" y="0"/>
                                </a:moveTo>
                                <a:lnTo>
                                  <a:pt x="331025" y="0"/>
                                </a:lnTo>
                              </a:path>
                              <a:path w="331470">
                                <a:moveTo>
                                  <a:pt x="0" y="0"/>
                                </a:moveTo>
                                <a:lnTo>
                                  <a:pt x="331025" y="0"/>
                                </a:lnTo>
                              </a:path>
                              <a:path w="331470">
                                <a:moveTo>
                                  <a:pt x="0" y="0"/>
                                </a:moveTo>
                                <a:lnTo>
                                  <a:pt x="331025" y="0"/>
                                </a:lnTo>
                              </a:path>
                              <a:path w="331470">
                                <a:moveTo>
                                  <a:pt x="0" y="0"/>
                                </a:moveTo>
                                <a:lnTo>
                                  <a:pt x="331025" y="0"/>
                                </a:lnTo>
                              </a:path>
                              <a:path w="331470">
                                <a:moveTo>
                                  <a:pt x="0" y="0"/>
                                </a:moveTo>
                                <a:lnTo>
                                  <a:pt x="331025" y="0"/>
                                </a:lnTo>
                              </a:path>
                              <a:path w="331470">
                                <a:moveTo>
                                  <a:pt x="0" y="0"/>
                                </a:moveTo>
                                <a:lnTo>
                                  <a:pt x="331025" y="0"/>
                                </a:lnTo>
                              </a:path>
                            </a:pathLst>
                          </a:custGeom>
                          <a:ln w="7454">
                            <a:solidFill>
                              <a:srgbClr val="000000"/>
                            </a:solidFill>
                            <a:prstDash val="solid"/>
                          </a:ln>
                        </wps:spPr>
                        <wps:bodyPr wrap="square" lIns="0" tIns="0" rIns="0" bIns="0" rtlCol="0">
                          <a:prstTxWarp prst="textNoShape">
                            <a:avLst/>
                          </a:prstTxWarp>
                          <a:noAutofit/>
                        </wps:bodyPr>
                      </wps:wsp>
                      <wps:wsp>
                        <wps:cNvPr id="2475" name="Graphic 2475"/>
                        <wps:cNvSpPr/>
                        <wps:spPr>
                          <a:xfrm>
                            <a:off x="422972" y="368560"/>
                            <a:ext cx="1270" cy="169545"/>
                          </a:xfrm>
                          <a:custGeom>
                            <a:avLst/>
                            <a:gdLst/>
                            <a:ahLst/>
                            <a:cxnLst/>
                            <a:rect l="l" t="t" r="r" b="b"/>
                            <a:pathLst>
                              <a:path h="169545">
                                <a:moveTo>
                                  <a:pt x="0" y="169011"/>
                                </a:moveTo>
                                <a:lnTo>
                                  <a:pt x="0" y="0"/>
                                </a:lnTo>
                              </a:path>
                              <a:path h="169545">
                                <a:moveTo>
                                  <a:pt x="0" y="169011"/>
                                </a:moveTo>
                                <a:lnTo>
                                  <a:pt x="0" y="0"/>
                                </a:lnTo>
                              </a:path>
                              <a:path h="169545">
                                <a:moveTo>
                                  <a:pt x="0" y="169011"/>
                                </a:moveTo>
                                <a:lnTo>
                                  <a:pt x="0" y="0"/>
                                </a:lnTo>
                              </a:path>
                              <a:path h="169545">
                                <a:moveTo>
                                  <a:pt x="0" y="169011"/>
                                </a:moveTo>
                                <a:lnTo>
                                  <a:pt x="0" y="0"/>
                                </a:lnTo>
                              </a:path>
                              <a:path h="169545">
                                <a:moveTo>
                                  <a:pt x="0" y="169011"/>
                                </a:moveTo>
                                <a:lnTo>
                                  <a:pt x="0" y="0"/>
                                </a:lnTo>
                              </a:path>
                              <a:path h="169545">
                                <a:moveTo>
                                  <a:pt x="0" y="169011"/>
                                </a:moveTo>
                                <a:lnTo>
                                  <a:pt x="0" y="0"/>
                                </a:lnTo>
                              </a:path>
                              <a:path h="169545">
                                <a:moveTo>
                                  <a:pt x="0" y="169011"/>
                                </a:moveTo>
                                <a:lnTo>
                                  <a:pt x="0" y="0"/>
                                </a:lnTo>
                              </a:path>
                              <a:path h="169545">
                                <a:moveTo>
                                  <a:pt x="0" y="169011"/>
                                </a:moveTo>
                                <a:lnTo>
                                  <a:pt x="0" y="0"/>
                                </a:lnTo>
                              </a:path>
                              <a:path h="169545">
                                <a:moveTo>
                                  <a:pt x="0" y="169011"/>
                                </a:moveTo>
                                <a:lnTo>
                                  <a:pt x="0" y="0"/>
                                </a:lnTo>
                              </a:path>
                              <a:path h="169545">
                                <a:moveTo>
                                  <a:pt x="0" y="169011"/>
                                </a:moveTo>
                                <a:lnTo>
                                  <a:pt x="0" y="0"/>
                                </a:lnTo>
                              </a:path>
                              <a:path h="169545">
                                <a:moveTo>
                                  <a:pt x="0" y="169011"/>
                                </a:moveTo>
                                <a:lnTo>
                                  <a:pt x="0" y="0"/>
                                </a:lnTo>
                              </a:path>
                            </a:pathLst>
                          </a:custGeom>
                          <a:ln w="7454">
                            <a:solidFill>
                              <a:srgbClr val="000000"/>
                            </a:solidFill>
                            <a:prstDash val="dot"/>
                          </a:ln>
                        </wps:spPr>
                        <wps:bodyPr wrap="square" lIns="0" tIns="0" rIns="0" bIns="0" rtlCol="0">
                          <a:prstTxWarp prst="textNoShape">
                            <a:avLst/>
                          </a:prstTxWarp>
                          <a:noAutofit/>
                        </wps:bodyPr>
                      </wps:wsp>
                      <wps:wsp>
                        <wps:cNvPr id="2476" name="Graphic 2476"/>
                        <wps:cNvSpPr/>
                        <wps:spPr>
                          <a:xfrm>
                            <a:off x="367270" y="199624"/>
                            <a:ext cx="1270" cy="338455"/>
                          </a:xfrm>
                          <a:custGeom>
                            <a:avLst/>
                            <a:gdLst/>
                            <a:ahLst/>
                            <a:cxnLst/>
                            <a:rect l="l" t="t" r="r" b="b"/>
                            <a:pathLst>
                              <a:path h="338455">
                                <a:moveTo>
                                  <a:pt x="0" y="337947"/>
                                </a:moveTo>
                                <a:lnTo>
                                  <a:pt x="0" y="0"/>
                                </a:lnTo>
                              </a:path>
                              <a:path h="338455">
                                <a:moveTo>
                                  <a:pt x="0" y="337947"/>
                                </a:moveTo>
                                <a:lnTo>
                                  <a:pt x="0" y="0"/>
                                </a:lnTo>
                              </a:path>
                              <a:path h="338455">
                                <a:moveTo>
                                  <a:pt x="0" y="337947"/>
                                </a:moveTo>
                                <a:lnTo>
                                  <a:pt x="0" y="0"/>
                                </a:lnTo>
                              </a:path>
                              <a:path h="338455">
                                <a:moveTo>
                                  <a:pt x="0" y="337947"/>
                                </a:moveTo>
                                <a:lnTo>
                                  <a:pt x="0" y="0"/>
                                </a:lnTo>
                              </a:path>
                              <a:path h="338455">
                                <a:moveTo>
                                  <a:pt x="0" y="337947"/>
                                </a:moveTo>
                                <a:lnTo>
                                  <a:pt x="0" y="0"/>
                                </a:lnTo>
                              </a:path>
                              <a:path h="338455">
                                <a:moveTo>
                                  <a:pt x="0" y="337947"/>
                                </a:moveTo>
                                <a:lnTo>
                                  <a:pt x="0" y="0"/>
                                </a:lnTo>
                              </a:path>
                              <a:path h="338455">
                                <a:moveTo>
                                  <a:pt x="0" y="337947"/>
                                </a:moveTo>
                                <a:lnTo>
                                  <a:pt x="0" y="0"/>
                                </a:lnTo>
                              </a:path>
                              <a:path h="338455">
                                <a:moveTo>
                                  <a:pt x="0" y="337947"/>
                                </a:moveTo>
                                <a:lnTo>
                                  <a:pt x="0" y="0"/>
                                </a:lnTo>
                              </a:path>
                              <a:path h="338455">
                                <a:moveTo>
                                  <a:pt x="0" y="337947"/>
                                </a:moveTo>
                                <a:lnTo>
                                  <a:pt x="0" y="0"/>
                                </a:lnTo>
                              </a:path>
                              <a:path h="338455">
                                <a:moveTo>
                                  <a:pt x="0" y="337947"/>
                                </a:moveTo>
                                <a:lnTo>
                                  <a:pt x="0" y="0"/>
                                </a:lnTo>
                              </a:path>
                              <a:path h="338455">
                                <a:moveTo>
                                  <a:pt x="0" y="337947"/>
                                </a:moveTo>
                                <a:lnTo>
                                  <a:pt x="0" y="0"/>
                                </a:lnTo>
                              </a:path>
                            </a:pathLst>
                          </a:custGeom>
                          <a:ln w="7454">
                            <a:solidFill>
                              <a:srgbClr val="000000"/>
                            </a:solidFill>
                            <a:prstDash val="dot"/>
                          </a:ln>
                        </wps:spPr>
                        <wps:bodyPr wrap="square" lIns="0" tIns="0" rIns="0" bIns="0" rtlCol="0">
                          <a:prstTxWarp prst="textNoShape">
                            <a:avLst/>
                          </a:prstTxWarp>
                          <a:noAutofit/>
                        </wps:bodyPr>
                      </wps:wsp>
                      <wps:wsp>
                        <wps:cNvPr id="2477" name="Graphic 2477"/>
                        <wps:cNvSpPr/>
                        <wps:spPr>
                          <a:xfrm>
                            <a:off x="367270" y="537571"/>
                            <a:ext cx="55880" cy="1270"/>
                          </a:xfrm>
                          <a:custGeom>
                            <a:avLst/>
                            <a:gdLst/>
                            <a:ahLst/>
                            <a:cxnLst/>
                            <a:rect l="l" t="t" r="r" b="b"/>
                            <a:pathLst>
                              <a:path w="55880">
                                <a:moveTo>
                                  <a:pt x="55702" y="0"/>
                                </a:moveTo>
                                <a:lnTo>
                                  <a:pt x="0" y="0"/>
                                </a:lnTo>
                              </a:path>
                              <a:path w="55880">
                                <a:moveTo>
                                  <a:pt x="55702" y="0"/>
                                </a:moveTo>
                                <a:lnTo>
                                  <a:pt x="0" y="0"/>
                                </a:lnTo>
                              </a:path>
                              <a:path w="55880">
                                <a:moveTo>
                                  <a:pt x="55702" y="0"/>
                                </a:moveTo>
                                <a:lnTo>
                                  <a:pt x="0" y="0"/>
                                </a:lnTo>
                              </a:path>
                              <a:path w="55880">
                                <a:moveTo>
                                  <a:pt x="55702" y="0"/>
                                </a:moveTo>
                                <a:lnTo>
                                  <a:pt x="0" y="0"/>
                                </a:lnTo>
                              </a:path>
                              <a:path w="55880">
                                <a:moveTo>
                                  <a:pt x="55702" y="0"/>
                                </a:moveTo>
                                <a:lnTo>
                                  <a:pt x="0" y="0"/>
                                </a:lnTo>
                              </a:path>
                              <a:path w="55880">
                                <a:moveTo>
                                  <a:pt x="55702" y="0"/>
                                </a:moveTo>
                                <a:lnTo>
                                  <a:pt x="0" y="0"/>
                                </a:lnTo>
                              </a:path>
                              <a:path w="55880">
                                <a:moveTo>
                                  <a:pt x="55702" y="0"/>
                                </a:moveTo>
                                <a:lnTo>
                                  <a:pt x="0" y="0"/>
                                </a:lnTo>
                              </a:path>
                              <a:path w="55880">
                                <a:moveTo>
                                  <a:pt x="55702" y="0"/>
                                </a:moveTo>
                                <a:lnTo>
                                  <a:pt x="0" y="0"/>
                                </a:lnTo>
                              </a:path>
                              <a:path w="55880">
                                <a:moveTo>
                                  <a:pt x="55702" y="0"/>
                                </a:moveTo>
                                <a:lnTo>
                                  <a:pt x="0" y="0"/>
                                </a:lnTo>
                              </a:path>
                              <a:path w="55880">
                                <a:moveTo>
                                  <a:pt x="55702" y="0"/>
                                </a:moveTo>
                                <a:lnTo>
                                  <a:pt x="0" y="0"/>
                                </a:lnTo>
                              </a:path>
                              <a:path w="55880">
                                <a:moveTo>
                                  <a:pt x="55702" y="0"/>
                                </a:moveTo>
                                <a:lnTo>
                                  <a:pt x="0" y="0"/>
                                </a:lnTo>
                              </a:path>
                            </a:pathLst>
                          </a:custGeom>
                          <a:ln w="7454">
                            <a:solidFill>
                              <a:srgbClr val="000000"/>
                            </a:solidFill>
                            <a:prstDash val="dot"/>
                          </a:ln>
                        </wps:spPr>
                        <wps:bodyPr wrap="square" lIns="0" tIns="0" rIns="0" bIns="0" rtlCol="0">
                          <a:prstTxWarp prst="textNoShape">
                            <a:avLst/>
                          </a:prstTxWarp>
                          <a:noAutofit/>
                        </wps:bodyPr>
                      </wps:wsp>
                    </wpg:wgp>
                  </a:graphicData>
                </a:graphic>
              </wp:anchor>
            </w:drawing>
          </mc:Choice>
          <mc:Fallback>
            <w:pict>
              <v:group w14:anchorId="5CB92BDD" id="Group 2467" o:spid="_x0000_s1026" style="position:absolute;margin-left:275.25pt;margin-top:-5.8pt;width:39.45pt;height:55.95pt;z-index:16107008;mso-wrap-distance-left:0;mso-wrap-distance-right:0;mso-position-horizontal-relative:page" coordsize="5010,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">
                <v:shape id="Graphic 2468" o:spid="_x0000_s1027" style="position:absolute;top:306;width:2241;height:13;visibility:visible;mso-wrap-style:square;v-text-anchor:top" coordsize="2241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" path="m,l223837,e" filled="f" strokeweight=".20706mm">
                  <v:path arrowok="t"/>
                </v:shape>
                <v:shape id="Graphic 2469" o:spid="_x0000_s1028" style="position:absolute;left:2394;top:1996;width:2248;height:12;visibility:visible;mso-wrap-style:square;v-text-anchor:top" coordsize="22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" path="m,l224193,e" filled="f" strokeweight=".20706mm">
                  <v:path arrowok="t"/>
                </v:shape>
                <v:shape id="Graphic 2470" o:spid="_x0000_s1029" style="position:absolute;left:3061;top:3685;width:1949;height:13;visibility:visible;mso-wrap-style:square;v-text-anchor:top" coordsize="194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" path="m,l194424,e" filled="f" strokeweight=".20706mm">
                  <v:path arrowok="t"/>
                </v:shape>
                <v:shape id="Graphic 2471" o:spid="_x0000_s1030" style="position:absolute;left:612;width:3911;height:3994;visibility:visible;mso-wrap-style:square;v-text-anchor:top" coordsize="39116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" path="m61429,30657l30734,,,30657,30734,61353,61429,30657xem336740,199631l306044,168948r-30696,30683l306044,230327r30696,-30696xem390906,368554l360222,337947r-30696,30607l360222,399237r30684,-30683xe" fillcolor="black" stroked="f">
                  <v:path arrowok="t"/>
                </v:shape>
                <v:shape id="Graphic 2472" o:spid="_x0000_s1031" style="position:absolute;left:919;top:306;width:13;height:6763;visibility:visible;mso-wrap-style:square;v-text-anchor:top" coordsize="127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" path="m,675830l,em,675830l,em,675830l,em,675830l,em,675830l,em,675830l,em,675830l,em,675830l,em,675830l,em,675830l,em,675830l,e" filled="f" strokeweight=".20706mm">
                  <v:path arrowok="t"/>
                </v:shape>
                <v:shape id="Graphic 2473" o:spid="_x0000_s1032" style="position:absolute;left:4229;top:3685;width:13;height:3385;visibility:visible;mso-wrap-style:square;v-text-anchor:top" coordsize="127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" path="m,337934l,em,337934l,em,337934l,em,337934l,em,337934l,em,337934l,em,337934l,em,337934l,em,337934l,em,337934l,em,337934l,e" filled="f" strokeweight=".20706mm">
                  <v:path arrowok="t"/>
                </v:shape>
                <v:shape id="Graphic 2474" o:spid="_x0000_s1033" style="position:absolute;left:919;top:7064;width:3315;height:13;visibility:visible;mso-wrap-style:square;v-text-anchor:top" coordsize="331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" path="m,l331025,em,l331025,em,l331025,em,l331025,em,l331025,em,l331025,em,l331025,em,l331025,em,l331025,em,l331025,em,l331025,e" filled="f" strokeweight=".20706mm">
                  <v:path arrowok="t"/>
                </v:shape>
                <v:shape id="Graphic 2475" o:spid="_x0000_s1034" style="position:absolute;left:4229;top:3685;width:13;height:1696;visibility:visible;mso-wrap-style:square;v-text-anchor:top" coordsize="127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" path="m,169011l,em,169011l,em,169011l,em,169011l,em,169011l,em,169011l,em,169011l,em,169011l,em,169011l,em,169011l,em,169011l,e" filled="f" strokeweight=".20706mm">
                  <v:stroke dashstyle="dot"/>
                  <v:path arrowok="t"/>
                </v:shape>
                <v:shape id="Graphic 2476" o:spid="_x0000_s1035" style="position:absolute;left:3672;top:1996;width:13;height:3384;visibility:visible;mso-wrap-style:square;v-text-anchor:top" coordsize="127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" path="m,337947l,em,337947l,em,337947l,em,337947l,em,337947l,em,337947l,em,337947l,em,337947l,em,337947l,em,337947l,em,337947l,e" filled="f" strokeweight=".20706mm">
                  <v:stroke dashstyle="dot"/>
                  <v:path arrowok="t"/>
                </v:shape>
                <v:shape id="Graphic 2477" o:spid="_x0000_s1036" style="position:absolute;left:3672;top:5375;width:559;height:13;visibility:visible;mso-wrap-style:square;v-text-anchor:top" coordsize="55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" path="m55702,l,em55702,l,em55702,l,em55702,l,em55702,l,em55702,l,em55702,l,em55702,l,em55702,l,em55702,l,em55702,l,e" filled="f" strokeweight=".20706mm">
                  <v:stroke dashstyle="dot"/>
                  <v:path arrowok="t"/>
                </v:shape>
                <w10:wrap anchorx="page"/>
              </v:group>
            </w:pict>
          </mc:Fallback>
        </mc:AlternateContent>
      </w:r>
      <w:r w:rsidRPr="003C6DAE">
        <w:rPr>
          <w:rFonts w:ascii="Arial MT"/>
          <w:spacing w:val="-2"/>
          <w:sz w:val="12"/>
          <w:lang w:val="uk-UA"/>
        </w:rPr>
        <w:t>69.3%</w:t>
      </w:r>
      <w:r w:rsidRPr="003C6DAE">
        <w:rPr>
          <w:rFonts w:ascii="Arial MT"/>
          <w:spacing w:val="-1"/>
          <w:sz w:val="12"/>
          <w:lang w:val="uk-UA"/>
        </w:rPr>
        <w:t xml:space="preserve"> </w:t>
      </w:r>
      <w:r w:rsidRPr="003C6DAE">
        <w:rPr>
          <w:rFonts w:ascii="Arial MT"/>
          <w:spacing w:val="-2"/>
          <w:sz w:val="12"/>
          <w:lang w:val="uk-UA"/>
        </w:rPr>
        <w:t>(49.9</w:t>
      </w:r>
      <w:r w:rsidRPr="003C6DAE">
        <w:rPr>
          <w:rFonts w:ascii="Arial MT"/>
          <w:spacing w:val="-1"/>
          <w:sz w:val="12"/>
          <w:lang w:val="uk-UA"/>
        </w:rPr>
        <w:t xml:space="preserve"> </w:t>
      </w:r>
      <w:r w:rsidRPr="003C6DAE">
        <w:rPr>
          <w:rFonts w:ascii="Arial MT"/>
          <w:spacing w:val="-2"/>
          <w:sz w:val="12"/>
          <w:lang w:val="uk-UA"/>
        </w:rPr>
        <w:t>to</w:t>
      </w:r>
      <w:r w:rsidRPr="003C6DAE">
        <w:rPr>
          <w:rFonts w:ascii="Arial MT"/>
          <w:spacing w:val="-1"/>
          <w:sz w:val="12"/>
          <w:lang w:val="uk-UA"/>
        </w:rPr>
        <w:t xml:space="preserve"> </w:t>
      </w:r>
      <w:r w:rsidRPr="003C6DAE">
        <w:rPr>
          <w:rFonts w:ascii="Arial MT"/>
          <w:spacing w:val="-5"/>
          <w:sz w:val="12"/>
          <w:lang w:val="uk-UA"/>
        </w:rPr>
        <w:t>84)</w:t>
      </w:r>
    </w:p>
    <w:p w14:paraId="4307F965" w14:textId="77777777" w:rsidR="00E05B98" w:rsidRPr="003C6DAE" w:rsidRDefault="00B01E0C">
      <w:pPr>
        <w:spacing w:before="128"/>
        <w:ind w:left="665"/>
        <w:rPr>
          <w:rFonts w:ascii="Arial MT"/>
          <w:sz w:val="12"/>
          <w:lang w:val="uk-UA"/>
        </w:rPr>
      </w:pPr>
      <w:r w:rsidRPr="003C6DAE">
        <w:rPr>
          <w:rFonts w:ascii="Arial MT"/>
          <w:sz w:val="12"/>
          <w:lang w:val="uk-UA"/>
        </w:rPr>
        <w:t>77.6%</w:t>
      </w:r>
      <w:r w:rsidRPr="003C6DAE">
        <w:rPr>
          <w:rFonts w:ascii="Arial MT"/>
          <w:spacing w:val="-8"/>
          <w:sz w:val="12"/>
          <w:lang w:val="uk-UA"/>
        </w:rPr>
        <w:t xml:space="preserve"> </w:t>
      </w:r>
      <w:r w:rsidRPr="003C6DAE">
        <w:rPr>
          <w:rFonts w:ascii="Arial MT"/>
          <w:sz w:val="12"/>
          <w:lang w:val="uk-UA"/>
        </w:rPr>
        <w:t>(60</w:t>
      </w:r>
      <w:r w:rsidRPr="003C6DAE">
        <w:rPr>
          <w:rFonts w:ascii="Arial MT"/>
          <w:spacing w:val="-7"/>
          <w:sz w:val="12"/>
          <w:lang w:val="uk-UA"/>
        </w:rPr>
        <w:t xml:space="preserve"> </w:t>
      </w:r>
      <w:r w:rsidRPr="003C6DAE">
        <w:rPr>
          <w:rFonts w:ascii="Arial MT"/>
          <w:sz w:val="12"/>
          <w:lang w:val="uk-UA"/>
        </w:rPr>
        <w:t>to</w:t>
      </w:r>
      <w:r w:rsidRPr="003C6DAE">
        <w:rPr>
          <w:rFonts w:ascii="Arial MT"/>
          <w:spacing w:val="-8"/>
          <w:sz w:val="12"/>
          <w:lang w:val="uk-UA"/>
        </w:rPr>
        <w:t xml:space="preserve"> </w:t>
      </w:r>
      <w:r w:rsidRPr="003C6DAE">
        <w:rPr>
          <w:rFonts w:ascii="Arial MT"/>
          <w:spacing w:val="-2"/>
          <w:sz w:val="12"/>
          <w:lang w:val="uk-UA"/>
        </w:rPr>
        <w:t>89.6)</w:t>
      </w:r>
    </w:p>
    <w:p w14:paraId="23F77966" w14:textId="77777777" w:rsidR="00E05B98" w:rsidRPr="003C6DAE" w:rsidRDefault="00B01E0C">
      <w:pPr>
        <w:spacing w:before="128"/>
        <w:ind w:left="682"/>
        <w:rPr>
          <w:rFonts w:ascii="Arial MT"/>
          <w:sz w:val="12"/>
          <w:lang w:val="uk-UA"/>
        </w:rPr>
      </w:pPr>
      <w:r w:rsidRPr="003C6DAE">
        <w:rPr>
          <w:rFonts w:ascii="Arial MT"/>
          <w:sz w:val="12"/>
          <w:lang w:val="uk-UA"/>
        </w:rPr>
        <w:t>6.9%</w:t>
      </w:r>
      <w:r w:rsidRPr="003C6DAE">
        <w:rPr>
          <w:rFonts w:ascii="Arial MT"/>
          <w:spacing w:val="-8"/>
          <w:sz w:val="12"/>
          <w:lang w:val="uk-UA"/>
        </w:rPr>
        <w:t xml:space="preserve"> </w:t>
      </w:r>
      <w:r w:rsidRPr="003C6DAE">
        <w:rPr>
          <w:rFonts w:ascii="Arial MT"/>
          <w:sz w:val="12"/>
          <w:lang w:val="uk-UA"/>
        </w:rPr>
        <w:t>(1.5</w:t>
      </w:r>
      <w:r w:rsidRPr="003C6DAE">
        <w:rPr>
          <w:rFonts w:ascii="Arial MT"/>
          <w:spacing w:val="-7"/>
          <w:sz w:val="12"/>
          <w:lang w:val="uk-UA"/>
        </w:rPr>
        <w:t xml:space="preserve"> </w:t>
      </w:r>
      <w:r w:rsidRPr="003C6DAE">
        <w:rPr>
          <w:rFonts w:ascii="Arial MT"/>
          <w:sz w:val="12"/>
          <w:lang w:val="uk-UA"/>
        </w:rPr>
        <w:t>to</w:t>
      </w:r>
      <w:r w:rsidRPr="003C6DAE">
        <w:rPr>
          <w:rFonts w:ascii="Arial MT"/>
          <w:spacing w:val="-7"/>
          <w:sz w:val="12"/>
          <w:lang w:val="uk-UA"/>
        </w:rPr>
        <w:t xml:space="preserve"> </w:t>
      </w:r>
      <w:r w:rsidRPr="003C6DAE">
        <w:rPr>
          <w:rFonts w:ascii="Arial MT"/>
          <w:spacing w:val="-2"/>
          <w:sz w:val="12"/>
          <w:lang w:val="uk-UA"/>
        </w:rPr>
        <w:t>20.1)</w:t>
      </w:r>
    </w:p>
    <w:p w14:paraId="67F9127F" w14:textId="77777777" w:rsidR="00E05B98" w:rsidRPr="003C6DAE" w:rsidRDefault="00B01E0C">
      <w:pPr>
        <w:spacing w:before="128"/>
        <w:ind w:left="616"/>
        <w:rPr>
          <w:rFonts w:ascii="Arial MT"/>
          <w:sz w:val="12"/>
          <w:lang w:val="uk-UA"/>
        </w:rPr>
      </w:pPr>
      <w:r w:rsidRPr="003C6DAE">
        <w:rPr>
          <w:rFonts w:ascii="Arial MT"/>
          <w:spacing w:val="-2"/>
          <w:sz w:val="12"/>
          <w:lang w:val="uk-UA"/>
        </w:rPr>
        <w:t>49.9%</w:t>
      </w:r>
      <w:r w:rsidRPr="003C6DAE">
        <w:rPr>
          <w:rFonts w:ascii="Arial MT"/>
          <w:spacing w:val="-1"/>
          <w:sz w:val="12"/>
          <w:lang w:val="uk-UA"/>
        </w:rPr>
        <w:t xml:space="preserve"> </w:t>
      </w:r>
      <w:r w:rsidRPr="003C6DAE">
        <w:rPr>
          <w:rFonts w:ascii="Arial MT"/>
          <w:spacing w:val="-2"/>
          <w:sz w:val="12"/>
          <w:lang w:val="uk-UA"/>
        </w:rPr>
        <w:t>(30.7</w:t>
      </w:r>
      <w:r w:rsidRPr="003C6DAE">
        <w:rPr>
          <w:rFonts w:ascii="Arial MT"/>
          <w:spacing w:val="-1"/>
          <w:sz w:val="12"/>
          <w:lang w:val="uk-UA"/>
        </w:rPr>
        <w:t xml:space="preserve"> </w:t>
      </w:r>
      <w:r w:rsidRPr="003C6DAE">
        <w:rPr>
          <w:rFonts w:ascii="Arial MT"/>
          <w:spacing w:val="-2"/>
          <w:sz w:val="12"/>
          <w:lang w:val="uk-UA"/>
        </w:rPr>
        <w:t>to</w:t>
      </w:r>
      <w:r w:rsidRPr="003C6DAE">
        <w:rPr>
          <w:rFonts w:ascii="Arial MT"/>
          <w:spacing w:val="-1"/>
          <w:sz w:val="12"/>
          <w:lang w:val="uk-UA"/>
        </w:rPr>
        <w:t xml:space="preserve"> </w:t>
      </w:r>
      <w:r w:rsidRPr="003C6DAE">
        <w:rPr>
          <w:rFonts w:ascii="Arial MT"/>
          <w:spacing w:val="-2"/>
          <w:sz w:val="12"/>
          <w:lang w:val="uk-UA"/>
        </w:rPr>
        <w:t>68.8)</w:t>
      </w:r>
    </w:p>
    <w:p w14:paraId="5947872C" w14:textId="77777777" w:rsidR="00E05B98" w:rsidRPr="003C6DAE" w:rsidRDefault="00E05B98">
      <w:pPr>
        <w:pStyle w:val="a3"/>
        <w:rPr>
          <w:rFonts w:ascii="Arial MT"/>
          <w:sz w:val="12"/>
          <w:lang w:val="uk-UA"/>
        </w:rPr>
      </w:pPr>
    </w:p>
    <w:p w14:paraId="2819988C" w14:textId="77777777" w:rsidR="00E05B98" w:rsidRPr="001751A7" w:rsidRDefault="00E05B98">
      <w:pPr>
        <w:pStyle w:val="a3"/>
        <w:spacing w:before="118"/>
        <w:rPr>
          <w:rFonts w:ascii="Arial MT"/>
          <w:sz w:val="8"/>
          <w:szCs w:val="8"/>
          <w:lang w:val="uk-UA"/>
        </w:rPr>
      </w:pPr>
    </w:p>
    <w:p w14:paraId="761615C5" w14:textId="77777777" w:rsidR="001751A7" w:rsidRDefault="001751A7">
      <w:pPr>
        <w:ind w:left="649"/>
        <w:rPr>
          <w:rFonts w:ascii="Arial MT"/>
          <w:sz w:val="12"/>
          <w:lang w:val="uk-UA"/>
        </w:rPr>
      </w:pPr>
    </w:p>
    <w:p w14:paraId="78FE0C78" w14:textId="49AFBDED" w:rsidR="00E05B98" w:rsidRPr="003C6DAE" w:rsidRDefault="00B01E0C">
      <w:pPr>
        <w:ind w:left="649"/>
        <w:rPr>
          <w:rFonts w:ascii="Arial MT"/>
          <w:sz w:val="12"/>
          <w:lang w:val="uk-UA"/>
        </w:rPr>
      </w:pPr>
      <w:r w:rsidRPr="003C6DAE">
        <w:rPr>
          <w:rFonts w:ascii="Arial MT"/>
          <w:noProof/>
          <w:sz w:val="12"/>
          <w:lang w:val="uk-UA"/>
        </w:rPr>
        <mc:AlternateContent>
          <mc:Choice Requires="wpg">
            <w:drawing>
              <wp:anchor distT="0" distB="0" distL="0" distR="0" simplePos="0" relativeHeight="16107520" behindDoc="0" locked="0" layoutInCell="1" allowOverlap="1" wp14:anchorId="7AA445C9" wp14:editId="1D62F383">
                <wp:simplePos x="0" y="0"/>
                <wp:positionH relativeFrom="page">
                  <wp:posOffset>3451907</wp:posOffset>
                </wp:positionH>
                <wp:positionV relativeFrom="paragraph">
                  <wp:posOffset>14224</wp:posOffset>
                </wp:positionV>
                <wp:extent cx="365760" cy="710565"/>
                <wp:effectExtent l="0" t="0" r="0" b="0"/>
                <wp:wrapNone/>
                <wp:docPr id="2478" name="Group 2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710565"/>
                          <a:chOff x="0" y="0"/>
                          <a:chExt cx="365760" cy="710565"/>
                        </a:xfrm>
                      </wpg:grpSpPr>
                      <wps:wsp>
                        <wps:cNvPr id="2479" name="Graphic 2479"/>
                        <wps:cNvSpPr/>
                        <wps:spPr>
                          <a:xfrm>
                            <a:off x="5152" y="30657"/>
                            <a:ext cx="182880" cy="1270"/>
                          </a:xfrm>
                          <a:custGeom>
                            <a:avLst/>
                            <a:gdLst/>
                            <a:ahLst/>
                            <a:cxnLst/>
                            <a:rect l="l" t="t" r="r" b="b"/>
                            <a:pathLst>
                              <a:path w="182880">
                                <a:moveTo>
                                  <a:pt x="0" y="0"/>
                                </a:moveTo>
                                <a:lnTo>
                                  <a:pt x="182714" y="0"/>
                                </a:lnTo>
                              </a:path>
                            </a:pathLst>
                          </a:custGeom>
                          <a:ln w="7454">
                            <a:solidFill>
                              <a:srgbClr val="000000"/>
                            </a:solidFill>
                            <a:prstDash val="solid"/>
                          </a:ln>
                        </wps:spPr>
                        <wps:bodyPr wrap="square" lIns="0" tIns="0" rIns="0" bIns="0" rtlCol="0">
                          <a:prstTxWarp prst="textNoShape">
                            <a:avLst/>
                          </a:prstTxWarp>
                          <a:noAutofit/>
                        </wps:bodyPr>
                      </wps:wsp>
                      <wps:wsp>
                        <wps:cNvPr id="2480" name="Graphic 2480"/>
                        <wps:cNvSpPr/>
                        <wps:spPr>
                          <a:xfrm>
                            <a:off x="0" y="199626"/>
                            <a:ext cx="138430" cy="1270"/>
                          </a:xfrm>
                          <a:custGeom>
                            <a:avLst/>
                            <a:gdLst/>
                            <a:ahLst/>
                            <a:cxnLst/>
                            <a:rect l="l" t="t" r="r" b="b"/>
                            <a:pathLst>
                              <a:path w="138430">
                                <a:moveTo>
                                  <a:pt x="0" y="0"/>
                                </a:moveTo>
                                <a:lnTo>
                                  <a:pt x="137871" y="0"/>
                                </a:lnTo>
                              </a:path>
                            </a:pathLst>
                          </a:custGeom>
                          <a:ln w="7454">
                            <a:solidFill>
                              <a:srgbClr val="000000"/>
                            </a:solidFill>
                            <a:prstDash val="solid"/>
                          </a:ln>
                        </wps:spPr>
                        <wps:bodyPr wrap="square" lIns="0" tIns="0" rIns="0" bIns="0" rtlCol="0">
                          <a:prstTxWarp prst="textNoShape">
                            <a:avLst/>
                          </a:prstTxWarp>
                          <a:noAutofit/>
                        </wps:bodyPr>
                      </wps:wsp>
                      <wps:wsp>
                        <wps:cNvPr id="2481" name="Graphic 2481"/>
                        <wps:cNvSpPr/>
                        <wps:spPr>
                          <a:xfrm>
                            <a:off x="74777" y="368547"/>
                            <a:ext cx="290830" cy="1270"/>
                          </a:xfrm>
                          <a:custGeom>
                            <a:avLst/>
                            <a:gdLst/>
                            <a:ahLst/>
                            <a:cxnLst/>
                            <a:rect l="l" t="t" r="r" b="b"/>
                            <a:pathLst>
                              <a:path w="290830">
                                <a:moveTo>
                                  <a:pt x="0" y="0"/>
                                </a:moveTo>
                                <a:lnTo>
                                  <a:pt x="290728" y="0"/>
                                </a:lnTo>
                              </a:path>
                            </a:pathLst>
                          </a:custGeom>
                          <a:ln w="7454">
                            <a:solidFill>
                              <a:srgbClr val="000000"/>
                            </a:solidFill>
                            <a:prstDash val="solid"/>
                          </a:ln>
                        </wps:spPr>
                        <wps:bodyPr wrap="square" lIns="0" tIns="0" rIns="0" bIns="0" rtlCol="0">
                          <a:prstTxWarp prst="textNoShape">
                            <a:avLst/>
                          </a:prstTxWarp>
                          <a:noAutofit/>
                        </wps:bodyPr>
                      </wps:wsp>
                      <wps:wsp>
                        <wps:cNvPr id="2482" name="Graphic 2482"/>
                        <wps:cNvSpPr/>
                        <wps:spPr>
                          <a:xfrm>
                            <a:off x="21962" y="0"/>
                            <a:ext cx="161290" cy="399415"/>
                          </a:xfrm>
                          <a:custGeom>
                            <a:avLst/>
                            <a:gdLst/>
                            <a:ahLst/>
                            <a:cxnLst/>
                            <a:rect l="l" t="t" r="r" b="b"/>
                            <a:pathLst>
                              <a:path w="161290" h="399415">
                                <a:moveTo>
                                  <a:pt x="61353" y="199631"/>
                                </a:moveTo>
                                <a:lnTo>
                                  <a:pt x="30695" y="168935"/>
                                </a:lnTo>
                                <a:lnTo>
                                  <a:pt x="0" y="199631"/>
                                </a:lnTo>
                                <a:lnTo>
                                  <a:pt x="30695" y="230327"/>
                                </a:lnTo>
                                <a:lnTo>
                                  <a:pt x="61353" y="199631"/>
                                </a:lnTo>
                                <a:close/>
                              </a:path>
                              <a:path w="161290" h="399415">
                                <a:moveTo>
                                  <a:pt x="80289" y="30657"/>
                                </a:moveTo>
                                <a:lnTo>
                                  <a:pt x="49606" y="0"/>
                                </a:lnTo>
                                <a:lnTo>
                                  <a:pt x="18948" y="30657"/>
                                </a:lnTo>
                                <a:lnTo>
                                  <a:pt x="49606" y="61341"/>
                                </a:lnTo>
                                <a:lnTo>
                                  <a:pt x="80289" y="30657"/>
                                </a:lnTo>
                                <a:close/>
                              </a:path>
                              <a:path w="161290" h="399415">
                                <a:moveTo>
                                  <a:pt x="160997" y="368554"/>
                                </a:moveTo>
                                <a:lnTo>
                                  <a:pt x="130314" y="337959"/>
                                </a:lnTo>
                                <a:lnTo>
                                  <a:pt x="99618" y="368554"/>
                                </a:lnTo>
                                <a:lnTo>
                                  <a:pt x="130314" y="399249"/>
                                </a:lnTo>
                                <a:lnTo>
                                  <a:pt x="160997" y="368554"/>
                                </a:lnTo>
                                <a:close/>
                              </a:path>
                            </a:pathLst>
                          </a:custGeom>
                          <a:solidFill>
                            <a:srgbClr val="000000"/>
                          </a:solidFill>
                        </wps:spPr>
                        <wps:bodyPr wrap="square" lIns="0" tIns="0" rIns="0" bIns="0" rtlCol="0">
                          <a:prstTxWarp prst="textNoShape">
                            <a:avLst/>
                          </a:prstTxWarp>
                          <a:noAutofit/>
                        </wps:bodyPr>
                      </wps:wsp>
                      <wps:wsp>
                        <wps:cNvPr id="2483" name="Graphic 2483"/>
                        <wps:cNvSpPr/>
                        <wps:spPr>
                          <a:xfrm>
                            <a:off x="71564" y="30659"/>
                            <a:ext cx="1270" cy="676275"/>
                          </a:xfrm>
                          <a:custGeom>
                            <a:avLst/>
                            <a:gdLst/>
                            <a:ahLst/>
                            <a:cxnLst/>
                            <a:rect l="l" t="t" r="r" b="b"/>
                            <a:pathLst>
                              <a:path h="676275">
                                <a:moveTo>
                                  <a:pt x="0" y="675881"/>
                                </a:moveTo>
                                <a:lnTo>
                                  <a:pt x="0" y="0"/>
                                </a:lnTo>
                              </a:path>
                              <a:path h="676275">
                                <a:moveTo>
                                  <a:pt x="0" y="675881"/>
                                </a:moveTo>
                                <a:lnTo>
                                  <a:pt x="0" y="0"/>
                                </a:lnTo>
                              </a:path>
                              <a:path h="676275">
                                <a:moveTo>
                                  <a:pt x="0" y="675881"/>
                                </a:moveTo>
                                <a:lnTo>
                                  <a:pt x="0" y="0"/>
                                </a:lnTo>
                              </a:path>
                              <a:path h="676275">
                                <a:moveTo>
                                  <a:pt x="0" y="675881"/>
                                </a:moveTo>
                                <a:lnTo>
                                  <a:pt x="0" y="0"/>
                                </a:lnTo>
                              </a:path>
                              <a:path h="676275">
                                <a:moveTo>
                                  <a:pt x="0" y="675881"/>
                                </a:moveTo>
                                <a:lnTo>
                                  <a:pt x="0" y="0"/>
                                </a:lnTo>
                              </a:path>
                              <a:path h="676275">
                                <a:moveTo>
                                  <a:pt x="0" y="675881"/>
                                </a:moveTo>
                                <a:lnTo>
                                  <a:pt x="0" y="0"/>
                                </a:lnTo>
                              </a:path>
                              <a:path h="676275">
                                <a:moveTo>
                                  <a:pt x="0" y="675881"/>
                                </a:moveTo>
                                <a:lnTo>
                                  <a:pt x="0" y="0"/>
                                </a:lnTo>
                              </a:path>
                              <a:path h="676275">
                                <a:moveTo>
                                  <a:pt x="0" y="675881"/>
                                </a:moveTo>
                                <a:lnTo>
                                  <a:pt x="0" y="0"/>
                                </a:lnTo>
                              </a:path>
                              <a:path h="676275">
                                <a:moveTo>
                                  <a:pt x="0" y="675881"/>
                                </a:moveTo>
                                <a:lnTo>
                                  <a:pt x="0" y="0"/>
                                </a:lnTo>
                              </a:path>
                              <a:path h="676275">
                                <a:moveTo>
                                  <a:pt x="0" y="675881"/>
                                </a:moveTo>
                                <a:lnTo>
                                  <a:pt x="0" y="0"/>
                                </a:lnTo>
                              </a:path>
                              <a:path h="676275">
                                <a:moveTo>
                                  <a:pt x="0" y="675881"/>
                                </a:moveTo>
                                <a:lnTo>
                                  <a:pt x="0" y="0"/>
                                </a:lnTo>
                              </a:path>
                            </a:pathLst>
                          </a:custGeom>
                          <a:ln w="7454">
                            <a:solidFill>
                              <a:srgbClr val="000000"/>
                            </a:solidFill>
                            <a:prstDash val="solid"/>
                          </a:ln>
                        </wps:spPr>
                        <wps:bodyPr wrap="square" lIns="0" tIns="0" rIns="0" bIns="0" rtlCol="0">
                          <a:prstTxWarp prst="textNoShape">
                            <a:avLst/>
                          </a:prstTxWarp>
                          <a:noAutofit/>
                        </wps:bodyPr>
                      </wps:wsp>
                      <wps:wsp>
                        <wps:cNvPr id="2484" name="Graphic 2484"/>
                        <wps:cNvSpPr/>
                        <wps:spPr>
                          <a:xfrm>
                            <a:off x="152283" y="368542"/>
                            <a:ext cx="1270" cy="338455"/>
                          </a:xfrm>
                          <a:custGeom>
                            <a:avLst/>
                            <a:gdLst/>
                            <a:ahLst/>
                            <a:cxnLst/>
                            <a:rect l="l" t="t" r="r" b="b"/>
                            <a:pathLst>
                              <a:path h="338455">
                                <a:moveTo>
                                  <a:pt x="0" y="337997"/>
                                </a:moveTo>
                                <a:lnTo>
                                  <a:pt x="0" y="0"/>
                                </a:lnTo>
                              </a:path>
                              <a:path h="338455">
                                <a:moveTo>
                                  <a:pt x="0" y="337997"/>
                                </a:moveTo>
                                <a:lnTo>
                                  <a:pt x="0" y="0"/>
                                </a:lnTo>
                              </a:path>
                              <a:path h="338455">
                                <a:moveTo>
                                  <a:pt x="0" y="337997"/>
                                </a:moveTo>
                                <a:lnTo>
                                  <a:pt x="0" y="0"/>
                                </a:lnTo>
                              </a:path>
                              <a:path h="338455">
                                <a:moveTo>
                                  <a:pt x="0" y="337997"/>
                                </a:moveTo>
                                <a:lnTo>
                                  <a:pt x="0" y="0"/>
                                </a:lnTo>
                              </a:path>
                              <a:path h="338455">
                                <a:moveTo>
                                  <a:pt x="0" y="337997"/>
                                </a:moveTo>
                                <a:lnTo>
                                  <a:pt x="0" y="0"/>
                                </a:lnTo>
                              </a:path>
                              <a:path h="338455">
                                <a:moveTo>
                                  <a:pt x="0" y="337997"/>
                                </a:moveTo>
                                <a:lnTo>
                                  <a:pt x="0" y="0"/>
                                </a:lnTo>
                              </a:path>
                              <a:path h="338455">
                                <a:moveTo>
                                  <a:pt x="0" y="337997"/>
                                </a:moveTo>
                                <a:lnTo>
                                  <a:pt x="0" y="0"/>
                                </a:lnTo>
                              </a:path>
                              <a:path h="338455">
                                <a:moveTo>
                                  <a:pt x="0" y="337997"/>
                                </a:moveTo>
                                <a:lnTo>
                                  <a:pt x="0" y="0"/>
                                </a:lnTo>
                              </a:path>
                              <a:path h="338455">
                                <a:moveTo>
                                  <a:pt x="0" y="337997"/>
                                </a:moveTo>
                                <a:lnTo>
                                  <a:pt x="0" y="0"/>
                                </a:lnTo>
                              </a:path>
                              <a:path h="338455">
                                <a:moveTo>
                                  <a:pt x="0" y="337997"/>
                                </a:moveTo>
                                <a:lnTo>
                                  <a:pt x="0" y="0"/>
                                </a:lnTo>
                              </a:path>
                              <a:path h="338455">
                                <a:moveTo>
                                  <a:pt x="0" y="337997"/>
                                </a:moveTo>
                                <a:lnTo>
                                  <a:pt x="0" y="0"/>
                                </a:lnTo>
                              </a:path>
                            </a:pathLst>
                          </a:custGeom>
                          <a:ln w="7454">
                            <a:solidFill>
                              <a:srgbClr val="000000"/>
                            </a:solidFill>
                            <a:prstDash val="solid"/>
                          </a:ln>
                        </wps:spPr>
                        <wps:bodyPr wrap="square" lIns="0" tIns="0" rIns="0" bIns="0" rtlCol="0">
                          <a:prstTxWarp prst="textNoShape">
                            <a:avLst/>
                          </a:prstTxWarp>
                          <a:noAutofit/>
                        </wps:bodyPr>
                      </wps:wsp>
                      <wps:wsp>
                        <wps:cNvPr id="2485" name="Graphic 2485"/>
                        <wps:cNvSpPr/>
                        <wps:spPr>
                          <a:xfrm>
                            <a:off x="71564" y="706540"/>
                            <a:ext cx="81280" cy="1270"/>
                          </a:xfrm>
                          <a:custGeom>
                            <a:avLst/>
                            <a:gdLst/>
                            <a:ahLst/>
                            <a:cxnLst/>
                            <a:rect l="l" t="t" r="r" b="b"/>
                            <a:pathLst>
                              <a:path w="81280">
                                <a:moveTo>
                                  <a:pt x="0" y="0"/>
                                </a:moveTo>
                                <a:lnTo>
                                  <a:pt x="80721" y="0"/>
                                </a:lnTo>
                              </a:path>
                              <a:path w="81280">
                                <a:moveTo>
                                  <a:pt x="0" y="0"/>
                                </a:moveTo>
                                <a:lnTo>
                                  <a:pt x="80721" y="0"/>
                                </a:lnTo>
                              </a:path>
                              <a:path w="81280">
                                <a:moveTo>
                                  <a:pt x="0" y="0"/>
                                </a:moveTo>
                                <a:lnTo>
                                  <a:pt x="80721" y="0"/>
                                </a:lnTo>
                              </a:path>
                              <a:path w="81280">
                                <a:moveTo>
                                  <a:pt x="0" y="0"/>
                                </a:moveTo>
                                <a:lnTo>
                                  <a:pt x="80721" y="0"/>
                                </a:lnTo>
                              </a:path>
                              <a:path w="81280">
                                <a:moveTo>
                                  <a:pt x="0" y="0"/>
                                </a:moveTo>
                                <a:lnTo>
                                  <a:pt x="80721" y="0"/>
                                </a:lnTo>
                              </a:path>
                              <a:path w="81280">
                                <a:moveTo>
                                  <a:pt x="0" y="0"/>
                                </a:moveTo>
                                <a:lnTo>
                                  <a:pt x="80721" y="0"/>
                                </a:lnTo>
                              </a:path>
                              <a:path w="81280">
                                <a:moveTo>
                                  <a:pt x="0" y="0"/>
                                </a:moveTo>
                                <a:lnTo>
                                  <a:pt x="80721" y="0"/>
                                </a:lnTo>
                              </a:path>
                              <a:path w="81280">
                                <a:moveTo>
                                  <a:pt x="0" y="0"/>
                                </a:moveTo>
                                <a:lnTo>
                                  <a:pt x="80721" y="0"/>
                                </a:lnTo>
                              </a:path>
                              <a:path w="81280">
                                <a:moveTo>
                                  <a:pt x="0" y="0"/>
                                </a:moveTo>
                                <a:lnTo>
                                  <a:pt x="80721" y="0"/>
                                </a:lnTo>
                              </a:path>
                              <a:path w="81280">
                                <a:moveTo>
                                  <a:pt x="0" y="0"/>
                                </a:moveTo>
                                <a:lnTo>
                                  <a:pt x="80721" y="0"/>
                                </a:lnTo>
                              </a:path>
                              <a:path w="81280">
                                <a:moveTo>
                                  <a:pt x="0" y="0"/>
                                </a:moveTo>
                                <a:lnTo>
                                  <a:pt x="80721" y="0"/>
                                </a:lnTo>
                              </a:path>
                            </a:pathLst>
                          </a:custGeom>
                          <a:ln w="7454">
                            <a:solidFill>
                              <a:srgbClr val="000000"/>
                            </a:solidFill>
                            <a:prstDash val="solid"/>
                          </a:ln>
                        </wps:spPr>
                        <wps:bodyPr wrap="square" lIns="0" tIns="0" rIns="0" bIns="0" rtlCol="0">
                          <a:prstTxWarp prst="textNoShape">
                            <a:avLst/>
                          </a:prstTxWarp>
                          <a:noAutofit/>
                        </wps:bodyPr>
                      </wps:wsp>
                      <wps:wsp>
                        <wps:cNvPr id="2486" name="Graphic 2486"/>
                        <wps:cNvSpPr/>
                        <wps:spPr>
                          <a:xfrm>
                            <a:off x="152283" y="368548"/>
                            <a:ext cx="1270" cy="169545"/>
                          </a:xfrm>
                          <a:custGeom>
                            <a:avLst/>
                            <a:gdLst/>
                            <a:ahLst/>
                            <a:cxnLst/>
                            <a:rect l="l" t="t" r="r" b="b"/>
                            <a:pathLst>
                              <a:path h="169545">
                                <a:moveTo>
                                  <a:pt x="0" y="169024"/>
                                </a:moveTo>
                                <a:lnTo>
                                  <a:pt x="0" y="0"/>
                                </a:lnTo>
                              </a:path>
                              <a:path h="169545">
                                <a:moveTo>
                                  <a:pt x="0" y="169024"/>
                                </a:moveTo>
                                <a:lnTo>
                                  <a:pt x="0" y="0"/>
                                </a:lnTo>
                              </a:path>
                              <a:path h="169545">
                                <a:moveTo>
                                  <a:pt x="0" y="169024"/>
                                </a:moveTo>
                                <a:lnTo>
                                  <a:pt x="0" y="0"/>
                                </a:lnTo>
                              </a:path>
                              <a:path h="169545">
                                <a:moveTo>
                                  <a:pt x="0" y="169024"/>
                                </a:moveTo>
                                <a:lnTo>
                                  <a:pt x="0" y="0"/>
                                </a:lnTo>
                              </a:path>
                              <a:path h="169545">
                                <a:moveTo>
                                  <a:pt x="0" y="169024"/>
                                </a:moveTo>
                                <a:lnTo>
                                  <a:pt x="0" y="0"/>
                                </a:lnTo>
                              </a:path>
                              <a:path h="169545">
                                <a:moveTo>
                                  <a:pt x="0" y="169024"/>
                                </a:moveTo>
                                <a:lnTo>
                                  <a:pt x="0" y="0"/>
                                </a:lnTo>
                              </a:path>
                              <a:path h="169545">
                                <a:moveTo>
                                  <a:pt x="0" y="169024"/>
                                </a:moveTo>
                                <a:lnTo>
                                  <a:pt x="0" y="0"/>
                                </a:lnTo>
                              </a:path>
                              <a:path h="169545">
                                <a:moveTo>
                                  <a:pt x="0" y="169024"/>
                                </a:moveTo>
                                <a:lnTo>
                                  <a:pt x="0" y="0"/>
                                </a:lnTo>
                              </a:path>
                              <a:path h="169545">
                                <a:moveTo>
                                  <a:pt x="0" y="169024"/>
                                </a:moveTo>
                                <a:lnTo>
                                  <a:pt x="0" y="0"/>
                                </a:lnTo>
                              </a:path>
                              <a:path h="169545">
                                <a:moveTo>
                                  <a:pt x="0" y="169024"/>
                                </a:moveTo>
                                <a:lnTo>
                                  <a:pt x="0" y="0"/>
                                </a:lnTo>
                              </a:path>
                              <a:path h="169545">
                                <a:moveTo>
                                  <a:pt x="0" y="169024"/>
                                </a:moveTo>
                                <a:lnTo>
                                  <a:pt x="0" y="0"/>
                                </a:lnTo>
                              </a:path>
                            </a:pathLst>
                          </a:custGeom>
                          <a:ln w="7454">
                            <a:solidFill>
                              <a:srgbClr val="000000"/>
                            </a:solidFill>
                            <a:prstDash val="dot"/>
                          </a:ln>
                        </wps:spPr>
                        <wps:bodyPr wrap="square" lIns="0" tIns="0" rIns="0" bIns="0" rtlCol="0">
                          <a:prstTxWarp prst="textNoShape">
                            <a:avLst/>
                          </a:prstTxWarp>
                          <a:noAutofit/>
                        </wps:bodyPr>
                      </wps:wsp>
                      <wps:wsp>
                        <wps:cNvPr id="2487" name="Graphic 2487"/>
                        <wps:cNvSpPr/>
                        <wps:spPr>
                          <a:xfrm>
                            <a:off x="52669" y="199626"/>
                            <a:ext cx="99695" cy="338455"/>
                          </a:xfrm>
                          <a:custGeom>
                            <a:avLst/>
                            <a:gdLst/>
                            <a:ahLst/>
                            <a:cxnLst/>
                            <a:rect l="l" t="t" r="r" b="b"/>
                            <a:pathLst>
                              <a:path w="99695" h="338455">
                                <a:moveTo>
                                  <a:pt x="0" y="337947"/>
                                </a:moveTo>
                                <a:lnTo>
                                  <a:pt x="0" y="0"/>
                                </a:lnTo>
                              </a:path>
                              <a:path w="99695" h="338455">
                                <a:moveTo>
                                  <a:pt x="0" y="337947"/>
                                </a:moveTo>
                                <a:lnTo>
                                  <a:pt x="0" y="0"/>
                                </a:lnTo>
                              </a:path>
                              <a:path w="99695" h="338455">
                                <a:moveTo>
                                  <a:pt x="0" y="337947"/>
                                </a:moveTo>
                                <a:lnTo>
                                  <a:pt x="0" y="0"/>
                                </a:lnTo>
                              </a:path>
                              <a:path w="99695" h="338455">
                                <a:moveTo>
                                  <a:pt x="0" y="337947"/>
                                </a:moveTo>
                                <a:lnTo>
                                  <a:pt x="0" y="0"/>
                                </a:lnTo>
                              </a:path>
                              <a:path w="99695" h="338455">
                                <a:moveTo>
                                  <a:pt x="0" y="337947"/>
                                </a:moveTo>
                                <a:lnTo>
                                  <a:pt x="0" y="0"/>
                                </a:lnTo>
                              </a:path>
                              <a:path w="99695" h="338455">
                                <a:moveTo>
                                  <a:pt x="0" y="337947"/>
                                </a:moveTo>
                                <a:lnTo>
                                  <a:pt x="0" y="0"/>
                                </a:lnTo>
                              </a:path>
                              <a:path w="99695" h="338455">
                                <a:moveTo>
                                  <a:pt x="0" y="337947"/>
                                </a:moveTo>
                                <a:lnTo>
                                  <a:pt x="0" y="0"/>
                                </a:lnTo>
                              </a:path>
                              <a:path w="99695" h="338455">
                                <a:moveTo>
                                  <a:pt x="0" y="337947"/>
                                </a:moveTo>
                                <a:lnTo>
                                  <a:pt x="0" y="0"/>
                                </a:lnTo>
                              </a:path>
                              <a:path w="99695" h="338455">
                                <a:moveTo>
                                  <a:pt x="0" y="337947"/>
                                </a:moveTo>
                                <a:lnTo>
                                  <a:pt x="0" y="0"/>
                                </a:lnTo>
                              </a:path>
                              <a:path w="99695" h="338455">
                                <a:moveTo>
                                  <a:pt x="0" y="337947"/>
                                </a:moveTo>
                                <a:lnTo>
                                  <a:pt x="0" y="0"/>
                                </a:lnTo>
                              </a:path>
                              <a:path w="99695" h="338455">
                                <a:moveTo>
                                  <a:pt x="0" y="337947"/>
                                </a:moveTo>
                                <a:lnTo>
                                  <a:pt x="0" y="0"/>
                                </a:lnTo>
                              </a:path>
                              <a:path w="99695" h="338455">
                                <a:moveTo>
                                  <a:pt x="0" y="337947"/>
                                </a:moveTo>
                                <a:lnTo>
                                  <a:pt x="99618" y="337947"/>
                                </a:lnTo>
                              </a:path>
                              <a:path w="99695" h="338455">
                                <a:moveTo>
                                  <a:pt x="0" y="337947"/>
                                </a:moveTo>
                                <a:lnTo>
                                  <a:pt x="99618" y="337947"/>
                                </a:lnTo>
                              </a:path>
                              <a:path w="99695" h="338455">
                                <a:moveTo>
                                  <a:pt x="0" y="337947"/>
                                </a:moveTo>
                                <a:lnTo>
                                  <a:pt x="99618" y="337947"/>
                                </a:lnTo>
                              </a:path>
                              <a:path w="99695" h="338455">
                                <a:moveTo>
                                  <a:pt x="0" y="337947"/>
                                </a:moveTo>
                                <a:lnTo>
                                  <a:pt x="99618" y="337947"/>
                                </a:lnTo>
                              </a:path>
                              <a:path w="99695" h="338455">
                                <a:moveTo>
                                  <a:pt x="0" y="337947"/>
                                </a:moveTo>
                                <a:lnTo>
                                  <a:pt x="99618" y="337947"/>
                                </a:lnTo>
                              </a:path>
                              <a:path w="99695" h="338455">
                                <a:moveTo>
                                  <a:pt x="0" y="337947"/>
                                </a:moveTo>
                                <a:lnTo>
                                  <a:pt x="99618" y="337947"/>
                                </a:lnTo>
                              </a:path>
                              <a:path w="99695" h="338455">
                                <a:moveTo>
                                  <a:pt x="0" y="337947"/>
                                </a:moveTo>
                                <a:lnTo>
                                  <a:pt x="99618" y="337947"/>
                                </a:lnTo>
                              </a:path>
                              <a:path w="99695" h="338455">
                                <a:moveTo>
                                  <a:pt x="0" y="337947"/>
                                </a:moveTo>
                                <a:lnTo>
                                  <a:pt x="99618" y="337947"/>
                                </a:lnTo>
                              </a:path>
                              <a:path w="99695" h="338455">
                                <a:moveTo>
                                  <a:pt x="0" y="337947"/>
                                </a:moveTo>
                                <a:lnTo>
                                  <a:pt x="99618" y="337947"/>
                                </a:lnTo>
                              </a:path>
                              <a:path w="99695" h="338455">
                                <a:moveTo>
                                  <a:pt x="0" y="337947"/>
                                </a:moveTo>
                                <a:lnTo>
                                  <a:pt x="99618" y="337947"/>
                                </a:lnTo>
                              </a:path>
                              <a:path w="99695" h="338455">
                                <a:moveTo>
                                  <a:pt x="0" y="337947"/>
                                </a:moveTo>
                                <a:lnTo>
                                  <a:pt x="99618" y="337947"/>
                                </a:lnTo>
                              </a:path>
                            </a:pathLst>
                          </a:custGeom>
                          <a:ln w="7454">
                            <a:solidFill>
                              <a:srgbClr val="000000"/>
                            </a:solidFill>
                            <a:prstDash val="dot"/>
                          </a:ln>
                        </wps:spPr>
                        <wps:bodyPr wrap="square" lIns="0" tIns="0" rIns="0" bIns="0" rtlCol="0">
                          <a:prstTxWarp prst="textNoShape">
                            <a:avLst/>
                          </a:prstTxWarp>
                          <a:noAutofit/>
                        </wps:bodyPr>
                      </wps:wsp>
                    </wpg:wgp>
                  </a:graphicData>
                </a:graphic>
              </wp:anchor>
            </w:drawing>
          </mc:Choice>
          <mc:Fallback>
            <w:pict>
              <v:group w14:anchorId="440F5E65" id="Group 2478" o:spid="_x0000_s1026" style="position:absolute;margin-left:271.8pt;margin-top:1.1pt;width:28.8pt;height:55.95pt;z-index:16107520;mso-wrap-distance-left:0;mso-wrap-distance-right:0;mso-position-horizontal-relative:page" coordsize="3657,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">
                <v:shape id="Graphic 2479" o:spid="_x0000_s1027" style="position:absolute;left:51;top:306;width:1829;height:13;visibility:visible;mso-wrap-style:square;v-text-anchor:top" coordsize="18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" path="m,l182714,e" filled="f" strokeweight=".20706mm">
                  <v:path arrowok="t"/>
                </v:shape>
                <v:shape id="Graphic 2480" o:spid="_x0000_s1028" style="position:absolute;top:1996;width:1384;height:12;visibility:visible;mso-wrap-style:square;v-text-anchor:top" coordsize="138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" path="m,l137871,e" filled="f" strokeweight=".20706mm">
                  <v:path arrowok="t"/>
                </v:shape>
                <v:shape id="Graphic 2481" o:spid="_x0000_s1029" style="position:absolute;left:747;top:3685;width:2909;height:13;visibility:visible;mso-wrap-style:square;v-text-anchor:top" coordsize="290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" path="m,l290728,e" filled="f" strokeweight=".20706mm">
                  <v:path arrowok="t"/>
                </v:shape>
                <v:shape id="Graphic 2482" o:spid="_x0000_s1030" style="position:absolute;left:219;width:1613;height:3994;visibility:visible;mso-wrap-style:square;v-text-anchor:top" coordsize="16129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" path="m61353,199631l30695,168935,,199631r30695,30696l61353,199631xem80289,30657l49606,,18948,30657,49606,61341,80289,30657xem160997,368554l130314,337959,99618,368554r30696,30695l160997,368554xe" fillcolor="black" stroked="f">
                  <v:path arrowok="t"/>
                </v:shape>
                <v:shape id="Graphic 2483" o:spid="_x0000_s1031" style="position:absolute;left:715;top:306;width:13;height:6763;visibility:visible;mso-wrap-style:square;v-text-anchor:top" coordsize="127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" path="m,675881l,em,675881l,em,675881l,em,675881l,em,675881l,em,675881l,em,675881l,em,675881l,em,675881l,em,675881l,em,675881l,e" filled="f" strokeweight=".20706mm">
                  <v:path arrowok="t"/>
                </v:shape>
                <v:shape id="Graphic 2484" o:spid="_x0000_s1032" style="position:absolute;left:1522;top:3685;width:13;height:3384;visibility:visible;mso-wrap-style:square;v-text-anchor:top" coordsize="127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" path="m,337997l,em,337997l,em,337997l,em,337997l,em,337997l,em,337997l,em,337997l,em,337997l,em,337997l,em,337997l,em,337997l,e" filled="f" strokeweight=".20706mm">
                  <v:path arrowok="t"/>
                </v:shape>
                <v:shape id="Graphic 2485" o:spid="_x0000_s1033" style="position:absolute;left:715;top:7065;width:813;height:13;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" path="m,l80721,em,l80721,em,l80721,em,l80721,em,l80721,em,l80721,em,l80721,em,l80721,em,l80721,em,l80721,em,l80721,e" filled="f" strokeweight=".20706mm">
                  <v:path arrowok="t"/>
                </v:shape>
                <v:shape id="Graphic 2486" o:spid="_x0000_s1034" style="position:absolute;left:1522;top:3685;width:13;height:1695;visibility:visible;mso-wrap-style:square;v-text-anchor:top" coordsize="127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" path="m,169024l,em,169024l,em,169024l,em,169024l,em,169024l,em,169024l,em,169024l,em,169024l,em,169024l,em,169024l,em,169024l,e" filled="f" strokeweight=".20706mm">
                  <v:stroke dashstyle="dot"/>
                  <v:path arrowok="t"/>
                </v:shape>
                <v:shape id="Graphic 2487" o:spid="_x0000_s1035" style="position:absolute;left:526;top:1996;width:997;height:3384;visibility:visible;mso-wrap-style:square;v-text-anchor:top" coordsize="9969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" path="m,337947l,em,337947l,em,337947l,em,337947l,em,337947l,em,337947l,em,337947l,em,337947l,em,337947l,em,337947l,em,337947l,em,337947r99618,em,337947r99618,em,337947r99618,em,337947r99618,em,337947r99618,em,337947r99618,em,337947r99618,em,337947r99618,em,337947r99618,em,337947r99618,em,337947r99618,e" filled="f" strokeweight=".20706mm">
                  <v:stroke dashstyle="dot"/>
                  <v:path arrowok="t"/>
                </v:shape>
                <w10:wrap anchorx="page"/>
              </v:group>
            </w:pict>
          </mc:Fallback>
        </mc:AlternateContent>
      </w:r>
      <w:r w:rsidRPr="003C6DAE">
        <w:rPr>
          <w:rFonts w:ascii="Arial MT"/>
          <w:sz w:val="12"/>
          <w:lang w:val="uk-UA"/>
        </w:rPr>
        <w:t>17.7%</w:t>
      </w:r>
      <w:r w:rsidRPr="003C6DAE">
        <w:rPr>
          <w:rFonts w:ascii="Arial MT"/>
          <w:spacing w:val="-8"/>
          <w:sz w:val="12"/>
          <w:lang w:val="uk-UA"/>
        </w:rPr>
        <w:t xml:space="preserve"> </w:t>
      </w:r>
      <w:r w:rsidRPr="003C6DAE">
        <w:rPr>
          <w:rFonts w:ascii="Arial MT"/>
          <w:sz w:val="12"/>
          <w:lang w:val="uk-UA"/>
        </w:rPr>
        <w:t>(7.6</w:t>
      </w:r>
      <w:r w:rsidRPr="003C6DAE">
        <w:rPr>
          <w:rFonts w:ascii="Arial MT"/>
          <w:spacing w:val="-8"/>
          <w:sz w:val="12"/>
          <w:lang w:val="uk-UA"/>
        </w:rPr>
        <w:t xml:space="preserve"> </w:t>
      </w:r>
      <w:r w:rsidRPr="003C6DAE">
        <w:rPr>
          <w:rFonts w:ascii="Arial MT"/>
          <w:sz w:val="12"/>
          <w:lang w:val="uk-UA"/>
        </w:rPr>
        <w:t>to</w:t>
      </w:r>
      <w:r w:rsidRPr="003C6DAE">
        <w:rPr>
          <w:rFonts w:ascii="Arial MT"/>
          <w:spacing w:val="-7"/>
          <w:sz w:val="12"/>
          <w:lang w:val="uk-UA"/>
        </w:rPr>
        <w:t xml:space="preserve"> </w:t>
      </w:r>
      <w:r w:rsidRPr="003C6DAE">
        <w:rPr>
          <w:rFonts w:ascii="Arial MT"/>
          <w:spacing w:val="-2"/>
          <w:sz w:val="12"/>
          <w:lang w:val="uk-UA"/>
        </w:rPr>
        <w:t>35.4)</w:t>
      </w:r>
    </w:p>
    <w:p w14:paraId="45316116" w14:textId="77777777" w:rsidR="00E05B98" w:rsidRPr="003C6DAE" w:rsidRDefault="00B01E0C">
      <w:pPr>
        <w:spacing w:before="128"/>
        <w:ind w:left="649"/>
        <w:rPr>
          <w:rFonts w:ascii="Arial MT"/>
          <w:sz w:val="12"/>
          <w:lang w:val="uk-UA"/>
        </w:rPr>
      </w:pPr>
      <w:r w:rsidRPr="003C6DAE">
        <w:rPr>
          <w:rFonts w:ascii="Arial MT"/>
          <w:sz w:val="12"/>
          <w:lang w:val="uk-UA"/>
        </w:rPr>
        <w:t>14.8%</w:t>
      </w:r>
      <w:r w:rsidRPr="003C6DAE">
        <w:rPr>
          <w:rFonts w:ascii="Arial MT"/>
          <w:spacing w:val="-8"/>
          <w:sz w:val="12"/>
          <w:lang w:val="uk-UA"/>
        </w:rPr>
        <w:t xml:space="preserve"> </w:t>
      </w:r>
      <w:r w:rsidRPr="003C6DAE">
        <w:rPr>
          <w:rFonts w:ascii="Arial MT"/>
          <w:sz w:val="12"/>
          <w:lang w:val="uk-UA"/>
        </w:rPr>
        <w:t>(6.8</w:t>
      </w:r>
      <w:r w:rsidRPr="003C6DAE">
        <w:rPr>
          <w:rFonts w:ascii="Arial MT"/>
          <w:spacing w:val="-8"/>
          <w:sz w:val="12"/>
          <w:lang w:val="uk-UA"/>
        </w:rPr>
        <w:t xml:space="preserve"> </w:t>
      </w:r>
      <w:r w:rsidRPr="003C6DAE">
        <w:rPr>
          <w:rFonts w:ascii="Arial MT"/>
          <w:sz w:val="12"/>
          <w:lang w:val="uk-UA"/>
        </w:rPr>
        <w:t>to</w:t>
      </w:r>
      <w:r w:rsidRPr="003C6DAE">
        <w:rPr>
          <w:rFonts w:ascii="Arial MT"/>
          <w:spacing w:val="-7"/>
          <w:sz w:val="12"/>
          <w:lang w:val="uk-UA"/>
        </w:rPr>
        <w:t xml:space="preserve"> </w:t>
      </w:r>
      <w:r w:rsidRPr="003C6DAE">
        <w:rPr>
          <w:rFonts w:ascii="Arial MT"/>
          <w:spacing w:val="-2"/>
          <w:sz w:val="12"/>
          <w:lang w:val="uk-UA"/>
        </w:rPr>
        <w:t>27.8)</w:t>
      </w:r>
    </w:p>
    <w:p w14:paraId="12666ED3" w14:textId="77777777" w:rsidR="00E05B98" w:rsidRPr="003C6DAE" w:rsidRDefault="00B01E0C">
      <w:pPr>
        <w:spacing w:before="128"/>
        <w:ind w:left="665"/>
        <w:rPr>
          <w:rFonts w:ascii="Arial MT"/>
          <w:sz w:val="12"/>
          <w:lang w:val="uk-UA"/>
        </w:rPr>
      </w:pPr>
      <w:r w:rsidRPr="003C6DAE">
        <w:rPr>
          <w:rFonts w:ascii="Arial MT"/>
          <w:sz w:val="12"/>
          <w:lang w:val="uk-UA"/>
        </w:rPr>
        <w:t>30%</w:t>
      </w:r>
      <w:r w:rsidRPr="003C6DAE">
        <w:rPr>
          <w:rFonts w:ascii="Arial MT"/>
          <w:spacing w:val="-8"/>
          <w:sz w:val="12"/>
          <w:lang w:val="uk-UA"/>
        </w:rPr>
        <w:t xml:space="preserve"> </w:t>
      </w:r>
      <w:r w:rsidRPr="003C6DAE">
        <w:rPr>
          <w:rFonts w:ascii="Arial MT"/>
          <w:sz w:val="12"/>
          <w:lang w:val="uk-UA"/>
        </w:rPr>
        <w:t>(13.2</w:t>
      </w:r>
      <w:r w:rsidRPr="003C6DAE">
        <w:rPr>
          <w:rFonts w:ascii="Arial MT"/>
          <w:spacing w:val="-7"/>
          <w:sz w:val="12"/>
          <w:lang w:val="uk-UA"/>
        </w:rPr>
        <w:t xml:space="preserve"> </w:t>
      </w:r>
      <w:r w:rsidRPr="003C6DAE">
        <w:rPr>
          <w:rFonts w:ascii="Arial MT"/>
          <w:sz w:val="12"/>
          <w:lang w:val="uk-UA"/>
        </w:rPr>
        <w:t>to</w:t>
      </w:r>
      <w:r w:rsidRPr="003C6DAE">
        <w:rPr>
          <w:rFonts w:ascii="Arial MT"/>
          <w:spacing w:val="-8"/>
          <w:sz w:val="12"/>
          <w:lang w:val="uk-UA"/>
        </w:rPr>
        <w:t xml:space="preserve"> </w:t>
      </w:r>
      <w:r w:rsidRPr="003C6DAE">
        <w:rPr>
          <w:rFonts w:ascii="Arial MT"/>
          <w:spacing w:val="-2"/>
          <w:sz w:val="12"/>
          <w:lang w:val="uk-UA"/>
        </w:rPr>
        <w:t>54.8)</w:t>
      </w:r>
    </w:p>
    <w:p w14:paraId="7EB6425B" w14:textId="77777777" w:rsidR="00E05B98" w:rsidRPr="003C6DAE" w:rsidRDefault="00B01E0C">
      <w:pPr>
        <w:spacing w:before="129"/>
        <w:ind w:left="653"/>
        <w:rPr>
          <w:rFonts w:ascii="Arial MT"/>
          <w:sz w:val="12"/>
          <w:lang w:val="uk-UA"/>
        </w:rPr>
      </w:pPr>
      <w:r w:rsidRPr="003C6DAE">
        <w:rPr>
          <w:rFonts w:ascii="Arial MT"/>
          <w:spacing w:val="-2"/>
          <w:sz w:val="12"/>
          <w:lang w:val="uk-UA"/>
        </w:rPr>
        <w:t>11.5%</w:t>
      </w:r>
      <w:r w:rsidRPr="003C6DAE">
        <w:rPr>
          <w:rFonts w:ascii="Arial MT"/>
          <w:spacing w:val="-3"/>
          <w:sz w:val="12"/>
          <w:lang w:val="uk-UA"/>
        </w:rPr>
        <w:t xml:space="preserve"> </w:t>
      </w:r>
      <w:r w:rsidRPr="003C6DAE">
        <w:rPr>
          <w:rFonts w:ascii="Arial MT"/>
          <w:spacing w:val="-2"/>
          <w:sz w:val="12"/>
          <w:lang w:val="uk-UA"/>
        </w:rPr>
        <w:t>(3.8</w:t>
      </w:r>
      <w:r w:rsidRPr="003C6DAE">
        <w:rPr>
          <w:rFonts w:ascii="Arial MT"/>
          <w:spacing w:val="-3"/>
          <w:sz w:val="12"/>
          <w:lang w:val="uk-UA"/>
        </w:rPr>
        <w:t xml:space="preserve"> </w:t>
      </w:r>
      <w:r w:rsidRPr="003C6DAE">
        <w:rPr>
          <w:rFonts w:ascii="Arial MT"/>
          <w:spacing w:val="-2"/>
          <w:sz w:val="12"/>
          <w:lang w:val="uk-UA"/>
        </w:rPr>
        <w:t>to</w:t>
      </w:r>
      <w:r w:rsidRPr="003C6DAE">
        <w:rPr>
          <w:rFonts w:ascii="Arial MT"/>
          <w:spacing w:val="-3"/>
          <w:sz w:val="12"/>
          <w:lang w:val="uk-UA"/>
        </w:rPr>
        <w:t xml:space="preserve"> </w:t>
      </w:r>
      <w:r w:rsidRPr="003C6DAE">
        <w:rPr>
          <w:rFonts w:ascii="Arial MT"/>
          <w:spacing w:val="-2"/>
          <w:sz w:val="12"/>
          <w:lang w:val="uk-UA"/>
        </w:rPr>
        <w:t>26.7)</w:t>
      </w:r>
    </w:p>
    <w:p w14:paraId="311C959F" w14:textId="77777777" w:rsidR="00E05B98" w:rsidRPr="003C6DAE" w:rsidRDefault="00B01E0C">
      <w:pPr>
        <w:spacing w:before="128"/>
        <w:ind w:left="649"/>
        <w:rPr>
          <w:rFonts w:ascii="Arial MT"/>
          <w:sz w:val="12"/>
          <w:lang w:val="uk-UA"/>
        </w:rPr>
      </w:pPr>
      <w:r w:rsidRPr="003C6DAE">
        <w:rPr>
          <w:rFonts w:ascii="Arial MT"/>
          <w:sz w:val="12"/>
          <w:lang w:val="uk-UA"/>
        </w:rPr>
        <w:t>10.1%</w:t>
      </w:r>
      <w:r w:rsidRPr="003C6DAE">
        <w:rPr>
          <w:rFonts w:ascii="Arial MT"/>
          <w:spacing w:val="-8"/>
          <w:sz w:val="12"/>
          <w:lang w:val="uk-UA"/>
        </w:rPr>
        <w:t xml:space="preserve"> </w:t>
      </w:r>
      <w:r w:rsidRPr="003C6DAE">
        <w:rPr>
          <w:rFonts w:ascii="Arial MT"/>
          <w:sz w:val="12"/>
          <w:lang w:val="uk-UA"/>
        </w:rPr>
        <w:t>(5.1</w:t>
      </w:r>
      <w:r w:rsidRPr="003C6DAE">
        <w:rPr>
          <w:rFonts w:ascii="Arial MT"/>
          <w:spacing w:val="-8"/>
          <w:sz w:val="12"/>
          <w:lang w:val="uk-UA"/>
        </w:rPr>
        <w:t xml:space="preserve"> </w:t>
      </w:r>
      <w:r w:rsidRPr="003C6DAE">
        <w:rPr>
          <w:rFonts w:ascii="Arial MT"/>
          <w:sz w:val="12"/>
          <w:lang w:val="uk-UA"/>
        </w:rPr>
        <w:t>to</w:t>
      </w:r>
      <w:r w:rsidRPr="003C6DAE">
        <w:rPr>
          <w:rFonts w:ascii="Arial MT"/>
          <w:spacing w:val="-7"/>
          <w:sz w:val="12"/>
          <w:lang w:val="uk-UA"/>
        </w:rPr>
        <w:t xml:space="preserve"> </w:t>
      </w:r>
      <w:r w:rsidRPr="003C6DAE">
        <w:rPr>
          <w:rFonts w:ascii="Arial MT"/>
          <w:spacing w:val="-2"/>
          <w:sz w:val="12"/>
          <w:lang w:val="uk-UA"/>
        </w:rPr>
        <w:t>17.7)</w:t>
      </w:r>
    </w:p>
    <w:p w14:paraId="30A4B247" w14:textId="77777777" w:rsidR="00E05B98" w:rsidRPr="003C6DAE" w:rsidRDefault="00B01E0C">
      <w:pPr>
        <w:spacing w:before="128"/>
        <w:ind w:left="642"/>
        <w:rPr>
          <w:rFonts w:ascii="Arial MT"/>
          <w:sz w:val="12"/>
          <w:lang w:val="uk-UA"/>
        </w:rPr>
      </w:pPr>
      <w:r w:rsidRPr="003C6DAE">
        <w:rPr>
          <w:lang w:val="uk-UA"/>
        </w:rPr>
        <w:br w:type="column"/>
      </w:r>
      <w:r w:rsidRPr="003C6DAE">
        <w:rPr>
          <w:rFonts w:ascii="Arial MT"/>
          <w:spacing w:val="-2"/>
          <w:sz w:val="12"/>
          <w:lang w:val="uk-UA"/>
        </w:rPr>
        <w:t>88.2%</w:t>
      </w:r>
      <w:r w:rsidRPr="003C6DAE">
        <w:rPr>
          <w:rFonts w:ascii="Arial MT"/>
          <w:spacing w:val="-1"/>
          <w:sz w:val="12"/>
          <w:lang w:val="uk-UA"/>
        </w:rPr>
        <w:t xml:space="preserve"> </w:t>
      </w:r>
      <w:r w:rsidRPr="003C6DAE">
        <w:rPr>
          <w:rFonts w:ascii="Arial MT"/>
          <w:spacing w:val="-2"/>
          <w:sz w:val="12"/>
          <w:lang w:val="uk-UA"/>
        </w:rPr>
        <w:t>(78.2</w:t>
      </w:r>
      <w:r w:rsidRPr="003C6DAE">
        <w:rPr>
          <w:rFonts w:ascii="Arial MT"/>
          <w:spacing w:val="-1"/>
          <w:sz w:val="12"/>
          <w:lang w:val="uk-UA"/>
        </w:rPr>
        <w:t xml:space="preserve"> </w:t>
      </w:r>
      <w:r w:rsidRPr="003C6DAE">
        <w:rPr>
          <w:rFonts w:ascii="Arial MT"/>
          <w:spacing w:val="-2"/>
          <w:sz w:val="12"/>
          <w:lang w:val="uk-UA"/>
        </w:rPr>
        <w:t>to</w:t>
      </w:r>
      <w:r w:rsidRPr="003C6DAE">
        <w:rPr>
          <w:rFonts w:ascii="Arial MT"/>
          <w:spacing w:val="-1"/>
          <w:sz w:val="12"/>
          <w:lang w:val="uk-UA"/>
        </w:rPr>
        <w:t xml:space="preserve"> </w:t>
      </w:r>
      <w:r w:rsidRPr="003C6DAE">
        <w:rPr>
          <w:rFonts w:ascii="Arial MT"/>
          <w:spacing w:val="-2"/>
          <w:sz w:val="12"/>
          <w:lang w:val="uk-UA"/>
        </w:rPr>
        <w:t>93.8)</w:t>
      </w:r>
    </w:p>
    <w:p w14:paraId="39582C81" w14:textId="77777777" w:rsidR="00E05B98" w:rsidRPr="003C6DAE" w:rsidRDefault="00B01E0C">
      <w:pPr>
        <w:spacing w:before="128"/>
        <w:ind w:left="691"/>
        <w:rPr>
          <w:rFonts w:ascii="Arial MT"/>
          <w:sz w:val="12"/>
          <w:lang w:val="uk-UA"/>
        </w:rPr>
      </w:pPr>
      <w:r w:rsidRPr="003C6DAE">
        <w:rPr>
          <w:rFonts w:ascii="Arial MT"/>
          <w:noProof/>
          <w:sz w:val="12"/>
          <w:lang w:val="uk-UA"/>
        </w:rPr>
        <mc:AlternateContent>
          <mc:Choice Requires="wpg">
            <w:drawing>
              <wp:anchor distT="0" distB="0" distL="0" distR="0" simplePos="0" relativeHeight="16108544" behindDoc="0" locked="0" layoutInCell="1" allowOverlap="1" wp14:anchorId="6A28905A" wp14:editId="30B6C18F">
                <wp:simplePos x="0" y="0"/>
                <wp:positionH relativeFrom="page">
                  <wp:posOffset>5624215</wp:posOffset>
                </wp:positionH>
                <wp:positionV relativeFrom="paragraph">
                  <wp:posOffset>-73772</wp:posOffset>
                </wp:positionV>
                <wp:extent cx="172720" cy="710565"/>
                <wp:effectExtent l="0" t="0" r="0" b="0"/>
                <wp:wrapNone/>
                <wp:docPr id="2488" name="Group 2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710565"/>
                          <a:chOff x="0" y="0"/>
                          <a:chExt cx="172720" cy="710565"/>
                        </a:xfrm>
                      </wpg:grpSpPr>
                      <wps:wsp>
                        <wps:cNvPr id="2489" name="Graphic 2489"/>
                        <wps:cNvSpPr/>
                        <wps:spPr>
                          <a:xfrm>
                            <a:off x="28228" y="30657"/>
                            <a:ext cx="102870" cy="1270"/>
                          </a:xfrm>
                          <a:custGeom>
                            <a:avLst/>
                            <a:gdLst/>
                            <a:ahLst/>
                            <a:cxnLst/>
                            <a:rect l="l" t="t" r="r" b="b"/>
                            <a:pathLst>
                              <a:path w="102870">
                                <a:moveTo>
                                  <a:pt x="0" y="0"/>
                                </a:moveTo>
                                <a:lnTo>
                                  <a:pt x="102387" y="0"/>
                                </a:lnTo>
                              </a:path>
                            </a:pathLst>
                          </a:custGeom>
                          <a:ln w="7454">
                            <a:solidFill>
                              <a:srgbClr val="000000"/>
                            </a:solidFill>
                            <a:prstDash val="solid"/>
                          </a:ln>
                        </wps:spPr>
                        <wps:bodyPr wrap="square" lIns="0" tIns="0" rIns="0" bIns="0" rtlCol="0">
                          <a:prstTxWarp prst="textNoShape">
                            <a:avLst/>
                          </a:prstTxWarp>
                          <a:noAutofit/>
                        </wps:bodyPr>
                      </wps:wsp>
                      <wps:wsp>
                        <wps:cNvPr id="2490" name="Graphic 2490"/>
                        <wps:cNvSpPr/>
                        <wps:spPr>
                          <a:xfrm>
                            <a:off x="112779" y="199624"/>
                            <a:ext cx="45720" cy="1270"/>
                          </a:xfrm>
                          <a:custGeom>
                            <a:avLst/>
                            <a:gdLst/>
                            <a:ahLst/>
                            <a:cxnLst/>
                            <a:rect l="l" t="t" r="r" b="b"/>
                            <a:pathLst>
                              <a:path w="45720">
                                <a:moveTo>
                                  <a:pt x="0" y="0"/>
                                </a:moveTo>
                                <a:lnTo>
                                  <a:pt x="45529" y="0"/>
                                </a:lnTo>
                              </a:path>
                            </a:pathLst>
                          </a:custGeom>
                          <a:ln w="7454">
                            <a:solidFill>
                              <a:srgbClr val="000000"/>
                            </a:solidFill>
                            <a:prstDash val="solid"/>
                          </a:ln>
                        </wps:spPr>
                        <wps:bodyPr wrap="square" lIns="0" tIns="0" rIns="0" bIns="0" rtlCol="0">
                          <a:prstTxWarp prst="textNoShape">
                            <a:avLst/>
                          </a:prstTxWarp>
                          <a:noAutofit/>
                        </wps:bodyPr>
                      </wps:wsp>
                      <wps:wsp>
                        <wps:cNvPr id="2491" name="Graphic 2491"/>
                        <wps:cNvSpPr/>
                        <wps:spPr>
                          <a:xfrm>
                            <a:off x="0" y="368559"/>
                            <a:ext cx="108585" cy="1270"/>
                          </a:xfrm>
                          <a:custGeom>
                            <a:avLst/>
                            <a:gdLst/>
                            <a:ahLst/>
                            <a:cxnLst/>
                            <a:rect l="l" t="t" r="r" b="b"/>
                            <a:pathLst>
                              <a:path w="108585">
                                <a:moveTo>
                                  <a:pt x="0" y="0"/>
                                </a:moveTo>
                                <a:lnTo>
                                  <a:pt x="108242" y="0"/>
                                </a:lnTo>
                              </a:path>
                            </a:pathLst>
                          </a:custGeom>
                          <a:ln w="7454">
                            <a:solidFill>
                              <a:srgbClr val="000000"/>
                            </a:solidFill>
                            <a:prstDash val="solid"/>
                          </a:ln>
                        </wps:spPr>
                        <wps:bodyPr wrap="square" lIns="0" tIns="0" rIns="0" bIns="0" rtlCol="0">
                          <a:prstTxWarp prst="textNoShape">
                            <a:avLst/>
                          </a:prstTxWarp>
                          <a:noAutofit/>
                        </wps:bodyPr>
                      </wps:wsp>
                      <wps:wsp>
                        <wps:cNvPr id="2492" name="Graphic 2492"/>
                        <wps:cNvSpPr/>
                        <wps:spPr>
                          <a:xfrm>
                            <a:off x="34968" y="4"/>
                            <a:ext cx="137160" cy="399415"/>
                          </a:xfrm>
                          <a:custGeom>
                            <a:avLst/>
                            <a:gdLst/>
                            <a:ahLst/>
                            <a:cxnLst/>
                            <a:rect l="l" t="t" r="r" b="b"/>
                            <a:pathLst>
                              <a:path w="137160" h="399415">
                                <a:moveTo>
                                  <a:pt x="61379" y="368554"/>
                                </a:moveTo>
                                <a:lnTo>
                                  <a:pt x="30695" y="337947"/>
                                </a:lnTo>
                                <a:lnTo>
                                  <a:pt x="0" y="368554"/>
                                </a:lnTo>
                                <a:lnTo>
                                  <a:pt x="30695" y="399237"/>
                                </a:lnTo>
                                <a:lnTo>
                                  <a:pt x="61379" y="368554"/>
                                </a:lnTo>
                                <a:close/>
                              </a:path>
                              <a:path w="137160" h="399415">
                                <a:moveTo>
                                  <a:pt x="89433" y="30657"/>
                                </a:moveTo>
                                <a:lnTo>
                                  <a:pt x="58737" y="0"/>
                                </a:lnTo>
                                <a:lnTo>
                                  <a:pt x="28041" y="30657"/>
                                </a:lnTo>
                                <a:lnTo>
                                  <a:pt x="58737" y="61353"/>
                                </a:lnTo>
                                <a:lnTo>
                                  <a:pt x="89433" y="30657"/>
                                </a:lnTo>
                                <a:close/>
                              </a:path>
                              <a:path w="137160" h="399415">
                                <a:moveTo>
                                  <a:pt x="137121" y="199631"/>
                                </a:moveTo>
                                <a:lnTo>
                                  <a:pt x="106426" y="168948"/>
                                </a:lnTo>
                                <a:lnTo>
                                  <a:pt x="75742" y="199631"/>
                                </a:lnTo>
                                <a:lnTo>
                                  <a:pt x="106426" y="230327"/>
                                </a:lnTo>
                                <a:lnTo>
                                  <a:pt x="137121" y="199631"/>
                                </a:lnTo>
                                <a:close/>
                              </a:path>
                            </a:pathLst>
                          </a:custGeom>
                          <a:solidFill>
                            <a:srgbClr val="000000"/>
                          </a:solidFill>
                        </wps:spPr>
                        <wps:bodyPr wrap="square" lIns="0" tIns="0" rIns="0" bIns="0" rtlCol="0">
                          <a:prstTxWarp prst="textNoShape">
                            <a:avLst/>
                          </a:prstTxWarp>
                          <a:noAutofit/>
                        </wps:bodyPr>
                      </wps:wsp>
                      <wps:wsp>
                        <wps:cNvPr id="2493" name="Graphic 2493"/>
                        <wps:cNvSpPr/>
                        <wps:spPr>
                          <a:xfrm>
                            <a:off x="93717" y="30662"/>
                            <a:ext cx="1270" cy="676275"/>
                          </a:xfrm>
                          <a:custGeom>
                            <a:avLst/>
                            <a:gdLst/>
                            <a:ahLst/>
                            <a:cxnLst/>
                            <a:rect l="l" t="t" r="r" b="b"/>
                            <a:pathLst>
                              <a:path h="676275">
                                <a:moveTo>
                                  <a:pt x="0" y="675830"/>
                                </a:moveTo>
                                <a:lnTo>
                                  <a:pt x="0" y="0"/>
                                </a:lnTo>
                              </a:path>
                              <a:path h="676275">
                                <a:moveTo>
                                  <a:pt x="0" y="675830"/>
                                </a:moveTo>
                                <a:lnTo>
                                  <a:pt x="0" y="0"/>
                                </a:lnTo>
                              </a:path>
                              <a:path h="676275">
                                <a:moveTo>
                                  <a:pt x="0" y="675830"/>
                                </a:moveTo>
                                <a:lnTo>
                                  <a:pt x="0" y="0"/>
                                </a:lnTo>
                              </a:path>
                              <a:path h="676275">
                                <a:moveTo>
                                  <a:pt x="0" y="675830"/>
                                </a:moveTo>
                                <a:lnTo>
                                  <a:pt x="0" y="0"/>
                                </a:lnTo>
                              </a:path>
                              <a:path h="676275">
                                <a:moveTo>
                                  <a:pt x="0" y="675830"/>
                                </a:moveTo>
                                <a:lnTo>
                                  <a:pt x="0" y="0"/>
                                </a:lnTo>
                              </a:path>
                              <a:path h="676275">
                                <a:moveTo>
                                  <a:pt x="0" y="675830"/>
                                </a:moveTo>
                                <a:lnTo>
                                  <a:pt x="0" y="0"/>
                                </a:lnTo>
                              </a:path>
                              <a:path h="676275">
                                <a:moveTo>
                                  <a:pt x="0" y="675830"/>
                                </a:moveTo>
                                <a:lnTo>
                                  <a:pt x="0" y="0"/>
                                </a:lnTo>
                              </a:path>
                              <a:path h="676275">
                                <a:moveTo>
                                  <a:pt x="0" y="675830"/>
                                </a:moveTo>
                                <a:lnTo>
                                  <a:pt x="0" y="0"/>
                                </a:lnTo>
                              </a:path>
                              <a:path h="676275">
                                <a:moveTo>
                                  <a:pt x="0" y="675830"/>
                                </a:moveTo>
                                <a:lnTo>
                                  <a:pt x="0" y="0"/>
                                </a:lnTo>
                              </a:path>
                              <a:path h="676275">
                                <a:moveTo>
                                  <a:pt x="0" y="675830"/>
                                </a:moveTo>
                                <a:lnTo>
                                  <a:pt x="0" y="0"/>
                                </a:lnTo>
                              </a:path>
                              <a:path h="676275">
                                <a:moveTo>
                                  <a:pt x="0" y="675830"/>
                                </a:moveTo>
                                <a:lnTo>
                                  <a:pt x="0" y="0"/>
                                </a:lnTo>
                              </a:path>
                            </a:pathLst>
                          </a:custGeom>
                          <a:ln w="7454">
                            <a:solidFill>
                              <a:srgbClr val="000000"/>
                            </a:solidFill>
                            <a:prstDash val="solid"/>
                          </a:ln>
                        </wps:spPr>
                        <wps:bodyPr wrap="square" lIns="0" tIns="0" rIns="0" bIns="0" rtlCol="0">
                          <a:prstTxWarp prst="textNoShape">
                            <a:avLst/>
                          </a:prstTxWarp>
                          <a:noAutofit/>
                        </wps:bodyPr>
                      </wps:wsp>
                      <wps:wsp>
                        <wps:cNvPr id="2494" name="Graphic 2494"/>
                        <wps:cNvSpPr/>
                        <wps:spPr>
                          <a:xfrm>
                            <a:off x="65533" y="368559"/>
                            <a:ext cx="1270" cy="338455"/>
                          </a:xfrm>
                          <a:custGeom>
                            <a:avLst/>
                            <a:gdLst/>
                            <a:ahLst/>
                            <a:cxnLst/>
                            <a:rect l="l" t="t" r="r" b="b"/>
                            <a:pathLst>
                              <a:path h="338455">
                                <a:moveTo>
                                  <a:pt x="0" y="337934"/>
                                </a:moveTo>
                                <a:lnTo>
                                  <a:pt x="0" y="0"/>
                                </a:lnTo>
                              </a:path>
                              <a:path h="338455">
                                <a:moveTo>
                                  <a:pt x="0" y="337934"/>
                                </a:moveTo>
                                <a:lnTo>
                                  <a:pt x="0" y="0"/>
                                </a:lnTo>
                              </a:path>
                              <a:path h="338455">
                                <a:moveTo>
                                  <a:pt x="0" y="337934"/>
                                </a:moveTo>
                                <a:lnTo>
                                  <a:pt x="0" y="0"/>
                                </a:lnTo>
                              </a:path>
                              <a:path h="338455">
                                <a:moveTo>
                                  <a:pt x="0" y="337934"/>
                                </a:moveTo>
                                <a:lnTo>
                                  <a:pt x="0" y="0"/>
                                </a:lnTo>
                              </a:path>
                              <a:path h="338455">
                                <a:moveTo>
                                  <a:pt x="0" y="337934"/>
                                </a:moveTo>
                                <a:lnTo>
                                  <a:pt x="0" y="0"/>
                                </a:lnTo>
                              </a:path>
                              <a:path h="338455">
                                <a:moveTo>
                                  <a:pt x="0" y="337934"/>
                                </a:moveTo>
                                <a:lnTo>
                                  <a:pt x="0" y="0"/>
                                </a:lnTo>
                              </a:path>
                              <a:path h="338455">
                                <a:moveTo>
                                  <a:pt x="0" y="337934"/>
                                </a:moveTo>
                                <a:lnTo>
                                  <a:pt x="0" y="0"/>
                                </a:lnTo>
                              </a:path>
                              <a:path h="338455">
                                <a:moveTo>
                                  <a:pt x="0" y="337934"/>
                                </a:moveTo>
                                <a:lnTo>
                                  <a:pt x="0" y="0"/>
                                </a:lnTo>
                              </a:path>
                              <a:path h="338455">
                                <a:moveTo>
                                  <a:pt x="0" y="337934"/>
                                </a:moveTo>
                                <a:lnTo>
                                  <a:pt x="0" y="0"/>
                                </a:lnTo>
                              </a:path>
                              <a:path h="338455">
                                <a:moveTo>
                                  <a:pt x="0" y="337934"/>
                                </a:moveTo>
                                <a:lnTo>
                                  <a:pt x="0" y="0"/>
                                </a:lnTo>
                              </a:path>
                              <a:path h="338455">
                                <a:moveTo>
                                  <a:pt x="0" y="337934"/>
                                </a:moveTo>
                                <a:lnTo>
                                  <a:pt x="0" y="0"/>
                                </a:lnTo>
                              </a:path>
                            </a:pathLst>
                          </a:custGeom>
                          <a:ln w="7454">
                            <a:solidFill>
                              <a:srgbClr val="000000"/>
                            </a:solidFill>
                            <a:prstDash val="solid"/>
                          </a:ln>
                        </wps:spPr>
                        <wps:bodyPr wrap="square" lIns="0" tIns="0" rIns="0" bIns="0" rtlCol="0">
                          <a:prstTxWarp prst="textNoShape">
                            <a:avLst/>
                          </a:prstTxWarp>
                          <a:noAutofit/>
                        </wps:bodyPr>
                      </wps:wsp>
                      <wps:wsp>
                        <wps:cNvPr id="2495" name="Graphic 2495"/>
                        <wps:cNvSpPr/>
                        <wps:spPr>
                          <a:xfrm>
                            <a:off x="65535" y="706493"/>
                            <a:ext cx="28575" cy="1270"/>
                          </a:xfrm>
                          <a:custGeom>
                            <a:avLst/>
                            <a:gdLst/>
                            <a:ahLst/>
                            <a:cxnLst/>
                            <a:rect l="l" t="t" r="r" b="b"/>
                            <a:pathLst>
                              <a:path w="28575">
                                <a:moveTo>
                                  <a:pt x="28181" y="0"/>
                                </a:moveTo>
                                <a:lnTo>
                                  <a:pt x="0" y="0"/>
                                </a:lnTo>
                              </a:path>
                              <a:path w="28575">
                                <a:moveTo>
                                  <a:pt x="28181" y="0"/>
                                </a:moveTo>
                                <a:lnTo>
                                  <a:pt x="0" y="0"/>
                                </a:lnTo>
                              </a:path>
                              <a:path w="28575">
                                <a:moveTo>
                                  <a:pt x="28181" y="0"/>
                                </a:moveTo>
                                <a:lnTo>
                                  <a:pt x="0" y="0"/>
                                </a:lnTo>
                              </a:path>
                              <a:path w="28575">
                                <a:moveTo>
                                  <a:pt x="28181" y="0"/>
                                </a:moveTo>
                                <a:lnTo>
                                  <a:pt x="0" y="0"/>
                                </a:lnTo>
                              </a:path>
                              <a:path w="28575">
                                <a:moveTo>
                                  <a:pt x="28181" y="0"/>
                                </a:moveTo>
                                <a:lnTo>
                                  <a:pt x="0" y="0"/>
                                </a:lnTo>
                              </a:path>
                              <a:path w="28575">
                                <a:moveTo>
                                  <a:pt x="28181" y="0"/>
                                </a:moveTo>
                                <a:lnTo>
                                  <a:pt x="0" y="0"/>
                                </a:lnTo>
                              </a:path>
                              <a:path w="28575">
                                <a:moveTo>
                                  <a:pt x="28181" y="0"/>
                                </a:moveTo>
                                <a:lnTo>
                                  <a:pt x="0" y="0"/>
                                </a:lnTo>
                              </a:path>
                              <a:path w="28575">
                                <a:moveTo>
                                  <a:pt x="28181" y="0"/>
                                </a:moveTo>
                                <a:lnTo>
                                  <a:pt x="0" y="0"/>
                                </a:lnTo>
                              </a:path>
                              <a:path w="28575">
                                <a:moveTo>
                                  <a:pt x="28181" y="0"/>
                                </a:moveTo>
                                <a:lnTo>
                                  <a:pt x="0" y="0"/>
                                </a:lnTo>
                              </a:path>
                              <a:path w="28575">
                                <a:moveTo>
                                  <a:pt x="28181" y="0"/>
                                </a:moveTo>
                                <a:lnTo>
                                  <a:pt x="0" y="0"/>
                                </a:lnTo>
                              </a:path>
                              <a:path w="28575">
                                <a:moveTo>
                                  <a:pt x="28181" y="0"/>
                                </a:moveTo>
                                <a:lnTo>
                                  <a:pt x="0" y="0"/>
                                </a:lnTo>
                              </a:path>
                            </a:pathLst>
                          </a:custGeom>
                          <a:ln w="7454">
                            <a:solidFill>
                              <a:srgbClr val="000000"/>
                            </a:solidFill>
                            <a:prstDash val="solid"/>
                          </a:ln>
                        </wps:spPr>
                        <wps:bodyPr wrap="square" lIns="0" tIns="0" rIns="0" bIns="0" rtlCol="0">
                          <a:prstTxWarp prst="textNoShape">
                            <a:avLst/>
                          </a:prstTxWarp>
                          <a:noAutofit/>
                        </wps:bodyPr>
                      </wps:wsp>
                      <wps:wsp>
                        <wps:cNvPr id="2496" name="Graphic 2496"/>
                        <wps:cNvSpPr/>
                        <wps:spPr>
                          <a:xfrm>
                            <a:off x="65667" y="368560"/>
                            <a:ext cx="1270" cy="169545"/>
                          </a:xfrm>
                          <a:custGeom>
                            <a:avLst/>
                            <a:gdLst/>
                            <a:ahLst/>
                            <a:cxnLst/>
                            <a:rect l="l" t="t" r="r" b="b"/>
                            <a:pathLst>
                              <a:path h="169545">
                                <a:moveTo>
                                  <a:pt x="0" y="169011"/>
                                </a:moveTo>
                                <a:lnTo>
                                  <a:pt x="0" y="0"/>
                                </a:lnTo>
                              </a:path>
                              <a:path h="169545">
                                <a:moveTo>
                                  <a:pt x="0" y="169011"/>
                                </a:moveTo>
                                <a:lnTo>
                                  <a:pt x="0" y="0"/>
                                </a:lnTo>
                              </a:path>
                              <a:path h="169545">
                                <a:moveTo>
                                  <a:pt x="0" y="169011"/>
                                </a:moveTo>
                                <a:lnTo>
                                  <a:pt x="0" y="0"/>
                                </a:lnTo>
                              </a:path>
                              <a:path h="169545">
                                <a:moveTo>
                                  <a:pt x="0" y="169011"/>
                                </a:moveTo>
                                <a:lnTo>
                                  <a:pt x="0" y="0"/>
                                </a:lnTo>
                              </a:path>
                              <a:path h="169545">
                                <a:moveTo>
                                  <a:pt x="0" y="169011"/>
                                </a:moveTo>
                                <a:lnTo>
                                  <a:pt x="0" y="0"/>
                                </a:lnTo>
                              </a:path>
                              <a:path h="169545">
                                <a:moveTo>
                                  <a:pt x="0" y="169011"/>
                                </a:moveTo>
                                <a:lnTo>
                                  <a:pt x="0" y="0"/>
                                </a:lnTo>
                              </a:path>
                              <a:path h="169545">
                                <a:moveTo>
                                  <a:pt x="0" y="169011"/>
                                </a:moveTo>
                                <a:lnTo>
                                  <a:pt x="0" y="0"/>
                                </a:lnTo>
                              </a:path>
                              <a:path h="169545">
                                <a:moveTo>
                                  <a:pt x="0" y="169011"/>
                                </a:moveTo>
                                <a:lnTo>
                                  <a:pt x="0" y="0"/>
                                </a:lnTo>
                              </a:path>
                              <a:path h="169545">
                                <a:moveTo>
                                  <a:pt x="0" y="169011"/>
                                </a:moveTo>
                                <a:lnTo>
                                  <a:pt x="0" y="0"/>
                                </a:lnTo>
                              </a:path>
                              <a:path h="169545">
                                <a:moveTo>
                                  <a:pt x="0" y="169011"/>
                                </a:moveTo>
                                <a:lnTo>
                                  <a:pt x="0" y="0"/>
                                </a:lnTo>
                              </a:path>
                              <a:path h="169545">
                                <a:moveTo>
                                  <a:pt x="0" y="169011"/>
                                </a:moveTo>
                                <a:lnTo>
                                  <a:pt x="0" y="0"/>
                                </a:lnTo>
                              </a:path>
                            </a:pathLst>
                          </a:custGeom>
                          <a:ln w="7454">
                            <a:solidFill>
                              <a:srgbClr val="000000"/>
                            </a:solidFill>
                            <a:prstDash val="dot"/>
                          </a:ln>
                        </wps:spPr>
                        <wps:bodyPr wrap="square" lIns="0" tIns="0" rIns="0" bIns="0" rtlCol="0">
                          <a:prstTxWarp prst="textNoShape">
                            <a:avLst/>
                          </a:prstTxWarp>
                          <a:noAutofit/>
                        </wps:bodyPr>
                      </wps:wsp>
                      <wps:wsp>
                        <wps:cNvPr id="2497" name="Graphic 2497"/>
                        <wps:cNvSpPr/>
                        <wps:spPr>
                          <a:xfrm>
                            <a:off x="65533" y="199624"/>
                            <a:ext cx="76200" cy="338455"/>
                          </a:xfrm>
                          <a:custGeom>
                            <a:avLst/>
                            <a:gdLst/>
                            <a:ahLst/>
                            <a:cxnLst/>
                            <a:rect l="l" t="t" r="r" b="b"/>
                            <a:pathLst>
                              <a:path w="76200" h="338455">
                                <a:moveTo>
                                  <a:pt x="75869" y="337947"/>
                                </a:moveTo>
                                <a:lnTo>
                                  <a:pt x="75869" y="0"/>
                                </a:lnTo>
                              </a:path>
                              <a:path w="76200" h="338455">
                                <a:moveTo>
                                  <a:pt x="75869" y="337947"/>
                                </a:moveTo>
                                <a:lnTo>
                                  <a:pt x="75869" y="0"/>
                                </a:lnTo>
                              </a:path>
                              <a:path w="76200" h="338455">
                                <a:moveTo>
                                  <a:pt x="75869" y="337947"/>
                                </a:moveTo>
                                <a:lnTo>
                                  <a:pt x="75869" y="0"/>
                                </a:lnTo>
                              </a:path>
                              <a:path w="76200" h="338455">
                                <a:moveTo>
                                  <a:pt x="75869" y="337947"/>
                                </a:moveTo>
                                <a:lnTo>
                                  <a:pt x="75869" y="0"/>
                                </a:lnTo>
                              </a:path>
                              <a:path w="76200" h="338455">
                                <a:moveTo>
                                  <a:pt x="75869" y="337947"/>
                                </a:moveTo>
                                <a:lnTo>
                                  <a:pt x="75869" y="0"/>
                                </a:lnTo>
                              </a:path>
                              <a:path w="76200" h="338455">
                                <a:moveTo>
                                  <a:pt x="75869" y="337947"/>
                                </a:moveTo>
                                <a:lnTo>
                                  <a:pt x="75869" y="0"/>
                                </a:lnTo>
                              </a:path>
                              <a:path w="76200" h="338455">
                                <a:moveTo>
                                  <a:pt x="75869" y="337947"/>
                                </a:moveTo>
                                <a:lnTo>
                                  <a:pt x="75869" y="0"/>
                                </a:lnTo>
                              </a:path>
                              <a:path w="76200" h="338455">
                                <a:moveTo>
                                  <a:pt x="75869" y="337947"/>
                                </a:moveTo>
                                <a:lnTo>
                                  <a:pt x="75869" y="0"/>
                                </a:lnTo>
                              </a:path>
                              <a:path w="76200" h="338455">
                                <a:moveTo>
                                  <a:pt x="75869" y="337947"/>
                                </a:moveTo>
                                <a:lnTo>
                                  <a:pt x="75869" y="0"/>
                                </a:lnTo>
                              </a:path>
                              <a:path w="76200" h="338455">
                                <a:moveTo>
                                  <a:pt x="75869" y="337947"/>
                                </a:moveTo>
                                <a:lnTo>
                                  <a:pt x="75869" y="0"/>
                                </a:lnTo>
                              </a:path>
                              <a:path w="76200" h="338455">
                                <a:moveTo>
                                  <a:pt x="75869" y="337947"/>
                                </a:moveTo>
                                <a:lnTo>
                                  <a:pt x="75869" y="0"/>
                                </a:lnTo>
                              </a:path>
                              <a:path w="76200" h="338455">
                                <a:moveTo>
                                  <a:pt x="75869" y="337947"/>
                                </a:moveTo>
                                <a:lnTo>
                                  <a:pt x="0" y="337947"/>
                                </a:lnTo>
                              </a:path>
                              <a:path w="76200" h="338455">
                                <a:moveTo>
                                  <a:pt x="75869" y="337947"/>
                                </a:moveTo>
                                <a:lnTo>
                                  <a:pt x="0" y="337947"/>
                                </a:lnTo>
                              </a:path>
                              <a:path w="76200" h="338455">
                                <a:moveTo>
                                  <a:pt x="75869" y="337947"/>
                                </a:moveTo>
                                <a:lnTo>
                                  <a:pt x="0" y="337947"/>
                                </a:lnTo>
                              </a:path>
                              <a:path w="76200" h="338455">
                                <a:moveTo>
                                  <a:pt x="75869" y="337947"/>
                                </a:moveTo>
                                <a:lnTo>
                                  <a:pt x="0" y="337947"/>
                                </a:lnTo>
                              </a:path>
                              <a:path w="76200" h="338455">
                                <a:moveTo>
                                  <a:pt x="75869" y="337947"/>
                                </a:moveTo>
                                <a:lnTo>
                                  <a:pt x="0" y="337947"/>
                                </a:lnTo>
                              </a:path>
                              <a:path w="76200" h="338455">
                                <a:moveTo>
                                  <a:pt x="75869" y="337947"/>
                                </a:moveTo>
                                <a:lnTo>
                                  <a:pt x="0" y="337947"/>
                                </a:lnTo>
                              </a:path>
                              <a:path w="76200" h="338455">
                                <a:moveTo>
                                  <a:pt x="75869" y="337947"/>
                                </a:moveTo>
                                <a:lnTo>
                                  <a:pt x="0" y="337947"/>
                                </a:lnTo>
                              </a:path>
                              <a:path w="76200" h="338455">
                                <a:moveTo>
                                  <a:pt x="75869" y="337947"/>
                                </a:moveTo>
                                <a:lnTo>
                                  <a:pt x="0" y="337947"/>
                                </a:lnTo>
                              </a:path>
                              <a:path w="76200" h="338455">
                                <a:moveTo>
                                  <a:pt x="75869" y="337947"/>
                                </a:moveTo>
                                <a:lnTo>
                                  <a:pt x="0" y="337947"/>
                                </a:lnTo>
                              </a:path>
                              <a:path w="76200" h="338455">
                                <a:moveTo>
                                  <a:pt x="75869" y="337947"/>
                                </a:moveTo>
                                <a:lnTo>
                                  <a:pt x="0" y="337947"/>
                                </a:lnTo>
                              </a:path>
                              <a:path w="76200" h="338455">
                                <a:moveTo>
                                  <a:pt x="75869" y="337947"/>
                                </a:moveTo>
                                <a:lnTo>
                                  <a:pt x="0" y="337947"/>
                                </a:lnTo>
                              </a:path>
                            </a:pathLst>
                          </a:custGeom>
                          <a:ln w="7454">
                            <a:solidFill>
                              <a:srgbClr val="000000"/>
                            </a:solidFill>
                            <a:prstDash val="dot"/>
                          </a:ln>
                        </wps:spPr>
                        <wps:bodyPr wrap="square" lIns="0" tIns="0" rIns="0" bIns="0" rtlCol="0">
                          <a:prstTxWarp prst="textNoShape">
                            <a:avLst/>
                          </a:prstTxWarp>
                          <a:noAutofit/>
                        </wps:bodyPr>
                      </wps:wsp>
                    </wpg:wgp>
                  </a:graphicData>
                </a:graphic>
              </wp:anchor>
            </w:drawing>
          </mc:Choice>
          <mc:Fallback>
            <w:pict>
              <v:group w14:anchorId="76DE8BC4" id="Group 2488" o:spid="_x0000_s1026" style="position:absolute;margin-left:442.85pt;margin-top:-5.8pt;width:13.6pt;height:55.95pt;z-index:16108544;mso-wrap-distance-left:0;mso-wrap-distance-right:0;mso-position-horizontal-relative:page" coordsize="1727,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">
                <v:shape id="Graphic 2489" o:spid="_x0000_s1027" style="position:absolute;left:282;top:306;width:1028;height:13;visibility:visible;mso-wrap-style:square;v-text-anchor:top" coordsize="102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" path="m,l102387,e" filled="f" strokeweight=".20706mm">
                  <v:path arrowok="t"/>
                </v:shape>
                <v:shape id="Graphic 2490" o:spid="_x0000_s1028" style="position:absolute;left:1127;top:1996;width:457;height:12;visibility:visible;mso-wrap-style:square;v-text-anchor:top" coordsize="45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" path="m,l45529,e" filled="f" strokeweight=".20706mm">
                  <v:path arrowok="t"/>
                </v:shape>
                <v:shape id="Graphic 2491" o:spid="_x0000_s1029" style="position:absolute;top:3685;width:1085;height:13;visibility:visible;mso-wrap-style:square;v-text-anchor:top" coordsize="108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" path="m,l108242,e" filled="f" strokeweight=".20706mm">
                  <v:path arrowok="t"/>
                </v:shape>
                <v:shape id="Graphic 2492" o:spid="_x0000_s1030" style="position:absolute;left:349;width:1372;height:3994;visibility:visible;mso-wrap-style:square;v-text-anchor:top" coordsize="13716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" path="m61379,368554l30695,337947,,368554r30695,30683l61379,368554xem89433,30657l58737,,28041,30657,58737,61353,89433,30657xem137121,199631l106426,168948,75742,199631r30684,30696l137121,199631xe" fillcolor="black" stroked="f">
                  <v:path arrowok="t"/>
                </v:shape>
                <v:shape id="Graphic 2493" o:spid="_x0000_s1031" style="position:absolute;left:937;top:306;width:12;height:6763;visibility:visible;mso-wrap-style:square;v-text-anchor:top" coordsize="127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" path="m,675830l,em,675830l,em,675830l,em,675830l,em,675830l,em,675830l,em,675830l,em,675830l,em,675830l,em,675830l,em,675830l,e" filled="f" strokeweight=".20706mm">
                  <v:path arrowok="t"/>
                </v:shape>
                <v:shape id="Graphic 2494" o:spid="_x0000_s1032" style="position:absolute;left:655;top:3685;width:13;height:3385;visibility:visible;mso-wrap-style:square;v-text-anchor:top" coordsize="127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" path="m,337934l,em,337934l,em,337934l,em,337934l,em,337934l,em,337934l,em,337934l,em,337934l,em,337934l,em,337934l,em,337934l,e" filled="f" strokeweight=".20706mm">
                  <v:path arrowok="t"/>
                </v:shape>
                <v:shape id="Graphic 2495" o:spid="_x0000_s1033" style="position:absolute;left:655;top:7064;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" path="m28181,l,em28181,l,em28181,l,em28181,l,em28181,l,em28181,l,em28181,l,em28181,l,em28181,l,em28181,l,em28181,l,e" filled="f" strokeweight=".20706mm">
                  <v:path arrowok="t"/>
                </v:shape>
                <v:shape id="Graphic 2496" o:spid="_x0000_s1034" style="position:absolute;left:656;top:3685;width:13;height:1696;visibility:visible;mso-wrap-style:square;v-text-anchor:top" coordsize="127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" path="m,169011l,em,169011l,em,169011l,em,169011l,em,169011l,em,169011l,em,169011l,em,169011l,em,169011l,em,169011l,em,169011l,e" filled="f" strokeweight=".20706mm">
                  <v:stroke dashstyle="dot"/>
                  <v:path arrowok="t"/>
                </v:shape>
                <v:shape id="Graphic 2497" o:spid="_x0000_s1035" style="position:absolute;left:655;top:1996;width:762;height:3384;visibility:visible;mso-wrap-style:square;v-text-anchor:top" coordsize="7620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" path="m75869,337947l75869,em75869,337947l75869,em75869,337947l75869,em75869,337947l75869,em75869,337947l75869,em75869,337947l75869,em75869,337947l75869,em75869,337947l75869,em75869,337947l75869,em75869,337947l75869,em75869,337947l75869,em75869,337947l,337947em75869,337947l,337947em75869,337947l,337947em75869,337947l,337947em75869,337947l,337947em75869,337947l,337947em75869,337947l,337947em75869,337947l,337947em75869,337947l,337947em75869,337947l,337947em75869,337947l,337947e" filled="f" strokeweight=".20706mm">
                  <v:stroke dashstyle="dot"/>
                  <v:path arrowok="t"/>
                </v:shape>
                <w10:wrap anchorx="page"/>
              </v:group>
            </w:pict>
          </mc:Fallback>
        </mc:AlternateContent>
      </w:r>
      <w:r w:rsidRPr="003C6DAE">
        <w:rPr>
          <w:rFonts w:ascii="Arial MT"/>
          <w:spacing w:val="-2"/>
          <w:sz w:val="12"/>
          <w:lang w:val="uk-UA"/>
        </w:rPr>
        <w:t>95.4%</w:t>
      </w:r>
      <w:r w:rsidRPr="003C6DAE">
        <w:rPr>
          <w:rFonts w:ascii="Arial MT"/>
          <w:spacing w:val="-1"/>
          <w:sz w:val="12"/>
          <w:lang w:val="uk-UA"/>
        </w:rPr>
        <w:t xml:space="preserve"> </w:t>
      </w:r>
      <w:r w:rsidRPr="003C6DAE">
        <w:rPr>
          <w:rFonts w:ascii="Arial MT"/>
          <w:spacing w:val="-2"/>
          <w:sz w:val="12"/>
          <w:lang w:val="uk-UA"/>
        </w:rPr>
        <w:t>(91.1</w:t>
      </w:r>
      <w:r w:rsidRPr="003C6DAE">
        <w:rPr>
          <w:rFonts w:ascii="Arial MT"/>
          <w:spacing w:val="-1"/>
          <w:sz w:val="12"/>
          <w:lang w:val="uk-UA"/>
        </w:rPr>
        <w:t xml:space="preserve"> </w:t>
      </w:r>
      <w:r w:rsidRPr="003C6DAE">
        <w:rPr>
          <w:rFonts w:ascii="Arial MT"/>
          <w:spacing w:val="-2"/>
          <w:sz w:val="12"/>
          <w:lang w:val="uk-UA"/>
        </w:rPr>
        <w:t>to</w:t>
      </w:r>
      <w:r w:rsidRPr="003C6DAE">
        <w:rPr>
          <w:rFonts w:ascii="Arial MT"/>
          <w:spacing w:val="-1"/>
          <w:sz w:val="12"/>
          <w:lang w:val="uk-UA"/>
        </w:rPr>
        <w:t xml:space="preserve"> </w:t>
      </w:r>
      <w:r w:rsidRPr="003C6DAE">
        <w:rPr>
          <w:rFonts w:ascii="Arial MT"/>
          <w:spacing w:val="-5"/>
          <w:sz w:val="12"/>
          <w:lang w:val="uk-UA"/>
        </w:rPr>
        <w:t>98)</w:t>
      </w:r>
    </w:p>
    <w:p w14:paraId="06B01B1F" w14:textId="77777777" w:rsidR="00E05B98" w:rsidRPr="003C6DAE" w:rsidRDefault="00B01E0C">
      <w:pPr>
        <w:spacing w:before="128"/>
        <w:ind w:left="642"/>
        <w:rPr>
          <w:rFonts w:ascii="Arial MT"/>
          <w:sz w:val="12"/>
          <w:lang w:val="uk-UA"/>
        </w:rPr>
      </w:pPr>
      <w:r w:rsidRPr="003C6DAE">
        <w:rPr>
          <w:rFonts w:ascii="Arial MT"/>
          <w:spacing w:val="-2"/>
          <w:sz w:val="12"/>
          <w:lang w:val="uk-UA"/>
        </w:rPr>
        <w:t>83.9%</w:t>
      </w:r>
      <w:r w:rsidRPr="003C6DAE">
        <w:rPr>
          <w:rFonts w:ascii="Arial MT"/>
          <w:spacing w:val="-1"/>
          <w:sz w:val="12"/>
          <w:lang w:val="uk-UA"/>
        </w:rPr>
        <w:t xml:space="preserve"> </w:t>
      </w:r>
      <w:r w:rsidRPr="003C6DAE">
        <w:rPr>
          <w:rFonts w:ascii="Arial MT"/>
          <w:spacing w:val="-2"/>
          <w:sz w:val="12"/>
          <w:lang w:val="uk-UA"/>
        </w:rPr>
        <w:t>(73.9</w:t>
      </w:r>
      <w:r w:rsidRPr="003C6DAE">
        <w:rPr>
          <w:rFonts w:ascii="Arial MT"/>
          <w:spacing w:val="-1"/>
          <w:sz w:val="12"/>
          <w:lang w:val="uk-UA"/>
        </w:rPr>
        <w:t xml:space="preserve"> </w:t>
      </w:r>
      <w:r w:rsidRPr="003C6DAE">
        <w:rPr>
          <w:rFonts w:ascii="Arial MT"/>
          <w:spacing w:val="-2"/>
          <w:sz w:val="12"/>
          <w:lang w:val="uk-UA"/>
        </w:rPr>
        <w:t>to</w:t>
      </w:r>
      <w:r w:rsidRPr="003C6DAE">
        <w:rPr>
          <w:rFonts w:ascii="Arial MT"/>
          <w:spacing w:val="-1"/>
          <w:sz w:val="12"/>
          <w:lang w:val="uk-UA"/>
        </w:rPr>
        <w:t xml:space="preserve"> </w:t>
      </w:r>
      <w:r w:rsidRPr="003C6DAE">
        <w:rPr>
          <w:rFonts w:ascii="Arial MT"/>
          <w:spacing w:val="-2"/>
          <w:sz w:val="12"/>
          <w:lang w:val="uk-UA"/>
        </w:rPr>
        <w:t>90.4)</w:t>
      </w:r>
    </w:p>
    <w:p w14:paraId="2D0D27F7" w14:textId="77777777" w:rsidR="00E05B98" w:rsidRPr="003C6DAE" w:rsidRDefault="00B01E0C">
      <w:pPr>
        <w:spacing w:before="128"/>
        <w:ind w:left="616"/>
        <w:rPr>
          <w:rFonts w:ascii="Arial MT"/>
          <w:sz w:val="12"/>
          <w:lang w:val="uk-UA"/>
        </w:rPr>
      </w:pPr>
      <w:r w:rsidRPr="003C6DAE">
        <w:rPr>
          <w:rFonts w:ascii="Arial MT"/>
          <w:spacing w:val="-2"/>
          <w:sz w:val="12"/>
          <w:lang w:val="uk-UA"/>
        </w:rPr>
        <w:t>-10.2%</w:t>
      </w:r>
      <w:r w:rsidRPr="003C6DAE">
        <w:rPr>
          <w:rFonts w:ascii="Arial MT"/>
          <w:spacing w:val="-1"/>
          <w:sz w:val="12"/>
          <w:lang w:val="uk-UA"/>
        </w:rPr>
        <w:t xml:space="preserve"> </w:t>
      </w:r>
      <w:r w:rsidRPr="003C6DAE">
        <w:rPr>
          <w:rFonts w:ascii="Arial MT"/>
          <w:spacing w:val="-2"/>
          <w:sz w:val="12"/>
          <w:lang w:val="uk-UA"/>
        </w:rPr>
        <w:t>(-19.6</w:t>
      </w:r>
      <w:r w:rsidRPr="003C6DAE">
        <w:rPr>
          <w:rFonts w:ascii="Arial MT"/>
          <w:spacing w:val="-1"/>
          <w:sz w:val="12"/>
          <w:lang w:val="uk-UA"/>
        </w:rPr>
        <w:t xml:space="preserve"> </w:t>
      </w:r>
      <w:r w:rsidRPr="003C6DAE">
        <w:rPr>
          <w:rFonts w:ascii="Arial MT"/>
          <w:spacing w:val="-2"/>
          <w:sz w:val="12"/>
          <w:lang w:val="uk-UA"/>
        </w:rPr>
        <w:t>to</w:t>
      </w:r>
      <w:r w:rsidRPr="003C6DAE">
        <w:rPr>
          <w:rFonts w:ascii="Arial MT"/>
          <w:sz w:val="12"/>
          <w:lang w:val="uk-UA"/>
        </w:rPr>
        <w:t xml:space="preserve"> </w:t>
      </w:r>
      <w:r w:rsidRPr="003C6DAE">
        <w:rPr>
          <w:rFonts w:ascii="Arial MT"/>
          <w:spacing w:val="-2"/>
          <w:sz w:val="12"/>
          <w:lang w:val="uk-UA"/>
        </w:rPr>
        <w:t>-</w:t>
      </w:r>
      <w:r w:rsidRPr="003C6DAE">
        <w:rPr>
          <w:rFonts w:ascii="Arial MT"/>
          <w:spacing w:val="-4"/>
          <w:sz w:val="12"/>
          <w:lang w:val="uk-UA"/>
        </w:rPr>
        <w:t>4.9)</w:t>
      </w:r>
    </w:p>
    <w:p w14:paraId="6CC2EEF1" w14:textId="77777777" w:rsidR="00E05B98" w:rsidRPr="003C6DAE" w:rsidRDefault="00B01E0C">
      <w:pPr>
        <w:spacing w:before="128"/>
        <w:ind w:left="682"/>
        <w:rPr>
          <w:rFonts w:ascii="Arial MT"/>
          <w:sz w:val="12"/>
          <w:lang w:val="uk-UA"/>
        </w:rPr>
      </w:pPr>
      <w:r w:rsidRPr="003C6DAE">
        <w:rPr>
          <w:rFonts w:ascii="Arial MT"/>
          <w:spacing w:val="-2"/>
          <w:sz w:val="12"/>
          <w:lang w:val="uk-UA"/>
        </w:rPr>
        <w:t>-3.4% (-6.9</w:t>
      </w:r>
      <w:r w:rsidRPr="003C6DAE">
        <w:rPr>
          <w:rFonts w:ascii="Arial MT"/>
          <w:sz w:val="12"/>
          <w:lang w:val="uk-UA"/>
        </w:rPr>
        <w:t xml:space="preserve"> </w:t>
      </w:r>
      <w:r w:rsidRPr="003C6DAE">
        <w:rPr>
          <w:rFonts w:ascii="Arial MT"/>
          <w:spacing w:val="-2"/>
          <w:sz w:val="12"/>
          <w:lang w:val="uk-UA"/>
        </w:rPr>
        <w:t>to</w:t>
      </w:r>
      <w:r w:rsidRPr="003C6DAE">
        <w:rPr>
          <w:rFonts w:ascii="Arial MT"/>
          <w:sz w:val="12"/>
          <w:lang w:val="uk-UA"/>
        </w:rPr>
        <w:t xml:space="preserve"> </w:t>
      </w:r>
      <w:r w:rsidRPr="003C6DAE">
        <w:rPr>
          <w:rFonts w:ascii="Arial MT"/>
          <w:spacing w:val="-2"/>
          <w:sz w:val="12"/>
          <w:lang w:val="uk-UA"/>
        </w:rPr>
        <w:t>-</w:t>
      </w:r>
      <w:r w:rsidRPr="003C6DAE">
        <w:rPr>
          <w:rFonts w:ascii="Arial MT"/>
          <w:spacing w:val="-4"/>
          <w:sz w:val="12"/>
          <w:lang w:val="uk-UA"/>
        </w:rPr>
        <w:t>1.3)</w:t>
      </w:r>
    </w:p>
    <w:p w14:paraId="0D5586F2" w14:textId="77777777" w:rsidR="00E05B98" w:rsidRPr="003C6DAE" w:rsidRDefault="00E05B98">
      <w:pPr>
        <w:pStyle w:val="a3"/>
        <w:rPr>
          <w:rFonts w:ascii="Arial MT"/>
          <w:sz w:val="12"/>
          <w:lang w:val="uk-UA"/>
        </w:rPr>
      </w:pPr>
    </w:p>
    <w:p w14:paraId="25269AE7" w14:textId="77777777" w:rsidR="00E05B98" w:rsidRPr="001751A7" w:rsidRDefault="00E05B98">
      <w:pPr>
        <w:pStyle w:val="a3"/>
        <w:spacing w:before="118"/>
        <w:rPr>
          <w:rFonts w:ascii="Arial MT"/>
          <w:sz w:val="8"/>
          <w:szCs w:val="8"/>
          <w:lang w:val="uk-UA"/>
        </w:rPr>
      </w:pPr>
    </w:p>
    <w:p w14:paraId="77C515A9" w14:textId="77777777" w:rsidR="001751A7" w:rsidRDefault="001751A7">
      <w:pPr>
        <w:ind w:left="642"/>
        <w:rPr>
          <w:rFonts w:ascii="Arial MT"/>
          <w:spacing w:val="-2"/>
          <w:sz w:val="12"/>
          <w:lang w:val="uk-UA"/>
        </w:rPr>
      </w:pPr>
    </w:p>
    <w:p w14:paraId="5511511B" w14:textId="484E1D41" w:rsidR="00E05B98" w:rsidRPr="003C6DAE" w:rsidRDefault="00B01E0C">
      <w:pPr>
        <w:ind w:left="642"/>
        <w:rPr>
          <w:rFonts w:ascii="Arial MT"/>
          <w:sz w:val="12"/>
          <w:lang w:val="uk-UA"/>
        </w:rPr>
      </w:pPr>
      <w:r w:rsidRPr="003C6DAE">
        <w:rPr>
          <w:rFonts w:ascii="Arial MT"/>
          <w:noProof/>
          <w:sz w:val="12"/>
          <w:lang w:val="uk-UA"/>
        </w:rPr>
        <mc:AlternateContent>
          <mc:Choice Requires="wpg">
            <w:drawing>
              <wp:anchor distT="0" distB="0" distL="0" distR="0" simplePos="0" relativeHeight="16109056" behindDoc="0" locked="0" layoutInCell="1" allowOverlap="1" wp14:anchorId="193DC055" wp14:editId="6E2C4E9B">
                <wp:simplePos x="0" y="0"/>
                <wp:positionH relativeFrom="page">
                  <wp:posOffset>5596956</wp:posOffset>
                </wp:positionH>
                <wp:positionV relativeFrom="paragraph">
                  <wp:posOffset>14224</wp:posOffset>
                </wp:positionV>
                <wp:extent cx="201930" cy="710565"/>
                <wp:effectExtent l="0" t="0" r="0" b="0"/>
                <wp:wrapNone/>
                <wp:docPr id="2498"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 cy="710565"/>
                          <a:chOff x="0" y="0"/>
                          <a:chExt cx="201930" cy="710565"/>
                        </a:xfrm>
                      </wpg:grpSpPr>
                      <wps:wsp>
                        <wps:cNvPr id="2499" name="Graphic 2499"/>
                        <wps:cNvSpPr/>
                        <wps:spPr>
                          <a:xfrm>
                            <a:off x="43425" y="30657"/>
                            <a:ext cx="116205" cy="1270"/>
                          </a:xfrm>
                          <a:custGeom>
                            <a:avLst/>
                            <a:gdLst/>
                            <a:ahLst/>
                            <a:cxnLst/>
                            <a:rect l="l" t="t" r="r" b="b"/>
                            <a:pathLst>
                              <a:path w="116205">
                                <a:moveTo>
                                  <a:pt x="0" y="0"/>
                                </a:moveTo>
                                <a:lnTo>
                                  <a:pt x="116128" y="0"/>
                                </a:lnTo>
                              </a:path>
                            </a:pathLst>
                          </a:custGeom>
                          <a:ln w="7454">
                            <a:solidFill>
                              <a:srgbClr val="000000"/>
                            </a:solidFill>
                            <a:prstDash val="solid"/>
                          </a:ln>
                        </wps:spPr>
                        <wps:bodyPr wrap="square" lIns="0" tIns="0" rIns="0" bIns="0" rtlCol="0">
                          <a:prstTxWarp prst="textNoShape">
                            <a:avLst/>
                          </a:prstTxWarp>
                          <a:noAutofit/>
                        </wps:bodyPr>
                      </wps:wsp>
                      <wps:wsp>
                        <wps:cNvPr id="2500" name="Graphic 2500"/>
                        <wps:cNvSpPr/>
                        <wps:spPr>
                          <a:xfrm>
                            <a:off x="123838" y="199626"/>
                            <a:ext cx="64769" cy="1270"/>
                          </a:xfrm>
                          <a:custGeom>
                            <a:avLst/>
                            <a:gdLst/>
                            <a:ahLst/>
                            <a:cxnLst/>
                            <a:rect l="l" t="t" r="r" b="b"/>
                            <a:pathLst>
                              <a:path w="64769">
                                <a:moveTo>
                                  <a:pt x="0" y="0"/>
                                </a:moveTo>
                                <a:lnTo>
                                  <a:pt x="64389" y="0"/>
                                </a:lnTo>
                              </a:path>
                            </a:pathLst>
                          </a:custGeom>
                          <a:ln w="7454">
                            <a:solidFill>
                              <a:srgbClr val="000000"/>
                            </a:solidFill>
                            <a:prstDash val="solid"/>
                          </a:ln>
                        </wps:spPr>
                        <wps:bodyPr wrap="square" lIns="0" tIns="0" rIns="0" bIns="0" rtlCol="0">
                          <a:prstTxWarp prst="textNoShape">
                            <a:avLst/>
                          </a:prstTxWarp>
                          <a:noAutofit/>
                        </wps:bodyPr>
                      </wps:wsp>
                      <wps:wsp>
                        <wps:cNvPr id="2501" name="Graphic 2501"/>
                        <wps:cNvSpPr/>
                        <wps:spPr>
                          <a:xfrm>
                            <a:off x="0" y="368547"/>
                            <a:ext cx="134620" cy="1270"/>
                          </a:xfrm>
                          <a:custGeom>
                            <a:avLst/>
                            <a:gdLst/>
                            <a:ahLst/>
                            <a:cxnLst/>
                            <a:rect l="l" t="t" r="r" b="b"/>
                            <a:pathLst>
                              <a:path w="134620">
                                <a:moveTo>
                                  <a:pt x="0" y="0"/>
                                </a:moveTo>
                                <a:lnTo>
                                  <a:pt x="134277" y="0"/>
                                </a:lnTo>
                              </a:path>
                            </a:pathLst>
                          </a:custGeom>
                          <a:ln w="7454">
                            <a:solidFill>
                              <a:srgbClr val="000000"/>
                            </a:solidFill>
                            <a:prstDash val="solid"/>
                          </a:ln>
                        </wps:spPr>
                        <wps:bodyPr wrap="square" lIns="0" tIns="0" rIns="0" bIns="0" rtlCol="0">
                          <a:prstTxWarp prst="textNoShape">
                            <a:avLst/>
                          </a:prstTxWarp>
                          <a:noAutofit/>
                        </wps:bodyPr>
                      </wps:wsp>
                      <wps:wsp>
                        <wps:cNvPr id="2502" name="Graphic 2502"/>
                        <wps:cNvSpPr/>
                        <wps:spPr>
                          <a:xfrm>
                            <a:off x="57909" y="0"/>
                            <a:ext cx="144145" cy="399415"/>
                          </a:xfrm>
                          <a:custGeom>
                            <a:avLst/>
                            <a:gdLst/>
                            <a:ahLst/>
                            <a:cxnLst/>
                            <a:rect l="l" t="t" r="r" b="b"/>
                            <a:pathLst>
                              <a:path w="144145" h="399415">
                                <a:moveTo>
                                  <a:pt x="61302" y="368554"/>
                                </a:moveTo>
                                <a:lnTo>
                                  <a:pt x="30607" y="337959"/>
                                </a:lnTo>
                                <a:lnTo>
                                  <a:pt x="0" y="368554"/>
                                </a:lnTo>
                                <a:lnTo>
                                  <a:pt x="30607" y="399249"/>
                                </a:lnTo>
                                <a:lnTo>
                                  <a:pt x="61302" y="368554"/>
                                </a:lnTo>
                                <a:close/>
                              </a:path>
                              <a:path w="144145" h="399415">
                                <a:moveTo>
                                  <a:pt x="96837" y="30657"/>
                                </a:moveTo>
                                <a:lnTo>
                                  <a:pt x="66090" y="0"/>
                                </a:lnTo>
                                <a:lnTo>
                                  <a:pt x="35496" y="30657"/>
                                </a:lnTo>
                                <a:lnTo>
                                  <a:pt x="66090" y="61341"/>
                                </a:lnTo>
                                <a:lnTo>
                                  <a:pt x="96837" y="30657"/>
                                </a:lnTo>
                                <a:close/>
                              </a:path>
                              <a:path w="144145" h="399415">
                                <a:moveTo>
                                  <a:pt x="143738" y="199631"/>
                                </a:moveTo>
                                <a:lnTo>
                                  <a:pt x="113080" y="168935"/>
                                </a:lnTo>
                                <a:lnTo>
                                  <a:pt x="82397" y="199631"/>
                                </a:lnTo>
                                <a:lnTo>
                                  <a:pt x="113080" y="230327"/>
                                </a:lnTo>
                                <a:lnTo>
                                  <a:pt x="143738" y="199631"/>
                                </a:lnTo>
                                <a:close/>
                              </a:path>
                            </a:pathLst>
                          </a:custGeom>
                          <a:solidFill>
                            <a:srgbClr val="000000"/>
                          </a:solidFill>
                        </wps:spPr>
                        <wps:bodyPr wrap="square" lIns="0" tIns="0" rIns="0" bIns="0" rtlCol="0">
                          <a:prstTxWarp prst="textNoShape">
                            <a:avLst/>
                          </a:prstTxWarp>
                          <a:noAutofit/>
                        </wps:bodyPr>
                      </wps:wsp>
                      <wps:wsp>
                        <wps:cNvPr id="2503" name="Graphic 2503"/>
                        <wps:cNvSpPr/>
                        <wps:spPr>
                          <a:xfrm>
                            <a:off x="124009" y="30659"/>
                            <a:ext cx="1270" cy="676275"/>
                          </a:xfrm>
                          <a:custGeom>
                            <a:avLst/>
                            <a:gdLst/>
                            <a:ahLst/>
                            <a:cxnLst/>
                            <a:rect l="l" t="t" r="r" b="b"/>
                            <a:pathLst>
                              <a:path h="676275">
                                <a:moveTo>
                                  <a:pt x="0" y="675881"/>
                                </a:moveTo>
                                <a:lnTo>
                                  <a:pt x="0" y="0"/>
                                </a:lnTo>
                              </a:path>
                              <a:path h="676275">
                                <a:moveTo>
                                  <a:pt x="0" y="675881"/>
                                </a:moveTo>
                                <a:lnTo>
                                  <a:pt x="0" y="0"/>
                                </a:lnTo>
                              </a:path>
                              <a:path h="676275">
                                <a:moveTo>
                                  <a:pt x="0" y="675881"/>
                                </a:moveTo>
                                <a:lnTo>
                                  <a:pt x="0" y="0"/>
                                </a:lnTo>
                              </a:path>
                              <a:path h="676275">
                                <a:moveTo>
                                  <a:pt x="0" y="675881"/>
                                </a:moveTo>
                                <a:lnTo>
                                  <a:pt x="0" y="0"/>
                                </a:lnTo>
                              </a:path>
                              <a:path h="676275">
                                <a:moveTo>
                                  <a:pt x="0" y="675881"/>
                                </a:moveTo>
                                <a:lnTo>
                                  <a:pt x="0" y="0"/>
                                </a:lnTo>
                              </a:path>
                              <a:path h="676275">
                                <a:moveTo>
                                  <a:pt x="0" y="675881"/>
                                </a:moveTo>
                                <a:lnTo>
                                  <a:pt x="0" y="0"/>
                                </a:lnTo>
                              </a:path>
                              <a:path h="676275">
                                <a:moveTo>
                                  <a:pt x="0" y="675881"/>
                                </a:moveTo>
                                <a:lnTo>
                                  <a:pt x="0" y="0"/>
                                </a:lnTo>
                              </a:path>
                              <a:path h="676275">
                                <a:moveTo>
                                  <a:pt x="0" y="675881"/>
                                </a:moveTo>
                                <a:lnTo>
                                  <a:pt x="0" y="0"/>
                                </a:lnTo>
                              </a:path>
                              <a:path h="676275">
                                <a:moveTo>
                                  <a:pt x="0" y="675881"/>
                                </a:moveTo>
                                <a:lnTo>
                                  <a:pt x="0" y="0"/>
                                </a:lnTo>
                              </a:path>
                              <a:path h="676275">
                                <a:moveTo>
                                  <a:pt x="0" y="675881"/>
                                </a:moveTo>
                                <a:lnTo>
                                  <a:pt x="0" y="0"/>
                                </a:lnTo>
                              </a:path>
                              <a:path h="676275">
                                <a:moveTo>
                                  <a:pt x="0" y="675881"/>
                                </a:moveTo>
                                <a:lnTo>
                                  <a:pt x="0" y="0"/>
                                </a:lnTo>
                              </a:path>
                            </a:pathLst>
                          </a:custGeom>
                          <a:ln w="7454">
                            <a:solidFill>
                              <a:srgbClr val="000000"/>
                            </a:solidFill>
                            <a:prstDash val="solid"/>
                          </a:ln>
                        </wps:spPr>
                        <wps:bodyPr wrap="square" lIns="0" tIns="0" rIns="0" bIns="0" rtlCol="0">
                          <a:prstTxWarp prst="textNoShape">
                            <a:avLst/>
                          </a:prstTxWarp>
                          <a:noAutofit/>
                        </wps:bodyPr>
                      </wps:wsp>
                      <wps:wsp>
                        <wps:cNvPr id="2504" name="Graphic 2504"/>
                        <wps:cNvSpPr/>
                        <wps:spPr>
                          <a:xfrm>
                            <a:off x="88518" y="368542"/>
                            <a:ext cx="1270" cy="338455"/>
                          </a:xfrm>
                          <a:custGeom>
                            <a:avLst/>
                            <a:gdLst/>
                            <a:ahLst/>
                            <a:cxnLst/>
                            <a:rect l="l" t="t" r="r" b="b"/>
                            <a:pathLst>
                              <a:path h="338455">
                                <a:moveTo>
                                  <a:pt x="0" y="337997"/>
                                </a:moveTo>
                                <a:lnTo>
                                  <a:pt x="0" y="0"/>
                                </a:lnTo>
                              </a:path>
                              <a:path h="338455">
                                <a:moveTo>
                                  <a:pt x="0" y="337997"/>
                                </a:moveTo>
                                <a:lnTo>
                                  <a:pt x="0" y="0"/>
                                </a:lnTo>
                              </a:path>
                              <a:path h="338455">
                                <a:moveTo>
                                  <a:pt x="0" y="337997"/>
                                </a:moveTo>
                                <a:lnTo>
                                  <a:pt x="0" y="0"/>
                                </a:lnTo>
                              </a:path>
                              <a:path h="338455">
                                <a:moveTo>
                                  <a:pt x="0" y="337997"/>
                                </a:moveTo>
                                <a:lnTo>
                                  <a:pt x="0" y="0"/>
                                </a:lnTo>
                              </a:path>
                              <a:path h="338455">
                                <a:moveTo>
                                  <a:pt x="0" y="337997"/>
                                </a:moveTo>
                                <a:lnTo>
                                  <a:pt x="0" y="0"/>
                                </a:lnTo>
                              </a:path>
                              <a:path h="338455">
                                <a:moveTo>
                                  <a:pt x="0" y="337997"/>
                                </a:moveTo>
                                <a:lnTo>
                                  <a:pt x="0" y="0"/>
                                </a:lnTo>
                              </a:path>
                              <a:path h="338455">
                                <a:moveTo>
                                  <a:pt x="0" y="337997"/>
                                </a:moveTo>
                                <a:lnTo>
                                  <a:pt x="0" y="0"/>
                                </a:lnTo>
                              </a:path>
                              <a:path h="338455">
                                <a:moveTo>
                                  <a:pt x="0" y="337997"/>
                                </a:moveTo>
                                <a:lnTo>
                                  <a:pt x="0" y="0"/>
                                </a:lnTo>
                              </a:path>
                              <a:path h="338455">
                                <a:moveTo>
                                  <a:pt x="0" y="337997"/>
                                </a:moveTo>
                                <a:lnTo>
                                  <a:pt x="0" y="0"/>
                                </a:lnTo>
                              </a:path>
                              <a:path h="338455">
                                <a:moveTo>
                                  <a:pt x="0" y="337997"/>
                                </a:moveTo>
                                <a:lnTo>
                                  <a:pt x="0" y="0"/>
                                </a:lnTo>
                              </a:path>
                              <a:path h="338455">
                                <a:moveTo>
                                  <a:pt x="0" y="337997"/>
                                </a:moveTo>
                                <a:lnTo>
                                  <a:pt x="0" y="0"/>
                                </a:lnTo>
                              </a:path>
                            </a:pathLst>
                          </a:custGeom>
                          <a:ln w="7454">
                            <a:solidFill>
                              <a:srgbClr val="000000"/>
                            </a:solidFill>
                            <a:prstDash val="solid"/>
                          </a:ln>
                        </wps:spPr>
                        <wps:bodyPr wrap="square" lIns="0" tIns="0" rIns="0" bIns="0" rtlCol="0">
                          <a:prstTxWarp prst="textNoShape">
                            <a:avLst/>
                          </a:prstTxWarp>
                          <a:noAutofit/>
                        </wps:bodyPr>
                      </wps:wsp>
                      <wps:wsp>
                        <wps:cNvPr id="2505" name="Graphic 2505"/>
                        <wps:cNvSpPr/>
                        <wps:spPr>
                          <a:xfrm>
                            <a:off x="88525" y="706540"/>
                            <a:ext cx="35560" cy="1270"/>
                          </a:xfrm>
                          <a:custGeom>
                            <a:avLst/>
                            <a:gdLst/>
                            <a:ahLst/>
                            <a:cxnLst/>
                            <a:rect l="l" t="t" r="r" b="b"/>
                            <a:pathLst>
                              <a:path w="35560">
                                <a:moveTo>
                                  <a:pt x="35483" y="0"/>
                                </a:moveTo>
                                <a:lnTo>
                                  <a:pt x="0" y="0"/>
                                </a:lnTo>
                              </a:path>
                              <a:path w="35560">
                                <a:moveTo>
                                  <a:pt x="35483" y="0"/>
                                </a:moveTo>
                                <a:lnTo>
                                  <a:pt x="0" y="0"/>
                                </a:lnTo>
                              </a:path>
                              <a:path w="35560">
                                <a:moveTo>
                                  <a:pt x="35483" y="0"/>
                                </a:moveTo>
                                <a:lnTo>
                                  <a:pt x="0" y="0"/>
                                </a:lnTo>
                              </a:path>
                              <a:path w="35560">
                                <a:moveTo>
                                  <a:pt x="35483" y="0"/>
                                </a:moveTo>
                                <a:lnTo>
                                  <a:pt x="0" y="0"/>
                                </a:lnTo>
                              </a:path>
                              <a:path w="35560">
                                <a:moveTo>
                                  <a:pt x="35483" y="0"/>
                                </a:moveTo>
                                <a:lnTo>
                                  <a:pt x="0" y="0"/>
                                </a:lnTo>
                              </a:path>
                              <a:path w="35560">
                                <a:moveTo>
                                  <a:pt x="35483" y="0"/>
                                </a:moveTo>
                                <a:lnTo>
                                  <a:pt x="0" y="0"/>
                                </a:lnTo>
                              </a:path>
                              <a:path w="35560">
                                <a:moveTo>
                                  <a:pt x="35483" y="0"/>
                                </a:moveTo>
                                <a:lnTo>
                                  <a:pt x="0" y="0"/>
                                </a:lnTo>
                              </a:path>
                              <a:path w="35560">
                                <a:moveTo>
                                  <a:pt x="35483" y="0"/>
                                </a:moveTo>
                                <a:lnTo>
                                  <a:pt x="0" y="0"/>
                                </a:lnTo>
                              </a:path>
                              <a:path w="35560">
                                <a:moveTo>
                                  <a:pt x="35483" y="0"/>
                                </a:moveTo>
                                <a:lnTo>
                                  <a:pt x="0" y="0"/>
                                </a:lnTo>
                              </a:path>
                              <a:path w="35560">
                                <a:moveTo>
                                  <a:pt x="35483" y="0"/>
                                </a:moveTo>
                                <a:lnTo>
                                  <a:pt x="0" y="0"/>
                                </a:lnTo>
                              </a:path>
                              <a:path w="35560">
                                <a:moveTo>
                                  <a:pt x="35483" y="0"/>
                                </a:moveTo>
                                <a:lnTo>
                                  <a:pt x="0" y="0"/>
                                </a:lnTo>
                              </a:path>
                            </a:pathLst>
                          </a:custGeom>
                          <a:ln w="7454">
                            <a:solidFill>
                              <a:srgbClr val="000000"/>
                            </a:solidFill>
                            <a:prstDash val="solid"/>
                          </a:ln>
                        </wps:spPr>
                        <wps:bodyPr wrap="square" lIns="0" tIns="0" rIns="0" bIns="0" rtlCol="0">
                          <a:prstTxWarp prst="textNoShape">
                            <a:avLst/>
                          </a:prstTxWarp>
                          <a:noAutofit/>
                        </wps:bodyPr>
                      </wps:wsp>
                      <wps:wsp>
                        <wps:cNvPr id="2506" name="Graphic 2506"/>
                        <wps:cNvSpPr/>
                        <wps:spPr>
                          <a:xfrm>
                            <a:off x="168842" y="199626"/>
                            <a:ext cx="1270" cy="338455"/>
                          </a:xfrm>
                          <a:custGeom>
                            <a:avLst/>
                            <a:gdLst/>
                            <a:ahLst/>
                            <a:cxnLst/>
                            <a:rect l="l" t="t" r="r" b="b"/>
                            <a:pathLst>
                              <a:path h="338455">
                                <a:moveTo>
                                  <a:pt x="0" y="337947"/>
                                </a:moveTo>
                                <a:lnTo>
                                  <a:pt x="0" y="0"/>
                                </a:lnTo>
                              </a:path>
                              <a:path h="338455">
                                <a:moveTo>
                                  <a:pt x="0" y="337947"/>
                                </a:moveTo>
                                <a:lnTo>
                                  <a:pt x="0" y="0"/>
                                </a:lnTo>
                              </a:path>
                              <a:path h="338455">
                                <a:moveTo>
                                  <a:pt x="0" y="337947"/>
                                </a:moveTo>
                                <a:lnTo>
                                  <a:pt x="0" y="0"/>
                                </a:lnTo>
                              </a:path>
                              <a:path h="338455">
                                <a:moveTo>
                                  <a:pt x="0" y="337947"/>
                                </a:moveTo>
                                <a:lnTo>
                                  <a:pt x="0" y="0"/>
                                </a:lnTo>
                              </a:path>
                              <a:path h="338455">
                                <a:moveTo>
                                  <a:pt x="0" y="337947"/>
                                </a:moveTo>
                                <a:lnTo>
                                  <a:pt x="0" y="0"/>
                                </a:lnTo>
                              </a:path>
                              <a:path h="338455">
                                <a:moveTo>
                                  <a:pt x="0" y="337947"/>
                                </a:moveTo>
                                <a:lnTo>
                                  <a:pt x="0" y="0"/>
                                </a:lnTo>
                              </a:path>
                              <a:path h="338455">
                                <a:moveTo>
                                  <a:pt x="0" y="337947"/>
                                </a:moveTo>
                                <a:lnTo>
                                  <a:pt x="0" y="0"/>
                                </a:lnTo>
                              </a:path>
                              <a:path h="338455">
                                <a:moveTo>
                                  <a:pt x="0" y="337947"/>
                                </a:moveTo>
                                <a:lnTo>
                                  <a:pt x="0" y="0"/>
                                </a:lnTo>
                              </a:path>
                              <a:path h="338455">
                                <a:moveTo>
                                  <a:pt x="0" y="337947"/>
                                </a:moveTo>
                                <a:lnTo>
                                  <a:pt x="0" y="0"/>
                                </a:lnTo>
                              </a:path>
                              <a:path h="338455">
                                <a:moveTo>
                                  <a:pt x="0" y="337947"/>
                                </a:moveTo>
                                <a:lnTo>
                                  <a:pt x="0" y="0"/>
                                </a:lnTo>
                              </a:path>
                              <a:path h="338455">
                                <a:moveTo>
                                  <a:pt x="0" y="337947"/>
                                </a:moveTo>
                                <a:lnTo>
                                  <a:pt x="0" y="0"/>
                                </a:lnTo>
                              </a:path>
                            </a:pathLst>
                          </a:custGeom>
                          <a:ln w="7454">
                            <a:solidFill>
                              <a:srgbClr val="000000"/>
                            </a:solidFill>
                            <a:prstDash val="dot"/>
                          </a:ln>
                        </wps:spPr>
                        <wps:bodyPr wrap="square" lIns="0" tIns="0" rIns="0" bIns="0" rtlCol="0">
                          <a:prstTxWarp prst="textNoShape">
                            <a:avLst/>
                          </a:prstTxWarp>
                          <a:noAutofit/>
                        </wps:bodyPr>
                      </wps:wsp>
                      <wps:wsp>
                        <wps:cNvPr id="2507" name="Graphic 2507"/>
                        <wps:cNvSpPr/>
                        <wps:spPr>
                          <a:xfrm>
                            <a:off x="88518" y="537573"/>
                            <a:ext cx="82550" cy="1270"/>
                          </a:xfrm>
                          <a:custGeom>
                            <a:avLst/>
                            <a:gdLst/>
                            <a:ahLst/>
                            <a:cxnLst/>
                            <a:rect l="l" t="t" r="r" b="b"/>
                            <a:pathLst>
                              <a:path w="82550">
                                <a:moveTo>
                                  <a:pt x="0" y="0"/>
                                </a:moveTo>
                                <a:lnTo>
                                  <a:pt x="82473" y="0"/>
                                </a:lnTo>
                              </a:path>
                              <a:path w="82550">
                                <a:moveTo>
                                  <a:pt x="0" y="0"/>
                                </a:moveTo>
                                <a:lnTo>
                                  <a:pt x="82473" y="0"/>
                                </a:lnTo>
                              </a:path>
                              <a:path w="82550">
                                <a:moveTo>
                                  <a:pt x="0" y="0"/>
                                </a:moveTo>
                                <a:lnTo>
                                  <a:pt x="82473" y="0"/>
                                </a:lnTo>
                              </a:path>
                              <a:path w="82550">
                                <a:moveTo>
                                  <a:pt x="0" y="0"/>
                                </a:moveTo>
                                <a:lnTo>
                                  <a:pt x="82473" y="0"/>
                                </a:lnTo>
                              </a:path>
                              <a:path w="82550">
                                <a:moveTo>
                                  <a:pt x="0" y="0"/>
                                </a:moveTo>
                                <a:lnTo>
                                  <a:pt x="82473" y="0"/>
                                </a:lnTo>
                              </a:path>
                              <a:path w="82550">
                                <a:moveTo>
                                  <a:pt x="0" y="0"/>
                                </a:moveTo>
                                <a:lnTo>
                                  <a:pt x="82473" y="0"/>
                                </a:lnTo>
                              </a:path>
                              <a:path w="82550">
                                <a:moveTo>
                                  <a:pt x="0" y="0"/>
                                </a:moveTo>
                                <a:lnTo>
                                  <a:pt x="82473" y="0"/>
                                </a:lnTo>
                              </a:path>
                              <a:path w="82550">
                                <a:moveTo>
                                  <a:pt x="0" y="0"/>
                                </a:moveTo>
                                <a:lnTo>
                                  <a:pt x="82473" y="0"/>
                                </a:lnTo>
                              </a:path>
                              <a:path w="82550">
                                <a:moveTo>
                                  <a:pt x="0" y="0"/>
                                </a:moveTo>
                                <a:lnTo>
                                  <a:pt x="82473" y="0"/>
                                </a:lnTo>
                              </a:path>
                              <a:path w="82550">
                                <a:moveTo>
                                  <a:pt x="0" y="0"/>
                                </a:moveTo>
                                <a:lnTo>
                                  <a:pt x="82473" y="0"/>
                                </a:lnTo>
                              </a:path>
                              <a:path w="82550">
                                <a:moveTo>
                                  <a:pt x="0" y="0"/>
                                </a:moveTo>
                                <a:lnTo>
                                  <a:pt x="82473" y="0"/>
                                </a:lnTo>
                              </a:path>
                            </a:pathLst>
                          </a:custGeom>
                          <a:ln w="7454">
                            <a:solidFill>
                              <a:srgbClr val="000000"/>
                            </a:solidFill>
                            <a:prstDash val="dot"/>
                          </a:ln>
                        </wps:spPr>
                        <wps:bodyPr wrap="square" lIns="0" tIns="0" rIns="0" bIns="0" rtlCol="0">
                          <a:prstTxWarp prst="textNoShape">
                            <a:avLst/>
                          </a:prstTxWarp>
                          <a:noAutofit/>
                        </wps:bodyPr>
                      </wps:wsp>
                    </wpg:wgp>
                  </a:graphicData>
                </a:graphic>
              </wp:anchor>
            </w:drawing>
          </mc:Choice>
          <mc:Fallback>
            <w:pict>
              <v:group w14:anchorId="30391118" id="Group 2498" o:spid="_x0000_s1026" style="position:absolute;margin-left:440.7pt;margin-top:1.1pt;width:15.9pt;height:55.95pt;z-index:16109056;mso-wrap-distance-left:0;mso-wrap-distance-right:0;mso-position-horizontal-relative:page" coordsize="2019,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">
                <v:shape id="Graphic 2499" o:spid="_x0000_s1027" style="position:absolute;left:434;top:306;width:1162;height:13;visibility:visible;mso-wrap-style:square;v-text-anchor:top" coordsize="116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" path="m,l116128,e" filled="f" strokeweight=".20706mm">
                  <v:path arrowok="t"/>
                </v:shape>
                <v:shape id="Graphic 2500" o:spid="_x0000_s1028" style="position:absolute;left:1238;top:1996;width:648;height:12;visibility:visible;mso-wrap-style:square;v-text-anchor:top" coordsize="647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" path="m,l64389,e" filled="f" strokeweight=".20706mm">
                  <v:path arrowok="t"/>
                </v:shape>
                <v:shape id="Graphic 2501" o:spid="_x0000_s1029" style="position:absolute;top:3685;width:1346;height:13;visibility:visible;mso-wrap-style:square;v-text-anchor:top" coordsize="13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" path="m,l134277,e" filled="f" strokeweight=".20706mm">
                  <v:path arrowok="t"/>
                </v:shape>
                <v:shape id="Graphic 2502" o:spid="_x0000_s1030" style="position:absolute;left:579;width:1441;height:3994;visibility:visible;mso-wrap-style:square;v-text-anchor:top" coordsize="14414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" path="m61302,368554l30607,337959,,368554r30607,30695l61302,368554xem96837,30657l66090,,35496,30657,66090,61341,96837,30657xem143738,199631l113080,168935,82397,199631r30683,30696l143738,199631xe" fillcolor="black" stroked="f">
                  <v:path arrowok="t"/>
                </v:shape>
                <v:shape id="Graphic 2503" o:spid="_x0000_s1031" style="position:absolute;left:1240;top:306;width:12;height:6763;visibility:visible;mso-wrap-style:square;v-text-anchor:top" coordsize="127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" path="m,675881l,em,675881l,em,675881l,em,675881l,em,675881l,em,675881l,em,675881l,em,675881l,em,675881l,em,675881l,em,675881l,e" filled="f" strokeweight=".20706mm">
                  <v:path arrowok="t"/>
                </v:shape>
                <v:shape id="Graphic 2504" o:spid="_x0000_s1032" style="position:absolute;left:885;top:3685;width:12;height:3384;visibility:visible;mso-wrap-style:square;v-text-anchor:top" coordsize="127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" path="m,337997l,em,337997l,em,337997l,em,337997l,em,337997l,em,337997l,em,337997l,em,337997l,em,337997l,em,337997l,em,337997l,e" filled="f" strokeweight=".20706mm">
                  <v:path arrowok="t"/>
                </v:shape>
                <v:shape id="Graphic 2505" o:spid="_x0000_s1033" style="position:absolute;left:885;top:7065;width:355;height:13;visibility:visible;mso-wrap-style:square;v-text-anchor:top" coordsize="35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" path="m35483,l,em35483,l,em35483,l,em35483,l,em35483,l,em35483,l,em35483,l,em35483,l,em35483,l,em35483,l,em35483,l,e" filled="f" strokeweight=".20706mm">
                  <v:path arrowok="t"/>
                </v:shape>
                <v:shape id="Graphic 2506" o:spid="_x0000_s1034" style="position:absolute;left:1688;top:1996;width:13;height:3384;visibility:visible;mso-wrap-style:square;v-text-anchor:top" coordsize="127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" path="m,337947l,em,337947l,em,337947l,em,337947l,em,337947l,em,337947l,em,337947l,em,337947l,em,337947l,em,337947l,em,337947l,e" filled="f" strokeweight=".20706mm">
                  <v:stroke dashstyle="dot"/>
                  <v:path arrowok="t"/>
                </v:shape>
                <v:shape id="Graphic 2507" o:spid="_x0000_s1035" style="position:absolute;left:885;top:5375;width:825;height:13;visibility:visible;mso-wrap-style:square;v-text-anchor:top" coordsize="82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" path="m,l82473,em,l82473,em,l82473,em,l82473,em,l82473,em,l82473,em,l82473,em,l82473,em,l82473,em,l82473,em,l82473,e" filled="f" strokeweight=".20706mm">
                  <v:stroke dashstyle="dot"/>
                  <v:path arrowok="t"/>
                </v:shape>
                <w10:wrap anchorx="page"/>
              </v:group>
            </w:pict>
          </mc:Fallback>
        </mc:AlternateContent>
      </w:r>
      <w:r w:rsidRPr="003C6DAE">
        <w:rPr>
          <w:rFonts w:ascii="Arial MT"/>
          <w:spacing w:val="-2"/>
          <w:sz w:val="12"/>
          <w:lang w:val="uk-UA"/>
        </w:rPr>
        <w:t>88.7%</w:t>
      </w:r>
      <w:r w:rsidRPr="003C6DAE">
        <w:rPr>
          <w:rFonts w:ascii="Arial MT"/>
          <w:spacing w:val="-1"/>
          <w:sz w:val="12"/>
          <w:lang w:val="uk-UA"/>
        </w:rPr>
        <w:t xml:space="preserve"> </w:t>
      </w:r>
      <w:r w:rsidRPr="003C6DAE">
        <w:rPr>
          <w:rFonts w:ascii="Arial MT"/>
          <w:spacing w:val="-2"/>
          <w:sz w:val="12"/>
          <w:lang w:val="uk-UA"/>
        </w:rPr>
        <w:t>(76.4</w:t>
      </w:r>
      <w:r w:rsidRPr="003C6DAE">
        <w:rPr>
          <w:rFonts w:ascii="Arial MT"/>
          <w:spacing w:val="-1"/>
          <w:sz w:val="12"/>
          <w:lang w:val="uk-UA"/>
        </w:rPr>
        <w:t xml:space="preserve"> </w:t>
      </w:r>
      <w:r w:rsidRPr="003C6DAE">
        <w:rPr>
          <w:rFonts w:ascii="Arial MT"/>
          <w:spacing w:val="-2"/>
          <w:sz w:val="12"/>
          <w:lang w:val="uk-UA"/>
        </w:rPr>
        <w:t>to</w:t>
      </w:r>
      <w:r w:rsidRPr="003C6DAE">
        <w:rPr>
          <w:rFonts w:ascii="Arial MT"/>
          <w:spacing w:val="-1"/>
          <w:sz w:val="12"/>
          <w:lang w:val="uk-UA"/>
        </w:rPr>
        <w:t xml:space="preserve"> </w:t>
      </w:r>
      <w:r w:rsidRPr="003C6DAE">
        <w:rPr>
          <w:rFonts w:ascii="Arial MT"/>
          <w:spacing w:val="-2"/>
          <w:sz w:val="12"/>
          <w:lang w:val="uk-UA"/>
        </w:rPr>
        <w:t>94.1)</w:t>
      </w:r>
    </w:p>
    <w:p w14:paraId="146153B3" w14:textId="77777777" w:rsidR="00E05B98" w:rsidRPr="003C6DAE" w:rsidRDefault="00B01E0C">
      <w:pPr>
        <w:spacing w:before="128"/>
        <w:ind w:left="642"/>
        <w:rPr>
          <w:rFonts w:ascii="Arial MT"/>
          <w:sz w:val="12"/>
          <w:lang w:val="uk-UA"/>
        </w:rPr>
      </w:pPr>
      <w:r w:rsidRPr="003C6DAE">
        <w:rPr>
          <w:rFonts w:ascii="Arial MT"/>
          <w:spacing w:val="-2"/>
          <w:sz w:val="12"/>
          <w:lang w:val="uk-UA"/>
        </w:rPr>
        <w:t>95.5%</w:t>
      </w:r>
      <w:r w:rsidRPr="003C6DAE">
        <w:rPr>
          <w:rFonts w:ascii="Arial MT"/>
          <w:spacing w:val="-1"/>
          <w:sz w:val="12"/>
          <w:lang w:val="uk-UA"/>
        </w:rPr>
        <w:t xml:space="preserve"> </w:t>
      </w:r>
      <w:r w:rsidRPr="003C6DAE">
        <w:rPr>
          <w:rFonts w:ascii="Arial MT"/>
          <w:spacing w:val="-2"/>
          <w:sz w:val="12"/>
          <w:lang w:val="uk-UA"/>
        </w:rPr>
        <w:t>(88.6</w:t>
      </w:r>
      <w:r w:rsidRPr="003C6DAE">
        <w:rPr>
          <w:rFonts w:ascii="Arial MT"/>
          <w:spacing w:val="-1"/>
          <w:sz w:val="12"/>
          <w:lang w:val="uk-UA"/>
        </w:rPr>
        <w:t xml:space="preserve"> </w:t>
      </w:r>
      <w:r w:rsidRPr="003C6DAE">
        <w:rPr>
          <w:rFonts w:ascii="Arial MT"/>
          <w:spacing w:val="-2"/>
          <w:sz w:val="12"/>
          <w:lang w:val="uk-UA"/>
        </w:rPr>
        <w:t>to</w:t>
      </w:r>
      <w:r w:rsidRPr="003C6DAE">
        <w:rPr>
          <w:rFonts w:ascii="Arial MT"/>
          <w:spacing w:val="-1"/>
          <w:sz w:val="12"/>
          <w:lang w:val="uk-UA"/>
        </w:rPr>
        <w:t xml:space="preserve"> </w:t>
      </w:r>
      <w:r w:rsidRPr="003C6DAE">
        <w:rPr>
          <w:rFonts w:ascii="Arial MT"/>
          <w:spacing w:val="-2"/>
          <w:sz w:val="12"/>
          <w:lang w:val="uk-UA"/>
        </w:rPr>
        <w:t>98.4)</w:t>
      </w:r>
    </w:p>
    <w:p w14:paraId="74D4BA2A" w14:textId="77777777" w:rsidR="00E05B98" w:rsidRPr="003C6DAE" w:rsidRDefault="00B01E0C">
      <w:pPr>
        <w:spacing w:before="128"/>
        <w:ind w:left="642"/>
        <w:rPr>
          <w:rFonts w:ascii="Arial MT"/>
          <w:sz w:val="12"/>
          <w:lang w:val="uk-UA"/>
        </w:rPr>
      </w:pPr>
      <w:r w:rsidRPr="003C6DAE">
        <w:rPr>
          <w:rFonts w:ascii="Arial MT"/>
          <w:spacing w:val="-2"/>
          <w:sz w:val="12"/>
          <w:lang w:val="uk-UA"/>
        </w:rPr>
        <w:t>83.3%</w:t>
      </w:r>
      <w:r w:rsidRPr="003C6DAE">
        <w:rPr>
          <w:rFonts w:ascii="Arial MT"/>
          <w:spacing w:val="-1"/>
          <w:sz w:val="12"/>
          <w:lang w:val="uk-UA"/>
        </w:rPr>
        <w:t xml:space="preserve"> </w:t>
      </w:r>
      <w:r w:rsidRPr="003C6DAE">
        <w:rPr>
          <w:rFonts w:ascii="Arial MT"/>
          <w:spacing w:val="-2"/>
          <w:sz w:val="12"/>
          <w:lang w:val="uk-UA"/>
        </w:rPr>
        <w:t>(69.8</w:t>
      </w:r>
      <w:r w:rsidRPr="003C6DAE">
        <w:rPr>
          <w:rFonts w:ascii="Arial MT"/>
          <w:spacing w:val="-1"/>
          <w:sz w:val="12"/>
          <w:lang w:val="uk-UA"/>
        </w:rPr>
        <w:t xml:space="preserve"> </w:t>
      </w:r>
      <w:r w:rsidRPr="003C6DAE">
        <w:rPr>
          <w:rFonts w:ascii="Arial MT"/>
          <w:spacing w:val="-2"/>
          <w:sz w:val="12"/>
          <w:lang w:val="uk-UA"/>
        </w:rPr>
        <w:t>to</w:t>
      </w:r>
      <w:r w:rsidRPr="003C6DAE">
        <w:rPr>
          <w:rFonts w:ascii="Arial MT"/>
          <w:spacing w:val="-1"/>
          <w:sz w:val="12"/>
          <w:lang w:val="uk-UA"/>
        </w:rPr>
        <w:t xml:space="preserve"> </w:t>
      </w:r>
      <w:r w:rsidRPr="003C6DAE">
        <w:rPr>
          <w:rFonts w:ascii="Arial MT"/>
          <w:spacing w:val="-2"/>
          <w:sz w:val="12"/>
          <w:lang w:val="uk-UA"/>
        </w:rPr>
        <w:t>90.2)</w:t>
      </w:r>
    </w:p>
    <w:p w14:paraId="1FF6C9AE" w14:textId="77777777" w:rsidR="00E05B98" w:rsidRPr="003C6DAE" w:rsidRDefault="00B01E0C">
      <w:pPr>
        <w:spacing w:before="129"/>
        <w:ind w:left="616"/>
        <w:rPr>
          <w:rFonts w:ascii="Arial MT"/>
          <w:sz w:val="12"/>
          <w:lang w:val="uk-UA"/>
        </w:rPr>
      </w:pPr>
      <w:r w:rsidRPr="003C6DAE">
        <w:rPr>
          <w:rFonts w:ascii="Arial MT"/>
          <w:spacing w:val="-2"/>
          <w:sz w:val="12"/>
          <w:lang w:val="uk-UA"/>
        </w:rPr>
        <w:t>-10.1%</w:t>
      </w:r>
      <w:r w:rsidRPr="003C6DAE">
        <w:rPr>
          <w:rFonts w:ascii="Arial MT"/>
          <w:spacing w:val="-1"/>
          <w:sz w:val="12"/>
          <w:lang w:val="uk-UA"/>
        </w:rPr>
        <w:t xml:space="preserve"> </w:t>
      </w:r>
      <w:r w:rsidRPr="003C6DAE">
        <w:rPr>
          <w:rFonts w:ascii="Arial MT"/>
          <w:spacing w:val="-2"/>
          <w:sz w:val="12"/>
          <w:lang w:val="uk-UA"/>
        </w:rPr>
        <w:t>(-21.6</w:t>
      </w:r>
      <w:r w:rsidRPr="003C6DAE">
        <w:rPr>
          <w:rFonts w:ascii="Arial MT"/>
          <w:spacing w:val="-1"/>
          <w:sz w:val="12"/>
          <w:lang w:val="uk-UA"/>
        </w:rPr>
        <w:t xml:space="preserve"> </w:t>
      </w:r>
      <w:r w:rsidRPr="003C6DAE">
        <w:rPr>
          <w:rFonts w:ascii="Arial MT"/>
          <w:spacing w:val="-2"/>
          <w:sz w:val="12"/>
          <w:lang w:val="uk-UA"/>
        </w:rPr>
        <w:t>to</w:t>
      </w:r>
      <w:r w:rsidRPr="003C6DAE">
        <w:rPr>
          <w:rFonts w:ascii="Arial MT"/>
          <w:sz w:val="12"/>
          <w:lang w:val="uk-UA"/>
        </w:rPr>
        <w:t xml:space="preserve"> </w:t>
      </w:r>
      <w:r w:rsidRPr="003C6DAE">
        <w:rPr>
          <w:rFonts w:ascii="Arial MT"/>
          <w:spacing w:val="-2"/>
          <w:sz w:val="12"/>
          <w:lang w:val="uk-UA"/>
        </w:rPr>
        <w:t>-</w:t>
      </w:r>
      <w:r w:rsidRPr="003C6DAE">
        <w:rPr>
          <w:rFonts w:ascii="Arial MT"/>
          <w:spacing w:val="-4"/>
          <w:sz w:val="12"/>
          <w:lang w:val="uk-UA"/>
        </w:rPr>
        <w:t>4.9)</w:t>
      </w:r>
    </w:p>
    <w:p w14:paraId="59A3EBC1" w14:textId="77777777" w:rsidR="00E05B98" w:rsidRPr="003C6DAE" w:rsidRDefault="00B01E0C">
      <w:pPr>
        <w:spacing w:before="128"/>
        <w:ind w:left="682"/>
        <w:rPr>
          <w:rFonts w:ascii="Arial MT"/>
          <w:sz w:val="12"/>
          <w:lang w:val="uk-UA"/>
        </w:rPr>
      </w:pPr>
      <w:r w:rsidRPr="003C6DAE">
        <w:rPr>
          <w:rFonts w:ascii="Arial MT"/>
          <w:spacing w:val="-2"/>
          <w:sz w:val="12"/>
          <w:lang w:val="uk-UA"/>
        </w:rPr>
        <w:t>-3.5% (-8.8</w:t>
      </w:r>
      <w:r w:rsidRPr="003C6DAE">
        <w:rPr>
          <w:rFonts w:ascii="Arial MT"/>
          <w:sz w:val="12"/>
          <w:lang w:val="uk-UA"/>
        </w:rPr>
        <w:t xml:space="preserve"> </w:t>
      </w:r>
      <w:r w:rsidRPr="003C6DAE">
        <w:rPr>
          <w:rFonts w:ascii="Arial MT"/>
          <w:spacing w:val="-2"/>
          <w:sz w:val="12"/>
          <w:lang w:val="uk-UA"/>
        </w:rPr>
        <w:t>to</w:t>
      </w:r>
      <w:r w:rsidRPr="003C6DAE">
        <w:rPr>
          <w:rFonts w:ascii="Arial MT"/>
          <w:sz w:val="12"/>
          <w:lang w:val="uk-UA"/>
        </w:rPr>
        <w:t xml:space="preserve"> </w:t>
      </w:r>
      <w:r w:rsidRPr="003C6DAE">
        <w:rPr>
          <w:rFonts w:ascii="Arial MT"/>
          <w:spacing w:val="-2"/>
          <w:sz w:val="12"/>
          <w:lang w:val="uk-UA"/>
        </w:rPr>
        <w:t>-</w:t>
      </w:r>
      <w:r w:rsidRPr="003C6DAE">
        <w:rPr>
          <w:rFonts w:ascii="Arial MT"/>
          <w:spacing w:val="-4"/>
          <w:sz w:val="12"/>
          <w:lang w:val="uk-UA"/>
        </w:rPr>
        <w:t>1.1)</w:t>
      </w:r>
    </w:p>
    <w:p w14:paraId="00983943" w14:textId="77777777" w:rsidR="00E05B98" w:rsidRPr="003C6DAE" w:rsidRDefault="00E05B98">
      <w:pPr>
        <w:rPr>
          <w:rFonts w:ascii="Arial MT"/>
          <w:sz w:val="12"/>
          <w:lang w:val="uk-UA"/>
        </w:rPr>
        <w:sectPr w:rsidR="00E05B98" w:rsidRPr="003C6DAE">
          <w:type w:val="continuous"/>
          <w:pgSz w:w="11910" w:h="16840"/>
          <w:pgMar w:top="1920" w:right="1275" w:bottom="280" w:left="850" w:header="0" w:footer="573" w:gutter="0"/>
          <w:cols w:num="6" w:space="720" w:equalWidth="0">
            <w:col w:w="880" w:space="40"/>
            <w:col w:w="1716" w:space="39"/>
            <w:col w:w="311" w:space="39"/>
            <w:col w:w="909" w:space="1180"/>
            <w:col w:w="1730" w:space="970"/>
            <w:col w:w="1971"/>
          </w:cols>
        </w:sectPr>
      </w:pPr>
    </w:p>
    <w:p w14:paraId="6AD97343" w14:textId="77777777" w:rsidR="00E05B98" w:rsidRPr="003C6DAE" w:rsidRDefault="00E05B98">
      <w:pPr>
        <w:pStyle w:val="a3"/>
        <w:spacing w:before="7"/>
        <w:rPr>
          <w:rFonts w:ascii="Arial MT"/>
          <w:sz w:val="11"/>
          <w:lang w:val="uk-UA"/>
        </w:rPr>
      </w:pPr>
    </w:p>
    <w:p w14:paraId="3327CCD3" w14:textId="77777777" w:rsidR="00E05B98" w:rsidRPr="003C6DAE" w:rsidRDefault="00E05B98">
      <w:pPr>
        <w:pStyle w:val="a3"/>
        <w:rPr>
          <w:rFonts w:ascii="Arial MT"/>
          <w:sz w:val="11"/>
          <w:lang w:val="uk-UA"/>
        </w:rPr>
        <w:sectPr w:rsidR="00E05B98" w:rsidRPr="003C6DAE">
          <w:type w:val="continuous"/>
          <w:pgSz w:w="11910" w:h="16840"/>
          <w:pgMar w:top="1920" w:right="1275" w:bottom="280" w:left="850" w:header="0" w:footer="573" w:gutter="0"/>
          <w:cols w:space="720"/>
        </w:sectPr>
      </w:pPr>
    </w:p>
    <w:p w14:paraId="18E986DB" w14:textId="77777777" w:rsidR="00E05B98" w:rsidRPr="003C6DAE" w:rsidRDefault="00B01E0C">
      <w:pPr>
        <w:spacing w:before="103"/>
        <w:jc w:val="right"/>
        <w:rPr>
          <w:rFonts w:ascii="Arial MT"/>
          <w:sz w:val="9"/>
          <w:lang w:val="uk-UA"/>
        </w:rPr>
      </w:pPr>
      <w:r w:rsidRPr="003C6DAE">
        <w:rPr>
          <w:rFonts w:ascii="Arial MT"/>
          <w:noProof/>
          <w:sz w:val="9"/>
          <w:lang w:val="uk-UA"/>
        </w:rPr>
        <mc:AlternateContent>
          <mc:Choice Requires="wpg">
            <w:drawing>
              <wp:anchor distT="0" distB="0" distL="0" distR="0" simplePos="0" relativeHeight="16108032" behindDoc="0" locked="0" layoutInCell="1" allowOverlap="1" wp14:anchorId="62A9BF6D" wp14:editId="7824A40F">
                <wp:simplePos x="0" y="0"/>
                <wp:positionH relativeFrom="page">
                  <wp:posOffset>3370629</wp:posOffset>
                </wp:positionH>
                <wp:positionV relativeFrom="paragraph">
                  <wp:posOffset>-1986455</wp:posOffset>
                </wp:positionV>
                <wp:extent cx="727075" cy="2047239"/>
                <wp:effectExtent l="0" t="0" r="0" b="0"/>
                <wp:wrapNone/>
                <wp:docPr id="2508" name="Group 2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2047239"/>
                          <a:chOff x="0" y="0"/>
                          <a:chExt cx="727075" cy="2047239"/>
                        </a:xfrm>
                      </wpg:grpSpPr>
                      <wps:wsp>
                        <wps:cNvPr id="2509" name="Graphic 2509"/>
                        <wps:cNvSpPr/>
                        <wps:spPr>
                          <a:xfrm>
                            <a:off x="3727" y="0"/>
                            <a:ext cx="723265" cy="2027555"/>
                          </a:xfrm>
                          <a:custGeom>
                            <a:avLst/>
                            <a:gdLst/>
                            <a:ahLst/>
                            <a:cxnLst/>
                            <a:rect l="l" t="t" r="r" b="b"/>
                            <a:pathLst>
                              <a:path w="723265" h="2027555">
                                <a:moveTo>
                                  <a:pt x="0" y="2027555"/>
                                </a:moveTo>
                                <a:lnTo>
                                  <a:pt x="0" y="0"/>
                                </a:lnTo>
                              </a:path>
                              <a:path w="723265" h="2027555">
                                <a:moveTo>
                                  <a:pt x="0" y="2027555"/>
                                </a:moveTo>
                                <a:lnTo>
                                  <a:pt x="723011" y="2027555"/>
                                </a:lnTo>
                              </a:path>
                            </a:pathLst>
                          </a:custGeom>
                          <a:ln w="7454">
                            <a:solidFill>
                              <a:srgbClr val="000000"/>
                            </a:solidFill>
                            <a:prstDash val="solid"/>
                          </a:ln>
                        </wps:spPr>
                        <wps:bodyPr wrap="square" lIns="0" tIns="0" rIns="0" bIns="0" rtlCol="0">
                          <a:prstTxWarp prst="textNoShape">
                            <a:avLst/>
                          </a:prstTxWarp>
                          <a:noAutofit/>
                        </wps:bodyPr>
                      </wps:wsp>
                      <wps:wsp>
                        <wps:cNvPr id="2510" name="Graphic 2510"/>
                        <wps:cNvSpPr/>
                        <wps:spPr>
                          <a:xfrm>
                            <a:off x="36578" y="2027556"/>
                            <a:ext cx="1270" cy="19685"/>
                          </a:xfrm>
                          <a:custGeom>
                            <a:avLst/>
                            <a:gdLst/>
                            <a:ahLst/>
                            <a:cxnLst/>
                            <a:rect l="l" t="t" r="r" b="b"/>
                            <a:pathLst>
                              <a:path h="19685">
                                <a:moveTo>
                                  <a:pt x="0" y="19062"/>
                                </a:moveTo>
                                <a:lnTo>
                                  <a:pt x="0" y="0"/>
                                </a:lnTo>
                              </a:path>
                            </a:pathLst>
                          </a:custGeom>
                          <a:ln w="7454">
                            <a:solidFill>
                              <a:srgbClr val="333333"/>
                            </a:solidFill>
                            <a:prstDash val="solid"/>
                          </a:ln>
                        </wps:spPr>
                        <wps:bodyPr wrap="square" lIns="0" tIns="0" rIns="0" bIns="0" rtlCol="0">
                          <a:prstTxWarp prst="textNoShape">
                            <a:avLst/>
                          </a:prstTxWarp>
                          <a:noAutofit/>
                        </wps:bodyPr>
                      </wps:wsp>
                      <wps:wsp>
                        <wps:cNvPr id="2511" name="Graphic 2511"/>
                        <wps:cNvSpPr/>
                        <wps:spPr>
                          <a:xfrm>
                            <a:off x="200924" y="2027556"/>
                            <a:ext cx="1270" cy="19685"/>
                          </a:xfrm>
                          <a:custGeom>
                            <a:avLst/>
                            <a:gdLst/>
                            <a:ahLst/>
                            <a:cxnLst/>
                            <a:rect l="l" t="t" r="r" b="b"/>
                            <a:pathLst>
                              <a:path h="19685">
                                <a:moveTo>
                                  <a:pt x="0" y="19062"/>
                                </a:moveTo>
                                <a:lnTo>
                                  <a:pt x="0" y="0"/>
                                </a:lnTo>
                              </a:path>
                            </a:pathLst>
                          </a:custGeom>
                          <a:ln w="7454">
                            <a:solidFill>
                              <a:srgbClr val="333333"/>
                            </a:solidFill>
                            <a:prstDash val="solid"/>
                          </a:ln>
                        </wps:spPr>
                        <wps:bodyPr wrap="square" lIns="0" tIns="0" rIns="0" bIns="0" rtlCol="0">
                          <a:prstTxWarp prst="textNoShape">
                            <a:avLst/>
                          </a:prstTxWarp>
                          <a:noAutofit/>
                        </wps:bodyPr>
                      </wps:wsp>
                      <wps:wsp>
                        <wps:cNvPr id="2512" name="Graphic 2512"/>
                        <wps:cNvSpPr/>
                        <wps:spPr>
                          <a:xfrm>
                            <a:off x="365189" y="2027556"/>
                            <a:ext cx="1270" cy="19685"/>
                          </a:xfrm>
                          <a:custGeom>
                            <a:avLst/>
                            <a:gdLst/>
                            <a:ahLst/>
                            <a:cxnLst/>
                            <a:rect l="l" t="t" r="r" b="b"/>
                            <a:pathLst>
                              <a:path h="19685">
                                <a:moveTo>
                                  <a:pt x="0" y="19062"/>
                                </a:moveTo>
                                <a:lnTo>
                                  <a:pt x="0" y="0"/>
                                </a:lnTo>
                              </a:path>
                            </a:pathLst>
                          </a:custGeom>
                          <a:ln w="7454">
                            <a:solidFill>
                              <a:srgbClr val="333333"/>
                            </a:solidFill>
                            <a:prstDash val="solid"/>
                          </a:ln>
                        </wps:spPr>
                        <wps:bodyPr wrap="square" lIns="0" tIns="0" rIns="0" bIns="0" rtlCol="0">
                          <a:prstTxWarp prst="textNoShape">
                            <a:avLst/>
                          </a:prstTxWarp>
                          <a:noAutofit/>
                        </wps:bodyPr>
                      </wps:wsp>
                      <wps:wsp>
                        <wps:cNvPr id="2513" name="Graphic 2513"/>
                        <wps:cNvSpPr/>
                        <wps:spPr>
                          <a:xfrm>
                            <a:off x="529535" y="2027556"/>
                            <a:ext cx="1270" cy="19685"/>
                          </a:xfrm>
                          <a:custGeom>
                            <a:avLst/>
                            <a:gdLst/>
                            <a:ahLst/>
                            <a:cxnLst/>
                            <a:rect l="l" t="t" r="r" b="b"/>
                            <a:pathLst>
                              <a:path h="19685">
                                <a:moveTo>
                                  <a:pt x="0" y="19062"/>
                                </a:moveTo>
                                <a:lnTo>
                                  <a:pt x="0" y="0"/>
                                </a:lnTo>
                              </a:path>
                            </a:pathLst>
                          </a:custGeom>
                          <a:ln w="7454">
                            <a:solidFill>
                              <a:srgbClr val="333333"/>
                            </a:solidFill>
                            <a:prstDash val="solid"/>
                          </a:ln>
                        </wps:spPr>
                        <wps:bodyPr wrap="square" lIns="0" tIns="0" rIns="0" bIns="0" rtlCol="0">
                          <a:prstTxWarp prst="textNoShape">
                            <a:avLst/>
                          </a:prstTxWarp>
                          <a:noAutofit/>
                        </wps:bodyPr>
                      </wps:wsp>
                      <wps:wsp>
                        <wps:cNvPr id="2514" name="Graphic 2514"/>
                        <wps:cNvSpPr/>
                        <wps:spPr>
                          <a:xfrm>
                            <a:off x="693880" y="2027556"/>
                            <a:ext cx="1270" cy="19685"/>
                          </a:xfrm>
                          <a:custGeom>
                            <a:avLst/>
                            <a:gdLst/>
                            <a:ahLst/>
                            <a:cxnLst/>
                            <a:rect l="l" t="t" r="r" b="b"/>
                            <a:pathLst>
                              <a:path h="19685">
                                <a:moveTo>
                                  <a:pt x="0" y="19062"/>
                                </a:moveTo>
                                <a:lnTo>
                                  <a:pt x="0" y="0"/>
                                </a:lnTo>
                              </a:path>
                            </a:pathLst>
                          </a:custGeom>
                          <a:ln w="7454">
                            <a:solidFill>
                              <a:srgbClr val="333333"/>
                            </a:solidFill>
                            <a:prstDash val="solid"/>
                          </a:ln>
                        </wps:spPr>
                        <wps:bodyPr wrap="square" lIns="0" tIns="0" rIns="0" bIns="0" rtlCol="0">
                          <a:prstTxWarp prst="textNoShape">
                            <a:avLst/>
                          </a:prstTxWarp>
                          <a:noAutofit/>
                        </wps:bodyPr>
                      </wps:wsp>
                    </wpg:wgp>
                  </a:graphicData>
                </a:graphic>
              </wp:anchor>
            </w:drawing>
          </mc:Choice>
          <mc:Fallback>
            <w:pict>
              <v:group w14:anchorId="7DB1C188" id="Group 2508" o:spid="_x0000_s1026" style="position:absolute;margin-left:265.4pt;margin-top:-156.4pt;width:57.25pt;height:161.2pt;z-index:16108032;mso-wrap-distance-left:0;mso-wrap-distance-right:0;mso-position-horizontal-relative:page" coordsize="7270,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">
                <v:shape id="Graphic 2509" o:spid="_x0000_s1027" style="position:absolute;left:37;width:7232;height:20275;visibility:visible;mso-wrap-style:square;v-text-anchor:top" coordsize="723265,202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" path="m,2027555l,em,2027555r723011,e" filled="f" strokeweight=".20706mm">
                  <v:path arrowok="t"/>
                </v:shape>
                <v:shape id="Graphic 2510" o:spid="_x0000_s1028" style="position:absolute;left:365;top:20275;width:13;height:197;visibility:visible;mso-wrap-style:square;v-text-anchor:top" coordsize="12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" path="m,19062l,e" filled="f" strokecolor="#333" strokeweight=".20706mm">
                  <v:path arrowok="t"/>
                </v:shape>
                <v:shape id="Graphic 2511" o:spid="_x0000_s1029" style="position:absolute;left:2009;top:20275;width:12;height:197;visibility:visible;mso-wrap-style:square;v-text-anchor:top" coordsize="12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" path="m,19062l,e" filled="f" strokecolor="#333" strokeweight=".20706mm">
                  <v:path arrowok="t"/>
                </v:shape>
                <v:shape id="Graphic 2512" o:spid="_x0000_s1030" style="position:absolute;left:3651;top:20275;width:13;height:197;visibility:visible;mso-wrap-style:square;v-text-anchor:top" coordsize="12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" path="m,19062l,e" filled="f" strokecolor="#333" strokeweight=".20706mm">
                  <v:path arrowok="t"/>
                </v:shape>
                <v:shape id="Graphic 2513" o:spid="_x0000_s1031" style="position:absolute;left:5295;top:20275;width:13;height:197;visibility:visible;mso-wrap-style:square;v-text-anchor:top" coordsize="12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" path="m,19062l,e" filled="f" strokecolor="#333" strokeweight=".20706mm">
                  <v:path arrowok="t"/>
                </v:shape>
                <v:shape id="Graphic 2514" o:spid="_x0000_s1032" style="position:absolute;left:6938;top:20275;width:13;height:197;visibility:visible;mso-wrap-style:square;v-text-anchor:top" coordsize="12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" path="m,19062l,e" filled="f" strokecolor="#333" strokeweight=".20706mm">
                  <v:path arrowok="t"/>
                </v:shape>
                <w10:wrap anchorx="page"/>
              </v:group>
            </w:pict>
          </mc:Fallback>
        </mc:AlternateContent>
      </w:r>
      <w:r w:rsidRPr="003C6DAE">
        <w:rPr>
          <w:rFonts w:ascii="Arial MT"/>
          <w:noProof/>
          <w:sz w:val="9"/>
          <w:lang w:val="uk-UA"/>
        </w:rPr>
        <mc:AlternateContent>
          <mc:Choice Requires="wpg">
            <w:drawing>
              <wp:anchor distT="0" distB="0" distL="0" distR="0" simplePos="0" relativeHeight="16109568" behindDoc="0" locked="0" layoutInCell="1" allowOverlap="1" wp14:anchorId="1759FD90" wp14:editId="34D09156">
                <wp:simplePos x="0" y="0"/>
                <wp:positionH relativeFrom="page">
                  <wp:posOffset>5101690</wp:posOffset>
                </wp:positionH>
                <wp:positionV relativeFrom="paragraph">
                  <wp:posOffset>-1986455</wp:posOffset>
                </wp:positionV>
                <wp:extent cx="727075" cy="2047239"/>
                <wp:effectExtent l="0" t="0" r="0" b="0"/>
                <wp:wrapNone/>
                <wp:docPr id="2515" name="Group 2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2047239"/>
                          <a:chOff x="0" y="0"/>
                          <a:chExt cx="727075" cy="2047239"/>
                        </a:xfrm>
                      </wpg:grpSpPr>
                      <wps:wsp>
                        <wps:cNvPr id="2516" name="Graphic 2516"/>
                        <wps:cNvSpPr/>
                        <wps:spPr>
                          <a:xfrm>
                            <a:off x="3727" y="0"/>
                            <a:ext cx="723265" cy="2027555"/>
                          </a:xfrm>
                          <a:custGeom>
                            <a:avLst/>
                            <a:gdLst/>
                            <a:ahLst/>
                            <a:cxnLst/>
                            <a:rect l="l" t="t" r="r" b="b"/>
                            <a:pathLst>
                              <a:path w="723265" h="2027555">
                                <a:moveTo>
                                  <a:pt x="0" y="2027555"/>
                                </a:moveTo>
                                <a:lnTo>
                                  <a:pt x="0" y="0"/>
                                </a:lnTo>
                              </a:path>
                              <a:path w="723265" h="2027555">
                                <a:moveTo>
                                  <a:pt x="0" y="2027555"/>
                                </a:moveTo>
                                <a:lnTo>
                                  <a:pt x="722960" y="2027555"/>
                                </a:lnTo>
                              </a:path>
                            </a:pathLst>
                          </a:custGeom>
                          <a:ln w="7454">
                            <a:solidFill>
                              <a:srgbClr val="000000"/>
                            </a:solidFill>
                            <a:prstDash val="solid"/>
                          </a:ln>
                        </wps:spPr>
                        <wps:bodyPr wrap="square" lIns="0" tIns="0" rIns="0" bIns="0" rtlCol="0">
                          <a:prstTxWarp prst="textNoShape">
                            <a:avLst/>
                          </a:prstTxWarp>
                          <a:noAutofit/>
                        </wps:bodyPr>
                      </wps:wsp>
                      <wps:wsp>
                        <wps:cNvPr id="2517" name="Graphic 2517"/>
                        <wps:cNvSpPr/>
                        <wps:spPr>
                          <a:xfrm>
                            <a:off x="36578" y="2027556"/>
                            <a:ext cx="1270" cy="19685"/>
                          </a:xfrm>
                          <a:custGeom>
                            <a:avLst/>
                            <a:gdLst/>
                            <a:ahLst/>
                            <a:cxnLst/>
                            <a:rect l="l" t="t" r="r" b="b"/>
                            <a:pathLst>
                              <a:path h="19685">
                                <a:moveTo>
                                  <a:pt x="0" y="19062"/>
                                </a:moveTo>
                                <a:lnTo>
                                  <a:pt x="0" y="0"/>
                                </a:lnTo>
                              </a:path>
                            </a:pathLst>
                          </a:custGeom>
                          <a:ln w="7454">
                            <a:solidFill>
                              <a:srgbClr val="333333"/>
                            </a:solidFill>
                            <a:prstDash val="solid"/>
                          </a:ln>
                        </wps:spPr>
                        <wps:bodyPr wrap="square" lIns="0" tIns="0" rIns="0" bIns="0" rtlCol="0">
                          <a:prstTxWarp prst="textNoShape">
                            <a:avLst/>
                          </a:prstTxWarp>
                          <a:noAutofit/>
                        </wps:bodyPr>
                      </wps:wsp>
                      <wps:wsp>
                        <wps:cNvPr id="2518" name="Graphic 2518"/>
                        <wps:cNvSpPr/>
                        <wps:spPr>
                          <a:xfrm>
                            <a:off x="200924" y="2027556"/>
                            <a:ext cx="1270" cy="19685"/>
                          </a:xfrm>
                          <a:custGeom>
                            <a:avLst/>
                            <a:gdLst/>
                            <a:ahLst/>
                            <a:cxnLst/>
                            <a:rect l="l" t="t" r="r" b="b"/>
                            <a:pathLst>
                              <a:path h="19685">
                                <a:moveTo>
                                  <a:pt x="0" y="19062"/>
                                </a:moveTo>
                                <a:lnTo>
                                  <a:pt x="0" y="0"/>
                                </a:lnTo>
                              </a:path>
                            </a:pathLst>
                          </a:custGeom>
                          <a:ln w="7454">
                            <a:solidFill>
                              <a:srgbClr val="333333"/>
                            </a:solidFill>
                            <a:prstDash val="solid"/>
                          </a:ln>
                        </wps:spPr>
                        <wps:bodyPr wrap="square" lIns="0" tIns="0" rIns="0" bIns="0" rtlCol="0">
                          <a:prstTxWarp prst="textNoShape">
                            <a:avLst/>
                          </a:prstTxWarp>
                          <a:noAutofit/>
                        </wps:bodyPr>
                      </wps:wsp>
                      <wps:wsp>
                        <wps:cNvPr id="2519" name="Graphic 2519"/>
                        <wps:cNvSpPr/>
                        <wps:spPr>
                          <a:xfrm>
                            <a:off x="365225" y="2027556"/>
                            <a:ext cx="1270" cy="19685"/>
                          </a:xfrm>
                          <a:custGeom>
                            <a:avLst/>
                            <a:gdLst/>
                            <a:ahLst/>
                            <a:cxnLst/>
                            <a:rect l="l" t="t" r="r" b="b"/>
                            <a:pathLst>
                              <a:path h="19685">
                                <a:moveTo>
                                  <a:pt x="0" y="19062"/>
                                </a:moveTo>
                                <a:lnTo>
                                  <a:pt x="0" y="0"/>
                                </a:lnTo>
                              </a:path>
                            </a:pathLst>
                          </a:custGeom>
                          <a:ln w="7454">
                            <a:solidFill>
                              <a:srgbClr val="333333"/>
                            </a:solidFill>
                            <a:prstDash val="solid"/>
                          </a:ln>
                        </wps:spPr>
                        <wps:bodyPr wrap="square" lIns="0" tIns="0" rIns="0" bIns="0" rtlCol="0">
                          <a:prstTxWarp prst="textNoShape">
                            <a:avLst/>
                          </a:prstTxWarp>
                          <a:noAutofit/>
                        </wps:bodyPr>
                      </wps:wsp>
                      <wps:wsp>
                        <wps:cNvPr id="2520" name="Graphic 2520"/>
                        <wps:cNvSpPr/>
                        <wps:spPr>
                          <a:xfrm>
                            <a:off x="529570" y="2027556"/>
                            <a:ext cx="1270" cy="19685"/>
                          </a:xfrm>
                          <a:custGeom>
                            <a:avLst/>
                            <a:gdLst/>
                            <a:ahLst/>
                            <a:cxnLst/>
                            <a:rect l="l" t="t" r="r" b="b"/>
                            <a:pathLst>
                              <a:path h="19685">
                                <a:moveTo>
                                  <a:pt x="0" y="19062"/>
                                </a:moveTo>
                                <a:lnTo>
                                  <a:pt x="0" y="0"/>
                                </a:lnTo>
                              </a:path>
                            </a:pathLst>
                          </a:custGeom>
                          <a:ln w="7454">
                            <a:solidFill>
                              <a:srgbClr val="333333"/>
                            </a:solidFill>
                            <a:prstDash val="solid"/>
                          </a:ln>
                        </wps:spPr>
                        <wps:bodyPr wrap="square" lIns="0" tIns="0" rIns="0" bIns="0" rtlCol="0">
                          <a:prstTxWarp prst="textNoShape">
                            <a:avLst/>
                          </a:prstTxWarp>
                          <a:noAutofit/>
                        </wps:bodyPr>
                      </wps:wsp>
                      <wps:wsp>
                        <wps:cNvPr id="2521" name="Graphic 2521"/>
                        <wps:cNvSpPr/>
                        <wps:spPr>
                          <a:xfrm>
                            <a:off x="693837" y="2027556"/>
                            <a:ext cx="1270" cy="19685"/>
                          </a:xfrm>
                          <a:custGeom>
                            <a:avLst/>
                            <a:gdLst/>
                            <a:ahLst/>
                            <a:cxnLst/>
                            <a:rect l="l" t="t" r="r" b="b"/>
                            <a:pathLst>
                              <a:path h="19685">
                                <a:moveTo>
                                  <a:pt x="0" y="19062"/>
                                </a:moveTo>
                                <a:lnTo>
                                  <a:pt x="0" y="0"/>
                                </a:lnTo>
                              </a:path>
                            </a:pathLst>
                          </a:custGeom>
                          <a:ln w="7454">
                            <a:solidFill>
                              <a:srgbClr val="333333"/>
                            </a:solidFill>
                            <a:prstDash val="solid"/>
                          </a:ln>
                        </wps:spPr>
                        <wps:bodyPr wrap="square" lIns="0" tIns="0" rIns="0" bIns="0" rtlCol="0">
                          <a:prstTxWarp prst="textNoShape">
                            <a:avLst/>
                          </a:prstTxWarp>
                          <a:noAutofit/>
                        </wps:bodyPr>
                      </wps:wsp>
                    </wpg:wgp>
                  </a:graphicData>
                </a:graphic>
              </wp:anchor>
            </w:drawing>
          </mc:Choice>
          <mc:Fallback>
            <w:pict>
              <v:group w14:anchorId="6BAC548A" id="Group 2515" o:spid="_x0000_s1026" style="position:absolute;margin-left:401.7pt;margin-top:-156.4pt;width:57.25pt;height:161.2pt;z-index:16109568;mso-wrap-distance-left:0;mso-wrap-distance-right:0;mso-position-horizontal-relative:page" coordsize="7270,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">
                <v:shape id="Graphic 2516" o:spid="_x0000_s1027" style="position:absolute;left:37;width:7232;height:20275;visibility:visible;mso-wrap-style:square;v-text-anchor:top" coordsize="723265,202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" path="m,2027555l,em,2027555r722960,e" filled="f" strokeweight=".20706mm">
                  <v:path arrowok="t"/>
                </v:shape>
                <v:shape id="Graphic 2517" o:spid="_x0000_s1028" style="position:absolute;left:365;top:20275;width:13;height:197;visibility:visible;mso-wrap-style:square;v-text-anchor:top" coordsize="12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" path="m,19062l,e" filled="f" strokecolor="#333" strokeweight=".20706mm">
                  <v:path arrowok="t"/>
                </v:shape>
                <v:shape id="Graphic 2518" o:spid="_x0000_s1029" style="position:absolute;left:2009;top:20275;width:12;height:197;visibility:visible;mso-wrap-style:square;v-text-anchor:top" coordsize="12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" path="m,19062l,e" filled="f" strokecolor="#333" strokeweight=".20706mm">
                  <v:path arrowok="t"/>
                </v:shape>
                <v:shape id="Graphic 2519" o:spid="_x0000_s1030" style="position:absolute;left:3652;top:20275;width:12;height:197;visibility:visible;mso-wrap-style:square;v-text-anchor:top" coordsize="12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" path="m,19062l,e" filled="f" strokecolor="#333" strokeweight=".20706mm">
                  <v:path arrowok="t"/>
                </v:shape>
                <v:shape id="Graphic 2520" o:spid="_x0000_s1031" style="position:absolute;left:5295;top:20275;width:13;height:197;visibility:visible;mso-wrap-style:square;v-text-anchor:top" coordsize="12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" path="m,19062l,e" filled="f" strokecolor="#333" strokeweight=".20706mm">
                  <v:path arrowok="t"/>
                </v:shape>
                <v:shape id="Graphic 2521" o:spid="_x0000_s1032" style="position:absolute;left:6938;top:20275;width:13;height:197;visibility:visible;mso-wrap-style:square;v-text-anchor:top" coordsize="12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" path="m,19062l,e" filled="f" strokecolor="#333" strokeweight=".20706mm">
                  <v:path arrowok="t"/>
                </v:shape>
                <w10:wrap anchorx="page"/>
              </v:group>
            </w:pict>
          </mc:Fallback>
        </mc:AlternateContent>
      </w:r>
      <w:r w:rsidRPr="003C6DAE">
        <w:rPr>
          <w:rFonts w:ascii="Arial MT"/>
          <w:color w:val="4D4D4D"/>
          <w:w w:val="105"/>
          <w:sz w:val="9"/>
          <w:lang w:val="uk-UA"/>
        </w:rPr>
        <w:t>0.00</w:t>
      </w:r>
      <w:r w:rsidRPr="003C6DAE">
        <w:rPr>
          <w:rFonts w:ascii="Arial MT"/>
          <w:color w:val="4D4D4D"/>
          <w:spacing w:val="45"/>
          <w:w w:val="105"/>
          <w:sz w:val="9"/>
          <w:lang w:val="uk-UA"/>
        </w:rPr>
        <w:t xml:space="preserve"> </w:t>
      </w:r>
      <w:r w:rsidRPr="003C6DAE">
        <w:rPr>
          <w:rFonts w:ascii="Arial MT"/>
          <w:color w:val="4D4D4D"/>
          <w:w w:val="105"/>
          <w:sz w:val="9"/>
          <w:lang w:val="uk-UA"/>
        </w:rPr>
        <w:t>0.25</w:t>
      </w:r>
      <w:r w:rsidRPr="003C6DAE">
        <w:rPr>
          <w:rFonts w:ascii="Arial MT"/>
          <w:color w:val="4D4D4D"/>
          <w:spacing w:val="44"/>
          <w:w w:val="105"/>
          <w:sz w:val="9"/>
          <w:lang w:val="uk-UA"/>
        </w:rPr>
        <w:t xml:space="preserve"> </w:t>
      </w:r>
      <w:r w:rsidRPr="003C6DAE">
        <w:rPr>
          <w:rFonts w:ascii="Arial MT"/>
          <w:color w:val="4D4D4D"/>
          <w:w w:val="105"/>
          <w:sz w:val="9"/>
          <w:lang w:val="uk-UA"/>
        </w:rPr>
        <w:t>0.50</w:t>
      </w:r>
      <w:r w:rsidRPr="003C6DAE">
        <w:rPr>
          <w:rFonts w:ascii="Arial MT"/>
          <w:color w:val="4D4D4D"/>
          <w:spacing w:val="45"/>
          <w:w w:val="105"/>
          <w:sz w:val="9"/>
          <w:lang w:val="uk-UA"/>
        </w:rPr>
        <w:t xml:space="preserve"> </w:t>
      </w:r>
      <w:r w:rsidRPr="003C6DAE">
        <w:rPr>
          <w:rFonts w:ascii="Arial MT"/>
          <w:color w:val="4D4D4D"/>
          <w:w w:val="105"/>
          <w:sz w:val="9"/>
          <w:lang w:val="uk-UA"/>
        </w:rPr>
        <w:t>0.75</w:t>
      </w:r>
      <w:r w:rsidRPr="003C6DAE">
        <w:rPr>
          <w:rFonts w:ascii="Arial MT"/>
          <w:color w:val="4D4D4D"/>
          <w:spacing w:val="46"/>
          <w:w w:val="105"/>
          <w:sz w:val="9"/>
          <w:lang w:val="uk-UA"/>
        </w:rPr>
        <w:t xml:space="preserve"> </w:t>
      </w:r>
      <w:r w:rsidRPr="003C6DAE">
        <w:rPr>
          <w:rFonts w:ascii="Arial MT"/>
          <w:color w:val="4D4D4D"/>
          <w:spacing w:val="-4"/>
          <w:w w:val="105"/>
          <w:sz w:val="9"/>
          <w:lang w:val="uk-UA"/>
        </w:rPr>
        <w:t>1.00</w:t>
      </w:r>
    </w:p>
    <w:p w14:paraId="51E74EFB" w14:textId="0A51F07D" w:rsidR="00E05B98" w:rsidRPr="003C6DAE" w:rsidRDefault="00B27122">
      <w:pPr>
        <w:spacing w:before="4"/>
        <w:ind w:right="279"/>
        <w:jc w:val="right"/>
        <w:rPr>
          <w:rFonts w:ascii="Arial"/>
          <w:b/>
          <w:sz w:val="13"/>
          <w:lang w:val="uk-UA"/>
        </w:rPr>
      </w:pPr>
      <w:r>
        <w:rPr>
          <w:rFonts w:ascii="Arial"/>
          <w:b/>
          <w:spacing w:val="-2"/>
          <w:sz w:val="13"/>
          <w:lang w:val="uk-UA"/>
        </w:rPr>
        <w:t>Чутливість</w:t>
      </w:r>
      <w:r>
        <w:rPr>
          <w:rFonts w:ascii="Arial"/>
          <w:b/>
          <w:spacing w:val="-2"/>
          <w:sz w:val="13"/>
          <w:lang w:val="uk-UA"/>
        </w:rPr>
        <w:tab/>
      </w:r>
    </w:p>
    <w:p w14:paraId="664B0937" w14:textId="77777777" w:rsidR="00B27122" w:rsidRDefault="00B27122" w:rsidP="00B27122">
      <w:pPr>
        <w:rPr>
          <w:rFonts w:asciiTheme="minorHAnsi" w:hAnsiTheme="minorHAnsi"/>
          <w:sz w:val="12"/>
          <w:lang w:val="uk-UA"/>
        </w:rPr>
      </w:pPr>
    </w:p>
    <w:p w14:paraId="31CDE1B4" w14:textId="77777777" w:rsidR="00E05B98" w:rsidRPr="003C6DAE" w:rsidRDefault="00B01E0C">
      <w:pPr>
        <w:spacing w:before="103"/>
        <w:ind w:left="1463"/>
        <w:rPr>
          <w:rFonts w:ascii="Arial MT"/>
          <w:sz w:val="9"/>
          <w:lang w:val="uk-UA"/>
        </w:rPr>
      </w:pPr>
      <w:r w:rsidRPr="003C6DAE">
        <w:rPr>
          <w:lang w:val="uk-UA"/>
        </w:rPr>
        <w:br w:type="column"/>
      </w:r>
      <w:r w:rsidRPr="003C6DAE">
        <w:rPr>
          <w:rFonts w:ascii="Arial MT"/>
          <w:color w:val="4D4D4D"/>
          <w:w w:val="105"/>
          <w:sz w:val="9"/>
          <w:lang w:val="uk-UA"/>
        </w:rPr>
        <w:t>0.00</w:t>
      </w:r>
      <w:r w:rsidRPr="003C6DAE">
        <w:rPr>
          <w:rFonts w:ascii="Arial MT"/>
          <w:color w:val="4D4D4D"/>
          <w:spacing w:val="45"/>
          <w:w w:val="105"/>
          <w:sz w:val="9"/>
          <w:lang w:val="uk-UA"/>
        </w:rPr>
        <w:t xml:space="preserve"> </w:t>
      </w:r>
      <w:r w:rsidRPr="003C6DAE">
        <w:rPr>
          <w:rFonts w:ascii="Arial MT"/>
          <w:color w:val="4D4D4D"/>
          <w:w w:val="105"/>
          <w:sz w:val="9"/>
          <w:lang w:val="uk-UA"/>
        </w:rPr>
        <w:t>0.25</w:t>
      </w:r>
      <w:r w:rsidRPr="003C6DAE">
        <w:rPr>
          <w:rFonts w:ascii="Arial MT"/>
          <w:color w:val="4D4D4D"/>
          <w:spacing w:val="45"/>
          <w:w w:val="105"/>
          <w:sz w:val="9"/>
          <w:lang w:val="uk-UA"/>
        </w:rPr>
        <w:t xml:space="preserve"> </w:t>
      </w:r>
      <w:r w:rsidRPr="003C6DAE">
        <w:rPr>
          <w:rFonts w:ascii="Arial MT"/>
          <w:color w:val="4D4D4D"/>
          <w:w w:val="105"/>
          <w:sz w:val="9"/>
          <w:lang w:val="uk-UA"/>
        </w:rPr>
        <w:t>0.50</w:t>
      </w:r>
      <w:r w:rsidRPr="003C6DAE">
        <w:rPr>
          <w:rFonts w:ascii="Arial MT"/>
          <w:color w:val="4D4D4D"/>
          <w:spacing w:val="45"/>
          <w:w w:val="105"/>
          <w:sz w:val="9"/>
          <w:lang w:val="uk-UA"/>
        </w:rPr>
        <w:t xml:space="preserve"> </w:t>
      </w:r>
      <w:r w:rsidRPr="003C6DAE">
        <w:rPr>
          <w:rFonts w:ascii="Arial MT"/>
          <w:color w:val="4D4D4D"/>
          <w:w w:val="105"/>
          <w:sz w:val="9"/>
          <w:lang w:val="uk-UA"/>
        </w:rPr>
        <w:t>0.75</w:t>
      </w:r>
      <w:r w:rsidRPr="003C6DAE">
        <w:rPr>
          <w:rFonts w:ascii="Arial MT"/>
          <w:color w:val="4D4D4D"/>
          <w:spacing w:val="45"/>
          <w:w w:val="105"/>
          <w:sz w:val="9"/>
          <w:lang w:val="uk-UA"/>
        </w:rPr>
        <w:t xml:space="preserve"> </w:t>
      </w:r>
      <w:r w:rsidRPr="003C6DAE">
        <w:rPr>
          <w:rFonts w:ascii="Arial MT"/>
          <w:color w:val="4D4D4D"/>
          <w:spacing w:val="-4"/>
          <w:w w:val="105"/>
          <w:sz w:val="9"/>
          <w:lang w:val="uk-UA"/>
        </w:rPr>
        <w:t>1.00</w:t>
      </w:r>
    </w:p>
    <w:p w14:paraId="42588D28" w14:textId="0EE4ABE6" w:rsidR="00E05B98" w:rsidRPr="003C6DAE" w:rsidRDefault="00B27122">
      <w:pPr>
        <w:spacing w:before="4"/>
        <w:ind w:left="54"/>
        <w:jc w:val="center"/>
        <w:rPr>
          <w:rFonts w:ascii="Arial"/>
          <w:b/>
          <w:sz w:val="13"/>
          <w:lang w:val="uk-UA"/>
        </w:rPr>
      </w:pPr>
      <w:r>
        <w:rPr>
          <w:rFonts w:ascii="Arial"/>
          <w:b/>
          <w:spacing w:val="-2"/>
          <w:sz w:val="13"/>
          <w:lang w:val="uk-UA"/>
        </w:rPr>
        <w:t>Специфічність</w:t>
      </w:r>
    </w:p>
    <w:p w14:paraId="5A2C1E68" w14:textId="77777777" w:rsidR="00E05B98" w:rsidRPr="003C6DAE" w:rsidRDefault="00E05B98">
      <w:pPr>
        <w:jc w:val="center"/>
        <w:rPr>
          <w:rFonts w:ascii="Arial"/>
          <w:b/>
          <w:sz w:val="13"/>
          <w:lang w:val="uk-UA"/>
        </w:rPr>
        <w:sectPr w:rsidR="00E05B98" w:rsidRPr="003C6DAE">
          <w:type w:val="continuous"/>
          <w:pgSz w:w="11910" w:h="16840"/>
          <w:pgMar w:top="1920" w:right="1275" w:bottom="280" w:left="850" w:header="0" w:footer="573" w:gutter="0"/>
          <w:cols w:num="2" w:space="720" w:equalWidth="0">
            <w:col w:w="5644" w:space="40"/>
            <w:col w:w="4101"/>
          </w:cols>
        </w:sectPr>
      </w:pPr>
    </w:p>
    <w:p w14:paraId="785C006C" w14:textId="1E4CFA50" w:rsidR="009D173D" w:rsidRPr="00A04E69" w:rsidRDefault="009D173D" w:rsidP="009D173D">
      <w:pPr>
        <w:spacing w:before="57"/>
        <w:ind w:left="567" w:right="142"/>
        <w:jc w:val="both"/>
        <w:rPr>
          <w:sz w:val="15"/>
          <w:szCs w:val="15"/>
          <w:lang w:val="uk-UA"/>
        </w:rPr>
      </w:pPr>
      <w:r w:rsidRPr="00A04E69">
        <w:rPr>
          <w:sz w:val="15"/>
          <w:szCs w:val="15"/>
          <w:lang w:val="uk-UA"/>
        </w:rPr>
        <w:t xml:space="preserve">CrI: </w:t>
      </w:r>
      <w:r w:rsidR="00A04E69" w:rsidRPr="00A04E69">
        <w:rPr>
          <w:sz w:val="15"/>
          <w:szCs w:val="15"/>
          <w:lang w:val="uk-UA"/>
        </w:rPr>
        <w:t xml:space="preserve">інтервал </w:t>
      </w:r>
      <w:r w:rsidRPr="00A04E69">
        <w:rPr>
          <w:sz w:val="15"/>
          <w:szCs w:val="15"/>
          <w:lang w:val="uk-UA"/>
        </w:rPr>
        <w:t>достовірн</w:t>
      </w:r>
      <w:r w:rsidR="00A04E69" w:rsidRPr="00A04E69">
        <w:rPr>
          <w:sz w:val="15"/>
          <w:szCs w:val="15"/>
          <w:lang w:val="uk-UA"/>
        </w:rPr>
        <w:t>ості</w:t>
      </w:r>
      <w:r w:rsidRPr="00A04E69">
        <w:rPr>
          <w:sz w:val="15"/>
          <w:szCs w:val="15"/>
          <w:lang w:val="uk-UA"/>
        </w:rPr>
        <w:t>; CRS: композитний еталонний стандарт; аТАНК-НС: автоматизований тест</w:t>
      </w:r>
      <w:r w:rsidR="00A04E69" w:rsidRPr="00A04E69">
        <w:rPr>
          <w:sz w:val="15"/>
          <w:szCs w:val="15"/>
          <w:lang w:val="uk-UA"/>
        </w:rPr>
        <w:t xml:space="preserve"> </w:t>
      </w:r>
      <w:r w:rsidRPr="00A04E69">
        <w:rPr>
          <w:sz w:val="15"/>
          <w:szCs w:val="15"/>
          <w:lang w:val="uk-UA"/>
        </w:rPr>
        <w:t>ампліфікаці</w:t>
      </w:r>
      <w:r w:rsidR="00A04E69" w:rsidRPr="00A04E69">
        <w:rPr>
          <w:sz w:val="15"/>
          <w:szCs w:val="15"/>
          <w:lang w:val="uk-UA"/>
        </w:rPr>
        <w:t>ї</w:t>
      </w:r>
      <w:r w:rsidRPr="00A04E69">
        <w:rPr>
          <w:sz w:val="15"/>
          <w:szCs w:val="15"/>
          <w:lang w:val="uk-UA"/>
        </w:rPr>
        <w:t xml:space="preserve"> нуклеїнових кислот низької складності; LF-LAM: ліпоарабіноманнановий аналіз бокового зсуву на зразку сечі; MRS: мікробіологічний еталонний стандарт; T</w:t>
      </w:r>
      <w:r w:rsidR="00A04E69" w:rsidRPr="00A04E69">
        <w:rPr>
          <w:sz w:val="15"/>
          <w:szCs w:val="15"/>
          <w:lang w:val="uk-UA"/>
        </w:rPr>
        <w:t>Б</w:t>
      </w:r>
      <w:r w:rsidRPr="00A04E69">
        <w:rPr>
          <w:sz w:val="15"/>
          <w:szCs w:val="15"/>
          <w:lang w:val="uk-UA"/>
        </w:rPr>
        <w:t>: туберкульоз.</w:t>
      </w:r>
    </w:p>
    <w:p w14:paraId="47072295" w14:textId="77777777" w:rsidR="00A04E69" w:rsidRPr="00A04E69" w:rsidRDefault="00A04E69" w:rsidP="009D173D">
      <w:pPr>
        <w:spacing w:before="57"/>
        <w:ind w:left="567" w:right="142"/>
        <w:jc w:val="both"/>
        <w:rPr>
          <w:sz w:val="6"/>
          <w:szCs w:val="6"/>
          <w:lang w:val="uk-UA"/>
        </w:rPr>
      </w:pPr>
    </w:p>
    <w:p w14:paraId="09C74DBE" w14:textId="5551FC06" w:rsidR="00E05B98" w:rsidRPr="003C6DAE" w:rsidRDefault="009D173D" w:rsidP="009D173D">
      <w:pPr>
        <w:spacing w:before="57"/>
        <w:ind w:left="567" w:right="142"/>
        <w:jc w:val="both"/>
        <w:rPr>
          <w:sz w:val="18"/>
          <w:lang w:val="uk-UA"/>
        </w:rPr>
      </w:pPr>
      <w:r w:rsidRPr="00A04E69">
        <w:rPr>
          <w:sz w:val="16"/>
          <w:szCs w:val="16"/>
          <w:vertAlign w:val="superscript"/>
          <w:lang w:val="uk-UA"/>
        </w:rPr>
        <w:t>a</w:t>
      </w:r>
      <w:r w:rsidRPr="009D173D">
        <w:rPr>
          <w:sz w:val="16"/>
          <w:szCs w:val="16"/>
          <w:lang w:val="uk-UA"/>
        </w:rPr>
        <w:t xml:space="preserve"> Ромбами представлено об'єднану чутливість і специфічність, а чорною горизонтальною лінією - 95%-вий </w:t>
      </w:r>
      <w:r w:rsidR="00A04E69">
        <w:rPr>
          <w:sz w:val="16"/>
          <w:szCs w:val="16"/>
          <w:lang w:val="uk-UA"/>
        </w:rPr>
        <w:t xml:space="preserve">інтервал </w:t>
      </w:r>
      <w:r w:rsidRPr="009D173D">
        <w:rPr>
          <w:sz w:val="16"/>
          <w:szCs w:val="16"/>
          <w:lang w:val="uk-UA"/>
        </w:rPr>
        <w:t>достовірн</w:t>
      </w:r>
      <w:r w:rsidR="00A04E69">
        <w:rPr>
          <w:sz w:val="16"/>
          <w:szCs w:val="16"/>
          <w:lang w:val="uk-UA"/>
        </w:rPr>
        <w:t>ості</w:t>
      </w:r>
      <w:r w:rsidRPr="009D173D">
        <w:rPr>
          <w:sz w:val="16"/>
          <w:szCs w:val="16"/>
          <w:lang w:val="uk-UA"/>
        </w:rPr>
        <w:t>. Різниця в точності між індексними тестами позначена суцільними лініями (одночасне дослідження на противагу аналізу калу) або пунктирними лініями (одночасне дослідження на противагу дослідженню зраз</w:t>
      </w:r>
      <w:r w:rsidR="00A04E69">
        <w:rPr>
          <w:sz w:val="16"/>
          <w:szCs w:val="16"/>
          <w:lang w:val="uk-UA"/>
        </w:rPr>
        <w:t>ку</w:t>
      </w:r>
      <w:r w:rsidRPr="009D173D">
        <w:rPr>
          <w:sz w:val="16"/>
          <w:szCs w:val="16"/>
          <w:lang w:val="uk-UA"/>
        </w:rPr>
        <w:t xml:space="preserve"> із дихальних шляхів), що з'єднують ромби</w:t>
      </w:r>
      <w:r w:rsidR="00B01E0C" w:rsidRPr="003C6DAE">
        <w:rPr>
          <w:sz w:val="18"/>
          <w:lang w:val="uk-UA"/>
        </w:rPr>
        <w:t>.</w:t>
      </w:r>
    </w:p>
    <w:p w14:paraId="3DFE189D" w14:textId="77777777" w:rsidR="00E05B98" w:rsidRPr="003C6DAE" w:rsidRDefault="00E05B98">
      <w:pPr>
        <w:pStyle w:val="a3"/>
        <w:spacing w:before="164"/>
        <w:rPr>
          <w:sz w:val="18"/>
          <w:lang w:val="uk-UA"/>
        </w:rPr>
      </w:pPr>
    </w:p>
    <w:p w14:paraId="5803076A" w14:textId="135E1341" w:rsidR="00E05B98" w:rsidRPr="00821945" w:rsidRDefault="009D173D">
      <w:pPr>
        <w:pStyle w:val="5"/>
        <w:jc w:val="both"/>
        <w:rPr>
          <w:sz w:val="26"/>
          <w:szCs w:val="26"/>
          <w:lang w:val="uk-UA"/>
        </w:rPr>
      </w:pPr>
      <w:r>
        <w:rPr>
          <w:color w:val="019648"/>
          <w:w w:val="105"/>
          <w:sz w:val="26"/>
          <w:szCs w:val="26"/>
          <w:lang w:val="uk-UA"/>
        </w:rPr>
        <w:t xml:space="preserve">Аналіз ефективності </w:t>
      </w:r>
      <w:r w:rsidR="00634275">
        <w:rPr>
          <w:color w:val="019648"/>
          <w:w w:val="105"/>
          <w:sz w:val="26"/>
          <w:szCs w:val="26"/>
          <w:lang w:val="uk-UA"/>
        </w:rPr>
        <w:t>ви</w:t>
      </w:r>
      <w:r>
        <w:rPr>
          <w:color w:val="019648"/>
          <w:w w:val="105"/>
          <w:sz w:val="26"/>
          <w:szCs w:val="26"/>
          <w:lang w:val="uk-UA"/>
        </w:rPr>
        <w:t>трат</w:t>
      </w:r>
    </w:p>
    <w:p w14:paraId="0740592F" w14:textId="01A6B11D" w:rsidR="00E05B98" w:rsidRDefault="009D173D" w:rsidP="009D173D">
      <w:pPr>
        <w:pStyle w:val="a3"/>
        <w:spacing w:before="219" w:line="269" w:lineRule="auto"/>
        <w:ind w:left="567" w:right="136"/>
        <w:jc w:val="both"/>
        <w:rPr>
          <w:sz w:val="20"/>
          <w:szCs w:val="20"/>
          <w:lang w:val="uk-UA"/>
        </w:rPr>
      </w:pPr>
      <w:r w:rsidRPr="009D173D">
        <w:rPr>
          <w:sz w:val="20"/>
          <w:szCs w:val="20"/>
          <w:lang w:val="uk-UA"/>
        </w:rPr>
        <w:t>На додаток до економічних даних стосовно одночасного використання тестів у людей, які живуть з ВІЛ, та дітей (див. Розділи 2.3.1 та 2.3.2), ВООЗ замовила проведення третього дослідження, яке мало на меті оцінити економічну ефективність використання тестів аТАНК-НС (включаючи Xpert Ultra, Truenat та інші нові аТАНК-НС, що перебувають на стадії розробки) для виявлення ТБ при одночасному застосуванні серед дітей, які живуть з ВІЛ, у двох різних країнах (</w:t>
      </w:r>
      <w:r w:rsidR="00A04E69">
        <w:rPr>
          <w:sz w:val="20"/>
          <w:szCs w:val="20"/>
          <w:lang w:val="uk-UA"/>
        </w:rPr>
        <w:t xml:space="preserve">у </w:t>
      </w:r>
      <w:r w:rsidRPr="009D173D">
        <w:rPr>
          <w:sz w:val="20"/>
          <w:szCs w:val="20"/>
          <w:lang w:val="uk-UA"/>
        </w:rPr>
        <w:t>Малаві та на Філіппінах).</w:t>
      </w:r>
    </w:p>
    <w:p w14:paraId="5E6FEA42" w14:textId="77777777" w:rsidR="009D173D" w:rsidRPr="00821945" w:rsidRDefault="009D173D" w:rsidP="009D173D">
      <w:pPr>
        <w:pStyle w:val="a3"/>
        <w:spacing w:before="219" w:line="269" w:lineRule="auto"/>
        <w:ind w:left="567" w:right="136"/>
        <w:jc w:val="both"/>
        <w:rPr>
          <w:sz w:val="20"/>
          <w:szCs w:val="20"/>
          <w:lang w:val="uk-UA"/>
        </w:rPr>
      </w:pPr>
    </w:p>
    <w:p w14:paraId="79D6B8BA" w14:textId="77777777" w:rsidR="00E05B98" w:rsidRPr="00821945" w:rsidRDefault="00E05B98">
      <w:pPr>
        <w:pStyle w:val="a3"/>
        <w:spacing w:line="297" w:lineRule="auto"/>
        <w:jc w:val="both"/>
        <w:rPr>
          <w:sz w:val="20"/>
          <w:szCs w:val="20"/>
          <w:lang w:val="uk-UA"/>
        </w:rPr>
        <w:sectPr w:rsidR="00E05B98" w:rsidRPr="00821945">
          <w:type w:val="continuous"/>
          <w:pgSz w:w="11910" w:h="16840"/>
          <w:pgMar w:top="1920" w:right="1275" w:bottom="280" w:left="850" w:header="0" w:footer="573" w:gutter="0"/>
          <w:cols w:space="720"/>
        </w:sectPr>
      </w:pPr>
    </w:p>
    <w:p w14:paraId="3D79B899" w14:textId="743BE451" w:rsidR="00E05B98" w:rsidRPr="00821945" w:rsidRDefault="009D173D" w:rsidP="00B67D4E">
      <w:pPr>
        <w:pStyle w:val="a3"/>
        <w:spacing w:before="176" w:line="269" w:lineRule="auto"/>
        <w:ind w:left="567" w:right="139"/>
        <w:jc w:val="both"/>
        <w:rPr>
          <w:sz w:val="20"/>
          <w:szCs w:val="20"/>
          <w:lang w:val="uk-UA"/>
        </w:rPr>
      </w:pPr>
      <w:r w:rsidRPr="009D173D">
        <w:rPr>
          <w:sz w:val="20"/>
          <w:szCs w:val="20"/>
          <w:lang w:val="uk-UA"/>
        </w:rPr>
        <w:lastRenderedPageBreak/>
        <w:t>Мета цього дослідження поляг</w:t>
      </w:r>
      <w:r w:rsidR="00BB242D">
        <w:rPr>
          <w:sz w:val="20"/>
          <w:szCs w:val="20"/>
          <w:lang w:val="uk-UA"/>
        </w:rPr>
        <w:t>а</w:t>
      </w:r>
      <w:r w:rsidRPr="009D173D">
        <w:rPr>
          <w:sz w:val="20"/>
          <w:szCs w:val="20"/>
          <w:lang w:val="uk-UA"/>
        </w:rPr>
        <w:t xml:space="preserve">ла в тому, щоб оцінити ефективність </w:t>
      </w:r>
      <w:r w:rsidR="00634275">
        <w:rPr>
          <w:sz w:val="20"/>
          <w:szCs w:val="20"/>
          <w:lang w:val="uk-UA"/>
        </w:rPr>
        <w:t xml:space="preserve">витрат, пов’язаних з </w:t>
      </w:r>
      <w:r w:rsidRPr="009D173D">
        <w:rPr>
          <w:sz w:val="20"/>
          <w:szCs w:val="20"/>
          <w:lang w:val="uk-UA"/>
        </w:rPr>
        <w:t>одночасн</w:t>
      </w:r>
      <w:r w:rsidR="00634275">
        <w:rPr>
          <w:sz w:val="20"/>
          <w:szCs w:val="20"/>
          <w:lang w:val="uk-UA"/>
        </w:rPr>
        <w:t>им</w:t>
      </w:r>
      <w:r w:rsidRPr="009D173D">
        <w:rPr>
          <w:sz w:val="20"/>
          <w:szCs w:val="20"/>
          <w:lang w:val="uk-UA"/>
        </w:rPr>
        <w:t xml:space="preserve"> застосування</w:t>
      </w:r>
      <w:r w:rsidR="00634275">
        <w:rPr>
          <w:sz w:val="20"/>
          <w:szCs w:val="20"/>
          <w:lang w:val="uk-UA"/>
        </w:rPr>
        <w:t>м</w:t>
      </w:r>
      <w:r w:rsidRPr="009D173D">
        <w:rPr>
          <w:sz w:val="20"/>
          <w:szCs w:val="20"/>
          <w:lang w:val="uk-UA"/>
        </w:rPr>
        <w:t xml:space="preserve"> аТАНК-НС на зразках </w:t>
      </w:r>
      <w:r w:rsidR="00BB242D">
        <w:rPr>
          <w:sz w:val="20"/>
          <w:szCs w:val="20"/>
          <w:lang w:val="uk-UA"/>
        </w:rPr>
        <w:t>із дихальних шляхів</w:t>
      </w:r>
      <w:r w:rsidRPr="009D173D">
        <w:rPr>
          <w:sz w:val="20"/>
          <w:szCs w:val="20"/>
          <w:lang w:val="uk-UA"/>
        </w:rPr>
        <w:t xml:space="preserve"> і калу та аналізу LF-LAM на зразках сечі</w:t>
      </w:r>
      <w:r w:rsidR="00634275">
        <w:rPr>
          <w:sz w:val="20"/>
          <w:szCs w:val="20"/>
          <w:lang w:val="uk-UA"/>
        </w:rPr>
        <w:t>,</w:t>
      </w:r>
      <w:r w:rsidRPr="009D173D">
        <w:rPr>
          <w:sz w:val="20"/>
          <w:szCs w:val="20"/>
          <w:lang w:val="uk-UA"/>
        </w:rPr>
        <w:t xml:space="preserve"> для діагностики ТБ та виявлення стійкості до рифампіцину у дітей (віком до 10 років), які живуть з ВІЛ та з підозрою на ТБ, порівняно з використанням одного аТАНК-НС для дослідження лише зразку </w:t>
      </w:r>
      <w:r w:rsidR="00BB242D">
        <w:rPr>
          <w:sz w:val="20"/>
          <w:szCs w:val="20"/>
          <w:lang w:val="uk-UA"/>
        </w:rPr>
        <w:t>з дихальних шляхів</w:t>
      </w:r>
      <w:r w:rsidRPr="009D173D">
        <w:rPr>
          <w:sz w:val="20"/>
          <w:szCs w:val="20"/>
          <w:lang w:val="uk-UA"/>
        </w:rPr>
        <w:t>.</w:t>
      </w:r>
    </w:p>
    <w:p w14:paraId="01AB9755" w14:textId="04CA8CB4" w:rsidR="00E05B98" w:rsidRPr="00821945" w:rsidRDefault="00BB242D" w:rsidP="00B67D4E">
      <w:pPr>
        <w:pStyle w:val="a3"/>
        <w:spacing w:before="173" w:line="269" w:lineRule="auto"/>
        <w:ind w:left="567" w:right="134"/>
        <w:jc w:val="both"/>
        <w:rPr>
          <w:sz w:val="20"/>
          <w:szCs w:val="20"/>
          <w:lang w:val="uk-UA"/>
        </w:rPr>
      </w:pPr>
      <w:r w:rsidRPr="00BB242D">
        <w:rPr>
          <w:sz w:val="20"/>
          <w:szCs w:val="20"/>
          <w:lang w:val="uk-UA"/>
        </w:rPr>
        <w:t>У гіпотетичній моделі, яка була покладена в основу цього дослідження, когорта дітей з ВІЛ та ознаками і симптомами ТБ проходила через систему аналізу прийняття рішень. В групі інтервенції процес діагностик</w:t>
      </w:r>
      <w:r>
        <w:rPr>
          <w:sz w:val="20"/>
          <w:szCs w:val="20"/>
          <w:lang w:val="uk-UA"/>
        </w:rPr>
        <w:t>и</w:t>
      </w:r>
      <w:r w:rsidRPr="00BB242D">
        <w:rPr>
          <w:sz w:val="20"/>
          <w:szCs w:val="20"/>
          <w:lang w:val="uk-UA"/>
        </w:rPr>
        <w:t xml:space="preserve"> ТБ включав одночасне використання аТАНК-НС на зразках із дихальних шляхів та калу, а також </w:t>
      </w:r>
      <w:r w:rsidR="00A04E69">
        <w:rPr>
          <w:sz w:val="20"/>
          <w:szCs w:val="20"/>
          <w:lang w:val="uk-UA"/>
        </w:rPr>
        <w:t xml:space="preserve">аналізу </w:t>
      </w:r>
      <w:r w:rsidRPr="00BB242D">
        <w:rPr>
          <w:sz w:val="20"/>
          <w:szCs w:val="20"/>
          <w:lang w:val="uk-UA"/>
        </w:rPr>
        <w:t xml:space="preserve">LF-LAM на </w:t>
      </w:r>
      <w:r w:rsidR="005A7875" w:rsidRPr="00BB242D">
        <w:rPr>
          <w:sz w:val="20"/>
          <w:szCs w:val="20"/>
          <w:lang w:val="uk-UA"/>
        </w:rPr>
        <w:t>зразках</w:t>
      </w:r>
      <w:r w:rsidRPr="00BB242D">
        <w:rPr>
          <w:sz w:val="20"/>
          <w:szCs w:val="20"/>
          <w:lang w:val="uk-UA"/>
        </w:rPr>
        <w:t xml:space="preserve"> сечі. У групі порівняння використовували аТАНК-НС лише на зразках із дихальних шляхів. Розглядалася ймовірність надання зразків з дихальних шляхів, і тестування проводилося або одночасно на зразках з дихальних шляхів і калу разом з аналізом LF-LAM, або тільки на зразках калу разом з аналізом LF-LAM.</w:t>
      </w:r>
      <w:r w:rsidR="00B01E0C" w:rsidRPr="00821945">
        <w:rPr>
          <w:sz w:val="20"/>
          <w:szCs w:val="20"/>
          <w:lang w:val="uk-UA"/>
        </w:rPr>
        <w:t xml:space="preserve"> </w:t>
      </w:r>
      <w:r w:rsidR="00C57C4F" w:rsidRPr="00C57C4F">
        <w:rPr>
          <w:sz w:val="20"/>
          <w:szCs w:val="20"/>
          <w:lang w:val="uk-UA"/>
        </w:rPr>
        <w:t xml:space="preserve">Як у групі інтервенції, так і в групі порівняння, учасники, яким не було поставлено діагноз за допомогою діагностичної стратегії, мали можливість пройти клінічну діагностику. Для дітей з бактеріологічно підтвердженим ТБ проводили ТМЧ до рифампіцину, та розпочинали лікування чутливого до </w:t>
      </w:r>
      <w:r w:rsidR="005A7875" w:rsidRPr="00C57C4F">
        <w:rPr>
          <w:sz w:val="20"/>
          <w:szCs w:val="20"/>
          <w:lang w:val="uk-UA"/>
        </w:rPr>
        <w:t>лікарських</w:t>
      </w:r>
      <w:r w:rsidR="00C57C4F" w:rsidRPr="00C57C4F">
        <w:rPr>
          <w:sz w:val="20"/>
          <w:szCs w:val="20"/>
          <w:lang w:val="uk-UA"/>
        </w:rPr>
        <w:t xml:space="preserve"> засобів ТБ або ЛС-ТБ, залежно від результату ТМЧ. За всіма особами здійснювали спостереження протягом певного часу, включаючи тих, хто отримав хибнонегативні або хибнопозитивні результати діагностики, щоб врахувати непотрібне лікування або додаткову </w:t>
      </w:r>
      <w:r w:rsidR="00C57C4F" w:rsidRPr="00634275">
        <w:rPr>
          <w:sz w:val="20"/>
          <w:szCs w:val="20"/>
          <w:lang w:val="uk-UA"/>
        </w:rPr>
        <w:t>смертність через пропущені</w:t>
      </w:r>
      <w:r w:rsidR="00634275" w:rsidRPr="00634275">
        <w:rPr>
          <w:sz w:val="20"/>
          <w:szCs w:val="20"/>
          <w:lang w:val="uk-UA"/>
        </w:rPr>
        <w:t xml:space="preserve"> </w:t>
      </w:r>
      <w:r w:rsidR="00C57C4F" w:rsidRPr="00634275">
        <w:rPr>
          <w:sz w:val="20"/>
          <w:szCs w:val="20"/>
          <w:lang w:val="uk-UA"/>
        </w:rPr>
        <w:t>діагнози.</w:t>
      </w:r>
    </w:p>
    <w:p w14:paraId="2ED951E0" w14:textId="2B09FF51" w:rsidR="00E05B98" w:rsidRPr="00821945" w:rsidRDefault="00732A13" w:rsidP="00B67D4E">
      <w:pPr>
        <w:pStyle w:val="a3"/>
        <w:spacing w:before="181" w:line="269" w:lineRule="auto"/>
        <w:ind w:left="567" w:right="138"/>
        <w:jc w:val="both"/>
        <w:rPr>
          <w:sz w:val="20"/>
          <w:szCs w:val="20"/>
          <w:lang w:val="uk-UA"/>
        </w:rPr>
      </w:pPr>
      <w:r w:rsidRPr="00732A13">
        <w:rPr>
          <w:sz w:val="20"/>
          <w:szCs w:val="20"/>
          <w:lang w:val="uk-UA"/>
        </w:rPr>
        <w:t xml:space="preserve">Результати дослідження, наведені в </w:t>
      </w:r>
      <w:r w:rsidRPr="00732A13">
        <w:rPr>
          <w:b/>
          <w:bCs/>
          <w:sz w:val="20"/>
          <w:szCs w:val="20"/>
          <w:lang w:val="uk-UA"/>
        </w:rPr>
        <w:t>Таблиці 2.3.3.1</w:t>
      </w:r>
      <w:r w:rsidRPr="00732A13">
        <w:rPr>
          <w:sz w:val="20"/>
          <w:szCs w:val="20"/>
          <w:lang w:val="uk-UA"/>
        </w:rPr>
        <w:t xml:space="preserve">, демонструють економічну ефективність одночасного використання аТАНК-НС на зразках </w:t>
      </w:r>
      <w:r w:rsidR="00DA4C7E">
        <w:rPr>
          <w:sz w:val="20"/>
          <w:szCs w:val="20"/>
          <w:lang w:val="uk-UA"/>
        </w:rPr>
        <w:t>і</w:t>
      </w:r>
      <w:r w:rsidRPr="00732A13">
        <w:rPr>
          <w:sz w:val="20"/>
          <w:szCs w:val="20"/>
          <w:lang w:val="uk-UA"/>
        </w:rPr>
        <w:t>з дихальних шляхів і калу та аналізу LF-LAM на зразку сечі серед дітей з ВІЛ у Малаві та на Філіппінах. У Малаві середня вартість проведення аТАНК-НС на зразку з дихальних шляхів становила 319 доларів США, а відповідний середній показник DALY - 5,08. При одночасному застосуванні цих тестів середня вартість зросла до 460 доларів США, тоді як середній показник DALY знизився до 1,8.</w:t>
      </w:r>
      <w:r w:rsidR="00B01E0C" w:rsidRPr="00821945">
        <w:rPr>
          <w:spacing w:val="-2"/>
          <w:sz w:val="20"/>
          <w:szCs w:val="20"/>
          <w:lang w:val="uk-UA"/>
        </w:rPr>
        <w:t xml:space="preserve"> </w:t>
      </w:r>
      <w:r w:rsidR="007B2809" w:rsidRPr="007B2809">
        <w:rPr>
          <w:spacing w:val="-2"/>
          <w:sz w:val="20"/>
          <w:szCs w:val="20"/>
          <w:lang w:val="uk-UA"/>
        </w:rPr>
        <w:t xml:space="preserve">Отриманий в результаті інкрементний </w:t>
      </w:r>
      <w:r w:rsidR="004B7764">
        <w:rPr>
          <w:spacing w:val="-2"/>
          <w:sz w:val="20"/>
          <w:szCs w:val="20"/>
          <w:lang w:val="uk-UA"/>
        </w:rPr>
        <w:t>коефіцієнт</w:t>
      </w:r>
      <w:r w:rsidR="007B2809" w:rsidRPr="007B2809">
        <w:rPr>
          <w:spacing w:val="-2"/>
          <w:sz w:val="20"/>
          <w:szCs w:val="20"/>
          <w:lang w:val="uk-UA"/>
        </w:rPr>
        <w:t xml:space="preserve"> економічної ефективності (ICER) н</w:t>
      </w:r>
      <w:r w:rsidR="007B2809" w:rsidRPr="004B7764">
        <w:rPr>
          <w:spacing w:val="-2"/>
          <w:sz w:val="20"/>
          <w:szCs w:val="20"/>
          <w:lang w:val="uk-UA"/>
        </w:rPr>
        <w:t>а один рік DALY</w:t>
      </w:r>
      <w:r w:rsidR="00634275" w:rsidRPr="004B7764">
        <w:rPr>
          <w:spacing w:val="-2"/>
          <w:sz w:val="20"/>
          <w:szCs w:val="20"/>
          <w:lang w:val="uk-UA"/>
        </w:rPr>
        <w:t>, якому вдалося запобігти,</w:t>
      </w:r>
      <w:r w:rsidR="007B2809" w:rsidRPr="004B7764">
        <w:rPr>
          <w:spacing w:val="-2"/>
          <w:sz w:val="20"/>
          <w:szCs w:val="20"/>
          <w:lang w:val="uk-UA"/>
        </w:rPr>
        <w:t xml:space="preserve"> становив 43 долари США (95%-вий </w:t>
      </w:r>
      <w:r w:rsidR="005A7875" w:rsidRPr="004B7764">
        <w:rPr>
          <w:spacing w:val="-2"/>
          <w:sz w:val="20"/>
          <w:szCs w:val="20"/>
          <w:lang w:val="uk-UA"/>
        </w:rPr>
        <w:t>діапазон</w:t>
      </w:r>
      <w:r w:rsidR="007B2809" w:rsidRPr="004B7764">
        <w:rPr>
          <w:spacing w:val="-2"/>
          <w:sz w:val="20"/>
          <w:szCs w:val="20"/>
          <w:lang w:val="uk-UA"/>
        </w:rPr>
        <w:t xml:space="preserve"> нев</w:t>
      </w:r>
      <w:r w:rsidR="007B2809" w:rsidRPr="007B2809">
        <w:rPr>
          <w:spacing w:val="-2"/>
          <w:sz w:val="20"/>
          <w:szCs w:val="20"/>
          <w:lang w:val="uk-UA"/>
        </w:rPr>
        <w:t xml:space="preserve">изначеності: 28-89). Аналогічно, на Філіппінах вартість проведення аТАНК-НС лише на зразку з дихальних шляхів становила 249 доларів США із середнім показником DALY на рівні 5,13, тоді як при одночасному застосуванні тестування різних типів зразків середня вартість становила 345 доларів США, а середній показник DALY - 1,77. ICER на один </w:t>
      </w:r>
      <w:r w:rsidR="004B7764">
        <w:rPr>
          <w:spacing w:val="-2"/>
          <w:sz w:val="20"/>
          <w:szCs w:val="20"/>
          <w:lang w:val="uk-UA"/>
        </w:rPr>
        <w:t>рік</w:t>
      </w:r>
      <w:r w:rsidR="007B2809" w:rsidRPr="007B2809">
        <w:rPr>
          <w:spacing w:val="-2"/>
          <w:sz w:val="20"/>
          <w:szCs w:val="20"/>
          <w:lang w:val="uk-UA"/>
        </w:rPr>
        <w:t xml:space="preserve"> DALY</w:t>
      </w:r>
      <w:r w:rsidR="004B7764">
        <w:rPr>
          <w:spacing w:val="-2"/>
          <w:sz w:val="20"/>
          <w:szCs w:val="20"/>
          <w:lang w:val="uk-UA"/>
        </w:rPr>
        <w:t>, якому вдалося запобігти,</w:t>
      </w:r>
      <w:r w:rsidR="007B2809" w:rsidRPr="007B2809">
        <w:rPr>
          <w:spacing w:val="-2"/>
          <w:sz w:val="20"/>
          <w:szCs w:val="20"/>
          <w:lang w:val="uk-UA"/>
        </w:rPr>
        <w:t xml:space="preserve"> становив 29 доларів США (95%-вий діапазон невизначеності: 18-63).</w:t>
      </w:r>
    </w:p>
    <w:p w14:paraId="6226C87B" w14:textId="77777777" w:rsidR="00E05B98" w:rsidRPr="00821945" w:rsidRDefault="00E05B98" w:rsidP="00B67D4E">
      <w:pPr>
        <w:pStyle w:val="a3"/>
        <w:spacing w:line="269" w:lineRule="auto"/>
        <w:rPr>
          <w:sz w:val="20"/>
          <w:szCs w:val="20"/>
          <w:lang w:val="uk-UA"/>
        </w:rPr>
      </w:pPr>
    </w:p>
    <w:p w14:paraId="04E5F9D1" w14:textId="4ABD300F" w:rsidR="00E05B98" w:rsidRPr="003C6DAE" w:rsidRDefault="007B2809" w:rsidP="00B67D4E">
      <w:pPr>
        <w:pStyle w:val="6"/>
        <w:spacing w:before="0" w:line="269" w:lineRule="auto"/>
        <w:ind w:right="140"/>
        <w:jc w:val="both"/>
        <w:rPr>
          <w:lang w:val="uk-UA"/>
        </w:rPr>
      </w:pPr>
      <w:r>
        <w:rPr>
          <w:color w:val="636466"/>
          <w:spacing w:val="-2"/>
          <w:sz w:val="20"/>
          <w:szCs w:val="20"/>
          <w:lang w:val="uk-UA"/>
        </w:rPr>
        <w:t>Таблиця</w:t>
      </w:r>
      <w:r w:rsidR="00B01E0C" w:rsidRPr="00821945">
        <w:rPr>
          <w:color w:val="636466"/>
          <w:spacing w:val="-15"/>
          <w:sz w:val="20"/>
          <w:szCs w:val="20"/>
          <w:lang w:val="uk-UA"/>
        </w:rPr>
        <w:t xml:space="preserve"> </w:t>
      </w:r>
      <w:r w:rsidR="00B01E0C" w:rsidRPr="00821945">
        <w:rPr>
          <w:color w:val="636466"/>
          <w:spacing w:val="-2"/>
          <w:sz w:val="20"/>
          <w:szCs w:val="20"/>
          <w:lang w:val="uk-UA"/>
        </w:rPr>
        <w:t>2.3.3.1</w:t>
      </w:r>
      <w:r w:rsidR="00B01E0C" w:rsidRPr="00821945">
        <w:rPr>
          <w:color w:val="636466"/>
          <w:spacing w:val="-15"/>
          <w:sz w:val="20"/>
          <w:szCs w:val="20"/>
          <w:lang w:val="uk-UA"/>
        </w:rPr>
        <w:t xml:space="preserve"> </w:t>
      </w:r>
      <w:r w:rsidRPr="007B2809">
        <w:rPr>
          <w:color w:val="636466"/>
          <w:spacing w:val="-2"/>
          <w:sz w:val="20"/>
          <w:szCs w:val="20"/>
          <w:lang w:val="uk-UA"/>
        </w:rPr>
        <w:t xml:space="preserve">Аналіз ефективності </w:t>
      </w:r>
      <w:r w:rsidR="004B7764">
        <w:rPr>
          <w:color w:val="636466"/>
          <w:spacing w:val="-2"/>
          <w:sz w:val="20"/>
          <w:szCs w:val="20"/>
          <w:lang w:val="uk-UA"/>
        </w:rPr>
        <w:t>ви</w:t>
      </w:r>
      <w:r w:rsidRPr="007B2809">
        <w:rPr>
          <w:color w:val="636466"/>
          <w:spacing w:val="-2"/>
          <w:sz w:val="20"/>
          <w:szCs w:val="20"/>
          <w:lang w:val="uk-UA"/>
        </w:rPr>
        <w:t xml:space="preserve">трат при одночасному використанні тестів аТАНК-НС </w:t>
      </w:r>
      <w:r>
        <w:rPr>
          <w:color w:val="636466"/>
          <w:spacing w:val="-2"/>
          <w:sz w:val="20"/>
          <w:szCs w:val="20"/>
          <w:lang w:val="uk-UA"/>
        </w:rPr>
        <w:t xml:space="preserve">на різних типах зразків </w:t>
      </w:r>
      <w:r w:rsidRPr="007B2809">
        <w:rPr>
          <w:color w:val="636466"/>
          <w:spacing w:val="-2"/>
          <w:sz w:val="20"/>
          <w:szCs w:val="20"/>
          <w:lang w:val="uk-UA"/>
        </w:rPr>
        <w:t>серед дітей, які живуть з ВІЛ, у Малаві та на Філіппінах</w:t>
      </w:r>
    </w:p>
    <w:p w14:paraId="05AD8652" w14:textId="77777777" w:rsidR="00E05B98" w:rsidRPr="003C6DAE" w:rsidRDefault="00E05B98">
      <w:pPr>
        <w:pStyle w:val="a3"/>
        <w:spacing w:before="5"/>
        <w:rPr>
          <w:rFonts w:ascii="Arial"/>
          <w:b/>
          <w:sz w:val="16"/>
          <w:lang w:val="uk-UA"/>
        </w:rPr>
      </w:pPr>
    </w:p>
    <w:tbl>
      <w:tblPr>
        <w:tblStyle w:val="TableNormal"/>
        <w:tblW w:w="0" w:type="auto"/>
        <w:tblInd w:w="58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1246"/>
        <w:gridCol w:w="3289"/>
        <w:gridCol w:w="1020"/>
        <w:gridCol w:w="1700"/>
        <w:gridCol w:w="1813"/>
      </w:tblGrid>
      <w:tr w:rsidR="00E05B98" w:rsidRPr="00D029FF" w14:paraId="4A9E04DD" w14:textId="77777777" w:rsidTr="00B67D4E">
        <w:trPr>
          <w:trHeight w:val="690"/>
        </w:trPr>
        <w:tc>
          <w:tcPr>
            <w:tcW w:w="1246" w:type="dxa"/>
            <w:tcBorders>
              <w:bottom w:val="single" w:sz="6" w:space="0" w:color="019648"/>
              <w:right w:val="single" w:sz="6" w:space="0" w:color="019648"/>
            </w:tcBorders>
            <w:shd w:val="clear" w:color="auto" w:fill="62A86B"/>
          </w:tcPr>
          <w:p w14:paraId="6D069E86" w14:textId="2D9A202E" w:rsidR="00E05B98" w:rsidRPr="00B67D4E" w:rsidRDefault="007B2809">
            <w:pPr>
              <w:pStyle w:val="TableParagraph"/>
              <w:spacing w:before="225"/>
              <w:ind w:left="136"/>
              <w:rPr>
                <w:rFonts w:asciiTheme="minorHAnsi" w:hAnsiTheme="minorHAnsi" w:cstheme="minorHAnsi"/>
                <w:b/>
                <w:sz w:val="18"/>
                <w:szCs w:val="18"/>
                <w:lang w:val="uk-UA"/>
              </w:rPr>
            </w:pPr>
            <w:r w:rsidRPr="00B67D4E">
              <w:rPr>
                <w:rFonts w:asciiTheme="minorHAnsi" w:hAnsiTheme="minorHAnsi" w:cstheme="minorHAnsi"/>
                <w:b/>
                <w:color w:val="FFFFFF"/>
                <w:spacing w:val="-2"/>
                <w:sz w:val="18"/>
                <w:szCs w:val="18"/>
                <w:lang w:val="uk-UA"/>
              </w:rPr>
              <w:t xml:space="preserve">Країна </w:t>
            </w:r>
          </w:p>
        </w:tc>
        <w:tc>
          <w:tcPr>
            <w:tcW w:w="3289" w:type="dxa"/>
            <w:tcBorders>
              <w:left w:val="single" w:sz="6" w:space="0" w:color="019648"/>
              <w:bottom w:val="single" w:sz="6" w:space="0" w:color="019648"/>
              <w:right w:val="single" w:sz="6" w:space="0" w:color="019648"/>
            </w:tcBorders>
            <w:shd w:val="clear" w:color="auto" w:fill="62A86B"/>
          </w:tcPr>
          <w:p w14:paraId="31FC775D" w14:textId="6655852D" w:rsidR="00E05B98" w:rsidRPr="00B67D4E" w:rsidRDefault="007B2809">
            <w:pPr>
              <w:pStyle w:val="TableParagraph"/>
              <w:spacing w:before="225"/>
              <w:ind w:left="138"/>
              <w:rPr>
                <w:rFonts w:asciiTheme="minorHAnsi" w:hAnsiTheme="minorHAnsi" w:cstheme="minorHAnsi"/>
                <w:b/>
                <w:sz w:val="18"/>
                <w:szCs w:val="18"/>
                <w:lang w:val="uk-UA"/>
              </w:rPr>
            </w:pPr>
            <w:r w:rsidRPr="00B67D4E">
              <w:rPr>
                <w:rFonts w:asciiTheme="minorHAnsi" w:hAnsiTheme="minorHAnsi" w:cstheme="minorHAnsi"/>
                <w:b/>
                <w:color w:val="FFFFFF"/>
                <w:spacing w:val="-2"/>
                <w:sz w:val="18"/>
                <w:szCs w:val="18"/>
                <w:lang w:val="uk-UA"/>
              </w:rPr>
              <w:t>Стратегія  діагностики</w:t>
            </w:r>
          </w:p>
        </w:tc>
        <w:tc>
          <w:tcPr>
            <w:tcW w:w="1020" w:type="dxa"/>
            <w:tcBorders>
              <w:left w:val="single" w:sz="6" w:space="0" w:color="019648"/>
              <w:bottom w:val="single" w:sz="6" w:space="0" w:color="019648"/>
              <w:right w:val="single" w:sz="6" w:space="0" w:color="019648"/>
            </w:tcBorders>
            <w:shd w:val="clear" w:color="auto" w:fill="62A86B"/>
          </w:tcPr>
          <w:p w14:paraId="3D7BE7DA" w14:textId="621EAFE9" w:rsidR="00E05B98" w:rsidRPr="00B67D4E" w:rsidRDefault="005A7875" w:rsidP="007B2809">
            <w:pPr>
              <w:pStyle w:val="TableParagraph"/>
              <w:spacing w:before="95" w:line="247" w:lineRule="auto"/>
              <w:ind w:left="0" w:right="49"/>
              <w:jc w:val="center"/>
              <w:rPr>
                <w:rFonts w:asciiTheme="minorHAnsi" w:hAnsiTheme="minorHAnsi" w:cstheme="minorHAnsi"/>
                <w:b/>
                <w:sz w:val="18"/>
                <w:szCs w:val="18"/>
                <w:lang w:val="uk-UA"/>
              </w:rPr>
            </w:pPr>
            <w:r w:rsidRPr="00B67D4E">
              <w:rPr>
                <w:rFonts w:asciiTheme="minorHAnsi" w:hAnsiTheme="minorHAnsi" w:cstheme="minorHAnsi"/>
                <w:b/>
                <w:color w:val="FFFFFF"/>
                <w:spacing w:val="-4"/>
                <w:w w:val="90"/>
                <w:sz w:val="18"/>
                <w:szCs w:val="18"/>
                <w:lang w:val="uk-UA"/>
              </w:rPr>
              <w:t>Вартість</w:t>
            </w:r>
            <w:r w:rsidR="007B2809" w:rsidRPr="00B67D4E">
              <w:rPr>
                <w:rFonts w:asciiTheme="minorHAnsi" w:hAnsiTheme="minorHAnsi" w:cstheme="minorHAnsi"/>
                <w:b/>
                <w:color w:val="FFFFFF"/>
                <w:spacing w:val="-4"/>
                <w:w w:val="90"/>
                <w:sz w:val="18"/>
                <w:szCs w:val="18"/>
                <w:lang w:val="uk-UA"/>
              </w:rPr>
              <w:t xml:space="preserve"> в дол. США</w:t>
            </w:r>
          </w:p>
        </w:tc>
        <w:tc>
          <w:tcPr>
            <w:tcW w:w="1700" w:type="dxa"/>
            <w:tcBorders>
              <w:left w:val="single" w:sz="6" w:space="0" w:color="019648"/>
              <w:bottom w:val="single" w:sz="6" w:space="0" w:color="019648"/>
              <w:right w:val="single" w:sz="6" w:space="0" w:color="019648"/>
            </w:tcBorders>
            <w:shd w:val="clear" w:color="auto" w:fill="62A86B"/>
          </w:tcPr>
          <w:p w14:paraId="557A7175" w14:textId="3E90F365" w:rsidR="00E05B98" w:rsidRPr="00B67D4E" w:rsidRDefault="007B2809">
            <w:pPr>
              <w:pStyle w:val="TableParagraph"/>
              <w:spacing w:before="95" w:line="247" w:lineRule="auto"/>
              <w:ind w:left="139" w:right="123"/>
              <w:rPr>
                <w:rFonts w:asciiTheme="minorHAnsi" w:hAnsiTheme="minorHAnsi" w:cstheme="minorHAnsi"/>
                <w:b/>
                <w:sz w:val="18"/>
                <w:szCs w:val="18"/>
                <w:lang w:val="uk-UA"/>
              </w:rPr>
            </w:pPr>
            <w:r w:rsidRPr="00B67D4E">
              <w:rPr>
                <w:rFonts w:asciiTheme="minorHAnsi" w:hAnsiTheme="minorHAnsi" w:cstheme="minorHAnsi"/>
                <w:b/>
                <w:color w:val="FFFFFF"/>
                <w:spacing w:val="-6"/>
                <w:sz w:val="18"/>
                <w:szCs w:val="18"/>
                <w:lang w:val="uk-UA"/>
              </w:rPr>
              <w:t>Ефективність</w:t>
            </w:r>
            <w:r w:rsidR="00B01E0C" w:rsidRPr="00B67D4E">
              <w:rPr>
                <w:rFonts w:asciiTheme="minorHAnsi" w:hAnsiTheme="minorHAnsi" w:cstheme="minorHAnsi"/>
                <w:b/>
                <w:color w:val="FFFFFF"/>
                <w:spacing w:val="-6"/>
                <w:sz w:val="18"/>
                <w:szCs w:val="18"/>
                <w:lang w:val="uk-UA"/>
              </w:rPr>
              <w:t xml:space="preserve">, </w:t>
            </w:r>
            <w:r w:rsidR="00B01E0C" w:rsidRPr="00B67D4E">
              <w:rPr>
                <w:rFonts w:asciiTheme="minorHAnsi" w:hAnsiTheme="minorHAnsi" w:cstheme="minorHAnsi"/>
                <w:b/>
                <w:color w:val="FFFFFF"/>
                <w:spacing w:val="-2"/>
                <w:sz w:val="18"/>
                <w:szCs w:val="18"/>
                <w:lang w:val="uk-UA"/>
              </w:rPr>
              <w:t>DALYs</w:t>
            </w:r>
          </w:p>
        </w:tc>
        <w:tc>
          <w:tcPr>
            <w:tcW w:w="1813" w:type="dxa"/>
            <w:tcBorders>
              <w:left w:val="single" w:sz="6" w:space="0" w:color="019648"/>
              <w:bottom w:val="single" w:sz="6" w:space="0" w:color="019648"/>
              <w:right w:val="single" w:sz="6" w:space="0" w:color="019648"/>
            </w:tcBorders>
            <w:shd w:val="clear" w:color="auto" w:fill="62A86B"/>
          </w:tcPr>
          <w:p w14:paraId="555F787C" w14:textId="6B8F7D02" w:rsidR="00E05B98" w:rsidRPr="00B67D4E" w:rsidRDefault="00B01E0C" w:rsidP="007B2809">
            <w:pPr>
              <w:pStyle w:val="TableParagraph"/>
              <w:spacing w:before="95" w:line="247" w:lineRule="auto"/>
              <w:ind w:left="140" w:right="162"/>
              <w:rPr>
                <w:rFonts w:asciiTheme="minorHAnsi" w:hAnsiTheme="minorHAnsi" w:cstheme="minorHAnsi"/>
                <w:b/>
                <w:sz w:val="18"/>
                <w:szCs w:val="18"/>
                <w:lang w:val="uk-UA"/>
              </w:rPr>
            </w:pPr>
            <w:r w:rsidRPr="00B67D4E">
              <w:rPr>
                <w:rFonts w:asciiTheme="minorHAnsi" w:hAnsiTheme="minorHAnsi" w:cstheme="minorHAnsi"/>
                <w:b/>
                <w:color w:val="FFFFFF"/>
                <w:spacing w:val="-4"/>
                <w:sz w:val="18"/>
                <w:szCs w:val="18"/>
                <w:lang w:val="uk-UA"/>
              </w:rPr>
              <w:t>ICER</w:t>
            </w:r>
            <w:r w:rsidRPr="00B67D4E">
              <w:rPr>
                <w:rFonts w:asciiTheme="minorHAnsi" w:hAnsiTheme="minorHAnsi" w:cstheme="minorHAnsi"/>
                <w:b/>
                <w:color w:val="FFFFFF"/>
                <w:spacing w:val="-12"/>
                <w:sz w:val="18"/>
                <w:szCs w:val="18"/>
                <w:lang w:val="uk-UA"/>
              </w:rPr>
              <w:t xml:space="preserve"> </w:t>
            </w:r>
            <w:r w:rsidRPr="00B67D4E">
              <w:rPr>
                <w:rFonts w:asciiTheme="minorHAnsi" w:hAnsiTheme="minorHAnsi" w:cstheme="minorHAnsi"/>
                <w:b/>
                <w:color w:val="FFFFFF"/>
                <w:spacing w:val="-4"/>
                <w:sz w:val="18"/>
                <w:szCs w:val="18"/>
                <w:lang w:val="uk-UA"/>
              </w:rPr>
              <w:t xml:space="preserve">(95% </w:t>
            </w:r>
            <w:r w:rsidRPr="00B67D4E">
              <w:rPr>
                <w:rFonts w:asciiTheme="minorHAnsi" w:hAnsiTheme="minorHAnsi" w:cstheme="minorHAnsi"/>
                <w:b/>
                <w:color w:val="FFFFFF"/>
                <w:sz w:val="18"/>
                <w:szCs w:val="18"/>
                <w:lang w:val="uk-UA"/>
              </w:rPr>
              <w:t xml:space="preserve">UR), </w:t>
            </w:r>
            <w:r w:rsidR="007B2809" w:rsidRPr="00B67D4E">
              <w:rPr>
                <w:rFonts w:asciiTheme="minorHAnsi" w:hAnsiTheme="minorHAnsi" w:cstheme="minorHAnsi"/>
                <w:b/>
                <w:color w:val="FFFFFF"/>
                <w:sz w:val="18"/>
                <w:szCs w:val="18"/>
                <w:lang w:val="uk-UA"/>
              </w:rPr>
              <w:t>в дол. США</w:t>
            </w:r>
          </w:p>
        </w:tc>
      </w:tr>
      <w:tr w:rsidR="00E05B98" w:rsidRPr="00B67D4E" w14:paraId="5798E03F" w14:textId="77777777" w:rsidTr="00B67D4E">
        <w:trPr>
          <w:trHeight w:val="442"/>
        </w:trPr>
        <w:tc>
          <w:tcPr>
            <w:tcW w:w="1246" w:type="dxa"/>
            <w:tcBorders>
              <w:top w:val="single" w:sz="6" w:space="0" w:color="019648"/>
              <w:left w:val="nil"/>
              <w:bottom w:val="nil"/>
              <w:right w:val="nil"/>
            </w:tcBorders>
          </w:tcPr>
          <w:p w14:paraId="2B2D67A1" w14:textId="5454D88B" w:rsidR="00E05B98" w:rsidRPr="00B67D4E" w:rsidRDefault="007B2809">
            <w:pPr>
              <w:pStyle w:val="TableParagraph"/>
              <w:rPr>
                <w:rFonts w:asciiTheme="minorHAnsi" w:hAnsiTheme="minorHAnsi" w:cstheme="minorHAnsi"/>
                <w:sz w:val="18"/>
                <w:szCs w:val="18"/>
                <w:lang w:val="uk-UA"/>
              </w:rPr>
            </w:pPr>
            <w:r w:rsidRPr="00B67D4E">
              <w:rPr>
                <w:rFonts w:asciiTheme="minorHAnsi" w:hAnsiTheme="minorHAnsi" w:cstheme="minorHAnsi"/>
                <w:spacing w:val="-2"/>
                <w:w w:val="105"/>
                <w:sz w:val="18"/>
                <w:szCs w:val="18"/>
                <w:lang w:val="uk-UA"/>
              </w:rPr>
              <w:t>Малаві</w:t>
            </w:r>
          </w:p>
        </w:tc>
        <w:tc>
          <w:tcPr>
            <w:tcW w:w="3289" w:type="dxa"/>
            <w:tcBorders>
              <w:top w:val="single" w:sz="6" w:space="0" w:color="019648"/>
              <w:left w:val="nil"/>
              <w:bottom w:val="single" w:sz="6" w:space="0" w:color="019648"/>
              <w:right w:val="nil"/>
            </w:tcBorders>
          </w:tcPr>
          <w:p w14:paraId="07ED610F" w14:textId="0506227E" w:rsidR="00E05B98" w:rsidRPr="00B67D4E" w:rsidRDefault="007B2809">
            <w:pPr>
              <w:pStyle w:val="TableParagraph"/>
              <w:spacing w:line="249" w:lineRule="auto"/>
              <w:ind w:right="127"/>
              <w:rPr>
                <w:rFonts w:asciiTheme="minorHAnsi" w:hAnsiTheme="minorHAnsi" w:cstheme="minorHAnsi"/>
                <w:sz w:val="18"/>
                <w:szCs w:val="18"/>
                <w:lang w:val="uk-UA"/>
              </w:rPr>
            </w:pPr>
            <w:r w:rsidRPr="00B67D4E">
              <w:rPr>
                <w:rFonts w:asciiTheme="minorHAnsi" w:hAnsiTheme="minorHAnsi" w:cstheme="minorHAnsi"/>
                <w:spacing w:val="-2"/>
                <w:sz w:val="18"/>
                <w:szCs w:val="18"/>
                <w:lang w:val="uk-UA"/>
              </w:rPr>
              <w:t>аТАНК-НС на зразку з дихальних шляхів</w:t>
            </w:r>
          </w:p>
        </w:tc>
        <w:tc>
          <w:tcPr>
            <w:tcW w:w="1020" w:type="dxa"/>
            <w:tcBorders>
              <w:top w:val="single" w:sz="6" w:space="0" w:color="019648"/>
              <w:left w:val="nil"/>
              <w:bottom w:val="single" w:sz="6" w:space="0" w:color="019648"/>
              <w:right w:val="nil"/>
            </w:tcBorders>
          </w:tcPr>
          <w:p w14:paraId="38B1408F" w14:textId="77777777" w:rsidR="00E05B98" w:rsidRPr="00B67D4E" w:rsidRDefault="00B01E0C">
            <w:pPr>
              <w:pStyle w:val="TableParagraph"/>
              <w:rPr>
                <w:rFonts w:asciiTheme="minorHAnsi" w:hAnsiTheme="minorHAnsi" w:cstheme="minorHAnsi"/>
                <w:sz w:val="18"/>
                <w:szCs w:val="18"/>
                <w:lang w:val="uk-UA"/>
              </w:rPr>
            </w:pPr>
            <w:r w:rsidRPr="00B67D4E">
              <w:rPr>
                <w:rFonts w:asciiTheme="minorHAnsi" w:hAnsiTheme="minorHAnsi" w:cstheme="minorHAnsi"/>
                <w:spacing w:val="-5"/>
                <w:w w:val="105"/>
                <w:sz w:val="18"/>
                <w:szCs w:val="18"/>
                <w:lang w:val="uk-UA"/>
              </w:rPr>
              <w:t>320</w:t>
            </w:r>
          </w:p>
        </w:tc>
        <w:tc>
          <w:tcPr>
            <w:tcW w:w="1700" w:type="dxa"/>
            <w:tcBorders>
              <w:top w:val="single" w:sz="6" w:space="0" w:color="019648"/>
              <w:left w:val="nil"/>
              <w:bottom w:val="single" w:sz="6" w:space="0" w:color="019648"/>
              <w:right w:val="nil"/>
            </w:tcBorders>
          </w:tcPr>
          <w:p w14:paraId="03068C10" w14:textId="77777777" w:rsidR="00E05B98" w:rsidRPr="00B67D4E" w:rsidRDefault="00B01E0C">
            <w:pPr>
              <w:pStyle w:val="TableParagraph"/>
              <w:ind w:left="124"/>
              <w:rPr>
                <w:rFonts w:asciiTheme="minorHAnsi" w:hAnsiTheme="minorHAnsi" w:cstheme="minorHAnsi"/>
                <w:sz w:val="18"/>
                <w:szCs w:val="18"/>
                <w:lang w:val="uk-UA"/>
              </w:rPr>
            </w:pPr>
            <w:r w:rsidRPr="00B67D4E">
              <w:rPr>
                <w:rFonts w:asciiTheme="minorHAnsi" w:hAnsiTheme="minorHAnsi" w:cstheme="minorHAnsi"/>
                <w:spacing w:val="-4"/>
                <w:sz w:val="18"/>
                <w:szCs w:val="18"/>
                <w:lang w:val="uk-UA"/>
              </w:rPr>
              <w:t>5.08</w:t>
            </w:r>
          </w:p>
        </w:tc>
        <w:tc>
          <w:tcPr>
            <w:tcW w:w="1813" w:type="dxa"/>
            <w:tcBorders>
              <w:top w:val="single" w:sz="6" w:space="0" w:color="019648"/>
              <w:left w:val="nil"/>
              <w:bottom w:val="single" w:sz="6" w:space="0" w:color="019648"/>
              <w:right w:val="nil"/>
            </w:tcBorders>
          </w:tcPr>
          <w:p w14:paraId="2D37FAAF" w14:textId="687F448F" w:rsidR="00E05B98" w:rsidRPr="00047479" w:rsidRDefault="00047479">
            <w:pPr>
              <w:pStyle w:val="TableParagraph"/>
              <w:ind w:left="125"/>
              <w:rPr>
                <w:rFonts w:asciiTheme="minorHAnsi" w:hAnsiTheme="minorHAnsi" w:cstheme="minorHAnsi"/>
                <w:sz w:val="18"/>
                <w:szCs w:val="18"/>
                <w:lang w:val="uk-UA"/>
              </w:rPr>
            </w:pPr>
            <w:r>
              <w:rPr>
                <w:rFonts w:asciiTheme="minorHAnsi" w:hAnsiTheme="minorHAnsi" w:cstheme="minorHAnsi"/>
                <w:spacing w:val="-2"/>
                <w:sz w:val="18"/>
                <w:szCs w:val="18"/>
                <w:lang w:val="uk-UA"/>
              </w:rPr>
              <w:t>Референтне значення</w:t>
            </w:r>
          </w:p>
        </w:tc>
      </w:tr>
      <w:tr w:rsidR="00E05B98" w:rsidRPr="00B67D4E" w14:paraId="42440138" w14:textId="77777777" w:rsidTr="00B67D4E">
        <w:trPr>
          <w:trHeight w:val="647"/>
        </w:trPr>
        <w:tc>
          <w:tcPr>
            <w:tcW w:w="1246" w:type="dxa"/>
            <w:tcBorders>
              <w:top w:val="nil"/>
              <w:left w:val="nil"/>
              <w:bottom w:val="single" w:sz="6" w:space="0" w:color="019648"/>
              <w:right w:val="nil"/>
            </w:tcBorders>
          </w:tcPr>
          <w:p w14:paraId="1EDFA51C" w14:textId="77777777" w:rsidR="00E05B98" w:rsidRPr="00B67D4E" w:rsidRDefault="00E05B98">
            <w:pPr>
              <w:pStyle w:val="TableParagraph"/>
              <w:spacing w:before="0"/>
              <w:ind w:left="0"/>
              <w:rPr>
                <w:rFonts w:asciiTheme="minorHAnsi" w:hAnsiTheme="minorHAnsi" w:cstheme="minorHAnsi"/>
                <w:sz w:val="18"/>
                <w:szCs w:val="18"/>
                <w:lang w:val="uk-UA"/>
              </w:rPr>
            </w:pPr>
          </w:p>
        </w:tc>
        <w:tc>
          <w:tcPr>
            <w:tcW w:w="3289" w:type="dxa"/>
            <w:tcBorders>
              <w:top w:val="single" w:sz="6" w:space="0" w:color="019648"/>
              <w:left w:val="nil"/>
              <w:bottom w:val="single" w:sz="6" w:space="0" w:color="019648"/>
              <w:right w:val="nil"/>
            </w:tcBorders>
          </w:tcPr>
          <w:p w14:paraId="04CDDCF2" w14:textId="0A9034C0" w:rsidR="00E05B98" w:rsidRPr="00B67D4E" w:rsidRDefault="007B2809">
            <w:pPr>
              <w:pStyle w:val="TableParagraph"/>
              <w:spacing w:line="249" w:lineRule="auto"/>
              <w:ind w:right="127"/>
              <w:rPr>
                <w:rFonts w:asciiTheme="minorHAnsi" w:hAnsiTheme="minorHAnsi" w:cstheme="minorHAnsi"/>
                <w:sz w:val="18"/>
                <w:szCs w:val="18"/>
                <w:lang w:val="uk-UA"/>
              </w:rPr>
            </w:pPr>
            <w:r w:rsidRPr="00B67D4E">
              <w:rPr>
                <w:rFonts w:asciiTheme="minorHAnsi" w:hAnsiTheme="minorHAnsi" w:cstheme="minorHAnsi"/>
                <w:sz w:val="18"/>
                <w:szCs w:val="18"/>
                <w:lang w:val="uk-UA"/>
              </w:rPr>
              <w:t xml:space="preserve">аТАНК-НС  на зразках </w:t>
            </w:r>
            <w:r w:rsidR="00DA4C7E">
              <w:rPr>
                <w:rFonts w:asciiTheme="minorHAnsi" w:hAnsiTheme="minorHAnsi" w:cstheme="minorHAnsi"/>
                <w:sz w:val="18"/>
                <w:szCs w:val="18"/>
                <w:lang w:val="uk-UA"/>
              </w:rPr>
              <w:t xml:space="preserve">із </w:t>
            </w:r>
            <w:r w:rsidRPr="00B67D4E">
              <w:rPr>
                <w:rFonts w:asciiTheme="minorHAnsi" w:hAnsiTheme="minorHAnsi" w:cstheme="minorHAnsi"/>
                <w:sz w:val="18"/>
                <w:szCs w:val="18"/>
                <w:lang w:val="uk-UA"/>
              </w:rPr>
              <w:t>дихальних шляхів та калу, а також аналізу LF-LAM</w:t>
            </w:r>
          </w:p>
        </w:tc>
        <w:tc>
          <w:tcPr>
            <w:tcW w:w="1020" w:type="dxa"/>
            <w:tcBorders>
              <w:top w:val="single" w:sz="6" w:space="0" w:color="019648"/>
              <w:left w:val="nil"/>
              <w:bottom w:val="single" w:sz="6" w:space="0" w:color="019648"/>
              <w:right w:val="nil"/>
            </w:tcBorders>
          </w:tcPr>
          <w:p w14:paraId="68A1E51C" w14:textId="77777777" w:rsidR="00E05B98" w:rsidRPr="00B67D4E" w:rsidRDefault="00B01E0C">
            <w:pPr>
              <w:pStyle w:val="TableParagraph"/>
              <w:rPr>
                <w:rFonts w:asciiTheme="minorHAnsi" w:hAnsiTheme="minorHAnsi" w:cstheme="minorHAnsi"/>
                <w:sz w:val="18"/>
                <w:szCs w:val="18"/>
                <w:lang w:val="uk-UA"/>
              </w:rPr>
            </w:pPr>
            <w:r w:rsidRPr="00B67D4E">
              <w:rPr>
                <w:rFonts w:asciiTheme="minorHAnsi" w:hAnsiTheme="minorHAnsi" w:cstheme="minorHAnsi"/>
                <w:spacing w:val="-5"/>
                <w:w w:val="105"/>
                <w:sz w:val="18"/>
                <w:szCs w:val="18"/>
                <w:lang w:val="uk-UA"/>
              </w:rPr>
              <w:t>460</w:t>
            </w:r>
          </w:p>
        </w:tc>
        <w:tc>
          <w:tcPr>
            <w:tcW w:w="1700" w:type="dxa"/>
            <w:tcBorders>
              <w:top w:val="single" w:sz="6" w:space="0" w:color="019648"/>
              <w:left w:val="nil"/>
              <w:bottom w:val="single" w:sz="6" w:space="0" w:color="019648"/>
              <w:right w:val="nil"/>
            </w:tcBorders>
          </w:tcPr>
          <w:p w14:paraId="25DF6207" w14:textId="77777777" w:rsidR="00E05B98" w:rsidRPr="00B67D4E" w:rsidRDefault="00B01E0C">
            <w:pPr>
              <w:pStyle w:val="TableParagraph"/>
              <w:ind w:left="124"/>
              <w:rPr>
                <w:rFonts w:asciiTheme="minorHAnsi" w:hAnsiTheme="minorHAnsi" w:cstheme="minorHAnsi"/>
                <w:sz w:val="18"/>
                <w:szCs w:val="18"/>
                <w:lang w:val="uk-UA"/>
              </w:rPr>
            </w:pPr>
            <w:r w:rsidRPr="00B67D4E">
              <w:rPr>
                <w:rFonts w:asciiTheme="minorHAnsi" w:hAnsiTheme="minorHAnsi" w:cstheme="minorHAnsi"/>
                <w:spacing w:val="-5"/>
                <w:sz w:val="18"/>
                <w:szCs w:val="18"/>
                <w:lang w:val="uk-UA"/>
              </w:rPr>
              <w:t>1.8</w:t>
            </w:r>
          </w:p>
        </w:tc>
        <w:tc>
          <w:tcPr>
            <w:tcW w:w="1813" w:type="dxa"/>
            <w:tcBorders>
              <w:top w:val="single" w:sz="6" w:space="0" w:color="019648"/>
              <w:left w:val="nil"/>
              <w:bottom w:val="single" w:sz="6" w:space="0" w:color="019648"/>
              <w:right w:val="nil"/>
            </w:tcBorders>
          </w:tcPr>
          <w:p w14:paraId="05C06DE1" w14:textId="77777777" w:rsidR="00E05B98" w:rsidRPr="00B67D4E" w:rsidRDefault="00B01E0C">
            <w:pPr>
              <w:pStyle w:val="TableParagraph"/>
              <w:ind w:left="125"/>
              <w:rPr>
                <w:rFonts w:asciiTheme="minorHAnsi" w:hAnsiTheme="minorHAnsi" w:cstheme="minorHAnsi"/>
                <w:sz w:val="18"/>
                <w:szCs w:val="18"/>
                <w:lang w:val="uk-UA"/>
              </w:rPr>
            </w:pPr>
            <w:r w:rsidRPr="00B67D4E">
              <w:rPr>
                <w:rFonts w:asciiTheme="minorHAnsi" w:hAnsiTheme="minorHAnsi" w:cstheme="minorHAnsi"/>
                <w:sz w:val="18"/>
                <w:szCs w:val="18"/>
                <w:lang w:val="uk-UA"/>
              </w:rPr>
              <w:t>43</w:t>
            </w:r>
            <w:r w:rsidRPr="00B67D4E">
              <w:rPr>
                <w:rFonts w:asciiTheme="minorHAnsi" w:hAnsiTheme="minorHAnsi" w:cstheme="minorHAnsi"/>
                <w:spacing w:val="-1"/>
                <w:sz w:val="18"/>
                <w:szCs w:val="18"/>
                <w:lang w:val="uk-UA"/>
              </w:rPr>
              <w:t xml:space="preserve"> </w:t>
            </w:r>
            <w:r w:rsidRPr="00B67D4E">
              <w:rPr>
                <w:rFonts w:asciiTheme="minorHAnsi" w:hAnsiTheme="minorHAnsi" w:cstheme="minorHAnsi"/>
                <w:spacing w:val="-2"/>
                <w:sz w:val="18"/>
                <w:szCs w:val="18"/>
                <w:lang w:val="uk-UA"/>
              </w:rPr>
              <w:t>(28–89)</w:t>
            </w:r>
          </w:p>
        </w:tc>
      </w:tr>
      <w:tr w:rsidR="00E05B98" w:rsidRPr="00B67D4E" w14:paraId="31391B71" w14:textId="77777777" w:rsidTr="00B67D4E">
        <w:trPr>
          <w:trHeight w:val="458"/>
        </w:trPr>
        <w:tc>
          <w:tcPr>
            <w:tcW w:w="1246" w:type="dxa"/>
            <w:tcBorders>
              <w:top w:val="single" w:sz="6" w:space="0" w:color="019648"/>
              <w:left w:val="nil"/>
              <w:bottom w:val="nil"/>
              <w:right w:val="nil"/>
            </w:tcBorders>
          </w:tcPr>
          <w:p w14:paraId="45EF88D3" w14:textId="7CD6C6A9" w:rsidR="00E05B98" w:rsidRPr="00B67D4E" w:rsidRDefault="007B2809">
            <w:pPr>
              <w:pStyle w:val="TableParagraph"/>
              <w:rPr>
                <w:rFonts w:asciiTheme="minorHAnsi" w:hAnsiTheme="minorHAnsi" w:cstheme="minorHAnsi"/>
                <w:sz w:val="18"/>
                <w:szCs w:val="18"/>
                <w:lang w:val="uk-UA"/>
              </w:rPr>
            </w:pPr>
            <w:r w:rsidRPr="00B67D4E">
              <w:rPr>
                <w:rFonts w:asciiTheme="minorHAnsi" w:hAnsiTheme="minorHAnsi" w:cstheme="minorHAnsi"/>
                <w:spacing w:val="-2"/>
                <w:sz w:val="18"/>
                <w:szCs w:val="18"/>
                <w:lang w:val="uk-UA"/>
              </w:rPr>
              <w:t>Філіппіни</w:t>
            </w:r>
          </w:p>
        </w:tc>
        <w:tc>
          <w:tcPr>
            <w:tcW w:w="3289" w:type="dxa"/>
            <w:tcBorders>
              <w:top w:val="single" w:sz="6" w:space="0" w:color="019648"/>
              <w:left w:val="nil"/>
              <w:bottom w:val="single" w:sz="6" w:space="0" w:color="019648"/>
              <w:right w:val="nil"/>
            </w:tcBorders>
          </w:tcPr>
          <w:p w14:paraId="1160EB6F" w14:textId="561B2FE7" w:rsidR="00E05B98" w:rsidRPr="00B67D4E" w:rsidRDefault="007B2809">
            <w:pPr>
              <w:pStyle w:val="TableParagraph"/>
              <w:spacing w:line="249" w:lineRule="auto"/>
              <w:ind w:right="127"/>
              <w:rPr>
                <w:rFonts w:asciiTheme="minorHAnsi" w:hAnsiTheme="minorHAnsi" w:cstheme="minorHAnsi"/>
                <w:sz w:val="18"/>
                <w:szCs w:val="18"/>
                <w:lang w:val="uk-UA"/>
              </w:rPr>
            </w:pPr>
            <w:r w:rsidRPr="00B67D4E">
              <w:rPr>
                <w:rFonts w:asciiTheme="minorHAnsi" w:hAnsiTheme="minorHAnsi" w:cstheme="minorHAnsi"/>
                <w:spacing w:val="-2"/>
                <w:sz w:val="18"/>
                <w:szCs w:val="18"/>
                <w:lang w:val="uk-UA"/>
              </w:rPr>
              <w:t>аТАНК-НС на зразку з дихальних шляхів</w:t>
            </w:r>
          </w:p>
        </w:tc>
        <w:tc>
          <w:tcPr>
            <w:tcW w:w="1020" w:type="dxa"/>
            <w:tcBorders>
              <w:top w:val="single" w:sz="6" w:space="0" w:color="019648"/>
              <w:left w:val="nil"/>
              <w:bottom w:val="single" w:sz="6" w:space="0" w:color="019648"/>
              <w:right w:val="nil"/>
            </w:tcBorders>
          </w:tcPr>
          <w:p w14:paraId="4E34C090" w14:textId="77777777" w:rsidR="00E05B98" w:rsidRPr="00B67D4E" w:rsidRDefault="00B01E0C">
            <w:pPr>
              <w:pStyle w:val="TableParagraph"/>
              <w:rPr>
                <w:rFonts w:asciiTheme="minorHAnsi" w:hAnsiTheme="minorHAnsi" w:cstheme="minorHAnsi"/>
                <w:sz w:val="18"/>
                <w:szCs w:val="18"/>
                <w:lang w:val="uk-UA"/>
              </w:rPr>
            </w:pPr>
            <w:r w:rsidRPr="00B67D4E">
              <w:rPr>
                <w:rFonts w:asciiTheme="minorHAnsi" w:hAnsiTheme="minorHAnsi" w:cstheme="minorHAnsi"/>
                <w:spacing w:val="-5"/>
                <w:w w:val="105"/>
                <w:sz w:val="18"/>
                <w:szCs w:val="18"/>
                <w:lang w:val="uk-UA"/>
              </w:rPr>
              <w:t>249</w:t>
            </w:r>
          </w:p>
        </w:tc>
        <w:tc>
          <w:tcPr>
            <w:tcW w:w="1700" w:type="dxa"/>
            <w:tcBorders>
              <w:top w:val="single" w:sz="6" w:space="0" w:color="019648"/>
              <w:left w:val="nil"/>
              <w:bottom w:val="single" w:sz="6" w:space="0" w:color="019648"/>
              <w:right w:val="nil"/>
            </w:tcBorders>
          </w:tcPr>
          <w:p w14:paraId="58CC39D7" w14:textId="77777777" w:rsidR="00E05B98" w:rsidRPr="00B67D4E" w:rsidRDefault="00B01E0C">
            <w:pPr>
              <w:pStyle w:val="TableParagraph"/>
              <w:ind w:left="124"/>
              <w:rPr>
                <w:rFonts w:asciiTheme="minorHAnsi" w:hAnsiTheme="minorHAnsi" w:cstheme="minorHAnsi"/>
                <w:sz w:val="18"/>
                <w:szCs w:val="18"/>
                <w:lang w:val="uk-UA"/>
              </w:rPr>
            </w:pPr>
            <w:r w:rsidRPr="00B67D4E">
              <w:rPr>
                <w:rFonts w:asciiTheme="minorHAnsi" w:hAnsiTheme="minorHAnsi" w:cstheme="minorHAnsi"/>
                <w:spacing w:val="-4"/>
                <w:sz w:val="18"/>
                <w:szCs w:val="18"/>
                <w:lang w:val="uk-UA"/>
              </w:rPr>
              <w:t>5.13</w:t>
            </w:r>
          </w:p>
        </w:tc>
        <w:tc>
          <w:tcPr>
            <w:tcW w:w="1813" w:type="dxa"/>
            <w:tcBorders>
              <w:top w:val="single" w:sz="6" w:space="0" w:color="019648"/>
              <w:left w:val="nil"/>
              <w:bottom w:val="single" w:sz="6" w:space="0" w:color="019648"/>
              <w:right w:val="nil"/>
            </w:tcBorders>
          </w:tcPr>
          <w:p w14:paraId="2DD3CBAB" w14:textId="3A8E5F53" w:rsidR="00E05B98" w:rsidRPr="00B67D4E" w:rsidRDefault="00047479">
            <w:pPr>
              <w:pStyle w:val="TableParagraph"/>
              <w:ind w:left="125"/>
              <w:rPr>
                <w:rFonts w:asciiTheme="minorHAnsi" w:hAnsiTheme="minorHAnsi" w:cstheme="minorHAnsi"/>
                <w:sz w:val="18"/>
                <w:szCs w:val="18"/>
                <w:lang w:val="uk-UA"/>
              </w:rPr>
            </w:pPr>
            <w:r>
              <w:rPr>
                <w:rFonts w:asciiTheme="minorHAnsi" w:hAnsiTheme="minorHAnsi" w:cstheme="minorHAnsi"/>
                <w:spacing w:val="-2"/>
                <w:sz w:val="18"/>
                <w:szCs w:val="18"/>
                <w:lang w:val="uk-UA"/>
              </w:rPr>
              <w:t>Референтне значення</w:t>
            </w:r>
          </w:p>
        </w:tc>
      </w:tr>
      <w:tr w:rsidR="00E05B98" w:rsidRPr="00B67D4E" w14:paraId="2DDC0B9E" w14:textId="77777777" w:rsidTr="00B67D4E">
        <w:trPr>
          <w:trHeight w:val="647"/>
        </w:trPr>
        <w:tc>
          <w:tcPr>
            <w:tcW w:w="1246" w:type="dxa"/>
            <w:tcBorders>
              <w:top w:val="nil"/>
              <w:left w:val="nil"/>
              <w:bottom w:val="single" w:sz="6" w:space="0" w:color="019648"/>
              <w:right w:val="nil"/>
            </w:tcBorders>
          </w:tcPr>
          <w:p w14:paraId="76DE79FE" w14:textId="77777777" w:rsidR="00E05B98" w:rsidRPr="00B67D4E" w:rsidRDefault="00E05B98">
            <w:pPr>
              <w:pStyle w:val="TableParagraph"/>
              <w:spacing w:before="0"/>
              <w:ind w:left="0"/>
              <w:rPr>
                <w:rFonts w:asciiTheme="minorHAnsi" w:hAnsiTheme="minorHAnsi" w:cstheme="minorHAnsi"/>
                <w:sz w:val="18"/>
                <w:szCs w:val="18"/>
                <w:lang w:val="uk-UA"/>
              </w:rPr>
            </w:pPr>
          </w:p>
        </w:tc>
        <w:tc>
          <w:tcPr>
            <w:tcW w:w="3289" w:type="dxa"/>
            <w:tcBorders>
              <w:top w:val="single" w:sz="6" w:space="0" w:color="019648"/>
              <w:left w:val="nil"/>
              <w:bottom w:val="single" w:sz="6" w:space="0" w:color="019648"/>
              <w:right w:val="nil"/>
            </w:tcBorders>
          </w:tcPr>
          <w:p w14:paraId="4FFAEB1A" w14:textId="469D344B" w:rsidR="00E05B98" w:rsidRPr="00B67D4E" w:rsidRDefault="007B2809">
            <w:pPr>
              <w:pStyle w:val="TableParagraph"/>
              <w:spacing w:line="249" w:lineRule="auto"/>
              <w:ind w:right="127"/>
              <w:rPr>
                <w:rFonts w:asciiTheme="minorHAnsi" w:hAnsiTheme="minorHAnsi" w:cstheme="minorHAnsi"/>
                <w:sz w:val="18"/>
                <w:szCs w:val="18"/>
                <w:lang w:val="uk-UA"/>
              </w:rPr>
            </w:pPr>
            <w:r w:rsidRPr="00B67D4E">
              <w:rPr>
                <w:rFonts w:asciiTheme="minorHAnsi" w:hAnsiTheme="minorHAnsi" w:cstheme="minorHAnsi"/>
                <w:sz w:val="18"/>
                <w:szCs w:val="18"/>
                <w:lang w:val="uk-UA"/>
              </w:rPr>
              <w:t xml:space="preserve">аТАНК-НС  на зразках </w:t>
            </w:r>
            <w:r w:rsidR="00DA4C7E">
              <w:rPr>
                <w:rFonts w:asciiTheme="minorHAnsi" w:hAnsiTheme="minorHAnsi" w:cstheme="minorHAnsi"/>
                <w:sz w:val="18"/>
                <w:szCs w:val="18"/>
                <w:lang w:val="uk-UA"/>
              </w:rPr>
              <w:t xml:space="preserve">із </w:t>
            </w:r>
            <w:r w:rsidRPr="00B67D4E">
              <w:rPr>
                <w:rFonts w:asciiTheme="minorHAnsi" w:hAnsiTheme="minorHAnsi" w:cstheme="minorHAnsi"/>
                <w:sz w:val="18"/>
                <w:szCs w:val="18"/>
                <w:lang w:val="uk-UA"/>
              </w:rPr>
              <w:t>дихальних шляхів та калу, а також аналізу LF-LAM</w:t>
            </w:r>
          </w:p>
        </w:tc>
        <w:tc>
          <w:tcPr>
            <w:tcW w:w="1020" w:type="dxa"/>
            <w:tcBorders>
              <w:top w:val="single" w:sz="6" w:space="0" w:color="019648"/>
              <w:left w:val="nil"/>
              <w:bottom w:val="single" w:sz="6" w:space="0" w:color="019648"/>
              <w:right w:val="nil"/>
            </w:tcBorders>
          </w:tcPr>
          <w:p w14:paraId="681A1896" w14:textId="77777777" w:rsidR="00E05B98" w:rsidRPr="00B67D4E" w:rsidRDefault="00B01E0C">
            <w:pPr>
              <w:pStyle w:val="TableParagraph"/>
              <w:rPr>
                <w:rFonts w:asciiTheme="minorHAnsi" w:hAnsiTheme="minorHAnsi" w:cstheme="minorHAnsi"/>
                <w:sz w:val="18"/>
                <w:szCs w:val="18"/>
                <w:lang w:val="uk-UA"/>
              </w:rPr>
            </w:pPr>
            <w:r w:rsidRPr="00B67D4E">
              <w:rPr>
                <w:rFonts w:asciiTheme="minorHAnsi" w:hAnsiTheme="minorHAnsi" w:cstheme="minorHAnsi"/>
                <w:spacing w:val="-5"/>
                <w:w w:val="105"/>
                <w:sz w:val="18"/>
                <w:szCs w:val="18"/>
                <w:lang w:val="uk-UA"/>
              </w:rPr>
              <w:t>345</w:t>
            </w:r>
          </w:p>
        </w:tc>
        <w:tc>
          <w:tcPr>
            <w:tcW w:w="1700" w:type="dxa"/>
            <w:tcBorders>
              <w:top w:val="single" w:sz="6" w:space="0" w:color="019648"/>
              <w:left w:val="nil"/>
              <w:bottom w:val="single" w:sz="6" w:space="0" w:color="019648"/>
              <w:right w:val="nil"/>
            </w:tcBorders>
          </w:tcPr>
          <w:p w14:paraId="4C2E3205" w14:textId="77777777" w:rsidR="00E05B98" w:rsidRPr="00B67D4E" w:rsidRDefault="00B01E0C">
            <w:pPr>
              <w:pStyle w:val="TableParagraph"/>
              <w:ind w:left="124"/>
              <w:rPr>
                <w:rFonts w:asciiTheme="minorHAnsi" w:hAnsiTheme="minorHAnsi" w:cstheme="minorHAnsi"/>
                <w:sz w:val="18"/>
                <w:szCs w:val="18"/>
                <w:lang w:val="uk-UA"/>
              </w:rPr>
            </w:pPr>
            <w:r w:rsidRPr="00B67D4E">
              <w:rPr>
                <w:rFonts w:asciiTheme="minorHAnsi" w:hAnsiTheme="minorHAnsi" w:cstheme="minorHAnsi"/>
                <w:spacing w:val="-4"/>
                <w:sz w:val="18"/>
                <w:szCs w:val="18"/>
                <w:lang w:val="uk-UA"/>
              </w:rPr>
              <w:t>1.77</w:t>
            </w:r>
          </w:p>
        </w:tc>
        <w:tc>
          <w:tcPr>
            <w:tcW w:w="1813" w:type="dxa"/>
            <w:tcBorders>
              <w:top w:val="single" w:sz="6" w:space="0" w:color="019648"/>
              <w:left w:val="nil"/>
              <w:bottom w:val="single" w:sz="6" w:space="0" w:color="019648"/>
              <w:right w:val="nil"/>
            </w:tcBorders>
          </w:tcPr>
          <w:p w14:paraId="2341C980" w14:textId="77777777" w:rsidR="00E05B98" w:rsidRPr="00B67D4E" w:rsidRDefault="00B01E0C">
            <w:pPr>
              <w:pStyle w:val="TableParagraph"/>
              <w:ind w:left="125"/>
              <w:rPr>
                <w:rFonts w:asciiTheme="minorHAnsi" w:hAnsiTheme="minorHAnsi" w:cstheme="minorHAnsi"/>
                <w:sz w:val="18"/>
                <w:szCs w:val="18"/>
                <w:lang w:val="uk-UA"/>
              </w:rPr>
            </w:pPr>
            <w:r w:rsidRPr="00B67D4E">
              <w:rPr>
                <w:rFonts w:asciiTheme="minorHAnsi" w:hAnsiTheme="minorHAnsi" w:cstheme="minorHAnsi"/>
                <w:sz w:val="18"/>
                <w:szCs w:val="18"/>
                <w:lang w:val="uk-UA"/>
              </w:rPr>
              <w:t>29</w:t>
            </w:r>
            <w:r w:rsidRPr="00B67D4E">
              <w:rPr>
                <w:rFonts w:asciiTheme="minorHAnsi" w:hAnsiTheme="minorHAnsi" w:cstheme="minorHAnsi"/>
                <w:spacing w:val="-1"/>
                <w:sz w:val="18"/>
                <w:szCs w:val="18"/>
                <w:lang w:val="uk-UA"/>
              </w:rPr>
              <w:t xml:space="preserve"> </w:t>
            </w:r>
            <w:r w:rsidRPr="00B67D4E">
              <w:rPr>
                <w:rFonts w:asciiTheme="minorHAnsi" w:hAnsiTheme="minorHAnsi" w:cstheme="minorHAnsi"/>
                <w:spacing w:val="-2"/>
                <w:sz w:val="18"/>
                <w:szCs w:val="18"/>
                <w:lang w:val="uk-UA"/>
              </w:rPr>
              <w:t>(18–63)</w:t>
            </w:r>
          </w:p>
        </w:tc>
      </w:tr>
    </w:tbl>
    <w:p w14:paraId="6DB67740" w14:textId="3E101B61" w:rsidR="00E05B98" w:rsidRPr="00821945" w:rsidRDefault="00D11D8C">
      <w:pPr>
        <w:spacing w:before="257" w:line="254" w:lineRule="auto"/>
        <w:ind w:left="567" w:right="140"/>
        <w:jc w:val="both"/>
        <w:rPr>
          <w:sz w:val="16"/>
          <w:szCs w:val="16"/>
          <w:lang w:val="uk-UA"/>
        </w:rPr>
      </w:pPr>
      <w:r w:rsidRPr="00B67D4E">
        <w:rPr>
          <w:sz w:val="16"/>
          <w:szCs w:val="16"/>
          <w:lang w:val="uk-UA"/>
        </w:rPr>
        <w:t>аТАНК-НС: автоматизований тест ампліфікаці</w:t>
      </w:r>
      <w:r>
        <w:rPr>
          <w:sz w:val="16"/>
          <w:szCs w:val="16"/>
          <w:lang w:val="uk-UA"/>
        </w:rPr>
        <w:t>ї</w:t>
      </w:r>
      <w:r w:rsidRPr="00B67D4E">
        <w:rPr>
          <w:sz w:val="16"/>
          <w:szCs w:val="16"/>
          <w:lang w:val="uk-UA"/>
        </w:rPr>
        <w:t xml:space="preserve"> нуклеїнових кислот низької складності;</w:t>
      </w:r>
      <w:r>
        <w:rPr>
          <w:sz w:val="16"/>
          <w:szCs w:val="16"/>
          <w:lang w:val="uk-UA"/>
        </w:rPr>
        <w:t xml:space="preserve"> </w:t>
      </w:r>
      <w:r w:rsidRPr="004B7764">
        <w:rPr>
          <w:sz w:val="16"/>
          <w:szCs w:val="16"/>
          <w:lang w:val="uk-UA"/>
        </w:rPr>
        <w:t>ВІЛ: вірус імунодефіциту людини;</w:t>
      </w:r>
      <w:r>
        <w:rPr>
          <w:sz w:val="16"/>
          <w:szCs w:val="16"/>
          <w:lang w:val="uk-UA"/>
        </w:rPr>
        <w:t xml:space="preserve"> </w:t>
      </w:r>
      <w:r w:rsidR="00B67D4E" w:rsidRPr="004B7764">
        <w:rPr>
          <w:sz w:val="16"/>
          <w:szCs w:val="16"/>
          <w:lang w:val="uk-UA"/>
        </w:rPr>
        <w:t xml:space="preserve">DALY: роки життя з поправкою на </w:t>
      </w:r>
      <w:r w:rsidR="00F15A11" w:rsidRPr="004B7764">
        <w:rPr>
          <w:sz w:val="16"/>
          <w:szCs w:val="16"/>
          <w:lang w:val="uk-UA"/>
        </w:rPr>
        <w:t>непрацездатність</w:t>
      </w:r>
      <w:r w:rsidR="00B67D4E" w:rsidRPr="004B7764">
        <w:rPr>
          <w:sz w:val="16"/>
          <w:szCs w:val="16"/>
          <w:lang w:val="uk-UA"/>
        </w:rPr>
        <w:t xml:space="preserve">; ICER: </w:t>
      </w:r>
      <w:r w:rsidR="00F15A11" w:rsidRPr="004B7764">
        <w:rPr>
          <w:sz w:val="16"/>
          <w:szCs w:val="16"/>
          <w:lang w:val="uk-UA"/>
        </w:rPr>
        <w:t xml:space="preserve">інкрементний </w:t>
      </w:r>
      <w:r w:rsidR="00B67D4E" w:rsidRPr="004B7764">
        <w:rPr>
          <w:sz w:val="16"/>
          <w:szCs w:val="16"/>
          <w:lang w:val="uk-UA"/>
        </w:rPr>
        <w:t>коефіцієнт</w:t>
      </w:r>
      <w:r w:rsidR="00B67D4E" w:rsidRPr="00B67D4E">
        <w:rPr>
          <w:sz w:val="16"/>
          <w:szCs w:val="16"/>
          <w:lang w:val="uk-UA"/>
        </w:rPr>
        <w:t xml:space="preserve"> ефективності</w:t>
      </w:r>
      <w:r w:rsidR="00F15A11">
        <w:rPr>
          <w:sz w:val="16"/>
          <w:szCs w:val="16"/>
          <w:lang w:val="uk-UA"/>
        </w:rPr>
        <w:t xml:space="preserve"> витрат</w:t>
      </w:r>
      <w:r w:rsidR="00B67D4E" w:rsidRPr="00B67D4E">
        <w:rPr>
          <w:sz w:val="16"/>
          <w:szCs w:val="16"/>
          <w:lang w:val="uk-UA"/>
        </w:rPr>
        <w:t>;</w:t>
      </w:r>
      <w:r>
        <w:rPr>
          <w:sz w:val="16"/>
          <w:szCs w:val="16"/>
          <w:lang w:val="uk-UA"/>
        </w:rPr>
        <w:t xml:space="preserve"> </w:t>
      </w:r>
      <w:r w:rsidRPr="00B67D4E">
        <w:rPr>
          <w:sz w:val="16"/>
          <w:szCs w:val="16"/>
          <w:lang w:val="uk-UA"/>
        </w:rPr>
        <w:t>UR: діапазон невизначеності</w:t>
      </w:r>
      <w:r>
        <w:rPr>
          <w:sz w:val="16"/>
          <w:szCs w:val="16"/>
          <w:lang w:val="uk-UA"/>
        </w:rPr>
        <w:t>;</w:t>
      </w:r>
      <w:r w:rsidR="00B67D4E" w:rsidRPr="00B67D4E">
        <w:rPr>
          <w:sz w:val="16"/>
          <w:szCs w:val="16"/>
          <w:lang w:val="uk-UA"/>
        </w:rPr>
        <w:t xml:space="preserve"> LF-LAM: ліпоарабіноманнановий аналіз бокового зсуву на зразку сечі; </w:t>
      </w:r>
    </w:p>
    <w:p w14:paraId="0C09BDB3" w14:textId="77777777" w:rsidR="00E05B98" w:rsidRPr="00B67D4E" w:rsidRDefault="00E05B98">
      <w:pPr>
        <w:pStyle w:val="a3"/>
        <w:spacing w:before="137"/>
        <w:rPr>
          <w:sz w:val="10"/>
          <w:szCs w:val="10"/>
          <w:lang w:val="uk-UA"/>
        </w:rPr>
      </w:pPr>
    </w:p>
    <w:p w14:paraId="6CBF41C8" w14:textId="05F89AB4" w:rsidR="00E05B98" w:rsidRPr="00821945" w:rsidRDefault="00B67D4E">
      <w:pPr>
        <w:pStyle w:val="a3"/>
        <w:spacing w:line="295" w:lineRule="auto"/>
        <w:ind w:left="567" w:right="133"/>
        <w:jc w:val="both"/>
        <w:rPr>
          <w:rFonts w:ascii="Arial" w:hAnsi="Arial"/>
          <w:b/>
          <w:sz w:val="20"/>
          <w:szCs w:val="20"/>
          <w:lang w:val="uk-UA"/>
        </w:rPr>
      </w:pPr>
      <w:r>
        <w:rPr>
          <w:sz w:val="20"/>
          <w:szCs w:val="20"/>
          <w:lang w:val="uk-UA"/>
        </w:rPr>
        <w:t xml:space="preserve">У </w:t>
      </w:r>
      <w:r w:rsidRPr="00B67D4E">
        <w:rPr>
          <w:b/>
          <w:bCs/>
          <w:sz w:val="20"/>
          <w:szCs w:val="20"/>
          <w:lang w:val="uk-UA"/>
        </w:rPr>
        <w:t>веб-додатку В.9</w:t>
      </w:r>
      <w:r>
        <w:rPr>
          <w:sz w:val="20"/>
          <w:szCs w:val="20"/>
          <w:lang w:val="uk-UA"/>
        </w:rPr>
        <w:t xml:space="preserve"> надано детальну інформацію </w:t>
      </w:r>
      <w:r w:rsidRPr="00B67D4E">
        <w:rPr>
          <w:sz w:val="20"/>
          <w:szCs w:val="20"/>
          <w:lang w:val="uk-UA"/>
        </w:rPr>
        <w:t>про аналіз ефективності</w:t>
      </w:r>
      <w:r w:rsidR="004B7764">
        <w:rPr>
          <w:sz w:val="20"/>
          <w:szCs w:val="20"/>
          <w:lang w:val="uk-UA"/>
        </w:rPr>
        <w:t xml:space="preserve"> витрат при</w:t>
      </w:r>
      <w:r w:rsidRPr="00B67D4E">
        <w:rPr>
          <w:sz w:val="20"/>
          <w:szCs w:val="20"/>
          <w:lang w:val="uk-UA"/>
        </w:rPr>
        <w:t xml:space="preserve"> одночасно</w:t>
      </w:r>
      <w:r w:rsidR="004B7764">
        <w:rPr>
          <w:sz w:val="20"/>
          <w:szCs w:val="20"/>
          <w:lang w:val="uk-UA"/>
        </w:rPr>
        <w:t>му</w:t>
      </w:r>
      <w:r w:rsidRPr="00B67D4E">
        <w:rPr>
          <w:sz w:val="20"/>
          <w:szCs w:val="20"/>
          <w:lang w:val="uk-UA"/>
        </w:rPr>
        <w:t xml:space="preserve"> використанн</w:t>
      </w:r>
      <w:r w:rsidR="004B7764">
        <w:rPr>
          <w:sz w:val="20"/>
          <w:szCs w:val="20"/>
          <w:lang w:val="uk-UA"/>
        </w:rPr>
        <w:t>і</w:t>
      </w:r>
      <w:r w:rsidRPr="00B67D4E">
        <w:rPr>
          <w:sz w:val="20"/>
          <w:szCs w:val="20"/>
          <w:lang w:val="uk-UA"/>
        </w:rPr>
        <w:t xml:space="preserve"> тестів у дітей з ВІЛ</w:t>
      </w:r>
      <w:r>
        <w:rPr>
          <w:sz w:val="20"/>
          <w:szCs w:val="20"/>
          <w:lang w:val="uk-UA"/>
        </w:rPr>
        <w:t>.</w:t>
      </w:r>
      <w:r w:rsidRPr="00B67D4E">
        <w:rPr>
          <w:sz w:val="20"/>
          <w:szCs w:val="20"/>
          <w:lang w:val="uk-UA"/>
        </w:rPr>
        <w:t xml:space="preserve"> </w:t>
      </w:r>
    </w:p>
    <w:p w14:paraId="004B99FC" w14:textId="77777777" w:rsidR="00E05B98" w:rsidRPr="00821945" w:rsidRDefault="00E05B98">
      <w:pPr>
        <w:pStyle w:val="a3"/>
        <w:spacing w:line="295" w:lineRule="auto"/>
        <w:jc w:val="both"/>
        <w:rPr>
          <w:rFonts w:ascii="Arial" w:hAnsi="Arial"/>
          <w:b/>
          <w:sz w:val="20"/>
          <w:szCs w:val="20"/>
          <w:lang w:val="uk-UA"/>
        </w:rPr>
        <w:sectPr w:rsidR="00E05B98" w:rsidRPr="00821945" w:rsidSect="00B67D4E">
          <w:pgSz w:w="11910" w:h="16840"/>
          <w:pgMar w:top="1135" w:right="1275" w:bottom="760" w:left="850" w:header="0" w:footer="573" w:gutter="0"/>
          <w:cols w:space="720"/>
        </w:sectPr>
      </w:pPr>
    </w:p>
    <w:p w14:paraId="6F5F03A1" w14:textId="08E865F2" w:rsidR="00E05B98" w:rsidRPr="00B67D4E" w:rsidRDefault="00B67D4E" w:rsidP="001B1C57">
      <w:pPr>
        <w:pStyle w:val="5"/>
        <w:spacing w:before="45"/>
        <w:jc w:val="both"/>
        <w:rPr>
          <w:sz w:val="26"/>
          <w:szCs w:val="26"/>
          <w:lang w:val="uk-UA"/>
        </w:rPr>
      </w:pPr>
      <w:r>
        <w:rPr>
          <w:color w:val="019648"/>
          <w:spacing w:val="-2"/>
          <w:sz w:val="26"/>
          <w:szCs w:val="26"/>
          <w:lang w:val="uk-UA"/>
        </w:rPr>
        <w:lastRenderedPageBreak/>
        <w:t>Точка зору користувача</w:t>
      </w:r>
    </w:p>
    <w:p w14:paraId="2B1B2257" w14:textId="231D7725" w:rsidR="00E05B98" w:rsidRPr="00821945" w:rsidRDefault="00DC7817" w:rsidP="001B1C57">
      <w:pPr>
        <w:pStyle w:val="a3"/>
        <w:spacing w:before="219" w:line="276" w:lineRule="auto"/>
        <w:ind w:left="567"/>
        <w:jc w:val="both"/>
        <w:rPr>
          <w:sz w:val="20"/>
          <w:szCs w:val="20"/>
          <w:lang w:val="uk-UA"/>
        </w:rPr>
      </w:pPr>
      <w:r w:rsidRPr="00DC7817">
        <w:rPr>
          <w:spacing w:val="-4"/>
          <w:sz w:val="20"/>
          <w:szCs w:val="20"/>
          <w:lang w:val="uk-UA"/>
        </w:rPr>
        <w:t>ГРН оцінювала, чи одночасне тестування кількох зразків збільшить значимість діагностики (тобто користь для пацієнтів або програми з точки зору виявлення більшої кількості людей з ТБ). Одне з питань PICO стосувалося одночасного використання тестів аТАНК-НС на зразках із дихальних шляхів і калу та аналізу LF-LAM на зразку сечі для діагностики ТБ у дітей, які живуть з ВІЛ.</w:t>
      </w:r>
    </w:p>
    <w:p w14:paraId="4B012637" w14:textId="349A631C" w:rsidR="00E05B98" w:rsidRPr="00B67D4E" w:rsidRDefault="00DC7817" w:rsidP="001B1C57">
      <w:pPr>
        <w:pStyle w:val="5"/>
        <w:spacing w:before="202"/>
        <w:jc w:val="both"/>
        <w:rPr>
          <w:sz w:val="26"/>
          <w:szCs w:val="26"/>
          <w:lang w:val="uk-UA"/>
        </w:rPr>
      </w:pPr>
      <w:r w:rsidRPr="00DC7817">
        <w:rPr>
          <w:color w:val="019648"/>
          <w:sz w:val="26"/>
          <w:szCs w:val="26"/>
          <w:lang w:val="uk-UA"/>
        </w:rPr>
        <w:t>Уподобання та цінності користувача</w:t>
      </w:r>
    </w:p>
    <w:p w14:paraId="0623F82E" w14:textId="593FEF27" w:rsidR="00E05B98" w:rsidRPr="00DC7817" w:rsidRDefault="00345B5C" w:rsidP="001B1C57">
      <w:pPr>
        <w:pStyle w:val="a3"/>
        <w:spacing w:before="188" w:line="276" w:lineRule="auto"/>
        <w:ind w:left="567"/>
        <w:jc w:val="both"/>
        <w:rPr>
          <w:sz w:val="20"/>
          <w:szCs w:val="20"/>
          <w:lang w:val="uk-UA"/>
        </w:rPr>
      </w:pPr>
      <w:r w:rsidRPr="00345B5C">
        <w:rPr>
          <w:sz w:val="20"/>
          <w:szCs w:val="20"/>
          <w:lang w:val="uk-UA"/>
        </w:rPr>
        <w:t xml:space="preserve">У ході </w:t>
      </w:r>
      <w:r w:rsidR="00DA4C7E">
        <w:rPr>
          <w:sz w:val="20"/>
          <w:szCs w:val="20"/>
          <w:lang w:val="uk-UA"/>
        </w:rPr>
        <w:t>дослідження</w:t>
      </w:r>
      <w:r w:rsidR="004B7764">
        <w:rPr>
          <w:sz w:val="20"/>
          <w:szCs w:val="20"/>
          <w:lang w:val="uk-UA"/>
        </w:rPr>
        <w:t>, яке передбачало проведення</w:t>
      </w:r>
      <w:r w:rsidR="00DA4C7E">
        <w:rPr>
          <w:sz w:val="20"/>
          <w:szCs w:val="20"/>
          <w:lang w:val="uk-UA"/>
        </w:rPr>
        <w:t xml:space="preserve"> </w:t>
      </w:r>
      <w:r w:rsidRPr="00345B5C">
        <w:rPr>
          <w:sz w:val="20"/>
          <w:szCs w:val="20"/>
          <w:lang w:val="uk-UA"/>
        </w:rPr>
        <w:t>інтерв’ю</w:t>
      </w:r>
      <w:r w:rsidR="004B7764">
        <w:rPr>
          <w:sz w:val="20"/>
          <w:szCs w:val="20"/>
          <w:lang w:val="uk-UA"/>
        </w:rPr>
        <w:t>,</w:t>
      </w:r>
      <w:r w:rsidRPr="00345B5C">
        <w:rPr>
          <w:sz w:val="20"/>
          <w:szCs w:val="20"/>
          <w:lang w:val="uk-UA"/>
        </w:rPr>
        <w:t xml:space="preserve"> </w:t>
      </w:r>
      <w:r w:rsidRPr="004B7764">
        <w:rPr>
          <w:sz w:val="20"/>
          <w:szCs w:val="20"/>
          <w:lang w:val="uk-UA"/>
        </w:rPr>
        <w:t>та синтез</w:t>
      </w:r>
      <w:r w:rsidR="00F77D60" w:rsidRPr="004B7764">
        <w:rPr>
          <w:sz w:val="20"/>
          <w:szCs w:val="20"/>
          <w:lang w:val="uk-UA"/>
        </w:rPr>
        <w:t>у</w:t>
      </w:r>
      <w:r w:rsidRPr="004B7764">
        <w:rPr>
          <w:sz w:val="20"/>
          <w:szCs w:val="20"/>
          <w:lang w:val="uk-UA"/>
        </w:rPr>
        <w:t xml:space="preserve"> якісних доказів</w:t>
      </w:r>
      <w:r w:rsidRPr="00345B5C">
        <w:rPr>
          <w:sz w:val="20"/>
          <w:szCs w:val="20"/>
          <w:lang w:val="uk-UA"/>
        </w:rPr>
        <w:t xml:space="preserve"> не було отримано даних про використання аналізу LF-LAM у дітей, які живуть з ВІЛ. Однак, загалом, пацієнти в країнах з високим тягарем </w:t>
      </w:r>
      <w:r w:rsidR="005A7875" w:rsidRPr="00345B5C">
        <w:rPr>
          <w:sz w:val="20"/>
          <w:szCs w:val="20"/>
          <w:lang w:val="uk-UA"/>
        </w:rPr>
        <w:t>захворюваності</w:t>
      </w:r>
      <w:r w:rsidRPr="00345B5C">
        <w:rPr>
          <w:sz w:val="20"/>
          <w:szCs w:val="20"/>
          <w:lang w:val="uk-UA"/>
        </w:rPr>
        <w:t xml:space="preserve"> на ТБ в якості важливих результатів діагностичного тесту цінують:</w:t>
      </w:r>
    </w:p>
    <w:p w14:paraId="057DCF92" w14:textId="77777777" w:rsidR="00345B5C" w:rsidRPr="00345B5C" w:rsidRDefault="00345B5C" w:rsidP="004A2937">
      <w:pPr>
        <w:pStyle w:val="a4"/>
        <w:numPr>
          <w:ilvl w:val="0"/>
          <w:numId w:val="19"/>
        </w:numPr>
        <w:tabs>
          <w:tab w:val="left" w:pos="850"/>
        </w:tabs>
        <w:spacing w:line="276" w:lineRule="auto"/>
        <w:rPr>
          <w:sz w:val="20"/>
          <w:szCs w:val="20"/>
          <w:lang w:val="uk-UA"/>
        </w:rPr>
      </w:pPr>
      <w:r w:rsidRPr="00345B5C">
        <w:rPr>
          <w:sz w:val="20"/>
          <w:szCs w:val="20"/>
          <w:lang w:val="uk-UA"/>
        </w:rPr>
        <w:t>отримання точного діагнозу та завершення діагностики (нарешті зрозуміти, «що зі мною не так»);</w:t>
      </w:r>
    </w:p>
    <w:p w14:paraId="4690BC5A" w14:textId="33AFF37C" w:rsidR="00345B5C" w:rsidRPr="00345B5C" w:rsidRDefault="00345B5C" w:rsidP="004A2937">
      <w:pPr>
        <w:pStyle w:val="a4"/>
        <w:numPr>
          <w:ilvl w:val="0"/>
          <w:numId w:val="19"/>
        </w:numPr>
        <w:tabs>
          <w:tab w:val="left" w:pos="850"/>
        </w:tabs>
        <w:spacing w:line="276" w:lineRule="auto"/>
        <w:rPr>
          <w:sz w:val="20"/>
          <w:szCs w:val="20"/>
          <w:lang w:val="uk-UA"/>
        </w:rPr>
      </w:pPr>
      <w:r w:rsidRPr="00345B5C">
        <w:rPr>
          <w:sz w:val="20"/>
          <w:szCs w:val="20"/>
          <w:lang w:val="uk-UA"/>
        </w:rPr>
        <w:t>уникнення затримок встановлення діагнозу, оскільки вони посилюють існуючі фінансові труднощі, емоційні та фізичні страждання, а також змушують людей відчувати провину за інфікування інших (особливо дітей);</w:t>
      </w:r>
    </w:p>
    <w:p w14:paraId="399697E5" w14:textId="6691ED1F" w:rsidR="00345B5C" w:rsidRPr="00C034ED" w:rsidRDefault="00345B5C" w:rsidP="004A2937">
      <w:pPr>
        <w:pStyle w:val="a4"/>
        <w:numPr>
          <w:ilvl w:val="0"/>
          <w:numId w:val="19"/>
        </w:numPr>
        <w:tabs>
          <w:tab w:val="left" w:pos="850"/>
        </w:tabs>
        <w:spacing w:line="276" w:lineRule="auto"/>
        <w:rPr>
          <w:sz w:val="20"/>
          <w:szCs w:val="20"/>
          <w:lang w:val="uk-UA"/>
        </w:rPr>
      </w:pPr>
      <w:r w:rsidRPr="00C034ED">
        <w:rPr>
          <w:sz w:val="20"/>
          <w:szCs w:val="20"/>
          <w:lang w:val="uk-UA"/>
        </w:rPr>
        <w:t>наявність доступних закладів; та</w:t>
      </w:r>
    </w:p>
    <w:p w14:paraId="40488A8C" w14:textId="4ED5504E" w:rsidR="00E05B98" w:rsidRPr="00821945" w:rsidRDefault="00345B5C" w:rsidP="004A2937">
      <w:pPr>
        <w:pStyle w:val="a4"/>
        <w:numPr>
          <w:ilvl w:val="0"/>
          <w:numId w:val="19"/>
        </w:numPr>
        <w:tabs>
          <w:tab w:val="left" w:pos="850"/>
        </w:tabs>
        <w:spacing w:line="276" w:lineRule="auto"/>
        <w:rPr>
          <w:sz w:val="20"/>
          <w:szCs w:val="20"/>
          <w:lang w:val="uk-UA"/>
        </w:rPr>
      </w:pPr>
      <w:r w:rsidRPr="00345B5C">
        <w:rPr>
          <w:sz w:val="20"/>
          <w:szCs w:val="20"/>
          <w:lang w:val="uk-UA"/>
        </w:rPr>
        <w:t xml:space="preserve">зменшення витрат, пов'язаних з діагностуванням (наприклад, витрати на проїзд, </w:t>
      </w:r>
      <w:r w:rsidR="005A7875" w:rsidRPr="00345B5C">
        <w:rPr>
          <w:sz w:val="20"/>
          <w:szCs w:val="20"/>
          <w:lang w:val="uk-UA"/>
        </w:rPr>
        <w:t>відсутність</w:t>
      </w:r>
      <w:r w:rsidRPr="00345B5C">
        <w:rPr>
          <w:sz w:val="20"/>
          <w:szCs w:val="20"/>
          <w:lang w:val="uk-UA"/>
        </w:rPr>
        <w:t xml:space="preserve"> на роботі).</w:t>
      </w:r>
    </w:p>
    <w:p w14:paraId="39F7F87F" w14:textId="77777777" w:rsidR="00E05B98" w:rsidRPr="00763037" w:rsidRDefault="00E05B98" w:rsidP="001B1C57">
      <w:pPr>
        <w:pStyle w:val="a3"/>
        <w:spacing w:before="38"/>
        <w:jc w:val="both"/>
        <w:rPr>
          <w:sz w:val="10"/>
          <w:szCs w:val="10"/>
          <w:lang w:val="uk-UA"/>
        </w:rPr>
      </w:pPr>
    </w:p>
    <w:p w14:paraId="4FCE53CB" w14:textId="528B91F9" w:rsidR="00E05B98" w:rsidRPr="003C6DAE" w:rsidRDefault="00763037" w:rsidP="001B1C57">
      <w:pPr>
        <w:spacing w:before="57" w:line="276" w:lineRule="auto"/>
        <w:ind w:left="567"/>
        <w:jc w:val="both"/>
        <w:rPr>
          <w:lang w:val="uk-UA"/>
        </w:rPr>
      </w:pPr>
      <w:r w:rsidRPr="00763037">
        <w:rPr>
          <w:spacing w:val="-2"/>
          <w:sz w:val="20"/>
          <w:szCs w:val="20"/>
          <w:lang w:val="uk-UA"/>
        </w:rPr>
        <w:t xml:space="preserve">Учасники визнають, що збір зразків калу є набагато менш інвазивним, ніж забір зразку шлункового аспірату (див. </w:t>
      </w:r>
      <w:r w:rsidRPr="00763037">
        <w:rPr>
          <w:b/>
          <w:bCs/>
          <w:spacing w:val="-2"/>
          <w:sz w:val="20"/>
          <w:szCs w:val="20"/>
          <w:lang w:val="uk-UA"/>
        </w:rPr>
        <w:t>веб-додаток B.10</w:t>
      </w:r>
      <w:r w:rsidRPr="00763037">
        <w:rPr>
          <w:spacing w:val="-2"/>
          <w:sz w:val="20"/>
          <w:szCs w:val="20"/>
          <w:lang w:val="uk-UA"/>
        </w:rPr>
        <w:t>).</w:t>
      </w:r>
    </w:p>
    <w:p w14:paraId="39716A0A" w14:textId="77777777" w:rsidR="00E05B98" w:rsidRPr="003C6DAE" w:rsidRDefault="00E05B98" w:rsidP="001B1C57">
      <w:pPr>
        <w:pStyle w:val="a3"/>
        <w:spacing w:before="9"/>
        <w:jc w:val="both"/>
        <w:rPr>
          <w:lang w:val="uk-UA"/>
        </w:rPr>
      </w:pPr>
    </w:p>
    <w:p w14:paraId="4EFDCC8F" w14:textId="1419753C" w:rsidR="00E05B98" w:rsidRPr="004B7764" w:rsidRDefault="00162062" w:rsidP="001B1C57">
      <w:pPr>
        <w:pStyle w:val="5"/>
        <w:jc w:val="both"/>
        <w:rPr>
          <w:sz w:val="26"/>
          <w:szCs w:val="26"/>
          <w:lang w:val="uk-UA"/>
        </w:rPr>
      </w:pPr>
      <w:r w:rsidRPr="004B7764">
        <w:rPr>
          <w:color w:val="019648"/>
          <w:spacing w:val="-2"/>
          <w:w w:val="110"/>
          <w:sz w:val="26"/>
          <w:szCs w:val="26"/>
          <w:lang w:val="uk-UA"/>
        </w:rPr>
        <w:t>Справедливість</w:t>
      </w:r>
    </w:p>
    <w:p w14:paraId="799D7C5D" w14:textId="0D482A11" w:rsidR="00E05B98" w:rsidRPr="00821945" w:rsidRDefault="00763037" w:rsidP="001B1C57">
      <w:pPr>
        <w:pStyle w:val="a3"/>
        <w:spacing w:before="218" w:line="276" w:lineRule="auto"/>
        <w:ind w:left="567"/>
        <w:jc w:val="both"/>
        <w:rPr>
          <w:sz w:val="20"/>
          <w:szCs w:val="20"/>
          <w:lang w:val="uk-UA"/>
        </w:rPr>
      </w:pPr>
      <w:r w:rsidRPr="00763037">
        <w:rPr>
          <w:sz w:val="20"/>
          <w:szCs w:val="20"/>
          <w:lang w:val="uk-UA"/>
        </w:rPr>
        <w:t xml:space="preserve">Одночасне тестування різних типів зразків не практикувалося в досліджуваних країнах. Однак одночасне тестування різних типів зразків могло б покращити доступ до медичної допомоги шляхом мінімізації повторних візитів та втрати контактів з пацієнтом  для подальшого спостереження (див. </w:t>
      </w:r>
      <w:r w:rsidRPr="00763037">
        <w:rPr>
          <w:b/>
          <w:bCs/>
          <w:sz w:val="20"/>
          <w:szCs w:val="20"/>
          <w:lang w:val="uk-UA"/>
        </w:rPr>
        <w:t>веб-додаток B.10</w:t>
      </w:r>
      <w:r w:rsidRPr="00763037">
        <w:rPr>
          <w:sz w:val="20"/>
          <w:szCs w:val="20"/>
          <w:lang w:val="uk-UA"/>
        </w:rPr>
        <w:t>).</w:t>
      </w:r>
    </w:p>
    <w:p w14:paraId="29B8E3A3" w14:textId="0162BB84" w:rsidR="00E05B98" w:rsidRPr="003C6DAE" w:rsidRDefault="00111114" w:rsidP="001B1C57">
      <w:pPr>
        <w:pStyle w:val="a3"/>
        <w:spacing w:before="169" w:line="276" w:lineRule="auto"/>
        <w:ind w:left="567"/>
        <w:jc w:val="both"/>
        <w:rPr>
          <w:lang w:val="uk-UA"/>
        </w:rPr>
      </w:pPr>
      <w:r w:rsidRPr="00111114">
        <w:rPr>
          <w:sz w:val="20"/>
          <w:szCs w:val="20"/>
          <w:lang w:val="uk-UA"/>
        </w:rPr>
        <w:t xml:space="preserve">Використання зразків, що не містять мокротиння, може покращити доступ до медичної допомоги, особливо за допомогою тесту, який можна проводити на всіх рівнях системи охорони здоров'я. </w:t>
      </w:r>
      <w:r w:rsidR="005240D3">
        <w:rPr>
          <w:sz w:val="20"/>
          <w:szCs w:val="20"/>
          <w:lang w:val="uk-UA"/>
        </w:rPr>
        <w:t>П</w:t>
      </w:r>
      <w:r w:rsidRPr="00111114">
        <w:rPr>
          <w:sz w:val="20"/>
          <w:szCs w:val="20"/>
          <w:lang w:val="uk-UA"/>
        </w:rPr>
        <w:t>роблеми</w:t>
      </w:r>
      <w:r w:rsidR="00F77D60">
        <w:rPr>
          <w:sz w:val="20"/>
          <w:szCs w:val="20"/>
          <w:lang w:val="uk-UA"/>
        </w:rPr>
        <w:t xml:space="preserve">, </w:t>
      </w:r>
      <w:r w:rsidR="005A7875">
        <w:rPr>
          <w:sz w:val="20"/>
          <w:szCs w:val="20"/>
          <w:lang w:val="uk-UA"/>
        </w:rPr>
        <w:t>пов’язані</w:t>
      </w:r>
      <w:r w:rsidRPr="00111114">
        <w:rPr>
          <w:sz w:val="20"/>
          <w:szCs w:val="20"/>
          <w:lang w:val="uk-UA"/>
        </w:rPr>
        <w:t xml:space="preserve"> з виділенням мокротиння достатньої якості та </w:t>
      </w:r>
      <w:r w:rsidR="00F77D60">
        <w:rPr>
          <w:sz w:val="20"/>
          <w:szCs w:val="20"/>
          <w:lang w:val="uk-UA"/>
        </w:rPr>
        <w:t xml:space="preserve">в достатній </w:t>
      </w:r>
      <w:r w:rsidRPr="00111114">
        <w:rPr>
          <w:sz w:val="20"/>
          <w:szCs w:val="20"/>
          <w:lang w:val="uk-UA"/>
        </w:rPr>
        <w:t>кількості</w:t>
      </w:r>
      <w:r w:rsidR="005240D3">
        <w:rPr>
          <w:sz w:val="20"/>
          <w:szCs w:val="20"/>
          <w:lang w:val="uk-UA"/>
        </w:rPr>
        <w:t>,</w:t>
      </w:r>
      <w:r w:rsidRPr="00111114">
        <w:rPr>
          <w:sz w:val="20"/>
          <w:szCs w:val="20"/>
          <w:lang w:val="uk-UA"/>
        </w:rPr>
        <w:t xml:space="preserve"> </w:t>
      </w:r>
      <w:r w:rsidR="005240D3">
        <w:rPr>
          <w:sz w:val="20"/>
          <w:szCs w:val="20"/>
          <w:lang w:val="uk-UA"/>
        </w:rPr>
        <w:t xml:space="preserve">належним чином документуються </w:t>
      </w:r>
      <w:r w:rsidRPr="00111114">
        <w:rPr>
          <w:sz w:val="20"/>
          <w:szCs w:val="20"/>
          <w:lang w:val="uk-UA"/>
        </w:rPr>
        <w:t>та мож</w:t>
      </w:r>
      <w:r w:rsidR="005240D3">
        <w:rPr>
          <w:sz w:val="20"/>
          <w:szCs w:val="20"/>
          <w:lang w:val="uk-UA"/>
        </w:rPr>
        <w:t>уть</w:t>
      </w:r>
      <w:r w:rsidRPr="00111114">
        <w:rPr>
          <w:sz w:val="20"/>
          <w:szCs w:val="20"/>
          <w:lang w:val="uk-UA"/>
        </w:rPr>
        <w:t xml:space="preserve"> призвести до повторного тестування або отримання хибних результатів. Учасники підкреслили вплив використання аналізу зразку калу на підвищення рівня виявлення випадків захворювання на ТБ та доступу до медичної допомоги, особливо серед малозабезпечених сімей (див. </w:t>
      </w:r>
      <w:r w:rsidRPr="00111114">
        <w:rPr>
          <w:b/>
          <w:bCs/>
          <w:sz w:val="20"/>
          <w:szCs w:val="20"/>
          <w:lang w:val="uk-UA"/>
        </w:rPr>
        <w:t>веб-додаток B.10</w:t>
      </w:r>
      <w:r w:rsidRPr="00111114">
        <w:rPr>
          <w:sz w:val="20"/>
          <w:szCs w:val="20"/>
          <w:lang w:val="uk-UA"/>
        </w:rPr>
        <w:t>).</w:t>
      </w:r>
    </w:p>
    <w:p w14:paraId="3501B4C4" w14:textId="60F374A8" w:rsidR="00E05B98" w:rsidRPr="00111114" w:rsidRDefault="00111114" w:rsidP="001B1C57">
      <w:pPr>
        <w:pStyle w:val="5"/>
        <w:spacing w:before="199"/>
        <w:jc w:val="both"/>
        <w:rPr>
          <w:sz w:val="26"/>
          <w:szCs w:val="26"/>
          <w:lang w:val="uk-UA"/>
        </w:rPr>
      </w:pPr>
      <w:r w:rsidRPr="00111114">
        <w:rPr>
          <w:color w:val="019648"/>
          <w:spacing w:val="-2"/>
          <w:w w:val="115"/>
          <w:sz w:val="26"/>
          <w:szCs w:val="26"/>
          <w:lang w:val="uk-UA"/>
        </w:rPr>
        <w:t>Прийнятність</w:t>
      </w:r>
    </w:p>
    <w:p w14:paraId="1D8080CC" w14:textId="22A93921" w:rsidR="00E05B98" w:rsidRPr="00821945" w:rsidRDefault="00111114" w:rsidP="001B1C57">
      <w:pPr>
        <w:pStyle w:val="a3"/>
        <w:spacing w:before="219" w:line="276" w:lineRule="auto"/>
        <w:ind w:left="567"/>
        <w:jc w:val="both"/>
        <w:rPr>
          <w:sz w:val="20"/>
          <w:szCs w:val="20"/>
          <w:lang w:val="uk-UA"/>
        </w:rPr>
      </w:pPr>
      <w:r w:rsidRPr="00111114">
        <w:rPr>
          <w:sz w:val="20"/>
          <w:szCs w:val="20"/>
          <w:lang w:val="uk-UA"/>
        </w:rPr>
        <w:t xml:space="preserve">У ході проведення </w:t>
      </w:r>
      <w:r w:rsidR="005240D3">
        <w:rPr>
          <w:sz w:val="20"/>
          <w:szCs w:val="20"/>
          <w:lang w:val="uk-UA"/>
        </w:rPr>
        <w:t xml:space="preserve">дослідження шляхом </w:t>
      </w:r>
      <w:r w:rsidRPr="00111114">
        <w:rPr>
          <w:sz w:val="20"/>
          <w:szCs w:val="20"/>
          <w:lang w:val="uk-UA"/>
        </w:rPr>
        <w:t xml:space="preserve">інтерв'ю не було </w:t>
      </w:r>
      <w:r w:rsidR="005240D3">
        <w:rPr>
          <w:sz w:val="20"/>
          <w:szCs w:val="20"/>
          <w:lang w:val="uk-UA"/>
        </w:rPr>
        <w:t>представлено</w:t>
      </w:r>
      <w:r w:rsidRPr="00111114">
        <w:rPr>
          <w:sz w:val="20"/>
          <w:szCs w:val="20"/>
          <w:lang w:val="uk-UA"/>
        </w:rPr>
        <w:t xml:space="preserve"> даних щодо використання аналізу LF-LAM для дітей, які живуть з ВІЛ.</w:t>
      </w:r>
    </w:p>
    <w:p w14:paraId="65D9D16C" w14:textId="0CFBF6BD" w:rsidR="00E05B98" w:rsidRPr="00821945" w:rsidRDefault="001B1C57" w:rsidP="001B1C57">
      <w:pPr>
        <w:pStyle w:val="a3"/>
        <w:spacing w:before="231" w:line="276" w:lineRule="auto"/>
        <w:ind w:left="567"/>
        <w:jc w:val="both"/>
        <w:rPr>
          <w:sz w:val="20"/>
          <w:szCs w:val="20"/>
          <w:lang w:val="uk-UA"/>
        </w:rPr>
      </w:pPr>
      <w:r w:rsidRPr="001B1C57">
        <w:rPr>
          <w:sz w:val="20"/>
          <w:szCs w:val="20"/>
          <w:lang w:val="uk-UA"/>
        </w:rPr>
        <w:t xml:space="preserve">Більшість учасників (у тому числі батьки та законні представники дітей) не відразу зрозуміли, чому за наявності зразка з дихальних шляхів необхідно одночасно досліджувати кілька типів зразків під час одного візиту. </w:t>
      </w:r>
      <w:r w:rsidR="005240D3">
        <w:rPr>
          <w:sz w:val="20"/>
          <w:szCs w:val="20"/>
          <w:lang w:val="uk-UA"/>
        </w:rPr>
        <w:t>Було підкреслено</w:t>
      </w:r>
      <w:r w:rsidRPr="001B1C57">
        <w:rPr>
          <w:sz w:val="20"/>
          <w:szCs w:val="20"/>
          <w:lang w:val="uk-UA"/>
        </w:rPr>
        <w:t xml:space="preserve">, що  вони надають перевагу забору зразка мокротиння, і вони будуть збирати другий за якістю зразок лише в тому разі, якщо він недоступний. Однак учасники також вважали, що одночасне тестування різних типів зразків може бути можливим за наявності рекомендації ВООЗ, змінених діагностичних алгоритмів та спеціального навчання і зміцнення потенціалу для полегшення реалізації такого процесу (див. </w:t>
      </w:r>
      <w:r w:rsidRPr="001B1C57">
        <w:rPr>
          <w:b/>
          <w:bCs/>
          <w:sz w:val="20"/>
          <w:szCs w:val="20"/>
          <w:lang w:val="uk-UA"/>
        </w:rPr>
        <w:t>веб-додаток B.10</w:t>
      </w:r>
      <w:r w:rsidRPr="001B1C57">
        <w:rPr>
          <w:sz w:val="20"/>
          <w:szCs w:val="20"/>
          <w:lang w:val="uk-UA"/>
        </w:rPr>
        <w:t>).</w:t>
      </w:r>
    </w:p>
    <w:p w14:paraId="7D0FC85E" w14:textId="05428DDE" w:rsidR="00E05B98" w:rsidRPr="003C6DAE" w:rsidRDefault="00BA33D8" w:rsidP="00BA33D8">
      <w:pPr>
        <w:pStyle w:val="a3"/>
        <w:spacing w:before="173" w:line="276" w:lineRule="auto"/>
        <w:ind w:left="567"/>
        <w:jc w:val="both"/>
        <w:rPr>
          <w:lang w:val="uk-UA"/>
        </w:rPr>
        <w:sectPr w:rsidR="00E05B98" w:rsidRPr="003C6DAE" w:rsidSect="001B1C57">
          <w:pgSz w:w="11910" w:h="16840"/>
          <w:pgMar w:top="1135" w:right="1137" w:bottom="760" w:left="850" w:header="0" w:footer="573" w:gutter="0"/>
          <w:cols w:space="720"/>
        </w:sectPr>
      </w:pPr>
      <w:r w:rsidRPr="00BA33D8">
        <w:rPr>
          <w:spacing w:val="-4"/>
          <w:sz w:val="20"/>
          <w:szCs w:val="20"/>
          <w:lang w:val="uk-UA"/>
        </w:rPr>
        <w:t xml:space="preserve">Для маленьких дітей, взяття калу </w:t>
      </w:r>
      <w:r w:rsidR="005240D3">
        <w:rPr>
          <w:spacing w:val="-4"/>
          <w:sz w:val="20"/>
          <w:szCs w:val="20"/>
          <w:lang w:val="uk-UA"/>
        </w:rPr>
        <w:t>ви</w:t>
      </w:r>
      <w:r w:rsidRPr="00BA33D8">
        <w:rPr>
          <w:spacing w:val="-4"/>
          <w:sz w:val="20"/>
          <w:szCs w:val="20"/>
          <w:lang w:val="uk-UA"/>
        </w:rPr>
        <w:t xml:space="preserve">дається прийнятним зразком, особливо після відповідного навчання щодо його обробки. Взяття зразка калу від дорослих вважається більш складним з точки зору як його прийнятності, так і з точки зору часу його обробки. Серед учасників спостерігали загальну довіру стосовно результатів аналізу калу за допомогою GeneXpert (див. </w:t>
      </w:r>
      <w:r w:rsidRPr="00BA33D8">
        <w:rPr>
          <w:b/>
          <w:bCs/>
          <w:spacing w:val="-4"/>
          <w:sz w:val="20"/>
          <w:szCs w:val="20"/>
          <w:lang w:val="uk-UA"/>
        </w:rPr>
        <w:t>веб-додаток B.10</w:t>
      </w:r>
      <w:r w:rsidRPr="00BA33D8">
        <w:rPr>
          <w:spacing w:val="-4"/>
          <w:sz w:val="20"/>
          <w:szCs w:val="20"/>
          <w:lang w:val="uk-UA"/>
        </w:rPr>
        <w:t>).</w:t>
      </w:r>
    </w:p>
    <w:p w14:paraId="6186C7A4" w14:textId="60E5F5AD" w:rsidR="00E05B98" w:rsidRPr="005240D3" w:rsidRDefault="00BA33D8" w:rsidP="001B1C57">
      <w:pPr>
        <w:pStyle w:val="5"/>
        <w:spacing w:before="45"/>
        <w:jc w:val="both"/>
        <w:rPr>
          <w:sz w:val="26"/>
          <w:szCs w:val="26"/>
          <w:lang w:val="uk-UA"/>
        </w:rPr>
      </w:pPr>
      <w:r w:rsidRPr="005240D3">
        <w:rPr>
          <w:color w:val="019648"/>
          <w:spacing w:val="-2"/>
          <w:w w:val="110"/>
          <w:sz w:val="26"/>
          <w:szCs w:val="26"/>
          <w:lang w:val="uk-UA"/>
        </w:rPr>
        <w:lastRenderedPageBreak/>
        <w:t>Можливість реалізації</w:t>
      </w:r>
    </w:p>
    <w:p w14:paraId="0AA5C469" w14:textId="369B7F23" w:rsidR="00E05B98" w:rsidRPr="00821945" w:rsidRDefault="008A2FF8" w:rsidP="001B1C57">
      <w:pPr>
        <w:pStyle w:val="a3"/>
        <w:spacing w:before="219" w:line="297" w:lineRule="auto"/>
        <w:ind w:left="567"/>
        <w:jc w:val="both"/>
        <w:rPr>
          <w:sz w:val="20"/>
          <w:szCs w:val="20"/>
          <w:lang w:val="uk-UA"/>
        </w:rPr>
      </w:pPr>
      <w:r w:rsidRPr="008A2FF8">
        <w:rPr>
          <w:w w:val="105"/>
          <w:sz w:val="20"/>
          <w:szCs w:val="20"/>
          <w:lang w:val="uk-UA"/>
        </w:rPr>
        <w:t xml:space="preserve">У ході проведення </w:t>
      </w:r>
      <w:r w:rsidR="00A615D3">
        <w:rPr>
          <w:w w:val="105"/>
          <w:sz w:val="20"/>
          <w:szCs w:val="20"/>
          <w:lang w:val="uk-UA"/>
        </w:rPr>
        <w:t xml:space="preserve">дослідження шляхом </w:t>
      </w:r>
      <w:r w:rsidRPr="008A2FF8">
        <w:rPr>
          <w:w w:val="105"/>
          <w:sz w:val="20"/>
          <w:szCs w:val="20"/>
          <w:lang w:val="uk-UA"/>
        </w:rPr>
        <w:t xml:space="preserve">інтерв'ю не було отримано даних про застосування LF-LAM у дітей, які живуть з ВІЛ. У дітей молодшого віку та у хворих дітей збір зразків сечі є більш складним процесом, оскільки вимагає співпраці як дитини, так і особи, яка здійснює догляд, </w:t>
      </w:r>
      <w:r w:rsidR="00A615D3">
        <w:rPr>
          <w:w w:val="105"/>
          <w:sz w:val="20"/>
          <w:szCs w:val="20"/>
          <w:lang w:val="uk-UA"/>
        </w:rPr>
        <w:t>при цьому</w:t>
      </w:r>
      <w:r w:rsidRPr="008A2FF8">
        <w:rPr>
          <w:w w:val="105"/>
          <w:sz w:val="20"/>
          <w:szCs w:val="20"/>
          <w:lang w:val="uk-UA"/>
        </w:rPr>
        <w:t xml:space="preserve"> на процес взяття зразка можуть впливати медичні проблеми, такі як зневоднення (див. </w:t>
      </w:r>
      <w:r w:rsidRPr="008A2FF8">
        <w:rPr>
          <w:b/>
          <w:bCs/>
          <w:w w:val="105"/>
          <w:sz w:val="20"/>
          <w:szCs w:val="20"/>
          <w:lang w:val="uk-UA"/>
        </w:rPr>
        <w:t>веб-додаток В.10</w:t>
      </w:r>
      <w:r w:rsidRPr="008A2FF8">
        <w:rPr>
          <w:w w:val="105"/>
          <w:sz w:val="20"/>
          <w:szCs w:val="20"/>
          <w:lang w:val="uk-UA"/>
        </w:rPr>
        <w:t>).</w:t>
      </w:r>
    </w:p>
    <w:p w14:paraId="146C9DDB" w14:textId="2BA9AE3D" w:rsidR="00E05B98" w:rsidRPr="00821945" w:rsidRDefault="00664C04" w:rsidP="001B1C57">
      <w:pPr>
        <w:pStyle w:val="a3"/>
        <w:spacing w:before="170" w:line="297" w:lineRule="auto"/>
        <w:ind w:left="567"/>
        <w:jc w:val="both"/>
        <w:rPr>
          <w:sz w:val="20"/>
          <w:szCs w:val="20"/>
          <w:lang w:val="uk-UA"/>
        </w:rPr>
      </w:pPr>
      <w:r w:rsidRPr="00664C04">
        <w:rPr>
          <w:w w:val="105"/>
          <w:sz w:val="20"/>
          <w:szCs w:val="20"/>
          <w:lang w:val="uk-UA"/>
        </w:rPr>
        <w:t xml:space="preserve">Існують значні проблеми </w:t>
      </w:r>
      <w:r w:rsidR="00A615D3">
        <w:rPr>
          <w:w w:val="105"/>
          <w:sz w:val="20"/>
          <w:szCs w:val="20"/>
          <w:lang w:val="uk-UA"/>
        </w:rPr>
        <w:t>щодо</w:t>
      </w:r>
      <w:r w:rsidRPr="00664C04">
        <w:rPr>
          <w:w w:val="105"/>
          <w:sz w:val="20"/>
          <w:szCs w:val="20"/>
          <w:lang w:val="uk-UA"/>
        </w:rPr>
        <w:t xml:space="preserve"> практично</w:t>
      </w:r>
      <w:r w:rsidR="00A615D3">
        <w:rPr>
          <w:w w:val="105"/>
          <w:sz w:val="20"/>
          <w:szCs w:val="20"/>
          <w:lang w:val="uk-UA"/>
        </w:rPr>
        <w:t>ї</w:t>
      </w:r>
      <w:r w:rsidRPr="00664C04">
        <w:rPr>
          <w:w w:val="105"/>
          <w:sz w:val="20"/>
          <w:szCs w:val="20"/>
          <w:lang w:val="uk-UA"/>
        </w:rPr>
        <w:t xml:space="preserve"> реалізаці</w:t>
      </w:r>
      <w:r w:rsidR="00A615D3">
        <w:rPr>
          <w:w w:val="105"/>
          <w:sz w:val="20"/>
          <w:szCs w:val="20"/>
          <w:lang w:val="uk-UA"/>
        </w:rPr>
        <w:t>ї тестування</w:t>
      </w:r>
      <w:r w:rsidRPr="00664C04">
        <w:rPr>
          <w:w w:val="105"/>
          <w:sz w:val="20"/>
          <w:szCs w:val="20"/>
          <w:lang w:val="uk-UA"/>
        </w:rPr>
        <w:t xml:space="preserve">, пов'язані з погіршенням якості зразків калу внаслідок затримки між часом збору зразку  та часом його обробки в лабораторії (див. </w:t>
      </w:r>
      <w:r w:rsidRPr="00664C04">
        <w:rPr>
          <w:b/>
          <w:bCs/>
          <w:w w:val="105"/>
          <w:sz w:val="20"/>
          <w:szCs w:val="20"/>
          <w:lang w:val="uk-UA"/>
        </w:rPr>
        <w:t>веб-додаток B.10</w:t>
      </w:r>
      <w:r w:rsidRPr="00664C04">
        <w:rPr>
          <w:w w:val="105"/>
          <w:sz w:val="20"/>
          <w:szCs w:val="20"/>
          <w:lang w:val="uk-UA"/>
        </w:rPr>
        <w:t>).</w:t>
      </w:r>
    </w:p>
    <w:p w14:paraId="25F08665" w14:textId="330C04FF" w:rsidR="00E05B98" w:rsidRPr="00821945" w:rsidRDefault="00664C04" w:rsidP="001B1C57">
      <w:pPr>
        <w:pStyle w:val="a3"/>
        <w:spacing w:before="169" w:line="297" w:lineRule="auto"/>
        <w:ind w:left="567"/>
        <w:jc w:val="both"/>
        <w:rPr>
          <w:sz w:val="20"/>
          <w:szCs w:val="20"/>
          <w:lang w:val="uk-UA"/>
        </w:rPr>
      </w:pPr>
      <w:r w:rsidRPr="00664C04">
        <w:rPr>
          <w:w w:val="105"/>
          <w:sz w:val="20"/>
          <w:szCs w:val="20"/>
          <w:lang w:val="uk-UA"/>
        </w:rPr>
        <w:t xml:space="preserve">Одночасне тестування має бути представлене як більш ефективний спосіб роботи (тобто тестування двох зразків одночасно під час одного візиту, замість тестування одного зразка під час кожного з двох окремих візитів), який також дозволяє розширити доступ до послуг і знизити витрати для пацієнтів. За словами керівника лабораторії, таке формулювання переваг, що превалюють над додатковим робочим навантаженням і потенційно призводять до зменшення обсягу роботи в довгостроковій перспективі, буде критично важливим для того, щоб уникнути сприйняття одночасного тестування в якості виконання додаткової роботи для вже й так перевантажених </w:t>
      </w:r>
      <w:r w:rsidR="00560048">
        <w:rPr>
          <w:w w:val="105"/>
          <w:sz w:val="20"/>
          <w:szCs w:val="20"/>
          <w:lang w:val="uk-UA"/>
        </w:rPr>
        <w:t xml:space="preserve">роботою </w:t>
      </w:r>
      <w:r w:rsidRPr="00664C04">
        <w:rPr>
          <w:w w:val="105"/>
          <w:sz w:val="20"/>
          <w:szCs w:val="20"/>
          <w:lang w:val="uk-UA"/>
        </w:rPr>
        <w:t xml:space="preserve">медичних працівників (див. </w:t>
      </w:r>
      <w:r w:rsidRPr="00664C04">
        <w:rPr>
          <w:b/>
          <w:bCs/>
          <w:w w:val="105"/>
          <w:sz w:val="20"/>
          <w:szCs w:val="20"/>
          <w:lang w:val="uk-UA"/>
        </w:rPr>
        <w:t>веб-додаток B.10</w:t>
      </w:r>
      <w:r w:rsidRPr="00664C04">
        <w:rPr>
          <w:w w:val="105"/>
          <w:sz w:val="20"/>
          <w:szCs w:val="20"/>
          <w:lang w:val="uk-UA"/>
        </w:rPr>
        <w:t>)</w:t>
      </w:r>
      <w:r w:rsidR="00B01E0C" w:rsidRPr="00821945">
        <w:rPr>
          <w:w w:val="105"/>
          <w:sz w:val="20"/>
          <w:szCs w:val="20"/>
          <w:lang w:val="uk-UA"/>
        </w:rPr>
        <w:t>.</w:t>
      </w:r>
    </w:p>
    <w:p w14:paraId="17608E23" w14:textId="2705574F" w:rsidR="00E05B98" w:rsidRPr="003C6DAE" w:rsidRDefault="00FE4E81" w:rsidP="001B1C57">
      <w:pPr>
        <w:pStyle w:val="a3"/>
        <w:spacing w:before="173" w:line="297" w:lineRule="auto"/>
        <w:ind w:left="567"/>
        <w:jc w:val="both"/>
        <w:rPr>
          <w:lang w:val="uk-UA"/>
        </w:rPr>
      </w:pPr>
      <w:r w:rsidRPr="00FE4E81">
        <w:rPr>
          <w:sz w:val="20"/>
          <w:szCs w:val="20"/>
          <w:lang w:val="uk-UA"/>
        </w:rPr>
        <w:t xml:space="preserve">Попередні інвестиції в передові технології, уподобання донорів, обмежене мислення щодо систем охорони здоров'я та непотрібна конкуренція між виробниками - все це створює проблеми для прийняття політики та впровадження нових методів молекулярної діагностики. Крім того, національні оцінки медичних технологій та економічної ефективності можуть відтермінувати прийняття рішень стосовно реалізації новітніх технологій і стратегій діагностики з використанням різних зразків (див. </w:t>
      </w:r>
      <w:r w:rsidRPr="00FE4E81">
        <w:rPr>
          <w:b/>
          <w:bCs/>
          <w:sz w:val="20"/>
          <w:szCs w:val="20"/>
          <w:lang w:val="uk-UA"/>
        </w:rPr>
        <w:t>веб-додаток B.10</w:t>
      </w:r>
      <w:r w:rsidRPr="00FE4E81">
        <w:rPr>
          <w:sz w:val="20"/>
          <w:szCs w:val="20"/>
          <w:lang w:val="uk-UA"/>
        </w:rPr>
        <w:t>)</w:t>
      </w:r>
      <w:r>
        <w:rPr>
          <w:sz w:val="20"/>
          <w:szCs w:val="20"/>
          <w:lang w:val="uk-UA"/>
        </w:rPr>
        <w:t>.</w:t>
      </w:r>
    </w:p>
    <w:p w14:paraId="6E398617" w14:textId="417B9A39" w:rsidR="00E05B98" w:rsidRPr="00FE4E81" w:rsidRDefault="00FE4E81" w:rsidP="001B1C57">
      <w:pPr>
        <w:pStyle w:val="5"/>
        <w:spacing w:before="199"/>
        <w:jc w:val="both"/>
        <w:rPr>
          <w:sz w:val="26"/>
          <w:szCs w:val="26"/>
          <w:lang w:val="uk-UA"/>
        </w:rPr>
      </w:pPr>
      <w:r w:rsidRPr="00FE4E81">
        <w:rPr>
          <w:color w:val="019648"/>
          <w:w w:val="110"/>
          <w:sz w:val="26"/>
          <w:szCs w:val="26"/>
          <w:lang w:val="uk-UA"/>
        </w:rPr>
        <w:t xml:space="preserve">Міркування щодо </w:t>
      </w:r>
      <w:r w:rsidR="004B7764">
        <w:rPr>
          <w:color w:val="019648"/>
          <w:w w:val="110"/>
          <w:sz w:val="26"/>
          <w:szCs w:val="26"/>
          <w:lang w:val="uk-UA"/>
        </w:rPr>
        <w:t>реалізації</w:t>
      </w:r>
    </w:p>
    <w:p w14:paraId="2FDA1518" w14:textId="72395DFE" w:rsidR="00E05B98" w:rsidRPr="00821945" w:rsidRDefault="00FE4E81" w:rsidP="004A2937">
      <w:pPr>
        <w:pStyle w:val="a4"/>
        <w:numPr>
          <w:ilvl w:val="0"/>
          <w:numId w:val="19"/>
        </w:numPr>
        <w:tabs>
          <w:tab w:val="left" w:pos="850"/>
        </w:tabs>
        <w:spacing w:before="219"/>
        <w:ind w:hanging="283"/>
        <w:rPr>
          <w:sz w:val="20"/>
          <w:szCs w:val="20"/>
          <w:lang w:val="uk-UA"/>
        </w:rPr>
      </w:pPr>
      <w:r w:rsidRPr="00FE4E81">
        <w:rPr>
          <w:sz w:val="20"/>
          <w:szCs w:val="20"/>
          <w:lang w:val="uk-UA"/>
        </w:rPr>
        <w:t>Міркування щодо впровадження такі ж, як і ті, що були наведені в розділах 2.3.1 та 2.3.2.</w:t>
      </w:r>
    </w:p>
    <w:p w14:paraId="5C68138E" w14:textId="77777777" w:rsidR="00E05B98" w:rsidRPr="003C6DAE" w:rsidRDefault="00E05B98" w:rsidP="001B1C57">
      <w:pPr>
        <w:pStyle w:val="a3"/>
        <w:spacing w:before="65"/>
        <w:jc w:val="both"/>
        <w:rPr>
          <w:lang w:val="uk-UA"/>
        </w:rPr>
      </w:pPr>
    </w:p>
    <w:p w14:paraId="1FC326A0" w14:textId="3E11FAB9" w:rsidR="00E05B98" w:rsidRPr="00FE4E81" w:rsidRDefault="00FE4E81" w:rsidP="001B1C57">
      <w:pPr>
        <w:pStyle w:val="5"/>
        <w:spacing w:before="1"/>
        <w:jc w:val="both"/>
        <w:rPr>
          <w:sz w:val="26"/>
          <w:szCs w:val="26"/>
          <w:lang w:val="uk-UA"/>
        </w:rPr>
      </w:pPr>
      <w:r>
        <w:rPr>
          <w:color w:val="019648"/>
          <w:w w:val="110"/>
          <w:sz w:val="26"/>
          <w:szCs w:val="26"/>
          <w:lang w:val="uk-UA"/>
        </w:rPr>
        <w:t>Моніторинг і оцінка</w:t>
      </w:r>
    </w:p>
    <w:p w14:paraId="1CAD7B27" w14:textId="5CCBF107" w:rsidR="00E05B98" w:rsidRPr="00821945" w:rsidRDefault="00FE4E81" w:rsidP="004A2937">
      <w:pPr>
        <w:pStyle w:val="a4"/>
        <w:numPr>
          <w:ilvl w:val="0"/>
          <w:numId w:val="19"/>
        </w:numPr>
        <w:tabs>
          <w:tab w:val="left" w:pos="850"/>
        </w:tabs>
        <w:spacing w:before="218" w:line="297" w:lineRule="auto"/>
        <w:rPr>
          <w:sz w:val="20"/>
          <w:szCs w:val="20"/>
          <w:lang w:val="uk-UA"/>
        </w:rPr>
      </w:pPr>
      <w:r w:rsidRPr="00FE4E81">
        <w:rPr>
          <w:sz w:val="20"/>
          <w:szCs w:val="20"/>
          <w:lang w:val="uk-UA"/>
        </w:rPr>
        <w:t xml:space="preserve">Міркування щодо моніторингу </w:t>
      </w:r>
      <w:r>
        <w:rPr>
          <w:sz w:val="20"/>
          <w:szCs w:val="20"/>
          <w:lang w:val="uk-UA"/>
        </w:rPr>
        <w:t>і оцінки</w:t>
      </w:r>
      <w:r w:rsidRPr="00FE4E81">
        <w:rPr>
          <w:sz w:val="20"/>
          <w:szCs w:val="20"/>
          <w:lang w:val="uk-UA"/>
        </w:rPr>
        <w:t xml:space="preserve"> такі ж</w:t>
      </w:r>
      <w:r>
        <w:rPr>
          <w:sz w:val="20"/>
          <w:szCs w:val="20"/>
          <w:lang w:val="uk-UA"/>
        </w:rPr>
        <w:t xml:space="preserve"> самі</w:t>
      </w:r>
      <w:r w:rsidRPr="00FE4E81">
        <w:rPr>
          <w:sz w:val="20"/>
          <w:szCs w:val="20"/>
          <w:lang w:val="uk-UA"/>
        </w:rPr>
        <w:t xml:space="preserve">, як і </w:t>
      </w:r>
      <w:r w:rsidR="00E76F97">
        <w:rPr>
          <w:sz w:val="20"/>
          <w:szCs w:val="20"/>
          <w:lang w:val="uk-UA"/>
        </w:rPr>
        <w:t xml:space="preserve">ті, що були наведені </w:t>
      </w:r>
      <w:r w:rsidRPr="00FE4E81">
        <w:rPr>
          <w:sz w:val="20"/>
          <w:szCs w:val="20"/>
          <w:lang w:val="uk-UA"/>
        </w:rPr>
        <w:t>в розділах 2.3.1 та 2.3.2.</w:t>
      </w:r>
    </w:p>
    <w:p w14:paraId="465A5565" w14:textId="77777777" w:rsidR="00E05B98" w:rsidRPr="003C6DAE" w:rsidRDefault="00E05B98" w:rsidP="001B1C57">
      <w:pPr>
        <w:pStyle w:val="a3"/>
        <w:spacing w:before="8"/>
        <w:jc w:val="both"/>
        <w:rPr>
          <w:lang w:val="uk-UA"/>
        </w:rPr>
      </w:pPr>
    </w:p>
    <w:p w14:paraId="128ACF72" w14:textId="37F93B7A" w:rsidR="00E05B98" w:rsidRPr="00E76F97" w:rsidRDefault="00E76F97" w:rsidP="001B1C57">
      <w:pPr>
        <w:pStyle w:val="5"/>
        <w:jc w:val="both"/>
        <w:rPr>
          <w:sz w:val="26"/>
          <w:szCs w:val="26"/>
          <w:lang w:val="uk-UA"/>
        </w:rPr>
      </w:pPr>
      <w:r>
        <w:rPr>
          <w:color w:val="019648"/>
          <w:w w:val="95"/>
          <w:sz w:val="26"/>
          <w:szCs w:val="26"/>
          <w:lang w:val="uk-UA"/>
        </w:rPr>
        <w:t>Пріоритети дослідження</w:t>
      </w:r>
    </w:p>
    <w:p w14:paraId="72451463" w14:textId="0CA995D9" w:rsidR="00E05B98" w:rsidRPr="00821945" w:rsidRDefault="00E76F97" w:rsidP="004A2937">
      <w:pPr>
        <w:pStyle w:val="a4"/>
        <w:numPr>
          <w:ilvl w:val="0"/>
          <w:numId w:val="19"/>
        </w:numPr>
        <w:tabs>
          <w:tab w:val="left" w:pos="850"/>
        </w:tabs>
        <w:spacing w:before="218"/>
        <w:ind w:hanging="283"/>
        <w:rPr>
          <w:sz w:val="20"/>
          <w:szCs w:val="20"/>
          <w:lang w:val="uk-UA"/>
        </w:rPr>
      </w:pPr>
      <w:r w:rsidRPr="00E76F97">
        <w:rPr>
          <w:sz w:val="20"/>
          <w:szCs w:val="20"/>
          <w:lang w:val="uk-UA"/>
        </w:rPr>
        <w:t xml:space="preserve">Пріоритети дослідження такі ж, як і </w:t>
      </w:r>
      <w:r w:rsidR="00560048">
        <w:rPr>
          <w:sz w:val="20"/>
          <w:szCs w:val="20"/>
          <w:lang w:val="uk-UA"/>
        </w:rPr>
        <w:t xml:space="preserve">ті, що були викладені </w:t>
      </w:r>
      <w:r w:rsidRPr="00E76F97">
        <w:rPr>
          <w:sz w:val="20"/>
          <w:szCs w:val="20"/>
          <w:lang w:val="uk-UA"/>
        </w:rPr>
        <w:t>в розділах 2.3.1 та 2.3.2.</w:t>
      </w:r>
    </w:p>
    <w:p w14:paraId="5F2C2135" w14:textId="77777777" w:rsidR="00E05B98" w:rsidRPr="00821945" w:rsidRDefault="00E05B98" w:rsidP="001B1C57">
      <w:pPr>
        <w:pStyle w:val="a4"/>
        <w:rPr>
          <w:sz w:val="20"/>
          <w:szCs w:val="20"/>
          <w:lang w:val="uk-UA"/>
        </w:rPr>
        <w:sectPr w:rsidR="00E05B98" w:rsidRPr="00821945" w:rsidSect="001B1C57">
          <w:pgSz w:w="11910" w:h="16840"/>
          <w:pgMar w:top="1320" w:right="1137" w:bottom="760" w:left="850" w:header="0" w:footer="573" w:gutter="0"/>
          <w:cols w:space="720"/>
        </w:sectPr>
      </w:pPr>
    </w:p>
    <w:p w14:paraId="3B02E936" w14:textId="6736F471" w:rsidR="00E05B98" w:rsidRPr="00821945" w:rsidRDefault="00E76F97" w:rsidP="004A2937">
      <w:pPr>
        <w:pStyle w:val="3"/>
        <w:numPr>
          <w:ilvl w:val="1"/>
          <w:numId w:val="31"/>
        </w:numPr>
        <w:tabs>
          <w:tab w:val="left" w:pos="1312"/>
        </w:tabs>
        <w:spacing w:before="33" w:line="254" w:lineRule="auto"/>
        <w:ind w:firstLine="0"/>
        <w:rPr>
          <w:color w:val="019648"/>
          <w:sz w:val="36"/>
          <w:szCs w:val="36"/>
          <w:lang w:val="uk-UA"/>
        </w:rPr>
      </w:pPr>
      <w:bookmarkStart w:id="65" w:name="2.4._Follow-on_diagnostic_tests_for_dete"/>
      <w:bookmarkStart w:id="66" w:name="2.4.1_Low_complexity_automated_NAATs_for"/>
      <w:bookmarkStart w:id="67" w:name="_bookmark30"/>
      <w:bookmarkEnd w:id="65"/>
      <w:bookmarkEnd w:id="66"/>
      <w:bookmarkEnd w:id="67"/>
      <w:r w:rsidRPr="00E76F97">
        <w:rPr>
          <w:color w:val="019648"/>
          <w:w w:val="110"/>
          <w:sz w:val="36"/>
          <w:szCs w:val="36"/>
          <w:lang w:val="uk-UA"/>
        </w:rPr>
        <w:lastRenderedPageBreak/>
        <w:t xml:space="preserve">Подальші діагностичні тести для виявлення додаткової </w:t>
      </w:r>
      <w:r w:rsidR="00C034ED">
        <w:rPr>
          <w:color w:val="019648"/>
          <w:w w:val="110"/>
          <w:sz w:val="36"/>
          <w:szCs w:val="36"/>
          <w:lang w:val="uk-UA"/>
        </w:rPr>
        <w:t>медикаментозної</w:t>
      </w:r>
      <w:r w:rsidRPr="00E76F97">
        <w:rPr>
          <w:color w:val="019648"/>
          <w:w w:val="110"/>
          <w:sz w:val="36"/>
          <w:szCs w:val="36"/>
          <w:lang w:val="uk-UA"/>
        </w:rPr>
        <w:t xml:space="preserve"> стійкості </w:t>
      </w:r>
      <w:r w:rsidR="00162062">
        <w:rPr>
          <w:color w:val="019648"/>
          <w:w w:val="110"/>
          <w:sz w:val="36"/>
          <w:szCs w:val="36"/>
          <w:lang w:val="uk-UA"/>
        </w:rPr>
        <w:t xml:space="preserve">ТБ </w:t>
      </w:r>
      <w:r w:rsidRPr="00E76F97">
        <w:rPr>
          <w:color w:val="019648"/>
          <w:w w:val="110"/>
          <w:sz w:val="36"/>
          <w:szCs w:val="36"/>
          <w:lang w:val="uk-UA"/>
        </w:rPr>
        <w:t>після підтвердження туберкульозу</w:t>
      </w:r>
    </w:p>
    <w:p w14:paraId="79B9993A" w14:textId="1E10137C" w:rsidR="00E05B98" w:rsidRPr="00821945" w:rsidRDefault="00E76F97" w:rsidP="004A2937">
      <w:pPr>
        <w:pStyle w:val="5"/>
        <w:numPr>
          <w:ilvl w:val="2"/>
          <w:numId w:val="31"/>
        </w:numPr>
        <w:tabs>
          <w:tab w:val="left" w:pos="1258"/>
        </w:tabs>
        <w:spacing w:before="199" w:line="254" w:lineRule="auto"/>
        <w:ind w:firstLine="0"/>
        <w:jc w:val="both"/>
        <w:rPr>
          <w:color w:val="019648"/>
          <w:sz w:val="26"/>
          <w:szCs w:val="26"/>
          <w:lang w:val="uk-UA"/>
        </w:rPr>
      </w:pPr>
      <w:r w:rsidRPr="00E76F97">
        <w:rPr>
          <w:color w:val="019648"/>
          <w:sz w:val="26"/>
          <w:szCs w:val="26"/>
          <w:lang w:val="uk-UA"/>
        </w:rPr>
        <w:t>Автоматизовані ТАНК низької складності для виявлення стійкості ТБ до ізоніазиду та протитуберкульозних препаратів другого ряду</w:t>
      </w:r>
    </w:p>
    <w:p w14:paraId="60383364" w14:textId="46D6FA1C" w:rsidR="00E05B98" w:rsidRPr="00821945" w:rsidRDefault="004F6CAB">
      <w:pPr>
        <w:pStyle w:val="a3"/>
        <w:spacing w:before="200" w:line="297" w:lineRule="auto"/>
        <w:ind w:left="567" w:right="133"/>
        <w:jc w:val="both"/>
        <w:rPr>
          <w:sz w:val="20"/>
          <w:szCs w:val="20"/>
          <w:lang w:val="uk-UA"/>
        </w:rPr>
      </w:pPr>
      <w:r w:rsidRPr="004F6CAB">
        <w:rPr>
          <w:sz w:val="20"/>
          <w:szCs w:val="20"/>
          <w:lang w:val="uk-UA"/>
        </w:rPr>
        <w:t xml:space="preserve">Серед 105 країн, які мають репрезентативні дані щодо стійкості ТБ до фторхінолонів за останні 15 років, частка випадків МЛС-ТБ/Риф-ТБ з резистентністю до будь-якого із фторхінолонів, для яких було проведено тестування, становила 20,1% (95% ДІ: 15,5-25,0%) (1). Таким чином, швидке та раннє тестування на </w:t>
      </w:r>
      <w:r w:rsidR="00FF766B">
        <w:rPr>
          <w:sz w:val="20"/>
          <w:szCs w:val="20"/>
          <w:lang w:val="uk-UA"/>
        </w:rPr>
        <w:t xml:space="preserve">виявлення </w:t>
      </w:r>
      <w:r w:rsidRPr="004F6CAB">
        <w:rPr>
          <w:sz w:val="20"/>
          <w:szCs w:val="20"/>
          <w:lang w:val="uk-UA"/>
        </w:rPr>
        <w:t>стійк</w:t>
      </w:r>
      <w:r w:rsidR="00FF766B">
        <w:rPr>
          <w:sz w:val="20"/>
          <w:szCs w:val="20"/>
          <w:lang w:val="uk-UA"/>
        </w:rPr>
        <w:t>ості</w:t>
      </w:r>
      <w:r w:rsidRPr="004F6CAB">
        <w:rPr>
          <w:sz w:val="20"/>
          <w:szCs w:val="20"/>
          <w:lang w:val="uk-UA"/>
        </w:rPr>
        <w:t xml:space="preserve"> до фторхінолонів має важливе значення для визначення відповідності критеріям надання лікування МЛС-ТБ/Риф-ТБ за повністю пероральною стандартизованою короткою схемою терапії протягом 9-12-місяців.</w:t>
      </w:r>
      <w:r w:rsidR="00B01E0C" w:rsidRPr="00821945">
        <w:rPr>
          <w:spacing w:val="-15"/>
          <w:sz w:val="20"/>
          <w:szCs w:val="20"/>
          <w:lang w:val="uk-UA"/>
        </w:rPr>
        <w:t xml:space="preserve"> </w:t>
      </w:r>
      <w:r w:rsidR="006B6A86" w:rsidRPr="006B6A86">
        <w:rPr>
          <w:sz w:val="20"/>
          <w:szCs w:val="20"/>
          <w:lang w:val="uk-UA"/>
        </w:rPr>
        <w:t>Однак наразі тестування на стійкість до фторхінолонів обмежується доступністю сучасних технологій (які часто доступні лише на вищих рівнях системи охорони здоров'я) і низькою результативністю при дослідженні зразків з низьким вмістом бактерій (</w:t>
      </w:r>
      <w:r w:rsidR="005A7875" w:rsidRPr="006B6A86">
        <w:rPr>
          <w:sz w:val="20"/>
          <w:szCs w:val="20"/>
          <w:lang w:val="uk-UA"/>
        </w:rPr>
        <w:t>олігобацилярних</w:t>
      </w:r>
      <w:r w:rsidR="006B6A86" w:rsidRPr="006B6A86">
        <w:rPr>
          <w:sz w:val="20"/>
          <w:szCs w:val="20"/>
          <w:lang w:val="uk-UA"/>
        </w:rPr>
        <w:t xml:space="preserve"> зразків).</w:t>
      </w:r>
    </w:p>
    <w:p w14:paraId="67185DC4" w14:textId="029CDA4B" w:rsidR="00E05B98" w:rsidRPr="00821945" w:rsidRDefault="001F7A95">
      <w:pPr>
        <w:pStyle w:val="a3"/>
        <w:spacing w:before="175" w:line="297" w:lineRule="auto"/>
        <w:ind w:left="567" w:right="132"/>
        <w:jc w:val="both"/>
        <w:rPr>
          <w:sz w:val="20"/>
          <w:szCs w:val="20"/>
          <w:lang w:val="uk-UA"/>
        </w:rPr>
      </w:pPr>
      <w:r w:rsidRPr="001F7A95">
        <w:rPr>
          <w:sz w:val="20"/>
          <w:szCs w:val="20"/>
          <w:lang w:val="uk-UA"/>
        </w:rPr>
        <w:t xml:space="preserve">Автоматизовані ТАНК низької складності - це новий клас діагностики, призначений для використання в якості контрольного тесту на зразках, позитивних до комплексу </w:t>
      </w:r>
      <w:r w:rsidRPr="00FF766B">
        <w:rPr>
          <w:i/>
          <w:iCs/>
          <w:sz w:val="20"/>
          <w:szCs w:val="20"/>
          <w:lang w:val="uk-UA"/>
        </w:rPr>
        <w:t>Mtb</w:t>
      </w:r>
      <w:r w:rsidRPr="001F7A95">
        <w:rPr>
          <w:sz w:val="20"/>
          <w:szCs w:val="20"/>
          <w:lang w:val="uk-UA"/>
        </w:rPr>
        <w:t xml:space="preserve"> (MБТК); ці тести забезпечують швидке проведення ТМЧ у проміжних і периферійних лабораторіях. Перший продукт цього класу одночасно виявляє стійкість до ізоніазиду, фторхінолонів, етіонаміду та амікацину. Результати можна отримати менш ніж за 90 хвилин, що дає можливість швидше отримати результати, </w:t>
      </w:r>
      <w:r w:rsidR="00FF766B">
        <w:rPr>
          <w:sz w:val="20"/>
          <w:szCs w:val="20"/>
          <w:lang w:val="uk-UA"/>
        </w:rPr>
        <w:t>порівняно з</w:t>
      </w:r>
      <w:r w:rsidRPr="001F7A95">
        <w:rPr>
          <w:sz w:val="20"/>
          <w:szCs w:val="20"/>
          <w:lang w:val="uk-UA"/>
        </w:rPr>
        <w:t xml:space="preserve"> поточни</w:t>
      </w:r>
      <w:r w:rsidR="00FF766B">
        <w:rPr>
          <w:sz w:val="20"/>
          <w:szCs w:val="20"/>
          <w:lang w:val="uk-UA"/>
        </w:rPr>
        <w:t>м</w:t>
      </w:r>
      <w:r w:rsidRPr="001F7A95">
        <w:rPr>
          <w:sz w:val="20"/>
          <w:szCs w:val="20"/>
          <w:lang w:val="uk-UA"/>
        </w:rPr>
        <w:t xml:space="preserve"> стандарт</w:t>
      </w:r>
      <w:r w:rsidR="00FF766B">
        <w:rPr>
          <w:sz w:val="20"/>
          <w:szCs w:val="20"/>
          <w:lang w:val="uk-UA"/>
        </w:rPr>
        <w:t>ом</w:t>
      </w:r>
      <w:r w:rsidRPr="001F7A95">
        <w:rPr>
          <w:sz w:val="20"/>
          <w:szCs w:val="20"/>
          <w:lang w:val="uk-UA"/>
        </w:rPr>
        <w:t xml:space="preserve"> лікування, який включає виконання лінійних зонд-аналізів і фенотипічного ТМЧ на основі бакпосіву.</w:t>
      </w:r>
    </w:p>
    <w:p w14:paraId="2CD20B43" w14:textId="5351AB89" w:rsidR="00E05B98" w:rsidRPr="00821945" w:rsidRDefault="003873B7">
      <w:pPr>
        <w:pStyle w:val="a3"/>
        <w:spacing w:before="177" w:line="297" w:lineRule="auto"/>
        <w:ind w:left="567" w:right="138"/>
        <w:jc w:val="both"/>
        <w:rPr>
          <w:sz w:val="20"/>
          <w:szCs w:val="20"/>
          <w:lang w:val="uk-UA"/>
        </w:rPr>
      </w:pPr>
      <w:r w:rsidRPr="003873B7">
        <w:rPr>
          <w:sz w:val="20"/>
          <w:szCs w:val="20"/>
          <w:lang w:val="uk-UA"/>
        </w:rPr>
        <w:t xml:space="preserve">Додатковою цінністю тестів є точне та швидке виявлення стійкості до ізоніазиду, що є актуальним як для Риф-ТБ, так і для чутливого до рифампіцину ТБ; останній часто не діагностується і сприяє значному тягарю </w:t>
      </w:r>
      <w:r w:rsidR="005A7875" w:rsidRPr="003873B7">
        <w:rPr>
          <w:sz w:val="20"/>
          <w:szCs w:val="20"/>
          <w:lang w:val="uk-UA"/>
        </w:rPr>
        <w:t>захворюваності</w:t>
      </w:r>
      <w:r w:rsidR="00FF766B">
        <w:rPr>
          <w:sz w:val="20"/>
          <w:szCs w:val="20"/>
          <w:lang w:val="uk-UA"/>
        </w:rPr>
        <w:t xml:space="preserve"> на ТБ</w:t>
      </w:r>
      <w:r w:rsidRPr="003873B7">
        <w:rPr>
          <w:sz w:val="20"/>
          <w:szCs w:val="20"/>
          <w:lang w:val="uk-UA"/>
        </w:rPr>
        <w:t>. За оцінками, чутливий до рифампіцину ТБ зустрічається у 13,1% (95% ДІ: 9,9-16,9%) нових випадків і 17,4% (95% ДІ: 0,5-54,0%) раніше пролікованих випадків (1). Таким чином, цей тест можна також використовувати в якості контрольного тесту в доповнення до існуючих технологій, які тестують тільки на рифампіцин, дозволяючи швидко і точно виявляти стійкий до ізоніазиду, чутливий до рифампіцину ТБ</w:t>
      </w:r>
      <w:r w:rsidR="00B01E0C" w:rsidRPr="00821945">
        <w:rPr>
          <w:sz w:val="20"/>
          <w:szCs w:val="20"/>
          <w:lang w:val="uk-UA"/>
        </w:rPr>
        <w:t>.</w:t>
      </w:r>
    </w:p>
    <w:p w14:paraId="1106C1C4" w14:textId="29ABFF62" w:rsidR="00E05B98" w:rsidRPr="003C6DAE" w:rsidRDefault="003873B7">
      <w:pPr>
        <w:pStyle w:val="a3"/>
        <w:spacing w:before="174" w:line="297" w:lineRule="auto"/>
        <w:ind w:left="567" w:right="135"/>
        <w:jc w:val="both"/>
        <w:rPr>
          <w:lang w:val="uk-UA"/>
        </w:rPr>
      </w:pPr>
      <w:r w:rsidRPr="003873B7">
        <w:rPr>
          <w:sz w:val="20"/>
          <w:szCs w:val="20"/>
          <w:lang w:val="uk-UA"/>
        </w:rPr>
        <w:t xml:space="preserve">Незважаючи на те, що ці нові технології чудово </w:t>
      </w:r>
      <w:r w:rsidR="00FF766B">
        <w:rPr>
          <w:sz w:val="20"/>
          <w:szCs w:val="20"/>
          <w:lang w:val="uk-UA"/>
        </w:rPr>
        <w:t>підходять для</w:t>
      </w:r>
      <w:r w:rsidRPr="003873B7">
        <w:rPr>
          <w:sz w:val="20"/>
          <w:szCs w:val="20"/>
          <w:lang w:val="uk-UA"/>
        </w:rPr>
        <w:t xml:space="preserve"> виявлення стійкості до окремих лікарських препаратів, традиційний </w:t>
      </w:r>
      <w:proofErr w:type="spellStart"/>
      <w:r w:rsidRPr="003873B7">
        <w:rPr>
          <w:sz w:val="20"/>
          <w:szCs w:val="20"/>
          <w:lang w:val="uk-UA"/>
        </w:rPr>
        <w:t>фенотип</w:t>
      </w:r>
      <w:r w:rsidR="0061310B">
        <w:rPr>
          <w:sz w:val="20"/>
          <w:szCs w:val="20"/>
          <w:lang w:val="uk-UA"/>
        </w:rPr>
        <w:t>ов</w:t>
      </w:r>
      <w:r w:rsidRPr="003873B7">
        <w:rPr>
          <w:sz w:val="20"/>
          <w:szCs w:val="20"/>
          <w:lang w:val="uk-UA"/>
        </w:rPr>
        <w:t>ий</w:t>
      </w:r>
      <w:proofErr w:type="spellEnd"/>
      <w:r w:rsidRPr="003873B7">
        <w:rPr>
          <w:sz w:val="20"/>
          <w:szCs w:val="20"/>
          <w:lang w:val="uk-UA"/>
        </w:rPr>
        <w:t xml:space="preserve"> ТМЧ на основі бакпосіву залишається важливим тестом для визначення стійкості до інших протитуберкульозних препаратів, особливо до нових та перепрофільованих лікарських засобів, зокрема, таких як бедаквілін та лінезолід.</w:t>
      </w:r>
    </w:p>
    <w:p w14:paraId="4B442710" w14:textId="33541C49" w:rsidR="00E05B98" w:rsidRPr="00821945" w:rsidRDefault="003873B7">
      <w:pPr>
        <w:pStyle w:val="5"/>
        <w:spacing w:before="202"/>
        <w:rPr>
          <w:sz w:val="26"/>
          <w:szCs w:val="26"/>
          <w:lang w:val="uk-UA"/>
        </w:rPr>
      </w:pPr>
      <w:r>
        <w:rPr>
          <w:color w:val="019648"/>
          <w:spacing w:val="-2"/>
          <w:w w:val="105"/>
          <w:sz w:val="26"/>
          <w:szCs w:val="26"/>
          <w:lang w:val="uk-UA"/>
        </w:rPr>
        <w:t xml:space="preserve">Рекомендації </w:t>
      </w:r>
    </w:p>
    <w:p w14:paraId="109B66C2" w14:textId="77777777" w:rsidR="00E05B98" w:rsidRPr="003C6DAE" w:rsidRDefault="00E05B98">
      <w:pPr>
        <w:pStyle w:val="a3"/>
        <w:spacing w:before="10" w:after="1"/>
        <w:rPr>
          <w:sz w:val="16"/>
          <w:lang w:val="uk-UA"/>
        </w:rPr>
      </w:pPr>
    </w:p>
    <w:tbl>
      <w:tblPr>
        <w:tblStyle w:val="TableNormal"/>
        <w:tblW w:w="0" w:type="auto"/>
        <w:tblInd w:w="58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051"/>
      </w:tblGrid>
      <w:tr w:rsidR="00E05B98" w:rsidRPr="00D029FF" w14:paraId="24AD7E52" w14:textId="77777777">
        <w:trPr>
          <w:trHeight w:val="1714"/>
        </w:trPr>
        <w:tc>
          <w:tcPr>
            <w:tcW w:w="9051" w:type="dxa"/>
          </w:tcPr>
          <w:p w14:paraId="34C1E111" w14:textId="6AE92DB0" w:rsidR="00E05B98" w:rsidRPr="00821945" w:rsidRDefault="00B01E0C">
            <w:pPr>
              <w:pStyle w:val="TableParagraph"/>
              <w:spacing w:before="245" w:line="295" w:lineRule="auto"/>
              <w:ind w:left="680" w:right="262" w:hanging="397"/>
              <w:jc w:val="both"/>
              <w:rPr>
                <w:rFonts w:ascii="Arial"/>
                <w:b/>
                <w:sz w:val="20"/>
                <w:szCs w:val="20"/>
                <w:lang w:val="uk-UA"/>
              </w:rPr>
            </w:pPr>
            <w:r w:rsidRPr="00821945">
              <w:rPr>
                <w:rFonts w:ascii="Arial"/>
                <w:b/>
                <w:sz w:val="20"/>
                <w:szCs w:val="20"/>
                <w:lang w:val="uk-UA"/>
              </w:rPr>
              <w:t xml:space="preserve">10. </w:t>
            </w:r>
            <w:r w:rsidR="003873B7" w:rsidRPr="003873B7">
              <w:rPr>
                <w:rFonts w:ascii="Arial"/>
                <w:b/>
                <w:sz w:val="20"/>
                <w:szCs w:val="20"/>
                <w:lang w:val="uk-UA"/>
              </w:rPr>
              <w:t>У</w:t>
            </w:r>
            <w:r w:rsidR="003873B7" w:rsidRPr="003873B7">
              <w:rPr>
                <w:rFonts w:ascii="Arial"/>
                <w:b/>
                <w:sz w:val="20"/>
                <w:szCs w:val="20"/>
                <w:lang w:val="uk-UA"/>
              </w:rPr>
              <w:t xml:space="preserve"> </w:t>
            </w:r>
            <w:r w:rsidR="003873B7" w:rsidRPr="003873B7">
              <w:rPr>
                <w:rFonts w:ascii="Arial"/>
                <w:b/>
                <w:sz w:val="20"/>
                <w:szCs w:val="20"/>
                <w:lang w:val="uk-UA"/>
              </w:rPr>
              <w:t>людей</w:t>
            </w:r>
            <w:r w:rsidR="003873B7" w:rsidRPr="003873B7">
              <w:rPr>
                <w:rFonts w:ascii="Arial"/>
                <w:b/>
                <w:sz w:val="20"/>
                <w:szCs w:val="20"/>
                <w:lang w:val="uk-UA"/>
              </w:rPr>
              <w:t xml:space="preserve"> </w:t>
            </w:r>
            <w:r w:rsidR="003873B7" w:rsidRPr="003873B7">
              <w:rPr>
                <w:rFonts w:ascii="Arial"/>
                <w:b/>
                <w:sz w:val="20"/>
                <w:szCs w:val="20"/>
                <w:lang w:val="uk-UA"/>
              </w:rPr>
              <w:t>з</w:t>
            </w:r>
            <w:r w:rsidR="003873B7" w:rsidRPr="003873B7">
              <w:rPr>
                <w:rFonts w:ascii="Arial"/>
                <w:b/>
                <w:sz w:val="20"/>
                <w:szCs w:val="20"/>
                <w:lang w:val="uk-UA"/>
              </w:rPr>
              <w:t xml:space="preserve"> </w:t>
            </w:r>
            <w:r w:rsidR="003873B7" w:rsidRPr="003873B7">
              <w:rPr>
                <w:rFonts w:ascii="Arial"/>
                <w:b/>
                <w:sz w:val="20"/>
                <w:szCs w:val="20"/>
                <w:lang w:val="uk-UA"/>
              </w:rPr>
              <w:t>бактеріологічно</w:t>
            </w:r>
            <w:r w:rsidR="003873B7" w:rsidRPr="003873B7">
              <w:rPr>
                <w:rFonts w:ascii="Arial"/>
                <w:b/>
                <w:sz w:val="20"/>
                <w:szCs w:val="20"/>
                <w:lang w:val="uk-UA"/>
              </w:rPr>
              <w:t xml:space="preserve"> </w:t>
            </w:r>
            <w:r w:rsidR="003873B7" w:rsidRPr="003873B7">
              <w:rPr>
                <w:rFonts w:ascii="Arial"/>
                <w:b/>
                <w:sz w:val="20"/>
                <w:szCs w:val="20"/>
                <w:lang w:val="uk-UA"/>
              </w:rPr>
              <w:t>підтвердженим</w:t>
            </w:r>
            <w:r w:rsidR="003873B7" w:rsidRPr="003873B7">
              <w:rPr>
                <w:rFonts w:ascii="Arial"/>
                <w:b/>
                <w:sz w:val="20"/>
                <w:szCs w:val="20"/>
                <w:lang w:val="uk-UA"/>
              </w:rPr>
              <w:t xml:space="preserve"> </w:t>
            </w:r>
            <w:r w:rsidR="003873B7" w:rsidRPr="003873B7">
              <w:rPr>
                <w:rFonts w:ascii="Arial"/>
                <w:b/>
                <w:sz w:val="20"/>
                <w:szCs w:val="20"/>
                <w:lang w:val="uk-UA"/>
              </w:rPr>
              <w:t>ТБ</w:t>
            </w:r>
            <w:r w:rsidR="003873B7" w:rsidRPr="003873B7">
              <w:rPr>
                <w:rFonts w:ascii="Arial"/>
                <w:b/>
                <w:sz w:val="20"/>
                <w:szCs w:val="20"/>
                <w:lang w:val="uk-UA"/>
              </w:rPr>
              <w:t xml:space="preserve"> </w:t>
            </w:r>
            <w:r w:rsidR="003873B7" w:rsidRPr="003873B7">
              <w:rPr>
                <w:rFonts w:ascii="Arial"/>
                <w:b/>
                <w:sz w:val="20"/>
                <w:szCs w:val="20"/>
                <w:lang w:val="uk-UA"/>
              </w:rPr>
              <w:t>легень</w:t>
            </w:r>
            <w:r w:rsidR="003873B7" w:rsidRPr="003873B7">
              <w:rPr>
                <w:rFonts w:ascii="Arial"/>
                <w:b/>
                <w:sz w:val="20"/>
                <w:szCs w:val="20"/>
                <w:lang w:val="uk-UA"/>
              </w:rPr>
              <w:t xml:space="preserve"> </w:t>
            </w:r>
            <w:r w:rsidR="003873B7" w:rsidRPr="003873B7">
              <w:rPr>
                <w:rFonts w:ascii="Arial"/>
                <w:b/>
                <w:sz w:val="20"/>
                <w:szCs w:val="20"/>
                <w:lang w:val="uk-UA"/>
              </w:rPr>
              <w:t>для</w:t>
            </w:r>
            <w:r w:rsidR="003873B7" w:rsidRPr="003873B7">
              <w:rPr>
                <w:rFonts w:ascii="Arial"/>
                <w:b/>
                <w:sz w:val="20"/>
                <w:szCs w:val="20"/>
                <w:lang w:val="uk-UA"/>
              </w:rPr>
              <w:t xml:space="preserve"> </w:t>
            </w:r>
            <w:r w:rsidR="003873B7" w:rsidRPr="003873B7">
              <w:rPr>
                <w:rFonts w:ascii="Arial"/>
                <w:b/>
                <w:sz w:val="20"/>
                <w:szCs w:val="20"/>
                <w:lang w:val="uk-UA"/>
              </w:rPr>
              <w:t>первинного</w:t>
            </w:r>
            <w:r w:rsidR="003873B7" w:rsidRPr="003873B7">
              <w:rPr>
                <w:rFonts w:ascii="Arial"/>
                <w:b/>
                <w:sz w:val="20"/>
                <w:szCs w:val="20"/>
                <w:lang w:val="uk-UA"/>
              </w:rPr>
              <w:t xml:space="preserve"> </w:t>
            </w:r>
            <w:r w:rsidR="003873B7" w:rsidRPr="003873B7">
              <w:rPr>
                <w:rFonts w:ascii="Arial"/>
                <w:b/>
                <w:sz w:val="20"/>
                <w:szCs w:val="20"/>
                <w:lang w:val="uk-UA"/>
              </w:rPr>
              <w:t>виявлення</w:t>
            </w:r>
            <w:r w:rsidR="003873B7" w:rsidRPr="003873B7">
              <w:rPr>
                <w:rFonts w:ascii="Arial"/>
                <w:b/>
                <w:sz w:val="20"/>
                <w:szCs w:val="20"/>
                <w:lang w:val="uk-UA"/>
              </w:rPr>
              <w:t xml:space="preserve"> </w:t>
            </w:r>
            <w:r w:rsidR="003873B7" w:rsidRPr="003873B7">
              <w:rPr>
                <w:rFonts w:ascii="Arial"/>
                <w:b/>
                <w:sz w:val="20"/>
                <w:szCs w:val="20"/>
                <w:lang w:val="uk-UA"/>
              </w:rPr>
              <w:t>стійкості</w:t>
            </w:r>
            <w:r w:rsidR="003873B7" w:rsidRPr="003873B7">
              <w:rPr>
                <w:rFonts w:ascii="Arial"/>
                <w:b/>
                <w:sz w:val="20"/>
                <w:szCs w:val="20"/>
                <w:lang w:val="uk-UA"/>
              </w:rPr>
              <w:t xml:space="preserve"> </w:t>
            </w:r>
            <w:r w:rsidR="003873B7" w:rsidRPr="003873B7">
              <w:rPr>
                <w:rFonts w:ascii="Arial"/>
                <w:b/>
                <w:sz w:val="20"/>
                <w:szCs w:val="20"/>
                <w:lang w:val="uk-UA"/>
              </w:rPr>
              <w:t>до</w:t>
            </w:r>
            <w:r w:rsidR="003873B7" w:rsidRPr="003873B7">
              <w:rPr>
                <w:rFonts w:ascii="Arial"/>
                <w:b/>
                <w:sz w:val="20"/>
                <w:szCs w:val="20"/>
                <w:lang w:val="uk-UA"/>
              </w:rPr>
              <w:t xml:space="preserve"> </w:t>
            </w:r>
            <w:r w:rsidR="003873B7" w:rsidRPr="003873B7">
              <w:rPr>
                <w:rFonts w:ascii="Arial"/>
                <w:b/>
                <w:sz w:val="20"/>
                <w:szCs w:val="20"/>
                <w:lang w:val="uk-UA"/>
              </w:rPr>
              <w:t>ізоніазиду</w:t>
            </w:r>
            <w:r w:rsidR="003873B7" w:rsidRPr="003873B7">
              <w:rPr>
                <w:rFonts w:ascii="Arial"/>
                <w:b/>
                <w:sz w:val="20"/>
                <w:szCs w:val="20"/>
                <w:lang w:val="uk-UA"/>
              </w:rPr>
              <w:t xml:space="preserve"> </w:t>
            </w:r>
            <w:r w:rsidR="003873B7" w:rsidRPr="003873B7">
              <w:rPr>
                <w:rFonts w:ascii="Arial"/>
                <w:b/>
                <w:sz w:val="20"/>
                <w:szCs w:val="20"/>
                <w:lang w:val="uk-UA"/>
              </w:rPr>
              <w:t>та</w:t>
            </w:r>
            <w:r w:rsidR="003873B7" w:rsidRPr="003873B7">
              <w:rPr>
                <w:rFonts w:ascii="Arial"/>
                <w:b/>
                <w:sz w:val="20"/>
                <w:szCs w:val="20"/>
                <w:lang w:val="uk-UA"/>
              </w:rPr>
              <w:t xml:space="preserve"> </w:t>
            </w:r>
            <w:r w:rsidR="003873B7" w:rsidRPr="003873B7">
              <w:rPr>
                <w:rFonts w:ascii="Arial"/>
                <w:b/>
                <w:sz w:val="20"/>
                <w:szCs w:val="20"/>
                <w:lang w:val="uk-UA"/>
              </w:rPr>
              <w:t>фторхінолонів</w:t>
            </w:r>
            <w:r w:rsidR="003873B7" w:rsidRPr="003873B7">
              <w:rPr>
                <w:rFonts w:ascii="Arial"/>
                <w:b/>
                <w:sz w:val="20"/>
                <w:szCs w:val="20"/>
                <w:lang w:val="uk-UA"/>
              </w:rPr>
              <w:t xml:space="preserve"> </w:t>
            </w:r>
            <w:r w:rsidR="003873B7" w:rsidRPr="003873B7">
              <w:rPr>
                <w:rFonts w:ascii="Arial"/>
                <w:b/>
                <w:sz w:val="20"/>
                <w:szCs w:val="20"/>
                <w:lang w:val="uk-UA"/>
              </w:rPr>
              <w:t>можна</w:t>
            </w:r>
            <w:r w:rsidR="003873B7" w:rsidRPr="003873B7">
              <w:rPr>
                <w:rFonts w:ascii="Arial"/>
                <w:b/>
                <w:sz w:val="20"/>
                <w:szCs w:val="20"/>
                <w:lang w:val="uk-UA"/>
              </w:rPr>
              <w:t xml:space="preserve"> </w:t>
            </w:r>
            <w:r w:rsidR="003873B7" w:rsidRPr="003873B7">
              <w:rPr>
                <w:rFonts w:ascii="Arial"/>
                <w:b/>
                <w:sz w:val="20"/>
                <w:szCs w:val="20"/>
                <w:lang w:val="uk-UA"/>
              </w:rPr>
              <w:t>використовувати</w:t>
            </w:r>
            <w:r w:rsidR="003873B7" w:rsidRPr="003873B7">
              <w:rPr>
                <w:rFonts w:ascii="Arial"/>
                <w:b/>
                <w:sz w:val="20"/>
                <w:szCs w:val="20"/>
                <w:lang w:val="uk-UA"/>
              </w:rPr>
              <w:t xml:space="preserve"> </w:t>
            </w:r>
            <w:r w:rsidR="003873B7" w:rsidRPr="003873B7">
              <w:rPr>
                <w:rFonts w:ascii="Arial"/>
                <w:b/>
                <w:sz w:val="20"/>
                <w:szCs w:val="20"/>
                <w:lang w:val="uk-UA"/>
              </w:rPr>
              <w:t>автоматизовані</w:t>
            </w:r>
            <w:r w:rsidR="003873B7" w:rsidRPr="003873B7">
              <w:rPr>
                <w:rFonts w:ascii="Arial"/>
                <w:b/>
                <w:sz w:val="20"/>
                <w:szCs w:val="20"/>
                <w:lang w:val="uk-UA"/>
              </w:rPr>
              <w:t xml:space="preserve"> </w:t>
            </w:r>
            <w:r w:rsidR="003873B7" w:rsidRPr="003873B7">
              <w:rPr>
                <w:rFonts w:ascii="Arial"/>
                <w:b/>
                <w:sz w:val="20"/>
                <w:szCs w:val="20"/>
                <w:lang w:val="uk-UA"/>
              </w:rPr>
              <w:t>ТАНК</w:t>
            </w:r>
            <w:r w:rsidR="003873B7" w:rsidRPr="003873B7">
              <w:rPr>
                <w:rFonts w:ascii="Arial"/>
                <w:b/>
                <w:sz w:val="20"/>
                <w:szCs w:val="20"/>
                <w:lang w:val="uk-UA"/>
              </w:rPr>
              <w:t xml:space="preserve"> </w:t>
            </w:r>
            <w:r w:rsidR="003873B7" w:rsidRPr="003873B7">
              <w:rPr>
                <w:rFonts w:ascii="Arial"/>
                <w:b/>
                <w:sz w:val="20"/>
                <w:szCs w:val="20"/>
                <w:lang w:val="uk-UA"/>
              </w:rPr>
              <w:t>низької</w:t>
            </w:r>
            <w:r w:rsidR="003873B7" w:rsidRPr="003873B7">
              <w:rPr>
                <w:rFonts w:ascii="Arial"/>
                <w:b/>
                <w:sz w:val="20"/>
                <w:szCs w:val="20"/>
                <w:lang w:val="uk-UA"/>
              </w:rPr>
              <w:t xml:space="preserve"> </w:t>
            </w:r>
            <w:r w:rsidR="003873B7" w:rsidRPr="003873B7">
              <w:rPr>
                <w:rFonts w:ascii="Arial"/>
                <w:b/>
                <w:sz w:val="20"/>
                <w:szCs w:val="20"/>
                <w:lang w:val="uk-UA"/>
              </w:rPr>
              <w:t>складності</w:t>
            </w:r>
            <w:r w:rsidR="003873B7" w:rsidRPr="003873B7">
              <w:rPr>
                <w:rFonts w:ascii="Arial"/>
                <w:b/>
                <w:sz w:val="20"/>
                <w:szCs w:val="20"/>
                <w:lang w:val="uk-UA"/>
              </w:rPr>
              <w:t xml:space="preserve"> </w:t>
            </w:r>
            <w:r w:rsidR="003873B7" w:rsidRPr="003873B7">
              <w:rPr>
                <w:rFonts w:ascii="Arial"/>
                <w:b/>
                <w:sz w:val="20"/>
                <w:szCs w:val="20"/>
                <w:lang w:val="uk-UA"/>
              </w:rPr>
              <w:t>на</w:t>
            </w:r>
            <w:r w:rsidR="003873B7" w:rsidRPr="003873B7">
              <w:rPr>
                <w:rFonts w:ascii="Arial"/>
                <w:b/>
                <w:sz w:val="20"/>
                <w:szCs w:val="20"/>
                <w:lang w:val="uk-UA"/>
              </w:rPr>
              <w:t xml:space="preserve"> </w:t>
            </w:r>
            <w:r w:rsidR="003873B7" w:rsidRPr="003873B7">
              <w:rPr>
                <w:rFonts w:ascii="Arial"/>
                <w:b/>
                <w:sz w:val="20"/>
                <w:szCs w:val="20"/>
                <w:lang w:val="uk-UA"/>
              </w:rPr>
              <w:t>зразках</w:t>
            </w:r>
            <w:r w:rsidR="003873B7" w:rsidRPr="003873B7">
              <w:rPr>
                <w:rFonts w:ascii="Arial"/>
                <w:b/>
                <w:sz w:val="20"/>
                <w:szCs w:val="20"/>
                <w:lang w:val="uk-UA"/>
              </w:rPr>
              <w:t xml:space="preserve"> </w:t>
            </w:r>
            <w:r w:rsidR="003873B7" w:rsidRPr="003873B7">
              <w:rPr>
                <w:rFonts w:ascii="Arial"/>
                <w:b/>
                <w:sz w:val="20"/>
                <w:szCs w:val="20"/>
                <w:lang w:val="uk-UA"/>
              </w:rPr>
              <w:t>мокротиння</w:t>
            </w:r>
            <w:r w:rsidR="003873B7" w:rsidRPr="003873B7">
              <w:rPr>
                <w:rFonts w:ascii="Arial"/>
                <w:b/>
                <w:sz w:val="20"/>
                <w:szCs w:val="20"/>
                <w:lang w:val="uk-UA"/>
              </w:rPr>
              <w:t xml:space="preserve">, </w:t>
            </w:r>
            <w:r w:rsidR="003873B7" w:rsidRPr="003873B7">
              <w:rPr>
                <w:rFonts w:ascii="Arial"/>
                <w:b/>
                <w:sz w:val="20"/>
                <w:szCs w:val="20"/>
                <w:lang w:val="uk-UA"/>
              </w:rPr>
              <w:t>замість</w:t>
            </w:r>
            <w:r w:rsidR="003873B7" w:rsidRPr="003873B7">
              <w:rPr>
                <w:rFonts w:ascii="Arial"/>
                <w:b/>
                <w:sz w:val="20"/>
                <w:szCs w:val="20"/>
                <w:lang w:val="uk-UA"/>
              </w:rPr>
              <w:t xml:space="preserve">  </w:t>
            </w:r>
            <w:r w:rsidR="003873B7" w:rsidRPr="003873B7">
              <w:rPr>
                <w:rFonts w:ascii="Arial"/>
                <w:b/>
                <w:sz w:val="20"/>
                <w:szCs w:val="20"/>
                <w:lang w:val="uk-UA"/>
              </w:rPr>
              <w:t>фенотипічного</w:t>
            </w:r>
            <w:r w:rsidR="003873B7" w:rsidRPr="003873B7">
              <w:rPr>
                <w:rFonts w:ascii="Arial"/>
                <w:b/>
                <w:sz w:val="20"/>
                <w:szCs w:val="20"/>
                <w:lang w:val="uk-UA"/>
              </w:rPr>
              <w:t xml:space="preserve"> </w:t>
            </w:r>
            <w:r w:rsidR="003873B7" w:rsidRPr="003873B7">
              <w:rPr>
                <w:rFonts w:ascii="Arial"/>
                <w:b/>
                <w:sz w:val="20"/>
                <w:szCs w:val="20"/>
                <w:lang w:val="uk-UA"/>
              </w:rPr>
              <w:t>ТМЧ</w:t>
            </w:r>
            <w:r w:rsidR="003873B7" w:rsidRPr="003873B7">
              <w:rPr>
                <w:rFonts w:ascii="Arial"/>
                <w:b/>
                <w:sz w:val="20"/>
                <w:szCs w:val="20"/>
                <w:lang w:val="uk-UA"/>
              </w:rPr>
              <w:t xml:space="preserve"> </w:t>
            </w:r>
            <w:r w:rsidR="003873B7" w:rsidRPr="003873B7">
              <w:rPr>
                <w:rFonts w:ascii="Arial"/>
                <w:b/>
                <w:sz w:val="20"/>
                <w:szCs w:val="20"/>
                <w:lang w:val="uk-UA"/>
              </w:rPr>
              <w:t>на</w:t>
            </w:r>
            <w:r w:rsidR="003873B7" w:rsidRPr="003873B7">
              <w:rPr>
                <w:rFonts w:ascii="Arial"/>
                <w:b/>
                <w:sz w:val="20"/>
                <w:szCs w:val="20"/>
                <w:lang w:val="uk-UA"/>
              </w:rPr>
              <w:t xml:space="preserve"> </w:t>
            </w:r>
            <w:r w:rsidR="003873B7" w:rsidRPr="003873B7">
              <w:rPr>
                <w:rFonts w:ascii="Arial"/>
                <w:b/>
                <w:sz w:val="20"/>
                <w:szCs w:val="20"/>
                <w:lang w:val="uk-UA"/>
              </w:rPr>
              <w:t>основі</w:t>
            </w:r>
            <w:r w:rsidR="003873B7" w:rsidRPr="003873B7">
              <w:rPr>
                <w:rFonts w:ascii="Arial"/>
                <w:b/>
                <w:sz w:val="20"/>
                <w:szCs w:val="20"/>
                <w:lang w:val="uk-UA"/>
              </w:rPr>
              <w:t xml:space="preserve"> </w:t>
            </w:r>
            <w:r w:rsidR="003873B7" w:rsidRPr="003873B7">
              <w:rPr>
                <w:rFonts w:ascii="Arial"/>
                <w:b/>
                <w:sz w:val="20"/>
                <w:szCs w:val="20"/>
                <w:lang w:val="uk-UA"/>
              </w:rPr>
              <w:t>бакпосіву</w:t>
            </w:r>
            <w:r w:rsidR="003873B7" w:rsidRPr="003873B7">
              <w:rPr>
                <w:rFonts w:ascii="Arial"/>
                <w:b/>
                <w:sz w:val="20"/>
                <w:szCs w:val="20"/>
                <w:lang w:val="uk-UA"/>
              </w:rPr>
              <w:t>.</w:t>
            </w:r>
          </w:p>
          <w:p w14:paraId="0CE412AF" w14:textId="2355BA9B" w:rsidR="00E05B98" w:rsidRPr="00821945" w:rsidRDefault="00B01E0C" w:rsidP="00FF766B">
            <w:pPr>
              <w:pStyle w:val="TableParagraph"/>
              <w:spacing w:before="54"/>
              <w:ind w:left="680" w:right="277"/>
              <w:jc w:val="both"/>
              <w:rPr>
                <w:rFonts w:ascii="Arial"/>
                <w:i/>
                <w:sz w:val="20"/>
                <w:szCs w:val="20"/>
                <w:lang w:val="uk-UA"/>
              </w:rPr>
            </w:pPr>
            <w:r w:rsidRPr="00821945">
              <w:rPr>
                <w:rFonts w:ascii="Arial"/>
                <w:i/>
                <w:spacing w:val="-2"/>
                <w:sz w:val="20"/>
                <w:szCs w:val="20"/>
                <w:lang w:val="uk-UA"/>
              </w:rPr>
              <w:t>(</w:t>
            </w:r>
            <w:r w:rsidR="003873B7" w:rsidRPr="003873B7">
              <w:rPr>
                <w:rFonts w:ascii="Arial"/>
                <w:i/>
                <w:spacing w:val="-2"/>
                <w:sz w:val="20"/>
                <w:szCs w:val="20"/>
                <w:lang w:val="uk-UA"/>
              </w:rPr>
              <w:t>Умовна</w:t>
            </w:r>
            <w:r w:rsidR="003873B7" w:rsidRPr="003873B7">
              <w:rPr>
                <w:rFonts w:ascii="Arial"/>
                <w:i/>
                <w:spacing w:val="-2"/>
                <w:sz w:val="20"/>
                <w:szCs w:val="20"/>
                <w:lang w:val="uk-UA"/>
              </w:rPr>
              <w:t xml:space="preserve"> </w:t>
            </w:r>
            <w:r w:rsidR="003873B7" w:rsidRPr="003873B7">
              <w:rPr>
                <w:rFonts w:ascii="Arial"/>
                <w:i/>
                <w:spacing w:val="-2"/>
                <w:sz w:val="20"/>
                <w:szCs w:val="20"/>
                <w:lang w:val="uk-UA"/>
              </w:rPr>
              <w:t>рекомендація</w:t>
            </w:r>
            <w:r w:rsidR="003873B7" w:rsidRPr="003873B7">
              <w:rPr>
                <w:rFonts w:ascii="Arial"/>
                <w:i/>
                <w:spacing w:val="-2"/>
                <w:sz w:val="20"/>
                <w:szCs w:val="20"/>
                <w:lang w:val="uk-UA"/>
              </w:rPr>
              <w:t xml:space="preserve">, </w:t>
            </w:r>
            <w:r w:rsidR="003873B7" w:rsidRPr="003873B7">
              <w:rPr>
                <w:rFonts w:ascii="Arial"/>
                <w:i/>
                <w:spacing w:val="-2"/>
                <w:sz w:val="20"/>
                <w:szCs w:val="20"/>
                <w:lang w:val="uk-UA"/>
              </w:rPr>
              <w:t>помірн</w:t>
            </w:r>
            <w:r w:rsidR="00FF766B">
              <w:rPr>
                <w:rFonts w:ascii="Arial"/>
                <w:i/>
                <w:spacing w:val="-2"/>
                <w:sz w:val="20"/>
                <w:szCs w:val="20"/>
                <w:lang w:val="uk-UA"/>
              </w:rPr>
              <w:t>ий</w:t>
            </w:r>
            <w:r w:rsidR="00FF766B">
              <w:rPr>
                <w:rFonts w:ascii="Arial"/>
                <w:i/>
                <w:spacing w:val="-2"/>
                <w:sz w:val="20"/>
                <w:szCs w:val="20"/>
                <w:lang w:val="uk-UA"/>
              </w:rPr>
              <w:t xml:space="preserve"> </w:t>
            </w:r>
            <w:r w:rsidR="00FF766B">
              <w:rPr>
                <w:rFonts w:ascii="Arial"/>
                <w:i/>
                <w:spacing w:val="-2"/>
                <w:sz w:val="20"/>
                <w:szCs w:val="20"/>
                <w:lang w:val="uk-UA"/>
              </w:rPr>
              <w:t>ступінь</w:t>
            </w:r>
            <w:r w:rsidR="003873B7" w:rsidRPr="003873B7">
              <w:rPr>
                <w:rFonts w:ascii="Arial"/>
                <w:i/>
                <w:spacing w:val="-2"/>
                <w:sz w:val="20"/>
                <w:szCs w:val="20"/>
                <w:lang w:val="uk-UA"/>
              </w:rPr>
              <w:t xml:space="preserve"> </w:t>
            </w:r>
            <w:r w:rsidR="003873B7" w:rsidRPr="003873B7">
              <w:rPr>
                <w:rFonts w:ascii="Arial"/>
                <w:i/>
                <w:spacing w:val="-2"/>
                <w:sz w:val="20"/>
                <w:szCs w:val="20"/>
                <w:lang w:val="uk-UA"/>
              </w:rPr>
              <w:t>достовірн</w:t>
            </w:r>
            <w:r w:rsidR="00FF766B">
              <w:rPr>
                <w:rFonts w:ascii="Arial"/>
                <w:i/>
                <w:spacing w:val="-2"/>
                <w:sz w:val="20"/>
                <w:szCs w:val="20"/>
                <w:lang w:val="uk-UA"/>
              </w:rPr>
              <w:t>ості</w:t>
            </w:r>
            <w:r w:rsidR="003873B7" w:rsidRPr="003873B7">
              <w:rPr>
                <w:rFonts w:ascii="Arial"/>
                <w:i/>
                <w:spacing w:val="-2"/>
                <w:sz w:val="20"/>
                <w:szCs w:val="20"/>
                <w:lang w:val="uk-UA"/>
              </w:rPr>
              <w:t xml:space="preserve"> </w:t>
            </w:r>
            <w:r w:rsidR="003873B7" w:rsidRPr="003873B7">
              <w:rPr>
                <w:rFonts w:ascii="Arial"/>
                <w:i/>
                <w:spacing w:val="-2"/>
                <w:sz w:val="20"/>
                <w:szCs w:val="20"/>
                <w:lang w:val="uk-UA"/>
              </w:rPr>
              <w:t>доказів</w:t>
            </w:r>
            <w:r w:rsidR="003873B7" w:rsidRPr="003873B7">
              <w:rPr>
                <w:rFonts w:ascii="Arial"/>
                <w:i/>
                <w:spacing w:val="-2"/>
                <w:sz w:val="20"/>
                <w:szCs w:val="20"/>
                <w:lang w:val="uk-UA"/>
              </w:rPr>
              <w:t xml:space="preserve"> </w:t>
            </w:r>
            <w:r w:rsidR="003873B7" w:rsidRPr="003873B7">
              <w:rPr>
                <w:rFonts w:ascii="Arial"/>
                <w:i/>
                <w:spacing w:val="-2"/>
                <w:sz w:val="20"/>
                <w:szCs w:val="20"/>
                <w:lang w:val="uk-UA"/>
              </w:rPr>
              <w:t>стосовно</w:t>
            </w:r>
            <w:r w:rsidR="003873B7" w:rsidRPr="003873B7">
              <w:rPr>
                <w:rFonts w:ascii="Arial"/>
                <w:i/>
                <w:spacing w:val="-2"/>
                <w:sz w:val="20"/>
                <w:szCs w:val="20"/>
                <w:lang w:val="uk-UA"/>
              </w:rPr>
              <w:t xml:space="preserve"> </w:t>
            </w:r>
            <w:r w:rsidR="003873B7" w:rsidRPr="003873B7">
              <w:rPr>
                <w:rFonts w:ascii="Arial"/>
                <w:i/>
                <w:spacing w:val="-2"/>
                <w:sz w:val="20"/>
                <w:szCs w:val="20"/>
                <w:lang w:val="uk-UA"/>
              </w:rPr>
              <w:t>діагностичної</w:t>
            </w:r>
            <w:r w:rsidR="003873B7" w:rsidRPr="003873B7">
              <w:rPr>
                <w:rFonts w:ascii="Arial"/>
                <w:i/>
                <w:spacing w:val="-2"/>
                <w:sz w:val="20"/>
                <w:szCs w:val="20"/>
                <w:lang w:val="uk-UA"/>
              </w:rPr>
              <w:t xml:space="preserve"> </w:t>
            </w:r>
            <w:r w:rsidR="003873B7" w:rsidRPr="003873B7">
              <w:rPr>
                <w:rFonts w:ascii="Arial"/>
                <w:i/>
                <w:spacing w:val="-2"/>
                <w:sz w:val="20"/>
                <w:szCs w:val="20"/>
                <w:lang w:val="uk-UA"/>
              </w:rPr>
              <w:t>точності</w:t>
            </w:r>
            <w:r w:rsidRPr="00821945">
              <w:rPr>
                <w:rFonts w:ascii="Arial"/>
                <w:i/>
                <w:spacing w:val="-2"/>
                <w:sz w:val="20"/>
                <w:szCs w:val="20"/>
                <w:lang w:val="uk-UA"/>
              </w:rPr>
              <w:t>)</w:t>
            </w:r>
          </w:p>
        </w:tc>
      </w:tr>
    </w:tbl>
    <w:p w14:paraId="2ED3D2DA" w14:textId="77777777" w:rsidR="00E05B98" w:rsidRPr="003C6DAE" w:rsidRDefault="00E05B98">
      <w:pPr>
        <w:pStyle w:val="TableParagraph"/>
        <w:jc w:val="both"/>
        <w:rPr>
          <w:rFonts w:ascii="Arial"/>
          <w:i/>
          <w:lang w:val="uk-UA"/>
        </w:rPr>
        <w:sectPr w:rsidR="00E05B98" w:rsidRPr="003C6DAE" w:rsidSect="001B1C57">
          <w:pgSz w:w="11910" w:h="16840"/>
          <w:pgMar w:top="1320" w:right="1137" w:bottom="1782" w:left="850" w:header="0" w:footer="573" w:gutter="0"/>
          <w:cols w:space="720"/>
        </w:sectPr>
      </w:pPr>
    </w:p>
    <w:tbl>
      <w:tblPr>
        <w:tblStyle w:val="TableNormal"/>
        <w:tblW w:w="0" w:type="auto"/>
        <w:tblInd w:w="58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051"/>
      </w:tblGrid>
      <w:tr w:rsidR="00E05B98" w:rsidRPr="00D029FF" w14:paraId="7FEA561A" w14:textId="77777777">
        <w:trPr>
          <w:trHeight w:val="2024"/>
        </w:trPr>
        <w:tc>
          <w:tcPr>
            <w:tcW w:w="9051" w:type="dxa"/>
          </w:tcPr>
          <w:p w14:paraId="0F4CBE7A" w14:textId="1CEE803B" w:rsidR="00E05B98" w:rsidRPr="00821945" w:rsidRDefault="00B01E0C">
            <w:pPr>
              <w:pStyle w:val="TableParagraph"/>
              <w:spacing w:before="245" w:line="295" w:lineRule="auto"/>
              <w:ind w:left="680" w:right="260" w:hanging="397"/>
              <w:jc w:val="both"/>
              <w:rPr>
                <w:rFonts w:ascii="Arial"/>
                <w:b/>
                <w:sz w:val="20"/>
                <w:szCs w:val="20"/>
                <w:lang w:val="uk-UA"/>
              </w:rPr>
            </w:pPr>
            <w:r w:rsidRPr="00821945">
              <w:rPr>
                <w:rFonts w:ascii="Arial"/>
                <w:b/>
                <w:sz w:val="20"/>
                <w:szCs w:val="20"/>
                <w:lang w:val="uk-UA"/>
              </w:rPr>
              <w:lastRenderedPageBreak/>
              <w:t xml:space="preserve">11. </w:t>
            </w:r>
            <w:r w:rsidR="004D54BB" w:rsidRPr="004D54BB">
              <w:rPr>
                <w:rFonts w:ascii="Arial"/>
                <w:b/>
                <w:sz w:val="20"/>
                <w:szCs w:val="20"/>
                <w:lang w:val="uk-UA"/>
              </w:rPr>
              <w:t>Для</w:t>
            </w:r>
            <w:r w:rsidR="004D54BB" w:rsidRPr="004D54BB">
              <w:rPr>
                <w:rFonts w:ascii="Arial"/>
                <w:b/>
                <w:sz w:val="20"/>
                <w:szCs w:val="20"/>
                <w:lang w:val="uk-UA"/>
              </w:rPr>
              <w:t xml:space="preserve"> </w:t>
            </w:r>
            <w:r w:rsidR="004D54BB" w:rsidRPr="004D54BB">
              <w:rPr>
                <w:rFonts w:ascii="Arial"/>
                <w:b/>
                <w:sz w:val="20"/>
                <w:szCs w:val="20"/>
                <w:lang w:val="uk-UA"/>
              </w:rPr>
              <w:t>людей</w:t>
            </w:r>
            <w:r w:rsidR="004D54BB" w:rsidRPr="004D54BB">
              <w:rPr>
                <w:rFonts w:ascii="Arial"/>
                <w:b/>
                <w:sz w:val="20"/>
                <w:szCs w:val="20"/>
                <w:lang w:val="uk-UA"/>
              </w:rPr>
              <w:t xml:space="preserve"> </w:t>
            </w:r>
            <w:r w:rsidR="004D54BB" w:rsidRPr="004D54BB">
              <w:rPr>
                <w:rFonts w:ascii="Arial"/>
                <w:b/>
                <w:sz w:val="20"/>
                <w:szCs w:val="20"/>
                <w:lang w:val="uk-UA"/>
              </w:rPr>
              <w:t>з</w:t>
            </w:r>
            <w:r w:rsidR="004D54BB" w:rsidRPr="004D54BB">
              <w:rPr>
                <w:rFonts w:ascii="Arial"/>
                <w:b/>
                <w:sz w:val="20"/>
                <w:szCs w:val="20"/>
                <w:lang w:val="uk-UA"/>
              </w:rPr>
              <w:t xml:space="preserve"> </w:t>
            </w:r>
            <w:r w:rsidR="004D54BB" w:rsidRPr="004D54BB">
              <w:rPr>
                <w:rFonts w:ascii="Arial"/>
                <w:b/>
                <w:sz w:val="20"/>
                <w:szCs w:val="20"/>
                <w:lang w:val="uk-UA"/>
              </w:rPr>
              <w:t>бактеріологічно</w:t>
            </w:r>
            <w:r w:rsidR="004D54BB" w:rsidRPr="004D54BB">
              <w:rPr>
                <w:rFonts w:ascii="Arial"/>
                <w:b/>
                <w:sz w:val="20"/>
                <w:szCs w:val="20"/>
                <w:lang w:val="uk-UA"/>
              </w:rPr>
              <w:t xml:space="preserve"> </w:t>
            </w:r>
            <w:r w:rsidR="004D54BB" w:rsidRPr="004D54BB">
              <w:rPr>
                <w:rFonts w:ascii="Arial"/>
                <w:b/>
                <w:sz w:val="20"/>
                <w:szCs w:val="20"/>
                <w:lang w:val="uk-UA"/>
              </w:rPr>
              <w:t>підтвердженим</w:t>
            </w:r>
            <w:r w:rsidR="004D54BB" w:rsidRPr="004D54BB">
              <w:rPr>
                <w:rFonts w:ascii="Arial"/>
                <w:b/>
                <w:sz w:val="20"/>
                <w:szCs w:val="20"/>
                <w:lang w:val="uk-UA"/>
              </w:rPr>
              <w:t xml:space="preserve"> </w:t>
            </w:r>
            <w:r w:rsidR="004D54BB" w:rsidRPr="004D54BB">
              <w:rPr>
                <w:rFonts w:ascii="Arial"/>
                <w:b/>
                <w:sz w:val="20"/>
                <w:szCs w:val="20"/>
                <w:lang w:val="uk-UA"/>
              </w:rPr>
              <w:t>ТБ</w:t>
            </w:r>
            <w:r w:rsidR="004D54BB" w:rsidRPr="004D54BB">
              <w:rPr>
                <w:rFonts w:ascii="Arial"/>
                <w:b/>
                <w:sz w:val="20"/>
                <w:szCs w:val="20"/>
                <w:lang w:val="uk-UA"/>
              </w:rPr>
              <w:t xml:space="preserve"> </w:t>
            </w:r>
            <w:r w:rsidR="004D54BB" w:rsidRPr="004D54BB">
              <w:rPr>
                <w:rFonts w:ascii="Arial"/>
                <w:b/>
                <w:sz w:val="20"/>
                <w:szCs w:val="20"/>
                <w:lang w:val="uk-UA"/>
              </w:rPr>
              <w:t>легень</w:t>
            </w:r>
            <w:r w:rsidR="004D54BB" w:rsidRPr="004D54BB">
              <w:rPr>
                <w:rFonts w:ascii="Arial"/>
                <w:b/>
                <w:sz w:val="20"/>
                <w:szCs w:val="20"/>
                <w:lang w:val="uk-UA"/>
              </w:rPr>
              <w:t xml:space="preserve"> </w:t>
            </w:r>
            <w:r w:rsidR="004D54BB" w:rsidRPr="004D54BB">
              <w:rPr>
                <w:rFonts w:ascii="Arial"/>
                <w:b/>
                <w:sz w:val="20"/>
                <w:szCs w:val="20"/>
                <w:lang w:val="uk-UA"/>
              </w:rPr>
              <w:t>та</w:t>
            </w:r>
            <w:r w:rsidR="004D54BB" w:rsidRPr="004D54BB">
              <w:rPr>
                <w:rFonts w:ascii="Arial"/>
                <w:b/>
                <w:sz w:val="20"/>
                <w:szCs w:val="20"/>
                <w:lang w:val="uk-UA"/>
              </w:rPr>
              <w:t xml:space="preserve"> </w:t>
            </w:r>
            <w:r w:rsidR="004D54BB" w:rsidRPr="004D54BB">
              <w:rPr>
                <w:rFonts w:ascii="Arial"/>
                <w:b/>
                <w:sz w:val="20"/>
                <w:szCs w:val="20"/>
                <w:lang w:val="uk-UA"/>
              </w:rPr>
              <w:t>стійкістю</w:t>
            </w:r>
            <w:r w:rsidR="004D54BB" w:rsidRPr="004D54BB">
              <w:rPr>
                <w:rFonts w:ascii="Arial"/>
                <w:b/>
                <w:sz w:val="20"/>
                <w:szCs w:val="20"/>
                <w:lang w:val="uk-UA"/>
              </w:rPr>
              <w:t xml:space="preserve"> </w:t>
            </w:r>
            <w:r w:rsidR="004D54BB" w:rsidRPr="004D54BB">
              <w:rPr>
                <w:rFonts w:ascii="Arial"/>
                <w:b/>
                <w:sz w:val="20"/>
                <w:szCs w:val="20"/>
                <w:lang w:val="uk-UA"/>
              </w:rPr>
              <w:t>до</w:t>
            </w:r>
            <w:r w:rsidR="004D54BB" w:rsidRPr="004D54BB">
              <w:rPr>
                <w:rFonts w:ascii="Arial"/>
                <w:b/>
                <w:sz w:val="20"/>
                <w:szCs w:val="20"/>
                <w:lang w:val="uk-UA"/>
              </w:rPr>
              <w:t xml:space="preserve"> </w:t>
            </w:r>
            <w:r w:rsidR="004D54BB" w:rsidRPr="004D54BB">
              <w:rPr>
                <w:rFonts w:ascii="Arial"/>
                <w:b/>
                <w:sz w:val="20"/>
                <w:szCs w:val="20"/>
                <w:lang w:val="uk-UA"/>
              </w:rPr>
              <w:t>рифампіцину</w:t>
            </w:r>
            <w:r w:rsidR="004D54BB" w:rsidRPr="004D54BB">
              <w:rPr>
                <w:rFonts w:ascii="Arial"/>
                <w:b/>
                <w:sz w:val="20"/>
                <w:szCs w:val="20"/>
                <w:lang w:val="uk-UA"/>
              </w:rPr>
              <w:t xml:space="preserve"> </w:t>
            </w:r>
            <w:r w:rsidR="004D54BB" w:rsidRPr="004D54BB">
              <w:rPr>
                <w:rFonts w:ascii="Arial"/>
                <w:b/>
                <w:sz w:val="20"/>
                <w:szCs w:val="20"/>
                <w:lang w:val="uk-UA"/>
              </w:rPr>
              <w:t>можна</w:t>
            </w:r>
            <w:r w:rsidR="004D54BB" w:rsidRPr="004D54BB">
              <w:rPr>
                <w:rFonts w:ascii="Arial"/>
                <w:b/>
                <w:sz w:val="20"/>
                <w:szCs w:val="20"/>
                <w:lang w:val="uk-UA"/>
              </w:rPr>
              <w:t xml:space="preserve"> </w:t>
            </w:r>
            <w:r w:rsidR="004D54BB" w:rsidRPr="004D54BB">
              <w:rPr>
                <w:rFonts w:ascii="Arial"/>
                <w:b/>
                <w:sz w:val="20"/>
                <w:szCs w:val="20"/>
                <w:lang w:val="uk-UA"/>
              </w:rPr>
              <w:t>використовувати</w:t>
            </w:r>
            <w:r w:rsidR="004D54BB" w:rsidRPr="004D54BB">
              <w:rPr>
                <w:rFonts w:ascii="Arial"/>
                <w:b/>
                <w:sz w:val="20"/>
                <w:szCs w:val="20"/>
                <w:lang w:val="uk-UA"/>
              </w:rPr>
              <w:t xml:space="preserve"> </w:t>
            </w:r>
            <w:r w:rsidR="004D54BB" w:rsidRPr="004D54BB">
              <w:rPr>
                <w:rFonts w:ascii="Arial"/>
                <w:b/>
                <w:sz w:val="20"/>
                <w:szCs w:val="20"/>
                <w:lang w:val="uk-UA"/>
              </w:rPr>
              <w:t>автоматизовані</w:t>
            </w:r>
            <w:r w:rsidR="004D54BB" w:rsidRPr="004D54BB">
              <w:rPr>
                <w:rFonts w:ascii="Arial"/>
                <w:b/>
                <w:sz w:val="20"/>
                <w:szCs w:val="20"/>
                <w:lang w:val="uk-UA"/>
              </w:rPr>
              <w:t xml:space="preserve"> </w:t>
            </w:r>
            <w:r w:rsidR="004D54BB" w:rsidRPr="004D54BB">
              <w:rPr>
                <w:rFonts w:ascii="Arial"/>
                <w:b/>
                <w:sz w:val="20"/>
                <w:szCs w:val="20"/>
                <w:lang w:val="uk-UA"/>
              </w:rPr>
              <w:t>ТАНК</w:t>
            </w:r>
            <w:r w:rsidR="004D54BB" w:rsidRPr="004D54BB">
              <w:rPr>
                <w:rFonts w:ascii="Arial"/>
                <w:b/>
                <w:sz w:val="20"/>
                <w:szCs w:val="20"/>
                <w:lang w:val="uk-UA"/>
              </w:rPr>
              <w:t xml:space="preserve"> </w:t>
            </w:r>
            <w:r w:rsidR="004D54BB" w:rsidRPr="004D54BB">
              <w:rPr>
                <w:rFonts w:ascii="Arial"/>
                <w:b/>
                <w:sz w:val="20"/>
                <w:szCs w:val="20"/>
                <w:lang w:val="uk-UA"/>
              </w:rPr>
              <w:t>низької</w:t>
            </w:r>
            <w:r w:rsidR="004D54BB" w:rsidRPr="004D54BB">
              <w:rPr>
                <w:rFonts w:ascii="Arial"/>
                <w:b/>
                <w:sz w:val="20"/>
                <w:szCs w:val="20"/>
                <w:lang w:val="uk-UA"/>
              </w:rPr>
              <w:t xml:space="preserve"> </w:t>
            </w:r>
            <w:r w:rsidR="004D54BB" w:rsidRPr="004D54BB">
              <w:rPr>
                <w:rFonts w:ascii="Arial"/>
                <w:b/>
                <w:sz w:val="20"/>
                <w:szCs w:val="20"/>
                <w:lang w:val="uk-UA"/>
              </w:rPr>
              <w:t>складності</w:t>
            </w:r>
            <w:r w:rsidR="004D54BB" w:rsidRPr="004D54BB">
              <w:rPr>
                <w:rFonts w:ascii="Arial"/>
                <w:b/>
                <w:sz w:val="20"/>
                <w:szCs w:val="20"/>
                <w:lang w:val="uk-UA"/>
              </w:rPr>
              <w:t xml:space="preserve"> </w:t>
            </w:r>
            <w:r w:rsidR="004D54BB" w:rsidRPr="004D54BB">
              <w:rPr>
                <w:rFonts w:ascii="Arial"/>
                <w:b/>
                <w:sz w:val="20"/>
                <w:szCs w:val="20"/>
                <w:lang w:val="uk-UA"/>
              </w:rPr>
              <w:t>на</w:t>
            </w:r>
            <w:r w:rsidR="004D54BB" w:rsidRPr="004D54BB">
              <w:rPr>
                <w:rFonts w:ascii="Arial"/>
                <w:b/>
                <w:sz w:val="20"/>
                <w:szCs w:val="20"/>
                <w:lang w:val="uk-UA"/>
              </w:rPr>
              <w:t xml:space="preserve"> </w:t>
            </w:r>
            <w:r w:rsidR="004D54BB" w:rsidRPr="004D54BB">
              <w:rPr>
                <w:rFonts w:ascii="Arial"/>
                <w:b/>
                <w:sz w:val="20"/>
                <w:szCs w:val="20"/>
                <w:lang w:val="uk-UA"/>
              </w:rPr>
              <w:t>зразках</w:t>
            </w:r>
            <w:r w:rsidR="004D54BB" w:rsidRPr="004D54BB">
              <w:rPr>
                <w:rFonts w:ascii="Arial"/>
                <w:b/>
                <w:sz w:val="20"/>
                <w:szCs w:val="20"/>
                <w:lang w:val="uk-UA"/>
              </w:rPr>
              <w:t xml:space="preserve"> </w:t>
            </w:r>
            <w:r w:rsidR="004D54BB" w:rsidRPr="004D54BB">
              <w:rPr>
                <w:rFonts w:ascii="Arial"/>
                <w:b/>
                <w:sz w:val="20"/>
                <w:szCs w:val="20"/>
                <w:lang w:val="uk-UA"/>
              </w:rPr>
              <w:t>мокротиння</w:t>
            </w:r>
            <w:r w:rsidR="004D54BB" w:rsidRPr="004D54BB">
              <w:rPr>
                <w:rFonts w:ascii="Arial"/>
                <w:b/>
                <w:sz w:val="20"/>
                <w:szCs w:val="20"/>
                <w:lang w:val="uk-UA"/>
              </w:rPr>
              <w:t xml:space="preserve">  </w:t>
            </w:r>
            <w:r w:rsidR="004D54BB" w:rsidRPr="004D54BB">
              <w:rPr>
                <w:rFonts w:ascii="Arial"/>
                <w:b/>
                <w:sz w:val="20"/>
                <w:szCs w:val="20"/>
                <w:lang w:val="uk-UA"/>
              </w:rPr>
              <w:t>для</w:t>
            </w:r>
            <w:r w:rsidR="004D54BB" w:rsidRPr="004D54BB">
              <w:rPr>
                <w:rFonts w:ascii="Arial"/>
                <w:b/>
                <w:sz w:val="20"/>
                <w:szCs w:val="20"/>
                <w:lang w:val="uk-UA"/>
              </w:rPr>
              <w:t xml:space="preserve"> </w:t>
            </w:r>
            <w:r w:rsidR="004D54BB" w:rsidRPr="004D54BB">
              <w:rPr>
                <w:rFonts w:ascii="Arial"/>
                <w:b/>
                <w:sz w:val="20"/>
                <w:szCs w:val="20"/>
                <w:lang w:val="uk-UA"/>
              </w:rPr>
              <w:t>первинного</w:t>
            </w:r>
            <w:r w:rsidR="004D54BB" w:rsidRPr="004D54BB">
              <w:rPr>
                <w:rFonts w:ascii="Arial"/>
                <w:b/>
                <w:sz w:val="20"/>
                <w:szCs w:val="20"/>
                <w:lang w:val="uk-UA"/>
              </w:rPr>
              <w:t xml:space="preserve"> </w:t>
            </w:r>
            <w:r w:rsidR="004D54BB" w:rsidRPr="004D54BB">
              <w:rPr>
                <w:rFonts w:ascii="Arial"/>
                <w:b/>
                <w:sz w:val="20"/>
                <w:szCs w:val="20"/>
                <w:lang w:val="uk-UA"/>
              </w:rPr>
              <w:t>виявлення</w:t>
            </w:r>
            <w:r w:rsidR="004D54BB" w:rsidRPr="004D54BB">
              <w:rPr>
                <w:rFonts w:ascii="Arial"/>
                <w:b/>
                <w:sz w:val="20"/>
                <w:szCs w:val="20"/>
                <w:lang w:val="uk-UA"/>
              </w:rPr>
              <w:t xml:space="preserve"> </w:t>
            </w:r>
            <w:r w:rsidR="004D54BB" w:rsidRPr="004D54BB">
              <w:rPr>
                <w:rFonts w:ascii="Arial"/>
                <w:b/>
                <w:sz w:val="20"/>
                <w:szCs w:val="20"/>
                <w:lang w:val="uk-UA"/>
              </w:rPr>
              <w:t>стійкості</w:t>
            </w:r>
            <w:r w:rsidR="004D54BB" w:rsidRPr="004D54BB">
              <w:rPr>
                <w:rFonts w:ascii="Arial"/>
                <w:b/>
                <w:sz w:val="20"/>
                <w:szCs w:val="20"/>
                <w:lang w:val="uk-UA"/>
              </w:rPr>
              <w:t xml:space="preserve"> </w:t>
            </w:r>
            <w:r w:rsidR="004D54BB" w:rsidRPr="004D54BB">
              <w:rPr>
                <w:rFonts w:ascii="Arial"/>
                <w:b/>
                <w:sz w:val="20"/>
                <w:szCs w:val="20"/>
                <w:lang w:val="uk-UA"/>
              </w:rPr>
              <w:t>до</w:t>
            </w:r>
            <w:r w:rsidR="004D54BB" w:rsidRPr="004D54BB">
              <w:rPr>
                <w:rFonts w:ascii="Arial"/>
                <w:b/>
                <w:sz w:val="20"/>
                <w:szCs w:val="20"/>
                <w:lang w:val="uk-UA"/>
              </w:rPr>
              <w:t xml:space="preserve"> </w:t>
            </w:r>
            <w:r w:rsidR="004D54BB" w:rsidRPr="004D54BB">
              <w:rPr>
                <w:rFonts w:ascii="Arial"/>
                <w:b/>
                <w:sz w:val="20"/>
                <w:szCs w:val="20"/>
                <w:lang w:val="uk-UA"/>
              </w:rPr>
              <w:t>етіонаміду</w:t>
            </w:r>
            <w:r w:rsidR="004D54BB" w:rsidRPr="004D54BB">
              <w:rPr>
                <w:rFonts w:ascii="Arial"/>
                <w:b/>
                <w:sz w:val="20"/>
                <w:szCs w:val="20"/>
                <w:lang w:val="uk-UA"/>
              </w:rPr>
              <w:t xml:space="preserve"> </w:t>
            </w:r>
            <w:r w:rsidR="004D54BB" w:rsidRPr="004D54BB">
              <w:rPr>
                <w:rFonts w:ascii="Arial"/>
                <w:b/>
                <w:sz w:val="20"/>
                <w:szCs w:val="20"/>
                <w:lang w:val="uk-UA"/>
              </w:rPr>
              <w:t>замість</w:t>
            </w:r>
            <w:r w:rsidR="004D54BB" w:rsidRPr="004D54BB">
              <w:rPr>
                <w:rFonts w:ascii="Arial"/>
                <w:b/>
                <w:sz w:val="20"/>
                <w:szCs w:val="20"/>
                <w:lang w:val="uk-UA"/>
              </w:rPr>
              <w:t xml:space="preserve"> </w:t>
            </w:r>
            <w:r w:rsidR="004D54BB" w:rsidRPr="004D54BB">
              <w:rPr>
                <w:rFonts w:ascii="Arial"/>
                <w:b/>
                <w:sz w:val="20"/>
                <w:szCs w:val="20"/>
                <w:lang w:val="uk-UA"/>
              </w:rPr>
              <w:t>секвенування</w:t>
            </w:r>
            <w:r w:rsidR="004D54BB" w:rsidRPr="004D54BB">
              <w:rPr>
                <w:rFonts w:ascii="Arial"/>
                <w:b/>
                <w:sz w:val="20"/>
                <w:szCs w:val="20"/>
                <w:lang w:val="uk-UA"/>
              </w:rPr>
              <w:t xml:space="preserve"> </w:t>
            </w:r>
            <w:r w:rsidR="004D54BB" w:rsidRPr="004D54BB">
              <w:rPr>
                <w:rFonts w:ascii="Arial"/>
                <w:b/>
                <w:sz w:val="20"/>
                <w:szCs w:val="20"/>
                <w:lang w:val="uk-UA"/>
              </w:rPr>
              <w:t>ДНК</w:t>
            </w:r>
            <w:r w:rsidR="004D54BB" w:rsidRPr="004D54BB">
              <w:rPr>
                <w:rFonts w:ascii="Arial"/>
                <w:b/>
                <w:sz w:val="20"/>
                <w:szCs w:val="20"/>
                <w:lang w:val="uk-UA"/>
              </w:rPr>
              <w:t xml:space="preserve"> </w:t>
            </w:r>
            <w:r w:rsidR="004D54BB" w:rsidRPr="004D54BB">
              <w:rPr>
                <w:rFonts w:ascii="Arial"/>
                <w:b/>
                <w:sz w:val="20"/>
                <w:szCs w:val="20"/>
                <w:lang w:val="uk-UA"/>
              </w:rPr>
              <w:t>промотора</w:t>
            </w:r>
            <w:r w:rsidR="004D54BB" w:rsidRPr="004D54BB">
              <w:rPr>
                <w:rFonts w:ascii="Arial"/>
                <w:b/>
                <w:sz w:val="20"/>
                <w:szCs w:val="20"/>
                <w:lang w:val="uk-UA"/>
              </w:rPr>
              <w:t xml:space="preserve"> </w:t>
            </w:r>
            <w:r w:rsidR="004D54BB" w:rsidRPr="00FF766B">
              <w:rPr>
                <w:rFonts w:ascii="Arial"/>
                <w:b/>
                <w:i/>
                <w:iCs/>
                <w:sz w:val="20"/>
                <w:szCs w:val="20"/>
                <w:lang w:val="uk-UA"/>
              </w:rPr>
              <w:t>inhA</w:t>
            </w:r>
            <w:r w:rsidR="004D54BB" w:rsidRPr="004D54BB">
              <w:rPr>
                <w:rFonts w:ascii="Arial"/>
                <w:b/>
                <w:sz w:val="20"/>
                <w:szCs w:val="20"/>
                <w:lang w:val="uk-UA"/>
              </w:rPr>
              <w:t>.</w:t>
            </w:r>
          </w:p>
          <w:p w14:paraId="0E341A87" w14:textId="21DB20BD" w:rsidR="00E05B98" w:rsidRPr="00821945" w:rsidRDefault="00B01E0C" w:rsidP="004F45C6">
            <w:pPr>
              <w:pStyle w:val="TableParagraph"/>
              <w:spacing w:before="52"/>
              <w:ind w:left="680" w:right="277"/>
              <w:jc w:val="both"/>
              <w:rPr>
                <w:rFonts w:ascii="Arial"/>
                <w:i/>
                <w:sz w:val="20"/>
                <w:szCs w:val="20"/>
                <w:lang w:val="uk-UA"/>
              </w:rPr>
            </w:pPr>
            <w:r w:rsidRPr="00821945">
              <w:rPr>
                <w:rFonts w:ascii="Arial"/>
                <w:i/>
                <w:spacing w:val="-2"/>
                <w:sz w:val="20"/>
                <w:szCs w:val="20"/>
                <w:lang w:val="uk-UA"/>
              </w:rPr>
              <w:t>(</w:t>
            </w:r>
            <w:r w:rsidR="004D54BB" w:rsidRPr="004D54BB">
              <w:rPr>
                <w:rFonts w:ascii="Arial"/>
                <w:i/>
                <w:spacing w:val="-2"/>
                <w:sz w:val="20"/>
                <w:szCs w:val="20"/>
                <w:lang w:val="uk-UA"/>
              </w:rPr>
              <w:t>Умовна</w:t>
            </w:r>
            <w:r w:rsidR="004D54BB" w:rsidRPr="004D54BB">
              <w:rPr>
                <w:rFonts w:ascii="Arial"/>
                <w:i/>
                <w:spacing w:val="-2"/>
                <w:sz w:val="20"/>
                <w:szCs w:val="20"/>
                <w:lang w:val="uk-UA"/>
              </w:rPr>
              <w:t xml:space="preserve"> </w:t>
            </w:r>
            <w:r w:rsidR="004D54BB" w:rsidRPr="004D54BB">
              <w:rPr>
                <w:rFonts w:ascii="Arial"/>
                <w:i/>
                <w:spacing w:val="-2"/>
                <w:sz w:val="20"/>
                <w:szCs w:val="20"/>
                <w:lang w:val="uk-UA"/>
              </w:rPr>
              <w:t>рекомендація</w:t>
            </w:r>
            <w:r w:rsidR="004D54BB" w:rsidRPr="004D54BB">
              <w:rPr>
                <w:rFonts w:ascii="Arial"/>
                <w:i/>
                <w:spacing w:val="-2"/>
                <w:sz w:val="20"/>
                <w:szCs w:val="20"/>
                <w:lang w:val="uk-UA"/>
              </w:rPr>
              <w:t xml:space="preserve">, </w:t>
            </w:r>
            <w:r w:rsidR="004D54BB" w:rsidRPr="004D54BB">
              <w:rPr>
                <w:rFonts w:ascii="Arial"/>
                <w:i/>
                <w:spacing w:val="-2"/>
                <w:sz w:val="20"/>
                <w:szCs w:val="20"/>
                <w:lang w:val="uk-UA"/>
              </w:rPr>
              <w:t>дуже</w:t>
            </w:r>
            <w:r w:rsidR="004D54BB" w:rsidRPr="004D54BB">
              <w:rPr>
                <w:rFonts w:ascii="Arial"/>
                <w:i/>
                <w:spacing w:val="-2"/>
                <w:sz w:val="20"/>
                <w:szCs w:val="20"/>
                <w:lang w:val="uk-UA"/>
              </w:rPr>
              <w:t xml:space="preserve"> </w:t>
            </w:r>
            <w:r w:rsidR="004D54BB" w:rsidRPr="004D54BB">
              <w:rPr>
                <w:rFonts w:ascii="Arial"/>
                <w:i/>
                <w:spacing w:val="-2"/>
                <w:sz w:val="20"/>
                <w:szCs w:val="20"/>
                <w:lang w:val="uk-UA"/>
              </w:rPr>
              <w:t>низьк</w:t>
            </w:r>
            <w:r w:rsidR="004F45C6">
              <w:rPr>
                <w:rFonts w:ascii="Arial"/>
                <w:i/>
                <w:spacing w:val="-2"/>
                <w:sz w:val="20"/>
                <w:szCs w:val="20"/>
                <w:lang w:val="uk-UA"/>
              </w:rPr>
              <w:t>ий</w:t>
            </w:r>
            <w:r w:rsidR="004F45C6">
              <w:rPr>
                <w:rFonts w:ascii="Arial"/>
                <w:i/>
                <w:spacing w:val="-2"/>
                <w:sz w:val="20"/>
                <w:szCs w:val="20"/>
                <w:lang w:val="uk-UA"/>
              </w:rPr>
              <w:t xml:space="preserve"> </w:t>
            </w:r>
            <w:r w:rsidR="004F45C6">
              <w:rPr>
                <w:rFonts w:ascii="Arial"/>
                <w:i/>
                <w:spacing w:val="-2"/>
                <w:sz w:val="20"/>
                <w:szCs w:val="20"/>
                <w:lang w:val="uk-UA"/>
              </w:rPr>
              <w:t>ступінь</w:t>
            </w:r>
            <w:r w:rsidR="004D54BB" w:rsidRPr="004D54BB">
              <w:rPr>
                <w:rFonts w:ascii="Arial"/>
                <w:i/>
                <w:spacing w:val="-2"/>
                <w:sz w:val="20"/>
                <w:szCs w:val="20"/>
                <w:lang w:val="uk-UA"/>
              </w:rPr>
              <w:t xml:space="preserve"> </w:t>
            </w:r>
            <w:r w:rsidR="004D54BB" w:rsidRPr="004D54BB">
              <w:rPr>
                <w:rFonts w:ascii="Arial"/>
                <w:i/>
                <w:spacing w:val="-2"/>
                <w:sz w:val="20"/>
                <w:szCs w:val="20"/>
                <w:lang w:val="uk-UA"/>
              </w:rPr>
              <w:t>достовірн</w:t>
            </w:r>
            <w:r w:rsidR="004F45C6">
              <w:rPr>
                <w:rFonts w:ascii="Arial"/>
                <w:i/>
                <w:spacing w:val="-2"/>
                <w:sz w:val="20"/>
                <w:szCs w:val="20"/>
                <w:lang w:val="uk-UA"/>
              </w:rPr>
              <w:t>ості</w:t>
            </w:r>
            <w:r w:rsidR="004D54BB" w:rsidRPr="004D54BB">
              <w:rPr>
                <w:rFonts w:ascii="Arial"/>
                <w:i/>
                <w:spacing w:val="-2"/>
                <w:sz w:val="20"/>
                <w:szCs w:val="20"/>
                <w:lang w:val="uk-UA"/>
              </w:rPr>
              <w:t xml:space="preserve"> </w:t>
            </w:r>
            <w:r w:rsidR="004D54BB" w:rsidRPr="004D54BB">
              <w:rPr>
                <w:rFonts w:ascii="Arial"/>
                <w:i/>
                <w:spacing w:val="-2"/>
                <w:sz w:val="20"/>
                <w:szCs w:val="20"/>
                <w:lang w:val="uk-UA"/>
              </w:rPr>
              <w:t>доказів</w:t>
            </w:r>
            <w:r w:rsidR="004D54BB" w:rsidRPr="004D54BB">
              <w:rPr>
                <w:rFonts w:ascii="Arial"/>
                <w:i/>
                <w:spacing w:val="-2"/>
                <w:sz w:val="20"/>
                <w:szCs w:val="20"/>
                <w:lang w:val="uk-UA"/>
              </w:rPr>
              <w:t xml:space="preserve"> </w:t>
            </w:r>
            <w:r w:rsidR="004D54BB" w:rsidRPr="004D54BB">
              <w:rPr>
                <w:rFonts w:ascii="Arial"/>
                <w:i/>
                <w:spacing w:val="-2"/>
                <w:sz w:val="20"/>
                <w:szCs w:val="20"/>
                <w:lang w:val="uk-UA"/>
              </w:rPr>
              <w:t>щодо</w:t>
            </w:r>
            <w:r w:rsidR="004D54BB" w:rsidRPr="004D54BB">
              <w:rPr>
                <w:rFonts w:ascii="Arial"/>
                <w:i/>
                <w:spacing w:val="-2"/>
                <w:sz w:val="20"/>
                <w:szCs w:val="20"/>
                <w:lang w:val="uk-UA"/>
              </w:rPr>
              <w:t xml:space="preserve"> </w:t>
            </w:r>
            <w:r w:rsidR="004D54BB" w:rsidRPr="004D54BB">
              <w:rPr>
                <w:rFonts w:ascii="Arial"/>
                <w:i/>
                <w:spacing w:val="-2"/>
                <w:sz w:val="20"/>
                <w:szCs w:val="20"/>
                <w:lang w:val="uk-UA"/>
              </w:rPr>
              <w:t>діагностичної</w:t>
            </w:r>
            <w:r w:rsidR="004D54BB" w:rsidRPr="004D54BB">
              <w:rPr>
                <w:rFonts w:ascii="Arial"/>
                <w:i/>
                <w:spacing w:val="-2"/>
                <w:sz w:val="20"/>
                <w:szCs w:val="20"/>
                <w:lang w:val="uk-UA"/>
              </w:rPr>
              <w:t xml:space="preserve"> </w:t>
            </w:r>
            <w:r w:rsidR="004D54BB" w:rsidRPr="004D54BB">
              <w:rPr>
                <w:rFonts w:ascii="Arial"/>
                <w:i/>
                <w:spacing w:val="-2"/>
                <w:sz w:val="20"/>
                <w:szCs w:val="20"/>
                <w:lang w:val="uk-UA"/>
              </w:rPr>
              <w:t>точності</w:t>
            </w:r>
            <w:r w:rsidRPr="00821945">
              <w:rPr>
                <w:rFonts w:ascii="Arial"/>
                <w:i/>
                <w:spacing w:val="-2"/>
                <w:sz w:val="20"/>
                <w:szCs w:val="20"/>
                <w:lang w:val="uk-UA"/>
              </w:rPr>
              <w:t>)</w:t>
            </w:r>
          </w:p>
        </w:tc>
      </w:tr>
    </w:tbl>
    <w:p w14:paraId="5BF611F7" w14:textId="77777777" w:rsidR="00E05B98" w:rsidRPr="003C6DAE" w:rsidRDefault="00E05B98">
      <w:pPr>
        <w:pStyle w:val="a3"/>
        <w:spacing w:before="43" w:after="1"/>
        <w:rPr>
          <w:sz w:val="20"/>
          <w:lang w:val="uk-UA"/>
        </w:rPr>
      </w:pPr>
    </w:p>
    <w:tbl>
      <w:tblPr>
        <w:tblStyle w:val="TableNormal"/>
        <w:tblW w:w="0" w:type="auto"/>
        <w:tblInd w:w="58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051"/>
      </w:tblGrid>
      <w:tr w:rsidR="00E05B98" w:rsidRPr="00D029FF" w14:paraId="7B9417E0" w14:textId="77777777" w:rsidTr="004D54BB">
        <w:trPr>
          <w:trHeight w:val="1623"/>
        </w:trPr>
        <w:tc>
          <w:tcPr>
            <w:tcW w:w="9051" w:type="dxa"/>
          </w:tcPr>
          <w:p w14:paraId="0A1C0793" w14:textId="105888C8" w:rsidR="00E05B98" w:rsidRPr="00821945" w:rsidRDefault="00B01E0C">
            <w:pPr>
              <w:pStyle w:val="TableParagraph"/>
              <w:spacing w:before="245" w:line="295" w:lineRule="auto"/>
              <w:ind w:left="680" w:right="260" w:hanging="397"/>
              <w:jc w:val="both"/>
              <w:rPr>
                <w:rFonts w:ascii="Arial"/>
                <w:b/>
                <w:sz w:val="20"/>
                <w:szCs w:val="20"/>
                <w:lang w:val="uk-UA"/>
              </w:rPr>
            </w:pPr>
            <w:r w:rsidRPr="00821945">
              <w:rPr>
                <w:rFonts w:ascii="Arial"/>
                <w:b/>
                <w:sz w:val="20"/>
                <w:szCs w:val="20"/>
                <w:lang w:val="uk-UA"/>
              </w:rPr>
              <w:t xml:space="preserve">12. </w:t>
            </w:r>
            <w:r w:rsidR="004D54BB" w:rsidRPr="004D54BB">
              <w:rPr>
                <w:rFonts w:ascii="Arial"/>
                <w:b/>
                <w:sz w:val="20"/>
                <w:szCs w:val="20"/>
                <w:lang w:val="uk-UA"/>
              </w:rPr>
              <w:t>У</w:t>
            </w:r>
            <w:r w:rsidR="004D54BB" w:rsidRPr="004D54BB">
              <w:rPr>
                <w:rFonts w:ascii="Arial"/>
                <w:b/>
                <w:sz w:val="20"/>
                <w:szCs w:val="20"/>
                <w:lang w:val="uk-UA"/>
              </w:rPr>
              <w:t xml:space="preserve"> </w:t>
            </w:r>
            <w:r w:rsidR="004D54BB" w:rsidRPr="004D54BB">
              <w:rPr>
                <w:rFonts w:ascii="Arial"/>
                <w:b/>
                <w:sz w:val="20"/>
                <w:szCs w:val="20"/>
                <w:lang w:val="uk-UA"/>
              </w:rPr>
              <w:t>людей</w:t>
            </w:r>
            <w:r w:rsidR="004D54BB" w:rsidRPr="004D54BB">
              <w:rPr>
                <w:rFonts w:ascii="Arial"/>
                <w:b/>
                <w:sz w:val="20"/>
                <w:szCs w:val="20"/>
                <w:lang w:val="uk-UA"/>
              </w:rPr>
              <w:t xml:space="preserve"> </w:t>
            </w:r>
            <w:r w:rsidR="004D54BB" w:rsidRPr="004D54BB">
              <w:rPr>
                <w:rFonts w:ascii="Arial"/>
                <w:b/>
                <w:sz w:val="20"/>
                <w:szCs w:val="20"/>
                <w:lang w:val="uk-UA"/>
              </w:rPr>
              <w:t>з</w:t>
            </w:r>
            <w:r w:rsidR="004D54BB" w:rsidRPr="004D54BB">
              <w:rPr>
                <w:rFonts w:ascii="Arial"/>
                <w:b/>
                <w:sz w:val="20"/>
                <w:szCs w:val="20"/>
                <w:lang w:val="uk-UA"/>
              </w:rPr>
              <w:t xml:space="preserve"> </w:t>
            </w:r>
            <w:r w:rsidR="004D54BB" w:rsidRPr="004D54BB">
              <w:rPr>
                <w:rFonts w:ascii="Arial"/>
                <w:b/>
                <w:sz w:val="20"/>
                <w:szCs w:val="20"/>
                <w:lang w:val="uk-UA"/>
              </w:rPr>
              <w:t>бактеріологічно</w:t>
            </w:r>
            <w:r w:rsidR="004D54BB" w:rsidRPr="004D54BB">
              <w:rPr>
                <w:rFonts w:ascii="Arial"/>
                <w:b/>
                <w:sz w:val="20"/>
                <w:szCs w:val="20"/>
                <w:lang w:val="uk-UA"/>
              </w:rPr>
              <w:t xml:space="preserve"> </w:t>
            </w:r>
            <w:r w:rsidR="004D54BB" w:rsidRPr="004D54BB">
              <w:rPr>
                <w:rFonts w:ascii="Arial"/>
                <w:b/>
                <w:sz w:val="20"/>
                <w:szCs w:val="20"/>
                <w:lang w:val="uk-UA"/>
              </w:rPr>
              <w:t>підтвердженим</w:t>
            </w:r>
            <w:r w:rsidR="004D54BB" w:rsidRPr="004D54BB">
              <w:rPr>
                <w:rFonts w:ascii="Arial"/>
                <w:b/>
                <w:sz w:val="20"/>
                <w:szCs w:val="20"/>
                <w:lang w:val="uk-UA"/>
              </w:rPr>
              <w:t xml:space="preserve"> </w:t>
            </w:r>
            <w:r w:rsidR="004D54BB" w:rsidRPr="004D54BB">
              <w:rPr>
                <w:rFonts w:ascii="Arial"/>
                <w:b/>
                <w:sz w:val="20"/>
                <w:szCs w:val="20"/>
                <w:lang w:val="uk-UA"/>
              </w:rPr>
              <w:t>ТБ</w:t>
            </w:r>
            <w:r w:rsidR="004D54BB" w:rsidRPr="004D54BB">
              <w:rPr>
                <w:rFonts w:ascii="Arial"/>
                <w:b/>
                <w:sz w:val="20"/>
                <w:szCs w:val="20"/>
                <w:lang w:val="uk-UA"/>
              </w:rPr>
              <w:t xml:space="preserve"> </w:t>
            </w:r>
            <w:r w:rsidR="004D54BB" w:rsidRPr="004D54BB">
              <w:rPr>
                <w:rFonts w:ascii="Arial"/>
                <w:b/>
                <w:sz w:val="20"/>
                <w:szCs w:val="20"/>
                <w:lang w:val="uk-UA"/>
              </w:rPr>
              <w:t>легень</w:t>
            </w:r>
            <w:r w:rsidR="004D54BB" w:rsidRPr="004D54BB">
              <w:rPr>
                <w:rFonts w:ascii="Arial"/>
                <w:b/>
                <w:sz w:val="20"/>
                <w:szCs w:val="20"/>
                <w:lang w:val="uk-UA"/>
              </w:rPr>
              <w:t xml:space="preserve"> </w:t>
            </w:r>
            <w:r w:rsidR="004D54BB" w:rsidRPr="004D54BB">
              <w:rPr>
                <w:rFonts w:ascii="Arial"/>
                <w:b/>
                <w:sz w:val="20"/>
                <w:szCs w:val="20"/>
                <w:lang w:val="uk-UA"/>
              </w:rPr>
              <w:t>та</w:t>
            </w:r>
            <w:r w:rsidR="004D54BB" w:rsidRPr="004D54BB">
              <w:rPr>
                <w:rFonts w:ascii="Arial"/>
                <w:b/>
                <w:sz w:val="20"/>
                <w:szCs w:val="20"/>
                <w:lang w:val="uk-UA"/>
              </w:rPr>
              <w:t xml:space="preserve"> </w:t>
            </w:r>
            <w:r w:rsidR="004F45C6">
              <w:rPr>
                <w:rFonts w:ascii="Arial"/>
                <w:b/>
                <w:sz w:val="20"/>
                <w:szCs w:val="20"/>
                <w:lang w:val="uk-UA"/>
              </w:rPr>
              <w:t>резистентністю</w:t>
            </w:r>
            <w:r w:rsidR="004D54BB" w:rsidRPr="004D54BB">
              <w:rPr>
                <w:rFonts w:ascii="Arial"/>
                <w:b/>
                <w:sz w:val="20"/>
                <w:szCs w:val="20"/>
                <w:lang w:val="uk-UA"/>
              </w:rPr>
              <w:t xml:space="preserve"> </w:t>
            </w:r>
            <w:r w:rsidR="004D54BB" w:rsidRPr="004D54BB">
              <w:rPr>
                <w:rFonts w:ascii="Arial"/>
                <w:b/>
                <w:sz w:val="20"/>
                <w:szCs w:val="20"/>
                <w:lang w:val="uk-UA"/>
              </w:rPr>
              <w:t>до</w:t>
            </w:r>
            <w:r w:rsidR="004D54BB" w:rsidRPr="004D54BB">
              <w:rPr>
                <w:rFonts w:ascii="Arial"/>
                <w:b/>
                <w:sz w:val="20"/>
                <w:szCs w:val="20"/>
                <w:lang w:val="uk-UA"/>
              </w:rPr>
              <w:t xml:space="preserve"> </w:t>
            </w:r>
            <w:r w:rsidR="004D54BB" w:rsidRPr="004D54BB">
              <w:rPr>
                <w:rFonts w:ascii="Arial"/>
                <w:b/>
                <w:sz w:val="20"/>
                <w:szCs w:val="20"/>
                <w:lang w:val="uk-UA"/>
              </w:rPr>
              <w:t>рифампіцину</w:t>
            </w:r>
            <w:r w:rsidR="004D54BB" w:rsidRPr="004D54BB">
              <w:rPr>
                <w:rFonts w:ascii="Arial"/>
                <w:b/>
                <w:sz w:val="20"/>
                <w:szCs w:val="20"/>
                <w:lang w:val="uk-UA"/>
              </w:rPr>
              <w:t xml:space="preserve"> </w:t>
            </w:r>
            <w:r w:rsidR="004D54BB" w:rsidRPr="004D54BB">
              <w:rPr>
                <w:rFonts w:ascii="Arial"/>
                <w:b/>
                <w:sz w:val="20"/>
                <w:szCs w:val="20"/>
                <w:lang w:val="uk-UA"/>
              </w:rPr>
              <w:t>для</w:t>
            </w:r>
            <w:r w:rsidR="004D54BB" w:rsidRPr="004D54BB">
              <w:rPr>
                <w:rFonts w:ascii="Arial"/>
                <w:b/>
                <w:sz w:val="20"/>
                <w:szCs w:val="20"/>
                <w:lang w:val="uk-UA"/>
              </w:rPr>
              <w:t xml:space="preserve"> </w:t>
            </w:r>
            <w:r w:rsidR="004D54BB" w:rsidRPr="004D54BB">
              <w:rPr>
                <w:rFonts w:ascii="Arial"/>
                <w:b/>
                <w:sz w:val="20"/>
                <w:szCs w:val="20"/>
                <w:lang w:val="uk-UA"/>
              </w:rPr>
              <w:t>первинного</w:t>
            </w:r>
            <w:r w:rsidR="004D54BB" w:rsidRPr="004D54BB">
              <w:rPr>
                <w:rFonts w:ascii="Arial"/>
                <w:b/>
                <w:sz w:val="20"/>
                <w:szCs w:val="20"/>
                <w:lang w:val="uk-UA"/>
              </w:rPr>
              <w:t xml:space="preserve"> </w:t>
            </w:r>
            <w:r w:rsidR="004D54BB" w:rsidRPr="004D54BB">
              <w:rPr>
                <w:rFonts w:ascii="Arial"/>
                <w:b/>
                <w:sz w:val="20"/>
                <w:szCs w:val="20"/>
                <w:lang w:val="uk-UA"/>
              </w:rPr>
              <w:t>виявлення</w:t>
            </w:r>
            <w:r w:rsidR="004D54BB" w:rsidRPr="004D54BB">
              <w:rPr>
                <w:rFonts w:ascii="Arial"/>
                <w:b/>
                <w:sz w:val="20"/>
                <w:szCs w:val="20"/>
                <w:lang w:val="uk-UA"/>
              </w:rPr>
              <w:t xml:space="preserve"> </w:t>
            </w:r>
            <w:r w:rsidR="004D54BB" w:rsidRPr="004D54BB">
              <w:rPr>
                <w:rFonts w:ascii="Arial"/>
                <w:b/>
                <w:sz w:val="20"/>
                <w:szCs w:val="20"/>
                <w:lang w:val="uk-UA"/>
              </w:rPr>
              <w:t>стійкості</w:t>
            </w:r>
            <w:r w:rsidR="004D54BB" w:rsidRPr="004D54BB">
              <w:rPr>
                <w:rFonts w:ascii="Arial"/>
                <w:b/>
                <w:sz w:val="20"/>
                <w:szCs w:val="20"/>
                <w:lang w:val="uk-UA"/>
              </w:rPr>
              <w:t xml:space="preserve"> </w:t>
            </w:r>
            <w:r w:rsidR="004D54BB" w:rsidRPr="004D54BB">
              <w:rPr>
                <w:rFonts w:ascii="Arial"/>
                <w:b/>
                <w:sz w:val="20"/>
                <w:szCs w:val="20"/>
                <w:lang w:val="uk-UA"/>
              </w:rPr>
              <w:t>до</w:t>
            </w:r>
            <w:r w:rsidR="004D54BB" w:rsidRPr="004D54BB">
              <w:rPr>
                <w:rFonts w:ascii="Arial"/>
                <w:b/>
                <w:sz w:val="20"/>
                <w:szCs w:val="20"/>
                <w:lang w:val="uk-UA"/>
              </w:rPr>
              <w:t xml:space="preserve"> </w:t>
            </w:r>
            <w:r w:rsidR="004D54BB" w:rsidRPr="004D54BB">
              <w:rPr>
                <w:rFonts w:ascii="Arial"/>
                <w:b/>
                <w:sz w:val="20"/>
                <w:szCs w:val="20"/>
                <w:lang w:val="uk-UA"/>
              </w:rPr>
              <w:t>амікацину</w:t>
            </w:r>
            <w:r w:rsidR="004D54BB" w:rsidRPr="004D54BB">
              <w:rPr>
                <w:rFonts w:ascii="Arial"/>
                <w:b/>
                <w:sz w:val="20"/>
                <w:szCs w:val="20"/>
                <w:lang w:val="uk-UA"/>
              </w:rPr>
              <w:t xml:space="preserve"> </w:t>
            </w:r>
            <w:r w:rsidR="004D54BB" w:rsidRPr="004D54BB">
              <w:rPr>
                <w:rFonts w:ascii="Arial"/>
                <w:b/>
                <w:sz w:val="20"/>
                <w:szCs w:val="20"/>
                <w:lang w:val="uk-UA"/>
              </w:rPr>
              <w:t>можна</w:t>
            </w:r>
            <w:r w:rsidR="004D54BB" w:rsidRPr="004D54BB">
              <w:rPr>
                <w:rFonts w:ascii="Arial"/>
                <w:b/>
                <w:sz w:val="20"/>
                <w:szCs w:val="20"/>
                <w:lang w:val="uk-UA"/>
              </w:rPr>
              <w:t xml:space="preserve"> </w:t>
            </w:r>
            <w:r w:rsidR="004D54BB" w:rsidRPr="004D54BB">
              <w:rPr>
                <w:rFonts w:ascii="Arial"/>
                <w:b/>
                <w:sz w:val="20"/>
                <w:szCs w:val="20"/>
                <w:lang w:val="uk-UA"/>
              </w:rPr>
              <w:t>використовувати</w:t>
            </w:r>
            <w:r w:rsidR="004D54BB" w:rsidRPr="004D54BB">
              <w:rPr>
                <w:rFonts w:ascii="Arial"/>
                <w:b/>
                <w:sz w:val="20"/>
                <w:szCs w:val="20"/>
                <w:lang w:val="uk-UA"/>
              </w:rPr>
              <w:t xml:space="preserve"> </w:t>
            </w:r>
            <w:r w:rsidR="004D54BB" w:rsidRPr="004D54BB">
              <w:rPr>
                <w:rFonts w:ascii="Arial"/>
                <w:b/>
                <w:sz w:val="20"/>
                <w:szCs w:val="20"/>
                <w:lang w:val="uk-UA"/>
              </w:rPr>
              <w:t>автоматизовані</w:t>
            </w:r>
            <w:r w:rsidR="004D54BB" w:rsidRPr="004D54BB">
              <w:rPr>
                <w:rFonts w:ascii="Arial"/>
                <w:b/>
                <w:sz w:val="20"/>
                <w:szCs w:val="20"/>
                <w:lang w:val="uk-UA"/>
              </w:rPr>
              <w:t xml:space="preserve"> </w:t>
            </w:r>
            <w:r w:rsidR="004D54BB" w:rsidRPr="004D54BB">
              <w:rPr>
                <w:rFonts w:ascii="Arial"/>
                <w:b/>
                <w:sz w:val="20"/>
                <w:szCs w:val="20"/>
                <w:lang w:val="uk-UA"/>
              </w:rPr>
              <w:t>ТАНК</w:t>
            </w:r>
            <w:r w:rsidR="004D54BB" w:rsidRPr="004D54BB">
              <w:rPr>
                <w:rFonts w:ascii="Arial"/>
                <w:b/>
                <w:sz w:val="20"/>
                <w:szCs w:val="20"/>
                <w:lang w:val="uk-UA"/>
              </w:rPr>
              <w:t xml:space="preserve"> </w:t>
            </w:r>
            <w:r w:rsidR="004D54BB" w:rsidRPr="004D54BB">
              <w:rPr>
                <w:rFonts w:ascii="Arial"/>
                <w:b/>
                <w:sz w:val="20"/>
                <w:szCs w:val="20"/>
                <w:lang w:val="uk-UA"/>
              </w:rPr>
              <w:t>низької</w:t>
            </w:r>
            <w:r w:rsidR="004D54BB" w:rsidRPr="004D54BB">
              <w:rPr>
                <w:rFonts w:ascii="Arial"/>
                <w:b/>
                <w:sz w:val="20"/>
                <w:szCs w:val="20"/>
                <w:lang w:val="uk-UA"/>
              </w:rPr>
              <w:t xml:space="preserve"> </w:t>
            </w:r>
            <w:r w:rsidR="004D54BB" w:rsidRPr="004D54BB">
              <w:rPr>
                <w:rFonts w:ascii="Arial"/>
                <w:b/>
                <w:sz w:val="20"/>
                <w:szCs w:val="20"/>
                <w:lang w:val="uk-UA"/>
              </w:rPr>
              <w:t>складності</w:t>
            </w:r>
            <w:r w:rsidR="004D54BB" w:rsidRPr="004D54BB">
              <w:rPr>
                <w:rFonts w:ascii="Arial"/>
                <w:b/>
                <w:sz w:val="20"/>
                <w:szCs w:val="20"/>
                <w:lang w:val="uk-UA"/>
              </w:rPr>
              <w:t xml:space="preserve">, </w:t>
            </w:r>
            <w:r w:rsidR="004D54BB" w:rsidRPr="004D54BB">
              <w:rPr>
                <w:rFonts w:ascii="Arial"/>
                <w:b/>
                <w:sz w:val="20"/>
                <w:szCs w:val="20"/>
                <w:lang w:val="uk-UA"/>
              </w:rPr>
              <w:t>замість</w:t>
            </w:r>
            <w:r w:rsidR="004D54BB" w:rsidRPr="004D54BB">
              <w:rPr>
                <w:rFonts w:ascii="Arial"/>
                <w:b/>
                <w:sz w:val="20"/>
                <w:szCs w:val="20"/>
                <w:lang w:val="uk-UA"/>
              </w:rPr>
              <w:t xml:space="preserve"> </w:t>
            </w:r>
            <w:r w:rsidR="004D54BB" w:rsidRPr="004D54BB">
              <w:rPr>
                <w:rFonts w:ascii="Arial"/>
                <w:b/>
                <w:sz w:val="20"/>
                <w:szCs w:val="20"/>
                <w:lang w:val="uk-UA"/>
              </w:rPr>
              <w:t>фенотипічного</w:t>
            </w:r>
            <w:r w:rsidR="004D54BB" w:rsidRPr="004D54BB">
              <w:rPr>
                <w:rFonts w:ascii="Arial"/>
                <w:b/>
                <w:sz w:val="20"/>
                <w:szCs w:val="20"/>
                <w:lang w:val="uk-UA"/>
              </w:rPr>
              <w:t xml:space="preserve"> </w:t>
            </w:r>
            <w:r w:rsidR="004D54BB" w:rsidRPr="004D54BB">
              <w:rPr>
                <w:rFonts w:ascii="Arial"/>
                <w:b/>
                <w:sz w:val="20"/>
                <w:szCs w:val="20"/>
                <w:lang w:val="uk-UA"/>
              </w:rPr>
              <w:t>ТМЧ</w:t>
            </w:r>
            <w:r w:rsidR="004D54BB" w:rsidRPr="004D54BB">
              <w:rPr>
                <w:rFonts w:ascii="Arial"/>
                <w:b/>
                <w:sz w:val="20"/>
                <w:szCs w:val="20"/>
                <w:lang w:val="uk-UA"/>
              </w:rPr>
              <w:t xml:space="preserve"> </w:t>
            </w:r>
            <w:r w:rsidR="004D54BB" w:rsidRPr="004D54BB">
              <w:rPr>
                <w:rFonts w:ascii="Arial"/>
                <w:b/>
                <w:sz w:val="20"/>
                <w:szCs w:val="20"/>
                <w:lang w:val="uk-UA"/>
              </w:rPr>
              <w:t>на</w:t>
            </w:r>
            <w:r w:rsidR="004D54BB" w:rsidRPr="004D54BB">
              <w:rPr>
                <w:rFonts w:ascii="Arial"/>
                <w:b/>
                <w:sz w:val="20"/>
                <w:szCs w:val="20"/>
                <w:lang w:val="uk-UA"/>
              </w:rPr>
              <w:t xml:space="preserve"> </w:t>
            </w:r>
            <w:r w:rsidR="004D54BB" w:rsidRPr="004D54BB">
              <w:rPr>
                <w:rFonts w:ascii="Arial"/>
                <w:b/>
                <w:sz w:val="20"/>
                <w:szCs w:val="20"/>
                <w:lang w:val="uk-UA"/>
              </w:rPr>
              <w:t>основі</w:t>
            </w:r>
            <w:r w:rsidR="004D54BB" w:rsidRPr="004D54BB">
              <w:rPr>
                <w:rFonts w:ascii="Arial"/>
                <w:b/>
                <w:sz w:val="20"/>
                <w:szCs w:val="20"/>
                <w:lang w:val="uk-UA"/>
              </w:rPr>
              <w:t xml:space="preserve"> </w:t>
            </w:r>
            <w:r w:rsidR="004D54BB" w:rsidRPr="004D54BB">
              <w:rPr>
                <w:rFonts w:ascii="Arial"/>
                <w:b/>
                <w:sz w:val="20"/>
                <w:szCs w:val="20"/>
                <w:lang w:val="uk-UA"/>
              </w:rPr>
              <w:t>бакпосіву</w:t>
            </w:r>
            <w:r w:rsidR="004D54BB" w:rsidRPr="004D54BB">
              <w:rPr>
                <w:rFonts w:ascii="Arial"/>
                <w:b/>
                <w:sz w:val="20"/>
                <w:szCs w:val="20"/>
                <w:lang w:val="uk-UA"/>
              </w:rPr>
              <w:t>.</w:t>
            </w:r>
          </w:p>
          <w:p w14:paraId="705B59E2" w14:textId="12E31766" w:rsidR="00E05B98" w:rsidRPr="00821945" w:rsidRDefault="00B01E0C" w:rsidP="004F45C6">
            <w:pPr>
              <w:pStyle w:val="TableParagraph"/>
              <w:spacing w:before="52"/>
              <w:ind w:left="680" w:right="277"/>
              <w:jc w:val="both"/>
              <w:rPr>
                <w:rFonts w:ascii="Arial"/>
                <w:i/>
                <w:sz w:val="20"/>
                <w:szCs w:val="20"/>
                <w:lang w:val="uk-UA"/>
              </w:rPr>
            </w:pPr>
            <w:r w:rsidRPr="00821945">
              <w:rPr>
                <w:rFonts w:ascii="Arial"/>
                <w:i/>
                <w:sz w:val="20"/>
                <w:szCs w:val="20"/>
                <w:lang w:val="uk-UA"/>
              </w:rPr>
              <w:t>(</w:t>
            </w:r>
            <w:r w:rsidR="004D54BB" w:rsidRPr="004D54BB">
              <w:rPr>
                <w:rFonts w:ascii="Arial"/>
                <w:i/>
                <w:sz w:val="20"/>
                <w:szCs w:val="20"/>
                <w:lang w:val="uk-UA"/>
              </w:rPr>
              <w:t>Умовна</w:t>
            </w:r>
            <w:r w:rsidR="004D54BB" w:rsidRPr="004D54BB">
              <w:rPr>
                <w:rFonts w:ascii="Arial"/>
                <w:i/>
                <w:sz w:val="20"/>
                <w:szCs w:val="20"/>
                <w:lang w:val="uk-UA"/>
              </w:rPr>
              <w:t xml:space="preserve"> </w:t>
            </w:r>
            <w:r w:rsidR="004D54BB" w:rsidRPr="004D54BB">
              <w:rPr>
                <w:rFonts w:ascii="Arial"/>
                <w:i/>
                <w:sz w:val="20"/>
                <w:szCs w:val="20"/>
                <w:lang w:val="uk-UA"/>
              </w:rPr>
              <w:t>рекомендація</w:t>
            </w:r>
            <w:r w:rsidR="004D54BB" w:rsidRPr="004D54BB">
              <w:rPr>
                <w:rFonts w:ascii="Arial"/>
                <w:i/>
                <w:sz w:val="20"/>
                <w:szCs w:val="20"/>
                <w:lang w:val="uk-UA"/>
              </w:rPr>
              <w:t xml:space="preserve">, </w:t>
            </w:r>
            <w:r w:rsidR="004D54BB" w:rsidRPr="004D54BB">
              <w:rPr>
                <w:rFonts w:ascii="Arial"/>
                <w:i/>
                <w:sz w:val="20"/>
                <w:szCs w:val="20"/>
                <w:lang w:val="uk-UA"/>
              </w:rPr>
              <w:t>низьк</w:t>
            </w:r>
            <w:r w:rsidR="004F45C6">
              <w:rPr>
                <w:rFonts w:ascii="Arial"/>
                <w:i/>
                <w:sz w:val="20"/>
                <w:szCs w:val="20"/>
                <w:lang w:val="uk-UA"/>
              </w:rPr>
              <w:t>ий</w:t>
            </w:r>
            <w:r w:rsidR="004F45C6">
              <w:rPr>
                <w:rFonts w:ascii="Arial"/>
                <w:i/>
                <w:sz w:val="20"/>
                <w:szCs w:val="20"/>
                <w:lang w:val="uk-UA"/>
              </w:rPr>
              <w:t xml:space="preserve"> </w:t>
            </w:r>
            <w:r w:rsidR="004F45C6">
              <w:rPr>
                <w:rFonts w:ascii="Arial"/>
                <w:i/>
                <w:sz w:val="20"/>
                <w:szCs w:val="20"/>
                <w:lang w:val="uk-UA"/>
              </w:rPr>
              <w:t>ступінь</w:t>
            </w:r>
            <w:r w:rsidR="004D54BB" w:rsidRPr="004D54BB">
              <w:rPr>
                <w:rFonts w:ascii="Arial"/>
                <w:i/>
                <w:sz w:val="20"/>
                <w:szCs w:val="20"/>
                <w:lang w:val="uk-UA"/>
              </w:rPr>
              <w:t xml:space="preserve"> </w:t>
            </w:r>
            <w:r w:rsidR="004D54BB" w:rsidRPr="004D54BB">
              <w:rPr>
                <w:rFonts w:ascii="Arial"/>
                <w:i/>
                <w:sz w:val="20"/>
                <w:szCs w:val="20"/>
                <w:lang w:val="uk-UA"/>
              </w:rPr>
              <w:t>достовірн</w:t>
            </w:r>
            <w:r w:rsidR="004F45C6">
              <w:rPr>
                <w:rFonts w:ascii="Arial"/>
                <w:i/>
                <w:sz w:val="20"/>
                <w:szCs w:val="20"/>
                <w:lang w:val="uk-UA"/>
              </w:rPr>
              <w:t>ості</w:t>
            </w:r>
            <w:r w:rsidR="004D54BB" w:rsidRPr="004D54BB">
              <w:rPr>
                <w:rFonts w:ascii="Arial"/>
                <w:i/>
                <w:sz w:val="20"/>
                <w:szCs w:val="20"/>
                <w:lang w:val="uk-UA"/>
              </w:rPr>
              <w:t xml:space="preserve"> </w:t>
            </w:r>
            <w:r w:rsidR="004D54BB" w:rsidRPr="004D54BB">
              <w:rPr>
                <w:rFonts w:ascii="Arial"/>
                <w:i/>
                <w:sz w:val="20"/>
                <w:szCs w:val="20"/>
                <w:lang w:val="uk-UA"/>
              </w:rPr>
              <w:t>доказів</w:t>
            </w:r>
            <w:r w:rsidR="004D54BB" w:rsidRPr="004D54BB">
              <w:rPr>
                <w:rFonts w:ascii="Arial"/>
                <w:i/>
                <w:sz w:val="20"/>
                <w:szCs w:val="20"/>
                <w:lang w:val="uk-UA"/>
              </w:rPr>
              <w:t xml:space="preserve"> </w:t>
            </w:r>
            <w:r w:rsidR="004D54BB" w:rsidRPr="004D54BB">
              <w:rPr>
                <w:rFonts w:ascii="Arial"/>
                <w:i/>
                <w:sz w:val="20"/>
                <w:szCs w:val="20"/>
                <w:lang w:val="uk-UA"/>
              </w:rPr>
              <w:t>щодо</w:t>
            </w:r>
            <w:r w:rsidR="004D54BB" w:rsidRPr="004D54BB">
              <w:rPr>
                <w:rFonts w:ascii="Arial"/>
                <w:i/>
                <w:sz w:val="20"/>
                <w:szCs w:val="20"/>
                <w:lang w:val="uk-UA"/>
              </w:rPr>
              <w:t xml:space="preserve"> </w:t>
            </w:r>
            <w:r w:rsidR="004D54BB" w:rsidRPr="004D54BB">
              <w:rPr>
                <w:rFonts w:ascii="Arial"/>
                <w:i/>
                <w:sz w:val="20"/>
                <w:szCs w:val="20"/>
                <w:lang w:val="uk-UA"/>
              </w:rPr>
              <w:t>діагностичної</w:t>
            </w:r>
            <w:r w:rsidR="004D54BB" w:rsidRPr="004D54BB">
              <w:rPr>
                <w:rFonts w:ascii="Arial"/>
                <w:i/>
                <w:sz w:val="20"/>
                <w:szCs w:val="20"/>
                <w:lang w:val="uk-UA"/>
              </w:rPr>
              <w:t xml:space="preserve"> </w:t>
            </w:r>
            <w:r w:rsidR="004D54BB" w:rsidRPr="004D54BB">
              <w:rPr>
                <w:rFonts w:ascii="Arial"/>
                <w:i/>
                <w:sz w:val="20"/>
                <w:szCs w:val="20"/>
                <w:lang w:val="uk-UA"/>
              </w:rPr>
              <w:t>точності</w:t>
            </w:r>
            <w:r w:rsidRPr="00821945">
              <w:rPr>
                <w:rFonts w:ascii="Arial"/>
                <w:i/>
                <w:spacing w:val="-2"/>
                <w:sz w:val="20"/>
                <w:szCs w:val="20"/>
                <w:lang w:val="uk-UA"/>
              </w:rPr>
              <w:t>)</w:t>
            </w:r>
          </w:p>
        </w:tc>
      </w:tr>
    </w:tbl>
    <w:p w14:paraId="7B64F86A" w14:textId="77777777" w:rsidR="00E05B98" w:rsidRPr="00821945" w:rsidRDefault="00E05B98">
      <w:pPr>
        <w:pStyle w:val="a3"/>
        <w:spacing w:before="88"/>
        <w:rPr>
          <w:sz w:val="20"/>
          <w:szCs w:val="20"/>
          <w:lang w:val="uk-UA"/>
        </w:rPr>
      </w:pPr>
    </w:p>
    <w:p w14:paraId="6B9AE714" w14:textId="73060E49" w:rsidR="00E05B98" w:rsidRPr="00821945" w:rsidRDefault="004D54BB">
      <w:pPr>
        <w:pStyle w:val="a3"/>
        <w:spacing w:before="1"/>
        <w:ind w:left="567"/>
        <w:jc w:val="both"/>
        <w:rPr>
          <w:sz w:val="20"/>
          <w:szCs w:val="20"/>
          <w:lang w:val="uk-UA"/>
        </w:rPr>
      </w:pPr>
      <w:r w:rsidRPr="004D54BB">
        <w:rPr>
          <w:sz w:val="20"/>
          <w:szCs w:val="20"/>
          <w:lang w:val="uk-UA"/>
        </w:rPr>
        <w:t>Існує кілька підгруп, які слід враховувати для цих рекомендацій:</w:t>
      </w:r>
    </w:p>
    <w:p w14:paraId="0FB5FF37" w14:textId="77777777" w:rsidR="004D54BB" w:rsidRPr="004D54BB" w:rsidRDefault="004D54BB" w:rsidP="004A2937">
      <w:pPr>
        <w:pStyle w:val="a4"/>
        <w:numPr>
          <w:ilvl w:val="3"/>
          <w:numId w:val="31"/>
        </w:numPr>
        <w:tabs>
          <w:tab w:val="left" w:pos="850"/>
        </w:tabs>
        <w:spacing w:before="2" w:line="297" w:lineRule="auto"/>
        <w:ind w:right="131" w:hanging="283"/>
        <w:rPr>
          <w:sz w:val="20"/>
          <w:szCs w:val="20"/>
          <w:lang w:val="uk-UA"/>
        </w:rPr>
      </w:pPr>
      <w:r w:rsidRPr="004D54BB">
        <w:rPr>
          <w:sz w:val="20"/>
          <w:szCs w:val="20"/>
          <w:lang w:val="uk-UA"/>
        </w:rPr>
        <w:t>Рекомендації ґрунтуються  на доказах діагностичної точності при дослідженні мокротиння дорослих з бактеріологічно підтвердженим ТБ легень, стійкістю до рифампіцину або без неї.</w:t>
      </w:r>
    </w:p>
    <w:p w14:paraId="7D58445C" w14:textId="76428DD4" w:rsidR="00E05B98" w:rsidRPr="00821945" w:rsidRDefault="004D54BB" w:rsidP="004A2937">
      <w:pPr>
        <w:pStyle w:val="a4"/>
        <w:numPr>
          <w:ilvl w:val="3"/>
          <w:numId w:val="31"/>
        </w:numPr>
        <w:tabs>
          <w:tab w:val="left" w:pos="850"/>
        </w:tabs>
        <w:spacing w:before="2" w:line="297" w:lineRule="auto"/>
        <w:ind w:right="131" w:hanging="283"/>
        <w:rPr>
          <w:sz w:val="20"/>
          <w:szCs w:val="20"/>
          <w:lang w:val="uk-UA"/>
        </w:rPr>
      </w:pPr>
      <w:r w:rsidRPr="004D54BB">
        <w:rPr>
          <w:sz w:val="20"/>
          <w:szCs w:val="20"/>
          <w:lang w:val="uk-UA"/>
        </w:rPr>
        <w:t>Рекомендації екстрапольовані на підлітків та дітей на основі узагальнення даних, отриманих від дорослих.</w:t>
      </w:r>
    </w:p>
    <w:p w14:paraId="3E4385CB" w14:textId="77F72ED2" w:rsidR="00E05B98" w:rsidRPr="00821945" w:rsidRDefault="006D55B2" w:rsidP="004A2937">
      <w:pPr>
        <w:pStyle w:val="a4"/>
        <w:numPr>
          <w:ilvl w:val="3"/>
          <w:numId w:val="31"/>
        </w:numPr>
        <w:tabs>
          <w:tab w:val="left" w:pos="850"/>
        </w:tabs>
        <w:spacing w:before="3" w:line="297" w:lineRule="auto"/>
        <w:ind w:right="134" w:hanging="284"/>
        <w:rPr>
          <w:sz w:val="20"/>
          <w:szCs w:val="20"/>
          <w:lang w:val="uk-UA"/>
        </w:rPr>
      </w:pPr>
      <w:r w:rsidRPr="006D55B2">
        <w:rPr>
          <w:sz w:val="20"/>
          <w:szCs w:val="20"/>
          <w:lang w:val="uk-UA"/>
        </w:rPr>
        <w:t>Рекомендації застосовують</w:t>
      </w:r>
      <w:r w:rsidR="004F45C6">
        <w:rPr>
          <w:sz w:val="20"/>
          <w:szCs w:val="20"/>
          <w:lang w:val="uk-UA"/>
        </w:rPr>
        <w:t>ся</w:t>
      </w:r>
      <w:r w:rsidRPr="006D55B2">
        <w:rPr>
          <w:sz w:val="20"/>
          <w:szCs w:val="20"/>
          <w:lang w:val="uk-UA"/>
        </w:rPr>
        <w:t xml:space="preserve"> до людей, які живуть з ВІЛ (дослідження включали різну частку таких осіб); дані, стратифіковані за ВІЛ-статусом, були недоступні.</w:t>
      </w:r>
    </w:p>
    <w:p w14:paraId="3F7086B3" w14:textId="11F8825B" w:rsidR="00E05B98" w:rsidRPr="00821945" w:rsidRDefault="006D55B2" w:rsidP="004A2937">
      <w:pPr>
        <w:pStyle w:val="a4"/>
        <w:numPr>
          <w:ilvl w:val="3"/>
          <w:numId w:val="31"/>
        </w:numPr>
        <w:tabs>
          <w:tab w:val="left" w:pos="850"/>
        </w:tabs>
        <w:spacing w:before="2" w:line="297" w:lineRule="auto"/>
        <w:ind w:right="136" w:hanging="284"/>
        <w:rPr>
          <w:sz w:val="20"/>
          <w:szCs w:val="20"/>
          <w:lang w:val="uk-UA"/>
        </w:rPr>
      </w:pPr>
      <w:r w:rsidRPr="006D55B2">
        <w:rPr>
          <w:sz w:val="20"/>
          <w:szCs w:val="20"/>
          <w:lang w:val="uk-UA"/>
        </w:rPr>
        <w:t>Рекомендації екстраполюються на людей з позалегеневим ТБ, і тестування зразків, які не містять мокротиння, було визнано доцільним, що впливає на ступінь достовірності. Група не оцінювала точність тестів при дослідженн</w:t>
      </w:r>
      <w:r w:rsidR="004F45C6">
        <w:rPr>
          <w:sz w:val="20"/>
          <w:szCs w:val="20"/>
          <w:lang w:val="uk-UA"/>
        </w:rPr>
        <w:t>і</w:t>
      </w:r>
      <w:r w:rsidRPr="006D55B2">
        <w:rPr>
          <w:sz w:val="20"/>
          <w:szCs w:val="20"/>
          <w:lang w:val="uk-UA"/>
        </w:rPr>
        <w:t xml:space="preserve"> зразків, які не містять мокротиння, безпосередньо, в тому числі у дітей; однак екстраполяція була визнана доцільною, враховуючи, що ВООЗ має рекомендації щодо подібних технологій для використання на зразках, які не містять мокротиння  (наприклад, тестові системи Xpert MTB/RIF та Xpert Ultra).</w:t>
      </w:r>
    </w:p>
    <w:p w14:paraId="5AEC6594" w14:textId="6A53293A" w:rsidR="00E05B98" w:rsidRPr="00821945" w:rsidRDefault="006D55B2" w:rsidP="004A2937">
      <w:pPr>
        <w:pStyle w:val="a4"/>
        <w:numPr>
          <w:ilvl w:val="3"/>
          <w:numId w:val="31"/>
        </w:numPr>
        <w:tabs>
          <w:tab w:val="left" w:pos="850"/>
        </w:tabs>
        <w:spacing w:before="6" w:line="297" w:lineRule="auto"/>
        <w:ind w:right="135" w:hanging="284"/>
        <w:rPr>
          <w:sz w:val="20"/>
          <w:szCs w:val="20"/>
          <w:lang w:val="uk-UA"/>
        </w:rPr>
      </w:pPr>
      <w:r w:rsidRPr="006D55B2">
        <w:rPr>
          <w:sz w:val="20"/>
          <w:szCs w:val="20"/>
          <w:lang w:val="uk-UA"/>
        </w:rPr>
        <w:t>Рекомендації щодо виявлення стійкості до амікацину та етіонаміду актуальні лише для людей з бактеріологічно підтвердженим ТБ легень та стійкістю до рифампіцину.</w:t>
      </w:r>
    </w:p>
    <w:p w14:paraId="3A01D5D4" w14:textId="77777777" w:rsidR="00E05B98" w:rsidRPr="003C6DAE" w:rsidRDefault="00E05B98">
      <w:pPr>
        <w:pStyle w:val="a3"/>
        <w:spacing w:before="8"/>
        <w:rPr>
          <w:lang w:val="uk-UA"/>
        </w:rPr>
      </w:pPr>
    </w:p>
    <w:p w14:paraId="7374F18A" w14:textId="14C42ACC" w:rsidR="00E05B98" w:rsidRPr="00821945" w:rsidRDefault="006D55B2">
      <w:pPr>
        <w:pStyle w:val="5"/>
        <w:jc w:val="both"/>
        <w:rPr>
          <w:sz w:val="26"/>
          <w:szCs w:val="26"/>
          <w:lang w:val="uk-UA"/>
        </w:rPr>
      </w:pPr>
      <w:r w:rsidRPr="006D55B2">
        <w:rPr>
          <w:color w:val="019648"/>
          <w:sz w:val="26"/>
          <w:szCs w:val="26"/>
          <w:lang w:val="uk-UA"/>
        </w:rPr>
        <w:t>Обґрунтування та докази</w:t>
      </w:r>
    </w:p>
    <w:p w14:paraId="68633EEE" w14:textId="3725BEEC" w:rsidR="00E05B98" w:rsidRPr="00821945" w:rsidRDefault="006D55B2">
      <w:pPr>
        <w:pStyle w:val="a3"/>
        <w:spacing w:before="218" w:line="297" w:lineRule="auto"/>
        <w:ind w:left="567" w:right="136"/>
        <w:jc w:val="both"/>
        <w:rPr>
          <w:sz w:val="20"/>
          <w:szCs w:val="20"/>
          <w:lang w:val="uk-UA"/>
        </w:rPr>
      </w:pPr>
      <w:r w:rsidRPr="006D55B2">
        <w:rPr>
          <w:spacing w:val="-2"/>
          <w:sz w:val="20"/>
          <w:szCs w:val="20"/>
          <w:lang w:val="uk-UA"/>
        </w:rPr>
        <w:t xml:space="preserve">Глобальна програма ВООЗ </w:t>
      </w:r>
      <w:r w:rsidR="004F45C6">
        <w:rPr>
          <w:spacing w:val="-2"/>
          <w:sz w:val="20"/>
          <w:szCs w:val="20"/>
          <w:lang w:val="uk-UA"/>
        </w:rPr>
        <w:t xml:space="preserve">із </w:t>
      </w:r>
      <w:r w:rsidRPr="006D55B2">
        <w:rPr>
          <w:spacing w:val="-2"/>
          <w:sz w:val="20"/>
          <w:szCs w:val="20"/>
          <w:lang w:val="uk-UA"/>
        </w:rPr>
        <w:t>боротьби з туберкульозом ініціювала оновлення чинних настанов та замовила систематичний огляд використання автоматизованих ТАНК низької складності для виявлення стійкості до ізоніазиду та протитуберкульозних препаратів другого ряду у людей з ознаками та симптомами туберкульозу.</w:t>
      </w:r>
    </w:p>
    <w:p w14:paraId="42721DC8" w14:textId="3484715A" w:rsidR="00E05B98" w:rsidRPr="00821945" w:rsidRDefault="00D5516A">
      <w:pPr>
        <w:pStyle w:val="a3"/>
        <w:spacing w:before="144" w:line="268" w:lineRule="auto"/>
        <w:ind w:left="567" w:right="135"/>
        <w:jc w:val="both"/>
        <w:rPr>
          <w:sz w:val="20"/>
          <w:szCs w:val="20"/>
          <w:lang w:val="uk-UA"/>
        </w:rPr>
      </w:pPr>
      <w:r>
        <w:rPr>
          <w:sz w:val="20"/>
          <w:szCs w:val="20"/>
          <w:lang w:val="uk-UA"/>
        </w:rPr>
        <w:t>З</w:t>
      </w:r>
      <w:r w:rsidR="00070DAF" w:rsidRPr="00070DAF">
        <w:rPr>
          <w:sz w:val="20"/>
          <w:szCs w:val="20"/>
          <w:lang w:val="uk-UA"/>
        </w:rPr>
        <w:t xml:space="preserve"> метою сформувати основу для пошуку, вибірки та аналізу доказів</w:t>
      </w:r>
      <w:r>
        <w:rPr>
          <w:sz w:val="20"/>
          <w:szCs w:val="20"/>
          <w:lang w:val="uk-UA"/>
        </w:rPr>
        <w:t xml:space="preserve"> були розроблені запитання РІСО</w:t>
      </w:r>
      <w:r w:rsidR="00070DAF" w:rsidRPr="00070DAF">
        <w:rPr>
          <w:sz w:val="20"/>
          <w:szCs w:val="20"/>
          <w:lang w:val="uk-UA"/>
        </w:rPr>
        <w:t>:</w:t>
      </w:r>
    </w:p>
    <w:p w14:paraId="2EED5C05" w14:textId="58BEC3D4" w:rsidR="00E05B98" w:rsidRPr="00821945" w:rsidRDefault="00070DAF" w:rsidP="004A2937">
      <w:pPr>
        <w:pStyle w:val="a4"/>
        <w:numPr>
          <w:ilvl w:val="0"/>
          <w:numId w:val="18"/>
        </w:numPr>
        <w:tabs>
          <w:tab w:val="left" w:pos="848"/>
          <w:tab w:val="left" w:pos="850"/>
        </w:tabs>
        <w:spacing w:before="117" w:line="297" w:lineRule="auto"/>
        <w:ind w:right="136"/>
        <w:rPr>
          <w:sz w:val="20"/>
          <w:szCs w:val="20"/>
          <w:lang w:val="uk-UA"/>
        </w:rPr>
      </w:pPr>
      <w:r w:rsidRPr="00070DAF">
        <w:rPr>
          <w:sz w:val="20"/>
          <w:szCs w:val="20"/>
          <w:lang w:val="uk-UA"/>
        </w:rPr>
        <w:t>Чи слід використовувати автоматизовані ТАНК низької складності для дослідження зразків мокротиння у людей з ознаками та симптомами ТБ легень, незалежно від стійкості до рифампіцину, для виявлення резистентності до ізоніазиду порівняно з фенотипічним ТМЧ на основі бакпосіву</w:t>
      </w:r>
      <w:r>
        <w:rPr>
          <w:sz w:val="20"/>
          <w:szCs w:val="20"/>
          <w:lang w:val="uk-UA"/>
        </w:rPr>
        <w:t>?</w:t>
      </w:r>
    </w:p>
    <w:p w14:paraId="62F007E7" w14:textId="661A287E" w:rsidR="00E05B98" w:rsidRPr="00821945" w:rsidRDefault="00070DAF" w:rsidP="004A2937">
      <w:pPr>
        <w:pStyle w:val="a4"/>
        <w:numPr>
          <w:ilvl w:val="0"/>
          <w:numId w:val="18"/>
        </w:numPr>
        <w:tabs>
          <w:tab w:val="left" w:pos="848"/>
          <w:tab w:val="left" w:pos="850"/>
        </w:tabs>
        <w:spacing w:before="174" w:line="297" w:lineRule="auto"/>
        <w:ind w:right="136"/>
        <w:rPr>
          <w:sz w:val="20"/>
          <w:szCs w:val="20"/>
          <w:lang w:val="uk-UA"/>
        </w:rPr>
      </w:pPr>
      <w:r w:rsidRPr="00070DAF">
        <w:rPr>
          <w:w w:val="105"/>
          <w:sz w:val="20"/>
          <w:szCs w:val="20"/>
          <w:lang w:val="uk-UA"/>
        </w:rPr>
        <w:t>Чи слід використовувати автоматизовані ТАНК низької складності на зразках мокротиння для виявлення стійкості до фторхінолонів у людей з ознаками та симптомами ТБ легень, незалежно від стійкості до рифампіцину, в порівнянні з фенотипічним ТМЧ на основі бакпосіву?</w:t>
      </w:r>
    </w:p>
    <w:p w14:paraId="2D6C0BD3" w14:textId="77777777" w:rsidR="00E05B98" w:rsidRPr="00821945" w:rsidRDefault="00E05B98">
      <w:pPr>
        <w:pStyle w:val="a4"/>
        <w:spacing w:line="297" w:lineRule="auto"/>
        <w:rPr>
          <w:sz w:val="20"/>
          <w:szCs w:val="20"/>
          <w:lang w:val="uk-UA"/>
        </w:rPr>
        <w:sectPr w:rsidR="00E05B98" w:rsidRPr="00821945">
          <w:type w:val="continuous"/>
          <w:pgSz w:w="11910" w:h="16840"/>
          <w:pgMar w:top="1380" w:right="1275" w:bottom="760" w:left="850" w:header="0" w:footer="573" w:gutter="0"/>
          <w:cols w:space="720"/>
        </w:sectPr>
      </w:pPr>
    </w:p>
    <w:p w14:paraId="250E6E80" w14:textId="44487C8E" w:rsidR="00E05B98" w:rsidRPr="00821945" w:rsidRDefault="00D64992" w:rsidP="004A2937">
      <w:pPr>
        <w:pStyle w:val="a4"/>
        <w:numPr>
          <w:ilvl w:val="0"/>
          <w:numId w:val="18"/>
        </w:numPr>
        <w:tabs>
          <w:tab w:val="left" w:pos="848"/>
          <w:tab w:val="left" w:pos="850"/>
        </w:tabs>
        <w:spacing w:before="52" w:line="297" w:lineRule="auto"/>
        <w:ind w:right="139"/>
        <w:rPr>
          <w:sz w:val="20"/>
          <w:szCs w:val="20"/>
          <w:lang w:val="uk-UA"/>
        </w:rPr>
      </w:pPr>
      <w:r w:rsidRPr="00D64992">
        <w:rPr>
          <w:sz w:val="20"/>
          <w:szCs w:val="20"/>
          <w:lang w:val="uk-UA"/>
        </w:rPr>
        <w:lastRenderedPageBreak/>
        <w:t>Чи слід використовувати автоматизовані ТАНК низької складності на культур</w:t>
      </w:r>
      <w:r w:rsidR="00D5516A">
        <w:rPr>
          <w:sz w:val="20"/>
          <w:szCs w:val="20"/>
          <w:lang w:val="uk-UA"/>
        </w:rPr>
        <w:t>альних ізолятах</w:t>
      </w:r>
      <w:r w:rsidRPr="00D64992">
        <w:rPr>
          <w:sz w:val="20"/>
          <w:szCs w:val="20"/>
          <w:lang w:val="uk-UA"/>
        </w:rPr>
        <w:t xml:space="preserve"> у людей з ознаками та симптомами ТБ легень та виявленою стійкістю  до рифампіцину для визначення стійкості до етіонаміду порівняно з генотипічним секвенуванням промотора </w:t>
      </w:r>
      <w:r w:rsidRPr="00D5516A">
        <w:rPr>
          <w:i/>
          <w:iCs/>
          <w:sz w:val="20"/>
          <w:szCs w:val="20"/>
          <w:lang w:val="uk-UA"/>
        </w:rPr>
        <w:t>inhA</w:t>
      </w:r>
      <w:r w:rsidRPr="00D64992">
        <w:rPr>
          <w:sz w:val="20"/>
          <w:szCs w:val="20"/>
          <w:lang w:val="uk-UA"/>
        </w:rPr>
        <w:t>?</w:t>
      </w:r>
    </w:p>
    <w:p w14:paraId="35B1FDF7" w14:textId="7013B6A2" w:rsidR="00E05B98" w:rsidRPr="00821945" w:rsidRDefault="00D64992" w:rsidP="004A2937">
      <w:pPr>
        <w:pStyle w:val="a4"/>
        <w:numPr>
          <w:ilvl w:val="0"/>
          <w:numId w:val="18"/>
        </w:numPr>
        <w:tabs>
          <w:tab w:val="left" w:pos="848"/>
          <w:tab w:val="left" w:pos="850"/>
        </w:tabs>
        <w:spacing w:before="169" w:line="297" w:lineRule="auto"/>
        <w:ind w:right="136"/>
        <w:rPr>
          <w:sz w:val="20"/>
          <w:szCs w:val="20"/>
          <w:lang w:val="uk-UA"/>
        </w:rPr>
      </w:pPr>
      <w:r w:rsidRPr="00D64992">
        <w:rPr>
          <w:sz w:val="20"/>
          <w:szCs w:val="20"/>
          <w:lang w:val="uk-UA"/>
        </w:rPr>
        <w:t>Чи слід використовувати автоматизовані ТАНК низької складності на зразках мокротиння для виявлення стійкості до амікацину у людей з ознаками та симптомами ТБ легень та виявленою резистентністю до рифампіцину порівняно з фенотипічним ТМЧ на основі бакпосіву?</w:t>
      </w:r>
    </w:p>
    <w:p w14:paraId="0868C1ED" w14:textId="39AC0871" w:rsidR="00E05B98" w:rsidRPr="00821945" w:rsidRDefault="00F601DE">
      <w:pPr>
        <w:pStyle w:val="a3"/>
        <w:spacing w:before="174" w:line="297" w:lineRule="auto"/>
        <w:ind w:left="567" w:right="134"/>
        <w:jc w:val="both"/>
        <w:rPr>
          <w:sz w:val="20"/>
          <w:szCs w:val="20"/>
          <w:lang w:val="uk-UA"/>
        </w:rPr>
      </w:pPr>
      <w:r w:rsidRPr="00F601DE">
        <w:rPr>
          <w:sz w:val="20"/>
          <w:szCs w:val="20"/>
          <w:lang w:val="uk-UA"/>
        </w:rPr>
        <w:t>У базах даних Ovid Medline (Ovid, з 1946 р.  і дотепер) та Embase (Ovid, з 1947 р. і дотепер) було здійснено пошук досліджень, що оцінюють тести на основі картриджів, використовуючи наступні   пошукові терміни: туберкульоз, легеневий</w:t>
      </w:r>
      <w:r w:rsidR="00D5516A">
        <w:rPr>
          <w:sz w:val="20"/>
          <w:szCs w:val="20"/>
          <w:lang w:val="uk-UA"/>
        </w:rPr>
        <w:t xml:space="preserve">, А </w:t>
      </w:r>
      <w:r w:rsidRPr="00F601DE">
        <w:rPr>
          <w:sz w:val="20"/>
          <w:szCs w:val="20"/>
          <w:lang w:val="uk-UA"/>
        </w:rPr>
        <w:t>ТА</w:t>
      </w:r>
      <w:r w:rsidR="00D5516A">
        <w:rPr>
          <w:sz w:val="20"/>
          <w:szCs w:val="20"/>
          <w:lang w:val="uk-UA"/>
        </w:rPr>
        <w:t>КОЖ</w:t>
      </w:r>
      <w:r w:rsidRPr="00F601DE">
        <w:rPr>
          <w:sz w:val="20"/>
          <w:szCs w:val="20"/>
          <w:lang w:val="uk-UA"/>
        </w:rPr>
        <w:t xml:space="preserve"> Xpert, GeneXpert, Truenat, картридж, системи надання медичної допомоги, тест на чутливість до </w:t>
      </w:r>
      <w:r w:rsidR="005A7875" w:rsidRPr="00F601DE">
        <w:rPr>
          <w:sz w:val="20"/>
          <w:szCs w:val="20"/>
          <w:lang w:val="uk-UA"/>
        </w:rPr>
        <w:t>лікарських</w:t>
      </w:r>
      <w:r w:rsidRPr="00F601DE">
        <w:rPr>
          <w:sz w:val="20"/>
          <w:szCs w:val="20"/>
          <w:lang w:val="uk-UA"/>
        </w:rPr>
        <w:t xml:space="preserve"> препаратів, стійкість до ізоніазиду, стійкість до фторхінолонів та стійкість до ін'єкційних препаратів другого ряду. Також було здійснено пошук досліджень, що тривають,  на сайтах Clinicaltrials.gov та Міжнародній платформі реєстру клінічних випробувань ВООЗ. Пошук проводи до 6 вересня 2020 року без мовних обмежень. 4 листопада 2020 року був проведений додатковий пошук  з використанням пошукових термінів  Zeesan та MeltPro.</w:t>
      </w:r>
    </w:p>
    <w:p w14:paraId="35E468BB" w14:textId="00BEA8F3" w:rsidR="00E05B98" w:rsidRPr="00821945" w:rsidRDefault="000556C9">
      <w:pPr>
        <w:pStyle w:val="a3"/>
        <w:spacing w:before="180" w:line="297" w:lineRule="auto"/>
        <w:ind w:left="567" w:right="140"/>
        <w:jc w:val="both"/>
        <w:rPr>
          <w:sz w:val="20"/>
          <w:szCs w:val="20"/>
          <w:lang w:val="uk-UA"/>
        </w:rPr>
      </w:pPr>
      <w:r w:rsidRPr="000556C9">
        <w:rPr>
          <w:sz w:val="20"/>
          <w:szCs w:val="20"/>
          <w:lang w:val="uk-UA"/>
        </w:rPr>
        <w:t xml:space="preserve">До дослідників FIND, Глобальної програми ВООЗ </w:t>
      </w:r>
      <w:r w:rsidR="00D5516A">
        <w:rPr>
          <w:sz w:val="20"/>
          <w:szCs w:val="20"/>
          <w:lang w:val="uk-UA"/>
        </w:rPr>
        <w:t xml:space="preserve">із </w:t>
      </w:r>
      <w:r w:rsidRPr="000556C9">
        <w:rPr>
          <w:sz w:val="20"/>
          <w:szCs w:val="20"/>
          <w:lang w:val="uk-UA"/>
        </w:rPr>
        <w:t>боротьби з ТБ, виробника та інших експертів в галузі діагностики туберкульозу звернулися з проханням надати інформацію про поточні та неопубліковані дослідження. Було здійснено огляд  даних, представлених у відповідь на публічне звернення ВООЗ.</w:t>
      </w:r>
    </w:p>
    <w:p w14:paraId="16929A4A" w14:textId="36C6C201" w:rsidR="00E05B98" w:rsidRPr="00821945" w:rsidRDefault="000556C9">
      <w:pPr>
        <w:pStyle w:val="a3"/>
        <w:spacing w:before="174" w:line="297" w:lineRule="auto"/>
        <w:ind w:left="567" w:right="133"/>
        <w:jc w:val="both"/>
        <w:rPr>
          <w:sz w:val="20"/>
          <w:szCs w:val="20"/>
          <w:lang w:val="uk-UA"/>
        </w:rPr>
      </w:pPr>
      <w:r w:rsidRPr="000556C9">
        <w:rPr>
          <w:sz w:val="20"/>
          <w:szCs w:val="20"/>
          <w:lang w:val="uk-UA"/>
        </w:rPr>
        <w:t>Стійкість до лікарських препаратів порівнювали з фенотипічним еталонним стандартом (або генотипічним еталонним стандартом для виявлення стійкості до етіонаміду), а також з комбінованим еталонним стандартом, створеним шляхом об'єднання результатів фенотипічного та генотипічного ТМЧ у дослідженнях, під час яких виконували обидва методи.</w:t>
      </w:r>
    </w:p>
    <w:p w14:paraId="1135BFE2" w14:textId="73E4277C" w:rsidR="00E05B98" w:rsidRPr="00821945" w:rsidRDefault="000556C9">
      <w:pPr>
        <w:pStyle w:val="a3"/>
        <w:spacing w:before="145" w:line="268" w:lineRule="auto"/>
        <w:ind w:left="567" w:right="142"/>
        <w:jc w:val="both"/>
        <w:rPr>
          <w:sz w:val="20"/>
          <w:szCs w:val="20"/>
          <w:lang w:val="uk-UA"/>
        </w:rPr>
      </w:pPr>
      <w:r w:rsidRPr="000556C9">
        <w:rPr>
          <w:sz w:val="20"/>
          <w:szCs w:val="20"/>
          <w:lang w:val="uk-UA"/>
        </w:rPr>
        <w:t xml:space="preserve">Синтез даних був структурований навколо чотирьох попередньо визначених запитань PICO, як описано нижче. </w:t>
      </w:r>
      <w:r w:rsidR="00D5516A">
        <w:rPr>
          <w:sz w:val="20"/>
          <w:szCs w:val="20"/>
          <w:lang w:val="uk-UA"/>
        </w:rPr>
        <w:t>У</w:t>
      </w:r>
      <w:r w:rsidRPr="000556C9">
        <w:rPr>
          <w:sz w:val="20"/>
          <w:szCs w:val="20"/>
          <w:lang w:val="uk-UA"/>
        </w:rPr>
        <w:t xml:space="preserve"> трьох веб-додатках представлено наступну додаткову інформацію:</w:t>
      </w:r>
    </w:p>
    <w:p w14:paraId="3302AD91" w14:textId="582106F0" w:rsidR="00541333" w:rsidRPr="00541333" w:rsidRDefault="00541333" w:rsidP="004A2937">
      <w:pPr>
        <w:pStyle w:val="a4"/>
        <w:numPr>
          <w:ilvl w:val="1"/>
          <w:numId w:val="18"/>
        </w:numPr>
        <w:tabs>
          <w:tab w:val="left" w:pos="850"/>
        </w:tabs>
        <w:spacing w:before="57" w:line="295" w:lineRule="auto"/>
        <w:ind w:right="140"/>
        <w:rPr>
          <w:sz w:val="20"/>
          <w:szCs w:val="20"/>
          <w:lang w:val="uk-UA"/>
        </w:rPr>
      </w:pPr>
      <w:r w:rsidRPr="00541333">
        <w:rPr>
          <w:sz w:val="20"/>
          <w:szCs w:val="20"/>
          <w:lang w:val="uk-UA"/>
        </w:rPr>
        <w:t>детальна інформація про дослідження, включен</w:t>
      </w:r>
      <w:r w:rsidR="00D5516A">
        <w:rPr>
          <w:sz w:val="20"/>
          <w:szCs w:val="20"/>
          <w:lang w:val="uk-UA"/>
        </w:rPr>
        <w:t>их</w:t>
      </w:r>
      <w:r w:rsidRPr="00541333">
        <w:rPr>
          <w:sz w:val="20"/>
          <w:szCs w:val="20"/>
          <w:lang w:val="uk-UA"/>
        </w:rPr>
        <w:t xml:space="preserve"> до поточного аналізу (</w:t>
      </w:r>
      <w:r w:rsidRPr="00541333">
        <w:rPr>
          <w:b/>
          <w:bCs/>
          <w:sz w:val="20"/>
          <w:szCs w:val="20"/>
          <w:lang w:val="uk-UA"/>
        </w:rPr>
        <w:t>Веб-додаток A.6:</w:t>
      </w:r>
      <w:r w:rsidRPr="00541333">
        <w:rPr>
          <w:sz w:val="20"/>
          <w:szCs w:val="20"/>
          <w:lang w:val="uk-UA"/>
        </w:rPr>
        <w:t xml:space="preserve"> </w:t>
      </w:r>
      <w:r w:rsidRPr="00541333">
        <w:rPr>
          <w:i/>
          <w:iCs/>
          <w:sz w:val="20"/>
          <w:szCs w:val="20"/>
          <w:lang w:val="uk-UA"/>
        </w:rPr>
        <w:t>Автоматизовані ТАНК низької складності</w:t>
      </w:r>
      <w:r w:rsidRPr="00541333">
        <w:rPr>
          <w:sz w:val="20"/>
          <w:szCs w:val="20"/>
          <w:lang w:val="uk-UA"/>
        </w:rPr>
        <w:t>);</w:t>
      </w:r>
    </w:p>
    <w:p w14:paraId="08C973D0" w14:textId="6881D035" w:rsidR="00541333" w:rsidRPr="00541333" w:rsidRDefault="00541333" w:rsidP="004A2937">
      <w:pPr>
        <w:pStyle w:val="a4"/>
        <w:numPr>
          <w:ilvl w:val="1"/>
          <w:numId w:val="18"/>
        </w:numPr>
        <w:tabs>
          <w:tab w:val="left" w:pos="850"/>
        </w:tabs>
        <w:spacing w:before="57" w:line="295" w:lineRule="auto"/>
        <w:ind w:right="140"/>
        <w:rPr>
          <w:sz w:val="20"/>
          <w:szCs w:val="20"/>
          <w:lang w:val="uk-UA"/>
        </w:rPr>
      </w:pPr>
      <w:r w:rsidRPr="00541333">
        <w:rPr>
          <w:sz w:val="20"/>
          <w:szCs w:val="20"/>
          <w:lang w:val="uk-UA"/>
        </w:rPr>
        <w:t>резюме  результатів та детальна інформація про оцінку якості доказів (</w:t>
      </w:r>
      <w:r w:rsidRPr="00541333">
        <w:rPr>
          <w:b/>
          <w:bCs/>
          <w:sz w:val="20"/>
          <w:szCs w:val="20"/>
          <w:lang w:val="uk-UA"/>
        </w:rPr>
        <w:t>Веб-додаток A.6:</w:t>
      </w:r>
      <w:r w:rsidRPr="00541333">
        <w:rPr>
          <w:sz w:val="20"/>
          <w:szCs w:val="20"/>
          <w:lang w:val="uk-UA"/>
        </w:rPr>
        <w:t xml:space="preserve"> </w:t>
      </w:r>
      <w:r w:rsidRPr="00541333">
        <w:rPr>
          <w:i/>
          <w:iCs/>
          <w:sz w:val="20"/>
          <w:szCs w:val="20"/>
          <w:lang w:val="uk-UA"/>
        </w:rPr>
        <w:t>Автоматизовані ТАНК низької складності</w:t>
      </w:r>
      <w:r w:rsidRPr="00541333">
        <w:rPr>
          <w:sz w:val="20"/>
          <w:szCs w:val="20"/>
          <w:lang w:val="uk-UA"/>
        </w:rPr>
        <w:t>); та</w:t>
      </w:r>
    </w:p>
    <w:p w14:paraId="5D03A426" w14:textId="21893C5A" w:rsidR="00E05B98" w:rsidRPr="00821945" w:rsidRDefault="00541333" w:rsidP="004A2937">
      <w:pPr>
        <w:pStyle w:val="a4"/>
        <w:numPr>
          <w:ilvl w:val="1"/>
          <w:numId w:val="18"/>
        </w:numPr>
        <w:tabs>
          <w:tab w:val="left" w:pos="850"/>
        </w:tabs>
        <w:spacing w:before="57" w:line="295" w:lineRule="auto"/>
        <w:ind w:right="140"/>
        <w:rPr>
          <w:sz w:val="20"/>
          <w:szCs w:val="20"/>
          <w:lang w:val="uk-UA"/>
        </w:rPr>
      </w:pPr>
      <w:r w:rsidRPr="00541333">
        <w:rPr>
          <w:sz w:val="20"/>
          <w:szCs w:val="20"/>
          <w:lang w:val="uk-UA"/>
        </w:rPr>
        <w:t>короткий виклад рішень членів ГРН (</w:t>
      </w:r>
      <w:r w:rsidRPr="00541333">
        <w:rPr>
          <w:b/>
          <w:bCs/>
          <w:sz w:val="20"/>
          <w:szCs w:val="20"/>
          <w:lang w:val="uk-UA"/>
        </w:rPr>
        <w:t>Веб-додаток A.6:</w:t>
      </w:r>
      <w:r w:rsidRPr="00541333">
        <w:rPr>
          <w:sz w:val="20"/>
          <w:szCs w:val="20"/>
          <w:lang w:val="uk-UA"/>
        </w:rPr>
        <w:t xml:space="preserve"> </w:t>
      </w:r>
      <w:r w:rsidRPr="00541333">
        <w:rPr>
          <w:i/>
          <w:iCs/>
          <w:sz w:val="20"/>
          <w:szCs w:val="20"/>
          <w:lang w:val="uk-UA"/>
        </w:rPr>
        <w:t>Автоматизовані ТАНК низької складності</w:t>
      </w:r>
      <w:r w:rsidRPr="00541333">
        <w:rPr>
          <w:sz w:val="20"/>
          <w:szCs w:val="20"/>
          <w:lang w:val="uk-UA"/>
        </w:rPr>
        <w:t>).</w:t>
      </w:r>
    </w:p>
    <w:p w14:paraId="47B8747D" w14:textId="5F6CA10B" w:rsidR="00E05B98" w:rsidRPr="00821945" w:rsidRDefault="00541333" w:rsidP="00541333">
      <w:pPr>
        <w:pStyle w:val="6"/>
        <w:spacing w:before="240" w:line="249" w:lineRule="auto"/>
        <w:ind w:left="1417" w:right="5" w:hanging="851"/>
        <w:rPr>
          <w:b w:val="0"/>
          <w:sz w:val="20"/>
          <w:szCs w:val="20"/>
          <w:lang w:val="uk-UA"/>
        </w:rPr>
      </w:pPr>
      <w:r>
        <w:rPr>
          <w:sz w:val="20"/>
          <w:szCs w:val="20"/>
          <w:lang w:val="uk-UA"/>
        </w:rPr>
        <w:t xml:space="preserve">Запитання </w:t>
      </w:r>
      <w:r w:rsidR="00B01E0C" w:rsidRPr="00821945">
        <w:rPr>
          <w:sz w:val="20"/>
          <w:szCs w:val="20"/>
          <w:lang w:val="uk-UA"/>
        </w:rPr>
        <w:t>PICO</w:t>
      </w:r>
      <w:r w:rsidR="00B01E0C" w:rsidRPr="00821945">
        <w:rPr>
          <w:spacing w:val="-11"/>
          <w:sz w:val="20"/>
          <w:szCs w:val="20"/>
          <w:lang w:val="uk-UA"/>
        </w:rPr>
        <w:t xml:space="preserve"> </w:t>
      </w:r>
      <w:r w:rsidR="00B01E0C" w:rsidRPr="00821945">
        <w:rPr>
          <w:sz w:val="20"/>
          <w:szCs w:val="20"/>
          <w:lang w:val="uk-UA"/>
        </w:rPr>
        <w:t>1:</w:t>
      </w:r>
      <w:r w:rsidR="00B01E0C" w:rsidRPr="00821945">
        <w:rPr>
          <w:spacing w:val="-11"/>
          <w:sz w:val="20"/>
          <w:szCs w:val="20"/>
          <w:lang w:val="uk-UA"/>
        </w:rPr>
        <w:t xml:space="preserve"> </w:t>
      </w:r>
      <w:r w:rsidRPr="00541333">
        <w:rPr>
          <w:sz w:val="20"/>
          <w:szCs w:val="20"/>
          <w:lang w:val="uk-UA"/>
        </w:rPr>
        <w:t>Чи слід використовувати автоматизовані ТАНК низької складності для дослідження мокротиння у людей з ознаками та симптомами ТБ легень, незалежно від стійкості до рифампіцину, для виявлення резистентності до ізоніазиду порівняно з фенотипічним ТМЧ на основі бакпосіву?</w:t>
      </w:r>
    </w:p>
    <w:p w14:paraId="0A59C458" w14:textId="492AE099" w:rsidR="00E05B98" w:rsidRPr="00821945" w:rsidRDefault="00541333">
      <w:pPr>
        <w:pStyle w:val="a3"/>
        <w:spacing w:before="216" w:line="297" w:lineRule="auto"/>
        <w:ind w:left="567" w:right="133"/>
        <w:jc w:val="both"/>
        <w:rPr>
          <w:sz w:val="20"/>
          <w:szCs w:val="20"/>
          <w:lang w:val="uk-UA"/>
        </w:rPr>
      </w:pPr>
      <w:r w:rsidRPr="00541333">
        <w:rPr>
          <w:sz w:val="20"/>
          <w:szCs w:val="20"/>
          <w:lang w:val="uk-UA"/>
        </w:rPr>
        <w:t xml:space="preserve">Три багатонаціональні дослідження, які включали 1605 учасників, надали дані для оцінки виявлення стійкості до ізоніазиду. Еталонним стандартом для кожного з цих досліджень був </w:t>
      </w:r>
      <w:proofErr w:type="spellStart"/>
      <w:r w:rsidRPr="00541333">
        <w:rPr>
          <w:sz w:val="20"/>
          <w:szCs w:val="20"/>
          <w:lang w:val="uk-UA"/>
        </w:rPr>
        <w:t>фенотип</w:t>
      </w:r>
      <w:r w:rsidR="006875E3">
        <w:rPr>
          <w:sz w:val="20"/>
          <w:szCs w:val="20"/>
          <w:lang w:val="uk-UA"/>
        </w:rPr>
        <w:t>ов</w:t>
      </w:r>
      <w:r w:rsidRPr="00541333">
        <w:rPr>
          <w:sz w:val="20"/>
          <w:szCs w:val="20"/>
          <w:lang w:val="uk-UA"/>
        </w:rPr>
        <w:t>ий</w:t>
      </w:r>
      <w:proofErr w:type="spellEnd"/>
      <w:r w:rsidRPr="00541333">
        <w:rPr>
          <w:sz w:val="20"/>
          <w:szCs w:val="20"/>
          <w:lang w:val="uk-UA"/>
        </w:rPr>
        <w:t xml:space="preserve"> ТМЧ на основі бакпосіву. Кожен дослідницький центр в рамках </w:t>
      </w:r>
      <w:r w:rsidR="00324320">
        <w:rPr>
          <w:sz w:val="20"/>
          <w:szCs w:val="20"/>
          <w:lang w:val="uk-UA"/>
        </w:rPr>
        <w:t xml:space="preserve">проведення </w:t>
      </w:r>
      <w:r w:rsidRPr="00541333">
        <w:rPr>
          <w:sz w:val="20"/>
          <w:szCs w:val="20"/>
          <w:lang w:val="uk-UA"/>
        </w:rPr>
        <w:t>багатонаціональних досліджень аналізували як окреме дослідження (</w:t>
      </w:r>
      <w:r w:rsidRPr="00541333">
        <w:rPr>
          <w:b/>
          <w:bCs/>
          <w:sz w:val="20"/>
          <w:szCs w:val="20"/>
          <w:lang w:val="uk-UA"/>
        </w:rPr>
        <w:t>Рис. 2.4.1.1</w:t>
      </w:r>
      <w:r w:rsidRPr="00541333">
        <w:rPr>
          <w:sz w:val="20"/>
          <w:szCs w:val="20"/>
          <w:lang w:val="uk-UA"/>
        </w:rPr>
        <w:t>).</w:t>
      </w:r>
    </w:p>
    <w:p w14:paraId="72B44277" w14:textId="7F2C5D05" w:rsidR="004E61DE" w:rsidRDefault="00921FC0">
      <w:pPr>
        <w:pStyle w:val="a3"/>
        <w:spacing w:before="52" w:line="297" w:lineRule="auto"/>
        <w:ind w:left="567" w:right="136"/>
        <w:jc w:val="both"/>
        <w:rPr>
          <w:sz w:val="20"/>
          <w:szCs w:val="20"/>
          <w:lang w:val="uk-UA"/>
        </w:rPr>
      </w:pPr>
      <w:r w:rsidRPr="00921FC0">
        <w:rPr>
          <w:spacing w:val="-2"/>
          <w:sz w:val="20"/>
          <w:szCs w:val="20"/>
          <w:lang w:val="uk-UA"/>
        </w:rPr>
        <w:t xml:space="preserve">Було висловлено кілька запитань, </w:t>
      </w:r>
      <w:r w:rsidR="00324320">
        <w:rPr>
          <w:spacing w:val="-2"/>
          <w:sz w:val="20"/>
          <w:szCs w:val="20"/>
          <w:lang w:val="uk-UA"/>
        </w:rPr>
        <w:t>які</w:t>
      </w:r>
      <w:r w:rsidRPr="00921FC0">
        <w:rPr>
          <w:spacing w:val="-2"/>
          <w:sz w:val="20"/>
          <w:szCs w:val="20"/>
          <w:lang w:val="uk-UA"/>
        </w:rPr>
        <w:t xml:space="preserve"> потребують вирішення</w:t>
      </w:r>
      <w:r w:rsidR="00324320">
        <w:rPr>
          <w:spacing w:val="-2"/>
          <w:sz w:val="20"/>
          <w:szCs w:val="20"/>
          <w:lang w:val="uk-UA"/>
        </w:rPr>
        <w:t>,</w:t>
      </w:r>
      <w:r w:rsidRPr="00921FC0">
        <w:rPr>
          <w:spacing w:val="-2"/>
          <w:sz w:val="20"/>
          <w:szCs w:val="20"/>
          <w:lang w:val="uk-UA"/>
        </w:rPr>
        <w:t xml:space="preserve"> </w:t>
      </w:r>
      <w:r w:rsidR="00324320">
        <w:rPr>
          <w:spacing w:val="-2"/>
          <w:sz w:val="20"/>
          <w:szCs w:val="20"/>
          <w:lang w:val="uk-UA"/>
        </w:rPr>
        <w:t>з приводу</w:t>
      </w:r>
      <w:r w:rsidRPr="00921FC0">
        <w:rPr>
          <w:spacing w:val="-2"/>
          <w:sz w:val="20"/>
          <w:szCs w:val="20"/>
          <w:lang w:val="uk-UA"/>
        </w:rPr>
        <w:t xml:space="preserve"> опосередкованості в досліджуваних популяціях. По-перше, медіанна поширеність стійкості до ізоніазиду у включених дослідженнях становила 67,2% (діапазон від 26,8% [Діагностика ТБ з множинною лікарською стійкістю в Африці – DIAMA, Бенін] до 93,9% [FIND, Молдова]), що є вище за глобальні оцінки стійкості до ізоніазиду. Отже, застосовність до умов з нижчим рівнем поширеності стійкості до ізоніазиду супроводжується певною невизначеністю.</w:t>
      </w:r>
      <w:r w:rsidR="00B01E0C" w:rsidRPr="00821945">
        <w:rPr>
          <w:sz w:val="20"/>
          <w:szCs w:val="20"/>
          <w:lang w:val="uk-UA"/>
        </w:rPr>
        <w:t xml:space="preserve"> </w:t>
      </w:r>
      <w:r w:rsidR="004E61DE" w:rsidRPr="004E61DE">
        <w:rPr>
          <w:sz w:val="20"/>
          <w:szCs w:val="20"/>
          <w:lang w:val="uk-UA"/>
        </w:rPr>
        <w:t xml:space="preserve">По-друге, існують потенційні відмінності в мутаціях, присутніх у штамах, монорезистентних до ізоніазиду, і штамах з множинною лікарською </w:t>
      </w:r>
      <w:r w:rsidR="00324320">
        <w:rPr>
          <w:sz w:val="20"/>
          <w:szCs w:val="20"/>
          <w:lang w:val="uk-UA"/>
        </w:rPr>
        <w:t>стійкістю;</w:t>
      </w:r>
    </w:p>
    <w:p w14:paraId="7843B3ED" w14:textId="77777777" w:rsidR="00324320" w:rsidRDefault="00324320">
      <w:pPr>
        <w:pStyle w:val="a3"/>
        <w:spacing w:before="52" w:line="297" w:lineRule="auto"/>
        <w:ind w:left="567" w:right="136"/>
        <w:jc w:val="both"/>
        <w:rPr>
          <w:sz w:val="20"/>
          <w:szCs w:val="20"/>
          <w:lang w:val="uk-UA"/>
        </w:rPr>
      </w:pPr>
    </w:p>
    <w:p w14:paraId="6992B9B1" w14:textId="77777777" w:rsidR="004E61DE" w:rsidRDefault="004E61DE">
      <w:pPr>
        <w:pStyle w:val="a3"/>
        <w:spacing w:before="52" w:line="297" w:lineRule="auto"/>
        <w:ind w:left="567" w:right="136"/>
        <w:jc w:val="both"/>
        <w:rPr>
          <w:sz w:val="20"/>
          <w:szCs w:val="20"/>
          <w:lang w:val="uk-UA"/>
        </w:rPr>
      </w:pPr>
    </w:p>
    <w:p w14:paraId="3A8637DC" w14:textId="23BEE016" w:rsidR="00E05B98" w:rsidRPr="00821945" w:rsidRDefault="004E61DE" w:rsidP="004E61DE">
      <w:pPr>
        <w:pStyle w:val="a3"/>
        <w:spacing w:before="52" w:line="276" w:lineRule="auto"/>
        <w:ind w:left="567" w:right="136"/>
        <w:jc w:val="both"/>
        <w:rPr>
          <w:sz w:val="20"/>
          <w:szCs w:val="20"/>
          <w:lang w:val="uk-UA"/>
        </w:rPr>
      </w:pPr>
      <w:r w:rsidRPr="004E61DE">
        <w:rPr>
          <w:sz w:val="20"/>
          <w:szCs w:val="20"/>
          <w:lang w:val="uk-UA"/>
        </w:rPr>
        <w:lastRenderedPageBreak/>
        <w:t xml:space="preserve">тобто деякі дослідження припускають, що виявлені в монорезистентних штамах мутації, є більш різноманітними, ніж мутації, виявлені в штамах з множинною лікарською стійкістю. По-третє, хоча популяція для цього запитання PICO є «незалежно від стійкості до рифампіцину», критерії включення в дослідження означали, що більшість учасників у включених дослідженнях мали Риф-ТБ. У результаті цих побоювань достовірність доказів була знижена на один рівень через </w:t>
      </w:r>
      <w:r w:rsidR="005A7875">
        <w:rPr>
          <w:sz w:val="20"/>
          <w:szCs w:val="20"/>
          <w:lang w:val="uk-UA"/>
        </w:rPr>
        <w:t>відсутність</w:t>
      </w:r>
      <w:r w:rsidR="00162062">
        <w:rPr>
          <w:sz w:val="20"/>
          <w:szCs w:val="20"/>
          <w:lang w:val="uk-UA"/>
        </w:rPr>
        <w:t xml:space="preserve"> прямих доказів</w:t>
      </w:r>
      <w:r w:rsidRPr="004E61DE">
        <w:rPr>
          <w:sz w:val="20"/>
          <w:szCs w:val="20"/>
          <w:lang w:val="uk-UA"/>
        </w:rPr>
        <w:t xml:space="preserve"> як стосовно чутливості, так і стосовно специфічності, а якість (достовірність) доказів була оцінена як помірна як для чутливості, так і для специфічності.</w:t>
      </w:r>
    </w:p>
    <w:p w14:paraId="4A19CE8F" w14:textId="77777777" w:rsidR="00E05B98" w:rsidRPr="00821945" w:rsidRDefault="00E05B98" w:rsidP="004E61DE">
      <w:pPr>
        <w:pStyle w:val="a3"/>
        <w:spacing w:line="276" w:lineRule="auto"/>
        <w:rPr>
          <w:sz w:val="20"/>
          <w:szCs w:val="20"/>
          <w:lang w:val="uk-UA"/>
        </w:rPr>
      </w:pPr>
    </w:p>
    <w:p w14:paraId="5B162368" w14:textId="2B15A6A0" w:rsidR="00E05B98" w:rsidRPr="003C6DAE" w:rsidRDefault="004E61DE" w:rsidP="004E61DE">
      <w:pPr>
        <w:pStyle w:val="6"/>
        <w:spacing w:before="0" w:line="276" w:lineRule="auto"/>
        <w:rPr>
          <w:lang w:val="uk-UA"/>
        </w:rPr>
      </w:pPr>
      <w:bookmarkStart w:id="68" w:name="_bookmark31"/>
      <w:bookmarkEnd w:id="68"/>
      <w:r>
        <w:rPr>
          <w:color w:val="636466"/>
          <w:sz w:val="20"/>
          <w:szCs w:val="20"/>
          <w:lang w:val="uk-UA"/>
        </w:rPr>
        <w:t>Рис</w:t>
      </w:r>
      <w:r w:rsidR="00B01E0C" w:rsidRPr="00821945">
        <w:rPr>
          <w:color w:val="636466"/>
          <w:sz w:val="20"/>
          <w:szCs w:val="20"/>
          <w:lang w:val="uk-UA"/>
        </w:rPr>
        <w:t xml:space="preserve">. 2.4.1.1 </w:t>
      </w:r>
      <w:r w:rsidRPr="004E61DE">
        <w:rPr>
          <w:color w:val="636466"/>
          <w:sz w:val="20"/>
          <w:szCs w:val="20"/>
          <w:lang w:val="uk-UA"/>
        </w:rPr>
        <w:t>Лісова діаграма включених досліджень для виявлення стійкості до ізоніазиду незалежно від резистентності до рифампіцину з використанням фенотипічного ТМЧ на основі бакпосіву в якості еталонного стандарту</w:t>
      </w:r>
    </w:p>
    <w:p w14:paraId="7B59365A" w14:textId="5754CBA2" w:rsidR="00E05B98" w:rsidRDefault="001751A7">
      <w:pPr>
        <w:pStyle w:val="a3"/>
        <w:spacing w:before="59"/>
        <w:rPr>
          <w:rFonts w:ascii="Arial"/>
          <w:b/>
          <w:noProof/>
          <w:sz w:val="20"/>
          <w:lang w:val="uk-UA"/>
        </w:rPr>
      </w:pPr>
      <w:r w:rsidRPr="003C6DAE">
        <w:rPr>
          <w:rFonts w:ascii="Arial"/>
          <w:b/>
          <w:noProof/>
          <w:sz w:val="24"/>
          <w:lang w:val="uk-UA"/>
        </w:rPr>
        <mc:AlternateContent>
          <mc:Choice Requires="wps">
            <w:drawing>
              <wp:anchor distT="0" distB="0" distL="114300" distR="114300" simplePos="0" relativeHeight="488158720" behindDoc="0" locked="0" layoutInCell="1" allowOverlap="1" wp14:anchorId="6B14F99D" wp14:editId="497E9762">
                <wp:simplePos x="0" y="0"/>
                <wp:positionH relativeFrom="margin">
                  <wp:posOffset>139260</wp:posOffset>
                </wp:positionH>
                <wp:positionV relativeFrom="paragraph">
                  <wp:posOffset>-1107</wp:posOffset>
                </wp:positionV>
                <wp:extent cx="6586396" cy="253497"/>
                <wp:effectExtent l="0" t="0" r="5080" b="0"/>
                <wp:wrapNone/>
                <wp:docPr id="618310421" name="Поле 618310421"/>
                <wp:cNvGraphicFramePr/>
                <a:graphic xmlns:a="http://schemas.openxmlformats.org/drawingml/2006/main">
                  <a:graphicData uri="http://schemas.microsoft.com/office/word/2010/wordprocessingShape">
                    <wps:wsp>
                      <wps:cNvSpPr txBox="1"/>
                      <wps:spPr>
                        <a:xfrm>
                          <a:off x="0" y="0"/>
                          <a:ext cx="6586396" cy="253497"/>
                        </a:xfrm>
                        <a:prstGeom prst="rect">
                          <a:avLst/>
                        </a:prstGeom>
                        <a:solidFill>
                          <a:schemeClr val="bg1"/>
                        </a:solidFill>
                        <a:ln w="6350">
                          <a:noFill/>
                        </a:ln>
                      </wps:spPr>
                      <wps:txbx>
                        <w:txbxContent>
                          <w:p w14:paraId="0200BB87" w14:textId="6A7071B0" w:rsidR="007372B2" w:rsidRPr="00793D30" w:rsidRDefault="007372B2" w:rsidP="001751A7">
                            <w:pPr>
                              <w:ind w:left="2160" w:hanging="2018"/>
                              <w:rPr>
                                <w:rFonts w:asciiTheme="minorHAnsi" w:hAnsiTheme="minorHAnsi" w:cstheme="minorHAnsi"/>
                                <w:b/>
                                <w:sz w:val="14"/>
                                <w:szCs w:val="14"/>
                                <w:lang w:val="uk-UA"/>
                              </w:rPr>
                            </w:pPr>
                            <w:r w:rsidRPr="00793D30">
                              <w:rPr>
                                <w:rFonts w:asciiTheme="minorHAnsi" w:hAnsiTheme="minorHAnsi" w:cstheme="minorHAnsi"/>
                                <w:b/>
                                <w:sz w:val="14"/>
                                <w:szCs w:val="14"/>
                                <w:lang w:val="uk-UA"/>
                              </w:rPr>
                              <w:t xml:space="preserve">Дослідження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TP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FP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FN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TN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lang w:val="uk-UA"/>
                              </w:rPr>
                              <w:t xml:space="preserve">Чутливість (95% ДІ)    Специфічність (95% ДІ)  </w:t>
                            </w:r>
                            <w:r w:rsidRPr="00793D30">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lang w:val="uk-UA"/>
                              </w:rPr>
                              <w:t>Специфічність (95% ДІ)</w:t>
                            </w:r>
                            <w:r w:rsidRPr="00793D30">
                              <w:rPr>
                                <w:rFonts w:asciiTheme="minorHAnsi" w:hAnsiTheme="minorHAnsi" w:cstheme="minorHAnsi"/>
                                <w:b/>
                                <w:sz w:val="14"/>
                                <w:szCs w:val="14"/>
                              </w:rPr>
                              <w:t xml:space="preserve">          </w:t>
                            </w:r>
                            <w:r w:rsidRPr="00793D30">
                              <w:rPr>
                                <w:rFonts w:asciiTheme="minorHAnsi" w:hAnsiTheme="minorHAnsi" w:cstheme="minorHAnsi"/>
                                <w:b/>
                                <w:sz w:val="14"/>
                                <w:szCs w:val="14"/>
                                <w:lang w:val="uk-UA"/>
                              </w:rPr>
                              <w:t xml:space="preserve">                     </w:t>
                            </w:r>
                          </w:p>
                          <w:p w14:paraId="7126ED1A" w14:textId="77777777" w:rsidR="007372B2" w:rsidRPr="00014B97" w:rsidRDefault="007372B2" w:rsidP="001751A7">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4F99D" id="Поле 618310421" o:spid="_x0000_s1139" type="#_x0000_t202" style="position:absolute;margin-left:10.95pt;margin-top:-.1pt;width:518.6pt;height:19.95pt;z-index:48815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" fillcolor="white [3212]" stroked="f" strokeweight=".5pt">
                <v:textbox>
                  <w:txbxContent>
                    <w:p w14:paraId="0200BB87" w14:textId="6A7071B0" w:rsidR="007372B2" w:rsidRPr="00793D30" w:rsidRDefault="007372B2" w:rsidP="001751A7">
                      <w:pPr>
                        <w:ind w:left="2160" w:hanging="2018"/>
                        <w:rPr>
                          <w:rFonts w:asciiTheme="minorHAnsi" w:hAnsiTheme="minorHAnsi" w:cstheme="minorHAnsi"/>
                          <w:b/>
                          <w:sz w:val="14"/>
                          <w:szCs w:val="14"/>
                          <w:lang w:val="uk-UA"/>
                        </w:rPr>
                      </w:pPr>
                      <w:r w:rsidRPr="00793D30">
                        <w:rPr>
                          <w:rFonts w:asciiTheme="minorHAnsi" w:hAnsiTheme="minorHAnsi" w:cstheme="minorHAnsi"/>
                          <w:b/>
                          <w:sz w:val="14"/>
                          <w:szCs w:val="14"/>
                          <w:lang w:val="uk-UA"/>
                        </w:rPr>
                        <w:t xml:space="preserve">Дослідження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TP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FP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FN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TN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lang w:val="uk-UA"/>
                        </w:rPr>
                        <w:t xml:space="preserve">Чутливість (95% ДІ)    Специфічність (95% ДІ)  </w:t>
                      </w:r>
                      <w:r w:rsidRPr="00793D30">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lang w:val="uk-UA"/>
                        </w:rPr>
                        <w:t xml:space="preserve">     </w:t>
                      </w:r>
                      <w:r w:rsidRPr="00793D30">
                        <w:rPr>
                          <w:rFonts w:asciiTheme="minorHAnsi" w:hAnsiTheme="minorHAnsi" w:cstheme="minorHAnsi"/>
                          <w:b/>
                          <w:sz w:val="14"/>
                          <w:szCs w:val="14"/>
                          <w:lang w:val="uk-UA"/>
                        </w:rPr>
                        <w:t>Специфічність (95% ДІ)</w:t>
                      </w:r>
                      <w:r w:rsidRPr="00793D30">
                        <w:rPr>
                          <w:rFonts w:asciiTheme="minorHAnsi" w:hAnsiTheme="minorHAnsi" w:cstheme="minorHAnsi"/>
                          <w:b/>
                          <w:sz w:val="14"/>
                          <w:szCs w:val="14"/>
                        </w:rPr>
                        <w:t xml:space="preserve">          </w:t>
                      </w:r>
                      <w:r w:rsidRPr="00793D30">
                        <w:rPr>
                          <w:rFonts w:asciiTheme="minorHAnsi" w:hAnsiTheme="minorHAnsi" w:cstheme="minorHAnsi"/>
                          <w:b/>
                          <w:sz w:val="14"/>
                          <w:szCs w:val="14"/>
                          <w:lang w:val="uk-UA"/>
                        </w:rPr>
                        <w:t xml:space="preserve">                     </w:t>
                      </w:r>
                    </w:p>
                    <w:p w14:paraId="7126ED1A" w14:textId="77777777" w:rsidR="007372B2" w:rsidRPr="00014B97" w:rsidRDefault="007372B2" w:rsidP="001751A7">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v:textbox>
                <w10:wrap anchorx="margin"/>
              </v:shape>
            </w:pict>
          </mc:Fallback>
        </mc:AlternateContent>
      </w:r>
    </w:p>
    <w:p w14:paraId="62217C3B" w14:textId="2FA2151A" w:rsidR="001751A7" w:rsidRDefault="001751A7" w:rsidP="001751A7">
      <w:pPr>
        <w:pStyle w:val="a3"/>
        <w:spacing w:before="59"/>
        <w:ind w:left="426"/>
        <w:rPr>
          <w:rFonts w:ascii="Arial"/>
          <w:b/>
          <w:noProof/>
          <w:sz w:val="20"/>
          <w:lang w:val="uk-UA"/>
        </w:rPr>
      </w:pPr>
      <w:r w:rsidRPr="001751A7">
        <w:rPr>
          <w:rFonts w:ascii="Arial"/>
          <w:b/>
          <w:noProof/>
          <w:sz w:val="20"/>
          <w:lang w:val="uk-UA"/>
        </w:rPr>
        <w:drawing>
          <wp:inline distT="0" distB="0" distL="0" distR="0" wp14:anchorId="781056D7" wp14:editId="0BA69E0D">
            <wp:extent cx="6319319" cy="1344295"/>
            <wp:effectExtent l="0" t="0" r="5715" b="8255"/>
            <wp:docPr id="180905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5138" name=""/>
                    <pic:cNvPicPr/>
                  </pic:nvPicPr>
                  <pic:blipFill>
                    <a:blip r:embed="rId103"/>
                    <a:stretch>
                      <a:fillRect/>
                    </a:stretch>
                  </pic:blipFill>
                  <pic:spPr>
                    <a:xfrm>
                      <a:off x="0" y="0"/>
                      <a:ext cx="6407179" cy="1362985"/>
                    </a:xfrm>
                    <a:prstGeom prst="rect">
                      <a:avLst/>
                    </a:prstGeom>
                  </pic:spPr>
                </pic:pic>
              </a:graphicData>
            </a:graphic>
          </wp:inline>
        </w:drawing>
      </w:r>
    </w:p>
    <w:p w14:paraId="48F75426" w14:textId="77777777" w:rsidR="00E05B98" w:rsidRPr="003C6DAE" w:rsidRDefault="00E05B98">
      <w:pPr>
        <w:pStyle w:val="a3"/>
        <w:spacing w:before="7"/>
        <w:rPr>
          <w:rFonts w:ascii="Arial"/>
          <w:b/>
          <w:sz w:val="6"/>
          <w:lang w:val="uk-UA"/>
        </w:rPr>
      </w:pPr>
    </w:p>
    <w:p w14:paraId="53641257" w14:textId="77777777" w:rsidR="00E05B98" w:rsidRPr="003C6DAE" w:rsidRDefault="00E05B98">
      <w:pPr>
        <w:pStyle w:val="a3"/>
        <w:spacing w:before="103"/>
        <w:rPr>
          <w:rFonts w:ascii="Arial"/>
          <w:b/>
          <w:sz w:val="24"/>
          <w:lang w:val="uk-UA"/>
        </w:rPr>
      </w:pPr>
    </w:p>
    <w:p w14:paraId="412079F5" w14:textId="546D3843" w:rsidR="00E05B98" w:rsidRPr="00821945" w:rsidRDefault="004E61DE">
      <w:pPr>
        <w:spacing w:line="254" w:lineRule="auto"/>
        <w:ind w:left="567" w:right="139"/>
        <w:jc w:val="both"/>
        <w:rPr>
          <w:sz w:val="16"/>
          <w:szCs w:val="16"/>
          <w:lang w:val="uk-UA"/>
        </w:rPr>
      </w:pPr>
      <w:r w:rsidRPr="004E61DE">
        <w:rPr>
          <w:sz w:val="16"/>
          <w:szCs w:val="16"/>
          <w:lang w:val="uk-UA"/>
        </w:rPr>
        <w:t xml:space="preserve">ДІ: довірчий інтервал; DIAMA: Діагностика туберкульозу з </w:t>
      </w:r>
      <w:r w:rsidR="005A7875" w:rsidRPr="004E61DE">
        <w:rPr>
          <w:sz w:val="16"/>
          <w:szCs w:val="16"/>
          <w:lang w:val="uk-UA"/>
        </w:rPr>
        <w:t>множинною</w:t>
      </w:r>
      <w:r w:rsidRPr="004E61DE">
        <w:rPr>
          <w:sz w:val="16"/>
          <w:szCs w:val="16"/>
          <w:lang w:val="uk-UA"/>
        </w:rPr>
        <w:t xml:space="preserve"> лікарською стійкістю в Африці; ТМЧ: тестування на медикаментозну чутливість; FIND: Фонд інноваційн</w:t>
      </w:r>
      <w:r w:rsidR="00E139C9">
        <w:rPr>
          <w:sz w:val="16"/>
          <w:szCs w:val="16"/>
          <w:lang w:val="uk-UA"/>
        </w:rPr>
        <w:t>их</w:t>
      </w:r>
      <w:r w:rsidRPr="004E61DE">
        <w:rPr>
          <w:sz w:val="16"/>
          <w:szCs w:val="16"/>
          <w:lang w:val="uk-UA"/>
        </w:rPr>
        <w:t xml:space="preserve"> нов</w:t>
      </w:r>
      <w:r w:rsidR="00E139C9">
        <w:rPr>
          <w:sz w:val="16"/>
          <w:szCs w:val="16"/>
          <w:lang w:val="uk-UA"/>
        </w:rPr>
        <w:t>их</w:t>
      </w:r>
      <w:r w:rsidRPr="004E61DE">
        <w:rPr>
          <w:sz w:val="16"/>
          <w:szCs w:val="16"/>
          <w:lang w:val="uk-UA"/>
        </w:rPr>
        <w:t xml:space="preserve"> діагности</w:t>
      </w:r>
      <w:r w:rsidR="00E139C9">
        <w:rPr>
          <w:sz w:val="16"/>
          <w:szCs w:val="16"/>
          <w:lang w:val="uk-UA"/>
        </w:rPr>
        <w:t>чних засобів</w:t>
      </w:r>
      <w:r w:rsidRPr="004E61DE">
        <w:rPr>
          <w:sz w:val="16"/>
          <w:szCs w:val="16"/>
          <w:lang w:val="uk-UA"/>
        </w:rPr>
        <w:t>; FN: хибнонегативний результат; FP: хибнопозитивний результат; TБ: туберкульоз; TN: істинно негативний результат; TP: істинно позитивний результат.</w:t>
      </w:r>
    </w:p>
    <w:p w14:paraId="15F38A7E" w14:textId="77777777" w:rsidR="00E05B98" w:rsidRPr="003C6DAE" w:rsidRDefault="00E05B98">
      <w:pPr>
        <w:pStyle w:val="a3"/>
        <w:spacing w:before="137"/>
        <w:rPr>
          <w:sz w:val="18"/>
          <w:lang w:val="uk-UA"/>
        </w:rPr>
      </w:pPr>
    </w:p>
    <w:p w14:paraId="1E281537" w14:textId="2EFD8EDF" w:rsidR="004E61DE" w:rsidRPr="004E61DE" w:rsidRDefault="00E139C9" w:rsidP="004E61DE">
      <w:pPr>
        <w:spacing w:line="276" w:lineRule="auto"/>
        <w:ind w:left="567"/>
        <w:rPr>
          <w:b/>
          <w:bCs/>
          <w:sz w:val="20"/>
          <w:szCs w:val="20"/>
          <w:lang w:val="uk-UA"/>
        </w:rPr>
      </w:pPr>
      <w:r>
        <w:rPr>
          <w:sz w:val="20"/>
          <w:szCs w:val="20"/>
          <w:lang w:val="uk-UA"/>
        </w:rPr>
        <w:t>Показник ч</w:t>
      </w:r>
      <w:r w:rsidR="004E61DE" w:rsidRPr="004E61DE">
        <w:rPr>
          <w:sz w:val="20"/>
          <w:szCs w:val="20"/>
          <w:lang w:val="uk-UA"/>
        </w:rPr>
        <w:t>утлив</w:t>
      </w:r>
      <w:r>
        <w:rPr>
          <w:sz w:val="20"/>
          <w:szCs w:val="20"/>
          <w:lang w:val="uk-UA"/>
        </w:rPr>
        <w:t>ості</w:t>
      </w:r>
      <w:r w:rsidR="004E61DE" w:rsidRPr="004E61DE">
        <w:rPr>
          <w:sz w:val="20"/>
          <w:szCs w:val="20"/>
          <w:lang w:val="uk-UA"/>
        </w:rPr>
        <w:t xml:space="preserve"> </w:t>
      </w:r>
      <w:r>
        <w:rPr>
          <w:sz w:val="20"/>
          <w:szCs w:val="20"/>
          <w:lang w:val="uk-UA"/>
        </w:rPr>
        <w:t>в</w:t>
      </w:r>
      <w:r w:rsidR="004E61DE" w:rsidRPr="004E61DE">
        <w:rPr>
          <w:sz w:val="20"/>
          <w:szCs w:val="20"/>
          <w:lang w:val="uk-UA"/>
        </w:rPr>
        <w:t xml:space="preserve"> цих трьох дослідженнях колива</w:t>
      </w:r>
      <w:r>
        <w:rPr>
          <w:sz w:val="20"/>
          <w:szCs w:val="20"/>
          <w:lang w:val="uk-UA"/>
        </w:rPr>
        <w:t>в</w:t>
      </w:r>
      <w:r w:rsidR="004E61DE" w:rsidRPr="004E61DE">
        <w:rPr>
          <w:sz w:val="20"/>
          <w:szCs w:val="20"/>
          <w:lang w:val="uk-UA"/>
        </w:rPr>
        <w:t>ся від 81% до 100%, а специфічн</w:t>
      </w:r>
      <w:r>
        <w:rPr>
          <w:sz w:val="20"/>
          <w:szCs w:val="20"/>
          <w:lang w:val="uk-UA"/>
        </w:rPr>
        <w:t>ості</w:t>
      </w:r>
      <w:r w:rsidR="004E61DE" w:rsidRPr="004E61DE">
        <w:rPr>
          <w:sz w:val="20"/>
          <w:szCs w:val="20"/>
          <w:lang w:val="uk-UA"/>
        </w:rPr>
        <w:t xml:space="preserve"> - від 87% до 100%. </w:t>
      </w:r>
      <w:r w:rsidR="004E61DE" w:rsidRPr="004E61DE">
        <w:rPr>
          <w:b/>
          <w:bCs/>
          <w:sz w:val="20"/>
          <w:szCs w:val="20"/>
          <w:lang w:val="uk-UA"/>
        </w:rPr>
        <w:t>Об’єднана чутливість становила 94,2% (95% ДІ: 89,3–97,0%), а об’єднана специфічність</w:t>
      </w:r>
    </w:p>
    <w:p w14:paraId="250EC0B1" w14:textId="02C29E00" w:rsidR="00E05B98" w:rsidRPr="001E194D" w:rsidRDefault="004E61DE" w:rsidP="004E61DE">
      <w:pPr>
        <w:spacing w:line="276" w:lineRule="auto"/>
        <w:ind w:left="567"/>
        <w:rPr>
          <w:rFonts w:ascii="Arial" w:hAnsi="Arial"/>
          <w:b/>
          <w:bCs/>
          <w:sz w:val="20"/>
          <w:szCs w:val="20"/>
          <w:lang w:val="uk-UA"/>
        </w:rPr>
      </w:pPr>
      <w:r w:rsidRPr="004E61DE">
        <w:rPr>
          <w:b/>
          <w:bCs/>
          <w:sz w:val="20"/>
          <w:szCs w:val="20"/>
          <w:lang w:val="uk-UA"/>
        </w:rPr>
        <w:t>становила 98,0% (95% ДІ: 95,2–99,2%).</w:t>
      </w:r>
    </w:p>
    <w:p w14:paraId="42030564" w14:textId="0BA53FC1" w:rsidR="00E05B98" w:rsidRPr="00821945" w:rsidRDefault="004E61DE" w:rsidP="004E61DE">
      <w:pPr>
        <w:pStyle w:val="6"/>
        <w:spacing w:before="243" w:line="276" w:lineRule="auto"/>
        <w:ind w:left="1417" w:right="199" w:hanging="851"/>
        <w:jc w:val="both"/>
        <w:rPr>
          <w:sz w:val="20"/>
          <w:szCs w:val="20"/>
          <w:lang w:val="uk-UA"/>
        </w:rPr>
      </w:pPr>
      <w:r>
        <w:rPr>
          <w:sz w:val="20"/>
          <w:szCs w:val="20"/>
          <w:lang w:val="uk-UA"/>
        </w:rPr>
        <w:t xml:space="preserve">Запитання </w:t>
      </w:r>
      <w:r w:rsidR="00B01E0C" w:rsidRPr="00821945">
        <w:rPr>
          <w:sz w:val="20"/>
          <w:szCs w:val="20"/>
          <w:lang w:val="uk-UA"/>
        </w:rPr>
        <w:t>PICO</w:t>
      </w:r>
      <w:r w:rsidR="00B01E0C" w:rsidRPr="00821945">
        <w:rPr>
          <w:spacing w:val="-8"/>
          <w:sz w:val="20"/>
          <w:szCs w:val="20"/>
          <w:lang w:val="uk-UA"/>
        </w:rPr>
        <w:t xml:space="preserve"> </w:t>
      </w:r>
      <w:r w:rsidR="00B01E0C" w:rsidRPr="00821945">
        <w:rPr>
          <w:sz w:val="20"/>
          <w:szCs w:val="20"/>
          <w:lang w:val="uk-UA"/>
        </w:rPr>
        <w:t>2:</w:t>
      </w:r>
      <w:r w:rsidR="00B01E0C" w:rsidRPr="00821945">
        <w:rPr>
          <w:spacing w:val="-8"/>
          <w:sz w:val="20"/>
          <w:szCs w:val="20"/>
          <w:lang w:val="uk-UA"/>
        </w:rPr>
        <w:t xml:space="preserve"> </w:t>
      </w:r>
      <w:r w:rsidR="00F41D36" w:rsidRPr="00F41D36">
        <w:rPr>
          <w:sz w:val="20"/>
          <w:szCs w:val="20"/>
          <w:lang w:val="uk-UA"/>
        </w:rPr>
        <w:t>Чи слід використовувати автоматизовані ТАНК низької складності для дослідження зразків мокротиння у людей з ознаками та симптомами ТБ легень, незалежно від стійкості до рифампіцину, для виявлення стійкості до фторхінолонів у порівнянні з фенотипічним ТМЧ на основі бакпосіву?</w:t>
      </w:r>
    </w:p>
    <w:p w14:paraId="4A6FDE63" w14:textId="0D38CF45" w:rsidR="00504CE7" w:rsidRPr="00504CE7" w:rsidRDefault="00504CE7" w:rsidP="00504CE7">
      <w:pPr>
        <w:pStyle w:val="a3"/>
        <w:spacing w:before="170" w:line="276" w:lineRule="auto"/>
        <w:ind w:left="567" w:right="136"/>
        <w:jc w:val="both"/>
        <w:rPr>
          <w:sz w:val="20"/>
          <w:szCs w:val="20"/>
          <w:lang w:val="uk-UA"/>
        </w:rPr>
      </w:pPr>
      <w:r w:rsidRPr="00504CE7">
        <w:rPr>
          <w:sz w:val="20"/>
          <w:szCs w:val="20"/>
          <w:lang w:val="uk-UA"/>
        </w:rPr>
        <w:t xml:space="preserve">Три багатонаціональні дослідження, які включали 1337 учасників, надали дані для оцінки виявлення стійкості до фторхінолонів. Еталонним стандартом для кожного з цих досліджень був </w:t>
      </w:r>
      <w:proofErr w:type="spellStart"/>
      <w:r w:rsidRPr="00504CE7">
        <w:rPr>
          <w:sz w:val="20"/>
          <w:szCs w:val="20"/>
          <w:lang w:val="uk-UA"/>
        </w:rPr>
        <w:t>фенотип</w:t>
      </w:r>
      <w:r w:rsidR="006875E3">
        <w:rPr>
          <w:sz w:val="20"/>
          <w:szCs w:val="20"/>
          <w:lang w:val="uk-UA"/>
        </w:rPr>
        <w:t>ов</w:t>
      </w:r>
      <w:r w:rsidRPr="00504CE7">
        <w:rPr>
          <w:sz w:val="20"/>
          <w:szCs w:val="20"/>
          <w:lang w:val="uk-UA"/>
        </w:rPr>
        <w:t>ий</w:t>
      </w:r>
      <w:proofErr w:type="spellEnd"/>
      <w:r w:rsidRPr="00504CE7">
        <w:rPr>
          <w:sz w:val="20"/>
          <w:szCs w:val="20"/>
          <w:lang w:val="uk-UA"/>
        </w:rPr>
        <w:t xml:space="preserve"> ТМЧ на основі бакпосіву. Кожен дослідницький центр в рамках проведення багатонаціональних досліджень аналізувався як окреме дослідження (</w:t>
      </w:r>
      <w:r w:rsidRPr="00504CE7">
        <w:rPr>
          <w:b/>
          <w:bCs/>
          <w:sz w:val="20"/>
          <w:szCs w:val="20"/>
          <w:lang w:val="uk-UA"/>
        </w:rPr>
        <w:t>Рис. 2.4.1.2</w:t>
      </w:r>
      <w:r w:rsidRPr="00504CE7">
        <w:rPr>
          <w:sz w:val="20"/>
          <w:szCs w:val="20"/>
          <w:lang w:val="uk-UA"/>
        </w:rPr>
        <w:t>).</w:t>
      </w:r>
    </w:p>
    <w:p w14:paraId="5FADB22C" w14:textId="3B822AEA" w:rsidR="00E05B98" w:rsidRPr="00821945" w:rsidRDefault="00504CE7" w:rsidP="00504CE7">
      <w:pPr>
        <w:pStyle w:val="a3"/>
        <w:spacing w:before="170" w:line="276" w:lineRule="auto"/>
        <w:ind w:left="567" w:right="136"/>
        <w:jc w:val="both"/>
        <w:rPr>
          <w:sz w:val="20"/>
          <w:szCs w:val="20"/>
          <w:lang w:val="uk-UA"/>
        </w:rPr>
      </w:pPr>
      <w:r w:rsidRPr="00504CE7">
        <w:rPr>
          <w:sz w:val="20"/>
          <w:szCs w:val="20"/>
          <w:lang w:val="uk-UA"/>
        </w:rPr>
        <w:t>Спостерігалася неузгодженість результатів оцінки специфічності між дослідженнями: 84% (FIND, Мумбаї), 91% (FIND, Нью-Делі) та понад 96% для інших досліджень. Неможливо було пояснити неоднорідність оцінок специфічності. Отже, достовірність доказів була знижена на один рівень через неузгодженість результатів між дослідженнями; якість (достовірність) доказів була оцінена як висока для чутливості та помірна для специфічності.</w:t>
      </w:r>
    </w:p>
    <w:p w14:paraId="259923EB" w14:textId="77777777" w:rsidR="00E05B98" w:rsidRPr="00821945" w:rsidRDefault="00E05B98" w:rsidP="004E61DE">
      <w:pPr>
        <w:pStyle w:val="a3"/>
        <w:spacing w:line="276" w:lineRule="auto"/>
        <w:jc w:val="both"/>
        <w:rPr>
          <w:sz w:val="20"/>
          <w:szCs w:val="20"/>
          <w:lang w:val="uk-UA"/>
        </w:rPr>
        <w:sectPr w:rsidR="00E05B98" w:rsidRPr="00821945" w:rsidSect="004E61DE">
          <w:pgSz w:w="11910" w:h="16840"/>
          <w:pgMar w:top="1320" w:right="853" w:bottom="760" w:left="850" w:header="0" w:footer="573" w:gutter="0"/>
          <w:cols w:space="720"/>
        </w:sectPr>
      </w:pPr>
    </w:p>
    <w:p w14:paraId="7F03B15A" w14:textId="3A779B5C" w:rsidR="00E05B98" w:rsidRPr="003C6DAE" w:rsidRDefault="00504CE7" w:rsidP="00504CE7">
      <w:pPr>
        <w:pStyle w:val="6"/>
        <w:spacing w:line="276" w:lineRule="auto"/>
        <w:ind w:left="426"/>
        <w:rPr>
          <w:lang w:val="uk-UA"/>
        </w:rPr>
      </w:pPr>
      <w:bookmarkStart w:id="69" w:name="_bookmark32"/>
      <w:bookmarkEnd w:id="69"/>
      <w:r>
        <w:rPr>
          <w:color w:val="636466"/>
          <w:sz w:val="20"/>
          <w:szCs w:val="20"/>
          <w:lang w:val="uk-UA"/>
        </w:rPr>
        <w:lastRenderedPageBreak/>
        <w:t>Рис</w:t>
      </w:r>
      <w:r w:rsidR="00B01E0C" w:rsidRPr="00821945">
        <w:rPr>
          <w:color w:val="636466"/>
          <w:sz w:val="20"/>
          <w:szCs w:val="20"/>
          <w:lang w:val="uk-UA"/>
        </w:rPr>
        <w:t xml:space="preserve">. 2.4.1.2 </w:t>
      </w:r>
      <w:r w:rsidRPr="00504CE7">
        <w:rPr>
          <w:color w:val="636466"/>
          <w:sz w:val="20"/>
          <w:szCs w:val="20"/>
          <w:lang w:val="uk-UA"/>
        </w:rPr>
        <w:t>Лісова діаграми включених досліджень для виявлення стійкості до фторхінолонів, незалежно від стійкості до рифампіцину, за допомогою фенотипічного ТМЧ на основі бакпосіву в якості еталонного стандарту</w:t>
      </w:r>
    </w:p>
    <w:p w14:paraId="4BB7D8BC" w14:textId="0C4A789D" w:rsidR="00E05B98" w:rsidRDefault="007E7A5E">
      <w:pPr>
        <w:pStyle w:val="a3"/>
        <w:spacing w:before="29"/>
        <w:rPr>
          <w:rFonts w:ascii="Arial"/>
          <w:b/>
          <w:sz w:val="20"/>
          <w:lang w:val="uk-UA"/>
        </w:rPr>
      </w:pPr>
      <w:r w:rsidRPr="003C6DAE">
        <w:rPr>
          <w:rFonts w:ascii="Arial"/>
          <w:b/>
          <w:noProof/>
          <w:sz w:val="24"/>
          <w:lang w:val="uk-UA"/>
        </w:rPr>
        <mc:AlternateContent>
          <mc:Choice Requires="wps">
            <w:drawing>
              <wp:anchor distT="0" distB="0" distL="114300" distR="114300" simplePos="0" relativeHeight="488160768" behindDoc="0" locked="0" layoutInCell="1" allowOverlap="1" wp14:anchorId="672D54B7" wp14:editId="75EE5C3D">
                <wp:simplePos x="0" y="0"/>
                <wp:positionH relativeFrom="margin">
                  <wp:posOffset>234321</wp:posOffset>
                </wp:positionH>
                <wp:positionV relativeFrom="paragraph">
                  <wp:posOffset>165081</wp:posOffset>
                </wp:positionV>
                <wp:extent cx="6301212" cy="253365"/>
                <wp:effectExtent l="0" t="0" r="4445" b="0"/>
                <wp:wrapNone/>
                <wp:docPr id="1627516284" name="Поле 1627516284"/>
                <wp:cNvGraphicFramePr/>
                <a:graphic xmlns:a="http://schemas.openxmlformats.org/drawingml/2006/main">
                  <a:graphicData uri="http://schemas.microsoft.com/office/word/2010/wordprocessingShape">
                    <wps:wsp>
                      <wps:cNvSpPr txBox="1"/>
                      <wps:spPr>
                        <a:xfrm>
                          <a:off x="0" y="0"/>
                          <a:ext cx="6301212" cy="253365"/>
                        </a:xfrm>
                        <a:prstGeom prst="rect">
                          <a:avLst/>
                        </a:prstGeom>
                        <a:solidFill>
                          <a:schemeClr val="bg1"/>
                        </a:solidFill>
                        <a:ln w="6350">
                          <a:noFill/>
                        </a:ln>
                      </wps:spPr>
                      <wps:txbx>
                        <w:txbxContent>
                          <w:p w14:paraId="12697679" w14:textId="4F41695D" w:rsidR="007372B2" w:rsidRPr="00014B97" w:rsidRDefault="007372B2" w:rsidP="007E7A5E">
                            <w:pPr>
                              <w:rPr>
                                <w:rFonts w:asciiTheme="minorHAnsi" w:hAnsiTheme="minorHAnsi" w:cstheme="minorHAnsi"/>
                                <w:b/>
                                <w:sz w:val="14"/>
                                <w:szCs w:val="14"/>
                                <w:lang w:val="uk-UA"/>
                              </w:rPr>
                            </w:pPr>
                            <w:r>
                              <w:rPr>
                                <w:rFonts w:asciiTheme="minorHAnsi" w:hAnsiTheme="minorHAnsi" w:cstheme="minorHAnsi"/>
                                <w:b/>
                                <w:sz w:val="14"/>
                                <w:szCs w:val="14"/>
                                <w:lang w:val="uk-UA"/>
                              </w:rPr>
                              <w:t xml:space="preserve">Дослідження                                        </w:t>
                            </w:r>
                            <w:r>
                              <w:rPr>
                                <w:rFonts w:asciiTheme="minorHAnsi" w:hAnsiTheme="minorHAnsi" w:cstheme="minorHAnsi"/>
                                <w:b/>
                                <w:sz w:val="14"/>
                                <w:szCs w:val="14"/>
                              </w:rPr>
                              <w:t xml:space="preserve">TP     </w:t>
                            </w:r>
                            <w:r>
                              <w:rPr>
                                <w:rFonts w:asciiTheme="minorHAnsi" w:hAnsiTheme="minorHAnsi" w:cstheme="minorHAnsi"/>
                                <w:b/>
                                <w:sz w:val="14"/>
                                <w:szCs w:val="14"/>
                                <w:lang w:val="uk-UA"/>
                              </w:rPr>
                              <w:t xml:space="preserve">  </w:t>
                            </w:r>
                            <w:r>
                              <w:rPr>
                                <w:rFonts w:asciiTheme="minorHAnsi" w:hAnsiTheme="minorHAnsi" w:cstheme="minorHAnsi"/>
                                <w:b/>
                                <w:sz w:val="14"/>
                                <w:szCs w:val="14"/>
                              </w:rPr>
                              <w:t xml:space="preserve">FP    FN      TN         </w:t>
                            </w:r>
                            <w:r w:rsidRPr="00014B97">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lang w:val="uk-UA"/>
                              </w:rPr>
                              <w:t xml:space="preserve">  </w:t>
                            </w:r>
                            <w:r w:rsidRPr="00014B97">
                              <w:rPr>
                                <w:rFonts w:asciiTheme="minorHAnsi" w:hAnsiTheme="minorHAnsi" w:cstheme="minorHAnsi"/>
                                <w:b/>
                                <w:sz w:val="14"/>
                                <w:szCs w:val="14"/>
                                <w:lang w:val="uk-UA"/>
                              </w:rPr>
                              <w:t xml:space="preserve"> Специфічність (95% ДІ)  </w:t>
                            </w:r>
                            <w:r>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w:t>
                            </w:r>
                            <w:r w:rsidRPr="00014B97">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rPr>
                              <w:t xml:space="preserve">          </w:t>
                            </w:r>
                            <w:r>
                              <w:rPr>
                                <w:rFonts w:asciiTheme="minorHAnsi" w:hAnsiTheme="minorHAnsi" w:cstheme="minorHAnsi"/>
                                <w:b/>
                                <w:sz w:val="14"/>
                                <w:szCs w:val="14"/>
                                <w:lang w:val="uk-UA"/>
                              </w:rPr>
                              <w:t>С</w:t>
                            </w:r>
                            <w:r w:rsidRPr="00014B97">
                              <w:rPr>
                                <w:rFonts w:asciiTheme="minorHAnsi" w:hAnsiTheme="minorHAnsi" w:cstheme="minorHAnsi"/>
                                <w:b/>
                                <w:sz w:val="14"/>
                                <w:szCs w:val="14"/>
                                <w:lang w:val="uk-UA"/>
                              </w:rPr>
                              <w:t>пецифічність (95% 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D54B7" id="Поле 1627516284" o:spid="_x0000_s1140" type="#_x0000_t202" style="position:absolute;margin-left:18.45pt;margin-top:13pt;width:496.15pt;height:19.95pt;z-index:48816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" fillcolor="white [3212]" stroked="f" strokeweight=".5pt">
                <v:textbox>
                  <w:txbxContent>
                    <w:p w14:paraId="12697679" w14:textId="4F41695D" w:rsidR="007372B2" w:rsidRPr="00014B97" w:rsidRDefault="007372B2" w:rsidP="007E7A5E">
                      <w:pPr>
                        <w:rPr>
                          <w:rFonts w:asciiTheme="minorHAnsi" w:hAnsiTheme="minorHAnsi" w:cstheme="minorHAnsi"/>
                          <w:b/>
                          <w:sz w:val="14"/>
                          <w:szCs w:val="14"/>
                          <w:lang w:val="uk-UA"/>
                        </w:rPr>
                      </w:pPr>
                      <w:r>
                        <w:rPr>
                          <w:rFonts w:asciiTheme="minorHAnsi" w:hAnsiTheme="minorHAnsi" w:cstheme="minorHAnsi"/>
                          <w:b/>
                          <w:sz w:val="14"/>
                          <w:szCs w:val="14"/>
                          <w:lang w:val="uk-UA"/>
                        </w:rPr>
                        <w:t xml:space="preserve">Дослідження                                        </w:t>
                      </w:r>
                      <w:r>
                        <w:rPr>
                          <w:rFonts w:asciiTheme="minorHAnsi" w:hAnsiTheme="minorHAnsi" w:cstheme="minorHAnsi"/>
                          <w:b/>
                          <w:sz w:val="14"/>
                          <w:szCs w:val="14"/>
                        </w:rPr>
                        <w:t xml:space="preserve">TP     </w:t>
                      </w:r>
                      <w:r>
                        <w:rPr>
                          <w:rFonts w:asciiTheme="minorHAnsi" w:hAnsiTheme="minorHAnsi" w:cstheme="minorHAnsi"/>
                          <w:b/>
                          <w:sz w:val="14"/>
                          <w:szCs w:val="14"/>
                          <w:lang w:val="uk-UA"/>
                        </w:rPr>
                        <w:t xml:space="preserve">  </w:t>
                      </w:r>
                      <w:r>
                        <w:rPr>
                          <w:rFonts w:asciiTheme="minorHAnsi" w:hAnsiTheme="minorHAnsi" w:cstheme="minorHAnsi"/>
                          <w:b/>
                          <w:sz w:val="14"/>
                          <w:szCs w:val="14"/>
                        </w:rPr>
                        <w:t xml:space="preserve">FP    FN      TN         </w:t>
                      </w:r>
                      <w:r w:rsidRPr="00014B97">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lang w:val="uk-UA"/>
                        </w:rPr>
                        <w:t xml:space="preserve">  </w:t>
                      </w:r>
                      <w:r w:rsidRPr="00014B97">
                        <w:rPr>
                          <w:rFonts w:asciiTheme="minorHAnsi" w:hAnsiTheme="minorHAnsi" w:cstheme="minorHAnsi"/>
                          <w:b/>
                          <w:sz w:val="14"/>
                          <w:szCs w:val="14"/>
                          <w:lang w:val="uk-UA"/>
                        </w:rPr>
                        <w:t xml:space="preserve"> Специфічність (95% ДІ)  </w:t>
                      </w:r>
                      <w:r>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w:t>
                      </w:r>
                      <w:r w:rsidRPr="00014B97">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rPr>
                        <w:t xml:space="preserve">          </w:t>
                      </w:r>
                      <w:r>
                        <w:rPr>
                          <w:rFonts w:asciiTheme="minorHAnsi" w:hAnsiTheme="minorHAnsi" w:cstheme="minorHAnsi"/>
                          <w:b/>
                          <w:sz w:val="14"/>
                          <w:szCs w:val="14"/>
                          <w:lang w:val="uk-UA"/>
                        </w:rPr>
                        <w:t>С</w:t>
                      </w:r>
                      <w:r w:rsidRPr="00014B97">
                        <w:rPr>
                          <w:rFonts w:asciiTheme="minorHAnsi" w:hAnsiTheme="minorHAnsi" w:cstheme="minorHAnsi"/>
                          <w:b/>
                          <w:sz w:val="14"/>
                          <w:szCs w:val="14"/>
                          <w:lang w:val="uk-UA"/>
                        </w:rPr>
                        <w:t>пецифічність (95% ДІ)</w:t>
                      </w:r>
                    </w:p>
                  </w:txbxContent>
                </v:textbox>
                <w10:wrap anchorx="margin"/>
              </v:shape>
            </w:pict>
          </mc:Fallback>
        </mc:AlternateContent>
      </w:r>
    </w:p>
    <w:p w14:paraId="77092F6E" w14:textId="7520F456" w:rsidR="007E7A5E" w:rsidRDefault="007E7A5E">
      <w:pPr>
        <w:pStyle w:val="a3"/>
        <w:spacing w:before="29"/>
        <w:rPr>
          <w:rFonts w:ascii="Arial"/>
          <w:b/>
          <w:sz w:val="20"/>
          <w:lang w:val="uk-UA"/>
        </w:rPr>
      </w:pPr>
    </w:p>
    <w:p w14:paraId="2BD08EDF" w14:textId="69AB0271" w:rsidR="007E7A5E" w:rsidRDefault="007E7A5E">
      <w:pPr>
        <w:pStyle w:val="a3"/>
        <w:spacing w:before="29"/>
        <w:rPr>
          <w:rFonts w:ascii="Arial"/>
          <w:b/>
          <w:sz w:val="20"/>
          <w:lang w:val="uk-UA"/>
        </w:rPr>
      </w:pPr>
      <w:r>
        <w:rPr>
          <w:rFonts w:ascii="Arial"/>
          <w:b/>
          <w:noProof/>
          <w:sz w:val="20"/>
          <w:lang w:val="uk-UA"/>
        </w:rPr>
        <mc:AlternateContent>
          <mc:Choice Requires="wps">
            <w:drawing>
              <wp:anchor distT="0" distB="0" distL="114300" distR="114300" simplePos="0" relativeHeight="488161792" behindDoc="0" locked="0" layoutInCell="1" allowOverlap="1" wp14:anchorId="6089A235" wp14:editId="7AC12A75">
                <wp:simplePos x="0" y="0"/>
                <wp:positionH relativeFrom="column">
                  <wp:posOffset>117125</wp:posOffset>
                </wp:positionH>
                <wp:positionV relativeFrom="paragraph">
                  <wp:posOffset>31867</wp:posOffset>
                </wp:positionV>
                <wp:extent cx="6429444" cy="1474236"/>
                <wp:effectExtent l="0" t="0" r="9525" b="0"/>
                <wp:wrapNone/>
                <wp:docPr id="1346522277" name="Поле 2154"/>
                <wp:cNvGraphicFramePr/>
                <a:graphic xmlns:a="http://schemas.openxmlformats.org/drawingml/2006/main">
                  <a:graphicData uri="http://schemas.microsoft.com/office/word/2010/wordprocessingShape">
                    <wps:wsp>
                      <wps:cNvSpPr txBox="1"/>
                      <wps:spPr>
                        <a:xfrm>
                          <a:off x="0" y="0"/>
                          <a:ext cx="6429444" cy="1474236"/>
                        </a:xfrm>
                        <a:prstGeom prst="rect">
                          <a:avLst/>
                        </a:prstGeom>
                        <a:solidFill>
                          <a:schemeClr val="lt1"/>
                        </a:solidFill>
                        <a:ln w="6350">
                          <a:noFill/>
                        </a:ln>
                      </wps:spPr>
                      <wps:txbx>
                        <w:txbxContent>
                          <w:p w14:paraId="52838C30" w14:textId="01E57113" w:rsidR="007372B2" w:rsidRDefault="007372B2">
                            <w:r>
                              <w:rPr>
                                <w:noProof/>
                              </w:rPr>
                              <w:drawing>
                                <wp:inline distT="0" distB="0" distL="0" distR="0" wp14:anchorId="5A2F9628" wp14:editId="5A85F24D">
                                  <wp:extent cx="6174565" cy="1511559"/>
                                  <wp:effectExtent l="0" t="0" r="0" b="0"/>
                                  <wp:docPr id="476291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60917" name=""/>
                                          <pic:cNvPicPr/>
                                        </pic:nvPicPr>
                                        <pic:blipFill>
                                          <a:blip r:embed="rId104"/>
                                          <a:stretch>
                                            <a:fillRect/>
                                          </a:stretch>
                                        </pic:blipFill>
                                        <pic:spPr>
                                          <a:xfrm>
                                            <a:off x="0" y="0"/>
                                            <a:ext cx="6218375" cy="15222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9A235" id="Поле 2154" o:spid="_x0000_s1141" type="#_x0000_t202" style="position:absolute;margin-left:9.2pt;margin-top:2.5pt;width:506.25pt;height:116.1pt;z-index:4881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" fillcolor="white [3201]" stroked="f" strokeweight=".5pt">
                <v:textbox>
                  <w:txbxContent>
                    <w:p w14:paraId="52838C30" w14:textId="01E57113" w:rsidR="007372B2" w:rsidRDefault="007372B2">
                      <w:r>
                        <w:rPr>
                          <w:noProof/>
                        </w:rPr>
                        <w:drawing>
                          <wp:inline distT="0" distB="0" distL="0" distR="0" wp14:anchorId="5A2F9628" wp14:editId="5A85F24D">
                            <wp:extent cx="6174565" cy="1511559"/>
                            <wp:effectExtent l="0" t="0" r="0" b="0"/>
                            <wp:docPr id="476291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60917" name=""/>
                                    <pic:cNvPicPr/>
                                  </pic:nvPicPr>
                                  <pic:blipFill>
                                    <a:blip r:embed="rId104"/>
                                    <a:stretch>
                                      <a:fillRect/>
                                    </a:stretch>
                                  </pic:blipFill>
                                  <pic:spPr>
                                    <a:xfrm>
                                      <a:off x="0" y="0"/>
                                      <a:ext cx="6218375" cy="1522284"/>
                                    </a:xfrm>
                                    <a:prstGeom prst="rect">
                                      <a:avLst/>
                                    </a:prstGeom>
                                  </pic:spPr>
                                </pic:pic>
                              </a:graphicData>
                            </a:graphic>
                          </wp:inline>
                        </w:drawing>
                      </w:r>
                    </w:p>
                  </w:txbxContent>
                </v:textbox>
              </v:shape>
            </w:pict>
          </mc:Fallback>
        </mc:AlternateContent>
      </w:r>
    </w:p>
    <w:p w14:paraId="25C18762" w14:textId="77777777" w:rsidR="007E7A5E" w:rsidRDefault="007E7A5E">
      <w:pPr>
        <w:pStyle w:val="a3"/>
        <w:spacing w:before="29"/>
        <w:rPr>
          <w:rFonts w:ascii="Arial"/>
          <w:b/>
          <w:sz w:val="20"/>
          <w:lang w:val="uk-UA"/>
        </w:rPr>
      </w:pPr>
    </w:p>
    <w:p w14:paraId="48B0C91F" w14:textId="77777777" w:rsidR="007E7A5E" w:rsidRDefault="007E7A5E">
      <w:pPr>
        <w:pStyle w:val="a3"/>
        <w:spacing w:before="29"/>
        <w:rPr>
          <w:rFonts w:ascii="Arial"/>
          <w:b/>
          <w:sz w:val="20"/>
          <w:lang w:val="uk-UA"/>
        </w:rPr>
      </w:pPr>
    </w:p>
    <w:p w14:paraId="1567C2EB" w14:textId="11CCA31C" w:rsidR="007E7A5E" w:rsidRDefault="00F63387">
      <w:pPr>
        <w:pStyle w:val="a3"/>
        <w:spacing w:before="29"/>
        <w:rPr>
          <w:rFonts w:ascii="Arial"/>
          <w:b/>
          <w:sz w:val="20"/>
          <w:lang w:val="uk-UA"/>
        </w:rPr>
      </w:pPr>
      <w:r>
        <w:rPr>
          <w:rFonts w:ascii="Arial"/>
          <w:b/>
          <w:noProof/>
          <w:sz w:val="20"/>
          <w:lang w:val="uk-UA"/>
        </w:rPr>
        <mc:AlternateContent>
          <mc:Choice Requires="wps">
            <w:drawing>
              <wp:anchor distT="0" distB="0" distL="114300" distR="114300" simplePos="0" relativeHeight="488192512" behindDoc="0" locked="0" layoutInCell="1" allowOverlap="1" wp14:anchorId="729A226A" wp14:editId="6164246E">
                <wp:simplePos x="0" y="0"/>
                <wp:positionH relativeFrom="column">
                  <wp:posOffset>2464707</wp:posOffset>
                </wp:positionH>
                <wp:positionV relativeFrom="paragraph">
                  <wp:posOffset>139363</wp:posOffset>
                </wp:positionV>
                <wp:extent cx="1007706" cy="179148"/>
                <wp:effectExtent l="0" t="0" r="2540" b="0"/>
                <wp:wrapNone/>
                <wp:docPr id="1367080395" name="Поле 1932"/>
                <wp:cNvGraphicFramePr/>
                <a:graphic xmlns:a="http://schemas.openxmlformats.org/drawingml/2006/main">
                  <a:graphicData uri="http://schemas.microsoft.com/office/word/2010/wordprocessingShape">
                    <wps:wsp>
                      <wps:cNvSpPr txBox="1"/>
                      <wps:spPr>
                        <a:xfrm>
                          <a:off x="0" y="0"/>
                          <a:ext cx="1007706" cy="179148"/>
                        </a:xfrm>
                        <a:prstGeom prst="rect">
                          <a:avLst/>
                        </a:prstGeom>
                        <a:solidFill>
                          <a:schemeClr val="bg1"/>
                        </a:solidFill>
                        <a:ln w="6350">
                          <a:noFill/>
                        </a:ln>
                      </wps:spPr>
                      <wps:txbx>
                        <w:txbxContent>
                          <w:p w14:paraId="610372DD" w14:textId="12830531" w:rsidR="007372B2" w:rsidRPr="00F63387" w:rsidRDefault="007372B2" w:rsidP="00F63387">
                            <w:pPr>
                              <w:jc w:val="center"/>
                              <w:rPr>
                                <w:sz w:val="13"/>
                                <w:szCs w:val="13"/>
                                <w:lang w:val="uk-UA"/>
                              </w:rPr>
                            </w:pPr>
                            <w:r w:rsidRPr="00F63387">
                              <w:rPr>
                                <w:sz w:val="13"/>
                                <w:szCs w:val="13"/>
                                <w:lang w:val="uk-UA"/>
                              </w:rPr>
                              <w:t>Не підлягає оцінці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A226A" id="Поле 1932" o:spid="_x0000_s1142" type="#_x0000_t202" style="position:absolute;margin-left:194.05pt;margin-top:10.95pt;width:79.35pt;height:14.1pt;z-index:4881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" fillcolor="white [3212]" stroked="f" strokeweight=".5pt">
                <v:textbox>
                  <w:txbxContent>
                    <w:p w14:paraId="610372DD" w14:textId="12830531" w:rsidR="007372B2" w:rsidRPr="00F63387" w:rsidRDefault="007372B2" w:rsidP="00F63387">
                      <w:pPr>
                        <w:jc w:val="center"/>
                        <w:rPr>
                          <w:sz w:val="13"/>
                          <w:szCs w:val="13"/>
                          <w:lang w:val="uk-UA"/>
                        </w:rPr>
                      </w:pPr>
                      <w:r w:rsidRPr="00F63387">
                        <w:rPr>
                          <w:sz w:val="13"/>
                          <w:szCs w:val="13"/>
                          <w:lang w:val="uk-UA"/>
                        </w:rPr>
                        <w:t>Не підлягає оцінці</w:t>
                      </w:r>
                    </w:p>
                  </w:txbxContent>
                </v:textbox>
              </v:shape>
            </w:pict>
          </mc:Fallback>
        </mc:AlternateContent>
      </w:r>
    </w:p>
    <w:p w14:paraId="3D987ACD" w14:textId="77777777" w:rsidR="007E7A5E" w:rsidRDefault="007E7A5E">
      <w:pPr>
        <w:pStyle w:val="a3"/>
        <w:spacing w:before="29"/>
        <w:rPr>
          <w:rFonts w:ascii="Arial"/>
          <w:b/>
          <w:sz w:val="20"/>
          <w:lang w:val="uk-UA"/>
        </w:rPr>
      </w:pPr>
    </w:p>
    <w:p w14:paraId="63A5424A" w14:textId="77777777" w:rsidR="007E7A5E" w:rsidRDefault="007E7A5E">
      <w:pPr>
        <w:pStyle w:val="a3"/>
        <w:spacing w:before="29"/>
        <w:rPr>
          <w:rFonts w:ascii="Arial"/>
          <w:b/>
          <w:sz w:val="20"/>
          <w:lang w:val="uk-UA"/>
        </w:rPr>
      </w:pPr>
    </w:p>
    <w:p w14:paraId="7E1ABFAF" w14:textId="77777777" w:rsidR="007E7A5E" w:rsidRDefault="007E7A5E">
      <w:pPr>
        <w:pStyle w:val="a3"/>
        <w:spacing w:before="29"/>
        <w:rPr>
          <w:rFonts w:ascii="Arial"/>
          <w:b/>
          <w:sz w:val="20"/>
          <w:lang w:val="uk-UA"/>
        </w:rPr>
      </w:pPr>
    </w:p>
    <w:p w14:paraId="0E114DF9" w14:textId="77777777" w:rsidR="007E7A5E" w:rsidRPr="003C6DAE" w:rsidRDefault="007E7A5E">
      <w:pPr>
        <w:pStyle w:val="a3"/>
        <w:spacing w:before="29"/>
        <w:rPr>
          <w:rFonts w:ascii="Arial"/>
          <w:b/>
          <w:sz w:val="20"/>
          <w:lang w:val="uk-UA"/>
        </w:rPr>
      </w:pPr>
    </w:p>
    <w:p w14:paraId="670274B1" w14:textId="77777777" w:rsidR="00E05B98" w:rsidRPr="003C6DAE" w:rsidRDefault="00E05B98">
      <w:pPr>
        <w:pStyle w:val="a3"/>
        <w:spacing w:before="3"/>
        <w:rPr>
          <w:rFonts w:ascii="Arial"/>
          <w:b/>
          <w:sz w:val="4"/>
          <w:lang w:val="uk-UA"/>
        </w:rPr>
      </w:pPr>
    </w:p>
    <w:p w14:paraId="125E4F22" w14:textId="7E0DA5E4" w:rsidR="00E05B98" w:rsidRPr="003C6DAE" w:rsidRDefault="00E05B98">
      <w:pPr>
        <w:pStyle w:val="a3"/>
        <w:spacing w:before="7"/>
        <w:rPr>
          <w:rFonts w:ascii="Arial"/>
          <w:b/>
          <w:sz w:val="6"/>
          <w:lang w:val="uk-UA"/>
        </w:rPr>
      </w:pPr>
    </w:p>
    <w:p w14:paraId="4E49D3E3" w14:textId="77777777" w:rsidR="00F63387" w:rsidRDefault="00F63387" w:rsidP="002713E4">
      <w:pPr>
        <w:pStyle w:val="a3"/>
        <w:spacing w:before="137"/>
        <w:ind w:left="426"/>
        <w:jc w:val="both"/>
        <w:rPr>
          <w:sz w:val="16"/>
          <w:szCs w:val="16"/>
          <w:lang w:val="uk-UA"/>
        </w:rPr>
      </w:pPr>
    </w:p>
    <w:p w14:paraId="78615543" w14:textId="02784EC5" w:rsidR="00504CE7" w:rsidRDefault="00504CE7" w:rsidP="002713E4">
      <w:pPr>
        <w:pStyle w:val="a3"/>
        <w:spacing w:before="137"/>
        <w:ind w:left="426"/>
        <w:jc w:val="both"/>
        <w:rPr>
          <w:sz w:val="16"/>
          <w:szCs w:val="16"/>
          <w:lang w:val="uk-UA"/>
        </w:rPr>
      </w:pPr>
      <w:r w:rsidRPr="004E61DE">
        <w:rPr>
          <w:sz w:val="16"/>
          <w:szCs w:val="16"/>
          <w:lang w:val="uk-UA"/>
        </w:rPr>
        <w:t xml:space="preserve">ДІ: довірчий інтервал; DIAMA: Діагностика туберкульозу з </w:t>
      </w:r>
      <w:r w:rsidR="005A7875" w:rsidRPr="004E61DE">
        <w:rPr>
          <w:sz w:val="16"/>
          <w:szCs w:val="16"/>
          <w:lang w:val="uk-UA"/>
        </w:rPr>
        <w:t>множинною</w:t>
      </w:r>
      <w:r w:rsidRPr="004E61DE">
        <w:rPr>
          <w:sz w:val="16"/>
          <w:szCs w:val="16"/>
          <w:lang w:val="uk-UA"/>
        </w:rPr>
        <w:t xml:space="preserve"> лікарською стійкістю в Африці; ТМЧ: тестування на медикаментозну чутливість; FIND: Фонд інноваційн</w:t>
      </w:r>
      <w:r w:rsidR="00ED0266">
        <w:rPr>
          <w:sz w:val="16"/>
          <w:szCs w:val="16"/>
          <w:lang w:val="uk-UA"/>
        </w:rPr>
        <w:t>их</w:t>
      </w:r>
      <w:r w:rsidRPr="004E61DE">
        <w:rPr>
          <w:sz w:val="16"/>
          <w:szCs w:val="16"/>
          <w:lang w:val="uk-UA"/>
        </w:rPr>
        <w:t xml:space="preserve"> нов</w:t>
      </w:r>
      <w:r w:rsidR="00ED0266">
        <w:rPr>
          <w:sz w:val="16"/>
          <w:szCs w:val="16"/>
          <w:lang w:val="uk-UA"/>
        </w:rPr>
        <w:t>их</w:t>
      </w:r>
      <w:r w:rsidRPr="004E61DE">
        <w:rPr>
          <w:sz w:val="16"/>
          <w:szCs w:val="16"/>
          <w:lang w:val="uk-UA"/>
        </w:rPr>
        <w:t xml:space="preserve"> діагности</w:t>
      </w:r>
      <w:r w:rsidR="00ED0266">
        <w:rPr>
          <w:sz w:val="16"/>
          <w:szCs w:val="16"/>
          <w:lang w:val="uk-UA"/>
        </w:rPr>
        <w:t>чних засобів</w:t>
      </w:r>
      <w:r w:rsidRPr="004E61DE">
        <w:rPr>
          <w:sz w:val="16"/>
          <w:szCs w:val="16"/>
          <w:lang w:val="uk-UA"/>
        </w:rPr>
        <w:t>; FN: хибнонегативний результат; FP: хибнопозитивний результат; TБ: туберкульоз; TN: істинно негативний результат; TP: істинно позитивний результат.</w:t>
      </w:r>
    </w:p>
    <w:p w14:paraId="1FCD0FDE" w14:textId="63D4DE4E" w:rsidR="00E05B98" w:rsidRPr="00504CE7" w:rsidRDefault="00E05B98">
      <w:pPr>
        <w:spacing w:line="254" w:lineRule="auto"/>
        <w:ind w:left="567" w:right="139"/>
        <w:jc w:val="both"/>
        <w:rPr>
          <w:sz w:val="28"/>
          <w:szCs w:val="28"/>
          <w:lang w:val="uk-UA"/>
        </w:rPr>
      </w:pPr>
    </w:p>
    <w:p w14:paraId="3BD007D1" w14:textId="2C8AB33C" w:rsidR="00E05B98" w:rsidRPr="00821945" w:rsidRDefault="0042742C" w:rsidP="00504CE7">
      <w:pPr>
        <w:spacing w:line="276" w:lineRule="auto"/>
        <w:ind w:left="426" w:right="141"/>
        <w:jc w:val="both"/>
        <w:rPr>
          <w:rFonts w:ascii="Arial" w:hAnsi="Arial"/>
          <w:b/>
          <w:sz w:val="20"/>
          <w:szCs w:val="20"/>
          <w:lang w:val="uk-UA"/>
        </w:rPr>
      </w:pPr>
      <w:r w:rsidRPr="0042742C">
        <w:rPr>
          <w:sz w:val="20"/>
          <w:szCs w:val="20"/>
          <w:lang w:val="uk-UA"/>
        </w:rPr>
        <w:t xml:space="preserve">Чутливість тесту на виявлення стійкості до фторхінолонів у цих трьох дослідженнях коливалася від 83% до 100%, а специфічність - від 84% до 100%. </w:t>
      </w:r>
      <w:r w:rsidRPr="0042742C">
        <w:rPr>
          <w:b/>
          <w:bCs/>
          <w:sz w:val="20"/>
          <w:szCs w:val="20"/>
          <w:lang w:val="uk-UA"/>
        </w:rPr>
        <w:t>Об’єднана чутливість становила 93,1% (95% ДІ: 88,0–96,1%), а об’єднана специфічність становила 98,3% (95% ДІ: 94,5–99,5%)</w:t>
      </w:r>
      <w:r w:rsidRPr="0042742C">
        <w:rPr>
          <w:sz w:val="20"/>
          <w:szCs w:val="20"/>
          <w:lang w:val="uk-UA"/>
        </w:rPr>
        <w:t>.</w:t>
      </w:r>
    </w:p>
    <w:p w14:paraId="36C8A442" w14:textId="45DD4734" w:rsidR="00E05B98" w:rsidRPr="00821945" w:rsidRDefault="0042742C" w:rsidP="00ED0266">
      <w:pPr>
        <w:pStyle w:val="6"/>
        <w:spacing w:before="243" w:line="276" w:lineRule="auto"/>
        <w:ind w:left="1701" w:right="141" w:hanging="1275"/>
        <w:jc w:val="both"/>
        <w:rPr>
          <w:sz w:val="20"/>
          <w:szCs w:val="20"/>
          <w:lang w:val="uk-UA"/>
        </w:rPr>
      </w:pPr>
      <w:r>
        <w:rPr>
          <w:sz w:val="20"/>
          <w:szCs w:val="20"/>
          <w:lang w:val="uk-UA"/>
        </w:rPr>
        <w:t xml:space="preserve">Запитання </w:t>
      </w:r>
      <w:r w:rsidR="00B01E0C" w:rsidRPr="00821945">
        <w:rPr>
          <w:sz w:val="20"/>
          <w:szCs w:val="20"/>
          <w:lang w:val="uk-UA"/>
        </w:rPr>
        <w:t>PICO</w:t>
      </w:r>
      <w:r w:rsidR="00B01E0C" w:rsidRPr="00821945">
        <w:rPr>
          <w:spacing w:val="-9"/>
          <w:sz w:val="20"/>
          <w:szCs w:val="20"/>
          <w:lang w:val="uk-UA"/>
        </w:rPr>
        <w:t xml:space="preserve"> </w:t>
      </w:r>
      <w:r w:rsidR="00B01E0C" w:rsidRPr="00821945">
        <w:rPr>
          <w:sz w:val="20"/>
          <w:szCs w:val="20"/>
          <w:lang w:val="uk-UA"/>
        </w:rPr>
        <w:t>3:</w:t>
      </w:r>
      <w:r w:rsidR="00B01E0C" w:rsidRPr="00821945">
        <w:rPr>
          <w:spacing w:val="-9"/>
          <w:sz w:val="20"/>
          <w:szCs w:val="20"/>
          <w:lang w:val="uk-UA"/>
        </w:rPr>
        <w:t xml:space="preserve"> </w:t>
      </w:r>
      <w:r w:rsidRPr="0042742C">
        <w:rPr>
          <w:sz w:val="20"/>
          <w:szCs w:val="20"/>
          <w:lang w:val="uk-UA"/>
        </w:rPr>
        <w:t xml:space="preserve">Чи слід використовувати автоматизовані ТАНК низької складності на культуральних ізолятах у людей з ознаками та симптомами ТБ легень та виявленою стійкістю до рифампіцину для визначення стійкості до етіонаміду порівняно з проведенням тесту методом генотипічного секвенування промотора </w:t>
      </w:r>
      <w:r w:rsidRPr="0042742C">
        <w:rPr>
          <w:i/>
          <w:iCs/>
          <w:sz w:val="20"/>
          <w:szCs w:val="20"/>
          <w:lang w:val="uk-UA"/>
        </w:rPr>
        <w:t>inhA</w:t>
      </w:r>
      <w:r w:rsidRPr="0042742C">
        <w:rPr>
          <w:sz w:val="20"/>
          <w:szCs w:val="20"/>
          <w:lang w:val="uk-UA"/>
        </w:rPr>
        <w:t>?</w:t>
      </w:r>
    </w:p>
    <w:p w14:paraId="4A524ED1" w14:textId="224CA286" w:rsidR="00E05B98" w:rsidRPr="00821945" w:rsidRDefault="0042742C" w:rsidP="00504CE7">
      <w:pPr>
        <w:pStyle w:val="a3"/>
        <w:spacing w:before="219" w:line="276" w:lineRule="auto"/>
        <w:ind w:left="426" w:right="141"/>
        <w:jc w:val="both"/>
        <w:rPr>
          <w:sz w:val="20"/>
          <w:szCs w:val="20"/>
          <w:lang w:val="uk-UA"/>
        </w:rPr>
      </w:pPr>
      <w:r w:rsidRPr="0042742C">
        <w:rPr>
          <w:sz w:val="20"/>
          <w:szCs w:val="20"/>
          <w:lang w:val="uk-UA"/>
        </w:rPr>
        <w:t xml:space="preserve">Одне багатонаціональне дослідження </w:t>
      </w:r>
      <w:r w:rsidR="00ED0266">
        <w:rPr>
          <w:sz w:val="20"/>
          <w:szCs w:val="20"/>
          <w:lang w:val="uk-UA"/>
        </w:rPr>
        <w:t>(</w:t>
      </w:r>
      <w:r w:rsidRPr="0042742C">
        <w:rPr>
          <w:sz w:val="20"/>
          <w:szCs w:val="20"/>
          <w:lang w:val="uk-UA"/>
        </w:rPr>
        <w:t>434 учасник</w:t>
      </w:r>
      <w:r w:rsidR="00ED0266">
        <w:rPr>
          <w:sz w:val="20"/>
          <w:szCs w:val="20"/>
          <w:lang w:val="uk-UA"/>
        </w:rPr>
        <w:t>и)</w:t>
      </w:r>
      <w:r w:rsidRPr="0042742C">
        <w:rPr>
          <w:sz w:val="20"/>
          <w:szCs w:val="20"/>
          <w:lang w:val="uk-UA"/>
        </w:rPr>
        <w:t xml:space="preserve"> надало дані для оцінки стійкості до етіонаміду. Еталонним стандартом для цього дослідження був метод секвенування ДНК промотору </w:t>
      </w:r>
      <w:r w:rsidRPr="00ED0266">
        <w:rPr>
          <w:i/>
          <w:iCs/>
          <w:sz w:val="20"/>
          <w:szCs w:val="20"/>
          <w:lang w:val="uk-UA"/>
        </w:rPr>
        <w:t>inhA</w:t>
      </w:r>
      <w:r w:rsidRPr="0042742C">
        <w:rPr>
          <w:sz w:val="20"/>
          <w:szCs w:val="20"/>
          <w:lang w:val="uk-UA"/>
        </w:rPr>
        <w:t>. Кожен дослідницький центр в рамках проведення багатонаціонального дослідження аналізувався як окреме дослідження (</w:t>
      </w:r>
      <w:r>
        <w:rPr>
          <w:b/>
          <w:bCs/>
          <w:sz w:val="20"/>
          <w:szCs w:val="20"/>
          <w:lang w:val="uk-UA"/>
        </w:rPr>
        <w:t>Р</w:t>
      </w:r>
      <w:r w:rsidRPr="0042742C">
        <w:rPr>
          <w:b/>
          <w:bCs/>
          <w:sz w:val="20"/>
          <w:szCs w:val="20"/>
          <w:lang w:val="uk-UA"/>
        </w:rPr>
        <w:t>ис. 2.4.1.3</w:t>
      </w:r>
      <w:r w:rsidRPr="0042742C">
        <w:rPr>
          <w:sz w:val="20"/>
          <w:szCs w:val="20"/>
          <w:lang w:val="uk-UA"/>
        </w:rPr>
        <w:t>).</w:t>
      </w:r>
    </w:p>
    <w:p w14:paraId="52A695C5" w14:textId="5C72A059" w:rsidR="00E05B98" w:rsidRPr="003C6DAE" w:rsidRDefault="002713E4" w:rsidP="00504CE7">
      <w:pPr>
        <w:pStyle w:val="a3"/>
        <w:spacing w:before="171" w:line="276" w:lineRule="auto"/>
        <w:ind w:left="426" w:right="141"/>
        <w:jc w:val="both"/>
        <w:rPr>
          <w:lang w:val="uk-UA"/>
        </w:rPr>
      </w:pPr>
      <w:r w:rsidRPr="002713E4">
        <w:rPr>
          <w:spacing w:val="-2"/>
          <w:sz w:val="20"/>
          <w:szCs w:val="20"/>
          <w:lang w:val="uk-UA"/>
        </w:rPr>
        <w:t xml:space="preserve">Дослідження було оцінено як таке, що має дуже серйозний ризик систематичної похибки в домені еталонного стандарту, оскільки воно не включало всі локуси (тобто </w:t>
      </w:r>
      <w:r w:rsidRPr="00ED0266">
        <w:rPr>
          <w:i/>
          <w:iCs/>
          <w:spacing w:val="-2"/>
          <w:sz w:val="20"/>
          <w:szCs w:val="20"/>
          <w:lang w:val="uk-UA"/>
        </w:rPr>
        <w:t xml:space="preserve">ethA, ethR </w:t>
      </w:r>
      <w:r w:rsidR="005A7875">
        <w:rPr>
          <w:i/>
          <w:iCs/>
          <w:spacing w:val="-2"/>
          <w:sz w:val="20"/>
          <w:szCs w:val="20"/>
          <w:lang w:val="uk-UA"/>
        </w:rPr>
        <w:t xml:space="preserve"> </w:t>
      </w:r>
      <w:r w:rsidRPr="002713E4">
        <w:rPr>
          <w:spacing w:val="-2"/>
          <w:sz w:val="20"/>
          <w:szCs w:val="20"/>
          <w:lang w:val="uk-UA"/>
        </w:rPr>
        <w:t xml:space="preserve">та промотор </w:t>
      </w:r>
      <w:r w:rsidRPr="00ED0266">
        <w:rPr>
          <w:i/>
          <w:iCs/>
          <w:spacing w:val="-2"/>
          <w:sz w:val="20"/>
          <w:szCs w:val="20"/>
          <w:lang w:val="uk-UA"/>
        </w:rPr>
        <w:t>inhA</w:t>
      </w:r>
      <w:r w:rsidRPr="002713E4">
        <w:rPr>
          <w:spacing w:val="-2"/>
          <w:sz w:val="20"/>
          <w:szCs w:val="20"/>
          <w:lang w:val="uk-UA"/>
        </w:rPr>
        <w:t>), необхідні для того, щоб еталонний стандарт правильно класифікував цільовий стан. Порівняно з еталонним стандартом фенотипічного ТМЧ, об'єднана чутливість була значно нижчою та становила 51,7% (95% ДІ: 33,1–69,8%). Отже, достовірність доказів була знижена на два рівні через ризики систематичної похибки при визначенні як чутливості, так і специфічності.</w:t>
      </w:r>
      <w:r w:rsidR="00B01E0C" w:rsidRPr="00821945">
        <w:rPr>
          <w:sz w:val="20"/>
          <w:szCs w:val="20"/>
          <w:lang w:val="uk-UA"/>
        </w:rPr>
        <w:t xml:space="preserve"> </w:t>
      </w:r>
      <w:r w:rsidRPr="002713E4">
        <w:rPr>
          <w:sz w:val="20"/>
          <w:szCs w:val="20"/>
          <w:lang w:val="uk-UA"/>
        </w:rPr>
        <w:t xml:space="preserve">Крім того, 95%-ві довірчі інтервали були широкими як для чутливості, так і для специфічності, що могло призвести до різних рішень залежно від </w:t>
      </w:r>
      <w:r w:rsidR="00493D92">
        <w:rPr>
          <w:sz w:val="20"/>
          <w:szCs w:val="20"/>
          <w:lang w:val="uk-UA"/>
        </w:rPr>
        <w:t>того, які межі достовірності приймаються</w:t>
      </w:r>
      <w:r w:rsidRPr="002713E4">
        <w:rPr>
          <w:sz w:val="20"/>
          <w:szCs w:val="20"/>
          <w:lang w:val="uk-UA"/>
        </w:rPr>
        <w:t>. Отже, достовірність доказів була знижена на один рівень через неточність як для чутливості, так і для специфічності; якість (достовірність) доказів була оцінена як дуже низька як для чутливості, так і для специфічності.</w:t>
      </w:r>
    </w:p>
    <w:p w14:paraId="5BCC8B58" w14:textId="47698D12" w:rsidR="00E05B98" w:rsidRDefault="002713E4" w:rsidP="00504CE7">
      <w:pPr>
        <w:pStyle w:val="6"/>
        <w:spacing w:before="247" w:line="276" w:lineRule="auto"/>
        <w:ind w:left="426" w:right="141"/>
        <w:jc w:val="both"/>
        <w:rPr>
          <w:color w:val="636466"/>
          <w:sz w:val="20"/>
          <w:szCs w:val="20"/>
          <w:lang w:val="uk-UA"/>
        </w:rPr>
      </w:pPr>
      <w:r>
        <w:rPr>
          <w:color w:val="636466"/>
          <w:sz w:val="20"/>
          <w:szCs w:val="20"/>
          <w:lang w:val="uk-UA"/>
        </w:rPr>
        <w:t>Рис</w:t>
      </w:r>
      <w:r w:rsidR="00B01E0C" w:rsidRPr="00821945">
        <w:rPr>
          <w:color w:val="636466"/>
          <w:sz w:val="20"/>
          <w:szCs w:val="20"/>
          <w:lang w:val="uk-UA"/>
        </w:rPr>
        <w:t>.</w:t>
      </w:r>
      <w:r w:rsidR="00B01E0C" w:rsidRPr="00821945">
        <w:rPr>
          <w:color w:val="636466"/>
          <w:spacing w:val="-8"/>
          <w:sz w:val="20"/>
          <w:szCs w:val="20"/>
          <w:lang w:val="uk-UA"/>
        </w:rPr>
        <w:t xml:space="preserve"> </w:t>
      </w:r>
      <w:r w:rsidR="00B01E0C" w:rsidRPr="00821945">
        <w:rPr>
          <w:color w:val="636466"/>
          <w:sz w:val="20"/>
          <w:szCs w:val="20"/>
          <w:lang w:val="uk-UA"/>
        </w:rPr>
        <w:t>2.4.1.3</w:t>
      </w:r>
      <w:r w:rsidR="00B01E0C" w:rsidRPr="00821945">
        <w:rPr>
          <w:color w:val="636466"/>
          <w:spacing w:val="-8"/>
          <w:sz w:val="20"/>
          <w:szCs w:val="20"/>
          <w:lang w:val="uk-UA"/>
        </w:rPr>
        <w:t xml:space="preserve"> </w:t>
      </w:r>
      <w:r w:rsidRPr="002713E4">
        <w:rPr>
          <w:color w:val="636466"/>
          <w:sz w:val="20"/>
          <w:szCs w:val="20"/>
          <w:lang w:val="uk-UA"/>
        </w:rPr>
        <w:t>Лісова діаграм</w:t>
      </w:r>
      <w:r w:rsidR="00493D92">
        <w:rPr>
          <w:color w:val="636466"/>
          <w:sz w:val="20"/>
          <w:szCs w:val="20"/>
          <w:lang w:val="uk-UA"/>
        </w:rPr>
        <w:t>а</w:t>
      </w:r>
      <w:r w:rsidRPr="002713E4">
        <w:rPr>
          <w:color w:val="636466"/>
          <w:sz w:val="20"/>
          <w:szCs w:val="20"/>
          <w:lang w:val="uk-UA"/>
        </w:rPr>
        <w:t xml:space="preserve"> включених досліджень для виявлення стійкості до етіонаміду за допомогою генотипічного ТМЧ в якості  еталонного стандарту</w:t>
      </w:r>
    </w:p>
    <w:p w14:paraId="2ADD1C94" w14:textId="7E4DB7C8" w:rsidR="00A54827" w:rsidRDefault="00A54827">
      <w:pPr>
        <w:pStyle w:val="6"/>
        <w:spacing w:before="247" w:line="268" w:lineRule="auto"/>
        <w:rPr>
          <w:color w:val="636466"/>
          <w:sz w:val="20"/>
          <w:szCs w:val="20"/>
          <w:lang w:val="uk-UA"/>
        </w:rPr>
      </w:pPr>
      <w:r w:rsidRPr="003C6DAE">
        <w:rPr>
          <w:b w:val="0"/>
          <w:noProof/>
          <w:lang w:val="uk-UA"/>
        </w:rPr>
        <mc:AlternateContent>
          <mc:Choice Requires="wps">
            <w:drawing>
              <wp:anchor distT="0" distB="0" distL="114300" distR="114300" simplePos="0" relativeHeight="488163840" behindDoc="0" locked="0" layoutInCell="1" allowOverlap="1" wp14:anchorId="14B4C982" wp14:editId="1A27D708">
                <wp:simplePos x="0" y="0"/>
                <wp:positionH relativeFrom="margin">
                  <wp:posOffset>252428</wp:posOffset>
                </wp:positionH>
                <wp:positionV relativeFrom="paragraph">
                  <wp:posOffset>817</wp:posOffset>
                </wp:positionV>
                <wp:extent cx="6147089" cy="253365"/>
                <wp:effectExtent l="0" t="0" r="6350" b="0"/>
                <wp:wrapNone/>
                <wp:docPr id="607974911" name="Поле 607974911"/>
                <wp:cNvGraphicFramePr/>
                <a:graphic xmlns:a="http://schemas.openxmlformats.org/drawingml/2006/main">
                  <a:graphicData uri="http://schemas.microsoft.com/office/word/2010/wordprocessingShape">
                    <wps:wsp>
                      <wps:cNvSpPr txBox="1"/>
                      <wps:spPr>
                        <a:xfrm>
                          <a:off x="0" y="0"/>
                          <a:ext cx="6147089" cy="253365"/>
                        </a:xfrm>
                        <a:prstGeom prst="rect">
                          <a:avLst/>
                        </a:prstGeom>
                        <a:solidFill>
                          <a:schemeClr val="bg1"/>
                        </a:solidFill>
                        <a:ln w="6350">
                          <a:noFill/>
                        </a:ln>
                      </wps:spPr>
                      <wps:txbx>
                        <w:txbxContent>
                          <w:p w14:paraId="72827FD2" w14:textId="0B9CE94F" w:rsidR="007372B2" w:rsidRPr="00014B97" w:rsidRDefault="007372B2" w:rsidP="00A54827">
                            <w:pPr>
                              <w:rPr>
                                <w:rFonts w:asciiTheme="minorHAnsi" w:hAnsiTheme="minorHAnsi" w:cstheme="minorHAnsi"/>
                                <w:b/>
                                <w:sz w:val="14"/>
                                <w:szCs w:val="14"/>
                                <w:lang w:val="uk-UA"/>
                              </w:rPr>
                            </w:pPr>
                            <w:r>
                              <w:rPr>
                                <w:rFonts w:asciiTheme="minorHAnsi" w:hAnsiTheme="minorHAnsi" w:cstheme="minorHAnsi"/>
                                <w:b/>
                                <w:sz w:val="14"/>
                                <w:szCs w:val="14"/>
                                <w:lang w:val="uk-UA"/>
                              </w:rPr>
                              <w:t xml:space="preserve">Дослідження                                </w:t>
                            </w:r>
                            <w:r>
                              <w:rPr>
                                <w:rFonts w:asciiTheme="minorHAnsi" w:hAnsiTheme="minorHAnsi" w:cstheme="minorHAnsi"/>
                                <w:b/>
                                <w:sz w:val="14"/>
                                <w:szCs w:val="14"/>
                              </w:rPr>
                              <w:t xml:space="preserve">TP     </w:t>
                            </w:r>
                            <w:r>
                              <w:rPr>
                                <w:rFonts w:asciiTheme="minorHAnsi" w:hAnsiTheme="minorHAnsi" w:cstheme="minorHAnsi"/>
                                <w:b/>
                                <w:sz w:val="14"/>
                                <w:szCs w:val="14"/>
                                <w:lang w:val="uk-UA"/>
                              </w:rPr>
                              <w:t xml:space="preserve"> </w:t>
                            </w:r>
                            <w:r>
                              <w:rPr>
                                <w:rFonts w:asciiTheme="minorHAnsi" w:hAnsiTheme="minorHAnsi" w:cstheme="minorHAnsi"/>
                                <w:b/>
                                <w:sz w:val="14"/>
                                <w:szCs w:val="14"/>
                              </w:rPr>
                              <w:t xml:space="preserve">FP    </w:t>
                            </w:r>
                            <w:r>
                              <w:rPr>
                                <w:rFonts w:asciiTheme="minorHAnsi" w:hAnsiTheme="minorHAnsi" w:cstheme="minorHAnsi"/>
                                <w:b/>
                                <w:sz w:val="14"/>
                                <w:szCs w:val="14"/>
                                <w:lang w:val="uk-UA"/>
                              </w:rPr>
                              <w:t xml:space="preserve"> </w:t>
                            </w:r>
                            <w:r>
                              <w:rPr>
                                <w:rFonts w:asciiTheme="minorHAnsi" w:hAnsiTheme="minorHAnsi" w:cstheme="minorHAnsi"/>
                                <w:b/>
                                <w:sz w:val="14"/>
                                <w:szCs w:val="14"/>
                              </w:rPr>
                              <w:t xml:space="preserve">FN    TN         </w:t>
                            </w:r>
                            <w:r>
                              <w:rPr>
                                <w:rFonts w:asciiTheme="minorHAnsi" w:hAnsiTheme="minorHAnsi" w:cstheme="minorHAnsi"/>
                                <w:b/>
                                <w:sz w:val="14"/>
                                <w:szCs w:val="14"/>
                                <w:lang w:val="uk-UA"/>
                              </w:rPr>
                              <w:t xml:space="preserve"> </w:t>
                            </w:r>
                            <w:r w:rsidRPr="00014B97">
                              <w:rPr>
                                <w:rFonts w:asciiTheme="minorHAnsi" w:hAnsiTheme="minorHAnsi" w:cstheme="minorHAnsi"/>
                                <w:b/>
                                <w:sz w:val="14"/>
                                <w:szCs w:val="14"/>
                                <w:lang w:val="uk-UA"/>
                              </w:rPr>
                              <w:t xml:space="preserve">Чутливість (95% ДІ)   Специфічність (95% ДІ)  </w:t>
                            </w:r>
                            <w:r>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w:t>
                            </w:r>
                            <w:r w:rsidRPr="00014B97">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rPr>
                              <w:t xml:space="preserve">        </w:t>
                            </w:r>
                            <w:r>
                              <w:rPr>
                                <w:rFonts w:asciiTheme="minorHAnsi" w:hAnsiTheme="minorHAnsi" w:cstheme="minorHAnsi"/>
                                <w:b/>
                                <w:sz w:val="14"/>
                                <w:szCs w:val="14"/>
                                <w:lang w:val="uk-UA"/>
                              </w:rPr>
                              <w:t>С</w:t>
                            </w:r>
                            <w:r w:rsidRPr="00014B97">
                              <w:rPr>
                                <w:rFonts w:asciiTheme="minorHAnsi" w:hAnsiTheme="minorHAnsi" w:cstheme="minorHAnsi"/>
                                <w:b/>
                                <w:sz w:val="14"/>
                                <w:szCs w:val="14"/>
                                <w:lang w:val="uk-UA"/>
                              </w:rPr>
                              <w:t>пецифічність (95% 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4C982" id="Поле 607974911" o:spid="_x0000_s1143" type="#_x0000_t202" style="position:absolute;left:0;text-align:left;margin-left:19.9pt;margin-top:.05pt;width:484pt;height:19.95pt;z-index:48816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" fillcolor="white [3212]" stroked="f" strokeweight=".5pt">
                <v:textbox>
                  <w:txbxContent>
                    <w:p w14:paraId="72827FD2" w14:textId="0B9CE94F" w:rsidR="007372B2" w:rsidRPr="00014B97" w:rsidRDefault="007372B2" w:rsidP="00A54827">
                      <w:pPr>
                        <w:rPr>
                          <w:rFonts w:asciiTheme="minorHAnsi" w:hAnsiTheme="minorHAnsi" w:cstheme="minorHAnsi"/>
                          <w:b/>
                          <w:sz w:val="14"/>
                          <w:szCs w:val="14"/>
                          <w:lang w:val="uk-UA"/>
                        </w:rPr>
                      </w:pPr>
                      <w:r>
                        <w:rPr>
                          <w:rFonts w:asciiTheme="minorHAnsi" w:hAnsiTheme="minorHAnsi" w:cstheme="minorHAnsi"/>
                          <w:b/>
                          <w:sz w:val="14"/>
                          <w:szCs w:val="14"/>
                          <w:lang w:val="uk-UA"/>
                        </w:rPr>
                        <w:t xml:space="preserve">Дослідження                                </w:t>
                      </w:r>
                      <w:r>
                        <w:rPr>
                          <w:rFonts w:asciiTheme="minorHAnsi" w:hAnsiTheme="minorHAnsi" w:cstheme="minorHAnsi"/>
                          <w:b/>
                          <w:sz w:val="14"/>
                          <w:szCs w:val="14"/>
                        </w:rPr>
                        <w:t xml:space="preserve">TP     </w:t>
                      </w:r>
                      <w:r>
                        <w:rPr>
                          <w:rFonts w:asciiTheme="minorHAnsi" w:hAnsiTheme="minorHAnsi" w:cstheme="minorHAnsi"/>
                          <w:b/>
                          <w:sz w:val="14"/>
                          <w:szCs w:val="14"/>
                          <w:lang w:val="uk-UA"/>
                        </w:rPr>
                        <w:t xml:space="preserve"> </w:t>
                      </w:r>
                      <w:r>
                        <w:rPr>
                          <w:rFonts w:asciiTheme="minorHAnsi" w:hAnsiTheme="minorHAnsi" w:cstheme="minorHAnsi"/>
                          <w:b/>
                          <w:sz w:val="14"/>
                          <w:szCs w:val="14"/>
                        </w:rPr>
                        <w:t xml:space="preserve">FP    </w:t>
                      </w:r>
                      <w:r>
                        <w:rPr>
                          <w:rFonts w:asciiTheme="minorHAnsi" w:hAnsiTheme="minorHAnsi" w:cstheme="minorHAnsi"/>
                          <w:b/>
                          <w:sz w:val="14"/>
                          <w:szCs w:val="14"/>
                          <w:lang w:val="uk-UA"/>
                        </w:rPr>
                        <w:t xml:space="preserve"> </w:t>
                      </w:r>
                      <w:r>
                        <w:rPr>
                          <w:rFonts w:asciiTheme="minorHAnsi" w:hAnsiTheme="minorHAnsi" w:cstheme="minorHAnsi"/>
                          <w:b/>
                          <w:sz w:val="14"/>
                          <w:szCs w:val="14"/>
                        </w:rPr>
                        <w:t xml:space="preserve">FN    TN         </w:t>
                      </w:r>
                      <w:r>
                        <w:rPr>
                          <w:rFonts w:asciiTheme="minorHAnsi" w:hAnsiTheme="minorHAnsi" w:cstheme="minorHAnsi"/>
                          <w:b/>
                          <w:sz w:val="14"/>
                          <w:szCs w:val="14"/>
                          <w:lang w:val="uk-UA"/>
                        </w:rPr>
                        <w:t xml:space="preserve"> </w:t>
                      </w:r>
                      <w:r w:rsidRPr="00014B97">
                        <w:rPr>
                          <w:rFonts w:asciiTheme="minorHAnsi" w:hAnsiTheme="minorHAnsi" w:cstheme="minorHAnsi"/>
                          <w:b/>
                          <w:sz w:val="14"/>
                          <w:szCs w:val="14"/>
                          <w:lang w:val="uk-UA"/>
                        </w:rPr>
                        <w:t xml:space="preserve">Чутливість (95% ДІ)   Специфічність (95% ДІ)  </w:t>
                      </w:r>
                      <w:r>
                        <w:rPr>
                          <w:rFonts w:asciiTheme="minorHAnsi" w:hAnsiTheme="minorHAnsi" w:cstheme="minorHAnsi"/>
                          <w:b/>
                          <w:sz w:val="14"/>
                          <w:szCs w:val="14"/>
                        </w:rPr>
                        <w:t xml:space="preserve">     </w:t>
                      </w:r>
                      <w:r>
                        <w:rPr>
                          <w:rFonts w:asciiTheme="minorHAnsi" w:hAnsiTheme="minorHAnsi" w:cstheme="minorHAnsi"/>
                          <w:b/>
                          <w:sz w:val="14"/>
                          <w:szCs w:val="14"/>
                          <w:lang w:val="uk-UA"/>
                        </w:rPr>
                        <w:t xml:space="preserve">           </w:t>
                      </w:r>
                      <w:r w:rsidRPr="00014B97">
                        <w:rPr>
                          <w:rFonts w:asciiTheme="minorHAnsi" w:hAnsiTheme="minorHAnsi" w:cstheme="minorHAnsi"/>
                          <w:b/>
                          <w:sz w:val="14"/>
                          <w:szCs w:val="14"/>
                          <w:lang w:val="uk-UA"/>
                        </w:rPr>
                        <w:t xml:space="preserve">Чутливість (95% ДІ)  </w:t>
                      </w:r>
                      <w:r>
                        <w:rPr>
                          <w:rFonts w:asciiTheme="minorHAnsi" w:hAnsiTheme="minorHAnsi" w:cstheme="minorHAnsi"/>
                          <w:b/>
                          <w:sz w:val="14"/>
                          <w:szCs w:val="14"/>
                        </w:rPr>
                        <w:t xml:space="preserve">        </w:t>
                      </w:r>
                      <w:r>
                        <w:rPr>
                          <w:rFonts w:asciiTheme="minorHAnsi" w:hAnsiTheme="minorHAnsi" w:cstheme="minorHAnsi"/>
                          <w:b/>
                          <w:sz w:val="14"/>
                          <w:szCs w:val="14"/>
                          <w:lang w:val="uk-UA"/>
                        </w:rPr>
                        <w:t>С</w:t>
                      </w:r>
                      <w:r w:rsidRPr="00014B97">
                        <w:rPr>
                          <w:rFonts w:asciiTheme="minorHAnsi" w:hAnsiTheme="minorHAnsi" w:cstheme="minorHAnsi"/>
                          <w:b/>
                          <w:sz w:val="14"/>
                          <w:szCs w:val="14"/>
                          <w:lang w:val="uk-UA"/>
                        </w:rPr>
                        <w:t>пецифічність (95% ДІ)</w:t>
                      </w:r>
                    </w:p>
                  </w:txbxContent>
                </v:textbox>
                <w10:wrap anchorx="margin"/>
              </v:shape>
            </w:pict>
          </mc:Fallback>
        </mc:AlternateContent>
      </w:r>
      <w:r>
        <w:rPr>
          <w:b w:val="0"/>
          <w:noProof/>
          <w:lang w:val="uk-UA"/>
        </w:rPr>
        <mc:AlternateContent>
          <mc:Choice Requires="wps">
            <w:drawing>
              <wp:anchor distT="0" distB="0" distL="114300" distR="114300" simplePos="0" relativeHeight="488164864" behindDoc="0" locked="0" layoutInCell="1" allowOverlap="1" wp14:anchorId="10AFA729" wp14:editId="5D9943E4">
                <wp:simplePos x="0" y="0"/>
                <wp:positionH relativeFrom="column">
                  <wp:posOffset>198107</wp:posOffset>
                </wp:positionH>
                <wp:positionV relativeFrom="paragraph">
                  <wp:posOffset>168307</wp:posOffset>
                </wp:positionV>
                <wp:extent cx="6201624" cy="758454"/>
                <wp:effectExtent l="0" t="0" r="8890" b="3810"/>
                <wp:wrapNone/>
                <wp:docPr id="1830725795" name="Поле 2155"/>
                <wp:cNvGraphicFramePr/>
                <a:graphic xmlns:a="http://schemas.openxmlformats.org/drawingml/2006/main">
                  <a:graphicData uri="http://schemas.microsoft.com/office/word/2010/wordprocessingShape">
                    <wps:wsp>
                      <wps:cNvSpPr txBox="1"/>
                      <wps:spPr>
                        <a:xfrm>
                          <a:off x="0" y="0"/>
                          <a:ext cx="6201624" cy="758454"/>
                        </a:xfrm>
                        <a:prstGeom prst="rect">
                          <a:avLst/>
                        </a:prstGeom>
                        <a:solidFill>
                          <a:schemeClr val="lt1"/>
                        </a:solidFill>
                        <a:ln w="6350">
                          <a:noFill/>
                        </a:ln>
                      </wps:spPr>
                      <wps:txbx>
                        <w:txbxContent>
                          <w:p w14:paraId="7407CF9B" w14:textId="051955A6" w:rsidR="007372B2" w:rsidRPr="00A54827" w:rsidRDefault="007372B2">
                            <w:pPr>
                              <w:rPr>
                                <w:lang w:val="uk-UA"/>
                              </w:rPr>
                            </w:pPr>
                            <w:r>
                              <w:rPr>
                                <w:noProof/>
                              </w:rPr>
                              <w:drawing>
                                <wp:inline distT="0" distB="0" distL="0" distR="0" wp14:anchorId="37F784E4" wp14:editId="7ABB1E2C">
                                  <wp:extent cx="6012180" cy="708660"/>
                                  <wp:effectExtent l="0" t="0" r="7620" b="0"/>
                                  <wp:docPr id="322279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86083" name=""/>
                                          <pic:cNvPicPr/>
                                        </pic:nvPicPr>
                                        <pic:blipFill>
                                          <a:blip r:embed="rId105"/>
                                          <a:stretch>
                                            <a:fillRect/>
                                          </a:stretch>
                                        </pic:blipFill>
                                        <pic:spPr>
                                          <a:xfrm>
                                            <a:off x="0" y="0"/>
                                            <a:ext cx="6012180" cy="708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AFA729" id="Поле 2155" o:spid="_x0000_s1144" type="#_x0000_t202" style="position:absolute;left:0;text-align:left;margin-left:15.6pt;margin-top:13.25pt;width:488.3pt;height:59.7pt;z-index:48816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ftMAIAAFw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" fillcolor="white [3201]" stroked="f" strokeweight=".5pt">
                <v:textbox>
                  <w:txbxContent>
                    <w:p w14:paraId="7407CF9B" w14:textId="051955A6" w:rsidR="007372B2" w:rsidRPr="00A54827" w:rsidRDefault="007372B2">
                      <w:pPr>
                        <w:rPr>
                          <w:lang w:val="uk-UA"/>
                        </w:rPr>
                      </w:pPr>
                      <w:r>
                        <w:rPr>
                          <w:noProof/>
                        </w:rPr>
                        <w:drawing>
                          <wp:inline distT="0" distB="0" distL="0" distR="0" wp14:anchorId="37F784E4" wp14:editId="7ABB1E2C">
                            <wp:extent cx="6012180" cy="708660"/>
                            <wp:effectExtent l="0" t="0" r="7620" b="0"/>
                            <wp:docPr id="322279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86083" name=""/>
                                    <pic:cNvPicPr/>
                                  </pic:nvPicPr>
                                  <pic:blipFill>
                                    <a:blip r:embed="rId105"/>
                                    <a:stretch>
                                      <a:fillRect/>
                                    </a:stretch>
                                  </pic:blipFill>
                                  <pic:spPr>
                                    <a:xfrm>
                                      <a:off x="0" y="0"/>
                                      <a:ext cx="6012180" cy="708660"/>
                                    </a:xfrm>
                                    <a:prstGeom prst="rect">
                                      <a:avLst/>
                                    </a:prstGeom>
                                  </pic:spPr>
                                </pic:pic>
                              </a:graphicData>
                            </a:graphic>
                          </wp:inline>
                        </w:drawing>
                      </w:r>
                    </w:p>
                  </w:txbxContent>
                </v:textbox>
              </v:shape>
            </w:pict>
          </mc:Fallback>
        </mc:AlternateContent>
      </w:r>
    </w:p>
    <w:p w14:paraId="67DCB050" w14:textId="3CAABA5B" w:rsidR="00A54827" w:rsidRPr="00821945" w:rsidRDefault="00A54827">
      <w:pPr>
        <w:pStyle w:val="6"/>
        <w:spacing w:before="247" w:line="268" w:lineRule="auto"/>
        <w:rPr>
          <w:sz w:val="20"/>
          <w:szCs w:val="20"/>
          <w:lang w:val="uk-UA"/>
        </w:rPr>
      </w:pPr>
    </w:p>
    <w:p w14:paraId="510A9492" w14:textId="1572A2AF" w:rsidR="00E05B98" w:rsidRPr="003C6DAE" w:rsidRDefault="00E05B98">
      <w:pPr>
        <w:pStyle w:val="a3"/>
        <w:spacing w:before="5"/>
        <w:rPr>
          <w:rFonts w:ascii="Arial"/>
          <w:b/>
          <w:sz w:val="17"/>
          <w:lang w:val="uk-UA"/>
        </w:rPr>
      </w:pPr>
    </w:p>
    <w:p w14:paraId="1DF28A92" w14:textId="256FFB0F" w:rsidR="00E05B98" w:rsidRDefault="00E05B98">
      <w:pPr>
        <w:pStyle w:val="a3"/>
        <w:rPr>
          <w:rFonts w:ascii="Arial"/>
          <w:b/>
          <w:sz w:val="24"/>
          <w:lang w:val="uk-UA"/>
        </w:rPr>
      </w:pPr>
    </w:p>
    <w:p w14:paraId="22ADCF7B" w14:textId="347E6CCC" w:rsidR="00E05B98" w:rsidRPr="00821945" w:rsidRDefault="002713E4">
      <w:pPr>
        <w:spacing w:line="254" w:lineRule="auto"/>
        <w:ind w:left="567" w:right="140"/>
        <w:jc w:val="both"/>
        <w:rPr>
          <w:sz w:val="16"/>
          <w:szCs w:val="16"/>
          <w:lang w:val="uk-UA"/>
        </w:rPr>
      </w:pPr>
      <w:r w:rsidRPr="004E61DE">
        <w:rPr>
          <w:sz w:val="16"/>
          <w:szCs w:val="16"/>
          <w:lang w:val="uk-UA"/>
        </w:rPr>
        <w:t>ДІ: довірчий інтервал;</w:t>
      </w:r>
      <w:r w:rsidR="005A7875">
        <w:rPr>
          <w:sz w:val="16"/>
          <w:szCs w:val="16"/>
          <w:lang w:val="uk-UA"/>
        </w:rPr>
        <w:t xml:space="preserve"> </w:t>
      </w:r>
      <w:r w:rsidRPr="004E61DE">
        <w:rPr>
          <w:sz w:val="16"/>
          <w:szCs w:val="16"/>
          <w:lang w:val="uk-UA"/>
        </w:rPr>
        <w:t>ТМЧ: тестування на медикаментозну чутливість; FIND: Фонд інноваційн</w:t>
      </w:r>
      <w:r w:rsidR="00493D92">
        <w:rPr>
          <w:sz w:val="16"/>
          <w:szCs w:val="16"/>
          <w:lang w:val="uk-UA"/>
        </w:rPr>
        <w:t>их</w:t>
      </w:r>
      <w:r w:rsidRPr="004E61DE">
        <w:rPr>
          <w:sz w:val="16"/>
          <w:szCs w:val="16"/>
          <w:lang w:val="uk-UA"/>
        </w:rPr>
        <w:t xml:space="preserve"> нов</w:t>
      </w:r>
      <w:r w:rsidR="00493D92">
        <w:rPr>
          <w:sz w:val="16"/>
          <w:szCs w:val="16"/>
          <w:lang w:val="uk-UA"/>
        </w:rPr>
        <w:t>их</w:t>
      </w:r>
      <w:r w:rsidRPr="004E61DE">
        <w:rPr>
          <w:sz w:val="16"/>
          <w:szCs w:val="16"/>
          <w:lang w:val="uk-UA"/>
        </w:rPr>
        <w:t xml:space="preserve"> діагности</w:t>
      </w:r>
      <w:r w:rsidR="00493D92">
        <w:rPr>
          <w:sz w:val="16"/>
          <w:szCs w:val="16"/>
          <w:lang w:val="uk-UA"/>
        </w:rPr>
        <w:t>чних засобів</w:t>
      </w:r>
      <w:r w:rsidRPr="004E61DE">
        <w:rPr>
          <w:sz w:val="16"/>
          <w:szCs w:val="16"/>
          <w:lang w:val="uk-UA"/>
        </w:rPr>
        <w:t>; FN: хибнонегативний результат; FP: хибнопозитивний результат; TБ: туберкульоз; TN: істинно негативний результат; TP: істинно позитивний результат.</w:t>
      </w:r>
    </w:p>
    <w:p w14:paraId="3125D317" w14:textId="77777777" w:rsidR="00E05B98" w:rsidRDefault="00E05B98">
      <w:pPr>
        <w:spacing w:line="254" w:lineRule="auto"/>
        <w:jc w:val="both"/>
        <w:rPr>
          <w:sz w:val="18"/>
          <w:lang w:val="uk-UA"/>
        </w:rPr>
      </w:pPr>
    </w:p>
    <w:p w14:paraId="00FD5DB5" w14:textId="565D2EAB" w:rsidR="002713E4" w:rsidRPr="003C6DAE" w:rsidRDefault="002713E4">
      <w:pPr>
        <w:spacing w:line="254" w:lineRule="auto"/>
        <w:jc w:val="both"/>
        <w:rPr>
          <w:sz w:val="18"/>
          <w:lang w:val="uk-UA"/>
        </w:rPr>
        <w:sectPr w:rsidR="002713E4" w:rsidRPr="003C6DAE" w:rsidSect="004E61DE">
          <w:pgSz w:w="11910" w:h="16840"/>
          <w:pgMar w:top="1320" w:right="853" w:bottom="760" w:left="850" w:header="0" w:footer="573" w:gutter="0"/>
          <w:cols w:space="720"/>
        </w:sectPr>
      </w:pPr>
    </w:p>
    <w:p w14:paraId="168DD69B" w14:textId="3B828339" w:rsidR="00E05B98" w:rsidRPr="00821945" w:rsidRDefault="002713E4" w:rsidP="002713E4">
      <w:pPr>
        <w:spacing w:line="276" w:lineRule="auto"/>
        <w:ind w:left="567"/>
        <w:jc w:val="both"/>
        <w:rPr>
          <w:rFonts w:ascii="Arial" w:hAnsi="Arial"/>
          <w:b/>
          <w:sz w:val="20"/>
          <w:szCs w:val="20"/>
          <w:lang w:val="uk-UA"/>
        </w:rPr>
      </w:pPr>
      <w:r w:rsidRPr="002713E4">
        <w:rPr>
          <w:w w:val="105"/>
          <w:sz w:val="20"/>
          <w:szCs w:val="20"/>
          <w:lang w:val="uk-UA"/>
        </w:rPr>
        <w:lastRenderedPageBreak/>
        <w:t>Чутливість тесту на виявлення стійкост</w:t>
      </w:r>
      <w:r w:rsidR="00493D92">
        <w:rPr>
          <w:w w:val="105"/>
          <w:sz w:val="20"/>
          <w:szCs w:val="20"/>
          <w:lang w:val="uk-UA"/>
        </w:rPr>
        <w:t>і</w:t>
      </w:r>
      <w:r w:rsidRPr="002713E4">
        <w:rPr>
          <w:w w:val="105"/>
          <w:sz w:val="20"/>
          <w:szCs w:val="20"/>
          <w:lang w:val="uk-UA"/>
        </w:rPr>
        <w:t xml:space="preserve"> до етіонаміду в цьому дослідженні коливалася від 78% до 100%, а специфічність - від 97% до 100%. </w:t>
      </w:r>
      <w:r w:rsidRPr="002713E4">
        <w:rPr>
          <w:b/>
          <w:bCs/>
          <w:w w:val="105"/>
          <w:sz w:val="20"/>
          <w:szCs w:val="20"/>
          <w:lang w:val="uk-UA"/>
        </w:rPr>
        <w:t>Об'єднана чутливість становила 98,0% (95% ДІ: 74,2–99,9%), а об'єднана специфічність - 99,7% (95% ДІ: 83,5–100,0%)</w:t>
      </w:r>
      <w:r w:rsidRPr="002713E4">
        <w:rPr>
          <w:w w:val="105"/>
          <w:sz w:val="20"/>
          <w:szCs w:val="20"/>
          <w:lang w:val="uk-UA"/>
        </w:rPr>
        <w:t>.</w:t>
      </w:r>
    </w:p>
    <w:p w14:paraId="5A6EB004" w14:textId="18F0E73E" w:rsidR="00E05B98" w:rsidRPr="00821945" w:rsidRDefault="002713E4" w:rsidP="00493D92">
      <w:pPr>
        <w:pStyle w:val="6"/>
        <w:spacing w:before="243" w:line="276" w:lineRule="auto"/>
        <w:ind w:left="1843" w:hanging="1276"/>
        <w:jc w:val="both"/>
        <w:rPr>
          <w:sz w:val="20"/>
          <w:szCs w:val="20"/>
          <w:lang w:val="uk-UA"/>
        </w:rPr>
      </w:pPr>
      <w:r>
        <w:rPr>
          <w:sz w:val="20"/>
          <w:szCs w:val="20"/>
          <w:lang w:val="uk-UA"/>
        </w:rPr>
        <w:t xml:space="preserve">Запитання </w:t>
      </w:r>
      <w:r w:rsidR="00B01E0C" w:rsidRPr="00821945">
        <w:rPr>
          <w:sz w:val="20"/>
          <w:szCs w:val="20"/>
          <w:lang w:val="uk-UA"/>
        </w:rPr>
        <w:t>PICO</w:t>
      </w:r>
      <w:r w:rsidR="00B01E0C" w:rsidRPr="00821945">
        <w:rPr>
          <w:spacing w:val="-10"/>
          <w:sz w:val="20"/>
          <w:szCs w:val="20"/>
          <w:lang w:val="uk-UA"/>
        </w:rPr>
        <w:t xml:space="preserve"> </w:t>
      </w:r>
      <w:r w:rsidR="00B01E0C" w:rsidRPr="00821945">
        <w:rPr>
          <w:sz w:val="20"/>
          <w:szCs w:val="20"/>
          <w:lang w:val="uk-UA"/>
        </w:rPr>
        <w:t>4:</w:t>
      </w:r>
      <w:r w:rsidR="00B01E0C" w:rsidRPr="00821945">
        <w:rPr>
          <w:spacing w:val="-10"/>
          <w:sz w:val="20"/>
          <w:szCs w:val="20"/>
          <w:lang w:val="uk-UA"/>
        </w:rPr>
        <w:t xml:space="preserve"> </w:t>
      </w:r>
      <w:r w:rsidR="00492A56" w:rsidRPr="00492A56">
        <w:rPr>
          <w:sz w:val="20"/>
          <w:szCs w:val="20"/>
          <w:lang w:val="uk-UA"/>
        </w:rPr>
        <w:t>Чи слід використовувати автоматизовані ТАНК низької складності на зразка</w:t>
      </w:r>
      <w:r w:rsidR="00493D92">
        <w:rPr>
          <w:sz w:val="20"/>
          <w:szCs w:val="20"/>
          <w:lang w:val="uk-UA"/>
        </w:rPr>
        <w:t>х</w:t>
      </w:r>
      <w:r w:rsidR="00492A56" w:rsidRPr="00492A56">
        <w:rPr>
          <w:sz w:val="20"/>
          <w:szCs w:val="20"/>
          <w:lang w:val="uk-UA"/>
        </w:rPr>
        <w:t xml:space="preserve"> мокротиння у людей з ознаками та симптомами ТБ легень та виявленою стійкістю до рифампіцину для визначення наявності стійкості до амікацину порівняно з фенотипічним ТМЧ на основі бакпосіву?</w:t>
      </w:r>
    </w:p>
    <w:p w14:paraId="63637862" w14:textId="6A9A7A20" w:rsidR="00E05B98" w:rsidRPr="00821945" w:rsidRDefault="00492A56" w:rsidP="002713E4">
      <w:pPr>
        <w:pStyle w:val="a3"/>
        <w:spacing w:before="219" w:line="276" w:lineRule="auto"/>
        <w:ind w:left="567"/>
        <w:jc w:val="both"/>
        <w:rPr>
          <w:sz w:val="20"/>
          <w:szCs w:val="20"/>
          <w:lang w:val="uk-UA"/>
        </w:rPr>
      </w:pPr>
      <w:r w:rsidRPr="00492A56">
        <w:rPr>
          <w:sz w:val="20"/>
          <w:szCs w:val="20"/>
          <w:lang w:val="uk-UA"/>
        </w:rPr>
        <w:t xml:space="preserve">Одне багатонаціональне дослідження, яке включало 490 учасників, надало дані для оцінки стійкості до амікацину. Еталонним стандартом для цього дослідження був </w:t>
      </w:r>
      <w:proofErr w:type="spellStart"/>
      <w:r w:rsidRPr="00492A56">
        <w:rPr>
          <w:sz w:val="20"/>
          <w:szCs w:val="20"/>
          <w:lang w:val="uk-UA"/>
        </w:rPr>
        <w:t>фенотип</w:t>
      </w:r>
      <w:r w:rsidR="006875E3">
        <w:rPr>
          <w:sz w:val="20"/>
          <w:szCs w:val="20"/>
          <w:lang w:val="uk-UA"/>
        </w:rPr>
        <w:t>ов</w:t>
      </w:r>
      <w:r w:rsidRPr="00492A56">
        <w:rPr>
          <w:sz w:val="20"/>
          <w:szCs w:val="20"/>
          <w:lang w:val="uk-UA"/>
        </w:rPr>
        <w:t>ий</w:t>
      </w:r>
      <w:proofErr w:type="spellEnd"/>
      <w:r w:rsidRPr="00492A56">
        <w:rPr>
          <w:sz w:val="20"/>
          <w:szCs w:val="20"/>
          <w:lang w:val="uk-UA"/>
        </w:rPr>
        <w:t xml:space="preserve"> ТМЧ на основі бакпосіву. </w:t>
      </w:r>
      <w:r>
        <w:rPr>
          <w:sz w:val="20"/>
          <w:szCs w:val="20"/>
          <w:lang w:val="uk-UA"/>
        </w:rPr>
        <w:t xml:space="preserve">Проведене кожним центром </w:t>
      </w:r>
      <w:r w:rsidRPr="00492A56">
        <w:rPr>
          <w:sz w:val="20"/>
          <w:szCs w:val="20"/>
          <w:lang w:val="uk-UA"/>
        </w:rPr>
        <w:t>дослідження в рамках цього багатонаціонального дослідження</w:t>
      </w:r>
      <w:r>
        <w:rPr>
          <w:sz w:val="20"/>
          <w:szCs w:val="20"/>
          <w:lang w:val="uk-UA"/>
        </w:rPr>
        <w:t>,</w:t>
      </w:r>
      <w:r w:rsidRPr="00492A56">
        <w:rPr>
          <w:sz w:val="20"/>
          <w:szCs w:val="20"/>
          <w:lang w:val="uk-UA"/>
        </w:rPr>
        <w:t xml:space="preserve"> аналізували як окреме дослідження (</w:t>
      </w:r>
      <w:r w:rsidRPr="00492A56">
        <w:rPr>
          <w:b/>
          <w:bCs/>
          <w:sz w:val="20"/>
          <w:szCs w:val="20"/>
          <w:lang w:val="uk-UA"/>
        </w:rPr>
        <w:t>Рис. 2.4.1.4</w:t>
      </w:r>
      <w:r w:rsidRPr="00492A56">
        <w:rPr>
          <w:sz w:val="20"/>
          <w:szCs w:val="20"/>
          <w:lang w:val="uk-UA"/>
        </w:rPr>
        <w:t>).</w:t>
      </w:r>
    </w:p>
    <w:p w14:paraId="7A0E318C" w14:textId="01AA516E" w:rsidR="00E05B98" w:rsidRPr="003C6DAE" w:rsidRDefault="00492A56" w:rsidP="002713E4">
      <w:pPr>
        <w:pStyle w:val="a3"/>
        <w:spacing w:before="169" w:line="276" w:lineRule="auto"/>
        <w:ind w:left="567"/>
        <w:jc w:val="both"/>
        <w:rPr>
          <w:lang w:val="uk-UA"/>
        </w:rPr>
      </w:pPr>
      <w:r w:rsidRPr="00492A56">
        <w:rPr>
          <w:spacing w:val="-2"/>
          <w:sz w:val="20"/>
          <w:szCs w:val="20"/>
          <w:lang w:val="uk-UA"/>
        </w:rPr>
        <w:t>95% ДІ для чутливості був широким, що могло призвести до прийняття різних рішень стосовно істинно позитивних і хибнонегативних результатів, залежно від передбачувани</w:t>
      </w:r>
      <w:r w:rsidR="00493D92">
        <w:rPr>
          <w:spacing w:val="-2"/>
          <w:sz w:val="20"/>
          <w:szCs w:val="20"/>
          <w:lang w:val="uk-UA"/>
        </w:rPr>
        <w:t>х</w:t>
      </w:r>
      <w:r w:rsidRPr="00492A56">
        <w:rPr>
          <w:spacing w:val="-2"/>
          <w:sz w:val="20"/>
          <w:szCs w:val="20"/>
          <w:lang w:val="uk-UA"/>
        </w:rPr>
        <w:t xml:space="preserve"> меж достовірності. Крім того, було небагато учасників із стійкістю до амікацину, які зробили свій внесок у цей аналіз спостережуваної чутливості. Отже, достовірність доказів була знижена на два рівні через неточність. Крім того, було небагато учасників із стійкістю до амікацину, які внесли свій внесок у цей аналіз для спостережуваної чутливості. Отже, достовірність доказів була знижена на два рівні через неточність; якість (достовірність) доказів оцінили як низьку для чутливості та як високу для специфічності.</w:t>
      </w:r>
    </w:p>
    <w:p w14:paraId="0D8FC1EC" w14:textId="59DBD680" w:rsidR="00E05B98" w:rsidRPr="00821945" w:rsidRDefault="00492A56" w:rsidP="002713E4">
      <w:pPr>
        <w:pStyle w:val="6"/>
        <w:spacing w:before="247" w:line="276" w:lineRule="auto"/>
        <w:jc w:val="both"/>
        <w:rPr>
          <w:sz w:val="20"/>
          <w:szCs w:val="20"/>
          <w:lang w:val="uk-UA"/>
        </w:rPr>
      </w:pPr>
      <w:r>
        <w:rPr>
          <w:color w:val="636466"/>
          <w:sz w:val="20"/>
          <w:szCs w:val="20"/>
          <w:lang w:val="uk-UA"/>
        </w:rPr>
        <w:t>Рис</w:t>
      </w:r>
      <w:r w:rsidR="00B01E0C" w:rsidRPr="00821945">
        <w:rPr>
          <w:color w:val="636466"/>
          <w:sz w:val="20"/>
          <w:szCs w:val="20"/>
          <w:lang w:val="uk-UA"/>
        </w:rPr>
        <w:t>.</w:t>
      </w:r>
      <w:r w:rsidR="00B01E0C" w:rsidRPr="00821945">
        <w:rPr>
          <w:color w:val="636466"/>
          <w:spacing w:val="-13"/>
          <w:sz w:val="20"/>
          <w:szCs w:val="20"/>
          <w:lang w:val="uk-UA"/>
        </w:rPr>
        <w:t xml:space="preserve"> </w:t>
      </w:r>
      <w:r w:rsidR="00B01E0C" w:rsidRPr="00821945">
        <w:rPr>
          <w:color w:val="636466"/>
          <w:sz w:val="20"/>
          <w:szCs w:val="20"/>
          <w:lang w:val="uk-UA"/>
        </w:rPr>
        <w:t>2.4.1.4</w:t>
      </w:r>
      <w:r w:rsidR="00B01E0C" w:rsidRPr="00821945">
        <w:rPr>
          <w:color w:val="636466"/>
          <w:spacing w:val="-13"/>
          <w:sz w:val="20"/>
          <w:szCs w:val="20"/>
          <w:lang w:val="uk-UA"/>
        </w:rPr>
        <w:t xml:space="preserve"> </w:t>
      </w:r>
      <w:r w:rsidR="004C79ED" w:rsidRPr="004C79ED">
        <w:rPr>
          <w:color w:val="636466"/>
          <w:sz w:val="20"/>
          <w:szCs w:val="20"/>
          <w:lang w:val="uk-UA"/>
        </w:rPr>
        <w:t>Лісова діаграм</w:t>
      </w:r>
      <w:r w:rsidR="009A68C5">
        <w:rPr>
          <w:color w:val="636466"/>
          <w:sz w:val="20"/>
          <w:szCs w:val="20"/>
          <w:lang w:val="uk-UA"/>
        </w:rPr>
        <w:t>а</w:t>
      </w:r>
      <w:r w:rsidR="004C79ED" w:rsidRPr="004C79ED">
        <w:rPr>
          <w:color w:val="636466"/>
          <w:sz w:val="20"/>
          <w:szCs w:val="20"/>
          <w:lang w:val="uk-UA"/>
        </w:rPr>
        <w:t xml:space="preserve"> включених досліджень для виявлення </w:t>
      </w:r>
      <w:r w:rsidR="005A7875" w:rsidRPr="004C79ED">
        <w:rPr>
          <w:color w:val="636466"/>
          <w:sz w:val="20"/>
          <w:szCs w:val="20"/>
          <w:lang w:val="uk-UA"/>
        </w:rPr>
        <w:t>стійкості</w:t>
      </w:r>
      <w:r w:rsidR="004C79ED" w:rsidRPr="004C79ED">
        <w:rPr>
          <w:color w:val="636466"/>
          <w:sz w:val="20"/>
          <w:szCs w:val="20"/>
          <w:lang w:val="uk-UA"/>
        </w:rPr>
        <w:t xml:space="preserve"> до амікацину з допомогою фенотипічного ТМЧ на основі бакпосіву в якості еталонного стандарту</w:t>
      </w:r>
    </w:p>
    <w:p w14:paraId="5F0F2A2A" w14:textId="05274347" w:rsidR="00E05B98" w:rsidRPr="003C6DAE" w:rsidRDefault="00A54827">
      <w:pPr>
        <w:pStyle w:val="a3"/>
        <w:spacing w:before="3"/>
        <w:rPr>
          <w:rFonts w:ascii="Arial"/>
          <w:b/>
          <w:sz w:val="20"/>
          <w:lang w:val="uk-UA"/>
        </w:rPr>
      </w:pPr>
      <w:r w:rsidRPr="003C6DAE">
        <w:rPr>
          <w:rFonts w:ascii="Arial"/>
          <w:b/>
          <w:noProof/>
          <w:sz w:val="24"/>
          <w:lang w:val="uk-UA"/>
        </w:rPr>
        <mc:AlternateContent>
          <mc:Choice Requires="wps">
            <w:drawing>
              <wp:anchor distT="0" distB="0" distL="114300" distR="114300" simplePos="0" relativeHeight="488166912" behindDoc="0" locked="0" layoutInCell="1" allowOverlap="1" wp14:anchorId="122F86D4" wp14:editId="6DB82AE4">
                <wp:simplePos x="0" y="0"/>
                <wp:positionH relativeFrom="margin">
                  <wp:posOffset>238848</wp:posOffset>
                </wp:positionH>
                <wp:positionV relativeFrom="paragraph">
                  <wp:posOffset>1396</wp:posOffset>
                </wp:positionV>
                <wp:extent cx="6138250" cy="253497"/>
                <wp:effectExtent l="0" t="0" r="0" b="0"/>
                <wp:wrapNone/>
                <wp:docPr id="1159385002" name="Поле 1159385002"/>
                <wp:cNvGraphicFramePr/>
                <a:graphic xmlns:a="http://schemas.openxmlformats.org/drawingml/2006/main">
                  <a:graphicData uri="http://schemas.microsoft.com/office/word/2010/wordprocessingShape">
                    <wps:wsp>
                      <wps:cNvSpPr txBox="1"/>
                      <wps:spPr>
                        <a:xfrm>
                          <a:off x="0" y="0"/>
                          <a:ext cx="6138250" cy="253497"/>
                        </a:xfrm>
                        <a:prstGeom prst="rect">
                          <a:avLst/>
                        </a:prstGeom>
                        <a:solidFill>
                          <a:schemeClr val="bg1"/>
                        </a:solidFill>
                        <a:ln w="6350">
                          <a:noFill/>
                        </a:ln>
                      </wps:spPr>
                      <wps:txbx>
                        <w:txbxContent>
                          <w:p w14:paraId="039EEA37" w14:textId="687915FE" w:rsidR="007372B2" w:rsidRPr="00A54827" w:rsidRDefault="007372B2" w:rsidP="00A54827">
                            <w:pPr>
                              <w:rPr>
                                <w:rFonts w:asciiTheme="minorHAnsi" w:hAnsiTheme="minorHAnsi" w:cstheme="minorHAnsi"/>
                                <w:b/>
                                <w:sz w:val="16"/>
                                <w:szCs w:val="16"/>
                                <w:lang w:val="uk-UA"/>
                              </w:rPr>
                            </w:pPr>
                            <w:r w:rsidRPr="00A54827">
                              <w:rPr>
                                <w:rFonts w:asciiTheme="minorHAnsi" w:hAnsiTheme="minorHAnsi" w:cstheme="minorHAnsi"/>
                                <w:b/>
                                <w:sz w:val="16"/>
                                <w:szCs w:val="16"/>
                                <w:lang w:val="uk-UA"/>
                              </w:rPr>
                              <w:t xml:space="preserve">Дослідження                        </w:t>
                            </w:r>
                            <w:r w:rsidRPr="00A54827">
                              <w:rPr>
                                <w:rFonts w:asciiTheme="minorHAnsi" w:hAnsiTheme="minorHAnsi" w:cstheme="minorHAnsi"/>
                                <w:b/>
                                <w:sz w:val="16"/>
                                <w:szCs w:val="16"/>
                              </w:rPr>
                              <w:t xml:space="preserve">TP    FP    FN    TN     </w:t>
                            </w:r>
                            <w:r w:rsidRPr="00A54827">
                              <w:rPr>
                                <w:rFonts w:asciiTheme="minorHAnsi" w:hAnsiTheme="minorHAnsi" w:cstheme="minorHAnsi"/>
                                <w:b/>
                                <w:sz w:val="16"/>
                                <w:szCs w:val="16"/>
                                <w:lang w:val="uk-UA"/>
                              </w:rPr>
                              <w:t xml:space="preserve">Чутливість (95% ДІ)   Специфічність (95% ДІ)  </w:t>
                            </w:r>
                            <w:r w:rsidRPr="00A54827">
                              <w:rPr>
                                <w:rFonts w:asciiTheme="minorHAnsi" w:hAnsiTheme="minorHAnsi" w:cstheme="minorHAnsi"/>
                                <w:b/>
                                <w:sz w:val="16"/>
                                <w:szCs w:val="16"/>
                              </w:rPr>
                              <w:t xml:space="preserve">  </w:t>
                            </w:r>
                            <w:r w:rsidRPr="00A54827">
                              <w:rPr>
                                <w:rFonts w:asciiTheme="minorHAnsi" w:hAnsiTheme="minorHAnsi" w:cstheme="minorHAnsi"/>
                                <w:b/>
                                <w:sz w:val="16"/>
                                <w:szCs w:val="16"/>
                                <w:lang w:val="uk-UA"/>
                              </w:rPr>
                              <w:t xml:space="preserve">Чутливість (95% ДІ)  </w:t>
                            </w:r>
                            <w:r w:rsidRPr="00A54827">
                              <w:rPr>
                                <w:rFonts w:asciiTheme="minorHAnsi" w:hAnsiTheme="minorHAnsi" w:cstheme="minorHAnsi"/>
                                <w:b/>
                                <w:sz w:val="16"/>
                                <w:szCs w:val="16"/>
                              </w:rPr>
                              <w:t xml:space="preserve">    </w:t>
                            </w:r>
                            <w:r w:rsidRPr="00A54827">
                              <w:rPr>
                                <w:rFonts w:asciiTheme="minorHAnsi" w:hAnsiTheme="minorHAnsi" w:cstheme="minorHAnsi"/>
                                <w:b/>
                                <w:sz w:val="16"/>
                                <w:szCs w:val="16"/>
                                <w:lang w:val="uk-UA"/>
                              </w:rPr>
                              <w:t>Специфічність (95% ДІ)</w:t>
                            </w:r>
                          </w:p>
                          <w:p w14:paraId="538DD784" w14:textId="77777777" w:rsidR="007372B2" w:rsidRDefault="007372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F86D4" id="Поле 1159385002" o:spid="_x0000_s1145" type="#_x0000_t202" style="position:absolute;margin-left:18.8pt;margin-top:.1pt;width:483.35pt;height:19.95pt;z-index:48816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" fillcolor="white [3212]" stroked="f" strokeweight=".5pt">
                <v:textbox>
                  <w:txbxContent>
                    <w:p w14:paraId="039EEA37" w14:textId="687915FE" w:rsidR="007372B2" w:rsidRPr="00A54827" w:rsidRDefault="007372B2" w:rsidP="00A54827">
                      <w:pPr>
                        <w:rPr>
                          <w:rFonts w:asciiTheme="minorHAnsi" w:hAnsiTheme="minorHAnsi" w:cstheme="minorHAnsi"/>
                          <w:b/>
                          <w:sz w:val="16"/>
                          <w:szCs w:val="16"/>
                          <w:lang w:val="uk-UA"/>
                        </w:rPr>
                      </w:pPr>
                      <w:r w:rsidRPr="00A54827">
                        <w:rPr>
                          <w:rFonts w:asciiTheme="minorHAnsi" w:hAnsiTheme="minorHAnsi" w:cstheme="minorHAnsi"/>
                          <w:b/>
                          <w:sz w:val="16"/>
                          <w:szCs w:val="16"/>
                          <w:lang w:val="uk-UA"/>
                        </w:rPr>
                        <w:t xml:space="preserve">Дослідження                        </w:t>
                      </w:r>
                      <w:r w:rsidRPr="00A54827">
                        <w:rPr>
                          <w:rFonts w:asciiTheme="minorHAnsi" w:hAnsiTheme="minorHAnsi" w:cstheme="minorHAnsi"/>
                          <w:b/>
                          <w:sz w:val="16"/>
                          <w:szCs w:val="16"/>
                        </w:rPr>
                        <w:t xml:space="preserve">TP    FP    FN    TN     </w:t>
                      </w:r>
                      <w:r w:rsidRPr="00A54827">
                        <w:rPr>
                          <w:rFonts w:asciiTheme="minorHAnsi" w:hAnsiTheme="minorHAnsi" w:cstheme="minorHAnsi"/>
                          <w:b/>
                          <w:sz w:val="16"/>
                          <w:szCs w:val="16"/>
                          <w:lang w:val="uk-UA"/>
                        </w:rPr>
                        <w:t xml:space="preserve">Чутливість (95% ДІ)   Специфічність (95% ДІ)  </w:t>
                      </w:r>
                      <w:r w:rsidRPr="00A54827">
                        <w:rPr>
                          <w:rFonts w:asciiTheme="minorHAnsi" w:hAnsiTheme="minorHAnsi" w:cstheme="minorHAnsi"/>
                          <w:b/>
                          <w:sz w:val="16"/>
                          <w:szCs w:val="16"/>
                        </w:rPr>
                        <w:t xml:space="preserve">  </w:t>
                      </w:r>
                      <w:r w:rsidRPr="00A54827">
                        <w:rPr>
                          <w:rFonts w:asciiTheme="minorHAnsi" w:hAnsiTheme="minorHAnsi" w:cstheme="minorHAnsi"/>
                          <w:b/>
                          <w:sz w:val="16"/>
                          <w:szCs w:val="16"/>
                          <w:lang w:val="uk-UA"/>
                        </w:rPr>
                        <w:t xml:space="preserve">Чутливість (95% ДІ)  </w:t>
                      </w:r>
                      <w:r w:rsidRPr="00A54827">
                        <w:rPr>
                          <w:rFonts w:asciiTheme="minorHAnsi" w:hAnsiTheme="minorHAnsi" w:cstheme="minorHAnsi"/>
                          <w:b/>
                          <w:sz w:val="16"/>
                          <w:szCs w:val="16"/>
                        </w:rPr>
                        <w:t xml:space="preserve">    </w:t>
                      </w:r>
                      <w:r w:rsidRPr="00A54827">
                        <w:rPr>
                          <w:rFonts w:asciiTheme="minorHAnsi" w:hAnsiTheme="minorHAnsi" w:cstheme="minorHAnsi"/>
                          <w:b/>
                          <w:sz w:val="16"/>
                          <w:szCs w:val="16"/>
                          <w:lang w:val="uk-UA"/>
                        </w:rPr>
                        <w:t>Специфічність (95% ДІ)</w:t>
                      </w:r>
                    </w:p>
                    <w:p w14:paraId="538DD784" w14:textId="77777777" w:rsidR="007372B2" w:rsidRDefault="007372B2"/>
                  </w:txbxContent>
                </v:textbox>
                <w10:wrap anchorx="margin"/>
              </v:shape>
            </w:pict>
          </mc:Fallback>
        </mc:AlternateContent>
      </w:r>
    </w:p>
    <w:p w14:paraId="734D5D2C" w14:textId="3C93ADF8" w:rsidR="00E05B98" w:rsidRDefault="00F63387" w:rsidP="00A54827">
      <w:pPr>
        <w:pStyle w:val="a3"/>
        <w:spacing w:before="178"/>
        <w:ind w:left="426"/>
        <w:rPr>
          <w:rFonts w:ascii="Arial"/>
          <w:b/>
          <w:sz w:val="24"/>
          <w:lang w:val="uk-UA"/>
        </w:rPr>
      </w:pPr>
      <w:r>
        <w:rPr>
          <w:rFonts w:ascii="Arial"/>
          <w:b/>
          <w:noProof/>
          <w:sz w:val="24"/>
          <w:lang w:val="uk-UA"/>
        </w:rPr>
        <mc:AlternateContent>
          <mc:Choice Requires="wps">
            <w:drawing>
              <wp:anchor distT="0" distB="0" distL="114300" distR="114300" simplePos="0" relativeHeight="488193536" behindDoc="0" locked="0" layoutInCell="1" allowOverlap="1" wp14:anchorId="3BA69396" wp14:editId="087AB7AA">
                <wp:simplePos x="0" y="0"/>
                <wp:positionH relativeFrom="column">
                  <wp:posOffset>2281827</wp:posOffset>
                </wp:positionH>
                <wp:positionV relativeFrom="paragraph">
                  <wp:posOffset>94783</wp:posOffset>
                </wp:positionV>
                <wp:extent cx="1007706" cy="309777"/>
                <wp:effectExtent l="0" t="0" r="2540" b="0"/>
                <wp:wrapNone/>
                <wp:docPr id="1407733916" name="Поле 1933"/>
                <wp:cNvGraphicFramePr/>
                <a:graphic xmlns:a="http://schemas.openxmlformats.org/drawingml/2006/main">
                  <a:graphicData uri="http://schemas.microsoft.com/office/word/2010/wordprocessingShape">
                    <wps:wsp>
                      <wps:cNvSpPr txBox="1"/>
                      <wps:spPr>
                        <a:xfrm>
                          <a:off x="0" y="0"/>
                          <a:ext cx="1007706" cy="309777"/>
                        </a:xfrm>
                        <a:prstGeom prst="rect">
                          <a:avLst/>
                        </a:prstGeom>
                        <a:solidFill>
                          <a:schemeClr val="bg1"/>
                        </a:solidFill>
                        <a:ln w="6350">
                          <a:noFill/>
                        </a:ln>
                      </wps:spPr>
                      <wps:txbx>
                        <w:txbxContent>
                          <w:p w14:paraId="465E64C9" w14:textId="31D85E6A" w:rsidR="007372B2" w:rsidRDefault="007372B2">
                            <w:pPr>
                              <w:rPr>
                                <w:sz w:val="14"/>
                                <w:szCs w:val="14"/>
                                <w:lang w:val="uk-UA"/>
                              </w:rPr>
                            </w:pPr>
                            <w:r>
                              <w:rPr>
                                <w:sz w:val="14"/>
                                <w:szCs w:val="14"/>
                                <w:lang w:val="uk-UA"/>
                              </w:rPr>
                              <w:t>Не підлягає оцінці</w:t>
                            </w:r>
                          </w:p>
                          <w:p w14:paraId="6E0B2C79" w14:textId="77777777" w:rsidR="007372B2" w:rsidRPr="00F63387" w:rsidRDefault="007372B2">
                            <w:pPr>
                              <w:rPr>
                                <w:sz w:val="2"/>
                                <w:szCs w:val="2"/>
                                <w:lang w:val="uk-UA"/>
                              </w:rPr>
                            </w:pPr>
                          </w:p>
                          <w:p w14:paraId="4D7805E2" w14:textId="77777777" w:rsidR="007372B2" w:rsidRPr="00F63387" w:rsidRDefault="007372B2" w:rsidP="00F63387">
                            <w:pPr>
                              <w:rPr>
                                <w:sz w:val="14"/>
                                <w:szCs w:val="14"/>
                                <w:lang w:val="uk-UA"/>
                              </w:rPr>
                            </w:pPr>
                            <w:r>
                              <w:rPr>
                                <w:sz w:val="14"/>
                                <w:szCs w:val="14"/>
                                <w:lang w:val="uk-UA"/>
                              </w:rPr>
                              <w:t>Не підлягає оцінці</w:t>
                            </w:r>
                          </w:p>
                          <w:p w14:paraId="6B87A2A8" w14:textId="77777777" w:rsidR="007372B2" w:rsidRPr="00F63387" w:rsidRDefault="007372B2">
                            <w:pPr>
                              <w:rPr>
                                <w:sz w:val="14"/>
                                <w:szCs w:val="14"/>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69396" id="Поле 1933" o:spid="_x0000_s1146" type="#_x0000_t202" style="position:absolute;left:0;text-align:left;margin-left:179.65pt;margin-top:7.45pt;width:79.35pt;height:24.4pt;z-index:4881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" fillcolor="white [3212]" stroked="f" strokeweight=".5pt">
                <v:textbox>
                  <w:txbxContent>
                    <w:p w14:paraId="465E64C9" w14:textId="31D85E6A" w:rsidR="007372B2" w:rsidRDefault="007372B2">
                      <w:pPr>
                        <w:rPr>
                          <w:sz w:val="14"/>
                          <w:szCs w:val="14"/>
                          <w:lang w:val="uk-UA"/>
                        </w:rPr>
                      </w:pPr>
                      <w:r>
                        <w:rPr>
                          <w:sz w:val="14"/>
                          <w:szCs w:val="14"/>
                          <w:lang w:val="uk-UA"/>
                        </w:rPr>
                        <w:t>Не підлягає оцінці</w:t>
                      </w:r>
                    </w:p>
                    <w:p w14:paraId="6E0B2C79" w14:textId="77777777" w:rsidR="007372B2" w:rsidRPr="00F63387" w:rsidRDefault="007372B2">
                      <w:pPr>
                        <w:rPr>
                          <w:sz w:val="2"/>
                          <w:szCs w:val="2"/>
                          <w:lang w:val="uk-UA"/>
                        </w:rPr>
                      </w:pPr>
                    </w:p>
                    <w:p w14:paraId="4D7805E2" w14:textId="77777777" w:rsidR="007372B2" w:rsidRPr="00F63387" w:rsidRDefault="007372B2" w:rsidP="00F63387">
                      <w:pPr>
                        <w:rPr>
                          <w:sz w:val="14"/>
                          <w:szCs w:val="14"/>
                          <w:lang w:val="uk-UA"/>
                        </w:rPr>
                      </w:pPr>
                      <w:r>
                        <w:rPr>
                          <w:sz w:val="14"/>
                          <w:szCs w:val="14"/>
                          <w:lang w:val="uk-UA"/>
                        </w:rPr>
                        <w:t>Не підлягає оцінці</w:t>
                      </w:r>
                    </w:p>
                    <w:p w14:paraId="6B87A2A8" w14:textId="77777777" w:rsidR="007372B2" w:rsidRPr="00F63387" w:rsidRDefault="007372B2">
                      <w:pPr>
                        <w:rPr>
                          <w:sz w:val="14"/>
                          <w:szCs w:val="14"/>
                          <w:lang w:val="uk-UA"/>
                        </w:rPr>
                      </w:pPr>
                    </w:p>
                  </w:txbxContent>
                </v:textbox>
              </v:shape>
            </w:pict>
          </mc:Fallback>
        </mc:AlternateContent>
      </w:r>
      <w:r w:rsidR="00A54827" w:rsidRPr="00A54827">
        <w:rPr>
          <w:rFonts w:ascii="Arial"/>
          <w:b/>
          <w:noProof/>
          <w:sz w:val="24"/>
          <w:lang w:val="uk-UA"/>
        </w:rPr>
        <w:drawing>
          <wp:inline distT="0" distB="0" distL="0" distR="0" wp14:anchorId="6D6BC02E" wp14:editId="02636E59">
            <wp:extent cx="5979814" cy="953746"/>
            <wp:effectExtent l="0" t="0" r="1905" b="0"/>
            <wp:docPr id="19245664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66491" name=""/>
                    <pic:cNvPicPr/>
                  </pic:nvPicPr>
                  <pic:blipFill>
                    <a:blip r:embed="rId106"/>
                    <a:stretch>
                      <a:fillRect/>
                    </a:stretch>
                  </pic:blipFill>
                  <pic:spPr>
                    <a:xfrm>
                      <a:off x="0" y="0"/>
                      <a:ext cx="6009282" cy="958446"/>
                    </a:xfrm>
                    <a:prstGeom prst="rect">
                      <a:avLst/>
                    </a:prstGeom>
                  </pic:spPr>
                </pic:pic>
              </a:graphicData>
            </a:graphic>
          </wp:inline>
        </w:drawing>
      </w:r>
    </w:p>
    <w:p w14:paraId="33ACC885" w14:textId="77777777" w:rsidR="00A54827" w:rsidRDefault="00A54827" w:rsidP="004C79ED">
      <w:pPr>
        <w:spacing w:before="1" w:line="254" w:lineRule="auto"/>
        <w:ind w:left="567" w:right="139"/>
        <w:jc w:val="both"/>
        <w:rPr>
          <w:sz w:val="16"/>
          <w:szCs w:val="16"/>
          <w:lang w:val="uk-UA"/>
        </w:rPr>
      </w:pPr>
    </w:p>
    <w:p w14:paraId="79FC67B4" w14:textId="3DB618B1" w:rsidR="00E05B98" w:rsidRPr="003C6DAE" w:rsidRDefault="004C79ED" w:rsidP="004C79ED">
      <w:pPr>
        <w:spacing w:before="1" w:line="254" w:lineRule="auto"/>
        <w:ind w:left="567" w:right="139"/>
        <w:jc w:val="both"/>
        <w:rPr>
          <w:sz w:val="18"/>
          <w:lang w:val="uk-UA"/>
        </w:rPr>
      </w:pPr>
      <w:r w:rsidRPr="004E61DE">
        <w:rPr>
          <w:sz w:val="16"/>
          <w:szCs w:val="16"/>
          <w:lang w:val="uk-UA"/>
        </w:rPr>
        <w:t>ДІ: довірчий інтервал; DIAMA: Діагностика туберкульозу з множинн</w:t>
      </w:r>
      <w:r w:rsidR="009A68C5">
        <w:rPr>
          <w:sz w:val="16"/>
          <w:szCs w:val="16"/>
          <w:lang w:val="uk-UA"/>
        </w:rPr>
        <w:t>о</w:t>
      </w:r>
      <w:r w:rsidRPr="004E61DE">
        <w:rPr>
          <w:sz w:val="16"/>
          <w:szCs w:val="16"/>
          <w:lang w:val="uk-UA"/>
        </w:rPr>
        <w:t>ю лікарською стійкістю в Африці; ТМЧ: тестування на медикаментозну чутливість; FIND: Фонд інноваційн</w:t>
      </w:r>
      <w:r w:rsidR="009A68C5">
        <w:rPr>
          <w:sz w:val="16"/>
          <w:szCs w:val="16"/>
          <w:lang w:val="uk-UA"/>
        </w:rPr>
        <w:t>их</w:t>
      </w:r>
      <w:r w:rsidRPr="004E61DE">
        <w:rPr>
          <w:sz w:val="16"/>
          <w:szCs w:val="16"/>
          <w:lang w:val="uk-UA"/>
        </w:rPr>
        <w:t xml:space="preserve"> нов</w:t>
      </w:r>
      <w:r w:rsidR="009A68C5">
        <w:rPr>
          <w:sz w:val="16"/>
          <w:szCs w:val="16"/>
          <w:lang w:val="uk-UA"/>
        </w:rPr>
        <w:t>их</w:t>
      </w:r>
      <w:r w:rsidRPr="004E61DE">
        <w:rPr>
          <w:sz w:val="16"/>
          <w:szCs w:val="16"/>
          <w:lang w:val="uk-UA"/>
        </w:rPr>
        <w:t xml:space="preserve"> діагности</w:t>
      </w:r>
      <w:r w:rsidR="009A68C5">
        <w:rPr>
          <w:sz w:val="16"/>
          <w:szCs w:val="16"/>
          <w:lang w:val="uk-UA"/>
        </w:rPr>
        <w:t>чних засобів</w:t>
      </w:r>
      <w:r w:rsidRPr="004E61DE">
        <w:rPr>
          <w:sz w:val="16"/>
          <w:szCs w:val="16"/>
          <w:lang w:val="uk-UA"/>
        </w:rPr>
        <w:t>; FN: хибнонегативний результат; FP: хибнопозитивний результат; TБ: туберкульоз; TN: істинно негативний результат; TP: істинно позитивний результат.</w:t>
      </w:r>
    </w:p>
    <w:p w14:paraId="4CC3A1C4" w14:textId="77777777" w:rsidR="004C79ED" w:rsidRDefault="004C79ED" w:rsidP="004C79ED">
      <w:pPr>
        <w:spacing w:before="1" w:line="295" w:lineRule="auto"/>
        <w:ind w:left="567" w:right="141"/>
        <w:jc w:val="both"/>
        <w:rPr>
          <w:sz w:val="20"/>
          <w:szCs w:val="20"/>
          <w:lang w:val="uk-UA"/>
        </w:rPr>
      </w:pPr>
    </w:p>
    <w:p w14:paraId="3A1796D5" w14:textId="640938D4" w:rsidR="00E05B98" w:rsidRPr="00821945" w:rsidRDefault="004C79ED" w:rsidP="004C79ED">
      <w:pPr>
        <w:spacing w:line="252" w:lineRule="exact"/>
        <w:ind w:left="567"/>
        <w:jc w:val="both"/>
        <w:rPr>
          <w:rFonts w:ascii="Arial" w:hAnsi="Arial"/>
          <w:b/>
          <w:sz w:val="20"/>
          <w:szCs w:val="20"/>
          <w:lang w:val="uk-UA"/>
        </w:rPr>
      </w:pPr>
      <w:r w:rsidRPr="004C79ED">
        <w:rPr>
          <w:sz w:val="20"/>
          <w:szCs w:val="20"/>
          <w:lang w:val="uk-UA"/>
        </w:rPr>
        <w:t xml:space="preserve">Чутливість тесту </w:t>
      </w:r>
      <w:r>
        <w:rPr>
          <w:sz w:val="20"/>
          <w:szCs w:val="20"/>
          <w:lang w:val="uk-UA"/>
        </w:rPr>
        <w:t>для</w:t>
      </w:r>
      <w:r w:rsidRPr="004C79ED">
        <w:rPr>
          <w:sz w:val="20"/>
          <w:szCs w:val="20"/>
          <w:lang w:val="uk-UA"/>
        </w:rPr>
        <w:t xml:space="preserve"> виявлення стійкості до амікацину в цьому дослідженні коливалася від 75% до 95%, а специфічність - від 96% до 100%. </w:t>
      </w:r>
      <w:r w:rsidRPr="004C79ED">
        <w:rPr>
          <w:b/>
          <w:bCs/>
          <w:sz w:val="20"/>
          <w:szCs w:val="20"/>
          <w:lang w:val="uk-UA"/>
        </w:rPr>
        <w:t>Об'єднана чутливість становила 86,1% (95% ДІ: 75,0–92,7%), а об'єднана специфічність - 98,9% (95% ДІ: 93,0–99,8%)</w:t>
      </w:r>
      <w:r w:rsidRPr="004C79ED">
        <w:rPr>
          <w:sz w:val="20"/>
          <w:szCs w:val="20"/>
          <w:lang w:val="uk-UA"/>
        </w:rPr>
        <w:t>.</w:t>
      </w:r>
    </w:p>
    <w:p w14:paraId="36023249" w14:textId="77777777" w:rsidR="00E05B98" w:rsidRPr="003C6DAE" w:rsidRDefault="00E05B98" w:rsidP="004C79ED">
      <w:pPr>
        <w:pStyle w:val="a3"/>
        <w:spacing w:before="4"/>
        <w:jc w:val="both"/>
        <w:rPr>
          <w:rFonts w:ascii="Arial"/>
          <w:b/>
          <w:lang w:val="uk-UA"/>
        </w:rPr>
      </w:pPr>
    </w:p>
    <w:p w14:paraId="0D4FEA3F" w14:textId="0F01D6DA" w:rsidR="00E05B98" w:rsidRPr="004C79ED" w:rsidRDefault="004C79ED" w:rsidP="004C79ED">
      <w:pPr>
        <w:pStyle w:val="5"/>
        <w:spacing w:before="1"/>
        <w:jc w:val="both"/>
        <w:rPr>
          <w:sz w:val="26"/>
          <w:szCs w:val="26"/>
          <w:lang w:val="uk-UA"/>
        </w:rPr>
      </w:pPr>
      <w:r>
        <w:rPr>
          <w:color w:val="019648"/>
          <w:w w:val="105"/>
          <w:sz w:val="26"/>
          <w:szCs w:val="26"/>
          <w:lang w:val="uk-UA"/>
        </w:rPr>
        <w:t xml:space="preserve">Аналіз ефективності </w:t>
      </w:r>
      <w:r w:rsidR="00AF7C0C">
        <w:rPr>
          <w:color w:val="019648"/>
          <w:w w:val="105"/>
          <w:sz w:val="26"/>
          <w:szCs w:val="26"/>
          <w:lang w:val="uk-UA"/>
        </w:rPr>
        <w:t>ви</w:t>
      </w:r>
      <w:r>
        <w:rPr>
          <w:color w:val="019648"/>
          <w:w w:val="105"/>
          <w:sz w:val="26"/>
          <w:szCs w:val="26"/>
          <w:lang w:val="uk-UA"/>
        </w:rPr>
        <w:t>трат</w:t>
      </w:r>
    </w:p>
    <w:p w14:paraId="4DDA308D" w14:textId="4081C70F" w:rsidR="00E05B98" w:rsidRPr="00821945" w:rsidRDefault="004C79ED" w:rsidP="004C79ED">
      <w:pPr>
        <w:pStyle w:val="a3"/>
        <w:spacing w:before="218"/>
        <w:ind w:left="567"/>
        <w:jc w:val="both"/>
        <w:rPr>
          <w:sz w:val="20"/>
          <w:szCs w:val="20"/>
          <w:lang w:val="uk-UA"/>
        </w:rPr>
      </w:pPr>
      <w:r w:rsidRPr="004C79ED">
        <w:rPr>
          <w:sz w:val="20"/>
          <w:szCs w:val="20"/>
          <w:lang w:val="uk-UA"/>
        </w:rPr>
        <w:t>Цей розділ відповідає на таке додаткове питання:</w:t>
      </w:r>
    </w:p>
    <w:p w14:paraId="46857DDE" w14:textId="64CFAFD1" w:rsidR="00E05B98" w:rsidRPr="00821945" w:rsidRDefault="004C79ED" w:rsidP="004C79ED">
      <w:pPr>
        <w:pStyle w:val="6"/>
        <w:spacing w:before="244" w:line="249" w:lineRule="auto"/>
        <w:jc w:val="both"/>
        <w:rPr>
          <w:sz w:val="20"/>
          <w:szCs w:val="20"/>
          <w:lang w:val="uk-UA"/>
        </w:rPr>
      </w:pPr>
      <w:r w:rsidRPr="004C79ED">
        <w:rPr>
          <w:sz w:val="20"/>
          <w:szCs w:val="20"/>
          <w:lang w:val="uk-UA"/>
        </w:rPr>
        <w:t>Яка порівняльна вартість, доступність та економічна ефективність впровадження автоматизованих ТАНК низької складності?</w:t>
      </w:r>
    </w:p>
    <w:p w14:paraId="0A3A9607" w14:textId="32116CCF" w:rsidR="00E05B98" w:rsidRPr="00821945" w:rsidRDefault="007826F2" w:rsidP="004C79ED">
      <w:pPr>
        <w:pStyle w:val="a3"/>
        <w:spacing w:before="216" w:line="276" w:lineRule="auto"/>
        <w:ind w:left="567" w:right="137"/>
        <w:jc w:val="both"/>
        <w:rPr>
          <w:sz w:val="20"/>
          <w:szCs w:val="20"/>
          <w:lang w:val="uk-UA"/>
        </w:rPr>
      </w:pPr>
      <w:r w:rsidRPr="007826F2">
        <w:rPr>
          <w:sz w:val="20"/>
          <w:szCs w:val="20"/>
          <w:lang w:val="uk-UA"/>
        </w:rPr>
        <w:t xml:space="preserve">Було проведено систематичний огляд, зосереджений на економічних оцінках використання автоматизованих ТАНК низької складності. Здійснено огляд чотирьох онлайн-баз даних (Embase, Medline, Web of Science і Scopus) для пошуку нових досліджень, опублікованих у період з 1 січня 2010 року по 17 вересня 2020 року. Посилання на всі відповідні статті, настанови та огляди були проаналізовані на предмет додаткових досліджень. Також звернулися до  експертів та виробників тестів </w:t>
      </w:r>
      <w:r w:rsidR="001E6D4E">
        <w:rPr>
          <w:sz w:val="20"/>
          <w:szCs w:val="20"/>
          <w:lang w:val="uk-UA"/>
        </w:rPr>
        <w:t>з приводу</w:t>
      </w:r>
      <w:r w:rsidRPr="007826F2">
        <w:rPr>
          <w:sz w:val="20"/>
          <w:szCs w:val="20"/>
          <w:lang w:val="uk-UA"/>
        </w:rPr>
        <w:t xml:space="preserve"> </w:t>
      </w:r>
      <w:r w:rsidR="001E6D4E">
        <w:rPr>
          <w:sz w:val="20"/>
          <w:szCs w:val="20"/>
          <w:lang w:val="uk-UA"/>
        </w:rPr>
        <w:t xml:space="preserve">надання </w:t>
      </w:r>
      <w:r w:rsidRPr="007826F2">
        <w:rPr>
          <w:sz w:val="20"/>
          <w:szCs w:val="20"/>
          <w:lang w:val="uk-UA"/>
        </w:rPr>
        <w:t>інформації про будь-які додаткові  неопубліковані дослідження.</w:t>
      </w:r>
    </w:p>
    <w:p w14:paraId="049A3EFF" w14:textId="77777777" w:rsidR="00E05B98" w:rsidRPr="00821945" w:rsidRDefault="00E05B98" w:rsidP="005E365E">
      <w:pPr>
        <w:pStyle w:val="a3"/>
        <w:spacing w:line="297" w:lineRule="auto"/>
        <w:jc w:val="both"/>
        <w:rPr>
          <w:sz w:val="20"/>
          <w:szCs w:val="20"/>
          <w:lang w:val="uk-UA"/>
        </w:rPr>
        <w:sectPr w:rsidR="00E05B98" w:rsidRPr="00821945" w:rsidSect="004C79ED">
          <w:pgSz w:w="11910" w:h="16840"/>
          <w:pgMar w:top="1320" w:right="995" w:bottom="760" w:left="850" w:header="0" w:footer="573" w:gutter="0"/>
          <w:cols w:space="720"/>
        </w:sectPr>
      </w:pPr>
    </w:p>
    <w:p w14:paraId="59253F6B" w14:textId="0FA12234" w:rsidR="00EE6B52" w:rsidRDefault="00EE6B52" w:rsidP="005E365E">
      <w:pPr>
        <w:pStyle w:val="a3"/>
        <w:spacing w:before="173" w:line="276" w:lineRule="auto"/>
        <w:ind w:left="567"/>
        <w:jc w:val="both"/>
        <w:rPr>
          <w:sz w:val="20"/>
          <w:szCs w:val="20"/>
          <w:lang w:val="uk-UA"/>
        </w:rPr>
      </w:pPr>
      <w:r w:rsidRPr="00EE6B52">
        <w:rPr>
          <w:sz w:val="20"/>
          <w:szCs w:val="20"/>
          <w:lang w:val="uk-UA"/>
        </w:rPr>
        <w:lastRenderedPageBreak/>
        <w:t>Метою огляду  було узагальнення  поточних економічних даних та більш глибоке розуміння вартості, ефективності</w:t>
      </w:r>
      <w:r w:rsidR="00AF7C0C">
        <w:rPr>
          <w:sz w:val="20"/>
          <w:szCs w:val="20"/>
          <w:lang w:val="uk-UA"/>
        </w:rPr>
        <w:t xml:space="preserve"> витрат</w:t>
      </w:r>
      <w:r w:rsidRPr="00EE6B52">
        <w:rPr>
          <w:sz w:val="20"/>
          <w:szCs w:val="20"/>
          <w:lang w:val="uk-UA"/>
        </w:rPr>
        <w:t xml:space="preserve"> </w:t>
      </w:r>
      <w:r w:rsidR="00AF7C0C">
        <w:rPr>
          <w:sz w:val="20"/>
          <w:szCs w:val="20"/>
          <w:lang w:val="uk-UA"/>
        </w:rPr>
        <w:t>і</w:t>
      </w:r>
      <w:r w:rsidRPr="00EE6B52">
        <w:rPr>
          <w:sz w:val="20"/>
          <w:szCs w:val="20"/>
          <w:lang w:val="uk-UA"/>
        </w:rPr>
        <w:t xml:space="preserve"> доступності автоматизованих ТАНК низької складності.</w:t>
      </w:r>
    </w:p>
    <w:p w14:paraId="4B075061" w14:textId="2EC9DF1D" w:rsidR="00E05B98" w:rsidRPr="00821945" w:rsidRDefault="00E86C0C" w:rsidP="005E365E">
      <w:pPr>
        <w:pStyle w:val="a3"/>
        <w:spacing w:before="173" w:line="276" w:lineRule="auto"/>
        <w:ind w:left="567"/>
        <w:jc w:val="both"/>
        <w:rPr>
          <w:sz w:val="20"/>
          <w:szCs w:val="20"/>
          <w:lang w:val="uk-UA"/>
        </w:rPr>
      </w:pPr>
      <w:r w:rsidRPr="00E86C0C">
        <w:rPr>
          <w:sz w:val="20"/>
          <w:szCs w:val="20"/>
          <w:lang w:val="uk-UA"/>
        </w:rPr>
        <w:t xml:space="preserve">Було визначено два автоматизовані ТАНК низької складності: MeltPro MTB/RIF (компанія-виробник </w:t>
      </w:r>
      <w:r w:rsidR="001E6D4E">
        <w:rPr>
          <w:sz w:val="20"/>
          <w:szCs w:val="20"/>
          <w:lang w:val="uk-UA"/>
        </w:rPr>
        <w:t>«</w:t>
      </w:r>
      <w:r w:rsidRPr="00E86C0C">
        <w:rPr>
          <w:sz w:val="20"/>
          <w:szCs w:val="20"/>
          <w:lang w:val="uk-UA"/>
        </w:rPr>
        <w:t>Xiamen Zeesan Biotech Co Ltd</w:t>
      </w:r>
      <w:r w:rsidR="001E6D4E">
        <w:rPr>
          <w:sz w:val="20"/>
          <w:szCs w:val="20"/>
          <w:lang w:val="uk-UA"/>
        </w:rPr>
        <w:t>»</w:t>
      </w:r>
      <w:r w:rsidRPr="00E86C0C">
        <w:rPr>
          <w:sz w:val="20"/>
          <w:szCs w:val="20"/>
          <w:lang w:val="uk-UA"/>
        </w:rPr>
        <w:t xml:space="preserve">, Китай) та аналіз Xpert MTB/XDR (компанія-виробник </w:t>
      </w:r>
      <w:r w:rsidR="001E6D4E">
        <w:rPr>
          <w:sz w:val="20"/>
          <w:szCs w:val="20"/>
          <w:lang w:val="uk-UA"/>
        </w:rPr>
        <w:t>«</w:t>
      </w:r>
      <w:r w:rsidRPr="00E86C0C">
        <w:rPr>
          <w:sz w:val="20"/>
          <w:szCs w:val="20"/>
          <w:lang w:val="uk-UA"/>
        </w:rPr>
        <w:t>Cepheid</w:t>
      </w:r>
      <w:r w:rsidR="001E6D4E">
        <w:rPr>
          <w:sz w:val="20"/>
          <w:szCs w:val="20"/>
          <w:lang w:val="uk-UA"/>
        </w:rPr>
        <w:t>»</w:t>
      </w:r>
      <w:r w:rsidRPr="00E86C0C">
        <w:rPr>
          <w:sz w:val="20"/>
          <w:szCs w:val="20"/>
          <w:lang w:val="uk-UA"/>
        </w:rPr>
        <w:t xml:space="preserve">, Саннівейл, США). До цього огляду включено лише дані, що стосуються Xpert MTB/XDR. Як і у випадку з Xpert MTB/RIF, новий тест </w:t>
      </w:r>
      <w:r w:rsidR="001E6D4E">
        <w:rPr>
          <w:sz w:val="20"/>
          <w:szCs w:val="20"/>
          <w:lang w:val="uk-UA"/>
        </w:rPr>
        <w:t>на виявлення стійкості до широкого спектру лікарських засобів (</w:t>
      </w:r>
      <w:r w:rsidRPr="00E86C0C">
        <w:rPr>
          <w:sz w:val="20"/>
          <w:szCs w:val="20"/>
          <w:lang w:val="uk-UA"/>
        </w:rPr>
        <w:t>XDR</w:t>
      </w:r>
      <w:r w:rsidR="001E6D4E">
        <w:rPr>
          <w:sz w:val="20"/>
          <w:szCs w:val="20"/>
          <w:lang w:val="uk-UA"/>
        </w:rPr>
        <w:t>)</w:t>
      </w:r>
      <w:r w:rsidRPr="00E86C0C">
        <w:rPr>
          <w:sz w:val="20"/>
          <w:szCs w:val="20"/>
          <w:lang w:val="uk-UA"/>
        </w:rPr>
        <w:t xml:space="preserve"> можна використовувати для дослідження як необробленого, так і концентрованого мокротиння. Не було виявлено жодних опублікованих досліджень, які б надавали прямі докази </w:t>
      </w:r>
      <w:r w:rsidR="001E6D4E">
        <w:rPr>
          <w:sz w:val="20"/>
          <w:szCs w:val="20"/>
          <w:lang w:val="uk-UA"/>
        </w:rPr>
        <w:t xml:space="preserve">стосовно </w:t>
      </w:r>
      <w:r w:rsidRPr="00E86C0C">
        <w:rPr>
          <w:sz w:val="20"/>
          <w:szCs w:val="20"/>
          <w:lang w:val="uk-UA"/>
        </w:rPr>
        <w:t>вартості автоматизованих ТАНК низької складності</w:t>
      </w:r>
      <w:r w:rsidR="00AF7C0C">
        <w:rPr>
          <w:sz w:val="20"/>
          <w:szCs w:val="20"/>
          <w:lang w:val="uk-UA"/>
        </w:rPr>
        <w:t xml:space="preserve"> </w:t>
      </w:r>
      <w:r w:rsidR="00AF7C0C" w:rsidRPr="00E86C0C">
        <w:rPr>
          <w:sz w:val="20"/>
          <w:szCs w:val="20"/>
          <w:lang w:val="uk-UA"/>
        </w:rPr>
        <w:t xml:space="preserve">чи ефективності </w:t>
      </w:r>
      <w:r w:rsidR="00AF7C0C">
        <w:rPr>
          <w:sz w:val="20"/>
          <w:szCs w:val="20"/>
          <w:lang w:val="uk-UA"/>
        </w:rPr>
        <w:t>витрат для його виконання</w:t>
      </w:r>
      <w:r w:rsidRPr="00E86C0C">
        <w:rPr>
          <w:sz w:val="20"/>
          <w:szCs w:val="20"/>
          <w:lang w:val="uk-UA"/>
        </w:rPr>
        <w:t>.</w:t>
      </w:r>
    </w:p>
    <w:p w14:paraId="62CD3995" w14:textId="7D0FE369" w:rsidR="00E86C0C" w:rsidRDefault="00E86C0C" w:rsidP="005E365E">
      <w:pPr>
        <w:pStyle w:val="a3"/>
        <w:spacing w:before="145" w:line="276" w:lineRule="auto"/>
        <w:ind w:left="567"/>
        <w:jc w:val="both"/>
        <w:rPr>
          <w:sz w:val="20"/>
          <w:szCs w:val="20"/>
          <w:lang w:val="uk-UA"/>
        </w:rPr>
      </w:pPr>
      <w:r w:rsidRPr="00E86C0C">
        <w:rPr>
          <w:sz w:val="20"/>
          <w:szCs w:val="20"/>
          <w:lang w:val="uk-UA"/>
        </w:rPr>
        <w:t>За інформацією, отриманою безпосередньо від виробника Xpert MTB/XDR</w:t>
      </w:r>
      <w:r w:rsidR="001E6D4E">
        <w:rPr>
          <w:sz w:val="20"/>
          <w:szCs w:val="20"/>
          <w:lang w:val="uk-UA"/>
        </w:rPr>
        <w:t xml:space="preserve"> (</w:t>
      </w:r>
      <w:r w:rsidRPr="00E86C0C">
        <w:rPr>
          <w:sz w:val="20"/>
          <w:szCs w:val="20"/>
          <w:lang w:val="uk-UA"/>
        </w:rPr>
        <w:t>компані</w:t>
      </w:r>
      <w:r w:rsidR="001E6D4E">
        <w:rPr>
          <w:sz w:val="20"/>
          <w:szCs w:val="20"/>
          <w:lang w:val="uk-UA"/>
        </w:rPr>
        <w:t>я</w:t>
      </w:r>
      <w:r w:rsidRPr="00E86C0C">
        <w:rPr>
          <w:sz w:val="20"/>
          <w:szCs w:val="20"/>
          <w:lang w:val="uk-UA"/>
        </w:rPr>
        <w:t xml:space="preserve"> </w:t>
      </w:r>
      <w:r w:rsidR="001E6D4E">
        <w:rPr>
          <w:sz w:val="20"/>
          <w:szCs w:val="20"/>
          <w:lang w:val="uk-UA"/>
        </w:rPr>
        <w:t>«</w:t>
      </w:r>
      <w:r w:rsidRPr="00E86C0C">
        <w:rPr>
          <w:sz w:val="20"/>
          <w:szCs w:val="20"/>
          <w:lang w:val="uk-UA"/>
        </w:rPr>
        <w:t>Cepheid</w:t>
      </w:r>
      <w:r w:rsidR="001E6D4E">
        <w:rPr>
          <w:sz w:val="20"/>
          <w:szCs w:val="20"/>
          <w:lang w:val="uk-UA"/>
        </w:rPr>
        <w:t>»)</w:t>
      </w:r>
      <w:r w:rsidRPr="00E86C0C">
        <w:rPr>
          <w:sz w:val="20"/>
          <w:szCs w:val="20"/>
          <w:lang w:val="uk-UA"/>
        </w:rPr>
        <w:t>, вартість картриджа XDR для країн з низьким та середнім рівнем доходу (</w:t>
      </w:r>
      <w:r w:rsidR="001E6D4E">
        <w:rPr>
          <w:sz w:val="20"/>
          <w:szCs w:val="20"/>
          <w:lang w:val="uk-UA"/>
        </w:rPr>
        <w:t>КНСРД</w:t>
      </w:r>
      <w:r w:rsidRPr="00E86C0C">
        <w:rPr>
          <w:sz w:val="20"/>
          <w:szCs w:val="20"/>
          <w:lang w:val="uk-UA"/>
        </w:rPr>
        <w:t xml:space="preserve">) очікується на рівні 19,80 доларів США на умовах отримання </w:t>
      </w:r>
      <w:r w:rsidR="001E6D4E">
        <w:rPr>
          <w:sz w:val="20"/>
          <w:szCs w:val="20"/>
          <w:lang w:val="uk-UA"/>
        </w:rPr>
        <w:t xml:space="preserve">цієї тест-системи </w:t>
      </w:r>
      <w:r w:rsidRPr="00E86C0C">
        <w:rPr>
          <w:sz w:val="20"/>
          <w:szCs w:val="20"/>
          <w:lang w:val="uk-UA"/>
        </w:rPr>
        <w:t>безпосередньо від виробника. Витрати на доставку і митні збори будуть додатковими витратами</w:t>
      </w:r>
      <w:r w:rsidR="001E6D4E">
        <w:rPr>
          <w:sz w:val="20"/>
          <w:szCs w:val="20"/>
          <w:lang w:val="uk-UA"/>
        </w:rPr>
        <w:t xml:space="preserve"> і</w:t>
      </w:r>
      <w:r w:rsidRPr="00E86C0C">
        <w:rPr>
          <w:sz w:val="20"/>
          <w:szCs w:val="20"/>
          <w:lang w:val="uk-UA"/>
        </w:rPr>
        <w:t xml:space="preserve"> покривати</w:t>
      </w:r>
      <w:r w:rsidR="001E6D4E">
        <w:rPr>
          <w:sz w:val="20"/>
          <w:szCs w:val="20"/>
          <w:lang w:val="uk-UA"/>
        </w:rPr>
        <w:t>муть</w:t>
      </w:r>
      <w:r w:rsidRPr="00E86C0C">
        <w:rPr>
          <w:sz w:val="20"/>
          <w:szCs w:val="20"/>
          <w:lang w:val="uk-UA"/>
        </w:rPr>
        <w:t>ся країнами чи організаціями-замовниками, як це відбувається наразі  у випадку з картриджами Xpert MTB/RIF і Ultra.</w:t>
      </w:r>
    </w:p>
    <w:p w14:paraId="027FE395" w14:textId="61C0C391" w:rsidR="00E05B98" w:rsidRPr="00821945" w:rsidRDefault="00751C29" w:rsidP="005E365E">
      <w:pPr>
        <w:pStyle w:val="a3"/>
        <w:spacing w:before="145" w:line="276" w:lineRule="auto"/>
        <w:ind w:left="567"/>
        <w:jc w:val="both"/>
        <w:rPr>
          <w:sz w:val="20"/>
          <w:szCs w:val="20"/>
          <w:lang w:val="uk-UA"/>
        </w:rPr>
      </w:pPr>
      <w:r w:rsidRPr="00751C29">
        <w:rPr>
          <w:spacing w:val="-6"/>
          <w:sz w:val="20"/>
          <w:szCs w:val="20"/>
          <w:lang w:val="uk-UA"/>
        </w:rPr>
        <w:t>Як і у випадку з тестами Xpert MTB/RIF та Ultra, вартість тест-картриджів є лише одним з компонентів загальної вартості одиниці тесту, який необхідно враховувати, а обладнання є ще одним важливим фактором. Тест Xpert MTB/XDR не буде працювати на існуючих шести</w:t>
      </w:r>
      <w:r w:rsidR="005A7875">
        <w:rPr>
          <w:spacing w:val="-6"/>
          <w:sz w:val="20"/>
          <w:szCs w:val="20"/>
          <w:lang w:val="uk-UA"/>
        </w:rPr>
        <w:t>-</w:t>
      </w:r>
      <w:r w:rsidRPr="00751C29">
        <w:rPr>
          <w:spacing w:val="-6"/>
          <w:sz w:val="20"/>
          <w:szCs w:val="20"/>
          <w:lang w:val="uk-UA"/>
        </w:rPr>
        <w:t>кольорових модулях і вимагатиме від лабораторій переходу на 10-кольорові модулі GeneXpert. Для 10-кольоров</w:t>
      </w:r>
      <w:r w:rsidR="001E6D4E">
        <w:rPr>
          <w:spacing w:val="-6"/>
          <w:sz w:val="20"/>
          <w:szCs w:val="20"/>
          <w:lang w:val="uk-UA"/>
        </w:rPr>
        <w:t>ої</w:t>
      </w:r>
      <w:r w:rsidRPr="00751C29">
        <w:rPr>
          <w:spacing w:val="-6"/>
          <w:sz w:val="20"/>
          <w:szCs w:val="20"/>
          <w:lang w:val="uk-UA"/>
        </w:rPr>
        <w:t xml:space="preserve"> системи будуть доступні різні варіанти модернізації з різними ціновими категоріями залежно від потреб і наявних ресурсів. Варіанти оновлення включають</w:t>
      </w:r>
      <w:r>
        <w:rPr>
          <w:spacing w:val="-6"/>
          <w:sz w:val="20"/>
          <w:szCs w:val="20"/>
          <w:lang w:val="uk-UA"/>
        </w:rPr>
        <w:t>:</w:t>
      </w:r>
    </w:p>
    <w:p w14:paraId="2853388D" w14:textId="77777777" w:rsidR="00751C29" w:rsidRPr="00751C29" w:rsidRDefault="00751C29" w:rsidP="004A2937">
      <w:pPr>
        <w:pStyle w:val="a4"/>
        <w:numPr>
          <w:ilvl w:val="0"/>
          <w:numId w:val="17"/>
        </w:numPr>
        <w:tabs>
          <w:tab w:val="left" w:pos="850"/>
        </w:tabs>
        <w:spacing w:before="2" w:line="276" w:lineRule="auto"/>
        <w:rPr>
          <w:w w:val="105"/>
          <w:sz w:val="20"/>
          <w:szCs w:val="20"/>
          <w:lang w:val="uk-UA"/>
        </w:rPr>
      </w:pPr>
      <w:r w:rsidRPr="00751C29">
        <w:rPr>
          <w:w w:val="105"/>
          <w:sz w:val="20"/>
          <w:szCs w:val="20"/>
          <w:lang w:val="uk-UA"/>
        </w:rPr>
        <w:t>нову 10-кольорову систему - це найдорожчий варіант, вартістю від 9420 доларів США за один модуль до 72 350 доларів США за 16 модулів, включаючи платформу GeneXpert, комп'ютер і сканер;</w:t>
      </w:r>
    </w:p>
    <w:p w14:paraId="1BAD3518" w14:textId="49033FA6" w:rsidR="00751C29" w:rsidRPr="00751C29" w:rsidRDefault="00751C29" w:rsidP="004A2937">
      <w:pPr>
        <w:pStyle w:val="a4"/>
        <w:numPr>
          <w:ilvl w:val="0"/>
          <w:numId w:val="17"/>
        </w:numPr>
        <w:tabs>
          <w:tab w:val="left" w:pos="850"/>
        </w:tabs>
        <w:spacing w:before="2" w:line="276" w:lineRule="auto"/>
        <w:rPr>
          <w:w w:val="105"/>
          <w:sz w:val="20"/>
          <w:szCs w:val="20"/>
          <w:lang w:val="uk-UA"/>
        </w:rPr>
      </w:pPr>
      <w:r w:rsidRPr="00751C29">
        <w:rPr>
          <w:w w:val="105"/>
          <w:sz w:val="20"/>
          <w:szCs w:val="20"/>
          <w:lang w:val="uk-UA"/>
        </w:rPr>
        <w:t>нов</w:t>
      </w:r>
      <w:r w:rsidR="001E6D4E">
        <w:rPr>
          <w:w w:val="105"/>
          <w:sz w:val="20"/>
          <w:szCs w:val="20"/>
          <w:lang w:val="uk-UA"/>
        </w:rPr>
        <w:t>ий</w:t>
      </w:r>
      <w:r w:rsidRPr="00751C29">
        <w:rPr>
          <w:w w:val="105"/>
          <w:sz w:val="20"/>
          <w:szCs w:val="20"/>
          <w:lang w:val="uk-UA"/>
        </w:rPr>
        <w:t xml:space="preserve"> 10-кольоровий супутниковий інструмент з GeneXpert, підключений до існуючої системи</w:t>
      </w:r>
      <w:r w:rsidR="001E6D4E">
        <w:rPr>
          <w:w w:val="105"/>
          <w:sz w:val="20"/>
          <w:szCs w:val="20"/>
          <w:lang w:val="uk-UA"/>
        </w:rPr>
        <w:t xml:space="preserve">, коштуватиме </w:t>
      </w:r>
      <w:r w:rsidRPr="00751C29">
        <w:rPr>
          <w:w w:val="105"/>
          <w:sz w:val="20"/>
          <w:szCs w:val="20"/>
          <w:lang w:val="uk-UA"/>
        </w:rPr>
        <w:t xml:space="preserve">від 6495 доларів США за один модуль до 69 525 доларів США за 16 модулів; </w:t>
      </w:r>
      <w:r w:rsidR="001E6D4E">
        <w:rPr>
          <w:w w:val="105"/>
          <w:sz w:val="20"/>
          <w:szCs w:val="20"/>
          <w:lang w:val="uk-UA"/>
        </w:rPr>
        <w:t xml:space="preserve">та </w:t>
      </w:r>
    </w:p>
    <w:p w14:paraId="7306ADE4" w14:textId="3B1B6E10" w:rsidR="00E05B98" w:rsidRPr="00821945" w:rsidRDefault="00751C29" w:rsidP="004A2937">
      <w:pPr>
        <w:pStyle w:val="a4"/>
        <w:numPr>
          <w:ilvl w:val="0"/>
          <w:numId w:val="17"/>
        </w:numPr>
        <w:tabs>
          <w:tab w:val="left" w:pos="850"/>
        </w:tabs>
        <w:spacing w:before="2" w:line="276" w:lineRule="auto"/>
        <w:jc w:val="left"/>
        <w:rPr>
          <w:sz w:val="20"/>
          <w:szCs w:val="20"/>
          <w:lang w:val="uk-UA"/>
        </w:rPr>
      </w:pPr>
      <w:r w:rsidRPr="00751C29">
        <w:rPr>
          <w:w w:val="105"/>
          <w:sz w:val="20"/>
          <w:szCs w:val="20"/>
          <w:lang w:val="uk-UA"/>
        </w:rPr>
        <w:t>перетворення існуючої системи GeneXpert з шести</w:t>
      </w:r>
      <w:r w:rsidR="005A7875">
        <w:rPr>
          <w:w w:val="105"/>
          <w:sz w:val="20"/>
          <w:szCs w:val="20"/>
          <w:lang w:val="uk-UA"/>
        </w:rPr>
        <w:t>-</w:t>
      </w:r>
      <w:r w:rsidRPr="00751C29">
        <w:rPr>
          <w:w w:val="105"/>
          <w:sz w:val="20"/>
          <w:szCs w:val="20"/>
          <w:lang w:val="uk-UA"/>
        </w:rPr>
        <w:t>кольорової на 10-кольорову шляхом заміни модулів - комплект 10-кольорових модулів коштує 3860 доларів США</w:t>
      </w:r>
      <w:r w:rsidR="00B01E0C" w:rsidRPr="00821945">
        <w:rPr>
          <w:sz w:val="20"/>
          <w:szCs w:val="20"/>
          <w:lang w:val="uk-UA"/>
        </w:rPr>
        <w:t>.</w:t>
      </w:r>
    </w:p>
    <w:p w14:paraId="624A011B" w14:textId="7A5B5912" w:rsidR="00E05B98" w:rsidRPr="00821945" w:rsidRDefault="007864F1" w:rsidP="005E365E">
      <w:pPr>
        <w:pStyle w:val="a3"/>
        <w:spacing w:before="229" w:line="276" w:lineRule="auto"/>
        <w:ind w:left="567"/>
        <w:jc w:val="both"/>
        <w:rPr>
          <w:sz w:val="20"/>
          <w:szCs w:val="20"/>
          <w:lang w:val="uk-UA"/>
        </w:rPr>
      </w:pPr>
      <w:r w:rsidRPr="007864F1">
        <w:rPr>
          <w:sz w:val="20"/>
          <w:szCs w:val="20"/>
          <w:lang w:val="uk-UA"/>
        </w:rPr>
        <w:t xml:space="preserve">Міркування щодо додаткових витрат на Xpert MTB/XDR включають додаткове тестування або повторне тестування у випадку невизначених результатів або результатів, які не дають підстави для </w:t>
      </w:r>
      <w:r w:rsidRPr="00AF7C0C">
        <w:rPr>
          <w:sz w:val="20"/>
          <w:szCs w:val="20"/>
          <w:lang w:val="uk-UA"/>
        </w:rPr>
        <w:t>прийняття заходів (</w:t>
      </w:r>
      <w:r w:rsidR="00AF7C0C" w:rsidRPr="00AF7C0C">
        <w:rPr>
          <w:sz w:val="20"/>
          <w:szCs w:val="20"/>
          <w:lang w:val="uk-UA"/>
        </w:rPr>
        <w:t xml:space="preserve">сумнівні, </w:t>
      </w:r>
      <w:r w:rsidRPr="00AF7C0C">
        <w:rPr>
          <w:sz w:val="20"/>
          <w:szCs w:val="20"/>
          <w:lang w:val="uk-UA"/>
        </w:rPr>
        <w:t>невизначені або недійсні</w:t>
      </w:r>
      <w:r w:rsidR="00AF7C0C" w:rsidRPr="00AF7C0C">
        <w:rPr>
          <w:sz w:val="20"/>
          <w:szCs w:val="20"/>
          <w:lang w:val="uk-UA"/>
        </w:rPr>
        <w:t xml:space="preserve"> результати</w:t>
      </w:r>
      <w:r w:rsidRPr="007864F1">
        <w:rPr>
          <w:sz w:val="20"/>
          <w:szCs w:val="20"/>
          <w:lang w:val="uk-UA"/>
        </w:rPr>
        <w:t xml:space="preserve">). Потенційний фінансовий тягар, пов'язаний з цим, ймовірно, буде різним, залежно від частки невизначених результатів тестування в різних умовах і </w:t>
      </w:r>
      <w:r w:rsidR="002C3F3A">
        <w:rPr>
          <w:sz w:val="20"/>
          <w:szCs w:val="20"/>
          <w:lang w:val="uk-UA"/>
        </w:rPr>
        <w:t xml:space="preserve">пов’язаних з ними </w:t>
      </w:r>
      <w:r w:rsidRPr="007864F1">
        <w:rPr>
          <w:sz w:val="20"/>
          <w:szCs w:val="20"/>
          <w:lang w:val="uk-UA"/>
        </w:rPr>
        <w:t>протоколів повторного тестування.</w:t>
      </w:r>
    </w:p>
    <w:p w14:paraId="4C195D9F" w14:textId="7BC9ABCE" w:rsidR="00E05B98" w:rsidRPr="00821945" w:rsidRDefault="007864F1" w:rsidP="005E365E">
      <w:pPr>
        <w:pStyle w:val="a3"/>
        <w:spacing w:before="175" w:line="276" w:lineRule="auto"/>
        <w:ind w:left="567"/>
        <w:jc w:val="both"/>
        <w:rPr>
          <w:sz w:val="20"/>
          <w:szCs w:val="20"/>
          <w:lang w:val="uk-UA"/>
        </w:rPr>
      </w:pPr>
      <w:r w:rsidRPr="007864F1">
        <w:rPr>
          <w:sz w:val="20"/>
          <w:szCs w:val="20"/>
          <w:lang w:val="uk-UA"/>
        </w:rPr>
        <w:t xml:space="preserve">Не було виявлено досліджень, які б безпосередньо оцінювали економічну ефективність картриджа Xpert MTB/XDR. Хоча екстраполяція даних з інших платформ і підходів до тестування для розрахунку вартості може бути доречною, не рекомендується екстраполяція даних економічної ефективності з Xpert MTB/RIF (Ultra) або інших ТАНК через відмінності в точності діагностики, витрат, пов'язаних з лікуванням ШЛС-ТБ, а також відмінностей </w:t>
      </w:r>
      <w:r w:rsidR="002C3F3A">
        <w:rPr>
          <w:sz w:val="20"/>
          <w:szCs w:val="20"/>
          <w:lang w:val="uk-UA"/>
        </w:rPr>
        <w:t xml:space="preserve">в </w:t>
      </w:r>
      <w:r w:rsidRPr="007864F1">
        <w:rPr>
          <w:sz w:val="20"/>
          <w:szCs w:val="20"/>
          <w:lang w:val="uk-UA"/>
        </w:rPr>
        <w:t xml:space="preserve">каскаді </w:t>
      </w:r>
      <w:r w:rsidR="002C3F3A">
        <w:rPr>
          <w:sz w:val="20"/>
          <w:szCs w:val="20"/>
          <w:lang w:val="uk-UA"/>
        </w:rPr>
        <w:t xml:space="preserve">тестування та </w:t>
      </w:r>
      <w:r w:rsidRPr="007864F1">
        <w:rPr>
          <w:sz w:val="20"/>
          <w:szCs w:val="20"/>
          <w:lang w:val="uk-UA"/>
        </w:rPr>
        <w:t>лікування.</w:t>
      </w:r>
    </w:p>
    <w:p w14:paraId="04297D6C" w14:textId="440485FC" w:rsidR="00E05B98" w:rsidRDefault="009548E9" w:rsidP="005E365E">
      <w:pPr>
        <w:pStyle w:val="a3"/>
        <w:spacing w:before="177" w:line="276" w:lineRule="auto"/>
        <w:ind w:left="567"/>
        <w:jc w:val="both"/>
        <w:rPr>
          <w:sz w:val="20"/>
          <w:szCs w:val="20"/>
          <w:lang w:val="uk-UA"/>
        </w:rPr>
      </w:pPr>
      <w:r w:rsidRPr="009548E9">
        <w:rPr>
          <w:sz w:val="20"/>
          <w:szCs w:val="20"/>
          <w:lang w:val="uk-UA"/>
        </w:rPr>
        <w:t xml:space="preserve">На ефективність </w:t>
      </w:r>
      <w:r w:rsidR="00AF7C0C">
        <w:rPr>
          <w:sz w:val="20"/>
          <w:szCs w:val="20"/>
          <w:lang w:val="uk-UA"/>
        </w:rPr>
        <w:t xml:space="preserve">витрат, пов’язаних з </w:t>
      </w:r>
      <w:r w:rsidRPr="009548E9">
        <w:rPr>
          <w:sz w:val="20"/>
          <w:szCs w:val="20"/>
          <w:lang w:val="uk-UA"/>
        </w:rPr>
        <w:t>Xpert MTB/XDR</w:t>
      </w:r>
      <w:r w:rsidR="00AF7C0C">
        <w:rPr>
          <w:sz w:val="20"/>
          <w:szCs w:val="20"/>
          <w:lang w:val="uk-UA"/>
        </w:rPr>
        <w:t>,</w:t>
      </w:r>
      <w:r w:rsidRPr="009548E9">
        <w:rPr>
          <w:sz w:val="20"/>
          <w:szCs w:val="20"/>
          <w:lang w:val="uk-UA"/>
        </w:rPr>
        <w:t xml:space="preserve"> можуть впливати кілька факторів, зокрема, точність діагностики, яка може призвести до того, що діагноз буде поставлено більшій чи меншій кількості осіб порівняно зі стандартом надання медичної допомоги (який, у свою чергу, буде відрізнятися в залежності від стандарту надання медичного догляду</w:t>
      </w:r>
      <w:r w:rsidR="002C3F3A">
        <w:rPr>
          <w:sz w:val="20"/>
          <w:szCs w:val="20"/>
          <w:lang w:val="uk-UA"/>
        </w:rPr>
        <w:t xml:space="preserve"> на місцевому рівні</w:t>
      </w:r>
      <w:r w:rsidRPr="009548E9">
        <w:rPr>
          <w:sz w:val="20"/>
          <w:szCs w:val="20"/>
          <w:lang w:val="uk-UA"/>
        </w:rPr>
        <w:t xml:space="preserve">). Крім </w:t>
      </w:r>
      <w:r w:rsidR="002C3F3A">
        <w:rPr>
          <w:sz w:val="20"/>
          <w:szCs w:val="20"/>
          <w:lang w:val="uk-UA"/>
        </w:rPr>
        <w:t xml:space="preserve">діагностичної </w:t>
      </w:r>
      <w:r w:rsidRPr="009548E9">
        <w:rPr>
          <w:sz w:val="20"/>
          <w:szCs w:val="20"/>
          <w:lang w:val="uk-UA"/>
        </w:rPr>
        <w:t xml:space="preserve">точності, пов'язаної з самим тестом, </w:t>
      </w:r>
      <w:r w:rsidR="002C3F3A">
        <w:rPr>
          <w:sz w:val="20"/>
          <w:szCs w:val="20"/>
          <w:lang w:val="uk-UA"/>
        </w:rPr>
        <w:t xml:space="preserve">діагностичний алгоритм і розміщення </w:t>
      </w:r>
      <w:r w:rsidRPr="009548E9">
        <w:rPr>
          <w:sz w:val="20"/>
          <w:szCs w:val="20"/>
          <w:lang w:val="uk-UA"/>
        </w:rPr>
        <w:t>тесту Xpert MTB/XDR в алгоритм</w:t>
      </w:r>
      <w:r w:rsidR="002C3F3A">
        <w:rPr>
          <w:sz w:val="20"/>
          <w:szCs w:val="20"/>
          <w:lang w:val="uk-UA"/>
        </w:rPr>
        <w:t>і  мають ва</w:t>
      </w:r>
      <w:r w:rsidR="00AF7C0C">
        <w:rPr>
          <w:sz w:val="20"/>
          <w:szCs w:val="20"/>
          <w:lang w:val="uk-UA"/>
        </w:rPr>
        <w:t>ж</w:t>
      </w:r>
      <w:r w:rsidR="002C3F3A">
        <w:rPr>
          <w:sz w:val="20"/>
          <w:szCs w:val="20"/>
          <w:lang w:val="uk-UA"/>
        </w:rPr>
        <w:t>ливі наслідки</w:t>
      </w:r>
      <w:r w:rsidR="00B01E0C" w:rsidRPr="00821945">
        <w:rPr>
          <w:sz w:val="20"/>
          <w:szCs w:val="20"/>
          <w:lang w:val="uk-UA"/>
        </w:rPr>
        <w:t>.</w:t>
      </w:r>
    </w:p>
    <w:p w14:paraId="13AFB8D0" w14:textId="50ABA94C" w:rsidR="002C3F3A" w:rsidRDefault="009548E9" w:rsidP="005E365E">
      <w:pPr>
        <w:pStyle w:val="a3"/>
        <w:spacing w:before="176" w:line="276" w:lineRule="auto"/>
        <w:ind w:left="567"/>
        <w:jc w:val="both"/>
        <w:rPr>
          <w:spacing w:val="-2"/>
          <w:sz w:val="20"/>
          <w:szCs w:val="20"/>
          <w:lang w:val="uk-UA"/>
        </w:rPr>
      </w:pPr>
      <w:r w:rsidRPr="009548E9">
        <w:rPr>
          <w:spacing w:val="-2"/>
          <w:sz w:val="20"/>
          <w:szCs w:val="20"/>
          <w:lang w:val="uk-UA"/>
        </w:rPr>
        <w:t>Новий тест Xpert MTB/XDR надає результати менш ніж за 90 хвилин. Таким чином, впровадження цього тесту, ймовірно, призведе до скорочення часу отримання результату генотипічного ТМЧ  і може вплинути на ефективність</w:t>
      </w:r>
      <w:r w:rsidR="00AF7C0C">
        <w:rPr>
          <w:spacing w:val="-2"/>
          <w:sz w:val="20"/>
          <w:szCs w:val="20"/>
          <w:lang w:val="uk-UA"/>
        </w:rPr>
        <w:t xml:space="preserve"> витрат</w:t>
      </w:r>
      <w:r w:rsidRPr="009548E9">
        <w:rPr>
          <w:spacing w:val="-2"/>
          <w:sz w:val="20"/>
          <w:szCs w:val="20"/>
          <w:lang w:val="uk-UA"/>
        </w:rPr>
        <w:t xml:space="preserve"> за рахунок збільшення кількості пацієнтів, які розпочинають </w:t>
      </w:r>
      <w:r w:rsidR="0022223A" w:rsidRPr="009548E9">
        <w:rPr>
          <w:spacing w:val="-2"/>
          <w:sz w:val="20"/>
          <w:szCs w:val="20"/>
          <w:lang w:val="uk-UA"/>
        </w:rPr>
        <w:t xml:space="preserve">лікування, зменшення </w:t>
      </w:r>
      <w:r w:rsidR="0022223A">
        <w:rPr>
          <w:spacing w:val="-2"/>
          <w:sz w:val="20"/>
          <w:szCs w:val="20"/>
          <w:lang w:val="uk-UA"/>
        </w:rPr>
        <w:t xml:space="preserve">кількості випадків </w:t>
      </w:r>
      <w:r w:rsidR="0022223A" w:rsidRPr="009548E9">
        <w:rPr>
          <w:spacing w:val="-2"/>
          <w:sz w:val="20"/>
          <w:szCs w:val="20"/>
          <w:lang w:val="uk-UA"/>
        </w:rPr>
        <w:t>втрати контакту з пацієнтами  для подальшого</w:t>
      </w:r>
    </w:p>
    <w:p w14:paraId="755DA700" w14:textId="77777777" w:rsidR="002C3F3A" w:rsidRDefault="002C3F3A" w:rsidP="005E365E">
      <w:pPr>
        <w:pStyle w:val="a3"/>
        <w:spacing w:before="176" w:line="276" w:lineRule="auto"/>
        <w:ind w:left="567"/>
        <w:jc w:val="both"/>
        <w:rPr>
          <w:spacing w:val="-2"/>
          <w:sz w:val="20"/>
          <w:szCs w:val="20"/>
          <w:lang w:val="uk-UA"/>
        </w:rPr>
      </w:pPr>
    </w:p>
    <w:p w14:paraId="74B35F0F" w14:textId="648AB0E8" w:rsidR="00E05B98" w:rsidRPr="00821945" w:rsidRDefault="009548E9" w:rsidP="00B32C7B">
      <w:pPr>
        <w:pStyle w:val="a3"/>
        <w:spacing w:before="176" w:line="276" w:lineRule="auto"/>
        <w:ind w:left="567"/>
        <w:jc w:val="both"/>
        <w:rPr>
          <w:sz w:val="20"/>
          <w:szCs w:val="20"/>
          <w:lang w:val="uk-UA"/>
        </w:rPr>
      </w:pPr>
      <w:r w:rsidRPr="009548E9">
        <w:rPr>
          <w:spacing w:val="-2"/>
          <w:sz w:val="20"/>
          <w:szCs w:val="20"/>
          <w:lang w:val="uk-UA"/>
        </w:rPr>
        <w:lastRenderedPageBreak/>
        <w:t xml:space="preserve">спостереження </w:t>
      </w:r>
      <w:r w:rsidR="00B32C7B">
        <w:rPr>
          <w:spacing w:val="-2"/>
          <w:sz w:val="20"/>
          <w:szCs w:val="20"/>
          <w:lang w:val="uk-UA"/>
        </w:rPr>
        <w:t>та покращення</w:t>
      </w:r>
      <w:r w:rsidR="002C3F3A">
        <w:rPr>
          <w:spacing w:val="-2"/>
          <w:sz w:val="20"/>
          <w:szCs w:val="20"/>
          <w:lang w:val="uk-UA"/>
        </w:rPr>
        <w:t xml:space="preserve"> </w:t>
      </w:r>
      <w:r w:rsidRPr="009548E9">
        <w:rPr>
          <w:spacing w:val="-2"/>
          <w:sz w:val="20"/>
          <w:szCs w:val="20"/>
          <w:lang w:val="uk-UA"/>
        </w:rPr>
        <w:t>показників виживання.</w:t>
      </w:r>
      <w:r w:rsidR="00B01E0C" w:rsidRPr="00821945">
        <w:rPr>
          <w:spacing w:val="-5"/>
          <w:sz w:val="20"/>
          <w:szCs w:val="20"/>
          <w:lang w:val="uk-UA"/>
        </w:rPr>
        <w:t xml:space="preserve"> </w:t>
      </w:r>
      <w:r w:rsidR="00536505" w:rsidRPr="00536505">
        <w:rPr>
          <w:sz w:val="20"/>
          <w:szCs w:val="20"/>
          <w:lang w:val="uk-UA"/>
        </w:rPr>
        <w:t>Витрати, пов'язані з лікуванням ШЛС-ТБ, ймовірно, буду</w:t>
      </w:r>
      <w:r w:rsidR="00B32C7B">
        <w:rPr>
          <w:sz w:val="20"/>
          <w:szCs w:val="20"/>
          <w:lang w:val="uk-UA"/>
        </w:rPr>
        <w:t>т</w:t>
      </w:r>
      <w:r w:rsidR="00536505" w:rsidRPr="00536505">
        <w:rPr>
          <w:sz w:val="20"/>
          <w:szCs w:val="20"/>
          <w:lang w:val="uk-UA"/>
        </w:rPr>
        <w:t xml:space="preserve">ь важливим чинником, </w:t>
      </w:r>
      <w:r w:rsidR="002C3F3A">
        <w:rPr>
          <w:sz w:val="20"/>
          <w:szCs w:val="20"/>
          <w:lang w:val="uk-UA"/>
        </w:rPr>
        <w:t>який</w:t>
      </w:r>
      <w:r w:rsidR="00536505" w:rsidRPr="00536505">
        <w:rPr>
          <w:sz w:val="20"/>
          <w:szCs w:val="20"/>
          <w:lang w:val="uk-UA"/>
        </w:rPr>
        <w:t xml:space="preserve"> визначає вартість та економічну ефективність, оскільки попередні роботи показали, що ці витрати є високими порівняно з витратами на діагностику та інші види лікування. У міру виявлення більшої кількості осіб з позитивним діагнозом на ШЛС-ТБ, які потребують лікування, загальний обсяг ресурсів, необхідних для лікування цих осіб, зростатиме.</w:t>
      </w:r>
    </w:p>
    <w:p w14:paraId="2052A701" w14:textId="3175C5FE" w:rsidR="00E05B98" w:rsidRPr="00821945" w:rsidRDefault="00536505" w:rsidP="005E365E">
      <w:pPr>
        <w:pStyle w:val="a3"/>
        <w:spacing w:before="174" w:line="276" w:lineRule="auto"/>
        <w:ind w:left="567"/>
        <w:jc w:val="both"/>
        <w:rPr>
          <w:sz w:val="20"/>
          <w:szCs w:val="20"/>
          <w:lang w:val="uk-UA"/>
        </w:rPr>
      </w:pPr>
      <w:r w:rsidRPr="00536505">
        <w:rPr>
          <w:sz w:val="20"/>
          <w:szCs w:val="20"/>
          <w:lang w:val="uk-UA"/>
        </w:rPr>
        <w:t xml:space="preserve">Немає інформації про довгостроковий вплив впровадження Xpert MTB/XDR на рівні популяції через відсутність досліджень з моделювання передачі інфекції. Тим не менш, переваги раннього виявлення більшої кількості випадків можуть призвести до зниження рівня поточної передачі </w:t>
      </w:r>
      <w:r w:rsidR="008D2D25">
        <w:rPr>
          <w:sz w:val="20"/>
          <w:szCs w:val="20"/>
          <w:lang w:val="uk-UA"/>
        </w:rPr>
        <w:t xml:space="preserve">захворювання </w:t>
      </w:r>
      <w:r w:rsidRPr="00536505">
        <w:rPr>
          <w:sz w:val="20"/>
          <w:szCs w:val="20"/>
          <w:lang w:val="uk-UA"/>
        </w:rPr>
        <w:t>та потенційної економії коштів у довгостроковій перспективі. Це вимагає ретельних досліджень шляхом моделювання передачі інфекції.</w:t>
      </w:r>
    </w:p>
    <w:p w14:paraId="1DDDA237" w14:textId="4FF04C03" w:rsidR="00E05B98" w:rsidRPr="00821945" w:rsidRDefault="00536505" w:rsidP="005E365E">
      <w:pPr>
        <w:spacing w:before="172" w:line="276" w:lineRule="auto"/>
        <w:ind w:left="567"/>
        <w:rPr>
          <w:rFonts w:ascii="Arial"/>
          <w:i/>
          <w:sz w:val="20"/>
          <w:szCs w:val="20"/>
          <w:lang w:val="uk-UA"/>
        </w:rPr>
      </w:pPr>
      <w:r w:rsidRPr="00536505">
        <w:rPr>
          <w:rFonts w:ascii="Arial"/>
          <w:i/>
          <w:sz w:val="20"/>
          <w:szCs w:val="20"/>
          <w:lang w:val="uk-UA"/>
        </w:rPr>
        <w:t>Наскільки</w:t>
      </w:r>
      <w:r w:rsidRPr="00536505">
        <w:rPr>
          <w:rFonts w:ascii="Arial"/>
          <w:i/>
          <w:sz w:val="20"/>
          <w:szCs w:val="20"/>
          <w:lang w:val="uk-UA"/>
        </w:rPr>
        <w:t xml:space="preserve"> </w:t>
      </w:r>
      <w:r w:rsidRPr="00536505">
        <w:rPr>
          <w:rFonts w:ascii="Arial"/>
          <w:i/>
          <w:sz w:val="20"/>
          <w:szCs w:val="20"/>
          <w:lang w:val="uk-UA"/>
        </w:rPr>
        <w:t>великими</w:t>
      </w:r>
      <w:r w:rsidRPr="00536505">
        <w:rPr>
          <w:rFonts w:ascii="Arial"/>
          <w:i/>
          <w:sz w:val="20"/>
          <w:szCs w:val="20"/>
          <w:lang w:val="uk-UA"/>
        </w:rPr>
        <w:t xml:space="preserve"> </w:t>
      </w:r>
      <w:r w:rsidRPr="00536505">
        <w:rPr>
          <w:rFonts w:ascii="Arial"/>
          <w:i/>
          <w:sz w:val="20"/>
          <w:szCs w:val="20"/>
          <w:lang w:val="uk-UA"/>
        </w:rPr>
        <w:t>є</w:t>
      </w:r>
      <w:r w:rsidRPr="00536505">
        <w:rPr>
          <w:rFonts w:ascii="Arial"/>
          <w:i/>
          <w:sz w:val="20"/>
          <w:szCs w:val="20"/>
          <w:lang w:val="uk-UA"/>
        </w:rPr>
        <w:t xml:space="preserve"> </w:t>
      </w:r>
      <w:r w:rsidRPr="00536505">
        <w:rPr>
          <w:rFonts w:ascii="Arial"/>
          <w:i/>
          <w:sz w:val="20"/>
          <w:szCs w:val="20"/>
          <w:lang w:val="uk-UA"/>
        </w:rPr>
        <w:t>потреби</w:t>
      </w:r>
      <w:r w:rsidRPr="00536505">
        <w:rPr>
          <w:rFonts w:ascii="Arial"/>
          <w:i/>
          <w:sz w:val="20"/>
          <w:szCs w:val="20"/>
          <w:lang w:val="uk-UA"/>
        </w:rPr>
        <w:t xml:space="preserve"> </w:t>
      </w:r>
      <w:r w:rsidRPr="00536505">
        <w:rPr>
          <w:rFonts w:ascii="Arial"/>
          <w:i/>
          <w:sz w:val="20"/>
          <w:szCs w:val="20"/>
          <w:lang w:val="uk-UA"/>
        </w:rPr>
        <w:t>в</w:t>
      </w:r>
      <w:r w:rsidRPr="00536505">
        <w:rPr>
          <w:rFonts w:ascii="Arial"/>
          <w:i/>
          <w:sz w:val="20"/>
          <w:szCs w:val="20"/>
          <w:lang w:val="uk-UA"/>
        </w:rPr>
        <w:t xml:space="preserve"> </w:t>
      </w:r>
      <w:r w:rsidRPr="00536505">
        <w:rPr>
          <w:rFonts w:ascii="Arial"/>
          <w:i/>
          <w:sz w:val="20"/>
          <w:szCs w:val="20"/>
          <w:lang w:val="uk-UA"/>
        </w:rPr>
        <w:t>ресурсах</w:t>
      </w:r>
      <w:r w:rsidRPr="00536505">
        <w:rPr>
          <w:rFonts w:ascii="Arial"/>
          <w:i/>
          <w:sz w:val="20"/>
          <w:szCs w:val="20"/>
          <w:lang w:val="uk-UA"/>
        </w:rPr>
        <w:t xml:space="preserve"> (</w:t>
      </w:r>
      <w:r w:rsidRPr="00536505">
        <w:rPr>
          <w:rFonts w:ascii="Arial"/>
          <w:i/>
          <w:sz w:val="20"/>
          <w:szCs w:val="20"/>
          <w:lang w:val="uk-UA"/>
        </w:rPr>
        <w:t>витрати</w:t>
      </w:r>
      <w:r w:rsidRPr="00536505">
        <w:rPr>
          <w:rFonts w:ascii="Arial"/>
          <w:i/>
          <w:sz w:val="20"/>
          <w:szCs w:val="20"/>
          <w:lang w:val="uk-UA"/>
        </w:rPr>
        <w:t>)?</w:t>
      </w:r>
    </w:p>
    <w:p w14:paraId="5AA4CB15" w14:textId="364BF848" w:rsidR="00E05B98" w:rsidRPr="00821945" w:rsidRDefault="00825B91" w:rsidP="005E365E">
      <w:pPr>
        <w:pStyle w:val="a3"/>
        <w:spacing w:before="230" w:line="276" w:lineRule="auto"/>
        <w:ind w:left="567"/>
        <w:jc w:val="both"/>
        <w:rPr>
          <w:sz w:val="20"/>
          <w:szCs w:val="20"/>
          <w:lang w:val="uk-UA"/>
        </w:rPr>
      </w:pPr>
      <w:r w:rsidRPr="001E194D">
        <w:rPr>
          <w:sz w:val="20"/>
          <w:szCs w:val="20"/>
          <w:lang w:val="uk-UA"/>
        </w:rPr>
        <w:t>Жодн</w:t>
      </w:r>
      <w:r w:rsidR="001E194D">
        <w:rPr>
          <w:sz w:val="20"/>
          <w:szCs w:val="20"/>
          <w:lang w:val="uk-UA"/>
        </w:rPr>
        <w:t>е</w:t>
      </w:r>
      <w:r w:rsidRPr="001E194D">
        <w:rPr>
          <w:sz w:val="20"/>
          <w:szCs w:val="20"/>
          <w:lang w:val="uk-UA"/>
        </w:rPr>
        <w:t xml:space="preserve"> </w:t>
      </w:r>
      <w:r w:rsidR="001E194D">
        <w:rPr>
          <w:sz w:val="20"/>
          <w:szCs w:val="20"/>
          <w:lang w:val="uk-UA"/>
        </w:rPr>
        <w:t xml:space="preserve">з </w:t>
      </w:r>
      <w:r w:rsidRPr="001E194D">
        <w:rPr>
          <w:sz w:val="20"/>
          <w:szCs w:val="20"/>
          <w:lang w:val="uk-UA"/>
        </w:rPr>
        <w:t>опублікован</w:t>
      </w:r>
      <w:r w:rsidR="001E194D">
        <w:rPr>
          <w:sz w:val="20"/>
          <w:szCs w:val="20"/>
          <w:lang w:val="uk-UA"/>
        </w:rPr>
        <w:t>их</w:t>
      </w:r>
      <w:r w:rsidRPr="001E194D">
        <w:rPr>
          <w:sz w:val="20"/>
          <w:szCs w:val="20"/>
          <w:lang w:val="uk-UA"/>
        </w:rPr>
        <w:t xml:space="preserve"> досліджен</w:t>
      </w:r>
      <w:r w:rsidR="001E194D">
        <w:rPr>
          <w:sz w:val="20"/>
          <w:szCs w:val="20"/>
          <w:lang w:val="uk-UA"/>
        </w:rPr>
        <w:t>ь</w:t>
      </w:r>
      <w:r w:rsidRPr="001E194D">
        <w:rPr>
          <w:sz w:val="20"/>
          <w:szCs w:val="20"/>
          <w:lang w:val="uk-UA"/>
        </w:rPr>
        <w:t xml:space="preserve"> не надал</w:t>
      </w:r>
      <w:r w:rsidR="001E194D">
        <w:rPr>
          <w:sz w:val="20"/>
          <w:szCs w:val="20"/>
          <w:lang w:val="uk-UA"/>
        </w:rPr>
        <w:t>о</w:t>
      </w:r>
      <w:r w:rsidRPr="001E194D">
        <w:rPr>
          <w:sz w:val="20"/>
          <w:szCs w:val="20"/>
          <w:lang w:val="uk-UA"/>
        </w:rPr>
        <w:t xml:space="preserve"> прямих доказів щодо загального обсягу необхідних ресурсів. Потреби в ресурсах включатимуть: закупівлю картриджів (19,80 дол. США/картридж), модернізацію існуючих платформ на 10-кольорові модулі (оновлення, яке з часом буде необхідним для всіх</w:t>
      </w:r>
      <w:r w:rsidRPr="00825B91">
        <w:rPr>
          <w:sz w:val="20"/>
          <w:szCs w:val="20"/>
          <w:lang w:val="uk-UA"/>
        </w:rPr>
        <w:t xml:space="preserve"> платформ Xpert: вартість коливається від 3860 до &gt;72 350 доларів США), а також експлуатаційні та програмні затрати, пов'язані з впровадженням нової діагностики.</w:t>
      </w:r>
      <w:r w:rsidR="00B01E0C" w:rsidRPr="00821945">
        <w:rPr>
          <w:spacing w:val="-6"/>
          <w:sz w:val="20"/>
          <w:szCs w:val="20"/>
          <w:lang w:val="uk-UA"/>
        </w:rPr>
        <w:t xml:space="preserve"> </w:t>
      </w:r>
      <w:r w:rsidR="00E30416" w:rsidRPr="00E30416">
        <w:rPr>
          <w:spacing w:val="-6"/>
          <w:sz w:val="20"/>
          <w:szCs w:val="20"/>
          <w:lang w:val="uk-UA"/>
        </w:rPr>
        <w:t>Потреба в ресурсах для лікування ШЛС-ТБ (наприклад, потреба в лікарських засобах, місткості лікарні та персоналі), ймовірно, також зростатиме зі збільшенням кількості діагностованих людей. Загальні витрати будуть варіюватися залежно від обсягу тестування та поширеності випадків ШЛС-ТБ серед населення; крім того, вплив на бюджет буде залежати від поточного стандарту надання медичної допомоги та використання відповідних ресурсів.</w:t>
      </w:r>
    </w:p>
    <w:p w14:paraId="7F0FB9D2" w14:textId="03133712" w:rsidR="00E05B98" w:rsidRPr="00821945" w:rsidRDefault="00E30416" w:rsidP="005E365E">
      <w:pPr>
        <w:spacing w:before="177" w:line="276" w:lineRule="auto"/>
        <w:ind w:left="567"/>
        <w:rPr>
          <w:rFonts w:ascii="Arial"/>
          <w:i/>
          <w:sz w:val="20"/>
          <w:szCs w:val="20"/>
          <w:lang w:val="uk-UA"/>
        </w:rPr>
      </w:pPr>
      <w:r w:rsidRPr="00E30416">
        <w:rPr>
          <w:rFonts w:ascii="Arial"/>
          <w:i/>
          <w:sz w:val="20"/>
          <w:szCs w:val="20"/>
          <w:lang w:val="uk-UA"/>
        </w:rPr>
        <w:t>Наскільки</w:t>
      </w:r>
      <w:r w:rsidRPr="00E30416">
        <w:rPr>
          <w:rFonts w:ascii="Arial"/>
          <w:i/>
          <w:sz w:val="20"/>
          <w:szCs w:val="20"/>
          <w:lang w:val="uk-UA"/>
        </w:rPr>
        <w:t xml:space="preserve"> </w:t>
      </w:r>
      <w:r w:rsidRPr="00E30416">
        <w:rPr>
          <w:rFonts w:ascii="Arial"/>
          <w:i/>
          <w:sz w:val="20"/>
          <w:szCs w:val="20"/>
          <w:lang w:val="uk-UA"/>
        </w:rPr>
        <w:t>достовірними</w:t>
      </w:r>
      <w:r w:rsidRPr="00E30416">
        <w:rPr>
          <w:rFonts w:ascii="Arial"/>
          <w:i/>
          <w:sz w:val="20"/>
          <w:szCs w:val="20"/>
          <w:lang w:val="uk-UA"/>
        </w:rPr>
        <w:t xml:space="preserve"> </w:t>
      </w:r>
      <w:r w:rsidRPr="00E30416">
        <w:rPr>
          <w:rFonts w:ascii="Arial"/>
          <w:i/>
          <w:sz w:val="20"/>
          <w:szCs w:val="20"/>
          <w:lang w:val="uk-UA"/>
        </w:rPr>
        <w:t>є</w:t>
      </w:r>
      <w:r w:rsidRPr="00E30416">
        <w:rPr>
          <w:rFonts w:ascii="Arial"/>
          <w:i/>
          <w:sz w:val="20"/>
          <w:szCs w:val="20"/>
          <w:lang w:val="uk-UA"/>
        </w:rPr>
        <w:t xml:space="preserve"> </w:t>
      </w:r>
      <w:r w:rsidRPr="00E30416">
        <w:rPr>
          <w:rFonts w:ascii="Arial"/>
          <w:i/>
          <w:sz w:val="20"/>
          <w:szCs w:val="20"/>
          <w:lang w:val="uk-UA"/>
        </w:rPr>
        <w:t>дані</w:t>
      </w:r>
      <w:r w:rsidRPr="00E30416">
        <w:rPr>
          <w:rFonts w:ascii="Arial"/>
          <w:i/>
          <w:sz w:val="20"/>
          <w:szCs w:val="20"/>
          <w:lang w:val="uk-UA"/>
        </w:rPr>
        <w:t xml:space="preserve"> </w:t>
      </w:r>
      <w:r w:rsidRPr="00E30416">
        <w:rPr>
          <w:rFonts w:ascii="Arial"/>
          <w:i/>
          <w:sz w:val="20"/>
          <w:szCs w:val="20"/>
          <w:lang w:val="uk-UA"/>
        </w:rPr>
        <w:t>про</w:t>
      </w:r>
      <w:r w:rsidRPr="00E30416">
        <w:rPr>
          <w:rFonts w:ascii="Arial"/>
          <w:i/>
          <w:sz w:val="20"/>
          <w:szCs w:val="20"/>
          <w:lang w:val="uk-UA"/>
        </w:rPr>
        <w:t xml:space="preserve"> </w:t>
      </w:r>
      <w:r w:rsidRPr="00E30416">
        <w:rPr>
          <w:rFonts w:ascii="Arial"/>
          <w:i/>
          <w:sz w:val="20"/>
          <w:szCs w:val="20"/>
          <w:lang w:val="uk-UA"/>
        </w:rPr>
        <w:t>потреби</w:t>
      </w:r>
      <w:r w:rsidRPr="00E30416">
        <w:rPr>
          <w:rFonts w:ascii="Arial"/>
          <w:i/>
          <w:sz w:val="20"/>
          <w:szCs w:val="20"/>
          <w:lang w:val="uk-UA"/>
        </w:rPr>
        <w:t xml:space="preserve"> </w:t>
      </w:r>
      <w:r w:rsidRPr="00E30416">
        <w:rPr>
          <w:rFonts w:ascii="Arial"/>
          <w:i/>
          <w:sz w:val="20"/>
          <w:szCs w:val="20"/>
          <w:lang w:val="uk-UA"/>
        </w:rPr>
        <w:t>в</w:t>
      </w:r>
      <w:r w:rsidRPr="00E30416">
        <w:rPr>
          <w:rFonts w:ascii="Arial"/>
          <w:i/>
          <w:sz w:val="20"/>
          <w:szCs w:val="20"/>
          <w:lang w:val="uk-UA"/>
        </w:rPr>
        <w:t xml:space="preserve"> </w:t>
      </w:r>
      <w:r w:rsidRPr="00E30416">
        <w:rPr>
          <w:rFonts w:ascii="Arial"/>
          <w:i/>
          <w:sz w:val="20"/>
          <w:szCs w:val="20"/>
          <w:lang w:val="uk-UA"/>
        </w:rPr>
        <w:t>ресурсах</w:t>
      </w:r>
      <w:r w:rsidRPr="00E30416">
        <w:rPr>
          <w:rFonts w:ascii="Arial"/>
          <w:i/>
          <w:sz w:val="20"/>
          <w:szCs w:val="20"/>
          <w:lang w:val="uk-UA"/>
        </w:rPr>
        <w:t xml:space="preserve"> (</w:t>
      </w:r>
      <w:r w:rsidRPr="00E30416">
        <w:rPr>
          <w:rFonts w:ascii="Arial"/>
          <w:i/>
          <w:sz w:val="20"/>
          <w:szCs w:val="20"/>
          <w:lang w:val="uk-UA"/>
        </w:rPr>
        <w:t>витрати</w:t>
      </w:r>
      <w:r w:rsidRPr="00E30416">
        <w:rPr>
          <w:rFonts w:ascii="Arial"/>
          <w:i/>
          <w:sz w:val="20"/>
          <w:szCs w:val="20"/>
          <w:lang w:val="uk-UA"/>
        </w:rPr>
        <w:t>)?</w:t>
      </w:r>
    </w:p>
    <w:p w14:paraId="19589B49" w14:textId="117D4531" w:rsidR="00E05B98" w:rsidRPr="00821945" w:rsidRDefault="00F142AA" w:rsidP="005E365E">
      <w:pPr>
        <w:pStyle w:val="a3"/>
        <w:spacing w:before="230" w:line="276" w:lineRule="auto"/>
        <w:ind w:left="567"/>
        <w:jc w:val="both"/>
        <w:rPr>
          <w:sz w:val="20"/>
          <w:szCs w:val="20"/>
          <w:lang w:val="uk-UA"/>
        </w:rPr>
      </w:pPr>
      <w:r w:rsidRPr="00F142AA">
        <w:rPr>
          <w:w w:val="105"/>
          <w:sz w:val="20"/>
          <w:szCs w:val="20"/>
          <w:lang w:val="uk-UA"/>
        </w:rPr>
        <w:t>Прямі витрати, пов'язані з придбанням картриджів та обладнання, надаються виробником; однак кілька важливих статей, пов'язаних з використанням ресурсів для впровадження Xpert MTB/XDR, не були досліджені (наприклад, час, затрачений персоналом на проведення тесту, накладні та операційні витрати). Відмінності у використанні ресурсів при реалізації Xpert MTB/XDR порівняно з існуючими підходами буде варіюватися  залежно від умов використання різних фенотипічних та генотипічних ТМЧ. Затрати часу на виконання роботи персоналом та операційні витрати (наприклад, обсяг тестування) суттєво різняться в різних країнах/медичних закладах.</w:t>
      </w:r>
    </w:p>
    <w:p w14:paraId="774A0BDE" w14:textId="7CA59A2F" w:rsidR="00E05B98" w:rsidRPr="00821945" w:rsidRDefault="00F142AA" w:rsidP="005E365E">
      <w:pPr>
        <w:spacing w:before="174" w:line="276" w:lineRule="auto"/>
        <w:ind w:left="567"/>
        <w:rPr>
          <w:rFonts w:ascii="Arial" w:hAnsi="Arial"/>
          <w:i/>
          <w:sz w:val="20"/>
          <w:szCs w:val="20"/>
          <w:lang w:val="uk-UA"/>
        </w:rPr>
      </w:pPr>
      <w:r w:rsidRPr="00F142AA">
        <w:rPr>
          <w:rFonts w:ascii="Arial" w:hAnsi="Arial"/>
          <w:i/>
          <w:sz w:val="20"/>
          <w:szCs w:val="20"/>
          <w:lang w:val="uk-UA"/>
        </w:rPr>
        <w:t>Економічна ефективність інтервенції говорить на користь інтервенції чи порівняння?</w:t>
      </w:r>
    </w:p>
    <w:p w14:paraId="0A861A57" w14:textId="27A41C13" w:rsidR="005E365E" w:rsidRPr="005E365E" w:rsidRDefault="005E365E" w:rsidP="005E365E">
      <w:pPr>
        <w:spacing w:before="171" w:line="276" w:lineRule="auto"/>
        <w:ind w:left="567"/>
        <w:jc w:val="both"/>
        <w:rPr>
          <w:w w:val="105"/>
          <w:sz w:val="20"/>
          <w:szCs w:val="20"/>
          <w:lang w:val="uk-UA"/>
        </w:rPr>
      </w:pPr>
      <w:r w:rsidRPr="005E365E">
        <w:rPr>
          <w:w w:val="105"/>
          <w:sz w:val="20"/>
          <w:szCs w:val="20"/>
          <w:lang w:val="uk-UA"/>
        </w:rPr>
        <w:t xml:space="preserve">Не було виявлено жодного дослідження, яке б оцінювало </w:t>
      </w:r>
      <w:r w:rsidR="005A7875" w:rsidRPr="005E365E">
        <w:rPr>
          <w:w w:val="105"/>
          <w:sz w:val="20"/>
          <w:szCs w:val="20"/>
          <w:lang w:val="uk-UA"/>
        </w:rPr>
        <w:t>ефективність</w:t>
      </w:r>
      <w:r w:rsidRPr="005E365E">
        <w:rPr>
          <w:w w:val="105"/>
          <w:sz w:val="20"/>
          <w:szCs w:val="20"/>
          <w:lang w:val="uk-UA"/>
        </w:rPr>
        <w:t xml:space="preserve"> витрат при використанні Xpert MTB/XDR. Екстраполяція даних </w:t>
      </w:r>
      <w:r w:rsidR="00AF7C0C">
        <w:rPr>
          <w:w w:val="105"/>
          <w:sz w:val="20"/>
          <w:szCs w:val="20"/>
          <w:lang w:val="uk-UA"/>
        </w:rPr>
        <w:t xml:space="preserve">про </w:t>
      </w:r>
      <w:r w:rsidRPr="005E365E">
        <w:rPr>
          <w:w w:val="105"/>
          <w:sz w:val="20"/>
          <w:szCs w:val="20"/>
          <w:lang w:val="uk-UA"/>
        </w:rPr>
        <w:t>ефективн</w:t>
      </w:r>
      <w:r w:rsidR="00AF7C0C">
        <w:rPr>
          <w:w w:val="105"/>
          <w:sz w:val="20"/>
          <w:szCs w:val="20"/>
          <w:lang w:val="uk-UA"/>
        </w:rPr>
        <w:t>ість витрат</w:t>
      </w:r>
      <w:r w:rsidRPr="005E365E">
        <w:rPr>
          <w:w w:val="105"/>
          <w:sz w:val="20"/>
          <w:szCs w:val="20"/>
          <w:lang w:val="uk-UA"/>
        </w:rPr>
        <w:t>, отриманих при реалізації Xpert MTB/RIF або інших ТАНК, не рекомендується</w:t>
      </w:r>
      <w:r w:rsidR="001E194D">
        <w:rPr>
          <w:w w:val="105"/>
          <w:sz w:val="20"/>
          <w:szCs w:val="20"/>
          <w:lang w:val="uk-UA"/>
        </w:rPr>
        <w:t xml:space="preserve"> через</w:t>
      </w:r>
      <w:r w:rsidRPr="005E365E">
        <w:rPr>
          <w:w w:val="105"/>
          <w:sz w:val="20"/>
          <w:szCs w:val="20"/>
          <w:lang w:val="uk-UA"/>
        </w:rPr>
        <w:t xml:space="preserve"> відмінності в точності діагностики, а також витрат</w:t>
      </w:r>
      <w:r w:rsidR="001E194D">
        <w:rPr>
          <w:w w:val="105"/>
          <w:sz w:val="20"/>
          <w:szCs w:val="20"/>
          <w:lang w:val="uk-UA"/>
        </w:rPr>
        <w:t>ах</w:t>
      </w:r>
      <w:r w:rsidRPr="005E365E">
        <w:rPr>
          <w:w w:val="105"/>
          <w:sz w:val="20"/>
          <w:szCs w:val="20"/>
          <w:lang w:val="uk-UA"/>
        </w:rPr>
        <w:t>, пов'язан</w:t>
      </w:r>
      <w:r w:rsidR="001E194D">
        <w:rPr>
          <w:w w:val="105"/>
          <w:sz w:val="20"/>
          <w:szCs w:val="20"/>
          <w:lang w:val="uk-UA"/>
        </w:rPr>
        <w:t>их</w:t>
      </w:r>
      <w:r w:rsidRPr="005E365E">
        <w:rPr>
          <w:w w:val="105"/>
          <w:sz w:val="20"/>
          <w:szCs w:val="20"/>
          <w:lang w:val="uk-UA"/>
        </w:rPr>
        <w:t xml:space="preserve"> з лікуванням ШЛС-ТБ, </w:t>
      </w:r>
      <w:r w:rsidR="001E194D">
        <w:rPr>
          <w:w w:val="105"/>
          <w:sz w:val="20"/>
          <w:szCs w:val="20"/>
          <w:lang w:val="uk-UA"/>
        </w:rPr>
        <w:t xml:space="preserve">каскадом </w:t>
      </w:r>
      <w:r w:rsidRPr="005E365E">
        <w:rPr>
          <w:w w:val="105"/>
          <w:sz w:val="20"/>
          <w:szCs w:val="20"/>
          <w:lang w:val="uk-UA"/>
        </w:rPr>
        <w:t xml:space="preserve">тестування та </w:t>
      </w:r>
      <w:r w:rsidR="0022223A">
        <w:rPr>
          <w:w w:val="105"/>
          <w:sz w:val="20"/>
          <w:szCs w:val="20"/>
          <w:lang w:val="uk-UA"/>
        </w:rPr>
        <w:t xml:space="preserve">лікування при </w:t>
      </w:r>
      <w:r w:rsidRPr="005E365E">
        <w:rPr>
          <w:w w:val="105"/>
          <w:sz w:val="20"/>
          <w:szCs w:val="20"/>
          <w:lang w:val="uk-UA"/>
        </w:rPr>
        <w:t>наданн</w:t>
      </w:r>
      <w:r w:rsidR="0022223A">
        <w:rPr>
          <w:w w:val="105"/>
          <w:sz w:val="20"/>
          <w:szCs w:val="20"/>
          <w:lang w:val="uk-UA"/>
        </w:rPr>
        <w:t>і</w:t>
      </w:r>
      <w:r w:rsidRPr="005E365E">
        <w:rPr>
          <w:w w:val="105"/>
          <w:sz w:val="20"/>
          <w:szCs w:val="20"/>
          <w:lang w:val="uk-UA"/>
        </w:rPr>
        <w:t xml:space="preserve"> догляду.</w:t>
      </w:r>
    </w:p>
    <w:p w14:paraId="61DCEDF0" w14:textId="55AD2783" w:rsidR="00E05B98" w:rsidRPr="003C6DAE" w:rsidRDefault="005E365E" w:rsidP="005E365E">
      <w:pPr>
        <w:spacing w:before="171" w:line="276" w:lineRule="auto"/>
        <w:ind w:left="567" w:right="140"/>
        <w:jc w:val="both"/>
        <w:rPr>
          <w:lang w:val="uk-UA"/>
        </w:rPr>
      </w:pPr>
      <w:r w:rsidRPr="005E365E">
        <w:rPr>
          <w:w w:val="105"/>
          <w:sz w:val="20"/>
          <w:szCs w:val="20"/>
          <w:lang w:val="uk-UA"/>
        </w:rPr>
        <w:t xml:space="preserve">Більш детальну інформацію щодо синтезу та аналізу економічних доказів наведено у </w:t>
      </w:r>
      <w:r w:rsidRPr="005E365E">
        <w:rPr>
          <w:b/>
          <w:bCs/>
          <w:w w:val="105"/>
          <w:sz w:val="20"/>
          <w:szCs w:val="20"/>
          <w:lang w:val="uk-UA"/>
        </w:rPr>
        <w:t>веб-додатку В.20:</w:t>
      </w:r>
      <w:r w:rsidRPr="005E365E">
        <w:rPr>
          <w:w w:val="105"/>
          <w:sz w:val="20"/>
          <w:szCs w:val="20"/>
          <w:lang w:val="uk-UA"/>
        </w:rPr>
        <w:t xml:space="preserve"> </w:t>
      </w:r>
      <w:r w:rsidRPr="005E365E">
        <w:rPr>
          <w:i/>
          <w:iCs/>
          <w:w w:val="105"/>
          <w:sz w:val="20"/>
          <w:szCs w:val="20"/>
          <w:lang w:val="uk-UA"/>
        </w:rPr>
        <w:t>Систематичний огляд літератури стосовно економічних доказових даних  застосування тестів ТАНК для виявлення ТБ і ЛС-ТБ у дорослих і дітей</w:t>
      </w:r>
      <w:r w:rsidRPr="005E365E">
        <w:rPr>
          <w:w w:val="105"/>
          <w:sz w:val="20"/>
          <w:szCs w:val="20"/>
          <w:lang w:val="uk-UA"/>
        </w:rPr>
        <w:t>.</w:t>
      </w:r>
    </w:p>
    <w:p w14:paraId="73A0F5B6" w14:textId="7B098256" w:rsidR="00E05B98" w:rsidRPr="005E365E" w:rsidRDefault="005E365E" w:rsidP="005E365E">
      <w:pPr>
        <w:pStyle w:val="5"/>
        <w:spacing w:before="198" w:line="276" w:lineRule="auto"/>
        <w:rPr>
          <w:sz w:val="26"/>
          <w:szCs w:val="26"/>
          <w:lang w:val="uk-UA"/>
        </w:rPr>
      </w:pPr>
      <w:r w:rsidRPr="005E365E">
        <w:rPr>
          <w:color w:val="019648"/>
          <w:spacing w:val="-2"/>
          <w:sz w:val="26"/>
          <w:szCs w:val="26"/>
          <w:lang w:val="uk-UA"/>
        </w:rPr>
        <w:t>Точка зору користувача</w:t>
      </w:r>
    </w:p>
    <w:p w14:paraId="00FF4C0B" w14:textId="79BE212A" w:rsidR="00E05B98" w:rsidRPr="00821945" w:rsidRDefault="005E365E" w:rsidP="0022223A">
      <w:pPr>
        <w:spacing w:before="185" w:line="276" w:lineRule="auto"/>
        <w:ind w:left="567" w:right="140"/>
        <w:jc w:val="both"/>
        <w:rPr>
          <w:rFonts w:ascii="Arial" w:hAnsi="Arial"/>
          <w:b/>
          <w:sz w:val="20"/>
          <w:szCs w:val="20"/>
          <w:lang w:val="uk-UA"/>
        </w:rPr>
      </w:pPr>
      <w:r w:rsidRPr="005E365E">
        <w:rPr>
          <w:sz w:val="20"/>
          <w:szCs w:val="20"/>
          <w:lang w:val="uk-UA"/>
        </w:rPr>
        <w:t xml:space="preserve">Цей </w:t>
      </w:r>
      <w:r w:rsidR="005A7875" w:rsidRPr="005E365E">
        <w:rPr>
          <w:sz w:val="20"/>
          <w:szCs w:val="20"/>
          <w:lang w:val="uk-UA"/>
        </w:rPr>
        <w:t>розділ</w:t>
      </w:r>
      <w:r w:rsidRPr="005E365E">
        <w:rPr>
          <w:sz w:val="20"/>
          <w:szCs w:val="20"/>
          <w:lang w:val="uk-UA"/>
        </w:rPr>
        <w:t xml:space="preserve"> містить відповідь на запитання щодо </w:t>
      </w:r>
      <w:r w:rsidRPr="005E365E">
        <w:rPr>
          <w:b/>
          <w:bCs/>
          <w:sz w:val="20"/>
          <w:szCs w:val="20"/>
          <w:lang w:val="uk-UA"/>
        </w:rPr>
        <w:t>поглядів і точок зору ключових інформантів стосовно використання автоматизованих ТАНК низької складності</w:t>
      </w:r>
      <w:r w:rsidRPr="005E365E">
        <w:rPr>
          <w:sz w:val="20"/>
          <w:szCs w:val="20"/>
          <w:lang w:val="uk-UA"/>
        </w:rPr>
        <w:t>:</w:t>
      </w:r>
    </w:p>
    <w:p w14:paraId="522B36C8" w14:textId="77777777" w:rsidR="005E365E" w:rsidRPr="005E365E" w:rsidRDefault="005E365E" w:rsidP="004A2937">
      <w:pPr>
        <w:pStyle w:val="a4"/>
        <w:numPr>
          <w:ilvl w:val="0"/>
          <w:numId w:val="17"/>
        </w:numPr>
        <w:tabs>
          <w:tab w:val="left" w:pos="850"/>
        </w:tabs>
        <w:spacing w:line="276" w:lineRule="auto"/>
        <w:rPr>
          <w:w w:val="105"/>
          <w:sz w:val="20"/>
          <w:szCs w:val="20"/>
          <w:lang w:val="uk-UA"/>
        </w:rPr>
      </w:pPr>
      <w:r w:rsidRPr="005E365E">
        <w:rPr>
          <w:w w:val="105"/>
          <w:sz w:val="20"/>
          <w:szCs w:val="20"/>
          <w:lang w:val="uk-UA"/>
        </w:rPr>
        <w:t>Чи існує значна невизначеність або варіативність щодо того, наскільки кінцеві користувачі цінують основні результати?</w:t>
      </w:r>
    </w:p>
    <w:p w14:paraId="5EE17AE9" w14:textId="2A6922B2" w:rsidR="005E365E" w:rsidRPr="005E365E" w:rsidRDefault="005E365E" w:rsidP="004A2937">
      <w:pPr>
        <w:pStyle w:val="a4"/>
        <w:numPr>
          <w:ilvl w:val="0"/>
          <w:numId w:val="17"/>
        </w:numPr>
        <w:tabs>
          <w:tab w:val="left" w:pos="850"/>
        </w:tabs>
        <w:spacing w:line="276" w:lineRule="auto"/>
        <w:rPr>
          <w:w w:val="105"/>
          <w:sz w:val="20"/>
          <w:szCs w:val="20"/>
          <w:lang w:val="uk-UA"/>
        </w:rPr>
      </w:pPr>
      <w:r w:rsidRPr="005E365E">
        <w:rPr>
          <w:w w:val="105"/>
          <w:sz w:val="20"/>
          <w:szCs w:val="20"/>
          <w:lang w:val="uk-UA"/>
        </w:rPr>
        <w:t>Яким буде вплив на справедливість у сфері охорони здоров'я?</w:t>
      </w:r>
    </w:p>
    <w:p w14:paraId="772C67CC" w14:textId="77777777" w:rsidR="0022223A" w:rsidRDefault="005E365E" w:rsidP="004A2937">
      <w:pPr>
        <w:pStyle w:val="a4"/>
        <w:numPr>
          <w:ilvl w:val="0"/>
          <w:numId w:val="17"/>
        </w:numPr>
        <w:tabs>
          <w:tab w:val="left" w:pos="850"/>
        </w:tabs>
        <w:spacing w:line="276" w:lineRule="auto"/>
        <w:rPr>
          <w:w w:val="105"/>
          <w:sz w:val="20"/>
          <w:szCs w:val="20"/>
          <w:lang w:val="uk-UA"/>
        </w:rPr>
      </w:pPr>
      <w:r w:rsidRPr="005E365E">
        <w:rPr>
          <w:w w:val="105"/>
          <w:sz w:val="20"/>
          <w:szCs w:val="20"/>
          <w:lang w:val="uk-UA"/>
        </w:rPr>
        <w:t>Чи інтервенція є прийнятною для ключових зацікавлених сторін?</w:t>
      </w:r>
    </w:p>
    <w:p w14:paraId="02A6578E" w14:textId="32941D14" w:rsidR="0022223A" w:rsidRPr="0022223A" w:rsidRDefault="0022223A" w:rsidP="004A2937">
      <w:pPr>
        <w:pStyle w:val="a4"/>
        <w:numPr>
          <w:ilvl w:val="0"/>
          <w:numId w:val="17"/>
        </w:numPr>
        <w:tabs>
          <w:tab w:val="left" w:pos="850"/>
        </w:tabs>
        <w:spacing w:line="276" w:lineRule="auto"/>
        <w:rPr>
          <w:w w:val="105"/>
          <w:sz w:val="20"/>
          <w:szCs w:val="20"/>
          <w:lang w:val="uk-UA"/>
        </w:rPr>
      </w:pPr>
      <w:r w:rsidRPr="0022223A">
        <w:rPr>
          <w:w w:val="105"/>
          <w:sz w:val="20"/>
          <w:szCs w:val="20"/>
          <w:lang w:val="uk-UA"/>
        </w:rPr>
        <w:t>Чи можливо реалізувати інтервенцію?</w:t>
      </w:r>
    </w:p>
    <w:p w14:paraId="73C623DF" w14:textId="77777777" w:rsidR="0022223A" w:rsidRPr="005E365E" w:rsidRDefault="0022223A" w:rsidP="0022223A">
      <w:pPr>
        <w:pStyle w:val="a4"/>
        <w:tabs>
          <w:tab w:val="left" w:pos="850"/>
        </w:tabs>
        <w:spacing w:line="276" w:lineRule="auto"/>
        <w:ind w:firstLine="0"/>
        <w:rPr>
          <w:w w:val="105"/>
          <w:sz w:val="20"/>
          <w:szCs w:val="20"/>
          <w:lang w:val="uk-UA"/>
        </w:rPr>
      </w:pPr>
    </w:p>
    <w:p w14:paraId="544EA308" w14:textId="77777777" w:rsidR="00E05B98" w:rsidRPr="00821945" w:rsidRDefault="00E05B98" w:rsidP="00B41836">
      <w:pPr>
        <w:pStyle w:val="a4"/>
        <w:spacing w:line="276" w:lineRule="auto"/>
        <w:jc w:val="left"/>
        <w:rPr>
          <w:sz w:val="20"/>
          <w:szCs w:val="20"/>
          <w:lang w:val="uk-UA"/>
        </w:rPr>
        <w:sectPr w:rsidR="00E05B98" w:rsidRPr="00821945" w:rsidSect="0022223A">
          <w:pgSz w:w="11910" w:h="16840"/>
          <w:pgMar w:top="1134" w:right="1137" w:bottom="760" w:left="850" w:header="0" w:footer="573" w:gutter="0"/>
          <w:cols w:space="720"/>
        </w:sectPr>
      </w:pPr>
    </w:p>
    <w:p w14:paraId="66091B0D" w14:textId="020FF326" w:rsidR="00E05B98" w:rsidRPr="003C6DAE" w:rsidRDefault="00AD07FE" w:rsidP="00133A34">
      <w:pPr>
        <w:pStyle w:val="a3"/>
        <w:spacing w:before="3" w:line="276" w:lineRule="auto"/>
        <w:ind w:left="567"/>
        <w:jc w:val="both"/>
        <w:rPr>
          <w:lang w:val="uk-UA"/>
        </w:rPr>
      </w:pPr>
      <w:r w:rsidRPr="00AD07FE">
        <w:rPr>
          <w:sz w:val="20"/>
          <w:szCs w:val="20"/>
          <w:lang w:val="uk-UA"/>
        </w:rPr>
        <w:lastRenderedPageBreak/>
        <w:t>Узагальнення та аналіз якісних доказових даних про погляди кінцевих користувачів обговорюються вище в розділі «Точка зору користувача» для автоматизованих ТАНК помірної складності: глава 2.1.2 цих настанов.</w:t>
      </w:r>
    </w:p>
    <w:p w14:paraId="065FB2CB" w14:textId="77777777" w:rsidR="00E05B98" w:rsidRPr="003C6DAE" w:rsidRDefault="00E05B98" w:rsidP="00133A34">
      <w:pPr>
        <w:pStyle w:val="a3"/>
        <w:spacing w:before="9" w:line="276" w:lineRule="auto"/>
        <w:rPr>
          <w:lang w:val="uk-UA"/>
        </w:rPr>
      </w:pPr>
    </w:p>
    <w:p w14:paraId="205ACCE5" w14:textId="548E63E5" w:rsidR="00E05B98" w:rsidRPr="00AD07FE" w:rsidRDefault="00AD07FE" w:rsidP="00133A34">
      <w:pPr>
        <w:pStyle w:val="5"/>
        <w:spacing w:line="276" w:lineRule="auto"/>
        <w:jc w:val="both"/>
        <w:rPr>
          <w:sz w:val="26"/>
          <w:szCs w:val="26"/>
          <w:lang w:val="uk-UA"/>
        </w:rPr>
      </w:pPr>
      <w:r w:rsidRPr="00AD07FE">
        <w:rPr>
          <w:color w:val="019648"/>
          <w:sz w:val="26"/>
          <w:szCs w:val="26"/>
          <w:lang w:val="uk-UA"/>
        </w:rPr>
        <w:t>Результати огляду та інтерв'ю</w:t>
      </w:r>
    </w:p>
    <w:p w14:paraId="4018E26F" w14:textId="3A4B2BDE" w:rsidR="00594913" w:rsidRPr="00594913" w:rsidRDefault="00594913" w:rsidP="00133A34">
      <w:pPr>
        <w:pStyle w:val="9"/>
        <w:spacing w:before="170" w:line="276" w:lineRule="auto"/>
        <w:jc w:val="both"/>
        <w:rPr>
          <w:rFonts w:ascii="Microsoft Sans Serif" w:eastAsia="Microsoft Sans Serif" w:hAnsi="Microsoft Sans Serif" w:cs="Microsoft Sans Serif"/>
          <w:b w:val="0"/>
          <w:bCs w:val="0"/>
          <w:sz w:val="20"/>
          <w:szCs w:val="20"/>
          <w:lang w:val="uk-UA"/>
        </w:rPr>
      </w:pPr>
      <w:r w:rsidRPr="00594913">
        <w:rPr>
          <w:rFonts w:ascii="Microsoft Sans Serif" w:eastAsia="Microsoft Sans Serif" w:hAnsi="Microsoft Sans Serif" w:cs="Microsoft Sans Serif"/>
          <w:b w:val="0"/>
          <w:bCs w:val="0"/>
          <w:sz w:val="20"/>
          <w:szCs w:val="20"/>
          <w:lang w:val="uk-UA"/>
        </w:rPr>
        <w:t xml:space="preserve">Нижче наведено </w:t>
      </w:r>
      <w:r w:rsidR="005A7875" w:rsidRPr="00594913">
        <w:rPr>
          <w:rFonts w:ascii="Microsoft Sans Serif" w:eastAsia="Microsoft Sans Serif" w:hAnsi="Microsoft Sans Serif" w:cs="Microsoft Sans Serif"/>
          <w:b w:val="0"/>
          <w:bCs w:val="0"/>
          <w:sz w:val="20"/>
          <w:szCs w:val="20"/>
          <w:lang w:val="uk-UA"/>
        </w:rPr>
        <w:t>основні</w:t>
      </w:r>
      <w:r w:rsidRPr="00594913">
        <w:rPr>
          <w:rFonts w:ascii="Microsoft Sans Serif" w:eastAsia="Microsoft Sans Serif" w:hAnsi="Microsoft Sans Serif" w:cs="Microsoft Sans Serif"/>
          <w:b w:val="0"/>
          <w:bCs w:val="0"/>
          <w:sz w:val="20"/>
          <w:szCs w:val="20"/>
          <w:lang w:val="uk-UA"/>
        </w:rPr>
        <w:t xml:space="preserve"> висновки систематичного огляду та інтерв'ю. За умови отримання інформації з огляду, вказується рівень достовірності синтез</w:t>
      </w:r>
      <w:r w:rsidR="0022223A">
        <w:rPr>
          <w:rFonts w:ascii="Microsoft Sans Serif" w:eastAsia="Microsoft Sans Serif" w:hAnsi="Microsoft Sans Serif" w:cs="Microsoft Sans Serif"/>
          <w:b w:val="0"/>
          <w:bCs w:val="0"/>
          <w:sz w:val="20"/>
          <w:szCs w:val="20"/>
          <w:lang w:val="uk-UA"/>
        </w:rPr>
        <w:t>у</w:t>
      </w:r>
      <w:r w:rsidRPr="00594913">
        <w:rPr>
          <w:rFonts w:ascii="Microsoft Sans Serif" w:eastAsia="Microsoft Sans Serif" w:hAnsi="Microsoft Sans Serif" w:cs="Microsoft Sans Serif"/>
          <w:b w:val="0"/>
          <w:bCs w:val="0"/>
          <w:sz w:val="20"/>
          <w:szCs w:val="20"/>
          <w:lang w:val="uk-UA"/>
        </w:rPr>
        <w:t xml:space="preserve"> якісних даних (QES); якщо інформацію було отримано </w:t>
      </w:r>
      <w:r w:rsidR="0022223A">
        <w:rPr>
          <w:rFonts w:ascii="Microsoft Sans Serif" w:eastAsia="Microsoft Sans Serif" w:hAnsi="Microsoft Sans Serif" w:cs="Microsoft Sans Serif"/>
          <w:b w:val="0"/>
          <w:bCs w:val="0"/>
          <w:sz w:val="20"/>
          <w:szCs w:val="20"/>
          <w:lang w:val="uk-UA"/>
        </w:rPr>
        <w:t>з</w:t>
      </w:r>
      <w:r w:rsidRPr="00594913">
        <w:rPr>
          <w:rFonts w:ascii="Microsoft Sans Serif" w:eastAsia="Microsoft Sans Serif" w:hAnsi="Microsoft Sans Serif" w:cs="Microsoft Sans Serif"/>
          <w:b w:val="0"/>
          <w:bCs w:val="0"/>
          <w:sz w:val="20"/>
          <w:szCs w:val="20"/>
          <w:lang w:val="uk-UA"/>
        </w:rPr>
        <w:t xml:space="preserve"> інтерв'ю, тоді поруч з цією інформацією </w:t>
      </w:r>
      <w:r w:rsidR="0022223A">
        <w:rPr>
          <w:rFonts w:ascii="Microsoft Sans Serif" w:eastAsia="Microsoft Sans Serif" w:hAnsi="Microsoft Sans Serif" w:cs="Microsoft Sans Serif"/>
          <w:b w:val="0"/>
          <w:bCs w:val="0"/>
          <w:sz w:val="20"/>
          <w:szCs w:val="20"/>
          <w:lang w:val="uk-UA"/>
        </w:rPr>
        <w:t>зазначають</w:t>
      </w:r>
      <w:r w:rsidRPr="00594913">
        <w:rPr>
          <w:rFonts w:ascii="Microsoft Sans Serif" w:eastAsia="Microsoft Sans Serif" w:hAnsi="Microsoft Sans Serif" w:cs="Microsoft Sans Serif"/>
          <w:b w:val="0"/>
          <w:bCs w:val="0"/>
          <w:sz w:val="20"/>
          <w:szCs w:val="20"/>
          <w:lang w:val="uk-UA"/>
        </w:rPr>
        <w:t xml:space="preserve"> «Інтерв'ю».</w:t>
      </w:r>
    </w:p>
    <w:p w14:paraId="1DACE446" w14:textId="15B38C5A" w:rsidR="00E05B98" w:rsidRPr="00594913" w:rsidRDefault="00594913" w:rsidP="00133A34">
      <w:pPr>
        <w:pStyle w:val="9"/>
        <w:spacing w:before="170" w:line="276" w:lineRule="auto"/>
        <w:jc w:val="both"/>
        <w:rPr>
          <w:sz w:val="20"/>
          <w:szCs w:val="20"/>
          <w:lang w:val="uk-UA"/>
        </w:rPr>
      </w:pPr>
      <w:r w:rsidRPr="00594913">
        <w:rPr>
          <w:rFonts w:ascii="Microsoft Sans Serif" w:eastAsia="Microsoft Sans Serif" w:hAnsi="Microsoft Sans Serif" w:cs="Microsoft Sans Serif"/>
          <w:sz w:val="20"/>
          <w:szCs w:val="20"/>
          <w:lang w:val="uk-UA"/>
        </w:rPr>
        <w:t>Чи існує значна невизначеність або варіативність щодо того, наскільки кінцеві користувачі цінують основні результати?</w:t>
      </w:r>
    </w:p>
    <w:p w14:paraId="0CBE0BA7" w14:textId="2BF5B7A3" w:rsidR="00E05B98" w:rsidRPr="00594913" w:rsidRDefault="00594913" w:rsidP="00133A34">
      <w:pPr>
        <w:pStyle w:val="a4"/>
        <w:numPr>
          <w:ilvl w:val="0"/>
          <w:numId w:val="1"/>
        </w:numPr>
        <w:tabs>
          <w:tab w:val="left" w:pos="850"/>
        </w:tabs>
        <w:spacing w:before="168" w:line="276" w:lineRule="auto"/>
        <w:ind w:hanging="283"/>
        <w:rPr>
          <w:sz w:val="20"/>
          <w:szCs w:val="20"/>
          <w:lang w:val="uk-UA"/>
        </w:rPr>
      </w:pPr>
      <w:r w:rsidRPr="00594913">
        <w:rPr>
          <w:b/>
          <w:sz w:val="20"/>
          <w:szCs w:val="20"/>
          <w:lang w:val="uk-UA"/>
        </w:rPr>
        <w:t>Пацієнти</w:t>
      </w:r>
      <w:r w:rsidRPr="00594913">
        <w:rPr>
          <w:bCs/>
          <w:sz w:val="20"/>
          <w:szCs w:val="20"/>
          <w:lang w:val="uk-UA"/>
        </w:rPr>
        <w:t xml:space="preserve"> в країнах з високим тягарем </w:t>
      </w:r>
      <w:r w:rsidR="005A7875" w:rsidRPr="00594913">
        <w:rPr>
          <w:bCs/>
          <w:sz w:val="20"/>
          <w:szCs w:val="20"/>
          <w:lang w:val="uk-UA"/>
        </w:rPr>
        <w:t>захворюваності</w:t>
      </w:r>
      <w:r w:rsidRPr="00594913">
        <w:rPr>
          <w:bCs/>
          <w:sz w:val="20"/>
          <w:szCs w:val="20"/>
          <w:lang w:val="uk-UA"/>
        </w:rPr>
        <w:t xml:space="preserve"> на ТБ цінують:</w:t>
      </w:r>
    </w:p>
    <w:p w14:paraId="32A7DEE2" w14:textId="77777777" w:rsidR="002811B9" w:rsidRPr="002811B9" w:rsidRDefault="002811B9" w:rsidP="00133A34">
      <w:pPr>
        <w:pStyle w:val="a4"/>
        <w:numPr>
          <w:ilvl w:val="1"/>
          <w:numId w:val="1"/>
        </w:numPr>
        <w:tabs>
          <w:tab w:val="left" w:pos="1227"/>
        </w:tabs>
        <w:spacing w:line="276" w:lineRule="auto"/>
        <w:rPr>
          <w:sz w:val="20"/>
          <w:szCs w:val="20"/>
          <w:lang w:val="uk-UA"/>
        </w:rPr>
      </w:pPr>
      <w:r w:rsidRPr="002811B9">
        <w:rPr>
          <w:sz w:val="20"/>
          <w:szCs w:val="20"/>
          <w:lang w:val="uk-UA"/>
        </w:rPr>
        <w:t>можливість отримати точний діагноз та досягнути завершення діагностики (нарешті дізнатися, «що зі мною не так»);</w:t>
      </w:r>
    </w:p>
    <w:p w14:paraId="6D1E4835" w14:textId="3A56FE72" w:rsidR="002811B9" w:rsidRPr="002811B9" w:rsidRDefault="002811B9" w:rsidP="00133A34">
      <w:pPr>
        <w:pStyle w:val="a4"/>
        <w:numPr>
          <w:ilvl w:val="1"/>
          <w:numId w:val="1"/>
        </w:numPr>
        <w:tabs>
          <w:tab w:val="left" w:pos="1227"/>
        </w:tabs>
        <w:spacing w:line="276" w:lineRule="auto"/>
        <w:rPr>
          <w:sz w:val="20"/>
          <w:szCs w:val="20"/>
          <w:lang w:val="uk-UA"/>
        </w:rPr>
      </w:pPr>
      <w:r w:rsidRPr="002811B9">
        <w:rPr>
          <w:sz w:val="20"/>
          <w:szCs w:val="20"/>
          <w:lang w:val="uk-UA"/>
        </w:rPr>
        <w:t>уникнення затримок у встановленні діагнозу, оскільки вони посилюють існуючі фінансові труднощі, емоційні та фізичні страждання, а також змушують пацієнтів відчувати провину за інфікування інших людей (особливо дітей);</w:t>
      </w:r>
    </w:p>
    <w:p w14:paraId="3DC51DBA" w14:textId="04656B43" w:rsidR="002811B9" w:rsidRPr="000F1969" w:rsidRDefault="002811B9" w:rsidP="00133A34">
      <w:pPr>
        <w:pStyle w:val="a4"/>
        <w:numPr>
          <w:ilvl w:val="1"/>
          <w:numId w:val="1"/>
        </w:numPr>
        <w:tabs>
          <w:tab w:val="left" w:pos="1227"/>
        </w:tabs>
        <w:spacing w:line="276" w:lineRule="auto"/>
        <w:rPr>
          <w:sz w:val="20"/>
          <w:szCs w:val="20"/>
          <w:lang w:val="uk-UA"/>
        </w:rPr>
      </w:pPr>
      <w:r w:rsidRPr="000F1969">
        <w:rPr>
          <w:sz w:val="20"/>
          <w:szCs w:val="20"/>
          <w:lang w:val="uk-UA"/>
        </w:rPr>
        <w:t xml:space="preserve">наявність доступних </w:t>
      </w:r>
      <w:r w:rsidR="005878D4">
        <w:rPr>
          <w:sz w:val="20"/>
          <w:szCs w:val="20"/>
          <w:lang w:val="uk-UA"/>
        </w:rPr>
        <w:t>закладів</w:t>
      </w:r>
      <w:r w:rsidRPr="000F1969">
        <w:rPr>
          <w:sz w:val="20"/>
          <w:szCs w:val="20"/>
          <w:lang w:val="uk-UA"/>
        </w:rPr>
        <w:t xml:space="preserve">; </w:t>
      </w:r>
      <w:r w:rsidR="005878D4">
        <w:rPr>
          <w:sz w:val="20"/>
          <w:szCs w:val="20"/>
          <w:lang w:val="uk-UA"/>
        </w:rPr>
        <w:t xml:space="preserve">  та</w:t>
      </w:r>
    </w:p>
    <w:p w14:paraId="20FE3F30" w14:textId="6CD157FC" w:rsidR="00E05B98" w:rsidRPr="00821945" w:rsidRDefault="002811B9" w:rsidP="00133A34">
      <w:pPr>
        <w:pStyle w:val="a4"/>
        <w:numPr>
          <w:ilvl w:val="1"/>
          <w:numId w:val="1"/>
        </w:numPr>
        <w:tabs>
          <w:tab w:val="left" w:pos="1227"/>
        </w:tabs>
        <w:spacing w:line="276" w:lineRule="auto"/>
        <w:rPr>
          <w:sz w:val="20"/>
          <w:szCs w:val="20"/>
          <w:lang w:val="uk-UA"/>
        </w:rPr>
      </w:pPr>
      <w:r w:rsidRPr="002811B9">
        <w:rPr>
          <w:sz w:val="20"/>
          <w:szCs w:val="20"/>
          <w:lang w:val="uk-UA"/>
        </w:rPr>
        <w:t>зменшення витрат, пов'язаних з діагностикою (наприклад, витрати на проїзд, відсутність на роботі), як важливий результат  діагностики.</w:t>
      </w:r>
    </w:p>
    <w:p w14:paraId="54CACF41" w14:textId="2C5FD6A8" w:rsidR="00E05B98" w:rsidRPr="00821945" w:rsidRDefault="00B01E0C" w:rsidP="00133A34">
      <w:pPr>
        <w:spacing w:line="276" w:lineRule="auto"/>
        <w:ind w:left="1227"/>
        <w:rPr>
          <w:rFonts w:ascii="Arial"/>
          <w:i/>
          <w:sz w:val="20"/>
          <w:szCs w:val="20"/>
          <w:lang w:val="uk-UA"/>
        </w:rPr>
      </w:pPr>
      <w:r w:rsidRPr="00821945">
        <w:rPr>
          <w:rFonts w:ascii="Arial"/>
          <w:i/>
          <w:spacing w:val="-6"/>
          <w:sz w:val="20"/>
          <w:szCs w:val="20"/>
          <w:lang w:val="uk-UA"/>
        </w:rPr>
        <w:t>QES:</w:t>
      </w:r>
      <w:r w:rsidRPr="00821945">
        <w:rPr>
          <w:rFonts w:ascii="Arial"/>
          <w:i/>
          <w:spacing w:val="-11"/>
          <w:sz w:val="20"/>
          <w:szCs w:val="20"/>
          <w:lang w:val="uk-UA"/>
        </w:rPr>
        <w:t xml:space="preserve"> </w:t>
      </w:r>
      <w:r w:rsidR="002811B9">
        <w:rPr>
          <w:rFonts w:ascii="Arial"/>
          <w:i/>
          <w:spacing w:val="-6"/>
          <w:sz w:val="20"/>
          <w:szCs w:val="20"/>
          <w:lang w:val="uk-UA"/>
        </w:rPr>
        <w:t>помірний</w:t>
      </w:r>
      <w:r w:rsidR="002811B9">
        <w:rPr>
          <w:rFonts w:ascii="Arial"/>
          <w:i/>
          <w:spacing w:val="-6"/>
          <w:sz w:val="20"/>
          <w:szCs w:val="20"/>
          <w:lang w:val="uk-UA"/>
        </w:rPr>
        <w:t xml:space="preserve"> </w:t>
      </w:r>
      <w:r w:rsidR="0092710F">
        <w:rPr>
          <w:rFonts w:ascii="Arial"/>
          <w:i/>
          <w:spacing w:val="-6"/>
          <w:sz w:val="20"/>
          <w:szCs w:val="20"/>
          <w:lang w:val="uk-UA"/>
        </w:rPr>
        <w:t>рівень</w:t>
      </w:r>
      <w:r w:rsidR="0092710F">
        <w:rPr>
          <w:rFonts w:ascii="Arial"/>
          <w:i/>
          <w:spacing w:val="-6"/>
          <w:sz w:val="20"/>
          <w:szCs w:val="20"/>
          <w:lang w:val="uk-UA"/>
        </w:rPr>
        <w:t xml:space="preserve"> </w:t>
      </w:r>
      <w:r w:rsidR="0092710F">
        <w:rPr>
          <w:rFonts w:ascii="Arial"/>
          <w:i/>
          <w:spacing w:val="-6"/>
          <w:sz w:val="20"/>
          <w:szCs w:val="20"/>
          <w:lang w:val="uk-UA"/>
        </w:rPr>
        <w:t>достовірності</w:t>
      </w:r>
    </w:p>
    <w:p w14:paraId="037DE102" w14:textId="2A94A84C" w:rsidR="00E05B98" w:rsidRPr="00821945" w:rsidRDefault="002811B9" w:rsidP="004A2937">
      <w:pPr>
        <w:pStyle w:val="a4"/>
        <w:numPr>
          <w:ilvl w:val="0"/>
          <w:numId w:val="16"/>
        </w:numPr>
        <w:tabs>
          <w:tab w:val="left" w:pos="850"/>
        </w:tabs>
        <w:spacing w:before="60" w:line="276" w:lineRule="auto"/>
        <w:jc w:val="left"/>
        <w:rPr>
          <w:sz w:val="20"/>
          <w:szCs w:val="20"/>
          <w:lang w:val="uk-UA"/>
        </w:rPr>
      </w:pPr>
      <w:r w:rsidRPr="00AC6E4F">
        <w:rPr>
          <w:b/>
          <w:bCs/>
          <w:spacing w:val="-2"/>
          <w:sz w:val="20"/>
          <w:szCs w:val="20"/>
          <w:lang w:val="uk-UA"/>
        </w:rPr>
        <w:t xml:space="preserve">Медичні працівники </w:t>
      </w:r>
      <w:r w:rsidRPr="002811B9">
        <w:rPr>
          <w:spacing w:val="-2"/>
          <w:sz w:val="20"/>
          <w:szCs w:val="20"/>
          <w:lang w:val="uk-UA"/>
        </w:rPr>
        <w:t xml:space="preserve">цінують автоматизовані ТАНК низької складності порівняно з існуючими тестами або мікроскопією мокротиння, </w:t>
      </w:r>
      <w:r w:rsidR="00AC6E4F">
        <w:rPr>
          <w:spacing w:val="-2"/>
          <w:sz w:val="20"/>
          <w:szCs w:val="20"/>
          <w:lang w:val="uk-UA"/>
        </w:rPr>
        <w:t>через</w:t>
      </w:r>
      <w:r w:rsidRPr="002811B9">
        <w:rPr>
          <w:spacing w:val="-2"/>
          <w:sz w:val="20"/>
          <w:szCs w:val="20"/>
          <w:lang w:val="uk-UA"/>
        </w:rPr>
        <w:t>:</w:t>
      </w:r>
    </w:p>
    <w:p w14:paraId="3AEF620C" w14:textId="77777777" w:rsidR="00AC6E4F" w:rsidRPr="00AC6E4F" w:rsidRDefault="00AC6E4F" w:rsidP="004A2937">
      <w:pPr>
        <w:pStyle w:val="a4"/>
        <w:numPr>
          <w:ilvl w:val="1"/>
          <w:numId w:val="16"/>
        </w:numPr>
        <w:tabs>
          <w:tab w:val="left" w:pos="1227"/>
        </w:tabs>
        <w:spacing w:line="276" w:lineRule="auto"/>
        <w:rPr>
          <w:sz w:val="20"/>
          <w:szCs w:val="20"/>
          <w:lang w:val="uk-UA"/>
        </w:rPr>
      </w:pPr>
      <w:r w:rsidRPr="00AC6E4F">
        <w:rPr>
          <w:sz w:val="20"/>
          <w:szCs w:val="20"/>
          <w:lang w:val="uk-UA"/>
        </w:rPr>
        <w:t>швидкість виконання і точність результатів;</w:t>
      </w:r>
    </w:p>
    <w:p w14:paraId="0C914AFE" w14:textId="76176278" w:rsidR="00AC6E4F" w:rsidRPr="00AC6E4F" w:rsidRDefault="00AC6E4F" w:rsidP="004A2937">
      <w:pPr>
        <w:pStyle w:val="a4"/>
        <w:numPr>
          <w:ilvl w:val="1"/>
          <w:numId w:val="16"/>
        </w:numPr>
        <w:tabs>
          <w:tab w:val="left" w:pos="1227"/>
        </w:tabs>
        <w:spacing w:line="276" w:lineRule="auto"/>
        <w:rPr>
          <w:sz w:val="20"/>
          <w:szCs w:val="20"/>
          <w:lang w:val="uk-UA"/>
        </w:rPr>
      </w:pPr>
      <w:r w:rsidRPr="00AC6E4F">
        <w:rPr>
          <w:sz w:val="20"/>
          <w:szCs w:val="20"/>
          <w:lang w:val="uk-UA"/>
        </w:rPr>
        <w:t>впевненість, яку дає результат для початку лікування та мотивації пацієнтів;</w:t>
      </w:r>
    </w:p>
    <w:p w14:paraId="3CF6A394" w14:textId="2456D39F" w:rsidR="00AC6E4F" w:rsidRPr="00AC6E4F" w:rsidRDefault="00AC6E4F" w:rsidP="004A2937">
      <w:pPr>
        <w:pStyle w:val="a4"/>
        <w:numPr>
          <w:ilvl w:val="1"/>
          <w:numId w:val="16"/>
        </w:numPr>
        <w:tabs>
          <w:tab w:val="left" w:pos="1227"/>
        </w:tabs>
        <w:spacing w:line="276" w:lineRule="auto"/>
        <w:rPr>
          <w:sz w:val="20"/>
          <w:szCs w:val="20"/>
          <w:lang w:val="uk-UA"/>
        </w:rPr>
      </w:pPr>
      <w:r w:rsidRPr="00AC6E4F">
        <w:rPr>
          <w:sz w:val="20"/>
          <w:szCs w:val="20"/>
          <w:lang w:val="uk-UA"/>
        </w:rPr>
        <w:t>різноманітність типів зразків;</w:t>
      </w:r>
    </w:p>
    <w:p w14:paraId="3D033A5A" w14:textId="77777777" w:rsidR="00AC6E4F" w:rsidRDefault="00AC6E4F" w:rsidP="004A2937">
      <w:pPr>
        <w:pStyle w:val="a4"/>
        <w:numPr>
          <w:ilvl w:val="1"/>
          <w:numId w:val="16"/>
        </w:numPr>
        <w:tabs>
          <w:tab w:val="left" w:pos="1227"/>
        </w:tabs>
        <w:spacing w:line="276" w:lineRule="auto"/>
        <w:rPr>
          <w:sz w:val="20"/>
          <w:szCs w:val="20"/>
          <w:lang w:val="uk-UA"/>
        </w:rPr>
      </w:pPr>
      <w:r w:rsidRPr="00AC6E4F">
        <w:rPr>
          <w:sz w:val="20"/>
          <w:szCs w:val="20"/>
          <w:lang w:val="uk-UA"/>
        </w:rPr>
        <w:t>можливість виявити стійкість до лікарських засобів раніше або взагалі для якомога більшої кількості препаратів (змінюється сприйняття лікарем ризиків розвитку лікарської стійкості у дітей) і, як наслідок, уникнення виконання більш дорогих досліджень або перебування в лікарні.</w:t>
      </w:r>
    </w:p>
    <w:p w14:paraId="28951D1B" w14:textId="3D10DC72" w:rsidR="00E05B98" w:rsidRPr="00AC6E4F" w:rsidRDefault="00B01E0C" w:rsidP="00133A34">
      <w:pPr>
        <w:pStyle w:val="a4"/>
        <w:tabs>
          <w:tab w:val="left" w:pos="1227"/>
        </w:tabs>
        <w:spacing w:line="276" w:lineRule="auto"/>
        <w:ind w:left="1227" w:firstLine="0"/>
        <w:rPr>
          <w:sz w:val="20"/>
          <w:szCs w:val="20"/>
          <w:lang w:val="uk-UA"/>
        </w:rPr>
      </w:pPr>
      <w:r w:rsidRPr="00AC6E4F">
        <w:rPr>
          <w:rFonts w:ascii="Arial"/>
          <w:i/>
          <w:w w:val="90"/>
          <w:sz w:val="20"/>
          <w:szCs w:val="20"/>
          <w:lang w:val="uk-UA"/>
        </w:rPr>
        <w:t>QES:</w:t>
      </w:r>
      <w:r w:rsidRPr="00AC6E4F">
        <w:rPr>
          <w:rFonts w:ascii="Arial"/>
          <w:i/>
          <w:spacing w:val="1"/>
          <w:sz w:val="20"/>
          <w:szCs w:val="20"/>
          <w:lang w:val="uk-UA"/>
        </w:rPr>
        <w:t xml:space="preserve"> </w:t>
      </w:r>
      <w:r w:rsidR="00AC6E4F">
        <w:rPr>
          <w:rFonts w:ascii="Arial"/>
          <w:i/>
          <w:w w:val="90"/>
          <w:sz w:val="20"/>
          <w:szCs w:val="20"/>
          <w:lang w:val="uk-UA"/>
        </w:rPr>
        <w:t>високий</w:t>
      </w:r>
      <w:r w:rsidR="00AC6E4F">
        <w:rPr>
          <w:rFonts w:ascii="Arial"/>
          <w:i/>
          <w:w w:val="90"/>
          <w:sz w:val="20"/>
          <w:szCs w:val="20"/>
          <w:lang w:val="uk-UA"/>
        </w:rPr>
        <w:t xml:space="preserve"> </w:t>
      </w:r>
      <w:r w:rsidR="0092710F">
        <w:rPr>
          <w:rFonts w:ascii="Arial"/>
          <w:i/>
          <w:w w:val="90"/>
          <w:sz w:val="20"/>
          <w:szCs w:val="20"/>
          <w:lang w:val="uk-UA"/>
        </w:rPr>
        <w:t>рівень</w:t>
      </w:r>
      <w:r w:rsidR="0092710F">
        <w:rPr>
          <w:rFonts w:ascii="Arial"/>
          <w:i/>
          <w:w w:val="90"/>
          <w:sz w:val="20"/>
          <w:szCs w:val="20"/>
          <w:lang w:val="uk-UA"/>
        </w:rPr>
        <w:t xml:space="preserve"> </w:t>
      </w:r>
      <w:r w:rsidR="0092710F">
        <w:rPr>
          <w:rFonts w:ascii="Arial"/>
          <w:i/>
          <w:w w:val="90"/>
          <w:sz w:val="20"/>
          <w:szCs w:val="20"/>
          <w:lang w:val="uk-UA"/>
        </w:rPr>
        <w:t>достовірності</w:t>
      </w:r>
    </w:p>
    <w:p w14:paraId="4A5C776C" w14:textId="07940F01" w:rsidR="00B41836" w:rsidRPr="005A7875" w:rsidRDefault="00B41836" w:rsidP="004A2937">
      <w:pPr>
        <w:pStyle w:val="a4"/>
        <w:numPr>
          <w:ilvl w:val="1"/>
          <w:numId w:val="16"/>
        </w:numPr>
        <w:tabs>
          <w:tab w:val="left" w:pos="1227"/>
        </w:tabs>
        <w:spacing w:before="60" w:line="276" w:lineRule="auto"/>
        <w:rPr>
          <w:sz w:val="20"/>
          <w:szCs w:val="20"/>
          <w:lang w:val="uk-UA"/>
        </w:rPr>
      </w:pPr>
      <w:r w:rsidRPr="005A7875">
        <w:rPr>
          <w:sz w:val="20"/>
          <w:szCs w:val="20"/>
          <w:lang w:val="uk-UA"/>
        </w:rPr>
        <w:t xml:space="preserve">Порівняно з іншими доступними методами діагностики, картридж відрізняється </w:t>
      </w:r>
      <w:r w:rsidR="0092710F" w:rsidRPr="005A7875">
        <w:rPr>
          <w:sz w:val="20"/>
          <w:szCs w:val="20"/>
          <w:lang w:val="uk-UA"/>
        </w:rPr>
        <w:t xml:space="preserve">тим, що потребує меншого часу </w:t>
      </w:r>
      <w:r w:rsidRPr="005A7875">
        <w:rPr>
          <w:sz w:val="20"/>
          <w:szCs w:val="20"/>
          <w:lang w:val="uk-UA"/>
        </w:rPr>
        <w:t>для виконання ТМЧ до препаратів першого та другого ряду</w:t>
      </w:r>
      <w:r w:rsidR="00144823" w:rsidRPr="005A7875">
        <w:rPr>
          <w:sz w:val="20"/>
          <w:szCs w:val="20"/>
          <w:lang w:val="uk-UA"/>
        </w:rPr>
        <w:t>. Медичні працівники цінують більш короткий час виконання роботи, потенційну можливість виконання контрольного тесту за допомогою картриджу Xpert MTB/XDR, який проводять на зразках, раніше протестованих за допомогою  картриджу Xpert MTB/RIF, які показали результати, що не відповідають нормі, а також одночасного отримання інформації щодо кількох лікарських препаратів і стійкість високого або низького рівня, оскільки це може забезпечити швидку діагностику і оптимізацію лікування пацієнтів.</w:t>
      </w:r>
    </w:p>
    <w:p w14:paraId="077636FB" w14:textId="2118AAC8" w:rsidR="00E05B98" w:rsidRPr="005A7875" w:rsidRDefault="00B41836" w:rsidP="00133A34">
      <w:pPr>
        <w:pStyle w:val="a4"/>
        <w:tabs>
          <w:tab w:val="left" w:pos="1227"/>
        </w:tabs>
        <w:spacing w:before="60" w:line="276" w:lineRule="auto"/>
        <w:ind w:left="1227" w:firstLine="0"/>
        <w:rPr>
          <w:sz w:val="20"/>
          <w:szCs w:val="20"/>
          <w:lang w:val="uk-UA"/>
        </w:rPr>
      </w:pPr>
      <w:r w:rsidRPr="005A7875">
        <w:rPr>
          <w:rFonts w:ascii="Arial"/>
          <w:i/>
          <w:spacing w:val="-2"/>
          <w:sz w:val="20"/>
          <w:szCs w:val="20"/>
          <w:lang w:val="uk-UA"/>
        </w:rPr>
        <w:t>Інтерв’ю</w:t>
      </w:r>
    </w:p>
    <w:p w14:paraId="5D28000B" w14:textId="465FE08D" w:rsidR="00E05B98" w:rsidRPr="00821945" w:rsidRDefault="00B41836" w:rsidP="004A2937">
      <w:pPr>
        <w:pStyle w:val="a4"/>
        <w:numPr>
          <w:ilvl w:val="0"/>
          <w:numId w:val="15"/>
        </w:numPr>
        <w:tabs>
          <w:tab w:val="left" w:pos="850"/>
          <w:tab w:val="left" w:pos="907"/>
        </w:tabs>
        <w:spacing w:before="57" w:line="276" w:lineRule="auto"/>
        <w:ind w:hanging="283"/>
        <w:jc w:val="left"/>
        <w:rPr>
          <w:sz w:val="20"/>
          <w:szCs w:val="20"/>
          <w:lang w:val="uk-UA"/>
        </w:rPr>
      </w:pPr>
      <w:r w:rsidRPr="00B41836">
        <w:rPr>
          <w:rFonts w:ascii="Arial" w:hAnsi="Arial"/>
          <w:b/>
          <w:spacing w:val="-4"/>
          <w:sz w:val="20"/>
          <w:szCs w:val="20"/>
          <w:lang w:val="uk-UA"/>
        </w:rPr>
        <w:t>Лабораторний технічний персонал</w:t>
      </w:r>
      <w:r w:rsidRPr="00B41836">
        <w:rPr>
          <w:rFonts w:ascii="Arial" w:hAnsi="Arial"/>
          <w:bCs/>
          <w:spacing w:val="-4"/>
          <w:sz w:val="20"/>
          <w:szCs w:val="20"/>
          <w:lang w:val="uk-UA"/>
        </w:rPr>
        <w:t xml:space="preserve"> цінує автоматизовані ТАНК низької складності з наступних причин:</w:t>
      </w:r>
    </w:p>
    <w:p w14:paraId="62967D10" w14:textId="11A65A2F" w:rsidR="00E05B98" w:rsidRPr="00821945" w:rsidRDefault="00B41836" w:rsidP="004A2937">
      <w:pPr>
        <w:pStyle w:val="a4"/>
        <w:numPr>
          <w:ilvl w:val="1"/>
          <w:numId w:val="15"/>
        </w:numPr>
        <w:tabs>
          <w:tab w:val="left" w:pos="1227"/>
        </w:tabs>
        <w:spacing w:line="276" w:lineRule="auto"/>
        <w:rPr>
          <w:sz w:val="20"/>
          <w:szCs w:val="20"/>
          <w:lang w:val="uk-UA"/>
        </w:rPr>
      </w:pPr>
      <w:r w:rsidRPr="00B41836">
        <w:rPr>
          <w:sz w:val="20"/>
          <w:szCs w:val="20"/>
          <w:lang w:val="uk-UA"/>
        </w:rPr>
        <w:t>Загалом, тести покращують лабораторну роботу порівняно з мікроскопією мокротиння з точки зору простоти використання, ергономічності та біобезпеки</w:t>
      </w:r>
      <w:r w:rsidR="00B01E0C" w:rsidRPr="00821945">
        <w:rPr>
          <w:sz w:val="20"/>
          <w:szCs w:val="20"/>
          <w:lang w:val="uk-UA"/>
        </w:rPr>
        <w:t>.</w:t>
      </w:r>
    </w:p>
    <w:p w14:paraId="4248AB33" w14:textId="614B7988" w:rsidR="00E05B98" w:rsidRPr="00821945" w:rsidRDefault="00144823" w:rsidP="00133A34">
      <w:pPr>
        <w:spacing w:line="276" w:lineRule="auto"/>
        <w:ind w:left="1227"/>
        <w:rPr>
          <w:rFonts w:ascii="Arial"/>
          <w:i/>
          <w:sz w:val="20"/>
          <w:szCs w:val="20"/>
          <w:lang w:val="uk-UA"/>
        </w:rPr>
      </w:pPr>
      <w:r>
        <w:rPr>
          <w:rFonts w:ascii="Arial"/>
          <w:i/>
          <w:w w:val="90"/>
          <w:sz w:val="20"/>
          <w:szCs w:val="20"/>
          <w:lang w:val="uk-UA"/>
        </w:rPr>
        <w:t>Синтез</w:t>
      </w:r>
      <w:r>
        <w:rPr>
          <w:rFonts w:ascii="Arial"/>
          <w:i/>
          <w:w w:val="90"/>
          <w:sz w:val="20"/>
          <w:szCs w:val="20"/>
          <w:lang w:val="uk-UA"/>
        </w:rPr>
        <w:t xml:space="preserve"> </w:t>
      </w:r>
      <w:r>
        <w:rPr>
          <w:rFonts w:ascii="Arial"/>
          <w:i/>
          <w:w w:val="90"/>
          <w:sz w:val="20"/>
          <w:szCs w:val="20"/>
          <w:lang w:val="uk-UA"/>
        </w:rPr>
        <w:t>якісних</w:t>
      </w:r>
      <w:r>
        <w:rPr>
          <w:rFonts w:ascii="Arial"/>
          <w:i/>
          <w:w w:val="90"/>
          <w:sz w:val="20"/>
          <w:szCs w:val="20"/>
          <w:lang w:val="uk-UA"/>
        </w:rPr>
        <w:t xml:space="preserve"> </w:t>
      </w:r>
      <w:r>
        <w:rPr>
          <w:rFonts w:ascii="Arial"/>
          <w:i/>
          <w:w w:val="90"/>
          <w:sz w:val="20"/>
          <w:szCs w:val="20"/>
          <w:lang w:val="uk-UA"/>
        </w:rPr>
        <w:t>доказів</w:t>
      </w:r>
      <w:r w:rsidR="00B41836" w:rsidRPr="00B41836">
        <w:rPr>
          <w:rFonts w:ascii="Arial"/>
          <w:i/>
          <w:w w:val="90"/>
          <w:sz w:val="20"/>
          <w:szCs w:val="20"/>
          <w:lang w:val="uk-UA"/>
        </w:rPr>
        <w:t xml:space="preserve">: </w:t>
      </w:r>
      <w:r w:rsidR="00B41836" w:rsidRPr="00B41836">
        <w:rPr>
          <w:rFonts w:ascii="Arial"/>
          <w:i/>
          <w:w w:val="90"/>
          <w:sz w:val="20"/>
          <w:szCs w:val="20"/>
          <w:lang w:val="uk-UA"/>
        </w:rPr>
        <w:t>високий</w:t>
      </w:r>
      <w:r w:rsidR="00B41836" w:rsidRPr="00B41836">
        <w:rPr>
          <w:rFonts w:ascii="Arial"/>
          <w:i/>
          <w:w w:val="90"/>
          <w:sz w:val="20"/>
          <w:szCs w:val="20"/>
          <w:lang w:val="uk-UA"/>
        </w:rPr>
        <w:t xml:space="preserve"> </w:t>
      </w:r>
      <w:r w:rsidR="0003476D">
        <w:rPr>
          <w:rFonts w:ascii="Arial"/>
          <w:i/>
          <w:w w:val="90"/>
          <w:sz w:val="20"/>
          <w:szCs w:val="20"/>
          <w:lang w:val="uk-UA"/>
        </w:rPr>
        <w:t>рівень</w:t>
      </w:r>
      <w:r w:rsidR="00B41836" w:rsidRPr="00B41836">
        <w:rPr>
          <w:rFonts w:ascii="Arial"/>
          <w:i/>
          <w:w w:val="90"/>
          <w:sz w:val="20"/>
          <w:szCs w:val="20"/>
          <w:lang w:val="uk-UA"/>
        </w:rPr>
        <w:t xml:space="preserve"> </w:t>
      </w:r>
      <w:r w:rsidR="00B41836" w:rsidRPr="00B41836">
        <w:rPr>
          <w:rFonts w:ascii="Arial"/>
          <w:i/>
          <w:w w:val="90"/>
          <w:sz w:val="20"/>
          <w:szCs w:val="20"/>
          <w:lang w:val="uk-UA"/>
        </w:rPr>
        <w:t>достовірн</w:t>
      </w:r>
      <w:r w:rsidR="00AD527D">
        <w:rPr>
          <w:rFonts w:ascii="Arial"/>
          <w:i/>
          <w:w w:val="90"/>
          <w:sz w:val="20"/>
          <w:szCs w:val="20"/>
          <w:lang w:val="uk-UA"/>
        </w:rPr>
        <w:t>ості</w:t>
      </w:r>
    </w:p>
    <w:p w14:paraId="78DC9BF1" w14:textId="4C8C7A33" w:rsidR="00E05B98" w:rsidRPr="00821945" w:rsidRDefault="00B41836" w:rsidP="004A2937">
      <w:pPr>
        <w:pStyle w:val="a4"/>
        <w:numPr>
          <w:ilvl w:val="1"/>
          <w:numId w:val="15"/>
        </w:numPr>
        <w:tabs>
          <w:tab w:val="left" w:pos="1227"/>
        </w:tabs>
        <w:spacing w:before="60" w:line="276" w:lineRule="auto"/>
        <w:rPr>
          <w:sz w:val="20"/>
          <w:szCs w:val="20"/>
          <w:lang w:val="uk-UA"/>
        </w:rPr>
      </w:pPr>
      <w:r w:rsidRPr="00B41836">
        <w:rPr>
          <w:sz w:val="20"/>
          <w:szCs w:val="20"/>
          <w:lang w:val="uk-UA"/>
        </w:rPr>
        <w:t>Ці тести вимагають виконання мінімальної кількості етапів з боку користувача, а платформа GeneXpert представляє собою знайому систему, з якою людям комфортно працювати, та яка дає можливість легко інтерпретувати результати</w:t>
      </w:r>
      <w:r>
        <w:rPr>
          <w:sz w:val="20"/>
          <w:szCs w:val="20"/>
          <w:lang w:val="uk-UA"/>
        </w:rPr>
        <w:t>.</w:t>
      </w:r>
    </w:p>
    <w:p w14:paraId="42575347" w14:textId="72BCFF48" w:rsidR="00E05B98" w:rsidRPr="00821945" w:rsidRDefault="00B41836" w:rsidP="00133A34">
      <w:pPr>
        <w:spacing w:line="276" w:lineRule="auto"/>
        <w:ind w:left="1227"/>
        <w:rPr>
          <w:rFonts w:ascii="Arial"/>
          <w:i/>
          <w:sz w:val="20"/>
          <w:szCs w:val="20"/>
          <w:lang w:val="uk-UA"/>
        </w:rPr>
      </w:pPr>
      <w:r>
        <w:rPr>
          <w:rFonts w:ascii="Arial"/>
          <w:i/>
          <w:spacing w:val="-2"/>
          <w:sz w:val="20"/>
          <w:szCs w:val="20"/>
          <w:lang w:val="uk-UA"/>
        </w:rPr>
        <w:t>Інтерв’ю</w:t>
      </w:r>
    </w:p>
    <w:p w14:paraId="2B22A5D5" w14:textId="77777777" w:rsidR="00E05B98" w:rsidRPr="00821945" w:rsidRDefault="00E05B98" w:rsidP="00133A34">
      <w:pPr>
        <w:spacing w:line="276" w:lineRule="auto"/>
        <w:rPr>
          <w:rFonts w:ascii="Arial"/>
          <w:i/>
          <w:sz w:val="20"/>
          <w:szCs w:val="20"/>
          <w:lang w:val="uk-UA"/>
        </w:rPr>
        <w:sectPr w:rsidR="00E05B98" w:rsidRPr="00821945" w:rsidSect="00133A34">
          <w:pgSz w:w="11910" w:h="16840"/>
          <w:pgMar w:top="1135" w:right="995" w:bottom="760" w:left="850" w:header="0" w:footer="573" w:gutter="0"/>
          <w:cols w:space="720"/>
        </w:sectPr>
      </w:pPr>
    </w:p>
    <w:p w14:paraId="49F6E572" w14:textId="33CFDA2D" w:rsidR="00B41836" w:rsidRPr="00B41836" w:rsidRDefault="00AD527D" w:rsidP="004A2937">
      <w:pPr>
        <w:pStyle w:val="a4"/>
        <w:numPr>
          <w:ilvl w:val="0"/>
          <w:numId w:val="15"/>
        </w:numPr>
        <w:tabs>
          <w:tab w:val="left" w:pos="850"/>
        </w:tabs>
        <w:spacing w:before="49" w:line="269" w:lineRule="auto"/>
        <w:rPr>
          <w:rFonts w:ascii="Arial" w:hAnsi="Arial"/>
          <w:i/>
          <w:sz w:val="20"/>
          <w:szCs w:val="20"/>
          <w:lang w:val="uk-UA"/>
        </w:rPr>
      </w:pPr>
      <w:r w:rsidRPr="00AD527D">
        <w:rPr>
          <w:rFonts w:ascii="Arial" w:hAnsi="Arial"/>
          <w:b/>
          <w:sz w:val="20"/>
          <w:szCs w:val="20"/>
          <w:lang w:val="uk-UA"/>
        </w:rPr>
        <w:lastRenderedPageBreak/>
        <w:t xml:space="preserve">Керівники лабораторій </w:t>
      </w:r>
      <w:r w:rsidRPr="00AD527D">
        <w:rPr>
          <w:rFonts w:ascii="Arial" w:hAnsi="Arial"/>
          <w:bCs/>
          <w:sz w:val="20"/>
          <w:szCs w:val="20"/>
          <w:lang w:val="uk-UA"/>
        </w:rPr>
        <w:t>позитивно оцінують те, що здійснювати контроль лабораторної роботи і навчання персоналу простіше, ніж при виконанн</w:t>
      </w:r>
      <w:r w:rsidR="0003476D">
        <w:rPr>
          <w:rFonts w:ascii="Arial" w:hAnsi="Arial"/>
          <w:bCs/>
          <w:sz w:val="20"/>
          <w:szCs w:val="20"/>
          <w:lang w:val="uk-UA"/>
        </w:rPr>
        <w:t>і</w:t>
      </w:r>
      <w:r w:rsidRPr="00AD527D">
        <w:rPr>
          <w:rFonts w:ascii="Arial" w:hAnsi="Arial"/>
          <w:bCs/>
          <w:sz w:val="20"/>
          <w:szCs w:val="20"/>
          <w:lang w:val="uk-UA"/>
        </w:rPr>
        <w:t xml:space="preserve"> мікроскопії мокротиння, і що використання автоматизованих ТАНК низької складності полегшує утримання персоналу, оскільки підвищує його задоволеність і є символом прогресу у світі боротьби з ТБ.</w:t>
      </w:r>
      <w:r w:rsidR="00B01E0C" w:rsidRPr="00821945">
        <w:rPr>
          <w:spacing w:val="-4"/>
          <w:sz w:val="20"/>
          <w:szCs w:val="20"/>
          <w:lang w:val="uk-UA"/>
        </w:rPr>
        <w:t xml:space="preserve"> </w:t>
      </w:r>
    </w:p>
    <w:p w14:paraId="6B40AA74" w14:textId="6347CDB3" w:rsidR="00E05B98" w:rsidRPr="00821945" w:rsidRDefault="00144823" w:rsidP="00144823">
      <w:pPr>
        <w:pStyle w:val="a4"/>
        <w:tabs>
          <w:tab w:val="left" w:pos="850"/>
        </w:tabs>
        <w:spacing w:before="49" w:line="269" w:lineRule="auto"/>
        <w:ind w:firstLine="0"/>
        <w:rPr>
          <w:rFonts w:ascii="Arial" w:hAnsi="Arial"/>
          <w:i/>
          <w:sz w:val="20"/>
          <w:szCs w:val="20"/>
          <w:lang w:val="uk-UA"/>
        </w:rPr>
      </w:pPr>
      <w:r>
        <w:rPr>
          <w:rFonts w:ascii="Arial" w:hAnsi="Arial"/>
          <w:i/>
          <w:sz w:val="20"/>
          <w:szCs w:val="20"/>
          <w:lang w:val="uk-UA"/>
        </w:rPr>
        <w:t>Синтез якісних доказів</w:t>
      </w:r>
      <w:r w:rsidR="00B01E0C" w:rsidRPr="00821945">
        <w:rPr>
          <w:rFonts w:ascii="Arial" w:hAnsi="Arial"/>
          <w:i/>
          <w:sz w:val="20"/>
          <w:szCs w:val="20"/>
          <w:lang w:val="uk-UA"/>
        </w:rPr>
        <w:t xml:space="preserve">: </w:t>
      </w:r>
      <w:r w:rsidR="00B41836">
        <w:rPr>
          <w:rFonts w:ascii="Arial" w:hAnsi="Arial"/>
          <w:i/>
          <w:sz w:val="20"/>
          <w:szCs w:val="20"/>
          <w:lang w:val="uk-UA"/>
        </w:rPr>
        <w:t xml:space="preserve">низький </w:t>
      </w:r>
      <w:r w:rsidR="0003476D">
        <w:rPr>
          <w:rFonts w:ascii="Arial" w:hAnsi="Arial"/>
          <w:i/>
          <w:sz w:val="20"/>
          <w:szCs w:val="20"/>
          <w:lang w:val="uk-UA"/>
        </w:rPr>
        <w:t>рівень</w:t>
      </w:r>
      <w:r w:rsidR="00B41836">
        <w:rPr>
          <w:rFonts w:ascii="Arial" w:hAnsi="Arial"/>
          <w:i/>
          <w:sz w:val="20"/>
          <w:szCs w:val="20"/>
          <w:lang w:val="uk-UA"/>
        </w:rPr>
        <w:t xml:space="preserve"> </w:t>
      </w:r>
      <w:r w:rsidR="00AD527D">
        <w:rPr>
          <w:rFonts w:ascii="Arial" w:hAnsi="Arial"/>
          <w:i/>
          <w:sz w:val="20"/>
          <w:szCs w:val="20"/>
          <w:lang w:val="uk-UA"/>
        </w:rPr>
        <w:t>достовірності</w:t>
      </w:r>
    </w:p>
    <w:p w14:paraId="2AD80852" w14:textId="3CFFBEE7" w:rsidR="00E05B98" w:rsidRPr="00821945" w:rsidRDefault="00AD527D" w:rsidP="00144823">
      <w:pPr>
        <w:pStyle w:val="9"/>
        <w:spacing w:before="222" w:line="269" w:lineRule="auto"/>
        <w:rPr>
          <w:sz w:val="20"/>
          <w:szCs w:val="20"/>
          <w:lang w:val="uk-UA"/>
        </w:rPr>
      </w:pPr>
      <w:r w:rsidRPr="00AD527D">
        <w:rPr>
          <w:sz w:val="20"/>
          <w:szCs w:val="20"/>
          <w:lang w:val="uk-UA"/>
        </w:rPr>
        <w:t xml:space="preserve">Яким буде вплив на </w:t>
      </w:r>
      <w:r w:rsidRPr="00144823">
        <w:rPr>
          <w:sz w:val="20"/>
          <w:szCs w:val="20"/>
          <w:lang w:val="uk-UA"/>
        </w:rPr>
        <w:t xml:space="preserve">справедливість </w:t>
      </w:r>
      <w:r w:rsidR="001E73C1" w:rsidRPr="00144823">
        <w:rPr>
          <w:sz w:val="20"/>
          <w:szCs w:val="20"/>
          <w:lang w:val="uk-UA"/>
        </w:rPr>
        <w:t>щодо</w:t>
      </w:r>
      <w:r w:rsidRPr="00144823">
        <w:rPr>
          <w:sz w:val="20"/>
          <w:szCs w:val="20"/>
          <w:lang w:val="uk-UA"/>
        </w:rPr>
        <w:t xml:space="preserve"> здоров'я?</w:t>
      </w:r>
    </w:p>
    <w:p w14:paraId="3CC40615" w14:textId="47EAE331" w:rsidR="00E05B98" w:rsidRPr="00821945" w:rsidRDefault="00AD527D" w:rsidP="00144823">
      <w:pPr>
        <w:pStyle w:val="a3"/>
        <w:spacing w:before="230" w:line="269" w:lineRule="auto"/>
        <w:ind w:left="567"/>
        <w:jc w:val="both"/>
        <w:rPr>
          <w:sz w:val="20"/>
          <w:szCs w:val="20"/>
          <w:lang w:val="uk-UA"/>
        </w:rPr>
      </w:pPr>
      <w:r w:rsidRPr="00AD527D">
        <w:rPr>
          <w:w w:val="105"/>
          <w:sz w:val="20"/>
          <w:szCs w:val="20"/>
          <w:lang w:val="uk-UA"/>
        </w:rPr>
        <w:t xml:space="preserve">Вплив на справедливість </w:t>
      </w:r>
      <w:r w:rsidR="001E73C1">
        <w:rPr>
          <w:w w:val="105"/>
          <w:sz w:val="20"/>
          <w:szCs w:val="20"/>
          <w:lang w:val="uk-UA"/>
        </w:rPr>
        <w:t>щодо</w:t>
      </w:r>
      <w:r w:rsidRPr="00AD527D">
        <w:rPr>
          <w:w w:val="105"/>
          <w:sz w:val="20"/>
          <w:szCs w:val="20"/>
          <w:lang w:val="uk-UA"/>
        </w:rPr>
        <w:t xml:space="preserve"> здоров'я буде подібним до впливу автоматизованих ТАНК помірної складності: Розділ 2.1.2 чинних настанов.</w:t>
      </w:r>
    </w:p>
    <w:p w14:paraId="472A3ABB" w14:textId="321236FE" w:rsidR="00E05B98" w:rsidRPr="00821945" w:rsidRDefault="00AD527D" w:rsidP="00144823">
      <w:pPr>
        <w:pStyle w:val="9"/>
        <w:spacing w:before="169" w:line="269" w:lineRule="auto"/>
        <w:rPr>
          <w:sz w:val="20"/>
          <w:szCs w:val="20"/>
          <w:lang w:val="uk-UA"/>
        </w:rPr>
      </w:pPr>
      <w:r w:rsidRPr="00AD527D">
        <w:rPr>
          <w:sz w:val="20"/>
          <w:szCs w:val="20"/>
          <w:lang w:val="uk-UA"/>
        </w:rPr>
        <w:t>Чи прийнятна  інтервенція для ключових зацікавлених сторін?</w:t>
      </w:r>
    </w:p>
    <w:p w14:paraId="3A1BEF60" w14:textId="2C5F0D1D" w:rsidR="00E05B98" w:rsidRPr="00821945" w:rsidRDefault="00AD527D" w:rsidP="00144823">
      <w:pPr>
        <w:pStyle w:val="a3"/>
        <w:spacing w:before="231" w:line="269" w:lineRule="auto"/>
        <w:ind w:left="567"/>
        <w:jc w:val="both"/>
        <w:rPr>
          <w:sz w:val="20"/>
          <w:szCs w:val="20"/>
          <w:lang w:val="uk-UA"/>
        </w:rPr>
      </w:pPr>
      <w:r w:rsidRPr="00AD527D">
        <w:rPr>
          <w:sz w:val="20"/>
          <w:szCs w:val="20"/>
          <w:lang w:val="uk-UA"/>
        </w:rPr>
        <w:t>Прийнятність для ключових зацікавлених сторін подібна до прийнятності автоматизованих ТАНК помірної складності: Розділ 2.1.2 даних настанов.</w:t>
      </w:r>
    </w:p>
    <w:p w14:paraId="5CBB0EBD" w14:textId="4600F3B2" w:rsidR="00E05B98" w:rsidRPr="00821945" w:rsidRDefault="00AC770C" w:rsidP="00144823">
      <w:pPr>
        <w:pStyle w:val="a3"/>
        <w:spacing w:before="173" w:line="269" w:lineRule="auto"/>
        <w:ind w:left="567"/>
        <w:jc w:val="both"/>
        <w:rPr>
          <w:sz w:val="20"/>
          <w:szCs w:val="20"/>
          <w:lang w:val="uk-UA"/>
        </w:rPr>
      </w:pPr>
      <w:r w:rsidRPr="00AC770C">
        <w:rPr>
          <w:spacing w:val="-2"/>
          <w:w w:val="105"/>
          <w:sz w:val="20"/>
          <w:szCs w:val="20"/>
          <w:lang w:val="uk-UA"/>
        </w:rPr>
        <w:t>Виявлені проблеми при впровадженні використання автоматизованих ТАНК низької складності та накопичені випадки затримки на кожному етапі можуть поставити під сумнів додаткову цінність та переваги, визначені користувачами (наприклад, уникнення затримок, збереження низьких витрат, точні результати, інформація про стійкість до лікарських засобів та спрощення лабораторної роботи), що зрештою приводить до використання.</w:t>
      </w:r>
      <w:r w:rsidR="00B01E0C" w:rsidRPr="00821945">
        <w:rPr>
          <w:spacing w:val="-3"/>
          <w:sz w:val="20"/>
          <w:szCs w:val="20"/>
          <w:lang w:val="uk-UA"/>
        </w:rPr>
        <w:t xml:space="preserve"> </w:t>
      </w:r>
      <w:r w:rsidR="00144823" w:rsidRPr="00144823">
        <w:rPr>
          <w:i/>
          <w:iCs/>
          <w:spacing w:val="-3"/>
          <w:sz w:val="20"/>
          <w:szCs w:val="20"/>
          <w:lang w:val="uk-UA"/>
        </w:rPr>
        <w:t>Синтез якісних доказів (</w:t>
      </w:r>
      <w:r w:rsidR="00B01E0C" w:rsidRPr="00144823">
        <w:rPr>
          <w:rFonts w:ascii="Arial"/>
          <w:i/>
          <w:iCs/>
          <w:spacing w:val="-2"/>
          <w:sz w:val="20"/>
          <w:szCs w:val="20"/>
          <w:lang w:val="uk-UA"/>
        </w:rPr>
        <w:t>QES</w:t>
      </w:r>
      <w:r w:rsidR="00144823" w:rsidRPr="00144823">
        <w:rPr>
          <w:rFonts w:ascii="Arial"/>
          <w:i/>
          <w:iCs/>
          <w:spacing w:val="-2"/>
          <w:sz w:val="20"/>
          <w:szCs w:val="20"/>
          <w:lang w:val="uk-UA"/>
        </w:rPr>
        <w:t>)</w:t>
      </w:r>
      <w:r w:rsidR="00B01E0C" w:rsidRPr="00821945">
        <w:rPr>
          <w:rFonts w:ascii="Arial"/>
          <w:i/>
          <w:spacing w:val="-2"/>
          <w:sz w:val="20"/>
          <w:szCs w:val="20"/>
          <w:lang w:val="uk-UA"/>
        </w:rPr>
        <w:t>:</w:t>
      </w:r>
      <w:r w:rsidR="00B01E0C" w:rsidRPr="00821945">
        <w:rPr>
          <w:rFonts w:ascii="Arial"/>
          <w:i/>
          <w:spacing w:val="-8"/>
          <w:sz w:val="20"/>
          <w:szCs w:val="20"/>
          <w:lang w:val="uk-UA"/>
        </w:rPr>
        <w:t xml:space="preserve"> </w:t>
      </w:r>
      <w:r>
        <w:rPr>
          <w:rFonts w:ascii="Arial"/>
          <w:i/>
          <w:spacing w:val="-2"/>
          <w:sz w:val="20"/>
          <w:szCs w:val="20"/>
          <w:lang w:val="uk-UA"/>
        </w:rPr>
        <w:t>висок</w:t>
      </w:r>
      <w:r w:rsidR="0003476D">
        <w:rPr>
          <w:rFonts w:ascii="Arial"/>
          <w:i/>
          <w:spacing w:val="-2"/>
          <w:sz w:val="20"/>
          <w:szCs w:val="20"/>
          <w:lang w:val="uk-UA"/>
        </w:rPr>
        <w:t>ий</w:t>
      </w:r>
      <w:r w:rsidR="0003476D">
        <w:rPr>
          <w:rFonts w:ascii="Arial"/>
          <w:i/>
          <w:spacing w:val="-2"/>
          <w:sz w:val="20"/>
          <w:szCs w:val="20"/>
          <w:lang w:val="uk-UA"/>
        </w:rPr>
        <w:t xml:space="preserve"> </w:t>
      </w:r>
      <w:r w:rsidR="0003476D">
        <w:rPr>
          <w:rFonts w:ascii="Arial"/>
          <w:i/>
          <w:spacing w:val="-2"/>
          <w:sz w:val="20"/>
          <w:szCs w:val="20"/>
          <w:lang w:val="uk-UA"/>
        </w:rPr>
        <w:t>рівень</w:t>
      </w:r>
      <w:r>
        <w:rPr>
          <w:rFonts w:ascii="Arial"/>
          <w:i/>
          <w:spacing w:val="-2"/>
          <w:sz w:val="20"/>
          <w:szCs w:val="20"/>
          <w:lang w:val="uk-UA"/>
        </w:rPr>
        <w:t xml:space="preserve"> </w:t>
      </w:r>
      <w:r>
        <w:rPr>
          <w:rFonts w:ascii="Arial"/>
          <w:i/>
          <w:spacing w:val="-2"/>
          <w:sz w:val="20"/>
          <w:szCs w:val="20"/>
          <w:lang w:val="uk-UA"/>
        </w:rPr>
        <w:t>достовірності</w:t>
      </w:r>
      <w:r>
        <w:rPr>
          <w:rFonts w:ascii="Arial"/>
          <w:i/>
          <w:spacing w:val="-2"/>
          <w:sz w:val="20"/>
          <w:szCs w:val="20"/>
          <w:lang w:val="uk-UA"/>
        </w:rPr>
        <w:t>.</w:t>
      </w:r>
      <w:r w:rsidR="00B01E0C" w:rsidRPr="00821945">
        <w:rPr>
          <w:rFonts w:ascii="Arial"/>
          <w:i/>
          <w:spacing w:val="-8"/>
          <w:sz w:val="20"/>
          <w:szCs w:val="20"/>
          <w:lang w:val="uk-UA"/>
        </w:rPr>
        <w:t xml:space="preserve"> </w:t>
      </w:r>
      <w:r w:rsidRPr="00AC770C">
        <w:rPr>
          <w:spacing w:val="-2"/>
          <w:sz w:val="20"/>
          <w:szCs w:val="20"/>
          <w:lang w:val="uk-UA"/>
        </w:rPr>
        <w:t>Якщо такі цінності не досягаються, можна припустити, що користувачі з меншою ймовірністю вважатимуть автоматизовані ТАНК низької складності прийнятними</w:t>
      </w:r>
      <w:r w:rsidR="00B01E0C" w:rsidRPr="00821945">
        <w:rPr>
          <w:w w:val="105"/>
          <w:sz w:val="20"/>
          <w:szCs w:val="20"/>
          <w:lang w:val="uk-UA"/>
        </w:rPr>
        <w:t>.</w:t>
      </w:r>
    </w:p>
    <w:p w14:paraId="0F3152D6" w14:textId="068683F7" w:rsidR="00E05B98" w:rsidRPr="00821945" w:rsidRDefault="00AC770C" w:rsidP="00144823">
      <w:pPr>
        <w:pStyle w:val="9"/>
        <w:spacing w:before="169" w:line="269" w:lineRule="auto"/>
        <w:rPr>
          <w:sz w:val="20"/>
          <w:szCs w:val="20"/>
          <w:lang w:val="uk-UA"/>
        </w:rPr>
      </w:pPr>
      <w:r>
        <w:rPr>
          <w:sz w:val="20"/>
          <w:szCs w:val="20"/>
          <w:lang w:val="uk-UA"/>
        </w:rPr>
        <w:t>Чи можливо здійснити інтервенцію?</w:t>
      </w:r>
    </w:p>
    <w:p w14:paraId="72439DFA" w14:textId="0C215151" w:rsidR="00E05B98" w:rsidRPr="00821945" w:rsidRDefault="00AC770C" w:rsidP="004A2937">
      <w:pPr>
        <w:pStyle w:val="a4"/>
        <w:numPr>
          <w:ilvl w:val="0"/>
          <w:numId w:val="14"/>
        </w:numPr>
        <w:tabs>
          <w:tab w:val="left" w:pos="850"/>
        </w:tabs>
        <w:spacing w:before="230" w:line="269" w:lineRule="auto"/>
        <w:rPr>
          <w:sz w:val="20"/>
          <w:szCs w:val="20"/>
          <w:lang w:val="uk-UA"/>
        </w:rPr>
      </w:pPr>
      <w:r w:rsidRPr="00AC770C">
        <w:rPr>
          <w:sz w:val="20"/>
          <w:szCs w:val="20"/>
          <w:lang w:val="uk-UA"/>
        </w:rPr>
        <w:t>Автоматизовані ТАНК низької складності можуть зменшити навантаження на лабораторію з точки зору вивільнення часу для лабораторного персоналу. Однак, виходячи з досвіду роботи з Xpert MTB/ RIF (Ultra), впровадження нового класу технологій може збільшити робоче навантаження на персонал лабораторії, якщо ці функції додаються до існуючої роботи без коригування штатного розкладу</w:t>
      </w:r>
      <w:r w:rsidR="0003476D">
        <w:rPr>
          <w:sz w:val="20"/>
          <w:szCs w:val="20"/>
          <w:lang w:val="uk-UA"/>
        </w:rPr>
        <w:t>,</w:t>
      </w:r>
      <w:r w:rsidRPr="00AC770C">
        <w:rPr>
          <w:sz w:val="20"/>
          <w:szCs w:val="20"/>
          <w:lang w:val="uk-UA"/>
        </w:rPr>
        <w:t xml:space="preserve"> або якщо нова технологія не замінює існуючі тести</w:t>
      </w:r>
      <w:r w:rsidR="008A2EFE">
        <w:rPr>
          <w:sz w:val="20"/>
          <w:szCs w:val="20"/>
          <w:lang w:val="uk-UA"/>
        </w:rPr>
        <w:t xml:space="preserve"> для діагностики ТБ</w:t>
      </w:r>
      <w:r w:rsidRPr="00AC770C">
        <w:rPr>
          <w:sz w:val="20"/>
          <w:szCs w:val="20"/>
          <w:lang w:val="uk-UA"/>
        </w:rPr>
        <w:t>.</w:t>
      </w:r>
    </w:p>
    <w:p w14:paraId="27106F8A" w14:textId="32ED0989" w:rsidR="00E05B98" w:rsidRDefault="00144823" w:rsidP="00144823">
      <w:pPr>
        <w:spacing w:before="3" w:line="269" w:lineRule="auto"/>
        <w:ind w:left="850"/>
        <w:rPr>
          <w:rFonts w:ascii="Arial"/>
          <w:i/>
          <w:spacing w:val="-6"/>
          <w:sz w:val="20"/>
          <w:szCs w:val="20"/>
          <w:lang w:val="uk-UA"/>
        </w:rPr>
      </w:pPr>
      <w:r w:rsidRPr="00144823">
        <w:rPr>
          <w:i/>
          <w:iCs/>
          <w:spacing w:val="-3"/>
          <w:sz w:val="20"/>
          <w:szCs w:val="20"/>
          <w:lang w:val="uk-UA"/>
        </w:rPr>
        <w:t>Синтез якісних доказів</w:t>
      </w:r>
      <w:r w:rsidR="00B01E0C" w:rsidRPr="00821945">
        <w:rPr>
          <w:rFonts w:ascii="Arial"/>
          <w:i/>
          <w:spacing w:val="-6"/>
          <w:sz w:val="20"/>
          <w:szCs w:val="20"/>
          <w:lang w:val="uk-UA"/>
        </w:rPr>
        <w:t>:</w:t>
      </w:r>
      <w:r w:rsidR="00B01E0C" w:rsidRPr="00821945">
        <w:rPr>
          <w:rFonts w:ascii="Arial"/>
          <w:i/>
          <w:spacing w:val="-11"/>
          <w:sz w:val="20"/>
          <w:szCs w:val="20"/>
          <w:lang w:val="uk-UA"/>
        </w:rPr>
        <w:t xml:space="preserve"> </w:t>
      </w:r>
      <w:r w:rsidR="00AC770C">
        <w:rPr>
          <w:rFonts w:ascii="Arial"/>
          <w:i/>
          <w:spacing w:val="-6"/>
          <w:sz w:val="20"/>
          <w:szCs w:val="20"/>
          <w:lang w:val="uk-UA"/>
        </w:rPr>
        <w:t>помірний</w:t>
      </w:r>
      <w:r w:rsidR="00AC770C">
        <w:rPr>
          <w:rFonts w:ascii="Arial"/>
          <w:i/>
          <w:spacing w:val="-6"/>
          <w:sz w:val="20"/>
          <w:szCs w:val="20"/>
          <w:lang w:val="uk-UA"/>
        </w:rPr>
        <w:t xml:space="preserve"> </w:t>
      </w:r>
      <w:r w:rsidR="0003476D">
        <w:rPr>
          <w:rFonts w:ascii="Arial"/>
          <w:i/>
          <w:spacing w:val="-6"/>
          <w:sz w:val="20"/>
          <w:szCs w:val="20"/>
          <w:lang w:val="uk-UA"/>
        </w:rPr>
        <w:t>рівень</w:t>
      </w:r>
      <w:r w:rsidR="0003476D">
        <w:rPr>
          <w:rFonts w:ascii="Arial"/>
          <w:i/>
          <w:spacing w:val="-6"/>
          <w:sz w:val="20"/>
          <w:szCs w:val="20"/>
          <w:lang w:val="uk-UA"/>
        </w:rPr>
        <w:t xml:space="preserve"> </w:t>
      </w:r>
      <w:r w:rsidR="00AC770C">
        <w:rPr>
          <w:rFonts w:ascii="Arial"/>
          <w:i/>
          <w:spacing w:val="-6"/>
          <w:sz w:val="20"/>
          <w:szCs w:val="20"/>
          <w:lang w:val="uk-UA"/>
        </w:rPr>
        <w:t>достовірності</w:t>
      </w:r>
    </w:p>
    <w:p w14:paraId="57CC9680" w14:textId="77777777" w:rsidR="00AC770C" w:rsidRPr="00AC770C" w:rsidRDefault="00AC770C" w:rsidP="00144823">
      <w:pPr>
        <w:spacing w:before="3" w:line="269" w:lineRule="auto"/>
        <w:ind w:left="850"/>
        <w:rPr>
          <w:rFonts w:ascii="Arial"/>
          <w:i/>
          <w:sz w:val="10"/>
          <w:szCs w:val="10"/>
          <w:lang w:val="uk-UA"/>
        </w:rPr>
      </w:pPr>
    </w:p>
    <w:p w14:paraId="3C93D461" w14:textId="533C8280" w:rsidR="00E05B98" w:rsidRPr="00821945" w:rsidRDefault="0079529F" w:rsidP="004A2937">
      <w:pPr>
        <w:pStyle w:val="a4"/>
        <w:numPr>
          <w:ilvl w:val="0"/>
          <w:numId w:val="14"/>
        </w:numPr>
        <w:tabs>
          <w:tab w:val="left" w:pos="850"/>
        </w:tabs>
        <w:spacing w:before="60" w:line="269" w:lineRule="auto"/>
        <w:rPr>
          <w:sz w:val="20"/>
          <w:szCs w:val="20"/>
          <w:lang w:val="uk-UA"/>
        </w:rPr>
      </w:pPr>
      <w:r w:rsidRPr="0079529F">
        <w:rPr>
          <w:sz w:val="20"/>
          <w:szCs w:val="20"/>
          <w:lang w:val="uk-UA"/>
        </w:rPr>
        <w:t xml:space="preserve">Автоматизовані ТАНК низької складності вимагають меншого часу для навчання користувача, ніж інші методи ТМЧ (наприклад, лінійний зонд-аналіз і бакпосів), що </w:t>
      </w:r>
      <w:r w:rsidR="0003476D">
        <w:rPr>
          <w:sz w:val="20"/>
          <w:szCs w:val="20"/>
          <w:lang w:val="uk-UA"/>
        </w:rPr>
        <w:t xml:space="preserve">збільшую можливість </w:t>
      </w:r>
      <w:r w:rsidR="00924FCA">
        <w:rPr>
          <w:sz w:val="20"/>
          <w:szCs w:val="20"/>
          <w:lang w:val="uk-UA"/>
        </w:rPr>
        <w:t>реалізаці</w:t>
      </w:r>
      <w:r w:rsidR="0003476D">
        <w:rPr>
          <w:sz w:val="20"/>
          <w:szCs w:val="20"/>
          <w:lang w:val="uk-UA"/>
        </w:rPr>
        <w:t>ї</w:t>
      </w:r>
      <w:r w:rsidRPr="0079529F">
        <w:rPr>
          <w:sz w:val="20"/>
          <w:szCs w:val="20"/>
          <w:lang w:val="uk-UA"/>
        </w:rPr>
        <w:t xml:space="preserve"> цих тестів ніж методи, що передбачають виконання користувачем більшої кількості етапів, а також ті, що потребують значного додаткового навчання.</w:t>
      </w:r>
    </w:p>
    <w:p w14:paraId="5B0BF65B" w14:textId="77777777" w:rsidR="00144823" w:rsidRDefault="0079529F" w:rsidP="00144823">
      <w:pPr>
        <w:spacing w:before="1" w:line="269" w:lineRule="auto"/>
        <w:ind w:left="850"/>
        <w:rPr>
          <w:rFonts w:ascii="Arial"/>
          <w:i/>
          <w:sz w:val="20"/>
          <w:szCs w:val="20"/>
          <w:lang w:val="uk-UA"/>
        </w:rPr>
      </w:pPr>
      <w:r>
        <w:rPr>
          <w:rFonts w:ascii="Arial"/>
          <w:i/>
          <w:sz w:val="20"/>
          <w:szCs w:val="20"/>
          <w:lang w:val="uk-UA"/>
        </w:rPr>
        <w:t>Дослідження</w:t>
      </w:r>
      <w:r w:rsidR="00144823">
        <w:rPr>
          <w:rFonts w:ascii="Arial"/>
          <w:i/>
          <w:sz w:val="20"/>
          <w:szCs w:val="20"/>
          <w:lang w:val="uk-UA"/>
        </w:rPr>
        <w:t xml:space="preserve">, </w:t>
      </w:r>
      <w:r w:rsidR="00144823">
        <w:rPr>
          <w:rFonts w:ascii="Arial"/>
          <w:i/>
          <w:sz w:val="20"/>
          <w:szCs w:val="20"/>
          <w:lang w:val="uk-UA"/>
        </w:rPr>
        <w:t>яке</w:t>
      </w:r>
      <w:r w:rsidR="00144823">
        <w:rPr>
          <w:rFonts w:ascii="Arial"/>
          <w:i/>
          <w:sz w:val="20"/>
          <w:szCs w:val="20"/>
          <w:lang w:val="uk-UA"/>
        </w:rPr>
        <w:t xml:space="preserve"> </w:t>
      </w:r>
      <w:r w:rsidR="00144823">
        <w:rPr>
          <w:rFonts w:ascii="Arial"/>
          <w:i/>
          <w:sz w:val="20"/>
          <w:szCs w:val="20"/>
          <w:lang w:val="uk-UA"/>
        </w:rPr>
        <w:t>передбачає</w:t>
      </w:r>
      <w:r w:rsidR="00144823">
        <w:rPr>
          <w:rFonts w:ascii="Arial"/>
          <w:i/>
          <w:sz w:val="20"/>
          <w:szCs w:val="20"/>
          <w:lang w:val="uk-UA"/>
        </w:rPr>
        <w:t xml:space="preserve"> </w:t>
      </w:r>
      <w:r w:rsidR="00144823">
        <w:rPr>
          <w:rFonts w:ascii="Arial"/>
          <w:i/>
          <w:sz w:val="20"/>
          <w:szCs w:val="20"/>
          <w:lang w:val="uk-UA"/>
        </w:rPr>
        <w:t>проведення</w:t>
      </w:r>
      <w:r>
        <w:rPr>
          <w:rFonts w:ascii="Arial"/>
          <w:i/>
          <w:sz w:val="20"/>
          <w:szCs w:val="20"/>
          <w:lang w:val="uk-UA"/>
        </w:rPr>
        <w:t xml:space="preserve"> </w:t>
      </w:r>
      <w:r>
        <w:rPr>
          <w:rFonts w:ascii="Arial"/>
          <w:i/>
          <w:sz w:val="20"/>
          <w:szCs w:val="20"/>
          <w:lang w:val="uk-UA"/>
        </w:rPr>
        <w:t>інтерв’ю</w:t>
      </w:r>
      <w:r>
        <w:rPr>
          <w:rFonts w:ascii="Arial"/>
          <w:i/>
          <w:sz w:val="20"/>
          <w:szCs w:val="20"/>
          <w:lang w:val="uk-UA"/>
        </w:rPr>
        <w:t>.</w:t>
      </w:r>
    </w:p>
    <w:p w14:paraId="3D4C9A52" w14:textId="77777777" w:rsidR="00144823" w:rsidRPr="00144823" w:rsidRDefault="00144823" w:rsidP="00144823">
      <w:pPr>
        <w:spacing w:before="1" w:line="269" w:lineRule="auto"/>
        <w:ind w:left="850"/>
        <w:rPr>
          <w:rFonts w:ascii="Arial"/>
          <w:i/>
          <w:sz w:val="12"/>
          <w:szCs w:val="12"/>
          <w:lang w:val="uk-UA"/>
        </w:rPr>
      </w:pPr>
    </w:p>
    <w:p w14:paraId="6327E8FF" w14:textId="74F6DB6B" w:rsidR="00E05B98" w:rsidRPr="00144823" w:rsidRDefault="0079529F" w:rsidP="00144823">
      <w:pPr>
        <w:spacing w:before="1" w:line="269" w:lineRule="auto"/>
        <w:ind w:left="850"/>
        <w:rPr>
          <w:rFonts w:ascii="Arial"/>
          <w:i/>
          <w:sz w:val="20"/>
          <w:szCs w:val="20"/>
          <w:lang w:val="uk-UA"/>
        </w:rPr>
      </w:pPr>
      <w:r w:rsidRPr="0079529F">
        <w:rPr>
          <w:sz w:val="20"/>
          <w:szCs w:val="20"/>
          <w:lang w:val="uk-UA"/>
        </w:rPr>
        <w:t>Впровадження нових методів діагностики слід супроводжувати навчанням лікарів, щоб допомогти їм інтерпретувати результати нових молекулярних тестів і зрозуміти, як це пов'язано з лікуванням пацієнта. У минулому, із введенням Xpert MTB/RIF (Ultra), це було складним завданням і призвело до недостатнього використання тесту.</w:t>
      </w:r>
    </w:p>
    <w:p w14:paraId="6C5BDBF1" w14:textId="77777777" w:rsidR="00144823" w:rsidRDefault="00144823" w:rsidP="00144823">
      <w:pPr>
        <w:spacing w:before="2" w:line="269" w:lineRule="auto"/>
        <w:ind w:left="850"/>
        <w:rPr>
          <w:rFonts w:ascii="Arial"/>
          <w:i/>
          <w:spacing w:val="-2"/>
          <w:sz w:val="20"/>
          <w:szCs w:val="20"/>
          <w:lang w:val="uk-UA"/>
        </w:rPr>
      </w:pPr>
      <w:r w:rsidRPr="00144823">
        <w:rPr>
          <w:i/>
          <w:iCs/>
          <w:spacing w:val="-3"/>
          <w:sz w:val="20"/>
          <w:szCs w:val="20"/>
          <w:lang w:val="uk-UA"/>
        </w:rPr>
        <w:t>Синтез якісних доказів</w:t>
      </w:r>
      <w:r w:rsidR="00B01E0C" w:rsidRPr="00821945">
        <w:rPr>
          <w:rFonts w:ascii="Arial"/>
          <w:i/>
          <w:spacing w:val="-2"/>
          <w:sz w:val="20"/>
          <w:szCs w:val="20"/>
          <w:lang w:val="uk-UA"/>
        </w:rPr>
        <w:t>:</w:t>
      </w:r>
      <w:r w:rsidR="00B01E0C" w:rsidRPr="00821945">
        <w:rPr>
          <w:rFonts w:ascii="Arial"/>
          <w:i/>
          <w:spacing w:val="-7"/>
          <w:sz w:val="20"/>
          <w:szCs w:val="20"/>
          <w:lang w:val="uk-UA"/>
        </w:rPr>
        <w:t xml:space="preserve"> </w:t>
      </w:r>
      <w:r w:rsidR="004A0023" w:rsidRPr="004A0023">
        <w:rPr>
          <w:rFonts w:ascii="Arial"/>
          <w:i/>
          <w:spacing w:val="-2"/>
          <w:sz w:val="20"/>
          <w:szCs w:val="20"/>
          <w:lang w:val="uk-UA"/>
        </w:rPr>
        <w:t>високий</w:t>
      </w:r>
      <w:r w:rsidR="004A0023" w:rsidRPr="004A0023">
        <w:rPr>
          <w:rFonts w:ascii="Arial"/>
          <w:i/>
          <w:spacing w:val="-2"/>
          <w:sz w:val="20"/>
          <w:szCs w:val="20"/>
          <w:lang w:val="uk-UA"/>
        </w:rPr>
        <w:t xml:space="preserve"> </w:t>
      </w:r>
      <w:r w:rsidR="0003476D">
        <w:rPr>
          <w:rFonts w:ascii="Arial"/>
          <w:i/>
          <w:spacing w:val="-2"/>
          <w:sz w:val="20"/>
          <w:szCs w:val="20"/>
          <w:lang w:val="uk-UA"/>
        </w:rPr>
        <w:t>рівень</w:t>
      </w:r>
      <w:r w:rsidR="004A0023" w:rsidRPr="004A0023">
        <w:rPr>
          <w:rFonts w:ascii="Arial"/>
          <w:i/>
          <w:spacing w:val="-2"/>
          <w:sz w:val="20"/>
          <w:szCs w:val="20"/>
          <w:lang w:val="uk-UA"/>
        </w:rPr>
        <w:t xml:space="preserve"> </w:t>
      </w:r>
      <w:r w:rsidR="004A0023" w:rsidRPr="004A0023">
        <w:rPr>
          <w:rFonts w:ascii="Arial"/>
          <w:i/>
          <w:spacing w:val="-2"/>
          <w:sz w:val="20"/>
          <w:szCs w:val="20"/>
          <w:lang w:val="uk-UA"/>
        </w:rPr>
        <w:t>достовірності</w:t>
      </w:r>
      <w:r w:rsidR="004A0023" w:rsidRPr="004A0023">
        <w:rPr>
          <w:rFonts w:ascii="Arial"/>
          <w:i/>
          <w:spacing w:val="-2"/>
          <w:sz w:val="20"/>
          <w:szCs w:val="20"/>
          <w:lang w:val="uk-UA"/>
        </w:rPr>
        <w:t xml:space="preserve"> </w:t>
      </w:r>
      <w:r w:rsidR="004A0023" w:rsidRPr="004A0023">
        <w:rPr>
          <w:rFonts w:ascii="Arial"/>
          <w:i/>
          <w:spacing w:val="-2"/>
          <w:sz w:val="20"/>
          <w:szCs w:val="20"/>
          <w:lang w:val="uk-UA"/>
        </w:rPr>
        <w:t>та</w:t>
      </w:r>
      <w:r w:rsidR="004A0023" w:rsidRPr="004A0023">
        <w:rPr>
          <w:rFonts w:ascii="Arial"/>
          <w:i/>
          <w:spacing w:val="-2"/>
          <w:sz w:val="20"/>
          <w:szCs w:val="20"/>
          <w:lang w:val="uk-UA"/>
        </w:rPr>
        <w:t xml:space="preserve"> </w:t>
      </w:r>
      <w:r w:rsidR="004A0023" w:rsidRPr="004A0023">
        <w:rPr>
          <w:rFonts w:ascii="Arial"/>
          <w:i/>
          <w:spacing w:val="-2"/>
          <w:sz w:val="20"/>
          <w:szCs w:val="20"/>
          <w:lang w:val="uk-UA"/>
        </w:rPr>
        <w:t>дослідження</w:t>
      </w:r>
      <w:r>
        <w:rPr>
          <w:rFonts w:ascii="Arial"/>
          <w:i/>
          <w:spacing w:val="-2"/>
          <w:sz w:val="20"/>
          <w:szCs w:val="20"/>
          <w:lang w:val="uk-UA"/>
        </w:rPr>
        <w:t xml:space="preserve">, </w:t>
      </w:r>
      <w:r>
        <w:rPr>
          <w:rFonts w:ascii="Arial"/>
          <w:i/>
          <w:spacing w:val="-2"/>
          <w:sz w:val="20"/>
          <w:szCs w:val="20"/>
          <w:lang w:val="uk-UA"/>
        </w:rPr>
        <w:t>яке</w:t>
      </w:r>
      <w:r>
        <w:rPr>
          <w:rFonts w:ascii="Arial"/>
          <w:i/>
          <w:spacing w:val="-2"/>
          <w:sz w:val="20"/>
          <w:szCs w:val="20"/>
          <w:lang w:val="uk-UA"/>
        </w:rPr>
        <w:t xml:space="preserve"> </w:t>
      </w:r>
      <w:r>
        <w:rPr>
          <w:rFonts w:ascii="Arial"/>
          <w:i/>
          <w:spacing w:val="-2"/>
          <w:sz w:val="20"/>
          <w:szCs w:val="20"/>
          <w:lang w:val="uk-UA"/>
        </w:rPr>
        <w:t>передбачає</w:t>
      </w:r>
      <w:r>
        <w:rPr>
          <w:rFonts w:ascii="Arial"/>
          <w:i/>
          <w:spacing w:val="-2"/>
          <w:sz w:val="20"/>
          <w:szCs w:val="20"/>
          <w:lang w:val="uk-UA"/>
        </w:rPr>
        <w:t xml:space="preserve"> </w:t>
      </w:r>
      <w:r w:rsidR="004A0023" w:rsidRPr="004A0023">
        <w:rPr>
          <w:rFonts w:ascii="Arial"/>
          <w:i/>
          <w:spacing w:val="-2"/>
          <w:sz w:val="20"/>
          <w:szCs w:val="20"/>
          <w:lang w:val="uk-UA"/>
        </w:rPr>
        <w:t>проведення</w:t>
      </w:r>
      <w:r w:rsidR="004A0023" w:rsidRPr="004A0023">
        <w:rPr>
          <w:rFonts w:ascii="Arial"/>
          <w:i/>
          <w:spacing w:val="-2"/>
          <w:sz w:val="20"/>
          <w:szCs w:val="20"/>
          <w:lang w:val="uk-UA"/>
        </w:rPr>
        <w:t xml:space="preserve"> </w:t>
      </w:r>
      <w:r w:rsidR="004A0023" w:rsidRPr="004A0023">
        <w:rPr>
          <w:rFonts w:ascii="Arial"/>
          <w:i/>
          <w:spacing w:val="-2"/>
          <w:sz w:val="20"/>
          <w:szCs w:val="20"/>
          <w:lang w:val="uk-UA"/>
        </w:rPr>
        <w:t>інтерв</w:t>
      </w:r>
      <w:r w:rsidR="004A0023" w:rsidRPr="004A0023">
        <w:rPr>
          <w:rFonts w:ascii="Arial"/>
          <w:i/>
          <w:spacing w:val="-2"/>
          <w:sz w:val="20"/>
          <w:szCs w:val="20"/>
          <w:lang w:val="uk-UA"/>
        </w:rPr>
        <w:t>'</w:t>
      </w:r>
      <w:r w:rsidR="004A0023" w:rsidRPr="004A0023">
        <w:rPr>
          <w:rFonts w:ascii="Arial"/>
          <w:i/>
          <w:spacing w:val="-2"/>
          <w:sz w:val="20"/>
          <w:szCs w:val="20"/>
          <w:lang w:val="uk-UA"/>
        </w:rPr>
        <w:t>ю</w:t>
      </w:r>
    </w:p>
    <w:p w14:paraId="0F79614F" w14:textId="77777777" w:rsidR="00144823" w:rsidRPr="00144823" w:rsidRDefault="00144823" w:rsidP="00144823">
      <w:pPr>
        <w:spacing w:before="2" w:line="269" w:lineRule="auto"/>
        <w:ind w:left="850"/>
        <w:rPr>
          <w:sz w:val="12"/>
          <w:szCs w:val="12"/>
          <w:lang w:val="uk-UA"/>
        </w:rPr>
      </w:pPr>
    </w:p>
    <w:p w14:paraId="7E7A3A82" w14:textId="1B11A87C" w:rsidR="00E05B98" w:rsidRPr="00144823" w:rsidRDefault="004A0023" w:rsidP="00144823">
      <w:pPr>
        <w:spacing w:before="2" w:line="269" w:lineRule="auto"/>
        <w:ind w:left="850"/>
        <w:rPr>
          <w:rFonts w:ascii="Arial"/>
          <w:i/>
          <w:sz w:val="20"/>
          <w:szCs w:val="20"/>
          <w:lang w:val="uk-UA"/>
        </w:rPr>
      </w:pPr>
      <w:r w:rsidRPr="004A0023">
        <w:rPr>
          <w:sz w:val="20"/>
          <w:szCs w:val="20"/>
          <w:lang w:val="uk-UA"/>
        </w:rPr>
        <w:t>Впровадження Xpert MTB/RIF (Ultra) також призвело до надмірної залежності від результатів ТАНК на основі картриджів за рахунок клінічної проникливості.</w:t>
      </w:r>
    </w:p>
    <w:p w14:paraId="322389C2" w14:textId="59B69624" w:rsidR="00E05B98" w:rsidRDefault="00144823" w:rsidP="00144823">
      <w:pPr>
        <w:spacing w:line="269" w:lineRule="auto"/>
        <w:ind w:left="850"/>
        <w:rPr>
          <w:rFonts w:ascii="Arial"/>
          <w:i/>
          <w:spacing w:val="-6"/>
          <w:sz w:val="20"/>
          <w:szCs w:val="20"/>
          <w:lang w:val="uk-UA"/>
        </w:rPr>
      </w:pPr>
      <w:r w:rsidRPr="00144823">
        <w:rPr>
          <w:i/>
          <w:iCs/>
          <w:spacing w:val="-3"/>
          <w:sz w:val="20"/>
          <w:szCs w:val="20"/>
          <w:lang w:val="uk-UA"/>
        </w:rPr>
        <w:t>Синтез якісних доказів</w:t>
      </w:r>
      <w:r w:rsidR="00B01E0C" w:rsidRPr="00821945">
        <w:rPr>
          <w:rFonts w:ascii="Arial"/>
          <w:i/>
          <w:spacing w:val="-6"/>
          <w:sz w:val="20"/>
          <w:szCs w:val="20"/>
          <w:lang w:val="uk-UA"/>
        </w:rPr>
        <w:t>:</w:t>
      </w:r>
      <w:r w:rsidR="00B01E0C" w:rsidRPr="00821945">
        <w:rPr>
          <w:rFonts w:ascii="Arial"/>
          <w:i/>
          <w:spacing w:val="-11"/>
          <w:sz w:val="20"/>
          <w:szCs w:val="20"/>
          <w:lang w:val="uk-UA"/>
        </w:rPr>
        <w:t xml:space="preserve"> </w:t>
      </w:r>
      <w:r w:rsidR="004A0023">
        <w:rPr>
          <w:rFonts w:ascii="Arial"/>
          <w:i/>
          <w:spacing w:val="-6"/>
          <w:sz w:val="20"/>
          <w:szCs w:val="20"/>
          <w:lang w:val="uk-UA"/>
        </w:rPr>
        <w:t>помірний</w:t>
      </w:r>
      <w:r w:rsidR="004A0023">
        <w:rPr>
          <w:rFonts w:ascii="Arial"/>
          <w:i/>
          <w:spacing w:val="-6"/>
          <w:sz w:val="20"/>
          <w:szCs w:val="20"/>
          <w:lang w:val="uk-UA"/>
        </w:rPr>
        <w:t xml:space="preserve"> </w:t>
      </w:r>
      <w:r w:rsidR="0003476D">
        <w:rPr>
          <w:rFonts w:ascii="Arial"/>
          <w:i/>
          <w:spacing w:val="-6"/>
          <w:sz w:val="20"/>
          <w:szCs w:val="20"/>
          <w:lang w:val="uk-UA"/>
        </w:rPr>
        <w:t>рівень</w:t>
      </w:r>
      <w:r w:rsidR="00331779">
        <w:rPr>
          <w:rFonts w:ascii="Arial"/>
          <w:i/>
          <w:spacing w:val="-6"/>
          <w:sz w:val="20"/>
          <w:szCs w:val="20"/>
          <w:lang w:val="uk-UA"/>
        </w:rPr>
        <w:t xml:space="preserve"> </w:t>
      </w:r>
      <w:r w:rsidR="00331779">
        <w:rPr>
          <w:rFonts w:ascii="Arial"/>
          <w:i/>
          <w:spacing w:val="-6"/>
          <w:sz w:val="20"/>
          <w:szCs w:val="20"/>
          <w:lang w:val="uk-UA"/>
        </w:rPr>
        <w:t>достовірності</w:t>
      </w:r>
    </w:p>
    <w:p w14:paraId="3C1E5B98" w14:textId="77777777" w:rsidR="00144823" w:rsidRPr="00144823" w:rsidRDefault="00144823" w:rsidP="00144823">
      <w:pPr>
        <w:spacing w:line="269" w:lineRule="auto"/>
        <w:ind w:left="850"/>
        <w:rPr>
          <w:rFonts w:ascii="Arial"/>
          <w:i/>
          <w:sz w:val="12"/>
          <w:szCs w:val="12"/>
          <w:lang w:val="uk-UA"/>
        </w:rPr>
      </w:pPr>
    </w:p>
    <w:p w14:paraId="1868AD1F" w14:textId="6C6CC6E2" w:rsidR="00E05B98" w:rsidRPr="00133A34" w:rsidRDefault="00133A34" w:rsidP="004A2937">
      <w:pPr>
        <w:pStyle w:val="a4"/>
        <w:numPr>
          <w:ilvl w:val="0"/>
          <w:numId w:val="14"/>
        </w:numPr>
        <w:tabs>
          <w:tab w:val="left" w:pos="850"/>
        </w:tabs>
        <w:spacing w:line="269" w:lineRule="auto"/>
        <w:rPr>
          <w:w w:val="105"/>
          <w:sz w:val="20"/>
          <w:szCs w:val="20"/>
          <w:lang w:val="uk-UA"/>
        </w:rPr>
      </w:pPr>
      <w:r w:rsidRPr="00133A34">
        <w:rPr>
          <w:w w:val="105"/>
          <w:sz w:val="20"/>
          <w:szCs w:val="20"/>
          <w:lang w:val="uk-UA"/>
        </w:rPr>
        <w:t>Впровадження нових методів діагностики також має супроводжуватися настановами та алгоритмами,</w:t>
      </w:r>
      <w:r>
        <w:rPr>
          <w:w w:val="105"/>
          <w:sz w:val="20"/>
          <w:szCs w:val="20"/>
          <w:lang w:val="uk-UA"/>
        </w:rPr>
        <w:t xml:space="preserve"> </w:t>
      </w:r>
      <w:r w:rsidRPr="00133A34">
        <w:rPr>
          <w:w w:val="105"/>
          <w:sz w:val="20"/>
          <w:szCs w:val="20"/>
          <w:lang w:val="uk-UA"/>
        </w:rPr>
        <w:t>які допомагають клініцистам і працівникам лабораторій у спілкуванні один з одним; наприклад, ці ресурси дозволяють клініцистам і співробітникам лабораторій обговорювати суперечливі результати та інтерпретувати лабораторні результати в контексті доступності препарату, історії захворювання пацієнта та досягнення прогресу пацієнта під час поточної схеми лікування</w:t>
      </w:r>
      <w:r w:rsidR="00B01E0C" w:rsidRPr="00133A34">
        <w:rPr>
          <w:w w:val="105"/>
          <w:sz w:val="20"/>
          <w:szCs w:val="20"/>
          <w:lang w:val="uk-UA"/>
        </w:rPr>
        <w:t>.</w:t>
      </w:r>
    </w:p>
    <w:p w14:paraId="02C64958" w14:textId="08601B1D" w:rsidR="00E05B98" w:rsidRPr="00821945" w:rsidRDefault="00133A34" w:rsidP="00144823">
      <w:pPr>
        <w:spacing w:before="2" w:line="269" w:lineRule="auto"/>
        <w:ind w:left="850"/>
        <w:rPr>
          <w:rFonts w:ascii="Arial"/>
          <w:i/>
          <w:sz w:val="20"/>
          <w:szCs w:val="20"/>
          <w:lang w:val="uk-UA"/>
        </w:rPr>
      </w:pPr>
      <w:r>
        <w:rPr>
          <w:rFonts w:ascii="Arial"/>
          <w:i/>
          <w:spacing w:val="-2"/>
          <w:sz w:val="20"/>
          <w:szCs w:val="20"/>
          <w:lang w:val="uk-UA"/>
        </w:rPr>
        <w:t>Інтерв’ю</w:t>
      </w:r>
    </w:p>
    <w:p w14:paraId="0BF86899" w14:textId="77777777" w:rsidR="00E05B98" w:rsidRPr="00821945" w:rsidRDefault="00E05B98" w:rsidP="00144823">
      <w:pPr>
        <w:spacing w:line="269" w:lineRule="auto"/>
        <w:rPr>
          <w:rFonts w:ascii="Arial"/>
          <w:i/>
          <w:sz w:val="20"/>
          <w:szCs w:val="20"/>
          <w:lang w:val="uk-UA"/>
        </w:rPr>
        <w:sectPr w:rsidR="00E05B98" w:rsidRPr="00821945" w:rsidSect="00144823">
          <w:pgSz w:w="11910" w:h="16840"/>
          <w:pgMar w:top="1134" w:right="995" w:bottom="760" w:left="850" w:header="0" w:footer="573" w:gutter="0"/>
          <w:cols w:space="720"/>
        </w:sectPr>
      </w:pPr>
    </w:p>
    <w:p w14:paraId="53D16ED4" w14:textId="0B80AD67" w:rsidR="00E05B98" w:rsidRPr="00821945" w:rsidRDefault="00133A34" w:rsidP="004A2937">
      <w:pPr>
        <w:pStyle w:val="a4"/>
        <w:numPr>
          <w:ilvl w:val="0"/>
          <w:numId w:val="14"/>
        </w:numPr>
        <w:tabs>
          <w:tab w:val="left" w:pos="850"/>
        </w:tabs>
        <w:spacing w:before="52" w:line="276" w:lineRule="auto"/>
        <w:rPr>
          <w:sz w:val="20"/>
          <w:szCs w:val="20"/>
          <w:lang w:val="uk-UA"/>
        </w:rPr>
      </w:pPr>
      <w:r w:rsidRPr="00133A34">
        <w:rPr>
          <w:sz w:val="20"/>
          <w:szCs w:val="20"/>
          <w:lang w:val="uk-UA"/>
        </w:rPr>
        <w:lastRenderedPageBreak/>
        <w:t>Ефективна система транспортування зразків зі сталими механізмами фінансування має вирішальне значення для практичної реалізації, особливо якщо алгоритм вимагає отримання кількох зразків у різний час з різних точок їх збору, як у випадку з ЛС-ТБ. При неправильному поводженні зі зразком під час його підготовки існує ризик того, що зразок може бути забруднений і дати непереконливі результати молекулярної діагностики. Учасники зазначили, що володіння персоналом відповідними навичками, стандартизовані операційні процедури та розвинена лабораторна інфраструктура</w:t>
      </w:r>
      <w:r w:rsidR="0022046E">
        <w:rPr>
          <w:sz w:val="20"/>
          <w:szCs w:val="20"/>
          <w:lang w:val="uk-UA"/>
        </w:rPr>
        <w:t xml:space="preserve"> є важливими факторами </w:t>
      </w:r>
      <w:r w:rsidR="0022046E" w:rsidRPr="0022046E">
        <w:rPr>
          <w:sz w:val="20"/>
          <w:szCs w:val="20"/>
          <w:lang w:val="uk-UA"/>
        </w:rPr>
        <w:t>для зниження забруднення зразків у їхній лабораторії</w:t>
      </w:r>
      <w:r w:rsidRPr="00133A34">
        <w:rPr>
          <w:sz w:val="20"/>
          <w:szCs w:val="20"/>
          <w:lang w:val="uk-UA"/>
        </w:rPr>
        <w:t>.</w:t>
      </w:r>
    </w:p>
    <w:p w14:paraId="2495A329" w14:textId="3BFFD39B" w:rsidR="00E05B98" w:rsidRPr="00821945" w:rsidRDefault="00133A34" w:rsidP="00077409">
      <w:pPr>
        <w:spacing w:before="6" w:line="276" w:lineRule="auto"/>
        <w:ind w:left="850"/>
        <w:rPr>
          <w:rFonts w:ascii="Arial"/>
          <w:i/>
          <w:sz w:val="20"/>
          <w:szCs w:val="20"/>
          <w:lang w:val="uk-UA"/>
        </w:rPr>
      </w:pPr>
      <w:r>
        <w:rPr>
          <w:rFonts w:ascii="Arial"/>
          <w:i/>
          <w:spacing w:val="-2"/>
          <w:sz w:val="20"/>
          <w:szCs w:val="20"/>
          <w:lang w:val="uk-UA"/>
        </w:rPr>
        <w:t>Інтерв’ю</w:t>
      </w:r>
    </w:p>
    <w:p w14:paraId="1BA11285" w14:textId="3AC1828C" w:rsidR="00E05B98" w:rsidRPr="00821945" w:rsidRDefault="00C02BD4" w:rsidP="004A2937">
      <w:pPr>
        <w:pStyle w:val="a4"/>
        <w:numPr>
          <w:ilvl w:val="0"/>
          <w:numId w:val="14"/>
        </w:numPr>
        <w:tabs>
          <w:tab w:val="left" w:pos="850"/>
        </w:tabs>
        <w:spacing w:before="60" w:line="276" w:lineRule="auto"/>
        <w:rPr>
          <w:sz w:val="20"/>
          <w:szCs w:val="20"/>
          <w:lang w:val="uk-UA"/>
        </w:rPr>
      </w:pPr>
      <w:r w:rsidRPr="00C02BD4">
        <w:rPr>
          <w:sz w:val="20"/>
          <w:szCs w:val="20"/>
          <w:lang w:val="uk-UA"/>
        </w:rPr>
        <w:t xml:space="preserve">Можливість реалізації автоматизованих ТАНК низької складності ставиться під сумнів, якщо на кожному етапі процесу накопичуються випадки затримки проведення діагностики або має місце недостатнє їх використання (або і те, </w:t>
      </w:r>
      <w:r w:rsidR="0022046E">
        <w:rPr>
          <w:sz w:val="20"/>
          <w:szCs w:val="20"/>
          <w:lang w:val="uk-UA"/>
        </w:rPr>
        <w:t>й</w:t>
      </w:r>
      <w:r w:rsidRPr="00C02BD4">
        <w:rPr>
          <w:sz w:val="20"/>
          <w:szCs w:val="20"/>
          <w:lang w:val="uk-UA"/>
        </w:rPr>
        <w:t xml:space="preserve"> інше), головним чином через фактори системи охорони здоров'я:</w:t>
      </w:r>
    </w:p>
    <w:p w14:paraId="0D503BC1" w14:textId="5642F1A6" w:rsidR="00E05B98" w:rsidRPr="00821945" w:rsidRDefault="00C02BD4" w:rsidP="004A2937">
      <w:pPr>
        <w:pStyle w:val="a4"/>
        <w:numPr>
          <w:ilvl w:val="1"/>
          <w:numId w:val="14"/>
        </w:numPr>
        <w:tabs>
          <w:tab w:val="left" w:pos="1227"/>
        </w:tabs>
        <w:spacing w:before="4" w:line="276" w:lineRule="auto"/>
        <w:rPr>
          <w:color w:val="0C8140"/>
          <w:sz w:val="20"/>
          <w:szCs w:val="20"/>
          <w:lang w:val="uk-UA"/>
        </w:rPr>
      </w:pPr>
      <w:r w:rsidRPr="00C02BD4">
        <w:rPr>
          <w:w w:val="105"/>
          <w:sz w:val="20"/>
          <w:szCs w:val="20"/>
          <w:lang w:val="uk-UA"/>
        </w:rPr>
        <w:t>недотримання алгоритмів тестування, тестування на ТБ або МЛС-ТБ на пізніх стадіях, емпіричне лікування, хибнонегативні результати через технологічні збої, великі обсяги зразків і недостатня кількість персоналу, неналежне чи несвоєчасне транспортування зразків та якість зразків, недостатній рівень комунікації  чи несвоєчасне інформування про результати, затримки, пов'язані з плануванням подальших візитів та викликом пацієнтів, а також невідповідна реєстрація результатів;</w:t>
      </w:r>
    </w:p>
    <w:p w14:paraId="5A1120DF" w14:textId="7FC142A8" w:rsidR="00E05B98" w:rsidRPr="00821945" w:rsidRDefault="0007103F" w:rsidP="004A2937">
      <w:pPr>
        <w:pStyle w:val="a4"/>
        <w:numPr>
          <w:ilvl w:val="1"/>
          <w:numId w:val="14"/>
        </w:numPr>
        <w:tabs>
          <w:tab w:val="left" w:pos="1227"/>
        </w:tabs>
        <w:spacing w:before="6" w:line="276" w:lineRule="auto"/>
        <w:rPr>
          <w:color w:val="0C8140"/>
          <w:sz w:val="20"/>
          <w:szCs w:val="20"/>
          <w:lang w:val="uk-UA"/>
        </w:rPr>
      </w:pPr>
      <w:r w:rsidRPr="0007103F">
        <w:rPr>
          <w:spacing w:val="-2"/>
          <w:sz w:val="20"/>
          <w:szCs w:val="20"/>
          <w:lang w:val="uk-UA"/>
        </w:rPr>
        <w:t xml:space="preserve">відсутність достатніх ресурсів та технічного обслуговування (наприклад, брак запасів; ненадійна логістика; брак фінансування, </w:t>
      </w:r>
      <w:r w:rsidR="0022046E">
        <w:rPr>
          <w:spacing w:val="-2"/>
          <w:sz w:val="20"/>
          <w:szCs w:val="20"/>
          <w:lang w:val="uk-UA"/>
        </w:rPr>
        <w:t xml:space="preserve">відсутність </w:t>
      </w:r>
      <w:r w:rsidRPr="0007103F">
        <w:rPr>
          <w:spacing w:val="-2"/>
          <w:sz w:val="20"/>
          <w:szCs w:val="20"/>
          <w:lang w:val="uk-UA"/>
        </w:rPr>
        <w:t>постачання електроенергії, місця, кондиціонерів та контейнерів для збору мокротиння; запилене середовище; а також затримка або відсутність можливості проведення локального ремонту);</w:t>
      </w:r>
    </w:p>
    <w:p w14:paraId="4D59F588" w14:textId="77777777" w:rsidR="0007103F" w:rsidRPr="0007103F" w:rsidRDefault="0007103F" w:rsidP="004A2937">
      <w:pPr>
        <w:pStyle w:val="a4"/>
        <w:numPr>
          <w:ilvl w:val="1"/>
          <w:numId w:val="14"/>
        </w:numPr>
        <w:tabs>
          <w:tab w:val="left" w:pos="1226"/>
        </w:tabs>
        <w:spacing w:before="3" w:line="276" w:lineRule="auto"/>
        <w:rPr>
          <w:w w:val="105"/>
          <w:sz w:val="20"/>
          <w:szCs w:val="20"/>
          <w:lang w:val="uk-UA"/>
        </w:rPr>
      </w:pPr>
      <w:r w:rsidRPr="0007103F">
        <w:rPr>
          <w:w w:val="105"/>
          <w:sz w:val="20"/>
          <w:szCs w:val="20"/>
          <w:lang w:val="uk-UA"/>
        </w:rPr>
        <w:t>неефективні або нечіткі робочі процеси та потоки пацієнтів (наприклад, неефективні організаційні процеси, слабкі зв'язки між надавачами послуг, а також нечіткі механізми подальшого спостереження або надання інформації про те, куди пацієнтам потрібно звертатися);  а також</w:t>
      </w:r>
    </w:p>
    <w:p w14:paraId="15C469C2" w14:textId="3522E8B1" w:rsidR="00E05B98" w:rsidRPr="00821945" w:rsidRDefault="0007103F" w:rsidP="004A2937">
      <w:pPr>
        <w:pStyle w:val="a4"/>
        <w:numPr>
          <w:ilvl w:val="1"/>
          <w:numId w:val="14"/>
        </w:numPr>
        <w:tabs>
          <w:tab w:val="left" w:pos="1226"/>
        </w:tabs>
        <w:spacing w:before="3" w:line="276" w:lineRule="auto"/>
        <w:rPr>
          <w:color w:val="0C8140"/>
          <w:sz w:val="20"/>
          <w:szCs w:val="20"/>
          <w:lang w:val="uk-UA"/>
        </w:rPr>
      </w:pPr>
      <w:r w:rsidRPr="0007103F">
        <w:rPr>
          <w:w w:val="105"/>
          <w:sz w:val="20"/>
          <w:szCs w:val="20"/>
          <w:lang w:val="uk-UA"/>
        </w:rPr>
        <w:t>відсутність інклюзивних національних процесів впровадження, що базуються на даних.</w:t>
      </w:r>
    </w:p>
    <w:p w14:paraId="2B19EE07" w14:textId="424168C0" w:rsidR="00E05B98" w:rsidRPr="00331779" w:rsidRDefault="00144823" w:rsidP="00077409">
      <w:pPr>
        <w:spacing w:before="58" w:line="276" w:lineRule="auto"/>
        <w:ind w:left="1227"/>
        <w:rPr>
          <w:rFonts w:ascii="Arial"/>
          <w:i/>
          <w:sz w:val="20"/>
          <w:szCs w:val="20"/>
          <w:lang w:val="uk-UA"/>
        </w:rPr>
      </w:pPr>
      <w:r w:rsidRPr="00144823">
        <w:rPr>
          <w:i/>
          <w:iCs/>
          <w:spacing w:val="-3"/>
          <w:sz w:val="20"/>
          <w:szCs w:val="20"/>
          <w:lang w:val="uk-UA"/>
        </w:rPr>
        <w:t>Синтез якісних доказів</w:t>
      </w:r>
      <w:r w:rsidR="00B01E0C" w:rsidRPr="00821945">
        <w:rPr>
          <w:rFonts w:ascii="Arial"/>
          <w:i/>
          <w:w w:val="90"/>
          <w:sz w:val="20"/>
          <w:szCs w:val="20"/>
          <w:lang w:val="uk-UA"/>
        </w:rPr>
        <w:t>:</w:t>
      </w:r>
      <w:r w:rsidR="00B01E0C" w:rsidRPr="00821945">
        <w:rPr>
          <w:rFonts w:ascii="Arial"/>
          <w:i/>
          <w:spacing w:val="1"/>
          <w:sz w:val="20"/>
          <w:szCs w:val="20"/>
          <w:lang w:val="uk-UA"/>
        </w:rPr>
        <w:t xml:space="preserve"> </w:t>
      </w:r>
      <w:r w:rsidR="00331779">
        <w:rPr>
          <w:rFonts w:ascii="Arial"/>
          <w:i/>
          <w:w w:val="90"/>
          <w:sz w:val="20"/>
          <w:szCs w:val="20"/>
          <w:lang w:val="uk-UA"/>
        </w:rPr>
        <w:t>високий</w:t>
      </w:r>
      <w:r w:rsidR="00331779">
        <w:rPr>
          <w:rFonts w:ascii="Arial"/>
          <w:i/>
          <w:w w:val="90"/>
          <w:sz w:val="20"/>
          <w:szCs w:val="20"/>
          <w:lang w:val="uk-UA"/>
        </w:rPr>
        <w:t xml:space="preserve"> </w:t>
      </w:r>
      <w:r w:rsidR="0022046E">
        <w:rPr>
          <w:rFonts w:ascii="Arial"/>
          <w:i/>
          <w:w w:val="90"/>
          <w:sz w:val="20"/>
          <w:szCs w:val="20"/>
          <w:lang w:val="uk-UA"/>
        </w:rPr>
        <w:t>рівень</w:t>
      </w:r>
      <w:r w:rsidR="00331779">
        <w:rPr>
          <w:rFonts w:ascii="Arial"/>
          <w:i/>
          <w:w w:val="90"/>
          <w:sz w:val="20"/>
          <w:szCs w:val="20"/>
          <w:lang w:val="uk-UA"/>
        </w:rPr>
        <w:t xml:space="preserve"> </w:t>
      </w:r>
      <w:r w:rsidR="00331779">
        <w:rPr>
          <w:rFonts w:ascii="Arial"/>
          <w:i/>
          <w:w w:val="90"/>
          <w:sz w:val="20"/>
          <w:szCs w:val="20"/>
          <w:lang w:val="uk-UA"/>
        </w:rPr>
        <w:t>достовірності</w:t>
      </w:r>
    </w:p>
    <w:p w14:paraId="1CCD3F03" w14:textId="178D081B" w:rsidR="00E05B98" w:rsidRPr="003C6DAE" w:rsidRDefault="00AD042A" w:rsidP="004A2937">
      <w:pPr>
        <w:pStyle w:val="a4"/>
        <w:numPr>
          <w:ilvl w:val="0"/>
          <w:numId w:val="14"/>
        </w:numPr>
        <w:tabs>
          <w:tab w:val="left" w:pos="850"/>
        </w:tabs>
        <w:spacing w:before="117" w:line="276" w:lineRule="auto"/>
        <w:rPr>
          <w:lang w:val="uk-UA"/>
        </w:rPr>
      </w:pPr>
      <w:r w:rsidRPr="00AD042A">
        <w:rPr>
          <w:sz w:val="20"/>
          <w:szCs w:val="20"/>
          <w:lang w:val="uk-UA"/>
        </w:rPr>
        <w:t xml:space="preserve">Можливість використання автоматизованих ТАНК низької складності також ставиться під сумнів через цінність діагностики МТВ порівняно з ЛС-ТБ на первинному рівні надання медичної допомоги. Ця ситуація робить менш можливим реалізацію ТАНК в якості базового тесту, хоча він </w:t>
      </w:r>
      <w:r w:rsidRPr="00144823">
        <w:rPr>
          <w:sz w:val="20"/>
          <w:szCs w:val="20"/>
          <w:lang w:val="uk-UA"/>
        </w:rPr>
        <w:t xml:space="preserve">міг би  </w:t>
      </w:r>
      <w:r w:rsidR="00505B19" w:rsidRPr="00144823">
        <w:rPr>
          <w:sz w:val="20"/>
          <w:szCs w:val="20"/>
          <w:lang w:val="uk-UA"/>
        </w:rPr>
        <w:t xml:space="preserve">підходити </w:t>
      </w:r>
      <w:r w:rsidRPr="00144823">
        <w:rPr>
          <w:sz w:val="20"/>
          <w:szCs w:val="20"/>
          <w:lang w:val="uk-UA"/>
        </w:rPr>
        <w:t xml:space="preserve"> для лабораторій </w:t>
      </w:r>
      <w:r w:rsidR="005A7875" w:rsidRPr="00144823">
        <w:rPr>
          <w:sz w:val="20"/>
          <w:szCs w:val="20"/>
          <w:lang w:val="uk-UA"/>
        </w:rPr>
        <w:t>районного</w:t>
      </w:r>
      <w:r w:rsidRPr="00144823">
        <w:rPr>
          <w:sz w:val="20"/>
          <w:szCs w:val="20"/>
          <w:lang w:val="uk-UA"/>
        </w:rPr>
        <w:t xml:space="preserve"> чи середнього рівня</w:t>
      </w:r>
      <w:r w:rsidR="00505B19" w:rsidRPr="00144823">
        <w:rPr>
          <w:lang w:val="uk-UA"/>
        </w:rPr>
        <w:t>.</w:t>
      </w:r>
    </w:p>
    <w:p w14:paraId="08F71FF9" w14:textId="77777777" w:rsidR="00E05B98" w:rsidRPr="003C6DAE" w:rsidRDefault="00E05B98" w:rsidP="00077409">
      <w:pPr>
        <w:pStyle w:val="a3"/>
        <w:spacing w:before="9" w:line="276" w:lineRule="auto"/>
        <w:rPr>
          <w:lang w:val="uk-UA"/>
        </w:rPr>
      </w:pPr>
    </w:p>
    <w:p w14:paraId="0B924AAF" w14:textId="173885CE" w:rsidR="00E05B98" w:rsidRPr="00AD042A" w:rsidRDefault="00AD042A" w:rsidP="00077409">
      <w:pPr>
        <w:pStyle w:val="5"/>
        <w:spacing w:line="276" w:lineRule="auto"/>
        <w:rPr>
          <w:sz w:val="26"/>
          <w:szCs w:val="26"/>
          <w:lang w:val="uk-UA"/>
        </w:rPr>
      </w:pPr>
      <w:r>
        <w:rPr>
          <w:color w:val="019648"/>
          <w:w w:val="110"/>
          <w:sz w:val="26"/>
          <w:szCs w:val="26"/>
          <w:lang w:val="uk-UA"/>
        </w:rPr>
        <w:t xml:space="preserve">Міркування щодо </w:t>
      </w:r>
      <w:r w:rsidR="00144823">
        <w:rPr>
          <w:color w:val="019648"/>
          <w:w w:val="110"/>
          <w:sz w:val="26"/>
          <w:szCs w:val="26"/>
          <w:lang w:val="uk-UA"/>
        </w:rPr>
        <w:t>реалізації</w:t>
      </w:r>
    </w:p>
    <w:p w14:paraId="0647CA09" w14:textId="79D47408" w:rsidR="00E05B98" w:rsidRPr="00821945" w:rsidRDefault="00AD042A" w:rsidP="00077409">
      <w:pPr>
        <w:pStyle w:val="a3"/>
        <w:spacing w:before="188" w:line="276" w:lineRule="auto"/>
        <w:ind w:left="567"/>
        <w:rPr>
          <w:sz w:val="20"/>
          <w:szCs w:val="20"/>
          <w:lang w:val="uk-UA"/>
        </w:rPr>
      </w:pPr>
      <w:r w:rsidRPr="00AD042A">
        <w:rPr>
          <w:sz w:val="20"/>
          <w:szCs w:val="20"/>
          <w:lang w:val="uk-UA"/>
        </w:rPr>
        <w:t>При впровадженні автоматизованих ТАНК низької складності для виявлення стійкості до ізоніазиду та протитуберкульозних препаратів другого ряду слід враховувати наступні фактори:</w:t>
      </w:r>
    </w:p>
    <w:p w14:paraId="2E5A67AC" w14:textId="77163DAD" w:rsidR="0054680F" w:rsidRPr="0054680F" w:rsidRDefault="0054680F" w:rsidP="004A2937">
      <w:pPr>
        <w:pStyle w:val="a4"/>
        <w:numPr>
          <w:ilvl w:val="0"/>
          <w:numId w:val="14"/>
        </w:numPr>
        <w:tabs>
          <w:tab w:val="left" w:pos="850"/>
        </w:tabs>
        <w:spacing w:before="2" w:line="276" w:lineRule="auto"/>
        <w:rPr>
          <w:sz w:val="20"/>
          <w:szCs w:val="20"/>
          <w:lang w:val="uk-UA"/>
        </w:rPr>
      </w:pPr>
      <w:r w:rsidRPr="0054680F">
        <w:rPr>
          <w:sz w:val="20"/>
          <w:szCs w:val="20"/>
          <w:lang w:val="uk-UA"/>
        </w:rPr>
        <w:t>епідеміологічні дані про поширеність стійкості на місцевому рівні повинні визначати алгоритми тестування</w:t>
      </w:r>
      <w:r w:rsidR="00505B19">
        <w:rPr>
          <w:sz w:val="20"/>
          <w:szCs w:val="20"/>
          <w:lang w:val="uk-UA"/>
        </w:rPr>
        <w:t xml:space="preserve"> на місцевому рівні</w:t>
      </w:r>
      <w:r w:rsidRPr="0054680F">
        <w:rPr>
          <w:sz w:val="20"/>
          <w:szCs w:val="20"/>
          <w:lang w:val="uk-UA"/>
        </w:rPr>
        <w:t>, тоді як п</w:t>
      </w:r>
      <w:r w:rsidR="00505B19">
        <w:rPr>
          <w:sz w:val="20"/>
          <w:szCs w:val="20"/>
          <w:lang w:val="uk-UA"/>
        </w:rPr>
        <w:t>е</w:t>
      </w:r>
      <w:r w:rsidRPr="0054680F">
        <w:rPr>
          <w:sz w:val="20"/>
          <w:szCs w:val="20"/>
          <w:lang w:val="uk-UA"/>
        </w:rPr>
        <w:t>редтестова ймовірність має важливе значення для клінічної інтерпретації результатів тестування;</w:t>
      </w:r>
    </w:p>
    <w:p w14:paraId="27580069" w14:textId="1D76EB45" w:rsidR="00E05B98" w:rsidRPr="00821945" w:rsidRDefault="0054680F" w:rsidP="004A2937">
      <w:pPr>
        <w:pStyle w:val="a4"/>
        <w:numPr>
          <w:ilvl w:val="0"/>
          <w:numId w:val="14"/>
        </w:numPr>
        <w:tabs>
          <w:tab w:val="left" w:pos="850"/>
        </w:tabs>
        <w:spacing w:before="2" w:line="276" w:lineRule="auto"/>
        <w:jc w:val="left"/>
        <w:rPr>
          <w:sz w:val="20"/>
          <w:szCs w:val="20"/>
          <w:lang w:val="uk-UA"/>
        </w:rPr>
      </w:pPr>
      <w:r w:rsidRPr="0054680F">
        <w:rPr>
          <w:sz w:val="20"/>
          <w:szCs w:val="20"/>
          <w:lang w:val="uk-UA"/>
        </w:rPr>
        <w:t>вартість тесту коливається залежно від таких параметрів, як кількість зразків у партії та необхідний час для обробки зразків</w:t>
      </w:r>
      <w:r w:rsidR="00505B19">
        <w:rPr>
          <w:sz w:val="20"/>
          <w:szCs w:val="20"/>
          <w:lang w:val="uk-UA"/>
        </w:rPr>
        <w:t xml:space="preserve"> персоналом</w:t>
      </w:r>
      <w:r w:rsidRPr="0054680F">
        <w:rPr>
          <w:sz w:val="20"/>
          <w:szCs w:val="20"/>
          <w:lang w:val="uk-UA"/>
        </w:rPr>
        <w:t>; тому слід провести калькуляцію витрат на місцевому рівні;</w:t>
      </w:r>
    </w:p>
    <w:p w14:paraId="416DCDCB" w14:textId="77777777" w:rsidR="0054680F" w:rsidRPr="0054680F" w:rsidRDefault="0054680F" w:rsidP="004A2937">
      <w:pPr>
        <w:pStyle w:val="a4"/>
        <w:numPr>
          <w:ilvl w:val="0"/>
          <w:numId w:val="14"/>
        </w:numPr>
        <w:tabs>
          <w:tab w:val="left" w:pos="850"/>
        </w:tabs>
        <w:spacing w:before="2" w:line="276" w:lineRule="auto"/>
        <w:rPr>
          <w:sz w:val="20"/>
          <w:szCs w:val="20"/>
          <w:lang w:val="uk-UA"/>
        </w:rPr>
      </w:pPr>
      <w:r w:rsidRPr="0054680F">
        <w:rPr>
          <w:sz w:val="20"/>
          <w:szCs w:val="20"/>
          <w:lang w:val="uk-UA"/>
        </w:rPr>
        <w:t>тести низької, помірної та високої складності характеризуються послідовним підвищенням вимог до технічної компетентності (кваліфікації та навичок працівника) та часу персоналу, що впливає на планування та формування бюджету;</w:t>
      </w:r>
    </w:p>
    <w:p w14:paraId="094A3598" w14:textId="0644BA4B" w:rsidR="00E05B98" w:rsidRPr="00821945" w:rsidRDefault="0054680F" w:rsidP="004A2937">
      <w:pPr>
        <w:pStyle w:val="a4"/>
        <w:numPr>
          <w:ilvl w:val="0"/>
          <w:numId w:val="14"/>
        </w:numPr>
        <w:tabs>
          <w:tab w:val="left" w:pos="850"/>
        </w:tabs>
        <w:spacing w:before="2" w:line="276" w:lineRule="auto"/>
        <w:jc w:val="left"/>
        <w:rPr>
          <w:sz w:val="20"/>
          <w:szCs w:val="20"/>
          <w:lang w:val="uk-UA"/>
        </w:rPr>
      </w:pPr>
      <w:r w:rsidRPr="0054680F">
        <w:rPr>
          <w:sz w:val="20"/>
          <w:szCs w:val="20"/>
          <w:lang w:val="uk-UA"/>
        </w:rPr>
        <w:t>при виборі надавача послуг слід враховувати наявність і своєчасність місцевих служб з надання підтримки та обслуговування тестових систем;</w:t>
      </w:r>
    </w:p>
    <w:p w14:paraId="7EF6AD4E" w14:textId="391179F1" w:rsidR="00E05B98" w:rsidRPr="00144823" w:rsidRDefault="0054680F" w:rsidP="004A2937">
      <w:pPr>
        <w:pStyle w:val="a4"/>
        <w:numPr>
          <w:ilvl w:val="0"/>
          <w:numId w:val="14"/>
        </w:numPr>
        <w:tabs>
          <w:tab w:val="left" w:pos="850"/>
        </w:tabs>
        <w:spacing w:before="3" w:line="276" w:lineRule="auto"/>
        <w:jc w:val="left"/>
        <w:rPr>
          <w:sz w:val="20"/>
          <w:szCs w:val="20"/>
          <w:lang w:val="uk-UA"/>
        </w:rPr>
      </w:pPr>
      <w:r w:rsidRPr="0054680F">
        <w:rPr>
          <w:w w:val="105"/>
          <w:sz w:val="20"/>
          <w:szCs w:val="20"/>
          <w:lang w:val="uk-UA"/>
        </w:rPr>
        <w:t xml:space="preserve">акредитація лабораторії та дотримання надійної системи управління якістю (включаючи відповідний контроль якості) мають важливе значення для забезпечення </w:t>
      </w:r>
      <w:r w:rsidR="00AC2006">
        <w:rPr>
          <w:w w:val="105"/>
          <w:sz w:val="20"/>
          <w:szCs w:val="20"/>
          <w:lang w:val="uk-UA"/>
        </w:rPr>
        <w:t xml:space="preserve">обслуговування </w:t>
      </w:r>
      <w:r w:rsidRPr="0054680F">
        <w:rPr>
          <w:w w:val="105"/>
          <w:sz w:val="20"/>
          <w:szCs w:val="20"/>
          <w:lang w:val="uk-UA"/>
        </w:rPr>
        <w:t xml:space="preserve">високої якості </w:t>
      </w:r>
      <w:r w:rsidR="00AC2006">
        <w:rPr>
          <w:w w:val="105"/>
          <w:sz w:val="20"/>
          <w:szCs w:val="20"/>
          <w:lang w:val="uk-UA"/>
        </w:rPr>
        <w:t>та</w:t>
      </w:r>
      <w:r w:rsidRPr="0054680F">
        <w:rPr>
          <w:w w:val="105"/>
          <w:sz w:val="20"/>
          <w:szCs w:val="20"/>
          <w:lang w:val="uk-UA"/>
        </w:rPr>
        <w:t xml:space="preserve"> довіри;</w:t>
      </w:r>
    </w:p>
    <w:p w14:paraId="44ABF697" w14:textId="77777777" w:rsidR="00144823" w:rsidRPr="00621CAC" w:rsidRDefault="00144823" w:rsidP="00144823">
      <w:pPr>
        <w:pStyle w:val="a4"/>
        <w:tabs>
          <w:tab w:val="left" w:pos="850"/>
        </w:tabs>
        <w:spacing w:before="3" w:line="276" w:lineRule="auto"/>
        <w:ind w:firstLine="0"/>
        <w:jc w:val="left"/>
        <w:rPr>
          <w:sz w:val="20"/>
          <w:szCs w:val="20"/>
          <w:lang w:val="uk-UA"/>
        </w:rPr>
      </w:pPr>
    </w:p>
    <w:p w14:paraId="232658DE" w14:textId="77777777" w:rsidR="00621CAC" w:rsidRPr="00821945" w:rsidRDefault="00621CAC" w:rsidP="00621CAC">
      <w:pPr>
        <w:pStyle w:val="a4"/>
        <w:tabs>
          <w:tab w:val="left" w:pos="850"/>
        </w:tabs>
        <w:spacing w:before="3" w:line="276" w:lineRule="auto"/>
        <w:ind w:firstLine="0"/>
        <w:jc w:val="left"/>
        <w:rPr>
          <w:sz w:val="20"/>
          <w:szCs w:val="20"/>
          <w:lang w:val="uk-UA"/>
        </w:rPr>
      </w:pPr>
    </w:p>
    <w:p w14:paraId="09E69DAF" w14:textId="77777777" w:rsidR="00077409" w:rsidRPr="00077409" w:rsidRDefault="00077409" w:rsidP="004A2937">
      <w:pPr>
        <w:pStyle w:val="a4"/>
        <w:numPr>
          <w:ilvl w:val="0"/>
          <w:numId w:val="14"/>
        </w:numPr>
        <w:tabs>
          <w:tab w:val="left" w:pos="850"/>
        </w:tabs>
        <w:spacing w:before="3" w:line="276" w:lineRule="auto"/>
        <w:rPr>
          <w:w w:val="105"/>
          <w:sz w:val="20"/>
          <w:szCs w:val="20"/>
          <w:lang w:val="uk-UA"/>
        </w:rPr>
      </w:pPr>
      <w:r w:rsidRPr="00077409">
        <w:rPr>
          <w:w w:val="105"/>
          <w:sz w:val="20"/>
          <w:szCs w:val="20"/>
          <w:lang w:val="uk-UA"/>
        </w:rPr>
        <w:lastRenderedPageBreak/>
        <w:t>навчання персоналу як лабораторії, так і медичного закладу забезпечить ефективне надання послуг та клінічний вплив;</w:t>
      </w:r>
    </w:p>
    <w:p w14:paraId="7D1EEAC5" w14:textId="57E997FA" w:rsidR="00E05B98" w:rsidRPr="00821945" w:rsidRDefault="00077409" w:rsidP="004A2937">
      <w:pPr>
        <w:pStyle w:val="a4"/>
        <w:numPr>
          <w:ilvl w:val="0"/>
          <w:numId w:val="14"/>
        </w:numPr>
        <w:tabs>
          <w:tab w:val="left" w:pos="850"/>
        </w:tabs>
        <w:spacing w:before="3" w:line="276" w:lineRule="auto"/>
        <w:jc w:val="left"/>
        <w:rPr>
          <w:sz w:val="20"/>
          <w:szCs w:val="20"/>
          <w:lang w:val="uk-UA"/>
        </w:rPr>
      </w:pPr>
      <w:r w:rsidRPr="00077409">
        <w:rPr>
          <w:w w:val="105"/>
          <w:sz w:val="20"/>
          <w:szCs w:val="20"/>
          <w:lang w:val="uk-UA"/>
        </w:rPr>
        <w:t xml:space="preserve">заохочується використання </w:t>
      </w:r>
      <w:r w:rsidR="00AC2006">
        <w:rPr>
          <w:w w:val="105"/>
          <w:sz w:val="20"/>
          <w:szCs w:val="20"/>
          <w:lang w:val="uk-UA"/>
        </w:rPr>
        <w:t>підходу</w:t>
      </w:r>
      <w:r w:rsidRPr="00077409">
        <w:rPr>
          <w:w w:val="105"/>
          <w:sz w:val="20"/>
          <w:szCs w:val="20"/>
          <w:lang w:val="uk-UA"/>
        </w:rPr>
        <w:t xml:space="preserve"> фізично</w:t>
      </w:r>
      <w:r w:rsidR="00AC2006">
        <w:rPr>
          <w:w w:val="105"/>
          <w:sz w:val="20"/>
          <w:szCs w:val="20"/>
          <w:lang w:val="uk-UA"/>
        </w:rPr>
        <w:t>го підключення</w:t>
      </w:r>
      <w:r w:rsidRPr="00077409">
        <w:rPr>
          <w:w w:val="105"/>
          <w:sz w:val="20"/>
          <w:szCs w:val="20"/>
          <w:lang w:val="uk-UA"/>
        </w:rPr>
        <w:t xml:space="preserve"> та функціональної сумісності </w:t>
      </w:r>
      <w:r w:rsidR="00AC2006">
        <w:rPr>
          <w:w w:val="105"/>
          <w:sz w:val="20"/>
          <w:szCs w:val="20"/>
          <w:lang w:val="uk-UA"/>
        </w:rPr>
        <w:t xml:space="preserve">систем </w:t>
      </w:r>
      <w:r w:rsidRPr="00077409">
        <w:rPr>
          <w:w w:val="105"/>
          <w:sz w:val="20"/>
          <w:szCs w:val="20"/>
          <w:lang w:val="uk-UA"/>
        </w:rPr>
        <w:t>для передачі результатів з метою підвищити ефективність надання послуг та скоротити час для початку лікування;</w:t>
      </w:r>
    </w:p>
    <w:p w14:paraId="70737619" w14:textId="253BA782" w:rsidR="00E05B98" w:rsidRPr="00821945" w:rsidRDefault="00A64F62" w:rsidP="004A2937">
      <w:pPr>
        <w:pStyle w:val="a4"/>
        <w:numPr>
          <w:ilvl w:val="0"/>
          <w:numId w:val="14"/>
        </w:numPr>
        <w:tabs>
          <w:tab w:val="left" w:pos="850"/>
        </w:tabs>
        <w:spacing w:before="52" w:line="276" w:lineRule="auto"/>
        <w:rPr>
          <w:sz w:val="20"/>
          <w:szCs w:val="20"/>
          <w:lang w:val="uk-UA"/>
        </w:rPr>
      </w:pPr>
      <w:r w:rsidRPr="00A64F62">
        <w:rPr>
          <w:w w:val="105"/>
          <w:sz w:val="20"/>
          <w:szCs w:val="20"/>
          <w:lang w:val="uk-UA"/>
        </w:rPr>
        <w:t>швидке та раннє тестування на виявлення стійкості до фторхінолонів має важливе значення перед початком лікування випадків МЛС-/Риф-ТБ за повністю пероральною короткою схемою лікування  (тобто 6-9 місяців); це також може стати актуальним (залежно від епідеміологічного контексту), якщо будуть впроваджені нові короткі схеми лікування лікарсько-чутливого ТБ, які включають використання фторхінолонів;</w:t>
      </w:r>
    </w:p>
    <w:p w14:paraId="1886A2E8" w14:textId="041F8978" w:rsidR="00E05B98" w:rsidRPr="00821945" w:rsidRDefault="00A64F62" w:rsidP="004A2937">
      <w:pPr>
        <w:pStyle w:val="a4"/>
        <w:numPr>
          <w:ilvl w:val="0"/>
          <w:numId w:val="14"/>
        </w:numPr>
        <w:tabs>
          <w:tab w:val="left" w:pos="850"/>
        </w:tabs>
        <w:spacing w:before="5" w:line="276" w:lineRule="auto"/>
        <w:rPr>
          <w:sz w:val="20"/>
          <w:szCs w:val="20"/>
          <w:lang w:val="uk-UA"/>
        </w:rPr>
      </w:pPr>
      <w:r w:rsidRPr="00A64F62">
        <w:rPr>
          <w:w w:val="105"/>
          <w:sz w:val="20"/>
          <w:szCs w:val="20"/>
          <w:lang w:val="uk-UA"/>
        </w:rPr>
        <w:t xml:space="preserve">ці тести можна використовувати для встановлення стійкості до етіонаміду, але не для виключення стійкості, оскільки мутації, що обумовлюють резистентність до етіонаміду, не обмежуються </w:t>
      </w:r>
      <w:r w:rsidR="00AC2006">
        <w:rPr>
          <w:w w:val="105"/>
          <w:sz w:val="20"/>
          <w:szCs w:val="20"/>
          <w:lang w:val="uk-UA"/>
        </w:rPr>
        <w:t xml:space="preserve">ділянкою </w:t>
      </w:r>
      <w:r w:rsidRPr="00A64F62">
        <w:rPr>
          <w:w w:val="105"/>
          <w:sz w:val="20"/>
          <w:szCs w:val="20"/>
          <w:lang w:val="uk-UA"/>
        </w:rPr>
        <w:t>промотор</w:t>
      </w:r>
      <w:r w:rsidR="00AC2006">
        <w:rPr>
          <w:w w:val="105"/>
          <w:sz w:val="20"/>
          <w:szCs w:val="20"/>
          <w:lang w:val="uk-UA"/>
        </w:rPr>
        <w:t>а</w:t>
      </w:r>
      <w:r w:rsidRPr="00A64F62">
        <w:rPr>
          <w:w w:val="105"/>
          <w:sz w:val="20"/>
          <w:szCs w:val="20"/>
          <w:lang w:val="uk-UA"/>
        </w:rPr>
        <w:t xml:space="preserve"> </w:t>
      </w:r>
      <w:r w:rsidRPr="00A64F62">
        <w:rPr>
          <w:i/>
          <w:iCs/>
          <w:w w:val="105"/>
          <w:sz w:val="20"/>
          <w:szCs w:val="20"/>
          <w:lang w:val="uk-UA"/>
        </w:rPr>
        <w:t>inhA</w:t>
      </w:r>
      <w:r w:rsidRPr="00A64F62">
        <w:rPr>
          <w:w w:val="105"/>
          <w:sz w:val="20"/>
          <w:szCs w:val="20"/>
          <w:lang w:val="uk-UA"/>
        </w:rPr>
        <w:t xml:space="preserve"> - вони також включають гени </w:t>
      </w:r>
      <w:r w:rsidRPr="00A64F62">
        <w:rPr>
          <w:i/>
          <w:iCs/>
          <w:w w:val="105"/>
          <w:sz w:val="20"/>
          <w:szCs w:val="20"/>
          <w:lang w:val="uk-UA"/>
        </w:rPr>
        <w:t>ethA, ethR</w:t>
      </w:r>
      <w:r w:rsidRPr="00A64F62">
        <w:rPr>
          <w:w w:val="105"/>
          <w:sz w:val="20"/>
          <w:szCs w:val="20"/>
          <w:lang w:val="uk-UA"/>
        </w:rPr>
        <w:t xml:space="preserve"> та інші гени;</w:t>
      </w:r>
    </w:p>
    <w:p w14:paraId="002461A5" w14:textId="67A12B04" w:rsidR="00E05B98" w:rsidRPr="00821945" w:rsidRDefault="006D0718" w:rsidP="004A2937">
      <w:pPr>
        <w:pStyle w:val="a4"/>
        <w:numPr>
          <w:ilvl w:val="0"/>
          <w:numId w:val="14"/>
        </w:numPr>
        <w:tabs>
          <w:tab w:val="left" w:pos="850"/>
        </w:tabs>
        <w:spacing w:before="2" w:line="276" w:lineRule="auto"/>
        <w:rPr>
          <w:sz w:val="20"/>
          <w:szCs w:val="20"/>
          <w:lang w:val="uk-UA"/>
        </w:rPr>
      </w:pPr>
      <w:proofErr w:type="spellStart"/>
      <w:r w:rsidRPr="006D0718">
        <w:rPr>
          <w:sz w:val="20"/>
          <w:szCs w:val="20"/>
          <w:lang w:val="uk-UA"/>
        </w:rPr>
        <w:t>фенотип</w:t>
      </w:r>
      <w:r w:rsidR="006875E3">
        <w:rPr>
          <w:sz w:val="20"/>
          <w:szCs w:val="20"/>
          <w:lang w:val="uk-UA"/>
        </w:rPr>
        <w:t>ов</w:t>
      </w:r>
      <w:r w:rsidRPr="006D0718">
        <w:rPr>
          <w:sz w:val="20"/>
          <w:szCs w:val="20"/>
          <w:lang w:val="uk-UA"/>
        </w:rPr>
        <w:t>ий</w:t>
      </w:r>
      <w:proofErr w:type="spellEnd"/>
      <w:r w:rsidRPr="006D0718">
        <w:rPr>
          <w:sz w:val="20"/>
          <w:szCs w:val="20"/>
          <w:lang w:val="uk-UA"/>
        </w:rPr>
        <w:t xml:space="preserve"> ТМЧ на основі бакпосіву все ще може знадобитися, особливо серед пацієнтів з високою ймовірністю </w:t>
      </w:r>
      <w:r w:rsidR="00DB223B">
        <w:rPr>
          <w:sz w:val="20"/>
          <w:szCs w:val="20"/>
          <w:lang w:val="uk-UA"/>
        </w:rPr>
        <w:t>резистентності</w:t>
      </w:r>
      <w:r w:rsidRPr="006D0718">
        <w:rPr>
          <w:sz w:val="20"/>
          <w:szCs w:val="20"/>
          <w:lang w:val="uk-UA"/>
        </w:rPr>
        <w:t xml:space="preserve"> до проведення тесту, коли автоматизовані ТАНК низької складності не виявляють стійкості ТБ до </w:t>
      </w:r>
      <w:r w:rsidR="005A7875" w:rsidRPr="006D0718">
        <w:rPr>
          <w:sz w:val="20"/>
          <w:szCs w:val="20"/>
          <w:lang w:val="uk-UA"/>
        </w:rPr>
        <w:t>лікарських</w:t>
      </w:r>
      <w:r w:rsidRPr="006D0718">
        <w:rPr>
          <w:sz w:val="20"/>
          <w:szCs w:val="20"/>
          <w:lang w:val="uk-UA"/>
        </w:rPr>
        <w:t xml:space="preserve"> препаратів</w:t>
      </w:r>
      <w:r w:rsidR="00DB223B">
        <w:rPr>
          <w:sz w:val="20"/>
          <w:szCs w:val="20"/>
          <w:lang w:val="uk-UA"/>
        </w:rPr>
        <w:t>.</w:t>
      </w:r>
      <w:r w:rsidRPr="006D0718">
        <w:rPr>
          <w:sz w:val="20"/>
          <w:szCs w:val="20"/>
          <w:lang w:val="uk-UA"/>
        </w:rPr>
        <w:t xml:space="preserve"> </w:t>
      </w:r>
      <w:r w:rsidR="00DB223B">
        <w:rPr>
          <w:sz w:val="20"/>
          <w:szCs w:val="20"/>
          <w:lang w:val="uk-UA"/>
        </w:rPr>
        <w:t>К</w:t>
      </w:r>
      <w:r w:rsidRPr="006D0718">
        <w:rPr>
          <w:sz w:val="20"/>
          <w:szCs w:val="20"/>
          <w:lang w:val="uk-UA"/>
        </w:rPr>
        <w:t xml:space="preserve">рім того, культуральний </w:t>
      </w:r>
      <w:proofErr w:type="spellStart"/>
      <w:r w:rsidRPr="006D0718">
        <w:rPr>
          <w:sz w:val="20"/>
          <w:szCs w:val="20"/>
          <w:lang w:val="uk-UA"/>
        </w:rPr>
        <w:t>фенотип</w:t>
      </w:r>
      <w:r w:rsidR="006875E3">
        <w:rPr>
          <w:sz w:val="20"/>
          <w:szCs w:val="20"/>
          <w:lang w:val="uk-UA"/>
        </w:rPr>
        <w:t>ов</w:t>
      </w:r>
      <w:r w:rsidRPr="006D0718">
        <w:rPr>
          <w:sz w:val="20"/>
          <w:szCs w:val="20"/>
          <w:lang w:val="uk-UA"/>
        </w:rPr>
        <w:t>ий</w:t>
      </w:r>
      <w:proofErr w:type="spellEnd"/>
      <w:r w:rsidRPr="006D0718">
        <w:rPr>
          <w:sz w:val="20"/>
          <w:szCs w:val="20"/>
          <w:lang w:val="uk-UA"/>
        </w:rPr>
        <w:t xml:space="preserve"> ТМЧ:</w:t>
      </w:r>
    </w:p>
    <w:p w14:paraId="06D36CE5" w14:textId="1BD2A5C7" w:rsidR="006D0718" w:rsidRPr="006D0718" w:rsidRDefault="006D0718" w:rsidP="004A2937">
      <w:pPr>
        <w:pStyle w:val="a4"/>
        <w:numPr>
          <w:ilvl w:val="1"/>
          <w:numId w:val="14"/>
        </w:numPr>
        <w:tabs>
          <w:tab w:val="left" w:pos="1227"/>
        </w:tabs>
        <w:spacing w:line="276" w:lineRule="auto"/>
        <w:rPr>
          <w:sz w:val="20"/>
          <w:szCs w:val="20"/>
          <w:lang w:val="uk-UA"/>
        </w:rPr>
      </w:pPr>
      <w:r w:rsidRPr="006D0718">
        <w:rPr>
          <w:sz w:val="20"/>
          <w:szCs w:val="20"/>
          <w:lang w:val="uk-UA"/>
        </w:rPr>
        <w:t xml:space="preserve">залишається важливим для визначення стійкості до інших протитуберкульозних </w:t>
      </w:r>
      <w:r w:rsidR="00DB223B">
        <w:rPr>
          <w:sz w:val="20"/>
          <w:szCs w:val="20"/>
          <w:lang w:val="uk-UA"/>
        </w:rPr>
        <w:t>лікарських засобів</w:t>
      </w:r>
      <w:r w:rsidRPr="006D0718">
        <w:rPr>
          <w:sz w:val="20"/>
          <w:szCs w:val="20"/>
          <w:lang w:val="uk-UA"/>
        </w:rPr>
        <w:t>, особливо до нових та перепрофільованих препаратів, а також для моніторингу появи додаткової лікарської стійкості;</w:t>
      </w:r>
    </w:p>
    <w:p w14:paraId="5EC2A904" w14:textId="57AA5DCC" w:rsidR="00E05B98" w:rsidRPr="00821945" w:rsidRDefault="006D0718" w:rsidP="004A2937">
      <w:pPr>
        <w:pStyle w:val="a4"/>
        <w:numPr>
          <w:ilvl w:val="1"/>
          <w:numId w:val="14"/>
        </w:numPr>
        <w:tabs>
          <w:tab w:val="left" w:pos="1227"/>
        </w:tabs>
        <w:spacing w:before="0" w:line="276" w:lineRule="auto"/>
        <w:jc w:val="left"/>
        <w:rPr>
          <w:rFonts w:ascii="Arial MT" w:hAnsi="Arial MT"/>
          <w:color w:val="0C8140"/>
          <w:sz w:val="20"/>
          <w:szCs w:val="20"/>
          <w:lang w:val="uk-UA"/>
        </w:rPr>
      </w:pPr>
      <w:r w:rsidRPr="006D0718">
        <w:rPr>
          <w:sz w:val="20"/>
          <w:szCs w:val="20"/>
          <w:lang w:val="uk-UA"/>
        </w:rPr>
        <w:t>не застосовується до етіонаміду, оскільки він є ненадійним та погано відтворюваним</w:t>
      </w:r>
      <w:r w:rsidR="00B01E0C" w:rsidRPr="00821945">
        <w:rPr>
          <w:spacing w:val="-2"/>
          <w:sz w:val="20"/>
          <w:szCs w:val="20"/>
          <w:lang w:val="uk-UA"/>
        </w:rPr>
        <w:t>;</w:t>
      </w:r>
    </w:p>
    <w:p w14:paraId="24AD2E8D" w14:textId="77777777" w:rsidR="006D0718" w:rsidRPr="006D0718" w:rsidRDefault="006D0718" w:rsidP="004A2937">
      <w:pPr>
        <w:pStyle w:val="a4"/>
        <w:numPr>
          <w:ilvl w:val="0"/>
          <w:numId w:val="14"/>
        </w:numPr>
        <w:tabs>
          <w:tab w:val="left" w:pos="850"/>
        </w:tabs>
        <w:spacing w:before="4" w:line="276" w:lineRule="auto"/>
        <w:rPr>
          <w:spacing w:val="-2"/>
          <w:sz w:val="20"/>
          <w:szCs w:val="20"/>
          <w:lang w:val="uk-UA"/>
        </w:rPr>
      </w:pPr>
      <w:r w:rsidRPr="006D0718">
        <w:rPr>
          <w:spacing w:val="-2"/>
          <w:sz w:val="20"/>
          <w:szCs w:val="20"/>
          <w:lang w:val="uk-UA"/>
        </w:rPr>
        <w:t>для ін'єкційних препаратів другого ряду група експертів оцінювала ефективність виявлення стійкості до амікацину лише тому, що канаміцин і капреоміцин більше не рекомендовані для лікування ЛС-ТБ; та</w:t>
      </w:r>
    </w:p>
    <w:p w14:paraId="2379A588" w14:textId="43990495" w:rsidR="00E05B98" w:rsidRPr="00821945" w:rsidRDefault="006D0718" w:rsidP="004A2937">
      <w:pPr>
        <w:pStyle w:val="a4"/>
        <w:numPr>
          <w:ilvl w:val="0"/>
          <w:numId w:val="14"/>
        </w:numPr>
        <w:tabs>
          <w:tab w:val="left" w:pos="850"/>
        </w:tabs>
        <w:spacing w:before="4" w:line="276" w:lineRule="auto"/>
        <w:rPr>
          <w:sz w:val="20"/>
          <w:szCs w:val="20"/>
          <w:lang w:val="uk-UA"/>
        </w:rPr>
      </w:pPr>
      <w:proofErr w:type="spellStart"/>
      <w:r w:rsidRPr="006D0718">
        <w:rPr>
          <w:spacing w:val="-2"/>
          <w:sz w:val="20"/>
          <w:szCs w:val="20"/>
          <w:lang w:val="uk-UA"/>
        </w:rPr>
        <w:t>фенотип</w:t>
      </w:r>
      <w:r w:rsidR="006875E3">
        <w:rPr>
          <w:spacing w:val="-2"/>
          <w:sz w:val="20"/>
          <w:szCs w:val="20"/>
          <w:lang w:val="uk-UA"/>
        </w:rPr>
        <w:t>ов</w:t>
      </w:r>
      <w:r w:rsidR="00DB223B">
        <w:rPr>
          <w:spacing w:val="-2"/>
          <w:sz w:val="20"/>
          <w:szCs w:val="20"/>
          <w:lang w:val="uk-UA"/>
        </w:rPr>
        <w:t>ий</w:t>
      </w:r>
      <w:proofErr w:type="spellEnd"/>
      <w:r w:rsidRPr="006D0718">
        <w:rPr>
          <w:spacing w:val="-2"/>
          <w:sz w:val="20"/>
          <w:szCs w:val="20"/>
          <w:lang w:val="uk-UA"/>
        </w:rPr>
        <w:t xml:space="preserve"> ТМЧ на основі культури може мати важливе значення для підтвердження чутливості до амікацину в ситуаціях, коли доцільно застосовувати цей препарат, щоб збалансувати ризик</w:t>
      </w:r>
      <w:r w:rsidR="00DB223B">
        <w:rPr>
          <w:spacing w:val="-2"/>
          <w:sz w:val="20"/>
          <w:szCs w:val="20"/>
          <w:lang w:val="uk-UA"/>
        </w:rPr>
        <w:t>и</w:t>
      </w:r>
      <w:r w:rsidRPr="006D0718">
        <w:rPr>
          <w:spacing w:val="-2"/>
          <w:sz w:val="20"/>
          <w:szCs w:val="20"/>
          <w:lang w:val="uk-UA"/>
        </w:rPr>
        <w:t xml:space="preserve"> і користь.</w:t>
      </w:r>
    </w:p>
    <w:p w14:paraId="0CD00E47" w14:textId="77777777" w:rsidR="00E05B98" w:rsidRPr="003C6DAE" w:rsidRDefault="00E05B98" w:rsidP="00077409">
      <w:pPr>
        <w:pStyle w:val="a3"/>
        <w:spacing w:before="7" w:line="276" w:lineRule="auto"/>
        <w:rPr>
          <w:lang w:val="uk-UA"/>
        </w:rPr>
      </w:pPr>
    </w:p>
    <w:p w14:paraId="24C0724A" w14:textId="141FCFA2" w:rsidR="00E05B98" w:rsidRPr="006D0718" w:rsidRDefault="006D0718" w:rsidP="00077409">
      <w:pPr>
        <w:pStyle w:val="5"/>
        <w:spacing w:line="276" w:lineRule="auto"/>
        <w:jc w:val="both"/>
        <w:rPr>
          <w:sz w:val="26"/>
          <w:szCs w:val="26"/>
          <w:lang w:val="uk-UA"/>
        </w:rPr>
      </w:pPr>
      <w:r>
        <w:rPr>
          <w:color w:val="019648"/>
          <w:w w:val="95"/>
          <w:sz w:val="26"/>
          <w:szCs w:val="26"/>
          <w:lang w:val="uk-UA"/>
        </w:rPr>
        <w:t>Пріоритети дослідження</w:t>
      </w:r>
    </w:p>
    <w:p w14:paraId="05ED5914" w14:textId="4A99976E" w:rsidR="00E05B98" w:rsidRPr="00821945" w:rsidRDefault="006D0718" w:rsidP="00077409">
      <w:pPr>
        <w:pStyle w:val="a3"/>
        <w:spacing w:before="189" w:line="276" w:lineRule="auto"/>
        <w:ind w:left="567"/>
        <w:jc w:val="both"/>
        <w:rPr>
          <w:sz w:val="20"/>
          <w:szCs w:val="20"/>
          <w:lang w:val="uk-UA"/>
        </w:rPr>
      </w:pPr>
      <w:r w:rsidRPr="006D0718">
        <w:rPr>
          <w:sz w:val="20"/>
          <w:szCs w:val="20"/>
          <w:lang w:val="uk-UA"/>
        </w:rPr>
        <w:t>Пріоритетними напрямами досліджень в області автоматизованих ТАНК низької складності для виявлення стійкості до ізоніазиду та протитуберкульозних препаратів другого ряду є наступними:</w:t>
      </w:r>
    </w:p>
    <w:p w14:paraId="7D7EFFB8" w14:textId="2544D295" w:rsidR="00E05B98" w:rsidRPr="00821945" w:rsidRDefault="009532DC" w:rsidP="004A2937">
      <w:pPr>
        <w:pStyle w:val="a4"/>
        <w:numPr>
          <w:ilvl w:val="0"/>
          <w:numId w:val="14"/>
        </w:numPr>
        <w:tabs>
          <w:tab w:val="left" w:pos="850"/>
        </w:tabs>
        <w:spacing w:before="117" w:line="276" w:lineRule="auto"/>
        <w:rPr>
          <w:sz w:val="20"/>
          <w:szCs w:val="20"/>
          <w:lang w:val="uk-UA"/>
        </w:rPr>
      </w:pPr>
      <w:r w:rsidRPr="009532DC">
        <w:rPr>
          <w:sz w:val="20"/>
          <w:szCs w:val="20"/>
          <w:lang w:val="uk-UA"/>
        </w:rPr>
        <w:t>точність діагностики в окремих групах пацієнтів (наприклад, діти, люди, які живуть з ВІЛ, пацієнти з ознаками та симптомами позалегеневого ТБ) та у зразках, що не містять мокротиння;</w:t>
      </w:r>
    </w:p>
    <w:p w14:paraId="0C254389" w14:textId="352C24B1" w:rsidR="00E05B98" w:rsidRPr="00821945" w:rsidRDefault="009532DC" w:rsidP="004A2937">
      <w:pPr>
        <w:pStyle w:val="a4"/>
        <w:numPr>
          <w:ilvl w:val="0"/>
          <w:numId w:val="14"/>
        </w:numPr>
        <w:tabs>
          <w:tab w:val="left" w:pos="850"/>
        </w:tabs>
        <w:spacing w:before="3" w:line="276" w:lineRule="auto"/>
        <w:rPr>
          <w:sz w:val="20"/>
          <w:szCs w:val="20"/>
          <w:lang w:val="uk-UA"/>
        </w:rPr>
      </w:pPr>
      <w:r w:rsidRPr="009532DC">
        <w:rPr>
          <w:w w:val="105"/>
          <w:sz w:val="20"/>
          <w:szCs w:val="20"/>
          <w:lang w:val="uk-UA"/>
        </w:rPr>
        <w:t>вплив діагностичних технологій на прийняття клінічних рішень і результати, важливі для пацієнтів (наприклад, вилікування, смертність, час до постановки діагнозу та час для початку лікування) в усіх популяціях пацієнтів;</w:t>
      </w:r>
    </w:p>
    <w:p w14:paraId="0C9CA4D5" w14:textId="21813582" w:rsidR="00E05B98" w:rsidRPr="00821945" w:rsidRDefault="009532DC" w:rsidP="004A2937">
      <w:pPr>
        <w:pStyle w:val="a4"/>
        <w:numPr>
          <w:ilvl w:val="0"/>
          <w:numId w:val="14"/>
        </w:numPr>
        <w:tabs>
          <w:tab w:val="left" w:pos="850"/>
        </w:tabs>
        <w:spacing w:before="3" w:line="276" w:lineRule="auto"/>
        <w:ind w:hanging="283"/>
        <w:rPr>
          <w:sz w:val="20"/>
          <w:szCs w:val="20"/>
          <w:lang w:val="uk-UA"/>
        </w:rPr>
      </w:pPr>
      <w:r w:rsidRPr="009532DC">
        <w:rPr>
          <w:sz w:val="20"/>
          <w:szCs w:val="20"/>
          <w:lang w:val="uk-UA"/>
        </w:rPr>
        <w:t>вплив специфічних мутацій на результати лікування людей з ЛС-ТБ;</w:t>
      </w:r>
    </w:p>
    <w:p w14:paraId="706C2C7C" w14:textId="455ED0DA" w:rsidR="00E05B98" w:rsidRPr="00821945" w:rsidRDefault="009532DC" w:rsidP="004A2937">
      <w:pPr>
        <w:pStyle w:val="a4"/>
        <w:numPr>
          <w:ilvl w:val="0"/>
          <w:numId w:val="14"/>
        </w:numPr>
        <w:tabs>
          <w:tab w:val="left" w:pos="850"/>
        </w:tabs>
        <w:spacing w:line="276" w:lineRule="auto"/>
        <w:rPr>
          <w:sz w:val="20"/>
          <w:szCs w:val="20"/>
          <w:lang w:val="uk-UA"/>
        </w:rPr>
      </w:pPr>
      <w:r w:rsidRPr="009532DC">
        <w:rPr>
          <w:sz w:val="20"/>
          <w:szCs w:val="20"/>
          <w:lang w:val="uk-UA"/>
        </w:rPr>
        <w:t>використання, інтеграція та оптимізація технологій діагностики в загальному ландшафті тестування та надання медичної допомоги, а також діагностичних шляхів та алгоритмів;</w:t>
      </w:r>
    </w:p>
    <w:p w14:paraId="00F3783A" w14:textId="63B09EF8" w:rsidR="00E05B98" w:rsidRPr="00821945" w:rsidRDefault="009532DC" w:rsidP="004A2937">
      <w:pPr>
        <w:pStyle w:val="a4"/>
        <w:numPr>
          <w:ilvl w:val="0"/>
          <w:numId w:val="14"/>
        </w:numPr>
        <w:tabs>
          <w:tab w:val="left" w:pos="850"/>
        </w:tabs>
        <w:spacing w:before="3" w:line="276" w:lineRule="auto"/>
        <w:rPr>
          <w:sz w:val="20"/>
          <w:szCs w:val="20"/>
          <w:lang w:val="uk-UA"/>
        </w:rPr>
      </w:pPr>
      <w:r w:rsidRPr="009532DC">
        <w:rPr>
          <w:sz w:val="20"/>
          <w:szCs w:val="20"/>
          <w:lang w:val="uk-UA"/>
        </w:rPr>
        <w:t>економічні дослідження, що оцінюють затрати, економічну ефективність та рентабельність різних діагностичних технологій;</w:t>
      </w:r>
    </w:p>
    <w:p w14:paraId="17580132" w14:textId="6285628B" w:rsidR="00E05B98" w:rsidRPr="00821945" w:rsidRDefault="009532DC" w:rsidP="004A2937">
      <w:pPr>
        <w:pStyle w:val="a4"/>
        <w:numPr>
          <w:ilvl w:val="0"/>
          <w:numId w:val="14"/>
        </w:numPr>
        <w:tabs>
          <w:tab w:val="left" w:pos="850"/>
        </w:tabs>
        <w:spacing w:before="2" w:line="276" w:lineRule="auto"/>
        <w:rPr>
          <w:sz w:val="20"/>
          <w:szCs w:val="20"/>
          <w:lang w:val="uk-UA"/>
        </w:rPr>
      </w:pPr>
      <w:r w:rsidRPr="009532DC">
        <w:rPr>
          <w:spacing w:val="-2"/>
          <w:sz w:val="20"/>
          <w:szCs w:val="20"/>
          <w:lang w:val="uk-UA"/>
        </w:rPr>
        <w:t>якісні дослідження, які оцінюють справедливість, прийнятність, можливість реалізації та цінність різних діагностичних технологій для кінцевого споживача;</w:t>
      </w:r>
    </w:p>
    <w:p w14:paraId="26329084" w14:textId="70D30C25" w:rsidR="00E05B98" w:rsidRPr="00821945" w:rsidRDefault="009532DC" w:rsidP="004A2937">
      <w:pPr>
        <w:pStyle w:val="a4"/>
        <w:numPr>
          <w:ilvl w:val="0"/>
          <w:numId w:val="14"/>
        </w:numPr>
        <w:tabs>
          <w:tab w:val="left" w:pos="850"/>
        </w:tabs>
        <w:spacing w:before="3" w:line="276" w:lineRule="auto"/>
        <w:rPr>
          <w:sz w:val="20"/>
          <w:szCs w:val="20"/>
          <w:lang w:val="uk-UA"/>
        </w:rPr>
      </w:pPr>
      <w:r w:rsidRPr="009532DC">
        <w:rPr>
          <w:sz w:val="20"/>
          <w:szCs w:val="20"/>
          <w:lang w:val="uk-UA"/>
        </w:rPr>
        <w:t xml:space="preserve">вплив результатів, що не дають підстав для вжиття заходів </w:t>
      </w:r>
      <w:r w:rsidRPr="00144823">
        <w:rPr>
          <w:sz w:val="20"/>
          <w:szCs w:val="20"/>
          <w:lang w:val="uk-UA"/>
        </w:rPr>
        <w:t>(</w:t>
      </w:r>
      <w:r w:rsidR="00144823" w:rsidRPr="00144823">
        <w:rPr>
          <w:sz w:val="20"/>
          <w:szCs w:val="20"/>
          <w:lang w:val="uk-UA"/>
        </w:rPr>
        <w:t xml:space="preserve">сумнівні, </w:t>
      </w:r>
      <w:r w:rsidRPr="00144823">
        <w:rPr>
          <w:sz w:val="20"/>
          <w:szCs w:val="20"/>
          <w:lang w:val="uk-UA"/>
        </w:rPr>
        <w:t>невизначені або недійсні результати), на точність діагностики та результати, які є важл</w:t>
      </w:r>
      <w:r w:rsidRPr="009532DC">
        <w:rPr>
          <w:sz w:val="20"/>
          <w:szCs w:val="20"/>
          <w:lang w:val="uk-UA"/>
        </w:rPr>
        <w:t>ивими для пацієнтів;</w:t>
      </w:r>
    </w:p>
    <w:p w14:paraId="7CDEE384" w14:textId="5E488792" w:rsidR="00E05B98" w:rsidRPr="00821945" w:rsidRDefault="00035E92" w:rsidP="004A2937">
      <w:pPr>
        <w:pStyle w:val="a4"/>
        <w:numPr>
          <w:ilvl w:val="0"/>
          <w:numId w:val="14"/>
        </w:numPr>
        <w:tabs>
          <w:tab w:val="left" w:pos="850"/>
        </w:tabs>
        <w:spacing w:before="2" w:line="276" w:lineRule="auto"/>
        <w:rPr>
          <w:sz w:val="20"/>
          <w:szCs w:val="20"/>
          <w:lang w:val="uk-UA"/>
        </w:rPr>
      </w:pPr>
      <w:r w:rsidRPr="00035E92">
        <w:rPr>
          <w:sz w:val="20"/>
          <w:szCs w:val="20"/>
          <w:lang w:val="uk-UA"/>
        </w:rPr>
        <w:t>оцінка автоматизованих ТАНК низької складності для первинного виявлення ТБ, на додаток до їх використання в якості подальшого тесту для всіх людей з ознаками та симптомами ТБ,  дітей та людей, які живуть з ВІЛ;  а також</w:t>
      </w:r>
    </w:p>
    <w:p w14:paraId="0DCB330F" w14:textId="2D745FC5" w:rsidR="00E05B98" w:rsidRPr="003C6DAE" w:rsidRDefault="00B53F8E" w:rsidP="004A2937">
      <w:pPr>
        <w:pStyle w:val="a4"/>
        <w:numPr>
          <w:ilvl w:val="0"/>
          <w:numId w:val="14"/>
        </w:numPr>
        <w:tabs>
          <w:tab w:val="left" w:pos="850"/>
        </w:tabs>
        <w:spacing w:before="0" w:line="276" w:lineRule="auto"/>
        <w:rPr>
          <w:lang w:val="uk-UA"/>
        </w:rPr>
      </w:pPr>
      <w:r w:rsidRPr="00B53F8E">
        <w:rPr>
          <w:sz w:val="20"/>
          <w:szCs w:val="20"/>
          <w:lang w:val="uk-UA"/>
        </w:rPr>
        <w:t xml:space="preserve">потенційна корисність виявлення стійкості до </w:t>
      </w:r>
      <w:r w:rsidRPr="00B53F8E">
        <w:rPr>
          <w:i/>
          <w:iCs/>
          <w:sz w:val="20"/>
          <w:szCs w:val="20"/>
          <w:lang w:val="uk-UA"/>
        </w:rPr>
        <w:t>katG</w:t>
      </w:r>
      <w:r w:rsidRPr="00B53F8E">
        <w:rPr>
          <w:sz w:val="20"/>
          <w:szCs w:val="20"/>
          <w:lang w:val="uk-UA"/>
        </w:rPr>
        <w:t xml:space="preserve"> для ідентифікації клонів МЛС-ТБ, які можуть бути пропущені через відсутність мутації в </w:t>
      </w:r>
      <w:r>
        <w:rPr>
          <w:sz w:val="20"/>
          <w:szCs w:val="20"/>
          <w:lang w:val="uk-UA"/>
        </w:rPr>
        <w:t>ділянці, що визначає стійкість до рифампіцину</w:t>
      </w:r>
      <w:r w:rsidRPr="00B53F8E">
        <w:rPr>
          <w:sz w:val="20"/>
          <w:szCs w:val="20"/>
          <w:lang w:val="uk-UA"/>
        </w:rPr>
        <w:t xml:space="preserve"> (RRDR) (наприклад, клон МЛС-ТБ Есватіні, який має як мутацію </w:t>
      </w:r>
      <w:r w:rsidRPr="00B53F8E">
        <w:rPr>
          <w:i/>
          <w:iCs/>
          <w:sz w:val="20"/>
          <w:szCs w:val="20"/>
          <w:lang w:val="uk-UA"/>
        </w:rPr>
        <w:t>katG S315T</w:t>
      </w:r>
      <w:r w:rsidRPr="00B53F8E">
        <w:rPr>
          <w:sz w:val="20"/>
          <w:szCs w:val="20"/>
          <w:lang w:val="uk-UA"/>
        </w:rPr>
        <w:t xml:space="preserve">, так і мутацію </w:t>
      </w:r>
      <w:r w:rsidRPr="00B53F8E">
        <w:rPr>
          <w:i/>
          <w:iCs/>
          <w:sz w:val="20"/>
          <w:szCs w:val="20"/>
          <w:lang w:val="uk-UA"/>
        </w:rPr>
        <w:t>rpoB I491F</w:t>
      </w:r>
      <w:r w:rsidRPr="00B53F8E">
        <w:rPr>
          <w:sz w:val="20"/>
          <w:szCs w:val="20"/>
          <w:lang w:val="uk-UA"/>
        </w:rPr>
        <w:t>, що не належить до RRDR).</w:t>
      </w:r>
    </w:p>
    <w:p w14:paraId="47727820" w14:textId="77777777" w:rsidR="00E05B98" w:rsidRPr="003C6DAE" w:rsidRDefault="00E05B98" w:rsidP="00133A34">
      <w:pPr>
        <w:pStyle w:val="a4"/>
        <w:spacing w:line="276" w:lineRule="auto"/>
        <w:rPr>
          <w:lang w:val="uk-UA"/>
        </w:rPr>
        <w:sectPr w:rsidR="00E05B98" w:rsidRPr="003C6DAE" w:rsidSect="00133A34">
          <w:pgSz w:w="11910" w:h="16840"/>
          <w:pgMar w:top="1320" w:right="1137" w:bottom="760" w:left="850" w:header="0" w:footer="573" w:gutter="0"/>
          <w:cols w:space="720"/>
        </w:sectPr>
      </w:pPr>
    </w:p>
    <w:p w14:paraId="5B1441D5" w14:textId="77777777" w:rsidR="00DE2E3D" w:rsidRPr="00D029FF" w:rsidRDefault="00DE2E3D" w:rsidP="00DE2E3D">
      <w:pPr>
        <w:pStyle w:val="a4"/>
        <w:tabs>
          <w:tab w:val="left" w:pos="2158"/>
        </w:tabs>
        <w:spacing w:before="77"/>
        <w:ind w:left="2157" w:firstLine="0"/>
        <w:rPr>
          <w:b/>
          <w:color w:val="019648"/>
          <w:sz w:val="24"/>
          <w:lang w:val="uk-UA"/>
        </w:rPr>
      </w:pPr>
      <w:bookmarkStart w:id="70" w:name="2.4.2_First-line_LPAs"/>
      <w:bookmarkStart w:id="71" w:name="_bookmark33"/>
      <w:bookmarkEnd w:id="70"/>
      <w:bookmarkEnd w:id="71"/>
    </w:p>
    <w:p w14:paraId="068480DF" w14:textId="79D77E46" w:rsidR="00DE2E3D" w:rsidRPr="006B6651" w:rsidRDefault="00DE2E3D" w:rsidP="004A2937">
      <w:pPr>
        <w:pStyle w:val="a4"/>
        <w:numPr>
          <w:ilvl w:val="2"/>
          <w:numId w:val="41"/>
        </w:numPr>
        <w:tabs>
          <w:tab w:val="left" w:pos="2158"/>
        </w:tabs>
        <w:spacing w:before="77"/>
        <w:rPr>
          <w:b/>
          <w:color w:val="019648"/>
          <w:sz w:val="24"/>
          <w:lang w:val="ru-RU"/>
        </w:rPr>
      </w:pPr>
      <w:r w:rsidRPr="00A816CE">
        <w:rPr>
          <w:b/>
          <w:color w:val="019648"/>
          <w:spacing w:val="-3"/>
          <w:w w:val="115"/>
          <w:sz w:val="24"/>
        </w:rPr>
        <w:t>LPA</w:t>
      </w:r>
      <w:r w:rsidRPr="00A816CE">
        <w:rPr>
          <w:b/>
          <w:color w:val="019648"/>
          <w:spacing w:val="-3"/>
          <w:w w:val="115"/>
          <w:sz w:val="24"/>
          <w:lang w:val="uk-UA"/>
        </w:rPr>
        <w:t xml:space="preserve"> для лікарських засобів першого ряду</w:t>
      </w:r>
    </w:p>
    <w:p w14:paraId="2450A010" w14:textId="77777777" w:rsidR="00DE2E3D" w:rsidRPr="00A816CE" w:rsidRDefault="00DE2E3D" w:rsidP="00DE2E3D">
      <w:pPr>
        <w:pStyle w:val="a3"/>
        <w:spacing w:before="195" w:line="276" w:lineRule="auto"/>
        <w:ind w:left="1417" w:right="933"/>
        <w:jc w:val="both"/>
        <w:rPr>
          <w:color w:val="000000" w:themeColor="text1"/>
          <w:sz w:val="20"/>
          <w:lang w:val="uk-UA"/>
        </w:rPr>
      </w:pPr>
      <w:r w:rsidRPr="006B6651">
        <w:rPr>
          <w:color w:val="000000" w:themeColor="text1"/>
          <w:w w:val="110"/>
          <w:sz w:val="20"/>
          <w:lang w:val="ru-RU"/>
        </w:rPr>
        <w:t xml:space="preserve">У 2008 </w:t>
      </w:r>
      <w:proofErr w:type="spellStart"/>
      <w:r w:rsidRPr="006B6651">
        <w:rPr>
          <w:color w:val="000000" w:themeColor="text1"/>
          <w:w w:val="110"/>
          <w:sz w:val="20"/>
          <w:lang w:val="ru-RU"/>
        </w:rPr>
        <w:t>році</w:t>
      </w:r>
      <w:proofErr w:type="spellEnd"/>
      <w:r w:rsidRPr="006B6651">
        <w:rPr>
          <w:color w:val="000000" w:themeColor="text1"/>
          <w:w w:val="110"/>
          <w:sz w:val="20"/>
          <w:lang w:val="ru-RU"/>
        </w:rPr>
        <w:t xml:space="preserve"> ВООЗ </w:t>
      </w:r>
      <w:proofErr w:type="spellStart"/>
      <w:r w:rsidRPr="006B6651">
        <w:rPr>
          <w:color w:val="000000" w:themeColor="text1"/>
          <w:w w:val="110"/>
          <w:sz w:val="20"/>
          <w:lang w:val="ru-RU"/>
        </w:rPr>
        <w:t>схвалила</w:t>
      </w:r>
      <w:proofErr w:type="spellEnd"/>
      <w:r w:rsidRPr="006B6651">
        <w:rPr>
          <w:color w:val="000000" w:themeColor="text1"/>
          <w:w w:val="110"/>
          <w:sz w:val="20"/>
          <w:lang w:val="ru-RU"/>
        </w:rPr>
        <w:t xml:space="preserve"> використання </w:t>
      </w:r>
      <w:r>
        <w:rPr>
          <w:color w:val="000000" w:themeColor="text1"/>
          <w:w w:val="110"/>
          <w:sz w:val="20"/>
          <w:lang w:val="uk-UA"/>
        </w:rPr>
        <w:t>доступних на ринку</w:t>
      </w:r>
      <w:r w:rsidRPr="006B6651">
        <w:rPr>
          <w:color w:val="000000" w:themeColor="text1"/>
          <w:w w:val="110"/>
          <w:sz w:val="20"/>
          <w:lang w:val="ru-RU"/>
        </w:rPr>
        <w:t xml:space="preserve"> </w:t>
      </w:r>
      <w:r w:rsidRPr="00A816CE">
        <w:rPr>
          <w:color w:val="000000" w:themeColor="text1"/>
          <w:w w:val="110"/>
          <w:sz w:val="20"/>
        </w:rPr>
        <w:t>LPA</w:t>
      </w:r>
      <w:r w:rsidRPr="006B6651">
        <w:rPr>
          <w:color w:val="000000" w:themeColor="text1"/>
          <w:w w:val="110"/>
          <w:sz w:val="20"/>
          <w:lang w:val="ru-RU"/>
        </w:rPr>
        <w:t xml:space="preserve"> для виявлення МБТК у </w:t>
      </w:r>
      <w:proofErr w:type="spellStart"/>
      <w:r w:rsidRPr="006B6651">
        <w:rPr>
          <w:color w:val="000000" w:themeColor="text1"/>
          <w:w w:val="110"/>
          <w:sz w:val="20"/>
          <w:lang w:val="ru-RU"/>
        </w:rPr>
        <w:t>поєднанні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стійкістю</w:t>
      </w:r>
      <w:proofErr w:type="spellEnd"/>
      <w:r w:rsidRPr="006B6651">
        <w:rPr>
          <w:color w:val="000000" w:themeColor="text1"/>
          <w:w w:val="110"/>
          <w:sz w:val="20"/>
          <w:lang w:val="ru-RU"/>
        </w:rPr>
        <w:t xml:space="preserve"> до рифампіцину та ізоніазиду в </w:t>
      </w:r>
      <w:proofErr w:type="spellStart"/>
      <w:r w:rsidRPr="006B6651">
        <w:rPr>
          <w:color w:val="000000" w:themeColor="text1"/>
          <w:w w:val="110"/>
          <w:sz w:val="20"/>
          <w:lang w:val="ru-RU"/>
        </w:rPr>
        <w:t>зразках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мокротиння</w:t>
      </w:r>
      <w:proofErr w:type="spellEnd"/>
      <w:r w:rsidRPr="0071589B">
        <w:rPr>
          <w:color w:val="000000" w:themeColor="text1"/>
          <w:w w:val="110"/>
          <w:sz w:val="20"/>
          <w:lang w:val="uk-UA"/>
        </w:rPr>
        <w:t xml:space="preserve"> з позитивним результатом мазка</w:t>
      </w:r>
      <w:r w:rsidRPr="006B6651">
        <w:rPr>
          <w:color w:val="000000" w:themeColor="text1"/>
          <w:w w:val="110"/>
          <w:sz w:val="20"/>
          <w:lang w:val="ru-RU"/>
        </w:rPr>
        <w:t xml:space="preserve"> (</w:t>
      </w:r>
      <w:proofErr w:type="spellStart"/>
      <w:r w:rsidRPr="006B6651">
        <w:rPr>
          <w:color w:val="000000" w:themeColor="text1"/>
          <w:w w:val="110"/>
          <w:sz w:val="20"/>
          <w:lang w:val="ru-RU"/>
        </w:rPr>
        <w:t>пряме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тестування</w:t>
      </w:r>
      <w:proofErr w:type="spellEnd"/>
      <w:r w:rsidRPr="006B6651">
        <w:rPr>
          <w:color w:val="000000" w:themeColor="text1"/>
          <w:w w:val="110"/>
          <w:sz w:val="20"/>
          <w:lang w:val="ru-RU"/>
        </w:rPr>
        <w:t>)</w:t>
      </w:r>
      <w:r w:rsidRPr="0071589B">
        <w:rPr>
          <w:color w:val="000000" w:themeColor="text1"/>
          <w:w w:val="110"/>
          <w:sz w:val="20"/>
          <w:lang w:val="uk-UA"/>
        </w:rPr>
        <w:t>,</w:t>
      </w:r>
      <w:r w:rsidRPr="006B6651">
        <w:rPr>
          <w:color w:val="000000" w:themeColor="text1"/>
          <w:w w:val="110"/>
          <w:sz w:val="20"/>
          <w:lang w:val="ru-RU"/>
        </w:rPr>
        <w:t xml:space="preserve"> та в культуральних </w:t>
      </w:r>
      <w:proofErr w:type="spellStart"/>
      <w:r w:rsidRPr="006B6651">
        <w:rPr>
          <w:color w:val="000000" w:themeColor="text1"/>
          <w:w w:val="110"/>
          <w:sz w:val="20"/>
          <w:lang w:val="ru-RU"/>
        </w:rPr>
        <w:t>ізолятах</w:t>
      </w:r>
      <w:proofErr w:type="spellEnd"/>
      <w:r w:rsidRPr="006B6651">
        <w:rPr>
          <w:color w:val="000000" w:themeColor="text1"/>
          <w:w w:val="110"/>
          <w:sz w:val="20"/>
          <w:lang w:val="ru-RU"/>
        </w:rPr>
        <w:t xml:space="preserve"> МБТК (</w:t>
      </w:r>
      <w:proofErr w:type="spellStart"/>
      <w:r w:rsidRPr="006B6651">
        <w:rPr>
          <w:color w:val="000000" w:themeColor="text1"/>
          <w:w w:val="110"/>
          <w:sz w:val="20"/>
          <w:lang w:val="ru-RU"/>
        </w:rPr>
        <w:t>непряме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тестування</w:t>
      </w:r>
      <w:proofErr w:type="spellEnd"/>
      <w:r w:rsidRPr="006B6651">
        <w:rPr>
          <w:color w:val="000000" w:themeColor="text1"/>
          <w:w w:val="110"/>
          <w:sz w:val="20"/>
          <w:lang w:val="ru-RU"/>
        </w:rPr>
        <w:t>)</w:t>
      </w:r>
      <w:r w:rsidRPr="0071589B">
        <w:rPr>
          <w:color w:val="000000" w:themeColor="text1"/>
          <w:w w:val="110"/>
          <w:sz w:val="20"/>
          <w:lang w:val="uk-UA"/>
        </w:rPr>
        <w:t xml:space="preserve">. </w:t>
      </w:r>
      <w:r w:rsidRPr="006B6651">
        <w:rPr>
          <w:color w:val="000000" w:themeColor="text1"/>
          <w:w w:val="110"/>
          <w:sz w:val="20"/>
          <w:lang w:val="uk-UA"/>
        </w:rPr>
        <w:t xml:space="preserve">Систематичний огляд того часу оцінив діагностичну точність двох доступних </w:t>
      </w:r>
      <w:r>
        <w:rPr>
          <w:color w:val="000000" w:themeColor="text1"/>
          <w:w w:val="110"/>
          <w:sz w:val="20"/>
          <w:lang w:val="uk-UA"/>
        </w:rPr>
        <w:t xml:space="preserve">на ринку </w:t>
      </w:r>
      <w:r w:rsidRPr="00A816CE">
        <w:rPr>
          <w:color w:val="000000" w:themeColor="text1"/>
          <w:w w:val="110"/>
          <w:sz w:val="20"/>
        </w:rPr>
        <w:t>LPA</w:t>
      </w:r>
      <w:r w:rsidRPr="006B6651">
        <w:rPr>
          <w:color w:val="000000" w:themeColor="text1"/>
          <w:w w:val="110"/>
          <w:sz w:val="20"/>
          <w:lang w:val="uk-UA"/>
        </w:rPr>
        <w:t xml:space="preserve"> – аналізу </w:t>
      </w:r>
      <w:r w:rsidRPr="00A816CE">
        <w:rPr>
          <w:color w:val="000000" w:themeColor="text1"/>
          <w:w w:val="110"/>
          <w:sz w:val="20"/>
        </w:rPr>
        <w:t>INNO</w:t>
      </w:r>
      <w:r w:rsidRPr="006B6651">
        <w:rPr>
          <w:color w:val="000000" w:themeColor="text1"/>
          <w:w w:val="110"/>
          <w:sz w:val="20"/>
          <w:lang w:val="uk-UA"/>
        </w:rPr>
        <w:t>-</w:t>
      </w:r>
      <w:proofErr w:type="spellStart"/>
      <w:r w:rsidRPr="00A816CE">
        <w:rPr>
          <w:color w:val="000000" w:themeColor="text1"/>
          <w:w w:val="110"/>
          <w:sz w:val="20"/>
        </w:rPr>
        <w:t>LiPA</w:t>
      </w:r>
      <w:proofErr w:type="spellEnd"/>
      <w:r w:rsidRPr="006B6651">
        <w:rPr>
          <w:color w:val="000000" w:themeColor="text1"/>
          <w:w w:val="110"/>
          <w:sz w:val="20"/>
          <w:lang w:val="uk-UA"/>
        </w:rPr>
        <w:t xml:space="preserve"> </w:t>
      </w:r>
      <w:r w:rsidRPr="00A816CE">
        <w:rPr>
          <w:color w:val="000000" w:themeColor="text1"/>
          <w:w w:val="110"/>
          <w:sz w:val="20"/>
        </w:rPr>
        <w:t>Rif</w:t>
      </w:r>
      <w:r w:rsidRPr="006B6651">
        <w:rPr>
          <w:color w:val="000000" w:themeColor="text1"/>
          <w:w w:val="110"/>
          <w:sz w:val="20"/>
          <w:lang w:val="uk-UA"/>
        </w:rPr>
        <w:t>.</w:t>
      </w:r>
      <w:r w:rsidRPr="00A816CE">
        <w:rPr>
          <w:color w:val="000000" w:themeColor="text1"/>
          <w:w w:val="110"/>
          <w:sz w:val="20"/>
        </w:rPr>
        <w:t>TB</w:t>
      </w:r>
      <w:r w:rsidRPr="006B6651">
        <w:rPr>
          <w:color w:val="000000" w:themeColor="text1"/>
          <w:w w:val="110"/>
          <w:sz w:val="20"/>
          <w:lang w:val="uk-UA"/>
        </w:rPr>
        <w:t xml:space="preserve"> (</w:t>
      </w:r>
      <w:proofErr w:type="spellStart"/>
      <w:r w:rsidRPr="00041732">
        <w:rPr>
          <w:color w:val="000000" w:themeColor="text1"/>
          <w:w w:val="110"/>
          <w:sz w:val="20"/>
        </w:rPr>
        <w:t>Innogenetics</w:t>
      </w:r>
      <w:proofErr w:type="spellEnd"/>
      <w:r w:rsidRPr="006B6651">
        <w:rPr>
          <w:color w:val="000000" w:themeColor="text1"/>
          <w:w w:val="110"/>
          <w:sz w:val="20"/>
          <w:lang w:val="uk-UA"/>
        </w:rPr>
        <w:t xml:space="preserve">, </w:t>
      </w:r>
      <w:proofErr w:type="spellStart"/>
      <w:r w:rsidRPr="006B6651">
        <w:rPr>
          <w:color w:val="000000" w:themeColor="text1"/>
          <w:w w:val="110"/>
          <w:sz w:val="20"/>
          <w:lang w:val="uk-UA"/>
        </w:rPr>
        <w:t>Гент</w:t>
      </w:r>
      <w:proofErr w:type="spellEnd"/>
      <w:r w:rsidRPr="006B6651">
        <w:rPr>
          <w:color w:val="000000" w:themeColor="text1"/>
          <w:w w:val="110"/>
          <w:sz w:val="20"/>
          <w:lang w:val="uk-UA"/>
        </w:rPr>
        <w:t xml:space="preserve">, Бельгія) та </w:t>
      </w:r>
      <w:r w:rsidRPr="00041732">
        <w:rPr>
          <w:color w:val="000000" w:themeColor="text1"/>
          <w:w w:val="110"/>
          <w:sz w:val="20"/>
        </w:rPr>
        <w:t>GenoType</w:t>
      </w:r>
      <w:r w:rsidRPr="006B6651">
        <w:rPr>
          <w:color w:val="000000" w:themeColor="text1"/>
          <w:w w:val="110"/>
          <w:sz w:val="20"/>
          <w:lang w:val="uk-UA"/>
        </w:rPr>
        <w:t xml:space="preserve">® </w:t>
      </w:r>
      <w:r w:rsidRPr="00041732">
        <w:rPr>
          <w:color w:val="000000" w:themeColor="text1"/>
          <w:w w:val="110"/>
          <w:sz w:val="20"/>
        </w:rPr>
        <w:t>MTBDR</w:t>
      </w:r>
      <w:r w:rsidRPr="00041732">
        <w:rPr>
          <w:i/>
          <w:color w:val="000000" w:themeColor="text1"/>
          <w:w w:val="110"/>
          <w:sz w:val="20"/>
        </w:rPr>
        <w:t>plus</w:t>
      </w:r>
      <w:r w:rsidRPr="006B6651">
        <w:rPr>
          <w:color w:val="000000" w:themeColor="text1"/>
          <w:w w:val="110"/>
          <w:sz w:val="20"/>
          <w:lang w:val="uk-UA"/>
        </w:rPr>
        <w:t xml:space="preserve"> (версія 1), далі – </w:t>
      </w:r>
      <w:r w:rsidRPr="00041732">
        <w:rPr>
          <w:color w:val="000000" w:themeColor="text1"/>
          <w:w w:val="110"/>
          <w:sz w:val="20"/>
        </w:rPr>
        <w:t>Hain</w:t>
      </w:r>
      <w:r w:rsidRPr="00041732">
        <w:rPr>
          <w:color w:val="000000" w:themeColor="text1"/>
          <w:w w:val="110"/>
          <w:sz w:val="20"/>
          <w:lang w:val="uk-UA"/>
        </w:rPr>
        <w:t xml:space="preserve"> </w:t>
      </w:r>
      <w:r w:rsidRPr="006B6651">
        <w:rPr>
          <w:color w:val="000000" w:themeColor="text1"/>
          <w:w w:val="110"/>
          <w:sz w:val="20"/>
          <w:lang w:val="uk-UA"/>
        </w:rPr>
        <w:t xml:space="preserve">версія 1 – і надав докази для схвалення ВООЗ </w:t>
      </w:r>
      <w:r w:rsidRPr="006B6651">
        <w:rPr>
          <w:i/>
          <w:color w:val="000000" w:themeColor="text1"/>
          <w:w w:val="110"/>
          <w:sz w:val="20"/>
          <w:lang w:val="uk-UA"/>
        </w:rPr>
        <w:t>(37, 38)</w:t>
      </w:r>
      <w:r w:rsidRPr="006B6651">
        <w:rPr>
          <w:color w:val="000000" w:themeColor="text1"/>
          <w:w w:val="110"/>
          <w:sz w:val="20"/>
          <w:lang w:val="uk-UA"/>
        </w:rPr>
        <w:t>.</w:t>
      </w:r>
      <w:r w:rsidRPr="00A816CE">
        <w:rPr>
          <w:color w:val="000000" w:themeColor="text1"/>
          <w:w w:val="110"/>
          <w:sz w:val="20"/>
          <w:lang w:val="uk-UA"/>
        </w:rPr>
        <w:t xml:space="preserve"> </w:t>
      </w:r>
      <w:r w:rsidRPr="006B6651">
        <w:rPr>
          <w:color w:val="000000" w:themeColor="text1"/>
          <w:spacing w:val="-5"/>
          <w:w w:val="110"/>
          <w:sz w:val="20"/>
          <w:lang w:val="uk-UA"/>
        </w:rPr>
        <w:t xml:space="preserve">Повідомлялося про </w:t>
      </w:r>
      <w:r>
        <w:rPr>
          <w:color w:val="000000" w:themeColor="text1"/>
          <w:spacing w:val="-5"/>
          <w:w w:val="110"/>
          <w:sz w:val="20"/>
          <w:lang w:val="uk-UA"/>
        </w:rPr>
        <w:t>високу</w:t>
      </w:r>
      <w:r w:rsidRPr="006B6651">
        <w:rPr>
          <w:color w:val="000000" w:themeColor="text1"/>
          <w:spacing w:val="-5"/>
          <w:w w:val="110"/>
          <w:sz w:val="20"/>
          <w:lang w:val="uk-UA"/>
        </w:rPr>
        <w:t xml:space="preserve"> точність обох тестів у виявленні стійкості до рифампіцину, але їхня діагностична точність для стійкості до ізоніазиду мала нижчу чутливість, незважаючи на високу специфічність. </w:t>
      </w:r>
      <w:proofErr w:type="spellStart"/>
      <w:r w:rsidRPr="006B6651">
        <w:rPr>
          <w:color w:val="000000" w:themeColor="text1"/>
          <w:w w:val="110"/>
          <w:sz w:val="20"/>
          <w:lang w:val="ru-RU"/>
        </w:rPr>
        <w:t>Оскільки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було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недостатньо</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стратифікації</w:t>
      </w:r>
      <w:proofErr w:type="spellEnd"/>
      <w:r w:rsidRPr="006B6651">
        <w:rPr>
          <w:color w:val="000000" w:themeColor="text1"/>
          <w:w w:val="110"/>
          <w:sz w:val="20"/>
          <w:lang w:val="ru-RU"/>
        </w:rPr>
        <w:t xml:space="preserve"> за результатами мазка, </w:t>
      </w:r>
      <w:proofErr w:type="spellStart"/>
      <w:r w:rsidRPr="006B6651">
        <w:rPr>
          <w:color w:val="000000" w:themeColor="text1"/>
          <w:w w:val="110"/>
          <w:sz w:val="20"/>
          <w:lang w:val="ru-RU"/>
        </w:rPr>
        <w:t>рекомендація</w:t>
      </w:r>
      <w:proofErr w:type="spellEnd"/>
      <w:r w:rsidRPr="006B6651">
        <w:rPr>
          <w:color w:val="000000" w:themeColor="text1"/>
          <w:w w:val="110"/>
          <w:sz w:val="20"/>
          <w:lang w:val="ru-RU"/>
        </w:rPr>
        <w:t xml:space="preserve"> ВООЗ щодо використання </w:t>
      </w:r>
      <w:r w:rsidRPr="00A816CE">
        <w:rPr>
          <w:color w:val="000000" w:themeColor="text1"/>
          <w:w w:val="110"/>
          <w:sz w:val="20"/>
        </w:rPr>
        <w:t>LPA</w:t>
      </w:r>
      <w:r w:rsidRPr="006B6651">
        <w:rPr>
          <w:color w:val="000000" w:themeColor="text1"/>
          <w:w w:val="110"/>
          <w:sz w:val="20"/>
          <w:lang w:val="ru-RU"/>
        </w:rPr>
        <w:t xml:space="preserve"> </w:t>
      </w:r>
      <w:proofErr w:type="spellStart"/>
      <w:r w:rsidRPr="006B6651">
        <w:rPr>
          <w:color w:val="000000" w:themeColor="text1"/>
          <w:w w:val="110"/>
          <w:sz w:val="20"/>
          <w:lang w:val="ru-RU"/>
        </w:rPr>
        <w:t>обмежувалася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культуральними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ізолятами</w:t>
      </w:r>
      <w:proofErr w:type="spellEnd"/>
      <w:r w:rsidRPr="006B6651">
        <w:rPr>
          <w:color w:val="000000" w:themeColor="text1"/>
          <w:w w:val="110"/>
          <w:sz w:val="20"/>
          <w:lang w:val="ru-RU"/>
        </w:rPr>
        <w:t xml:space="preserve"> або </w:t>
      </w:r>
      <w:proofErr w:type="spellStart"/>
      <w:r w:rsidRPr="006B6651">
        <w:rPr>
          <w:color w:val="000000" w:themeColor="text1"/>
          <w:w w:val="110"/>
          <w:sz w:val="20"/>
          <w:lang w:val="ru-RU"/>
        </w:rPr>
        <w:t>зразками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мокротиння</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позитивним</w:t>
      </w:r>
      <w:proofErr w:type="spellEnd"/>
      <w:r w:rsidRPr="006B6651">
        <w:rPr>
          <w:color w:val="000000" w:themeColor="text1"/>
          <w:w w:val="110"/>
          <w:sz w:val="20"/>
          <w:lang w:val="ru-RU"/>
        </w:rPr>
        <w:t xml:space="preserve"> результатом мазка. </w:t>
      </w:r>
      <w:r w:rsidRPr="00A816CE">
        <w:rPr>
          <w:color w:val="000000" w:themeColor="text1"/>
          <w:w w:val="110"/>
          <w:sz w:val="20"/>
          <w:lang w:val="uk-UA"/>
        </w:rPr>
        <w:t xml:space="preserve">Відтоді були опубліковані додаткові дані щодо використання LPA; зараз розроблені новіші версії технології LPA, такі як Hain GenoType MTBDRplus </w:t>
      </w:r>
      <w:r>
        <w:rPr>
          <w:color w:val="000000" w:themeColor="text1"/>
          <w:w w:val="110"/>
          <w:sz w:val="20"/>
          <w:lang w:val="uk-UA"/>
        </w:rPr>
        <w:t>(</w:t>
      </w:r>
      <w:r w:rsidRPr="00A816CE">
        <w:rPr>
          <w:color w:val="000000" w:themeColor="text1"/>
          <w:w w:val="110"/>
          <w:sz w:val="20"/>
          <w:lang w:val="uk-UA"/>
        </w:rPr>
        <w:t>версія 2</w:t>
      </w:r>
      <w:r>
        <w:rPr>
          <w:color w:val="000000" w:themeColor="text1"/>
          <w:w w:val="110"/>
          <w:sz w:val="20"/>
          <w:lang w:val="uk-UA"/>
        </w:rPr>
        <w:t>)</w:t>
      </w:r>
      <w:r w:rsidRPr="00A816CE">
        <w:rPr>
          <w:color w:val="000000" w:themeColor="text1"/>
          <w:w w:val="110"/>
          <w:sz w:val="20"/>
          <w:lang w:val="uk-UA"/>
        </w:rPr>
        <w:t>, далі – Hain версія 2; та інші виробники вийшли на ринок, включаючи Nipro (Токіо, Японія), яка розробила Genoscholar® NTM+MDRTB II, далі – Nipro.</w:t>
      </w:r>
    </w:p>
    <w:p w14:paraId="4419505E" w14:textId="77777777" w:rsidR="00DE2E3D" w:rsidRPr="006B6651" w:rsidRDefault="00DE2E3D" w:rsidP="00DE2E3D">
      <w:pPr>
        <w:pStyle w:val="a3"/>
        <w:spacing w:before="186" w:line="276" w:lineRule="auto"/>
        <w:ind w:left="1417" w:right="933"/>
        <w:jc w:val="both"/>
        <w:rPr>
          <w:color w:val="000000" w:themeColor="text1"/>
          <w:w w:val="110"/>
          <w:sz w:val="20"/>
          <w:lang w:val="uk-UA"/>
        </w:rPr>
      </w:pPr>
      <w:r w:rsidRPr="00A816CE">
        <w:rPr>
          <w:color w:val="000000" w:themeColor="text1"/>
          <w:sz w:val="20"/>
          <w:lang w:val="uk-UA"/>
        </w:rPr>
        <w:t xml:space="preserve">У 2015 році FIND оцінив LPA від Nipro та Hain </w:t>
      </w:r>
      <w:r>
        <w:rPr>
          <w:color w:val="000000" w:themeColor="text1"/>
          <w:sz w:val="20"/>
          <w:lang w:val="uk-UA"/>
        </w:rPr>
        <w:t>(</w:t>
      </w:r>
      <w:r w:rsidRPr="00A816CE">
        <w:rPr>
          <w:color w:val="000000" w:themeColor="text1"/>
          <w:sz w:val="20"/>
          <w:lang w:val="uk-UA"/>
        </w:rPr>
        <w:t>версія 2</w:t>
      </w:r>
      <w:r>
        <w:rPr>
          <w:color w:val="000000" w:themeColor="text1"/>
          <w:sz w:val="20"/>
          <w:lang w:val="uk-UA"/>
        </w:rPr>
        <w:t>)</w:t>
      </w:r>
      <w:r w:rsidRPr="00A816CE">
        <w:rPr>
          <w:color w:val="000000" w:themeColor="text1"/>
          <w:sz w:val="20"/>
          <w:lang w:val="uk-UA"/>
        </w:rPr>
        <w:t xml:space="preserve"> та порівняв їх із Hain </w:t>
      </w:r>
      <w:r>
        <w:rPr>
          <w:color w:val="000000" w:themeColor="text1"/>
          <w:sz w:val="20"/>
          <w:lang w:val="uk-UA"/>
        </w:rPr>
        <w:t>(</w:t>
      </w:r>
      <w:r w:rsidRPr="00A816CE">
        <w:rPr>
          <w:color w:val="000000" w:themeColor="text1"/>
          <w:sz w:val="20"/>
          <w:lang w:val="uk-UA"/>
        </w:rPr>
        <w:t>версія 1</w:t>
      </w:r>
      <w:r>
        <w:rPr>
          <w:color w:val="000000" w:themeColor="text1"/>
          <w:sz w:val="20"/>
          <w:lang w:val="uk-UA"/>
        </w:rPr>
        <w:t>)</w:t>
      </w:r>
      <w:r w:rsidRPr="00A816CE">
        <w:rPr>
          <w:color w:val="000000" w:themeColor="text1"/>
          <w:sz w:val="20"/>
          <w:lang w:val="uk-UA"/>
        </w:rPr>
        <w:t xml:space="preserve">. Дослідження показало, що </w:t>
      </w:r>
      <w:r w:rsidRPr="00784388">
        <w:rPr>
          <w:color w:val="000000" w:themeColor="text1"/>
          <w:sz w:val="20"/>
          <w:lang w:val="uk-UA"/>
        </w:rPr>
        <w:t xml:space="preserve">три </w:t>
      </w:r>
      <w:r>
        <w:rPr>
          <w:color w:val="000000" w:themeColor="text1"/>
          <w:sz w:val="20"/>
          <w:lang w:val="uk-UA"/>
        </w:rPr>
        <w:t xml:space="preserve">доступні на ринку </w:t>
      </w:r>
      <w:r w:rsidRPr="00784388">
        <w:rPr>
          <w:color w:val="000000" w:themeColor="text1"/>
          <w:sz w:val="20"/>
          <w:lang w:val="uk-UA"/>
        </w:rPr>
        <w:t>LPA, мають схожу</w:t>
      </w:r>
      <w:r w:rsidRPr="00A816CE">
        <w:rPr>
          <w:color w:val="000000" w:themeColor="text1"/>
          <w:sz w:val="20"/>
          <w:lang w:val="uk-UA"/>
        </w:rPr>
        <w:t xml:space="preserve"> точність у виявленні ТБ та стійкості до рифампіцину та ізоніазиду </w:t>
      </w:r>
      <w:r w:rsidRPr="00A816CE">
        <w:rPr>
          <w:i/>
          <w:color w:val="000000" w:themeColor="text1"/>
          <w:sz w:val="20"/>
          <w:lang w:val="uk-UA"/>
        </w:rPr>
        <w:t>(5)</w:t>
      </w:r>
      <w:r w:rsidRPr="00A816CE">
        <w:rPr>
          <w:color w:val="000000" w:themeColor="text1"/>
          <w:sz w:val="20"/>
          <w:lang w:val="uk-UA"/>
        </w:rPr>
        <w:t>.</w:t>
      </w:r>
    </w:p>
    <w:p w14:paraId="1A2CF5BA" w14:textId="77777777" w:rsidR="00DE2E3D" w:rsidRPr="00A816CE" w:rsidRDefault="00DE2E3D" w:rsidP="00DE2E3D">
      <w:pPr>
        <w:pStyle w:val="a3"/>
        <w:spacing w:before="2"/>
        <w:ind w:right="933"/>
        <w:rPr>
          <w:sz w:val="20"/>
          <w:lang w:val="uk-UA"/>
        </w:rPr>
      </w:pPr>
    </w:p>
    <w:p w14:paraId="49DB904D" w14:textId="77777777" w:rsidR="00DE2E3D" w:rsidRPr="00A816CE" w:rsidRDefault="00DE2E3D" w:rsidP="00DE2E3D">
      <w:pPr>
        <w:pStyle w:val="6"/>
        <w:ind w:left="1264" w:right="933" w:firstLine="153"/>
        <w:jc w:val="both"/>
        <w:rPr>
          <w:rFonts w:ascii="Microsoft Sans Serif" w:hAnsi="Microsoft Sans Serif" w:cs="Microsoft Sans Serif"/>
          <w:lang w:val="uk-UA"/>
        </w:rPr>
      </w:pPr>
      <w:r w:rsidRPr="00A816CE">
        <w:rPr>
          <w:rFonts w:ascii="Microsoft Sans Serif" w:hAnsi="Microsoft Sans Serif" w:cs="Microsoft Sans Serif"/>
          <w:color w:val="636466"/>
          <w:w w:val="115"/>
          <w:lang w:val="uk-UA"/>
        </w:rPr>
        <w:t>Таблиця 2.4.2.1 Критерії класу для LPA</w:t>
      </w:r>
    </w:p>
    <w:p w14:paraId="073BA880" w14:textId="77777777" w:rsidR="00DE2E3D" w:rsidRPr="00A816CE" w:rsidRDefault="00DE2E3D" w:rsidP="00DE2E3D">
      <w:pPr>
        <w:pStyle w:val="a3"/>
        <w:spacing w:before="2" w:after="1"/>
        <w:ind w:right="933"/>
        <w:rPr>
          <w:b/>
          <w:sz w:val="15"/>
          <w:lang w:val="uk-UA"/>
        </w:rPr>
      </w:pPr>
    </w:p>
    <w:tbl>
      <w:tblPr>
        <w:tblStyle w:val="TableNormal"/>
        <w:tblW w:w="0" w:type="auto"/>
        <w:tblInd w:w="1408" w:type="dxa"/>
        <w:tblLayout w:type="fixed"/>
        <w:tblLook w:val="01E0" w:firstRow="1" w:lastRow="1" w:firstColumn="1" w:lastColumn="1" w:noHBand="0" w:noVBand="0"/>
      </w:tblPr>
      <w:tblGrid>
        <w:gridCol w:w="1389"/>
        <w:gridCol w:w="1446"/>
        <w:gridCol w:w="6237"/>
      </w:tblGrid>
      <w:tr w:rsidR="00DE2E3D" w:rsidRPr="00D029FF" w14:paraId="068BC2CC" w14:textId="77777777" w:rsidTr="00EA1572">
        <w:trPr>
          <w:trHeight w:val="430"/>
        </w:trPr>
        <w:tc>
          <w:tcPr>
            <w:tcW w:w="2835" w:type="dxa"/>
            <w:gridSpan w:val="2"/>
            <w:tcBorders>
              <w:top w:val="single" w:sz="8" w:space="0" w:color="019648"/>
              <w:left w:val="single" w:sz="8" w:space="0" w:color="019648"/>
              <w:bottom w:val="single" w:sz="6" w:space="0" w:color="019648"/>
              <w:right w:val="single" w:sz="6" w:space="0" w:color="019648"/>
            </w:tcBorders>
            <w:shd w:val="clear" w:color="auto" w:fill="62A86B"/>
          </w:tcPr>
          <w:p w14:paraId="16BBF7C4" w14:textId="77777777" w:rsidR="00DE2E3D" w:rsidRPr="00A816CE" w:rsidRDefault="00DE2E3D" w:rsidP="00EA1572">
            <w:pPr>
              <w:pStyle w:val="TableParagraph"/>
              <w:spacing w:before="0"/>
              <w:ind w:left="0"/>
              <w:rPr>
                <w:sz w:val="20"/>
                <w:lang w:val="uk-UA"/>
              </w:rPr>
            </w:pPr>
            <w:r w:rsidRPr="00A816CE">
              <w:rPr>
                <w:b/>
                <w:color w:val="FFFFFF"/>
                <w:w w:val="115"/>
                <w:sz w:val="20"/>
                <w:lang w:val="uk-UA"/>
              </w:rPr>
              <w:t>Призначення</w:t>
            </w:r>
          </w:p>
        </w:tc>
        <w:tc>
          <w:tcPr>
            <w:tcW w:w="6237" w:type="dxa"/>
            <w:tcBorders>
              <w:top w:val="single" w:sz="8" w:space="0" w:color="019648"/>
              <w:left w:val="single" w:sz="6" w:space="0" w:color="019648"/>
              <w:bottom w:val="single" w:sz="6" w:space="0" w:color="019648"/>
              <w:right w:val="single" w:sz="6" w:space="0" w:color="019648"/>
            </w:tcBorders>
            <w:shd w:val="clear" w:color="auto" w:fill="62A86B"/>
          </w:tcPr>
          <w:p w14:paraId="441CD5B2" w14:textId="77777777" w:rsidR="00DE2E3D" w:rsidRPr="00A816CE" w:rsidRDefault="00DE2E3D" w:rsidP="00EA1572">
            <w:pPr>
              <w:pStyle w:val="TableParagraph"/>
              <w:spacing w:before="29"/>
              <w:ind w:left="138"/>
              <w:rPr>
                <w:b/>
                <w:color w:val="FFFFFF" w:themeColor="background1"/>
                <w:sz w:val="20"/>
                <w:lang w:val="uk-UA"/>
              </w:rPr>
            </w:pPr>
            <w:r w:rsidRPr="00A816CE">
              <w:rPr>
                <w:b/>
                <w:color w:val="FFFFFF" w:themeColor="background1"/>
                <w:sz w:val="20"/>
                <w:lang w:val="uk-UA"/>
              </w:rPr>
              <w:t>Виявлення стійкості до протитуберкульозних препаратів першого та/або другого ряду.</w:t>
            </w:r>
          </w:p>
          <w:p w14:paraId="213EF00C" w14:textId="77777777" w:rsidR="00DE2E3D" w:rsidRPr="00A816CE" w:rsidRDefault="00DE2E3D" w:rsidP="00EA1572">
            <w:pPr>
              <w:pStyle w:val="TableParagraph"/>
              <w:spacing w:before="29"/>
              <w:ind w:left="138"/>
              <w:rPr>
                <w:b/>
                <w:sz w:val="20"/>
                <w:lang w:val="uk-UA"/>
              </w:rPr>
            </w:pPr>
          </w:p>
        </w:tc>
      </w:tr>
      <w:tr w:rsidR="00DE2E3D" w:rsidRPr="00A816CE" w14:paraId="50141E14" w14:textId="77777777" w:rsidTr="00EA1572">
        <w:trPr>
          <w:trHeight w:val="387"/>
        </w:trPr>
        <w:tc>
          <w:tcPr>
            <w:tcW w:w="2835" w:type="dxa"/>
            <w:gridSpan w:val="2"/>
            <w:tcBorders>
              <w:top w:val="single" w:sz="6" w:space="0" w:color="019648"/>
              <w:bottom w:val="single" w:sz="6" w:space="0" w:color="019648"/>
            </w:tcBorders>
          </w:tcPr>
          <w:p w14:paraId="3ABCB5B2" w14:textId="77777777" w:rsidR="00DE2E3D" w:rsidRPr="00A816CE" w:rsidRDefault="00DE2E3D" w:rsidP="00EA1572">
            <w:pPr>
              <w:pStyle w:val="TableParagraph"/>
              <w:ind w:left="132"/>
              <w:rPr>
                <w:b/>
                <w:sz w:val="20"/>
              </w:rPr>
            </w:pPr>
            <w:proofErr w:type="spellStart"/>
            <w:r w:rsidRPr="00A816CE">
              <w:rPr>
                <w:b/>
                <w:w w:val="115"/>
                <w:sz w:val="20"/>
              </w:rPr>
              <w:t>Принцип</w:t>
            </w:r>
            <w:proofErr w:type="spellEnd"/>
            <w:r w:rsidRPr="00A816CE">
              <w:rPr>
                <w:b/>
                <w:w w:val="115"/>
                <w:sz w:val="20"/>
              </w:rPr>
              <w:t xml:space="preserve"> </w:t>
            </w:r>
            <w:proofErr w:type="spellStart"/>
            <w:r w:rsidRPr="00A816CE">
              <w:rPr>
                <w:b/>
                <w:w w:val="115"/>
                <w:sz w:val="20"/>
              </w:rPr>
              <w:t>дії</w:t>
            </w:r>
            <w:proofErr w:type="spellEnd"/>
          </w:p>
        </w:tc>
        <w:tc>
          <w:tcPr>
            <w:tcW w:w="6237" w:type="dxa"/>
            <w:tcBorders>
              <w:top w:val="single" w:sz="6" w:space="0" w:color="019648"/>
              <w:bottom w:val="single" w:sz="6" w:space="0" w:color="019648"/>
            </w:tcBorders>
          </w:tcPr>
          <w:p w14:paraId="7493403B" w14:textId="77777777" w:rsidR="00DE2E3D" w:rsidRPr="00A816CE" w:rsidRDefault="00DE2E3D" w:rsidP="00EA1572">
            <w:pPr>
              <w:pStyle w:val="TableParagraph"/>
              <w:ind w:left="122"/>
              <w:rPr>
                <w:sz w:val="20"/>
              </w:rPr>
            </w:pPr>
            <w:proofErr w:type="spellStart"/>
            <w:r w:rsidRPr="00A816CE">
              <w:rPr>
                <w:w w:val="110"/>
                <w:sz w:val="20"/>
              </w:rPr>
              <w:t>Аналізи</w:t>
            </w:r>
            <w:proofErr w:type="spellEnd"/>
            <w:r w:rsidRPr="00A816CE">
              <w:rPr>
                <w:w w:val="110"/>
                <w:sz w:val="20"/>
              </w:rPr>
              <w:t xml:space="preserve"> </w:t>
            </w:r>
            <w:proofErr w:type="spellStart"/>
            <w:r w:rsidRPr="00A816CE">
              <w:rPr>
                <w:w w:val="110"/>
                <w:sz w:val="20"/>
              </w:rPr>
              <w:t>на</w:t>
            </w:r>
            <w:proofErr w:type="spellEnd"/>
            <w:r w:rsidRPr="00A816CE">
              <w:rPr>
                <w:w w:val="110"/>
                <w:sz w:val="20"/>
              </w:rPr>
              <w:t xml:space="preserve"> </w:t>
            </w:r>
            <w:proofErr w:type="spellStart"/>
            <w:r w:rsidRPr="00A816CE">
              <w:rPr>
                <w:w w:val="110"/>
                <w:sz w:val="20"/>
              </w:rPr>
              <w:t>основі</w:t>
            </w:r>
            <w:proofErr w:type="spellEnd"/>
            <w:r w:rsidRPr="00A816CE">
              <w:rPr>
                <w:w w:val="110"/>
                <w:sz w:val="20"/>
              </w:rPr>
              <w:t xml:space="preserve"> </w:t>
            </w:r>
            <w:proofErr w:type="spellStart"/>
            <w:r w:rsidRPr="00A816CE">
              <w:rPr>
                <w:w w:val="110"/>
                <w:sz w:val="20"/>
              </w:rPr>
              <w:t>зворотної</w:t>
            </w:r>
            <w:proofErr w:type="spellEnd"/>
            <w:r w:rsidRPr="00A816CE">
              <w:rPr>
                <w:w w:val="110"/>
                <w:sz w:val="20"/>
              </w:rPr>
              <w:t xml:space="preserve"> </w:t>
            </w:r>
            <w:proofErr w:type="spellStart"/>
            <w:r w:rsidRPr="00A816CE">
              <w:rPr>
                <w:w w:val="110"/>
                <w:sz w:val="20"/>
              </w:rPr>
              <w:t>гібридизації</w:t>
            </w:r>
            <w:proofErr w:type="spellEnd"/>
            <w:r w:rsidRPr="00A816CE">
              <w:rPr>
                <w:w w:val="110"/>
                <w:sz w:val="20"/>
              </w:rPr>
              <w:t xml:space="preserve"> ДНК, або </w:t>
            </w:r>
            <w:proofErr w:type="spellStart"/>
            <w:r w:rsidRPr="00A816CE">
              <w:rPr>
                <w:w w:val="110"/>
                <w:sz w:val="20"/>
              </w:rPr>
              <w:t>лінійні</w:t>
            </w:r>
            <w:proofErr w:type="spellEnd"/>
            <w:r w:rsidRPr="00A816CE">
              <w:rPr>
                <w:w w:val="110"/>
                <w:sz w:val="20"/>
              </w:rPr>
              <w:t xml:space="preserve"> </w:t>
            </w:r>
            <w:proofErr w:type="spellStart"/>
            <w:r w:rsidRPr="00A816CE">
              <w:rPr>
                <w:w w:val="110"/>
                <w:sz w:val="20"/>
              </w:rPr>
              <w:t>зонд-аналізи</w:t>
            </w:r>
            <w:proofErr w:type="spellEnd"/>
            <w:r w:rsidRPr="00A816CE">
              <w:rPr>
                <w:w w:val="110"/>
                <w:sz w:val="20"/>
              </w:rPr>
              <w:t>.</w:t>
            </w:r>
          </w:p>
        </w:tc>
      </w:tr>
      <w:tr w:rsidR="00DE2E3D" w:rsidRPr="00D029FF" w14:paraId="6172D9B5" w14:textId="77777777" w:rsidTr="00EA1572">
        <w:trPr>
          <w:trHeight w:val="647"/>
        </w:trPr>
        <w:tc>
          <w:tcPr>
            <w:tcW w:w="1389" w:type="dxa"/>
            <w:tcBorders>
              <w:top w:val="single" w:sz="6" w:space="0" w:color="019648"/>
            </w:tcBorders>
          </w:tcPr>
          <w:p w14:paraId="2ED2CED7" w14:textId="77777777" w:rsidR="00DE2E3D" w:rsidRPr="00A816CE" w:rsidRDefault="00DE2E3D" w:rsidP="00EA1572">
            <w:pPr>
              <w:pStyle w:val="TableParagraph"/>
              <w:ind w:left="132"/>
              <w:rPr>
                <w:b/>
                <w:sz w:val="20"/>
              </w:rPr>
            </w:pPr>
            <w:proofErr w:type="spellStart"/>
            <w:r w:rsidRPr="00A816CE">
              <w:rPr>
                <w:b/>
                <w:w w:val="115"/>
                <w:sz w:val="20"/>
              </w:rPr>
              <w:t>Складність</w:t>
            </w:r>
            <w:proofErr w:type="spellEnd"/>
          </w:p>
        </w:tc>
        <w:tc>
          <w:tcPr>
            <w:tcW w:w="1446" w:type="dxa"/>
            <w:tcBorders>
              <w:top w:val="single" w:sz="6" w:space="0" w:color="019648"/>
              <w:bottom w:val="single" w:sz="6" w:space="0" w:color="019648"/>
            </w:tcBorders>
          </w:tcPr>
          <w:p w14:paraId="6855E552" w14:textId="77777777" w:rsidR="00DE2E3D" w:rsidRPr="00A816CE" w:rsidRDefault="00DE2E3D" w:rsidP="00EA1572">
            <w:pPr>
              <w:pStyle w:val="TableParagraph"/>
              <w:rPr>
                <w:sz w:val="20"/>
              </w:rPr>
            </w:pPr>
            <w:proofErr w:type="spellStart"/>
            <w:r w:rsidRPr="00A816CE">
              <w:rPr>
                <w:w w:val="110"/>
                <w:sz w:val="20"/>
              </w:rPr>
              <w:t>Реагенти</w:t>
            </w:r>
            <w:proofErr w:type="spellEnd"/>
          </w:p>
        </w:tc>
        <w:tc>
          <w:tcPr>
            <w:tcW w:w="6237" w:type="dxa"/>
            <w:tcBorders>
              <w:top w:val="single" w:sz="6" w:space="0" w:color="019648"/>
              <w:bottom w:val="single" w:sz="6" w:space="0" w:color="019648"/>
            </w:tcBorders>
          </w:tcPr>
          <w:p w14:paraId="424B651D" w14:textId="77777777" w:rsidR="00DE2E3D" w:rsidRPr="006B6651" w:rsidRDefault="00DE2E3D" w:rsidP="00EA1572">
            <w:pPr>
              <w:pStyle w:val="TableParagraph"/>
              <w:spacing w:before="78" w:line="232" w:lineRule="auto"/>
              <w:ind w:left="122"/>
              <w:rPr>
                <w:sz w:val="20"/>
                <w:lang w:val="ru-RU"/>
              </w:rPr>
            </w:pPr>
            <w:r w:rsidRPr="00A816CE">
              <w:rPr>
                <w:sz w:val="20"/>
                <w:lang w:val="uk-UA"/>
              </w:rPr>
              <w:t xml:space="preserve">Реагенти доступні </w:t>
            </w:r>
            <w:r w:rsidRPr="006B6651">
              <w:rPr>
                <w:sz w:val="20"/>
                <w:lang w:val="ru-RU"/>
              </w:rPr>
              <w:t xml:space="preserve">у </w:t>
            </w:r>
            <w:proofErr w:type="spellStart"/>
            <w:r w:rsidRPr="006B6651">
              <w:rPr>
                <w:sz w:val="20"/>
                <w:lang w:val="ru-RU"/>
              </w:rPr>
              <w:t>стандартизованих</w:t>
            </w:r>
            <w:proofErr w:type="spellEnd"/>
            <w:r w:rsidRPr="006B6651">
              <w:rPr>
                <w:sz w:val="20"/>
                <w:lang w:val="ru-RU"/>
              </w:rPr>
              <w:t xml:space="preserve"> наборах; </w:t>
            </w:r>
            <w:proofErr w:type="spellStart"/>
            <w:r w:rsidRPr="006B6651">
              <w:rPr>
                <w:sz w:val="20"/>
                <w:lang w:val="ru-RU"/>
              </w:rPr>
              <w:t>можуть</w:t>
            </w:r>
            <w:proofErr w:type="spellEnd"/>
            <w:r w:rsidRPr="006B6651">
              <w:rPr>
                <w:sz w:val="20"/>
                <w:lang w:val="ru-RU"/>
              </w:rPr>
              <w:t xml:space="preserve"> </w:t>
            </w:r>
            <w:proofErr w:type="spellStart"/>
            <w:r w:rsidRPr="006B6651">
              <w:rPr>
                <w:sz w:val="20"/>
                <w:lang w:val="ru-RU"/>
              </w:rPr>
              <w:t>вимагати</w:t>
            </w:r>
            <w:proofErr w:type="spellEnd"/>
            <w:r w:rsidRPr="006B6651">
              <w:rPr>
                <w:sz w:val="20"/>
                <w:lang w:val="ru-RU"/>
              </w:rPr>
              <w:t xml:space="preserve"> </w:t>
            </w:r>
            <w:proofErr w:type="spellStart"/>
            <w:r w:rsidRPr="006B6651">
              <w:rPr>
                <w:sz w:val="20"/>
                <w:lang w:val="ru-RU"/>
              </w:rPr>
              <w:t>дотримання</w:t>
            </w:r>
            <w:proofErr w:type="spellEnd"/>
            <w:r w:rsidRPr="006B6651">
              <w:rPr>
                <w:sz w:val="20"/>
                <w:lang w:val="ru-RU"/>
              </w:rPr>
              <w:t xml:space="preserve"> </w:t>
            </w:r>
            <w:proofErr w:type="spellStart"/>
            <w:r w:rsidRPr="006B6651">
              <w:rPr>
                <w:sz w:val="20"/>
                <w:lang w:val="ru-RU"/>
              </w:rPr>
              <w:t>певних</w:t>
            </w:r>
            <w:proofErr w:type="spellEnd"/>
            <w:r w:rsidRPr="006B6651">
              <w:rPr>
                <w:sz w:val="20"/>
                <w:lang w:val="ru-RU"/>
              </w:rPr>
              <w:t xml:space="preserve"> </w:t>
            </w:r>
            <w:proofErr w:type="spellStart"/>
            <w:r w:rsidRPr="006B6651">
              <w:rPr>
                <w:sz w:val="20"/>
                <w:lang w:val="ru-RU"/>
              </w:rPr>
              <w:t>температурних</w:t>
            </w:r>
            <w:proofErr w:type="spellEnd"/>
            <w:r w:rsidRPr="006B6651">
              <w:rPr>
                <w:sz w:val="20"/>
                <w:lang w:val="ru-RU"/>
              </w:rPr>
              <w:t xml:space="preserve"> умов </w:t>
            </w:r>
            <w:proofErr w:type="spellStart"/>
            <w:r w:rsidRPr="006B6651">
              <w:rPr>
                <w:sz w:val="20"/>
                <w:lang w:val="ru-RU"/>
              </w:rPr>
              <w:t>зберігання</w:t>
            </w:r>
            <w:proofErr w:type="spellEnd"/>
            <w:r w:rsidRPr="006B6651">
              <w:rPr>
                <w:sz w:val="20"/>
                <w:lang w:val="ru-RU"/>
              </w:rPr>
              <w:t>.</w:t>
            </w:r>
          </w:p>
        </w:tc>
      </w:tr>
      <w:tr w:rsidR="00DE2E3D" w:rsidRPr="00A816CE" w14:paraId="2D8F0979" w14:textId="77777777" w:rsidTr="00EA1572">
        <w:trPr>
          <w:trHeight w:val="907"/>
        </w:trPr>
        <w:tc>
          <w:tcPr>
            <w:tcW w:w="1389" w:type="dxa"/>
          </w:tcPr>
          <w:p w14:paraId="0E16DC3C" w14:textId="77777777" w:rsidR="00DE2E3D" w:rsidRPr="006B6651" w:rsidRDefault="00DE2E3D" w:rsidP="00EA1572">
            <w:pPr>
              <w:pStyle w:val="TableParagraph"/>
              <w:spacing w:before="0"/>
              <w:ind w:left="0"/>
              <w:rPr>
                <w:sz w:val="20"/>
                <w:lang w:val="ru-RU"/>
              </w:rPr>
            </w:pPr>
          </w:p>
        </w:tc>
        <w:tc>
          <w:tcPr>
            <w:tcW w:w="1446" w:type="dxa"/>
            <w:tcBorders>
              <w:top w:val="single" w:sz="6" w:space="0" w:color="019648"/>
              <w:bottom w:val="single" w:sz="6" w:space="0" w:color="019648"/>
            </w:tcBorders>
          </w:tcPr>
          <w:p w14:paraId="1E0B975B" w14:textId="77777777" w:rsidR="00DE2E3D" w:rsidRPr="00A816CE" w:rsidRDefault="00DE2E3D" w:rsidP="00EA1572">
            <w:pPr>
              <w:pStyle w:val="TableParagraph"/>
              <w:rPr>
                <w:sz w:val="20"/>
              </w:rPr>
            </w:pPr>
            <w:proofErr w:type="spellStart"/>
            <w:r w:rsidRPr="00A816CE">
              <w:rPr>
                <w:w w:val="110"/>
                <w:sz w:val="20"/>
              </w:rPr>
              <w:t>Навички</w:t>
            </w:r>
            <w:proofErr w:type="spellEnd"/>
          </w:p>
        </w:tc>
        <w:tc>
          <w:tcPr>
            <w:tcW w:w="6237" w:type="dxa"/>
            <w:tcBorders>
              <w:top w:val="single" w:sz="6" w:space="0" w:color="019648"/>
              <w:bottom w:val="single" w:sz="6" w:space="0" w:color="019648"/>
            </w:tcBorders>
          </w:tcPr>
          <w:p w14:paraId="3DBA4252" w14:textId="77777777" w:rsidR="00DE2E3D" w:rsidRPr="00A816CE" w:rsidRDefault="00DE2E3D" w:rsidP="00EA1572">
            <w:pPr>
              <w:pStyle w:val="TableParagraph"/>
              <w:spacing w:before="78" w:line="232" w:lineRule="auto"/>
              <w:ind w:left="122" w:right="138"/>
              <w:rPr>
                <w:sz w:val="20"/>
              </w:rPr>
            </w:pPr>
            <w:proofErr w:type="spellStart"/>
            <w:r w:rsidRPr="00A816CE">
              <w:rPr>
                <w:sz w:val="20"/>
              </w:rPr>
              <w:t>Потрібні</w:t>
            </w:r>
            <w:proofErr w:type="spellEnd"/>
            <w:r w:rsidRPr="00A816CE">
              <w:rPr>
                <w:sz w:val="20"/>
              </w:rPr>
              <w:t xml:space="preserve"> </w:t>
            </w:r>
            <w:proofErr w:type="spellStart"/>
            <w:r w:rsidRPr="00A816CE">
              <w:rPr>
                <w:sz w:val="20"/>
              </w:rPr>
              <w:t>поглиблені</w:t>
            </w:r>
            <w:proofErr w:type="spellEnd"/>
            <w:r w:rsidRPr="00A816CE">
              <w:rPr>
                <w:sz w:val="20"/>
              </w:rPr>
              <w:t xml:space="preserve"> </w:t>
            </w:r>
            <w:proofErr w:type="spellStart"/>
            <w:r w:rsidRPr="00A816CE">
              <w:rPr>
                <w:sz w:val="20"/>
              </w:rPr>
              <w:t>технічні</w:t>
            </w:r>
            <w:proofErr w:type="spellEnd"/>
            <w:r w:rsidRPr="00A816CE">
              <w:rPr>
                <w:sz w:val="20"/>
              </w:rPr>
              <w:t xml:space="preserve"> </w:t>
            </w:r>
            <w:proofErr w:type="spellStart"/>
            <w:r w:rsidRPr="00A816CE">
              <w:rPr>
                <w:sz w:val="20"/>
              </w:rPr>
              <w:t>навички</w:t>
            </w:r>
            <w:proofErr w:type="spellEnd"/>
            <w:r w:rsidRPr="00A816CE">
              <w:rPr>
                <w:sz w:val="20"/>
              </w:rPr>
              <w:t xml:space="preserve"> (</w:t>
            </w:r>
            <w:proofErr w:type="spellStart"/>
            <w:r w:rsidRPr="00A816CE">
              <w:rPr>
                <w:sz w:val="20"/>
              </w:rPr>
              <w:t>наприклад</w:t>
            </w:r>
            <w:proofErr w:type="spellEnd"/>
            <w:r w:rsidRPr="00A816CE">
              <w:rPr>
                <w:sz w:val="20"/>
              </w:rPr>
              <w:t xml:space="preserve">, виконання </w:t>
            </w:r>
            <w:proofErr w:type="spellStart"/>
            <w:r w:rsidRPr="00A816CE">
              <w:rPr>
                <w:sz w:val="20"/>
              </w:rPr>
              <w:t>багатоетапних</w:t>
            </w:r>
            <w:proofErr w:type="spellEnd"/>
            <w:r w:rsidRPr="00A816CE">
              <w:rPr>
                <w:sz w:val="20"/>
              </w:rPr>
              <w:t xml:space="preserve"> </w:t>
            </w:r>
            <w:proofErr w:type="spellStart"/>
            <w:r w:rsidRPr="00A816CE">
              <w:rPr>
                <w:sz w:val="20"/>
              </w:rPr>
              <w:t>маніпуляцій</w:t>
            </w:r>
            <w:proofErr w:type="spellEnd"/>
            <w:r w:rsidRPr="00A816CE">
              <w:rPr>
                <w:sz w:val="20"/>
              </w:rPr>
              <w:t xml:space="preserve"> </w:t>
            </w:r>
            <w:proofErr w:type="spellStart"/>
            <w:r w:rsidRPr="00A816CE">
              <w:rPr>
                <w:sz w:val="20"/>
              </w:rPr>
              <w:t>зі</w:t>
            </w:r>
            <w:proofErr w:type="spellEnd"/>
            <w:r w:rsidRPr="00A816CE">
              <w:rPr>
                <w:sz w:val="20"/>
              </w:rPr>
              <w:t xml:space="preserve"> </w:t>
            </w:r>
            <w:proofErr w:type="spellStart"/>
            <w:r w:rsidRPr="00A816CE">
              <w:rPr>
                <w:sz w:val="20"/>
              </w:rPr>
              <w:t>зразками</w:t>
            </w:r>
            <w:proofErr w:type="spellEnd"/>
            <w:r w:rsidRPr="00A816CE">
              <w:rPr>
                <w:sz w:val="20"/>
              </w:rPr>
              <w:t xml:space="preserve"> або </w:t>
            </w:r>
            <w:proofErr w:type="spellStart"/>
            <w:r w:rsidRPr="00A816CE">
              <w:rPr>
                <w:sz w:val="20"/>
              </w:rPr>
              <w:t>реагентами</w:t>
            </w:r>
            <w:proofErr w:type="spellEnd"/>
            <w:r w:rsidRPr="00A816CE">
              <w:rPr>
                <w:sz w:val="20"/>
              </w:rPr>
              <w:t xml:space="preserve">, </w:t>
            </w:r>
            <w:proofErr w:type="spellStart"/>
            <w:r w:rsidRPr="00A816CE">
              <w:rPr>
                <w:sz w:val="20"/>
              </w:rPr>
              <w:t>точне</w:t>
            </w:r>
            <w:proofErr w:type="spellEnd"/>
            <w:r w:rsidRPr="00A816CE">
              <w:rPr>
                <w:sz w:val="20"/>
              </w:rPr>
              <w:t xml:space="preserve"> піпетування, </w:t>
            </w:r>
            <w:proofErr w:type="spellStart"/>
            <w:r w:rsidRPr="00A816CE">
              <w:rPr>
                <w:sz w:val="20"/>
              </w:rPr>
              <w:t>досвід</w:t>
            </w:r>
            <w:proofErr w:type="spellEnd"/>
            <w:r w:rsidRPr="00A816CE">
              <w:rPr>
                <w:sz w:val="20"/>
              </w:rPr>
              <w:t xml:space="preserve"> </w:t>
            </w:r>
            <w:proofErr w:type="spellStart"/>
            <w:r w:rsidRPr="00A816CE">
              <w:rPr>
                <w:sz w:val="20"/>
              </w:rPr>
              <w:t>роботи</w:t>
            </w:r>
            <w:proofErr w:type="spellEnd"/>
            <w:r w:rsidRPr="00A816CE">
              <w:rPr>
                <w:sz w:val="20"/>
              </w:rPr>
              <w:t xml:space="preserve"> з </w:t>
            </w:r>
            <w:proofErr w:type="spellStart"/>
            <w:r w:rsidRPr="00A816CE">
              <w:rPr>
                <w:sz w:val="20"/>
              </w:rPr>
              <w:t>молекулярн</w:t>
            </w:r>
            <w:r w:rsidRPr="00A816CE">
              <w:rPr>
                <w:sz w:val="20"/>
                <w:lang w:val="uk-UA"/>
              </w:rPr>
              <w:t>ими</w:t>
            </w:r>
            <w:proofErr w:type="spellEnd"/>
            <w:r w:rsidRPr="00A816CE">
              <w:rPr>
                <w:sz w:val="20"/>
              </w:rPr>
              <w:t xml:space="preserve"> </w:t>
            </w:r>
            <w:proofErr w:type="spellStart"/>
            <w:r w:rsidRPr="00A816CE">
              <w:rPr>
                <w:sz w:val="20"/>
              </w:rPr>
              <w:t>методиками</w:t>
            </w:r>
            <w:proofErr w:type="spellEnd"/>
            <w:r w:rsidRPr="00A816CE">
              <w:rPr>
                <w:sz w:val="20"/>
              </w:rPr>
              <w:t>).</w:t>
            </w:r>
          </w:p>
        </w:tc>
      </w:tr>
      <w:tr w:rsidR="00DE2E3D" w:rsidRPr="00D029FF" w14:paraId="0CB4F7E2" w14:textId="77777777" w:rsidTr="00EA1572">
        <w:trPr>
          <w:trHeight w:val="387"/>
        </w:trPr>
        <w:tc>
          <w:tcPr>
            <w:tcW w:w="1389" w:type="dxa"/>
          </w:tcPr>
          <w:p w14:paraId="636B3DF2" w14:textId="77777777" w:rsidR="00DE2E3D" w:rsidRPr="00A816CE" w:rsidRDefault="00DE2E3D" w:rsidP="00EA1572">
            <w:pPr>
              <w:pStyle w:val="TableParagraph"/>
              <w:spacing w:before="0"/>
              <w:ind w:left="0"/>
              <w:rPr>
                <w:sz w:val="20"/>
              </w:rPr>
            </w:pPr>
          </w:p>
        </w:tc>
        <w:tc>
          <w:tcPr>
            <w:tcW w:w="1446" w:type="dxa"/>
            <w:tcBorders>
              <w:top w:val="single" w:sz="6" w:space="0" w:color="019648"/>
              <w:bottom w:val="single" w:sz="6" w:space="0" w:color="019648"/>
            </w:tcBorders>
          </w:tcPr>
          <w:p w14:paraId="243468B3" w14:textId="77777777" w:rsidR="00DE2E3D" w:rsidRPr="00A816CE" w:rsidRDefault="00DE2E3D" w:rsidP="00EA1572">
            <w:pPr>
              <w:pStyle w:val="TableParagraph"/>
              <w:rPr>
                <w:sz w:val="20"/>
              </w:rPr>
            </w:pPr>
            <w:r w:rsidRPr="00A816CE">
              <w:rPr>
                <w:w w:val="110"/>
                <w:sz w:val="20"/>
              </w:rPr>
              <w:t>Піпетування</w:t>
            </w:r>
          </w:p>
        </w:tc>
        <w:tc>
          <w:tcPr>
            <w:tcW w:w="6237" w:type="dxa"/>
            <w:tcBorders>
              <w:top w:val="single" w:sz="6" w:space="0" w:color="019648"/>
              <w:bottom w:val="single" w:sz="6" w:space="0" w:color="019648"/>
            </w:tcBorders>
          </w:tcPr>
          <w:p w14:paraId="09A15134" w14:textId="77777777" w:rsidR="00DE2E3D" w:rsidRPr="006B6651" w:rsidRDefault="00DE2E3D" w:rsidP="00EA1572">
            <w:pPr>
              <w:pStyle w:val="TableParagraph"/>
              <w:ind w:left="122"/>
              <w:rPr>
                <w:sz w:val="20"/>
                <w:lang w:val="ru-RU"/>
              </w:rPr>
            </w:pPr>
            <w:r w:rsidRPr="006B6651">
              <w:rPr>
                <w:w w:val="110"/>
                <w:sz w:val="20"/>
                <w:lang w:val="ru-RU"/>
              </w:rPr>
              <w:t xml:space="preserve">Процедура </w:t>
            </w:r>
            <w:proofErr w:type="spellStart"/>
            <w:r w:rsidRPr="006B6651">
              <w:rPr>
                <w:w w:val="110"/>
                <w:sz w:val="20"/>
                <w:lang w:val="ru-RU"/>
              </w:rPr>
              <w:t>вимагає</w:t>
            </w:r>
            <w:proofErr w:type="spellEnd"/>
            <w:r w:rsidRPr="006B6651">
              <w:rPr>
                <w:w w:val="110"/>
                <w:sz w:val="20"/>
                <w:lang w:val="ru-RU"/>
              </w:rPr>
              <w:t xml:space="preserve"> виконання </w:t>
            </w:r>
            <w:proofErr w:type="spellStart"/>
            <w:r w:rsidRPr="006B6651">
              <w:rPr>
                <w:w w:val="110"/>
                <w:sz w:val="20"/>
                <w:lang w:val="ru-RU"/>
              </w:rPr>
              <w:t>багатьох</w:t>
            </w:r>
            <w:proofErr w:type="spellEnd"/>
            <w:r w:rsidRPr="006B6651">
              <w:rPr>
                <w:w w:val="110"/>
                <w:sz w:val="20"/>
                <w:lang w:val="ru-RU"/>
              </w:rPr>
              <w:t xml:space="preserve"> </w:t>
            </w:r>
            <w:proofErr w:type="spellStart"/>
            <w:r w:rsidRPr="006B6651">
              <w:rPr>
                <w:w w:val="110"/>
                <w:sz w:val="20"/>
                <w:lang w:val="ru-RU"/>
              </w:rPr>
              <w:t>етапів</w:t>
            </w:r>
            <w:proofErr w:type="spellEnd"/>
            <w:r w:rsidRPr="006B6651">
              <w:rPr>
                <w:w w:val="110"/>
                <w:sz w:val="20"/>
                <w:lang w:val="ru-RU"/>
              </w:rPr>
              <w:t xml:space="preserve"> точного піпетування.</w:t>
            </w:r>
          </w:p>
        </w:tc>
      </w:tr>
      <w:tr w:rsidR="00DE2E3D" w:rsidRPr="00D029FF" w14:paraId="334AA32F" w14:textId="77777777" w:rsidTr="00EA1572">
        <w:trPr>
          <w:trHeight w:val="1942"/>
        </w:trPr>
        <w:tc>
          <w:tcPr>
            <w:tcW w:w="1389" w:type="dxa"/>
            <w:tcBorders>
              <w:bottom w:val="single" w:sz="6" w:space="0" w:color="019648"/>
            </w:tcBorders>
          </w:tcPr>
          <w:p w14:paraId="1596513A" w14:textId="77777777" w:rsidR="00DE2E3D" w:rsidRPr="006B6651" w:rsidRDefault="00DE2E3D" w:rsidP="00EA1572">
            <w:pPr>
              <w:pStyle w:val="TableParagraph"/>
              <w:spacing w:before="0"/>
              <w:ind w:left="0"/>
              <w:rPr>
                <w:sz w:val="20"/>
                <w:lang w:val="ru-RU"/>
              </w:rPr>
            </w:pPr>
          </w:p>
        </w:tc>
        <w:tc>
          <w:tcPr>
            <w:tcW w:w="1446" w:type="dxa"/>
            <w:tcBorders>
              <w:top w:val="single" w:sz="6" w:space="0" w:color="019648"/>
              <w:bottom w:val="single" w:sz="6" w:space="0" w:color="019648"/>
            </w:tcBorders>
          </w:tcPr>
          <w:p w14:paraId="42B6D36B" w14:textId="77777777" w:rsidR="00DE2E3D" w:rsidRPr="00A816CE" w:rsidRDefault="00DE2E3D" w:rsidP="00EA1572">
            <w:pPr>
              <w:pStyle w:val="TableParagraph"/>
              <w:spacing w:before="78" w:line="232" w:lineRule="auto"/>
              <w:rPr>
                <w:sz w:val="20"/>
              </w:rPr>
            </w:pPr>
            <w:proofErr w:type="spellStart"/>
            <w:r w:rsidRPr="00A816CE">
              <w:rPr>
                <w:w w:val="105"/>
                <w:sz w:val="20"/>
              </w:rPr>
              <w:t>Процедура</w:t>
            </w:r>
            <w:proofErr w:type="spellEnd"/>
            <w:r w:rsidRPr="00A816CE">
              <w:rPr>
                <w:w w:val="105"/>
                <w:sz w:val="20"/>
              </w:rPr>
              <w:t xml:space="preserve"> </w:t>
            </w:r>
            <w:proofErr w:type="spellStart"/>
            <w:r w:rsidRPr="00A816CE">
              <w:rPr>
                <w:w w:val="105"/>
                <w:sz w:val="20"/>
              </w:rPr>
              <w:t>тестування</w:t>
            </w:r>
            <w:proofErr w:type="spellEnd"/>
          </w:p>
        </w:tc>
        <w:tc>
          <w:tcPr>
            <w:tcW w:w="6237" w:type="dxa"/>
            <w:tcBorders>
              <w:top w:val="single" w:sz="6" w:space="0" w:color="019648"/>
              <w:bottom w:val="single" w:sz="6" w:space="0" w:color="019648"/>
            </w:tcBorders>
          </w:tcPr>
          <w:p w14:paraId="7AD9964B" w14:textId="77777777" w:rsidR="00DE2E3D" w:rsidRPr="00131D42" w:rsidRDefault="00DE2E3D" w:rsidP="00EA1572">
            <w:pPr>
              <w:pStyle w:val="TableParagraph"/>
              <w:spacing w:before="78" w:line="232" w:lineRule="auto"/>
              <w:ind w:left="122" w:right="118"/>
              <w:rPr>
                <w:sz w:val="20"/>
                <w:lang w:val="uk-UA"/>
              </w:rPr>
            </w:pPr>
            <w:proofErr w:type="spellStart"/>
            <w:r w:rsidRPr="006B6651">
              <w:rPr>
                <w:w w:val="110"/>
                <w:sz w:val="20"/>
                <w:lang w:val="ru-RU"/>
              </w:rPr>
              <w:t>Може</w:t>
            </w:r>
            <w:proofErr w:type="spellEnd"/>
            <w:r w:rsidRPr="006B6651">
              <w:rPr>
                <w:w w:val="110"/>
                <w:sz w:val="20"/>
                <w:lang w:val="ru-RU"/>
              </w:rPr>
              <w:t xml:space="preserve"> </w:t>
            </w:r>
            <w:proofErr w:type="spellStart"/>
            <w:r w:rsidRPr="006B6651">
              <w:rPr>
                <w:w w:val="110"/>
                <w:sz w:val="20"/>
                <w:lang w:val="ru-RU"/>
              </w:rPr>
              <w:t>включати</w:t>
            </w:r>
            <w:proofErr w:type="spellEnd"/>
            <w:r w:rsidRPr="006B6651">
              <w:rPr>
                <w:w w:val="110"/>
                <w:sz w:val="20"/>
                <w:lang w:val="ru-RU"/>
              </w:rPr>
              <w:t xml:space="preserve"> </w:t>
            </w:r>
            <w:proofErr w:type="spellStart"/>
            <w:r w:rsidRPr="006B6651">
              <w:rPr>
                <w:w w:val="110"/>
                <w:sz w:val="20"/>
                <w:lang w:val="ru-RU"/>
              </w:rPr>
              <w:t>кілька</w:t>
            </w:r>
            <w:proofErr w:type="spellEnd"/>
            <w:r w:rsidRPr="006B6651">
              <w:rPr>
                <w:w w:val="110"/>
                <w:sz w:val="20"/>
                <w:lang w:val="ru-RU"/>
              </w:rPr>
              <w:t xml:space="preserve"> </w:t>
            </w:r>
            <w:proofErr w:type="spellStart"/>
            <w:r w:rsidRPr="006B6651">
              <w:rPr>
                <w:w w:val="110"/>
                <w:sz w:val="20"/>
                <w:lang w:val="ru-RU"/>
              </w:rPr>
              <w:t>етапів</w:t>
            </w:r>
            <w:proofErr w:type="spellEnd"/>
            <w:r w:rsidRPr="006B6651">
              <w:rPr>
                <w:w w:val="110"/>
                <w:sz w:val="20"/>
                <w:lang w:val="ru-RU"/>
              </w:rPr>
              <w:t xml:space="preserve"> </w:t>
            </w:r>
            <w:proofErr w:type="spellStart"/>
            <w:r w:rsidRPr="006B6651">
              <w:rPr>
                <w:w w:val="110"/>
                <w:sz w:val="20"/>
                <w:lang w:val="ru-RU"/>
              </w:rPr>
              <w:t>обробки</w:t>
            </w:r>
            <w:proofErr w:type="spellEnd"/>
            <w:r w:rsidRPr="006B6651">
              <w:rPr>
                <w:w w:val="110"/>
                <w:sz w:val="20"/>
                <w:lang w:val="ru-RU"/>
              </w:rPr>
              <w:t xml:space="preserve"> </w:t>
            </w:r>
            <w:proofErr w:type="spellStart"/>
            <w:r w:rsidRPr="006B6651">
              <w:rPr>
                <w:w w:val="110"/>
                <w:sz w:val="20"/>
                <w:lang w:val="ru-RU"/>
              </w:rPr>
              <w:t>зразка</w:t>
            </w:r>
            <w:proofErr w:type="spellEnd"/>
            <w:r w:rsidRPr="006B6651">
              <w:rPr>
                <w:w w:val="110"/>
                <w:sz w:val="20"/>
                <w:lang w:val="ru-RU"/>
              </w:rPr>
              <w:t xml:space="preserve"> перед </w:t>
            </w:r>
            <w:r w:rsidRPr="00A816CE">
              <w:rPr>
                <w:w w:val="110"/>
                <w:sz w:val="20"/>
                <w:lang w:val="uk-UA"/>
              </w:rPr>
              <w:t xml:space="preserve">перенесенням в герметичний контейнер для </w:t>
            </w:r>
            <w:proofErr w:type="spellStart"/>
            <w:r w:rsidRPr="006B6651">
              <w:rPr>
                <w:w w:val="110"/>
                <w:sz w:val="20"/>
                <w:lang w:val="ru-RU"/>
              </w:rPr>
              <w:t>багатоетапного</w:t>
            </w:r>
            <w:proofErr w:type="spellEnd"/>
            <w:r w:rsidRPr="006B6651">
              <w:rPr>
                <w:w w:val="110"/>
                <w:sz w:val="20"/>
                <w:lang w:val="ru-RU"/>
              </w:rPr>
              <w:t xml:space="preserve"> </w:t>
            </w:r>
            <w:proofErr w:type="spellStart"/>
            <w:r w:rsidRPr="006B6651">
              <w:rPr>
                <w:w w:val="110"/>
                <w:sz w:val="20"/>
                <w:lang w:val="ru-RU"/>
              </w:rPr>
              <w:t>аналіз</w:t>
            </w:r>
            <w:proofErr w:type="spellEnd"/>
            <w:r w:rsidRPr="00A816CE">
              <w:rPr>
                <w:w w:val="110"/>
                <w:sz w:val="20"/>
                <w:lang w:val="uk-UA"/>
              </w:rPr>
              <w:t>у</w:t>
            </w:r>
            <w:r>
              <w:rPr>
                <w:w w:val="110"/>
                <w:sz w:val="20"/>
                <w:lang w:val="uk-UA"/>
              </w:rPr>
              <w:t>.</w:t>
            </w:r>
          </w:p>
          <w:p w14:paraId="0867C711" w14:textId="77777777" w:rsidR="00DE2E3D" w:rsidRPr="006B6651" w:rsidRDefault="00DE2E3D" w:rsidP="00EA1572">
            <w:pPr>
              <w:pStyle w:val="TableParagraph"/>
              <w:spacing w:before="78" w:line="232" w:lineRule="auto"/>
              <w:ind w:left="122" w:right="118"/>
              <w:rPr>
                <w:sz w:val="20"/>
                <w:lang w:val="ru-RU"/>
              </w:rPr>
            </w:pPr>
            <w:proofErr w:type="spellStart"/>
            <w:r w:rsidRPr="006B6651">
              <w:rPr>
                <w:w w:val="110"/>
                <w:sz w:val="20"/>
                <w:lang w:val="ru-RU"/>
              </w:rPr>
              <w:t>Ручн</w:t>
            </w:r>
            <w:proofErr w:type="spellEnd"/>
            <w:r>
              <w:rPr>
                <w:w w:val="110"/>
                <w:sz w:val="20"/>
                <w:lang w:val="uk-UA"/>
              </w:rPr>
              <w:t>а</w:t>
            </w:r>
            <w:r w:rsidRPr="006B6651">
              <w:rPr>
                <w:w w:val="110"/>
                <w:sz w:val="20"/>
                <w:lang w:val="ru-RU"/>
              </w:rPr>
              <w:t xml:space="preserve"> або </w:t>
            </w:r>
            <w:proofErr w:type="spellStart"/>
            <w:r w:rsidRPr="006B6651">
              <w:rPr>
                <w:w w:val="110"/>
                <w:sz w:val="20"/>
                <w:lang w:val="ru-RU"/>
              </w:rPr>
              <w:t>автоматизован</w:t>
            </w:r>
            <w:proofErr w:type="spellEnd"/>
            <w:r>
              <w:rPr>
                <w:w w:val="110"/>
                <w:sz w:val="20"/>
                <w:lang w:val="uk-UA"/>
              </w:rPr>
              <w:t>а</w:t>
            </w:r>
            <w:r w:rsidRPr="006B6651">
              <w:rPr>
                <w:w w:val="110"/>
                <w:sz w:val="20"/>
                <w:lang w:val="ru-RU"/>
              </w:rPr>
              <w:t xml:space="preserve"> </w:t>
            </w:r>
            <w:proofErr w:type="spellStart"/>
            <w:r w:rsidRPr="006B6651">
              <w:rPr>
                <w:w w:val="110"/>
                <w:sz w:val="20"/>
                <w:lang w:val="ru-RU"/>
              </w:rPr>
              <w:t>екстракці</w:t>
            </w:r>
            <w:proofErr w:type="spellEnd"/>
            <w:r>
              <w:rPr>
                <w:w w:val="110"/>
                <w:sz w:val="20"/>
                <w:lang w:val="uk-UA"/>
              </w:rPr>
              <w:t>я</w:t>
            </w:r>
            <w:r w:rsidRPr="006B6651">
              <w:rPr>
                <w:w w:val="110"/>
                <w:sz w:val="20"/>
                <w:lang w:val="ru-RU"/>
              </w:rPr>
              <w:t xml:space="preserve"> </w:t>
            </w:r>
            <w:r w:rsidRPr="00A816CE">
              <w:rPr>
                <w:w w:val="110"/>
                <w:sz w:val="20"/>
                <w:lang w:val="uk-UA"/>
              </w:rPr>
              <w:t>ДНК</w:t>
            </w:r>
          </w:p>
          <w:p w14:paraId="104C888F" w14:textId="77777777" w:rsidR="00DE2E3D" w:rsidRPr="006B6651" w:rsidRDefault="00DE2E3D" w:rsidP="00EA1572">
            <w:pPr>
              <w:pStyle w:val="TableParagraph"/>
              <w:spacing w:before="78" w:line="232" w:lineRule="auto"/>
              <w:ind w:left="122" w:right="118"/>
              <w:rPr>
                <w:sz w:val="20"/>
                <w:lang w:val="ru-RU"/>
              </w:rPr>
            </w:pPr>
            <w:proofErr w:type="spellStart"/>
            <w:r w:rsidRPr="006B6651">
              <w:rPr>
                <w:w w:val="110"/>
                <w:sz w:val="20"/>
                <w:lang w:val="ru-RU"/>
              </w:rPr>
              <w:t>Ручн</w:t>
            </w:r>
            <w:proofErr w:type="spellEnd"/>
            <w:r>
              <w:rPr>
                <w:w w:val="110"/>
                <w:sz w:val="20"/>
                <w:lang w:val="uk-UA"/>
              </w:rPr>
              <w:t>а</w:t>
            </w:r>
            <w:r w:rsidRPr="006B6651">
              <w:rPr>
                <w:w w:val="110"/>
                <w:sz w:val="20"/>
                <w:lang w:val="ru-RU"/>
              </w:rPr>
              <w:t xml:space="preserve"> або </w:t>
            </w:r>
            <w:proofErr w:type="spellStart"/>
            <w:r w:rsidRPr="006B6651">
              <w:rPr>
                <w:w w:val="110"/>
                <w:sz w:val="20"/>
                <w:lang w:val="ru-RU"/>
              </w:rPr>
              <w:t>автоматизован</w:t>
            </w:r>
            <w:proofErr w:type="spellEnd"/>
            <w:r>
              <w:rPr>
                <w:w w:val="110"/>
                <w:sz w:val="20"/>
                <w:lang w:val="uk-UA"/>
              </w:rPr>
              <w:t>а</w:t>
            </w:r>
            <w:r w:rsidRPr="006B6651">
              <w:rPr>
                <w:w w:val="110"/>
                <w:sz w:val="20"/>
                <w:lang w:val="ru-RU"/>
              </w:rPr>
              <w:t xml:space="preserve"> ПЛР в реальному </w:t>
            </w:r>
            <w:proofErr w:type="spellStart"/>
            <w:r w:rsidRPr="006B6651">
              <w:rPr>
                <w:w w:val="110"/>
                <w:sz w:val="20"/>
                <w:lang w:val="ru-RU"/>
              </w:rPr>
              <w:t>часі</w:t>
            </w:r>
            <w:proofErr w:type="spellEnd"/>
          </w:p>
          <w:p w14:paraId="631F7DF6" w14:textId="77777777" w:rsidR="00DE2E3D" w:rsidRPr="006B6651" w:rsidRDefault="00DE2E3D" w:rsidP="00EA1572">
            <w:pPr>
              <w:pStyle w:val="TableParagraph"/>
              <w:spacing w:before="78" w:line="232" w:lineRule="auto"/>
              <w:ind w:left="122" w:right="118"/>
              <w:rPr>
                <w:sz w:val="20"/>
                <w:lang w:val="ru-RU"/>
              </w:rPr>
            </w:pPr>
            <w:proofErr w:type="spellStart"/>
            <w:r w:rsidRPr="006B6651">
              <w:rPr>
                <w:sz w:val="20"/>
                <w:lang w:val="ru-RU"/>
              </w:rPr>
              <w:t>Зворотн</w:t>
            </w:r>
            <w:proofErr w:type="spellEnd"/>
            <w:r>
              <w:rPr>
                <w:sz w:val="20"/>
                <w:lang w:val="uk-UA"/>
              </w:rPr>
              <w:t>а</w:t>
            </w:r>
            <w:r w:rsidRPr="006B6651">
              <w:rPr>
                <w:sz w:val="20"/>
                <w:lang w:val="ru-RU"/>
              </w:rPr>
              <w:t xml:space="preserve"> </w:t>
            </w:r>
            <w:proofErr w:type="spellStart"/>
            <w:r w:rsidRPr="006B6651">
              <w:rPr>
                <w:sz w:val="20"/>
                <w:lang w:val="ru-RU"/>
              </w:rPr>
              <w:t>гібридизаці</w:t>
            </w:r>
            <w:proofErr w:type="spellEnd"/>
            <w:r>
              <w:rPr>
                <w:sz w:val="20"/>
                <w:lang w:val="uk-UA"/>
              </w:rPr>
              <w:t>я</w:t>
            </w:r>
            <w:r w:rsidRPr="006B6651">
              <w:rPr>
                <w:sz w:val="20"/>
                <w:lang w:val="ru-RU"/>
              </w:rPr>
              <w:t xml:space="preserve">, </w:t>
            </w:r>
            <w:proofErr w:type="spellStart"/>
            <w:r w:rsidRPr="006B6651">
              <w:rPr>
                <w:sz w:val="20"/>
                <w:lang w:val="ru-RU"/>
              </w:rPr>
              <w:t>що</w:t>
            </w:r>
            <w:proofErr w:type="spellEnd"/>
            <w:r w:rsidRPr="006B6651">
              <w:rPr>
                <w:sz w:val="20"/>
                <w:lang w:val="ru-RU"/>
              </w:rPr>
              <w:t xml:space="preserve"> </w:t>
            </w:r>
            <w:proofErr w:type="spellStart"/>
            <w:r w:rsidRPr="006B6651">
              <w:rPr>
                <w:sz w:val="20"/>
                <w:lang w:val="ru-RU"/>
              </w:rPr>
              <w:t>виконується</w:t>
            </w:r>
            <w:proofErr w:type="spellEnd"/>
            <w:r w:rsidRPr="006B6651">
              <w:rPr>
                <w:sz w:val="20"/>
                <w:lang w:val="ru-RU"/>
              </w:rPr>
              <w:t xml:space="preserve"> за </w:t>
            </w:r>
            <w:proofErr w:type="spellStart"/>
            <w:r w:rsidRPr="006B6651">
              <w:rPr>
                <w:sz w:val="20"/>
                <w:lang w:val="ru-RU"/>
              </w:rPr>
              <w:t>допомогою</w:t>
            </w:r>
            <w:proofErr w:type="spellEnd"/>
            <w:r w:rsidRPr="006B6651">
              <w:rPr>
                <w:sz w:val="20"/>
                <w:lang w:val="ru-RU"/>
              </w:rPr>
              <w:t xml:space="preserve"> </w:t>
            </w:r>
            <w:proofErr w:type="spellStart"/>
            <w:r w:rsidRPr="006B6651">
              <w:rPr>
                <w:sz w:val="20"/>
                <w:lang w:val="ru-RU"/>
              </w:rPr>
              <w:t>спеціального</w:t>
            </w:r>
            <w:proofErr w:type="spellEnd"/>
            <w:r w:rsidRPr="006B6651">
              <w:rPr>
                <w:sz w:val="20"/>
                <w:lang w:val="ru-RU"/>
              </w:rPr>
              <w:t xml:space="preserve"> </w:t>
            </w:r>
            <w:proofErr w:type="spellStart"/>
            <w:r w:rsidRPr="006B6651">
              <w:rPr>
                <w:sz w:val="20"/>
                <w:lang w:val="ru-RU"/>
              </w:rPr>
              <w:t>обладнання</w:t>
            </w:r>
            <w:proofErr w:type="spellEnd"/>
            <w:r w:rsidRPr="006B6651">
              <w:rPr>
                <w:sz w:val="20"/>
                <w:lang w:val="ru-RU"/>
              </w:rPr>
              <w:t xml:space="preserve"> </w:t>
            </w:r>
          </w:p>
          <w:p w14:paraId="4A30200E" w14:textId="77777777" w:rsidR="00DE2E3D" w:rsidRPr="006B6651" w:rsidRDefault="00DE2E3D" w:rsidP="00EA1572">
            <w:pPr>
              <w:pStyle w:val="TableParagraph"/>
              <w:spacing w:before="6" w:line="340" w:lineRule="atLeast"/>
              <w:ind w:left="122" w:right="2473"/>
              <w:rPr>
                <w:sz w:val="20"/>
                <w:lang w:val="ru-RU"/>
              </w:rPr>
            </w:pPr>
          </w:p>
        </w:tc>
      </w:tr>
      <w:tr w:rsidR="00DE2E3D" w:rsidRPr="00A816CE" w14:paraId="1A723E3B" w14:textId="77777777" w:rsidTr="00EA1572">
        <w:trPr>
          <w:trHeight w:val="647"/>
        </w:trPr>
        <w:tc>
          <w:tcPr>
            <w:tcW w:w="2835" w:type="dxa"/>
            <w:gridSpan w:val="2"/>
            <w:tcBorders>
              <w:top w:val="single" w:sz="6" w:space="0" w:color="019648"/>
              <w:bottom w:val="single" w:sz="6" w:space="0" w:color="019648"/>
            </w:tcBorders>
          </w:tcPr>
          <w:p w14:paraId="516323B4" w14:textId="77777777" w:rsidR="00DE2E3D" w:rsidRPr="00A816CE" w:rsidRDefault="00DE2E3D" w:rsidP="00EA1572">
            <w:pPr>
              <w:pStyle w:val="TableParagraph"/>
              <w:spacing w:before="78" w:line="232" w:lineRule="auto"/>
              <w:ind w:left="132"/>
              <w:rPr>
                <w:b/>
                <w:sz w:val="20"/>
              </w:rPr>
            </w:pPr>
            <w:proofErr w:type="spellStart"/>
            <w:r w:rsidRPr="00A816CE">
              <w:rPr>
                <w:b/>
                <w:w w:val="115"/>
                <w:sz w:val="20"/>
              </w:rPr>
              <w:t>Спосіб</w:t>
            </w:r>
            <w:proofErr w:type="spellEnd"/>
            <w:r w:rsidRPr="00A816CE">
              <w:rPr>
                <w:b/>
                <w:w w:val="115"/>
                <w:sz w:val="20"/>
              </w:rPr>
              <w:t xml:space="preserve"> </w:t>
            </w:r>
            <w:proofErr w:type="spellStart"/>
            <w:r w:rsidRPr="00A816CE">
              <w:rPr>
                <w:b/>
                <w:w w:val="115"/>
                <w:sz w:val="20"/>
              </w:rPr>
              <w:t>отримання</w:t>
            </w:r>
            <w:proofErr w:type="spellEnd"/>
            <w:r w:rsidRPr="00A816CE">
              <w:rPr>
                <w:b/>
                <w:w w:val="115"/>
                <w:sz w:val="20"/>
              </w:rPr>
              <w:t xml:space="preserve"> </w:t>
            </w:r>
            <w:proofErr w:type="spellStart"/>
            <w:r w:rsidRPr="00A816CE">
              <w:rPr>
                <w:b/>
                <w:w w:val="115"/>
                <w:sz w:val="20"/>
              </w:rPr>
              <w:t>результату</w:t>
            </w:r>
            <w:proofErr w:type="spellEnd"/>
          </w:p>
        </w:tc>
        <w:tc>
          <w:tcPr>
            <w:tcW w:w="6237" w:type="dxa"/>
            <w:tcBorders>
              <w:top w:val="single" w:sz="6" w:space="0" w:color="019648"/>
              <w:bottom w:val="single" w:sz="6" w:space="0" w:color="019648"/>
            </w:tcBorders>
          </w:tcPr>
          <w:p w14:paraId="635DA43A" w14:textId="77777777" w:rsidR="00DE2E3D" w:rsidRPr="00A816CE" w:rsidRDefault="00DE2E3D" w:rsidP="00EA1572">
            <w:pPr>
              <w:pStyle w:val="TableParagraph"/>
              <w:ind w:left="122"/>
              <w:rPr>
                <w:sz w:val="20"/>
              </w:rPr>
            </w:pPr>
            <w:proofErr w:type="spellStart"/>
            <w:r w:rsidRPr="00A816CE">
              <w:rPr>
                <w:w w:val="110"/>
                <w:sz w:val="20"/>
              </w:rPr>
              <w:t>Ручний</w:t>
            </w:r>
            <w:proofErr w:type="spellEnd"/>
          </w:p>
        </w:tc>
      </w:tr>
      <w:tr w:rsidR="00DE2E3D" w:rsidRPr="00A816CE" w14:paraId="4B33D2E8" w14:textId="77777777" w:rsidTr="00EA1572">
        <w:trPr>
          <w:trHeight w:val="647"/>
        </w:trPr>
        <w:tc>
          <w:tcPr>
            <w:tcW w:w="2835" w:type="dxa"/>
            <w:gridSpan w:val="2"/>
            <w:tcBorders>
              <w:top w:val="single" w:sz="6" w:space="0" w:color="019648"/>
              <w:bottom w:val="single" w:sz="6" w:space="0" w:color="019648"/>
            </w:tcBorders>
          </w:tcPr>
          <w:p w14:paraId="2BCA2C42" w14:textId="77777777" w:rsidR="00DE2E3D" w:rsidRPr="00A816CE" w:rsidRDefault="00DE2E3D" w:rsidP="00EA1572">
            <w:pPr>
              <w:pStyle w:val="TableParagraph"/>
              <w:ind w:left="132"/>
              <w:rPr>
                <w:b/>
                <w:sz w:val="20"/>
              </w:rPr>
            </w:pPr>
            <w:proofErr w:type="spellStart"/>
            <w:r w:rsidRPr="00A816CE">
              <w:rPr>
                <w:b/>
                <w:w w:val="115"/>
                <w:sz w:val="20"/>
              </w:rPr>
              <w:t>Умови</w:t>
            </w:r>
            <w:proofErr w:type="spellEnd"/>
            <w:r w:rsidRPr="00A816CE">
              <w:rPr>
                <w:b/>
                <w:w w:val="115"/>
                <w:sz w:val="20"/>
              </w:rPr>
              <w:t xml:space="preserve"> використання</w:t>
            </w:r>
          </w:p>
        </w:tc>
        <w:tc>
          <w:tcPr>
            <w:tcW w:w="6237" w:type="dxa"/>
            <w:tcBorders>
              <w:top w:val="single" w:sz="6" w:space="0" w:color="019648"/>
              <w:bottom w:val="single" w:sz="6" w:space="0" w:color="019648"/>
            </w:tcBorders>
          </w:tcPr>
          <w:p w14:paraId="0610BD1E" w14:textId="77777777" w:rsidR="00DE2E3D" w:rsidRPr="00A816CE" w:rsidRDefault="00DE2E3D" w:rsidP="00EA1572">
            <w:pPr>
              <w:pStyle w:val="TableParagraph"/>
              <w:spacing w:before="78" w:line="232" w:lineRule="auto"/>
              <w:ind w:left="122" w:right="101"/>
              <w:rPr>
                <w:sz w:val="20"/>
              </w:rPr>
            </w:pPr>
            <w:proofErr w:type="spellStart"/>
            <w:r w:rsidRPr="00A816CE">
              <w:rPr>
                <w:w w:val="110"/>
                <w:sz w:val="20"/>
              </w:rPr>
              <w:t>Молекулярн</w:t>
            </w:r>
            <w:proofErr w:type="spellEnd"/>
            <w:r w:rsidRPr="00A816CE">
              <w:rPr>
                <w:w w:val="110"/>
                <w:sz w:val="20"/>
                <w:lang w:val="uk-UA"/>
              </w:rPr>
              <w:t>а</w:t>
            </w:r>
            <w:r w:rsidRPr="00A816CE">
              <w:rPr>
                <w:w w:val="110"/>
                <w:sz w:val="20"/>
              </w:rPr>
              <w:t xml:space="preserve"> </w:t>
            </w:r>
            <w:proofErr w:type="spellStart"/>
            <w:r w:rsidRPr="00A816CE">
              <w:rPr>
                <w:w w:val="110"/>
                <w:sz w:val="20"/>
              </w:rPr>
              <w:t>лабораторія</w:t>
            </w:r>
            <w:proofErr w:type="spellEnd"/>
            <w:r w:rsidRPr="00A816CE">
              <w:rPr>
                <w:w w:val="110"/>
                <w:sz w:val="20"/>
              </w:rPr>
              <w:t xml:space="preserve"> (</w:t>
            </w:r>
            <w:proofErr w:type="spellStart"/>
            <w:r w:rsidRPr="00A816CE">
              <w:rPr>
                <w:w w:val="110"/>
                <w:sz w:val="20"/>
              </w:rPr>
              <w:t>потребує</w:t>
            </w:r>
            <w:proofErr w:type="spellEnd"/>
            <w:r w:rsidRPr="00A816CE">
              <w:rPr>
                <w:w w:val="110"/>
                <w:sz w:val="20"/>
              </w:rPr>
              <w:t xml:space="preserve"> </w:t>
            </w:r>
            <w:proofErr w:type="spellStart"/>
            <w:r w:rsidRPr="00A816CE">
              <w:rPr>
                <w:w w:val="110"/>
                <w:sz w:val="20"/>
              </w:rPr>
              <w:t>спеціальної</w:t>
            </w:r>
            <w:proofErr w:type="spellEnd"/>
            <w:r w:rsidRPr="00A816CE">
              <w:rPr>
                <w:w w:val="110"/>
                <w:sz w:val="20"/>
              </w:rPr>
              <w:t xml:space="preserve"> </w:t>
            </w:r>
            <w:proofErr w:type="spellStart"/>
            <w:r w:rsidRPr="00A816CE">
              <w:rPr>
                <w:w w:val="110"/>
                <w:sz w:val="20"/>
              </w:rPr>
              <w:t>інфраструктури</w:t>
            </w:r>
            <w:proofErr w:type="spellEnd"/>
            <w:r w:rsidRPr="00A816CE">
              <w:rPr>
                <w:w w:val="110"/>
                <w:sz w:val="20"/>
              </w:rPr>
              <w:t xml:space="preserve"> та </w:t>
            </w:r>
            <w:proofErr w:type="spellStart"/>
            <w:r w:rsidRPr="00A816CE">
              <w:rPr>
                <w:w w:val="110"/>
                <w:sz w:val="20"/>
              </w:rPr>
              <w:t>наявності</w:t>
            </w:r>
            <w:proofErr w:type="spellEnd"/>
            <w:r w:rsidRPr="00A816CE">
              <w:rPr>
                <w:w w:val="110"/>
                <w:sz w:val="20"/>
              </w:rPr>
              <w:t xml:space="preserve"> </w:t>
            </w:r>
            <w:proofErr w:type="spellStart"/>
            <w:r w:rsidRPr="00A816CE">
              <w:rPr>
                <w:w w:val="110"/>
                <w:sz w:val="20"/>
              </w:rPr>
              <w:t>окремих</w:t>
            </w:r>
            <w:proofErr w:type="spellEnd"/>
            <w:r w:rsidRPr="00A816CE">
              <w:rPr>
                <w:w w:val="110"/>
                <w:sz w:val="20"/>
              </w:rPr>
              <w:t xml:space="preserve"> </w:t>
            </w:r>
            <w:proofErr w:type="spellStart"/>
            <w:r w:rsidRPr="00A816CE">
              <w:rPr>
                <w:w w:val="110"/>
                <w:sz w:val="20"/>
              </w:rPr>
              <w:t>чітко</w:t>
            </w:r>
            <w:proofErr w:type="spellEnd"/>
            <w:r w:rsidRPr="00A816CE">
              <w:rPr>
                <w:w w:val="110"/>
                <w:sz w:val="20"/>
              </w:rPr>
              <w:t xml:space="preserve"> </w:t>
            </w:r>
            <w:proofErr w:type="spellStart"/>
            <w:r w:rsidRPr="00A816CE">
              <w:rPr>
                <w:w w:val="110"/>
                <w:sz w:val="20"/>
              </w:rPr>
              <w:t>розділених</w:t>
            </w:r>
            <w:proofErr w:type="spellEnd"/>
            <w:r w:rsidRPr="00A816CE">
              <w:rPr>
                <w:w w:val="110"/>
                <w:sz w:val="20"/>
              </w:rPr>
              <w:t xml:space="preserve"> </w:t>
            </w:r>
            <w:proofErr w:type="spellStart"/>
            <w:r w:rsidRPr="00A816CE">
              <w:rPr>
                <w:w w:val="110"/>
                <w:sz w:val="20"/>
              </w:rPr>
              <w:t>робочих</w:t>
            </w:r>
            <w:proofErr w:type="spellEnd"/>
            <w:r w:rsidRPr="00A816CE">
              <w:rPr>
                <w:w w:val="110"/>
                <w:sz w:val="20"/>
              </w:rPr>
              <w:t xml:space="preserve"> </w:t>
            </w:r>
            <w:proofErr w:type="spellStart"/>
            <w:r w:rsidRPr="00A816CE">
              <w:rPr>
                <w:w w:val="110"/>
                <w:sz w:val="20"/>
              </w:rPr>
              <w:t>зон</w:t>
            </w:r>
            <w:proofErr w:type="spellEnd"/>
            <w:r w:rsidRPr="00A816CE">
              <w:rPr>
                <w:w w:val="110"/>
                <w:sz w:val="20"/>
              </w:rPr>
              <w:t xml:space="preserve"> </w:t>
            </w:r>
            <w:proofErr w:type="spellStart"/>
            <w:r w:rsidRPr="00A816CE">
              <w:rPr>
                <w:w w:val="110"/>
                <w:sz w:val="20"/>
              </w:rPr>
              <w:t>для</w:t>
            </w:r>
            <w:proofErr w:type="spellEnd"/>
            <w:r w:rsidRPr="00A816CE">
              <w:rPr>
                <w:w w:val="110"/>
                <w:sz w:val="20"/>
              </w:rPr>
              <w:t xml:space="preserve"> </w:t>
            </w:r>
            <w:proofErr w:type="spellStart"/>
            <w:r w:rsidRPr="00A816CE">
              <w:rPr>
                <w:w w:val="110"/>
                <w:sz w:val="20"/>
              </w:rPr>
              <w:t>різних</w:t>
            </w:r>
            <w:proofErr w:type="spellEnd"/>
            <w:r w:rsidRPr="00A816CE">
              <w:rPr>
                <w:w w:val="110"/>
                <w:sz w:val="20"/>
              </w:rPr>
              <w:t xml:space="preserve"> </w:t>
            </w:r>
            <w:proofErr w:type="spellStart"/>
            <w:r w:rsidRPr="00A816CE">
              <w:rPr>
                <w:w w:val="110"/>
                <w:sz w:val="20"/>
              </w:rPr>
              <w:t>етапів</w:t>
            </w:r>
            <w:proofErr w:type="spellEnd"/>
            <w:r w:rsidRPr="00A816CE">
              <w:rPr>
                <w:w w:val="110"/>
                <w:sz w:val="20"/>
              </w:rPr>
              <w:t xml:space="preserve"> </w:t>
            </w:r>
            <w:proofErr w:type="spellStart"/>
            <w:r w:rsidRPr="00A816CE">
              <w:rPr>
                <w:w w:val="110"/>
                <w:sz w:val="20"/>
              </w:rPr>
              <w:t>процедури</w:t>
            </w:r>
            <w:proofErr w:type="spellEnd"/>
            <w:r w:rsidRPr="00A816CE">
              <w:rPr>
                <w:w w:val="110"/>
                <w:sz w:val="20"/>
              </w:rPr>
              <w:t xml:space="preserve"> </w:t>
            </w:r>
            <w:proofErr w:type="spellStart"/>
            <w:r w:rsidRPr="00A816CE">
              <w:rPr>
                <w:w w:val="110"/>
                <w:sz w:val="20"/>
              </w:rPr>
              <w:t>тестування</w:t>
            </w:r>
            <w:proofErr w:type="spellEnd"/>
            <w:r w:rsidRPr="00A816CE">
              <w:rPr>
                <w:w w:val="110"/>
                <w:sz w:val="20"/>
              </w:rPr>
              <w:t>,).</w:t>
            </w:r>
          </w:p>
        </w:tc>
      </w:tr>
    </w:tbl>
    <w:p w14:paraId="1E2EF22A" w14:textId="551570EA" w:rsidR="00DE2E3D" w:rsidRPr="00A816CE" w:rsidRDefault="00770751" w:rsidP="00DE2E3D">
      <w:pPr>
        <w:spacing w:line="232" w:lineRule="auto"/>
        <w:sectPr w:rsidR="00DE2E3D" w:rsidRPr="00A816CE" w:rsidSect="00770751">
          <w:footerReference w:type="even" r:id="rId107"/>
          <w:footerReference w:type="default" r:id="rId108"/>
          <w:pgSz w:w="11910" w:h="16840"/>
          <w:pgMar w:top="567" w:right="249" w:bottom="782" w:left="238" w:header="0" w:footer="595" w:gutter="0"/>
          <w:cols w:space="720"/>
        </w:sectPr>
      </w:pPr>
      <w:r>
        <w:rPr>
          <w:noProof/>
        </w:rPr>
        <mc:AlternateContent>
          <mc:Choice Requires="wps">
            <w:drawing>
              <wp:anchor distT="0" distB="0" distL="114300" distR="114300" simplePos="0" relativeHeight="488208896" behindDoc="0" locked="0" layoutInCell="1" allowOverlap="1" wp14:anchorId="3299B286" wp14:editId="30D09CA7">
                <wp:simplePos x="0" y="0"/>
                <wp:positionH relativeFrom="column">
                  <wp:posOffset>6438900</wp:posOffset>
                </wp:positionH>
                <wp:positionV relativeFrom="paragraph">
                  <wp:posOffset>1136015</wp:posOffset>
                </wp:positionV>
                <wp:extent cx="463550" cy="254000"/>
                <wp:effectExtent l="0" t="0" r="0" b="0"/>
                <wp:wrapNone/>
                <wp:docPr id="254593661" name="Поле 1941"/>
                <wp:cNvGraphicFramePr/>
                <a:graphic xmlns:a="http://schemas.openxmlformats.org/drawingml/2006/main">
                  <a:graphicData uri="http://schemas.microsoft.com/office/word/2010/wordprocessingShape">
                    <wps:wsp>
                      <wps:cNvSpPr txBox="1"/>
                      <wps:spPr>
                        <a:xfrm>
                          <a:off x="0" y="0"/>
                          <a:ext cx="463550" cy="254000"/>
                        </a:xfrm>
                        <a:prstGeom prst="rect">
                          <a:avLst/>
                        </a:prstGeom>
                        <a:solidFill>
                          <a:schemeClr val="lt1"/>
                        </a:solidFill>
                        <a:ln w="6350">
                          <a:noFill/>
                        </a:ln>
                      </wps:spPr>
                      <wps:txbx>
                        <w:txbxContent>
                          <w:p w14:paraId="7FA4170E" w14:textId="4E1684A4" w:rsidR="00770751" w:rsidRPr="00770751" w:rsidRDefault="00770751" w:rsidP="00770751">
                            <w:pPr>
                              <w:rPr>
                                <w:color w:val="388600"/>
                                <w:sz w:val="20"/>
                                <w:szCs w:val="20"/>
                                <w:lang w:val="uk-UA"/>
                              </w:rPr>
                            </w:pPr>
                            <w:r w:rsidRPr="00770751">
                              <w:rPr>
                                <w:color w:val="388600"/>
                                <w:sz w:val="20"/>
                                <w:szCs w:val="20"/>
                                <w:lang w:val="uk-UA"/>
                              </w:rPr>
                              <w:t>8</w:t>
                            </w:r>
                            <w:r>
                              <w:rPr>
                                <w:color w:val="388600"/>
                                <w:sz w:val="20"/>
                                <w:szCs w:val="20"/>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9B286" id="Поле 1941" o:spid="_x0000_s1147" type="#_x0000_t202" style="position:absolute;margin-left:507pt;margin-top:89.45pt;width:36.5pt;height:20pt;z-index:4882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" fillcolor="white [3201]" stroked="f" strokeweight=".5pt">
                <v:textbox>
                  <w:txbxContent>
                    <w:p w14:paraId="7FA4170E" w14:textId="4E1684A4" w:rsidR="00770751" w:rsidRPr="00770751" w:rsidRDefault="00770751" w:rsidP="00770751">
                      <w:pPr>
                        <w:rPr>
                          <w:color w:val="388600"/>
                          <w:sz w:val="20"/>
                          <w:szCs w:val="20"/>
                          <w:lang w:val="uk-UA"/>
                        </w:rPr>
                      </w:pPr>
                      <w:r w:rsidRPr="00770751">
                        <w:rPr>
                          <w:color w:val="388600"/>
                          <w:sz w:val="20"/>
                          <w:szCs w:val="20"/>
                          <w:lang w:val="uk-UA"/>
                        </w:rPr>
                        <w:t>8</w:t>
                      </w:r>
                      <w:r>
                        <w:rPr>
                          <w:color w:val="388600"/>
                          <w:sz w:val="20"/>
                          <w:szCs w:val="20"/>
                          <w:lang w:val="uk-UA"/>
                        </w:rPr>
                        <w:t>3</w:t>
                      </w:r>
                    </w:p>
                  </w:txbxContent>
                </v:textbox>
              </v:shape>
            </w:pict>
          </mc:Fallback>
        </mc:AlternateContent>
      </w:r>
    </w:p>
    <w:p w14:paraId="0A0CED9C" w14:textId="77777777" w:rsidR="00DE2E3D" w:rsidRPr="004E5768" w:rsidRDefault="00DE2E3D" w:rsidP="00DE2E3D">
      <w:pPr>
        <w:spacing w:before="62"/>
        <w:ind w:left="1417"/>
        <w:rPr>
          <w:sz w:val="24"/>
        </w:rPr>
      </w:pPr>
      <w:proofErr w:type="spellStart"/>
      <w:r w:rsidRPr="004E5768">
        <w:rPr>
          <w:bCs/>
          <w:color w:val="019648"/>
          <w:sz w:val="24"/>
        </w:rPr>
        <w:lastRenderedPageBreak/>
        <w:t>Рекомендація</w:t>
      </w:r>
      <w:proofErr w:type="spellEnd"/>
    </w:p>
    <w:p w14:paraId="2D041D90" w14:textId="77777777" w:rsidR="00DE2E3D" w:rsidRPr="00A816CE" w:rsidRDefault="00DE2E3D" w:rsidP="00DE2E3D">
      <w:pPr>
        <w:pStyle w:val="a3"/>
        <w:spacing w:before="4"/>
        <w:rPr>
          <w:sz w:val="15"/>
        </w:rPr>
      </w:pPr>
    </w:p>
    <w:tbl>
      <w:tblPr>
        <w:tblStyle w:val="TableNormal"/>
        <w:tblW w:w="0" w:type="auto"/>
        <w:tblInd w:w="143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215"/>
      </w:tblGrid>
      <w:tr w:rsidR="00DE2E3D" w:rsidRPr="00D029FF" w14:paraId="73F877F8" w14:textId="77777777" w:rsidTr="00EA1572">
        <w:trPr>
          <w:trHeight w:val="1749"/>
        </w:trPr>
        <w:tc>
          <w:tcPr>
            <w:tcW w:w="9215" w:type="dxa"/>
          </w:tcPr>
          <w:p w14:paraId="11EEF761" w14:textId="77777777" w:rsidR="00DE2E3D" w:rsidRPr="00A816CE" w:rsidRDefault="00DE2E3D" w:rsidP="00EA1572">
            <w:pPr>
              <w:pStyle w:val="TableParagraph"/>
              <w:spacing w:before="9"/>
              <w:ind w:left="0"/>
              <w:rPr>
                <w:sz w:val="20"/>
                <w:szCs w:val="20"/>
              </w:rPr>
            </w:pPr>
          </w:p>
          <w:p w14:paraId="17950474" w14:textId="77777777" w:rsidR="00DE2E3D" w:rsidRPr="00A816CE" w:rsidRDefault="00DE2E3D" w:rsidP="00EA1572">
            <w:pPr>
              <w:pStyle w:val="TableParagraph"/>
              <w:spacing w:before="0" w:line="276" w:lineRule="auto"/>
              <w:ind w:left="680" w:right="262" w:hanging="397"/>
              <w:jc w:val="both"/>
              <w:rPr>
                <w:i/>
                <w:spacing w:val="-4"/>
                <w:w w:val="105"/>
                <w:sz w:val="20"/>
                <w:szCs w:val="20"/>
              </w:rPr>
            </w:pPr>
            <w:r w:rsidRPr="00A816CE">
              <w:rPr>
                <w:b/>
                <w:w w:val="115"/>
                <w:sz w:val="20"/>
                <w:szCs w:val="20"/>
              </w:rPr>
              <w:t xml:space="preserve">13. </w:t>
            </w:r>
            <w:r w:rsidRPr="00A816CE">
              <w:rPr>
                <w:b/>
                <w:sz w:val="20"/>
                <w:szCs w:val="20"/>
                <w:lang w:val="uk-UA"/>
              </w:rPr>
              <w:t>Для осіб зі зразком мокротиння</w:t>
            </w:r>
            <w:r>
              <w:rPr>
                <w:b/>
                <w:sz w:val="20"/>
                <w:szCs w:val="20"/>
                <w:lang w:val="uk-UA"/>
              </w:rPr>
              <w:t xml:space="preserve"> з</w:t>
            </w:r>
            <w:r w:rsidRPr="00A816CE">
              <w:rPr>
                <w:b/>
                <w:sz w:val="20"/>
                <w:szCs w:val="20"/>
                <w:lang w:val="uk-UA"/>
              </w:rPr>
              <w:t xml:space="preserve"> позитивним </w:t>
            </w:r>
            <w:proofErr w:type="spellStart"/>
            <w:r>
              <w:rPr>
                <w:b/>
                <w:sz w:val="20"/>
                <w:szCs w:val="20"/>
                <w:lang w:val="uk-UA"/>
              </w:rPr>
              <w:t>разультатом</w:t>
            </w:r>
            <w:proofErr w:type="spellEnd"/>
            <w:r>
              <w:rPr>
                <w:b/>
                <w:sz w:val="20"/>
                <w:szCs w:val="20"/>
                <w:lang w:val="uk-UA"/>
              </w:rPr>
              <w:t xml:space="preserve"> мазка</w:t>
            </w:r>
            <w:r w:rsidRPr="00A816CE">
              <w:rPr>
                <w:b/>
                <w:sz w:val="20"/>
                <w:szCs w:val="20"/>
                <w:lang w:val="uk-UA"/>
              </w:rPr>
              <w:t xml:space="preserve">, або з культуральним ізолятом МБТК, </w:t>
            </w:r>
            <w:r>
              <w:rPr>
                <w:b/>
                <w:sz w:val="20"/>
                <w:szCs w:val="20"/>
                <w:lang w:val="uk-UA"/>
              </w:rPr>
              <w:t xml:space="preserve">доступні на ринку </w:t>
            </w:r>
            <w:r w:rsidRPr="00A816CE">
              <w:rPr>
                <w:b/>
                <w:sz w:val="20"/>
                <w:szCs w:val="20"/>
                <w:lang w:val="uk-UA"/>
              </w:rPr>
              <w:t xml:space="preserve">молекулярні </w:t>
            </w:r>
            <w:r w:rsidRPr="00A816CE">
              <w:rPr>
                <w:b/>
                <w:sz w:val="20"/>
                <w:szCs w:val="20"/>
              </w:rPr>
              <w:t>LPA</w:t>
            </w:r>
            <w:r>
              <w:rPr>
                <w:b/>
                <w:sz w:val="20"/>
                <w:szCs w:val="20"/>
                <w:lang w:val="uk-UA"/>
              </w:rPr>
              <w:t xml:space="preserve"> </w:t>
            </w:r>
            <w:r w:rsidRPr="00A816CE">
              <w:rPr>
                <w:b/>
                <w:sz w:val="20"/>
                <w:szCs w:val="20"/>
                <w:lang w:val="uk-UA"/>
              </w:rPr>
              <w:t xml:space="preserve">можуть використовуватися як </w:t>
            </w:r>
            <w:r>
              <w:rPr>
                <w:b/>
                <w:sz w:val="20"/>
                <w:szCs w:val="20"/>
                <w:lang w:val="uk-UA"/>
              </w:rPr>
              <w:t>первинний</w:t>
            </w:r>
            <w:r w:rsidRPr="00A816CE">
              <w:rPr>
                <w:b/>
                <w:sz w:val="20"/>
                <w:szCs w:val="20"/>
                <w:lang w:val="uk-UA"/>
              </w:rPr>
              <w:t xml:space="preserve"> тест замість </w:t>
            </w:r>
            <w:proofErr w:type="spellStart"/>
            <w:r w:rsidRPr="00A816CE">
              <w:rPr>
                <w:b/>
                <w:sz w:val="20"/>
                <w:szCs w:val="20"/>
                <w:lang w:val="uk-UA"/>
              </w:rPr>
              <w:t>фенотипового</w:t>
            </w:r>
            <w:proofErr w:type="spellEnd"/>
            <w:r w:rsidRPr="00A816CE">
              <w:rPr>
                <w:b/>
                <w:sz w:val="20"/>
                <w:szCs w:val="20"/>
                <w:lang w:val="uk-UA"/>
              </w:rPr>
              <w:t xml:space="preserve"> ТМЧ </w:t>
            </w:r>
            <w:r>
              <w:rPr>
                <w:b/>
                <w:sz w:val="20"/>
                <w:szCs w:val="20"/>
                <w:lang w:val="uk-UA"/>
              </w:rPr>
              <w:t xml:space="preserve">на основі культуральних методів </w:t>
            </w:r>
            <w:r w:rsidRPr="00A816CE">
              <w:rPr>
                <w:b/>
                <w:sz w:val="20"/>
                <w:szCs w:val="20"/>
                <w:lang w:val="uk-UA"/>
              </w:rPr>
              <w:t>для виявлення стійкості до рифампіцину та ізоніазиду.</w:t>
            </w:r>
          </w:p>
          <w:p w14:paraId="4AD8A32B" w14:textId="77777777" w:rsidR="00DE2E3D" w:rsidRPr="006B6651" w:rsidRDefault="00DE2E3D" w:rsidP="00EA1572">
            <w:pPr>
              <w:pStyle w:val="TableParagraph"/>
              <w:spacing w:before="60"/>
              <w:ind w:left="680"/>
              <w:jc w:val="both"/>
              <w:rPr>
                <w:i/>
                <w:sz w:val="20"/>
                <w:szCs w:val="20"/>
                <w:lang w:val="ru-RU"/>
              </w:rPr>
            </w:pPr>
            <w:r w:rsidRPr="00A816CE">
              <w:rPr>
                <w:i/>
                <w:sz w:val="20"/>
                <w:szCs w:val="20"/>
                <w:lang w:val="uk-UA"/>
              </w:rPr>
              <w:t xml:space="preserve">(Умовна рекомендація, </w:t>
            </w:r>
            <w:r>
              <w:rPr>
                <w:i/>
                <w:sz w:val="20"/>
                <w:szCs w:val="20"/>
                <w:lang w:val="uk-UA"/>
              </w:rPr>
              <w:t>середня</w:t>
            </w:r>
            <w:r w:rsidRPr="00A816CE">
              <w:rPr>
                <w:i/>
                <w:sz w:val="20"/>
                <w:szCs w:val="20"/>
                <w:lang w:val="uk-UA"/>
              </w:rPr>
              <w:t xml:space="preserve"> достовірність доказів щодо точності тесту)</w:t>
            </w:r>
          </w:p>
        </w:tc>
      </w:tr>
    </w:tbl>
    <w:p w14:paraId="1E1F4CA6" w14:textId="77777777" w:rsidR="00DE2E3D" w:rsidRPr="00DA5A55" w:rsidRDefault="00DE2E3D" w:rsidP="00DE2E3D">
      <w:pPr>
        <w:spacing w:before="206"/>
        <w:ind w:left="1417"/>
        <w:rPr>
          <w:b/>
          <w:sz w:val="24"/>
          <w:lang w:val="uk-UA"/>
        </w:rPr>
      </w:pPr>
      <w:proofErr w:type="spellStart"/>
      <w:r w:rsidRPr="00157BC6">
        <w:rPr>
          <w:b/>
          <w:w w:val="115"/>
          <w:sz w:val="24"/>
        </w:rPr>
        <w:t>Примітки</w:t>
      </w:r>
      <w:proofErr w:type="spellEnd"/>
    </w:p>
    <w:p w14:paraId="31CC30FB" w14:textId="77777777" w:rsidR="00DE2E3D" w:rsidRPr="00D029FF" w:rsidRDefault="00DE2E3D" w:rsidP="004A2937">
      <w:pPr>
        <w:pStyle w:val="a4"/>
        <w:numPr>
          <w:ilvl w:val="0"/>
          <w:numId w:val="40"/>
        </w:numPr>
        <w:tabs>
          <w:tab w:val="left" w:pos="1701"/>
          <w:tab w:val="left" w:pos="10348"/>
        </w:tabs>
        <w:spacing w:before="206" w:line="276" w:lineRule="auto"/>
        <w:ind w:right="650"/>
        <w:rPr>
          <w:color w:val="000000" w:themeColor="text1"/>
          <w:sz w:val="20"/>
          <w:lang w:val="uk-UA"/>
        </w:rPr>
      </w:pPr>
      <w:r w:rsidRPr="00D029FF">
        <w:rPr>
          <w:color w:val="000000" w:themeColor="text1"/>
          <w:w w:val="110"/>
          <w:sz w:val="20"/>
          <w:lang w:val="uk-UA"/>
        </w:rPr>
        <w:t xml:space="preserve">Ці рекомендації стосуються використання </w:t>
      </w:r>
      <w:r w:rsidRPr="00A816CE">
        <w:rPr>
          <w:color w:val="000000" w:themeColor="text1"/>
          <w:w w:val="110"/>
          <w:sz w:val="20"/>
        </w:rPr>
        <w:t>LPA</w:t>
      </w:r>
      <w:r w:rsidRPr="00D029FF">
        <w:rPr>
          <w:color w:val="000000" w:themeColor="text1"/>
          <w:w w:val="110"/>
          <w:sz w:val="20"/>
          <w:lang w:val="uk-UA"/>
        </w:rPr>
        <w:t xml:space="preserve"> для тестування зразків мокротиння</w:t>
      </w:r>
      <w:r>
        <w:rPr>
          <w:color w:val="000000" w:themeColor="text1"/>
          <w:w w:val="110"/>
          <w:sz w:val="20"/>
          <w:lang w:val="uk-UA"/>
        </w:rPr>
        <w:t xml:space="preserve"> з позитивним </w:t>
      </w:r>
      <w:proofErr w:type="spellStart"/>
      <w:r>
        <w:rPr>
          <w:color w:val="000000" w:themeColor="text1"/>
          <w:w w:val="110"/>
          <w:sz w:val="20"/>
          <w:lang w:val="uk-UA"/>
        </w:rPr>
        <w:t>резільтатом</w:t>
      </w:r>
      <w:proofErr w:type="spellEnd"/>
      <w:r>
        <w:rPr>
          <w:color w:val="000000" w:themeColor="text1"/>
          <w:w w:val="110"/>
          <w:sz w:val="20"/>
          <w:lang w:val="uk-UA"/>
        </w:rPr>
        <w:t xml:space="preserve"> мазка </w:t>
      </w:r>
      <w:r w:rsidRPr="00D029FF">
        <w:rPr>
          <w:color w:val="000000" w:themeColor="text1"/>
          <w:w w:val="110"/>
          <w:sz w:val="20"/>
          <w:lang w:val="uk-UA"/>
        </w:rPr>
        <w:t>(пряме тестування), та культуральних ізолятів М</w:t>
      </w:r>
      <w:r w:rsidRPr="00A816CE">
        <w:rPr>
          <w:color w:val="000000" w:themeColor="text1"/>
          <w:w w:val="110"/>
          <w:sz w:val="20"/>
          <w:lang w:val="uk-UA"/>
        </w:rPr>
        <w:t>Б</w:t>
      </w:r>
      <w:r w:rsidRPr="00D029FF">
        <w:rPr>
          <w:color w:val="000000" w:themeColor="text1"/>
          <w:w w:val="110"/>
          <w:sz w:val="20"/>
          <w:lang w:val="uk-UA"/>
        </w:rPr>
        <w:t>ТК (непряме тестування) як з легеневих, так і позалегеневих локалізацій.</w:t>
      </w:r>
    </w:p>
    <w:p w14:paraId="017FDB43" w14:textId="77777777" w:rsidR="00DE2E3D" w:rsidRPr="006B6651" w:rsidRDefault="00DE2E3D" w:rsidP="004A2937">
      <w:pPr>
        <w:pStyle w:val="a4"/>
        <w:numPr>
          <w:ilvl w:val="0"/>
          <w:numId w:val="40"/>
        </w:numPr>
        <w:tabs>
          <w:tab w:val="left" w:pos="1701"/>
          <w:tab w:val="left" w:pos="10348"/>
        </w:tabs>
        <w:spacing w:before="174"/>
        <w:ind w:left="1702" w:right="650"/>
        <w:jc w:val="left"/>
        <w:rPr>
          <w:color w:val="000000" w:themeColor="text1"/>
          <w:sz w:val="20"/>
          <w:lang w:val="ru-RU"/>
        </w:rPr>
      </w:pPr>
      <w:r w:rsidRPr="00A816CE">
        <w:rPr>
          <w:color w:val="000000" w:themeColor="text1"/>
          <w:w w:val="110"/>
          <w:sz w:val="20"/>
        </w:rPr>
        <w:t>LPA</w:t>
      </w:r>
      <w:r w:rsidRPr="006B6651">
        <w:rPr>
          <w:color w:val="000000" w:themeColor="text1"/>
          <w:w w:val="110"/>
          <w:sz w:val="20"/>
          <w:lang w:val="ru-RU"/>
        </w:rPr>
        <w:t xml:space="preserve"> не </w:t>
      </w:r>
      <w:proofErr w:type="spellStart"/>
      <w:r w:rsidRPr="006B6651">
        <w:rPr>
          <w:color w:val="000000" w:themeColor="text1"/>
          <w:w w:val="110"/>
          <w:sz w:val="20"/>
          <w:lang w:val="ru-RU"/>
        </w:rPr>
        <w:t>рекомендовані</w:t>
      </w:r>
      <w:proofErr w:type="spellEnd"/>
      <w:r w:rsidRPr="006B6651">
        <w:rPr>
          <w:color w:val="000000" w:themeColor="text1"/>
          <w:w w:val="110"/>
          <w:sz w:val="20"/>
          <w:lang w:val="ru-RU"/>
        </w:rPr>
        <w:t xml:space="preserve"> для прямого </w:t>
      </w:r>
      <w:proofErr w:type="spellStart"/>
      <w:r w:rsidRPr="006B6651">
        <w:rPr>
          <w:color w:val="000000" w:themeColor="text1"/>
          <w:w w:val="110"/>
          <w:sz w:val="20"/>
          <w:lang w:val="ru-RU"/>
        </w:rPr>
        <w:t>тестування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мокротиння</w:t>
      </w:r>
      <w:proofErr w:type="spellEnd"/>
      <w:r>
        <w:rPr>
          <w:color w:val="000000" w:themeColor="text1"/>
          <w:w w:val="110"/>
          <w:sz w:val="20"/>
          <w:lang w:val="uk-UA"/>
        </w:rPr>
        <w:t xml:space="preserve"> з негативним результатом мазка</w:t>
      </w:r>
      <w:r w:rsidRPr="006B6651">
        <w:rPr>
          <w:color w:val="000000" w:themeColor="text1"/>
          <w:w w:val="110"/>
          <w:sz w:val="20"/>
          <w:lang w:val="ru-RU"/>
        </w:rPr>
        <w:t>.</w:t>
      </w:r>
    </w:p>
    <w:p w14:paraId="210B5728" w14:textId="77777777" w:rsidR="00DE2E3D" w:rsidRPr="006B6651" w:rsidRDefault="00DE2E3D" w:rsidP="004A2937">
      <w:pPr>
        <w:pStyle w:val="a4"/>
        <w:numPr>
          <w:ilvl w:val="0"/>
          <w:numId w:val="40"/>
        </w:numPr>
        <w:tabs>
          <w:tab w:val="left" w:pos="1701"/>
          <w:tab w:val="left" w:pos="10348"/>
        </w:tabs>
        <w:spacing w:before="211" w:line="276" w:lineRule="auto"/>
        <w:ind w:right="650"/>
        <w:jc w:val="left"/>
        <w:rPr>
          <w:color w:val="000000" w:themeColor="text1"/>
          <w:sz w:val="20"/>
          <w:lang w:val="ru-RU"/>
        </w:rPr>
      </w:pPr>
      <w:proofErr w:type="spellStart"/>
      <w:r w:rsidRPr="006B6651">
        <w:rPr>
          <w:color w:val="000000" w:themeColor="text1"/>
          <w:w w:val="110"/>
          <w:sz w:val="20"/>
          <w:lang w:val="ru-RU"/>
        </w:rPr>
        <w:t>Ці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рекомендації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стосуються</w:t>
      </w:r>
      <w:proofErr w:type="spellEnd"/>
      <w:r w:rsidRPr="006B6651">
        <w:rPr>
          <w:color w:val="000000" w:themeColor="text1"/>
          <w:w w:val="110"/>
          <w:sz w:val="20"/>
          <w:lang w:val="ru-RU"/>
        </w:rPr>
        <w:t xml:space="preserve"> виявлення МБТК та </w:t>
      </w:r>
      <w:proofErr w:type="spellStart"/>
      <w:r w:rsidRPr="006B6651">
        <w:rPr>
          <w:color w:val="000000" w:themeColor="text1"/>
          <w:w w:val="110"/>
          <w:sz w:val="20"/>
          <w:lang w:val="ru-RU"/>
        </w:rPr>
        <w:t>діагностики</w:t>
      </w:r>
      <w:proofErr w:type="spellEnd"/>
      <w:r w:rsidRPr="006B6651">
        <w:rPr>
          <w:color w:val="000000" w:themeColor="text1"/>
          <w:w w:val="110"/>
          <w:sz w:val="20"/>
          <w:lang w:val="ru-RU"/>
        </w:rPr>
        <w:t xml:space="preserve"> М</w:t>
      </w:r>
      <w:r>
        <w:rPr>
          <w:color w:val="000000" w:themeColor="text1"/>
          <w:w w:val="110"/>
          <w:sz w:val="20"/>
          <w:lang w:val="uk-UA"/>
        </w:rPr>
        <w:t>ЛС</w:t>
      </w:r>
      <w:r w:rsidRPr="006B6651">
        <w:rPr>
          <w:color w:val="000000" w:themeColor="text1"/>
          <w:w w:val="110"/>
          <w:sz w:val="20"/>
          <w:lang w:val="ru-RU"/>
        </w:rPr>
        <w:t xml:space="preserve">-ТБ, </w:t>
      </w:r>
      <w:proofErr w:type="spellStart"/>
      <w:r w:rsidRPr="006B6651">
        <w:rPr>
          <w:color w:val="000000" w:themeColor="text1"/>
          <w:w w:val="110"/>
          <w:sz w:val="20"/>
          <w:lang w:val="ru-RU"/>
        </w:rPr>
        <w:t>але</w:t>
      </w:r>
      <w:proofErr w:type="spellEnd"/>
      <w:r w:rsidRPr="006B6651">
        <w:rPr>
          <w:color w:val="000000" w:themeColor="text1"/>
          <w:w w:val="110"/>
          <w:sz w:val="20"/>
          <w:lang w:val="ru-RU"/>
        </w:rPr>
        <w:t xml:space="preserve"> </w:t>
      </w:r>
      <w:r w:rsidRPr="00A816CE">
        <w:rPr>
          <w:color w:val="000000" w:themeColor="text1"/>
          <w:w w:val="110"/>
          <w:sz w:val="20"/>
          <w:lang w:val="uk-UA"/>
        </w:rPr>
        <w:t>враховують</w:t>
      </w:r>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точність</w:t>
      </w:r>
      <w:proofErr w:type="spellEnd"/>
      <w:r w:rsidRPr="006B6651">
        <w:rPr>
          <w:color w:val="000000" w:themeColor="text1"/>
          <w:w w:val="110"/>
          <w:sz w:val="20"/>
          <w:lang w:val="ru-RU"/>
        </w:rPr>
        <w:t xml:space="preserve"> виявлення </w:t>
      </w:r>
      <w:proofErr w:type="spellStart"/>
      <w:r w:rsidRPr="006B6651">
        <w:rPr>
          <w:color w:val="000000" w:themeColor="text1"/>
          <w:w w:val="110"/>
          <w:sz w:val="20"/>
          <w:lang w:val="ru-RU"/>
        </w:rPr>
        <w:t>стійкості</w:t>
      </w:r>
      <w:proofErr w:type="spellEnd"/>
      <w:r w:rsidRPr="006B6651">
        <w:rPr>
          <w:color w:val="000000" w:themeColor="text1"/>
          <w:w w:val="110"/>
          <w:sz w:val="20"/>
          <w:lang w:val="ru-RU"/>
        </w:rPr>
        <w:t xml:space="preserve"> до рифампіцину та ізоніазиду </w:t>
      </w:r>
      <w:proofErr w:type="spellStart"/>
      <w:r w:rsidRPr="006B6651">
        <w:rPr>
          <w:color w:val="000000" w:themeColor="text1"/>
          <w:w w:val="110"/>
          <w:sz w:val="20"/>
          <w:lang w:val="ru-RU"/>
        </w:rPr>
        <w:t>відрізняється</w:t>
      </w:r>
      <w:proofErr w:type="spellEnd"/>
      <w:r w:rsidRPr="006B6651">
        <w:rPr>
          <w:color w:val="000000" w:themeColor="text1"/>
          <w:w w:val="110"/>
          <w:sz w:val="20"/>
          <w:lang w:val="ru-RU"/>
        </w:rPr>
        <w:t xml:space="preserve">, </w:t>
      </w:r>
      <w:r>
        <w:rPr>
          <w:color w:val="000000" w:themeColor="text1"/>
          <w:w w:val="110"/>
          <w:sz w:val="20"/>
          <w:lang w:val="uk-UA"/>
        </w:rPr>
        <w:t>тож</w:t>
      </w:r>
      <w:r w:rsidRPr="006B6651">
        <w:rPr>
          <w:color w:val="000000" w:themeColor="text1"/>
          <w:w w:val="110"/>
          <w:sz w:val="20"/>
          <w:lang w:val="ru-RU"/>
        </w:rPr>
        <w:t xml:space="preserve"> </w:t>
      </w:r>
      <w:proofErr w:type="spellStart"/>
      <w:r w:rsidRPr="006B6651">
        <w:rPr>
          <w:color w:val="000000" w:themeColor="text1"/>
          <w:w w:val="110"/>
          <w:sz w:val="20"/>
          <w:lang w:val="ru-RU"/>
        </w:rPr>
        <w:t>загальна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точність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діагностики</w:t>
      </w:r>
      <w:proofErr w:type="spellEnd"/>
      <w:r w:rsidRPr="006B6651">
        <w:rPr>
          <w:color w:val="000000" w:themeColor="text1"/>
          <w:w w:val="110"/>
          <w:sz w:val="20"/>
          <w:lang w:val="ru-RU"/>
        </w:rPr>
        <w:t xml:space="preserve"> М</w:t>
      </w:r>
      <w:bookmarkStart w:id="72" w:name="_Hlk198632249"/>
      <w:r>
        <w:rPr>
          <w:color w:val="000000" w:themeColor="text1"/>
          <w:w w:val="110"/>
          <w:sz w:val="20"/>
          <w:lang w:val="uk-UA"/>
        </w:rPr>
        <w:t>ЛС</w:t>
      </w:r>
      <w:bookmarkEnd w:id="72"/>
      <w:r w:rsidRPr="006B6651">
        <w:rPr>
          <w:color w:val="000000" w:themeColor="text1"/>
          <w:w w:val="110"/>
          <w:sz w:val="20"/>
          <w:lang w:val="ru-RU"/>
        </w:rPr>
        <w:t xml:space="preserve">-ТБ </w:t>
      </w:r>
      <w:proofErr w:type="spellStart"/>
      <w:r w:rsidRPr="006B6651">
        <w:rPr>
          <w:color w:val="000000" w:themeColor="text1"/>
          <w:w w:val="110"/>
          <w:sz w:val="20"/>
          <w:lang w:val="ru-RU"/>
        </w:rPr>
        <w:t>знижується</w:t>
      </w:r>
      <w:proofErr w:type="spellEnd"/>
      <w:r w:rsidRPr="006B6651">
        <w:rPr>
          <w:color w:val="000000" w:themeColor="text1"/>
          <w:w w:val="110"/>
          <w:sz w:val="20"/>
          <w:lang w:val="ru-RU"/>
        </w:rPr>
        <w:t>.</w:t>
      </w:r>
    </w:p>
    <w:p w14:paraId="4B1B6DC0" w14:textId="77777777" w:rsidR="00DE2E3D" w:rsidRPr="006B6651" w:rsidRDefault="00DE2E3D" w:rsidP="004A2937">
      <w:pPr>
        <w:pStyle w:val="a4"/>
        <w:numPr>
          <w:ilvl w:val="0"/>
          <w:numId w:val="40"/>
        </w:numPr>
        <w:tabs>
          <w:tab w:val="left" w:pos="1701"/>
          <w:tab w:val="left" w:pos="10348"/>
        </w:tabs>
        <w:spacing w:before="174" w:line="276" w:lineRule="auto"/>
        <w:ind w:right="650"/>
        <w:rPr>
          <w:color w:val="000000" w:themeColor="text1"/>
          <w:sz w:val="20"/>
          <w:lang w:val="ru-RU"/>
        </w:rPr>
      </w:pPr>
      <w:proofErr w:type="spellStart"/>
      <w:r w:rsidRPr="006B6651">
        <w:rPr>
          <w:color w:val="000000" w:themeColor="text1"/>
          <w:w w:val="110"/>
          <w:sz w:val="20"/>
          <w:lang w:val="ru-RU"/>
        </w:rPr>
        <w:t>Ці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рекомендації</w:t>
      </w:r>
      <w:proofErr w:type="spellEnd"/>
      <w:r w:rsidRPr="006B6651">
        <w:rPr>
          <w:color w:val="000000" w:themeColor="text1"/>
          <w:w w:val="110"/>
          <w:sz w:val="20"/>
          <w:lang w:val="ru-RU"/>
        </w:rPr>
        <w:t xml:space="preserve"> не </w:t>
      </w:r>
      <w:proofErr w:type="spellStart"/>
      <w:r w:rsidRPr="006B6651">
        <w:rPr>
          <w:color w:val="000000" w:themeColor="text1"/>
          <w:w w:val="110"/>
          <w:sz w:val="20"/>
          <w:lang w:val="ru-RU"/>
        </w:rPr>
        <w:t>скасовують</w:t>
      </w:r>
      <w:proofErr w:type="spellEnd"/>
      <w:r w:rsidRPr="006B6651">
        <w:rPr>
          <w:color w:val="000000" w:themeColor="text1"/>
          <w:w w:val="110"/>
          <w:sz w:val="20"/>
          <w:lang w:val="ru-RU"/>
        </w:rPr>
        <w:t xml:space="preserve"> потребу </w:t>
      </w:r>
      <w:r>
        <w:rPr>
          <w:color w:val="000000" w:themeColor="text1"/>
          <w:w w:val="110"/>
          <w:sz w:val="20"/>
          <w:lang w:val="uk-UA"/>
        </w:rPr>
        <w:t>в</w:t>
      </w:r>
      <w:r w:rsidRPr="006B6651">
        <w:rPr>
          <w:color w:val="000000" w:themeColor="text1"/>
          <w:w w:val="110"/>
          <w:sz w:val="20"/>
          <w:lang w:val="ru-RU"/>
        </w:rPr>
        <w:t xml:space="preserve"> стандартному культуральному Т</w:t>
      </w:r>
      <w:r w:rsidRPr="00A816CE">
        <w:rPr>
          <w:color w:val="000000" w:themeColor="text1"/>
          <w:w w:val="110"/>
          <w:sz w:val="20"/>
          <w:lang w:val="uk-UA"/>
        </w:rPr>
        <w:t>М</w:t>
      </w:r>
      <w:r w:rsidRPr="006B6651">
        <w:rPr>
          <w:color w:val="000000" w:themeColor="text1"/>
          <w:w w:val="110"/>
          <w:sz w:val="20"/>
          <w:lang w:val="ru-RU"/>
        </w:rPr>
        <w:t xml:space="preserve">Ч, </w:t>
      </w:r>
      <w:proofErr w:type="spellStart"/>
      <w:r w:rsidRPr="006B6651">
        <w:rPr>
          <w:color w:val="000000" w:themeColor="text1"/>
          <w:w w:val="110"/>
          <w:sz w:val="20"/>
          <w:lang w:val="ru-RU"/>
        </w:rPr>
        <w:t>який</w:t>
      </w:r>
      <w:proofErr w:type="spellEnd"/>
      <w:r w:rsidRPr="006B6651">
        <w:rPr>
          <w:color w:val="000000" w:themeColor="text1"/>
          <w:w w:val="110"/>
          <w:sz w:val="20"/>
          <w:lang w:val="ru-RU"/>
        </w:rPr>
        <w:t xml:space="preserve"> буде </w:t>
      </w:r>
      <w:proofErr w:type="spellStart"/>
      <w:r w:rsidRPr="006B6651">
        <w:rPr>
          <w:color w:val="000000" w:themeColor="text1"/>
          <w:w w:val="110"/>
          <w:sz w:val="20"/>
          <w:lang w:val="ru-RU"/>
        </w:rPr>
        <w:t>необхідний</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визначення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стійкості</w:t>
      </w:r>
      <w:proofErr w:type="spellEnd"/>
      <w:r w:rsidRPr="006B6651">
        <w:rPr>
          <w:color w:val="000000" w:themeColor="text1"/>
          <w:w w:val="110"/>
          <w:sz w:val="20"/>
          <w:lang w:val="ru-RU"/>
        </w:rPr>
        <w:t xml:space="preserve"> до </w:t>
      </w:r>
      <w:proofErr w:type="spellStart"/>
      <w:r w:rsidRPr="006B6651">
        <w:rPr>
          <w:color w:val="000000" w:themeColor="text1"/>
          <w:w w:val="110"/>
          <w:sz w:val="20"/>
          <w:lang w:val="ru-RU"/>
        </w:rPr>
        <w:t>інших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протитуберкульозних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препаратів</w:t>
      </w:r>
      <w:proofErr w:type="spellEnd"/>
      <w:r w:rsidRPr="006B6651">
        <w:rPr>
          <w:color w:val="000000" w:themeColor="text1"/>
          <w:w w:val="110"/>
          <w:sz w:val="20"/>
          <w:lang w:val="ru-RU"/>
        </w:rPr>
        <w:t xml:space="preserve"> та для </w:t>
      </w:r>
      <w:r w:rsidRPr="00A816CE">
        <w:rPr>
          <w:color w:val="000000" w:themeColor="text1"/>
          <w:w w:val="110"/>
          <w:sz w:val="20"/>
          <w:lang w:val="uk-UA"/>
        </w:rPr>
        <w:t>відстеження</w:t>
      </w:r>
      <w:r w:rsidRPr="006B6651">
        <w:rPr>
          <w:color w:val="000000" w:themeColor="text1"/>
          <w:w w:val="110"/>
          <w:sz w:val="20"/>
          <w:lang w:val="ru-RU"/>
        </w:rPr>
        <w:t xml:space="preserve"> </w:t>
      </w:r>
      <w:proofErr w:type="spellStart"/>
      <w:r w:rsidRPr="006B6651">
        <w:rPr>
          <w:color w:val="000000" w:themeColor="text1"/>
          <w:w w:val="110"/>
          <w:sz w:val="20"/>
          <w:lang w:val="ru-RU"/>
        </w:rPr>
        <w:t>появи</w:t>
      </w:r>
      <w:proofErr w:type="spellEnd"/>
      <w:r w:rsidRPr="006B6651">
        <w:rPr>
          <w:color w:val="000000" w:themeColor="text1"/>
          <w:w w:val="110"/>
          <w:sz w:val="20"/>
          <w:lang w:val="ru-RU"/>
        </w:rPr>
        <w:t xml:space="preserve"> до</w:t>
      </w:r>
      <w:proofErr w:type="spellStart"/>
      <w:r w:rsidRPr="00A816CE">
        <w:rPr>
          <w:color w:val="000000" w:themeColor="text1"/>
          <w:w w:val="110"/>
          <w:sz w:val="20"/>
          <w:lang w:val="uk-UA"/>
        </w:rPr>
        <w:t>даткової</w:t>
      </w:r>
      <w:proofErr w:type="spellEnd"/>
      <w:r w:rsidRPr="00A816CE">
        <w:rPr>
          <w:color w:val="000000" w:themeColor="text1"/>
          <w:w w:val="110"/>
          <w:sz w:val="20"/>
          <w:lang w:val="uk-UA"/>
        </w:rPr>
        <w:t xml:space="preserve"> стійкості</w:t>
      </w:r>
      <w:r w:rsidRPr="006B6651">
        <w:rPr>
          <w:color w:val="000000" w:themeColor="text1"/>
          <w:w w:val="110"/>
          <w:sz w:val="20"/>
          <w:lang w:val="ru-RU"/>
        </w:rPr>
        <w:t>.</w:t>
      </w:r>
    </w:p>
    <w:p w14:paraId="764E4A62" w14:textId="77777777" w:rsidR="00DE2E3D" w:rsidRPr="006B6651" w:rsidRDefault="00DE2E3D" w:rsidP="004A2937">
      <w:pPr>
        <w:pStyle w:val="a4"/>
        <w:numPr>
          <w:ilvl w:val="0"/>
          <w:numId w:val="40"/>
        </w:numPr>
        <w:tabs>
          <w:tab w:val="left" w:pos="1701"/>
          <w:tab w:val="left" w:pos="10348"/>
        </w:tabs>
        <w:spacing w:before="173" w:line="276" w:lineRule="auto"/>
        <w:ind w:right="650"/>
        <w:rPr>
          <w:color w:val="000000" w:themeColor="text1"/>
          <w:sz w:val="20"/>
          <w:lang w:val="ru-RU"/>
        </w:rPr>
      </w:pPr>
      <w:proofErr w:type="spellStart"/>
      <w:r w:rsidRPr="006B6651">
        <w:rPr>
          <w:color w:val="000000" w:themeColor="text1"/>
          <w:w w:val="110"/>
          <w:sz w:val="20"/>
          <w:lang w:val="ru-RU"/>
        </w:rPr>
        <w:t>Стандартний</w:t>
      </w:r>
      <w:proofErr w:type="spellEnd"/>
      <w:r w:rsidRPr="006B6651">
        <w:rPr>
          <w:color w:val="000000" w:themeColor="text1"/>
          <w:w w:val="110"/>
          <w:sz w:val="20"/>
          <w:lang w:val="ru-RU"/>
        </w:rPr>
        <w:t xml:space="preserve"> культуральний</w:t>
      </w:r>
      <w:r w:rsidRPr="00A816CE">
        <w:rPr>
          <w:color w:val="000000" w:themeColor="text1"/>
          <w:w w:val="110"/>
          <w:sz w:val="20"/>
          <w:lang w:val="uk-UA"/>
        </w:rPr>
        <w:t xml:space="preserve"> </w:t>
      </w:r>
      <w:r w:rsidRPr="006B6651">
        <w:rPr>
          <w:color w:val="000000" w:themeColor="text1"/>
          <w:w w:val="110"/>
          <w:sz w:val="20"/>
          <w:lang w:val="ru-RU"/>
        </w:rPr>
        <w:t>Т</w:t>
      </w:r>
      <w:r w:rsidRPr="00A816CE">
        <w:rPr>
          <w:color w:val="000000" w:themeColor="text1"/>
          <w:w w:val="110"/>
          <w:sz w:val="20"/>
          <w:lang w:val="uk-UA"/>
        </w:rPr>
        <w:t>М</w:t>
      </w:r>
      <w:r w:rsidRPr="006B6651">
        <w:rPr>
          <w:color w:val="000000" w:themeColor="text1"/>
          <w:w w:val="110"/>
          <w:sz w:val="20"/>
          <w:lang w:val="ru-RU"/>
        </w:rPr>
        <w:t xml:space="preserve">Ч </w:t>
      </w:r>
      <w:r>
        <w:rPr>
          <w:color w:val="000000" w:themeColor="text1"/>
          <w:w w:val="110"/>
          <w:sz w:val="20"/>
          <w:lang w:val="uk-UA"/>
        </w:rPr>
        <w:t>до</w:t>
      </w:r>
      <w:r w:rsidRPr="006B6651">
        <w:rPr>
          <w:color w:val="000000" w:themeColor="text1"/>
          <w:w w:val="110"/>
          <w:sz w:val="20"/>
          <w:lang w:val="ru-RU"/>
        </w:rPr>
        <w:t xml:space="preserve"> ізоніазид</w:t>
      </w:r>
      <w:r>
        <w:rPr>
          <w:color w:val="000000" w:themeColor="text1"/>
          <w:w w:val="110"/>
          <w:sz w:val="20"/>
          <w:lang w:val="uk-UA"/>
        </w:rPr>
        <w:t>у</w:t>
      </w:r>
      <w:r w:rsidRPr="006B6651">
        <w:rPr>
          <w:color w:val="000000" w:themeColor="text1"/>
          <w:w w:val="110"/>
          <w:sz w:val="20"/>
          <w:lang w:val="ru-RU"/>
        </w:rPr>
        <w:t xml:space="preserve"> все </w:t>
      </w:r>
      <w:proofErr w:type="spellStart"/>
      <w:r w:rsidRPr="006B6651">
        <w:rPr>
          <w:color w:val="000000" w:themeColor="text1"/>
          <w:w w:val="110"/>
          <w:sz w:val="20"/>
          <w:lang w:val="ru-RU"/>
        </w:rPr>
        <w:t>ще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може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використовуватися</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обстеження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пацієнтів</w:t>
      </w:r>
      <w:proofErr w:type="spellEnd"/>
      <w:r w:rsidRPr="006B6651">
        <w:rPr>
          <w:color w:val="000000" w:themeColor="text1"/>
          <w:w w:val="110"/>
          <w:sz w:val="20"/>
          <w:lang w:val="ru-RU"/>
        </w:rPr>
        <w:t xml:space="preserve">, коли </w:t>
      </w:r>
      <w:r w:rsidRPr="00A816CE">
        <w:rPr>
          <w:color w:val="000000" w:themeColor="text1"/>
          <w:w w:val="110"/>
          <w:sz w:val="20"/>
        </w:rPr>
        <w:t>LPA</w:t>
      </w:r>
      <w:r w:rsidRPr="006B6651">
        <w:rPr>
          <w:color w:val="000000" w:themeColor="text1"/>
          <w:w w:val="110"/>
          <w:sz w:val="20"/>
          <w:lang w:val="ru-RU"/>
        </w:rPr>
        <w:t xml:space="preserve"> не </w:t>
      </w:r>
      <w:proofErr w:type="spellStart"/>
      <w:r w:rsidRPr="006B6651">
        <w:rPr>
          <w:color w:val="000000" w:themeColor="text1"/>
          <w:w w:val="110"/>
          <w:sz w:val="20"/>
          <w:lang w:val="ru-RU"/>
        </w:rPr>
        <w:t>виявляє</w:t>
      </w:r>
      <w:proofErr w:type="spellEnd"/>
      <w:r w:rsidRPr="006B6651">
        <w:rPr>
          <w:color w:val="000000" w:themeColor="text1"/>
          <w:w w:val="110"/>
          <w:sz w:val="20"/>
          <w:lang w:val="ru-RU"/>
        </w:rPr>
        <w:t xml:space="preserve"> </w:t>
      </w:r>
      <w:r w:rsidRPr="00A816CE">
        <w:rPr>
          <w:color w:val="000000" w:themeColor="text1"/>
          <w:w w:val="110"/>
          <w:sz w:val="20"/>
          <w:lang w:val="uk-UA"/>
        </w:rPr>
        <w:t>стійкості</w:t>
      </w:r>
      <w:r w:rsidRPr="006B6651">
        <w:rPr>
          <w:color w:val="000000" w:themeColor="text1"/>
          <w:w w:val="110"/>
          <w:sz w:val="20"/>
          <w:lang w:val="ru-RU"/>
        </w:rPr>
        <w:t xml:space="preserve"> до ізоніазиду. </w:t>
      </w:r>
      <w:proofErr w:type="spellStart"/>
      <w:r w:rsidRPr="006B6651">
        <w:rPr>
          <w:color w:val="000000" w:themeColor="text1"/>
          <w:w w:val="110"/>
          <w:sz w:val="20"/>
          <w:lang w:val="ru-RU"/>
        </w:rPr>
        <w:t>Це</w:t>
      </w:r>
      <w:proofErr w:type="spellEnd"/>
      <w:r w:rsidRPr="006B6651">
        <w:rPr>
          <w:color w:val="000000" w:themeColor="text1"/>
          <w:w w:val="110"/>
          <w:sz w:val="20"/>
          <w:lang w:val="ru-RU"/>
        </w:rPr>
        <w:t xml:space="preserve"> особливо </w:t>
      </w:r>
      <w:proofErr w:type="spellStart"/>
      <w:r w:rsidRPr="006B6651">
        <w:rPr>
          <w:color w:val="000000" w:themeColor="text1"/>
          <w:w w:val="110"/>
          <w:sz w:val="20"/>
          <w:lang w:val="ru-RU"/>
        </w:rPr>
        <w:t>важливо</w:t>
      </w:r>
      <w:proofErr w:type="spellEnd"/>
      <w:r w:rsidRPr="006B6651">
        <w:rPr>
          <w:color w:val="000000" w:themeColor="text1"/>
          <w:w w:val="110"/>
          <w:sz w:val="20"/>
          <w:lang w:val="ru-RU"/>
        </w:rPr>
        <w:t xml:space="preserve"> для </w:t>
      </w:r>
      <w:r w:rsidRPr="009455EF">
        <w:rPr>
          <w:color w:val="000000" w:themeColor="text1"/>
          <w:w w:val="110"/>
          <w:sz w:val="20"/>
          <w:lang w:val="uk-UA"/>
        </w:rPr>
        <w:t>груп населення</w:t>
      </w:r>
      <w:r>
        <w:rPr>
          <w:color w:val="000000" w:themeColor="text1"/>
          <w:w w:val="110"/>
          <w:sz w:val="20"/>
          <w:lang w:val="uk-UA"/>
        </w:rPr>
        <w:t>, що мають</w:t>
      </w:r>
      <w:r w:rsidRPr="006B6651">
        <w:rPr>
          <w:color w:val="000000" w:themeColor="text1"/>
          <w:w w:val="110"/>
          <w:sz w:val="20"/>
          <w:lang w:val="ru-RU"/>
        </w:rPr>
        <w:t xml:space="preserve"> висок</w:t>
      </w:r>
      <w:r>
        <w:rPr>
          <w:color w:val="000000" w:themeColor="text1"/>
          <w:w w:val="110"/>
          <w:sz w:val="20"/>
          <w:lang w:val="uk-UA"/>
        </w:rPr>
        <w:t>у</w:t>
      </w:r>
      <w:r w:rsidRPr="006B6651">
        <w:rPr>
          <w:color w:val="000000" w:themeColor="text1"/>
          <w:w w:val="110"/>
          <w:sz w:val="20"/>
          <w:lang w:val="ru-RU"/>
        </w:rPr>
        <w:t xml:space="preserve"> </w:t>
      </w:r>
      <w:r>
        <w:rPr>
          <w:color w:val="000000" w:themeColor="text1"/>
          <w:w w:val="110"/>
          <w:sz w:val="20"/>
          <w:lang w:val="uk-UA"/>
        </w:rPr>
        <w:t>ймовірність</w:t>
      </w:r>
      <w:r w:rsidRPr="00A816CE">
        <w:rPr>
          <w:color w:val="000000" w:themeColor="text1"/>
          <w:w w:val="110"/>
          <w:sz w:val="20"/>
          <w:lang w:val="uk-UA"/>
        </w:rPr>
        <w:t xml:space="preserve"> наявності стійкості до ізоніазиду до проведення аналізу.</w:t>
      </w:r>
    </w:p>
    <w:p w14:paraId="34887BDA" w14:textId="77777777" w:rsidR="00DE2E3D" w:rsidRPr="006B6651" w:rsidRDefault="00DE2E3D" w:rsidP="004A2937">
      <w:pPr>
        <w:pStyle w:val="a4"/>
        <w:numPr>
          <w:ilvl w:val="0"/>
          <w:numId w:val="40"/>
        </w:numPr>
        <w:tabs>
          <w:tab w:val="left" w:pos="1701"/>
          <w:tab w:val="left" w:pos="10348"/>
        </w:tabs>
        <w:spacing w:before="174" w:line="276" w:lineRule="auto"/>
        <w:ind w:right="650"/>
        <w:rPr>
          <w:color w:val="000000" w:themeColor="text1"/>
          <w:sz w:val="20"/>
          <w:lang w:val="ru-RU"/>
        </w:rPr>
      </w:pPr>
      <w:proofErr w:type="spellStart"/>
      <w:r w:rsidRPr="006B6651">
        <w:rPr>
          <w:color w:val="000000" w:themeColor="text1"/>
          <w:w w:val="110"/>
          <w:sz w:val="20"/>
          <w:lang w:val="ru-RU"/>
        </w:rPr>
        <w:t>Ці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рекомендації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стосуються</w:t>
      </w:r>
      <w:proofErr w:type="spellEnd"/>
      <w:r w:rsidRPr="006B6651">
        <w:rPr>
          <w:color w:val="000000" w:themeColor="text1"/>
          <w:w w:val="110"/>
          <w:sz w:val="20"/>
          <w:lang w:val="ru-RU"/>
        </w:rPr>
        <w:t xml:space="preserve"> використання </w:t>
      </w:r>
      <w:r w:rsidRPr="00A816CE">
        <w:rPr>
          <w:color w:val="000000" w:themeColor="text1"/>
          <w:w w:val="110"/>
          <w:sz w:val="20"/>
        </w:rPr>
        <w:t>LPA</w:t>
      </w:r>
      <w:r w:rsidRPr="006B6651">
        <w:rPr>
          <w:color w:val="000000" w:themeColor="text1"/>
          <w:w w:val="110"/>
          <w:sz w:val="20"/>
          <w:lang w:val="ru-RU"/>
        </w:rPr>
        <w:t xml:space="preserve"> </w:t>
      </w:r>
      <w:r w:rsidRPr="00A816CE">
        <w:rPr>
          <w:color w:val="000000" w:themeColor="text1"/>
          <w:w w:val="110"/>
          <w:sz w:val="20"/>
          <w:lang w:val="uk-UA"/>
        </w:rPr>
        <w:t>для</w:t>
      </w:r>
      <w:r w:rsidRPr="006B6651">
        <w:rPr>
          <w:color w:val="000000" w:themeColor="text1"/>
          <w:w w:val="110"/>
          <w:sz w:val="20"/>
          <w:lang w:val="ru-RU"/>
        </w:rPr>
        <w:t xml:space="preserve"> </w:t>
      </w:r>
      <w:proofErr w:type="spellStart"/>
      <w:r w:rsidRPr="006B6651">
        <w:rPr>
          <w:color w:val="000000" w:themeColor="text1"/>
          <w:w w:val="110"/>
          <w:sz w:val="20"/>
          <w:lang w:val="ru-RU"/>
        </w:rPr>
        <w:t>дітей</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основі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узагальнення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отриманих</w:t>
      </w:r>
      <w:proofErr w:type="spellEnd"/>
      <w:r w:rsidRPr="006B6651">
        <w:rPr>
          <w:color w:val="000000" w:themeColor="text1"/>
          <w:w w:val="110"/>
          <w:sz w:val="20"/>
          <w:lang w:val="ru-RU"/>
        </w:rPr>
        <w:t xml:space="preserve"> </w:t>
      </w:r>
      <w:r w:rsidRPr="00A816CE">
        <w:rPr>
          <w:color w:val="000000" w:themeColor="text1"/>
          <w:w w:val="110"/>
          <w:sz w:val="20"/>
          <w:lang w:val="uk-UA"/>
        </w:rPr>
        <w:t>стосовно</w:t>
      </w:r>
      <w:r w:rsidRPr="006B6651">
        <w:rPr>
          <w:color w:val="000000" w:themeColor="text1"/>
          <w:w w:val="110"/>
          <w:sz w:val="20"/>
          <w:lang w:val="ru-RU"/>
        </w:rPr>
        <w:t xml:space="preserve"> </w:t>
      </w:r>
      <w:proofErr w:type="spellStart"/>
      <w:r w:rsidRPr="006B6651">
        <w:rPr>
          <w:color w:val="000000" w:themeColor="text1"/>
          <w:w w:val="110"/>
          <w:sz w:val="20"/>
          <w:lang w:val="ru-RU"/>
        </w:rPr>
        <w:t>дорослих</w:t>
      </w:r>
      <w:proofErr w:type="spellEnd"/>
      <w:r w:rsidRPr="006B6651">
        <w:rPr>
          <w:color w:val="000000" w:themeColor="text1"/>
          <w:w w:val="110"/>
          <w:sz w:val="20"/>
          <w:lang w:val="ru-RU"/>
        </w:rPr>
        <w:t>.</w:t>
      </w:r>
    </w:p>
    <w:p w14:paraId="7304238C" w14:textId="77777777" w:rsidR="00DE2E3D" w:rsidRPr="006B6651" w:rsidRDefault="00DE2E3D" w:rsidP="00DE2E3D">
      <w:pPr>
        <w:tabs>
          <w:tab w:val="left" w:pos="10348"/>
        </w:tabs>
        <w:spacing w:before="183"/>
        <w:ind w:left="1417" w:right="650"/>
        <w:rPr>
          <w:sz w:val="24"/>
          <w:szCs w:val="24"/>
          <w:lang w:val="ru-RU"/>
        </w:rPr>
      </w:pPr>
      <w:proofErr w:type="spellStart"/>
      <w:r w:rsidRPr="006B6651">
        <w:rPr>
          <w:color w:val="019648"/>
          <w:w w:val="105"/>
          <w:sz w:val="24"/>
          <w:szCs w:val="24"/>
          <w:lang w:val="ru-RU"/>
        </w:rPr>
        <w:t>Опис</w:t>
      </w:r>
      <w:proofErr w:type="spellEnd"/>
      <w:r w:rsidRPr="006B6651">
        <w:rPr>
          <w:color w:val="019648"/>
          <w:w w:val="105"/>
          <w:sz w:val="24"/>
          <w:szCs w:val="24"/>
          <w:lang w:val="ru-RU"/>
        </w:rPr>
        <w:t xml:space="preserve"> тесту</w:t>
      </w:r>
    </w:p>
    <w:p w14:paraId="00D4AB66" w14:textId="77777777" w:rsidR="00DE2E3D" w:rsidRPr="006B6651" w:rsidRDefault="00DE2E3D" w:rsidP="00DE2E3D">
      <w:pPr>
        <w:pStyle w:val="a3"/>
        <w:tabs>
          <w:tab w:val="left" w:pos="10348"/>
        </w:tabs>
        <w:spacing w:before="209" w:line="276" w:lineRule="auto"/>
        <w:ind w:left="1417" w:right="650"/>
        <w:jc w:val="both"/>
        <w:rPr>
          <w:color w:val="000000" w:themeColor="text1"/>
          <w:sz w:val="20"/>
          <w:lang w:val="ru-RU"/>
        </w:rPr>
      </w:pPr>
      <w:r w:rsidRPr="00A816CE">
        <w:rPr>
          <w:color w:val="000000" w:themeColor="text1"/>
          <w:spacing w:val="-3"/>
          <w:w w:val="110"/>
          <w:sz w:val="20"/>
        </w:rPr>
        <w:t>LPA</w:t>
      </w:r>
      <w:r w:rsidRPr="006B6651">
        <w:rPr>
          <w:color w:val="000000" w:themeColor="text1"/>
          <w:spacing w:val="-3"/>
          <w:w w:val="110"/>
          <w:sz w:val="20"/>
          <w:lang w:val="ru-RU"/>
        </w:rPr>
        <w:t xml:space="preserve"> – </w:t>
      </w:r>
      <w:proofErr w:type="spellStart"/>
      <w:r w:rsidRPr="006B6651">
        <w:rPr>
          <w:color w:val="000000" w:themeColor="text1"/>
          <w:spacing w:val="-3"/>
          <w:w w:val="110"/>
          <w:sz w:val="20"/>
          <w:lang w:val="ru-RU"/>
        </w:rPr>
        <w:t>це</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група</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тестів</w:t>
      </w:r>
      <w:proofErr w:type="spellEnd"/>
      <w:r w:rsidRPr="006B6651">
        <w:rPr>
          <w:color w:val="000000" w:themeColor="text1"/>
          <w:spacing w:val="-3"/>
          <w:w w:val="110"/>
          <w:sz w:val="20"/>
          <w:lang w:val="ru-RU"/>
        </w:rPr>
        <w:t xml:space="preserve"> на </w:t>
      </w:r>
      <w:proofErr w:type="spellStart"/>
      <w:r w:rsidRPr="006B6651">
        <w:rPr>
          <w:color w:val="000000" w:themeColor="text1"/>
          <w:spacing w:val="-3"/>
          <w:w w:val="110"/>
          <w:sz w:val="20"/>
          <w:lang w:val="ru-RU"/>
        </w:rPr>
        <w:t>основі</w:t>
      </w:r>
      <w:proofErr w:type="spellEnd"/>
      <w:r w:rsidRPr="006B6651">
        <w:rPr>
          <w:color w:val="000000" w:themeColor="text1"/>
          <w:spacing w:val="-3"/>
          <w:w w:val="110"/>
          <w:sz w:val="20"/>
          <w:lang w:val="ru-RU"/>
        </w:rPr>
        <w:t xml:space="preserve"> ДНК-</w:t>
      </w:r>
      <w:r>
        <w:rPr>
          <w:color w:val="000000" w:themeColor="text1"/>
          <w:spacing w:val="-3"/>
          <w:w w:val="110"/>
          <w:sz w:val="20"/>
          <w:lang w:val="uk-UA"/>
        </w:rPr>
        <w:t>смужок</w:t>
      </w:r>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які</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можуть</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виявляти</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штам</w:t>
      </w:r>
      <w:proofErr w:type="spellEnd"/>
      <w:r w:rsidRPr="006B6651">
        <w:rPr>
          <w:color w:val="000000" w:themeColor="text1"/>
          <w:spacing w:val="-3"/>
          <w:w w:val="110"/>
          <w:sz w:val="20"/>
          <w:lang w:val="ru-RU"/>
        </w:rPr>
        <w:t xml:space="preserve"> М</w:t>
      </w:r>
      <w:r w:rsidRPr="00A816CE">
        <w:rPr>
          <w:color w:val="000000" w:themeColor="text1"/>
          <w:spacing w:val="-3"/>
          <w:w w:val="110"/>
          <w:sz w:val="20"/>
          <w:lang w:val="uk-UA"/>
        </w:rPr>
        <w:t>Б</w:t>
      </w:r>
      <w:r w:rsidRPr="006B6651">
        <w:rPr>
          <w:color w:val="000000" w:themeColor="text1"/>
          <w:spacing w:val="-3"/>
          <w:w w:val="110"/>
          <w:sz w:val="20"/>
          <w:lang w:val="ru-RU"/>
        </w:rPr>
        <w:t xml:space="preserve">ТК та </w:t>
      </w:r>
      <w:proofErr w:type="spellStart"/>
      <w:r w:rsidRPr="006B6651">
        <w:rPr>
          <w:color w:val="000000" w:themeColor="text1"/>
          <w:spacing w:val="-3"/>
          <w:w w:val="110"/>
          <w:sz w:val="20"/>
          <w:lang w:val="ru-RU"/>
        </w:rPr>
        <w:t>визначати</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його</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профіль</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лікарської</w:t>
      </w:r>
      <w:proofErr w:type="spellEnd"/>
      <w:r w:rsidRPr="006B6651">
        <w:rPr>
          <w:color w:val="000000" w:themeColor="text1"/>
          <w:spacing w:val="-3"/>
          <w:w w:val="110"/>
          <w:sz w:val="20"/>
          <w:lang w:val="ru-RU"/>
        </w:rPr>
        <w:t xml:space="preserve"> </w:t>
      </w:r>
      <w:r w:rsidRPr="00A816CE">
        <w:rPr>
          <w:color w:val="000000" w:themeColor="text1"/>
          <w:spacing w:val="-3"/>
          <w:w w:val="110"/>
          <w:sz w:val="20"/>
          <w:lang w:val="uk-UA"/>
        </w:rPr>
        <w:t>стійкості</w:t>
      </w:r>
      <w:r w:rsidRPr="006B6651">
        <w:rPr>
          <w:color w:val="000000" w:themeColor="text1"/>
          <w:spacing w:val="-3"/>
          <w:w w:val="110"/>
          <w:sz w:val="20"/>
          <w:lang w:val="ru-RU"/>
        </w:rPr>
        <w:t xml:space="preserve"> за характером </w:t>
      </w:r>
      <w:proofErr w:type="spellStart"/>
      <w:r w:rsidRPr="006B6651">
        <w:rPr>
          <w:color w:val="000000" w:themeColor="text1"/>
          <w:spacing w:val="-3"/>
          <w:w w:val="110"/>
          <w:sz w:val="20"/>
          <w:lang w:val="ru-RU"/>
        </w:rPr>
        <w:t>зв'язування</w:t>
      </w:r>
      <w:proofErr w:type="spellEnd"/>
      <w:r w:rsidRPr="006B6651">
        <w:rPr>
          <w:color w:val="000000" w:themeColor="text1"/>
          <w:spacing w:val="-3"/>
          <w:w w:val="110"/>
          <w:sz w:val="20"/>
          <w:lang w:val="ru-RU"/>
        </w:rPr>
        <w:t xml:space="preserve"> ампліконів (</w:t>
      </w:r>
      <w:proofErr w:type="spellStart"/>
      <w:r w:rsidRPr="006B6651">
        <w:rPr>
          <w:color w:val="000000" w:themeColor="text1"/>
          <w:spacing w:val="-3"/>
          <w:w w:val="110"/>
          <w:sz w:val="20"/>
          <w:lang w:val="ru-RU"/>
        </w:rPr>
        <w:t>продуктів</w:t>
      </w:r>
      <w:proofErr w:type="spellEnd"/>
      <w:r w:rsidRPr="006B6651">
        <w:rPr>
          <w:color w:val="000000" w:themeColor="text1"/>
          <w:spacing w:val="-3"/>
          <w:w w:val="110"/>
          <w:sz w:val="20"/>
          <w:lang w:val="ru-RU"/>
        </w:rPr>
        <w:t xml:space="preserve"> ампліфікації ДНК) із зондами, </w:t>
      </w:r>
      <w:proofErr w:type="spellStart"/>
      <w:r w:rsidRPr="006B6651">
        <w:rPr>
          <w:color w:val="000000" w:themeColor="text1"/>
          <w:spacing w:val="-3"/>
          <w:w w:val="110"/>
          <w:sz w:val="20"/>
          <w:lang w:val="ru-RU"/>
        </w:rPr>
        <w:t>що</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націлені</w:t>
      </w:r>
      <w:proofErr w:type="spellEnd"/>
      <w:r w:rsidRPr="006B6651">
        <w:rPr>
          <w:color w:val="000000" w:themeColor="text1"/>
          <w:spacing w:val="-3"/>
          <w:w w:val="110"/>
          <w:sz w:val="20"/>
          <w:lang w:val="ru-RU"/>
        </w:rPr>
        <w:t xml:space="preserve"> на </w:t>
      </w:r>
      <w:proofErr w:type="spellStart"/>
      <w:r w:rsidRPr="006B6651">
        <w:rPr>
          <w:color w:val="000000" w:themeColor="text1"/>
          <w:spacing w:val="-3"/>
          <w:w w:val="110"/>
          <w:sz w:val="20"/>
          <w:lang w:val="ru-RU"/>
        </w:rPr>
        <w:t>специфічні</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ділянки</w:t>
      </w:r>
      <w:proofErr w:type="spellEnd"/>
      <w:r w:rsidRPr="006B6651">
        <w:rPr>
          <w:color w:val="000000" w:themeColor="text1"/>
          <w:spacing w:val="-3"/>
          <w:w w:val="110"/>
          <w:sz w:val="20"/>
          <w:lang w:val="ru-RU"/>
        </w:rPr>
        <w:t xml:space="preserve"> геному М</w:t>
      </w:r>
      <w:r w:rsidRPr="00A816CE">
        <w:rPr>
          <w:color w:val="000000" w:themeColor="text1"/>
          <w:spacing w:val="-3"/>
          <w:w w:val="110"/>
          <w:sz w:val="20"/>
          <w:lang w:val="uk-UA"/>
        </w:rPr>
        <w:t>Б</w:t>
      </w:r>
      <w:r w:rsidRPr="006B6651">
        <w:rPr>
          <w:color w:val="000000" w:themeColor="text1"/>
          <w:spacing w:val="-3"/>
          <w:w w:val="110"/>
          <w:sz w:val="20"/>
          <w:lang w:val="ru-RU"/>
        </w:rPr>
        <w:t xml:space="preserve">ТК (для виявлення МБТК), </w:t>
      </w:r>
      <w:proofErr w:type="spellStart"/>
      <w:r w:rsidRPr="006B6651">
        <w:rPr>
          <w:color w:val="000000" w:themeColor="text1"/>
          <w:spacing w:val="-3"/>
          <w:w w:val="110"/>
          <w:sz w:val="20"/>
          <w:lang w:val="ru-RU"/>
        </w:rPr>
        <w:t>найпоширеніші</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мутації</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пов'язані</w:t>
      </w:r>
      <w:proofErr w:type="spellEnd"/>
      <w:r w:rsidRPr="006B6651">
        <w:rPr>
          <w:color w:val="000000" w:themeColor="text1"/>
          <w:spacing w:val="-3"/>
          <w:w w:val="110"/>
          <w:sz w:val="20"/>
          <w:lang w:val="ru-RU"/>
        </w:rPr>
        <w:t xml:space="preserve"> з</w:t>
      </w:r>
      <w:r w:rsidRPr="00A816CE">
        <w:rPr>
          <w:color w:val="000000" w:themeColor="text1"/>
          <w:spacing w:val="-3"/>
          <w:w w:val="110"/>
          <w:sz w:val="20"/>
          <w:lang w:val="uk-UA"/>
        </w:rPr>
        <w:t xml:space="preserve">і стійкістю </w:t>
      </w:r>
      <w:r w:rsidRPr="006B6651">
        <w:rPr>
          <w:color w:val="000000" w:themeColor="text1"/>
          <w:spacing w:val="-3"/>
          <w:w w:val="110"/>
          <w:sz w:val="20"/>
          <w:lang w:val="ru-RU"/>
        </w:rPr>
        <w:t xml:space="preserve">до </w:t>
      </w:r>
      <w:proofErr w:type="spellStart"/>
      <w:r w:rsidRPr="006B6651">
        <w:rPr>
          <w:color w:val="000000" w:themeColor="text1"/>
          <w:spacing w:val="-3"/>
          <w:w w:val="110"/>
          <w:sz w:val="20"/>
          <w:lang w:val="ru-RU"/>
        </w:rPr>
        <w:t>препаратів</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першого</w:t>
      </w:r>
      <w:proofErr w:type="spellEnd"/>
      <w:r w:rsidRPr="006B6651">
        <w:rPr>
          <w:color w:val="000000" w:themeColor="text1"/>
          <w:spacing w:val="-3"/>
          <w:w w:val="110"/>
          <w:sz w:val="20"/>
          <w:lang w:val="ru-RU"/>
        </w:rPr>
        <w:t xml:space="preserve"> та другого ряду, або </w:t>
      </w:r>
      <w:proofErr w:type="spellStart"/>
      <w:r w:rsidRPr="006B6651">
        <w:rPr>
          <w:color w:val="000000" w:themeColor="text1"/>
          <w:spacing w:val="-3"/>
          <w:w w:val="110"/>
          <w:sz w:val="20"/>
          <w:lang w:val="ru-RU"/>
        </w:rPr>
        <w:t>відповідну</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послідовність</w:t>
      </w:r>
      <w:proofErr w:type="spellEnd"/>
      <w:r w:rsidRPr="006B6651">
        <w:rPr>
          <w:color w:val="000000" w:themeColor="text1"/>
          <w:spacing w:val="-3"/>
          <w:w w:val="110"/>
          <w:sz w:val="20"/>
          <w:lang w:val="ru-RU"/>
        </w:rPr>
        <w:t xml:space="preserve"> ДНК дикого типу (для виявлення </w:t>
      </w:r>
      <w:r w:rsidRPr="00A816CE">
        <w:rPr>
          <w:color w:val="000000" w:themeColor="text1"/>
          <w:spacing w:val="-3"/>
          <w:w w:val="110"/>
          <w:sz w:val="20"/>
          <w:lang w:val="uk-UA"/>
        </w:rPr>
        <w:t>стійкості</w:t>
      </w:r>
      <w:r w:rsidRPr="006B6651">
        <w:rPr>
          <w:color w:val="000000" w:themeColor="text1"/>
          <w:spacing w:val="-3"/>
          <w:w w:val="110"/>
          <w:sz w:val="20"/>
          <w:lang w:val="ru-RU"/>
        </w:rPr>
        <w:t xml:space="preserve"> до </w:t>
      </w:r>
      <w:proofErr w:type="spellStart"/>
      <w:r w:rsidRPr="006B6651">
        <w:rPr>
          <w:color w:val="000000" w:themeColor="text1"/>
          <w:spacing w:val="-3"/>
          <w:w w:val="110"/>
          <w:sz w:val="20"/>
          <w:lang w:val="ru-RU"/>
        </w:rPr>
        <w:t>протитуберкульозних</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препаратів</w:t>
      </w:r>
      <w:proofErr w:type="spellEnd"/>
      <w:r w:rsidRPr="006B6651">
        <w:rPr>
          <w:color w:val="000000" w:themeColor="text1"/>
          <w:spacing w:val="-3"/>
          <w:w w:val="110"/>
          <w:sz w:val="20"/>
          <w:lang w:val="ru-RU"/>
        </w:rPr>
        <w:t xml:space="preserve">) </w:t>
      </w:r>
      <w:r w:rsidRPr="006B6651">
        <w:rPr>
          <w:i/>
          <w:color w:val="000000" w:themeColor="text1"/>
          <w:spacing w:val="-3"/>
          <w:w w:val="110"/>
          <w:sz w:val="20"/>
          <w:lang w:val="ru-RU"/>
        </w:rPr>
        <w:t>(38)</w:t>
      </w:r>
      <w:r w:rsidRPr="006B6651">
        <w:rPr>
          <w:color w:val="000000" w:themeColor="text1"/>
          <w:spacing w:val="-3"/>
          <w:w w:val="110"/>
          <w:sz w:val="20"/>
          <w:lang w:val="ru-RU"/>
        </w:rPr>
        <w:t>.</w:t>
      </w:r>
    </w:p>
    <w:p w14:paraId="79C00D24" w14:textId="77777777" w:rsidR="00DE2E3D" w:rsidRPr="006B6651" w:rsidRDefault="00DE2E3D" w:rsidP="00DE2E3D">
      <w:pPr>
        <w:pStyle w:val="a3"/>
        <w:spacing w:before="176" w:line="276" w:lineRule="auto"/>
        <w:ind w:left="1417" w:right="650"/>
        <w:jc w:val="both"/>
        <w:rPr>
          <w:color w:val="000000" w:themeColor="text1"/>
          <w:sz w:val="20"/>
          <w:lang w:val="ru-RU"/>
        </w:rPr>
      </w:pPr>
      <w:r w:rsidRPr="00A816CE">
        <w:rPr>
          <w:color w:val="000000" w:themeColor="text1"/>
          <w:w w:val="110"/>
          <w:sz w:val="20"/>
        </w:rPr>
        <w:t>LPA</w:t>
      </w:r>
      <w:r w:rsidRPr="006B6651">
        <w:rPr>
          <w:color w:val="000000" w:themeColor="text1"/>
          <w:w w:val="110"/>
          <w:sz w:val="20"/>
          <w:lang w:val="ru-RU"/>
        </w:rPr>
        <w:t xml:space="preserve"> </w:t>
      </w:r>
      <w:proofErr w:type="spellStart"/>
      <w:r w:rsidRPr="006B6651">
        <w:rPr>
          <w:color w:val="000000" w:themeColor="text1"/>
          <w:w w:val="110"/>
          <w:sz w:val="20"/>
          <w:lang w:val="ru-RU"/>
        </w:rPr>
        <w:t>базуються</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технології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зворотної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гібридизації</w:t>
      </w:r>
      <w:proofErr w:type="spellEnd"/>
      <w:r w:rsidRPr="006B6651">
        <w:rPr>
          <w:color w:val="000000" w:themeColor="text1"/>
          <w:w w:val="110"/>
          <w:sz w:val="20"/>
          <w:lang w:val="ru-RU"/>
        </w:rPr>
        <w:t xml:space="preserve"> на ДНК-с</w:t>
      </w:r>
      <w:proofErr w:type="spellStart"/>
      <w:r>
        <w:rPr>
          <w:color w:val="000000" w:themeColor="text1"/>
          <w:w w:val="110"/>
          <w:sz w:val="20"/>
          <w:lang w:val="uk-UA"/>
        </w:rPr>
        <w:t>мужках</w:t>
      </w:r>
      <w:proofErr w:type="spellEnd"/>
      <w:r w:rsidRPr="006B6651">
        <w:rPr>
          <w:color w:val="000000" w:themeColor="text1"/>
          <w:w w:val="110"/>
          <w:sz w:val="20"/>
          <w:lang w:val="ru-RU"/>
        </w:rPr>
        <w:t xml:space="preserve"> і </w:t>
      </w:r>
      <w:proofErr w:type="spellStart"/>
      <w:r w:rsidRPr="006B6651">
        <w:rPr>
          <w:color w:val="000000" w:themeColor="text1"/>
          <w:w w:val="110"/>
          <w:sz w:val="20"/>
          <w:lang w:val="ru-RU"/>
        </w:rPr>
        <w:t>включають</w:t>
      </w:r>
      <w:proofErr w:type="spellEnd"/>
      <w:r w:rsidRPr="006B6651">
        <w:rPr>
          <w:color w:val="000000" w:themeColor="text1"/>
          <w:w w:val="110"/>
          <w:sz w:val="20"/>
          <w:lang w:val="ru-RU"/>
        </w:rPr>
        <w:t xml:space="preserve"> три </w:t>
      </w:r>
      <w:proofErr w:type="spellStart"/>
      <w:r w:rsidRPr="006B6651">
        <w:rPr>
          <w:color w:val="000000" w:themeColor="text1"/>
          <w:w w:val="110"/>
          <w:sz w:val="20"/>
          <w:lang w:val="ru-RU"/>
        </w:rPr>
        <w:t>етапи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екстракція</w:t>
      </w:r>
      <w:proofErr w:type="spellEnd"/>
      <w:r w:rsidRPr="006B6651">
        <w:rPr>
          <w:color w:val="000000" w:themeColor="text1"/>
          <w:w w:val="110"/>
          <w:sz w:val="20"/>
          <w:lang w:val="ru-RU"/>
        </w:rPr>
        <w:t xml:space="preserve"> ДНК з культуральних </w:t>
      </w:r>
      <w:proofErr w:type="spellStart"/>
      <w:r w:rsidRPr="006B6651">
        <w:rPr>
          <w:color w:val="000000" w:themeColor="text1"/>
          <w:w w:val="110"/>
          <w:sz w:val="20"/>
          <w:lang w:val="ru-RU"/>
        </w:rPr>
        <w:t>ізолятів</w:t>
      </w:r>
      <w:proofErr w:type="spellEnd"/>
      <w:r w:rsidRPr="006B6651">
        <w:rPr>
          <w:color w:val="000000" w:themeColor="text1"/>
          <w:w w:val="110"/>
          <w:sz w:val="20"/>
          <w:lang w:val="ru-RU"/>
        </w:rPr>
        <w:t xml:space="preserve"> </w:t>
      </w:r>
      <w:r w:rsidRPr="00A816CE">
        <w:rPr>
          <w:i/>
          <w:color w:val="000000" w:themeColor="text1"/>
          <w:w w:val="110"/>
          <w:sz w:val="20"/>
        </w:rPr>
        <w:t>M</w:t>
      </w:r>
      <w:r w:rsidRPr="006B6651">
        <w:rPr>
          <w:i/>
          <w:color w:val="000000" w:themeColor="text1"/>
          <w:w w:val="110"/>
          <w:sz w:val="20"/>
          <w:lang w:val="ru-RU"/>
        </w:rPr>
        <w:t xml:space="preserve">. </w:t>
      </w:r>
      <w:r w:rsidRPr="00A816CE">
        <w:rPr>
          <w:i/>
          <w:color w:val="000000" w:themeColor="text1"/>
          <w:w w:val="110"/>
          <w:sz w:val="20"/>
        </w:rPr>
        <w:t>tuberculosis</w:t>
      </w:r>
      <w:r w:rsidRPr="006B6651">
        <w:rPr>
          <w:color w:val="000000" w:themeColor="text1"/>
          <w:w w:val="110"/>
          <w:sz w:val="20"/>
          <w:lang w:val="ru-RU"/>
        </w:rPr>
        <w:t xml:space="preserve"> або </w:t>
      </w:r>
      <w:proofErr w:type="spellStart"/>
      <w:r w:rsidRPr="006B6651">
        <w:rPr>
          <w:color w:val="000000" w:themeColor="text1"/>
          <w:w w:val="110"/>
          <w:sz w:val="20"/>
          <w:lang w:val="ru-RU"/>
        </w:rPr>
        <w:t>безпосередньо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пацієнта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потім</w:t>
      </w:r>
      <w:proofErr w:type="spellEnd"/>
      <w:r w:rsidRPr="006B6651">
        <w:rPr>
          <w:color w:val="000000" w:themeColor="text1"/>
          <w:w w:val="110"/>
          <w:sz w:val="20"/>
          <w:lang w:val="ru-RU"/>
        </w:rPr>
        <w:t xml:space="preserve"> мультиплексна ПЛР-</w:t>
      </w:r>
      <w:proofErr w:type="spellStart"/>
      <w:r w:rsidRPr="006B6651">
        <w:rPr>
          <w:color w:val="000000" w:themeColor="text1"/>
          <w:w w:val="110"/>
          <w:sz w:val="20"/>
          <w:lang w:val="ru-RU"/>
        </w:rPr>
        <w:t>ампліфікація</w:t>
      </w:r>
      <w:proofErr w:type="spellEnd"/>
      <w:r w:rsidRPr="006B6651">
        <w:rPr>
          <w:color w:val="000000" w:themeColor="text1"/>
          <w:w w:val="110"/>
          <w:sz w:val="20"/>
          <w:lang w:val="ru-RU"/>
        </w:rPr>
        <w:t xml:space="preserve">, а </w:t>
      </w:r>
      <w:proofErr w:type="spellStart"/>
      <w:r w:rsidRPr="006B6651">
        <w:rPr>
          <w:color w:val="000000" w:themeColor="text1"/>
          <w:w w:val="110"/>
          <w:sz w:val="20"/>
          <w:lang w:val="ru-RU"/>
        </w:rPr>
        <w:t>потім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зворотна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гібридизація</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візуалізацією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зв'язування</w:t>
      </w:r>
      <w:proofErr w:type="spellEnd"/>
      <w:r w:rsidRPr="006B6651">
        <w:rPr>
          <w:color w:val="000000" w:themeColor="text1"/>
          <w:w w:val="110"/>
          <w:sz w:val="20"/>
          <w:lang w:val="ru-RU"/>
        </w:rPr>
        <w:t xml:space="preserve"> ампліконів (або </w:t>
      </w:r>
      <w:proofErr w:type="spellStart"/>
      <w:r w:rsidRPr="006B6651">
        <w:rPr>
          <w:color w:val="000000" w:themeColor="text1"/>
          <w:w w:val="110"/>
          <w:sz w:val="20"/>
          <w:lang w:val="ru-RU"/>
        </w:rPr>
        <w:t>його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відсутності</w:t>
      </w:r>
      <w:proofErr w:type="spellEnd"/>
      <w:r w:rsidRPr="006B6651">
        <w:rPr>
          <w:color w:val="000000" w:themeColor="text1"/>
          <w:w w:val="110"/>
          <w:sz w:val="20"/>
          <w:lang w:val="ru-RU"/>
        </w:rPr>
        <w:t xml:space="preserve">) із зондами дикого типу та </w:t>
      </w:r>
      <w:proofErr w:type="spellStart"/>
      <w:r w:rsidRPr="006B6651">
        <w:rPr>
          <w:color w:val="000000" w:themeColor="text1"/>
          <w:w w:val="110"/>
          <w:sz w:val="20"/>
          <w:lang w:val="ru-RU"/>
        </w:rPr>
        <w:t>мутаційними</w:t>
      </w:r>
      <w:proofErr w:type="spellEnd"/>
      <w:r w:rsidRPr="006B6651">
        <w:rPr>
          <w:color w:val="000000" w:themeColor="text1"/>
          <w:w w:val="110"/>
          <w:sz w:val="20"/>
          <w:lang w:val="ru-RU"/>
        </w:rPr>
        <w:t xml:space="preserve"> зондами </w:t>
      </w:r>
      <w:r w:rsidRPr="006B6651">
        <w:rPr>
          <w:i/>
          <w:color w:val="000000" w:themeColor="text1"/>
          <w:w w:val="110"/>
          <w:sz w:val="20"/>
          <w:lang w:val="ru-RU"/>
        </w:rPr>
        <w:t>(8)</w:t>
      </w:r>
      <w:r w:rsidRPr="006B6651">
        <w:rPr>
          <w:color w:val="000000" w:themeColor="text1"/>
          <w:w w:val="110"/>
          <w:sz w:val="20"/>
          <w:lang w:val="ru-RU"/>
        </w:rPr>
        <w:t>.</w:t>
      </w:r>
    </w:p>
    <w:p w14:paraId="57C51AE9" w14:textId="77777777" w:rsidR="00DE2E3D" w:rsidRPr="006B6651" w:rsidRDefault="00DE2E3D" w:rsidP="00DE2E3D">
      <w:pPr>
        <w:pStyle w:val="a3"/>
        <w:spacing w:before="174" w:line="276" w:lineRule="auto"/>
        <w:ind w:left="1417" w:right="650"/>
        <w:jc w:val="both"/>
        <w:rPr>
          <w:color w:val="000000" w:themeColor="text1"/>
          <w:sz w:val="20"/>
          <w:lang w:val="ru-RU"/>
        </w:rPr>
      </w:pPr>
      <w:proofErr w:type="spellStart"/>
      <w:r w:rsidRPr="006B6651">
        <w:rPr>
          <w:color w:val="000000" w:themeColor="text1"/>
          <w:sz w:val="20"/>
          <w:lang w:val="ru-RU"/>
        </w:rPr>
        <w:t>Хоча</w:t>
      </w:r>
      <w:proofErr w:type="spellEnd"/>
      <w:r w:rsidRPr="006B6651">
        <w:rPr>
          <w:color w:val="000000" w:themeColor="text1"/>
          <w:sz w:val="20"/>
          <w:lang w:val="ru-RU"/>
        </w:rPr>
        <w:t xml:space="preserve"> </w:t>
      </w:r>
      <w:r w:rsidRPr="00A816CE">
        <w:rPr>
          <w:color w:val="000000" w:themeColor="text1"/>
          <w:sz w:val="20"/>
        </w:rPr>
        <w:t>LPA</w:t>
      </w:r>
      <w:r w:rsidRPr="006B6651">
        <w:rPr>
          <w:color w:val="000000" w:themeColor="text1"/>
          <w:sz w:val="20"/>
          <w:lang w:val="ru-RU"/>
        </w:rPr>
        <w:t xml:space="preserve"> </w:t>
      </w:r>
      <w:proofErr w:type="spellStart"/>
      <w:r w:rsidRPr="006B6651">
        <w:rPr>
          <w:color w:val="000000" w:themeColor="text1"/>
          <w:sz w:val="20"/>
          <w:lang w:val="ru-RU"/>
        </w:rPr>
        <w:t>технічно</w:t>
      </w:r>
      <w:proofErr w:type="spellEnd"/>
      <w:r w:rsidRPr="006B6651">
        <w:rPr>
          <w:color w:val="000000" w:themeColor="text1"/>
          <w:sz w:val="20"/>
          <w:lang w:val="ru-RU"/>
        </w:rPr>
        <w:t xml:space="preserve"> </w:t>
      </w:r>
      <w:proofErr w:type="spellStart"/>
      <w:r w:rsidRPr="006B6651">
        <w:rPr>
          <w:color w:val="000000" w:themeColor="text1"/>
          <w:sz w:val="20"/>
          <w:lang w:val="ru-RU"/>
        </w:rPr>
        <w:t>складніш</w:t>
      </w:r>
      <w:proofErr w:type="spellEnd"/>
      <w:r w:rsidRPr="00A816CE">
        <w:rPr>
          <w:color w:val="000000" w:themeColor="text1"/>
          <w:sz w:val="20"/>
          <w:lang w:val="uk-UA"/>
        </w:rPr>
        <w:t>і</w:t>
      </w:r>
      <w:r w:rsidRPr="006B6651">
        <w:rPr>
          <w:color w:val="000000" w:themeColor="text1"/>
          <w:sz w:val="20"/>
          <w:lang w:val="ru-RU"/>
        </w:rPr>
        <w:t xml:space="preserve"> у </w:t>
      </w:r>
      <w:proofErr w:type="spellStart"/>
      <w:r w:rsidRPr="006B6651">
        <w:rPr>
          <w:color w:val="000000" w:themeColor="text1"/>
          <w:sz w:val="20"/>
          <w:lang w:val="ru-RU"/>
        </w:rPr>
        <w:t>виконанні</w:t>
      </w:r>
      <w:proofErr w:type="spellEnd"/>
      <w:r w:rsidRPr="006B6651">
        <w:rPr>
          <w:color w:val="000000" w:themeColor="text1"/>
          <w:sz w:val="20"/>
          <w:lang w:val="ru-RU"/>
        </w:rPr>
        <w:t xml:space="preserve">, </w:t>
      </w:r>
      <w:proofErr w:type="spellStart"/>
      <w:r w:rsidRPr="006B6651">
        <w:rPr>
          <w:color w:val="000000" w:themeColor="text1"/>
          <w:sz w:val="20"/>
          <w:lang w:val="ru-RU"/>
        </w:rPr>
        <w:t>ніж</w:t>
      </w:r>
      <w:proofErr w:type="spellEnd"/>
      <w:r w:rsidRPr="006B6651">
        <w:rPr>
          <w:color w:val="000000" w:themeColor="text1"/>
          <w:sz w:val="20"/>
          <w:lang w:val="ru-RU"/>
        </w:rPr>
        <w:t xml:space="preserve"> тест </w:t>
      </w:r>
      <w:r w:rsidRPr="00A816CE">
        <w:rPr>
          <w:color w:val="000000" w:themeColor="text1"/>
          <w:sz w:val="20"/>
        </w:rPr>
        <w:t>Xpert</w:t>
      </w:r>
      <w:r w:rsidRPr="006B6651">
        <w:rPr>
          <w:color w:val="000000" w:themeColor="text1"/>
          <w:sz w:val="20"/>
          <w:lang w:val="ru-RU"/>
        </w:rPr>
        <w:t xml:space="preserve"> </w:t>
      </w:r>
      <w:r w:rsidRPr="00A816CE">
        <w:rPr>
          <w:color w:val="000000" w:themeColor="text1"/>
          <w:sz w:val="20"/>
        </w:rPr>
        <w:t>MTB</w:t>
      </w:r>
      <w:r w:rsidRPr="006B6651">
        <w:rPr>
          <w:color w:val="000000" w:themeColor="text1"/>
          <w:sz w:val="20"/>
          <w:lang w:val="ru-RU"/>
        </w:rPr>
        <w:t>/</w:t>
      </w:r>
      <w:r w:rsidRPr="00A816CE">
        <w:rPr>
          <w:color w:val="000000" w:themeColor="text1"/>
          <w:sz w:val="20"/>
        </w:rPr>
        <w:t>RIF</w:t>
      </w:r>
      <w:r w:rsidRPr="006B6651">
        <w:rPr>
          <w:color w:val="000000" w:themeColor="text1"/>
          <w:sz w:val="20"/>
          <w:lang w:val="ru-RU"/>
        </w:rPr>
        <w:t xml:space="preserve">, вони </w:t>
      </w:r>
      <w:proofErr w:type="spellStart"/>
      <w:r w:rsidRPr="006B6651">
        <w:rPr>
          <w:color w:val="000000" w:themeColor="text1"/>
          <w:sz w:val="20"/>
          <w:lang w:val="ru-RU"/>
        </w:rPr>
        <w:t>можуть</w:t>
      </w:r>
      <w:proofErr w:type="spellEnd"/>
      <w:r w:rsidRPr="006B6651">
        <w:rPr>
          <w:color w:val="000000" w:themeColor="text1"/>
          <w:sz w:val="20"/>
          <w:lang w:val="ru-RU"/>
        </w:rPr>
        <w:t xml:space="preserve"> </w:t>
      </w:r>
      <w:proofErr w:type="spellStart"/>
      <w:r w:rsidRPr="006B6651">
        <w:rPr>
          <w:color w:val="000000" w:themeColor="text1"/>
          <w:sz w:val="20"/>
          <w:lang w:val="ru-RU"/>
        </w:rPr>
        <w:t>виявляти</w:t>
      </w:r>
      <w:proofErr w:type="spellEnd"/>
      <w:r w:rsidRPr="006B6651">
        <w:rPr>
          <w:color w:val="000000" w:themeColor="text1"/>
          <w:sz w:val="20"/>
          <w:lang w:val="ru-RU"/>
        </w:rPr>
        <w:t xml:space="preserve"> </w:t>
      </w:r>
      <w:r w:rsidRPr="00A816CE">
        <w:rPr>
          <w:color w:val="000000" w:themeColor="text1"/>
          <w:sz w:val="20"/>
          <w:lang w:val="uk-UA"/>
        </w:rPr>
        <w:t>стійкість</w:t>
      </w:r>
      <w:r w:rsidRPr="006B6651">
        <w:rPr>
          <w:color w:val="000000" w:themeColor="text1"/>
          <w:sz w:val="20"/>
          <w:lang w:val="ru-RU"/>
        </w:rPr>
        <w:t xml:space="preserve"> до ізоніазид</w:t>
      </w:r>
      <w:r w:rsidRPr="00A816CE">
        <w:rPr>
          <w:color w:val="000000" w:themeColor="text1"/>
          <w:sz w:val="20"/>
          <w:lang w:val="uk-UA"/>
        </w:rPr>
        <w:t>у</w:t>
      </w:r>
      <w:r w:rsidRPr="006B6651">
        <w:rPr>
          <w:color w:val="000000" w:themeColor="text1"/>
          <w:sz w:val="20"/>
          <w:lang w:val="ru-RU"/>
        </w:rPr>
        <w:t xml:space="preserve">. </w:t>
      </w:r>
      <w:r w:rsidRPr="00A816CE">
        <w:rPr>
          <w:color w:val="000000" w:themeColor="text1"/>
          <w:sz w:val="20"/>
          <w:lang w:val="uk-UA"/>
        </w:rPr>
        <w:t>П</w:t>
      </w:r>
      <w:proofErr w:type="spellStart"/>
      <w:r w:rsidRPr="006B6651">
        <w:rPr>
          <w:color w:val="000000" w:themeColor="text1"/>
          <w:sz w:val="20"/>
          <w:lang w:val="ru-RU"/>
        </w:rPr>
        <w:t>латформи</w:t>
      </w:r>
      <w:proofErr w:type="spellEnd"/>
      <w:r w:rsidRPr="00A816CE">
        <w:rPr>
          <w:color w:val="000000" w:themeColor="text1"/>
          <w:sz w:val="20"/>
          <w:lang w:val="uk-UA"/>
        </w:rPr>
        <w:t xml:space="preserve"> для тестування</w:t>
      </w:r>
      <w:r w:rsidRPr="006B6651">
        <w:rPr>
          <w:color w:val="000000" w:themeColor="text1"/>
          <w:sz w:val="20"/>
          <w:lang w:val="ru-RU"/>
        </w:rPr>
        <w:t xml:space="preserve"> були </w:t>
      </w:r>
      <w:proofErr w:type="spellStart"/>
      <w:r w:rsidRPr="006B6651">
        <w:rPr>
          <w:color w:val="000000" w:themeColor="text1"/>
          <w:sz w:val="20"/>
          <w:lang w:val="ru-RU"/>
        </w:rPr>
        <w:t>розроблені</w:t>
      </w:r>
      <w:proofErr w:type="spellEnd"/>
      <w:r w:rsidRPr="006B6651">
        <w:rPr>
          <w:color w:val="000000" w:themeColor="text1"/>
          <w:sz w:val="20"/>
          <w:lang w:val="ru-RU"/>
        </w:rPr>
        <w:t xml:space="preserve"> для умов референс-</w:t>
      </w:r>
      <w:proofErr w:type="spellStart"/>
      <w:r w:rsidRPr="006B6651">
        <w:rPr>
          <w:color w:val="000000" w:themeColor="text1"/>
          <w:sz w:val="20"/>
          <w:lang w:val="ru-RU"/>
        </w:rPr>
        <w:t>лабораторії</w:t>
      </w:r>
      <w:proofErr w:type="spellEnd"/>
      <w:r w:rsidRPr="006B6651">
        <w:rPr>
          <w:color w:val="000000" w:themeColor="text1"/>
          <w:sz w:val="20"/>
          <w:lang w:val="ru-RU"/>
        </w:rPr>
        <w:t xml:space="preserve"> і тому </w:t>
      </w:r>
      <w:r w:rsidRPr="00A816CE">
        <w:rPr>
          <w:color w:val="000000" w:themeColor="text1"/>
          <w:sz w:val="20"/>
          <w:lang w:val="uk-UA"/>
        </w:rPr>
        <w:t>найкраще підходять</w:t>
      </w:r>
      <w:r w:rsidRPr="006B6651">
        <w:rPr>
          <w:color w:val="000000" w:themeColor="text1"/>
          <w:sz w:val="20"/>
          <w:lang w:val="ru-RU"/>
        </w:rPr>
        <w:t xml:space="preserve"> для </w:t>
      </w:r>
      <w:proofErr w:type="spellStart"/>
      <w:r w:rsidRPr="006B6651">
        <w:rPr>
          <w:color w:val="000000" w:themeColor="text1"/>
          <w:sz w:val="20"/>
          <w:lang w:val="ru-RU"/>
        </w:rPr>
        <w:t>країн</w:t>
      </w:r>
      <w:proofErr w:type="spellEnd"/>
      <w:r w:rsidRPr="006B6651">
        <w:rPr>
          <w:color w:val="000000" w:themeColor="text1"/>
          <w:sz w:val="20"/>
          <w:lang w:val="ru-RU"/>
        </w:rPr>
        <w:t xml:space="preserve"> з </w:t>
      </w:r>
      <w:proofErr w:type="spellStart"/>
      <w:r w:rsidRPr="006B6651">
        <w:rPr>
          <w:color w:val="000000" w:themeColor="text1"/>
          <w:sz w:val="20"/>
          <w:lang w:val="ru-RU"/>
        </w:rPr>
        <w:t>високим</w:t>
      </w:r>
      <w:proofErr w:type="spellEnd"/>
      <w:r w:rsidRPr="006B6651">
        <w:rPr>
          <w:color w:val="000000" w:themeColor="text1"/>
          <w:sz w:val="20"/>
          <w:lang w:val="ru-RU"/>
        </w:rPr>
        <w:t xml:space="preserve"> </w:t>
      </w:r>
      <w:proofErr w:type="spellStart"/>
      <w:r w:rsidRPr="006B6651">
        <w:rPr>
          <w:color w:val="000000" w:themeColor="text1"/>
          <w:sz w:val="20"/>
          <w:lang w:val="ru-RU"/>
        </w:rPr>
        <w:t>тягарем</w:t>
      </w:r>
      <w:proofErr w:type="spellEnd"/>
      <w:r w:rsidRPr="006B6651">
        <w:rPr>
          <w:color w:val="000000" w:themeColor="text1"/>
          <w:sz w:val="20"/>
          <w:lang w:val="ru-RU"/>
        </w:rPr>
        <w:t xml:space="preserve"> </w:t>
      </w:r>
      <w:proofErr w:type="spellStart"/>
      <w:r w:rsidRPr="006B6651">
        <w:rPr>
          <w:color w:val="000000" w:themeColor="text1"/>
          <w:sz w:val="20"/>
          <w:lang w:val="ru-RU"/>
        </w:rPr>
        <w:t>туберкульозу</w:t>
      </w:r>
      <w:proofErr w:type="spellEnd"/>
      <w:r w:rsidRPr="006B6651">
        <w:rPr>
          <w:color w:val="000000" w:themeColor="text1"/>
          <w:sz w:val="20"/>
          <w:lang w:val="ru-RU"/>
        </w:rPr>
        <w:t xml:space="preserve">. </w:t>
      </w:r>
      <w:proofErr w:type="spellStart"/>
      <w:r w:rsidRPr="006B6651">
        <w:rPr>
          <w:color w:val="000000" w:themeColor="text1"/>
          <w:sz w:val="20"/>
          <w:lang w:val="ru-RU"/>
        </w:rPr>
        <w:t>Результати</w:t>
      </w:r>
      <w:proofErr w:type="spellEnd"/>
      <w:r w:rsidRPr="006B6651">
        <w:rPr>
          <w:color w:val="000000" w:themeColor="text1"/>
          <w:sz w:val="20"/>
          <w:lang w:val="ru-RU"/>
        </w:rPr>
        <w:t xml:space="preserve"> </w:t>
      </w:r>
      <w:proofErr w:type="spellStart"/>
      <w:r w:rsidRPr="006B6651">
        <w:rPr>
          <w:color w:val="000000" w:themeColor="text1"/>
          <w:sz w:val="20"/>
          <w:lang w:val="ru-RU"/>
        </w:rPr>
        <w:t>можна</w:t>
      </w:r>
      <w:proofErr w:type="spellEnd"/>
      <w:r w:rsidRPr="006B6651">
        <w:rPr>
          <w:color w:val="000000" w:themeColor="text1"/>
          <w:sz w:val="20"/>
          <w:lang w:val="ru-RU"/>
        </w:rPr>
        <w:t xml:space="preserve"> </w:t>
      </w:r>
      <w:proofErr w:type="spellStart"/>
      <w:r w:rsidRPr="006B6651">
        <w:rPr>
          <w:color w:val="000000" w:themeColor="text1"/>
          <w:sz w:val="20"/>
          <w:lang w:val="ru-RU"/>
        </w:rPr>
        <w:t>отримати</w:t>
      </w:r>
      <w:proofErr w:type="spellEnd"/>
      <w:r w:rsidRPr="006B6651">
        <w:rPr>
          <w:color w:val="000000" w:themeColor="text1"/>
          <w:sz w:val="20"/>
          <w:lang w:val="ru-RU"/>
        </w:rPr>
        <w:t xml:space="preserve"> за 5 годин.</w:t>
      </w:r>
    </w:p>
    <w:p w14:paraId="3FA63330" w14:textId="77777777" w:rsidR="00DE2E3D" w:rsidRPr="006B6651" w:rsidRDefault="00DE2E3D" w:rsidP="00DE2E3D">
      <w:pPr>
        <w:spacing w:line="276" w:lineRule="auto"/>
        <w:ind w:right="650"/>
        <w:jc w:val="both"/>
        <w:rPr>
          <w:lang w:val="ru-RU"/>
        </w:rPr>
      </w:pPr>
    </w:p>
    <w:p w14:paraId="66068A68" w14:textId="77777777" w:rsidR="00DE2E3D" w:rsidRPr="006B6651" w:rsidRDefault="00DE2E3D" w:rsidP="00DE2E3D">
      <w:pPr>
        <w:spacing w:line="276" w:lineRule="auto"/>
        <w:jc w:val="both"/>
        <w:rPr>
          <w:lang w:val="ru-RU"/>
        </w:rPr>
        <w:sectPr w:rsidR="00DE2E3D" w:rsidRPr="006B6651" w:rsidSect="00DE2E3D">
          <w:pgSz w:w="11910" w:h="16840"/>
          <w:pgMar w:top="567" w:right="249" w:bottom="780" w:left="238" w:header="0" w:footer="597" w:gutter="0"/>
          <w:cols w:space="720"/>
        </w:sectPr>
      </w:pPr>
    </w:p>
    <w:p w14:paraId="17F33391" w14:textId="77777777" w:rsidR="00DE2E3D" w:rsidRPr="00D029FF" w:rsidRDefault="00DE2E3D" w:rsidP="00DE2E3D">
      <w:pPr>
        <w:pStyle w:val="a3"/>
        <w:spacing w:before="86" w:line="276" w:lineRule="auto"/>
        <w:ind w:left="1417" w:right="1417"/>
        <w:jc w:val="both"/>
        <w:rPr>
          <w:color w:val="000000" w:themeColor="text1"/>
          <w:w w:val="110"/>
          <w:sz w:val="20"/>
          <w:szCs w:val="20"/>
          <w:lang w:val="ru-RU"/>
        </w:rPr>
      </w:pPr>
    </w:p>
    <w:p w14:paraId="7C8DD34D" w14:textId="77777777" w:rsidR="00DE2E3D" w:rsidRPr="00D029FF" w:rsidRDefault="00DE2E3D" w:rsidP="00DE2E3D">
      <w:pPr>
        <w:pStyle w:val="a3"/>
        <w:spacing w:before="86" w:line="276" w:lineRule="auto"/>
        <w:ind w:left="1417" w:right="1417"/>
        <w:jc w:val="both"/>
        <w:rPr>
          <w:color w:val="000000" w:themeColor="text1"/>
          <w:w w:val="110"/>
          <w:sz w:val="20"/>
          <w:szCs w:val="20"/>
          <w:lang w:val="ru-RU"/>
        </w:rPr>
      </w:pPr>
    </w:p>
    <w:p w14:paraId="23F8AD0C" w14:textId="680E02C9" w:rsidR="00DE2E3D" w:rsidRPr="00D029FF" w:rsidRDefault="00DE2E3D" w:rsidP="00DE2E3D">
      <w:pPr>
        <w:pStyle w:val="a3"/>
        <w:spacing w:before="86" w:line="276" w:lineRule="auto"/>
        <w:ind w:left="1417" w:right="1417"/>
        <w:jc w:val="both"/>
        <w:rPr>
          <w:color w:val="000000" w:themeColor="text1"/>
          <w:sz w:val="20"/>
          <w:szCs w:val="20"/>
          <w:lang w:val="ru-RU"/>
        </w:rPr>
      </w:pPr>
      <w:proofErr w:type="spellStart"/>
      <w:r w:rsidRPr="006B6651">
        <w:rPr>
          <w:color w:val="000000" w:themeColor="text1"/>
          <w:w w:val="110"/>
          <w:sz w:val="20"/>
          <w:szCs w:val="20"/>
          <w:lang w:val="ru-RU"/>
        </w:rPr>
        <w:t>Деякі</w:t>
      </w:r>
      <w:proofErr w:type="spellEnd"/>
      <w:r w:rsidRPr="00D029FF">
        <w:rPr>
          <w:color w:val="000000" w:themeColor="text1"/>
          <w:w w:val="110"/>
          <w:sz w:val="20"/>
          <w:szCs w:val="20"/>
          <w:lang w:val="ru-RU"/>
        </w:rPr>
        <w:t xml:space="preserve"> </w:t>
      </w:r>
      <w:r w:rsidRPr="006B6651">
        <w:rPr>
          <w:color w:val="000000" w:themeColor="text1"/>
          <w:w w:val="110"/>
          <w:sz w:val="20"/>
          <w:szCs w:val="20"/>
          <w:lang w:val="ru-RU"/>
        </w:rPr>
        <w:t>з</w:t>
      </w:r>
      <w:r w:rsidRPr="00D029FF">
        <w:rPr>
          <w:color w:val="000000" w:themeColor="text1"/>
          <w:w w:val="110"/>
          <w:sz w:val="20"/>
          <w:szCs w:val="20"/>
          <w:lang w:val="ru-RU"/>
        </w:rPr>
        <w:t xml:space="preserve"> </w:t>
      </w:r>
      <w:proofErr w:type="spellStart"/>
      <w:r w:rsidRPr="006B6651">
        <w:rPr>
          <w:color w:val="000000" w:themeColor="text1"/>
          <w:w w:val="110"/>
          <w:sz w:val="20"/>
          <w:szCs w:val="20"/>
          <w:lang w:val="ru-RU"/>
        </w:rPr>
        <w:t>цих</w:t>
      </w:r>
      <w:proofErr w:type="spellEnd"/>
      <w:r w:rsidRPr="00D029FF">
        <w:rPr>
          <w:color w:val="000000" w:themeColor="text1"/>
          <w:w w:val="110"/>
          <w:sz w:val="20"/>
          <w:szCs w:val="20"/>
          <w:lang w:val="ru-RU"/>
        </w:rPr>
        <w:t xml:space="preserve"> </w:t>
      </w:r>
      <w:proofErr w:type="spellStart"/>
      <w:r w:rsidRPr="006B6651">
        <w:rPr>
          <w:color w:val="000000" w:themeColor="text1"/>
          <w:w w:val="110"/>
          <w:sz w:val="20"/>
          <w:szCs w:val="20"/>
          <w:lang w:val="ru-RU"/>
        </w:rPr>
        <w:t>етапів</w:t>
      </w:r>
      <w:proofErr w:type="spellEnd"/>
      <w:r w:rsidRPr="00D029FF">
        <w:rPr>
          <w:color w:val="000000" w:themeColor="text1"/>
          <w:w w:val="110"/>
          <w:sz w:val="20"/>
          <w:szCs w:val="20"/>
          <w:lang w:val="ru-RU"/>
        </w:rPr>
        <w:t xml:space="preserve"> </w:t>
      </w:r>
      <w:proofErr w:type="spellStart"/>
      <w:r w:rsidRPr="006B6651">
        <w:rPr>
          <w:color w:val="000000" w:themeColor="text1"/>
          <w:w w:val="110"/>
          <w:sz w:val="20"/>
          <w:szCs w:val="20"/>
          <w:lang w:val="ru-RU"/>
        </w:rPr>
        <w:t>можна</w:t>
      </w:r>
      <w:proofErr w:type="spellEnd"/>
      <w:r w:rsidRPr="00D029FF">
        <w:rPr>
          <w:color w:val="000000" w:themeColor="text1"/>
          <w:w w:val="110"/>
          <w:sz w:val="20"/>
          <w:szCs w:val="20"/>
          <w:lang w:val="ru-RU"/>
        </w:rPr>
        <w:t xml:space="preserve"> </w:t>
      </w:r>
      <w:proofErr w:type="spellStart"/>
      <w:r w:rsidRPr="006B6651">
        <w:rPr>
          <w:color w:val="000000" w:themeColor="text1"/>
          <w:w w:val="110"/>
          <w:sz w:val="20"/>
          <w:szCs w:val="20"/>
          <w:lang w:val="ru-RU"/>
        </w:rPr>
        <w:t>автоматизувати</w:t>
      </w:r>
      <w:proofErr w:type="spellEnd"/>
      <w:r w:rsidRPr="00D029FF">
        <w:rPr>
          <w:color w:val="000000" w:themeColor="text1"/>
          <w:w w:val="110"/>
          <w:sz w:val="20"/>
          <w:szCs w:val="20"/>
          <w:lang w:val="ru-RU"/>
        </w:rPr>
        <w:t xml:space="preserve">, </w:t>
      </w:r>
      <w:proofErr w:type="spellStart"/>
      <w:r w:rsidRPr="006B6651">
        <w:rPr>
          <w:color w:val="000000" w:themeColor="text1"/>
          <w:w w:val="110"/>
          <w:sz w:val="20"/>
          <w:szCs w:val="20"/>
          <w:lang w:val="ru-RU"/>
        </w:rPr>
        <w:t>що</w:t>
      </w:r>
      <w:proofErr w:type="spellEnd"/>
      <w:r w:rsidRPr="00D029FF">
        <w:rPr>
          <w:color w:val="000000" w:themeColor="text1"/>
          <w:w w:val="110"/>
          <w:sz w:val="20"/>
          <w:szCs w:val="20"/>
          <w:lang w:val="ru-RU"/>
        </w:rPr>
        <w:t xml:space="preserve"> </w:t>
      </w:r>
      <w:r w:rsidRPr="006B6651">
        <w:rPr>
          <w:color w:val="000000" w:themeColor="text1"/>
          <w:w w:val="110"/>
          <w:sz w:val="20"/>
          <w:szCs w:val="20"/>
          <w:lang w:val="ru-RU"/>
        </w:rPr>
        <w:t>робить</w:t>
      </w:r>
      <w:r w:rsidRPr="00D029FF">
        <w:rPr>
          <w:color w:val="000000" w:themeColor="text1"/>
          <w:w w:val="110"/>
          <w:sz w:val="20"/>
          <w:szCs w:val="20"/>
          <w:lang w:val="ru-RU"/>
        </w:rPr>
        <w:t xml:space="preserve"> </w:t>
      </w:r>
      <w:r w:rsidRPr="006B6651">
        <w:rPr>
          <w:color w:val="000000" w:themeColor="text1"/>
          <w:w w:val="110"/>
          <w:sz w:val="20"/>
          <w:szCs w:val="20"/>
          <w:lang w:val="ru-RU"/>
        </w:rPr>
        <w:t>метод</w:t>
      </w:r>
      <w:r w:rsidRPr="00D029FF">
        <w:rPr>
          <w:color w:val="000000" w:themeColor="text1"/>
          <w:w w:val="110"/>
          <w:sz w:val="20"/>
          <w:szCs w:val="20"/>
          <w:lang w:val="ru-RU"/>
        </w:rPr>
        <w:t xml:space="preserve"> </w:t>
      </w:r>
      <w:proofErr w:type="spellStart"/>
      <w:r w:rsidRPr="006B6651">
        <w:rPr>
          <w:color w:val="000000" w:themeColor="text1"/>
          <w:w w:val="110"/>
          <w:sz w:val="20"/>
          <w:szCs w:val="20"/>
          <w:lang w:val="ru-RU"/>
        </w:rPr>
        <w:t>швидшим</w:t>
      </w:r>
      <w:proofErr w:type="spellEnd"/>
      <w:r w:rsidRPr="00D029FF">
        <w:rPr>
          <w:color w:val="000000" w:themeColor="text1"/>
          <w:w w:val="110"/>
          <w:sz w:val="20"/>
          <w:szCs w:val="20"/>
          <w:lang w:val="ru-RU"/>
        </w:rPr>
        <w:t xml:space="preserve"> </w:t>
      </w:r>
      <w:r w:rsidRPr="006B6651">
        <w:rPr>
          <w:color w:val="000000" w:themeColor="text1"/>
          <w:w w:val="110"/>
          <w:sz w:val="20"/>
          <w:szCs w:val="20"/>
          <w:lang w:val="ru-RU"/>
        </w:rPr>
        <w:t>і</w:t>
      </w:r>
      <w:r w:rsidRPr="00D029FF">
        <w:rPr>
          <w:color w:val="000000" w:themeColor="text1"/>
          <w:w w:val="110"/>
          <w:sz w:val="20"/>
          <w:szCs w:val="20"/>
          <w:lang w:val="ru-RU"/>
        </w:rPr>
        <w:t xml:space="preserve"> </w:t>
      </w:r>
      <w:proofErr w:type="spellStart"/>
      <w:r w:rsidRPr="006B6651">
        <w:rPr>
          <w:color w:val="000000" w:themeColor="text1"/>
          <w:w w:val="110"/>
          <w:sz w:val="20"/>
          <w:szCs w:val="20"/>
          <w:lang w:val="ru-RU"/>
        </w:rPr>
        <w:t>надійнішим</w:t>
      </w:r>
      <w:proofErr w:type="spellEnd"/>
      <w:r w:rsidRPr="00D029FF">
        <w:rPr>
          <w:color w:val="000000" w:themeColor="text1"/>
          <w:w w:val="110"/>
          <w:sz w:val="20"/>
          <w:szCs w:val="20"/>
          <w:lang w:val="ru-RU"/>
        </w:rPr>
        <w:t xml:space="preserve"> </w:t>
      </w:r>
      <w:r w:rsidRPr="006B6651">
        <w:rPr>
          <w:color w:val="000000" w:themeColor="text1"/>
          <w:w w:val="110"/>
          <w:sz w:val="20"/>
          <w:szCs w:val="20"/>
          <w:lang w:val="ru-RU"/>
        </w:rPr>
        <w:t>та</w:t>
      </w:r>
      <w:r w:rsidRPr="00D029FF">
        <w:rPr>
          <w:color w:val="000000" w:themeColor="text1"/>
          <w:w w:val="110"/>
          <w:sz w:val="20"/>
          <w:szCs w:val="20"/>
          <w:lang w:val="ru-RU"/>
        </w:rPr>
        <w:t xml:space="preserve"> </w:t>
      </w:r>
      <w:proofErr w:type="spellStart"/>
      <w:r w:rsidRPr="006B6651">
        <w:rPr>
          <w:color w:val="000000" w:themeColor="text1"/>
          <w:w w:val="110"/>
          <w:sz w:val="20"/>
          <w:szCs w:val="20"/>
          <w:lang w:val="ru-RU"/>
        </w:rPr>
        <w:t>знижує</w:t>
      </w:r>
      <w:proofErr w:type="spellEnd"/>
      <w:r w:rsidRPr="00D029FF">
        <w:rPr>
          <w:color w:val="000000" w:themeColor="text1"/>
          <w:w w:val="110"/>
          <w:sz w:val="20"/>
          <w:szCs w:val="20"/>
          <w:lang w:val="ru-RU"/>
        </w:rPr>
        <w:t xml:space="preserve"> </w:t>
      </w:r>
      <w:proofErr w:type="spellStart"/>
      <w:r w:rsidRPr="006B6651">
        <w:rPr>
          <w:color w:val="000000" w:themeColor="text1"/>
          <w:w w:val="110"/>
          <w:sz w:val="20"/>
          <w:szCs w:val="20"/>
          <w:lang w:val="ru-RU"/>
        </w:rPr>
        <w:t>ризик</w:t>
      </w:r>
      <w:proofErr w:type="spellEnd"/>
      <w:r w:rsidRPr="00D029FF">
        <w:rPr>
          <w:color w:val="000000" w:themeColor="text1"/>
          <w:w w:val="110"/>
          <w:sz w:val="20"/>
          <w:szCs w:val="20"/>
          <w:lang w:val="ru-RU"/>
        </w:rPr>
        <w:t xml:space="preserve"> </w:t>
      </w:r>
      <w:proofErr w:type="spellStart"/>
      <w:r w:rsidRPr="006B6651">
        <w:rPr>
          <w:color w:val="000000" w:themeColor="text1"/>
          <w:w w:val="110"/>
          <w:sz w:val="20"/>
          <w:szCs w:val="20"/>
          <w:lang w:val="ru-RU"/>
        </w:rPr>
        <w:t>контамінації</w:t>
      </w:r>
      <w:proofErr w:type="spellEnd"/>
      <w:r w:rsidRPr="00D029FF">
        <w:rPr>
          <w:color w:val="000000" w:themeColor="text1"/>
          <w:w w:val="110"/>
          <w:sz w:val="20"/>
          <w:szCs w:val="20"/>
          <w:lang w:val="ru-RU"/>
        </w:rPr>
        <w:t>.</w:t>
      </w:r>
    </w:p>
    <w:p w14:paraId="1613631A" w14:textId="77777777" w:rsidR="00DE2E3D" w:rsidRPr="006B6651" w:rsidRDefault="00DE2E3D" w:rsidP="00DE2E3D">
      <w:pPr>
        <w:pStyle w:val="a3"/>
        <w:spacing w:before="172" w:line="276" w:lineRule="auto"/>
        <w:ind w:left="1417" w:right="1414"/>
        <w:jc w:val="both"/>
        <w:rPr>
          <w:color w:val="000000" w:themeColor="text1"/>
          <w:sz w:val="20"/>
          <w:szCs w:val="20"/>
          <w:lang w:val="ru-RU"/>
        </w:rPr>
      </w:pPr>
      <w:r w:rsidRPr="006B6651">
        <w:rPr>
          <w:color w:val="000000" w:themeColor="text1"/>
          <w:w w:val="110"/>
          <w:sz w:val="20"/>
          <w:szCs w:val="20"/>
          <w:lang w:val="ru-RU"/>
        </w:rPr>
        <w:t>Тест</w:t>
      </w:r>
      <w:r w:rsidRPr="009455EF">
        <w:rPr>
          <w:color w:val="000000" w:themeColor="text1"/>
          <w:w w:val="110"/>
          <w:sz w:val="20"/>
          <w:szCs w:val="20"/>
          <w:lang w:val="uk-UA"/>
        </w:rPr>
        <w:t>-системи</w:t>
      </w:r>
      <w:r w:rsidRPr="006B6651">
        <w:rPr>
          <w:color w:val="000000" w:themeColor="text1"/>
          <w:w w:val="110"/>
          <w:sz w:val="20"/>
          <w:szCs w:val="20"/>
          <w:lang w:val="ru-RU"/>
        </w:rPr>
        <w:t xml:space="preserve"> </w:t>
      </w:r>
      <w:r w:rsidRPr="00A816CE">
        <w:rPr>
          <w:color w:val="000000" w:themeColor="text1"/>
          <w:w w:val="110"/>
          <w:sz w:val="20"/>
          <w:szCs w:val="20"/>
        </w:rPr>
        <w:t>Hain</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версі</w:t>
      </w:r>
      <w:proofErr w:type="spellEnd"/>
      <w:r>
        <w:rPr>
          <w:color w:val="000000" w:themeColor="text1"/>
          <w:w w:val="110"/>
          <w:sz w:val="20"/>
          <w:szCs w:val="20"/>
          <w:lang w:val="uk-UA"/>
        </w:rPr>
        <w:t>ї</w:t>
      </w:r>
      <w:r w:rsidRPr="006B6651">
        <w:rPr>
          <w:color w:val="000000" w:themeColor="text1"/>
          <w:w w:val="110"/>
          <w:sz w:val="20"/>
          <w:szCs w:val="20"/>
          <w:lang w:val="ru-RU"/>
        </w:rPr>
        <w:t xml:space="preserve"> 1 та 2 </w:t>
      </w:r>
      <w:proofErr w:type="spellStart"/>
      <w:r w:rsidRPr="006B6651">
        <w:rPr>
          <w:color w:val="000000" w:themeColor="text1"/>
          <w:w w:val="110"/>
          <w:sz w:val="20"/>
          <w:szCs w:val="20"/>
          <w:lang w:val="ru-RU"/>
        </w:rPr>
        <w:t>включають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зонди</w:t>
      </w:r>
      <w:proofErr w:type="spellEnd"/>
      <w:r w:rsidRPr="009455EF">
        <w:rPr>
          <w:color w:val="000000" w:themeColor="text1"/>
          <w:w w:val="110"/>
          <w:sz w:val="20"/>
          <w:szCs w:val="20"/>
          <w:lang w:val="uk-UA"/>
        </w:rPr>
        <w:t xml:space="preserve"> до</w:t>
      </w:r>
      <w:r w:rsidRPr="006B6651">
        <w:rPr>
          <w:color w:val="000000" w:themeColor="text1"/>
          <w:w w:val="110"/>
          <w:sz w:val="20"/>
          <w:szCs w:val="20"/>
          <w:lang w:val="ru-RU"/>
        </w:rPr>
        <w:t xml:space="preserve"> </w:t>
      </w:r>
      <w:r w:rsidRPr="009455EF">
        <w:rPr>
          <w:i/>
          <w:color w:val="000000" w:themeColor="text1"/>
          <w:w w:val="110"/>
          <w:sz w:val="20"/>
          <w:szCs w:val="20"/>
        </w:rPr>
        <w:t>rpo</w:t>
      </w:r>
      <w:r w:rsidRPr="009455EF">
        <w:rPr>
          <w:color w:val="000000" w:themeColor="text1"/>
          <w:w w:val="110"/>
          <w:sz w:val="20"/>
          <w:szCs w:val="20"/>
        </w:rPr>
        <w:t>B</w:t>
      </w:r>
      <w:r w:rsidRPr="006B6651">
        <w:rPr>
          <w:color w:val="000000" w:themeColor="text1"/>
          <w:w w:val="110"/>
          <w:sz w:val="20"/>
          <w:szCs w:val="20"/>
          <w:lang w:val="ru-RU"/>
        </w:rPr>
        <w:t xml:space="preserve"> для виявлення </w:t>
      </w:r>
      <w:r w:rsidRPr="00A816CE">
        <w:rPr>
          <w:color w:val="000000" w:themeColor="text1"/>
          <w:w w:val="110"/>
          <w:sz w:val="20"/>
          <w:szCs w:val="20"/>
          <w:lang w:val="uk-UA"/>
        </w:rPr>
        <w:t>стійкості</w:t>
      </w:r>
      <w:r w:rsidRPr="006B6651">
        <w:rPr>
          <w:color w:val="000000" w:themeColor="text1"/>
          <w:w w:val="110"/>
          <w:sz w:val="20"/>
          <w:szCs w:val="20"/>
          <w:lang w:val="ru-RU"/>
        </w:rPr>
        <w:t xml:space="preserve"> до рифампіцину, </w:t>
      </w:r>
      <w:proofErr w:type="spellStart"/>
      <w:r w:rsidRPr="006B6651">
        <w:rPr>
          <w:color w:val="000000" w:themeColor="text1"/>
          <w:w w:val="110"/>
          <w:sz w:val="20"/>
          <w:szCs w:val="20"/>
          <w:lang w:val="ru-RU"/>
        </w:rPr>
        <w:t>зонди</w:t>
      </w:r>
      <w:proofErr w:type="spellEnd"/>
      <w:r w:rsidRPr="006B6651">
        <w:rPr>
          <w:color w:val="000000" w:themeColor="text1"/>
          <w:w w:val="110"/>
          <w:sz w:val="20"/>
          <w:szCs w:val="20"/>
          <w:lang w:val="ru-RU"/>
        </w:rPr>
        <w:t xml:space="preserve"> </w:t>
      </w:r>
      <w:r w:rsidRPr="00A816CE">
        <w:rPr>
          <w:color w:val="000000" w:themeColor="text1"/>
          <w:w w:val="110"/>
          <w:sz w:val="20"/>
          <w:szCs w:val="20"/>
          <w:lang w:val="uk-UA"/>
        </w:rPr>
        <w:t>до</w:t>
      </w:r>
      <w:r w:rsidRPr="006B6651">
        <w:rPr>
          <w:i/>
          <w:color w:val="000000" w:themeColor="text1"/>
          <w:w w:val="110"/>
          <w:sz w:val="20"/>
          <w:szCs w:val="20"/>
          <w:lang w:val="ru-RU"/>
        </w:rPr>
        <w:t xml:space="preserve"> </w:t>
      </w:r>
      <w:r w:rsidRPr="00A816CE">
        <w:rPr>
          <w:i/>
          <w:color w:val="000000" w:themeColor="text1"/>
          <w:w w:val="110"/>
          <w:sz w:val="20"/>
          <w:szCs w:val="20"/>
        </w:rPr>
        <w:t>kat</w:t>
      </w:r>
      <w:r w:rsidRPr="00A816CE">
        <w:rPr>
          <w:color w:val="000000" w:themeColor="text1"/>
          <w:w w:val="110"/>
          <w:sz w:val="20"/>
          <w:szCs w:val="20"/>
        </w:rPr>
        <w:t>G</w:t>
      </w:r>
      <w:r w:rsidRPr="006B6651">
        <w:rPr>
          <w:color w:val="000000" w:themeColor="text1"/>
          <w:w w:val="110"/>
          <w:sz w:val="20"/>
          <w:szCs w:val="20"/>
          <w:lang w:val="ru-RU"/>
        </w:rPr>
        <w:t xml:space="preserve"> для виявлення </w:t>
      </w:r>
      <w:proofErr w:type="spellStart"/>
      <w:r w:rsidRPr="006B6651">
        <w:rPr>
          <w:color w:val="000000" w:themeColor="text1"/>
          <w:w w:val="110"/>
          <w:sz w:val="20"/>
          <w:szCs w:val="20"/>
          <w:lang w:val="ru-RU"/>
        </w:rPr>
        <w:t>мутацій</w:t>
      </w:r>
      <w:proofErr w:type="spellEnd"/>
      <w:r w:rsidRPr="006B6651">
        <w:rPr>
          <w:color w:val="000000" w:themeColor="text1"/>
          <w:w w:val="110"/>
          <w:sz w:val="20"/>
          <w:szCs w:val="20"/>
          <w:lang w:val="ru-RU"/>
        </w:rPr>
        <w:t xml:space="preserve">, пов'язаних з </w:t>
      </w:r>
      <w:proofErr w:type="spellStart"/>
      <w:r w:rsidRPr="006B6651">
        <w:rPr>
          <w:color w:val="000000" w:themeColor="text1"/>
          <w:w w:val="110"/>
          <w:sz w:val="20"/>
          <w:szCs w:val="20"/>
          <w:lang w:val="ru-RU"/>
        </w:rPr>
        <w:t>високим</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рівнем</w:t>
      </w:r>
      <w:proofErr w:type="spellEnd"/>
      <w:r w:rsidRPr="006B6651">
        <w:rPr>
          <w:color w:val="000000" w:themeColor="text1"/>
          <w:w w:val="110"/>
          <w:sz w:val="20"/>
          <w:szCs w:val="20"/>
          <w:lang w:val="ru-RU"/>
        </w:rPr>
        <w:t xml:space="preserve"> </w:t>
      </w:r>
      <w:r w:rsidRPr="00A816CE">
        <w:rPr>
          <w:color w:val="000000" w:themeColor="text1"/>
          <w:w w:val="110"/>
          <w:sz w:val="20"/>
          <w:szCs w:val="20"/>
          <w:lang w:val="uk-UA"/>
        </w:rPr>
        <w:t>стійкості</w:t>
      </w:r>
      <w:r w:rsidRPr="006B6651">
        <w:rPr>
          <w:color w:val="000000" w:themeColor="text1"/>
          <w:w w:val="110"/>
          <w:sz w:val="20"/>
          <w:szCs w:val="20"/>
          <w:lang w:val="ru-RU"/>
        </w:rPr>
        <w:t xml:space="preserve"> до ізоніазиду, та </w:t>
      </w:r>
      <w:proofErr w:type="spellStart"/>
      <w:r w:rsidRPr="006B6651">
        <w:rPr>
          <w:color w:val="000000" w:themeColor="text1"/>
          <w:w w:val="110"/>
          <w:sz w:val="20"/>
          <w:szCs w:val="20"/>
          <w:lang w:val="ru-RU"/>
        </w:rPr>
        <w:t>зонди</w:t>
      </w:r>
      <w:proofErr w:type="spellEnd"/>
      <w:r w:rsidRPr="006B6651">
        <w:rPr>
          <w:color w:val="000000" w:themeColor="text1"/>
          <w:w w:val="110"/>
          <w:sz w:val="20"/>
          <w:szCs w:val="20"/>
          <w:lang w:val="ru-RU"/>
        </w:rPr>
        <w:t xml:space="preserve"> промотора </w:t>
      </w:r>
      <w:r w:rsidRPr="00A816CE">
        <w:rPr>
          <w:color w:val="000000" w:themeColor="text1"/>
          <w:w w:val="110"/>
          <w:sz w:val="20"/>
          <w:szCs w:val="20"/>
          <w:lang w:val="uk-UA"/>
        </w:rPr>
        <w:t>до</w:t>
      </w:r>
      <w:r w:rsidRPr="006B6651">
        <w:rPr>
          <w:i/>
          <w:color w:val="000000" w:themeColor="text1"/>
          <w:w w:val="110"/>
          <w:sz w:val="20"/>
          <w:szCs w:val="20"/>
          <w:lang w:val="ru-RU"/>
        </w:rPr>
        <w:t xml:space="preserve"> </w:t>
      </w:r>
      <w:r w:rsidRPr="00A816CE">
        <w:rPr>
          <w:i/>
          <w:color w:val="000000" w:themeColor="text1"/>
          <w:w w:val="110"/>
          <w:sz w:val="20"/>
          <w:szCs w:val="20"/>
        </w:rPr>
        <w:t>inh</w:t>
      </w:r>
      <w:r w:rsidRPr="00A816CE">
        <w:rPr>
          <w:color w:val="000000" w:themeColor="text1"/>
          <w:w w:val="110"/>
          <w:sz w:val="20"/>
          <w:szCs w:val="20"/>
        </w:rPr>
        <w:t>A</w:t>
      </w:r>
      <w:r w:rsidRPr="006B6651">
        <w:rPr>
          <w:color w:val="000000" w:themeColor="text1"/>
          <w:w w:val="110"/>
          <w:sz w:val="20"/>
          <w:szCs w:val="20"/>
          <w:lang w:val="ru-RU"/>
        </w:rPr>
        <w:t xml:space="preserve"> для виявлення </w:t>
      </w:r>
      <w:proofErr w:type="spellStart"/>
      <w:r w:rsidRPr="006B6651">
        <w:rPr>
          <w:color w:val="000000" w:themeColor="text1"/>
          <w:w w:val="110"/>
          <w:sz w:val="20"/>
          <w:szCs w:val="20"/>
          <w:lang w:val="ru-RU"/>
        </w:rPr>
        <w:t>мутацій</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зазвичай</w:t>
      </w:r>
      <w:proofErr w:type="spellEnd"/>
      <w:r w:rsidRPr="006B6651">
        <w:rPr>
          <w:color w:val="000000" w:themeColor="text1"/>
          <w:w w:val="110"/>
          <w:sz w:val="20"/>
          <w:szCs w:val="20"/>
          <w:lang w:val="ru-RU"/>
        </w:rPr>
        <w:t xml:space="preserve"> пов'язаних </w:t>
      </w:r>
      <w:r>
        <w:rPr>
          <w:color w:val="000000" w:themeColor="text1"/>
          <w:w w:val="110"/>
          <w:sz w:val="20"/>
          <w:szCs w:val="20"/>
          <w:lang w:val="uk-UA"/>
        </w:rPr>
        <w:t>і</w:t>
      </w:r>
      <w:r w:rsidRPr="006B6651">
        <w:rPr>
          <w:color w:val="000000" w:themeColor="text1"/>
          <w:w w:val="110"/>
          <w:sz w:val="20"/>
          <w:szCs w:val="20"/>
          <w:lang w:val="ru-RU"/>
        </w:rPr>
        <w:t xml:space="preserve">з </w:t>
      </w:r>
      <w:proofErr w:type="spellStart"/>
      <w:r w:rsidRPr="006B6651">
        <w:rPr>
          <w:color w:val="000000" w:themeColor="text1"/>
          <w:w w:val="110"/>
          <w:sz w:val="20"/>
          <w:szCs w:val="20"/>
          <w:lang w:val="ru-RU"/>
        </w:rPr>
        <w:t>низьким</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рівнем</w:t>
      </w:r>
      <w:proofErr w:type="spellEnd"/>
      <w:r w:rsidRPr="006B6651">
        <w:rPr>
          <w:color w:val="000000" w:themeColor="text1"/>
          <w:w w:val="110"/>
          <w:sz w:val="20"/>
          <w:szCs w:val="20"/>
          <w:lang w:val="ru-RU"/>
        </w:rPr>
        <w:t xml:space="preserve"> </w:t>
      </w:r>
      <w:r>
        <w:rPr>
          <w:color w:val="000000" w:themeColor="text1"/>
          <w:w w:val="110"/>
          <w:sz w:val="20"/>
          <w:szCs w:val="20"/>
          <w:lang w:val="uk-UA"/>
        </w:rPr>
        <w:t>стійкості</w:t>
      </w:r>
      <w:r w:rsidRPr="006B6651">
        <w:rPr>
          <w:color w:val="000000" w:themeColor="text1"/>
          <w:w w:val="110"/>
          <w:sz w:val="20"/>
          <w:szCs w:val="20"/>
          <w:lang w:val="ru-RU"/>
        </w:rPr>
        <w:t xml:space="preserve"> до ізоніазиду. </w:t>
      </w:r>
      <w:proofErr w:type="spellStart"/>
      <w:r w:rsidRPr="006B6651">
        <w:rPr>
          <w:color w:val="000000" w:themeColor="text1"/>
          <w:w w:val="110"/>
          <w:sz w:val="20"/>
          <w:szCs w:val="20"/>
          <w:lang w:val="ru-RU"/>
        </w:rPr>
        <w:t>Зонди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що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використовуються</w:t>
      </w:r>
      <w:proofErr w:type="spellEnd"/>
      <w:r w:rsidRPr="006B6651">
        <w:rPr>
          <w:color w:val="000000" w:themeColor="text1"/>
          <w:w w:val="110"/>
          <w:sz w:val="20"/>
          <w:szCs w:val="20"/>
          <w:lang w:val="ru-RU"/>
        </w:rPr>
        <w:t xml:space="preserve"> для виявлення дикого типу та </w:t>
      </w:r>
      <w:proofErr w:type="spellStart"/>
      <w:r w:rsidRPr="006B6651">
        <w:rPr>
          <w:color w:val="000000" w:themeColor="text1"/>
          <w:w w:val="110"/>
          <w:sz w:val="20"/>
          <w:szCs w:val="20"/>
          <w:lang w:val="ru-RU"/>
        </w:rPr>
        <w:t>специфічних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мутацій</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однаков</w:t>
      </w:r>
      <w:proofErr w:type="spellEnd"/>
      <w:r w:rsidRPr="00A816CE">
        <w:rPr>
          <w:color w:val="000000" w:themeColor="text1"/>
          <w:w w:val="110"/>
          <w:sz w:val="20"/>
          <w:szCs w:val="20"/>
          <w:lang w:val="uk-UA"/>
        </w:rPr>
        <w:t>і</w:t>
      </w:r>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обох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версій</w:t>
      </w:r>
      <w:proofErr w:type="spellEnd"/>
      <w:r w:rsidRPr="006B6651">
        <w:rPr>
          <w:color w:val="000000" w:themeColor="text1"/>
          <w:w w:val="110"/>
          <w:sz w:val="20"/>
          <w:szCs w:val="20"/>
          <w:lang w:val="ru-RU"/>
        </w:rPr>
        <w:t xml:space="preserve"> </w:t>
      </w:r>
      <w:r w:rsidRPr="00A816CE">
        <w:rPr>
          <w:color w:val="000000" w:themeColor="text1"/>
          <w:w w:val="110"/>
          <w:sz w:val="20"/>
          <w:szCs w:val="20"/>
        </w:rPr>
        <w:t>LPA</w:t>
      </w:r>
      <w:r w:rsidRPr="006B6651">
        <w:rPr>
          <w:color w:val="000000" w:themeColor="text1"/>
          <w:w w:val="110"/>
          <w:sz w:val="20"/>
          <w:szCs w:val="20"/>
          <w:lang w:val="ru-RU"/>
        </w:rPr>
        <w:t xml:space="preserve"> </w:t>
      </w:r>
      <w:r w:rsidRPr="00A816CE">
        <w:rPr>
          <w:color w:val="000000" w:themeColor="text1"/>
          <w:w w:val="110"/>
          <w:sz w:val="20"/>
          <w:szCs w:val="20"/>
        </w:rPr>
        <w:t>Hain</w:t>
      </w:r>
      <w:r w:rsidRPr="006B6651">
        <w:rPr>
          <w:color w:val="000000" w:themeColor="text1"/>
          <w:w w:val="110"/>
          <w:sz w:val="20"/>
          <w:szCs w:val="20"/>
          <w:lang w:val="ru-RU"/>
        </w:rPr>
        <w:t>.</w:t>
      </w:r>
    </w:p>
    <w:p w14:paraId="00CDA9B3" w14:textId="77777777" w:rsidR="00DE2E3D" w:rsidRPr="006B6651" w:rsidRDefault="00DE2E3D" w:rsidP="00DE2E3D">
      <w:pPr>
        <w:pStyle w:val="a3"/>
        <w:spacing w:before="175" w:line="276" w:lineRule="auto"/>
        <w:ind w:left="1417" w:right="1415"/>
        <w:jc w:val="both"/>
        <w:rPr>
          <w:color w:val="000000" w:themeColor="text1"/>
          <w:sz w:val="20"/>
          <w:szCs w:val="20"/>
          <w:lang w:val="ru-RU"/>
        </w:rPr>
      </w:pPr>
      <w:r>
        <w:rPr>
          <w:color w:val="000000" w:themeColor="text1"/>
          <w:w w:val="110"/>
          <w:sz w:val="20"/>
          <w:szCs w:val="20"/>
          <w:lang w:val="uk-UA"/>
        </w:rPr>
        <w:t>Тест-система</w:t>
      </w:r>
      <w:r w:rsidRPr="006B6651">
        <w:rPr>
          <w:color w:val="000000" w:themeColor="text1"/>
          <w:w w:val="110"/>
          <w:sz w:val="20"/>
          <w:szCs w:val="20"/>
          <w:lang w:val="ru-RU"/>
        </w:rPr>
        <w:t xml:space="preserve"> </w:t>
      </w:r>
      <w:r w:rsidRPr="00A816CE">
        <w:rPr>
          <w:color w:val="000000" w:themeColor="text1"/>
          <w:w w:val="110"/>
          <w:sz w:val="20"/>
          <w:szCs w:val="20"/>
        </w:rPr>
        <w:t>Nipro</w:t>
      </w:r>
      <w:r>
        <w:rPr>
          <w:color w:val="000000" w:themeColor="text1"/>
          <w:w w:val="110"/>
          <w:sz w:val="20"/>
          <w:szCs w:val="20"/>
          <w:lang w:val="uk-UA"/>
        </w:rPr>
        <w:t xml:space="preserve"> також</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дозволяє</w:t>
      </w:r>
      <w:proofErr w:type="spellEnd"/>
      <w:r w:rsidRPr="006B6651">
        <w:rPr>
          <w:color w:val="000000" w:themeColor="text1"/>
          <w:w w:val="110"/>
          <w:sz w:val="20"/>
          <w:szCs w:val="20"/>
          <w:lang w:val="ru-RU"/>
        </w:rPr>
        <w:t xml:space="preserve"> </w:t>
      </w:r>
      <w:r>
        <w:rPr>
          <w:color w:val="000000" w:themeColor="text1"/>
          <w:w w:val="110"/>
          <w:sz w:val="20"/>
          <w:szCs w:val="20"/>
          <w:lang w:val="uk-UA"/>
        </w:rPr>
        <w:t>виявляти</w:t>
      </w:r>
      <w:r w:rsidRPr="006B6651">
        <w:rPr>
          <w:color w:val="000000" w:themeColor="text1"/>
          <w:w w:val="110"/>
          <w:sz w:val="20"/>
          <w:szCs w:val="20"/>
          <w:lang w:val="ru-RU"/>
        </w:rPr>
        <w:t xml:space="preserve"> МБТК та </w:t>
      </w:r>
      <w:r w:rsidRPr="00A816CE">
        <w:rPr>
          <w:color w:val="000000" w:themeColor="text1"/>
          <w:w w:val="110"/>
          <w:sz w:val="20"/>
          <w:szCs w:val="20"/>
          <w:lang w:val="uk-UA"/>
        </w:rPr>
        <w:t>стійкість</w:t>
      </w:r>
      <w:r w:rsidRPr="006B6651">
        <w:rPr>
          <w:color w:val="000000" w:themeColor="text1"/>
          <w:w w:val="110"/>
          <w:sz w:val="20"/>
          <w:szCs w:val="20"/>
          <w:lang w:val="ru-RU"/>
        </w:rPr>
        <w:t xml:space="preserve"> до рифампіцину та ізоніазиду. </w:t>
      </w:r>
      <w:r w:rsidRPr="00A816CE">
        <w:rPr>
          <w:color w:val="000000" w:themeColor="text1"/>
          <w:w w:val="110"/>
          <w:sz w:val="20"/>
          <w:szCs w:val="20"/>
        </w:rPr>
        <w:t>Nipro</w:t>
      </w:r>
      <w:r w:rsidRPr="006B6651">
        <w:rPr>
          <w:color w:val="000000" w:themeColor="text1"/>
          <w:w w:val="110"/>
          <w:sz w:val="20"/>
          <w:szCs w:val="20"/>
          <w:lang w:val="ru-RU"/>
        </w:rPr>
        <w:t xml:space="preserve"> також </w:t>
      </w:r>
      <w:r w:rsidRPr="00A816CE">
        <w:rPr>
          <w:color w:val="000000" w:themeColor="text1"/>
          <w:w w:val="110"/>
          <w:sz w:val="20"/>
          <w:szCs w:val="20"/>
          <w:lang w:val="uk-UA"/>
        </w:rPr>
        <w:t>відрізняє</w:t>
      </w:r>
      <w:r w:rsidRPr="006B6651">
        <w:rPr>
          <w:color w:val="000000" w:themeColor="text1"/>
          <w:w w:val="110"/>
          <w:sz w:val="20"/>
          <w:szCs w:val="20"/>
          <w:lang w:val="ru-RU"/>
        </w:rPr>
        <w:t xml:space="preserve"> </w:t>
      </w:r>
      <w:r w:rsidRPr="00A816CE">
        <w:rPr>
          <w:i/>
          <w:color w:val="000000" w:themeColor="text1"/>
          <w:w w:val="110"/>
          <w:sz w:val="20"/>
          <w:szCs w:val="20"/>
        </w:rPr>
        <w:t>M</w:t>
      </w:r>
      <w:r w:rsidRPr="006B6651">
        <w:rPr>
          <w:i/>
          <w:color w:val="000000" w:themeColor="text1"/>
          <w:w w:val="110"/>
          <w:sz w:val="20"/>
          <w:szCs w:val="20"/>
          <w:lang w:val="ru-RU"/>
        </w:rPr>
        <w:t xml:space="preserve">. </w:t>
      </w:r>
      <w:r w:rsidRPr="00A816CE">
        <w:rPr>
          <w:i/>
          <w:color w:val="000000" w:themeColor="text1"/>
          <w:w w:val="110"/>
          <w:sz w:val="20"/>
          <w:szCs w:val="20"/>
        </w:rPr>
        <w:t>avium</w:t>
      </w:r>
      <w:r w:rsidRPr="006B6651">
        <w:rPr>
          <w:color w:val="000000" w:themeColor="text1"/>
          <w:w w:val="110"/>
          <w:sz w:val="20"/>
          <w:szCs w:val="20"/>
          <w:lang w:val="ru-RU"/>
        </w:rPr>
        <w:t xml:space="preserve">, </w:t>
      </w:r>
      <w:r w:rsidRPr="00A816CE">
        <w:rPr>
          <w:i/>
          <w:color w:val="000000" w:themeColor="text1"/>
          <w:w w:val="110"/>
          <w:sz w:val="20"/>
          <w:szCs w:val="20"/>
        </w:rPr>
        <w:t>M</w:t>
      </w:r>
      <w:r w:rsidRPr="006B6651">
        <w:rPr>
          <w:i/>
          <w:color w:val="000000" w:themeColor="text1"/>
          <w:w w:val="110"/>
          <w:sz w:val="20"/>
          <w:szCs w:val="20"/>
          <w:lang w:val="ru-RU"/>
        </w:rPr>
        <w:t xml:space="preserve">. </w:t>
      </w:r>
      <w:proofErr w:type="spellStart"/>
      <w:r w:rsidRPr="00A816CE">
        <w:rPr>
          <w:i/>
          <w:color w:val="000000" w:themeColor="text1"/>
          <w:w w:val="110"/>
          <w:sz w:val="20"/>
          <w:szCs w:val="20"/>
        </w:rPr>
        <w:t>intracellulare</w:t>
      </w:r>
      <w:proofErr w:type="spellEnd"/>
      <w:r w:rsidRPr="006B6651">
        <w:rPr>
          <w:color w:val="000000" w:themeColor="text1"/>
          <w:w w:val="110"/>
          <w:sz w:val="20"/>
          <w:szCs w:val="20"/>
          <w:lang w:val="ru-RU"/>
        </w:rPr>
        <w:t xml:space="preserve"> та </w:t>
      </w:r>
      <w:r w:rsidRPr="00BB4DE6">
        <w:rPr>
          <w:i/>
          <w:color w:val="000000" w:themeColor="text1"/>
          <w:w w:val="110"/>
          <w:sz w:val="20"/>
          <w:szCs w:val="20"/>
        </w:rPr>
        <w:t>M</w:t>
      </w:r>
      <w:r w:rsidRPr="006B6651">
        <w:rPr>
          <w:i/>
          <w:color w:val="000000" w:themeColor="text1"/>
          <w:w w:val="110"/>
          <w:sz w:val="20"/>
          <w:szCs w:val="20"/>
          <w:lang w:val="ru-RU"/>
        </w:rPr>
        <w:t xml:space="preserve">. </w:t>
      </w:r>
      <w:proofErr w:type="spellStart"/>
      <w:r w:rsidRPr="00BB4DE6">
        <w:rPr>
          <w:i/>
          <w:color w:val="000000" w:themeColor="text1"/>
          <w:w w:val="110"/>
          <w:sz w:val="20"/>
          <w:szCs w:val="20"/>
        </w:rPr>
        <w:t>kansasii</w:t>
      </w:r>
      <w:proofErr w:type="spellEnd"/>
      <w:r>
        <w:rPr>
          <w:color w:val="000000" w:themeColor="text1"/>
          <w:w w:val="110"/>
          <w:sz w:val="20"/>
          <w:szCs w:val="20"/>
          <w:lang w:val="uk-UA"/>
        </w:rPr>
        <w:t xml:space="preserve"> </w:t>
      </w:r>
      <w:proofErr w:type="spellStart"/>
      <w:r w:rsidRPr="006B6651">
        <w:rPr>
          <w:color w:val="000000" w:themeColor="text1"/>
          <w:w w:val="110"/>
          <w:sz w:val="20"/>
          <w:szCs w:val="20"/>
          <w:lang w:val="ru-RU"/>
        </w:rPr>
        <w:t>від</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інших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нетуберкульозних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мікобактерій</w:t>
      </w:r>
      <w:proofErr w:type="spellEnd"/>
      <w:r w:rsidRPr="006B6651">
        <w:rPr>
          <w:color w:val="000000" w:themeColor="text1"/>
          <w:w w:val="110"/>
          <w:sz w:val="20"/>
          <w:szCs w:val="20"/>
          <w:lang w:val="ru-RU"/>
        </w:rPr>
        <w:t>.</w:t>
      </w:r>
    </w:p>
    <w:p w14:paraId="6CF3F5EA" w14:textId="77777777" w:rsidR="00DE2E3D" w:rsidRPr="006B6651" w:rsidRDefault="00DE2E3D" w:rsidP="00DE2E3D">
      <w:pPr>
        <w:pStyle w:val="a3"/>
        <w:spacing w:before="173" w:line="276" w:lineRule="auto"/>
        <w:ind w:left="1417" w:right="1410"/>
        <w:jc w:val="both"/>
        <w:rPr>
          <w:color w:val="000000" w:themeColor="text1"/>
          <w:sz w:val="20"/>
          <w:szCs w:val="20"/>
          <w:lang w:val="ru-RU"/>
        </w:rPr>
      </w:pPr>
      <w:r w:rsidRPr="00784388">
        <w:rPr>
          <w:color w:val="000000" w:themeColor="text1"/>
          <w:w w:val="110"/>
          <w:sz w:val="20"/>
          <w:szCs w:val="20"/>
          <w:lang w:val="uk-UA"/>
        </w:rPr>
        <w:t>З</w:t>
      </w:r>
      <w:proofErr w:type="spellStart"/>
      <w:r w:rsidRPr="006B6651">
        <w:rPr>
          <w:color w:val="000000" w:themeColor="text1"/>
          <w:w w:val="110"/>
          <w:sz w:val="20"/>
          <w:szCs w:val="20"/>
          <w:lang w:val="ru-RU"/>
        </w:rPr>
        <w:t>онди</w:t>
      </w:r>
      <w:proofErr w:type="spellEnd"/>
      <w:r w:rsidRPr="006B6651">
        <w:rPr>
          <w:color w:val="000000" w:themeColor="text1"/>
          <w:w w:val="110"/>
          <w:sz w:val="20"/>
          <w:szCs w:val="20"/>
          <w:lang w:val="ru-RU"/>
        </w:rPr>
        <w:t xml:space="preserve"> </w:t>
      </w:r>
      <w:r w:rsidRPr="00784388">
        <w:rPr>
          <w:color w:val="000000" w:themeColor="text1"/>
          <w:w w:val="110"/>
          <w:sz w:val="20"/>
          <w:szCs w:val="20"/>
          <w:lang w:val="uk-UA"/>
        </w:rPr>
        <w:t xml:space="preserve">до мутацій гена </w:t>
      </w:r>
      <w:r w:rsidRPr="00784388">
        <w:rPr>
          <w:i/>
          <w:color w:val="000000" w:themeColor="text1"/>
          <w:w w:val="110"/>
          <w:sz w:val="20"/>
          <w:szCs w:val="20"/>
        </w:rPr>
        <w:t>rpo</w:t>
      </w:r>
      <w:r w:rsidRPr="00784388">
        <w:rPr>
          <w:color w:val="000000" w:themeColor="text1"/>
          <w:w w:val="110"/>
          <w:sz w:val="20"/>
          <w:szCs w:val="20"/>
        </w:rPr>
        <w:t>B</w:t>
      </w:r>
      <w:r w:rsidRPr="006B6651">
        <w:rPr>
          <w:color w:val="000000" w:themeColor="text1"/>
          <w:w w:val="110"/>
          <w:sz w:val="20"/>
          <w:szCs w:val="20"/>
          <w:lang w:val="ru-RU"/>
        </w:rPr>
        <w:t xml:space="preserve">, </w:t>
      </w:r>
      <w:r w:rsidRPr="00784388">
        <w:rPr>
          <w:i/>
          <w:color w:val="000000" w:themeColor="text1"/>
          <w:w w:val="110"/>
          <w:sz w:val="20"/>
          <w:szCs w:val="20"/>
        </w:rPr>
        <w:t>kat</w:t>
      </w:r>
      <w:r w:rsidRPr="00784388">
        <w:rPr>
          <w:color w:val="000000" w:themeColor="text1"/>
          <w:w w:val="110"/>
          <w:sz w:val="20"/>
          <w:szCs w:val="20"/>
        </w:rPr>
        <w:t>G</w:t>
      </w:r>
      <w:r w:rsidRPr="006B6651">
        <w:rPr>
          <w:color w:val="000000" w:themeColor="text1"/>
          <w:w w:val="110"/>
          <w:sz w:val="20"/>
          <w:szCs w:val="20"/>
          <w:lang w:val="ru-RU"/>
        </w:rPr>
        <w:t xml:space="preserve"> та промотора </w:t>
      </w:r>
      <w:r w:rsidRPr="00A816CE">
        <w:rPr>
          <w:i/>
          <w:color w:val="000000" w:themeColor="text1"/>
          <w:w w:val="110"/>
          <w:sz w:val="20"/>
          <w:szCs w:val="20"/>
        </w:rPr>
        <w:t>inh</w:t>
      </w:r>
      <w:r w:rsidRPr="00A816CE">
        <w:rPr>
          <w:color w:val="000000" w:themeColor="text1"/>
          <w:w w:val="110"/>
          <w:sz w:val="20"/>
          <w:szCs w:val="20"/>
        </w:rPr>
        <w:t>A</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однаков</w:t>
      </w:r>
      <w:proofErr w:type="spellEnd"/>
      <w:r w:rsidRPr="00A816CE">
        <w:rPr>
          <w:color w:val="000000" w:themeColor="text1"/>
          <w:w w:val="110"/>
          <w:sz w:val="20"/>
          <w:szCs w:val="20"/>
          <w:lang w:val="uk-UA"/>
        </w:rPr>
        <w:t>і</w:t>
      </w:r>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трьох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тестів</w:t>
      </w:r>
      <w:proofErr w:type="spellEnd"/>
      <w:r w:rsidRPr="006B6651">
        <w:rPr>
          <w:color w:val="000000" w:themeColor="text1"/>
          <w:w w:val="110"/>
          <w:sz w:val="20"/>
          <w:szCs w:val="20"/>
          <w:lang w:val="ru-RU"/>
        </w:rPr>
        <w:t xml:space="preserve">, за </w:t>
      </w:r>
      <w:proofErr w:type="spellStart"/>
      <w:r w:rsidRPr="006B6651">
        <w:rPr>
          <w:color w:val="000000" w:themeColor="text1"/>
          <w:w w:val="110"/>
          <w:sz w:val="20"/>
          <w:szCs w:val="20"/>
          <w:lang w:val="ru-RU"/>
        </w:rPr>
        <w:t>винятком</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мутації</w:t>
      </w:r>
      <w:proofErr w:type="spellEnd"/>
      <w:r w:rsidRPr="006B6651">
        <w:rPr>
          <w:color w:val="000000" w:themeColor="text1"/>
          <w:w w:val="110"/>
          <w:sz w:val="20"/>
          <w:szCs w:val="20"/>
          <w:lang w:val="ru-RU"/>
        </w:rPr>
        <w:t xml:space="preserve"> </w:t>
      </w:r>
      <w:r w:rsidRPr="00A816CE">
        <w:rPr>
          <w:i/>
          <w:color w:val="000000" w:themeColor="text1"/>
          <w:w w:val="110"/>
          <w:sz w:val="20"/>
          <w:szCs w:val="20"/>
        </w:rPr>
        <w:t>kat</w:t>
      </w:r>
      <w:r w:rsidRPr="00A816CE">
        <w:rPr>
          <w:color w:val="000000" w:themeColor="text1"/>
          <w:w w:val="110"/>
          <w:sz w:val="20"/>
          <w:szCs w:val="20"/>
        </w:rPr>
        <w:t>G</w:t>
      </w:r>
      <w:r w:rsidRPr="006B6651">
        <w:rPr>
          <w:color w:val="000000" w:themeColor="text1"/>
          <w:w w:val="110"/>
          <w:sz w:val="20"/>
          <w:szCs w:val="20"/>
          <w:lang w:val="ru-RU"/>
        </w:rPr>
        <w:t xml:space="preserve"> </w:t>
      </w:r>
      <w:r w:rsidRPr="00A816CE">
        <w:rPr>
          <w:color w:val="000000" w:themeColor="text1"/>
          <w:w w:val="110"/>
          <w:sz w:val="20"/>
          <w:szCs w:val="20"/>
        </w:rPr>
        <w:t>S</w:t>
      </w:r>
      <w:r w:rsidRPr="006B6651">
        <w:rPr>
          <w:color w:val="000000" w:themeColor="text1"/>
          <w:w w:val="110"/>
          <w:sz w:val="20"/>
          <w:szCs w:val="20"/>
          <w:lang w:val="ru-RU"/>
        </w:rPr>
        <w:t>315</w:t>
      </w:r>
      <w:r w:rsidRPr="00A816CE">
        <w:rPr>
          <w:color w:val="000000" w:themeColor="text1"/>
          <w:w w:val="110"/>
          <w:sz w:val="20"/>
          <w:szCs w:val="20"/>
        </w:rPr>
        <w:t>N</w:t>
      </w:r>
      <w:r w:rsidRPr="006B6651">
        <w:rPr>
          <w:color w:val="000000" w:themeColor="text1"/>
          <w:w w:val="110"/>
          <w:sz w:val="20"/>
          <w:szCs w:val="20"/>
          <w:lang w:val="ru-RU"/>
        </w:rPr>
        <w:t xml:space="preserve">, яка включена </w:t>
      </w:r>
      <w:r>
        <w:rPr>
          <w:color w:val="000000" w:themeColor="text1"/>
          <w:w w:val="110"/>
          <w:sz w:val="20"/>
          <w:szCs w:val="20"/>
          <w:lang w:val="uk-UA"/>
        </w:rPr>
        <w:t>в</w:t>
      </w:r>
      <w:r w:rsidRPr="006B6651">
        <w:rPr>
          <w:color w:val="000000" w:themeColor="text1"/>
          <w:w w:val="110"/>
          <w:sz w:val="20"/>
          <w:szCs w:val="20"/>
          <w:lang w:val="ru-RU"/>
        </w:rPr>
        <w:t xml:space="preserve"> тест</w:t>
      </w:r>
      <w:r>
        <w:rPr>
          <w:color w:val="000000" w:themeColor="text1"/>
          <w:w w:val="110"/>
          <w:sz w:val="20"/>
          <w:szCs w:val="20"/>
          <w:lang w:val="uk-UA"/>
        </w:rPr>
        <w:t>-систему</w:t>
      </w:r>
      <w:r w:rsidRPr="006B6651">
        <w:rPr>
          <w:color w:val="000000" w:themeColor="text1"/>
          <w:w w:val="110"/>
          <w:sz w:val="20"/>
          <w:szCs w:val="20"/>
          <w:lang w:val="ru-RU"/>
        </w:rPr>
        <w:t xml:space="preserve"> </w:t>
      </w:r>
      <w:r w:rsidRPr="00A816CE">
        <w:rPr>
          <w:color w:val="000000" w:themeColor="text1"/>
          <w:w w:val="110"/>
          <w:sz w:val="20"/>
          <w:szCs w:val="20"/>
        </w:rPr>
        <w:t>Nipro</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але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відсутня</w:t>
      </w:r>
      <w:proofErr w:type="spellEnd"/>
      <w:r w:rsidRPr="006B6651">
        <w:rPr>
          <w:color w:val="000000" w:themeColor="text1"/>
          <w:w w:val="110"/>
          <w:sz w:val="20"/>
          <w:szCs w:val="20"/>
          <w:lang w:val="ru-RU"/>
        </w:rPr>
        <w:t xml:space="preserve"> у </w:t>
      </w:r>
      <w:r w:rsidRPr="00A816CE">
        <w:rPr>
          <w:color w:val="000000" w:themeColor="text1"/>
          <w:w w:val="110"/>
          <w:sz w:val="20"/>
          <w:szCs w:val="20"/>
        </w:rPr>
        <w:t>Hain</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версії</w:t>
      </w:r>
      <w:proofErr w:type="spellEnd"/>
      <w:r w:rsidRPr="006B6651">
        <w:rPr>
          <w:color w:val="000000" w:themeColor="text1"/>
          <w:w w:val="110"/>
          <w:sz w:val="20"/>
          <w:szCs w:val="20"/>
          <w:lang w:val="ru-RU"/>
        </w:rPr>
        <w:t xml:space="preserve"> 1 </w:t>
      </w:r>
      <w:r w:rsidRPr="00A816CE">
        <w:rPr>
          <w:color w:val="000000" w:themeColor="text1"/>
          <w:w w:val="110"/>
          <w:sz w:val="20"/>
          <w:szCs w:val="20"/>
          <w:lang w:val="uk-UA"/>
        </w:rPr>
        <w:t>та</w:t>
      </w:r>
      <w:r w:rsidRPr="006B6651">
        <w:rPr>
          <w:color w:val="000000" w:themeColor="text1"/>
          <w:w w:val="110"/>
          <w:sz w:val="20"/>
          <w:szCs w:val="20"/>
          <w:lang w:val="ru-RU"/>
        </w:rPr>
        <w:t xml:space="preserve"> 2. </w:t>
      </w:r>
      <w:proofErr w:type="spellStart"/>
      <w:r w:rsidRPr="006B6651">
        <w:rPr>
          <w:color w:val="000000" w:themeColor="text1"/>
          <w:w w:val="110"/>
          <w:sz w:val="20"/>
          <w:szCs w:val="20"/>
          <w:lang w:val="ru-RU"/>
        </w:rPr>
        <w:t>Існують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деякі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незначні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відмінності</w:t>
      </w:r>
      <w:proofErr w:type="spellEnd"/>
      <w:r w:rsidRPr="006B6651">
        <w:rPr>
          <w:color w:val="000000" w:themeColor="text1"/>
          <w:w w:val="110"/>
          <w:sz w:val="20"/>
          <w:szCs w:val="20"/>
          <w:lang w:val="ru-RU"/>
        </w:rPr>
        <w:t xml:space="preserve"> у </w:t>
      </w:r>
      <w:proofErr w:type="spellStart"/>
      <w:r w:rsidRPr="006B6651">
        <w:rPr>
          <w:color w:val="000000" w:themeColor="text1"/>
          <w:w w:val="110"/>
          <w:sz w:val="20"/>
          <w:szCs w:val="20"/>
          <w:lang w:val="ru-RU"/>
        </w:rPr>
        <w:t>ділянках</w:t>
      </w:r>
      <w:proofErr w:type="spellEnd"/>
      <w:r w:rsidRPr="00A816CE">
        <w:rPr>
          <w:color w:val="000000" w:themeColor="text1"/>
          <w:w w:val="110"/>
          <w:sz w:val="20"/>
          <w:szCs w:val="20"/>
          <w:lang w:val="uk-UA"/>
        </w:rPr>
        <w:t xml:space="preserve"> кодонів</w:t>
      </w:r>
      <w:r w:rsidRPr="006B6651">
        <w:rPr>
          <w:color w:val="000000" w:themeColor="text1"/>
          <w:w w:val="110"/>
          <w:sz w:val="20"/>
          <w:szCs w:val="20"/>
          <w:lang w:val="ru-RU"/>
        </w:rPr>
        <w:t xml:space="preserve"> дикого типу, </w:t>
      </w:r>
      <w:proofErr w:type="spellStart"/>
      <w:r w:rsidRPr="006B6651">
        <w:rPr>
          <w:color w:val="000000" w:themeColor="text1"/>
          <w:w w:val="110"/>
          <w:sz w:val="20"/>
          <w:szCs w:val="20"/>
          <w:lang w:val="ru-RU"/>
        </w:rPr>
        <w:t>що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охоплюються</w:t>
      </w:r>
      <w:proofErr w:type="spellEnd"/>
      <w:r w:rsidRPr="006B6651">
        <w:rPr>
          <w:color w:val="000000" w:themeColor="text1"/>
          <w:w w:val="110"/>
          <w:sz w:val="20"/>
          <w:szCs w:val="20"/>
          <w:lang w:val="ru-RU"/>
        </w:rPr>
        <w:t xml:space="preserve"> тестами </w:t>
      </w:r>
      <w:r w:rsidRPr="00A816CE">
        <w:rPr>
          <w:color w:val="000000" w:themeColor="text1"/>
          <w:w w:val="110"/>
          <w:sz w:val="20"/>
          <w:szCs w:val="20"/>
        </w:rPr>
        <w:t>Hain</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версі</w:t>
      </w:r>
      <w:proofErr w:type="spellEnd"/>
      <w:r>
        <w:rPr>
          <w:color w:val="000000" w:themeColor="text1"/>
          <w:w w:val="110"/>
          <w:sz w:val="20"/>
          <w:szCs w:val="20"/>
          <w:lang w:val="uk-UA"/>
        </w:rPr>
        <w:t>я</w:t>
      </w:r>
      <w:r w:rsidRPr="006B6651">
        <w:rPr>
          <w:color w:val="000000" w:themeColor="text1"/>
          <w:w w:val="110"/>
          <w:sz w:val="20"/>
          <w:szCs w:val="20"/>
          <w:lang w:val="ru-RU"/>
        </w:rPr>
        <w:t xml:space="preserve"> 1, </w:t>
      </w:r>
      <w:proofErr w:type="spellStart"/>
      <w:r w:rsidRPr="006B6651">
        <w:rPr>
          <w:color w:val="000000" w:themeColor="text1"/>
          <w:w w:val="110"/>
          <w:sz w:val="20"/>
          <w:szCs w:val="20"/>
          <w:lang w:val="ru-RU"/>
        </w:rPr>
        <w:t>версі</w:t>
      </w:r>
      <w:proofErr w:type="spellEnd"/>
      <w:r>
        <w:rPr>
          <w:color w:val="000000" w:themeColor="text1"/>
          <w:w w:val="110"/>
          <w:sz w:val="20"/>
          <w:szCs w:val="20"/>
          <w:lang w:val="uk-UA"/>
        </w:rPr>
        <w:t xml:space="preserve">я </w:t>
      </w:r>
      <w:r w:rsidRPr="006B6651">
        <w:rPr>
          <w:color w:val="000000" w:themeColor="text1"/>
          <w:w w:val="110"/>
          <w:sz w:val="20"/>
          <w:szCs w:val="20"/>
          <w:lang w:val="ru-RU"/>
        </w:rPr>
        <w:t xml:space="preserve">2 та </w:t>
      </w:r>
      <w:r w:rsidRPr="00A816CE">
        <w:rPr>
          <w:color w:val="000000" w:themeColor="text1"/>
          <w:w w:val="110"/>
          <w:sz w:val="20"/>
          <w:szCs w:val="20"/>
        </w:rPr>
        <w:t>Nipro</w:t>
      </w:r>
      <w:r w:rsidRPr="006B6651">
        <w:rPr>
          <w:color w:val="000000" w:themeColor="text1"/>
          <w:w w:val="110"/>
          <w:sz w:val="20"/>
          <w:szCs w:val="20"/>
          <w:lang w:val="ru-RU"/>
        </w:rPr>
        <w:t>.</w:t>
      </w:r>
    </w:p>
    <w:p w14:paraId="662E138F" w14:textId="77777777" w:rsidR="00DE2E3D" w:rsidRPr="006B6651" w:rsidRDefault="00DE2E3D" w:rsidP="006E5AE7">
      <w:pPr>
        <w:pStyle w:val="5"/>
        <w:spacing w:before="186"/>
        <w:ind w:left="1264" w:firstLine="153"/>
        <w:jc w:val="both"/>
        <w:rPr>
          <w:sz w:val="24"/>
          <w:szCs w:val="24"/>
          <w:lang w:val="ru-RU"/>
        </w:rPr>
      </w:pPr>
      <w:bookmarkStart w:id="73" w:name="_Hlk196836448"/>
      <w:proofErr w:type="spellStart"/>
      <w:r w:rsidRPr="006B6651">
        <w:rPr>
          <w:color w:val="019648"/>
          <w:sz w:val="24"/>
          <w:szCs w:val="24"/>
          <w:lang w:val="ru-RU"/>
        </w:rPr>
        <w:t>Обґрунтування</w:t>
      </w:r>
      <w:proofErr w:type="spellEnd"/>
      <w:r w:rsidRPr="006B6651">
        <w:rPr>
          <w:color w:val="019648"/>
          <w:sz w:val="24"/>
          <w:szCs w:val="24"/>
          <w:lang w:val="ru-RU"/>
        </w:rPr>
        <w:t xml:space="preserve"> та </w:t>
      </w:r>
      <w:proofErr w:type="spellStart"/>
      <w:r w:rsidRPr="006B6651">
        <w:rPr>
          <w:color w:val="019648"/>
          <w:sz w:val="24"/>
          <w:szCs w:val="24"/>
          <w:lang w:val="ru-RU"/>
        </w:rPr>
        <w:t>докази</w:t>
      </w:r>
      <w:proofErr w:type="spellEnd"/>
    </w:p>
    <w:bookmarkEnd w:id="73"/>
    <w:p w14:paraId="10B13C94" w14:textId="77777777" w:rsidR="00DE2E3D" w:rsidRPr="006B6651" w:rsidRDefault="00DE2E3D" w:rsidP="00DE2E3D">
      <w:pPr>
        <w:pStyle w:val="a3"/>
        <w:spacing w:before="180" w:line="276" w:lineRule="auto"/>
        <w:ind w:left="1417" w:right="1412"/>
        <w:jc w:val="both"/>
        <w:rPr>
          <w:sz w:val="20"/>
          <w:szCs w:val="20"/>
          <w:lang w:val="uk-UA"/>
        </w:rPr>
      </w:pPr>
      <w:r w:rsidRPr="006B6651">
        <w:rPr>
          <w:w w:val="110"/>
          <w:sz w:val="20"/>
          <w:szCs w:val="20"/>
          <w:lang w:val="ru-RU"/>
        </w:rPr>
        <w:t xml:space="preserve">У 2015 </w:t>
      </w:r>
      <w:proofErr w:type="spellStart"/>
      <w:r w:rsidRPr="006B6651">
        <w:rPr>
          <w:w w:val="110"/>
          <w:sz w:val="20"/>
          <w:szCs w:val="20"/>
          <w:lang w:val="ru-RU"/>
        </w:rPr>
        <w:t>році</w:t>
      </w:r>
      <w:proofErr w:type="spellEnd"/>
      <w:r w:rsidRPr="006B6651">
        <w:rPr>
          <w:w w:val="110"/>
          <w:sz w:val="20"/>
          <w:szCs w:val="20"/>
          <w:lang w:val="ru-RU"/>
        </w:rPr>
        <w:t xml:space="preserve"> ВООЗ </w:t>
      </w:r>
      <w:proofErr w:type="spellStart"/>
      <w:r w:rsidRPr="006B6651">
        <w:rPr>
          <w:w w:val="110"/>
          <w:sz w:val="20"/>
          <w:szCs w:val="20"/>
          <w:lang w:val="ru-RU"/>
        </w:rPr>
        <w:t>замовила</w:t>
      </w:r>
      <w:proofErr w:type="spellEnd"/>
      <w:r w:rsidRPr="006B6651">
        <w:rPr>
          <w:w w:val="110"/>
          <w:sz w:val="20"/>
          <w:szCs w:val="20"/>
          <w:lang w:val="ru-RU"/>
        </w:rPr>
        <w:t xml:space="preserve"> </w:t>
      </w:r>
      <w:proofErr w:type="spellStart"/>
      <w:r w:rsidRPr="006B6651">
        <w:rPr>
          <w:w w:val="110"/>
          <w:sz w:val="20"/>
          <w:szCs w:val="20"/>
          <w:lang w:val="ru-RU"/>
        </w:rPr>
        <w:t>оновлений</w:t>
      </w:r>
      <w:proofErr w:type="spellEnd"/>
      <w:r w:rsidRPr="006B6651">
        <w:rPr>
          <w:w w:val="110"/>
          <w:sz w:val="20"/>
          <w:szCs w:val="20"/>
          <w:lang w:val="ru-RU"/>
        </w:rPr>
        <w:t xml:space="preserve"> </w:t>
      </w:r>
      <w:proofErr w:type="spellStart"/>
      <w:r w:rsidRPr="006B6651">
        <w:rPr>
          <w:w w:val="110"/>
          <w:sz w:val="20"/>
          <w:szCs w:val="20"/>
          <w:lang w:val="ru-RU"/>
        </w:rPr>
        <w:t>систематичний</w:t>
      </w:r>
      <w:proofErr w:type="spellEnd"/>
      <w:r w:rsidRPr="006B6651">
        <w:rPr>
          <w:w w:val="110"/>
          <w:sz w:val="20"/>
          <w:szCs w:val="20"/>
          <w:lang w:val="ru-RU"/>
        </w:rPr>
        <w:t xml:space="preserve"> </w:t>
      </w:r>
      <w:proofErr w:type="spellStart"/>
      <w:r w:rsidRPr="006B6651">
        <w:rPr>
          <w:w w:val="110"/>
          <w:sz w:val="20"/>
          <w:szCs w:val="20"/>
          <w:lang w:val="ru-RU"/>
        </w:rPr>
        <w:t>огляд</w:t>
      </w:r>
      <w:proofErr w:type="spellEnd"/>
      <w:r w:rsidRPr="006B6651">
        <w:rPr>
          <w:w w:val="110"/>
          <w:sz w:val="20"/>
          <w:szCs w:val="20"/>
          <w:lang w:val="ru-RU"/>
        </w:rPr>
        <w:t xml:space="preserve"> </w:t>
      </w:r>
      <w:proofErr w:type="spellStart"/>
      <w:r w:rsidRPr="006B6651">
        <w:rPr>
          <w:w w:val="110"/>
          <w:sz w:val="20"/>
          <w:szCs w:val="20"/>
          <w:lang w:val="ru-RU"/>
        </w:rPr>
        <w:t>точності</w:t>
      </w:r>
      <w:proofErr w:type="spellEnd"/>
      <w:r w:rsidRPr="006B6651">
        <w:rPr>
          <w:w w:val="110"/>
          <w:sz w:val="20"/>
          <w:szCs w:val="20"/>
          <w:lang w:val="ru-RU"/>
        </w:rPr>
        <w:t xml:space="preserve"> </w:t>
      </w:r>
      <w:r>
        <w:rPr>
          <w:w w:val="110"/>
          <w:sz w:val="20"/>
          <w:szCs w:val="20"/>
          <w:lang w:val="uk-UA"/>
        </w:rPr>
        <w:t>доступних на ринку</w:t>
      </w:r>
      <w:r w:rsidRPr="006B6651">
        <w:rPr>
          <w:w w:val="110"/>
          <w:sz w:val="20"/>
          <w:szCs w:val="20"/>
          <w:lang w:val="ru-RU"/>
        </w:rPr>
        <w:t xml:space="preserve"> </w:t>
      </w:r>
      <w:r w:rsidRPr="003C17C3">
        <w:rPr>
          <w:w w:val="110"/>
          <w:sz w:val="20"/>
          <w:szCs w:val="20"/>
        </w:rPr>
        <w:t>LPA</w:t>
      </w:r>
      <w:r w:rsidRPr="006B6651">
        <w:rPr>
          <w:w w:val="110"/>
          <w:sz w:val="20"/>
          <w:szCs w:val="20"/>
          <w:lang w:val="ru-RU"/>
        </w:rPr>
        <w:t xml:space="preserve"> для виявлення М</w:t>
      </w:r>
      <w:r w:rsidRPr="003C17C3">
        <w:rPr>
          <w:w w:val="110"/>
          <w:sz w:val="20"/>
          <w:szCs w:val="20"/>
          <w:lang w:val="uk-UA"/>
        </w:rPr>
        <w:t>Б</w:t>
      </w:r>
      <w:r w:rsidRPr="006B6651">
        <w:rPr>
          <w:w w:val="110"/>
          <w:sz w:val="20"/>
          <w:szCs w:val="20"/>
          <w:lang w:val="ru-RU"/>
        </w:rPr>
        <w:t xml:space="preserve">ТК та </w:t>
      </w:r>
      <w:r w:rsidRPr="003C17C3">
        <w:rPr>
          <w:w w:val="110"/>
          <w:sz w:val="20"/>
          <w:szCs w:val="20"/>
          <w:lang w:val="uk-UA"/>
        </w:rPr>
        <w:t>стійкості</w:t>
      </w:r>
      <w:r w:rsidRPr="006B6651">
        <w:rPr>
          <w:w w:val="110"/>
          <w:sz w:val="20"/>
          <w:szCs w:val="20"/>
          <w:lang w:val="ru-RU"/>
        </w:rPr>
        <w:t xml:space="preserve"> до рифампіцину та ізоніазиду. </w:t>
      </w:r>
      <w:proofErr w:type="spellStart"/>
      <w:r w:rsidRPr="006B6651">
        <w:rPr>
          <w:w w:val="110"/>
          <w:sz w:val="20"/>
          <w:szCs w:val="20"/>
          <w:lang w:val="ru-RU"/>
        </w:rPr>
        <w:t>Було</w:t>
      </w:r>
      <w:proofErr w:type="spellEnd"/>
      <w:r w:rsidRPr="006B6651">
        <w:rPr>
          <w:w w:val="110"/>
          <w:sz w:val="20"/>
          <w:szCs w:val="20"/>
          <w:lang w:val="ru-RU"/>
        </w:rPr>
        <w:t xml:space="preserve"> </w:t>
      </w:r>
      <w:proofErr w:type="spellStart"/>
      <w:r w:rsidRPr="006B6651">
        <w:rPr>
          <w:w w:val="110"/>
          <w:sz w:val="20"/>
          <w:szCs w:val="20"/>
          <w:lang w:val="ru-RU"/>
        </w:rPr>
        <w:t>ідентифіковано</w:t>
      </w:r>
      <w:proofErr w:type="spellEnd"/>
      <w:r w:rsidRPr="006B6651">
        <w:rPr>
          <w:w w:val="110"/>
          <w:sz w:val="20"/>
          <w:szCs w:val="20"/>
          <w:lang w:val="ru-RU"/>
        </w:rPr>
        <w:t xml:space="preserve"> </w:t>
      </w:r>
      <w:proofErr w:type="spellStart"/>
      <w:r w:rsidRPr="006B6651">
        <w:rPr>
          <w:w w:val="110"/>
          <w:sz w:val="20"/>
          <w:szCs w:val="20"/>
          <w:lang w:val="ru-RU"/>
        </w:rPr>
        <w:t>загалом</w:t>
      </w:r>
      <w:proofErr w:type="spellEnd"/>
      <w:r w:rsidRPr="006B6651">
        <w:rPr>
          <w:w w:val="110"/>
          <w:sz w:val="20"/>
          <w:szCs w:val="20"/>
          <w:lang w:val="ru-RU"/>
        </w:rPr>
        <w:t xml:space="preserve"> 74 </w:t>
      </w:r>
      <w:proofErr w:type="spellStart"/>
      <w:r w:rsidRPr="006B6651">
        <w:rPr>
          <w:w w:val="110"/>
          <w:sz w:val="20"/>
          <w:szCs w:val="20"/>
          <w:lang w:val="ru-RU"/>
        </w:rPr>
        <w:t>дослідження</w:t>
      </w:r>
      <w:proofErr w:type="spellEnd"/>
      <w:r w:rsidRPr="006B6651">
        <w:rPr>
          <w:w w:val="110"/>
          <w:sz w:val="20"/>
          <w:szCs w:val="20"/>
          <w:lang w:val="ru-RU"/>
        </w:rPr>
        <w:t xml:space="preserve">, </w:t>
      </w:r>
      <w:proofErr w:type="spellStart"/>
      <w:r w:rsidRPr="006B6651">
        <w:rPr>
          <w:w w:val="110"/>
          <w:sz w:val="20"/>
          <w:szCs w:val="20"/>
          <w:lang w:val="ru-RU"/>
        </w:rPr>
        <w:t>що</w:t>
      </w:r>
      <w:proofErr w:type="spellEnd"/>
      <w:r w:rsidRPr="006B6651">
        <w:rPr>
          <w:w w:val="110"/>
          <w:sz w:val="20"/>
          <w:szCs w:val="20"/>
          <w:lang w:val="ru-RU"/>
        </w:rPr>
        <w:t xml:space="preserve"> </w:t>
      </w:r>
      <w:proofErr w:type="spellStart"/>
      <w:r w:rsidRPr="006B6651">
        <w:rPr>
          <w:w w:val="110"/>
          <w:sz w:val="20"/>
          <w:szCs w:val="20"/>
          <w:lang w:val="ru-RU"/>
        </w:rPr>
        <w:t>містили</w:t>
      </w:r>
      <w:proofErr w:type="spellEnd"/>
      <w:r w:rsidRPr="006B6651">
        <w:rPr>
          <w:w w:val="110"/>
          <w:sz w:val="20"/>
          <w:szCs w:val="20"/>
          <w:lang w:val="ru-RU"/>
        </w:rPr>
        <w:t xml:space="preserve"> 94 </w:t>
      </w:r>
      <w:proofErr w:type="spellStart"/>
      <w:r w:rsidRPr="006B6651">
        <w:rPr>
          <w:w w:val="110"/>
          <w:sz w:val="20"/>
          <w:szCs w:val="20"/>
          <w:lang w:val="ru-RU"/>
        </w:rPr>
        <w:t>унікальні</w:t>
      </w:r>
      <w:proofErr w:type="spellEnd"/>
      <w:r w:rsidRPr="006B6651">
        <w:rPr>
          <w:w w:val="110"/>
          <w:sz w:val="20"/>
          <w:szCs w:val="20"/>
          <w:lang w:val="ru-RU"/>
        </w:rPr>
        <w:t xml:space="preserve"> </w:t>
      </w:r>
      <w:proofErr w:type="spellStart"/>
      <w:r w:rsidRPr="006B6651">
        <w:rPr>
          <w:w w:val="110"/>
          <w:sz w:val="20"/>
          <w:szCs w:val="20"/>
          <w:lang w:val="ru-RU"/>
        </w:rPr>
        <w:t>набори</w:t>
      </w:r>
      <w:proofErr w:type="spellEnd"/>
      <w:r w:rsidRPr="006B6651">
        <w:rPr>
          <w:w w:val="110"/>
          <w:sz w:val="20"/>
          <w:szCs w:val="20"/>
          <w:lang w:val="ru-RU"/>
        </w:rPr>
        <w:t xml:space="preserve"> </w:t>
      </w:r>
      <w:proofErr w:type="spellStart"/>
      <w:r w:rsidRPr="006B6651">
        <w:rPr>
          <w:w w:val="110"/>
          <w:sz w:val="20"/>
          <w:szCs w:val="20"/>
          <w:lang w:val="ru-RU"/>
        </w:rPr>
        <w:t>даних</w:t>
      </w:r>
      <w:proofErr w:type="spellEnd"/>
      <w:r w:rsidRPr="006B6651">
        <w:rPr>
          <w:w w:val="110"/>
          <w:sz w:val="20"/>
          <w:szCs w:val="20"/>
          <w:lang w:val="ru-RU"/>
        </w:rPr>
        <w:t xml:space="preserve"> (див. </w:t>
      </w:r>
      <w:r w:rsidRPr="006B6651">
        <w:rPr>
          <w:b/>
          <w:w w:val="110"/>
          <w:sz w:val="20"/>
          <w:szCs w:val="20"/>
          <w:lang w:val="ru-RU"/>
        </w:rPr>
        <w:t>Веб-</w:t>
      </w:r>
      <w:proofErr w:type="spellStart"/>
      <w:r w:rsidRPr="006B6651">
        <w:rPr>
          <w:b/>
          <w:w w:val="110"/>
          <w:sz w:val="20"/>
          <w:szCs w:val="20"/>
          <w:lang w:val="ru-RU"/>
        </w:rPr>
        <w:t>додаток</w:t>
      </w:r>
      <w:proofErr w:type="spellEnd"/>
      <w:r w:rsidRPr="006B6651">
        <w:rPr>
          <w:w w:val="110"/>
          <w:sz w:val="20"/>
          <w:szCs w:val="20"/>
          <w:lang w:val="ru-RU"/>
        </w:rPr>
        <w:t xml:space="preserve"> </w:t>
      </w:r>
      <w:r w:rsidRPr="003C17C3">
        <w:rPr>
          <w:w w:val="110"/>
          <w:sz w:val="20"/>
          <w:szCs w:val="20"/>
        </w:rPr>
        <w:t>A</w:t>
      </w:r>
      <w:r w:rsidRPr="006B6651">
        <w:rPr>
          <w:w w:val="110"/>
          <w:sz w:val="20"/>
          <w:szCs w:val="20"/>
          <w:lang w:val="ru-RU"/>
        </w:rPr>
        <w:t>.7: “</w:t>
      </w:r>
      <w:r w:rsidRPr="003C17C3">
        <w:rPr>
          <w:w w:val="110"/>
          <w:sz w:val="20"/>
          <w:szCs w:val="20"/>
        </w:rPr>
        <w:t>FL</w:t>
      </w:r>
      <w:r w:rsidRPr="006B6651">
        <w:rPr>
          <w:w w:val="110"/>
          <w:sz w:val="20"/>
          <w:szCs w:val="20"/>
          <w:lang w:val="ru-RU"/>
        </w:rPr>
        <w:t>-</w:t>
      </w:r>
      <w:r w:rsidRPr="003C17C3">
        <w:rPr>
          <w:w w:val="110"/>
          <w:sz w:val="20"/>
          <w:szCs w:val="20"/>
        </w:rPr>
        <w:t>LPA</w:t>
      </w:r>
      <w:r w:rsidRPr="006B6651">
        <w:rPr>
          <w:w w:val="110"/>
          <w:sz w:val="20"/>
          <w:szCs w:val="20"/>
          <w:lang w:val="ru-RU"/>
        </w:rPr>
        <w:t xml:space="preserve">”. З </w:t>
      </w:r>
      <w:proofErr w:type="spellStart"/>
      <w:r w:rsidRPr="006B6651">
        <w:rPr>
          <w:w w:val="110"/>
          <w:sz w:val="20"/>
          <w:szCs w:val="20"/>
          <w:lang w:val="ru-RU"/>
        </w:rPr>
        <w:t>цих</w:t>
      </w:r>
      <w:proofErr w:type="spellEnd"/>
      <w:r w:rsidRPr="006B6651">
        <w:rPr>
          <w:w w:val="110"/>
          <w:sz w:val="20"/>
          <w:szCs w:val="20"/>
          <w:lang w:val="ru-RU"/>
        </w:rPr>
        <w:t xml:space="preserve"> 94 </w:t>
      </w:r>
      <w:proofErr w:type="spellStart"/>
      <w:r w:rsidRPr="006B6651">
        <w:rPr>
          <w:w w:val="110"/>
          <w:sz w:val="20"/>
          <w:szCs w:val="20"/>
          <w:lang w:val="ru-RU"/>
        </w:rPr>
        <w:t>наборів</w:t>
      </w:r>
      <w:proofErr w:type="spellEnd"/>
      <w:r w:rsidRPr="006B6651">
        <w:rPr>
          <w:w w:val="110"/>
          <w:sz w:val="20"/>
          <w:szCs w:val="20"/>
          <w:lang w:val="ru-RU"/>
        </w:rPr>
        <w:t xml:space="preserve"> </w:t>
      </w:r>
      <w:proofErr w:type="spellStart"/>
      <w:r w:rsidRPr="006B6651">
        <w:rPr>
          <w:w w:val="110"/>
          <w:sz w:val="20"/>
          <w:szCs w:val="20"/>
          <w:lang w:val="ru-RU"/>
        </w:rPr>
        <w:t>даних</w:t>
      </w:r>
      <w:proofErr w:type="spellEnd"/>
      <w:r w:rsidRPr="006B6651">
        <w:rPr>
          <w:w w:val="110"/>
          <w:sz w:val="20"/>
          <w:szCs w:val="20"/>
          <w:lang w:val="ru-RU"/>
        </w:rPr>
        <w:t xml:space="preserve"> 83 </w:t>
      </w:r>
      <w:proofErr w:type="spellStart"/>
      <w:r w:rsidRPr="006B6651">
        <w:rPr>
          <w:w w:val="110"/>
          <w:sz w:val="20"/>
          <w:szCs w:val="20"/>
          <w:lang w:val="ru-RU"/>
        </w:rPr>
        <w:t>оцінювали</w:t>
      </w:r>
      <w:proofErr w:type="spellEnd"/>
      <w:r w:rsidRPr="006B6651">
        <w:rPr>
          <w:w w:val="110"/>
          <w:sz w:val="20"/>
          <w:szCs w:val="20"/>
          <w:lang w:val="ru-RU"/>
        </w:rPr>
        <w:t xml:space="preserve"> </w:t>
      </w:r>
      <w:r w:rsidRPr="003C17C3">
        <w:rPr>
          <w:w w:val="110"/>
          <w:sz w:val="20"/>
          <w:szCs w:val="20"/>
        </w:rPr>
        <w:t>Hain</w:t>
      </w:r>
      <w:r w:rsidRPr="006B6651">
        <w:rPr>
          <w:w w:val="110"/>
          <w:sz w:val="20"/>
          <w:szCs w:val="20"/>
          <w:lang w:val="ru-RU"/>
        </w:rPr>
        <w:t xml:space="preserve"> </w:t>
      </w:r>
      <w:proofErr w:type="spellStart"/>
      <w:r w:rsidRPr="006B6651">
        <w:rPr>
          <w:w w:val="110"/>
          <w:sz w:val="20"/>
          <w:szCs w:val="20"/>
          <w:lang w:val="ru-RU"/>
        </w:rPr>
        <w:t>версі</w:t>
      </w:r>
      <w:proofErr w:type="spellEnd"/>
      <w:r>
        <w:rPr>
          <w:w w:val="110"/>
          <w:sz w:val="20"/>
          <w:szCs w:val="20"/>
          <w:lang w:val="uk-UA"/>
        </w:rPr>
        <w:t>я</w:t>
      </w:r>
      <w:r w:rsidRPr="006B6651">
        <w:rPr>
          <w:w w:val="110"/>
          <w:sz w:val="20"/>
          <w:szCs w:val="20"/>
          <w:lang w:val="ru-RU"/>
        </w:rPr>
        <w:t xml:space="preserve"> 1, </w:t>
      </w:r>
      <w:proofErr w:type="spellStart"/>
      <w:r w:rsidRPr="006B6651">
        <w:rPr>
          <w:w w:val="110"/>
          <w:sz w:val="20"/>
          <w:szCs w:val="20"/>
          <w:lang w:val="ru-RU"/>
        </w:rPr>
        <w:t>п'ять</w:t>
      </w:r>
      <w:proofErr w:type="spellEnd"/>
      <w:r w:rsidRPr="006B6651">
        <w:rPr>
          <w:w w:val="110"/>
          <w:sz w:val="20"/>
          <w:szCs w:val="20"/>
          <w:lang w:val="ru-RU"/>
        </w:rPr>
        <w:t xml:space="preserve"> — </w:t>
      </w:r>
      <w:r w:rsidRPr="003C17C3">
        <w:rPr>
          <w:w w:val="110"/>
          <w:sz w:val="20"/>
          <w:szCs w:val="20"/>
        </w:rPr>
        <w:t>Hain</w:t>
      </w:r>
      <w:r w:rsidRPr="006B6651">
        <w:rPr>
          <w:w w:val="110"/>
          <w:sz w:val="20"/>
          <w:szCs w:val="20"/>
          <w:lang w:val="ru-RU"/>
        </w:rPr>
        <w:t xml:space="preserve"> </w:t>
      </w:r>
      <w:proofErr w:type="spellStart"/>
      <w:r w:rsidRPr="006B6651">
        <w:rPr>
          <w:w w:val="110"/>
          <w:sz w:val="20"/>
          <w:szCs w:val="20"/>
          <w:lang w:val="ru-RU"/>
        </w:rPr>
        <w:t>версі</w:t>
      </w:r>
      <w:proofErr w:type="spellEnd"/>
      <w:r>
        <w:rPr>
          <w:w w:val="110"/>
          <w:sz w:val="20"/>
          <w:szCs w:val="20"/>
          <w:lang w:val="uk-UA"/>
        </w:rPr>
        <w:t>я</w:t>
      </w:r>
      <w:r w:rsidRPr="006B6651">
        <w:rPr>
          <w:w w:val="110"/>
          <w:sz w:val="20"/>
          <w:szCs w:val="20"/>
          <w:lang w:val="ru-RU"/>
        </w:rPr>
        <w:t xml:space="preserve"> 2, і </w:t>
      </w:r>
      <w:proofErr w:type="spellStart"/>
      <w:r w:rsidRPr="006B6651">
        <w:rPr>
          <w:w w:val="110"/>
          <w:sz w:val="20"/>
          <w:szCs w:val="20"/>
          <w:lang w:val="ru-RU"/>
        </w:rPr>
        <w:t>шість</w:t>
      </w:r>
      <w:proofErr w:type="spellEnd"/>
      <w:r w:rsidRPr="006B6651">
        <w:rPr>
          <w:w w:val="110"/>
          <w:sz w:val="20"/>
          <w:szCs w:val="20"/>
          <w:lang w:val="ru-RU"/>
        </w:rPr>
        <w:t xml:space="preserve"> — тест </w:t>
      </w:r>
      <w:r w:rsidRPr="003C17C3">
        <w:rPr>
          <w:w w:val="110"/>
          <w:sz w:val="20"/>
          <w:szCs w:val="20"/>
        </w:rPr>
        <w:t>Nipro</w:t>
      </w:r>
      <w:r w:rsidRPr="006B6651">
        <w:rPr>
          <w:w w:val="110"/>
          <w:sz w:val="20"/>
          <w:szCs w:val="20"/>
          <w:lang w:val="ru-RU"/>
        </w:rPr>
        <w:t xml:space="preserve">. Лише </w:t>
      </w:r>
      <w:proofErr w:type="spellStart"/>
      <w:r w:rsidRPr="006B6651">
        <w:rPr>
          <w:w w:val="110"/>
          <w:sz w:val="20"/>
          <w:szCs w:val="20"/>
          <w:lang w:val="ru-RU"/>
        </w:rPr>
        <w:t>одне</w:t>
      </w:r>
      <w:proofErr w:type="spellEnd"/>
      <w:r w:rsidRPr="006B6651">
        <w:rPr>
          <w:w w:val="110"/>
          <w:sz w:val="20"/>
          <w:szCs w:val="20"/>
          <w:lang w:val="ru-RU"/>
        </w:rPr>
        <w:t xml:space="preserve"> з </w:t>
      </w:r>
      <w:proofErr w:type="spellStart"/>
      <w:r w:rsidRPr="006B6651">
        <w:rPr>
          <w:w w:val="110"/>
          <w:sz w:val="20"/>
          <w:szCs w:val="20"/>
          <w:lang w:val="ru-RU"/>
        </w:rPr>
        <w:t>досліджень</w:t>
      </w:r>
      <w:proofErr w:type="spellEnd"/>
      <w:r w:rsidRPr="006B6651">
        <w:rPr>
          <w:w w:val="110"/>
          <w:sz w:val="20"/>
          <w:szCs w:val="20"/>
          <w:lang w:val="ru-RU"/>
        </w:rPr>
        <w:t xml:space="preserve"> провело </w:t>
      </w:r>
      <w:proofErr w:type="spellStart"/>
      <w:r w:rsidRPr="006B6651">
        <w:rPr>
          <w:w w:val="110"/>
          <w:sz w:val="20"/>
          <w:szCs w:val="20"/>
          <w:lang w:val="ru-RU"/>
        </w:rPr>
        <w:t>порівняльне</w:t>
      </w:r>
      <w:proofErr w:type="spellEnd"/>
      <w:r w:rsidRPr="006B6651">
        <w:rPr>
          <w:w w:val="110"/>
          <w:sz w:val="20"/>
          <w:szCs w:val="20"/>
          <w:lang w:val="ru-RU"/>
        </w:rPr>
        <w:t xml:space="preserve"> </w:t>
      </w:r>
      <w:proofErr w:type="spellStart"/>
      <w:r w:rsidRPr="006B6651">
        <w:rPr>
          <w:w w:val="110"/>
          <w:sz w:val="20"/>
          <w:szCs w:val="20"/>
          <w:lang w:val="ru-RU"/>
        </w:rPr>
        <w:t>тестування</w:t>
      </w:r>
      <w:proofErr w:type="spellEnd"/>
      <w:r w:rsidRPr="006B6651">
        <w:rPr>
          <w:w w:val="110"/>
          <w:sz w:val="20"/>
          <w:szCs w:val="20"/>
          <w:lang w:val="ru-RU"/>
        </w:rPr>
        <w:t xml:space="preserve"> </w:t>
      </w:r>
      <w:proofErr w:type="spellStart"/>
      <w:r w:rsidRPr="006B6651">
        <w:rPr>
          <w:w w:val="110"/>
          <w:sz w:val="20"/>
          <w:szCs w:val="20"/>
          <w:lang w:val="ru-RU"/>
        </w:rPr>
        <w:t>усіх</w:t>
      </w:r>
      <w:proofErr w:type="spellEnd"/>
      <w:r w:rsidRPr="006B6651">
        <w:rPr>
          <w:w w:val="110"/>
          <w:sz w:val="20"/>
          <w:szCs w:val="20"/>
          <w:lang w:val="ru-RU"/>
        </w:rPr>
        <w:t xml:space="preserve"> </w:t>
      </w:r>
      <w:proofErr w:type="spellStart"/>
      <w:r w:rsidRPr="006B6651">
        <w:rPr>
          <w:w w:val="110"/>
          <w:sz w:val="20"/>
          <w:szCs w:val="20"/>
          <w:lang w:val="ru-RU"/>
        </w:rPr>
        <w:t>трьох</w:t>
      </w:r>
      <w:proofErr w:type="spellEnd"/>
      <w:r w:rsidRPr="006B6651">
        <w:rPr>
          <w:w w:val="110"/>
          <w:sz w:val="20"/>
          <w:szCs w:val="20"/>
          <w:lang w:val="ru-RU"/>
        </w:rPr>
        <w:t xml:space="preserve"> </w:t>
      </w:r>
      <w:r>
        <w:rPr>
          <w:w w:val="110"/>
          <w:sz w:val="20"/>
          <w:szCs w:val="20"/>
          <w:lang w:val="uk-UA"/>
        </w:rPr>
        <w:t>обраних для дослідження</w:t>
      </w:r>
      <w:r w:rsidRPr="006B6651">
        <w:rPr>
          <w:w w:val="110"/>
          <w:sz w:val="20"/>
          <w:szCs w:val="20"/>
          <w:lang w:val="ru-RU"/>
        </w:rPr>
        <w:t xml:space="preserve"> </w:t>
      </w:r>
      <w:r w:rsidRPr="003C17C3">
        <w:rPr>
          <w:w w:val="110"/>
          <w:sz w:val="20"/>
          <w:szCs w:val="20"/>
        </w:rPr>
        <w:t>LPA</w:t>
      </w:r>
      <w:r w:rsidRPr="003C17C3">
        <w:rPr>
          <w:w w:val="110"/>
          <w:sz w:val="20"/>
          <w:szCs w:val="20"/>
          <w:lang w:val="uk-UA"/>
        </w:rPr>
        <w:t xml:space="preserve">, </w:t>
      </w:r>
      <w:r w:rsidRPr="006B6651">
        <w:rPr>
          <w:w w:val="110"/>
          <w:sz w:val="20"/>
          <w:szCs w:val="20"/>
          <w:lang w:val="ru-RU"/>
        </w:rPr>
        <w:t xml:space="preserve">на </w:t>
      </w:r>
      <w:proofErr w:type="spellStart"/>
      <w:r w:rsidRPr="006B6651">
        <w:rPr>
          <w:w w:val="110"/>
          <w:sz w:val="20"/>
          <w:szCs w:val="20"/>
          <w:lang w:val="ru-RU"/>
        </w:rPr>
        <w:t>клінічних</w:t>
      </w:r>
      <w:proofErr w:type="spellEnd"/>
      <w:r w:rsidRPr="006B6651">
        <w:rPr>
          <w:w w:val="110"/>
          <w:sz w:val="20"/>
          <w:szCs w:val="20"/>
          <w:lang w:val="ru-RU"/>
        </w:rPr>
        <w:t xml:space="preserve"> </w:t>
      </w:r>
      <w:proofErr w:type="spellStart"/>
      <w:r w:rsidRPr="006B6651">
        <w:rPr>
          <w:w w:val="110"/>
          <w:sz w:val="20"/>
          <w:szCs w:val="20"/>
          <w:lang w:val="ru-RU"/>
        </w:rPr>
        <w:t>зразках</w:t>
      </w:r>
      <w:proofErr w:type="spellEnd"/>
      <w:r w:rsidRPr="003C17C3">
        <w:rPr>
          <w:w w:val="110"/>
          <w:sz w:val="20"/>
          <w:szCs w:val="20"/>
          <w:lang w:val="uk-UA"/>
        </w:rPr>
        <w:t xml:space="preserve"> при прямому тестуванні</w:t>
      </w:r>
      <w:r w:rsidRPr="006B6651">
        <w:rPr>
          <w:w w:val="110"/>
          <w:sz w:val="20"/>
          <w:szCs w:val="20"/>
          <w:lang w:val="ru-RU"/>
        </w:rPr>
        <w:t xml:space="preserve"> та </w:t>
      </w:r>
      <w:r w:rsidRPr="003C17C3">
        <w:rPr>
          <w:w w:val="110"/>
          <w:sz w:val="20"/>
          <w:szCs w:val="20"/>
          <w:lang w:val="uk-UA"/>
        </w:rPr>
        <w:t>на ізолятах при непрямому. Ц</w:t>
      </w:r>
      <w:r w:rsidRPr="006B6651">
        <w:rPr>
          <w:w w:val="110"/>
          <w:sz w:val="20"/>
          <w:szCs w:val="20"/>
          <w:lang w:val="uk-UA"/>
        </w:rPr>
        <w:t xml:space="preserve">і дані були включені як шість окремих наборів даних (9). Жодне дослідження не проводило тестування </w:t>
      </w:r>
      <w:r w:rsidRPr="003C17C3">
        <w:rPr>
          <w:w w:val="110"/>
          <w:sz w:val="20"/>
          <w:szCs w:val="20"/>
        </w:rPr>
        <w:t>LPA</w:t>
      </w:r>
      <w:r w:rsidRPr="006B6651">
        <w:rPr>
          <w:w w:val="110"/>
          <w:sz w:val="20"/>
          <w:szCs w:val="20"/>
          <w:lang w:val="uk-UA"/>
        </w:rPr>
        <w:t xml:space="preserve"> одночасно на зразках та культуральних ізолятах від одних і тих же пацієнтів, що унеможливило прямі порівняння в межах дослідження.</w:t>
      </w:r>
    </w:p>
    <w:p w14:paraId="7A6DB541" w14:textId="77777777" w:rsidR="00DE2E3D" w:rsidRPr="006B6651" w:rsidRDefault="00DE2E3D" w:rsidP="00DE2E3D">
      <w:pPr>
        <w:pStyle w:val="a3"/>
        <w:spacing w:before="180" w:line="276" w:lineRule="auto"/>
        <w:ind w:left="1417" w:right="1412"/>
        <w:jc w:val="both"/>
        <w:rPr>
          <w:b/>
          <w:sz w:val="20"/>
          <w:szCs w:val="20"/>
          <w:lang w:val="ru-RU"/>
        </w:rPr>
      </w:pPr>
      <w:proofErr w:type="spellStart"/>
      <w:r w:rsidRPr="006B6651">
        <w:rPr>
          <w:w w:val="110"/>
          <w:sz w:val="20"/>
          <w:szCs w:val="20"/>
          <w:lang w:val="ru-RU"/>
        </w:rPr>
        <w:t>Після</w:t>
      </w:r>
      <w:proofErr w:type="spellEnd"/>
      <w:r w:rsidRPr="006B6651">
        <w:rPr>
          <w:w w:val="110"/>
          <w:sz w:val="20"/>
          <w:szCs w:val="20"/>
          <w:lang w:val="ru-RU"/>
        </w:rPr>
        <w:t xml:space="preserve"> систематичного </w:t>
      </w:r>
      <w:proofErr w:type="spellStart"/>
      <w:r w:rsidRPr="006B6651">
        <w:rPr>
          <w:w w:val="110"/>
          <w:sz w:val="20"/>
          <w:szCs w:val="20"/>
          <w:lang w:val="ru-RU"/>
        </w:rPr>
        <w:t>огляду</w:t>
      </w:r>
      <w:proofErr w:type="spellEnd"/>
      <w:r w:rsidRPr="006B6651">
        <w:rPr>
          <w:w w:val="110"/>
          <w:sz w:val="20"/>
          <w:szCs w:val="20"/>
          <w:lang w:val="ru-RU"/>
        </w:rPr>
        <w:t xml:space="preserve"> 2015 року Глобальна </w:t>
      </w:r>
      <w:proofErr w:type="spellStart"/>
      <w:r w:rsidRPr="006B6651">
        <w:rPr>
          <w:w w:val="110"/>
          <w:sz w:val="20"/>
          <w:szCs w:val="20"/>
          <w:lang w:val="ru-RU"/>
        </w:rPr>
        <w:t>програма</w:t>
      </w:r>
      <w:proofErr w:type="spellEnd"/>
      <w:r w:rsidRPr="006B6651">
        <w:rPr>
          <w:w w:val="110"/>
          <w:sz w:val="20"/>
          <w:szCs w:val="20"/>
          <w:lang w:val="ru-RU"/>
        </w:rPr>
        <w:t xml:space="preserve"> ВООЗ </w:t>
      </w:r>
      <w:r>
        <w:rPr>
          <w:w w:val="110"/>
          <w:sz w:val="20"/>
          <w:szCs w:val="20"/>
          <w:lang w:val="uk-UA"/>
        </w:rPr>
        <w:t>і</w:t>
      </w:r>
      <w:r w:rsidRPr="006B6651">
        <w:rPr>
          <w:w w:val="110"/>
          <w:sz w:val="20"/>
          <w:szCs w:val="20"/>
          <w:lang w:val="ru-RU"/>
        </w:rPr>
        <w:t xml:space="preserve">з </w:t>
      </w:r>
      <w:proofErr w:type="spellStart"/>
      <w:r w:rsidRPr="006B6651">
        <w:rPr>
          <w:w w:val="110"/>
          <w:sz w:val="20"/>
          <w:szCs w:val="20"/>
          <w:lang w:val="ru-RU"/>
        </w:rPr>
        <w:t>боротьби</w:t>
      </w:r>
      <w:proofErr w:type="spellEnd"/>
      <w:r w:rsidRPr="006B6651">
        <w:rPr>
          <w:w w:val="110"/>
          <w:sz w:val="20"/>
          <w:szCs w:val="20"/>
          <w:lang w:val="ru-RU"/>
        </w:rPr>
        <w:t xml:space="preserve"> з ТБ у </w:t>
      </w:r>
      <w:proofErr w:type="spellStart"/>
      <w:r w:rsidRPr="006B6651">
        <w:rPr>
          <w:w w:val="110"/>
          <w:sz w:val="20"/>
          <w:szCs w:val="20"/>
          <w:lang w:val="ru-RU"/>
        </w:rPr>
        <w:t>березні</w:t>
      </w:r>
      <w:proofErr w:type="spellEnd"/>
      <w:r w:rsidRPr="006B6651">
        <w:rPr>
          <w:w w:val="110"/>
          <w:sz w:val="20"/>
          <w:szCs w:val="20"/>
          <w:lang w:val="ru-RU"/>
        </w:rPr>
        <w:t xml:space="preserve"> 2016 року скликала </w:t>
      </w:r>
      <w:proofErr w:type="spellStart"/>
      <w:r w:rsidRPr="006B6651">
        <w:rPr>
          <w:w w:val="110"/>
          <w:sz w:val="20"/>
          <w:szCs w:val="20"/>
          <w:lang w:val="ru-RU"/>
        </w:rPr>
        <w:t>Групу</w:t>
      </w:r>
      <w:proofErr w:type="spellEnd"/>
      <w:r w:rsidRPr="006B6651">
        <w:rPr>
          <w:w w:val="110"/>
          <w:sz w:val="20"/>
          <w:szCs w:val="20"/>
          <w:lang w:val="ru-RU"/>
        </w:rPr>
        <w:t xml:space="preserve"> </w:t>
      </w:r>
      <w:r w:rsidRPr="003C17C3">
        <w:rPr>
          <w:w w:val="110"/>
          <w:sz w:val="20"/>
          <w:szCs w:val="20"/>
          <w:lang w:val="uk-UA"/>
        </w:rPr>
        <w:t xml:space="preserve">з </w:t>
      </w:r>
      <w:proofErr w:type="spellStart"/>
      <w:r w:rsidRPr="006B6651">
        <w:rPr>
          <w:w w:val="110"/>
          <w:sz w:val="20"/>
          <w:szCs w:val="20"/>
          <w:lang w:val="ru-RU"/>
        </w:rPr>
        <w:t>розробки</w:t>
      </w:r>
      <w:proofErr w:type="spellEnd"/>
      <w:r w:rsidRPr="006B6651">
        <w:rPr>
          <w:w w:val="110"/>
          <w:sz w:val="20"/>
          <w:szCs w:val="20"/>
          <w:lang w:val="ru-RU"/>
        </w:rPr>
        <w:t xml:space="preserve"> </w:t>
      </w:r>
      <w:r w:rsidRPr="003C17C3">
        <w:rPr>
          <w:w w:val="110"/>
          <w:sz w:val="20"/>
          <w:szCs w:val="20"/>
          <w:lang w:val="uk-UA"/>
        </w:rPr>
        <w:t>настанов</w:t>
      </w:r>
      <w:r w:rsidRPr="006B6651">
        <w:rPr>
          <w:w w:val="110"/>
          <w:sz w:val="20"/>
          <w:szCs w:val="20"/>
          <w:lang w:val="ru-RU"/>
        </w:rPr>
        <w:t xml:space="preserve"> (Г</w:t>
      </w:r>
      <w:r w:rsidRPr="003C17C3">
        <w:rPr>
          <w:w w:val="110"/>
          <w:sz w:val="20"/>
          <w:szCs w:val="20"/>
          <w:lang w:val="uk-UA"/>
        </w:rPr>
        <w:t>РН</w:t>
      </w:r>
      <w:r w:rsidRPr="006B6651">
        <w:rPr>
          <w:w w:val="110"/>
          <w:sz w:val="20"/>
          <w:szCs w:val="20"/>
          <w:lang w:val="ru-RU"/>
        </w:rPr>
        <w:t xml:space="preserve">) для </w:t>
      </w:r>
      <w:proofErr w:type="spellStart"/>
      <w:r w:rsidRPr="006B6651">
        <w:rPr>
          <w:w w:val="110"/>
          <w:sz w:val="20"/>
          <w:szCs w:val="20"/>
          <w:lang w:val="ru-RU"/>
        </w:rPr>
        <w:t>оцінки</w:t>
      </w:r>
      <w:proofErr w:type="spellEnd"/>
      <w:r w:rsidRPr="006B6651">
        <w:rPr>
          <w:w w:val="110"/>
          <w:sz w:val="20"/>
          <w:szCs w:val="20"/>
          <w:lang w:val="ru-RU"/>
        </w:rPr>
        <w:t xml:space="preserve"> </w:t>
      </w:r>
      <w:proofErr w:type="spellStart"/>
      <w:r w:rsidRPr="006B6651">
        <w:rPr>
          <w:w w:val="110"/>
          <w:sz w:val="20"/>
          <w:szCs w:val="20"/>
          <w:lang w:val="ru-RU"/>
        </w:rPr>
        <w:t>даних</w:t>
      </w:r>
      <w:proofErr w:type="spellEnd"/>
      <w:r w:rsidRPr="006B6651">
        <w:rPr>
          <w:w w:val="110"/>
          <w:sz w:val="20"/>
          <w:szCs w:val="20"/>
          <w:lang w:val="ru-RU"/>
        </w:rPr>
        <w:t xml:space="preserve"> та </w:t>
      </w:r>
      <w:proofErr w:type="spellStart"/>
      <w:r w:rsidRPr="006B6651">
        <w:rPr>
          <w:w w:val="110"/>
          <w:sz w:val="20"/>
          <w:szCs w:val="20"/>
          <w:lang w:val="ru-RU"/>
        </w:rPr>
        <w:t>оновлення</w:t>
      </w:r>
      <w:proofErr w:type="spellEnd"/>
      <w:r w:rsidRPr="006B6651">
        <w:rPr>
          <w:w w:val="110"/>
          <w:sz w:val="20"/>
          <w:szCs w:val="20"/>
          <w:lang w:val="ru-RU"/>
        </w:rPr>
        <w:t xml:space="preserve"> </w:t>
      </w:r>
      <w:proofErr w:type="spellStart"/>
      <w:r w:rsidRPr="006B6651">
        <w:rPr>
          <w:w w:val="110"/>
          <w:sz w:val="20"/>
          <w:szCs w:val="20"/>
          <w:lang w:val="ru-RU"/>
        </w:rPr>
        <w:t>рекомендацій</w:t>
      </w:r>
      <w:proofErr w:type="spellEnd"/>
      <w:r w:rsidRPr="003C17C3">
        <w:rPr>
          <w:w w:val="110"/>
          <w:sz w:val="20"/>
          <w:szCs w:val="20"/>
          <w:lang w:val="uk-UA"/>
        </w:rPr>
        <w:t xml:space="preserve"> стосовно політики</w:t>
      </w:r>
      <w:r w:rsidRPr="006B6651">
        <w:rPr>
          <w:w w:val="110"/>
          <w:sz w:val="20"/>
          <w:szCs w:val="20"/>
          <w:lang w:val="ru-RU"/>
        </w:rPr>
        <w:t xml:space="preserve"> 2008 року щодо використання </w:t>
      </w:r>
      <w:r>
        <w:rPr>
          <w:w w:val="110"/>
          <w:sz w:val="20"/>
          <w:szCs w:val="20"/>
          <w:lang w:val="uk-UA"/>
        </w:rPr>
        <w:t>доступних на ринку</w:t>
      </w:r>
      <w:r w:rsidRPr="006B6651">
        <w:rPr>
          <w:w w:val="110"/>
          <w:sz w:val="20"/>
          <w:szCs w:val="20"/>
          <w:lang w:val="ru-RU"/>
        </w:rPr>
        <w:t xml:space="preserve"> </w:t>
      </w:r>
      <w:r w:rsidRPr="003C17C3">
        <w:rPr>
          <w:w w:val="110"/>
          <w:sz w:val="20"/>
          <w:szCs w:val="20"/>
        </w:rPr>
        <w:t>LPA</w:t>
      </w:r>
      <w:r w:rsidRPr="006B6651">
        <w:rPr>
          <w:w w:val="110"/>
          <w:sz w:val="20"/>
          <w:szCs w:val="20"/>
          <w:lang w:val="ru-RU"/>
        </w:rPr>
        <w:t xml:space="preserve"> для виявлення МБТК та </w:t>
      </w:r>
      <w:r w:rsidRPr="003C17C3">
        <w:rPr>
          <w:w w:val="110"/>
          <w:sz w:val="20"/>
          <w:szCs w:val="20"/>
          <w:lang w:val="uk-UA"/>
        </w:rPr>
        <w:t>стійкості</w:t>
      </w:r>
      <w:r w:rsidRPr="006B6651">
        <w:rPr>
          <w:w w:val="110"/>
          <w:sz w:val="20"/>
          <w:szCs w:val="20"/>
          <w:lang w:val="ru-RU"/>
        </w:rPr>
        <w:t xml:space="preserve"> до ізоніазиду та рифампіцину. </w:t>
      </w:r>
      <w:proofErr w:type="spellStart"/>
      <w:r>
        <w:rPr>
          <w:w w:val="110"/>
          <w:sz w:val="20"/>
          <w:szCs w:val="20"/>
          <w:lang w:val="uk-UA"/>
        </w:rPr>
        <w:t>Зап</w:t>
      </w:r>
      <w:r w:rsidRPr="006B6651">
        <w:rPr>
          <w:w w:val="110"/>
          <w:sz w:val="20"/>
          <w:szCs w:val="20"/>
          <w:lang w:val="ru-RU"/>
        </w:rPr>
        <w:t>итання</w:t>
      </w:r>
      <w:proofErr w:type="spellEnd"/>
      <w:r w:rsidRPr="006B6651">
        <w:rPr>
          <w:w w:val="110"/>
          <w:sz w:val="20"/>
          <w:szCs w:val="20"/>
          <w:lang w:val="ru-RU"/>
        </w:rPr>
        <w:t xml:space="preserve"> </w:t>
      </w:r>
      <w:r>
        <w:rPr>
          <w:w w:val="110"/>
          <w:sz w:val="20"/>
          <w:szCs w:val="20"/>
          <w:lang w:val="uk-UA"/>
        </w:rPr>
        <w:t xml:space="preserve">формату </w:t>
      </w:r>
      <w:r w:rsidRPr="003C17C3">
        <w:rPr>
          <w:w w:val="110"/>
          <w:sz w:val="20"/>
          <w:szCs w:val="20"/>
        </w:rPr>
        <w:t>PICO</w:t>
      </w:r>
      <w:r w:rsidRPr="006B6651">
        <w:rPr>
          <w:w w:val="110"/>
          <w:sz w:val="20"/>
          <w:szCs w:val="20"/>
          <w:lang w:val="ru-RU"/>
        </w:rPr>
        <w:t xml:space="preserve"> </w:t>
      </w:r>
      <w:proofErr w:type="spellStart"/>
      <w:r w:rsidRPr="006B6651">
        <w:rPr>
          <w:w w:val="110"/>
          <w:sz w:val="20"/>
          <w:szCs w:val="20"/>
          <w:lang w:val="ru-RU"/>
        </w:rPr>
        <w:t>наведені</w:t>
      </w:r>
      <w:proofErr w:type="spellEnd"/>
      <w:r w:rsidRPr="006B6651">
        <w:rPr>
          <w:w w:val="110"/>
          <w:sz w:val="20"/>
          <w:szCs w:val="20"/>
          <w:lang w:val="ru-RU"/>
        </w:rPr>
        <w:t xml:space="preserve"> </w:t>
      </w:r>
      <w:r w:rsidRPr="00784388">
        <w:rPr>
          <w:w w:val="110"/>
          <w:sz w:val="20"/>
          <w:szCs w:val="20"/>
          <w:lang w:val="uk-UA"/>
        </w:rPr>
        <w:t>в</w:t>
      </w:r>
      <w:r w:rsidRPr="006B6651">
        <w:rPr>
          <w:b/>
          <w:w w:val="110"/>
          <w:sz w:val="20"/>
          <w:szCs w:val="20"/>
          <w:lang w:val="ru-RU"/>
        </w:rPr>
        <w:t xml:space="preserve"> </w:t>
      </w:r>
      <w:r w:rsidRPr="00784388">
        <w:rPr>
          <w:b/>
          <w:w w:val="110"/>
          <w:sz w:val="20"/>
          <w:szCs w:val="20"/>
          <w:lang w:val="uk-UA"/>
        </w:rPr>
        <w:t>Інформаційному блоці</w:t>
      </w:r>
      <w:r w:rsidRPr="006B6651">
        <w:rPr>
          <w:b/>
          <w:w w:val="110"/>
          <w:sz w:val="20"/>
          <w:szCs w:val="20"/>
          <w:lang w:val="ru-RU"/>
        </w:rPr>
        <w:t xml:space="preserve"> 2.4.2.1.</w:t>
      </w:r>
    </w:p>
    <w:p w14:paraId="5DCF875B" w14:textId="77777777" w:rsidR="00DE2E3D" w:rsidRPr="006B6651" w:rsidRDefault="00DE2E3D" w:rsidP="00DE2E3D">
      <w:pPr>
        <w:pStyle w:val="a3"/>
        <w:spacing w:before="174" w:line="276" w:lineRule="auto"/>
        <w:ind w:left="1417" w:right="1417"/>
        <w:jc w:val="both"/>
        <w:rPr>
          <w:sz w:val="20"/>
          <w:szCs w:val="20"/>
          <w:lang w:val="ru-RU"/>
        </w:rPr>
      </w:pPr>
      <w:r w:rsidRPr="003C17C3">
        <w:rPr>
          <w:spacing w:val="-3"/>
          <w:w w:val="110"/>
          <w:sz w:val="20"/>
          <w:szCs w:val="20"/>
        </w:rPr>
        <w:t>LPA</w:t>
      </w:r>
      <w:r w:rsidRPr="006B6651">
        <w:rPr>
          <w:spacing w:val="-3"/>
          <w:w w:val="110"/>
          <w:sz w:val="20"/>
          <w:szCs w:val="20"/>
          <w:lang w:val="ru-RU"/>
        </w:rPr>
        <w:t xml:space="preserve"> </w:t>
      </w:r>
      <w:proofErr w:type="spellStart"/>
      <w:r w:rsidRPr="006B6651">
        <w:rPr>
          <w:spacing w:val="-3"/>
          <w:w w:val="110"/>
          <w:sz w:val="20"/>
          <w:szCs w:val="20"/>
          <w:lang w:val="ru-RU"/>
        </w:rPr>
        <w:t>порівнювали</w:t>
      </w:r>
      <w:proofErr w:type="spellEnd"/>
      <w:r w:rsidRPr="006B6651">
        <w:rPr>
          <w:spacing w:val="-3"/>
          <w:w w:val="110"/>
          <w:sz w:val="20"/>
          <w:szCs w:val="20"/>
          <w:lang w:val="ru-RU"/>
        </w:rPr>
        <w:t xml:space="preserve"> з </w:t>
      </w:r>
      <w:proofErr w:type="spellStart"/>
      <w:r w:rsidRPr="006B6651">
        <w:rPr>
          <w:spacing w:val="-3"/>
          <w:w w:val="110"/>
          <w:sz w:val="20"/>
          <w:szCs w:val="20"/>
          <w:lang w:val="ru-RU"/>
        </w:rPr>
        <w:t>фенотиповим</w:t>
      </w:r>
      <w:proofErr w:type="spellEnd"/>
      <w:r w:rsidRPr="006B6651">
        <w:rPr>
          <w:spacing w:val="-3"/>
          <w:w w:val="110"/>
          <w:sz w:val="20"/>
          <w:szCs w:val="20"/>
          <w:lang w:val="ru-RU"/>
        </w:rPr>
        <w:t xml:space="preserve"> культуральним </w:t>
      </w:r>
      <w:bookmarkStart w:id="74" w:name="_Hlk196753814"/>
      <w:r w:rsidRPr="006B6651">
        <w:rPr>
          <w:spacing w:val="-3"/>
          <w:w w:val="110"/>
          <w:sz w:val="20"/>
          <w:szCs w:val="20"/>
          <w:lang w:val="ru-RU"/>
        </w:rPr>
        <w:t>Т</w:t>
      </w:r>
      <w:r w:rsidRPr="003C17C3">
        <w:rPr>
          <w:spacing w:val="-3"/>
          <w:w w:val="110"/>
          <w:sz w:val="20"/>
          <w:szCs w:val="20"/>
          <w:lang w:val="uk-UA"/>
        </w:rPr>
        <w:t>М</w:t>
      </w:r>
      <w:r w:rsidRPr="006B6651">
        <w:rPr>
          <w:spacing w:val="-3"/>
          <w:w w:val="110"/>
          <w:sz w:val="20"/>
          <w:szCs w:val="20"/>
          <w:lang w:val="ru-RU"/>
        </w:rPr>
        <w:t xml:space="preserve">Ч </w:t>
      </w:r>
      <w:bookmarkEnd w:id="74"/>
      <w:r w:rsidRPr="006B6651">
        <w:rPr>
          <w:spacing w:val="-3"/>
          <w:w w:val="110"/>
          <w:sz w:val="20"/>
          <w:szCs w:val="20"/>
          <w:lang w:val="ru-RU"/>
        </w:rPr>
        <w:t xml:space="preserve">як </w:t>
      </w:r>
      <w:r w:rsidRPr="002D3F72">
        <w:rPr>
          <w:spacing w:val="-3"/>
          <w:w w:val="110"/>
          <w:sz w:val="20"/>
          <w:szCs w:val="20"/>
          <w:lang w:val="uk-UA"/>
        </w:rPr>
        <w:t>еталонним</w:t>
      </w:r>
      <w:r w:rsidRPr="006B6651">
        <w:rPr>
          <w:spacing w:val="-3"/>
          <w:w w:val="110"/>
          <w:sz w:val="20"/>
          <w:szCs w:val="20"/>
          <w:lang w:val="ru-RU"/>
        </w:rPr>
        <w:t xml:space="preserve"> стандартом та з </w:t>
      </w:r>
      <w:r w:rsidRPr="002D3F72">
        <w:rPr>
          <w:spacing w:val="-3"/>
          <w:w w:val="110"/>
          <w:sz w:val="20"/>
          <w:szCs w:val="20"/>
          <w:lang w:val="uk-UA"/>
        </w:rPr>
        <w:t>комбінованим еталонним</w:t>
      </w:r>
      <w:r w:rsidRPr="006B6651">
        <w:rPr>
          <w:spacing w:val="-3"/>
          <w:w w:val="110"/>
          <w:sz w:val="20"/>
          <w:szCs w:val="20"/>
          <w:lang w:val="ru-RU"/>
        </w:rPr>
        <w:t xml:space="preserve"> стандартом, </w:t>
      </w:r>
      <w:proofErr w:type="spellStart"/>
      <w:r w:rsidRPr="006B6651">
        <w:rPr>
          <w:spacing w:val="-3"/>
          <w:w w:val="110"/>
          <w:sz w:val="20"/>
          <w:szCs w:val="20"/>
          <w:lang w:val="ru-RU"/>
        </w:rPr>
        <w:t>який</w:t>
      </w:r>
      <w:proofErr w:type="spellEnd"/>
      <w:r w:rsidRPr="006B6651">
        <w:rPr>
          <w:spacing w:val="-3"/>
          <w:w w:val="110"/>
          <w:sz w:val="20"/>
          <w:szCs w:val="20"/>
          <w:lang w:val="ru-RU"/>
        </w:rPr>
        <w:t xml:space="preserve"> </w:t>
      </w:r>
      <w:proofErr w:type="spellStart"/>
      <w:r w:rsidRPr="006B6651">
        <w:rPr>
          <w:spacing w:val="-3"/>
          <w:w w:val="110"/>
          <w:sz w:val="20"/>
          <w:szCs w:val="20"/>
          <w:lang w:val="ru-RU"/>
        </w:rPr>
        <w:t>поєднував</w:t>
      </w:r>
      <w:proofErr w:type="spellEnd"/>
      <w:r w:rsidRPr="006B6651">
        <w:rPr>
          <w:spacing w:val="-3"/>
          <w:w w:val="110"/>
          <w:sz w:val="20"/>
          <w:szCs w:val="20"/>
          <w:lang w:val="ru-RU"/>
        </w:rPr>
        <w:t xml:space="preserve"> </w:t>
      </w:r>
      <w:proofErr w:type="spellStart"/>
      <w:r w:rsidRPr="006B6651">
        <w:rPr>
          <w:spacing w:val="-3"/>
          <w:w w:val="110"/>
          <w:sz w:val="20"/>
          <w:szCs w:val="20"/>
          <w:lang w:val="ru-RU"/>
        </w:rPr>
        <w:t>результати</w:t>
      </w:r>
      <w:proofErr w:type="spellEnd"/>
      <w:r w:rsidRPr="006B6651">
        <w:rPr>
          <w:spacing w:val="-3"/>
          <w:w w:val="110"/>
          <w:sz w:val="20"/>
          <w:szCs w:val="20"/>
          <w:lang w:val="ru-RU"/>
        </w:rPr>
        <w:t xml:space="preserve"> </w:t>
      </w:r>
      <w:proofErr w:type="spellStart"/>
      <w:r w:rsidRPr="006B6651">
        <w:rPr>
          <w:spacing w:val="-3"/>
          <w:w w:val="110"/>
          <w:sz w:val="20"/>
          <w:szCs w:val="20"/>
          <w:lang w:val="ru-RU"/>
        </w:rPr>
        <w:t>генетичного</w:t>
      </w:r>
      <w:proofErr w:type="spellEnd"/>
      <w:r w:rsidRPr="006B6651">
        <w:rPr>
          <w:spacing w:val="-3"/>
          <w:w w:val="110"/>
          <w:sz w:val="20"/>
          <w:szCs w:val="20"/>
          <w:lang w:val="ru-RU"/>
        </w:rPr>
        <w:t xml:space="preserve"> секвенування з результатами </w:t>
      </w:r>
      <w:proofErr w:type="spellStart"/>
      <w:r w:rsidRPr="006B6651">
        <w:rPr>
          <w:spacing w:val="-3"/>
          <w:w w:val="110"/>
          <w:sz w:val="20"/>
          <w:szCs w:val="20"/>
          <w:lang w:val="ru-RU"/>
        </w:rPr>
        <w:t>фенотипового</w:t>
      </w:r>
      <w:proofErr w:type="spellEnd"/>
      <w:r w:rsidRPr="006B6651">
        <w:rPr>
          <w:spacing w:val="-3"/>
          <w:w w:val="110"/>
          <w:sz w:val="20"/>
          <w:szCs w:val="20"/>
          <w:lang w:val="ru-RU"/>
        </w:rPr>
        <w:t xml:space="preserve"> культурального ТМЧ. </w:t>
      </w:r>
      <w:proofErr w:type="spellStart"/>
      <w:r w:rsidRPr="006B6651">
        <w:rPr>
          <w:spacing w:val="-3"/>
          <w:w w:val="110"/>
          <w:sz w:val="20"/>
          <w:szCs w:val="20"/>
          <w:lang w:val="ru-RU"/>
        </w:rPr>
        <w:t>Фенотиповий</w:t>
      </w:r>
      <w:proofErr w:type="spellEnd"/>
      <w:r w:rsidRPr="006B6651">
        <w:rPr>
          <w:spacing w:val="-3"/>
          <w:w w:val="110"/>
          <w:sz w:val="20"/>
          <w:szCs w:val="20"/>
          <w:lang w:val="ru-RU"/>
        </w:rPr>
        <w:t xml:space="preserve"> ТМЧ </w:t>
      </w:r>
      <w:proofErr w:type="spellStart"/>
      <w:r w:rsidRPr="006B6651">
        <w:rPr>
          <w:spacing w:val="-3"/>
          <w:w w:val="110"/>
          <w:sz w:val="20"/>
          <w:szCs w:val="20"/>
          <w:lang w:val="ru-RU"/>
        </w:rPr>
        <w:t>був</w:t>
      </w:r>
      <w:proofErr w:type="spellEnd"/>
      <w:r w:rsidRPr="006B6651">
        <w:rPr>
          <w:spacing w:val="-3"/>
          <w:w w:val="110"/>
          <w:sz w:val="20"/>
          <w:szCs w:val="20"/>
          <w:lang w:val="ru-RU"/>
        </w:rPr>
        <w:t xml:space="preserve"> </w:t>
      </w:r>
      <w:proofErr w:type="spellStart"/>
      <w:r w:rsidRPr="006B6651">
        <w:rPr>
          <w:spacing w:val="-3"/>
          <w:w w:val="110"/>
          <w:sz w:val="20"/>
          <w:szCs w:val="20"/>
          <w:lang w:val="ru-RU"/>
        </w:rPr>
        <w:t>первинним</w:t>
      </w:r>
      <w:proofErr w:type="spellEnd"/>
      <w:r w:rsidRPr="006B6651">
        <w:rPr>
          <w:spacing w:val="-3"/>
          <w:w w:val="110"/>
          <w:sz w:val="20"/>
          <w:szCs w:val="20"/>
          <w:lang w:val="ru-RU"/>
        </w:rPr>
        <w:t xml:space="preserve"> </w:t>
      </w:r>
      <w:proofErr w:type="spellStart"/>
      <w:r w:rsidRPr="006B6651">
        <w:rPr>
          <w:spacing w:val="-3"/>
          <w:w w:val="110"/>
          <w:sz w:val="20"/>
          <w:szCs w:val="20"/>
          <w:lang w:val="ru-RU"/>
        </w:rPr>
        <w:t>еталонним</w:t>
      </w:r>
      <w:proofErr w:type="spellEnd"/>
      <w:r w:rsidRPr="006B6651">
        <w:rPr>
          <w:spacing w:val="-3"/>
          <w:w w:val="110"/>
          <w:sz w:val="20"/>
          <w:szCs w:val="20"/>
          <w:lang w:val="ru-RU"/>
        </w:rPr>
        <w:t xml:space="preserve"> стандартом, </w:t>
      </w:r>
      <w:proofErr w:type="spellStart"/>
      <w:r w:rsidRPr="006B6651">
        <w:rPr>
          <w:spacing w:val="-3"/>
          <w:w w:val="110"/>
          <w:sz w:val="20"/>
          <w:szCs w:val="20"/>
          <w:lang w:val="ru-RU"/>
        </w:rPr>
        <w:t>що</w:t>
      </w:r>
      <w:proofErr w:type="spellEnd"/>
      <w:r w:rsidRPr="006B6651">
        <w:rPr>
          <w:spacing w:val="-3"/>
          <w:w w:val="110"/>
          <w:sz w:val="20"/>
          <w:szCs w:val="20"/>
          <w:lang w:val="ru-RU"/>
        </w:rPr>
        <w:t xml:space="preserve"> </w:t>
      </w:r>
      <w:proofErr w:type="spellStart"/>
      <w:r w:rsidRPr="006B6651">
        <w:rPr>
          <w:spacing w:val="-3"/>
          <w:w w:val="110"/>
          <w:sz w:val="20"/>
          <w:szCs w:val="20"/>
          <w:lang w:val="ru-RU"/>
        </w:rPr>
        <w:t>застосовувався</w:t>
      </w:r>
      <w:proofErr w:type="spellEnd"/>
      <w:r w:rsidRPr="006B6651">
        <w:rPr>
          <w:spacing w:val="-3"/>
          <w:w w:val="110"/>
          <w:sz w:val="20"/>
          <w:szCs w:val="20"/>
          <w:lang w:val="ru-RU"/>
        </w:rPr>
        <w:t xml:space="preserve"> до </w:t>
      </w:r>
      <w:proofErr w:type="spellStart"/>
      <w:r w:rsidRPr="006B6651">
        <w:rPr>
          <w:spacing w:val="-3"/>
          <w:w w:val="110"/>
          <w:sz w:val="20"/>
          <w:szCs w:val="20"/>
          <w:lang w:val="ru-RU"/>
        </w:rPr>
        <w:t>всіх</w:t>
      </w:r>
      <w:proofErr w:type="spellEnd"/>
      <w:r w:rsidRPr="006B6651">
        <w:rPr>
          <w:spacing w:val="-3"/>
          <w:w w:val="110"/>
          <w:sz w:val="20"/>
          <w:szCs w:val="20"/>
          <w:lang w:val="ru-RU"/>
        </w:rPr>
        <w:t xml:space="preserve"> </w:t>
      </w:r>
      <w:proofErr w:type="spellStart"/>
      <w:r w:rsidRPr="006B6651">
        <w:rPr>
          <w:spacing w:val="-3"/>
          <w:w w:val="110"/>
          <w:sz w:val="20"/>
          <w:szCs w:val="20"/>
          <w:lang w:val="ru-RU"/>
        </w:rPr>
        <w:t>учасників</w:t>
      </w:r>
      <w:proofErr w:type="spellEnd"/>
      <w:r w:rsidRPr="006B6651">
        <w:rPr>
          <w:spacing w:val="-3"/>
          <w:w w:val="110"/>
          <w:sz w:val="20"/>
          <w:szCs w:val="20"/>
          <w:lang w:val="ru-RU"/>
        </w:rPr>
        <w:t xml:space="preserve"> для </w:t>
      </w:r>
      <w:proofErr w:type="spellStart"/>
      <w:r w:rsidRPr="006B6651">
        <w:rPr>
          <w:spacing w:val="-3"/>
          <w:w w:val="110"/>
          <w:sz w:val="20"/>
          <w:szCs w:val="20"/>
          <w:lang w:val="ru-RU"/>
        </w:rPr>
        <w:t>всіх</w:t>
      </w:r>
      <w:proofErr w:type="spellEnd"/>
      <w:r w:rsidRPr="006B6651">
        <w:rPr>
          <w:spacing w:val="-3"/>
          <w:w w:val="110"/>
          <w:sz w:val="20"/>
          <w:szCs w:val="20"/>
          <w:lang w:val="ru-RU"/>
        </w:rPr>
        <w:t xml:space="preserve"> </w:t>
      </w:r>
      <w:proofErr w:type="spellStart"/>
      <w:r w:rsidRPr="006B6651">
        <w:rPr>
          <w:spacing w:val="-3"/>
          <w:w w:val="110"/>
          <w:sz w:val="20"/>
          <w:szCs w:val="20"/>
          <w:lang w:val="ru-RU"/>
        </w:rPr>
        <w:t>аналізів</w:t>
      </w:r>
      <w:proofErr w:type="spellEnd"/>
      <w:r w:rsidRPr="006B6651">
        <w:rPr>
          <w:spacing w:val="-3"/>
          <w:w w:val="110"/>
          <w:sz w:val="20"/>
          <w:szCs w:val="20"/>
          <w:lang w:val="ru-RU"/>
        </w:rPr>
        <w:t xml:space="preserve">. </w:t>
      </w:r>
      <w:proofErr w:type="spellStart"/>
      <w:r w:rsidRPr="006B6651">
        <w:rPr>
          <w:spacing w:val="-3"/>
          <w:w w:val="110"/>
          <w:sz w:val="20"/>
          <w:szCs w:val="20"/>
          <w:lang w:val="ru-RU"/>
        </w:rPr>
        <w:t>Ці</w:t>
      </w:r>
      <w:proofErr w:type="spellEnd"/>
      <w:r w:rsidRPr="006B6651">
        <w:rPr>
          <w:spacing w:val="-3"/>
          <w:w w:val="110"/>
          <w:sz w:val="20"/>
          <w:szCs w:val="20"/>
          <w:lang w:val="ru-RU"/>
        </w:rPr>
        <w:t xml:space="preserve"> </w:t>
      </w:r>
      <w:proofErr w:type="spellStart"/>
      <w:r w:rsidRPr="006B6651">
        <w:rPr>
          <w:spacing w:val="-3"/>
          <w:w w:val="110"/>
          <w:sz w:val="20"/>
          <w:szCs w:val="20"/>
          <w:lang w:val="ru-RU"/>
        </w:rPr>
        <w:t>аналізи</w:t>
      </w:r>
      <w:proofErr w:type="spellEnd"/>
      <w:r w:rsidRPr="006B6651">
        <w:rPr>
          <w:spacing w:val="-3"/>
          <w:w w:val="110"/>
          <w:sz w:val="20"/>
          <w:szCs w:val="20"/>
          <w:lang w:val="ru-RU"/>
        </w:rPr>
        <w:t xml:space="preserve"> були </w:t>
      </w:r>
      <w:proofErr w:type="spellStart"/>
      <w:r w:rsidRPr="006B6651">
        <w:rPr>
          <w:spacing w:val="-3"/>
          <w:w w:val="110"/>
          <w:sz w:val="20"/>
          <w:szCs w:val="20"/>
          <w:lang w:val="ru-RU"/>
        </w:rPr>
        <w:t>стратифіковані</w:t>
      </w:r>
      <w:proofErr w:type="spellEnd"/>
      <w:r w:rsidRPr="006B6651">
        <w:rPr>
          <w:spacing w:val="-3"/>
          <w:w w:val="110"/>
          <w:sz w:val="20"/>
          <w:szCs w:val="20"/>
          <w:lang w:val="ru-RU"/>
        </w:rPr>
        <w:t xml:space="preserve"> – </w:t>
      </w:r>
      <w:proofErr w:type="spellStart"/>
      <w:r w:rsidRPr="006B6651">
        <w:rPr>
          <w:spacing w:val="-3"/>
          <w:w w:val="110"/>
          <w:sz w:val="20"/>
          <w:szCs w:val="20"/>
          <w:lang w:val="ru-RU"/>
        </w:rPr>
        <w:t>по-перше</w:t>
      </w:r>
      <w:proofErr w:type="spellEnd"/>
      <w:r w:rsidRPr="006B6651">
        <w:rPr>
          <w:spacing w:val="-3"/>
          <w:w w:val="110"/>
          <w:sz w:val="20"/>
          <w:szCs w:val="20"/>
          <w:lang w:val="ru-RU"/>
        </w:rPr>
        <w:t xml:space="preserve">, за </w:t>
      </w:r>
      <w:proofErr w:type="spellStart"/>
      <w:r w:rsidRPr="006B6651">
        <w:rPr>
          <w:spacing w:val="-3"/>
          <w:w w:val="110"/>
          <w:sz w:val="20"/>
          <w:szCs w:val="20"/>
          <w:lang w:val="ru-RU"/>
        </w:rPr>
        <w:t>чутливістю</w:t>
      </w:r>
      <w:proofErr w:type="spellEnd"/>
      <w:r w:rsidRPr="006B6651">
        <w:rPr>
          <w:spacing w:val="-3"/>
          <w:w w:val="110"/>
          <w:sz w:val="20"/>
          <w:szCs w:val="20"/>
          <w:lang w:val="ru-RU"/>
        </w:rPr>
        <w:t xml:space="preserve"> або </w:t>
      </w:r>
      <w:r w:rsidRPr="003C17C3">
        <w:rPr>
          <w:spacing w:val="-3"/>
          <w:w w:val="110"/>
          <w:sz w:val="20"/>
          <w:szCs w:val="20"/>
          <w:lang w:val="uk-UA"/>
        </w:rPr>
        <w:t>стійкістю</w:t>
      </w:r>
      <w:r w:rsidRPr="006B6651">
        <w:rPr>
          <w:spacing w:val="-3"/>
          <w:w w:val="110"/>
          <w:sz w:val="20"/>
          <w:szCs w:val="20"/>
          <w:lang w:val="ru-RU"/>
        </w:rPr>
        <w:t xml:space="preserve"> до рифампіцину </w:t>
      </w:r>
      <w:proofErr w:type="spellStart"/>
      <w:r w:rsidRPr="006B6651">
        <w:rPr>
          <w:spacing w:val="-3"/>
          <w:w w:val="110"/>
          <w:sz w:val="20"/>
          <w:szCs w:val="20"/>
          <w:lang w:val="ru-RU"/>
        </w:rPr>
        <w:t>чи</w:t>
      </w:r>
      <w:proofErr w:type="spellEnd"/>
      <w:r w:rsidRPr="006B6651">
        <w:rPr>
          <w:spacing w:val="-3"/>
          <w:w w:val="110"/>
          <w:sz w:val="20"/>
          <w:szCs w:val="20"/>
          <w:lang w:val="ru-RU"/>
        </w:rPr>
        <w:t xml:space="preserve"> ізоніазиду (або </w:t>
      </w:r>
      <w:proofErr w:type="spellStart"/>
      <w:r w:rsidRPr="006B6651">
        <w:rPr>
          <w:spacing w:val="-3"/>
          <w:w w:val="110"/>
          <w:sz w:val="20"/>
          <w:szCs w:val="20"/>
          <w:lang w:val="ru-RU"/>
        </w:rPr>
        <w:t>обох</w:t>
      </w:r>
      <w:proofErr w:type="spellEnd"/>
      <w:r w:rsidRPr="006B6651">
        <w:rPr>
          <w:spacing w:val="-3"/>
          <w:w w:val="110"/>
          <w:sz w:val="20"/>
          <w:szCs w:val="20"/>
          <w:lang w:val="ru-RU"/>
        </w:rPr>
        <w:t xml:space="preserve">), і </w:t>
      </w:r>
      <w:proofErr w:type="spellStart"/>
      <w:r w:rsidRPr="006B6651">
        <w:rPr>
          <w:spacing w:val="-3"/>
          <w:w w:val="110"/>
          <w:sz w:val="20"/>
          <w:szCs w:val="20"/>
          <w:lang w:val="ru-RU"/>
        </w:rPr>
        <w:t>по-друге</w:t>
      </w:r>
      <w:proofErr w:type="spellEnd"/>
      <w:r w:rsidRPr="006B6651">
        <w:rPr>
          <w:spacing w:val="-3"/>
          <w:w w:val="110"/>
          <w:sz w:val="20"/>
          <w:szCs w:val="20"/>
          <w:lang w:val="ru-RU"/>
        </w:rPr>
        <w:t xml:space="preserve">, за типом </w:t>
      </w:r>
      <w:proofErr w:type="spellStart"/>
      <w:r w:rsidRPr="006B6651">
        <w:rPr>
          <w:spacing w:val="-3"/>
          <w:w w:val="110"/>
          <w:sz w:val="20"/>
          <w:szCs w:val="20"/>
          <w:lang w:val="ru-RU"/>
        </w:rPr>
        <w:t>тестування</w:t>
      </w:r>
      <w:proofErr w:type="spellEnd"/>
      <w:r w:rsidRPr="006B6651">
        <w:rPr>
          <w:spacing w:val="-3"/>
          <w:w w:val="110"/>
          <w:sz w:val="20"/>
          <w:szCs w:val="20"/>
          <w:lang w:val="ru-RU"/>
        </w:rPr>
        <w:t xml:space="preserve"> </w:t>
      </w:r>
      <w:r w:rsidRPr="003C17C3">
        <w:rPr>
          <w:spacing w:val="-3"/>
          <w:w w:val="110"/>
          <w:sz w:val="20"/>
          <w:szCs w:val="20"/>
        </w:rPr>
        <w:t>LPA</w:t>
      </w:r>
      <w:r w:rsidRPr="006B6651">
        <w:rPr>
          <w:spacing w:val="-3"/>
          <w:w w:val="110"/>
          <w:sz w:val="20"/>
          <w:szCs w:val="20"/>
          <w:lang w:val="ru-RU"/>
        </w:rPr>
        <w:t xml:space="preserve"> (</w:t>
      </w:r>
      <w:proofErr w:type="spellStart"/>
      <w:r w:rsidRPr="006B6651">
        <w:rPr>
          <w:spacing w:val="-3"/>
          <w:w w:val="110"/>
          <w:sz w:val="20"/>
          <w:szCs w:val="20"/>
          <w:lang w:val="ru-RU"/>
        </w:rPr>
        <w:t>непряме</w:t>
      </w:r>
      <w:proofErr w:type="spellEnd"/>
      <w:r w:rsidRPr="006B6651">
        <w:rPr>
          <w:spacing w:val="-3"/>
          <w:w w:val="110"/>
          <w:sz w:val="20"/>
          <w:szCs w:val="20"/>
          <w:lang w:val="ru-RU"/>
        </w:rPr>
        <w:t xml:space="preserve"> </w:t>
      </w:r>
      <w:proofErr w:type="spellStart"/>
      <w:r w:rsidRPr="006B6651">
        <w:rPr>
          <w:spacing w:val="-3"/>
          <w:w w:val="110"/>
          <w:sz w:val="20"/>
          <w:szCs w:val="20"/>
          <w:lang w:val="ru-RU"/>
        </w:rPr>
        <w:t>тестування</w:t>
      </w:r>
      <w:proofErr w:type="spellEnd"/>
      <w:r w:rsidRPr="006B6651">
        <w:rPr>
          <w:spacing w:val="-3"/>
          <w:w w:val="110"/>
          <w:sz w:val="20"/>
          <w:szCs w:val="20"/>
          <w:lang w:val="ru-RU"/>
        </w:rPr>
        <w:t xml:space="preserve"> або </w:t>
      </w:r>
      <w:proofErr w:type="spellStart"/>
      <w:r w:rsidRPr="006B6651">
        <w:rPr>
          <w:spacing w:val="-3"/>
          <w:w w:val="110"/>
          <w:sz w:val="20"/>
          <w:szCs w:val="20"/>
          <w:lang w:val="ru-RU"/>
        </w:rPr>
        <w:t>пряме</w:t>
      </w:r>
      <w:proofErr w:type="spellEnd"/>
      <w:r w:rsidRPr="006B6651">
        <w:rPr>
          <w:spacing w:val="-3"/>
          <w:w w:val="110"/>
          <w:sz w:val="20"/>
          <w:szCs w:val="20"/>
          <w:lang w:val="ru-RU"/>
        </w:rPr>
        <w:t xml:space="preserve"> </w:t>
      </w:r>
      <w:proofErr w:type="spellStart"/>
      <w:r w:rsidRPr="006B6651">
        <w:rPr>
          <w:spacing w:val="-3"/>
          <w:w w:val="110"/>
          <w:sz w:val="20"/>
          <w:szCs w:val="20"/>
          <w:lang w:val="ru-RU"/>
        </w:rPr>
        <w:t>тестування</w:t>
      </w:r>
      <w:proofErr w:type="spellEnd"/>
      <w:r w:rsidRPr="006B6651">
        <w:rPr>
          <w:spacing w:val="-3"/>
          <w:w w:val="110"/>
          <w:sz w:val="20"/>
          <w:szCs w:val="20"/>
          <w:lang w:val="ru-RU"/>
        </w:rPr>
        <w:t>).</w:t>
      </w:r>
    </w:p>
    <w:p w14:paraId="267ECFFD" w14:textId="6DF82072" w:rsidR="00DE2E3D" w:rsidRDefault="004A2937" w:rsidP="00DE2E3D">
      <w:pPr>
        <w:spacing w:line="276" w:lineRule="auto"/>
        <w:jc w:val="both"/>
        <w:rPr>
          <w:lang w:val="ru-RU"/>
        </w:rPr>
      </w:pPr>
      <w:r>
        <w:rPr>
          <w:noProof/>
        </w:rPr>
        <mc:AlternateContent>
          <mc:Choice Requires="wps">
            <w:drawing>
              <wp:anchor distT="0" distB="0" distL="114300" distR="114300" simplePos="0" relativeHeight="488210944" behindDoc="0" locked="0" layoutInCell="1" allowOverlap="1" wp14:anchorId="146D6A8B" wp14:editId="0C289B59">
                <wp:simplePos x="0" y="0"/>
                <wp:positionH relativeFrom="margin">
                  <wp:posOffset>6529070</wp:posOffset>
                </wp:positionH>
                <wp:positionV relativeFrom="paragraph">
                  <wp:posOffset>2051685</wp:posOffset>
                </wp:positionV>
                <wp:extent cx="463550" cy="406400"/>
                <wp:effectExtent l="0" t="0" r="0" b="0"/>
                <wp:wrapNone/>
                <wp:docPr id="555284281" name="Поле 1941"/>
                <wp:cNvGraphicFramePr/>
                <a:graphic xmlns:a="http://schemas.openxmlformats.org/drawingml/2006/main">
                  <a:graphicData uri="http://schemas.microsoft.com/office/word/2010/wordprocessingShape">
                    <wps:wsp>
                      <wps:cNvSpPr txBox="1"/>
                      <wps:spPr>
                        <a:xfrm>
                          <a:off x="0" y="0"/>
                          <a:ext cx="463550" cy="406400"/>
                        </a:xfrm>
                        <a:prstGeom prst="rect">
                          <a:avLst/>
                        </a:prstGeom>
                        <a:solidFill>
                          <a:schemeClr val="lt1"/>
                        </a:solidFill>
                        <a:ln w="6350">
                          <a:noFill/>
                        </a:ln>
                      </wps:spPr>
                      <wps:txbx>
                        <w:txbxContent>
                          <w:p w14:paraId="7A53A55F" w14:textId="77777777" w:rsidR="004A2937" w:rsidRDefault="004A2937" w:rsidP="004A2937">
                            <w:pPr>
                              <w:rPr>
                                <w:color w:val="388600"/>
                                <w:sz w:val="20"/>
                                <w:szCs w:val="20"/>
                                <w:lang w:val="uk-UA"/>
                              </w:rPr>
                            </w:pPr>
                          </w:p>
                          <w:p w14:paraId="39A401B9" w14:textId="649B2C6F" w:rsidR="004A2937" w:rsidRPr="00770751" w:rsidRDefault="004A2937" w:rsidP="004A2937">
                            <w:pPr>
                              <w:rPr>
                                <w:color w:val="388600"/>
                                <w:sz w:val="20"/>
                                <w:szCs w:val="20"/>
                                <w:lang w:val="uk-UA"/>
                              </w:rPr>
                            </w:pPr>
                            <w:r w:rsidRPr="00770751">
                              <w:rPr>
                                <w:color w:val="388600"/>
                                <w:sz w:val="20"/>
                                <w:szCs w:val="20"/>
                                <w:lang w:val="uk-UA"/>
                              </w:rPr>
                              <w:t>8</w:t>
                            </w:r>
                            <w:r>
                              <w:rPr>
                                <w:color w:val="388600"/>
                                <w:sz w:val="20"/>
                                <w:szCs w:val="20"/>
                                <w:lang w:val="uk-U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D6A8B" id="_x0000_s1148" type="#_x0000_t202" style="position:absolute;left:0;text-align:left;margin-left:514.1pt;margin-top:161.55pt;width:36.5pt;height:32pt;z-index:48821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" fillcolor="white [3201]" stroked="f" strokeweight=".5pt">
                <v:textbox>
                  <w:txbxContent>
                    <w:p w14:paraId="7A53A55F" w14:textId="77777777" w:rsidR="004A2937" w:rsidRDefault="004A2937" w:rsidP="004A2937">
                      <w:pPr>
                        <w:rPr>
                          <w:color w:val="388600"/>
                          <w:sz w:val="20"/>
                          <w:szCs w:val="20"/>
                          <w:lang w:val="uk-UA"/>
                        </w:rPr>
                      </w:pPr>
                    </w:p>
                    <w:p w14:paraId="39A401B9" w14:textId="649B2C6F" w:rsidR="004A2937" w:rsidRPr="00770751" w:rsidRDefault="004A2937" w:rsidP="004A2937">
                      <w:pPr>
                        <w:rPr>
                          <w:color w:val="388600"/>
                          <w:sz w:val="20"/>
                          <w:szCs w:val="20"/>
                          <w:lang w:val="uk-UA"/>
                        </w:rPr>
                      </w:pPr>
                      <w:r w:rsidRPr="00770751">
                        <w:rPr>
                          <w:color w:val="388600"/>
                          <w:sz w:val="20"/>
                          <w:szCs w:val="20"/>
                          <w:lang w:val="uk-UA"/>
                        </w:rPr>
                        <w:t>8</w:t>
                      </w:r>
                      <w:r>
                        <w:rPr>
                          <w:color w:val="388600"/>
                          <w:sz w:val="20"/>
                          <w:szCs w:val="20"/>
                          <w:lang w:val="uk-UA"/>
                        </w:rPr>
                        <w:t>5</w:t>
                      </w:r>
                    </w:p>
                  </w:txbxContent>
                </v:textbox>
                <w10:wrap anchorx="margin"/>
              </v:shape>
            </w:pict>
          </mc:Fallback>
        </mc:AlternateContent>
      </w:r>
    </w:p>
    <w:p w14:paraId="7D889AED" w14:textId="4F904D73" w:rsidR="006E5AE7" w:rsidRPr="006B6651" w:rsidRDefault="006E5AE7" w:rsidP="006E5AE7">
      <w:pPr>
        <w:tabs>
          <w:tab w:val="left" w:pos="10206"/>
        </w:tabs>
        <w:spacing w:line="276" w:lineRule="auto"/>
        <w:ind w:right="1217"/>
        <w:jc w:val="both"/>
        <w:rPr>
          <w:lang w:val="ru-RU"/>
        </w:rPr>
        <w:sectPr w:rsidR="006E5AE7" w:rsidRPr="006B6651" w:rsidSect="004A2937">
          <w:pgSz w:w="11910" w:h="16840"/>
          <w:pgMar w:top="567" w:right="249" w:bottom="782" w:left="238" w:header="0" w:footer="595" w:gutter="0"/>
          <w:cols w:space="720"/>
        </w:sectPr>
      </w:pPr>
    </w:p>
    <w:p w14:paraId="7CAC7360" w14:textId="77777777" w:rsidR="00DE2E3D" w:rsidRPr="00A816CE" w:rsidRDefault="00DE2E3D" w:rsidP="00DE2E3D">
      <w:pPr>
        <w:pStyle w:val="a3"/>
        <w:ind w:left="1417"/>
        <w:rPr>
          <w:sz w:val="20"/>
        </w:rPr>
      </w:pPr>
      <w:r w:rsidRPr="00A816CE">
        <w:rPr>
          <w:noProof/>
          <w:sz w:val="20"/>
        </w:rPr>
        <w:lastRenderedPageBreak/>
        <mc:AlternateContent>
          <mc:Choice Requires="wpg">
            <w:drawing>
              <wp:inline distT="0" distB="0" distL="0" distR="0" wp14:anchorId="744FD407" wp14:editId="3814C979">
                <wp:extent cx="5797692" cy="3181380"/>
                <wp:effectExtent l="0" t="0" r="0" b="0"/>
                <wp:docPr id="1637214889" name="Групувати 1637214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692" cy="3181380"/>
                          <a:chOff x="-394" y="52"/>
                          <a:chExt cx="9514" cy="5002"/>
                        </a:xfrm>
                      </wpg:grpSpPr>
                      <wps:wsp>
                        <wps:cNvPr id="1882999988" name="Freeform 24"/>
                        <wps:cNvSpPr>
                          <a:spLocks/>
                        </wps:cNvSpPr>
                        <wps:spPr bwMode="auto">
                          <a:xfrm>
                            <a:off x="-305" y="228"/>
                            <a:ext cx="9425" cy="4826"/>
                          </a:xfrm>
                          <a:custGeom>
                            <a:avLst/>
                            <a:gdLst>
                              <a:gd name="T0" fmla="+- 0 8617 171"/>
                              <a:gd name="T1" fmla="*/ T0 w 8901"/>
                              <a:gd name="T2" fmla="*/ 0 h 4470"/>
                              <a:gd name="T3" fmla="+- 0 171 171"/>
                              <a:gd name="T4" fmla="*/ T3 w 8901"/>
                              <a:gd name="T5" fmla="*/ 0 h 4470"/>
                              <a:gd name="T6" fmla="+- 0 171 171"/>
                              <a:gd name="T7" fmla="*/ T6 w 8901"/>
                              <a:gd name="T8" fmla="*/ 4470 h 4470"/>
                              <a:gd name="T9" fmla="+- 0 8617 171"/>
                              <a:gd name="T10" fmla="*/ T9 w 8901"/>
                              <a:gd name="T11" fmla="*/ 4470 h 4470"/>
                              <a:gd name="T12" fmla="+- 0 8691 171"/>
                              <a:gd name="T13" fmla="*/ T12 w 8901"/>
                              <a:gd name="T14" fmla="*/ 4464 h 4470"/>
                              <a:gd name="T15" fmla="+- 0 8761 171"/>
                              <a:gd name="T16" fmla="*/ T15 w 8901"/>
                              <a:gd name="T17" fmla="*/ 4447 h 4470"/>
                              <a:gd name="T18" fmla="+- 0 8826 171"/>
                              <a:gd name="T19" fmla="*/ T18 w 8901"/>
                              <a:gd name="T20" fmla="*/ 4419 h 4470"/>
                              <a:gd name="T21" fmla="+- 0 8885 171"/>
                              <a:gd name="T22" fmla="*/ T21 w 8901"/>
                              <a:gd name="T23" fmla="*/ 4382 h 4470"/>
                              <a:gd name="T24" fmla="+- 0 8938 171"/>
                              <a:gd name="T25" fmla="*/ T24 w 8901"/>
                              <a:gd name="T26" fmla="*/ 4337 h 4470"/>
                              <a:gd name="T27" fmla="+- 0 8983 171"/>
                              <a:gd name="T28" fmla="*/ T27 w 8901"/>
                              <a:gd name="T29" fmla="*/ 4284 h 4470"/>
                              <a:gd name="T30" fmla="+- 0 9020 171"/>
                              <a:gd name="T31" fmla="*/ T30 w 8901"/>
                              <a:gd name="T32" fmla="*/ 4225 h 4470"/>
                              <a:gd name="T33" fmla="+- 0 9048 171"/>
                              <a:gd name="T34" fmla="*/ T33 w 8901"/>
                              <a:gd name="T35" fmla="*/ 4159 h 4470"/>
                              <a:gd name="T36" fmla="+- 0 9065 171"/>
                              <a:gd name="T37" fmla="*/ T36 w 8901"/>
                              <a:gd name="T38" fmla="*/ 4090 h 4470"/>
                              <a:gd name="T39" fmla="+- 0 9071 171"/>
                              <a:gd name="T40" fmla="*/ T39 w 8901"/>
                              <a:gd name="T41" fmla="*/ 4016 h 4470"/>
                              <a:gd name="T42" fmla="+- 0 9071 171"/>
                              <a:gd name="T43" fmla="*/ T42 w 8901"/>
                              <a:gd name="T44" fmla="*/ 454 h 4470"/>
                              <a:gd name="T45" fmla="+- 0 9065 171"/>
                              <a:gd name="T46" fmla="*/ T45 w 8901"/>
                              <a:gd name="T47" fmla="*/ 380 h 4470"/>
                              <a:gd name="T48" fmla="+- 0 9048 171"/>
                              <a:gd name="T49" fmla="*/ T48 w 8901"/>
                              <a:gd name="T50" fmla="*/ 310 h 4470"/>
                              <a:gd name="T51" fmla="+- 0 9020 171"/>
                              <a:gd name="T52" fmla="*/ T51 w 8901"/>
                              <a:gd name="T53" fmla="*/ 245 h 4470"/>
                              <a:gd name="T54" fmla="+- 0 8983 171"/>
                              <a:gd name="T55" fmla="*/ T54 w 8901"/>
                              <a:gd name="T56" fmla="*/ 186 h 4470"/>
                              <a:gd name="T57" fmla="+- 0 8938 171"/>
                              <a:gd name="T58" fmla="*/ T57 w 8901"/>
                              <a:gd name="T59" fmla="*/ 133 h 4470"/>
                              <a:gd name="T60" fmla="+- 0 8885 171"/>
                              <a:gd name="T61" fmla="*/ T60 w 8901"/>
                              <a:gd name="T62" fmla="*/ 88 h 4470"/>
                              <a:gd name="T63" fmla="+- 0 8826 171"/>
                              <a:gd name="T64" fmla="*/ T63 w 8901"/>
                              <a:gd name="T65" fmla="*/ 51 h 4470"/>
                              <a:gd name="T66" fmla="+- 0 8761 171"/>
                              <a:gd name="T67" fmla="*/ T66 w 8901"/>
                              <a:gd name="T68" fmla="*/ 23 h 4470"/>
                              <a:gd name="T69" fmla="+- 0 8691 171"/>
                              <a:gd name="T70" fmla="*/ T69 w 8901"/>
                              <a:gd name="T71" fmla="*/ 6 h 4470"/>
                              <a:gd name="T72" fmla="+- 0 8617 171"/>
                              <a:gd name="T73" fmla="*/ T72 w 8901"/>
                              <a:gd name="T74" fmla="*/ 0 h 44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8901" h="4470">
                                <a:moveTo>
                                  <a:pt x="8446" y="0"/>
                                </a:moveTo>
                                <a:lnTo>
                                  <a:pt x="0" y="0"/>
                                </a:lnTo>
                                <a:lnTo>
                                  <a:pt x="0" y="4470"/>
                                </a:lnTo>
                                <a:lnTo>
                                  <a:pt x="8446" y="4470"/>
                                </a:lnTo>
                                <a:lnTo>
                                  <a:pt x="8520" y="4464"/>
                                </a:lnTo>
                                <a:lnTo>
                                  <a:pt x="8590" y="4447"/>
                                </a:lnTo>
                                <a:lnTo>
                                  <a:pt x="8655" y="4419"/>
                                </a:lnTo>
                                <a:lnTo>
                                  <a:pt x="8714" y="4382"/>
                                </a:lnTo>
                                <a:lnTo>
                                  <a:pt x="8767" y="4337"/>
                                </a:lnTo>
                                <a:lnTo>
                                  <a:pt x="8812" y="4284"/>
                                </a:lnTo>
                                <a:lnTo>
                                  <a:pt x="8849" y="4225"/>
                                </a:lnTo>
                                <a:lnTo>
                                  <a:pt x="8877" y="4159"/>
                                </a:lnTo>
                                <a:lnTo>
                                  <a:pt x="8894" y="4090"/>
                                </a:lnTo>
                                <a:lnTo>
                                  <a:pt x="8900" y="4016"/>
                                </a:lnTo>
                                <a:lnTo>
                                  <a:pt x="8900" y="454"/>
                                </a:lnTo>
                                <a:lnTo>
                                  <a:pt x="8894" y="380"/>
                                </a:lnTo>
                                <a:lnTo>
                                  <a:pt x="8877" y="310"/>
                                </a:lnTo>
                                <a:lnTo>
                                  <a:pt x="8849" y="245"/>
                                </a:lnTo>
                                <a:lnTo>
                                  <a:pt x="8812" y="186"/>
                                </a:lnTo>
                                <a:lnTo>
                                  <a:pt x="8767" y="133"/>
                                </a:lnTo>
                                <a:lnTo>
                                  <a:pt x="8714" y="88"/>
                                </a:lnTo>
                                <a:lnTo>
                                  <a:pt x="8655" y="51"/>
                                </a:lnTo>
                                <a:lnTo>
                                  <a:pt x="8590" y="23"/>
                                </a:lnTo>
                                <a:lnTo>
                                  <a:pt x="8520" y="6"/>
                                </a:lnTo>
                                <a:lnTo>
                                  <a:pt x="8446" y="0"/>
                                </a:lnTo>
                                <a:close/>
                              </a:path>
                            </a:pathLst>
                          </a:custGeom>
                          <a:solidFill>
                            <a:srgbClr val="C6E0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336329" name="Freeform 25"/>
                        <wps:cNvSpPr>
                          <a:spLocks/>
                        </wps:cNvSpPr>
                        <wps:spPr bwMode="auto">
                          <a:xfrm>
                            <a:off x="-394" y="312"/>
                            <a:ext cx="7176" cy="563"/>
                          </a:xfrm>
                          <a:custGeom>
                            <a:avLst/>
                            <a:gdLst>
                              <a:gd name="T0" fmla="*/ 2972 w 3232"/>
                              <a:gd name="T1" fmla="+- 0 247 247"/>
                              <a:gd name="T2" fmla="*/ 247 h 520"/>
                              <a:gd name="T3" fmla="*/ 0 w 3232"/>
                              <a:gd name="T4" fmla="+- 0 247 247"/>
                              <a:gd name="T5" fmla="*/ 247 h 520"/>
                              <a:gd name="T6" fmla="*/ 0 w 3232"/>
                              <a:gd name="T7" fmla="+- 0 767 247"/>
                              <a:gd name="T8" fmla="*/ 767 h 520"/>
                              <a:gd name="T9" fmla="*/ 2972 w 3232"/>
                              <a:gd name="T10" fmla="+- 0 767 247"/>
                              <a:gd name="T11" fmla="*/ 767 h 520"/>
                              <a:gd name="T12" fmla="*/ 3041 w 3232"/>
                              <a:gd name="T13" fmla="+- 0 757 247"/>
                              <a:gd name="T14" fmla="*/ 757 h 520"/>
                              <a:gd name="T15" fmla="*/ 3103 w 3232"/>
                              <a:gd name="T16" fmla="+- 0 731 247"/>
                              <a:gd name="T17" fmla="*/ 731 h 520"/>
                              <a:gd name="T18" fmla="*/ 3155 w 3232"/>
                              <a:gd name="T19" fmla="+- 0 691 247"/>
                              <a:gd name="T20" fmla="*/ 691 h 520"/>
                              <a:gd name="T21" fmla="*/ 3196 w 3232"/>
                              <a:gd name="T22" fmla="+- 0 638 247"/>
                              <a:gd name="T23" fmla="*/ 638 h 520"/>
                              <a:gd name="T24" fmla="*/ 3222 w 3232"/>
                              <a:gd name="T25" fmla="+- 0 576 247"/>
                              <a:gd name="T26" fmla="*/ 576 h 520"/>
                              <a:gd name="T27" fmla="*/ 3232 w 3232"/>
                              <a:gd name="T28" fmla="+- 0 507 247"/>
                              <a:gd name="T29" fmla="*/ 507 h 520"/>
                              <a:gd name="T30" fmla="*/ 3222 w 3232"/>
                              <a:gd name="T31" fmla="+- 0 438 247"/>
                              <a:gd name="T32" fmla="*/ 438 h 520"/>
                              <a:gd name="T33" fmla="*/ 3196 w 3232"/>
                              <a:gd name="T34" fmla="+- 0 376 247"/>
                              <a:gd name="T35" fmla="*/ 376 h 520"/>
                              <a:gd name="T36" fmla="*/ 3155 w 3232"/>
                              <a:gd name="T37" fmla="+- 0 323 247"/>
                              <a:gd name="T38" fmla="*/ 323 h 520"/>
                              <a:gd name="T39" fmla="*/ 3103 w 3232"/>
                              <a:gd name="T40" fmla="+- 0 283 247"/>
                              <a:gd name="T41" fmla="*/ 283 h 520"/>
                              <a:gd name="T42" fmla="*/ 3041 w 3232"/>
                              <a:gd name="T43" fmla="+- 0 257 247"/>
                              <a:gd name="T44" fmla="*/ 257 h 520"/>
                              <a:gd name="T45" fmla="*/ 2972 w 3232"/>
                              <a:gd name="T46" fmla="+- 0 247 247"/>
                              <a:gd name="T47" fmla="*/ 247 h 5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3232" h="520">
                                <a:moveTo>
                                  <a:pt x="2972" y="0"/>
                                </a:moveTo>
                                <a:lnTo>
                                  <a:pt x="0" y="0"/>
                                </a:lnTo>
                                <a:lnTo>
                                  <a:pt x="0" y="520"/>
                                </a:lnTo>
                                <a:lnTo>
                                  <a:pt x="2972" y="520"/>
                                </a:lnTo>
                                <a:lnTo>
                                  <a:pt x="3041" y="510"/>
                                </a:lnTo>
                                <a:lnTo>
                                  <a:pt x="3103" y="484"/>
                                </a:lnTo>
                                <a:lnTo>
                                  <a:pt x="3155" y="444"/>
                                </a:lnTo>
                                <a:lnTo>
                                  <a:pt x="3196" y="391"/>
                                </a:lnTo>
                                <a:lnTo>
                                  <a:pt x="3222" y="329"/>
                                </a:lnTo>
                                <a:lnTo>
                                  <a:pt x="3232" y="260"/>
                                </a:lnTo>
                                <a:lnTo>
                                  <a:pt x="3222" y="191"/>
                                </a:lnTo>
                                <a:lnTo>
                                  <a:pt x="3196" y="129"/>
                                </a:lnTo>
                                <a:lnTo>
                                  <a:pt x="3155" y="76"/>
                                </a:lnTo>
                                <a:lnTo>
                                  <a:pt x="3103" y="36"/>
                                </a:lnTo>
                                <a:lnTo>
                                  <a:pt x="3041" y="10"/>
                                </a:lnTo>
                                <a:lnTo>
                                  <a:pt x="2972" y="0"/>
                                </a:lnTo>
                                <a:close/>
                              </a:path>
                            </a:pathLst>
                          </a:custGeom>
                          <a:solidFill>
                            <a:srgbClr val="009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05123" name="Text Box 26"/>
                        <wps:cNvSpPr txBox="1">
                          <a:spLocks noChangeArrowheads="1"/>
                        </wps:cNvSpPr>
                        <wps:spPr bwMode="auto">
                          <a:xfrm>
                            <a:off x="-131" y="52"/>
                            <a:ext cx="9001" cy="4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32551" w14:textId="77777777" w:rsidR="00DE2E3D" w:rsidRDefault="00DE2E3D" w:rsidP="00DE2E3D">
                              <w:pPr>
                                <w:spacing w:before="5"/>
                                <w:rPr>
                                  <w:sz w:val="31"/>
                                </w:rPr>
                              </w:pPr>
                            </w:p>
                            <w:p w14:paraId="1E46CDC9" w14:textId="552E5D43" w:rsidR="006E5AE7" w:rsidRPr="006E5AE7" w:rsidRDefault="006E5AE7" w:rsidP="00DE2E3D">
                              <w:pPr>
                                <w:rPr>
                                  <w:b/>
                                  <w:color w:val="FFFFFF"/>
                                  <w:w w:val="115"/>
                                  <w:sz w:val="8"/>
                                  <w:szCs w:val="8"/>
                                  <w:lang w:val="uk-UA"/>
                                </w:rPr>
                              </w:pPr>
                              <w:bookmarkStart w:id="75" w:name="_bookmark34"/>
                              <w:bookmarkEnd w:id="75"/>
                            </w:p>
                            <w:p w14:paraId="019CFB7C" w14:textId="0D1133CE" w:rsidR="00DE2E3D" w:rsidRPr="006E5AE7" w:rsidRDefault="00DE2E3D" w:rsidP="00DE2E3D">
                              <w:pPr>
                                <w:rPr>
                                  <w:b/>
                                  <w:color w:val="FFFFFF"/>
                                  <w:w w:val="115"/>
                                  <w:sz w:val="20"/>
                                  <w:szCs w:val="20"/>
                                  <w:lang w:val="ru-RU"/>
                                </w:rPr>
                              </w:pPr>
                              <w:r>
                                <w:rPr>
                                  <w:b/>
                                  <w:color w:val="FFFFFF"/>
                                  <w:w w:val="115"/>
                                  <w:sz w:val="20"/>
                                  <w:szCs w:val="20"/>
                                  <w:lang w:val="uk-UA"/>
                                </w:rPr>
                                <w:t xml:space="preserve">Інформаційний блок </w:t>
                              </w:r>
                              <w:r w:rsidRPr="006E5AE7">
                                <w:rPr>
                                  <w:b/>
                                  <w:color w:val="FFFFFF"/>
                                  <w:w w:val="115"/>
                                  <w:sz w:val="20"/>
                                  <w:szCs w:val="20"/>
                                  <w:lang w:val="ru-RU"/>
                                </w:rPr>
                                <w:t xml:space="preserve">2.4.2.1 </w:t>
                              </w:r>
                              <w:r w:rsidR="006E5AE7">
                                <w:rPr>
                                  <w:b/>
                                  <w:color w:val="FFFFFF"/>
                                  <w:w w:val="115"/>
                                  <w:sz w:val="20"/>
                                  <w:szCs w:val="20"/>
                                  <w:lang w:val="uk-UA"/>
                                </w:rPr>
                                <w:t xml:space="preserve"> </w:t>
                              </w:r>
                              <w:r w:rsidRPr="00DC7382">
                                <w:rPr>
                                  <w:b/>
                                  <w:color w:val="FFFFFF"/>
                                  <w:w w:val="115"/>
                                  <w:sz w:val="20"/>
                                  <w:szCs w:val="20"/>
                                  <w:lang w:val="uk-UA"/>
                                </w:rPr>
                                <w:t xml:space="preserve">Запитання </w:t>
                              </w:r>
                              <w:r>
                                <w:rPr>
                                  <w:b/>
                                  <w:color w:val="FFFFFF"/>
                                  <w:w w:val="115"/>
                                  <w:sz w:val="20"/>
                                  <w:szCs w:val="20"/>
                                  <w:lang w:val="uk-UA"/>
                                </w:rPr>
                                <w:t xml:space="preserve">формату </w:t>
                              </w:r>
                              <w:r w:rsidRPr="00DC7382">
                                <w:rPr>
                                  <w:b/>
                                  <w:color w:val="FFFFFF"/>
                                  <w:w w:val="115"/>
                                  <w:sz w:val="20"/>
                                  <w:szCs w:val="20"/>
                                </w:rPr>
                                <w:t>PICO</w:t>
                              </w:r>
                              <w:r w:rsidRPr="006E5AE7">
                                <w:rPr>
                                  <w:b/>
                                  <w:color w:val="FFFFFF"/>
                                  <w:w w:val="115"/>
                                  <w:sz w:val="20"/>
                                  <w:szCs w:val="20"/>
                                  <w:lang w:val="ru-RU"/>
                                </w:rPr>
                                <w:t xml:space="preserve"> </w:t>
                              </w:r>
                            </w:p>
                            <w:p w14:paraId="7E6866E3" w14:textId="77777777" w:rsidR="00DE2E3D" w:rsidRPr="006E5AE7" w:rsidRDefault="00DE2E3D" w:rsidP="00DE2E3D">
                              <w:pPr>
                                <w:spacing w:before="2"/>
                                <w:rPr>
                                  <w:b/>
                                  <w:sz w:val="25"/>
                                  <w:lang w:val="ru-RU"/>
                                </w:rPr>
                              </w:pPr>
                            </w:p>
                            <w:p w14:paraId="063FFE11" w14:textId="77777777" w:rsidR="00DE2E3D" w:rsidRPr="00734DA4" w:rsidRDefault="00DE2E3D" w:rsidP="004A2937">
                              <w:pPr>
                                <w:numPr>
                                  <w:ilvl w:val="0"/>
                                  <w:numId w:val="39"/>
                                </w:numPr>
                                <w:tabs>
                                  <w:tab w:val="left" w:pos="1134"/>
                                </w:tabs>
                                <w:spacing w:line="276" w:lineRule="auto"/>
                                <w:ind w:left="567" w:right="354"/>
                                <w:jc w:val="both"/>
                                <w:rPr>
                                  <w:sz w:val="20"/>
                                  <w:szCs w:val="20"/>
                                  <w:lang w:val="uk-UA"/>
                                </w:rPr>
                              </w:pPr>
                              <w:r>
                                <w:rPr>
                                  <w:w w:val="110"/>
                                  <w:sz w:val="20"/>
                                  <w:szCs w:val="20"/>
                                  <w:lang w:val="uk-UA"/>
                                </w:rPr>
                                <w:t>Чи слід</w:t>
                              </w:r>
                              <w:r w:rsidRPr="00734DA4">
                                <w:rPr>
                                  <w:w w:val="110"/>
                                  <w:sz w:val="20"/>
                                  <w:szCs w:val="20"/>
                                  <w:lang w:val="uk-UA"/>
                                </w:rPr>
                                <w:t xml:space="preserve"> використовувати LPA для </w:t>
                              </w:r>
                              <w:r w:rsidRPr="009E2A61">
                                <w:rPr>
                                  <w:w w:val="110"/>
                                  <w:sz w:val="20"/>
                                  <w:szCs w:val="20"/>
                                  <w:lang w:val="uk-UA"/>
                                </w:rPr>
                                <w:t>обґрунтування клінічних</w:t>
                              </w:r>
                              <w:r w:rsidRPr="00734DA4">
                                <w:rPr>
                                  <w:w w:val="110"/>
                                  <w:sz w:val="20"/>
                                  <w:szCs w:val="20"/>
                                  <w:lang w:val="uk-UA"/>
                                </w:rPr>
                                <w:t xml:space="preserve"> рішень щодо використання рифампіцину при прямому тестуванні зразків та непрямому тестуванні культуральних ізолятів</w:t>
                              </w:r>
                              <w:r>
                                <w:rPr>
                                  <w:w w:val="110"/>
                                  <w:sz w:val="20"/>
                                  <w:szCs w:val="20"/>
                                  <w:lang w:val="uk-UA"/>
                                </w:rPr>
                                <w:t>, отриманих від пацієнтів із симптомами ТБ?</w:t>
                              </w:r>
                            </w:p>
                            <w:p w14:paraId="60028AE5" w14:textId="77777777" w:rsidR="00DE2E3D" w:rsidRPr="00734DA4" w:rsidRDefault="00DE2E3D" w:rsidP="004A2937">
                              <w:pPr>
                                <w:numPr>
                                  <w:ilvl w:val="0"/>
                                  <w:numId w:val="39"/>
                                </w:numPr>
                                <w:tabs>
                                  <w:tab w:val="left" w:pos="1134"/>
                                </w:tabs>
                                <w:spacing w:before="61" w:line="276" w:lineRule="auto"/>
                                <w:ind w:left="567" w:right="358"/>
                                <w:jc w:val="both"/>
                                <w:rPr>
                                  <w:sz w:val="20"/>
                                  <w:szCs w:val="20"/>
                                  <w:lang w:val="uk-UA"/>
                                </w:rPr>
                              </w:pPr>
                              <w:r>
                                <w:rPr>
                                  <w:w w:val="110"/>
                                  <w:sz w:val="20"/>
                                  <w:szCs w:val="20"/>
                                  <w:lang w:val="uk-UA"/>
                                </w:rPr>
                                <w:t>Чи слід</w:t>
                              </w:r>
                              <w:r w:rsidRPr="00734DA4">
                                <w:rPr>
                                  <w:w w:val="110"/>
                                  <w:sz w:val="20"/>
                                  <w:szCs w:val="20"/>
                                  <w:lang w:val="uk-UA"/>
                                </w:rPr>
                                <w:t xml:space="preserve"> використовувати LPA для </w:t>
                              </w:r>
                              <w:r w:rsidRPr="0051427D">
                                <w:rPr>
                                  <w:w w:val="110"/>
                                  <w:sz w:val="20"/>
                                  <w:szCs w:val="20"/>
                                  <w:lang w:val="uk-UA"/>
                                </w:rPr>
                                <w:t>обґрунтування</w:t>
                              </w:r>
                              <w:r w:rsidRPr="00734DA4">
                                <w:rPr>
                                  <w:w w:val="110"/>
                                  <w:sz w:val="20"/>
                                  <w:szCs w:val="20"/>
                                  <w:lang w:val="uk-UA"/>
                                </w:rPr>
                                <w:t xml:space="preserve"> клінічних рішень щодо використання ізоніазиду при прямому тестуванні зразків та непрямому тестуванні культуральних ізолятів</w:t>
                              </w:r>
                              <w:r>
                                <w:rPr>
                                  <w:w w:val="110"/>
                                  <w:sz w:val="20"/>
                                  <w:szCs w:val="20"/>
                                  <w:lang w:val="uk-UA"/>
                                </w:rPr>
                                <w:t>, отриманих від пацієнтів із симптомами ТБ</w:t>
                              </w:r>
                              <w:r w:rsidRPr="00734DA4">
                                <w:rPr>
                                  <w:w w:val="110"/>
                                  <w:sz w:val="20"/>
                                  <w:szCs w:val="20"/>
                                  <w:lang w:val="uk-UA"/>
                                </w:rPr>
                                <w:t>?</w:t>
                              </w:r>
                            </w:p>
                            <w:p w14:paraId="5C976049" w14:textId="77777777" w:rsidR="00DE2E3D" w:rsidRPr="00734DA4" w:rsidRDefault="00DE2E3D" w:rsidP="004A2937">
                              <w:pPr>
                                <w:numPr>
                                  <w:ilvl w:val="0"/>
                                  <w:numId w:val="39"/>
                                </w:numPr>
                                <w:tabs>
                                  <w:tab w:val="left" w:pos="1134"/>
                                </w:tabs>
                                <w:spacing w:before="60" w:line="276" w:lineRule="auto"/>
                                <w:ind w:left="567" w:right="358"/>
                                <w:jc w:val="both"/>
                                <w:rPr>
                                  <w:sz w:val="20"/>
                                  <w:szCs w:val="20"/>
                                  <w:lang w:val="uk-UA"/>
                                </w:rPr>
                              </w:pPr>
                              <w:r>
                                <w:rPr>
                                  <w:w w:val="110"/>
                                  <w:sz w:val="20"/>
                                  <w:szCs w:val="20"/>
                                  <w:lang w:val="uk-UA"/>
                                </w:rPr>
                                <w:t xml:space="preserve">Чи слід </w:t>
                              </w:r>
                              <w:r w:rsidRPr="00734DA4">
                                <w:rPr>
                                  <w:w w:val="110"/>
                                  <w:sz w:val="20"/>
                                  <w:szCs w:val="20"/>
                                  <w:lang w:val="uk-UA"/>
                                </w:rPr>
                                <w:t>використовувати LPA для діагностики М</w:t>
                              </w:r>
                              <w:r w:rsidRPr="00955048">
                                <w:rPr>
                                  <w:w w:val="110"/>
                                  <w:sz w:val="20"/>
                                  <w:szCs w:val="20"/>
                                  <w:lang w:val="uk-UA"/>
                                </w:rPr>
                                <w:t>ЛС</w:t>
                              </w:r>
                              <w:r w:rsidRPr="00734DA4">
                                <w:rPr>
                                  <w:w w:val="110"/>
                                  <w:sz w:val="20"/>
                                  <w:szCs w:val="20"/>
                                  <w:lang w:val="uk-UA"/>
                                </w:rPr>
                                <w:t>-ТБ</w:t>
                              </w:r>
                              <w:r w:rsidRPr="006B6651">
                                <w:rPr>
                                  <w:lang w:val="ru-RU"/>
                                </w:rPr>
                                <w:t xml:space="preserve"> </w:t>
                              </w:r>
                              <w:r>
                                <w:rPr>
                                  <w:w w:val="110"/>
                                  <w:sz w:val="20"/>
                                  <w:szCs w:val="20"/>
                                  <w:lang w:val="uk-UA"/>
                                </w:rPr>
                                <w:t>у</w:t>
                              </w:r>
                              <w:r w:rsidRPr="004C6590">
                                <w:rPr>
                                  <w:w w:val="110"/>
                                  <w:sz w:val="20"/>
                                  <w:szCs w:val="20"/>
                                  <w:lang w:val="uk-UA"/>
                                </w:rPr>
                                <w:t xml:space="preserve"> пацієнтів </w:t>
                              </w:r>
                              <w:r>
                                <w:rPr>
                                  <w:w w:val="110"/>
                                  <w:sz w:val="20"/>
                                  <w:szCs w:val="20"/>
                                  <w:lang w:val="uk-UA"/>
                                </w:rPr>
                                <w:t>і</w:t>
                              </w:r>
                              <w:r w:rsidRPr="004C6590">
                                <w:rPr>
                                  <w:w w:val="110"/>
                                  <w:sz w:val="20"/>
                                  <w:szCs w:val="20"/>
                                  <w:lang w:val="uk-UA"/>
                                </w:rPr>
                                <w:t xml:space="preserve">з ознаками та </w:t>
                              </w:r>
                              <w:r w:rsidRPr="004C6590">
                                <w:rPr>
                                  <w:w w:val="110"/>
                                  <w:sz w:val="20"/>
                                  <w:szCs w:val="20"/>
                                  <w:lang w:val="uk-UA"/>
                                </w:rPr>
                                <w:t>симптомамиТБ</w:t>
                              </w:r>
                              <w:r w:rsidRPr="00734DA4">
                                <w:rPr>
                                  <w:w w:val="110"/>
                                  <w:sz w:val="20"/>
                                  <w:szCs w:val="20"/>
                                  <w:lang w:val="uk-UA"/>
                                </w:rPr>
                                <w:t>?</w:t>
                              </w:r>
                            </w:p>
                            <w:p w14:paraId="3655BC58" w14:textId="77777777" w:rsidR="00DE2E3D" w:rsidRPr="00734DA4" w:rsidRDefault="00DE2E3D" w:rsidP="004A2937">
                              <w:pPr>
                                <w:numPr>
                                  <w:ilvl w:val="0"/>
                                  <w:numId w:val="39"/>
                                </w:numPr>
                                <w:tabs>
                                  <w:tab w:val="left" w:pos="1134"/>
                                </w:tabs>
                                <w:spacing w:before="59" w:line="276" w:lineRule="auto"/>
                                <w:ind w:left="567" w:right="361"/>
                                <w:jc w:val="both"/>
                                <w:rPr>
                                  <w:sz w:val="20"/>
                                  <w:szCs w:val="20"/>
                                  <w:lang w:val="uk-UA"/>
                                </w:rPr>
                              </w:pPr>
                              <w:r>
                                <w:rPr>
                                  <w:sz w:val="20"/>
                                  <w:szCs w:val="20"/>
                                  <w:lang w:val="uk-UA"/>
                                </w:rPr>
                                <w:t xml:space="preserve">Чи </w:t>
                              </w:r>
                              <w:r>
                                <w:rPr>
                                  <w:w w:val="110"/>
                                  <w:sz w:val="20"/>
                                  <w:szCs w:val="20"/>
                                  <w:lang w:val="uk-UA"/>
                                </w:rPr>
                                <w:t>слід</w:t>
                              </w:r>
                              <w:r w:rsidRPr="00734DA4">
                                <w:rPr>
                                  <w:w w:val="110"/>
                                  <w:sz w:val="20"/>
                                  <w:szCs w:val="20"/>
                                  <w:lang w:val="uk-UA"/>
                                </w:rPr>
                                <w:t xml:space="preserve"> використовувати LPA для діагностики ТБ</w:t>
                              </w:r>
                              <w:r>
                                <w:rPr>
                                  <w:w w:val="110"/>
                                  <w:sz w:val="20"/>
                                  <w:szCs w:val="20"/>
                                  <w:lang w:val="uk-UA"/>
                                </w:rPr>
                                <w:t xml:space="preserve"> у</w:t>
                              </w:r>
                              <w:r w:rsidRPr="0051427D">
                                <w:rPr>
                                  <w:w w:val="110"/>
                                  <w:sz w:val="20"/>
                                  <w:szCs w:val="20"/>
                                  <w:lang w:val="uk-UA"/>
                                </w:rPr>
                                <w:t xml:space="preserve"> пацієнтів </w:t>
                              </w:r>
                              <w:r>
                                <w:rPr>
                                  <w:w w:val="110"/>
                                  <w:sz w:val="20"/>
                                  <w:szCs w:val="20"/>
                                  <w:lang w:val="uk-UA"/>
                                </w:rPr>
                                <w:t>і</w:t>
                              </w:r>
                              <w:r w:rsidRPr="0051427D">
                                <w:rPr>
                                  <w:w w:val="110"/>
                                  <w:sz w:val="20"/>
                                  <w:szCs w:val="20"/>
                                  <w:lang w:val="uk-UA"/>
                                </w:rPr>
                                <w:t>з симптомами</w:t>
                              </w:r>
                              <w:r>
                                <w:rPr>
                                  <w:w w:val="110"/>
                                  <w:sz w:val="20"/>
                                  <w:szCs w:val="20"/>
                                  <w:lang w:val="uk-UA"/>
                                </w:rPr>
                                <w:t xml:space="preserve"> </w:t>
                              </w:r>
                              <w:r w:rsidRPr="0051427D">
                                <w:rPr>
                                  <w:w w:val="110"/>
                                  <w:sz w:val="20"/>
                                  <w:szCs w:val="20"/>
                                  <w:lang w:val="uk-UA"/>
                                </w:rPr>
                                <w:t>ТБ, але з негативними результатами мікроскопії мазка мокротиння</w:t>
                              </w:r>
                            </w:p>
                            <w:p w14:paraId="12273E0F" w14:textId="77777777" w:rsidR="00DE2E3D" w:rsidRPr="006B6651" w:rsidRDefault="00DE2E3D" w:rsidP="006E5AE7">
                              <w:pPr>
                                <w:tabs>
                                  <w:tab w:val="left" w:pos="1134"/>
                                </w:tabs>
                                <w:spacing w:before="59" w:line="276" w:lineRule="auto"/>
                                <w:ind w:left="567" w:right="361"/>
                                <w:rPr>
                                  <w:sz w:val="20"/>
                                  <w:szCs w:val="20"/>
                                  <w:lang w:val="ru-RU"/>
                                </w:rPr>
                              </w:pPr>
                            </w:p>
                          </w:txbxContent>
                        </wps:txbx>
                        <wps:bodyPr rot="0" vert="horz" wrap="square" lIns="0" tIns="0" rIns="0" bIns="0" anchor="t" anchorCtr="0" upright="1">
                          <a:noAutofit/>
                        </wps:bodyPr>
                      </wps:wsp>
                    </wpg:wgp>
                  </a:graphicData>
                </a:graphic>
              </wp:inline>
            </w:drawing>
          </mc:Choice>
          <mc:Fallback>
            <w:pict>
              <v:group w14:anchorId="744FD407" id="Групувати 1637214889" o:spid="_x0000_s1149" style="width:456.5pt;height:250.5pt;mso-position-horizontal-relative:char;mso-position-vertical-relative:line" coordorigin="-394,52" coordsize="9514,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">
                <v:shape id="Freeform 24" o:spid="_x0000_s1150" style="position:absolute;left:-305;top:228;width:9425;height:4826;visibility:visible;mso-wrap-style:square;v-text-anchor:top" coordsize="8901,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" path="m8446,l,,,4470r8446,l8520,4464r70,-17l8655,4419r59,-37l8767,4337r45,-53l8849,4225r28,-66l8894,4090r6,-74l8900,454r-6,-74l8877,310r-28,-65l8812,186r-45,-53l8714,88,8655,51,8590,23,8520,6,8446,xe" fillcolor="#c6e0ce" stroked="f">
                  <v:path arrowok="t" o:connecttype="custom" o:connectlocs="8943,0;0,0;0,4826;8943,4826;9022,4820;9096,4801;9165,4771;9227,4731;9283,4682;9331,4625;9370,4561;9400,4490;9418,4416;9424,4336;9424,490;9418,410;9400,335;9370,265;9331,201;9283,144;9227,95;9165,55;9096,25;9022,6;8943,0" o:connectangles="0,0,0,0,0,0,0,0,0,0,0,0,0,0,0,0,0,0,0,0,0,0,0,0,0"/>
                </v:shape>
                <v:shape id="Freeform 25" o:spid="_x0000_s1151" style="position:absolute;left:-394;top:312;width:7176;height:563;visibility:visible;mso-wrap-style:square;v-text-anchor:top" coordsize="3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" path="m2972,l,,,520r2972,l3041,510r62,-26l3155,444r41,-53l3222,329r10,-69l3222,191r-26,-62l3155,76,3103,36,3041,10,2972,xe" fillcolor="#009649" stroked="f">
                  <v:path arrowok="t" o:connecttype="custom" o:connectlocs="6599,267;0,267;0,830;6599,830;6752,820;6890,791;7005,748;7096,691;7154,624;7176,549;7154,474;7096,407;7005,350;6890,306;6752,278;6599,267" o:connectangles="0,0,0,0,0,0,0,0,0,0,0,0,0,0,0,0"/>
                </v:shape>
                <v:shape id="Text Box 26" o:spid="_x0000_s1152" type="#_x0000_t202" style="position:absolute;left:-131;top:52;width:9001;height:4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" filled="f" stroked="f">
                  <v:textbox inset="0,0,0,0">
                    <w:txbxContent>
                      <w:p w14:paraId="4E632551" w14:textId="77777777" w:rsidR="00DE2E3D" w:rsidRDefault="00DE2E3D" w:rsidP="00DE2E3D">
                        <w:pPr>
                          <w:spacing w:before="5"/>
                          <w:rPr>
                            <w:sz w:val="31"/>
                          </w:rPr>
                        </w:pPr>
                      </w:p>
                      <w:p w14:paraId="1E46CDC9" w14:textId="552E5D43" w:rsidR="006E5AE7" w:rsidRPr="006E5AE7" w:rsidRDefault="006E5AE7" w:rsidP="00DE2E3D">
                        <w:pPr>
                          <w:rPr>
                            <w:b/>
                            <w:color w:val="FFFFFF"/>
                            <w:w w:val="115"/>
                            <w:sz w:val="8"/>
                            <w:szCs w:val="8"/>
                            <w:lang w:val="uk-UA"/>
                          </w:rPr>
                        </w:pPr>
                        <w:bookmarkStart w:id="76" w:name="_bookmark34"/>
                        <w:bookmarkEnd w:id="76"/>
                      </w:p>
                      <w:p w14:paraId="019CFB7C" w14:textId="0D1133CE" w:rsidR="00DE2E3D" w:rsidRPr="006E5AE7" w:rsidRDefault="00DE2E3D" w:rsidP="00DE2E3D">
                        <w:pPr>
                          <w:rPr>
                            <w:b/>
                            <w:color w:val="FFFFFF"/>
                            <w:w w:val="115"/>
                            <w:sz w:val="20"/>
                            <w:szCs w:val="20"/>
                            <w:lang w:val="ru-RU"/>
                          </w:rPr>
                        </w:pPr>
                        <w:r>
                          <w:rPr>
                            <w:b/>
                            <w:color w:val="FFFFFF"/>
                            <w:w w:val="115"/>
                            <w:sz w:val="20"/>
                            <w:szCs w:val="20"/>
                            <w:lang w:val="uk-UA"/>
                          </w:rPr>
                          <w:t xml:space="preserve">Інформаційний блок </w:t>
                        </w:r>
                        <w:r w:rsidRPr="006E5AE7">
                          <w:rPr>
                            <w:b/>
                            <w:color w:val="FFFFFF"/>
                            <w:w w:val="115"/>
                            <w:sz w:val="20"/>
                            <w:szCs w:val="20"/>
                            <w:lang w:val="ru-RU"/>
                          </w:rPr>
                          <w:t xml:space="preserve">2.4.2.1 </w:t>
                        </w:r>
                        <w:r w:rsidR="006E5AE7">
                          <w:rPr>
                            <w:b/>
                            <w:color w:val="FFFFFF"/>
                            <w:w w:val="115"/>
                            <w:sz w:val="20"/>
                            <w:szCs w:val="20"/>
                            <w:lang w:val="uk-UA"/>
                          </w:rPr>
                          <w:t xml:space="preserve"> </w:t>
                        </w:r>
                        <w:r w:rsidRPr="00DC7382">
                          <w:rPr>
                            <w:b/>
                            <w:color w:val="FFFFFF"/>
                            <w:w w:val="115"/>
                            <w:sz w:val="20"/>
                            <w:szCs w:val="20"/>
                            <w:lang w:val="uk-UA"/>
                          </w:rPr>
                          <w:t xml:space="preserve">Запитання </w:t>
                        </w:r>
                        <w:r>
                          <w:rPr>
                            <w:b/>
                            <w:color w:val="FFFFFF"/>
                            <w:w w:val="115"/>
                            <w:sz w:val="20"/>
                            <w:szCs w:val="20"/>
                            <w:lang w:val="uk-UA"/>
                          </w:rPr>
                          <w:t xml:space="preserve">формату </w:t>
                        </w:r>
                        <w:r w:rsidRPr="00DC7382">
                          <w:rPr>
                            <w:b/>
                            <w:color w:val="FFFFFF"/>
                            <w:w w:val="115"/>
                            <w:sz w:val="20"/>
                            <w:szCs w:val="20"/>
                          </w:rPr>
                          <w:t>PICO</w:t>
                        </w:r>
                        <w:r w:rsidRPr="006E5AE7">
                          <w:rPr>
                            <w:b/>
                            <w:color w:val="FFFFFF"/>
                            <w:w w:val="115"/>
                            <w:sz w:val="20"/>
                            <w:szCs w:val="20"/>
                            <w:lang w:val="ru-RU"/>
                          </w:rPr>
                          <w:t xml:space="preserve"> </w:t>
                        </w:r>
                      </w:p>
                      <w:p w14:paraId="7E6866E3" w14:textId="77777777" w:rsidR="00DE2E3D" w:rsidRPr="006E5AE7" w:rsidRDefault="00DE2E3D" w:rsidP="00DE2E3D">
                        <w:pPr>
                          <w:spacing w:before="2"/>
                          <w:rPr>
                            <w:b/>
                            <w:sz w:val="25"/>
                            <w:lang w:val="ru-RU"/>
                          </w:rPr>
                        </w:pPr>
                      </w:p>
                      <w:p w14:paraId="063FFE11" w14:textId="77777777" w:rsidR="00DE2E3D" w:rsidRPr="00734DA4" w:rsidRDefault="00DE2E3D" w:rsidP="004A2937">
                        <w:pPr>
                          <w:numPr>
                            <w:ilvl w:val="0"/>
                            <w:numId w:val="39"/>
                          </w:numPr>
                          <w:tabs>
                            <w:tab w:val="left" w:pos="1134"/>
                          </w:tabs>
                          <w:spacing w:line="276" w:lineRule="auto"/>
                          <w:ind w:left="567" w:right="354"/>
                          <w:jc w:val="both"/>
                          <w:rPr>
                            <w:sz w:val="20"/>
                            <w:szCs w:val="20"/>
                            <w:lang w:val="uk-UA"/>
                          </w:rPr>
                        </w:pPr>
                        <w:r>
                          <w:rPr>
                            <w:w w:val="110"/>
                            <w:sz w:val="20"/>
                            <w:szCs w:val="20"/>
                            <w:lang w:val="uk-UA"/>
                          </w:rPr>
                          <w:t>Чи слід</w:t>
                        </w:r>
                        <w:r w:rsidRPr="00734DA4">
                          <w:rPr>
                            <w:w w:val="110"/>
                            <w:sz w:val="20"/>
                            <w:szCs w:val="20"/>
                            <w:lang w:val="uk-UA"/>
                          </w:rPr>
                          <w:t xml:space="preserve"> використовувати LPA для </w:t>
                        </w:r>
                        <w:r w:rsidRPr="009E2A61">
                          <w:rPr>
                            <w:w w:val="110"/>
                            <w:sz w:val="20"/>
                            <w:szCs w:val="20"/>
                            <w:lang w:val="uk-UA"/>
                          </w:rPr>
                          <w:t>обґрунтування клінічних</w:t>
                        </w:r>
                        <w:r w:rsidRPr="00734DA4">
                          <w:rPr>
                            <w:w w:val="110"/>
                            <w:sz w:val="20"/>
                            <w:szCs w:val="20"/>
                            <w:lang w:val="uk-UA"/>
                          </w:rPr>
                          <w:t xml:space="preserve"> рішень щодо використання рифампіцину при прямому тестуванні зразків та непрямому тестуванні культуральних ізолятів</w:t>
                        </w:r>
                        <w:r>
                          <w:rPr>
                            <w:w w:val="110"/>
                            <w:sz w:val="20"/>
                            <w:szCs w:val="20"/>
                            <w:lang w:val="uk-UA"/>
                          </w:rPr>
                          <w:t>, отриманих від пацієнтів із симптомами ТБ?</w:t>
                        </w:r>
                      </w:p>
                      <w:p w14:paraId="60028AE5" w14:textId="77777777" w:rsidR="00DE2E3D" w:rsidRPr="00734DA4" w:rsidRDefault="00DE2E3D" w:rsidP="004A2937">
                        <w:pPr>
                          <w:numPr>
                            <w:ilvl w:val="0"/>
                            <w:numId w:val="39"/>
                          </w:numPr>
                          <w:tabs>
                            <w:tab w:val="left" w:pos="1134"/>
                          </w:tabs>
                          <w:spacing w:before="61" w:line="276" w:lineRule="auto"/>
                          <w:ind w:left="567" w:right="358"/>
                          <w:jc w:val="both"/>
                          <w:rPr>
                            <w:sz w:val="20"/>
                            <w:szCs w:val="20"/>
                            <w:lang w:val="uk-UA"/>
                          </w:rPr>
                        </w:pPr>
                        <w:r>
                          <w:rPr>
                            <w:w w:val="110"/>
                            <w:sz w:val="20"/>
                            <w:szCs w:val="20"/>
                            <w:lang w:val="uk-UA"/>
                          </w:rPr>
                          <w:t>Чи слід</w:t>
                        </w:r>
                        <w:r w:rsidRPr="00734DA4">
                          <w:rPr>
                            <w:w w:val="110"/>
                            <w:sz w:val="20"/>
                            <w:szCs w:val="20"/>
                            <w:lang w:val="uk-UA"/>
                          </w:rPr>
                          <w:t xml:space="preserve"> використовувати LPA для </w:t>
                        </w:r>
                        <w:r w:rsidRPr="0051427D">
                          <w:rPr>
                            <w:w w:val="110"/>
                            <w:sz w:val="20"/>
                            <w:szCs w:val="20"/>
                            <w:lang w:val="uk-UA"/>
                          </w:rPr>
                          <w:t>обґрунтування</w:t>
                        </w:r>
                        <w:r w:rsidRPr="00734DA4">
                          <w:rPr>
                            <w:w w:val="110"/>
                            <w:sz w:val="20"/>
                            <w:szCs w:val="20"/>
                            <w:lang w:val="uk-UA"/>
                          </w:rPr>
                          <w:t xml:space="preserve"> клінічних рішень щодо використання ізоніазиду при прямому тестуванні зразків та непрямому тестуванні культуральних ізолятів</w:t>
                        </w:r>
                        <w:r>
                          <w:rPr>
                            <w:w w:val="110"/>
                            <w:sz w:val="20"/>
                            <w:szCs w:val="20"/>
                            <w:lang w:val="uk-UA"/>
                          </w:rPr>
                          <w:t>, отриманих від пацієнтів із симптомами ТБ</w:t>
                        </w:r>
                        <w:r w:rsidRPr="00734DA4">
                          <w:rPr>
                            <w:w w:val="110"/>
                            <w:sz w:val="20"/>
                            <w:szCs w:val="20"/>
                            <w:lang w:val="uk-UA"/>
                          </w:rPr>
                          <w:t>?</w:t>
                        </w:r>
                      </w:p>
                      <w:p w14:paraId="5C976049" w14:textId="77777777" w:rsidR="00DE2E3D" w:rsidRPr="00734DA4" w:rsidRDefault="00DE2E3D" w:rsidP="004A2937">
                        <w:pPr>
                          <w:numPr>
                            <w:ilvl w:val="0"/>
                            <w:numId w:val="39"/>
                          </w:numPr>
                          <w:tabs>
                            <w:tab w:val="left" w:pos="1134"/>
                          </w:tabs>
                          <w:spacing w:before="60" w:line="276" w:lineRule="auto"/>
                          <w:ind w:left="567" w:right="358"/>
                          <w:jc w:val="both"/>
                          <w:rPr>
                            <w:sz w:val="20"/>
                            <w:szCs w:val="20"/>
                            <w:lang w:val="uk-UA"/>
                          </w:rPr>
                        </w:pPr>
                        <w:r>
                          <w:rPr>
                            <w:w w:val="110"/>
                            <w:sz w:val="20"/>
                            <w:szCs w:val="20"/>
                            <w:lang w:val="uk-UA"/>
                          </w:rPr>
                          <w:t xml:space="preserve">Чи слід </w:t>
                        </w:r>
                        <w:r w:rsidRPr="00734DA4">
                          <w:rPr>
                            <w:w w:val="110"/>
                            <w:sz w:val="20"/>
                            <w:szCs w:val="20"/>
                            <w:lang w:val="uk-UA"/>
                          </w:rPr>
                          <w:t>використовувати LPA для діагностики М</w:t>
                        </w:r>
                        <w:r w:rsidRPr="00955048">
                          <w:rPr>
                            <w:w w:val="110"/>
                            <w:sz w:val="20"/>
                            <w:szCs w:val="20"/>
                            <w:lang w:val="uk-UA"/>
                          </w:rPr>
                          <w:t>ЛС</w:t>
                        </w:r>
                        <w:r w:rsidRPr="00734DA4">
                          <w:rPr>
                            <w:w w:val="110"/>
                            <w:sz w:val="20"/>
                            <w:szCs w:val="20"/>
                            <w:lang w:val="uk-UA"/>
                          </w:rPr>
                          <w:t>-ТБ</w:t>
                        </w:r>
                        <w:r w:rsidRPr="006B6651">
                          <w:rPr>
                            <w:lang w:val="ru-RU"/>
                          </w:rPr>
                          <w:t xml:space="preserve"> </w:t>
                        </w:r>
                        <w:r>
                          <w:rPr>
                            <w:w w:val="110"/>
                            <w:sz w:val="20"/>
                            <w:szCs w:val="20"/>
                            <w:lang w:val="uk-UA"/>
                          </w:rPr>
                          <w:t>у</w:t>
                        </w:r>
                        <w:r w:rsidRPr="004C6590">
                          <w:rPr>
                            <w:w w:val="110"/>
                            <w:sz w:val="20"/>
                            <w:szCs w:val="20"/>
                            <w:lang w:val="uk-UA"/>
                          </w:rPr>
                          <w:t xml:space="preserve"> пацієнтів </w:t>
                        </w:r>
                        <w:r>
                          <w:rPr>
                            <w:w w:val="110"/>
                            <w:sz w:val="20"/>
                            <w:szCs w:val="20"/>
                            <w:lang w:val="uk-UA"/>
                          </w:rPr>
                          <w:t>і</w:t>
                        </w:r>
                        <w:r w:rsidRPr="004C6590">
                          <w:rPr>
                            <w:w w:val="110"/>
                            <w:sz w:val="20"/>
                            <w:szCs w:val="20"/>
                            <w:lang w:val="uk-UA"/>
                          </w:rPr>
                          <w:t xml:space="preserve">з ознаками та </w:t>
                        </w:r>
                        <w:r w:rsidRPr="004C6590">
                          <w:rPr>
                            <w:w w:val="110"/>
                            <w:sz w:val="20"/>
                            <w:szCs w:val="20"/>
                            <w:lang w:val="uk-UA"/>
                          </w:rPr>
                          <w:t>симптомамиТБ</w:t>
                        </w:r>
                        <w:r w:rsidRPr="00734DA4">
                          <w:rPr>
                            <w:w w:val="110"/>
                            <w:sz w:val="20"/>
                            <w:szCs w:val="20"/>
                            <w:lang w:val="uk-UA"/>
                          </w:rPr>
                          <w:t>?</w:t>
                        </w:r>
                      </w:p>
                      <w:p w14:paraId="3655BC58" w14:textId="77777777" w:rsidR="00DE2E3D" w:rsidRPr="00734DA4" w:rsidRDefault="00DE2E3D" w:rsidP="004A2937">
                        <w:pPr>
                          <w:numPr>
                            <w:ilvl w:val="0"/>
                            <w:numId w:val="39"/>
                          </w:numPr>
                          <w:tabs>
                            <w:tab w:val="left" w:pos="1134"/>
                          </w:tabs>
                          <w:spacing w:before="59" w:line="276" w:lineRule="auto"/>
                          <w:ind w:left="567" w:right="361"/>
                          <w:jc w:val="both"/>
                          <w:rPr>
                            <w:sz w:val="20"/>
                            <w:szCs w:val="20"/>
                            <w:lang w:val="uk-UA"/>
                          </w:rPr>
                        </w:pPr>
                        <w:r>
                          <w:rPr>
                            <w:sz w:val="20"/>
                            <w:szCs w:val="20"/>
                            <w:lang w:val="uk-UA"/>
                          </w:rPr>
                          <w:t xml:space="preserve">Чи </w:t>
                        </w:r>
                        <w:r>
                          <w:rPr>
                            <w:w w:val="110"/>
                            <w:sz w:val="20"/>
                            <w:szCs w:val="20"/>
                            <w:lang w:val="uk-UA"/>
                          </w:rPr>
                          <w:t>слід</w:t>
                        </w:r>
                        <w:r w:rsidRPr="00734DA4">
                          <w:rPr>
                            <w:w w:val="110"/>
                            <w:sz w:val="20"/>
                            <w:szCs w:val="20"/>
                            <w:lang w:val="uk-UA"/>
                          </w:rPr>
                          <w:t xml:space="preserve"> використовувати LPA для діагностики ТБ</w:t>
                        </w:r>
                        <w:r>
                          <w:rPr>
                            <w:w w:val="110"/>
                            <w:sz w:val="20"/>
                            <w:szCs w:val="20"/>
                            <w:lang w:val="uk-UA"/>
                          </w:rPr>
                          <w:t xml:space="preserve"> у</w:t>
                        </w:r>
                        <w:r w:rsidRPr="0051427D">
                          <w:rPr>
                            <w:w w:val="110"/>
                            <w:sz w:val="20"/>
                            <w:szCs w:val="20"/>
                            <w:lang w:val="uk-UA"/>
                          </w:rPr>
                          <w:t xml:space="preserve"> пацієнтів </w:t>
                        </w:r>
                        <w:r>
                          <w:rPr>
                            <w:w w:val="110"/>
                            <w:sz w:val="20"/>
                            <w:szCs w:val="20"/>
                            <w:lang w:val="uk-UA"/>
                          </w:rPr>
                          <w:t>і</w:t>
                        </w:r>
                        <w:r w:rsidRPr="0051427D">
                          <w:rPr>
                            <w:w w:val="110"/>
                            <w:sz w:val="20"/>
                            <w:szCs w:val="20"/>
                            <w:lang w:val="uk-UA"/>
                          </w:rPr>
                          <w:t>з симптомами</w:t>
                        </w:r>
                        <w:r>
                          <w:rPr>
                            <w:w w:val="110"/>
                            <w:sz w:val="20"/>
                            <w:szCs w:val="20"/>
                            <w:lang w:val="uk-UA"/>
                          </w:rPr>
                          <w:t xml:space="preserve"> </w:t>
                        </w:r>
                        <w:r w:rsidRPr="0051427D">
                          <w:rPr>
                            <w:w w:val="110"/>
                            <w:sz w:val="20"/>
                            <w:szCs w:val="20"/>
                            <w:lang w:val="uk-UA"/>
                          </w:rPr>
                          <w:t>ТБ, але з негативними результатами мікроскопії мазка мокротиння</w:t>
                        </w:r>
                      </w:p>
                      <w:p w14:paraId="12273E0F" w14:textId="77777777" w:rsidR="00DE2E3D" w:rsidRPr="006B6651" w:rsidRDefault="00DE2E3D" w:rsidP="006E5AE7">
                        <w:pPr>
                          <w:tabs>
                            <w:tab w:val="left" w:pos="1134"/>
                          </w:tabs>
                          <w:spacing w:before="59" w:line="276" w:lineRule="auto"/>
                          <w:ind w:left="567" w:right="361"/>
                          <w:rPr>
                            <w:sz w:val="20"/>
                            <w:szCs w:val="20"/>
                            <w:lang w:val="ru-RU"/>
                          </w:rPr>
                        </w:pPr>
                      </w:p>
                    </w:txbxContent>
                  </v:textbox>
                </v:shape>
                <w10:anchorlock/>
              </v:group>
            </w:pict>
          </mc:Fallback>
        </mc:AlternateContent>
      </w:r>
    </w:p>
    <w:p w14:paraId="418359C8" w14:textId="77777777" w:rsidR="006E5AE7" w:rsidRDefault="006E5AE7" w:rsidP="00DE2E3D">
      <w:pPr>
        <w:pStyle w:val="a3"/>
        <w:spacing w:before="101" w:line="276" w:lineRule="auto"/>
        <w:ind w:left="1417" w:right="1409"/>
        <w:jc w:val="both"/>
        <w:rPr>
          <w:w w:val="110"/>
          <w:sz w:val="20"/>
          <w:szCs w:val="20"/>
          <w:lang w:val="ru-RU"/>
        </w:rPr>
      </w:pPr>
    </w:p>
    <w:p w14:paraId="7ED31EAF" w14:textId="47E89AB1" w:rsidR="00DE2E3D" w:rsidRPr="006B6651" w:rsidRDefault="00DE2E3D" w:rsidP="006E5AE7">
      <w:pPr>
        <w:pStyle w:val="a3"/>
        <w:spacing w:before="101" w:line="276" w:lineRule="auto"/>
        <w:ind w:left="1417" w:right="936"/>
        <w:jc w:val="both"/>
        <w:rPr>
          <w:color w:val="FF0000"/>
          <w:w w:val="110"/>
          <w:sz w:val="20"/>
          <w:szCs w:val="20"/>
          <w:lang w:val="ru-RU"/>
        </w:rPr>
      </w:pPr>
      <w:proofErr w:type="spellStart"/>
      <w:r w:rsidRPr="006B6651">
        <w:rPr>
          <w:w w:val="110"/>
          <w:sz w:val="20"/>
          <w:szCs w:val="20"/>
          <w:lang w:val="ru-RU"/>
        </w:rPr>
        <w:t>Декілька</w:t>
      </w:r>
      <w:proofErr w:type="spellEnd"/>
      <w:r w:rsidRPr="006B6651">
        <w:rPr>
          <w:w w:val="110"/>
          <w:sz w:val="20"/>
          <w:szCs w:val="20"/>
          <w:lang w:val="ru-RU"/>
        </w:rPr>
        <w:t xml:space="preserve"> </w:t>
      </w:r>
      <w:proofErr w:type="spellStart"/>
      <w:r w:rsidRPr="006B6651">
        <w:rPr>
          <w:w w:val="110"/>
          <w:sz w:val="20"/>
          <w:szCs w:val="20"/>
          <w:lang w:val="ru-RU"/>
        </w:rPr>
        <w:t>досліджень</w:t>
      </w:r>
      <w:proofErr w:type="spellEnd"/>
      <w:r w:rsidRPr="006B6651">
        <w:rPr>
          <w:w w:val="110"/>
          <w:sz w:val="20"/>
          <w:szCs w:val="20"/>
          <w:lang w:val="ru-RU"/>
        </w:rPr>
        <w:t xml:space="preserve"> </w:t>
      </w:r>
      <w:proofErr w:type="spellStart"/>
      <w:r w:rsidRPr="006B6651">
        <w:rPr>
          <w:w w:val="110"/>
          <w:sz w:val="20"/>
          <w:szCs w:val="20"/>
          <w:lang w:val="ru-RU"/>
        </w:rPr>
        <w:t>надали</w:t>
      </w:r>
      <w:proofErr w:type="spellEnd"/>
      <w:r w:rsidRPr="006B6651">
        <w:rPr>
          <w:w w:val="110"/>
          <w:sz w:val="20"/>
          <w:szCs w:val="20"/>
          <w:lang w:val="ru-RU"/>
        </w:rPr>
        <w:t xml:space="preserve"> </w:t>
      </w:r>
      <w:proofErr w:type="spellStart"/>
      <w:r w:rsidRPr="006B6651">
        <w:rPr>
          <w:w w:val="110"/>
          <w:sz w:val="20"/>
          <w:szCs w:val="20"/>
          <w:lang w:val="ru-RU"/>
        </w:rPr>
        <w:t>дані</w:t>
      </w:r>
      <w:proofErr w:type="spellEnd"/>
      <w:r w:rsidRPr="006B6651">
        <w:rPr>
          <w:w w:val="110"/>
          <w:sz w:val="20"/>
          <w:szCs w:val="20"/>
          <w:lang w:val="ru-RU"/>
        </w:rPr>
        <w:t xml:space="preserve"> </w:t>
      </w:r>
      <w:proofErr w:type="spellStart"/>
      <w:r w:rsidRPr="006B6651">
        <w:rPr>
          <w:w w:val="110"/>
          <w:sz w:val="20"/>
          <w:szCs w:val="20"/>
          <w:lang w:val="ru-RU"/>
        </w:rPr>
        <w:t>лише</w:t>
      </w:r>
      <w:proofErr w:type="spellEnd"/>
      <w:r w:rsidRPr="006B6651">
        <w:rPr>
          <w:w w:val="110"/>
          <w:sz w:val="20"/>
          <w:szCs w:val="20"/>
          <w:lang w:val="ru-RU"/>
        </w:rPr>
        <w:t xml:space="preserve"> для </w:t>
      </w:r>
      <w:proofErr w:type="spellStart"/>
      <w:r w:rsidRPr="006B6651">
        <w:rPr>
          <w:w w:val="110"/>
          <w:sz w:val="20"/>
          <w:szCs w:val="20"/>
          <w:lang w:val="ru-RU"/>
        </w:rPr>
        <w:t>чутливості</w:t>
      </w:r>
      <w:proofErr w:type="spellEnd"/>
      <w:r w:rsidRPr="006B6651">
        <w:rPr>
          <w:w w:val="110"/>
          <w:sz w:val="20"/>
          <w:szCs w:val="20"/>
          <w:lang w:val="ru-RU"/>
        </w:rPr>
        <w:t xml:space="preserve"> (</w:t>
      </w:r>
      <w:proofErr w:type="spellStart"/>
      <w:r w:rsidRPr="006B6651">
        <w:rPr>
          <w:w w:val="110"/>
          <w:sz w:val="20"/>
          <w:szCs w:val="20"/>
          <w:lang w:val="ru-RU"/>
        </w:rPr>
        <w:t>пов'язані</w:t>
      </w:r>
      <w:proofErr w:type="spellEnd"/>
      <w:r w:rsidRPr="006B6651">
        <w:rPr>
          <w:w w:val="110"/>
          <w:sz w:val="20"/>
          <w:szCs w:val="20"/>
          <w:lang w:val="ru-RU"/>
        </w:rPr>
        <w:t xml:space="preserve"> з </w:t>
      </w:r>
      <w:proofErr w:type="spellStart"/>
      <w:r w:rsidRPr="006B6651">
        <w:rPr>
          <w:w w:val="110"/>
          <w:sz w:val="20"/>
          <w:szCs w:val="20"/>
          <w:lang w:val="ru-RU"/>
        </w:rPr>
        <w:t>істинно</w:t>
      </w:r>
      <w:proofErr w:type="spellEnd"/>
      <w:r w:rsidRPr="006B6651">
        <w:rPr>
          <w:w w:val="110"/>
          <w:sz w:val="20"/>
          <w:szCs w:val="20"/>
          <w:lang w:val="ru-RU"/>
        </w:rPr>
        <w:t xml:space="preserve"> </w:t>
      </w:r>
      <w:proofErr w:type="spellStart"/>
      <w:r w:rsidRPr="006B6651">
        <w:rPr>
          <w:w w:val="110"/>
          <w:sz w:val="20"/>
          <w:szCs w:val="20"/>
          <w:lang w:val="ru-RU"/>
        </w:rPr>
        <w:t>позитивними</w:t>
      </w:r>
      <w:proofErr w:type="spellEnd"/>
      <w:r w:rsidRPr="006B6651">
        <w:rPr>
          <w:w w:val="110"/>
          <w:sz w:val="20"/>
          <w:szCs w:val="20"/>
          <w:lang w:val="ru-RU"/>
        </w:rPr>
        <w:t xml:space="preserve"> та хибнонегативними результатами) або </w:t>
      </w:r>
      <w:proofErr w:type="spellStart"/>
      <w:r w:rsidRPr="006B6651">
        <w:rPr>
          <w:w w:val="110"/>
          <w:sz w:val="20"/>
          <w:szCs w:val="20"/>
          <w:lang w:val="ru-RU"/>
        </w:rPr>
        <w:t>лише</w:t>
      </w:r>
      <w:proofErr w:type="spellEnd"/>
      <w:r w:rsidRPr="006B6651">
        <w:rPr>
          <w:w w:val="110"/>
          <w:sz w:val="20"/>
          <w:szCs w:val="20"/>
          <w:lang w:val="ru-RU"/>
        </w:rPr>
        <w:t xml:space="preserve"> для </w:t>
      </w:r>
      <w:proofErr w:type="spellStart"/>
      <w:r w:rsidRPr="006B6651">
        <w:rPr>
          <w:w w:val="110"/>
          <w:sz w:val="20"/>
          <w:szCs w:val="20"/>
          <w:lang w:val="ru-RU"/>
        </w:rPr>
        <w:t>специфічності</w:t>
      </w:r>
      <w:proofErr w:type="spellEnd"/>
      <w:r w:rsidRPr="006B6651">
        <w:rPr>
          <w:w w:val="110"/>
          <w:sz w:val="20"/>
          <w:szCs w:val="20"/>
          <w:lang w:val="ru-RU"/>
        </w:rPr>
        <w:t xml:space="preserve"> (</w:t>
      </w:r>
      <w:proofErr w:type="spellStart"/>
      <w:r w:rsidRPr="006B6651">
        <w:rPr>
          <w:w w:val="110"/>
          <w:sz w:val="20"/>
          <w:szCs w:val="20"/>
          <w:lang w:val="ru-RU"/>
        </w:rPr>
        <w:t>пов'язані</w:t>
      </w:r>
      <w:proofErr w:type="spellEnd"/>
      <w:r w:rsidRPr="006B6651">
        <w:rPr>
          <w:w w:val="110"/>
          <w:sz w:val="20"/>
          <w:szCs w:val="20"/>
          <w:lang w:val="ru-RU"/>
        </w:rPr>
        <w:t xml:space="preserve"> з </w:t>
      </w:r>
      <w:proofErr w:type="spellStart"/>
      <w:r w:rsidRPr="006B6651">
        <w:rPr>
          <w:w w:val="110"/>
          <w:sz w:val="20"/>
          <w:szCs w:val="20"/>
          <w:lang w:val="ru-RU"/>
        </w:rPr>
        <w:t>істинно</w:t>
      </w:r>
      <w:proofErr w:type="spellEnd"/>
      <w:r w:rsidRPr="006B6651">
        <w:rPr>
          <w:w w:val="110"/>
          <w:sz w:val="20"/>
          <w:szCs w:val="20"/>
          <w:lang w:val="ru-RU"/>
        </w:rPr>
        <w:t xml:space="preserve"> </w:t>
      </w:r>
      <w:proofErr w:type="spellStart"/>
      <w:r w:rsidRPr="006B6651">
        <w:rPr>
          <w:w w:val="110"/>
          <w:sz w:val="20"/>
          <w:szCs w:val="20"/>
          <w:lang w:val="ru-RU"/>
        </w:rPr>
        <w:t>негативними</w:t>
      </w:r>
      <w:proofErr w:type="spellEnd"/>
      <w:r w:rsidRPr="006B6651">
        <w:rPr>
          <w:w w:val="110"/>
          <w:sz w:val="20"/>
          <w:szCs w:val="20"/>
          <w:lang w:val="ru-RU"/>
        </w:rPr>
        <w:t xml:space="preserve"> та хибнопозитивними результатами), </w:t>
      </w:r>
      <w:proofErr w:type="spellStart"/>
      <w:r w:rsidRPr="006B6651">
        <w:rPr>
          <w:w w:val="110"/>
          <w:sz w:val="20"/>
          <w:szCs w:val="20"/>
          <w:lang w:val="ru-RU"/>
        </w:rPr>
        <w:t>але</w:t>
      </w:r>
      <w:proofErr w:type="spellEnd"/>
      <w:r w:rsidRPr="006B6651">
        <w:rPr>
          <w:w w:val="110"/>
          <w:sz w:val="20"/>
          <w:szCs w:val="20"/>
          <w:lang w:val="ru-RU"/>
        </w:rPr>
        <w:t xml:space="preserve"> не для </w:t>
      </w:r>
      <w:proofErr w:type="spellStart"/>
      <w:r w:rsidRPr="006B6651">
        <w:rPr>
          <w:w w:val="110"/>
          <w:sz w:val="20"/>
          <w:szCs w:val="20"/>
          <w:lang w:val="ru-RU"/>
        </w:rPr>
        <w:t>обох</w:t>
      </w:r>
      <w:proofErr w:type="spellEnd"/>
      <w:r w:rsidRPr="006B6651">
        <w:rPr>
          <w:w w:val="110"/>
          <w:sz w:val="20"/>
          <w:szCs w:val="20"/>
          <w:lang w:val="ru-RU"/>
        </w:rPr>
        <w:t xml:space="preserve"> </w:t>
      </w:r>
      <w:proofErr w:type="spellStart"/>
      <w:r w:rsidRPr="006B6651">
        <w:rPr>
          <w:w w:val="110"/>
          <w:sz w:val="20"/>
          <w:szCs w:val="20"/>
          <w:lang w:val="ru-RU"/>
        </w:rPr>
        <w:t>показників</w:t>
      </w:r>
      <w:proofErr w:type="spellEnd"/>
      <w:r w:rsidRPr="006B6651">
        <w:rPr>
          <w:w w:val="110"/>
          <w:sz w:val="20"/>
          <w:szCs w:val="20"/>
          <w:lang w:val="ru-RU"/>
        </w:rPr>
        <w:t xml:space="preserve"> </w:t>
      </w:r>
      <w:proofErr w:type="spellStart"/>
      <w:r w:rsidRPr="006B6651">
        <w:rPr>
          <w:w w:val="110"/>
          <w:sz w:val="20"/>
          <w:szCs w:val="20"/>
          <w:lang w:val="ru-RU"/>
        </w:rPr>
        <w:t>одночасно</w:t>
      </w:r>
      <w:proofErr w:type="spellEnd"/>
      <w:r w:rsidRPr="006B6651">
        <w:rPr>
          <w:w w:val="110"/>
          <w:sz w:val="20"/>
          <w:szCs w:val="20"/>
          <w:lang w:val="ru-RU"/>
        </w:rPr>
        <w:t xml:space="preserve">. Для </w:t>
      </w:r>
      <w:proofErr w:type="spellStart"/>
      <w:r w:rsidRPr="006B6651">
        <w:rPr>
          <w:w w:val="110"/>
          <w:sz w:val="20"/>
          <w:szCs w:val="20"/>
          <w:lang w:val="ru-RU"/>
        </w:rPr>
        <w:t>цих</w:t>
      </w:r>
      <w:proofErr w:type="spellEnd"/>
      <w:r w:rsidRPr="006B6651">
        <w:rPr>
          <w:w w:val="110"/>
          <w:sz w:val="20"/>
          <w:szCs w:val="20"/>
          <w:lang w:val="ru-RU"/>
        </w:rPr>
        <w:t xml:space="preserve"> </w:t>
      </w:r>
      <w:proofErr w:type="spellStart"/>
      <w:r w:rsidRPr="006B6651">
        <w:rPr>
          <w:w w:val="110"/>
          <w:sz w:val="20"/>
          <w:szCs w:val="20"/>
          <w:lang w:val="ru-RU"/>
        </w:rPr>
        <w:t>досліджень</w:t>
      </w:r>
      <w:proofErr w:type="spellEnd"/>
      <w:r w:rsidRPr="006B6651">
        <w:rPr>
          <w:w w:val="110"/>
          <w:sz w:val="20"/>
          <w:szCs w:val="20"/>
          <w:lang w:val="ru-RU"/>
        </w:rPr>
        <w:t xml:space="preserve"> </w:t>
      </w:r>
      <w:proofErr w:type="spellStart"/>
      <w:r w:rsidRPr="006B6651">
        <w:rPr>
          <w:w w:val="110"/>
          <w:sz w:val="20"/>
          <w:szCs w:val="20"/>
          <w:lang w:val="ru-RU"/>
        </w:rPr>
        <w:t>проводився</w:t>
      </w:r>
      <w:proofErr w:type="spellEnd"/>
      <w:r w:rsidRPr="006B6651">
        <w:rPr>
          <w:w w:val="110"/>
          <w:sz w:val="20"/>
          <w:szCs w:val="20"/>
          <w:lang w:val="ru-RU"/>
        </w:rPr>
        <w:t xml:space="preserve"> </w:t>
      </w:r>
      <w:proofErr w:type="spellStart"/>
      <w:r w:rsidRPr="006B6651">
        <w:rPr>
          <w:w w:val="110"/>
          <w:sz w:val="20"/>
          <w:szCs w:val="20"/>
          <w:lang w:val="ru-RU"/>
        </w:rPr>
        <w:t>окремо</w:t>
      </w:r>
      <w:proofErr w:type="spellEnd"/>
      <w:r w:rsidRPr="006B6651">
        <w:rPr>
          <w:w w:val="110"/>
          <w:sz w:val="20"/>
          <w:szCs w:val="20"/>
          <w:lang w:val="ru-RU"/>
        </w:rPr>
        <w:t xml:space="preserve"> </w:t>
      </w:r>
      <w:proofErr w:type="spellStart"/>
      <w:r w:rsidRPr="006B6651">
        <w:rPr>
          <w:w w:val="110"/>
          <w:sz w:val="20"/>
          <w:szCs w:val="20"/>
          <w:lang w:val="ru-RU"/>
        </w:rPr>
        <w:t>одновимірний</w:t>
      </w:r>
      <w:proofErr w:type="spellEnd"/>
      <w:r w:rsidRPr="006B6651">
        <w:rPr>
          <w:w w:val="110"/>
          <w:sz w:val="20"/>
          <w:szCs w:val="20"/>
          <w:lang w:val="ru-RU"/>
        </w:rPr>
        <w:t xml:space="preserve"> метааналіз </w:t>
      </w:r>
      <w:proofErr w:type="spellStart"/>
      <w:r w:rsidRPr="006B6651">
        <w:rPr>
          <w:w w:val="110"/>
          <w:sz w:val="20"/>
          <w:szCs w:val="20"/>
          <w:lang w:val="ru-RU"/>
        </w:rPr>
        <w:t>оцінок</w:t>
      </w:r>
      <w:proofErr w:type="spellEnd"/>
      <w:r w:rsidRPr="006B6651">
        <w:rPr>
          <w:w w:val="110"/>
          <w:sz w:val="20"/>
          <w:szCs w:val="20"/>
          <w:lang w:val="ru-RU"/>
        </w:rPr>
        <w:t xml:space="preserve"> </w:t>
      </w:r>
      <w:proofErr w:type="spellStart"/>
      <w:r w:rsidRPr="006B6651">
        <w:rPr>
          <w:w w:val="110"/>
          <w:sz w:val="20"/>
          <w:szCs w:val="20"/>
          <w:lang w:val="ru-RU"/>
        </w:rPr>
        <w:t>чутливості</w:t>
      </w:r>
      <w:proofErr w:type="spellEnd"/>
      <w:r w:rsidRPr="006B6651">
        <w:rPr>
          <w:w w:val="110"/>
          <w:sz w:val="20"/>
          <w:szCs w:val="20"/>
          <w:lang w:val="ru-RU"/>
        </w:rPr>
        <w:t xml:space="preserve"> або </w:t>
      </w:r>
      <w:proofErr w:type="spellStart"/>
      <w:r w:rsidRPr="006B6651">
        <w:rPr>
          <w:w w:val="110"/>
          <w:sz w:val="20"/>
          <w:szCs w:val="20"/>
          <w:lang w:val="ru-RU"/>
        </w:rPr>
        <w:t>специфічності</w:t>
      </w:r>
      <w:proofErr w:type="spellEnd"/>
      <w:r w:rsidRPr="006B6651">
        <w:rPr>
          <w:w w:val="110"/>
          <w:sz w:val="20"/>
          <w:szCs w:val="20"/>
          <w:lang w:val="ru-RU"/>
        </w:rPr>
        <w:t xml:space="preserve"> з </w:t>
      </w:r>
      <w:proofErr w:type="spellStart"/>
      <w:r w:rsidRPr="006B6651">
        <w:rPr>
          <w:w w:val="110"/>
          <w:sz w:val="20"/>
          <w:szCs w:val="20"/>
          <w:lang w:val="ru-RU"/>
        </w:rPr>
        <w:t>випадковими</w:t>
      </w:r>
      <w:proofErr w:type="spellEnd"/>
      <w:r w:rsidRPr="006B6651">
        <w:rPr>
          <w:w w:val="110"/>
          <w:sz w:val="20"/>
          <w:szCs w:val="20"/>
          <w:lang w:val="ru-RU"/>
        </w:rPr>
        <w:t xml:space="preserve"> </w:t>
      </w:r>
      <w:proofErr w:type="spellStart"/>
      <w:r w:rsidRPr="006B6651">
        <w:rPr>
          <w:w w:val="110"/>
          <w:sz w:val="20"/>
          <w:szCs w:val="20"/>
          <w:lang w:val="ru-RU"/>
        </w:rPr>
        <w:t>ефектами</w:t>
      </w:r>
      <w:proofErr w:type="spellEnd"/>
      <w:r w:rsidRPr="006B6651">
        <w:rPr>
          <w:w w:val="110"/>
          <w:sz w:val="20"/>
          <w:szCs w:val="20"/>
          <w:lang w:val="ru-RU"/>
        </w:rPr>
        <w:t xml:space="preserve">, </w:t>
      </w:r>
      <w:proofErr w:type="spellStart"/>
      <w:r w:rsidRPr="006B6651">
        <w:rPr>
          <w:w w:val="110"/>
          <w:sz w:val="20"/>
          <w:szCs w:val="20"/>
          <w:lang w:val="ru-RU"/>
        </w:rPr>
        <w:t>щоб</w:t>
      </w:r>
      <w:proofErr w:type="spellEnd"/>
      <w:r w:rsidRPr="006B6651">
        <w:rPr>
          <w:w w:val="110"/>
          <w:sz w:val="20"/>
          <w:szCs w:val="20"/>
          <w:lang w:val="ru-RU"/>
        </w:rPr>
        <w:t xml:space="preserve"> </w:t>
      </w:r>
      <w:proofErr w:type="spellStart"/>
      <w:r w:rsidRPr="006B6651">
        <w:rPr>
          <w:w w:val="110"/>
          <w:sz w:val="20"/>
          <w:szCs w:val="20"/>
          <w:lang w:val="ru-RU"/>
        </w:rPr>
        <w:t>забезпечити</w:t>
      </w:r>
      <w:proofErr w:type="spellEnd"/>
      <w:r w:rsidRPr="006B6651">
        <w:rPr>
          <w:w w:val="110"/>
          <w:sz w:val="20"/>
          <w:szCs w:val="20"/>
          <w:lang w:val="ru-RU"/>
        </w:rPr>
        <w:t xml:space="preserve"> </w:t>
      </w:r>
      <w:proofErr w:type="spellStart"/>
      <w:r w:rsidRPr="006B6651">
        <w:rPr>
          <w:w w:val="110"/>
          <w:sz w:val="20"/>
          <w:szCs w:val="20"/>
          <w:lang w:val="ru-RU"/>
        </w:rPr>
        <w:t>оптимальне</w:t>
      </w:r>
      <w:proofErr w:type="spellEnd"/>
      <w:r w:rsidRPr="006B6651">
        <w:rPr>
          <w:w w:val="110"/>
          <w:sz w:val="20"/>
          <w:szCs w:val="20"/>
          <w:lang w:val="ru-RU"/>
        </w:rPr>
        <w:t xml:space="preserve"> використання </w:t>
      </w:r>
      <w:proofErr w:type="spellStart"/>
      <w:r w:rsidRPr="006B6651">
        <w:rPr>
          <w:w w:val="110"/>
          <w:sz w:val="20"/>
          <w:szCs w:val="20"/>
          <w:lang w:val="ru-RU"/>
        </w:rPr>
        <w:t>даних</w:t>
      </w:r>
      <w:proofErr w:type="spellEnd"/>
      <w:r w:rsidRPr="006B6651">
        <w:rPr>
          <w:w w:val="110"/>
          <w:sz w:val="20"/>
          <w:szCs w:val="20"/>
          <w:lang w:val="ru-RU"/>
        </w:rPr>
        <w:t xml:space="preserve">. </w:t>
      </w:r>
      <w:proofErr w:type="spellStart"/>
      <w:r w:rsidRPr="006B6651">
        <w:rPr>
          <w:w w:val="110"/>
          <w:sz w:val="20"/>
          <w:szCs w:val="20"/>
          <w:lang w:val="ru-RU"/>
        </w:rPr>
        <w:t>Результати</w:t>
      </w:r>
      <w:proofErr w:type="spellEnd"/>
      <w:r w:rsidRPr="006B6651">
        <w:rPr>
          <w:w w:val="110"/>
          <w:sz w:val="20"/>
          <w:szCs w:val="20"/>
          <w:lang w:val="ru-RU"/>
        </w:rPr>
        <w:t xml:space="preserve"> </w:t>
      </w:r>
      <w:proofErr w:type="spellStart"/>
      <w:r w:rsidRPr="006B6651">
        <w:rPr>
          <w:w w:val="110"/>
          <w:sz w:val="20"/>
          <w:szCs w:val="20"/>
          <w:lang w:val="ru-RU"/>
        </w:rPr>
        <w:t>одновимірного</w:t>
      </w:r>
      <w:proofErr w:type="spellEnd"/>
      <w:r w:rsidRPr="006B6651">
        <w:rPr>
          <w:w w:val="110"/>
          <w:sz w:val="20"/>
          <w:szCs w:val="20"/>
          <w:lang w:val="ru-RU"/>
        </w:rPr>
        <w:t xml:space="preserve"> </w:t>
      </w:r>
      <w:proofErr w:type="spellStart"/>
      <w:r w:rsidRPr="006B6651">
        <w:rPr>
          <w:w w:val="110"/>
          <w:sz w:val="20"/>
          <w:szCs w:val="20"/>
          <w:lang w:val="ru-RU"/>
        </w:rPr>
        <w:t>аналізу</w:t>
      </w:r>
      <w:proofErr w:type="spellEnd"/>
      <w:r w:rsidRPr="006B6651">
        <w:rPr>
          <w:w w:val="110"/>
          <w:sz w:val="20"/>
          <w:szCs w:val="20"/>
          <w:lang w:val="ru-RU"/>
        </w:rPr>
        <w:t xml:space="preserve"> (з </w:t>
      </w:r>
      <w:proofErr w:type="spellStart"/>
      <w:r w:rsidRPr="006B6651">
        <w:rPr>
          <w:w w:val="110"/>
          <w:sz w:val="20"/>
          <w:szCs w:val="20"/>
          <w:lang w:val="ru-RU"/>
        </w:rPr>
        <w:t>використанням</w:t>
      </w:r>
      <w:proofErr w:type="spellEnd"/>
      <w:r w:rsidRPr="006B6651">
        <w:rPr>
          <w:w w:val="110"/>
          <w:sz w:val="20"/>
          <w:szCs w:val="20"/>
          <w:lang w:val="ru-RU"/>
        </w:rPr>
        <w:t xml:space="preserve"> </w:t>
      </w:r>
      <w:proofErr w:type="spellStart"/>
      <w:r w:rsidRPr="006B6651">
        <w:rPr>
          <w:w w:val="110"/>
          <w:sz w:val="20"/>
          <w:szCs w:val="20"/>
          <w:lang w:val="ru-RU"/>
        </w:rPr>
        <w:t>усіх</w:t>
      </w:r>
      <w:proofErr w:type="spellEnd"/>
      <w:r w:rsidRPr="006B6651">
        <w:rPr>
          <w:w w:val="110"/>
          <w:sz w:val="20"/>
          <w:szCs w:val="20"/>
          <w:lang w:val="ru-RU"/>
        </w:rPr>
        <w:t xml:space="preserve"> </w:t>
      </w:r>
      <w:proofErr w:type="spellStart"/>
      <w:r w:rsidRPr="006B6651">
        <w:rPr>
          <w:w w:val="110"/>
          <w:sz w:val="20"/>
          <w:szCs w:val="20"/>
          <w:lang w:val="ru-RU"/>
        </w:rPr>
        <w:t>досліджень</w:t>
      </w:r>
      <w:proofErr w:type="spellEnd"/>
      <w:r w:rsidRPr="006B6651">
        <w:rPr>
          <w:w w:val="110"/>
          <w:sz w:val="20"/>
          <w:szCs w:val="20"/>
          <w:lang w:val="ru-RU"/>
        </w:rPr>
        <w:t xml:space="preserve">) </w:t>
      </w:r>
      <w:proofErr w:type="spellStart"/>
      <w:r w:rsidRPr="006B6651">
        <w:rPr>
          <w:w w:val="110"/>
          <w:sz w:val="20"/>
          <w:szCs w:val="20"/>
          <w:lang w:val="ru-RU"/>
        </w:rPr>
        <w:t>порівнювали</w:t>
      </w:r>
      <w:proofErr w:type="spellEnd"/>
      <w:r w:rsidRPr="006B6651">
        <w:rPr>
          <w:w w:val="110"/>
          <w:sz w:val="20"/>
          <w:szCs w:val="20"/>
          <w:lang w:val="ru-RU"/>
        </w:rPr>
        <w:t xml:space="preserve"> з результатами </w:t>
      </w:r>
      <w:proofErr w:type="spellStart"/>
      <w:r w:rsidRPr="006B6651">
        <w:rPr>
          <w:w w:val="110"/>
          <w:sz w:val="20"/>
          <w:szCs w:val="20"/>
          <w:lang w:val="ru-RU"/>
        </w:rPr>
        <w:t>двовимірного</w:t>
      </w:r>
      <w:proofErr w:type="spellEnd"/>
      <w:r w:rsidRPr="006B6651">
        <w:rPr>
          <w:w w:val="110"/>
          <w:sz w:val="20"/>
          <w:szCs w:val="20"/>
          <w:lang w:val="ru-RU"/>
        </w:rPr>
        <w:t xml:space="preserve"> </w:t>
      </w:r>
      <w:proofErr w:type="spellStart"/>
      <w:r w:rsidRPr="006B6651">
        <w:rPr>
          <w:w w:val="110"/>
          <w:sz w:val="20"/>
          <w:szCs w:val="20"/>
          <w:lang w:val="ru-RU"/>
        </w:rPr>
        <w:t>аналізу</w:t>
      </w:r>
      <w:proofErr w:type="spellEnd"/>
      <w:r w:rsidRPr="006B6651">
        <w:rPr>
          <w:w w:val="110"/>
          <w:sz w:val="20"/>
          <w:szCs w:val="20"/>
          <w:lang w:val="ru-RU"/>
        </w:rPr>
        <w:t xml:space="preserve"> </w:t>
      </w:r>
      <w:proofErr w:type="spellStart"/>
      <w:r w:rsidRPr="006B6651">
        <w:rPr>
          <w:w w:val="110"/>
          <w:sz w:val="20"/>
          <w:szCs w:val="20"/>
          <w:lang w:val="ru-RU"/>
        </w:rPr>
        <w:t>підгрупи</w:t>
      </w:r>
      <w:proofErr w:type="spellEnd"/>
      <w:r w:rsidRPr="006B6651">
        <w:rPr>
          <w:w w:val="110"/>
          <w:sz w:val="20"/>
          <w:szCs w:val="20"/>
          <w:lang w:val="ru-RU"/>
        </w:rPr>
        <w:t xml:space="preserve"> </w:t>
      </w:r>
      <w:proofErr w:type="spellStart"/>
      <w:r w:rsidRPr="006B6651">
        <w:rPr>
          <w:w w:val="110"/>
          <w:sz w:val="20"/>
          <w:szCs w:val="20"/>
          <w:lang w:val="ru-RU"/>
        </w:rPr>
        <w:t>досліджень</w:t>
      </w:r>
      <w:proofErr w:type="spellEnd"/>
      <w:r w:rsidRPr="006B6651">
        <w:rPr>
          <w:w w:val="110"/>
          <w:sz w:val="20"/>
          <w:szCs w:val="20"/>
          <w:lang w:val="ru-RU"/>
        </w:rPr>
        <w:t xml:space="preserve">, </w:t>
      </w:r>
      <w:proofErr w:type="spellStart"/>
      <w:r w:rsidRPr="006B6651">
        <w:rPr>
          <w:w w:val="110"/>
          <w:sz w:val="20"/>
          <w:szCs w:val="20"/>
          <w:lang w:val="ru-RU"/>
        </w:rPr>
        <w:t>які</w:t>
      </w:r>
      <w:proofErr w:type="spellEnd"/>
      <w:r w:rsidRPr="006B6651">
        <w:rPr>
          <w:w w:val="110"/>
          <w:sz w:val="20"/>
          <w:szCs w:val="20"/>
          <w:lang w:val="ru-RU"/>
        </w:rPr>
        <w:t xml:space="preserve"> </w:t>
      </w:r>
      <w:proofErr w:type="spellStart"/>
      <w:r w:rsidRPr="006B6651">
        <w:rPr>
          <w:w w:val="110"/>
          <w:sz w:val="20"/>
          <w:szCs w:val="20"/>
          <w:lang w:val="ru-RU"/>
        </w:rPr>
        <w:t>надали</w:t>
      </w:r>
      <w:proofErr w:type="spellEnd"/>
      <w:r w:rsidRPr="006B6651">
        <w:rPr>
          <w:w w:val="110"/>
          <w:sz w:val="20"/>
          <w:szCs w:val="20"/>
          <w:lang w:val="ru-RU"/>
        </w:rPr>
        <w:t xml:space="preserve"> </w:t>
      </w:r>
      <w:proofErr w:type="spellStart"/>
      <w:r w:rsidRPr="006B6651">
        <w:rPr>
          <w:w w:val="110"/>
          <w:sz w:val="20"/>
          <w:szCs w:val="20"/>
          <w:lang w:val="ru-RU"/>
        </w:rPr>
        <w:t>дані</w:t>
      </w:r>
      <w:proofErr w:type="spellEnd"/>
      <w:r w:rsidRPr="006B6651">
        <w:rPr>
          <w:w w:val="110"/>
          <w:sz w:val="20"/>
          <w:szCs w:val="20"/>
          <w:lang w:val="ru-RU"/>
        </w:rPr>
        <w:t xml:space="preserve"> для </w:t>
      </w:r>
      <w:proofErr w:type="spellStart"/>
      <w:r w:rsidRPr="006B6651">
        <w:rPr>
          <w:w w:val="110"/>
          <w:sz w:val="20"/>
          <w:szCs w:val="20"/>
          <w:lang w:val="ru-RU"/>
        </w:rPr>
        <w:t>оцінки</w:t>
      </w:r>
      <w:proofErr w:type="spellEnd"/>
      <w:r w:rsidRPr="006B6651">
        <w:rPr>
          <w:w w:val="110"/>
          <w:sz w:val="20"/>
          <w:szCs w:val="20"/>
          <w:lang w:val="ru-RU"/>
        </w:rPr>
        <w:t xml:space="preserve"> як </w:t>
      </w:r>
      <w:proofErr w:type="spellStart"/>
      <w:r w:rsidRPr="006B6651">
        <w:rPr>
          <w:w w:val="110"/>
          <w:sz w:val="20"/>
          <w:szCs w:val="20"/>
          <w:lang w:val="ru-RU"/>
        </w:rPr>
        <w:t>чутливості</w:t>
      </w:r>
      <w:proofErr w:type="spellEnd"/>
      <w:r w:rsidRPr="006B6651">
        <w:rPr>
          <w:w w:val="110"/>
          <w:sz w:val="20"/>
          <w:szCs w:val="20"/>
          <w:lang w:val="ru-RU"/>
        </w:rPr>
        <w:t xml:space="preserve">, так і </w:t>
      </w:r>
      <w:proofErr w:type="spellStart"/>
      <w:r w:rsidRPr="006B6651">
        <w:rPr>
          <w:w w:val="110"/>
          <w:sz w:val="20"/>
          <w:szCs w:val="20"/>
          <w:lang w:val="ru-RU"/>
        </w:rPr>
        <w:t>специфічності</w:t>
      </w:r>
      <w:proofErr w:type="spellEnd"/>
      <w:r w:rsidRPr="006B6651">
        <w:rPr>
          <w:w w:val="110"/>
          <w:sz w:val="20"/>
          <w:szCs w:val="20"/>
          <w:lang w:val="ru-RU"/>
        </w:rPr>
        <w:t>.</w:t>
      </w:r>
    </w:p>
    <w:p w14:paraId="044D26AD" w14:textId="77777777" w:rsidR="00DE2E3D" w:rsidRPr="006B6651" w:rsidRDefault="00DE2E3D" w:rsidP="006E5AE7">
      <w:pPr>
        <w:pStyle w:val="a3"/>
        <w:spacing w:before="177" w:line="276" w:lineRule="auto"/>
        <w:ind w:left="1417" w:right="936"/>
        <w:jc w:val="both"/>
        <w:rPr>
          <w:sz w:val="20"/>
          <w:szCs w:val="20"/>
          <w:lang w:val="ru-RU"/>
        </w:rPr>
      </w:pPr>
      <w:proofErr w:type="spellStart"/>
      <w:r w:rsidRPr="006B6651">
        <w:rPr>
          <w:w w:val="110"/>
          <w:sz w:val="20"/>
          <w:szCs w:val="20"/>
          <w:lang w:val="ru-RU"/>
        </w:rPr>
        <w:t>Якщо</w:t>
      </w:r>
      <w:proofErr w:type="spellEnd"/>
      <w:r w:rsidRPr="006B6651">
        <w:rPr>
          <w:w w:val="110"/>
          <w:sz w:val="20"/>
          <w:szCs w:val="20"/>
          <w:lang w:val="ru-RU"/>
        </w:rPr>
        <w:t xml:space="preserve"> для </w:t>
      </w:r>
      <w:r w:rsidRPr="00784388">
        <w:rPr>
          <w:w w:val="110"/>
          <w:sz w:val="20"/>
          <w:szCs w:val="20"/>
          <w:lang w:val="uk-UA"/>
        </w:rPr>
        <w:t>досліджуваних</w:t>
      </w:r>
      <w:r w:rsidRPr="006B6651">
        <w:rPr>
          <w:w w:val="110"/>
          <w:sz w:val="20"/>
          <w:szCs w:val="20"/>
          <w:lang w:val="ru-RU"/>
        </w:rPr>
        <w:t xml:space="preserve"> </w:t>
      </w:r>
      <w:proofErr w:type="spellStart"/>
      <w:r w:rsidRPr="006B6651">
        <w:rPr>
          <w:w w:val="110"/>
          <w:sz w:val="20"/>
          <w:szCs w:val="20"/>
          <w:lang w:val="ru-RU"/>
        </w:rPr>
        <w:t>тестів</w:t>
      </w:r>
      <w:proofErr w:type="spellEnd"/>
      <w:r w:rsidRPr="006B6651">
        <w:rPr>
          <w:w w:val="110"/>
          <w:sz w:val="20"/>
          <w:szCs w:val="20"/>
          <w:lang w:val="ru-RU"/>
        </w:rPr>
        <w:t xml:space="preserve"> </w:t>
      </w:r>
      <w:proofErr w:type="spellStart"/>
      <w:r w:rsidRPr="006B6651">
        <w:rPr>
          <w:w w:val="110"/>
          <w:sz w:val="20"/>
          <w:szCs w:val="20"/>
          <w:lang w:val="ru-RU"/>
        </w:rPr>
        <w:t>було</w:t>
      </w:r>
      <w:proofErr w:type="spellEnd"/>
      <w:r w:rsidRPr="006B6651">
        <w:rPr>
          <w:w w:val="110"/>
          <w:sz w:val="20"/>
          <w:szCs w:val="20"/>
          <w:lang w:val="ru-RU"/>
        </w:rPr>
        <w:t xml:space="preserve"> </w:t>
      </w:r>
      <w:proofErr w:type="spellStart"/>
      <w:r w:rsidRPr="006B6651">
        <w:rPr>
          <w:w w:val="110"/>
          <w:sz w:val="20"/>
          <w:szCs w:val="20"/>
          <w:lang w:val="ru-RU"/>
        </w:rPr>
        <w:t>щонайменше</w:t>
      </w:r>
      <w:proofErr w:type="spellEnd"/>
      <w:r w:rsidRPr="006B6651">
        <w:rPr>
          <w:w w:val="110"/>
          <w:sz w:val="20"/>
          <w:szCs w:val="20"/>
          <w:lang w:val="ru-RU"/>
        </w:rPr>
        <w:t xml:space="preserve"> </w:t>
      </w:r>
      <w:proofErr w:type="spellStart"/>
      <w:r w:rsidRPr="006B6651">
        <w:rPr>
          <w:w w:val="110"/>
          <w:sz w:val="20"/>
          <w:szCs w:val="20"/>
          <w:lang w:val="ru-RU"/>
        </w:rPr>
        <w:t>чотири</w:t>
      </w:r>
      <w:proofErr w:type="spellEnd"/>
      <w:r w:rsidRPr="006B6651">
        <w:rPr>
          <w:w w:val="110"/>
          <w:sz w:val="20"/>
          <w:szCs w:val="20"/>
          <w:lang w:val="ru-RU"/>
        </w:rPr>
        <w:t xml:space="preserve"> </w:t>
      </w:r>
      <w:proofErr w:type="spellStart"/>
      <w:r w:rsidRPr="006B6651">
        <w:rPr>
          <w:w w:val="110"/>
          <w:sz w:val="20"/>
          <w:szCs w:val="20"/>
          <w:lang w:val="ru-RU"/>
        </w:rPr>
        <w:t>дослідження</w:t>
      </w:r>
      <w:proofErr w:type="spellEnd"/>
      <w:r w:rsidRPr="006B6651">
        <w:rPr>
          <w:w w:val="110"/>
          <w:sz w:val="20"/>
          <w:szCs w:val="20"/>
          <w:lang w:val="ru-RU"/>
        </w:rPr>
        <w:t xml:space="preserve"> з </w:t>
      </w:r>
      <w:proofErr w:type="spellStart"/>
      <w:r w:rsidRPr="006B6651">
        <w:rPr>
          <w:w w:val="110"/>
          <w:sz w:val="20"/>
          <w:szCs w:val="20"/>
          <w:lang w:val="ru-RU"/>
        </w:rPr>
        <w:t>даними</w:t>
      </w:r>
      <w:proofErr w:type="spellEnd"/>
      <w:r w:rsidRPr="006B6651">
        <w:rPr>
          <w:w w:val="110"/>
          <w:sz w:val="20"/>
          <w:szCs w:val="20"/>
          <w:lang w:val="ru-RU"/>
        </w:rPr>
        <w:t xml:space="preserve">, </w:t>
      </w:r>
      <w:proofErr w:type="spellStart"/>
      <w:r w:rsidRPr="006B6651">
        <w:rPr>
          <w:w w:val="110"/>
          <w:sz w:val="20"/>
          <w:szCs w:val="20"/>
          <w:lang w:val="ru-RU"/>
        </w:rPr>
        <w:t>що</w:t>
      </w:r>
      <w:proofErr w:type="spellEnd"/>
      <w:r w:rsidRPr="006B6651">
        <w:rPr>
          <w:w w:val="110"/>
          <w:sz w:val="20"/>
          <w:szCs w:val="20"/>
          <w:lang w:val="ru-RU"/>
        </w:rPr>
        <w:t xml:space="preserve"> </w:t>
      </w:r>
      <w:proofErr w:type="spellStart"/>
      <w:r w:rsidRPr="006B6651">
        <w:rPr>
          <w:w w:val="110"/>
          <w:sz w:val="20"/>
          <w:szCs w:val="20"/>
          <w:lang w:val="ru-RU"/>
        </w:rPr>
        <w:t>стосувалися</w:t>
      </w:r>
      <w:proofErr w:type="spellEnd"/>
      <w:r w:rsidRPr="006B6651">
        <w:rPr>
          <w:w w:val="110"/>
          <w:sz w:val="20"/>
          <w:szCs w:val="20"/>
          <w:lang w:val="ru-RU"/>
        </w:rPr>
        <w:t xml:space="preserve"> </w:t>
      </w:r>
      <w:proofErr w:type="spellStart"/>
      <w:r w:rsidRPr="006B6651">
        <w:rPr>
          <w:w w:val="110"/>
          <w:sz w:val="20"/>
          <w:szCs w:val="20"/>
          <w:lang w:val="ru-RU"/>
        </w:rPr>
        <w:t>лише</w:t>
      </w:r>
      <w:proofErr w:type="spellEnd"/>
      <w:r w:rsidRPr="006B6651">
        <w:rPr>
          <w:w w:val="110"/>
          <w:sz w:val="20"/>
          <w:szCs w:val="20"/>
          <w:lang w:val="ru-RU"/>
        </w:rPr>
        <w:t xml:space="preserve"> </w:t>
      </w:r>
      <w:proofErr w:type="spellStart"/>
      <w:r w:rsidRPr="006B6651">
        <w:rPr>
          <w:w w:val="110"/>
          <w:sz w:val="20"/>
          <w:szCs w:val="20"/>
          <w:lang w:val="ru-RU"/>
        </w:rPr>
        <w:t>чутливості</w:t>
      </w:r>
      <w:proofErr w:type="spellEnd"/>
      <w:r w:rsidRPr="006B6651">
        <w:rPr>
          <w:w w:val="110"/>
          <w:sz w:val="20"/>
          <w:szCs w:val="20"/>
          <w:lang w:val="ru-RU"/>
        </w:rPr>
        <w:t xml:space="preserve"> або </w:t>
      </w:r>
      <w:proofErr w:type="spellStart"/>
      <w:r w:rsidRPr="006B6651">
        <w:rPr>
          <w:w w:val="110"/>
          <w:sz w:val="20"/>
          <w:szCs w:val="20"/>
          <w:lang w:val="ru-RU"/>
        </w:rPr>
        <w:t>лише</w:t>
      </w:r>
      <w:proofErr w:type="spellEnd"/>
      <w:r w:rsidRPr="006B6651">
        <w:rPr>
          <w:w w:val="110"/>
          <w:sz w:val="20"/>
          <w:szCs w:val="20"/>
          <w:lang w:val="ru-RU"/>
        </w:rPr>
        <w:t xml:space="preserve"> </w:t>
      </w:r>
      <w:proofErr w:type="spellStart"/>
      <w:r w:rsidRPr="006B6651">
        <w:rPr>
          <w:w w:val="110"/>
          <w:sz w:val="20"/>
          <w:szCs w:val="20"/>
          <w:lang w:val="ru-RU"/>
        </w:rPr>
        <w:t>специфічності</w:t>
      </w:r>
      <w:proofErr w:type="spellEnd"/>
      <w:r w:rsidRPr="006B6651">
        <w:rPr>
          <w:w w:val="110"/>
          <w:sz w:val="20"/>
          <w:szCs w:val="20"/>
          <w:lang w:val="ru-RU"/>
        </w:rPr>
        <w:t xml:space="preserve">, </w:t>
      </w:r>
      <w:proofErr w:type="spellStart"/>
      <w:r w:rsidRPr="006B6651">
        <w:rPr>
          <w:w w:val="110"/>
          <w:sz w:val="20"/>
          <w:szCs w:val="20"/>
          <w:lang w:val="ru-RU"/>
        </w:rPr>
        <w:t>проводився</w:t>
      </w:r>
      <w:proofErr w:type="spellEnd"/>
      <w:r w:rsidRPr="006B6651">
        <w:rPr>
          <w:w w:val="110"/>
          <w:sz w:val="20"/>
          <w:szCs w:val="20"/>
          <w:lang w:val="ru-RU"/>
        </w:rPr>
        <w:t xml:space="preserve"> </w:t>
      </w:r>
      <w:proofErr w:type="spellStart"/>
      <w:r w:rsidRPr="006B6651">
        <w:rPr>
          <w:w w:val="110"/>
          <w:sz w:val="20"/>
          <w:szCs w:val="20"/>
          <w:lang w:val="ru-RU"/>
        </w:rPr>
        <w:t>одновимірний</w:t>
      </w:r>
      <w:proofErr w:type="spellEnd"/>
      <w:r w:rsidRPr="006B6651">
        <w:rPr>
          <w:w w:val="110"/>
          <w:sz w:val="20"/>
          <w:szCs w:val="20"/>
          <w:lang w:val="ru-RU"/>
        </w:rPr>
        <w:t xml:space="preserve"> метааналіз з </w:t>
      </w:r>
      <w:proofErr w:type="spellStart"/>
      <w:r w:rsidRPr="006B6651">
        <w:rPr>
          <w:w w:val="110"/>
          <w:sz w:val="20"/>
          <w:szCs w:val="20"/>
          <w:lang w:val="ru-RU"/>
        </w:rPr>
        <w:t>випадковими</w:t>
      </w:r>
      <w:proofErr w:type="spellEnd"/>
      <w:r w:rsidRPr="006B6651">
        <w:rPr>
          <w:w w:val="110"/>
          <w:sz w:val="20"/>
          <w:szCs w:val="20"/>
          <w:lang w:val="ru-RU"/>
        </w:rPr>
        <w:t xml:space="preserve"> </w:t>
      </w:r>
      <w:proofErr w:type="spellStart"/>
      <w:r w:rsidRPr="006B6651">
        <w:rPr>
          <w:w w:val="110"/>
          <w:sz w:val="20"/>
          <w:szCs w:val="20"/>
          <w:lang w:val="ru-RU"/>
        </w:rPr>
        <w:t>ефектами</w:t>
      </w:r>
      <w:proofErr w:type="spellEnd"/>
      <w:r w:rsidRPr="006B6651">
        <w:rPr>
          <w:w w:val="110"/>
          <w:sz w:val="20"/>
          <w:szCs w:val="20"/>
          <w:lang w:val="ru-RU"/>
        </w:rPr>
        <w:t xml:space="preserve"> для </w:t>
      </w:r>
      <w:proofErr w:type="spellStart"/>
      <w:r w:rsidRPr="006B6651">
        <w:rPr>
          <w:w w:val="110"/>
          <w:sz w:val="20"/>
          <w:szCs w:val="20"/>
          <w:lang w:val="ru-RU"/>
        </w:rPr>
        <w:t>оцінки</w:t>
      </w:r>
      <w:proofErr w:type="spellEnd"/>
      <w:r w:rsidRPr="006B6651">
        <w:rPr>
          <w:w w:val="110"/>
          <w:sz w:val="20"/>
          <w:szCs w:val="20"/>
          <w:lang w:val="ru-RU"/>
        </w:rPr>
        <w:t xml:space="preserve"> одного </w:t>
      </w:r>
      <w:proofErr w:type="spellStart"/>
      <w:r w:rsidRPr="006B6651">
        <w:rPr>
          <w:w w:val="110"/>
          <w:sz w:val="20"/>
          <w:szCs w:val="20"/>
          <w:lang w:val="ru-RU"/>
        </w:rPr>
        <w:t>узагальненого</w:t>
      </w:r>
      <w:proofErr w:type="spellEnd"/>
      <w:r w:rsidRPr="006B6651">
        <w:rPr>
          <w:w w:val="110"/>
          <w:sz w:val="20"/>
          <w:szCs w:val="20"/>
          <w:lang w:val="ru-RU"/>
        </w:rPr>
        <w:t xml:space="preserve"> </w:t>
      </w:r>
      <w:proofErr w:type="spellStart"/>
      <w:r w:rsidRPr="006B6651">
        <w:rPr>
          <w:w w:val="110"/>
          <w:sz w:val="20"/>
          <w:szCs w:val="20"/>
          <w:lang w:val="ru-RU"/>
        </w:rPr>
        <w:t>показника</w:t>
      </w:r>
      <w:proofErr w:type="spellEnd"/>
      <w:r w:rsidRPr="006B6651">
        <w:rPr>
          <w:w w:val="110"/>
          <w:sz w:val="20"/>
          <w:szCs w:val="20"/>
          <w:lang w:val="ru-RU"/>
        </w:rPr>
        <w:t xml:space="preserve">, </w:t>
      </w:r>
      <w:proofErr w:type="spellStart"/>
      <w:r w:rsidRPr="006B6651">
        <w:rPr>
          <w:w w:val="110"/>
          <w:sz w:val="20"/>
          <w:szCs w:val="20"/>
          <w:lang w:val="ru-RU"/>
        </w:rPr>
        <w:t>припускаючи</w:t>
      </w:r>
      <w:proofErr w:type="spellEnd"/>
      <w:r w:rsidRPr="006B6651">
        <w:rPr>
          <w:w w:val="110"/>
          <w:sz w:val="20"/>
          <w:szCs w:val="20"/>
          <w:lang w:val="ru-RU"/>
        </w:rPr>
        <w:t xml:space="preserve"> </w:t>
      </w:r>
      <w:proofErr w:type="spellStart"/>
      <w:r w:rsidRPr="006B6651">
        <w:rPr>
          <w:w w:val="110"/>
          <w:sz w:val="20"/>
          <w:szCs w:val="20"/>
          <w:lang w:val="ru-RU"/>
        </w:rPr>
        <w:t>відсутність</w:t>
      </w:r>
      <w:proofErr w:type="spellEnd"/>
      <w:r w:rsidRPr="006B6651">
        <w:rPr>
          <w:w w:val="110"/>
          <w:sz w:val="20"/>
          <w:szCs w:val="20"/>
          <w:lang w:val="ru-RU"/>
        </w:rPr>
        <w:t xml:space="preserve"> </w:t>
      </w:r>
      <w:proofErr w:type="spellStart"/>
      <w:r w:rsidRPr="006B6651">
        <w:rPr>
          <w:w w:val="110"/>
          <w:sz w:val="20"/>
          <w:szCs w:val="20"/>
          <w:lang w:val="ru-RU"/>
        </w:rPr>
        <w:t>кореляції</w:t>
      </w:r>
      <w:proofErr w:type="spellEnd"/>
      <w:r w:rsidRPr="006B6651">
        <w:rPr>
          <w:w w:val="110"/>
          <w:sz w:val="20"/>
          <w:szCs w:val="20"/>
          <w:lang w:val="ru-RU"/>
        </w:rPr>
        <w:t xml:space="preserve"> </w:t>
      </w:r>
      <w:proofErr w:type="spellStart"/>
      <w:r w:rsidRPr="006B6651">
        <w:rPr>
          <w:w w:val="110"/>
          <w:sz w:val="20"/>
          <w:szCs w:val="20"/>
          <w:lang w:val="ru-RU"/>
        </w:rPr>
        <w:t>між</w:t>
      </w:r>
      <w:proofErr w:type="spellEnd"/>
      <w:r w:rsidRPr="006B6651">
        <w:rPr>
          <w:w w:val="110"/>
          <w:sz w:val="20"/>
          <w:szCs w:val="20"/>
          <w:lang w:val="ru-RU"/>
        </w:rPr>
        <w:t xml:space="preserve"> </w:t>
      </w:r>
      <w:proofErr w:type="spellStart"/>
      <w:r w:rsidRPr="006B6651">
        <w:rPr>
          <w:w w:val="110"/>
          <w:sz w:val="20"/>
          <w:szCs w:val="20"/>
          <w:lang w:val="ru-RU"/>
        </w:rPr>
        <w:t>чутливістю</w:t>
      </w:r>
      <w:proofErr w:type="spellEnd"/>
      <w:r w:rsidRPr="006B6651">
        <w:rPr>
          <w:w w:val="110"/>
          <w:sz w:val="20"/>
          <w:szCs w:val="20"/>
          <w:lang w:val="ru-RU"/>
        </w:rPr>
        <w:t xml:space="preserve"> та </w:t>
      </w:r>
      <w:proofErr w:type="spellStart"/>
      <w:r w:rsidRPr="006B6651">
        <w:rPr>
          <w:w w:val="110"/>
          <w:sz w:val="20"/>
          <w:szCs w:val="20"/>
          <w:lang w:val="ru-RU"/>
        </w:rPr>
        <w:t>специфічністю</w:t>
      </w:r>
      <w:proofErr w:type="spellEnd"/>
      <w:r w:rsidRPr="006B6651">
        <w:rPr>
          <w:w w:val="110"/>
          <w:sz w:val="20"/>
          <w:szCs w:val="20"/>
          <w:lang w:val="ru-RU"/>
        </w:rPr>
        <w:t xml:space="preserve">. У </w:t>
      </w:r>
      <w:proofErr w:type="spellStart"/>
      <w:r w:rsidRPr="006B6651">
        <w:rPr>
          <w:w w:val="110"/>
          <w:sz w:val="20"/>
          <w:szCs w:val="20"/>
          <w:lang w:val="ru-RU"/>
        </w:rPr>
        <w:t>випадках</w:t>
      </w:r>
      <w:proofErr w:type="spellEnd"/>
      <w:r w:rsidRPr="006B6651">
        <w:rPr>
          <w:w w:val="110"/>
          <w:sz w:val="20"/>
          <w:szCs w:val="20"/>
          <w:lang w:val="ru-RU"/>
        </w:rPr>
        <w:t xml:space="preserve">, коли </w:t>
      </w:r>
      <w:proofErr w:type="spellStart"/>
      <w:r w:rsidRPr="006B6651">
        <w:rPr>
          <w:w w:val="110"/>
          <w:sz w:val="20"/>
          <w:szCs w:val="20"/>
          <w:lang w:val="ru-RU"/>
        </w:rPr>
        <w:t>було</w:t>
      </w:r>
      <w:proofErr w:type="spellEnd"/>
      <w:r w:rsidRPr="006B6651">
        <w:rPr>
          <w:w w:val="110"/>
          <w:sz w:val="20"/>
          <w:szCs w:val="20"/>
          <w:lang w:val="ru-RU"/>
        </w:rPr>
        <w:t xml:space="preserve"> </w:t>
      </w:r>
      <w:proofErr w:type="spellStart"/>
      <w:r w:rsidRPr="006B6651">
        <w:rPr>
          <w:w w:val="110"/>
          <w:sz w:val="20"/>
          <w:szCs w:val="20"/>
          <w:lang w:val="ru-RU"/>
        </w:rPr>
        <w:t>менше</w:t>
      </w:r>
      <w:proofErr w:type="spellEnd"/>
      <w:r w:rsidRPr="006B6651">
        <w:rPr>
          <w:w w:val="110"/>
          <w:sz w:val="20"/>
          <w:szCs w:val="20"/>
          <w:lang w:val="ru-RU"/>
        </w:rPr>
        <w:t xml:space="preserve"> </w:t>
      </w:r>
      <w:proofErr w:type="spellStart"/>
      <w:r w:rsidRPr="006B6651">
        <w:rPr>
          <w:w w:val="110"/>
          <w:sz w:val="20"/>
          <w:szCs w:val="20"/>
          <w:lang w:val="ru-RU"/>
        </w:rPr>
        <w:t>чотирьох</w:t>
      </w:r>
      <w:proofErr w:type="spellEnd"/>
      <w:r w:rsidRPr="006B6651">
        <w:rPr>
          <w:w w:val="110"/>
          <w:sz w:val="20"/>
          <w:szCs w:val="20"/>
          <w:lang w:val="ru-RU"/>
        </w:rPr>
        <w:t xml:space="preserve"> </w:t>
      </w:r>
      <w:proofErr w:type="spellStart"/>
      <w:r w:rsidRPr="006B6651">
        <w:rPr>
          <w:w w:val="110"/>
          <w:sz w:val="20"/>
          <w:szCs w:val="20"/>
          <w:lang w:val="ru-RU"/>
        </w:rPr>
        <w:t>досліджень</w:t>
      </w:r>
      <w:proofErr w:type="spellEnd"/>
      <w:r w:rsidRPr="006B6651">
        <w:rPr>
          <w:w w:val="110"/>
          <w:sz w:val="20"/>
          <w:szCs w:val="20"/>
          <w:lang w:val="ru-RU"/>
        </w:rPr>
        <w:t xml:space="preserve">, або коли на </w:t>
      </w:r>
      <w:proofErr w:type="spellStart"/>
      <w:r w:rsidRPr="006B6651">
        <w:rPr>
          <w:w w:val="110"/>
          <w:sz w:val="20"/>
          <w:szCs w:val="20"/>
          <w:lang w:val="ru-RU"/>
        </w:rPr>
        <w:t>лісових</w:t>
      </w:r>
      <w:proofErr w:type="spellEnd"/>
      <w:r w:rsidRPr="006B6651">
        <w:rPr>
          <w:w w:val="110"/>
          <w:sz w:val="20"/>
          <w:szCs w:val="20"/>
          <w:lang w:val="ru-RU"/>
        </w:rPr>
        <w:t xml:space="preserve"> </w:t>
      </w:r>
      <w:proofErr w:type="spellStart"/>
      <w:r w:rsidRPr="006B6651">
        <w:rPr>
          <w:w w:val="110"/>
          <w:sz w:val="20"/>
          <w:szCs w:val="20"/>
          <w:lang w:val="ru-RU"/>
        </w:rPr>
        <w:t>діаграмах</w:t>
      </w:r>
      <w:proofErr w:type="spellEnd"/>
      <w:r w:rsidRPr="006B6651">
        <w:rPr>
          <w:w w:val="110"/>
          <w:sz w:val="20"/>
          <w:szCs w:val="20"/>
          <w:lang w:val="ru-RU"/>
        </w:rPr>
        <w:t xml:space="preserve"> </w:t>
      </w:r>
      <w:proofErr w:type="spellStart"/>
      <w:r w:rsidRPr="006B6651">
        <w:rPr>
          <w:w w:val="110"/>
          <w:sz w:val="20"/>
          <w:szCs w:val="20"/>
          <w:lang w:val="ru-RU"/>
        </w:rPr>
        <w:t>спостерігалася</w:t>
      </w:r>
      <w:proofErr w:type="spellEnd"/>
      <w:r w:rsidRPr="006B6651">
        <w:rPr>
          <w:w w:val="110"/>
          <w:sz w:val="20"/>
          <w:szCs w:val="20"/>
          <w:lang w:val="ru-RU"/>
        </w:rPr>
        <w:t xml:space="preserve"> </w:t>
      </w:r>
      <w:proofErr w:type="spellStart"/>
      <w:r w:rsidRPr="006B6651">
        <w:rPr>
          <w:w w:val="110"/>
          <w:sz w:val="20"/>
          <w:szCs w:val="20"/>
          <w:lang w:val="ru-RU"/>
        </w:rPr>
        <w:t>значна</w:t>
      </w:r>
      <w:proofErr w:type="spellEnd"/>
      <w:r w:rsidRPr="006B6651">
        <w:rPr>
          <w:w w:val="110"/>
          <w:sz w:val="20"/>
          <w:szCs w:val="20"/>
          <w:lang w:val="ru-RU"/>
        </w:rPr>
        <w:t xml:space="preserve"> </w:t>
      </w:r>
      <w:r w:rsidRPr="005C40BF">
        <w:rPr>
          <w:w w:val="110"/>
          <w:sz w:val="20"/>
          <w:szCs w:val="20"/>
          <w:lang w:val="uk-UA"/>
        </w:rPr>
        <w:t>неоднорідність</w:t>
      </w:r>
      <w:r w:rsidRPr="006B6651">
        <w:rPr>
          <w:w w:val="110"/>
          <w:sz w:val="20"/>
          <w:szCs w:val="20"/>
          <w:lang w:val="ru-RU"/>
        </w:rPr>
        <w:t xml:space="preserve">, </w:t>
      </w:r>
      <w:proofErr w:type="spellStart"/>
      <w:r w:rsidRPr="006B6651">
        <w:rPr>
          <w:w w:val="110"/>
          <w:sz w:val="20"/>
          <w:szCs w:val="20"/>
          <w:lang w:val="ru-RU"/>
        </w:rPr>
        <w:t>що</w:t>
      </w:r>
      <w:proofErr w:type="spellEnd"/>
      <w:r w:rsidRPr="006B6651">
        <w:rPr>
          <w:w w:val="110"/>
          <w:sz w:val="20"/>
          <w:szCs w:val="20"/>
          <w:lang w:val="ru-RU"/>
        </w:rPr>
        <w:t xml:space="preserve"> </w:t>
      </w:r>
      <w:proofErr w:type="spellStart"/>
      <w:r w:rsidRPr="006B6651">
        <w:rPr>
          <w:w w:val="110"/>
          <w:sz w:val="20"/>
          <w:szCs w:val="20"/>
          <w:lang w:val="ru-RU"/>
        </w:rPr>
        <w:t>унеможливлювало</w:t>
      </w:r>
      <w:proofErr w:type="spellEnd"/>
      <w:r w:rsidRPr="006B6651">
        <w:rPr>
          <w:w w:val="110"/>
          <w:sz w:val="20"/>
          <w:szCs w:val="20"/>
          <w:lang w:val="ru-RU"/>
        </w:rPr>
        <w:t xml:space="preserve"> </w:t>
      </w:r>
      <w:proofErr w:type="spellStart"/>
      <w:r w:rsidRPr="006B6651">
        <w:rPr>
          <w:w w:val="110"/>
          <w:sz w:val="20"/>
          <w:szCs w:val="20"/>
          <w:lang w:val="ru-RU"/>
        </w:rPr>
        <w:t>проведення</w:t>
      </w:r>
      <w:proofErr w:type="spellEnd"/>
      <w:r w:rsidRPr="006B6651">
        <w:rPr>
          <w:w w:val="110"/>
          <w:sz w:val="20"/>
          <w:szCs w:val="20"/>
          <w:lang w:val="ru-RU"/>
        </w:rPr>
        <w:t xml:space="preserve"> метааналізу, для </w:t>
      </w:r>
      <w:proofErr w:type="spellStart"/>
      <w:r w:rsidRPr="006B6651">
        <w:rPr>
          <w:w w:val="110"/>
          <w:sz w:val="20"/>
          <w:szCs w:val="20"/>
          <w:lang w:val="ru-RU"/>
        </w:rPr>
        <w:t>цих</w:t>
      </w:r>
      <w:proofErr w:type="spellEnd"/>
      <w:r w:rsidRPr="006B6651">
        <w:rPr>
          <w:w w:val="110"/>
          <w:sz w:val="20"/>
          <w:szCs w:val="20"/>
          <w:lang w:val="ru-RU"/>
        </w:rPr>
        <w:t xml:space="preserve"> </w:t>
      </w:r>
      <w:proofErr w:type="spellStart"/>
      <w:r w:rsidRPr="006B6651">
        <w:rPr>
          <w:w w:val="110"/>
          <w:sz w:val="20"/>
          <w:szCs w:val="20"/>
          <w:lang w:val="ru-RU"/>
        </w:rPr>
        <w:t>досліджуваних</w:t>
      </w:r>
      <w:proofErr w:type="spellEnd"/>
      <w:r w:rsidRPr="006B6651">
        <w:rPr>
          <w:w w:val="110"/>
          <w:sz w:val="20"/>
          <w:szCs w:val="20"/>
          <w:lang w:val="ru-RU"/>
        </w:rPr>
        <w:t xml:space="preserve"> </w:t>
      </w:r>
      <w:proofErr w:type="spellStart"/>
      <w:r w:rsidRPr="006B6651">
        <w:rPr>
          <w:w w:val="110"/>
          <w:sz w:val="20"/>
          <w:szCs w:val="20"/>
          <w:lang w:val="ru-RU"/>
        </w:rPr>
        <w:t>тестів</w:t>
      </w:r>
      <w:proofErr w:type="spellEnd"/>
      <w:r w:rsidRPr="006B6651">
        <w:rPr>
          <w:w w:val="110"/>
          <w:sz w:val="20"/>
          <w:szCs w:val="20"/>
          <w:lang w:val="ru-RU"/>
        </w:rPr>
        <w:t xml:space="preserve"> </w:t>
      </w:r>
      <w:proofErr w:type="spellStart"/>
      <w:r w:rsidRPr="006B6651">
        <w:rPr>
          <w:w w:val="110"/>
          <w:sz w:val="20"/>
          <w:szCs w:val="20"/>
          <w:lang w:val="ru-RU"/>
        </w:rPr>
        <w:t>проводився</w:t>
      </w:r>
      <w:proofErr w:type="spellEnd"/>
      <w:r w:rsidRPr="006B6651">
        <w:rPr>
          <w:w w:val="110"/>
          <w:sz w:val="20"/>
          <w:szCs w:val="20"/>
          <w:lang w:val="ru-RU"/>
        </w:rPr>
        <w:t xml:space="preserve"> </w:t>
      </w:r>
      <w:proofErr w:type="spellStart"/>
      <w:r w:rsidRPr="006B6651">
        <w:rPr>
          <w:w w:val="110"/>
          <w:sz w:val="20"/>
          <w:szCs w:val="20"/>
          <w:lang w:val="ru-RU"/>
        </w:rPr>
        <w:t>описовий</w:t>
      </w:r>
      <w:proofErr w:type="spellEnd"/>
      <w:r w:rsidRPr="006B6651">
        <w:rPr>
          <w:w w:val="110"/>
          <w:sz w:val="20"/>
          <w:szCs w:val="20"/>
          <w:lang w:val="ru-RU"/>
        </w:rPr>
        <w:t xml:space="preserve"> </w:t>
      </w:r>
      <w:proofErr w:type="spellStart"/>
      <w:r w:rsidRPr="006B6651">
        <w:rPr>
          <w:w w:val="110"/>
          <w:sz w:val="20"/>
          <w:szCs w:val="20"/>
          <w:lang w:val="ru-RU"/>
        </w:rPr>
        <w:t>аналіз</w:t>
      </w:r>
      <w:proofErr w:type="spellEnd"/>
      <w:r w:rsidRPr="006B6651">
        <w:rPr>
          <w:w w:val="110"/>
          <w:sz w:val="20"/>
          <w:szCs w:val="20"/>
          <w:lang w:val="ru-RU"/>
        </w:rPr>
        <w:t xml:space="preserve">. </w:t>
      </w:r>
      <w:r w:rsidRPr="003C17C3">
        <w:rPr>
          <w:w w:val="110"/>
          <w:sz w:val="20"/>
          <w:szCs w:val="20"/>
          <w:lang w:val="uk-UA"/>
        </w:rPr>
        <w:t xml:space="preserve">Лісові </w:t>
      </w:r>
      <w:proofErr w:type="spellStart"/>
      <w:r w:rsidRPr="006B6651">
        <w:rPr>
          <w:w w:val="110"/>
          <w:sz w:val="20"/>
          <w:szCs w:val="20"/>
          <w:lang w:val="ru-RU"/>
        </w:rPr>
        <w:t>діаграми</w:t>
      </w:r>
      <w:proofErr w:type="spellEnd"/>
      <w:r w:rsidRPr="006B6651">
        <w:rPr>
          <w:w w:val="110"/>
          <w:sz w:val="20"/>
          <w:szCs w:val="20"/>
          <w:lang w:val="ru-RU"/>
        </w:rPr>
        <w:t xml:space="preserve"> </w:t>
      </w:r>
      <w:proofErr w:type="spellStart"/>
      <w:r w:rsidRPr="006B6651">
        <w:rPr>
          <w:w w:val="110"/>
          <w:sz w:val="20"/>
          <w:szCs w:val="20"/>
          <w:lang w:val="ru-RU"/>
        </w:rPr>
        <w:t>візуально</w:t>
      </w:r>
      <w:proofErr w:type="spellEnd"/>
      <w:r w:rsidRPr="006B6651">
        <w:rPr>
          <w:w w:val="110"/>
          <w:sz w:val="20"/>
          <w:szCs w:val="20"/>
          <w:lang w:val="ru-RU"/>
        </w:rPr>
        <w:t xml:space="preserve"> </w:t>
      </w:r>
      <w:proofErr w:type="spellStart"/>
      <w:r w:rsidRPr="006B6651">
        <w:rPr>
          <w:w w:val="110"/>
          <w:sz w:val="20"/>
          <w:szCs w:val="20"/>
          <w:lang w:val="ru-RU"/>
        </w:rPr>
        <w:t>оцінювали</w:t>
      </w:r>
      <w:proofErr w:type="spellEnd"/>
      <w:r w:rsidRPr="006B6651">
        <w:rPr>
          <w:w w:val="110"/>
          <w:sz w:val="20"/>
          <w:szCs w:val="20"/>
          <w:lang w:val="ru-RU"/>
        </w:rPr>
        <w:t xml:space="preserve"> на предмет </w:t>
      </w:r>
      <w:r w:rsidRPr="003C17C3">
        <w:rPr>
          <w:w w:val="110"/>
          <w:sz w:val="20"/>
          <w:szCs w:val="20"/>
          <w:lang w:val="uk-UA"/>
        </w:rPr>
        <w:t>неоднорідності</w:t>
      </w:r>
      <w:r w:rsidRPr="006B6651">
        <w:rPr>
          <w:w w:val="110"/>
          <w:sz w:val="20"/>
          <w:szCs w:val="20"/>
          <w:lang w:val="ru-RU"/>
        </w:rPr>
        <w:t xml:space="preserve"> </w:t>
      </w:r>
      <w:proofErr w:type="spellStart"/>
      <w:r w:rsidRPr="006B6651">
        <w:rPr>
          <w:w w:val="110"/>
          <w:sz w:val="20"/>
          <w:szCs w:val="20"/>
          <w:lang w:val="ru-RU"/>
        </w:rPr>
        <w:t>між</w:t>
      </w:r>
      <w:proofErr w:type="spellEnd"/>
      <w:r w:rsidRPr="006B6651">
        <w:rPr>
          <w:w w:val="110"/>
          <w:sz w:val="20"/>
          <w:szCs w:val="20"/>
          <w:lang w:val="ru-RU"/>
        </w:rPr>
        <w:t xml:space="preserve"> </w:t>
      </w:r>
      <w:proofErr w:type="spellStart"/>
      <w:r w:rsidRPr="006B6651">
        <w:rPr>
          <w:w w:val="110"/>
          <w:sz w:val="20"/>
          <w:szCs w:val="20"/>
          <w:lang w:val="ru-RU"/>
        </w:rPr>
        <w:t>дослідженнями</w:t>
      </w:r>
      <w:proofErr w:type="spellEnd"/>
      <w:r w:rsidRPr="006B6651">
        <w:rPr>
          <w:w w:val="110"/>
          <w:sz w:val="20"/>
          <w:szCs w:val="20"/>
          <w:lang w:val="ru-RU"/>
        </w:rPr>
        <w:t xml:space="preserve"> в межах кожного </w:t>
      </w:r>
      <w:proofErr w:type="spellStart"/>
      <w:r w:rsidRPr="006B6651">
        <w:rPr>
          <w:w w:val="110"/>
          <w:sz w:val="20"/>
          <w:szCs w:val="20"/>
          <w:lang w:val="ru-RU"/>
        </w:rPr>
        <w:t>досліджуваного</w:t>
      </w:r>
      <w:proofErr w:type="spellEnd"/>
      <w:r w:rsidRPr="006B6651">
        <w:rPr>
          <w:w w:val="110"/>
          <w:sz w:val="20"/>
          <w:szCs w:val="20"/>
          <w:lang w:val="ru-RU"/>
        </w:rPr>
        <w:t xml:space="preserve"> тесту та на </w:t>
      </w:r>
      <w:proofErr w:type="spellStart"/>
      <w:r w:rsidRPr="006B6651">
        <w:rPr>
          <w:w w:val="110"/>
          <w:sz w:val="20"/>
          <w:szCs w:val="20"/>
          <w:lang w:val="ru-RU"/>
        </w:rPr>
        <w:t>узагальнених</w:t>
      </w:r>
      <w:proofErr w:type="spellEnd"/>
      <w:r w:rsidRPr="006B6651">
        <w:rPr>
          <w:w w:val="110"/>
          <w:sz w:val="20"/>
          <w:szCs w:val="20"/>
          <w:lang w:val="ru-RU"/>
        </w:rPr>
        <w:t xml:space="preserve"> </w:t>
      </w:r>
      <w:proofErr w:type="spellStart"/>
      <w:r w:rsidRPr="006B6651">
        <w:rPr>
          <w:w w:val="110"/>
          <w:sz w:val="20"/>
          <w:szCs w:val="20"/>
          <w:lang w:val="ru-RU"/>
        </w:rPr>
        <w:t>діаграмах</w:t>
      </w:r>
      <w:proofErr w:type="spellEnd"/>
      <w:r w:rsidRPr="006B6651">
        <w:rPr>
          <w:w w:val="110"/>
          <w:sz w:val="20"/>
          <w:szCs w:val="20"/>
          <w:lang w:val="ru-RU"/>
        </w:rPr>
        <w:t xml:space="preserve"> – щодо </w:t>
      </w:r>
      <w:proofErr w:type="spellStart"/>
      <w:r w:rsidRPr="006B6651">
        <w:rPr>
          <w:w w:val="110"/>
          <w:sz w:val="20"/>
          <w:szCs w:val="20"/>
          <w:lang w:val="ru-RU"/>
        </w:rPr>
        <w:t>варіабельності</w:t>
      </w:r>
      <w:proofErr w:type="spellEnd"/>
      <w:r w:rsidRPr="006B6651">
        <w:rPr>
          <w:w w:val="110"/>
          <w:sz w:val="20"/>
          <w:szCs w:val="20"/>
          <w:lang w:val="ru-RU"/>
        </w:rPr>
        <w:t xml:space="preserve"> </w:t>
      </w:r>
      <w:proofErr w:type="spellStart"/>
      <w:r w:rsidRPr="006B6651">
        <w:rPr>
          <w:w w:val="110"/>
          <w:sz w:val="20"/>
          <w:szCs w:val="20"/>
          <w:lang w:val="ru-RU"/>
        </w:rPr>
        <w:t>оцінок</w:t>
      </w:r>
      <w:proofErr w:type="spellEnd"/>
      <w:r w:rsidRPr="006B6651">
        <w:rPr>
          <w:w w:val="110"/>
          <w:sz w:val="20"/>
          <w:szCs w:val="20"/>
          <w:lang w:val="ru-RU"/>
        </w:rPr>
        <w:t xml:space="preserve"> та </w:t>
      </w:r>
      <w:proofErr w:type="spellStart"/>
      <w:r w:rsidRPr="006B6651">
        <w:rPr>
          <w:w w:val="110"/>
          <w:sz w:val="20"/>
          <w:szCs w:val="20"/>
          <w:lang w:val="ru-RU"/>
        </w:rPr>
        <w:t>ширини</w:t>
      </w:r>
      <w:proofErr w:type="spellEnd"/>
      <w:r w:rsidRPr="003C17C3">
        <w:rPr>
          <w:w w:val="110"/>
          <w:sz w:val="20"/>
          <w:szCs w:val="20"/>
          <w:lang w:val="uk-UA"/>
        </w:rPr>
        <w:t xml:space="preserve"> області прогнозування</w:t>
      </w:r>
      <w:r w:rsidRPr="006B6651">
        <w:rPr>
          <w:w w:val="110"/>
          <w:sz w:val="20"/>
          <w:szCs w:val="20"/>
          <w:lang w:val="ru-RU"/>
        </w:rPr>
        <w:t xml:space="preserve"> (</w:t>
      </w:r>
      <w:proofErr w:type="spellStart"/>
      <w:r w:rsidRPr="006B6651">
        <w:rPr>
          <w:w w:val="110"/>
          <w:sz w:val="20"/>
          <w:szCs w:val="20"/>
          <w:lang w:val="ru-RU"/>
        </w:rPr>
        <w:t>ширш</w:t>
      </w:r>
      <w:proofErr w:type="spellEnd"/>
      <w:r w:rsidRPr="003C17C3">
        <w:rPr>
          <w:w w:val="110"/>
          <w:sz w:val="20"/>
          <w:szCs w:val="20"/>
          <w:lang w:val="uk-UA"/>
        </w:rPr>
        <w:t>а</w:t>
      </w:r>
      <w:r w:rsidRPr="006B6651">
        <w:rPr>
          <w:w w:val="110"/>
          <w:sz w:val="20"/>
          <w:szCs w:val="20"/>
          <w:lang w:val="ru-RU"/>
        </w:rPr>
        <w:t xml:space="preserve"> </w:t>
      </w:r>
      <w:r w:rsidRPr="003C17C3">
        <w:rPr>
          <w:w w:val="110"/>
          <w:sz w:val="20"/>
          <w:szCs w:val="20"/>
          <w:lang w:val="uk-UA"/>
        </w:rPr>
        <w:t>область прогнозування</w:t>
      </w:r>
      <w:r w:rsidRPr="006B6651">
        <w:rPr>
          <w:w w:val="110"/>
          <w:sz w:val="20"/>
          <w:szCs w:val="20"/>
          <w:lang w:val="ru-RU"/>
        </w:rPr>
        <w:t xml:space="preserve"> </w:t>
      </w:r>
      <w:proofErr w:type="spellStart"/>
      <w:r w:rsidRPr="006B6651">
        <w:rPr>
          <w:w w:val="110"/>
          <w:sz w:val="20"/>
          <w:szCs w:val="20"/>
          <w:lang w:val="ru-RU"/>
        </w:rPr>
        <w:t>вказує</w:t>
      </w:r>
      <w:proofErr w:type="spellEnd"/>
      <w:r w:rsidRPr="006B6651">
        <w:rPr>
          <w:w w:val="110"/>
          <w:sz w:val="20"/>
          <w:szCs w:val="20"/>
          <w:lang w:val="ru-RU"/>
        </w:rPr>
        <w:t xml:space="preserve"> на </w:t>
      </w:r>
      <w:proofErr w:type="spellStart"/>
      <w:r w:rsidRPr="006B6651">
        <w:rPr>
          <w:w w:val="110"/>
          <w:sz w:val="20"/>
          <w:szCs w:val="20"/>
          <w:lang w:val="ru-RU"/>
        </w:rPr>
        <w:t>більшу</w:t>
      </w:r>
      <w:proofErr w:type="spellEnd"/>
      <w:r w:rsidRPr="006B6651">
        <w:rPr>
          <w:w w:val="110"/>
          <w:sz w:val="20"/>
          <w:szCs w:val="20"/>
          <w:lang w:val="ru-RU"/>
        </w:rPr>
        <w:t xml:space="preserve"> </w:t>
      </w:r>
      <w:r w:rsidRPr="003C17C3">
        <w:rPr>
          <w:w w:val="110"/>
          <w:sz w:val="20"/>
          <w:szCs w:val="20"/>
          <w:lang w:val="uk-UA"/>
        </w:rPr>
        <w:t>неоднорідність</w:t>
      </w:r>
      <w:r w:rsidRPr="006B6651">
        <w:rPr>
          <w:w w:val="110"/>
          <w:sz w:val="20"/>
          <w:szCs w:val="20"/>
          <w:lang w:val="ru-RU"/>
        </w:rPr>
        <w:t>).</w:t>
      </w:r>
    </w:p>
    <w:p w14:paraId="1ED15B25" w14:textId="77777777" w:rsidR="00DE2E3D" w:rsidRPr="006B6651" w:rsidRDefault="00DE2E3D" w:rsidP="006E5AE7">
      <w:pPr>
        <w:pStyle w:val="5"/>
        <w:spacing w:before="189"/>
        <w:ind w:left="1264" w:right="936" w:firstLine="153"/>
        <w:jc w:val="both"/>
        <w:rPr>
          <w:color w:val="019648"/>
          <w:w w:val="105"/>
          <w:sz w:val="24"/>
          <w:szCs w:val="24"/>
          <w:lang w:val="ru-RU"/>
        </w:rPr>
      </w:pPr>
      <w:proofErr w:type="spellStart"/>
      <w:r w:rsidRPr="006B6651">
        <w:rPr>
          <w:color w:val="019648"/>
          <w:w w:val="105"/>
          <w:sz w:val="24"/>
          <w:szCs w:val="24"/>
          <w:lang w:val="ru-RU"/>
        </w:rPr>
        <w:t>Аспекти</w:t>
      </w:r>
      <w:proofErr w:type="spellEnd"/>
      <w:r w:rsidRPr="00A816CE">
        <w:rPr>
          <w:color w:val="019648"/>
          <w:w w:val="105"/>
          <w:sz w:val="24"/>
          <w:szCs w:val="24"/>
          <w:lang w:val="uk-UA"/>
        </w:rPr>
        <w:t xml:space="preserve"> </w:t>
      </w:r>
      <w:proofErr w:type="spellStart"/>
      <w:r w:rsidRPr="006B6651">
        <w:rPr>
          <w:color w:val="019648"/>
          <w:w w:val="105"/>
          <w:sz w:val="24"/>
          <w:szCs w:val="24"/>
          <w:lang w:val="ru-RU"/>
        </w:rPr>
        <w:t>впровадження</w:t>
      </w:r>
      <w:proofErr w:type="spellEnd"/>
    </w:p>
    <w:p w14:paraId="60A258EE" w14:textId="77777777" w:rsidR="00DE2E3D" w:rsidRPr="006B6651" w:rsidRDefault="00DE2E3D" w:rsidP="006E5AE7">
      <w:pPr>
        <w:pStyle w:val="a3"/>
        <w:spacing w:before="179" w:line="249" w:lineRule="auto"/>
        <w:ind w:left="1417" w:right="936"/>
        <w:jc w:val="both"/>
        <w:rPr>
          <w:sz w:val="20"/>
          <w:szCs w:val="20"/>
          <w:lang w:val="ru-RU"/>
        </w:rPr>
      </w:pPr>
      <w:proofErr w:type="spellStart"/>
      <w:r w:rsidRPr="006B6651">
        <w:rPr>
          <w:w w:val="110"/>
          <w:sz w:val="20"/>
          <w:szCs w:val="20"/>
          <w:lang w:val="ru-RU"/>
        </w:rPr>
        <w:t>Впровадження</w:t>
      </w:r>
      <w:proofErr w:type="spellEnd"/>
      <w:r w:rsidRPr="006B6651">
        <w:rPr>
          <w:w w:val="110"/>
          <w:sz w:val="20"/>
          <w:szCs w:val="20"/>
          <w:lang w:val="ru-RU"/>
        </w:rPr>
        <w:t xml:space="preserve"> </w:t>
      </w:r>
      <w:proofErr w:type="spellStart"/>
      <w:r w:rsidRPr="006B6651">
        <w:rPr>
          <w:w w:val="110"/>
          <w:sz w:val="20"/>
          <w:szCs w:val="20"/>
          <w:lang w:val="ru-RU"/>
        </w:rPr>
        <w:t>тестів</w:t>
      </w:r>
      <w:proofErr w:type="spellEnd"/>
      <w:r w:rsidRPr="006B6651">
        <w:rPr>
          <w:w w:val="110"/>
          <w:sz w:val="20"/>
          <w:szCs w:val="20"/>
          <w:lang w:val="ru-RU"/>
        </w:rPr>
        <w:t xml:space="preserve"> </w:t>
      </w:r>
      <w:r w:rsidRPr="003C17C3">
        <w:rPr>
          <w:w w:val="110"/>
          <w:sz w:val="20"/>
          <w:szCs w:val="20"/>
        </w:rPr>
        <w:t>LPA</w:t>
      </w:r>
      <w:r w:rsidRPr="006B6651">
        <w:rPr>
          <w:w w:val="110"/>
          <w:sz w:val="20"/>
          <w:szCs w:val="20"/>
          <w:lang w:val="ru-RU"/>
        </w:rPr>
        <w:t xml:space="preserve"> для виявлення </w:t>
      </w:r>
      <w:r w:rsidRPr="003C17C3">
        <w:rPr>
          <w:w w:val="110"/>
          <w:sz w:val="20"/>
          <w:szCs w:val="20"/>
          <w:lang w:val="uk-UA"/>
        </w:rPr>
        <w:t>стійкості</w:t>
      </w:r>
      <w:r w:rsidRPr="006B6651">
        <w:rPr>
          <w:w w:val="110"/>
          <w:sz w:val="20"/>
          <w:szCs w:val="20"/>
          <w:lang w:val="ru-RU"/>
        </w:rPr>
        <w:t xml:space="preserve"> до рифампіцину та ізоніазиду не </w:t>
      </w:r>
      <w:r w:rsidRPr="003C17C3">
        <w:rPr>
          <w:w w:val="110"/>
          <w:sz w:val="20"/>
          <w:szCs w:val="20"/>
          <w:lang w:val="uk-UA"/>
        </w:rPr>
        <w:t>усуває</w:t>
      </w:r>
      <w:r w:rsidRPr="006B6651">
        <w:rPr>
          <w:w w:val="110"/>
          <w:sz w:val="20"/>
          <w:szCs w:val="20"/>
          <w:lang w:val="ru-RU"/>
        </w:rPr>
        <w:t xml:space="preserve"> потреби у </w:t>
      </w:r>
      <w:proofErr w:type="spellStart"/>
      <w:r w:rsidRPr="006B6651">
        <w:rPr>
          <w:w w:val="110"/>
          <w:sz w:val="20"/>
          <w:szCs w:val="20"/>
          <w:lang w:val="ru-RU"/>
        </w:rPr>
        <w:t>традиційн</w:t>
      </w:r>
      <w:proofErr w:type="spellEnd"/>
      <w:r w:rsidRPr="003C17C3">
        <w:rPr>
          <w:w w:val="110"/>
          <w:sz w:val="20"/>
          <w:szCs w:val="20"/>
          <w:lang w:val="uk-UA"/>
        </w:rPr>
        <w:t>их</w:t>
      </w:r>
      <w:r w:rsidRPr="006B6651">
        <w:rPr>
          <w:w w:val="110"/>
          <w:sz w:val="20"/>
          <w:szCs w:val="20"/>
          <w:lang w:val="ru-RU"/>
        </w:rPr>
        <w:t xml:space="preserve"> </w:t>
      </w:r>
      <w:proofErr w:type="spellStart"/>
      <w:r w:rsidRPr="006B6651">
        <w:rPr>
          <w:w w:val="110"/>
          <w:sz w:val="20"/>
          <w:szCs w:val="20"/>
          <w:lang w:val="ru-RU"/>
        </w:rPr>
        <w:t>культуральн</w:t>
      </w:r>
      <w:proofErr w:type="spellEnd"/>
      <w:r w:rsidRPr="003C17C3">
        <w:rPr>
          <w:w w:val="110"/>
          <w:sz w:val="20"/>
          <w:szCs w:val="20"/>
          <w:lang w:val="uk-UA"/>
        </w:rPr>
        <w:t>их</w:t>
      </w:r>
      <w:r w:rsidRPr="006B6651">
        <w:rPr>
          <w:w w:val="110"/>
          <w:sz w:val="20"/>
          <w:szCs w:val="20"/>
          <w:lang w:val="ru-RU"/>
        </w:rPr>
        <w:t xml:space="preserve"> </w:t>
      </w:r>
      <w:proofErr w:type="spellStart"/>
      <w:r w:rsidRPr="006B6651">
        <w:rPr>
          <w:w w:val="110"/>
          <w:sz w:val="20"/>
          <w:szCs w:val="20"/>
          <w:lang w:val="ru-RU"/>
        </w:rPr>
        <w:t>дослідження</w:t>
      </w:r>
      <w:proofErr w:type="spellEnd"/>
      <w:r w:rsidRPr="003C17C3">
        <w:rPr>
          <w:w w:val="110"/>
          <w:sz w:val="20"/>
          <w:szCs w:val="20"/>
          <w:lang w:val="uk-UA"/>
        </w:rPr>
        <w:t>х</w:t>
      </w:r>
      <w:r w:rsidRPr="006B6651">
        <w:rPr>
          <w:w w:val="110"/>
          <w:sz w:val="20"/>
          <w:szCs w:val="20"/>
          <w:lang w:val="ru-RU"/>
        </w:rPr>
        <w:t xml:space="preserve"> та Т</w:t>
      </w:r>
      <w:r w:rsidRPr="003C17C3">
        <w:rPr>
          <w:w w:val="110"/>
          <w:sz w:val="20"/>
          <w:szCs w:val="20"/>
          <w:lang w:val="uk-UA"/>
        </w:rPr>
        <w:t>МЧ</w:t>
      </w:r>
      <w:r w:rsidRPr="006B6651">
        <w:rPr>
          <w:w w:val="110"/>
          <w:sz w:val="20"/>
          <w:szCs w:val="20"/>
          <w:lang w:val="ru-RU"/>
        </w:rPr>
        <w:t xml:space="preserve">. Культуральне </w:t>
      </w:r>
      <w:proofErr w:type="spellStart"/>
      <w:r w:rsidRPr="006B6651">
        <w:rPr>
          <w:w w:val="110"/>
          <w:sz w:val="20"/>
          <w:szCs w:val="20"/>
          <w:lang w:val="ru-RU"/>
        </w:rPr>
        <w:t>дослідження</w:t>
      </w:r>
      <w:proofErr w:type="spellEnd"/>
      <w:r w:rsidRPr="006B6651">
        <w:rPr>
          <w:w w:val="110"/>
          <w:sz w:val="20"/>
          <w:szCs w:val="20"/>
          <w:lang w:val="ru-RU"/>
        </w:rPr>
        <w:t xml:space="preserve"> та фенотипов</w:t>
      </w:r>
      <w:proofErr w:type="spellStart"/>
      <w:r w:rsidRPr="003C17C3">
        <w:rPr>
          <w:w w:val="110"/>
          <w:sz w:val="20"/>
          <w:szCs w:val="20"/>
          <w:lang w:val="uk-UA"/>
        </w:rPr>
        <w:t>ий</w:t>
      </w:r>
      <w:proofErr w:type="spellEnd"/>
      <w:r w:rsidRPr="006B6651">
        <w:rPr>
          <w:w w:val="110"/>
          <w:sz w:val="20"/>
          <w:szCs w:val="20"/>
          <w:lang w:val="ru-RU"/>
        </w:rPr>
        <w:t xml:space="preserve"> Т</w:t>
      </w:r>
      <w:r w:rsidRPr="003C17C3">
        <w:rPr>
          <w:w w:val="110"/>
          <w:sz w:val="20"/>
          <w:szCs w:val="20"/>
          <w:lang w:val="uk-UA"/>
        </w:rPr>
        <w:t>МЧ</w:t>
      </w:r>
      <w:r w:rsidRPr="006B6651">
        <w:rPr>
          <w:w w:val="110"/>
          <w:sz w:val="20"/>
          <w:szCs w:val="20"/>
          <w:lang w:val="ru-RU"/>
        </w:rPr>
        <w:t xml:space="preserve"> на </w:t>
      </w:r>
      <w:proofErr w:type="spellStart"/>
      <w:r w:rsidRPr="006B6651">
        <w:rPr>
          <w:w w:val="110"/>
          <w:sz w:val="20"/>
          <w:szCs w:val="20"/>
          <w:lang w:val="ru-RU"/>
        </w:rPr>
        <w:t>основі</w:t>
      </w:r>
      <w:proofErr w:type="spellEnd"/>
      <w:r w:rsidRPr="006B6651">
        <w:rPr>
          <w:w w:val="110"/>
          <w:sz w:val="20"/>
          <w:szCs w:val="20"/>
          <w:lang w:val="ru-RU"/>
        </w:rPr>
        <w:t xml:space="preserve"> </w:t>
      </w:r>
      <w:r>
        <w:rPr>
          <w:w w:val="110"/>
          <w:sz w:val="20"/>
          <w:szCs w:val="20"/>
          <w:lang w:val="uk-UA"/>
        </w:rPr>
        <w:t>культуральних методів</w:t>
      </w:r>
      <w:r w:rsidRPr="006B6651">
        <w:rPr>
          <w:w w:val="110"/>
          <w:sz w:val="20"/>
          <w:szCs w:val="20"/>
          <w:lang w:val="ru-RU"/>
        </w:rPr>
        <w:t xml:space="preserve"> </w:t>
      </w:r>
      <w:proofErr w:type="spellStart"/>
      <w:r w:rsidRPr="006B6651">
        <w:rPr>
          <w:w w:val="110"/>
          <w:sz w:val="20"/>
          <w:szCs w:val="20"/>
          <w:lang w:val="ru-RU"/>
        </w:rPr>
        <w:t>відіграють</w:t>
      </w:r>
      <w:proofErr w:type="spellEnd"/>
      <w:r w:rsidRPr="006B6651">
        <w:rPr>
          <w:w w:val="110"/>
          <w:sz w:val="20"/>
          <w:szCs w:val="20"/>
          <w:lang w:val="ru-RU"/>
        </w:rPr>
        <w:t xml:space="preserve"> критично </w:t>
      </w:r>
      <w:proofErr w:type="spellStart"/>
      <w:r w:rsidRPr="006B6651">
        <w:rPr>
          <w:w w:val="110"/>
          <w:sz w:val="20"/>
          <w:szCs w:val="20"/>
          <w:lang w:val="ru-RU"/>
        </w:rPr>
        <w:t>важливу</w:t>
      </w:r>
      <w:proofErr w:type="spellEnd"/>
      <w:r w:rsidRPr="006B6651">
        <w:rPr>
          <w:w w:val="110"/>
          <w:sz w:val="20"/>
          <w:szCs w:val="20"/>
          <w:lang w:val="ru-RU"/>
        </w:rPr>
        <w:t xml:space="preserve"> роль у </w:t>
      </w:r>
      <w:proofErr w:type="spellStart"/>
      <w:r w:rsidRPr="006B6651">
        <w:rPr>
          <w:w w:val="110"/>
          <w:sz w:val="20"/>
          <w:szCs w:val="20"/>
          <w:lang w:val="ru-RU"/>
        </w:rPr>
        <w:t>моніторингу</w:t>
      </w:r>
      <w:proofErr w:type="spellEnd"/>
      <w:r w:rsidRPr="006B6651">
        <w:rPr>
          <w:w w:val="110"/>
          <w:sz w:val="20"/>
          <w:szCs w:val="20"/>
          <w:lang w:val="ru-RU"/>
        </w:rPr>
        <w:t xml:space="preserve"> </w:t>
      </w:r>
      <w:proofErr w:type="spellStart"/>
      <w:r w:rsidRPr="006B6651">
        <w:rPr>
          <w:w w:val="110"/>
          <w:sz w:val="20"/>
          <w:szCs w:val="20"/>
          <w:lang w:val="ru-RU"/>
        </w:rPr>
        <w:t>відповіді</w:t>
      </w:r>
      <w:proofErr w:type="spellEnd"/>
      <w:r w:rsidRPr="006B6651">
        <w:rPr>
          <w:w w:val="110"/>
          <w:sz w:val="20"/>
          <w:szCs w:val="20"/>
          <w:lang w:val="ru-RU"/>
        </w:rPr>
        <w:t xml:space="preserve"> </w:t>
      </w:r>
      <w:proofErr w:type="spellStart"/>
      <w:r w:rsidRPr="006B6651">
        <w:rPr>
          <w:w w:val="110"/>
          <w:sz w:val="20"/>
          <w:szCs w:val="20"/>
          <w:lang w:val="ru-RU"/>
        </w:rPr>
        <w:t>пацієнтів</w:t>
      </w:r>
      <w:proofErr w:type="spellEnd"/>
      <w:r w:rsidRPr="006B6651">
        <w:rPr>
          <w:w w:val="110"/>
          <w:sz w:val="20"/>
          <w:szCs w:val="20"/>
          <w:lang w:val="ru-RU"/>
        </w:rPr>
        <w:t xml:space="preserve"> на лікування та у </w:t>
      </w:r>
      <w:proofErr w:type="spellStart"/>
      <w:r w:rsidRPr="006B6651">
        <w:rPr>
          <w:w w:val="110"/>
          <w:sz w:val="20"/>
          <w:szCs w:val="20"/>
          <w:lang w:val="ru-RU"/>
        </w:rPr>
        <w:t>виявленні</w:t>
      </w:r>
      <w:proofErr w:type="spellEnd"/>
      <w:r w:rsidRPr="006B6651">
        <w:rPr>
          <w:w w:val="110"/>
          <w:sz w:val="20"/>
          <w:szCs w:val="20"/>
          <w:lang w:val="ru-RU"/>
        </w:rPr>
        <w:t xml:space="preserve"> </w:t>
      </w:r>
      <w:proofErr w:type="spellStart"/>
      <w:r w:rsidRPr="006B6651">
        <w:rPr>
          <w:w w:val="110"/>
          <w:sz w:val="20"/>
          <w:szCs w:val="20"/>
          <w:lang w:val="ru-RU"/>
        </w:rPr>
        <w:t>додаткової</w:t>
      </w:r>
      <w:proofErr w:type="spellEnd"/>
      <w:r w:rsidRPr="006B6651">
        <w:rPr>
          <w:w w:val="110"/>
          <w:sz w:val="20"/>
          <w:szCs w:val="20"/>
          <w:lang w:val="ru-RU"/>
        </w:rPr>
        <w:t xml:space="preserve"> </w:t>
      </w:r>
      <w:r w:rsidRPr="003C17C3">
        <w:rPr>
          <w:w w:val="110"/>
          <w:sz w:val="20"/>
          <w:szCs w:val="20"/>
          <w:lang w:val="uk-UA"/>
        </w:rPr>
        <w:t>стійкості</w:t>
      </w:r>
      <w:r w:rsidRPr="006B6651">
        <w:rPr>
          <w:w w:val="110"/>
          <w:sz w:val="20"/>
          <w:szCs w:val="20"/>
          <w:lang w:val="ru-RU"/>
        </w:rPr>
        <w:t xml:space="preserve"> до </w:t>
      </w:r>
      <w:proofErr w:type="spellStart"/>
      <w:r w:rsidRPr="006B6651">
        <w:rPr>
          <w:w w:val="110"/>
          <w:sz w:val="20"/>
          <w:szCs w:val="20"/>
          <w:lang w:val="ru-RU"/>
        </w:rPr>
        <w:t>препаратів</w:t>
      </w:r>
      <w:proofErr w:type="spellEnd"/>
      <w:r w:rsidRPr="006B6651">
        <w:rPr>
          <w:w w:val="110"/>
          <w:sz w:val="20"/>
          <w:szCs w:val="20"/>
          <w:lang w:val="ru-RU"/>
        </w:rPr>
        <w:t xml:space="preserve"> другого ряду.</w:t>
      </w:r>
    </w:p>
    <w:p w14:paraId="4F3A8F08" w14:textId="77777777" w:rsidR="00DE2E3D" w:rsidRPr="006B6651" w:rsidRDefault="00DE2E3D" w:rsidP="004A2937">
      <w:pPr>
        <w:pStyle w:val="a4"/>
        <w:numPr>
          <w:ilvl w:val="0"/>
          <w:numId w:val="42"/>
        </w:numPr>
        <w:tabs>
          <w:tab w:val="left" w:pos="1701"/>
        </w:tabs>
        <w:spacing w:before="118" w:line="276" w:lineRule="auto"/>
        <w:ind w:right="936"/>
        <w:rPr>
          <w:sz w:val="20"/>
          <w:szCs w:val="20"/>
          <w:lang w:val="ru-RU"/>
        </w:rPr>
      </w:pPr>
      <w:proofErr w:type="spellStart"/>
      <w:r w:rsidRPr="006B6651">
        <w:rPr>
          <w:w w:val="110"/>
          <w:sz w:val="20"/>
          <w:szCs w:val="20"/>
          <w:lang w:val="ru-RU"/>
        </w:rPr>
        <w:t>Впровадження</w:t>
      </w:r>
      <w:proofErr w:type="spellEnd"/>
      <w:r w:rsidRPr="006B6651">
        <w:rPr>
          <w:w w:val="110"/>
          <w:sz w:val="20"/>
          <w:szCs w:val="20"/>
          <w:lang w:val="ru-RU"/>
        </w:rPr>
        <w:t xml:space="preserve"> </w:t>
      </w:r>
      <w:r w:rsidRPr="003C17C3">
        <w:rPr>
          <w:w w:val="110"/>
          <w:sz w:val="20"/>
          <w:szCs w:val="20"/>
        </w:rPr>
        <w:t>LPA</w:t>
      </w:r>
      <w:r w:rsidRPr="006B6651">
        <w:rPr>
          <w:w w:val="110"/>
          <w:sz w:val="20"/>
          <w:szCs w:val="20"/>
          <w:lang w:val="ru-RU"/>
        </w:rPr>
        <w:t xml:space="preserve"> </w:t>
      </w:r>
      <w:proofErr w:type="spellStart"/>
      <w:r w:rsidRPr="006B6651">
        <w:rPr>
          <w:w w:val="110"/>
          <w:sz w:val="20"/>
          <w:szCs w:val="20"/>
          <w:lang w:val="ru-RU"/>
        </w:rPr>
        <w:t>має</w:t>
      </w:r>
      <w:proofErr w:type="spellEnd"/>
      <w:r w:rsidRPr="006B6651">
        <w:rPr>
          <w:w w:val="110"/>
          <w:sz w:val="20"/>
          <w:szCs w:val="20"/>
          <w:lang w:val="ru-RU"/>
        </w:rPr>
        <w:t xml:space="preserve"> </w:t>
      </w:r>
      <w:proofErr w:type="spellStart"/>
      <w:r w:rsidRPr="006B6651">
        <w:rPr>
          <w:w w:val="110"/>
          <w:sz w:val="20"/>
          <w:szCs w:val="20"/>
          <w:lang w:val="ru-RU"/>
        </w:rPr>
        <w:t>відбуватися</w:t>
      </w:r>
      <w:proofErr w:type="spellEnd"/>
      <w:r w:rsidRPr="006B6651">
        <w:rPr>
          <w:w w:val="110"/>
          <w:sz w:val="20"/>
          <w:szCs w:val="20"/>
          <w:lang w:val="ru-RU"/>
        </w:rPr>
        <w:t xml:space="preserve"> </w:t>
      </w:r>
      <w:proofErr w:type="spellStart"/>
      <w:r w:rsidRPr="006B6651">
        <w:rPr>
          <w:w w:val="110"/>
          <w:sz w:val="20"/>
          <w:szCs w:val="20"/>
          <w:lang w:val="ru-RU"/>
        </w:rPr>
        <w:t>поетапно</w:t>
      </w:r>
      <w:proofErr w:type="spellEnd"/>
      <w:r w:rsidRPr="006B6651">
        <w:rPr>
          <w:w w:val="110"/>
          <w:sz w:val="20"/>
          <w:szCs w:val="20"/>
          <w:lang w:val="ru-RU"/>
        </w:rPr>
        <w:t xml:space="preserve">, </w:t>
      </w:r>
      <w:proofErr w:type="spellStart"/>
      <w:r w:rsidRPr="006B6651">
        <w:rPr>
          <w:w w:val="110"/>
          <w:sz w:val="20"/>
          <w:szCs w:val="20"/>
          <w:lang w:val="ru-RU"/>
        </w:rPr>
        <w:t>починаючи</w:t>
      </w:r>
      <w:proofErr w:type="spellEnd"/>
      <w:r w:rsidRPr="006B6651">
        <w:rPr>
          <w:w w:val="110"/>
          <w:sz w:val="20"/>
          <w:szCs w:val="20"/>
          <w:lang w:val="ru-RU"/>
        </w:rPr>
        <w:t xml:space="preserve"> з </w:t>
      </w:r>
      <w:proofErr w:type="spellStart"/>
      <w:r w:rsidRPr="006B6651">
        <w:rPr>
          <w:w w:val="110"/>
          <w:sz w:val="20"/>
          <w:szCs w:val="20"/>
          <w:lang w:val="ru-RU"/>
        </w:rPr>
        <w:t>національних</w:t>
      </w:r>
      <w:proofErr w:type="spellEnd"/>
      <w:r w:rsidRPr="006B6651">
        <w:rPr>
          <w:w w:val="110"/>
          <w:sz w:val="20"/>
          <w:szCs w:val="20"/>
          <w:lang w:val="ru-RU"/>
        </w:rPr>
        <w:t xml:space="preserve"> або </w:t>
      </w:r>
      <w:proofErr w:type="spellStart"/>
      <w:r w:rsidRPr="006B6651">
        <w:rPr>
          <w:w w:val="110"/>
          <w:sz w:val="20"/>
          <w:szCs w:val="20"/>
          <w:lang w:val="ru-RU"/>
        </w:rPr>
        <w:t>центральних</w:t>
      </w:r>
      <w:proofErr w:type="spellEnd"/>
      <w:r w:rsidRPr="006B6651">
        <w:rPr>
          <w:w w:val="110"/>
          <w:sz w:val="20"/>
          <w:szCs w:val="20"/>
          <w:lang w:val="ru-RU"/>
        </w:rPr>
        <w:t xml:space="preserve"> референс-</w:t>
      </w:r>
      <w:proofErr w:type="spellStart"/>
      <w:r w:rsidRPr="006B6651">
        <w:rPr>
          <w:w w:val="110"/>
          <w:sz w:val="20"/>
          <w:szCs w:val="20"/>
          <w:lang w:val="ru-RU"/>
        </w:rPr>
        <w:t>лабораторій</w:t>
      </w:r>
      <w:proofErr w:type="spellEnd"/>
      <w:r w:rsidRPr="006B6651">
        <w:rPr>
          <w:w w:val="110"/>
          <w:sz w:val="20"/>
          <w:szCs w:val="20"/>
          <w:lang w:val="ru-RU"/>
        </w:rPr>
        <w:t xml:space="preserve">, або тих, </w:t>
      </w:r>
      <w:proofErr w:type="spellStart"/>
      <w:r w:rsidRPr="006B6651">
        <w:rPr>
          <w:w w:val="110"/>
          <w:sz w:val="20"/>
          <w:szCs w:val="20"/>
          <w:lang w:val="ru-RU"/>
        </w:rPr>
        <w:t>що</w:t>
      </w:r>
      <w:proofErr w:type="spellEnd"/>
      <w:r w:rsidRPr="006B6651">
        <w:rPr>
          <w:w w:val="110"/>
          <w:sz w:val="20"/>
          <w:szCs w:val="20"/>
          <w:lang w:val="ru-RU"/>
        </w:rPr>
        <w:t xml:space="preserve"> </w:t>
      </w:r>
      <w:proofErr w:type="spellStart"/>
      <w:r w:rsidRPr="006B6651">
        <w:rPr>
          <w:w w:val="110"/>
          <w:sz w:val="20"/>
          <w:szCs w:val="20"/>
          <w:lang w:val="ru-RU"/>
        </w:rPr>
        <w:t>мають</w:t>
      </w:r>
      <w:proofErr w:type="spellEnd"/>
      <w:r w:rsidRPr="006B6651">
        <w:rPr>
          <w:w w:val="110"/>
          <w:sz w:val="20"/>
          <w:szCs w:val="20"/>
          <w:lang w:val="ru-RU"/>
        </w:rPr>
        <w:t xml:space="preserve"> </w:t>
      </w:r>
      <w:proofErr w:type="spellStart"/>
      <w:r w:rsidRPr="006B6651">
        <w:rPr>
          <w:w w:val="110"/>
          <w:sz w:val="20"/>
          <w:szCs w:val="20"/>
          <w:lang w:val="ru-RU"/>
        </w:rPr>
        <w:t>підтверджен</w:t>
      </w:r>
      <w:proofErr w:type="spellEnd"/>
      <w:r w:rsidRPr="003C17C3">
        <w:rPr>
          <w:w w:val="110"/>
          <w:sz w:val="20"/>
          <w:szCs w:val="20"/>
          <w:lang w:val="uk-UA"/>
        </w:rPr>
        <w:t>і</w:t>
      </w:r>
      <w:r w:rsidRPr="006B6651">
        <w:rPr>
          <w:w w:val="110"/>
          <w:sz w:val="20"/>
          <w:szCs w:val="20"/>
          <w:lang w:val="ru-RU"/>
        </w:rPr>
        <w:t xml:space="preserve"> </w:t>
      </w:r>
      <w:r w:rsidRPr="003C17C3">
        <w:rPr>
          <w:w w:val="110"/>
          <w:sz w:val="20"/>
          <w:szCs w:val="20"/>
          <w:lang w:val="uk-UA"/>
        </w:rPr>
        <w:t>потужності для</w:t>
      </w:r>
      <w:r w:rsidRPr="006B6651">
        <w:rPr>
          <w:w w:val="110"/>
          <w:sz w:val="20"/>
          <w:szCs w:val="20"/>
          <w:lang w:val="ru-RU"/>
        </w:rPr>
        <w:t xml:space="preserve"> </w:t>
      </w:r>
      <w:proofErr w:type="spellStart"/>
      <w:r w:rsidRPr="006B6651">
        <w:rPr>
          <w:w w:val="110"/>
          <w:sz w:val="20"/>
          <w:szCs w:val="20"/>
          <w:lang w:val="ru-RU"/>
        </w:rPr>
        <w:t>пров</w:t>
      </w:r>
      <w:r w:rsidRPr="003C17C3">
        <w:rPr>
          <w:w w:val="110"/>
          <w:sz w:val="20"/>
          <w:szCs w:val="20"/>
          <w:lang w:val="uk-UA"/>
        </w:rPr>
        <w:t>едення</w:t>
      </w:r>
      <w:proofErr w:type="spellEnd"/>
      <w:r w:rsidRPr="006B6651">
        <w:rPr>
          <w:w w:val="110"/>
          <w:sz w:val="20"/>
          <w:szCs w:val="20"/>
          <w:lang w:val="ru-RU"/>
        </w:rPr>
        <w:t xml:space="preserve"> </w:t>
      </w:r>
      <w:proofErr w:type="spellStart"/>
      <w:r w:rsidRPr="006B6651">
        <w:rPr>
          <w:w w:val="110"/>
          <w:sz w:val="20"/>
          <w:szCs w:val="20"/>
          <w:lang w:val="ru-RU"/>
        </w:rPr>
        <w:t>молекулярн</w:t>
      </w:r>
      <w:proofErr w:type="spellEnd"/>
      <w:r w:rsidRPr="003C17C3">
        <w:rPr>
          <w:w w:val="110"/>
          <w:sz w:val="20"/>
          <w:szCs w:val="20"/>
          <w:lang w:val="uk-UA"/>
        </w:rPr>
        <w:t>их</w:t>
      </w:r>
      <w:r w:rsidRPr="006B6651">
        <w:rPr>
          <w:w w:val="110"/>
          <w:sz w:val="20"/>
          <w:szCs w:val="20"/>
          <w:lang w:val="ru-RU"/>
        </w:rPr>
        <w:t xml:space="preserve"> </w:t>
      </w:r>
      <w:proofErr w:type="spellStart"/>
      <w:r w:rsidRPr="006B6651">
        <w:rPr>
          <w:w w:val="110"/>
          <w:sz w:val="20"/>
          <w:szCs w:val="20"/>
          <w:lang w:val="ru-RU"/>
        </w:rPr>
        <w:t>досліджен</w:t>
      </w:r>
      <w:proofErr w:type="spellEnd"/>
      <w:r w:rsidRPr="003C17C3">
        <w:rPr>
          <w:w w:val="110"/>
          <w:sz w:val="20"/>
          <w:szCs w:val="20"/>
          <w:lang w:val="uk-UA"/>
        </w:rPr>
        <w:t>ь</w:t>
      </w:r>
      <w:r w:rsidRPr="006B6651">
        <w:rPr>
          <w:w w:val="110"/>
          <w:sz w:val="20"/>
          <w:szCs w:val="20"/>
          <w:lang w:val="ru-RU"/>
        </w:rPr>
        <w:t xml:space="preserve">. </w:t>
      </w:r>
      <w:proofErr w:type="spellStart"/>
      <w:r w:rsidRPr="006B6651">
        <w:rPr>
          <w:w w:val="110"/>
          <w:sz w:val="20"/>
          <w:szCs w:val="20"/>
          <w:lang w:val="ru-RU"/>
        </w:rPr>
        <w:t>Можливість</w:t>
      </w:r>
      <w:proofErr w:type="spellEnd"/>
      <w:r w:rsidRPr="006B6651">
        <w:rPr>
          <w:w w:val="110"/>
          <w:sz w:val="20"/>
          <w:szCs w:val="20"/>
          <w:lang w:val="ru-RU"/>
        </w:rPr>
        <w:t xml:space="preserve"> </w:t>
      </w:r>
      <w:proofErr w:type="spellStart"/>
      <w:r w:rsidRPr="006B6651">
        <w:rPr>
          <w:w w:val="110"/>
          <w:sz w:val="20"/>
          <w:szCs w:val="20"/>
          <w:lang w:val="ru-RU"/>
        </w:rPr>
        <w:t>розширення</w:t>
      </w:r>
      <w:proofErr w:type="spellEnd"/>
      <w:r w:rsidRPr="006B6651">
        <w:rPr>
          <w:w w:val="110"/>
          <w:sz w:val="20"/>
          <w:szCs w:val="20"/>
          <w:lang w:val="ru-RU"/>
        </w:rPr>
        <w:t xml:space="preserve"> </w:t>
      </w:r>
      <w:proofErr w:type="spellStart"/>
      <w:r w:rsidRPr="006B6651">
        <w:rPr>
          <w:w w:val="110"/>
          <w:sz w:val="20"/>
          <w:szCs w:val="20"/>
          <w:lang w:val="ru-RU"/>
        </w:rPr>
        <w:t>слід</w:t>
      </w:r>
      <w:proofErr w:type="spellEnd"/>
      <w:r w:rsidRPr="006B6651">
        <w:rPr>
          <w:w w:val="110"/>
          <w:sz w:val="20"/>
          <w:szCs w:val="20"/>
          <w:lang w:val="ru-RU"/>
        </w:rPr>
        <w:t xml:space="preserve"> </w:t>
      </w:r>
      <w:proofErr w:type="spellStart"/>
      <w:r w:rsidRPr="006B6651">
        <w:rPr>
          <w:w w:val="110"/>
          <w:sz w:val="20"/>
          <w:szCs w:val="20"/>
          <w:lang w:val="ru-RU"/>
        </w:rPr>
        <w:t>розглядати</w:t>
      </w:r>
      <w:proofErr w:type="spellEnd"/>
      <w:r w:rsidRPr="006B6651">
        <w:rPr>
          <w:w w:val="110"/>
          <w:sz w:val="20"/>
          <w:szCs w:val="20"/>
          <w:lang w:val="ru-RU"/>
        </w:rPr>
        <w:t xml:space="preserve"> в </w:t>
      </w:r>
      <w:proofErr w:type="spellStart"/>
      <w:r w:rsidRPr="006B6651">
        <w:rPr>
          <w:w w:val="110"/>
          <w:sz w:val="20"/>
          <w:szCs w:val="20"/>
          <w:lang w:val="ru-RU"/>
        </w:rPr>
        <w:t>контексті</w:t>
      </w:r>
      <w:proofErr w:type="spellEnd"/>
      <w:r w:rsidRPr="006B6651">
        <w:rPr>
          <w:w w:val="110"/>
          <w:sz w:val="20"/>
          <w:szCs w:val="20"/>
          <w:lang w:val="ru-RU"/>
        </w:rPr>
        <w:t xml:space="preserve"> </w:t>
      </w:r>
      <w:proofErr w:type="spellStart"/>
      <w:r w:rsidRPr="006B6651">
        <w:rPr>
          <w:w w:val="110"/>
          <w:sz w:val="20"/>
          <w:szCs w:val="20"/>
          <w:lang w:val="ru-RU"/>
        </w:rPr>
        <w:t>планів</w:t>
      </w:r>
      <w:proofErr w:type="spellEnd"/>
      <w:r w:rsidRPr="006B6651">
        <w:rPr>
          <w:w w:val="110"/>
          <w:sz w:val="20"/>
          <w:szCs w:val="20"/>
          <w:lang w:val="ru-RU"/>
        </w:rPr>
        <w:t xml:space="preserve"> </w:t>
      </w:r>
      <w:proofErr w:type="spellStart"/>
      <w:r w:rsidRPr="006B6651">
        <w:rPr>
          <w:w w:val="110"/>
          <w:sz w:val="20"/>
          <w:szCs w:val="20"/>
          <w:lang w:val="ru-RU"/>
        </w:rPr>
        <w:t>країни</w:t>
      </w:r>
      <w:proofErr w:type="spellEnd"/>
      <w:r w:rsidRPr="006B6651">
        <w:rPr>
          <w:w w:val="110"/>
          <w:sz w:val="20"/>
          <w:szCs w:val="20"/>
          <w:lang w:val="ru-RU"/>
        </w:rPr>
        <w:t xml:space="preserve"> щодо </w:t>
      </w:r>
      <w:proofErr w:type="spellStart"/>
      <w:r w:rsidRPr="006B6651">
        <w:rPr>
          <w:w w:val="110"/>
          <w:sz w:val="20"/>
          <w:szCs w:val="20"/>
          <w:lang w:val="ru-RU"/>
        </w:rPr>
        <w:t>зміцнення</w:t>
      </w:r>
      <w:proofErr w:type="spellEnd"/>
      <w:r w:rsidRPr="006B6651">
        <w:rPr>
          <w:w w:val="110"/>
          <w:sz w:val="20"/>
          <w:szCs w:val="20"/>
          <w:lang w:val="ru-RU"/>
        </w:rPr>
        <w:t xml:space="preserve"> </w:t>
      </w:r>
      <w:proofErr w:type="spellStart"/>
      <w:r w:rsidRPr="006B6651">
        <w:rPr>
          <w:w w:val="110"/>
          <w:sz w:val="20"/>
          <w:szCs w:val="20"/>
          <w:lang w:val="ru-RU"/>
        </w:rPr>
        <w:t>лабораторної</w:t>
      </w:r>
      <w:proofErr w:type="spellEnd"/>
      <w:r w:rsidRPr="006B6651">
        <w:rPr>
          <w:w w:val="110"/>
          <w:sz w:val="20"/>
          <w:szCs w:val="20"/>
          <w:lang w:val="ru-RU"/>
        </w:rPr>
        <w:t xml:space="preserve"> </w:t>
      </w:r>
      <w:proofErr w:type="spellStart"/>
      <w:r w:rsidRPr="006B6651">
        <w:rPr>
          <w:w w:val="110"/>
          <w:sz w:val="20"/>
          <w:szCs w:val="20"/>
          <w:lang w:val="ru-RU"/>
        </w:rPr>
        <w:t>мережі</w:t>
      </w:r>
      <w:proofErr w:type="spellEnd"/>
      <w:r w:rsidRPr="006B6651">
        <w:rPr>
          <w:w w:val="110"/>
          <w:sz w:val="20"/>
          <w:szCs w:val="20"/>
          <w:lang w:val="ru-RU"/>
        </w:rPr>
        <w:t xml:space="preserve">, </w:t>
      </w:r>
      <w:proofErr w:type="spellStart"/>
      <w:r w:rsidRPr="006B6651">
        <w:rPr>
          <w:w w:val="110"/>
          <w:sz w:val="20"/>
          <w:szCs w:val="20"/>
          <w:lang w:val="ru-RU"/>
        </w:rPr>
        <w:t>наявності</w:t>
      </w:r>
      <w:proofErr w:type="spellEnd"/>
      <w:r w:rsidRPr="006B6651">
        <w:rPr>
          <w:w w:val="110"/>
          <w:sz w:val="20"/>
          <w:szCs w:val="20"/>
          <w:lang w:val="ru-RU"/>
        </w:rPr>
        <w:t xml:space="preserve"> </w:t>
      </w:r>
      <w:proofErr w:type="spellStart"/>
      <w:r w:rsidRPr="006B6651">
        <w:rPr>
          <w:w w:val="110"/>
          <w:sz w:val="20"/>
          <w:szCs w:val="20"/>
          <w:lang w:val="ru-RU"/>
        </w:rPr>
        <w:t>відповідного</w:t>
      </w:r>
      <w:proofErr w:type="spellEnd"/>
      <w:r w:rsidRPr="006B6651">
        <w:rPr>
          <w:w w:val="110"/>
          <w:sz w:val="20"/>
          <w:szCs w:val="20"/>
          <w:lang w:val="ru-RU"/>
        </w:rPr>
        <w:t xml:space="preserve"> персоналу в</w:t>
      </w:r>
      <w:r w:rsidRPr="002D3F72">
        <w:rPr>
          <w:w w:val="110"/>
          <w:sz w:val="20"/>
          <w:szCs w:val="20"/>
          <w:lang w:val="uk-UA"/>
        </w:rPr>
        <w:t xml:space="preserve"> периферійних</w:t>
      </w:r>
      <w:r w:rsidRPr="006B6651">
        <w:rPr>
          <w:w w:val="110"/>
          <w:sz w:val="20"/>
          <w:szCs w:val="20"/>
          <w:lang w:val="ru-RU"/>
        </w:rPr>
        <w:t xml:space="preserve"> центрах та </w:t>
      </w:r>
      <w:proofErr w:type="spellStart"/>
      <w:r w:rsidRPr="006B6651">
        <w:rPr>
          <w:w w:val="110"/>
          <w:sz w:val="20"/>
          <w:szCs w:val="20"/>
          <w:lang w:val="ru-RU"/>
        </w:rPr>
        <w:t>якості</w:t>
      </w:r>
      <w:proofErr w:type="spellEnd"/>
      <w:r w:rsidRPr="006B6651">
        <w:rPr>
          <w:w w:val="110"/>
          <w:sz w:val="20"/>
          <w:szCs w:val="20"/>
          <w:lang w:val="ru-RU"/>
        </w:rPr>
        <w:t xml:space="preserve"> систем транспортування </w:t>
      </w:r>
      <w:proofErr w:type="spellStart"/>
      <w:r w:rsidRPr="006B6651">
        <w:rPr>
          <w:w w:val="110"/>
          <w:sz w:val="20"/>
          <w:szCs w:val="20"/>
          <w:lang w:val="ru-RU"/>
        </w:rPr>
        <w:t>зразків</w:t>
      </w:r>
      <w:proofErr w:type="spellEnd"/>
      <w:r w:rsidRPr="006B6651">
        <w:rPr>
          <w:w w:val="110"/>
          <w:sz w:val="20"/>
          <w:szCs w:val="20"/>
          <w:lang w:val="ru-RU"/>
        </w:rPr>
        <w:t>.</w:t>
      </w:r>
    </w:p>
    <w:p w14:paraId="63189486" w14:textId="77777777" w:rsidR="00DE2E3D" w:rsidRDefault="00DE2E3D" w:rsidP="004A2937">
      <w:pPr>
        <w:pStyle w:val="a4"/>
        <w:numPr>
          <w:ilvl w:val="0"/>
          <w:numId w:val="42"/>
        </w:numPr>
        <w:tabs>
          <w:tab w:val="left" w:pos="1701"/>
        </w:tabs>
        <w:spacing w:before="5" w:line="276" w:lineRule="auto"/>
        <w:ind w:right="933"/>
        <w:rPr>
          <w:sz w:val="20"/>
          <w:szCs w:val="20"/>
          <w:lang w:val="ru-RU"/>
        </w:rPr>
      </w:pPr>
      <w:proofErr w:type="spellStart"/>
      <w:r w:rsidRPr="006B6651">
        <w:rPr>
          <w:sz w:val="20"/>
          <w:szCs w:val="20"/>
          <w:lang w:val="ru-RU"/>
        </w:rPr>
        <w:t>Необхідно</w:t>
      </w:r>
      <w:proofErr w:type="spellEnd"/>
      <w:r w:rsidRPr="006B6651">
        <w:rPr>
          <w:sz w:val="20"/>
          <w:szCs w:val="20"/>
          <w:lang w:val="ru-RU"/>
        </w:rPr>
        <w:t xml:space="preserve"> </w:t>
      </w:r>
      <w:proofErr w:type="spellStart"/>
      <w:r w:rsidRPr="006B6651">
        <w:rPr>
          <w:sz w:val="20"/>
          <w:szCs w:val="20"/>
          <w:lang w:val="ru-RU"/>
        </w:rPr>
        <w:t>забезпечити</w:t>
      </w:r>
      <w:proofErr w:type="spellEnd"/>
      <w:r w:rsidRPr="006B6651">
        <w:rPr>
          <w:sz w:val="20"/>
          <w:szCs w:val="20"/>
          <w:lang w:val="ru-RU"/>
        </w:rPr>
        <w:t xml:space="preserve"> </w:t>
      </w:r>
      <w:proofErr w:type="spellStart"/>
      <w:r w:rsidRPr="006B6651">
        <w:rPr>
          <w:sz w:val="20"/>
          <w:szCs w:val="20"/>
          <w:lang w:val="ru-RU"/>
        </w:rPr>
        <w:t>належну</w:t>
      </w:r>
      <w:proofErr w:type="spellEnd"/>
      <w:r w:rsidRPr="006B6651">
        <w:rPr>
          <w:sz w:val="20"/>
          <w:szCs w:val="20"/>
          <w:lang w:val="ru-RU"/>
        </w:rPr>
        <w:t xml:space="preserve"> та </w:t>
      </w:r>
      <w:proofErr w:type="spellStart"/>
      <w:r w:rsidRPr="006B6651">
        <w:rPr>
          <w:sz w:val="20"/>
          <w:szCs w:val="20"/>
          <w:lang w:val="ru-RU"/>
        </w:rPr>
        <w:t>відповідну</w:t>
      </w:r>
      <w:proofErr w:type="spellEnd"/>
      <w:r w:rsidRPr="006B6651">
        <w:rPr>
          <w:sz w:val="20"/>
          <w:szCs w:val="20"/>
          <w:lang w:val="ru-RU"/>
        </w:rPr>
        <w:t xml:space="preserve"> </w:t>
      </w:r>
      <w:proofErr w:type="spellStart"/>
      <w:r w:rsidRPr="006B6651">
        <w:rPr>
          <w:sz w:val="20"/>
          <w:szCs w:val="20"/>
          <w:lang w:val="ru-RU"/>
        </w:rPr>
        <w:t>лабораторну</w:t>
      </w:r>
      <w:proofErr w:type="spellEnd"/>
      <w:r w:rsidRPr="006B6651">
        <w:rPr>
          <w:sz w:val="20"/>
          <w:szCs w:val="20"/>
          <w:lang w:val="ru-RU"/>
        </w:rPr>
        <w:t xml:space="preserve"> </w:t>
      </w:r>
      <w:proofErr w:type="spellStart"/>
      <w:r w:rsidRPr="006B6651">
        <w:rPr>
          <w:sz w:val="20"/>
          <w:szCs w:val="20"/>
          <w:lang w:val="ru-RU"/>
        </w:rPr>
        <w:t>інфраструктуру</w:t>
      </w:r>
      <w:proofErr w:type="spellEnd"/>
      <w:r w:rsidRPr="006B6651">
        <w:rPr>
          <w:sz w:val="20"/>
          <w:szCs w:val="20"/>
          <w:lang w:val="ru-RU"/>
        </w:rPr>
        <w:t xml:space="preserve"> та </w:t>
      </w:r>
      <w:proofErr w:type="spellStart"/>
      <w:r w:rsidRPr="006B6651">
        <w:rPr>
          <w:sz w:val="20"/>
          <w:szCs w:val="20"/>
          <w:lang w:val="ru-RU"/>
        </w:rPr>
        <w:t>обладнання</w:t>
      </w:r>
      <w:proofErr w:type="spellEnd"/>
      <w:r w:rsidRPr="006B6651">
        <w:rPr>
          <w:sz w:val="20"/>
          <w:szCs w:val="20"/>
          <w:lang w:val="ru-RU"/>
        </w:rPr>
        <w:t xml:space="preserve"> для </w:t>
      </w:r>
      <w:proofErr w:type="spellStart"/>
      <w:r w:rsidRPr="006B6651">
        <w:rPr>
          <w:sz w:val="20"/>
          <w:szCs w:val="20"/>
          <w:lang w:val="ru-RU"/>
        </w:rPr>
        <w:t>дотримання</w:t>
      </w:r>
      <w:proofErr w:type="spellEnd"/>
      <w:r w:rsidRPr="006B6651">
        <w:rPr>
          <w:sz w:val="20"/>
          <w:szCs w:val="20"/>
          <w:lang w:val="ru-RU"/>
        </w:rPr>
        <w:t xml:space="preserve"> </w:t>
      </w:r>
      <w:proofErr w:type="spellStart"/>
      <w:r w:rsidRPr="006B6651">
        <w:rPr>
          <w:sz w:val="20"/>
          <w:szCs w:val="20"/>
          <w:lang w:val="ru-RU"/>
        </w:rPr>
        <w:t>необхідних</w:t>
      </w:r>
      <w:proofErr w:type="spellEnd"/>
      <w:r w:rsidRPr="006B6651">
        <w:rPr>
          <w:sz w:val="20"/>
          <w:szCs w:val="20"/>
          <w:lang w:val="ru-RU"/>
        </w:rPr>
        <w:t xml:space="preserve"> </w:t>
      </w:r>
      <w:proofErr w:type="spellStart"/>
      <w:r w:rsidRPr="006B6651">
        <w:rPr>
          <w:sz w:val="20"/>
          <w:szCs w:val="20"/>
          <w:lang w:val="ru-RU"/>
        </w:rPr>
        <w:t>заходів</w:t>
      </w:r>
      <w:proofErr w:type="spellEnd"/>
      <w:r w:rsidRPr="006B6651">
        <w:rPr>
          <w:sz w:val="20"/>
          <w:szCs w:val="20"/>
          <w:lang w:val="ru-RU"/>
        </w:rPr>
        <w:t xml:space="preserve"> біобезпеки та </w:t>
      </w:r>
      <w:proofErr w:type="spellStart"/>
      <w:r w:rsidRPr="006B6651">
        <w:rPr>
          <w:sz w:val="20"/>
          <w:szCs w:val="20"/>
          <w:lang w:val="ru-RU"/>
        </w:rPr>
        <w:t>запобігання</w:t>
      </w:r>
      <w:proofErr w:type="spellEnd"/>
      <w:r w:rsidRPr="006B6651">
        <w:rPr>
          <w:sz w:val="20"/>
          <w:szCs w:val="20"/>
          <w:lang w:val="ru-RU"/>
        </w:rPr>
        <w:t xml:space="preserve"> </w:t>
      </w:r>
      <w:proofErr w:type="spellStart"/>
      <w:r w:rsidRPr="006B6651">
        <w:rPr>
          <w:sz w:val="20"/>
          <w:szCs w:val="20"/>
          <w:lang w:val="ru-RU"/>
        </w:rPr>
        <w:t>контамінації</w:t>
      </w:r>
      <w:proofErr w:type="spellEnd"/>
      <w:r w:rsidRPr="006B6651">
        <w:rPr>
          <w:sz w:val="20"/>
          <w:szCs w:val="20"/>
          <w:lang w:val="ru-RU"/>
        </w:rPr>
        <w:t xml:space="preserve"> – </w:t>
      </w:r>
      <w:proofErr w:type="spellStart"/>
      <w:r w:rsidRPr="006B6651">
        <w:rPr>
          <w:sz w:val="20"/>
          <w:szCs w:val="20"/>
          <w:lang w:val="ru-RU"/>
        </w:rPr>
        <w:t>обробка</w:t>
      </w:r>
      <w:proofErr w:type="spellEnd"/>
      <w:r w:rsidRPr="006B6651">
        <w:rPr>
          <w:sz w:val="20"/>
          <w:szCs w:val="20"/>
          <w:lang w:val="ru-RU"/>
        </w:rPr>
        <w:t xml:space="preserve"> </w:t>
      </w:r>
      <w:proofErr w:type="spellStart"/>
      <w:r w:rsidRPr="006B6651">
        <w:rPr>
          <w:sz w:val="20"/>
          <w:szCs w:val="20"/>
          <w:lang w:val="ru-RU"/>
        </w:rPr>
        <w:t>зразків</w:t>
      </w:r>
      <w:proofErr w:type="spellEnd"/>
      <w:r w:rsidRPr="006B6651">
        <w:rPr>
          <w:sz w:val="20"/>
          <w:szCs w:val="20"/>
          <w:lang w:val="ru-RU"/>
        </w:rPr>
        <w:t xml:space="preserve"> для культурального </w:t>
      </w:r>
      <w:proofErr w:type="spellStart"/>
      <w:r w:rsidRPr="006B6651">
        <w:rPr>
          <w:sz w:val="20"/>
          <w:szCs w:val="20"/>
          <w:lang w:val="ru-RU"/>
        </w:rPr>
        <w:t>дослідження</w:t>
      </w:r>
      <w:proofErr w:type="spellEnd"/>
      <w:r w:rsidRPr="006B6651">
        <w:rPr>
          <w:sz w:val="20"/>
          <w:szCs w:val="20"/>
          <w:lang w:val="ru-RU"/>
        </w:rPr>
        <w:t xml:space="preserve"> та </w:t>
      </w:r>
      <w:proofErr w:type="spellStart"/>
      <w:r w:rsidRPr="006B6651">
        <w:rPr>
          <w:sz w:val="20"/>
          <w:szCs w:val="20"/>
          <w:lang w:val="ru-RU"/>
        </w:rPr>
        <w:t>процедури</w:t>
      </w:r>
      <w:proofErr w:type="spellEnd"/>
      <w:r w:rsidRPr="006B6651">
        <w:rPr>
          <w:sz w:val="20"/>
          <w:szCs w:val="20"/>
          <w:lang w:val="ru-RU"/>
        </w:rPr>
        <w:t xml:space="preserve"> </w:t>
      </w:r>
      <w:proofErr w:type="spellStart"/>
      <w:r w:rsidRPr="006B6651">
        <w:rPr>
          <w:sz w:val="20"/>
          <w:szCs w:val="20"/>
          <w:lang w:val="ru-RU"/>
        </w:rPr>
        <w:t>роботи</w:t>
      </w:r>
      <w:proofErr w:type="spellEnd"/>
      <w:r w:rsidRPr="006B6651">
        <w:rPr>
          <w:sz w:val="20"/>
          <w:szCs w:val="20"/>
          <w:lang w:val="ru-RU"/>
        </w:rPr>
        <w:t xml:space="preserve"> з культурами </w:t>
      </w:r>
      <w:proofErr w:type="spellStart"/>
      <w:r w:rsidRPr="006B6651">
        <w:rPr>
          <w:sz w:val="20"/>
          <w:szCs w:val="20"/>
          <w:lang w:val="ru-RU"/>
        </w:rPr>
        <w:t>повинні</w:t>
      </w:r>
      <w:proofErr w:type="spellEnd"/>
      <w:r w:rsidRPr="006B6651">
        <w:rPr>
          <w:sz w:val="20"/>
          <w:szCs w:val="20"/>
          <w:lang w:val="ru-RU"/>
        </w:rPr>
        <w:t xml:space="preserve"> </w:t>
      </w:r>
      <w:proofErr w:type="spellStart"/>
      <w:r w:rsidRPr="006B6651">
        <w:rPr>
          <w:sz w:val="20"/>
          <w:szCs w:val="20"/>
          <w:lang w:val="ru-RU"/>
        </w:rPr>
        <w:t>виконуватися</w:t>
      </w:r>
      <w:proofErr w:type="spellEnd"/>
      <w:r w:rsidRPr="006B6651">
        <w:rPr>
          <w:sz w:val="20"/>
          <w:szCs w:val="20"/>
          <w:lang w:val="ru-RU"/>
        </w:rPr>
        <w:t xml:space="preserve"> в боксах </w:t>
      </w:r>
      <w:proofErr w:type="spellStart"/>
      <w:r w:rsidRPr="006B6651">
        <w:rPr>
          <w:sz w:val="20"/>
          <w:szCs w:val="20"/>
          <w:lang w:val="ru-RU"/>
        </w:rPr>
        <w:t>біологічної</w:t>
      </w:r>
      <w:proofErr w:type="spellEnd"/>
      <w:r w:rsidRPr="006B6651">
        <w:rPr>
          <w:sz w:val="20"/>
          <w:szCs w:val="20"/>
          <w:lang w:val="ru-RU"/>
        </w:rPr>
        <w:t xml:space="preserve"> </w:t>
      </w:r>
      <w:proofErr w:type="spellStart"/>
      <w:r w:rsidRPr="006B6651">
        <w:rPr>
          <w:sz w:val="20"/>
          <w:szCs w:val="20"/>
          <w:lang w:val="ru-RU"/>
        </w:rPr>
        <w:t>безпеки</w:t>
      </w:r>
      <w:proofErr w:type="spellEnd"/>
      <w:r w:rsidRPr="006B6651">
        <w:rPr>
          <w:sz w:val="20"/>
          <w:szCs w:val="20"/>
          <w:lang w:val="ru-RU"/>
        </w:rPr>
        <w:t xml:space="preserve"> в </w:t>
      </w:r>
      <w:proofErr w:type="spellStart"/>
      <w:r w:rsidRPr="006B6651">
        <w:rPr>
          <w:sz w:val="20"/>
          <w:szCs w:val="20"/>
          <w:lang w:val="ru-RU"/>
        </w:rPr>
        <w:t>лабораторіях</w:t>
      </w:r>
      <w:proofErr w:type="spellEnd"/>
      <w:r w:rsidRPr="006B6651">
        <w:rPr>
          <w:sz w:val="20"/>
          <w:szCs w:val="20"/>
          <w:lang w:val="ru-RU"/>
        </w:rPr>
        <w:t xml:space="preserve"> </w:t>
      </w:r>
      <w:proofErr w:type="spellStart"/>
      <w:r w:rsidRPr="006B6651">
        <w:rPr>
          <w:sz w:val="20"/>
          <w:szCs w:val="20"/>
          <w:lang w:val="ru-RU"/>
        </w:rPr>
        <w:t>відповідного</w:t>
      </w:r>
      <w:proofErr w:type="spellEnd"/>
      <w:r w:rsidRPr="006B6651">
        <w:rPr>
          <w:sz w:val="20"/>
          <w:szCs w:val="20"/>
          <w:lang w:val="ru-RU"/>
        </w:rPr>
        <w:t xml:space="preserve"> </w:t>
      </w:r>
      <w:proofErr w:type="spellStart"/>
      <w:r w:rsidRPr="006B6651">
        <w:rPr>
          <w:sz w:val="20"/>
          <w:szCs w:val="20"/>
          <w:lang w:val="ru-RU"/>
        </w:rPr>
        <w:t>рівня</w:t>
      </w:r>
      <w:proofErr w:type="spellEnd"/>
      <w:r w:rsidRPr="006B6651">
        <w:rPr>
          <w:sz w:val="20"/>
          <w:szCs w:val="20"/>
          <w:lang w:val="ru-RU"/>
        </w:rPr>
        <w:t xml:space="preserve"> </w:t>
      </w:r>
      <w:proofErr w:type="spellStart"/>
      <w:r w:rsidRPr="006B6651">
        <w:rPr>
          <w:sz w:val="20"/>
          <w:szCs w:val="20"/>
          <w:lang w:val="ru-RU"/>
        </w:rPr>
        <w:t>захисту</w:t>
      </w:r>
      <w:proofErr w:type="spellEnd"/>
      <w:r w:rsidRPr="006B6651">
        <w:rPr>
          <w:sz w:val="20"/>
          <w:szCs w:val="20"/>
          <w:lang w:val="ru-RU"/>
        </w:rPr>
        <w:t xml:space="preserve"> </w:t>
      </w:r>
      <w:r w:rsidRPr="003C17C3">
        <w:rPr>
          <w:sz w:val="20"/>
          <w:szCs w:val="20"/>
          <w:lang w:val="uk-UA"/>
        </w:rPr>
        <w:t>для роботи з</w:t>
      </w:r>
      <w:r w:rsidRPr="006B6651">
        <w:rPr>
          <w:sz w:val="20"/>
          <w:szCs w:val="20"/>
          <w:lang w:val="ru-RU"/>
        </w:rPr>
        <w:t xml:space="preserve"> ТБ.</w:t>
      </w:r>
    </w:p>
    <w:p w14:paraId="148E0751" w14:textId="7C7FE1F6" w:rsidR="006E5AE7" w:rsidRPr="006E5AE7" w:rsidRDefault="006E5AE7" w:rsidP="006E5AE7">
      <w:pPr>
        <w:tabs>
          <w:tab w:val="left" w:pos="1701"/>
        </w:tabs>
        <w:spacing w:before="5" w:line="276" w:lineRule="auto"/>
        <w:ind w:right="933"/>
        <w:rPr>
          <w:sz w:val="20"/>
          <w:szCs w:val="20"/>
          <w:lang w:val="ru-RU"/>
        </w:rPr>
        <w:sectPr w:rsidR="006E5AE7" w:rsidRPr="006E5AE7" w:rsidSect="00DE2E3D">
          <w:pgSz w:w="11910" w:h="16840"/>
          <w:pgMar w:top="567" w:right="249" w:bottom="780" w:left="238" w:header="0" w:footer="597" w:gutter="0"/>
          <w:cols w:space="720"/>
        </w:sectPr>
      </w:pPr>
    </w:p>
    <w:p w14:paraId="27BB6700" w14:textId="77777777" w:rsidR="00DE2E3D" w:rsidRPr="006B6651" w:rsidRDefault="00DE2E3D" w:rsidP="004A2937">
      <w:pPr>
        <w:pStyle w:val="a4"/>
        <w:numPr>
          <w:ilvl w:val="0"/>
          <w:numId w:val="42"/>
        </w:numPr>
        <w:tabs>
          <w:tab w:val="left" w:pos="1701"/>
        </w:tabs>
        <w:spacing w:before="86" w:line="276" w:lineRule="auto"/>
        <w:ind w:right="933"/>
        <w:rPr>
          <w:sz w:val="20"/>
          <w:szCs w:val="20"/>
          <w:lang w:val="ru-RU"/>
        </w:rPr>
      </w:pPr>
      <w:proofErr w:type="spellStart"/>
      <w:r w:rsidRPr="006B6651">
        <w:rPr>
          <w:spacing w:val="-3"/>
          <w:w w:val="110"/>
          <w:sz w:val="20"/>
          <w:szCs w:val="20"/>
          <w:lang w:val="ru-RU"/>
        </w:rPr>
        <w:lastRenderedPageBreak/>
        <w:t>Лабораторні</w:t>
      </w:r>
      <w:proofErr w:type="spellEnd"/>
      <w:r w:rsidRPr="006B6651">
        <w:rPr>
          <w:spacing w:val="-3"/>
          <w:w w:val="110"/>
          <w:sz w:val="20"/>
          <w:szCs w:val="20"/>
          <w:lang w:val="ru-RU"/>
        </w:rPr>
        <w:t xml:space="preserve"> </w:t>
      </w:r>
      <w:proofErr w:type="spellStart"/>
      <w:r w:rsidRPr="006B6651">
        <w:rPr>
          <w:spacing w:val="-3"/>
          <w:w w:val="110"/>
          <w:sz w:val="20"/>
          <w:szCs w:val="20"/>
          <w:lang w:val="ru-RU"/>
        </w:rPr>
        <w:t>приміщення</w:t>
      </w:r>
      <w:proofErr w:type="spellEnd"/>
      <w:r w:rsidRPr="006B6651">
        <w:rPr>
          <w:spacing w:val="-3"/>
          <w:w w:val="110"/>
          <w:sz w:val="20"/>
          <w:szCs w:val="20"/>
          <w:lang w:val="ru-RU"/>
        </w:rPr>
        <w:t xml:space="preserve"> для </w:t>
      </w:r>
      <w:proofErr w:type="spellStart"/>
      <w:r w:rsidRPr="006B6651">
        <w:rPr>
          <w:spacing w:val="-3"/>
          <w:w w:val="110"/>
          <w:sz w:val="20"/>
          <w:szCs w:val="20"/>
          <w:lang w:val="ru-RU"/>
        </w:rPr>
        <w:t>проведення</w:t>
      </w:r>
      <w:proofErr w:type="spellEnd"/>
      <w:r w:rsidRPr="006B6651">
        <w:rPr>
          <w:spacing w:val="-3"/>
          <w:w w:val="110"/>
          <w:sz w:val="20"/>
          <w:szCs w:val="20"/>
          <w:lang w:val="ru-RU"/>
        </w:rPr>
        <w:t xml:space="preserve"> </w:t>
      </w:r>
      <w:r w:rsidRPr="003C17C3">
        <w:rPr>
          <w:spacing w:val="-3"/>
          <w:w w:val="110"/>
          <w:sz w:val="20"/>
          <w:szCs w:val="20"/>
        </w:rPr>
        <w:t>LPA</w:t>
      </w:r>
      <w:r w:rsidRPr="006B6651">
        <w:rPr>
          <w:spacing w:val="-3"/>
          <w:w w:val="110"/>
          <w:sz w:val="20"/>
          <w:szCs w:val="20"/>
          <w:lang w:val="ru-RU"/>
        </w:rPr>
        <w:t xml:space="preserve"> </w:t>
      </w:r>
      <w:proofErr w:type="spellStart"/>
      <w:r w:rsidRPr="006B6651">
        <w:rPr>
          <w:spacing w:val="-3"/>
          <w:w w:val="110"/>
          <w:sz w:val="20"/>
          <w:szCs w:val="20"/>
          <w:lang w:val="ru-RU"/>
        </w:rPr>
        <w:t>потребують</w:t>
      </w:r>
      <w:proofErr w:type="spellEnd"/>
      <w:r w:rsidRPr="006B6651">
        <w:rPr>
          <w:spacing w:val="-3"/>
          <w:w w:val="110"/>
          <w:sz w:val="20"/>
          <w:szCs w:val="20"/>
          <w:lang w:val="ru-RU"/>
        </w:rPr>
        <w:t xml:space="preserve"> </w:t>
      </w:r>
      <w:proofErr w:type="spellStart"/>
      <w:r w:rsidRPr="006B6651">
        <w:rPr>
          <w:spacing w:val="-3"/>
          <w:w w:val="110"/>
          <w:sz w:val="20"/>
          <w:szCs w:val="20"/>
          <w:lang w:val="ru-RU"/>
        </w:rPr>
        <w:t>щонайменше</w:t>
      </w:r>
      <w:proofErr w:type="spellEnd"/>
      <w:r w:rsidRPr="006B6651">
        <w:rPr>
          <w:spacing w:val="-3"/>
          <w:w w:val="110"/>
          <w:sz w:val="20"/>
          <w:szCs w:val="20"/>
          <w:lang w:val="ru-RU"/>
        </w:rPr>
        <w:t xml:space="preserve"> </w:t>
      </w:r>
      <w:proofErr w:type="spellStart"/>
      <w:r w:rsidRPr="006B6651">
        <w:rPr>
          <w:spacing w:val="-3"/>
          <w:w w:val="110"/>
          <w:sz w:val="20"/>
          <w:szCs w:val="20"/>
          <w:lang w:val="ru-RU"/>
        </w:rPr>
        <w:t>трьох</w:t>
      </w:r>
      <w:proofErr w:type="spellEnd"/>
      <w:r w:rsidRPr="006B6651">
        <w:rPr>
          <w:spacing w:val="-3"/>
          <w:w w:val="110"/>
          <w:sz w:val="20"/>
          <w:szCs w:val="20"/>
          <w:lang w:val="ru-RU"/>
        </w:rPr>
        <w:t xml:space="preserve"> </w:t>
      </w:r>
      <w:proofErr w:type="spellStart"/>
      <w:r w:rsidRPr="006B6651">
        <w:rPr>
          <w:spacing w:val="-3"/>
          <w:w w:val="110"/>
          <w:sz w:val="20"/>
          <w:szCs w:val="20"/>
          <w:lang w:val="ru-RU"/>
        </w:rPr>
        <w:t>окремих</w:t>
      </w:r>
      <w:proofErr w:type="spellEnd"/>
      <w:r w:rsidRPr="006B6651">
        <w:rPr>
          <w:spacing w:val="-3"/>
          <w:w w:val="110"/>
          <w:sz w:val="20"/>
          <w:szCs w:val="20"/>
          <w:lang w:val="ru-RU"/>
        </w:rPr>
        <w:t xml:space="preserve"> </w:t>
      </w:r>
      <w:proofErr w:type="spellStart"/>
      <w:r w:rsidRPr="006B6651">
        <w:rPr>
          <w:spacing w:val="-3"/>
          <w:w w:val="110"/>
          <w:sz w:val="20"/>
          <w:szCs w:val="20"/>
          <w:lang w:val="ru-RU"/>
        </w:rPr>
        <w:t>кімнат</w:t>
      </w:r>
      <w:proofErr w:type="spellEnd"/>
      <w:r w:rsidRPr="006B6651">
        <w:rPr>
          <w:spacing w:val="-3"/>
          <w:w w:val="110"/>
          <w:sz w:val="20"/>
          <w:szCs w:val="20"/>
          <w:lang w:val="ru-RU"/>
        </w:rPr>
        <w:t xml:space="preserve">: по </w:t>
      </w:r>
      <w:proofErr w:type="spellStart"/>
      <w:r w:rsidRPr="006B6651">
        <w:rPr>
          <w:spacing w:val="-3"/>
          <w:w w:val="110"/>
          <w:sz w:val="20"/>
          <w:szCs w:val="20"/>
          <w:lang w:val="ru-RU"/>
        </w:rPr>
        <w:t>одній</w:t>
      </w:r>
      <w:proofErr w:type="spellEnd"/>
      <w:r w:rsidRPr="006B6651">
        <w:rPr>
          <w:spacing w:val="-3"/>
          <w:w w:val="110"/>
          <w:sz w:val="20"/>
          <w:szCs w:val="20"/>
          <w:lang w:val="ru-RU"/>
        </w:rPr>
        <w:t xml:space="preserve"> для </w:t>
      </w:r>
      <w:proofErr w:type="spellStart"/>
      <w:r w:rsidRPr="006B6651">
        <w:rPr>
          <w:spacing w:val="-3"/>
          <w:w w:val="110"/>
          <w:sz w:val="20"/>
          <w:szCs w:val="20"/>
          <w:lang w:val="ru-RU"/>
        </w:rPr>
        <w:t>екстракції</w:t>
      </w:r>
      <w:proofErr w:type="spellEnd"/>
      <w:r w:rsidRPr="006B6651">
        <w:rPr>
          <w:spacing w:val="-3"/>
          <w:w w:val="110"/>
          <w:sz w:val="20"/>
          <w:szCs w:val="20"/>
          <w:lang w:val="ru-RU"/>
        </w:rPr>
        <w:t xml:space="preserve"> ДНК, для процедур перед </w:t>
      </w:r>
      <w:proofErr w:type="spellStart"/>
      <w:r w:rsidRPr="006B6651">
        <w:rPr>
          <w:spacing w:val="-3"/>
          <w:w w:val="110"/>
          <w:sz w:val="20"/>
          <w:szCs w:val="20"/>
          <w:lang w:val="ru-RU"/>
        </w:rPr>
        <w:t>ампліфікацією</w:t>
      </w:r>
      <w:proofErr w:type="spellEnd"/>
      <w:r>
        <w:rPr>
          <w:spacing w:val="-3"/>
          <w:w w:val="110"/>
          <w:sz w:val="20"/>
          <w:szCs w:val="20"/>
          <w:lang w:val="uk-UA"/>
        </w:rPr>
        <w:t xml:space="preserve">, </w:t>
      </w:r>
      <w:r w:rsidRPr="006B6651">
        <w:rPr>
          <w:spacing w:val="-3"/>
          <w:w w:val="110"/>
          <w:sz w:val="20"/>
          <w:szCs w:val="20"/>
          <w:lang w:val="ru-RU"/>
        </w:rPr>
        <w:t xml:space="preserve">ампліфікації </w:t>
      </w:r>
      <w:r>
        <w:rPr>
          <w:spacing w:val="-3"/>
          <w:w w:val="110"/>
          <w:sz w:val="20"/>
          <w:szCs w:val="20"/>
          <w:lang w:val="uk-UA"/>
        </w:rPr>
        <w:t>та</w:t>
      </w:r>
      <w:r w:rsidRPr="006B6651">
        <w:rPr>
          <w:spacing w:val="-3"/>
          <w:w w:val="110"/>
          <w:sz w:val="20"/>
          <w:szCs w:val="20"/>
          <w:lang w:val="ru-RU"/>
        </w:rPr>
        <w:t xml:space="preserve"> </w:t>
      </w:r>
      <w:r>
        <w:rPr>
          <w:spacing w:val="-3"/>
          <w:w w:val="110"/>
          <w:sz w:val="20"/>
          <w:szCs w:val="20"/>
          <w:lang w:val="uk-UA"/>
        </w:rPr>
        <w:t xml:space="preserve">процедур </w:t>
      </w:r>
      <w:proofErr w:type="spellStart"/>
      <w:r w:rsidRPr="006B6651">
        <w:rPr>
          <w:spacing w:val="-3"/>
          <w:w w:val="110"/>
          <w:sz w:val="20"/>
          <w:szCs w:val="20"/>
          <w:lang w:val="ru-RU"/>
        </w:rPr>
        <w:t>після</w:t>
      </w:r>
      <w:proofErr w:type="spellEnd"/>
      <w:r w:rsidRPr="006B6651">
        <w:rPr>
          <w:spacing w:val="-3"/>
          <w:w w:val="110"/>
          <w:sz w:val="20"/>
          <w:szCs w:val="20"/>
          <w:lang w:val="ru-RU"/>
        </w:rPr>
        <w:t xml:space="preserve"> </w:t>
      </w:r>
      <w:r>
        <w:rPr>
          <w:spacing w:val="-3"/>
          <w:w w:val="110"/>
          <w:sz w:val="20"/>
          <w:szCs w:val="20"/>
          <w:lang w:val="uk-UA"/>
        </w:rPr>
        <w:t>неї</w:t>
      </w:r>
      <w:r w:rsidRPr="006B6651">
        <w:rPr>
          <w:spacing w:val="-3"/>
          <w:w w:val="110"/>
          <w:sz w:val="20"/>
          <w:szCs w:val="20"/>
          <w:lang w:val="ru-RU"/>
        </w:rPr>
        <w:t xml:space="preserve">. </w:t>
      </w:r>
      <w:proofErr w:type="spellStart"/>
      <w:r w:rsidRPr="006B6651">
        <w:rPr>
          <w:spacing w:val="-3"/>
          <w:w w:val="110"/>
          <w:sz w:val="20"/>
          <w:szCs w:val="20"/>
          <w:lang w:val="ru-RU"/>
        </w:rPr>
        <w:t>Щоб</w:t>
      </w:r>
      <w:proofErr w:type="spellEnd"/>
      <w:r w:rsidRPr="006B6651">
        <w:rPr>
          <w:spacing w:val="-3"/>
          <w:w w:val="110"/>
          <w:sz w:val="20"/>
          <w:szCs w:val="20"/>
          <w:lang w:val="ru-RU"/>
        </w:rPr>
        <w:t xml:space="preserve"> </w:t>
      </w:r>
      <w:proofErr w:type="spellStart"/>
      <w:r w:rsidRPr="006B6651">
        <w:rPr>
          <w:spacing w:val="-3"/>
          <w:w w:val="110"/>
          <w:sz w:val="20"/>
          <w:szCs w:val="20"/>
          <w:lang w:val="ru-RU"/>
        </w:rPr>
        <w:t>уникнути</w:t>
      </w:r>
      <w:proofErr w:type="spellEnd"/>
      <w:r w:rsidRPr="006B6651">
        <w:rPr>
          <w:spacing w:val="-3"/>
          <w:w w:val="110"/>
          <w:sz w:val="20"/>
          <w:szCs w:val="20"/>
          <w:lang w:val="ru-RU"/>
        </w:rPr>
        <w:t xml:space="preserve"> </w:t>
      </w:r>
      <w:proofErr w:type="spellStart"/>
      <w:r w:rsidRPr="006B6651">
        <w:rPr>
          <w:spacing w:val="-3"/>
          <w:w w:val="110"/>
          <w:sz w:val="20"/>
          <w:szCs w:val="20"/>
          <w:lang w:val="ru-RU"/>
        </w:rPr>
        <w:t>контамінації</w:t>
      </w:r>
      <w:proofErr w:type="spellEnd"/>
      <w:r w:rsidRPr="006B6651">
        <w:rPr>
          <w:spacing w:val="-3"/>
          <w:w w:val="110"/>
          <w:sz w:val="20"/>
          <w:szCs w:val="20"/>
          <w:lang w:val="ru-RU"/>
        </w:rPr>
        <w:t xml:space="preserve">, доступ до </w:t>
      </w:r>
      <w:proofErr w:type="spellStart"/>
      <w:r w:rsidRPr="006B6651">
        <w:rPr>
          <w:spacing w:val="-3"/>
          <w:w w:val="110"/>
          <w:sz w:val="20"/>
          <w:szCs w:val="20"/>
          <w:lang w:val="ru-RU"/>
        </w:rPr>
        <w:t>молекулярних</w:t>
      </w:r>
      <w:proofErr w:type="spellEnd"/>
      <w:r w:rsidRPr="006B6651">
        <w:rPr>
          <w:spacing w:val="-3"/>
          <w:w w:val="110"/>
          <w:sz w:val="20"/>
          <w:szCs w:val="20"/>
          <w:lang w:val="ru-RU"/>
        </w:rPr>
        <w:t xml:space="preserve"> </w:t>
      </w:r>
      <w:proofErr w:type="spellStart"/>
      <w:r w:rsidRPr="006B6651">
        <w:rPr>
          <w:spacing w:val="-3"/>
          <w:w w:val="110"/>
          <w:sz w:val="20"/>
          <w:szCs w:val="20"/>
          <w:lang w:val="ru-RU"/>
        </w:rPr>
        <w:t>лабораторій</w:t>
      </w:r>
      <w:proofErr w:type="spellEnd"/>
      <w:r w:rsidRPr="006B6651">
        <w:rPr>
          <w:spacing w:val="-3"/>
          <w:w w:val="110"/>
          <w:sz w:val="20"/>
          <w:szCs w:val="20"/>
          <w:lang w:val="ru-RU"/>
        </w:rPr>
        <w:t xml:space="preserve"> </w:t>
      </w:r>
      <w:proofErr w:type="spellStart"/>
      <w:r w:rsidRPr="006B6651">
        <w:rPr>
          <w:spacing w:val="-3"/>
          <w:w w:val="110"/>
          <w:sz w:val="20"/>
          <w:szCs w:val="20"/>
          <w:lang w:val="ru-RU"/>
        </w:rPr>
        <w:t>має</w:t>
      </w:r>
      <w:proofErr w:type="spellEnd"/>
      <w:r w:rsidRPr="006B6651">
        <w:rPr>
          <w:spacing w:val="-3"/>
          <w:w w:val="110"/>
          <w:sz w:val="20"/>
          <w:szCs w:val="20"/>
          <w:lang w:val="ru-RU"/>
        </w:rPr>
        <w:t xml:space="preserve"> бути </w:t>
      </w:r>
      <w:proofErr w:type="spellStart"/>
      <w:r w:rsidRPr="006B6651">
        <w:rPr>
          <w:spacing w:val="-3"/>
          <w:w w:val="110"/>
          <w:sz w:val="20"/>
          <w:szCs w:val="20"/>
          <w:lang w:val="ru-RU"/>
        </w:rPr>
        <w:t>обмеженим</w:t>
      </w:r>
      <w:proofErr w:type="spellEnd"/>
      <w:r w:rsidRPr="006B6651">
        <w:rPr>
          <w:spacing w:val="-3"/>
          <w:w w:val="110"/>
          <w:sz w:val="20"/>
          <w:szCs w:val="20"/>
          <w:lang w:val="ru-RU"/>
        </w:rPr>
        <w:t xml:space="preserve">, </w:t>
      </w:r>
      <w:proofErr w:type="spellStart"/>
      <w:r w:rsidRPr="006B6651">
        <w:rPr>
          <w:spacing w:val="-3"/>
          <w:w w:val="110"/>
          <w:sz w:val="20"/>
          <w:szCs w:val="20"/>
          <w:lang w:val="ru-RU"/>
        </w:rPr>
        <w:t>необхідно</w:t>
      </w:r>
      <w:proofErr w:type="spellEnd"/>
      <w:r w:rsidRPr="006B6651">
        <w:rPr>
          <w:spacing w:val="-3"/>
          <w:w w:val="110"/>
          <w:sz w:val="20"/>
          <w:szCs w:val="20"/>
          <w:lang w:val="ru-RU"/>
        </w:rPr>
        <w:t xml:space="preserve"> </w:t>
      </w:r>
      <w:proofErr w:type="spellStart"/>
      <w:r w:rsidRPr="006B6651">
        <w:rPr>
          <w:spacing w:val="-3"/>
          <w:w w:val="110"/>
          <w:sz w:val="20"/>
          <w:szCs w:val="20"/>
          <w:lang w:val="ru-RU"/>
        </w:rPr>
        <w:t>впровадити</w:t>
      </w:r>
      <w:proofErr w:type="spellEnd"/>
      <w:r w:rsidRPr="006B6651">
        <w:rPr>
          <w:spacing w:val="-3"/>
          <w:w w:val="110"/>
          <w:sz w:val="20"/>
          <w:szCs w:val="20"/>
          <w:lang w:val="ru-RU"/>
        </w:rPr>
        <w:t xml:space="preserve"> </w:t>
      </w:r>
      <w:proofErr w:type="spellStart"/>
      <w:r w:rsidRPr="006B6651">
        <w:rPr>
          <w:spacing w:val="-3"/>
          <w:w w:val="110"/>
          <w:sz w:val="20"/>
          <w:szCs w:val="20"/>
          <w:lang w:val="ru-RU"/>
        </w:rPr>
        <w:t>односпрямований</w:t>
      </w:r>
      <w:proofErr w:type="spellEnd"/>
      <w:r w:rsidRPr="006B6651">
        <w:rPr>
          <w:spacing w:val="-3"/>
          <w:w w:val="110"/>
          <w:sz w:val="20"/>
          <w:szCs w:val="20"/>
          <w:lang w:val="ru-RU"/>
        </w:rPr>
        <w:t xml:space="preserve"> </w:t>
      </w:r>
      <w:proofErr w:type="spellStart"/>
      <w:r w:rsidRPr="006B6651">
        <w:rPr>
          <w:spacing w:val="-3"/>
          <w:w w:val="110"/>
          <w:sz w:val="20"/>
          <w:szCs w:val="20"/>
          <w:lang w:val="ru-RU"/>
        </w:rPr>
        <w:t>робочий</w:t>
      </w:r>
      <w:proofErr w:type="spellEnd"/>
      <w:r w:rsidRPr="006B6651">
        <w:rPr>
          <w:spacing w:val="-3"/>
          <w:w w:val="110"/>
          <w:sz w:val="20"/>
          <w:szCs w:val="20"/>
          <w:lang w:val="ru-RU"/>
        </w:rPr>
        <w:t xml:space="preserve"> </w:t>
      </w:r>
      <w:proofErr w:type="spellStart"/>
      <w:r w:rsidRPr="006B6651">
        <w:rPr>
          <w:spacing w:val="-3"/>
          <w:w w:val="110"/>
          <w:sz w:val="20"/>
          <w:szCs w:val="20"/>
          <w:lang w:val="ru-RU"/>
        </w:rPr>
        <w:t>процес</w:t>
      </w:r>
      <w:proofErr w:type="spellEnd"/>
      <w:r w:rsidRPr="006B6651">
        <w:rPr>
          <w:spacing w:val="-3"/>
          <w:w w:val="110"/>
          <w:sz w:val="20"/>
          <w:szCs w:val="20"/>
          <w:lang w:val="ru-RU"/>
        </w:rPr>
        <w:t xml:space="preserve"> та </w:t>
      </w:r>
      <w:proofErr w:type="spellStart"/>
      <w:r w:rsidRPr="006B6651">
        <w:rPr>
          <w:spacing w:val="-3"/>
          <w:w w:val="110"/>
          <w:sz w:val="20"/>
          <w:szCs w:val="20"/>
          <w:lang w:val="ru-RU"/>
        </w:rPr>
        <w:t>запровадити</w:t>
      </w:r>
      <w:proofErr w:type="spellEnd"/>
      <w:r w:rsidRPr="006B6651">
        <w:rPr>
          <w:spacing w:val="-3"/>
          <w:w w:val="110"/>
          <w:sz w:val="20"/>
          <w:szCs w:val="20"/>
          <w:lang w:val="ru-RU"/>
        </w:rPr>
        <w:t xml:space="preserve"> </w:t>
      </w:r>
      <w:proofErr w:type="spellStart"/>
      <w:r w:rsidRPr="006B6651">
        <w:rPr>
          <w:spacing w:val="-3"/>
          <w:w w:val="110"/>
          <w:sz w:val="20"/>
          <w:szCs w:val="20"/>
          <w:lang w:val="ru-RU"/>
        </w:rPr>
        <w:t>суворі</w:t>
      </w:r>
      <w:proofErr w:type="spellEnd"/>
      <w:r w:rsidRPr="006B6651">
        <w:rPr>
          <w:spacing w:val="-3"/>
          <w:w w:val="110"/>
          <w:sz w:val="20"/>
          <w:szCs w:val="20"/>
          <w:lang w:val="ru-RU"/>
        </w:rPr>
        <w:t xml:space="preserve"> </w:t>
      </w:r>
      <w:proofErr w:type="spellStart"/>
      <w:r w:rsidRPr="006B6651">
        <w:rPr>
          <w:spacing w:val="-3"/>
          <w:w w:val="110"/>
          <w:sz w:val="20"/>
          <w:szCs w:val="20"/>
          <w:lang w:val="ru-RU"/>
        </w:rPr>
        <w:t>протоколи</w:t>
      </w:r>
      <w:proofErr w:type="spellEnd"/>
      <w:r w:rsidRPr="006B6651">
        <w:rPr>
          <w:spacing w:val="-3"/>
          <w:w w:val="110"/>
          <w:sz w:val="20"/>
          <w:szCs w:val="20"/>
          <w:lang w:val="ru-RU"/>
        </w:rPr>
        <w:t xml:space="preserve"> </w:t>
      </w:r>
      <w:proofErr w:type="spellStart"/>
      <w:r w:rsidRPr="006B6651">
        <w:rPr>
          <w:spacing w:val="-3"/>
          <w:w w:val="110"/>
          <w:sz w:val="20"/>
          <w:szCs w:val="20"/>
          <w:lang w:val="ru-RU"/>
        </w:rPr>
        <w:t>очищення</w:t>
      </w:r>
      <w:proofErr w:type="spellEnd"/>
      <w:r w:rsidRPr="006B6651">
        <w:rPr>
          <w:spacing w:val="-3"/>
          <w:w w:val="110"/>
          <w:sz w:val="20"/>
          <w:szCs w:val="20"/>
          <w:lang w:val="ru-RU"/>
        </w:rPr>
        <w:t>.</w:t>
      </w:r>
    </w:p>
    <w:p w14:paraId="5B6B23CB" w14:textId="77777777" w:rsidR="00DE2E3D" w:rsidRPr="006B6651" w:rsidRDefault="00DE2E3D" w:rsidP="004A2937">
      <w:pPr>
        <w:pStyle w:val="a4"/>
        <w:numPr>
          <w:ilvl w:val="0"/>
          <w:numId w:val="42"/>
        </w:numPr>
        <w:tabs>
          <w:tab w:val="left" w:pos="1701"/>
        </w:tabs>
        <w:spacing w:before="4" w:line="276" w:lineRule="auto"/>
        <w:ind w:right="933"/>
        <w:rPr>
          <w:sz w:val="20"/>
          <w:szCs w:val="20"/>
          <w:lang w:val="ru-RU"/>
        </w:rPr>
      </w:pPr>
      <w:proofErr w:type="spellStart"/>
      <w:r w:rsidRPr="006B6651">
        <w:rPr>
          <w:w w:val="110"/>
          <w:sz w:val="20"/>
          <w:szCs w:val="20"/>
          <w:lang w:val="ru-RU"/>
        </w:rPr>
        <w:t>Відповідний</w:t>
      </w:r>
      <w:proofErr w:type="spellEnd"/>
      <w:r w:rsidRPr="006B6651">
        <w:rPr>
          <w:w w:val="110"/>
          <w:sz w:val="20"/>
          <w:szCs w:val="20"/>
          <w:lang w:val="ru-RU"/>
        </w:rPr>
        <w:t xml:space="preserve"> </w:t>
      </w:r>
      <w:proofErr w:type="spellStart"/>
      <w:r w:rsidRPr="006B6651">
        <w:rPr>
          <w:w w:val="110"/>
          <w:sz w:val="20"/>
          <w:szCs w:val="20"/>
          <w:lang w:val="ru-RU"/>
        </w:rPr>
        <w:t>лабораторний</w:t>
      </w:r>
      <w:proofErr w:type="spellEnd"/>
      <w:r w:rsidRPr="006B6651">
        <w:rPr>
          <w:w w:val="110"/>
          <w:sz w:val="20"/>
          <w:szCs w:val="20"/>
          <w:lang w:val="ru-RU"/>
        </w:rPr>
        <w:t xml:space="preserve"> персонал </w:t>
      </w:r>
      <w:proofErr w:type="spellStart"/>
      <w:r w:rsidRPr="006B6651">
        <w:rPr>
          <w:w w:val="110"/>
          <w:sz w:val="20"/>
          <w:szCs w:val="20"/>
          <w:lang w:val="ru-RU"/>
        </w:rPr>
        <w:t>має</w:t>
      </w:r>
      <w:proofErr w:type="spellEnd"/>
      <w:r w:rsidRPr="006B6651">
        <w:rPr>
          <w:w w:val="110"/>
          <w:sz w:val="20"/>
          <w:szCs w:val="20"/>
          <w:lang w:val="ru-RU"/>
        </w:rPr>
        <w:t xml:space="preserve"> пройти </w:t>
      </w:r>
      <w:proofErr w:type="spellStart"/>
      <w:r w:rsidRPr="006B6651">
        <w:rPr>
          <w:w w:val="110"/>
          <w:sz w:val="20"/>
          <w:szCs w:val="20"/>
          <w:lang w:val="ru-RU"/>
        </w:rPr>
        <w:t>навчання</w:t>
      </w:r>
      <w:proofErr w:type="spellEnd"/>
      <w:r w:rsidRPr="006B6651">
        <w:rPr>
          <w:w w:val="110"/>
          <w:sz w:val="20"/>
          <w:szCs w:val="20"/>
          <w:lang w:val="ru-RU"/>
        </w:rPr>
        <w:t xml:space="preserve"> для </w:t>
      </w:r>
      <w:proofErr w:type="spellStart"/>
      <w:r w:rsidRPr="006B6651">
        <w:rPr>
          <w:w w:val="110"/>
          <w:sz w:val="20"/>
          <w:szCs w:val="20"/>
          <w:lang w:val="ru-RU"/>
        </w:rPr>
        <w:t>проведення</w:t>
      </w:r>
      <w:proofErr w:type="spellEnd"/>
      <w:r w:rsidRPr="006B6651">
        <w:rPr>
          <w:w w:val="110"/>
          <w:sz w:val="20"/>
          <w:szCs w:val="20"/>
          <w:lang w:val="ru-RU"/>
        </w:rPr>
        <w:t xml:space="preserve"> процедур </w:t>
      </w:r>
      <w:r w:rsidRPr="003C17C3">
        <w:rPr>
          <w:w w:val="110"/>
          <w:sz w:val="20"/>
          <w:szCs w:val="20"/>
        </w:rPr>
        <w:t>LPA</w:t>
      </w:r>
      <w:r w:rsidRPr="006B6651">
        <w:rPr>
          <w:w w:val="110"/>
          <w:sz w:val="20"/>
          <w:szCs w:val="20"/>
          <w:lang w:val="ru-RU"/>
        </w:rPr>
        <w:t xml:space="preserve">. Персонал </w:t>
      </w:r>
      <w:proofErr w:type="spellStart"/>
      <w:r w:rsidRPr="006B6651">
        <w:rPr>
          <w:w w:val="110"/>
          <w:sz w:val="20"/>
          <w:szCs w:val="20"/>
          <w:lang w:val="ru-RU"/>
        </w:rPr>
        <w:t>має</w:t>
      </w:r>
      <w:proofErr w:type="spellEnd"/>
      <w:r w:rsidRPr="006B6651">
        <w:rPr>
          <w:w w:val="110"/>
          <w:sz w:val="20"/>
          <w:szCs w:val="20"/>
          <w:lang w:val="ru-RU"/>
        </w:rPr>
        <w:t xml:space="preserve"> </w:t>
      </w:r>
      <w:proofErr w:type="spellStart"/>
      <w:r w:rsidRPr="006B6651">
        <w:rPr>
          <w:w w:val="110"/>
          <w:sz w:val="20"/>
          <w:szCs w:val="20"/>
          <w:lang w:val="ru-RU"/>
        </w:rPr>
        <w:t>працювати</w:t>
      </w:r>
      <w:proofErr w:type="spellEnd"/>
      <w:r w:rsidRPr="006B6651">
        <w:rPr>
          <w:w w:val="110"/>
          <w:sz w:val="20"/>
          <w:szCs w:val="20"/>
          <w:lang w:val="ru-RU"/>
        </w:rPr>
        <w:t xml:space="preserve"> під </w:t>
      </w:r>
      <w:proofErr w:type="spellStart"/>
      <w:r w:rsidRPr="006B6651">
        <w:rPr>
          <w:w w:val="110"/>
          <w:sz w:val="20"/>
          <w:szCs w:val="20"/>
          <w:lang w:val="ru-RU"/>
        </w:rPr>
        <w:t>наглядом</w:t>
      </w:r>
      <w:proofErr w:type="spellEnd"/>
      <w:r w:rsidRPr="006B6651">
        <w:rPr>
          <w:w w:val="110"/>
          <w:sz w:val="20"/>
          <w:szCs w:val="20"/>
          <w:lang w:val="ru-RU"/>
        </w:rPr>
        <w:t xml:space="preserve"> старшого </w:t>
      </w:r>
      <w:proofErr w:type="spellStart"/>
      <w:r w:rsidRPr="006B6651">
        <w:rPr>
          <w:w w:val="110"/>
          <w:sz w:val="20"/>
          <w:szCs w:val="20"/>
          <w:lang w:val="ru-RU"/>
        </w:rPr>
        <w:t>співробітника</w:t>
      </w:r>
      <w:proofErr w:type="spellEnd"/>
      <w:r w:rsidRPr="006B6651">
        <w:rPr>
          <w:w w:val="110"/>
          <w:sz w:val="20"/>
          <w:szCs w:val="20"/>
          <w:lang w:val="ru-RU"/>
        </w:rPr>
        <w:t xml:space="preserve"> з </w:t>
      </w:r>
      <w:proofErr w:type="spellStart"/>
      <w:r w:rsidRPr="006B6651">
        <w:rPr>
          <w:w w:val="110"/>
          <w:sz w:val="20"/>
          <w:szCs w:val="20"/>
          <w:lang w:val="ru-RU"/>
        </w:rPr>
        <w:t>належною</w:t>
      </w:r>
      <w:proofErr w:type="spellEnd"/>
      <w:r w:rsidRPr="006B6651">
        <w:rPr>
          <w:w w:val="110"/>
          <w:sz w:val="20"/>
          <w:szCs w:val="20"/>
          <w:lang w:val="ru-RU"/>
        </w:rPr>
        <w:t xml:space="preserve"> </w:t>
      </w:r>
      <w:proofErr w:type="spellStart"/>
      <w:r w:rsidRPr="006B6651">
        <w:rPr>
          <w:w w:val="110"/>
          <w:sz w:val="20"/>
          <w:szCs w:val="20"/>
          <w:lang w:val="ru-RU"/>
        </w:rPr>
        <w:t>підготовкою</w:t>
      </w:r>
      <w:proofErr w:type="spellEnd"/>
      <w:r w:rsidRPr="006B6651">
        <w:rPr>
          <w:w w:val="110"/>
          <w:sz w:val="20"/>
          <w:szCs w:val="20"/>
          <w:lang w:val="ru-RU"/>
        </w:rPr>
        <w:t xml:space="preserve"> та </w:t>
      </w:r>
      <w:proofErr w:type="spellStart"/>
      <w:r w:rsidRPr="006B6651">
        <w:rPr>
          <w:w w:val="110"/>
          <w:sz w:val="20"/>
          <w:szCs w:val="20"/>
          <w:lang w:val="ru-RU"/>
        </w:rPr>
        <w:t>досвідом</w:t>
      </w:r>
      <w:proofErr w:type="spellEnd"/>
      <w:r w:rsidRPr="006B6651">
        <w:rPr>
          <w:w w:val="110"/>
          <w:sz w:val="20"/>
          <w:szCs w:val="20"/>
          <w:lang w:val="ru-RU"/>
        </w:rPr>
        <w:t xml:space="preserve"> у </w:t>
      </w:r>
      <w:proofErr w:type="spellStart"/>
      <w:r w:rsidRPr="006B6651">
        <w:rPr>
          <w:w w:val="110"/>
          <w:sz w:val="20"/>
          <w:szCs w:val="20"/>
          <w:lang w:val="ru-RU"/>
        </w:rPr>
        <w:t>проведенні</w:t>
      </w:r>
      <w:proofErr w:type="spellEnd"/>
      <w:r w:rsidRPr="006B6651">
        <w:rPr>
          <w:w w:val="110"/>
          <w:sz w:val="20"/>
          <w:szCs w:val="20"/>
          <w:lang w:val="ru-RU"/>
        </w:rPr>
        <w:t xml:space="preserve"> </w:t>
      </w:r>
      <w:proofErr w:type="spellStart"/>
      <w:r w:rsidRPr="006B6651">
        <w:rPr>
          <w:w w:val="110"/>
          <w:sz w:val="20"/>
          <w:szCs w:val="20"/>
          <w:lang w:val="ru-RU"/>
        </w:rPr>
        <w:t>молекулярних</w:t>
      </w:r>
      <w:proofErr w:type="spellEnd"/>
      <w:r w:rsidRPr="006B6651">
        <w:rPr>
          <w:w w:val="110"/>
          <w:sz w:val="20"/>
          <w:szCs w:val="20"/>
          <w:lang w:val="ru-RU"/>
        </w:rPr>
        <w:t xml:space="preserve"> </w:t>
      </w:r>
      <w:proofErr w:type="spellStart"/>
      <w:r w:rsidRPr="006B6651">
        <w:rPr>
          <w:w w:val="110"/>
          <w:sz w:val="20"/>
          <w:szCs w:val="20"/>
          <w:lang w:val="ru-RU"/>
        </w:rPr>
        <w:t>аналізів</w:t>
      </w:r>
      <w:proofErr w:type="spellEnd"/>
      <w:r w:rsidRPr="006B6651">
        <w:rPr>
          <w:w w:val="110"/>
          <w:sz w:val="20"/>
          <w:szCs w:val="20"/>
          <w:lang w:val="ru-RU"/>
        </w:rPr>
        <w:t xml:space="preserve">. </w:t>
      </w:r>
      <w:r w:rsidRPr="003C17C3">
        <w:rPr>
          <w:w w:val="110"/>
          <w:sz w:val="20"/>
          <w:szCs w:val="20"/>
          <w:lang w:val="uk-UA"/>
        </w:rPr>
        <w:t xml:space="preserve">В пріоритетному порядку потрібно розробити програму </w:t>
      </w:r>
      <w:proofErr w:type="spellStart"/>
      <w:r w:rsidRPr="006B6651">
        <w:rPr>
          <w:w w:val="110"/>
          <w:sz w:val="20"/>
          <w:szCs w:val="20"/>
          <w:lang w:val="ru-RU"/>
        </w:rPr>
        <w:t>зовнішньої</w:t>
      </w:r>
      <w:proofErr w:type="spellEnd"/>
      <w:r w:rsidRPr="006B6651">
        <w:rPr>
          <w:w w:val="110"/>
          <w:sz w:val="20"/>
          <w:szCs w:val="20"/>
          <w:lang w:val="ru-RU"/>
        </w:rPr>
        <w:t xml:space="preserve"> </w:t>
      </w:r>
      <w:proofErr w:type="spellStart"/>
      <w:r w:rsidRPr="006B6651">
        <w:rPr>
          <w:w w:val="110"/>
          <w:sz w:val="20"/>
          <w:szCs w:val="20"/>
          <w:lang w:val="ru-RU"/>
        </w:rPr>
        <w:t>оцінки</w:t>
      </w:r>
      <w:proofErr w:type="spellEnd"/>
      <w:r w:rsidRPr="006B6651">
        <w:rPr>
          <w:w w:val="110"/>
          <w:sz w:val="20"/>
          <w:szCs w:val="20"/>
          <w:lang w:val="ru-RU"/>
        </w:rPr>
        <w:t xml:space="preserve"> </w:t>
      </w:r>
      <w:proofErr w:type="spellStart"/>
      <w:r w:rsidRPr="006B6651">
        <w:rPr>
          <w:w w:val="110"/>
          <w:sz w:val="20"/>
          <w:szCs w:val="20"/>
          <w:lang w:val="ru-RU"/>
        </w:rPr>
        <w:t>якості</w:t>
      </w:r>
      <w:proofErr w:type="spellEnd"/>
      <w:r w:rsidRPr="006B6651">
        <w:rPr>
          <w:w w:val="110"/>
          <w:sz w:val="20"/>
          <w:szCs w:val="20"/>
          <w:lang w:val="ru-RU"/>
        </w:rPr>
        <w:t xml:space="preserve"> для </w:t>
      </w:r>
      <w:proofErr w:type="spellStart"/>
      <w:r w:rsidRPr="006B6651">
        <w:rPr>
          <w:w w:val="110"/>
          <w:sz w:val="20"/>
          <w:szCs w:val="20"/>
          <w:lang w:val="ru-RU"/>
        </w:rPr>
        <w:t>лабораторій</w:t>
      </w:r>
      <w:proofErr w:type="spellEnd"/>
      <w:r w:rsidRPr="006B6651">
        <w:rPr>
          <w:w w:val="110"/>
          <w:sz w:val="20"/>
          <w:szCs w:val="20"/>
          <w:lang w:val="ru-RU"/>
        </w:rPr>
        <w:t xml:space="preserve">, </w:t>
      </w:r>
      <w:proofErr w:type="spellStart"/>
      <w:r w:rsidRPr="006B6651">
        <w:rPr>
          <w:w w:val="110"/>
          <w:sz w:val="20"/>
          <w:szCs w:val="20"/>
          <w:lang w:val="ru-RU"/>
        </w:rPr>
        <w:t>що</w:t>
      </w:r>
      <w:proofErr w:type="spellEnd"/>
      <w:r w:rsidRPr="006B6651">
        <w:rPr>
          <w:w w:val="110"/>
          <w:sz w:val="20"/>
          <w:szCs w:val="20"/>
          <w:lang w:val="ru-RU"/>
        </w:rPr>
        <w:t xml:space="preserve"> </w:t>
      </w:r>
      <w:proofErr w:type="spellStart"/>
      <w:r w:rsidRPr="006B6651">
        <w:rPr>
          <w:w w:val="110"/>
          <w:sz w:val="20"/>
          <w:szCs w:val="20"/>
          <w:lang w:val="ru-RU"/>
        </w:rPr>
        <w:t>використовують</w:t>
      </w:r>
      <w:proofErr w:type="spellEnd"/>
      <w:r w:rsidRPr="006B6651">
        <w:rPr>
          <w:w w:val="110"/>
          <w:sz w:val="20"/>
          <w:szCs w:val="20"/>
          <w:lang w:val="ru-RU"/>
        </w:rPr>
        <w:t xml:space="preserve"> </w:t>
      </w:r>
      <w:r w:rsidRPr="003C17C3">
        <w:rPr>
          <w:w w:val="110"/>
          <w:sz w:val="20"/>
          <w:szCs w:val="20"/>
        </w:rPr>
        <w:t>LPA</w:t>
      </w:r>
      <w:r w:rsidRPr="003C17C3">
        <w:rPr>
          <w:w w:val="110"/>
          <w:sz w:val="20"/>
          <w:szCs w:val="20"/>
          <w:lang w:val="uk-UA"/>
        </w:rPr>
        <w:t>.</w:t>
      </w:r>
    </w:p>
    <w:p w14:paraId="384916D0" w14:textId="77777777" w:rsidR="00DE2E3D" w:rsidRPr="006B6651" w:rsidRDefault="00DE2E3D" w:rsidP="004A2937">
      <w:pPr>
        <w:pStyle w:val="a4"/>
        <w:numPr>
          <w:ilvl w:val="0"/>
          <w:numId w:val="42"/>
        </w:numPr>
        <w:tabs>
          <w:tab w:val="left" w:pos="1701"/>
        </w:tabs>
        <w:spacing w:before="5" w:line="276" w:lineRule="auto"/>
        <w:ind w:right="933"/>
        <w:rPr>
          <w:sz w:val="20"/>
          <w:szCs w:val="20"/>
          <w:lang w:val="ru-RU"/>
        </w:rPr>
      </w:pPr>
      <w:proofErr w:type="spellStart"/>
      <w:r w:rsidRPr="006B6651">
        <w:rPr>
          <w:w w:val="110"/>
          <w:sz w:val="20"/>
          <w:szCs w:val="20"/>
          <w:lang w:val="ru-RU"/>
        </w:rPr>
        <w:t>Необхідно</w:t>
      </w:r>
      <w:proofErr w:type="spellEnd"/>
      <w:r w:rsidRPr="006B6651">
        <w:rPr>
          <w:w w:val="110"/>
          <w:sz w:val="20"/>
          <w:szCs w:val="20"/>
          <w:lang w:val="ru-RU"/>
        </w:rPr>
        <w:t xml:space="preserve"> </w:t>
      </w:r>
      <w:proofErr w:type="spellStart"/>
      <w:r w:rsidRPr="006B6651">
        <w:rPr>
          <w:w w:val="110"/>
          <w:sz w:val="20"/>
          <w:szCs w:val="20"/>
          <w:lang w:val="ru-RU"/>
        </w:rPr>
        <w:t>створити</w:t>
      </w:r>
      <w:proofErr w:type="spellEnd"/>
      <w:r w:rsidRPr="006B6651">
        <w:rPr>
          <w:w w:val="110"/>
          <w:sz w:val="20"/>
          <w:szCs w:val="20"/>
          <w:lang w:val="ru-RU"/>
        </w:rPr>
        <w:t xml:space="preserve"> </w:t>
      </w:r>
      <w:proofErr w:type="spellStart"/>
      <w:r w:rsidRPr="006B6651">
        <w:rPr>
          <w:w w:val="110"/>
          <w:sz w:val="20"/>
          <w:szCs w:val="20"/>
          <w:lang w:val="ru-RU"/>
        </w:rPr>
        <w:t>механізми</w:t>
      </w:r>
      <w:proofErr w:type="spellEnd"/>
      <w:r w:rsidRPr="006B6651">
        <w:rPr>
          <w:w w:val="110"/>
          <w:sz w:val="20"/>
          <w:szCs w:val="20"/>
          <w:lang w:val="ru-RU"/>
        </w:rPr>
        <w:t xml:space="preserve"> для </w:t>
      </w:r>
      <w:proofErr w:type="spellStart"/>
      <w:r w:rsidRPr="006B6651">
        <w:rPr>
          <w:w w:val="110"/>
          <w:sz w:val="20"/>
          <w:szCs w:val="20"/>
          <w:lang w:val="ru-RU"/>
        </w:rPr>
        <w:t>швидкого</w:t>
      </w:r>
      <w:proofErr w:type="spellEnd"/>
      <w:r w:rsidRPr="006B6651">
        <w:rPr>
          <w:w w:val="110"/>
          <w:sz w:val="20"/>
          <w:szCs w:val="20"/>
          <w:lang w:val="ru-RU"/>
        </w:rPr>
        <w:t xml:space="preserve"> </w:t>
      </w:r>
      <w:proofErr w:type="spellStart"/>
      <w:r w:rsidRPr="006B6651">
        <w:rPr>
          <w:w w:val="110"/>
          <w:sz w:val="20"/>
          <w:szCs w:val="20"/>
          <w:lang w:val="ru-RU"/>
        </w:rPr>
        <w:t>повідомлення</w:t>
      </w:r>
      <w:proofErr w:type="spellEnd"/>
      <w:r w:rsidRPr="006B6651">
        <w:rPr>
          <w:w w:val="110"/>
          <w:sz w:val="20"/>
          <w:szCs w:val="20"/>
          <w:lang w:val="ru-RU"/>
        </w:rPr>
        <w:t xml:space="preserve"> </w:t>
      </w:r>
      <w:proofErr w:type="spellStart"/>
      <w:r w:rsidRPr="006B6651">
        <w:rPr>
          <w:w w:val="110"/>
          <w:sz w:val="20"/>
          <w:szCs w:val="20"/>
          <w:lang w:val="ru-RU"/>
        </w:rPr>
        <w:t>результатів</w:t>
      </w:r>
      <w:proofErr w:type="spellEnd"/>
      <w:r w:rsidRPr="006B6651">
        <w:rPr>
          <w:w w:val="110"/>
          <w:sz w:val="20"/>
          <w:szCs w:val="20"/>
          <w:lang w:val="ru-RU"/>
        </w:rPr>
        <w:t xml:space="preserve"> </w:t>
      </w:r>
      <w:r w:rsidRPr="003C17C3">
        <w:rPr>
          <w:w w:val="110"/>
          <w:sz w:val="20"/>
          <w:szCs w:val="20"/>
        </w:rPr>
        <w:t>LPA</w:t>
      </w:r>
      <w:r w:rsidRPr="006B6651">
        <w:rPr>
          <w:w w:val="110"/>
          <w:sz w:val="20"/>
          <w:szCs w:val="20"/>
          <w:lang w:val="ru-RU"/>
        </w:rPr>
        <w:t xml:space="preserve"> </w:t>
      </w:r>
      <w:r w:rsidRPr="003C17C3">
        <w:rPr>
          <w:w w:val="110"/>
          <w:sz w:val="20"/>
          <w:szCs w:val="20"/>
          <w:lang w:val="uk-UA"/>
        </w:rPr>
        <w:t>лікарям</w:t>
      </w:r>
      <w:r w:rsidRPr="006B6651">
        <w:rPr>
          <w:w w:val="110"/>
          <w:sz w:val="20"/>
          <w:szCs w:val="20"/>
          <w:lang w:val="ru-RU"/>
        </w:rPr>
        <w:t xml:space="preserve">, </w:t>
      </w:r>
      <w:proofErr w:type="spellStart"/>
      <w:r w:rsidRPr="006B6651">
        <w:rPr>
          <w:w w:val="110"/>
          <w:sz w:val="20"/>
          <w:szCs w:val="20"/>
          <w:lang w:val="ru-RU"/>
        </w:rPr>
        <w:t>щоб</w:t>
      </w:r>
      <w:proofErr w:type="spellEnd"/>
      <w:r w:rsidRPr="006B6651">
        <w:rPr>
          <w:w w:val="110"/>
          <w:sz w:val="20"/>
          <w:szCs w:val="20"/>
          <w:lang w:val="ru-RU"/>
        </w:rPr>
        <w:t xml:space="preserve"> </w:t>
      </w:r>
      <w:proofErr w:type="spellStart"/>
      <w:r w:rsidRPr="006B6651">
        <w:rPr>
          <w:w w:val="110"/>
          <w:sz w:val="20"/>
          <w:szCs w:val="20"/>
          <w:lang w:val="ru-RU"/>
        </w:rPr>
        <w:t>забезпечити</w:t>
      </w:r>
      <w:proofErr w:type="spellEnd"/>
      <w:r w:rsidRPr="006B6651">
        <w:rPr>
          <w:w w:val="110"/>
          <w:sz w:val="20"/>
          <w:szCs w:val="20"/>
          <w:lang w:val="ru-RU"/>
        </w:rPr>
        <w:t xml:space="preserve"> </w:t>
      </w:r>
      <w:proofErr w:type="spellStart"/>
      <w:r w:rsidRPr="006B6651">
        <w:rPr>
          <w:w w:val="110"/>
          <w:sz w:val="20"/>
          <w:szCs w:val="20"/>
          <w:lang w:val="ru-RU"/>
        </w:rPr>
        <w:t>пацієнтам</w:t>
      </w:r>
      <w:proofErr w:type="spellEnd"/>
      <w:r w:rsidRPr="006B6651">
        <w:rPr>
          <w:w w:val="110"/>
          <w:sz w:val="20"/>
          <w:szCs w:val="20"/>
          <w:lang w:val="ru-RU"/>
        </w:rPr>
        <w:t xml:space="preserve"> </w:t>
      </w:r>
      <w:proofErr w:type="spellStart"/>
      <w:r w:rsidRPr="006B6651">
        <w:rPr>
          <w:w w:val="110"/>
          <w:sz w:val="20"/>
          <w:szCs w:val="20"/>
          <w:lang w:val="ru-RU"/>
        </w:rPr>
        <w:t>переваги</w:t>
      </w:r>
      <w:proofErr w:type="spellEnd"/>
      <w:r w:rsidRPr="006B6651">
        <w:rPr>
          <w:w w:val="110"/>
          <w:sz w:val="20"/>
          <w:szCs w:val="20"/>
          <w:lang w:val="ru-RU"/>
        </w:rPr>
        <w:t xml:space="preserve"> </w:t>
      </w:r>
      <w:proofErr w:type="spellStart"/>
      <w:r w:rsidRPr="006B6651">
        <w:rPr>
          <w:w w:val="110"/>
          <w:sz w:val="20"/>
          <w:szCs w:val="20"/>
          <w:lang w:val="ru-RU"/>
        </w:rPr>
        <w:t>ранньої</w:t>
      </w:r>
      <w:proofErr w:type="spellEnd"/>
      <w:r w:rsidRPr="006B6651">
        <w:rPr>
          <w:w w:val="110"/>
          <w:sz w:val="20"/>
          <w:szCs w:val="20"/>
          <w:lang w:val="ru-RU"/>
        </w:rPr>
        <w:t xml:space="preserve"> </w:t>
      </w:r>
      <w:proofErr w:type="spellStart"/>
      <w:r w:rsidRPr="006B6651">
        <w:rPr>
          <w:w w:val="110"/>
          <w:sz w:val="20"/>
          <w:szCs w:val="20"/>
          <w:lang w:val="ru-RU"/>
        </w:rPr>
        <w:t>діагностики</w:t>
      </w:r>
      <w:proofErr w:type="spellEnd"/>
      <w:r w:rsidRPr="006B6651">
        <w:rPr>
          <w:w w:val="110"/>
          <w:sz w:val="20"/>
          <w:szCs w:val="20"/>
          <w:lang w:val="ru-RU"/>
        </w:rPr>
        <w:t xml:space="preserve">. Та сама </w:t>
      </w:r>
      <w:proofErr w:type="spellStart"/>
      <w:r w:rsidRPr="006B6651">
        <w:rPr>
          <w:w w:val="110"/>
          <w:sz w:val="20"/>
          <w:szCs w:val="20"/>
          <w:lang w:val="ru-RU"/>
        </w:rPr>
        <w:t>інфраструктура</w:t>
      </w:r>
      <w:proofErr w:type="spellEnd"/>
      <w:r w:rsidRPr="006B6651">
        <w:rPr>
          <w:w w:val="110"/>
          <w:sz w:val="20"/>
          <w:szCs w:val="20"/>
          <w:lang w:val="ru-RU"/>
        </w:rPr>
        <w:t xml:space="preserve">, </w:t>
      </w:r>
      <w:proofErr w:type="spellStart"/>
      <w:r w:rsidRPr="006B6651">
        <w:rPr>
          <w:w w:val="110"/>
          <w:sz w:val="20"/>
          <w:szCs w:val="20"/>
          <w:lang w:val="ru-RU"/>
        </w:rPr>
        <w:t>що</w:t>
      </w:r>
      <w:proofErr w:type="spellEnd"/>
      <w:r w:rsidRPr="006B6651">
        <w:rPr>
          <w:w w:val="110"/>
          <w:sz w:val="20"/>
          <w:szCs w:val="20"/>
          <w:lang w:val="ru-RU"/>
        </w:rPr>
        <w:t xml:space="preserve"> </w:t>
      </w:r>
      <w:proofErr w:type="spellStart"/>
      <w:r w:rsidRPr="006B6651">
        <w:rPr>
          <w:w w:val="110"/>
          <w:sz w:val="20"/>
          <w:szCs w:val="20"/>
          <w:lang w:val="ru-RU"/>
        </w:rPr>
        <w:t>використовується</w:t>
      </w:r>
      <w:proofErr w:type="spellEnd"/>
      <w:r w:rsidRPr="006B6651">
        <w:rPr>
          <w:w w:val="110"/>
          <w:sz w:val="20"/>
          <w:szCs w:val="20"/>
          <w:lang w:val="ru-RU"/>
        </w:rPr>
        <w:t xml:space="preserve"> для </w:t>
      </w:r>
      <w:proofErr w:type="spellStart"/>
      <w:r w:rsidRPr="006B6651">
        <w:rPr>
          <w:w w:val="110"/>
          <w:sz w:val="20"/>
          <w:szCs w:val="20"/>
          <w:lang w:val="ru-RU"/>
        </w:rPr>
        <w:t>проведення</w:t>
      </w:r>
      <w:proofErr w:type="spellEnd"/>
      <w:r w:rsidRPr="006B6651">
        <w:rPr>
          <w:w w:val="110"/>
          <w:sz w:val="20"/>
          <w:szCs w:val="20"/>
          <w:lang w:val="ru-RU"/>
        </w:rPr>
        <w:t xml:space="preserve"> </w:t>
      </w:r>
      <w:r w:rsidRPr="003C17C3">
        <w:rPr>
          <w:w w:val="110"/>
          <w:sz w:val="20"/>
          <w:szCs w:val="20"/>
        </w:rPr>
        <w:t>LPA</w:t>
      </w:r>
      <w:r w:rsidRPr="006B6651">
        <w:rPr>
          <w:w w:val="110"/>
          <w:sz w:val="20"/>
          <w:szCs w:val="20"/>
          <w:lang w:val="ru-RU"/>
        </w:rPr>
        <w:t xml:space="preserve"> </w:t>
      </w:r>
      <w:proofErr w:type="spellStart"/>
      <w:r w:rsidRPr="006B6651">
        <w:rPr>
          <w:w w:val="110"/>
          <w:sz w:val="20"/>
          <w:szCs w:val="20"/>
          <w:lang w:val="ru-RU"/>
        </w:rPr>
        <w:t>першого</w:t>
      </w:r>
      <w:proofErr w:type="spellEnd"/>
      <w:r w:rsidRPr="006B6651">
        <w:rPr>
          <w:w w:val="110"/>
          <w:sz w:val="20"/>
          <w:szCs w:val="20"/>
          <w:lang w:val="ru-RU"/>
        </w:rPr>
        <w:t xml:space="preserve"> ряду, </w:t>
      </w:r>
      <w:proofErr w:type="spellStart"/>
      <w:r w:rsidRPr="006B6651">
        <w:rPr>
          <w:w w:val="110"/>
          <w:sz w:val="20"/>
          <w:szCs w:val="20"/>
          <w:lang w:val="ru-RU"/>
        </w:rPr>
        <w:t>може</w:t>
      </w:r>
      <w:proofErr w:type="spellEnd"/>
      <w:r w:rsidRPr="006B6651">
        <w:rPr>
          <w:w w:val="110"/>
          <w:sz w:val="20"/>
          <w:szCs w:val="20"/>
          <w:lang w:val="ru-RU"/>
        </w:rPr>
        <w:t xml:space="preserve"> також </w:t>
      </w:r>
      <w:proofErr w:type="spellStart"/>
      <w:r w:rsidRPr="006B6651">
        <w:rPr>
          <w:w w:val="110"/>
          <w:sz w:val="20"/>
          <w:szCs w:val="20"/>
          <w:lang w:val="ru-RU"/>
        </w:rPr>
        <w:t>використовуватися</w:t>
      </w:r>
      <w:proofErr w:type="spellEnd"/>
      <w:r w:rsidRPr="006B6651">
        <w:rPr>
          <w:w w:val="110"/>
          <w:sz w:val="20"/>
          <w:szCs w:val="20"/>
          <w:lang w:val="ru-RU"/>
        </w:rPr>
        <w:t xml:space="preserve"> для </w:t>
      </w:r>
      <w:proofErr w:type="spellStart"/>
      <w:r w:rsidRPr="006B6651">
        <w:rPr>
          <w:w w:val="110"/>
          <w:sz w:val="20"/>
          <w:szCs w:val="20"/>
          <w:lang w:val="ru-RU"/>
        </w:rPr>
        <w:t>проведення</w:t>
      </w:r>
      <w:proofErr w:type="spellEnd"/>
      <w:r w:rsidRPr="006B6651">
        <w:rPr>
          <w:w w:val="110"/>
          <w:sz w:val="20"/>
          <w:szCs w:val="20"/>
          <w:lang w:val="ru-RU"/>
        </w:rPr>
        <w:t xml:space="preserve"> </w:t>
      </w:r>
      <w:r w:rsidRPr="003C17C3">
        <w:rPr>
          <w:w w:val="110"/>
          <w:sz w:val="20"/>
          <w:szCs w:val="20"/>
        </w:rPr>
        <w:t>LPA</w:t>
      </w:r>
      <w:r w:rsidRPr="006B6651">
        <w:rPr>
          <w:w w:val="110"/>
          <w:sz w:val="20"/>
          <w:szCs w:val="20"/>
          <w:lang w:val="ru-RU"/>
        </w:rPr>
        <w:t xml:space="preserve"> другого ряду.</w:t>
      </w:r>
    </w:p>
    <w:p w14:paraId="66FCEAE6" w14:textId="77777777" w:rsidR="00DE2E3D" w:rsidRPr="006B6651" w:rsidRDefault="00DE2E3D" w:rsidP="004A2937">
      <w:pPr>
        <w:pStyle w:val="a4"/>
        <w:numPr>
          <w:ilvl w:val="0"/>
          <w:numId w:val="42"/>
        </w:numPr>
        <w:tabs>
          <w:tab w:val="left" w:pos="1701"/>
        </w:tabs>
        <w:spacing w:before="4" w:line="276" w:lineRule="auto"/>
        <w:ind w:right="933"/>
        <w:rPr>
          <w:sz w:val="20"/>
          <w:szCs w:val="20"/>
          <w:lang w:val="ru-RU"/>
        </w:rPr>
      </w:pPr>
      <w:r w:rsidRPr="006B6651">
        <w:rPr>
          <w:w w:val="110"/>
          <w:sz w:val="20"/>
          <w:szCs w:val="20"/>
          <w:lang w:val="ru-RU"/>
        </w:rPr>
        <w:t xml:space="preserve">Тести </w:t>
      </w:r>
      <w:r w:rsidRPr="003C17C3">
        <w:rPr>
          <w:w w:val="110"/>
          <w:sz w:val="20"/>
          <w:szCs w:val="20"/>
        </w:rPr>
        <w:t>LPA</w:t>
      </w:r>
      <w:r w:rsidRPr="006B6651">
        <w:rPr>
          <w:w w:val="110"/>
          <w:sz w:val="20"/>
          <w:szCs w:val="20"/>
          <w:lang w:val="ru-RU"/>
        </w:rPr>
        <w:t xml:space="preserve"> </w:t>
      </w:r>
      <w:proofErr w:type="spellStart"/>
      <w:r w:rsidRPr="006B6651">
        <w:rPr>
          <w:w w:val="110"/>
          <w:sz w:val="20"/>
          <w:szCs w:val="20"/>
          <w:lang w:val="ru-RU"/>
        </w:rPr>
        <w:t>призначені</w:t>
      </w:r>
      <w:proofErr w:type="spellEnd"/>
      <w:r w:rsidRPr="006B6651">
        <w:rPr>
          <w:w w:val="110"/>
          <w:sz w:val="20"/>
          <w:szCs w:val="20"/>
          <w:lang w:val="ru-RU"/>
        </w:rPr>
        <w:t xml:space="preserve"> для виявлення ТБ та </w:t>
      </w:r>
      <w:proofErr w:type="spellStart"/>
      <w:r w:rsidRPr="006B6651">
        <w:rPr>
          <w:w w:val="110"/>
          <w:sz w:val="20"/>
          <w:szCs w:val="20"/>
          <w:lang w:val="ru-RU"/>
        </w:rPr>
        <w:t>резистентності</w:t>
      </w:r>
      <w:proofErr w:type="spellEnd"/>
      <w:r w:rsidRPr="006B6651">
        <w:rPr>
          <w:w w:val="110"/>
          <w:sz w:val="20"/>
          <w:szCs w:val="20"/>
          <w:lang w:val="ru-RU"/>
        </w:rPr>
        <w:t xml:space="preserve"> до рифампіцину та ізоніазиду шляхом прямого </w:t>
      </w:r>
      <w:proofErr w:type="spellStart"/>
      <w:r w:rsidRPr="006B6651">
        <w:rPr>
          <w:w w:val="110"/>
          <w:sz w:val="20"/>
          <w:szCs w:val="20"/>
          <w:lang w:val="ru-RU"/>
        </w:rPr>
        <w:t>тестування</w:t>
      </w:r>
      <w:proofErr w:type="spellEnd"/>
      <w:r w:rsidRPr="006B6651">
        <w:rPr>
          <w:w w:val="110"/>
          <w:sz w:val="20"/>
          <w:szCs w:val="20"/>
          <w:lang w:val="ru-RU"/>
        </w:rPr>
        <w:t xml:space="preserve"> </w:t>
      </w:r>
      <w:proofErr w:type="spellStart"/>
      <w:r w:rsidRPr="006B6651">
        <w:rPr>
          <w:w w:val="110"/>
          <w:sz w:val="20"/>
          <w:szCs w:val="20"/>
          <w:lang w:val="ru-RU"/>
        </w:rPr>
        <w:t>оброблених</w:t>
      </w:r>
      <w:proofErr w:type="spellEnd"/>
      <w:r w:rsidRPr="006B6651">
        <w:rPr>
          <w:w w:val="110"/>
          <w:sz w:val="20"/>
          <w:szCs w:val="20"/>
          <w:lang w:val="ru-RU"/>
        </w:rPr>
        <w:t xml:space="preserve"> </w:t>
      </w:r>
      <w:proofErr w:type="spellStart"/>
      <w:r w:rsidRPr="006B6651">
        <w:rPr>
          <w:w w:val="110"/>
          <w:sz w:val="20"/>
          <w:szCs w:val="20"/>
          <w:lang w:val="ru-RU"/>
        </w:rPr>
        <w:t>зразків</w:t>
      </w:r>
      <w:proofErr w:type="spellEnd"/>
      <w:r w:rsidRPr="006B6651">
        <w:rPr>
          <w:w w:val="110"/>
          <w:sz w:val="20"/>
          <w:szCs w:val="20"/>
          <w:lang w:val="ru-RU"/>
        </w:rPr>
        <w:t xml:space="preserve"> </w:t>
      </w:r>
      <w:proofErr w:type="spellStart"/>
      <w:r w:rsidRPr="006B6651">
        <w:rPr>
          <w:w w:val="110"/>
          <w:sz w:val="20"/>
          <w:szCs w:val="20"/>
          <w:lang w:val="ru-RU"/>
        </w:rPr>
        <w:t>мокротиння</w:t>
      </w:r>
      <w:proofErr w:type="spellEnd"/>
      <w:r w:rsidRPr="006B6651">
        <w:rPr>
          <w:w w:val="110"/>
          <w:sz w:val="20"/>
          <w:szCs w:val="20"/>
          <w:lang w:val="ru-RU"/>
        </w:rPr>
        <w:t xml:space="preserve"> та непрямого </w:t>
      </w:r>
      <w:proofErr w:type="spellStart"/>
      <w:r w:rsidRPr="006B6651">
        <w:rPr>
          <w:w w:val="110"/>
          <w:sz w:val="20"/>
          <w:szCs w:val="20"/>
          <w:lang w:val="ru-RU"/>
        </w:rPr>
        <w:t>тестування</w:t>
      </w:r>
      <w:proofErr w:type="spellEnd"/>
      <w:r w:rsidRPr="006B6651">
        <w:rPr>
          <w:w w:val="110"/>
          <w:sz w:val="20"/>
          <w:szCs w:val="20"/>
          <w:lang w:val="ru-RU"/>
        </w:rPr>
        <w:t xml:space="preserve"> </w:t>
      </w:r>
      <w:proofErr w:type="spellStart"/>
      <w:r w:rsidRPr="006B6651">
        <w:rPr>
          <w:w w:val="110"/>
          <w:sz w:val="20"/>
          <w:szCs w:val="20"/>
          <w:lang w:val="ru-RU"/>
        </w:rPr>
        <w:t>ізолятів</w:t>
      </w:r>
      <w:proofErr w:type="spellEnd"/>
      <w:r w:rsidRPr="006B6651">
        <w:rPr>
          <w:w w:val="110"/>
          <w:sz w:val="20"/>
          <w:szCs w:val="20"/>
          <w:lang w:val="ru-RU"/>
        </w:rPr>
        <w:t xml:space="preserve"> культур МБТК. Використання </w:t>
      </w:r>
      <w:r w:rsidRPr="003C17C3">
        <w:rPr>
          <w:w w:val="110"/>
          <w:sz w:val="20"/>
          <w:szCs w:val="20"/>
        </w:rPr>
        <w:t>LPA</w:t>
      </w:r>
      <w:r w:rsidRPr="006B6651">
        <w:rPr>
          <w:w w:val="110"/>
          <w:sz w:val="20"/>
          <w:szCs w:val="20"/>
          <w:lang w:val="ru-RU"/>
        </w:rPr>
        <w:t xml:space="preserve"> з </w:t>
      </w:r>
      <w:proofErr w:type="spellStart"/>
      <w:r w:rsidRPr="006B6651">
        <w:rPr>
          <w:w w:val="110"/>
          <w:sz w:val="20"/>
          <w:szCs w:val="20"/>
          <w:lang w:val="ru-RU"/>
        </w:rPr>
        <w:t>іншими</w:t>
      </w:r>
      <w:proofErr w:type="spellEnd"/>
      <w:r w:rsidRPr="006B6651">
        <w:rPr>
          <w:w w:val="110"/>
          <w:sz w:val="20"/>
          <w:szCs w:val="20"/>
          <w:lang w:val="ru-RU"/>
        </w:rPr>
        <w:t xml:space="preserve"> </w:t>
      </w:r>
      <w:proofErr w:type="spellStart"/>
      <w:r w:rsidRPr="006B6651">
        <w:rPr>
          <w:w w:val="110"/>
          <w:sz w:val="20"/>
          <w:szCs w:val="20"/>
          <w:lang w:val="ru-RU"/>
        </w:rPr>
        <w:t>респіраторними</w:t>
      </w:r>
      <w:proofErr w:type="spellEnd"/>
      <w:r w:rsidRPr="006B6651">
        <w:rPr>
          <w:w w:val="110"/>
          <w:sz w:val="20"/>
          <w:szCs w:val="20"/>
          <w:lang w:val="ru-RU"/>
        </w:rPr>
        <w:t xml:space="preserve"> </w:t>
      </w:r>
      <w:proofErr w:type="spellStart"/>
      <w:r w:rsidRPr="006B6651">
        <w:rPr>
          <w:w w:val="110"/>
          <w:sz w:val="20"/>
          <w:szCs w:val="20"/>
          <w:lang w:val="ru-RU"/>
        </w:rPr>
        <w:t>зразками</w:t>
      </w:r>
      <w:proofErr w:type="spellEnd"/>
      <w:r w:rsidRPr="006B6651">
        <w:rPr>
          <w:w w:val="110"/>
          <w:sz w:val="20"/>
          <w:szCs w:val="20"/>
          <w:lang w:val="ru-RU"/>
        </w:rPr>
        <w:t xml:space="preserve"> (</w:t>
      </w:r>
      <w:proofErr w:type="spellStart"/>
      <w:r w:rsidRPr="006B6651">
        <w:rPr>
          <w:w w:val="110"/>
          <w:sz w:val="20"/>
          <w:szCs w:val="20"/>
          <w:lang w:val="ru-RU"/>
        </w:rPr>
        <w:t>наприклад</w:t>
      </w:r>
      <w:proofErr w:type="spellEnd"/>
      <w:r w:rsidRPr="006B6651">
        <w:rPr>
          <w:w w:val="110"/>
          <w:sz w:val="20"/>
          <w:szCs w:val="20"/>
          <w:lang w:val="ru-RU"/>
        </w:rPr>
        <w:t xml:space="preserve">, з БАЛ або </w:t>
      </w:r>
      <w:proofErr w:type="spellStart"/>
      <w:r w:rsidRPr="006B6651">
        <w:rPr>
          <w:w w:val="110"/>
          <w:sz w:val="20"/>
          <w:szCs w:val="20"/>
          <w:lang w:val="ru-RU"/>
        </w:rPr>
        <w:t>шлункового</w:t>
      </w:r>
      <w:proofErr w:type="spellEnd"/>
      <w:r w:rsidRPr="006B6651">
        <w:rPr>
          <w:w w:val="110"/>
          <w:sz w:val="20"/>
          <w:szCs w:val="20"/>
          <w:lang w:val="ru-RU"/>
        </w:rPr>
        <w:t xml:space="preserve"> </w:t>
      </w:r>
      <w:proofErr w:type="spellStart"/>
      <w:r w:rsidRPr="006B6651">
        <w:rPr>
          <w:w w:val="110"/>
          <w:sz w:val="20"/>
          <w:szCs w:val="20"/>
          <w:lang w:val="ru-RU"/>
        </w:rPr>
        <w:t>аспірату</w:t>
      </w:r>
      <w:proofErr w:type="spellEnd"/>
      <w:r w:rsidRPr="006B6651">
        <w:rPr>
          <w:w w:val="110"/>
          <w:sz w:val="20"/>
          <w:szCs w:val="20"/>
          <w:lang w:val="ru-RU"/>
        </w:rPr>
        <w:t xml:space="preserve">) </w:t>
      </w:r>
      <w:proofErr w:type="spellStart"/>
      <w:r w:rsidRPr="006B6651">
        <w:rPr>
          <w:w w:val="110"/>
          <w:sz w:val="20"/>
          <w:szCs w:val="20"/>
          <w:lang w:val="ru-RU"/>
        </w:rPr>
        <w:t>чи</w:t>
      </w:r>
      <w:proofErr w:type="spellEnd"/>
      <w:r w:rsidRPr="006B6651">
        <w:rPr>
          <w:w w:val="110"/>
          <w:sz w:val="20"/>
          <w:szCs w:val="20"/>
          <w:lang w:val="ru-RU"/>
        </w:rPr>
        <w:t xml:space="preserve"> </w:t>
      </w:r>
      <w:proofErr w:type="spellStart"/>
      <w:r w:rsidRPr="006B6651">
        <w:rPr>
          <w:w w:val="110"/>
          <w:sz w:val="20"/>
          <w:szCs w:val="20"/>
          <w:lang w:val="ru-RU"/>
        </w:rPr>
        <w:t>позалегеневими</w:t>
      </w:r>
      <w:proofErr w:type="spellEnd"/>
      <w:r w:rsidRPr="006B6651">
        <w:rPr>
          <w:w w:val="110"/>
          <w:sz w:val="20"/>
          <w:szCs w:val="20"/>
          <w:lang w:val="ru-RU"/>
        </w:rPr>
        <w:t xml:space="preserve"> </w:t>
      </w:r>
      <w:proofErr w:type="spellStart"/>
      <w:r w:rsidRPr="006B6651">
        <w:rPr>
          <w:w w:val="110"/>
          <w:sz w:val="20"/>
          <w:szCs w:val="20"/>
          <w:lang w:val="ru-RU"/>
        </w:rPr>
        <w:t>зразками</w:t>
      </w:r>
      <w:proofErr w:type="spellEnd"/>
      <w:r w:rsidRPr="006B6651">
        <w:rPr>
          <w:w w:val="110"/>
          <w:sz w:val="20"/>
          <w:szCs w:val="20"/>
          <w:lang w:val="ru-RU"/>
        </w:rPr>
        <w:t xml:space="preserve"> (</w:t>
      </w:r>
      <w:proofErr w:type="spellStart"/>
      <w:r w:rsidRPr="006B6651">
        <w:rPr>
          <w:w w:val="110"/>
          <w:sz w:val="20"/>
          <w:szCs w:val="20"/>
          <w:lang w:val="ru-RU"/>
        </w:rPr>
        <w:t>наприклад</w:t>
      </w:r>
      <w:proofErr w:type="spellEnd"/>
      <w:r w:rsidRPr="006B6651">
        <w:rPr>
          <w:w w:val="110"/>
          <w:sz w:val="20"/>
          <w:szCs w:val="20"/>
          <w:lang w:val="ru-RU"/>
        </w:rPr>
        <w:t xml:space="preserve">, </w:t>
      </w:r>
      <w:proofErr w:type="spellStart"/>
      <w:r w:rsidRPr="006B6651">
        <w:rPr>
          <w:w w:val="110"/>
          <w:sz w:val="20"/>
          <w:szCs w:val="20"/>
          <w:lang w:val="ru-RU"/>
        </w:rPr>
        <w:t>зразками</w:t>
      </w:r>
      <w:proofErr w:type="spellEnd"/>
      <w:r w:rsidRPr="006B6651">
        <w:rPr>
          <w:w w:val="110"/>
          <w:sz w:val="20"/>
          <w:szCs w:val="20"/>
          <w:lang w:val="ru-RU"/>
        </w:rPr>
        <w:t xml:space="preserve"> тканин, СМР або </w:t>
      </w:r>
      <w:proofErr w:type="spellStart"/>
      <w:r w:rsidRPr="006B6651">
        <w:rPr>
          <w:w w:val="110"/>
          <w:sz w:val="20"/>
          <w:szCs w:val="20"/>
          <w:lang w:val="ru-RU"/>
        </w:rPr>
        <w:t>іншими</w:t>
      </w:r>
      <w:proofErr w:type="spellEnd"/>
      <w:r w:rsidRPr="006B6651">
        <w:rPr>
          <w:w w:val="110"/>
          <w:sz w:val="20"/>
          <w:szCs w:val="20"/>
          <w:lang w:val="ru-RU"/>
        </w:rPr>
        <w:t xml:space="preserve"> </w:t>
      </w:r>
      <w:proofErr w:type="spellStart"/>
      <w:r w:rsidRPr="006B6651">
        <w:rPr>
          <w:w w:val="110"/>
          <w:sz w:val="20"/>
          <w:szCs w:val="20"/>
          <w:lang w:val="ru-RU"/>
        </w:rPr>
        <w:t>біологічними</w:t>
      </w:r>
      <w:proofErr w:type="spellEnd"/>
      <w:r w:rsidRPr="006B6651">
        <w:rPr>
          <w:w w:val="110"/>
          <w:sz w:val="20"/>
          <w:szCs w:val="20"/>
          <w:lang w:val="ru-RU"/>
        </w:rPr>
        <w:t xml:space="preserve"> </w:t>
      </w:r>
      <w:proofErr w:type="spellStart"/>
      <w:r w:rsidRPr="006B6651">
        <w:rPr>
          <w:w w:val="110"/>
          <w:sz w:val="20"/>
          <w:szCs w:val="20"/>
          <w:lang w:val="ru-RU"/>
        </w:rPr>
        <w:t>рідинами</w:t>
      </w:r>
      <w:proofErr w:type="spellEnd"/>
      <w:r w:rsidRPr="006B6651">
        <w:rPr>
          <w:w w:val="110"/>
          <w:sz w:val="20"/>
          <w:szCs w:val="20"/>
          <w:lang w:val="ru-RU"/>
        </w:rPr>
        <w:t xml:space="preserve">) не </w:t>
      </w:r>
      <w:proofErr w:type="spellStart"/>
      <w:r w:rsidRPr="006B6651">
        <w:rPr>
          <w:w w:val="110"/>
          <w:sz w:val="20"/>
          <w:szCs w:val="20"/>
          <w:lang w:val="ru-RU"/>
        </w:rPr>
        <w:t>було</w:t>
      </w:r>
      <w:proofErr w:type="spellEnd"/>
      <w:r w:rsidRPr="006B6651">
        <w:rPr>
          <w:w w:val="110"/>
          <w:sz w:val="20"/>
          <w:szCs w:val="20"/>
          <w:lang w:val="ru-RU"/>
        </w:rPr>
        <w:t xml:space="preserve"> </w:t>
      </w:r>
      <w:proofErr w:type="spellStart"/>
      <w:r w:rsidRPr="006B6651">
        <w:rPr>
          <w:w w:val="110"/>
          <w:sz w:val="20"/>
          <w:szCs w:val="20"/>
          <w:lang w:val="ru-RU"/>
        </w:rPr>
        <w:t>належним</w:t>
      </w:r>
      <w:proofErr w:type="spellEnd"/>
      <w:r w:rsidRPr="006B6651">
        <w:rPr>
          <w:w w:val="110"/>
          <w:sz w:val="20"/>
          <w:szCs w:val="20"/>
          <w:lang w:val="ru-RU"/>
        </w:rPr>
        <w:t xml:space="preserve"> чином </w:t>
      </w:r>
      <w:proofErr w:type="spellStart"/>
      <w:r w:rsidRPr="006B6651">
        <w:rPr>
          <w:w w:val="110"/>
          <w:sz w:val="20"/>
          <w:szCs w:val="20"/>
          <w:lang w:val="ru-RU"/>
        </w:rPr>
        <w:t>оцінено</w:t>
      </w:r>
      <w:proofErr w:type="spellEnd"/>
      <w:r w:rsidRPr="006B6651">
        <w:rPr>
          <w:w w:val="110"/>
          <w:sz w:val="20"/>
          <w:szCs w:val="20"/>
          <w:lang w:val="ru-RU"/>
        </w:rPr>
        <w:t>.</w:t>
      </w:r>
    </w:p>
    <w:p w14:paraId="0FCC6262" w14:textId="77777777" w:rsidR="00DE2E3D" w:rsidRPr="006B6651" w:rsidRDefault="00DE2E3D" w:rsidP="004A2937">
      <w:pPr>
        <w:pStyle w:val="a4"/>
        <w:numPr>
          <w:ilvl w:val="0"/>
          <w:numId w:val="42"/>
        </w:numPr>
        <w:tabs>
          <w:tab w:val="left" w:pos="1701"/>
        </w:tabs>
        <w:spacing w:before="4" w:line="276" w:lineRule="auto"/>
        <w:ind w:right="933"/>
        <w:rPr>
          <w:sz w:val="20"/>
          <w:szCs w:val="20"/>
          <w:lang w:val="ru-RU"/>
        </w:rPr>
      </w:pPr>
      <w:proofErr w:type="spellStart"/>
      <w:r w:rsidRPr="006B6651">
        <w:rPr>
          <w:w w:val="110"/>
          <w:sz w:val="20"/>
          <w:szCs w:val="20"/>
          <w:lang w:val="ru-RU"/>
        </w:rPr>
        <w:t>Наявність</w:t>
      </w:r>
      <w:proofErr w:type="spellEnd"/>
      <w:r w:rsidRPr="006B6651">
        <w:rPr>
          <w:w w:val="110"/>
          <w:sz w:val="20"/>
          <w:szCs w:val="20"/>
          <w:lang w:val="ru-RU"/>
        </w:rPr>
        <w:t xml:space="preserve"> </w:t>
      </w:r>
      <w:proofErr w:type="spellStart"/>
      <w:r w:rsidRPr="006B6651">
        <w:rPr>
          <w:w w:val="110"/>
          <w:sz w:val="20"/>
          <w:szCs w:val="20"/>
          <w:lang w:val="ru-RU"/>
        </w:rPr>
        <w:t>препаратів</w:t>
      </w:r>
      <w:proofErr w:type="spellEnd"/>
      <w:r w:rsidRPr="006B6651">
        <w:rPr>
          <w:w w:val="110"/>
          <w:sz w:val="20"/>
          <w:szCs w:val="20"/>
          <w:lang w:val="ru-RU"/>
        </w:rPr>
        <w:t xml:space="preserve"> другого ряду критично </w:t>
      </w:r>
      <w:proofErr w:type="spellStart"/>
      <w:r w:rsidRPr="006B6651">
        <w:rPr>
          <w:w w:val="110"/>
          <w:sz w:val="20"/>
          <w:szCs w:val="20"/>
          <w:lang w:val="ru-RU"/>
        </w:rPr>
        <w:t>важлив</w:t>
      </w:r>
      <w:proofErr w:type="spellEnd"/>
      <w:r w:rsidRPr="003C17C3">
        <w:rPr>
          <w:w w:val="110"/>
          <w:sz w:val="20"/>
          <w:szCs w:val="20"/>
          <w:lang w:val="uk-UA"/>
        </w:rPr>
        <w:t>а</w:t>
      </w:r>
      <w:r w:rsidRPr="006B6651">
        <w:rPr>
          <w:w w:val="110"/>
          <w:sz w:val="20"/>
          <w:szCs w:val="20"/>
          <w:lang w:val="ru-RU"/>
        </w:rPr>
        <w:t xml:space="preserve"> у </w:t>
      </w:r>
      <w:proofErr w:type="spellStart"/>
      <w:r w:rsidRPr="006B6651">
        <w:rPr>
          <w:w w:val="110"/>
          <w:sz w:val="20"/>
          <w:szCs w:val="20"/>
          <w:lang w:val="ru-RU"/>
        </w:rPr>
        <w:t>випадку</w:t>
      </w:r>
      <w:proofErr w:type="spellEnd"/>
      <w:r w:rsidRPr="006B6651">
        <w:rPr>
          <w:w w:val="110"/>
          <w:sz w:val="20"/>
          <w:szCs w:val="20"/>
          <w:lang w:val="ru-RU"/>
        </w:rPr>
        <w:t xml:space="preserve"> виявлення </w:t>
      </w:r>
      <w:r w:rsidRPr="003C17C3">
        <w:rPr>
          <w:w w:val="110"/>
          <w:sz w:val="20"/>
          <w:szCs w:val="20"/>
          <w:lang w:val="uk-UA"/>
        </w:rPr>
        <w:t>стійкості</w:t>
      </w:r>
      <w:r w:rsidRPr="006B6651">
        <w:rPr>
          <w:w w:val="110"/>
          <w:sz w:val="20"/>
          <w:szCs w:val="20"/>
          <w:lang w:val="ru-RU"/>
        </w:rPr>
        <w:t xml:space="preserve"> до рифампіцину </w:t>
      </w:r>
      <w:proofErr w:type="spellStart"/>
      <w:r w:rsidRPr="006B6651">
        <w:rPr>
          <w:w w:val="110"/>
          <w:sz w:val="20"/>
          <w:szCs w:val="20"/>
          <w:lang w:val="ru-RU"/>
        </w:rPr>
        <w:t>чи</w:t>
      </w:r>
      <w:proofErr w:type="spellEnd"/>
      <w:r w:rsidRPr="006B6651">
        <w:rPr>
          <w:w w:val="110"/>
          <w:sz w:val="20"/>
          <w:szCs w:val="20"/>
          <w:lang w:val="ru-RU"/>
        </w:rPr>
        <w:t xml:space="preserve"> ізоніазиду, або до </w:t>
      </w:r>
      <w:proofErr w:type="spellStart"/>
      <w:r w:rsidRPr="006B6651">
        <w:rPr>
          <w:w w:val="110"/>
          <w:sz w:val="20"/>
          <w:szCs w:val="20"/>
          <w:lang w:val="ru-RU"/>
        </w:rPr>
        <w:t>обох</w:t>
      </w:r>
      <w:proofErr w:type="spellEnd"/>
      <w:r w:rsidRPr="006B6651">
        <w:rPr>
          <w:w w:val="110"/>
          <w:sz w:val="20"/>
          <w:szCs w:val="20"/>
          <w:lang w:val="ru-RU"/>
        </w:rPr>
        <w:t xml:space="preserve"> </w:t>
      </w:r>
      <w:proofErr w:type="spellStart"/>
      <w:r w:rsidRPr="006B6651">
        <w:rPr>
          <w:w w:val="110"/>
          <w:sz w:val="20"/>
          <w:szCs w:val="20"/>
          <w:lang w:val="ru-RU"/>
        </w:rPr>
        <w:t>препаратів</w:t>
      </w:r>
      <w:proofErr w:type="spellEnd"/>
      <w:r w:rsidRPr="006B6651">
        <w:rPr>
          <w:w w:val="110"/>
          <w:sz w:val="20"/>
          <w:szCs w:val="20"/>
          <w:lang w:val="ru-RU"/>
        </w:rPr>
        <w:t>.</w:t>
      </w:r>
    </w:p>
    <w:p w14:paraId="2EE70180" w14:textId="77777777" w:rsidR="00DE2E3D" w:rsidRPr="006B6651" w:rsidRDefault="00DE2E3D" w:rsidP="004A2937">
      <w:pPr>
        <w:pStyle w:val="a4"/>
        <w:numPr>
          <w:ilvl w:val="0"/>
          <w:numId w:val="42"/>
        </w:numPr>
        <w:tabs>
          <w:tab w:val="left" w:pos="1701"/>
        </w:tabs>
        <w:spacing w:before="3" w:line="276" w:lineRule="auto"/>
        <w:ind w:right="933"/>
        <w:rPr>
          <w:sz w:val="20"/>
          <w:szCs w:val="20"/>
          <w:lang w:val="ru-RU"/>
        </w:rPr>
      </w:pPr>
      <w:r w:rsidRPr="006B6651">
        <w:rPr>
          <w:w w:val="110"/>
          <w:sz w:val="20"/>
          <w:szCs w:val="20"/>
          <w:lang w:val="ru-RU"/>
        </w:rPr>
        <w:t xml:space="preserve">Для </w:t>
      </w:r>
      <w:proofErr w:type="spellStart"/>
      <w:r w:rsidRPr="006B6651">
        <w:rPr>
          <w:w w:val="110"/>
          <w:sz w:val="20"/>
          <w:szCs w:val="20"/>
          <w:lang w:val="ru-RU"/>
        </w:rPr>
        <w:t>пацієнтів</w:t>
      </w:r>
      <w:proofErr w:type="spellEnd"/>
      <w:r w:rsidRPr="006B6651">
        <w:rPr>
          <w:w w:val="110"/>
          <w:sz w:val="20"/>
          <w:szCs w:val="20"/>
          <w:lang w:val="ru-RU"/>
        </w:rPr>
        <w:t xml:space="preserve"> з </w:t>
      </w:r>
      <w:proofErr w:type="spellStart"/>
      <w:r w:rsidRPr="006B6651">
        <w:rPr>
          <w:w w:val="110"/>
          <w:sz w:val="20"/>
          <w:szCs w:val="20"/>
          <w:lang w:val="ru-RU"/>
        </w:rPr>
        <w:t>підтвердженим</w:t>
      </w:r>
      <w:proofErr w:type="spellEnd"/>
      <w:r w:rsidRPr="006B6651">
        <w:rPr>
          <w:w w:val="110"/>
          <w:sz w:val="20"/>
          <w:szCs w:val="20"/>
          <w:lang w:val="ru-RU"/>
        </w:rPr>
        <w:t xml:space="preserve"> МЛС/Р</w:t>
      </w:r>
      <w:proofErr w:type="spellStart"/>
      <w:r w:rsidRPr="003C17C3">
        <w:rPr>
          <w:w w:val="110"/>
          <w:sz w:val="20"/>
          <w:szCs w:val="20"/>
          <w:lang w:val="uk-UA"/>
        </w:rPr>
        <w:t>иф</w:t>
      </w:r>
      <w:proofErr w:type="spellEnd"/>
      <w:r w:rsidRPr="006B6651">
        <w:rPr>
          <w:w w:val="110"/>
          <w:sz w:val="20"/>
          <w:szCs w:val="20"/>
          <w:lang w:val="ru-RU"/>
        </w:rPr>
        <w:t xml:space="preserve">-ТБ </w:t>
      </w:r>
      <w:proofErr w:type="spellStart"/>
      <w:r w:rsidRPr="006B6651">
        <w:rPr>
          <w:w w:val="110"/>
          <w:sz w:val="20"/>
          <w:szCs w:val="20"/>
          <w:lang w:val="ru-RU"/>
        </w:rPr>
        <w:t>рекомендується</w:t>
      </w:r>
      <w:proofErr w:type="spellEnd"/>
      <w:r w:rsidRPr="006B6651">
        <w:rPr>
          <w:w w:val="110"/>
          <w:sz w:val="20"/>
          <w:szCs w:val="20"/>
          <w:lang w:val="ru-RU"/>
        </w:rPr>
        <w:t xml:space="preserve"> використання </w:t>
      </w:r>
      <w:r w:rsidRPr="003C17C3">
        <w:rPr>
          <w:w w:val="110"/>
          <w:sz w:val="20"/>
          <w:szCs w:val="20"/>
        </w:rPr>
        <w:t>LPA</w:t>
      </w:r>
      <w:r w:rsidRPr="006B6651">
        <w:rPr>
          <w:w w:val="110"/>
          <w:sz w:val="20"/>
          <w:szCs w:val="20"/>
          <w:lang w:val="ru-RU"/>
        </w:rPr>
        <w:t xml:space="preserve"> другого ряду для виявлення </w:t>
      </w:r>
      <w:proofErr w:type="spellStart"/>
      <w:r w:rsidRPr="006B6651">
        <w:rPr>
          <w:w w:val="110"/>
          <w:sz w:val="20"/>
          <w:szCs w:val="20"/>
          <w:lang w:val="ru-RU"/>
        </w:rPr>
        <w:t>додаткової</w:t>
      </w:r>
      <w:proofErr w:type="spellEnd"/>
      <w:r w:rsidRPr="006B6651">
        <w:rPr>
          <w:w w:val="110"/>
          <w:sz w:val="20"/>
          <w:szCs w:val="20"/>
          <w:lang w:val="ru-RU"/>
        </w:rPr>
        <w:t xml:space="preserve"> </w:t>
      </w:r>
      <w:r w:rsidRPr="003C17C3">
        <w:rPr>
          <w:w w:val="110"/>
          <w:sz w:val="20"/>
          <w:szCs w:val="20"/>
          <w:lang w:val="uk-UA"/>
        </w:rPr>
        <w:t>стійкості</w:t>
      </w:r>
      <w:r w:rsidRPr="006B6651">
        <w:rPr>
          <w:w w:val="110"/>
          <w:sz w:val="20"/>
          <w:szCs w:val="20"/>
          <w:lang w:val="ru-RU"/>
        </w:rPr>
        <w:t xml:space="preserve"> до </w:t>
      </w:r>
      <w:proofErr w:type="spellStart"/>
      <w:r w:rsidRPr="006B6651">
        <w:rPr>
          <w:w w:val="110"/>
          <w:sz w:val="20"/>
          <w:szCs w:val="20"/>
          <w:lang w:val="ru-RU"/>
        </w:rPr>
        <w:t>протитуберкульозних</w:t>
      </w:r>
      <w:proofErr w:type="spellEnd"/>
      <w:r w:rsidRPr="006B6651">
        <w:rPr>
          <w:w w:val="110"/>
          <w:sz w:val="20"/>
          <w:szCs w:val="20"/>
          <w:lang w:val="ru-RU"/>
        </w:rPr>
        <w:t xml:space="preserve"> </w:t>
      </w:r>
      <w:proofErr w:type="spellStart"/>
      <w:r w:rsidRPr="006B6651">
        <w:rPr>
          <w:w w:val="110"/>
          <w:sz w:val="20"/>
          <w:szCs w:val="20"/>
          <w:lang w:val="ru-RU"/>
        </w:rPr>
        <w:t>препаратів</w:t>
      </w:r>
      <w:proofErr w:type="spellEnd"/>
      <w:r w:rsidRPr="006B6651">
        <w:rPr>
          <w:w w:val="110"/>
          <w:sz w:val="20"/>
          <w:szCs w:val="20"/>
          <w:lang w:val="ru-RU"/>
        </w:rPr>
        <w:t xml:space="preserve"> другого ряду.</w:t>
      </w:r>
    </w:p>
    <w:p w14:paraId="6F31524E" w14:textId="77777777" w:rsidR="00DE2E3D" w:rsidRPr="006B6651" w:rsidRDefault="00DE2E3D" w:rsidP="006E5AE7">
      <w:pPr>
        <w:pStyle w:val="a3"/>
        <w:spacing w:before="7"/>
        <w:ind w:right="933"/>
        <w:rPr>
          <w:sz w:val="19"/>
          <w:lang w:val="ru-RU"/>
        </w:rPr>
      </w:pPr>
    </w:p>
    <w:p w14:paraId="522F6D20" w14:textId="77777777" w:rsidR="00DE2E3D" w:rsidRPr="00EB5EFB" w:rsidRDefault="00DE2E3D" w:rsidP="006E5AE7">
      <w:pPr>
        <w:pStyle w:val="5"/>
        <w:ind w:left="1263" w:right="933" w:firstLine="153"/>
        <w:jc w:val="both"/>
        <w:rPr>
          <w:sz w:val="24"/>
          <w:szCs w:val="24"/>
        </w:rPr>
      </w:pPr>
      <w:proofErr w:type="spellStart"/>
      <w:r w:rsidRPr="00EB5EFB">
        <w:rPr>
          <w:color w:val="019648"/>
          <w:w w:val="110"/>
          <w:sz w:val="24"/>
          <w:szCs w:val="24"/>
        </w:rPr>
        <w:t>Пріоритети</w:t>
      </w:r>
      <w:proofErr w:type="spellEnd"/>
      <w:r w:rsidRPr="00EB5EFB">
        <w:rPr>
          <w:color w:val="019648"/>
          <w:w w:val="110"/>
          <w:sz w:val="24"/>
          <w:szCs w:val="24"/>
        </w:rPr>
        <w:t xml:space="preserve"> </w:t>
      </w:r>
      <w:proofErr w:type="spellStart"/>
      <w:r w:rsidRPr="00EB5EFB">
        <w:rPr>
          <w:color w:val="019648"/>
          <w:w w:val="110"/>
          <w:sz w:val="24"/>
          <w:szCs w:val="24"/>
        </w:rPr>
        <w:t>досліджен</w:t>
      </w:r>
      <w:r w:rsidRPr="00613D04">
        <w:rPr>
          <w:color w:val="019648"/>
          <w:w w:val="110"/>
          <w:sz w:val="24"/>
          <w:szCs w:val="24"/>
        </w:rPr>
        <w:t>ь</w:t>
      </w:r>
      <w:proofErr w:type="spellEnd"/>
    </w:p>
    <w:p w14:paraId="007A48F5" w14:textId="77777777" w:rsidR="00DE2E3D" w:rsidRPr="003C17C3" w:rsidRDefault="00DE2E3D" w:rsidP="004A2937">
      <w:pPr>
        <w:pStyle w:val="a4"/>
        <w:numPr>
          <w:ilvl w:val="0"/>
          <w:numId w:val="42"/>
        </w:numPr>
        <w:tabs>
          <w:tab w:val="left" w:pos="1701"/>
        </w:tabs>
        <w:spacing w:before="209" w:line="276" w:lineRule="auto"/>
        <w:ind w:right="933"/>
        <w:jc w:val="left"/>
        <w:rPr>
          <w:sz w:val="20"/>
          <w:szCs w:val="20"/>
        </w:rPr>
      </w:pPr>
      <w:proofErr w:type="spellStart"/>
      <w:r w:rsidRPr="003C17C3">
        <w:rPr>
          <w:w w:val="110"/>
          <w:sz w:val="20"/>
          <w:szCs w:val="20"/>
        </w:rPr>
        <w:t>Поглиблення</w:t>
      </w:r>
      <w:proofErr w:type="spellEnd"/>
      <w:r w:rsidRPr="003C17C3">
        <w:rPr>
          <w:w w:val="110"/>
          <w:sz w:val="20"/>
          <w:szCs w:val="20"/>
        </w:rPr>
        <w:t xml:space="preserve"> </w:t>
      </w:r>
      <w:proofErr w:type="spellStart"/>
      <w:r w:rsidRPr="003C17C3">
        <w:rPr>
          <w:w w:val="110"/>
          <w:sz w:val="20"/>
          <w:szCs w:val="20"/>
        </w:rPr>
        <w:t>розуміння</w:t>
      </w:r>
      <w:proofErr w:type="spellEnd"/>
      <w:r w:rsidRPr="003C17C3">
        <w:rPr>
          <w:w w:val="110"/>
          <w:sz w:val="20"/>
          <w:szCs w:val="20"/>
        </w:rPr>
        <w:t xml:space="preserve"> </w:t>
      </w:r>
      <w:proofErr w:type="spellStart"/>
      <w:r w:rsidRPr="003C17C3">
        <w:rPr>
          <w:w w:val="110"/>
          <w:sz w:val="20"/>
          <w:szCs w:val="20"/>
        </w:rPr>
        <w:t>кореляції</w:t>
      </w:r>
      <w:proofErr w:type="spellEnd"/>
      <w:r w:rsidRPr="003C17C3">
        <w:rPr>
          <w:w w:val="110"/>
          <w:sz w:val="20"/>
          <w:szCs w:val="20"/>
        </w:rPr>
        <w:t xml:space="preserve"> </w:t>
      </w:r>
      <w:proofErr w:type="spellStart"/>
      <w:r w:rsidRPr="003C17C3">
        <w:rPr>
          <w:w w:val="110"/>
          <w:sz w:val="20"/>
          <w:szCs w:val="20"/>
        </w:rPr>
        <w:t>між</w:t>
      </w:r>
      <w:proofErr w:type="spellEnd"/>
      <w:r w:rsidRPr="003C17C3">
        <w:rPr>
          <w:w w:val="110"/>
          <w:sz w:val="20"/>
          <w:szCs w:val="20"/>
        </w:rPr>
        <w:t xml:space="preserve"> </w:t>
      </w:r>
      <w:proofErr w:type="spellStart"/>
      <w:r w:rsidRPr="003C17C3">
        <w:rPr>
          <w:w w:val="110"/>
          <w:sz w:val="20"/>
          <w:szCs w:val="20"/>
        </w:rPr>
        <w:t>виявленням</w:t>
      </w:r>
      <w:proofErr w:type="spellEnd"/>
      <w:r w:rsidRPr="003C17C3">
        <w:rPr>
          <w:w w:val="110"/>
          <w:sz w:val="20"/>
          <w:szCs w:val="20"/>
        </w:rPr>
        <w:t xml:space="preserve"> </w:t>
      </w:r>
      <w:proofErr w:type="spellStart"/>
      <w:r w:rsidRPr="003C17C3">
        <w:rPr>
          <w:w w:val="110"/>
          <w:sz w:val="20"/>
          <w:szCs w:val="20"/>
        </w:rPr>
        <w:t>мутацій</w:t>
      </w:r>
      <w:proofErr w:type="spellEnd"/>
      <w:r w:rsidRPr="003C17C3">
        <w:rPr>
          <w:w w:val="110"/>
          <w:sz w:val="20"/>
          <w:szCs w:val="20"/>
        </w:rPr>
        <w:t xml:space="preserve">, </w:t>
      </w:r>
      <w:proofErr w:type="spellStart"/>
      <w:r w:rsidRPr="003C17C3">
        <w:rPr>
          <w:w w:val="110"/>
          <w:sz w:val="20"/>
          <w:szCs w:val="20"/>
        </w:rPr>
        <w:t>що</w:t>
      </w:r>
      <w:proofErr w:type="spellEnd"/>
      <w:r w:rsidRPr="003C17C3">
        <w:rPr>
          <w:w w:val="110"/>
          <w:sz w:val="20"/>
          <w:szCs w:val="20"/>
        </w:rPr>
        <w:t xml:space="preserve"> </w:t>
      </w:r>
      <w:proofErr w:type="spellStart"/>
      <w:r w:rsidRPr="003C17C3">
        <w:rPr>
          <w:w w:val="110"/>
          <w:sz w:val="20"/>
          <w:szCs w:val="20"/>
        </w:rPr>
        <w:t>зумовлюють</w:t>
      </w:r>
      <w:proofErr w:type="spellEnd"/>
      <w:r w:rsidRPr="003C17C3">
        <w:rPr>
          <w:w w:val="110"/>
          <w:sz w:val="20"/>
          <w:szCs w:val="20"/>
        </w:rPr>
        <w:t xml:space="preserve"> </w:t>
      </w:r>
      <w:r w:rsidRPr="003C17C3">
        <w:rPr>
          <w:w w:val="110"/>
          <w:sz w:val="20"/>
          <w:szCs w:val="20"/>
          <w:lang w:val="uk-UA"/>
        </w:rPr>
        <w:t>стійкість</w:t>
      </w:r>
      <w:r w:rsidRPr="003C17C3">
        <w:rPr>
          <w:w w:val="110"/>
          <w:sz w:val="20"/>
          <w:szCs w:val="20"/>
        </w:rPr>
        <w:t xml:space="preserve">, </w:t>
      </w:r>
      <w:proofErr w:type="spellStart"/>
      <w:r w:rsidRPr="003C17C3">
        <w:rPr>
          <w:w w:val="110"/>
          <w:sz w:val="20"/>
          <w:szCs w:val="20"/>
        </w:rPr>
        <w:t>за</w:t>
      </w:r>
      <w:proofErr w:type="spellEnd"/>
      <w:r w:rsidRPr="003C17C3">
        <w:rPr>
          <w:w w:val="110"/>
          <w:sz w:val="20"/>
          <w:szCs w:val="20"/>
        </w:rPr>
        <w:t xml:space="preserve"> </w:t>
      </w:r>
      <w:proofErr w:type="spellStart"/>
      <w:r w:rsidRPr="003C17C3">
        <w:rPr>
          <w:w w:val="110"/>
          <w:sz w:val="20"/>
          <w:szCs w:val="20"/>
        </w:rPr>
        <w:t>допомогою</w:t>
      </w:r>
      <w:proofErr w:type="spellEnd"/>
      <w:r w:rsidRPr="003C17C3">
        <w:rPr>
          <w:w w:val="110"/>
          <w:sz w:val="20"/>
          <w:szCs w:val="20"/>
        </w:rPr>
        <w:t xml:space="preserve"> культурального </w:t>
      </w:r>
      <w:r w:rsidRPr="003C17C3">
        <w:rPr>
          <w:w w:val="110"/>
          <w:sz w:val="20"/>
          <w:szCs w:val="20"/>
          <w:lang w:val="uk-UA"/>
        </w:rPr>
        <w:t xml:space="preserve">ТМЧ </w:t>
      </w:r>
      <w:r w:rsidRPr="003C17C3">
        <w:rPr>
          <w:w w:val="110"/>
          <w:sz w:val="20"/>
          <w:szCs w:val="20"/>
        </w:rPr>
        <w:t xml:space="preserve">та </w:t>
      </w:r>
      <w:proofErr w:type="spellStart"/>
      <w:r w:rsidRPr="003C17C3">
        <w:rPr>
          <w:w w:val="110"/>
          <w:sz w:val="20"/>
          <w:szCs w:val="20"/>
        </w:rPr>
        <w:t>результатами</w:t>
      </w:r>
      <w:proofErr w:type="spellEnd"/>
      <w:r w:rsidRPr="003C17C3">
        <w:rPr>
          <w:w w:val="110"/>
          <w:sz w:val="20"/>
          <w:szCs w:val="20"/>
        </w:rPr>
        <w:t xml:space="preserve"> </w:t>
      </w:r>
      <w:r>
        <w:rPr>
          <w:w w:val="110"/>
          <w:sz w:val="20"/>
          <w:szCs w:val="20"/>
          <w:lang w:val="uk-UA"/>
        </w:rPr>
        <w:t xml:space="preserve">лікування </w:t>
      </w:r>
      <w:proofErr w:type="spellStart"/>
      <w:r w:rsidRPr="003C17C3">
        <w:rPr>
          <w:w w:val="110"/>
          <w:sz w:val="20"/>
          <w:szCs w:val="20"/>
        </w:rPr>
        <w:t>пацієнтів</w:t>
      </w:r>
      <w:proofErr w:type="spellEnd"/>
      <w:r w:rsidRPr="003C17C3">
        <w:rPr>
          <w:w w:val="110"/>
          <w:sz w:val="20"/>
          <w:szCs w:val="20"/>
        </w:rPr>
        <w:t>.</w:t>
      </w:r>
    </w:p>
    <w:p w14:paraId="6E4D9ACB" w14:textId="77777777" w:rsidR="00DE2E3D" w:rsidRPr="006B6651" w:rsidRDefault="00DE2E3D" w:rsidP="004A2937">
      <w:pPr>
        <w:pStyle w:val="a4"/>
        <w:numPr>
          <w:ilvl w:val="0"/>
          <w:numId w:val="42"/>
        </w:numPr>
        <w:tabs>
          <w:tab w:val="left" w:pos="1701"/>
        </w:tabs>
        <w:spacing w:before="2" w:line="276" w:lineRule="auto"/>
        <w:ind w:right="933"/>
        <w:jc w:val="left"/>
        <w:rPr>
          <w:sz w:val="20"/>
          <w:szCs w:val="20"/>
          <w:lang w:val="ru-RU"/>
        </w:rPr>
      </w:pPr>
      <w:r w:rsidRPr="003C17C3">
        <w:rPr>
          <w:w w:val="110"/>
          <w:sz w:val="20"/>
          <w:szCs w:val="20"/>
          <w:lang w:val="uk-UA"/>
        </w:rPr>
        <w:t>Огляд</w:t>
      </w:r>
      <w:r w:rsidRPr="006B6651">
        <w:rPr>
          <w:w w:val="110"/>
          <w:sz w:val="20"/>
          <w:szCs w:val="20"/>
          <w:lang w:val="ru-RU"/>
        </w:rPr>
        <w:t xml:space="preserve"> </w:t>
      </w:r>
      <w:proofErr w:type="spellStart"/>
      <w:r w:rsidRPr="006B6651">
        <w:rPr>
          <w:w w:val="110"/>
          <w:sz w:val="20"/>
          <w:szCs w:val="20"/>
          <w:lang w:val="ru-RU"/>
        </w:rPr>
        <w:t>доказових</w:t>
      </w:r>
      <w:proofErr w:type="spellEnd"/>
      <w:r w:rsidRPr="006B6651">
        <w:rPr>
          <w:w w:val="110"/>
          <w:sz w:val="20"/>
          <w:szCs w:val="20"/>
          <w:lang w:val="ru-RU"/>
        </w:rPr>
        <w:t xml:space="preserve"> </w:t>
      </w:r>
      <w:proofErr w:type="spellStart"/>
      <w:r w:rsidRPr="006B6651">
        <w:rPr>
          <w:w w:val="110"/>
          <w:sz w:val="20"/>
          <w:szCs w:val="20"/>
          <w:lang w:val="ru-RU"/>
        </w:rPr>
        <w:t>даних</w:t>
      </w:r>
      <w:proofErr w:type="spellEnd"/>
      <w:r w:rsidRPr="006B6651">
        <w:rPr>
          <w:w w:val="110"/>
          <w:sz w:val="20"/>
          <w:szCs w:val="20"/>
          <w:lang w:val="ru-RU"/>
        </w:rPr>
        <w:t xml:space="preserve"> для </w:t>
      </w:r>
      <w:proofErr w:type="spellStart"/>
      <w:r w:rsidRPr="006B6651">
        <w:rPr>
          <w:w w:val="110"/>
          <w:sz w:val="20"/>
          <w:szCs w:val="20"/>
          <w:lang w:val="ru-RU"/>
        </w:rPr>
        <w:t>підтвердження</w:t>
      </w:r>
      <w:proofErr w:type="spellEnd"/>
      <w:r w:rsidRPr="006B6651">
        <w:rPr>
          <w:w w:val="110"/>
          <w:sz w:val="20"/>
          <w:szCs w:val="20"/>
          <w:lang w:val="ru-RU"/>
        </w:rPr>
        <w:t xml:space="preserve"> або перегляду </w:t>
      </w:r>
      <w:proofErr w:type="spellStart"/>
      <w:r w:rsidRPr="006B6651">
        <w:rPr>
          <w:w w:val="110"/>
          <w:sz w:val="20"/>
          <w:szCs w:val="20"/>
          <w:lang w:val="ru-RU"/>
        </w:rPr>
        <w:t>різних</w:t>
      </w:r>
      <w:proofErr w:type="spellEnd"/>
      <w:r w:rsidRPr="006B6651">
        <w:rPr>
          <w:w w:val="110"/>
          <w:sz w:val="20"/>
          <w:szCs w:val="20"/>
          <w:lang w:val="ru-RU"/>
        </w:rPr>
        <w:t xml:space="preserve"> </w:t>
      </w:r>
      <w:proofErr w:type="spellStart"/>
      <w:r w:rsidRPr="006B6651">
        <w:rPr>
          <w:w w:val="110"/>
          <w:sz w:val="20"/>
          <w:szCs w:val="20"/>
          <w:lang w:val="ru-RU"/>
        </w:rPr>
        <w:t>критичних</w:t>
      </w:r>
      <w:proofErr w:type="spellEnd"/>
      <w:r w:rsidRPr="006B6651">
        <w:rPr>
          <w:w w:val="110"/>
          <w:sz w:val="20"/>
          <w:szCs w:val="20"/>
          <w:lang w:val="ru-RU"/>
        </w:rPr>
        <w:t xml:space="preserve"> </w:t>
      </w:r>
      <w:proofErr w:type="spellStart"/>
      <w:r w:rsidRPr="006B6651">
        <w:rPr>
          <w:w w:val="110"/>
          <w:sz w:val="20"/>
          <w:szCs w:val="20"/>
          <w:lang w:val="ru-RU"/>
        </w:rPr>
        <w:t>концентрацій</w:t>
      </w:r>
      <w:proofErr w:type="spellEnd"/>
      <w:r w:rsidRPr="006B6651">
        <w:rPr>
          <w:w w:val="110"/>
          <w:sz w:val="20"/>
          <w:szCs w:val="20"/>
          <w:lang w:val="ru-RU"/>
        </w:rPr>
        <w:t xml:space="preserve">, </w:t>
      </w:r>
      <w:proofErr w:type="spellStart"/>
      <w:r w:rsidRPr="006B6651">
        <w:rPr>
          <w:w w:val="110"/>
          <w:sz w:val="20"/>
          <w:szCs w:val="20"/>
          <w:lang w:val="ru-RU"/>
        </w:rPr>
        <w:t>що</w:t>
      </w:r>
      <w:proofErr w:type="spellEnd"/>
      <w:r w:rsidRPr="006B6651">
        <w:rPr>
          <w:w w:val="110"/>
          <w:sz w:val="20"/>
          <w:szCs w:val="20"/>
          <w:lang w:val="ru-RU"/>
        </w:rPr>
        <w:t xml:space="preserve"> </w:t>
      </w:r>
      <w:proofErr w:type="spellStart"/>
      <w:r w:rsidRPr="006B6651">
        <w:rPr>
          <w:w w:val="110"/>
          <w:sz w:val="20"/>
          <w:szCs w:val="20"/>
          <w:lang w:val="ru-RU"/>
        </w:rPr>
        <w:t>використовуються</w:t>
      </w:r>
      <w:proofErr w:type="spellEnd"/>
      <w:r w:rsidRPr="006B6651">
        <w:rPr>
          <w:w w:val="110"/>
          <w:sz w:val="20"/>
          <w:szCs w:val="20"/>
          <w:lang w:val="ru-RU"/>
        </w:rPr>
        <w:t xml:space="preserve"> в методах культурального Т</w:t>
      </w:r>
      <w:r w:rsidRPr="003C17C3">
        <w:rPr>
          <w:w w:val="110"/>
          <w:sz w:val="20"/>
          <w:szCs w:val="20"/>
          <w:lang w:val="uk-UA"/>
        </w:rPr>
        <w:t>М</w:t>
      </w:r>
      <w:r w:rsidRPr="006B6651">
        <w:rPr>
          <w:w w:val="110"/>
          <w:sz w:val="20"/>
          <w:szCs w:val="20"/>
          <w:lang w:val="ru-RU"/>
        </w:rPr>
        <w:t>Ч.</w:t>
      </w:r>
    </w:p>
    <w:p w14:paraId="32385C01" w14:textId="77777777" w:rsidR="00DE2E3D" w:rsidRPr="006B6651" w:rsidRDefault="00DE2E3D" w:rsidP="004A2937">
      <w:pPr>
        <w:pStyle w:val="a4"/>
        <w:numPr>
          <w:ilvl w:val="0"/>
          <w:numId w:val="42"/>
        </w:numPr>
        <w:tabs>
          <w:tab w:val="left" w:pos="1701"/>
        </w:tabs>
        <w:spacing w:before="2" w:line="276" w:lineRule="auto"/>
        <w:ind w:right="933"/>
        <w:jc w:val="left"/>
        <w:rPr>
          <w:sz w:val="20"/>
          <w:szCs w:val="20"/>
          <w:lang w:val="ru-RU"/>
        </w:rPr>
      </w:pPr>
      <w:proofErr w:type="spellStart"/>
      <w:r w:rsidRPr="006B6651">
        <w:rPr>
          <w:w w:val="110"/>
          <w:sz w:val="20"/>
          <w:szCs w:val="20"/>
          <w:lang w:val="ru-RU"/>
        </w:rPr>
        <w:t>Визначення</w:t>
      </w:r>
      <w:proofErr w:type="spellEnd"/>
      <w:r w:rsidRPr="006B6651">
        <w:rPr>
          <w:w w:val="110"/>
          <w:sz w:val="20"/>
          <w:szCs w:val="20"/>
          <w:lang w:val="ru-RU"/>
        </w:rPr>
        <w:t xml:space="preserve"> </w:t>
      </w:r>
      <w:proofErr w:type="spellStart"/>
      <w:r w:rsidRPr="006B6651">
        <w:rPr>
          <w:w w:val="110"/>
          <w:sz w:val="20"/>
          <w:szCs w:val="20"/>
          <w:lang w:val="ru-RU"/>
        </w:rPr>
        <w:t>межі</w:t>
      </w:r>
      <w:proofErr w:type="spellEnd"/>
      <w:r w:rsidRPr="006B6651">
        <w:rPr>
          <w:w w:val="110"/>
          <w:sz w:val="20"/>
          <w:szCs w:val="20"/>
          <w:lang w:val="ru-RU"/>
        </w:rPr>
        <w:t xml:space="preserve"> виявлення для </w:t>
      </w:r>
      <w:r w:rsidRPr="003C17C3">
        <w:rPr>
          <w:w w:val="110"/>
          <w:sz w:val="20"/>
          <w:szCs w:val="20"/>
        </w:rPr>
        <w:t>LPA</w:t>
      </w:r>
      <w:r w:rsidRPr="006B6651">
        <w:rPr>
          <w:w w:val="110"/>
          <w:sz w:val="20"/>
          <w:szCs w:val="20"/>
          <w:lang w:val="ru-RU"/>
        </w:rPr>
        <w:t xml:space="preserve"> у </w:t>
      </w:r>
      <w:proofErr w:type="spellStart"/>
      <w:r w:rsidRPr="006B6651">
        <w:rPr>
          <w:w w:val="110"/>
          <w:sz w:val="20"/>
          <w:szCs w:val="20"/>
          <w:lang w:val="ru-RU"/>
        </w:rPr>
        <w:t>виявленні</w:t>
      </w:r>
      <w:proofErr w:type="spellEnd"/>
      <w:r w:rsidRPr="006B6651">
        <w:rPr>
          <w:w w:val="110"/>
          <w:sz w:val="20"/>
          <w:szCs w:val="20"/>
          <w:lang w:val="ru-RU"/>
        </w:rPr>
        <w:t xml:space="preserve"> </w:t>
      </w:r>
      <w:proofErr w:type="spellStart"/>
      <w:r w:rsidRPr="006B6651">
        <w:rPr>
          <w:w w:val="110"/>
          <w:sz w:val="20"/>
          <w:szCs w:val="20"/>
          <w:lang w:val="ru-RU"/>
        </w:rPr>
        <w:t>гетерорезистентності</w:t>
      </w:r>
      <w:proofErr w:type="spellEnd"/>
      <w:r w:rsidRPr="006B6651">
        <w:rPr>
          <w:w w:val="110"/>
          <w:sz w:val="20"/>
          <w:szCs w:val="20"/>
          <w:lang w:val="ru-RU"/>
        </w:rPr>
        <w:t>.</w:t>
      </w:r>
    </w:p>
    <w:p w14:paraId="372E53ED" w14:textId="77777777" w:rsidR="00DE2E3D" w:rsidRPr="006B6651" w:rsidRDefault="00DE2E3D" w:rsidP="004A2937">
      <w:pPr>
        <w:pStyle w:val="a4"/>
        <w:numPr>
          <w:ilvl w:val="0"/>
          <w:numId w:val="42"/>
        </w:numPr>
        <w:tabs>
          <w:tab w:val="left" w:pos="1701"/>
        </w:tabs>
        <w:spacing w:before="41"/>
        <w:ind w:right="933"/>
        <w:jc w:val="left"/>
        <w:rPr>
          <w:sz w:val="20"/>
          <w:szCs w:val="20"/>
          <w:lang w:val="ru-RU"/>
        </w:rPr>
      </w:pPr>
      <w:proofErr w:type="spellStart"/>
      <w:r w:rsidRPr="006B6651">
        <w:rPr>
          <w:w w:val="110"/>
          <w:sz w:val="20"/>
          <w:szCs w:val="20"/>
          <w:lang w:val="ru-RU"/>
        </w:rPr>
        <w:t>Визначення</w:t>
      </w:r>
      <w:proofErr w:type="spellEnd"/>
      <w:r w:rsidRPr="006B6651">
        <w:rPr>
          <w:w w:val="110"/>
          <w:sz w:val="20"/>
          <w:szCs w:val="20"/>
          <w:lang w:val="ru-RU"/>
        </w:rPr>
        <w:t xml:space="preserve"> потреб у </w:t>
      </w:r>
      <w:proofErr w:type="spellStart"/>
      <w:r w:rsidRPr="006B6651">
        <w:rPr>
          <w:w w:val="110"/>
          <w:sz w:val="20"/>
          <w:szCs w:val="20"/>
          <w:lang w:val="ru-RU"/>
        </w:rPr>
        <w:t>навчанні</w:t>
      </w:r>
      <w:proofErr w:type="spellEnd"/>
      <w:r w:rsidRPr="006B6651">
        <w:rPr>
          <w:w w:val="110"/>
          <w:sz w:val="20"/>
          <w:szCs w:val="20"/>
          <w:lang w:val="ru-RU"/>
        </w:rPr>
        <w:t xml:space="preserve">, </w:t>
      </w:r>
      <w:proofErr w:type="spellStart"/>
      <w:r w:rsidRPr="006B6651">
        <w:rPr>
          <w:w w:val="110"/>
          <w:sz w:val="20"/>
          <w:szCs w:val="20"/>
          <w:lang w:val="ru-RU"/>
        </w:rPr>
        <w:t>оцінці</w:t>
      </w:r>
      <w:proofErr w:type="spellEnd"/>
      <w:r w:rsidRPr="006B6651">
        <w:rPr>
          <w:w w:val="110"/>
          <w:sz w:val="20"/>
          <w:szCs w:val="20"/>
          <w:lang w:val="ru-RU"/>
        </w:rPr>
        <w:t xml:space="preserve"> </w:t>
      </w:r>
      <w:proofErr w:type="spellStart"/>
      <w:r w:rsidRPr="006B6651">
        <w:rPr>
          <w:w w:val="110"/>
          <w:sz w:val="20"/>
          <w:szCs w:val="20"/>
          <w:lang w:val="ru-RU"/>
        </w:rPr>
        <w:t>компетентності</w:t>
      </w:r>
      <w:proofErr w:type="spellEnd"/>
      <w:r w:rsidRPr="006B6651">
        <w:rPr>
          <w:w w:val="110"/>
          <w:sz w:val="20"/>
          <w:szCs w:val="20"/>
          <w:lang w:val="ru-RU"/>
        </w:rPr>
        <w:t xml:space="preserve"> та </w:t>
      </w:r>
      <w:proofErr w:type="spellStart"/>
      <w:r w:rsidRPr="006B6651">
        <w:rPr>
          <w:w w:val="110"/>
          <w:sz w:val="20"/>
          <w:szCs w:val="20"/>
          <w:lang w:val="ru-RU"/>
        </w:rPr>
        <w:t>забезпеченні</w:t>
      </w:r>
      <w:proofErr w:type="spellEnd"/>
      <w:r w:rsidRPr="006B6651">
        <w:rPr>
          <w:w w:val="110"/>
          <w:sz w:val="20"/>
          <w:szCs w:val="20"/>
          <w:lang w:val="ru-RU"/>
        </w:rPr>
        <w:t xml:space="preserve"> </w:t>
      </w:r>
      <w:proofErr w:type="spellStart"/>
      <w:r w:rsidRPr="006B6651">
        <w:rPr>
          <w:w w:val="110"/>
          <w:sz w:val="20"/>
          <w:szCs w:val="20"/>
          <w:lang w:val="ru-RU"/>
        </w:rPr>
        <w:t>якості</w:t>
      </w:r>
      <w:proofErr w:type="spellEnd"/>
      <w:r w:rsidRPr="006B6651">
        <w:rPr>
          <w:w w:val="110"/>
          <w:sz w:val="20"/>
          <w:szCs w:val="20"/>
          <w:lang w:val="ru-RU"/>
        </w:rPr>
        <w:t>.</w:t>
      </w:r>
    </w:p>
    <w:p w14:paraId="07568278" w14:textId="77777777" w:rsidR="00DE2E3D" w:rsidRPr="006B6651" w:rsidRDefault="00DE2E3D" w:rsidP="004A2937">
      <w:pPr>
        <w:pStyle w:val="a4"/>
        <w:numPr>
          <w:ilvl w:val="0"/>
          <w:numId w:val="42"/>
        </w:numPr>
        <w:tabs>
          <w:tab w:val="left" w:pos="1701"/>
        </w:tabs>
        <w:spacing w:before="42" w:line="276" w:lineRule="auto"/>
        <w:ind w:right="933"/>
        <w:jc w:val="left"/>
        <w:rPr>
          <w:sz w:val="20"/>
          <w:szCs w:val="20"/>
          <w:lang w:val="ru-RU"/>
        </w:rPr>
      </w:pPr>
      <w:proofErr w:type="spellStart"/>
      <w:r w:rsidRPr="006B6651">
        <w:rPr>
          <w:w w:val="110"/>
          <w:sz w:val="20"/>
          <w:szCs w:val="20"/>
          <w:lang w:val="ru-RU"/>
        </w:rPr>
        <w:t>Збір</w:t>
      </w:r>
      <w:proofErr w:type="spellEnd"/>
      <w:r w:rsidRPr="006B6651">
        <w:rPr>
          <w:w w:val="110"/>
          <w:sz w:val="20"/>
          <w:szCs w:val="20"/>
          <w:lang w:val="ru-RU"/>
        </w:rPr>
        <w:t xml:space="preserve"> </w:t>
      </w:r>
      <w:proofErr w:type="spellStart"/>
      <w:r w:rsidRPr="006B6651">
        <w:rPr>
          <w:w w:val="110"/>
          <w:sz w:val="20"/>
          <w:szCs w:val="20"/>
          <w:lang w:val="ru-RU"/>
        </w:rPr>
        <w:t>додаткових</w:t>
      </w:r>
      <w:proofErr w:type="spellEnd"/>
      <w:r w:rsidRPr="006B6651">
        <w:rPr>
          <w:w w:val="110"/>
          <w:sz w:val="20"/>
          <w:szCs w:val="20"/>
          <w:lang w:val="ru-RU"/>
        </w:rPr>
        <w:t xml:space="preserve"> </w:t>
      </w:r>
      <w:proofErr w:type="spellStart"/>
      <w:r w:rsidRPr="006B6651">
        <w:rPr>
          <w:w w:val="110"/>
          <w:sz w:val="20"/>
          <w:szCs w:val="20"/>
          <w:lang w:val="ru-RU"/>
        </w:rPr>
        <w:t>доказових</w:t>
      </w:r>
      <w:proofErr w:type="spellEnd"/>
      <w:r w:rsidRPr="006B6651">
        <w:rPr>
          <w:w w:val="110"/>
          <w:sz w:val="20"/>
          <w:szCs w:val="20"/>
          <w:lang w:val="ru-RU"/>
        </w:rPr>
        <w:t xml:space="preserve"> </w:t>
      </w:r>
      <w:proofErr w:type="spellStart"/>
      <w:r w:rsidRPr="006B6651">
        <w:rPr>
          <w:w w:val="110"/>
          <w:sz w:val="20"/>
          <w:szCs w:val="20"/>
          <w:lang w:val="ru-RU"/>
        </w:rPr>
        <w:t>даних</w:t>
      </w:r>
      <w:proofErr w:type="spellEnd"/>
      <w:r w:rsidRPr="006B6651">
        <w:rPr>
          <w:w w:val="110"/>
          <w:sz w:val="20"/>
          <w:szCs w:val="20"/>
          <w:lang w:val="ru-RU"/>
        </w:rPr>
        <w:t xml:space="preserve"> щодо </w:t>
      </w:r>
      <w:proofErr w:type="spellStart"/>
      <w:r w:rsidRPr="006B6651">
        <w:rPr>
          <w:w w:val="110"/>
          <w:sz w:val="20"/>
          <w:szCs w:val="20"/>
          <w:lang w:val="ru-RU"/>
        </w:rPr>
        <w:t>впливу</w:t>
      </w:r>
      <w:proofErr w:type="spellEnd"/>
      <w:r w:rsidRPr="006B6651">
        <w:rPr>
          <w:w w:val="110"/>
          <w:sz w:val="20"/>
          <w:szCs w:val="20"/>
          <w:lang w:val="ru-RU"/>
        </w:rPr>
        <w:t xml:space="preserve"> на </w:t>
      </w:r>
      <w:proofErr w:type="spellStart"/>
      <w:r w:rsidRPr="006B6651">
        <w:rPr>
          <w:w w:val="110"/>
          <w:sz w:val="20"/>
          <w:szCs w:val="20"/>
          <w:lang w:val="ru-RU"/>
        </w:rPr>
        <w:t>смертність</w:t>
      </w:r>
      <w:proofErr w:type="spellEnd"/>
      <w:r w:rsidRPr="006B6651">
        <w:rPr>
          <w:w w:val="110"/>
          <w:sz w:val="20"/>
          <w:szCs w:val="20"/>
          <w:lang w:val="ru-RU"/>
        </w:rPr>
        <w:t xml:space="preserve"> </w:t>
      </w:r>
      <w:proofErr w:type="spellStart"/>
      <w:r w:rsidRPr="006B6651">
        <w:rPr>
          <w:w w:val="110"/>
          <w:sz w:val="20"/>
          <w:szCs w:val="20"/>
          <w:lang w:val="ru-RU"/>
        </w:rPr>
        <w:t>від</w:t>
      </w:r>
      <w:proofErr w:type="spellEnd"/>
      <w:r w:rsidRPr="006B6651">
        <w:rPr>
          <w:w w:val="110"/>
          <w:sz w:val="20"/>
          <w:szCs w:val="20"/>
          <w:lang w:val="ru-RU"/>
        </w:rPr>
        <w:t xml:space="preserve"> початку </w:t>
      </w:r>
      <w:proofErr w:type="spellStart"/>
      <w:r w:rsidRPr="006B6651">
        <w:rPr>
          <w:w w:val="110"/>
          <w:sz w:val="20"/>
          <w:szCs w:val="20"/>
          <w:lang w:val="ru-RU"/>
        </w:rPr>
        <w:t>належного</w:t>
      </w:r>
      <w:proofErr w:type="spellEnd"/>
      <w:r w:rsidRPr="006B6651">
        <w:rPr>
          <w:w w:val="110"/>
          <w:sz w:val="20"/>
          <w:szCs w:val="20"/>
          <w:lang w:val="ru-RU"/>
        </w:rPr>
        <w:t xml:space="preserve"> лікування МЛС-ТБ</w:t>
      </w:r>
    </w:p>
    <w:p w14:paraId="1CD7E121" w14:textId="77777777" w:rsidR="00DE2E3D" w:rsidRPr="006B6651" w:rsidRDefault="00DE2E3D" w:rsidP="004A2937">
      <w:pPr>
        <w:pStyle w:val="a4"/>
        <w:numPr>
          <w:ilvl w:val="0"/>
          <w:numId w:val="42"/>
        </w:numPr>
        <w:tabs>
          <w:tab w:val="left" w:pos="1701"/>
        </w:tabs>
        <w:spacing w:before="2"/>
        <w:ind w:right="933"/>
        <w:jc w:val="left"/>
        <w:rPr>
          <w:sz w:val="20"/>
          <w:szCs w:val="20"/>
          <w:lang w:val="ru-RU"/>
        </w:rPr>
      </w:pPr>
      <w:proofErr w:type="spellStart"/>
      <w:r w:rsidRPr="006B6651">
        <w:rPr>
          <w:w w:val="110"/>
          <w:sz w:val="20"/>
          <w:szCs w:val="20"/>
          <w:lang w:val="ru-RU"/>
        </w:rPr>
        <w:t>Дотримання</w:t>
      </w:r>
      <w:proofErr w:type="spellEnd"/>
      <w:r w:rsidRPr="006B6651">
        <w:rPr>
          <w:w w:val="110"/>
          <w:sz w:val="20"/>
          <w:szCs w:val="20"/>
          <w:lang w:val="ru-RU"/>
        </w:rPr>
        <w:t xml:space="preserve"> </w:t>
      </w:r>
      <w:r w:rsidRPr="003C17C3">
        <w:rPr>
          <w:w w:val="110"/>
          <w:sz w:val="20"/>
          <w:szCs w:val="20"/>
        </w:rPr>
        <w:t>STARD</w:t>
      </w:r>
      <w:r w:rsidRPr="006B6651">
        <w:rPr>
          <w:w w:val="110"/>
          <w:sz w:val="20"/>
          <w:szCs w:val="20"/>
          <w:lang w:val="ru-RU"/>
        </w:rPr>
        <w:t xml:space="preserve"> для </w:t>
      </w:r>
      <w:proofErr w:type="spellStart"/>
      <w:r w:rsidRPr="006B6651">
        <w:rPr>
          <w:w w:val="110"/>
          <w:sz w:val="20"/>
          <w:szCs w:val="20"/>
          <w:lang w:val="ru-RU"/>
        </w:rPr>
        <w:t>майбутніх</w:t>
      </w:r>
      <w:proofErr w:type="spellEnd"/>
      <w:r w:rsidRPr="006B6651">
        <w:rPr>
          <w:w w:val="110"/>
          <w:sz w:val="20"/>
          <w:szCs w:val="20"/>
          <w:lang w:val="ru-RU"/>
        </w:rPr>
        <w:t xml:space="preserve"> </w:t>
      </w:r>
      <w:proofErr w:type="spellStart"/>
      <w:r w:rsidRPr="006B6651">
        <w:rPr>
          <w:w w:val="110"/>
          <w:sz w:val="20"/>
          <w:szCs w:val="20"/>
          <w:lang w:val="ru-RU"/>
        </w:rPr>
        <w:t>діагностичних</w:t>
      </w:r>
      <w:proofErr w:type="spellEnd"/>
      <w:r w:rsidRPr="006B6651">
        <w:rPr>
          <w:w w:val="110"/>
          <w:sz w:val="20"/>
          <w:szCs w:val="20"/>
          <w:lang w:val="ru-RU"/>
        </w:rPr>
        <w:t xml:space="preserve"> </w:t>
      </w:r>
      <w:proofErr w:type="spellStart"/>
      <w:r w:rsidRPr="006B6651">
        <w:rPr>
          <w:w w:val="110"/>
          <w:sz w:val="20"/>
          <w:szCs w:val="20"/>
          <w:lang w:val="ru-RU"/>
        </w:rPr>
        <w:t>досліджень</w:t>
      </w:r>
      <w:proofErr w:type="spellEnd"/>
      <w:r w:rsidRPr="006B6651">
        <w:rPr>
          <w:w w:val="110"/>
          <w:sz w:val="20"/>
          <w:szCs w:val="20"/>
          <w:lang w:val="ru-RU"/>
        </w:rPr>
        <w:t>.</w:t>
      </w:r>
    </w:p>
    <w:p w14:paraId="20E476EC" w14:textId="77777777" w:rsidR="00DE2E3D" w:rsidRPr="006B6651" w:rsidRDefault="00DE2E3D" w:rsidP="004A2937">
      <w:pPr>
        <w:pStyle w:val="a4"/>
        <w:numPr>
          <w:ilvl w:val="0"/>
          <w:numId w:val="42"/>
        </w:numPr>
        <w:tabs>
          <w:tab w:val="left" w:pos="1701"/>
        </w:tabs>
        <w:spacing w:before="41" w:line="276" w:lineRule="auto"/>
        <w:ind w:right="933"/>
        <w:rPr>
          <w:sz w:val="20"/>
          <w:szCs w:val="20"/>
          <w:lang w:val="ru-RU"/>
        </w:rPr>
      </w:pPr>
      <w:proofErr w:type="spellStart"/>
      <w:r w:rsidRPr="006B6651">
        <w:rPr>
          <w:w w:val="110"/>
          <w:sz w:val="20"/>
          <w:szCs w:val="20"/>
          <w:lang w:val="ru-RU"/>
        </w:rPr>
        <w:t>Проведення</w:t>
      </w:r>
      <w:proofErr w:type="spellEnd"/>
      <w:r w:rsidRPr="006B6651">
        <w:rPr>
          <w:w w:val="110"/>
          <w:sz w:val="20"/>
          <w:szCs w:val="20"/>
          <w:lang w:val="ru-RU"/>
        </w:rPr>
        <w:t xml:space="preserve"> для </w:t>
      </w:r>
      <w:r w:rsidRPr="002503C8">
        <w:rPr>
          <w:w w:val="110"/>
          <w:sz w:val="20"/>
          <w:szCs w:val="20"/>
          <w:lang w:val="uk-UA"/>
        </w:rPr>
        <w:t xml:space="preserve">кожної </w:t>
      </w:r>
      <w:proofErr w:type="spellStart"/>
      <w:r w:rsidRPr="006B6651">
        <w:rPr>
          <w:w w:val="110"/>
          <w:sz w:val="20"/>
          <w:szCs w:val="20"/>
          <w:lang w:val="ru-RU"/>
        </w:rPr>
        <w:t>країн</w:t>
      </w:r>
      <w:proofErr w:type="spellEnd"/>
      <w:r w:rsidRPr="002503C8">
        <w:rPr>
          <w:w w:val="110"/>
          <w:sz w:val="20"/>
          <w:szCs w:val="20"/>
          <w:lang w:val="uk-UA"/>
        </w:rPr>
        <w:t>и</w:t>
      </w:r>
      <w:r w:rsidRPr="006B6651">
        <w:rPr>
          <w:w w:val="110"/>
          <w:sz w:val="20"/>
          <w:szCs w:val="20"/>
          <w:lang w:val="ru-RU"/>
        </w:rPr>
        <w:t xml:space="preserve"> </w:t>
      </w:r>
      <w:proofErr w:type="spellStart"/>
      <w:r w:rsidRPr="006B6651">
        <w:rPr>
          <w:w w:val="110"/>
          <w:sz w:val="20"/>
          <w:szCs w:val="20"/>
          <w:lang w:val="ru-RU"/>
        </w:rPr>
        <w:t>аналізів</w:t>
      </w:r>
      <w:proofErr w:type="spellEnd"/>
      <w:r w:rsidRPr="006B6651">
        <w:rPr>
          <w:w w:val="110"/>
          <w:sz w:val="20"/>
          <w:szCs w:val="20"/>
          <w:lang w:val="ru-RU"/>
        </w:rPr>
        <w:t xml:space="preserve"> </w:t>
      </w:r>
      <w:proofErr w:type="spellStart"/>
      <w:r w:rsidRPr="006B6651">
        <w:rPr>
          <w:w w:val="110"/>
          <w:sz w:val="20"/>
          <w:szCs w:val="20"/>
          <w:lang w:val="ru-RU"/>
        </w:rPr>
        <w:t>економічної</w:t>
      </w:r>
      <w:proofErr w:type="spellEnd"/>
      <w:r w:rsidRPr="006B6651">
        <w:rPr>
          <w:w w:val="110"/>
          <w:sz w:val="20"/>
          <w:szCs w:val="20"/>
          <w:lang w:val="ru-RU"/>
        </w:rPr>
        <w:t xml:space="preserve"> </w:t>
      </w:r>
      <w:proofErr w:type="spellStart"/>
      <w:r w:rsidRPr="006B6651">
        <w:rPr>
          <w:w w:val="110"/>
          <w:sz w:val="20"/>
          <w:szCs w:val="20"/>
          <w:lang w:val="ru-RU"/>
        </w:rPr>
        <w:t>ефективності</w:t>
      </w:r>
      <w:proofErr w:type="spellEnd"/>
      <w:r w:rsidRPr="006B6651">
        <w:rPr>
          <w:w w:val="110"/>
          <w:sz w:val="20"/>
          <w:szCs w:val="20"/>
          <w:lang w:val="ru-RU"/>
        </w:rPr>
        <w:t xml:space="preserve"> та </w:t>
      </w:r>
      <w:proofErr w:type="spellStart"/>
      <w:r w:rsidRPr="006B6651">
        <w:rPr>
          <w:w w:val="110"/>
          <w:sz w:val="20"/>
          <w:szCs w:val="20"/>
          <w:lang w:val="ru-RU"/>
        </w:rPr>
        <w:t>аналізів</w:t>
      </w:r>
      <w:proofErr w:type="spellEnd"/>
      <w:r w:rsidRPr="006B6651">
        <w:rPr>
          <w:w w:val="110"/>
          <w:sz w:val="20"/>
          <w:szCs w:val="20"/>
          <w:lang w:val="ru-RU"/>
        </w:rPr>
        <w:t xml:space="preserve"> </w:t>
      </w:r>
      <w:proofErr w:type="spellStart"/>
      <w:r w:rsidRPr="006B6651">
        <w:rPr>
          <w:w w:val="110"/>
          <w:sz w:val="20"/>
          <w:szCs w:val="20"/>
          <w:lang w:val="ru-RU"/>
        </w:rPr>
        <w:t>витрат</w:t>
      </w:r>
      <w:proofErr w:type="spellEnd"/>
      <w:r w:rsidRPr="006B6651">
        <w:rPr>
          <w:w w:val="110"/>
          <w:sz w:val="20"/>
          <w:szCs w:val="20"/>
          <w:lang w:val="ru-RU"/>
        </w:rPr>
        <w:t xml:space="preserve"> і виг</w:t>
      </w:r>
      <w:r w:rsidRPr="002503C8">
        <w:rPr>
          <w:w w:val="110"/>
          <w:sz w:val="20"/>
          <w:szCs w:val="20"/>
          <w:lang w:val="uk-UA"/>
        </w:rPr>
        <w:t>о</w:t>
      </w:r>
      <w:r w:rsidRPr="006B6651">
        <w:rPr>
          <w:w w:val="110"/>
          <w:sz w:val="20"/>
          <w:szCs w:val="20"/>
          <w:lang w:val="ru-RU"/>
        </w:rPr>
        <w:t>д</w:t>
      </w:r>
      <w:r w:rsidRPr="002503C8">
        <w:rPr>
          <w:w w:val="110"/>
          <w:sz w:val="20"/>
          <w:szCs w:val="20"/>
          <w:lang w:val="uk-UA"/>
        </w:rPr>
        <w:t xml:space="preserve">, </w:t>
      </w:r>
      <w:proofErr w:type="spellStart"/>
      <w:r w:rsidRPr="002503C8">
        <w:rPr>
          <w:w w:val="110"/>
          <w:sz w:val="20"/>
          <w:szCs w:val="20"/>
          <w:lang w:val="uk-UA"/>
        </w:rPr>
        <w:t>пов</w:t>
      </w:r>
      <w:proofErr w:type="spellEnd"/>
      <w:r w:rsidRPr="006B6651">
        <w:rPr>
          <w:w w:val="110"/>
          <w:sz w:val="20"/>
          <w:szCs w:val="20"/>
          <w:lang w:val="ru-RU"/>
        </w:rPr>
        <w:t>’</w:t>
      </w:r>
      <w:proofErr w:type="spellStart"/>
      <w:r w:rsidRPr="002503C8">
        <w:rPr>
          <w:w w:val="110"/>
          <w:sz w:val="20"/>
          <w:szCs w:val="20"/>
          <w:lang w:val="uk-UA"/>
        </w:rPr>
        <w:t>язаних</w:t>
      </w:r>
      <w:proofErr w:type="spellEnd"/>
      <w:r w:rsidRPr="003C17C3">
        <w:rPr>
          <w:w w:val="110"/>
          <w:sz w:val="20"/>
          <w:szCs w:val="20"/>
          <w:lang w:val="uk-UA"/>
        </w:rPr>
        <w:t xml:space="preserve"> з </w:t>
      </w:r>
      <w:r w:rsidRPr="006B6651">
        <w:rPr>
          <w:w w:val="110"/>
          <w:sz w:val="20"/>
          <w:szCs w:val="20"/>
          <w:lang w:val="ru-RU"/>
        </w:rPr>
        <w:t>використання</w:t>
      </w:r>
      <w:r w:rsidRPr="003C17C3">
        <w:rPr>
          <w:w w:val="110"/>
          <w:sz w:val="20"/>
          <w:szCs w:val="20"/>
          <w:lang w:val="uk-UA"/>
        </w:rPr>
        <w:t>м</w:t>
      </w:r>
      <w:r w:rsidRPr="006B6651">
        <w:rPr>
          <w:w w:val="110"/>
          <w:sz w:val="20"/>
          <w:szCs w:val="20"/>
          <w:lang w:val="ru-RU"/>
        </w:rPr>
        <w:t xml:space="preserve"> </w:t>
      </w:r>
      <w:r w:rsidRPr="003C17C3">
        <w:rPr>
          <w:w w:val="110"/>
          <w:sz w:val="20"/>
          <w:szCs w:val="20"/>
        </w:rPr>
        <w:t>LPA</w:t>
      </w:r>
      <w:r w:rsidRPr="006B6651">
        <w:rPr>
          <w:w w:val="110"/>
          <w:sz w:val="20"/>
          <w:szCs w:val="20"/>
          <w:lang w:val="ru-RU"/>
        </w:rPr>
        <w:t xml:space="preserve"> в </w:t>
      </w:r>
      <w:proofErr w:type="spellStart"/>
      <w:r w:rsidRPr="006B6651">
        <w:rPr>
          <w:w w:val="110"/>
          <w:sz w:val="20"/>
          <w:szCs w:val="20"/>
          <w:lang w:val="ru-RU"/>
        </w:rPr>
        <w:t>різних</w:t>
      </w:r>
      <w:proofErr w:type="spellEnd"/>
      <w:r w:rsidRPr="006B6651">
        <w:rPr>
          <w:w w:val="110"/>
          <w:sz w:val="20"/>
          <w:szCs w:val="20"/>
          <w:lang w:val="ru-RU"/>
        </w:rPr>
        <w:t xml:space="preserve"> </w:t>
      </w:r>
      <w:r>
        <w:rPr>
          <w:w w:val="110"/>
          <w:sz w:val="20"/>
          <w:szCs w:val="20"/>
          <w:lang w:val="uk-UA"/>
        </w:rPr>
        <w:t>місцях</w:t>
      </w:r>
      <w:r w:rsidRPr="006B6651">
        <w:rPr>
          <w:w w:val="110"/>
          <w:sz w:val="20"/>
          <w:szCs w:val="20"/>
          <w:lang w:val="ru-RU"/>
        </w:rPr>
        <w:t xml:space="preserve"> </w:t>
      </w:r>
      <w:proofErr w:type="spellStart"/>
      <w:r w:rsidRPr="006B6651">
        <w:rPr>
          <w:w w:val="110"/>
          <w:sz w:val="20"/>
          <w:szCs w:val="20"/>
          <w:lang w:val="ru-RU"/>
        </w:rPr>
        <w:t>реалізації</w:t>
      </w:r>
      <w:proofErr w:type="spellEnd"/>
      <w:r w:rsidRPr="006B6651">
        <w:rPr>
          <w:w w:val="110"/>
          <w:sz w:val="20"/>
          <w:szCs w:val="20"/>
          <w:lang w:val="ru-RU"/>
        </w:rPr>
        <w:t xml:space="preserve"> програм.</w:t>
      </w:r>
    </w:p>
    <w:p w14:paraId="77B2FD98" w14:textId="77777777" w:rsidR="00DE2E3D" w:rsidRPr="006B6651" w:rsidRDefault="00DE2E3D" w:rsidP="006E5AE7">
      <w:pPr>
        <w:pStyle w:val="a3"/>
        <w:spacing w:before="8"/>
        <w:ind w:right="933"/>
        <w:rPr>
          <w:sz w:val="19"/>
          <w:lang w:val="ru-RU"/>
        </w:rPr>
      </w:pPr>
    </w:p>
    <w:p w14:paraId="28B7A376" w14:textId="77777777" w:rsidR="00DE2E3D" w:rsidRPr="00EB5EFB" w:rsidRDefault="00DE2E3D" w:rsidP="004A2937">
      <w:pPr>
        <w:pStyle w:val="5"/>
        <w:numPr>
          <w:ilvl w:val="2"/>
          <w:numId w:val="41"/>
        </w:numPr>
        <w:tabs>
          <w:tab w:val="left" w:pos="2141"/>
        </w:tabs>
        <w:ind w:left="2140" w:right="933" w:hanging="724"/>
        <w:rPr>
          <w:color w:val="019648"/>
          <w:sz w:val="24"/>
          <w:szCs w:val="24"/>
        </w:rPr>
      </w:pPr>
      <w:r w:rsidRPr="00EB5EFB">
        <w:rPr>
          <w:color w:val="019648"/>
          <w:spacing w:val="-3"/>
          <w:w w:val="105"/>
          <w:sz w:val="24"/>
          <w:szCs w:val="24"/>
        </w:rPr>
        <w:t xml:space="preserve">LPA </w:t>
      </w:r>
      <w:proofErr w:type="spellStart"/>
      <w:r w:rsidRPr="00EB5EFB">
        <w:rPr>
          <w:color w:val="019648"/>
          <w:spacing w:val="-3"/>
          <w:w w:val="105"/>
          <w:sz w:val="24"/>
          <w:szCs w:val="24"/>
        </w:rPr>
        <w:t>другого</w:t>
      </w:r>
      <w:proofErr w:type="spellEnd"/>
      <w:r w:rsidRPr="00EB5EFB">
        <w:rPr>
          <w:color w:val="019648"/>
          <w:spacing w:val="-3"/>
          <w:w w:val="105"/>
          <w:sz w:val="24"/>
          <w:szCs w:val="24"/>
        </w:rPr>
        <w:t xml:space="preserve"> </w:t>
      </w:r>
      <w:proofErr w:type="spellStart"/>
      <w:r w:rsidRPr="00EB5EFB">
        <w:rPr>
          <w:color w:val="019648"/>
          <w:spacing w:val="-3"/>
          <w:w w:val="105"/>
          <w:sz w:val="24"/>
          <w:szCs w:val="24"/>
        </w:rPr>
        <w:t>ряду</w:t>
      </w:r>
      <w:proofErr w:type="spellEnd"/>
    </w:p>
    <w:p w14:paraId="2806A76E" w14:textId="3B0C00AF" w:rsidR="00DE2E3D" w:rsidRPr="006B6651" w:rsidRDefault="004A2937" w:rsidP="006E5AE7">
      <w:pPr>
        <w:pStyle w:val="a3"/>
        <w:spacing w:before="209" w:line="276" w:lineRule="auto"/>
        <w:ind w:left="1417" w:right="933"/>
        <w:jc w:val="both"/>
        <w:rPr>
          <w:sz w:val="20"/>
          <w:lang w:val="ru-RU"/>
        </w:rPr>
        <w:sectPr w:rsidR="00DE2E3D" w:rsidRPr="006B6651" w:rsidSect="006E5AE7">
          <w:pgSz w:w="11910" w:h="16840"/>
          <w:pgMar w:top="993" w:right="249" w:bottom="780" w:left="238" w:header="0" w:footer="597" w:gutter="0"/>
          <w:cols w:space="720"/>
        </w:sectPr>
      </w:pPr>
      <w:r>
        <w:rPr>
          <w:noProof/>
        </w:rPr>
        <mc:AlternateContent>
          <mc:Choice Requires="wps">
            <w:drawing>
              <wp:anchor distT="0" distB="0" distL="114300" distR="114300" simplePos="0" relativeHeight="488212992" behindDoc="0" locked="0" layoutInCell="1" allowOverlap="1" wp14:anchorId="568303AD" wp14:editId="3CD014A0">
                <wp:simplePos x="0" y="0"/>
                <wp:positionH relativeFrom="column">
                  <wp:posOffset>6465570</wp:posOffset>
                </wp:positionH>
                <wp:positionV relativeFrom="paragraph">
                  <wp:posOffset>2364740</wp:posOffset>
                </wp:positionV>
                <wp:extent cx="463550" cy="311150"/>
                <wp:effectExtent l="0" t="0" r="0" b="0"/>
                <wp:wrapNone/>
                <wp:docPr id="1535997650" name="Поле 1941"/>
                <wp:cNvGraphicFramePr/>
                <a:graphic xmlns:a="http://schemas.openxmlformats.org/drawingml/2006/main">
                  <a:graphicData uri="http://schemas.microsoft.com/office/word/2010/wordprocessingShape">
                    <wps:wsp>
                      <wps:cNvSpPr txBox="1"/>
                      <wps:spPr>
                        <a:xfrm>
                          <a:off x="0" y="0"/>
                          <a:ext cx="463550" cy="311150"/>
                        </a:xfrm>
                        <a:prstGeom prst="rect">
                          <a:avLst/>
                        </a:prstGeom>
                        <a:solidFill>
                          <a:schemeClr val="lt1"/>
                        </a:solidFill>
                        <a:ln w="6350">
                          <a:noFill/>
                        </a:ln>
                      </wps:spPr>
                      <wps:txbx>
                        <w:txbxContent>
                          <w:p w14:paraId="39DA06F6" w14:textId="77777777" w:rsidR="004A2937" w:rsidRPr="004A2937" w:rsidRDefault="004A2937" w:rsidP="004A2937">
                            <w:pPr>
                              <w:rPr>
                                <w:color w:val="388600"/>
                                <w:sz w:val="8"/>
                                <w:szCs w:val="8"/>
                                <w:lang w:val="uk-UA"/>
                              </w:rPr>
                            </w:pPr>
                          </w:p>
                          <w:p w14:paraId="30049670" w14:textId="3AC28A3A" w:rsidR="004A2937" w:rsidRPr="00770751" w:rsidRDefault="004A2937" w:rsidP="004A2937">
                            <w:pPr>
                              <w:rPr>
                                <w:color w:val="388600"/>
                                <w:sz w:val="20"/>
                                <w:szCs w:val="20"/>
                                <w:lang w:val="uk-UA"/>
                              </w:rPr>
                            </w:pPr>
                            <w:r w:rsidRPr="00770751">
                              <w:rPr>
                                <w:color w:val="388600"/>
                                <w:sz w:val="20"/>
                                <w:szCs w:val="20"/>
                                <w:lang w:val="uk-UA"/>
                              </w:rPr>
                              <w:t>8</w:t>
                            </w:r>
                            <w:r>
                              <w:rPr>
                                <w:color w:val="388600"/>
                                <w:sz w:val="20"/>
                                <w:szCs w:val="20"/>
                                <w:lang w:val="uk-UA"/>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03AD" id="_x0000_s1153" type="#_x0000_t202" style="position:absolute;left:0;text-align:left;margin-left:509.1pt;margin-top:186.2pt;width:36.5pt;height:24.5pt;z-index:4882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" fillcolor="white [3201]" stroked="f" strokeweight=".5pt">
                <v:textbox>
                  <w:txbxContent>
                    <w:p w14:paraId="39DA06F6" w14:textId="77777777" w:rsidR="004A2937" w:rsidRPr="004A2937" w:rsidRDefault="004A2937" w:rsidP="004A2937">
                      <w:pPr>
                        <w:rPr>
                          <w:color w:val="388600"/>
                          <w:sz w:val="8"/>
                          <w:szCs w:val="8"/>
                          <w:lang w:val="uk-UA"/>
                        </w:rPr>
                      </w:pPr>
                    </w:p>
                    <w:p w14:paraId="30049670" w14:textId="3AC28A3A" w:rsidR="004A2937" w:rsidRPr="00770751" w:rsidRDefault="004A2937" w:rsidP="004A2937">
                      <w:pPr>
                        <w:rPr>
                          <w:color w:val="388600"/>
                          <w:sz w:val="20"/>
                          <w:szCs w:val="20"/>
                          <w:lang w:val="uk-UA"/>
                        </w:rPr>
                      </w:pPr>
                      <w:r w:rsidRPr="00770751">
                        <w:rPr>
                          <w:color w:val="388600"/>
                          <w:sz w:val="20"/>
                          <w:szCs w:val="20"/>
                          <w:lang w:val="uk-UA"/>
                        </w:rPr>
                        <w:t>8</w:t>
                      </w:r>
                      <w:r>
                        <w:rPr>
                          <w:color w:val="388600"/>
                          <w:sz w:val="20"/>
                          <w:szCs w:val="20"/>
                          <w:lang w:val="uk-UA"/>
                        </w:rPr>
                        <w:t>7</w:t>
                      </w:r>
                    </w:p>
                  </w:txbxContent>
                </v:textbox>
              </v:shape>
            </w:pict>
          </mc:Fallback>
        </mc:AlternateContent>
      </w:r>
      <w:proofErr w:type="spellStart"/>
      <w:r w:rsidR="00DE2E3D" w:rsidRPr="003C17C3">
        <w:rPr>
          <w:sz w:val="20"/>
        </w:rPr>
        <w:t>Генотипові</w:t>
      </w:r>
      <w:proofErr w:type="spellEnd"/>
      <w:r w:rsidR="00DE2E3D" w:rsidRPr="003C17C3">
        <w:rPr>
          <w:sz w:val="20"/>
        </w:rPr>
        <w:t xml:space="preserve"> (</w:t>
      </w:r>
      <w:proofErr w:type="spellStart"/>
      <w:r w:rsidR="00DE2E3D" w:rsidRPr="003C17C3">
        <w:rPr>
          <w:sz w:val="20"/>
        </w:rPr>
        <w:t>молекулярні</w:t>
      </w:r>
      <w:proofErr w:type="spellEnd"/>
      <w:r w:rsidR="00DE2E3D" w:rsidRPr="003C17C3">
        <w:rPr>
          <w:sz w:val="20"/>
        </w:rPr>
        <w:t xml:space="preserve">) </w:t>
      </w:r>
      <w:proofErr w:type="spellStart"/>
      <w:r w:rsidR="00DE2E3D" w:rsidRPr="003C17C3">
        <w:rPr>
          <w:sz w:val="20"/>
        </w:rPr>
        <w:t>методи</w:t>
      </w:r>
      <w:proofErr w:type="spellEnd"/>
      <w:r w:rsidR="00DE2E3D" w:rsidRPr="003C17C3">
        <w:rPr>
          <w:sz w:val="20"/>
        </w:rPr>
        <w:t xml:space="preserve"> </w:t>
      </w:r>
      <w:proofErr w:type="spellStart"/>
      <w:r w:rsidR="00DE2E3D" w:rsidRPr="003C17C3">
        <w:rPr>
          <w:sz w:val="20"/>
        </w:rPr>
        <w:t>мають</w:t>
      </w:r>
      <w:proofErr w:type="spellEnd"/>
      <w:r w:rsidR="00DE2E3D" w:rsidRPr="003C17C3">
        <w:rPr>
          <w:sz w:val="20"/>
        </w:rPr>
        <w:t xml:space="preserve"> </w:t>
      </w:r>
      <w:proofErr w:type="spellStart"/>
      <w:r w:rsidR="00DE2E3D" w:rsidRPr="003C17C3">
        <w:rPr>
          <w:sz w:val="20"/>
        </w:rPr>
        <w:t>значні</w:t>
      </w:r>
      <w:proofErr w:type="spellEnd"/>
      <w:r w:rsidR="00DE2E3D" w:rsidRPr="003C17C3">
        <w:rPr>
          <w:sz w:val="20"/>
        </w:rPr>
        <w:t xml:space="preserve"> </w:t>
      </w:r>
      <w:proofErr w:type="spellStart"/>
      <w:r w:rsidR="00DE2E3D" w:rsidRPr="003C17C3">
        <w:rPr>
          <w:sz w:val="20"/>
        </w:rPr>
        <w:t>переваги</w:t>
      </w:r>
      <w:proofErr w:type="spellEnd"/>
      <w:r w:rsidR="00DE2E3D" w:rsidRPr="003C17C3">
        <w:rPr>
          <w:sz w:val="20"/>
        </w:rPr>
        <w:t xml:space="preserve"> </w:t>
      </w:r>
      <w:proofErr w:type="spellStart"/>
      <w:r w:rsidR="00DE2E3D" w:rsidRPr="003C17C3">
        <w:rPr>
          <w:sz w:val="20"/>
        </w:rPr>
        <w:t>для</w:t>
      </w:r>
      <w:proofErr w:type="spellEnd"/>
      <w:r w:rsidR="00DE2E3D" w:rsidRPr="003C17C3">
        <w:rPr>
          <w:sz w:val="20"/>
        </w:rPr>
        <w:t xml:space="preserve"> </w:t>
      </w:r>
      <w:proofErr w:type="spellStart"/>
      <w:r w:rsidR="00DE2E3D" w:rsidRPr="003C17C3">
        <w:rPr>
          <w:sz w:val="20"/>
        </w:rPr>
        <w:t>розширення</w:t>
      </w:r>
      <w:proofErr w:type="spellEnd"/>
      <w:r w:rsidR="00DE2E3D" w:rsidRPr="003C17C3">
        <w:rPr>
          <w:sz w:val="20"/>
        </w:rPr>
        <w:t xml:space="preserve"> </w:t>
      </w:r>
      <w:r w:rsidR="00DE2E3D" w:rsidRPr="003C17C3">
        <w:rPr>
          <w:sz w:val="20"/>
          <w:lang w:val="uk-UA"/>
        </w:rPr>
        <w:t>програмного</w:t>
      </w:r>
      <w:r w:rsidR="00DE2E3D" w:rsidRPr="003C17C3">
        <w:rPr>
          <w:sz w:val="20"/>
        </w:rPr>
        <w:t xml:space="preserve"> ведення та </w:t>
      </w:r>
      <w:proofErr w:type="spellStart"/>
      <w:r w:rsidR="00DE2E3D" w:rsidRPr="003C17C3">
        <w:rPr>
          <w:sz w:val="20"/>
        </w:rPr>
        <w:t>епіднагляду</w:t>
      </w:r>
      <w:proofErr w:type="spellEnd"/>
      <w:r w:rsidR="00DE2E3D" w:rsidRPr="003C17C3">
        <w:rPr>
          <w:sz w:val="20"/>
        </w:rPr>
        <w:t xml:space="preserve"> </w:t>
      </w:r>
      <w:proofErr w:type="spellStart"/>
      <w:r w:rsidR="00DE2E3D" w:rsidRPr="003C17C3">
        <w:rPr>
          <w:sz w:val="20"/>
        </w:rPr>
        <w:t>за</w:t>
      </w:r>
      <w:proofErr w:type="spellEnd"/>
      <w:r w:rsidR="00DE2E3D" w:rsidRPr="003C17C3">
        <w:rPr>
          <w:sz w:val="20"/>
        </w:rPr>
        <w:t xml:space="preserve"> </w:t>
      </w:r>
      <w:r w:rsidR="00DE2E3D" w:rsidRPr="003C17C3">
        <w:rPr>
          <w:sz w:val="20"/>
          <w:lang w:val="uk-UA"/>
        </w:rPr>
        <w:t>ЛС-ТБ</w:t>
      </w:r>
      <w:r w:rsidR="00DE2E3D" w:rsidRPr="003C17C3">
        <w:rPr>
          <w:sz w:val="20"/>
        </w:rPr>
        <w:t xml:space="preserve">, </w:t>
      </w:r>
      <w:proofErr w:type="spellStart"/>
      <w:r w:rsidR="00DE2E3D" w:rsidRPr="003C17C3">
        <w:rPr>
          <w:sz w:val="20"/>
        </w:rPr>
        <w:t>оскільки</w:t>
      </w:r>
      <w:proofErr w:type="spellEnd"/>
      <w:r w:rsidR="00DE2E3D" w:rsidRPr="003C17C3">
        <w:rPr>
          <w:sz w:val="20"/>
        </w:rPr>
        <w:t xml:space="preserve"> </w:t>
      </w:r>
      <w:proofErr w:type="spellStart"/>
      <w:r w:rsidR="00DE2E3D" w:rsidRPr="003C17C3">
        <w:rPr>
          <w:sz w:val="20"/>
        </w:rPr>
        <w:t>вони</w:t>
      </w:r>
      <w:proofErr w:type="spellEnd"/>
      <w:r w:rsidR="00DE2E3D" w:rsidRPr="003C17C3">
        <w:rPr>
          <w:sz w:val="20"/>
        </w:rPr>
        <w:t xml:space="preserve"> </w:t>
      </w:r>
      <w:proofErr w:type="spellStart"/>
      <w:r w:rsidR="00DE2E3D" w:rsidRPr="003C17C3">
        <w:rPr>
          <w:sz w:val="20"/>
        </w:rPr>
        <w:t>пропонують</w:t>
      </w:r>
      <w:proofErr w:type="spellEnd"/>
      <w:r w:rsidR="00DE2E3D" w:rsidRPr="003C17C3">
        <w:rPr>
          <w:sz w:val="20"/>
        </w:rPr>
        <w:t xml:space="preserve"> </w:t>
      </w:r>
      <w:proofErr w:type="spellStart"/>
      <w:r w:rsidR="00DE2E3D" w:rsidRPr="003C17C3">
        <w:rPr>
          <w:sz w:val="20"/>
        </w:rPr>
        <w:t>швидку</w:t>
      </w:r>
      <w:proofErr w:type="spellEnd"/>
      <w:r w:rsidR="00DE2E3D" w:rsidRPr="003C17C3">
        <w:rPr>
          <w:sz w:val="20"/>
        </w:rPr>
        <w:t xml:space="preserve"> </w:t>
      </w:r>
      <w:proofErr w:type="spellStart"/>
      <w:r w:rsidR="00DE2E3D" w:rsidRPr="003C17C3">
        <w:rPr>
          <w:sz w:val="20"/>
        </w:rPr>
        <w:t>діагностику</w:t>
      </w:r>
      <w:proofErr w:type="spellEnd"/>
      <w:r w:rsidR="00DE2E3D" w:rsidRPr="003C17C3">
        <w:rPr>
          <w:sz w:val="20"/>
        </w:rPr>
        <w:t xml:space="preserve">, </w:t>
      </w:r>
      <w:proofErr w:type="spellStart"/>
      <w:r w:rsidR="00DE2E3D" w:rsidRPr="003C17C3">
        <w:rPr>
          <w:sz w:val="20"/>
        </w:rPr>
        <w:t>стандартизоване</w:t>
      </w:r>
      <w:proofErr w:type="spellEnd"/>
      <w:r w:rsidR="00DE2E3D" w:rsidRPr="003C17C3">
        <w:rPr>
          <w:sz w:val="20"/>
        </w:rPr>
        <w:t xml:space="preserve"> </w:t>
      </w:r>
      <w:proofErr w:type="spellStart"/>
      <w:r w:rsidR="00DE2E3D" w:rsidRPr="003C17C3">
        <w:rPr>
          <w:sz w:val="20"/>
        </w:rPr>
        <w:t>тестування</w:t>
      </w:r>
      <w:proofErr w:type="spellEnd"/>
      <w:r w:rsidR="00DE2E3D" w:rsidRPr="003C17C3">
        <w:rPr>
          <w:sz w:val="20"/>
        </w:rPr>
        <w:t xml:space="preserve">, </w:t>
      </w:r>
      <w:proofErr w:type="spellStart"/>
      <w:r w:rsidR="00DE2E3D" w:rsidRPr="003C17C3">
        <w:rPr>
          <w:sz w:val="20"/>
        </w:rPr>
        <w:t>потенціал</w:t>
      </w:r>
      <w:proofErr w:type="spellEnd"/>
      <w:r w:rsidR="00DE2E3D" w:rsidRPr="003C17C3">
        <w:rPr>
          <w:sz w:val="20"/>
        </w:rPr>
        <w:t xml:space="preserve"> </w:t>
      </w:r>
      <w:proofErr w:type="spellStart"/>
      <w:r w:rsidR="00DE2E3D" w:rsidRPr="003C17C3">
        <w:rPr>
          <w:sz w:val="20"/>
        </w:rPr>
        <w:t>для</w:t>
      </w:r>
      <w:proofErr w:type="spellEnd"/>
      <w:r w:rsidR="00DE2E3D" w:rsidRPr="003C17C3">
        <w:rPr>
          <w:sz w:val="20"/>
        </w:rPr>
        <w:t xml:space="preserve"> </w:t>
      </w:r>
      <w:proofErr w:type="spellStart"/>
      <w:r w:rsidR="00DE2E3D" w:rsidRPr="003C17C3">
        <w:rPr>
          <w:sz w:val="20"/>
        </w:rPr>
        <w:t>високої</w:t>
      </w:r>
      <w:proofErr w:type="spellEnd"/>
      <w:r w:rsidR="00DE2E3D" w:rsidRPr="003C17C3">
        <w:rPr>
          <w:sz w:val="20"/>
        </w:rPr>
        <w:t xml:space="preserve"> </w:t>
      </w:r>
      <w:proofErr w:type="spellStart"/>
      <w:r w:rsidR="00DE2E3D" w:rsidRPr="003C17C3">
        <w:rPr>
          <w:sz w:val="20"/>
        </w:rPr>
        <w:t>пропускної</w:t>
      </w:r>
      <w:proofErr w:type="spellEnd"/>
      <w:r w:rsidR="00DE2E3D" w:rsidRPr="003C17C3">
        <w:rPr>
          <w:sz w:val="20"/>
        </w:rPr>
        <w:t xml:space="preserve"> </w:t>
      </w:r>
      <w:proofErr w:type="spellStart"/>
      <w:r w:rsidR="00DE2E3D" w:rsidRPr="003C17C3">
        <w:rPr>
          <w:sz w:val="20"/>
        </w:rPr>
        <w:t>здатності</w:t>
      </w:r>
      <w:proofErr w:type="spellEnd"/>
      <w:r w:rsidR="00DE2E3D" w:rsidRPr="003C17C3">
        <w:rPr>
          <w:sz w:val="20"/>
        </w:rPr>
        <w:t xml:space="preserve"> та </w:t>
      </w:r>
      <w:proofErr w:type="spellStart"/>
      <w:r w:rsidR="00DE2E3D" w:rsidRPr="003C17C3">
        <w:rPr>
          <w:sz w:val="20"/>
        </w:rPr>
        <w:t>менші</w:t>
      </w:r>
      <w:proofErr w:type="spellEnd"/>
      <w:r w:rsidR="00DE2E3D" w:rsidRPr="003C17C3">
        <w:rPr>
          <w:sz w:val="20"/>
        </w:rPr>
        <w:t xml:space="preserve"> </w:t>
      </w:r>
      <w:proofErr w:type="spellStart"/>
      <w:r w:rsidR="00DE2E3D" w:rsidRPr="003C17C3">
        <w:rPr>
          <w:sz w:val="20"/>
        </w:rPr>
        <w:t>вимоги</w:t>
      </w:r>
      <w:proofErr w:type="spellEnd"/>
      <w:r w:rsidR="00DE2E3D" w:rsidRPr="003C17C3">
        <w:rPr>
          <w:sz w:val="20"/>
        </w:rPr>
        <w:t xml:space="preserve"> </w:t>
      </w:r>
      <w:proofErr w:type="spellStart"/>
      <w:r w:rsidR="00DE2E3D" w:rsidRPr="003C17C3">
        <w:rPr>
          <w:sz w:val="20"/>
        </w:rPr>
        <w:t>до</w:t>
      </w:r>
      <w:proofErr w:type="spellEnd"/>
      <w:r w:rsidR="00DE2E3D" w:rsidRPr="003C17C3">
        <w:rPr>
          <w:sz w:val="20"/>
        </w:rPr>
        <w:t xml:space="preserve"> </w:t>
      </w:r>
      <w:proofErr w:type="spellStart"/>
      <w:r w:rsidR="00DE2E3D" w:rsidRPr="003C17C3">
        <w:rPr>
          <w:sz w:val="20"/>
        </w:rPr>
        <w:t>лабораторної</w:t>
      </w:r>
      <w:proofErr w:type="spellEnd"/>
      <w:r w:rsidR="00DE2E3D" w:rsidRPr="003C17C3">
        <w:rPr>
          <w:sz w:val="20"/>
        </w:rPr>
        <w:t xml:space="preserve"> біобезпеки. </w:t>
      </w:r>
      <w:proofErr w:type="spellStart"/>
      <w:r w:rsidR="00DE2E3D" w:rsidRPr="003C17C3">
        <w:rPr>
          <w:sz w:val="20"/>
        </w:rPr>
        <w:t>Молекулярні</w:t>
      </w:r>
      <w:proofErr w:type="spellEnd"/>
      <w:r w:rsidR="00DE2E3D" w:rsidRPr="003C17C3">
        <w:rPr>
          <w:sz w:val="20"/>
        </w:rPr>
        <w:t xml:space="preserve"> </w:t>
      </w:r>
      <w:proofErr w:type="spellStart"/>
      <w:r w:rsidR="00DE2E3D" w:rsidRPr="003C17C3">
        <w:rPr>
          <w:sz w:val="20"/>
        </w:rPr>
        <w:t>тести</w:t>
      </w:r>
      <w:proofErr w:type="spellEnd"/>
      <w:r w:rsidR="00DE2E3D" w:rsidRPr="003C17C3">
        <w:rPr>
          <w:sz w:val="20"/>
        </w:rPr>
        <w:t xml:space="preserve"> </w:t>
      </w:r>
      <w:proofErr w:type="spellStart"/>
      <w:r w:rsidR="00DE2E3D" w:rsidRPr="003C17C3">
        <w:rPr>
          <w:sz w:val="20"/>
        </w:rPr>
        <w:t>для</w:t>
      </w:r>
      <w:proofErr w:type="spellEnd"/>
      <w:r w:rsidR="00DE2E3D" w:rsidRPr="003C17C3">
        <w:rPr>
          <w:sz w:val="20"/>
        </w:rPr>
        <w:t xml:space="preserve"> виявлення </w:t>
      </w:r>
      <w:r w:rsidR="00DE2E3D" w:rsidRPr="003C17C3">
        <w:rPr>
          <w:sz w:val="20"/>
          <w:lang w:val="uk-UA"/>
        </w:rPr>
        <w:t>лікарської стійкості</w:t>
      </w:r>
      <w:r w:rsidR="00DE2E3D" w:rsidRPr="003C17C3">
        <w:rPr>
          <w:sz w:val="20"/>
        </w:rPr>
        <w:t xml:space="preserve"> – </w:t>
      </w:r>
      <w:proofErr w:type="spellStart"/>
      <w:r w:rsidR="00DE2E3D" w:rsidRPr="003C17C3">
        <w:rPr>
          <w:sz w:val="20"/>
        </w:rPr>
        <w:t>наприклад</w:t>
      </w:r>
      <w:proofErr w:type="spellEnd"/>
      <w:r w:rsidR="00DE2E3D" w:rsidRPr="003C17C3">
        <w:rPr>
          <w:sz w:val="20"/>
        </w:rPr>
        <w:t xml:space="preserve">, </w:t>
      </w:r>
      <w:proofErr w:type="spellStart"/>
      <w:r w:rsidR="00DE2E3D" w:rsidRPr="003C17C3">
        <w:rPr>
          <w:sz w:val="20"/>
        </w:rPr>
        <w:t>тест</w:t>
      </w:r>
      <w:proofErr w:type="spellEnd"/>
      <w:r w:rsidR="00DE2E3D" w:rsidRPr="003C17C3">
        <w:rPr>
          <w:sz w:val="20"/>
        </w:rPr>
        <w:t xml:space="preserve"> GenoType MTBDRsl (Hain Lifescience, </w:t>
      </w:r>
      <w:r w:rsidR="00DE2E3D" w:rsidRPr="003C17C3">
        <w:rPr>
          <w:sz w:val="20"/>
          <w:lang w:val="uk-UA"/>
        </w:rPr>
        <w:t>Н</w:t>
      </w:r>
      <w:proofErr w:type="spellStart"/>
      <w:r w:rsidR="00DE2E3D" w:rsidRPr="003C17C3">
        <w:rPr>
          <w:sz w:val="20"/>
        </w:rPr>
        <w:t>ерен</w:t>
      </w:r>
      <w:proofErr w:type="spellEnd"/>
      <w:r w:rsidR="00DE2E3D" w:rsidRPr="003C17C3">
        <w:rPr>
          <w:sz w:val="20"/>
        </w:rPr>
        <w:t xml:space="preserve">, </w:t>
      </w:r>
      <w:proofErr w:type="spellStart"/>
      <w:r w:rsidR="00DE2E3D" w:rsidRPr="003C17C3">
        <w:rPr>
          <w:sz w:val="20"/>
        </w:rPr>
        <w:t>Німеччина</w:t>
      </w:r>
      <w:proofErr w:type="spellEnd"/>
      <w:r w:rsidR="00DE2E3D" w:rsidRPr="003C17C3">
        <w:rPr>
          <w:sz w:val="20"/>
        </w:rPr>
        <w:t>), далі – MTBDR</w:t>
      </w:r>
      <w:r w:rsidR="00DE2E3D" w:rsidRPr="003C17C3">
        <w:rPr>
          <w:i/>
          <w:sz w:val="20"/>
        </w:rPr>
        <w:t xml:space="preserve">sl (10) </w:t>
      </w:r>
      <w:r w:rsidR="00DE2E3D" w:rsidRPr="003C17C3">
        <w:rPr>
          <w:sz w:val="20"/>
        </w:rPr>
        <w:t xml:space="preserve">– </w:t>
      </w:r>
      <w:proofErr w:type="spellStart"/>
      <w:r w:rsidR="00DE2E3D" w:rsidRPr="003C17C3">
        <w:rPr>
          <w:sz w:val="20"/>
        </w:rPr>
        <w:t>продемонстрували</w:t>
      </w:r>
      <w:proofErr w:type="spellEnd"/>
      <w:r w:rsidR="00DE2E3D" w:rsidRPr="003C17C3">
        <w:rPr>
          <w:sz w:val="20"/>
        </w:rPr>
        <w:t xml:space="preserve"> </w:t>
      </w:r>
      <w:proofErr w:type="spellStart"/>
      <w:r w:rsidR="00DE2E3D" w:rsidRPr="003C17C3">
        <w:rPr>
          <w:sz w:val="20"/>
        </w:rPr>
        <w:t>свою</w:t>
      </w:r>
      <w:proofErr w:type="spellEnd"/>
      <w:r w:rsidR="00DE2E3D" w:rsidRPr="003C17C3">
        <w:rPr>
          <w:sz w:val="20"/>
        </w:rPr>
        <w:t xml:space="preserve"> </w:t>
      </w:r>
      <w:proofErr w:type="spellStart"/>
      <w:r w:rsidR="00DE2E3D" w:rsidRPr="003C17C3">
        <w:rPr>
          <w:sz w:val="20"/>
        </w:rPr>
        <w:t>перспективність</w:t>
      </w:r>
      <w:proofErr w:type="spellEnd"/>
      <w:r w:rsidR="00DE2E3D" w:rsidRPr="003C17C3">
        <w:rPr>
          <w:sz w:val="20"/>
        </w:rPr>
        <w:t xml:space="preserve"> </w:t>
      </w:r>
      <w:proofErr w:type="spellStart"/>
      <w:r w:rsidR="00DE2E3D" w:rsidRPr="003C17C3">
        <w:rPr>
          <w:sz w:val="20"/>
        </w:rPr>
        <w:t>для</w:t>
      </w:r>
      <w:proofErr w:type="spellEnd"/>
      <w:r w:rsidR="00DE2E3D" w:rsidRPr="003C17C3">
        <w:rPr>
          <w:sz w:val="20"/>
        </w:rPr>
        <w:t xml:space="preserve"> </w:t>
      </w:r>
      <w:proofErr w:type="spellStart"/>
      <w:r w:rsidR="00DE2E3D" w:rsidRPr="003C17C3">
        <w:rPr>
          <w:sz w:val="20"/>
        </w:rPr>
        <w:t>діагностики</w:t>
      </w:r>
      <w:proofErr w:type="spellEnd"/>
      <w:r w:rsidR="00DE2E3D" w:rsidRPr="003C17C3">
        <w:rPr>
          <w:sz w:val="20"/>
        </w:rPr>
        <w:t xml:space="preserve"> ЛС-ТБ. </w:t>
      </w:r>
      <w:proofErr w:type="spellStart"/>
      <w:r w:rsidR="00DE2E3D" w:rsidRPr="003C17C3">
        <w:rPr>
          <w:sz w:val="20"/>
        </w:rPr>
        <w:t>Ці</w:t>
      </w:r>
      <w:proofErr w:type="spellEnd"/>
      <w:r w:rsidR="00DE2E3D" w:rsidRPr="003C17C3">
        <w:rPr>
          <w:sz w:val="20"/>
        </w:rPr>
        <w:t xml:space="preserve"> </w:t>
      </w:r>
      <w:proofErr w:type="spellStart"/>
      <w:r w:rsidR="00DE2E3D" w:rsidRPr="003C17C3">
        <w:rPr>
          <w:sz w:val="20"/>
        </w:rPr>
        <w:t>тести</w:t>
      </w:r>
      <w:proofErr w:type="spellEnd"/>
      <w:r w:rsidR="00DE2E3D" w:rsidRPr="003C17C3">
        <w:rPr>
          <w:sz w:val="20"/>
        </w:rPr>
        <w:t xml:space="preserve"> </w:t>
      </w:r>
      <w:proofErr w:type="spellStart"/>
      <w:r w:rsidR="00DE2E3D" w:rsidRPr="003C17C3">
        <w:rPr>
          <w:sz w:val="20"/>
        </w:rPr>
        <w:t>швидк</w:t>
      </w:r>
      <w:proofErr w:type="spellEnd"/>
      <w:r w:rsidR="00DE2E3D" w:rsidRPr="003C17C3">
        <w:rPr>
          <w:sz w:val="20"/>
          <w:lang w:val="uk-UA"/>
        </w:rPr>
        <w:t>і</w:t>
      </w:r>
      <w:r w:rsidR="00DE2E3D" w:rsidRPr="003C17C3">
        <w:rPr>
          <w:sz w:val="20"/>
        </w:rPr>
        <w:t xml:space="preserve"> (</w:t>
      </w:r>
      <w:proofErr w:type="spellStart"/>
      <w:r w:rsidR="00DE2E3D" w:rsidRPr="003C17C3">
        <w:rPr>
          <w:sz w:val="20"/>
        </w:rPr>
        <w:t>можуть</w:t>
      </w:r>
      <w:proofErr w:type="spellEnd"/>
      <w:r w:rsidR="00DE2E3D" w:rsidRPr="003C17C3">
        <w:rPr>
          <w:sz w:val="20"/>
        </w:rPr>
        <w:t xml:space="preserve"> </w:t>
      </w:r>
      <w:proofErr w:type="spellStart"/>
      <w:r w:rsidR="00DE2E3D" w:rsidRPr="003C17C3">
        <w:rPr>
          <w:sz w:val="20"/>
        </w:rPr>
        <w:t>бути</w:t>
      </w:r>
      <w:proofErr w:type="spellEnd"/>
      <w:r w:rsidR="00DE2E3D" w:rsidRPr="003C17C3">
        <w:rPr>
          <w:sz w:val="20"/>
        </w:rPr>
        <w:t xml:space="preserve"> </w:t>
      </w:r>
      <w:proofErr w:type="spellStart"/>
      <w:r w:rsidR="00DE2E3D" w:rsidRPr="003C17C3">
        <w:rPr>
          <w:sz w:val="20"/>
        </w:rPr>
        <w:t>виконані</w:t>
      </w:r>
      <w:proofErr w:type="spellEnd"/>
      <w:r w:rsidR="00DE2E3D" w:rsidRPr="003C17C3">
        <w:rPr>
          <w:sz w:val="20"/>
        </w:rPr>
        <w:t xml:space="preserve"> </w:t>
      </w:r>
      <w:proofErr w:type="spellStart"/>
      <w:r w:rsidR="00DE2E3D" w:rsidRPr="003C17C3">
        <w:rPr>
          <w:sz w:val="20"/>
        </w:rPr>
        <w:t>за</w:t>
      </w:r>
      <w:proofErr w:type="spellEnd"/>
      <w:r w:rsidR="00DE2E3D" w:rsidRPr="003C17C3">
        <w:rPr>
          <w:sz w:val="20"/>
        </w:rPr>
        <w:t xml:space="preserve"> </w:t>
      </w:r>
      <w:proofErr w:type="spellStart"/>
      <w:r w:rsidR="00DE2E3D" w:rsidRPr="003C17C3">
        <w:rPr>
          <w:sz w:val="20"/>
        </w:rPr>
        <w:t>один</w:t>
      </w:r>
      <w:proofErr w:type="spellEnd"/>
      <w:r w:rsidR="00DE2E3D" w:rsidRPr="003C17C3">
        <w:rPr>
          <w:sz w:val="20"/>
        </w:rPr>
        <w:t xml:space="preserve"> </w:t>
      </w:r>
      <w:proofErr w:type="spellStart"/>
      <w:r w:rsidR="00DE2E3D" w:rsidRPr="003C17C3">
        <w:rPr>
          <w:sz w:val="20"/>
        </w:rPr>
        <w:t>робочий</w:t>
      </w:r>
      <w:proofErr w:type="spellEnd"/>
      <w:r w:rsidR="00DE2E3D" w:rsidRPr="003C17C3">
        <w:rPr>
          <w:sz w:val="20"/>
        </w:rPr>
        <w:t xml:space="preserve"> </w:t>
      </w:r>
      <w:proofErr w:type="spellStart"/>
      <w:r w:rsidR="00DE2E3D" w:rsidRPr="003C17C3">
        <w:rPr>
          <w:sz w:val="20"/>
        </w:rPr>
        <w:t>день</w:t>
      </w:r>
      <w:proofErr w:type="spellEnd"/>
      <w:r w:rsidR="00DE2E3D" w:rsidRPr="003C17C3">
        <w:rPr>
          <w:sz w:val="20"/>
        </w:rPr>
        <w:t xml:space="preserve">) і </w:t>
      </w:r>
      <w:proofErr w:type="spellStart"/>
      <w:r w:rsidR="00DE2E3D" w:rsidRPr="003C17C3">
        <w:rPr>
          <w:sz w:val="20"/>
        </w:rPr>
        <w:t>виявляють</w:t>
      </w:r>
      <w:proofErr w:type="spellEnd"/>
      <w:r w:rsidR="00DE2E3D" w:rsidRPr="003C17C3">
        <w:rPr>
          <w:sz w:val="20"/>
        </w:rPr>
        <w:t xml:space="preserve"> </w:t>
      </w:r>
      <w:proofErr w:type="spellStart"/>
      <w:r w:rsidR="00DE2E3D" w:rsidRPr="003C17C3">
        <w:rPr>
          <w:sz w:val="20"/>
        </w:rPr>
        <w:t>наявність</w:t>
      </w:r>
      <w:proofErr w:type="spellEnd"/>
      <w:r w:rsidR="00DE2E3D" w:rsidRPr="003C17C3">
        <w:rPr>
          <w:sz w:val="20"/>
        </w:rPr>
        <w:t xml:space="preserve"> </w:t>
      </w:r>
      <w:proofErr w:type="spellStart"/>
      <w:r w:rsidR="00DE2E3D" w:rsidRPr="003C17C3">
        <w:rPr>
          <w:sz w:val="20"/>
        </w:rPr>
        <w:t>мутацій</w:t>
      </w:r>
      <w:proofErr w:type="spellEnd"/>
      <w:r w:rsidR="00DE2E3D" w:rsidRPr="003C17C3">
        <w:rPr>
          <w:sz w:val="20"/>
        </w:rPr>
        <w:t xml:space="preserve">, </w:t>
      </w:r>
      <w:proofErr w:type="spellStart"/>
      <w:r w:rsidR="00DE2E3D">
        <w:rPr>
          <w:sz w:val="20"/>
          <w:lang w:val="uk-UA"/>
        </w:rPr>
        <w:t>пов</w:t>
      </w:r>
      <w:proofErr w:type="spellEnd"/>
      <w:r w:rsidR="00DE2E3D">
        <w:rPr>
          <w:sz w:val="20"/>
        </w:rPr>
        <w:t>’</w:t>
      </w:r>
      <w:proofErr w:type="spellStart"/>
      <w:r w:rsidR="00DE2E3D">
        <w:rPr>
          <w:sz w:val="20"/>
          <w:lang w:val="uk-UA"/>
        </w:rPr>
        <w:t>язаних</w:t>
      </w:r>
      <w:proofErr w:type="spellEnd"/>
      <w:r w:rsidR="00DE2E3D" w:rsidRPr="003C17C3">
        <w:rPr>
          <w:sz w:val="20"/>
        </w:rPr>
        <w:t xml:space="preserve"> </w:t>
      </w:r>
      <w:r w:rsidR="00DE2E3D">
        <w:rPr>
          <w:sz w:val="20"/>
          <w:lang w:val="uk-UA"/>
        </w:rPr>
        <w:t>і</w:t>
      </w:r>
      <w:r w:rsidR="00DE2E3D" w:rsidRPr="003C17C3">
        <w:rPr>
          <w:sz w:val="20"/>
        </w:rPr>
        <w:t xml:space="preserve">з </w:t>
      </w:r>
      <w:r w:rsidR="00DE2E3D" w:rsidRPr="003C17C3">
        <w:rPr>
          <w:sz w:val="20"/>
          <w:lang w:val="uk-UA"/>
        </w:rPr>
        <w:t>лікарською стійкістю</w:t>
      </w:r>
      <w:r w:rsidR="00DE2E3D" w:rsidRPr="003C17C3">
        <w:rPr>
          <w:sz w:val="20"/>
        </w:rPr>
        <w:t>. MTBDR</w:t>
      </w:r>
      <w:r w:rsidR="00DE2E3D" w:rsidRPr="003C17C3">
        <w:rPr>
          <w:i/>
          <w:sz w:val="20"/>
        </w:rPr>
        <w:t>sl</w:t>
      </w:r>
      <w:r w:rsidR="00DE2E3D" w:rsidRPr="006B6651">
        <w:rPr>
          <w:sz w:val="20"/>
          <w:lang w:val="ru-RU"/>
        </w:rPr>
        <w:t xml:space="preserve"> </w:t>
      </w:r>
      <w:proofErr w:type="spellStart"/>
      <w:r w:rsidR="00DE2E3D" w:rsidRPr="006B6651">
        <w:rPr>
          <w:sz w:val="20"/>
          <w:lang w:val="ru-RU"/>
        </w:rPr>
        <w:t>належить</w:t>
      </w:r>
      <w:proofErr w:type="spellEnd"/>
      <w:r w:rsidR="00DE2E3D" w:rsidRPr="006B6651">
        <w:rPr>
          <w:sz w:val="20"/>
          <w:lang w:val="ru-RU"/>
        </w:rPr>
        <w:t xml:space="preserve"> до </w:t>
      </w:r>
      <w:proofErr w:type="spellStart"/>
      <w:r w:rsidR="00DE2E3D" w:rsidRPr="006B6651">
        <w:rPr>
          <w:sz w:val="20"/>
          <w:lang w:val="ru-RU"/>
        </w:rPr>
        <w:t>категорії</w:t>
      </w:r>
      <w:proofErr w:type="spellEnd"/>
      <w:r w:rsidR="00DE2E3D" w:rsidRPr="006B6651">
        <w:rPr>
          <w:sz w:val="20"/>
          <w:lang w:val="ru-RU"/>
        </w:rPr>
        <w:t xml:space="preserve"> молекулярно-</w:t>
      </w:r>
      <w:proofErr w:type="spellStart"/>
      <w:r w:rsidR="00DE2E3D" w:rsidRPr="006B6651">
        <w:rPr>
          <w:sz w:val="20"/>
          <w:lang w:val="ru-RU"/>
        </w:rPr>
        <w:t>генетичних</w:t>
      </w:r>
      <w:proofErr w:type="spellEnd"/>
      <w:r w:rsidR="00DE2E3D" w:rsidRPr="006B6651">
        <w:rPr>
          <w:sz w:val="20"/>
          <w:lang w:val="ru-RU"/>
        </w:rPr>
        <w:t xml:space="preserve"> </w:t>
      </w:r>
      <w:proofErr w:type="spellStart"/>
      <w:r w:rsidR="00DE2E3D" w:rsidRPr="006B6651">
        <w:rPr>
          <w:sz w:val="20"/>
          <w:lang w:val="ru-RU"/>
        </w:rPr>
        <w:t>тестів</w:t>
      </w:r>
      <w:proofErr w:type="spellEnd"/>
      <w:r w:rsidR="00DE2E3D" w:rsidRPr="006B6651">
        <w:rPr>
          <w:sz w:val="20"/>
          <w:lang w:val="ru-RU"/>
        </w:rPr>
        <w:t xml:space="preserve">, </w:t>
      </w:r>
      <w:proofErr w:type="spellStart"/>
      <w:r w:rsidR="00DE2E3D" w:rsidRPr="006B6651">
        <w:rPr>
          <w:sz w:val="20"/>
          <w:lang w:val="ru-RU"/>
        </w:rPr>
        <w:t>що</w:t>
      </w:r>
      <w:proofErr w:type="spellEnd"/>
      <w:r w:rsidR="00DE2E3D" w:rsidRPr="006B6651">
        <w:rPr>
          <w:sz w:val="20"/>
          <w:lang w:val="ru-RU"/>
        </w:rPr>
        <w:t xml:space="preserve"> </w:t>
      </w:r>
      <w:proofErr w:type="spellStart"/>
      <w:r w:rsidR="00DE2E3D" w:rsidRPr="006B6651">
        <w:rPr>
          <w:sz w:val="20"/>
          <w:lang w:val="ru-RU"/>
        </w:rPr>
        <w:t>називаються</w:t>
      </w:r>
      <w:proofErr w:type="spellEnd"/>
      <w:r w:rsidR="00DE2E3D" w:rsidRPr="006B6651">
        <w:rPr>
          <w:sz w:val="20"/>
          <w:lang w:val="ru-RU"/>
        </w:rPr>
        <w:t xml:space="preserve"> </w:t>
      </w:r>
      <w:r w:rsidR="00DE2E3D" w:rsidRPr="003C17C3">
        <w:rPr>
          <w:sz w:val="20"/>
        </w:rPr>
        <w:t>LPA</w:t>
      </w:r>
      <w:r w:rsidR="00DE2E3D" w:rsidRPr="006B6651">
        <w:rPr>
          <w:sz w:val="20"/>
          <w:lang w:val="ru-RU"/>
        </w:rPr>
        <w:t xml:space="preserve"> другого ряду (</w:t>
      </w:r>
      <w:r w:rsidR="00DE2E3D" w:rsidRPr="003C17C3">
        <w:rPr>
          <w:sz w:val="20"/>
        </w:rPr>
        <w:t>SL</w:t>
      </w:r>
      <w:r w:rsidR="00DE2E3D" w:rsidRPr="006B6651">
        <w:rPr>
          <w:sz w:val="20"/>
          <w:lang w:val="ru-RU"/>
        </w:rPr>
        <w:t>-</w:t>
      </w:r>
      <w:r w:rsidR="00DE2E3D" w:rsidRPr="003C17C3">
        <w:rPr>
          <w:sz w:val="20"/>
        </w:rPr>
        <w:t>LPA</w:t>
      </w:r>
      <w:r w:rsidR="00DE2E3D" w:rsidRPr="006B6651">
        <w:rPr>
          <w:sz w:val="20"/>
          <w:lang w:val="ru-RU"/>
        </w:rPr>
        <w:t>).</w:t>
      </w:r>
    </w:p>
    <w:p w14:paraId="2251FE54" w14:textId="77777777" w:rsidR="00DE2E3D" w:rsidRPr="006B6651" w:rsidRDefault="00DE2E3D" w:rsidP="006E5AE7">
      <w:pPr>
        <w:pStyle w:val="a3"/>
        <w:spacing w:before="2" w:line="276" w:lineRule="auto"/>
        <w:ind w:left="1417" w:right="933"/>
        <w:jc w:val="both"/>
        <w:rPr>
          <w:sz w:val="20"/>
          <w:lang w:val="ru-RU"/>
        </w:rPr>
      </w:pPr>
      <w:r w:rsidRPr="003C17C3">
        <w:rPr>
          <w:w w:val="110"/>
          <w:sz w:val="20"/>
          <w:lang w:val="uk-UA"/>
        </w:rPr>
        <w:lastRenderedPageBreak/>
        <w:t xml:space="preserve">Система </w:t>
      </w:r>
      <w:r w:rsidRPr="003C17C3">
        <w:rPr>
          <w:w w:val="110"/>
          <w:sz w:val="20"/>
        </w:rPr>
        <w:t>MTBDR</w:t>
      </w:r>
      <w:r w:rsidRPr="003C17C3">
        <w:rPr>
          <w:i/>
          <w:w w:val="110"/>
          <w:sz w:val="20"/>
        </w:rPr>
        <w:t>sl</w:t>
      </w:r>
      <w:r w:rsidRPr="006B6651">
        <w:rPr>
          <w:w w:val="110"/>
          <w:sz w:val="20"/>
          <w:lang w:val="ru-RU"/>
        </w:rPr>
        <w:t xml:space="preserve"> (</w:t>
      </w:r>
      <w:proofErr w:type="spellStart"/>
      <w:r w:rsidRPr="006B6651">
        <w:rPr>
          <w:w w:val="110"/>
          <w:sz w:val="20"/>
          <w:lang w:val="ru-RU"/>
        </w:rPr>
        <w:t>версія</w:t>
      </w:r>
      <w:proofErr w:type="spellEnd"/>
      <w:r w:rsidRPr="006B6651">
        <w:rPr>
          <w:w w:val="110"/>
          <w:sz w:val="20"/>
          <w:lang w:val="ru-RU"/>
        </w:rPr>
        <w:t xml:space="preserve"> 1.0) </w:t>
      </w:r>
      <w:proofErr w:type="spellStart"/>
      <w:r w:rsidRPr="006B6651">
        <w:rPr>
          <w:w w:val="110"/>
          <w:sz w:val="20"/>
          <w:lang w:val="ru-RU"/>
        </w:rPr>
        <w:t>бу</w:t>
      </w:r>
      <w:proofErr w:type="spellEnd"/>
      <w:r w:rsidRPr="003C17C3">
        <w:rPr>
          <w:w w:val="110"/>
          <w:sz w:val="20"/>
          <w:lang w:val="uk-UA"/>
        </w:rPr>
        <w:t>ла</w:t>
      </w:r>
      <w:r w:rsidRPr="006B6651">
        <w:rPr>
          <w:w w:val="110"/>
          <w:sz w:val="20"/>
          <w:lang w:val="ru-RU"/>
        </w:rPr>
        <w:t xml:space="preserve"> перш</w:t>
      </w:r>
      <w:proofErr w:type="spellStart"/>
      <w:r w:rsidRPr="003C17C3">
        <w:rPr>
          <w:w w:val="110"/>
          <w:sz w:val="20"/>
          <w:lang w:val="uk-UA"/>
        </w:rPr>
        <w:t>ою</w:t>
      </w:r>
      <w:proofErr w:type="spellEnd"/>
      <w:r w:rsidRPr="006B6651">
        <w:rPr>
          <w:w w:val="110"/>
          <w:sz w:val="20"/>
          <w:lang w:val="ru-RU"/>
        </w:rPr>
        <w:t xml:space="preserve"> </w:t>
      </w:r>
      <w:r>
        <w:rPr>
          <w:w w:val="110"/>
          <w:sz w:val="20"/>
          <w:lang w:val="uk-UA"/>
        </w:rPr>
        <w:t>доступною на ринку</w:t>
      </w:r>
      <w:r w:rsidRPr="003C17C3">
        <w:rPr>
          <w:w w:val="110"/>
          <w:sz w:val="20"/>
          <w:lang w:val="uk-UA"/>
        </w:rPr>
        <w:t xml:space="preserve"> системою на основі </w:t>
      </w:r>
      <w:r w:rsidRPr="003C17C3">
        <w:rPr>
          <w:w w:val="110"/>
          <w:sz w:val="20"/>
        </w:rPr>
        <w:t>SL</w:t>
      </w:r>
      <w:r w:rsidRPr="006B6651">
        <w:rPr>
          <w:w w:val="110"/>
          <w:sz w:val="20"/>
          <w:lang w:val="ru-RU"/>
        </w:rPr>
        <w:t>-</w:t>
      </w:r>
      <w:r w:rsidRPr="003C17C3">
        <w:rPr>
          <w:w w:val="110"/>
          <w:sz w:val="20"/>
        </w:rPr>
        <w:t>LPA</w:t>
      </w:r>
      <w:r w:rsidRPr="006B6651">
        <w:rPr>
          <w:w w:val="110"/>
          <w:sz w:val="20"/>
          <w:lang w:val="ru-RU"/>
        </w:rPr>
        <w:t xml:space="preserve"> для виявлення </w:t>
      </w:r>
      <w:r w:rsidRPr="003C17C3">
        <w:rPr>
          <w:w w:val="110"/>
          <w:sz w:val="20"/>
          <w:lang w:val="uk-UA"/>
        </w:rPr>
        <w:t>стійкості</w:t>
      </w:r>
      <w:r w:rsidRPr="006B6651">
        <w:rPr>
          <w:w w:val="110"/>
          <w:sz w:val="20"/>
          <w:lang w:val="ru-RU"/>
        </w:rPr>
        <w:t xml:space="preserve"> до </w:t>
      </w:r>
      <w:proofErr w:type="spellStart"/>
      <w:r w:rsidRPr="006B6651">
        <w:rPr>
          <w:w w:val="110"/>
          <w:sz w:val="20"/>
          <w:lang w:val="ru-RU"/>
        </w:rPr>
        <w:t>протитуберкульозних</w:t>
      </w:r>
      <w:proofErr w:type="spellEnd"/>
      <w:r w:rsidRPr="006B6651">
        <w:rPr>
          <w:w w:val="110"/>
          <w:sz w:val="20"/>
          <w:lang w:val="ru-RU"/>
        </w:rPr>
        <w:t xml:space="preserve"> </w:t>
      </w:r>
      <w:proofErr w:type="spellStart"/>
      <w:r w:rsidRPr="006B6651">
        <w:rPr>
          <w:w w:val="110"/>
          <w:sz w:val="20"/>
          <w:lang w:val="ru-RU"/>
        </w:rPr>
        <w:t>препаратів</w:t>
      </w:r>
      <w:proofErr w:type="spellEnd"/>
      <w:r w:rsidRPr="006B6651">
        <w:rPr>
          <w:w w:val="110"/>
          <w:sz w:val="20"/>
          <w:lang w:val="ru-RU"/>
        </w:rPr>
        <w:t xml:space="preserve"> другого ряду. </w:t>
      </w:r>
      <w:r w:rsidRPr="00DE2E3D">
        <w:rPr>
          <w:w w:val="110"/>
          <w:sz w:val="20"/>
          <w:lang w:val="ru-RU"/>
        </w:rPr>
        <w:t xml:space="preserve">У 2015 </w:t>
      </w:r>
      <w:proofErr w:type="spellStart"/>
      <w:r w:rsidRPr="00DE2E3D">
        <w:rPr>
          <w:w w:val="110"/>
          <w:sz w:val="20"/>
          <w:lang w:val="ru-RU"/>
        </w:rPr>
        <w:t>році</w:t>
      </w:r>
      <w:proofErr w:type="spellEnd"/>
      <w:r w:rsidRPr="00DE2E3D">
        <w:rPr>
          <w:w w:val="110"/>
          <w:sz w:val="20"/>
          <w:lang w:val="ru-RU"/>
        </w:rPr>
        <w:t xml:space="preserve"> </w:t>
      </w:r>
      <w:proofErr w:type="spellStart"/>
      <w:r w:rsidRPr="00DE2E3D">
        <w:rPr>
          <w:w w:val="110"/>
          <w:sz w:val="20"/>
          <w:lang w:val="ru-RU"/>
        </w:rPr>
        <w:t>виробник</w:t>
      </w:r>
      <w:proofErr w:type="spellEnd"/>
      <w:r w:rsidRPr="00DE2E3D">
        <w:rPr>
          <w:w w:val="110"/>
          <w:sz w:val="20"/>
          <w:lang w:val="ru-RU"/>
        </w:rPr>
        <w:t xml:space="preserve"> </w:t>
      </w:r>
      <w:proofErr w:type="spellStart"/>
      <w:r w:rsidRPr="00DE2E3D">
        <w:rPr>
          <w:w w:val="110"/>
          <w:sz w:val="20"/>
          <w:lang w:val="ru-RU"/>
        </w:rPr>
        <w:t>розробив</w:t>
      </w:r>
      <w:proofErr w:type="spellEnd"/>
      <w:r w:rsidRPr="00DE2E3D">
        <w:rPr>
          <w:w w:val="110"/>
          <w:sz w:val="20"/>
          <w:lang w:val="ru-RU"/>
        </w:rPr>
        <w:t xml:space="preserve"> та </w:t>
      </w:r>
      <w:r w:rsidRPr="003C17C3">
        <w:rPr>
          <w:w w:val="110"/>
          <w:sz w:val="20"/>
          <w:lang w:val="uk-UA"/>
        </w:rPr>
        <w:t>випустив у продаж</w:t>
      </w:r>
      <w:r w:rsidRPr="00DE2E3D">
        <w:rPr>
          <w:w w:val="110"/>
          <w:sz w:val="20"/>
          <w:lang w:val="ru-RU"/>
        </w:rPr>
        <w:t xml:space="preserve"> </w:t>
      </w:r>
      <w:proofErr w:type="spellStart"/>
      <w:r w:rsidRPr="00DE2E3D">
        <w:rPr>
          <w:w w:val="110"/>
          <w:sz w:val="20"/>
          <w:lang w:val="ru-RU"/>
        </w:rPr>
        <w:t>версію</w:t>
      </w:r>
      <w:proofErr w:type="spellEnd"/>
      <w:r w:rsidRPr="00DE2E3D">
        <w:rPr>
          <w:w w:val="110"/>
          <w:sz w:val="20"/>
          <w:lang w:val="ru-RU"/>
        </w:rPr>
        <w:t xml:space="preserve"> 2.0 тесту </w:t>
      </w:r>
      <w:r w:rsidRPr="003C17C3">
        <w:rPr>
          <w:w w:val="110"/>
          <w:sz w:val="20"/>
        </w:rPr>
        <w:t>MTBDR</w:t>
      </w:r>
      <w:r w:rsidRPr="003C17C3">
        <w:rPr>
          <w:i/>
          <w:w w:val="110"/>
          <w:sz w:val="20"/>
        </w:rPr>
        <w:t>sl</w:t>
      </w:r>
      <w:r w:rsidRPr="00DE2E3D">
        <w:rPr>
          <w:w w:val="110"/>
          <w:sz w:val="20"/>
          <w:lang w:val="ru-RU"/>
        </w:rPr>
        <w:t xml:space="preserve">. </w:t>
      </w:r>
      <w:proofErr w:type="spellStart"/>
      <w:r w:rsidRPr="00DE2E3D">
        <w:rPr>
          <w:w w:val="110"/>
          <w:sz w:val="20"/>
          <w:lang w:val="ru-RU"/>
        </w:rPr>
        <w:t>Версія</w:t>
      </w:r>
      <w:proofErr w:type="spellEnd"/>
      <w:r w:rsidRPr="00DE2E3D">
        <w:rPr>
          <w:w w:val="110"/>
          <w:sz w:val="20"/>
          <w:lang w:val="ru-RU"/>
        </w:rPr>
        <w:t xml:space="preserve"> 2.0 </w:t>
      </w:r>
      <w:proofErr w:type="spellStart"/>
      <w:r w:rsidRPr="00DE2E3D">
        <w:rPr>
          <w:w w:val="110"/>
          <w:sz w:val="20"/>
          <w:lang w:val="ru-RU"/>
        </w:rPr>
        <w:t>виявляє</w:t>
      </w:r>
      <w:proofErr w:type="spellEnd"/>
      <w:r w:rsidRPr="00DE2E3D">
        <w:rPr>
          <w:w w:val="110"/>
          <w:sz w:val="20"/>
          <w:lang w:val="ru-RU"/>
        </w:rPr>
        <w:t xml:space="preserve"> </w:t>
      </w:r>
      <w:proofErr w:type="spellStart"/>
      <w:r w:rsidRPr="00DE2E3D">
        <w:rPr>
          <w:w w:val="110"/>
          <w:sz w:val="20"/>
          <w:lang w:val="ru-RU"/>
        </w:rPr>
        <w:t>мутації</w:t>
      </w:r>
      <w:proofErr w:type="spellEnd"/>
      <w:r w:rsidRPr="00DE2E3D">
        <w:rPr>
          <w:w w:val="110"/>
          <w:sz w:val="20"/>
          <w:lang w:val="ru-RU"/>
        </w:rPr>
        <w:t xml:space="preserve">, </w:t>
      </w:r>
      <w:proofErr w:type="spellStart"/>
      <w:r w:rsidRPr="00DE2E3D">
        <w:rPr>
          <w:w w:val="110"/>
          <w:sz w:val="20"/>
          <w:lang w:val="ru-RU"/>
        </w:rPr>
        <w:t>пов'язані</w:t>
      </w:r>
      <w:proofErr w:type="spellEnd"/>
      <w:r w:rsidRPr="00DE2E3D">
        <w:rPr>
          <w:w w:val="110"/>
          <w:sz w:val="20"/>
          <w:lang w:val="ru-RU"/>
        </w:rPr>
        <w:t xml:space="preserve"> з</w:t>
      </w:r>
      <w:r w:rsidRPr="003C17C3">
        <w:rPr>
          <w:w w:val="110"/>
          <w:sz w:val="20"/>
          <w:lang w:val="uk-UA"/>
        </w:rPr>
        <w:t xml:space="preserve">і стійкістю </w:t>
      </w:r>
      <w:r w:rsidRPr="00DE2E3D">
        <w:rPr>
          <w:w w:val="110"/>
          <w:sz w:val="20"/>
          <w:lang w:val="ru-RU"/>
        </w:rPr>
        <w:t xml:space="preserve">до фторхінолонів та </w:t>
      </w:r>
      <w:proofErr w:type="spellStart"/>
      <w:r w:rsidRPr="00DE2E3D">
        <w:rPr>
          <w:w w:val="110"/>
          <w:sz w:val="20"/>
          <w:lang w:val="ru-RU"/>
        </w:rPr>
        <w:t>ін'єкційних</w:t>
      </w:r>
      <w:proofErr w:type="spellEnd"/>
      <w:r w:rsidRPr="00DE2E3D">
        <w:rPr>
          <w:w w:val="110"/>
          <w:sz w:val="20"/>
          <w:lang w:val="ru-RU"/>
        </w:rPr>
        <w:t xml:space="preserve"> </w:t>
      </w:r>
      <w:proofErr w:type="spellStart"/>
      <w:r w:rsidRPr="00DE2E3D">
        <w:rPr>
          <w:w w:val="110"/>
          <w:sz w:val="20"/>
          <w:lang w:val="ru-RU"/>
        </w:rPr>
        <w:t>препаратів</w:t>
      </w:r>
      <w:proofErr w:type="spellEnd"/>
      <w:r w:rsidRPr="00DE2E3D">
        <w:rPr>
          <w:w w:val="110"/>
          <w:sz w:val="20"/>
          <w:lang w:val="ru-RU"/>
        </w:rPr>
        <w:t xml:space="preserve"> другого ряду</w:t>
      </w:r>
      <w:r w:rsidRPr="003C17C3">
        <w:rPr>
          <w:w w:val="110"/>
          <w:sz w:val="20"/>
          <w:lang w:val="uk-UA"/>
        </w:rPr>
        <w:t xml:space="preserve"> (</w:t>
      </w:r>
      <w:r w:rsidRPr="00DE2E3D">
        <w:rPr>
          <w:w w:val="110"/>
          <w:sz w:val="20"/>
          <w:lang w:val="ru-RU"/>
        </w:rPr>
        <w:t>ІПДР</w:t>
      </w:r>
      <w:r w:rsidRPr="003C17C3">
        <w:rPr>
          <w:w w:val="110"/>
          <w:sz w:val="20"/>
          <w:lang w:val="uk-UA"/>
        </w:rPr>
        <w:t>)</w:t>
      </w:r>
      <w:r w:rsidRPr="00DE2E3D">
        <w:rPr>
          <w:w w:val="110"/>
          <w:sz w:val="20"/>
          <w:lang w:val="ru-RU"/>
        </w:rPr>
        <w:t xml:space="preserve">, </w:t>
      </w:r>
      <w:proofErr w:type="spellStart"/>
      <w:r w:rsidRPr="00DE2E3D">
        <w:rPr>
          <w:w w:val="110"/>
          <w:sz w:val="20"/>
          <w:lang w:val="ru-RU"/>
        </w:rPr>
        <w:t>які</w:t>
      </w:r>
      <w:proofErr w:type="spellEnd"/>
      <w:r w:rsidRPr="00DE2E3D">
        <w:rPr>
          <w:w w:val="110"/>
          <w:sz w:val="20"/>
          <w:lang w:val="ru-RU"/>
        </w:rPr>
        <w:t xml:space="preserve"> </w:t>
      </w:r>
      <w:proofErr w:type="spellStart"/>
      <w:r w:rsidRPr="00DE2E3D">
        <w:rPr>
          <w:w w:val="110"/>
          <w:sz w:val="20"/>
          <w:lang w:val="ru-RU"/>
        </w:rPr>
        <w:t>виявлялися</w:t>
      </w:r>
      <w:proofErr w:type="spellEnd"/>
      <w:r w:rsidRPr="00DE2E3D">
        <w:rPr>
          <w:w w:val="110"/>
          <w:sz w:val="20"/>
          <w:lang w:val="ru-RU"/>
        </w:rPr>
        <w:t xml:space="preserve"> </w:t>
      </w:r>
      <w:proofErr w:type="spellStart"/>
      <w:r w:rsidRPr="00DE2E3D">
        <w:rPr>
          <w:w w:val="110"/>
          <w:sz w:val="20"/>
          <w:lang w:val="ru-RU"/>
        </w:rPr>
        <w:t>версією</w:t>
      </w:r>
      <w:proofErr w:type="spellEnd"/>
      <w:r w:rsidRPr="00DE2E3D">
        <w:rPr>
          <w:w w:val="110"/>
          <w:sz w:val="20"/>
          <w:lang w:val="ru-RU"/>
        </w:rPr>
        <w:t xml:space="preserve"> 1.0, а також </w:t>
      </w:r>
      <w:proofErr w:type="spellStart"/>
      <w:r w:rsidRPr="00DE2E3D">
        <w:rPr>
          <w:w w:val="110"/>
          <w:sz w:val="20"/>
          <w:lang w:val="ru-RU"/>
        </w:rPr>
        <w:t>додаткові</w:t>
      </w:r>
      <w:proofErr w:type="spellEnd"/>
      <w:r w:rsidRPr="00DE2E3D">
        <w:rPr>
          <w:w w:val="110"/>
          <w:sz w:val="20"/>
          <w:lang w:val="ru-RU"/>
        </w:rPr>
        <w:t xml:space="preserve"> </w:t>
      </w:r>
      <w:proofErr w:type="spellStart"/>
      <w:r w:rsidRPr="00DE2E3D">
        <w:rPr>
          <w:w w:val="110"/>
          <w:sz w:val="20"/>
          <w:lang w:val="ru-RU"/>
        </w:rPr>
        <w:t>мутації</w:t>
      </w:r>
      <w:proofErr w:type="spellEnd"/>
      <w:r w:rsidRPr="00DE2E3D">
        <w:rPr>
          <w:w w:val="110"/>
          <w:sz w:val="20"/>
          <w:lang w:val="ru-RU"/>
        </w:rPr>
        <w:t xml:space="preserve">. </w:t>
      </w:r>
      <w:proofErr w:type="spellStart"/>
      <w:r w:rsidRPr="006B6651">
        <w:rPr>
          <w:w w:val="110"/>
          <w:sz w:val="20"/>
          <w:lang w:val="ru-RU"/>
        </w:rPr>
        <w:t>Після</w:t>
      </w:r>
      <w:proofErr w:type="spellEnd"/>
      <w:r w:rsidRPr="006B6651">
        <w:rPr>
          <w:w w:val="110"/>
          <w:sz w:val="20"/>
          <w:lang w:val="ru-RU"/>
        </w:rPr>
        <w:t xml:space="preserve"> </w:t>
      </w:r>
      <w:proofErr w:type="spellStart"/>
      <w:r w:rsidRPr="006B6651">
        <w:rPr>
          <w:w w:val="110"/>
          <w:sz w:val="20"/>
          <w:lang w:val="ru-RU"/>
        </w:rPr>
        <w:t>встановлення</w:t>
      </w:r>
      <w:proofErr w:type="spellEnd"/>
      <w:r w:rsidRPr="006B6651">
        <w:rPr>
          <w:w w:val="110"/>
          <w:sz w:val="20"/>
          <w:lang w:val="ru-RU"/>
        </w:rPr>
        <w:t xml:space="preserve"> </w:t>
      </w:r>
      <w:proofErr w:type="spellStart"/>
      <w:r w:rsidRPr="006B6651">
        <w:rPr>
          <w:w w:val="110"/>
          <w:sz w:val="20"/>
          <w:lang w:val="ru-RU"/>
        </w:rPr>
        <w:t>діагнозу</w:t>
      </w:r>
      <w:proofErr w:type="spellEnd"/>
      <w:r w:rsidRPr="006B6651">
        <w:rPr>
          <w:w w:val="110"/>
          <w:sz w:val="20"/>
          <w:lang w:val="ru-RU"/>
        </w:rPr>
        <w:t xml:space="preserve"> МЛС/Р</w:t>
      </w:r>
      <w:proofErr w:type="spellStart"/>
      <w:r w:rsidRPr="003C17C3">
        <w:rPr>
          <w:w w:val="110"/>
          <w:sz w:val="20"/>
          <w:lang w:val="uk-UA"/>
        </w:rPr>
        <w:t>иф</w:t>
      </w:r>
      <w:proofErr w:type="spellEnd"/>
      <w:r w:rsidRPr="006B6651">
        <w:rPr>
          <w:w w:val="110"/>
          <w:sz w:val="20"/>
          <w:lang w:val="ru-RU"/>
        </w:rPr>
        <w:t xml:space="preserve">-ТБ </w:t>
      </w:r>
      <w:r w:rsidRPr="003C17C3">
        <w:rPr>
          <w:w w:val="110"/>
          <w:sz w:val="20"/>
        </w:rPr>
        <w:t>SL</w:t>
      </w:r>
      <w:r w:rsidRPr="006B6651">
        <w:rPr>
          <w:w w:val="110"/>
          <w:sz w:val="20"/>
          <w:lang w:val="ru-RU"/>
        </w:rPr>
        <w:t>-</w:t>
      </w:r>
      <w:r w:rsidRPr="003C17C3">
        <w:rPr>
          <w:w w:val="110"/>
          <w:sz w:val="20"/>
        </w:rPr>
        <w:t>LPA</w:t>
      </w:r>
      <w:r w:rsidRPr="006B6651">
        <w:rPr>
          <w:w w:val="110"/>
          <w:sz w:val="20"/>
          <w:lang w:val="ru-RU"/>
        </w:rPr>
        <w:t xml:space="preserve"> </w:t>
      </w:r>
      <w:proofErr w:type="spellStart"/>
      <w:r w:rsidRPr="006B6651">
        <w:rPr>
          <w:w w:val="110"/>
          <w:sz w:val="20"/>
          <w:lang w:val="ru-RU"/>
        </w:rPr>
        <w:t>може</w:t>
      </w:r>
      <w:proofErr w:type="spellEnd"/>
      <w:r w:rsidRPr="006B6651">
        <w:rPr>
          <w:w w:val="110"/>
          <w:sz w:val="20"/>
          <w:lang w:val="ru-RU"/>
        </w:rPr>
        <w:t xml:space="preserve"> </w:t>
      </w:r>
      <w:proofErr w:type="spellStart"/>
      <w:r w:rsidRPr="006B6651">
        <w:rPr>
          <w:w w:val="110"/>
          <w:sz w:val="20"/>
          <w:lang w:val="ru-RU"/>
        </w:rPr>
        <w:t>використовуватися</w:t>
      </w:r>
      <w:proofErr w:type="spellEnd"/>
      <w:r w:rsidRPr="006B6651">
        <w:rPr>
          <w:w w:val="110"/>
          <w:sz w:val="20"/>
          <w:lang w:val="ru-RU"/>
        </w:rPr>
        <w:t xml:space="preserve"> для виявлення </w:t>
      </w:r>
      <w:proofErr w:type="spellStart"/>
      <w:r w:rsidRPr="006B6651">
        <w:rPr>
          <w:w w:val="110"/>
          <w:sz w:val="20"/>
          <w:lang w:val="ru-RU"/>
        </w:rPr>
        <w:t>додаткової</w:t>
      </w:r>
      <w:proofErr w:type="spellEnd"/>
      <w:r w:rsidRPr="006B6651">
        <w:rPr>
          <w:w w:val="110"/>
          <w:sz w:val="20"/>
          <w:lang w:val="ru-RU"/>
        </w:rPr>
        <w:t xml:space="preserve"> </w:t>
      </w:r>
      <w:r w:rsidRPr="003C17C3">
        <w:rPr>
          <w:w w:val="110"/>
          <w:sz w:val="20"/>
          <w:lang w:val="uk-UA"/>
        </w:rPr>
        <w:t>стійкості</w:t>
      </w:r>
      <w:r w:rsidRPr="006B6651">
        <w:rPr>
          <w:w w:val="110"/>
          <w:sz w:val="20"/>
          <w:lang w:val="ru-RU"/>
        </w:rPr>
        <w:t xml:space="preserve"> до </w:t>
      </w:r>
      <w:proofErr w:type="spellStart"/>
      <w:r w:rsidRPr="006B6651">
        <w:rPr>
          <w:w w:val="110"/>
          <w:sz w:val="20"/>
          <w:lang w:val="ru-RU"/>
        </w:rPr>
        <w:t>препаратів</w:t>
      </w:r>
      <w:proofErr w:type="spellEnd"/>
      <w:r w:rsidRPr="006B6651">
        <w:rPr>
          <w:w w:val="110"/>
          <w:sz w:val="20"/>
          <w:lang w:val="ru-RU"/>
        </w:rPr>
        <w:t xml:space="preserve"> другого ряду.</w:t>
      </w:r>
    </w:p>
    <w:p w14:paraId="3E96AE6A" w14:textId="77777777" w:rsidR="00DE2E3D" w:rsidRPr="003C17C3" w:rsidRDefault="00DE2E3D" w:rsidP="006E5AE7">
      <w:pPr>
        <w:pStyle w:val="a3"/>
        <w:spacing w:before="175" w:line="276" w:lineRule="auto"/>
        <w:ind w:left="1417" w:right="933"/>
        <w:jc w:val="both"/>
        <w:rPr>
          <w:sz w:val="20"/>
        </w:rPr>
      </w:pPr>
      <w:r w:rsidRPr="006B6651">
        <w:rPr>
          <w:w w:val="110"/>
          <w:sz w:val="20"/>
          <w:lang w:val="ru-RU"/>
        </w:rPr>
        <w:t>Тест</w:t>
      </w:r>
      <w:r w:rsidRPr="003C17C3">
        <w:rPr>
          <w:w w:val="110"/>
          <w:sz w:val="20"/>
          <w:lang w:val="uk-UA"/>
        </w:rPr>
        <w:t>-система</w:t>
      </w:r>
      <w:r w:rsidRPr="006B6651">
        <w:rPr>
          <w:w w:val="110"/>
          <w:sz w:val="20"/>
          <w:lang w:val="ru-RU"/>
        </w:rPr>
        <w:t xml:space="preserve"> </w:t>
      </w:r>
      <w:r w:rsidRPr="003C17C3">
        <w:rPr>
          <w:w w:val="110"/>
          <w:sz w:val="20"/>
        </w:rPr>
        <w:t>MTBDR</w:t>
      </w:r>
      <w:r w:rsidRPr="003C17C3">
        <w:rPr>
          <w:i/>
          <w:w w:val="110"/>
          <w:sz w:val="20"/>
        </w:rPr>
        <w:t>sl</w:t>
      </w:r>
      <w:r w:rsidRPr="006B6651">
        <w:rPr>
          <w:w w:val="110"/>
          <w:sz w:val="20"/>
          <w:lang w:val="ru-RU"/>
        </w:rPr>
        <w:t xml:space="preserve"> </w:t>
      </w:r>
      <w:proofErr w:type="spellStart"/>
      <w:r w:rsidRPr="006B6651">
        <w:rPr>
          <w:w w:val="110"/>
          <w:sz w:val="20"/>
          <w:lang w:val="ru-RU"/>
        </w:rPr>
        <w:t>містить</w:t>
      </w:r>
      <w:proofErr w:type="spellEnd"/>
      <w:r w:rsidRPr="006B6651">
        <w:rPr>
          <w:w w:val="110"/>
          <w:sz w:val="20"/>
          <w:lang w:val="ru-RU"/>
        </w:rPr>
        <w:t xml:space="preserve"> </w:t>
      </w:r>
      <w:proofErr w:type="spellStart"/>
      <w:r w:rsidRPr="006B6651">
        <w:rPr>
          <w:w w:val="110"/>
          <w:sz w:val="20"/>
          <w:lang w:val="ru-RU"/>
        </w:rPr>
        <w:t>зонди</w:t>
      </w:r>
      <w:proofErr w:type="spellEnd"/>
      <w:r w:rsidRPr="006B6651">
        <w:rPr>
          <w:w w:val="110"/>
          <w:sz w:val="20"/>
          <w:lang w:val="ru-RU"/>
        </w:rPr>
        <w:t xml:space="preserve"> для виявлення </w:t>
      </w:r>
      <w:proofErr w:type="spellStart"/>
      <w:r w:rsidRPr="006B6651">
        <w:rPr>
          <w:w w:val="110"/>
          <w:sz w:val="20"/>
          <w:lang w:val="ru-RU"/>
        </w:rPr>
        <w:t>мутацій</w:t>
      </w:r>
      <w:proofErr w:type="spellEnd"/>
      <w:r w:rsidRPr="006B6651">
        <w:rPr>
          <w:w w:val="110"/>
          <w:sz w:val="20"/>
          <w:lang w:val="ru-RU"/>
        </w:rPr>
        <w:t xml:space="preserve"> у генах, </w:t>
      </w:r>
      <w:proofErr w:type="spellStart"/>
      <w:r w:rsidRPr="006B6651">
        <w:rPr>
          <w:w w:val="110"/>
          <w:sz w:val="20"/>
          <w:lang w:val="ru-RU"/>
        </w:rPr>
        <w:t>які</w:t>
      </w:r>
      <w:proofErr w:type="spellEnd"/>
      <w:r w:rsidRPr="006B6651">
        <w:rPr>
          <w:w w:val="110"/>
          <w:sz w:val="20"/>
          <w:lang w:val="ru-RU"/>
        </w:rPr>
        <w:t xml:space="preserve"> </w:t>
      </w:r>
      <w:proofErr w:type="spellStart"/>
      <w:r w:rsidRPr="003C17C3">
        <w:rPr>
          <w:w w:val="110"/>
          <w:sz w:val="20"/>
          <w:lang w:val="uk-UA"/>
        </w:rPr>
        <w:t>пов</w:t>
      </w:r>
      <w:proofErr w:type="spellEnd"/>
      <w:r w:rsidRPr="006B6651">
        <w:rPr>
          <w:w w:val="110"/>
          <w:sz w:val="20"/>
          <w:lang w:val="ru-RU"/>
        </w:rPr>
        <w:t>’</w:t>
      </w:r>
      <w:proofErr w:type="spellStart"/>
      <w:r w:rsidRPr="003C17C3">
        <w:rPr>
          <w:w w:val="110"/>
          <w:sz w:val="20"/>
          <w:lang w:val="uk-UA"/>
        </w:rPr>
        <w:t>язані</w:t>
      </w:r>
      <w:proofErr w:type="spellEnd"/>
      <w:r w:rsidRPr="006B6651">
        <w:rPr>
          <w:w w:val="110"/>
          <w:sz w:val="20"/>
          <w:lang w:val="ru-RU"/>
        </w:rPr>
        <w:t xml:space="preserve"> </w:t>
      </w:r>
      <w:r w:rsidRPr="003C17C3">
        <w:rPr>
          <w:w w:val="110"/>
          <w:sz w:val="20"/>
          <w:lang w:val="uk-UA"/>
        </w:rPr>
        <w:t>зі стійкістю</w:t>
      </w:r>
      <w:r w:rsidRPr="006B6651">
        <w:rPr>
          <w:w w:val="110"/>
          <w:sz w:val="20"/>
          <w:lang w:val="ru-RU"/>
        </w:rPr>
        <w:t xml:space="preserve"> або до фторхінолонів, або до ІПДР (</w:t>
      </w:r>
      <w:proofErr w:type="spellStart"/>
      <w:r w:rsidRPr="003C17C3">
        <w:rPr>
          <w:i/>
          <w:w w:val="110"/>
          <w:sz w:val="20"/>
        </w:rPr>
        <w:t>gyr</w:t>
      </w:r>
      <w:r w:rsidRPr="003C17C3">
        <w:rPr>
          <w:w w:val="110"/>
          <w:sz w:val="20"/>
        </w:rPr>
        <w:t>A</w:t>
      </w:r>
      <w:proofErr w:type="spellEnd"/>
      <w:r w:rsidRPr="006B6651">
        <w:rPr>
          <w:w w:val="110"/>
          <w:sz w:val="20"/>
          <w:lang w:val="ru-RU"/>
        </w:rPr>
        <w:t xml:space="preserve"> та </w:t>
      </w:r>
      <w:proofErr w:type="spellStart"/>
      <w:r w:rsidRPr="003C17C3">
        <w:rPr>
          <w:i/>
          <w:w w:val="110"/>
          <w:sz w:val="20"/>
        </w:rPr>
        <w:t>rrs</w:t>
      </w:r>
      <w:proofErr w:type="spellEnd"/>
      <w:r w:rsidRPr="006B6651">
        <w:rPr>
          <w:w w:val="110"/>
          <w:sz w:val="20"/>
          <w:lang w:val="ru-RU"/>
        </w:rPr>
        <w:t xml:space="preserve"> для </w:t>
      </w:r>
      <w:proofErr w:type="spellStart"/>
      <w:r w:rsidRPr="006B6651">
        <w:rPr>
          <w:w w:val="110"/>
          <w:sz w:val="20"/>
          <w:lang w:val="ru-RU"/>
        </w:rPr>
        <w:t>версії</w:t>
      </w:r>
      <w:proofErr w:type="spellEnd"/>
      <w:r w:rsidRPr="006B6651">
        <w:rPr>
          <w:w w:val="110"/>
          <w:sz w:val="20"/>
          <w:lang w:val="ru-RU"/>
        </w:rPr>
        <w:t xml:space="preserve"> 1.0, а також </w:t>
      </w:r>
      <w:proofErr w:type="spellStart"/>
      <w:r w:rsidRPr="006B6651">
        <w:rPr>
          <w:w w:val="110"/>
          <w:sz w:val="20"/>
          <w:lang w:val="ru-RU"/>
        </w:rPr>
        <w:t>ці</w:t>
      </w:r>
      <w:proofErr w:type="spellEnd"/>
      <w:r w:rsidRPr="006B6651">
        <w:rPr>
          <w:w w:val="110"/>
          <w:sz w:val="20"/>
          <w:lang w:val="ru-RU"/>
        </w:rPr>
        <w:t xml:space="preserve"> </w:t>
      </w:r>
      <w:proofErr w:type="spellStart"/>
      <w:r w:rsidRPr="006B6651">
        <w:rPr>
          <w:w w:val="110"/>
          <w:sz w:val="20"/>
          <w:lang w:val="ru-RU"/>
        </w:rPr>
        <w:t>гени</w:t>
      </w:r>
      <w:proofErr w:type="spellEnd"/>
      <w:r w:rsidRPr="006B6651">
        <w:rPr>
          <w:w w:val="110"/>
          <w:sz w:val="20"/>
          <w:lang w:val="ru-RU"/>
        </w:rPr>
        <w:t xml:space="preserve"> плюс </w:t>
      </w:r>
      <w:proofErr w:type="spellStart"/>
      <w:r w:rsidRPr="003C17C3">
        <w:rPr>
          <w:i/>
          <w:w w:val="110"/>
          <w:sz w:val="20"/>
        </w:rPr>
        <w:t>gyr</w:t>
      </w:r>
      <w:r w:rsidRPr="003C17C3">
        <w:rPr>
          <w:w w:val="110"/>
          <w:sz w:val="20"/>
        </w:rPr>
        <w:t>B</w:t>
      </w:r>
      <w:proofErr w:type="spellEnd"/>
      <w:r w:rsidRPr="006B6651">
        <w:rPr>
          <w:w w:val="110"/>
          <w:sz w:val="20"/>
          <w:lang w:val="ru-RU"/>
        </w:rPr>
        <w:t xml:space="preserve"> та промотор </w:t>
      </w:r>
      <w:proofErr w:type="spellStart"/>
      <w:r w:rsidRPr="003C17C3">
        <w:rPr>
          <w:i/>
          <w:w w:val="110"/>
          <w:sz w:val="20"/>
        </w:rPr>
        <w:t>eis</w:t>
      </w:r>
      <w:proofErr w:type="spellEnd"/>
      <w:r w:rsidRPr="006B6651">
        <w:rPr>
          <w:w w:val="110"/>
          <w:sz w:val="20"/>
          <w:lang w:val="ru-RU"/>
        </w:rPr>
        <w:t xml:space="preserve"> для </w:t>
      </w:r>
      <w:proofErr w:type="spellStart"/>
      <w:r w:rsidRPr="006B6651">
        <w:rPr>
          <w:w w:val="110"/>
          <w:sz w:val="20"/>
          <w:lang w:val="ru-RU"/>
        </w:rPr>
        <w:t>версії</w:t>
      </w:r>
      <w:proofErr w:type="spellEnd"/>
      <w:r w:rsidRPr="006B6651">
        <w:rPr>
          <w:w w:val="110"/>
          <w:sz w:val="20"/>
          <w:lang w:val="ru-RU"/>
        </w:rPr>
        <w:t xml:space="preserve"> 2.0). </w:t>
      </w:r>
      <w:proofErr w:type="spellStart"/>
      <w:r w:rsidRPr="006B6651">
        <w:rPr>
          <w:w w:val="110"/>
          <w:sz w:val="20"/>
          <w:lang w:val="ru-RU"/>
        </w:rPr>
        <w:t>Наявність</w:t>
      </w:r>
      <w:proofErr w:type="spellEnd"/>
      <w:r w:rsidRPr="006B6651">
        <w:rPr>
          <w:w w:val="110"/>
          <w:sz w:val="20"/>
          <w:lang w:val="ru-RU"/>
        </w:rPr>
        <w:t xml:space="preserve"> </w:t>
      </w:r>
      <w:proofErr w:type="spellStart"/>
      <w:r w:rsidRPr="006B6651">
        <w:rPr>
          <w:w w:val="110"/>
          <w:sz w:val="20"/>
          <w:lang w:val="ru-RU"/>
        </w:rPr>
        <w:t>мутацій</w:t>
      </w:r>
      <w:proofErr w:type="spellEnd"/>
      <w:r w:rsidRPr="006B6651">
        <w:rPr>
          <w:w w:val="110"/>
          <w:sz w:val="20"/>
          <w:lang w:val="ru-RU"/>
        </w:rPr>
        <w:t xml:space="preserve"> у </w:t>
      </w:r>
      <w:proofErr w:type="spellStart"/>
      <w:r w:rsidRPr="006B6651">
        <w:rPr>
          <w:w w:val="110"/>
          <w:sz w:val="20"/>
          <w:lang w:val="ru-RU"/>
        </w:rPr>
        <w:t>цих</w:t>
      </w:r>
      <w:proofErr w:type="spellEnd"/>
      <w:r w:rsidRPr="006B6651">
        <w:rPr>
          <w:w w:val="110"/>
          <w:sz w:val="20"/>
          <w:lang w:val="ru-RU"/>
        </w:rPr>
        <w:t xml:space="preserve"> </w:t>
      </w:r>
      <w:proofErr w:type="spellStart"/>
      <w:r w:rsidRPr="006B6651">
        <w:rPr>
          <w:w w:val="110"/>
          <w:sz w:val="20"/>
          <w:lang w:val="ru-RU"/>
        </w:rPr>
        <w:t>ділянках</w:t>
      </w:r>
      <w:proofErr w:type="spellEnd"/>
      <w:r w:rsidRPr="006B6651">
        <w:rPr>
          <w:w w:val="110"/>
          <w:sz w:val="20"/>
          <w:lang w:val="ru-RU"/>
        </w:rPr>
        <w:t xml:space="preserve"> не </w:t>
      </w:r>
      <w:proofErr w:type="spellStart"/>
      <w:r w:rsidRPr="006B6651">
        <w:rPr>
          <w:w w:val="110"/>
          <w:sz w:val="20"/>
          <w:lang w:val="ru-RU"/>
        </w:rPr>
        <w:t>обов'язково</w:t>
      </w:r>
      <w:proofErr w:type="spellEnd"/>
      <w:r w:rsidRPr="006B6651">
        <w:rPr>
          <w:w w:val="110"/>
          <w:sz w:val="20"/>
          <w:lang w:val="ru-RU"/>
        </w:rPr>
        <w:t xml:space="preserve"> </w:t>
      </w:r>
      <w:proofErr w:type="spellStart"/>
      <w:r w:rsidRPr="006B6651">
        <w:rPr>
          <w:w w:val="110"/>
          <w:sz w:val="20"/>
          <w:lang w:val="ru-RU"/>
        </w:rPr>
        <w:t>означає</w:t>
      </w:r>
      <w:proofErr w:type="spellEnd"/>
      <w:r w:rsidRPr="006B6651">
        <w:rPr>
          <w:w w:val="110"/>
          <w:sz w:val="20"/>
          <w:lang w:val="ru-RU"/>
        </w:rPr>
        <w:t xml:space="preserve"> </w:t>
      </w:r>
      <w:r w:rsidRPr="003C17C3">
        <w:rPr>
          <w:w w:val="110"/>
          <w:sz w:val="20"/>
          <w:lang w:val="uk-UA"/>
        </w:rPr>
        <w:t>стійкість</w:t>
      </w:r>
      <w:r w:rsidRPr="006B6651">
        <w:rPr>
          <w:w w:val="110"/>
          <w:sz w:val="20"/>
          <w:lang w:val="ru-RU"/>
        </w:rPr>
        <w:t xml:space="preserve"> до </w:t>
      </w:r>
      <w:proofErr w:type="spellStart"/>
      <w:r w:rsidRPr="006B6651">
        <w:rPr>
          <w:w w:val="110"/>
          <w:sz w:val="20"/>
          <w:lang w:val="ru-RU"/>
        </w:rPr>
        <w:t>всіх</w:t>
      </w:r>
      <w:proofErr w:type="spellEnd"/>
      <w:r w:rsidRPr="006B6651">
        <w:rPr>
          <w:w w:val="110"/>
          <w:sz w:val="20"/>
          <w:lang w:val="ru-RU"/>
        </w:rPr>
        <w:t xml:space="preserve"> </w:t>
      </w:r>
      <w:proofErr w:type="spellStart"/>
      <w:r w:rsidRPr="006B6651">
        <w:rPr>
          <w:w w:val="110"/>
          <w:sz w:val="20"/>
          <w:lang w:val="ru-RU"/>
        </w:rPr>
        <w:t>препаратів</w:t>
      </w:r>
      <w:proofErr w:type="spellEnd"/>
      <w:r w:rsidRPr="006B6651">
        <w:rPr>
          <w:w w:val="110"/>
          <w:sz w:val="20"/>
          <w:lang w:val="ru-RU"/>
        </w:rPr>
        <w:t xml:space="preserve"> у межах </w:t>
      </w:r>
      <w:proofErr w:type="spellStart"/>
      <w:r w:rsidRPr="006B6651">
        <w:rPr>
          <w:w w:val="110"/>
          <w:sz w:val="20"/>
          <w:lang w:val="ru-RU"/>
        </w:rPr>
        <w:t>певного</w:t>
      </w:r>
      <w:proofErr w:type="spellEnd"/>
      <w:r w:rsidRPr="006B6651">
        <w:rPr>
          <w:w w:val="110"/>
          <w:sz w:val="20"/>
          <w:lang w:val="ru-RU"/>
        </w:rPr>
        <w:t xml:space="preserve"> </w:t>
      </w:r>
      <w:proofErr w:type="spellStart"/>
      <w:r w:rsidRPr="006B6651">
        <w:rPr>
          <w:w w:val="110"/>
          <w:sz w:val="20"/>
          <w:lang w:val="ru-RU"/>
        </w:rPr>
        <w:t>класу</w:t>
      </w:r>
      <w:proofErr w:type="spellEnd"/>
      <w:r w:rsidRPr="006B6651">
        <w:rPr>
          <w:w w:val="110"/>
          <w:sz w:val="20"/>
          <w:lang w:val="ru-RU"/>
        </w:rPr>
        <w:t xml:space="preserve">. </w:t>
      </w:r>
      <w:r w:rsidRPr="003C17C3">
        <w:rPr>
          <w:w w:val="110"/>
          <w:sz w:val="20"/>
          <w:lang w:val="uk-UA"/>
        </w:rPr>
        <w:t>Однак</w:t>
      </w:r>
      <w:r w:rsidRPr="006B6651">
        <w:rPr>
          <w:w w:val="110"/>
          <w:sz w:val="20"/>
          <w:lang w:val="ru-RU"/>
        </w:rPr>
        <w:t xml:space="preserve"> </w:t>
      </w:r>
      <w:proofErr w:type="spellStart"/>
      <w:r w:rsidRPr="006B6651">
        <w:rPr>
          <w:w w:val="110"/>
          <w:sz w:val="20"/>
          <w:lang w:val="ru-RU"/>
        </w:rPr>
        <w:t>конкретні</w:t>
      </w:r>
      <w:proofErr w:type="spellEnd"/>
      <w:r w:rsidRPr="006B6651">
        <w:rPr>
          <w:w w:val="110"/>
          <w:sz w:val="20"/>
          <w:lang w:val="ru-RU"/>
        </w:rPr>
        <w:t xml:space="preserve"> </w:t>
      </w:r>
      <w:proofErr w:type="spellStart"/>
      <w:r w:rsidRPr="006B6651">
        <w:rPr>
          <w:w w:val="110"/>
          <w:sz w:val="20"/>
          <w:lang w:val="ru-RU"/>
        </w:rPr>
        <w:t>мутації</w:t>
      </w:r>
      <w:proofErr w:type="spellEnd"/>
      <w:r w:rsidRPr="006B6651">
        <w:rPr>
          <w:w w:val="110"/>
          <w:sz w:val="20"/>
          <w:lang w:val="ru-RU"/>
        </w:rPr>
        <w:t xml:space="preserve"> в </w:t>
      </w:r>
      <w:proofErr w:type="spellStart"/>
      <w:r w:rsidRPr="006B6651">
        <w:rPr>
          <w:w w:val="110"/>
          <w:sz w:val="20"/>
          <w:lang w:val="ru-RU"/>
        </w:rPr>
        <w:t>цих</w:t>
      </w:r>
      <w:proofErr w:type="spellEnd"/>
      <w:r w:rsidRPr="006B6651">
        <w:rPr>
          <w:w w:val="110"/>
          <w:sz w:val="20"/>
          <w:lang w:val="ru-RU"/>
        </w:rPr>
        <w:t xml:space="preserve"> </w:t>
      </w:r>
      <w:proofErr w:type="spellStart"/>
      <w:r w:rsidRPr="006B6651">
        <w:rPr>
          <w:w w:val="110"/>
          <w:sz w:val="20"/>
          <w:lang w:val="ru-RU"/>
        </w:rPr>
        <w:t>ділянках</w:t>
      </w:r>
      <w:proofErr w:type="spellEnd"/>
      <w:r w:rsidRPr="006B6651">
        <w:rPr>
          <w:w w:val="110"/>
          <w:sz w:val="20"/>
          <w:lang w:val="ru-RU"/>
        </w:rPr>
        <w:t xml:space="preserve"> </w:t>
      </w:r>
      <w:proofErr w:type="spellStart"/>
      <w:r w:rsidRPr="006B6651">
        <w:rPr>
          <w:w w:val="110"/>
          <w:sz w:val="20"/>
          <w:lang w:val="ru-RU"/>
        </w:rPr>
        <w:t>можуть</w:t>
      </w:r>
      <w:proofErr w:type="spellEnd"/>
      <w:r w:rsidRPr="006B6651">
        <w:rPr>
          <w:w w:val="110"/>
          <w:sz w:val="20"/>
          <w:lang w:val="ru-RU"/>
        </w:rPr>
        <w:t xml:space="preserve"> бути </w:t>
      </w:r>
      <w:proofErr w:type="spellStart"/>
      <w:r w:rsidRPr="006B6651">
        <w:rPr>
          <w:w w:val="110"/>
          <w:sz w:val="20"/>
          <w:lang w:val="ru-RU"/>
        </w:rPr>
        <w:t>пов'язані</w:t>
      </w:r>
      <w:proofErr w:type="spellEnd"/>
      <w:r w:rsidRPr="006B6651">
        <w:rPr>
          <w:w w:val="110"/>
          <w:sz w:val="20"/>
          <w:lang w:val="ru-RU"/>
        </w:rPr>
        <w:t xml:space="preserve"> з </w:t>
      </w:r>
      <w:proofErr w:type="spellStart"/>
      <w:r w:rsidRPr="006B6651">
        <w:rPr>
          <w:w w:val="110"/>
          <w:sz w:val="20"/>
          <w:lang w:val="ru-RU"/>
        </w:rPr>
        <w:t>різними</w:t>
      </w:r>
      <w:proofErr w:type="spellEnd"/>
      <w:r w:rsidRPr="006B6651">
        <w:rPr>
          <w:w w:val="110"/>
          <w:sz w:val="20"/>
          <w:lang w:val="ru-RU"/>
        </w:rPr>
        <w:t xml:space="preserve"> </w:t>
      </w:r>
      <w:proofErr w:type="spellStart"/>
      <w:r w:rsidRPr="006B6651">
        <w:rPr>
          <w:w w:val="110"/>
          <w:sz w:val="20"/>
          <w:lang w:val="ru-RU"/>
        </w:rPr>
        <w:t>рівнями</w:t>
      </w:r>
      <w:proofErr w:type="spellEnd"/>
      <w:r w:rsidRPr="006B6651">
        <w:rPr>
          <w:w w:val="110"/>
          <w:sz w:val="20"/>
          <w:lang w:val="ru-RU"/>
        </w:rPr>
        <w:t xml:space="preserve"> </w:t>
      </w:r>
      <w:r w:rsidRPr="003C17C3">
        <w:rPr>
          <w:w w:val="110"/>
          <w:sz w:val="20"/>
          <w:lang w:val="uk-UA"/>
        </w:rPr>
        <w:t>стійкості</w:t>
      </w:r>
      <w:r w:rsidRPr="006B6651">
        <w:rPr>
          <w:w w:val="110"/>
          <w:sz w:val="20"/>
          <w:lang w:val="ru-RU"/>
        </w:rPr>
        <w:t xml:space="preserve"> (</w:t>
      </w:r>
      <w:proofErr w:type="spellStart"/>
      <w:r w:rsidRPr="006B6651">
        <w:rPr>
          <w:w w:val="110"/>
          <w:sz w:val="20"/>
          <w:lang w:val="ru-RU"/>
        </w:rPr>
        <w:t>тобто</w:t>
      </w:r>
      <w:proofErr w:type="spellEnd"/>
      <w:r w:rsidRPr="006B6651">
        <w:rPr>
          <w:w w:val="110"/>
          <w:sz w:val="20"/>
          <w:lang w:val="ru-RU"/>
        </w:rPr>
        <w:t xml:space="preserve"> </w:t>
      </w:r>
      <w:proofErr w:type="spellStart"/>
      <w:r w:rsidRPr="006B6651">
        <w:rPr>
          <w:w w:val="110"/>
          <w:sz w:val="20"/>
          <w:lang w:val="ru-RU"/>
        </w:rPr>
        <w:t>різними</w:t>
      </w:r>
      <w:proofErr w:type="spellEnd"/>
      <w:r w:rsidRPr="006B6651">
        <w:rPr>
          <w:w w:val="110"/>
          <w:sz w:val="20"/>
          <w:lang w:val="ru-RU"/>
        </w:rPr>
        <w:t xml:space="preserve"> </w:t>
      </w:r>
      <w:proofErr w:type="spellStart"/>
      <w:r w:rsidRPr="006B6651">
        <w:rPr>
          <w:w w:val="110"/>
          <w:sz w:val="20"/>
          <w:lang w:val="ru-RU"/>
        </w:rPr>
        <w:t>мінімальними</w:t>
      </w:r>
      <w:proofErr w:type="spellEnd"/>
      <w:r w:rsidRPr="006B6651">
        <w:rPr>
          <w:w w:val="110"/>
          <w:sz w:val="20"/>
          <w:lang w:val="ru-RU"/>
        </w:rPr>
        <w:t xml:space="preserve"> </w:t>
      </w:r>
      <w:proofErr w:type="spellStart"/>
      <w:r w:rsidRPr="006B6651">
        <w:rPr>
          <w:w w:val="110"/>
          <w:sz w:val="20"/>
          <w:lang w:val="ru-RU"/>
        </w:rPr>
        <w:t>інгібуючими</w:t>
      </w:r>
      <w:proofErr w:type="spellEnd"/>
      <w:r w:rsidRPr="006B6651">
        <w:rPr>
          <w:w w:val="110"/>
          <w:sz w:val="20"/>
          <w:lang w:val="ru-RU"/>
        </w:rPr>
        <w:t xml:space="preserve"> </w:t>
      </w:r>
      <w:proofErr w:type="spellStart"/>
      <w:r w:rsidRPr="006B6651">
        <w:rPr>
          <w:w w:val="110"/>
          <w:sz w:val="20"/>
          <w:lang w:val="ru-RU"/>
        </w:rPr>
        <w:t>концентраціями</w:t>
      </w:r>
      <w:proofErr w:type="spellEnd"/>
      <w:r w:rsidRPr="006B6651">
        <w:rPr>
          <w:w w:val="110"/>
          <w:sz w:val="20"/>
          <w:lang w:val="ru-RU"/>
        </w:rPr>
        <w:t xml:space="preserve">) до кожного препарату в межах </w:t>
      </w:r>
      <w:proofErr w:type="spellStart"/>
      <w:r w:rsidRPr="006B6651">
        <w:rPr>
          <w:w w:val="110"/>
          <w:sz w:val="20"/>
          <w:lang w:val="ru-RU"/>
        </w:rPr>
        <w:t>цих</w:t>
      </w:r>
      <w:proofErr w:type="spellEnd"/>
      <w:r w:rsidRPr="006B6651">
        <w:rPr>
          <w:w w:val="110"/>
          <w:sz w:val="20"/>
          <w:lang w:val="ru-RU"/>
        </w:rPr>
        <w:t xml:space="preserve"> </w:t>
      </w:r>
      <w:proofErr w:type="spellStart"/>
      <w:r w:rsidRPr="006B6651">
        <w:rPr>
          <w:w w:val="110"/>
          <w:sz w:val="20"/>
          <w:lang w:val="ru-RU"/>
        </w:rPr>
        <w:t>класів</w:t>
      </w:r>
      <w:proofErr w:type="spellEnd"/>
      <w:r>
        <w:rPr>
          <w:w w:val="110"/>
          <w:sz w:val="20"/>
          <w:lang w:val="uk-UA"/>
        </w:rPr>
        <w:t>. С</w:t>
      </w:r>
      <w:proofErr w:type="spellStart"/>
      <w:r w:rsidRPr="003C17C3">
        <w:rPr>
          <w:w w:val="110"/>
          <w:sz w:val="20"/>
        </w:rPr>
        <w:t>тупінь</w:t>
      </w:r>
      <w:proofErr w:type="spellEnd"/>
      <w:r w:rsidRPr="003C17C3">
        <w:rPr>
          <w:w w:val="110"/>
          <w:sz w:val="20"/>
        </w:rPr>
        <w:t xml:space="preserve"> </w:t>
      </w:r>
      <w:proofErr w:type="spellStart"/>
      <w:r w:rsidRPr="003C17C3">
        <w:rPr>
          <w:w w:val="110"/>
          <w:sz w:val="20"/>
        </w:rPr>
        <w:t>перехресної</w:t>
      </w:r>
      <w:proofErr w:type="spellEnd"/>
      <w:r w:rsidRPr="003C17C3">
        <w:rPr>
          <w:w w:val="110"/>
          <w:sz w:val="20"/>
        </w:rPr>
        <w:t xml:space="preserve"> </w:t>
      </w:r>
      <w:r w:rsidRPr="003C17C3">
        <w:rPr>
          <w:w w:val="110"/>
          <w:sz w:val="20"/>
          <w:lang w:val="uk-UA"/>
        </w:rPr>
        <w:t>стійкості</w:t>
      </w:r>
      <w:r w:rsidRPr="003C17C3">
        <w:rPr>
          <w:w w:val="110"/>
          <w:sz w:val="20"/>
        </w:rPr>
        <w:t xml:space="preserve"> </w:t>
      </w:r>
      <w:r w:rsidRPr="003C17C3">
        <w:rPr>
          <w:w w:val="110"/>
          <w:sz w:val="20"/>
          <w:lang w:val="uk-UA"/>
        </w:rPr>
        <w:t xml:space="preserve">на даний момент </w:t>
      </w:r>
      <w:proofErr w:type="spellStart"/>
      <w:r w:rsidRPr="003C17C3">
        <w:rPr>
          <w:w w:val="110"/>
          <w:sz w:val="20"/>
        </w:rPr>
        <w:t>не</w:t>
      </w:r>
      <w:proofErr w:type="spellEnd"/>
      <w:r w:rsidRPr="003C17C3">
        <w:rPr>
          <w:w w:val="110"/>
          <w:sz w:val="20"/>
        </w:rPr>
        <w:t xml:space="preserve"> </w:t>
      </w:r>
      <w:proofErr w:type="spellStart"/>
      <w:r w:rsidRPr="003C17C3">
        <w:rPr>
          <w:w w:val="110"/>
          <w:sz w:val="20"/>
        </w:rPr>
        <w:t>повністю</w:t>
      </w:r>
      <w:proofErr w:type="spellEnd"/>
      <w:r w:rsidRPr="003C17C3">
        <w:rPr>
          <w:w w:val="110"/>
          <w:sz w:val="20"/>
        </w:rPr>
        <w:t xml:space="preserve"> </w:t>
      </w:r>
      <w:proofErr w:type="spellStart"/>
      <w:r w:rsidRPr="003C17C3">
        <w:rPr>
          <w:w w:val="110"/>
          <w:sz w:val="20"/>
        </w:rPr>
        <w:t>вивчени</w:t>
      </w:r>
      <w:proofErr w:type="spellEnd"/>
      <w:r w:rsidRPr="003C17C3">
        <w:rPr>
          <w:w w:val="110"/>
          <w:sz w:val="20"/>
          <w:lang w:val="uk-UA"/>
        </w:rPr>
        <w:t>й</w:t>
      </w:r>
      <w:r w:rsidRPr="003C17C3">
        <w:rPr>
          <w:w w:val="110"/>
          <w:sz w:val="20"/>
        </w:rPr>
        <w:t>.</w:t>
      </w:r>
    </w:p>
    <w:p w14:paraId="35ADE071" w14:textId="77777777" w:rsidR="00DE2E3D" w:rsidRPr="004E5768" w:rsidRDefault="00DE2E3D" w:rsidP="006E5AE7">
      <w:pPr>
        <w:pStyle w:val="5"/>
        <w:spacing w:before="189"/>
        <w:ind w:left="1264" w:right="933" w:firstLine="153"/>
        <w:rPr>
          <w:sz w:val="24"/>
          <w:lang w:val="uk-UA"/>
        </w:rPr>
      </w:pPr>
      <w:proofErr w:type="spellStart"/>
      <w:r w:rsidRPr="004E5768">
        <w:rPr>
          <w:color w:val="019648"/>
          <w:sz w:val="24"/>
        </w:rPr>
        <w:t>Рекомендаці</w:t>
      </w:r>
      <w:proofErr w:type="spellEnd"/>
      <w:r>
        <w:rPr>
          <w:color w:val="019648"/>
          <w:sz w:val="24"/>
          <w:lang w:val="uk-UA"/>
        </w:rPr>
        <w:t>ї</w:t>
      </w:r>
    </w:p>
    <w:p w14:paraId="6A8810E9" w14:textId="77777777" w:rsidR="00DE2E3D" w:rsidRPr="00A816CE" w:rsidRDefault="00DE2E3D" w:rsidP="00DE2E3D">
      <w:pPr>
        <w:pStyle w:val="a3"/>
        <w:spacing w:before="4"/>
        <w:rPr>
          <w:sz w:val="15"/>
        </w:rPr>
      </w:pPr>
    </w:p>
    <w:tbl>
      <w:tblPr>
        <w:tblStyle w:val="TableNormal"/>
        <w:tblW w:w="0" w:type="auto"/>
        <w:tblInd w:w="143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051"/>
      </w:tblGrid>
      <w:tr w:rsidR="00DE2E3D" w:rsidRPr="00D029FF" w14:paraId="07644244" w14:textId="77777777" w:rsidTr="00EA1572">
        <w:trPr>
          <w:trHeight w:val="1486"/>
        </w:trPr>
        <w:tc>
          <w:tcPr>
            <w:tcW w:w="9051" w:type="dxa"/>
          </w:tcPr>
          <w:p w14:paraId="00FDADE3" w14:textId="77777777" w:rsidR="00DE2E3D" w:rsidRPr="00A816CE" w:rsidRDefault="00DE2E3D" w:rsidP="00EA1572">
            <w:pPr>
              <w:pStyle w:val="TableParagraph"/>
              <w:spacing w:before="9"/>
              <w:ind w:left="0"/>
              <w:rPr>
                <w:sz w:val="19"/>
              </w:rPr>
            </w:pPr>
          </w:p>
          <w:p w14:paraId="1F049EE1" w14:textId="77777777" w:rsidR="00DE2E3D" w:rsidRPr="006E2798" w:rsidRDefault="00DE2E3D" w:rsidP="00EA1572">
            <w:pPr>
              <w:pStyle w:val="TableParagraph"/>
              <w:spacing w:before="0" w:line="276" w:lineRule="auto"/>
              <w:ind w:left="680" w:right="266" w:hanging="397"/>
              <w:jc w:val="both"/>
              <w:rPr>
                <w:i/>
                <w:w w:val="110"/>
                <w:sz w:val="20"/>
              </w:rPr>
            </w:pPr>
            <w:r w:rsidRPr="00A816CE">
              <w:rPr>
                <w:b/>
                <w:w w:val="115"/>
              </w:rPr>
              <w:t>14.</w:t>
            </w:r>
            <w:r>
              <w:rPr>
                <w:b/>
                <w:w w:val="115"/>
                <w:lang w:val="uk-UA"/>
              </w:rPr>
              <w:t xml:space="preserve"> </w:t>
            </w:r>
            <w:r w:rsidRPr="00B17C42">
              <w:rPr>
                <w:b/>
                <w:color w:val="000000" w:themeColor="text1"/>
                <w:sz w:val="20"/>
                <w:szCs w:val="20"/>
                <w:lang w:val="uk-UA"/>
              </w:rPr>
              <w:t>Для пацієнтів з підтвердженим М</w:t>
            </w:r>
            <w:r w:rsidRPr="00955048">
              <w:rPr>
                <w:b/>
                <w:color w:val="000000" w:themeColor="text1"/>
                <w:sz w:val="20"/>
                <w:szCs w:val="20"/>
                <w:lang w:val="uk-UA"/>
              </w:rPr>
              <w:t>ЛС</w:t>
            </w:r>
            <w:r w:rsidRPr="00B17C42">
              <w:rPr>
                <w:b/>
                <w:color w:val="000000" w:themeColor="text1"/>
                <w:sz w:val="20"/>
                <w:szCs w:val="20"/>
                <w:lang w:val="uk-UA"/>
              </w:rPr>
              <w:t xml:space="preserve">/Риф-ТБ SL-LPA може використовуватися як </w:t>
            </w:r>
            <w:r>
              <w:rPr>
                <w:b/>
                <w:color w:val="000000" w:themeColor="text1"/>
                <w:sz w:val="20"/>
                <w:szCs w:val="20"/>
                <w:lang w:val="uk-UA"/>
              </w:rPr>
              <w:t>первинний</w:t>
            </w:r>
            <w:r w:rsidRPr="00B17C42">
              <w:rPr>
                <w:b/>
                <w:color w:val="000000" w:themeColor="text1"/>
                <w:sz w:val="20"/>
                <w:szCs w:val="20"/>
                <w:lang w:val="uk-UA"/>
              </w:rPr>
              <w:t xml:space="preserve"> тест </w:t>
            </w:r>
            <w:r w:rsidRPr="006E2798">
              <w:rPr>
                <w:b/>
                <w:color w:val="000000" w:themeColor="text1"/>
                <w:sz w:val="20"/>
                <w:szCs w:val="20"/>
                <w:lang w:val="uk-UA"/>
              </w:rPr>
              <w:t>для виявлення стійкості до фторхінолонів</w:t>
            </w:r>
            <w:r>
              <w:rPr>
                <w:b/>
                <w:color w:val="000000" w:themeColor="text1"/>
                <w:sz w:val="20"/>
                <w:szCs w:val="20"/>
                <w:lang w:val="uk-UA"/>
              </w:rPr>
              <w:t xml:space="preserve"> </w:t>
            </w:r>
            <w:r w:rsidRPr="00B17C42">
              <w:rPr>
                <w:b/>
                <w:color w:val="000000" w:themeColor="text1"/>
                <w:sz w:val="20"/>
                <w:szCs w:val="20"/>
                <w:lang w:val="uk-UA"/>
              </w:rPr>
              <w:t xml:space="preserve">замість </w:t>
            </w:r>
            <w:proofErr w:type="spellStart"/>
            <w:r w:rsidRPr="00B17C42">
              <w:rPr>
                <w:b/>
                <w:color w:val="000000" w:themeColor="text1"/>
                <w:sz w:val="20"/>
                <w:szCs w:val="20"/>
                <w:lang w:val="uk-UA"/>
              </w:rPr>
              <w:t>фенотипового</w:t>
            </w:r>
            <w:proofErr w:type="spellEnd"/>
            <w:r w:rsidRPr="00B17C42">
              <w:rPr>
                <w:b/>
                <w:color w:val="000000" w:themeColor="text1"/>
                <w:sz w:val="20"/>
                <w:szCs w:val="20"/>
                <w:lang w:val="uk-UA"/>
              </w:rPr>
              <w:t xml:space="preserve"> Т</w:t>
            </w:r>
            <w:r>
              <w:rPr>
                <w:b/>
                <w:color w:val="000000" w:themeColor="text1"/>
                <w:sz w:val="20"/>
                <w:szCs w:val="20"/>
                <w:lang w:val="uk-UA"/>
              </w:rPr>
              <w:t>М</w:t>
            </w:r>
            <w:r w:rsidRPr="00B17C42">
              <w:rPr>
                <w:b/>
                <w:color w:val="000000" w:themeColor="text1"/>
                <w:sz w:val="20"/>
                <w:szCs w:val="20"/>
                <w:lang w:val="uk-UA"/>
              </w:rPr>
              <w:t xml:space="preserve">Ч </w:t>
            </w:r>
            <w:r>
              <w:rPr>
                <w:b/>
                <w:color w:val="000000" w:themeColor="text1"/>
                <w:sz w:val="20"/>
                <w:szCs w:val="20"/>
                <w:lang w:val="uk-UA"/>
              </w:rPr>
              <w:t>на основі культуральних методів.</w:t>
            </w:r>
          </w:p>
          <w:p w14:paraId="0F4FE72C" w14:textId="77777777" w:rsidR="00DE2E3D" w:rsidRPr="006B6651" w:rsidRDefault="00DE2E3D" w:rsidP="00EA1572">
            <w:pPr>
              <w:pStyle w:val="TableParagraph"/>
              <w:spacing w:before="60" w:line="360" w:lineRule="auto"/>
              <w:ind w:left="680"/>
              <w:rPr>
                <w:i/>
                <w:lang w:val="ru-RU"/>
              </w:rPr>
            </w:pPr>
            <w:r w:rsidRPr="00B17C42">
              <w:rPr>
                <w:i/>
                <w:sz w:val="20"/>
                <w:szCs w:val="20"/>
                <w:lang w:val="uk-UA"/>
              </w:rPr>
              <w:t xml:space="preserve">(умовна рекомендація, </w:t>
            </w:r>
            <w:r>
              <w:rPr>
                <w:i/>
                <w:sz w:val="20"/>
                <w:szCs w:val="20"/>
                <w:lang w:val="uk-UA"/>
              </w:rPr>
              <w:t>середня</w:t>
            </w:r>
            <w:r w:rsidRPr="00B17C42">
              <w:rPr>
                <w:i/>
                <w:sz w:val="20"/>
                <w:szCs w:val="20"/>
                <w:lang w:val="uk-UA"/>
              </w:rPr>
              <w:t xml:space="preserve"> </w:t>
            </w:r>
            <w:r>
              <w:rPr>
                <w:i/>
                <w:sz w:val="20"/>
                <w:szCs w:val="20"/>
                <w:lang w:val="uk-UA"/>
              </w:rPr>
              <w:t>достовірність</w:t>
            </w:r>
            <w:r w:rsidRPr="00B17C42">
              <w:rPr>
                <w:i/>
                <w:sz w:val="20"/>
                <w:szCs w:val="20"/>
                <w:lang w:val="uk-UA"/>
              </w:rPr>
              <w:t xml:space="preserve"> доказових даних щодо точності тесту)</w:t>
            </w:r>
          </w:p>
        </w:tc>
      </w:tr>
    </w:tbl>
    <w:p w14:paraId="2C4EDA2C" w14:textId="77777777" w:rsidR="00DE2E3D" w:rsidRPr="006B6651" w:rsidRDefault="00DE2E3D" w:rsidP="00DE2E3D">
      <w:pPr>
        <w:pStyle w:val="a3"/>
        <w:spacing w:before="3" w:after="1"/>
        <w:rPr>
          <w:sz w:val="16"/>
          <w:lang w:val="ru-RU"/>
        </w:rPr>
      </w:pPr>
    </w:p>
    <w:tbl>
      <w:tblPr>
        <w:tblStyle w:val="TableNormal"/>
        <w:tblW w:w="0" w:type="auto"/>
        <w:tblInd w:w="143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051"/>
      </w:tblGrid>
      <w:tr w:rsidR="00DE2E3D" w:rsidRPr="00D029FF" w14:paraId="523DC213" w14:textId="77777777" w:rsidTr="00EA1572">
        <w:trPr>
          <w:trHeight w:val="1538"/>
        </w:trPr>
        <w:tc>
          <w:tcPr>
            <w:tcW w:w="9051" w:type="dxa"/>
          </w:tcPr>
          <w:p w14:paraId="6814934D" w14:textId="77777777" w:rsidR="00DE2E3D" w:rsidRPr="006B6651" w:rsidRDefault="00DE2E3D" w:rsidP="00EA1572">
            <w:pPr>
              <w:pStyle w:val="TableParagraph"/>
              <w:spacing w:before="9"/>
              <w:ind w:left="0"/>
              <w:rPr>
                <w:sz w:val="19"/>
                <w:lang w:val="ru-RU"/>
              </w:rPr>
            </w:pPr>
          </w:p>
          <w:p w14:paraId="7863D3D6" w14:textId="77777777" w:rsidR="00DE2E3D" w:rsidRPr="006B6651" w:rsidRDefault="00DE2E3D" w:rsidP="00EA1572">
            <w:pPr>
              <w:pStyle w:val="TableParagraph"/>
              <w:spacing w:before="0" w:line="276" w:lineRule="auto"/>
              <w:ind w:left="680" w:hanging="397"/>
              <w:rPr>
                <w:i/>
                <w:w w:val="110"/>
                <w:sz w:val="20"/>
                <w:lang w:val="ru-RU"/>
              </w:rPr>
            </w:pPr>
            <w:r w:rsidRPr="006B6651">
              <w:rPr>
                <w:b/>
                <w:w w:val="115"/>
                <w:lang w:val="ru-RU"/>
              </w:rPr>
              <w:t>15.</w:t>
            </w:r>
            <w:r w:rsidRPr="006B6651">
              <w:rPr>
                <w:b/>
                <w:spacing w:val="4"/>
                <w:w w:val="115"/>
                <w:lang w:val="ru-RU"/>
              </w:rPr>
              <w:t xml:space="preserve"> </w:t>
            </w:r>
            <w:r w:rsidRPr="006E2798">
              <w:rPr>
                <w:b/>
                <w:sz w:val="20"/>
                <w:szCs w:val="20"/>
                <w:lang w:val="uk-UA"/>
              </w:rPr>
              <w:t>Для пацієнтів з підтвердженим М</w:t>
            </w:r>
            <w:r w:rsidRPr="00955048">
              <w:rPr>
                <w:b/>
                <w:sz w:val="20"/>
                <w:szCs w:val="20"/>
                <w:lang w:val="uk-UA"/>
              </w:rPr>
              <w:t>ЛС</w:t>
            </w:r>
            <w:r w:rsidRPr="006E2798">
              <w:rPr>
                <w:b/>
                <w:sz w:val="20"/>
                <w:szCs w:val="20"/>
                <w:lang w:val="uk-UA"/>
              </w:rPr>
              <w:t xml:space="preserve">/Риф-ТБ SL-LPA може використовуватися як первинний тест для виявлення резистентності до ІПДР замість </w:t>
            </w:r>
            <w:proofErr w:type="spellStart"/>
            <w:r w:rsidRPr="006E2798">
              <w:rPr>
                <w:b/>
                <w:sz w:val="20"/>
                <w:szCs w:val="20"/>
                <w:lang w:val="uk-UA"/>
              </w:rPr>
              <w:t>фенотипового</w:t>
            </w:r>
            <w:proofErr w:type="spellEnd"/>
            <w:r w:rsidRPr="006E2798">
              <w:rPr>
                <w:b/>
                <w:sz w:val="20"/>
                <w:szCs w:val="20"/>
                <w:lang w:val="uk-UA"/>
              </w:rPr>
              <w:t xml:space="preserve"> ТМЧ на основі культуральних методів </w:t>
            </w:r>
          </w:p>
          <w:p w14:paraId="28C2BF9D" w14:textId="77777777" w:rsidR="00DE2E3D" w:rsidRPr="006B6651" w:rsidRDefault="00DE2E3D" w:rsidP="00EA1572">
            <w:pPr>
              <w:pStyle w:val="TableParagraph"/>
              <w:spacing w:before="59" w:line="360" w:lineRule="auto"/>
              <w:ind w:left="680"/>
              <w:rPr>
                <w:i/>
                <w:lang w:val="ru-RU"/>
              </w:rPr>
            </w:pPr>
            <w:r w:rsidRPr="006E2798">
              <w:rPr>
                <w:i/>
                <w:sz w:val="20"/>
                <w:szCs w:val="20"/>
                <w:lang w:val="uk-UA"/>
              </w:rPr>
              <w:t xml:space="preserve">(умовна рекомендація, низька </w:t>
            </w:r>
            <w:r w:rsidRPr="00821309">
              <w:rPr>
                <w:i/>
                <w:sz w:val="20"/>
                <w:szCs w:val="20"/>
                <w:lang w:val="uk-UA"/>
              </w:rPr>
              <w:t xml:space="preserve">достовірність </w:t>
            </w:r>
            <w:r w:rsidRPr="006E2798">
              <w:rPr>
                <w:i/>
                <w:sz w:val="20"/>
                <w:szCs w:val="20"/>
                <w:lang w:val="uk-UA"/>
              </w:rPr>
              <w:t>доказових даних щодо точності тесту)</w:t>
            </w:r>
          </w:p>
        </w:tc>
      </w:tr>
    </w:tbl>
    <w:p w14:paraId="264B3D27" w14:textId="77777777" w:rsidR="00DE2E3D" w:rsidRPr="00DA5A55" w:rsidRDefault="00DE2E3D" w:rsidP="006E5AE7">
      <w:pPr>
        <w:pStyle w:val="6"/>
        <w:spacing w:before="206"/>
        <w:ind w:left="1263" w:right="713" w:firstLine="153"/>
        <w:rPr>
          <w:rFonts w:ascii="Microsoft Sans Serif" w:hAnsi="Microsoft Sans Serif" w:cs="Microsoft Sans Serif"/>
        </w:rPr>
      </w:pPr>
      <w:r w:rsidRPr="00157BC6">
        <w:rPr>
          <w:rFonts w:ascii="Microsoft Sans Serif" w:hAnsi="Microsoft Sans Serif" w:cs="Microsoft Sans Serif"/>
          <w:w w:val="115"/>
          <w:lang w:val="uk-UA"/>
        </w:rPr>
        <w:t>Примітки</w:t>
      </w:r>
    </w:p>
    <w:p w14:paraId="2F75CA60" w14:textId="77777777" w:rsidR="00DE2E3D" w:rsidRPr="000C1866" w:rsidRDefault="00DE2E3D" w:rsidP="004A2937">
      <w:pPr>
        <w:pStyle w:val="a4"/>
        <w:numPr>
          <w:ilvl w:val="0"/>
          <w:numId w:val="42"/>
        </w:numPr>
        <w:tabs>
          <w:tab w:val="left" w:pos="1701"/>
        </w:tabs>
        <w:spacing w:before="206" w:line="276" w:lineRule="auto"/>
        <w:ind w:right="713"/>
        <w:rPr>
          <w:sz w:val="20"/>
          <w:szCs w:val="20"/>
          <w:lang w:val="uk-UA"/>
        </w:rPr>
      </w:pPr>
      <w:r w:rsidRPr="000C1866">
        <w:rPr>
          <w:w w:val="110"/>
          <w:sz w:val="20"/>
          <w:szCs w:val="20"/>
          <w:lang w:val="uk-UA"/>
        </w:rPr>
        <w:t xml:space="preserve">Ці рекомендації стосуються використання SL-LPA для тестування зразків мокротиння (пряме тестування) та ізолятів культур </w:t>
      </w:r>
      <w:r w:rsidRPr="000C1866">
        <w:rPr>
          <w:i/>
          <w:w w:val="110"/>
          <w:sz w:val="20"/>
          <w:szCs w:val="20"/>
          <w:lang w:val="uk-UA"/>
        </w:rPr>
        <w:t>M. tuberculosis</w:t>
      </w:r>
      <w:r w:rsidRPr="000C1866">
        <w:rPr>
          <w:w w:val="110"/>
          <w:sz w:val="20"/>
          <w:szCs w:val="20"/>
          <w:lang w:val="uk-UA"/>
        </w:rPr>
        <w:t xml:space="preserve"> (непряме тестування) як з легеневих, так і позалегеневих локалізацій. Пряме тестування зразків мокротиння дозволяє раніше розпочати належне лікування.</w:t>
      </w:r>
    </w:p>
    <w:p w14:paraId="54E18A1C" w14:textId="77777777" w:rsidR="00DE2E3D" w:rsidRPr="000C1866" w:rsidRDefault="00DE2E3D" w:rsidP="004A2937">
      <w:pPr>
        <w:pStyle w:val="a4"/>
        <w:numPr>
          <w:ilvl w:val="0"/>
          <w:numId w:val="42"/>
        </w:numPr>
        <w:tabs>
          <w:tab w:val="left" w:pos="1701"/>
        </w:tabs>
        <w:spacing w:before="5" w:line="276" w:lineRule="auto"/>
        <w:ind w:right="713"/>
        <w:rPr>
          <w:sz w:val="20"/>
          <w:szCs w:val="20"/>
          <w:lang w:val="uk-UA"/>
        </w:rPr>
      </w:pPr>
      <w:r w:rsidRPr="000C1866">
        <w:rPr>
          <w:spacing w:val="-3"/>
          <w:w w:val="110"/>
          <w:sz w:val="20"/>
          <w:szCs w:val="20"/>
          <w:lang w:val="uk-UA"/>
        </w:rPr>
        <w:t>Ці рекомендації стосуються прямого тестування зразків мокротиння від пацієнтів з М</w:t>
      </w:r>
      <w:r w:rsidRPr="00955048">
        <w:rPr>
          <w:spacing w:val="-3"/>
          <w:w w:val="110"/>
          <w:sz w:val="20"/>
          <w:szCs w:val="20"/>
          <w:lang w:val="uk-UA"/>
        </w:rPr>
        <w:t>ЛС</w:t>
      </w:r>
      <w:r w:rsidRPr="000C1866">
        <w:rPr>
          <w:spacing w:val="-3"/>
          <w:w w:val="110"/>
          <w:sz w:val="20"/>
          <w:szCs w:val="20"/>
          <w:lang w:val="uk-UA"/>
        </w:rPr>
        <w:t>/Риф-ТБ, незалежно від результату мікроскопії мазка</w:t>
      </w:r>
      <w:r>
        <w:rPr>
          <w:spacing w:val="-3"/>
          <w:w w:val="110"/>
          <w:sz w:val="20"/>
          <w:szCs w:val="20"/>
          <w:lang w:val="uk-UA"/>
        </w:rPr>
        <w:t>. Враховано, що ч</w:t>
      </w:r>
      <w:r w:rsidRPr="000C1866">
        <w:rPr>
          <w:spacing w:val="-3"/>
          <w:w w:val="110"/>
          <w:sz w:val="20"/>
          <w:szCs w:val="20"/>
          <w:lang w:val="uk-UA"/>
        </w:rPr>
        <w:t>астота невизначених результатів є вищою при тестуванні зразків мокротиння з негативним результатом мазка, порівняно зі зразками з позитивним результатом мазка.</w:t>
      </w:r>
    </w:p>
    <w:p w14:paraId="6B7C27B7" w14:textId="77777777" w:rsidR="00DE2E3D" w:rsidRPr="006B6651" w:rsidRDefault="00DE2E3D" w:rsidP="004A2937">
      <w:pPr>
        <w:pStyle w:val="a4"/>
        <w:numPr>
          <w:ilvl w:val="0"/>
          <w:numId w:val="42"/>
        </w:numPr>
        <w:tabs>
          <w:tab w:val="left" w:pos="1701"/>
        </w:tabs>
        <w:spacing w:before="3" w:line="276" w:lineRule="auto"/>
        <w:ind w:right="713"/>
        <w:rPr>
          <w:sz w:val="20"/>
          <w:szCs w:val="20"/>
          <w:lang w:val="uk-UA"/>
        </w:rPr>
      </w:pPr>
      <w:r w:rsidRPr="006B6651">
        <w:rPr>
          <w:w w:val="110"/>
          <w:sz w:val="20"/>
          <w:szCs w:val="20"/>
          <w:lang w:val="uk-UA"/>
        </w:rPr>
        <w:t xml:space="preserve">Ці рекомендації не </w:t>
      </w:r>
      <w:r w:rsidRPr="00D33B08">
        <w:rPr>
          <w:w w:val="110"/>
          <w:sz w:val="20"/>
          <w:szCs w:val="20"/>
          <w:lang w:val="uk-UA"/>
        </w:rPr>
        <w:t>усувають</w:t>
      </w:r>
      <w:r w:rsidRPr="006B6651">
        <w:rPr>
          <w:w w:val="110"/>
          <w:sz w:val="20"/>
          <w:szCs w:val="20"/>
          <w:lang w:val="uk-UA"/>
        </w:rPr>
        <w:t xml:space="preserve"> потреби у проведен</w:t>
      </w:r>
      <w:r w:rsidRPr="00D33B08">
        <w:rPr>
          <w:w w:val="110"/>
          <w:sz w:val="20"/>
          <w:szCs w:val="20"/>
          <w:lang w:val="uk-UA"/>
        </w:rPr>
        <w:t>і</w:t>
      </w:r>
      <w:r w:rsidRPr="006B6651">
        <w:rPr>
          <w:w w:val="110"/>
          <w:sz w:val="20"/>
          <w:szCs w:val="20"/>
          <w:lang w:val="uk-UA"/>
        </w:rPr>
        <w:t xml:space="preserve"> традиційн</w:t>
      </w:r>
      <w:r>
        <w:rPr>
          <w:w w:val="110"/>
          <w:sz w:val="20"/>
          <w:szCs w:val="20"/>
          <w:lang w:val="uk-UA"/>
        </w:rPr>
        <w:t>ого</w:t>
      </w:r>
      <w:r w:rsidRPr="006B6651">
        <w:rPr>
          <w:w w:val="110"/>
          <w:sz w:val="20"/>
          <w:szCs w:val="20"/>
          <w:lang w:val="uk-UA"/>
        </w:rPr>
        <w:t xml:space="preserve"> </w:t>
      </w:r>
      <w:proofErr w:type="spellStart"/>
      <w:r w:rsidRPr="006B6651">
        <w:rPr>
          <w:w w:val="110"/>
          <w:sz w:val="20"/>
          <w:szCs w:val="20"/>
          <w:lang w:val="uk-UA"/>
        </w:rPr>
        <w:t>фенотипов</w:t>
      </w:r>
      <w:r>
        <w:rPr>
          <w:w w:val="110"/>
          <w:sz w:val="20"/>
          <w:szCs w:val="20"/>
          <w:lang w:val="uk-UA"/>
        </w:rPr>
        <w:t>ого</w:t>
      </w:r>
      <w:proofErr w:type="spellEnd"/>
      <w:r w:rsidRPr="006B6651">
        <w:rPr>
          <w:w w:val="110"/>
          <w:sz w:val="20"/>
          <w:szCs w:val="20"/>
          <w:lang w:val="uk-UA"/>
        </w:rPr>
        <w:t xml:space="preserve"> Т</w:t>
      </w:r>
      <w:r w:rsidRPr="000C1866">
        <w:rPr>
          <w:w w:val="110"/>
          <w:sz w:val="20"/>
          <w:szCs w:val="20"/>
          <w:lang w:val="uk-UA"/>
        </w:rPr>
        <w:t>М</w:t>
      </w:r>
      <w:r w:rsidRPr="006B6651">
        <w:rPr>
          <w:w w:val="110"/>
          <w:sz w:val="20"/>
          <w:szCs w:val="20"/>
          <w:lang w:val="uk-UA"/>
        </w:rPr>
        <w:t>Ч, як</w:t>
      </w:r>
      <w:r>
        <w:rPr>
          <w:w w:val="110"/>
          <w:sz w:val="20"/>
          <w:szCs w:val="20"/>
          <w:lang w:val="uk-UA"/>
        </w:rPr>
        <w:t>ий</w:t>
      </w:r>
      <w:r w:rsidRPr="006B6651">
        <w:rPr>
          <w:w w:val="110"/>
          <w:sz w:val="20"/>
          <w:szCs w:val="20"/>
          <w:lang w:val="uk-UA"/>
        </w:rPr>
        <w:t xml:space="preserve"> буд</w:t>
      </w:r>
      <w:r>
        <w:rPr>
          <w:w w:val="110"/>
          <w:sz w:val="20"/>
          <w:szCs w:val="20"/>
          <w:lang w:val="uk-UA"/>
        </w:rPr>
        <w:t>е</w:t>
      </w:r>
      <w:r w:rsidRPr="006B6651">
        <w:rPr>
          <w:w w:val="110"/>
          <w:sz w:val="20"/>
          <w:szCs w:val="20"/>
          <w:lang w:val="uk-UA"/>
        </w:rPr>
        <w:t xml:space="preserve"> необхідн</w:t>
      </w:r>
      <w:r>
        <w:rPr>
          <w:w w:val="110"/>
          <w:sz w:val="20"/>
          <w:szCs w:val="20"/>
          <w:lang w:val="uk-UA"/>
        </w:rPr>
        <w:t>ий</w:t>
      </w:r>
      <w:r w:rsidRPr="006B6651">
        <w:rPr>
          <w:w w:val="110"/>
          <w:sz w:val="20"/>
          <w:szCs w:val="20"/>
          <w:lang w:val="uk-UA"/>
        </w:rPr>
        <w:t xml:space="preserve"> для підтвердження </w:t>
      </w:r>
      <w:r w:rsidRPr="000C1866">
        <w:rPr>
          <w:w w:val="110"/>
          <w:sz w:val="20"/>
          <w:szCs w:val="20"/>
          <w:lang w:val="uk-UA"/>
        </w:rPr>
        <w:t>стійкості</w:t>
      </w:r>
      <w:r w:rsidRPr="006B6651">
        <w:rPr>
          <w:w w:val="110"/>
          <w:sz w:val="20"/>
          <w:szCs w:val="20"/>
          <w:lang w:val="uk-UA"/>
        </w:rPr>
        <w:t xml:space="preserve"> до інших препаратів та для моніторингу появи додаткової </w:t>
      </w:r>
      <w:r w:rsidRPr="000C1866">
        <w:rPr>
          <w:w w:val="110"/>
          <w:sz w:val="20"/>
          <w:szCs w:val="20"/>
          <w:lang w:val="uk-UA"/>
        </w:rPr>
        <w:t>лікарської</w:t>
      </w:r>
      <w:r w:rsidRPr="006B6651">
        <w:rPr>
          <w:w w:val="110"/>
          <w:sz w:val="20"/>
          <w:szCs w:val="20"/>
          <w:lang w:val="uk-UA"/>
        </w:rPr>
        <w:t xml:space="preserve"> </w:t>
      </w:r>
      <w:r>
        <w:rPr>
          <w:w w:val="110"/>
          <w:sz w:val="20"/>
          <w:szCs w:val="20"/>
          <w:lang w:val="uk-UA"/>
        </w:rPr>
        <w:t>стійкості</w:t>
      </w:r>
      <w:r w:rsidRPr="006B6651">
        <w:rPr>
          <w:w w:val="110"/>
          <w:sz w:val="20"/>
          <w:szCs w:val="20"/>
          <w:lang w:val="uk-UA"/>
        </w:rPr>
        <w:t>.</w:t>
      </w:r>
    </w:p>
    <w:p w14:paraId="150C85A1" w14:textId="77777777" w:rsidR="00DE2E3D" w:rsidRPr="006B6651" w:rsidRDefault="00DE2E3D" w:rsidP="004A2937">
      <w:pPr>
        <w:pStyle w:val="a4"/>
        <w:numPr>
          <w:ilvl w:val="0"/>
          <w:numId w:val="42"/>
        </w:numPr>
        <w:tabs>
          <w:tab w:val="left" w:pos="1701"/>
        </w:tabs>
        <w:spacing w:before="4" w:line="276" w:lineRule="auto"/>
        <w:ind w:right="713"/>
        <w:rPr>
          <w:sz w:val="20"/>
          <w:szCs w:val="20"/>
          <w:lang w:val="uk-UA"/>
        </w:rPr>
      </w:pPr>
      <w:r w:rsidRPr="006B6651">
        <w:rPr>
          <w:w w:val="110"/>
          <w:sz w:val="20"/>
          <w:szCs w:val="20"/>
          <w:lang w:val="uk-UA"/>
        </w:rPr>
        <w:t>Традиційн</w:t>
      </w:r>
      <w:r>
        <w:rPr>
          <w:w w:val="110"/>
          <w:sz w:val="20"/>
          <w:szCs w:val="20"/>
          <w:lang w:val="uk-UA"/>
        </w:rPr>
        <w:t>ий</w:t>
      </w:r>
      <w:r w:rsidRPr="006B6651">
        <w:rPr>
          <w:w w:val="110"/>
          <w:sz w:val="20"/>
          <w:szCs w:val="20"/>
          <w:lang w:val="uk-UA"/>
        </w:rPr>
        <w:t xml:space="preserve"> </w:t>
      </w:r>
      <w:proofErr w:type="spellStart"/>
      <w:r w:rsidRPr="006B6651">
        <w:rPr>
          <w:w w:val="110"/>
          <w:sz w:val="20"/>
          <w:szCs w:val="20"/>
          <w:lang w:val="uk-UA"/>
        </w:rPr>
        <w:t>фенотипов</w:t>
      </w:r>
      <w:r>
        <w:rPr>
          <w:w w:val="110"/>
          <w:sz w:val="20"/>
          <w:szCs w:val="20"/>
          <w:lang w:val="uk-UA"/>
        </w:rPr>
        <w:t>ий</w:t>
      </w:r>
      <w:proofErr w:type="spellEnd"/>
      <w:r w:rsidRPr="006B6651">
        <w:rPr>
          <w:w w:val="110"/>
          <w:sz w:val="20"/>
          <w:szCs w:val="20"/>
          <w:lang w:val="uk-UA"/>
        </w:rPr>
        <w:t xml:space="preserve"> Т</w:t>
      </w:r>
      <w:r w:rsidRPr="000C1866">
        <w:rPr>
          <w:w w:val="110"/>
          <w:sz w:val="20"/>
          <w:szCs w:val="20"/>
          <w:lang w:val="uk-UA"/>
        </w:rPr>
        <w:t>М</w:t>
      </w:r>
      <w:r w:rsidRPr="006B6651">
        <w:rPr>
          <w:w w:val="110"/>
          <w:sz w:val="20"/>
          <w:szCs w:val="20"/>
          <w:lang w:val="uk-UA"/>
        </w:rPr>
        <w:t>Ч мож</w:t>
      </w:r>
      <w:r w:rsidRPr="000C1866">
        <w:rPr>
          <w:w w:val="110"/>
          <w:sz w:val="20"/>
          <w:szCs w:val="20"/>
          <w:lang w:val="uk-UA"/>
        </w:rPr>
        <w:t>на</w:t>
      </w:r>
      <w:r w:rsidRPr="006B6651">
        <w:rPr>
          <w:w w:val="110"/>
          <w:sz w:val="20"/>
          <w:szCs w:val="20"/>
          <w:lang w:val="uk-UA"/>
        </w:rPr>
        <w:t xml:space="preserve"> використовувати при обстеженні пацієнтів з негативними результатами </w:t>
      </w:r>
      <w:r w:rsidRPr="000C1866">
        <w:rPr>
          <w:w w:val="110"/>
          <w:sz w:val="20"/>
          <w:szCs w:val="20"/>
        </w:rPr>
        <w:t>SL</w:t>
      </w:r>
      <w:r w:rsidRPr="006B6651">
        <w:rPr>
          <w:w w:val="110"/>
          <w:sz w:val="20"/>
          <w:szCs w:val="20"/>
          <w:lang w:val="uk-UA"/>
        </w:rPr>
        <w:t>-</w:t>
      </w:r>
      <w:r w:rsidRPr="000C1866">
        <w:rPr>
          <w:w w:val="110"/>
          <w:sz w:val="20"/>
          <w:szCs w:val="20"/>
        </w:rPr>
        <w:t>LPA</w:t>
      </w:r>
      <w:r w:rsidRPr="006B6651">
        <w:rPr>
          <w:w w:val="110"/>
          <w:sz w:val="20"/>
          <w:szCs w:val="20"/>
          <w:lang w:val="uk-UA"/>
        </w:rPr>
        <w:t xml:space="preserve">, особливо в </w:t>
      </w:r>
      <w:r w:rsidRPr="000C1866">
        <w:rPr>
          <w:w w:val="110"/>
          <w:sz w:val="20"/>
          <w:szCs w:val="20"/>
          <w:lang w:val="uk-UA"/>
        </w:rPr>
        <w:t>групах населення, які</w:t>
      </w:r>
      <w:r w:rsidRPr="006B6651">
        <w:rPr>
          <w:w w:val="110"/>
          <w:sz w:val="20"/>
          <w:szCs w:val="20"/>
          <w:lang w:val="uk-UA"/>
        </w:rPr>
        <w:t xml:space="preserve"> мають високу </w:t>
      </w:r>
      <w:r w:rsidRPr="000C1866">
        <w:rPr>
          <w:w w:val="110"/>
          <w:sz w:val="20"/>
          <w:szCs w:val="20"/>
          <w:lang w:val="uk-UA"/>
        </w:rPr>
        <w:t>ймовірність</w:t>
      </w:r>
      <w:r w:rsidRPr="006B6651">
        <w:rPr>
          <w:w w:val="110"/>
          <w:sz w:val="20"/>
          <w:szCs w:val="20"/>
          <w:lang w:val="uk-UA"/>
        </w:rPr>
        <w:t xml:space="preserve"> наявності стійкості до фторхінолонів або ІПДР (або до обох)</w:t>
      </w:r>
      <w:r w:rsidRPr="000C1866">
        <w:rPr>
          <w:w w:val="110"/>
          <w:sz w:val="20"/>
          <w:szCs w:val="20"/>
          <w:lang w:val="uk-UA"/>
        </w:rPr>
        <w:t xml:space="preserve"> </w:t>
      </w:r>
      <w:r w:rsidRPr="006B6651">
        <w:rPr>
          <w:w w:val="110"/>
          <w:sz w:val="20"/>
          <w:szCs w:val="20"/>
          <w:lang w:val="uk-UA"/>
        </w:rPr>
        <w:t>до проведення аналізу.</w:t>
      </w:r>
    </w:p>
    <w:p w14:paraId="1C6F2591" w14:textId="77777777" w:rsidR="00DE2E3D" w:rsidRPr="006B6651" w:rsidRDefault="00DE2E3D" w:rsidP="004A2937">
      <w:pPr>
        <w:pStyle w:val="a4"/>
        <w:numPr>
          <w:ilvl w:val="0"/>
          <w:numId w:val="42"/>
        </w:numPr>
        <w:tabs>
          <w:tab w:val="left" w:pos="1701"/>
        </w:tabs>
        <w:spacing w:before="3" w:line="276" w:lineRule="auto"/>
        <w:ind w:right="713"/>
        <w:rPr>
          <w:sz w:val="20"/>
          <w:szCs w:val="20"/>
          <w:lang w:val="ru-RU"/>
        </w:rPr>
      </w:pPr>
      <w:proofErr w:type="spellStart"/>
      <w:r w:rsidRPr="006B6651">
        <w:rPr>
          <w:w w:val="110"/>
          <w:sz w:val="20"/>
          <w:szCs w:val="20"/>
          <w:lang w:val="ru-RU"/>
        </w:rPr>
        <w:t>Ці</w:t>
      </w:r>
      <w:proofErr w:type="spellEnd"/>
      <w:r w:rsidRPr="006B6651">
        <w:rPr>
          <w:w w:val="110"/>
          <w:sz w:val="20"/>
          <w:szCs w:val="20"/>
          <w:lang w:val="ru-RU"/>
        </w:rPr>
        <w:t xml:space="preserve"> </w:t>
      </w:r>
      <w:proofErr w:type="spellStart"/>
      <w:r w:rsidRPr="006B6651">
        <w:rPr>
          <w:w w:val="110"/>
          <w:sz w:val="20"/>
          <w:szCs w:val="20"/>
          <w:lang w:val="ru-RU"/>
        </w:rPr>
        <w:t>рекомендації</w:t>
      </w:r>
      <w:proofErr w:type="spellEnd"/>
      <w:r w:rsidRPr="006B6651">
        <w:rPr>
          <w:w w:val="110"/>
          <w:sz w:val="20"/>
          <w:szCs w:val="20"/>
          <w:lang w:val="ru-RU"/>
        </w:rPr>
        <w:t xml:space="preserve"> </w:t>
      </w:r>
      <w:proofErr w:type="spellStart"/>
      <w:r w:rsidRPr="006B6651">
        <w:rPr>
          <w:w w:val="110"/>
          <w:sz w:val="20"/>
          <w:szCs w:val="20"/>
          <w:lang w:val="ru-RU"/>
        </w:rPr>
        <w:t>стосуються</w:t>
      </w:r>
      <w:proofErr w:type="spellEnd"/>
      <w:r w:rsidRPr="006B6651">
        <w:rPr>
          <w:w w:val="110"/>
          <w:sz w:val="20"/>
          <w:szCs w:val="20"/>
          <w:lang w:val="ru-RU"/>
        </w:rPr>
        <w:t xml:space="preserve"> використання </w:t>
      </w:r>
      <w:r w:rsidRPr="000C1866">
        <w:rPr>
          <w:w w:val="110"/>
          <w:sz w:val="20"/>
          <w:szCs w:val="20"/>
        </w:rPr>
        <w:t>SL</w:t>
      </w:r>
      <w:r w:rsidRPr="006B6651">
        <w:rPr>
          <w:w w:val="110"/>
          <w:sz w:val="20"/>
          <w:szCs w:val="20"/>
          <w:lang w:val="ru-RU"/>
        </w:rPr>
        <w:t>-</w:t>
      </w:r>
      <w:r w:rsidRPr="000C1866">
        <w:rPr>
          <w:w w:val="110"/>
          <w:sz w:val="20"/>
          <w:szCs w:val="20"/>
        </w:rPr>
        <w:t>LPA</w:t>
      </w:r>
      <w:r w:rsidRPr="006B6651">
        <w:rPr>
          <w:w w:val="110"/>
          <w:sz w:val="20"/>
          <w:szCs w:val="20"/>
          <w:lang w:val="ru-RU"/>
        </w:rPr>
        <w:t xml:space="preserve"> у </w:t>
      </w:r>
      <w:proofErr w:type="spellStart"/>
      <w:r w:rsidRPr="006B6651">
        <w:rPr>
          <w:w w:val="110"/>
          <w:sz w:val="20"/>
          <w:szCs w:val="20"/>
          <w:lang w:val="ru-RU"/>
        </w:rPr>
        <w:t>дітей</w:t>
      </w:r>
      <w:proofErr w:type="spellEnd"/>
      <w:r w:rsidRPr="006B6651">
        <w:rPr>
          <w:w w:val="110"/>
          <w:sz w:val="20"/>
          <w:szCs w:val="20"/>
          <w:lang w:val="ru-RU"/>
        </w:rPr>
        <w:t xml:space="preserve"> з </w:t>
      </w:r>
      <w:proofErr w:type="spellStart"/>
      <w:r w:rsidRPr="006B6651">
        <w:rPr>
          <w:w w:val="110"/>
          <w:sz w:val="20"/>
          <w:szCs w:val="20"/>
          <w:lang w:val="ru-RU"/>
        </w:rPr>
        <w:t>підтвердженим</w:t>
      </w:r>
      <w:proofErr w:type="spellEnd"/>
      <w:r w:rsidRPr="006B6651">
        <w:rPr>
          <w:w w:val="110"/>
          <w:sz w:val="20"/>
          <w:szCs w:val="20"/>
          <w:lang w:val="ru-RU"/>
        </w:rPr>
        <w:t xml:space="preserve"> МЛС/Р</w:t>
      </w:r>
      <w:proofErr w:type="spellStart"/>
      <w:r w:rsidRPr="000C1866">
        <w:rPr>
          <w:w w:val="110"/>
          <w:sz w:val="20"/>
          <w:szCs w:val="20"/>
          <w:lang w:val="uk-UA"/>
        </w:rPr>
        <w:t>иф</w:t>
      </w:r>
      <w:proofErr w:type="spellEnd"/>
      <w:r w:rsidRPr="006B6651">
        <w:rPr>
          <w:w w:val="110"/>
          <w:sz w:val="20"/>
          <w:szCs w:val="20"/>
          <w:lang w:val="ru-RU"/>
        </w:rPr>
        <w:t xml:space="preserve">-ТБ на </w:t>
      </w:r>
      <w:proofErr w:type="spellStart"/>
      <w:r w:rsidRPr="006B6651">
        <w:rPr>
          <w:w w:val="110"/>
          <w:sz w:val="20"/>
          <w:szCs w:val="20"/>
          <w:lang w:val="ru-RU"/>
        </w:rPr>
        <w:t>основі</w:t>
      </w:r>
      <w:proofErr w:type="spellEnd"/>
      <w:r w:rsidRPr="006B6651">
        <w:rPr>
          <w:w w:val="110"/>
          <w:sz w:val="20"/>
          <w:szCs w:val="20"/>
          <w:lang w:val="ru-RU"/>
        </w:rPr>
        <w:t xml:space="preserve"> </w:t>
      </w:r>
      <w:proofErr w:type="spellStart"/>
      <w:r w:rsidRPr="006B6651">
        <w:rPr>
          <w:w w:val="110"/>
          <w:sz w:val="20"/>
          <w:szCs w:val="20"/>
          <w:lang w:val="ru-RU"/>
        </w:rPr>
        <w:t>узагальнення</w:t>
      </w:r>
      <w:proofErr w:type="spellEnd"/>
      <w:r w:rsidRPr="006B6651">
        <w:rPr>
          <w:w w:val="110"/>
          <w:sz w:val="20"/>
          <w:szCs w:val="20"/>
          <w:lang w:val="ru-RU"/>
        </w:rPr>
        <w:t xml:space="preserve"> </w:t>
      </w:r>
      <w:proofErr w:type="spellStart"/>
      <w:r w:rsidRPr="006B6651">
        <w:rPr>
          <w:w w:val="110"/>
          <w:sz w:val="20"/>
          <w:szCs w:val="20"/>
          <w:lang w:val="ru-RU"/>
        </w:rPr>
        <w:t>даних</w:t>
      </w:r>
      <w:proofErr w:type="spellEnd"/>
      <w:r w:rsidRPr="006B6651">
        <w:rPr>
          <w:w w:val="110"/>
          <w:sz w:val="20"/>
          <w:szCs w:val="20"/>
          <w:lang w:val="ru-RU"/>
        </w:rPr>
        <w:t xml:space="preserve">, </w:t>
      </w:r>
      <w:proofErr w:type="spellStart"/>
      <w:r w:rsidRPr="006B6651">
        <w:rPr>
          <w:w w:val="110"/>
          <w:sz w:val="20"/>
          <w:szCs w:val="20"/>
          <w:lang w:val="ru-RU"/>
        </w:rPr>
        <w:t>отриманих</w:t>
      </w:r>
      <w:proofErr w:type="spellEnd"/>
      <w:r w:rsidRPr="006B6651">
        <w:rPr>
          <w:w w:val="110"/>
          <w:sz w:val="20"/>
          <w:szCs w:val="20"/>
          <w:lang w:val="ru-RU"/>
        </w:rPr>
        <w:t xml:space="preserve"> </w:t>
      </w:r>
      <w:r w:rsidRPr="000C1866">
        <w:rPr>
          <w:w w:val="110"/>
          <w:sz w:val="20"/>
          <w:szCs w:val="20"/>
          <w:lang w:val="uk-UA"/>
        </w:rPr>
        <w:t>стосовно</w:t>
      </w:r>
      <w:r w:rsidRPr="006B6651">
        <w:rPr>
          <w:w w:val="110"/>
          <w:sz w:val="20"/>
          <w:szCs w:val="20"/>
          <w:lang w:val="ru-RU"/>
        </w:rPr>
        <w:t xml:space="preserve"> </w:t>
      </w:r>
      <w:proofErr w:type="spellStart"/>
      <w:r w:rsidRPr="006B6651">
        <w:rPr>
          <w:w w:val="110"/>
          <w:sz w:val="20"/>
          <w:szCs w:val="20"/>
          <w:lang w:val="ru-RU"/>
        </w:rPr>
        <w:t>дорослих</w:t>
      </w:r>
      <w:proofErr w:type="spellEnd"/>
      <w:r w:rsidRPr="006B6651">
        <w:rPr>
          <w:w w:val="110"/>
          <w:sz w:val="20"/>
          <w:szCs w:val="20"/>
          <w:lang w:val="ru-RU"/>
        </w:rPr>
        <w:t>.</w:t>
      </w:r>
    </w:p>
    <w:p w14:paraId="6F00E85D" w14:textId="77777777" w:rsidR="00DE2E3D" w:rsidRPr="00DE2E3D" w:rsidRDefault="00DE2E3D" w:rsidP="004A2937">
      <w:pPr>
        <w:pStyle w:val="a4"/>
        <w:numPr>
          <w:ilvl w:val="0"/>
          <w:numId w:val="42"/>
        </w:numPr>
        <w:tabs>
          <w:tab w:val="left" w:pos="1701"/>
        </w:tabs>
        <w:spacing w:before="3" w:line="276" w:lineRule="auto"/>
        <w:ind w:right="713"/>
        <w:rPr>
          <w:sz w:val="20"/>
          <w:szCs w:val="20"/>
          <w:lang w:val="ru-RU"/>
        </w:rPr>
        <w:sectPr w:rsidR="00DE2E3D" w:rsidRPr="00DE2E3D" w:rsidSect="00DE2E3D">
          <w:pgSz w:w="11910" w:h="16840"/>
          <w:pgMar w:top="567" w:right="249" w:bottom="780" w:left="238" w:header="0" w:footer="597" w:gutter="0"/>
          <w:cols w:space="720"/>
        </w:sectPr>
      </w:pPr>
      <w:r w:rsidRPr="000C1866">
        <w:rPr>
          <w:sz w:val="20"/>
          <w:szCs w:val="20"/>
          <w:lang w:val="uk-UA"/>
        </w:rPr>
        <w:t>В</w:t>
      </w:r>
      <w:proofErr w:type="spellStart"/>
      <w:r w:rsidRPr="00DE2E3D">
        <w:rPr>
          <w:sz w:val="20"/>
          <w:szCs w:val="20"/>
          <w:lang w:val="ru-RU"/>
        </w:rPr>
        <w:t>иявлені</w:t>
      </w:r>
      <w:proofErr w:type="spellEnd"/>
      <w:r w:rsidRPr="00DE2E3D">
        <w:rPr>
          <w:sz w:val="20"/>
          <w:szCs w:val="20"/>
          <w:lang w:val="ru-RU"/>
        </w:rPr>
        <w:t xml:space="preserve"> за </w:t>
      </w:r>
      <w:proofErr w:type="spellStart"/>
      <w:r w:rsidRPr="00DE2E3D">
        <w:rPr>
          <w:sz w:val="20"/>
          <w:szCs w:val="20"/>
          <w:lang w:val="ru-RU"/>
        </w:rPr>
        <w:t>допомогою</w:t>
      </w:r>
      <w:proofErr w:type="spellEnd"/>
      <w:r w:rsidRPr="00DE2E3D">
        <w:rPr>
          <w:sz w:val="20"/>
          <w:szCs w:val="20"/>
          <w:lang w:val="ru-RU"/>
        </w:rPr>
        <w:t xml:space="preserve"> </w:t>
      </w:r>
      <w:r w:rsidRPr="000C1866">
        <w:rPr>
          <w:sz w:val="20"/>
          <w:szCs w:val="20"/>
        </w:rPr>
        <w:t>SL</w:t>
      </w:r>
      <w:r w:rsidRPr="00DE2E3D">
        <w:rPr>
          <w:sz w:val="20"/>
          <w:szCs w:val="20"/>
          <w:lang w:val="ru-RU"/>
        </w:rPr>
        <w:t>-</w:t>
      </w:r>
      <w:r w:rsidRPr="000C1866">
        <w:rPr>
          <w:sz w:val="20"/>
          <w:szCs w:val="20"/>
        </w:rPr>
        <w:t>LPA</w:t>
      </w:r>
      <w:r w:rsidRPr="00DE2E3D">
        <w:rPr>
          <w:sz w:val="20"/>
          <w:szCs w:val="20"/>
          <w:lang w:val="ru-RU"/>
        </w:rPr>
        <w:t xml:space="preserve"> </w:t>
      </w:r>
      <w:r w:rsidRPr="000C1866">
        <w:rPr>
          <w:sz w:val="20"/>
          <w:szCs w:val="20"/>
          <w:lang w:val="uk-UA"/>
        </w:rPr>
        <w:t>м</w:t>
      </w:r>
      <w:proofErr w:type="spellStart"/>
      <w:r w:rsidRPr="00DE2E3D">
        <w:rPr>
          <w:sz w:val="20"/>
          <w:szCs w:val="20"/>
          <w:lang w:val="ru-RU"/>
        </w:rPr>
        <w:t>утації</w:t>
      </w:r>
      <w:proofErr w:type="spellEnd"/>
      <w:r w:rsidRPr="00DE2E3D">
        <w:rPr>
          <w:sz w:val="20"/>
          <w:szCs w:val="20"/>
          <w:lang w:val="ru-RU"/>
        </w:rPr>
        <w:t xml:space="preserve">, </w:t>
      </w:r>
      <w:proofErr w:type="spellStart"/>
      <w:r w:rsidRPr="00DE2E3D">
        <w:rPr>
          <w:sz w:val="20"/>
          <w:szCs w:val="20"/>
          <w:lang w:val="ru-RU"/>
        </w:rPr>
        <w:t>що</w:t>
      </w:r>
      <w:proofErr w:type="spellEnd"/>
      <w:r w:rsidRPr="00DE2E3D">
        <w:rPr>
          <w:sz w:val="20"/>
          <w:szCs w:val="20"/>
          <w:lang w:val="ru-RU"/>
        </w:rPr>
        <w:t xml:space="preserve"> </w:t>
      </w:r>
      <w:proofErr w:type="spellStart"/>
      <w:r w:rsidRPr="00DE2E3D">
        <w:rPr>
          <w:sz w:val="20"/>
          <w:szCs w:val="20"/>
          <w:lang w:val="ru-RU"/>
        </w:rPr>
        <w:t>зумовлюють</w:t>
      </w:r>
      <w:proofErr w:type="spellEnd"/>
      <w:r w:rsidRPr="00DE2E3D">
        <w:rPr>
          <w:sz w:val="20"/>
          <w:szCs w:val="20"/>
          <w:lang w:val="ru-RU"/>
        </w:rPr>
        <w:t xml:space="preserve"> </w:t>
      </w:r>
      <w:r w:rsidRPr="000C1866">
        <w:rPr>
          <w:sz w:val="20"/>
          <w:szCs w:val="20"/>
          <w:lang w:val="uk-UA"/>
        </w:rPr>
        <w:t>стійкість</w:t>
      </w:r>
      <w:r w:rsidRPr="00DE2E3D">
        <w:rPr>
          <w:sz w:val="20"/>
          <w:szCs w:val="20"/>
          <w:lang w:val="ru-RU"/>
        </w:rPr>
        <w:t xml:space="preserve">, </w:t>
      </w:r>
      <w:proofErr w:type="spellStart"/>
      <w:r w:rsidRPr="00DE2E3D">
        <w:rPr>
          <w:sz w:val="20"/>
          <w:szCs w:val="20"/>
          <w:lang w:val="ru-RU"/>
        </w:rPr>
        <w:t>тісно</w:t>
      </w:r>
      <w:proofErr w:type="spellEnd"/>
      <w:r w:rsidRPr="00DE2E3D">
        <w:rPr>
          <w:sz w:val="20"/>
          <w:szCs w:val="20"/>
          <w:lang w:val="ru-RU"/>
        </w:rPr>
        <w:t xml:space="preserve"> </w:t>
      </w:r>
      <w:proofErr w:type="spellStart"/>
      <w:r w:rsidRPr="00DE2E3D">
        <w:rPr>
          <w:sz w:val="20"/>
          <w:szCs w:val="20"/>
          <w:lang w:val="ru-RU"/>
        </w:rPr>
        <w:t>корелюють</w:t>
      </w:r>
      <w:proofErr w:type="spellEnd"/>
      <w:r w:rsidRPr="00DE2E3D">
        <w:rPr>
          <w:sz w:val="20"/>
          <w:szCs w:val="20"/>
          <w:lang w:val="ru-RU"/>
        </w:rPr>
        <w:t xml:space="preserve"> з </w:t>
      </w:r>
      <w:proofErr w:type="spellStart"/>
      <w:r w:rsidRPr="00DE2E3D">
        <w:rPr>
          <w:sz w:val="20"/>
          <w:szCs w:val="20"/>
          <w:lang w:val="ru-RU"/>
        </w:rPr>
        <w:t>фенотиповою</w:t>
      </w:r>
      <w:proofErr w:type="spellEnd"/>
      <w:r w:rsidRPr="00DE2E3D">
        <w:rPr>
          <w:sz w:val="20"/>
          <w:szCs w:val="20"/>
          <w:lang w:val="ru-RU"/>
        </w:rPr>
        <w:t xml:space="preserve"> </w:t>
      </w:r>
      <w:r w:rsidRPr="000C1866">
        <w:rPr>
          <w:sz w:val="20"/>
          <w:szCs w:val="20"/>
          <w:lang w:val="uk-UA"/>
        </w:rPr>
        <w:t>стійкістю</w:t>
      </w:r>
      <w:r w:rsidRPr="00DE2E3D">
        <w:rPr>
          <w:sz w:val="20"/>
          <w:szCs w:val="20"/>
          <w:lang w:val="ru-RU"/>
        </w:rPr>
        <w:t xml:space="preserve"> до </w:t>
      </w:r>
      <w:proofErr w:type="spellStart"/>
      <w:r w:rsidRPr="00DE2E3D">
        <w:rPr>
          <w:sz w:val="20"/>
          <w:szCs w:val="20"/>
          <w:lang w:val="ru-RU"/>
        </w:rPr>
        <w:t>офлоксацину</w:t>
      </w:r>
      <w:proofErr w:type="spellEnd"/>
      <w:r w:rsidRPr="00DE2E3D">
        <w:rPr>
          <w:sz w:val="20"/>
          <w:szCs w:val="20"/>
          <w:lang w:val="ru-RU"/>
        </w:rPr>
        <w:t xml:space="preserve"> та </w:t>
      </w:r>
      <w:proofErr w:type="spellStart"/>
      <w:r w:rsidRPr="00DE2E3D">
        <w:rPr>
          <w:sz w:val="20"/>
          <w:szCs w:val="20"/>
          <w:lang w:val="ru-RU"/>
        </w:rPr>
        <w:t>левофлоксацину</w:t>
      </w:r>
      <w:proofErr w:type="spellEnd"/>
      <w:r w:rsidRPr="00DE2E3D">
        <w:rPr>
          <w:sz w:val="20"/>
          <w:szCs w:val="20"/>
          <w:lang w:val="ru-RU"/>
        </w:rPr>
        <w:t>.</w:t>
      </w:r>
    </w:p>
    <w:p w14:paraId="10DF3CF0" w14:textId="77777777" w:rsidR="00DE2E3D" w:rsidRPr="006E5AE7" w:rsidRDefault="00DE2E3D" w:rsidP="004A2937">
      <w:pPr>
        <w:pStyle w:val="a4"/>
        <w:numPr>
          <w:ilvl w:val="0"/>
          <w:numId w:val="42"/>
        </w:numPr>
        <w:tabs>
          <w:tab w:val="left" w:pos="1701"/>
        </w:tabs>
        <w:spacing w:before="86" w:line="276" w:lineRule="auto"/>
        <w:ind w:right="4"/>
        <w:rPr>
          <w:color w:val="000000" w:themeColor="text1"/>
          <w:sz w:val="20"/>
          <w:szCs w:val="20"/>
          <w:lang w:val="ru-RU"/>
        </w:rPr>
      </w:pPr>
      <w:r w:rsidRPr="000538EF">
        <w:rPr>
          <w:color w:val="000000" w:themeColor="text1"/>
          <w:sz w:val="20"/>
          <w:szCs w:val="20"/>
          <w:lang w:val="uk-UA"/>
        </w:rPr>
        <w:lastRenderedPageBreak/>
        <w:t>В</w:t>
      </w:r>
      <w:proofErr w:type="spellStart"/>
      <w:r w:rsidRPr="006E5AE7">
        <w:rPr>
          <w:color w:val="000000" w:themeColor="text1"/>
          <w:w w:val="110"/>
          <w:sz w:val="20"/>
          <w:szCs w:val="20"/>
          <w:lang w:val="ru-RU"/>
        </w:rPr>
        <w:t>иявлені</w:t>
      </w:r>
      <w:proofErr w:type="spellEnd"/>
      <w:r w:rsidRPr="006E5AE7">
        <w:rPr>
          <w:color w:val="000000" w:themeColor="text1"/>
          <w:w w:val="110"/>
          <w:sz w:val="20"/>
          <w:szCs w:val="20"/>
          <w:lang w:val="ru-RU"/>
        </w:rPr>
        <w:t xml:space="preserve"> за </w:t>
      </w:r>
      <w:proofErr w:type="spellStart"/>
      <w:r w:rsidRPr="006E5AE7">
        <w:rPr>
          <w:color w:val="000000" w:themeColor="text1"/>
          <w:w w:val="110"/>
          <w:sz w:val="20"/>
          <w:szCs w:val="20"/>
          <w:lang w:val="ru-RU"/>
        </w:rPr>
        <w:t>допомогою</w:t>
      </w:r>
      <w:proofErr w:type="spellEnd"/>
      <w:r w:rsidRPr="006E5AE7">
        <w:rPr>
          <w:color w:val="000000" w:themeColor="text1"/>
          <w:w w:val="110"/>
          <w:sz w:val="20"/>
          <w:szCs w:val="20"/>
          <w:lang w:val="ru-RU"/>
        </w:rPr>
        <w:t xml:space="preserve"> </w:t>
      </w:r>
      <w:r w:rsidRPr="000538EF">
        <w:rPr>
          <w:color w:val="000000" w:themeColor="text1"/>
          <w:w w:val="110"/>
          <w:sz w:val="20"/>
          <w:szCs w:val="20"/>
        </w:rPr>
        <w:t>SL</w:t>
      </w:r>
      <w:r w:rsidRPr="006E5AE7">
        <w:rPr>
          <w:color w:val="000000" w:themeColor="text1"/>
          <w:w w:val="110"/>
          <w:sz w:val="20"/>
          <w:szCs w:val="20"/>
          <w:lang w:val="ru-RU"/>
        </w:rPr>
        <w:t>-</w:t>
      </w:r>
      <w:r w:rsidRPr="000538EF">
        <w:rPr>
          <w:color w:val="000000" w:themeColor="text1"/>
          <w:w w:val="110"/>
          <w:sz w:val="20"/>
          <w:szCs w:val="20"/>
        </w:rPr>
        <w:t>LPA</w:t>
      </w:r>
      <w:r w:rsidRPr="006E5AE7">
        <w:rPr>
          <w:color w:val="000000" w:themeColor="text1"/>
          <w:w w:val="110"/>
          <w:sz w:val="20"/>
          <w:szCs w:val="20"/>
          <w:lang w:val="ru-RU"/>
        </w:rPr>
        <w:t xml:space="preserve"> </w:t>
      </w:r>
      <w:r w:rsidRPr="000538EF">
        <w:rPr>
          <w:color w:val="000000" w:themeColor="text1"/>
          <w:w w:val="110"/>
          <w:sz w:val="20"/>
          <w:szCs w:val="20"/>
          <w:lang w:val="uk-UA"/>
        </w:rPr>
        <w:t>м</w:t>
      </w:r>
      <w:proofErr w:type="spellStart"/>
      <w:r w:rsidRPr="006E5AE7">
        <w:rPr>
          <w:color w:val="000000" w:themeColor="text1"/>
          <w:w w:val="110"/>
          <w:sz w:val="20"/>
          <w:szCs w:val="20"/>
          <w:lang w:val="ru-RU"/>
        </w:rPr>
        <w:t>утації</w:t>
      </w:r>
      <w:proofErr w:type="spellEnd"/>
      <w:r w:rsidRPr="006E5AE7">
        <w:rPr>
          <w:color w:val="000000" w:themeColor="text1"/>
          <w:w w:val="110"/>
          <w:sz w:val="20"/>
          <w:szCs w:val="20"/>
          <w:lang w:val="ru-RU"/>
        </w:rPr>
        <w:t xml:space="preserve">, </w:t>
      </w:r>
      <w:proofErr w:type="spellStart"/>
      <w:r w:rsidRPr="006E5AE7">
        <w:rPr>
          <w:color w:val="000000" w:themeColor="text1"/>
          <w:w w:val="110"/>
          <w:sz w:val="20"/>
          <w:szCs w:val="20"/>
          <w:lang w:val="ru-RU"/>
        </w:rPr>
        <w:t>що</w:t>
      </w:r>
      <w:proofErr w:type="spellEnd"/>
      <w:r w:rsidRPr="006E5AE7">
        <w:rPr>
          <w:color w:val="000000" w:themeColor="text1"/>
          <w:w w:val="110"/>
          <w:sz w:val="20"/>
          <w:szCs w:val="20"/>
          <w:lang w:val="ru-RU"/>
        </w:rPr>
        <w:t xml:space="preserve"> </w:t>
      </w:r>
      <w:proofErr w:type="spellStart"/>
      <w:r w:rsidRPr="006E5AE7">
        <w:rPr>
          <w:color w:val="000000" w:themeColor="text1"/>
          <w:w w:val="110"/>
          <w:sz w:val="20"/>
          <w:szCs w:val="20"/>
          <w:lang w:val="ru-RU"/>
        </w:rPr>
        <w:t>зумовлюють</w:t>
      </w:r>
      <w:proofErr w:type="spellEnd"/>
      <w:r w:rsidRPr="006E5AE7">
        <w:rPr>
          <w:color w:val="000000" w:themeColor="text1"/>
          <w:w w:val="110"/>
          <w:sz w:val="20"/>
          <w:szCs w:val="20"/>
          <w:lang w:val="ru-RU"/>
        </w:rPr>
        <w:t xml:space="preserve"> </w:t>
      </w:r>
      <w:r>
        <w:rPr>
          <w:color w:val="000000" w:themeColor="text1"/>
          <w:w w:val="110"/>
          <w:sz w:val="20"/>
          <w:szCs w:val="20"/>
          <w:lang w:val="uk-UA"/>
        </w:rPr>
        <w:t>стійкість</w:t>
      </w:r>
      <w:r w:rsidRPr="006E5AE7">
        <w:rPr>
          <w:color w:val="000000" w:themeColor="text1"/>
          <w:w w:val="110"/>
          <w:sz w:val="20"/>
          <w:szCs w:val="20"/>
          <w:lang w:val="ru-RU"/>
        </w:rPr>
        <w:t xml:space="preserve">, </w:t>
      </w:r>
      <w:proofErr w:type="spellStart"/>
      <w:r w:rsidRPr="006E5AE7">
        <w:rPr>
          <w:color w:val="000000" w:themeColor="text1"/>
          <w:w w:val="110"/>
          <w:sz w:val="20"/>
          <w:szCs w:val="20"/>
          <w:lang w:val="ru-RU"/>
        </w:rPr>
        <w:t>тісно</w:t>
      </w:r>
      <w:proofErr w:type="spellEnd"/>
      <w:r w:rsidRPr="006E5AE7">
        <w:rPr>
          <w:color w:val="000000" w:themeColor="text1"/>
          <w:w w:val="110"/>
          <w:sz w:val="20"/>
          <w:szCs w:val="20"/>
          <w:lang w:val="ru-RU"/>
        </w:rPr>
        <w:t xml:space="preserve"> </w:t>
      </w:r>
      <w:proofErr w:type="spellStart"/>
      <w:r w:rsidRPr="006E5AE7">
        <w:rPr>
          <w:color w:val="000000" w:themeColor="text1"/>
          <w:w w:val="110"/>
          <w:sz w:val="20"/>
          <w:szCs w:val="20"/>
          <w:lang w:val="ru-RU"/>
        </w:rPr>
        <w:t>корелюють</w:t>
      </w:r>
      <w:proofErr w:type="spellEnd"/>
      <w:r w:rsidRPr="006E5AE7">
        <w:rPr>
          <w:color w:val="000000" w:themeColor="text1"/>
          <w:w w:val="110"/>
          <w:sz w:val="20"/>
          <w:szCs w:val="20"/>
          <w:lang w:val="ru-RU"/>
        </w:rPr>
        <w:t xml:space="preserve"> з </w:t>
      </w:r>
      <w:proofErr w:type="spellStart"/>
      <w:r w:rsidRPr="006E5AE7">
        <w:rPr>
          <w:color w:val="000000" w:themeColor="text1"/>
          <w:w w:val="110"/>
          <w:sz w:val="20"/>
          <w:szCs w:val="20"/>
          <w:lang w:val="ru-RU"/>
        </w:rPr>
        <w:t>фенотиповою</w:t>
      </w:r>
      <w:proofErr w:type="spellEnd"/>
      <w:r w:rsidRPr="006E5AE7">
        <w:rPr>
          <w:color w:val="000000" w:themeColor="text1"/>
          <w:w w:val="110"/>
          <w:sz w:val="20"/>
          <w:szCs w:val="20"/>
          <w:lang w:val="ru-RU"/>
        </w:rPr>
        <w:t xml:space="preserve"> </w:t>
      </w:r>
      <w:r w:rsidRPr="000538EF">
        <w:rPr>
          <w:color w:val="000000" w:themeColor="text1"/>
          <w:w w:val="110"/>
          <w:sz w:val="20"/>
          <w:szCs w:val="20"/>
          <w:lang w:val="uk-UA"/>
        </w:rPr>
        <w:t>стійкістю</w:t>
      </w:r>
      <w:r w:rsidRPr="006E5AE7">
        <w:rPr>
          <w:color w:val="000000" w:themeColor="text1"/>
          <w:w w:val="110"/>
          <w:sz w:val="20"/>
          <w:szCs w:val="20"/>
          <w:lang w:val="ru-RU"/>
        </w:rPr>
        <w:t xml:space="preserve"> до ІПДР.</w:t>
      </w:r>
    </w:p>
    <w:p w14:paraId="5F316E1F" w14:textId="77777777" w:rsidR="00DE2E3D" w:rsidRPr="00D029FF" w:rsidRDefault="00DE2E3D" w:rsidP="004A2937">
      <w:pPr>
        <w:pStyle w:val="a4"/>
        <w:numPr>
          <w:ilvl w:val="0"/>
          <w:numId w:val="42"/>
        </w:numPr>
        <w:tabs>
          <w:tab w:val="left" w:pos="1701"/>
        </w:tabs>
        <w:spacing w:before="2" w:line="276" w:lineRule="auto"/>
        <w:ind w:right="4"/>
        <w:rPr>
          <w:color w:val="000000" w:themeColor="text1"/>
          <w:sz w:val="20"/>
          <w:szCs w:val="20"/>
          <w:lang w:val="ru-RU"/>
        </w:rPr>
      </w:pPr>
      <w:r w:rsidRPr="00D029FF">
        <w:rPr>
          <w:color w:val="000000" w:themeColor="text1"/>
          <w:w w:val="110"/>
          <w:sz w:val="20"/>
          <w:szCs w:val="20"/>
          <w:lang w:val="ru-RU"/>
        </w:rPr>
        <w:t xml:space="preserve">Враховуючи високу специфічність у виявленні </w:t>
      </w:r>
      <w:r w:rsidRPr="000538EF">
        <w:rPr>
          <w:color w:val="000000" w:themeColor="text1"/>
          <w:w w:val="110"/>
          <w:sz w:val="20"/>
          <w:szCs w:val="20"/>
          <w:lang w:val="uk-UA"/>
        </w:rPr>
        <w:t>стійкості</w:t>
      </w:r>
      <w:r w:rsidRPr="00D029FF">
        <w:rPr>
          <w:color w:val="000000" w:themeColor="text1"/>
          <w:w w:val="110"/>
          <w:sz w:val="20"/>
          <w:szCs w:val="20"/>
          <w:lang w:val="ru-RU"/>
        </w:rPr>
        <w:t xml:space="preserve"> до фторхінолонів та ІПДР, позитивні результати </w:t>
      </w:r>
      <w:r w:rsidRPr="000538EF">
        <w:rPr>
          <w:color w:val="000000" w:themeColor="text1"/>
          <w:w w:val="110"/>
          <w:sz w:val="20"/>
          <w:szCs w:val="20"/>
        </w:rPr>
        <w:t>SL</w:t>
      </w:r>
      <w:r w:rsidRPr="00D029FF">
        <w:rPr>
          <w:color w:val="000000" w:themeColor="text1"/>
          <w:w w:val="110"/>
          <w:sz w:val="20"/>
          <w:szCs w:val="20"/>
          <w:lang w:val="ru-RU"/>
        </w:rPr>
        <w:t>-</w:t>
      </w:r>
      <w:r w:rsidRPr="000538EF">
        <w:rPr>
          <w:color w:val="000000" w:themeColor="text1"/>
          <w:w w:val="110"/>
          <w:sz w:val="20"/>
          <w:szCs w:val="20"/>
        </w:rPr>
        <w:t>LPA</w:t>
      </w:r>
      <w:r w:rsidRPr="00D029FF">
        <w:rPr>
          <w:color w:val="000000" w:themeColor="text1"/>
          <w:w w:val="110"/>
          <w:sz w:val="20"/>
          <w:szCs w:val="20"/>
          <w:lang w:val="ru-RU"/>
        </w:rPr>
        <w:t xml:space="preserve"> можуть використовуватися для обґрунтування впровадження належних заходів інфекційного контролю.</w:t>
      </w:r>
    </w:p>
    <w:p w14:paraId="065A782D" w14:textId="77777777" w:rsidR="00DE2E3D" w:rsidRPr="00D029FF" w:rsidRDefault="00DE2E3D" w:rsidP="006E5AE7">
      <w:pPr>
        <w:pStyle w:val="a3"/>
        <w:spacing w:before="9"/>
        <w:ind w:right="4"/>
        <w:rPr>
          <w:sz w:val="19"/>
          <w:lang w:val="ru-RU"/>
        </w:rPr>
      </w:pPr>
    </w:p>
    <w:p w14:paraId="57C112D0" w14:textId="77777777" w:rsidR="00DE2E3D" w:rsidRPr="006B6651" w:rsidRDefault="00DE2E3D" w:rsidP="006E5AE7">
      <w:pPr>
        <w:pStyle w:val="5"/>
        <w:ind w:left="720" w:right="4"/>
        <w:jc w:val="both"/>
        <w:rPr>
          <w:sz w:val="24"/>
          <w:lang w:val="ru-RU"/>
        </w:rPr>
      </w:pPr>
      <w:proofErr w:type="spellStart"/>
      <w:r w:rsidRPr="006B6651">
        <w:rPr>
          <w:color w:val="019648"/>
          <w:w w:val="105"/>
          <w:sz w:val="24"/>
          <w:lang w:val="ru-RU"/>
        </w:rPr>
        <w:t>Опис</w:t>
      </w:r>
      <w:proofErr w:type="spellEnd"/>
      <w:r w:rsidRPr="006B6651">
        <w:rPr>
          <w:color w:val="019648"/>
          <w:w w:val="105"/>
          <w:sz w:val="24"/>
          <w:lang w:val="ru-RU"/>
        </w:rPr>
        <w:t xml:space="preserve"> тесту</w:t>
      </w:r>
    </w:p>
    <w:p w14:paraId="24FBA5CF" w14:textId="77777777" w:rsidR="00DE2E3D" w:rsidRPr="000538EF" w:rsidRDefault="00DE2E3D" w:rsidP="006E5AE7">
      <w:pPr>
        <w:pStyle w:val="a3"/>
        <w:spacing w:before="179" w:line="249" w:lineRule="auto"/>
        <w:ind w:left="720" w:right="4"/>
        <w:jc w:val="both"/>
        <w:rPr>
          <w:color w:val="000000" w:themeColor="text1"/>
          <w:sz w:val="20"/>
          <w:szCs w:val="20"/>
        </w:rPr>
      </w:pPr>
      <w:r w:rsidRPr="000538EF">
        <w:rPr>
          <w:color w:val="000000" w:themeColor="text1"/>
          <w:w w:val="110"/>
          <w:sz w:val="20"/>
          <w:szCs w:val="20"/>
        </w:rPr>
        <w:t>SL</w:t>
      </w:r>
      <w:r w:rsidRPr="006B6651">
        <w:rPr>
          <w:color w:val="000000" w:themeColor="text1"/>
          <w:w w:val="110"/>
          <w:sz w:val="20"/>
          <w:szCs w:val="20"/>
          <w:lang w:val="ru-RU"/>
        </w:rPr>
        <w:t>-</w:t>
      </w:r>
      <w:r w:rsidRPr="000538EF">
        <w:rPr>
          <w:color w:val="000000" w:themeColor="text1"/>
          <w:w w:val="110"/>
          <w:sz w:val="20"/>
          <w:szCs w:val="20"/>
        </w:rPr>
        <w:t>LPA</w:t>
      </w:r>
      <w:r w:rsidRPr="006B6651">
        <w:rPr>
          <w:color w:val="000000" w:themeColor="text1"/>
          <w:w w:val="110"/>
          <w:sz w:val="20"/>
          <w:szCs w:val="20"/>
          <w:lang w:val="ru-RU"/>
        </w:rPr>
        <w:t xml:space="preserve"> базу</w:t>
      </w:r>
      <w:r w:rsidRPr="000538EF">
        <w:rPr>
          <w:color w:val="000000" w:themeColor="text1"/>
          <w:w w:val="110"/>
          <w:sz w:val="20"/>
          <w:szCs w:val="20"/>
          <w:lang w:val="uk-UA"/>
        </w:rPr>
        <w:t>ю</w:t>
      </w:r>
      <w:proofErr w:type="spellStart"/>
      <w:r w:rsidRPr="006B6651">
        <w:rPr>
          <w:color w:val="000000" w:themeColor="text1"/>
          <w:w w:val="110"/>
          <w:sz w:val="20"/>
          <w:szCs w:val="20"/>
          <w:lang w:val="ru-RU"/>
        </w:rPr>
        <w:t>ться</w:t>
      </w:r>
      <w:proofErr w:type="spellEnd"/>
      <w:r w:rsidRPr="006B6651">
        <w:rPr>
          <w:color w:val="000000" w:themeColor="text1"/>
          <w:w w:val="110"/>
          <w:sz w:val="20"/>
          <w:szCs w:val="20"/>
          <w:lang w:val="ru-RU"/>
        </w:rPr>
        <w:t xml:space="preserve"> на тому ж </w:t>
      </w:r>
      <w:proofErr w:type="spellStart"/>
      <w:r w:rsidRPr="006B6651">
        <w:rPr>
          <w:color w:val="000000" w:themeColor="text1"/>
          <w:w w:val="110"/>
          <w:sz w:val="20"/>
          <w:szCs w:val="20"/>
          <w:lang w:val="ru-RU"/>
        </w:rPr>
        <w:t>принципі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що</w:t>
      </w:r>
      <w:proofErr w:type="spellEnd"/>
      <w:r w:rsidRPr="006B6651">
        <w:rPr>
          <w:color w:val="000000" w:themeColor="text1"/>
          <w:w w:val="110"/>
          <w:sz w:val="20"/>
          <w:szCs w:val="20"/>
          <w:lang w:val="ru-RU"/>
        </w:rPr>
        <w:t xml:space="preserve"> й </w:t>
      </w:r>
      <w:r w:rsidRPr="000538EF">
        <w:rPr>
          <w:color w:val="000000" w:themeColor="text1"/>
          <w:w w:val="110"/>
          <w:sz w:val="20"/>
          <w:szCs w:val="20"/>
        </w:rPr>
        <w:t>LPA</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першого</w:t>
      </w:r>
      <w:proofErr w:type="spellEnd"/>
      <w:r w:rsidRPr="006B6651">
        <w:rPr>
          <w:color w:val="000000" w:themeColor="text1"/>
          <w:w w:val="110"/>
          <w:sz w:val="20"/>
          <w:szCs w:val="20"/>
          <w:lang w:val="ru-RU"/>
        </w:rPr>
        <w:t xml:space="preserve"> ряду. Процедура </w:t>
      </w:r>
      <w:proofErr w:type="spellStart"/>
      <w:r w:rsidRPr="006B6651">
        <w:rPr>
          <w:color w:val="000000" w:themeColor="text1"/>
          <w:w w:val="110"/>
          <w:sz w:val="20"/>
          <w:szCs w:val="20"/>
          <w:lang w:val="ru-RU"/>
        </w:rPr>
        <w:t>аналізу</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може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виконуватися</w:t>
      </w:r>
      <w:proofErr w:type="spellEnd"/>
      <w:r w:rsidRPr="006B6651">
        <w:rPr>
          <w:color w:val="000000" w:themeColor="text1"/>
          <w:w w:val="110"/>
          <w:sz w:val="20"/>
          <w:szCs w:val="20"/>
          <w:lang w:val="ru-RU"/>
        </w:rPr>
        <w:t xml:space="preserve"> </w:t>
      </w:r>
      <w:r w:rsidRPr="000538EF">
        <w:rPr>
          <w:b/>
          <w:color w:val="000000" w:themeColor="text1"/>
          <w:w w:val="110"/>
          <w:sz w:val="20"/>
          <w:szCs w:val="20"/>
          <w:lang w:val="uk-UA"/>
        </w:rPr>
        <w:t>прямо</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використовуючи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оброблений</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зразок</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мокротиння</w:t>
      </w:r>
      <w:proofErr w:type="spellEnd"/>
      <w:r w:rsidRPr="006B6651">
        <w:rPr>
          <w:color w:val="000000" w:themeColor="text1"/>
          <w:w w:val="110"/>
          <w:sz w:val="20"/>
          <w:szCs w:val="20"/>
          <w:lang w:val="ru-RU"/>
        </w:rPr>
        <w:t xml:space="preserve">, або </w:t>
      </w:r>
      <w:r w:rsidRPr="006B6651">
        <w:rPr>
          <w:b/>
          <w:color w:val="000000" w:themeColor="text1"/>
          <w:w w:val="110"/>
          <w:sz w:val="20"/>
          <w:szCs w:val="20"/>
          <w:lang w:val="ru-RU"/>
        </w:rPr>
        <w:t>непрямо</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використовуючи</w:t>
      </w:r>
      <w:proofErr w:type="spellEnd"/>
      <w:r w:rsidRPr="006B6651">
        <w:rPr>
          <w:color w:val="000000" w:themeColor="text1"/>
          <w:w w:val="110"/>
          <w:sz w:val="20"/>
          <w:szCs w:val="20"/>
          <w:lang w:val="ru-RU"/>
        </w:rPr>
        <w:t xml:space="preserve"> ДНК, </w:t>
      </w:r>
      <w:r w:rsidRPr="000538EF">
        <w:rPr>
          <w:color w:val="000000" w:themeColor="text1"/>
          <w:w w:val="110"/>
          <w:sz w:val="20"/>
          <w:szCs w:val="20"/>
          <w:lang w:val="uk-UA"/>
        </w:rPr>
        <w:t xml:space="preserve">після </w:t>
      </w:r>
      <w:proofErr w:type="spellStart"/>
      <w:r w:rsidRPr="006B6651">
        <w:rPr>
          <w:color w:val="000000" w:themeColor="text1"/>
          <w:w w:val="110"/>
          <w:sz w:val="20"/>
          <w:szCs w:val="20"/>
          <w:lang w:val="ru-RU"/>
        </w:rPr>
        <w:t>виділен</w:t>
      </w:r>
      <w:proofErr w:type="spellEnd"/>
      <w:r w:rsidRPr="000538EF">
        <w:rPr>
          <w:color w:val="000000" w:themeColor="text1"/>
          <w:w w:val="110"/>
          <w:sz w:val="20"/>
          <w:szCs w:val="20"/>
          <w:lang w:val="uk-UA"/>
        </w:rPr>
        <w:t>ня</w:t>
      </w:r>
      <w:r w:rsidRPr="006B6651">
        <w:rPr>
          <w:color w:val="000000" w:themeColor="text1"/>
          <w:w w:val="110"/>
          <w:sz w:val="20"/>
          <w:szCs w:val="20"/>
          <w:lang w:val="ru-RU"/>
        </w:rPr>
        <w:t xml:space="preserve"> та </w:t>
      </w:r>
      <w:proofErr w:type="spellStart"/>
      <w:r w:rsidRPr="006B6651">
        <w:rPr>
          <w:color w:val="000000" w:themeColor="text1"/>
          <w:w w:val="110"/>
          <w:sz w:val="20"/>
          <w:szCs w:val="20"/>
          <w:lang w:val="ru-RU"/>
        </w:rPr>
        <w:t>ампліфік</w:t>
      </w:r>
      <w:r w:rsidRPr="000538EF">
        <w:rPr>
          <w:color w:val="000000" w:themeColor="text1"/>
          <w:w w:val="110"/>
          <w:sz w:val="20"/>
          <w:szCs w:val="20"/>
          <w:lang w:val="uk-UA"/>
        </w:rPr>
        <w:t>ації</w:t>
      </w:r>
      <w:proofErr w:type="spellEnd"/>
      <w:r w:rsidRPr="006B6651">
        <w:rPr>
          <w:color w:val="000000" w:themeColor="text1"/>
          <w:w w:val="110"/>
          <w:sz w:val="20"/>
          <w:szCs w:val="20"/>
          <w:lang w:val="ru-RU"/>
        </w:rPr>
        <w:t xml:space="preserve"> з </w:t>
      </w:r>
      <w:proofErr w:type="spellStart"/>
      <w:r w:rsidRPr="006B6651">
        <w:rPr>
          <w:color w:val="000000" w:themeColor="text1"/>
          <w:w w:val="110"/>
          <w:sz w:val="20"/>
          <w:szCs w:val="20"/>
          <w:lang w:val="ru-RU"/>
        </w:rPr>
        <w:t>культури</w:t>
      </w:r>
      <w:proofErr w:type="spellEnd"/>
      <w:r w:rsidRPr="006B6651">
        <w:rPr>
          <w:color w:val="000000" w:themeColor="text1"/>
          <w:w w:val="110"/>
          <w:sz w:val="20"/>
          <w:szCs w:val="20"/>
          <w:lang w:val="ru-RU"/>
        </w:rPr>
        <w:t xml:space="preserve"> </w:t>
      </w:r>
      <w:r w:rsidRPr="000538EF">
        <w:rPr>
          <w:i/>
          <w:color w:val="000000" w:themeColor="text1"/>
          <w:w w:val="110"/>
          <w:sz w:val="20"/>
          <w:szCs w:val="20"/>
        </w:rPr>
        <w:t>M</w:t>
      </w:r>
      <w:r w:rsidRPr="006B6651">
        <w:rPr>
          <w:i/>
          <w:color w:val="000000" w:themeColor="text1"/>
          <w:w w:val="110"/>
          <w:sz w:val="20"/>
          <w:szCs w:val="20"/>
          <w:lang w:val="ru-RU"/>
        </w:rPr>
        <w:t xml:space="preserve">. </w:t>
      </w:r>
      <w:r w:rsidRPr="000538EF">
        <w:rPr>
          <w:i/>
          <w:color w:val="000000" w:themeColor="text1"/>
          <w:w w:val="110"/>
          <w:sz w:val="20"/>
          <w:szCs w:val="20"/>
        </w:rPr>
        <w:t>tuberculosis</w:t>
      </w:r>
      <w:r w:rsidRPr="006B6651">
        <w:rPr>
          <w:color w:val="000000" w:themeColor="text1"/>
          <w:w w:val="110"/>
          <w:sz w:val="20"/>
          <w:szCs w:val="20"/>
          <w:lang w:val="ru-RU"/>
        </w:rPr>
        <w:t xml:space="preserve">. </w:t>
      </w:r>
      <w:proofErr w:type="spellStart"/>
      <w:r w:rsidRPr="000538EF">
        <w:rPr>
          <w:color w:val="000000" w:themeColor="text1"/>
          <w:w w:val="110"/>
          <w:sz w:val="20"/>
          <w:szCs w:val="20"/>
        </w:rPr>
        <w:t>Пряме</w:t>
      </w:r>
      <w:proofErr w:type="spellEnd"/>
      <w:r w:rsidRPr="000538EF">
        <w:rPr>
          <w:color w:val="000000" w:themeColor="text1"/>
          <w:w w:val="110"/>
          <w:sz w:val="20"/>
          <w:szCs w:val="20"/>
        </w:rPr>
        <w:t xml:space="preserve"> </w:t>
      </w:r>
      <w:proofErr w:type="spellStart"/>
      <w:r w:rsidRPr="000538EF">
        <w:rPr>
          <w:color w:val="000000" w:themeColor="text1"/>
          <w:w w:val="110"/>
          <w:sz w:val="20"/>
          <w:szCs w:val="20"/>
        </w:rPr>
        <w:t>тестування</w:t>
      </w:r>
      <w:proofErr w:type="spellEnd"/>
      <w:r w:rsidRPr="000538EF">
        <w:rPr>
          <w:color w:val="000000" w:themeColor="text1"/>
          <w:w w:val="110"/>
          <w:sz w:val="20"/>
          <w:szCs w:val="20"/>
        </w:rPr>
        <w:t xml:space="preserve"> </w:t>
      </w:r>
      <w:proofErr w:type="spellStart"/>
      <w:r w:rsidRPr="000538EF">
        <w:rPr>
          <w:color w:val="000000" w:themeColor="text1"/>
          <w:w w:val="110"/>
          <w:sz w:val="20"/>
          <w:szCs w:val="20"/>
        </w:rPr>
        <w:t>включає</w:t>
      </w:r>
      <w:proofErr w:type="spellEnd"/>
      <w:r w:rsidRPr="000538EF">
        <w:rPr>
          <w:color w:val="000000" w:themeColor="text1"/>
          <w:w w:val="110"/>
          <w:sz w:val="20"/>
          <w:szCs w:val="20"/>
        </w:rPr>
        <w:t xml:space="preserve"> </w:t>
      </w:r>
      <w:proofErr w:type="spellStart"/>
      <w:r w:rsidRPr="000538EF">
        <w:rPr>
          <w:color w:val="000000" w:themeColor="text1"/>
          <w:w w:val="110"/>
          <w:sz w:val="20"/>
          <w:szCs w:val="20"/>
        </w:rPr>
        <w:t>наступні</w:t>
      </w:r>
      <w:proofErr w:type="spellEnd"/>
      <w:r w:rsidRPr="000538EF">
        <w:rPr>
          <w:color w:val="000000" w:themeColor="text1"/>
          <w:w w:val="110"/>
          <w:sz w:val="20"/>
          <w:szCs w:val="20"/>
        </w:rPr>
        <w:t xml:space="preserve"> </w:t>
      </w:r>
      <w:proofErr w:type="spellStart"/>
      <w:r w:rsidRPr="000538EF">
        <w:rPr>
          <w:color w:val="000000" w:themeColor="text1"/>
          <w:w w:val="110"/>
          <w:sz w:val="20"/>
          <w:szCs w:val="20"/>
        </w:rPr>
        <w:t>етапи</w:t>
      </w:r>
      <w:proofErr w:type="spellEnd"/>
      <w:r w:rsidRPr="000538EF">
        <w:rPr>
          <w:color w:val="000000" w:themeColor="text1"/>
          <w:w w:val="110"/>
          <w:sz w:val="20"/>
          <w:szCs w:val="20"/>
        </w:rPr>
        <w:t>:</w:t>
      </w:r>
    </w:p>
    <w:p w14:paraId="6514AD6B" w14:textId="77777777" w:rsidR="00DE2E3D" w:rsidRPr="006B6651" w:rsidRDefault="00DE2E3D" w:rsidP="004A2937">
      <w:pPr>
        <w:pStyle w:val="a4"/>
        <w:numPr>
          <w:ilvl w:val="0"/>
          <w:numId w:val="38"/>
        </w:numPr>
        <w:tabs>
          <w:tab w:val="left" w:pos="1701"/>
        </w:tabs>
        <w:spacing w:before="117" w:line="276" w:lineRule="auto"/>
        <w:ind w:right="4"/>
        <w:rPr>
          <w:color w:val="000000" w:themeColor="text1"/>
          <w:sz w:val="20"/>
          <w:szCs w:val="20"/>
          <w:lang w:val="ru-RU"/>
        </w:rPr>
      </w:pPr>
      <w:proofErr w:type="spellStart"/>
      <w:r w:rsidRPr="006B6651">
        <w:rPr>
          <w:color w:val="000000" w:themeColor="text1"/>
          <w:w w:val="110"/>
          <w:sz w:val="20"/>
          <w:szCs w:val="20"/>
          <w:lang w:val="ru-RU"/>
        </w:rPr>
        <w:t>Деконтамінація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наприклад</w:t>
      </w:r>
      <w:proofErr w:type="spellEnd"/>
      <w:r w:rsidRPr="006B6651">
        <w:rPr>
          <w:color w:val="000000" w:themeColor="text1"/>
          <w:w w:val="110"/>
          <w:sz w:val="20"/>
          <w:szCs w:val="20"/>
          <w:lang w:val="ru-RU"/>
        </w:rPr>
        <w:t xml:space="preserve">, </w:t>
      </w:r>
      <w:r w:rsidRPr="000538EF">
        <w:rPr>
          <w:color w:val="000000" w:themeColor="text1"/>
          <w:w w:val="110"/>
          <w:sz w:val="20"/>
          <w:szCs w:val="20"/>
          <w:lang w:val="uk-UA"/>
        </w:rPr>
        <w:t xml:space="preserve">натрій </w:t>
      </w:r>
      <w:proofErr w:type="spellStart"/>
      <w:r w:rsidRPr="006B6651">
        <w:rPr>
          <w:color w:val="000000" w:themeColor="text1"/>
          <w:w w:val="110"/>
          <w:sz w:val="20"/>
          <w:szCs w:val="20"/>
          <w:lang w:val="ru-RU"/>
        </w:rPr>
        <w:t>гідроксидом</w:t>
      </w:r>
      <w:proofErr w:type="spellEnd"/>
      <w:r w:rsidRPr="006B6651">
        <w:rPr>
          <w:color w:val="000000" w:themeColor="text1"/>
          <w:w w:val="110"/>
          <w:sz w:val="20"/>
          <w:szCs w:val="20"/>
          <w:lang w:val="ru-RU"/>
        </w:rPr>
        <w:t xml:space="preserve">) та </w:t>
      </w:r>
      <w:proofErr w:type="spellStart"/>
      <w:r w:rsidRPr="006B6651">
        <w:rPr>
          <w:color w:val="000000" w:themeColor="text1"/>
          <w:w w:val="110"/>
          <w:sz w:val="20"/>
          <w:szCs w:val="20"/>
          <w:lang w:val="ru-RU"/>
        </w:rPr>
        <w:t>концентрування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зразка</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мокротиння</w:t>
      </w:r>
      <w:proofErr w:type="spellEnd"/>
      <w:r w:rsidRPr="006B6651">
        <w:rPr>
          <w:color w:val="000000" w:themeColor="text1"/>
          <w:w w:val="110"/>
          <w:sz w:val="20"/>
          <w:szCs w:val="20"/>
          <w:lang w:val="ru-RU"/>
        </w:rPr>
        <w:t xml:space="preserve"> шляхом </w:t>
      </w:r>
      <w:proofErr w:type="spellStart"/>
      <w:r w:rsidRPr="006B6651">
        <w:rPr>
          <w:color w:val="000000" w:themeColor="text1"/>
          <w:w w:val="110"/>
          <w:sz w:val="20"/>
          <w:szCs w:val="20"/>
          <w:lang w:val="ru-RU"/>
        </w:rPr>
        <w:t>центрифугування</w:t>
      </w:r>
      <w:proofErr w:type="spellEnd"/>
      <w:r w:rsidRPr="006B6651">
        <w:rPr>
          <w:color w:val="000000" w:themeColor="text1"/>
          <w:w w:val="110"/>
          <w:sz w:val="20"/>
          <w:szCs w:val="20"/>
          <w:lang w:val="ru-RU"/>
        </w:rPr>
        <w:t>.</w:t>
      </w:r>
    </w:p>
    <w:p w14:paraId="654DDD0D" w14:textId="77777777" w:rsidR="00DE2E3D" w:rsidRPr="000538EF" w:rsidRDefault="00DE2E3D" w:rsidP="004A2937">
      <w:pPr>
        <w:pStyle w:val="a4"/>
        <w:numPr>
          <w:ilvl w:val="0"/>
          <w:numId w:val="38"/>
        </w:numPr>
        <w:tabs>
          <w:tab w:val="left" w:pos="1701"/>
        </w:tabs>
        <w:spacing w:before="172"/>
        <w:ind w:right="4"/>
        <w:rPr>
          <w:color w:val="000000" w:themeColor="text1"/>
          <w:sz w:val="20"/>
          <w:szCs w:val="20"/>
        </w:rPr>
      </w:pPr>
      <w:proofErr w:type="spellStart"/>
      <w:r w:rsidRPr="000538EF">
        <w:rPr>
          <w:color w:val="000000" w:themeColor="text1"/>
          <w:w w:val="110"/>
          <w:sz w:val="20"/>
          <w:szCs w:val="20"/>
        </w:rPr>
        <w:t>Виділення</w:t>
      </w:r>
      <w:proofErr w:type="spellEnd"/>
      <w:r w:rsidRPr="000538EF">
        <w:rPr>
          <w:color w:val="000000" w:themeColor="text1"/>
          <w:w w:val="110"/>
          <w:sz w:val="20"/>
          <w:szCs w:val="20"/>
        </w:rPr>
        <w:t xml:space="preserve"> та </w:t>
      </w:r>
      <w:proofErr w:type="spellStart"/>
      <w:r w:rsidRPr="000538EF">
        <w:rPr>
          <w:color w:val="000000" w:themeColor="text1"/>
          <w:w w:val="110"/>
          <w:sz w:val="20"/>
          <w:szCs w:val="20"/>
        </w:rPr>
        <w:t>ампліфікація</w:t>
      </w:r>
      <w:proofErr w:type="spellEnd"/>
      <w:r w:rsidRPr="000538EF">
        <w:rPr>
          <w:color w:val="000000" w:themeColor="text1"/>
          <w:w w:val="110"/>
          <w:sz w:val="20"/>
          <w:szCs w:val="20"/>
        </w:rPr>
        <w:t xml:space="preserve"> ДНК.</w:t>
      </w:r>
    </w:p>
    <w:p w14:paraId="77262D3C" w14:textId="77777777" w:rsidR="00DE2E3D" w:rsidRPr="006B6651" w:rsidRDefault="00DE2E3D" w:rsidP="004A2937">
      <w:pPr>
        <w:pStyle w:val="a4"/>
        <w:numPr>
          <w:ilvl w:val="0"/>
          <w:numId w:val="38"/>
        </w:numPr>
        <w:tabs>
          <w:tab w:val="left" w:pos="1701"/>
        </w:tabs>
        <w:spacing w:before="212"/>
        <w:ind w:right="4"/>
        <w:jc w:val="left"/>
        <w:rPr>
          <w:color w:val="000000" w:themeColor="text1"/>
          <w:sz w:val="20"/>
          <w:szCs w:val="20"/>
          <w:lang w:val="ru-RU"/>
        </w:rPr>
      </w:pPr>
      <w:r w:rsidRPr="006B6651">
        <w:rPr>
          <w:color w:val="000000" w:themeColor="text1"/>
          <w:w w:val="110"/>
          <w:sz w:val="20"/>
          <w:szCs w:val="20"/>
          <w:lang w:val="ru-RU"/>
        </w:rPr>
        <w:t xml:space="preserve">Виявлення </w:t>
      </w:r>
      <w:proofErr w:type="spellStart"/>
      <w:r w:rsidRPr="006B6651">
        <w:rPr>
          <w:color w:val="000000" w:themeColor="text1"/>
          <w:w w:val="110"/>
          <w:sz w:val="20"/>
          <w:szCs w:val="20"/>
          <w:lang w:val="ru-RU"/>
        </w:rPr>
        <w:t>продуктів</w:t>
      </w:r>
      <w:proofErr w:type="spellEnd"/>
      <w:r w:rsidRPr="006B6651">
        <w:rPr>
          <w:color w:val="000000" w:themeColor="text1"/>
          <w:w w:val="110"/>
          <w:sz w:val="20"/>
          <w:szCs w:val="20"/>
          <w:lang w:val="ru-RU"/>
        </w:rPr>
        <w:t xml:space="preserve"> ампліфікації </w:t>
      </w:r>
      <w:r w:rsidRPr="000538EF">
        <w:rPr>
          <w:color w:val="000000" w:themeColor="text1"/>
          <w:w w:val="110"/>
          <w:sz w:val="20"/>
          <w:szCs w:val="20"/>
          <w:lang w:val="uk-UA"/>
        </w:rPr>
        <w:t>методом</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зворотної</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гібридизації</w:t>
      </w:r>
      <w:proofErr w:type="spellEnd"/>
      <w:r w:rsidRPr="006B6651">
        <w:rPr>
          <w:color w:val="000000" w:themeColor="text1"/>
          <w:w w:val="110"/>
          <w:sz w:val="20"/>
          <w:szCs w:val="20"/>
          <w:lang w:val="ru-RU"/>
        </w:rPr>
        <w:t>.</w:t>
      </w:r>
    </w:p>
    <w:p w14:paraId="0EA25E1F" w14:textId="77777777" w:rsidR="00DE2E3D" w:rsidRPr="006B6651" w:rsidRDefault="00DE2E3D" w:rsidP="004A2937">
      <w:pPr>
        <w:pStyle w:val="a4"/>
        <w:numPr>
          <w:ilvl w:val="0"/>
          <w:numId w:val="38"/>
        </w:numPr>
        <w:tabs>
          <w:tab w:val="left" w:pos="1701"/>
        </w:tabs>
        <w:spacing w:before="211"/>
        <w:ind w:right="4"/>
        <w:jc w:val="left"/>
        <w:rPr>
          <w:color w:val="000000" w:themeColor="text1"/>
          <w:sz w:val="20"/>
          <w:szCs w:val="20"/>
          <w:lang w:val="ru-RU"/>
        </w:rPr>
      </w:pPr>
      <w:proofErr w:type="spellStart"/>
      <w:r w:rsidRPr="006B6651">
        <w:rPr>
          <w:color w:val="000000" w:themeColor="text1"/>
          <w:w w:val="110"/>
          <w:sz w:val="20"/>
          <w:szCs w:val="20"/>
          <w:lang w:val="ru-RU"/>
        </w:rPr>
        <w:t>Візуалізація</w:t>
      </w:r>
      <w:proofErr w:type="spellEnd"/>
      <w:r w:rsidRPr="006B6651">
        <w:rPr>
          <w:color w:val="000000" w:themeColor="text1"/>
          <w:w w:val="110"/>
          <w:sz w:val="20"/>
          <w:szCs w:val="20"/>
          <w:lang w:val="ru-RU"/>
        </w:rPr>
        <w:t xml:space="preserve"> за </w:t>
      </w:r>
      <w:proofErr w:type="spellStart"/>
      <w:r w:rsidRPr="006B6651">
        <w:rPr>
          <w:color w:val="000000" w:themeColor="text1"/>
          <w:w w:val="110"/>
          <w:sz w:val="20"/>
          <w:szCs w:val="20"/>
          <w:lang w:val="ru-RU"/>
        </w:rPr>
        <w:t>допомогою</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кольорової</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реакції</w:t>
      </w:r>
      <w:proofErr w:type="spellEnd"/>
      <w:r w:rsidRPr="006B6651">
        <w:rPr>
          <w:color w:val="000000" w:themeColor="text1"/>
          <w:w w:val="110"/>
          <w:sz w:val="20"/>
          <w:szCs w:val="20"/>
          <w:lang w:val="ru-RU"/>
        </w:rPr>
        <w:t xml:space="preserve"> з </w:t>
      </w:r>
      <w:proofErr w:type="spellStart"/>
      <w:r w:rsidRPr="006B6651">
        <w:rPr>
          <w:color w:val="000000" w:themeColor="text1"/>
          <w:w w:val="110"/>
          <w:sz w:val="20"/>
          <w:szCs w:val="20"/>
          <w:lang w:val="ru-RU"/>
        </w:rPr>
        <w:t>лужною</w:t>
      </w:r>
      <w:proofErr w:type="spellEnd"/>
      <w:r w:rsidRPr="006B6651">
        <w:rPr>
          <w:color w:val="000000" w:themeColor="text1"/>
          <w:w w:val="110"/>
          <w:sz w:val="20"/>
          <w:szCs w:val="20"/>
          <w:lang w:val="ru-RU"/>
        </w:rPr>
        <w:t xml:space="preserve"> фосфатазою, </w:t>
      </w:r>
      <w:proofErr w:type="spellStart"/>
      <w:r w:rsidRPr="006B6651">
        <w:rPr>
          <w:color w:val="000000" w:themeColor="text1"/>
          <w:w w:val="110"/>
          <w:sz w:val="20"/>
          <w:szCs w:val="20"/>
          <w:lang w:val="ru-RU"/>
        </w:rPr>
        <w:t>кон'югованою</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стрептавідином</w:t>
      </w:r>
      <w:proofErr w:type="spellEnd"/>
      <w:r w:rsidRPr="006B6651">
        <w:rPr>
          <w:color w:val="000000" w:themeColor="text1"/>
          <w:w w:val="110"/>
          <w:sz w:val="20"/>
          <w:szCs w:val="20"/>
          <w:lang w:val="ru-RU"/>
        </w:rPr>
        <w:t>.</w:t>
      </w:r>
    </w:p>
    <w:p w14:paraId="0601808A" w14:textId="77777777" w:rsidR="00DE2E3D" w:rsidRPr="001C29EA" w:rsidRDefault="00DE2E3D" w:rsidP="006E5AE7">
      <w:pPr>
        <w:pStyle w:val="a3"/>
        <w:spacing w:before="212" w:line="276" w:lineRule="auto"/>
        <w:ind w:left="720" w:right="4"/>
        <w:jc w:val="both"/>
        <w:rPr>
          <w:color w:val="000000" w:themeColor="text1"/>
          <w:sz w:val="20"/>
          <w:szCs w:val="20"/>
          <w:lang w:val="uk-UA"/>
        </w:rPr>
      </w:pPr>
      <w:proofErr w:type="spellStart"/>
      <w:r w:rsidRPr="006B6651">
        <w:rPr>
          <w:color w:val="000000" w:themeColor="text1"/>
          <w:w w:val="110"/>
          <w:sz w:val="20"/>
          <w:szCs w:val="20"/>
          <w:lang w:val="ru-RU"/>
        </w:rPr>
        <w:t>Непряме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тестування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включає</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лише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етапи</w:t>
      </w:r>
      <w:proofErr w:type="spellEnd"/>
      <w:r w:rsidRPr="006B6651">
        <w:rPr>
          <w:color w:val="000000" w:themeColor="text1"/>
          <w:w w:val="110"/>
          <w:sz w:val="20"/>
          <w:szCs w:val="20"/>
          <w:lang w:val="ru-RU"/>
        </w:rPr>
        <w:t xml:space="preserve"> 2–4.</w:t>
      </w:r>
      <w:r w:rsidRPr="000538EF">
        <w:rPr>
          <w:color w:val="000000" w:themeColor="text1"/>
          <w:w w:val="110"/>
          <w:sz w:val="20"/>
          <w:szCs w:val="20"/>
          <w:lang w:val="uk-UA"/>
        </w:rPr>
        <w:t xml:space="preserve"> С</w:t>
      </w:r>
      <w:r w:rsidRPr="00DE2E3D">
        <w:rPr>
          <w:color w:val="000000" w:themeColor="text1"/>
          <w:w w:val="110"/>
          <w:sz w:val="20"/>
          <w:szCs w:val="20"/>
          <w:lang w:val="uk-UA"/>
        </w:rPr>
        <w:t>постер</w:t>
      </w:r>
      <w:r w:rsidRPr="000538EF">
        <w:rPr>
          <w:color w:val="000000" w:themeColor="text1"/>
          <w:w w:val="110"/>
          <w:sz w:val="20"/>
          <w:szCs w:val="20"/>
          <w:lang w:val="uk-UA"/>
        </w:rPr>
        <w:t>ігаючи за</w:t>
      </w:r>
      <w:r w:rsidRPr="00DE2E3D">
        <w:rPr>
          <w:color w:val="000000" w:themeColor="text1"/>
          <w:w w:val="110"/>
          <w:sz w:val="20"/>
          <w:szCs w:val="20"/>
          <w:lang w:val="uk-UA"/>
        </w:rPr>
        <w:t xml:space="preserve"> смугами, кожна з яких відповідає зонду дикого типу або генотипу </w:t>
      </w:r>
      <w:r w:rsidRPr="000538EF">
        <w:rPr>
          <w:color w:val="000000" w:themeColor="text1"/>
          <w:w w:val="110"/>
          <w:sz w:val="20"/>
          <w:szCs w:val="20"/>
          <w:lang w:val="uk-UA"/>
        </w:rPr>
        <w:t>стійкості</w:t>
      </w:r>
      <w:r w:rsidRPr="00DE2E3D">
        <w:rPr>
          <w:color w:val="000000" w:themeColor="text1"/>
          <w:w w:val="110"/>
          <w:sz w:val="20"/>
          <w:szCs w:val="20"/>
          <w:lang w:val="uk-UA"/>
        </w:rPr>
        <w:t xml:space="preserve">, можна визначити профіль </w:t>
      </w:r>
      <w:r w:rsidRPr="000538EF">
        <w:rPr>
          <w:color w:val="000000" w:themeColor="text1"/>
          <w:w w:val="110"/>
          <w:sz w:val="20"/>
          <w:szCs w:val="20"/>
          <w:lang w:val="uk-UA"/>
        </w:rPr>
        <w:t xml:space="preserve">лікарської </w:t>
      </w:r>
      <w:r w:rsidRPr="00DE2E3D">
        <w:rPr>
          <w:color w:val="000000" w:themeColor="text1"/>
          <w:w w:val="110"/>
          <w:sz w:val="20"/>
          <w:szCs w:val="20"/>
          <w:lang w:val="uk-UA"/>
        </w:rPr>
        <w:t xml:space="preserve">чутливості аналізованого зразка. Аналіз можна виконати </w:t>
      </w:r>
      <w:r w:rsidRPr="000538EF">
        <w:rPr>
          <w:color w:val="000000" w:themeColor="text1"/>
          <w:w w:val="110"/>
          <w:sz w:val="20"/>
          <w:szCs w:val="20"/>
          <w:lang w:val="uk-UA"/>
        </w:rPr>
        <w:t xml:space="preserve">протягом </w:t>
      </w:r>
      <w:r w:rsidRPr="00DE2E3D">
        <w:rPr>
          <w:color w:val="000000" w:themeColor="text1"/>
          <w:w w:val="110"/>
          <w:sz w:val="20"/>
          <w:szCs w:val="20"/>
          <w:lang w:val="uk-UA"/>
        </w:rPr>
        <w:t xml:space="preserve">одного робочого дня. </w:t>
      </w:r>
      <w:proofErr w:type="spellStart"/>
      <w:r w:rsidRPr="006B6651">
        <w:rPr>
          <w:color w:val="000000" w:themeColor="text1"/>
          <w:w w:val="110"/>
          <w:sz w:val="20"/>
          <w:szCs w:val="20"/>
          <w:lang w:val="ru-RU"/>
        </w:rPr>
        <w:t>Докладніша</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інформація</w:t>
      </w:r>
      <w:proofErr w:type="spellEnd"/>
      <w:r w:rsidRPr="006B6651">
        <w:rPr>
          <w:color w:val="000000" w:themeColor="text1"/>
          <w:w w:val="110"/>
          <w:sz w:val="20"/>
          <w:szCs w:val="20"/>
          <w:lang w:val="ru-RU"/>
        </w:rPr>
        <w:t xml:space="preserve"> щодо </w:t>
      </w:r>
      <w:proofErr w:type="spellStart"/>
      <w:r w:rsidRPr="006B6651">
        <w:rPr>
          <w:color w:val="000000" w:themeColor="text1"/>
          <w:w w:val="110"/>
          <w:sz w:val="20"/>
          <w:szCs w:val="20"/>
          <w:lang w:val="ru-RU"/>
        </w:rPr>
        <w:t>процесу</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тестування</w:t>
      </w:r>
      <w:proofErr w:type="spellEnd"/>
      <w:r w:rsidRPr="006B6651">
        <w:rPr>
          <w:color w:val="000000" w:themeColor="text1"/>
          <w:w w:val="110"/>
          <w:sz w:val="20"/>
          <w:szCs w:val="20"/>
          <w:lang w:val="ru-RU"/>
        </w:rPr>
        <w:t xml:space="preserve"> та практична </w:t>
      </w:r>
      <w:proofErr w:type="spellStart"/>
      <w:r w:rsidRPr="006B6651">
        <w:rPr>
          <w:color w:val="000000" w:themeColor="text1"/>
          <w:w w:val="110"/>
          <w:sz w:val="20"/>
          <w:szCs w:val="20"/>
          <w:lang w:val="ru-RU"/>
        </w:rPr>
        <w:t>підтримка</w:t>
      </w:r>
      <w:proofErr w:type="spellEnd"/>
      <w:r w:rsidRPr="006B6651">
        <w:rPr>
          <w:color w:val="000000" w:themeColor="text1"/>
          <w:w w:val="110"/>
          <w:sz w:val="20"/>
          <w:szCs w:val="20"/>
          <w:lang w:val="ru-RU"/>
        </w:rPr>
        <w:t xml:space="preserve"> щодо </w:t>
      </w:r>
      <w:proofErr w:type="spellStart"/>
      <w:r w:rsidRPr="006B6651">
        <w:rPr>
          <w:color w:val="000000" w:themeColor="text1"/>
          <w:w w:val="110"/>
          <w:sz w:val="20"/>
          <w:szCs w:val="20"/>
          <w:lang w:val="ru-RU"/>
        </w:rPr>
        <w:t>впровадження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міститься</w:t>
      </w:r>
      <w:proofErr w:type="spellEnd"/>
      <w:r w:rsidRPr="006B6651">
        <w:rPr>
          <w:color w:val="000000" w:themeColor="text1"/>
          <w:w w:val="110"/>
          <w:sz w:val="20"/>
          <w:szCs w:val="20"/>
          <w:lang w:val="ru-RU"/>
        </w:rPr>
        <w:t xml:space="preserve"> в «</w:t>
      </w:r>
      <w:r w:rsidRPr="007A088B">
        <w:rPr>
          <w:color w:val="000000" w:themeColor="text1"/>
          <w:w w:val="110"/>
          <w:sz w:val="20"/>
          <w:szCs w:val="20"/>
          <w:lang w:val="uk-UA"/>
        </w:rPr>
        <w:t>Практичному</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посібнику</w:t>
      </w:r>
      <w:proofErr w:type="spellEnd"/>
      <w:r w:rsidRPr="006B6651">
        <w:rPr>
          <w:color w:val="000000" w:themeColor="text1"/>
          <w:w w:val="110"/>
          <w:sz w:val="20"/>
          <w:szCs w:val="20"/>
          <w:lang w:val="ru-RU"/>
        </w:rPr>
        <w:t xml:space="preserve"> ВООЗ. Модуль 3: </w:t>
      </w:r>
      <w:proofErr w:type="spellStart"/>
      <w:r w:rsidRPr="006B6651">
        <w:rPr>
          <w:color w:val="000000" w:themeColor="text1"/>
          <w:w w:val="110"/>
          <w:sz w:val="20"/>
          <w:szCs w:val="20"/>
          <w:lang w:val="ru-RU"/>
        </w:rPr>
        <w:t>Діагностика</w:t>
      </w:r>
      <w:proofErr w:type="spellEnd"/>
      <w:r w:rsidRPr="006B6651">
        <w:rPr>
          <w:color w:val="000000" w:themeColor="text1"/>
          <w:w w:val="110"/>
          <w:sz w:val="20"/>
          <w:szCs w:val="20"/>
          <w:lang w:val="ru-RU"/>
        </w:rPr>
        <w:t>»</w:t>
      </w:r>
      <w:r w:rsidRPr="007A088B">
        <w:rPr>
          <w:color w:val="000000" w:themeColor="text1"/>
          <w:w w:val="110"/>
          <w:sz w:val="20"/>
          <w:szCs w:val="20"/>
          <w:lang w:val="uk-UA"/>
        </w:rPr>
        <w:t xml:space="preserve"> (WHO </w:t>
      </w:r>
      <w:proofErr w:type="spellStart"/>
      <w:r w:rsidRPr="007A088B">
        <w:rPr>
          <w:color w:val="000000" w:themeColor="text1"/>
          <w:w w:val="110"/>
          <w:sz w:val="20"/>
          <w:szCs w:val="20"/>
          <w:lang w:val="uk-UA"/>
        </w:rPr>
        <w:t>operational</w:t>
      </w:r>
      <w:proofErr w:type="spellEnd"/>
      <w:r w:rsidRPr="007A088B">
        <w:rPr>
          <w:color w:val="000000" w:themeColor="text1"/>
          <w:w w:val="110"/>
          <w:sz w:val="20"/>
          <w:szCs w:val="20"/>
          <w:lang w:val="uk-UA"/>
        </w:rPr>
        <w:t xml:space="preserve"> </w:t>
      </w:r>
      <w:proofErr w:type="spellStart"/>
      <w:r w:rsidRPr="007A088B">
        <w:rPr>
          <w:color w:val="000000" w:themeColor="text1"/>
          <w:w w:val="110"/>
          <w:sz w:val="20"/>
          <w:szCs w:val="20"/>
          <w:lang w:val="uk-UA"/>
        </w:rPr>
        <w:t>handbook</w:t>
      </w:r>
      <w:proofErr w:type="spellEnd"/>
      <w:r w:rsidRPr="007A088B">
        <w:rPr>
          <w:color w:val="000000" w:themeColor="text1"/>
          <w:w w:val="110"/>
          <w:sz w:val="20"/>
          <w:szCs w:val="20"/>
          <w:lang w:val="uk-UA"/>
        </w:rPr>
        <w:t xml:space="preserve">. </w:t>
      </w:r>
      <w:proofErr w:type="spellStart"/>
      <w:r w:rsidRPr="007A088B">
        <w:rPr>
          <w:color w:val="000000" w:themeColor="text1"/>
          <w:w w:val="110"/>
          <w:sz w:val="20"/>
          <w:szCs w:val="20"/>
          <w:lang w:val="uk-UA"/>
        </w:rPr>
        <w:t>Module</w:t>
      </w:r>
      <w:proofErr w:type="spellEnd"/>
      <w:r w:rsidRPr="007A088B">
        <w:rPr>
          <w:color w:val="000000" w:themeColor="text1"/>
          <w:w w:val="110"/>
          <w:sz w:val="20"/>
          <w:szCs w:val="20"/>
          <w:lang w:val="uk-UA"/>
        </w:rPr>
        <w:t xml:space="preserve"> 3: </w:t>
      </w:r>
      <w:proofErr w:type="spellStart"/>
      <w:r w:rsidRPr="007A088B">
        <w:rPr>
          <w:color w:val="000000" w:themeColor="text1"/>
          <w:w w:val="110"/>
          <w:sz w:val="20"/>
          <w:szCs w:val="20"/>
          <w:lang w:val="uk-UA"/>
        </w:rPr>
        <w:t>diagnosis</w:t>
      </w:r>
      <w:proofErr w:type="spellEnd"/>
      <w:r w:rsidRPr="007A088B">
        <w:rPr>
          <w:color w:val="000000" w:themeColor="text1"/>
          <w:w w:val="110"/>
          <w:sz w:val="20"/>
          <w:szCs w:val="20"/>
          <w:lang w:val="uk-UA"/>
        </w:rPr>
        <w:t>.)</w:t>
      </w:r>
    </w:p>
    <w:p w14:paraId="02ACE73B" w14:textId="77777777" w:rsidR="00DE2E3D" w:rsidRPr="006B6651" w:rsidRDefault="00DE2E3D" w:rsidP="006E5AE7">
      <w:pPr>
        <w:pStyle w:val="a3"/>
        <w:spacing w:before="176" w:line="276" w:lineRule="auto"/>
        <w:ind w:left="720" w:right="4"/>
        <w:jc w:val="both"/>
        <w:rPr>
          <w:color w:val="000000" w:themeColor="text1"/>
          <w:sz w:val="20"/>
          <w:szCs w:val="20"/>
          <w:lang w:val="ru-RU"/>
        </w:rPr>
      </w:pPr>
      <w:r w:rsidRPr="000538EF">
        <w:rPr>
          <w:color w:val="000000" w:themeColor="text1"/>
          <w:w w:val="110"/>
          <w:sz w:val="20"/>
          <w:szCs w:val="20"/>
          <w:lang w:val="uk-UA"/>
        </w:rPr>
        <w:t>Д</w:t>
      </w:r>
      <w:proofErr w:type="spellStart"/>
      <w:r w:rsidRPr="006B6651">
        <w:rPr>
          <w:color w:val="000000" w:themeColor="text1"/>
          <w:w w:val="110"/>
          <w:sz w:val="20"/>
          <w:szCs w:val="20"/>
          <w:lang w:val="ru-RU"/>
        </w:rPr>
        <w:t>осліджувани</w:t>
      </w:r>
      <w:proofErr w:type="spellEnd"/>
      <w:r w:rsidRPr="000538EF">
        <w:rPr>
          <w:color w:val="000000" w:themeColor="text1"/>
          <w:w w:val="110"/>
          <w:sz w:val="20"/>
          <w:szCs w:val="20"/>
          <w:lang w:val="uk-UA"/>
        </w:rPr>
        <w:t>м</w:t>
      </w:r>
      <w:r w:rsidRPr="006B6651">
        <w:rPr>
          <w:color w:val="000000" w:themeColor="text1"/>
          <w:w w:val="110"/>
          <w:sz w:val="20"/>
          <w:szCs w:val="20"/>
          <w:lang w:val="ru-RU"/>
        </w:rPr>
        <w:t xml:space="preserve"> тест</w:t>
      </w:r>
      <w:proofErr w:type="spellStart"/>
      <w:r w:rsidRPr="000538EF">
        <w:rPr>
          <w:color w:val="000000" w:themeColor="text1"/>
          <w:w w:val="110"/>
          <w:sz w:val="20"/>
          <w:szCs w:val="20"/>
          <w:lang w:val="uk-UA"/>
        </w:rPr>
        <w:t>ом</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w:t>
      </w:r>
      <w:proofErr w:type="spellEnd"/>
      <w:r w:rsidRPr="000538EF">
        <w:rPr>
          <w:color w:val="000000" w:themeColor="text1"/>
          <w:w w:val="110"/>
          <w:sz w:val="20"/>
          <w:szCs w:val="20"/>
          <w:lang w:val="uk-UA"/>
        </w:rPr>
        <w:t>ступа</w:t>
      </w:r>
      <w:r>
        <w:rPr>
          <w:color w:val="000000" w:themeColor="text1"/>
          <w:w w:val="110"/>
          <w:sz w:val="20"/>
          <w:szCs w:val="20"/>
          <w:lang w:val="uk-UA"/>
        </w:rPr>
        <w:t>в</w:t>
      </w:r>
      <w:r w:rsidRPr="006B6651">
        <w:rPr>
          <w:color w:val="000000" w:themeColor="text1"/>
          <w:w w:val="110"/>
          <w:sz w:val="20"/>
          <w:szCs w:val="20"/>
          <w:lang w:val="ru-RU"/>
        </w:rPr>
        <w:t xml:space="preserve"> </w:t>
      </w:r>
      <w:r w:rsidRPr="000538EF">
        <w:rPr>
          <w:color w:val="000000" w:themeColor="text1"/>
          <w:w w:val="110"/>
          <w:sz w:val="20"/>
          <w:szCs w:val="20"/>
        </w:rPr>
        <w:t>MTBDR</w:t>
      </w:r>
      <w:r w:rsidRPr="000538EF">
        <w:rPr>
          <w:i/>
          <w:color w:val="000000" w:themeColor="text1"/>
          <w:w w:val="110"/>
          <w:sz w:val="20"/>
          <w:szCs w:val="20"/>
        </w:rPr>
        <w:t>sl</w:t>
      </w:r>
      <w:r w:rsidRPr="006B6651">
        <w:rPr>
          <w:color w:val="000000" w:themeColor="text1"/>
          <w:w w:val="110"/>
          <w:sz w:val="20"/>
          <w:szCs w:val="20"/>
          <w:lang w:val="ru-RU"/>
        </w:rPr>
        <w:t>.</w:t>
      </w:r>
      <w:r>
        <w:rPr>
          <w:color w:val="000000" w:themeColor="text1"/>
          <w:w w:val="110"/>
          <w:sz w:val="20"/>
          <w:szCs w:val="20"/>
          <w:lang w:val="uk-UA"/>
        </w:rPr>
        <w:t xml:space="preserve">, </w:t>
      </w:r>
      <w:r w:rsidRPr="007A088B">
        <w:rPr>
          <w:color w:val="000000" w:themeColor="text1"/>
          <w:w w:val="110"/>
          <w:sz w:val="20"/>
          <w:szCs w:val="20"/>
          <w:lang w:val="uk-UA"/>
        </w:rPr>
        <w:t>версії 1.0 та 2.0</w:t>
      </w:r>
      <w:r>
        <w:rPr>
          <w:color w:val="000000" w:themeColor="text1"/>
          <w:w w:val="110"/>
          <w:sz w:val="20"/>
          <w:szCs w:val="20"/>
          <w:lang w:val="uk-UA"/>
        </w:rPr>
        <w:t>.</w:t>
      </w:r>
      <w:r w:rsidRPr="007A088B">
        <w:rPr>
          <w:color w:val="000000" w:themeColor="text1"/>
          <w:w w:val="110"/>
          <w:sz w:val="20"/>
          <w:szCs w:val="20"/>
          <w:lang w:val="uk-UA"/>
        </w:rPr>
        <w:t xml:space="preserve"> </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Ці</w:t>
      </w:r>
      <w:proofErr w:type="spellEnd"/>
      <w:r w:rsidRPr="006B6651">
        <w:rPr>
          <w:color w:val="000000" w:themeColor="text1"/>
          <w:w w:val="110"/>
          <w:sz w:val="20"/>
          <w:szCs w:val="20"/>
          <w:lang w:val="ru-RU"/>
        </w:rPr>
        <w:t xml:space="preserve"> </w:t>
      </w:r>
      <w:r w:rsidRPr="000538EF">
        <w:rPr>
          <w:color w:val="000000" w:themeColor="text1"/>
          <w:w w:val="110"/>
          <w:sz w:val="20"/>
          <w:szCs w:val="20"/>
        </w:rPr>
        <w:t>SL</w:t>
      </w:r>
      <w:r w:rsidRPr="006B6651">
        <w:rPr>
          <w:color w:val="000000" w:themeColor="text1"/>
          <w:w w:val="110"/>
          <w:sz w:val="20"/>
          <w:szCs w:val="20"/>
          <w:lang w:val="ru-RU"/>
        </w:rPr>
        <w:t>-</w:t>
      </w:r>
      <w:r w:rsidRPr="000538EF">
        <w:rPr>
          <w:color w:val="000000" w:themeColor="text1"/>
          <w:w w:val="110"/>
          <w:sz w:val="20"/>
          <w:szCs w:val="20"/>
        </w:rPr>
        <w:t>LPA</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виявляють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специфічні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мутації</w:t>
      </w:r>
      <w:proofErr w:type="spellEnd"/>
      <w:r w:rsidRPr="006B6651">
        <w:rPr>
          <w:color w:val="000000" w:themeColor="text1"/>
          <w:w w:val="110"/>
          <w:sz w:val="20"/>
          <w:szCs w:val="20"/>
          <w:lang w:val="ru-RU"/>
        </w:rPr>
        <w:t xml:space="preserve">, </w:t>
      </w:r>
      <w:proofErr w:type="spellStart"/>
      <w:r w:rsidRPr="000538EF">
        <w:rPr>
          <w:color w:val="000000" w:themeColor="text1"/>
          <w:w w:val="110"/>
          <w:sz w:val="20"/>
          <w:szCs w:val="20"/>
          <w:lang w:val="uk-UA"/>
        </w:rPr>
        <w:t>пов</w:t>
      </w:r>
      <w:proofErr w:type="spellEnd"/>
      <w:r w:rsidRPr="006B6651">
        <w:rPr>
          <w:color w:val="000000" w:themeColor="text1"/>
          <w:w w:val="110"/>
          <w:sz w:val="20"/>
          <w:szCs w:val="20"/>
          <w:lang w:val="ru-RU"/>
        </w:rPr>
        <w:t>’</w:t>
      </w:r>
      <w:proofErr w:type="spellStart"/>
      <w:r w:rsidRPr="000538EF">
        <w:rPr>
          <w:color w:val="000000" w:themeColor="text1"/>
          <w:w w:val="110"/>
          <w:sz w:val="20"/>
          <w:szCs w:val="20"/>
          <w:lang w:val="uk-UA"/>
        </w:rPr>
        <w:t>язані</w:t>
      </w:r>
      <w:proofErr w:type="spellEnd"/>
      <w:r w:rsidRPr="006B6651">
        <w:rPr>
          <w:color w:val="000000" w:themeColor="text1"/>
          <w:w w:val="110"/>
          <w:sz w:val="20"/>
          <w:szCs w:val="20"/>
          <w:lang w:val="ru-RU"/>
        </w:rPr>
        <w:t xml:space="preserve"> з</w:t>
      </w:r>
      <w:r w:rsidRPr="000538EF">
        <w:rPr>
          <w:color w:val="000000" w:themeColor="text1"/>
          <w:w w:val="110"/>
          <w:sz w:val="20"/>
          <w:szCs w:val="20"/>
          <w:lang w:val="uk-UA"/>
        </w:rPr>
        <w:t xml:space="preserve">і стійкістю </w:t>
      </w:r>
      <w:r w:rsidRPr="006B6651">
        <w:rPr>
          <w:color w:val="000000" w:themeColor="text1"/>
          <w:w w:val="110"/>
          <w:sz w:val="20"/>
          <w:szCs w:val="20"/>
          <w:lang w:val="ru-RU"/>
        </w:rPr>
        <w:t xml:space="preserve">до </w:t>
      </w:r>
      <w:proofErr w:type="spellStart"/>
      <w:r w:rsidRPr="006B6651">
        <w:rPr>
          <w:color w:val="000000" w:themeColor="text1"/>
          <w:w w:val="110"/>
          <w:sz w:val="20"/>
          <w:szCs w:val="20"/>
          <w:lang w:val="ru-RU"/>
        </w:rPr>
        <w:t>класу</w:t>
      </w:r>
      <w:proofErr w:type="spellEnd"/>
      <w:r w:rsidRPr="006B6651">
        <w:rPr>
          <w:color w:val="000000" w:themeColor="text1"/>
          <w:w w:val="110"/>
          <w:sz w:val="20"/>
          <w:szCs w:val="20"/>
          <w:lang w:val="ru-RU"/>
        </w:rPr>
        <w:t xml:space="preserve"> фторхінолонів (включаючи </w:t>
      </w:r>
      <w:proofErr w:type="spellStart"/>
      <w:r w:rsidRPr="006B6651">
        <w:rPr>
          <w:color w:val="000000" w:themeColor="text1"/>
          <w:w w:val="110"/>
          <w:sz w:val="20"/>
          <w:szCs w:val="20"/>
          <w:lang w:val="ru-RU"/>
        </w:rPr>
        <w:t>офлоксацин</w:t>
      </w:r>
      <w:proofErr w:type="spellEnd"/>
      <w:r w:rsidRPr="006B6651">
        <w:rPr>
          <w:color w:val="000000" w:themeColor="text1"/>
          <w:w w:val="110"/>
          <w:sz w:val="20"/>
          <w:szCs w:val="20"/>
          <w:lang w:val="ru-RU"/>
        </w:rPr>
        <w:t xml:space="preserve">, левофлоксацин, моксифлоксацин та </w:t>
      </w:r>
      <w:proofErr w:type="spellStart"/>
      <w:r w:rsidRPr="006B6651">
        <w:rPr>
          <w:color w:val="000000" w:themeColor="text1"/>
          <w:w w:val="110"/>
          <w:sz w:val="20"/>
          <w:szCs w:val="20"/>
          <w:lang w:val="ru-RU"/>
        </w:rPr>
        <w:t>гатифлоксацин</w:t>
      </w:r>
      <w:proofErr w:type="spellEnd"/>
      <w:r w:rsidRPr="006B6651">
        <w:rPr>
          <w:color w:val="000000" w:themeColor="text1"/>
          <w:w w:val="110"/>
          <w:sz w:val="20"/>
          <w:szCs w:val="20"/>
          <w:lang w:val="ru-RU"/>
        </w:rPr>
        <w:t xml:space="preserve">) та ІПДР </w:t>
      </w:r>
      <w:r w:rsidRPr="000538EF">
        <w:rPr>
          <w:color w:val="000000" w:themeColor="text1"/>
          <w:w w:val="110"/>
          <w:sz w:val="20"/>
          <w:szCs w:val="20"/>
          <w:lang w:val="uk-UA"/>
        </w:rPr>
        <w:t>(</w:t>
      </w:r>
      <w:r w:rsidRPr="006B6651">
        <w:rPr>
          <w:color w:val="000000" w:themeColor="text1"/>
          <w:w w:val="110"/>
          <w:sz w:val="20"/>
          <w:szCs w:val="20"/>
          <w:lang w:val="ru-RU"/>
        </w:rPr>
        <w:t xml:space="preserve">включаючи канаміцин, амікацин та капреоміцин) у МБТК. </w:t>
      </w:r>
      <w:r w:rsidRPr="000538EF">
        <w:rPr>
          <w:color w:val="000000" w:themeColor="text1"/>
          <w:w w:val="110"/>
          <w:sz w:val="20"/>
          <w:szCs w:val="20"/>
          <w:lang w:val="uk-UA"/>
        </w:rPr>
        <w:t xml:space="preserve">Версія 1.0 </w:t>
      </w:r>
      <w:proofErr w:type="spellStart"/>
      <w:r w:rsidRPr="006B6651">
        <w:rPr>
          <w:color w:val="000000" w:themeColor="text1"/>
          <w:w w:val="110"/>
          <w:sz w:val="20"/>
          <w:szCs w:val="20"/>
          <w:lang w:val="ru-RU"/>
        </w:rPr>
        <w:t>виявляє</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мутації</w:t>
      </w:r>
      <w:proofErr w:type="spellEnd"/>
      <w:r w:rsidRPr="006B6651">
        <w:rPr>
          <w:color w:val="000000" w:themeColor="text1"/>
          <w:w w:val="110"/>
          <w:sz w:val="20"/>
          <w:szCs w:val="20"/>
          <w:lang w:val="ru-RU"/>
        </w:rPr>
        <w:t xml:space="preserve"> у </w:t>
      </w:r>
      <w:proofErr w:type="spellStart"/>
      <w:r w:rsidRPr="006B6651">
        <w:rPr>
          <w:color w:val="000000" w:themeColor="text1"/>
          <w:w w:val="110"/>
          <w:sz w:val="20"/>
          <w:szCs w:val="20"/>
          <w:lang w:val="ru-RU"/>
        </w:rPr>
        <w:t>ділянці</w:t>
      </w:r>
      <w:proofErr w:type="spellEnd"/>
      <w:r w:rsidRPr="006B6651">
        <w:rPr>
          <w:color w:val="000000" w:themeColor="text1"/>
          <w:w w:val="110"/>
          <w:sz w:val="20"/>
          <w:szCs w:val="20"/>
          <w:lang w:val="ru-RU"/>
        </w:rPr>
        <w:t xml:space="preserve"> гена </w:t>
      </w:r>
      <w:proofErr w:type="spellStart"/>
      <w:r w:rsidRPr="000538EF">
        <w:rPr>
          <w:i/>
          <w:color w:val="000000" w:themeColor="text1"/>
          <w:w w:val="110"/>
          <w:sz w:val="20"/>
          <w:szCs w:val="20"/>
        </w:rPr>
        <w:t>gyr</w:t>
      </w:r>
      <w:r w:rsidRPr="000538EF">
        <w:rPr>
          <w:color w:val="000000" w:themeColor="text1"/>
          <w:w w:val="110"/>
          <w:sz w:val="20"/>
          <w:szCs w:val="20"/>
        </w:rPr>
        <w:t>A</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що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визначає</w:t>
      </w:r>
      <w:proofErr w:type="spellEnd"/>
      <w:r w:rsidRPr="006B6651">
        <w:rPr>
          <w:color w:val="000000" w:themeColor="text1"/>
          <w:w w:val="110"/>
          <w:sz w:val="20"/>
          <w:szCs w:val="20"/>
          <w:lang w:val="ru-RU"/>
        </w:rPr>
        <w:t xml:space="preserve"> </w:t>
      </w:r>
      <w:r w:rsidRPr="000538EF">
        <w:rPr>
          <w:color w:val="000000" w:themeColor="text1"/>
          <w:w w:val="110"/>
          <w:sz w:val="20"/>
          <w:szCs w:val="20"/>
          <w:lang w:val="uk-UA"/>
        </w:rPr>
        <w:t>стійкість</w:t>
      </w:r>
      <w:r w:rsidRPr="006B6651">
        <w:rPr>
          <w:color w:val="000000" w:themeColor="text1"/>
          <w:w w:val="110"/>
          <w:sz w:val="20"/>
          <w:szCs w:val="20"/>
          <w:lang w:val="ru-RU"/>
        </w:rPr>
        <w:t xml:space="preserve"> до </w:t>
      </w:r>
      <w:proofErr w:type="spellStart"/>
      <w:r w:rsidRPr="006B6651">
        <w:rPr>
          <w:color w:val="000000" w:themeColor="text1"/>
          <w:w w:val="110"/>
          <w:sz w:val="20"/>
          <w:szCs w:val="20"/>
          <w:lang w:val="ru-RU"/>
        </w:rPr>
        <w:t>хінолонів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кодони</w:t>
      </w:r>
      <w:proofErr w:type="spellEnd"/>
      <w:r w:rsidRPr="006B6651">
        <w:rPr>
          <w:color w:val="000000" w:themeColor="text1"/>
          <w:w w:val="110"/>
          <w:sz w:val="20"/>
          <w:szCs w:val="20"/>
          <w:lang w:val="ru-RU"/>
        </w:rPr>
        <w:t xml:space="preserve"> 85–97), та гена </w:t>
      </w:r>
      <w:proofErr w:type="spellStart"/>
      <w:r w:rsidRPr="000538EF">
        <w:rPr>
          <w:i/>
          <w:color w:val="000000" w:themeColor="text1"/>
          <w:w w:val="110"/>
          <w:sz w:val="20"/>
          <w:szCs w:val="20"/>
        </w:rPr>
        <w:t>rrs</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кодони</w:t>
      </w:r>
      <w:proofErr w:type="spellEnd"/>
      <w:r w:rsidRPr="006B6651">
        <w:rPr>
          <w:color w:val="000000" w:themeColor="text1"/>
          <w:w w:val="110"/>
          <w:sz w:val="20"/>
          <w:szCs w:val="20"/>
          <w:lang w:val="ru-RU"/>
        </w:rPr>
        <w:t xml:space="preserve"> 1401, 1402 та 1484), а у </w:t>
      </w:r>
      <w:proofErr w:type="spellStart"/>
      <w:r w:rsidRPr="006B6651">
        <w:rPr>
          <w:color w:val="000000" w:themeColor="text1"/>
          <w:w w:val="110"/>
          <w:sz w:val="20"/>
          <w:szCs w:val="20"/>
          <w:lang w:val="ru-RU"/>
        </w:rPr>
        <w:t>версії</w:t>
      </w:r>
      <w:proofErr w:type="spellEnd"/>
      <w:r w:rsidRPr="006B6651">
        <w:rPr>
          <w:color w:val="000000" w:themeColor="text1"/>
          <w:w w:val="110"/>
          <w:sz w:val="20"/>
          <w:szCs w:val="20"/>
          <w:lang w:val="ru-RU"/>
        </w:rPr>
        <w:t xml:space="preserve"> 2.0 тесту додано виявлення </w:t>
      </w:r>
      <w:proofErr w:type="spellStart"/>
      <w:r w:rsidRPr="006B6651">
        <w:rPr>
          <w:color w:val="000000" w:themeColor="text1"/>
          <w:w w:val="110"/>
          <w:sz w:val="20"/>
          <w:szCs w:val="20"/>
          <w:lang w:val="ru-RU"/>
        </w:rPr>
        <w:t>мутацій</w:t>
      </w:r>
      <w:proofErr w:type="spellEnd"/>
      <w:r w:rsidRPr="006B6651">
        <w:rPr>
          <w:color w:val="000000" w:themeColor="text1"/>
          <w:w w:val="110"/>
          <w:sz w:val="20"/>
          <w:szCs w:val="20"/>
          <w:lang w:val="ru-RU"/>
        </w:rPr>
        <w:t xml:space="preserve"> у </w:t>
      </w:r>
      <w:proofErr w:type="spellStart"/>
      <w:r w:rsidRPr="006B6651">
        <w:rPr>
          <w:color w:val="000000" w:themeColor="text1"/>
          <w:w w:val="110"/>
          <w:sz w:val="20"/>
          <w:szCs w:val="20"/>
          <w:lang w:val="ru-RU"/>
        </w:rPr>
        <w:t>ділянці</w:t>
      </w:r>
      <w:proofErr w:type="spellEnd"/>
      <w:r w:rsidRPr="006B6651">
        <w:rPr>
          <w:color w:val="000000" w:themeColor="text1"/>
          <w:w w:val="110"/>
          <w:sz w:val="20"/>
          <w:szCs w:val="20"/>
          <w:lang w:val="ru-RU"/>
        </w:rPr>
        <w:t xml:space="preserve"> гена </w:t>
      </w:r>
      <w:proofErr w:type="spellStart"/>
      <w:r w:rsidRPr="000538EF">
        <w:rPr>
          <w:i/>
          <w:color w:val="000000" w:themeColor="text1"/>
          <w:w w:val="110"/>
          <w:sz w:val="20"/>
          <w:szCs w:val="20"/>
        </w:rPr>
        <w:t>gyr</w:t>
      </w:r>
      <w:r w:rsidRPr="000538EF">
        <w:rPr>
          <w:color w:val="000000" w:themeColor="text1"/>
          <w:w w:val="110"/>
          <w:sz w:val="20"/>
          <w:szCs w:val="20"/>
        </w:rPr>
        <w:t>B</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що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визначає</w:t>
      </w:r>
      <w:proofErr w:type="spellEnd"/>
      <w:r w:rsidRPr="006B6651">
        <w:rPr>
          <w:color w:val="000000" w:themeColor="text1"/>
          <w:w w:val="110"/>
          <w:sz w:val="20"/>
          <w:szCs w:val="20"/>
          <w:lang w:val="ru-RU"/>
        </w:rPr>
        <w:t xml:space="preserve"> </w:t>
      </w:r>
      <w:r w:rsidRPr="000538EF">
        <w:rPr>
          <w:color w:val="000000" w:themeColor="text1"/>
          <w:w w:val="110"/>
          <w:sz w:val="20"/>
          <w:szCs w:val="20"/>
          <w:lang w:val="uk-UA"/>
        </w:rPr>
        <w:t>стійкість</w:t>
      </w:r>
      <w:r w:rsidRPr="006B6651">
        <w:rPr>
          <w:color w:val="000000" w:themeColor="text1"/>
          <w:w w:val="110"/>
          <w:sz w:val="20"/>
          <w:szCs w:val="20"/>
          <w:lang w:val="ru-RU"/>
        </w:rPr>
        <w:t xml:space="preserve"> до </w:t>
      </w:r>
      <w:proofErr w:type="spellStart"/>
      <w:r w:rsidRPr="006B6651">
        <w:rPr>
          <w:color w:val="000000" w:themeColor="text1"/>
          <w:w w:val="110"/>
          <w:sz w:val="20"/>
          <w:szCs w:val="20"/>
          <w:lang w:val="ru-RU"/>
        </w:rPr>
        <w:t>хінолонів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кодони</w:t>
      </w:r>
      <w:proofErr w:type="spellEnd"/>
      <w:r w:rsidRPr="006B6651">
        <w:rPr>
          <w:color w:val="000000" w:themeColor="text1"/>
          <w:w w:val="110"/>
          <w:sz w:val="20"/>
          <w:szCs w:val="20"/>
          <w:lang w:val="ru-RU"/>
        </w:rPr>
        <w:t xml:space="preserve"> 536–541), та у </w:t>
      </w:r>
      <w:proofErr w:type="spellStart"/>
      <w:r w:rsidRPr="006B6651">
        <w:rPr>
          <w:color w:val="000000" w:themeColor="text1"/>
          <w:w w:val="110"/>
          <w:sz w:val="20"/>
          <w:szCs w:val="20"/>
          <w:lang w:val="ru-RU"/>
        </w:rPr>
        <w:t>промоторній</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ділянці</w:t>
      </w:r>
      <w:proofErr w:type="spellEnd"/>
      <w:r w:rsidRPr="006B6651">
        <w:rPr>
          <w:color w:val="000000" w:themeColor="text1"/>
          <w:w w:val="110"/>
          <w:sz w:val="20"/>
          <w:szCs w:val="20"/>
          <w:lang w:val="ru-RU"/>
        </w:rPr>
        <w:t xml:space="preserve"> гена </w:t>
      </w:r>
      <w:proofErr w:type="spellStart"/>
      <w:r w:rsidRPr="000538EF">
        <w:rPr>
          <w:i/>
          <w:color w:val="000000" w:themeColor="text1"/>
          <w:w w:val="110"/>
          <w:sz w:val="20"/>
          <w:szCs w:val="20"/>
        </w:rPr>
        <w:t>eis</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кодони</w:t>
      </w:r>
      <w:proofErr w:type="spellEnd"/>
      <w:r w:rsidRPr="006B6651">
        <w:rPr>
          <w:color w:val="000000" w:themeColor="text1"/>
          <w:w w:val="110"/>
          <w:sz w:val="20"/>
          <w:szCs w:val="20"/>
          <w:lang w:val="ru-RU"/>
        </w:rPr>
        <w:t xml:space="preserve"> з –10 до –14) </w:t>
      </w:r>
      <w:r w:rsidRPr="006B6651">
        <w:rPr>
          <w:i/>
          <w:color w:val="000000" w:themeColor="text1"/>
          <w:w w:val="110"/>
          <w:sz w:val="20"/>
          <w:szCs w:val="20"/>
          <w:lang w:val="ru-RU"/>
        </w:rPr>
        <w:t>(40)</w:t>
      </w:r>
      <w:r w:rsidRPr="006B6651">
        <w:rPr>
          <w:color w:val="000000" w:themeColor="text1"/>
          <w:w w:val="110"/>
          <w:sz w:val="20"/>
          <w:szCs w:val="20"/>
          <w:lang w:val="ru-RU"/>
        </w:rPr>
        <w:t xml:space="preserve">. Тому </w:t>
      </w:r>
      <w:proofErr w:type="spellStart"/>
      <w:r w:rsidRPr="006B6651">
        <w:rPr>
          <w:color w:val="000000" w:themeColor="text1"/>
          <w:w w:val="110"/>
          <w:sz w:val="20"/>
          <w:szCs w:val="20"/>
          <w:lang w:val="ru-RU"/>
        </w:rPr>
        <w:t>очікується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що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версія</w:t>
      </w:r>
      <w:proofErr w:type="spellEnd"/>
      <w:r w:rsidRPr="006B6651">
        <w:rPr>
          <w:color w:val="000000" w:themeColor="text1"/>
          <w:w w:val="110"/>
          <w:sz w:val="20"/>
          <w:szCs w:val="20"/>
          <w:lang w:val="ru-RU"/>
        </w:rPr>
        <w:t xml:space="preserve"> 2.0 </w:t>
      </w:r>
      <w:proofErr w:type="spellStart"/>
      <w:r w:rsidRPr="006B6651">
        <w:rPr>
          <w:color w:val="000000" w:themeColor="text1"/>
          <w:w w:val="110"/>
          <w:sz w:val="20"/>
          <w:szCs w:val="20"/>
          <w:lang w:val="ru-RU"/>
        </w:rPr>
        <w:t>матиме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підвищену</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чутливість</w:t>
      </w:r>
      <w:proofErr w:type="spellEnd"/>
      <w:r w:rsidRPr="006B6651">
        <w:rPr>
          <w:color w:val="000000" w:themeColor="text1"/>
          <w:w w:val="110"/>
          <w:sz w:val="20"/>
          <w:szCs w:val="20"/>
          <w:lang w:val="ru-RU"/>
        </w:rPr>
        <w:t xml:space="preserve"> у </w:t>
      </w:r>
      <w:proofErr w:type="spellStart"/>
      <w:r w:rsidRPr="006B6651">
        <w:rPr>
          <w:color w:val="000000" w:themeColor="text1"/>
          <w:w w:val="110"/>
          <w:sz w:val="20"/>
          <w:szCs w:val="20"/>
          <w:lang w:val="ru-RU"/>
        </w:rPr>
        <w:t>виявленні</w:t>
      </w:r>
      <w:proofErr w:type="spellEnd"/>
      <w:r w:rsidRPr="006B6651">
        <w:rPr>
          <w:color w:val="000000" w:themeColor="text1"/>
          <w:w w:val="110"/>
          <w:sz w:val="20"/>
          <w:szCs w:val="20"/>
          <w:lang w:val="ru-RU"/>
        </w:rPr>
        <w:t xml:space="preserve"> </w:t>
      </w:r>
      <w:r w:rsidRPr="000538EF">
        <w:rPr>
          <w:color w:val="000000" w:themeColor="text1"/>
          <w:w w:val="110"/>
          <w:sz w:val="20"/>
          <w:szCs w:val="20"/>
          <w:lang w:val="uk-UA"/>
        </w:rPr>
        <w:t>стійкості</w:t>
      </w:r>
      <w:r w:rsidRPr="006B6651">
        <w:rPr>
          <w:color w:val="000000" w:themeColor="text1"/>
          <w:w w:val="110"/>
          <w:sz w:val="20"/>
          <w:szCs w:val="20"/>
          <w:lang w:val="ru-RU"/>
        </w:rPr>
        <w:t xml:space="preserve"> до </w:t>
      </w:r>
      <w:proofErr w:type="spellStart"/>
      <w:r w:rsidRPr="006B6651">
        <w:rPr>
          <w:color w:val="000000" w:themeColor="text1"/>
          <w:w w:val="110"/>
          <w:sz w:val="20"/>
          <w:szCs w:val="20"/>
          <w:lang w:val="ru-RU"/>
        </w:rPr>
        <w:t>цих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класів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препаратів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Крім</w:t>
      </w:r>
      <w:proofErr w:type="spellEnd"/>
      <w:r w:rsidRPr="006B6651">
        <w:rPr>
          <w:color w:val="000000" w:themeColor="text1"/>
          <w:w w:val="110"/>
          <w:sz w:val="20"/>
          <w:szCs w:val="20"/>
          <w:lang w:val="ru-RU"/>
        </w:rPr>
        <w:t xml:space="preserve"> того, </w:t>
      </w:r>
      <w:proofErr w:type="spellStart"/>
      <w:r w:rsidRPr="006B6651">
        <w:rPr>
          <w:color w:val="000000" w:themeColor="text1"/>
          <w:w w:val="110"/>
          <w:sz w:val="20"/>
          <w:szCs w:val="20"/>
          <w:lang w:val="ru-RU"/>
        </w:rPr>
        <w:t>хоча</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версія</w:t>
      </w:r>
      <w:proofErr w:type="spellEnd"/>
      <w:r w:rsidRPr="006B6651">
        <w:rPr>
          <w:color w:val="000000" w:themeColor="text1"/>
          <w:w w:val="110"/>
          <w:sz w:val="20"/>
          <w:szCs w:val="20"/>
          <w:lang w:val="ru-RU"/>
        </w:rPr>
        <w:t xml:space="preserve"> 1.0 включала виявлення </w:t>
      </w:r>
      <w:proofErr w:type="spellStart"/>
      <w:r w:rsidRPr="006B6651">
        <w:rPr>
          <w:color w:val="000000" w:themeColor="text1"/>
          <w:w w:val="110"/>
          <w:sz w:val="20"/>
          <w:szCs w:val="20"/>
          <w:lang w:val="ru-RU"/>
        </w:rPr>
        <w:t>мутацій</w:t>
      </w:r>
      <w:proofErr w:type="spellEnd"/>
      <w:r w:rsidRPr="006B6651">
        <w:rPr>
          <w:color w:val="000000" w:themeColor="text1"/>
          <w:w w:val="110"/>
          <w:sz w:val="20"/>
          <w:szCs w:val="20"/>
          <w:lang w:val="ru-RU"/>
        </w:rPr>
        <w:t xml:space="preserve"> у </w:t>
      </w:r>
      <w:proofErr w:type="spellStart"/>
      <w:r w:rsidRPr="006B6651">
        <w:rPr>
          <w:color w:val="000000" w:themeColor="text1"/>
          <w:w w:val="110"/>
          <w:sz w:val="20"/>
          <w:szCs w:val="20"/>
          <w:lang w:val="ru-RU"/>
        </w:rPr>
        <w:t>гені</w:t>
      </w:r>
      <w:proofErr w:type="spellEnd"/>
      <w:r w:rsidRPr="006B6651">
        <w:rPr>
          <w:color w:val="000000" w:themeColor="text1"/>
          <w:w w:val="110"/>
          <w:sz w:val="20"/>
          <w:szCs w:val="20"/>
          <w:lang w:val="ru-RU"/>
        </w:rPr>
        <w:t xml:space="preserve"> </w:t>
      </w:r>
      <w:proofErr w:type="spellStart"/>
      <w:r w:rsidRPr="000538EF">
        <w:rPr>
          <w:i/>
          <w:color w:val="000000" w:themeColor="text1"/>
          <w:w w:val="110"/>
          <w:sz w:val="20"/>
          <w:szCs w:val="20"/>
        </w:rPr>
        <w:t>emb</w:t>
      </w:r>
      <w:r w:rsidRPr="000538EF">
        <w:rPr>
          <w:color w:val="000000" w:themeColor="text1"/>
          <w:w w:val="110"/>
          <w:sz w:val="20"/>
          <w:szCs w:val="20"/>
        </w:rPr>
        <w:t>B</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які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можуть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кодувати</w:t>
      </w:r>
      <w:proofErr w:type="spellEnd"/>
      <w:r w:rsidRPr="006B6651">
        <w:rPr>
          <w:color w:val="000000" w:themeColor="text1"/>
          <w:w w:val="110"/>
          <w:sz w:val="20"/>
          <w:szCs w:val="20"/>
          <w:lang w:val="ru-RU"/>
        </w:rPr>
        <w:t xml:space="preserve"> </w:t>
      </w:r>
      <w:r w:rsidRPr="000538EF">
        <w:rPr>
          <w:color w:val="000000" w:themeColor="text1"/>
          <w:w w:val="110"/>
          <w:sz w:val="20"/>
          <w:szCs w:val="20"/>
          <w:lang w:val="uk-UA"/>
        </w:rPr>
        <w:t>стійкість</w:t>
      </w:r>
      <w:r w:rsidRPr="006B6651">
        <w:rPr>
          <w:color w:val="000000" w:themeColor="text1"/>
          <w:w w:val="110"/>
          <w:sz w:val="20"/>
          <w:szCs w:val="20"/>
          <w:lang w:val="ru-RU"/>
        </w:rPr>
        <w:t xml:space="preserve"> до етамбутолу, </w:t>
      </w:r>
      <w:proofErr w:type="spellStart"/>
      <w:r w:rsidRPr="006B6651">
        <w:rPr>
          <w:color w:val="000000" w:themeColor="text1"/>
          <w:w w:val="110"/>
          <w:sz w:val="20"/>
          <w:szCs w:val="20"/>
          <w:lang w:val="ru-RU"/>
        </w:rPr>
        <w:t>це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було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виключено</w:t>
      </w:r>
      <w:proofErr w:type="spellEnd"/>
      <w:r w:rsidRPr="006B6651">
        <w:rPr>
          <w:color w:val="000000" w:themeColor="text1"/>
          <w:w w:val="110"/>
          <w:sz w:val="20"/>
          <w:szCs w:val="20"/>
          <w:lang w:val="ru-RU"/>
        </w:rPr>
        <w:t xml:space="preserve"> з </w:t>
      </w:r>
      <w:proofErr w:type="spellStart"/>
      <w:r w:rsidRPr="006B6651">
        <w:rPr>
          <w:color w:val="000000" w:themeColor="text1"/>
          <w:w w:val="110"/>
          <w:sz w:val="20"/>
          <w:szCs w:val="20"/>
          <w:lang w:val="ru-RU"/>
        </w:rPr>
        <w:t>версії</w:t>
      </w:r>
      <w:proofErr w:type="spellEnd"/>
      <w:r w:rsidRPr="006B6651">
        <w:rPr>
          <w:color w:val="000000" w:themeColor="text1"/>
          <w:w w:val="110"/>
          <w:sz w:val="20"/>
          <w:szCs w:val="20"/>
          <w:lang w:val="ru-RU"/>
        </w:rPr>
        <w:t xml:space="preserve"> 2.0 через </w:t>
      </w:r>
      <w:proofErr w:type="spellStart"/>
      <w:r w:rsidRPr="006B6651">
        <w:rPr>
          <w:color w:val="000000" w:themeColor="text1"/>
          <w:w w:val="110"/>
          <w:sz w:val="20"/>
          <w:szCs w:val="20"/>
          <w:lang w:val="ru-RU"/>
        </w:rPr>
        <w:t>його</w:t>
      </w:r>
      <w:proofErr w:type="spellEnd"/>
      <w:r w:rsidRPr="006B6651">
        <w:rPr>
          <w:color w:val="000000" w:themeColor="text1"/>
          <w:w w:val="110"/>
          <w:sz w:val="20"/>
          <w:szCs w:val="20"/>
          <w:lang w:val="ru-RU"/>
        </w:rPr>
        <w:t xml:space="preserve"> статус як </w:t>
      </w:r>
      <w:proofErr w:type="spellStart"/>
      <w:r w:rsidRPr="006B6651">
        <w:rPr>
          <w:color w:val="000000" w:themeColor="text1"/>
          <w:w w:val="110"/>
          <w:sz w:val="20"/>
          <w:szCs w:val="20"/>
          <w:lang w:val="ru-RU"/>
        </w:rPr>
        <w:t>протитуберкульозного</w:t>
      </w:r>
      <w:proofErr w:type="spellEnd"/>
      <w:r w:rsidRPr="006B6651">
        <w:rPr>
          <w:color w:val="000000" w:themeColor="text1"/>
          <w:w w:val="110"/>
          <w:sz w:val="20"/>
          <w:szCs w:val="20"/>
          <w:lang w:val="ru-RU"/>
        </w:rPr>
        <w:t xml:space="preserve"> препарату </w:t>
      </w:r>
      <w:proofErr w:type="spellStart"/>
      <w:r w:rsidRPr="006B6651">
        <w:rPr>
          <w:color w:val="000000" w:themeColor="text1"/>
          <w:w w:val="110"/>
          <w:sz w:val="20"/>
          <w:szCs w:val="20"/>
          <w:lang w:val="ru-RU"/>
        </w:rPr>
        <w:t>першого</w:t>
      </w:r>
      <w:proofErr w:type="spellEnd"/>
      <w:r w:rsidRPr="006B6651">
        <w:rPr>
          <w:color w:val="000000" w:themeColor="text1"/>
          <w:w w:val="110"/>
          <w:sz w:val="20"/>
          <w:szCs w:val="20"/>
          <w:lang w:val="ru-RU"/>
        </w:rPr>
        <w:t xml:space="preserve"> ряду. Тому в </w:t>
      </w:r>
      <w:proofErr w:type="spellStart"/>
      <w:r w:rsidRPr="006B6651">
        <w:rPr>
          <w:color w:val="000000" w:themeColor="text1"/>
          <w:w w:val="110"/>
          <w:sz w:val="20"/>
          <w:szCs w:val="20"/>
          <w:lang w:val="ru-RU"/>
        </w:rPr>
        <w:t>цьому</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огляді</w:t>
      </w:r>
      <w:proofErr w:type="spellEnd"/>
      <w:r w:rsidRPr="006B6651">
        <w:rPr>
          <w:color w:val="000000" w:themeColor="text1"/>
          <w:w w:val="110"/>
          <w:sz w:val="20"/>
          <w:szCs w:val="20"/>
          <w:lang w:val="ru-RU"/>
        </w:rPr>
        <w:t xml:space="preserve"> не </w:t>
      </w:r>
      <w:proofErr w:type="spellStart"/>
      <w:r w:rsidRPr="006B6651">
        <w:rPr>
          <w:color w:val="000000" w:themeColor="text1"/>
          <w:w w:val="110"/>
          <w:sz w:val="20"/>
          <w:szCs w:val="20"/>
          <w:lang w:val="ru-RU"/>
        </w:rPr>
        <w:t>визначалася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точність</w:t>
      </w:r>
      <w:proofErr w:type="spellEnd"/>
      <w:r w:rsidRPr="006B6651">
        <w:rPr>
          <w:color w:val="000000" w:themeColor="text1"/>
          <w:w w:val="110"/>
          <w:sz w:val="20"/>
          <w:szCs w:val="20"/>
          <w:lang w:val="ru-RU"/>
        </w:rPr>
        <w:t xml:space="preserve"> щодо </w:t>
      </w:r>
      <w:r w:rsidRPr="000538EF">
        <w:rPr>
          <w:color w:val="000000" w:themeColor="text1"/>
          <w:w w:val="110"/>
          <w:sz w:val="20"/>
          <w:szCs w:val="20"/>
          <w:lang w:val="uk-UA"/>
        </w:rPr>
        <w:t>стійкості</w:t>
      </w:r>
      <w:r w:rsidRPr="006B6651">
        <w:rPr>
          <w:color w:val="000000" w:themeColor="text1"/>
          <w:w w:val="110"/>
          <w:sz w:val="20"/>
          <w:szCs w:val="20"/>
          <w:lang w:val="ru-RU"/>
        </w:rPr>
        <w:t xml:space="preserve"> до етамбутолу.</w:t>
      </w:r>
    </w:p>
    <w:p w14:paraId="3E2F85A5" w14:textId="77777777" w:rsidR="00DE2E3D" w:rsidRPr="006B6651" w:rsidRDefault="00DE2E3D" w:rsidP="008A0E77">
      <w:pPr>
        <w:pStyle w:val="a3"/>
        <w:spacing w:before="183" w:line="276" w:lineRule="auto"/>
        <w:ind w:left="720" w:right="4"/>
        <w:jc w:val="both"/>
        <w:rPr>
          <w:color w:val="000000" w:themeColor="text1"/>
          <w:sz w:val="20"/>
          <w:szCs w:val="20"/>
          <w:lang w:val="ru-RU"/>
        </w:rPr>
      </w:pPr>
      <w:proofErr w:type="spellStart"/>
      <w:r w:rsidRPr="006B6651">
        <w:rPr>
          <w:color w:val="000000" w:themeColor="text1"/>
          <w:w w:val="110"/>
          <w:sz w:val="20"/>
          <w:szCs w:val="20"/>
          <w:lang w:val="ru-RU"/>
        </w:rPr>
        <w:t>Необхідно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більше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даних</w:t>
      </w:r>
      <w:proofErr w:type="spellEnd"/>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кращого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розуміння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кореляції</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між</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наявністю</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певних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мутацій</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що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зумовлюють</w:t>
      </w:r>
      <w:proofErr w:type="spellEnd"/>
      <w:r w:rsidRPr="006B6651">
        <w:rPr>
          <w:color w:val="000000" w:themeColor="text1"/>
          <w:w w:val="110"/>
          <w:sz w:val="20"/>
          <w:szCs w:val="20"/>
          <w:lang w:val="ru-RU"/>
        </w:rPr>
        <w:t xml:space="preserve"> </w:t>
      </w:r>
      <w:r w:rsidRPr="000538EF">
        <w:rPr>
          <w:color w:val="000000" w:themeColor="text1"/>
          <w:w w:val="110"/>
          <w:sz w:val="20"/>
          <w:szCs w:val="20"/>
          <w:lang w:val="uk-UA"/>
        </w:rPr>
        <w:t>стійкість</w:t>
      </w:r>
      <w:r w:rsidRPr="006B6651">
        <w:rPr>
          <w:color w:val="000000" w:themeColor="text1"/>
          <w:w w:val="110"/>
          <w:sz w:val="20"/>
          <w:szCs w:val="20"/>
          <w:lang w:val="ru-RU"/>
        </w:rPr>
        <w:t xml:space="preserve"> до фторхінолонів, </w:t>
      </w:r>
      <w:proofErr w:type="spellStart"/>
      <w:r w:rsidRPr="006B6651">
        <w:rPr>
          <w:color w:val="000000" w:themeColor="text1"/>
          <w:w w:val="110"/>
          <w:sz w:val="20"/>
          <w:szCs w:val="20"/>
          <w:lang w:val="ru-RU"/>
        </w:rPr>
        <w:t>фенотиповою</w:t>
      </w:r>
      <w:proofErr w:type="spellEnd"/>
      <w:r w:rsidRPr="006B6651">
        <w:rPr>
          <w:color w:val="000000" w:themeColor="text1"/>
          <w:w w:val="110"/>
          <w:sz w:val="20"/>
          <w:szCs w:val="20"/>
          <w:lang w:val="ru-RU"/>
        </w:rPr>
        <w:t xml:space="preserve"> </w:t>
      </w:r>
      <w:r w:rsidRPr="000538EF">
        <w:rPr>
          <w:color w:val="000000" w:themeColor="text1"/>
          <w:w w:val="110"/>
          <w:sz w:val="20"/>
          <w:szCs w:val="20"/>
          <w:lang w:val="uk-UA"/>
        </w:rPr>
        <w:t>стійкістю</w:t>
      </w:r>
      <w:r w:rsidRPr="006B6651">
        <w:rPr>
          <w:color w:val="000000" w:themeColor="text1"/>
          <w:w w:val="110"/>
          <w:sz w:val="20"/>
          <w:szCs w:val="20"/>
          <w:lang w:val="ru-RU"/>
        </w:rPr>
        <w:t xml:space="preserve"> за Т</w:t>
      </w:r>
      <w:r w:rsidRPr="000538EF">
        <w:rPr>
          <w:color w:val="000000" w:themeColor="text1"/>
          <w:w w:val="110"/>
          <w:sz w:val="20"/>
          <w:szCs w:val="20"/>
          <w:lang w:val="uk-UA"/>
        </w:rPr>
        <w:t>М</w:t>
      </w:r>
      <w:r w:rsidRPr="006B6651">
        <w:rPr>
          <w:color w:val="000000" w:themeColor="text1"/>
          <w:w w:val="110"/>
          <w:sz w:val="20"/>
          <w:szCs w:val="20"/>
          <w:lang w:val="ru-RU"/>
        </w:rPr>
        <w:t xml:space="preserve">Ч та результатами </w:t>
      </w:r>
      <w:r>
        <w:rPr>
          <w:color w:val="000000" w:themeColor="text1"/>
          <w:w w:val="110"/>
          <w:sz w:val="20"/>
          <w:szCs w:val="20"/>
          <w:lang w:val="uk-UA"/>
        </w:rPr>
        <w:t>лікування</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пацієнтів</w:t>
      </w:r>
      <w:proofErr w:type="spellEnd"/>
      <w:r w:rsidRPr="006B6651">
        <w:rPr>
          <w:color w:val="000000" w:themeColor="text1"/>
          <w:w w:val="110"/>
          <w:sz w:val="20"/>
          <w:szCs w:val="20"/>
          <w:lang w:val="ru-RU"/>
        </w:rPr>
        <w:t>.</w:t>
      </w:r>
    </w:p>
    <w:p w14:paraId="4026E229" w14:textId="77777777" w:rsidR="00DE2E3D" w:rsidRPr="006B6651" w:rsidRDefault="00DE2E3D" w:rsidP="008A0E77">
      <w:pPr>
        <w:pStyle w:val="5"/>
        <w:spacing w:before="184"/>
        <w:ind w:right="4" w:firstLine="153"/>
        <w:jc w:val="both"/>
        <w:rPr>
          <w:sz w:val="24"/>
          <w:lang w:val="ru-RU"/>
        </w:rPr>
      </w:pPr>
      <w:bookmarkStart w:id="77" w:name="_Hlk196921797"/>
      <w:proofErr w:type="spellStart"/>
      <w:r w:rsidRPr="006B6651">
        <w:rPr>
          <w:color w:val="019648"/>
          <w:sz w:val="24"/>
          <w:lang w:val="ru-RU"/>
        </w:rPr>
        <w:t>Обґрунтування</w:t>
      </w:r>
      <w:proofErr w:type="spellEnd"/>
      <w:r w:rsidRPr="006B6651">
        <w:rPr>
          <w:color w:val="019648"/>
          <w:sz w:val="24"/>
          <w:lang w:val="ru-RU"/>
        </w:rPr>
        <w:t xml:space="preserve"> та </w:t>
      </w:r>
      <w:proofErr w:type="spellStart"/>
      <w:r w:rsidRPr="006B6651">
        <w:rPr>
          <w:color w:val="019648"/>
          <w:sz w:val="24"/>
          <w:lang w:val="ru-RU"/>
        </w:rPr>
        <w:t>докази</w:t>
      </w:r>
      <w:bookmarkEnd w:id="77"/>
      <w:proofErr w:type="spellEnd"/>
    </w:p>
    <w:p w14:paraId="2EBF19DC" w14:textId="77777777" w:rsidR="00DE2E3D" w:rsidRPr="006B6651" w:rsidRDefault="00DE2E3D" w:rsidP="008A0E77">
      <w:pPr>
        <w:pStyle w:val="a3"/>
        <w:spacing w:before="209" w:line="276" w:lineRule="auto"/>
        <w:ind w:left="720" w:right="4"/>
        <w:jc w:val="both"/>
        <w:rPr>
          <w:sz w:val="20"/>
          <w:lang w:val="ru-RU"/>
        </w:rPr>
      </w:pPr>
      <w:r w:rsidRPr="006B6651">
        <w:rPr>
          <w:sz w:val="20"/>
          <w:lang w:val="ru-RU"/>
        </w:rPr>
        <w:t xml:space="preserve">У </w:t>
      </w:r>
      <w:proofErr w:type="spellStart"/>
      <w:r w:rsidRPr="006B6651">
        <w:rPr>
          <w:sz w:val="20"/>
          <w:lang w:val="ru-RU"/>
        </w:rPr>
        <w:t>березні</w:t>
      </w:r>
      <w:proofErr w:type="spellEnd"/>
      <w:r w:rsidRPr="006B6651">
        <w:rPr>
          <w:sz w:val="20"/>
          <w:lang w:val="ru-RU"/>
        </w:rPr>
        <w:t xml:space="preserve"> 2016 року Глобальна </w:t>
      </w:r>
      <w:proofErr w:type="spellStart"/>
      <w:r w:rsidRPr="006B6651">
        <w:rPr>
          <w:sz w:val="20"/>
          <w:lang w:val="ru-RU"/>
        </w:rPr>
        <w:t>програма</w:t>
      </w:r>
      <w:proofErr w:type="spellEnd"/>
      <w:r w:rsidRPr="006B6651">
        <w:rPr>
          <w:sz w:val="20"/>
          <w:lang w:val="ru-RU"/>
        </w:rPr>
        <w:t xml:space="preserve"> ВООЗ </w:t>
      </w:r>
      <w:r w:rsidRPr="005A0BB1">
        <w:rPr>
          <w:sz w:val="20"/>
          <w:lang w:val="uk-UA"/>
        </w:rPr>
        <w:t>із</w:t>
      </w:r>
      <w:r w:rsidRPr="006B6651">
        <w:rPr>
          <w:sz w:val="20"/>
          <w:lang w:val="ru-RU"/>
        </w:rPr>
        <w:t xml:space="preserve"> </w:t>
      </w:r>
      <w:proofErr w:type="spellStart"/>
      <w:r w:rsidRPr="006B6651">
        <w:rPr>
          <w:sz w:val="20"/>
          <w:lang w:val="ru-RU"/>
        </w:rPr>
        <w:t>боротьб</w:t>
      </w:r>
      <w:proofErr w:type="spellEnd"/>
      <w:r w:rsidRPr="005A0BB1">
        <w:rPr>
          <w:sz w:val="20"/>
          <w:lang w:val="uk-UA"/>
        </w:rPr>
        <w:t>и</w:t>
      </w:r>
      <w:r w:rsidRPr="006B6651">
        <w:rPr>
          <w:sz w:val="20"/>
          <w:lang w:val="ru-RU"/>
        </w:rPr>
        <w:t xml:space="preserve"> з </w:t>
      </w:r>
      <w:proofErr w:type="spellStart"/>
      <w:r w:rsidRPr="006B6651">
        <w:rPr>
          <w:sz w:val="20"/>
          <w:lang w:val="ru-RU"/>
        </w:rPr>
        <w:t>туберкульозом</w:t>
      </w:r>
      <w:proofErr w:type="spellEnd"/>
      <w:r w:rsidRPr="006B6651">
        <w:rPr>
          <w:sz w:val="20"/>
          <w:lang w:val="ru-RU"/>
        </w:rPr>
        <w:t xml:space="preserve"> скликала ГР</w:t>
      </w:r>
      <w:r w:rsidRPr="005A0BB1">
        <w:rPr>
          <w:sz w:val="20"/>
          <w:lang w:val="uk-UA"/>
        </w:rPr>
        <w:t>Н</w:t>
      </w:r>
      <w:r w:rsidRPr="006B6651">
        <w:rPr>
          <w:sz w:val="20"/>
          <w:lang w:val="ru-RU"/>
        </w:rPr>
        <w:t xml:space="preserve"> для </w:t>
      </w:r>
      <w:proofErr w:type="spellStart"/>
      <w:r w:rsidRPr="006B6651">
        <w:rPr>
          <w:sz w:val="20"/>
          <w:lang w:val="ru-RU"/>
        </w:rPr>
        <w:t>оцінки</w:t>
      </w:r>
      <w:proofErr w:type="spellEnd"/>
      <w:r w:rsidRPr="006B6651">
        <w:rPr>
          <w:sz w:val="20"/>
          <w:lang w:val="ru-RU"/>
        </w:rPr>
        <w:t xml:space="preserve"> </w:t>
      </w:r>
      <w:proofErr w:type="spellStart"/>
      <w:r w:rsidRPr="006B6651">
        <w:rPr>
          <w:sz w:val="20"/>
          <w:lang w:val="ru-RU"/>
        </w:rPr>
        <w:t>наявних</w:t>
      </w:r>
      <w:proofErr w:type="spellEnd"/>
      <w:r w:rsidRPr="006B6651">
        <w:rPr>
          <w:sz w:val="20"/>
          <w:lang w:val="ru-RU"/>
        </w:rPr>
        <w:t xml:space="preserve"> </w:t>
      </w:r>
      <w:proofErr w:type="spellStart"/>
      <w:r w:rsidRPr="006B6651">
        <w:rPr>
          <w:sz w:val="20"/>
          <w:lang w:val="ru-RU"/>
        </w:rPr>
        <w:t>даних</w:t>
      </w:r>
      <w:proofErr w:type="spellEnd"/>
      <w:r w:rsidRPr="006B6651">
        <w:rPr>
          <w:sz w:val="20"/>
          <w:lang w:val="ru-RU"/>
        </w:rPr>
        <w:t xml:space="preserve"> щодо використання тест</w:t>
      </w:r>
      <w:r w:rsidRPr="005A0BB1">
        <w:rPr>
          <w:sz w:val="20"/>
          <w:lang w:val="uk-UA"/>
        </w:rPr>
        <w:t>-системи</w:t>
      </w:r>
      <w:r w:rsidRPr="006B6651">
        <w:rPr>
          <w:sz w:val="20"/>
          <w:lang w:val="ru-RU"/>
        </w:rPr>
        <w:t xml:space="preserve"> </w:t>
      </w:r>
      <w:r w:rsidRPr="005A0BB1">
        <w:rPr>
          <w:sz w:val="20"/>
        </w:rPr>
        <w:t>MTBDR</w:t>
      </w:r>
      <w:r w:rsidRPr="005A0BB1">
        <w:rPr>
          <w:i/>
          <w:sz w:val="20"/>
        </w:rPr>
        <w:t>sl</w:t>
      </w:r>
      <w:r w:rsidRPr="006B6651">
        <w:rPr>
          <w:sz w:val="20"/>
          <w:lang w:val="ru-RU"/>
        </w:rPr>
        <w:t xml:space="preserve">. ВООЗ </w:t>
      </w:r>
      <w:proofErr w:type="spellStart"/>
      <w:r w:rsidRPr="006B6651">
        <w:rPr>
          <w:sz w:val="20"/>
          <w:lang w:val="ru-RU"/>
        </w:rPr>
        <w:t>замовила</w:t>
      </w:r>
      <w:proofErr w:type="spellEnd"/>
      <w:r w:rsidRPr="006B6651">
        <w:rPr>
          <w:sz w:val="20"/>
          <w:lang w:val="ru-RU"/>
        </w:rPr>
        <w:t xml:space="preserve"> </w:t>
      </w:r>
      <w:proofErr w:type="spellStart"/>
      <w:r w:rsidRPr="006B6651">
        <w:rPr>
          <w:sz w:val="20"/>
          <w:lang w:val="ru-RU"/>
        </w:rPr>
        <w:t>проведення</w:t>
      </w:r>
      <w:proofErr w:type="spellEnd"/>
      <w:r w:rsidRPr="006B6651">
        <w:rPr>
          <w:sz w:val="20"/>
          <w:lang w:val="ru-RU"/>
        </w:rPr>
        <w:t xml:space="preserve"> систематичного </w:t>
      </w:r>
      <w:proofErr w:type="spellStart"/>
      <w:r w:rsidRPr="006B6651">
        <w:rPr>
          <w:sz w:val="20"/>
          <w:lang w:val="ru-RU"/>
        </w:rPr>
        <w:t>огляду</w:t>
      </w:r>
      <w:proofErr w:type="spellEnd"/>
      <w:r w:rsidRPr="006B6651">
        <w:rPr>
          <w:sz w:val="20"/>
          <w:lang w:val="ru-RU"/>
        </w:rPr>
        <w:t xml:space="preserve"> щодо </w:t>
      </w:r>
      <w:proofErr w:type="spellStart"/>
      <w:r w:rsidRPr="006B6651">
        <w:rPr>
          <w:sz w:val="20"/>
          <w:lang w:val="ru-RU"/>
        </w:rPr>
        <w:t>точності</w:t>
      </w:r>
      <w:proofErr w:type="spellEnd"/>
      <w:r w:rsidRPr="006B6651">
        <w:rPr>
          <w:sz w:val="20"/>
          <w:lang w:val="ru-RU"/>
        </w:rPr>
        <w:t xml:space="preserve"> та </w:t>
      </w:r>
      <w:proofErr w:type="spellStart"/>
      <w:r w:rsidRPr="006B6651">
        <w:rPr>
          <w:sz w:val="20"/>
          <w:lang w:val="ru-RU"/>
        </w:rPr>
        <w:t>клінічного</w:t>
      </w:r>
      <w:proofErr w:type="spellEnd"/>
      <w:r w:rsidRPr="006B6651">
        <w:rPr>
          <w:sz w:val="20"/>
          <w:lang w:val="ru-RU"/>
        </w:rPr>
        <w:t xml:space="preserve"> використання тест</w:t>
      </w:r>
      <w:r w:rsidRPr="005A0BB1">
        <w:rPr>
          <w:sz w:val="20"/>
          <w:lang w:val="uk-UA"/>
        </w:rPr>
        <w:t>-систем</w:t>
      </w:r>
      <w:r w:rsidRPr="006B6651">
        <w:rPr>
          <w:sz w:val="20"/>
          <w:lang w:val="ru-RU"/>
        </w:rPr>
        <w:t xml:space="preserve"> для виявлення </w:t>
      </w:r>
      <w:proofErr w:type="spellStart"/>
      <w:r w:rsidRPr="006B6651">
        <w:rPr>
          <w:sz w:val="20"/>
          <w:lang w:val="ru-RU"/>
        </w:rPr>
        <w:t>мутацій</w:t>
      </w:r>
      <w:proofErr w:type="spellEnd"/>
      <w:r w:rsidRPr="006B6651">
        <w:rPr>
          <w:sz w:val="20"/>
          <w:lang w:val="ru-RU"/>
        </w:rPr>
        <w:t>, пов'язаних з</w:t>
      </w:r>
      <w:r w:rsidRPr="005A0BB1">
        <w:rPr>
          <w:sz w:val="20"/>
          <w:lang w:val="uk-UA"/>
        </w:rPr>
        <w:t xml:space="preserve">і стійкістю </w:t>
      </w:r>
      <w:r w:rsidRPr="006B6651">
        <w:rPr>
          <w:sz w:val="20"/>
          <w:lang w:val="ru-RU"/>
        </w:rPr>
        <w:t>до фторхінолонів та ІПДР, у людей з МЛС/Р</w:t>
      </w:r>
      <w:proofErr w:type="spellStart"/>
      <w:r w:rsidRPr="005A0BB1">
        <w:rPr>
          <w:sz w:val="20"/>
          <w:lang w:val="uk-UA"/>
        </w:rPr>
        <w:t>иф</w:t>
      </w:r>
      <w:proofErr w:type="spellEnd"/>
      <w:r w:rsidRPr="006B6651">
        <w:rPr>
          <w:sz w:val="20"/>
          <w:lang w:val="ru-RU"/>
        </w:rPr>
        <w:t>-ТБ.</w:t>
      </w:r>
    </w:p>
    <w:p w14:paraId="44D6D257" w14:textId="77777777" w:rsidR="008A0E77" w:rsidRDefault="008A0E77" w:rsidP="006E5AE7">
      <w:pPr>
        <w:pStyle w:val="a3"/>
        <w:spacing w:before="49" w:line="297" w:lineRule="auto"/>
        <w:ind w:left="567" w:right="4"/>
        <w:rPr>
          <w:lang w:val="uk-UA"/>
        </w:rPr>
      </w:pPr>
    </w:p>
    <w:p w14:paraId="1F5F3AEA" w14:textId="77777777" w:rsidR="008A0E77" w:rsidRDefault="008A0E77" w:rsidP="006E5AE7">
      <w:pPr>
        <w:pStyle w:val="a3"/>
        <w:spacing w:before="49" w:line="297" w:lineRule="auto"/>
        <w:ind w:left="567" w:right="4"/>
        <w:rPr>
          <w:lang w:val="uk-UA"/>
        </w:rPr>
      </w:pPr>
    </w:p>
    <w:p w14:paraId="4C21C553" w14:textId="77777777" w:rsidR="008A0E77" w:rsidRDefault="008A0E77" w:rsidP="006E5AE7">
      <w:pPr>
        <w:pStyle w:val="a3"/>
        <w:spacing w:before="49" w:line="297" w:lineRule="auto"/>
        <w:ind w:left="567" w:right="4"/>
        <w:rPr>
          <w:lang w:val="uk-UA"/>
        </w:rPr>
      </w:pPr>
    </w:p>
    <w:p w14:paraId="633B9ECF" w14:textId="73E16F34" w:rsidR="008A0E77" w:rsidRDefault="004A2937" w:rsidP="006E5AE7">
      <w:pPr>
        <w:pStyle w:val="a3"/>
        <w:spacing w:before="49" w:line="297" w:lineRule="auto"/>
        <w:ind w:left="567" w:right="4"/>
        <w:rPr>
          <w:lang w:val="uk-UA"/>
        </w:rPr>
      </w:pPr>
      <w:r>
        <w:rPr>
          <w:noProof/>
        </w:rPr>
        <mc:AlternateContent>
          <mc:Choice Requires="wps">
            <w:drawing>
              <wp:anchor distT="0" distB="0" distL="114300" distR="114300" simplePos="0" relativeHeight="488215040" behindDoc="0" locked="0" layoutInCell="1" allowOverlap="1" wp14:anchorId="2A740811" wp14:editId="1E427098">
                <wp:simplePos x="0" y="0"/>
                <wp:positionH relativeFrom="column">
                  <wp:posOffset>6057265</wp:posOffset>
                </wp:positionH>
                <wp:positionV relativeFrom="paragraph">
                  <wp:posOffset>210185</wp:posOffset>
                </wp:positionV>
                <wp:extent cx="463550" cy="330200"/>
                <wp:effectExtent l="0" t="0" r="0" b="0"/>
                <wp:wrapNone/>
                <wp:docPr id="1242514609" name="Поле 1941"/>
                <wp:cNvGraphicFramePr/>
                <a:graphic xmlns:a="http://schemas.openxmlformats.org/drawingml/2006/main">
                  <a:graphicData uri="http://schemas.microsoft.com/office/word/2010/wordprocessingShape">
                    <wps:wsp>
                      <wps:cNvSpPr txBox="1"/>
                      <wps:spPr>
                        <a:xfrm>
                          <a:off x="0" y="0"/>
                          <a:ext cx="463550" cy="330200"/>
                        </a:xfrm>
                        <a:prstGeom prst="rect">
                          <a:avLst/>
                        </a:prstGeom>
                        <a:solidFill>
                          <a:schemeClr val="lt1"/>
                        </a:solidFill>
                        <a:ln w="6350">
                          <a:noFill/>
                        </a:ln>
                      </wps:spPr>
                      <wps:txbx>
                        <w:txbxContent>
                          <w:p w14:paraId="417F003D" w14:textId="77777777" w:rsidR="004A2937" w:rsidRPr="004A2937" w:rsidRDefault="004A2937" w:rsidP="004A2937">
                            <w:pPr>
                              <w:rPr>
                                <w:color w:val="388600"/>
                                <w:sz w:val="12"/>
                                <w:szCs w:val="12"/>
                                <w:lang w:val="uk-UA"/>
                              </w:rPr>
                            </w:pPr>
                          </w:p>
                          <w:p w14:paraId="60B3FC43" w14:textId="55A54CC5" w:rsidR="004A2937" w:rsidRPr="00770751" w:rsidRDefault="004A2937" w:rsidP="004A2937">
                            <w:pPr>
                              <w:rPr>
                                <w:color w:val="388600"/>
                                <w:sz w:val="20"/>
                                <w:szCs w:val="20"/>
                                <w:lang w:val="uk-UA"/>
                              </w:rPr>
                            </w:pPr>
                            <w:r w:rsidRPr="00770751">
                              <w:rPr>
                                <w:color w:val="388600"/>
                                <w:sz w:val="20"/>
                                <w:szCs w:val="20"/>
                                <w:lang w:val="uk-UA"/>
                              </w:rPr>
                              <w:t>8</w:t>
                            </w:r>
                            <w:r>
                              <w:rPr>
                                <w:color w:val="388600"/>
                                <w:sz w:val="20"/>
                                <w:szCs w:val="20"/>
                                <w:lang w:val="uk-UA"/>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40811" id="_x0000_s1154" type="#_x0000_t202" style="position:absolute;left:0;text-align:left;margin-left:476.95pt;margin-top:16.55pt;width:36.5pt;height:26pt;z-index:4882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" fillcolor="white [3201]" stroked="f" strokeweight=".5pt">
                <v:textbox>
                  <w:txbxContent>
                    <w:p w14:paraId="417F003D" w14:textId="77777777" w:rsidR="004A2937" w:rsidRPr="004A2937" w:rsidRDefault="004A2937" w:rsidP="004A2937">
                      <w:pPr>
                        <w:rPr>
                          <w:color w:val="388600"/>
                          <w:sz w:val="12"/>
                          <w:szCs w:val="12"/>
                          <w:lang w:val="uk-UA"/>
                        </w:rPr>
                      </w:pPr>
                    </w:p>
                    <w:p w14:paraId="60B3FC43" w14:textId="55A54CC5" w:rsidR="004A2937" w:rsidRPr="00770751" w:rsidRDefault="004A2937" w:rsidP="004A2937">
                      <w:pPr>
                        <w:rPr>
                          <w:color w:val="388600"/>
                          <w:sz w:val="20"/>
                          <w:szCs w:val="20"/>
                          <w:lang w:val="uk-UA"/>
                        </w:rPr>
                      </w:pPr>
                      <w:r w:rsidRPr="00770751">
                        <w:rPr>
                          <w:color w:val="388600"/>
                          <w:sz w:val="20"/>
                          <w:szCs w:val="20"/>
                          <w:lang w:val="uk-UA"/>
                        </w:rPr>
                        <w:t>8</w:t>
                      </w:r>
                      <w:r>
                        <w:rPr>
                          <w:color w:val="388600"/>
                          <w:sz w:val="20"/>
                          <w:szCs w:val="20"/>
                          <w:lang w:val="uk-UA"/>
                        </w:rPr>
                        <w:t>9</w:t>
                      </w:r>
                    </w:p>
                  </w:txbxContent>
                </v:textbox>
              </v:shape>
            </w:pict>
          </mc:Fallback>
        </mc:AlternateContent>
      </w:r>
    </w:p>
    <w:p w14:paraId="1D42DD81" w14:textId="77777777" w:rsidR="008A0E77" w:rsidRPr="006B6651" w:rsidRDefault="008A0E77" w:rsidP="008A0E77">
      <w:pPr>
        <w:pStyle w:val="a3"/>
        <w:spacing w:before="86" w:line="276" w:lineRule="auto"/>
        <w:ind w:left="720" w:right="1432"/>
        <w:rPr>
          <w:sz w:val="20"/>
          <w:lang w:val="ru-RU"/>
        </w:rPr>
      </w:pPr>
      <w:proofErr w:type="spellStart"/>
      <w:r w:rsidRPr="006B6651">
        <w:rPr>
          <w:w w:val="110"/>
          <w:sz w:val="20"/>
          <w:lang w:val="ru-RU"/>
        </w:rPr>
        <w:lastRenderedPageBreak/>
        <w:t>Запитання</w:t>
      </w:r>
      <w:proofErr w:type="spellEnd"/>
      <w:r w:rsidRPr="006B6651">
        <w:rPr>
          <w:w w:val="110"/>
          <w:sz w:val="20"/>
          <w:lang w:val="ru-RU"/>
        </w:rPr>
        <w:t xml:space="preserve"> </w:t>
      </w:r>
      <w:r>
        <w:rPr>
          <w:w w:val="110"/>
          <w:sz w:val="20"/>
          <w:lang w:val="uk-UA"/>
        </w:rPr>
        <w:t xml:space="preserve">формату </w:t>
      </w:r>
      <w:r w:rsidRPr="00570184">
        <w:rPr>
          <w:w w:val="110"/>
          <w:sz w:val="20"/>
        </w:rPr>
        <w:t>PICO</w:t>
      </w:r>
      <w:r w:rsidRPr="006B6651">
        <w:rPr>
          <w:w w:val="110"/>
          <w:sz w:val="20"/>
          <w:lang w:val="ru-RU"/>
        </w:rPr>
        <w:t xml:space="preserve"> у </w:t>
      </w:r>
      <w:r w:rsidRPr="006B6651">
        <w:rPr>
          <w:b/>
          <w:w w:val="110"/>
          <w:sz w:val="20"/>
          <w:lang w:val="ru-RU"/>
        </w:rPr>
        <w:t>В</w:t>
      </w:r>
      <w:r w:rsidRPr="00570184">
        <w:rPr>
          <w:b/>
          <w:w w:val="110"/>
          <w:sz w:val="20"/>
          <w:lang w:val="uk-UA"/>
        </w:rPr>
        <w:t>ставці</w:t>
      </w:r>
      <w:r w:rsidRPr="006B6651">
        <w:rPr>
          <w:b/>
          <w:w w:val="110"/>
          <w:sz w:val="20"/>
          <w:lang w:val="ru-RU"/>
        </w:rPr>
        <w:t xml:space="preserve"> 2.4.3.1</w:t>
      </w:r>
      <w:r w:rsidRPr="006B6651">
        <w:rPr>
          <w:w w:val="110"/>
          <w:sz w:val="20"/>
          <w:lang w:val="ru-RU"/>
        </w:rPr>
        <w:t xml:space="preserve"> були </w:t>
      </w:r>
      <w:proofErr w:type="spellStart"/>
      <w:r w:rsidRPr="006B6651">
        <w:rPr>
          <w:w w:val="110"/>
          <w:sz w:val="20"/>
          <w:lang w:val="ru-RU"/>
        </w:rPr>
        <w:t>розроблені</w:t>
      </w:r>
      <w:proofErr w:type="spellEnd"/>
      <w:r w:rsidRPr="006B6651">
        <w:rPr>
          <w:w w:val="110"/>
          <w:sz w:val="20"/>
          <w:lang w:val="ru-RU"/>
        </w:rPr>
        <w:t xml:space="preserve">, </w:t>
      </w:r>
      <w:proofErr w:type="spellStart"/>
      <w:r w:rsidRPr="006B6651">
        <w:rPr>
          <w:w w:val="110"/>
          <w:sz w:val="20"/>
          <w:lang w:val="ru-RU"/>
        </w:rPr>
        <w:t>щоб</w:t>
      </w:r>
      <w:proofErr w:type="spellEnd"/>
      <w:r w:rsidRPr="006B6651">
        <w:rPr>
          <w:w w:val="110"/>
          <w:sz w:val="20"/>
          <w:lang w:val="ru-RU"/>
        </w:rPr>
        <w:t xml:space="preserve"> </w:t>
      </w:r>
      <w:proofErr w:type="spellStart"/>
      <w:r w:rsidRPr="006B6651">
        <w:rPr>
          <w:w w:val="110"/>
          <w:sz w:val="20"/>
          <w:lang w:val="ru-RU"/>
        </w:rPr>
        <w:t>слугувати</w:t>
      </w:r>
      <w:proofErr w:type="spellEnd"/>
      <w:r w:rsidRPr="006B6651">
        <w:rPr>
          <w:w w:val="110"/>
          <w:sz w:val="20"/>
          <w:lang w:val="ru-RU"/>
        </w:rPr>
        <w:t xml:space="preserve"> основою для </w:t>
      </w:r>
      <w:proofErr w:type="spellStart"/>
      <w:r w:rsidRPr="006B6651">
        <w:rPr>
          <w:w w:val="110"/>
          <w:sz w:val="20"/>
          <w:lang w:val="ru-RU"/>
        </w:rPr>
        <w:t>пошуку</w:t>
      </w:r>
      <w:proofErr w:type="spellEnd"/>
      <w:r w:rsidRPr="006B6651">
        <w:rPr>
          <w:w w:val="110"/>
          <w:sz w:val="20"/>
          <w:lang w:val="ru-RU"/>
        </w:rPr>
        <w:t xml:space="preserve">, </w:t>
      </w:r>
      <w:proofErr w:type="spellStart"/>
      <w:r w:rsidRPr="006B6651">
        <w:rPr>
          <w:w w:val="110"/>
          <w:sz w:val="20"/>
          <w:lang w:val="ru-RU"/>
        </w:rPr>
        <w:t>відбору</w:t>
      </w:r>
      <w:proofErr w:type="spellEnd"/>
      <w:r w:rsidRPr="006B6651">
        <w:rPr>
          <w:w w:val="110"/>
          <w:sz w:val="20"/>
          <w:lang w:val="ru-RU"/>
        </w:rPr>
        <w:t xml:space="preserve"> та </w:t>
      </w:r>
      <w:proofErr w:type="spellStart"/>
      <w:r w:rsidRPr="006B6651">
        <w:rPr>
          <w:w w:val="110"/>
          <w:sz w:val="20"/>
          <w:lang w:val="ru-RU"/>
        </w:rPr>
        <w:t>аналізу</w:t>
      </w:r>
      <w:proofErr w:type="spellEnd"/>
      <w:r w:rsidRPr="006B6651">
        <w:rPr>
          <w:w w:val="110"/>
          <w:sz w:val="20"/>
          <w:lang w:val="ru-RU"/>
        </w:rPr>
        <w:t xml:space="preserve"> </w:t>
      </w:r>
      <w:proofErr w:type="spellStart"/>
      <w:r w:rsidRPr="006B6651">
        <w:rPr>
          <w:w w:val="110"/>
          <w:sz w:val="20"/>
          <w:lang w:val="ru-RU"/>
        </w:rPr>
        <w:t>доказових</w:t>
      </w:r>
      <w:proofErr w:type="spellEnd"/>
      <w:r w:rsidRPr="006B6651">
        <w:rPr>
          <w:w w:val="110"/>
          <w:sz w:val="20"/>
          <w:lang w:val="ru-RU"/>
        </w:rPr>
        <w:t xml:space="preserve"> </w:t>
      </w:r>
      <w:proofErr w:type="spellStart"/>
      <w:r w:rsidRPr="006B6651">
        <w:rPr>
          <w:w w:val="110"/>
          <w:sz w:val="20"/>
          <w:lang w:val="ru-RU"/>
        </w:rPr>
        <w:t>даних</w:t>
      </w:r>
      <w:proofErr w:type="spellEnd"/>
      <w:r w:rsidRPr="006B6651">
        <w:rPr>
          <w:w w:val="110"/>
          <w:sz w:val="20"/>
          <w:lang w:val="ru-RU"/>
        </w:rPr>
        <w:t>.</w:t>
      </w:r>
    </w:p>
    <w:p w14:paraId="2938729C" w14:textId="77777777" w:rsidR="008A0E77" w:rsidRPr="006B6651" w:rsidRDefault="008A0E77" w:rsidP="008A0E77">
      <w:pPr>
        <w:pStyle w:val="a3"/>
        <w:spacing w:before="2"/>
        <w:rPr>
          <w:sz w:val="16"/>
          <w:lang w:val="ru-RU"/>
        </w:rPr>
      </w:pPr>
      <w:r w:rsidRPr="00A816CE">
        <w:rPr>
          <w:noProof/>
        </w:rPr>
        <mc:AlternateContent>
          <mc:Choice Requires="wpg">
            <w:drawing>
              <wp:anchor distT="0" distB="0" distL="0" distR="0" simplePos="0" relativeHeight="488200704" behindDoc="1" locked="0" layoutInCell="1" allowOverlap="1" wp14:anchorId="14038C20" wp14:editId="256E8E19">
                <wp:simplePos x="0" y="0"/>
                <wp:positionH relativeFrom="page">
                  <wp:posOffset>882650</wp:posOffset>
                </wp:positionH>
                <wp:positionV relativeFrom="paragraph">
                  <wp:posOffset>158115</wp:posOffset>
                </wp:positionV>
                <wp:extent cx="5785485" cy="3270250"/>
                <wp:effectExtent l="0" t="0" r="5715" b="6350"/>
                <wp:wrapTopAndBottom/>
                <wp:docPr id="1757673964" name="Групувати 1757673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5485" cy="3270250"/>
                          <a:chOff x="1377" y="261"/>
                          <a:chExt cx="9111" cy="4148"/>
                        </a:xfrm>
                      </wpg:grpSpPr>
                      <wps:wsp>
                        <wps:cNvPr id="258055183" name="Freeform 28"/>
                        <wps:cNvSpPr>
                          <a:spLocks/>
                        </wps:cNvSpPr>
                        <wps:spPr bwMode="auto">
                          <a:xfrm>
                            <a:off x="1377" y="261"/>
                            <a:ext cx="9111" cy="4148"/>
                          </a:xfrm>
                          <a:custGeom>
                            <a:avLst/>
                            <a:gdLst>
                              <a:gd name="T0" fmla="+- 0 10035 1588"/>
                              <a:gd name="T1" fmla="*/ T0 w 8901"/>
                              <a:gd name="T2" fmla="+- 0 262 262"/>
                              <a:gd name="T3" fmla="*/ 262 h 4148"/>
                              <a:gd name="T4" fmla="+- 0 1588 1588"/>
                              <a:gd name="T5" fmla="*/ T4 w 8901"/>
                              <a:gd name="T6" fmla="+- 0 262 262"/>
                              <a:gd name="T7" fmla="*/ 262 h 4148"/>
                              <a:gd name="T8" fmla="+- 0 1588 1588"/>
                              <a:gd name="T9" fmla="*/ T8 w 8901"/>
                              <a:gd name="T10" fmla="+- 0 4409 262"/>
                              <a:gd name="T11" fmla="*/ 4409 h 4148"/>
                              <a:gd name="T12" fmla="+- 0 10035 1588"/>
                              <a:gd name="T13" fmla="*/ T12 w 8901"/>
                              <a:gd name="T14" fmla="+- 0 4409 262"/>
                              <a:gd name="T15" fmla="*/ 4409 h 4148"/>
                              <a:gd name="T16" fmla="+- 0 10108 1588"/>
                              <a:gd name="T17" fmla="*/ T16 w 8901"/>
                              <a:gd name="T18" fmla="+- 0 4403 262"/>
                              <a:gd name="T19" fmla="*/ 4403 h 4148"/>
                              <a:gd name="T20" fmla="+- 0 10178 1588"/>
                              <a:gd name="T21" fmla="*/ T20 w 8901"/>
                              <a:gd name="T22" fmla="+- 0 4386 262"/>
                              <a:gd name="T23" fmla="*/ 4386 h 4148"/>
                              <a:gd name="T24" fmla="+- 0 10243 1588"/>
                              <a:gd name="T25" fmla="*/ T24 w 8901"/>
                              <a:gd name="T26" fmla="+- 0 4359 262"/>
                              <a:gd name="T27" fmla="*/ 4359 h 4148"/>
                              <a:gd name="T28" fmla="+- 0 10303 1588"/>
                              <a:gd name="T29" fmla="*/ T28 w 8901"/>
                              <a:gd name="T30" fmla="+- 0 4322 262"/>
                              <a:gd name="T31" fmla="*/ 4322 h 4148"/>
                              <a:gd name="T32" fmla="+- 0 10355 1588"/>
                              <a:gd name="T33" fmla="*/ T32 w 8901"/>
                              <a:gd name="T34" fmla="+- 0 4276 262"/>
                              <a:gd name="T35" fmla="*/ 4276 h 4148"/>
                              <a:gd name="T36" fmla="+- 0 10401 1588"/>
                              <a:gd name="T37" fmla="*/ T36 w 8901"/>
                              <a:gd name="T38" fmla="+- 0 4224 262"/>
                              <a:gd name="T39" fmla="*/ 4224 h 4148"/>
                              <a:gd name="T40" fmla="+- 0 10438 1588"/>
                              <a:gd name="T41" fmla="*/ T40 w 8901"/>
                              <a:gd name="T42" fmla="+- 0 4164 262"/>
                              <a:gd name="T43" fmla="*/ 4164 h 4148"/>
                              <a:gd name="T44" fmla="+- 0 10465 1588"/>
                              <a:gd name="T45" fmla="*/ T44 w 8901"/>
                              <a:gd name="T46" fmla="+- 0 4099 262"/>
                              <a:gd name="T47" fmla="*/ 4099 h 4148"/>
                              <a:gd name="T48" fmla="+- 0 10482 1588"/>
                              <a:gd name="T49" fmla="*/ T48 w 8901"/>
                              <a:gd name="T50" fmla="+- 0 4029 262"/>
                              <a:gd name="T51" fmla="*/ 4029 h 4148"/>
                              <a:gd name="T52" fmla="+- 0 10488 1588"/>
                              <a:gd name="T53" fmla="*/ T52 w 8901"/>
                              <a:gd name="T54" fmla="+- 0 3956 262"/>
                              <a:gd name="T55" fmla="*/ 3956 h 4148"/>
                              <a:gd name="T56" fmla="+- 0 10488 1588"/>
                              <a:gd name="T57" fmla="*/ T56 w 8901"/>
                              <a:gd name="T58" fmla="+- 0 715 262"/>
                              <a:gd name="T59" fmla="*/ 715 h 4148"/>
                              <a:gd name="T60" fmla="+- 0 10482 1588"/>
                              <a:gd name="T61" fmla="*/ T60 w 8901"/>
                              <a:gd name="T62" fmla="+- 0 642 262"/>
                              <a:gd name="T63" fmla="*/ 642 h 4148"/>
                              <a:gd name="T64" fmla="+- 0 10465 1588"/>
                              <a:gd name="T65" fmla="*/ T64 w 8901"/>
                              <a:gd name="T66" fmla="+- 0 572 262"/>
                              <a:gd name="T67" fmla="*/ 572 h 4148"/>
                              <a:gd name="T68" fmla="+- 0 10438 1588"/>
                              <a:gd name="T69" fmla="*/ T68 w 8901"/>
                              <a:gd name="T70" fmla="+- 0 507 262"/>
                              <a:gd name="T71" fmla="*/ 507 h 4148"/>
                              <a:gd name="T72" fmla="+- 0 10401 1588"/>
                              <a:gd name="T73" fmla="*/ T72 w 8901"/>
                              <a:gd name="T74" fmla="+- 0 448 262"/>
                              <a:gd name="T75" fmla="*/ 448 h 4148"/>
                              <a:gd name="T76" fmla="+- 0 10355 1588"/>
                              <a:gd name="T77" fmla="*/ T76 w 8901"/>
                              <a:gd name="T78" fmla="+- 0 395 262"/>
                              <a:gd name="T79" fmla="*/ 395 h 4148"/>
                              <a:gd name="T80" fmla="+- 0 10303 1588"/>
                              <a:gd name="T81" fmla="*/ T80 w 8901"/>
                              <a:gd name="T82" fmla="+- 0 349 262"/>
                              <a:gd name="T83" fmla="*/ 349 h 4148"/>
                              <a:gd name="T84" fmla="+- 0 10243 1588"/>
                              <a:gd name="T85" fmla="*/ T84 w 8901"/>
                              <a:gd name="T86" fmla="+- 0 313 262"/>
                              <a:gd name="T87" fmla="*/ 313 h 4148"/>
                              <a:gd name="T88" fmla="+- 0 10178 1588"/>
                              <a:gd name="T89" fmla="*/ T88 w 8901"/>
                              <a:gd name="T90" fmla="+- 0 285 262"/>
                              <a:gd name="T91" fmla="*/ 285 h 4148"/>
                              <a:gd name="T92" fmla="+- 0 10108 1588"/>
                              <a:gd name="T93" fmla="*/ T92 w 8901"/>
                              <a:gd name="T94" fmla="+- 0 268 262"/>
                              <a:gd name="T95" fmla="*/ 268 h 4148"/>
                              <a:gd name="T96" fmla="+- 0 10035 1588"/>
                              <a:gd name="T97" fmla="*/ T96 w 8901"/>
                              <a:gd name="T98" fmla="+- 0 262 262"/>
                              <a:gd name="T99" fmla="*/ 262 h 4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901" h="4148">
                                <a:moveTo>
                                  <a:pt x="8447" y="0"/>
                                </a:moveTo>
                                <a:lnTo>
                                  <a:pt x="0" y="0"/>
                                </a:lnTo>
                                <a:lnTo>
                                  <a:pt x="0" y="4147"/>
                                </a:lnTo>
                                <a:lnTo>
                                  <a:pt x="8447" y="4147"/>
                                </a:lnTo>
                                <a:lnTo>
                                  <a:pt x="8520" y="4141"/>
                                </a:lnTo>
                                <a:lnTo>
                                  <a:pt x="8590" y="4124"/>
                                </a:lnTo>
                                <a:lnTo>
                                  <a:pt x="8655" y="4097"/>
                                </a:lnTo>
                                <a:lnTo>
                                  <a:pt x="8715" y="4060"/>
                                </a:lnTo>
                                <a:lnTo>
                                  <a:pt x="8767" y="4014"/>
                                </a:lnTo>
                                <a:lnTo>
                                  <a:pt x="8813" y="3962"/>
                                </a:lnTo>
                                <a:lnTo>
                                  <a:pt x="8850" y="3902"/>
                                </a:lnTo>
                                <a:lnTo>
                                  <a:pt x="8877" y="3837"/>
                                </a:lnTo>
                                <a:lnTo>
                                  <a:pt x="8894" y="3767"/>
                                </a:lnTo>
                                <a:lnTo>
                                  <a:pt x="8900" y="3694"/>
                                </a:lnTo>
                                <a:lnTo>
                                  <a:pt x="8900" y="453"/>
                                </a:lnTo>
                                <a:lnTo>
                                  <a:pt x="8894" y="380"/>
                                </a:lnTo>
                                <a:lnTo>
                                  <a:pt x="8877" y="310"/>
                                </a:lnTo>
                                <a:lnTo>
                                  <a:pt x="8850" y="245"/>
                                </a:lnTo>
                                <a:lnTo>
                                  <a:pt x="8813" y="186"/>
                                </a:lnTo>
                                <a:lnTo>
                                  <a:pt x="8767" y="133"/>
                                </a:lnTo>
                                <a:lnTo>
                                  <a:pt x="8715" y="87"/>
                                </a:lnTo>
                                <a:lnTo>
                                  <a:pt x="8655" y="51"/>
                                </a:lnTo>
                                <a:lnTo>
                                  <a:pt x="8590" y="23"/>
                                </a:lnTo>
                                <a:lnTo>
                                  <a:pt x="8520" y="6"/>
                                </a:lnTo>
                                <a:lnTo>
                                  <a:pt x="8447" y="0"/>
                                </a:lnTo>
                                <a:close/>
                              </a:path>
                            </a:pathLst>
                          </a:custGeom>
                          <a:solidFill>
                            <a:srgbClr val="C6E0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545382" name="Freeform 29"/>
                        <wps:cNvSpPr>
                          <a:spLocks/>
                        </wps:cNvSpPr>
                        <wps:spPr bwMode="auto">
                          <a:xfrm>
                            <a:off x="1417" y="509"/>
                            <a:ext cx="4230" cy="520"/>
                          </a:xfrm>
                          <a:custGeom>
                            <a:avLst/>
                            <a:gdLst>
                              <a:gd name="T0" fmla="+- 0 4389 1417"/>
                              <a:gd name="T1" fmla="*/ T0 w 3232"/>
                              <a:gd name="T2" fmla="+- 0 509 509"/>
                              <a:gd name="T3" fmla="*/ 509 h 520"/>
                              <a:gd name="T4" fmla="+- 0 1417 1417"/>
                              <a:gd name="T5" fmla="*/ T4 w 3232"/>
                              <a:gd name="T6" fmla="+- 0 509 509"/>
                              <a:gd name="T7" fmla="*/ 509 h 520"/>
                              <a:gd name="T8" fmla="+- 0 1417 1417"/>
                              <a:gd name="T9" fmla="*/ T8 w 3232"/>
                              <a:gd name="T10" fmla="+- 0 1029 509"/>
                              <a:gd name="T11" fmla="*/ 1029 h 520"/>
                              <a:gd name="T12" fmla="+- 0 4389 1417"/>
                              <a:gd name="T13" fmla="*/ T12 w 3232"/>
                              <a:gd name="T14" fmla="+- 0 1029 509"/>
                              <a:gd name="T15" fmla="*/ 1029 h 520"/>
                              <a:gd name="T16" fmla="+- 0 4458 1417"/>
                              <a:gd name="T17" fmla="*/ T16 w 3232"/>
                              <a:gd name="T18" fmla="+- 0 1019 509"/>
                              <a:gd name="T19" fmla="*/ 1019 h 520"/>
                              <a:gd name="T20" fmla="+- 0 4520 1417"/>
                              <a:gd name="T21" fmla="*/ T20 w 3232"/>
                              <a:gd name="T22" fmla="+- 0 993 509"/>
                              <a:gd name="T23" fmla="*/ 993 h 520"/>
                              <a:gd name="T24" fmla="+- 0 4573 1417"/>
                              <a:gd name="T25" fmla="*/ T24 w 3232"/>
                              <a:gd name="T26" fmla="+- 0 952 509"/>
                              <a:gd name="T27" fmla="*/ 952 h 520"/>
                              <a:gd name="T28" fmla="+- 0 4613 1417"/>
                              <a:gd name="T29" fmla="*/ T28 w 3232"/>
                              <a:gd name="T30" fmla="+- 0 900 509"/>
                              <a:gd name="T31" fmla="*/ 900 h 520"/>
                              <a:gd name="T32" fmla="+- 0 4640 1417"/>
                              <a:gd name="T33" fmla="*/ T32 w 3232"/>
                              <a:gd name="T34" fmla="+- 0 838 509"/>
                              <a:gd name="T35" fmla="*/ 838 h 520"/>
                              <a:gd name="T36" fmla="+- 0 4649 1417"/>
                              <a:gd name="T37" fmla="*/ T36 w 3232"/>
                              <a:gd name="T38" fmla="+- 0 769 509"/>
                              <a:gd name="T39" fmla="*/ 769 h 520"/>
                              <a:gd name="T40" fmla="+- 0 4640 1417"/>
                              <a:gd name="T41" fmla="*/ T40 w 3232"/>
                              <a:gd name="T42" fmla="+- 0 700 509"/>
                              <a:gd name="T43" fmla="*/ 700 h 520"/>
                              <a:gd name="T44" fmla="+- 0 4613 1417"/>
                              <a:gd name="T45" fmla="*/ T44 w 3232"/>
                              <a:gd name="T46" fmla="+- 0 638 509"/>
                              <a:gd name="T47" fmla="*/ 638 h 520"/>
                              <a:gd name="T48" fmla="+- 0 4573 1417"/>
                              <a:gd name="T49" fmla="*/ T48 w 3232"/>
                              <a:gd name="T50" fmla="+- 0 585 509"/>
                              <a:gd name="T51" fmla="*/ 585 h 520"/>
                              <a:gd name="T52" fmla="+- 0 4520 1417"/>
                              <a:gd name="T53" fmla="*/ T52 w 3232"/>
                              <a:gd name="T54" fmla="+- 0 545 509"/>
                              <a:gd name="T55" fmla="*/ 545 h 520"/>
                              <a:gd name="T56" fmla="+- 0 4458 1417"/>
                              <a:gd name="T57" fmla="*/ T56 w 3232"/>
                              <a:gd name="T58" fmla="+- 0 519 509"/>
                              <a:gd name="T59" fmla="*/ 519 h 520"/>
                              <a:gd name="T60" fmla="+- 0 4389 1417"/>
                              <a:gd name="T61" fmla="*/ T60 w 3232"/>
                              <a:gd name="T62" fmla="+- 0 509 509"/>
                              <a:gd name="T63" fmla="*/ 509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32" h="520">
                                <a:moveTo>
                                  <a:pt x="2972" y="0"/>
                                </a:moveTo>
                                <a:lnTo>
                                  <a:pt x="0" y="0"/>
                                </a:lnTo>
                                <a:lnTo>
                                  <a:pt x="0" y="520"/>
                                </a:lnTo>
                                <a:lnTo>
                                  <a:pt x="2972" y="520"/>
                                </a:lnTo>
                                <a:lnTo>
                                  <a:pt x="3041" y="510"/>
                                </a:lnTo>
                                <a:lnTo>
                                  <a:pt x="3103" y="484"/>
                                </a:lnTo>
                                <a:lnTo>
                                  <a:pt x="3156" y="443"/>
                                </a:lnTo>
                                <a:lnTo>
                                  <a:pt x="3196" y="391"/>
                                </a:lnTo>
                                <a:lnTo>
                                  <a:pt x="3223" y="329"/>
                                </a:lnTo>
                                <a:lnTo>
                                  <a:pt x="3232" y="260"/>
                                </a:lnTo>
                                <a:lnTo>
                                  <a:pt x="3223" y="191"/>
                                </a:lnTo>
                                <a:lnTo>
                                  <a:pt x="3196" y="129"/>
                                </a:lnTo>
                                <a:lnTo>
                                  <a:pt x="3156" y="76"/>
                                </a:lnTo>
                                <a:lnTo>
                                  <a:pt x="3103" y="36"/>
                                </a:lnTo>
                                <a:lnTo>
                                  <a:pt x="3041" y="10"/>
                                </a:lnTo>
                                <a:lnTo>
                                  <a:pt x="2972" y="0"/>
                                </a:lnTo>
                                <a:close/>
                              </a:path>
                            </a:pathLst>
                          </a:custGeom>
                          <a:solidFill>
                            <a:srgbClr val="009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30167" name="Text Box 30"/>
                        <wps:cNvSpPr txBox="1">
                          <a:spLocks noChangeArrowheads="1"/>
                        </wps:cNvSpPr>
                        <wps:spPr bwMode="auto">
                          <a:xfrm>
                            <a:off x="1847" y="261"/>
                            <a:ext cx="8641" cy="4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EA187" w14:textId="77777777" w:rsidR="008A0E77" w:rsidRDefault="008A0E77" w:rsidP="008A0E77">
                              <w:pPr>
                                <w:spacing w:before="5"/>
                                <w:rPr>
                                  <w:sz w:val="31"/>
                                </w:rPr>
                              </w:pPr>
                            </w:p>
                            <w:p w14:paraId="7CA79F11" w14:textId="77777777" w:rsidR="008A0E77" w:rsidRDefault="008A0E77" w:rsidP="008A0E77">
                              <w:pPr>
                                <w:rPr>
                                  <w:b/>
                                  <w:color w:val="FFFFFF"/>
                                  <w:w w:val="115"/>
                                </w:rPr>
                              </w:pPr>
                              <w:r w:rsidRPr="004E4F2C">
                                <w:rPr>
                                  <w:b/>
                                  <w:color w:val="FFFFFF"/>
                                  <w:w w:val="115"/>
                                  <w:lang w:val="uk-UA"/>
                                </w:rPr>
                                <w:t xml:space="preserve">Інформаційний блок </w:t>
                              </w:r>
                              <w:r>
                                <w:rPr>
                                  <w:b/>
                                  <w:color w:val="FFFFFF"/>
                                  <w:w w:val="115"/>
                                </w:rPr>
                                <w:t xml:space="preserve">2.4.3.1 </w:t>
                              </w:r>
                            </w:p>
                            <w:p w14:paraId="458E517A" w14:textId="77777777" w:rsidR="008A0E77" w:rsidRDefault="008A0E77" w:rsidP="008A0E77">
                              <w:pPr>
                                <w:rPr>
                                  <w:b/>
                                </w:rPr>
                              </w:pPr>
                              <w:r>
                                <w:rPr>
                                  <w:b/>
                                  <w:color w:val="FFFFFF"/>
                                  <w:w w:val="115"/>
                                  <w:lang w:val="uk-UA"/>
                                </w:rPr>
                                <w:t xml:space="preserve">Запитання формату </w:t>
                              </w:r>
                              <w:r>
                                <w:rPr>
                                  <w:b/>
                                  <w:color w:val="FFFFFF"/>
                                  <w:w w:val="115"/>
                                </w:rPr>
                                <w:t xml:space="preserve">PICO </w:t>
                              </w:r>
                            </w:p>
                            <w:p w14:paraId="7FD88A5C" w14:textId="77777777" w:rsidR="008A0E77" w:rsidRDefault="008A0E77" w:rsidP="008A0E77">
                              <w:pPr>
                                <w:spacing w:before="2"/>
                                <w:rPr>
                                  <w:b/>
                                  <w:sz w:val="25"/>
                                </w:rPr>
                              </w:pPr>
                            </w:p>
                            <w:p w14:paraId="3140F1D8" w14:textId="77777777" w:rsidR="008A0E77" w:rsidRDefault="008A0E77" w:rsidP="004A2937">
                              <w:pPr>
                                <w:numPr>
                                  <w:ilvl w:val="0"/>
                                  <w:numId w:val="43"/>
                                </w:numPr>
                                <w:tabs>
                                  <w:tab w:val="left" w:pos="1276"/>
                                </w:tabs>
                                <w:spacing w:line="276" w:lineRule="auto"/>
                                <w:ind w:left="426" w:right="352"/>
                                <w:rPr>
                                  <w:b/>
                                </w:rPr>
                              </w:pPr>
                              <w:r w:rsidRPr="00570184">
                                <w:rPr>
                                  <w:b/>
                                  <w:w w:val="115"/>
                                </w:rPr>
                                <w:t xml:space="preserve">Чи </w:t>
                              </w:r>
                              <w:r>
                                <w:rPr>
                                  <w:b/>
                                  <w:w w:val="115"/>
                                  <w:lang w:val="uk-UA"/>
                                </w:rPr>
                                <w:t>слід</w:t>
                              </w:r>
                              <w:r w:rsidRPr="00570184">
                                <w:rPr>
                                  <w:b/>
                                  <w:w w:val="115"/>
                                </w:rPr>
                                <w:t xml:space="preserve"> використовувати тест</w:t>
                              </w:r>
                              <w:r>
                                <w:rPr>
                                  <w:b/>
                                  <w:w w:val="115"/>
                                  <w:lang w:val="uk-UA"/>
                                </w:rPr>
                                <w:t>-систему</w:t>
                              </w:r>
                              <w:r w:rsidRPr="00570184">
                                <w:rPr>
                                  <w:b/>
                                  <w:w w:val="115"/>
                                </w:rPr>
                                <w:t xml:space="preserve"> MTBDR</w:t>
                              </w:r>
                              <w:r w:rsidRPr="00570184">
                                <w:rPr>
                                  <w:b/>
                                  <w:i/>
                                  <w:w w:val="115"/>
                                </w:rPr>
                                <w:t>sl</w:t>
                              </w:r>
                              <w:r w:rsidRPr="00570184">
                                <w:rPr>
                                  <w:b/>
                                  <w:w w:val="115"/>
                                </w:rPr>
                                <w:t xml:space="preserve"> для </w:t>
                              </w:r>
                              <w:bookmarkStart w:id="78" w:name="_Hlk196898299"/>
                              <w:r>
                                <w:rPr>
                                  <w:b/>
                                  <w:w w:val="115"/>
                                  <w:lang w:val="uk-UA"/>
                                </w:rPr>
                                <w:t>обґрунтуванн</w:t>
                              </w:r>
                              <w:bookmarkEnd w:id="78"/>
                              <w:r>
                                <w:rPr>
                                  <w:b/>
                                  <w:w w:val="115"/>
                                  <w:lang w:val="uk-UA"/>
                                </w:rPr>
                                <w:t>я</w:t>
                              </w:r>
                              <w:r w:rsidRPr="00570184">
                                <w:rPr>
                                  <w:b/>
                                  <w:w w:val="115"/>
                                </w:rPr>
                                <w:t xml:space="preserve"> клінічних рішень щодо використання фторхінолонів у пацієнтів </w:t>
                              </w:r>
                              <w:r>
                                <w:rPr>
                                  <w:b/>
                                  <w:w w:val="115"/>
                                  <w:lang w:val="uk-UA"/>
                                </w:rPr>
                                <w:t>і</w:t>
                              </w:r>
                              <w:r w:rsidRPr="00570184">
                                <w:rPr>
                                  <w:b/>
                                  <w:w w:val="115"/>
                                </w:rPr>
                                <w:t>з підтвердженим М</w:t>
                              </w:r>
                              <w:r w:rsidRPr="00955048">
                                <w:rPr>
                                  <w:b/>
                                  <w:w w:val="115"/>
                                </w:rPr>
                                <w:t>ЛС</w:t>
                              </w:r>
                              <w:r w:rsidRPr="00570184">
                                <w:rPr>
                                  <w:b/>
                                  <w:w w:val="115"/>
                                </w:rPr>
                                <w:t>/Р</w:t>
                              </w:r>
                              <w:r>
                                <w:rPr>
                                  <w:b/>
                                  <w:w w:val="115"/>
                                  <w:lang w:val="uk-UA"/>
                                </w:rPr>
                                <w:t>иф</w:t>
                              </w:r>
                              <w:r w:rsidRPr="00570184">
                                <w:rPr>
                                  <w:b/>
                                  <w:w w:val="115"/>
                                </w:rPr>
                                <w:t>-ТБ?</w:t>
                              </w:r>
                            </w:p>
                            <w:p w14:paraId="238AC037" w14:textId="5A20E81A" w:rsidR="008A0E77" w:rsidRPr="006B6651" w:rsidRDefault="008A0E77" w:rsidP="008A0E77">
                              <w:pPr>
                                <w:tabs>
                                  <w:tab w:val="left" w:pos="1276"/>
                                </w:tabs>
                                <w:spacing w:before="60"/>
                                <w:ind w:left="426"/>
                                <w:rPr>
                                  <w:lang w:val="ru-RU"/>
                                </w:rPr>
                              </w:pPr>
                              <w:r w:rsidRPr="003C6DAE">
                                <w:rPr>
                                  <w:rFonts w:ascii="Wingdings" w:hAnsi="Wingdings"/>
                                  <w:color w:val="019648"/>
                                  <w:sz w:val="20"/>
                                  <w:szCs w:val="20"/>
                                  <w:lang w:val="uk-UA"/>
                                </w:rPr>
                                <w:t></w:t>
                              </w:r>
                              <w:r>
                                <w:rPr>
                                  <w:rFonts w:ascii="Wingdings" w:hAnsi="Wingdings"/>
                                  <w:color w:val="019648"/>
                                  <w:sz w:val="20"/>
                                  <w:szCs w:val="20"/>
                                  <w:lang w:val="uk-UA"/>
                                </w:rPr>
                                <w:t xml:space="preserve"> </w:t>
                              </w:r>
                              <w:r w:rsidRPr="006B6651">
                                <w:rPr>
                                  <w:w w:val="110"/>
                                  <w:lang w:val="ru-RU"/>
                                </w:rPr>
                                <w:t>Пряме тестування (стратифіковане за градацією мазка: мазок негативний; мі</w:t>
                              </w:r>
                              <w:r w:rsidRPr="007A088B">
                                <w:rPr>
                                  <w:w w:val="110"/>
                                  <w:lang w:val="uk-UA"/>
                                </w:rPr>
                                <w:t>німальний</w:t>
                              </w:r>
                              <w:r w:rsidRPr="006B6651">
                                <w:rPr>
                                  <w:w w:val="110"/>
                                  <w:lang w:val="ru-RU"/>
                                </w:rPr>
                                <w:t>; 1+; ≥2+).</w:t>
                              </w:r>
                            </w:p>
                            <w:p w14:paraId="1CFCC22B" w14:textId="4A49D642" w:rsidR="008A0E77" w:rsidRDefault="008A0E77" w:rsidP="008A0E77">
                              <w:pPr>
                                <w:tabs>
                                  <w:tab w:val="left" w:pos="1276"/>
                                </w:tabs>
                                <w:spacing w:before="154"/>
                                <w:ind w:left="426"/>
                              </w:pPr>
                              <w:r w:rsidRPr="003C6DAE">
                                <w:rPr>
                                  <w:rFonts w:ascii="Wingdings" w:hAnsi="Wingdings"/>
                                  <w:color w:val="019648"/>
                                  <w:sz w:val="20"/>
                                  <w:szCs w:val="20"/>
                                  <w:lang w:val="uk-UA"/>
                                </w:rPr>
                                <w:t></w:t>
                              </w:r>
                              <w:r>
                                <w:rPr>
                                  <w:rFonts w:ascii="Wingdings" w:hAnsi="Wingdings"/>
                                  <w:color w:val="019648"/>
                                  <w:sz w:val="20"/>
                                  <w:szCs w:val="20"/>
                                  <w:lang w:val="uk-UA"/>
                                </w:rPr>
                                <w:t xml:space="preserve"> </w:t>
                              </w:r>
                              <w:r w:rsidRPr="00570184">
                                <w:rPr>
                                  <w:w w:val="110"/>
                                </w:rPr>
                                <w:t>Непряме тестування.</w:t>
                              </w:r>
                            </w:p>
                            <w:p w14:paraId="27B1AA56" w14:textId="77777777" w:rsidR="008A0E77" w:rsidRDefault="008A0E77" w:rsidP="004A2937">
                              <w:pPr>
                                <w:numPr>
                                  <w:ilvl w:val="0"/>
                                  <w:numId w:val="43"/>
                                </w:numPr>
                                <w:tabs>
                                  <w:tab w:val="left" w:pos="1276"/>
                                </w:tabs>
                                <w:spacing w:before="155" w:line="276" w:lineRule="auto"/>
                                <w:ind w:left="426" w:right="356"/>
                                <w:rPr>
                                  <w:b/>
                                </w:rPr>
                              </w:pPr>
                              <w:r w:rsidRPr="00570184">
                                <w:rPr>
                                  <w:b/>
                                  <w:w w:val="115"/>
                                </w:rPr>
                                <w:t xml:space="preserve">Чи </w:t>
                              </w:r>
                              <w:r>
                                <w:rPr>
                                  <w:b/>
                                  <w:w w:val="115"/>
                                  <w:lang w:val="uk-UA"/>
                                </w:rPr>
                                <w:t>слід</w:t>
                              </w:r>
                              <w:r w:rsidRPr="00570184">
                                <w:rPr>
                                  <w:b/>
                                  <w:w w:val="115"/>
                                </w:rPr>
                                <w:t xml:space="preserve"> використовувати тест</w:t>
                              </w:r>
                              <w:r>
                                <w:rPr>
                                  <w:b/>
                                  <w:w w:val="115"/>
                                  <w:lang w:val="uk-UA"/>
                                </w:rPr>
                                <w:t>-систему</w:t>
                              </w:r>
                              <w:r w:rsidRPr="00570184">
                                <w:rPr>
                                  <w:b/>
                                  <w:w w:val="115"/>
                                </w:rPr>
                                <w:t xml:space="preserve"> MTBDR</w:t>
                              </w:r>
                              <w:r w:rsidRPr="00570184">
                                <w:rPr>
                                  <w:b/>
                                  <w:i/>
                                  <w:w w:val="115"/>
                                </w:rPr>
                                <w:t>sl</w:t>
                              </w:r>
                              <w:r w:rsidRPr="00570184">
                                <w:rPr>
                                  <w:b/>
                                  <w:w w:val="115"/>
                                </w:rPr>
                                <w:t xml:space="preserve"> для обґрунтуванні</w:t>
                              </w:r>
                              <w:r>
                                <w:rPr>
                                  <w:b/>
                                  <w:w w:val="115"/>
                                  <w:lang w:val="uk-UA"/>
                                </w:rPr>
                                <w:t xml:space="preserve">я </w:t>
                              </w:r>
                              <w:r w:rsidRPr="00570184">
                                <w:rPr>
                                  <w:b/>
                                  <w:w w:val="115"/>
                                </w:rPr>
                                <w:t xml:space="preserve">клінічних рішень щодо використання ІПДР у пацієнтів </w:t>
                              </w:r>
                              <w:r>
                                <w:rPr>
                                  <w:b/>
                                  <w:w w:val="115"/>
                                  <w:lang w:val="uk-UA"/>
                                </w:rPr>
                                <w:t>і</w:t>
                              </w:r>
                              <w:r w:rsidRPr="00570184">
                                <w:rPr>
                                  <w:b/>
                                  <w:w w:val="115"/>
                                </w:rPr>
                                <w:t>з діагностованим М</w:t>
                              </w:r>
                              <w:r w:rsidRPr="00955048">
                                <w:rPr>
                                  <w:b/>
                                  <w:w w:val="115"/>
                                </w:rPr>
                                <w:t>ЛС</w:t>
                              </w:r>
                              <w:r w:rsidRPr="00570184">
                                <w:rPr>
                                  <w:b/>
                                  <w:w w:val="115"/>
                                </w:rPr>
                                <w:t>/Р</w:t>
                              </w:r>
                              <w:r>
                                <w:rPr>
                                  <w:b/>
                                  <w:w w:val="115"/>
                                  <w:lang w:val="uk-UA"/>
                                </w:rPr>
                                <w:t>иф</w:t>
                              </w:r>
                              <w:r w:rsidRPr="00570184">
                                <w:rPr>
                                  <w:b/>
                                  <w:w w:val="115"/>
                                </w:rPr>
                                <w:t>-ТБ?</w:t>
                              </w:r>
                            </w:p>
                            <w:p w14:paraId="65E0805A" w14:textId="073F4FDE" w:rsidR="008A0E77" w:rsidRPr="006B6651" w:rsidRDefault="008A0E77" w:rsidP="008A0E77">
                              <w:pPr>
                                <w:tabs>
                                  <w:tab w:val="left" w:pos="1276"/>
                                </w:tabs>
                                <w:spacing w:before="59"/>
                                <w:ind w:left="426"/>
                                <w:rPr>
                                  <w:lang w:val="ru-RU"/>
                                </w:rPr>
                              </w:pPr>
                              <w:r w:rsidRPr="003C6DAE">
                                <w:rPr>
                                  <w:rFonts w:ascii="Wingdings" w:hAnsi="Wingdings"/>
                                  <w:color w:val="019648"/>
                                  <w:sz w:val="20"/>
                                  <w:szCs w:val="20"/>
                                  <w:lang w:val="uk-UA"/>
                                </w:rPr>
                                <w:t></w:t>
                              </w:r>
                              <w:r>
                                <w:rPr>
                                  <w:rFonts w:ascii="Wingdings" w:hAnsi="Wingdings"/>
                                  <w:color w:val="019648"/>
                                  <w:sz w:val="20"/>
                                  <w:szCs w:val="20"/>
                                  <w:lang w:val="uk-UA"/>
                                </w:rPr>
                                <w:t xml:space="preserve"> </w:t>
                              </w:r>
                              <w:r w:rsidRPr="006B6651">
                                <w:rPr>
                                  <w:w w:val="110"/>
                                  <w:lang w:val="ru-RU"/>
                                </w:rPr>
                                <w:t>Пряме тестування (стратифіковане за градацією мазка: мазок негативний; мі</w:t>
                              </w:r>
                              <w:r w:rsidRPr="007A088B">
                                <w:rPr>
                                  <w:w w:val="110"/>
                                  <w:lang w:val="uk-UA"/>
                                </w:rPr>
                                <w:t>німальний</w:t>
                              </w:r>
                              <w:r w:rsidRPr="006B6651">
                                <w:rPr>
                                  <w:w w:val="110"/>
                                  <w:lang w:val="ru-RU"/>
                                </w:rPr>
                                <w:t>; 1+; ≥2+).</w:t>
                              </w:r>
                            </w:p>
                            <w:p w14:paraId="70A8F819" w14:textId="5292283D" w:rsidR="008A0E77" w:rsidRDefault="008A0E77" w:rsidP="008A0E77">
                              <w:pPr>
                                <w:tabs>
                                  <w:tab w:val="left" w:pos="1276"/>
                                </w:tabs>
                                <w:spacing w:before="155"/>
                                <w:ind w:left="426"/>
                              </w:pPr>
                              <w:r w:rsidRPr="003C6DAE">
                                <w:rPr>
                                  <w:rFonts w:ascii="Wingdings" w:hAnsi="Wingdings"/>
                                  <w:color w:val="019648"/>
                                  <w:sz w:val="20"/>
                                  <w:szCs w:val="20"/>
                                  <w:lang w:val="uk-UA"/>
                                </w:rPr>
                                <w:t></w:t>
                              </w:r>
                              <w:r>
                                <w:rPr>
                                  <w:rFonts w:ascii="Wingdings" w:hAnsi="Wingdings"/>
                                  <w:color w:val="019648"/>
                                  <w:sz w:val="20"/>
                                  <w:szCs w:val="20"/>
                                  <w:lang w:val="uk-UA"/>
                                </w:rPr>
                                <w:t xml:space="preserve"> </w:t>
                              </w:r>
                              <w:r w:rsidRPr="00570184">
                                <w:rPr>
                                  <w:w w:val="110"/>
                                </w:rPr>
                                <w:t>Непряме тестування.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38C20" id="Групувати 1757673964" o:spid="_x0000_s1155" style="position:absolute;margin-left:69.5pt;margin-top:12.45pt;width:455.55pt;height:257.5pt;z-index:-15115776;mso-wrap-distance-left:0;mso-wrap-distance-right:0;mso-position-horizontal-relative:page;mso-position-vertical-relative:text" coordorigin="1377,261" coordsize="9111,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">
                <v:shape id="Freeform 28" o:spid="_x0000_s1156" style="position:absolute;left:1377;top:261;width:9111;height:4148;visibility:visible;mso-wrap-style:square;v-text-anchor:top" coordsize="890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" path="m8447,l,,,4147r8447,l8520,4141r70,-17l8655,4097r60,-37l8767,4014r46,-52l8850,3902r27,-65l8894,3767r6,-73l8900,453r-6,-73l8877,310r-27,-65l8813,186r-46,-53l8715,87,8655,51,8590,23,8520,6,8447,xe" fillcolor="#c6e0ce" stroked="f">
                  <v:path arrowok="t" o:connecttype="custom" o:connectlocs="8646,262;0,262;0,4409;8646,4409;8721,4403;8793,4386;8859,4359;8921,4322;8974,4276;9021,4224;9059,4164;9086,4099;9104,4029;9110,3956;9110,715;9104,642;9086,572;9059,507;9021,448;8974,395;8921,349;8859,313;8793,285;8721,268;8646,262" o:connectangles="0,0,0,0,0,0,0,0,0,0,0,0,0,0,0,0,0,0,0,0,0,0,0,0,0"/>
                </v:shape>
                <v:shape id="Freeform 29" o:spid="_x0000_s1157" style="position:absolute;left:1417;top:509;width:4230;height:520;visibility:visible;mso-wrap-style:square;v-text-anchor:top" coordsize="32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" path="m2972,l,,,520r2972,l3041,510r62,-26l3156,443r40,-52l3223,329r9,-69l3223,191r-27,-62l3156,76,3103,36,3041,10,2972,xe" fillcolor="#009649" stroked="f">
                  <v:path arrowok="t" o:connecttype="custom" o:connectlocs="3890,509;0,509;0,1029;3890,1029;3980,1019;4061,993;4131,952;4183,900;4218,838;4230,769;4218,700;4183,638;4131,585;4061,545;3980,519;3890,509" o:connectangles="0,0,0,0,0,0,0,0,0,0,0,0,0,0,0,0"/>
                </v:shape>
                <v:shape id="Text Box 30" o:spid="_x0000_s1158" type="#_x0000_t202" style="position:absolute;left:1847;top:261;width:8641;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" filled="f" stroked="f">
                  <v:textbox inset="0,0,0,0">
                    <w:txbxContent>
                      <w:p w14:paraId="4C9EA187" w14:textId="77777777" w:rsidR="008A0E77" w:rsidRDefault="008A0E77" w:rsidP="008A0E77">
                        <w:pPr>
                          <w:spacing w:before="5"/>
                          <w:rPr>
                            <w:sz w:val="31"/>
                          </w:rPr>
                        </w:pPr>
                      </w:p>
                      <w:p w14:paraId="7CA79F11" w14:textId="77777777" w:rsidR="008A0E77" w:rsidRDefault="008A0E77" w:rsidP="008A0E77">
                        <w:pPr>
                          <w:rPr>
                            <w:b/>
                            <w:color w:val="FFFFFF"/>
                            <w:w w:val="115"/>
                          </w:rPr>
                        </w:pPr>
                        <w:r w:rsidRPr="004E4F2C">
                          <w:rPr>
                            <w:b/>
                            <w:color w:val="FFFFFF"/>
                            <w:w w:val="115"/>
                            <w:lang w:val="uk-UA"/>
                          </w:rPr>
                          <w:t xml:space="preserve">Інформаційний блок </w:t>
                        </w:r>
                        <w:r>
                          <w:rPr>
                            <w:b/>
                            <w:color w:val="FFFFFF"/>
                            <w:w w:val="115"/>
                          </w:rPr>
                          <w:t xml:space="preserve">2.4.3.1 </w:t>
                        </w:r>
                      </w:p>
                      <w:p w14:paraId="458E517A" w14:textId="77777777" w:rsidR="008A0E77" w:rsidRDefault="008A0E77" w:rsidP="008A0E77">
                        <w:pPr>
                          <w:rPr>
                            <w:b/>
                          </w:rPr>
                        </w:pPr>
                        <w:r>
                          <w:rPr>
                            <w:b/>
                            <w:color w:val="FFFFFF"/>
                            <w:w w:val="115"/>
                            <w:lang w:val="uk-UA"/>
                          </w:rPr>
                          <w:t xml:space="preserve">Запитання формату </w:t>
                        </w:r>
                        <w:r>
                          <w:rPr>
                            <w:b/>
                            <w:color w:val="FFFFFF"/>
                            <w:w w:val="115"/>
                          </w:rPr>
                          <w:t xml:space="preserve">PICO </w:t>
                        </w:r>
                      </w:p>
                      <w:p w14:paraId="7FD88A5C" w14:textId="77777777" w:rsidR="008A0E77" w:rsidRDefault="008A0E77" w:rsidP="008A0E77">
                        <w:pPr>
                          <w:spacing w:before="2"/>
                          <w:rPr>
                            <w:b/>
                            <w:sz w:val="25"/>
                          </w:rPr>
                        </w:pPr>
                      </w:p>
                      <w:p w14:paraId="3140F1D8" w14:textId="77777777" w:rsidR="008A0E77" w:rsidRDefault="008A0E77" w:rsidP="004A2937">
                        <w:pPr>
                          <w:numPr>
                            <w:ilvl w:val="0"/>
                            <w:numId w:val="43"/>
                          </w:numPr>
                          <w:tabs>
                            <w:tab w:val="left" w:pos="1276"/>
                          </w:tabs>
                          <w:spacing w:line="276" w:lineRule="auto"/>
                          <w:ind w:left="426" w:right="352"/>
                          <w:rPr>
                            <w:b/>
                          </w:rPr>
                        </w:pPr>
                        <w:r w:rsidRPr="00570184">
                          <w:rPr>
                            <w:b/>
                            <w:w w:val="115"/>
                          </w:rPr>
                          <w:t xml:space="preserve">Чи </w:t>
                        </w:r>
                        <w:r>
                          <w:rPr>
                            <w:b/>
                            <w:w w:val="115"/>
                            <w:lang w:val="uk-UA"/>
                          </w:rPr>
                          <w:t>слід</w:t>
                        </w:r>
                        <w:r w:rsidRPr="00570184">
                          <w:rPr>
                            <w:b/>
                            <w:w w:val="115"/>
                          </w:rPr>
                          <w:t xml:space="preserve"> використовувати тест</w:t>
                        </w:r>
                        <w:r>
                          <w:rPr>
                            <w:b/>
                            <w:w w:val="115"/>
                            <w:lang w:val="uk-UA"/>
                          </w:rPr>
                          <w:t>-систему</w:t>
                        </w:r>
                        <w:r w:rsidRPr="00570184">
                          <w:rPr>
                            <w:b/>
                            <w:w w:val="115"/>
                          </w:rPr>
                          <w:t xml:space="preserve"> MTBDR</w:t>
                        </w:r>
                        <w:r w:rsidRPr="00570184">
                          <w:rPr>
                            <w:b/>
                            <w:i/>
                            <w:w w:val="115"/>
                          </w:rPr>
                          <w:t>sl</w:t>
                        </w:r>
                        <w:r w:rsidRPr="00570184">
                          <w:rPr>
                            <w:b/>
                            <w:w w:val="115"/>
                          </w:rPr>
                          <w:t xml:space="preserve"> для </w:t>
                        </w:r>
                        <w:bookmarkStart w:id="79" w:name="_Hlk196898299"/>
                        <w:r>
                          <w:rPr>
                            <w:b/>
                            <w:w w:val="115"/>
                            <w:lang w:val="uk-UA"/>
                          </w:rPr>
                          <w:t>обґрунтуванн</w:t>
                        </w:r>
                        <w:bookmarkEnd w:id="79"/>
                        <w:r>
                          <w:rPr>
                            <w:b/>
                            <w:w w:val="115"/>
                            <w:lang w:val="uk-UA"/>
                          </w:rPr>
                          <w:t>я</w:t>
                        </w:r>
                        <w:r w:rsidRPr="00570184">
                          <w:rPr>
                            <w:b/>
                            <w:w w:val="115"/>
                          </w:rPr>
                          <w:t xml:space="preserve"> клінічних рішень щодо використання фторхінолонів у пацієнтів </w:t>
                        </w:r>
                        <w:r>
                          <w:rPr>
                            <w:b/>
                            <w:w w:val="115"/>
                            <w:lang w:val="uk-UA"/>
                          </w:rPr>
                          <w:t>і</w:t>
                        </w:r>
                        <w:r w:rsidRPr="00570184">
                          <w:rPr>
                            <w:b/>
                            <w:w w:val="115"/>
                          </w:rPr>
                          <w:t>з підтвердженим М</w:t>
                        </w:r>
                        <w:r w:rsidRPr="00955048">
                          <w:rPr>
                            <w:b/>
                            <w:w w:val="115"/>
                          </w:rPr>
                          <w:t>ЛС</w:t>
                        </w:r>
                        <w:r w:rsidRPr="00570184">
                          <w:rPr>
                            <w:b/>
                            <w:w w:val="115"/>
                          </w:rPr>
                          <w:t>/Р</w:t>
                        </w:r>
                        <w:r>
                          <w:rPr>
                            <w:b/>
                            <w:w w:val="115"/>
                            <w:lang w:val="uk-UA"/>
                          </w:rPr>
                          <w:t>иф</w:t>
                        </w:r>
                        <w:r w:rsidRPr="00570184">
                          <w:rPr>
                            <w:b/>
                            <w:w w:val="115"/>
                          </w:rPr>
                          <w:t>-ТБ?</w:t>
                        </w:r>
                      </w:p>
                      <w:p w14:paraId="238AC037" w14:textId="5A20E81A" w:rsidR="008A0E77" w:rsidRPr="006B6651" w:rsidRDefault="008A0E77" w:rsidP="008A0E77">
                        <w:pPr>
                          <w:tabs>
                            <w:tab w:val="left" w:pos="1276"/>
                          </w:tabs>
                          <w:spacing w:before="60"/>
                          <w:ind w:left="426"/>
                          <w:rPr>
                            <w:lang w:val="ru-RU"/>
                          </w:rPr>
                        </w:pPr>
                        <w:r w:rsidRPr="003C6DAE">
                          <w:rPr>
                            <w:rFonts w:ascii="Wingdings" w:hAnsi="Wingdings"/>
                            <w:color w:val="019648"/>
                            <w:sz w:val="20"/>
                            <w:szCs w:val="20"/>
                            <w:lang w:val="uk-UA"/>
                          </w:rPr>
                          <w:t></w:t>
                        </w:r>
                        <w:r>
                          <w:rPr>
                            <w:rFonts w:ascii="Wingdings" w:hAnsi="Wingdings"/>
                            <w:color w:val="019648"/>
                            <w:sz w:val="20"/>
                            <w:szCs w:val="20"/>
                            <w:lang w:val="uk-UA"/>
                          </w:rPr>
                          <w:t xml:space="preserve"> </w:t>
                        </w:r>
                        <w:r w:rsidRPr="006B6651">
                          <w:rPr>
                            <w:w w:val="110"/>
                            <w:lang w:val="ru-RU"/>
                          </w:rPr>
                          <w:t>Пряме тестування (стратифіковане за градацією мазка: мазок негативний; мі</w:t>
                        </w:r>
                        <w:r w:rsidRPr="007A088B">
                          <w:rPr>
                            <w:w w:val="110"/>
                            <w:lang w:val="uk-UA"/>
                          </w:rPr>
                          <w:t>німальний</w:t>
                        </w:r>
                        <w:r w:rsidRPr="006B6651">
                          <w:rPr>
                            <w:w w:val="110"/>
                            <w:lang w:val="ru-RU"/>
                          </w:rPr>
                          <w:t>; 1+; ≥2+).</w:t>
                        </w:r>
                      </w:p>
                      <w:p w14:paraId="1CFCC22B" w14:textId="4A49D642" w:rsidR="008A0E77" w:rsidRDefault="008A0E77" w:rsidP="008A0E77">
                        <w:pPr>
                          <w:tabs>
                            <w:tab w:val="left" w:pos="1276"/>
                          </w:tabs>
                          <w:spacing w:before="154"/>
                          <w:ind w:left="426"/>
                        </w:pPr>
                        <w:r w:rsidRPr="003C6DAE">
                          <w:rPr>
                            <w:rFonts w:ascii="Wingdings" w:hAnsi="Wingdings"/>
                            <w:color w:val="019648"/>
                            <w:sz w:val="20"/>
                            <w:szCs w:val="20"/>
                            <w:lang w:val="uk-UA"/>
                          </w:rPr>
                          <w:t></w:t>
                        </w:r>
                        <w:r>
                          <w:rPr>
                            <w:rFonts w:ascii="Wingdings" w:hAnsi="Wingdings"/>
                            <w:color w:val="019648"/>
                            <w:sz w:val="20"/>
                            <w:szCs w:val="20"/>
                            <w:lang w:val="uk-UA"/>
                          </w:rPr>
                          <w:t xml:space="preserve"> </w:t>
                        </w:r>
                        <w:r w:rsidRPr="00570184">
                          <w:rPr>
                            <w:w w:val="110"/>
                          </w:rPr>
                          <w:t>Непряме тестування.</w:t>
                        </w:r>
                      </w:p>
                      <w:p w14:paraId="27B1AA56" w14:textId="77777777" w:rsidR="008A0E77" w:rsidRDefault="008A0E77" w:rsidP="004A2937">
                        <w:pPr>
                          <w:numPr>
                            <w:ilvl w:val="0"/>
                            <w:numId w:val="43"/>
                          </w:numPr>
                          <w:tabs>
                            <w:tab w:val="left" w:pos="1276"/>
                          </w:tabs>
                          <w:spacing w:before="155" w:line="276" w:lineRule="auto"/>
                          <w:ind w:left="426" w:right="356"/>
                          <w:rPr>
                            <w:b/>
                          </w:rPr>
                        </w:pPr>
                        <w:r w:rsidRPr="00570184">
                          <w:rPr>
                            <w:b/>
                            <w:w w:val="115"/>
                          </w:rPr>
                          <w:t xml:space="preserve">Чи </w:t>
                        </w:r>
                        <w:r>
                          <w:rPr>
                            <w:b/>
                            <w:w w:val="115"/>
                            <w:lang w:val="uk-UA"/>
                          </w:rPr>
                          <w:t>слід</w:t>
                        </w:r>
                        <w:r w:rsidRPr="00570184">
                          <w:rPr>
                            <w:b/>
                            <w:w w:val="115"/>
                          </w:rPr>
                          <w:t xml:space="preserve"> використовувати тест</w:t>
                        </w:r>
                        <w:r>
                          <w:rPr>
                            <w:b/>
                            <w:w w:val="115"/>
                            <w:lang w:val="uk-UA"/>
                          </w:rPr>
                          <w:t>-систему</w:t>
                        </w:r>
                        <w:r w:rsidRPr="00570184">
                          <w:rPr>
                            <w:b/>
                            <w:w w:val="115"/>
                          </w:rPr>
                          <w:t xml:space="preserve"> MTBDR</w:t>
                        </w:r>
                        <w:r w:rsidRPr="00570184">
                          <w:rPr>
                            <w:b/>
                            <w:i/>
                            <w:w w:val="115"/>
                          </w:rPr>
                          <w:t>sl</w:t>
                        </w:r>
                        <w:r w:rsidRPr="00570184">
                          <w:rPr>
                            <w:b/>
                            <w:w w:val="115"/>
                          </w:rPr>
                          <w:t xml:space="preserve"> для обґрунтуванні</w:t>
                        </w:r>
                        <w:r>
                          <w:rPr>
                            <w:b/>
                            <w:w w:val="115"/>
                            <w:lang w:val="uk-UA"/>
                          </w:rPr>
                          <w:t xml:space="preserve">я </w:t>
                        </w:r>
                        <w:r w:rsidRPr="00570184">
                          <w:rPr>
                            <w:b/>
                            <w:w w:val="115"/>
                          </w:rPr>
                          <w:t xml:space="preserve">клінічних рішень щодо використання ІПДР у пацієнтів </w:t>
                        </w:r>
                        <w:r>
                          <w:rPr>
                            <w:b/>
                            <w:w w:val="115"/>
                            <w:lang w:val="uk-UA"/>
                          </w:rPr>
                          <w:t>і</w:t>
                        </w:r>
                        <w:r w:rsidRPr="00570184">
                          <w:rPr>
                            <w:b/>
                            <w:w w:val="115"/>
                          </w:rPr>
                          <w:t>з діагностованим М</w:t>
                        </w:r>
                        <w:r w:rsidRPr="00955048">
                          <w:rPr>
                            <w:b/>
                            <w:w w:val="115"/>
                          </w:rPr>
                          <w:t>ЛС</w:t>
                        </w:r>
                        <w:r w:rsidRPr="00570184">
                          <w:rPr>
                            <w:b/>
                            <w:w w:val="115"/>
                          </w:rPr>
                          <w:t>/Р</w:t>
                        </w:r>
                        <w:r>
                          <w:rPr>
                            <w:b/>
                            <w:w w:val="115"/>
                            <w:lang w:val="uk-UA"/>
                          </w:rPr>
                          <w:t>иф</w:t>
                        </w:r>
                        <w:r w:rsidRPr="00570184">
                          <w:rPr>
                            <w:b/>
                            <w:w w:val="115"/>
                          </w:rPr>
                          <w:t>-ТБ?</w:t>
                        </w:r>
                      </w:p>
                      <w:p w14:paraId="65E0805A" w14:textId="073F4FDE" w:rsidR="008A0E77" w:rsidRPr="006B6651" w:rsidRDefault="008A0E77" w:rsidP="008A0E77">
                        <w:pPr>
                          <w:tabs>
                            <w:tab w:val="left" w:pos="1276"/>
                          </w:tabs>
                          <w:spacing w:before="59"/>
                          <w:ind w:left="426"/>
                          <w:rPr>
                            <w:lang w:val="ru-RU"/>
                          </w:rPr>
                        </w:pPr>
                        <w:r w:rsidRPr="003C6DAE">
                          <w:rPr>
                            <w:rFonts w:ascii="Wingdings" w:hAnsi="Wingdings"/>
                            <w:color w:val="019648"/>
                            <w:sz w:val="20"/>
                            <w:szCs w:val="20"/>
                            <w:lang w:val="uk-UA"/>
                          </w:rPr>
                          <w:t></w:t>
                        </w:r>
                        <w:r>
                          <w:rPr>
                            <w:rFonts w:ascii="Wingdings" w:hAnsi="Wingdings"/>
                            <w:color w:val="019648"/>
                            <w:sz w:val="20"/>
                            <w:szCs w:val="20"/>
                            <w:lang w:val="uk-UA"/>
                          </w:rPr>
                          <w:t xml:space="preserve"> </w:t>
                        </w:r>
                        <w:r w:rsidRPr="006B6651">
                          <w:rPr>
                            <w:w w:val="110"/>
                            <w:lang w:val="ru-RU"/>
                          </w:rPr>
                          <w:t>Пряме тестування (стратифіковане за градацією мазка: мазок негативний; мі</w:t>
                        </w:r>
                        <w:r w:rsidRPr="007A088B">
                          <w:rPr>
                            <w:w w:val="110"/>
                            <w:lang w:val="uk-UA"/>
                          </w:rPr>
                          <w:t>німальний</w:t>
                        </w:r>
                        <w:r w:rsidRPr="006B6651">
                          <w:rPr>
                            <w:w w:val="110"/>
                            <w:lang w:val="ru-RU"/>
                          </w:rPr>
                          <w:t>; 1+; ≥2+).</w:t>
                        </w:r>
                      </w:p>
                      <w:p w14:paraId="70A8F819" w14:textId="5292283D" w:rsidR="008A0E77" w:rsidRDefault="008A0E77" w:rsidP="008A0E77">
                        <w:pPr>
                          <w:tabs>
                            <w:tab w:val="left" w:pos="1276"/>
                          </w:tabs>
                          <w:spacing w:before="155"/>
                          <w:ind w:left="426"/>
                        </w:pPr>
                        <w:r w:rsidRPr="003C6DAE">
                          <w:rPr>
                            <w:rFonts w:ascii="Wingdings" w:hAnsi="Wingdings"/>
                            <w:color w:val="019648"/>
                            <w:sz w:val="20"/>
                            <w:szCs w:val="20"/>
                            <w:lang w:val="uk-UA"/>
                          </w:rPr>
                          <w:t></w:t>
                        </w:r>
                        <w:r>
                          <w:rPr>
                            <w:rFonts w:ascii="Wingdings" w:hAnsi="Wingdings"/>
                            <w:color w:val="019648"/>
                            <w:sz w:val="20"/>
                            <w:szCs w:val="20"/>
                            <w:lang w:val="uk-UA"/>
                          </w:rPr>
                          <w:t xml:space="preserve"> </w:t>
                        </w:r>
                        <w:r w:rsidRPr="00570184">
                          <w:rPr>
                            <w:w w:val="110"/>
                          </w:rPr>
                          <w:t>Непряме тестування.</w:t>
                        </w:r>
                      </w:p>
                    </w:txbxContent>
                  </v:textbox>
                </v:shape>
                <w10:wrap type="topAndBottom" anchorx="page"/>
              </v:group>
            </w:pict>
          </mc:Fallback>
        </mc:AlternateContent>
      </w:r>
    </w:p>
    <w:p w14:paraId="75918EDB" w14:textId="16E5862D" w:rsidR="008A0E77" w:rsidRPr="006B6651" w:rsidRDefault="008A0E77" w:rsidP="00392DCF">
      <w:pPr>
        <w:pStyle w:val="a3"/>
        <w:spacing w:before="101" w:line="276" w:lineRule="auto"/>
        <w:ind w:left="567"/>
        <w:jc w:val="both"/>
        <w:rPr>
          <w:color w:val="000000" w:themeColor="text1"/>
          <w:sz w:val="20"/>
          <w:szCs w:val="20"/>
          <w:lang w:val="ru-RU"/>
        </w:rPr>
      </w:pPr>
      <w:proofErr w:type="spellStart"/>
      <w:r w:rsidRPr="006B6651">
        <w:rPr>
          <w:color w:val="000000" w:themeColor="text1"/>
          <w:w w:val="110"/>
          <w:sz w:val="20"/>
          <w:szCs w:val="20"/>
          <w:lang w:val="ru-RU"/>
        </w:rPr>
        <w:t>Було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виявлено</w:t>
      </w:r>
      <w:proofErr w:type="spellEnd"/>
      <w:r w:rsidRPr="006B6651">
        <w:rPr>
          <w:color w:val="000000" w:themeColor="text1"/>
          <w:w w:val="110"/>
          <w:sz w:val="20"/>
          <w:szCs w:val="20"/>
          <w:lang w:val="ru-RU"/>
        </w:rPr>
        <w:t xml:space="preserve"> </w:t>
      </w:r>
      <w:r w:rsidRPr="007C6AD2">
        <w:rPr>
          <w:color w:val="000000" w:themeColor="text1"/>
          <w:w w:val="110"/>
          <w:sz w:val="20"/>
          <w:szCs w:val="20"/>
          <w:lang w:val="uk-UA"/>
        </w:rPr>
        <w:t>29</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унікальних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досліджень</w:t>
      </w:r>
      <w:proofErr w:type="spellEnd"/>
      <w:r>
        <w:rPr>
          <w:color w:val="000000" w:themeColor="text1"/>
          <w:w w:val="110"/>
          <w:sz w:val="20"/>
          <w:szCs w:val="20"/>
          <w:lang w:val="uk-UA"/>
        </w:rPr>
        <w:t>. І</w:t>
      </w:r>
      <w:r w:rsidRPr="006B6651">
        <w:rPr>
          <w:color w:val="000000" w:themeColor="text1"/>
          <w:w w:val="110"/>
          <w:sz w:val="20"/>
          <w:szCs w:val="20"/>
          <w:lang w:val="ru-RU"/>
        </w:rPr>
        <w:t xml:space="preserve">з них у 26 </w:t>
      </w:r>
      <w:proofErr w:type="spellStart"/>
      <w:r w:rsidRPr="006B6651">
        <w:rPr>
          <w:color w:val="000000" w:themeColor="text1"/>
          <w:w w:val="110"/>
          <w:sz w:val="20"/>
          <w:szCs w:val="20"/>
          <w:lang w:val="ru-RU"/>
        </w:rPr>
        <w:t>оцінювали</w:t>
      </w:r>
      <w:proofErr w:type="spellEnd"/>
      <w:r w:rsidRPr="006B6651">
        <w:rPr>
          <w:color w:val="000000" w:themeColor="text1"/>
          <w:w w:val="110"/>
          <w:sz w:val="20"/>
          <w:szCs w:val="20"/>
          <w:lang w:val="ru-RU"/>
        </w:rPr>
        <w:t xml:space="preserve"> тест</w:t>
      </w:r>
      <w:r w:rsidRPr="007C6AD2">
        <w:rPr>
          <w:color w:val="000000" w:themeColor="text1"/>
          <w:w w:val="110"/>
          <w:sz w:val="20"/>
          <w:szCs w:val="20"/>
          <w:lang w:val="uk-UA"/>
        </w:rPr>
        <w:t>-систему</w:t>
      </w:r>
      <w:r w:rsidRPr="006B6651">
        <w:rPr>
          <w:color w:val="000000" w:themeColor="text1"/>
          <w:w w:val="110"/>
          <w:sz w:val="20"/>
          <w:szCs w:val="20"/>
          <w:lang w:val="ru-RU"/>
        </w:rPr>
        <w:t xml:space="preserve"> </w:t>
      </w:r>
      <w:r w:rsidRPr="007C6AD2">
        <w:rPr>
          <w:color w:val="000000" w:themeColor="text1"/>
          <w:w w:val="110"/>
          <w:sz w:val="20"/>
          <w:szCs w:val="20"/>
        </w:rPr>
        <w:t>MTBDRsl</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версії</w:t>
      </w:r>
      <w:proofErr w:type="spellEnd"/>
      <w:r w:rsidRPr="006B6651">
        <w:rPr>
          <w:color w:val="000000" w:themeColor="text1"/>
          <w:w w:val="110"/>
          <w:sz w:val="20"/>
          <w:szCs w:val="20"/>
          <w:lang w:val="ru-RU"/>
        </w:rPr>
        <w:t xml:space="preserve"> 1.0 (включаючи 21 </w:t>
      </w:r>
      <w:proofErr w:type="spellStart"/>
      <w:r w:rsidRPr="006B6651">
        <w:rPr>
          <w:color w:val="000000" w:themeColor="text1"/>
          <w:w w:val="110"/>
          <w:sz w:val="20"/>
          <w:szCs w:val="20"/>
          <w:lang w:val="ru-RU"/>
        </w:rPr>
        <w:t>дослідження</w:t>
      </w:r>
      <w:proofErr w:type="spellEnd"/>
      <w:r w:rsidRPr="006B6651">
        <w:rPr>
          <w:color w:val="000000" w:themeColor="text1"/>
          <w:w w:val="110"/>
          <w:sz w:val="20"/>
          <w:szCs w:val="20"/>
          <w:lang w:val="ru-RU"/>
        </w:rPr>
        <w:t xml:space="preserve"> з </w:t>
      </w:r>
      <w:proofErr w:type="spellStart"/>
      <w:r w:rsidRPr="006B6651">
        <w:rPr>
          <w:color w:val="000000" w:themeColor="text1"/>
          <w:w w:val="110"/>
          <w:sz w:val="20"/>
          <w:szCs w:val="20"/>
          <w:lang w:val="ru-RU"/>
        </w:rPr>
        <w:t>оригінального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Кокр</w:t>
      </w:r>
      <w:proofErr w:type="spellEnd"/>
      <w:r w:rsidRPr="007C6AD2">
        <w:rPr>
          <w:color w:val="000000" w:themeColor="text1"/>
          <w:w w:val="110"/>
          <w:sz w:val="20"/>
          <w:szCs w:val="20"/>
          <w:lang w:val="uk-UA"/>
        </w:rPr>
        <w:t>ей</w:t>
      </w:r>
      <w:proofErr w:type="spellStart"/>
      <w:r w:rsidRPr="006B6651">
        <w:rPr>
          <w:color w:val="000000" w:themeColor="text1"/>
          <w:w w:val="110"/>
          <w:sz w:val="20"/>
          <w:szCs w:val="20"/>
          <w:lang w:val="ru-RU"/>
        </w:rPr>
        <w:t>нівського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огляду</w:t>
      </w:r>
      <w:proofErr w:type="spellEnd"/>
      <w:r w:rsidRPr="006B6651">
        <w:rPr>
          <w:color w:val="000000" w:themeColor="text1"/>
          <w:w w:val="110"/>
          <w:sz w:val="20"/>
          <w:szCs w:val="20"/>
          <w:lang w:val="ru-RU"/>
        </w:rPr>
        <w:t xml:space="preserve">). У </w:t>
      </w:r>
      <w:r w:rsidRPr="007C6AD2">
        <w:rPr>
          <w:color w:val="000000" w:themeColor="text1"/>
          <w:w w:val="110"/>
          <w:sz w:val="20"/>
          <w:szCs w:val="20"/>
          <w:lang w:val="uk-UA"/>
        </w:rPr>
        <w:t>3</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дослідженнях</w:t>
      </w:r>
      <w:proofErr w:type="spellEnd"/>
      <w:r w:rsidRPr="006B6651">
        <w:rPr>
          <w:color w:val="000000" w:themeColor="text1"/>
          <w:w w:val="110"/>
          <w:sz w:val="20"/>
          <w:szCs w:val="20"/>
          <w:lang w:val="ru-RU"/>
        </w:rPr>
        <w:t xml:space="preserve"> (одному </w:t>
      </w:r>
      <w:proofErr w:type="spellStart"/>
      <w:r w:rsidRPr="006B6651">
        <w:rPr>
          <w:color w:val="000000" w:themeColor="text1"/>
          <w:w w:val="110"/>
          <w:sz w:val="20"/>
          <w:szCs w:val="20"/>
          <w:lang w:val="ru-RU"/>
        </w:rPr>
        <w:t>опублікованому</w:t>
      </w:r>
      <w:proofErr w:type="spellEnd"/>
      <w:r w:rsidRPr="006B6651">
        <w:rPr>
          <w:color w:val="000000" w:themeColor="text1"/>
          <w:w w:val="110"/>
          <w:sz w:val="20"/>
          <w:szCs w:val="20"/>
          <w:lang w:val="ru-RU"/>
        </w:rPr>
        <w:t xml:space="preserve"> та </w:t>
      </w:r>
      <w:proofErr w:type="spellStart"/>
      <w:r w:rsidRPr="006B6651">
        <w:rPr>
          <w:color w:val="000000" w:themeColor="text1"/>
          <w:w w:val="110"/>
          <w:sz w:val="20"/>
          <w:szCs w:val="20"/>
          <w:lang w:val="ru-RU"/>
        </w:rPr>
        <w:t>двох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неопублікованих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оцінювали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версію</w:t>
      </w:r>
      <w:proofErr w:type="spellEnd"/>
      <w:r w:rsidRPr="006B6651">
        <w:rPr>
          <w:color w:val="000000" w:themeColor="text1"/>
          <w:w w:val="110"/>
          <w:sz w:val="20"/>
          <w:szCs w:val="20"/>
          <w:lang w:val="ru-RU"/>
        </w:rPr>
        <w:t xml:space="preserve"> 2.0.</w:t>
      </w:r>
      <w:r w:rsidRPr="007C6AD2">
        <w:rPr>
          <w:color w:val="000000" w:themeColor="text1"/>
          <w:w w:val="110"/>
          <w:sz w:val="20"/>
          <w:szCs w:val="20"/>
          <w:lang w:val="uk-UA"/>
        </w:rPr>
        <w:t xml:space="preserve"> </w:t>
      </w:r>
      <w:proofErr w:type="spellStart"/>
      <w:r w:rsidRPr="006B6651">
        <w:rPr>
          <w:color w:val="000000" w:themeColor="text1"/>
          <w:w w:val="110"/>
          <w:sz w:val="20"/>
          <w:szCs w:val="20"/>
          <w:lang w:val="ru-RU"/>
        </w:rPr>
        <w:t>Дані</w:t>
      </w:r>
      <w:proofErr w:type="spellEnd"/>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версій</w:t>
      </w:r>
      <w:proofErr w:type="spellEnd"/>
      <w:r w:rsidRPr="006B6651">
        <w:rPr>
          <w:color w:val="000000" w:themeColor="text1"/>
          <w:w w:val="110"/>
          <w:sz w:val="20"/>
          <w:szCs w:val="20"/>
          <w:lang w:val="ru-RU"/>
        </w:rPr>
        <w:t xml:space="preserve"> 1.0 та 2.0 тест</w:t>
      </w:r>
      <w:r w:rsidRPr="007C6AD2">
        <w:rPr>
          <w:color w:val="000000" w:themeColor="text1"/>
          <w:w w:val="110"/>
          <w:sz w:val="20"/>
          <w:szCs w:val="20"/>
          <w:lang w:val="uk-UA"/>
        </w:rPr>
        <w:t>-системи</w:t>
      </w:r>
      <w:r w:rsidRPr="006B6651">
        <w:rPr>
          <w:color w:val="000000" w:themeColor="text1"/>
          <w:w w:val="110"/>
          <w:sz w:val="20"/>
          <w:szCs w:val="20"/>
          <w:lang w:val="ru-RU"/>
        </w:rPr>
        <w:t xml:space="preserve"> </w:t>
      </w:r>
      <w:r w:rsidRPr="007C6AD2">
        <w:rPr>
          <w:color w:val="000000" w:themeColor="text1"/>
          <w:w w:val="110"/>
          <w:sz w:val="20"/>
          <w:szCs w:val="20"/>
        </w:rPr>
        <w:t>MTBDR</w:t>
      </w:r>
      <w:r w:rsidRPr="007C6AD2">
        <w:rPr>
          <w:i/>
          <w:color w:val="000000" w:themeColor="text1"/>
          <w:w w:val="110"/>
          <w:sz w:val="20"/>
          <w:szCs w:val="20"/>
        </w:rPr>
        <w:t>sl</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аналізували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окремо</w:t>
      </w:r>
      <w:proofErr w:type="spellEnd"/>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первинного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аналізу</w:t>
      </w:r>
      <w:proofErr w:type="spellEnd"/>
      <w:r w:rsidRPr="006B6651">
        <w:rPr>
          <w:color w:val="000000" w:themeColor="text1"/>
          <w:w w:val="110"/>
          <w:sz w:val="20"/>
          <w:szCs w:val="20"/>
          <w:lang w:val="ru-RU"/>
        </w:rPr>
        <w:t xml:space="preserve"> </w:t>
      </w:r>
      <w:r w:rsidRPr="007C6AD2">
        <w:rPr>
          <w:color w:val="000000" w:themeColor="text1"/>
          <w:w w:val="110"/>
          <w:sz w:val="20"/>
          <w:szCs w:val="20"/>
          <w:lang w:val="uk-UA"/>
        </w:rPr>
        <w:t xml:space="preserve">в якості еталонного стандарту </w:t>
      </w:r>
      <w:proofErr w:type="spellStart"/>
      <w:r w:rsidRPr="006B6651">
        <w:rPr>
          <w:color w:val="000000" w:themeColor="text1"/>
          <w:w w:val="110"/>
          <w:sz w:val="20"/>
          <w:szCs w:val="20"/>
          <w:lang w:val="ru-RU"/>
        </w:rPr>
        <w:t>використовували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фенотиповий</w:t>
      </w:r>
      <w:proofErr w:type="spellEnd"/>
      <w:r w:rsidRPr="006B6651">
        <w:rPr>
          <w:color w:val="000000" w:themeColor="text1"/>
          <w:w w:val="110"/>
          <w:sz w:val="20"/>
          <w:szCs w:val="20"/>
          <w:lang w:val="ru-RU"/>
        </w:rPr>
        <w:t xml:space="preserve"> Т</w:t>
      </w:r>
      <w:r w:rsidRPr="007C6AD2">
        <w:rPr>
          <w:color w:val="000000" w:themeColor="text1"/>
          <w:w w:val="110"/>
          <w:sz w:val="20"/>
          <w:szCs w:val="20"/>
          <w:lang w:val="uk-UA"/>
        </w:rPr>
        <w:t>М</w:t>
      </w:r>
      <w:r w:rsidRPr="006B6651">
        <w:rPr>
          <w:color w:val="000000" w:themeColor="text1"/>
          <w:w w:val="110"/>
          <w:sz w:val="20"/>
          <w:szCs w:val="20"/>
          <w:lang w:val="ru-RU"/>
        </w:rPr>
        <w:t>Ч</w:t>
      </w:r>
      <w:r w:rsidRPr="007C6AD2">
        <w:rPr>
          <w:color w:val="000000" w:themeColor="text1"/>
          <w:w w:val="110"/>
          <w:sz w:val="20"/>
          <w:szCs w:val="20"/>
          <w:lang w:val="uk-UA"/>
        </w:rPr>
        <w:t xml:space="preserve"> на основі культуральних методів</w:t>
      </w:r>
      <w:r w:rsidRPr="006B6651">
        <w:rPr>
          <w:color w:val="000000" w:themeColor="text1"/>
          <w:w w:val="110"/>
          <w:sz w:val="20"/>
          <w:szCs w:val="20"/>
          <w:lang w:val="ru-RU"/>
        </w:rPr>
        <w:t>.</w:t>
      </w:r>
      <w:r w:rsidRPr="007C6AD2">
        <w:rPr>
          <w:color w:val="000000" w:themeColor="text1"/>
          <w:w w:val="110"/>
          <w:sz w:val="20"/>
          <w:szCs w:val="20"/>
          <w:lang w:val="uk-UA"/>
        </w:rPr>
        <w:t xml:space="preserve"> </w:t>
      </w:r>
      <w:proofErr w:type="spellStart"/>
      <w:r w:rsidRPr="006B6651">
        <w:rPr>
          <w:color w:val="000000" w:themeColor="text1"/>
          <w:w w:val="110"/>
          <w:sz w:val="20"/>
          <w:szCs w:val="20"/>
          <w:lang w:val="ru-RU"/>
        </w:rPr>
        <w:t>Ці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аналізи</w:t>
      </w:r>
      <w:proofErr w:type="spellEnd"/>
      <w:r w:rsidRPr="006B6651">
        <w:rPr>
          <w:color w:val="000000" w:themeColor="text1"/>
          <w:w w:val="110"/>
          <w:sz w:val="20"/>
          <w:szCs w:val="20"/>
          <w:lang w:val="ru-RU"/>
        </w:rPr>
        <w:t xml:space="preserve"> були </w:t>
      </w:r>
      <w:proofErr w:type="spellStart"/>
      <w:r w:rsidRPr="006B6651">
        <w:rPr>
          <w:color w:val="000000" w:themeColor="text1"/>
          <w:w w:val="110"/>
          <w:sz w:val="20"/>
          <w:szCs w:val="20"/>
          <w:lang w:val="ru-RU"/>
        </w:rPr>
        <w:t>стратифіковані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по-перше</w:t>
      </w:r>
      <w:proofErr w:type="spellEnd"/>
      <w:r w:rsidRPr="006B6651">
        <w:rPr>
          <w:color w:val="000000" w:themeColor="text1"/>
          <w:w w:val="110"/>
          <w:sz w:val="20"/>
          <w:szCs w:val="20"/>
          <w:lang w:val="ru-RU"/>
        </w:rPr>
        <w:t xml:space="preserve">, за </w:t>
      </w:r>
      <w:proofErr w:type="spellStart"/>
      <w:r w:rsidRPr="006B6651">
        <w:rPr>
          <w:color w:val="000000" w:themeColor="text1"/>
          <w:w w:val="110"/>
          <w:sz w:val="20"/>
          <w:szCs w:val="20"/>
          <w:lang w:val="ru-RU"/>
        </w:rPr>
        <w:t>чутливістю</w:t>
      </w:r>
      <w:proofErr w:type="spellEnd"/>
      <w:r w:rsidRPr="006B6651">
        <w:rPr>
          <w:color w:val="000000" w:themeColor="text1"/>
          <w:w w:val="110"/>
          <w:sz w:val="20"/>
          <w:szCs w:val="20"/>
          <w:lang w:val="ru-RU"/>
        </w:rPr>
        <w:t xml:space="preserve"> або </w:t>
      </w:r>
      <w:r w:rsidRPr="007C6AD2">
        <w:rPr>
          <w:color w:val="000000" w:themeColor="text1"/>
          <w:w w:val="110"/>
          <w:sz w:val="20"/>
          <w:szCs w:val="20"/>
          <w:lang w:val="uk-UA"/>
        </w:rPr>
        <w:t>стійкістю</w:t>
      </w:r>
      <w:r w:rsidRPr="006B6651">
        <w:rPr>
          <w:color w:val="000000" w:themeColor="text1"/>
          <w:w w:val="110"/>
          <w:sz w:val="20"/>
          <w:szCs w:val="20"/>
          <w:lang w:val="ru-RU"/>
        </w:rPr>
        <w:t xml:space="preserve"> до </w:t>
      </w:r>
      <w:proofErr w:type="spellStart"/>
      <w:r w:rsidRPr="006B6651">
        <w:rPr>
          <w:color w:val="000000" w:themeColor="text1"/>
          <w:w w:val="110"/>
          <w:sz w:val="20"/>
          <w:szCs w:val="20"/>
          <w:lang w:val="ru-RU"/>
        </w:rPr>
        <w:t>певного</w:t>
      </w:r>
      <w:proofErr w:type="spellEnd"/>
      <w:r w:rsidRPr="006B6651">
        <w:rPr>
          <w:color w:val="000000" w:themeColor="text1"/>
          <w:w w:val="110"/>
          <w:sz w:val="20"/>
          <w:szCs w:val="20"/>
          <w:lang w:val="ru-RU"/>
        </w:rPr>
        <w:t xml:space="preserve"> препарату, і </w:t>
      </w:r>
      <w:proofErr w:type="spellStart"/>
      <w:r w:rsidRPr="006B6651">
        <w:rPr>
          <w:color w:val="000000" w:themeColor="text1"/>
          <w:w w:val="110"/>
          <w:sz w:val="20"/>
          <w:szCs w:val="20"/>
          <w:lang w:val="ru-RU"/>
        </w:rPr>
        <w:t>по-друге</w:t>
      </w:r>
      <w:proofErr w:type="spellEnd"/>
      <w:r w:rsidRPr="006B6651">
        <w:rPr>
          <w:color w:val="000000" w:themeColor="text1"/>
          <w:w w:val="110"/>
          <w:sz w:val="20"/>
          <w:szCs w:val="20"/>
          <w:lang w:val="ru-RU"/>
        </w:rPr>
        <w:t xml:space="preserve">, за типом </w:t>
      </w:r>
      <w:proofErr w:type="spellStart"/>
      <w:r w:rsidRPr="006B6651">
        <w:rPr>
          <w:color w:val="000000" w:themeColor="text1"/>
          <w:w w:val="110"/>
          <w:sz w:val="20"/>
          <w:szCs w:val="20"/>
          <w:lang w:val="ru-RU"/>
        </w:rPr>
        <w:t>тестування</w:t>
      </w:r>
      <w:proofErr w:type="spellEnd"/>
      <w:r w:rsidRPr="006B6651">
        <w:rPr>
          <w:color w:val="000000" w:themeColor="text1"/>
          <w:w w:val="110"/>
          <w:sz w:val="20"/>
          <w:szCs w:val="20"/>
          <w:lang w:val="ru-RU"/>
        </w:rPr>
        <w:t xml:space="preserve"> </w:t>
      </w:r>
      <w:r w:rsidRPr="007C6AD2">
        <w:rPr>
          <w:color w:val="000000" w:themeColor="text1"/>
          <w:w w:val="110"/>
          <w:sz w:val="20"/>
          <w:szCs w:val="20"/>
        </w:rPr>
        <w:t>SL</w:t>
      </w:r>
      <w:r w:rsidRPr="006B6651">
        <w:rPr>
          <w:color w:val="000000" w:themeColor="text1"/>
          <w:w w:val="110"/>
          <w:sz w:val="20"/>
          <w:szCs w:val="20"/>
          <w:lang w:val="ru-RU"/>
        </w:rPr>
        <w:t>-</w:t>
      </w:r>
      <w:r w:rsidRPr="007C6AD2">
        <w:rPr>
          <w:color w:val="000000" w:themeColor="text1"/>
          <w:w w:val="110"/>
          <w:sz w:val="20"/>
          <w:szCs w:val="20"/>
        </w:rPr>
        <w:t>LPA</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непряме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тестування</w:t>
      </w:r>
      <w:proofErr w:type="spellEnd"/>
      <w:r w:rsidRPr="006B6651">
        <w:rPr>
          <w:color w:val="000000" w:themeColor="text1"/>
          <w:w w:val="110"/>
          <w:sz w:val="20"/>
          <w:szCs w:val="20"/>
          <w:lang w:val="ru-RU"/>
        </w:rPr>
        <w:t xml:space="preserve"> або </w:t>
      </w:r>
      <w:proofErr w:type="spellStart"/>
      <w:r w:rsidRPr="006B6651">
        <w:rPr>
          <w:color w:val="000000" w:themeColor="text1"/>
          <w:w w:val="110"/>
          <w:sz w:val="20"/>
          <w:szCs w:val="20"/>
          <w:lang w:val="ru-RU"/>
        </w:rPr>
        <w:t>пряме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тестування</w:t>
      </w:r>
      <w:proofErr w:type="spellEnd"/>
      <w:r w:rsidRPr="006B6651">
        <w:rPr>
          <w:color w:val="000000" w:themeColor="text1"/>
          <w:w w:val="110"/>
          <w:sz w:val="20"/>
          <w:szCs w:val="20"/>
          <w:lang w:val="ru-RU"/>
        </w:rPr>
        <w:t>).</w:t>
      </w:r>
    </w:p>
    <w:p w14:paraId="6C224CA2" w14:textId="77777777" w:rsidR="008A0E77" w:rsidRPr="006B6651" w:rsidRDefault="008A0E77" w:rsidP="008A0E77">
      <w:pPr>
        <w:pStyle w:val="5"/>
        <w:spacing w:before="187"/>
        <w:ind w:right="4"/>
        <w:rPr>
          <w:color w:val="019648"/>
          <w:spacing w:val="-1"/>
          <w:sz w:val="24"/>
          <w:szCs w:val="20"/>
          <w:lang w:val="ru-RU"/>
        </w:rPr>
      </w:pPr>
      <w:proofErr w:type="spellStart"/>
      <w:r w:rsidRPr="006B6651">
        <w:rPr>
          <w:color w:val="019648"/>
          <w:spacing w:val="-1"/>
          <w:sz w:val="24"/>
          <w:szCs w:val="20"/>
          <w:lang w:val="ru-RU"/>
        </w:rPr>
        <w:t>Ефективність</w:t>
      </w:r>
      <w:proofErr w:type="spellEnd"/>
      <w:r w:rsidRPr="006B6651">
        <w:rPr>
          <w:color w:val="019648"/>
          <w:spacing w:val="-1"/>
          <w:sz w:val="24"/>
          <w:szCs w:val="20"/>
          <w:lang w:val="ru-RU"/>
        </w:rPr>
        <w:t xml:space="preserve"> </w:t>
      </w:r>
      <w:r w:rsidRPr="00857E97">
        <w:rPr>
          <w:color w:val="019648"/>
          <w:spacing w:val="-1"/>
          <w:sz w:val="24"/>
          <w:szCs w:val="20"/>
        </w:rPr>
        <w:t>SL</w:t>
      </w:r>
      <w:r w:rsidRPr="006B6651">
        <w:rPr>
          <w:color w:val="019648"/>
          <w:spacing w:val="-1"/>
          <w:sz w:val="24"/>
          <w:szCs w:val="20"/>
          <w:lang w:val="ru-RU"/>
        </w:rPr>
        <w:t>-</w:t>
      </w:r>
      <w:r w:rsidRPr="00784388">
        <w:rPr>
          <w:color w:val="019648"/>
          <w:spacing w:val="-1"/>
          <w:sz w:val="24"/>
          <w:szCs w:val="20"/>
        </w:rPr>
        <w:t>LPA</w:t>
      </w:r>
      <w:r w:rsidRPr="006B6651">
        <w:rPr>
          <w:color w:val="019648"/>
          <w:spacing w:val="-1"/>
          <w:sz w:val="24"/>
          <w:szCs w:val="20"/>
          <w:lang w:val="ru-RU"/>
        </w:rPr>
        <w:t xml:space="preserve"> </w:t>
      </w:r>
      <w:r w:rsidRPr="00784388">
        <w:rPr>
          <w:color w:val="019648"/>
          <w:spacing w:val="-1"/>
          <w:sz w:val="24"/>
          <w:szCs w:val="20"/>
          <w:lang w:val="uk-UA"/>
        </w:rPr>
        <w:t>при аналізі</w:t>
      </w:r>
      <w:r w:rsidRPr="006B6651">
        <w:rPr>
          <w:color w:val="019648"/>
          <w:spacing w:val="-1"/>
          <w:sz w:val="24"/>
          <w:szCs w:val="20"/>
          <w:lang w:val="ru-RU"/>
        </w:rPr>
        <w:t xml:space="preserve"> </w:t>
      </w:r>
      <w:proofErr w:type="spellStart"/>
      <w:r w:rsidRPr="006B6651">
        <w:rPr>
          <w:color w:val="019648"/>
          <w:spacing w:val="-1"/>
          <w:sz w:val="24"/>
          <w:szCs w:val="20"/>
          <w:lang w:val="ru-RU"/>
        </w:rPr>
        <w:t>зразк</w:t>
      </w:r>
      <w:proofErr w:type="spellEnd"/>
      <w:r w:rsidRPr="00857E97">
        <w:rPr>
          <w:color w:val="019648"/>
          <w:spacing w:val="-1"/>
          <w:sz w:val="24"/>
          <w:szCs w:val="20"/>
          <w:lang w:val="uk-UA"/>
        </w:rPr>
        <w:t>ів</w:t>
      </w:r>
      <w:r w:rsidRPr="006B6651">
        <w:rPr>
          <w:color w:val="019648"/>
          <w:spacing w:val="-1"/>
          <w:sz w:val="24"/>
          <w:szCs w:val="20"/>
          <w:lang w:val="ru-RU"/>
        </w:rPr>
        <w:t xml:space="preserve"> </w:t>
      </w:r>
      <w:proofErr w:type="spellStart"/>
      <w:r w:rsidRPr="006B6651">
        <w:rPr>
          <w:color w:val="019648"/>
          <w:spacing w:val="-1"/>
          <w:sz w:val="24"/>
          <w:szCs w:val="20"/>
          <w:lang w:val="ru-RU"/>
        </w:rPr>
        <w:t>мокротиння</w:t>
      </w:r>
      <w:proofErr w:type="spellEnd"/>
      <w:r w:rsidRPr="006B6651">
        <w:rPr>
          <w:color w:val="019648"/>
          <w:spacing w:val="-1"/>
          <w:sz w:val="24"/>
          <w:szCs w:val="20"/>
          <w:lang w:val="ru-RU"/>
        </w:rPr>
        <w:t xml:space="preserve"> та</w:t>
      </w:r>
      <w:r w:rsidRPr="00857E97">
        <w:rPr>
          <w:color w:val="019648"/>
          <w:spacing w:val="-1"/>
          <w:sz w:val="24"/>
          <w:szCs w:val="20"/>
          <w:lang w:val="uk-UA"/>
        </w:rPr>
        <w:t xml:space="preserve"> </w:t>
      </w:r>
      <w:r w:rsidRPr="006B6651">
        <w:rPr>
          <w:color w:val="019648"/>
          <w:spacing w:val="-1"/>
          <w:sz w:val="24"/>
          <w:szCs w:val="20"/>
          <w:lang w:val="ru-RU"/>
        </w:rPr>
        <w:t xml:space="preserve">культуральних </w:t>
      </w:r>
      <w:proofErr w:type="spellStart"/>
      <w:r w:rsidRPr="006B6651">
        <w:rPr>
          <w:color w:val="019648"/>
          <w:spacing w:val="-1"/>
          <w:sz w:val="24"/>
          <w:szCs w:val="20"/>
          <w:lang w:val="ru-RU"/>
        </w:rPr>
        <w:t>ізолят</w:t>
      </w:r>
      <w:proofErr w:type="spellEnd"/>
      <w:r w:rsidRPr="00857E97">
        <w:rPr>
          <w:color w:val="019648"/>
          <w:spacing w:val="-1"/>
          <w:sz w:val="24"/>
          <w:szCs w:val="20"/>
          <w:lang w:val="uk-UA"/>
        </w:rPr>
        <w:t>ів</w:t>
      </w:r>
    </w:p>
    <w:p w14:paraId="7AE2E466" w14:textId="77777777" w:rsidR="008A0E77" w:rsidRPr="006B6651" w:rsidRDefault="008A0E77" w:rsidP="008A0E77">
      <w:pPr>
        <w:pStyle w:val="a3"/>
        <w:spacing w:before="209" w:line="276" w:lineRule="auto"/>
        <w:ind w:left="567" w:right="6"/>
        <w:jc w:val="both"/>
        <w:rPr>
          <w:color w:val="000000" w:themeColor="text1"/>
          <w:sz w:val="20"/>
          <w:szCs w:val="20"/>
          <w:lang w:val="uk-UA"/>
        </w:rPr>
      </w:pPr>
      <w:r w:rsidRPr="006B6651">
        <w:rPr>
          <w:color w:val="000000" w:themeColor="text1"/>
          <w:w w:val="105"/>
          <w:sz w:val="20"/>
          <w:szCs w:val="20"/>
          <w:lang w:val="ru-RU"/>
        </w:rPr>
        <w:t xml:space="preserve">У </w:t>
      </w:r>
      <w:proofErr w:type="spellStart"/>
      <w:r w:rsidRPr="006B6651">
        <w:rPr>
          <w:color w:val="000000" w:themeColor="text1"/>
          <w:w w:val="105"/>
          <w:sz w:val="20"/>
          <w:szCs w:val="20"/>
          <w:lang w:val="ru-RU"/>
        </w:rPr>
        <w:t>пацієнтів</w:t>
      </w:r>
      <w:proofErr w:type="spellEnd"/>
      <w:r w:rsidRPr="006B6651">
        <w:rPr>
          <w:color w:val="000000" w:themeColor="text1"/>
          <w:w w:val="105"/>
          <w:sz w:val="20"/>
          <w:szCs w:val="20"/>
          <w:lang w:val="ru-RU"/>
        </w:rPr>
        <w:t xml:space="preserve"> з МЛС/Р</w:t>
      </w:r>
      <w:proofErr w:type="spellStart"/>
      <w:r w:rsidRPr="007C6AD2">
        <w:rPr>
          <w:color w:val="000000" w:themeColor="text1"/>
          <w:w w:val="105"/>
          <w:sz w:val="20"/>
          <w:szCs w:val="20"/>
          <w:lang w:val="uk-UA"/>
        </w:rPr>
        <w:t>иф</w:t>
      </w:r>
      <w:proofErr w:type="spellEnd"/>
      <w:r w:rsidRPr="006B6651">
        <w:rPr>
          <w:color w:val="000000" w:themeColor="text1"/>
          <w:w w:val="105"/>
          <w:sz w:val="20"/>
          <w:szCs w:val="20"/>
          <w:lang w:val="ru-RU"/>
        </w:rPr>
        <w:t xml:space="preserve">-ТБ </w:t>
      </w:r>
      <w:proofErr w:type="spellStart"/>
      <w:r w:rsidRPr="006B6651">
        <w:rPr>
          <w:color w:val="000000" w:themeColor="text1"/>
          <w:w w:val="105"/>
          <w:sz w:val="20"/>
          <w:szCs w:val="20"/>
          <w:lang w:val="ru-RU"/>
        </w:rPr>
        <w:t>позитивний</w:t>
      </w:r>
      <w:proofErr w:type="spellEnd"/>
      <w:r w:rsidRPr="006B6651">
        <w:rPr>
          <w:color w:val="000000" w:themeColor="text1"/>
          <w:w w:val="105"/>
          <w:sz w:val="20"/>
          <w:szCs w:val="20"/>
          <w:lang w:val="ru-RU"/>
        </w:rPr>
        <w:t xml:space="preserve"> результат </w:t>
      </w:r>
      <w:r w:rsidRPr="007C6AD2">
        <w:rPr>
          <w:color w:val="000000" w:themeColor="text1"/>
          <w:w w:val="105"/>
          <w:sz w:val="20"/>
          <w:szCs w:val="20"/>
        </w:rPr>
        <w:t>SL</w:t>
      </w:r>
      <w:r w:rsidRPr="006B6651">
        <w:rPr>
          <w:color w:val="000000" w:themeColor="text1"/>
          <w:w w:val="105"/>
          <w:sz w:val="20"/>
          <w:szCs w:val="20"/>
          <w:lang w:val="ru-RU"/>
        </w:rPr>
        <w:t>-</w:t>
      </w:r>
      <w:r w:rsidRPr="007C6AD2">
        <w:rPr>
          <w:color w:val="000000" w:themeColor="text1"/>
          <w:w w:val="105"/>
          <w:sz w:val="20"/>
          <w:szCs w:val="20"/>
        </w:rPr>
        <w:t>LPA</w:t>
      </w:r>
      <w:r w:rsidRPr="006B6651">
        <w:rPr>
          <w:color w:val="000000" w:themeColor="text1"/>
          <w:w w:val="105"/>
          <w:sz w:val="20"/>
          <w:szCs w:val="20"/>
          <w:lang w:val="ru-RU"/>
        </w:rPr>
        <w:t xml:space="preserve"> на </w:t>
      </w:r>
      <w:r w:rsidRPr="007C6AD2">
        <w:rPr>
          <w:color w:val="000000" w:themeColor="text1"/>
          <w:w w:val="105"/>
          <w:sz w:val="20"/>
          <w:szCs w:val="20"/>
          <w:lang w:val="uk-UA"/>
        </w:rPr>
        <w:t>стійкість</w:t>
      </w:r>
      <w:r w:rsidRPr="006B6651">
        <w:rPr>
          <w:color w:val="000000" w:themeColor="text1"/>
          <w:w w:val="105"/>
          <w:sz w:val="20"/>
          <w:szCs w:val="20"/>
          <w:lang w:val="ru-RU"/>
        </w:rPr>
        <w:t xml:space="preserve"> до фторхінолонів (як </w:t>
      </w:r>
      <w:proofErr w:type="spellStart"/>
      <w:r w:rsidRPr="006B6651">
        <w:rPr>
          <w:color w:val="000000" w:themeColor="text1"/>
          <w:w w:val="105"/>
          <w:sz w:val="20"/>
          <w:szCs w:val="20"/>
          <w:lang w:val="ru-RU"/>
        </w:rPr>
        <w:t>класу</w:t>
      </w:r>
      <w:proofErr w:type="spellEnd"/>
      <w:r w:rsidRPr="006B6651">
        <w:rPr>
          <w:color w:val="000000" w:themeColor="text1"/>
          <w:w w:val="105"/>
          <w:sz w:val="20"/>
          <w:szCs w:val="20"/>
          <w:lang w:val="ru-RU"/>
        </w:rPr>
        <w:t xml:space="preserve">) або </w:t>
      </w:r>
      <w:proofErr w:type="spellStart"/>
      <w:r w:rsidRPr="006B6651">
        <w:rPr>
          <w:color w:val="000000" w:themeColor="text1"/>
          <w:w w:val="105"/>
          <w:sz w:val="20"/>
          <w:szCs w:val="20"/>
          <w:lang w:val="ru-RU"/>
        </w:rPr>
        <w:t>стійкість</w:t>
      </w:r>
      <w:proofErr w:type="spellEnd"/>
      <w:r w:rsidRPr="006B6651">
        <w:rPr>
          <w:color w:val="000000" w:themeColor="text1"/>
          <w:w w:val="105"/>
          <w:sz w:val="20"/>
          <w:szCs w:val="20"/>
          <w:lang w:val="ru-RU"/>
        </w:rPr>
        <w:t xml:space="preserve"> до ІПДР (як </w:t>
      </w:r>
      <w:proofErr w:type="spellStart"/>
      <w:r w:rsidRPr="006B6651">
        <w:rPr>
          <w:color w:val="000000" w:themeColor="text1"/>
          <w:w w:val="105"/>
          <w:sz w:val="20"/>
          <w:szCs w:val="20"/>
          <w:lang w:val="ru-RU"/>
        </w:rPr>
        <w:t>групи</w:t>
      </w:r>
      <w:proofErr w:type="spellEnd"/>
      <w:r w:rsidRPr="006B6651">
        <w:rPr>
          <w:color w:val="000000" w:themeColor="text1"/>
          <w:w w:val="105"/>
          <w:sz w:val="20"/>
          <w:szCs w:val="20"/>
          <w:lang w:val="ru-RU"/>
        </w:rPr>
        <w:t xml:space="preserve">) </w:t>
      </w:r>
      <w:proofErr w:type="spellStart"/>
      <w:r w:rsidRPr="006B6651">
        <w:rPr>
          <w:color w:val="000000" w:themeColor="text1"/>
          <w:w w:val="105"/>
          <w:sz w:val="20"/>
          <w:szCs w:val="20"/>
          <w:lang w:val="ru-RU"/>
        </w:rPr>
        <w:t>можна</w:t>
      </w:r>
      <w:proofErr w:type="spellEnd"/>
      <w:r w:rsidRPr="006B6651">
        <w:rPr>
          <w:color w:val="000000" w:themeColor="text1"/>
          <w:w w:val="105"/>
          <w:sz w:val="20"/>
          <w:szCs w:val="20"/>
          <w:lang w:val="ru-RU"/>
        </w:rPr>
        <w:t xml:space="preserve"> </w:t>
      </w:r>
      <w:proofErr w:type="spellStart"/>
      <w:r w:rsidRPr="006B6651">
        <w:rPr>
          <w:color w:val="000000" w:themeColor="text1"/>
          <w:w w:val="105"/>
          <w:sz w:val="20"/>
          <w:szCs w:val="20"/>
          <w:lang w:val="ru-RU"/>
        </w:rPr>
        <w:t>вважати</w:t>
      </w:r>
      <w:proofErr w:type="spellEnd"/>
      <w:r w:rsidRPr="006B6651">
        <w:rPr>
          <w:color w:val="000000" w:themeColor="text1"/>
          <w:w w:val="105"/>
          <w:sz w:val="20"/>
          <w:szCs w:val="20"/>
          <w:lang w:val="ru-RU"/>
        </w:rPr>
        <w:t xml:space="preserve"> </w:t>
      </w:r>
      <w:proofErr w:type="spellStart"/>
      <w:r w:rsidRPr="006B6651">
        <w:rPr>
          <w:color w:val="000000" w:themeColor="text1"/>
          <w:w w:val="105"/>
          <w:sz w:val="20"/>
          <w:szCs w:val="20"/>
          <w:lang w:val="ru-RU"/>
        </w:rPr>
        <w:t>достовірним</w:t>
      </w:r>
      <w:proofErr w:type="spellEnd"/>
      <w:r w:rsidRPr="006B6651">
        <w:rPr>
          <w:color w:val="000000" w:themeColor="text1"/>
          <w:w w:val="105"/>
          <w:sz w:val="20"/>
          <w:szCs w:val="20"/>
          <w:lang w:val="ru-RU"/>
        </w:rPr>
        <w:t>.</w:t>
      </w:r>
      <w:r w:rsidRPr="007C6AD2">
        <w:rPr>
          <w:color w:val="000000" w:themeColor="text1"/>
          <w:w w:val="105"/>
          <w:sz w:val="20"/>
          <w:szCs w:val="20"/>
          <w:lang w:val="uk-UA"/>
        </w:rPr>
        <w:t xml:space="preserve"> Т</w:t>
      </w:r>
      <w:r w:rsidRPr="006B6651">
        <w:rPr>
          <w:color w:val="000000" w:themeColor="text1"/>
          <w:w w:val="105"/>
          <w:sz w:val="20"/>
          <w:szCs w:val="20"/>
          <w:lang w:val="uk-UA"/>
        </w:rPr>
        <w:t>очність</w:t>
      </w:r>
      <w:r w:rsidRPr="007C6AD2">
        <w:rPr>
          <w:color w:val="000000" w:themeColor="text1"/>
          <w:w w:val="105"/>
          <w:sz w:val="20"/>
          <w:szCs w:val="20"/>
          <w:lang w:val="uk-UA"/>
        </w:rPr>
        <w:t xml:space="preserve"> діагностики</w:t>
      </w:r>
      <w:r w:rsidRPr="006B6651">
        <w:rPr>
          <w:color w:val="000000" w:themeColor="text1"/>
          <w:w w:val="105"/>
          <w:sz w:val="20"/>
          <w:szCs w:val="20"/>
          <w:lang w:val="uk-UA"/>
        </w:rPr>
        <w:t xml:space="preserve"> </w:t>
      </w:r>
      <w:r w:rsidRPr="007C6AD2">
        <w:rPr>
          <w:color w:val="000000" w:themeColor="text1"/>
          <w:w w:val="105"/>
          <w:sz w:val="20"/>
          <w:szCs w:val="20"/>
        </w:rPr>
        <w:t>SL</w:t>
      </w:r>
      <w:r w:rsidRPr="006B6651">
        <w:rPr>
          <w:color w:val="000000" w:themeColor="text1"/>
          <w:w w:val="105"/>
          <w:sz w:val="20"/>
          <w:szCs w:val="20"/>
          <w:lang w:val="uk-UA"/>
        </w:rPr>
        <w:t>-</w:t>
      </w:r>
      <w:r w:rsidRPr="007C6AD2">
        <w:rPr>
          <w:color w:val="000000" w:themeColor="text1"/>
          <w:w w:val="105"/>
          <w:sz w:val="20"/>
          <w:szCs w:val="20"/>
        </w:rPr>
        <w:t>LPA</w:t>
      </w:r>
      <w:r w:rsidRPr="006B6651">
        <w:rPr>
          <w:color w:val="000000" w:themeColor="text1"/>
          <w:w w:val="105"/>
          <w:sz w:val="20"/>
          <w:szCs w:val="20"/>
          <w:lang w:val="uk-UA"/>
        </w:rPr>
        <w:t xml:space="preserve"> є подібною при виконанні безпосередньо на зразках мокротиння або непрямо на ізолятах культури </w:t>
      </w:r>
      <w:r w:rsidRPr="007C6AD2">
        <w:rPr>
          <w:i/>
          <w:color w:val="000000" w:themeColor="text1"/>
          <w:w w:val="105"/>
          <w:sz w:val="20"/>
          <w:szCs w:val="20"/>
        </w:rPr>
        <w:t>M</w:t>
      </w:r>
      <w:r w:rsidRPr="006B6651">
        <w:rPr>
          <w:i/>
          <w:color w:val="000000" w:themeColor="text1"/>
          <w:w w:val="105"/>
          <w:sz w:val="20"/>
          <w:szCs w:val="20"/>
          <w:lang w:val="uk-UA"/>
        </w:rPr>
        <w:t xml:space="preserve">. </w:t>
      </w:r>
      <w:r w:rsidRPr="007C6AD2">
        <w:rPr>
          <w:i/>
          <w:color w:val="000000" w:themeColor="text1"/>
          <w:w w:val="105"/>
          <w:sz w:val="20"/>
          <w:szCs w:val="20"/>
        </w:rPr>
        <w:t>tuberculosis</w:t>
      </w:r>
      <w:r w:rsidRPr="006B6651">
        <w:rPr>
          <w:color w:val="000000" w:themeColor="text1"/>
          <w:w w:val="105"/>
          <w:sz w:val="20"/>
          <w:szCs w:val="20"/>
          <w:lang w:val="uk-UA"/>
        </w:rPr>
        <w:t>.</w:t>
      </w:r>
    </w:p>
    <w:p w14:paraId="6D611F81" w14:textId="77777777" w:rsidR="008A0E77" w:rsidRDefault="008A0E77" w:rsidP="008A0E77">
      <w:pPr>
        <w:pStyle w:val="a3"/>
        <w:spacing w:before="211" w:line="276" w:lineRule="auto"/>
        <w:ind w:left="567" w:right="6"/>
        <w:jc w:val="both"/>
        <w:rPr>
          <w:color w:val="000000" w:themeColor="text1"/>
          <w:w w:val="110"/>
          <w:sz w:val="20"/>
          <w:szCs w:val="20"/>
          <w:lang w:val="ru-RU"/>
        </w:rPr>
      </w:pPr>
      <w:proofErr w:type="spellStart"/>
      <w:r w:rsidRPr="006B6651">
        <w:rPr>
          <w:color w:val="000000" w:themeColor="text1"/>
          <w:w w:val="110"/>
          <w:sz w:val="20"/>
          <w:szCs w:val="20"/>
          <w:lang w:val="ru-RU"/>
        </w:rPr>
        <w:t>Враховуючи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достовірність</w:t>
      </w:r>
      <w:proofErr w:type="spellEnd"/>
      <w:r w:rsidRPr="006B6651">
        <w:rPr>
          <w:color w:val="000000" w:themeColor="text1"/>
          <w:w w:val="110"/>
          <w:sz w:val="20"/>
          <w:szCs w:val="20"/>
          <w:lang w:val="ru-RU"/>
        </w:rPr>
        <w:t xml:space="preserve"> позитивного результату та </w:t>
      </w:r>
      <w:proofErr w:type="spellStart"/>
      <w:r w:rsidRPr="006B6651">
        <w:rPr>
          <w:color w:val="000000" w:themeColor="text1"/>
          <w:w w:val="110"/>
          <w:sz w:val="20"/>
          <w:szCs w:val="20"/>
          <w:lang w:val="ru-RU"/>
        </w:rPr>
        <w:t>здатність</w:t>
      </w:r>
      <w:proofErr w:type="spellEnd"/>
      <w:r w:rsidRPr="006B6651">
        <w:rPr>
          <w:color w:val="000000" w:themeColor="text1"/>
          <w:w w:val="110"/>
          <w:sz w:val="20"/>
          <w:szCs w:val="20"/>
          <w:lang w:val="ru-RU"/>
        </w:rPr>
        <w:t xml:space="preserve"> тесту </w:t>
      </w:r>
      <w:proofErr w:type="spellStart"/>
      <w:r w:rsidRPr="006B6651">
        <w:rPr>
          <w:color w:val="000000" w:themeColor="text1"/>
          <w:w w:val="110"/>
          <w:sz w:val="20"/>
          <w:szCs w:val="20"/>
          <w:lang w:val="ru-RU"/>
        </w:rPr>
        <w:t>надавати</w:t>
      </w:r>
      <w:proofErr w:type="spellEnd"/>
      <w:r>
        <w:rPr>
          <w:color w:val="000000" w:themeColor="text1"/>
          <w:w w:val="110"/>
          <w:sz w:val="20"/>
          <w:szCs w:val="20"/>
          <w:lang w:val="uk-UA"/>
        </w:rPr>
        <w:t xml:space="preserve"> результати</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швидк</w:t>
      </w:r>
      <w:proofErr w:type="spellEnd"/>
      <w:r>
        <w:rPr>
          <w:color w:val="000000" w:themeColor="text1"/>
          <w:w w:val="110"/>
          <w:sz w:val="20"/>
          <w:szCs w:val="20"/>
          <w:lang w:val="uk-UA"/>
        </w:rPr>
        <w:t>о</w:t>
      </w:r>
      <w:r w:rsidRPr="006B6651">
        <w:rPr>
          <w:color w:val="000000" w:themeColor="text1"/>
          <w:w w:val="110"/>
          <w:sz w:val="20"/>
          <w:szCs w:val="20"/>
          <w:lang w:val="ru-RU"/>
        </w:rPr>
        <w:t>, ГР</w:t>
      </w:r>
      <w:r w:rsidRPr="007C6AD2">
        <w:rPr>
          <w:color w:val="000000" w:themeColor="text1"/>
          <w:w w:val="110"/>
          <w:sz w:val="20"/>
          <w:szCs w:val="20"/>
          <w:lang w:val="uk-UA"/>
        </w:rPr>
        <w:t>Н</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вважала</w:t>
      </w:r>
      <w:proofErr w:type="spellEnd"/>
      <w:r w:rsidRPr="006B6651">
        <w:rPr>
          <w:color w:val="000000" w:themeColor="text1"/>
          <w:w w:val="110"/>
          <w:sz w:val="20"/>
          <w:szCs w:val="20"/>
          <w:lang w:val="ru-RU"/>
        </w:rPr>
        <w:t xml:space="preserve">, що </w:t>
      </w:r>
      <w:proofErr w:type="spellStart"/>
      <w:r w:rsidRPr="006B6651">
        <w:rPr>
          <w:color w:val="000000" w:themeColor="text1"/>
          <w:w w:val="110"/>
          <w:sz w:val="20"/>
          <w:szCs w:val="20"/>
          <w:lang w:val="ru-RU"/>
        </w:rPr>
        <w:t>можна</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розглядати</w:t>
      </w:r>
      <w:proofErr w:type="spellEnd"/>
      <w:r w:rsidRPr="006B6651">
        <w:rPr>
          <w:color w:val="000000" w:themeColor="text1"/>
          <w:w w:val="110"/>
          <w:sz w:val="20"/>
          <w:szCs w:val="20"/>
          <w:lang w:val="ru-RU"/>
        </w:rPr>
        <w:t xml:space="preserve"> використання </w:t>
      </w:r>
      <w:r w:rsidRPr="007C6AD2">
        <w:rPr>
          <w:color w:val="000000" w:themeColor="text1"/>
          <w:w w:val="110"/>
          <w:sz w:val="20"/>
          <w:szCs w:val="20"/>
        </w:rPr>
        <w:t>SL</w:t>
      </w:r>
      <w:r w:rsidRPr="006B6651">
        <w:rPr>
          <w:color w:val="000000" w:themeColor="text1"/>
          <w:w w:val="110"/>
          <w:sz w:val="20"/>
          <w:szCs w:val="20"/>
          <w:lang w:val="ru-RU"/>
        </w:rPr>
        <w:t>-</w:t>
      </w:r>
      <w:r w:rsidRPr="007C6AD2">
        <w:rPr>
          <w:color w:val="000000" w:themeColor="text1"/>
          <w:w w:val="110"/>
          <w:sz w:val="20"/>
          <w:szCs w:val="20"/>
        </w:rPr>
        <w:t>LPA</w:t>
      </w:r>
      <w:r w:rsidRPr="006B6651">
        <w:rPr>
          <w:color w:val="000000" w:themeColor="text1"/>
          <w:w w:val="110"/>
          <w:sz w:val="20"/>
          <w:szCs w:val="20"/>
          <w:lang w:val="ru-RU"/>
        </w:rPr>
        <w:t xml:space="preserve"> як </w:t>
      </w:r>
      <w:r w:rsidRPr="007C6AD2">
        <w:rPr>
          <w:color w:val="000000" w:themeColor="text1"/>
          <w:w w:val="110"/>
          <w:sz w:val="20"/>
          <w:szCs w:val="20"/>
          <w:lang w:val="uk-UA"/>
        </w:rPr>
        <w:t>первинного</w:t>
      </w:r>
      <w:r w:rsidRPr="006B6651">
        <w:rPr>
          <w:color w:val="000000" w:themeColor="text1"/>
          <w:w w:val="110"/>
          <w:sz w:val="20"/>
          <w:szCs w:val="20"/>
          <w:lang w:val="ru-RU"/>
        </w:rPr>
        <w:t xml:space="preserve"> тесту на </w:t>
      </w:r>
      <w:r w:rsidRPr="007C6AD2">
        <w:rPr>
          <w:color w:val="000000" w:themeColor="text1"/>
          <w:w w:val="110"/>
          <w:sz w:val="20"/>
          <w:szCs w:val="20"/>
          <w:lang w:val="uk-UA"/>
        </w:rPr>
        <w:t>стійкість</w:t>
      </w:r>
      <w:r w:rsidRPr="006B6651">
        <w:rPr>
          <w:color w:val="000000" w:themeColor="text1"/>
          <w:w w:val="110"/>
          <w:sz w:val="20"/>
          <w:szCs w:val="20"/>
          <w:lang w:val="ru-RU"/>
        </w:rPr>
        <w:t xml:space="preserve"> до фторхінолонів та, у </w:t>
      </w:r>
      <w:proofErr w:type="spellStart"/>
      <w:r w:rsidRPr="006B6651">
        <w:rPr>
          <w:color w:val="000000" w:themeColor="text1"/>
          <w:w w:val="110"/>
          <w:sz w:val="20"/>
          <w:szCs w:val="20"/>
          <w:lang w:val="ru-RU"/>
        </w:rPr>
        <w:t>відповідних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випадках</w:t>
      </w:r>
      <w:proofErr w:type="spellEnd"/>
      <w:r w:rsidRPr="006B6651">
        <w:rPr>
          <w:color w:val="000000" w:themeColor="text1"/>
          <w:w w:val="110"/>
          <w:sz w:val="20"/>
          <w:szCs w:val="20"/>
          <w:lang w:val="ru-RU"/>
        </w:rPr>
        <w:t>, ІПДР.</w:t>
      </w:r>
      <w:r w:rsidRPr="007C6AD2">
        <w:rPr>
          <w:color w:val="000000" w:themeColor="text1"/>
          <w:w w:val="110"/>
          <w:sz w:val="20"/>
          <w:szCs w:val="20"/>
          <w:lang w:val="uk-UA"/>
        </w:rPr>
        <w:t xml:space="preserve"> </w:t>
      </w:r>
      <w:proofErr w:type="spellStart"/>
      <w:r w:rsidRPr="006B6651">
        <w:rPr>
          <w:color w:val="000000" w:themeColor="text1"/>
          <w:w w:val="110"/>
          <w:sz w:val="20"/>
          <w:szCs w:val="20"/>
          <w:lang w:val="ru-RU"/>
        </w:rPr>
        <w:t>Однак</w:t>
      </w:r>
      <w:proofErr w:type="spellEnd"/>
      <w:r w:rsidRPr="006B6651">
        <w:rPr>
          <w:color w:val="000000" w:themeColor="text1"/>
          <w:w w:val="110"/>
          <w:sz w:val="20"/>
          <w:szCs w:val="20"/>
          <w:lang w:val="ru-RU"/>
        </w:rPr>
        <w:t xml:space="preserve">, коли тест </w:t>
      </w:r>
      <w:proofErr w:type="spellStart"/>
      <w:r w:rsidRPr="006B6651">
        <w:rPr>
          <w:color w:val="000000" w:themeColor="text1"/>
          <w:w w:val="110"/>
          <w:sz w:val="20"/>
          <w:szCs w:val="20"/>
          <w:lang w:val="ru-RU"/>
        </w:rPr>
        <w:t>показує</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негативний</w:t>
      </w:r>
      <w:proofErr w:type="spellEnd"/>
      <w:r w:rsidRPr="006B6651">
        <w:rPr>
          <w:color w:val="000000" w:themeColor="text1"/>
          <w:w w:val="110"/>
          <w:sz w:val="20"/>
          <w:szCs w:val="20"/>
          <w:lang w:val="ru-RU"/>
        </w:rPr>
        <w:t xml:space="preserve"> результат, </w:t>
      </w:r>
      <w:proofErr w:type="spellStart"/>
      <w:r w:rsidRPr="006B6651">
        <w:rPr>
          <w:color w:val="000000" w:themeColor="text1"/>
          <w:w w:val="110"/>
          <w:sz w:val="20"/>
          <w:szCs w:val="20"/>
          <w:lang w:val="ru-RU"/>
        </w:rPr>
        <w:t>може</w:t>
      </w:r>
      <w:proofErr w:type="spellEnd"/>
      <w:r w:rsidRPr="006B6651">
        <w:rPr>
          <w:color w:val="000000" w:themeColor="text1"/>
          <w:w w:val="110"/>
          <w:sz w:val="20"/>
          <w:szCs w:val="20"/>
          <w:lang w:val="ru-RU"/>
        </w:rPr>
        <w:t xml:space="preserve"> бути </w:t>
      </w:r>
      <w:proofErr w:type="spellStart"/>
      <w:r w:rsidRPr="006B6651">
        <w:rPr>
          <w:color w:val="000000" w:themeColor="text1"/>
          <w:w w:val="110"/>
          <w:sz w:val="20"/>
          <w:szCs w:val="20"/>
          <w:lang w:val="ru-RU"/>
        </w:rPr>
        <w:t>необхідним</w:t>
      </w:r>
      <w:proofErr w:type="spellEnd"/>
      <w:r w:rsidRPr="006B6651">
        <w:rPr>
          <w:color w:val="000000" w:themeColor="text1"/>
          <w:w w:val="110"/>
          <w:sz w:val="20"/>
          <w:szCs w:val="20"/>
          <w:lang w:val="ru-RU"/>
        </w:rPr>
        <w:t xml:space="preserve"> фенотипов</w:t>
      </w:r>
      <w:proofErr w:type="spellStart"/>
      <w:r w:rsidRPr="007C6AD2">
        <w:rPr>
          <w:color w:val="000000" w:themeColor="text1"/>
          <w:w w:val="110"/>
          <w:sz w:val="20"/>
          <w:szCs w:val="20"/>
          <w:lang w:val="uk-UA"/>
        </w:rPr>
        <w:t>ий</w:t>
      </w:r>
      <w:proofErr w:type="spellEnd"/>
      <w:r w:rsidRPr="006B6651">
        <w:rPr>
          <w:color w:val="000000" w:themeColor="text1"/>
          <w:w w:val="110"/>
          <w:sz w:val="20"/>
          <w:szCs w:val="20"/>
          <w:lang w:val="ru-RU"/>
        </w:rPr>
        <w:t xml:space="preserve"> Т</w:t>
      </w:r>
      <w:r w:rsidRPr="007C6AD2">
        <w:rPr>
          <w:color w:val="000000" w:themeColor="text1"/>
          <w:w w:val="110"/>
          <w:sz w:val="20"/>
          <w:szCs w:val="20"/>
          <w:lang w:val="uk-UA"/>
        </w:rPr>
        <w:t>М</w:t>
      </w:r>
      <w:r w:rsidRPr="006B6651">
        <w:rPr>
          <w:color w:val="000000" w:themeColor="text1"/>
          <w:w w:val="110"/>
          <w:sz w:val="20"/>
          <w:szCs w:val="20"/>
          <w:lang w:val="ru-RU"/>
        </w:rPr>
        <w:t>Ч</w:t>
      </w:r>
      <w:r w:rsidRPr="007C6AD2">
        <w:rPr>
          <w:color w:val="000000" w:themeColor="text1"/>
          <w:w w:val="110"/>
          <w:sz w:val="20"/>
          <w:szCs w:val="20"/>
          <w:lang w:val="uk-UA"/>
        </w:rPr>
        <w:t xml:space="preserve"> на основі культуральних методів</w:t>
      </w:r>
      <w:r w:rsidRPr="006B6651">
        <w:rPr>
          <w:color w:val="000000" w:themeColor="text1"/>
          <w:w w:val="110"/>
          <w:sz w:val="20"/>
          <w:szCs w:val="20"/>
          <w:lang w:val="ru-RU"/>
        </w:rPr>
        <w:t xml:space="preserve">, особливо в </w:t>
      </w:r>
      <w:proofErr w:type="spellStart"/>
      <w:r w:rsidRPr="006B6651">
        <w:rPr>
          <w:color w:val="000000" w:themeColor="text1"/>
          <w:w w:val="110"/>
          <w:sz w:val="20"/>
          <w:szCs w:val="20"/>
          <w:lang w:val="ru-RU"/>
        </w:rPr>
        <w:t>умовах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високої</w:t>
      </w:r>
      <w:proofErr w:type="spellEnd"/>
      <w:r w:rsidRPr="006B6651">
        <w:rPr>
          <w:color w:val="000000" w:themeColor="text1"/>
          <w:w w:val="110"/>
          <w:sz w:val="20"/>
          <w:szCs w:val="20"/>
          <w:lang w:val="ru-RU"/>
        </w:rPr>
        <w:t xml:space="preserve"> </w:t>
      </w:r>
      <w:r w:rsidRPr="00784388">
        <w:rPr>
          <w:color w:val="000000" w:themeColor="text1"/>
          <w:w w:val="110"/>
          <w:sz w:val="20"/>
          <w:szCs w:val="20"/>
          <w:lang w:val="uk-UA"/>
        </w:rPr>
        <w:t>перед</w:t>
      </w:r>
      <w:proofErr w:type="spellStart"/>
      <w:r w:rsidRPr="006B6651">
        <w:rPr>
          <w:color w:val="000000" w:themeColor="text1"/>
          <w:w w:val="110"/>
          <w:sz w:val="20"/>
          <w:szCs w:val="20"/>
          <w:lang w:val="ru-RU"/>
        </w:rPr>
        <w:t>тестової</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ймовірності</w:t>
      </w:r>
      <w:proofErr w:type="spellEnd"/>
      <w:r w:rsidRPr="006B6651">
        <w:rPr>
          <w:color w:val="000000" w:themeColor="text1"/>
          <w:w w:val="110"/>
          <w:sz w:val="20"/>
          <w:szCs w:val="20"/>
          <w:lang w:val="ru-RU"/>
        </w:rPr>
        <w:t xml:space="preserve"> </w:t>
      </w:r>
      <w:r w:rsidRPr="007C6AD2">
        <w:rPr>
          <w:color w:val="000000" w:themeColor="text1"/>
          <w:w w:val="110"/>
          <w:sz w:val="20"/>
          <w:szCs w:val="20"/>
          <w:lang w:val="uk-UA"/>
        </w:rPr>
        <w:t>стійкості</w:t>
      </w:r>
      <w:r w:rsidRPr="006B6651">
        <w:rPr>
          <w:color w:val="000000" w:themeColor="text1"/>
          <w:w w:val="110"/>
          <w:sz w:val="20"/>
          <w:szCs w:val="20"/>
          <w:lang w:val="ru-RU"/>
        </w:rPr>
        <w:t xml:space="preserve"> до фторхінолонів або ІПДР (або до </w:t>
      </w:r>
      <w:proofErr w:type="spellStart"/>
      <w:r w:rsidRPr="006B6651">
        <w:rPr>
          <w:color w:val="000000" w:themeColor="text1"/>
          <w:w w:val="110"/>
          <w:sz w:val="20"/>
          <w:szCs w:val="20"/>
          <w:lang w:val="ru-RU"/>
        </w:rPr>
        <w:t>обох</w:t>
      </w:r>
      <w:proofErr w:type="spellEnd"/>
      <w:r w:rsidRPr="006B6651">
        <w:rPr>
          <w:color w:val="000000" w:themeColor="text1"/>
          <w:w w:val="110"/>
          <w:sz w:val="20"/>
          <w:szCs w:val="20"/>
          <w:lang w:val="ru-RU"/>
        </w:rPr>
        <w:t xml:space="preserve">). Використання </w:t>
      </w:r>
      <w:r w:rsidRPr="007C6AD2">
        <w:rPr>
          <w:color w:val="000000" w:themeColor="text1"/>
          <w:w w:val="110"/>
          <w:sz w:val="20"/>
          <w:szCs w:val="20"/>
        </w:rPr>
        <w:t>SL</w:t>
      </w:r>
      <w:r w:rsidRPr="006B6651">
        <w:rPr>
          <w:color w:val="000000" w:themeColor="text1"/>
          <w:w w:val="110"/>
          <w:sz w:val="20"/>
          <w:szCs w:val="20"/>
          <w:lang w:val="ru-RU"/>
        </w:rPr>
        <w:t>-</w:t>
      </w:r>
      <w:r w:rsidRPr="007C6AD2">
        <w:rPr>
          <w:color w:val="000000" w:themeColor="text1"/>
          <w:w w:val="110"/>
          <w:sz w:val="20"/>
          <w:szCs w:val="20"/>
        </w:rPr>
        <w:t>LPA</w:t>
      </w:r>
      <w:r w:rsidRPr="006B6651">
        <w:rPr>
          <w:color w:val="000000" w:themeColor="text1"/>
          <w:w w:val="110"/>
          <w:sz w:val="20"/>
          <w:szCs w:val="20"/>
          <w:lang w:val="ru-RU"/>
        </w:rPr>
        <w:t xml:space="preserve"> у </w:t>
      </w:r>
      <w:proofErr w:type="spellStart"/>
      <w:r w:rsidRPr="006B6651">
        <w:rPr>
          <w:color w:val="000000" w:themeColor="text1"/>
          <w:w w:val="110"/>
          <w:sz w:val="20"/>
          <w:szCs w:val="20"/>
          <w:lang w:val="ru-RU"/>
        </w:rPr>
        <w:t>рутинній</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практиці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має</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скоротити</w:t>
      </w:r>
      <w:proofErr w:type="spellEnd"/>
      <w:r w:rsidRPr="006B6651">
        <w:rPr>
          <w:color w:val="000000" w:themeColor="text1"/>
          <w:w w:val="110"/>
          <w:sz w:val="20"/>
          <w:szCs w:val="20"/>
          <w:lang w:val="ru-RU"/>
        </w:rPr>
        <w:t xml:space="preserve"> час </w:t>
      </w:r>
      <w:proofErr w:type="spellStart"/>
      <w:r w:rsidRPr="006B6651">
        <w:rPr>
          <w:color w:val="000000" w:themeColor="text1"/>
          <w:w w:val="110"/>
          <w:sz w:val="20"/>
          <w:szCs w:val="20"/>
          <w:lang w:val="ru-RU"/>
        </w:rPr>
        <w:t>діагностики</w:t>
      </w:r>
      <w:proofErr w:type="spellEnd"/>
      <w:r w:rsidRPr="006B6651">
        <w:rPr>
          <w:color w:val="000000" w:themeColor="text1"/>
          <w:w w:val="110"/>
          <w:sz w:val="20"/>
          <w:szCs w:val="20"/>
          <w:lang w:val="ru-RU"/>
        </w:rPr>
        <w:t xml:space="preserve"> </w:t>
      </w:r>
      <w:r w:rsidRPr="007C6AD2">
        <w:rPr>
          <w:color w:val="000000" w:themeColor="text1"/>
          <w:w w:val="110"/>
          <w:sz w:val="20"/>
          <w:szCs w:val="20"/>
          <w:lang w:val="uk-UA"/>
        </w:rPr>
        <w:t>стійкості</w:t>
      </w:r>
      <w:r w:rsidRPr="006B6651">
        <w:rPr>
          <w:color w:val="000000" w:themeColor="text1"/>
          <w:w w:val="110"/>
          <w:sz w:val="20"/>
          <w:szCs w:val="20"/>
          <w:lang w:val="ru-RU"/>
        </w:rPr>
        <w:t xml:space="preserve"> до фторхінолонів та, у </w:t>
      </w:r>
      <w:proofErr w:type="spellStart"/>
      <w:r w:rsidRPr="006B6651">
        <w:rPr>
          <w:color w:val="000000" w:themeColor="text1"/>
          <w:w w:val="110"/>
          <w:sz w:val="20"/>
          <w:szCs w:val="20"/>
          <w:lang w:val="ru-RU"/>
        </w:rPr>
        <w:t>відповідних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випадках</w:t>
      </w:r>
      <w:proofErr w:type="spellEnd"/>
      <w:r w:rsidRPr="006B6651">
        <w:rPr>
          <w:color w:val="000000" w:themeColor="text1"/>
          <w:w w:val="110"/>
          <w:sz w:val="20"/>
          <w:szCs w:val="20"/>
          <w:lang w:val="ru-RU"/>
        </w:rPr>
        <w:t xml:space="preserve">, ІПДР, особливо при </w:t>
      </w:r>
      <w:proofErr w:type="spellStart"/>
      <w:r w:rsidRPr="006B6651">
        <w:rPr>
          <w:color w:val="000000" w:themeColor="text1"/>
          <w:w w:val="110"/>
          <w:sz w:val="20"/>
          <w:szCs w:val="20"/>
          <w:lang w:val="ru-RU"/>
        </w:rPr>
        <w:t>використанні</w:t>
      </w:r>
      <w:proofErr w:type="spellEnd"/>
      <w:r w:rsidRPr="006B6651">
        <w:rPr>
          <w:color w:val="000000" w:themeColor="text1"/>
          <w:w w:val="110"/>
          <w:sz w:val="20"/>
          <w:szCs w:val="20"/>
          <w:lang w:val="ru-RU"/>
        </w:rPr>
        <w:t xml:space="preserve"> для прямого </w:t>
      </w:r>
      <w:proofErr w:type="spellStart"/>
      <w:r w:rsidRPr="006B6651">
        <w:rPr>
          <w:color w:val="000000" w:themeColor="text1"/>
          <w:w w:val="110"/>
          <w:sz w:val="20"/>
          <w:szCs w:val="20"/>
          <w:lang w:val="ru-RU"/>
        </w:rPr>
        <w:t>тестування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зразків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мокротиння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пацієнтів</w:t>
      </w:r>
      <w:proofErr w:type="spellEnd"/>
      <w:r w:rsidRPr="006B6651">
        <w:rPr>
          <w:color w:val="000000" w:themeColor="text1"/>
          <w:w w:val="110"/>
          <w:sz w:val="20"/>
          <w:szCs w:val="20"/>
          <w:lang w:val="ru-RU"/>
        </w:rPr>
        <w:t xml:space="preserve"> з </w:t>
      </w:r>
      <w:proofErr w:type="spellStart"/>
      <w:r w:rsidRPr="006B6651">
        <w:rPr>
          <w:color w:val="000000" w:themeColor="text1"/>
          <w:w w:val="110"/>
          <w:sz w:val="20"/>
          <w:szCs w:val="20"/>
          <w:lang w:val="ru-RU"/>
        </w:rPr>
        <w:t>підтвердженим</w:t>
      </w:r>
      <w:proofErr w:type="spellEnd"/>
      <w:r w:rsidRPr="006B6651">
        <w:rPr>
          <w:color w:val="000000" w:themeColor="text1"/>
          <w:w w:val="110"/>
          <w:sz w:val="20"/>
          <w:szCs w:val="20"/>
          <w:lang w:val="ru-RU"/>
        </w:rPr>
        <w:t xml:space="preserve"> МЛС/Р</w:t>
      </w:r>
      <w:proofErr w:type="spellStart"/>
      <w:r w:rsidRPr="007C6AD2">
        <w:rPr>
          <w:color w:val="000000" w:themeColor="text1"/>
          <w:w w:val="110"/>
          <w:sz w:val="20"/>
          <w:szCs w:val="20"/>
          <w:lang w:val="uk-UA"/>
        </w:rPr>
        <w:t>иф</w:t>
      </w:r>
      <w:proofErr w:type="spellEnd"/>
      <w:r w:rsidRPr="006B6651">
        <w:rPr>
          <w:color w:val="000000" w:themeColor="text1"/>
          <w:w w:val="110"/>
          <w:sz w:val="20"/>
          <w:szCs w:val="20"/>
          <w:lang w:val="ru-RU"/>
        </w:rPr>
        <w:t xml:space="preserve">-ТБ. </w:t>
      </w:r>
      <w:proofErr w:type="spellStart"/>
      <w:r w:rsidRPr="006B6651">
        <w:rPr>
          <w:color w:val="000000" w:themeColor="text1"/>
          <w:w w:val="110"/>
          <w:sz w:val="20"/>
          <w:szCs w:val="20"/>
          <w:lang w:val="ru-RU"/>
        </w:rPr>
        <w:t>Раннє</w:t>
      </w:r>
      <w:proofErr w:type="spellEnd"/>
      <w:r w:rsidRPr="006B6651">
        <w:rPr>
          <w:color w:val="000000" w:themeColor="text1"/>
          <w:w w:val="110"/>
          <w:sz w:val="20"/>
          <w:szCs w:val="20"/>
          <w:lang w:val="ru-RU"/>
        </w:rPr>
        <w:t xml:space="preserve"> виявлення </w:t>
      </w:r>
      <w:r w:rsidRPr="007C6AD2">
        <w:rPr>
          <w:color w:val="000000" w:themeColor="text1"/>
          <w:w w:val="110"/>
          <w:sz w:val="20"/>
          <w:szCs w:val="20"/>
          <w:lang w:val="uk-UA"/>
        </w:rPr>
        <w:t>лікарської стійкості</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має</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дозволити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раніше</w:t>
      </w:r>
      <w:proofErr w:type="spellEnd"/>
      <w:r w:rsidRPr="006B6651">
        <w:rPr>
          <w:color w:val="000000" w:themeColor="text1"/>
          <w:w w:val="110"/>
          <w:sz w:val="20"/>
          <w:szCs w:val="20"/>
          <w:lang w:val="ru-RU"/>
        </w:rPr>
        <w:t xml:space="preserve"> </w:t>
      </w:r>
      <w:r w:rsidRPr="007C6AD2">
        <w:rPr>
          <w:color w:val="000000" w:themeColor="text1"/>
          <w:w w:val="110"/>
          <w:sz w:val="20"/>
          <w:szCs w:val="20"/>
          <w:lang w:val="uk-UA"/>
        </w:rPr>
        <w:t xml:space="preserve">призначити пацієнту </w:t>
      </w:r>
      <w:proofErr w:type="spellStart"/>
      <w:r w:rsidRPr="006B6651">
        <w:rPr>
          <w:color w:val="000000" w:themeColor="text1"/>
          <w:w w:val="110"/>
          <w:sz w:val="20"/>
          <w:szCs w:val="20"/>
          <w:lang w:val="ru-RU"/>
        </w:rPr>
        <w:t>належну</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терапію</w:t>
      </w:r>
      <w:proofErr w:type="spellEnd"/>
      <w:r w:rsidRPr="006B6651">
        <w:rPr>
          <w:color w:val="000000" w:themeColor="text1"/>
          <w:w w:val="110"/>
          <w:sz w:val="20"/>
          <w:szCs w:val="20"/>
          <w:lang w:val="ru-RU"/>
        </w:rPr>
        <w:t xml:space="preserve"> та </w:t>
      </w:r>
      <w:proofErr w:type="spellStart"/>
      <w:r w:rsidRPr="006B6651">
        <w:rPr>
          <w:color w:val="000000" w:themeColor="text1"/>
          <w:w w:val="110"/>
          <w:sz w:val="20"/>
          <w:szCs w:val="20"/>
          <w:lang w:val="ru-RU"/>
        </w:rPr>
        <w:t>покращити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результати</w:t>
      </w:r>
      <w:proofErr w:type="spellEnd"/>
      <w:r w:rsidRPr="006B6651">
        <w:rPr>
          <w:color w:val="000000" w:themeColor="text1"/>
          <w:w w:val="110"/>
          <w:sz w:val="20"/>
          <w:szCs w:val="20"/>
          <w:lang w:val="ru-RU"/>
        </w:rPr>
        <w:t xml:space="preserve"> лікування. </w:t>
      </w:r>
      <w:proofErr w:type="spellStart"/>
      <w:r w:rsidRPr="006B6651">
        <w:rPr>
          <w:color w:val="000000" w:themeColor="text1"/>
          <w:w w:val="110"/>
          <w:sz w:val="20"/>
          <w:szCs w:val="20"/>
          <w:lang w:val="ru-RU"/>
        </w:rPr>
        <w:t>Загалом</w:t>
      </w:r>
      <w:proofErr w:type="spellEnd"/>
      <w:r w:rsidRPr="006B6651">
        <w:rPr>
          <w:color w:val="000000" w:themeColor="text1"/>
          <w:w w:val="110"/>
          <w:sz w:val="20"/>
          <w:szCs w:val="20"/>
          <w:lang w:val="ru-RU"/>
        </w:rPr>
        <w:t xml:space="preserve">, тест </w:t>
      </w:r>
      <w:proofErr w:type="spellStart"/>
      <w:r w:rsidRPr="006B6651">
        <w:rPr>
          <w:color w:val="000000" w:themeColor="text1"/>
          <w:w w:val="110"/>
          <w:sz w:val="20"/>
          <w:szCs w:val="20"/>
          <w:lang w:val="ru-RU"/>
        </w:rPr>
        <w:t>демонструє</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добрі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результати</w:t>
      </w:r>
      <w:proofErr w:type="spellEnd"/>
      <w:r w:rsidRPr="006B6651">
        <w:rPr>
          <w:color w:val="000000" w:themeColor="text1"/>
          <w:w w:val="110"/>
          <w:sz w:val="20"/>
          <w:szCs w:val="20"/>
          <w:lang w:val="ru-RU"/>
        </w:rPr>
        <w:t xml:space="preserve"> при прямому </w:t>
      </w:r>
      <w:proofErr w:type="spellStart"/>
      <w:r w:rsidRPr="006B6651">
        <w:rPr>
          <w:color w:val="000000" w:themeColor="text1"/>
          <w:w w:val="110"/>
          <w:sz w:val="20"/>
          <w:szCs w:val="20"/>
          <w:lang w:val="ru-RU"/>
        </w:rPr>
        <w:t>тестуванні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зразків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мокротиння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від</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пацієнтів</w:t>
      </w:r>
      <w:proofErr w:type="spellEnd"/>
      <w:r w:rsidRPr="006B6651">
        <w:rPr>
          <w:color w:val="000000" w:themeColor="text1"/>
          <w:w w:val="110"/>
          <w:sz w:val="20"/>
          <w:szCs w:val="20"/>
          <w:lang w:val="ru-RU"/>
        </w:rPr>
        <w:t xml:space="preserve"> з </w:t>
      </w:r>
      <w:proofErr w:type="spellStart"/>
      <w:r w:rsidRPr="006B6651">
        <w:rPr>
          <w:color w:val="000000" w:themeColor="text1"/>
          <w:w w:val="110"/>
          <w:sz w:val="20"/>
          <w:szCs w:val="20"/>
          <w:lang w:val="ru-RU"/>
        </w:rPr>
        <w:t>підтвердженим</w:t>
      </w:r>
      <w:proofErr w:type="spellEnd"/>
      <w:r w:rsidRPr="006B6651">
        <w:rPr>
          <w:color w:val="000000" w:themeColor="text1"/>
          <w:w w:val="110"/>
          <w:sz w:val="20"/>
          <w:szCs w:val="20"/>
          <w:lang w:val="ru-RU"/>
        </w:rPr>
        <w:t xml:space="preserve"> МЛС/Р</w:t>
      </w:r>
      <w:proofErr w:type="spellStart"/>
      <w:r w:rsidRPr="007C6AD2">
        <w:rPr>
          <w:color w:val="000000" w:themeColor="text1"/>
          <w:w w:val="110"/>
          <w:sz w:val="20"/>
          <w:szCs w:val="20"/>
          <w:lang w:val="uk-UA"/>
        </w:rPr>
        <w:t>иф</w:t>
      </w:r>
      <w:proofErr w:type="spellEnd"/>
      <w:r w:rsidRPr="006B6651">
        <w:rPr>
          <w:color w:val="000000" w:themeColor="text1"/>
          <w:w w:val="110"/>
          <w:sz w:val="20"/>
          <w:szCs w:val="20"/>
          <w:lang w:val="ru-RU"/>
        </w:rPr>
        <w:t xml:space="preserve">-ТБ, </w:t>
      </w:r>
      <w:proofErr w:type="spellStart"/>
      <w:r w:rsidRPr="006B6651">
        <w:rPr>
          <w:color w:val="000000" w:themeColor="text1"/>
          <w:w w:val="110"/>
          <w:sz w:val="20"/>
          <w:szCs w:val="20"/>
          <w:lang w:val="ru-RU"/>
        </w:rPr>
        <w:t>хоча</w:t>
      </w:r>
      <w:proofErr w:type="spellEnd"/>
      <w:r w:rsidRPr="006B6651">
        <w:rPr>
          <w:color w:val="000000" w:themeColor="text1"/>
          <w:w w:val="110"/>
          <w:sz w:val="20"/>
          <w:szCs w:val="20"/>
          <w:lang w:val="ru-RU"/>
        </w:rPr>
        <w:t xml:space="preserve"> частота </w:t>
      </w:r>
      <w:proofErr w:type="spellStart"/>
      <w:r w:rsidRPr="006B6651">
        <w:rPr>
          <w:color w:val="000000" w:themeColor="text1"/>
          <w:w w:val="110"/>
          <w:sz w:val="20"/>
          <w:szCs w:val="20"/>
          <w:lang w:val="ru-RU"/>
        </w:rPr>
        <w:t>невизначених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результатів</w:t>
      </w:r>
      <w:proofErr w:type="spellEnd"/>
      <w:r w:rsidRPr="006B6651">
        <w:rPr>
          <w:color w:val="000000" w:themeColor="text1"/>
          <w:w w:val="110"/>
          <w:sz w:val="20"/>
          <w:szCs w:val="20"/>
          <w:lang w:val="ru-RU"/>
        </w:rPr>
        <w:t xml:space="preserve"> є </w:t>
      </w:r>
      <w:proofErr w:type="spellStart"/>
      <w:r w:rsidRPr="006B6651">
        <w:rPr>
          <w:color w:val="000000" w:themeColor="text1"/>
          <w:w w:val="110"/>
          <w:sz w:val="20"/>
          <w:szCs w:val="20"/>
          <w:lang w:val="ru-RU"/>
        </w:rPr>
        <w:t>вищою</w:t>
      </w:r>
      <w:proofErr w:type="spellEnd"/>
      <w:r w:rsidRPr="006B6651">
        <w:rPr>
          <w:color w:val="000000" w:themeColor="text1"/>
          <w:w w:val="110"/>
          <w:sz w:val="20"/>
          <w:szCs w:val="20"/>
          <w:lang w:val="ru-RU"/>
        </w:rPr>
        <w:t xml:space="preserve"> при </w:t>
      </w:r>
      <w:proofErr w:type="spellStart"/>
      <w:r w:rsidRPr="006B6651">
        <w:rPr>
          <w:color w:val="000000" w:themeColor="text1"/>
          <w:w w:val="110"/>
          <w:sz w:val="20"/>
          <w:szCs w:val="20"/>
          <w:lang w:val="ru-RU"/>
        </w:rPr>
        <w:t>тестуванні</w:t>
      </w:r>
      <w:proofErr w:type="spellEnd"/>
      <w:r w:rsidRPr="006B6651">
        <w:rPr>
          <w:color w:val="000000" w:themeColor="text1"/>
          <w:w w:val="110"/>
          <w:sz w:val="20"/>
          <w:szCs w:val="20"/>
          <w:lang w:val="ru-RU"/>
        </w:rPr>
        <w:t xml:space="preserve"> </w:t>
      </w:r>
      <w:r w:rsidRPr="007C6AD2">
        <w:rPr>
          <w:color w:val="000000" w:themeColor="text1"/>
          <w:w w:val="110"/>
          <w:sz w:val="20"/>
          <w:szCs w:val="20"/>
          <w:lang w:val="uk-UA"/>
        </w:rPr>
        <w:t>зразків мокротиння з негативним результатом мазка, порівняно зі зразками з позитивним результатом мазка</w:t>
      </w:r>
      <w:r w:rsidRPr="006B6651">
        <w:rPr>
          <w:color w:val="000000" w:themeColor="text1"/>
          <w:w w:val="110"/>
          <w:sz w:val="20"/>
          <w:szCs w:val="20"/>
          <w:lang w:val="ru-RU"/>
        </w:rPr>
        <w:t>.</w:t>
      </w:r>
    </w:p>
    <w:p w14:paraId="4E6358EE" w14:textId="77777777" w:rsidR="0023327E" w:rsidRDefault="008A0E77" w:rsidP="008A0E77">
      <w:pPr>
        <w:pStyle w:val="a3"/>
        <w:spacing w:before="184" w:line="276" w:lineRule="auto"/>
        <w:ind w:left="567" w:right="6"/>
        <w:jc w:val="both"/>
        <w:rPr>
          <w:color w:val="000000" w:themeColor="text1"/>
          <w:sz w:val="20"/>
          <w:szCs w:val="20"/>
          <w:lang w:val="ru-RU"/>
        </w:rPr>
      </w:pPr>
      <w:r>
        <w:rPr>
          <w:color w:val="000000" w:themeColor="text1"/>
          <w:sz w:val="20"/>
          <w:szCs w:val="20"/>
          <w:lang w:val="uk-UA"/>
        </w:rPr>
        <w:t>Якщо</w:t>
      </w:r>
      <w:r w:rsidRPr="006B6651">
        <w:rPr>
          <w:color w:val="000000" w:themeColor="text1"/>
          <w:sz w:val="20"/>
          <w:szCs w:val="20"/>
          <w:lang w:val="ru-RU"/>
        </w:rPr>
        <w:t xml:space="preserve"> тест</w:t>
      </w:r>
      <w:r w:rsidRPr="007C6AD2">
        <w:rPr>
          <w:color w:val="000000" w:themeColor="text1"/>
          <w:sz w:val="20"/>
          <w:szCs w:val="20"/>
          <w:lang w:val="uk-UA"/>
        </w:rPr>
        <w:t>-система</w:t>
      </w:r>
      <w:r w:rsidRPr="006B6651">
        <w:rPr>
          <w:color w:val="000000" w:themeColor="text1"/>
          <w:sz w:val="20"/>
          <w:szCs w:val="20"/>
          <w:lang w:val="ru-RU"/>
        </w:rPr>
        <w:t xml:space="preserve"> </w:t>
      </w:r>
      <w:r w:rsidRPr="007C6AD2">
        <w:rPr>
          <w:color w:val="000000" w:themeColor="text1"/>
          <w:sz w:val="20"/>
          <w:szCs w:val="20"/>
        </w:rPr>
        <w:t>MTBDR</w:t>
      </w:r>
      <w:r w:rsidRPr="007C6AD2">
        <w:rPr>
          <w:i/>
          <w:color w:val="000000" w:themeColor="text1"/>
          <w:sz w:val="20"/>
          <w:szCs w:val="20"/>
        </w:rPr>
        <w:t>s</w:t>
      </w:r>
      <w:r w:rsidR="0023327E">
        <w:rPr>
          <w:i/>
          <w:color w:val="000000" w:themeColor="text1"/>
          <w:sz w:val="20"/>
          <w:szCs w:val="20"/>
          <w:lang w:val="uk-UA"/>
        </w:rPr>
        <w:t xml:space="preserve"> </w:t>
      </w:r>
      <w:proofErr w:type="spellStart"/>
      <w:r w:rsidRPr="006B6651">
        <w:rPr>
          <w:color w:val="000000" w:themeColor="text1"/>
          <w:sz w:val="20"/>
          <w:szCs w:val="20"/>
          <w:lang w:val="ru-RU"/>
        </w:rPr>
        <w:t>використовується</w:t>
      </w:r>
      <w:proofErr w:type="spellEnd"/>
      <w:r w:rsidRPr="006B6651">
        <w:rPr>
          <w:color w:val="000000" w:themeColor="text1"/>
          <w:sz w:val="20"/>
          <w:szCs w:val="20"/>
          <w:lang w:val="ru-RU"/>
        </w:rPr>
        <w:t xml:space="preserve"> для прямого </w:t>
      </w:r>
      <w:proofErr w:type="spellStart"/>
      <w:r w:rsidRPr="006B6651">
        <w:rPr>
          <w:color w:val="000000" w:themeColor="text1"/>
          <w:sz w:val="20"/>
          <w:szCs w:val="20"/>
          <w:lang w:val="ru-RU"/>
        </w:rPr>
        <w:t>тестування</w:t>
      </w:r>
      <w:proofErr w:type="spellEnd"/>
      <w:r w:rsidRPr="006B6651">
        <w:rPr>
          <w:color w:val="000000" w:themeColor="text1"/>
          <w:sz w:val="20"/>
          <w:szCs w:val="20"/>
          <w:lang w:val="ru-RU"/>
        </w:rPr>
        <w:t xml:space="preserve"> </w:t>
      </w:r>
      <w:r w:rsidRPr="007C6AD2">
        <w:rPr>
          <w:color w:val="000000" w:themeColor="text1"/>
          <w:sz w:val="20"/>
          <w:szCs w:val="20"/>
          <w:lang w:val="uk-UA"/>
        </w:rPr>
        <w:t xml:space="preserve">зразків мокротиння з негативним результатом мазка </w:t>
      </w:r>
      <w:proofErr w:type="spellStart"/>
      <w:r w:rsidRPr="006B6651">
        <w:rPr>
          <w:color w:val="000000" w:themeColor="text1"/>
          <w:sz w:val="20"/>
          <w:szCs w:val="20"/>
          <w:lang w:val="ru-RU"/>
        </w:rPr>
        <w:t>від</w:t>
      </w:r>
      <w:proofErr w:type="spellEnd"/>
      <w:r w:rsidRPr="006B6651">
        <w:rPr>
          <w:color w:val="000000" w:themeColor="text1"/>
          <w:sz w:val="20"/>
          <w:szCs w:val="20"/>
          <w:lang w:val="ru-RU"/>
        </w:rPr>
        <w:t xml:space="preserve">  </w:t>
      </w:r>
      <w:r w:rsidRPr="00B07473">
        <w:rPr>
          <w:color w:val="000000" w:themeColor="text1"/>
          <w:sz w:val="20"/>
          <w:szCs w:val="20"/>
          <w:lang w:val="uk-UA"/>
        </w:rPr>
        <w:t>групи</w:t>
      </w:r>
      <w:r w:rsidRPr="006B6651">
        <w:rPr>
          <w:color w:val="000000" w:themeColor="text1"/>
          <w:sz w:val="20"/>
          <w:szCs w:val="20"/>
          <w:lang w:val="ru-RU"/>
        </w:rPr>
        <w:t xml:space="preserve"> </w:t>
      </w:r>
      <w:proofErr w:type="spellStart"/>
      <w:r w:rsidRPr="006B6651">
        <w:rPr>
          <w:color w:val="000000" w:themeColor="text1"/>
          <w:sz w:val="20"/>
          <w:szCs w:val="20"/>
          <w:lang w:val="ru-RU"/>
        </w:rPr>
        <w:t>пацієнтів</w:t>
      </w:r>
      <w:proofErr w:type="spellEnd"/>
      <w:r w:rsidRPr="006B6651">
        <w:rPr>
          <w:color w:val="000000" w:themeColor="text1"/>
          <w:sz w:val="20"/>
          <w:szCs w:val="20"/>
          <w:lang w:val="ru-RU"/>
        </w:rPr>
        <w:t xml:space="preserve"> з </w:t>
      </w:r>
      <w:proofErr w:type="spellStart"/>
      <w:r w:rsidRPr="006B6651">
        <w:rPr>
          <w:color w:val="000000" w:themeColor="text1"/>
          <w:sz w:val="20"/>
          <w:szCs w:val="20"/>
          <w:lang w:val="ru-RU"/>
        </w:rPr>
        <w:t>підтвердженим</w:t>
      </w:r>
      <w:proofErr w:type="spellEnd"/>
      <w:r w:rsidRPr="006B6651">
        <w:rPr>
          <w:color w:val="000000" w:themeColor="text1"/>
          <w:sz w:val="20"/>
          <w:szCs w:val="20"/>
          <w:lang w:val="ru-RU"/>
        </w:rPr>
        <w:t xml:space="preserve"> </w:t>
      </w:r>
      <w:r w:rsidRPr="007C6AD2">
        <w:rPr>
          <w:color w:val="000000" w:themeColor="text1"/>
          <w:sz w:val="20"/>
          <w:szCs w:val="20"/>
          <w:lang w:val="uk-UA"/>
        </w:rPr>
        <w:t>ЛС</w:t>
      </w:r>
      <w:r w:rsidRPr="006B6651">
        <w:rPr>
          <w:color w:val="000000" w:themeColor="text1"/>
          <w:sz w:val="20"/>
          <w:szCs w:val="20"/>
          <w:lang w:val="ru-RU"/>
        </w:rPr>
        <w:t xml:space="preserve">-ТБ, до 44% </w:t>
      </w:r>
      <w:proofErr w:type="spellStart"/>
      <w:r w:rsidRPr="006B6651">
        <w:rPr>
          <w:color w:val="000000" w:themeColor="text1"/>
          <w:sz w:val="20"/>
          <w:szCs w:val="20"/>
          <w:lang w:val="ru-RU"/>
        </w:rPr>
        <w:t>результатів</w:t>
      </w:r>
      <w:proofErr w:type="spellEnd"/>
      <w:r w:rsidRPr="006B6651">
        <w:rPr>
          <w:color w:val="000000" w:themeColor="text1"/>
          <w:sz w:val="20"/>
          <w:szCs w:val="20"/>
          <w:lang w:val="ru-RU"/>
        </w:rPr>
        <w:t xml:space="preserve"> </w:t>
      </w:r>
    </w:p>
    <w:p w14:paraId="42027AD8" w14:textId="5DD84F34" w:rsidR="008A0E77" w:rsidRPr="006B6651" w:rsidRDefault="008A0E77" w:rsidP="008A0E77">
      <w:pPr>
        <w:pStyle w:val="a3"/>
        <w:spacing w:before="184" w:line="276" w:lineRule="auto"/>
        <w:ind w:left="567" w:right="6"/>
        <w:jc w:val="both"/>
        <w:rPr>
          <w:color w:val="000000" w:themeColor="text1"/>
          <w:w w:val="110"/>
          <w:sz w:val="20"/>
          <w:szCs w:val="20"/>
          <w:lang w:val="uk-UA"/>
        </w:rPr>
      </w:pPr>
      <w:proofErr w:type="spellStart"/>
      <w:r w:rsidRPr="006B6651">
        <w:rPr>
          <w:color w:val="000000" w:themeColor="text1"/>
          <w:sz w:val="20"/>
          <w:szCs w:val="20"/>
          <w:lang w:val="ru-RU"/>
        </w:rPr>
        <w:lastRenderedPageBreak/>
        <w:t>можуть</w:t>
      </w:r>
      <w:proofErr w:type="spellEnd"/>
      <w:r w:rsidRPr="006B6651">
        <w:rPr>
          <w:color w:val="000000" w:themeColor="text1"/>
          <w:sz w:val="20"/>
          <w:szCs w:val="20"/>
          <w:lang w:val="ru-RU"/>
        </w:rPr>
        <w:t xml:space="preserve"> бути </w:t>
      </w:r>
      <w:proofErr w:type="spellStart"/>
      <w:r w:rsidRPr="006B6651">
        <w:rPr>
          <w:color w:val="000000" w:themeColor="text1"/>
          <w:sz w:val="20"/>
          <w:szCs w:val="20"/>
          <w:lang w:val="ru-RU"/>
        </w:rPr>
        <w:t>невизначеними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менше</w:t>
      </w:r>
      <w:proofErr w:type="spellEnd"/>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версії</w:t>
      </w:r>
      <w:proofErr w:type="spellEnd"/>
      <w:r w:rsidRPr="006B6651">
        <w:rPr>
          <w:color w:val="000000" w:themeColor="text1"/>
          <w:w w:val="110"/>
          <w:sz w:val="20"/>
          <w:szCs w:val="20"/>
          <w:lang w:val="ru-RU"/>
        </w:rPr>
        <w:t xml:space="preserve"> 2.0, </w:t>
      </w:r>
      <w:proofErr w:type="spellStart"/>
      <w:r w:rsidRPr="006B6651">
        <w:rPr>
          <w:color w:val="000000" w:themeColor="text1"/>
          <w:w w:val="110"/>
          <w:sz w:val="20"/>
          <w:szCs w:val="20"/>
          <w:lang w:val="ru-RU"/>
        </w:rPr>
        <w:t>хоча</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даних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дуже</w:t>
      </w:r>
      <w:proofErr w:type="spellEnd"/>
      <w:r w:rsidRPr="006B6651">
        <w:rPr>
          <w:color w:val="000000" w:themeColor="text1"/>
          <w:w w:val="110"/>
          <w:sz w:val="20"/>
          <w:szCs w:val="20"/>
          <w:lang w:val="ru-RU"/>
        </w:rPr>
        <w:t xml:space="preserve"> мало), </w:t>
      </w:r>
      <w:r>
        <w:rPr>
          <w:color w:val="000000" w:themeColor="text1"/>
          <w:w w:val="110"/>
          <w:sz w:val="20"/>
          <w:szCs w:val="20"/>
          <w:lang w:val="uk-UA"/>
        </w:rPr>
        <w:t>тож</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потребуватимуть</w:t>
      </w:r>
      <w:proofErr w:type="spellEnd"/>
      <w:r w:rsidRPr="006B6651">
        <w:rPr>
          <w:color w:val="000000" w:themeColor="text1"/>
          <w:w w:val="110"/>
          <w:sz w:val="20"/>
          <w:szCs w:val="20"/>
          <w:lang w:val="ru-RU"/>
        </w:rPr>
        <w:t xml:space="preserve"> повторного або </w:t>
      </w:r>
      <w:proofErr w:type="spellStart"/>
      <w:r w:rsidRPr="006B6651">
        <w:rPr>
          <w:color w:val="000000" w:themeColor="text1"/>
          <w:w w:val="110"/>
          <w:sz w:val="20"/>
          <w:szCs w:val="20"/>
          <w:lang w:val="ru-RU"/>
        </w:rPr>
        <w:t>додаткового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тестування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Однак</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якби</w:t>
      </w:r>
      <w:proofErr w:type="spellEnd"/>
      <w:r w:rsidRPr="006B6651">
        <w:rPr>
          <w:color w:val="000000" w:themeColor="text1"/>
          <w:w w:val="110"/>
          <w:sz w:val="20"/>
          <w:szCs w:val="20"/>
          <w:lang w:val="ru-RU"/>
        </w:rPr>
        <w:t xml:space="preserve"> той </w:t>
      </w:r>
      <w:proofErr w:type="spellStart"/>
      <w:r w:rsidRPr="006B6651">
        <w:rPr>
          <w:color w:val="000000" w:themeColor="text1"/>
          <w:w w:val="110"/>
          <w:sz w:val="20"/>
          <w:szCs w:val="20"/>
          <w:lang w:val="ru-RU"/>
        </w:rPr>
        <w:t>самий</w:t>
      </w:r>
      <w:proofErr w:type="spellEnd"/>
      <w:r>
        <w:rPr>
          <w:color w:val="000000" w:themeColor="text1"/>
          <w:w w:val="110"/>
          <w:sz w:val="20"/>
          <w:szCs w:val="20"/>
          <w:lang w:val="uk-UA"/>
        </w:rPr>
        <w:t xml:space="preserve"> </w:t>
      </w:r>
      <w:r w:rsidRPr="006B6651">
        <w:rPr>
          <w:color w:val="000000" w:themeColor="text1"/>
          <w:w w:val="110"/>
          <w:sz w:val="20"/>
          <w:szCs w:val="20"/>
          <w:lang w:val="ru-RU"/>
        </w:rPr>
        <w:t xml:space="preserve">тест </w:t>
      </w:r>
      <w:proofErr w:type="spellStart"/>
      <w:r w:rsidRPr="006B6651">
        <w:rPr>
          <w:color w:val="000000" w:themeColor="text1"/>
          <w:w w:val="110"/>
          <w:sz w:val="20"/>
          <w:szCs w:val="20"/>
          <w:lang w:val="ru-RU"/>
        </w:rPr>
        <w:t>застосовувався</w:t>
      </w:r>
      <w:proofErr w:type="spellEnd"/>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тестування</w:t>
      </w:r>
      <w:proofErr w:type="spellEnd"/>
      <w:r w:rsidRPr="006B6651">
        <w:rPr>
          <w:color w:val="000000" w:themeColor="text1"/>
          <w:w w:val="110"/>
          <w:sz w:val="20"/>
          <w:szCs w:val="20"/>
          <w:lang w:val="ru-RU"/>
        </w:rPr>
        <w:t xml:space="preserve"> </w:t>
      </w:r>
      <w:r w:rsidRPr="004B4B47">
        <w:rPr>
          <w:color w:val="000000" w:themeColor="text1"/>
          <w:w w:val="110"/>
          <w:sz w:val="20"/>
          <w:szCs w:val="20"/>
          <w:lang w:val="uk-UA"/>
        </w:rPr>
        <w:t xml:space="preserve">зразків мокротиння </w:t>
      </w:r>
      <w:r>
        <w:rPr>
          <w:color w:val="000000" w:themeColor="text1"/>
          <w:w w:val="110"/>
          <w:sz w:val="20"/>
          <w:szCs w:val="20"/>
          <w:lang w:val="uk-UA"/>
        </w:rPr>
        <w:t>з позитивним результатом мазка</w:t>
      </w:r>
      <w:r w:rsidRPr="004B4B47">
        <w:rPr>
          <w:color w:val="000000" w:themeColor="text1"/>
          <w:w w:val="110"/>
          <w:sz w:val="20"/>
          <w:szCs w:val="20"/>
          <w:lang w:val="uk-UA"/>
        </w:rPr>
        <w:t xml:space="preserve"> </w:t>
      </w:r>
      <w:proofErr w:type="spellStart"/>
      <w:r w:rsidRPr="006B6651">
        <w:rPr>
          <w:color w:val="000000" w:themeColor="text1"/>
          <w:w w:val="110"/>
          <w:sz w:val="20"/>
          <w:szCs w:val="20"/>
          <w:lang w:val="ru-RU"/>
        </w:rPr>
        <w:t>від</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пацієнтів</w:t>
      </w:r>
      <w:proofErr w:type="spellEnd"/>
      <w:r w:rsidRPr="006B6651">
        <w:rPr>
          <w:color w:val="000000" w:themeColor="text1"/>
          <w:w w:val="110"/>
          <w:sz w:val="20"/>
          <w:szCs w:val="20"/>
          <w:lang w:val="ru-RU"/>
        </w:rPr>
        <w:t xml:space="preserve"> без </w:t>
      </w:r>
      <w:proofErr w:type="spellStart"/>
      <w:r w:rsidRPr="006B6651">
        <w:rPr>
          <w:color w:val="000000" w:themeColor="text1"/>
          <w:w w:val="110"/>
          <w:sz w:val="20"/>
          <w:szCs w:val="20"/>
          <w:lang w:val="ru-RU"/>
        </w:rPr>
        <w:t>підтвердженого</w:t>
      </w:r>
      <w:proofErr w:type="spellEnd"/>
      <w:r w:rsidRPr="006B6651">
        <w:rPr>
          <w:color w:val="000000" w:themeColor="text1"/>
          <w:w w:val="110"/>
          <w:sz w:val="20"/>
          <w:szCs w:val="20"/>
          <w:lang w:val="ru-RU"/>
        </w:rPr>
        <w:t xml:space="preserve"> ТБ або </w:t>
      </w:r>
      <w:r w:rsidRPr="004B4B47">
        <w:rPr>
          <w:color w:val="000000" w:themeColor="text1"/>
          <w:w w:val="110"/>
          <w:sz w:val="20"/>
          <w:szCs w:val="20"/>
          <w:lang w:val="uk-UA"/>
        </w:rPr>
        <w:t>ЛС</w:t>
      </w:r>
      <w:r w:rsidRPr="006B6651">
        <w:rPr>
          <w:color w:val="000000" w:themeColor="text1"/>
          <w:w w:val="110"/>
          <w:sz w:val="20"/>
          <w:szCs w:val="20"/>
          <w:lang w:val="ru-RU"/>
        </w:rPr>
        <w:t>-ТБ (</w:t>
      </w:r>
      <w:proofErr w:type="spellStart"/>
      <w:r w:rsidRPr="006B6651">
        <w:rPr>
          <w:color w:val="000000" w:themeColor="text1"/>
          <w:w w:val="110"/>
          <w:sz w:val="20"/>
          <w:szCs w:val="20"/>
          <w:lang w:val="ru-RU"/>
        </w:rPr>
        <w:t>тобто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пацієнтів</w:t>
      </w:r>
      <w:proofErr w:type="spellEnd"/>
      <w:r w:rsidRPr="006B6651">
        <w:rPr>
          <w:color w:val="000000" w:themeColor="text1"/>
          <w:w w:val="110"/>
          <w:sz w:val="20"/>
          <w:szCs w:val="20"/>
          <w:lang w:val="ru-RU"/>
        </w:rPr>
        <w:t xml:space="preserve"> з </w:t>
      </w:r>
      <w:proofErr w:type="spellStart"/>
      <w:r w:rsidRPr="006B6651">
        <w:rPr>
          <w:color w:val="000000" w:themeColor="text1"/>
          <w:w w:val="110"/>
          <w:sz w:val="20"/>
          <w:szCs w:val="20"/>
          <w:lang w:val="ru-RU"/>
        </w:rPr>
        <w:t>підозрою</w:t>
      </w:r>
      <w:proofErr w:type="spellEnd"/>
      <w:r w:rsidRPr="006B6651">
        <w:rPr>
          <w:color w:val="000000" w:themeColor="text1"/>
          <w:w w:val="110"/>
          <w:sz w:val="20"/>
          <w:szCs w:val="20"/>
          <w:lang w:val="ru-RU"/>
        </w:rPr>
        <w:t xml:space="preserve"> на </w:t>
      </w:r>
      <w:r w:rsidRPr="004B4B47">
        <w:rPr>
          <w:color w:val="000000" w:themeColor="text1"/>
          <w:w w:val="110"/>
          <w:sz w:val="20"/>
          <w:szCs w:val="20"/>
          <w:lang w:val="uk-UA"/>
        </w:rPr>
        <w:t>ЛС</w:t>
      </w:r>
      <w:r w:rsidRPr="006B6651">
        <w:rPr>
          <w:color w:val="000000" w:themeColor="text1"/>
          <w:w w:val="110"/>
          <w:sz w:val="20"/>
          <w:szCs w:val="20"/>
          <w:lang w:val="ru-RU"/>
        </w:rPr>
        <w:t xml:space="preserve">-ТБ), частота </w:t>
      </w:r>
      <w:proofErr w:type="spellStart"/>
      <w:r w:rsidRPr="006B6651">
        <w:rPr>
          <w:color w:val="000000" w:themeColor="text1"/>
          <w:w w:val="110"/>
          <w:sz w:val="20"/>
          <w:szCs w:val="20"/>
          <w:lang w:val="ru-RU"/>
        </w:rPr>
        <w:t>невизначених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результатів</w:t>
      </w:r>
      <w:proofErr w:type="spellEnd"/>
      <w:r w:rsidRPr="006B6651">
        <w:rPr>
          <w:color w:val="000000" w:themeColor="text1"/>
          <w:w w:val="110"/>
          <w:sz w:val="20"/>
          <w:szCs w:val="20"/>
          <w:lang w:val="ru-RU"/>
        </w:rPr>
        <w:t xml:space="preserve"> тесту </w:t>
      </w:r>
      <w:proofErr w:type="spellStart"/>
      <w:r w:rsidRPr="006B6651">
        <w:rPr>
          <w:color w:val="000000" w:themeColor="text1"/>
          <w:w w:val="110"/>
          <w:sz w:val="20"/>
          <w:szCs w:val="20"/>
          <w:lang w:val="ru-RU"/>
        </w:rPr>
        <w:t>була</w:t>
      </w:r>
      <w:proofErr w:type="spellEnd"/>
      <w:r w:rsidRPr="006B6651">
        <w:rPr>
          <w:color w:val="000000" w:themeColor="text1"/>
          <w:w w:val="110"/>
          <w:sz w:val="20"/>
          <w:szCs w:val="20"/>
          <w:lang w:val="ru-RU"/>
        </w:rPr>
        <w:t xml:space="preserve"> б </w:t>
      </w:r>
      <w:proofErr w:type="spellStart"/>
      <w:r w:rsidRPr="006B6651">
        <w:rPr>
          <w:color w:val="000000" w:themeColor="text1"/>
          <w:w w:val="110"/>
          <w:sz w:val="20"/>
          <w:szCs w:val="20"/>
          <w:lang w:val="ru-RU"/>
        </w:rPr>
        <w:t>значно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вищою</w:t>
      </w:r>
      <w:proofErr w:type="spellEnd"/>
      <w:r w:rsidRPr="006B6651">
        <w:rPr>
          <w:color w:val="000000" w:themeColor="text1"/>
          <w:w w:val="110"/>
          <w:sz w:val="20"/>
          <w:szCs w:val="20"/>
          <w:lang w:val="ru-RU"/>
        </w:rPr>
        <w:t>.</w:t>
      </w:r>
      <w:r w:rsidRPr="00B07473">
        <w:rPr>
          <w:color w:val="000000" w:themeColor="text1"/>
          <w:w w:val="110"/>
          <w:sz w:val="20"/>
          <w:szCs w:val="20"/>
          <w:lang w:val="uk-UA"/>
        </w:rPr>
        <w:t xml:space="preserve"> </w:t>
      </w:r>
      <w:r w:rsidRPr="006B6651">
        <w:rPr>
          <w:color w:val="000000" w:themeColor="text1"/>
          <w:w w:val="110"/>
          <w:sz w:val="20"/>
          <w:szCs w:val="20"/>
          <w:lang w:val="uk-UA"/>
        </w:rPr>
        <w:t xml:space="preserve">Враховуючи чутливість та специфічність тесту при виконанні </w:t>
      </w:r>
      <w:r w:rsidRPr="004B4B47">
        <w:rPr>
          <w:color w:val="000000" w:themeColor="text1"/>
          <w:w w:val="110"/>
          <w:sz w:val="20"/>
          <w:szCs w:val="20"/>
        </w:rPr>
        <w:t>SL</w:t>
      </w:r>
      <w:r w:rsidRPr="006B6651">
        <w:rPr>
          <w:color w:val="000000" w:themeColor="text1"/>
          <w:w w:val="110"/>
          <w:sz w:val="20"/>
          <w:szCs w:val="20"/>
          <w:lang w:val="uk-UA"/>
        </w:rPr>
        <w:t>-</w:t>
      </w:r>
      <w:r w:rsidRPr="004B4B47">
        <w:rPr>
          <w:color w:val="000000" w:themeColor="text1"/>
          <w:w w:val="110"/>
          <w:sz w:val="20"/>
          <w:szCs w:val="20"/>
        </w:rPr>
        <w:t>LPA</w:t>
      </w:r>
      <w:r w:rsidRPr="006B6651">
        <w:rPr>
          <w:color w:val="000000" w:themeColor="text1"/>
          <w:w w:val="110"/>
          <w:sz w:val="20"/>
          <w:szCs w:val="20"/>
          <w:lang w:val="uk-UA"/>
        </w:rPr>
        <w:t xml:space="preserve"> безпосередньо на мокротинні, ГР</w:t>
      </w:r>
      <w:r w:rsidRPr="004B4B47">
        <w:rPr>
          <w:color w:val="000000" w:themeColor="text1"/>
          <w:w w:val="110"/>
          <w:sz w:val="20"/>
          <w:szCs w:val="20"/>
          <w:lang w:val="uk-UA"/>
        </w:rPr>
        <w:t>Н</w:t>
      </w:r>
      <w:r w:rsidRPr="006B6651">
        <w:rPr>
          <w:color w:val="000000" w:themeColor="text1"/>
          <w:w w:val="110"/>
          <w:sz w:val="20"/>
          <w:szCs w:val="20"/>
          <w:lang w:val="uk-UA"/>
        </w:rPr>
        <w:t xml:space="preserve"> вважала, що </w:t>
      </w:r>
      <w:r w:rsidRPr="004B4B47">
        <w:rPr>
          <w:color w:val="000000" w:themeColor="text1"/>
          <w:w w:val="110"/>
          <w:sz w:val="20"/>
          <w:szCs w:val="20"/>
        </w:rPr>
        <w:t>SL</w:t>
      </w:r>
      <w:r w:rsidRPr="006B6651">
        <w:rPr>
          <w:color w:val="000000" w:themeColor="text1"/>
          <w:w w:val="110"/>
          <w:sz w:val="20"/>
          <w:szCs w:val="20"/>
          <w:lang w:val="uk-UA"/>
        </w:rPr>
        <w:t>-</w:t>
      </w:r>
      <w:r w:rsidRPr="004B4B47">
        <w:rPr>
          <w:color w:val="000000" w:themeColor="text1"/>
          <w:w w:val="110"/>
          <w:sz w:val="20"/>
          <w:szCs w:val="20"/>
        </w:rPr>
        <w:t>LPA</w:t>
      </w:r>
      <w:r w:rsidRPr="006B6651">
        <w:rPr>
          <w:color w:val="000000" w:themeColor="text1"/>
          <w:w w:val="110"/>
          <w:sz w:val="20"/>
          <w:szCs w:val="20"/>
          <w:lang w:val="uk-UA"/>
        </w:rPr>
        <w:t xml:space="preserve"> можна використовувати для тестування всіх зразків мокротиння від пацієнтів з підтвердженим МЛС/Р</w:t>
      </w:r>
      <w:r w:rsidRPr="004B4B47">
        <w:rPr>
          <w:color w:val="000000" w:themeColor="text1"/>
          <w:w w:val="110"/>
          <w:sz w:val="20"/>
          <w:szCs w:val="20"/>
          <w:lang w:val="uk-UA"/>
        </w:rPr>
        <w:t>иф</w:t>
      </w:r>
      <w:r w:rsidRPr="006B6651">
        <w:rPr>
          <w:color w:val="000000" w:themeColor="text1"/>
          <w:w w:val="110"/>
          <w:sz w:val="20"/>
          <w:szCs w:val="20"/>
          <w:lang w:val="uk-UA"/>
        </w:rPr>
        <w:t>-ТБ, незалежно від того, чи результат мікроскопії позитивни</w:t>
      </w:r>
      <w:r w:rsidRPr="004B4B47">
        <w:rPr>
          <w:color w:val="000000" w:themeColor="text1"/>
          <w:w w:val="110"/>
          <w:sz w:val="20"/>
          <w:szCs w:val="20"/>
          <w:lang w:val="uk-UA"/>
        </w:rPr>
        <w:t>й</w:t>
      </w:r>
      <w:r w:rsidRPr="006B6651">
        <w:rPr>
          <w:color w:val="000000" w:themeColor="text1"/>
          <w:w w:val="110"/>
          <w:sz w:val="20"/>
          <w:szCs w:val="20"/>
          <w:lang w:val="uk-UA"/>
        </w:rPr>
        <w:t xml:space="preserve"> чи негативни</w:t>
      </w:r>
      <w:r w:rsidRPr="004B4B47">
        <w:rPr>
          <w:color w:val="000000" w:themeColor="text1"/>
          <w:w w:val="110"/>
          <w:sz w:val="20"/>
          <w:szCs w:val="20"/>
          <w:lang w:val="uk-UA"/>
        </w:rPr>
        <w:t>й</w:t>
      </w:r>
      <w:r w:rsidRPr="006B6651">
        <w:rPr>
          <w:color w:val="000000" w:themeColor="text1"/>
          <w:w w:val="110"/>
          <w:sz w:val="20"/>
          <w:szCs w:val="20"/>
          <w:lang w:val="uk-UA"/>
        </w:rPr>
        <w:t>.</w:t>
      </w:r>
    </w:p>
    <w:p w14:paraId="742F885B" w14:textId="77777777" w:rsidR="008A0E77" w:rsidRPr="008A0E77" w:rsidRDefault="008A0E77" w:rsidP="00392DCF">
      <w:pPr>
        <w:pStyle w:val="a3"/>
        <w:spacing w:before="178" w:line="276" w:lineRule="auto"/>
        <w:ind w:left="567" w:right="142"/>
        <w:jc w:val="both"/>
        <w:rPr>
          <w:color w:val="000000" w:themeColor="text1"/>
          <w:sz w:val="20"/>
          <w:szCs w:val="20"/>
          <w:lang w:val="ru-RU"/>
        </w:rPr>
      </w:pPr>
      <w:r w:rsidRPr="006B6651">
        <w:rPr>
          <w:color w:val="000000" w:themeColor="text1"/>
          <w:w w:val="110"/>
          <w:sz w:val="20"/>
          <w:szCs w:val="20"/>
          <w:lang w:val="ru-RU"/>
        </w:rPr>
        <w:t xml:space="preserve">З причин, </w:t>
      </w:r>
      <w:proofErr w:type="spellStart"/>
      <w:r w:rsidRPr="006B6651">
        <w:rPr>
          <w:color w:val="000000" w:themeColor="text1"/>
          <w:w w:val="110"/>
          <w:sz w:val="20"/>
          <w:szCs w:val="20"/>
          <w:lang w:val="ru-RU"/>
        </w:rPr>
        <w:t>зазначених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вище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недостатність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даних</w:t>
      </w:r>
      <w:proofErr w:type="spellEnd"/>
      <w:r w:rsidRPr="006B6651">
        <w:rPr>
          <w:color w:val="000000" w:themeColor="text1"/>
          <w:w w:val="110"/>
          <w:sz w:val="20"/>
          <w:szCs w:val="20"/>
          <w:lang w:val="ru-RU"/>
        </w:rPr>
        <w:t xml:space="preserve"> через </w:t>
      </w:r>
      <w:proofErr w:type="spellStart"/>
      <w:r w:rsidRPr="006B6651">
        <w:rPr>
          <w:color w:val="000000" w:themeColor="text1"/>
          <w:w w:val="110"/>
          <w:sz w:val="20"/>
          <w:szCs w:val="20"/>
          <w:lang w:val="ru-RU"/>
        </w:rPr>
        <w:t>замалу</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кількість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досліджень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версії</w:t>
      </w:r>
      <w:proofErr w:type="spellEnd"/>
      <w:r w:rsidRPr="006B6651">
        <w:rPr>
          <w:color w:val="000000" w:themeColor="text1"/>
          <w:w w:val="110"/>
          <w:sz w:val="20"/>
          <w:szCs w:val="20"/>
          <w:lang w:val="ru-RU"/>
        </w:rPr>
        <w:t xml:space="preserve"> 2.0), тут не представлен</w:t>
      </w:r>
      <w:r w:rsidRPr="004B4B47">
        <w:rPr>
          <w:color w:val="000000" w:themeColor="text1"/>
          <w:w w:val="110"/>
          <w:sz w:val="20"/>
          <w:szCs w:val="20"/>
          <w:lang w:val="uk-UA"/>
        </w:rPr>
        <w:t>і</w:t>
      </w:r>
      <w:r w:rsidRPr="006B6651">
        <w:rPr>
          <w:color w:val="000000" w:themeColor="text1"/>
          <w:w w:val="110"/>
          <w:sz w:val="20"/>
          <w:szCs w:val="20"/>
          <w:lang w:val="ru-RU"/>
        </w:rPr>
        <w:t xml:space="preserve"> результат</w:t>
      </w:r>
      <w:r w:rsidRPr="004B4B47">
        <w:rPr>
          <w:color w:val="000000" w:themeColor="text1"/>
          <w:w w:val="110"/>
          <w:sz w:val="20"/>
          <w:szCs w:val="20"/>
          <w:lang w:val="uk-UA"/>
        </w:rPr>
        <w:t>и</w:t>
      </w:r>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версії</w:t>
      </w:r>
      <w:proofErr w:type="spellEnd"/>
      <w:r w:rsidRPr="006B6651">
        <w:rPr>
          <w:color w:val="000000" w:themeColor="text1"/>
          <w:w w:val="110"/>
          <w:sz w:val="20"/>
          <w:szCs w:val="20"/>
          <w:lang w:val="ru-RU"/>
        </w:rPr>
        <w:t xml:space="preserve"> 2.0. </w:t>
      </w:r>
      <w:r w:rsidRPr="008A0E77">
        <w:rPr>
          <w:color w:val="000000" w:themeColor="text1"/>
          <w:w w:val="110"/>
          <w:sz w:val="20"/>
          <w:szCs w:val="20"/>
          <w:lang w:val="ru-RU"/>
        </w:rPr>
        <w:t xml:space="preserve">Щодо </w:t>
      </w:r>
      <w:r w:rsidRPr="004B4B47">
        <w:rPr>
          <w:color w:val="000000" w:themeColor="text1"/>
          <w:w w:val="110"/>
          <w:sz w:val="20"/>
          <w:szCs w:val="20"/>
        </w:rPr>
        <w:t>MTBDR</w:t>
      </w:r>
      <w:r w:rsidRPr="004B4B47">
        <w:rPr>
          <w:i/>
          <w:color w:val="000000" w:themeColor="text1"/>
          <w:w w:val="110"/>
          <w:sz w:val="20"/>
          <w:szCs w:val="20"/>
        </w:rPr>
        <w:t>sl</w:t>
      </w:r>
      <w:r w:rsidRPr="008A0E77">
        <w:rPr>
          <w:color w:val="000000" w:themeColor="text1"/>
          <w:w w:val="110"/>
          <w:sz w:val="20"/>
          <w:szCs w:val="20"/>
          <w:lang w:val="ru-RU"/>
        </w:rPr>
        <w:t xml:space="preserve"> </w:t>
      </w:r>
      <w:proofErr w:type="spellStart"/>
      <w:r w:rsidRPr="008A0E77">
        <w:rPr>
          <w:color w:val="000000" w:themeColor="text1"/>
          <w:w w:val="110"/>
          <w:sz w:val="20"/>
          <w:szCs w:val="20"/>
          <w:lang w:val="ru-RU"/>
        </w:rPr>
        <w:t>версії</w:t>
      </w:r>
      <w:proofErr w:type="spellEnd"/>
      <w:r w:rsidRPr="008A0E77">
        <w:rPr>
          <w:color w:val="000000" w:themeColor="text1"/>
          <w:w w:val="110"/>
          <w:sz w:val="20"/>
          <w:szCs w:val="20"/>
          <w:lang w:val="ru-RU"/>
        </w:rPr>
        <w:t xml:space="preserve"> 2.0</w:t>
      </w:r>
      <w:r w:rsidRPr="004B4B47">
        <w:rPr>
          <w:color w:val="000000" w:themeColor="text1"/>
          <w:w w:val="110"/>
          <w:sz w:val="20"/>
          <w:szCs w:val="20"/>
          <w:lang w:val="uk-UA"/>
        </w:rPr>
        <w:t xml:space="preserve"> було мало даних </w:t>
      </w:r>
      <w:r w:rsidRPr="008A0E77">
        <w:rPr>
          <w:color w:val="000000" w:themeColor="text1"/>
          <w:w w:val="110"/>
          <w:sz w:val="20"/>
          <w:szCs w:val="20"/>
          <w:lang w:val="ru-RU"/>
        </w:rPr>
        <w:t>або</w:t>
      </w:r>
      <w:r w:rsidRPr="004B4B47">
        <w:rPr>
          <w:color w:val="000000" w:themeColor="text1"/>
          <w:w w:val="110"/>
          <w:sz w:val="20"/>
          <w:szCs w:val="20"/>
          <w:lang w:val="uk-UA"/>
        </w:rPr>
        <w:t xml:space="preserve"> вони були</w:t>
      </w:r>
      <w:r w:rsidRPr="008A0E77">
        <w:rPr>
          <w:color w:val="000000" w:themeColor="text1"/>
          <w:w w:val="110"/>
          <w:sz w:val="20"/>
          <w:szCs w:val="20"/>
          <w:lang w:val="ru-RU"/>
        </w:rPr>
        <w:t xml:space="preserve"> </w:t>
      </w:r>
      <w:proofErr w:type="spellStart"/>
      <w:r w:rsidRPr="008A0E77">
        <w:rPr>
          <w:color w:val="000000" w:themeColor="text1"/>
          <w:w w:val="110"/>
          <w:sz w:val="20"/>
          <w:szCs w:val="20"/>
          <w:lang w:val="ru-RU"/>
        </w:rPr>
        <w:t>надто</w:t>
      </w:r>
      <w:proofErr w:type="spellEnd"/>
      <w:r w:rsidRPr="008A0E77">
        <w:rPr>
          <w:color w:val="000000" w:themeColor="text1"/>
          <w:w w:val="110"/>
          <w:sz w:val="20"/>
          <w:szCs w:val="20"/>
          <w:lang w:val="ru-RU"/>
        </w:rPr>
        <w:t xml:space="preserve"> </w:t>
      </w:r>
      <w:r w:rsidRPr="004B4B47">
        <w:rPr>
          <w:color w:val="000000" w:themeColor="text1"/>
          <w:w w:val="110"/>
          <w:sz w:val="20"/>
          <w:szCs w:val="20"/>
          <w:lang w:val="uk-UA"/>
        </w:rPr>
        <w:t>неоднорідні</w:t>
      </w:r>
      <w:r w:rsidRPr="008A0E77">
        <w:rPr>
          <w:color w:val="000000" w:themeColor="text1"/>
          <w:w w:val="110"/>
          <w:sz w:val="20"/>
          <w:szCs w:val="20"/>
          <w:lang w:val="ru-RU"/>
        </w:rPr>
        <w:t xml:space="preserve"> для </w:t>
      </w:r>
      <w:proofErr w:type="spellStart"/>
      <w:r w:rsidRPr="008A0E77">
        <w:rPr>
          <w:color w:val="000000" w:themeColor="text1"/>
          <w:w w:val="110"/>
          <w:sz w:val="20"/>
          <w:szCs w:val="20"/>
          <w:lang w:val="ru-RU"/>
        </w:rPr>
        <w:t>об'єднання</w:t>
      </w:r>
      <w:proofErr w:type="spellEnd"/>
      <w:r w:rsidRPr="008A0E77">
        <w:rPr>
          <w:color w:val="000000" w:themeColor="text1"/>
          <w:w w:val="110"/>
          <w:sz w:val="20"/>
          <w:szCs w:val="20"/>
          <w:lang w:val="ru-RU"/>
        </w:rPr>
        <w:t xml:space="preserve"> в метааналіз </w:t>
      </w:r>
      <w:proofErr w:type="spellStart"/>
      <w:r w:rsidRPr="008A0E77">
        <w:rPr>
          <w:color w:val="000000" w:themeColor="text1"/>
          <w:w w:val="110"/>
          <w:sz w:val="20"/>
          <w:szCs w:val="20"/>
          <w:lang w:val="ru-RU"/>
        </w:rPr>
        <w:t>чи</w:t>
      </w:r>
      <w:proofErr w:type="spellEnd"/>
      <w:r w:rsidRPr="008A0E77">
        <w:rPr>
          <w:color w:val="000000" w:themeColor="text1"/>
          <w:w w:val="110"/>
          <w:sz w:val="20"/>
          <w:szCs w:val="20"/>
          <w:lang w:val="ru-RU"/>
        </w:rPr>
        <w:t xml:space="preserve"> для </w:t>
      </w:r>
      <w:proofErr w:type="spellStart"/>
      <w:r w:rsidRPr="008A0E77">
        <w:rPr>
          <w:color w:val="000000" w:themeColor="text1"/>
          <w:w w:val="110"/>
          <w:sz w:val="20"/>
          <w:szCs w:val="20"/>
          <w:lang w:val="ru-RU"/>
        </w:rPr>
        <w:t>порівняння</w:t>
      </w:r>
      <w:proofErr w:type="spellEnd"/>
      <w:r w:rsidRPr="008A0E77">
        <w:rPr>
          <w:color w:val="000000" w:themeColor="text1"/>
          <w:w w:val="110"/>
          <w:sz w:val="20"/>
          <w:szCs w:val="20"/>
          <w:lang w:val="ru-RU"/>
        </w:rPr>
        <w:t xml:space="preserve"> непрямого та прямого </w:t>
      </w:r>
      <w:proofErr w:type="spellStart"/>
      <w:r w:rsidRPr="008A0E77">
        <w:rPr>
          <w:color w:val="000000" w:themeColor="text1"/>
          <w:w w:val="110"/>
          <w:sz w:val="20"/>
          <w:szCs w:val="20"/>
          <w:lang w:val="ru-RU"/>
        </w:rPr>
        <w:t>тестування</w:t>
      </w:r>
      <w:proofErr w:type="spellEnd"/>
      <w:r w:rsidRPr="008A0E77">
        <w:rPr>
          <w:color w:val="000000" w:themeColor="text1"/>
          <w:w w:val="110"/>
          <w:sz w:val="20"/>
          <w:szCs w:val="20"/>
          <w:lang w:val="ru-RU"/>
        </w:rPr>
        <w:t>.</w:t>
      </w:r>
    </w:p>
    <w:p w14:paraId="5E8F0DBB" w14:textId="77777777" w:rsidR="008A0E77" w:rsidRPr="006B6651" w:rsidRDefault="008A0E77" w:rsidP="00392DCF">
      <w:pPr>
        <w:pStyle w:val="a3"/>
        <w:spacing w:before="175" w:line="276" w:lineRule="auto"/>
        <w:ind w:left="567" w:right="142"/>
        <w:jc w:val="both"/>
        <w:rPr>
          <w:color w:val="000000" w:themeColor="text1"/>
          <w:sz w:val="20"/>
          <w:szCs w:val="20"/>
          <w:lang w:val="ru-RU"/>
        </w:rPr>
      </w:pPr>
      <w:r w:rsidRPr="008A0E77">
        <w:rPr>
          <w:color w:val="000000" w:themeColor="text1"/>
          <w:w w:val="110"/>
          <w:sz w:val="20"/>
          <w:szCs w:val="20"/>
          <w:lang w:val="ru-RU"/>
        </w:rPr>
        <w:t xml:space="preserve">У </w:t>
      </w:r>
      <w:proofErr w:type="spellStart"/>
      <w:r w:rsidRPr="008A0E77">
        <w:rPr>
          <w:color w:val="000000" w:themeColor="text1"/>
          <w:w w:val="110"/>
          <w:sz w:val="20"/>
          <w:szCs w:val="20"/>
          <w:lang w:val="ru-RU"/>
        </w:rPr>
        <w:t>трьох</w:t>
      </w:r>
      <w:proofErr w:type="spellEnd"/>
      <w:r w:rsidRPr="008A0E77">
        <w:rPr>
          <w:color w:val="000000" w:themeColor="text1"/>
          <w:w w:val="110"/>
          <w:sz w:val="20"/>
          <w:szCs w:val="20"/>
          <w:lang w:val="ru-RU"/>
        </w:rPr>
        <w:t xml:space="preserve"> </w:t>
      </w:r>
      <w:proofErr w:type="spellStart"/>
      <w:r w:rsidRPr="008A0E77">
        <w:rPr>
          <w:color w:val="000000" w:themeColor="text1"/>
          <w:w w:val="110"/>
          <w:sz w:val="20"/>
          <w:szCs w:val="20"/>
          <w:lang w:val="ru-RU"/>
        </w:rPr>
        <w:t>дослідженнях</w:t>
      </w:r>
      <w:proofErr w:type="spellEnd"/>
      <w:r w:rsidRPr="008A0E77">
        <w:rPr>
          <w:color w:val="000000" w:themeColor="text1"/>
          <w:w w:val="110"/>
          <w:sz w:val="20"/>
          <w:szCs w:val="20"/>
          <w:lang w:val="ru-RU"/>
        </w:rPr>
        <w:t xml:space="preserve"> </w:t>
      </w:r>
      <w:proofErr w:type="spellStart"/>
      <w:r w:rsidRPr="008A0E77">
        <w:rPr>
          <w:color w:val="000000" w:themeColor="text1"/>
          <w:w w:val="110"/>
          <w:sz w:val="20"/>
          <w:szCs w:val="20"/>
          <w:lang w:val="ru-RU"/>
        </w:rPr>
        <w:t>оцінювали</w:t>
      </w:r>
      <w:proofErr w:type="spellEnd"/>
      <w:r w:rsidRPr="008A0E77">
        <w:rPr>
          <w:color w:val="000000" w:themeColor="text1"/>
          <w:w w:val="110"/>
          <w:sz w:val="20"/>
          <w:szCs w:val="20"/>
          <w:lang w:val="ru-RU"/>
        </w:rPr>
        <w:t xml:space="preserve"> </w:t>
      </w:r>
      <w:r w:rsidRPr="004B4B47">
        <w:rPr>
          <w:color w:val="000000" w:themeColor="text1"/>
          <w:w w:val="110"/>
          <w:sz w:val="20"/>
          <w:szCs w:val="20"/>
          <w:lang w:val="uk-UA"/>
        </w:rPr>
        <w:t xml:space="preserve">систему </w:t>
      </w:r>
      <w:r w:rsidRPr="004B4B47">
        <w:rPr>
          <w:color w:val="000000" w:themeColor="text1"/>
          <w:w w:val="110"/>
          <w:sz w:val="20"/>
          <w:szCs w:val="20"/>
        </w:rPr>
        <w:t>MTBDR</w:t>
      </w:r>
      <w:r w:rsidRPr="004B4B47">
        <w:rPr>
          <w:i/>
          <w:color w:val="000000" w:themeColor="text1"/>
          <w:w w:val="110"/>
          <w:sz w:val="20"/>
          <w:szCs w:val="20"/>
        </w:rPr>
        <w:t>sl</w:t>
      </w:r>
      <w:r w:rsidRPr="008A0E77">
        <w:rPr>
          <w:color w:val="000000" w:themeColor="text1"/>
          <w:w w:val="110"/>
          <w:sz w:val="20"/>
          <w:szCs w:val="20"/>
          <w:lang w:val="ru-RU"/>
        </w:rPr>
        <w:t xml:space="preserve"> </w:t>
      </w:r>
      <w:proofErr w:type="spellStart"/>
      <w:r w:rsidRPr="008A0E77">
        <w:rPr>
          <w:color w:val="000000" w:themeColor="text1"/>
          <w:w w:val="110"/>
          <w:sz w:val="20"/>
          <w:szCs w:val="20"/>
          <w:lang w:val="ru-RU"/>
        </w:rPr>
        <w:t>версії</w:t>
      </w:r>
      <w:proofErr w:type="spellEnd"/>
      <w:r w:rsidRPr="008A0E77">
        <w:rPr>
          <w:color w:val="000000" w:themeColor="text1"/>
          <w:w w:val="110"/>
          <w:sz w:val="20"/>
          <w:szCs w:val="20"/>
          <w:lang w:val="ru-RU"/>
        </w:rPr>
        <w:t xml:space="preserve"> 2.0 </w:t>
      </w:r>
      <w:r w:rsidRPr="004B4B47">
        <w:rPr>
          <w:color w:val="000000" w:themeColor="text1"/>
          <w:w w:val="110"/>
          <w:sz w:val="20"/>
          <w:szCs w:val="20"/>
          <w:lang w:val="uk-UA"/>
        </w:rPr>
        <w:t>на</w:t>
      </w:r>
      <w:r w:rsidRPr="008A0E77">
        <w:rPr>
          <w:color w:val="000000" w:themeColor="text1"/>
          <w:w w:val="110"/>
          <w:sz w:val="20"/>
          <w:szCs w:val="20"/>
          <w:lang w:val="ru-RU"/>
        </w:rPr>
        <w:t xml:space="preserve"> 562 </w:t>
      </w:r>
      <w:r w:rsidRPr="004B4B47">
        <w:rPr>
          <w:color w:val="000000" w:themeColor="text1"/>
          <w:w w:val="110"/>
          <w:sz w:val="20"/>
          <w:szCs w:val="20"/>
          <w:lang w:val="uk-UA"/>
        </w:rPr>
        <w:t>учасниках</w:t>
      </w:r>
      <w:r w:rsidRPr="008A0E77">
        <w:rPr>
          <w:color w:val="000000" w:themeColor="text1"/>
          <w:w w:val="110"/>
          <w:sz w:val="20"/>
          <w:szCs w:val="20"/>
          <w:lang w:val="ru-RU"/>
        </w:rPr>
        <w:t xml:space="preserve">, включаючи 111 </w:t>
      </w:r>
      <w:proofErr w:type="spellStart"/>
      <w:r w:rsidRPr="008A0E77">
        <w:rPr>
          <w:color w:val="000000" w:themeColor="text1"/>
          <w:w w:val="110"/>
          <w:sz w:val="20"/>
          <w:szCs w:val="20"/>
          <w:lang w:val="ru-RU"/>
        </w:rPr>
        <w:t>підтверджених</w:t>
      </w:r>
      <w:proofErr w:type="spellEnd"/>
      <w:r w:rsidRPr="008A0E77">
        <w:rPr>
          <w:color w:val="000000" w:themeColor="text1"/>
          <w:w w:val="110"/>
          <w:sz w:val="20"/>
          <w:szCs w:val="20"/>
          <w:lang w:val="ru-RU"/>
        </w:rPr>
        <w:t xml:space="preserve"> </w:t>
      </w:r>
      <w:proofErr w:type="spellStart"/>
      <w:r w:rsidRPr="008A0E77">
        <w:rPr>
          <w:color w:val="000000" w:themeColor="text1"/>
          <w:w w:val="110"/>
          <w:sz w:val="20"/>
          <w:szCs w:val="20"/>
          <w:lang w:val="ru-RU"/>
        </w:rPr>
        <w:t>випадків</w:t>
      </w:r>
      <w:proofErr w:type="spellEnd"/>
      <w:r w:rsidRPr="008A0E77">
        <w:rPr>
          <w:color w:val="000000" w:themeColor="text1"/>
          <w:w w:val="110"/>
          <w:sz w:val="20"/>
          <w:szCs w:val="20"/>
          <w:lang w:val="ru-RU"/>
        </w:rPr>
        <w:t xml:space="preserve"> ТБ </w:t>
      </w:r>
      <w:r w:rsidRPr="004B4B47">
        <w:rPr>
          <w:color w:val="000000" w:themeColor="text1"/>
          <w:w w:val="110"/>
          <w:sz w:val="20"/>
          <w:szCs w:val="20"/>
          <w:lang w:val="uk-UA"/>
        </w:rPr>
        <w:t>зі стійкістю</w:t>
      </w:r>
      <w:r w:rsidRPr="008A0E77">
        <w:rPr>
          <w:color w:val="000000" w:themeColor="text1"/>
          <w:w w:val="110"/>
          <w:sz w:val="20"/>
          <w:szCs w:val="20"/>
          <w:lang w:val="ru-RU"/>
        </w:rPr>
        <w:t xml:space="preserve"> до фторхінолонів, </w:t>
      </w:r>
      <w:proofErr w:type="spellStart"/>
      <w:r w:rsidRPr="008A0E77">
        <w:rPr>
          <w:color w:val="000000" w:themeColor="text1"/>
          <w:w w:val="110"/>
          <w:sz w:val="20"/>
          <w:szCs w:val="20"/>
          <w:lang w:val="ru-RU"/>
        </w:rPr>
        <w:t>визначеною</w:t>
      </w:r>
      <w:proofErr w:type="spellEnd"/>
      <w:r w:rsidRPr="008A0E77">
        <w:rPr>
          <w:color w:val="000000" w:themeColor="text1"/>
          <w:w w:val="110"/>
          <w:sz w:val="20"/>
          <w:szCs w:val="20"/>
          <w:lang w:val="ru-RU"/>
        </w:rPr>
        <w:t xml:space="preserve"> шляхом непрямого </w:t>
      </w:r>
      <w:proofErr w:type="spellStart"/>
      <w:r w:rsidRPr="008A0E77">
        <w:rPr>
          <w:color w:val="000000" w:themeColor="text1"/>
          <w:w w:val="110"/>
          <w:sz w:val="20"/>
          <w:szCs w:val="20"/>
          <w:lang w:val="ru-RU"/>
        </w:rPr>
        <w:t>тестування</w:t>
      </w:r>
      <w:proofErr w:type="spellEnd"/>
      <w:r w:rsidRPr="008A0E77">
        <w:rPr>
          <w:color w:val="000000" w:themeColor="text1"/>
          <w:w w:val="110"/>
          <w:sz w:val="20"/>
          <w:szCs w:val="20"/>
          <w:lang w:val="ru-RU"/>
        </w:rPr>
        <w:t xml:space="preserve"> на </w:t>
      </w:r>
      <w:proofErr w:type="spellStart"/>
      <w:r w:rsidRPr="008A0E77">
        <w:rPr>
          <w:color w:val="000000" w:themeColor="text1"/>
          <w:w w:val="110"/>
          <w:sz w:val="20"/>
          <w:szCs w:val="20"/>
          <w:lang w:val="ru-RU"/>
        </w:rPr>
        <w:t>культурі</w:t>
      </w:r>
      <w:proofErr w:type="spellEnd"/>
      <w:r w:rsidRPr="008A0E77">
        <w:rPr>
          <w:color w:val="000000" w:themeColor="text1"/>
          <w:w w:val="110"/>
          <w:sz w:val="20"/>
          <w:szCs w:val="20"/>
          <w:lang w:val="ru-RU"/>
        </w:rPr>
        <w:t xml:space="preserve"> </w:t>
      </w:r>
      <w:r w:rsidRPr="004B4B47">
        <w:rPr>
          <w:i/>
          <w:color w:val="000000" w:themeColor="text1"/>
          <w:w w:val="110"/>
          <w:sz w:val="20"/>
          <w:szCs w:val="20"/>
        </w:rPr>
        <w:t>M</w:t>
      </w:r>
      <w:r w:rsidRPr="008A0E77">
        <w:rPr>
          <w:i/>
          <w:color w:val="000000" w:themeColor="text1"/>
          <w:w w:val="110"/>
          <w:sz w:val="20"/>
          <w:szCs w:val="20"/>
          <w:lang w:val="ru-RU"/>
        </w:rPr>
        <w:t xml:space="preserve">. </w:t>
      </w:r>
      <w:r w:rsidRPr="004B4B47">
        <w:rPr>
          <w:i/>
          <w:color w:val="000000" w:themeColor="text1"/>
          <w:w w:val="110"/>
          <w:sz w:val="20"/>
          <w:szCs w:val="20"/>
        </w:rPr>
        <w:t>tuberculosis</w:t>
      </w:r>
      <w:r w:rsidRPr="004B4B47">
        <w:rPr>
          <w:color w:val="000000" w:themeColor="text1"/>
          <w:w w:val="110"/>
          <w:sz w:val="20"/>
          <w:szCs w:val="20"/>
          <w:lang w:val="uk-UA"/>
        </w:rPr>
        <w:t xml:space="preserve"> </w:t>
      </w:r>
      <w:proofErr w:type="spellStart"/>
      <w:r w:rsidRPr="008A0E77">
        <w:rPr>
          <w:color w:val="000000" w:themeColor="text1"/>
          <w:w w:val="110"/>
          <w:sz w:val="20"/>
          <w:szCs w:val="20"/>
          <w:lang w:val="ru-RU"/>
        </w:rPr>
        <w:t>порівняно</w:t>
      </w:r>
      <w:proofErr w:type="spellEnd"/>
      <w:r w:rsidRPr="008A0E77">
        <w:rPr>
          <w:color w:val="000000" w:themeColor="text1"/>
          <w:w w:val="110"/>
          <w:sz w:val="20"/>
          <w:szCs w:val="20"/>
          <w:lang w:val="ru-RU"/>
        </w:rPr>
        <w:t xml:space="preserve"> з </w:t>
      </w:r>
      <w:proofErr w:type="spellStart"/>
      <w:r w:rsidRPr="008A0E77">
        <w:rPr>
          <w:color w:val="000000" w:themeColor="text1"/>
          <w:w w:val="110"/>
          <w:sz w:val="20"/>
          <w:szCs w:val="20"/>
          <w:lang w:val="ru-RU"/>
        </w:rPr>
        <w:t>фенотиповим</w:t>
      </w:r>
      <w:proofErr w:type="spellEnd"/>
      <w:r w:rsidRPr="004B4B47">
        <w:rPr>
          <w:color w:val="000000" w:themeColor="text1"/>
          <w:w w:val="110"/>
          <w:sz w:val="20"/>
          <w:szCs w:val="20"/>
          <w:lang w:val="uk-UA"/>
        </w:rPr>
        <w:t xml:space="preserve"> ТМЧ на основі культуральних методів</w:t>
      </w:r>
      <w:r w:rsidRPr="008A0E77">
        <w:rPr>
          <w:color w:val="000000" w:themeColor="text1"/>
          <w:w w:val="110"/>
          <w:sz w:val="20"/>
          <w:szCs w:val="20"/>
          <w:lang w:val="ru-RU"/>
        </w:rPr>
        <w:t xml:space="preserve"> </w:t>
      </w:r>
      <w:r w:rsidRPr="004B4B47">
        <w:rPr>
          <w:color w:val="000000" w:themeColor="text1"/>
          <w:w w:val="110"/>
          <w:sz w:val="20"/>
          <w:szCs w:val="20"/>
          <w:lang w:val="uk-UA"/>
        </w:rPr>
        <w:t>в якості еталонного стандарту</w:t>
      </w:r>
      <w:r w:rsidRPr="008A0E77">
        <w:rPr>
          <w:color w:val="000000" w:themeColor="text1"/>
          <w:w w:val="110"/>
          <w:sz w:val="20"/>
          <w:szCs w:val="20"/>
          <w:lang w:val="ru-RU"/>
        </w:rPr>
        <w:t xml:space="preserve">. </w:t>
      </w:r>
      <w:r w:rsidRPr="004B4B47">
        <w:rPr>
          <w:color w:val="000000" w:themeColor="text1"/>
          <w:sz w:val="20"/>
          <w:szCs w:val="20"/>
          <w:lang w:val="uk-UA"/>
        </w:rPr>
        <w:t xml:space="preserve">За оцінками </w:t>
      </w:r>
      <w:proofErr w:type="spellStart"/>
      <w:r w:rsidRPr="006B6651">
        <w:rPr>
          <w:color w:val="000000" w:themeColor="text1"/>
          <w:w w:val="110"/>
          <w:sz w:val="20"/>
          <w:szCs w:val="20"/>
          <w:lang w:val="ru-RU"/>
        </w:rPr>
        <w:t>чутлив</w:t>
      </w:r>
      <w:r w:rsidRPr="004B4B47">
        <w:rPr>
          <w:color w:val="000000" w:themeColor="text1"/>
          <w:w w:val="110"/>
          <w:sz w:val="20"/>
          <w:szCs w:val="20"/>
          <w:lang w:val="uk-UA"/>
        </w:rPr>
        <w:t>ість</w:t>
      </w:r>
      <w:proofErr w:type="spellEnd"/>
      <w:r w:rsidRPr="006B6651">
        <w:rPr>
          <w:color w:val="000000" w:themeColor="text1"/>
          <w:w w:val="110"/>
          <w:sz w:val="20"/>
          <w:szCs w:val="20"/>
          <w:lang w:val="ru-RU"/>
        </w:rPr>
        <w:t xml:space="preserve"> </w:t>
      </w:r>
      <w:r w:rsidRPr="004B4B47">
        <w:rPr>
          <w:color w:val="000000" w:themeColor="text1"/>
          <w:w w:val="110"/>
          <w:sz w:val="20"/>
          <w:szCs w:val="20"/>
          <w:lang w:val="uk-UA"/>
        </w:rPr>
        <w:t>становила</w:t>
      </w:r>
      <w:r w:rsidRPr="006B6651">
        <w:rPr>
          <w:color w:val="000000" w:themeColor="text1"/>
          <w:w w:val="110"/>
          <w:sz w:val="20"/>
          <w:szCs w:val="20"/>
          <w:lang w:val="ru-RU"/>
        </w:rPr>
        <w:t xml:space="preserve"> 84%</w:t>
      </w:r>
      <w:r w:rsidRPr="004B4B47">
        <w:rPr>
          <w:color w:val="000000" w:themeColor="text1"/>
          <w:w w:val="110"/>
          <w:sz w:val="20"/>
          <w:szCs w:val="20"/>
          <w:lang w:val="uk-UA"/>
        </w:rPr>
        <w:t>-1</w:t>
      </w:r>
      <w:r w:rsidRPr="006B6651">
        <w:rPr>
          <w:color w:val="000000" w:themeColor="text1"/>
          <w:w w:val="110"/>
          <w:sz w:val="20"/>
          <w:szCs w:val="20"/>
          <w:lang w:val="ru-RU"/>
        </w:rPr>
        <w:t xml:space="preserve">00%, а </w:t>
      </w:r>
      <w:proofErr w:type="spellStart"/>
      <w:r w:rsidRPr="006B6651">
        <w:rPr>
          <w:color w:val="000000" w:themeColor="text1"/>
          <w:w w:val="110"/>
          <w:sz w:val="20"/>
          <w:szCs w:val="20"/>
          <w:lang w:val="ru-RU"/>
        </w:rPr>
        <w:t>специфічн</w:t>
      </w:r>
      <w:r w:rsidRPr="004B4B47">
        <w:rPr>
          <w:color w:val="000000" w:themeColor="text1"/>
          <w:w w:val="110"/>
          <w:sz w:val="20"/>
          <w:szCs w:val="20"/>
          <w:lang w:val="uk-UA"/>
        </w:rPr>
        <w:t>ість</w:t>
      </w:r>
      <w:proofErr w:type="spellEnd"/>
      <w:r w:rsidRPr="006B6651">
        <w:rPr>
          <w:color w:val="000000" w:themeColor="text1"/>
          <w:w w:val="110"/>
          <w:sz w:val="20"/>
          <w:szCs w:val="20"/>
          <w:lang w:val="ru-RU"/>
        </w:rPr>
        <w:t xml:space="preserve"> – 99%</w:t>
      </w:r>
      <w:r w:rsidRPr="004B4B47">
        <w:rPr>
          <w:color w:val="000000" w:themeColor="text1"/>
          <w:w w:val="110"/>
          <w:sz w:val="20"/>
          <w:szCs w:val="20"/>
          <w:lang w:val="uk-UA"/>
        </w:rPr>
        <w:t>-</w:t>
      </w:r>
      <w:r w:rsidRPr="006B6651">
        <w:rPr>
          <w:color w:val="000000" w:themeColor="text1"/>
          <w:w w:val="110"/>
          <w:sz w:val="20"/>
          <w:szCs w:val="20"/>
          <w:lang w:val="ru-RU"/>
        </w:rPr>
        <w:t>100%.</w:t>
      </w:r>
    </w:p>
    <w:p w14:paraId="310EB6BF" w14:textId="77777777" w:rsidR="008A0E77" w:rsidRPr="00784388" w:rsidRDefault="008A0E77" w:rsidP="00392DCF">
      <w:pPr>
        <w:spacing w:before="174" w:line="276" w:lineRule="auto"/>
        <w:ind w:left="567" w:right="142"/>
        <w:jc w:val="both"/>
        <w:rPr>
          <w:i/>
          <w:color w:val="0070C0"/>
          <w:sz w:val="20"/>
          <w:szCs w:val="20"/>
          <w:lang w:val="uk-UA"/>
        </w:rPr>
      </w:pPr>
      <w:r w:rsidRPr="004B4B47">
        <w:rPr>
          <w:color w:val="000000" w:themeColor="text1"/>
          <w:w w:val="110"/>
          <w:sz w:val="20"/>
          <w:szCs w:val="20"/>
          <w:lang w:val="uk-UA"/>
        </w:rPr>
        <w:t>Стосовно</w:t>
      </w:r>
      <w:r w:rsidRPr="006B6651">
        <w:rPr>
          <w:color w:val="000000" w:themeColor="text1"/>
          <w:w w:val="110"/>
          <w:sz w:val="20"/>
          <w:szCs w:val="20"/>
          <w:lang w:val="ru-RU"/>
        </w:rPr>
        <w:t xml:space="preserve"> деталей про </w:t>
      </w:r>
      <w:proofErr w:type="spellStart"/>
      <w:r w:rsidRPr="006B6651">
        <w:rPr>
          <w:color w:val="000000" w:themeColor="text1"/>
          <w:w w:val="110"/>
          <w:sz w:val="20"/>
          <w:szCs w:val="20"/>
          <w:lang w:val="ru-RU"/>
        </w:rPr>
        <w:t>концентрації</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препаратів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використан</w:t>
      </w:r>
      <w:proofErr w:type="spellEnd"/>
      <w:r w:rsidRPr="004B4B47">
        <w:rPr>
          <w:color w:val="000000" w:themeColor="text1"/>
          <w:w w:val="110"/>
          <w:sz w:val="20"/>
          <w:szCs w:val="20"/>
          <w:lang w:val="uk-UA"/>
        </w:rPr>
        <w:t>их</w:t>
      </w:r>
      <w:r w:rsidRPr="006B6651">
        <w:rPr>
          <w:color w:val="000000" w:themeColor="text1"/>
          <w:w w:val="110"/>
          <w:sz w:val="20"/>
          <w:szCs w:val="20"/>
          <w:lang w:val="ru-RU"/>
        </w:rPr>
        <w:t xml:space="preserve"> в Т</w:t>
      </w:r>
      <w:r w:rsidRPr="004B4B47">
        <w:rPr>
          <w:color w:val="000000" w:themeColor="text1"/>
          <w:w w:val="110"/>
          <w:sz w:val="20"/>
          <w:szCs w:val="20"/>
          <w:lang w:val="uk-UA"/>
        </w:rPr>
        <w:t>М</w:t>
      </w:r>
      <w:r w:rsidRPr="006B6651">
        <w:rPr>
          <w:color w:val="000000" w:themeColor="text1"/>
          <w:w w:val="110"/>
          <w:sz w:val="20"/>
          <w:szCs w:val="20"/>
          <w:lang w:val="ru-RU"/>
        </w:rPr>
        <w:t>Ч</w:t>
      </w:r>
      <w:r w:rsidRPr="004B4B47">
        <w:rPr>
          <w:color w:val="000000" w:themeColor="text1"/>
          <w:w w:val="110"/>
          <w:sz w:val="20"/>
          <w:szCs w:val="20"/>
          <w:lang w:val="uk-UA"/>
        </w:rPr>
        <w:t xml:space="preserve"> на основі культуральних методів </w:t>
      </w:r>
      <w:r w:rsidRPr="006B6651">
        <w:rPr>
          <w:color w:val="000000" w:themeColor="text1"/>
          <w:w w:val="110"/>
          <w:sz w:val="20"/>
          <w:szCs w:val="20"/>
          <w:lang w:val="ru-RU"/>
        </w:rPr>
        <w:t xml:space="preserve">для </w:t>
      </w:r>
      <w:proofErr w:type="spellStart"/>
      <w:r w:rsidRPr="006B6651">
        <w:rPr>
          <w:color w:val="000000" w:themeColor="text1"/>
          <w:w w:val="110"/>
          <w:sz w:val="20"/>
          <w:szCs w:val="20"/>
          <w:lang w:val="ru-RU"/>
        </w:rPr>
        <w:t>оцінки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ефективності</w:t>
      </w:r>
      <w:proofErr w:type="spellEnd"/>
      <w:r w:rsidRPr="006B6651">
        <w:rPr>
          <w:color w:val="000000" w:themeColor="text1"/>
          <w:w w:val="110"/>
          <w:sz w:val="20"/>
          <w:szCs w:val="20"/>
          <w:lang w:val="ru-RU"/>
        </w:rPr>
        <w:t xml:space="preserve"> </w:t>
      </w:r>
      <w:r w:rsidRPr="004B4B47">
        <w:rPr>
          <w:color w:val="000000" w:themeColor="text1"/>
          <w:w w:val="110"/>
          <w:sz w:val="20"/>
          <w:szCs w:val="20"/>
        </w:rPr>
        <w:t>SL</w:t>
      </w:r>
      <w:r w:rsidRPr="006B6651">
        <w:rPr>
          <w:color w:val="000000" w:themeColor="text1"/>
          <w:w w:val="110"/>
          <w:sz w:val="20"/>
          <w:szCs w:val="20"/>
          <w:lang w:val="ru-RU"/>
        </w:rPr>
        <w:t>-</w:t>
      </w:r>
      <w:r w:rsidRPr="004B4B47">
        <w:rPr>
          <w:color w:val="000000" w:themeColor="text1"/>
          <w:w w:val="110"/>
          <w:sz w:val="20"/>
          <w:szCs w:val="20"/>
        </w:rPr>
        <w:t>LPA</w:t>
      </w:r>
      <w:r w:rsidRPr="006B6651">
        <w:rPr>
          <w:color w:val="000000" w:themeColor="text1"/>
          <w:w w:val="110"/>
          <w:sz w:val="20"/>
          <w:szCs w:val="20"/>
          <w:lang w:val="ru-RU"/>
        </w:rPr>
        <w:t xml:space="preserve"> у кожному </w:t>
      </w:r>
      <w:proofErr w:type="spellStart"/>
      <w:r w:rsidRPr="006B6651">
        <w:rPr>
          <w:color w:val="000000" w:themeColor="text1"/>
          <w:w w:val="110"/>
          <w:sz w:val="20"/>
          <w:szCs w:val="20"/>
          <w:lang w:val="ru-RU"/>
        </w:rPr>
        <w:t>включеному</w:t>
      </w:r>
      <w:proofErr w:type="spellEnd"/>
      <w:r w:rsidRPr="004B4B47">
        <w:rPr>
          <w:color w:val="000000" w:themeColor="text1"/>
          <w:w w:val="110"/>
          <w:sz w:val="20"/>
          <w:szCs w:val="20"/>
          <w:lang w:val="uk-UA"/>
        </w:rPr>
        <w:t xml:space="preserve"> в розгляд</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дослідженні</w:t>
      </w:r>
      <w:proofErr w:type="spellEnd"/>
      <w:r w:rsidRPr="004B4B47">
        <w:rPr>
          <w:color w:val="000000" w:themeColor="text1"/>
          <w:w w:val="110"/>
          <w:sz w:val="20"/>
          <w:szCs w:val="20"/>
          <w:lang w:val="uk-UA"/>
        </w:rPr>
        <w:t xml:space="preserve"> д</w:t>
      </w:r>
      <w:r w:rsidRPr="006B6651">
        <w:rPr>
          <w:color w:val="000000" w:themeColor="text1"/>
          <w:w w:val="110"/>
          <w:sz w:val="20"/>
          <w:szCs w:val="20"/>
          <w:lang w:val="ru-RU"/>
        </w:rPr>
        <w:t xml:space="preserve">ив. </w:t>
      </w:r>
      <w:r w:rsidRPr="006B6651">
        <w:rPr>
          <w:b/>
          <w:color w:val="000000" w:themeColor="text1"/>
          <w:w w:val="110"/>
          <w:sz w:val="20"/>
          <w:szCs w:val="20"/>
          <w:lang w:val="ru-RU"/>
        </w:rPr>
        <w:t>Веб-</w:t>
      </w:r>
      <w:proofErr w:type="spellStart"/>
      <w:r w:rsidRPr="006B6651">
        <w:rPr>
          <w:b/>
          <w:color w:val="000000" w:themeColor="text1"/>
          <w:w w:val="110"/>
          <w:sz w:val="20"/>
          <w:szCs w:val="20"/>
          <w:lang w:val="ru-RU"/>
        </w:rPr>
        <w:t>додаток</w:t>
      </w:r>
      <w:proofErr w:type="spellEnd"/>
      <w:r w:rsidRPr="006B6651">
        <w:rPr>
          <w:b/>
          <w:color w:val="000000" w:themeColor="text1"/>
          <w:w w:val="110"/>
          <w:sz w:val="20"/>
          <w:szCs w:val="20"/>
          <w:lang w:val="ru-RU"/>
        </w:rPr>
        <w:t xml:space="preserve"> </w:t>
      </w:r>
      <w:r w:rsidRPr="004B4B47">
        <w:rPr>
          <w:b/>
          <w:color w:val="000000" w:themeColor="text1"/>
          <w:w w:val="110"/>
          <w:sz w:val="20"/>
          <w:szCs w:val="20"/>
        </w:rPr>
        <w:t>B</w:t>
      </w:r>
      <w:r w:rsidRPr="006B6651">
        <w:rPr>
          <w:b/>
          <w:color w:val="000000" w:themeColor="text1"/>
          <w:w w:val="110"/>
          <w:sz w:val="20"/>
          <w:szCs w:val="20"/>
          <w:lang w:val="ru-RU"/>
        </w:rPr>
        <w:t>.15</w:t>
      </w:r>
      <w:r w:rsidRPr="004B4B47">
        <w:rPr>
          <w:b/>
          <w:color w:val="000000" w:themeColor="text1"/>
          <w:w w:val="110"/>
          <w:sz w:val="20"/>
          <w:szCs w:val="20"/>
          <w:lang w:val="uk-UA"/>
        </w:rPr>
        <w:t xml:space="preserve"> </w:t>
      </w:r>
      <w:r w:rsidRPr="00431E56">
        <w:rPr>
          <w:color w:val="000000" w:themeColor="text1"/>
          <w:w w:val="110"/>
          <w:sz w:val="20"/>
          <w:szCs w:val="20"/>
          <w:lang w:val="uk-UA"/>
        </w:rPr>
        <w:t>«</w:t>
      </w:r>
      <w:r w:rsidRPr="00431E56">
        <w:rPr>
          <w:w w:val="110"/>
          <w:sz w:val="20"/>
          <w:szCs w:val="20"/>
          <w:lang w:val="uk-UA"/>
        </w:rPr>
        <w:t>Концентрації препаратів, що використовуються у ТМЧ на основі культуральних методів з використанням SL-LPA</w:t>
      </w:r>
      <w:r w:rsidRPr="00D4767C">
        <w:rPr>
          <w:w w:val="110"/>
          <w:sz w:val="20"/>
          <w:szCs w:val="20"/>
          <w:lang w:val="uk-UA"/>
        </w:rPr>
        <w:t>»</w:t>
      </w:r>
      <w:r w:rsidRPr="00784388">
        <w:rPr>
          <w:b/>
          <w:color w:val="000000" w:themeColor="text1"/>
          <w:w w:val="110"/>
          <w:sz w:val="20"/>
          <w:szCs w:val="20"/>
          <w:lang w:val="uk-UA"/>
        </w:rPr>
        <w:t xml:space="preserve"> (</w:t>
      </w:r>
      <w:r w:rsidRPr="00784388">
        <w:rPr>
          <w:i/>
          <w:w w:val="110"/>
          <w:sz w:val="20"/>
          <w:szCs w:val="20"/>
        </w:rPr>
        <w:t>Drug</w:t>
      </w:r>
      <w:r w:rsidRPr="006B6651">
        <w:rPr>
          <w:i/>
          <w:spacing w:val="-7"/>
          <w:w w:val="110"/>
          <w:sz w:val="20"/>
          <w:szCs w:val="20"/>
          <w:lang w:val="ru-RU"/>
        </w:rPr>
        <w:t xml:space="preserve"> </w:t>
      </w:r>
      <w:r w:rsidRPr="00784388">
        <w:rPr>
          <w:i/>
          <w:w w:val="110"/>
          <w:sz w:val="20"/>
          <w:szCs w:val="20"/>
        </w:rPr>
        <w:t>concentrations</w:t>
      </w:r>
      <w:r w:rsidRPr="006B6651">
        <w:rPr>
          <w:i/>
          <w:spacing w:val="-6"/>
          <w:w w:val="110"/>
          <w:sz w:val="20"/>
          <w:szCs w:val="20"/>
          <w:lang w:val="ru-RU"/>
        </w:rPr>
        <w:t xml:space="preserve"> </w:t>
      </w:r>
      <w:r w:rsidRPr="00784388">
        <w:rPr>
          <w:i/>
          <w:w w:val="110"/>
          <w:sz w:val="20"/>
          <w:szCs w:val="20"/>
        </w:rPr>
        <w:t>used</w:t>
      </w:r>
      <w:r w:rsidRPr="006B6651">
        <w:rPr>
          <w:i/>
          <w:spacing w:val="-7"/>
          <w:w w:val="110"/>
          <w:sz w:val="20"/>
          <w:szCs w:val="20"/>
          <w:lang w:val="ru-RU"/>
        </w:rPr>
        <w:t xml:space="preserve"> </w:t>
      </w:r>
      <w:r w:rsidRPr="00784388">
        <w:rPr>
          <w:i/>
          <w:w w:val="110"/>
          <w:sz w:val="20"/>
          <w:szCs w:val="20"/>
        </w:rPr>
        <w:t>in</w:t>
      </w:r>
      <w:r w:rsidRPr="006B6651">
        <w:rPr>
          <w:i/>
          <w:spacing w:val="-7"/>
          <w:w w:val="110"/>
          <w:sz w:val="20"/>
          <w:szCs w:val="20"/>
          <w:lang w:val="ru-RU"/>
        </w:rPr>
        <w:t xml:space="preserve"> </w:t>
      </w:r>
      <w:r w:rsidRPr="00784388">
        <w:rPr>
          <w:i/>
          <w:w w:val="110"/>
          <w:sz w:val="20"/>
          <w:szCs w:val="20"/>
        </w:rPr>
        <w:t>culture</w:t>
      </w:r>
      <w:r w:rsidRPr="006B6651">
        <w:rPr>
          <w:i/>
          <w:w w:val="110"/>
          <w:sz w:val="20"/>
          <w:szCs w:val="20"/>
          <w:lang w:val="ru-RU"/>
        </w:rPr>
        <w:t>-</w:t>
      </w:r>
      <w:r w:rsidRPr="00784388">
        <w:rPr>
          <w:i/>
          <w:w w:val="110"/>
          <w:sz w:val="20"/>
          <w:szCs w:val="20"/>
        </w:rPr>
        <w:t>based</w:t>
      </w:r>
      <w:r w:rsidRPr="006B6651">
        <w:rPr>
          <w:i/>
          <w:spacing w:val="-7"/>
          <w:w w:val="110"/>
          <w:sz w:val="20"/>
          <w:szCs w:val="20"/>
          <w:lang w:val="ru-RU"/>
        </w:rPr>
        <w:t xml:space="preserve"> </w:t>
      </w:r>
      <w:r w:rsidRPr="00784388">
        <w:rPr>
          <w:i/>
          <w:w w:val="110"/>
          <w:sz w:val="20"/>
          <w:szCs w:val="20"/>
        </w:rPr>
        <w:t>DST</w:t>
      </w:r>
      <w:r w:rsidRPr="006B6651">
        <w:rPr>
          <w:i/>
          <w:spacing w:val="-7"/>
          <w:w w:val="110"/>
          <w:sz w:val="20"/>
          <w:szCs w:val="20"/>
          <w:lang w:val="ru-RU"/>
        </w:rPr>
        <w:t xml:space="preserve"> </w:t>
      </w:r>
      <w:r w:rsidRPr="00784388">
        <w:rPr>
          <w:i/>
          <w:w w:val="110"/>
          <w:sz w:val="20"/>
          <w:szCs w:val="20"/>
        </w:rPr>
        <w:t>SL</w:t>
      </w:r>
      <w:r w:rsidRPr="006B6651">
        <w:rPr>
          <w:i/>
          <w:w w:val="110"/>
          <w:sz w:val="20"/>
          <w:szCs w:val="20"/>
          <w:lang w:val="ru-RU"/>
        </w:rPr>
        <w:t>-</w:t>
      </w:r>
      <w:r w:rsidRPr="00784388">
        <w:rPr>
          <w:i/>
          <w:w w:val="110"/>
          <w:sz w:val="20"/>
          <w:szCs w:val="20"/>
        </w:rPr>
        <w:t>LPA</w:t>
      </w:r>
      <w:r w:rsidRPr="00784388">
        <w:rPr>
          <w:i/>
          <w:w w:val="110"/>
          <w:sz w:val="20"/>
          <w:szCs w:val="20"/>
          <w:lang w:val="uk-UA"/>
        </w:rPr>
        <w:t xml:space="preserve">) </w:t>
      </w:r>
    </w:p>
    <w:p w14:paraId="1C8581E0" w14:textId="77777777" w:rsidR="008A0E77" w:rsidRPr="009203BA" w:rsidRDefault="008A0E77" w:rsidP="008A0E77">
      <w:pPr>
        <w:pStyle w:val="5"/>
        <w:spacing w:before="185"/>
        <w:jc w:val="both"/>
        <w:rPr>
          <w:sz w:val="24"/>
          <w:lang w:val="uk-UA"/>
        </w:rPr>
      </w:pPr>
      <w:r>
        <w:rPr>
          <w:color w:val="019648"/>
          <w:w w:val="105"/>
          <w:sz w:val="24"/>
          <w:lang w:val="uk-UA"/>
        </w:rPr>
        <w:t>Аспекти впровадження</w:t>
      </w:r>
    </w:p>
    <w:p w14:paraId="48D4229A" w14:textId="77777777" w:rsidR="008A0E77" w:rsidRPr="0032383A" w:rsidRDefault="008A0E77" w:rsidP="00392DCF">
      <w:pPr>
        <w:pStyle w:val="a3"/>
        <w:spacing w:before="178" w:line="249" w:lineRule="auto"/>
        <w:ind w:left="567" w:right="142"/>
        <w:jc w:val="both"/>
        <w:rPr>
          <w:color w:val="000000" w:themeColor="text1"/>
          <w:sz w:val="20"/>
        </w:rPr>
      </w:pPr>
      <w:r w:rsidRPr="0032383A">
        <w:rPr>
          <w:color w:val="000000" w:themeColor="text1"/>
          <w:spacing w:val="-3"/>
          <w:w w:val="110"/>
          <w:sz w:val="20"/>
        </w:rPr>
        <w:t>SL</w:t>
      </w:r>
      <w:r w:rsidRPr="006B6651">
        <w:rPr>
          <w:color w:val="000000" w:themeColor="text1"/>
          <w:spacing w:val="-3"/>
          <w:w w:val="110"/>
          <w:sz w:val="20"/>
          <w:lang w:val="uk-UA"/>
        </w:rPr>
        <w:t>-</w:t>
      </w:r>
      <w:r w:rsidRPr="0032383A">
        <w:rPr>
          <w:color w:val="000000" w:themeColor="text1"/>
          <w:spacing w:val="-3"/>
          <w:w w:val="110"/>
          <w:sz w:val="20"/>
        </w:rPr>
        <w:t>LPA</w:t>
      </w:r>
      <w:r w:rsidRPr="006B6651">
        <w:rPr>
          <w:color w:val="000000" w:themeColor="text1"/>
          <w:spacing w:val="-3"/>
          <w:w w:val="110"/>
          <w:sz w:val="20"/>
          <w:lang w:val="uk-UA"/>
        </w:rPr>
        <w:t xml:space="preserve"> </w:t>
      </w:r>
      <w:r w:rsidRPr="0032383A">
        <w:rPr>
          <w:color w:val="000000" w:themeColor="text1"/>
          <w:spacing w:val="-3"/>
          <w:w w:val="110"/>
          <w:sz w:val="20"/>
          <w:lang w:val="uk-UA"/>
        </w:rPr>
        <w:t>потрібно</w:t>
      </w:r>
      <w:r w:rsidRPr="006B6651">
        <w:rPr>
          <w:color w:val="000000" w:themeColor="text1"/>
          <w:spacing w:val="-3"/>
          <w:w w:val="110"/>
          <w:sz w:val="20"/>
          <w:lang w:val="uk-UA"/>
        </w:rPr>
        <w:t xml:space="preserve"> використовувати лише для тестування зразків від пацієнтів з підтвердженим МЛС/Р</w:t>
      </w:r>
      <w:r w:rsidRPr="0032383A">
        <w:rPr>
          <w:color w:val="000000" w:themeColor="text1"/>
          <w:spacing w:val="-3"/>
          <w:w w:val="110"/>
          <w:sz w:val="20"/>
          <w:lang w:val="uk-UA"/>
        </w:rPr>
        <w:t>иф</w:t>
      </w:r>
      <w:r w:rsidRPr="006B6651">
        <w:rPr>
          <w:color w:val="000000" w:themeColor="text1"/>
          <w:spacing w:val="-3"/>
          <w:w w:val="110"/>
          <w:sz w:val="20"/>
          <w:lang w:val="uk-UA"/>
        </w:rPr>
        <w:t xml:space="preserve">-ТБ. </w:t>
      </w:r>
      <w:proofErr w:type="spellStart"/>
      <w:r w:rsidRPr="006B6651">
        <w:rPr>
          <w:color w:val="000000" w:themeColor="text1"/>
          <w:spacing w:val="-3"/>
          <w:w w:val="110"/>
          <w:sz w:val="20"/>
          <w:lang w:val="ru-RU"/>
        </w:rPr>
        <w:t>Впровадження</w:t>
      </w:r>
      <w:proofErr w:type="spellEnd"/>
      <w:r w:rsidRPr="006B6651">
        <w:rPr>
          <w:color w:val="000000" w:themeColor="text1"/>
          <w:spacing w:val="-3"/>
          <w:w w:val="110"/>
          <w:sz w:val="20"/>
          <w:lang w:val="ru-RU"/>
        </w:rPr>
        <w:t xml:space="preserve"> </w:t>
      </w:r>
      <w:r w:rsidRPr="0032383A">
        <w:rPr>
          <w:color w:val="000000" w:themeColor="text1"/>
          <w:spacing w:val="-3"/>
          <w:w w:val="110"/>
          <w:sz w:val="20"/>
        </w:rPr>
        <w:t>SL</w:t>
      </w:r>
      <w:r w:rsidRPr="006B6651">
        <w:rPr>
          <w:color w:val="000000" w:themeColor="text1"/>
          <w:spacing w:val="-3"/>
          <w:w w:val="110"/>
          <w:sz w:val="20"/>
          <w:lang w:val="ru-RU"/>
        </w:rPr>
        <w:t>-</w:t>
      </w:r>
      <w:r w:rsidRPr="0032383A">
        <w:rPr>
          <w:color w:val="000000" w:themeColor="text1"/>
          <w:spacing w:val="-3"/>
          <w:w w:val="110"/>
          <w:sz w:val="20"/>
        </w:rPr>
        <w:t>LPA</w:t>
      </w:r>
      <w:r w:rsidRPr="006B6651">
        <w:rPr>
          <w:color w:val="000000" w:themeColor="text1"/>
          <w:spacing w:val="-3"/>
          <w:w w:val="110"/>
          <w:sz w:val="20"/>
          <w:lang w:val="ru-RU"/>
        </w:rPr>
        <w:t xml:space="preserve"> не </w:t>
      </w:r>
      <w:r w:rsidRPr="0032383A">
        <w:rPr>
          <w:color w:val="000000" w:themeColor="text1"/>
          <w:spacing w:val="-3"/>
          <w:w w:val="110"/>
          <w:sz w:val="20"/>
          <w:lang w:val="uk-UA"/>
        </w:rPr>
        <w:t>усуває</w:t>
      </w:r>
      <w:r w:rsidRPr="006B6651">
        <w:rPr>
          <w:color w:val="000000" w:themeColor="text1"/>
          <w:spacing w:val="-3"/>
          <w:w w:val="110"/>
          <w:sz w:val="20"/>
          <w:lang w:val="ru-RU"/>
        </w:rPr>
        <w:t xml:space="preserve"> потреби у </w:t>
      </w:r>
      <w:proofErr w:type="spellStart"/>
      <w:r w:rsidRPr="006B6651">
        <w:rPr>
          <w:color w:val="000000" w:themeColor="text1"/>
          <w:spacing w:val="-3"/>
          <w:w w:val="110"/>
          <w:sz w:val="20"/>
          <w:lang w:val="ru-RU"/>
        </w:rPr>
        <w:t>можливостях</w:t>
      </w:r>
      <w:proofErr w:type="spellEnd"/>
      <w:r w:rsidRPr="006B6651">
        <w:rPr>
          <w:color w:val="000000" w:themeColor="text1"/>
          <w:spacing w:val="-3"/>
          <w:w w:val="110"/>
          <w:sz w:val="20"/>
          <w:lang w:val="ru-RU"/>
        </w:rPr>
        <w:t xml:space="preserve"> для </w:t>
      </w:r>
      <w:proofErr w:type="spellStart"/>
      <w:r w:rsidRPr="006B6651">
        <w:rPr>
          <w:color w:val="000000" w:themeColor="text1"/>
          <w:spacing w:val="-3"/>
          <w:w w:val="110"/>
          <w:sz w:val="20"/>
          <w:lang w:val="ru-RU"/>
        </w:rPr>
        <w:t>проведення</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традиційного</w:t>
      </w:r>
      <w:proofErr w:type="spellEnd"/>
      <w:r w:rsidRPr="006B6651">
        <w:rPr>
          <w:color w:val="000000" w:themeColor="text1"/>
          <w:spacing w:val="-3"/>
          <w:w w:val="110"/>
          <w:sz w:val="20"/>
          <w:lang w:val="ru-RU"/>
        </w:rPr>
        <w:t xml:space="preserve"> культурального </w:t>
      </w:r>
      <w:proofErr w:type="spellStart"/>
      <w:r w:rsidRPr="006B6651">
        <w:rPr>
          <w:color w:val="000000" w:themeColor="text1"/>
          <w:spacing w:val="-3"/>
          <w:w w:val="110"/>
          <w:sz w:val="20"/>
          <w:lang w:val="ru-RU"/>
        </w:rPr>
        <w:t>дослідження</w:t>
      </w:r>
      <w:proofErr w:type="spellEnd"/>
      <w:r w:rsidRPr="00784388">
        <w:rPr>
          <w:color w:val="000000" w:themeColor="text1"/>
          <w:spacing w:val="-3"/>
          <w:w w:val="110"/>
          <w:sz w:val="20"/>
          <w:lang w:val="uk-UA"/>
        </w:rPr>
        <w:t xml:space="preserve"> </w:t>
      </w:r>
      <w:r w:rsidRPr="006B6651">
        <w:rPr>
          <w:color w:val="000000" w:themeColor="text1"/>
          <w:spacing w:val="-3"/>
          <w:w w:val="110"/>
          <w:sz w:val="20"/>
          <w:lang w:val="ru-RU"/>
        </w:rPr>
        <w:t>та Т</w:t>
      </w:r>
      <w:r w:rsidRPr="00784388">
        <w:rPr>
          <w:color w:val="000000" w:themeColor="text1"/>
          <w:spacing w:val="-3"/>
          <w:w w:val="110"/>
          <w:sz w:val="20"/>
          <w:lang w:val="uk-UA"/>
        </w:rPr>
        <w:t>М</w:t>
      </w:r>
      <w:r w:rsidRPr="006B6651">
        <w:rPr>
          <w:color w:val="000000" w:themeColor="text1"/>
          <w:spacing w:val="-3"/>
          <w:w w:val="110"/>
          <w:sz w:val="20"/>
          <w:lang w:val="ru-RU"/>
        </w:rPr>
        <w:t xml:space="preserve">Ч. </w:t>
      </w:r>
      <w:proofErr w:type="spellStart"/>
      <w:r w:rsidRPr="006B6651">
        <w:rPr>
          <w:color w:val="000000" w:themeColor="text1"/>
          <w:spacing w:val="-3"/>
          <w:w w:val="110"/>
          <w:sz w:val="20"/>
          <w:lang w:val="ru-RU"/>
        </w:rPr>
        <w:t>Незважаючи</w:t>
      </w:r>
      <w:proofErr w:type="spellEnd"/>
      <w:r w:rsidRPr="006B6651">
        <w:rPr>
          <w:color w:val="000000" w:themeColor="text1"/>
          <w:spacing w:val="-3"/>
          <w:w w:val="110"/>
          <w:sz w:val="20"/>
          <w:lang w:val="ru-RU"/>
        </w:rPr>
        <w:t xml:space="preserve"> на добру </w:t>
      </w:r>
      <w:proofErr w:type="spellStart"/>
      <w:r w:rsidRPr="006B6651">
        <w:rPr>
          <w:color w:val="000000" w:themeColor="text1"/>
          <w:spacing w:val="-3"/>
          <w:w w:val="110"/>
          <w:sz w:val="20"/>
          <w:lang w:val="ru-RU"/>
        </w:rPr>
        <w:t>специфічність</w:t>
      </w:r>
      <w:proofErr w:type="spellEnd"/>
      <w:r w:rsidRPr="006B6651">
        <w:rPr>
          <w:color w:val="000000" w:themeColor="text1"/>
          <w:spacing w:val="-3"/>
          <w:w w:val="110"/>
          <w:sz w:val="20"/>
          <w:lang w:val="ru-RU"/>
        </w:rPr>
        <w:t xml:space="preserve"> </w:t>
      </w:r>
      <w:r w:rsidRPr="0032383A">
        <w:rPr>
          <w:color w:val="000000" w:themeColor="text1"/>
          <w:spacing w:val="-3"/>
          <w:w w:val="110"/>
          <w:sz w:val="20"/>
        </w:rPr>
        <w:t>SL</w:t>
      </w:r>
      <w:r w:rsidRPr="006B6651">
        <w:rPr>
          <w:color w:val="000000" w:themeColor="text1"/>
          <w:spacing w:val="-3"/>
          <w:w w:val="110"/>
          <w:sz w:val="20"/>
          <w:lang w:val="ru-RU"/>
        </w:rPr>
        <w:t>-</w:t>
      </w:r>
      <w:r w:rsidRPr="0032383A">
        <w:rPr>
          <w:color w:val="000000" w:themeColor="text1"/>
          <w:spacing w:val="-3"/>
          <w:w w:val="110"/>
          <w:sz w:val="20"/>
        </w:rPr>
        <w:t>LPA</w:t>
      </w:r>
      <w:r w:rsidRPr="006B6651">
        <w:rPr>
          <w:color w:val="000000" w:themeColor="text1"/>
          <w:spacing w:val="-3"/>
          <w:w w:val="110"/>
          <w:sz w:val="20"/>
          <w:lang w:val="ru-RU"/>
        </w:rPr>
        <w:t xml:space="preserve"> для виявлення </w:t>
      </w:r>
      <w:r w:rsidRPr="0032383A">
        <w:rPr>
          <w:color w:val="000000" w:themeColor="text1"/>
          <w:spacing w:val="-3"/>
          <w:w w:val="110"/>
          <w:sz w:val="20"/>
          <w:lang w:val="uk-UA"/>
        </w:rPr>
        <w:t>стійкості</w:t>
      </w:r>
      <w:r w:rsidRPr="006B6651">
        <w:rPr>
          <w:color w:val="000000" w:themeColor="text1"/>
          <w:spacing w:val="-3"/>
          <w:w w:val="110"/>
          <w:sz w:val="20"/>
          <w:lang w:val="ru-RU"/>
        </w:rPr>
        <w:t xml:space="preserve"> до фторхінолонів та ІПДР, </w:t>
      </w:r>
      <w:proofErr w:type="spellStart"/>
      <w:r w:rsidRPr="006B6651">
        <w:rPr>
          <w:color w:val="000000" w:themeColor="text1"/>
          <w:spacing w:val="-3"/>
          <w:w w:val="110"/>
          <w:sz w:val="20"/>
          <w:lang w:val="ru-RU"/>
        </w:rPr>
        <w:t>культуральне</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дослідження</w:t>
      </w:r>
      <w:proofErr w:type="spellEnd"/>
      <w:r w:rsidRPr="006B6651">
        <w:rPr>
          <w:color w:val="000000" w:themeColor="text1"/>
          <w:spacing w:val="-3"/>
          <w:w w:val="110"/>
          <w:sz w:val="20"/>
          <w:lang w:val="ru-RU"/>
        </w:rPr>
        <w:t xml:space="preserve"> та фенотипов</w:t>
      </w:r>
      <w:proofErr w:type="spellStart"/>
      <w:r w:rsidRPr="0032383A">
        <w:rPr>
          <w:color w:val="000000" w:themeColor="text1"/>
          <w:spacing w:val="-3"/>
          <w:w w:val="110"/>
          <w:sz w:val="20"/>
          <w:lang w:val="uk-UA"/>
        </w:rPr>
        <w:t>ий</w:t>
      </w:r>
      <w:proofErr w:type="spellEnd"/>
      <w:r w:rsidRPr="006B6651">
        <w:rPr>
          <w:color w:val="000000" w:themeColor="text1"/>
          <w:spacing w:val="-3"/>
          <w:w w:val="110"/>
          <w:sz w:val="20"/>
          <w:lang w:val="ru-RU"/>
        </w:rPr>
        <w:t xml:space="preserve"> Т</w:t>
      </w:r>
      <w:r w:rsidRPr="0032383A">
        <w:rPr>
          <w:color w:val="000000" w:themeColor="text1"/>
          <w:spacing w:val="-3"/>
          <w:w w:val="110"/>
          <w:sz w:val="20"/>
          <w:lang w:val="uk-UA"/>
        </w:rPr>
        <w:t>М</w:t>
      </w:r>
      <w:r w:rsidRPr="006B6651">
        <w:rPr>
          <w:color w:val="000000" w:themeColor="text1"/>
          <w:spacing w:val="-3"/>
          <w:w w:val="110"/>
          <w:sz w:val="20"/>
          <w:lang w:val="ru-RU"/>
        </w:rPr>
        <w:t xml:space="preserve">Ч є </w:t>
      </w:r>
      <w:proofErr w:type="spellStart"/>
      <w:r w:rsidRPr="006B6651">
        <w:rPr>
          <w:color w:val="000000" w:themeColor="text1"/>
          <w:spacing w:val="-3"/>
          <w:w w:val="110"/>
          <w:sz w:val="20"/>
          <w:lang w:val="ru-RU"/>
        </w:rPr>
        <w:t>необхідними</w:t>
      </w:r>
      <w:proofErr w:type="spellEnd"/>
      <w:r w:rsidRPr="006B6651">
        <w:rPr>
          <w:color w:val="000000" w:themeColor="text1"/>
          <w:spacing w:val="-3"/>
          <w:w w:val="110"/>
          <w:sz w:val="20"/>
          <w:lang w:val="ru-RU"/>
        </w:rPr>
        <w:t xml:space="preserve"> для </w:t>
      </w:r>
      <w:proofErr w:type="spellStart"/>
      <w:r w:rsidRPr="006B6651">
        <w:rPr>
          <w:color w:val="000000" w:themeColor="text1"/>
          <w:spacing w:val="-3"/>
          <w:w w:val="110"/>
          <w:sz w:val="20"/>
          <w:lang w:val="ru-RU"/>
        </w:rPr>
        <w:t>повного</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виключення</w:t>
      </w:r>
      <w:proofErr w:type="spellEnd"/>
      <w:r w:rsidRPr="006B6651">
        <w:rPr>
          <w:color w:val="000000" w:themeColor="text1"/>
          <w:spacing w:val="-3"/>
          <w:w w:val="110"/>
          <w:sz w:val="20"/>
          <w:lang w:val="ru-RU"/>
        </w:rPr>
        <w:t xml:space="preserve"> </w:t>
      </w:r>
      <w:r>
        <w:rPr>
          <w:color w:val="000000" w:themeColor="text1"/>
          <w:spacing w:val="-3"/>
          <w:w w:val="110"/>
          <w:sz w:val="20"/>
          <w:lang w:val="uk-UA"/>
        </w:rPr>
        <w:t>стійкості</w:t>
      </w:r>
      <w:r w:rsidRPr="006B6651">
        <w:rPr>
          <w:color w:val="000000" w:themeColor="text1"/>
          <w:spacing w:val="-3"/>
          <w:w w:val="110"/>
          <w:sz w:val="20"/>
          <w:lang w:val="ru-RU"/>
        </w:rPr>
        <w:t xml:space="preserve"> до </w:t>
      </w:r>
      <w:proofErr w:type="spellStart"/>
      <w:r w:rsidRPr="006B6651">
        <w:rPr>
          <w:color w:val="000000" w:themeColor="text1"/>
          <w:spacing w:val="-3"/>
          <w:w w:val="110"/>
          <w:sz w:val="20"/>
          <w:lang w:val="ru-RU"/>
        </w:rPr>
        <w:t>цих</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класів</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препаратів</w:t>
      </w:r>
      <w:proofErr w:type="spellEnd"/>
      <w:r w:rsidRPr="006B6651">
        <w:rPr>
          <w:color w:val="000000" w:themeColor="text1"/>
          <w:spacing w:val="-3"/>
          <w:w w:val="110"/>
          <w:sz w:val="20"/>
          <w:lang w:val="ru-RU"/>
        </w:rPr>
        <w:t xml:space="preserve">, а також до </w:t>
      </w:r>
      <w:proofErr w:type="spellStart"/>
      <w:r w:rsidRPr="006B6651">
        <w:rPr>
          <w:color w:val="000000" w:themeColor="text1"/>
          <w:spacing w:val="-3"/>
          <w:w w:val="110"/>
          <w:sz w:val="20"/>
          <w:lang w:val="ru-RU"/>
        </w:rPr>
        <w:t>інших</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препаратів</w:t>
      </w:r>
      <w:proofErr w:type="spellEnd"/>
      <w:r w:rsidRPr="006B6651">
        <w:rPr>
          <w:color w:val="000000" w:themeColor="text1"/>
          <w:spacing w:val="-3"/>
          <w:w w:val="110"/>
          <w:sz w:val="20"/>
          <w:lang w:val="ru-RU"/>
        </w:rPr>
        <w:t xml:space="preserve"> другого ряду. </w:t>
      </w:r>
      <w:r w:rsidRPr="0032383A">
        <w:rPr>
          <w:color w:val="000000" w:themeColor="text1"/>
          <w:spacing w:val="-3"/>
          <w:w w:val="110"/>
          <w:sz w:val="20"/>
          <w:lang w:val="uk-UA"/>
        </w:rPr>
        <w:t>Потрібно врахувати</w:t>
      </w:r>
      <w:r w:rsidRPr="0032383A">
        <w:rPr>
          <w:color w:val="000000" w:themeColor="text1"/>
          <w:spacing w:val="-3"/>
          <w:w w:val="110"/>
          <w:sz w:val="20"/>
        </w:rPr>
        <w:t xml:space="preserve"> </w:t>
      </w:r>
      <w:proofErr w:type="spellStart"/>
      <w:r w:rsidRPr="0032383A">
        <w:rPr>
          <w:color w:val="000000" w:themeColor="text1"/>
          <w:spacing w:val="-3"/>
          <w:w w:val="110"/>
          <w:sz w:val="20"/>
        </w:rPr>
        <w:t>наступні</w:t>
      </w:r>
      <w:proofErr w:type="spellEnd"/>
      <w:r w:rsidRPr="0032383A">
        <w:rPr>
          <w:color w:val="000000" w:themeColor="text1"/>
          <w:spacing w:val="-3"/>
          <w:w w:val="110"/>
          <w:sz w:val="20"/>
        </w:rPr>
        <w:t xml:space="preserve"> </w:t>
      </w:r>
      <w:proofErr w:type="spellStart"/>
      <w:r w:rsidRPr="0032383A">
        <w:rPr>
          <w:color w:val="000000" w:themeColor="text1"/>
          <w:spacing w:val="-3"/>
          <w:w w:val="110"/>
          <w:sz w:val="20"/>
        </w:rPr>
        <w:t>аспекти</w:t>
      </w:r>
      <w:proofErr w:type="spellEnd"/>
      <w:r w:rsidRPr="0032383A">
        <w:rPr>
          <w:color w:val="000000" w:themeColor="text1"/>
          <w:spacing w:val="-3"/>
          <w:w w:val="110"/>
          <w:sz w:val="20"/>
        </w:rPr>
        <w:t xml:space="preserve"> </w:t>
      </w:r>
      <w:proofErr w:type="spellStart"/>
      <w:r w:rsidRPr="0032383A">
        <w:rPr>
          <w:color w:val="000000" w:themeColor="text1"/>
          <w:spacing w:val="-3"/>
          <w:w w:val="110"/>
          <w:sz w:val="20"/>
        </w:rPr>
        <w:t>впровадження</w:t>
      </w:r>
      <w:proofErr w:type="spellEnd"/>
      <w:r w:rsidRPr="0032383A">
        <w:rPr>
          <w:color w:val="000000" w:themeColor="text1"/>
          <w:spacing w:val="-3"/>
          <w:w w:val="110"/>
          <w:sz w:val="20"/>
        </w:rPr>
        <w:t>:</w:t>
      </w:r>
    </w:p>
    <w:p w14:paraId="0D403894" w14:textId="77777777" w:rsidR="008A0E77" w:rsidRPr="008A0E77" w:rsidRDefault="008A0E77" w:rsidP="004A2937">
      <w:pPr>
        <w:pStyle w:val="a4"/>
        <w:numPr>
          <w:ilvl w:val="0"/>
          <w:numId w:val="42"/>
        </w:numPr>
        <w:tabs>
          <w:tab w:val="left" w:pos="2127"/>
        </w:tabs>
        <w:spacing w:before="119" w:line="276" w:lineRule="auto"/>
        <w:ind w:left="1134" w:right="142"/>
        <w:rPr>
          <w:color w:val="000000" w:themeColor="text1"/>
          <w:sz w:val="20"/>
          <w:lang w:val="ru-RU"/>
        </w:rPr>
      </w:pPr>
      <w:r w:rsidRPr="0032383A">
        <w:rPr>
          <w:color w:val="000000" w:themeColor="text1"/>
          <w:w w:val="110"/>
          <w:sz w:val="20"/>
        </w:rPr>
        <w:t>SL</w:t>
      </w:r>
      <w:r w:rsidRPr="006B6651">
        <w:rPr>
          <w:color w:val="000000" w:themeColor="text1"/>
          <w:w w:val="110"/>
          <w:sz w:val="20"/>
          <w:lang w:val="ru-RU"/>
        </w:rPr>
        <w:t>-</w:t>
      </w:r>
      <w:r w:rsidRPr="0032383A">
        <w:rPr>
          <w:color w:val="000000" w:themeColor="text1"/>
          <w:w w:val="110"/>
          <w:sz w:val="20"/>
        </w:rPr>
        <w:t>LPA</w:t>
      </w:r>
      <w:r w:rsidRPr="006B6651">
        <w:rPr>
          <w:color w:val="000000" w:themeColor="text1"/>
          <w:w w:val="110"/>
          <w:sz w:val="20"/>
          <w:lang w:val="ru-RU"/>
        </w:rPr>
        <w:t xml:space="preserve"> не </w:t>
      </w:r>
      <w:proofErr w:type="spellStart"/>
      <w:r w:rsidRPr="006B6651">
        <w:rPr>
          <w:color w:val="000000" w:themeColor="text1"/>
          <w:w w:val="110"/>
          <w:sz w:val="20"/>
          <w:lang w:val="ru-RU"/>
        </w:rPr>
        <w:t>можуть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визначати</w:t>
      </w:r>
      <w:proofErr w:type="spellEnd"/>
      <w:r w:rsidRPr="006B6651">
        <w:rPr>
          <w:color w:val="000000" w:themeColor="text1"/>
          <w:w w:val="110"/>
          <w:sz w:val="20"/>
          <w:lang w:val="ru-RU"/>
        </w:rPr>
        <w:t xml:space="preserve"> </w:t>
      </w:r>
      <w:r w:rsidRPr="0032383A">
        <w:rPr>
          <w:color w:val="000000" w:themeColor="text1"/>
          <w:w w:val="110"/>
          <w:sz w:val="20"/>
          <w:lang w:val="uk-UA"/>
        </w:rPr>
        <w:t>стійкість</w:t>
      </w:r>
      <w:r w:rsidRPr="006B6651">
        <w:rPr>
          <w:color w:val="000000" w:themeColor="text1"/>
          <w:w w:val="110"/>
          <w:sz w:val="20"/>
          <w:lang w:val="ru-RU"/>
        </w:rPr>
        <w:t xml:space="preserve"> до </w:t>
      </w:r>
      <w:proofErr w:type="spellStart"/>
      <w:r w:rsidRPr="006B6651">
        <w:rPr>
          <w:color w:val="000000" w:themeColor="text1"/>
          <w:w w:val="110"/>
          <w:sz w:val="20"/>
          <w:lang w:val="ru-RU"/>
        </w:rPr>
        <w:t>окремих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препаратів</w:t>
      </w:r>
      <w:proofErr w:type="spellEnd"/>
      <w:r w:rsidRPr="006B6651">
        <w:rPr>
          <w:color w:val="000000" w:themeColor="text1"/>
          <w:w w:val="110"/>
          <w:sz w:val="20"/>
          <w:lang w:val="ru-RU"/>
        </w:rPr>
        <w:t xml:space="preserve"> </w:t>
      </w:r>
      <w:r w:rsidRPr="0032383A">
        <w:rPr>
          <w:color w:val="000000" w:themeColor="text1"/>
          <w:w w:val="110"/>
          <w:sz w:val="20"/>
          <w:lang w:val="uk-UA"/>
        </w:rPr>
        <w:t>із</w:t>
      </w:r>
      <w:r w:rsidRPr="006B6651">
        <w:rPr>
          <w:color w:val="000000" w:themeColor="text1"/>
          <w:w w:val="110"/>
          <w:sz w:val="20"/>
          <w:lang w:val="ru-RU"/>
        </w:rPr>
        <w:t xml:space="preserve"> </w:t>
      </w:r>
      <w:proofErr w:type="spellStart"/>
      <w:r w:rsidRPr="006B6651">
        <w:rPr>
          <w:color w:val="000000" w:themeColor="text1"/>
          <w:w w:val="110"/>
          <w:sz w:val="20"/>
          <w:lang w:val="ru-RU"/>
        </w:rPr>
        <w:t>клас</w:t>
      </w:r>
      <w:proofErr w:type="spellEnd"/>
      <w:r w:rsidRPr="0032383A">
        <w:rPr>
          <w:color w:val="000000" w:themeColor="text1"/>
          <w:w w:val="110"/>
          <w:sz w:val="20"/>
          <w:lang w:val="uk-UA"/>
        </w:rPr>
        <w:t>у</w:t>
      </w:r>
      <w:r w:rsidRPr="006B6651">
        <w:rPr>
          <w:color w:val="000000" w:themeColor="text1"/>
          <w:w w:val="110"/>
          <w:sz w:val="20"/>
          <w:lang w:val="ru-RU"/>
        </w:rPr>
        <w:t xml:space="preserve"> фторхінолонів. </w:t>
      </w:r>
      <w:r w:rsidRPr="0032383A">
        <w:rPr>
          <w:color w:val="000000" w:themeColor="text1"/>
          <w:w w:val="110"/>
          <w:sz w:val="20"/>
          <w:lang w:val="uk-UA"/>
        </w:rPr>
        <w:t>В</w:t>
      </w:r>
      <w:proofErr w:type="spellStart"/>
      <w:r w:rsidRPr="008A0E77">
        <w:rPr>
          <w:color w:val="000000" w:themeColor="text1"/>
          <w:w w:val="110"/>
          <w:sz w:val="20"/>
          <w:lang w:val="ru-RU"/>
        </w:rPr>
        <w:t>иявлені</w:t>
      </w:r>
      <w:proofErr w:type="spellEnd"/>
      <w:r w:rsidRPr="008A0E77">
        <w:rPr>
          <w:color w:val="000000" w:themeColor="text1"/>
          <w:w w:val="110"/>
          <w:sz w:val="20"/>
          <w:lang w:val="ru-RU"/>
        </w:rPr>
        <w:t xml:space="preserve"> за </w:t>
      </w:r>
      <w:proofErr w:type="spellStart"/>
      <w:r w:rsidRPr="008A0E77">
        <w:rPr>
          <w:color w:val="000000" w:themeColor="text1"/>
          <w:w w:val="110"/>
          <w:sz w:val="20"/>
          <w:lang w:val="ru-RU"/>
        </w:rPr>
        <w:t>допомогою</w:t>
      </w:r>
      <w:proofErr w:type="spellEnd"/>
      <w:r w:rsidRPr="008A0E77">
        <w:rPr>
          <w:color w:val="000000" w:themeColor="text1"/>
          <w:w w:val="110"/>
          <w:sz w:val="20"/>
          <w:lang w:val="ru-RU"/>
        </w:rPr>
        <w:t xml:space="preserve"> </w:t>
      </w:r>
      <w:r w:rsidRPr="0032383A">
        <w:rPr>
          <w:color w:val="000000" w:themeColor="text1"/>
          <w:w w:val="110"/>
          <w:sz w:val="20"/>
        </w:rPr>
        <w:t>SL</w:t>
      </w:r>
      <w:r w:rsidRPr="008A0E77">
        <w:rPr>
          <w:color w:val="000000" w:themeColor="text1"/>
          <w:w w:val="110"/>
          <w:sz w:val="20"/>
          <w:lang w:val="ru-RU"/>
        </w:rPr>
        <w:t>-</w:t>
      </w:r>
      <w:r w:rsidRPr="0032383A">
        <w:rPr>
          <w:color w:val="000000" w:themeColor="text1"/>
          <w:w w:val="110"/>
          <w:sz w:val="20"/>
        </w:rPr>
        <w:t>LPA</w:t>
      </w:r>
      <w:r w:rsidRPr="008A0E77">
        <w:rPr>
          <w:color w:val="000000" w:themeColor="text1"/>
          <w:w w:val="110"/>
          <w:sz w:val="20"/>
          <w:lang w:val="ru-RU"/>
        </w:rPr>
        <w:t xml:space="preserve"> </w:t>
      </w:r>
      <w:r w:rsidRPr="0032383A">
        <w:rPr>
          <w:color w:val="000000" w:themeColor="text1"/>
          <w:w w:val="110"/>
          <w:sz w:val="20"/>
          <w:lang w:val="uk-UA"/>
        </w:rPr>
        <w:t>м</w:t>
      </w:r>
      <w:proofErr w:type="spellStart"/>
      <w:r w:rsidRPr="008A0E77">
        <w:rPr>
          <w:color w:val="000000" w:themeColor="text1"/>
          <w:w w:val="110"/>
          <w:sz w:val="20"/>
          <w:lang w:val="ru-RU"/>
        </w:rPr>
        <w:t>утації</w:t>
      </w:r>
      <w:proofErr w:type="spellEnd"/>
      <w:r w:rsidRPr="008A0E77">
        <w:rPr>
          <w:color w:val="000000" w:themeColor="text1"/>
          <w:w w:val="110"/>
          <w:sz w:val="20"/>
          <w:lang w:val="ru-RU"/>
        </w:rPr>
        <w:t xml:space="preserve">, </w:t>
      </w:r>
      <w:proofErr w:type="spellStart"/>
      <w:r w:rsidRPr="008A0E77">
        <w:rPr>
          <w:color w:val="000000" w:themeColor="text1"/>
          <w:w w:val="110"/>
          <w:sz w:val="20"/>
          <w:lang w:val="ru-RU"/>
        </w:rPr>
        <w:t>що</w:t>
      </w:r>
      <w:proofErr w:type="spellEnd"/>
      <w:r w:rsidRPr="008A0E77">
        <w:rPr>
          <w:color w:val="000000" w:themeColor="text1"/>
          <w:w w:val="110"/>
          <w:sz w:val="20"/>
          <w:lang w:val="ru-RU"/>
        </w:rPr>
        <w:t xml:space="preserve"> </w:t>
      </w:r>
      <w:proofErr w:type="spellStart"/>
      <w:r w:rsidRPr="008A0E77">
        <w:rPr>
          <w:color w:val="000000" w:themeColor="text1"/>
          <w:w w:val="110"/>
          <w:sz w:val="20"/>
          <w:lang w:val="ru-RU"/>
        </w:rPr>
        <w:t>зумовлюють</w:t>
      </w:r>
      <w:proofErr w:type="spellEnd"/>
      <w:r w:rsidRPr="008A0E77">
        <w:rPr>
          <w:color w:val="000000" w:themeColor="text1"/>
          <w:w w:val="110"/>
          <w:sz w:val="20"/>
          <w:lang w:val="ru-RU"/>
        </w:rPr>
        <w:t xml:space="preserve"> </w:t>
      </w:r>
      <w:proofErr w:type="spellStart"/>
      <w:r w:rsidRPr="008A0E77">
        <w:rPr>
          <w:color w:val="000000" w:themeColor="text1"/>
          <w:w w:val="110"/>
          <w:sz w:val="20"/>
          <w:lang w:val="ru-RU"/>
        </w:rPr>
        <w:t>стійкість</w:t>
      </w:r>
      <w:proofErr w:type="spellEnd"/>
      <w:r w:rsidRPr="008A0E77">
        <w:rPr>
          <w:color w:val="000000" w:themeColor="text1"/>
          <w:w w:val="110"/>
          <w:sz w:val="20"/>
          <w:lang w:val="ru-RU"/>
        </w:rPr>
        <w:t xml:space="preserve">, </w:t>
      </w:r>
      <w:proofErr w:type="spellStart"/>
      <w:r w:rsidRPr="008A0E77">
        <w:rPr>
          <w:color w:val="000000" w:themeColor="text1"/>
          <w:w w:val="110"/>
          <w:sz w:val="20"/>
          <w:lang w:val="ru-RU"/>
        </w:rPr>
        <w:t>тісно</w:t>
      </w:r>
      <w:proofErr w:type="spellEnd"/>
      <w:r w:rsidRPr="008A0E77">
        <w:rPr>
          <w:color w:val="000000" w:themeColor="text1"/>
          <w:w w:val="110"/>
          <w:sz w:val="20"/>
          <w:lang w:val="ru-RU"/>
        </w:rPr>
        <w:t xml:space="preserve"> </w:t>
      </w:r>
      <w:proofErr w:type="spellStart"/>
      <w:r w:rsidRPr="008A0E77">
        <w:rPr>
          <w:color w:val="000000" w:themeColor="text1"/>
          <w:w w:val="110"/>
          <w:sz w:val="20"/>
          <w:lang w:val="ru-RU"/>
        </w:rPr>
        <w:t>корелюють</w:t>
      </w:r>
      <w:proofErr w:type="spellEnd"/>
      <w:r w:rsidRPr="008A0E77">
        <w:rPr>
          <w:color w:val="000000" w:themeColor="text1"/>
          <w:w w:val="110"/>
          <w:sz w:val="20"/>
          <w:lang w:val="ru-RU"/>
        </w:rPr>
        <w:t xml:space="preserve"> з </w:t>
      </w:r>
      <w:proofErr w:type="spellStart"/>
      <w:r w:rsidRPr="008A0E77">
        <w:rPr>
          <w:color w:val="000000" w:themeColor="text1"/>
          <w:w w:val="110"/>
          <w:sz w:val="20"/>
          <w:lang w:val="ru-RU"/>
        </w:rPr>
        <w:t>фенотиповою</w:t>
      </w:r>
      <w:proofErr w:type="spellEnd"/>
      <w:r w:rsidRPr="008A0E77">
        <w:rPr>
          <w:color w:val="000000" w:themeColor="text1"/>
          <w:w w:val="110"/>
          <w:sz w:val="20"/>
          <w:lang w:val="ru-RU"/>
        </w:rPr>
        <w:t xml:space="preserve"> </w:t>
      </w:r>
      <w:proofErr w:type="spellStart"/>
      <w:r w:rsidRPr="008A0E77">
        <w:rPr>
          <w:color w:val="000000" w:themeColor="text1"/>
          <w:w w:val="110"/>
          <w:sz w:val="20"/>
          <w:lang w:val="ru-RU"/>
        </w:rPr>
        <w:t>стійкіст</w:t>
      </w:r>
      <w:proofErr w:type="spellEnd"/>
      <w:r w:rsidRPr="0032383A">
        <w:rPr>
          <w:color w:val="000000" w:themeColor="text1"/>
          <w:w w:val="110"/>
          <w:sz w:val="20"/>
          <w:lang w:val="uk-UA"/>
        </w:rPr>
        <w:t>ю</w:t>
      </w:r>
      <w:r w:rsidRPr="008A0E77">
        <w:rPr>
          <w:color w:val="000000" w:themeColor="text1"/>
          <w:w w:val="110"/>
          <w:sz w:val="20"/>
          <w:lang w:val="ru-RU"/>
        </w:rPr>
        <w:t xml:space="preserve"> до </w:t>
      </w:r>
      <w:proofErr w:type="spellStart"/>
      <w:r w:rsidRPr="008A0E77">
        <w:rPr>
          <w:color w:val="000000" w:themeColor="text1"/>
          <w:w w:val="110"/>
          <w:sz w:val="20"/>
          <w:lang w:val="ru-RU"/>
        </w:rPr>
        <w:t>офлоксацину</w:t>
      </w:r>
      <w:proofErr w:type="spellEnd"/>
      <w:r w:rsidRPr="008A0E77">
        <w:rPr>
          <w:color w:val="000000" w:themeColor="text1"/>
          <w:w w:val="110"/>
          <w:sz w:val="20"/>
          <w:lang w:val="ru-RU"/>
        </w:rPr>
        <w:t xml:space="preserve"> та </w:t>
      </w:r>
      <w:proofErr w:type="spellStart"/>
      <w:r w:rsidRPr="008A0E77">
        <w:rPr>
          <w:color w:val="000000" w:themeColor="text1"/>
          <w:w w:val="110"/>
          <w:sz w:val="20"/>
          <w:lang w:val="ru-RU"/>
        </w:rPr>
        <w:t>левофлоксацину</w:t>
      </w:r>
      <w:proofErr w:type="spellEnd"/>
      <w:r w:rsidRPr="008A0E77">
        <w:rPr>
          <w:color w:val="000000" w:themeColor="text1"/>
          <w:w w:val="110"/>
          <w:sz w:val="20"/>
          <w:lang w:val="ru-RU"/>
        </w:rPr>
        <w:t>.</w:t>
      </w:r>
    </w:p>
    <w:p w14:paraId="73C735F1" w14:textId="77777777" w:rsidR="008A0E77" w:rsidRPr="006B6651" w:rsidRDefault="008A0E77" w:rsidP="004A2937">
      <w:pPr>
        <w:pStyle w:val="a4"/>
        <w:numPr>
          <w:ilvl w:val="0"/>
          <w:numId w:val="42"/>
        </w:numPr>
        <w:tabs>
          <w:tab w:val="left" w:pos="1701"/>
        </w:tabs>
        <w:spacing w:before="3" w:line="276" w:lineRule="auto"/>
        <w:ind w:left="1134" w:right="142"/>
        <w:rPr>
          <w:color w:val="000000" w:themeColor="text1"/>
          <w:sz w:val="20"/>
          <w:lang w:val="ru-RU"/>
        </w:rPr>
      </w:pPr>
      <w:proofErr w:type="spellStart"/>
      <w:r w:rsidRPr="006B6651">
        <w:rPr>
          <w:color w:val="000000" w:themeColor="text1"/>
          <w:w w:val="110"/>
          <w:sz w:val="20"/>
          <w:lang w:val="ru-RU"/>
        </w:rPr>
        <w:t>Мутації</w:t>
      </w:r>
      <w:proofErr w:type="spellEnd"/>
      <w:r w:rsidRPr="006B6651">
        <w:rPr>
          <w:color w:val="000000" w:themeColor="text1"/>
          <w:w w:val="110"/>
          <w:sz w:val="20"/>
          <w:lang w:val="ru-RU"/>
        </w:rPr>
        <w:t xml:space="preserve"> в </w:t>
      </w:r>
      <w:proofErr w:type="spellStart"/>
      <w:r w:rsidRPr="006B6651">
        <w:rPr>
          <w:color w:val="000000" w:themeColor="text1"/>
          <w:w w:val="110"/>
          <w:sz w:val="20"/>
          <w:lang w:val="ru-RU"/>
        </w:rPr>
        <w:t>деяких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ділянках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наприклад</w:t>
      </w:r>
      <w:proofErr w:type="spellEnd"/>
      <w:r w:rsidRPr="006B6651">
        <w:rPr>
          <w:color w:val="000000" w:themeColor="text1"/>
          <w:w w:val="110"/>
          <w:sz w:val="20"/>
          <w:lang w:val="ru-RU"/>
        </w:rPr>
        <w:t>, промотор</w:t>
      </w:r>
      <w:r w:rsidRPr="0032383A">
        <w:rPr>
          <w:color w:val="000000" w:themeColor="text1"/>
          <w:w w:val="110"/>
          <w:sz w:val="20"/>
          <w:lang w:val="uk-UA"/>
        </w:rPr>
        <w:t xml:space="preserve">а </w:t>
      </w:r>
      <w:proofErr w:type="spellStart"/>
      <w:r w:rsidRPr="0032383A">
        <w:rPr>
          <w:i/>
          <w:color w:val="000000" w:themeColor="text1"/>
          <w:w w:val="110"/>
          <w:sz w:val="20"/>
        </w:rPr>
        <w:t>eis</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можуть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зумовлювати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стійкість</w:t>
      </w:r>
      <w:proofErr w:type="spellEnd"/>
      <w:r w:rsidRPr="006B6651">
        <w:rPr>
          <w:color w:val="000000" w:themeColor="text1"/>
          <w:w w:val="110"/>
          <w:sz w:val="20"/>
          <w:lang w:val="ru-RU"/>
        </w:rPr>
        <w:t xml:space="preserve"> до одного препарату в </w:t>
      </w:r>
      <w:proofErr w:type="spellStart"/>
      <w:r w:rsidRPr="006B6651">
        <w:rPr>
          <w:color w:val="000000" w:themeColor="text1"/>
          <w:w w:val="110"/>
          <w:sz w:val="20"/>
          <w:lang w:val="ru-RU"/>
        </w:rPr>
        <w:t>класі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більшою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мірою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ніж</w:t>
      </w:r>
      <w:proofErr w:type="spellEnd"/>
      <w:r w:rsidRPr="006B6651">
        <w:rPr>
          <w:color w:val="000000" w:themeColor="text1"/>
          <w:w w:val="110"/>
          <w:sz w:val="20"/>
          <w:lang w:val="ru-RU"/>
        </w:rPr>
        <w:t xml:space="preserve"> до </w:t>
      </w:r>
      <w:proofErr w:type="spellStart"/>
      <w:r w:rsidRPr="006B6651">
        <w:rPr>
          <w:color w:val="000000" w:themeColor="text1"/>
          <w:w w:val="110"/>
          <w:sz w:val="20"/>
          <w:lang w:val="ru-RU"/>
        </w:rPr>
        <w:t>інших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препаратів</w:t>
      </w:r>
      <w:proofErr w:type="spellEnd"/>
      <w:r w:rsidRPr="006B6651">
        <w:rPr>
          <w:color w:val="000000" w:themeColor="text1"/>
          <w:w w:val="110"/>
          <w:sz w:val="20"/>
          <w:lang w:val="ru-RU"/>
        </w:rPr>
        <w:t xml:space="preserve"> у межах </w:t>
      </w:r>
      <w:proofErr w:type="spellStart"/>
      <w:r w:rsidRPr="006B6651">
        <w:rPr>
          <w:color w:val="000000" w:themeColor="text1"/>
          <w:w w:val="110"/>
          <w:sz w:val="20"/>
          <w:lang w:val="ru-RU"/>
        </w:rPr>
        <w:t>цього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класу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Наприклад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мутація</w:t>
      </w:r>
      <w:proofErr w:type="spellEnd"/>
      <w:r w:rsidRPr="006B6651">
        <w:rPr>
          <w:color w:val="000000" w:themeColor="text1"/>
          <w:w w:val="110"/>
          <w:sz w:val="20"/>
          <w:lang w:val="ru-RU"/>
        </w:rPr>
        <w:t xml:space="preserve"> </w:t>
      </w:r>
      <w:r w:rsidRPr="0032383A">
        <w:rPr>
          <w:color w:val="000000" w:themeColor="text1"/>
          <w:w w:val="110"/>
          <w:sz w:val="20"/>
        </w:rPr>
        <w:t>C</w:t>
      </w:r>
      <w:r w:rsidRPr="006B6651">
        <w:rPr>
          <w:color w:val="000000" w:themeColor="text1"/>
          <w:w w:val="110"/>
          <w:sz w:val="20"/>
          <w:lang w:val="ru-RU"/>
        </w:rPr>
        <w:t>14</w:t>
      </w:r>
      <w:r w:rsidRPr="0032383A">
        <w:rPr>
          <w:color w:val="000000" w:themeColor="text1"/>
          <w:w w:val="110"/>
          <w:sz w:val="20"/>
        </w:rPr>
        <w:t>T</w:t>
      </w:r>
      <w:r w:rsidRPr="006B6651">
        <w:rPr>
          <w:color w:val="000000" w:themeColor="text1"/>
          <w:w w:val="110"/>
          <w:sz w:val="20"/>
          <w:lang w:val="ru-RU"/>
        </w:rPr>
        <w:t xml:space="preserve"> у </w:t>
      </w:r>
      <w:proofErr w:type="spellStart"/>
      <w:r w:rsidRPr="006B6651">
        <w:rPr>
          <w:color w:val="000000" w:themeColor="text1"/>
          <w:w w:val="110"/>
          <w:sz w:val="20"/>
          <w:lang w:val="ru-RU"/>
        </w:rPr>
        <w:t>гені</w:t>
      </w:r>
      <w:proofErr w:type="spellEnd"/>
      <w:r w:rsidRPr="006B6651">
        <w:rPr>
          <w:color w:val="000000" w:themeColor="text1"/>
          <w:w w:val="110"/>
          <w:sz w:val="20"/>
          <w:lang w:val="ru-RU"/>
        </w:rPr>
        <w:t xml:space="preserve"> </w:t>
      </w:r>
      <w:proofErr w:type="spellStart"/>
      <w:r w:rsidRPr="0032383A">
        <w:rPr>
          <w:color w:val="000000" w:themeColor="text1"/>
          <w:w w:val="110"/>
          <w:sz w:val="20"/>
        </w:rPr>
        <w:t>eis</w:t>
      </w:r>
      <w:proofErr w:type="spellEnd"/>
      <w:r w:rsidRPr="006B6651">
        <w:rPr>
          <w:color w:val="000000" w:themeColor="text1"/>
          <w:w w:val="110"/>
          <w:sz w:val="20"/>
          <w:lang w:val="ru-RU"/>
        </w:rPr>
        <w:t xml:space="preserve"> </w:t>
      </w:r>
      <w:proofErr w:type="spellStart"/>
      <w:r>
        <w:rPr>
          <w:color w:val="000000" w:themeColor="text1"/>
          <w:w w:val="110"/>
          <w:sz w:val="20"/>
          <w:lang w:val="uk-UA"/>
        </w:rPr>
        <w:t>пов</w:t>
      </w:r>
      <w:proofErr w:type="spellEnd"/>
      <w:r w:rsidRPr="006B6651">
        <w:rPr>
          <w:color w:val="000000" w:themeColor="text1"/>
          <w:w w:val="110"/>
          <w:sz w:val="20"/>
          <w:lang w:val="ru-RU"/>
        </w:rPr>
        <w:t>’</w:t>
      </w:r>
      <w:proofErr w:type="spellStart"/>
      <w:r>
        <w:rPr>
          <w:color w:val="000000" w:themeColor="text1"/>
          <w:w w:val="110"/>
          <w:sz w:val="20"/>
          <w:lang w:val="uk-UA"/>
        </w:rPr>
        <w:t>язана</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стійкіст</w:t>
      </w:r>
      <w:proofErr w:type="spellEnd"/>
      <w:r w:rsidRPr="0032383A">
        <w:rPr>
          <w:color w:val="000000" w:themeColor="text1"/>
          <w:w w:val="110"/>
          <w:sz w:val="20"/>
          <w:lang w:val="uk-UA"/>
        </w:rPr>
        <w:t>ю</w:t>
      </w:r>
      <w:r w:rsidRPr="006B6651">
        <w:rPr>
          <w:color w:val="000000" w:themeColor="text1"/>
          <w:w w:val="110"/>
          <w:sz w:val="20"/>
          <w:lang w:val="ru-RU"/>
        </w:rPr>
        <w:t xml:space="preserve"> до </w:t>
      </w:r>
      <w:proofErr w:type="spellStart"/>
      <w:r w:rsidRPr="006B6651">
        <w:rPr>
          <w:color w:val="000000" w:themeColor="text1"/>
          <w:w w:val="110"/>
          <w:sz w:val="20"/>
          <w:lang w:val="ru-RU"/>
        </w:rPr>
        <w:t>канаміцину</w:t>
      </w:r>
      <w:proofErr w:type="spellEnd"/>
      <w:r w:rsidRPr="006B6651">
        <w:rPr>
          <w:color w:val="000000" w:themeColor="text1"/>
          <w:w w:val="110"/>
          <w:sz w:val="20"/>
          <w:lang w:val="ru-RU"/>
        </w:rPr>
        <w:t xml:space="preserve"> у </w:t>
      </w:r>
      <w:proofErr w:type="spellStart"/>
      <w:r w:rsidRPr="006B6651">
        <w:rPr>
          <w:color w:val="000000" w:themeColor="text1"/>
          <w:w w:val="110"/>
          <w:sz w:val="20"/>
          <w:lang w:val="ru-RU"/>
        </w:rPr>
        <w:t>штам</w:t>
      </w:r>
      <w:proofErr w:type="spellEnd"/>
      <w:r w:rsidRPr="0032383A">
        <w:rPr>
          <w:color w:val="000000" w:themeColor="text1"/>
          <w:w w:val="110"/>
          <w:sz w:val="20"/>
          <w:lang w:val="uk-UA"/>
        </w:rPr>
        <w:t>ів</w:t>
      </w:r>
      <w:r w:rsidRPr="006B6651">
        <w:rPr>
          <w:color w:val="000000" w:themeColor="text1"/>
          <w:w w:val="110"/>
          <w:sz w:val="20"/>
          <w:lang w:val="ru-RU"/>
        </w:rPr>
        <w:t xml:space="preserve"> </w:t>
      </w:r>
      <w:proofErr w:type="spellStart"/>
      <w:r w:rsidRPr="006B6651">
        <w:rPr>
          <w:color w:val="000000" w:themeColor="text1"/>
          <w:w w:val="110"/>
          <w:sz w:val="20"/>
          <w:lang w:val="ru-RU"/>
        </w:rPr>
        <w:t>зі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Східної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Європи</w:t>
      </w:r>
      <w:proofErr w:type="spellEnd"/>
      <w:r w:rsidRPr="006B6651">
        <w:rPr>
          <w:color w:val="000000" w:themeColor="text1"/>
          <w:w w:val="110"/>
          <w:sz w:val="20"/>
          <w:lang w:val="ru-RU"/>
        </w:rPr>
        <w:t>.</w:t>
      </w:r>
    </w:p>
    <w:p w14:paraId="3C6D56E3" w14:textId="77777777" w:rsidR="008A0E77" w:rsidRPr="006B6651" w:rsidRDefault="008A0E77" w:rsidP="004A2937">
      <w:pPr>
        <w:pStyle w:val="a4"/>
        <w:numPr>
          <w:ilvl w:val="0"/>
          <w:numId w:val="42"/>
        </w:numPr>
        <w:tabs>
          <w:tab w:val="left" w:pos="1701"/>
        </w:tabs>
        <w:spacing w:before="4" w:line="276" w:lineRule="auto"/>
        <w:ind w:left="1134" w:right="142"/>
        <w:rPr>
          <w:color w:val="000000" w:themeColor="text1"/>
          <w:sz w:val="20"/>
          <w:lang w:val="ru-RU"/>
        </w:rPr>
      </w:pPr>
      <w:r w:rsidRPr="0032383A">
        <w:rPr>
          <w:color w:val="000000" w:themeColor="text1"/>
          <w:w w:val="110"/>
          <w:sz w:val="20"/>
        </w:rPr>
        <w:t>SL</w:t>
      </w:r>
      <w:r w:rsidRPr="006B6651">
        <w:rPr>
          <w:color w:val="000000" w:themeColor="text1"/>
          <w:w w:val="110"/>
          <w:sz w:val="20"/>
          <w:lang w:val="ru-RU"/>
        </w:rPr>
        <w:t>-</w:t>
      </w:r>
      <w:r w:rsidRPr="0032383A">
        <w:rPr>
          <w:color w:val="000000" w:themeColor="text1"/>
          <w:w w:val="110"/>
          <w:sz w:val="20"/>
        </w:rPr>
        <w:t>LPA</w:t>
      </w:r>
      <w:r w:rsidRPr="006B6651">
        <w:rPr>
          <w:color w:val="000000" w:themeColor="text1"/>
          <w:w w:val="110"/>
          <w:sz w:val="20"/>
          <w:lang w:val="ru-RU"/>
        </w:rPr>
        <w:t xml:space="preserve"> </w:t>
      </w:r>
      <w:r w:rsidRPr="0032383A">
        <w:rPr>
          <w:color w:val="000000" w:themeColor="text1"/>
          <w:w w:val="110"/>
          <w:sz w:val="20"/>
          <w:lang w:val="uk-UA"/>
        </w:rPr>
        <w:t>потрібно</w:t>
      </w:r>
      <w:r w:rsidRPr="006B6651">
        <w:rPr>
          <w:color w:val="000000" w:themeColor="text1"/>
          <w:w w:val="110"/>
          <w:sz w:val="20"/>
          <w:lang w:val="ru-RU"/>
        </w:rPr>
        <w:t xml:space="preserve"> </w:t>
      </w:r>
      <w:proofErr w:type="spellStart"/>
      <w:r w:rsidRPr="006B6651">
        <w:rPr>
          <w:color w:val="000000" w:themeColor="text1"/>
          <w:w w:val="110"/>
          <w:sz w:val="20"/>
          <w:lang w:val="ru-RU"/>
        </w:rPr>
        <w:t>використовувати</w:t>
      </w:r>
      <w:proofErr w:type="spellEnd"/>
      <w:r w:rsidRPr="006B6651">
        <w:rPr>
          <w:color w:val="000000" w:themeColor="text1"/>
          <w:w w:val="110"/>
          <w:sz w:val="20"/>
          <w:lang w:val="ru-RU"/>
        </w:rPr>
        <w:t xml:space="preserve"> для прямого </w:t>
      </w:r>
      <w:proofErr w:type="spellStart"/>
      <w:r w:rsidRPr="006B6651">
        <w:rPr>
          <w:color w:val="000000" w:themeColor="text1"/>
          <w:w w:val="110"/>
          <w:sz w:val="20"/>
          <w:lang w:val="ru-RU"/>
        </w:rPr>
        <w:t>тестування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мокротиння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незалежно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від</w:t>
      </w:r>
      <w:proofErr w:type="spellEnd"/>
      <w:r w:rsidRPr="006B6651">
        <w:rPr>
          <w:color w:val="000000" w:themeColor="text1"/>
          <w:w w:val="110"/>
          <w:sz w:val="20"/>
          <w:lang w:val="ru-RU"/>
        </w:rPr>
        <w:t xml:space="preserve"> </w:t>
      </w:r>
      <w:r w:rsidRPr="0032383A">
        <w:rPr>
          <w:color w:val="000000" w:themeColor="text1"/>
          <w:w w:val="110"/>
          <w:sz w:val="20"/>
          <w:lang w:val="uk-UA"/>
        </w:rPr>
        <w:t>негативного або позитивного результату мазка цих зразків</w:t>
      </w:r>
      <w:r w:rsidRPr="006B6651">
        <w:rPr>
          <w:color w:val="000000" w:themeColor="text1"/>
          <w:w w:val="110"/>
          <w:sz w:val="20"/>
          <w:lang w:val="ru-RU"/>
        </w:rPr>
        <w:t>.</w:t>
      </w:r>
    </w:p>
    <w:p w14:paraId="49AB1184" w14:textId="77777777" w:rsidR="008A0E77" w:rsidRPr="006B6651" w:rsidRDefault="008A0E77" w:rsidP="004A2937">
      <w:pPr>
        <w:pStyle w:val="a4"/>
        <w:numPr>
          <w:ilvl w:val="0"/>
          <w:numId w:val="42"/>
        </w:numPr>
        <w:tabs>
          <w:tab w:val="left" w:pos="1701"/>
        </w:tabs>
        <w:spacing w:before="2" w:line="276" w:lineRule="auto"/>
        <w:ind w:left="1134" w:right="142"/>
        <w:rPr>
          <w:color w:val="000000" w:themeColor="text1"/>
          <w:sz w:val="20"/>
          <w:lang w:val="ru-RU"/>
        </w:rPr>
      </w:pPr>
      <w:r w:rsidRPr="0032383A">
        <w:rPr>
          <w:color w:val="000000" w:themeColor="text1"/>
          <w:w w:val="110"/>
          <w:sz w:val="20"/>
        </w:rPr>
        <w:t>SL</w:t>
      </w:r>
      <w:r w:rsidRPr="006B6651">
        <w:rPr>
          <w:color w:val="000000" w:themeColor="text1"/>
          <w:w w:val="110"/>
          <w:sz w:val="20"/>
          <w:lang w:val="ru-RU"/>
        </w:rPr>
        <w:t>-</w:t>
      </w:r>
      <w:r w:rsidRPr="0032383A">
        <w:rPr>
          <w:color w:val="000000" w:themeColor="text1"/>
          <w:w w:val="110"/>
          <w:sz w:val="20"/>
        </w:rPr>
        <w:t>LPA</w:t>
      </w:r>
      <w:r w:rsidRPr="006B6651">
        <w:rPr>
          <w:color w:val="000000" w:themeColor="text1"/>
          <w:w w:val="110"/>
          <w:sz w:val="20"/>
          <w:lang w:val="ru-RU"/>
        </w:rPr>
        <w:t xml:space="preserve"> </w:t>
      </w:r>
      <w:proofErr w:type="spellStart"/>
      <w:r w:rsidRPr="006B6651">
        <w:rPr>
          <w:color w:val="000000" w:themeColor="text1"/>
          <w:w w:val="110"/>
          <w:sz w:val="20"/>
          <w:lang w:val="ru-RU"/>
        </w:rPr>
        <w:t>призначені</w:t>
      </w:r>
      <w:proofErr w:type="spellEnd"/>
      <w:r w:rsidRPr="006B6651">
        <w:rPr>
          <w:color w:val="000000" w:themeColor="text1"/>
          <w:w w:val="110"/>
          <w:sz w:val="20"/>
          <w:lang w:val="ru-RU"/>
        </w:rPr>
        <w:t xml:space="preserve"> для виявлення ТБ та </w:t>
      </w:r>
      <w:r w:rsidRPr="0032383A">
        <w:rPr>
          <w:color w:val="000000" w:themeColor="text1"/>
          <w:w w:val="110"/>
          <w:sz w:val="20"/>
          <w:lang w:val="uk-UA"/>
        </w:rPr>
        <w:t>стійкості</w:t>
      </w:r>
      <w:r w:rsidRPr="006B6651">
        <w:rPr>
          <w:color w:val="000000" w:themeColor="text1"/>
          <w:w w:val="110"/>
          <w:sz w:val="20"/>
          <w:lang w:val="ru-RU"/>
        </w:rPr>
        <w:t xml:space="preserve"> до фторхінолонів та ІПДР </w:t>
      </w:r>
      <w:proofErr w:type="spellStart"/>
      <w:r w:rsidRPr="006B6651">
        <w:rPr>
          <w:color w:val="000000" w:themeColor="text1"/>
          <w:w w:val="110"/>
          <w:sz w:val="20"/>
          <w:lang w:val="ru-RU"/>
        </w:rPr>
        <w:t>зі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мокротиння</w:t>
      </w:r>
      <w:proofErr w:type="spellEnd"/>
      <w:r w:rsidRPr="006B6651">
        <w:rPr>
          <w:color w:val="000000" w:themeColor="text1"/>
          <w:w w:val="110"/>
          <w:sz w:val="20"/>
          <w:lang w:val="ru-RU"/>
        </w:rPr>
        <w:t xml:space="preserve">. </w:t>
      </w:r>
      <w:r w:rsidRPr="0032383A">
        <w:rPr>
          <w:color w:val="000000" w:themeColor="text1"/>
          <w:w w:val="110"/>
          <w:sz w:val="20"/>
          <w:lang w:val="uk-UA"/>
        </w:rPr>
        <w:t>Достатня оцінка</w:t>
      </w:r>
      <w:r w:rsidRPr="006B6651">
        <w:rPr>
          <w:color w:val="000000" w:themeColor="text1"/>
          <w:w w:val="110"/>
          <w:sz w:val="20"/>
          <w:lang w:val="ru-RU"/>
        </w:rPr>
        <w:t xml:space="preserve"> </w:t>
      </w:r>
      <w:proofErr w:type="spellStart"/>
      <w:r w:rsidRPr="006B6651">
        <w:rPr>
          <w:color w:val="000000" w:themeColor="text1"/>
          <w:w w:val="110"/>
          <w:sz w:val="20"/>
          <w:lang w:val="ru-RU"/>
        </w:rPr>
        <w:t>інши</w:t>
      </w:r>
      <w:proofErr w:type="spellEnd"/>
      <w:r w:rsidRPr="0032383A">
        <w:rPr>
          <w:color w:val="000000" w:themeColor="text1"/>
          <w:w w:val="110"/>
          <w:sz w:val="20"/>
          <w:lang w:val="uk-UA"/>
        </w:rPr>
        <w:t>х</w:t>
      </w:r>
      <w:r w:rsidRPr="006B6651">
        <w:rPr>
          <w:color w:val="000000" w:themeColor="text1"/>
          <w:w w:val="110"/>
          <w:sz w:val="20"/>
          <w:lang w:val="ru-RU"/>
        </w:rPr>
        <w:t xml:space="preserve"> </w:t>
      </w:r>
      <w:proofErr w:type="spellStart"/>
      <w:r w:rsidRPr="006B6651">
        <w:rPr>
          <w:color w:val="000000" w:themeColor="text1"/>
          <w:w w:val="110"/>
          <w:sz w:val="20"/>
          <w:lang w:val="ru-RU"/>
        </w:rPr>
        <w:t>респіраторни</w:t>
      </w:r>
      <w:proofErr w:type="spellEnd"/>
      <w:r w:rsidRPr="0032383A">
        <w:rPr>
          <w:color w:val="000000" w:themeColor="text1"/>
          <w:w w:val="110"/>
          <w:sz w:val="20"/>
          <w:lang w:val="uk-UA"/>
        </w:rPr>
        <w:t>х</w:t>
      </w:r>
      <w:r w:rsidRPr="006B6651">
        <w:rPr>
          <w:color w:val="000000" w:themeColor="text1"/>
          <w:w w:val="110"/>
          <w:sz w:val="20"/>
          <w:lang w:val="ru-RU"/>
        </w:rPr>
        <w:t xml:space="preserve"> </w:t>
      </w:r>
      <w:proofErr w:type="spellStart"/>
      <w:r w:rsidRPr="006B6651">
        <w:rPr>
          <w:color w:val="000000" w:themeColor="text1"/>
          <w:w w:val="110"/>
          <w:sz w:val="20"/>
          <w:lang w:val="ru-RU"/>
        </w:rPr>
        <w:t>зразк</w:t>
      </w:r>
      <w:proofErr w:type="spellEnd"/>
      <w:r w:rsidRPr="0032383A">
        <w:rPr>
          <w:color w:val="000000" w:themeColor="text1"/>
          <w:w w:val="110"/>
          <w:sz w:val="20"/>
          <w:lang w:val="uk-UA"/>
        </w:rPr>
        <w:t>ів</w:t>
      </w:r>
      <w:r w:rsidRPr="006B6651">
        <w:rPr>
          <w:color w:val="000000" w:themeColor="text1"/>
          <w:w w:val="110"/>
          <w:sz w:val="20"/>
          <w:lang w:val="ru-RU"/>
        </w:rPr>
        <w:t xml:space="preserve"> (</w:t>
      </w:r>
      <w:proofErr w:type="spellStart"/>
      <w:r w:rsidRPr="006B6651">
        <w:rPr>
          <w:color w:val="000000" w:themeColor="text1"/>
          <w:w w:val="110"/>
          <w:sz w:val="20"/>
          <w:lang w:val="ru-RU"/>
        </w:rPr>
        <w:t>наприклад</w:t>
      </w:r>
      <w:proofErr w:type="spellEnd"/>
      <w:r w:rsidRPr="006B6651">
        <w:rPr>
          <w:color w:val="000000" w:themeColor="text1"/>
          <w:w w:val="110"/>
          <w:sz w:val="20"/>
          <w:lang w:val="ru-RU"/>
        </w:rPr>
        <w:t xml:space="preserve">, БАЛ та </w:t>
      </w:r>
      <w:proofErr w:type="spellStart"/>
      <w:r w:rsidRPr="006B6651">
        <w:rPr>
          <w:color w:val="000000" w:themeColor="text1"/>
          <w:w w:val="110"/>
          <w:sz w:val="20"/>
          <w:lang w:val="ru-RU"/>
        </w:rPr>
        <w:t>шлунков</w:t>
      </w:r>
      <w:proofErr w:type="spellEnd"/>
      <w:r w:rsidRPr="0032383A">
        <w:rPr>
          <w:color w:val="000000" w:themeColor="text1"/>
          <w:w w:val="110"/>
          <w:sz w:val="20"/>
          <w:lang w:val="uk-UA"/>
        </w:rPr>
        <w:t>их</w:t>
      </w:r>
      <w:r w:rsidRPr="006B6651">
        <w:rPr>
          <w:color w:val="000000" w:themeColor="text1"/>
          <w:w w:val="110"/>
          <w:sz w:val="20"/>
          <w:lang w:val="ru-RU"/>
        </w:rPr>
        <w:t xml:space="preserve"> </w:t>
      </w:r>
      <w:proofErr w:type="spellStart"/>
      <w:r w:rsidRPr="006B6651">
        <w:rPr>
          <w:color w:val="000000" w:themeColor="text1"/>
          <w:w w:val="110"/>
          <w:sz w:val="20"/>
          <w:lang w:val="ru-RU"/>
        </w:rPr>
        <w:t>аспірат</w:t>
      </w:r>
      <w:proofErr w:type="spellEnd"/>
      <w:r w:rsidRPr="0032383A">
        <w:rPr>
          <w:color w:val="000000" w:themeColor="text1"/>
          <w:w w:val="110"/>
          <w:sz w:val="20"/>
          <w:lang w:val="uk-UA"/>
        </w:rPr>
        <w:t>ів</w:t>
      </w:r>
      <w:r w:rsidRPr="006B6651">
        <w:rPr>
          <w:color w:val="000000" w:themeColor="text1"/>
          <w:w w:val="110"/>
          <w:sz w:val="20"/>
          <w:lang w:val="ru-RU"/>
        </w:rPr>
        <w:t xml:space="preserve">) або </w:t>
      </w:r>
      <w:proofErr w:type="spellStart"/>
      <w:r w:rsidRPr="006B6651">
        <w:rPr>
          <w:color w:val="000000" w:themeColor="text1"/>
          <w:w w:val="110"/>
          <w:sz w:val="20"/>
          <w:lang w:val="ru-RU"/>
        </w:rPr>
        <w:t>позалегеневи</w:t>
      </w:r>
      <w:proofErr w:type="spellEnd"/>
      <w:r w:rsidRPr="0032383A">
        <w:rPr>
          <w:color w:val="000000" w:themeColor="text1"/>
          <w:w w:val="110"/>
          <w:sz w:val="20"/>
          <w:lang w:val="uk-UA"/>
        </w:rPr>
        <w:t>х</w:t>
      </w:r>
      <w:r w:rsidRPr="006B6651">
        <w:rPr>
          <w:color w:val="000000" w:themeColor="text1"/>
          <w:w w:val="110"/>
          <w:sz w:val="20"/>
          <w:lang w:val="ru-RU"/>
        </w:rPr>
        <w:t xml:space="preserve"> </w:t>
      </w:r>
      <w:proofErr w:type="spellStart"/>
      <w:r w:rsidRPr="006B6651">
        <w:rPr>
          <w:color w:val="000000" w:themeColor="text1"/>
          <w:w w:val="110"/>
          <w:sz w:val="20"/>
          <w:lang w:val="ru-RU"/>
        </w:rPr>
        <w:t>зразк</w:t>
      </w:r>
      <w:proofErr w:type="spellEnd"/>
      <w:r w:rsidRPr="0032383A">
        <w:rPr>
          <w:color w:val="000000" w:themeColor="text1"/>
          <w:w w:val="110"/>
          <w:sz w:val="20"/>
          <w:lang w:val="uk-UA"/>
        </w:rPr>
        <w:t>ів</w:t>
      </w:r>
      <w:r w:rsidRPr="006B6651">
        <w:rPr>
          <w:color w:val="000000" w:themeColor="text1"/>
          <w:w w:val="110"/>
          <w:sz w:val="20"/>
          <w:lang w:val="ru-RU"/>
        </w:rPr>
        <w:t xml:space="preserve"> (</w:t>
      </w:r>
      <w:proofErr w:type="spellStart"/>
      <w:r w:rsidRPr="006B6651">
        <w:rPr>
          <w:color w:val="000000" w:themeColor="text1"/>
          <w:w w:val="110"/>
          <w:sz w:val="20"/>
          <w:lang w:val="ru-RU"/>
        </w:rPr>
        <w:t>зразк</w:t>
      </w:r>
      <w:proofErr w:type="spellEnd"/>
      <w:r w:rsidRPr="0032383A">
        <w:rPr>
          <w:color w:val="000000" w:themeColor="text1"/>
          <w:w w:val="110"/>
          <w:sz w:val="20"/>
          <w:lang w:val="uk-UA"/>
        </w:rPr>
        <w:t>ів</w:t>
      </w:r>
      <w:r w:rsidRPr="006B6651">
        <w:rPr>
          <w:color w:val="000000" w:themeColor="text1"/>
          <w:w w:val="110"/>
          <w:sz w:val="20"/>
          <w:lang w:val="ru-RU"/>
        </w:rPr>
        <w:t xml:space="preserve"> тканин, СМР або </w:t>
      </w:r>
      <w:proofErr w:type="spellStart"/>
      <w:r w:rsidRPr="006B6651">
        <w:rPr>
          <w:color w:val="000000" w:themeColor="text1"/>
          <w:w w:val="110"/>
          <w:sz w:val="20"/>
          <w:lang w:val="ru-RU"/>
        </w:rPr>
        <w:t>інш</w:t>
      </w:r>
      <w:proofErr w:type="spellEnd"/>
      <w:r w:rsidRPr="0032383A">
        <w:rPr>
          <w:color w:val="000000" w:themeColor="text1"/>
          <w:w w:val="110"/>
          <w:sz w:val="20"/>
          <w:lang w:val="uk-UA"/>
        </w:rPr>
        <w:t xml:space="preserve">их </w:t>
      </w:r>
      <w:proofErr w:type="spellStart"/>
      <w:r w:rsidRPr="006B6651">
        <w:rPr>
          <w:color w:val="000000" w:themeColor="text1"/>
          <w:w w:val="110"/>
          <w:sz w:val="20"/>
          <w:lang w:val="ru-RU"/>
        </w:rPr>
        <w:t>біологічн</w:t>
      </w:r>
      <w:proofErr w:type="spellEnd"/>
      <w:r w:rsidRPr="0032383A">
        <w:rPr>
          <w:color w:val="000000" w:themeColor="text1"/>
          <w:w w:val="110"/>
          <w:sz w:val="20"/>
          <w:lang w:val="uk-UA"/>
        </w:rPr>
        <w:t>их</w:t>
      </w:r>
      <w:r w:rsidRPr="006B6651">
        <w:rPr>
          <w:color w:val="000000" w:themeColor="text1"/>
          <w:w w:val="110"/>
          <w:sz w:val="20"/>
          <w:lang w:val="ru-RU"/>
        </w:rPr>
        <w:t xml:space="preserve"> </w:t>
      </w:r>
      <w:proofErr w:type="spellStart"/>
      <w:r w:rsidRPr="006B6651">
        <w:rPr>
          <w:color w:val="000000" w:themeColor="text1"/>
          <w:w w:val="110"/>
          <w:sz w:val="20"/>
          <w:lang w:val="ru-RU"/>
        </w:rPr>
        <w:t>рідин</w:t>
      </w:r>
      <w:proofErr w:type="spellEnd"/>
      <w:r w:rsidRPr="006B6651">
        <w:rPr>
          <w:color w:val="000000" w:themeColor="text1"/>
          <w:w w:val="110"/>
          <w:sz w:val="20"/>
          <w:lang w:val="ru-RU"/>
        </w:rPr>
        <w:t xml:space="preserve">) не </w:t>
      </w:r>
      <w:r w:rsidRPr="0032383A">
        <w:rPr>
          <w:color w:val="000000" w:themeColor="text1"/>
          <w:w w:val="110"/>
          <w:sz w:val="20"/>
          <w:lang w:val="uk-UA"/>
        </w:rPr>
        <w:t>проводилась</w:t>
      </w:r>
      <w:r w:rsidRPr="006B6651">
        <w:rPr>
          <w:color w:val="000000" w:themeColor="text1"/>
          <w:w w:val="110"/>
          <w:sz w:val="20"/>
          <w:lang w:val="ru-RU"/>
        </w:rPr>
        <w:t>.</w:t>
      </w:r>
    </w:p>
    <w:p w14:paraId="42CBC0A1" w14:textId="77777777" w:rsidR="008A0E77" w:rsidRPr="006B6651" w:rsidRDefault="008A0E77" w:rsidP="004A2937">
      <w:pPr>
        <w:pStyle w:val="a4"/>
        <w:numPr>
          <w:ilvl w:val="0"/>
          <w:numId w:val="42"/>
        </w:numPr>
        <w:tabs>
          <w:tab w:val="left" w:pos="1701"/>
        </w:tabs>
        <w:spacing w:before="4" w:line="276" w:lineRule="auto"/>
        <w:ind w:left="1134" w:right="142"/>
        <w:rPr>
          <w:color w:val="000000" w:themeColor="text1"/>
          <w:sz w:val="20"/>
          <w:lang w:val="ru-RU"/>
        </w:rPr>
      </w:pPr>
      <w:r w:rsidRPr="006B6651">
        <w:rPr>
          <w:color w:val="000000" w:themeColor="text1"/>
          <w:w w:val="110"/>
          <w:sz w:val="20"/>
          <w:lang w:val="ru-RU"/>
        </w:rPr>
        <w:t xml:space="preserve">Культуральне </w:t>
      </w:r>
      <w:proofErr w:type="spellStart"/>
      <w:r w:rsidRPr="006B6651">
        <w:rPr>
          <w:color w:val="000000" w:themeColor="text1"/>
          <w:w w:val="110"/>
          <w:sz w:val="20"/>
          <w:lang w:val="ru-RU"/>
        </w:rPr>
        <w:t>дослідження</w:t>
      </w:r>
      <w:proofErr w:type="spellEnd"/>
      <w:r w:rsidRPr="006B6651">
        <w:rPr>
          <w:color w:val="000000" w:themeColor="text1"/>
          <w:w w:val="110"/>
          <w:sz w:val="20"/>
          <w:lang w:val="ru-RU"/>
        </w:rPr>
        <w:t xml:space="preserve"> та фенотипов</w:t>
      </w:r>
      <w:proofErr w:type="spellStart"/>
      <w:r w:rsidRPr="0032383A">
        <w:rPr>
          <w:color w:val="000000" w:themeColor="text1"/>
          <w:w w:val="110"/>
          <w:sz w:val="20"/>
          <w:lang w:val="uk-UA"/>
        </w:rPr>
        <w:t>ий</w:t>
      </w:r>
      <w:proofErr w:type="spellEnd"/>
      <w:r w:rsidRPr="006B6651">
        <w:rPr>
          <w:color w:val="000000" w:themeColor="text1"/>
          <w:w w:val="110"/>
          <w:sz w:val="20"/>
          <w:lang w:val="ru-RU"/>
        </w:rPr>
        <w:t xml:space="preserve"> Т</w:t>
      </w:r>
      <w:r w:rsidRPr="0032383A">
        <w:rPr>
          <w:color w:val="000000" w:themeColor="text1"/>
          <w:w w:val="110"/>
          <w:sz w:val="20"/>
          <w:lang w:val="uk-UA"/>
        </w:rPr>
        <w:t>М</w:t>
      </w:r>
      <w:r w:rsidRPr="006B6651">
        <w:rPr>
          <w:color w:val="000000" w:themeColor="text1"/>
          <w:w w:val="110"/>
          <w:sz w:val="20"/>
          <w:lang w:val="ru-RU"/>
        </w:rPr>
        <w:t xml:space="preserve">Ч </w:t>
      </w:r>
      <w:proofErr w:type="spellStart"/>
      <w:r w:rsidRPr="006B6651">
        <w:rPr>
          <w:color w:val="000000" w:themeColor="text1"/>
          <w:w w:val="110"/>
          <w:sz w:val="20"/>
          <w:lang w:val="ru-RU"/>
        </w:rPr>
        <w:t>відіграють</w:t>
      </w:r>
      <w:proofErr w:type="spellEnd"/>
      <w:r w:rsidRPr="006B6651">
        <w:rPr>
          <w:color w:val="000000" w:themeColor="text1"/>
          <w:w w:val="110"/>
          <w:sz w:val="20"/>
          <w:lang w:val="ru-RU"/>
        </w:rPr>
        <w:t xml:space="preserve"> критично </w:t>
      </w:r>
      <w:proofErr w:type="spellStart"/>
      <w:r w:rsidRPr="006B6651">
        <w:rPr>
          <w:color w:val="000000" w:themeColor="text1"/>
          <w:w w:val="110"/>
          <w:sz w:val="20"/>
          <w:lang w:val="ru-RU"/>
        </w:rPr>
        <w:t>важливу</w:t>
      </w:r>
      <w:proofErr w:type="spellEnd"/>
      <w:r w:rsidRPr="006B6651">
        <w:rPr>
          <w:color w:val="000000" w:themeColor="text1"/>
          <w:w w:val="110"/>
          <w:sz w:val="20"/>
          <w:lang w:val="ru-RU"/>
        </w:rPr>
        <w:t xml:space="preserve"> роль у </w:t>
      </w:r>
      <w:proofErr w:type="spellStart"/>
      <w:r w:rsidRPr="006B6651">
        <w:rPr>
          <w:color w:val="000000" w:themeColor="text1"/>
          <w:w w:val="110"/>
          <w:sz w:val="20"/>
          <w:lang w:val="ru-RU"/>
        </w:rPr>
        <w:t>моніторингу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відповіді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пацієнта</w:t>
      </w:r>
      <w:proofErr w:type="spellEnd"/>
      <w:r w:rsidRPr="006B6651">
        <w:rPr>
          <w:color w:val="000000" w:themeColor="text1"/>
          <w:w w:val="110"/>
          <w:sz w:val="20"/>
          <w:lang w:val="ru-RU"/>
        </w:rPr>
        <w:t xml:space="preserve"> на лікування та у </w:t>
      </w:r>
      <w:proofErr w:type="spellStart"/>
      <w:r w:rsidRPr="006B6651">
        <w:rPr>
          <w:color w:val="000000" w:themeColor="text1"/>
          <w:w w:val="110"/>
          <w:sz w:val="20"/>
          <w:lang w:val="ru-RU"/>
        </w:rPr>
        <w:t>виявленні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додаткової</w:t>
      </w:r>
      <w:proofErr w:type="spellEnd"/>
      <w:r w:rsidRPr="006B6651">
        <w:rPr>
          <w:color w:val="000000" w:themeColor="text1"/>
          <w:w w:val="110"/>
          <w:sz w:val="20"/>
          <w:lang w:val="ru-RU"/>
        </w:rPr>
        <w:t xml:space="preserve"> </w:t>
      </w:r>
      <w:r w:rsidRPr="0032383A">
        <w:rPr>
          <w:color w:val="000000" w:themeColor="text1"/>
          <w:w w:val="110"/>
          <w:sz w:val="20"/>
          <w:lang w:val="uk-UA"/>
        </w:rPr>
        <w:t>стійкості</w:t>
      </w:r>
      <w:r w:rsidRPr="006B6651">
        <w:rPr>
          <w:color w:val="000000" w:themeColor="text1"/>
          <w:w w:val="110"/>
          <w:sz w:val="20"/>
          <w:lang w:val="ru-RU"/>
        </w:rPr>
        <w:t xml:space="preserve"> до </w:t>
      </w:r>
      <w:proofErr w:type="spellStart"/>
      <w:r w:rsidRPr="006B6651">
        <w:rPr>
          <w:color w:val="000000" w:themeColor="text1"/>
          <w:w w:val="110"/>
          <w:sz w:val="20"/>
          <w:lang w:val="ru-RU"/>
        </w:rPr>
        <w:t>препаратів</w:t>
      </w:r>
      <w:proofErr w:type="spellEnd"/>
      <w:r w:rsidRPr="006B6651">
        <w:rPr>
          <w:color w:val="000000" w:themeColor="text1"/>
          <w:w w:val="110"/>
          <w:sz w:val="20"/>
          <w:lang w:val="ru-RU"/>
        </w:rPr>
        <w:t xml:space="preserve"> другого ряду під</w:t>
      </w:r>
      <w:r w:rsidRPr="00D4767C">
        <w:rPr>
          <w:color w:val="000000" w:themeColor="text1"/>
          <w:w w:val="110"/>
          <w:sz w:val="20"/>
          <w:lang w:val="uk-UA"/>
        </w:rPr>
        <w:t xml:space="preserve"> </w:t>
      </w:r>
      <w:r w:rsidRPr="006B6651">
        <w:rPr>
          <w:color w:val="000000" w:themeColor="text1"/>
          <w:w w:val="110"/>
          <w:sz w:val="20"/>
          <w:lang w:val="ru-RU"/>
        </w:rPr>
        <w:t>час лікування.</w:t>
      </w:r>
    </w:p>
    <w:p w14:paraId="1DA9CBDD" w14:textId="10E8E74C" w:rsidR="008A0E77" w:rsidRPr="0023327E" w:rsidRDefault="008A0E77" w:rsidP="004A2937">
      <w:pPr>
        <w:pStyle w:val="a4"/>
        <w:numPr>
          <w:ilvl w:val="0"/>
          <w:numId w:val="42"/>
        </w:numPr>
        <w:tabs>
          <w:tab w:val="left" w:pos="2410"/>
        </w:tabs>
        <w:spacing w:before="2" w:line="276" w:lineRule="auto"/>
        <w:ind w:left="1134" w:right="144"/>
        <w:rPr>
          <w:color w:val="000000" w:themeColor="text1"/>
          <w:sz w:val="20"/>
          <w:lang w:val="ru-RU"/>
        </w:rPr>
      </w:pPr>
      <w:r w:rsidRPr="0032383A">
        <w:rPr>
          <w:color w:val="000000" w:themeColor="text1"/>
          <w:w w:val="110"/>
          <w:sz w:val="20"/>
        </w:rPr>
        <w:t>SL</w:t>
      </w:r>
      <w:r w:rsidRPr="006B6651">
        <w:rPr>
          <w:color w:val="000000" w:themeColor="text1"/>
          <w:w w:val="110"/>
          <w:sz w:val="20"/>
          <w:lang w:val="ru-RU"/>
        </w:rPr>
        <w:t>-</w:t>
      </w:r>
      <w:r w:rsidRPr="0032383A">
        <w:rPr>
          <w:color w:val="000000" w:themeColor="text1"/>
          <w:w w:val="110"/>
          <w:sz w:val="20"/>
        </w:rPr>
        <w:t>LPA</w:t>
      </w:r>
      <w:r w:rsidRPr="006B6651">
        <w:rPr>
          <w:color w:val="000000" w:themeColor="text1"/>
          <w:w w:val="110"/>
          <w:sz w:val="20"/>
          <w:lang w:val="ru-RU"/>
        </w:rPr>
        <w:t xml:space="preserve"> </w:t>
      </w:r>
      <w:proofErr w:type="spellStart"/>
      <w:r w:rsidRPr="006B6651">
        <w:rPr>
          <w:color w:val="000000" w:themeColor="text1"/>
          <w:w w:val="110"/>
          <w:sz w:val="20"/>
          <w:lang w:val="ru-RU"/>
        </w:rPr>
        <w:t>підходять</w:t>
      </w:r>
      <w:proofErr w:type="spellEnd"/>
      <w:r w:rsidRPr="006B6651">
        <w:rPr>
          <w:color w:val="000000" w:themeColor="text1"/>
          <w:w w:val="110"/>
          <w:sz w:val="20"/>
          <w:lang w:val="ru-RU"/>
        </w:rPr>
        <w:t xml:space="preserve"> для використання на </w:t>
      </w:r>
      <w:proofErr w:type="spellStart"/>
      <w:r w:rsidRPr="006B6651">
        <w:rPr>
          <w:color w:val="000000" w:themeColor="text1"/>
          <w:w w:val="110"/>
          <w:sz w:val="20"/>
          <w:lang w:val="ru-RU"/>
        </w:rPr>
        <w:t>рівні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центральної</w:t>
      </w:r>
      <w:proofErr w:type="spellEnd"/>
      <w:r w:rsidRPr="006B6651">
        <w:rPr>
          <w:color w:val="000000" w:themeColor="text1"/>
          <w:w w:val="110"/>
          <w:sz w:val="20"/>
          <w:lang w:val="ru-RU"/>
        </w:rPr>
        <w:t xml:space="preserve"> або </w:t>
      </w:r>
      <w:proofErr w:type="spellStart"/>
      <w:r w:rsidRPr="006B6651">
        <w:rPr>
          <w:color w:val="000000" w:themeColor="text1"/>
          <w:w w:val="110"/>
          <w:sz w:val="20"/>
          <w:lang w:val="ru-RU"/>
        </w:rPr>
        <w:t>національної</w:t>
      </w:r>
      <w:proofErr w:type="spellEnd"/>
      <w:r w:rsidRPr="006B6651">
        <w:rPr>
          <w:color w:val="000000" w:themeColor="text1"/>
          <w:w w:val="110"/>
          <w:sz w:val="20"/>
          <w:lang w:val="ru-RU"/>
        </w:rPr>
        <w:t xml:space="preserve"> референс-</w:t>
      </w:r>
      <w:proofErr w:type="spellStart"/>
      <w:r w:rsidRPr="006B6651">
        <w:rPr>
          <w:color w:val="000000" w:themeColor="text1"/>
          <w:w w:val="110"/>
          <w:sz w:val="20"/>
          <w:lang w:val="ru-RU"/>
        </w:rPr>
        <w:t>лабораторії</w:t>
      </w:r>
      <w:proofErr w:type="spellEnd"/>
      <w:r>
        <w:rPr>
          <w:color w:val="000000" w:themeColor="text1"/>
          <w:w w:val="110"/>
          <w:sz w:val="20"/>
          <w:lang w:val="uk-UA"/>
        </w:rPr>
        <w:t>. Ї</w:t>
      </w:r>
      <w:r w:rsidRPr="006B6651">
        <w:rPr>
          <w:color w:val="000000" w:themeColor="text1"/>
          <w:w w:val="110"/>
          <w:sz w:val="20"/>
          <w:lang w:val="ru-RU"/>
        </w:rPr>
        <w:t xml:space="preserve">х також </w:t>
      </w:r>
      <w:proofErr w:type="spellStart"/>
      <w:r w:rsidRPr="006B6651">
        <w:rPr>
          <w:color w:val="000000" w:themeColor="text1"/>
          <w:w w:val="110"/>
          <w:sz w:val="20"/>
          <w:lang w:val="ru-RU"/>
        </w:rPr>
        <w:t>можна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використовувати</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регіональному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рівні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може</w:t>
      </w:r>
      <w:proofErr w:type="spellEnd"/>
      <w:r w:rsidRPr="006B6651">
        <w:rPr>
          <w:color w:val="000000" w:themeColor="text1"/>
          <w:w w:val="110"/>
          <w:sz w:val="20"/>
          <w:lang w:val="ru-RU"/>
        </w:rPr>
        <w:t xml:space="preserve"> бути </w:t>
      </w:r>
      <w:proofErr w:type="spellStart"/>
      <w:r w:rsidRPr="006B6651">
        <w:rPr>
          <w:color w:val="000000" w:themeColor="text1"/>
          <w:w w:val="110"/>
          <w:sz w:val="20"/>
          <w:lang w:val="ru-RU"/>
        </w:rPr>
        <w:t>забезпечена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відповідна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інфраструктура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необхідні</w:t>
      </w:r>
      <w:proofErr w:type="spellEnd"/>
      <w:r w:rsidRPr="006B6651">
        <w:rPr>
          <w:color w:val="000000" w:themeColor="text1"/>
          <w:w w:val="110"/>
          <w:sz w:val="20"/>
          <w:lang w:val="ru-RU"/>
        </w:rPr>
        <w:t xml:space="preserve"> три </w:t>
      </w:r>
      <w:proofErr w:type="spellStart"/>
      <w:r w:rsidRPr="006B6651">
        <w:rPr>
          <w:color w:val="000000" w:themeColor="text1"/>
          <w:w w:val="110"/>
          <w:sz w:val="20"/>
          <w:lang w:val="ru-RU"/>
        </w:rPr>
        <w:t>окремі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кімнати</w:t>
      </w:r>
      <w:proofErr w:type="spellEnd"/>
      <w:r w:rsidRPr="006B6651">
        <w:rPr>
          <w:color w:val="000000" w:themeColor="text1"/>
          <w:w w:val="110"/>
          <w:sz w:val="20"/>
          <w:lang w:val="ru-RU"/>
        </w:rPr>
        <w:t>).</w:t>
      </w:r>
      <w:r w:rsidR="004A2937">
        <w:rPr>
          <w:color w:val="000000" w:themeColor="text1"/>
          <w:w w:val="110"/>
          <w:sz w:val="20"/>
          <w:lang w:val="ru-RU"/>
        </w:rPr>
        <w:t xml:space="preserve">                          </w:t>
      </w:r>
    </w:p>
    <w:p w14:paraId="39851BF3" w14:textId="51FDFF2A" w:rsidR="0023327E" w:rsidRPr="006B6651" w:rsidRDefault="004A2937" w:rsidP="0023327E">
      <w:pPr>
        <w:pStyle w:val="a4"/>
        <w:tabs>
          <w:tab w:val="left" w:pos="2410"/>
        </w:tabs>
        <w:spacing w:before="2" w:line="276" w:lineRule="auto"/>
        <w:ind w:left="1134" w:right="144" w:firstLine="0"/>
        <w:rPr>
          <w:color w:val="000000" w:themeColor="text1"/>
          <w:sz w:val="20"/>
          <w:lang w:val="ru-RU"/>
        </w:rPr>
      </w:pPr>
      <w:r>
        <w:rPr>
          <w:noProof/>
        </w:rPr>
        <mc:AlternateContent>
          <mc:Choice Requires="wps">
            <w:drawing>
              <wp:anchor distT="0" distB="0" distL="114300" distR="114300" simplePos="0" relativeHeight="488217088" behindDoc="0" locked="0" layoutInCell="1" allowOverlap="1" wp14:anchorId="0D9F405E" wp14:editId="03663A01">
                <wp:simplePos x="0" y="0"/>
                <wp:positionH relativeFrom="column">
                  <wp:posOffset>5994400</wp:posOffset>
                </wp:positionH>
                <wp:positionV relativeFrom="paragraph">
                  <wp:posOffset>178435</wp:posOffset>
                </wp:positionV>
                <wp:extent cx="463550" cy="254000"/>
                <wp:effectExtent l="0" t="0" r="0" b="0"/>
                <wp:wrapNone/>
                <wp:docPr id="2112520811" name="Поле 1941"/>
                <wp:cNvGraphicFramePr/>
                <a:graphic xmlns:a="http://schemas.openxmlformats.org/drawingml/2006/main">
                  <a:graphicData uri="http://schemas.microsoft.com/office/word/2010/wordprocessingShape">
                    <wps:wsp>
                      <wps:cNvSpPr txBox="1"/>
                      <wps:spPr>
                        <a:xfrm>
                          <a:off x="0" y="0"/>
                          <a:ext cx="463550" cy="254000"/>
                        </a:xfrm>
                        <a:prstGeom prst="rect">
                          <a:avLst/>
                        </a:prstGeom>
                        <a:solidFill>
                          <a:schemeClr val="lt1"/>
                        </a:solidFill>
                        <a:ln w="6350">
                          <a:noFill/>
                        </a:ln>
                      </wps:spPr>
                      <wps:txbx>
                        <w:txbxContent>
                          <w:p w14:paraId="3D054ABB" w14:textId="672F8F87" w:rsidR="004A2937" w:rsidRPr="00770751" w:rsidRDefault="004A2937" w:rsidP="004A2937">
                            <w:pPr>
                              <w:rPr>
                                <w:color w:val="388600"/>
                                <w:sz w:val="20"/>
                                <w:szCs w:val="20"/>
                                <w:lang w:val="uk-UA"/>
                              </w:rPr>
                            </w:pPr>
                            <w:r>
                              <w:rPr>
                                <w:color w:val="388600"/>
                                <w:sz w:val="20"/>
                                <w:szCs w:val="20"/>
                                <w:lang w:val="uk-UA"/>
                              </w:rPr>
                              <w:t>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F405E" id="_x0000_s1159" type="#_x0000_t202" style="position:absolute;left:0;text-align:left;margin-left:472pt;margin-top:14.05pt;width:36.5pt;height:20pt;z-index:4882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" fillcolor="white [3201]" stroked="f" strokeweight=".5pt">
                <v:textbox>
                  <w:txbxContent>
                    <w:p w14:paraId="3D054ABB" w14:textId="672F8F87" w:rsidR="004A2937" w:rsidRPr="00770751" w:rsidRDefault="004A2937" w:rsidP="004A2937">
                      <w:pPr>
                        <w:rPr>
                          <w:color w:val="388600"/>
                          <w:sz w:val="20"/>
                          <w:szCs w:val="20"/>
                          <w:lang w:val="uk-UA"/>
                        </w:rPr>
                      </w:pPr>
                      <w:r>
                        <w:rPr>
                          <w:color w:val="388600"/>
                          <w:sz w:val="20"/>
                          <w:szCs w:val="20"/>
                          <w:lang w:val="uk-UA"/>
                        </w:rPr>
                        <w:t>91</w:t>
                      </w:r>
                    </w:p>
                  </w:txbxContent>
                </v:textbox>
              </v:shape>
            </w:pict>
          </mc:Fallback>
        </mc:AlternateContent>
      </w:r>
    </w:p>
    <w:p w14:paraId="15FE9BEE" w14:textId="77777777" w:rsidR="008A0E77" w:rsidRPr="008A0E77" w:rsidRDefault="008A0E77" w:rsidP="004A2937">
      <w:pPr>
        <w:pStyle w:val="a4"/>
        <w:numPr>
          <w:ilvl w:val="0"/>
          <w:numId w:val="42"/>
        </w:numPr>
        <w:tabs>
          <w:tab w:val="left" w:pos="2410"/>
        </w:tabs>
        <w:spacing w:before="4" w:line="276" w:lineRule="auto"/>
        <w:ind w:left="1134" w:right="144"/>
        <w:rPr>
          <w:color w:val="000000" w:themeColor="text1"/>
          <w:sz w:val="20"/>
          <w:lang w:val="ru-RU"/>
        </w:rPr>
      </w:pPr>
      <w:proofErr w:type="spellStart"/>
      <w:r w:rsidRPr="008A0E77">
        <w:rPr>
          <w:color w:val="000000" w:themeColor="text1"/>
          <w:w w:val="110"/>
          <w:sz w:val="20"/>
          <w:lang w:val="ru-RU"/>
        </w:rPr>
        <w:lastRenderedPageBreak/>
        <w:t>Усі</w:t>
      </w:r>
      <w:proofErr w:type="spellEnd"/>
      <w:r w:rsidRPr="008A0E77">
        <w:rPr>
          <w:color w:val="000000" w:themeColor="text1"/>
          <w:w w:val="110"/>
          <w:sz w:val="20"/>
          <w:lang w:val="ru-RU"/>
        </w:rPr>
        <w:t xml:space="preserve"> </w:t>
      </w:r>
      <w:proofErr w:type="spellStart"/>
      <w:r w:rsidRPr="008A0E77">
        <w:rPr>
          <w:color w:val="000000" w:themeColor="text1"/>
          <w:w w:val="110"/>
          <w:sz w:val="20"/>
          <w:lang w:val="ru-RU"/>
        </w:rPr>
        <w:t>пацієнти</w:t>
      </w:r>
      <w:proofErr w:type="spellEnd"/>
      <w:r w:rsidRPr="008A0E77">
        <w:rPr>
          <w:color w:val="000000" w:themeColor="text1"/>
          <w:w w:val="110"/>
          <w:sz w:val="20"/>
          <w:lang w:val="ru-RU"/>
        </w:rPr>
        <w:t xml:space="preserve">, </w:t>
      </w:r>
      <w:proofErr w:type="spellStart"/>
      <w:r w:rsidRPr="008A0E77">
        <w:rPr>
          <w:color w:val="000000" w:themeColor="text1"/>
          <w:w w:val="110"/>
          <w:sz w:val="20"/>
          <w:lang w:val="ru-RU"/>
        </w:rPr>
        <w:t>виявлені</w:t>
      </w:r>
      <w:proofErr w:type="spellEnd"/>
      <w:r w:rsidRPr="008A0E77">
        <w:rPr>
          <w:color w:val="000000" w:themeColor="text1"/>
          <w:w w:val="110"/>
          <w:sz w:val="20"/>
          <w:lang w:val="ru-RU"/>
        </w:rPr>
        <w:t xml:space="preserve"> за </w:t>
      </w:r>
      <w:proofErr w:type="spellStart"/>
      <w:r w:rsidRPr="008A0E77">
        <w:rPr>
          <w:color w:val="000000" w:themeColor="text1"/>
          <w:w w:val="110"/>
          <w:sz w:val="20"/>
          <w:lang w:val="ru-RU"/>
        </w:rPr>
        <w:t>допомогою</w:t>
      </w:r>
      <w:proofErr w:type="spellEnd"/>
      <w:r w:rsidRPr="008A0E77">
        <w:rPr>
          <w:color w:val="000000" w:themeColor="text1"/>
          <w:w w:val="110"/>
          <w:sz w:val="20"/>
          <w:lang w:val="ru-RU"/>
        </w:rPr>
        <w:t xml:space="preserve"> </w:t>
      </w:r>
      <w:r w:rsidRPr="0032383A">
        <w:rPr>
          <w:color w:val="000000" w:themeColor="text1"/>
          <w:w w:val="110"/>
          <w:sz w:val="20"/>
        </w:rPr>
        <w:t>SL</w:t>
      </w:r>
      <w:r w:rsidRPr="008A0E77">
        <w:rPr>
          <w:color w:val="000000" w:themeColor="text1"/>
          <w:w w:val="110"/>
          <w:sz w:val="20"/>
          <w:lang w:val="ru-RU"/>
        </w:rPr>
        <w:t>-</w:t>
      </w:r>
      <w:r w:rsidRPr="0032383A">
        <w:rPr>
          <w:color w:val="000000" w:themeColor="text1"/>
          <w:w w:val="110"/>
          <w:sz w:val="20"/>
        </w:rPr>
        <w:t>LPA</w:t>
      </w:r>
      <w:r w:rsidRPr="008A0E77">
        <w:rPr>
          <w:color w:val="000000" w:themeColor="text1"/>
          <w:w w:val="110"/>
          <w:sz w:val="20"/>
          <w:lang w:val="ru-RU"/>
        </w:rPr>
        <w:t xml:space="preserve">, </w:t>
      </w:r>
      <w:proofErr w:type="spellStart"/>
      <w:r w:rsidRPr="008A0E77">
        <w:rPr>
          <w:color w:val="000000" w:themeColor="text1"/>
          <w:w w:val="110"/>
          <w:sz w:val="20"/>
          <w:lang w:val="ru-RU"/>
        </w:rPr>
        <w:t>повинні</w:t>
      </w:r>
      <w:proofErr w:type="spellEnd"/>
      <w:r w:rsidRPr="008A0E77">
        <w:rPr>
          <w:color w:val="000000" w:themeColor="text1"/>
          <w:w w:val="110"/>
          <w:sz w:val="20"/>
          <w:lang w:val="ru-RU"/>
        </w:rPr>
        <w:t xml:space="preserve"> </w:t>
      </w:r>
      <w:proofErr w:type="spellStart"/>
      <w:r w:rsidRPr="008A0E77">
        <w:rPr>
          <w:color w:val="000000" w:themeColor="text1"/>
          <w:w w:val="110"/>
          <w:sz w:val="20"/>
          <w:lang w:val="ru-RU"/>
        </w:rPr>
        <w:t>мати</w:t>
      </w:r>
      <w:proofErr w:type="spellEnd"/>
      <w:r w:rsidRPr="008A0E77">
        <w:rPr>
          <w:color w:val="000000" w:themeColor="text1"/>
          <w:w w:val="110"/>
          <w:sz w:val="20"/>
          <w:lang w:val="ru-RU"/>
        </w:rPr>
        <w:t xml:space="preserve"> доступ до </w:t>
      </w:r>
      <w:proofErr w:type="spellStart"/>
      <w:r w:rsidRPr="008A0E77">
        <w:rPr>
          <w:color w:val="000000" w:themeColor="text1"/>
          <w:w w:val="110"/>
          <w:sz w:val="20"/>
          <w:lang w:val="ru-RU"/>
        </w:rPr>
        <w:t>належного</w:t>
      </w:r>
      <w:proofErr w:type="spellEnd"/>
      <w:r w:rsidRPr="008A0E77">
        <w:rPr>
          <w:color w:val="000000" w:themeColor="text1"/>
          <w:w w:val="110"/>
          <w:sz w:val="20"/>
          <w:lang w:val="ru-RU"/>
        </w:rPr>
        <w:t xml:space="preserve"> лікування та </w:t>
      </w:r>
      <w:proofErr w:type="spellStart"/>
      <w:r w:rsidRPr="008A0E77">
        <w:rPr>
          <w:color w:val="000000" w:themeColor="text1"/>
          <w:w w:val="110"/>
          <w:sz w:val="20"/>
          <w:lang w:val="ru-RU"/>
        </w:rPr>
        <w:t>допоміжних</w:t>
      </w:r>
      <w:proofErr w:type="spellEnd"/>
      <w:r w:rsidRPr="008A0E77">
        <w:rPr>
          <w:color w:val="000000" w:themeColor="text1"/>
          <w:w w:val="110"/>
          <w:sz w:val="20"/>
          <w:lang w:val="ru-RU"/>
        </w:rPr>
        <w:t xml:space="preserve"> </w:t>
      </w:r>
      <w:proofErr w:type="spellStart"/>
      <w:r w:rsidRPr="008A0E77">
        <w:rPr>
          <w:color w:val="000000" w:themeColor="text1"/>
          <w:w w:val="110"/>
          <w:sz w:val="20"/>
          <w:lang w:val="ru-RU"/>
        </w:rPr>
        <w:t>лікарських</w:t>
      </w:r>
      <w:proofErr w:type="spellEnd"/>
      <w:r w:rsidRPr="008A0E77">
        <w:rPr>
          <w:color w:val="000000" w:themeColor="text1"/>
          <w:w w:val="110"/>
          <w:sz w:val="20"/>
          <w:lang w:val="ru-RU"/>
        </w:rPr>
        <w:t xml:space="preserve"> </w:t>
      </w:r>
      <w:proofErr w:type="spellStart"/>
      <w:r w:rsidRPr="008A0E77">
        <w:rPr>
          <w:color w:val="000000" w:themeColor="text1"/>
          <w:w w:val="110"/>
          <w:sz w:val="20"/>
          <w:lang w:val="ru-RU"/>
        </w:rPr>
        <w:t>засобів</w:t>
      </w:r>
      <w:proofErr w:type="spellEnd"/>
      <w:r w:rsidRPr="008A0E77">
        <w:rPr>
          <w:color w:val="000000" w:themeColor="text1"/>
          <w:w w:val="110"/>
          <w:sz w:val="20"/>
          <w:lang w:val="ru-RU"/>
        </w:rPr>
        <w:t>.</w:t>
      </w:r>
    </w:p>
    <w:p w14:paraId="63B0A73E" w14:textId="77777777" w:rsidR="008A0E77" w:rsidRPr="008A0E77" w:rsidRDefault="008A0E77" w:rsidP="00392DCF">
      <w:pPr>
        <w:tabs>
          <w:tab w:val="left" w:pos="1701"/>
        </w:tabs>
        <w:spacing w:before="4" w:line="276" w:lineRule="auto"/>
        <w:ind w:left="709" w:right="1418"/>
        <w:rPr>
          <w:color w:val="000000" w:themeColor="text1"/>
          <w:sz w:val="20"/>
          <w:lang w:val="ru-RU"/>
        </w:rPr>
      </w:pPr>
    </w:p>
    <w:p w14:paraId="1EE44CE1" w14:textId="77777777" w:rsidR="008A0E77" w:rsidRPr="0032383A" w:rsidRDefault="008A0E77" w:rsidP="008A0E77">
      <w:pPr>
        <w:pStyle w:val="5"/>
        <w:spacing w:before="62"/>
        <w:rPr>
          <w:sz w:val="24"/>
        </w:rPr>
      </w:pPr>
      <w:bookmarkStart w:id="80" w:name="2.4.4_High_complexity_reverse_hybridizat"/>
      <w:bookmarkStart w:id="81" w:name="_bookmark36"/>
      <w:bookmarkEnd w:id="80"/>
      <w:bookmarkEnd w:id="81"/>
      <w:proofErr w:type="spellStart"/>
      <w:r w:rsidRPr="0032383A">
        <w:rPr>
          <w:color w:val="019648"/>
          <w:w w:val="110"/>
          <w:sz w:val="24"/>
        </w:rPr>
        <w:t>Пріоритети</w:t>
      </w:r>
      <w:proofErr w:type="spellEnd"/>
      <w:r w:rsidRPr="0032383A">
        <w:rPr>
          <w:color w:val="019648"/>
          <w:w w:val="110"/>
          <w:sz w:val="24"/>
        </w:rPr>
        <w:t xml:space="preserve"> </w:t>
      </w:r>
      <w:proofErr w:type="spellStart"/>
      <w:r w:rsidRPr="0032383A">
        <w:rPr>
          <w:color w:val="019648"/>
          <w:w w:val="110"/>
          <w:sz w:val="24"/>
        </w:rPr>
        <w:t>досліджень</w:t>
      </w:r>
      <w:proofErr w:type="spellEnd"/>
    </w:p>
    <w:p w14:paraId="37661E98" w14:textId="77777777" w:rsidR="008A0E77" w:rsidRPr="002C031F" w:rsidRDefault="008A0E77" w:rsidP="004A2937">
      <w:pPr>
        <w:pStyle w:val="a4"/>
        <w:numPr>
          <w:ilvl w:val="0"/>
          <w:numId w:val="42"/>
        </w:numPr>
        <w:tabs>
          <w:tab w:val="left" w:pos="1985"/>
          <w:tab w:val="left" w:pos="2268"/>
        </w:tabs>
        <w:spacing w:before="209" w:line="276" w:lineRule="auto"/>
        <w:ind w:left="993" w:right="2"/>
        <w:rPr>
          <w:sz w:val="20"/>
        </w:rPr>
      </w:pPr>
      <w:proofErr w:type="spellStart"/>
      <w:r w:rsidRPr="002C031F">
        <w:rPr>
          <w:w w:val="110"/>
          <w:sz w:val="20"/>
        </w:rPr>
        <w:t>Поглиблення</w:t>
      </w:r>
      <w:proofErr w:type="spellEnd"/>
      <w:r w:rsidRPr="002C031F">
        <w:rPr>
          <w:w w:val="110"/>
          <w:sz w:val="20"/>
        </w:rPr>
        <w:t xml:space="preserve"> </w:t>
      </w:r>
      <w:proofErr w:type="spellStart"/>
      <w:r w:rsidRPr="002C031F">
        <w:rPr>
          <w:w w:val="110"/>
          <w:sz w:val="20"/>
        </w:rPr>
        <w:t>розуміння</w:t>
      </w:r>
      <w:proofErr w:type="spellEnd"/>
      <w:r w:rsidRPr="002C031F">
        <w:rPr>
          <w:w w:val="110"/>
          <w:sz w:val="20"/>
        </w:rPr>
        <w:t xml:space="preserve"> </w:t>
      </w:r>
      <w:proofErr w:type="spellStart"/>
      <w:r w:rsidRPr="002C031F">
        <w:rPr>
          <w:w w:val="110"/>
          <w:sz w:val="20"/>
        </w:rPr>
        <w:t>кореляції</w:t>
      </w:r>
      <w:proofErr w:type="spellEnd"/>
      <w:r w:rsidRPr="002C031F">
        <w:rPr>
          <w:w w:val="110"/>
          <w:sz w:val="20"/>
        </w:rPr>
        <w:t xml:space="preserve"> </w:t>
      </w:r>
      <w:proofErr w:type="spellStart"/>
      <w:r w:rsidRPr="002C031F">
        <w:rPr>
          <w:w w:val="110"/>
          <w:sz w:val="20"/>
        </w:rPr>
        <w:t>між</w:t>
      </w:r>
      <w:proofErr w:type="spellEnd"/>
      <w:r w:rsidRPr="002C031F">
        <w:rPr>
          <w:w w:val="110"/>
          <w:sz w:val="20"/>
        </w:rPr>
        <w:t xml:space="preserve"> </w:t>
      </w:r>
      <w:proofErr w:type="spellStart"/>
      <w:r w:rsidRPr="002C031F">
        <w:rPr>
          <w:w w:val="110"/>
          <w:sz w:val="20"/>
        </w:rPr>
        <w:t>виявленням</w:t>
      </w:r>
      <w:proofErr w:type="spellEnd"/>
      <w:r w:rsidRPr="002C031F">
        <w:rPr>
          <w:w w:val="110"/>
          <w:sz w:val="20"/>
        </w:rPr>
        <w:t xml:space="preserve"> </w:t>
      </w:r>
      <w:proofErr w:type="spellStart"/>
      <w:r w:rsidRPr="002C031F">
        <w:rPr>
          <w:w w:val="110"/>
          <w:sz w:val="20"/>
        </w:rPr>
        <w:t>мутацій</w:t>
      </w:r>
      <w:proofErr w:type="spellEnd"/>
      <w:r w:rsidRPr="002C031F">
        <w:rPr>
          <w:w w:val="110"/>
          <w:sz w:val="20"/>
        </w:rPr>
        <w:t xml:space="preserve">, </w:t>
      </w:r>
      <w:proofErr w:type="spellStart"/>
      <w:r w:rsidRPr="002C031F">
        <w:rPr>
          <w:w w:val="110"/>
          <w:sz w:val="20"/>
        </w:rPr>
        <w:t>що</w:t>
      </w:r>
      <w:proofErr w:type="spellEnd"/>
      <w:r w:rsidRPr="002C031F">
        <w:rPr>
          <w:w w:val="110"/>
          <w:sz w:val="20"/>
        </w:rPr>
        <w:t xml:space="preserve"> </w:t>
      </w:r>
      <w:proofErr w:type="spellStart"/>
      <w:r w:rsidRPr="002C031F">
        <w:rPr>
          <w:w w:val="110"/>
          <w:sz w:val="20"/>
        </w:rPr>
        <w:t>зумовлюють</w:t>
      </w:r>
      <w:proofErr w:type="spellEnd"/>
      <w:r w:rsidRPr="002C031F">
        <w:rPr>
          <w:w w:val="110"/>
          <w:sz w:val="20"/>
        </w:rPr>
        <w:t xml:space="preserve"> </w:t>
      </w:r>
      <w:r w:rsidRPr="002C031F">
        <w:rPr>
          <w:w w:val="110"/>
          <w:sz w:val="20"/>
          <w:lang w:val="uk-UA"/>
        </w:rPr>
        <w:t>стійкість</w:t>
      </w:r>
      <w:r w:rsidRPr="002C031F">
        <w:rPr>
          <w:w w:val="110"/>
          <w:sz w:val="20"/>
        </w:rPr>
        <w:t xml:space="preserve">, </w:t>
      </w:r>
      <w:proofErr w:type="spellStart"/>
      <w:r w:rsidRPr="002C031F">
        <w:rPr>
          <w:w w:val="110"/>
          <w:sz w:val="20"/>
        </w:rPr>
        <w:t>результатами</w:t>
      </w:r>
      <w:proofErr w:type="spellEnd"/>
      <w:r w:rsidRPr="002C031F">
        <w:rPr>
          <w:w w:val="110"/>
          <w:sz w:val="20"/>
        </w:rPr>
        <w:t xml:space="preserve"> </w:t>
      </w:r>
      <w:proofErr w:type="spellStart"/>
      <w:r w:rsidRPr="002C031F">
        <w:rPr>
          <w:w w:val="110"/>
          <w:sz w:val="20"/>
        </w:rPr>
        <w:t>фенотипового</w:t>
      </w:r>
      <w:proofErr w:type="spellEnd"/>
      <w:r w:rsidRPr="002C031F">
        <w:rPr>
          <w:w w:val="110"/>
          <w:sz w:val="20"/>
        </w:rPr>
        <w:t xml:space="preserve"> Т</w:t>
      </w:r>
      <w:r w:rsidRPr="002C031F">
        <w:rPr>
          <w:w w:val="110"/>
          <w:sz w:val="20"/>
          <w:lang w:val="uk-UA"/>
        </w:rPr>
        <w:t>М</w:t>
      </w:r>
      <w:r w:rsidRPr="002C031F">
        <w:rPr>
          <w:w w:val="110"/>
          <w:sz w:val="20"/>
        </w:rPr>
        <w:t xml:space="preserve">Ч та </w:t>
      </w:r>
      <w:proofErr w:type="spellStart"/>
      <w:r w:rsidRPr="002C031F">
        <w:rPr>
          <w:w w:val="110"/>
          <w:sz w:val="20"/>
        </w:rPr>
        <w:t>результатами</w:t>
      </w:r>
      <w:proofErr w:type="spellEnd"/>
      <w:r w:rsidRPr="002C031F">
        <w:rPr>
          <w:w w:val="110"/>
          <w:sz w:val="20"/>
        </w:rPr>
        <w:t xml:space="preserve"> </w:t>
      </w:r>
      <w:r>
        <w:rPr>
          <w:w w:val="110"/>
          <w:sz w:val="20"/>
          <w:lang w:val="uk-UA"/>
        </w:rPr>
        <w:t>лікування</w:t>
      </w:r>
      <w:r w:rsidRPr="002C031F">
        <w:rPr>
          <w:w w:val="110"/>
          <w:sz w:val="20"/>
        </w:rPr>
        <w:t xml:space="preserve"> </w:t>
      </w:r>
      <w:proofErr w:type="spellStart"/>
      <w:r w:rsidRPr="002C031F">
        <w:rPr>
          <w:w w:val="110"/>
          <w:sz w:val="20"/>
        </w:rPr>
        <w:t>пацієнтів</w:t>
      </w:r>
      <w:proofErr w:type="spellEnd"/>
      <w:r w:rsidRPr="002C031F">
        <w:rPr>
          <w:w w:val="110"/>
          <w:sz w:val="20"/>
        </w:rPr>
        <w:t>.</w:t>
      </w:r>
    </w:p>
    <w:p w14:paraId="63B0724D" w14:textId="77777777" w:rsidR="008A0E77" w:rsidRPr="00392DCF" w:rsidRDefault="008A0E77" w:rsidP="004A2937">
      <w:pPr>
        <w:pStyle w:val="a4"/>
        <w:numPr>
          <w:ilvl w:val="0"/>
          <w:numId w:val="42"/>
        </w:numPr>
        <w:tabs>
          <w:tab w:val="left" w:pos="1276"/>
        </w:tabs>
        <w:spacing w:before="2" w:line="276" w:lineRule="auto"/>
        <w:ind w:left="993" w:right="2"/>
        <w:rPr>
          <w:sz w:val="20"/>
          <w:lang w:val="ru-RU"/>
        </w:rPr>
      </w:pPr>
      <w:proofErr w:type="spellStart"/>
      <w:r w:rsidRPr="006B6651">
        <w:rPr>
          <w:w w:val="110"/>
          <w:sz w:val="20"/>
          <w:lang w:val="ru-RU"/>
        </w:rPr>
        <w:t>Поглиблення</w:t>
      </w:r>
      <w:proofErr w:type="spellEnd"/>
      <w:r w:rsidRPr="006B6651">
        <w:rPr>
          <w:w w:val="110"/>
          <w:sz w:val="20"/>
          <w:lang w:val="ru-RU"/>
        </w:rPr>
        <w:t xml:space="preserve"> </w:t>
      </w:r>
      <w:proofErr w:type="spellStart"/>
      <w:r w:rsidRPr="006B6651">
        <w:rPr>
          <w:w w:val="110"/>
          <w:sz w:val="20"/>
          <w:lang w:val="ru-RU"/>
        </w:rPr>
        <w:t>знань</w:t>
      </w:r>
      <w:proofErr w:type="spellEnd"/>
      <w:r w:rsidRPr="006B6651">
        <w:rPr>
          <w:w w:val="110"/>
          <w:sz w:val="20"/>
          <w:lang w:val="ru-RU"/>
        </w:rPr>
        <w:t xml:space="preserve"> щодо </w:t>
      </w:r>
      <w:proofErr w:type="spellStart"/>
      <w:r w:rsidRPr="006B6651">
        <w:rPr>
          <w:w w:val="110"/>
          <w:sz w:val="20"/>
          <w:lang w:val="ru-RU"/>
        </w:rPr>
        <w:t>кореляції</w:t>
      </w:r>
      <w:proofErr w:type="spellEnd"/>
      <w:r w:rsidRPr="006B6651">
        <w:rPr>
          <w:w w:val="110"/>
          <w:sz w:val="20"/>
          <w:lang w:val="ru-RU"/>
        </w:rPr>
        <w:t xml:space="preserve"> </w:t>
      </w:r>
      <w:proofErr w:type="spellStart"/>
      <w:r w:rsidRPr="006B6651">
        <w:rPr>
          <w:w w:val="110"/>
          <w:sz w:val="20"/>
          <w:lang w:val="ru-RU"/>
        </w:rPr>
        <w:t>між</w:t>
      </w:r>
      <w:proofErr w:type="spellEnd"/>
      <w:r w:rsidRPr="006B6651">
        <w:rPr>
          <w:w w:val="110"/>
          <w:sz w:val="20"/>
          <w:lang w:val="ru-RU"/>
        </w:rPr>
        <w:t xml:space="preserve"> </w:t>
      </w:r>
      <w:proofErr w:type="spellStart"/>
      <w:r w:rsidRPr="006B6651">
        <w:rPr>
          <w:w w:val="110"/>
          <w:sz w:val="20"/>
          <w:lang w:val="ru-RU"/>
        </w:rPr>
        <w:t>наявністю</w:t>
      </w:r>
      <w:proofErr w:type="spellEnd"/>
      <w:r w:rsidRPr="006B6651">
        <w:rPr>
          <w:w w:val="110"/>
          <w:sz w:val="20"/>
          <w:lang w:val="ru-RU"/>
        </w:rPr>
        <w:t xml:space="preserve"> </w:t>
      </w:r>
      <w:proofErr w:type="spellStart"/>
      <w:r w:rsidRPr="006B6651">
        <w:rPr>
          <w:w w:val="110"/>
          <w:sz w:val="20"/>
          <w:lang w:val="ru-RU"/>
        </w:rPr>
        <w:t>специфічних</w:t>
      </w:r>
      <w:proofErr w:type="spellEnd"/>
      <w:r w:rsidRPr="006B6651">
        <w:rPr>
          <w:w w:val="110"/>
          <w:sz w:val="20"/>
          <w:lang w:val="ru-RU"/>
        </w:rPr>
        <w:t xml:space="preserve"> </w:t>
      </w:r>
      <w:proofErr w:type="spellStart"/>
      <w:r w:rsidRPr="006B6651">
        <w:rPr>
          <w:w w:val="110"/>
          <w:sz w:val="20"/>
          <w:lang w:val="ru-RU"/>
        </w:rPr>
        <w:t>мутацій</w:t>
      </w:r>
      <w:proofErr w:type="spellEnd"/>
      <w:r w:rsidRPr="006B6651">
        <w:rPr>
          <w:w w:val="110"/>
          <w:sz w:val="20"/>
          <w:lang w:val="ru-RU"/>
        </w:rPr>
        <w:t xml:space="preserve">, </w:t>
      </w:r>
      <w:proofErr w:type="spellStart"/>
      <w:r w:rsidRPr="006B6651">
        <w:rPr>
          <w:w w:val="110"/>
          <w:sz w:val="20"/>
          <w:lang w:val="ru-RU"/>
        </w:rPr>
        <w:t>виявлених</w:t>
      </w:r>
      <w:proofErr w:type="spellEnd"/>
      <w:r w:rsidRPr="006B6651">
        <w:rPr>
          <w:w w:val="110"/>
          <w:sz w:val="20"/>
          <w:lang w:val="ru-RU"/>
        </w:rPr>
        <w:t xml:space="preserve"> за </w:t>
      </w:r>
      <w:proofErr w:type="spellStart"/>
      <w:r w:rsidRPr="006B6651">
        <w:rPr>
          <w:w w:val="110"/>
          <w:sz w:val="20"/>
          <w:lang w:val="ru-RU"/>
        </w:rPr>
        <w:t>допомогою</w:t>
      </w:r>
      <w:proofErr w:type="spellEnd"/>
      <w:r w:rsidRPr="006B6651">
        <w:rPr>
          <w:w w:val="110"/>
          <w:sz w:val="20"/>
          <w:lang w:val="ru-RU"/>
        </w:rPr>
        <w:t xml:space="preserve"> </w:t>
      </w:r>
      <w:r w:rsidRPr="002C031F">
        <w:rPr>
          <w:w w:val="110"/>
          <w:sz w:val="20"/>
        </w:rPr>
        <w:t>SL</w:t>
      </w:r>
      <w:r w:rsidRPr="008A0E77">
        <w:rPr>
          <w:w w:val="110"/>
          <w:sz w:val="20"/>
          <w:lang w:val="ru-RU"/>
        </w:rPr>
        <w:t>-</w:t>
      </w:r>
      <w:r w:rsidRPr="002C031F">
        <w:rPr>
          <w:w w:val="110"/>
          <w:sz w:val="20"/>
        </w:rPr>
        <w:t>LPA</w:t>
      </w:r>
      <w:r w:rsidRPr="008A0E77">
        <w:rPr>
          <w:w w:val="110"/>
          <w:sz w:val="20"/>
          <w:lang w:val="ru-RU"/>
        </w:rPr>
        <w:t xml:space="preserve">, та </w:t>
      </w:r>
      <w:proofErr w:type="spellStart"/>
      <w:r w:rsidRPr="008A0E77">
        <w:rPr>
          <w:w w:val="110"/>
          <w:sz w:val="20"/>
          <w:lang w:val="ru-RU"/>
        </w:rPr>
        <w:t>мінімальними</w:t>
      </w:r>
      <w:proofErr w:type="spellEnd"/>
      <w:r w:rsidRPr="008A0E77">
        <w:rPr>
          <w:w w:val="110"/>
          <w:sz w:val="20"/>
          <w:lang w:val="ru-RU"/>
        </w:rPr>
        <w:t xml:space="preserve"> </w:t>
      </w:r>
      <w:proofErr w:type="spellStart"/>
      <w:r w:rsidRPr="008A0E77">
        <w:rPr>
          <w:w w:val="110"/>
          <w:sz w:val="20"/>
          <w:lang w:val="ru-RU"/>
        </w:rPr>
        <w:t>інгібуючими</w:t>
      </w:r>
      <w:proofErr w:type="spellEnd"/>
      <w:r w:rsidRPr="008A0E77">
        <w:rPr>
          <w:w w:val="110"/>
          <w:sz w:val="20"/>
          <w:lang w:val="ru-RU"/>
        </w:rPr>
        <w:t xml:space="preserve"> </w:t>
      </w:r>
      <w:proofErr w:type="spellStart"/>
      <w:r w:rsidRPr="008A0E77">
        <w:rPr>
          <w:w w:val="110"/>
          <w:sz w:val="20"/>
          <w:lang w:val="ru-RU"/>
        </w:rPr>
        <w:t>концентраціями</w:t>
      </w:r>
      <w:proofErr w:type="spellEnd"/>
      <w:r w:rsidRPr="008A0E77">
        <w:rPr>
          <w:w w:val="110"/>
          <w:sz w:val="20"/>
          <w:lang w:val="ru-RU"/>
        </w:rPr>
        <w:t xml:space="preserve"> для </w:t>
      </w:r>
      <w:proofErr w:type="spellStart"/>
      <w:r w:rsidRPr="008A0E77">
        <w:rPr>
          <w:w w:val="110"/>
          <w:sz w:val="20"/>
          <w:lang w:val="ru-RU"/>
        </w:rPr>
        <w:t>окремих</w:t>
      </w:r>
      <w:proofErr w:type="spellEnd"/>
      <w:r w:rsidRPr="008A0E77">
        <w:rPr>
          <w:w w:val="110"/>
          <w:sz w:val="20"/>
          <w:lang w:val="ru-RU"/>
        </w:rPr>
        <w:t xml:space="preserve"> </w:t>
      </w:r>
      <w:proofErr w:type="spellStart"/>
      <w:r w:rsidRPr="008A0E77">
        <w:rPr>
          <w:w w:val="110"/>
          <w:sz w:val="20"/>
          <w:lang w:val="ru-RU"/>
        </w:rPr>
        <w:t>препаратів</w:t>
      </w:r>
      <w:proofErr w:type="spellEnd"/>
      <w:r w:rsidRPr="008A0E77">
        <w:rPr>
          <w:w w:val="110"/>
          <w:sz w:val="20"/>
          <w:lang w:val="ru-RU"/>
        </w:rPr>
        <w:t xml:space="preserve"> у межах </w:t>
      </w:r>
      <w:proofErr w:type="spellStart"/>
      <w:r w:rsidRPr="008A0E77">
        <w:rPr>
          <w:w w:val="110"/>
          <w:sz w:val="20"/>
          <w:lang w:val="ru-RU"/>
        </w:rPr>
        <w:t>класів</w:t>
      </w:r>
      <w:proofErr w:type="spellEnd"/>
      <w:r w:rsidRPr="008A0E77">
        <w:rPr>
          <w:w w:val="110"/>
          <w:sz w:val="20"/>
          <w:lang w:val="ru-RU"/>
        </w:rPr>
        <w:t xml:space="preserve"> фторхінолонів та ІПДР.</w:t>
      </w:r>
    </w:p>
    <w:p w14:paraId="71303844" w14:textId="77777777" w:rsidR="00392DCF" w:rsidRPr="008A0E77" w:rsidRDefault="00392DCF" w:rsidP="00392DCF">
      <w:pPr>
        <w:pStyle w:val="a4"/>
        <w:tabs>
          <w:tab w:val="left" w:pos="1985"/>
          <w:tab w:val="left" w:pos="2268"/>
        </w:tabs>
        <w:spacing w:before="2" w:line="276" w:lineRule="auto"/>
        <w:ind w:left="993" w:right="2" w:firstLine="0"/>
        <w:rPr>
          <w:sz w:val="20"/>
          <w:lang w:val="ru-RU"/>
        </w:rPr>
      </w:pPr>
    </w:p>
    <w:p w14:paraId="031DDFF3" w14:textId="71EB8296" w:rsidR="008A0E77" w:rsidRPr="00392DCF" w:rsidRDefault="008A0E77" w:rsidP="00392DCF">
      <w:pPr>
        <w:tabs>
          <w:tab w:val="left" w:pos="1701"/>
        </w:tabs>
        <w:spacing w:before="3"/>
        <w:ind w:left="567" w:right="2"/>
        <w:rPr>
          <w:sz w:val="20"/>
          <w:lang w:val="ru-RU"/>
        </w:rPr>
      </w:pPr>
      <w:proofErr w:type="spellStart"/>
      <w:r w:rsidRPr="00392DCF">
        <w:rPr>
          <w:w w:val="110"/>
          <w:sz w:val="20"/>
          <w:lang w:val="ru-RU"/>
        </w:rPr>
        <w:t>Визначення</w:t>
      </w:r>
      <w:proofErr w:type="spellEnd"/>
      <w:r w:rsidRPr="00392DCF">
        <w:rPr>
          <w:w w:val="110"/>
          <w:sz w:val="20"/>
          <w:lang w:val="ru-RU"/>
        </w:rPr>
        <w:t xml:space="preserve"> </w:t>
      </w:r>
      <w:proofErr w:type="spellStart"/>
      <w:r w:rsidRPr="00392DCF">
        <w:rPr>
          <w:w w:val="110"/>
          <w:sz w:val="20"/>
          <w:lang w:val="ru-RU"/>
        </w:rPr>
        <w:t>межі</w:t>
      </w:r>
      <w:proofErr w:type="spellEnd"/>
      <w:r w:rsidRPr="00392DCF">
        <w:rPr>
          <w:w w:val="110"/>
          <w:sz w:val="20"/>
          <w:lang w:val="ru-RU"/>
        </w:rPr>
        <w:t xml:space="preserve"> виявлення </w:t>
      </w:r>
      <w:r w:rsidRPr="00392DCF">
        <w:rPr>
          <w:w w:val="110"/>
          <w:sz w:val="20"/>
        </w:rPr>
        <w:t>SL</w:t>
      </w:r>
      <w:r w:rsidRPr="00392DCF">
        <w:rPr>
          <w:w w:val="110"/>
          <w:sz w:val="20"/>
          <w:lang w:val="ru-RU"/>
        </w:rPr>
        <w:t>-</w:t>
      </w:r>
      <w:r w:rsidRPr="00392DCF">
        <w:rPr>
          <w:w w:val="110"/>
          <w:sz w:val="20"/>
        </w:rPr>
        <w:t>LPA</w:t>
      </w:r>
      <w:r w:rsidRPr="00392DCF">
        <w:rPr>
          <w:w w:val="110"/>
          <w:sz w:val="20"/>
          <w:lang w:val="ru-RU"/>
        </w:rPr>
        <w:t xml:space="preserve"> для виявлення </w:t>
      </w:r>
      <w:proofErr w:type="spellStart"/>
      <w:r w:rsidRPr="00392DCF">
        <w:rPr>
          <w:w w:val="110"/>
          <w:sz w:val="20"/>
          <w:lang w:val="ru-RU"/>
        </w:rPr>
        <w:t>гетерорезистентності</w:t>
      </w:r>
      <w:proofErr w:type="spellEnd"/>
      <w:r w:rsidRPr="00392DCF">
        <w:rPr>
          <w:w w:val="110"/>
          <w:sz w:val="20"/>
          <w:lang w:val="ru-RU"/>
        </w:rPr>
        <w:t>.</w:t>
      </w:r>
    </w:p>
    <w:p w14:paraId="2C2516F0" w14:textId="77777777" w:rsidR="008A0E77" w:rsidRPr="006B6651" w:rsidRDefault="008A0E77" w:rsidP="004A2937">
      <w:pPr>
        <w:pStyle w:val="a4"/>
        <w:numPr>
          <w:ilvl w:val="0"/>
          <w:numId w:val="42"/>
        </w:numPr>
        <w:tabs>
          <w:tab w:val="left" w:pos="2127"/>
        </w:tabs>
        <w:spacing w:before="42" w:line="276" w:lineRule="auto"/>
        <w:ind w:left="993" w:right="2"/>
        <w:rPr>
          <w:sz w:val="20"/>
          <w:lang w:val="ru-RU"/>
        </w:rPr>
      </w:pPr>
      <w:proofErr w:type="spellStart"/>
      <w:r w:rsidRPr="006B6651">
        <w:rPr>
          <w:w w:val="110"/>
          <w:sz w:val="20"/>
          <w:lang w:val="ru-RU"/>
        </w:rPr>
        <w:t>Збір</w:t>
      </w:r>
      <w:proofErr w:type="spellEnd"/>
      <w:r w:rsidRPr="006B6651">
        <w:rPr>
          <w:w w:val="110"/>
          <w:sz w:val="20"/>
          <w:lang w:val="ru-RU"/>
        </w:rPr>
        <w:t xml:space="preserve"> </w:t>
      </w:r>
      <w:proofErr w:type="spellStart"/>
      <w:r w:rsidRPr="006B6651">
        <w:rPr>
          <w:w w:val="110"/>
          <w:sz w:val="20"/>
          <w:lang w:val="ru-RU"/>
        </w:rPr>
        <w:t>додаткових</w:t>
      </w:r>
      <w:proofErr w:type="spellEnd"/>
      <w:r w:rsidRPr="006B6651">
        <w:rPr>
          <w:w w:val="110"/>
          <w:sz w:val="20"/>
          <w:lang w:val="ru-RU"/>
        </w:rPr>
        <w:t xml:space="preserve"> </w:t>
      </w:r>
      <w:proofErr w:type="spellStart"/>
      <w:r w:rsidRPr="006B6651">
        <w:rPr>
          <w:w w:val="110"/>
          <w:sz w:val="20"/>
          <w:lang w:val="ru-RU"/>
        </w:rPr>
        <w:t>доказових</w:t>
      </w:r>
      <w:proofErr w:type="spellEnd"/>
      <w:r w:rsidRPr="006B6651">
        <w:rPr>
          <w:w w:val="110"/>
          <w:sz w:val="20"/>
          <w:lang w:val="ru-RU"/>
        </w:rPr>
        <w:t xml:space="preserve"> </w:t>
      </w:r>
      <w:proofErr w:type="spellStart"/>
      <w:r w:rsidRPr="006B6651">
        <w:rPr>
          <w:w w:val="110"/>
          <w:sz w:val="20"/>
          <w:lang w:val="ru-RU"/>
        </w:rPr>
        <w:t>даних</w:t>
      </w:r>
      <w:proofErr w:type="spellEnd"/>
      <w:r w:rsidRPr="006B6651">
        <w:rPr>
          <w:w w:val="110"/>
          <w:sz w:val="20"/>
          <w:lang w:val="ru-RU"/>
        </w:rPr>
        <w:t xml:space="preserve"> щодо </w:t>
      </w:r>
      <w:proofErr w:type="spellStart"/>
      <w:r w:rsidRPr="006B6651">
        <w:rPr>
          <w:w w:val="110"/>
          <w:sz w:val="20"/>
          <w:lang w:val="ru-RU"/>
        </w:rPr>
        <w:t>впливу</w:t>
      </w:r>
      <w:proofErr w:type="spellEnd"/>
      <w:r w:rsidRPr="006B6651">
        <w:rPr>
          <w:w w:val="110"/>
          <w:sz w:val="20"/>
          <w:lang w:val="ru-RU"/>
        </w:rPr>
        <w:t xml:space="preserve"> </w:t>
      </w:r>
      <w:r w:rsidRPr="002C031F">
        <w:rPr>
          <w:w w:val="110"/>
          <w:sz w:val="20"/>
        </w:rPr>
        <w:t>MTBDR</w:t>
      </w:r>
      <w:r w:rsidRPr="002C031F">
        <w:rPr>
          <w:i/>
          <w:w w:val="110"/>
          <w:sz w:val="20"/>
        </w:rPr>
        <w:t>sl</w:t>
      </w:r>
      <w:r w:rsidRPr="006B6651">
        <w:rPr>
          <w:w w:val="110"/>
          <w:sz w:val="20"/>
          <w:lang w:val="ru-RU"/>
        </w:rPr>
        <w:t xml:space="preserve"> на </w:t>
      </w:r>
      <w:r w:rsidRPr="002C031F">
        <w:rPr>
          <w:w w:val="110"/>
          <w:sz w:val="20"/>
          <w:lang w:val="uk-UA"/>
        </w:rPr>
        <w:t xml:space="preserve">призначення належного лікування </w:t>
      </w:r>
      <w:r w:rsidRPr="006B6651">
        <w:rPr>
          <w:w w:val="110"/>
          <w:sz w:val="20"/>
          <w:lang w:val="ru-RU"/>
        </w:rPr>
        <w:t xml:space="preserve">МЛС-ТБ та </w:t>
      </w:r>
      <w:proofErr w:type="spellStart"/>
      <w:r w:rsidRPr="006B6651">
        <w:rPr>
          <w:w w:val="110"/>
          <w:sz w:val="20"/>
          <w:lang w:val="ru-RU"/>
        </w:rPr>
        <w:t>смертність</w:t>
      </w:r>
      <w:proofErr w:type="spellEnd"/>
      <w:r w:rsidRPr="006B6651">
        <w:rPr>
          <w:w w:val="110"/>
          <w:sz w:val="20"/>
          <w:lang w:val="ru-RU"/>
        </w:rPr>
        <w:t>.</w:t>
      </w:r>
    </w:p>
    <w:p w14:paraId="25EDCEBB" w14:textId="77777777" w:rsidR="008A0E77" w:rsidRPr="006B6651" w:rsidRDefault="008A0E77" w:rsidP="004A2937">
      <w:pPr>
        <w:pStyle w:val="a4"/>
        <w:numPr>
          <w:ilvl w:val="0"/>
          <w:numId w:val="42"/>
        </w:numPr>
        <w:tabs>
          <w:tab w:val="left" w:pos="2127"/>
        </w:tabs>
        <w:spacing w:before="42" w:line="276" w:lineRule="auto"/>
        <w:ind w:left="993" w:right="2"/>
        <w:rPr>
          <w:sz w:val="20"/>
          <w:lang w:val="ru-RU"/>
        </w:rPr>
      </w:pPr>
      <w:r w:rsidRPr="002C031F">
        <w:rPr>
          <w:w w:val="110"/>
          <w:sz w:val="20"/>
          <w:lang w:val="uk-UA"/>
        </w:rPr>
        <w:t xml:space="preserve">Сприяння </w:t>
      </w:r>
      <w:proofErr w:type="spellStart"/>
      <w:r w:rsidRPr="006B6651">
        <w:rPr>
          <w:w w:val="110"/>
          <w:sz w:val="20"/>
          <w:lang w:val="ru-RU"/>
        </w:rPr>
        <w:t>дотрим</w:t>
      </w:r>
      <w:r w:rsidRPr="002C031F">
        <w:rPr>
          <w:w w:val="110"/>
          <w:sz w:val="20"/>
          <w:lang w:val="uk-UA"/>
        </w:rPr>
        <w:t>анню</w:t>
      </w:r>
      <w:proofErr w:type="spellEnd"/>
      <w:r w:rsidRPr="006B6651">
        <w:rPr>
          <w:w w:val="110"/>
          <w:sz w:val="20"/>
          <w:lang w:val="ru-RU"/>
        </w:rPr>
        <w:t xml:space="preserve"> </w:t>
      </w:r>
      <w:proofErr w:type="spellStart"/>
      <w:r w:rsidRPr="006B6651">
        <w:rPr>
          <w:w w:val="110"/>
          <w:sz w:val="20"/>
          <w:lang w:val="ru-RU"/>
        </w:rPr>
        <w:t>рекомендацій</w:t>
      </w:r>
      <w:proofErr w:type="spellEnd"/>
      <w:r w:rsidRPr="006B6651">
        <w:rPr>
          <w:w w:val="110"/>
          <w:sz w:val="20"/>
          <w:lang w:val="ru-RU"/>
        </w:rPr>
        <w:t xml:space="preserve">, </w:t>
      </w:r>
      <w:proofErr w:type="spellStart"/>
      <w:r w:rsidRPr="006B6651">
        <w:rPr>
          <w:w w:val="110"/>
          <w:sz w:val="20"/>
          <w:lang w:val="ru-RU"/>
        </w:rPr>
        <w:t>викладених</w:t>
      </w:r>
      <w:proofErr w:type="spellEnd"/>
      <w:r w:rsidRPr="006B6651">
        <w:rPr>
          <w:w w:val="110"/>
          <w:sz w:val="20"/>
          <w:lang w:val="ru-RU"/>
        </w:rPr>
        <w:t xml:space="preserve"> у </w:t>
      </w:r>
      <w:proofErr w:type="spellStart"/>
      <w:r w:rsidRPr="006B6651">
        <w:rPr>
          <w:w w:val="110"/>
          <w:sz w:val="20"/>
          <w:lang w:val="ru-RU"/>
        </w:rPr>
        <w:t>положеннях</w:t>
      </w:r>
      <w:proofErr w:type="spellEnd"/>
      <w:r w:rsidRPr="006B6651">
        <w:rPr>
          <w:w w:val="110"/>
          <w:sz w:val="20"/>
          <w:lang w:val="ru-RU"/>
        </w:rPr>
        <w:t xml:space="preserve"> </w:t>
      </w:r>
      <w:r w:rsidRPr="002C031F">
        <w:rPr>
          <w:w w:val="110"/>
          <w:sz w:val="20"/>
        </w:rPr>
        <w:t>STARD</w:t>
      </w:r>
      <w:r w:rsidRPr="006B6651">
        <w:rPr>
          <w:w w:val="110"/>
          <w:sz w:val="20"/>
          <w:lang w:val="ru-RU"/>
        </w:rPr>
        <w:t xml:space="preserve"> </w:t>
      </w:r>
      <w:r w:rsidRPr="006B6651">
        <w:rPr>
          <w:i/>
          <w:w w:val="110"/>
          <w:sz w:val="20"/>
          <w:lang w:val="ru-RU"/>
        </w:rPr>
        <w:t>(11)</w:t>
      </w:r>
      <w:r w:rsidRPr="006B6651">
        <w:rPr>
          <w:w w:val="110"/>
          <w:sz w:val="20"/>
          <w:lang w:val="ru-RU"/>
        </w:rPr>
        <w:t xml:space="preserve">, </w:t>
      </w:r>
      <w:r w:rsidRPr="002C031F">
        <w:rPr>
          <w:w w:val="110"/>
          <w:sz w:val="20"/>
          <w:lang w:val="uk-UA"/>
        </w:rPr>
        <w:t xml:space="preserve">під час проведення майбутніх досліджень </w:t>
      </w:r>
      <w:r w:rsidRPr="006B6651">
        <w:rPr>
          <w:w w:val="110"/>
          <w:sz w:val="20"/>
          <w:lang w:val="ru-RU"/>
        </w:rPr>
        <w:t xml:space="preserve">для </w:t>
      </w:r>
      <w:proofErr w:type="spellStart"/>
      <w:r w:rsidRPr="006B6651">
        <w:rPr>
          <w:w w:val="110"/>
          <w:sz w:val="20"/>
          <w:lang w:val="ru-RU"/>
        </w:rPr>
        <w:t>покращення</w:t>
      </w:r>
      <w:proofErr w:type="spellEnd"/>
      <w:r w:rsidRPr="006B6651">
        <w:rPr>
          <w:w w:val="110"/>
          <w:sz w:val="20"/>
          <w:lang w:val="ru-RU"/>
        </w:rPr>
        <w:t xml:space="preserve"> </w:t>
      </w:r>
      <w:proofErr w:type="spellStart"/>
      <w:r w:rsidRPr="006B6651">
        <w:rPr>
          <w:w w:val="110"/>
          <w:sz w:val="20"/>
          <w:lang w:val="ru-RU"/>
        </w:rPr>
        <w:t>якості</w:t>
      </w:r>
      <w:proofErr w:type="spellEnd"/>
      <w:r w:rsidRPr="006B6651">
        <w:rPr>
          <w:w w:val="110"/>
          <w:sz w:val="20"/>
          <w:lang w:val="ru-RU"/>
        </w:rPr>
        <w:t xml:space="preserve"> </w:t>
      </w:r>
      <w:proofErr w:type="spellStart"/>
      <w:r w:rsidRPr="006B6651">
        <w:rPr>
          <w:w w:val="110"/>
          <w:sz w:val="20"/>
          <w:lang w:val="ru-RU"/>
        </w:rPr>
        <w:t>звітування</w:t>
      </w:r>
      <w:proofErr w:type="spellEnd"/>
      <w:r w:rsidRPr="006B6651">
        <w:rPr>
          <w:w w:val="110"/>
          <w:sz w:val="20"/>
          <w:lang w:val="ru-RU"/>
        </w:rPr>
        <w:t>.</w:t>
      </w:r>
    </w:p>
    <w:p w14:paraId="2F20A8BD" w14:textId="77777777" w:rsidR="008A0E77" w:rsidRPr="006B6651" w:rsidRDefault="008A0E77" w:rsidP="004A2937">
      <w:pPr>
        <w:pStyle w:val="a4"/>
        <w:numPr>
          <w:ilvl w:val="0"/>
          <w:numId w:val="42"/>
        </w:numPr>
        <w:tabs>
          <w:tab w:val="left" w:pos="2127"/>
        </w:tabs>
        <w:spacing w:before="41" w:line="276" w:lineRule="auto"/>
        <w:ind w:left="993" w:right="2"/>
        <w:jc w:val="left"/>
        <w:rPr>
          <w:sz w:val="20"/>
          <w:lang w:val="ru-RU"/>
        </w:rPr>
      </w:pPr>
      <w:proofErr w:type="spellStart"/>
      <w:r w:rsidRPr="006B6651">
        <w:rPr>
          <w:w w:val="110"/>
          <w:sz w:val="20"/>
          <w:lang w:val="ru-RU"/>
        </w:rPr>
        <w:t>Проведення</w:t>
      </w:r>
      <w:proofErr w:type="spellEnd"/>
      <w:r w:rsidRPr="006B6651">
        <w:rPr>
          <w:w w:val="110"/>
          <w:sz w:val="20"/>
          <w:lang w:val="ru-RU"/>
        </w:rPr>
        <w:t xml:space="preserve"> для </w:t>
      </w:r>
      <w:r w:rsidRPr="002C031F">
        <w:rPr>
          <w:w w:val="110"/>
          <w:sz w:val="20"/>
          <w:lang w:val="uk-UA"/>
        </w:rPr>
        <w:t xml:space="preserve">кожної </w:t>
      </w:r>
      <w:proofErr w:type="spellStart"/>
      <w:r w:rsidRPr="006B6651">
        <w:rPr>
          <w:w w:val="110"/>
          <w:sz w:val="20"/>
          <w:lang w:val="ru-RU"/>
        </w:rPr>
        <w:t>країни</w:t>
      </w:r>
      <w:proofErr w:type="spellEnd"/>
      <w:r w:rsidRPr="006B6651">
        <w:rPr>
          <w:w w:val="110"/>
          <w:sz w:val="20"/>
          <w:lang w:val="ru-RU"/>
        </w:rPr>
        <w:t xml:space="preserve"> </w:t>
      </w:r>
      <w:proofErr w:type="spellStart"/>
      <w:r w:rsidRPr="006B6651">
        <w:rPr>
          <w:w w:val="110"/>
          <w:sz w:val="20"/>
          <w:lang w:val="ru-RU"/>
        </w:rPr>
        <w:t>аналізів</w:t>
      </w:r>
      <w:proofErr w:type="spellEnd"/>
      <w:r w:rsidRPr="006B6651">
        <w:rPr>
          <w:w w:val="110"/>
          <w:sz w:val="20"/>
          <w:lang w:val="ru-RU"/>
        </w:rPr>
        <w:t xml:space="preserve"> </w:t>
      </w:r>
      <w:proofErr w:type="spellStart"/>
      <w:r w:rsidRPr="006B6651">
        <w:rPr>
          <w:w w:val="110"/>
          <w:sz w:val="20"/>
          <w:lang w:val="ru-RU"/>
        </w:rPr>
        <w:t>економічної</w:t>
      </w:r>
      <w:proofErr w:type="spellEnd"/>
      <w:r w:rsidRPr="006B6651">
        <w:rPr>
          <w:w w:val="110"/>
          <w:sz w:val="20"/>
          <w:lang w:val="ru-RU"/>
        </w:rPr>
        <w:t xml:space="preserve"> </w:t>
      </w:r>
      <w:proofErr w:type="spellStart"/>
      <w:r w:rsidRPr="006B6651">
        <w:rPr>
          <w:w w:val="110"/>
          <w:sz w:val="20"/>
          <w:lang w:val="ru-RU"/>
        </w:rPr>
        <w:t>ефективності</w:t>
      </w:r>
      <w:proofErr w:type="spellEnd"/>
      <w:r w:rsidRPr="006B6651">
        <w:rPr>
          <w:w w:val="110"/>
          <w:sz w:val="20"/>
          <w:lang w:val="ru-RU"/>
        </w:rPr>
        <w:t xml:space="preserve"> та </w:t>
      </w:r>
      <w:proofErr w:type="spellStart"/>
      <w:r w:rsidRPr="006B6651">
        <w:rPr>
          <w:w w:val="110"/>
          <w:sz w:val="20"/>
          <w:lang w:val="ru-RU"/>
        </w:rPr>
        <w:t>аналізів</w:t>
      </w:r>
      <w:proofErr w:type="spellEnd"/>
      <w:r w:rsidRPr="006B6651">
        <w:rPr>
          <w:w w:val="110"/>
          <w:sz w:val="20"/>
          <w:lang w:val="ru-RU"/>
        </w:rPr>
        <w:t xml:space="preserve"> </w:t>
      </w:r>
      <w:proofErr w:type="spellStart"/>
      <w:r w:rsidRPr="006B6651">
        <w:rPr>
          <w:w w:val="110"/>
          <w:sz w:val="20"/>
          <w:lang w:val="ru-RU"/>
        </w:rPr>
        <w:t>витрат</w:t>
      </w:r>
      <w:proofErr w:type="spellEnd"/>
      <w:r w:rsidRPr="006B6651">
        <w:rPr>
          <w:w w:val="110"/>
          <w:sz w:val="20"/>
          <w:lang w:val="ru-RU"/>
        </w:rPr>
        <w:t xml:space="preserve"> і виг</w:t>
      </w:r>
      <w:r w:rsidRPr="002C031F">
        <w:rPr>
          <w:w w:val="110"/>
          <w:sz w:val="20"/>
          <w:lang w:val="uk-UA"/>
        </w:rPr>
        <w:t>о</w:t>
      </w:r>
      <w:r w:rsidRPr="006B6651">
        <w:rPr>
          <w:w w:val="110"/>
          <w:sz w:val="20"/>
          <w:lang w:val="ru-RU"/>
        </w:rPr>
        <w:t xml:space="preserve">д пов’язаних з </w:t>
      </w:r>
      <w:proofErr w:type="spellStart"/>
      <w:r w:rsidRPr="006B6651">
        <w:rPr>
          <w:w w:val="110"/>
          <w:sz w:val="20"/>
          <w:lang w:val="ru-RU"/>
        </w:rPr>
        <w:t>використанням</w:t>
      </w:r>
      <w:proofErr w:type="spellEnd"/>
      <w:r w:rsidRPr="006B6651">
        <w:rPr>
          <w:w w:val="110"/>
          <w:sz w:val="20"/>
          <w:lang w:val="ru-RU"/>
        </w:rPr>
        <w:t xml:space="preserve"> </w:t>
      </w:r>
      <w:r w:rsidRPr="002C031F">
        <w:rPr>
          <w:w w:val="110"/>
          <w:sz w:val="20"/>
        </w:rPr>
        <w:t>SL</w:t>
      </w:r>
      <w:r w:rsidRPr="006B6651">
        <w:rPr>
          <w:w w:val="110"/>
          <w:sz w:val="20"/>
          <w:lang w:val="ru-RU"/>
        </w:rPr>
        <w:t>-</w:t>
      </w:r>
      <w:r w:rsidRPr="002C031F">
        <w:rPr>
          <w:w w:val="110"/>
          <w:sz w:val="20"/>
        </w:rPr>
        <w:t>LPA</w:t>
      </w:r>
      <w:r w:rsidRPr="006B6651">
        <w:rPr>
          <w:w w:val="110"/>
          <w:sz w:val="20"/>
          <w:lang w:val="ru-RU"/>
        </w:rPr>
        <w:t xml:space="preserve"> у </w:t>
      </w:r>
      <w:proofErr w:type="spellStart"/>
      <w:r w:rsidRPr="006B6651">
        <w:rPr>
          <w:w w:val="110"/>
          <w:sz w:val="20"/>
          <w:lang w:val="ru-RU"/>
        </w:rPr>
        <w:t>різних</w:t>
      </w:r>
      <w:proofErr w:type="spellEnd"/>
      <w:r w:rsidRPr="006B6651">
        <w:rPr>
          <w:w w:val="110"/>
          <w:sz w:val="20"/>
          <w:lang w:val="ru-RU"/>
        </w:rPr>
        <w:t xml:space="preserve"> </w:t>
      </w:r>
      <w:r>
        <w:rPr>
          <w:w w:val="110"/>
          <w:sz w:val="20"/>
          <w:lang w:val="uk-UA"/>
        </w:rPr>
        <w:t>місцях</w:t>
      </w:r>
      <w:r w:rsidRPr="006B6651">
        <w:rPr>
          <w:w w:val="110"/>
          <w:sz w:val="20"/>
          <w:lang w:val="ru-RU"/>
        </w:rPr>
        <w:t xml:space="preserve"> </w:t>
      </w:r>
      <w:proofErr w:type="spellStart"/>
      <w:r w:rsidRPr="006B6651">
        <w:rPr>
          <w:w w:val="110"/>
          <w:sz w:val="20"/>
          <w:lang w:val="ru-RU"/>
        </w:rPr>
        <w:t>реалізації</w:t>
      </w:r>
      <w:proofErr w:type="spellEnd"/>
      <w:r w:rsidRPr="006B6651">
        <w:rPr>
          <w:w w:val="110"/>
          <w:sz w:val="20"/>
          <w:lang w:val="ru-RU"/>
        </w:rPr>
        <w:t xml:space="preserve"> програм.</w:t>
      </w:r>
    </w:p>
    <w:p w14:paraId="12F6151B" w14:textId="77777777" w:rsidR="008A0E77" w:rsidRPr="006B6651" w:rsidRDefault="008A0E77" w:rsidP="00392DCF">
      <w:pPr>
        <w:pStyle w:val="a4"/>
        <w:tabs>
          <w:tab w:val="left" w:pos="1701"/>
        </w:tabs>
        <w:spacing w:before="41" w:line="276" w:lineRule="auto"/>
        <w:ind w:right="2" w:firstLine="0"/>
        <w:jc w:val="left"/>
        <w:rPr>
          <w:sz w:val="20"/>
          <w:lang w:val="ru-RU"/>
        </w:rPr>
      </w:pPr>
    </w:p>
    <w:p w14:paraId="2C26F530" w14:textId="620B478D" w:rsidR="008A0E77" w:rsidRPr="006B6651" w:rsidRDefault="008A0E77" w:rsidP="004A2937">
      <w:pPr>
        <w:pStyle w:val="5"/>
        <w:numPr>
          <w:ilvl w:val="2"/>
          <w:numId w:val="41"/>
        </w:numPr>
        <w:tabs>
          <w:tab w:val="left" w:pos="2410"/>
        </w:tabs>
        <w:spacing w:line="235" w:lineRule="auto"/>
        <w:ind w:left="1276" w:right="2"/>
        <w:rPr>
          <w:color w:val="019648"/>
          <w:sz w:val="24"/>
          <w:lang w:val="ru-RU"/>
        </w:rPr>
      </w:pPr>
      <w:r w:rsidRPr="006B6651">
        <w:rPr>
          <w:color w:val="019648"/>
          <w:w w:val="105"/>
          <w:sz w:val="24"/>
          <w:lang w:val="ru-RU"/>
        </w:rPr>
        <w:t xml:space="preserve">ТАНК </w:t>
      </w:r>
      <w:r>
        <w:rPr>
          <w:color w:val="019648"/>
          <w:w w:val="105"/>
          <w:sz w:val="24"/>
          <w:lang w:val="uk-UA"/>
        </w:rPr>
        <w:t xml:space="preserve">високої складності </w:t>
      </w:r>
      <w:r w:rsidRPr="006B6651">
        <w:rPr>
          <w:color w:val="019648"/>
          <w:w w:val="105"/>
          <w:sz w:val="24"/>
          <w:lang w:val="ru-RU"/>
        </w:rPr>
        <w:t xml:space="preserve">на </w:t>
      </w:r>
      <w:proofErr w:type="spellStart"/>
      <w:r w:rsidRPr="006B6651">
        <w:rPr>
          <w:color w:val="019648"/>
          <w:w w:val="105"/>
          <w:sz w:val="24"/>
          <w:lang w:val="ru-RU"/>
        </w:rPr>
        <w:t>основі</w:t>
      </w:r>
      <w:proofErr w:type="spellEnd"/>
      <w:r w:rsidRPr="006B6651">
        <w:rPr>
          <w:color w:val="019648"/>
          <w:w w:val="105"/>
          <w:sz w:val="24"/>
          <w:lang w:val="ru-RU"/>
        </w:rPr>
        <w:t xml:space="preserve"> </w:t>
      </w:r>
      <w:proofErr w:type="spellStart"/>
      <w:r w:rsidRPr="006B6651">
        <w:rPr>
          <w:color w:val="019648"/>
          <w:w w:val="105"/>
          <w:sz w:val="24"/>
          <w:lang w:val="ru-RU"/>
        </w:rPr>
        <w:t>гібридизації</w:t>
      </w:r>
      <w:proofErr w:type="spellEnd"/>
      <w:r w:rsidRPr="006B6651">
        <w:rPr>
          <w:color w:val="019648"/>
          <w:w w:val="105"/>
          <w:sz w:val="24"/>
          <w:lang w:val="ru-RU"/>
        </w:rPr>
        <w:t xml:space="preserve"> для</w:t>
      </w:r>
      <w:r>
        <w:rPr>
          <w:color w:val="019648"/>
          <w:w w:val="105"/>
          <w:sz w:val="24"/>
          <w:lang w:val="uk-UA"/>
        </w:rPr>
        <w:t xml:space="preserve"> </w:t>
      </w:r>
      <w:r w:rsidRPr="006B6651">
        <w:rPr>
          <w:color w:val="019648"/>
          <w:w w:val="105"/>
          <w:sz w:val="24"/>
          <w:lang w:val="ru-RU"/>
        </w:rPr>
        <w:t xml:space="preserve">виявлення </w:t>
      </w:r>
      <w:proofErr w:type="spellStart"/>
      <w:r w:rsidRPr="006B6651">
        <w:rPr>
          <w:color w:val="019648"/>
          <w:w w:val="105"/>
          <w:sz w:val="24"/>
          <w:lang w:val="ru-RU"/>
        </w:rPr>
        <w:t>стійкості</w:t>
      </w:r>
      <w:proofErr w:type="spellEnd"/>
      <w:r w:rsidRPr="006B6651">
        <w:rPr>
          <w:color w:val="019648"/>
          <w:w w:val="105"/>
          <w:sz w:val="24"/>
          <w:lang w:val="ru-RU"/>
        </w:rPr>
        <w:t xml:space="preserve"> до піразинаміду</w:t>
      </w:r>
    </w:p>
    <w:p w14:paraId="6D98FD23" w14:textId="77777777" w:rsidR="008A0E77" w:rsidRPr="006B6651" w:rsidRDefault="008A0E77" w:rsidP="00392DCF">
      <w:pPr>
        <w:pStyle w:val="a3"/>
        <w:spacing w:before="210" w:line="276" w:lineRule="auto"/>
        <w:ind w:left="535" w:right="2"/>
        <w:jc w:val="both"/>
        <w:rPr>
          <w:w w:val="110"/>
          <w:sz w:val="20"/>
          <w:lang w:val="uk-UA"/>
        </w:rPr>
      </w:pPr>
      <w:r w:rsidRPr="006B6651">
        <w:rPr>
          <w:sz w:val="20"/>
          <w:lang w:val="ru-RU"/>
        </w:rPr>
        <w:t xml:space="preserve">Піразинамід </w:t>
      </w:r>
      <w:r w:rsidRPr="002C031F">
        <w:rPr>
          <w:sz w:val="20"/>
          <w:lang w:val="uk-UA"/>
        </w:rPr>
        <w:t>- це</w:t>
      </w:r>
      <w:r w:rsidRPr="006B6651">
        <w:rPr>
          <w:sz w:val="20"/>
          <w:lang w:val="ru-RU"/>
        </w:rPr>
        <w:t xml:space="preserve"> </w:t>
      </w:r>
      <w:proofErr w:type="spellStart"/>
      <w:r w:rsidRPr="006B6651">
        <w:rPr>
          <w:sz w:val="20"/>
          <w:lang w:val="ru-RU"/>
        </w:rPr>
        <w:t>важливи</w:t>
      </w:r>
      <w:proofErr w:type="spellEnd"/>
      <w:r w:rsidRPr="002C031F">
        <w:rPr>
          <w:sz w:val="20"/>
          <w:lang w:val="uk-UA"/>
        </w:rPr>
        <w:t>й</w:t>
      </w:r>
      <w:r w:rsidRPr="006B6651">
        <w:rPr>
          <w:sz w:val="20"/>
          <w:lang w:val="ru-RU"/>
        </w:rPr>
        <w:t xml:space="preserve"> </w:t>
      </w:r>
      <w:proofErr w:type="spellStart"/>
      <w:r w:rsidRPr="006B6651">
        <w:rPr>
          <w:sz w:val="20"/>
          <w:lang w:val="ru-RU"/>
        </w:rPr>
        <w:t>антибіотик</w:t>
      </w:r>
      <w:proofErr w:type="spellEnd"/>
      <w:r w:rsidRPr="006B6651">
        <w:rPr>
          <w:sz w:val="20"/>
          <w:lang w:val="ru-RU"/>
        </w:rPr>
        <w:t xml:space="preserve"> для лікування як </w:t>
      </w:r>
      <w:r w:rsidRPr="00784388">
        <w:rPr>
          <w:sz w:val="20"/>
          <w:lang w:val="uk-UA"/>
        </w:rPr>
        <w:t>лікарсько</w:t>
      </w:r>
      <w:r>
        <w:rPr>
          <w:sz w:val="20"/>
          <w:lang w:val="uk-UA"/>
        </w:rPr>
        <w:t>-</w:t>
      </w:r>
      <w:proofErr w:type="spellStart"/>
      <w:r w:rsidRPr="006B6651">
        <w:rPr>
          <w:sz w:val="20"/>
          <w:lang w:val="ru-RU"/>
        </w:rPr>
        <w:t>чутливого</w:t>
      </w:r>
      <w:proofErr w:type="spellEnd"/>
      <w:r w:rsidRPr="00784388">
        <w:rPr>
          <w:sz w:val="20"/>
          <w:lang w:val="uk-UA"/>
        </w:rPr>
        <w:t xml:space="preserve"> </w:t>
      </w:r>
      <w:r w:rsidRPr="006B6651">
        <w:rPr>
          <w:sz w:val="20"/>
          <w:lang w:val="ru-RU"/>
        </w:rPr>
        <w:t xml:space="preserve">ТБ, так і </w:t>
      </w:r>
      <w:r w:rsidRPr="002C031F">
        <w:rPr>
          <w:sz w:val="20"/>
          <w:lang w:val="uk-UA"/>
        </w:rPr>
        <w:t>ЛС</w:t>
      </w:r>
      <w:r w:rsidRPr="006B6651">
        <w:rPr>
          <w:sz w:val="20"/>
          <w:lang w:val="ru-RU"/>
        </w:rPr>
        <w:t xml:space="preserve">-ТБ </w:t>
      </w:r>
      <w:proofErr w:type="spellStart"/>
      <w:r w:rsidRPr="006B6651">
        <w:rPr>
          <w:sz w:val="20"/>
          <w:lang w:val="ru-RU"/>
        </w:rPr>
        <w:t>завдяки</w:t>
      </w:r>
      <w:proofErr w:type="spellEnd"/>
      <w:r w:rsidRPr="006B6651">
        <w:rPr>
          <w:sz w:val="20"/>
          <w:lang w:val="ru-RU"/>
        </w:rPr>
        <w:t xml:space="preserve"> </w:t>
      </w:r>
      <w:r w:rsidRPr="002C031F">
        <w:rPr>
          <w:sz w:val="20"/>
          <w:lang w:val="uk-UA"/>
        </w:rPr>
        <w:t>йо</w:t>
      </w:r>
      <w:r>
        <w:rPr>
          <w:sz w:val="20"/>
          <w:lang w:val="uk-UA"/>
        </w:rPr>
        <w:t>го</w:t>
      </w:r>
      <w:r w:rsidRPr="002C031F">
        <w:rPr>
          <w:sz w:val="20"/>
          <w:lang w:val="uk-UA"/>
        </w:rPr>
        <w:t xml:space="preserve"> </w:t>
      </w:r>
      <w:proofErr w:type="spellStart"/>
      <w:r w:rsidRPr="006B6651">
        <w:rPr>
          <w:sz w:val="20"/>
          <w:lang w:val="ru-RU"/>
        </w:rPr>
        <w:t>унікальній</w:t>
      </w:r>
      <w:proofErr w:type="spellEnd"/>
      <w:r w:rsidRPr="006B6651">
        <w:rPr>
          <w:sz w:val="20"/>
          <w:lang w:val="ru-RU"/>
        </w:rPr>
        <w:t xml:space="preserve"> </w:t>
      </w:r>
      <w:proofErr w:type="spellStart"/>
      <w:r w:rsidRPr="006B6651">
        <w:rPr>
          <w:sz w:val="20"/>
          <w:lang w:val="ru-RU"/>
        </w:rPr>
        <w:t>здатності</w:t>
      </w:r>
      <w:proofErr w:type="spellEnd"/>
      <w:r w:rsidRPr="006B6651">
        <w:rPr>
          <w:sz w:val="20"/>
          <w:lang w:val="ru-RU"/>
        </w:rPr>
        <w:t xml:space="preserve"> </w:t>
      </w:r>
      <w:proofErr w:type="spellStart"/>
      <w:r w:rsidRPr="006B6651">
        <w:rPr>
          <w:sz w:val="20"/>
          <w:lang w:val="ru-RU"/>
        </w:rPr>
        <w:t>знищувати</w:t>
      </w:r>
      <w:proofErr w:type="spellEnd"/>
      <w:r w:rsidRPr="006B6651">
        <w:rPr>
          <w:sz w:val="20"/>
          <w:lang w:val="ru-RU"/>
        </w:rPr>
        <w:t xml:space="preserve"> </w:t>
      </w:r>
      <w:proofErr w:type="spellStart"/>
      <w:r w:rsidRPr="006B6651">
        <w:rPr>
          <w:sz w:val="20"/>
          <w:lang w:val="ru-RU"/>
        </w:rPr>
        <w:t>персистуючі</w:t>
      </w:r>
      <w:proofErr w:type="spellEnd"/>
      <w:r w:rsidRPr="006B6651">
        <w:rPr>
          <w:sz w:val="20"/>
          <w:lang w:val="ru-RU"/>
        </w:rPr>
        <w:t xml:space="preserve"> </w:t>
      </w:r>
      <w:proofErr w:type="spellStart"/>
      <w:r w:rsidRPr="006B6651">
        <w:rPr>
          <w:sz w:val="20"/>
          <w:lang w:val="ru-RU"/>
        </w:rPr>
        <w:t>бацили</w:t>
      </w:r>
      <w:proofErr w:type="spellEnd"/>
      <w:r w:rsidRPr="006B6651">
        <w:rPr>
          <w:sz w:val="20"/>
          <w:lang w:val="ru-RU"/>
        </w:rPr>
        <w:t xml:space="preserve"> та </w:t>
      </w:r>
      <w:proofErr w:type="spellStart"/>
      <w:r w:rsidRPr="006B6651">
        <w:rPr>
          <w:sz w:val="20"/>
          <w:lang w:val="ru-RU"/>
        </w:rPr>
        <w:t>синергі</w:t>
      </w:r>
      <w:proofErr w:type="spellEnd"/>
      <w:r w:rsidRPr="002C031F">
        <w:rPr>
          <w:sz w:val="20"/>
          <w:lang w:val="uk-UA"/>
        </w:rPr>
        <w:t>й</w:t>
      </w:r>
      <w:r w:rsidRPr="006B6651">
        <w:rPr>
          <w:sz w:val="20"/>
          <w:lang w:val="ru-RU"/>
        </w:rPr>
        <w:t>н</w:t>
      </w:r>
      <w:proofErr w:type="spellStart"/>
      <w:r w:rsidRPr="002C031F">
        <w:rPr>
          <w:sz w:val="20"/>
          <w:lang w:val="uk-UA"/>
        </w:rPr>
        <w:t>ому</w:t>
      </w:r>
      <w:proofErr w:type="spellEnd"/>
      <w:r w:rsidRPr="006B6651">
        <w:rPr>
          <w:sz w:val="20"/>
          <w:lang w:val="ru-RU"/>
        </w:rPr>
        <w:t xml:space="preserve"> </w:t>
      </w:r>
      <w:r w:rsidRPr="002C031F">
        <w:rPr>
          <w:sz w:val="20"/>
          <w:lang w:val="uk-UA"/>
        </w:rPr>
        <w:t xml:space="preserve">ефекту </w:t>
      </w:r>
      <w:r w:rsidRPr="006B6651">
        <w:rPr>
          <w:sz w:val="20"/>
          <w:lang w:val="ru-RU"/>
        </w:rPr>
        <w:t xml:space="preserve">з </w:t>
      </w:r>
      <w:proofErr w:type="spellStart"/>
      <w:r w:rsidRPr="006B6651">
        <w:rPr>
          <w:sz w:val="20"/>
          <w:lang w:val="ru-RU"/>
        </w:rPr>
        <w:t>іншими</w:t>
      </w:r>
      <w:proofErr w:type="spellEnd"/>
      <w:r w:rsidRPr="006B6651">
        <w:rPr>
          <w:sz w:val="20"/>
          <w:lang w:val="ru-RU"/>
        </w:rPr>
        <w:t xml:space="preserve"> </w:t>
      </w:r>
      <w:proofErr w:type="spellStart"/>
      <w:r w:rsidRPr="006B6651">
        <w:rPr>
          <w:sz w:val="20"/>
          <w:lang w:val="ru-RU"/>
        </w:rPr>
        <w:t>антибіотиками</w:t>
      </w:r>
      <w:proofErr w:type="spellEnd"/>
      <w:r w:rsidRPr="006B6651">
        <w:rPr>
          <w:sz w:val="20"/>
          <w:lang w:val="ru-RU"/>
        </w:rPr>
        <w:t>. Моно</w:t>
      </w:r>
      <w:r w:rsidRPr="002C031F">
        <w:rPr>
          <w:sz w:val="20"/>
          <w:lang w:val="uk-UA"/>
        </w:rPr>
        <w:t>резистентність</w:t>
      </w:r>
      <w:r w:rsidRPr="006B6651">
        <w:rPr>
          <w:sz w:val="20"/>
          <w:lang w:val="ru-RU"/>
        </w:rPr>
        <w:t xml:space="preserve"> до піразинаміду </w:t>
      </w:r>
      <w:proofErr w:type="spellStart"/>
      <w:r w:rsidRPr="006B6651">
        <w:rPr>
          <w:sz w:val="20"/>
          <w:lang w:val="ru-RU"/>
        </w:rPr>
        <w:t>зустрічається</w:t>
      </w:r>
      <w:proofErr w:type="spellEnd"/>
      <w:r w:rsidRPr="006B6651">
        <w:rPr>
          <w:sz w:val="20"/>
          <w:lang w:val="ru-RU"/>
        </w:rPr>
        <w:t xml:space="preserve"> рідко</w:t>
      </w:r>
      <w:r>
        <w:rPr>
          <w:sz w:val="20"/>
          <w:lang w:val="uk-UA"/>
        </w:rPr>
        <w:t>,</w:t>
      </w:r>
      <w:r w:rsidRPr="006B6651">
        <w:rPr>
          <w:sz w:val="20"/>
          <w:lang w:val="ru-RU"/>
        </w:rPr>
        <w:t xml:space="preserve"> </w:t>
      </w:r>
      <w:proofErr w:type="spellStart"/>
      <w:r w:rsidRPr="006B6651">
        <w:rPr>
          <w:sz w:val="20"/>
          <w:lang w:val="ru-RU"/>
        </w:rPr>
        <w:t>однак</w:t>
      </w:r>
      <w:proofErr w:type="spellEnd"/>
      <w:r w:rsidRPr="006B6651">
        <w:rPr>
          <w:sz w:val="20"/>
          <w:lang w:val="ru-RU"/>
        </w:rPr>
        <w:t xml:space="preserve">, </w:t>
      </w:r>
      <w:proofErr w:type="spellStart"/>
      <w:r w:rsidRPr="006B6651">
        <w:rPr>
          <w:sz w:val="20"/>
          <w:lang w:val="ru-RU"/>
        </w:rPr>
        <w:t>стійкість</w:t>
      </w:r>
      <w:proofErr w:type="spellEnd"/>
      <w:r w:rsidRPr="006B6651">
        <w:rPr>
          <w:sz w:val="20"/>
          <w:lang w:val="ru-RU"/>
        </w:rPr>
        <w:t xml:space="preserve"> до піразинаміду </w:t>
      </w:r>
      <w:proofErr w:type="spellStart"/>
      <w:r w:rsidRPr="006B6651">
        <w:rPr>
          <w:sz w:val="20"/>
          <w:lang w:val="ru-RU"/>
        </w:rPr>
        <w:t>тісно</w:t>
      </w:r>
      <w:proofErr w:type="spellEnd"/>
      <w:r w:rsidRPr="006B6651">
        <w:rPr>
          <w:sz w:val="20"/>
          <w:lang w:val="ru-RU"/>
        </w:rPr>
        <w:t xml:space="preserve"> пов'язана з МЛС/Р</w:t>
      </w:r>
      <w:proofErr w:type="spellStart"/>
      <w:r w:rsidRPr="002C031F">
        <w:rPr>
          <w:sz w:val="20"/>
          <w:lang w:val="uk-UA"/>
        </w:rPr>
        <w:t>иф</w:t>
      </w:r>
      <w:proofErr w:type="spellEnd"/>
      <w:r w:rsidRPr="006B6651">
        <w:rPr>
          <w:sz w:val="20"/>
          <w:lang w:val="ru-RU"/>
        </w:rPr>
        <w:t>-ТБ</w:t>
      </w:r>
      <w:r>
        <w:rPr>
          <w:sz w:val="20"/>
          <w:lang w:val="uk-UA"/>
        </w:rPr>
        <w:t>. З</w:t>
      </w:r>
      <w:r w:rsidRPr="006B6651">
        <w:rPr>
          <w:sz w:val="20"/>
          <w:lang w:val="ru-RU"/>
        </w:rPr>
        <w:t xml:space="preserve">а </w:t>
      </w:r>
      <w:proofErr w:type="spellStart"/>
      <w:r w:rsidRPr="006B6651">
        <w:rPr>
          <w:sz w:val="20"/>
          <w:lang w:val="ru-RU"/>
        </w:rPr>
        <w:t>оцінками</w:t>
      </w:r>
      <w:proofErr w:type="spellEnd"/>
      <w:r w:rsidRPr="006B6651">
        <w:rPr>
          <w:sz w:val="20"/>
          <w:lang w:val="ru-RU"/>
        </w:rPr>
        <w:t xml:space="preserve">, 30–60% </w:t>
      </w:r>
      <w:proofErr w:type="spellStart"/>
      <w:r w:rsidRPr="006B6651">
        <w:rPr>
          <w:sz w:val="20"/>
          <w:lang w:val="ru-RU"/>
        </w:rPr>
        <w:t>випадків</w:t>
      </w:r>
      <w:proofErr w:type="spellEnd"/>
      <w:r w:rsidRPr="006B6651">
        <w:rPr>
          <w:sz w:val="20"/>
          <w:lang w:val="ru-RU"/>
        </w:rPr>
        <w:t xml:space="preserve"> МЛС/Р</w:t>
      </w:r>
      <w:proofErr w:type="spellStart"/>
      <w:r w:rsidRPr="002C031F">
        <w:rPr>
          <w:sz w:val="20"/>
          <w:lang w:val="uk-UA"/>
        </w:rPr>
        <w:t>иф</w:t>
      </w:r>
      <w:proofErr w:type="spellEnd"/>
      <w:r w:rsidRPr="006B6651">
        <w:rPr>
          <w:sz w:val="20"/>
          <w:lang w:val="ru-RU"/>
        </w:rPr>
        <w:t xml:space="preserve">-ТБ також є </w:t>
      </w:r>
      <w:proofErr w:type="spellStart"/>
      <w:r w:rsidRPr="006B6651">
        <w:rPr>
          <w:sz w:val="20"/>
          <w:lang w:val="ru-RU"/>
        </w:rPr>
        <w:t>стійкими</w:t>
      </w:r>
      <w:proofErr w:type="spellEnd"/>
      <w:r w:rsidRPr="006B6651">
        <w:rPr>
          <w:sz w:val="20"/>
          <w:lang w:val="ru-RU"/>
        </w:rPr>
        <w:t xml:space="preserve"> до піразинаміду. Таким чином, </w:t>
      </w:r>
      <w:r w:rsidRPr="002C031F">
        <w:rPr>
          <w:sz w:val="20"/>
          <w:lang w:val="uk-UA"/>
        </w:rPr>
        <w:t>важливо виявляти</w:t>
      </w:r>
      <w:r w:rsidRPr="006B6651">
        <w:rPr>
          <w:lang w:val="ru-RU"/>
        </w:rPr>
        <w:t xml:space="preserve"> </w:t>
      </w:r>
      <w:r w:rsidRPr="002C031F">
        <w:rPr>
          <w:sz w:val="20"/>
          <w:lang w:val="uk-UA"/>
        </w:rPr>
        <w:t>наявність стійкості до піразинаміду у</w:t>
      </w:r>
      <w:r w:rsidRPr="006B6651">
        <w:rPr>
          <w:sz w:val="20"/>
          <w:lang w:val="ru-RU"/>
        </w:rPr>
        <w:t xml:space="preserve"> людей з </w:t>
      </w:r>
      <w:proofErr w:type="spellStart"/>
      <w:r w:rsidRPr="006B6651">
        <w:rPr>
          <w:sz w:val="20"/>
          <w:lang w:val="ru-RU"/>
        </w:rPr>
        <w:t>діагностованим</w:t>
      </w:r>
      <w:proofErr w:type="spellEnd"/>
      <w:r w:rsidRPr="006B6651">
        <w:rPr>
          <w:sz w:val="20"/>
          <w:lang w:val="ru-RU"/>
        </w:rPr>
        <w:t xml:space="preserve"> Р</w:t>
      </w:r>
      <w:proofErr w:type="spellStart"/>
      <w:r w:rsidRPr="002C031F">
        <w:rPr>
          <w:sz w:val="20"/>
          <w:lang w:val="uk-UA"/>
        </w:rPr>
        <w:t>иф</w:t>
      </w:r>
      <w:proofErr w:type="spellEnd"/>
      <w:r w:rsidRPr="006B6651">
        <w:rPr>
          <w:sz w:val="20"/>
          <w:lang w:val="ru-RU"/>
        </w:rPr>
        <w:t xml:space="preserve">-ТБ, </w:t>
      </w:r>
      <w:proofErr w:type="spellStart"/>
      <w:r w:rsidRPr="006B6651">
        <w:rPr>
          <w:sz w:val="20"/>
          <w:lang w:val="ru-RU"/>
        </w:rPr>
        <w:t>щоб</w:t>
      </w:r>
      <w:proofErr w:type="spellEnd"/>
      <w:r w:rsidRPr="006B6651">
        <w:rPr>
          <w:sz w:val="20"/>
          <w:lang w:val="ru-RU"/>
        </w:rPr>
        <w:t xml:space="preserve"> </w:t>
      </w:r>
      <w:r w:rsidRPr="002C031F">
        <w:rPr>
          <w:sz w:val="20"/>
          <w:lang w:val="uk-UA"/>
        </w:rPr>
        <w:t>лікарі</w:t>
      </w:r>
      <w:r w:rsidRPr="006B6651">
        <w:rPr>
          <w:sz w:val="20"/>
          <w:lang w:val="ru-RU"/>
        </w:rPr>
        <w:t xml:space="preserve"> могли </w:t>
      </w:r>
      <w:proofErr w:type="spellStart"/>
      <w:r w:rsidRPr="006B6651">
        <w:rPr>
          <w:sz w:val="20"/>
          <w:lang w:val="ru-RU"/>
        </w:rPr>
        <w:t>прийняти</w:t>
      </w:r>
      <w:proofErr w:type="spellEnd"/>
      <w:r w:rsidRPr="006B6651">
        <w:rPr>
          <w:sz w:val="20"/>
          <w:lang w:val="ru-RU"/>
        </w:rPr>
        <w:t xml:space="preserve"> </w:t>
      </w:r>
      <w:proofErr w:type="spellStart"/>
      <w:r w:rsidRPr="006B6651">
        <w:rPr>
          <w:sz w:val="20"/>
          <w:lang w:val="ru-RU"/>
        </w:rPr>
        <w:t>обґрунтован</w:t>
      </w:r>
      <w:proofErr w:type="spellEnd"/>
      <w:r w:rsidRPr="002C031F">
        <w:rPr>
          <w:sz w:val="20"/>
          <w:lang w:val="uk-UA"/>
        </w:rPr>
        <w:t>і</w:t>
      </w:r>
      <w:r w:rsidRPr="006B6651">
        <w:rPr>
          <w:sz w:val="20"/>
          <w:lang w:val="ru-RU"/>
        </w:rPr>
        <w:t xml:space="preserve"> </w:t>
      </w:r>
      <w:proofErr w:type="spellStart"/>
      <w:r w:rsidRPr="006B6651">
        <w:rPr>
          <w:sz w:val="20"/>
          <w:lang w:val="ru-RU"/>
        </w:rPr>
        <w:t>рішення</w:t>
      </w:r>
      <w:proofErr w:type="spellEnd"/>
      <w:r w:rsidRPr="006B6651">
        <w:rPr>
          <w:sz w:val="20"/>
          <w:lang w:val="ru-RU"/>
        </w:rPr>
        <w:t xml:space="preserve"> щодо </w:t>
      </w:r>
      <w:proofErr w:type="spellStart"/>
      <w:r w:rsidRPr="006B6651">
        <w:rPr>
          <w:sz w:val="20"/>
          <w:lang w:val="ru-RU"/>
        </w:rPr>
        <w:t>включення</w:t>
      </w:r>
      <w:proofErr w:type="spellEnd"/>
      <w:r w:rsidRPr="006B6651">
        <w:rPr>
          <w:sz w:val="20"/>
          <w:lang w:val="ru-RU"/>
        </w:rPr>
        <w:t xml:space="preserve"> </w:t>
      </w:r>
      <w:proofErr w:type="spellStart"/>
      <w:r w:rsidRPr="006B6651">
        <w:rPr>
          <w:sz w:val="20"/>
          <w:lang w:val="ru-RU"/>
        </w:rPr>
        <w:t>чи</w:t>
      </w:r>
      <w:proofErr w:type="spellEnd"/>
      <w:r w:rsidRPr="006B6651">
        <w:rPr>
          <w:sz w:val="20"/>
          <w:lang w:val="ru-RU"/>
        </w:rPr>
        <w:t xml:space="preserve"> </w:t>
      </w:r>
      <w:proofErr w:type="spellStart"/>
      <w:r w:rsidRPr="006B6651">
        <w:rPr>
          <w:sz w:val="20"/>
          <w:lang w:val="ru-RU"/>
        </w:rPr>
        <w:t>виключення</w:t>
      </w:r>
      <w:proofErr w:type="spellEnd"/>
      <w:r w:rsidRPr="006B6651">
        <w:rPr>
          <w:sz w:val="20"/>
          <w:lang w:val="ru-RU"/>
        </w:rPr>
        <w:t xml:space="preserve"> піразинаміду </w:t>
      </w:r>
      <w:proofErr w:type="spellStart"/>
      <w:r w:rsidRPr="006B6651">
        <w:rPr>
          <w:sz w:val="20"/>
          <w:lang w:val="ru-RU"/>
        </w:rPr>
        <w:t>зі</w:t>
      </w:r>
      <w:proofErr w:type="spellEnd"/>
      <w:r w:rsidRPr="006B6651">
        <w:rPr>
          <w:sz w:val="20"/>
          <w:lang w:val="ru-RU"/>
        </w:rPr>
        <w:t xml:space="preserve"> </w:t>
      </w:r>
      <w:proofErr w:type="spellStart"/>
      <w:r w:rsidRPr="006B6651">
        <w:rPr>
          <w:sz w:val="20"/>
          <w:lang w:val="ru-RU"/>
        </w:rPr>
        <w:t>схеми</w:t>
      </w:r>
      <w:proofErr w:type="spellEnd"/>
      <w:r w:rsidRPr="006B6651">
        <w:rPr>
          <w:sz w:val="20"/>
          <w:lang w:val="ru-RU"/>
        </w:rPr>
        <w:t xml:space="preserve"> лікування.</w:t>
      </w:r>
      <w:r w:rsidRPr="002C031F">
        <w:rPr>
          <w:sz w:val="20"/>
          <w:lang w:val="uk-UA"/>
        </w:rPr>
        <w:t xml:space="preserve"> </w:t>
      </w:r>
      <w:r w:rsidRPr="006B6651">
        <w:rPr>
          <w:sz w:val="20"/>
          <w:lang w:val="uk-UA"/>
        </w:rPr>
        <w:t xml:space="preserve">ТАНК </w:t>
      </w:r>
      <w:r w:rsidRPr="002C031F">
        <w:rPr>
          <w:sz w:val="20"/>
          <w:lang w:val="uk-UA"/>
        </w:rPr>
        <w:t xml:space="preserve">високої складності </w:t>
      </w:r>
      <w:r w:rsidRPr="006B6651">
        <w:rPr>
          <w:sz w:val="20"/>
          <w:lang w:val="uk-UA"/>
        </w:rPr>
        <w:t>на основі гібридизації мож</w:t>
      </w:r>
      <w:r>
        <w:rPr>
          <w:sz w:val="20"/>
          <w:lang w:val="uk-UA"/>
        </w:rPr>
        <w:t>е</w:t>
      </w:r>
      <w:r w:rsidRPr="006B6651">
        <w:rPr>
          <w:sz w:val="20"/>
          <w:lang w:val="uk-UA"/>
        </w:rPr>
        <w:t xml:space="preserve"> використовуватися для діагностики стійкості до піразинаміду на ізолятах пацієнтів</w:t>
      </w:r>
      <w:r>
        <w:rPr>
          <w:sz w:val="20"/>
          <w:lang w:val="uk-UA"/>
        </w:rPr>
        <w:t xml:space="preserve">, </w:t>
      </w:r>
      <w:r w:rsidRPr="006B6651">
        <w:rPr>
          <w:sz w:val="20"/>
          <w:lang w:val="uk-UA"/>
        </w:rPr>
        <w:t>однак виконання цього тесту потребує належної інфраструктури та кваліфікованого персоналу.</w:t>
      </w:r>
    </w:p>
    <w:p w14:paraId="21342B97" w14:textId="77777777" w:rsidR="008A0E77" w:rsidRPr="00FC1F7B" w:rsidRDefault="008A0E77" w:rsidP="00392DCF">
      <w:pPr>
        <w:pStyle w:val="5"/>
        <w:spacing w:before="191"/>
        <w:ind w:right="2"/>
        <w:rPr>
          <w:sz w:val="24"/>
          <w:lang w:val="uk-UA"/>
        </w:rPr>
      </w:pPr>
      <w:r>
        <w:rPr>
          <w:color w:val="019648"/>
          <w:sz w:val="24"/>
          <w:lang w:val="uk-UA"/>
        </w:rPr>
        <w:t>Рекомендація</w:t>
      </w:r>
    </w:p>
    <w:p w14:paraId="69790DB4" w14:textId="77777777" w:rsidR="008A0E77" w:rsidRPr="00A816CE" w:rsidRDefault="008A0E77" w:rsidP="00392DCF">
      <w:pPr>
        <w:pStyle w:val="a3"/>
        <w:spacing w:before="4"/>
        <w:ind w:right="2"/>
        <w:rPr>
          <w:sz w:val="15"/>
        </w:rPr>
      </w:pPr>
    </w:p>
    <w:tbl>
      <w:tblPr>
        <w:tblStyle w:val="TableNormal"/>
        <w:tblW w:w="9356" w:type="dxa"/>
        <w:tblInd w:w="701"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356"/>
      </w:tblGrid>
      <w:tr w:rsidR="008A0E77" w:rsidRPr="00D029FF" w14:paraId="10424BFB" w14:textId="77777777" w:rsidTr="00392DCF">
        <w:trPr>
          <w:trHeight w:val="2078"/>
        </w:trPr>
        <w:tc>
          <w:tcPr>
            <w:tcW w:w="9356" w:type="dxa"/>
          </w:tcPr>
          <w:p w14:paraId="640FA807" w14:textId="77777777" w:rsidR="008A0E77" w:rsidRPr="00A816CE" w:rsidRDefault="008A0E77" w:rsidP="00392DCF">
            <w:pPr>
              <w:pStyle w:val="TableParagraph"/>
              <w:spacing w:before="9"/>
              <w:ind w:left="0" w:right="2"/>
              <w:rPr>
                <w:sz w:val="19"/>
              </w:rPr>
            </w:pPr>
          </w:p>
          <w:p w14:paraId="47ADF520" w14:textId="77777777" w:rsidR="008A0E77" w:rsidRPr="003934E0" w:rsidRDefault="008A0E77" w:rsidP="00392DCF">
            <w:pPr>
              <w:pStyle w:val="TableParagraph"/>
              <w:spacing w:before="0" w:line="276" w:lineRule="auto"/>
              <w:ind w:left="743" w:right="137" w:hanging="460"/>
              <w:jc w:val="both"/>
              <w:rPr>
                <w:b/>
                <w:w w:val="110"/>
                <w:sz w:val="20"/>
              </w:rPr>
            </w:pPr>
            <w:r w:rsidRPr="00A816CE">
              <w:rPr>
                <w:b/>
                <w:w w:val="115"/>
              </w:rPr>
              <w:t xml:space="preserve">16. </w:t>
            </w:r>
            <w:r w:rsidRPr="00FC1F7B">
              <w:rPr>
                <w:b/>
                <w:w w:val="110"/>
                <w:sz w:val="20"/>
              </w:rPr>
              <w:t xml:space="preserve">У </w:t>
            </w:r>
            <w:proofErr w:type="spellStart"/>
            <w:r w:rsidRPr="00FC1F7B">
              <w:rPr>
                <w:b/>
                <w:w w:val="110"/>
                <w:sz w:val="20"/>
              </w:rPr>
              <w:t>людей</w:t>
            </w:r>
            <w:proofErr w:type="spellEnd"/>
            <w:r w:rsidRPr="00FC1F7B">
              <w:rPr>
                <w:b/>
                <w:w w:val="110"/>
                <w:sz w:val="20"/>
              </w:rPr>
              <w:t xml:space="preserve"> з бактеріологічно </w:t>
            </w:r>
            <w:proofErr w:type="spellStart"/>
            <w:r w:rsidRPr="00FC1F7B">
              <w:rPr>
                <w:b/>
                <w:w w:val="110"/>
                <w:sz w:val="20"/>
              </w:rPr>
              <w:t>підтвердженим</w:t>
            </w:r>
            <w:proofErr w:type="spellEnd"/>
            <w:r w:rsidRPr="00FC1F7B">
              <w:rPr>
                <w:b/>
                <w:w w:val="110"/>
                <w:sz w:val="20"/>
              </w:rPr>
              <w:t xml:space="preserve"> ТБ ТАНК </w:t>
            </w:r>
            <w:r>
              <w:rPr>
                <w:b/>
                <w:w w:val="110"/>
                <w:sz w:val="20"/>
                <w:lang w:val="uk-UA"/>
              </w:rPr>
              <w:t xml:space="preserve">високої складності </w:t>
            </w:r>
            <w:proofErr w:type="spellStart"/>
            <w:r w:rsidRPr="00FC1F7B">
              <w:rPr>
                <w:b/>
                <w:w w:val="110"/>
                <w:sz w:val="20"/>
              </w:rPr>
              <w:t>на</w:t>
            </w:r>
            <w:proofErr w:type="spellEnd"/>
            <w:r w:rsidRPr="00FC1F7B">
              <w:rPr>
                <w:b/>
                <w:w w:val="110"/>
                <w:sz w:val="20"/>
              </w:rPr>
              <w:t xml:space="preserve"> </w:t>
            </w:r>
            <w:proofErr w:type="spellStart"/>
            <w:r w:rsidRPr="00FC1F7B">
              <w:rPr>
                <w:b/>
                <w:w w:val="110"/>
                <w:sz w:val="20"/>
              </w:rPr>
              <w:t>основі</w:t>
            </w:r>
            <w:proofErr w:type="spellEnd"/>
            <w:r w:rsidRPr="00FC1F7B">
              <w:rPr>
                <w:b/>
                <w:w w:val="110"/>
                <w:sz w:val="20"/>
              </w:rPr>
              <w:t xml:space="preserve"> </w:t>
            </w:r>
            <w:proofErr w:type="spellStart"/>
            <w:r w:rsidRPr="00FC1F7B">
              <w:rPr>
                <w:b/>
                <w:w w:val="110"/>
                <w:sz w:val="20"/>
              </w:rPr>
              <w:t>зворотної</w:t>
            </w:r>
            <w:proofErr w:type="spellEnd"/>
            <w:r w:rsidRPr="00FC1F7B">
              <w:rPr>
                <w:b/>
                <w:w w:val="110"/>
                <w:sz w:val="20"/>
              </w:rPr>
              <w:t xml:space="preserve"> </w:t>
            </w:r>
            <w:proofErr w:type="spellStart"/>
            <w:r w:rsidRPr="00FC1F7B">
              <w:rPr>
                <w:b/>
                <w:w w:val="110"/>
                <w:sz w:val="20"/>
              </w:rPr>
              <w:t>гібридизації</w:t>
            </w:r>
            <w:proofErr w:type="spellEnd"/>
            <w:r w:rsidRPr="00FC1F7B">
              <w:rPr>
                <w:b/>
                <w:w w:val="110"/>
                <w:sz w:val="20"/>
              </w:rPr>
              <w:t xml:space="preserve"> </w:t>
            </w:r>
            <w:proofErr w:type="spellStart"/>
            <w:r w:rsidRPr="00FC1F7B">
              <w:rPr>
                <w:b/>
                <w:w w:val="110"/>
                <w:sz w:val="20"/>
              </w:rPr>
              <w:t>мож</w:t>
            </w:r>
            <w:proofErr w:type="spellEnd"/>
            <w:r>
              <w:rPr>
                <w:b/>
                <w:w w:val="110"/>
                <w:sz w:val="20"/>
                <w:lang w:val="uk-UA"/>
              </w:rPr>
              <w:t>е</w:t>
            </w:r>
            <w:r w:rsidRPr="00FC1F7B">
              <w:rPr>
                <w:b/>
                <w:w w:val="110"/>
                <w:sz w:val="20"/>
              </w:rPr>
              <w:t xml:space="preserve"> </w:t>
            </w:r>
            <w:proofErr w:type="spellStart"/>
            <w:r w:rsidRPr="00FC1F7B">
              <w:rPr>
                <w:b/>
                <w:w w:val="110"/>
                <w:sz w:val="20"/>
              </w:rPr>
              <w:t>використовуватися</w:t>
            </w:r>
            <w:proofErr w:type="spellEnd"/>
            <w:r w:rsidRPr="00FC1F7B">
              <w:rPr>
                <w:b/>
                <w:w w:val="110"/>
                <w:sz w:val="20"/>
              </w:rPr>
              <w:t xml:space="preserve"> </w:t>
            </w:r>
            <w:r>
              <w:rPr>
                <w:b/>
                <w:w w:val="110"/>
                <w:sz w:val="20"/>
                <w:lang w:val="uk-UA"/>
              </w:rPr>
              <w:t xml:space="preserve">для аналізу </w:t>
            </w:r>
            <w:proofErr w:type="spellStart"/>
            <w:r w:rsidRPr="00FC1F7B">
              <w:rPr>
                <w:b/>
                <w:w w:val="110"/>
                <w:sz w:val="20"/>
              </w:rPr>
              <w:t>ізолят</w:t>
            </w:r>
            <w:proofErr w:type="spellEnd"/>
            <w:r>
              <w:rPr>
                <w:b/>
                <w:w w:val="110"/>
                <w:sz w:val="20"/>
                <w:lang w:val="uk-UA"/>
              </w:rPr>
              <w:t>ів</w:t>
            </w:r>
            <w:r w:rsidRPr="00FC1F7B">
              <w:rPr>
                <w:b/>
                <w:w w:val="110"/>
                <w:sz w:val="20"/>
              </w:rPr>
              <w:t xml:space="preserve"> </w:t>
            </w:r>
            <w:proofErr w:type="spellStart"/>
            <w:r w:rsidRPr="00FC1F7B">
              <w:rPr>
                <w:b/>
                <w:w w:val="110"/>
                <w:sz w:val="20"/>
              </w:rPr>
              <w:t>культури</w:t>
            </w:r>
            <w:proofErr w:type="spellEnd"/>
            <w:r w:rsidRPr="00FC1F7B">
              <w:rPr>
                <w:b/>
                <w:w w:val="110"/>
                <w:sz w:val="20"/>
              </w:rPr>
              <w:t xml:space="preserve"> </w:t>
            </w:r>
            <w:r w:rsidRPr="00FC1F7B">
              <w:rPr>
                <w:b/>
                <w:i/>
                <w:w w:val="110"/>
                <w:sz w:val="20"/>
              </w:rPr>
              <w:t>M. tuberculosis</w:t>
            </w:r>
            <w:r w:rsidRPr="00FC1F7B">
              <w:rPr>
                <w:b/>
                <w:w w:val="110"/>
                <w:sz w:val="20"/>
              </w:rPr>
              <w:t xml:space="preserve"> </w:t>
            </w:r>
            <w:r>
              <w:rPr>
                <w:b/>
                <w:w w:val="110"/>
                <w:sz w:val="20"/>
                <w:lang w:val="uk-UA"/>
              </w:rPr>
              <w:t>з метою</w:t>
            </w:r>
            <w:r w:rsidRPr="00FC1F7B">
              <w:rPr>
                <w:b/>
                <w:w w:val="110"/>
                <w:sz w:val="20"/>
              </w:rPr>
              <w:t xml:space="preserve"> виявлення </w:t>
            </w:r>
            <w:proofErr w:type="spellStart"/>
            <w:r w:rsidRPr="00FC1F7B">
              <w:rPr>
                <w:b/>
                <w:w w:val="110"/>
                <w:sz w:val="20"/>
              </w:rPr>
              <w:t>стійкості</w:t>
            </w:r>
            <w:proofErr w:type="spellEnd"/>
            <w:r w:rsidRPr="00FC1F7B">
              <w:rPr>
                <w:b/>
                <w:w w:val="110"/>
                <w:sz w:val="20"/>
              </w:rPr>
              <w:t xml:space="preserve"> </w:t>
            </w:r>
            <w:proofErr w:type="spellStart"/>
            <w:r w:rsidRPr="00FC1F7B">
              <w:rPr>
                <w:b/>
                <w:w w:val="110"/>
                <w:sz w:val="20"/>
              </w:rPr>
              <w:t>до</w:t>
            </w:r>
            <w:proofErr w:type="spellEnd"/>
            <w:r w:rsidRPr="00FC1F7B">
              <w:rPr>
                <w:b/>
                <w:w w:val="110"/>
                <w:sz w:val="20"/>
              </w:rPr>
              <w:t xml:space="preserve"> піразинаміду </w:t>
            </w:r>
            <w:proofErr w:type="spellStart"/>
            <w:r w:rsidRPr="00FC1F7B">
              <w:rPr>
                <w:b/>
                <w:w w:val="110"/>
                <w:sz w:val="20"/>
              </w:rPr>
              <w:t>замість</w:t>
            </w:r>
            <w:proofErr w:type="spellEnd"/>
            <w:r w:rsidRPr="00FC1F7B">
              <w:rPr>
                <w:b/>
                <w:w w:val="110"/>
                <w:sz w:val="20"/>
              </w:rPr>
              <w:t xml:space="preserve"> </w:t>
            </w:r>
            <w:proofErr w:type="spellStart"/>
            <w:r w:rsidRPr="00FC1F7B">
              <w:rPr>
                <w:b/>
                <w:w w:val="110"/>
                <w:sz w:val="20"/>
              </w:rPr>
              <w:t>фенотипового</w:t>
            </w:r>
            <w:proofErr w:type="spellEnd"/>
            <w:r w:rsidRPr="00FC1F7B">
              <w:rPr>
                <w:b/>
                <w:w w:val="110"/>
                <w:sz w:val="20"/>
              </w:rPr>
              <w:t xml:space="preserve"> Т</w:t>
            </w:r>
            <w:r>
              <w:rPr>
                <w:b/>
                <w:w w:val="110"/>
                <w:sz w:val="20"/>
                <w:lang w:val="uk-UA"/>
              </w:rPr>
              <w:t>М</w:t>
            </w:r>
            <w:r w:rsidRPr="00FC1F7B">
              <w:rPr>
                <w:b/>
                <w:w w:val="110"/>
                <w:sz w:val="20"/>
              </w:rPr>
              <w:t>Ч</w:t>
            </w:r>
            <w:r>
              <w:rPr>
                <w:b/>
                <w:w w:val="110"/>
                <w:sz w:val="20"/>
                <w:lang w:val="uk-UA"/>
              </w:rPr>
              <w:t xml:space="preserve"> на основі культуральних методів</w:t>
            </w:r>
            <w:r w:rsidRPr="00FC1F7B">
              <w:rPr>
                <w:b/>
                <w:w w:val="110"/>
                <w:sz w:val="20"/>
              </w:rPr>
              <w:t>.</w:t>
            </w:r>
          </w:p>
          <w:p w14:paraId="77A1ABA2" w14:textId="77777777" w:rsidR="008A0E77" w:rsidRPr="006B6651" w:rsidRDefault="008A0E77" w:rsidP="00392DCF">
            <w:pPr>
              <w:pStyle w:val="TableParagraph"/>
              <w:spacing w:before="174"/>
              <w:ind w:left="680" w:right="2"/>
              <w:rPr>
                <w:i/>
                <w:lang w:val="ru-RU"/>
              </w:rPr>
            </w:pPr>
            <w:r w:rsidRPr="006B6651">
              <w:rPr>
                <w:i/>
                <w:w w:val="110"/>
                <w:sz w:val="20"/>
                <w:lang w:val="ru-RU"/>
              </w:rPr>
              <w:t>(</w:t>
            </w:r>
            <w:proofErr w:type="spellStart"/>
            <w:r w:rsidRPr="006B6651">
              <w:rPr>
                <w:i/>
                <w:w w:val="110"/>
                <w:sz w:val="20"/>
                <w:lang w:val="ru-RU"/>
              </w:rPr>
              <w:t>Умовна</w:t>
            </w:r>
            <w:proofErr w:type="spellEnd"/>
            <w:r w:rsidRPr="006B6651">
              <w:rPr>
                <w:i/>
                <w:w w:val="110"/>
                <w:sz w:val="20"/>
                <w:lang w:val="ru-RU"/>
              </w:rPr>
              <w:t xml:space="preserve"> </w:t>
            </w:r>
            <w:proofErr w:type="spellStart"/>
            <w:r w:rsidRPr="006B6651">
              <w:rPr>
                <w:i/>
                <w:w w:val="110"/>
                <w:sz w:val="20"/>
                <w:lang w:val="ru-RU"/>
              </w:rPr>
              <w:t>рекомендація</w:t>
            </w:r>
            <w:proofErr w:type="spellEnd"/>
            <w:r w:rsidRPr="006B6651">
              <w:rPr>
                <w:i/>
                <w:w w:val="110"/>
                <w:sz w:val="20"/>
                <w:lang w:val="ru-RU"/>
              </w:rPr>
              <w:t xml:space="preserve">, </w:t>
            </w:r>
            <w:proofErr w:type="spellStart"/>
            <w:r w:rsidRPr="006B6651">
              <w:rPr>
                <w:i/>
                <w:w w:val="110"/>
                <w:sz w:val="20"/>
                <w:lang w:val="ru-RU"/>
              </w:rPr>
              <w:t>дуже</w:t>
            </w:r>
            <w:proofErr w:type="spellEnd"/>
            <w:r w:rsidRPr="006B6651">
              <w:rPr>
                <w:i/>
                <w:w w:val="110"/>
                <w:sz w:val="20"/>
                <w:lang w:val="ru-RU"/>
              </w:rPr>
              <w:t xml:space="preserve"> </w:t>
            </w:r>
            <w:proofErr w:type="spellStart"/>
            <w:r w:rsidRPr="006B6651">
              <w:rPr>
                <w:i/>
                <w:w w:val="110"/>
                <w:sz w:val="20"/>
                <w:lang w:val="ru-RU"/>
              </w:rPr>
              <w:t>низька</w:t>
            </w:r>
            <w:proofErr w:type="spellEnd"/>
            <w:r w:rsidRPr="006B6651">
              <w:rPr>
                <w:i/>
                <w:w w:val="110"/>
                <w:sz w:val="20"/>
                <w:lang w:val="ru-RU"/>
              </w:rPr>
              <w:t xml:space="preserve"> </w:t>
            </w:r>
            <w:proofErr w:type="spellStart"/>
            <w:r w:rsidRPr="006B6651">
              <w:rPr>
                <w:i/>
                <w:w w:val="110"/>
                <w:sz w:val="20"/>
                <w:lang w:val="ru-RU"/>
              </w:rPr>
              <w:t>впевненість</w:t>
            </w:r>
            <w:proofErr w:type="spellEnd"/>
            <w:r w:rsidRPr="006B6651">
              <w:rPr>
                <w:i/>
                <w:w w:val="110"/>
                <w:sz w:val="20"/>
                <w:lang w:val="ru-RU"/>
              </w:rPr>
              <w:t xml:space="preserve"> у </w:t>
            </w:r>
            <w:proofErr w:type="spellStart"/>
            <w:r w:rsidRPr="006B6651">
              <w:rPr>
                <w:i/>
                <w:w w:val="110"/>
                <w:sz w:val="20"/>
                <w:lang w:val="ru-RU"/>
              </w:rPr>
              <w:t>доказових</w:t>
            </w:r>
            <w:proofErr w:type="spellEnd"/>
            <w:r w:rsidRPr="006B6651">
              <w:rPr>
                <w:i/>
                <w:w w:val="110"/>
                <w:sz w:val="20"/>
                <w:lang w:val="ru-RU"/>
              </w:rPr>
              <w:t xml:space="preserve"> </w:t>
            </w:r>
            <w:proofErr w:type="spellStart"/>
            <w:r w:rsidRPr="006B6651">
              <w:rPr>
                <w:i/>
                <w:w w:val="110"/>
                <w:sz w:val="20"/>
                <w:lang w:val="ru-RU"/>
              </w:rPr>
              <w:t>даних</w:t>
            </w:r>
            <w:proofErr w:type="spellEnd"/>
            <w:r w:rsidRPr="006B6651">
              <w:rPr>
                <w:i/>
                <w:w w:val="110"/>
                <w:sz w:val="20"/>
                <w:lang w:val="ru-RU"/>
              </w:rPr>
              <w:t xml:space="preserve"> щодо </w:t>
            </w:r>
            <w:proofErr w:type="spellStart"/>
            <w:r w:rsidRPr="006B6651">
              <w:rPr>
                <w:i/>
                <w:w w:val="110"/>
                <w:sz w:val="20"/>
                <w:lang w:val="ru-RU"/>
              </w:rPr>
              <w:t>точності</w:t>
            </w:r>
            <w:proofErr w:type="spellEnd"/>
            <w:r>
              <w:rPr>
                <w:i/>
                <w:w w:val="110"/>
                <w:sz w:val="20"/>
                <w:lang w:val="uk-UA"/>
              </w:rPr>
              <w:t xml:space="preserve"> діагностики</w:t>
            </w:r>
            <w:r w:rsidRPr="006B6651">
              <w:rPr>
                <w:i/>
                <w:w w:val="110"/>
                <w:sz w:val="20"/>
                <w:lang w:val="ru-RU"/>
              </w:rPr>
              <w:t>)</w:t>
            </w:r>
          </w:p>
        </w:tc>
      </w:tr>
    </w:tbl>
    <w:p w14:paraId="5A69A5D6" w14:textId="77777777" w:rsidR="008A0E77" w:rsidRPr="006B6651" w:rsidRDefault="008A0E77" w:rsidP="00392DCF">
      <w:pPr>
        <w:pStyle w:val="a3"/>
        <w:spacing w:before="5"/>
        <w:ind w:right="2"/>
        <w:rPr>
          <w:color w:val="000000" w:themeColor="text1"/>
          <w:sz w:val="29"/>
          <w:lang w:val="ru-RU"/>
        </w:rPr>
      </w:pPr>
    </w:p>
    <w:p w14:paraId="220BF1CA" w14:textId="77777777" w:rsidR="008A0E77" w:rsidRPr="006B6651" w:rsidRDefault="008A0E77" w:rsidP="00392DCF">
      <w:pPr>
        <w:pStyle w:val="a3"/>
        <w:spacing w:line="276" w:lineRule="auto"/>
        <w:ind w:left="567" w:right="2"/>
        <w:jc w:val="both"/>
        <w:rPr>
          <w:color w:val="000000" w:themeColor="text1"/>
          <w:sz w:val="20"/>
          <w:lang w:val="ru-RU"/>
        </w:rPr>
      </w:pPr>
      <w:r w:rsidRPr="006B6651">
        <w:rPr>
          <w:color w:val="000000" w:themeColor="text1"/>
          <w:w w:val="110"/>
          <w:sz w:val="20"/>
          <w:lang w:val="ru-RU"/>
        </w:rPr>
        <w:t xml:space="preserve">Щодо </w:t>
      </w:r>
      <w:proofErr w:type="spellStart"/>
      <w:r w:rsidRPr="006B6651">
        <w:rPr>
          <w:color w:val="000000" w:themeColor="text1"/>
          <w:w w:val="110"/>
          <w:sz w:val="20"/>
          <w:lang w:val="ru-RU"/>
        </w:rPr>
        <w:t>підгруп</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які</w:t>
      </w:r>
      <w:proofErr w:type="spellEnd"/>
      <w:r w:rsidRPr="006B6651">
        <w:rPr>
          <w:color w:val="000000" w:themeColor="text1"/>
          <w:w w:val="110"/>
          <w:sz w:val="20"/>
          <w:lang w:val="ru-RU"/>
        </w:rPr>
        <w:t xml:space="preserve"> </w:t>
      </w:r>
      <w:r w:rsidRPr="00C819F5">
        <w:rPr>
          <w:color w:val="000000" w:themeColor="text1"/>
          <w:w w:val="110"/>
          <w:sz w:val="20"/>
          <w:lang w:val="uk-UA"/>
        </w:rPr>
        <w:t>потрібно розглянути в контексті</w:t>
      </w:r>
      <w:r w:rsidRPr="006B6651">
        <w:rPr>
          <w:color w:val="000000" w:themeColor="text1"/>
          <w:w w:val="110"/>
          <w:sz w:val="20"/>
          <w:lang w:val="ru-RU"/>
        </w:rPr>
        <w:t xml:space="preserve"> </w:t>
      </w:r>
      <w:proofErr w:type="spellStart"/>
      <w:r w:rsidRPr="006B6651">
        <w:rPr>
          <w:color w:val="000000" w:themeColor="text1"/>
          <w:w w:val="110"/>
          <w:sz w:val="20"/>
          <w:lang w:val="ru-RU"/>
        </w:rPr>
        <w:t>цієї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рекомендації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жодних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особливих</w:t>
      </w:r>
      <w:proofErr w:type="spellEnd"/>
      <w:r w:rsidRPr="006B6651">
        <w:rPr>
          <w:color w:val="000000" w:themeColor="text1"/>
          <w:w w:val="110"/>
          <w:sz w:val="20"/>
          <w:lang w:val="ru-RU"/>
        </w:rPr>
        <w:t xml:space="preserve"> </w:t>
      </w:r>
      <w:r w:rsidRPr="00C819F5">
        <w:rPr>
          <w:color w:val="000000" w:themeColor="text1"/>
          <w:w w:val="110"/>
          <w:sz w:val="20"/>
          <w:lang w:val="uk-UA"/>
        </w:rPr>
        <w:t>зауважень</w:t>
      </w:r>
      <w:r w:rsidRPr="006B6651">
        <w:rPr>
          <w:color w:val="000000" w:themeColor="text1"/>
          <w:w w:val="110"/>
          <w:sz w:val="20"/>
          <w:lang w:val="ru-RU"/>
        </w:rPr>
        <w:t xml:space="preserve"> не </w:t>
      </w:r>
      <w:proofErr w:type="spellStart"/>
      <w:r w:rsidRPr="006B6651">
        <w:rPr>
          <w:color w:val="000000" w:themeColor="text1"/>
          <w:w w:val="110"/>
          <w:sz w:val="20"/>
          <w:lang w:val="ru-RU"/>
        </w:rPr>
        <w:t>потрібно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наприклад</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дітей</w:t>
      </w:r>
      <w:proofErr w:type="spellEnd"/>
      <w:r w:rsidRPr="006B6651">
        <w:rPr>
          <w:color w:val="000000" w:themeColor="text1"/>
          <w:w w:val="110"/>
          <w:sz w:val="20"/>
          <w:lang w:val="ru-RU"/>
        </w:rPr>
        <w:t xml:space="preserve">, людей, </w:t>
      </w:r>
      <w:r w:rsidRPr="00C819F5">
        <w:rPr>
          <w:color w:val="000000" w:themeColor="text1"/>
          <w:w w:val="110"/>
          <w:sz w:val="20"/>
          <w:lang w:val="uk-UA"/>
        </w:rPr>
        <w:t>які</w:t>
      </w:r>
      <w:r w:rsidRPr="006B6651">
        <w:rPr>
          <w:color w:val="000000" w:themeColor="text1"/>
          <w:w w:val="110"/>
          <w:sz w:val="20"/>
          <w:lang w:val="ru-RU"/>
        </w:rPr>
        <w:t xml:space="preserve"> </w:t>
      </w:r>
      <w:proofErr w:type="spellStart"/>
      <w:r w:rsidRPr="006B6651">
        <w:rPr>
          <w:color w:val="000000" w:themeColor="text1"/>
          <w:w w:val="110"/>
          <w:sz w:val="20"/>
          <w:lang w:val="ru-RU"/>
        </w:rPr>
        <w:t>живуть</w:t>
      </w:r>
      <w:proofErr w:type="spellEnd"/>
      <w:r w:rsidRPr="006B6651">
        <w:rPr>
          <w:color w:val="000000" w:themeColor="text1"/>
          <w:w w:val="110"/>
          <w:sz w:val="20"/>
          <w:lang w:val="ru-RU"/>
        </w:rPr>
        <w:t xml:space="preserve"> з ВІЛ, та </w:t>
      </w:r>
      <w:proofErr w:type="spellStart"/>
      <w:r w:rsidRPr="006B6651">
        <w:rPr>
          <w:color w:val="000000" w:themeColor="text1"/>
          <w:w w:val="110"/>
          <w:sz w:val="20"/>
          <w:lang w:val="ru-RU"/>
        </w:rPr>
        <w:t>осіб</w:t>
      </w:r>
      <w:proofErr w:type="spellEnd"/>
      <w:r w:rsidRPr="006B6651">
        <w:rPr>
          <w:color w:val="000000" w:themeColor="text1"/>
          <w:w w:val="110"/>
          <w:sz w:val="20"/>
          <w:lang w:val="ru-RU"/>
        </w:rPr>
        <w:t xml:space="preserve"> з позалегеневим ТБ), </w:t>
      </w:r>
      <w:r w:rsidRPr="00C819F5">
        <w:rPr>
          <w:color w:val="000000" w:themeColor="text1"/>
          <w:w w:val="110"/>
          <w:sz w:val="20"/>
          <w:lang w:val="uk-UA"/>
        </w:rPr>
        <w:t>оскільки</w:t>
      </w:r>
      <w:r w:rsidRPr="006B6651">
        <w:rPr>
          <w:color w:val="000000" w:themeColor="text1"/>
          <w:w w:val="110"/>
          <w:sz w:val="20"/>
          <w:lang w:val="ru-RU"/>
        </w:rPr>
        <w:t xml:space="preserve"> тест рекомендован</w:t>
      </w:r>
      <w:proofErr w:type="spellStart"/>
      <w:r w:rsidRPr="00C819F5">
        <w:rPr>
          <w:color w:val="000000" w:themeColor="text1"/>
          <w:w w:val="110"/>
          <w:sz w:val="20"/>
          <w:lang w:val="uk-UA"/>
        </w:rPr>
        <w:t>ий</w:t>
      </w:r>
      <w:proofErr w:type="spellEnd"/>
      <w:r w:rsidRPr="00C819F5">
        <w:rPr>
          <w:color w:val="000000" w:themeColor="text1"/>
          <w:w w:val="110"/>
          <w:sz w:val="20"/>
          <w:lang w:val="uk-UA"/>
        </w:rPr>
        <w:t xml:space="preserve"> для </w:t>
      </w:r>
      <w:r w:rsidRPr="00D4767C">
        <w:rPr>
          <w:color w:val="000000" w:themeColor="text1"/>
          <w:w w:val="110"/>
          <w:sz w:val="20"/>
          <w:lang w:val="uk-UA"/>
        </w:rPr>
        <w:t>аналізу</w:t>
      </w:r>
      <w:r w:rsidRPr="006B6651">
        <w:rPr>
          <w:color w:val="000000" w:themeColor="text1"/>
          <w:w w:val="110"/>
          <w:sz w:val="20"/>
          <w:lang w:val="ru-RU"/>
        </w:rPr>
        <w:t xml:space="preserve"> </w:t>
      </w:r>
      <w:r w:rsidRPr="00D4767C">
        <w:rPr>
          <w:color w:val="000000" w:themeColor="text1"/>
          <w:w w:val="110"/>
          <w:sz w:val="20"/>
          <w:lang w:val="uk-UA"/>
        </w:rPr>
        <w:t xml:space="preserve">культуральних </w:t>
      </w:r>
      <w:proofErr w:type="spellStart"/>
      <w:r w:rsidRPr="006B6651">
        <w:rPr>
          <w:color w:val="000000" w:themeColor="text1"/>
          <w:w w:val="110"/>
          <w:sz w:val="20"/>
          <w:lang w:val="ru-RU"/>
        </w:rPr>
        <w:t>ізолят</w:t>
      </w:r>
      <w:proofErr w:type="spellEnd"/>
      <w:r w:rsidRPr="00D4767C">
        <w:rPr>
          <w:color w:val="000000" w:themeColor="text1"/>
          <w:w w:val="110"/>
          <w:sz w:val="20"/>
          <w:lang w:val="uk-UA"/>
        </w:rPr>
        <w:t>ів</w:t>
      </w:r>
      <w:r w:rsidRPr="006B6651">
        <w:rPr>
          <w:color w:val="000000" w:themeColor="text1"/>
          <w:w w:val="110"/>
          <w:sz w:val="20"/>
          <w:lang w:val="ru-RU"/>
        </w:rPr>
        <w:t>.</w:t>
      </w:r>
    </w:p>
    <w:p w14:paraId="3F478D34" w14:textId="77777777" w:rsidR="008A0E77" w:rsidRPr="00FC1F7B" w:rsidRDefault="008A0E77" w:rsidP="008A0E77">
      <w:pPr>
        <w:pStyle w:val="5"/>
        <w:spacing w:before="184"/>
        <w:rPr>
          <w:sz w:val="24"/>
          <w:lang w:val="uk-UA"/>
        </w:rPr>
      </w:pPr>
      <w:r>
        <w:rPr>
          <w:color w:val="019648"/>
          <w:w w:val="105"/>
          <w:sz w:val="24"/>
          <w:lang w:val="uk-UA"/>
        </w:rPr>
        <w:t>Опис тесту</w:t>
      </w:r>
    </w:p>
    <w:p w14:paraId="3700CDEC" w14:textId="06B4B1F3" w:rsidR="008A0E77" w:rsidRPr="006B6651" w:rsidRDefault="008A0E77" w:rsidP="00392DCF">
      <w:pPr>
        <w:pStyle w:val="a3"/>
        <w:spacing w:before="209" w:line="276" w:lineRule="auto"/>
        <w:ind w:left="567" w:right="144"/>
        <w:jc w:val="both"/>
        <w:rPr>
          <w:color w:val="000000" w:themeColor="text1"/>
          <w:w w:val="110"/>
          <w:sz w:val="20"/>
          <w:lang w:val="ru-RU"/>
        </w:rPr>
      </w:pPr>
      <w:r w:rsidRPr="00973CB8">
        <w:rPr>
          <w:color w:val="000000" w:themeColor="text1"/>
          <w:lang w:val="uk-UA"/>
        </w:rPr>
        <w:t>К</w:t>
      </w:r>
      <w:r w:rsidRPr="00D029FF">
        <w:rPr>
          <w:color w:val="000000" w:themeColor="text1"/>
          <w:w w:val="110"/>
          <w:sz w:val="20"/>
          <w:lang w:val="uk-UA"/>
        </w:rPr>
        <w:t xml:space="preserve">омпанія </w:t>
      </w:r>
      <w:r w:rsidRPr="00973CB8">
        <w:rPr>
          <w:color w:val="000000" w:themeColor="text1"/>
          <w:w w:val="110"/>
          <w:sz w:val="20"/>
        </w:rPr>
        <w:t>Nipro</w:t>
      </w:r>
      <w:r w:rsidRPr="00D029FF">
        <w:rPr>
          <w:color w:val="000000" w:themeColor="text1"/>
          <w:w w:val="110"/>
          <w:sz w:val="20"/>
          <w:lang w:val="uk-UA"/>
        </w:rPr>
        <w:t xml:space="preserve"> (Осака, Японія) розробила </w:t>
      </w:r>
      <w:r w:rsidRPr="00973CB8">
        <w:rPr>
          <w:color w:val="000000" w:themeColor="text1"/>
          <w:w w:val="110"/>
          <w:sz w:val="20"/>
        </w:rPr>
        <w:t>Genoscholar</w:t>
      </w:r>
      <w:r w:rsidRPr="00D029FF">
        <w:rPr>
          <w:color w:val="000000" w:themeColor="text1"/>
          <w:w w:val="110"/>
          <w:sz w:val="20"/>
          <w:lang w:val="uk-UA"/>
        </w:rPr>
        <w:t xml:space="preserve">™ </w:t>
      </w:r>
      <w:r w:rsidRPr="00973CB8">
        <w:rPr>
          <w:color w:val="000000" w:themeColor="text1"/>
          <w:w w:val="110"/>
          <w:sz w:val="20"/>
        </w:rPr>
        <w:t>PZA</w:t>
      </w:r>
      <w:r w:rsidRPr="00D029FF">
        <w:rPr>
          <w:color w:val="000000" w:themeColor="text1"/>
          <w:w w:val="110"/>
          <w:sz w:val="20"/>
          <w:lang w:val="uk-UA"/>
        </w:rPr>
        <w:t>-</w:t>
      </w:r>
      <w:r w:rsidRPr="00973CB8">
        <w:rPr>
          <w:color w:val="000000" w:themeColor="text1"/>
          <w:w w:val="110"/>
          <w:sz w:val="20"/>
        </w:rPr>
        <w:t>TB</w:t>
      </w:r>
      <w:r w:rsidRPr="00D029FF">
        <w:rPr>
          <w:color w:val="000000" w:themeColor="text1"/>
          <w:w w:val="110"/>
          <w:sz w:val="20"/>
          <w:lang w:val="uk-UA"/>
        </w:rPr>
        <w:t xml:space="preserve"> – </w:t>
      </w:r>
      <w:r w:rsidRPr="00973CB8">
        <w:rPr>
          <w:color w:val="000000" w:themeColor="text1"/>
          <w:w w:val="110"/>
          <w:sz w:val="20"/>
          <w:lang w:val="uk-UA"/>
        </w:rPr>
        <w:t xml:space="preserve">технологію на основі </w:t>
      </w:r>
      <w:r w:rsidRPr="00973CB8">
        <w:rPr>
          <w:color w:val="000000" w:themeColor="text1"/>
          <w:w w:val="110"/>
          <w:sz w:val="20"/>
        </w:rPr>
        <w:t>LPA</w:t>
      </w:r>
      <w:r w:rsidRPr="00D029FF">
        <w:rPr>
          <w:color w:val="000000" w:themeColor="text1"/>
          <w:w w:val="110"/>
          <w:sz w:val="20"/>
          <w:lang w:val="uk-UA"/>
        </w:rPr>
        <w:t xml:space="preserve"> </w:t>
      </w:r>
      <w:r w:rsidRPr="00973CB8">
        <w:rPr>
          <w:color w:val="000000" w:themeColor="text1"/>
          <w:w w:val="110"/>
          <w:sz w:val="20"/>
          <w:lang w:val="uk-UA"/>
        </w:rPr>
        <w:t>зі</w:t>
      </w:r>
      <w:r w:rsidRPr="00D029FF">
        <w:rPr>
          <w:color w:val="000000" w:themeColor="text1"/>
          <w:w w:val="110"/>
          <w:sz w:val="20"/>
          <w:lang w:val="uk-UA"/>
        </w:rPr>
        <w:t xml:space="preserve"> </w:t>
      </w:r>
      <w:proofErr w:type="spellStart"/>
      <w:r w:rsidRPr="00D029FF">
        <w:rPr>
          <w:color w:val="000000" w:themeColor="text1"/>
          <w:w w:val="110"/>
          <w:sz w:val="20"/>
          <w:lang w:val="uk-UA"/>
        </w:rPr>
        <w:t>зворотн</w:t>
      </w:r>
      <w:r w:rsidRPr="00973CB8">
        <w:rPr>
          <w:color w:val="000000" w:themeColor="text1"/>
          <w:w w:val="110"/>
          <w:sz w:val="20"/>
          <w:lang w:val="uk-UA"/>
        </w:rPr>
        <w:t>ьою</w:t>
      </w:r>
      <w:proofErr w:type="spellEnd"/>
      <w:r w:rsidRPr="00D029FF">
        <w:rPr>
          <w:color w:val="000000" w:themeColor="text1"/>
          <w:w w:val="110"/>
          <w:sz w:val="20"/>
          <w:lang w:val="uk-UA"/>
        </w:rPr>
        <w:t xml:space="preserve"> гібридизаці</w:t>
      </w:r>
      <w:r w:rsidRPr="00973CB8">
        <w:rPr>
          <w:color w:val="000000" w:themeColor="text1"/>
          <w:w w:val="110"/>
          <w:sz w:val="20"/>
          <w:lang w:val="uk-UA"/>
        </w:rPr>
        <w:t>єю</w:t>
      </w:r>
      <w:r w:rsidRPr="00D029FF">
        <w:rPr>
          <w:color w:val="000000" w:themeColor="text1"/>
          <w:w w:val="110"/>
          <w:sz w:val="20"/>
          <w:lang w:val="uk-UA"/>
        </w:rPr>
        <w:t xml:space="preserve"> для виявлення стійкості до піразинаміду </w:t>
      </w:r>
      <w:r w:rsidRPr="00D029FF">
        <w:rPr>
          <w:i/>
          <w:color w:val="000000" w:themeColor="text1"/>
          <w:w w:val="110"/>
          <w:sz w:val="20"/>
          <w:lang w:val="uk-UA"/>
        </w:rPr>
        <w:t>(12)</w:t>
      </w:r>
      <w:r w:rsidRPr="00D029FF">
        <w:rPr>
          <w:color w:val="000000" w:themeColor="text1"/>
          <w:w w:val="110"/>
          <w:sz w:val="20"/>
          <w:lang w:val="uk-UA"/>
        </w:rPr>
        <w:t xml:space="preserve">. </w:t>
      </w:r>
      <w:r w:rsidRPr="006B6651">
        <w:rPr>
          <w:color w:val="000000" w:themeColor="text1"/>
          <w:w w:val="110"/>
          <w:sz w:val="20"/>
          <w:lang w:val="ru-RU"/>
        </w:rPr>
        <w:t>Ц</w:t>
      </w:r>
      <w:r w:rsidRPr="00973CB8">
        <w:rPr>
          <w:color w:val="000000" w:themeColor="text1"/>
          <w:w w:val="110"/>
          <w:sz w:val="20"/>
          <w:lang w:val="uk-UA"/>
        </w:rPr>
        <w:t>я</w:t>
      </w:r>
      <w:r w:rsidRPr="006B6651">
        <w:rPr>
          <w:color w:val="000000" w:themeColor="text1"/>
          <w:w w:val="110"/>
          <w:sz w:val="20"/>
          <w:lang w:val="ru-RU"/>
        </w:rPr>
        <w:t xml:space="preserve"> тест</w:t>
      </w:r>
      <w:r w:rsidRPr="00973CB8">
        <w:rPr>
          <w:color w:val="000000" w:themeColor="text1"/>
          <w:w w:val="110"/>
          <w:sz w:val="20"/>
          <w:lang w:val="uk-UA"/>
        </w:rPr>
        <w:t>-система</w:t>
      </w:r>
      <w:r w:rsidRPr="006B6651">
        <w:rPr>
          <w:color w:val="000000" w:themeColor="text1"/>
          <w:w w:val="110"/>
          <w:sz w:val="20"/>
          <w:lang w:val="ru-RU"/>
        </w:rPr>
        <w:t xml:space="preserve"> </w:t>
      </w:r>
      <w:r w:rsidRPr="00973CB8">
        <w:rPr>
          <w:color w:val="000000" w:themeColor="text1"/>
          <w:w w:val="110"/>
          <w:sz w:val="20"/>
          <w:lang w:val="uk-UA"/>
        </w:rPr>
        <w:t>- це</w:t>
      </w:r>
      <w:r w:rsidRPr="006B6651">
        <w:rPr>
          <w:color w:val="000000" w:themeColor="text1"/>
          <w:w w:val="110"/>
          <w:sz w:val="20"/>
          <w:lang w:val="ru-RU"/>
        </w:rPr>
        <w:t xml:space="preserve"> </w:t>
      </w:r>
      <w:proofErr w:type="spellStart"/>
      <w:r w:rsidRPr="006B6651">
        <w:rPr>
          <w:color w:val="000000" w:themeColor="text1"/>
          <w:w w:val="110"/>
          <w:sz w:val="20"/>
          <w:lang w:val="ru-RU"/>
        </w:rPr>
        <w:t>доступни</w:t>
      </w:r>
      <w:proofErr w:type="spellEnd"/>
      <w:r w:rsidRPr="00973CB8">
        <w:rPr>
          <w:color w:val="000000" w:themeColor="text1"/>
          <w:w w:val="110"/>
          <w:sz w:val="20"/>
          <w:lang w:val="uk-UA"/>
        </w:rPr>
        <w:t>й</w:t>
      </w:r>
      <w:r w:rsidRPr="006B6651">
        <w:rPr>
          <w:color w:val="000000" w:themeColor="text1"/>
          <w:w w:val="110"/>
          <w:sz w:val="20"/>
          <w:lang w:val="ru-RU"/>
        </w:rPr>
        <w:t xml:space="preserve"> </w:t>
      </w:r>
      <w:r>
        <w:rPr>
          <w:color w:val="000000" w:themeColor="text1"/>
          <w:w w:val="110"/>
          <w:sz w:val="20"/>
          <w:lang w:val="uk-UA"/>
        </w:rPr>
        <w:t xml:space="preserve">на ринку швидкий </w:t>
      </w:r>
      <w:proofErr w:type="spellStart"/>
      <w:r w:rsidRPr="006B6651">
        <w:rPr>
          <w:color w:val="000000" w:themeColor="text1"/>
          <w:w w:val="110"/>
          <w:sz w:val="20"/>
          <w:lang w:val="ru-RU"/>
        </w:rPr>
        <w:t>молекулярни</w:t>
      </w:r>
      <w:proofErr w:type="spellEnd"/>
      <w:r w:rsidRPr="00973CB8">
        <w:rPr>
          <w:color w:val="000000" w:themeColor="text1"/>
          <w:w w:val="110"/>
          <w:sz w:val="20"/>
          <w:lang w:val="uk-UA"/>
        </w:rPr>
        <w:t>й</w:t>
      </w:r>
      <w:r w:rsidRPr="006B6651">
        <w:rPr>
          <w:color w:val="000000" w:themeColor="text1"/>
          <w:w w:val="110"/>
          <w:sz w:val="20"/>
          <w:lang w:val="ru-RU"/>
        </w:rPr>
        <w:t xml:space="preserve"> тест для виявлення </w:t>
      </w:r>
      <w:proofErr w:type="spellStart"/>
      <w:r w:rsidRPr="006B6651">
        <w:rPr>
          <w:color w:val="000000" w:themeColor="text1"/>
          <w:w w:val="110"/>
          <w:sz w:val="20"/>
          <w:lang w:val="ru-RU"/>
        </w:rPr>
        <w:t>стійкості</w:t>
      </w:r>
      <w:proofErr w:type="spellEnd"/>
      <w:r w:rsidRPr="006B6651">
        <w:rPr>
          <w:color w:val="000000" w:themeColor="text1"/>
          <w:w w:val="110"/>
          <w:sz w:val="20"/>
          <w:lang w:val="ru-RU"/>
        </w:rPr>
        <w:t xml:space="preserve"> до піразинаміду. </w:t>
      </w:r>
      <w:proofErr w:type="spellStart"/>
      <w:r w:rsidRPr="006B6651">
        <w:rPr>
          <w:color w:val="000000" w:themeColor="text1"/>
          <w:w w:val="110"/>
          <w:sz w:val="20"/>
          <w:lang w:val="ru-RU"/>
        </w:rPr>
        <w:t>Порівняно</w:t>
      </w:r>
      <w:proofErr w:type="spellEnd"/>
      <w:r w:rsidRPr="006B6651">
        <w:rPr>
          <w:color w:val="000000" w:themeColor="text1"/>
          <w:w w:val="110"/>
          <w:sz w:val="20"/>
          <w:lang w:val="ru-RU"/>
        </w:rPr>
        <w:t xml:space="preserve"> з </w:t>
      </w:r>
      <w:r w:rsidRPr="00973CB8">
        <w:rPr>
          <w:color w:val="000000" w:themeColor="text1"/>
          <w:w w:val="110"/>
          <w:sz w:val="20"/>
        </w:rPr>
        <w:t>LPA</w:t>
      </w:r>
      <w:r w:rsidRPr="006B6651">
        <w:rPr>
          <w:color w:val="000000" w:themeColor="text1"/>
          <w:w w:val="110"/>
          <w:sz w:val="20"/>
          <w:lang w:val="ru-RU"/>
        </w:rPr>
        <w:t xml:space="preserve"> </w:t>
      </w:r>
      <w:r w:rsidRPr="00973CB8">
        <w:rPr>
          <w:color w:val="000000" w:themeColor="text1"/>
          <w:w w:val="110"/>
          <w:sz w:val="20"/>
        </w:rPr>
        <w:t>MTBDR</w:t>
      </w:r>
      <w:r w:rsidRPr="00973CB8">
        <w:rPr>
          <w:i/>
          <w:color w:val="000000" w:themeColor="text1"/>
          <w:w w:val="110"/>
          <w:sz w:val="20"/>
        </w:rPr>
        <w:t>plus</w:t>
      </w:r>
      <w:r w:rsidRPr="006B6651">
        <w:rPr>
          <w:color w:val="000000" w:themeColor="text1"/>
          <w:w w:val="110"/>
          <w:sz w:val="20"/>
          <w:lang w:val="ru-RU"/>
        </w:rPr>
        <w:t xml:space="preserve"> та </w:t>
      </w:r>
      <w:r w:rsidRPr="00973CB8">
        <w:rPr>
          <w:color w:val="000000" w:themeColor="text1"/>
          <w:w w:val="110"/>
          <w:sz w:val="20"/>
        </w:rPr>
        <w:t>MTBDR</w:t>
      </w:r>
      <w:r w:rsidRPr="00973CB8">
        <w:rPr>
          <w:i/>
          <w:color w:val="000000" w:themeColor="text1"/>
          <w:w w:val="110"/>
          <w:sz w:val="20"/>
        </w:rPr>
        <w:t>sl</w:t>
      </w:r>
      <w:r w:rsidRPr="006B6651">
        <w:rPr>
          <w:color w:val="000000" w:themeColor="text1"/>
          <w:w w:val="110"/>
          <w:sz w:val="20"/>
          <w:lang w:val="ru-RU"/>
        </w:rPr>
        <w:t xml:space="preserve">, </w:t>
      </w:r>
      <w:r w:rsidRPr="00973CB8">
        <w:rPr>
          <w:color w:val="000000" w:themeColor="text1"/>
          <w:w w:val="110"/>
          <w:sz w:val="20"/>
        </w:rPr>
        <w:t>LPA</w:t>
      </w:r>
      <w:r w:rsidRPr="006B6651">
        <w:rPr>
          <w:color w:val="000000" w:themeColor="text1"/>
          <w:w w:val="110"/>
          <w:sz w:val="20"/>
          <w:lang w:val="ru-RU"/>
        </w:rPr>
        <w:t xml:space="preserve"> </w:t>
      </w:r>
      <w:r w:rsidRPr="00973CB8">
        <w:rPr>
          <w:color w:val="000000" w:themeColor="text1"/>
          <w:w w:val="110"/>
          <w:sz w:val="20"/>
        </w:rPr>
        <w:t>Genoscholar</w:t>
      </w:r>
      <w:r w:rsidRPr="006B6651">
        <w:rPr>
          <w:color w:val="000000" w:themeColor="text1"/>
          <w:w w:val="110"/>
          <w:sz w:val="20"/>
          <w:lang w:val="ru-RU"/>
        </w:rPr>
        <w:t xml:space="preserve"> </w:t>
      </w:r>
      <w:r w:rsidRPr="00973CB8">
        <w:rPr>
          <w:color w:val="000000" w:themeColor="text1"/>
          <w:w w:val="110"/>
          <w:sz w:val="20"/>
        </w:rPr>
        <w:t>PZA</w:t>
      </w:r>
      <w:r w:rsidRPr="006B6651">
        <w:rPr>
          <w:color w:val="000000" w:themeColor="text1"/>
          <w:w w:val="110"/>
          <w:sz w:val="20"/>
          <w:lang w:val="ru-RU"/>
        </w:rPr>
        <w:t>-</w:t>
      </w:r>
      <w:r w:rsidRPr="00973CB8">
        <w:rPr>
          <w:color w:val="000000" w:themeColor="text1"/>
          <w:w w:val="110"/>
          <w:sz w:val="20"/>
        </w:rPr>
        <w:t>TB</w:t>
      </w:r>
      <w:r w:rsidRPr="006B6651">
        <w:rPr>
          <w:color w:val="000000" w:themeColor="text1"/>
          <w:w w:val="110"/>
          <w:sz w:val="20"/>
          <w:lang w:val="ru-RU"/>
        </w:rPr>
        <w:t xml:space="preserve"> не </w:t>
      </w:r>
      <w:proofErr w:type="spellStart"/>
      <w:r w:rsidRPr="006B6651">
        <w:rPr>
          <w:color w:val="000000" w:themeColor="text1"/>
          <w:w w:val="110"/>
          <w:sz w:val="20"/>
          <w:lang w:val="ru-RU"/>
        </w:rPr>
        <w:t>містить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специфічних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зондів</w:t>
      </w:r>
      <w:proofErr w:type="spellEnd"/>
      <w:r w:rsidRPr="006B6651">
        <w:rPr>
          <w:color w:val="000000" w:themeColor="text1"/>
          <w:w w:val="110"/>
          <w:sz w:val="20"/>
          <w:lang w:val="ru-RU"/>
        </w:rPr>
        <w:t xml:space="preserve"> </w:t>
      </w:r>
      <w:r w:rsidRPr="00973CB8">
        <w:rPr>
          <w:color w:val="000000" w:themeColor="text1"/>
          <w:w w:val="110"/>
          <w:sz w:val="20"/>
          <w:lang w:val="uk-UA"/>
        </w:rPr>
        <w:t>до</w:t>
      </w:r>
      <w:r w:rsidRPr="006B6651">
        <w:rPr>
          <w:color w:val="000000" w:themeColor="text1"/>
          <w:w w:val="110"/>
          <w:sz w:val="20"/>
          <w:lang w:val="ru-RU"/>
        </w:rPr>
        <w:t xml:space="preserve"> </w:t>
      </w:r>
      <w:proofErr w:type="spellStart"/>
      <w:r w:rsidRPr="006B6651">
        <w:rPr>
          <w:color w:val="000000" w:themeColor="text1"/>
          <w:w w:val="110"/>
          <w:sz w:val="20"/>
          <w:lang w:val="ru-RU"/>
        </w:rPr>
        <w:t>мутаці</w:t>
      </w:r>
      <w:proofErr w:type="spellEnd"/>
      <w:r w:rsidRPr="00973CB8">
        <w:rPr>
          <w:color w:val="000000" w:themeColor="text1"/>
          <w:w w:val="110"/>
          <w:sz w:val="20"/>
          <w:lang w:val="uk-UA"/>
        </w:rPr>
        <w:t>й</w:t>
      </w:r>
      <w:r w:rsidRPr="006B6651">
        <w:rPr>
          <w:color w:val="000000" w:themeColor="text1"/>
          <w:w w:val="110"/>
          <w:sz w:val="20"/>
          <w:lang w:val="ru-RU"/>
        </w:rPr>
        <w:t xml:space="preserve">, </w:t>
      </w:r>
      <w:proofErr w:type="spellStart"/>
      <w:r w:rsidRPr="006B6651">
        <w:rPr>
          <w:color w:val="000000" w:themeColor="text1"/>
          <w:w w:val="110"/>
          <w:sz w:val="20"/>
          <w:lang w:val="ru-RU"/>
        </w:rPr>
        <w:t>оскільки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мутації</w:t>
      </w:r>
      <w:proofErr w:type="spellEnd"/>
      <w:r w:rsidRPr="00973CB8">
        <w:rPr>
          <w:color w:val="000000" w:themeColor="text1"/>
          <w:w w:val="110"/>
          <w:sz w:val="20"/>
          <w:lang w:val="uk-UA"/>
        </w:rPr>
        <w:t xml:space="preserve">, що спричиняють </w:t>
      </w:r>
      <w:proofErr w:type="spellStart"/>
      <w:r w:rsidRPr="006B6651">
        <w:rPr>
          <w:color w:val="000000" w:themeColor="text1"/>
          <w:w w:val="110"/>
          <w:sz w:val="20"/>
          <w:lang w:val="ru-RU"/>
        </w:rPr>
        <w:t>стійк</w:t>
      </w:r>
      <w:r w:rsidRPr="00973CB8">
        <w:rPr>
          <w:color w:val="000000" w:themeColor="text1"/>
          <w:w w:val="110"/>
          <w:sz w:val="20"/>
          <w:lang w:val="uk-UA"/>
        </w:rPr>
        <w:t>ість</w:t>
      </w:r>
      <w:proofErr w:type="spellEnd"/>
      <w:r w:rsidRPr="00973CB8">
        <w:rPr>
          <w:color w:val="000000" w:themeColor="text1"/>
          <w:w w:val="110"/>
          <w:sz w:val="20"/>
          <w:lang w:val="uk-UA"/>
        </w:rPr>
        <w:t>,</w:t>
      </w:r>
      <w:r w:rsidRPr="006B6651">
        <w:rPr>
          <w:color w:val="000000" w:themeColor="text1"/>
          <w:w w:val="110"/>
          <w:sz w:val="20"/>
          <w:lang w:val="ru-RU"/>
        </w:rPr>
        <w:t xml:space="preserve"> широко </w:t>
      </w:r>
      <w:proofErr w:type="spellStart"/>
      <w:r w:rsidRPr="006B6651">
        <w:rPr>
          <w:color w:val="000000" w:themeColor="text1"/>
          <w:w w:val="110"/>
          <w:sz w:val="20"/>
          <w:lang w:val="ru-RU"/>
        </w:rPr>
        <w:t>розповсюджені</w:t>
      </w:r>
      <w:proofErr w:type="spellEnd"/>
      <w:r w:rsidRPr="006B6651">
        <w:rPr>
          <w:color w:val="000000" w:themeColor="text1"/>
          <w:w w:val="110"/>
          <w:sz w:val="20"/>
          <w:lang w:val="ru-RU"/>
        </w:rPr>
        <w:t xml:space="preserve"> по </w:t>
      </w:r>
      <w:proofErr w:type="spellStart"/>
      <w:r w:rsidRPr="006B6651">
        <w:rPr>
          <w:color w:val="000000" w:themeColor="text1"/>
          <w:w w:val="110"/>
          <w:sz w:val="20"/>
          <w:lang w:val="ru-RU"/>
        </w:rPr>
        <w:t>всьому</w:t>
      </w:r>
      <w:proofErr w:type="spellEnd"/>
      <w:r w:rsidRPr="006B6651">
        <w:rPr>
          <w:color w:val="000000" w:themeColor="text1"/>
          <w:w w:val="110"/>
          <w:sz w:val="20"/>
          <w:lang w:val="ru-RU"/>
        </w:rPr>
        <w:t xml:space="preserve"> гену </w:t>
      </w:r>
      <w:proofErr w:type="spellStart"/>
      <w:r w:rsidRPr="00973CB8">
        <w:rPr>
          <w:i/>
          <w:color w:val="000000" w:themeColor="text1"/>
          <w:w w:val="110"/>
          <w:sz w:val="20"/>
        </w:rPr>
        <w:t>pnc</w:t>
      </w:r>
      <w:r w:rsidRPr="00973CB8">
        <w:rPr>
          <w:color w:val="000000" w:themeColor="text1"/>
          <w:w w:val="110"/>
          <w:sz w:val="20"/>
        </w:rPr>
        <w:t>A</w:t>
      </w:r>
      <w:proofErr w:type="spellEnd"/>
      <w:r w:rsidRPr="006B6651">
        <w:rPr>
          <w:color w:val="000000" w:themeColor="text1"/>
          <w:w w:val="110"/>
          <w:sz w:val="20"/>
          <w:lang w:val="ru-RU"/>
        </w:rPr>
        <w:t xml:space="preserve"> і </w:t>
      </w:r>
      <w:r w:rsidRPr="00973CB8">
        <w:rPr>
          <w:color w:val="000000" w:themeColor="text1"/>
          <w:w w:val="110"/>
          <w:sz w:val="20"/>
          <w:lang w:val="uk-UA"/>
        </w:rPr>
        <w:t>немає</w:t>
      </w:r>
      <w:r w:rsidRPr="006B6651">
        <w:rPr>
          <w:color w:val="000000" w:themeColor="text1"/>
          <w:w w:val="110"/>
          <w:sz w:val="20"/>
          <w:lang w:val="ru-RU"/>
        </w:rPr>
        <w:t xml:space="preserve"> </w:t>
      </w:r>
      <w:proofErr w:type="spellStart"/>
      <w:r w:rsidRPr="006B6651">
        <w:rPr>
          <w:color w:val="000000" w:themeColor="text1"/>
          <w:w w:val="110"/>
          <w:sz w:val="20"/>
          <w:lang w:val="ru-RU"/>
        </w:rPr>
        <w:t>мутацій</w:t>
      </w:r>
      <w:proofErr w:type="spellEnd"/>
      <w:r w:rsidRPr="00973CB8">
        <w:rPr>
          <w:color w:val="000000" w:themeColor="text1"/>
          <w:w w:val="110"/>
          <w:sz w:val="20"/>
          <w:lang w:val="uk-UA"/>
        </w:rPr>
        <w:t>, які переважають</w:t>
      </w:r>
      <w:r w:rsidRPr="006B6651">
        <w:rPr>
          <w:color w:val="000000" w:themeColor="text1"/>
          <w:w w:val="110"/>
          <w:sz w:val="20"/>
          <w:lang w:val="ru-RU"/>
        </w:rPr>
        <w:t xml:space="preserve">. </w:t>
      </w:r>
    </w:p>
    <w:p w14:paraId="63A68D78" w14:textId="7F4EED2C" w:rsidR="008A0E77" w:rsidRPr="008A0E77" w:rsidRDefault="008A0E77" w:rsidP="00392DCF">
      <w:pPr>
        <w:pStyle w:val="a3"/>
        <w:spacing w:before="209" w:line="276" w:lineRule="auto"/>
        <w:ind w:left="567" w:right="144"/>
        <w:jc w:val="both"/>
        <w:rPr>
          <w:color w:val="000000" w:themeColor="text1"/>
          <w:sz w:val="20"/>
          <w:lang w:val="ru-RU"/>
        </w:rPr>
      </w:pPr>
      <w:r>
        <w:rPr>
          <w:color w:val="000000" w:themeColor="text1"/>
          <w:w w:val="110"/>
          <w:sz w:val="20"/>
          <w:lang w:val="uk-UA"/>
        </w:rPr>
        <w:lastRenderedPageBreak/>
        <w:t>Т</w:t>
      </w:r>
      <w:r w:rsidRPr="006B6651">
        <w:rPr>
          <w:color w:val="000000" w:themeColor="text1"/>
          <w:w w:val="110"/>
          <w:sz w:val="20"/>
          <w:lang w:val="ru-RU"/>
        </w:rPr>
        <w:t>ест</w:t>
      </w:r>
      <w:r>
        <w:rPr>
          <w:color w:val="000000" w:themeColor="text1"/>
          <w:w w:val="110"/>
          <w:sz w:val="20"/>
          <w:lang w:val="uk-UA"/>
        </w:rPr>
        <w:t>-система</w:t>
      </w:r>
      <w:r w:rsidRPr="006B6651">
        <w:rPr>
          <w:color w:val="000000" w:themeColor="text1"/>
          <w:w w:val="110"/>
          <w:sz w:val="20"/>
          <w:lang w:val="ru-RU"/>
        </w:rPr>
        <w:t xml:space="preserve"> </w:t>
      </w:r>
      <w:r w:rsidRPr="00973CB8">
        <w:rPr>
          <w:color w:val="000000" w:themeColor="text1"/>
          <w:w w:val="110"/>
          <w:sz w:val="20"/>
        </w:rPr>
        <w:t>Genoscholar</w:t>
      </w:r>
      <w:r w:rsidRPr="006B6651">
        <w:rPr>
          <w:color w:val="000000" w:themeColor="text1"/>
          <w:w w:val="110"/>
          <w:sz w:val="20"/>
          <w:lang w:val="ru-RU"/>
        </w:rPr>
        <w:t xml:space="preserve"> </w:t>
      </w:r>
      <w:r w:rsidRPr="00973CB8">
        <w:rPr>
          <w:color w:val="000000" w:themeColor="text1"/>
          <w:w w:val="110"/>
          <w:sz w:val="20"/>
        </w:rPr>
        <w:t>PZA</w:t>
      </w:r>
      <w:r w:rsidRPr="006B6651">
        <w:rPr>
          <w:color w:val="000000" w:themeColor="text1"/>
          <w:w w:val="110"/>
          <w:sz w:val="20"/>
          <w:lang w:val="ru-RU"/>
        </w:rPr>
        <w:t>-</w:t>
      </w:r>
      <w:r w:rsidRPr="00973CB8">
        <w:rPr>
          <w:color w:val="000000" w:themeColor="text1"/>
          <w:w w:val="110"/>
          <w:sz w:val="20"/>
        </w:rPr>
        <w:t>TB</w:t>
      </w:r>
      <w:r w:rsidRPr="006B6651">
        <w:rPr>
          <w:color w:val="000000" w:themeColor="text1"/>
          <w:w w:val="110"/>
          <w:sz w:val="20"/>
          <w:lang w:val="ru-RU"/>
        </w:rPr>
        <w:t xml:space="preserve"> </w:t>
      </w:r>
      <w:proofErr w:type="spellStart"/>
      <w:r w:rsidRPr="006B6651">
        <w:rPr>
          <w:color w:val="000000" w:themeColor="text1"/>
          <w:w w:val="110"/>
          <w:sz w:val="20"/>
          <w:lang w:val="ru-RU"/>
        </w:rPr>
        <w:t>націлен</w:t>
      </w:r>
      <w:proofErr w:type="spellEnd"/>
      <w:r>
        <w:rPr>
          <w:color w:val="000000" w:themeColor="text1"/>
          <w:w w:val="110"/>
          <w:sz w:val="20"/>
          <w:lang w:val="uk-UA"/>
        </w:rPr>
        <w:t>а</w:t>
      </w:r>
      <w:r w:rsidRPr="006B6651">
        <w:rPr>
          <w:color w:val="000000" w:themeColor="text1"/>
          <w:w w:val="110"/>
          <w:sz w:val="20"/>
          <w:lang w:val="ru-RU"/>
        </w:rPr>
        <w:t xml:space="preserve"> на фрагмент </w:t>
      </w:r>
      <w:proofErr w:type="spellStart"/>
      <w:r w:rsidRPr="006B6651">
        <w:rPr>
          <w:color w:val="000000" w:themeColor="text1"/>
          <w:w w:val="110"/>
          <w:sz w:val="20"/>
          <w:lang w:val="ru-RU"/>
        </w:rPr>
        <w:t>довжиною</w:t>
      </w:r>
      <w:proofErr w:type="spellEnd"/>
      <w:r w:rsidRPr="006B6651">
        <w:rPr>
          <w:color w:val="000000" w:themeColor="text1"/>
          <w:w w:val="110"/>
          <w:sz w:val="20"/>
          <w:lang w:val="ru-RU"/>
        </w:rPr>
        <w:t xml:space="preserve"> </w:t>
      </w:r>
      <w:r w:rsidRPr="008A0E77">
        <w:rPr>
          <w:color w:val="000000" w:themeColor="text1"/>
          <w:w w:val="110"/>
          <w:sz w:val="20"/>
          <w:lang w:val="ru-RU"/>
        </w:rPr>
        <w:t>700 пар основ (по),</w:t>
      </w:r>
      <w:r w:rsidR="00392DCF">
        <w:rPr>
          <w:color w:val="000000" w:themeColor="text1"/>
          <w:w w:val="110"/>
          <w:sz w:val="20"/>
          <w:lang w:val="ru-RU"/>
        </w:rPr>
        <w:t xml:space="preserve"> </w:t>
      </w:r>
      <w:proofErr w:type="spellStart"/>
      <w:r w:rsidRPr="008A0E77">
        <w:rPr>
          <w:color w:val="000000" w:themeColor="text1"/>
          <w:w w:val="110"/>
          <w:sz w:val="20"/>
          <w:lang w:val="ru-RU"/>
        </w:rPr>
        <w:t>охоплює</w:t>
      </w:r>
      <w:proofErr w:type="spellEnd"/>
      <w:r w:rsidRPr="008A0E77">
        <w:rPr>
          <w:color w:val="000000" w:themeColor="text1"/>
          <w:w w:val="110"/>
          <w:sz w:val="20"/>
          <w:lang w:val="ru-RU"/>
        </w:rPr>
        <w:t xml:space="preserve"> весь ген </w:t>
      </w:r>
      <w:proofErr w:type="spellStart"/>
      <w:r w:rsidRPr="00973CB8">
        <w:rPr>
          <w:i/>
          <w:color w:val="000000" w:themeColor="text1"/>
          <w:w w:val="110"/>
          <w:sz w:val="20"/>
        </w:rPr>
        <w:t>pnc</w:t>
      </w:r>
      <w:r w:rsidRPr="00973CB8">
        <w:rPr>
          <w:color w:val="000000" w:themeColor="text1"/>
          <w:w w:val="110"/>
          <w:sz w:val="20"/>
        </w:rPr>
        <w:t>A</w:t>
      </w:r>
      <w:proofErr w:type="spellEnd"/>
      <w:r w:rsidRPr="008A0E77">
        <w:rPr>
          <w:color w:val="000000" w:themeColor="text1"/>
          <w:w w:val="110"/>
          <w:sz w:val="20"/>
          <w:lang w:val="ru-RU"/>
        </w:rPr>
        <w:t xml:space="preserve"> та промотор</w:t>
      </w:r>
      <w:r w:rsidRPr="00973CB8">
        <w:rPr>
          <w:color w:val="000000" w:themeColor="text1"/>
          <w:w w:val="110"/>
          <w:sz w:val="20"/>
          <w:lang w:val="uk-UA"/>
        </w:rPr>
        <w:t xml:space="preserve"> </w:t>
      </w:r>
      <w:r w:rsidRPr="008A0E77">
        <w:rPr>
          <w:color w:val="000000" w:themeColor="text1"/>
          <w:w w:val="110"/>
          <w:sz w:val="20"/>
          <w:lang w:val="ru-RU"/>
        </w:rPr>
        <w:t xml:space="preserve">до нуклеотиду –18 </w:t>
      </w:r>
      <w:proofErr w:type="spellStart"/>
      <w:r w:rsidRPr="008A0E77">
        <w:rPr>
          <w:color w:val="000000" w:themeColor="text1"/>
          <w:w w:val="110"/>
          <w:sz w:val="20"/>
          <w:lang w:val="ru-RU"/>
        </w:rPr>
        <w:t>еталонного</w:t>
      </w:r>
      <w:proofErr w:type="spellEnd"/>
      <w:r w:rsidRPr="008A0E77">
        <w:rPr>
          <w:color w:val="000000" w:themeColor="text1"/>
          <w:w w:val="110"/>
          <w:sz w:val="20"/>
          <w:lang w:val="ru-RU"/>
        </w:rPr>
        <w:t xml:space="preserve"> </w:t>
      </w:r>
      <w:proofErr w:type="spellStart"/>
      <w:r w:rsidRPr="008A0E77">
        <w:rPr>
          <w:color w:val="000000" w:themeColor="text1"/>
          <w:w w:val="110"/>
          <w:sz w:val="20"/>
          <w:lang w:val="ru-RU"/>
        </w:rPr>
        <w:t>штаму</w:t>
      </w:r>
      <w:proofErr w:type="spellEnd"/>
      <w:r w:rsidRPr="008A0E77">
        <w:rPr>
          <w:color w:val="000000" w:themeColor="text1"/>
          <w:w w:val="110"/>
          <w:sz w:val="20"/>
          <w:lang w:val="ru-RU"/>
        </w:rPr>
        <w:t xml:space="preserve"> </w:t>
      </w:r>
      <w:r w:rsidRPr="00973CB8">
        <w:rPr>
          <w:color w:val="000000" w:themeColor="text1"/>
          <w:w w:val="110"/>
          <w:sz w:val="20"/>
        </w:rPr>
        <w:t>H</w:t>
      </w:r>
      <w:r w:rsidRPr="008A0E77">
        <w:rPr>
          <w:color w:val="000000" w:themeColor="text1"/>
          <w:w w:val="110"/>
          <w:sz w:val="20"/>
          <w:lang w:val="ru-RU"/>
        </w:rPr>
        <w:t>37</w:t>
      </w:r>
      <w:proofErr w:type="spellStart"/>
      <w:r w:rsidRPr="00973CB8">
        <w:rPr>
          <w:color w:val="000000" w:themeColor="text1"/>
          <w:w w:val="110"/>
          <w:sz w:val="20"/>
        </w:rPr>
        <w:t>Rv</w:t>
      </w:r>
      <w:proofErr w:type="spellEnd"/>
      <w:r w:rsidRPr="008A0E77">
        <w:rPr>
          <w:color w:val="000000" w:themeColor="text1"/>
          <w:w w:val="110"/>
          <w:sz w:val="20"/>
          <w:lang w:val="ru-RU"/>
        </w:rPr>
        <w:t xml:space="preserve"> дикого типу.</w:t>
      </w:r>
    </w:p>
    <w:p w14:paraId="078E0E83" w14:textId="77777777" w:rsidR="008A0E77" w:rsidRPr="008A0E77" w:rsidRDefault="008A0E77" w:rsidP="00392DCF">
      <w:pPr>
        <w:pStyle w:val="a3"/>
        <w:tabs>
          <w:tab w:val="left" w:pos="9356"/>
        </w:tabs>
        <w:spacing w:before="2"/>
        <w:ind w:left="993" w:right="144"/>
        <w:rPr>
          <w:sz w:val="18"/>
          <w:lang w:val="ru-RU"/>
        </w:rPr>
      </w:pPr>
    </w:p>
    <w:p w14:paraId="0E240938" w14:textId="031D3EEC" w:rsidR="00E05B98" w:rsidRPr="003C6DAE" w:rsidRDefault="008A0E77" w:rsidP="008A0E77">
      <w:pPr>
        <w:pStyle w:val="6"/>
        <w:spacing w:before="238" w:line="268" w:lineRule="auto"/>
        <w:ind w:right="172"/>
        <w:jc w:val="both"/>
        <w:rPr>
          <w:lang w:val="uk-UA"/>
        </w:rPr>
      </w:pPr>
      <w:r w:rsidRPr="0023327E">
        <w:rPr>
          <w:rFonts w:ascii="Microsoft Sans Serif" w:hAnsi="Microsoft Sans Serif" w:cs="Microsoft Sans Serif"/>
          <w:color w:val="636466"/>
          <w:w w:val="115"/>
          <w:sz w:val="22"/>
          <w:lang w:val="ru-RU"/>
        </w:rPr>
        <w:t>Рис. 2.4.4.1 С</w:t>
      </w:r>
      <w:proofErr w:type="spellStart"/>
      <w:r w:rsidRPr="00784388">
        <w:rPr>
          <w:rFonts w:ascii="Microsoft Sans Serif" w:hAnsi="Microsoft Sans Serif" w:cs="Microsoft Sans Serif"/>
          <w:color w:val="636466"/>
          <w:w w:val="115"/>
          <w:sz w:val="22"/>
          <w:lang w:val="uk-UA"/>
        </w:rPr>
        <w:t>мужка</w:t>
      </w:r>
      <w:proofErr w:type="spellEnd"/>
      <w:r w:rsidRPr="0023327E">
        <w:rPr>
          <w:rFonts w:ascii="Microsoft Sans Serif" w:hAnsi="Microsoft Sans Serif" w:cs="Microsoft Sans Serif"/>
          <w:color w:val="636466"/>
          <w:w w:val="115"/>
          <w:sz w:val="22"/>
          <w:lang w:val="ru-RU"/>
        </w:rPr>
        <w:t xml:space="preserve"> </w:t>
      </w:r>
      <w:r w:rsidRPr="00784388">
        <w:rPr>
          <w:rFonts w:ascii="Microsoft Sans Serif" w:hAnsi="Microsoft Sans Serif" w:cs="Microsoft Sans Serif"/>
          <w:color w:val="636466"/>
          <w:w w:val="115"/>
          <w:sz w:val="22"/>
        </w:rPr>
        <w:t>Nipro</w:t>
      </w:r>
      <w:r w:rsidRPr="0023327E">
        <w:rPr>
          <w:rFonts w:ascii="Microsoft Sans Serif" w:hAnsi="Microsoft Sans Serif" w:cs="Microsoft Sans Serif"/>
          <w:color w:val="636466"/>
          <w:w w:val="115"/>
          <w:sz w:val="22"/>
          <w:lang w:val="ru-RU"/>
        </w:rPr>
        <w:t xml:space="preserve"> </w:t>
      </w:r>
      <w:proofErr w:type="spellStart"/>
      <w:r w:rsidRPr="00857E97">
        <w:rPr>
          <w:rFonts w:ascii="Microsoft Sans Serif" w:hAnsi="Microsoft Sans Serif" w:cs="Microsoft Sans Serif"/>
          <w:color w:val="636466"/>
          <w:w w:val="115"/>
          <w:sz w:val="22"/>
        </w:rPr>
        <w:t>GenoScholar</w:t>
      </w:r>
      <w:proofErr w:type="spellEnd"/>
      <w:r w:rsidRPr="0023327E">
        <w:rPr>
          <w:rFonts w:ascii="Microsoft Sans Serif" w:hAnsi="Microsoft Sans Serif" w:cs="Microsoft Sans Serif"/>
          <w:color w:val="636466"/>
          <w:w w:val="115"/>
          <w:sz w:val="22"/>
          <w:lang w:val="ru-RU"/>
        </w:rPr>
        <w:t xml:space="preserve"> </w:t>
      </w:r>
      <w:r w:rsidRPr="00857E97">
        <w:rPr>
          <w:rFonts w:ascii="Microsoft Sans Serif" w:hAnsi="Microsoft Sans Serif" w:cs="Microsoft Sans Serif"/>
          <w:color w:val="636466"/>
          <w:w w:val="115"/>
          <w:sz w:val="22"/>
        </w:rPr>
        <w:t>PZA</w:t>
      </w:r>
      <w:r w:rsidRPr="0023327E">
        <w:rPr>
          <w:rFonts w:ascii="Microsoft Sans Serif" w:hAnsi="Microsoft Sans Serif" w:cs="Microsoft Sans Serif"/>
          <w:color w:val="636466"/>
          <w:w w:val="115"/>
          <w:sz w:val="22"/>
          <w:lang w:val="ru-RU"/>
        </w:rPr>
        <w:t>-</w:t>
      </w:r>
      <w:r w:rsidRPr="00857E97">
        <w:rPr>
          <w:rFonts w:ascii="Microsoft Sans Serif" w:hAnsi="Microsoft Sans Serif" w:cs="Microsoft Sans Serif"/>
          <w:color w:val="636466"/>
          <w:w w:val="115"/>
          <w:sz w:val="22"/>
        </w:rPr>
        <w:t>TB</w:t>
      </w:r>
      <w:r w:rsidRPr="0023327E">
        <w:rPr>
          <w:rFonts w:ascii="Microsoft Sans Serif" w:hAnsi="Microsoft Sans Serif" w:cs="Microsoft Sans Serif"/>
          <w:color w:val="636466"/>
          <w:w w:val="115"/>
          <w:sz w:val="22"/>
          <w:lang w:val="ru-RU"/>
        </w:rPr>
        <w:t xml:space="preserve"> </w:t>
      </w:r>
      <w:r w:rsidRPr="00857E97">
        <w:rPr>
          <w:rFonts w:ascii="Microsoft Sans Serif" w:hAnsi="Microsoft Sans Serif" w:cs="Microsoft Sans Serif"/>
          <w:color w:val="636466"/>
          <w:w w:val="115"/>
          <w:sz w:val="22"/>
        </w:rPr>
        <w:t>II</w:t>
      </w:r>
      <w:r w:rsidRPr="0023327E">
        <w:rPr>
          <w:rFonts w:ascii="Microsoft Sans Serif" w:hAnsi="Microsoft Sans Serif" w:cs="Microsoft Sans Serif"/>
          <w:color w:val="636466"/>
          <w:w w:val="115"/>
          <w:sz w:val="22"/>
          <w:lang w:val="ru-RU"/>
        </w:rPr>
        <w:t xml:space="preserve"> (а) та </w:t>
      </w:r>
      <w:proofErr w:type="spellStart"/>
      <w:r w:rsidRPr="0023327E">
        <w:rPr>
          <w:rFonts w:ascii="Microsoft Sans Serif" w:hAnsi="Microsoft Sans Serif" w:cs="Microsoft Sans Serif"/>
          <w:color w:val="636466"/>
          <w:w w:val="115"/>
          <w:sz w:val="22"/>
          <w:lang w:val="ru-RU"/>
        </w:rPr>
        <w:t>вміст</w:t>
      </w:r>
      <w:proofErr w:type="spellEnd"/>
      <w:r w:rsidRPr="0023327E">
        <w:rPr>
          <w:rFonts w:ascii="Microsoft Sans Serif" w:hAnsi="Microsoft Sans Serif" w:cs="Microsoft Sans Serif"/>
          <w:color w:val="636466"/>
          <w:w w:val="115"/>
          <w:sz w:val="22"/>
          <w:lang w:val="ru-RU"/>
        </w:rPr>
        <w:t xml:space="preserve"> набору </w:t>
      </w:r>
      <w:r w:rsidRPr="00857E97">
        <w:rPr>
          <w:rFonts w:ascii="Microsoft Sans Serif" w:hAnsi="Microsoft Sans Serif" w:cs="Microsoft Sans Serif"/>
          <w:color w:val="636466"/>
          <w:w w:val="115"/>
          <w:sz w:val="22"/>
        </w:rPr>
        <w:t>Nipro</w:t>
      </w:r>
      <w:r w:rsidRPr="0023327E">
        <w:rPr>
          <w:rFonts w:ascii="Microsoft Sans Serif" w:hAnsi="Microsoft Sans Serif" w:cs="Microsoft Sans Serif"/>
          <w:color w:val="636466"/>
          <w:w w:val="115"/>
          <w:sz w:val="22"/>
          <w:lang w:val="ru-RU"/>
        </w:rPr>
        <w:t xml:space="preserve"> </w:t>
      </w:r>
      <w:proofErr w:type="spellStart"/>
      <w:r w:rsidRPr="00857E97">
        <w:rPr>
          <w:rFonts w:ascii="Microsoft Sans Serif" w:hAnsi="Microsoft Sans Serif" w:cs="Microsoft Sans Serif"/>
          <w:color w:val="636466"/>
          <w:w w:val="115"/>
          <w:sz w:val="22"/>
        </w:rPr>
        <w:t>GenoScholar</w:t>
      </w:r>
      <w:proofErr w:type="spellEnd"/>
      <w:r w:rsidRPr="0023327E">
        <w:rPr>
          <w:rFonts w:ascii="Microsoft Sans Serif" w:hAnsi="Microsoft Sans Serif" w:cs="Microsoft Sans Serif"/>
          <w:color w:val="636466"/>
          <w:w w:val="115"/>
          <w:sz w:val="22"/>
          <w:lang w:val="ru-RU"/>
        </w:rPr>
        <w:t xml:space="preserve"> </w:t>
      </w:r>
      <w:r w:rsidRPr="00857E97">
        <w:rPr>
          <w:rFonts w:ascii="Microsoft Sans Serif" w:hAnsi="Microsoft Sans Serif" w:cs="Microsoft Sans Serif"/>
          <w:color w:val="636466"/>
          <w:w w:val="115"/>
          <w:sz w:val="22"/>
        </w:rPr>
        <w:t>PZA</w:t>
      </w:r>
      <w:r w:rsidRPr="0023327E">
        <w:rPr>
          <w:rFonts w:ascii="Microsoft Sans Serif" w:hAnsi="Microsoft Sans Serif" w:cs="Microsoft Sans Serif"/>
          <w:color w:val="636466"/>
          <w:w w:val="115"/>
          <w:sz w:val="22"/>
          <w:lang w:val="ru-RU"/>
        </w:rPr>
        <w:t>-</w:t>
      </w:r>
      <w:r w:rsidRPr="00857E97">
        <w:rPr>
          <w:rFonts w:ascii="Microsoft Sans Serif" w:hAnsi="Microsoft Sans Serif" w:cs="Microsoft Sans Serif"/>
          <w:color w:val="636466"/>
          <w:w w:val="115"/>
          <w:sz w:val="22"/>
        </w:rPr>
        <w:t>TB</w:t>
      </w:r>
      <w:r w:rsidRPr="0023327E">
        <w:rPr>
          <w:rFonts w:ascii="Microsoft Sans Serif" w:hAnsi="Microsoft Sans Serif" w:cs="Microsoft Sans Serif"/>
          <w:color w:val="636466"/>
          <w:w w:val="115"/>
          <w:sz w:val="22"/>
          <w:lang w:val="ru-RU"/>
        </w:rPr>
        <w:t xml:space="preserve"> </w:t>
      </w:r>
      <w:r w:rsidRPr="00857E97">
        <w:rPr>
          <w:rFonts w:ascii="Microsoft Sans Serif" w:hAnsi="Microsoft Sans Serif" w:cs="Microsoft Sans Serif"/>
          <w:color w:val="636466"/>
          <w:w w:val="115"/>
          <w:sz w:val="22"/>
        </w:rPr>
        <w:t>II</w:t>
      </w:r>
      <w:r w:rsidRPr="0023327E">
        <w:rPr>
          <w:rFonts w:ascii="Microsoft Sans Serif" w:hAnsi="Microsoft Sans Serif" w:cs="Microsoft Sans Serif"/>
          <w:color w:val="636466"/>
          <w:w w:val="115"/>
          <w:sz w:val="22"/>
          <w:lang w:val="ru-RU"/>
        </w:rPr>
        <w:t xml:space="preserve"> (б)</w:t>
      </w:r>
    </w:p>
    <w:p w14:paraId="17825208" w14:textId="77777777" w:rsidR="00E05B98" w:rsidRPr="003C6DAE" w:rsidRDefault="00B01E0C">
      <w:pPr>
        <w:pStyle w:val="a3"/>
        <w:spacing w:before="5"/>
        <w:rPr>
          <w:rFonts w:ascii="Arial"/>
          <w:b/>
          <w:sz w:val="20"/>
          <w:lang w:val="uk-UA"/>
        </w:rPr>
      </w:pPr>
      <w:r w:rsidRPr="003C6DAE">
        <w:rPr>
          <w:rFonts w:ascii="Arial"/>
          <w:b/>
          <w:noProof/>
          <w:sz w:val="20"/>
          <w:lang w:val="uk-UA"/>
        </w:rPr>
        <w:drawing>
          <wp:anchor distT="0" distB="0" distL="0" distR="0" simplePos="0" relativeHeight="488032768" behindDoc="1" locked="0" layoutInCell="1" allowOverlap="1" wp14:anchorId="09803F16" wp14:editId="1800F607">
            <wp:simplePos x="0" y="0"/>
            <wp:positionH relativeFrom="page">
              <wp:posOffset>912253</wp:posOffset>
            </wp:positionH>
            <wp:positionV relativeFrom="paragraph">
              <wp:posOffset>164894</wp:posOffset>
            </wp:positionV>
            <wp:extent cx="2005843" cy="3103721"/>
            <wp:effectExtent l="0" t="0" r="0" b="0"/>
            <wp:wrapTopAndBottom/>
            <wp:docPr id="2860" name="Image 2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0" name="Image 2860"/>
                    <pic:cNvPicPr/>
                  </pic:nvPicPr>
                  <pic:blipFill>
                    <a:blip r:embed="rId109" cstate="print"/>
                    <a:stretch>
                      <a:fillRect/>
                    </a:stretch>
                  </pic:blipFill>
                  <pic:spPr>
                    <a:xfrm>
                      <a:off x="0" y="0"/>
                      <a:ext cx="2005843" cy="3103721"/>
                    </a:xfrm>
                    <a:prstGeom prst="rect">
                      <a:avLst/>
                    </a:prstGeom>
                  </pic:spPr>
                </pic:pic>
              </a:graphicData>
            </a:graphic>
          </wp:anchor>
        </w:drawing>
      </w:r>
      <w:r w:rsidRPr="003C6DAE">
        <w:rPr>
          <w:rFonts w:ascii="Arial"/>
          <w:b/>
          <w:noProof/>
          <w:sz w:val="20"/>
          <w:lang w:val="uk-UA"/>
        </w:rPr>
        <w:drawing>
          <wp:anchor distT="0" distB="0" distL="0" distR="0" simplePos="0" relativeHeight="488033280" behindDoc="1" locked="0" layoutInCell="1" allowOverlap="1" wp14:anchorId="77EB2582" wp14:editId="130AEA8F">
            <wp:simplePos x="0" y="0"/>
            <wp:positionH relativeFrom="page">
              <wp:posOffset>3468199</wp:posOffset>
            </wp:positionH>
            <wp:positionV relativeFrom="paragraph">
              <wp:posOffset>767115</wp:posOffset>
            </wp:positionV>
            <wp:extent cx="3196383" cy="2492311"/>
            <wp:effectExtent l="0" t="0" r="0" b="0"/>
            <wp:wrapTopAndBottom/>
            <wp:docPr id="2861" name="Image 2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1" name="Image 2861"/>
                    <pic:cNvPicPr/>
                  </pic:nvPicPr>
                  <pic:blipFill>
                    <a:blip r:embed="rId110" cstate="print"/>
                    <a:stretch>
                      <a:fillRect/>
                    </a:stretch>
                  </pic:blipFill>
                  <pic:spPr>
                    <a:xfrm>
                      <a:off x="0" y="0"/>
                      <a:ext cx="3196383" cy="2492311"/>
                    </a:xfrm>
                    <a:prstGeom prst="rect">
                      <a:avLst/>
                    </a:prstGeom>
                  </pic:spPr>
                </pic:pic>
              </a:graphicData>
            </a:graphic>
          </wp:anchor>
        </w:drawing>
      </w:r>
      <w:r w:rsidRPr="003C6DAE">
        <w:rPr>
          <w:rFonts w:ascii="Arial"/>
          <w:b/>
          <w:noProof/>
          <w:sz w:val="20"/>
          <w:lang w:val="uk-UA"/>
        </w:rPr>
        <mc:AlternateContent>
          <mc:Choice Requires="wpg">
            <w:drawing>
              <wp:anchor distT="0" distB="0" distL="0" distR="0" simplePos="0" relativeHeight="488033792" behindDoc="1" locked="0" layoutInCell="1" allowOverlap="1" wp14:anchorId="24D52D05" wp14:editId="212CCDB8">
                <wp:simplePos x="0" y="0"/>
                <wp:positionH relativeFrom="page">
                  <wp:posOffset>899999</wp:posOffset>
                </wp:positionH>
                <wp:positionV relativeFrom="paragraph">
                  <wp:posOffset>3332867</wp:posOffset>
                </wp:positionV>
                <wp:extent cx="192405" cy="192405"/>
                <wp:effectExtent l="0" t="0" r="0" b="0"/>
                <wp:wrapTopAndBottom/>
                <wp:docPr id="2862" name="Group 2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 cy="192405"/>
                          <a:chOff x="0" y="0"/>
                          <a:chExt cx="192405" cy="192405"/>
                        </a:xfrm>
                      </wpg:grpSpPr>
                      <pic:pic xmlns:pic="http://schemas.openxmlformats.org/drawingml/2006/picture">
                        <pic:nvPicPr>
                          <pic:cNvPr id="2863" name="Image 2863"/>
                          <pic:cNvPicPr/>
                        </pic:nvPicPr>
                        <pic:blipFill>
                          <a:blip r:embed="rId111" cstate="print"/>
                          <a:stretch>
                            <a:fillRect/>
                          </a:stretch>
                        </pic:blipFill>
                        <pic:spPr>
                          <a:xfrm>
                            <a:off x="0" y="0"/>
                            <a:ext cx="191998" cy="192011"/>
                          </a:xfrm>
                          <a:prstGeom prst="rect">
                            <a:avLst/>
                          </a:prstGeom>
                        </pic:spPr>
                      </pic:pic>
                      <wps:wsp>
                        <wps:cNvPr id="2864" name="Textbox 2864"/>
                        <wps:cNvSpPr txBox="1"/>
                        <wps:spPr>
                          <a:xfrm>
                            <a:off x="0" y="0"/>
                            <a:ext cx="192405" cy="192405"/>
                          </a:xfrm>
                          <a:prstGeom prst="rect">
                            <a:avLst/>
                          </a:prstGeom>
                        </wps:spPr>
                        <wps:txbx>
                          <w:txbxContent>
                            <w:p w14:paraId="10C405E4" w14:textId="77777777" w:rsidR="007372B2" w:rsidRDefault="007372B2">
                              <w:pPr>
                                <w:spacing w:line="280" w:lineRule="exact"/>
                                <w:ind w:left="77"/>
                                <w:rPr>
                                  <w:sz w:val="26"/>
                                </w:rPr>
                              </w:pPr>
                              <w:r>
                                <w:rPr>
                                  <w:color w:val="FFFFFF"/>
                                  <w:spacing w:val="-10"/>
                                  <w:sz w:val="26"/>
                                </w:rPr>
                                <w:t>a</w:t>
                              </w:r>
                            </w:p>
                          </w:txbxContent>
                        </wps:txbx>
                        <wps:bodyPr wrap="square" lIns="0" tIns="0" rIns="0" bIns="0" rtlCol="0">
                          <a:noAutofit/>
                        </wps:bodyPr>
                      </wps:wsp>
                    </wpg:wgp>
                  </a:graphicData>
                </a:graphic>
              </wp:anchor>
            </w:drawing>
          </mc:Choice>
          <mc:Fallback>
            <w:pict>
              <v:group w14:anchorId="24D52D05" id="Group 2862" o:spid="_x0000_s1160" style="position:absolute;margin-left:70.85pt;margin-top:262.45pt;width:15.15pt;height:15.15pt;z-index:-15282688;mso-wrap-distance-left:0;mso-wrap-distance-right:0;mso-position-horizontal-relative:page;mso-position-vertical-relative:text" coordsize="192405,19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">
                <v:shape id="Image 2863" o:spid="_x0000_s1161" type="#_x0000_t75" style="position:absolute;width:191998;height:19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">
                  <v:imagedata r:id="rId112" o:title=""/>
                </v:shape>
                <v:shape id="Textbox 2864" o:spid="_x0000_s1162" type="#_x0000_t202" style="position:absolute;width:192405;height:19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" filled="f" stroked="f">
                  <v:textbox inset="0,0,0,0">
                    <w:txbxContent>
                      <w:p w14:paraId="10C405E4" w14:textId="77777777" w:rsidR="007372B2" w:rsidRDefault="007372B2">
                        <w:pPr>
                          <w:spacing w:line="280" w:lineRule="exact"/>
                          <w:ind w:left="77"/>
                          <w:rPr>
                            <w:sz w:val="26"/>
                          </w:rPr>
                        </w:pPr>
                        <w:r>
                          <w:rPr>
                            <w:color w:val="FFFFFF"/>
                            <w:spacing w:val="-10"/>
                            <w:sz w:val="26"/>
                          </w:rPr>
                          <w:t>a</w:t>
                        </w:r>
                      </w:p>
                    </w:txbxContent>
                  </v:textbox>
                </v:shape>
                <w10:wrap type="topAndBottom" anchorx="page"/>
              </v:group>
            </w:pict>
          </mc:Fallback>
        </mc:AlternateContent>
      </w:r>
      <w:r w:rsidRPr="003C6DAE">
        <w:rPr>
          <w:rFonts w:ascii="Arial"/>
          <w:b/>
          <w:noProof/>
          <w:sz w:val="20"/>
          <w:lang w:val="uk-UA"/>
        </w:rPr>
        <mc:AlternateContent>
          <mc:Choice Requires="wpg">
            <w:drawing>
              <wp:anchor distT="0" distB="0" distL="0" distR="0" simplePos="0" relativeHeight="488034304" behindDoc="1" locked="0" layoutInCell="1" allowOverlap="1" wp14:anchorId="4EDCC876" wp14:editId="07032EB0">
                <wp:simplePos x="0" y="0"/>
                <wp:positionH relativeFrom="page">
                  <wp:posOffset>3444200</wp:posOffset>
                </wp:positionH>
                <wp:positionV relativeFrom="paragraph">
                  <wp:posOffset>3332867</wp:posOffset>
                </wp:positionV>
                <wp:extent cx="192405" cy="192405"/>
                <wp:effectExtent l="0" t="0" r="0" b="0"/>
                <wp:wrapTopAndBottom/>
                <wp:docPr id="2865" name="Group 2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 cy="192405"/>
                          <a:chOff x="0" y="0"/>
                          <a:chExt cx="192405" cy="192405"/>
                        </a:xfrm>
                      </wpg:grpSpPr>
                      <pic:pic xmlns:pic="http://schemas.openxmlformats.org/drawingml/2006/picture">
                        <pic:nvPicPr>
                          <pic:cNvPr id="2866" name="Image 2866"/>
                          <pic:cNvPicPr/>
                        </pic:nvPicPr>
                        <pic:blipFill>
                          <a:blip r:embed="rId113" cstate="print"/>
                          <a:stretch>
                            <a:fillRect/>
                          </a:stretch>
                        </pic:blipFill>
                        <pic:spPr>
                          <a:xfrm>
                            <a:off x="0" y="0"/>
                            <a:ext cx="191998" cy="192011"/>
                          </a:xfrm>
                          <a:prstGeom prst="rect">
                            <a:avLst/>
                          </a:prstGeom>
                        </pic:spPr>
                      </pic:pic>
                      <wps:wsp>
                        <wps:cNvPr id="2867" name="Textbox 2867"/>
                        <wps:cNvSpPr txBox="1"/>
                        <wps:spPr>
                          <a:xfrm>
                            <a:off x="0" y="0"/>
                            <a:ext cx="192405" cy="192405"/>
                          </a:xfrm>
                          <a:prstGeom prst="rect">
                            <a:avLst/>
                          </a:prstGeom>
                        </wps:spPr>
                        <wps:txbx>
                          <w:txbxContent>
                            <w:p w14:paraId="0E94BF07" w14:textId="77777777" w:rsidR="007372B2" w:rsidRDefault="007372B2">
                              <w:pPr>
                                <w:spacing w:line="280" w:lineRule="exact"/>
                                <w:ind w:left="68"/>
                                <w:rPr>
                                  <w:sz w:val="26"/>
                                </w:rPr>
                              </w:pPr>
                              <w:r>
                                <w:rPr>
                                  <w:color w:val="FFFFFF"/>
                                  <w:spacing w:val="-10"/>
                                  <w:w w:val="110"/>
                                  <w:sz w:val="26"/>
                                </w:rPr>
                                <w:t>b</w:t>
                              </w:r>
                            </w:p>
                          </w:txbxContent>
                        </wps:txbx>
                        <wps:bodyPr wrap="square" lIns="0" tIns="0" rIns="0" bIns="0" rtlCol="0">
                          <a:noAutofit/>
                        </wps:bodyPr>
                      </wps:wsp>
                    </wpg:wgp>
                  </a:graphicData>
                </a:graphic>
              </wp:anchor>
            </w:drawing>
          </mc:Choice>
          <mc:Fallback>
            <w:pict>
              <v:group w14:anchorId="4EDCC876" id="Group 2865" o:spid="_x0000_s1163" style="position:absolute;margin-left:271.2pt;margin-top:262.45pt;width:15.15pt;height:15.15pt;z-index:-15282176;mso-wrap-distance-left:0;mso-wrap-distance-right:0;mso-position-horizontal-relative:page;mso-position-vertical-relative:text" coordsize="192405,19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">
                <v:shape id="Image 2866" o:spid="_x0000_s1164" type="#_x0000_t75" style="position:absolute;width:191998;height:19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">
                  <v:imagedata r:id="rId114" o:title=""/>
                </v:shape>
                <v:shape id="Textbox 2867" o:spid="_x0000_s1165" type="#_x0000_t202" style="position:absolute;width:192405;height:19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" filled="f" stroked="f">
                  <v:textbox inset="0,0,0,0">
                    <w:txbxContent>
                      <w:p w14:paraId="0E94BF07" w14:textId="77777777" w:rsidR="007372B2" w:rsidRDefault="007372B2">
                        <w:pPr>
                          <w:spacing w:line="280" w:lineRule="exact"/>
                          <w:ind w:left="68"/>
                          <w:rPr>
                            <w:sz w:val="26"/>
                          </w:rPr>
                        </w:pPr>
                        <w:r>
                          <w:rPr>
                            <w:color w:val="FFFFFF"/>
                            <w:spacing w:val="-10"/>
                            <w:w w:val="110"/>
                            <w:sz w:val="26"/>
                          </w:rPr>
                          <w:t>b</w:t>
                        </w:r>
                      </w:p>
                    </w:txbxContent>
                  </v:textbox>
                </v:shape>
                <w10:wrap type="topAndBottom" anchorx="page"/>
              </v:group>
            </w:pict>
          </mc:Fallback>
        </mc:AlternateContent>
      </w:r>
    </w:p>
    <w:p w14:paraId="7D91C895" w14:textId="77777777" w:rsidR="00E05B98" w:rsidRPr="003C6DAE" w:rsidRDefault="00E05B98">
      <w:pPr>
        <w:pStyle w:val="a3"/>
        <w:spacing w:before="8"/>
        <w:rPr>
          <w:rFonts w:ascii="Arial"/>
          <w:b/>
          <w:sz w:val="6"/>
          <w:lang w:val="uk-UA"/>
        </w:rPr>
      </w:pPr>
    </w:p>
    <w:p w14:paraId="5CC8E780" w14:textId="77777777" w:rsidR="00E05B98" w:rsidRPr="003C6DAE" w:rsidRDefault="00E05B98">
      <w:pPr>
        <w:pStyle w:val="a3"/>
        <w:spacing w:before="58"/>
        <w:rPr>
          <w:rFonts w:ascii="Arial"/>
          <w:b/>
          <w:sz w:val="24"/>
          <w:lang w:val="uk-UA"/>
        </w:rPr>
      </w:pPr>
    </w:p>
    <w:p w14:paraId="5E0BA3C5" w14:textId="0A18EDFB" w:rsidR="00392DCF" w:rsidRPr="006B6651" w:rsidRDefault="00392DCF" w:rsidP="00392DCF">
      <w:pPr>
        <w:pStyle w:val="a3"/>
        <w:spacing w:before="1" w:line="276" w:lineRule="auto"/>
        <w:ind w:left="567" w:right="4"/>
        <w:jc w:val="both"/>
        <w:rPr>
          <w:color w:val="000000" w:themeColor="text1"/>
          <w:spacing w:val="-3"/>
          <w:w w:val="110"/>
          <w:sz w:val="20"/>
          <w:lang w:val="ru-RU"/>
        </w:rPr>
      </w:pPr>
      <w:r w:rsidRPr="006B6651">
        <w:rPr>
          <w:color w:val="000000" w:themeColor="text1"/>
          <w:sz w:val="20"/>
          <w:lang w:val="ru-RU"/>
        </w:rPr>
        <w:t xml:space="preserve">ДНК, </w:t>
      </w:r>
      <w:r w:rsidRPr="00221CE1">
        <w:rPr>
          <w:color w:val="000000" w:themeColor="text1"/>
          <w:sz w:val="20"/>
          <w:lang w:val="uk-UA"/>
        </w:rPr>
        <w:t>виділена</w:t>
      </w:r>
      <w:r w:rsidRPr="006B6651">
        <w:rPr>
          <w:color w:val="000000" w:themeColor="text1"/>
          <w:sz w:val="20"/>
          <w:lang w:val="ru-RU"/>
        </w:rPr>
        <w:t xml:space="preserve"> з культур, </w:t>
      </w:r>
      <w:proofErr w:type="spellStart"/>
      <w:r w:rsidRPr="006B6651">
        <w:rPr>
          <w:color w:val="000000" w:themeColor="text1"/>
          <w:sz w:val="20"/>
          <w:lang w:val="ru-RU"/>
        </w:rPr>
        <w:t>ампліфікується</w:t>
      </w:r>
      <w:proofErr w:type="spellEnd"/>
      <w:r w:rsidRPr="006B6651">
        <w:rPr>
          <w:color w:val="000000" w:themeColor="text1"/>
          <w:sz w:val="20"/>
          <w:lang w:val="ru-RU"/>
        </w:rPr>
        <w:t xml:space="preserve"> за </w:t>
      </w:r>
      <w:proofErr w:type="spellStart"/>
      <w:r w:rsidRPr="006B6651">
        <w:rPr>
          <w:color w:val="000000" w:themeColor="text1"/>
          <w:sz w:val="20"/>
          <w:lang w:val="ru-RU"/>
        </w:rPr>
        <w:t>допомогою</w:t>
      </w:r>
      <w:proofErr w:type="spellEnd"/>
      <w:r w:rsidRPr="006B6651">
        <w:rPr>
          <w:color w:val="000000" w:themeColor="text1"/>
          <w:sz w:val="20"/>
          <w:lang w:val="ru-RU"/>
        </w:rPr>
        <w:t xml:space="preserve"> праймерів методом ПЛР. </w:t>
      </w:r>
      <w:proofErr w:type="spellStart"/>
      <w:r w:rsidRPr="006B6651">
        <w:rPr>
          <w:color w:val="000000" w:themeColor="text1"/>
          <w:sz w:val="20"/>
          <w:lang w:val="ru-RU"/>
        </w:rPr>
        <w:t>Потім</w:t>
      </w:r>
      <w:proofErr w:type="spellEnd"/>
      <w:r w:rsidRPr="006B6651">
        <w:rPr>
          <w:color w:val="000000" w:themeColor="text1"/>
          <w:sz w:val="20"/>
          <w:lang w:val="ru-RU"/>
        </w:rPr>
        <w:t xml:space="preserve"> ДНК </w:t>
      </w:r>
      <w:proofErr w:type="spellStart"/>
      <w:r w:rsidRPr="006B6651">
        <w:rPr>
          <w:color w:val="000000" w:themeColor="text1"/>
          <w:sz w:val="20"/>
          <w:lang w:val="ru-RU"/>
        </w:rPr>
        <w:t>гібридизується</w:t>
      </w:r>
      <w:proofErr w:type="spellEnd"/>
      <w:r w:rsidRPr="006B6651">
        <w:rPr>
          <w:color w:val="000000" w:themeColor="text1"/>
          <w:sz w:val="20"/>
          <w:lang w:val="ru-RU"/>
        </w:rPr>
        <w:t xml:space="preserve"> з </w:t>
      </w:r>
      <w:proofErr w:type="spellStart"/>
      <w:r w:rsidRPr="006B6651">
        <w:rPr>
          <w:color w:val="000000" w:themeColor="text1"/>
          <w:sz w:val="20"/>
          <w:lang w:val="ru-RU"/>
        </w:rPr>
        <w:t>комплементарними</w:t>
      </w:r>
      <w:proofErr w:type="spellEnd"/>
      <w:r w:rsidRPr="006B6651">
        <w:rPr>
          <w:color w:val="000000" w:themeColor="text1"/>
          <w:sz w:val="20"/>
          <w:lang w:val="ru-RU"/>
        </w:rPr>
        <w:t xml:space="preserve"> </w:t>
      </w:r>
      <w:proofErr w:type="spellStart"/>
      <w:r w:rsidRPr="006B6651">
        <w:rPr>
          <w:color w:val="000000" w:themeColor="text1"/>
          <w:sz w:val="20"/>
          <w:lang w:val="ru-RU"/>
        </w:rPr>
        <w:t>олігонуклеотидними</w:t>
      </w:r>
      <w:proofErr w:type="spellEnd"/>
      <w:r w:rsidRPr="006B6651">
        <w:rPr>
          <w:color w:val="000000" w:themeColor="text1"/>
          <w:sz w:val="20"/>
          <w:lang w:val="ru-RU"/>
        </w:rPr>
        <w:t xml:space="preserve"> зондами, </w:t>
      </w:r>
      <w:proofErr w:type="spellStart"/>
      <w:r w:rsidRPr="006B6651">
        <w:rPr>
          <w:color w:val="000000" w:themeColor="text1"/>
          <w:sz w:val="20"/>
          <w:lang w:val="ru-RU"/>
        </w:rPr>
        <w:t>що</w:t>
      </w:r>
      <w:proofErr w:type="spellEnd"/>
      <w:r w:rsidRPr="006B6651">
        <w:rPr>
          <w:color w:val="000000" w:themeColor="text1"/>
          <w:sz w:val="20"/>
          <w:lang w:val="ru-RU"/>
        </w:rPr>
        <w:t xml:space="preserve"> </w:t>
      </w:r>
      <w:r w:rsidRPr="00221CE1">
        <w:rPr>
          <w:color w:val="000000" w:themeColor="text1"/>
          <w:sz w:val="20"/>
          <w:lang w:val="uk-UA"/>
        </w:rPr>
        <w:t>зв</w:t>
      </w:r>
      <w:r w:rsidRPr="006B6651">
        <w:rPr>
          <w:color w:val="000000" w:themeColor="text1"/>
          <w:sz w:val="20"/>
          <w:lang w:val="ru-RU"/>
        </w:rPr>
        <w:t>’</w:t>
      </w:r>
      <w:proofErr w:type="spellStart"/>
      <w:r w:rsidRPr="00221CE1">
        <w:rPr>
          <w:color w:val="000000" w:themeColor="text1"/>
          <w:sz w:val="20"/>
          <w:lang w:val="uk-UA"/>
        </w:rPr>
        <w:t>язані</w:t>
      </w:r>
      <w:proofErr w:type="spellEnd"/>
      <w:r w:rsidRPr="00221CE1">
        <w:rPr>
          <w:color w:val="000000" w:themeColor="text1"/>
          <w:sz w:val="20"/>
          <w:lang w:val="uk-UA"/>
        </w:rPr>
        <w:t xml:space="preserve"> </w:t>
      </w:r>
      <w:r w:rsidRPr="00FF0D87">
        <w:rPr>
          <w:color w:val="000000" w:themeColor="text1"/>
          <w:sz w:val="20"/>
          <w:lang w:val="uk-UA"/>
        </w:rPr>
        <w:t>зі смужкою мембрани</w:t>
      </w:r>
      <w:r w:rsidRPr="006B6651">
        <w:rPr>
          <w:color w:val="000000" w:themeColor="text1"/>
          <w:sz w:val="20"/>
          <w:lang w:val="ru-RU"/>
        </w:rPr>
        <w:t xml:space="preserve">. </w:t>
      </w:r>
      <w:proofErr w:type="spellStart"/>
      <w:r w:rsidRPr="006B6651">
        <w:rPr>
          <w:color w:val="000000" w:themeColor="text1"/>
          <w:sz w:val="20"/>
          <w:lang w:val="ru-RU"/>
        </w:rPr>
        <w:t>Потім</w:t>
      </w:r>
      <w:proofErr w:type="spellEnd"/>
      <w:r w:rsidRPr="006B6651">
        <w:rPr>
          <w:color w:val="000000" w:themeColor="text1"/>
          <w:sz w:val="20"/>
          <w:lang w:val="ru-RU"/>
        </w:rPr>
        <w:t xml:space="preserve"> </w:t>
      </w:r>
      <w:proofErr w:type="spellStart"/>
      <w:r w:rsidRPr="006B6651">
        <w:rPr>
          <w:color w:val="000000" w:themeColor="text1"/>
          <w:sz w:val="20"/>
          <w:lang w:val="ru-RU"/>
        </w:rPr>
        <w:t>додають</w:t>
      </w:r>
      <w:proofErr w:type="spellEnd"/>
      <w:r w:rsidRPr="006B6651">
        <w:rPr>
          <w:color w:val="000000" w:themeColor="text1"/>
          <w:sz w:val="20"/>
          <w:lang w:val="ru-RU"/>
        </w:rPr>
        <w:t xml:space="preserve"> </w:t>
      </w:r>
      <w:proofErr w:type="spellStart"/>
      <w:r w:rsidRPr="006B6651">
        <w:rPr>
          <w:color w:val="000000" w:themeColor="text1"/>
          <w:sz w:val="20"/>
          <w:lang w:val="ru-RU"/>
        </w:rPr>
        <w:t>стрептавідин</w:t>
      </w:r>
      <w:proofErr w:type="spellEnd"/>
      <w:r w:rsidRPr="006B6651">
        <w:rPr>
          <w:color w:val="000000" w:themeColor="text1"/>
          <w:sz w:val="20"/>
          <w:lang w:val="ru-RU"/>
        </w:rPr>
        <w:t xml:space="preserve">, </w:t>
      </w:r>
      <w:proofErr w:type="spellStart"/>
      <w:r w:rsidRPr="006B6651">
        <w:rPr>
          <w:color w:val="000000" w:themeColor="text1"/>
          <w:sz w:val="20"/>
          <w:lang w:val="ru-RU"/>
        </w:rPr>
        <w:t>мічений</w:t>
      </w:r>
      <w:proofErr w:type="spellEnd"/>
      <w:r w:rsidRPr="006B6651">
        <w:rPr>
          <w:color w:val="000000" w:themeColor="text1"/>
          <w:sz w:val="20"/>
          <w:lang w:val="ru-RU"/>
        </w:rPr>
        <w:t xml:space="preserve"> </w:t>
      </w:r>
      <w:proofErr w:type="spellStart"/>
      <w:r w:rsidRPr="006B6651">
        <w:rPr>
          <w:color w:val="000000" w:themeColor="text1"/>
          <w:sz w:val="20"/>
          <w:lang w:val="ru-RU"/>
        </w:rPr>
        <w:t>лужною</w:t>
      </w:r>
      <w:proofErr w:type="spellEnd"/>
      <w:r w:rsidRPr="006B6651">
        <w:rPr>
          <w:color w:val="000000" w:themeColor="text1"/>
          <w:sz w:val="20"/>
          <w:lang w:val="ru-RU"/>
        </w:rPr>
        <w:t xml:space="preserve"> фосфатазою, для </w:t>
      </w:r>
      <w:proofErr w:type="spellStart"/>
      <w:r w:rsidRPr="006B6651">
        <w:rPr>
          <w:color w:val="000000" w:themeColor="text1"/>
          <w:sz w:val="20"/>
          <w:lang w:val="ru-RU"/>
        </w:rPr>
        <w:t>зв'язування</w:t>
      </w:r>
      <w:proofErr w:type="spellEnd"/>
      <w:r w:rsidRPr="006B6651">
        <w:rPr>
          <w:color w:val="000000" w:themeColor="text1"/>
          <w:sz w:val="20"/>
          <w:lang w:val="ru-RU"/>
        </w:rPr>
        <w:t xml:space="preserve"> з будь-</w:t>
      </w:r>
      <w:proofErr w:type="spellStart"/>
      <w:r w:rsidRPr="006B6651">
        <w:rPr>
          <w:color w:val="000000" w:themeColor="text1"/>
          <w:sz w:val="20"/>
          <w:lang w:val="ru-RU"/>
        </w:rPr>
        <w:t>якими</w:t>
      </w:r>
      <w:proofErr w:type="spellEnd"/>
      <w:r w:rsidRPr="006B6651">
        <w:rPr>
          <w:color w:val="000000" w:themeColor="text1"/>
          <w:sz w:val="20"/>
          <w:lang w:val="ru-RU"/>
        </w:rPr>
        <w:t xml:space="preserve"> </w:t>
      </w:r>
      <w:proofErr w:type="spellStart"/>
      <w:r w:rsidRPr="006B6651">
        <w:rPr>
          <w:color w:val="000000" w:themeColor="text1"/>
          <w:sz w:val="20"/>
          <w:lang w:val="ru-RU"/>
        </w:rPr>
        <w:t>гібридами</w:t>
      </w:r>
      <w:proofErr w:type="spellEnd"/>
      <w:r w:rsidRPr="006B6651">
        <w:rPr>
          <w:color w:val="000000" w:themeColor="text1"/>
          <w:sz w:val="20"/>
          <w:lang w:val="ru-RU"/>
        </w:rPr>
        <w:t xml:space="preserve">, </w:t>
      </w:r>
      <w:proofErr w:type="spellStart"/>
      <w:r w:rsidRPr="006B6651">
        <w:rPr>
          <w:color w:val="000000" w:themeColor="text1"/>
          <w:sz w:val="20"/>
          <w:lang w:val="ru-RU"/>
        </w:rPr>
        <w:t>що</w:t>
      </w:r>
      <w:proofErr w:type="spellEnd"/>
      <w:r w:rsidRPr="006B6651">
        <w:rPr>
          <w:color w:val="000000" w:themeColor="text1"/>
          <w:sz w:val="20"/>
          <w:lang w:val="ru-RU"/>
        </w:rPr>
        <w:t xml:space="preserve"> </w:t>
      </w:r>
      <w:proofErr w:type="spellStart"/>
      <w:r w:rsidRPr="006B6651">
        <w:rPr>
          <w:color w:val="000000" w:themeColor="text1"/>
          <w:sz w:val="20"/>
          <w:lang w:val="ru-RU"/>
        </w:rPr>
        <w:t>утворилися</w:t>
      </w:r>
      <w:proofErr w:type="spellEnd"/>
      <w:r w:rsidRPr="006B6651">
        <w:rPr>
          <w:color w:val="000000" w:themeColor="text1"/>
          <w:sz w:val="20"/>
          <w:lang w:val="ru-RU"/>
        </w:rPr>
        <w:t xml:space="preserve"> на </w:t>
      </w:r>
      <w:proofErr w:type="spellStart"/>
      <w:r w:rsidRPr="006B6651">
        <w:rPr>
          <w:color w:val="000000" w:themeColor="text1"/>
          <w:sz w:val="20"/>
          <w:lang w:val="ru-RU"/>
        </w:rPr>
        <w:t>попередньому</w:t>
      </w:r>
      <w:proofErr w:type="spellEnd"/>
      <w:r w:rsidRPr="006B6651">
        <w:rPr>
          <w:color w:val="000000" w:themeColor="text1"/>
          <w:sz w:val="20"/>
          <w:lang w:val="ru-RU"/>
        </w:rPr>
        <w:t xml:space="preserve"> </w:t>
      </w:r>
      <w:proofErr w:type="spellStart"/>
      <w:r w:rsidRPr="006B6651">
        <w:rPr>
          <w:color w:val="000000" w:themeColor="text1"/>
          <w:sz w:val="20"/>
          <w:lang w:val="ru-RU"/>
        </w:rPr>
        <w:t>етапі</w:t>
      </w:r>
      <w:proofErr w:type="spellEnd"/>
      <w:r w:rsidRPr="006B6651">
        <w:rPr>
          <w:color w:val="000000" w:themeColor="text1"/>
          <w:sz w:val="20"/>
          <w:lang w:val="ru-RU"/>
        </w:rPr>
        <w:t xml:space="preserve">. Далі </w:t>
      </w:r>
      <w:proofErr w:type="spellStart"/>
      <w:r w:rsidRPr="006B6651">
        <w:rPr>
          <w:color w:val="000000" w:themeColor="text1"/>
          <w:sz w:val="20"/>
          <w:lang w:val="ru-RU"/>
        </w:rPr>
        <w:t>додають</w:t>
      </w:r>
      <w:proofErr w:type="spellEnd"/>
      <w:r w:rsidRPr="006B6651">
        <w:rPr>
          <w:color w:val="000000" w:themeColor="text1"/>
          <w:sz w:val="20"/>
          <w:lang w:val="ru-RU"/>
        </w:rPr>
        <w:t xml:space="preserve"> субстрат, і </w:t>
      </w:r>
      <w:proofErr w:type="spellStart"/>
      <w:r w:rsidRPr="006B6651">
        <w:rPr>
          <w:color w:val="000000" w:themeColor="text1"/>
          <w:sz w:val="20"/>
          <w:lang w:val="ru-RU"/>
        </w:rPr>
        <w:t>ферментативна</w:t>
      </w:r>
      <w:proofErr w:type="spellEnd"/>
      <w:r w:rsidRPr="006B6651">
        <w:rPr>
          <w:color w:val="000000" w:themeColor="text1"/>
          <w:sz w:val="20"/>
          <w:lang w:val="ru-RU"/>
        </w:rPr>
        <w:t xml:space="preserve"> </w:t>
      </w:r>
      <w:proofErr w:type="spellStart"/>
      <w:r w:rsidRPr="006B6651">
        <w:rPr>
          <w:color w:val="000000" w:themeColor="text1"/>
          <w:sz w:val="20"/>
          <w:lang w:val="ru-RU"/>
        </w:rPr>
        <w:t>реакція</w:t>
      </w:r>
      <w:proofErr w:type="spellEnd"/>
      <w:r w:rsidRPr="006B6651">
        <w:rPr>
          <w:color w:val="000000" w:themeColor="text1"/>
          <w:sz w:val="20"/>
          <w:lang w:val="ru-RU"/>
        </w:rPr>
        <w:t xml:space="preserve"> </w:t>
      </w:r>
      <w:proofErr w:type="spellStart"/>
      <w:r w:rsidRPr="006B6651">
        <w:rPr>
          <w:color w:val="000000" w:themeColor="text1"/>
          <w:sz w:val="20"/>
          <w:lang w:val="ru-RU"/>
        </w:rPr>
        <w:t>призводить</w:t>
      </w:r>
      <w:proofErr w:type="spellEnd"/>
      <w:r w:rsidRPr="006B6651">
        <w:rPr>
          <w:color w:val="000000" w:themeColor="text1"/>
          <w:sz w:val="20"/>
          <w:lang w:val="ru-RU"/>
        </w:rPr>
        <w:t xml:space="preserve"> до </w:t>
      </w:r>
      <w:proofErr w:type="spellStart"/>
      <w:r w:rsidRPr="006B6651">
        <w:rPr>
          <w:color w:val="000000" w:themeColor="text1"/>
          <w:sz w:val="20"/>
          <w:lang w:val="ru-RU"/>
        </w:rPr>
        <w:t>утворення</w:t>
      </w:r>
      <w:proofErr w:type="spellEnd"/>
      <w:r w:rsidRPr="006B6651">
        <w:rPr>
          <w:color w:val="000000" w:themeColor="text1"/>
          <w:sz w:val="20"/>
          <w:lang w:val="ru-RU"/>
        </w:rPr>
        <w:t xml:space="preserve"> </w:t>
      </w:r>
      <w:proofErr w:type="spellStart"/>
      <w:r w:rsidRPr="006B6651">
        <w:rPr>
          <w:color w:val="000000" w:themeColor="text1"/>
          <w:sz w:val="20"/>
          <w:lang w:val="ru-RU"/>
        </w:rPr>
        <w:t>фіолетових</w:t>
      </w:r>
      <w:proofErr w:type="spellEnd"/>
      <w:r w:rsidRPr="006B6651">
        <w:rPr>
          <w:color w:val="000000" w:themeColor="text1"/>
          <w:sz w:val="20"/>
          <w:lang w:val="ru-RU"/>
        </w:rPr>
        <w:t xml:space="preserve"> </w:t>
      </w:r>
      <w:proofErr w:type="spellStart"/>
      <w:r w:rsidRPr="006B6651">
        <w:rPr>
          <w:color w:val="000000" w:themeColor="text1"/>
          <w:sz w:val="20"/>
          <w:lang w:val="ru-RU"/>
        </w:rPr>
        <w:t>смуг</w:t>
      </w:r>
      <w:proofErr w:type="spellEnd"/>
      <w:r w:rsidRPr="006B6651">
        <w:rPr>
          <w:color w:val="000000" w:themeColor="text1"/>
          <w:sz w:val="20"/>
          <w:lang w:val="ru-RU"/>
        </w:rPr>
        <w:t xml:space="preserve">, </w:t>
      </w:r>
      <w:proofErr w:type="spellStart"/>
      <w:r w:rsidRPr="006B6651">
        <w:rPr>
          <w:color w:val="000000" w:themeColor="text1"/>
          <w:sz w:val="20"/>
          <w:lang w:val="ru-RU"/>
        </w:rPr>
        <w:t>які</w:t>
      </w:r>
      <w:proofErr w:type="spellEnd"/>
      <w:r w:rsidRPr="006B6651">
        <w:rPr>
          <w:color w:val="000000" w:themeColor="text1"/>
          <w:sz w:val="20"/>
          <w:lang w:val="ru-RU"/>
        </w:rPr>
        <w:t xml:space="preserve"> </w:t>
      </w:r>
      <w:proofErr w:type="spellStart"/>
      <w:r w:rsidRPr="006B6651">
        <w:rPr>
          <w:color w:val="000000" w:themeColor="text1"/>
          <w:sz w:val="20"/>
          <w:lang w:val="ru-RU"/>
        </w:rPr>
        <w:t>інтерпретують</w:t>
      </w:r>
      <w:proofErr w:type="spellEnd"/>
      <w:r w:rsidRPr="006B6651">
        <w:rPr>
          <w:color w:val="000000" w:themeColor="text1"/>
          <w:sz w:val="20"/>
          <w:lang w:val="ru-RU"/>
        </w:rPr>
        <w:t xml:space="preserve"> </w:t>
      </w:r>
      <w:proofErr w:type="spellStart"/>
      <w:r w:rsidRPr="006B6651">
        <w:rPr>
          <w:color w:val="000000" w:themeColor="text1"/>
          <w:sz w:val="20"/>
          <w:lang w:val="ru-RU"/>
        </w:rPr>
        <w:t>візуально</w:t>
      </w:r>
      <w:proofErr w:type="spellEnd"/>
      <w:r w:rsidRPr="006B6651">
        <w:rPr>
          <w:color w:val="000000" w:themeColor="text1"/>
          <w:sz w:val="20"/>
          <w:lang w:val="ru-RU"/>
        </w:rPr>
        <w:t xml:space="preserve">. Відсутність </w:t>
      </w:r>
      <w:proofErr w:type="spellStart"/>
      <w:r w:rsidRPr="006B6651">
        <w:rPr>
          <w:color w:val="000000" w:themeColor="text1"/>
          <w:sz w:val="20"/>
          <w:lang w:val="ru-RU"/>
        </w:rPr>
        <w:t>зв'язування</w:t>
      </w:r>
      <w:proofErr w:type="spellEnd"/>
      <w:r w:rsidRPr="00221CE1">
        <w:rPr>
          <w:color w:val="000000" w:themeColor="text1"/>
          <w:sz w:val="20"/>
          <w:lang w:val="uk-UA"/>
        </w:rPr>
        <w:t xml:space="preserve"> із</w:t>
      </w:r>
      <w:r w:rsidRPr="006B6651">
        <w:rPr>
          <w:color w:val="000000" w:themeColor="text1"/>
          <w:sz w:val="20"/>
          <w:lang w:val="ru-RU"/>
        </w:rPr>
        <w:t xml:space="preserve"> зонд</w:t>
      </w:r>
      <w:proofErr w:type="spellStart"/>
      <w:r w:rsidRPr="00221CE1">
        <w:rPr>
          <w:color w:val="000000" w:themeColor="text1"/>
          <w:sz w:val="20"/>
          <w:lang w:val="uk-UA"/>
        </w:rPr>
        <w:t>ом</w:t>
      </w:r>
      <w:proofErr w:type="spellEnd"/>
      <w:r w:rsidRPr="00221CE1">
        <w:rPr>
          <w:color w:val="000000" w:themeColor="text1"/>
          <w:sz w:val="20"/>
          <w:lang w:val="uk-UA"/>
        </w:rPr>
        <w:t xml:space="preserve"> до</w:t>
      </w:r>
      <w:r w:rsidRPr="006B6651">
        <w:rPr>
          <w:color w:val="000000" w:themeColor="text1"/>
          <w:sz w:val="20"/>
          <w:lang w:val="ru-RU"/>
        </w:rPr>
        <w:t xml:space="preserve"> дикого типу </w:t>
      </w:r>
      <w:proofErr w:type="spellStart"/>
      <w:r w:rsidRPr="006B6651">
        <w:rPr>
          <w:color w:val="000000" w:themeColor="text1"/>
          <w:sz w:val="20"/>
          <w:lang w:val="ru-RU"/>
        </w:rPr>
        <w:t>вказує</w:t>
      </w:r>
      <w:proofErr w:type="spellEnd"/>
      <w:r w:rsidRPr="006B6651">
        <w:rPr>
          <w:color w:val="000000" w:themeColor="text1"/>
          <w:sz w:val="20"/>
          <w:lang w:val="ru-RU"/>
        </w:rPr>
        <w:t xml:space="preserve"> на </w:t>
      </w:r>
      <w:proofErr w:type="spellStart"/>
      <w:r w:rsidRPr="006B6651">
        <w:rPr>
          <w:color w:val="000000" w:themeColor="text1"/>
          <w:sz w:val="20"/>
          <w:lang w:val="ru-RU"/>
        </w:rPr>
        <w:t>наявність</w:t>
      </w:r>
      <w:proofErr w:type="spellEnd"/>
      <w:r w:rsidRPr="006B6651">
        <w:rPr>
          <w:color w:val="000000" w:themeColor="text1"/>
          <w:sz w:val="20"/>
          <w:lang w:val="ru-RU"/>
        </w:rPr>
        <w:t xml:space="preserve"> </w:t>
      </w:r>
      <w:proofErr w:type="spellStart"/>
      <w:r w:rsidRPr="006B6651">
        <w:rPr>
          <w:color w:val="000000" w:themeColor="text1"/>
          <w:sz w:val="20"/>
          <w:lang w:val="ru-RU"/>
        </w:rPr>
        <w:t>мутації</w:t>
      </w:r>
      <w:proofErr w:type="spellEnd"/>
      <w:r w:rsidRPr="006B6651">
        <w:rPr>
          <w:color w:val="000000" w:themeColor="text1"/>
          <w:sz w:val="20"/>
          <w:lang w:val="ru-RU"/>
        </w:rPr>
        <w:t xml:space="preserve">. </w:t>
      </w:r>
      <w:r w:rsidRPr="00221CE1">
        <w:rPr>
          <w:color w:val="000000" w:themeColor="text1"/>
          <w:sz w:val="20"/>
          <w:lang w:val="uk-UA"/>
        </w:rPr>
        <w:t>У п</w:t>
      </w:r>
      <w:r w:rsidRPr="006B6651">
        <w:rPr>
          <w:color w:val="000000" w:themeColor="text1"/>
          <w:sz w:val="20"/>
          <w:lang w:val="ru-RU"/>
        </w:rPr>
        <w:t>ерш</w:t>
      </w:r>
      <w:proofErr w:type="spellStart"/>
      <w:r w:rsidRPr="00221CE1">
        <w:rPr>
          <w:color w:val="000000" w:themeColor="text1"/>
          <w:sz w:val="20"/>
          <w:lang w:val="uk-UA"/>
        </w:rPr>
        <w:t>ій</w:t>
      </w:r>
      <w:proofErr w:type="spellEnd"/>
      <w:r w:rsidRPr="006B6651">
        <w:rPr>
          <w:color w:val="000000" w:themeColor="text1"/>
          <w:sz w:val="20"/>
          <w:lang w:val="ru-RU"/>
        </w:rPr>
        <w:t xml:space="preserve"> </w:t>
      </w:r>
      <w:proofErr w:type="spellStart"/>
      <w:r w:rsidRPr="006B6651">
        <w:rPr>
          <w:color w:val="000000" w:themeColor="text1"/>
          <w:sz w:val="20"/>
          <w:lang w:val="ru-RU"/>
        </w:rPr>
        <w:t>версі</w:t>
      </w:r>
      <w:proofErr w:type="spellEnd"/>
      <w:r w:rsidRPr="00221CE1">
        <w:rPr>
          <w:color w:val="000000" w:themeColor="text1"/>
          <w:sz w:val="20"/>
          <w:lang w:val="uk-UA"/>
        </w:rPr>
        <w:t>ї</w:t>
      </w:r>
      <w:r w:rsidRPr="006B6651">
        <w:rPr>
          <w:color w:val="000000" w:themeColor="text1"/>
          <w:sz w:val="20"/>
          <w:lang w:val="ru-RU"/>
        </w:rPr>
        <w:t xml:space="preserve"> тесту </w:t>
      </w:r>
      <w:r w:rsidRPr="00221CE1">
        <w:rPr>
          <w:color w:val="000000" w:themeColor="text1"/>
          <w:sz w:val="20"/>
          <w:lang w:val="uk-UA"/>
        </w:rPr>
        <w:t>були</w:t>
      </w:r>
      <w:r w:rsidRPr="006B6651">
        <w:rPr>
          <w:color w:val="000000" w:themeColor="text1"/>
          <w:sz w:val="20"/>
          <w:lang w:val="ru-RU"/>
        </w:rPr>
        <w:t xml:space="preserve"> 47 </w:t>
      </w:r>
      <w:proofErr w:type="spellStart"/>
      <w:r w:rsidRPr="006B6651">
        <w:rPr>
          <w:color w:val="000000" w:themeColor="text1"/>
          <w:sz w:val="20"/>
          <w:lang w:val="ru-RU"/>
        </w:rPr>
        <w:t>зондів</w:t>
      </w:r>
      <w:proofErr w:type="spellEnd"/>
      <w:r w:rsidRPr="006B6651">
        <w:rPr>
          <w:color w:val="000000" w:themeColor="text1"/>
          <w:sz w:val="20"/>
          <w:lang w:val="ru-RU"/>
        </w:rPr>
        <w:t xml:space="preserve">, </w:t>
      </w:r>
      <w:proofErr w:type="spellStart"/>
      <w:r w:rsidRPr="006B6651">
        <w:rPr>
          <w:color w:val="000000" w:themeColor="text1"/>
          <w:sz w:val="20"/>
          <w:lang w:val="ru-RU"/>
        </w:rPr>
        <w:t>які</w:t>
      </w:r>
      <w:proofErr w:type="spellEnd"/>
      <w:r w:rsidRPr="006B6651">
        <w:rPr>
          <w:color w:val="000000" w:themeColor="text1"/>
          <w:sz w:val="20"/>
          <w:lang w:val="ru-RU"/>
        </w:rPr>
        <w:t xml:space="preserve"> </w:t>
      </w:r>
      <w:proofErr w:type="spellStart"/>
      <w:r w:rsidRPr="006B6651">
        <w:rPr>
          <w:color w:val="000000" w:themeColor="text1"/>
          <w:sz w:val="20"/>
          <w:lang w:val="ru-RU"/>
        </w:rPr>
        <w:t>охоплювали</w:t>
      </w:r>
      <w:proofErr w:type="spellEnd"/>
      <w:r w:rsidRPr="006B6651">
        <w:rPr>
          <w:color w:val="000000" w:themeColor="text1"/>
          <w:sz w:val="20"/>
          <w:lang w:val="ru-RU"/>
        </w:rPr>
        <w:t xml:space="preserve"> промотор </w:t>
      </w:r>
      <w:proofErr w:type="spellStart"/>
      <w:r w:rsidRPr="00221CE1">
        <w:rPr>
          <w:i/>
          <w:color w:val="000000" w:themeColor="text1"/>
          <w:sz w:val="20"/>
        </w:rPr>
        <w:t>pnc</w:t>
      </w:r>
      <w:r w:rsidRPr="00221CE1">
        <w:rPr>
          <w:color w:val="000000" w:themeColor="text1"/>
          <w:sz w:val="20"/>
        </w:rPr>
        <w:t>A</w:t>
      </w:r>
      <w:proofErr w:type="spellEnd"/>
      <w:r w:rsidRPr="006B6651">
        <w:rPr>
          <w:color w:val="000000" w:themeColor="text1"/>
          <w:sz w:val="20"/>
          <w:lang w:val="ru-RU"/>
        </w:rPr>
        <w:t xml:space="preserve"> та </w:t>
      </w:r>
      <w:proofErr w:type="spellStart"/>
      <w:r w:rsidRPr="006B6651">
        <w:rPr>
          <w:color w:val="000000" w:themeColor="text1"/>
          <w:sz w:val="20"/>
          <w:lang w:val="ru-RU"/>
        </w:rPr>
        <w:t>відкриту</w:t>
      </w:r>
      <w:proofErr w:type="spellEnd"/>
      <w:r w:rsidRPr="006B6651">
        <w:rPr>
          <w:color w:val="000000" w:themeColor="text1"/>
          <w:sz w:val="20"/>
          <w:lang w:val="ru-RU"/>
        </w:rPr>
        <w:t xml:space="preserve"> рамку </w:t>
      </w:r>
      <w:proofErr w:type="spellStart"/>
      <w:r w:rsidRPr="006B6651">
        <w:rPr>
          <w:color w:val="000000" w:themeColor="text1"/>
          <w:sz w:val="20"/>
          <w:lang w:val="ru-RU"/>
        </w:rPr>
        <w:t>зчитування</w:t>
      </w:r>
      <w:proofErr w:type="spellEnd"/>
      <w:r w:rsidRPr="006B6651">
        <w:rPr>
          <w:color w:val="000000" w:themeColor="text1"/>
          <w:sz w:val="20"/>
          <w:lang w:val="ru-RU"/>
        </w:rPr>
        <w:t xml:space="preserve">. </w:t>
      </w:r>
    </w:p>
    <w:p w14:paraId="1CFD7CE1" w14:textId="77777777" w:rsidR="00392DCF" w:rsidRDefault="00392DCF" w:rsidP="00392DCF">
      <w:pPr>
        <w:pStyle w:val="a3"/>
        <w:spacing w:before="1" w:line="276" w:lineRule="auto"/>
        <w:ind w:right="1410" w:firstLine="567"/>
        <w:jc w:val="both"/>
        <w:rPr>
          <w:color w:val="000000" w:themeColor="text1"/>
          <w:sz w:val="20"/>
          <w:lang w:val="uk-UA"/>
        </w:rPr>
      </w:pPr>
    </w:p>
    <w:p w14:paraId="7F969F18" w14:textId="4A944895" w:rsidR="00392DCF" w:rsidRPr="00392DCF" w:rsidRDefault="00392DCF" w:rsidP="00392DCF">
      <w:pPr>
        <w:pStyle w:val="a3"/>
        <w:spacing w:before="1" w:line="276" w:lineRule="auto"/>
        <w:ind w:left="567" w:right="2"/>
        <w:jc w:val="both"/>
        <w:rPr>
          <w:color w:val="000000" w:themeColor="text1"/>
          <w:sz w:val="20"/>
          <w:lang w:val="uk-UA"/>
        </w:rPr>
      </w:pPr>
      <w:r w:rsidRPr="00221CE1">
        <w:rPr>
          <w:color w:val="000000" w:themeColor="text1"/>
          <w:sz w:val="20"/>
          <w:lang w:val="uk-UA"/>
        </w:rPr>
        <w:t>У д</w:t>
      </w:r>
      <w:r w:rsidRPr="00392DCF">
        <w:rPr>
          <w:color w:val="000000" w:themeColor="text1"/>
          <w:sz w:val="20"/>
          <w:lang w:val="uk-UA"/>
        </w:rPr>
        <w:t>руг</w:t>
      </w:r>
      <w:r w:rsidRPr="00221CE1">
        <w:rPr>
          <w:color w:val="000000" w:themeColor="text1"/>
          <w:sz w:val="20"/>
          <w:lang w:val="uk-UA"/>
        </w:rPr>
        <w:t>ій</w:t>
      </w:r>
      <w:r w:rsidRPr="00392DCF">
        <w:rPr>
          <w:color w:val="000000" w:themeColor="text1"/>
          <w:sz w:val="20"/>
          <w:lang w:val="uk-UA"/>
        </w:rPr>
        <w:t xml:space="preserve"> версі</w:t>
      </w:r>
      <w:r w:rsidRPr="00221CE1">
        <w:rPr>
          <w:color w:val="000000" w:themeColor="text1"/>
          <w:sz w:val="20"/>
          <w:lang w:val="uk-UA"/>
        </w:rPr>
        <w:t>ї</w:t>
      </w:r>
      <w:r w:rsidRPr="00392DCF">
        <w:rPr>
          <w:color w:val="000000" w:themeColor="text1"/>
          <w:sz w:val="20"/>
          <w:lang w:val="uk-UA"/>
        </w:rPr>
        <w:t xml:space="preserve"> </w:t>
      </w:r>
      <w:r w:rsidRPr="00221CE1">
        <w:rPr>
          <w:color w:val="000000" w:themeColor="text1"/>
          <w:sz w:val="20"/>
          <w:lang w:val="uk-UA"/>
        </w:rPr>
        <w:t>було</w:t>
      </w:r>
      <w:r w:rsidRPr="00392DCF">
        <w:rPr>
          <w:color w:val="000000" w:themeColor="text1"/>
          <w:sz w:val="20"/>
          <w:lang w:val="uk-UA"/>
        </w:rPr>
        <w:t xml:space="preserve"> 48 зондів, три з яких (</w:t>
      </w:r>
      <w:proofErr w:type="spellStart"/>
      <w:r w:rsidRPr="00221CE1">
        <w:rPr>
          <w:i/>
          <w:color w:val="000000" w:themeColor="text1"/>
          <w:sz w:val="20"/>
        </w:rPr>
        <w:t>pnc</w:t>
      </w:r>
      <w:r w:rsidRPr="00221CE1">
        <w:rPr>
          <w:color w:val="000000" w:themeColor="text1"/>
          <w:sz w:val="20"/>
        </w:rPr>
        <w:t>A</w:t>
      </w:r>
      <w:proofErr w:type="spellEnd"/>
      <w:r w:rsidRPr="00392DCF">
        <w:rPr>
          <w:color w:val="000000" w:themeColor="text1"/>
          <w:sz w:val="20"/>
          <w:lang w:val="uk-UA"/>
        </w:rPr>
        <w:t xml:space="preserve"> 16, 17 та 35) відповідають "тихим"</w:t>
      </w:r>
      <w:r>
        <w:rPr>
          <w:color w:val="000000" w:themeColor="text1"/>
          <w:sz w:val="20"/>
          <w:lang w:val="uk-UA"/>
        </w:rPr>
        <w:t xml:space="preserve"> </w:t>
      </w:r>
      <w:r w:rsidRPr="00392DCF">
        <w:rPr>
          <w:color w:val="000000" w:themeColor="text1"/>
          <w:sz w:val="20"/>
          <w:lang w:val="uk-UA"/>
        </w:rPr>
        <w:t>мутаціям, що відом</w:t>
      </w:r>
      <w:r w:rsidRPr="00221CE1">
        <w:rPr>
          <w:color w:val="000000" w:themeColor="text1"/>
          <w:sz w:val="20"/>
          <w:lang w:val="uk-UA"/>
        </w:rPr>
        <w:t>і як</w:t>
      </w:r>
      <w:r w:rsidRPr="00392DCF">
        <w:rPr>
          <w:color w:val="000000" w:themeColor="text1"/>
          <w:sz w:val="20"/>
          <w:lang w:val="uk-UA"/>
        </w:rPr>
        <w:t xml:space="preserve"> генетичн</w:t>
      </w:r>
      <w:r w:rsidRPr="00221CE1">
        <w:rPr>
          <w:color w:val="000000" w:themeColor="text1"/>
          <w:sz w:val="20"/>
          <w:lang w:val="uk-UA"/>
        </w:rPr>
        <w:t>і</w:t>
      </w:r>
      <w:r w:rsidRPr="00392DCF">
        <w:rPr>
          <w:color w:val="000000" w:themeColor="text1"/>
          <w:sz w:val="20"/>
          <w:lang w:val="uk-UA"/>
        </w:rPr>
        <w:t xml:space="preserve"> маркер</w:t>
      </w:r>
      <w:r w:rsidRPr="00221CE1">
        <w:rPr>
          <w:color w:val="000000" w:themeColor="text1"/>
          <w:sz w:val="20"/>
          <w:lang w:val="uk-UA"/>
        </w:rPr>
        <w:t>и</w:t>
      </w:r>
      <w:r w:rsidRPr="00392DCF">
        <w:rPr>
          <w:color w:val="000000" w:themeColor="text1"/>
          <w:sz w:val="20"/>
          <w:lang w:val="uk-UA"/>
        </w:rPr>
        <w:t xml:space="preserve">, не пов'язаними зі стійкістю до піразинаміду: </w:t>
      </w:r>
      <w:r w:rsidRPr="00221CE1">
        <w:rPr>
          <w:color w:val="000000" w:themeColor="text1"/>
          <w:sz w:val="20"/>
        </w:rPr>
        <w:t>Gly</w:t>
      </w:r>
      <w:r w:rsidRPr="00392DCF">
        <w:rPr>
          <w:color w:val="000000" w:themeColor="text1"/>
          <w:sz w:val="20"/>
          <w:lang w:val="uk-UA"/>
        </w:rPr>
        <w:t>60</w:t>
      </w:r>
      <w:r w:rsidRPr="00221CE1">
        <w:rPr>
          <w:color w:val="000000" w:themeColor="text1"/>
          <w:sz w:val="20"/>
        </w:rPr>
        <w:t>Gly</w:t>
      </w:r>
      <w:r w:rsidRPr="00392DCF">
        <w:rPr>
          <w:color w:val="000000" w:themeColor="text1"/>
          <w:sz w:val="20"/>
          <w:lang w:val="uk-UA"/>
        </w:rPr>
        <w:t xml:space="preserve"> (зонд 16), </w:t>
      </w:r>
      <w:r w:rsidRPr="00221CE1">
        <w:rPr>
          <w:color w:val="000000" w:themeColor="text1"/>
          <w:sz w:val="20"/>
        </w:rPr>
        <w:t>Ser</w:t>
      </w:r>
      <w:r w:rsidRPr="00392DCF">
        <w:rPr>
          <w:color w:val="000000" w:themeColor="text1"/>
          <w:sz w:val="20"/>
          <w:lang w:val="uk-UA"/>
        </w:rPr>
        <w:t>65</w:t>
      </w:r>
      <w:r w:rsidRPr="00221CE1">
        <w:rPr>
          <w:color w:val="000000" w:themeColor="text1"/>
          <w:sz w:val="20"/>
        </w:rPr>
        <w:t>Ser</w:t>
      </w:r>
      <w:r w:rsidRPr="00392DCF">
        <w:rPr>
          <w:color w:val="000000" w:themeColor="text1"/>
          <w:sz w:val="20"/>
          <w:lang w:val="uk-UA"/>
        </w:rPr>
        <w:t xml:space="preserve"> (зонд 17) та </w:t>
      </w:r>
      <w:proofErr w:type="spellStart"/>
      <w:r w:rsidRPr="00221CE1">
        <w:rPr>
          <w:color w:val="000000" w:themeColor="text1"/>
          <w:sz w:val="20"/>
        </w:rPr>
        <w:t>Thr</w:t>
      </w:r>
      <w:proofErr w:type="spellEnd"/>
      <w:r w:rsidRPr="00392DCF">
        <w:rPr>
          <w:color w:val="000000" w:themeColor="text1"/>
          <w:sz w:val="20"/>
          <w:lang w:val="uk-UA"/>
        </w:rPr>
        <w:t>142</w:t>
      </w:r>
      <w:proofErr w:type="spellStart"/>
      <w:r w:rsidRPr="00221CE1">
        <w:rPr>
          <w:color w:val="000000" w:themeColor="text1"/>
          <w:sz w:val="20"/>
        </w:rPr>
        <w:t>Thr</w:t>
      </w:r>
      <w:proofErr w:type="spellEnd"/>
      <w:r w:rsidRPr="00392DCF">
        <w:rPr>
          <w:color w:val="000000" w:themeColor="text1"/>
          <w:sz w:val="20"/>
          <w:lang w:val="uk-UA"/>
        </w:rPr>
        <w:t xml:space="preserve"> (зонд 35).</w:t>
      </w:r>
    </w:p>
    <w:p w14:paraId="50625673" w14:textId="77777777" w:rsidR="00392DCF" w:rsidRPr="00392DCF" w:rsidRDefault="00392DCF" w:rsidP="00392DCF">
      <w:pPr>
        <w:pStyle w:val="a3"/>
        <w:spacing w:before="1" w:line="276" w:lineRule="auto"/>
        <w:ind w:left="1417" w:right="1410"/>
        <w:jc w:val="both"/>
        <w:rPr>
          <w:color w:val="000000" w:themeColor="text1"/>
          <w:sz w:val="20"/>
          <w:lang w:val="uk-UA"/>
        </w:rPr>
      </w:pPr>
    </w:p>
    <w:p w14:paraId="679B67FF" w14:textId="77777777" w:rsidR="00392DCF" w:rsidRPr="006B6651" w:rsidRDefault="00392DCF" w:rsidP="00392DCF">
      <w:pPr>
        <w:pStyle w:val="5"/>
        <w:spacing w:before="191"/>
        <w:jc w:val="both"/>
        <w:rPr>
          <w:sz w:val="24"/>
          <w:lang w:val="ru-RU"/>
        </w:rPr>
      </w:pPr>
      <w:proofErr w:type="spellStart"/>
      <w:r w:rsidRPr="006B6651">
        <w:rPr>
          <w:color w:val="019648"/>
          <w:sz w:val="24"/>
          <w:lang w:val="ru-RU"/>
        </w:rPr>
        <w:t>Обґрунтування</w:t>
      </w:r>
      <w:proofErr w:type="spellEnd"/>
      <w:r w:rsidRPr="006B6651">
        <w:rPr>
          <w:color w:val="019648"/>
          <w:sz w:val="24"/>
          <w:lang w:val="ru-RU"/>
        </w:rPr>
        <w:t xml:space="preserve"> та </w:t>
      </w:r>
      <w:proofErr w:type="spellStart"/>
      <w:r w:rsidRPr="006B6651">
        <w:rPr>
          <w:color w:val="019648"/>
          <w:sz w:val="24"/>
          <w:lang w:val="ru-RU"/>
        </w:rPr>
        <w:t>докази</w:t>
      </w:r>
      <w:proofErr w:type="spellEnd"/>
    </w:p>
    <w:p w14:paraId="4FF182E5" w14:textId="7523A290" w:rsidR="00392DCF" w:rsidRPr="006B6651" w:rsidRDefault="00392DCF" w:rsidP="00392DCF">
      <w:pPr>
        <w:pStyle w:val="a3"/>
        <w:spacing w:before="209" w:line="276" w:lineRule="auto"/>
        <w:ind w:left="567" w:right="2"/>
        <w:jc w:val="both"/>
        <w:rPr>
          <w:color w:val="000000" w:themeColor="text1"/>
          <w:w w:val="110"/>
          <w:sz w:val="20"/>
          <w:lang w:val="ru-RU"/>
        </w:rPr>
      </w:pPr>
      <w:r w:rsidRPr="006B6651">
        <w:rPr>
          <w:color w:val="000000" w:themeColor="text1"/>
          <w:w w:val="110"/>
          <w:sz w:val="20"/>
          <w:lang w:val="ru-RU"/>
        </w:rPr>
        <w:t>Тест-</w:t>
      </w:r>
      <w:r w:rsidRPr="00821309">
        <w:rPr>
          <w:color w:val="000000" w:themeColor="text1"/>
          <w:w w:val="110"/>
          <w:sz w:val="20"/>
          <w:lang w:val="uk-UA"/>
        </w:rPr>
        <w:t>система</w:t>
      </w:r>
      <w:r w:rsidRPr="006B6651">
        <w:rPr>
          <w:color w:val="000000" w:themeColor="text1"/>
          <w:w w:val="110"/>
          <w:sz w:val="20"/>
          <w:lang w:val="ru-RU"/>
        </w:rPr>
        <w:t xml:space="preserve"> </w:t>
      </w:r>
      <w:r w:rsidRPr="00821309">
        <w:rPr>
          <w:color w:val="000000" w:themeColor="text1"/>
          <w:w w:val="110"/>
          <w:sz w:val="20"/>
        </w:rPr>
        <w:t>Genoscholar</w:t>
      </w:r>
      <w:r w:rsidRPr="006B6651">
        <w:rPr>
          <w:color w:val="000000" w:themeColor="text1"/>
          <w:w w:val="110"/>
          <w:sz w:val="20"/>
          <w:lang w:val="ru-RU"/>
        </w:rPr>
        <w:t xml:space="preserve"> </w:t>
      </w:r>
      <w:r w:rsidRPr="00821309">
        <w:rPr>
          <w:color w:val="000000" w:themeColor="text1"/>
          <w:w w:val="110"/>
          <w:sz w:val="20"/>
        </w:rPr>
        <w:t>PZA</w:t>
      </w:r>
      <w:r w:rsidRPr="006B6651">
        <w:rPr>
          <w:color w:val="000000" w:themeColor="text1"/>
          <w:w w:val="110"/>
          <w:sz w:val="20"/>
          <w:lang w:val="ru-RU"/>
        </w:rPr>
        <w:t>-</w:t>
      </w:r>
      <w:r w:rsidRPr="00821309">
        <w:rPr>
          <w:color w:val="000000" w:themeColor="text1"/>
          <w:w w:val="110"/>
          <w:sz w:val="20"/>
        </w:rPr>
        <w:t>TB</w:t>
      </w:r>
      <w:r w:rsidRPr="006B6651">
        <w:rPr>
          <w:color w:val="000000" w:themeColor="text1"/>
          <w:w w:val="110"/>
          <w:sz w:val="20"/>
          <w:lang w:val="ru-RU"/>
        </w:rPr>
        <w:t xml:space="preserve"> </w:t>
      </w:r>
      <w:r w:rsidRPr="00821309">
        <w:rPr>
          <w:color w:val="000000" w:themeColor="text1"/>
          <w:w w:val="110"/>
          <w:sz w:val="20"/>
        </w:rPr>
        <w:t>LPA</w:t>
      </w:r>
      <w:r w:rsidRPr="006B6651">
        <w:rPr>
          <w:color w:val="000000" w:themeColor="text1"/>
          <w:w w:val="110"/>
          <w:sz w:val="20"/>
          <w:lang w:val="ru-RU"/>
        </w:rPr>
        <w:t>, як</w:t>
      </w:r>
      <w:r w:rsidRPr="00821309">
        <w:rPr>
          <w:color w:val="000000" w:themeColor="text1"/>
          <w:w w:val="110"/>
          <w:sz w:val="20"/>
          <w:lang w:val="uk-UA"/>
        </w:rPr>
        <w:t>а</w:t>
      </w:r>
      <w:r w:rsidRPr="006B6651">
        <w:rPr>
          <w:color w:val="000000" w:themeColor="text1"/>
          <w:w w:val="110"/>
          <w:sz w:val="20"/>
          <w:lang w:val="ru-RU"/>
        </w:rPr>
        <w:t xml:space="preserve"> </w:t>
      </w:r>
      <w:proofErr w:type="spellStart"/>
      <w:r w:rsidRPr="006B6651">
        <w:rPr>
          <w:color w:val="000000" w:themeColor="text1"/>
          <w:w w:val="110"/>
          <w:sz w:val="20"/>
          <w:lang w:val="ru-RU"/>
        </w:rPr>
        <w:t>вже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доступн</w:t>
      </w:r>
      <w:proofErr w:type="spellEnd"/>
      <w:r w:rsidRPr="00821309">
        <w:rPr>
          <w:color w:val="000000" w:themeColor="text1"/>
          <w:w w:val="110"/>
          <w:sz w:val="20"/>
          <w:lang w:val="uk-UA"/>
        </w:rPr>
        <w:t>а</w:t>
      </w:r>
      <w:r>
        <w:rPr>
          <w:color w:val="000000" w:themeColor="text1"/>
          <w:w w:val="110"/>
          <w:sz w:val="20"/>
          <w:lang w:val="uk-UA"/>
        </w:rPr>
        <w:t xml:space="preserve"> на ринку</w:t>
      </w:r>
      <w:r w:rsidRPr="006B6651">
        <w:rPr>
          <w:color w:val="000000" w:themeColor="text1"/>
          <w:w w:val="110"/>
          <w:sz w:val="20"/>
          <w:lang w:val="ru-RU"/>
        </w:rPr>
        <w:t xml:space="preserve">, </w:t>
      </w:r>
      <w:proofErr w:type="spellStart"/>
      <w:r w:rsidRPr="006B6651">
        <w:rPr>
          <w:color w:val="000000" w:themeColor="text1"/>
          <w:w w:val="110"/>
          <w:sz w:val="20"/>
          <w:lang w:val="ru-RU"/>
        </w:rPr>
        <w:t>може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потенційно</w:t>
      </w:r>
      <w:proofErr w:type="spellEnd"/>
      <w:r w:rsidRPr="006B6651">
        <w:rPr>
          <w:color w:val="000000" w:themeColor="text1"/>
          <w:w w:val="110"/>
          <w:sz w:val="20"/>
          <w:lang w:val="ru-RU"/>
        </w:rPr>
        <w:t xml:space="preserve"> бути </w:t>
      </w:r>
      <w:proofErr w:type="spellStart"/>
      <w:r w:rsidRPr="006B6651">
        <w:rPr>
          <w:color w:val="000000" w:themeColor="text1"/>
          <w:w w:val="110"/>
          <w:sz w:val="20"/>
          <w:lang w:val="ru-RU"/>
        </w:rPr>
        <w:t>впровадже</w:t>
      </w:r>
      <w:proofErr w:type="spellEnd"/>
      <w:r w:rsidRPr="00821309">
        <w:rPr>
          <w:color w:val="000000" w:themeColor="text1"/>
          <w:w w:val="110"/>
          <w:sz w:val="20"/>
          <w:lang w:val="uk-UA"/>
        </w:rPr>
        <w:t>на</w:t>
      </w:r>
      <w:r w:rsidRPr="006B6651">
        <w:rPr>
          <w:color w:val="000000" w:themeColor="text1"/>
          <w:w w:val="110"/>
          <w:sz w:val="20"/>
          <w:lang w:val="ru-RU"/>
        </w:rPr>
        <w:t xml:space="preserve"> для </w:t>
      </w:r>
      <w:proofErr w:type="spellStart"/>
      <w:r w:rsidRPr="006B6651">
        <w:rPr>
          <w:color w:val="000000" w:themeColor="text1"/>
          <w:w w:val="110"/>
          <w:sz w:val="20"/>
          <w:lang w:val="ru-RU"/>
        </w:rPr>
        <w:t>діагностики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стійкості</w:t>
      </w:r>
      <w:proofErr w:type="spellEnd"/>
      <w:r w:rsidRPr="006B6651">
        <w:rPr>
          <w:color w:val="000000" w:themeColor="text1"/>
          <w:w w:val="110"/>
          <w:sz w:val="20"/>
          <w:lang w:val="ru-RU"/>
        </w:rPr>
        <w:t xml:space="preserve"> до піразинаміду у </w:t>
      </w:r>
      <w:proofErr w:type="spellStart"/>
      <w:r w:rsidRPr="006B6651">
        <w:rPr>
          <w:color w:val="000000" w:themeColor="text1"/>
          <w:w w:val="110"/>
          <w:sz w:val="20"/>
          <w:lang w:val="ru-RU"/>
        </w:rPr>
        <w:t>рутинній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практиці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Однак</w:t>
      </w:r>
      <w:proofErr w:type="spellEnd"/>
      <w:r w:rsidRPr="006B6651">
        <w:rPr>
          <w:color w:val="000000" w:themeColor="text1"/>
          <w:w w:val="110"/>
          <w:sz w:val="20"/>
          <w:lang w:val="ru-RU"/>
        </w:rPr>
        <w:t xml:space="preserve">, </w:t>
      </w:r>
      <w:r w:rsidRPr="00821309">
        <w:rPr>
          <w:color w:val="000000" w:themeColor="text1"/>
          <w:w w:val="110"/>
          <w:sz w:val="20"/>
          <w:lang w:val="uk-UA"/>
        </w:rPr>
        <w:t>об</w:t>
      </w:r>
      <w:r w:rsidRPr="006B6651">
        <w:rPr>
          <w:color w:val="000000" w:themeColor="text1"/>
          <w:w w:val="110"/>
          <w:sz w:val="20"/>
          <w:lang w:val="ru-RU"/>
        </w:rPr>
        <w:t>’</w:t>
      </w:r>
      <w:proofErr w:type="spellStart"/>
      <w:r w:rsidRPr="00821309">
        <w:rPr>
          <w:color w:val="000000" w:themeColor="text1"/>
          <w:w w:val="110"/>
          <w:sz w:val="20"/>
          <w:lang w:val="uk-UA"/>
        </w:rPr>
        <w:t>єм</w:t>
      </w:r>
      <w:proofErr w:type="spellEnd"/>
      <w:r w:rsidRPr="00821309">
        <w:rPr>
          <w:color w:val="000000" w:themeColor="text1"/>
          <w:w w:val="110"/>
          <w:sz w:val="20"/>
          <w:lang w:val="uk-UA"/>
        </w:rPr>
        <w:t xml:space="preserve"> опублікованих даних </w:t>
      </w:r>
      <w:r w:rsidRPr="006B6651">
        <w:rPr>
          <w:color w:val="000000" w:themeColor="text1"/>
          <w:w w:val="110"/>
          <w:sz w:val="20"/>
          <w:lang w:val="ru-RU"/>
        </w:rPr>
        <w:t xml:space="preserve">щодо </w:t>
      </w:r>
      <w:proofErr w:type="spellStart"/>
      <w:r w:rsidRPr="006B6651">
        <w:rPr>
          <w:color w:val="000000" w:themeColor="text1"/>
          <w:w w:val="110"/>
          <w:sz w:val="20"/>
          <w:lang w:val="ru-RU"/>
        </w:rPr>
        <w:t>діагностичної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точності</w:t>
      </w:r>
      <w:proofErr w:type="spellEnd"/>
      <w:r w:rsidRPr="006B6651">
        <w:rPr>
          <w:color w:val="000000" w:themeColor="text1"/>
          <w:w w:val="110"/>
          <w:sz w:val="20"/>
          <w:lang w:val="ru-RU"/>
        </w:rPr>
        <w:t xml:space="preserve"> ц</w:t>
      </w:r>
      <w:proofErr w:type="spellStart"/>
      <w:r w:rsidRPr="00821309">
        <w:rPr>
          <w:color w:val="000000" w:themeColor="text1"/>
          <w:w w:val="110"/>
          <w:sz w:val="20"/>
          <w:lang w:val="uk-UA"/>
        </w:rPr>
        <w:t>ієї</w:t>
      </w:r>
      <w:proofErr w:type="spellEnd"/>
      <w:r w:rsidRPr="006B6651">
        <w:rPr>
          <w:color w:val="000000" w:themeColor="text1"/>
          <w:w w:val="110"/>
          <w:sz w:val="20"/>
          <w:lang w:val="ru-RU"/>
        </w:rPr>
        <w:t xml:space="preserve"> тест</w:t>
      </w:r>
      <w:r w:rsidRPr="00821309">
        <w:rPr>
          <w:color w:val="000000" w:themeColor="text1"/>
          <w:w w:val="110"/>
          <w:sz w:val="20"/>
          <w:lang w:val="uk-UA"/>
        </w:rPr>
        <w:t>-системи обмежений</w:t>
      </w:r>
      <w:r w:rsidRPr="006B6651">
        <w:rPr>
          <w:color w:val="000000" w:themeColor="text1"/>
          <w:w w:val="110"/>
          <w:sz w:val="20"/>
          <w:lang w:val="ru-RU"/>
        </w:rPr>
        <w:t xml:space="preserve">. </w:t>
      </w:r>
      <w:proofErr w:type="spellStart"/>
      <w:r w:rsidRPr="006B6651">
        <w:rPr>
          <w:color w:val="000000" w:themeColor="text1"/>
          <w:w w:val="110"/>
          <w:sz w:val="20"/>
          <w:lang w:val="ru-RU"/>
        </w:rPr>
        <w:t>Цей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систематичний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огляд</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метааналізом</w:t>
      </w:r>
      <w:proofErr w:type="spellEnd"/>
      <w:r w:rsidRPr="006B6651">
        <w:rPr>
          <w:color w:val="000000" w:themeColor="text1"/>
          <w:w w:val="110"/>
          <w:sz w:val="20"/>
          <w:lang w:val="ru-RU"/>
        </w:rPr>
        <w:t xml:space="preserve"> мав на </w:t>
      </w:r>
      <w:proofErr w:type="spellStart"/>
      <w:r w:rsidRPr="006B6651">
        <w:rPr>
          <w:color w:val="000000" w:themeColor="text1"/>
          <w:w w:val="110"/>
          <w:sz w:val="20"/>
          <w:lang w:val="ru-RU"/>
        </w:rPr>
        <w:t>меті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допомогти</w:t>
      </w:r>
      <w:proofErr w:type="spellEnd"/>
      <w:r w:rsidRPr="006B6651">
        <w:rPr>
          <w:color w:val="000000" w:themeColor="text1"/>
          <w:w w:val="110"/>
          <w:sz w:val="20"/>
          <w:lang w:val="ru-RU"/>
        </w:rPr>
        <w:t xml:space="preserve"> в </w:t>
      </w:r>
      <w:proofErr w:type="spellStart"/>
      <w:r w:rsidRPr="006B6651">
        <w:rPr>
          <w:color w:val="000000" w:themeColor="text1"/>
          <w:w w:val="110"/>
          <w:sz w:val="20"/>
          <w:lang w:val="ru-RU"/>
        </w:rPr>
        <w:t>узагальненні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всіх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наявних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щоб</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зрозуміти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діагностичну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точність</w:t>
      </w:r>
      <w:proofErr w:type="spellEnd"/>
      <w:r w:rsidRPr="006B6651">
        <w:rPr>
          <w:color w:val="000000" w:themeColor="text1"/>
          <w:w w:val="110"/>
          <w:sz w:val="20"/>
          <w:lang w:val="ru-RU"/>
        </w:rPr>
        <w:t xml:space="preserve"> тест</w:t>
      </w:r>
      <w:r w:rsidRPr="00821309">
        <w:rPr>
          <w:color w:val="000000" w:themeColor="text1"/>
          <w:w w:val="110"/>
          <w:sz w:val="20"/>
          <w:lang w:val="uk-UA"/>
        </w:rPr>
        <w:t>-системи на основі</w:t>
      </w:r>
      <w:r w:rsidRPr="006B6651">
        <w:rPr>
          <w:color w:val="000000" w:themeColor="text1"/>
          <w:w w:val="110"/>
          <w:sz w:val="20"/>
          <w:lang w:val="ru-RU"/>
        </w:rPr>
        <w:t xml:space="preserve"> </w:t>
      </w:r>
      <w:r w:rsidRPr="00821309">
        <w:rPr>
          <w:color w:val="000000" w:themeColor="text1"/>
          <w:w w:val="110"/>
          <w:sz w:val="20"/>
        </w:rPr>
        <w:t>LPA</w:t>
      </w:r>
      <w:r w:rsidRPr="006B6651">
        <w:rPr>
          <w:color w:val="000000" w:themeColor="text1"/>
          <w:w w:val="110"/>
          <w:sz w:val="20"/>
          <w:lang w:val="ru-RU"/>
        </w:rPr>
        <w:t xml:space="preserve"> для виявлення </w:t>
      </w:r>
      <w:proofErr w:type="spellStart"/>
      <w:r w:rsidRPr="006B6651">
        <w:rPr>
          <w:color w:val="000000" w:themeColor="text1"/>
          <w:w w:val="110"/>
          <w:sz w:val="20"/>
          <w:lang w:val="ru-RU"/>
        </w:rPr>
        <w:t>стійкості</w:t>
      </w:r>
      <w:proofErr w:type="spellEnd"/>
      <w:r w:rsidRPr="006B6651">
        <w:rPr>
          <w:color w:val="000000" w:themeColor="text1"/>
          <w:w w:val="110"/>
          <w:sz w:val="20"/>
          <w:lang w:val="ru-RU"/>
        </w:rPr>
        <w:t xml:space="preserve"> до піразинаміду у </w:t>
      </w:r>
      <w:proofErr w:type="spellStart"/>
      <w:r w:rsidRPr="006B6651">
        <w:rPr>
          <w:color w:val="000000" w:themeColor="text1"/>
          <w:w w:val="110"/>
          <w:sz w:val="20"/>
          <w:lang w:val="ru-RU"/>
        </w:rPr>
        <w:t>пацієнтів</w:t>
      </w:r>
      <w:proofErr w:type="spellEnd"/>
      <w:r w:rsidRPr="006B6651">
        <w:rPr>
          <w:color w:val="000000" w:themeColor="text1"/>
          <w:w w:val="110"/>
          <w:sz w:val="20"/>
          <w:lang w:val="ru-RU"/>
        </w:rPr>
        <w:t xml:space="preserve"> </w:t>
      </w:r>
      <w:r>
        <w:rPr>
          <w:color w:val="000000" w:themeColor="text1"/>
          <w:w w:val="110"/>
          <w:sz w:val="20"/>
          <w:lang w:val="uk-UA"/>
        </w:rPr>
        <w:t>і</w:t>
      </w:r>
      <w:r w:rsidRPr="006B6651">
        <w:rPr>
          <w:color w:val="000000" w:themeColor="text1"/>
          <w:w w:val="110"/>
          <w:sz w:val="20"/>
          <w:lang w:val="ru-RU"/>
        </w:rPr>
        <w:t>з ТБ</w:t>
      </w:r>
      <w:r w:rsidRPr="00821309">
        <w:rPr>
          <w:color w:val="000000" w:themeColor="text1"/>
          <w:w w:val="110"/>
          <w:sz w:val="20"/>
          <w:lang w:val="uk-UA"/>
        </w:rPr>
        <w:t>, щоб</w:t>
      </w:r>
      <w:r w:rsidRPr="006B6651">
        <w:rPr>
          <w:color w:val="000000" w:themeColor="text1"/>
          <w:w w:val="110"/>
          <w:sz w:val="20"/>
          <w:lang w:val="ru-RU"/>
        </w:rPr>
        <w:t xml:space="preserve"> </w:t>
      </w:r>
      <w:proofErr w:type="spellStart"/>
      <w:r w:rsidRPr="006B6651">
        <w:rPr>
          <w:color w:val="000000" w:themeColor="text1"/>
          <w:w w:val="110"/>
          <w:sz w:val="20"/>
          <w:lang w:val="ru-RU"/>
        </w:rPr>
        <w:t>надати</w:t>
      </w:r>
      <w:proofErr w:type="spellEnd"/>
      <w:r w:rsidRPr="006B6651">
        <w:rPr>
          <w:color w:val="000000" w:themeColor="text1"/>
          <w:w w:val="110"/>
          <w:sz w:val="20"/>
          <w:lang w:val="ru-RU"/>
        </w:rPr>
        <w:t xml:space="preserve"> </w:t>
      </w:r>
      <w:r w:rsidRPr="00821309">
        <w:rPr>
          <w:color w:val="000000" w:themeColor="text1"/>
          <w:w w:val="110"/>
          <w:sz w:val="20"/>
          <w:lang w:val="uk-UA"/>
        </w:rPr>
        <w:t>довідкові матеріали</w:t>
      </w:r>
      <w:r w:rsidRPr="006B6651">
        <w:rPr>
          <w:color w:val="000000" w:themeColor="text1"/>
          <w:w w:val="110"/>
          <w:sz w:val="20"/>
          <w:lang w:val="ru-RU"/>
        </w:rPr>
        <w:t xml:space="preserve"> для </w:t>
      </w:r>
      <w:proofErr w:type="spellStart"/>
      <w:r w:rsidRPr="006B6651">
        <w:rPr>
          <w:color w:val="000000" w:themeColor="text1"/>
          <w:w w:val="110"/>
          <w:sz w:val="20"/>
          <w:lang w:val="ru-RU"/>
        </w:rPr>
        <w:t>осіб</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r w:rsidRPr="003E33BC">
        <w:rPr>
          <w:color w:val="000000" w:themeColor="text1"/>
          <w:w w:val="110"/>
          <w:sz w:val="20"/>
          <w:lang w:val="uk-UA"/>
        </w:rPr>
        <w:t>формують політики</w:t>
      </w:r>
      <w:r w:rsidRPr="006B6651">
        <w:rPr>
          <w:color w:val="000000" w:themeColor="text1"/>
          <w:w w:val="110"/>
          <w:sz w:val="20"/>
          <w:lang w:val="ru-RU"/>
        </w:rPr>
        <w:t xml:space="preserve">, та </w:t>
      </w:r>
      <w:r w:rsidRPr="00821309">
        <w:rPr>
          <w:color w:val="000000" w:themeColor="text1"/>
          <w:w w:val="110"/>
          <w:sz w:val="20"/>
          <w:lang w:val="uk-UA"/>
        </w:rPr>
        <w:t>лікарів</w:t>
      </w:r>
      <w:r w:rsidRPr="006B6651">
        <w:rPr>
          <w:color w:val="000000" w:themeColor="text1"/>
          <w:w w:val="110"/>
          <w:sz w:val="20"/>
          <w:lang w:val="ru-RU"/>
        </w:rPr>
        <w:t>.</w:t>
      </w:r>
      <w:r w:rsidR="004A2937">
        <w:rPr>
          <w:color w:val="000000" w:themeColor="text1"/>
          <w:w w:val="110"/>
          <w:sz w:val="20"/>
          <w:lang w:val="ru-RU"/>
        </w:rPr>
        <w:t xml:space="preserve">                        </w:t>
      </w:r>
    </w:p>
    <w:p w14:paraId="7F375C2F" w14:textId="73206B11" w:rsidR="00392DCF" w:rsidRPr="006B6651" w:rsidRDefault="004A2937" w:rsidP="00392DCF">
      <w:pPr>
        <w:widowControl/>
        <w:autoSpaceDE/>
        <w:autoSpaceDN/>
        <w:spacing w:after="160" w:line="259" w:lineRule="auto"/>
        <w:rPr>
          <w:color w:val="000000" w:themeColor="text1"/>
          <w:sz w:val="20"/>
          <w:lang w:val="ru-RU"/>
        </w:rPr>
      </w:pPr>
      <w:r>
        <w:rPr>
          <w:noProof/>
        </w:rPr>
        <mc:AlternateContent>
          <mc:Choice Requires="wps">
            <w:drawing>
              <wp:anchor distT="0" distB="0" distL="114300" distR="114300" simplePos="0" relativeHeight="488219136" behindDoc="0" locked="0" layoutInCell="1" allowOverlap="1" wp14:anchorId="5A17F728" wp14:editId="22541F63">
                <wp:simplePos x="0" y="0"/>
                <wp:positionH relativeFrom="column">
                  <wp:posOffset>6134100</wp:posOffset>
                </wp:positionH>
                <wp:positionV relativeFrom="paragraph">
                  <wp:posOffset>817880</wp:posOffset>
                </wp:positionV>
                <wp:extent cx="463550" cy="254000"/>
                <wp:effectExtent l="0" t="0" r="0" b="0"/>
                <wp:wrapNone/>
                <wp:docPr id="350970076" name="Поле 1941"/>
                <wp:cNvGraphicFramePr/>
                <a:graphic xmlns:a="http://schemas.openxmlformats.org/drawingml/2006/main">
                  <a:graphicData uri="http://schemas.microsoft.com/office/word/2010/wordprocessingShape">
                    <wps:wsp>
                      <wps:cNvSpPr txBox="1"/>
                      <wps:spPr>
                        <a:xfrm>
                          <a:off x="0" y="0"/>
                          <a:ext cx="463550" cy="254000"/>
                        </a:xfrm>
                        <a:prstGeom prst="rect">
                          <a:avLst/>
                        </a:prstGeom>
                        <a:solidFill>
                          <a:schemeClr val="lt1"/>
                        </a:solidFill>
                        <a:ln w="6350">
                          <a:noFill/>
                        </a:ln>
                      </wps:spPr>
                      <wps:txbx>
                        <w:txbxContent>
                          <w:p w14:paraId="510A47AA" w14:textId="11876B12" w:rsidR="004A2937" w:rsidRPr="00770751" w:rsidRDefault="004A2937" w:rsidP="004A2937">
                            <w:pPr>
                              <w:rPr>
                                <w:color w:val="388600"/>
                                <w:sz w:val="20"/>
                                <w:szCs w:val="20"/>
                                <w:lang w:val="uk-UA"/>
                              </w:rPr>
                            </w:pPr>
                            <w:r>
                              <w:rPr>
                                <w:color w:val="388600"/>
                                <w:sz w:val="20"/>
                                <w:szCs w:val="20"/>
                                <w:lang w:val="uk-UA"/>
                              </w:rPr>
                              <w:t>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7F728" id="_x0000_s1166" type="#_x0000_t202" style="position:absolute;margin-left:483pt;margin-top:64.4pt;width:36.5pt;height:20pt;z-index:4882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6W1MAIAAFs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" fillcolor="white [3201]" stroked="f" strokeweight=".5pt">
                <v:textbox>
                  <w:txbxContent>
                    <w:p w14:paraId="510A47AA" w14:textId="11876B12" w:rsidR="004A2937" w:rsidRPr="00770751" w:rsidRDefault="004A2937" w:rsidP="004A2937">
                      <w:pPr>
                        <w:rPr>
                          <w:color w:val="388600"/>
                          <w:sz w:val="20"/>
                          <w:szCs w:val="20"/>
                          <w:lang w:val="uk-UA"/>
                        </w:rPr>
                      </w:pPr>
                      <w:r>
                        <w:rPr>
                          <w:color w:val="388600"/>
                          <w:sz w:val="20"/>
                          <w:szCs w:val="20"/>
                          <w:lang w:val="uk-UA"/>
                        </w:rPr>
                        <w:t>93</w:t>
                      </w:r>
                    </w:p>
                  </w:txbxContent>
                </v:textbox>
              </v:shape>
            </w:pict>
          </mc:Fallback>
        </mc:AlternateContent>
      </w:r>
      <w:r w:rsidR="00392DCF" w:rsidRPr="006B6651">
        <w:rPr>
          <w:color w:val="000000" w:themeColor="text1"/>
          <w:sz w:val="20"/>
          <w:lang w:val="ru-RU"/>
        </w:rPr>
        <w:br w:type="page"/>
      </w:r>
      <w:r>
        <w:rPr>
          <w:color w:val="000000" w:themeColor="text1"/>
          <w:sz w:val="20"/>
          <w:lang w:val="ru-RU"/>
        </w:rPr>
        <w:lastRenderedPageBreak/>
        <w:t xml:space="preserve">                     </w:t>
      </w:r>
    </w:p>
    <w:p w14:paraId="09D884D8" w14:textId="77777777" w:rsidR="00392DCF" w:rsidRPr="006B6651" w:rsidRDefault="00392DCF" w:rsidP="00392DCF">
      <w:pPr>
        <w:pStyle w:val="a3"/>
        <w:spacing w:before="86" w:line="276" w:lineRule="auto"/>
        <w:ind w:left="567" w:right="2"/>
        <w:jc w:val="both"/>
        <w:rPr>
          <w:color w:val="000000" w:themeColor="text1"/>
          <w:sz w:val="20"/>
          <w:lang w:val="ru-RU"/>
        </w:rPr>
      </w:pPr>
      <w:r w:rsidRPr="006B6651">
        <w:rPr>
          <w:color w:val="000000" w:themeColor="text1"/>
          <w:w w:val="110"/>
          <w:sz w:val="20"/>
          <w:lang w:val="ru-RU"/>
        </w:rPr>
        <w:t xml:space="preserve">Глобальна </w:t>
      </w:r>
      <w:proofErr w:type="spellStart"/>
      <w:r w:rsidRPr="006B6651">
        <w:rPr>
          <w:color w:val="000000" w:themeColor="text1"/>
          <w:w w:val="110"/>
          <w:sz w:val="20"/>
          <w:lang w:val="ru-RU"/>
        </w:rPr>
        <w:t>програма</w:t>
      </w:r>
      <w:proofErr w:type="spellEnd"/>
      <w:r w:rsidRPr="006B6651">
        <w:rPr>
          <w:color w:val="000000" w:themeColor="text1"/>
          <w:w w:val="110"/>
          <w:sz w:val="20"/>
          <w:lang w:val="ru-RU"/>
        </w:rPr>
        <w:t xml:space="preserve"> ВООЗ </w:t>
      </w:r>
      <w:r w:rsidRPr="00A624FA">
        <w:rPr>
          <w:color w:val="000000" w:themeColor="text1"/>
          <w:w w:val="110"/>
          <w:sz w:val="20"/>
          <w:lang w:val="uk-UA"/>
        </w:rPr>
        <w:t>із</w:t>
      </w:r>
      <w:r w:rsidRPr="006B6651">
        <w:rPr>
          <w:color w:val="000000" w:themeColor="text1"/>
          <w:w w:val="110"/>
          <w:sz w:val="20"/>
          <w:lang w:val="ru-RU"/>
        </w:rPr>
        <w:t xml:space="preserve"> </w:t>
      </w:r>
      <w:proofErr w:type="spellStart"/>
      <w:r w:rsidRPr="006B6651">
        <w:rPr>
          <w:color w:val="000000" w:themeColor="text1"/>
          <w:w w:val="110"/>
          <w:sz w:val="20"/>
          <w:lang w:val="ru-RU"/>
        </w:rPr>
        <w:t>боротьб</w:t>
      </w:r>
      <w:proofErr w:type="spellEnd"/>
      <w:r w:rsidRPr="00A624FA">
        <w:rPr>
          <w:color w:val="000000" w:themeColor="text1"/>
          <w:w w:val="110"/>
          <w:sz w:val="20"/>
          <w:lang w:val="uk-UA"/>
        </w:rPr>
        <w:t>и</w:t>
      </w:r>
      <w:r w:rsidRPr="006B6651">
        <w:rPr>
          <w:color w:val="000000" w:themeColor="text1"/>
          <w:w w:val="110"/>
          <w:sz w:val="20"/>
          <w:lang w:val="ru-RU"/>
        </w:rPr>
        <w:t xml:space="preserve"> з ТБ </w:t>
      </w:r>
      <w:proofErr w:type="spellStart"/>
      <w:r w:rsidRPr="006B6651">
        <w:rPr>
          <w:color w:val="000000" w:themeColor="text1"/>
          <w:w w:val="110"/>
          <w:sz w:val="20"/>
          <w:lang w:val="ru-RU"/>
        </w:rPr>
        <w:t>ініціювала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оновлення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чинних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настанов</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замовила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проведення</w:t>
      </w:r>
      <w:proofErr w:type="spellEnd"/>
      <w:r w:rsidRPr="006B6651">
        <w:rPr>
          <w:color w:val="000000" w:themeColor="text1"/>
          <w:w w:val="110"/>
          <w:sz w:val="20"/>
          <w:lang w:val="ru-RU"/>
        </w:rPr>
        <w:t xml:space="preserve"> систематичного </w:t>
      </w:r>
      <w:proofErr w:type="spellStart"/>
      <w:r w:rsidRPr="006B6651">
        <w:rPr>
          <w:color w:val="000000" w:themeColor="text1"/>
          <w:w w:val="110"/>
          <w:sz w:val="20"/>
          <w:lang w:val="ru-RU"/>
        </w:rPr>
        <w:t>огляду</w:t>
      </w:r>
      <w:proofErr w:type="spellEnd"/>
      <w:r w:rsidRPr="006B6651">
        <w:rPr>
          <w:color w:val="000000" w:themeColor="text1"/>
          <w:w w:val="110"/>
          <w:sz w:val="20"/>
          <w:lang w:val="ru-RU"/>
        </w:rPr>
        <w:t xml:space="preserve"> щодо використання ТАНК</w:t>
      </w:r>
      <w:r w:rsidRPr="00A624FA">
        <w:rPr>
          <w:color w:val="000000" w:themeColor="text1"/>
          <w:w w:val="110"/>
          <w:sz w:val="20"/>
          <w:lang w:val="uk-UA"/>
        </w:rPr>
        <w:t xml:space="preserve"> високої складності</w:t>
      </w:r>
      <w:r w:rsidRPr="006B6651">
        <w:rPr>
          <w:color w:val="000000" w:themeColor="text1"/>
          <w:w w:val="110"/>
          <w:sz w:val="20"/>
          <w:lang w:val="ru-RU"/>
        </w:rPr>
        <w:t xml:space="preserve"> на </w:t>
      </w:r>
      <w:proofErr w:type="spellStart"/>
      <w:r w:rsidRPr="006B6651">
        <w:rPr>
          <w:color w:val="000000" w:themeColor="text1"/>
          <w:w w:val="110"/>
          <w:sz w:val="20"/>
          <w:lang w:val="ru-RU"/>
        </w:rPr>
        <w:t>основі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зворотної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гібридизації</w:t>
      </w:r>
      <w:proofErr w:type="spellEnd"/>
      <w:r w:rsidRPr="006B6651">
        <w:rPr>
          <w:color w:val="000000" w:themeColor="text1"/>
          <w:w w:val="110"/>
          <w:sz w:val="20"/>
          <w:lang w:val="ru-RU"/>
        </w:rPr>
        <w:t xml:space="preserve"> для виявлення </w:t>
      </w:r>
      <w:proofErr w:type="spellStart"/>
      <w:r w:rsidRPr="006B6651">
        <w:rPr>
          <w:color w:val="000000" w:themeColor="text1"/>
          <w:w w:val="110"/>
          <w:sz w:val="20"/>
          <w:lang w:val="ru-RU"/>
        </w:rPr>
        <w:t>стійкості</w:t>
      </w:r>
      <w:proofErr w:type="spellEnd"/>
      <w:r w:rsidRPr="006B6651">
        <w:rPr>
          <w:color w:val="000000" w:themeColor="text1"/>
          <w:w w:val="110"/>
          <w:sz w:val="20"/>
          <w:lang w:val="ru-RU"/>
        </w:rPr>
        <w:t xml:space="preserve"> до піразинаміду у людей з </w:t>
      </w:r>
      <w:proofErr w:type="spellStart"/>
      <w:r w:rsidRPr="006B6651">
        <w:rPr>
          <w:color w:val="000000" w:themeColor="text1"/>
          <w:w w:val="110"/>
          <w:sz w:val="20"/>
          <w:lang w:val="ru-RU"/>
        </w:rPr>
        <w:t>ознаками</w:t>
      </w:r>
      <w:proofErr w:type="spellEnd"/>
      <w:r w:rsidRPr="006B6651">
        <w:rPr>
          <w:color w:val="000000" w:themeColor="text1"/>
          <w:w w:val="110"/>
          <w:sz w:val="20"/>
          <w:lang w:val="ru-RU"/>
        </w:rPr>
        <w:t xml:space="preserve"> та симптомами ТБ.</w:t>
      </w:r>
    </w:p>
    <w:p w14:paraId="526CF90E" w14:textId="77777777" w:rsidR="00392DCF" w:rsidRPr="006B6651" w:rsidRDefault="00392DCF" w:rsidP="00392DCF">
      <w:pPr>
        <w:pStyle w:val="a3"/>
        <w:spacing w:before="143" w:line="249" w:lineRule="auto"/>
        <w:ind w:left="567" w:right="144"/>
        <w:jc w:val="both"/>
        <w:rPr>
          <w:color w:val="000000" w:themeColor="text1"/>
          <w:sz w:val="20"/>
          <w:lang w:val="ru-RU"/>
        </w:rPr>
      </w:pPr>
      <w:r w:rsidRPr="006B6651">
        <w:rPr>
          <w:color w:val="000000" w:themeColor="text1"/>
          <w:w w:val="110"/>
          <w:sz w:val="20"/>
          <w:lang w:val="ru-RU"/>
        </w:rPr>
        <w:t xml:space="preserve">Два </w:t>
      </w:r>
      <w:proofErr w:type="spellStart"/>
      <w:r w:rsidRPr="006B6651">
        <w:rPr>
          <w:color w:val="000000" w:themeColor="text1"/>
          <w:w w:val="110"/>
          <w:sz w:val="20"/>
          <w:lang w:val="ru-RU"/>
        </w:rPr>
        <w:t>запитання</w:t>
      </w:r>
      <w:proofErr w:type="spellEnd"/>
      <w:r w:rsidRPr="006B6651">
        <w:rPr>
          <w:color w:val="000000" w:themeColor="text1"/>
          <w:w w:val="110"/>
          <w:sz w:val="20"/>
          <w:lang w:val="ru-RU"/>
        </w:rPr>
        <w:t xml:space="preserve"> </w:t>
      </w:r>
      <w:r w:rsidRPr="00A624FA">
        <w:rPr>
          <w:color w:val="000000" w:themeColor="text1"/>
          <w:w w:val="110"/>
          <w:sz w:val="20"/>
          <w:lang w:val="uk-UA"/>
        </w:rPr>
        <w:t xml:space="preserve">формату </w:t>
      </w:r>
      <w:r w:rsidRPr="00A624FA">
        <w:rPr>
          <w:color w:val="000000" w:themeColor="text1"/>
          <w:w w:val="110"/>
          <w:sz w:val="20"/>
        </w:rPr>
        <w:t>PICO</w:t>
      </w:r>
      <w:r w:rsidRPr="006B6651">
        <w:rPr>
          <w:color w:val="000000" w:themeColor="text1"/>
          <w:w w:val="110"/>
          <w:sz w:val="20"/>
          <w:lang w:val="ru-RU"/>
        </w:rPr>
        <w:t xml:space="preserve"> були </w:t>
      </w:r>
      <w:r w:rsidRPr="00A624FA">
        <w:rPr>
          <w:color w:val="000000" w:themeColor="text1"/>
          <w:w w:val="110"/>
          <w:sz w:val="20"/>
          <w:lang w:val="uk-UA"/>
        </w:rPr>
        <w:t>сформульовані</w:t>
      </w:r>
      <w:r w:rsidRPr="006B6651">
        <w:rPr>
          <w:color w:val="000000" w:themeColor="text1"/>
          <w:w w:val="110"/>
          <w:sz w:val="20"/>
          <w:lang w:val="ru-RU"/>
        </w:rPr>
        <w:t xml:space="preserve">, </w:t>
      </w:r>
      <w:proofErr w:type="spellStart"/>
      <w:r w:rsidRPr="006B6651">
        <w:rPr>
          <w:color w:val="000000" w:themeColor="text1"/>
          <w:w w:val="110"/>
          <w:sz w:val="20"/>
          <w:lang w:val="ru-RU"/>
        </w:rPr>
        <w:t>щоб</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слугувати</w:t>
      </w:r>
      <w:proofErr w:type="spellEnd"/>
      <w:r w:rsidRPr="006B6651">
        <w:rPr>
          <w:color w:val="000000" w:themeColor="text1"/>
          <w:w w:val="110"/>
          <w:sz w:val="20"/>
          <w:lang w:val="ru-RU"/>
        </w:rPr>
        <w:t xml:space="preserve"> основою для </w:t>
      </w:r>
      <w:proofErr w:type="spellStart"/>
      <w:r w:rsidRPr="006B6651">
        <w:rPr>
          <w:color w:val="000000" w:themeColor="text1"/>
          <w:w w:val="110"/>
          <w:sz w:val="20"/>
          <w:lang w:val="ru-RU"/>
        </w:rPr>
        <w:t>пошуку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відбору</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аналізу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доказових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w:t>
      </w:r>
    </w:p>
    <w:p w14:paraId="399B7CD5" w14:textId="77777777" w:rsidR="00392DCF" w:rsidRPr="006B6651" w:rsidRDefault="00392DCF" w:rsidP="004A2937">
      <w:pPr>
        <w:pStyle w:val="a4"/>
        <w:numPr>
          <w:ilvl w:val="0"/>
          <w:numId w:val="44"/>
        </w:numPr>
        <w:tabs>
          <w:tab w:val="left" w:pos="2127"/>
        </w:tabs>
        <w:spacing w:before="117" w:line="276" w:lineRule="auto"/>
        <w:ind w:left="1134" w:right="2"/>
        <w:rPr>
          <w:color w:val="000000" w:themeColor="text1"/>
          <w:sz w:val="20"/>
          <w:lang w:val="ru-RU"/>
        </w:rPr>
      </w:pPr>
      <w:proofErr w:type="spellStart"/>
      <w:r w:rsidRPr="006B6651">
        <w:rPr>
          <w:color w:val="000000" w:themeColor="text1"/>
          <w:w w:val="110"/>
          <w:sz w:val="20"/>
          <w:lang w:val="ru-RU"/>
        </w:rPr>
        <w:t>Чи</w:t>
      </w:r>
      <w:proofErr w:type="spellEnd"/>
      <w:r w:rsidRPr="006B6651">
        <w:rPr>
          <w:color w:val="000000" w:themeColor="text1"/>
          <w:w w:val="110"/>
          <w:sz w:val="20"/>
          <w:lang w:val="ru-RU"/>
        </w:rPr>
        <w:t xml:space="preserve"> </w:t>
      </w:r>
      <w:r w:rsidRPr="003E33BC">
        <w:rPr>
          <w:color w:val="000000" w:themeColor="text1"/>
          <w:w w:val="110"/>
          <w:sz w:val="20"/>
          <w:lang w:val="uk-UA"/>
        </w:rPr>
        <w:t>слід</w:t>
      </w:r>
      <w:r w:rsidRPr="006B6651">
        <w:rPr>
          <w:color w:val="000000" w:themeColor="text1"/>
          <w:w w:val="110"/>
          <w:sz w:val="20"/>
          <w:lang w:val="ru-RU"/>
        </w:rPr>
        <w:t xml:space="preserve"> </w:t>
      </w:r>
      <w:proofErr w:type="spellStart"/>
      <w:r w:rsidRPr="006B6651">
        <w:rPr>
          <w:color w:val="000000" w:themeColor="text1"/>
          <w:w w:val="110"/>
          <w:sz w:val="20"/>
          <w:lang w:val="ru-RU"/>
        </w:rPr>
        <w:t>використовувати</w:t>
      </w:r>
      <w:proofErr w:type="spellEnd"/>
      <w:r w:rsidRPr="006B6651">
        <w:rPr>
          <w:color w:val="000000" w:themeColor="text1"/>
          <w:w w:val="110"/>
          <w:sz w:val="20"/>
          <w:lang w:val="ru-RU"/>
        </w:rPr>
        <w:t xml:space="preserve"> ТАНК </w:t>
      </w:r>
      <w:r w:rsidRPr="00A624FA">
        <w:rPr>
          <w:color w:val="000000" w:themeColor="text1"/>
          <w:w w:val="110"/>
          <w:sz w:val="20"/>
          <w:lang w:val="uk-UA"/>
        </w:rPr>
        <w:t xml:space="preserve">високої складності </w:t>
      </w:r>
      <w:r w:rsidRPr="006B6651">
        <w:rPr>
          <w:color w:val="000000" w:themeColor="text1"/>
          <w:w w:val="110"/>
          <w:sz w:val="20"/>
          <w:lang w:val="ru-RU"/>
        </w:rPr>
        <w:t xml:space="preserve">на </w:t>
      </w:r>
      <w:proofErr w:type="spellStart"/>
      <w:r w:rsidRPr="006B6651">
        <w:rPr>
          <w:color w:val="000000" w:themeColor="text1"/>
          <w:w w:val="110"/>
          <w:sz w:val="20"/>
          <w:lang w:val="ru-RU"/>
        </w:rPr>
        <w:t>основі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зворотної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гібридизації</w:t>
      </w:r>
      <w:proofErr w:type="spellEnd"/>
      <w:r w:rsidRPr="006B6651">
        <w:rPr>
          <w:color w:val="000000" w:themeColor="text1"/>
          <w:w w:val="110"/>
          <w:sz w:val="20"/>
          <w:lang w:val="ru-RU"/>
        </w:rPr>
        <w:t xml:space="preserve"> </w:t>
      </w:r>
      <w:r w:rsidRPr="00A624FA">
        <w:rPr>
          <w:color w:val="000000" w:themeColor="text1"/>
          <w:w w:val="110"/>
          <w:sz w:val="20"/>
          <w:lang w:val="uk-UA"/>
        </w:rPr>
        <w:t>для аналізу зразків</w:t>
      </w:r>
      <w:r w:rsidRPr="006B6651">
        <w:rPr>
          <w:color w:val="000000" w:themeColor="text1"/>
          <w:w w:val="110"/>
          <w:sz w:val="20"/>
          <w:lang w:val="ru-RU"/>
        </w:rPr>
        <w:t xml:space="preserve"> </w:t>
      </w:r>
      <w:proofErr w:type="spellStart"/>
      <w:r w:rsidRPr="006B6651">
        <w:rPr>
          <w:color w:val="000000" w:themeColor="text1"/>
          <w:w w:val="110"/>
          <w:sz w:val="20"/>
          <w:lang w:val="ru-RU"/>
        </w:rPr>
        <w:t>мокротинн</w:t>
      </w:r>
      <w:proofErr w:type="spellEnd"/>
      <w:r w:rsidRPr="00A624FA">
        <w:rPr>
          <w:color w:val="000000" w:themeColor="text1"/>
          <w:w w:val="110"/>
          <w:sz w:val="20"/>
          <w:lang w:val="uk-UA"/>
        </w:rPr>
        <w:t>я з метою</w:t>
      </w:r>
      <w:r w:rsidRPr="006B6651">
        <w:rPr>
          <w:color w:val="000000" w:themeColor="text1"/>
          <w:w w:val="110"/>
          <w:sz w:val="20"/>
          <w:lang w:val="ru-RU"/>
        </w:rPr>
        <w:t xml:space="preserve"> </w:t>
      </w:r>
      <w:proofErr w:type="spellStart"/>
      <w:r w:rsidRPr="006B6651">
        <w:rPr>
          <w:color w:val="000000" w:themeColor="text1"/>
          <w:w w:val="110"/>
          <w:sz w:val="20"/>
          <w:lang w:val="ru-RU"/>
        </w:rPr>
        <w:t>діагностики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стійкості</w:t>
      </w:r>
      <w:proofErr w:type="spellEnd"/>
      <w:r w:rsidRPr="006B6651">
        <w:rPr>
          <w:color w:val="000000" w:themeColor="text1"/>
          <w:w w:val="110"/>
          <w:sz w:val="20"/>
          <w:lang w:val="ru-RU"/>
        </w:rPr>
        <w:t xml:space="preserve"> до піразинаміду у </w:t>
      </w:r>
      <w:proofErr w:type="spellStart"/>
      <w:r w:rsidRPr="006B6651">
        <w:rPr>
          <w:color w:val="000000" w:themeColor="text1"/>
          <w:w w:val="110"/>
          <w:sz w:val="20"/>
          <w:lang w:val="ru-RU"/>
        </w:rPr>
        <w:t>пацієнтів</w:t>
      </w:r>
      <w:proofErr w:type="spellEnd"/>
      <w:r w:rsidRPr="006B6651">
        <w:rPr>
          <w:color w:val="000000" w:themeColor="text1"/>
          <w:w w:val="110"/>
          <w:sz w:val="20"/>
          <w:lang w:val="ru-RU"/>
        </w:rPr>
        <w:t xml:space="preserve"> з мікробіологічно </w:t>
      </w:r>
      <w:proofErr w:type="spellStart"/>
      <w:r w:rsidRPr="006B6651">
        <w:rPr>
          <w:color w:val="000000" w:themeColor="text1"/>
          <w:w w:val="110"/>
          <w:sz w:val="20"/>
          <w:lang w:val="ru-RU"/>
        </w:rPr>
        <w:t>підтвердженим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легеневим</w:t>
      </w:r>
      <w:proofErr w:type="spellEnd"/>
      <w:r w:rsidRPr="006B6651">
        <w:rPr>
          <w:color w:val="000000" w:themeColor="text1"/>
          <w:w w:val="110"/>
          <w:sz w:val="20"/>
          <w:lang w:val="ru-RU"/>
        </w:rPr>
        <w:t xml:space="preserve"> ТБ, </w:t>
      </w:r>
      <w:proofErr w:type="spellStart"/>
      <w:r w:rsidRPr="006B6651">
        <w:rPr>
          <w:color w:val="000000" w:themeColor="text1"/>
          <w:w w:val="110"/>
          <w:sz w:val="20"/>
          <w:lang w:val="ru-RU"/>
        </w:rPr>
        <w:t>незалежно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від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стійкості</w:t>
      </w:r>
      <w:proofErr w:type="spellEnd"/>
      <w:r w:rsidRPr="006B6651">
        <w:rPr>
          <w:color w:val="000000" w:themeColor="text1"/>
          <w:w w:val="110"/>
          <w:sz w:val="20"/>
          <w:lang w:val="ru-RU"/>
        </w:rPr>
        <w:t xml:space="preserve"> до рифампіцину, </w:t>
      </w:r>
      <w:proofErr w:type="spellStart"/>
      <w:r w:rsidRPr="006B6651">
        <w:rPr>
          <w:color w:val="000000" w:themeColor="text1"/>
          <w:w w:val="110"/>
          <w:sz w:val="20"/>
          <w:lang w:val="ru-RU"/>
        </w:rPr>
        <w:t>порівняно</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фенотиповим</w:t>
      </w:r>
      <w:proofErr w:type="spellEnd"/>
      <w:r w:rsidRPr="006B6651">
        <w:rPr>
          <w:color w:val="000000" w:themeColor="text1"/>
          <w:w w:val="110"/>
          <w:sz w:val="20"/>
          <w:lang w:val="ru-RU"/>
        </w:rPr>
        <w:t xml:space="preserve"> ТМЧ</w:t>
      </w:r>
      <w:r w:rsidRPr="00A624FA">
        <w:rPr>
          <w:color w:val="000000" w:themeColor="text1"/>
          <w:w w:val="110"/>
          <w:sz w:val="20"/>
          <w:lang w:val="uk-UA"/>
        </w:rPr>
        <w:t xml:space="preserve"> на основі культуральних методів</w:t>
      </w:r>
      <w:r w:rsidRPr="006B6651">
        <w:rPr>
          <w:color w:val="000000" w:themeColor="text1"/>
          <w:w w:val="110"/>
          <w:sz w:val="20"/>
          <w:lang w:val="ru-RU"/>
        </w:rPr>
        <w:t xml:space="preserve"> або </w:t>
      </w:r>
      <w:proofErr w:type="spellStart"/>
      <w:r w:rsidRPr="006B6651">
        <w:rPr>
          <w:color w:val="000000" w:themeColor="text1"/>
          <w:w w:val="110"/>
          <w:sz w:val="20"/>
          <w:lang w:val="ru-RU"/>
        </w:rPr>
        <w:t>комбінованим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еталонним</w:t>
      </w:r>
      <w:proofErr w:type="spellEnd"/>
      <w:r w:rsidRPr="006B6651">
        <w:rPr>
          <w:color w:val="000000" w:themeColor="text1"/>
          <w:w w:val="110"/>
          <w:sz w:val="20"/>
          <w:lang w:val="ru-RU"/>
        </w:rPr>
        <w:t xml:space="preserve"> стандартом?</w:t>
      </w:r>
    </w:p>
    <w:p w14:paraId="1D10BCB1" w14:textId="77777777" w:rsidR="00392DCF" w:rsidRPr="006B6651" w:rsidRDefault="00392DCF" w:rsidP="004A2937">
      <w:pPr>
        <w:pStyle w:val="a4"/>
        <w:numPr>
          <w:ilvl w:val="0"/>
          <w:numId w:val="44"/>
        </w:numPr>
        <w:tabs>
          <w:tab w:val="left" w:pos="2127"/>
        </w:tabs>
        <w:spacing w:before="174" w:line="276" w:lineRule="auto"/>
        <w:ind w:left="1134" w:right="2"/>
        <w:rPr>
          <w:color w:val="000000" w:themeColor="text1"/>
          <w:sz w:val="20"/>
          <w:lang w:val="ru-RU"/>
        </w:rPr>
      </w:pPr>
      <w:proofErr w:type="spellStart"/>
      <w:r w:rsidRPr="006B6651">
        <w:rPr>
          <w:color w:val="000000" w:themeColor="text1"/>
          <w:w w:val="110"/>
          <w:sz w:val="20"/>
          <w:lang w:val="ru-RU"/>
        </w:rPr>
        <w:t>Чи</w:t>
      </w:r>
      <w:proofErr w:type="spellEnd"/>
      <w:r w:rsidRPr="006B6651">
        <w:rPr>
          <w:color w:val="000000" w:themeColor="text1"/>
          <w:w w:val="110"/>
          <w:sz w:val="20"/>
          <w:lang w:val="ru-RU"/>
        </w:rPr>
        <w:t xml:space="preserve"> </w:t>
      </w:r>
      <w:r w:rsidRPr="00A624FA">
        <w:rPr>
          <w:color w:val="000000" w:themeColor="text1"/>
          <w:w w:val="110"/>
          <w:sz w:val="20"/>
          <w:lang w:val="uk-UA"/>
        </w:rPr>
        <w:t>слід</w:t>
      </w:r>
      <w:r w:rsidRPr="006B6651">
        <w:rPr>
          <w:color w:val="000000" w:themeColor="text1"/>
          <w:w w:val="110"/>
          <w:sz w:val="20"/>
          <w:lang w:val="ru-RU"/>
        </w:rPr>
        <w:t xml:space="preserve"> </w:t>
      </w:r>
      <w:proofErr w:type="spellStart"/>
      <w:r w:rsidRPr="006B6651">
        <w:rPr>
          <w:color w:val="000000" w:themeColor="text1"/>
          <w:w w:val="110"/>
          <w:sz w:val="20"/>
          <w:lang w:val="ru-RU"/>
        </w:rPr>
        <w:t>використовувати</w:t>
      </w:r>
      <w:proofErr w:type="spellEnd"/>
      <w:r w:rsidRPr="006B6651">
        <w:rPr>
          <w:color w:val="000000" w:themeColor="text1"/>
          <w:w w:val="110"/>
          <w:sz w:val="20"/>
          <w:lang w:val="ru-RU"/>
        </w:rPr>
        <w:t xml:space="preserve"> ТАНК</w:t>
      </w:r>
      <w:r w:rsidRPr="00A624FA">
        <w:rPr>
          <w:color w:val="000000" w:themeColor="text1"/>
          <w:w w:val="110"/>
          <w:sz w:val="20"/>
          <w:lang w:val="uk-UA"/>
        </w:rPr>
        <w:t xml:space="preserve"> високої складності</w:t>
      </w:r>
      <w:r w:rsidRPr="006B6651">
        <w:rPr>
          <w:color w:val="000000" w:themeColor="text1"/>
          <w:w w:val="110"/>
          <w:sz w:val="20"/>
          <w:lang w:val="ru-RU"/>
        </w:rPr>
        <w:t xml:space="preserve"> на </w:t>
      </w:r>
      <w:proofErr w:type="spellStart"/>
      <w:r w:rsidRPr="006B6651">
        <w:rPr>
          <w:color w:val="000000" w:themeColor="text1"/>
          <w:w w:val="110"/>
          <w:sz w:val="20"/>
          <w:lang w:val="ru-RU"/>
        </w:rPr>
        <w:t>основі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зворотної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гібридизації</w:t>
      </w:r>
      <w:proofErr w:type="spellEnd"/>
      <w:r w:rsidRPr="006B6651">
        <w:rPr>
          <w:color w:val="000000" w:themeColor="text1"/>
          <w:w w:val="110"/>
          <w:sz w:val="20"/>
          <w:lang w:val="ru-RU"/>
        </w:rPr>
        <w:t xml:space="preserve"> </w:t>
      </w:r>
      <w:r w:rsidRPr="00A624FA">
        <w:rPr>
          <w:color w:val="000000" w:themeColor="text1"/>
          <w:w w:val="110"/>
          <w:sz w:val="20"/>
          <w:lang w:val="uk-UA"/>
        </w:rPr>
        <w:t>для аналізу</w:t>
      </w:r>
      <w:r w:rsidRPr="006B6651">
        <w:rPr>
          <w:color w:val="000000" w:themeColor="text1"/>
          <w:w w:val="110"/>
          <w:sz w:val="20"/>
          <w:lang w:val="ru-RU"/>
        </w:rPr>
        <w:t xml:space="preserve"> </w:t>
      </w:r>
      <w:proofErr w:type="spellStart"/>
      <w:r w:rsidRPr="006B6651">
        <w:rPr>
          <w:color w:val="000000" w:themeColor="text1"/>
          <w:w w:val="110"/>
          <w:sz w:val="20"/>
          <w:lang w:val="ru-RU"/>
        </w:rPr>
        <w:t>ізолят</w:t>
      </w:r>
      <w:proofErr w:type="spellEnd"/>
      <w:r w:rsidRPr="00A624FA">
        <w:rPr>
          <w:color w:val="000000" w:themeColor="text1"/>
          <w:w w:val="110"/>
          <w:sz w:val="20"/>
          <w:lang w:val="uk-UA"/>
        </w:rPr>
        <w:t>ів</w:t>
      </w:r>
      <w:r w:rsidRPr="006B6651">
        <w:rPr>
          <w:color w:val="000000" w:themeColor="text1"/>
          <w:w w:val="110"/>
          <w:sz w:val="20"/>
          <w:lang w:val="ru-RU"/>
        </w:rPr>
        <w:t xml:space="preserve"> для </w:t>
      </w:r>
      <w:proofErr w:type="spellStart"/>
      <w:r w:rsidRPr="006B6651">
        <w:rPr>
          <w:color w:val="000000" w:themeColor="text1"/>
          <w:w w:val="110"/>
          <w:sz w:val="20"/>
          <w:lang w:val="ru-RU"/>
        </w:rPr>
        <w:t>діагностики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стійкості</w:t>
      </w:r>
      <w:proofErr w:type="spellEnd"/>
      <w:r w:rsidRPr="006B6651">
        <w:rPr>
          <w:color w:val="000000" w:themeColor="text1"/>
          <w:w w:val="110"/>
          <w:sz w:val="20"/>
          <w:lang w:val="ru-RU"/>
        </w:rPr>
        <w:t xml:space="preserve"> до піразинаміду у </w:t>
      </w:r>
      <w:proofErr w:type="spellStart"/>
      <w:r w:rsidRPr="006B6651">
        <w:rPr>
          <w:color w:val="000000" w:themeColor="text1"/>
          <w:w w:val="110"/>
          <w:sz w:val="20"/>
          <w:lang w:val="ru-RU"/>
        </w:rPr>
        <w:t>пацієнтів</w:t>
      </w:r>
      <w:proofErr w:type="spellEnd"/>
      <w:r w:rsidRPr="006B6651">
        <w:rPr>
          <w:color w:val="000000" w:themeColor="text1"/>
          <w:w w:val="110"/>
          <w:sz w:val="20"/>
          <w:lang w:val="ru-RU"/>
        </w:rPr>
        <w:t xml:space="preserve"> з мікробіологічно </w:t>
      </w:r>
      <w:proofErr w:type="spellStart"/>
      <w:r w:rsidRPr="006B6651">
        <w:rPr>
          <w:color w:val="000000" w:themeColor="text1"/>
          <w:w w:val="110"/>
          <w:sz w:val="20"/>
          <w:lang w:val="ru-RU"/>
        </w:rPr>
        <w:t>підтвердженим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легеневим</w:t>
      </w:r>
      <w:proofErr w:type="spellEnd"/>
      <w:r w:rsidRPr="006B6651">
        <w:rPr>
          <w:color w:val="000000" w:themeColor="text1"/>
          <w:w w:val="110"/>
          <w:sz w:val="20"/>
          <w:lang w:val="ru-RU"/>
        </w:rPr>
        <w:t xml:space="preserve"> ТБ, </w:t>
      </w:r>
      <w:proofErr w:type="spellStart"/>
      <w:r w:rsidRPr="006B6651">
        <w:rPr>
          <w:color w:val="000000" w:themeColor="text1"/>
          <w:w w:val="110"/>
          <w:sz w:val="20"/>
          <w:lang w:val="ru-RU"/>
        </w:rPr>
        <w:t>незалежно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від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стійкості</w:t>
      </w:r>
      <w:proofErr w:type="spellEnd"/>
      <w:r w:rsidRPr="006B6651">
        <w:rPr>
          <w:color w:val="000000" w:themeColor="text1"/>
          <w:w w:val="110"/>
          <w:sz w:val="20"/>
          <w:lang w:val="ru-RU"/>
        </w:rPr>
        <w:t xml:space="preserve"> до рифампіцину, </w:t>
      </w:r>
      <w:proofErr w:type="spellStart"/>
      <w:r w:rsidRPr="006B6651">
        <w:rPr>
          <w:color w:val="000000" w:themeColor="text1"/>
          <w:w w:val="110"/>
          <w:sz w:val="20"/>
          <w:lang w:val="ru-RU"/>
        </w:rPr>
        <w:t>порівняно</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фенотиповим</w:t>
      </w:r>
      <w:proofErr w:type="spellEnd"/>
      <w:r w:rsidRPr="006B6651">
        <w:rPr>
          <w:color w:val="000000" w:themeColor="text1"/>
          <w:w w:val="110"/>
          <w:sz w:val="20"/>
          <w:lang w:val="ru-RU"/>
        </w:rPr>
        <w:t xml:space="preserve"> ТМЧ</w:t>
      </w:r>
      <w:r w:rsidRPr="00A624FA">
        <w:rPr>
          <w:color w:val="000000" w:themeColor="text1"/>
          <w:w w:val="110"/>
          <w:sz w:val="20"/>
          <w:lang w:val="uk-UA"/>
        </w:rPr>
        <w:t xml:space="preserve"> на основі культуральних методів</w:t>
      </w:r>
      <w:r w:rsidRPr="006B6651">
        <w:rPr>
          <w:color w:val="000000" w:themeColor="text1"/>
          <w:w w:val="110"/>
          <w:sz w:val="20"/>
          <w:lang w:val="ru-RU"/>
        </w:rPr>
        <w:t>?</w:t>
      </w:r>
    </w:p>
    <w:p w14:paraId="26238674" w14:textId="77777777" w:rsidR="00392DCF" w:rsidRPr="006B6651" w:rsidRDefault="00392DCF" w:rsidP="00392DCF">
      <w:pPr>
        <w:pStyle w:val="a3"/>
        <w:spacing w:before="174" w:line="276" w:lineRule="auto"/>
        <w:ind w:left="720" w:right="2"/>
        <w:jc w:val="both"/>
        <w:rPr>
          <w:color w:val="000000" w:themeColor="text1"/>
          <w:sz w:val="20"/>
          <w:lang w:val="ru-RU"/>
        </w:rPr>
      </w:pPr>
      <w:proofErr w:type="spellStart"/>
      <w:r w:rsidRPr="006B6651">
        <w:rPr>
          <w:color w:val="000000" w:themeColor="text1"/>
          <w:w w:val="110"/>
          <w:sz w:val="20"/>
          <w:lang w:val="ru-RU"/>
        </w:rPr>
        <w:t>Пошук</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проводився</w:t>
      </w:r>
      <w:proofErr w:type="spellEnd"/>
      <w:r w:rsidRPr="006B6651">
        <w:rPr>
          <w:color w:val="000000" w:themeColor="text1"/>
          <w:w w:val="110"/>
          <w:sz w:val="20"/>
          <w:lang w:val="ru-RU"/>
        </w:rPr>
        <w:t xml:space="preserve"> в базах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 xml:space="preserve"> </w:t>
      </w:r>
      <w:r w:rsidRPr="00A624FA">
        <w:rPr>
          <w:color w:val="000000" w:themeColor="text1"/>
          <w:w w:val="110"/>
          <w:sz w:val="20"/>
        </w:rPr>
        <w:t>PubMed</w:t>
      </w:r>
      <w:r w:rsidRPr="006B6651">
        <w:rPr>
          <w:color w:val="000000" w:themeColor="text1"/>
          <w:w w:val="110"/>
          <w:sz w:val="20"/>
          <w:lang w:val="ru-RU"/>
        </w:rPr>
        <w:t xml:space="preserve">, </w:t>
      </w:r>
      <w:r w:rsidRPr="00A624FA">
        <w:rPr>
          <w:color w:val="000000" w:themeColor="text1"/>
          <w:w w:val="110"/>
          <w:sz w:val="20"/>
        </w:rPr>
        <w:t>Web</w:t>
      </w:r>
      <w:r w:rsidRPr="006B6651">
        <w:rPr>
          <w:color w:val="000000" w:themeColor="text1"/>
          <w:w w:val="110"/>
          <w:sz w:val="20"/>
          <w:lang w:val="ru-RU"/>
        </w:rPr>
        <w:t xml:space="preserve"> </w:t>
      </w:r>
      <w:r w:rsidRPr="00A624FA">
        <w:rPr>
          <w:color w:val="000000" w:themeColor="text1"/>
          <w:w w:val="110"/>
          <w:sz w:val="20"/>
        </w:rPr>
        <w:t>of</w:t>
      </w:r>
      <w:r w:rsidRPr="006B6651">
        <w:rPr>
          <w:color w:val="000000" w:themeColor="text1"/>
          <w:w w:val="110"/>
          <w:sz w:val="20"/>
          <w:lang w:val="ru-RU"/>
        </w:rPr>
        <w:t xml:space="preserve"> </w:t>
      </w:r>
      <w:r w:rsidRPr="00A624FA">
        <w:rPr>
          <w:color w:val="000000" w:themeColor="text1"/>
          <w:w w:val="110"/>
          <w:sz w:val="20"/>
        </w:rPr>
        <w:t>Science</w:t>
      </w:r>
      <w:r w:rsidRPr="006B6651">
        <w:rPr>
          <w:color w:val="000000" w:themeColor="text1"/>
          <w:w w:val="110"/>
          <w:sz w:val="20"/>
          <w:lang w:val="ru-RU"/>
        </w:rPr>
        <w:t xml:space="preserve"> та </w:t>
      </w:r>
      <w:r w:rsidRPr="00A624FA">
        <w:rPr>
          <w:color w:val="000000" w:themeColor="text1"/>
          <w:w w:val="110"/>
          <w:sz w:val="20"/>
        </w:rPr>
        <w:t>Embase</w:t>
      </w:r>
      <w:r w:rsidRPr="00A624FA">
        <w:rPr>
          <w:color w:val="000000" w:themeColor="text1"/>
          <w:w w:val="110"/>
          <w:sz w:val="20"/>
          <w:lang w:val="uk-UA"/>
        </w:rPr>
        <w:t>. В</w:t>
      </w:r>
      <w:r w:rsidRPr="006B6651">
        <w:rPr>
          <w:color w:val="000000" w:themeColor="text1"/>
          <w:w w:val="110"/>
          <w:sz w:val="20"/>
          <w:lang w:val="uk-UA"/>
        </w:rPr>
        <w:t>ін здійснювався без обмежень за мовою чи датою. Пошуковий запит був таким: (</w:t>
      </w:r>
      <w:r w:rsidRPr="00B709F5">
        <w:rPr>
          <w:color w:val="000000" w:themeColor="text1"/>
          <w:w w:val="110"/>
          <w:sz w:val="20"/>
        </w:rPr>
        <w:t>PZA</w:t>
      </w:r>
      <w:r w:rsidRPr="006B6651">
        <w:rPr>
          <w:color w:val="000000" w:themeColor="text1"/>
          <w:w w:val="110"/>
          <w:sz w:val="20"/>
          <w:lang w:val="uk-UA"/>
        </w:rPr>
        <w:t xml:space="preserve"> </w:t>
      </w:r>
      <w:r w:rsidRPr="00B709F5">
        <w:rPr>
          <w:color w:val="000000" w:themeColor="text1"/>
          <w:w w:val="110"/>
          <w:sz w:val="20"/>
          <w:lang w:val="uk-UA"/>
        </w:rPr>
        <w:t>АБО</w:t>
      </w:r>
      <w:r w:rsidRPr="006B6651">
        <w:rPr>
          <w:color w:val="000000" w:themeColor="text1"/>
          <w:w w:val="110"/>
          <w:sz w:val="20"/>
          <w:lang w:val="uk-UA"/>
        </w:rPr>
        <w:t xml:space="preserve"> </w:t>
      </w:r>
      <w:r w:rsidRPr="00B709F5">
        <w:rPr>
          <w:color w:val="000000" w:themeColor="text1"/>
          <w:w w:val="110"/>
          <w:sz w:val="20"/>
        </w:rPr>
        <w:t>pyrazinamide</w:t>
      </w:r>
      <w:r w:rsidRPr="00B709F5">
        <w:rPr>
          <w:color w:val="000000" w:themeColor="text1"/>
          <w:w w:val="110"/>
          <w:sz w:val="20"/>
          <w:lang w:val="uk-UA"/>
        </w:rPr>
        <w:t xml:space="preserve"> </w:t>
      </w:r>
      <w:r w:rsidRPr="006B6651">
        <w:rPr>
          <w:color w:val="000000" w:themeColor="text1"/>
          <w:w w:val="110"/>
          <w:sz w:val="20"/>
          <w:lang w:val="uk-UA"/>
        </w:rPr>
        <w:t xml:space="preserve">[піразинамід] АБО </w:t>
      </w:r>
      <w:proofErr w:type="spellStart"/>
      <w:r w:rsidRPr="00B709F5">
        <w:rPr>
          <w:i/>
          <w:color w:val="000000" w:themeColor="text1"/>
          <w:w w:val="110"/>
          <w:sz w:val="20"/>
        </w:rPr>
        <w:t>pnc</w:t>
      </w:r>
      <w:r w:rsidRPr="00B709F5">
        <w:rPr>
          <w:color w:val="000000" w:themeColor="text1"/>
          <w:w w:val="110"/>
          <w:sz w:val="20"/>
        </w:rPr>
        <w:t>A</w:t>
      </w:r>
      <w:proofErr w:type="spellEnd"/>
      <w:r w:rsidRPr="006B6651">
        <w:rPr>
          <w:color w:val="000000" w:themeColor="text1"/>
          <w:w w:val="110"/>
          <w:sz w:val="20"/>
          <w:lang w:val="uk-UA"/>
        </w:rPr>
        <w:t xml:space="preserve">) </w:t>
      </w:r>
      <w:r w:rsidRPr="00B709F5">
        <w:rPr>
          <w:color w:val="000000" w:themeColor="text1"/>
          <w:w w:val="110"/>
          <w:sz w:val="20"/>
          <w:lang w:val="uk-UA"/>
        </w:rPr>
        <w:t>ТА</w:t>
      </w:r>
      <w:r w:rsidRPr="006B6651">
        <w:rPr>
          <w:color w:val="000000" w:themeColor="text1"/>
          <w:w w:val="110"/>
          <w:sz w:val="20"/>
          <w:lang w:val="uk-UA"/>
        </w:rPr>
        <w:t xml:space="preserve"> (</w:t>
      </w:r>
      <w:r w:rsidRPr="00B709F5">
        <w:rPr>
          <w:color w:val="000000" w:themeColor="text1"/>
          <w:w w:val="110"/>
          <w:sz w:val="20"/>
        </w:rPr>
        <w:t>tuberculosis</w:t>
      </w:r>
      <w:r w:rsidRPr="006B6651">
        <w:rPr>
          <w:color w:val="000000" w:themeColor="text1"/>
          <w:w w:val="110"/>
          <w:sz w:val="20"/>
          <w:lang w:val="uk-UA"/>
        </w:rPr>
        <w:t xml:space="preserve"> [</w:t>
      </w:r>
      <w:r w:rsidRPr="00B709F5">
        <w:rPr>
          <w:color w:val="000000" w:themeColor="text1"/>
          <w:w w:val="110"/>
          <w:sz w:val="20"/>
          <w:lang w:val="uk-UA"/>
        </w:rPr>
        <w:t>туберкульоз</w:t>
      </w:r>
      <w:r w:rsidRPr="006B6651">
        <w:rPr>
          <w:color w:val="000000" w:themeColor="text1"/>
          <w:w w:val="110"/>
          <w:sz w:val="20"/>
          <w:lang w:val="uk-UA"/>
        </w:rPr>
        <w:t xml:space="preserve">]) </w:t>
      </w:r>
      <w:r w:rsidRPr="00B709F5">
        <w:rPr>
          <w:color w:val="000000" w:themeColor="text1"/>
          <w:w w:val="110"/>
          <w:sz w:val="20"/>
          <w:lang w:val="uk-UA"/>
        </w:rPr>
        <w:t>ТА</w:t>
      </w:r>
      <w:r w:rsidRPr="006B6651">
        <w:rPr>
          <w:color w:val="000000" w:themeColor="text1"/>
          <w:w w:val="110"/>
          <w:sz w:val="20"/>
          <w:lang w:val="uk-UA"/>
        </w:rPr>
        <w:t xml:space="preserve"> (“</w:t>
      </w:r>
      <w:r w:rsidRPr="00B709F5">
        <w:rPr>
          <w:color w:val="000000" w:themeColor="text1"/>
          <w:w w:val="110"/>
          <w:sz w:val="20"/>
        </w:rPr>
        <w:t>line</w:t>
      </w:r>
      <w:r w:rsidRPr="006B6651">
        <w:rPr>
          <w:color w:val="000000" w:themeColor="text1"/>
          <w:w w:val="110"/>
          <w:sz w:val="20"/>
          <w:lang w:val="uk-UA"/>
        </w:rPr>
        <w:t>-</w:t>
      </w:r>
      <w:r w:rsidRPr="00B709F5">
        <w:rPr>
          <w:color w:val="000000" w:themeColor="text1"/>
          <w:w w:val="110"/>
          <w:sz w:val="20"/>
        </w:rPr>
        <w:t>probe</w:t>
      </w:r>
      <w:r w:rsidRPr="006B6651">
        <w:rPr>
          <w:color w:val="000000" w:themeColor="text1"/>
          <w:w w:val="110"/>
          <w:sz w:val="20"/>
          <w:lang w:val="uk-UA"/>
        </w:rPr>
        <w:t xml:space="preserve"> </w:t>
      </w:r>
      <w:r w:rsidRPr="00B709F5">
        <w:rPr>
          <w:color w:val="000000" w:themeColor="text1"/>
          <w:w w:val="110"/>
          <w:sz w:val="20"/>
        </w:rPr>
        <w:t>assay</w:t>
      </w:r>
      <w:r w:rsidRPr="006B6651">
        <w:rPr>
          <w:color w:val="000000" w:themeColor="text1"/>
          <w:w w:val="110"/>
          <w:sz w:val="20"/>
          <w:lang w:val="uk-UA"/>
        </w:rPr>
        <w:t>” [</w:t>
      </w:r>
      <w:r w:rsidRPr="00B709F5">
        <w:rPr>
          <w:color w:val="000000" w:themeColor="text1"/>
          <w:w w:val="110"/>
          <w:sz w:val="20"/>
          <w:lang w:val="uk-UA"/>
        </w:rPr>
        <w:t>лінійний зонд-аналіз</w:t>
      </w:r>
      <w:r w:rsidRPr="006B6651">
        <w:rPr>
          <w:color w:val="000000" w:themeColor="text1"/>
          <w:w w:val="110"/>
          <w:sz w:val="20"/>
          <w:lang w:val="uk-UA"/>
        </w:rPr>
        <w:t xml:space="preserve">] АБО </w:t>
      </w:r>
      <w:r w:rsidRPr="00B709F5">
        <w:rPr>
          <w:color w:val="000000" w:themeColor="text1"/>
          <w:w w:val="110"/>
          <w:sz w:val="20"/>
        </w:rPr>
        <w:t>LPA</w:t>
      </w:r>
      <w:r w:rsidRPr="006B6651">
        <w:rPr>
          <w:color w:val="000000" w:themeColor="text1"/>
          <w:w w:val="110"/>
          <w:sz w:val="20"/>
          <w:lang w:val="uk-UA"/>
        </w:rPr>
        <w:t xml:space="preserve"> АБО “</w:t>
      </w:r>
      <w:r w:rsidRPr="00B709F5">
        <w:rPr>
          <w:color w:val="000000" w:themeColor="text1"/>
          <w:w w:val="110"/>
          <w:sz w:val="20"/>
        </w:rPr>
        <w:t>hybridization</w:t>
      </w:r>
      <w:r w:rsidRPr="006B6651">
        <w:rPr>
          <w:color w:val="000000" w:themeColor="text1"/>
          <w:w w:val="110"/>
          <w:sz w:val="20"/>
          <w:lang w:val="uk-UA"/>
        </w:rPr>
        <w:t>-</w:t>
      </w:r>
      <w:r w:rsidRPr="00B709F5">
        <w:rPr>
          <w:color w:val="000000" w:themeColor="text1"/>
          <w:w w:val="110"/>
          <w:sz w:val="20"/>
        </w:rPr>
        <w:t>based</w:t>
      </w:r>
      <w:r w:rsidRPr="006B6651">
        <w:rPr>
          <w:color w:val="000000" w:themeColor="text1"/>
          <w:w w:val="110"/>
          <w:sz w:val="20"/>
          <w:lang w:val="uk-UA"/>
        </w:rPr>
        <w:t xml:space="preserve"> </w:t>
      </w:r>
      <w:r w:rsidRPr="00B709F5">
        <w:rPr>
          <w:color w:val="000000" w:themeColor="text1"/>
          <w:w w:val="110"/>
          <w:sz w:val="20"/>
        </w:rPr>
        <w:t>technology</w:t>
      </w:r>
      <w:r w:rsidRPr="006B6651">
        <w:rPr>
          <w:color w:val="000000" w:themeColor="text1"/>
          <w:w w:val="110"/>
          <w:sz w:val="20"/>
          <w:lang w:val="uk-UA"/>
        </w:rPr>
        <w:t>” [</w:t>
      </w:r>
      <w:r w:rsidRPr="00B709F5">
        <w:rPr>
          <w:color w:val="000000" w:themeColor="text1"/>
          <w:w w:val="110"/>
          <w:sz w:val="20"/>
          <w:lang w:val="uk-UA"/>
        </w:rPr>
        <w:t>технологія на основі гібридизації</w:t>
      </w:r>
      <w:r w:rsidRPr="006B6651">
        <w:rPr>
          <w:color w:val="000000" w:themeColor="text1"/>
          <w:w w:val="110"/>
          <w:sz w:val="20"/>
          <w:lang w:val="uk-UA"/>
        </w:rPr>
        <w:t xml:space="preserve">]). </w:t>
      </w:r>
      <w:proofErr w:type="spellStart"/>
      <w:r w:rsidRPr="006B6651">
        <w:rPr>
          <w:color w:val="000000" w:themeColor="text1"/>
          <w:w w:val="110"/>
          <w:sz w:val="20"/>
          <w:lang w:val="ru-RU"/>
        </w:rPr>
        <w:t>Крім</w:t>
      </w:r>
      <w:proofErr w:type="spellEnd"/>
      <w:r w:rsidRPr="006B6651">
        <w:rPr>
          <w:color w:val="000000" w:themeColor="text1"/>
          <w:w w:val="110"/>
          <w:sz w:val="20"/>
          <w:lang w:val="ru-RU"/>
        </w:rPr>
        <w:t xml:space="preserve"> того, ми </w:t>
      </w:r>
      <w:proofErr w:type="spellStart"/>
      <w:r w:rsidRPr="006B6651">
        <w:rPr>
          <w:color w:val="000000" w:themeColor="text1"/>
          <w:w w:val="110"/>
          <w:sz w:val="20"/>
          <w:lang w:val="ru-RU"/>
        </w:rPr>
        <w:t>звернулися</w:t>
      </w:r>
      <w:proofErr w:type="spellEnd"/>
      <w:r w:rsidRPr="006B6651">
        <w:rPr>
          <w:color w:val="000000" w:themeColor="text1"/>
          <w:w w:val="110"/>
          <w:sz w:val="20"/>
          <w:lang w:val="ru-RU"/>
        </w:rPr>
        <w:t xml:space="preserve"> до </w:t>
      </w:r>
      <w:proofErr w:type="spellStart"/>
      <w:r w:rsidRPr="006B6651">
        <w:rPr>
          <w:color w:val="000000" w:themeColor="text1"/>
          <w:w w:val="110"/>
          <w:sz w:val="20"/>
          <w:lang w:val="ru-RU"/>
        </w:rPr>
        <w:t>компанії</w:t>
      </w:r>
      <w:proofErr w:type="spellEnd"/>
      <w:r w:rsidRPr="006B6651">
        <w:rPr>
          <w:color w:val="000000" w:themeColor="text1"/>
          <w:w w:val="110"/>
          <w:sz w:val="20"/>
          <w:lang w:val="ru-RU"/>
        </w:rPr>
        <w:t xml:space="preserve"> </w:t>
      </w:r>
      <w:r w:rsidRPr="00A624FA">
        <w:rPr>
          <w:color w:val="000000" w:themeColor="text1"/>
          <w:w w:val="110"/>
          <w:sz w:val="20"/>
        </w:rPr>
        <w:t>Nipro</w:t>
      </w:r>
      <w:r w:rsidRPr="006B6651">
        <w:rPr>
          <w:color w:val="000000" w:themeColor="text1"/>
          <w:w w:val="110"/>
          <w:sz w:val="20"/>
          <w:lang w:val="ru-RU"/>
        </w:rPr>
        <w:t xml:space="preserve"> (Осака, </w:t>
      </w:r>
      <w:proofErr w:type="spellStart"/>
      <w:r w:rsidRPr="006B6651">
        <w:rPr>
          <w:color w:val="000000" w:themeColor="text1"/>
          <w:w w:val="110"/>
          <w:sz w:val="20"/>
          <w:lang w:val="ru-RU"/>
        </w:rPr>
        <w:t>Японія</w:t>
      </w:r>
      <w:proofErr w:type="spellEnd"/>
      <w:r w:rsidRPr="006B6651">
        <w:rPr>
          <w:color w:val="000000" w:themeColor="text1"/>
          <w:w w:val="110"/>
          <w:sz w:val="20"/>
          <w:lang w:val="ru-RU"/>
        </w:rPr>
        <w:t xml:space="preserve">) для виявлення </w:t>
      </w:r>
      <w:proofErr w:type="spellStart"/>
      <w:r w:rsidRPr="006B6651">
        <w:rPr>
          <w:color w:val="000000" w:themeColor="text1"/>
          <w:w w:val="110"/>
          <w:sz w:val="20"/>
          <w:lang w:val="ru-RU"/>
        </w:rPr>
        <w:t>неопублікованих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w:t>
      </w:r>
    </w:p>
    <w:p w14:paraId="3BE9D3CD" w14:textId="77777777" w:rsidR="00392DCF" w:rsidRPr="006B6651" w:rsidRDefault="00392DCF" w:rsidP="00392DCF">
      <w:pPr>
        <w:pStyle w:val="a3"/>
        <w:spacing w:before="175" w:line="276" w:lineRule="auto"/>
        <w:ind w:left="720" w:right="2"/>
        <w:jc w:val="both"/>
        <w:rPr>
          <w:color w:val="000000" w:themeColor="text1"/>
          <w:sz w:val="20"/>
          <w:lang w:val="uk-UA"/>
        </w:rPr>
      </w:pPr>
      <w:proofErr w:type="spellStart"/>
      <w:r w:rsidRPr="006B6651">
        <w:rPr>
          <w:color w:val="000000" w:themeColor="text1"/>
          <w:spacing w:val="-3"/>
          <w:w w:val="110"/>
          <w:sz w:val="20"/>
          <w:lang w:val="ru-RU"/>
        </w:rPr>
        <w:t>Мікробіологічний</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еталонний</w:t>
      </w:r>
      <w:proofErr w:type="spellEnd"/>
      <w:r w:rsidRPr="006B6651">
        <w:rPr>
          <w:color w:val="000000" w:themeColor="text1"/>
          <w:spacing w:val="-3"/>
          <w:w w:val="110"/>
          <w:sz w:val="20"/>
          <w:lang w:val="ru-RU"/>
        </w:rPr>
        <w:t xml:space="preserve"> стандарт </w:t>
      </w:r>
      <w:proofErr w:type="spellStart"/>
      <w:r w:rsidRPr="006B6651">
        <w:rPr>
          <w:color w:val="000000" w:themeColor="text1"/>
          <w:spacing w:val="-3"/>
          <w:w w:val="110"/>
          <w:sz w:val="20"/>
          <w:lang w:val="ru-RU"/>
        </w:rPr>
        <w:t>визначався</w:t>
      </w:r>
      <w:proofErr w:type="spellEnd"/>
      <w:r w:rsidRPr="006B6651">
        <w:rPr>
          <w:color w:val="000000" w:themeColor="text1"/>
          <w:spacing w:val="-3"/>
          <w:w w:val="110"/>
          <w:sz w:val="20"/>
          <w:lang w:val="ru-RU"/>
        </w:rPr>
        <w:t xml:space="preserve"> або як фенотипов</w:t>
      </w:r>
      <w:proofErr w:type="spellStart"/>
      <w:r w:rsidRPr="00A624FA">
        <w:rPr>
          <w:color w:val="000000" w:themeColor="text1"/>
          <w:spacing w:val="-3"/>
          <w:w w:val="110"/>
          <w:sz w:val="20"/>
          <w:lang w:val="uk-UA"/>
        </w:rPr>
        <w:t>ий</w:t>
      </w:r>
      <w:proofErr w:type="spellEnd"/>
      <w:r w:rsidRPr="006B6651">
        <w:rPr>
          <w:color w:val="000000" w:themeColor="text1"/>
          <w:spacing w:val="-3"/>
          <w:w w:val="110"/>
          <w:sz w:val="20"/>
          <w:lang w:val="ru-RU"/>
        </w:rPr>
        <w:t xml:space="preserve"> ТМЧ</w:t>
      </w:r>
      <w:r w:rsidRPr="00A624FA">
        <w:rPr>
          <w:color w:val="000000" w:themeColor="text1"/>
          <w:spacing w:val="-3"/>
          <w:w w:val="110"/>
          <w:sz w:val="20"/>
          <w:lang w:val="uk-UA"/>
        </w:rPr>
        <w:t xml:space="preserve"> на основі культуральних методів</w:t>
      </w:r>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виконан</w:t>
      </w:r>
      <w:r>
        <w:rPr>
          <w:color w:val="000000" w:themeColor="text1"/>
          <w:spacing w:val="-3"/>
          <w:w w:val="110"/>
          <w:sz w:val="20"/>
          <w:lang w:val="uk-UA"/>
        </w:rPr>
        <w:t>ий</w:t>
      </w:r>
      <w:proofErr w:type="spellEnd"/>
      <w:r w:rsidRPr="006B6651">
        <w:rPr>
          <w:color w:val="000000" w:themeColor="text1"/>
          <w:spacing w:val="-3"/>
          <w:w w:val="110"/>
          <w:sz w:val="20"/>
          <w:lang w:val="ru-RU"/>
        </w:rPr>
        <w:t xml:space="preserve"> з </w:t>
      </w:r>
      <w:proofErr w:type="spellStart"/>
      <w:r w:rsidRPr="006B6651">
        <w:rPr>
          <w:color w:val="000000" w:themeColor="text1"/>
          <w:spacing w:val="-3"/>
          <w:w w:val="110"/>
          <w:sz w:val="20"/>
          <w:lang w:val="ru-RU"/>
        </w:rPr>
        <w:t>використанням</w:t>
      </w:r>
      <w:proofErr w:type="spellEnd"/>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рідкофазно</w:t>
      </w:r>
      <w:proofErr w:type="spellEnd"/>
      <w:r w:rsidRPr="00A624FA">
        <w:rPr>
          <w:color w:val="000000" w:themeColor="text1"/>
          <w:spacing w:val="-3"/>
          <w:w w:val="110"/>
          <w:sz w:val="20"/>
          <w:lang w:val="uk-UA"/>
        </w:rPr>
        <w:t>ї</w:t>
      </w:r>
      <w:r w:rsidRPr="006B6651">
        <w:rPr>
          <w:color w:val="000000" w:themeColor="text1"/>
          <w:spacing w:val="-3"/>
          <w:w w:val="110"/>
          <w:sz w:val="20"/>
          <w:lang w:val="ru-RU"/>
        </w:rPr>
        <w:t xml:space="preserve"> тест</w:t>
      </w:r>
      <w:r w:rsidRPr="00A624FA">
        <w:rPr>
          <w:color w:val="000000" w:themeColor="text1"/>
          <w:spacing w:val="-3"/>
          <w:w w:val="110"/>
          <w:sz w:val="20"/>
          <w:lang w:val="uk-UA"/>
        </w:rPr>
        <w:t>-системи</w:t>
      </w:r>
      <w:r w:rsidRPr="006B6651">
        <w:rPr>
          <w:color w:val="000000" w:themeColor="text1"/>
          <w:spacing w:val="-3"/>
          <w:w w:val="110"/>
          <w:sz w:val="20"/>
          <w:lang w:val="ru-RU"/>
        </w:rPr>
        <w:t xml:space="preserve"> </w:t>
      </w:r>
      <w:r w:rsidRPr="00A624FA">
        <w:rPr>
          <w:color w:val="000000" w:themeColor="text1"/>
          <w:spacing w:val="-3"/>
          <w:w w:val="110"/>
          <w:sz w:val="20"/>
        </w:rPr>
        <w:t>BD</w:t>
      </w:r>
      <w:r w:rsidRPr="006B6651">
        <w:rPr>
          <w:color w:val="000000" w:themeColor="text1"/>
          <w:spacing w:val="-3"/>
          <w:w w:val="110"/>
          <w:sz w:val="20"/>
          <w:lang w:val="ru-RU"/>
        </w:rPr>
        <w:t xml:space="preserve"> </w:t>
      </w:r>
      <w:r w:rsidRPr="00A624FA">
        <w:rPr>
          <w:color w:val="000000" w:themeColor="text1"/>
          <w:spacing w:val="-3"/>
          <w:w w:val="110"/>
          <w:sz w:val="20"/>
        </w:rPr>
        <w:t>MGIT</w:t>
      </w:r>
      <w:r w:rsidRPr="006B6651">
        <w:rPr>
          <w:color w:val="000000" w:themeColor="text1"/>
          <w:spacing w:val="-3"/>
          <w:w w:val="110"/>
          <w:sz w:val="20"/>
          <w:lang w:val="ru-RU"/>
        </w:rPr>
        <w:t xml:space="preserve"> 960 </w:t>
      </w:r>
      <w:r w:rsidRPr="00A624FA">
        <w:rPr>
          <w:color w:val="000000" w:themeColor="text1"/>
          <w:spacing w:val="-3"/>
          <w:w w:val="110"/>
          <w:sz w:val="20"/>
        </w:rPr>
        <w:t>PZA</w:t>
      </w:r>
      <w:r w:rsidRPr="006B6651">
        <w:rPr>
          <w:color w:val="000000" w:themeColor="text1"/>
          <w:spacing w:val="-3"/>
          <w:w w:val="110"/>
          <w:sz w:val="20"/>
          <w:lang w:val="ru-RU"/>
        </w:rPr>
        <w:t xml:space="preserve"> або </w:t>
      </w:r>
      <w:proofErr w:type="spellStart"/>
      <w:r w:rsidRPr="006B6651">
        <w:rPr>
          <w:color w:val="000000" w:themeColor="text1"/>
          <w:spacing w:val="-3"/>
          <w:w w:val="110"/>
          <w:sz w:val="20"/>
          <w:lang w:val="ru-RU"/>
        </w:rPr>
        <w:t>іншо</w:t>
      </w:r>
      <w:proofErr w:type="spellEnd"/>
      <w:r w:rsidRPr="00A624FA">
        <w:rPr>
          <w:color w:val="000000" w:themeColor="text1"/>
          <w:spacing w:val="-3"/>
          <w:w w:val="110"/>
          <w:sz w:val="20"/>
          <w:lang w:val="uk-UA"/>
        </w:rPr>
        <w:t>ї</w:t>
      </w:r>
      <w:r w:rsidRPr="006B6651">
        <w:rPr>
          <w:color w:val="000000" w:themeColor="text1"/>
          <w:spacing w:val="-3"/>
          <w:w w:val="110"/>
          <w:sz w:val="20"/>
          <w:lang w:val="ru-RU"/>
        </w:rPr>
        <w:t xml:space="preserve"> </w:t>
      </w:r>
      <w:proofErr w:type="spellStart"/>
      <w:r w:rsidRPr="006B6651">
        <w:rPr>
          <w:color w:val="000000" w:themeColor="text1"/>
          <w:spacing w:val="-3"/>
          <w:w w:val="110"/>
          <w:sz w:val="20"/>
          <w:lang w:val="ru-RU"/>
        </w:rPr>
        <w:t>прийнятно</w:t>
      </w:r>
      <w:proofErr w:type="spellEnd"/>
      <w:r w:rsidRPr="00A624FA">
        <w:rPr>
          <w:color w:val="000000" w:themeColor="text1"/>
          <w:spacing w:val="-3"/>
          <w:w w:val="110"/>
          <w:sz w:val="20"/>
          <w:lang w:val="uk-UA"/>
        </w:rPr>
        <w:t>ї</w:t>
      </w:r>
      <w:r w:rsidRPr="006B6651">
        <w:rPr>
          <w:color w:val="000000" w:themeColor="text1"/>
          <w:spacing w:val="-3"/>
          <w:w w:val="110"/>
          <w:sz w:val="20"/>
          <w:lang w:val="ru-RU"/>
        </w:rPr>
        <w:t xml:space="preserve"> тест</w:t>
      </w:r>
      <w:r w:rsidRPr="00A624FA">
        <w:rPr>
          <w:color w:val="000000" w:themeColor="text1"/>
          <w:spacing w:val="-3"/>
          <w:w w:val="110"/>
          <w:sz w:val="20"/>
          <w:lang w:val="uk-UA"/>
        </w:rPr>
        <w:t xml:space="preserve">-системи для </w:t>
      </w:r>
      <w:proofErr w:type="spellStart"/>
      <w:r w:rsidRPr="00A624FA">
        <w:rPr>
          <w:color w:val="000000" w:themeColor="text1"/>
          <w:spacing w:val="-3"/>
          <w:w w:val="110"/>
          <w:sz w:val="20"/>
          <w:lang w:val="uk-UA"/>
        </w:rPr>
        <w:t>фенотипового</w:t>
      </w:r>
      <w:proofErr w:type="spellEnd"/>
      <w:r w:rsidRPr="00A624FA">
        <w:rPr>
          <w:color w:val="000000" w:themeColor="text1"/>
          <w:spacing w:val="-3"/>
          <w:w w:val="110"/>
          <w:sz w:val="20"/>
          <w:lang w:val="uk-UA"/>
        </w:rPr>
        <w:t xml:space="preserve"> аналізу</w:t>
      </w:r>
      <w:r w:rsidRPr="006B6651">
        <w:rPr>
          <w:color w:val="000000" w:themeColor="text1"/>
          <w:spacing w:val="-3"/>
          <w:w w:val="110"/>
          <w:sz w:val="20"/>
          <w:lang w:val="ru-RU"/>
        </w:rPr>
        <w:t>, або як генотипов</w:t>
      </w:r>
      <w:proofErr w:type="spellStart"/>
      <w:r w:rsidRPr="00A624FA">
        <w:rPr>
          <w:color w:val="000000" w:themeColor="text1"/>
          <w:spacing w:val="-3"/>
          <w:w w:val="110"/>
          <w:sz w:val="20"/>
          <w:lang w:val="uk-UA"/>
        </w:rPr>
        <w:t>ий</w:t>
      </w:r>
      <w:proofErr w:type="spellEnd"/>
      <w:r w:rsidRPr="006B6651">
        <w:rPr>
          <w:color w:val="000000" w:themeColor="text1"/>
          <w:spacing w:val="-3"/>
          <w:w w:val="110"/>
          <w:sz w:val="20"/>
          <w:lang w:val="ru-RU"/>
        </w:rPr>
        <w:t xml:space="preserve"> ТМЧ, </w:t>
      </w:r>
      <w:proofErr w:type="spellStart"/>
      <w:r w:rsidRPr="006B6651">
        <w:rPr>
          <w:color w:val="000000" w:themeColor="text1"/>
          <w:spacing w:val="-3"/>
          <w:w w:val="110"/>
          <w:sz w:val="20"/>
          <w:lang w:val="ru-RU"/>
        </w:rPr>
        <w:t>виконан</w:t>
      </w:r>
      <w:r w:rsidRPr="00A624FA">
        <w:rPr>
          <w:color w:val="000000" w:themeColor="text1"/>
          <w:spacing w:val="-3"/>
          <w:w w:val="110"/>
          <w:sz w:val="20"/>
          <w:lang w:val="uk-UA"/>
        </w:rPr>
        <w:t>ий</w:t>
      </w:r>
      <w:proofErr w:type="spellEnd"/>
      <w:r w:rsidRPr="006B6651">
        <w:rPr>
          <w:color w:val="000000" w:themeColor="text1"/>
          <w:spacing w:val="-3"/>
          <w:w w:val="110"/>
          <w:sz w:val="20"/>
          <w:lang w:val="ru-RU"/>
        </w:rPr>
        <w:t xml:space="preserve"> з </w:t>
      </w:r>
      <w:proofErr w:type="spellStart"/>
      <w:r w:rsidRPr="006B6651">
        <w:rPr>
          <w:color w:val="000000" w:themeColor="text1"/>
          <w:spacing w:val="-3"/>
          <w:w w:val="110"/>
          <w:sz w:val="20"/>
          <w:lang w:val="ru-RU"/>
        </w:rPr>
        <w:t>використанням</w:t>
      </w:r>
      <w:proofErr w:type="spellEnd"/>
      <w:r w:rsidRPr="006B6651">
        <w:rPr>
          <w:color w:val="000000" w:themeColor="text1"/>
          <w:spacing w:val="-3"/>
          <w:w w:val="110"/>
          <w:sz w:val="20"/>
          <w:lang w:val="ru-RU"/>
        </w:rPr>
        <w:t xml:space="preserve"> або таргетного секвенування гена </w:t>
      </w:r>
      <w:proofErr w:type="spellStart"/>
      <w:r w:rsidRPr="00A624FA">
        <w:rPr>
          <w:i/>
          <w:color w:val="000000" w:themeColor="text1"/>
          <w:spacing w:val="-3"/>
          <w:w w:val="110"/>
          <w:sz w:val="20"/>
        </w:rPr>
        <w:t>pnc</w:t>
      </w:r>
      <w:r w:rsidRPr="00A624FA">
        <w:rPr>
          <w:color w:val="000000" w:themeColor="text1"/>
          <w:spacing w:val="-3"/>
          <w:w w:val="110"/>
          <w:sz w:val="20"/>
        </w:rPr>
        <w:t>A</w:t>
      </w:r>
      <w:proofErr w:type="spellEnd"/>
      <w:r w:rsidRPr="006B6651">
        <w:rPr>
          <w:color w:val="000000" w:themeColor="text1"/>
          <w:spacing w:val="-3"/>
          <w:w w:val="110"/>
          <w:sz w:val="20"/>
          <w:lang w:val="ru-RU"/>
        </w:rPr>
        <w:t xml:space="preserve">, або </w:t>
      </w:r>
      <w:proofErr w:type="spellStart"/>
      <w:r w:rsidRPr="006B6651">
        <w:rPr>
          <w:color w:val="000000" w:themeColor="text1"/>
          <w:spacing w:val="-3"/>
          <w:w w:val="110"/>
          <w:sz w:val="20"/>
          <w:lang w:val="ru-RU"/>
        </w:rPr>
        <w:t>повногеномного</w:t>
      </w:r>
      <w:proofErr w:type="spellEnd"/>
      <w:r w:rsidRPr="006B6651">
        <w:rPr>
          <w:color w:val="000000" w:themeColor="text1"/>
          <w:spacing w:val="-3"/>
          <w:w w:val="110"/>
          <w:sz w:val="20"/>
          <w:lang w:val="ru-RU"/>
        </w:rPr>
        <w:t xml:space="preserve"> секвенування.</w:t>
      </w:r>
      <w:r w:rsidRPr="00A624FA">
        <w:rPr>
          <w:color w:val="000000" w:themeColor="text1"/>
          <w:spacing w:val="-3"/>
          <w:w w:val="110"/>
          <w:sz w:val="20"/>
          <w:lang w:val="uk-UA"/>
        </w:rPr>
        <w:t xml:space="preserve"> </w:t>
      </w:r>
      <w:r w:rsidRPr="006B6651">
        <w:rPr>
          <w:color w:val="000000" w:themeColor="text1"/>
          <w:spacing w:val="-3"/>
          <w:w w:val="110"/>
          <w:sz w:val="20"/>
          <w:lang w:val="uk-UA"/>
        </w:rPr>
        <w:t xml:space="preserve">У випадку </w:t>
      </w:r>
      <w:proofErr w:type="spellStart"/>
      <w:r w:rsidRPr="006B6651">
        <w:rPr>
          <w:color w:val="000000" w:themeColor="text1"/>
          <w:spacing w:val="-3"/>
          <w:w w:val="110"/>
          <w:sz w:val="20"/>
          <w:lang w:val="uk-UA"/>
        </w:rPr>
        <w:t>генотипового</w:t>
      </w:r>
      <w:proofErr w:type="spellEnd"/>
      <w:r w:rsidRPr="006B6651">
        <w:rPr>
          <w:color w:val="000000" w:themeColor="text1"/>
          <w:spacing w:val="-3"/>
          <w:w w:val="110"/>
          <w:sz w:val="20"/>
          <w:lang w:val="uk-UA"/>
        </w:rPr>
        <w:t xml:space="preserve"> ТМЧ, усі зразки з </w:t>
      </w:r>
      <w:r w:rsidRPr="00A624FA">
        <w:rPr>
          <w:color w:val="000000" w:themeColor="text1"/>
          <w:spacing w:val="-3"/>
          <w:w w:val="110"/>
          <w:sz w:val="20"/>
          <w:lang w:val="uk-UA"/>
        </w:rPr>
        <w:t>геном</w:t>
      </w:r>
      <w:r w:rsidRPr="006B6651">
        <w:rPr>
          <w:color w:val="000000" w:themeColor="text1"/>
          <w:spacing w:val="-3"/>
          <w:w w:val="110"/>
          <w:sz w:val="20"/>
          <w:lang w:val="uk-UA"/>
        </w:rPr>
        <w:t xml:space="preserve"> </w:t>
      </w:r>
      <w:proofErr w:type="spellStart"/>
      <w:r w:rsidRPr="00A624FA">
        <w:rPr>
          <w:i/>
          <w:color w:val="000000" w:themeColor="text1"/>
          <w:spacing w:val="-3"/>
          <w:w w:val="110"/>
          <w:sz w:val="20"/>
        </w:rPr>
        <w:t>pnc</w:t>
      </w:r>
      <w:r w:rsidRPr="00A624FA">
        <w:rPr>
          <w:color w:val="000000" w:themeColor="text1"/>
          <w:spacing w:val="-3"/>
          <w:w w:val="110"/>
          <w:sz w:val="20"/>
        </w:rPr>
        <w:t>A</w:t>
      </w:r>
      <w:proofErr w:type="spellEnd"/>
      <w:r w:rsidRPr="00A624FA">
        <w:rPr>
          <w:color w:val="000000" w:themeColor="text1"/>
          <w:spacing w:val="-3"/>
          <w:w w:val="110"/>
          <w:sz w:val="20"/>
          <w:lang w:val="uk-UA"/>
        </w:rPr>
        <w:t xml:space="preserve"> дикого типу</w:t>
      </w:r>
      <w:r w:rsidRPr="006B6651">
        <w:rPr>
          <w:color w:val="000000" w:themeColor="text1"/>
          <w:spacing w:val="-3"/>
          <w:w w:val="110"/>
          <w:sz w:val="20"/>
          <w:lang w:val="uk-UA"/>
        </w:rPr>
        <w:t xml:space="preserve"> визначалися як чутливі, тоді як ген </w:t>
      </w:r>
      <w:proofErr w:type="spellStart"/>
      <w:r w:rsidRPr="00A624FA">
        <w:rPr>
          <w:i/>
          <w:color w:val="000000" w:themeColor="text1"/>
          <w:spacing w:val="-3"/>
          <w:w w:val="110"/>
          <w:sz w:val="20"/>
        </w:rPr>
        <w:t>pnc</w:t>
      </w:r>
      <w:r w:rsidRPr="00A624FA">
        <w:rPr>
          <w:color w:val="000000" w:themeColor="text1"/>
          <w:spacing w:val="-3"/>
          <w:w w:val="110"/>
          <w:sz w:val="20"/>
        </w:rPr>
        <w:t>A</w:t>
      </w:r>
      <w:proofErr w:type="spellEnd"/>
      <w:r w:rsidRPr="00A624FA">
        <w:rPr>
          <w:color w:val="000000" w:themeColor="text1"/>
          <w:spacing w:val="-3"/>
          <w:w w:val="110"/>
          <w:sz w:val="20"/>
          <w:lang w:val="uk-UA"/>
        </w:rPr>
        <w:t xml:space="preserve"> з будь-якою зміною</w:t>
      </w:r>
      <w:r w:rsidRPr="006B6651">
        <w:rPr>
          <w:color w:val="000000" w:themeColor="text1"/>
          <w:spacing w:val="-3"/>
          <w:w w:val="110"/>
          <w:sz w:val="20"/>
          <w:lang w:val="uk-UA"/>
        </w:rPr>
        <w:t xml:space="preserve"> вважався стійким, що опосередковано класифікувало б "тихі" мутації як стійкі.</w:t>
      </w:r>
      <w:r w:rsidRPr="00A624FA">
        <w:rPr>
          <w:color w:val="000000" w:themeColor="text1"/>
          <w:spacing w:val="-27"/>
          <w:w w:val="110"/>
          <w:sz w:val="20"/>
          <w:lang w:val="uk-UA"/>
        </w:rPr>
        <w:t xml:space="preserve"> </w:t>
      </w:r>
      <w:r w:rsidRPr="006B6651">
        <w:rPr>
          <w:color w:val="000000" w:themeColor="text1"/>
          <w:spacing w:val="-3"/>
          <w:w w:val="110"/>
          <w:sz w:val="20"/>
          <w:lang w:val="uk-UA"/>
        </w:rPr>
        <w:t>На противагу цьому, комбінований еталонний стандарт визначався шляхом класифікації всіх зразків з ген</w:t>
      </w:r>
      <w:r w:rsidRPr="00A624FA">
        <w:rPr>
          <w:color w:val="000000" w:themeColor="text1"/>
          <w:spacing w:val="-3"/>
          <w:w w:val="110"/>
          <w:sz w:val="20"/>
          <w:lang w:val="uk-UA"/>
        </w:rPr>
        <w:t>ом</w:t>
      </w:r>
      <w:r w:rsidRPr="006B6651">
        <w:rPr>
          <w:color w:val="000000" w:themeColor="text1"/>
          <w:spacing w:val="-3"/>
          <w:w w:val="110"/>
          <w:sz w:val="20"/>
          <w:lang w:val="uk-UA"/>
        </w:rPr>
        <w:t xml:space="preserve"> </w:t>
      </w:r>
      <w:proofErr w:type="spellStart"/>
      <w:r w:rsidRPr="00A624FA">
        <w:rPr>
          <w:i/>
          <w:color w:val="000000" w:themeColor="text1"/>
          <w:spacing w:val="-3"/>
          <w:w w:val="110"/>
          <w:sz w:val="20"/>
        </w:rPr>
        <w:t>pnc</w:t>
      </w:r>
      <w:r w:rsidRPr="00A624FA">
        <w:rPr>
          <w:color w:val="000000" w:themeColor="text1"/>
          <w:spacing w:val="-3"/>
          <w:w w:val="110"/>
          <w:sz w:val="20"/>
        </w:rPr>
        <w:t>A</w:t>
      </w:r>
      <w:proofErr w:type="spellEnd"/>
      <w:r w:rsidRPr="00A624FA">
        <w:rPr>
          <w:color w:val="000000" w:themeColor="text1"/>
          <w:spacing w:val="-3"/>
          <w:w w:val="110"/>
          <w:sz w:val="20"/>
          <w:lang w:val="uk-UA"/>
        </w:rPr>
        <w:t xml:space="preserve"> дикого типу</w:t>
      </w:r>
      <w:r w:rsidRPr="006B6651">
        <w:rPr>
          <w:color w:val="000000" w:themeColor="text1"/>
          <w:spacing w:val="-3"/>
          <w:w w:val="110"/>
          <w:sz w:val="20"/>
          <w:lang w:val="uk-UA"/>
        </w:rPr>
        <w:t>, “</w:t>
      </w:r>
      <w:r w:rsidRPr="00A624FA">
        <w:rPr>
          <w:color w:val="000000" w:themeColor="text1"/>
          <w:spacing w:val="-3"/>
          <w:w w:val="110"/>
          <w:sz w:val="20"/>
          <w:lang w:val="uk-UA"/>
        </w:rPr>
        <w:t>тихими</w:t>
      </w:r>
      <w:r w:rsidRPr="006B6651">
        <w:rPr>
          <w:color w:val="000000" w:themeColor="text1"/>
          <w:spacing w:val="-3"/>
          <w:w w:val="110"/>
          <w:sz w:val="20"/>
          <w:lang w:val="uk-UA"/>
        </w:rPr>
        <w:t xml:space="preserve">” мутаціями в </w:t>
      </w:r>
      <w:proofErr w:type="spellStart"/>
      <w:r w:rsidRPr="00A624FA">
        <w:rPr>
          <w:i/>
          <w:color w:val="000000" w:themeColor="text1"/>
          <w:spacing w:val="-3"/>
          <w:w w:val="110"/>
          <w:sz w:val="20"/>
        </w:rPr>
        <w:t>pnc</w:t>
      </w:r>
      <w:r w:rsidRPr="00A624FA">
        <w:rPr>
          <w:color w:val="000000" w:themeColor="text1"/>
          <w:spacing w:val="-3"/>
          <w:w w:val="110"/>
          <w:sz w:val="20"/>
        </w:rPr>
        <w:t>A</w:t>
      </w:r>
      <w:proofErr w:type="spellEnd"/>
      <w:r w:rsidRPr="006B6651">
        <w:rPr>
          <w:color w:val="000000" w:themeColor="text1"/>
          <w:spacing w:val="-3"/>
          <w:w w:val="110"/>
          <w:sz w:val="20"/>
          <w:lang w:val="uk-UA"/>
        </w:rPr>
        <w:t xml:space="preserve"> та нейтральними мутаціями як чутливих, тоді як будь-який інший варіант ген</w:t>
      </w:r>
      <w:r w:rsidRPr="00A624FA">
        <w:rPr>
          <w:color w:val="000000" w:themeColor="text1"/>
          <w:spacing w:val="-3"/>
          <w:w w:val="110"/>
          <w:sz w:val="20"/>
          <w:lang w:val="uk-UA"/>
        </w:rPr>
        <w:t>а</w:t>
      </w:r>
      <w:r w:rsidRPr="006B6651">
        <w:rPr>
          <w:color w:val="000000" w:themeColor="text1"/>
          <w:spacing w:val="-3"/>
          <w:w w:val="110"/>
          <w:sz w:val="20"/>
          <w:lang w:val="uk-UA"/>
        </w:rPr>
        <w:t xml:space="preserve"> </w:t>
      </w:r>
      <w:proofErr w:type="spellStart"/>
      <w:r w:rsidRPr="00A624FA">
        <w:rPr>
          <w:i/>
          <w:color w:val="000000" w:themeColor="text1"/>
          <w:spacing w:val="-3"/>
          <w:w w:val="110"/>
          <w:sz w:val="20"/>
        </w:rPr>
        <w:t>pnc</w:t>
      </w:r>
      <w:r w:rsidRPr="00A624FA">
        <w:rPr>
          <w:color w:val="000000" w:themeColor="text1"/>
          <w:spacing w:val="-3"/>
          <w:w w:val="110"/>
          <w:sz w:val="20"/>
        </w:rPr>
        <w:t>A</w:t>
      </w:r>
      <w:proofErr w:type="spellEnd"/>
      <w:r w:rsidRPr="006B6651">
        <w:rPr>
          <w:color w:val="000000" w:themeColor="text1"/>
          <w:spacing w:val="-3"/>
          <w:w w:val="110"/>
          <w:sz w:val="20"/>
          <w:lang w:val="uk-UA"/>
        </w:rPr>
        <w:t xml:space="preserve"> вважався стійким </w:t>
      </w:r>
      <w:r w:rsidRPr="006B6651">
        <w:rPr>
          <w:i/>
          <w:color w:val="000000" w:themeColor="text1"/>
          <w:spacing w:val="-3"/>
          <w:w w:val="110"/>
          <w:sz w:val="20"/>
          <w:lang w:val="uk-UA"/>
        </w:rPr>
        <w:t>(13)</w:t>
      </w:r>
      <w:r w:rsidRPr="006B6651">
        <w:rPr>
          <w:color w:val="000000" w:themeColor="text1"/>
          <w:spacing w:val="-3"/>
          <w:w w:val="110"/>
          <w:sz w:val="20"/>
          <w:lang w:val="uk-UA"/>
        </w:rPr>
        <w:t>.</w:t>
      </w:r>
    </w:p>
    <w:p w14:paraId="146F3A24" w14:textId="77777777" w:rsidR="00392DCF" w:rsidRPr="00A624FA" w:rsidRDefault="00392DCF" w:rsidP="00392DCF">
      <w:pPr>
        <w:pStyle w:val="a3"/>
        <w:spacing w:before="149" w:line="249" w:lineRule="auto"/>
        <w:ind w:left="720" w:right="2"/>
        <w:jc w:val="both"/>
        <w:rPr>
          <w:color w:val="000000" w:themeColor="text1"/>
          <w:sz w:val="20"/>
        </w:rPr>
      </w:pPr>
      <w:proofErr w:type="spellStart"/>
      <w:r w:rsidRPr="006B6651">
        <w:rPr>
          <w:color w:val="000000" w:themeColor="text1"/>
          <w:w w:val="110"/>
          <w:sz w:val="20"/>
          <w:lang w:val="ru-RU"/>
        </w:rPr>
        <w:t>Узагальнення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було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структуровано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навколо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двох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попередньо</w:t>
      </w:r>
      <w:proofErr w:type="spellEnd"/>
      <w:r w:rsidRPr="006B6651">
        <w:rPr>
          <w:color w:val="000000" w:themeColor="text1"/>
          <w:w w:val="110"/>
          <w:sz w:val="20"/>
          <w:lang w:val="ru-RU"/>
        </w:rPr>
        <w:t xml:space="preserve"> </w:t>
      </w:r>
      <w:r w:rsidRPr="00A624FA">
        <w:rPr>
          <w:color w:val="000000" w:themeColor="text1"/>
          <w:w w:val="110"/>
          <w:sz w:val="20"/>
          <w:lang w:val="uk-UA"/>
        </w:rPr>
        <w:t>сформульованих</w:t>
      </w:r>
      <w:r w:rsidRPr="006B6651">
        <w:rPr>
          <w:color w:val="000000" w:themeColor="text1"/>
          <w:w w:val="110"/>
          <w:sz w:val="20"/>
          <w:lang w:val="ru-RU"/>
        </w:rPr>
        <w:t xml:space="preserve"> </w:t>
      </w:r>
      <w:proofErr w:type="spellStart"/>
      <w:r w:rsidRPr="006B6651">
        <w:rPr>
          <w:color w:val="000000" w:themeColor="text1"/>
          <w:w w:val="110"/>
          <w:sz w:val="20"/>
          <w:lang w:val="ru-RU"/>
        </w:rPr>
        <w:t>запитань</w:t>
      </w:r>
      <w:proofErr w:type="spellEnd"/>
      <w:r w:rsidRPr="006B6651">
        <w:rPr>
          <w:color w:val="000000" w:themeColor="text1"/>
          <w:w w:val="110"/>
          <w:sz w:val="20"/>
          <w:lang w:val="ru-RU"/>
        </w:rPr>
        <w:t xml:space="preserve"> </w:t>
      </w:r>
      <w:r w:rsidRPr="00A624FA">
        <w:rPr>
          <w:color w:val="000000" w:themeColor="text1"/>
          <w:w w:val="110"/>
          <w:sz w:val="20"/>
          <w:lang w:val="uk-UA"/>
        </w:rPr>
        <w:t xml:space="preserve">формату </w:t>
      </w:r>
      <w:r w:rsidRPr="00A624FA">
        <w:rPr>
          <w:color w:val="000000" w:themeColor="text1"/>
          <w:w w:val="110"/>
          <w:sz w:val="20"/>
        </w:rPr>
        <w:t>PICO</w:t>
      </w:r>
      <w:r w:rsidRPr="006B6651">
        <w:rPr>
          <w:color w:val="000000" w:themeColor="text1"/>
          <w:w w:val="110"/>
          <w:sz w:val="20"/>
          <w:lang w:val="ru-RU"/>
        </w:rPr>
        <w:t xml:space="preserve">, як </w:t>
      </w:r>
      <w:proofErr w:type="spellStart"/>
      <w:r w:rsidRPr="006B6651">
        <w:rPr>
          <w:color w:val="000000" w:themeColor="text1"/>
          <w:w w:val="110"/>
          <w:sz w:val="20"/>
          <w:lang w:val="ru-RU"/>
        </w:rPr>
        <w:t>зазначено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нижче</w:t>
      </w:r>
      <w:proofErr w:type="spellEnd"/>
      <w:r w:rsidRPr="006B6651">
        <w:rPr>
          <w:color w:val="000000" w:themeColor="text1"/>
          <w:w w:val="110"/>
          <w:sz w:val="20"/>
          <w:lang w:val="ru-RU"/>
        </w:rPr>
        <w:t xml:space="preserve">. </w:t>
      </w:r>
      <w:proofErr w:type="spellStart"/>
      <w:r w:rsidRPr="00A624FA">
        <w:rPr>
          <w:color w:val="000000" w:themeColor="text1"/>
          <w:w w:val="110"/>
          <w:sz w:val="20"/>
        </w:rPr>
        <w:t>Три</w:t>
      </w:r>
      <w:proofErr w:type="spellEnd"/>
      <w:r w:rsidRPr="00A624FA">
        <w:rPr>
          <w:color w:val="000000" w:themeColor="text1"/>
          <w:w w:val="110"/>
          <w:sz w:val="20"/>
        </w:rPr>
        <w:t xml:space="preserve"> </w:t>
      </w:r>
      <w:proofErr w:type="spellStart"/>
      <w:r w:rsidRPr="00A624FA">
        <w:rPr>
          <w:color w:val="000000" w:themeColor="text1"/>
          <w:w w:val="110"/>
          <w:sz w:val="20"/>
        </w:rPr>
        <w:t>веб-додатки</w:t>
      </w:r>
      <w:proofErr w:type="spellEnd"/>
      <w:r w:rsidRPr="00A624FA">
        <w:rPr>
          <w:color w:val="000000" w:themeColor="text1"/>
          <w:w w:val="110"/>
          <w:sz w:val="20"/>
        </w:rPr>
        <w:t xml:space="preserve"> </w:t>
      </w:r>
      <w:proofErr w:type="spellStart"/>
      <w:r w:rsidRPr="00A624FA">
        <w:rPr>
          <w:color w:val="000000" w:themeColor="text1"/>
          <w:w w:val="110"/>
          <w:sz w:val="20"/>
        </w:rPr>
        <w:t>надають</w:t>
      </w:r>
      <w:proofErr w:type="spellEnd"/>
      <w:r w:rsidRPr="00A624FA">
        <w:rPr>
          <w:color w:val="000000" w:themeColor="text1"/>
          <w:w w:val="110"/>
          <w:sz w:val="20"/>
        </w:rPr>
        <w:t xml:space="preserve"> </w:t>
      </w:r>
      <w:proofErr w:type="spellStart"/>
      <w:r w:rsidRPr="00A624FA">
        <w:rPr>
          <w:color w:val="000000" w:themeColor="text1"/>
          <w:w w:val="110"/>
          <w:sz w:val="20"/>
        </w:rPr>
        <w:t>додаткову</w:t>
      </w:r>
      <w:proofErr w:type="spellEnd"/>
      <w:r w:rsidRPr="00A624FA">
        <w:rPr>
          <w:color w:val="000000" w:themeColor="text1"/>
          <w:w w:val="110"/>
          <w:sz w:val="20"/>
        </w:rPr>
        <w:t xml:space="preserve"> </w:t>
      </w:r>
      <w:proofErr w:type="spellStart"/>
      <w:r w:rsidRPr="00A624FA">
        <w:rPr>
          <w:color w:val="000000" w:themeColor="text1"/>
          <w:w w:val="110"/>
          <w:sz w:val="20"/>
        </w:rPr>
        <w:t>інформацію</w:t>
      </w:r>
      <w:proofErr w:type="spellEnd"/>
      <w:r w:rsidRPr="00A624FA">
        <w:rPr>
          <w:color w:val="000000" w:themeColor="text1"/>
          <w:w w:val="110"/>
          <w:sz w:val="20"/>
        </w:rPr>
        <w:t xml:space="preserve">, а </w:t>
      </w:r>
      <w:proofErr w:type="spellStart"/>
      <w:r w:rsidRPr="00A624FA">
        <w:rPr>
          <w:color w:val="000000" w:themeColor="text1"/>
          <w:w w:val="110"/>
          <w:sz w:val="20"/>
        </w:rPr>
        <w:t>саме</w:t>
      </w:r>
      <w:proofErr w:type="spellEnd"/>
      <w:r w:rsidRPr="00A624FA">
        <w:rPr>
          <w:color w:val="000000" w:themeColor="text1"/>
          <w:w w:val="110"/>
          <w:sz w:val="20"/>
        </w:rPr>
        <w:t>:</w:t>
      </w:r>
    </w:p>
    <w:p w14:paraId="0A162251" w14:textId="77777777" w:rsidR="00392DCF" w:rsidRPr="00B709F5" w:rsidRDefault="00392DCF" w:rsidP="004A2937">
      <w:pPr>
        <w:pStyle w:val="a4"/>
        <w:numPr>
          <w:ilvl w:val="0"/>
          <w:numId w:val="42"/>
        </w:numPr>
        <w:tabs>
          <w:tab w:val="left" w:pos="2127"/>
        </w:tabs>
        <w:spacing w:before="117" w:line="276" w:lineRule="auto"/>
        <w:ind w:left="1276" w:right="2"/>
        <w:rPr>
          <w:i/>
          <w:color w:val="000000" w:themeColor="text1"/>
          <w:w w:val="110"/>
          <w:sz w:val="20"/>
          <w:lang w:val="uk-UA"/>
        </w:rPr>
      </w:pPr>
      <w:proofErr w:type="spellStart"/>
      <w:r w:rsidRPr="00A624FA">
        <w:rPr>
          <w:color w:val="000000" w:themeColor="text1"/>
          <w:w w:val="110"/>
          <w:sz w:val="20"/>
        </w:rPr>
        <w:t>деталі</w:t>
      </w:r>
      <w:proofErr w:type="spellEnd"/>
      <w:r w:rsidRPr="00A624FA">
        <w:rPr>
          <w:color w:val="000000" w:themeColor="text1"/>
          <w:w w:val="110"/>
          <w:sz w:val="20"/>
        </w:rPr>
        <w:t xml:space="preserve"> </w:t>
      </w:r>
      <w:proofErr w:type="spellStart"/>
      <w:r w:rsidRPr="00A624FA">
        <w:rPr>
          <w:color w:val="000000" w:themeColor="text1"/>
          <w:w w:val="110"/>
          <w:sz w:val="20"/>
        </w:rPr>
        <w:t>досліджень</w:t>
      </w:r>
      <w:proofErr w:type="spellEnd"/>
      <w:r w:rsidRPr="00A624FA">
        <w:rPr>
          <w:color w:val="000000" w:themeColor="text1"/>
          <w:w w:val="110"/>
          <w:sz w:val="20"/>
        </w:rPr>
        <w:t xml:space="preserve">, </w:t>
      </w:r>
      <w:proofErr w:type="spellStart"/>
      <w:r w:rsidRPr="00A624FA">
        <w:rPr>
          <w:color w:val="000000" w:themeColor="text1"/>
          <w:w w:val="110"/>
          <w:sz w:val="20"/>
        </w:rPr>
        <w:t>включених</w:t>
      </w:r>
      <w:proofErr w:type="spellEnd"/>
      <w:r w:rsidRPr="00A624FA">
        <w:rPr>
          <w:color w:val="000000" w:themeColor="text1"/>
          <w:w w:val="110"/>
          <w:sz w:val="20"/>
        </w:rPr>
        <w:t xml:space="preserve"> </w:t>
      </w:r>
      <w:proofErr w:type="spellStart"/>
      <w:r w:rsidRPr="00A624FA">
        <w:rPr>
          <w:color w:val="000000" w:themeColor="text1"/>
          <w:w w:val="110"/>
          <w:sz w:val="20"/>
        </w:rPr>
        <w:t>до</w:t>
      </w:r>
      <w:proofErr w:type="spellEnd"/>
      <w:r w:rsidRPr="00A624FA">
        <w:rPr>
          <w:color w:val="000000" w:themeColor="text1"/>
          <w:w w:val="110"/>
          <w:sz w:val="20"/>
        </w:rPr>
        <w:t xml:space="preserve"> </w:t>
      </w:r>
      <w:proofErr w:type="spellStart"/>
      <w:r w:rsidRPr="00A624FA">
        <w:rPr>
          <w:color w:val="000000" w:themeColor="text1"/>
          <w:w w:val="110"/>
          <w:sz w:val="20"/>
        </w:rPr>
        <w:t>поточного</w:t>
      </w:r>
      <w:proofErr w:type="spellEnd"/>
      <w:r w:rsidRPr="00A624FA">
        <w:rPr>
          <w:color w:val="000000" w:themeColor="text1"/>
          <w:w w:val="110"/>
          <w:sz w:val="20"/>
        </w:rPr>
        <w:t xml:space="preserve"> </w:t>
      </w:r>
      <w:proofErr w:type="spellStart"/>
      <w:r w:rsidRPr="00A624FA">
        <w:rPr>
          <w:color w:val="000000" w:themeColor="text1"/>
          <w:w w:val="110"/>
          <w:sz w:val="20"/>
        </w:rPr>
        <w:t>аналізу</w:t>
      </w:r>
      <w:proofErr w:type="spellEnd"/>
      <w:r w:rsidRPr="00A624FA">
        <w:rPr>
          <w:color w:val="000000" w:themeColor="text1"/>
          <w:w w:val="110"/>
          <w:sz w:val="20"/>
        </w:rPr>
        <w:t xml:space="preserve"> (</w:t>
      </w:r>
      <w:proofErr w:type="spellStart"/>
      <w:r w:rsidRPr="00A624FA">
        <w:rPr>
          <w:b/>
          <w:color w:val="000000" w:themeColor="text1"/>
          <w:w w:val="110"/>
          <w:sz w:val="20"/>
        </w:rPr>
        <w:t>Веб-додаток</w:t>
      </w:r>
      <w:proofErr w:type="spellEnd"/>
      <w:r w:rsidRPr="00A624FA">
        <w:rPr>
          <w:b/>
          <w:color w:val="000000" w:themeColor="text1"/>
          <w:w w:val="110"/>
          <w:sz w:val="20"/>
        </w:rPr>
        <w:t xml:space="preserve"> A.9</w:t>
      </w:r>
      <w:r w:rsidRPr="00A624FA">
        <w:rPr>
          <w:color w:val="000000" w:themeColor="text1"/>
          <w:w w:val="110"/>
          <w:sz w:val="20"/>
        </w:rPr>
        <w:t xml:space="preserve">: </w:t>
      </w:r>
      <w:r w:rsidRPr="00B709F5">
        <w:rPr>
          <w:color w:val="000000" w:themeColor="text1"/>
          <w:w w:val="110"/>
          <w:sz w:val="20"/>
        </w:rPr>
        <w:t xml:space="preserve">«ТАНК </w:t>
      </w:r>
      <w:r w:rsidRPr="00B709F5">
        <w:rPr>
          <w:color w:val="000000" w:themeColor="text1"/>
          <w:w w:val="110"/>
          <w:sz w:val="20"/>
          <w:lang w:val="uk-UA"/>
        </w:rPr>
        <w:t xml:space="preserve">високої складності </w:t>
      </w:r>
      <w:proofErr w:type="spellStart"/>
      <w:r w:rsidRPr="00B709F5">
        <w:rPr>
          <w:color w:val="000000" w:themeColor="text1"/>
          <w:w w:val="110"/>
          <w:sz w:val="20"/>
        </w:rPr>
        <w:t>на</w:t>
      </w:r>
      <w:proofErr w:type="spellEnd"/>
      <w:r w:rsidRPr="00B709F5">
        <w:rPr>
          <w:color w:val="000000" w:themeColor="text1"/>
          <w:w w:val="110"/>
          <w:sz w:val="20"/>
        </w:rPr>
        <w:t xml:space="preserve"> </w:t>
      </w:r>
      <w:proofErr w:type="spellStart"/>
      <w:r w:rsidRPr="00B709F5">
        <w:rPr>
          <w:color w:val="000000" w:themeColor="text1"/>
          <w:w w:val="110"/>
          <w:sz w:val="20"/>
        </w:rPr>
        <w:t>основі</w:t>
      </w:r>
      <w:proofErr w:type="spellEnd"/>
      <w:r w:rsidRPr="00B709F5">
        <w:rPr>
          <w:color w:val="000000" w:themeColor="text1"/>
          <w:w w:val="110"/>
          <w:sz w:val="20"/>
        </w:rPr>
        <w:t xml:space="preserve"> </w:t>
      </w:r>
      <w:proofErr w:type="spellStart"/>
      <w:r w:rsidRPr="00B709F5">
        <w:rPr>
          <w:color w:val="000000" w:themeColor="text1"/>
          <w:w w:val="110"/>
          <w:sz w:val="20"/>
        </w:rPr>
        <w:t>зворотної</w:t>
      </w:r>
      <w:proofErr w:type="spellEnd"/>
      <w:r w:rsidRPr="00B709F5">
        <w:rPr>
          <w:color w:val="000000" w:themeColor="text1"/>
          <w:w w:val="110"/>
          <w:sz w:val="20"/>
        </w:rPr>
        <w:t xml:space="preserve"> </w:t>
      </w:r>
      <w:proofErr w:type="spellStart"/>
      <w:r w:rsidRPr="00B709F5">
        <w:rPr>
          <w:color w:val="000000" w:themeColor="text1"/>
          <w:w w:val="110"/>
          <w:sz w:val="20"/>
        </w:rPr>
        <w:t>гібридизації</w:t>
      </w:r>
      <w:proofErr w:type="spellEnd"/>
      <w:r w:rsidRPr="00B709F5">
        <w:rPr>
          <w:color w:val="000000" w:themeColor="text1"/>
          <w:w w:val="110"/>
          <w:sz w:val="20"/>
        </w:rPr>
        <w:t>»</w:t>
      </w:r>
      <w:r>
        <w:rPr>
          <w:i/>
          <w:color w:val="000000" w:themeColor="text1"/>
          <w:w w:val="110"/>
          <w:sz w:val="20"/>
          <w:lang w:val="uk-UA"/>
        </w:rPr>
        <w:t xml:space="preserve"> (</w:t>
      </w:r>
      <w:proofErr w:type="spellStart"/>
      <w:r w:rsidRPr="00B709F5">
        <w:rPr>
          <w:i/>
          <w:color w:val="000000" w:themeColor="text1"/>
          <w:w w:val="110"/>
          <w:sz w:val="20"/>
          <w:lang w:val="uk-UA"/>
        </w:rPr>
        <w:t>High</w:t>
      </w:r>
      <w:proofErr w:type="spellEnd"/>
      <w:r w:rsidRPr="00B709F5">
        <w:rPr>
          <w:i/>
          <w:color w:val="000000" w:themeColor="text1"/>
          <w:w w:val="110"/>
          <w:sz w:val="20"/>
          <w:lang w:val="uk-UA"/>
        </w:rPr>
        <w:t xml:space="preserve"> </w:t>
      </w:r>
      <w:proofErr w:type="spellStart"/>
      <w:r w:rsidRPr="00B709F5">
        <w:rPr>
          <w:i/>
          <w:color w:val="000000" w:themeColor="text1"/>
          <w:w w:val="110"/>
          <w:sz w:val="20"/>
          <w:lang w:val="uk-UA"/>
        </w:rPr>
        <w:t>complexity</w:t>
      </w:r>
      <w:proofErr w:type="spellEnd"/>
      <w:r w:rsidRPr="00B709F5">
        <w:rPr>
          <w:i/>
          <w:color w:val="000000" w:themeColor="text1"/>
          <w:w w:val="110"/>
          <w:sz w:val="20"/>
          <w:lang w:val="uk-UA"/>
        </w:rPr>
        <w:t xml:space="preserve"> </w:t>
      </w:r>
      <w:proofErr w:type="spellStart"/>
      <w:r w:rsidRPr="00B709F5">
        <w:rPr>
          <w:i/>
          <w:color w:val="000000" w:themeColor="text1"/>
          <w:w w:val="110"/>
          <w:sz w:val="20"/>
          <w:lang w:val="uk-UA"/>
        </w:rPr>
        <w:t>reverse</w:t>
      </w:r>
      <w:proofErr w:type="spellEnd"/>
      <w:r>
        <w:rPr>
          <w:i/>
          <w:color w:val="000000" w:themeColor="text1"/>
          <w:w w:val="110"/>
          <w:sz w:val="20"/>
          <w:lang w:val="uk-UA"/>
        </w:rPr>
        <w:t xml:space="preserve"> </w:t>
      </w:r>
      <w:proofErr w:type="spellStart"/>
      <w:r w:rsidRPr="00B709F5">
        <w:rPr>
          <w:i/>
          <w:color w:val="000000" w:themeColor="text1"/>
          <w:w w:val="110"/>
          <w:sz w:val="20"/>
          <w:lang w:val="uk-UA"/>
        </w:rPr>
        <w:t>hybridization-based</w:t>
      </w:r>
      <w:proofErr w:type="spellEnd"/>
      <w:r w:rsidRPr="00B709F5">
        <w:rPr>
          <w:i/>
          <w:color w:val="000000" w:themeColor="text1"/>
          <w:w w:val="110"/>
          <w:sz w:val="20"/>
          <w:lang w:val="uk-UA"/>
        </w:rPr>
        <w:t xml:space="preserve"> </w:t>
      </w:r>
      <w:proofErr w:type="spellStart"/>
      <w:r w:rsidRPr="00B709F5">
        <w:rPr>
          <w:i/>
          <w:color w:val="000000" w:themeColor="text1"/>
          <w:w w:val="110"/>
          <w:sz w:val="20"/>
          <w:lang w:val="uk-UA"/>
        </w:rPr>
        <w:t>NAATs</w:t>
      </w:r>
      <w:proofErr w:type="spellEnd"/>
      <w:r w:rsidRPr="00B709F5">
        <w:rPr>
          <w:color w:val="000000" w:themeColor="text1"/>
          <w:w w:val="110"/>
          <w:sz w:val="20"/>
        </w:rPr>
        <w:t>);</w:t>
      </w:r>
    </w:p>
    <w:p w14:paraId="42574C65" w14:textId="7105E2C9" w:rsidR="00392DCF" w:rsidRPr="00392DCF" w:rsidRDefault="00392DCF" w:rsidP="004A2937">
      <w:pPr>
        <w:pStyle w:val="a4"/>
        <w:numPr>
          <w:ilvl w:val="0"/>
          <w:numId w:val="42"/>
        </w:numPr>
        <w:tabs>
          <w:tab w:val="left" w:pos="2127"/>
        </w:tabs>
        <w:spacing w:before="41"/>
        <w:ind w:left="1276" w:right="2"/>
        <w:rPr>
          <w:color w:val="000000" w:themeColor="text1"/>
          <w:lang w:val="uk-UA"/>
        </w:rPr>
      </w:pPr>
      <w:r w:rsidRPr="00392DCF">
        <w:rPr>
          <w:color w:val="000000" w:themeColor="text1"/>
          <w:w w:val="110"/>
          <w:sz w:val="20"/>
          <w:lang w:val="uk-UA"/>
        </w:rPr>
        <w:t>резюме результатів та деталі оцінки якості доказових даних (</w:t>
      </w:r>
      <w:r w:rsidRPr="00392DCF">
        <w:rPr>
          <w:b/>
          <w:color w:val="000000" w:themeColor="text1"/>
          <w:w w:val="110"/>
          <w:sz w:val="20"/>
          <w:lang w:val="uk-UA"/>
        </w:rPr>
        <w:t xml:space="preserve">Веб-додаток </w:t>
      </w:r>
      <w:r w:rsidRPr="00A624FA">
        <w:rPr>
          <w:b/>
          <w:color w:val="000000" w:themeColor="text1"/>
          <w:w w:val="110"/>
          <w:sz w:val="20"/>
        </w:rPr>
        <w:t>A</w:t>
      </w:r>
      <w:r w:rsidRPr="00392DCF">
        <w:rPr>
          <w:b/>
          <w:color w:val="000000" w:themeColor="text1"/>
          <w:w w:val="110"/>
          <w:sz w:val="20"/>
          <w:lang w:val="uk-UA"/>
        </w:rPr>
        <w:t>.9</w:t>
      </w:r>
      <w:r w:rsidRPr="00392DCF">
        <w:rPr>
          <w:color w:val="000000" w:themeColor="text1"/>
          <w:w w:val="110"/>
          <w:sz w:val="20"/>
          <w:lang w:val="uk-UA"/>
        </w:rPr>
        <w:t>:</w:t>
      </w:r>
      <w:r w:rsidRPr="00A624FA">
        <w:rPr>
          <w:color w:val="000000" w:themeColor="text1"/>
          <w:w w:val="110"/>
          <w:sz w:val="20"/>
          <w:lang w:val="uk-UA"/>
        </w:rPr>
        <w:t xml:space="preserve"> </w:t>
      </w:r>
      <w:r w:rsidRPr="00B709F5">
        <w:rPr>
          <w:color w:val="000000" w:themeColor="text1"/>
          <w:w w:val="110"/>
          <w:sz w:val="20"/>
          <w:lang w:val="uk-UA"/>
        </w:rPr>
        <w:t>«</w:t>
      </w:r>
      <w:r w:rsidRPr="00392DCF">
        <w:rPr>
          <w:color w:val="000000" w:themeColor="text1"/>
          <w:w w:val="110"/>
          <w:sz w:val="20"/>
          <w:lang w:val="uk-UA"/>
        </w:rPr>
        <w:t>ТАНК</w:t>
      </w:r>
      <w:r w:rsidRPr="00392DCF">
        <w:rPr>
          <w:color w:val="000000" w:themeColor="text1"/>
          <w:lang w:val="uk-UA"/>
        </w:rPr>
        <w:t xml:space="preserve"> </w:t>
      </w:r>
      <w:r w:rsidRPr="00392DCF">
        <w:rPr>
          <w:color w:val="000000" w:themeColor="text1"/>
          <w:w w:val="110"/>
          <w:sz w:val="20"/>
          <w:lang w:val="uk-UA"/>
        </w:rPr>
        <w:t>високої складності на основі зворотної гібридизації»); та</w:t>
      </w:r>
    </w:p>
    <w:p w14:paraId="2A1A8A12" w14:textId="77777777" w:rsidR="00392DCF" w:rsidRPr="006B6651" w:rsidRDefault="00392DCF" w:rsidP="004A2937">
      <w:pPr>
        <w:pStyle w:val="a4"/>
        <w:numPr>
          <w:ilvl w:val="0"/>
          <w:numId w:val="42"/>
        </w:numPr>
        <w:tabs>
          <w:tab w:val="left" w:pos="2127"/>
        </w:tabs>
        <w:spacing w:before="2"/>
        <w:ind w:left="1276" w:right="2"/>
        <w:rPr>
          <w:b/>
          <w:color w:val="000000" w:themeColor="text1"/>
          <w:sz w:val="20"/>
          <w:lang w:val="ru-RU"/>
        </w:rPr>
      </w:pPr>
      <w:r w:rsidRPr="006B6651">
        <w:rPr>
          <w:color w:val="000000" w:themeColor="text1"/>
          <w:w w:val="110"/>
          <w:sz w:val="20"/>
          <w:lang w:val="ru-RU"/>
        </w:rPr>
        <w:t xml:space="preserve">резюме </w:t>
      </w:r>
      <w:proofErr w:type="spellStart"/>
      <w:r w:rsidRPr="006B6651">
        <w:rPr>
          <w:color w:val="000000" w:themeColor="text1"/>
          <w:w w:val="110"/>
          <w:sz w:val="20"/>
          <w:lang w:val="ru-RU"/>
        </w:rPr>
        <w:t>висновків</w:t>
      </w:r>
      <w:proofErr w:type="spellEnd"/>
      <w:r w:rsidRPr="00A624FA">
        <w:rPr>
          <w:color w:val="000000" w:themeColor="text1"/>
          <w:w w:val="110"/>
          <w:sz w:val="20"/>
          <w:lang w:val="uk-UA"/>
        </w:rPr>
        <w:t xml:space="preserve"> експертів</w:t>
      </w:r>
      <w:r w:rsidRPr="006B6651">
        <w:rPr>
          <w:color w:val="000000" w:themeColor="text1"/>
          <w:w w:val="110"/>
          <w:sz w:val="20"/>
          <w:lang w:val="ru-RU"/>
        </w:rPr>
        <w:t xml:space="preserve"> ГР</w:t>
      </w:r>
      <w:r w:rsidRPr="00A624FA">
        <w:rPr>
          <w:color w:val="000000" w:themeColor="text1"/>
          <w:w w:val="110"/>
          <w:sz w:val="20"/>
          <w:lang w:val="uk-UA"/>
        </w:rPr>
        <w:t>Н</w:t>
      </w:r>
      <w:r w:rsidRPr="006B6651">
        <w:rPr>
          <w:color w:val="000000" w:themeColor="text1"/>
          <w:w w:val="110"/>
          <w:sz w:val="20"/>
          <w:lang w:val="ru-RU"/>
        </w:rPr>
        <w:t xml:space="preserve"> (</w:t>
      </w:r>
      <w:r w:rsidRPr="006B6651">
        <w:rPr>
          <w:b/>
          <w:color w:val="000000" w:themeColor="text1"/>
          <w:w w:val="110"/>
          <w:sz w:val="20"/>
          <w:lang w:val="ru-RU"/>
        </w:rPr>
        <w:t>Веб-</w:t>
      </w:r>
      <w:proofErr w:type="spellStart"/>
      <w:r w:rsidRPr="006B6651">
        <w:rPr>
          <w:b/>
          <w:color w:val="000000" w:themeColor="text1"/>
          <w:w w:val="110"/>
          <w:sz w:val="20"/>
          <w:lang w:val="ru-RU"/>
        </w:rPr>
        <w:t>додаток</w:t>
      </w:r>
      <w:proofErr w:type="spellEnd"/>
      <w:r w:rsidRPr="006B6651">
        <w:rPr>
          <w:b/>
          <w:color w:val="000000" w:themeColor="text1"/>
          <w:w w:val="110"/>
          <w:sz w:val="20"/>
          <w:lang w:val="ru-RU"/>
        </w:rPr>
        <w:t xml:space="preserve"> </w:t>
      </w:r>
      <w:r w:rsidRPr="00A624FA">
        <w:rPr>
          <w:b/>
          <w:color w:val="000000" w:themeColor="text1"/>
          <w:w w:val="110"/>
          <w:sz w:val="20"/>
        </w:rPr>
        <w:t>A</w:t>
      </w:r>
      <w:r w:rsidRPr="006B6651">
        <w:rPr>
          <w:b/>
          <w:color w:val="000000" w:themeColor="text1"/>
          <w:w w:val="110"/>
          <w:sz w:val="20"/>
          <w:lang w:val="ru-RU"/>
        </w:rPr>
        <w:t>.9</w:t>
      </w:r>
      <w:r w:rsidRPr="006B6651">
        <w:rPr>
          <w:color w:val="000000" w:themeColor="text1"/>
          <w:w w:val="110"/>
          <w:sz w:val="20"/>
          <w:lang w:val="ru-RU"/>
        </w:rPr>
        <w:t xml:space="preserve">: «ТАНК </w:t>
      </w:r>
      <w:proofErr w:type="spellStart"/>
      <w:r w:rsidRPr="006B6651">
        <w:rPr>
          <w:color w:val="000000" w:themeColor="text1"/>
          <w:w w:val="110"/>
          <w:sz w:val="20"/>
          <w:lang w:val="ru-RU"/>
        </w:rPr>
        <w:t>високої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складності</w:t>
      </w:r>
      <w:proofErr w:type="spellEnd"/>
      <w:r w:rsidRPr="006B6651">
        <w:rPr>
          <w:color w:val="000000" w:themeColor="text1"/>
          <w:w w:val="110"/>
          <w:sz w:val="20"/>
          <w:lang w:val="ru-RU"/>
        </w:rPr>
        <w:t xml:space="preserve"> на </w:t>
      </w:r>
    </w:p>
    <w:p w14:paraId="572FA409" w14:textId="77A39C42" w:rsidR="00392DCF" w:rsidRPr="006B6651" w:rsidRDefault="00392DCF" w:rsidP="00392DCF">
      <w:pPr>
        <w:pStyle w:val="a4"/>
        <w:tabs>
          <w:tab w:val="left" w:pos="2127"/>
        </w:tabs>
        <w:ind w:left="1276" w:right="2" w:firstLine="0"/>
        <w:rPr>
          <w:b/>
          <w:color w:val="000000" w:themeColor="text1"/>
          <w:sz w:val="20"/>
          <w:lang w:val="ru-RU"/>
        </w:rPr>
      </w:pPr>
      <w:proofErr w:type="spellStart"/>
      <w:r w:rsidRPr="006B6651">
        <w:rPr>
          <w:color w:val="000000" w:themeColor="text1"/>
          <w:w w:val="110"/>
          <w:sz w:val="20"/>
          <w:lang w:val="ru-RU"/>
        </w:rPr>
        <w:t>основі</w:t>
      </w:r>
      <w:proofErr w:type="spellEnd"/>
      <w:r w:rsidRPr="00B709F5">
        <w:rPr>
          <w:color w:val="000000" w:themeColor="text1"/>
          <w:w w:val="110"/>
          <w:sz w:val="20"/>
          <w:lang w:val="uk-UA"/>
        </w:rPr>
        <w:t xml:space="preserve"> </w:t>
      </w:r>
      <w:proofErr w:type="spellStart"/>
      <w:r w:rsidRPr="006B6651">
        <w:rPr>
          <w:color w:val="000000" w:themeColor="text1"/>
          <w:w w:val="110"/>
          <w:sz w:val="20"/>
          <w:lang w:val="ru-RU"/>
        </w:rPr>
        <w:t>зворотної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гібридизації</w:t>
      </w:r>
      <w:proofErr w:type="spellEnd"/>
      <w:r w:rsidRPr="006B6651">
        <w:rPr>
          <w:color w:val="000000" w:themeColor="text1"/>
          <w:w w:val="110"/>
          <w:sz w:val="20"/>
          <w:lang w:val="ru-RU"/>
        </w:rPr>
        <w:t>»).</w:t>
      </w:r>
    </w:p>
    <w:p w14:paraId="59B4E2C1" w14:textId="77777777" w:rsidR="00392DCF" w:rsidRPr="006B6651" w:rsidRDefault="00392DCF" w:rsidP="00392DCF">
      <w:pPr>
        <w:pStyle w:val="a3"/>
        <w:spacing w:before="5"/>
        <w:ind w:right="2"/>
        <w:jc w:val="both"/>
        <w:rPr>
          <w:color w:val="000000" w:themeColor="text1"/>
          <w:sz w:val="20"/>
          <w:lang w:val="ru-RU"/>
        </w:rPr>
      </w:pPr>
    </w:p>
    <w:p w14:paraId="0B6BFF20" w14:textId="77777777" w:rsidR="00392DCF" w:rsidRPr="006B6651" w:rsidRDefault="00392DCF" w:rsidP="00392DCF">
      <w:pPr>
        <w:pStyle w:val="6"/>
        <w:spacing w:line="235" w:lineRule="auto"/>
        <w:ind w:right="2"/>
        <w:jc w:val="both"/>
        <w:rPr>
          <w:rFonts w:ascii="Microsoft Sans Serif" w:hAnsi="Microsoft Sans Serif" w:cs="Microsoft Sans Serif"/>
          <w:color w:val="000000" w:themeColor="text1"/>
          <w:w w:val="115"/>
          <w:sz w:val="20"/>
          <w:szCs w:val="20"/>
          <w:lang w:val="ru-RU"/>
        </w:rPr>
      </w:pPr>
      <w:r w:rsidRPr="00A624FA">
        <w:rPr>
          <w:rFonts w:ascii="Microsoft Sans Serif" w:hAnsi="Microsoft Sans Serif" w:cs="Microsoft Sans Serif"/>
          <w:color w:val="000000" w:themeColor="text1"/>
          <w:w w:val="115"/>
          <w:sz w:val="20"/>
          <w:szCs w:val="20"/>
        </w:rPr>
        <w:t>PICO</w:t>
      </w:r>
      <w:r w:rsidRPr="006B6651">
        <w:rPr>
          <w:rFonts w:ascii="Microsoft Sans Serif" w:hAnsi="Microsoft Sans Serif" w:cs="Microsoft Sans Serif"/>
          <w:color w:val="000000" w:themeColor="text1"/>
          <w:w w:val="115"/>
          <w:sz w:val="20"/>
          <w:szCs w:val="20"/>
          <w:lang w:val="ru-RU"/>
        </w:rPr>
        <w:t xml:space="preserve"> 1: </w:t>
      </w:r>
      <w:proofErr w:type="spellStart"/>
      <w:r w:rsidRPr="006B6651">
        <w:rPr>
          <w:rFonts w:ascii="Microsoft Sans Serif" w:hAnsi="Microsoft Sans Serif" w:cs="Microsoft Sans Serif"/>
          <w:color w:val="000000" w:themeColor="text1"/>
          <w:sz w:val="20"/>
          <w:szCs w:val="20"/>
          <w:lang w:val="ru-RU"/>
        </w:rPr>
        <w:t>Чи</w:t>
      </w:r>
      <w:proofErr w:type="spellEnd"/>
      <w:r w:rsidRPr="006B6651">
        <w:rPr>
          <w:rFonts w:ascii="Microsoft Sans Serif" w:hAnsi="Microsoft Sans Serif" w:cs="Microsoft Sans Serif"/>
          <w:color w:val="000000" w:themeColor="text1"/>
          <w:sz w:val="20"/>
          <w:szCs w:val="20"/>
          <w:lang w:val="ru-RU"/>
        </w:rPr>
        <w:t xml:space="preserve"> </w:t>
      </w:r>
      <w:proofErr w:type="spellStart"/>
      <w:r w:rsidRPr="006B6651">
        <w:rPr>
          <w:rFonts w:ascii="Microsoft Sans Serif" w:hAnsi="Microsoft Sans Serif" w:cs="Microsoft Sans Serif"/>
          <w:color w:val="000000" w:themeColor="text1"/>
          <w:sz w:val="20"/>
          <w:szCs w:val="20"/>
          <w:lang w:val="ru-RU"/>
        </w:rPr>
        <w:t>слід</w:t>
      </w:r>
      <w:proofErr w:type="spellEnd"/>
      <w:r w:rsidRPr="006B6651">
        <w:rPr>
          <w:rFonts w:ascii="Microsoft Sans Serif" w:hAnsi="Microsoft Sans Serif" w:cs="Microsoft Sans Serif"/>
          <w:color w:val="000000" w:themeColor="text1"/>
          <w:sz w:val="20"/>
          <w:szCs w:val="20"/>
          <w:lang w:val="ru-RU"/>
        </w:rPr>
        <w:t xml:space="preserve"> </w:t>
      </w:r>
      <w:proofErr w:type="spellStart"/>
      <w:r w:rsidRPr="006B6651">
        <w:rPr>
          <w:rFonts w:ascii="Microsoft Sans Serif" w:hAnsi="Microsoft Sans Serif" w:cs="Microsoft Sans Serif"/>
          <w:color w:val="000000" w:themeColor="text1"/>
          <w:sz w:val="20"/>
          <w:szCs w:val="20"/>
          <w:lang w:val="ru-RU"/>
        </w:rPr>
        <w:t>використовувати</w:t>
      </w:r>
      <w:proofErr w:type="spellEnd"/>
      <w:r w:rsidRPr="006B6651">
        <w:rPr>
          <w:rFonts w:ascii="Microsoft Sans Serif" w:hAnsi="Microsoft Sans Serif" w:cs="Microsoft Sans Serif"/>
          <w:color w:val="000000" w:themeColor="text1"/>
          <w:sz w:val="20"/>
          <w:szCs w:val="20"/>
          <w:lang w:val="ru-RU"/>
        </w:rPr>
        <w:t xml:space="preserve"> ТАНК</w:t>
      </w:r>
      <w:r w:rsidRPr="00A624FA">
        <w:rPr>
          <w:rFonts w:ascii="Microsoft Sans Serif" w:hAnsi="Microsoft Sans Serif" w:cs="Microsoft Sans Serif"/>
          <w:color w:val="000000" w:themeColor="text1"/>
          <w:sz w:val="20"/>
          <w:szCs w:val="20"/>
          <w:lang w:val="uk-UA"/>
        </w:rPr>
        <w:t xml:space="preserve"> високої складності</w:t>
      </w:r>
      <w:r w:rsidRPr="006B6651">
        <w:rPr>
          <w:rFonts w:ascii="Microsoft Sans Serif" w:hAnsi="Microsoft Sans Serif" w:cs="Microsoft Sans Serif"/>
          <w:color w:val="000000" w:themeColor="text1"/>
          <w:sz w:val="20"/>
          <w:szCs w:val="20"/>
          <w:lang w:val="ru-RU"/>
        </w:rPr>
        <w:t xml:space="preserve"> на </w:t>
      </w:r>
      <w:proofErr w:type="spellStart"/>
      <w:r w:rsidRPr="006B6651">
        <w:rPr>
          <w:rFonts w:ascii="Microsoft Sans Serif" w:hAnsi="Microsoft Sans Serif" w:cs="Microsoft Sans Serif"/>
          <w:color w:val="000000" w:themeColor="text1"/>
          <w:sz w:val="20"/>
          <w:szCs w:val="20"/>
          <w:lang w:val="ru-RU"/>
        </w:rPr>
        <w:t>основі</w:t>
      </w:r>
      <w:proofErr w:type="spellEnd"/>
      <w:r w:rsidRPr="006B6651">
        <w:rPr>
          <w:rFonts w:ascii="Microsoft Sans Serif" w:hAnsi="Microsoft Sans Serif" w:cs="Microsoft Sans Serif"/>
          <w:color w:val="000000" w:themeColor="text1"/>
          <w:sz w:val="20"/>
          <w:szCs w:val="20"/>
          <w:lang w:val="ru-RU"/>
        </w:rPr>
        <w:t xml:space="preserve"> </w:t>
      </w:r>
      <w:proofErr w:type="spellStart"/>
      <w:r w:rsidRPr="006B6651">
        <w:rPr>
          <w:rFonts w:ascii="Microsoft Sans Serif" w:hAnsi="Microsoft Sans Serif" w:cs="Microsoft Sans Serif"/>
          <w:color w:val="000000" w:themeColor="text1"/>
          <w:sz w:val="20"/>
          <w:szCs w:val="20"/>
          <w:lang w:val="ru-RU"/>
        </w:rPr>
        <w:t>зворотної</w:t>
      </w:r>
      <w:proofErr w:type="spellEnd"/>
      <w:r w:rsidRPr="006B6651">
        <w:rPr>
          <w:rFonts w:ascii="Microsoft Sans Serif" w:hAnsi="Microsoft Sans Serif" w:cs="Microsoft Sans Serif"/>
          <w:color w:val="000000" w:themeColor="text1"/>
          <w:sz w:val="20"/>
          <w:szCs w:val="20"/>
          <w:lang w:val="ru-RU"/>
        </w:rPr>
        <w:t xml:space="preserve"> </w:t>
      </w:r>
      <w:proofErr w:type="spellStart"/>
      <w:r w:rsidRPr="006B6651">
        <w:rPr>
          <w:rFonts w:ascii="Microsoft Sans Serif" w:hAnsi="Microsoft Sans Serif" w:cs="Microsoft Sans Serif"/>
          <w:color w:val="000000" w:themeColor="text1"/>
          <w:sz w:val="20"/>
          <w:szCs w:val="20"/>
          <w:lang w:val="ru-RU"/>
        </w:rPr>
        <w:t>гібридизації</w:t>
      </w:r>
      <w:proofErr w:type="spellEnd"/>
      <w:r w:rsidRPr="006B6651">
        <w:rPr>
          <w:rFonts w:ascii="Microsoft Sans Serif" w:hAnsi="Microsoft Sans Serif" w:cs="Microsoft Sans Serif"/>
          <w:color w:val="000000" w:themeColor="text1"/>
          <w:sz w:val="20"/>
          <w:szCs w:val="20"/>
          <w:lang w:val="ru-RU"/>
        </w:rPr>
        <w:t xml:space="preserve"> </w:t>
      </w:r>
      <w:r w:rsidRPr="00A624FA">
        <w:rPr>
          <w:rFonts w:ascii="Microsoft Sans Serif" w:hAnsi="Microsoft Sans Serif" w:cs="Microsoft Sans Serif"/>
          <w:color w:val="000000" w:themeColor="text1"/>
          <w:sz w:val="20"/>
          <w:szCs w:val="20"/>
          <w:lang w:val="uk-UA"/>
        </w:rPr>
        <w:t>для аналізу зразків</w:t>
      </w:r>
      <w:r w:rsidRPr="006B6651">
        <w:rPr>
          <w:rFonts w:ascii="Microsoft Sans Serif" w:hAnsi="Microsoft Sans Serif" w:cs="Microsoft Sans Serif"/>
          <w:color w:val="000000" w:themeColor="text1"/>
          <w:sz w:val="20"/>
          <w:szCs w:val="20"/>
          <w:lang w:val="ru-RU"/>
        </w:rPr>
        <w:t xml:space="preserve"> </w:t>
      </w:r>
      <w:proofErr w:type="spellStart"/>
      <w:r w:rsidRPr="006B6651">
        <w:rPr>
          <w:rFonts w:ascii="Microsoft Sans Serif" w:hAnsi="Microsoft Sans Serif" w:cs="Microsoft Sans Serif"/>
          <w:color w:val="000000" w:themeColor="text1"/>
          <w:sz w:val="20"/>
          <w:szCs w:val="20"/>
          <w:lang w:val="ru-RU"/>
        </w:rPr>
        <w:t>мокротинн</w:t>
      </w:r>
      <w:proofErr w:type="spellEnd"/>
      <w:r w:rsidRPr="00A624FA">
        <w:rPr>
          <w:rFonts w:ascii="Microsoft Sans Serif" w:hAnsi="Microsoft Sans Serif" w:cs="Microsoft Sans Serif"/>
          <w:color w:val="000000" w:themeColor="text1"/>
          <w:sz w:val="20"/>
          <w:szCs w:val="20"/>
          <w:lang w:val="uk-UA"/>
        </w:rPr>
        <w:t>я</w:t>
      </w:r>
      <w:r w:rsidRPr="006B6651">
        <w:rPr>
          <w:rFonts w:ascii="Microsoft Sans Serif" w:hAnsi="Microsoft Sans Serif" w:cs="Microsoft Sans Serif"/>
          <w:color w:val="000000" w:themeColor="text1"/>
          <w:sz w:val="20"/>
          <w:szCs w:val="20"/>
          <w:lang w:val="ru-RU"/>
        </w:rPr>
        <w:t xml:space="preserve"> </w:t>
      </w:r>
      <w:r w:rsidRPr="00A624FA">
        <w:rPr>
          <w:rFonts w:ascii="Microsoft Sans Serif" w:hAnsi="Microsoft Sans Serif" w:cs="Microsoft Sans Serif"/>
          <w:color w:val="000000" w:themeColor="text1"/>
          <w:sz w:val="20"/>
          <w:szCs w:val="20"/>
          <w:lang w:val="uk-UA"/>
        </w:rPr>
        <w:t>з метою</w:t>
      </w:r>
      <w:r w:rsidRPr="006B6651">
        <w:rPr>
          <w:rFonts w:ascii="Microsoft Sans Serif" w:hAnsi="Microsoft Sans Serif" w:cs="Microsoft Sans Serif"/>
          <w:color w:val="000000" w:themeColor="text1"/>
          <w:sz w:val="20"/>
          <w:szCs w:val="20"/>
          <w:lang w:val="ru-RU"/>
        </w:rPr>
        <w:t xml:space="preserve"> </w:t>
      </w:r>
      <w:proofErr w:type="spellStart"/>
      <w:r w:rsidRPr="006B6651">
        <w:rPr>
          <w:rFonts w:ascii="Microsoft Sans Serif" w:hAnsi="Microsoft Sans Serif" w:cs="Microsoft Sans Serif"/>
          <w:color w:val="000000" w:themeColor="text1"/>
          <w:sz w:val="20"/>
          <w:szCs w:val="20"/>
          <w:lang w:val="ru-RU"/>
        </w:rPr>
        <w:t>діагностики</w:t>
      </w:r>
      <w:proofErr w:type="spellEnd"/>
      <w:r w:rsidRPr="006B6651">
        <w:rPr>
          <w:rFonts w:ascii="Microsoft Sans Serif" w:hAnsi="Microsoft Sans Serif" w:cs="Microsoft Sans Serif"/>
          <w:color w:val="000000" w:themeColor="text1"/>
          <w:sz w:val="20"/>
          <w:szCs w:val="20"/>
          <w:lang w:val="ru-RU"/>
        </w:rPr>
        <w:t xml:space="preserve"> </w:t>
      </w:r>
      <w:proofErr w:type="spellStart"/>
      <w:r w:rsidRPr="006B6651">
        <w:rPr>
          <w:rFonts w:ascii="Microsoft Sans Serif" w:hAnsi="Microsoft Sans Serif" w:cs="Microsoft Sans Serif"/>
          <w:color w:val="000000" w:themeColor="text1"/>
          <w:sz w:val="20"/>
          <w:szCs w:val="20"/>
          <w:lang w:val="ru-RU"/>
        </w:rPr>
        <w:t>стійкості</w:t>
      </w:r>
      <w:proofErr w:type="spellEnd"/>
      <w:r w:rsidRPr="006B6651">
        <w:rPr>
          <w:rFonts w:ascii="Microsoft Sans Serif" w:hAnsi="Microsoft Sans Serif" w:cs="Microsoft Sans Serif"/>
          <w:color w:val="000000" w:themeColor="text1"/>
          <w:sz w:val="20"/>
          <w:szCs w:val="20"/>
          <w:lang w:val="ru-RU"/>
        </w:rPr>
        <w:t xml:space="preserve"> до піразинаміду у </w:t>
      </w:r>
      <w:proofErr w:type="spellStart"/>
      <w:r w:rsidRPr="006B6651">
        <w:rPr>
          <w:rFonts w:ascii="Microsoft Sans Serif" w:hAnsi="Microsoft Sans Serif" w:cs="Microsoft Sans Serif"/>
          <w:color w:val="000000" w:themeColor="text1"/>
          <w:sz w:val="20"/>
          <w:szCs w:val="20"/>
          <w:lang w:val="ru-RU"/>
        </w:rPr>
        <w:t>пацієнтів</w:t>
      </w:r>
      <w:proofErr w:type="spellEnd"/>
      <w:r w:rsidRPr="006B6651">
        <w:rPr>
          <w:rFonts w:ascii="Microsoft Sans Serif" w:hAnsi="Microsoft Sans Serif" w:cs="Microsoft Sans Serif"/>
          <w:color w:val="000000" w:themeColor="text1"/>
          <w:sz w:val="20"/>
          <w:szCs w:val="20"/>
          <w:lang w:val="ru-RU"/>
        </w:rPr>
        <w:t xml:space="preserve"> </w:t>
      </w:r>
      <w:r>
        <w:rPr>
          <w:rFonts w:ascii="Microsoft Sans Serif" w:hAnsi="Microsoft Sans Serif" w:cs="Microsoft Sans Serif"/>
          <w:color w:val="000000" w:themeColor="text1"/>
          <w:sz w:val="20"/>
          <w:szCs w:val="20"/>
          <w:lang w:val="uk-UA"/>
        </w:rPr>
        <w:t>і</w:t>
      </w:r>
      <w:r w:rsidRPr="006B6651">
        <w:rPr>
          <w:rFonts w:ascii="Microsoft Sans Serif" w:hAnsi="Microsoft Sans Serif" w:cs="Microsoft Sans Serif"/>
          <w:color w:val="000000" w:themeColor="text1"/>
          <w:sz w:val="20"/>
          <w:szCs w:val="20"/>
          <w:lang w:val="ru-RU"/>
        </w:rPr>
        <w:t xml:space="preserve">з мікробіологічно </w:t>
      </w:r>
      <w:proofErr w:type="spellStart"/>
      <w:r w:rsidRPr="006B6651">
        <w:rPr>
          <w:rFonts w:ascii="Microsoft Sans Serif" w:hAnsi="Microsoft Sans Serif" w:cs="Microsoft Sans Serif"/>
          <w:color w:val="000000" w:themeColor="text1"/>
          <w:sz w:val="20"/>
          <w:szCs w:val="20"/>
          <w:lang w:val="ru-RU"/>
        </w:rPr>
        <w:t>підтвердженим</w:t>
      </w:r>
      <w:proofErr w:type="spellEnd"/>
      <w:r w:rsidRPr="006B6651">
        <w:rPr>
          <w:rFonts w:ascii="Microsoft Sans Serif" w:hAnsi="Microsoft Sans Serif" w:cs="Microsoft Sans Serif"/>
          <w:color w:val="000000" w:themeColor="text1"/>
          <w:sz w:val="20"/>
          <w:szCs w:val="20"/>
          <w:lang w:val="ru-RU"/>
        </w:rPr>
        <w:t xml:space="preserve"> </w:t>
      </w:r>
      <w:proofErr w:type="spellStart"/>
      <w:r w:rsidRPr="006B6651">
        <w:rPr>
          <w:rFonts w:ascii="Microsoft Sans Serif" w:hAnsi="Microsoft Sans Serif" w:cs="Microsoft Sans Serif"/>
          <w:color w:val="000000" w:themeColor="text1"/>
          <w:sz w:val="20"/>
          <w:szCs w:val="20"/>
          <w:lang w:val="ru-RU"/>
        </w:rPr>
        <w:t>легеневим</w:t>
      </w:r>
      <w:proofErr w:type="spellEnd"/>
      <w:r w:rsidRPr="006B6651">
        <w:rPr>
          <w:rFonts w:ascii="Microsoft Sans Serif" w:hAnsi="Microsoft Sans Serif" w:cs="Microsoft Sans Serif"/>
          <w:color w:val="000000" w:themeColor="text1"/>
          <w:sz w:val="20"/>
          <w:szCs w:val="20"/>
          <w:lang w:val="ru-RU"/>
        </w:rPr>
        <w:t xml:space="preserve"> ТБ, </w:t>
      </w:r>
      <w:proofErr w:type="spellStart"/>
      <w:r w:rsidRPr="006B6651">
        <w:rPr>
          <w:rFonts w:ascii="Microsoft Sans Serif" w:hAnsi="Microsoft Sans Serif" w:cs="Microsoft Sans Serif"/>
          <w:color w:val="000000" w:themeColor="text1"/>
          <w:sz w:val="20"/>
          <w:szCs w:val="20"/>
          <w:lang w:val="ru-RU"/>
        </w:rPr>
        <w:t>незалежно</w:t>
      </w:r>
      <w:proofErr w:type="spellEnd"/>
      <w:r w:rsidRPr="006B6651">
        <w:rPr>
          <w:rFonts w:ascii="Microsoft Sans Serif" w:hAnsi="Microsoft Sans Serif" w:cs="Microsoft Sans Serif"/>
          <w:color w:val="000000" w:themeColor="text1"/>
          <w:sz w:val="20"/>
          <w:szCs w:val="20"/>
          <w:lang w:val="ru-RU"/>
        </w:rPr>
        <w:t xml:space="preserve"> </w:t>
      </w:r>
      <w:proofErr w:type="spellStart"/>
      <w:r w:rsidRPr="006B6651">
        <w:rPr>
          <w:rFonts w:ascii="Microsoft Sans Serif" w:hAnsi="Microsoft Sans Serif" w:cs="Microsoft Sans Serif"/>
          <w:color w:val="000000" w:themeColor="text1"/>
          <w:sz w:val="20"/>
          <w:szCs w:val="20"/>
          <w:lang w:val="ru-RU"/>
        </w:rPr>
        <w:t>від</w:t>
      </w:r>
      <w:proofErr w:type="spellEnd"/>
      <w:r w:rsidRPr="006B6651">
        <w:rPr>
          <w:rFonts w:ascii="Microsoft Sans Serif" w:hAnsi="Microsoft Sans Serif" w:cs="Microsoft Sans Serif"/>
          <w:color w:val="000000" w:themeColor="text1"/>
          <w:sz w:val="20"/>
          <w:szCs w:val="20"/>
          <w:lang w:val="ru-RU"/>
        </w:rPr>
        <w:t xml:space="preserve"> </w:t>
      </w:r>
      <w:proofErr w:type="spellStart"/>
      <w:r w:rsidRPr="006B6651">
        <w:rPr>
          <w:rFonts w:ascii="Microsoft Sans Serif" w:hAnsi="Microsoft Sans Serif" w:cs="Microsoft Sans Serif"/>
          <w:color w:val="000000" w:themeColor="text1"/>
          <w:sz w:val="20"/>
          <w:szCs w:val="20"/>
          <w:lang w:val="ru-RU"/>
        </w:rPr>
        <w:t>стійкості</w:t>
      </w:r>
      <w:proofErr w:type="spellEnd"/>
      <w:r w:rsidRPr="006B6651">
        <w:rPr>
          <w:rFonts w:ascii="Microsoft Sans Serif" w:hAnsi="Microsoft Sans Serif" w:cs="Microsoft Sans Serif"/>
          <w:color w:val="000000" w:themeColor="text1"/>
          <w:sz w:val="20"/>
          <w:szCs w:val="20"/>
          <w:lang w:val="ru-RU"/>
        </w:rPr>
        <w:t xml:space="preserve"> до рифампіцину, </w:t>
      </w:r>
      <w:proofErr w:type="spellStart"/>
      <w:r w:rsidRPr="006B6651">
        <w:rPr>
          <w:rFonts w:ascii="Microsoft Sans Serif" w:hAnsi="Microsoft Sans Serif" w:cs="Microsoft Sans Serif"/>
          <w:color w:val="000000" w:themeColor="text1"/>
          <w:sz w:val="20"/>
          <w:szCs w:val="20"/>
          <w:lang w:val="ru-RU"/>
        </w:rPr>
        <w:t>порівняно</w:t>
      </w:r>
      <w:proofErr w:type="spellEnd"/>
      <w:r w:rsidRPr="006B6651">
        <w:rPr>
          <w:rFonts w:ascii="Microsoft Sans Serif" w:hAnsi="Microsoft Sans Serif" w:cs="Microsoft Sans Serif"/>
          <w:color w:val="000000" w:themeColor="text1"/>
          <w:sz w:val="20"/>
          <w:szCs w:val="20"/>
          <w:lang w:val="ru-RU"/>
        </w:rPr>
        <w:t xml:space="preserve"> з </w:t>
      </w:r>
      <w:proofErr w:type="spellStart"/>
      <w:r w:rsidRPr="006B6651">
        <w:rPr>
          <w:rFonts w:ascii="Microsoft Sans Serif" w:hAnsi="Microsoft Sans Serif" w:cs="Microsoft Sans Serif"/>
          <w:color w:val="000000" w:themeColor="text1"/>
          <w:sz w:val="20"/>
          <w:szCs w:val="20"/>
          <w:lang w:val="ru-RU"/>
        </w:rPr>
        <w:t>фенотиповим</w:t>
      </w:r>
      <w:proofErr w:type="spellEnd"/>
      <w:r w:rsidRPr="006B6651">
        <w:rPr>
          <w:rFonts w:ascii="Microsoft Sans Serif" w:hAnsi="Microsoft Sans Serif" w:cs="Microsoft Sans Serif"/>
          <w:color w:val="000000" w:themeColor="text1"/>
          <w:sz w:val="20"/>
          <w:szCs w:val="20"/>
          <w:lang w:val="ru-RU"/>
        </w:rPr>
        <w:t xml:space="preserve"> ТМЧ </w:t>
      </w:r>
      <w:r w:rsidRPr="00A624FA">
        <w:rPr>
          <w:rFonts w:ascii="Microsoft Sans Serif" w:hAnsi="Microsoft Sans Serif" w:cs="Microsoft Sans Serif"/>
          <w:color w:val="000000" w:themeColor="text1"/>
          <w:sz w:val="20"/>
          <w:szCs w:val="20"/>
          <w:lang w:val="uk-UA"/>
        </w:rPr>
        <w:t xml:space="preserve">на основі культуральних методів </w:t>
      </w:r>
      <w:r w:rsidRPr="006B6651">
        <w:rPr>
          <w:rFonts w:ascii="Microsoft Sans Serif" w:hAnsi="Microsoft Sans Serif" w:cs="Microsoft Sans Serif"/>
          <w:color w:val="000000" w:themeColor="text1"/>
          <w:sz w:val="20"/>
          <w:szCs w:val="20"/>
          <w:lang w:val="ru-RU"/>
        </w:rPr>
        <w:t xml:space="preserve">або </w:t>
      </w:r>
      <w:proofErr w:type="spellStart"/>
      <w:r w:rsidRPr="006B6651">
        <w:rPr>
          <w:rFonts w:ascii="Microsoft Sans Serif" w:hAnsi="Microsoft Sans Serif" w:cs="Microsoft Sans Serif"/>
          <w:color w:val="000000" w:themeColor="text1"/>
          <w:sz w:val="20"/>
          <w:szCs w:val="20"/>
          <w:lang w:val="ru-RU"/>
        </w:rPr>
        <w:t>комбінованим</w:t>
      </w:r>
      <w:proofErr w:type="spellEnd"/>
      <w:r w:rsidRPr="006B6651">
        <w:rPr>
          <w:rFonts w:ascii="Microsoft Sans Serif" w:hAnsi="Microsoft Sans Serif" w:cs="Microsoft Sans Serif"/>
          <w:color w:val="000000" w:themeColor="text1"/>
          <w:sz w:val="20"/>
          <w:szCs w:val="20"/>
          <w:lang w:val="ru-RU"/>
        </w:rPr>
        <w:t xml:space="preserve"> </w:t>
      </w:r>
      <w:proofErr w:type="spellStart"/>
      <w:r w:rsidRPr="006B6651">
        <w:rPr>
          <w:rFonts w:ascii="Microsoft Sans Serif" w:hAnsi="Microsoft Sans Serif" w:cs="Microsoft Sans Serif"/>
          <w:color w:val="000000" w:themeColor="text1"/>
          <w:sz w:val="20"/>
          <w:szCs w:val="20"/>
          <w:lang w:val="ru-RU"/>
        </w:rPr>
        <w:t>еталонним</w:t>
      </w:r>
      <w:proofErr w:type="spellEnd"/>
      <w:r w:rsidRPr="006B6651">
        <w:rPr>
          <w:rFonts w:ascii="Microsoft Sans Serif" w:hAnsi="Microsoft Sans Serif" w:cs="Microsoft Sans Serif"/>
          <w:color w:val="000000" w:themeColor="text1"/>
          <w:sz w:val="20"/>
          <w:szCs w:val="20"/>
          <w:lang w:val="ru-RU"/>
        </w:rPr>
        <w:t xml:space="preserve"> стандартом?</w:t>
      </w:r>
    </w:p>
    <w:p w14:paraId="49272F83" w14:textId="77777777" w:rsidR="00392DCF" w:rsidRDefault="00392DCF" w:rsidP="00392DCF">
      <w:pPr>
        <w:pStyle w:val="9"/>
        <w:spacing w:before="86" w:line="276" w:lineRule="auto"/>
        <w:ind w:right="2"/>
        <w:jc w:val="both"/>
        <w:rPr>
          <w:rFonts w:ascii="Microsoft Sans Serif" w:hAnsi="Microsoft Sans Serif" w:cs="Microsoft Sans Serif"/>
          <w:b w:val="0"/>
          <w:color w:val="000000" w:themeColor="text1"/>
          <w:w w:val="115"/>
          <w:sz w:val="20"/>
          <w:szCs w:val="20"/>
          <w:lang w:val="uk-UA"/>
        </w:rPr>
      </w:pPr>
      <w:r w:rsidRPr="00A624FA">
        <w:rPr>
          <w:rFonts w:ascii="Microsoft Sans Serif" w:hAnsi="Microsoft Sans Serif" w:cs="Microsoft Sans Serif"/>
          <w:b w:val="0"/>
          <w:color w:val="000000" w:themeColor="text1"/>
          <w:spacing w:val="-8"/>
          <w:w w:val="115"/>
          <w:sz w:val="20"/>
          <w:szCs w:val="20"/>
          <w:lang w:val="uk-UA"/>
        </w:rPr>
        <w:t xml:space="preserve">Із трьох досліджень, куди сумарно буди включені 122 учасники, були отримані дані </w:t>
      </w:r>
      <w:r w:rsidRPr="00A624FA">
        <w:rPr>
          <w:rFonts w:ascii="Microsoft Sans Serif" w:hAnsi="Microsoft Sans Serif" w:cs="Microsoft Sans Serif"/>
          <w:b w:val="0"/>
          <w:color w:val="000000" w:themeColor="text1"/>
          <w:w w:val="115"/>
          <w:sz w:val="20"/>
          <w:szCs w:val="20"/>
          <w:lang w:val="uk-UA"/>
        </w:rPr>
        <w:t xml:space="preserve">для оцінки цих ТАНК </w:t>
      </w:r>
      <w:r>
        <w:rPr>
          <w:rFonts w:ascii="Microsoft Sans Serif" w:hAnsi="Microsoft Sans Serif" w:cs="Microsoft Sans Serif"/>
          <w:b w:val="0"/>
          <w:color w:val="000000" w:themeColor="text1"/>
          <w:w w:val="115"/>
          <w:sz w:val="20"/>
          <w:szCs w:val="20"/>
          <w:lang w:val="uk-UA"/>
        </w:rPr>
        <w:t>з точки зору</w:t>
      </w:r>
      <w:r w:rsidRPr="00A624FA">
        <w:rPr>
          <w:rFonts w:ascii="Microsoft Sans Serif" w:hAnsi="Microsoft Sans Serif" w:cs="Microsoft Sans Serif"/>
          <w:b w:val="0"/>
          <w:color w:val="000000" w:themeColor="text1"/>
          <w:w w:val="115"/>
          <w:sz w:val="20"/>
          <w:szCs w:val="20"/>
          <w:lang w:val="uk-UA"/>
        </w:rPr>
        <w:t xml:space="preserve"> виявлення стійкості до піразинаміду. Це були два дослідження (101 учасник) з </w:t>
      </w:r>
      <w:proofErr w:type="spellStart"/>
      <w:r w:rsidRPr="00A624FA">
        <w:rPr>
          <w:rFonts w:ascii="Microsoft Sans Serif" w:hAnsi="Microsoft Sans Serif" w:cs="Microsoft Sans Serif"/>
          <w:b w:val="0"/>
          <w:color w:val="000000" w:themeColor="text1"/>
          <w:w w:val="115"/>
          <w:sz w:val="20"/>
          <w:szCs w:val="20"/>
          <w:lang w:val="uk-UA"/>
        </w:rPr>
        <w:t>фенотиповим</w:t>
      </w:r>
      <w:proofErr w:type="spellEnd"/>
      <w:r w:rsidRPr="00A624FA">
        <w:rPr>
          <w:rFonts w:ascii="Microsoft Sans Serif" w:hAnsi="Microsoft Sans Serif" w:cs="Microsoft Sans Serif"/>
          <w:b w:val="0"/>
          <w:color w:val="000000" w:themeColor="text1"/>
          <w:w w:val="115"/>
          <w:sz w:val="20"/>
          <w:szCs w:val="20"/>
          <w:lang w:val="uk-UA"/>
        </w:rPr>
        <w:t xml:space="preserve"> еталонним стандартом на основі культуральних методів та одне дослідження (21 учасник) з </w:t>
      </w:r>
      <w:proofErr w:type="spellStart"/>
      <w:r w:rsidRPr="00A624FA">
        <w:rPr>
          <w:rFonts w:ascii="Microsoft Sans Serif" w:hAnsi="Microsoft Sans Serif" w:cs="Microsoft Sans Serif"/>
          <w:b w:val="0"/>
          <w:color w:val="000000" w:themeColor="text1"/>
          <w:w w:val="115"/>
          <w:sz w:val="20"/>
          <w:szCs w:val="20"/>
          <w:lang w:val="uk-UA"/>
        </w:rPr>
        <w:t>генотиповим</w:t>
      </w:r>
      <w:proofErr w:type="spellEnd"/>
      <w:r w:rsidRPr="00A624FA">
        <w:rPr>
          <w:rFonts w:ascii="Microsoft Sans Serif" w:hAnsi="Microsoft Sans Serif" w:cs="Microsoft Sans Serif"/>
          <w:b w:val="0"/>
          <w:color w:val="000000" w:themeColor="text1"/>
          <w:w w:val="115"/>
          <w:sz w:val="20"/>
          <w:szCs w:val="20"/>
          <w:lang w:val="uk-UA"/>
        </w:rPr>
        <w:t xml:space="preserve"> еталонним стандартом. </w:t>
      </w:r>
    </w:p>
    <w:p w14:paraId="7F5699F7" w14:textId="77777777" w:rsidR="00392DCF" w:rsidRDefault="00392DCF" w:rsidP="00392DCF">
      <w:pPr>
        <w:pStyle w:val="9"/>
        <w:spacing w:before="86" w:line="276" w:lineRule="auto"/>
        <w:ind w:left="0" w:right="1414"/>
        <w:jc w:val="both"/>
        <w:rPr>
          <w:rFonts w:ascii="Microsoft Sans Serif" w:hAnsi="Microsoft Sans Serif" w:cs="Microsoft Sans Serif"/>
          <w:b w:val="0"/>
          <w:color w:val="000000" w:themeColor="text1"/>
          <w:w w:val="115"/>
          <w:sz w:val="20"/>
          <w:szCs w:val="20"/>
          <w:lang w:val="uk-UA"/>
        </w:rPr>
      </w:pPr>
    </w:p>
    <w:p w14:paraId="7AB632F9" w14:textId="17044844" w:rsidR="00392DCF" w:rsidRPr="00521371" w:rsidRDefault="00392DCF" w:rsidP="00010C6A">
      <w:pPr>
        <w:widowControl/>
        <w:autoSpaceDE/>
        <w:autoSpaceDN/>
        <w:spacing w:after="160" w:line="259" w:lineRule="auto"/>
        <w:ind w:left="567"/>
        <w:jc w:val="both"/>
        <w:rPr>
          <w:color w:val="000000" w:themeColor="text1"/>
          <w:w w:val="115"/>
          <w:sz w:val="20"/>
          <w:szCs w:val="20"/>
          <w:lang w:val="uk-UA"/>
        </w:rPr>
      </w:pPr>
      <w:r>
        <w:rPr>
          <w:b/>
          <w:color w:val="000000" w:themeColor="text1"/>
          <w:w w:val="115"/>
          <w:sz w:val="20"/>
          <w:szCs w:val="20"/>
          <w:lang w:val="uk-UA"/>
        </w:rPr>
        <w:br w:type="page"/>
      </w:r>
      <w:r w:rsidRPr="00A624FA">
        <w:rPr>
          <w:color w:val="000000" w:themeColor="text1"/>
          <w:w w:val="115"/>
          <w:sz w:val="20"/>
          <w:szCs w:val="20"/>
          <w:lang w:val="uk-UA"/>
        </w:rPr>
        <w:lastRenderedPageBreak/>
        <w:t>Кількість досліджень та учасників була визнана недостатньою для формулювання висновку щодо діагностичної точності ТАНК високої складності на основі зворотної гібридизації для аналізу мокротиння.</w:t>
      </w:r>
    </w:p>
    <w:p w14:paraId="3ACE677A" w14:textId="77777777" w:rsidR="00392DCF" w:rsidRPr="006B6651" w:rsidRDefault="00392DCF" w:rsidP="00010C6A">
      <w:pPr>
        <w:spacing w:before="194" w:line="235" w:lineRule="auto"/>
        <w:ind w:left="1418" w:hanging="851"/>
        <w:jc w:val="both"/>
        <w:rPr>
          <w:b/>
          <w:color w:val="000000" w:themeColor="text1"/>
          <w:w w:val="115"/>
          <w:sz w:val="20"/>
          <w:szCs w:val="20"/>
          <w:lang w:val="uk-UA"/>
        </w:rPr>
      </w:pPr>
      <w:r w:rsidRPr="00857E97">
        <w:rPr>
          <w:b/>
          <w:w w:val="115"/>
          <w:sz w:val="20"/>
          <w:szCs w:val="20"/>
        </w:rPr>
        <w:t>PICO</w:t>
      </w:r>
      <w:r w:rsidRPr="006B6651">
        <w:rPr>
          <w:b/>
          <w:w w:val="115"/>
          <w:sz w:val="20"/>
          <w:szCs w:val="20"/>
          <w:lang w:val="uk-UA"/>
        </w:rPr>
        <w:t xml:space="preserve"> 2: </w:t>
      </w:r>
      <w:r w:rsidRPr="006B6651">
        <w:rPr>
          <w:b/>
          <w:color w:val="000000" w:themeColor="text1"/>
          <w:w w:val="115"/>
          <w:sz w:val="20"/>
          <w:szCs w:val="20"/>
          <w:lang w:val="uk-UA"/>
        </w:rPr>
        <w:t xml:space="preserve">Чи слід використовувати ТАНК високої складності на основі зворотної гібридизації для аналізу ізолятів </w:t>
      </w:r>
      <w:r w:rsidRPr="00131DDE">
        <w:rPr>
          <w:b/>
          <w:color w:val="000000" w:themeColor="text1"/>
          <w:w w:val="115"/>
          <w:sz w:val="20"/>
          <w:szCs w:val="20"/>
          <w:lang w:val="uk-UA"/>
        </w:rPr>
        <w:t>з метою</w:t>
      </w:r>
      <w:r w:rsidRPr="006B6651">
        <w:rPr>
          <w:b/>
          <w:color w:val="000000" w:themeColor="text1"/>
          <w:w w:val="115"/>
          <w:sz w:val="20"/>
          <w:szCs w:val="20"/>
          <w:lang w:val="uk-UA"/>
        </w:rPr>
        <w:t xml:space="preserve"> діагностики стійкості до піразинаміду у пацієнтів </w:t>
      </w:r>
      <w:r>
        <w:rPr>
          <w:b/>
          <w:color w:val="000000" w:themeColor="text1"/>
          <w:w w:val="115"/>
          <w:sz w:val="20"/>
          <w:szCs w:val="20"/>
          <w:lang w:val="uk-UA"/>
        </w:rPr>
        <w:t>і</w:t>
      </w:r>
      <w:r w:rsidRPr="006B6651">
        <w:rPr>
          <w:b/>
          <w:color w:val="000000" w:themeColor="text1"/>
          <w:w w:val="115"/>
          <w:sz w:val="20"/>
          <w:szCs w:val="20"/>
          <w:lang w:val="uk-UA"/>
        </w:rPr>
        <w:t xml:space="preserve">з мікробіологічно підтвердженим легеневим ТБ, незалежно від стійкості до рифампіцину, порівняно з </w:t>
      </w:r>
      <w:proofErr w:type="spellStart"/>
      <w:r w:rsidRPr="006B6651">
        <w:rPr>
          <w:b/>
          <w:color w:val="000000" w:themeColor="text1"/>
          <w:w w:val="115"/>
          <w:sz w:val="20"/>
          <w:szCs w:val="20"/>
          <w:lang w:val="uk-UA"/>
        </w:rPr>
        <w:t>фенотиповим</w:t>
      </w:r>
      <w:proofErr w:type="spellEnd"/>
      <w:r w:rsidRPr="006B6651">
        <w:rPr>
          <w:b/>
          <w:color w:val="000000" w:themeColor="text1"/>
          <w:w w:val="115"/>
          <w:sz w:val="20"/>
          <w:szCs w:val="20"/>
          <w:lang w:val="uk-UA"/>
        </w:rPr>
        <w:t xml:space="preserve"> ТМЧ на основі культуральних методів?</w:t>
      </w:r>
    </w:p>
    <w:p w14:paraId="1B649840" w14:textId="77777777" w:rsidR="00392DCF" w:rsidRPr="006B6651" w:rsidRDefault="00392DCF" w:rsidP="00010C6A">
      <w:pPr>
        <w:pStyle w:val="a3"/>
        <w:spacing w:before="209" w:line="276" w:lineRule="auto"/>
        <w:ind w:left="567"/>
        <w:jc w:val="both"/>
        <w:rPr>
          <w:color w:val="000000" w:themeColor="text1"/>
          <w:sz w:val="20"/>
          <w:szCs w:val="20"/>
          <w:lang w:val="uk-UA"/>
        </w:rPr>
      </w:pPr>
      <w:r w:rsidRPr="00131DDE">
        <w:rPr>
          <w:color w:val="000000" w:themeColor="text1"/>
          <w:sz w:val="20"/>
          <w:lang w:val="uk-UA"/>
        </w:rPr>
        <w:t xml:space="preserve">Із семи </w:t>
      </w:r>
      <w:r w:rsidRPr="006B6651">
        <w:rPr>
          <w:color w:val="000000" w:themeColor="text1"/>
          <w:w w:val="110"/>
          <w:sz w:val="20"/>
          <w:szCs w:val="20"/>
          <w:lang w:val="uk-UA"/>
        </w:rPr>
        <w:t>досліджень</w:t>
      </w:r>
      <w:r w:rsidRPr="00131DDE">
        <w:rPr>
          <w:color w:val="000000" w:themeColor="text1"/>
          <w:w w:val="110"/>
          <w:sz w:val="20"/>
          <w:szCs w:val="20"/>
          <w:lang w:val="uk-UA"/>
        </w:rPr>
        <w:t xml:space="preserve">, куди </w:t>
      </w:r>
      <w:proofErr w:type="spellStart"/>
      <w:r w:rsidRPr="00131DDE">
        <w:rPr>
          <w:color w:val="000000" w:themeColor="text1"/>
          <w:w w:val="110"/>
          <w:sz w:val="20"/>
          <w:szCs w:val="20"/>
          <w:lang w:val="uk-UA"/>
        </w:rPr>
        <w:t>сумароно</w:t>
      </w:r>
      <w:proofErr w:type="spellEnd"/>
      <w:r w:rsidRPr="00131DDE">
        <w:rPr>
          <w:color w:val="000000" w:themeColor="text1"/>
          <w:w w:val="110"/>
          <w:sz w:val="20"/>
          <w:szCs w:val="20"/>
          <w:lang w:val="uk-UA"/>
        </w:rPr>
        <w:t xml:space="preserve"> були включені </w:t>
      </w:r>
      <w:r w:rsidRPr="006B6651">
        <w:rPr>
          <w:color w:val="000000" w:themeColor="text1"/>
          <w:w w:val="110"/>
          <w:sz w:val="20"/>
          <w:szCs w:val="20"/>
          <w:lang w:val="uk-UA"/>
        </w:rPr>
        <w:t>964 учасники</w:t>
      </w:r>
      <w:r w:rsidRPr="00131DDE">
        <w:rPr>
          <w:color w:val="000000" w:themeColor="text1"/>
          <w:w w:val="110"/>
          <w:sz w:val="20"/>
          <w:szCs w:val="20"/>
          <w:lang w:val="uk-UA"/>
        </w:rPr>
        <w:t>,</w:t>
      </w:r>
      <w:r w:rsidRPr="006B6651">
        <w:rPr>
          <w:color w:val="000000" w:themeColor="text1"/>
          <w:w w:val="110"/>
          <w:sz w:val="20"/>
          <w:szCs w:val="20"/>
          <w:lang w:val="uk-UA"/>
        </w:rPr>
        <w:t xml:space="preserve"> </w:t>
      </w:r>
      <w:r w:rsidRPr="00131DDE">
        <w:rPr>
          <w:color w:val="000000" w:themeColor="text1"/>
          <w:w w:val="110"/>
          <w:sz w:val="20"/>
          <w:szCs w:val="20"/>
          <w:lang w:val="uk-UA"/>
        </w:rPr>
        <w:t>були отримані</w:t>
      </w:r>
      <w:r w:rsidRPr="006B6651">
        <w:rPr>
          <w:color w:val="000000" w:themeColor="text1"/>
          <w:w w:val="110"/>
          <w:sz w:val="20"/>
          <w:szCs w:val="20"/>
          <w:lang w:val="uk-UA"/>
        </w:rPr>
        <w:t xml:space="preserve"> дані для оцінки цих ТАНК </w:t>
      </w:r>
      <w:r w:rsidRPr="00131DDE">
        <w:rPr>
          <w:color w:val="000000" w:themeColor="text1"/>
          <w:w w:val="110"/>
          <w:sz w:val="20"/>
          <w:szCs w:val="20"/>
          <w:lang w:val="uk-UA"/>
        </w:rPr>
        <w:t>з точки зору</w:t>
      </w:r>
      <w:r w:rsidRPr="006B6651">
        <w:rPr>
          <w:color w:val="000000" w:themeColor="text1"/>
          <w:w w:val="110"/>
          <w:sz w:val="20"/>
          <w:szCs w:val="20"/>
          <w:lang w:val="uk-UA"/>
        </w:rPr>
        <w:t xml:space="preserve"> виявлення стійкості до піразинаміду </w:t>
      </w:r>
      <w:r w:rsidRPr="00131DDE">
        <w:rPr>
          <w:color w:val="000000" w:themeColor="text1"/>
          <w:w w:val="110"/>
          <w:sz w:val="20"/>
          <w:szCs w:val="20"/>
          <w:lang w:val="uk-UA"/>
        </w:rPr>
        <w:t xml:space="preserve">у </w:t>
      </w:r>
      <w:r w:rsidRPr="006B6651">
        <w:rPr>
          <w:color w:val="000000" w:themeColor="text1"/>
          <w:w w:val="110"/>
          <w:sz w:val="20"/>
          <w:szCs w:val="20"/>
          <w:lang w:val="uk-UA"/>
        </w:rPr>
        <w:t>порівнян</w:t>
      </w:r>
      <w:r w:rsidRPr="00131DDE">
        <w:rPr>
          <w:color w:val="000000" w:themeColor="text1"/>
          <w:w w:val="110"/>
          <w:sz w:val="20"/>
          <w:szCs w:val="20"/>
          <w:lang w:val="uk-UA"/>
        </w:rPr>
        <w:t xml:space="preserve">ні </w:t>
      </w:r>
      <w:r w:rsidRPr="006B6651">
        <w:rPr>
          <w:color w:val="000000" w:themeColor="text1"/>
          <w:w w:val="110"/>
          <w:sz w:val="20"/>
          <w:szCs w:val="20"/>
          <w:lang w:val="uk-UA"/>
        </w:rPr>
        <w:t xml:space="preserve">з </w:t>
      </w:r>
      <w:proofErr w:type="spellStart"/>
      <w:r w:rsidRPr="006B6651">
        <w:rPr>
          <w:color w:val="000000" w:themeColor="text1"/>
          <w:w w:val="110"/>
          <w:sz w:val="20"/>
          <w:szCs w:val="20"/>
          <w:lang w:val="uk-UA"/>
        </w:rPr>
        <w:t>фенотиповим</w:t>
      </w:r>
      <w:proofErr w:type="spellEnd"/>
      <w:r w:rsidRPr="006B6651">
        <w:rPr>
          <w:color w:val="000000" w:themeColor="text1"/>
          <w:w w:val="110"/>
          <w:sz w:val="20"/>
          <w:szCs w:val="20"/>
          <w:lang w:val="uk-UA"/>
        </w:rPr>
        <w:t xml:space="preserve"> еталонним стандартом</w:t>
      </w:r>
      <w:r w:rsidRPr="00131DDE">
        <w:rPr>
          <w:color w:val="000000" w:themeColor="text1"/>
          <w:w w:val="110"/>
          <w:sz w:val="20"/>
          <w:szCs w:val="20"/>
          <w:lang w:val="uk-UA"/>
        </w:rPr>
        <w:t xml:space="preserve"> на основі культуральних методів</w:t>
      </w:r>
      <w:r w:rsidRPr="006B6651">
        <w:rPr>
          <w:color w:val="000000" w:themeColor="text1"/>
          <w:w w:val="110"/>
          <w:sz w:val="20"/>
          <w:szCs w:val="20"/>
          <w:lang w:val="uk-UA"/>
        </w:rPr>
        <w:t xml:space="preserve"> (</w:t>
      </w:r>
      <w:r w:rsidRPr="006B6651">
        <w:rPr>
          <w:b/>
          <w:color w:val="000000" w:themeColor="text1"/>
          <w:w w:val="110"/>
          <w:sz w:val="20"/>
          <w:szCs w:val="20"/>
          <w:lang w:val="uk-UA"/>
        </w:rPr>
        <w:t>Рис. 2.4.4.2</w:t>
      </w:r>
      <w:r w:rsidRPr="006B6651">
        <w:rPr>
          <w:color w:val="000000" w:themeColor="text1"/>
          <w:w w:val="110"/>
          <w:sz w:val="20"/>
          <w:szCs w:val="20"/>
          <w:lang w:val="uk-UA"/>
        </w:rPr>
        <w:t>).</w:t>
      </w:r>
    </w:p>
    <w:p w14:paraId="7D319C6C" w14:textId="77777777" w:rsidR="00392DCF" w:rsidRPr="006B6651" w:rsidRDefault="00392DCF" w:rsidP="00010C6A">
      <w:pPr>
        <w:pStyle w:val="a3"/>
        <w:spacing w:before="173" w:line="276" w:lineRule="auto"/>
        <w:ind w:left="567"/>
        <w:jc w:val="both"/>
        <w:rPr>
          <w:w w:val="110"/>
          <w:sz w:val="20"/>
          <w:szCs w:val="20"/>
          <w:lang w:val="ru-RU"/>
        </w:rPr>
      </w:pPr>
      <w:r w:rsidRPr="006B6651">
        <w:rPr>
          <w:w w:val="110"/>
          <w:sz w:val="20"/>
          <w:szCs w:val="20"/>
          <w:lang w:val="ru-RU"/>
        </w:rPr>
        <w:t xml:space="preserve">У </w:t>
      </w:r>
      <w:proofErr w:type="spellStart"/>
      <w:r w:rsidRPr="006B6651">
        <w:rPr>
          <w:w w:val="110"/>
          <w:sz w:val="20"/>
          <w:szCs w:val="20"/>
          <w:lang w:val="ru-RU"/>
        </w:rPr>
        <w:t>дослідженнях</w:t>
      </w:r>
      <w:proofErr w:type="spellEnd"/>
      <w:r w:rsidRPr="006B6651">
        <w:rPr>
          <w:w w:val="110"/>
          <w:sz w:val="20"/>
          <w:szCs w:val="20"/>
          <w:lang w:val="ru-RU"/>
        </w:rPr>
        <w:t xml:space="preserve"> </w:t>
      </w:r>
      <w:proofErr w:type="spellStart"/>
      <w:r w:rsidRPr="006B6651">
        <w:rPr>
          <w:w w:val="110"/>
          <w:sz w:val="20"/>
          <w:szCs w:val="20"/>
          <w:lang w:val="ru-RU"/>
        </w:rPr>
        <w:t>спостерігалася</w:t>
      </w:r>
      <w:proofErr w:type="spellEnd"/>
      <w:r w:rsidRPr="006B6651">
        <w:rPr>
          <w:w w:val="110"/>
          <w:sz w:val="20"/>
          <w:szCs w:val="20"/>
          <w:lang w:val="ru-RU"/>
        </w:rPr>
        <w:t xml:space="preserve"> систематична </w:t>
      </w:r>
      <w:r w:rsidRPr="008F095C">
        <w:rPr>
          <w:w w:val="110"/>
          <w:sz w:val="20"/>
          <w:szCs w:val="20"/>
          <w:lang w:val="uk-UA"/>
        </w:rPr>
        <w:t>похибка</w:t>
      </w:r>
      <w:r w:rsidRPr="006B6651">
        <w:rPr>
          <w:w w:val="110"/>
          <w:sz w:val="20"/>
          <w:szCs w:val="20"/>
          <w:lang w:val="ru-RU"/>
        </w:rPr>
        <w:t xml:space="preserve"> </w:t>
      </w:r>
      <w:proofErr w:type="spellStart"/>
      <w:r w:rsidRPr="006B6651">
        <w:rPr>
          <w:w w:val="110"/>
          <w:sz w:val="20"/>
          <w:szCs w:val="20"/>
          <w:lang w:val="ru-RU"/>
        </w:rPr>
        <w:t>відбору</w:t>
      </w:r>
      <w:proofErr w:type="spellEnd"/>
      <w:r w:rsidRPr="006B6651">
        <w:rPr>
          <w:w w:val="110"/>
          <w:sz w:val="20"/>
          <w:szCs w:val="20"/>
          <w:lang w:val="ru-RU"/>
        </w:rPr>
        <w:t xml:space="preserve">, </w:t>
      </w:r>
      <w:proofErr w:type="spellStart"/>
      <w:r w:rsidRPr="006B6651">
        <w:rPr>
          <w:w w:val="110"/>
          <w:sz w:val="20"/>
          <w:szCs w:val="20"/>
          <w:lang w:val="ru-RU"/>
        </w:rPr>
        <w:t>оскільки</w:t>
      </w:r>
      <w:proofErr w:type="spellEnd"/>
      <w:r w:rsidRPr="006B6651">
        <w:rPr>
          <w:w w:val="110"/>
          <w:sz w:val="20"/>
          <w:szCs w:val="20"/>
          <w:lang w:val="ru-RU"/>
        </w:rPr>
        <w:t xml:space="preserve"> в них </w:t>
      </w:r>
      <w:proofErr w:type="spellStart"/>
      <w:r w:rsidRPr="006B6651">
        <w:rPr>
          <w:w w:val="110"/>
          <w:sz w:val="20"/>
          <w:szCs w:val="20"/>
          <w:lang w:val="ru-RU"/>
        </w:rPr>
        <w:t>відбирали</w:t>
      </w:r>
      <w:proofErr w:type="spellEnd"/>
      <w:r w:rsidRPr="006B6651">
        <w:rPr>
          <w:w w:val="110"/>
          <w:sz w:val="20"/>
          <w:szCs w:val="20"/>
          <w:lang w:val="ru-RU"/>
        </w:rPr>
        <w:t xml:space="preserve"> </w:t>
      </w:r>
      <w:proofErr w:type="spellStart"/>
      <w:r w:rsidRPr="006B6651">
        <w:rPr>
          <w:w w:val="110"/>
          <w:sz w:val="20"/>
          <w:szCs w:val="20"/>
          <w:lang w:val="ru-RU"/>
        </w:rPr>
        <w:t>ізоляти</w:t>
      </w:r>
      <w:proofErr w:type="spellEnd"/>
      <w:r w:rsidRPr="006B6651">
        <w:rPr>
          <w:w w:val="110"/>
          <w:sz w:val="20"/>
          <w:szCs w:val="20"/>
          <w:lang w:val="ru-RU"/>
        </w:rPr>
        <w:t xml:space="preserve"> із широким спектром </w:t>
      </w:r>
      <w:proofErr w:type="spellStart"/>
      <w:r w:rsidRPr="006B6651">
        <w:rPr>
          <w:w w:val="110"/>
          <w:sz w:val="20"/>
          <w:szCs w:val="20"/>
          <w:lang w:val="ru-RU"/>
        </w:rPr>
        <w:t>різних</w:t>
      </w:r>
      <w:proofErr w:type="spellEnd"/>
      <w:r w:rsidRPr="006B6651">
        <w:rPr>
          <w:w w:val="110"/>
          <w:sz w:val="20"/>
          <w:szCs w:val="20"/>
          <w:lang w:val="ru-RU"/>
        </w:rPr>
        <w:t xml:space="preserve"> </w:t>
      </w:r>
      <w:proofErr w:type="spellStart"/>
      <w:r w:rsidRPr="006B6651">
        <w:rPr>
          <w:w w:val="110"/>
          <w:sz w:val="20"/>
          <w:szCs w:val="20"/>
          <w:lang w:val="ru-RU"/>
        </w:rPr>
        <w:t>мутацій</w:t>
      </w:r>
      <w:proofErr w:type="spellEnd"/>
      <w:r w:rsidRPr="006B6651">
        <w:rPr>
          <w:w w:val="110"/>
          <w:sz w:val="20"/>
          <w:szCs w:val="20"/>
          <w:lang w:val="ru-RU"/>
        </w:rPr>
        <w:t xml:space="preserve"> гена </w:t>
      </w:r>
      <w:proofErr w:type="spellStart"/>
      <w:r w:rsidRPr="008F095C">
        <w:rPr>
          <w:i/>
          <w:w w:val="110"/>
          <w:sz w:val="20"/>
          <w:szCs w:val="20"/>
        </w:rPr>
        <w:t>pnc</w:t>
      </w:r>
      <w:r w:rsidRPr="008F095C">
        <w:rPr>
          <w:w w:val="110"/>
          <w:sz w:val="20"/>
          <w:szCs w:val="20"/>
        </w:rPr>
        <w:t>A</w:t>
      </w:r>
      <w:proofErr w:type="spellEnd"/>
      <w:r w:rsidRPr="006B6651">
        <w:rPr>
          <w:w w:val="110"/>
          <w:sz w:val="20"/>
          <w:szCs w:val="20"/>
          <w:lang w:val="ru-RU"/>
        </w:rPr>
        <w:t xml:space="preserve">, а не </w:t>
      </w:r>
      <w:proofErr w:type="spellStart"/>
      <w:r w:rsidRPr="006B6651">
        <w:rPr>
          <w:w w:val="110"/>
          <w:sz w:val="20"/>
          <w:szCs w:val="20"/>
          <w:lang w:val="ru-RU"/>
        </w:rPr>
        <w:t>репрезентативну</w:t>
      </w:r>
      <w:proofErr w:type="spellEnd"/>
      <w:r w:rsidRPr="006B6651">
        <w:rPr>
          <w:w w:val="110"/>
          <w:sz w:val="20"/>
          <w:szCs w:val="20"/>
          <w:lang w:val="ru-RU"/>
        </w:rPr>
        <w:t xml:space="preserve"> </w:t>
      </w:r>
      <w:proofErr w:type="spellStart"/>
      <w:r w:rsidRPr="006B6651">
        <w:rPr>
          <w:w w:val="110"/>
          <w:sz w:val="20"/>
          <w:szCs w:val="20"/>
          <w:lang w:val="ru-RU"/>
        </w:rPr>
        <w:t>вибірку</w:t>
      </w:r>
      <w:proofErr w:type="spellEnd"/>
      <w:r w:rsidRPr="006B6651">
        <w:rPr>
          <w:w w:val="110"/>
          <w:sz w:val="20"/>
          <w:szCs w:val="20"/>
          <w:lang w:val="ru-RU"/>
        </w:rPr>
        <w:t xml:space="preserve"> з </w:t>
      </w:r>
      <w:proofErr w:type="spellStart"/>
      <w:r w:rsidRPr="006B6651">
        <w:rPr>
          <w:w w:val="110"/>
          <w:sz w:val="20"/>
          <w:szCs w:val="20"/>
          <w:lang w:val="ru-RU"/>
        </w:rPr>
        <w:t>популяції</w:t>
      </w:r>
      <w:proofErr w:type="spellEnd"/>
      <w:r w:rsidRPr="006B6651">
        <w:rPr>
          <w:w w:val="110"/>
          <w:sz w:val="20"/>
          <w:szCs w:val="20"/>
          <w:lang w:val="ru-RU"/>
        </w:rPr>
        <w:t>. То</w:t>
      </w:r>
      <w:r>
        <w:rPr>
          <w:w w:val="110"/>
          <w:sz w:val="20"/>
          <w:szCs w:val="20"/>
          <w:lang w:val="uk-UA"/>
        </w:rPr>
        <w:t>ж</w:t>
      </w:r>
      <w:r w:rsidRPr="006B6651">
        <w:rPr>
          <w:w w:val="110"/>
          <w:sz w:val="20"/>
          <w:szCs w:val="20"/>
          <w:lang w:val="ru-RU"/>
        </w:rPr>
        <w:t xml:space="preserve"> </w:t>
      </w:r>
      <w:proofErr w:type="spellStart"/>
      <w:r w:rsidRPr="006B6651">
        <w:rPr>
          <w:w w:val="110"/>
          <w:sz w:val="20"/>
          <w:szCs w:val="20"/>
          <w:lang w:val="ru-RU"/>
        </w:rPr>
        <w:t>якість</w:t>
      </w:r>
      <w:proofErr w:type="spellEnd"/>
      <w:r w:rsidRPr="006B6651">
        <w:rPr>
          <w:w w:val="110"/>
          <w:sz w:val="20"/>
          <w:szCs w:val="20"/>
          <w:lang w:val="ru-RU"/>
        </w:rPr>
        <w:t xml:space="preserve"> </w:t>
      </w:r>
      <w:proofErr w:type="spellStart"/>
      <w:r w:rsidRPr="006B6651">
        <w:rPr>
          <w:w w:val="110"/>
          <w:sz w:val="20"/>
          <w:szCs w:val="20"/>
          <w:lang w:val="ru-RU"/>
        </w:rPr>
        <w:t>доказових</w:t>
      </w:r>
      <w:proofErr w:type="spellEnd"/>
      <w:r w:rsidRPr="006B6651">
        <w:rPr>
          <w:w w:val="110"/>
          <w:sz w:val="20"/>
          <w:szCs w:val="20"/>
          <w:lang w:val="ru-RU"/>
        </w:rPr>
        <w:t xml:space="preserve"> </w:t>
      </w:r>
      <w:proofErr w:type="spellStart"/>
      <w:r w:rsidRPr="006B6651">
        <w:rPr>
          <w:w w:val="110"/>
          <w:sz w:val="20"/>
          <w:szCs w:val="20"/>
          <w:lang w:val="ru-RU"/>
        </w:rPr>
        <w:t>даних</w:t>
      </w:r>
      <w:proofErr w:type="spellEnd"/>
      <w:r w:rsidRPr="006B6651">
        <w:rPr>
          <w:w w:val="110"/>
          <w:sz w:val="20"/>
          <w:szCs w:val="20"/>
          <w:lang w:val="ru-RU"/>
        </w:rPr>
        <w:t xml:space="preserve"> </w:t>
      </w:r>
      <w:proofErr w:type="spellStart"/>
      <w:r w:rsidRPr="006B6651">
        <w:rPr>
          <w:w w:val="110"/>
          <w:sz w:val="20"/>
          <w:szCs w:val="20"/>
          <w:lang w:val="ru-RU"/>
        </w:rPr>
        <w:t>було</w:t>
      </w:r>
      <w:proofErr w:type="spellEnd"/>
      <w:r w:rsidRPr="006B6651">
        <w:rPr>
          <w:w w:val="110"/>
          <w:sz w:val="20"/>
          <w:szCs w:val="20"/>
          <w:lang w:val="ru-RU"/>
        </w:rPr>
        <w:t xml:space="preserve"> </w:t>
      </w:r>
      <w:proofErr w:type="spellStart"/>
      <w:r w:rsidRPr="006B6651">
        <w:rPr>
          <w:w w:val="110"/>
          <w:sz w:val="20"/>
          <w:szCs w:val="20"/>
          <w:lang w:val="ru-RU"/>
        </w:rPr>
        <w:t>знижено</w:t>
      </w:r>
      <w:proofErr w:type="spellEnd"/>
      <w:r w:rsidRPr="006B6651">
        <w:rPr>
          <w:w w:val="110"/>
          <w:sz w:val="20"/>
          <w:szCs w:val="20"/>
          <w:lang w:val="ru-RU"/>
        </w:rPr>
        <w:t xml:space="preserve"> на один </w:t>
      </w:r>
      <w:proofErr w:type="spellStart"/>
      <w:r w:rsidRPr="006B6651">
        <w:rPr>
          <w:w w:val="110"/>
          <w:sz w:val="20"/>
          <w:szCs w:val="20"/>
          <w:lang w:val="ru-RU"/>
        </w:rPr>
        <w:t>рівень</w:t>
      </w:r>
      <w:proofErr w:type="spellEnd"/>
      <w:r w:rsidRPr="006B6651">
        <w:rPr>
          <w:w w:val="110"/>
          <w:sz w:val="20"/>
          <w:szCs w:val="20"/>
          <w:lang w:val="ru-RU"/>
        </w:rPr>
        <w:t xml:space="preserve"> через </w:t>
      </w:r>
      <w:proofErr w:type="spellStart"/>
      <w:r w:rsidRPr="006B6651">
        <w:rPr>
          <w:w w:val="110"/>
          <w:sz w:val="20"/>
          <w:szCs w:val="20"/>
          <w:lang w:val="ru-RU"/>
        </w:rPr>
        <w:t>ризик</w:t>
      </w:r>
      <w:proofErr w:type="spellEnd"/>
      <w:r w:rsidRPr="006B6651">
        <w:rPr>
          <w:w w:val="110"/>
          <w:sz w:val="20"/>
          <w:szCs w:val="20"/>
          <w:lang w:val="ru-RU"/>
        </w:rPr>
        <w:t xml:space="preserve"> </w:t>
      </w:r>
      <w:proofErr w:type="spellStart"/>
      <w:r w:rsidRPr="006B6651">
        <w:rPr>
          <w:w w:val="110"/>
          <w:sz w:val="20"/>
          <w:szCs w:val="20"/>
          <w:lang w:val="ru-RU"/>
        </w:rPr>
        <w:t>систематичної</w:t>
      </w:r>
      <w:proofErr w:type="spellEnd"/>
      <w:r w:rsidRPr="006B6651">
        <w:rPr>
          <w:w w:val="110"/>
          <w:sz w:val="20"/>
          <w:szCs w:val="20"/>
          <w:lang w:val="ru-RU"/>
        </w:rPr>
        <w:t xml:space="preserve"> </w:t>
      </w:r>
      <w:r w:rsidRPr="008F095C">
        <w:rPr>
          <w:w w:val="110"/>
          <w:sz w:val="20"/>
          <w:szCs w:val="20"/>
          <w:lang w:val="uk-UA"/>
        </w:rPr>
        <w:t>похибки</w:t>
      </w:r>
      <w:r w:rsidRPr="006B6651">
        <w:rPr>
          <w:w w:val="110"/>
          <w:sz w:val="20"/>
          <w:szCs w:val="20"/>
          <w:lang w:val="ru-RU"/>
        </w:rPr>
        <w:t xml:space="preserve">. </w:t>
      </w:r>
      <w:proofErr w:type="spellStart"/>
      <w:r w:rsidRPr="006B6651">
        <w:rPr>
          <w:w w:val="110"/>
          <w:sz w:val="20"/>
          <w:szCs w:val="20"/>
          <w:lang w:val="ru-RU"/>
        </w:rPr>
        <w:t>Включені</w:t>
      </w:r>
      <w:proofErr w:type="spellEnd"/>
      <w:r w:rsidRPr="006B6651">
        <w:rPr>
          <w:w w:val="110"/>
          <w:sz w:val="20"/>
          <w:szCs w:val="20"/>
          <w:lang w:val="ru-RU"/>
        </w:rPr>
        <w:t xml:space="preserve"> </w:t>
      </w:r>
      <w:r w:rsidRPr="008F095C">
        <w:rPr>
          <w:w w:val="110"/>
          <w:sz w:val="20"/>
          <w:szCs w:val="20"/>
          <w:lang w:val="uk-UA"/>
        </w:rPr>
        <w:t xml:space="preserve">в огляд </w:t>
      </w:r>
      <w:proofErr w:type="spellStart"/>
      <w:r w:rsidRPr="006B6651">
        <w:rPr>
          <w:w w:val="110"/>
          <w:sz w:val="20"/>
          <w:szCs w:val="20"/>
          <w:lang w:val="ru-RU"/>
        </w:rPr>
        <w:t>дослідження</w:t>
      </w:r>
      <w:proofErr w:type="spellEnd"/>
      <w:r w:rsidRPr="006B6651">
        <w:rPr>
          <w:w w:val="110"/>
          <w:sz w:val="20"/>
          <w:szCs w:val="20"/>
          <w:lang w:val="ru-RU"/>
        </w:rPr>
        <w:t xml:space="preserve"> не </w:t>
      </w:r>
      <w:proofErr w:type="spellStart"/>
      <w:r w:rsidRPr="006B6651">
        <w:rPr>
          <w:w w:val="110"/>
          <w:sz w:val="20"/>
          <w:szCs w:val="20"/>
          <w:lang w:val="ru-RU"/>
        </w:rPr>
        <w:t>стосувалися</w:t>
      </w:r>
      <w:proofErr w:type="spellEnd"/>
      <w:r w:rsidRPr="006B6651">
        <w:rPr>
          <w:w w:val="110"/>
          <w:sz w:val="20"/>
          <w:szCs w:val="20"/>
          <w:lang w:val="ru-RU"/>
        </w:rPr>
        <w:t xml:space="preserve"> </w:t>
      </w:r>
      <w:proofErr w:type="spellStart"/>
      <w:r w:rsidRPr="006B6651">
        <w:rPr>
          <w:w w:val="110"/>
          <w:sz w:val="20"/>
          <w:szCs w:val="20"/>
          <w:lang w:val="ru-RU"/>
        </w:rPr>
        <w:t>безпосередньо</w:t>
      </w:r>
      <w:proofErr w:type="spellEnd"/>
      <w:r w:rsidRPr="006B6651">
        <w:rPr>
          <w:w w:val="110"/>
          <w:sz w:val="20"/>
          <w:szCs w:val="20"/>
          <w:lang w:val="ru-RU"/>
        </w:rPr>
        <w:t xml:space="preserve"> </w:t>
      </w:r>
      <w:proofErr w:type="spellStart"/>
      <w:r w:rsidRPr="006B6651">
        <w:rPr>
          <w:w w:val="110"/>
          <w:sz w:val="20"/>
          <w:szCs w:val="20"/>
          <w:lang w:val="ru-RU"/>
        </w:rPr>
        <w:t>питання</w:t>
      </w:r>
      <w:proofErr w:type="spellEnd"/>
      <w:r w:rsidRPr="006B6651">
        <w:rPr>
          <w:w w:val="110"/>
          <w:sz w:val="20"/>
          <w:szCs w:val="20"/>
          <w:lang w:val="ru-RU"/>
        </w:rPr>
        <w:t xml:space="preserve"> </w:t>
      </w:r>
      <w:proofErr w:type="spellStart"/>
      <w:r w:rsidRPr="006B6651">
        <w:rPr>
          <w:w w:val="110"/>
          <w:sz w:val="20"/>
          <w:szCs w:val="20"/>
          <w:lang w:val="ru-RU"/>
        </w:rPr>
        <w:t>огляду</w:t>
      </w:r>
      <w:proofErr w:type="spellEnd"/>
      <w:r>
        <w:rPr>
          <w:w w:val="110"/>
          <w:sz w:val="20"/>
          <w:szCs w:val="20"/>
          <w:lang w:val="uk-UA"/>
        </w:rPr>
        <w:t>,</w:t>
      </w:r>
      <w:r w:rsidRPr="006B6651">
        <w:rPr>
          <w:w w:val="110"/>
          <w:sz w:val="20"/>
          <w:szCs w:val="20"/>
          <w:lang w:val="ru-RU"/>
        </w:rPr>
        <w:t xml:space="preserve"> тому </w:t>
      </w:r>
      <w:proofErr w:type="spellStart"/>
      <w:r w:rsidRPr="006B6651">
        <w:rPr>
          <w:w w:val="110"/>
          <w:sz w:val="20"/>
          <w:szCs w:val="20"/>
          <w:lang w:val="ru-RU"/>
        </w:rPr>
        <w:t>якість</w:t>
      </w:r>
      <w:proofErr w:type="spellEnd"/>
      <w:r w:rsidRPr="006B6651">
        <w:rPr>
          <w:w w:val="110"/>
          <w:sz w:val="20"/>
          <w:szCs w:val="20"/>
          <w:lang w:val="ru-RU"/>
        </w:rPr>
        <w:t xml:space="preserve"> </w:t>
      </w:r>
      <w:proofErr w:type="spellStart"/>
      <w:r w:rsidRPr="006B6651">
        <w:rPr>
          <w:w w:val="110"/>
          <w:sz w:val="20"/>
          <w:szCs w:val="20"/>
          <w:lang w:val="ru-RU"/>
        </w:rPr>
        <w:t>доказових</w:t>
      </w:r>
      <w:proofErr w:type="spellEnd"/>
      <w:r w:rsidRPr="006B6651">
        <w:rPr>
          <w:w w:val="110"/>
          <w:sz w:val="20"/>
          <w:szCs w:val="20"/>
          <w:lang w:val="ru-RU"/>
        </w:rPr>
        <w:t xml:space="preserve"> </w:t>
      </w:r>
      <w:proofErr w:type="spellStart"/>
      <w:r w:rsidRPr="006B6651">
        <w:rPr>
          <w:w w:val="110"/>
          <w:sz w:val="20"/>
          <w:szCs w:val="20"/>
          <w:lang w:val="ru-RU"/>
        </w:rPr>
        <w:t>даних</w:t>
      </w:r>
      <w:proofErr w:type="spellEnd"/>
      <w:r w:rsidRPr="006B6651">
        <w:rPr>
          <w:w w:val="110"/>
          <w:sz w:val="20"/>
          <w:szCs w:val="20"/>
          <w:lang w:val="ru-RU"/>
        </w:rPr>
        <w:t xml:space="preserve"> </w:t>
      </w:r>
      <w:proofErr w:type="spellStart"/>
      <w:r w:rsidRPr="006B6651">
        <w:rPr>
          <w:w w:val="110"/>
          <w:sz w:val="20"/>
          <w:szCs w:val="20"/>
          <w:lang w:val="ru-RU"/>
        </w:rPr>
        <w:t>було</w:t>
      </w:r>
      <w:proofErr w:type="spellEnd"/>
      <w:r w:rsidRPr="006B6651">
        <w:rPr>
          <w:w w:val="110"/>
          <w:sz w:val="20"/>
          <w:szCs w:val="20"/>
          <w:lang w:val="ru-RU"/>
        </w:rPr>
        <w:t xml:space="preserve"> </w:t>
      </w:r>
      <w:proofErr w:type="spellStart"/>
      <w:r w:rsidRPr="006B6651">
        <w:rPr>
          <w:w w:val="110"/>
          <w:sz w:val="20"/>
          <w:szCs w:val="20"/>
          <w:lang w:val="ru-RU"/>
        </w:rPr>
        <w:t>знижено</w:t>
      </w:r>
      <w:proofErr w:type="spellEnd"/>
      <w:r w:rsidRPr="006B6651">
        <w:rPr>
          <w:w w:val="110"/>
          <w:sz w:val="20"/>
          <w:szCs w:val="20"/>
          <w:lang w:val="ru-RU"/>
        </w:rPr>
        <w:t xml:space="preserve"> на один </w:t>
      </w:r>
      <w:proofErr w:type="spellStart"/>
      <w:r w:rsidRPr="006B6651">
        <w:rPr>
          <w:w w:val="110"/>
          <w:sz w:val="20"/>
          <w:szCs w:val="20"/>
          <w:lang w:val="ru-RU"/>
        </w:rPr>
        <w:t>рівень</w:t>
      </w:r>
      <w:proofErr w:type="spellEnd"/>
      <w:r w:rsidRPr="006B6651">
        <w:rPr>
          <w:w w:val="110"/>
          <w:sz w:val="20"/>
          <w:szCs w:val="20"/>
          <w:lang w:val="ru-RU"/>
        </w:rPr>
        <w:t xml:space="preserve"> через </w:t>
      </w:r>
      <w:proofErr w:type="spellStart"/>
      <w:r w:rsidRPr="006B6651">
        <w:rPr>
          <w:w w:val="110"/>
          <w:sz w:val="20"/>
          <w:szCs w:val="20"/>
          <w:lang w:val="ru-RU"/>
        </w:rPr>
        <w:t>їх</w:t>
      </w:r>
      <w:proofErr w:type="spellEnd"/>
      <w:r w:rsidRPr="008F095C">
        <w:rPr>
          <w:w w:val="110"/>
          <w:sz w:val="20"/>
          <w:szCs w:val="20"/>
          <w:lang w:val="uk-UA"/>
        </w:rPr>
        <w:t>ню</w:t>
      </w:r>
      <w:r w:rsidRPr="006B6651">
        <w:rPr>
          <w:w w:val="110"/>
          <w:sz w:val="20"/>
          <w:szCs w:val="20"/>
          <w:lang w:val="ru-RU"/>
        </w:rPr>
        <w:t xml:space="preserve"> </w:t>
      </w:r>
      <w:proofErr w:type="spellStart"/>
      <w:r w:rsidRPr="006B6651">
        <w:rPr>
          <w:w w:val="110"/>
          <w:sz w:val="20"/>
          <w:szCs w:val="20"/>
          <w:lang w:val="ru-RU"/>
        </w:rPr>
        <w:t>опосередкованість</w:t>
      </w:r>
      <w:proofErr w:type="spellEnd"/>
      <w:r w:rsidRPr="006B6651">
        <w:rPr>
          <w:w w:val="110"/>
          <w:sz w:val="20"/>
          <w:szCs w:val="20"/>
          <w:lang w:val="ru-RU"/>
        </w:rPr>
        <w:t xml:space="preserve">. </w:t>
      </w:r>
      <w:proofErr w:type="spellStart"/>
      <w:r w:rsidRPr="006B6651">
        <w:rPr>
          <w:w w:val="110"/>
          <w:sz w:val="20"/>
          <w:szCs w:val="20"/>
          <w:lang w:val="ru-RU"/>
        </w:rPr>
        <w:t>Результати</w:t>
      </w:r>
      <w:proofErr w:type="spellEnd"/>
      <w:r w:rsidRPr="006B6651">
        <w:rPr>
          <w:w w:val="110"/>
          <w:sz w:val="20"/>
          <w:szCs w:val="20"/>
          <w:lang w:val="ru-RU"/>
        </w:rPr>
        <w:t xml:space="preserve"> </w:t>
      </w:r>
      <w:proofErr w:type="spellStart"/>
      <w:r w:rsidRPr="006B6651">
        <w:rPr>
          <w:w w:val="110"/>
          <w:sz w:val="20"/>
          <w:szCs w:val="20"/>
          <w:lang w:val="ru-RU"/>
        </w:rPr>
        <w:t>досліджен</w:t>
      </w:r>
      <w:proofErr w:type="spellEnd"/>
      <w:r w:rsidRPr="008F095C">
        <w:rPr>
          <w:w w:val="110"/>
          <w:sz w:val="20"/>
          <w:szCs w:val="20"/>
          <w:lang w:val="uk-UA"/>
        </w:rPr>
        <w:t>ь</w:t>
      </w:r>
      <w:r w:rsidRPr="006B6651">
        <w:rPr>
          <w:w w:val="110"/>
          <w:sz w:val="20"/>
          <w:szCs w:val="20"/>
          <w:lang w:val="ru-RU"/>
        </w:rPr>
        <w:t xml:space="preserve"> </w:t>
      </w:r>
      <w:r w:rsidRPr="008F095C">
        <w:rPr>
          <w:w w:val="110"/>
          <w:sz w:val="20"/>
          <w:szCs w:val="20"/>
        </w:rPr>
        <w:t>Burhan</w:t>
      </w:r>
      <w:r w:rsidRPr="006B6651">
        <w:rPr>
          <w:w w:val="110"/>
          <w:sz w:val="20"/>
          <w:szCs w:val="20"/>
          <w:lang w:val="ru-RU"/>
        </w:rPr>
        <w:t xml:space="preserve"> та </w:t>
      </w:r>
      <w:proofErr w:type="spellStart"/>
      <w:r w:rsidRPr="006B6651">
        <w:rPr>
          <w:w w:val="110"/>
          <w:sz w:val="20"/>
          <w:szCs w:val="20"/>
          <w:lang w:val="ru-RU"/>
        </w:rPr>
        <w:t>дослідження</w:t>
      </w:r>
      <w:proofErr w:type="spellEnd"/>
      <w:r w:rsidRPr="006B6651">
        <w:rPr>
          <w:w w:val="110"/>
          <w:sz w:val="20"/>
          <w:szCs w:val="20"/>
          <w:lang w:val="ru-RU"/>
        </w:rPr>
        <w:t xml:space="preserve"> </w:t>
      </w:r>
      <w:proofErr w:type="spellStart"/>
      <w:r w:rsidRPr="008F095C">
        <w:rPr>
          <w:w w:val="110"/>
          <w:sz w:val="20"/>
          <w:szCs w:val="20"/>
        </w:rPr>
        <w:t>Rienthong</w:t>
      </w:r>
      <w:proofErr w:type="spellEnd"/>
      <w:r w:rsidRPr="006B6651">
        <w:rPr>
          <w:w w:val="110"/>
          <w:sz w:val="20"/>
          <w:szCs w:val="20"/>
          <w:lang w:val="ru-RU"/>
        </w:rPr>
        <w:t xml:space="preserve"> щодо </w:t>
      </w:r>
      <w:proofErr w:type="spellStart"/>
      <w:r w:rsidRPr="006B6651">
        <w:rPr>
          <w:w w:val="110"/>
          <w:sz w:val="20"/>
          <w:szCs w:val="20"/>
          <w:lang w:val="ru-RU"/>
        </w:rPr>
        <w:t>показників</w:t>
      </w:r>
      <w:proofErr w:type="spellEnd"/>
      <w:r w:rsidRPr="006B6651">
        <w:rPr>
          <w:w w:val="110"/>
          <w:sz w:val="20"/>
          <w:szCs w:val="20"/>
          <w:lang w:val="ru-RU"/>
        </w:rPr>
        <w:t xml:space="preserve"> </w:t>
      </w:r>
      <w:proofErr w:type="spellStart"/>
      <w:r w:rsidRPr="006B6651">
        <w:rPr>
          <w:w w:val="110"/>
          <w:sz w:val="20"/>
          <w:szCs w:val="20"/>
          <w:lang w:val="ru-RU"/>
        </w:rPr>
        <w:t>чутливості</w:t>
      </w:r>
      <w:proofErr w:type="spellEnd"/>
      <w:r w:rsidRPr="006B6651">
        <w:rPr>
          <w:w w:val="110"/>
          <w:sz w:val="20"/>
          <w:szCs w:val="20"/>
          <w:lang w:val="ru-RU"/>
        </w:rPr>
        <w:t xml:space="preserve"> </w:t>
      </w:r>
      <w:proofErr w:type="spellStart"/>
      <w:r w:rsidRPr="006B6651">
        <w:rPr>
          <w:w w:val="110"/>
          <w:sz w:val="20"/>
          <w:szCs w:val="20"/>
          <w:lang w:val="ru-RU"/>
        </w:rPr>
        <w:t>вибивалися</w:t>
      </w:r>
      <w:proofErr w:type="spellEnd"/>
      <w:r w:rsidRPr="006B6651">
        <w:rPr>
          <w:w w:val="110"/>
          <w:sz w:val="20"/>
          <w:szCs w:val="20"/>
          <w:lang w:val="ru-RU"/>
        </w:rPr>
        <w:t xml:space="preserve"> із </w:t>
      </w:r>
      <w:proofErr w:type="spellStart"/>
      <w:r w:rsidRPr="006B6651">
        <w:rPr>
          <w:w w:val="110"/>
          <w:sz w:val="20"/>
          <w:szCs w:val="20"/>
          <w:lang w:val="ru-RU"/>
        </w:rPr>
        <w:t>загальної</w:t>
      </w:r>
      <w:proofErr w:type="spellEnd"/>
      <w:r w:rsidRPr="006B6651">
        <w:rPr>
          <w:w w:val="110"/>
          <w:sz w:val="20"/>
          <w:szCs w:val="20"/>
          <w:lang w:val="ru-RU"/>
        </w:rPr>
        <w:t xml:space="preserve"> </w:t>
      </w:r>
      <w:proofErr w:type="spellStart"/>
      <w:r w:rsidRPr="006B6651">
        <w:rPr>
          <w:w w:val="110"/>
          <w:sz w:val="20"/>
          <w:szCs w:val="20"/>
          <w:lang w:val="ru-RU"/>
        </w:rPr>
        <w:t>картини</w:t>
      </w:r>
      <w:proofErr w:type="spellEnd"/>
      <w:r w:rsidRPr="006B6651">
        <w:rPr>
          <w:w w:val="110"/>
          <w:sz w:val="20"/>
          <w:szCs w:val="20"/>
          <w:lang w:val="ru-RU"/>
        </w:rPr>
        <w:t xml:space="preserve"> </w:t>
      </w:r>
      <w:proofErr w:type="spellStart"/>
      <w:r w:rsidRPr="006B6651">
        <w:rPr>
          <w:w w:val="110"/>
          <w:sz w:val="20"/>
          <w:szCs w:val="20"/>
          <w:lang w:val="ru-RU"/>
        </w:rPr>
        <w:t>порівняно</w:t>
      </w:r>
      <w:proofErr w:type="spellEnd"/>
      <w:r w:rsidRPr="006B6651">
        <w:rPr>
          <w:w w:val="110"/>
          <w:sz w:val="20"/>
          <w:szCs w:val="20"/>
          <w:lang w:val="ru-RU"/>
        </w:rPr>
        <w:t xml:space="preserve"> з </w:t>
      </w:r>
      <w:proofErr w:type="spellStart"/>
      <w:r w:rsidRPr="006B6651">
        <w:rPr>
          <w:w w:val="110"/>
          <w:sz w:val="20"/>
          <w:szCs w:val="20"/>
          <w:lang w:val="ru-RU"/>
        </w:rPr>
        <w:t>іншими</w:t>
      </w:r>
      <w:proofErr w:type="spellEnd"/>
      <w:r w:rsidRPr="006B6651">
        <w:rPr>
          <w:w w:val="110"/>
          <w:sz w:val="20"/>
          <w:szCs w:val="20"/>
          <w:lang w:val="ru-RU"/>
        </w:rPr>
        <w:t xml:space="preserve"> </w:t>
      </w:r>
      <w:proofErr w:type="spellStart"/>
      <w:r w:rsidRPr="006B6651">
        <w:rPr>
          <w:w w:val="110"/>
          <w:sz w:val="20"/>
          <w:szCs w:val="20"/>
          <w:lang w:val="ru-RU"/>
        </w:rPr>
        <w:t>дослідженнями</w:t>
      </w:r>
      <w:proofErr w:type="spellEnd"/>
      <w:r w:rsidRPr="006B6651">
        <w:rPr>
          <w:w w:val="110"/>
          <w:sz w:val="20"/>
          <w:szCs w:val="20"/>
          <w:lang w:val="ru-RU"/>
        </w:rPr>
        <w:t xml:space="preserve">; тому </w:t>
      </w:r>
      <w:proofErr w:type="spellStart"/>
      <w:r w:rsidRPr="006B6651">
        <w:rPr>
          <w:w w:val="110"/>
          <w:sz w:val="20"/>
          <w:szCs w:val="20"/>
          <w:lang w:val="ru-RU"/>
        </w:rPr>
        <w:t>якість</w:t>
      </w:r>
      <w:proofErr w:type="spellEnd"/>
      <w:r w:rsidRPr="006B6651">
        <w:rPr>
          <w:w w:val="110"/>
          <w:sz w:val="20"/>
          <w:szCs w:val="20"/>
          <w:lang w:val="ru-RU"/>
        </w:rPr>
        <w:t xml:space="preserve"> </w:t>
      </w:r>
      <w:proofErr w:type="spellStart"/>
      <w:r w:rsidRPr="006B6651">
        <w:rPr>
          <w:w w:val="110"/>
          <w:sz w:val="20"/>
          <w:szCs w:val="20"/>
          <w:lang w:val="ru-RU"/>
        </w:rPr>
        <w:t>доказових</w:t>
      </w:r>
      <w:proofErr w:type="spellEnd"/>
      <w:r w:rsidRPr="006B6651">
        <w:rPr>
          <w:w w:val="110"/>
          <w:sz w:val="20"/>
          <w:szCs w:val="20"/>
          <w:lang w:val="ru-RU"/>
        </w:rPr>
        <w:t xml:space="preserve"> </w:t>
      </w:r>
      <w:proofErr w:type="spellStart"/>
      <w:r w:rsidRPr="006B6651">
        <w:rPr>
          <w:w w:val="110"/>
          <w:sz w:val="20"/>
          <w:szCs w:val="20"/>
          <w:lang w:val="ru-RU"/>
        </w:rPr>
        <w:t>даних</w:t>
      </w:r>
      <w:proofErr w:type="spellEnd"/>
      <w:r w:rsidRPr="006B6651">
        <w:rPr>
          <w:w w:val="110"/>
          <w:sz w:val="20"/>
          <w:szCs w:val="20"/>
          <w:lang w:val="ru-RU"/>
        </w:rPr>
        <w:t xml:space="preserve"> </w:t>
      </w:r>
      <w:proofErr w:type="spellStart"/>
      <w:r w:rsidRPr="006B6651">
        <w:rPr>
          <w:w w:val="110"/>
          <w:sz w:val="20"/>
          <w:szCs w:val="20"/>
          <w:lang w:val="ru-RU"/>
        </w:rPr>
        <w:t>було</w:t>
      </w:r>
      <w:proofErr w:type="spellEnd"/>
      <w:r w:rsidRPr="006B6651">
        <w:rPr>
          <w:w w:val="110"/>
          <w:sz w:val="20"/>
          <w:szCs w:val="20"/>
          <w:lang w:val="ru-RU"/>
        </w:rPr>
        <w:t xml:space="preserve"> </w:t>
      </w:r>
      <w:proofErr w:type="spellStart"/>
      <w:r w:rsidRPr="006B6651">
        <w:rPr>
          <w:w w:val="110"/>
          <w:sz w:val="20"/>
          <w:szCs w:val="20"/>
          <w:lang w:val="ru-RU"/>
        </w:rPr>
        <w:t>знижено</w:t>
      </w:r>
      <w:proofErr w:type="spellEnd"/>
      <w:r w:rsidRPr="006B6651">
        <w:rPr>
          <w:w w:val="110"/>
          <w:sz w:val="20"/>
          <w:szCs w:val="20"/>
          <w:lang w:val="ru-RU"/>
        </w:rPr>
        <w:t xml:space="preserve"> на один </w:t>
      </w:r>
      <w:proofErr w:type="spellStart"/>
      <w:r w:rsidRPr="006B6651">
        <w:rPr>
          <w:w w:val="110"/>
          <w:sz w:val="20"/>
          <w:szCs w:val="20"/>
          <w:lang w:val="ru-RU"/>
        </w:rPr>
        <w:t>рівень</w:t>
      </w:r>
      <w:proofErr w:type="spellEnd"/>
      <w:r w:rsidRPr="006B6651">
        <w:rPr>
          <w:w w:val="110"/>
          <w:sz w:val="20"/>
          <w:szCs w:val="20"/>
          <w:lang w:val="ru-RU"/>
        </w:rPr>
        <w:t xml:space="preserve"> через </w:t>
      </w:r>
      <w:proofErr w:type="spellStart"/>
      <w:r w:rsidRPr="006B6651">
        <w:rPr>
          <w:w w:val="110"/>
          <w:sz w:val="20"/>
          <w:szCs w:val="20"/>
          <w:lang w:val="ru-RU"/>
        </w:rPr>
        <w:t>неузгодженість</w:t>
      </w:r>
      <w:proofErr w:type="spellEnd"/>
      <w:r w:rsidRPr="006B6651">
        <w:rPr>
          <w:w w:val="110"/>
          <w:sz w:val="20"/>
          <w:szCs w:val="20"/>
          <w:lang w:val="ru-RU"/>
        </w:rPr>
        <w:t>.</w:t>
      </w:r>
      <w:r w:rsidRPr="008F095C">
        <w:rPr>
          <w:w w:val="110"/>
          <w:sz w:val="20"/>
          <w:szCs w:val="20"/>
          <w:lang w:val="uk-UA"/>
        </w:rPr>
        <w:t xml:space="preserve"> </w:t>
      </w:r>
      <w:proofErr w:type="spellStart"/>
      <w:r w:rsidRPr="006B6651">
        <w:rPr>
          <w:w w:val="110"/>
          <w:sz w:val="20"/>
          <w:szCs w:val="20"/>
          <w:lang w:val="ru-RU"/>
        </w:rPr>
        <w:t>Враховуючи</w:t>
      </w:r>
      <w:proofErr w:type="spellEnd"/>
      <w:r w:rsidRPr="006B6651">
        <w:rPr>
          <w:w w:val="110"/>
          <w:sz w:val="20"/>
          <w:szCs w:val="20"/>
          <w:lang w:val="ru-RU"/>
        </w:rPr>
        <w:t xml:space="preserve"> </w:t>
      </w:r>
      <w:proofErr w:type="spellStart"/>
      <w:r w:rsidRPr="006B6651">
        <w:rPr>
          <w:w w:val="110"/>
          <w:sz w:val="20"/>
          <w:szCs w:val="20"/>
          <w:lang w:val="ru-RU"/>
        </w:rPr>
        <w:t>ці</w:t>
      </w:r>
      <w:proofErr w:type="spellEnd"/>
      <w:r w:rsidRPr="006B6651">
        <w:rPr>
          <w:w w:val="110"/>
          <w:sz w:val="20"/>
          <w:szCs w:val="20"/>
          <w:lang w:val="ru-RU"/>
        </w:rPr>
        <w:t xml:space="preserve"> </w:t>
      </w:r>
      <w:proofErr w:type="spellStart"/>
      <w:r w:rsidRPr="006B6651">
        <w:rPr>
          <w:w w:val="110"/>
          <w:sz w:val="20"/>
          <w:szCs w:val="20"/>
          <w:lang w:val="ru-RU"/>
        </w:rPr>
        <w:t>оцінки</w:t>
      </w:r>
      <w:proofErr w:type="spellEnd"/>
      <w:r w:rsidRPr="006B6651">
        <w:rPr>
          <w:w w:val="110"/>
          <w:sz w:val="20"/>
          <w:szCs w:val="20"/>
          <w:lang w:val="ru-RU"/>
        </w:rPr>
        <w:t xml:space="preserve"> разом, </w:t>
      </w:r>
      <w:proofErr w:type="spellStart"/>
      <w:r w:rsidRPr="006B6651">
        <w:rPr>
          <w:w w:val="110"/>
          <w:sz w:val="20"/>
          <w:szCs w:val="20"/>
          <w:lang w:val="ru-RU"/>
        </w:rPr>
        <w:t>якість</w:t>
      </w:r>
      <w:proofErr w:type="spellEnd"/>
      <w:r w:rsidRPr="006B6651">
        <w:rPr>
          <w:w w:val="110"/>
          <w:sz w:val="20"/>
          <w:szCs w:val="20"/>
          <w:lang w:val="ru-RU"/>
        </w:rPr>
        <w:t xml:space="preserve"> (</w:t>
      </w:r>
      <w:r>
        <w:rPr>
          <w:w w:val="110"/>
          <w:sz w:val="20"/>
          <w:szCs w:val="20"/>
          <w:lang w:val="uk-UA"/>
        </w:rPr>
        <w:t>достовірність</w:t>
      </w:r>
      <w:r w:rsidRPr="006B6651">
        <w:rPr>
          <w:w w:val="110"/>
          <w:sz w:val="20"/>
          <w:szCs w:val="20"/>
          <w:lang w:val="ru-RU"/>
        </w:rPr>
        <w:t xml:space="preserve">) </w:t>
      </w:r>
      <w:proofErr w:type="spellStart"/>
      <w:r w:rsidRPr="006B6651">
        <w:rPr>
          <w:w w:val="110"/>
          <w:sz w:val="20"/>
          <w:szCs w:val="20"/>
          <w:lang w:val="ru-RU"/>
        </w:rPr>
        <w:t>доказових</w:t>
      </w:r>
      <w:proofErr w:type="spellEnd"/>
      <w:r w:rsidRPr="006B6651">
        <w:rPr>
          <w:w w:val="110"/>
          <w:sz w:val="20"/>
          <w:szCs w:val="20"/>
          <w:lang w:val="ru-RU"/>
        </w:rPr>
        <w:t xml:space="preserve"> </w:t>
      </w:r>
      <w:proofErr w:type="spellStart"/>
      <w:r w:rsidRPr="006B6651">
        <w:rPr>
          <w:w w:val="110"/>
          <w:sz w:val="20"/>
          <w:szCs w:val="20"/>
          <w:lang w:val="ru-RU"/>
        </w:rPr>
        <w:t>даних</w:t>
      </w:r>
      <w:proofErr w:type="spellEnd"/>
      <w:r w:rsidRPr="006B6651">
        <w:rPr>
          <w:w w:val="110"/>
          <w:sz w:val="20"/>
          <w:szCs w:val="20"/>
          <w:lang w:val="ru-RU"/>
        </w:rPr>
        <w:t xml:space="preserve"> </w:t>
      </w:r>
      <w:proofErr w:type="spellStart"/>
      <w:r w:rsidRPr="006B6651">
        <w:rPr>
          <w:w w:val="110"/>
          <w:sz w:val="20"/>
          <w:szCs w:val="20"/>
          <w:lang w:val="ru-RU"/>
        </w:rPr>
        <w:t>була</w:t>
      </w:r>
      <w:proofErr w:type="spellEnd"/>
      <w:r w:rsidRPr="006B6651">
        <w:rPr>
          <w:w w:val="110"/>
          <w:sz w:val="20"/>
          <w:szCs w:val="20"/>
          <w:lang w:val="ru-RU"/>
        </w:rPr>
        <w:t xml:space="preserve"> </w:t>
      </w:r>
      <w:proofErr w:type="spellStart"/>
      <w:r w:rsidRPr="006B6651">
        <w:rPr>
          <w:w w:val="110"/>
          <w:sz w:val="20"/>
          <w:szCs w:val="20"/>
          <w:lang w:val="ru-RU"/>
        </w:rPr>
        <w:t>оцінена</w:t>
      </w:r>
      <w:proofErr w:type="spellEnd"/>
      <w:r w:rsidRPr="006B6651">
        <w:rPr>
          <w:w w:val="110"/>
          <w:sz w:val="20"/>
          <w:szCs w:val="20"/>
          <w:lang w:val="ru-RU"/>
        </w:rPr>
        <w:t xml:space="preserve"> як </w:t>
      </w:r>
      <w:proofErr w:type="spellStart"/>
      <w:r w:rsidRPr="006B6651">
        <w:rPr>
          <w:w w:val="110"/>
          <w:sz w:val="20"/>
          <w:szCs w:val="20"/>
          <w:lang w:val="ru-RU"/>
        </w:rPr>
        <w:t>дуже</w:t>
      </w:r>
      <w:proofErr w:type="spellEnd"/>
      <w:r w:rsidRPr="006B6651">
        <w:rPr>
          <w:w w:val="110"/>
          <w:sz w:val="20"/>
          <w:szCs w:val="20"/>
          <w:lang w:val="ru-RU"/>
        </w:rPr>
        <w:t xml:space="preserve"> </w:t>
      </w:r>
      <w:proofErr w:type="spellStart"/>
      <w:r w:rsidRPr="006B6651">
        <w:rPr>
          <w:w w:val="110"/>
          <w:sz w:val="20"/>
          <w:szCs w:val="20"/>
          <w:lang w:val="ru-RU"/>
        </w:rPr>
        <w:t>низька</w:t>
      </w:r>
      <w:proofErr w:type="spellEnd"/>
      <w:r w:rsidRPr="006B6651">
        <w:rPr>
          <w:w w:val="110"/>
          <w:sz w:val="20"/>
          <w:szCs w:val="20"/>
          <w:lang w:val="ru-RU"/>
        </w:rPr>
        <w:t xml:space="preserve"> для </w:t>
      </w:r>
      <w:proofErr w:type="spellStart"/>
      <w:r w:rsidRPr="006B6651">
        <w:rPr>
          <w:w w:val="110"/>
          <w:sz w:val="20"/>
          <w:szCs w:val="20"/>
          <w:lang w:val="ru-RU"/>
        </w:rPr>
        <w:t>чутливості</w:t>
      </w:r>
      <w:proofErr w:type="spellEnd"/>
      <w:r w:rsidRPr="006B6651">
        <w:rPr>
          <w:w w:val="110"/>
          <w:sz w:val="20"/>
          <w:szCs w:val="20"/>
          <w:lang w:val="ru-RU"/>
        </w:rPr>
        <w:t xml:space="preserve"> та </w:t>
      </w:r>
      <w:proofErr w:type="spellStart"/>
      <w:r w:rsidRPr="006B6651">
        <w:rPr>
          <w:w w:val="110"/>
          <w:sz w:val="20"/>
          <w:szCs w:val="20"/>
          <w:lang w:val="ru-RU"/>
        </w:rPr>
        <w:t>низька</w:t>
      </w:r>
      <w:proofErr w:type="spellEnd"/>
      <w:r w:rsidRPr="006B6651">
        <w:rPr>
          <w:w w:val="110"/>
          <w:sz w:val="20"/>
          <w:szCs w:val="20"/>
          <w:lang w:val="ru-RU"/>
        </w:rPr>
        <w:t xml:space="preserve"> для </w:t>
      </w:r>
      <w:proofErr w:type="spellStart"/>
      <w:r w:rsidRPr="006B6651">
        <w:rPr>
          <w:w w:val="110"/>
          <w:sz w:val="20"/>
          <w:szCs w:val="20"/>
          <w:lang w:val="ru-RU"/>
        </w:rPr>
        <w:t>специфічності</w:t>
      </w:r>
      <w:proofErr w:type="spellEnd"/>
      <w:r w:rsidRPr="006B6651">
        <w:rPr>
          <w:w w:val="110"/>
          <w:sz w:val="20"/>
          <w:szCs w:val="20"/>
          <w:lang w:val="ru-RU"/>
        </w:rPr>
        <w:t>.</w:t>
      </w:r>
    </w:p>
    <w:p w14:paraId="734ADEE1" w14:textId="77777777" w:rsidR="00392DCF" w:rsidRPr="006B6651" w:rsidRDefault="00392DCF" w:rsidP="00010C6A">
      <w:pPr>
        <w:pStyle w:val="a3"/>
        <w:jc w:val="both"/>
        <w:rPr>
          <w:sz w:val="21"/>
          <w:lang w:val="ru-RU"/>
        </w:rPr>
      </w:pPr>
    </w:p>
    <w:p w14:paraId="5B901C5B" w14:textId="78EECDDC" w:rsidR="0023327E" w:rsidRPr="0023327E" w:rsidRDefault="00B01E0C" w:rsidP="0023327E">
      <w:pPr>
        <w:pStyle w:val="6"/>
        <w:spacing w:line="235" w:lineRule="auto"/>
        <w:ind w:right="-1"/>
        <w:rPr>
          <w:rFonts w:ascii="Microsoft Sans Serif" w:hAnsi="Microsoft Sans Serif" w:cs="Microsoft Sans Serif"/>
          <w:sz w:val="22"/>
          <w:szCs w:val="22"/>
          <w:lang w:val="uk-UA"/>
        </w:rPr>
      </w:pPr>
      <w:r w:rsidRPr="003C6DAE">
        <w:rPr>
          <w:noProof/>
          <w:lang w:val="uk-UA"/>
        </w:rPr>
        <w:drawing>
          <wp:anchor distT="0" distB="0" distL="0" distR="0" simplePos="0" relativeHeight="16175616" behindDoc="0" locked="0" layoutInCell="1" allowOverlap="1" wp14:anchorId="2022C4EB" wp14:editId="737BCAC6">
            <wp:simplePos x="0" y="0"/>
            <wp:positionH relativeFrom="page">
              <wp:posOffset>925602</wp:posOffset>
            </wp:positionH>
            <wp:positionV relativeFrom="paragraph">
              <wp:posOffset>936523</wp:posOffset>
            </wp:positionV>
            <wp:extent cx="512918" cy="1062037"/>
            <wp:effectExtent l="0" t="0" r="0" b="0"/>
            <wp:wrapNone/>
            <wp:docPr id="2868" name="Image 2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8" name="Image 2868"/>
                    <pic:cNvPicPr/>
                  </pic:nvPicPr>
                  <pic:blipFill>
                    <a:blip r:embed="rId115" cstate="print"/>
                    <a:stretch>
                      <a:fillRect/>
                    </a:stretch>
                  </pic:blipFill>
                  <pic:spPr>
                    <a:xfrm>
                      <a:off x="0" y="0"/>
                      <a:ext cx="512918" cy="1062037"/>
                    </a:xfrm>
                    <a:prstGeom prst="rect">
                      <a:avLst/>
                    </a:prstGeom>
                  </pic:spPr>
                </pic:pic>
              </a:graphicData>
            </a:graphic>
          </wp:anchor>
        </w:drawing>
      </w:r>
      <w:r w:rsidRPr="003C6DAE">
        <w:rPr>
          <w:noProof/>
          <w:lang w:val="uk-UA"/>
        </w:rPr>
        <w:drawing>
          <wp:anchor distT="0" distB="0" distL="0" distR="0" simplePos="0" relativeHeight="16176128" behindDoc="0" locked="0" layoutInCell="1" allowOverlap="1" wp14:anchorId="3F6D21A9" wp14:editId="33D32852">
            <wp:simplePos x="0" y="0"/>
            <wp:positionH relativeFrom="page">
              <wp:posOffset>1612431</wp:posOffset>
            </wp:positionH>
            <wp:positionV relativeFrom="paragraph">
              <wp:posOffset>937713</wp:posOffset>
            </wp:positionV>
            <wp:extent cx="123583" cy="73151"/>
            <wp:effectExtent l="0" t="0" r="0" b="3175"/>
            <wp:wrapNone/>
            <wp:docPr id="2869" name="Image 2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9" name="Image 2869"/>
                    <pic:cNvPicPr/>
                  </pic:nvPicPr>
                  <pic:blipFill>
                    <a:blip r:embed="rId116" cstate="print"/>
                    <a:stretch>
                      <a:fillRect/>
                    </a:stretch>
                  </pic:blipFill>
                  <pic:spPr>
                    <a:xfrm>
                      <a:off x="0" y="0"/>
                      <a:ext cx="123583" cy="73151"/>
                    </a:xfrm>
                    <a:prstGeom prst="rect">
                      <a:avLst/>
                    </a:prstGeom>
                  </pic:spPr>
                </pic:pic>
              </a:graphicData>
            </a:graphic>
          </wp:anchor>
        </w:drawing>
      </w:r>
      <w:r w:rsidRPr="003C6DAE">
        <w:rPr>
          <w:noProof/>
          <w:lang w:val="uk-UA"/>
        </w:rPr>
        <w:drawing>
          <wp:anchor distT="0" distB="0" distL="0" distR="0" simplePos="0" relativeHeight="16176640" behindDoc="0" locked="0" layoutInCell="1" allowOverlap="1" wp14:anchorId="2054C9F8" wp14:editId="11E768B6">
            <wp:simplePos x="0" y="0"/>
            <wp:positionH relativeFrom="page">
              <wp:posOffset>1628376</wp:posOffset>
            </wp:positionH>
            <wp:positionV relativeFrom="paragraph">
              <wp:posOffset>1090341</wp:posOffset>
            </wp:positionV>
            <wp:extent cx="103942" cy="881062"/>
            <wp:effectExtent l="0" t="0" r="0" b="0"/>
            <wp:wrapNone/>
            <wp:docPr id="2870" name="Image 2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0" name="Image 2870"/>
                    <pic:cNvPicPr/>
                  </pic:nvPicPr>
                  <pic:blipFill>
                    <a:blip r:embed="rId117" cstate="print"/>
                    <a:stretch>
                      <a:fillRect/>
                    </a:stretch>
                  </pic:blipFill>
                  <pic:spPr>
                    <a:xfrm>
                      <a:off x="0" y="0"/>
                      <a:ext cx="103942" cy="881062"/>
                    </a:xfrm>
                    <a:prstGeom prst="rect">
                      <a:avLst/>
                    </a:prstGeom>
                  </pic:spPr>
                </pic:pic>
              </a:graphicData>
            </a:graphic>
          </wp:anchor>
        </w:drawing>
      </w:r>
      <w:r w:rsidRPr="003C6DAE">
        <w:rPr>
          <w:noProof/>
          <w:lang w:val="uk-UA"/>
        </w:rPr>
        <w:drawing>
          <wp:anchor distT="0" distB="0" distL="0" distR="0" simplePos="0" relativeHeight="16177152" behindDoc="0" locked="0" layoutInCell="1" allowOverlap="1" wp14:anchorId="59601A88" wp14:editId="75A8BDD8">
            <wp:simplePos x="0" y="0"/>
            <wp:positionH relativeFrom="page">
              <wp:posOffset>1837409</wp:posOffset>
            </wp:positionH>
            <wp:positionV relativeFrom="paragraph">
              <wp:posOffset>937713</wp:posOffset>
            </wp:positionV>
            <wp:extent cx="118261" cy="73151"/>
            <wp:effectExtent l="0" t="0" r="0" b="0"/>
            <wp:wrapNone/>
            <wp:docPr id="2871" name="Image 2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1" name="Image 2871"/>
                    <pic:cNvPicPr/>
                  </pic:nvPicPr>
                  <pic:blipFill>
                    <a:blip r:embed="rId118" cstate="print"/>
                    <a:stretch>
                      <a:fillRect/>
                    </a:stretch>
                  </pic:blipFill>
                  <pic:spPr>
                    <a:xfrm>
                      <a:off x="0" y="0"/>
                      <a:ext cx="118261" cy="73151"/>
                    </a:xfrm>
                    <a:prstGeom prst="rect">
                      <a:avLst/>
                    </a:prstGeom>
                  </pic:spPr>
                </pic:pic>
              </a:graphicData>
            </a:graphic>
          </wp:anchor>
        </w:drawing>
      </w:r>
      <w:r w:rsidRPr="003C6DAE">
        <w:rPr>
          <w:noProof/>
          <w:lang w:val="uk-UA"/>
        </w:rPr>
        <mc:AlternateContent>
          <mc:Choice Requires="wps">
            <w:drawing>
              <wp:anchor distT="0" distB="0" distL="0" distR="0" simplePos="0" relativeHeight="16177664" behindDoc="0" locked="0" layoutInCell="1" allowOverlap="1" wp14:anchorId="6C5D06DD" wp14:editId="6587FC5B">
                <wp:simplePos x="0" y="0"/>
                <wp:positionH relativeFrom="page">
                  <wp:posOffset>1896019</wp:posOffset>
                </wp:positionH>
                <wp:positionV relativeFrom="paragraph">
                  <wp:posOffset>1090344</wp:posOffset>
                </wp:positionV>
                <wp:extent cx="47625" cy="74295"/>
                <wp:effectExtent l="0" t="0" r="0" b="0"/>
                <wp:wrapNone/>
                <wp:docPr id="2872" name="Graphic 2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74295"/>
                        </a:xfrm>
                        <a:custGeom>
                          <a:avLst/>
                          <a:gdLst/>
                          <a:ahLst/>
                          <a:cxnLst/>
                          <a:rect l="l" t="t" r="r" b="b"/>
                          <a:pathLst>
                            <a:path w="47625" h="74295">
                              <a:moveTo>
                                <a:pt x="27508" y="0"/>
                              </a:moveTo>
                              <a:lnTo>
                                <a:pt x="18351" y="0"/>
                              </a:lnTo>
                              <a:lnTo>
                                <a:pt x="13970" y="1409"/>
                              </a:lnTo>
                              <a:lnTo>
                                <a:pt x="7023" y="7035"/>
                              </a:lnTo>
                              <a:lnTo>
                                <a:pt x="4394" y="11061"/>
                              </a:lnTo>
                              <a:lnTo>
                                <a:pt x="876" y="21539"/>
                              </a:lnTo>
                              <a:lnTo>
                                <a:pt x="0" y="28473"/>
                              </a:lnTo>
                              <a:lnTo>
                                <a:pt x="0" y="37096"/>
                              </a:lnTo>
                              <a:lnTo>
                                <a:pt x="399" y="45631"/>
                              </a:lnTo>
                              <a:lnTo>
                                <a:pt x="445" y="46609"/>
                              </a:lnTo>
                              <a:lnTo>
                                <a:pt x="16675" y="74066"/>
                              </a:lnTo>
                              <a:lnTo>
                                <a:pt x="28994" y="74066"/>
                              </a:lnTo>
                              <a:lnTo>
                                <a:pt x="33426" y="72631"/>
                              </a:lnTo>
                              <a:lnTo>
                                <a:pt x="40386" y="66916"/>
                              </a:lnTo>
                              <a:lnTo>
                                <a:pt x="19781" y="66916"/>
                              </a:lnTo>
                              <a:lnTo>
                                <a:pt x="16154" y="64820"/>
                              </a:lnTo>
                              <a:lnTo>
                                <a:pt x="10515" y="56908"/>
                              </a:lnTo>
                              <a:lnTo>
                                <a:pt x="9105" y="48983"/>
                              </a:lnTo>
                              <a:lnTo>
                                <a:pt x="9105" y="25133"/>
                              </a:lnTo>
                              <a:lnTo>
                                <a:pt x="10609" y="17183"/>
                              </a:lnTo>
                              <a:lnTo>
                                <a:pt x="10655" y="16941"/>
                              </a:lnTo>
                              <a:lnTo>
                                <a:pt x="13728" y="12534"/>
                              </a:lnTo>
                              <a:lnTo>
                                <a:pt x="16205" y="9105"/>
                              </a:lnTo>
                              <a:lnTo>
                                <a:pt x="19443" y="7391"/>
                              </a:lnTo>
                              <a:lnTo>
                                <a:pt x="40022" y="7391"/>
                              </a:lnTo>
                              <a:lnTo>
                                <a:pt x="39255" y="6222"/>
                              </a:lnTo>
                              <a:lnTo>
                                <a:pt x="36817" y="3962"/>
                              </a:lnTo>
                              <a:lnTo>
                                <a:pt x="30911" y="787"/>
                              </a:lnTo>
                              <a:lnTo>
                                <a:pt x="27508" y="0"/>
                              </a:lnTo>
                              <a:close/>
                            </a:path>
                            <a:path w="47625" h="74295">
                              <a:moveTo>
                                <a:pt x="40022" y="7391"/>
                              </a:moveTo>
                              <a:lnTo>
                                <a:pt x="27724" y="7391"/>
                              </a:lnTo>
                              <a:lnTo>
                                <a:pt x="31216" y="9347"/>
                              </a:lnTo>
                              <a:lnTo>
                                <a:pt x="36779" y="17183"/>
                              </a:lnTo>
                              <a:lnTo>
                                <a:pt x="38163" y="25133"/>
                              </a:lnTo>
                              <a:lnTo>
                                <a:pt x="38163" y="48983"/>
                              </a:lnTo>
                              <a:lnTo>
                                <a:pt x="36779" y="56908"/>
                              </a:lnTo>
                              <a:lnTo>
                                <a:pt x="31216" y="64820"/>
                              </a:lnTo>
                              <a:lnTo>
                                <a:pt x="27576" y="66916"/>
                              </a:lnTo>
                              <a:lnTo>
                                <a:pt x="40386" y="66916"/>
                              </a:lnTo>
                              <a:lnTo>
                                <a:pt x="42976" y="62890"/>
                              </a:lnTo>
                              <a:lnTo>
                                <a:pt x="46405" y="52501"/>
                              </a:lnTo>
                              <a:lnTo>
                                <a:pt x="47146" y="46609"/>
                              </a:lnTo>
                              <a:lnTo>
                                <a:pt x="47269" y="29883"/>
                              </a:lnTo>
                              <a:lnTo>
                                <a:pt x="46827" y="25133"/>
                              </a:lnTo>
                              <a:lnTo>
                                <a:pt x="46736" y="24155"/>
                              </a:lnTo>
                              <a:lnTo>
                                <a:pt x="44627" y="15709"/>
                              </a:lnTo>
                              <a:lnTo>
                                <a:pt x="43129" y="12128"/>
                              </a:lnTo>
                              <a:lnTo>
                                <a:pt x="40022" y="73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33276B" id="Graphic 2872" o:spid="_x0000_s1026" style="position:absolute;margin-left:149.3pt;margin-top:85.85pt;width:3.75pt;height:5.85pt;z-index:16177664;visibility:visible;mso-wrap-style:square;mso-wrap-distance-left:0;mso-wrap-distance-top:0;mso-wrap-distance-right:0;mso-wrap-distance-bottom:0;mso-position-horizontal:absolute;mso-position-horizontal-relative:page;mso-position-vertical:absolute;mso-position-vertical-relative:text;v-text-anchor:top" coordsize="476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" path="m27508,l18351,,13970,1409,7023,7035,4394,11061,876,21539,,28473r,8623l399,45631r46,978l16675,74066r12319,l33426,72631r6960,-5715l19781,66916,16154,64820,10515,56908,9105,48983r,-23850l10609,17183r46,-242l13728,12534,16205,9105,19443,7391r20579,l39255,6222,36817,3962,30911,787,27508,xem40022,7391r-12298,l31216,9347r5563,7836l38163,25133r,23850l36779,56908r-5563,7912l27576,66916r12810,l42976,62890,46405,52501r741,-5892l47269,29883r-442,-4750l46736,24155,44627,15709,43129,12128,40022,7391xe" fillcolor="black" stroked="f">
                <v:path arrowok="t"/>
                <w10:wrap anchorx="page"/>
              </v:shape>
            </w:pict>
          </mc:Fallback>
        </mc:AlternateContent>
      </w:r>
      <w:r w:rsidRPr="003C6DAE">
        <w:rPr>
          <w:noProof/>
          <w:lang w:val="uk-UA"/>
        </w:rPr>
        <mc:AlternateContent>
          <mc:Choice Requires="wps">
            <w:drawing>
              <wp:anchor distT="0" distB="0" distL="0" distR="0" simplePos="0" relativeHeight="16178176" behindDoc="0" locked="0" layoutInCell="1" allowOverlap="1" wp14:anchorId="0EA6F65A" wp14:editId="2CE916B0">
                <wp:simplePos x="0" y="0"/>
                <wp:positionH relativeFrom="page">
                  <wp:posOffset>1896016</wp:posOffset>
                </wp:positionH>
                <wp:positionV relativeFrom="paragraph">
                  <wp:posOffset>1225542</wp:posOffset>
                </wp:positionV>
                <wp:extent cx="47625" cy="74295"/>
                <wp:effectExtent l="0" t="0" r="0" b="0"/>
                <wp:wrapNone/>
                <wp:docPr id="2873" name="Graphic 2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74295"/>
                        </a:xfrm>
                        <a:custGeom>
                          <a:avLst/>
                          <a:gdLst/>
                          <a:ahLst/>
                          <a:cxnLst/>
                          <a:rect l="l" t="t" r="r" b="b"/>
                          <a:pathLst>
                            <a:path w="47625" h="74295">
                              <a:moveTo>
                                <a:pt x="26670" y="0"/>
                              </a:moveTo>
                              <a:lnTo>
                                <a:pt x="16992" y="0"/>
                              </a:lnTo>
                              <a:lnTo>
                                <a:pt x="12192" y="1650"/>
                              </a:lnTo>
                              <a:lnTo>
                                <a:pt x="4445" y="8242"/>
                              </a:lnTo>
                              <a:lnTo>
                                <a:pt x="1993" y="12852"/>
                              </a:lnTo>
                              <a:lnTo>
                                <a:pt x="927" y="18745"/>
                              </a:lnTo>
                              <a:lnTo>
                                <a:pt x="9906" y="20332"/>
                              </a:lnTo>
                              <a:lnTo>
                                <a:pt x="10528" y="16014"/>
                              </a:lnTo>
                              <a:lnTo>
                                <a:pt x="11988" y="12763"/>
                              </a:lnTo>
                              <a:lnTo>
                                <a:pt x="16662" y="8356"/>
                              </a:lnTo>
                              <a:lnTo>
                                <a:pt x="19545" y="7264"/>
                              </a:lnTo>
                              <a:lnTo>
                                <a:pt x="26504" y="7264"/>
                              </a:lnTo>
                              <a:lnTo>
                                <a:pt x="29362" y="8343"/>
                              </a:lnTo>
                              <a:lnTo>
                                <a:pt x="33756" y="12649"/>
                              </a:lnTo>
                              <a:lnTo>
                                <a:pt x="34861" y="15366"/>
                              </a:lnTo>
                              <a:lnTo>
                                <a:pt x="34861" y="22758"/>
                              </a:lnTo>
                              <a:lnTo>
                                <a:pt x="33337" y="25806"/>
                              </a:lnTo>
                              <a:lnTo>
                                <a:pt x="27266" y="29768"/>
                              </a:lnTo>
                              <a:lnTo>
                                <a:pt x="23850" y="30759"/>
                              </a:lnTo>
                              <a:lnTo>
                                <a:pt x="20078" y="30759"/>
                              </a:lnTo>
                              <a:lnTo>
                                <a:pt x="18618" y="30632"/>
                              </a:lnTo>
                              <a:lnTo>
                                <a:pt x="17564" y="38557"/>
                              </a:lnTo>
                              <a:lnTo>
                                <a:pt x="20116" y="37845"/>
                              </a:lnTo>
                              <a:lnTo>
                                <a:pt x="22225" y="37490"/>
                              </a:lnTo>
                              <a:lnTo>
                                <a:pt x="28041" y="37490"/>
                              </a:lnTo>
                              <a:lnTo>
                                <a:pt x="31457" y="38836"/>
                              </a:lnTo>
                              <a:lnTo>
                                <a:pt x="36817" y="44208"/>
                              </a:lnTo>
                              <a:lnTo>
                                <a:pt x="38163" y="47574"/>
                              </a:lnTo>
                              <a:lnTo>
                                <a:pt x="38163" y="55930"/>
                              </a:lnTo>
                              <a:lnTo>
                                <a:pt x="36715" y="59550"/>
                              </a:lnTo>
                              <a:lnTo>
                                <a:pt x="30899" y="65354"/>
                              </a:lnTo>
                              <a:lnTo>
                                <a:pt x="27343" y="66801"/>
                              </a:lnTo>
                              <a:lnTo>
                                <a:pt x="19583" y="66801"/>
                              </a:lnTo>
                              <a:lnTo>
                                <a:pt x="16598" y="65684"/>
                              </a:lnTo>
                              <a:lnTo>
                                <a:pt x="11658" y="61188"/>
                              </a:lnTo>
                              <a:lnTo>
                                <a:pt x="9944" y="57569"/>
                              </a:lnTo>
                              <a:lnTo>
                                <a:pt x="8991" y="52552"/>
                              </a:lnTo>
                              <a:lnTo>
                                <a:pt x="0" y="53733"/>
                              </a:lnTo>
                              <a:lnTo>
                                <a:pt x="622" y="59728"/>
                              </a:lnTo>
                              <a:lnTo>
                                <a:pt x="3048" y="64630"/>
                              </a:lnTo>
                              <a:lnTo>
                                <a:pt x="11493" y="72288"/>
                              </a:lnTo>
                              <a:lnTo>
                                <a:pt x="16776" y="74206"/>
                              </a:lnTo>
                              <a:lnTo>
                                <a:pt x="30149" y="74206"/>
                              </a:lnTo>
                              <a:lnTo>
                                <a:pt x="35979" y="71996"/>
                              </a:lnTo>
                              <a:lnTo>
                                <a:pt x="45224" y="63195"/>
                              </a:lnTo>
                              <a:lnTo>
                                <a:pt x="47536" y="57823"/>
                              </a:lnTo>
                              <a:lnTo>
                                <a:pt x="47536" y="46735"/>
                              </a:lnTo>
                              <a:lnTo>
                                <a:pt x="46355" y="42798"/>
                              </a:lnTo>
                              <a:lnTo>
                                <a:pt x="41592" y="36550"/>
                              </a:lnTo>
                              <a:lnTo>
                                <a:pt x="38290" y="34505"/>
                              </a:lnTo>
                              <a:lnTo>
                                <a:pt x="34061" y="33540"/>
                              </a:lnTo>
                              <a:lnTo>
                                <a:pt x="37325" y="32042"/>
                              </a:lnTo>
                              <a:lnTo>
                                <a:pt x="39789" y="29984"/>
                              </a:lnTo>
                              <a:lnTo>
                                <a:pt x="43129" y="24803"/>
                              </a:lnTo>
                              <a:lnTo>
                                <a:pt x="43967" y="21958"/>
                              </a:lnTo>
                              <a:lnTo>
                                <a:pt x="43967" y="15532"/>
                              </a:lnTo>
                              <a:lnTo>
                                <a:pt x="43091" y="12407"/>
                              </a:lnTo>
                              <a:lnTo>
                                <a:pt x="39560" y="6603"/>
                              </a:lnTo>
                              <a:lnTo>
                                <a:pt x="37020" y="4292"/>
                              </a:lnTo>
                              <a:lnTo>
                                <a:pt x="30327" y="850"/>
                              </a:lnTo>
                              <a:lnTo>
                                <a:pt x="26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253E0C" id="Graphic 2873" o:spid="_x0000_s1026" style="position:absolute;margin-left:149.3pt;margin-top:96.5pt;width:3.75pt;height:5.85pt;z-index:16178176;visibility:visible;mso-wrap-style:square;mso-wrap-distance-left:0;mso-wrap-distance-top:0;mso-wrap-distance-right:0;mso-wrap-distance-bottom:0;mso-position-horizontal:absolute;mso-position-horizontal-relative:page;mso-position-vertical:absolute;mso-position-vertical-relative:text;v-text-anchor:top" coordsize="476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" path="m26670,l16992,,12192,1650,4445,8242,1993,12852,927,18745r8979,1587l10528,16014r1460,-3251l16662,8356,19545,7264r6959,l29362,8343r4394,4306l34861,15366r,7392l33337,25806r-6071,3962l23850,30759r-3772,l18618,30632r-1054,7925l20116,37845r2109,-355l28041,37490r3416,1346l36817,44208r1346,3366l38163,55930r-1448,3620l30899,65354r-3556,1447l19583,66801,16598,65684,11658,61188,9944,57569,8991,52552,,53733r622,5995l3048,64630r8445,7658l16776,74206r13373,l35979,71996r9245,-8801l47536,57823r,-11088l46355,42798,41592,36550,38290,34505r-4229,-965l37325,32042r2464,-2058l43129,24803r838,-2845l43967,15532r-876,-3125l39560,6603,37020,4292,30327,850,26670,xe" fillcolor="black" stroked="f">
                <v:path arrowok="t"/>
                <w10:wrap anchorx="page"/>
              </v:shape>
            </w:pict>
          </mc:Fallback>
        </mc:AlternateContent>
      </w:r>
      <w:r w:rsidRPr="003C6DAE">
        <w:rPr>
          <w:noProof/>
          <w:lang w:val="uk-UA"/>
        </w:rPr>
        <mc:AlternateContent>
          <mc:Choice Requires="wps">
            <w:drawing>
              <wp:anchor distT="0" distB="0" distL="0" distR="0" simplePos="0" relativeHeight="16178688" behindDoc="0" locked="0" layoutInCell="1" allowOverlap="1" wp14:anchorId="2626D740" wp14:editId="0518196F">
                <wp:simplePos x="0" y="0"/>
                <wp:positionH relativeFrom="page">
                  <wp:posOffset>1896016</wp:posOffset>
                </wp:positionH>
                <wp:positionV relativeFrom="paragraph">
                  <wp:posOffset>1360746</wp:posOffset>
                </wp:positionV>
                <wp:extent cx="47625" cy="74295"/>
                <wp:effectExtent l="0" t="0" r="0" b="0"/>
                <wp:wrapNone/>
                <wp:docPr id="2874" name="Graphic 2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74295"/>
                        </a:xfrm>
                        <a:custGeom>
                          <a:avLst/>
                          <a:gdLst/>
                          <a:ahLst/>
                          <a:cxnLst/>
                          <a:rect l="l" t="t" r="r" b="b"/>
                          <a:pathLst>
                            <a:path w="47625" h="74295">
                              <a:moveTo>
                                <a:pt x="26670" y="0"/>
                              </a:moveTo>
                              <a:lnTo>
                                <a:pt x="16992" y="0"/>
                              </a:lnTo>
                              <a:lnTo>
                                <a:pt x="12192" y="1638"/>
                              </a:lnTo>
                              <a:lnTo>
                                <a:pt x="4445" y="8242"/>
                              </a:lnTo>
                              <a:lnTo>
                                <a:pt x="1993" y="12839"/>
                              </a:lnTo>
                              <a:lnTo>
                                <a:pt x="927" y="18745"/>
                              </a:lnTo>
                              <a:lnTo>
                                <a:pt x="9906" y="20332"/>
                              </a:lnTo>
                              <a:lnTo>
                                <a:pt x="10528" y="16014"/>
                              </a:lnTo>
                              <a:lnTo>
                                <a:pt x="11988" y="12750"/>
                              </a:lnTo>
                              <a:lnTo>
                                <a:pt x="16662" y="8356"/>
                              </a:lnTo>
                              <a:lnTo>
                                <a:pt x="19545" y="7251"/>
                              </a:lnTo>
                              <a:lnTo>
                                <a:pt x="26504" y="7251"/>
                              </a:lnTo>
                              <a:lnTo>
                                <a:pt x="29362" y="8331"/>
                              </a:lnTo>
                              <a:lnTo>
                                <a:pt x="33756" y="12649"/>
                              </a:lnTo>
                              <a:lnTo>
                                <a:pt x="34861" y="15354"/>
                              </a:lnTo>
                              <a:lnTo>
                                <a:pt x="34861" y="22745"/>
                              </a:lnTo>
                              <a:lnTo>
                                <a:pt x="33337" y="25806"/>
                              </a:lnTo>
                              <a:lnTo>
                                <a:pt x="27266" y="29768"/>
                              </a:lnTo>
                              <a:lnTo>
                                <a:pt x="23850" y="30759"/>
                              </a:lnTo>
                              <a:lnTo>
                                <a:pt x="20078" y="30759"/>
                              </a:lnTo>
                              <a:lnTo>
                                <a:pt x="18618" y="30632"/>
                              </a:lnTo>
                              <a:lnTo>
                                <a:pt x="17564" y="38544"/>
                              </a:lnTo>
                              <a:lnTo>
                                <a:pt x="20116" y="37845"/>
                              </a:lnTo>
                              <a:lnTo>
                                <a:pt x="22225" y="37490"/>
                              </a:lnTo>
                              <a:lnTo>
                                <a:pt x="28041" y="37490"/>
                              </a:lnTo>
                              <a:lnTo>
                                <a:pt x="31457" y="38836"/>
                              </a:lnTo>
                              <a:lnTo>
                                <a:pt x="36817" y="44208"/>
                              </a:lnTo>
                              <a:lnTo>
                                <a:pt x="38163" y="47574"/>
                              </a:lnTo>
                              <a:lnTo>
                                <a:pt x="38163" y="55930"/>
                              </a:lnTo>
                              <a:lnTo>
                                <a:pt x="36715" y="59537"/>
                              </a:lnTo>
                              <a:lnTo>
                                <a:pt x="30899" y="65354"/>
                              </a:lnTo>
                              <a:lnTo>
                                <a:pt x="27343" y="66801"/>
                              </a:lnTo>
                              <a:lnTo>
                                <a:pt x="19583" y="66801"/>
                              </a:lnTo>
                              <a:lnTo>
                                <a:pt x="16598" y="65684"/>
                              </a:lnTo>
                              <a:lnTo>
                                <a:pt x="11658" y="61188"/>
                              </a:lnTo>
                              <a:lnTo>
                                <a:pt x="9944" y="57556"/>
                              </a:lnTo>
                              <a:lnTo>
                                <a:pt x="8991" y="52539"/>
                              </a:lnTo>
                              <a:lnTo>
                                <a:pt x="0" y="53733"/>
                              </a:lnTo>
                              <a:lnTo>
                                <a:pt x="622" y="59715"/>
                              </a:lnTo>
                              <a:lnTo>
                                <a:pt x="3048" y="64617"/>
                              </a:lnTo>
                              <a:lnTo>
                                <a:pt x="11493" y="72275"/>
                              </a:lnTo>
                              <a:lnTo>
                                <a:pt x="16776" y="74193"/>
                              </a:lnTo>
                              <a:lnTo>
                                <a:pt x="30149" y="74193"/>
                              </a:lnTo>
                              <a:lnTo>
                                <a:pt x="35979" y="71996"/>
                              </a:lnTo>
                              <a:lnTo>
                                <a:pt x="45224" y="63195"/>
                              </a:lnTo>
                              <a:lnTo>
                                <a:pt x="47536" y="57823"/>
                              </a:lnTo>
                              <a:lnTo>
                                <a:pt x="47536" y="46735"/>
                              </a:lnTo>
                              <a:lnTo>
                                <a:pt x="46355" y="42798"/>
                              </a:lnTo>
                              <a:lnTo>
                                <a:pt x="41592" y="36537"/>
                              </a:lnTo>
                              <a:lnTo>
                                <a:pt x="38290" y="34493"/>
                              </a:lnTo>
                              <a:lnTo>
                                <a:pt x="34061" y="33527"/>
                              </a:lnTo>
                              <a:lnTo>
                                <a:pt x="37325" y="32042"/>
                              </a:lnTo>
                              <a:lnTo>
                                <a:pt x="39789" y="29984"/>
                              </a:lnTo>
                              <a:lnTo>
                                <a:pt x="43129" y="24790"/>
                              </a:lnTo>
                              <a:lnTo>
                                <a:pt x="43967" y="21958"/>
                              </a:lnTo>
                              <a:lnTo>
                                <a:pt x="43967" y="15532"/>
                              </a:lnTo>
                              <a:lnTo>
                                <a:pt x="43091" y="12407"/>
                              </a:lnTo>
                              <a:lnTo>
                                <a:pt x="39560" y="6603"/>
                              </a:lnTo>
                              <a:lnTo>
                                <a:pt x="37020" y="4279"/>
                              </a:lnTo>
                              <a:lnTo>
                                <a:pt x="30327" y="850"/>
                              </a:lnTo>
                              <a:lnTo>
                                <a:pt x="26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D145CD" id="Graphic 2874" o:spid="_x0000_s1026" style="position:absolute;margin-left:149.3pt;margin-top:107.15pt;width:3.75pt;height:5.85pt;z-index:16178688;visibility:visible;mso-wrap-style:square;mso-wrap-distance-left:0;mso-wrap-distance-top:0;mso-wrap-distance-right:0;mso-wrap-distance-bottom:0;mso-position-horizontal:absolute;mso-position-horizontal-relative:page;mso-position-vertical:absolute;mso-position-vertical-relative:text;v-text-anchor:top" coordsize="476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" path="m26670,l16992,,12192,1638,4445,8242,1993,12839,927,18745r8979,1587l10528,16014r1460,-3264l16662,8356,19545,7251r6959,l29362,8331r4394,4318l34861,15354r,7391l33337,25806r-6071,3962l23850,30759r-3772,l18618,30632r-1054,7912l20116,37845r2109,-355l28041,37490r3416,1346l36817,44208r1346,3366l38163,55930r-1448,3607l30899,65354r-3556,1447l19583,66801,16598,65684,11658,61188,9944,57556,8991,52539,,53733r622,5982l3048,64617r8445,7658l16776,74193r13373,l35979,71996r9245,-8801l47536,57823r,-11088l46355,42798,41592,36537,38290,34493r-4229,-966l37325,32042r2464,-2058l43129,24790r838,-2832l43967,15532r-876,-3125l39560,6603,37020,4279,30327,850,26670,xe" fillcolor="black" stroked="f">
                <v:path arrowok="t"/>
                <w10:wrap anchorx="page"/>
              </v:shape>
            </w:pict>
          </mc:Fallback>
        </mc:AlternateContent>
      </w:r>
      <w:r w:rsidRPr="003C6DAE">
        <w:rPr>
          <w:noProof/>
          <w:lang w:val="uk-UA"/>
        </w:rPr>
        <mc:AlternateContent>
          <mc:Choice Requires="wps">
            <w:drawing>
              <wp:anchor distT="0" distB="0" distL="0" distR="0" simplePos="0" relativeHeight="16179200" behindDoc="0" locked="0" layoutInCell="1" allowOverlap="1" wp14:anchorId="513FBFA3" wp14:editId="08947358">
                <wp:simplePos x="0" y="0"/>
                <wp:positionH relativeFrom="page">
                  <wp:posOffset>1896019</wp:posOffset>
                </wp:positionH>
                <wp:positionV relativeFrom="paragraph">
                  <wp:posOffset>1495944</wp:posOffset>
                </wp:positionV>
                <wp:extent cx="47625" cy="74295"/>
                <wp:effectExtent l="0" t="0" r="0" b="0"/>
                <wp:wrapNone/>
                <wp:docPr id="2875" name="Graphic 2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74295"/>
                        </a:xfrm>
                        <a:custGeom>
                          <a:avLst/>
                          <a:gdLst/>
                          <a:ahLst/>
                          <a:cxnLst/>
                          <a:rect l="l" t="t" r="r" b="b"/>
                          <a:pathLst>
                            <a:path w="47625" h="74295">
                              <a:moveTo>
                                <a:pt x="27508" y="0"/>
                              </a:moveTo>
                              <a:lnTo>
                                <a:pt x="18351" y="0"/>
                              </a:lnTo>
                              <a:lnTo>
                                <a:pt x="13970" y="1409"/>
                              </a:lnTo>
                              <a:lnTo>
                                <a:pt x="7023" y="7035"/>
                              </a:lnTo>
                              <a:lnTo>
                                <a:pt x="4394" y="11061"/>
                              </a:lnTo>
                              <a:lnTo>
                                <a:pt x="876" y="21539"/>
                              </a:lnTo>
                              <a:lnTo>
                                <a:pt x="0" y="28473"/>
                              </a:lnTo>
                              <a:lnTo>
                                <a:pt x="0" y="37096"/>
                              </a:lnTo>
                              <a:lnTo>
                                <a:pt x="399" y="45631"/>
                              </a:lnTo>
                              <a:lnTo>
                                <a:pt x="445" y="46609"/>
                              </a:lnTo>
                              <a:lnTo>
                                <a:pt x="16675" y="74066"/>
                              </a:lnTo>
                              <a:lnTo>
                                <a:pt x="28994" y="74066"/>
                              </a:lnTo>
                              <a:lnTo>
                                <a:pt x="33426" y="72631"/>
                              </a:lnTo>
                              <a:lnTo>
                                <a:pt x="40386" y="66916"/>
                              </a:lnTo>
                              <a:lnTo>
                                <a:pt x="19781" y="66916"/>
                              </a:lnTo>
                              <a:lnTo>
                                <a:pt x="16154" y="64820"/>
                              </a:lnTo>
                              <a:lnTo>
                                <a:pt x="10515" y="56908"/>
                              </a:lnTo>
                              <a:lnTo>
                                <a:pt x="9105" y="48983"/>
                              </a:lnTo>
                              <a:lnTo>
                                <a:pt x="9105" y="25133"/>
                              </a:lnTo>
                              <a:lnTo>
                                <a:pt x="10609" y="17183"/>
                              </a:lnTo>
                              <a:lnTo>
                                <a:pt x="10655" y="16941"/>
                              </a:lnTo>
                              <a:lnTo>
                                <a:pt x="13728" y="12534"/>
                              </a:lnTo>
                              <a:lnTo>
                                <a:pt x="16205" y="9105"/>
                              </a:lnTo>
                              <a:lnTo>
                                <a:pt x="19443" y="7391"/>
                              </a:lnTo>
                              <a:lnTo>
                                <a:pt x="40022" y="7391"/>
                              </a:lnTo>
                              <a:lnTo>
                                <a:pt x="39255" y="6222"/>
                              </a:lnTo>
                              <a:lnTo>
                                <a:pt x="36817" y="3962"/>
                              </a:lnTo>
                              <a:lnTo>
                                <a:pt x="30911" y="787"/>
                              </a:lnTo>
                              <a:lnTo>
                                <a:pt x="27508" y="0"/>
                              </a:lnTo>
                              <a:close/>
                            </a:path>
                            <a:path w="47625" h="74295">
                              <a:moveTo>
                                <a:pt x="40022" y="7391"/>
                              </a:moveTo>
                              <a:lnTo>
                                <a:pt x="27724" y="7391"/>
                              </a:lnTo>
                              <a:lnTo>
                                <a:pt x="31216" y="9347"/>
                              </a:lnTo>
                              <a:lnTo>
                                <a:pt x="36779" y="17183"/>
                              </a:lnTo>
                              <a:lnTo>
                                <a:pt x="38163" y="25133"/>
                              </a:lnTo>
                              <a:lnTo>
                                <a:pt x="38163" y="48983"/>
                              </a:lnTo>
                              <a:lnTo>
                                <a:pt x="36779" y="56908"/>
                              </a:lnTo>
                              <a:lnTo>
                                <a:pt x="31216" y="64820"/>
                              </a:lnTo>
                              <a:lnTo>
                                <a:pt x="27576" y="66916"/>
                              </a:lnTo>
                              <a:lnTo>
                                <a:pt x="40386" y="66916"/>
                              </a:lnTo>
                              <a:lnTo>
                                <a:pt x="42976" y="62890"/>
                              </a:lnTo>
                              <a:lnTo>
                                <a:pt x="46405" y="52501"/>
                              </a:lnTo>
                              <a:lnTo>
                                <a:pt x="47146" y="46609"/>
                              </a:lnTo>
                              <a:lnTo>
                                <a:pt x="47269" y="29883"/>
                              </a:lnTo>
                              <a:lnTo>
                                <a:pt x="46827" y="25133"/>
                              </a:lnTo>
                              <a:lnTo>
                                <a:pt x="46736" y="24155"/>
                              </a:lnTo>
                              <a:lnTo>
                                <a:pt x="44627" y="15709"/>
                              </a:lnTo>
                              <a:lnTo>
                                <a:pt x="43129" y="12128"/>
                              </a:lnTo>
                              <a:lnTo>
                                <a:pt x="40022" y="73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1C7306" id="Graphic 2875" o:spid="_x0000_s1026" style="position:absolute;margin-left:149.3pt;margin-top:117.8pt;width:3.75pt;height:5.85pt;z-index:16179200;visibility:visible;mso-wrap-style:square;mso-wrap-distance-left:0;mso-wrap-distance-top:0;mso-wrap-distance-right:0;mso-wrap-distance-bottom:0;mso-position-horizontal:absolute;mso-position-horizontal-relative:page;mso-position-vertical:absolute;mso-position-vertical-relative:text;v-text-anchor:top" coordsize="476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" path="m27508,l18351,,13970,1409,7023,7035,4394,11061,876,21539,,28473r,8623l399,45631r46,978l16675,74066r12319,l33426,72631r6960,-5715l19781,66916,16154,64820,10515,56908,9105,48983r,-23850l10609,17183r46,-242l13728,12534,16205,9105,19443,7391r20579,l39255,6222,36817,3962,30911,787,27508,xem40022,7391r-12298,l31216,9347r5563,7836l38163,25133r,23850l36779,56908r-5563,7912l27576,66916r12810,l42976,62890,46405,52501r741,-5892l47269,29883r-442,-4750l46736,24155,44627,15709,43129,12128,40022,7391xe" fillcolor="black" stroked="f">
                <v:path arrowok="t"/>
                <w10:wrap anchorx="page"/>
              </v:shape>
            </w:pict>
          </mc:Fallback>
        </mc:AlternateContent>
      </w:r>
      <w:r w:rsidRPr="003C6DAE">
        <w:rPr>
          <w:noProof/>
          <w:lang w:val="uk-UA"/>
        </w:rPr>
        <w:drawing>
          <wp:anchor distT="0" distB="0" distL="0" distR="0" simplePos="0" relativeHeight="16181248" behindDoc="0" locked="0" layoutInCell="1" allowOverlap="1" wp14:anchorId="6007E0A8" wp14:editId="4437E347">
            <wp:simplePos x="0" y="0"/>
            <wp:positionH relativeFrom="page">
              <wp:posOffset>2048663</wp:posOffset>
            </wp:positionH>
            <wp:positionV relativeFrom="paragraph">
              <wp:posOffset>937713</wp:posOffset>
            </wp:positionV>
            <wp:extent cx="120384" cy="73151"/>
            <wp:effectExtent l="0" t="0" r="0" b="0"/>
            <wp:wrapNone/>
            <wp:docPr id="2876" name="Image 2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6" name="Image 2876"/>
                    <pic:cNvPicPr/>
                  </pic:nvPicPr>
                  <pic:blipFill>
                    <a:blip r:embed="rId119" cstate="print"/>
                    <a:stretch>
                      <a:fillRect/>
                    </a:stretch>
                  </pic:blipFill>
                  <pic:spPr>
                    <a:xfrm>
                      <a:off x="0" y="0"/>
                      <a:ext cx="120384" cy="73151"/>
                    </a:xfrm>
                    <a:prstGeom prst="rect">
                      <a:avLst/>
                    </a:prstGeom>
                  </pic:spPr>
                </pic:pic>
              </a:graphicData>
            </a:graphic>
          </wp:anchor>
        </w:drawing>
      </w:r>
      <w:r w:rsidRPr="003C6DAE">
        <w:rPr>
          <w:noProof/>
          <w:lang w:val="uk-UA"/>
        </w:rPr>
        <w:drawing>
          <wp:anchor distT="0" distB="0" distL="0" distR="0" simplePos="0" relativeHeight="16181760" behindDoc="0" locked="0" layoutInCell="1" allowOverlap="1" wp14:anchorId="757F5304" wp14:editId="2F16EBDE">
            <wp:simplePos x="0" y="0"/>
            <wp:positionH relativeFrom="page">
              <wp:posOffset>2049694</wp:posOffset>
            </wp:positionH>
            <wp:positionV relativeFrom="paragraph">
              <wp:posOffset>1090344</wp:posOffset>
            </wp:positionV>
            <wp:extent cx="104742" cy="881062"/>
            <wp:effectExtent l="0" t="0" r="0" b="0"/>
            <wp:wrapNone/>
            <wp:docPr id="2877" name="Image 2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7" name="Image 2877"/>
                    <pic:cNvPicPr/>
                  </pic:nvPicPr>
                  <pic:blipFill>
                    <a:blip r:embed="rId120" cstate="print"/>
                    <a:stretch>
                      <a:fillRect/>
                    </a:stretch>
                  </pic:blipFill>
                  <pic:spPr>
                    <a:xfrm>
                      <a:off x="0" y="0"/>
                      <a:ext cx="104742" cy="881062"/>
                    </a:xfrm>
                    <a:prstGeom prst="rect">
                      <a:avLst/>
                    </a:prstGeom>
                  </pic:spPr>
                </pic:pic>
              </a:graphicData>
            </a:graphic>
          </wp:anchor>
        </w:drawing>
      </w:r>
      <w:r w:rsidRPr="003C6DAE">
        <w:rPr>
          <w:noProof/>
          <w:lang w:val="uk-UA"/>
        </w:rPr>
        <w:drawing>
          <wp:anchor distT="0" distB="0" distL="0" distR="0" simplePos="0" relativeHeight="16182272" behindDoc="0" locked="0" layoutInCell="1" allowOverlap="1" wp14:anchorId="1E31CB10" wp14:editId="1D636BA8">
            <wp:simplePos x="0" y="0"/>
            <wp:positionH relativeFrom="page">
              <wp:posOffset>2288432</wp:posOffset>
            </wp:positionH>
            <wp:positionV relativeFrom="paragraph">
              <wp:posOffset>937713</wp:posOffset>
            </wp:positionV>
            <wp:extent cx="125706" cy="73151"/>
            <wp:effectExtent l="0" t="0" r="0" b="0"/>
            <wp:wrapNone/>
            <wp:docPr id="2878" name="Image 2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8" name="Image 2878"/>
                    <pic:cNvPicPr/>
                  </pic:nvPicPr>
                  <pic:blipFill>
                    <a:blip r:embed="rId121" cstate="print"/>
                    <a:stretch>
                      <a:fillRect/>
                    </a:stretch>
                  </pic:blipFill>
                  <pic:spPr>
                    <a:xfrm>
                      <a:off x="0" y="0"/>
                      <a:ext cx="125706" cy="73151"/>
                    </a:xfrm>
                    <a:prstGeom prst="rect">
                      <a:avLst/>
                    </a:prstGeom>
                  </pic:spPr>
                </pic:pic>
              </a:graphicData>
            </a:graphic>
          </wp:anchor>
        </w:drawing>
      </w:r>
      <w:r w:rsidRPr="003C6DAE">
        <w:rPr>
          <w:noProof/>
          <w:lang w:val="uk-UA"/>
        </w:rPr>
        <w:drawing>
          <wp:anchor distT="0" distB="0" distL="0" distR="0" simplePos="0" relativeHeight="16182784" behindDoc="0" locked="0" layoutInCell="1" allowOverlap="1" wp14:anchorId="1F0CC956" wp14:editId="0A25D4DD">
            <wp:simplePos x="0" y="0"/>
            <wp:positionH relativeFrom="page">
              <wp:posOffset>2246802</wp:posOffset>
            </wp:positionH>
            <wp:positionV relativeFrom="paragraph">
              <wp:posOffset>1090346</wp:posOffset>
            </wp:positionV>
            <wp:extent cx="160870" cy="881062"/>
            <wp:effectExtent l="0" t="0" r="0" b="0"/>
            <wp:wrapNone/>
            <wp:docPr id="2879" name="Image 2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9" name="Image 2879"/>
                    <pic:cNvPicPr/>
                  </pic:nvPicPr>
                  <pic:blipFill>
                    <a:blip r:embed="rId122" cstate="print"/>
                    <a:stretch>
                      <a:fillRect/>
                    </a:stretch>
                  </pic:blipFill>
                  <pic:spPr>
                    <a:xfrm>
                      <a:off x="0" y="0"/>
                      <a:ext cx="160870" cy="881062"/>
                    </a:xfrm>
                    <a:prstGeom prst="rect">
                      <a:avLst/>
                    </a:prstGeom>
                  </pic:spPr>
                </pic:pic>
              </a:graphicData>
            </a:graphic>
          </wp:anchor>
        </w:drawing>
      </w:r>
      <w:r w:rsidRPr="003C6DAE">
        <w:rPr>
          <w:noProof/>
          <w:lang w:val="uk-UA"/>
        </w:rPr>
        <w:drawing>
          <wp:anchor distT="0" distB="0" distL="0" distR="0" simplePos="0" relativeHeight="16183296" behindDoc="0" locked="0" layoutInCell="1" allowOverlap="1" wp14:anchorId="08D8EB80" wp14:editId="6863EB0A">
            <wp:simplePos x="0" y="0"/>
            <wp:positionH relativeFrom="page">
              <wp:posOffset>2534931</wp:posOffset>
            </wp:positionH>
            <wp:positionV relativeFrom="paragraph">
              <wp:posOffset>936521</wp:posOffset>
            </wp:positionV>
            <wp:extent cx="926984" cy="95250"/>
            <wp:effectExtent l="0" t="0" r="0" b="0"/>
            <wp:wrapNone/>
            <wp:docPr id="2880" name="Image 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0" name="Image 2880"/>
                    <pic:cNvPicPr/>
                  </pic:nvPicPr>
                  <pic:blipFill>
                    <a:blip r:embed="rId123" cstate="print"/>
                    <a:stretch>
                      <a:fillRect/>
                    </a:stretch>
                  </pic:blipFill>
                  <pic:spPr>
                    <a:xfrm>
                      <a:off x="0" y="0"/>
                      <a:ext cx="926984" cy="95250"/>
                    </a:xfrm>
                    <a:prstGeom prst="rect">
                      <a:avLst/>
                    </a:prstGeom>
                  </pic:spPr>
                </pic:pic>
              </a:graphicData>
            </a:graphic>
          </wp:anchor>
        </w:drawing>
      </w:r>
      <w:r w:rsidRPr="003C6DAE">
        <w:rPr>
          <w:noProof/>
          <w:lang w:val="uk-UA"/>
        </w:rPr>
        <mc:AlternateContent>
          <mc:Choice Requires="wpg">
            <w:drawing>
              <wp:anchor distT="0" distB="0" distL="0" distR="0" simplePos="0" relativeHeight="16183808" behindDoc="0" locked="0" layoutInCell="1" allowOverlap="1" wp14:anchorId="1FDF72C5" wp14:editId="5C3CC6C8">
                <wp:simplePos x="0" y="0"/>
                <wp:positionH relativeFrom="page">
                  <wp:posOffset>2698242</wp:posOffset>
                </wp:positionH>
                <wp:positionV relativeFrom="paragraph">
                  <wp:posOffset>1090347</wp:posOffset>
                </wp:positionV>
                <wp:extent cx="722630" cy="904875"/>
                <wp:effectExtent l="0" t="0" r="0" b="0"/>
                <wp:wrapNone/>
                <wp:docPr id="2881" name="Group 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630" cy="904875"/>
                          <a:chOff x="0" y="0"/>
                          <a:chExt cx="722630" cy="904875"/>
                        </a:xfrm>
                      </wpg:grpSpPr>
                      <pic:pic xmlns:pic="http://schemas.openxmlformats.org/drawingml/2006/picture">
                        <pic:nvPicPr>
                          <pic:cNvPr id="2882" name="Image 2882"/>
                          <pic:cNvPicPr/>
                        </pic:nvPicPr>
                        <pic:blipFill>
                          <a:blip r:embed="rId124" cstate="print"/>
                          <a:stretch>
                            <a:fillRect/>
                          </a:stretch>
                        </pic:blipFill>
                        <pic:spPr>
                          <a:xfrm>
                            <a:off x="6870" y="0"/>
                            <a:ext cx="715314" cy="93078"/>
                          </a:xfrm>
                          <a:prstGeom prst="rect">
                            <a:avLst/>
                          </a:prstGeom>
                        </pic:spPr>
                      </pic:pic>
                      <pic:pic xmlns:pic="http://schemas.openxmlformats.org/drawingml/2006/picture">
                        <pic:nvPicPr>
                          <pic:cNvPr id="2883" name="Image 2883"/>
                          <pic:cNvPicPr/>
                        </pic:nvPicPr>
                        <pic:blipFill>
                          <a:blip r:embed="rId125" cstate="print"/>
                          <a:stretch>
                            <a:fillRect/>
                          </a:stretch>
                        </pic:blipFill>
                        <pic:spPr>
                          <a:xfrm>
                            <a:off x="0" y="135197"/>
                            <a:ext cx="722185" cy="93078"/>
                          </a:xfrm>
                          <a:prstGeom prst="rect">
                            <a:avLst/>
                          </a:prstGeom>
                        </pic:spPr>
                      </pic:pic>
                      <pic:pic xmlns:pic="http://schemas.openxmlformats.org/drawingml/2006/picture">
                        <pic:nvPicPr>
                          <pic:cNvPr id="2884" name="Image 2884"/>
                          <pic:cNvPicPr/>
                        </pic:nvPicPr>
                        <pic:blipFill>
                          <a:blip r:embed="rId126" cstate="print"/>
                          <a:stretch>
                            <a:fillRect/>
                          </a:stretch>
                        </pic:blipFill>
                        <pic:spPr>
                          <a:xfrm>
                            <a:off x="0" y="270389"/>
                            <a:ext cx="722185" cy="93090"/>
                          </a:xfrm>
                          <a:prstGeom prst="rect">
                            <a:avLst/>
                          </a:prstGeom>
                        </pic:spPr>
                      </pic:pic>
                      <wps:wsp>
                        <wps:cNvPr id="2885" name="Graphic 2885"/>
                        <wps:cNvSpPr/>
                        <wps:spPr>
                          <a:xfrm>
                            <a:off x="6870" y="405599"/>
                            <a:ext cx="715645" cy="93345"/>
                          </a:xfrm>
                          <a:custGeom>
                            <a:avLst/>
                            <a:gdLst/>
                            <a:ahLst/>
                            <a:cxnLst/>
                            <a:rect l="l" t="t" r="r" b="b"/>
                            <a:pathLst>
                              <a:path w="715645" h="93345">
                                <a:moveTo>
                                  <a:pt x="715314" y="254"/>
                                </a:moveTo>
                                <a:lnTo>
                                  <a:pt x="695629" y="254"/>
                                </a:lnTo>
                                <a:lnTo>
                                  <a:pt x="695629" y="7645"/>
                                </a:lnTo>
                                <a:lnTo>
                                  <a:pt x="706323" y="7645"/>
                                </a:lnTo>
                                <a:lnTo>
                                  <a:pt x="706323" y="85686"/>
                                </a:lnTo>
                                <a:lnTo>
                                  <a:pt x="695629" y="85686"/>
                                </a:lnTo>
                                <a:lnTo>
                                  <a:pt x="695629" y="93078"/>
                                </a:lnTo>
                                <a:lnTo>
                                  <a:pt x="715314" y="93078"/>
                                </a:lnTo>
                                <a:lnTo>
                                  <a:pt x="715314" y="254"/>
                                </a:lnTo>
                                <a:close/>
                              </a:path>
                              <a:path w="715645" h="93345">
                                <a:moveTo>
                                  <a:pt x="668997" y="0"/>
                                </a:moveTo>
                                <a:lnTo>
                                  <a:pt x="659841" y="0"/>
                                </a:lnTo>
                                <a:lnTo>
                                  <a:pt x="655459" y="1409"/>
                                </a:lnTo>
                                <a:lnTo>
                                  <a:pt x="648512" y="7035"/>
                                </a:lnTo>
                                <a:lnTo>
                                  <a:pt x="645883" y="11061"/>
                                </a:lnTo>
                                <a:lnTo>
                                  <a:pt x="642366" y="21539"/>
                                </a:lnTo>
                                <a:lnTo>
                                  <a:pt x="641489" y="28473"/>
                                </a:lnTo>
                                <a:lnTo>
                                  <a:pt x="641489" y="37096"/>
                                </a:lnTo>
                                <a:lnTo>
                                  <a:pt x="658164" y="74066"/>
                                </a:lnTo>
                                <a:lnTo>
                                  <a:pt x="670483" y="74066"/>
                                </a:lnTo>
                                <a:lnTo>
                                  <a:pt x="674916" y="72631"/>
                                </a:lnTo>
                                <a:lnTo>
                                  <a:pt x="681875" y="66916"/>
                                </a:lnTo>
                                <a:lnTo>
                                  <a:pt x="661270" y="66916"/>
                                </a:lnTo>
                                <a:lnTo>
                                  <a:pt x="657644" y="64820"/>
                                </a:lnTo>
                                <a:lnTo>
                                  <a:pt x="652005" y="56896"/>
                                </a:lnTo>
                                <a:lnTo>
                                  <a:pt x="650595" y="48971"/>
                                </a:lnTo>
                                <a:lnTo>
                                  <a:pt x="650595" y="25120"/>
                                </a:lnTo>
                                <a:lnTo>
                                  <a:pt x="652099" y="17183"/>
                                </a:lnTo>
                                <a:lnTo>
                                  <a:pt x="652145" y="16941"/>
                                </a:lnTo>
                                <a:lnTo>
                                  <a:pt x="655218" y="12534"/>
                                </a:lnTo>
                                <a:lnTo>
                                  <a:pt x="657682" y="9105"/>
                                </a:lnTo>
                                <a:lnTo>
                                  <a:pt x="660933" y="7391"/>
                                </a:lnTo>
                                <a:lnTo>
                                  <a:pt x="681513" y="7391"/>
                                </a:lnTo>
                                <a:lnTo>
                                  <a:pt x="680745" y="6223"/>
                                </a:lnTo>
                                <a:lnTo>
                                  <a:pt x="678307" y="3949"/>
                                </a:lnTo>
                                <a:lnTo>
                                  <a:pt x="672401" y="787"/>
                                </a:lnTo>
                                <a:lnTo>
                                  <a:pt x="668997" y="0"/>
                                </a:lnTo>
                                <a:close/>
                              </a:path>
                              <a:path w="715645" h="93345">
                                <a:moveTo>
                                  <a:pt x="681513" y="7391"/>
                                </a:moveTo>
                                <a:lnTo>
                                  <a:pt x="669213" y="7391"/>
                                </a:lnTo>
                                <a:lnTo>
                                  <a:pt x="672719" y="9347"/>
                                </a:lnTo>
                                <a:lnTo>
                                  <a:pt x="678268" y="17183"/>
                                </a:lnTo>
                                <a:lnTo>
                                  <a:pt x="679640" y="25120"/>
                                </a:lnTo>
                                <a:lnTo>
                                  <a:pt x="679640" y="48971"/>
                                </a:lnTo>
                                <a:lnTo>
                                  <a:pt x="678268" y="56896"/>
                                </a:lnTo>
                                <a:lnTo>
                                  <a:pt x="672719" y="64820"/>
                                </a:lnTo>
                                <a:lnTo>
                                  <a:pt x="669065" y="66916"/>
                                </a:lnTo>
                                <a:lnTo>
                                  <a:pt x="681875" y="66916"/>
                                </a:lnTo>
                                <a:lnTo>
                                  <a:pt x="684466" y="62890"/>
                                </a:lnTo>
                                <a:lnTo>
                                  <a:pt x="687895" y="52501"/>
                                </a:lnTo>
                                <a:lnTo>
                                  <a:pt x="688636" y="46609"/>
                                </a:lnTo>
                                <a:lnTo>
                                  <a:pt x="688759" y="29870"/>
                                </a:lnTo>
                                <a:lnTo>
                                  <a:pt x="688315" y="25120"/>
                                </a:lnTo>
                                <a:lnTo>
                                  <a:pt x="688225" y="24155"/>
                                </a:lnTo>
                                <a:lnTo>
                                  <a:pt x="686117" y="15709"/>
                                </a:lnTo>
                                <a:lnTo>
                                  <a:pt x="684618" y="12115"/>
                                </a:lnTo>
                                <a:lnTo>
                                  <a:pt x="681513" y="7391"/>
                                </a:lnTo>
                                <a:close/>
                              </a:path>
                              <a:path w="715645" h="93345">
                                <a:moveTo>
                                  <a:pt x="612609" y="0"/>
                                </a:moveTo>
                                <a:lnTo>
                                  <a:pt x="603440" y="0"/>
                                </a:lnTo>
                                <a:lnTo>
                                  <a:pt x="599071" y="1409"/>
                                </a:lnTo>
                                <a:lnTo>
                                  <a:pt x="592112" y="7035"/>
                                </a:lnTo>
                                <a:lnTo>
                                  <a:pt x="589495" y="11061"/>
                                </a:lnTo>
                                <a:lnTo>
                                  <a:pt x="585978" y="21539"/>
                                </a:lnTo>
                                <a:lnTo>
                                  <a:pt x="585089" y="28473"/>
                                </a:lnTo>
                                <a:lnTo>
                                  <a:pt x="585089" y="37096"/>
                                </a:lnTo>
                                <a:lnTo>
                                  <a:pt x="601776" y="74066"/>
                                </a:lnTo>
                                <a:lnTo>
                                  <a:pt x="614095" y="74066"/>
                                </a:lnTo>
                                <a:lnTo>
                                  <a:pt x="618515" y="72631"/>
                                </a:lnTo>
                                <a:lnTo>
                                  <a:pt x="625475" y="66916"/>
                                </a:lnTo>
                                <a:lnTo>
                                  <a:pt x="604882" y="66916"/>
                                </a:lnTo>
                                <a:lnTo>
                                  <a:pt x="601256" y="64820"/>
                                </a:lnTo>
                                <a:lnTo>
                                  <a:pt x="595617" y="56896"/>
                                </a:lnTo>
                                <a:lnTo>
                                  <a:pt x="594194" y="48971"/>
                                </a:lnTo>
                                <a:lnTo>
                                  <a:pt x="594194" y="25120"/>
                                </a:lnTo>
                                <a:lnTo>
                                  <a:pt x="595698" y="17183"/>
                                </a:lnTo>
                                <a:lnTo>
                                  <a:pt x="595744" y="16941"/>
                                </a:lnTo>
                                <a:lnTo>
                                  <a:pt x="598817" y="12534"/>
                                </a:lnTo>
                                <a:lnTo>
                                  <a:pt x="601281" y="9105"/>
                                </a:lnTo>
                                <a:lnTo>
                                  <a:pt x="604545" y="7391"/>
                                </a:lnTo>
                                <a:lnTo>
                                  <a:pt x="625115" y="7391"/>
                                </a:lnTo>
                                <a:lnTo>
                                  <a:pt x="624344" y="6223"/>
                                </a:lnTo>
                                <a:lnTo>
                                  <a:pt x="621906" y="3949"/>
                                </a:lnTo>
                                <a:lnTo>
                                  <a:pt x="616013" y="787"/>
                                </a:lnTo>
                                <a:lnTo>
                                  <a:pt x="612609" y="0"/>
                                </a:lnTo>
                                <a:close/>
                              </a:path>
                              <a:path w="715645" h="93345">
                                <a:moveTo>
                                  <a:pt x="625115" y="7391"/>
                                </a:moveTo>
                                <a:lnTo>
                                  <a:pt x="612825" y="7391"/>
                                </a:lnTo>
                                <a:lnTo>
                                  <a:pt x="616331" y="9347"/>
                                </a:lnTo>
                                <a:lnTo>
                                  <a:pt x="621868" y="17183"/>
                                </a:lnTo>
                                <a:lnTo>
                                  <a:pt x="623252" y="25120"/>
                                </a:lnTo>
                                <a:lnTo>
                                  <a:pt x="623252" y="48971"/>
                                </a:lnTo>
                                <a:lnTo>
                                  <a:pt x="621868" y="56896"/>
                                </a:lnTo>
                                <a:lnTo>
                                  <a:pt x="616331" y="64820"/>
                                </a:lnTo>
                                <a:lnTo>
                                  <a:pt x="612663" y="66916"/>
                                </a:lnTo>
                                <a:lnTo>
                                  <a:pt x="625475" y="66916"/>
                                </a:lnTo>
                                <a:lnTo>
                                  <a:pt x="628065" y="62890"/>
                                </a:lnTo>
                                <a:lnTo>
                                  <a:pt x="631507" y="52501"/>
                                </a:lnTo>
                                <a:lnTo>
                                  <a:pt x="632237" y="46609"/>
                                </a:lnTo>
                                <a:lnTo>
                                  <a:pt x="632358" y="29870"/>
                                </a:lnTo>
                                <a:lnTo>
                                  <a:pt x="631925" y="25120"/>
                                </a:lnTo>
                                <a:lnTo>
                                  <a:pt x="631837" y="24155"/>
                                </a:lnTo>
                                <a:lnTo>
                                  <a:pt x="629729" y="15709"/>
                                </a:lnTo>
                                <a:lnTo>
                                  <a:pt x="628230" y="12115"/>
                                </a:lnTo>
                                <a:lnTo>
                                  <a:pt x="625115" y="7391"/>
                                </a:lnTo>
                                <a:close/>
                              </a:path>
                              <a:path w="715645" h="93345">
                                <a:moveTo>
                                  <a:pt x="572096" y="62712"/>
                                </a:moveTo>
                                <a:lnTo>
                                  <a:pt x="561936" y="62712"/>
                                </a:lnTo>
                                <a:lnTo>
                                  <a:pt x="561936" y="72872"/>
                                </a:lnTo>
                                <a:lnTo>
                                  <a:pt x="572096" y="72872"/>
                                </a:lnTo>
                                <a:lnTo>
                                  <a:pt x="572096" y="62712"/>
                                </a:lnTo>
                                <a:close/>
                              </a:path>
                              <a:path w="715645" h="93345">
                                <a:moveTo>
                                  <a:pt x="534060" y="16103"/>
                                </a:moveTo>
                                <a:lnTo>
                                  <a:pt x="525208" y="16103"/>
                                </a:lnTo>
                                <a:lnTo>
                                  <a:pt x="525208" y="72872"/>
                                </a:lnTo>
                                <a:lnTo>
                                  <a:pt x="534060" y="72872"/>
                                </a:lnTo>
                                <a:lnTo>
                                  <a:pt x="534060" y="16103"/>
                                </a:lnTo>
                                <a:close/>
                              </a:path>
                              <a:path w="715645" h="93345">
                                <a:moveTo>
                                  <a:pt x="534060" y="0"/>
                                </a:moveTo>
                                <a:lnTo>
                                  <a:pt x="528383" y="0"/>
                                </a:lnTo>
                                <a:lnTo>
                                  <a:pt x="526808" y="3162"/>
                                </a:lnTo>
                                <a:lnTo>
                                  <a:pt x="524141" y="6400"/>
                                </a:lnTo>
                                <a:lnTo>
                                  <a:pt x="516648" y="13004"/>
                                </a:lnTo>
                                <a:lnTo>
                                  <a:pt x="512318" y="15836"/>
                                </a:lnTo>
                                <a:lnTo>
                                  <a:pt x="507390" y="18211"/>
                                </a:lnTo>
                                <a:lnTo>
                                  <a:pt x="507390" y="26797"/>
                                </a:lnTo>
                                <a:lnTo>
                                  <a:pt x="525208" y="16103"/>
                                </a:lnTo>
                                <a:lnTo>
                                  <a:pt x="534060" y="16103"/>
                                </a:lnTo>
                                <a:lnTo>
                                  <a:pt x="534060" y="0"/>
                                </a:lnTo>
                                <a:close/>
                              </a:path>
                              <a:path w="715645" h="93345">
                                <a:moveTo>
                                  <a:pt x="459105" y="62712"/>
                                </a:moveTo>
                                <a:lnTo>
                                  <a:pt x="448932" y="62712"/>
                                </a:lnTo>
                                <a:lnTo>
                                  <a:pt x="448932" y="72872"/>
                                </a:lnTo>
                                <a:lnTo>
                                  <a:pt x="454088" y="72872"/>
                                </a:lnTo>
                                <a:lnTo>
                                  <a:pt x="453910" y="75869"/>
                                </a:lnTo>
                                <a:lnTo>
                                  <a:pt x="453377" y="78181"/>
                                </a:lnTo>
                                <a:lnTo>
                                  <a:pt x="451624" y="81432"/>
                                </a:lnTo>
                                <a:lnTo>
                                  <a:pt x="450253" y="82651"/>
                                </a:lnTo>
                                <a:lnTo>
                                  <a:pt x="448411" y="83439"/>
                                </a:lnTo>
                                <a:lnTo>
                                  <a:pt x="450913" y="87261"/>
                                </a:lnTo>
                                <a:lnTo>
                                  <a:pt x="453732" y="86029"/>
                                </a:lnTo>
                                <a:lnTo>
                                  <a:pt x="455803" y="84251"/>
                                </a:lnTo>
                                <a:lnTo>
                                  <a:pt x="458444" y="79590"/>
                                </a:lnTo>
                                <a:lnTo>
                                  <a:pt x="459105" y="76568"/>
                                </a:lnTo>
                                <a:lnTo>
                                  <a:pt x="459105" y="62712"/>
                                </a:lnTo>
                                <a:close/>
                              </a:path>
                              <a:path w="715645" h="93345">
                                <a:moveTo>
                                  <a:pt x="415290" y="0"/>
                                </a:moveTo>
                                <a:lnTo>
                                  <a:pt x="406146" y="0"/>
                                </a:lnTo>
                                <a:lnTo>
                                  <a:pt x="401764" y="1409"/>
                                </a:lnTo>
                                <a:lnTo>
                                  <a:pt x="394804" y="7035"/>
                                </a:lnTo>
                                <a:lnTo>
                                  <a:pt x="392201" y="11061"/>
                                </a:lnTo>
                                <a:lnTo>
                                  <a:pt x="388670" y="21539"/>
                                </a:lnTo>
                                <a:lnTo>
                                  <a:pt x="387794" y="28473"/>
                                </a:lnTo>
                                <a:lnTo>
                                  <a:pt x="387794" y="37096"/>
                                </a:lnTo>
                                <a:lnTo>
                                  <a:pt x="388193" y="45631"/>
                                </a:lnTo>
                                <a:lnTo>
                                  <a:pt x="388239" y="46609"/>
                                </a:lnTo>
                                <a:lnTo>
                                  <a:pt x="404469" y="74066"/>
                                </a:lnTo>
                                <a:lnTo>
                                  <a:pt x="416788" y="74066"/>
                                </a:lnTo>
                                <a:lnTo>
                                  <a:pt x="421208" y="72631"/>
                                </a:lnTo>
                                <a:lnTo>
                                  <a:pt x="428167" y="66916"/>
                                </a:lnTo>
                                <a:lnTo>
                                  <a:pt x="407563" y="66916"/>
                                </a:lnTo>
                                <a:lnTo>
                                  <a:pt x="403936" y="64820"/>
                                </a:lnTo>
                                <a:lnTo>
                                  <a:pt x="398310" y="56896"/>
                                </a:lnTo>
                                <a:lnTo>
                                  <a:pt x="396900" y="48971"/>
                                </a:lnTo>
                                <a:lnTo>
                                  <a:pt x="396900" y="25120"/>
                                </a:lnTo>
                                <a:lnTo>
                                  <a:pt x="398391" y="17183"/>
                                </a:lnTo>
                                <a:lnTo>
                                  <a:pt x="398437" y="16941"/>
                                </a:lnTo>
                                <a:lnTo>
                                  <a:pt x="401523" y="12534"/>
                                </a:lnTo>
                                <a:lnTo>
                                  <a:pt x="403987" y="9105"/>
                                </a:lnTo>
                                <a:lnTo>
                                  <a:pt x="407250" y="7391"/>
                                </a:lnTo>
                                <a:lnTo>
                                  <a:pt x="427818" y="7391"/>
                                </a:lnTo>
                                <a:lnTo>
                                  <a:pt x="427050" y="6223"/>
                                </a:lnTo>
                                <a:lnTo>
                                  <a:pt x="424611" y="3949"/>
                                </a:lnTo>
                                <a:lnTo>
                                  <a:pt x="418719" y="787"/>
                                </a:lnTo>
                                <a:lnTo>
                                  <a:pt x="415290" y="0"/>
                                </a:lnTo>
                                <a:close/>
                              </a:path>
                              <a:path w="715645" h="93345">
                                <a:moveTo>
                                  <a:pt x="427818" y="7391"/>
                                </a:moveTo>
                                <a:lnTo>
                                  <a:pt x="415518" y="7391"/>
                                </a:lnTo>
                                <a:lnTo>
                                  <a:pt x="419011" y="9347"/>
                                </a:lnTo>
                                <a:lnTo>
                                  <a:pt x="424561" y="17183"/>
                                </a:lnTo>
                                <a:lnTo>
                                  <a:pt x="425945" y="25120"/>
                                </a:lnTo>
                                <a:lnTo>
                                  <a:pt x="425945" y="48971"/>
                                </a:lnTo>
                                <a:lnTo>
                                  <a:pt x="424561" y="56896"/>
                                </a:lnTo>
                                <a:lnTo>
                                  <a:pt x="419011" y="64820"/>
                                </a:lnTo>
                                <a:lnTo>
                                  <a:pt x="415357" y="66916"/>
                                </a:lnTo>
                                <a:lnTo>
                                  <a:pt x="428167" y="66916"/>
                                </a:lnTo>
                                <a:lnTo>
                                  <a:pt x="430771" y="62890"/>
                                </a:lnTo>
                                <a:lnTo>
                                  <a:pt x="434200" y="52501"/>
                                </a:lnTo>
                                <a:lnTo>
                                  <a:pt x="434930" y="46609"/>
                                </a:lnTo>
                                <a:lnTo>
                                  <a:pt x="435051" y="29870"/>
                                </a:lnTo>
                                <a:lnTo>
                                  <a:pt x="434618" y="25120"/>
                                </a:lnTo>
                                <a:lnTo>
                                  <a:pt x="434530" y="24155"/>
                                </a:lnTo>
                                <a:lnTo>
                                  <a:pt x="432422" y="15709"/>
                                </a:lnTo>
                                <a:lnTo>
                                  <a:pt x="430923" y="12115"/>
                                </a:lnTo>
                                <a:lnTo>
                                  <a:pt x="427818" y="7391"/>
                                </a:lnTo>
                                <a:close/>
                              </a:path>
                              <a:path w="715645" h="93345">
                                <a:moveTo>
                                  <a:pt x="368896" y="55448"/>
                                </a:moveTo>
                                <a:lnTo>
                                  <a:pt x="359918" y="55448"/>
                                </a:lnTo>
                                <a:lnTo>
                                  <a:pt x="359918" y="72872"/>
                                </a:lnTo>
                                <a:lnTo>
                                  <a:pt x="368896" y="72872"/>
                                </a:lnTo>
                                <a:lnTo>
                                  <a:pt x="368896" y="55448"/>
                                </a:lnTo>
                                <a:close/>
                              </a:path>
                              <a:path w="715645" h="93345">
                                <a:moveTo>
                                  <a:pt x="368896" y="254"/>
                                </a:moveTo>
                                <a:lnTo>
                                  <a:pt x="361632" y="254"/>
                                </a:lnTo>
                                <a:lnTo>
                                  <a:pt x="328498" y="47269"/>
                                </a:lnTo>
                                <a:lnTo>
                                  <a:pt x="328498" y="55448"/>
                                </a:lnTo>
                                <a:lnTo>
                                  <a:pt x="378663" y="55448"/>
                                </a:lnTo>
                                <a:lnTo>
                                  <a:pt x="378663" y="47269"/>
                                </a:lnTo>
                                <a:lnTo>
                                  <a:pt x="337210" y="47269"/>
                                </a:lnTo>
                                <a:lnTo>
                                  <a:pt x="359918" y="14655"/>
                                </a:lnTo>
                                <a:lnTo>
                                  <a:pt x="368896" y="14655"/>
                                </a:lnTo>
                                <a:lnTo>
                                  <a:pt x="368896" y="254"/>
                                </a:lnTo>
                                <a:close/>
                              </a:path>
                              <a:path w="715645" h="93345">
                                <a:moveTo>
                                  <a:pt x="368896" y="14655"/>
                                </a:moveTo>
                                <a:lnTo>
                                  <a:pt x="359918" y="14655"/>
                                </a:lnTo>
                                <a:lnTo>
                                  <a:pt x="359918" y="47269"/>
                                </a:lnTo>
                                <a:lnTo>
                                  <a:pt x="368896" y="47269"/>
                                </a:lnTo>
                                <a:lnTo>
                                  <a:pt x="368896" y="14655"/>
                                </a:lnTo>
                                <a:close/>
                              </a:path>
                              <a:path w="715645" h="93345">
                                <a:moveTo>
                                  <a:pt x="318401" y="62712"/>
                                </a:moveTo>
                                <a:lnTo>
                                  <a:pt x="308241" y="62712"/>
                                </a:lnTo>
                                <a:lnTo>
                                  <a:pt x="308241" y="72872"/>
                                </a:lnTo>
                                <a:lnTo>
                                  <a:pt x="318401" y="72872"/>
                                </a:lnTo>
                                <a:lnTo>
                                  <a:pt x="318401" y="62712"/>
                                </a:lnTo>
                                <a:close/>
                              </a:path>
                              <a:path w="715645" h="93345">
                                <a:moveTo>
                                  <a:pt x="274332" y="0"/>
                                </a:moveTo>
                                <a:lnTo>
                                  <a:pt x="265188" y="0"/>
                                </a:lnTo>
                                <a:lnTo>
                                  <a:pt x="260807" y="1409"/>
                                </a:lnTo>
                                <a:lnTo>
                                  <a:pt x="253847" y="7035"/>
                                </a:lnTo>
                                <a:lnTo>
                                  <a:pt x="251231" y="11061"/>
                                </a:lnTo>
                                <a:lnTo>
                                  <a:pt x="247713" y="21539"/>
                                </a:lnTo>
                                <a:lnTo>
                                  <a:pt x="246824" y="28473"/>
                                </a:lnTo>
                                <a:lnTo>
                                  <a:pt x="246824" y="37096"/>
                                </a:lnTo>
                                <a:lnTo>
                                  <a:pt x="263512" y="74066"/>
                                </a:lnTo>
                                <a:lnTo>
                                  <a:pt x="275831" y="74066"/>
                                </a:lnTo>
                                <a:lnTo>
                                  <a:pt x="280263" y="72631"/>
                                </a:lnTo>
                                <a:lnTo>
                                  <a:pt x="287210" y="66916"/>
                                </a:lnTo>
                                <a:lnTo>
                                  <a:pt x="266618" y="66916"/>
                                </a:lnTo>
                                <a:lnTo>
                                  <a:pt x="262991" y="64820"/>
                                </a:lnTo>
                                <a:lnTo>
                                  <a:pt x="257352" y="56896"/>
                                </a:lnTo>
                                <a:lnTo>
                                  <a:pt x="255943" y="48971"/>
                                </a:lnTo>
                                <a:lnTo>
                                  <a:pt x="255943" y="25120"/>
                                </a:lnTo>
                                <a:lnTo>
                                  <a:pt x="266280" y="7391"/>
                                </a:lnTo>
                                <a:lnTo>
                                  <a:pt x="286858" y="7391"/>
                                </a:lnTo>
                                <a:lnTo>
                                  <a:pt x="286092" y="6223"/>
                                </a:lnTo>
                                <a:lnTo>
                                  <a:pt x="283641" y="3949"/>
                                </a:lnTo>
                                <a:lnTo>
                                  <a:pt x="277749" y="787"/>
                                </a:lnTo>
                                <a:lnTo>
                                  <a:pt x="274332" y="0"/>
                                </a:lnTo>
                                <a:close/>
                              </a:path>
                              <a:path w="715645" h="93345">
                                <a:moveTo>
                                  <a:pt x="286858" y="7391"/>
                                </a:moveTo>
                                <a:lnTo>
                                  <a:pt x="274548" y="7391"/>
                                </a:lnTo>
                                <a:lnTo>
                                  <a:pt x="278053" y="9347"/>
                                </a:lnTo>
                                <a:lnTo>
                                  <a:pt x="283603" y="17183"/>
                                </a:lnTo>
                                <a:lnTo>
                                  <a:pt x="284988" y="25120"/>
                                </a:lnTo>
                                <a:lnTo>
                                  <a:pt x="284988" y="48971"/>
                                </a:lnTo>
                                <a:lnTo>
                                  <a:pt x="283603" y="56896"/>
                                </a:lnTo>
                                <a:lnTo>
                                  <a:pt x="278053" y="64820"/>
                                </a:lnTo>
                                <a:lnTo>
                                  <a:pt x="274400" y="66916"/>
                                </a:lnTo>
                                <a:lnTo>
                                  <a:pt x="287210" y="66916"/>
                                </a:lnTo>
                                <a:lnTo>
                                  <a:pt x="289814" y="62890"/>
                                </a:lnTo>
                                <a:lnTo>
                                  <a:pt x="293243" y="52501"/>
                                </a:lnTo>
                                <a:lnTo>
                                  <a:pt x="293972" y="46609"/>
                                </a:lnTo>
                                <a:lnTo>
                                  <a:pt x="294093" y="29870"/>
                                </a:lnTo>
                                <a:lnTo>
                                  <a:pt x="293661" y="25120"/>
                                </a:lnTo>
                                <a:lnTo>
                                  <a:pt x="293573" y="24155"/>
                                </a:lnTo>
                                <a:lnTo>
                                  <a:pt x="291452" y="15709"/>
                                </a:lnTo>
                                <a:lnTo>
                                  <a:pt x="289953" y="12115"/>
                                </a:lnTo>
                                <a:lnTo>
                                  <a:pt x="286858" y="7391"/>
                                </a:lnTo>
                                <a:close/>
                              </a:path>
                              <a:path w="715645" h="93345">
                                <a:moveTo>
                                  <a:pt x="240969" y="254"/>
                                </a:moveTo>
                                <a:lnTo>
                                  <a:pt x="221310" y="254"/>
                                </a:lnTo>
                                <a:lnTo>
                                  <a:pt x="221310" y="93078"/>
                                </a:lnTo>
                                <a:lnTo>
                                  <a:pt x="240969" y="93078"/>
                                </a:lnTo>
                                <a:lnTo>
                                  <a:pt x="240969" y="85686"/>
                                </a:lnTo>
                                <a:lnTo>
                                  <a:pt x="230276" y="85686"/>
                                </a:lnTo>
                                <a:lnTo>
                                  <a:pt x="230276" y="7645"/>
                                </a:lnTo>
                                <a:lnTo>
                                  <a:pt x="240969" y="7645"/>
                                </a:lnTo>
                                <a:lnTo>
                                  <a:pt x="240969" y="254"/>
                                </a:lnTo>
                                <a:close/>
                              </a:path>
                              <a:path w="715645" h="93345">
                                <a:moveTo>
                                  <a:pt x="161594" y="0"/>
                                </a:moveTo>
                                <a:lnTo>
                                  <a:pt x="152438" y="0"/>
                                </a:lnTo>
                                <a:lnTo>
                                  <a:pt x="148056" y="1409"/>
                                </a:lnTo>
                                <a:lnTo>
                                  <a:pt x="141109" y="7035"/>
                                </a:lnTo>
                                <a:lnTo>
                                  <a:pt x="138493" y="11061"/>
                                </a:lnTo>
                                <a:lnTo>
                                  <a:pt x="134962" y="21539"/>
                                </a:lnTo>
                                <a:lnTo>
                                  <a:pt x="134086" y="28473"/>
                                </a:lnTo>
                                <a:lnTo>
                                  <a:pt x="134086" y="37096"/>
                                </a:lnTo>
                                <a:lnTo>
                                  <a:pt x="134487" y="45631"/>
                                </a:lnTo>
                                <a:lnTo>
                                  <a:pt x="134533" y="46609"/>
                                </a:lnTo>
                                <a:lnTo>
                                  <a:pt x="150774" y="74066"/>
                                </a:lnTo>
                                <a:lnTo>
                                  <a:pt x="163106" y="74066"/>
                                </a:lnTo>
                                <a:lnTo>
                                  <a:pt x="167513" y="72631"/>
                                </a:lnTo>
                                <a:lnTo>
                                  <a:pt x="174472" y="66916"/>
                                </a:lnTo>
                                <a:lnTo>
                                  <a:pt x="153867" y="66916"/>
                                </a:lnTo>
                                <a:lnTo>
                                  <a:pt x="150241" y="64820"/>
                                </a:lnTo>
                                <a:lnTo>
                                  <a:pt x="144602" y="56896"/>
                                </a:lnTo>
                                <a:lnTo>
                                  <a:pt x="143205" y="48971"/>
                                </a:lnTo>
                                <a:lnTo>
                                  <a:pt x="143205" y="25120"/>
                                </a:lnTo>
                                <a:lnTo>
                                  <a:pt x="153543" y="7391"/>
                                </a:lnTo>
                                <a:lnTo>
                                  <a:pt x="174120" y="7391"/>
                                </a:lnTo>
                                <a:lnTo>
                                  <a:pt x="173355" y="6223"/>
                                </a:lnTo>
                                <a:lnTo>
                                  <a:pt x="170903" y="3949"/>
                                </a:lnTo>
                                <a:lnTo>
                                  <a:pt x="165011" y="787"/>
                                </a:lnTo>
                                <a:lnTo>
                                  <a:pt x="161594" y="0"/>
                                </a:lnTo>
                                <a:close/>
                              </a:path>
                              <a:path w="715645" h="93345">
                                <a:moveTo>
                                  <a:pt x="174120" y="7391"/>
                                </a:moveTo>
                                <a:lnTo>
                                  <a:pt x="161823" y="7391"/>
                                </a:lnTo>
                                <a:lnTo>
                                  <a:pt x="165315" y="9347"/>
                                </a:lnTo>
                                <a:lnTo>
                                  <a:pt x="170865" y="17183"/>
                                </a:lnTo>
                                <a:lnTo>
                                  <a:pt x="172250" y="25120"/>
                                </a:lnTo>
                                <a:lnTo>
                                  <a:pt x="172250" y="48971"/>
                                </a:lnTo>
                                <a:lnTo>
                                  <a:pt x="170865" y="56896"/>
                                </a:lnTo>
                                <a:lnTo>
                                  <a:pt x="165315" y="64820"/>
                                </a:lnTo>
                                <a:lnTo>
                                  <a:pt x="161662" y="66916"/>
                                </a:lnTo>
                                <a:lnTo>
                                  <a:pt x="174472" y="66916"/>
                                </a:lnTo>
                                <a:lnTo>
                                  <a:pt x="177063" y="62890"/>
                                </a:lnTo>
                                <a:lnTo>
                                  <a:pt x="180505" y="52501"/>
                                </a:lnTo>
                                <a:lnTo>
                                  <a:pt x="181234" y="46609"/>
                                </a:lnTo>
                                <a:lnTo>
                                  <a:pt x="181356" y="29870"/>
                                </a:lnTo>
                                <a:lnTo>
                                  <a:pt x="180923" y="25120"/>
                                </a:lnTo>
                                <a:lnTo>
                                  <a:pt x="180835" y="24155"/>
                                </a:lnTo>
                                <a:lnTo>
                                  <a:pt x="178727" y="15709"/>
                                </a:lnTo>
                                <a:lnTo>
                                  <a:pt x="177215" y="12115"/>
                                </a:lnTo>
                                <a:lnTo>
                                  <a:pt x="174120" y="7391"/>
                                </a:lnTo>
                                <a:close/>
                              </a:path>
                              <a:path w="715645" h="93345">
                                <a:moveTo>
                                  <a:pt x="105206" y="0"/>
                                </a:moveTo>
                                <a:lnTo>
                                  <a:pt x="96050" y="0"/>
                                </a:lnTo>
                                <a:lnTo>
                                  <a:pt x="91668" y="1409"/>
                                </a:lnTo>
                                <a:lnTo>
                                  <a:pt x="84721" y="7035"/>
                                </a:lnTo>
                                <a:lnTo>
                                  <a:pt x="82092" y="11061"/>
                                </a:lnTo>
                                <a:lnTo>
                                  <a:pt x="78574" y="21539"/>
                                </a:lnTo>
                                <a:lnTo>
                                  <a:pt x="77685" y="28473"/>
                                </a:lnTo>
                                <a:lnTo>
                                  <a:pt x="77685" y="37096"/>
                                </a:lnTo>
                                <a:lnTo>
                                  <a:pt x="78087" y="45631"/>
                                </a:lnTo>
                                <a:lnTo>
                                  <a:pt x="78133" y="46609"/>
                                </a:lnTo>
                                <a:lnTo>
                                  <a:pt x="94373" y="74066"/>
                                </a:lnTo>
                                <a:lnTo>
                                  <a:pt x="106705" y="74066"/>
                                </a:lnTo>
                                <a:lnTo>
                                  <a:pt x="111125" y="72631"/>
                                </a:lnTo>
                                <a:lnTo>
                                  <a:pt x="118071" y="66916"/>
                                </a:lnTo>
                                <a:lnTo>
                                  <a:pt x="97479" y="66916"/>
                                </a:lnTo>
                                <a:lnTo>
                                  <a:pt x="93853" y="64820"/>
                                </a:lnTo>
                                <a:lnTo>
                                  <a:pt x="88214" y="56896"/>
                                </a:lnTo>
                                <a:lnTo>
                                  <a:pt x="86817" y="48971"/>
                                </a:lnTo>
                                <a:lnTo>
                                  <a:pt x="86817" y="25120"/>
                                </a:lnTo>
                                <a:lnTo>
                                  <a:pt x="97155" y="7391"/>
                                </a:lnTo>
                                <a:lnTo>
                                  <a:pt x="117722" y="7391"/>
                                </a:lnTo>
                                <a:lnTo>
                                  <a:pt x="116954" y="6223"/>
                                </a:lnTo>
                                <a:lnTo>
                                  <a:pt x="114503" y="3949"/>
                                </a:lnTo>
                                <a:lnTo>
                                  <a:pt x="108610" y="787"/>
                                </a:lnTo>
                                <a:lnTo>
                                  <a:pt x="105206" y="0"/>
                                </a:lnTo>
                                <a:close/>
                              </a:path>
                              <a:path w="715645" h="93345">
                                <a:moveTo>
                                  <a:pt x="117722" y="7391"/>
                                </a:moveTo>
                                <a:lnTo>
                                  <a:pt x="105435" y="7391"/>
                                </a:lnTo>
                                <a:lnTo>
                                  <a:pt x="108927" y="9347"/>
                                </a:lnTo>
                                <a:lnTo>
                                  <a:pt x="114465" y="17183"/>
                                </a:lnTo>
                                <a:lnTo>
                                  <a:pt x="115849" y="25120"/>
                                </a:lnTo>
                                <a:lnTo>
                                  <a:pt x="115849" y="48971"/>
                                </a:lnTo>
                                <a:lnTo>
                                  <a:pt x="114465" y="56896"/>
                                </a:lnTo>
                                <a:lnTo>
                                  <a:pt x="108927" y="64820"/>
                                </a:lnTo>
                                <a:lnTo>
                                  <a:pt x="105260" y="66916"/>
                                </a:lnTo>
                                <a:lnTo>
                                  <a:pt x="118071" y="66916"/>
                                </a:lnTo>
                                <a:lnTo>
                                  <a:pt x="120675" y="62890"/>
                                </a:lnTo>
                                <a:lnTo>
                                  <a:pt x="124104" y="52501"/>
                                </a:lnTo>
                                <a:lnTo>
                                  <a:pt x="124845" y="46609"/>
                                </a:lnTo>
                                <a:lnTo>
                                  <a:pt x="124968" y="29870"/>
                                </a:lnTo>
                                <a:lnTo>
                                  <a:pt x="124535" y="25120"/>
                                </a:lnTo>
                                <a:lnTo>
                                  <a:pt x="124447" y="24155"/>
                                </a:lnTo>
                                <a:lnTo>
                                  <a:pt x="122326" y="15709"/>
                                </a:lnTo>
                                <a:lnTo>
                                  <a:pt x="120827" y="12115"/>
                                </a:lnTo>
                                <a:lnTo>
                                  <a:pt x="117722" y="7391"/>
                                </a:lnTo>
                                <a:close/>
                              </a:path>
                              <a:path w="715645" h="93345">
                                <a:moveTo>
                                  <a:pt x="64706" y="62712"/>
                                </a:moveTo>
                                <a:lnTo>
                                  <a:pt x="54546" y="62712"/>
                                </a:lnTo>
                                <a:lnTo>
                                  <a:pt x="54546" y="72872"/>
                                </a:lnTo>
                                <a:lnTo>
                                  <a:pt x="64706" y="72872"/>
                                </a:lnTo>
                                <a:lnTo>
                                  <a:pt x="64706" y="62712"/>
                                </a:lnTo>
                                <a:close/>
                              </a:path>
                              <a:path w="715645" h="93345">
                                <a:moveTo>
                                  <a:pt x="26657" y="16103"/>
                                </a:moveTo>
                                <a:lnTo>
                                  <a:pt x="17830" y="16103"/>
                                </a:lnTo>
                                <a:lnTo>
                                  <a:pt x="17830" y="72872"/>
                                </a:lnTo>
                                <a:lnTo>
                                  <a:pt x="26657" y="72872"/>
                                </a:lnTo>
                                <a:lnTo>
                                  <a:pt x="26657" y="16103"/>
                                </a:lnTo>
                                <a:close/>
                              </a:path>
                              <a:path w="715645" h="93345">
                                <a:moveTo>
                                  <a:pt x="26657" y="0"/>
                                </a:moveTo>
                                <a:lnTo>
                                  <a:pt x="20993" y="0"/>
                                </a:lnTo>
                                <a:lnTo>
                                  <a:pt x="19405" y="3162"/>
                                </a:lnTo>
                                <a:lnTo>
                                  <a:pt x="16751" y="6400"/>
                                </a:lnTo>
                                <a:lnTo>
                                  <a:pt x="9271" y="13004"/>
                                </a:lnTo>
                                <a:lnTo>
                                  <a:pt x="4927" y="15836"/>
                                </a:lnTo>
                                <a:lnTo>
                                  <a:pt x="0" y="18211"/>
                                </a:lnTo>
                                <a:lnTo>
                                  <a:pt x="0" y="26797"/>
                                </a:lnTo>
                                <a:lnTo>
                                  <a:pt x="17830" y="16103"/>
                                </a:lnTo>
                                <a:lnTo>
                                  <a:pt x="26657" y="16103"/>
                                </a:lnTo>
                                <a:lnTo>
                                  <a:pt x="2665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86" name="Image 2886"/>
                          <pic:cNvPicPr/>
                        </pic:nvPicPr>
                        <pic:blipFill>
                          <a:blip r:embed="rId127" cstate="print"/>
                          <a:stretch>
                            <a:fillRect/>
                          </a:stretch>
                        </pic:blipFill>
                        <pic:spPr>
                          <a:xfrm>
                            <a:off x="0" y="540797"/>
                            <a:ext cx="722185" cy="93078"/>
                          </a:xfrm>
                          <a:prstGeom prst="rect">
                            <a:avLst/>
                          </a:prstGeom>
                        </pic:spPr>
                      </pic:pic>
                      <pic:pic xmlns:pic="http://schemas.openxmlformats.org/drawingml/2006/picture">
                        <pic:nvPicPr>
                          <pic:cNvPr id="2887" name="Image 2887"/>
                          <pic:cNvPicPr/>
                        </pic:nvPicPr>
                        <pic:blipFill>
                          <a:blip r:embed="rId128" cstate="print"/>
                          <a:stretch>
                            <a:fillRect/>
                          </a:stretch>
                        </pic:blipFill>
                        <pic:spPr>
                          <a:xfrm>
                            <a:off x="0" y="675995"/>
                            <a:ext cx="722185" cy="93078"/>
                          </a:xfrm>
                          <a:prstGeom prst="rect">
                            <a:avLst/>
                          </a:prstGeom>
                        </pic:spPr>
                      </pic:pic>
                      <pic:pic xmlns:pic="http://schemas.openxmlformats.org/drawingml/2006/picture">
                        <pic:nvPicPr>
                          <pic:cNvPr id="2888" name="Image 2888"/>
                          <pic:cNvPicPr/>
                        </pic:nvPicPr>
                        <pic:blipFill>
                          <a:blip r:embed="rId129" cstate="print"/>
                          <a:stretch>
                            <a:fillRect/>
                          </a:stretch>
                        </pic:blipFill>
                        <pic:spPr>
                          <a:xfrm>
                            <a:off x="6870" y="811193"/>
                            <a:ext cx="715314" cy="93078"/>
                          </a:xfrm>
                          <a:prstGeom prst="rect">
                            <a:avLst/>
                          </a:prstGeom>
                        </pic:spPr>
                      </pic:pic>
                    </wpg:wgp>
                  </a:graphicData>
                </a:graphic>
              </wp:anchor>
            </w:drawing>
          </mc:Choice>
          <mc:Fallback>
            <w:pict>
              <v:group w14:anchorId="5C5F918E" id="Group 2881" o:spid="_x0000_s1026" style="position:absolute;margin-left:212.45pt;margin-top:85.85pt;width:56.9pt;height:71.25pt;z-index:16183808;mso-wrap-distance-left:0;mso-wrap-distance-right:0;mso-position-horizontal-relative:page" coordsize="7226,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">
                <v:shape id="Image 2882" o:spid="_x0000_s1027" type="#_x0000_t75" style="position:absolute;left:68;width:7153;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">
                  <v:imagedata r:id="rId137" o:title=""/>
                </v:shape>
                <v:shape id="Image 2883" o:spid="_x0000_s1028" type="#_x0000_t75" style="position:absolute;top:1351;width:722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">
                  <v:imagedata r:id="rId138" o:title=""/>
                </v:shape>
                <v:shape id="Image 2884" o:spid="_x0000_s1029" type="#_x0000_t75" style="position:absolute;top:2703;width:722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">
                  <v:imagedata r:id="rId139" o:title=""/>
                </v:shape>
                <v:shape id="Graphic 2885" o:spid="_x0000_s1030" style="position:absolute;left:68;top:4055;width:7157;height:934;visibility:visible;mso-wrap-style:square;v-text-anchor:top" coordsize="71564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" path="m715314,254r-19685,l695629,7645r10694,l706323,85686r-10694,l695629,93078r19685,l715314,254xem668997,r-9156,l655459,1409r-6947,5626l645883,11061r-3517,10478l641489,28473r,8623l658164,74066r12319,l674916,72631r6959,-5715l661270,66916r-3626,-2096l652005,56896r-1410,-7925l650595,25120r1504,-7937l652145,16941r3073,-4407l657682,9105r3251,-1714l681513,7391r-768,-1168l678307,3949,672401,787,668997,xem681513,7391r-12300,l672719,9347r5549,7836l679640,25120r,23851l678268,56896r-5549,7924l669065,66916r12810,l684466,62890r3429,-10389l688636,46609r123,-16739l688315,25120r-90,-965l686117,15709r-1499,-3594l681513,7391xem612609,r-9169,l599071,1409r-6959,5626l589495,11061r-3517,10478l585089,28473r,8623l601776,74066r12319,l618515,72631r6960,-5715l604882,66916r-3626,-2096l595617,56896r-1423,-7925l594194,25120r1504,-7937l595744,16941r3073,-4407l601281,9105r3264,-1714l625115,7391r-771,-1168l621906,3949,616013,787,612609,xem625115,7391r-12290,l616331,9347r5537,7836l623252,25120r,23851l621868,56896r-5537,7924l612663,66916r12812,l628065,62890r3442,-10389l632237,46609r121,-16739l631925,25120r-88,-965l629729,15709r-1499,-3594l625115,7391xem572096,62712r-10160,l561936,72872r10160,l572096,62712xem534060,16103r-8852,l525208,72872r8852,l534060,16103xem534060,r-5677,l526808,3162r-2667,3238l516648,13004r-4330,2832l507390,18211r,8586l525208,16103r8852,l534060,xem459105,62712r-10173,l448932,72872r5156,l453910,75869r-533,2312l451624,81432r-1371,1219l448411,83439r2502,3822l453732,86029r2071,-1778l458444,79590r661,-3022l459105,62712xem415290,r-9144,l401764,1409r-6960,5626l392201,11061r-3531,10478l387794,28473r,8623l388193,45631r46,978l404469,74066r12319,l421208,72631r6959,-5715l407563,66916r-3627,-2096l398310,56896r-1410,-7925l396900,25120r1491,-7937l398437,16941r3086,-4407l403987,9105r3263,-1714l427818,7391r-768,-1168l424611,3949,418719,787,415290,xem427818,7391r-12300,l419011,9347r5550,7836l425945,25120r,23851l424561,56896r-5550,7924l415357,66916r12810,l430771,62890r3429,-10389l434930,46609r121,-16739l434618,25120r-88,-965l432422,15709r-1499,-3594l427818,7391xem368896,55448r-8978,l359918,72872r8978,l368896,55448xem368896,254r-7264,l328498,47269r,8179l378663,55448r,-8179l337210,47269,359918,14655r8978,l368896,254xem368896,14655r-8978,l359918,47269r8978,l368896,14655xem318401,62712r-10160,l308241,72872r10160,l318401,62712xem274332,r-9144,l260807,1409r-6960,5626l251231,11061r-3518,10478l246824,28473r,8623l263512,74066r12319,l280263,72631r6947,-5715l266618,66916r-3627,-2096l257352,56896r-1409,-7925l255943,25120,266280,7391r20578,l286092,6223,283641,3949,277749,787,274332,xem286858,7391r-12310,l278053,9347r5550,7836l284988,25120r,23851l283603,56896r-5550,7924l274400,66916r12810,l289814,62890r3429,-10389l293972,46609r121,-16739l293661,25120r-88,-965l291452,15709r-1499,-3594l286858,7391xem240969,254r-19659,l221310,93078r19659,l240969,85686r-10693,l230276,7645r10693,l240969,254xem161594,r-9156,l148056,1409r-6947,5626l138493,11061r-3531,10478l134086,28473r,8623l134487,45631r46,978l150774,74066r12332,l167513,72631r6959,-5715l153867,66916r-3626,-2096l144602,56896r-1397,-7925l143205,25120,153543,7391r20577,l173355,6223,170903,3949,165011,787,161594,xem174120,7391r-12297,l165315,9347r5550,7836l172250,25120r,23851l170865,56896r-5550,7924l161662,66916r12810,l177063,62890r3442,-10389l181234,46609r122,-16739l180923,25120r-88,-965l178727,15709r-1512,-3594l174120,7391xem105206,l96050,,91668,1409,84721,7035r-2629,4026l78574,21539r-889,6934l77685,37096r402,8535l78133,46609,94373,74066r12332,l111125,72631r6946,-5715l97479,66916,93853,64820,88214,56896,86817,48971r,-23851l97155,7391r20567,l116954,6223,114503,3949,108610,787,105206,xem117722,7391r-12287,l108927,9347r5538,7836l115849,25120r,23851l114465,56896r-5538,7924l105260,66916r12811,l120675,62890r3429,-10389l124845,46609r123,-16739l124535,25120r-88,-965l122326,15709r-1499,-3594l117722,7391xem64706,62712r-10160,l54546,72872r10160,l64706,62712xem26657,16103r-8827,l17830,72872r8827,l26657,16103xem26657,l20993,,19405,3162,16751,6400,9271,13004,4927,15836,,18211r,8586l17830,16103r8827,l26657,xe" fillcolor="black" stroked="f">
                  <v:path arrowok="t"/>
                </v:shape>
                <v:shape id="Image 2886" o:spid="_x0000_s1031" type="#_x0000_t75" style="position:absolute;top:5407;width:722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">
                  <v:imagedata r:id="rId140" o:title=""/>
                </v:shape>
                <v:shape id="Image 2887" o:spid="_x0000_s1032" type="#_x0000_t75" style="position:absolute;top:6759;width:722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">
                  <v:imagedata r:id="rId141" o:title=""/>
                </v:shape>
                <v:shape id="Image 2888" o:spid="_x0000_s1033" type="#_x0000_t75" style="position:absolute;left:68;top:8111;width:7153;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">
                  <v:imagedata r:id="rId142" o:title=""/>
                </v:shape>
                <w10:wrap anchorx="page"/>
              </v:group>
            </w:pict>
          </mc:Fallback>
        </mc:AlternateContent>
      </w:r>
      <w:r w:rsidRPr="003C6DAE">
        <w:rPr>
          <w:noProof/>
          <w:lang w:val="uk-UA"/>
        </w:rPr>
        <w:drawing>
          <wp:anchor distT="0" distB="0" distL="0" distR="0" simplePos="0" relativeHeight="16184320" behindDoc="0" locked="0" layoutInCell="1" allowOverlap="1" wp14:anchorId="491F728C" wp14:editId="22A2D2EE">
            <wp:simplePos x="0" y="0"/>
            <wp:positionH relativeFrom="page">
              <wp:posOffset>3540484</wp:posOffset>
            </wp:positionH>
            <wp:positionV relativeFrom="paragraph">
              <wp:posOffset>936521</wp:posOffset>
            </wp:positionV>
            <wp:extent cx="926984" cy="95250"/>
            <wp:effectExtent l="0" t="0" r="0" b="0"/>
            <wp:wrapNone/>
            <wp:docPr id="2889" name="Image 2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9" name="Image 2889"/>
                    <pic:cNvPicPr/>
                  </pic:nvPicPr>
                  <pic:blipFill>
                    <a:blip r:embed="rId143" cstate="print"/>
                    <a:stretch>
                      <a:fillRect/>
                    </a:stretch>
                  </pic:blipFill>
                  <pic:spPr>
                    <a:xfrm>
                      <a:off x="0" y="0"/>
                      <a:ext cx="926984" cy="95250"/>
                    </a:xfrm>
                    <a:prstGeom prst="rect">
                      <a:avLst/>
                    </a:prstGeom>
                  </pic:spPr>
                </pic:pic>
              </a:graphicData>
            </a:graphic>
          </wp:anchor>
        </w:drawing>
      </w:r>
      <w:r w:rsidRPr="003C6DAE">
        <w:rPr>
          <w:noProof/>
          <w:lang w:val="uk-UA"/>
        </w:rPr>
        <mc:AlternateContent>
          <mc:Choice Requires="wpg">
            <w:drawing>
              <wp:anchor distT="0" distB="0" distL="0" distR="0" simplePos="0" relativeHeight="16184832" behindDoc="0" locked="0" layoutInCell="1" allowOverlap="1" wp14:anchorId="2BFA9CBC" wp14:editId="7F4D62E3">
                <wp:simplePos x="0" y="0"/>
                <wp:positionH relativeFrom="page">
                  <wp:posOffset>3712253</wp:posOffset>
                </wp:positionH>
                <wp:positionV relativeFrom="paragraph">
                  <wp:posOffset>1077935</wp:posOffset>
                </wp:positionV>
                <wp:extent cx="1810385" cy="1033144"/>
                <wp:effectExtent l="0" t="0" r="0" b="0"/>
                <wp:wrapNone/>
                <wp:docPr id="2890" name="Group 2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0385" cy="1033144"/>
                          <a:chOff x="0" y="0"/>
                          <a:chExt cx="1810385" cy="1033144"/>
                        </a:xfrm>
                      </wpg:grpSpPr>
                      <pic:pic xmlns:pic="http://schemas.openxmlformats.org/drawingml/2006/picture">
                        <pic:nvPicPr>
                          <pic:cNvPr id="2891" name="Image 2891"/>
                          <pic:cNvPicPr/>
                        </pic:nvPicPr>
                        <pic:blipFill>
                          <a:blip r:embed="rId144" cstate="print"/>
                          <a:stretch>
                            <a:fillRect/>
                          </a:stretch>
                        </pic:blipFill>
                        <pic:spPr>
                          <a:xfrm>
                            <a:off x="6858" y="12411"/>
                            <a:ext cx="715314" cy="93078"/>
                          </a:xfrm>
                          <a:prstGeom prst="rect">
                            <a:avLst/>
                          </a:prstGeom>
                        </pic:spPr>
                      </pic:pic>
                      <pic:pic xmlns:pic="http://schemas.openxmlformats.org/drawingml/2006/picture">
                        <pic:nvPicPr>
                          <pic:cNvPr id="2892" name="Image 2892"/>
                          <pic:cNvPicPr/>
                        </pic:nvPicPr>
                        <pic:blipFill>
                          <a:blip r:embed="rId145" cstate="print"/>
                          <a:stretch>
                            <a:fillRect/>
                          </a:stretch>
                        </pic:blipFill>
                        <pic:spPr>
                          <a:xfrm>
                            <a:off x="0" y="147609"/>
                            <a:ext cx="722172" cy="93078"/>
                          </a:xfrm>
                          <a:prstGeom prst="rect">
                            <a:avLst/>
                          </a:prstGeom>
                        </pic:spPr>
                      </pic:pic>
                      <pic:pic xmlns:pic="http://schemas.openxmlformats.org/drawingml/2006/picture">
                        <pic:nvPicPr>
                          <pic:cNvPr id="2893" name="Image 2893"/>
                          <pic:cNvPicPr/>
                        </pic:nvPicPr>
                        <pic:blipFill>
                          <a:blip r:embed="rId146" cstate="print"/>
                          <a:stretch>
                            <a:fillRect/>
                          </a:stretch>
                        </pic:blipFill>
                        <pic:spPr>
                          <a:xfrm>
                            <a:off x="0" y="282801"/>
                            <a:ext cx="722172" cy="93090"/>
                          </a:xfrm>
                          <a:prstGeom prst="rect">
                            <a:avLst/>
                          </a:prstGeom>
                        </pic:spPr>
                      </pic:pic>
                      <pic:pic xmlns:pic="http://schemas.openxmlformats.org/drawingml/2006/picture">
                        <pic:nvPicPr>
                          <pic:cNvPr id="2894" name="Image 2894"/>
                          <pic:cNvPicPr/>
                        </pic:nvPicPr>
                        <pic:blipFill>
                          <a:blip r:embed="rId147" cstate="print"/>
                          <a:stretch>
                            <a:fillRect/>
                          </a:stretch>
                        </pic:blipFill>
                        <pic:spPr>
                          <a:xfrm>
                            <a:off x="6858" y="418011"/>
                            <a:ext cx="715314" cy="93078"/>
                          </a:xfrm>
                          <a:prstGeom prst="rect">
                            <a:avLst/>
                          </a:prstGeom>
                        </pic:spPr>
                      </pic:pic>
                      <pic:pic xmlns:pic="http://schemas.openxmlformats.org/drawingml/2006/picture">
                        <pic:nvPicPr>
                          <pic:cNvPr id="2895" name="Image 2895"/>
                          <pic:cNvPicPr/>
                        </pic:nvPicPr>
                        <pic:blipFill>
                          <a:blip r:embed="rId148" cstate="print"/>
                          <a:stretch>
                            <a:fillRect/>
                          </a:stretch>
                        </pic:blipFill>
                        <pic:spPr>
                          <a:xfrm>
                            <a:off x="0" y="553209"/>
                            <a:ext cx="722172" cy="93078"/>
                          </a:xfrm>
                          <a:prstGeom prst="rect">
                            <a:avLst/>
                          </a:prstGeom>
                        </pic:spPr>
                      </pic:pic>
                      <wps:wsp>
                        <wps:cNvPr id="2896" name="Graphic 2896"/>
                        <wps:cNvSpPr/>
                        <wps:spPr>
                          <a:xfrm>
                            <a:off x="6853" y="688416"/>
                            <a:ext cx="715645" cy="228600"/>
                          </a:xfrm>
                          <a:custGeom>
                            <a:avLst/>
                            <a:gdLst/>
                            <a:ahLst/>
                            <a:cxnLst/>
                            <a:rect l="l" t="t" r="r" b="b"/>
                            <a:pathLst>
                              <a:path w="715645" h="228600">
                                <a:moveTo>
                                  <a:pt x="26670" y="135191"/>
                                </a:moveTo>
                                <a:lnTo>
                                  <a:pt x="21005" y="135191"/>
                                </a:lnTo>
                                <a:lnTo>
                                  <a:pt x="19405" y="138366"/>
                                </a:lnTo>
                                <a:lnTo>
                                  <a:pt x="16751" y="141605"/>
                                </a:lnTo>
                                <a:lnTo>
                                  <a:pt x="9271" y="148196"/>
                                </a:lnTo>
                                <a:lnTo>
                                  <a:pt x="4927" y="151041"/>
                                </a:lnTo>
                                <a:lnTo>
                                  <a:pt x="0" y="153416"/>
                                </a:lnTo>
                                <a:lnTo>
                                  <a:pt x="0" y="162001"/>
                                </a:lnTo>
                                <a:lnTo>
                                  <a:pt x="17830" y="151295"/>
                                </a:lnTo>
                                <a:lnTo>
                                  <a:pt x="17830" y="208076"/>
                                </a:lnTo>
                                <a:lnTo>
                                  <a:pt x="26670" y="208076"/>
                                </a:lnTo>
                                <a:lnTo>
                                  <a:pt x="26670" y="151295"/>
                                </a:lnTo>
                                <a:lnTo>
                                  <a:pt x="26670" y="135191"/>
                                </a:lnTo>
                                <a:close/>
                              </a:path>
                              <a:path w="715645" h="228600">
                                <a:moveTo>
                                  <a:pt x="26670" y="0"/>
                                </a:moveTo>
                                <a:lnTo>
                                  <a:pt x="21005" y="0"/>
                                </a:lnTo>
                                <a:lnTo>
                                  <a:pt x="19405" y="3162"/>
                                </a:lnTo>
                                <a:lnTo>
                                  <a:pt x="16751" y="6400"/>
                                </a:lnTo>
                                <a:lnTo>
                                  <a:pt x="9271" y="13004"/>
                                </a:lnTo>
                                <a:lnTo>
                                  <a:pt x="4927" y="15836"/>
                                </a:lnTo>
                                <a:lnTo>
                                  <a:pt x="0" y="18211"/>
                                </a:lnTo>
                                <a:lnTo>
                                  <a:pt x="0" y="26809"/>
                                </a:lnTo>
                                <a:lnTo>
                                  <a:pt x="17830" y="16103"/>
                                </a:lnTo>
                                <a:lnTo>
                                  <a:pt x="17830" y="72885"/>
                                </a:lnTo>
                                <a:lnTo>
                                  <a:pt x="26670" y="72885"/>
                                </a:lnTo>
                                <a:lnTo>
                                  <a:pt x="26670" y="16103"/>
                                </a:lnTo>
                                <a:lnTo>
                                  <a:pt x="26670" y="0"/>
                                </a:lnTo>
                                <a:close/>
                              </a:path>
                              <a:path w="715645" h="228600">
                                <a:moveTo>
                                  <a:pt x="64719" y="197904"/>
                                </a:moveTo>
                                <a:lnTo>
                                  <a:pt x="54546" y="197904"/>
                                </a:lnTo>
                                <a:lnTo>
                                  <a:pt x="54546" y="208076"/>
                                </a:lnTo>
                                <a:lnTo>
                                  <a:pt x="64719" y="208076"/>
                                </a:lnTo>
                                <a:lnTo>
                                  <a:pt x="64719" y="197904"/>
                                </a:lnTo>
                                <a:close/>
                              </a:path>
                              <a:path w="715645" h="228600">
                                <a:moveTo>
                                  <a:pt x="64719" y="62712"/>
                                </a:moveTo>
                                <a:lnTo>
                                  <a:pt x="54546" y="62712"/>
                                </a:lnTo>
                                <a:lnTo>
                                  <a:pt x="54546" y="72872"/>
                                </a:lnTo>
                                <a:lnTo>
                                  <a:pt x="64719" y="72872"/>
                                </a:lnTo>
                                <a:lnTo>
                                  <a:pt x="64719" y="62712"/>
                                </a:lnTo>
                                <a:close/>
                              </a:path>
                              <a:path w="715645" h="228600">
                                <a:moveTo>
                                  <a:pt x="124841" y="28486"/>
                                </a:moveTo>
                                <a:lnTo>
                                  <a:pt x="124536" y="25133"/>
                                </a:lnTo>
                                <a:lnTo>
                                  <a:pt x="124447" y="24155"/>
                                </a:lnTo>
                                <a:lnTo>
                                  <a:pt x="122339" y="15709"/>
                                </a:lnTo>
                                <a:lnTo>
                                  <a:pt x="120827" y="12128"/>
                                </a:lnTo>
                                <a:lnTo>
                                  <a:pt x="117716" y="7391"/>
                                </a:lnTo>
                                <a:lnTo>
                                  <a:pt x="116954" y="6235"/>
                                </a:lnTo>
                                <a:lnTo>
                                  <a:pt x="115862" y="5232"/>
                                </a:lnTo>
                                <a:lnTo>
                                  <a:pt x="115862" y="25133"/>
                                </a:lnTo>
                                <a:lnTo>
                                  <a:pt x="115862" y="48983"/>
                                </a:lnTo>
                                <a:lnTo>
                                  <a:pt x="114465" y="56908"/>
                                </a:lnTo>
                                <a:lnTo>
                                  <a:pt x="108927" y="64833"/>
                                </a:lnTo>
                                <a:lnTo>
                                  <a:pt x="105283" y="66916"/>
                                </a:lnTo>
                                <a:lnTo>
                                  <a:pt x="97459" y="66916"/>
                                </a:lnTo>
                                <a:lnTo>
                                  <a:pt x="93853" y="64833"/>
                                </a:lnTo>
                                <a:lnTo>
                                  <a:pt x="88214" y="56908"/>
                                </a:lnTo>
                                <a:lnTo>
                                  <a:pt x="86817" y="48983"/>
                                </a:lnTo>
                                <a:lnTo>
                                  <a:pt x="86817" y="25133"/>
                                </a:lnTo>
                                <a:lnTo>
                                  <a:pt x="97155" y="7391"/>
                                </a:lnTo>
                                <a:lnTo>
                                  <a:pt x="105435" y="7391"/>
                                </a:lnTo>
                                <a:lnTo>
                                  <a:pt x="108927" y="9359"/>
                                </a:lnTo>
                                <a:lnTo>
                                  <a:pt x="114465" y="17183"/>
                                </a:lnTo>
                                <a:lnTo>
                                  <a:pt x="115862" y="25133"/>
                                </a:lnTo>
                                <a:lnTo>
                                  <a:pt x="115862" y="5232"/>
                                </a:lnTo>
                                <a:lnTo>
                                  <a:pt x="114503" y="3962"/>
                                </a:lnTo>
                                <a:lnTo>
                                  <a:pt x="108623" y="787"/>
                                </a:lnTo>
                                <a:lnTo>
                                  <a:pt x="105206" y="0"/>
                                </a:lnTo>
                                <a:lnTo>
                                  <a:pt x="96050" y="0"/>
                                </a:lnTo>
                                <a:lnTo>
                                  <a:pt x="77698" y="28486"/>
                                </a:lnTo>
                                <a:lnTo>
                                  <a:pt x="77698" y="37096"/>
                                </a:lnTo>
                                <a:lnTo>
                                  <a:pt x="94373" y="74066"/>
                                </a:lnTo>
                                <a:lnTo>
                                  <a:pt x="106705" y="74066"/>
                                </a:lnTo>
                                <a:lnTo>
                                  <a:pt x="124841" y="46609"/>
                                </a:lnTo>
                                <a:lnTo>
                                  <a:pt x="124841" y="28486"/>
                                </a:lnTo>
                                <a:close/>
                              </a:path>
                              <a:path w="715645" h="228600">
                                <a:moveTo>
                                  <a:pt x="124968" y="165074"/>
                                </a:moveTo>
                                <a:lnTo>
                                  <a:pt x="115862" y="140423"/>
                                </a:lnTo>
                                <a:lnTo>
                                  <a:pt x="115862" y="160324"/>
                                </a:lnTo>
                                <a:lnTo>
                                  <a:pt x="115862" y="184175"/>
                                </a:lnTo>
                                <a:lnTo>
                                  <a:pt x="114465" y="192100"/>
                                </a:lnTo>
                                <a:lnTo>
                                  <a:pt x="108927" y="200025"/>
                                </a:lnTo>
                                <a:lnTo>
                                  <a:pt x="105283" y="202107"/>
                                </a:lnTo>
                                <a:lnTo>
                                  <a:pt x="97459" y="202107"/>
                                </a:lnTo>
                                <a:lnTo>
                                  <a:pt x="93853" y="200025"/>
                                </a:lnTo>
                                <a:lnTo>
                                  <a:pt x="88214" y="192100"/>
                                </a:lnTo>
                                <a:lnTo>
                                  <a:pt x="86817" y="184175"/>
                                </a:lnTo>
                                <a:lnTo>
                                  <a:pt x="86817" y="160324"/>
                                </a:lnTo>
                                <a:lnTo>
                                  <a:pt x="97155" y="142582"/>
                                </a:lnTo>
                                <a:lnTo>
                                  <a:pt x="105435" y="142582"/>
                                </a:lnTo>
                                <a:lnTo>
                                  <a:pt x="108927" y="144551"/>
                                </a:lnTo>
                                <a:lnTo>
                                  <a:pt x="114465" y="152374"/>
                                </a:lnTo>
                                <a:lnTo>
                                  <a:pt x="115862" y="160324"/>
                                </a:lnTo>
                                <a:lnTo>
                                  <a:pt x="115862" y="140423"/>
                                </a:lnTo>
                                <a:lnTo>
                                  <a:pt x="114503" y="139153"/>
                                </a:lnTo>
                                <a:lnTo>
                                  <a:pt x="108623" y="135978"/>
                                </a:lnTo>
                                <a:lnTo>
                                  <a:pt x="105206" y="135191"/>
                                </a:lnTo>
                                <a:lnTo>
                                  <a:pt x="96050" y="135191"/>
                                </a:lnTo>
                                <a:lnTo>
                                  <a:pt x="77698" y="163677"/>
                                </a:lnTo>
                                <a:lnTo>
                                  <a:pt x="77698" y="172288"/>
                                </a:lnTo>
                                <a:lnTo>
                                  <a:pt x="94373" y="209257"/>
                                </a:lnTo>
                                <a:lnTo>
                                  <a:pt x="106705" y="209257"/>
                                </a:lnTo>
                                <a:lnTo>
                                  <a:pt x="124841" y="181813"/>
                                </a:lnTo>
                                <a:lnTo>
                                  <a:pt x="124968" y="165074"/>
                                </a:lnTo>
                                <a:close/>
                              </a:path>
                              <a:path w="715645" h="228600">
                                <a:moveTo>
                                  <a:pt x="181241" y="46609"/>
                                </a:moveTo>
                                <a:lnTo>
                                  <a:pt x="181229" y="28486"/>
                                </a:lnTo>
                                <a:lnTo>
                                  <a:pt x="180924" y="25133"/>
                                </a:lnTo>
                                <a:lnTo>
                                  <a:pt x="180835" y="24155"/>
                                </a:lnTo>
                                <a:lnTo>
                                  <a:pt x="172250" y="5207"/>
                                </a:lnTo>
                                <a:lnTo>
                                  <a:pt x="172250" y="25133"/>
                                </a:lnTo>
                                <a:lnTo>
                                  <a:pt x="172250" y="48983"/>
                                </a:lnTo>
                                <a:lnTo>
                                  <a:pt x="170865" y="56908"/>
                                </a:lnTo>
                                <a:lnTo>
                                  <a:pt x="165315" y="64833"/>
                                </a:lnTo>
                                <a:lnTo>
                                  <a:pt x="161696" y="66916"/>
                                </a:lnTo>
                                <a:lnTo>
                                  <a:pt x="153847" y="66916"/>
                                </a:lnTo>
                                <a:lnTo>
                                  <a:pt x="150253" y="64833"/>
                                </a:lnTo>
                                <a:lnTo>
                                  <a:pt x="144602" y="56908"/>
                                </a:lnTo>
                                <a:lnTo>
                                  <a:pt x="143205" y="48983"/>
                                </a:lnTo>
                                <a:lnTo>
                                  <a:pt x="143205" y="25133"/>
                                </a:lnTo>
                                <a:lnTo>
                                  <a:pt x="153555" y="7391"/>
                                </a:lnTo>
                                <a:lnTo>
                                  <a:pt x="161823" y="7391"/>
                                </a:lnTo>
                                <a:lnTo>
                                  <a:pt x="165315" y="9359"/>
                                </a:lnTo>
                                <a:lnTo>
                                  <a:pt x="170865" y="17183"/>
                                </a:lnTo>
                                <a:lnTo>
                                  <a:pt x="172250" y="25133"/>
                                </a:lnTo>
                                <a:lnTo>
                                  <a:pt x="172250" y="5207"/>
                                </a:lnTo>
                                <a:lnTo>
                                  <a:pt x="170916" y="3962"/>
                                </a:lnTo>
                                <a:lnTo>
                                  <a:pt x="165011" y="787"/>
                                </a:lnTo>
                                <a:lnTo>
                                  <a:pt x="161594" y="0"/>
                                </a:lnTo>
                                <a:lnTo>
                                  <a:pt x="152450" y="0"/>
                                </a:lnTo>
                                <a:lnTo>
                                  <a:pt x="134086" y="28486"/>
                                </a:lnTo>
                                <a:lnTo>
                                  <a:pt x="134086" y="37096"/>
                                </a:lnTo>
                                <a:lnTo>
                                  <a:pt x="134493" y="45643"/>
                                </a:lnTo>
                                <a:lnTo>
                                  <a:pt x="134531" y="46609"/>
                                </a:lnTo>
                                <a:lnTo>
                                  <a:pt x="150774" y="74066"/>
                                </a:lnTo>
                                <a:lnTo>
                                  <a:pt x="163106" y="74066"/>
                                </a:lnTo>
                                <a:lnTo>
                                  <a:pt x="167513" y="72644"/>
                                </a:lnTo>
                                <a:lnTo>
                                  <a:pt x="174472" y="66916"/>
                                </a:lnTo>
                                <a:lnTo>
                                  <a:pt x="177063" y="62890"/>
                                </a:lnTo>
                                <a:lnTo>
                                  <a:pt x="180517" y="52501"/>
                                </a:lnTo>
                                <a:lnTo>
                                  <a:pt x="181241" y="46609"/>
                                </a:lnTo>
                                <a:close/>
                              </a:path>
                              <a:path w="715645" h="228600">
                                <a:moveTo>
                                  <a:pt x="181356" y="165074"/>
                                </a:moveTo>
                                <a:lnTo>
                                  <a:pt x="172250" y="140398"/>
                                </a:lnTo>
                                <a:lnTo>
                                  <a:pt x="172250" y="160324"/>
                                </a:lnTo>
                                <a:lnTo>
                                  <a:pt x="172250" y="184175"/>
                                </a:lnTo>
                                <a:lnTo>
                                  <a:pt x="170865" y="192100"/>
                                </a:lnTo>
                                <a:lnTo>
                                  <a:pt x="165315" y="200025"/>
                                </a:lnTo>
                                <a:lnTo>
                                  <a:pt x="161696" y="202107"/>
                                </a:lnTo>
                                <a:lnTo>
                                  <a:pt x="153847" y="202107"/>
                                </a:lnTo>
                                <a:lnTo>
                                  <a:pt x="150253" y="200025"/>
                                </a:lnTo>
                                <a:lnTo>
                                  <a:pt x="144602" y="192100"/>
                                </a:lnTo>
                                <a:lnTo>
                                  <a:pt x="143205" y="184175"/>
                                </a:lnTo>
                                <a:lnTo>
                                  <a:pt x="143205" y="160324"/>
                                </a:lnTo>
                                <a:lnTo>
                                  <a:pt x="153555" y="142582"/>
                                </a:lnTo>
                                <a:lnTo>
                                  <a:pt x="161823" y="142582"/>
                                </a:lnTo>
                                <a:lnTo>
                                  <a:pt x="165315" y="144551"/>
                                </a:lnTo>
                                <a:lnTo>
                                  <a:pt x="170865" y="152374"/>
                                </a:lnTo>
                                <a:lnTo>
                                  <a:pt x="172250" y="160324"/>
                                </a:lnTo>
                                <a:lnTo>
                                  <a:pt x="172250" y="140398"/>
                                </a:lnTo>
                                <a:lnTo>
                                  <a:pt x="170916" y="139153"/>
                                </a:lnTo>
                                <a:lnTo>
                                  <a:pt x="165011" y="135978"/>
                                </a:lnTo>
                                <a:lnTo>
                                  <a:pt x="161594" y="135191"/>
                                </a:lnTo>
                                <a:lnTo>
                                  <a:pt x="152450" y="135191"/>
                                </a:lnTo>
                                <a:lnTo>
                                  <a:pt x="134086" y="163677"/>
                                </a:lnTo>
                                <a:lnTo>
                                  <a:pt x="134086" y="172288"/>
                                </a:lnTo>
                                <a:lnTo>
                                  <a:pt x="134493" y="180835"/>
                                </a:lnTo>
                                <a:lnTo>
                                  <a:pt x="134531" y="181813"/>
                                </a:lnTo>
                                <a:lnTo>
                                  <a:pt x="150774" y="209257"/>
                                </a:lnTo>
                                <a:lnTo>
                                  <a:pt x="163106" y="209257"/>
                                </a:lnTo>
                                <a:lnTo>
                                  <a:pt x="181241" y="181813"/>
                                </a:lnTo>
                                <a:lnTo>
                                  <a:pt x="181356" y="165074"/>
                                </a:lnTo>
                                <a:close/>
                              </a:path>
                              <a:path w="715645" h="228600">
                                <a:moveTo>
                                  <a:pt x="240969" y="135458"/>
                                </a:moveTo>
                                <a:lnTo>
                                  <a:pt x="221310" y="135458"/>
                                </a:lnTo>
                                <a:lnTo>
                                  <a:pt x="221310" y="228269"/>
                                </a:lnTo>
                                <a:lnTo>
                                  <a:pt x="240969" y="228269"/>
                                </a:lnTo>
                                <a:lnTo>
                                  <a:pt x="240969" y="220878"/>
                                </a:lnTo>
                                <a:lnTo>
                                  <a:pt x="230289" y="220878"/>
                                </a:lnTo>
                                <a:lnTo>
                                  <a:pt x="230289" y="142849"/>
                                </a:lnTo>
                                <a:lnTo>
                                  <a:pt x="240969" y="142849"/>
                                </a:lnTo>
                                <a:lnTo>
                                  <a:pt x="240969" y="135458"/>
                                </a:lnTo>
                                <a:close/>
                              </a:path>
                              <a:path w="715645" h="228600">
                                <a:moveTo>
                                  <a:pt x="240969" y="266"/>
                                </a:moveTo>
                                <a:lnTo>
                                  <a:pt x="221310" y="266"/>
                                </a:lnTo>
                                <a:lnTo>
                                  <a:pt x="221310" y="93078"/>
                                </a:lnTo>
                                <a:lnTo>
                                  <a:pt x="240969" y="93078"/>
                                </a:lnTo>
                                <a:lnTo>
                                  <a:pt x="240969" y="85686"/>
                                </a:lnTo>
                                <a:lnTo>
                                  <a:pt x="230289" y="85686"/>
                                </a:lnTo>
                                <a:lnTo>
                                  <a:pt x="230289" y="7658"/>
                                </a:lnTo>
                                <a:lnTo>
                                  <a:pt x="240969" y="7658"/>
                                </a:lnTo>
                                <a:lnTo>
                                  <a:pt x="240969" y="266"/>
                                </a:lnTo>
                                <a:close/>
                              </a:path>
                              <a:path w="715645" h="228600">
                                <a:moveTo>
                                  <a:pt x="294106" y="165074"/>
                                </a:moveTo>
                                <a:lnTo>
                                  <a:pt x="293662" y="160324"/>
                                </a:lnTo>
                                <a:lnTo>
                                  <a:pt x="293573" y="159359"/>
                                </a:lnTo>
                                <a:lnTo>
                                  <a:pt x="291452" y="150901"/>
                                </a:lnTo>
                                <a:lnTo>
                                  <a:pt x="289966" y="147320"/>
                                </a:lnTo>
                                <a:lnTo>
                                  <a:pt x="286854" y="142582"/>
                                </a:lnTo>
                                <a:lnTo>
                                  <a:pt x="286092" y="141427"/>
                                </a:lnTo>
                                <a:lnTo>
                                  <a:pt x="284988" y="140398"/>
                                </a:lnTo>
                                <a:lnTo>
                                  <a:pt x="284988" y="160324"/>
                                </a:lnTo>
                                <a:lnTo>
                                  <a:pt x="284988" y="184175"/>
                                </a:lnTo>
                                <a:lnTo>
                                  <a:pt x="283603" y="192100"/>
                                </a:lnTo>
                                <a:lnTo>
                                  <a:pt x="278053" y="200025"/>
                                </a:lnTo>
                                <a:lnTo>
                                  <a:pt x="274434" y="202107"/>
                                </a:lnTo>
                                <a:lnTo>
                                  <a:pt x="266598" y="202107"/>
                                </a:lnTo>
                                <a:lnTo>
                                  <a:pt x="262991" y="200025"/>
                                </a:lnTo>
                                <a:lnTo>
                                  <a:pt x="257352" y="192100"/>
                                </a:lnTo>
                                <a:lnTo>
                                  <a:pt x="255943" y="184175"/>
                                </a:lnTo>
                                <a:lnTo>
                                  <a:pt x="255943" y="160324"/>
                                </a:lnTo>
                                <a:lnTo>
                                  <a:pt x="266293" y="142582"/>
                                </a:lnTo>
                                <a:lnTo>
                                  <a:pt x="274561" y="142582"/>
                                </a:lnTo>
                                <a:lnTo>
                                  <a:pt x="278053" y="144551"/>
                                </a:lnTo>
                                <a:lnTo>
                                  <a:pt x="283603" y="152374"/>
                                </a:lnTo>
                                <a:lnTo>
                                  <a:pt x="284988" y="160324"/>
                                </a:lnTo>
                                <a:lnTo>
                                  <a:pt x="284988" y="140398"/>
                                </a:lnTo>
                                <a:lnTo>
                                  <a:pt x="283654" y="139153"/>
                                </a:lnTo>
                                <a:lnTo>
                                  <a:pt x="277749" y="135978"/>
                                </a:lnTo>
                                <a:lnTo>
                                  <a:pt x="274332" y="135191"/>
                                </a:lnTo>
                                <a:lnTo>
                                  <a:pt x="265188" y="135191"/>
                                </a:lnTo>
                                <a:lnTo>
                                  <a:pt x="246824" y="163677"/>
                                </a:lnTo>
                                <a:lnTo>
                                  <a:pt x="246824" y="172288"/>
                                </a:lnTo>
                                <a:lnTo>
                                  <a:pt x="247230" y="180835"/>
                                </a:lnTo>
                                <a:lnTo>
                                  <a:pt x="247269" y="181813"/>
                                </a:lnTo>
                                <a:lnTo>
                                  <a:pt x="263512" y="209257"/>
                                </a:lnTo>
                                <a:lnTo>
                                  <a:pt x="275831" y="209257"/>
                                </a:lnTo>
                                <a:lnTo>
                                  <a:pt x="293979" y="181813"/>
                                </a:lnTo>
                                <a:lnTo>
                                  <a:pt x="294106" y="165074"/>
                                </a:lnTo>
                                <a:close/>
                              </a:path>
                              <a:path w="715645" h="228600">
                                <a:moveTo>
                                  <a:pt x="294106" y="29883"/>
                                </a:moveTo>
                                <a:lnTo>
                                  <a:pt x="293662" y="25133"/>
                                </a:lnTo>
                                <a:lnTo>
                                  <a:pt x="293573" y="24155"/>
                                </a:lnTo>
                                <a:lnTo>
                                  <a:pt x="291452" y="15709"/>
                                </a:lnTo>
                                <a:lnTo>
                                  <a:pt x="289966" y="12128"/>
                                </a:lnTo>
                                <a:lnTo>
                                  <a:pt x="286854" y="7391"/>
                                </a:lnTo>
                                <a:lnTo>
                                  <a:pt x="286092" y="6235"/>
                                </a:lnTo>
                                <a:lnTo>
                                  <a:pt x="284988" y="5207"/>
                                </a:lnTo>
                                <a:lnTo>
                                  <a:pt x="284988" y="25133"/>
                                </a:lnTo>
                                <a:lnTo>
                                  <a:pt x="284988" y="48983"/>
                                </a:lnTo>
                                <a:lnTo>
                                  <a:pt x="283603" y="56908"/>
                                </a:lnTo>
                                <a:lnTo>
                                  <a:pt x="278053" y="64833"/>
                                </a:lnTo>
                                <a:lnTo>
                                  <a:pt x="274434" y="66916"/>
                                </a:lnTo>
                                <a:lnTo>
                                  <a:pt x="266598" y="66916"/>
                                </a:lnTo>
                                <a:lnTo>
                                  <a:pt x="262991" y="64833"/>
                                </a:lnTo>
                                <a:lnTo>
                                  <a:pt x="257352" y="56908"/>
                                </a:lnTo>
                                <a:lnTo>
                                  <a:pt x="255943" y="48983"/>
                                </a:lnTo>
                                <a:lnTo>
                                  <a:pt x="255943" y="25133"/>
                                </a:lnTo>
                                <a:lnTo>
                                  <a:pt x="266293" y="7391"/>
                                </a:lnTo>
                                <a:lnTo>
                                  <a:pt x="274561" y="7391"/>
                                </a:lnTo>
                                <a:lnTo>
                                  <a:pt x="278053" y="9359"/>
                                </a:lnTo>
                                <a:lnTo>
                                  <a:pt x="283603" y="17183"/>
                                </a:lnTo>
                                <a:lnTo>
                                  <a:pt x="284988" y="25133"/>
                                </a:lnTo>
                                <a:lnTo>
                                  <a:pt x="284988" y="5207"/>
                                </a:lnTo>
                                <a:lnTo>
                                  <a:pt x="283654" y="3962"/>
                                </a:lnTo>
                                <a:lnTo>
                                  <a:pt x="277749" y="787"/>
                                </a:lnTo>
                                <a:lnTo>
                                  <a:pt x="274332" y="0"/>
                                </a:lnTo>
                                <a:lnTo>
                                  <a:pt x="265188" y="0"/>
                                </a:lnTo>
                                <a:lnTo>
                                  <a:pt x="246824" y="28486"/>
                                </a:lnTo>
                                <a:lnTo>
                                  <a:pt x="246824" y="37096"/>
                                </a:lnTo>
                                <a:lnTo>
                                  <a:pt x="247230" y="45643"/>
                                </a:lnTo>
                                <a:lnTo>
                                  <a:pt x="247269" y="46609"/>
                                </a:lnTo>
                                <a:lnTo>
                                  <a:pt x="263512" y="74066"/>
                                </a:lnTo>
                                <a:lnTo>
                                  <a:pt x="275831" y="74066"/>
                                </a:lnTo>
                                <a:lnTo>
                                  <a:pt x="293979" y="46609"/>
                                </a:lnTo>
                                <a:lnTo>
                                  <a:pt x="294106" y="29883"/>
                                </a:lnTo>
                                <a:close/>
                              </a:path>
                              <a:path w="715645" h="228600">
                                <a:moveTo>
                                  <a:pt x="318414" y="197904"/>
                                </a:moveTo>
                                <a:lnTo>
                                  <a:pt x="308241" y="197904"/>
                                </a:lnTo>
                                <a:lnTo>
                                  <a:pt x="308241" y="208076"/>
                                </a:lnTo>
                                <a:lnTo>
                                  <a:pt x="318414" y="208076"/>
                                </a:lnTo>
                                <a:lnTo>
                                  <a:pt x="318414" y="197904"/>
                                </a:lnTo>
                                <a:close/>
                              </a:path>
                              <a:path w="715645" h="228600">
                                <a:moveTo>
                                  <a:pt x="318414" y="62712"/>
                                </a:moveTo>
                                <a:lnTo>
                                  <a:pt x="308241" y="62712"/>
                                </a:lnTo>
                                <a:lnTo>
                                  <a:pt x="308241" y="72872"/>
                                </a:lnTo>
                                <a:lnTo>
                                  <a:pt x="318414" y="72872"/>
                                </a:lnTo>
                                <a:lnTo>
                                  <a:pt x="318414" y="62712"/>
                                </a:lnTo>
                                <a:close/>
                              </a:path>
                              <a:path w="715645" h="228600">
                                <a:moveTo>
                                  <a:pt x="379056" y="161417"/>
                                </a:moveTo>
                                <a:lnTo>
                                  <a:pt x="378079" y="154825"/>
                                </a:lnTo>
                                <a:lnTo>
                                  <a:pt x="378053" y="154622"/>
                                </a:lnTo>
                                <a:lnTo>
                                  <a:pt x="374002" y="145211"/>
                                </a:lnTo>
                                <a:lnTo>
                                  <a:pt x="371856" y="142582"/>
                                </a:lnTo>
                                <a:lnTo>
                                  <a:pt x="371030" y="141579"/>
                                </a:lnTo>
                                <a:lnTo>
                                  <a:pt x="369163" y="140373"/>
                                </a:lnTo>
                                <a:lnTo>
                                  <a:pt x="369163" y="154114"/>
                                </a:lnTo>
                                <a:lnTo>
                                  <a:pt x="369074" y="164592"/>
                                </a:lnTo>
                                <a:lnTo>
                                  <a:pt x="367842" y="168338"/>
                                </a:lnTo>
                                <a:lnTo>
                                  <a:pt x="362559" y="174142"/>
                                </a:lnTo>
                                <a:lnTo>
                                  <a:pt x="359168" y="175602"/>
                                </a:lnTo>
                                <a:lnTo>
                                  <a:pt x="350977" y="175602"/>
                                </a:lnTo>
                                <a:lnTo>
                                  <a:pt x="347548" y="174142"/>
                                </a:lnTo>
                                <a:lnTo>
                                  <a:pt x="341922" y="168338"/>
                                </a:lnTo>
                                <a:lnTo>
                                  <a:pt x="340499" y="164592"/>
                                </a:lnTo>
                                <a:lnTo>
                                  <a:pt x="340575" y="154622"/>
                                </a:lnTo>
                                <a:lnTo>
                                  <a:pt x="341985" y="150622"/>
                                </a:lnTo>
                                <a:lnTo>
                                  <a:pt x="347878" y="144195"/>
                                </a:lnTo>
                                <a:lnTo>
                                  <a:pt x="351332" y="142582"/>
                                </a:lnTo>
                                <a:lnTo>
                                  <a:pt x="359168" y="142582"/>
                                </a:lnTo>
                                <a:lnTo>
                                  <a:pt x="362699" y="144195"/>
                                </a:lnTo>
                                <a:lnTo>
                                  <a:pt x="362546" y="144195"/>
                                </a:lnTo>
                                <a:lnTo>
                                  <a:pt x="367830" y="150063"/>
                                </a:lnTo>
                                <a:lnTo>
                                  <a:pt x="369163" y="154114"/>
                                </a:lnTo>
                                <a:lnTo>
                                  <a:pt x="369163" y="140373"/>
                                </a:lnTo>
                                <a:lnTo>
                                  <a:pt x="363194" y="136474"/>
                                </a:lnTo>
                                <a:lnTo>
                                  <a:pt x="358914" y="135191"/>
                                </a:lnTo>
                                <a:lnTo>
                                  <a:pt x="347726" y="135191"/>
                                </a:lnTo>
                                <a:lnTo>
                                  <a:pt x="342290" y="137439"/>
                                </a:lnTo>
                                <a:lnTo>
                                  <a:pt x="333578" y="146418"/>
                                </a:lnTo>
                                <a:lnTo>
                                  <a:pt x="331393" y="152349"/>
                                </a:lnTo>
                                <a:lnTo>
                                  <a:pt x="331393" y="166890"/>
                                </a:lnTo>
                                <a:lnTo>
                                  <a:pt x="333476" y="172618"/>
                                </a:lnTo>
                                <a:lnTo>
                                  <a:pt x="341744" y="181343"/>
                                </a:lnTo>
                                <a:lnTo>
                                  <a:pt x="346837" y="183527"/>
                                </a:lnTo>
                                <a:lnTo>
                                  <a:pt x="356527" y="183527"/>
                                </a:lnTo>
                                <a:lnTo>
                                  <a:pt x="370217" y="173875"/>
                                </a:lnTo>
                                <a:lnTo>
                                  <a:pt x="370205" y="179565"/>
                                </a:lnTo>
                                <a:lnTo>
                                  <a:pt x="369836" y="182613"/>
                                </a:lnTo>
                                <a:lnTo>
                                  <a:pt x="369785" y="183057"/>
                                </a:lnTo>
                                <a:lnTo>
                                  <a:pt x="368007" y="190182"/>
                                </a:lnTo>
                                <a:lnTo>
                                  <a:pt x="366915" y="193001"/>
                                </a:lnTo>
                                <a:lnTo>
                                  <a:pt x="364274" y="197129"/>
                                </a:lnTo>
                                <a:lnTo>
                                  <a:pt x="362585" y="198805"/>
                                </a:lnTo>
                                <a:lnTo>
                                  <a:pt x="358292" y="201447"/>
                                </a:lnTo>
                                <a:lnTo>
                                  <a:pt x="358101" y="201447"/>
                                </a:lnTo>
                                <a:lnTo>
                                  <a:pt x="355663" y="202107"/>
                                </a:lnTo>
                                <a:lnTo>
                                  <a:pt x="350443" y="202107"/>
                                </a:lnTo>
                                <a:lnTo>
                                  <a:pt x="347535" y="201091"/>
                                </a:lnTo>
                                <a:lnTo>
                                  <a:pt x="343395" y="197485"/>
                                </a:lnTo>
                                <a:lnTo>
                                  <a:pt x="341998" y="194564"/>
                                </a:lnTo>
                                <a:lnTo>
                                  <a:pt x="341312" y="190512"/>
                                </a:lnTo>
                                <a:lnTo>
                                  <a:pt x="332714" y="191300"/>
                                </a:lnTo>
                                <a:lnTo>
                                  <a:pt x="347459" y="209257"/>
                                </a:lnTo>
                                <a:lnTo>
                                  <a:pt x="358457" y="209257"/>
                                </a:lnTo>
                                <a:lnTo>
                                  <a:pt x="379056" y="179565"/>
                                </a:lnTo>
                                <a:lnTo>
                                  <a:pt x="379056" y="173875"/>
                                </a:lnTo>
                                <a:lnTo>
                                  <a:pt x="379056" y="161417"/>
                                </a:lnTo>
                                <a:close/>
                              </a:path>
                              <a:path w="715645" h="228600">
                                <a:moveTo>
                                  <a:pt x="379056" y="26225"/>
                                </a:moveTo>
                                <a:lnTo>
                                  <a:pt x="378079" y="19634"/>
                                </a:lnTo>
                                <a:lnTo>
                                  <a:pt x="378053" y="19431"/>
                                </a:lnTo>
                                <a:lnTo>
                                  <a:pt x="374002" y="10007"/>
                                </a:lnTo>
                                <a:lnTo>
                                  <a:pt x="371856" y="7391"/>
                                </a:lnTo>
                                <a:lnTo>
                                  <a:pt x="371030" y="6375"/>
                                </a:lnTo>
                                <a:lnTo>
                                  <a:pt x="369163" y="5168"/>
                                </a:lnTo>
                                <a:lnTo>
                                  <a:pt x="369163" y="18923"/>
                                </a:lnTo>
                                <a:lnTo>
                                  <a:pt x="369074" y="29400"/>
                                </a:lnTo>
                                <a:lnTo>
                                  <a:pt x="367842" y="33147"/>
                                </a:lnTo>
                                <a:lnTo>
                                  <a:pt x="362559" y="38950"/>
                                </a:lnTo>
                                <a:lnTo>
                                  <a:pt x="359168" y="40398"/>
                                </a:lnTo>
                                <a:lnTo>
                                  <a:pt x="350977" y="40398"/>
                                </a:lnTo>
                                <a:lnTo>
                                  <a:pt x="347548" y="38950"/>
                                </a:lnTo>
                                <a:lnTo>
                                  <a:pt x="341922" y="33147"/>
                                </a:lnTo>
                                <a:lnTo>
                                  <a:pt x="340499" y="29400"/>
                                </a:lnTo>
                                <a:lnTo>
                                  <a:pt x="340575" y="19431"/>
                                </a:lnTo>
                                <a:lnTo>
                                  <a:pt x="362546" y="9004"/>
                                </a:lnTo>
                                <a:lnTo>
                                  <a:pt x="367830" y="14871"/>
                                </a:lnTo>
                                <a:lnTo>
                                  <a:pt x="369163" y="18923"/>
                                </a:lnTo>
                                <a:lnTo>
                                  <a:pt x="369163" y="5168"/>
                                </a:lnTo>
                                <a:lnTo>
                                  <a:pt x="363194" y="1270"/>
                                </a:lnTo>
                                <a:lnTo>
                                  <a:pt x="358914" y="0"/>
                                </a:lnTo>
                                <a:lnTo>
                                  <a:pt x="347726" y="0"/>
                                </a:lnTo>
                                <a:lnTo>
                                  <a:pt x="342290" y="2247"/>
                                </a:lnTo>
                                <a:lnTo>
                                  <a:pt x="333578" y="11226"/>
                                </a:lnTo>
                                <a:lnTo>
                                  <a:pt x="331393" y="17157"/>
                                </a:lnTo>
                                <a:lnTo>
                                  <a:pt x="331393" y="31686"/>
                                </a:lnTo>
                                <a:lnTo>
                                  <a:pt x="333476" y="37426"/>
                                </a:lnTo>
                                <a:lnTo>
                                  <a:pt x="341744" y="46151"/>
                                </a:lnTo>
                                <a:lnTo>
                                  <a:pt x="346837" y="48323"/>
                                </a:lnTo>
                                <a:lnTo>
                                  <a:pt x="356527" y="48323"/>
                                </a:lnTo>
                                <a:lnTo>
                                  <a:pt x="359879" y="47421"/>
                                </a:lnTo>
                                <a:lnTo>
                                  <a:pt x="366039" y="43815"/>
                                </a:lnTo>
                                <a:lnTo>
                                  <a:pt x="368452" y="41490"/>
                                </a:lnTo>
                                <a:lnTo>
                                  <a:pt x="369138" y="40398"/>
                                </a:lnTo>
                                <a:lnTo>
                                  <a:pt x="370217" y="38684"/>
                                </a:lnTo>
                                <a:lnTo>
                                  <a:pt x="370205" y="44361"/>
                                </a:lnTo>
                                <a:lnTo>
                                  <a:pt x="369836" y="47421"/>
                                </a:lnTo>
                                <a:lnTo>
                                  <a:pt x="369785" y="47853"/>
                                </a:lnTo>
                                <a:lnTo>
                                  <a:pt x="358292" y="66255"/>
                                </a:lnTo>
                                <a:lnTo>
                                  <a:pt x="358101" y="66255"/>
                                </a:lnTo>
                                <a:lnTo>
                                  <a:pt x="355663" y="66916"/>
                                </a:lnTo>
                                <a:lnTo>
                                  <a:pt x="350443" y="66916"/>
                                </a:lnTo>
                                <a:lnTo>
                                  <a:pt x="347535" y="65900"/>
                                </a:lnTo>
                                <a:lnTo>
                                  <a:pt x="343395" y="62293"/>
                                </a:lnTo>
                                <a:lnTo>
                                  <a:pt x="341998" y="59372"/>
                                </a:lnTo>
                                <a:lnTo>
                                  <a:pt x="341312" y="55321"/>
                                </a:lnTo>
                                <a:lnTo>
                                  <a:pt x="332714" y="56108"/>
                                </a:lnTo>
                                <a:lnTo>
                                  <a:pt x="347459" y="74066"/>
                                </a:lnTo>
                                <a:lnTo>
                                  <a:pt x="358457" y="74066"/>
                                </a:lnTo>
                                <a:lnTo>
                                  <a:pt x="379056" y="44361"/>
                                </a:lnTo>
                                <a:lnTo>
                                  <a:pt x="379056" y="38684"/>
                                </a:lnTo>
                                <a:lnTo>
                                  <a:pt x="379056" y="26225"/>
                                </a:lnTo>
                                <a:close/>
                              </a:path>
                              <a:path w="715645" h="228600">
                                <a:moveTo>
                                  <a:pt x="435063" y="47269"/>
                                </a:moveTo>
                                <a:lnTo>
                                  <a:pt x="425284" y="47269"/>
                                </a:lnTo>
                                <a:lnTo>
                                  <a:pt x="425284" y="14655"/>
                                </a:lnTo>
                                <a:lnTo>
                                  <a:pt x="425284" y="266"/>
                                </a:lnTo>
                                <a:lnTo>
                                  <a:pt x="418033" y="266"/>
                                </a:lnTo>
                                <a:lnTo>
                                  <a:pt x="416318" y="2705"/>
                                </a:lnTo>
                                <a:lnTo>
                                  <a:pt x="416318" y="14655"/>
                                </a:lnTo>
                                <a:lnTo>
                                  <a:pt x="416318" y="47269"/>
                                </a:lnTo>
                                <a:lnTo>
                                  <a:pt x="393598" y="47269"/>
                                </a:lnTo>
                                <a:lnTo>
                                  <a:pt x="416318" y="14655"/>
                                </a:lnTo>
                                <a:lnTo>
                                  <a:pt x="416318" y="2705"/>
                                </a:lnTo>
                                <a:lnTo>
                                  <a:pt x="384886" y="47269"/>
                                </a:lnTo>
                                <a:lnTo>
                                  <a:pt x="384886" y="55448"/>
                                </a:lnTo>
                                <a:lnTo>
                                  <a:pt x="416318" y="55448"/>
                                </a:lnTo>
                                <a:lnTo>
                                  <a:pt x="416318" y="72885"/>
                                </a:lnTo>
                                <a:lnTo>
                                  <a:pt x="425284" y="72885"/>
                                </a:lnTo>
                                <a:lnTo>
                                  <a:pt x="425284" y="55448"/>
                                </a:lnTo>
                                <a:lnTo>
                                  <a:pt x="435063" y="55448"/>
                                </a:lnTo>
                                <a:lnTo>
                                  <a:pt x="435063" y="47269"/>
                                </a:lnTo>
                                <a:close/>
                              </a:path>
                              <a:path w="715645" h="228600">
                                <a:moveTo>
                                  <a:pt x="435457" y="182943"/>
                                </a:moveTo>
                                <a:lnTo>
                                  <a:pt x="435305" y="182333"/>
                                </a:lnTo>
                                <a:lnTo>
                                  <a:pt x="434314" y="178981"/>
                                </a:lnTo>
                                <a:lnTo>
                                  <a:pt x="432015" y="175729"/>
                                </a:lnTo>
                                <a:lnTo>
                                  <a:pt x="429806" y="172554"/>
                                </a:lnTo>
                                <a:lnTo>
                                  <a:pt x="426339" y="170129"/>
                                </a:lnTo>
                                <a:lnTo>
                                  <a:pt x="426339" y="191706"/>
                                </a:lnTo>
                                <a:lnTo>
                                  <a:pt x="424967" y="195186"/>
                                </a:lnTo>
                                <a:lnTo>
                                  <a:pt x="419417" y="200634"/>
                                </a:lnTo>
                                <a:lnTo>
                                  <a:pt x="415925" y="202006"/>
                                </a:lnTo>
                                <a:lnTo>
                                  <a:pt x="408965" y="202006"/>
                                </a:lnTo>
                                <a:lnTo>
                                  <a:pt x="396913" y="189636"/>
                                </a:lnTo>
                                <a:lnTo>
                                  <a:pt x="396913" y="182943"/>
                                </a:lnTo>
                                <a:lnTo>
                                  <a:pt x="398208" y="179603"/>
                                </a:lnTo>
                                <a:lnTo>
                                  <a:pt x="398754" y="178981"/>
                                </a:lnTo>
                                <a:lnTo>
                                  <a:pt x="403707" y="173964"/>
                                </a:lnTo>
                                <a:lnTo>
                                  <a:pt x="407200" y="172554"/>
                                </a:lnTo>
                                <a:lnTo>
                                  <a:pt x="415734" y="172554"/>
                                </a:lnTo>
                                <a:lnTo>
                                  <a:pt x="419303" y="173964"/>
                                </a:lnTo>
                                <a:lnTo>
                                  <a:pt x="424942" y="179603"/>
                                </a:lnTo>
                                <a:lnTo>
                                  <a:pt x="426250" y="182943"/>
                                </a:lnTo>
                                <a:lnTo>
                                  <a:pt x="426339" y="191706"/>
                                </a:lnTo>
                                <a:lnTo>
                                  <a:pt x="426339" y="170129"/>
                                </a:lnTo>
                                <a:lnTo>
                                  <a:pt x="421868" y="168732"/>
                                </a:lnTo>
                                <a:lnTo>
                                  <a:pt x="425462" y="167322"/>
                                </a:lnTo>
                                <a:lnTo>
                                  <a:pt x="428155" y="165392"/>
                                </a:lnTo>
                                <a:lnTo>
                                  <a:pt x="431673" y="160451"/>
                                </a:lnTo>
                                <a:lnTo>
                                  <a:pt x="432549" y="157556"/>
                                </a:lnTo>
                                <a:lnTo>
                                  <a:pt x="432435" y="148653"/>
                                </a:lnTo>
                                <a:lnTo>
                                  <a:pt x="430606" y="144424"/>
                                </a:lnTo>
                                <a:lnTo>
                                  <a:pt x="428536" y="142455"/>
                                </a:lnTo>
                                <a:lnTo>
                                  <a:pt x="423341" y="137502"/>
                                </a:lnTo>
                                <a:lnTo>
                                  <a:pt x="423341" y="150545"/>
                                </a:lnTo>
                                <a:lnTo>
                                  <a:pt x="423316" y="157556"/>
                                </a:lnTo>
                                <a:lnTo>
                                  <a:pt x="422338" y="159905"/>
                                </a:lnTo>
                                <a:lnTo>
                                  <a:pt x="417931" y="164223"/>
                                </a:lnTo>
                                <a:lnTo>
                                  <a:pt x="414896" y="165392"/>
                                </a:lnTo>
                                <a:lnTo>
                                  <a:pt x="408393" y="165392"/>
                                </a:lnTo>
                                <a:lnTo>
                                  <a:pt x="399669" y="150545"/>
                                </a:lnTo>
                                <a:lnTo>
                                  <a:pt x="400748" y="148069"/>
                                </a:lnTo>
                                <a:lnTo>
                                  <a:pt x="423341" y="150545"/>
                                </a:lnTo>
                                <a:lnTo>
                                  <a:pt x="423341" y="137502"/>
                                </a:lnTo>
                                <a:lnTo>
                                  <a:pt x="422871" y="137045"/>
                                </a:lnTo>
                                <a:lnTo>
                                  <a:pt x="417766" y="135191"/>
                                </a:lnTo>
                                <a:lnTo>
                                  <a:pt x="405180" y="135191"/>
                                </a:lnTo>
                                <a:lnTo>
                                  <a:pt x="400100" y="137045"/>
                                </a:lnTo>
                                <a:lnTo>
                                  <a:pt x="392480" y="144208"/>
                                </a:lnTo>
                                <a:lnTo>
                                  <a:pt x="390575" y="148653"/>
                                </a:lnTo>
                                <a:lnTo>
                                  <a:pt x="390626" y="157556"/>
                                </a:lnTo>
                                <a:lnTo>
                                  <a:pt x="401523" y="168732"/>
                                </a:lnTo>
                                <a:lnTo>
                                  <a:pt x="397116" y="169875"/>
                                </a:lnTo>
                                <a:lnTo>
                                  <a:pt x="393712" y="172034"/>
                                </a:lnTo>
                                <a:lnTo>
                                  <a:pt x="388874" y="178371"/>
                                </a:lnTo>
                                <a:lnTo>
                                  <a:pt x="387654" y="182333"/>
                                </a:lnTo>
                                <a:lnTo>
                                  <a:pt x="387692" y="193509"/>
                                </a:lnTo>
                                <a:lnTo>
                                  <a:pt x="389864" y="198691"/>
                                </a:lnTo>
                                <a:lnTo>
                                  <a:pt x="398653" y="207149"/>
                                </a:lnTo>
                                <a:lnTo>
                                  <a:pt x="404431" y="209257"/>
                                </a:lnTo>
                                <a:lnTo>
                                  <a:pt x="418769" y="209257"/>
                                </a:lnTo>
                                <a:lnTo>
                                  <a:pt x="424561" y="207149"/>
                                </a:lnTo>
                                <a:lnTo>
                                  <a:pt x="429869" y="202006"/>
                                </a:lnTo>
                                <a:lnTo>
                                  <a:pt x="433285" y="198691"/>
                                </a:lnTo>
                                <a:lnTo>
                                  <a:pt x="435457" y="193509"/>
                                </a:lnTo>
                                <a:lnTo>
                                  <a:pt x="435457" y="182943"/>
                                </a:lnTo>
                                <a:close/>
                              </a:path>
                              <a:path w="715645" h="228600">
                                <a:moveTo>
                                  <a:pt x="459105" y="197904"/>
                                </a:moveTo>
                                <a:lnTo>
                                  <a:pt x="448932" y="197904"/>
                                </a:lnTo>
                                <a:lnTo>
                                  <a:pt x="448932" y="208076"/>
                                </a:lnTo>
                                <a:lnTo>
                                  <a:pt x="454088" y="208076"/>
                                </a:lnTo>
                                <a:lnTo>
                                  <a:pt x="453923" y="211074"/>
                                </a:lnTo>
                                <a:lnTo>
                                  <a:pt x="453390" y="213372"/>
                                </a:lnTo>
                                <a:lnTo>
                                  <a:pt x="451624" y="216636"/>
                                </a:lnTo>
                                <a:lnTo>
                                  <a:pt x="450253" y="217843"/>
                                </a:lnTo>
                                <a:lnTo>
                                  <a:pt x="448411" y="218643"/>
                                </a:lnTo>
                                <a:lnTo>
                                  <a:pt x="450926" y="222465"/>
                                </a:lnTo>
                                <a:lnTo>
                                  <a:pt x="453732" y="221234"/>
                                </a:lnTo>
                                <a:lnTo>
                                  <a:pt x="455803" y="219456"/>
                                </a:lnTo>
                                <a:lnTo>
                                  <a:pt x="458444" y="214782"/>
                                </a:lnTo>
                                <a:lnTo>
                                  <a:pt x="459105" y="211772"/>
                                </a:lnTo>
                                <a:lnTo>
                                  <a:pt x="459105" y="197904"/>
                                </a:lnTo>
                                <a:close/>
                              </a:path>
                              <a:path w="715645" h="228600">
                                <a:moveTo>
                                  <a:pt x="459105" y="62712"/>
                                </a:moveTo>
                                <a:lnTo>
                                  <a:pt x="448932" y="62712"/>
                                </a:lnTo>
                                <a:lnTo>
                                  <a:pt x="448932" y="72885"/>
                                </a:lnTo>
                                <a:lnTo>
                                  <a:pt x="454088" y="72885"/>
                                </a:lnTo>
                                <a:lnTo>
                                  <a:pt x="453923" y="75882"/>
                                </a:lnTo>
                                <a:lnTo>
                                  <a:pt x="453390" y="78181"/>
                                </a:lnTo>
                                <a:lnTo>
                                  <a:pt x="451624" y="81445"/>
                                </a:lnTo>
                                <a:lnTo>
                                  <a:pt x="450253" y="82651"/>
                                </a:lnTo>
                                <a:lnTo>
                                  <a:pt x="448411" y="83451"/>
                                </a:lnTo>
                                <a:lnTo>
                                  <a:pt x="450926" y="87274"/>
                                </a:lnTo>
                                <a:lnTo>
                                  <a:pt x="453732" y="86042"/>
                                </a:lnTo>
                                <a:lnTo>
                                  <a:pt x="455803" y="84251"/>
                                </a:lnTo>
                                <a:lnTo>
                                  <a:pt x="458444" y="79590"/>
                                </a:lnTo>
                                <a:lnTo>
                                  <a:pt x="459105" y="76581"/>
                                </a:lnTo>
                                <a:lnTo>
                                  <a:pt x="459105" y="62712"/>
                                </a:lnTo>
                                <a:close/>
                              </a:path>
                              <a:path w="715645" h="228600">
                                <a:moveTo>
                                  <a:pt x="534073" y="135191"/>
                                </a:moveTo>
                                <a:lnTo>
                                  <a:pt x="528383" y="135191"/>
                                </a:lnTo>
                                <a:lnTo>
                                  <a:pt x="526808" y="138366"/>
                                </a:lnTo>
                                <a:lnTo>
                                  <a:pt x="524141" y="141605"/>
                                </a:lnTo>
                                <a:lnTo>
                                  <a:pt x="516648" y="148196"/>
                                </a:lnTo>
                                <a:lnTo>
                                  <a:pt x="512330" y="151041"/>
                                </a:lnTo>
                                <a:lnTo>
                                  <a:pt x="507403" y="153416"/>
                                </a:lnTo>
                                <a:lnTo>
                                  <a:pt x="507403" y="162001"/>
                                </a:lnTo>
                                <a:lnTo>
                                  <a:pt x="525221" y="151295"/>
                                </a:lnTo>
                                <a:lnTo>
                                  <a:pt x="525221" y="208076"/>
                                </a:lnTo>
                                <a:lnTo>
                                  <a:pt x="534073" y="208076"/>
                                </a:lnTo>
                                <a:lnTo>
                                  <a:pt x="534073" y="151295"/>
                                </a:lnTo>
                                <a:lnTo>
                                  <a:pt x="534073" y="135191"/>
                                </a:lnTo>
                                <a:close/>
                              </a:path>
                              <a:path w="715645" h="228600">
                                <a:moveTo>
                                  <a:pt x="534073" y="0"/>
                                </a:moveTo>
                                <a:lnTo>
                                  <a:pt x="528383" y="0"/>
                                </a:lnTo>
                                <a:lnTo>
                                  <a:pt x="526808" y="3162"/>
                                </a:lnTo>
                                <a:lnTo>
                                  <a:pt x="524141" y="6400"/>
                                </a:lnTo>
                                <a:lnTo>
                                  <a:pt x="516648" y="13004"/>
                                </a:lnTo>
                                <a:lnTo>
                                  <a:pt x="512330" y="15836"/>
                                </a:lnTo>
                                <a:lnTo>
                                  <a:pt x="507403" y="18211"/>
                                </a:lnTo>
                                <a:lnTo>
                                  <a:pt x="507403" y="26809"/>
                                </a:lnTo>
                                <a:lnTo>
                                  <a:pt x="525221" y="16103"/>
                                </a:lnTo>
                                <a:lnTo>
                                  <a:pt x="525221" y="72885"/>
                                </a:lnTo>
                                <a:lnTo>
                                  <a:pt x="534073" y="72885"/>
                                </a:lnTo>
                                <a:lnTo>
                                  <a:pt x="534073" y="16103"/>
                                </a:lnTo>
                                <a:lnTo>
                                  <a:pt x="534073" y="0"/>
                                </a:lnTo>
                                <a:close/>
                              </a:path>
                              <a:path w="715645" h="228600">
                                <a:moveTo>
                                  <a:pt x="572109" y="197904"/>
                                </a:moveTo>
                                <a:lnTo>
                                  <a:pt x="561949" y="197904"/>
                                </a:lnTo>
                                <a:lnTo>
                                  <a:pt x="561949" y="208076"/>
                                </a:lnTo>
                                <a:lnTo>
                                  <a:pt x="572109" y="208076"/>
                                </a:lnTo>
                                <a:lnTo>
                                  <a:pt x="572109" y="197904"/>
                                </a:lnTo>
                                <a:close/>
                              </a:path>
                              <a:path w="715645" h="228600">
                                <a:moveTo>
                                  <a:pt x="572109" y="62712"/>
                                </a:moveTo>
                                <a:lnTo>
                                  <a:pt x="561949" y="62712"/>
                                </a:lnTo>
                                <a:lnTo>
                                  <a:pt x="561949" y="72872"/>
                                </a:lnTo>
                                <a:lnTo>
                                  <a:pt x="572109" y="72872"/>
                                </a:lnTo>
                                <a:lnTo>
                                  <a:pt x="572109" y="62712"/>
                                </a:lnTo>
                                <a:close/>
                              </a:path>
                              <a:path w="715645" h="228600">
                                <a:moveTo>
                                  <a:pt x="632371" y="165074"/>
                                </a:moveTo>
                                <a:lnTo>
                                  <a:pt x="631926" y="160324"/>
                                </a:lnTo>
                                <a:lnTo>
                                  <a:pt x="631837" y="159359"/>
                                </a:lnTo>
                                <a:lnTo>
                                  <a:pt x="629729" y="150901"/>
                                </a:lnTo>
                                <a:lnTo>
                                  <a:pt x="628243" y="147320"/>
                                </a:lnTo>
                                <a:lnTo>
                                  <a:pt x="625119" y="142582"/>
                                </a:lnTo>
                                <a:lnTo>
                                  <a:pt x="624357" y="141427"/>
                                </a:lnTo>
                                <a:lnTo>
                                  <a:pt x="623252" y="140398"/>
                                </a:lnTo>
                                <a:lnTo>
                                  <a:pt x="623252" y="160324"/>
                                </a:lnTo>
                                <a:lnTo>
                                  <a:pt x="623252" y="184175"/>
                                </a:lnTo>
                                <a:lnTo>
                                  <a:pt x="621868" y="192100"/>
                                </a:lnTo>
                                <a:lnTo>
                                  <a:pt x="616331" y="200025"/>
                                </a:lnTo>
                                <a:lnTo>
                                  <a:pt x="612698" y="202107"/>
                                </a:lnTo>
                                <a:lnTo>
                                  <a:pt x="604862" y="202107"/>
                                </a:lnTo>
                                <a:lnTo>
                                  <a:pt x="601256" y="200025"/>
                                </a:lnTo>
                                <a:lnTo>
                                  <a:pt x="595617" y="192100"/>
                                </a:lnTo>
                                <a:lnTo>
                                  <a:pt x="594207" y="184175"/>
                                </a:lnTo>
                                <a:lnTo>
                                  <a:pt x="594207" y="160324"/>
                                </a:lnTo>
                                <a:lnTo>
                                  <a:pt x="604545" y="142582"/>
                                </a:lnTo>
                                <a:lnTo>
                                  <a:pt x="612825" y="142582"/>
                                </a:lnTo>
                                <a:lnTo>
                                  <a:pt x="616331" y="144551"/>
                                </a:lnTo>
                                <a:lnTo>
                                  <a:pt x="621868" y="152374"/>
                                </a:lnTo>
                                <a:lnTo>
                                  <a:pt x="623252" y="160324"/>
                                </a:lnTo>
                                <a:lnTo>
                                  <a:pt x="623252" y="140398"/>
                                </a:lnTo>
                                <a:lnTo>
                                  <a:pt x="621919" y="139153"/>
                                </a:lnTo>
                                <a:lnTo>
                                  <a:pt x="616013" y="135978"/>
                                </a:lnTo>
                                <a:lnTo>
                                  <a:pt x="612609" y="135191"/>
                                </a:lnTo>
                                <a:lnTo>
                                  <a:pt x="603440" y="135191"/>
                                </a:lnTo>
                                <a:lnTo>
                                  <a:pt x="585089" y="163677"/>
                                </a:lnTo>
                                <a:lnTo>
                                  <a:pt x="585089" y="172288"/>
                                </a:lnTo>
                                <a:lnTo>
                                  <a:pt x="585495" y="180835"/>
                                </a:lnTo>
                                <a:lnTo>
                                  <a:pt x="585533" y="181813"/>
                                </a:lnTo>
                                <a:lnTo>
                                  <a:pt x="601776" y="209257"/>
                                </a:lnTo>
                                <a:lnTo>
                                  <a:pt x="614095" y="209257"/>
                                </a:lnTo>
                                <a:lnTo>
                                  <a:pt x="632244" y="181813"/>
                                </a:lnTo>
                                <a:lnTo>
                                  <a:pt x="632371" y="165074"/>
                                </a:lnTo>
                                <a:close/>
                              </a:path>
                              <a:path w="715645" h="228600">
                                <a:moveTo>
                                  <a:pt x="632371" y="29883"/>
                                </a:moveTo>
                                <a:lnTo>
                                  <a:pt x="631926" y="25133"/>
                                </a:lnTo>
                                <a:lnTo>
                                  <a:pt x="631837" y="24155"/>
                                </a:lnTo>
                                <a:lnTo>
                                  <a:pt x="629729" y="15709"/>
                                </a:lnTo>
                                <a:lnTo>
                                  <a:pt x="628243" y="12128"/>
                                </a:lnTo>
                                <a:lnTo>
                                  <a:pt x="625119" y="7391"/>
                                </a:lnTo>
                                <a:lnTo>
                                  <a:pt x="624357" y="6235"/>
                                </a:lnTo>
                                <a:lnTo>
                                  <a:pt x="623252" y="5207"/>
                                </a:lnTo>
                                <a:lnTo>
                                  <a:pt x="623252" y="25133"/>
                                </a:lnTo>
                                <a:lnTo>
                                  <a:pt x="623252" y="48983"/>
                                </a:lnTo>
                                <a:lnTo>
                                  <a:pt x="621868" y="56908"/>
                                </a:lnTo>
                                <a:lnTo>
                                  <a:pt x="616331" y="64833"/>
                                </a:lnTo>
                                <a:lnTo>
                                  <a:pt x="612698" y="66916"/>
                                </a:lnTo>
                                <a:lnTo>
                                  <a:pt x="604862" y="66916"/>
                                </a:lnTo>
                                <a:lnTo>
                                  <a:pt x="601256" y="64833"/>
                                </a:lnTo>
                                <a:lnTo>
                                  <a:pt x="595617" y="56908"/>
                                </a:lnTo>
                                <a:lnTo>
                                  <a:pt x="594207" y="48983"/>
                                </a:lnTo>
                                <a:lnTo>
                                  <a:pt x="594207" y="25133"/>
                                </a:lnTo>
                                <a:lnTo>
                                  <a:pt x="604545" y="7391"/>
                                </a:lnTo>
                                <a:lnTo>
                                  <a:pt x="612825" y="7391"/>
                                </a:lnTo>
                                <a:lnTo>
                                  <a:pt x="616331" y="9359"/>
                                </a:lnTo>
                                <a:lnTo>
                                  <a:pt x="621868" y="17183"/>
                                </a:lnTo>
                                <a:lnTo>
                                  <a:pt x="623252" y="25133"/>
                                </a:lnTo>
                                <a:lnTo>
                                  <a:pt x="623252" y="5207"/>
                                </a:lnTo>
                                <a:lnTo>
                                  <a:pt x="621919" y="3962"/>
                                </a:lnTo>
                                <a:lnTo>
                                  <a:pt x="616013" y="787"/>
                                </a:lnTo>
                                <a:lnTo>
                                  <a:pt x="612609" y="0"/>
                                </a:lnTo>
                                <a:lnTo>
                                  <a:pt x="603440" y="0"/>
                                </a:lnTo>
                                <a:lnTo>
                                  <a:pt x="585089" y="28486"/>
                                </a:lnTo>
                                <a:lnTo>
                                  <a:pt x="585089" y="37096"/>
                                </a:lnTo>
                                <a:lnTo>
                                  <a:pt x="585495" y="45643"/>
                                </a:lnTo>
                                <a:lnTo>
                                  <a:pt x="585533" y="46609"/>
                                </a:lnTo>
                                <a:lnTo>
                                  <a:pt x="601776" y="74066"/>
                                </a:lnTo>
                                <a:lnTo>
                                  <a:pt x="614095" y="74066"/>
                                </a:lnTo>
                                <a:lnTo>
                                  <a:pt x="632244" y="46609"/>
                                </a:lnTo>
                                <a:lnTo>
                                  <a:pt x="632371" y="29883"/>
                                </a:lnTo>
                                <a:close/>
                              </a:path>
                              <a:path w="715645" h="228600">
                                <a:moveTo>
                                  <a:pt x="688759" y="165074"/>
                                </a:moveTo>
                                <a:lnTo>
                                  <a:pt x="688314" y="160324"/>
                                </a:lnTo>
                                <a:lnTo>
                                  <a:pt x="688225" y="159359"/>
                                </a:lnTo>
                                <a:lnTo>
                                  <a:pt x="686117" y="150901"/>
                                </a:lnTo>
                                <a:lnTo>
                                  <a:pt x="684618" y="147320"/>
                                </a:lnTo>
                                <a:lnTo>
                                  <a:pt x="681507" y="142582"/>
                                </a:lnTo>
                                <a:lnTo>
                                  <a:pt x="680745" y="141427"/>
                                </a:lnTo>
                                <a:lnTo>
                                  <a:pt x="679640" y="140398"/>
                                </a:lnTo>
                                <a:lnTo>
                                  <a:pt x="679640" y="160324"/>
                                </a:lnTo>
                                <a:lnTo>
                                  <a:pt x="679640" y="184175"/>
                                </a:lnTo>
                                <a:lnTo>
                                  <a:pt x="678268" y="192100"/>
                                </a:lnTo>
                                <a:lnTo>
                                  <a:pt x="672719" y="200025"/>
                                </a:lnTo>
                                <a:lnTo>
                                  <a:pt x="669086" y="202107"/>
                                </a:lnTo>
                                <a:lnTo>
                                  <a:pt x="661250" y="202107"/>
                                </a:lnTo>
                                <a:lnTo>
                                  <a:pt x="657644" y="200025"/>
                                </a:lnTo>
                                <a:lnTo>
                                  <a:pt x="652018" y="192100"/>
                                </a:lnTo>
                                <a:lnTo>
                                  <a:pt x="650595" y="184175"/>
                                </a:lnTo>
                                <a:lnTo>
                                  <a:pt x="650595" y="160324"/>
                                </a:lnTo>
                                <a:lnTo>
                                  <a:pt x="660946" y="142582"/>
                                </a:lnTo>
                                <a:lnTo>
                                  <a:pt x="669213" y="142582"/>
                                </a:lnTo>
                                <a:lnTo>
                                  <a:pt x="672719" y="144551"/>
                                </a:lnTo>
                                <a:lnTo>
                                  <a:pt x="678268" y="152374"/>
                                </a:lnTo>
                                <a:lnTo>
                                  <a:pt x="679640" y="160324"/>
                                </a:lnTo>
                                <a:lnTo>
                                  <a:pt x="679640" y="140398"/>
                                </a:lnTo>
                                <a:lnTo>
                                  <a:pt x="678307" y="139153"/>
                                </a:lnTo>
                                <a:lnTo>
                                  <a:pt x="672401" y="135978"/>
                                </a:lnTo>
                                <a:lnTo>
                                  <a:pt x="668997" y="135191"/>
                                </a:lnTo>
                                <a:lnTo>
                                  <a:pt x="659841" y="135191"/>
                                </a:lnTo>
                                <a:lnTo>
                                  <a:pt x="641502" y="163677"/>
                                </a:lnTo>
                                <a:lnTo>
                                  <a:pt x="641502" y="172288"/>
                                </a:lnTo>
                                <a:lnTo>
                                  <a:pt x="658164" y="209257"/>
                                </a:lnTo>
                                <a:lnTo>
                                  <a:pt x="670496" y="209257"/>
                                </a:lnTo>
                                <a:lnTo>
                                  <a:pt x="688632" y="181813"/>
                                </a:lnTo>
                                <a:lnTo>
                                  <a:pt x="688759" y="165074"/>
                                </a:lnTo>
                                <a:close/>
                              </a:path>
                              <a:path w="715645" h="228600">
                                <a:moveTo>
                                  <a:pt x="688759" y="29883"/>
                                </a:moveTo>
                                <a:lnTo>
                                  <a:pt x="688314" y="25133"/>
                                </a:lnTo>
                                <a:lnTo>
                                  <a:pt x="688225" y="24155"/>
                                </a:lnTo>
                                <a:lnTo>
                                  <a:pt x="686117" y="15709"/>
                                </a:lnTo>
                                <a:lnTo>
                                  <a:pt x="684618" y="12128"/>
                                </a:lnTo>
                                <a:lnTo>
                                  <a:pt x="681507" y="7391"/>
                                </a:lnTo>
                                <a:lnTo>
                                  <a:pt x="680745" y="6235"/>
                                </a:lnTo>
                                <a:lnTo>
                                  <a:pt x="679640" y="5207"/>
                                </a:lnTo>
                                <a:lnTo>
                                  <a:pt x="679640" y="25133"/>
                                </a:lnTo>
                                <a:lnTo>
                                  <a:pt x="679640" y="48983"/>
                                </a:lnTo>
                                <a:lnTo>
                                  <a:pt x="678268" y="56908"/>
                                </a:lnTo>
                                <a:lnTo>
                                  <a:pt x="672719" y="64833"/>
                                </a:lnTo>
                                <a:lnTo>
                                  <a:pt x="669086" y="66916"/>
                                </a:lnTo>
                                <a:lnTo>
                                  <a:pt x="661250" y="66916"/>
                                </a:lnTo>
                                <a:lnTo>
                                  <a:pt x="657644" y="64833"/>
                                </a:lnTo>
                                <a:lnTo>
                                  <a:pt x="652018" y="56908"/>
                                </a:lnTo>
                                <a:lnTo>
                                  <a:pt x="650595" y="48983"/>
                                </a:lnTo>
                                <a:lnTo>
                                  <a:pt x="650595" y="25133"/>
                                </a:lnTo>
                                <a:lnTo>
                                  <a:pt x="660946" y="7391"/>
                                </a:lnTo>
                                <a:lnTo>
                                  <a:pt x="669213" y="7391"/>
                                </a:lnTo>
                                <a:lnTo>
                                  <a:pt x="672719" y="9359"/>
                                </a:lnTo>
                                <a:lnTo>
                                  <a:pt x="678268" y="17183"/>
                                </a:lnTo>
                                <a:lnTo>
                                  <a:pt x="679640" y="25133"/>
                                </a:lnTo>
                                <a:lnTo>
                                  <a:pt x="679640" y="5207"/>
                                </a:lnTo>
                                <a:lnTo>
                                  <a:pt x="678307" y="3962"/>
                                </a:lnTo>
                                <a:lnTo>
                                  <a:pt x="672401" y="787"/>
                                </a:lnTo>
                                <a:lnTo>
                                  <a:pt x="668997" y="0"/>
                                </a:lnTo>
                                <a:lnTo>
                                  <a:pt x="659841" y="0"/>
                                </a:lnTo>
                                <a:lnTo>
                                  <a:pt x="641502" y="28486"/>
                                </a:lnTo>
                                <a:lnTo>
                                  <a:pt x="641502" y="37096"/>
                                </a:lnTo>
                                <a:lnTo>
                                  <a:pt x="658164" y="74066"/>
                                </a:lnTo>
                                <a:lnTo>
                                  <a:pt x="670496" y="74066"/>
                                </a:lnTo>
                                <a:lnTo>
                                  <a:pt x="688632" y="46609"/>
                                </a:lnTo>
                                <a:lnTo>
                                  <a:pt x="688759" y="29883"/>
                                </a:lnTo>
                                <a:close/>
                              </a:path>
                              <a:path w="715645" h="228600">
                                <a:moveTo>
                                  <a:pt x="715314" y="135458"/>
                                </a:moveTo>
                                <a:lnTo>
                                  <a:pt x="695629" y="135458"/>
                                </a:lnTo>
                                <a:lnTo>
                                  <a:pt x="695629" y="142849"/>
                                </a:lnTo>
                                <a:lnTo>
                                  <a:pt x="706335" y="142849"/>
                                </a:lnTo>
                                <a:lnTo>
                                  <a:pt x="706335" y="220878"/>
                                </a:lnTo>
                                <a:lnTo>
                                  <a:pt x="695629" y="220878"/>
                                </a:lnTo>
                                <a:lnTo>
                                  <a:pt x="695629" y="228269"/>
                                </a:lnTo>
                                <a:lnTo>
                                  <a:pt x="715314" y="228269"/>
                                </a:lnTo>
                                <a:lnTo>
                                  <a:pt x="715314" y="135458"/>
                                </a:lnTo>
                                <a:close/>
                              </a:path>
                              <a:path w="715645" h="228600">
                                <a:moveTo>
                                  <a:pt x="715314" y="266"/>
                                </a:moveTo>
                                <a:lnTo>
                                  <a:pt x="695629" y="266"/>
                                </a:lnTo>
                                <a:lnTo>
                                  <a:pt x="695629" y="7658"/>
                                </a:lnTo>
                                <a:lnTo>
                                  <a:pt x="706335" y="7658"/>
                                </a:lnTo>
                                <a:lnTo>
                                  <a:pt x="706335" y="85686"/>
                                </a:lnTo>
                                <a:lnTo>
                                  <a:pt x="695629" y="85686"/>
                                </a:lnTo>
                                <a:lnTo>
                                  <a:pt x="695629" y="93078"/>
                                </a:lnTo>
                                <a:lnTo>
                                  <a:pt x="715314" y="93078"/>
                                </a:lnTo>
                                <a:lnTo>
                                  <a:pt x="715314" y="266"/>
                                </a:lnTo>
                                <a:close/>
                              </a:path>
                            </a:pathLst>
                          </a:custGeom>
                          <a:solidFill>
                            <a:srgbClr val="000000"/>
                          </a:solidFill>
                        </wps:spPr>
                        <wps:bodyPr wrap="square" lIns="0" tIns="0" rIns="0" bIns="0" rtlCol="0">
                          <a:prstTxWarp prst="textNoShape">
                            <a:avLst/>
                          </a:prstTxWarp>
                          <a:noAutofit/>
                        </wps:bodyPr>
                      </wps:wsp>
                      <wps:wsp>
                        <wps:cNvPr id="2897" name="Graphic 2897"/>
                        <wps:cNvSpPr/>
                        <wps:spPr>
                          <a:xfrm>
                            <a:off x="1597554" y="25345"/>
                            <a:ext cx="153670" cy="1270"/>
                          </a:xfrm>
                          <a:custGeom>
                            <a:avLst/>
                            <a:gdLst/>
                            <a:ahLst/>
                            <a:cxnLst/>
                            <a:rect l="l" t="t" r="r" b="b"/>
                            <a:pathLst>
                              <a:path w="153670">
                                <a:moveTo>
                                  <a:pt x="0" y="0"/>
                                </a:moveTo>
                                <a:lnTo>
                                  <a:pt x="153579" y="0"/>
                                </a:lnTo>
                              </a:path>
                            </a:pathLst>
                          </a:custGeom>
                          <a:ln w="10210">
                            <a:solidFill>
                              <a:srgbClr val="000000"/>
                            </a:solidFill>
                            <a:prstDash val="solid"/>
                          </a:ln>
                        </wps:spPr>
                        <wps:bodyPr wrap="square" lIns="0" tIns="0" rIns="0" bIns="0" rtlCol="0">
                          <a:prstTxWarp prst="textNoShape">
                            <a:avLst/>
                          </a:prstTxWarp>
                          <a:noAutofit/>
                        </wps:bodyPr>
                      </wps:wsp>
                      <wps:wsp>
                        <wps:cNvPr id="2898" name="Graphic 2898"/>
                        <wps:cNvSpPr/>
                        <wps:spPr>
                          <a:xfrm>
                            <a:off x="1751134" y="0"/>
                            <a:ext cx="59690" cy="59690"/>
                          </a:xfrm>
                          <a:custGeom>
                            <a:avLst/>
                            <a:gdLst/>
                            <a:ahLst/>
                            <a:cxnLst/>
                            <a:rect l="l" t="t" r="r" b="b"/>
                            <a:pathLst>
                              <a:path w="59690" h="59690">
                                <a:moveTo>
                                  <a:pt x="59143" y="0"/>
                                </a:moveTo>
                                <a:lnTo>
                                  <a:pt x="0" y="0"/>
                                </a:lnTo>
                                <a:lnTo>
                                  <a:pt x="0" y="59156"/>
                                </a:lnTo>
                                <a:lnTo>
                                  <a:pt x="59143" y="59156"/>
                                </a:lnTo>
                                <a:lnTo>
                                  <a:pt x="59143" y="0"/>
                                </a:lnTo>
                                <a:close/>
                              </a:path>
                            </a:pathLst>
                          </a:custGeom>
                          <a:solidFill>
                            <a:srgbClr val="0000C0"/>
                          </a:solidFill>
                        </wps:spPr>
                        <wps:bodyPr wrap="square" lIns="0" tIns="0" rIns="0" bIns="0" rtlCol="0">
                          <a:prstTxWarp prst="textNoShape">
                            <a:avLst/>
                          </a:prstTxWarp>
                          <a:noAutofit/>
                        </wps:bodyPr>
                      </wps:wsp>
                      <wps:wsp>
                        <wps:cNvPr id="2899" name="Graphic 2899"/>
                        <wps:cNvSpPr/>
                        <wps:spPr>
                          <a:xfrm>
                            <a:off x="997155" y="160543"/>
                            <a:ext cx="339090" cy="1270"/>
                          </a:xfrm>
                          <a:custGeom>
                            <a:avLst/>
                            <a:gdLst/>
                            <a:ahLst/>
                            <a:cxnLst/>
                            <a:rect l="l" t="t" r="r" b="b"/>
                            <a:pathLst>
                              <a:path w="339090">
                                <a:moveTo>
                                  <a:pt x="0" y="0"/>
                                </a:moveTo>
                                <a:lnTo>
                                  <a:pt x="134307" y="0"/>
                                </a:lnTo>
                              </a:path>
                              <a:path w="339090">
                                <a:moveTo>
                                  <a:pt x="193451" y="0"/>
                                </a:moveTo>
                                <a:lnTo>
                                  <a:pt x="338607" y="0"/>
                                </a:lnTo>
                              </a:path>
                            </a:pathLst>
                          </a:custGeom>
                          <a:ln w="10210">
                            <a:solidFill>
                              <a:srgbClr val="000000"/>
                            </a:solidFill>
                            <a:prstDash val="solid"/>
                          </a:ln>
                        </wps:spPr>
                        <wps:bodyPr wrap="square" lIns="0" tIns="0" rIns="0" bIns="0" rtlCol="0">
                          <a:prstTxWarp prst="textNoShape">
                            <a:avLst/>
                          </a:prstTxWarp>
                          <a:noAutofit/>
                        </wps:bodyPr>
                      </wps:wsp>
                      <wps:wsp>
                        <wps:cNvPr id="2900" name="Graphic 2900"/>
                        <wps:cNvSpPr/>
                        <wps:spPr>
                          <a:xfrm>
                            <a:off x="1131463" y="135204"/>
                            <a:ext cx="59690" cy="59690"/>
                          </a:xfrm>
                          <a:custGeom>
                            <a:avLst/>
                            <a:gdLst/>
                            <a:ahLst/>
                            <a:cxnLst/>
                            <a:rect l="l" t="t" r="r" b="b"/>
                            <a:pathLst>
                              <a:path w="59690" h="59690">
                                <a:moveTo>
                                  <a:pt x="59143" y="0"/>
                                </a:moveTo>
                                <a:lnTo>
                                  <a:pt x="0" y="0"/>
                                </a:lnTo>
                                <a:lnTo>
                                  <a:pt x="0" y="59156"/>
                                </a:lnTo>
                                <a:lnTo>
                                  <a:pt x="59143" y="59156"/>
                                </a:lnTo>
                                <a:lnTo>
                                  <a:pt x="59143" y="0"/>
                                </a:lnTo>
                                <a:close/>
                              </a:path>
                            </a:pathLst>
                          </a:custGeom>
                          <a:solidFill>
                            <a:srgbClr val="0000C0"/>
                          </a:solidFill>
                        </wps:spPr>
                        <wps:bodyPr wrap="square" lIns="0" tIns="0" rIns="0" bIns="0" rtlCol="0">
                          <a:prstTxWarp prst="textNoShape">
                            <a:avLst/>
                          </a:prstTxWarp>
                          <a:noAutofit/>
                        </wps:bodyPr>
                      </wps:wsp>
                      <wps:wsp>
                        <wps:cNvPr id="2901" name="Graphic 2901"/>
                        <wps:cNvSpPr/>
                        <wps:spPr>
                          <a:xfrm>
                            <a:off x="1617658" y="295747"/>
                            <a:ext cx="147320" cy="1270"/>
                          </a:xfrm>
                          <a:custGeom>
                            <a:avLst/>
                            <a:gdLst/>
                            <a:ahLst/>
                            <a:cxnLst/>
                            <a:rect l="l" t="t" r="r" b="b"/>
                            <a:pathLst>
                              <a:path w="147320">
                                <a:moveTo>
                                  <a:pt x="135228" y="0"/>
                                </a:moveTo>
                                <a:lnTo>
                                  <a:pt x="146850" y="0"/>
                                </a:lnTo>
                              </a:path>
                              <a:path w="147320">
                                <a:moveTo>
                                  <a:pt x="0" y="0"/>
                                </a:moveTo>
                                <a:lnTo>
                                  <a:pt x="76084" y="0"/>
                                </a:lnTo>
                              </a:path>
                            </a:pathLst>
                          </a:custGeom>
                          <a:ln w="10210">
                            <a:solidFill>
                              <a:srgbClr val="000000"/>
                            </a:solidFill>
                            <a:prstDash val="solid"/>
                          </a:ln>
                        </wps:spPr>
                        <wps:bodyPr wrap="square" lIns="0" tIns="0" rIns="0" bIns="0" rtlCol="0">
                          <a:prstTxWarp prst="textNoShape">
                            <a:avLst/>
                          </a:prstTxWarp>
                          <a:noAutofit/>
                        </wps:bodyPr>
                      </wps:wsp>
                      <wps:wsp>
                        <wps:cNvPr id="2902" name="Graphic 2902"/>
                        <wps:cNvSpPr/>
                        <wps:spPr>
                          <a:xfrm>
                            <a:off x="1693743" y="270408"/>
                            <a:ext cx="59690" cy="59690"/>
                          </a:xfrm>
                          <a:custGeom>
                            <a:avLst/>
                            <a:gdLst/>
                            <a:ahLst/>
                            <a:cxnLst/>
                            <a:rect l="l" t="t" r="r" b="b"/>
                            <a:pathLst>
                              <a:path w="59690" h="59690">
                                <a:moveTo>
                                  <a:pt x="59143" y="0"/>
                                </a:moveTo>
                                <a:lnTo>
                                  <a:pt x="0" y="0"/>
                                </a:lnTo>
                                <a:lnTo>
                                  <a:pt x="0" y="59143"/>
                                </a:lnTo>
                                <a:lnTo>
                                  <a:pt x="59143" y="59143"/>
                                </a:lnTo>
                                <a:lnTo>
                                  <a:pt x="59143" y="0"/>
                                </a:lnTo>
                                <a:close/>
                              </a:path>
                            </a:pathLst>
                          </a:custGeom>
                          <a:solidFill>
                            <a:srgbClr val="0000C0"/>
                          </a:solidFill>
                        </wps:spPr>
                        <wps:bodyPr wrap="square" lIns="0" tIns="0" rIns="0" bIns="0" rtlCol="0">
                          <a:prstTxWarp prst="textNoShape">
                            <a:avLst/>
                          </a:prstTxWarp>
                          <a:noAutofit/>
                        </wps:bodyPr>
                      </wps:wsp>
                      <wps:wsp>
                        <wps:cNvPr id="2903" name="Graphic 2903"/>
                        <wps:cNvSpPr/>
                        <wps:spPr>
                          <a:xfrm>
                            <a:off x="1165691" y="430945"/>
                            <a:ext cx="585470" cy="1270"/>
                          </a:xfrm>
                          <a:custGeom>
                            <a:avLst/>
                            <a:gdLst/>
                            <a:ahLst/>
                            <a:cxnLst/>
                            <a:rect l="l" t="t" r="r" b="b"/>
                            <a:pathLst>
                              <a:path w="585470">
                                <a:moveTo>
                                  <a:pt x="0" y="0"/>
                                </a:moveTo>
                                <a:lnTo>
                                  <a:pt x="585443" y="0"/>
                                </a:lnTo>
                              </a:path>
                            </a:pathLst>
                          </a:custGeom>
                          <a:ln w="10210">
                            <a:solidFill>
                              <a:srgbClr val="000000"/>
                            </a:solidFill>
                            <a:prstDash val="solid"/>
                          </a:ln>
                        </wps:spPr>
                        <wps:bodyPr wrap="square" lIns="0" tIns="0" rIns="0" bIns="0" rtlCol="0">
                          <a:prstTxWarp prst="textNoShape">
                            <a:avLst/>
                          </a:prstTxWarp>
                          <a:noAutofit/>
                        </wps:bodyPr>
                      </wps:wsp>
                      <wps:wsp>
                        <wps:cNvPr id="2904" name="Graphic 2904"/>
                        <wps:cNvSpPr/>
                        <wps:spPr>
                          <a:xfrm>
                            <a:off x="1751134" y="405599"/>
                            <a:ext cx="59690" cy="59690"/>
                          </a:xfrm>
                          <a:custGeom>
                            <a:avLst/>
                            <a:gdLst/>
                            <a:ahLst/>
                            <a:cxnLst/>
                            <a:rect l="l" t="t" r="r" b="b"/>
                            <a:pathLst>
                              <a:path w="59690" h="59690">
                                <a:moveTo>
                                  <a:pt x="59143" y="0"/>
                                </a:moveTo>
                                <a:lnTo>
                                  <a:pt x="0" y="0"/>
                                </a:lnTo>
                                <a:lnTo>
                                  <a:pt x="0" y="59156"/>
                                </a:lnTo>
                                <a:lnTo>
                                  <a:pt x="59143" y="59156"/>
                                </a:lnTo>
                                <a:lnTo>
                                  <a:pt x="59143" y="0"/>
                                </a:lnTo>
                                <a:close/>
                              </a:path>
                            </a:pathLst>
                          </a:custGeom>
                          <a:solidFill>
                            <a:srgbClr val="0000C0"/>
                          </a:solidFill>
                        </wps:spPr>
                        <wps:bodyPr wrap="square" lIns="0" tIns="0" rIns="0" bIns="0" rtlCol="0">
                          <a:prstTxWarp prst="textNoShape">
                            <a:avLst/>
                          </a:prstTxWarp>
                          <a:noAutofit/>
                        </wps:bodyPr>
                      </wps:wsp>
                      <wps:wsp>
                        <wps:cNvPr id="2905" name="Graphic 2905"/>
                        <wps:cNvSpPr/>
                        <wps:spPr>
                          <a:xfrm>
                            <a:off x="1561835" y="566143"/>
                            <a:ext cx="175260" cy="1270"/>
                          </a:xfrm>
                          <a:custGeom>
                            <a:avLst/>
                            <a:gdLst/>
                            <a:ahLst/>
                            <a:cxnLst/>
                            <a:rect l="l" t="t" r="r" b="b"/>
                            <a:pathLst>
                              <a:path w="175260">
                                <a:moveTo>
                                  <a:pt x="143553" y="0"/>
                                </a:moveTo>
                                <a:lnTo>
                                  <a:pt x="175196" y="0"/>
                                </a:lnTo>
                              </a:path>
                              <a:path w="175260">
                                <a:moveTo>
                                  <a:pt x="0" y="0"/>
                                </a:moveTo>
                                <a:lnTo>
                                  <a:pt x="84409" y="0"/>
                                </a:lnTo>
                              </a:path>
                            </a:pathLst>
                          </a:custGeom>
                          <a:ln w="10210">
                            <a:solidFill>
                              <a:srgbClr val="000000"/>
                            </a:solidFill>
                            <a:prstDash val="solid"/>
                          </a:ln>
                        </wps:spPr>
                        <wps:bodyPr wrap="square" lIns="0" tIns="0" rIns="0" bIns="0" rtlCol="0">
                          <a:prstTxWarp prst="textNoShape">
                            <a:avLst/>
                          </a:prstTxWarp>
                          <a:noAutofit/>
                        </wps:bodyPr>
                      </wps:wsp>
                      <wps:wsp>
                        <wps:cNvPr id="2906" name="Graphic 2906"/>
                        <wps:cNvSpPr/>
                        <wps:spPr>
                          <a:xfrm>
                            <a:off x="1646245" y="540804"/>
                            <a:ext cx="59690" cy="59690"/>
                          </a:xfrm>
                          <a:custGeom>
                            <a:avLst/>
                            <a:gdLst/>
                            <a:ahLst/>
                            <a:cxnLst/>
                            <a:rect l="l" t="t" r="r" b="b"/>
                            <a:pathLst>
                              <a:path w="59690" h="59690">
                                <a:moveTo>
                                  <a:pt x="59143" y="0"/>
                                </a:moveTo>
                                <a:lnTo>
                                  <a:pt x="0" y="0"/>
                                </a:lnTo>
                                <a:lnTo>
                                  <a:pt x="0" y="59156"/>
                                </a:lnTo>
                                <a:lnTo>
                                  <a:pt x="59143" y="59156"/>
                                </a:lnTo>
                                <a:lnTo>
                                  <a:pt x="59143" y="0"/>
                                </a:lnTo>
                                <a:close/>
                              </a:path>
                            </a:pathLst>
                          </a:custGeom>
                          <a:solidFill>
                            <a:srgbClr val="0000C0"/>
                          </a:solidFill>
                        </wps:spPr>
                        <wps:bodyPr wrap="square" lIns="0" tIns="0" rIns="0" bIns="0" rtlCol="0">
                          <a:prstTxWarp prst="textNoShape">
                            <a:avLst/>
                          </a:prstTxWarp>
                          <a:noAutofit/>
                        </wps:bodyPr>
                      </wps:wsp>
                      <wps:wsp>
                        <wps:cNvPr id="2907" name="Graphic 2907"/>
                        <wps:cNvSpPr/>
                        <wps:spPr>
                          <a:xfrm>
                            <a:off x="891874" y="701347"/>
                            <a:ext cx="528320" cy="1270"/>
                          </a:xfrm>
                          <a:custGeom>
                            <a:avLst/>
                            <a:gdLst/>
                            <a:ahLst/>
                            <a:cxnLst/>
                            <a:rect l="l" t="t" r="r" b="b"/>
                            <a:pathLst>
                              <a:path w="528320">
                                <a:moveTo>
                                  <a:pt x="266551" y="0"/>
                                </a:moveTo>
                                <a:lnTo>
                                  <a:pt x="528320" y="0"/>
                                </a:lnTo>
                              </a:path>
                              <a:path w="528320">
                                <a:moveTo>
                                  <a:pt x="0" y="0"/>
                                </a:moveTo>
                                <a:lnTo>
                                  <a:pt x="207394" y="0"/>
                                </a:lnTo>
                              </a:path>
                            </a:pathLst>
                          </a:custGeom>
                          <a:ln w="10210">
                            <a:solidFill>
                              <a:srgbClr val="000000"/>
                            </a:solidFill>
                            <a:prstDash val="solid"/>
                          </a:ln>
                        </wps:spPr>
                        <wps:bodyPr wrap="square" lIns="0" tIns="0" rIns="0" bIns="0" rtlCol="0">
                          <a:prstTxWarp prst="textNoShape">
                            <a:avLst/>
                          </a:prstTxWarp>
                          <a:noAutofit/>
                        </wps:bodyPr>
                      </wps:wsp>
                      <wps:wsp>
                        <wps:cNvPr id="2908" name="Graphic 2908"/>
                        <wps:cNvSpPr/>
                        <wps:spPr>
                          <a:xfrm>
                            <a:off x="1099268" y="676008"/>
                            <a:ext cx="59690" cy="59690"/>
                          </a:xfrm>
                          <a:custGeom>
                            <a:avLst/>
                            <a:gdLst/>
                            <a:ahLst/>
                            <a:cxnLst/>
                            <a:rect l="l" t="t" r="r" b="b"/>
                            <a:pathLst>
                              <a:path w="59690" h="59690">
                                <a:moveTo>
                                  <a:pt x="59156" y="0"/>
                                </a:moveTo>
                                <a:lnTo>
                                  <a:pt x="0" y="0"/>
                                </a:lnTo>
                                <a:lnTo>
                                  <a:pt x="0" y="59143"/>
                                </a:lnTo>
                                <a:lnTo>
                                  <a:pt x="59156" y="59143"/>
                                </a:lnTo>
                                <a:lnTo>
                                  <a:pt x="59156" y="0"/>
                                </a:lnTo>
                                <a:close/>
                              </a:path>
                            </a:pathLst>
                          </a:custGeom>
                          <a:solidFill>
                            <a:srgbClr val="0000C0"/>
                          </a:solidFill>
                        </wps:spPr>
                        <wps:bodyPr wrap="square" lIns="0" tIns="0" rIns="0" bIns="0" rtlCol="0">
                          <a:prstTxWarp prst="textNoShape">
                            <a:avLst/>
                          </a:prstTxWarp>
                          <a:noAutofit/>
                        </wps:bodyPr>
                      </wps:wsp>
                      <wps:wsp>
                        <wps:cNvPr id="2909" name="Graphic 2909"/>
                        <wps:cNvSpPr/>
                        <wps:spPr>
                          <a:xfrm>
                            <a:off x="1659169" y="836545"/>
                            <a:ext cx="92075" cy="1270"/>
                          </a:xfrm>
                          <a:custGeom>
                            <a:avLst/>
                            <a:gdLst/>
                            <a:ahLst/>
                            <a:cxnLst/>
                            <a:rect l="l" t="t" r="r" b="b"/>
                            <a:pathLst>
                              <a:path w="92075">
                                <a:moveTo>
                                  <a:pt x="0" y="0"/>
                                </a:moveTo>
                                <a:lnTo>
                                  <a:pt x="91964" y="0"/>
                                </a:lnTo>
                              </a:path>
                            </a:pathLst>
                          </a:custGeom>
                          <a:ln w="10210">
                            <a:solidFill>
                              <a:srgbClr val="000000"/>
                            </a:solidFill>
                            <a:prstDash val="solid"/>
                          </a:ln>
                        </wps:spPr>
                        <wps:bodyPr wrap="square" lIns="0" tIns="0" rIns="0" bIns="0" rtlCol="0">
                          <a:prstTxWarp prst="textNoShape">
                            <a:avLst/>
                          </a:prstTxWarp>
                          <a:noAutofit/>
                        </wps:bodyPr>
                      </wps:wsp>
                      <wps:wsp>
                        <wps:cNvPr id="2910" name="Graphic 2910"/>
                        <wps:cNvSpPr/>
                        <wps:spPr>
                          <a:xfrm>
                            <a:off x="1751134" y="811199"/>
                            <a:ext cx="59690" cy="59690"/>
                          </a:xfrm>
                          <a:custGeom>
                            <a:avLst/>
                            <a:gdLst/>
                            <a:ahLst/>
                            <a:cxnLst/>
                            <a:rect l="l" t="t" r="r" b="b"/>
                            <a:pathLst>
                              <a:path w="59690" h="59690">
                                <a:moveTo>
                                  <a:pt x="59143" y="0"/>
                                </a:moveTo>
                                <a:lnTo>
                                  <a:pt x="0" y="0"/>
                                </a:lnTo>
                                <a:lnTo>
                                  <a:pt x="0" y="59156"/>
                                </a:lnTo>
                                <a:lnTo>
                                  <a:pt x="59143" y="59156"/>
                                </a:lnTo>
                                <a:lnTo>
                                  <a:pt x="59143" y="0"/>
                                </a:lnTo>
                                <a:close/>
                              </a:path>
                            </a:pathLst>
                          </a:custGeom>
                          <a:solidFill>
                            <a:srgbClr val="0000C0"/>
                          </a:solidFill>
                        </wps:spPr>
                        <wps:bodyPr wrap="square" lIns="0" tIns="0" rIns="0" bIns="0" rtlCol="0">
                          <a:prstTxWarp prst="textNoShape">
                            <a:avLst/>
                          </a:prstTxWarp>
                          <a:noAutofit/>
                        </wps:bodyPr>
                      </wps:wsp>
                      <wps:wsp>
                        <wps:cNvPr id="2911" name="Graphic 2911"/>
                        <wps:cNvSpPr/>
                        <wps:spPr>
                          <a:xfrm>
                            <a:off x="762492" y="870348"/>
                            <a:ext cx="1005840" cy="67945"/>
                          </a:xfrm>
                          <a:custGeom>
                            <a:avLst/>
                            <a:gdLst/>
                            <a:ahLst/>
                            <a:cxnLst/>
                            <a:rect l="l" t="t" r="r" b="b"/>
                            <a:pathLst>
                              <a:path w="1005840" h="67945">
                                <a:moveTo>
                                  <a:pt x="0" y="0"/>
                                </a:moveTo>
                                <a:lnTo>
                                  <a:pt x="0" y="67602"/>
                                </a:lnTo>
                              </a:path>
                              <a:path w="1005840" h="67945">
                                <a:moveTo>
                                  <a:pt x="0" y="33794"/>
                                </a:moveTo>
                                <a:lnTo>
                                  <a:pt x="1005547" y="33794"/>
                                </a:lnTo>
                              </a:path>
                            </a:pathLst>
                          </a:custGeom>
                          <a:ln w="10210">
                            <a:solidFill>
                              <a:srgbClr val="000000"/>
                            </a:solidFill>
                            <a:prstDash val="solid"/>
                          </a:ln>
                        </wps:spPr>
                        <wps:bodyPr wrap="square" lIns="0" tIns="0" rIns="0" bIns="0" rtlCol="0">
                          <a:prstTxWarp prst="textNoShape">
                            <a:avLst/>
                          </a:prstTxWarp>
                          <a:noAutofit/>
                        </wps:bodyPr>
                      </wps:wsp>
                      <wps:wsp>
                        <wps:cNvPr id="2912" name="Graphic 2912"/>
                        <wps:cNvSpPr/>
                        <wps:spPr>
                          <a:xfrm>
                            <a:off x="766706" y="958806"/>
                            <a:ext cx="47625" cy="74295"/>
                          </a:xfrm>
                          <a:custGeom>
                            <a:avLst/>
                            <a:gdLst/>
                            <a:ahLst/>
                            <a:cxnLst/>
                            <a:rect l="l" t="t" r="r" b="b"/>
                            <a:pathLst>
                              <a:path w="47625" h="74295">
                                <a:moveTo>
                                  <a:pt x="27508" y="0"/>
                                </a:moveTo>
                                <a:lnTo>
                                  <a:pt x="18364" y="0"/>
                                </a:lnTo>
                                <a:lnTo>
                                  <a:pt x="13982" y="1396"/>
                                </a:lnTo>
                                <a:lnTo>
                                  <a:pt x="7023" y="7035"/>
                                </a:lnTo>
                                <a:lnTo>
                                  <a:pt x="4406" y="11074"/>
                                </a:lnTo>
                                <a:lnTo>
                                  <a:pt x="889" y="21539"/>
                                </a:lnTo>
                                <a:lnTo>
                                  <a:pt x="0" y="28473"/>
                                </a:lnTo>
                                <a:lnTo>
                                  <a:pt x="0" y="37096"/>
                                </a:lnTo>
                                <a:lnTo>
                                  <a:pt x="16687" y="74066"/>
                                </a:lnTo>
                                <a:lnTo>
                                  <a:pt x="29006" y="74066"/>
                                </a:lnTo>
                                <a:lnTo>
                                  <a:pt x="33439" y="72631"/>
                                </a:lnTo>
                                <a:lnTo>
                                  <a:pt x="40386" y="66916"/>
                                </a:lnTo>
                                <a:lnTo>
                                  <a:pt x="19795" y="66916"/>
                                </a:lnTo>
                                <a:lnTo>
                                  <a:pt x="16167" y="64833"/>
                                </a:lnTo>
                                <a:lnTo>
                                  <a:pt x="10528" y="56908"/>
                                </a:lnTo>
                                <a:lnTo>
                                  <a:pt x="9118" y="48983"/>
                                </a:lnTo>
                                <a:lnTo>
                                  <a:pt x="9118" y="25133"/>
                                </a:lnTo>
                                <a:lnTo>
                                  <a:pt x="10607" y="17195"/>
                                </a:lnTo>
                                <a:lnTo>
                                  <a:pt x="10655" y="16941"/>
                                </a:lnTo>
                                <a:lnTo>
                                  <a:pt x="13741" y="12534"/>
                                </a:lnTo>
                                <a:lnTo>
                                  <a:pt x="16205" y="9105"/>
                                </a:lnTo>
                                <a:lnTo>
                                  <a:pt x="19456" y="7391"/>
                                </a:lnTo>
                                <a:lnTo>
                                  <a:pt x="40034" y="7391"/>
                                </a:lnTo>
                                <a:lnTo>
                                  <a:pt x="39268" y="6222"/>
                                </a:lnTo>
                                <a:lnTo>
                                  <a:pt x="36830" y="3962"/>
                                </a:lnTo>
                                <a:lnTo>
                                  <a:pt x="30924" y="787"/>
                                </a:lnTo>
                                <a:lnTo>
                                  <a:pt x="27508" y="0"/>
                                </a:lnTo>
                                <a:close/>
                              </a:path>
                              <a:path w="47625" h="74295">
                                <a:moveTo>
                                  <a:pt x="40034" y="7391"/>
                                </a:moveTo>
                                <a:lnTo>
                                  <a:pt x="27736" y="7391"/>
                                </a:lnTo>
                                <a:lnTo>
                                  <a:pt x="31229" y="9359"/>
                                </a:lnTo>
                                <a:lnTo>
                                  <a:pt x="36779" y="17195"/>
                                </a:lnTo>
                                <a:lnTo>
                                  <a:pt x="38163" y="25133"/>
                                </a:lnTo>
                                <a:lnTo>
                                  <a:pt x="38163" y="48983"/>
                                </a:lnTo>
                                <a:lnTo>
                                  <a:pt x="36779" y="56908"/>
                                </a:lnTo>
                                <a:lnTo>
                                  <a:pt x="31229" y="64833"/>
                                </a:lnTo>
                                <a:lnTo>
                                  <a:pt x="27587" y="66916"/>
                                </a:lnTo>
                                <a:lnTo>
                                  <a:pt x="40386" y="66916"/>
                                </a:lnTo>
                                <a:lnTo>
                                  <a:pt x="42989" y="62890"/>
                                </a:lnTo>
                                <a:lnTo>
                                  <a:pt x="46418" y="52501"/>
                                </a:lnTo>
                                <a:lnTo>
                                  <a:pt x="47159" y="46615"/>
                                </a:lnTo>
                                <a:lnTo>
                                  <a:pt x="47282" y="29883"/>
                                </a:lnTo>
                                <a:lnTo>
                                  <a:pt x="46839" y="25133"/>
                                </a:lnTo>
                                <a:lnTo>
                                  <a:pt x="46748" y="24155"/>
                                </a:lnTo>
                                <a:lnTo>
                                  <a:pt x="44640" y="15709"/>
                                </a:lnTo>
                                <a:lnTo>
                                  <a:pt x="43141" y="12128"/>
                                </a:lnTo>
                                <a:lnTo>
                                  <a:pt x="40034" y="7391"/>
                                </a:lnTo>
                                <a:close/>
                              </a:path>
                            </a:pathLst>
                          </a:custGeom>
                          <a:solidFill>
                            <a:srgbClr val="000000"/>
                          </a:solidFill>
                        </wps:spPr>
                        <wps:bodyPr wrap="square" lIns="0" tIns="0" rIns="0" bIns="0" rtlCol="0">
                          <a:prstTxWarp prst="textNoShape">
                            <a:avLst/>
                          </a:prstTxWarp>
                          <a:noAutofit/>
                        </wps:bodyPr>
                      </wps:wsp>
                      <wps:wsp>
                        <wps:cNvPr id="2913" name="Graphic 2913"/>
                        <wps:cNvSpPr/>
                        <wps:spPr>
                          <a:xfrm>
                            <a:off x="963596" y="870348"/>
                            <a:ext cx="1270" cy="67945"/>
                          </a:xfrm>
                          <a:custGeom>
                            <a:avLst/>
                            <a:gdLst/>
                            <a:ahLst/>
                            <a:cxnLst/>
                            <a:rect l="l" t="t" r="r" b="b"/>
                            <a:pathLst>
                              <a:path h="67945">
                                <a:moveTo>
                                  <a:pt x="0" y="0"/>
                                </a:moveTo>
                                <a:lnTo>
                                  <a:pt x="0" y="67602"/>
                                </a:lnTo>
                              </a:path>
                            </a:pathLst>
                          </a:custGeom>
                          <a:ln w="1021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14" name="Image 2914"/>
                          <pic:cNvPicPr/>
                        </pic:nvPicPr>
                        <pic:blipFill>
                          <a:blip r:embed="rId149" cstate="print"/>
                          <a:stretch>
                            <a:fillRect/>
                          </a:stretch>
                        </pic:blipFill>
                        <pic:spPr>
                          <a:xfrm>
                            <a:off x="897337" y="958808"/>
                            <a:ext cx="131445" cy="74066"/>
                          </a:xfrm>
                          <a:prstGeom prst="rect">
                            <a:avLst/>
                          </a:prstGeom>
                        </pic:spPr>
                      </pic:pic>
                      <wps:wsp>
                        <wps:cNvPr id="2915" name="Graphic 2915"/>
                        <wps:cNvSpPr/>
                        <wps:spPr>
                          <a:xfrm>
                            <a:off x="1164713" y="870348"/>
                            <a:ext cx="1270" cy="67945"/>
                          </a:xfrm>
                          <a:custGeom>
                            <a:avLst/>
                            <a:gdLst/>
                            <a:ahLst/>
                            <a:cxnLst/>
                            <a:rect l="l" t="t" r="r" b="b"/>
                            <a:pathLst>
                              <a:path h="67945">
                                <a:moveTo>
                                  <a:pt x="0" y="0"/>
                                </a:moveTo>
                                <a:lnTo>
                                  <a:pt x="0" y="67602"/>
                                </a:lnTo>
                              </a:path>
                            </a:pathLst>
                          </a:custGeom>
                          <a:ln w="1021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16" name="Image 2916"/>
                          <pic:cNvPicPr/>
                        </pic:nvPicPr>
                        <pic:blipFill>
                          <a:blip r:embed="rId150" cstate="print"/>
                          <a:stretch>
                            <a:fillRect/>
                          </a:stretch>
                        </pic:blipFill>
                        <pic:spPr>
                          <a:xfrm>
                            <a:off x="1098463" y="958810"/>
                            <a:ext cx="131825" cy="74066"/>
                          </a:xfrm>
                          <a:prstGeom prst="rect">
                            <a:avLst/>
                          </a:prstGeom>
                        </pic:spPr>
                      </pic:pic>
                      <wps:wsp>
                        <wps:cNvPr id="2917" name="Graphic 2917"/>
                        <wps:cNvSpPr/>
                        <wps:spPr>
                          <a:xfrm>
                            <a:off x="1365816" y="870348"/>
                            <a:ext cx="1270" cy="67945"/>
                          </a:xfrm>
                          <a:custGeom>
                            <a:avLst/>
                            <a:gdLst/>
                            <a:ahLst/>
                            <a:cxnLst/>
                            <a:rect l="l" t="t" r="r" b="b"/>
                            <a:pathLst>
                              <a:path h="67945">
                                <a:moveTo>
                                  <a:pt x="0" y="0"/>
                                </a:moveTo>
                                <a:lnTo>
                                  <a:pt x="0" y="67602"/>
                                </a:lnTo>
                              </a:path>
                            </a:pathLst>
                          </a:custGeom>
                          <a:ln w="1021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18" name="Image 2918"/>
                          <pic:cNvPicPr/>
                        </pic:nvPicPr>
                        <pic:blipFill>
                          <a:blip r:embed="rId151" cstate="print"/>
                          <a:stretch>
                            <a:fillRect/>
                          </a:stretch>
                        </pic:blipFill>
                        <pic:spPr>
                          <a:xfrm>
                            <a:off x="1299569" y="958804"/>
                            <a:ext cx="132092" cy="74066"/>
                          </a:xfrm>
                          <a:prstGeom prst="rect">
                            <a:avLst/>
                          </a:prstGeom>
                        </pic:spPr>
                      </pic:pic>
                      <wps:wsp>
                        <wps:cNvPr id="2919" name="Graphic 2919"/>
                        <wps:cNvSpPr/>
                        <wps:spPr>
                          <a:xfrm>
                            <a:off x="1566933" y="870348"/>
                            <a:ext cx="1270" cy="67945"/>
                          </a:xfrm>
                          <a:custGeom>
                            <a:avLst/>
                            <a:gdLst/>
                            <a:ahLst/>
                            <a:cxnLst/>
                            <a:rect l="l" t="t" r="r" b="b"/>
                            <a:pathLst>
                              <a:path h="67945">
                                <a:moveTo>
                                  <a:pt x="0" y="0"/>
                                </a:moveTo>
                                <a:lnTo>
                                  <a:pt x="0" y="67602"/>
                                </a:lnTo>
                              </a:path>
                            </a:pathLst>
                          </a:custGeom>
                          <a:ln w="1021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20" name="Image 2920"/>
                          <pic:cNvPicPr/>
                        </pic:nvPicPr>
                        <pic:blipFill>
                          <a:blip r:embed="rId152" cstate="print"/>
                          <a:stretch>
                            <a:fillRect/>
                          </a:stretch>
                        </pic:blipFill>
                        <pic:spPr>
                          <a:xfrm>
                            <a:off x="1500678" y="958813"/>
                            <a:ext cx="132232" cy="74066"/>
                          </a:xfrm>
                          <a:prstGeom prst="rect">
                            <a:avLst/>
                          </a:prstGeom>
                        </pic:spPr>
                      </pic:pic>
                      <wps:wsp>
                        <wps:cNvPr id="2921" name="Graphic 2921"/>
                        <wps:cNvSpPr/>
                        <wps:spPr>
                          <a:xfrm>
                            <a:off x="1768036" y="870348"/>
                            <a:ext cx="1270" cy="67945"/>
                          </a:xfrm>
                          <a:custGeom>
                            <a:avLst/>
                            <a:gdLst/>
                            <a:ahLst/>
                            <a:cxnLst/>
                            <a:rect l="l" t="t" r="r" b="b"/>
                            <a:pathLst>
                              <a:path h="67945">
                                <a:moveTo>
                                  <a:pt x="0" y="0"/>
                                </a:moveTo>
                                <a:lnTo>
                                  <a:pt x="0" y="67602"/>
                                </a:lnTo>
                              </a:path>
                            </a:pathLst>
                          </a:custGeom>
                          <a:ln w="10210">
                            <a:solidFill>
                              <a:srgbClr val="000000"/>
                            </a:solidFill>
                            <a:prstDash val="solid"/>
                          </a:ln>
                        </wps:spPr>
                        <wps:bodyPr wrap="square" lIns="0" tIns="0" rIns="0" bIns="0" rtlCol="0">
                          <a:prstTxWarp prst="textNoShape">
                            <a:avLst/>
                          </a:prstTxWarp>
                          <a:noAutofit/>
                        </wps:bodyPr>
                      </wps:wsp>
                      <wps:wsp>
                        <wps:cNvPr id="2922" name="Graphic 2922"/>
                        <wps:cNvSpPr/>
                        <wps:spPr>
                          <a:xfrm>
                            <a:off x="1722738" y="958805"/>
                            <a:ext cx="26670" cy="73025"/>
                          </a:xfrm>
                          <a:custGeom>
                            <a:avLst/>
                            <a:gdLst/>
                            <a:ahLst/>
                            <a:cxnLst/>
                            <a:rect l="l" t="t" r="r" b="b"/>
                            <a:pathLst>
                              <a:path w="26670" h="73025">
                                <a:moveTo>
                                  <a:pt x="26670" y="0"/>
                                </a:moveTo>
                                <a:lnTo>
                                  <a:pt x="20993" y="0"/>
                                </a:lnTo>
                                <a:lnTo>
                                  <a:pt x="19418" y="3174"/>
                                </a:lnTo>
                                <a:lnTo>
                                  <a:pt x="16738" y="6413"/>
                                </a:lnTo>
                                <a:lnTo>
                                  <a:pt x="9258" y="13004"/>
                                </a:lnTo>
                                <a:lnTo>
                                  <a:pt x="4927" y="15849"/>
                                </a:lnTo>
                                <a:lnTo>
                                  <a:pt x="0" y="18224"/>
                                </a:lnTo>
                                <a:lnTo>
                                  <a:pt x="0" y="26809"/>
                                </a:lnTo>
                                <a:lnTo>
                                  <a:pt x="17830" y="16103"/>
                                </a:lnTo>
                                <a:lnTo>
                                  <a:pt x="17830" y="72885"/>
                                </a:lnTo>
                                <a:lnTo>
                                  <a:pt x="26670" y="72885"/>
                                </a:lnTo>
                                <a:lnTo>
                                  <a:pt x="26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F928697" id="Group 2890" o:spid="_x0000_s1026" style="position:absolute;margin-left:292.3pt;margin-top:84.9pt;width:142.55pt;height:81.35pt;z-index:16184832;mso-wrap-distance-left:0;mso-wrap-distance-right:0;mso-position-horizontal-relative:page" coordsize="18103,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">
                <v:shape id="Image 2891" o:spid="_x0000_s1027" type="#_x0000_t75" style="position:absolute;left:68;top:124;width:7153;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">
                  <v:imagedata r:id="rId153" o:title=""/>
                </v:shape>
                <v:shape id="Image 2892" o:spid="_x0000_s1028" type="#_x0000_t75" style="position:absolute;top:1476;width:722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">
                  <v:imagedata r:id="rId154" o:title=""/>
                </v:shape>
                <v:shape id="Image 2893" o:spid="_x0000_s1029" type="#_x0000_t75" style="position:absolute;top:2828;width:722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">
                  <v:imagedata r:id="rId155" o:title=""/>
                </v:shape>
                <v:shape id="Image 2894" o:spid="_x0000_s1030" type="#_x0000_t75" style="position:absolute;left:68;top:4180;width:7153;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">
                  <v:imagedata r:id="rId156" o:title=""/>
                </v:shape>
                <v:shape id="Image 2895" o:spid="_x0000_s1031" type="#_x0000_t75" style="position:absolute;top:5532;width:722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">
                  <v:imagedata r:id="rId157" o:title=""/>
                </v:shape>
                <v:shape id="Graphic 2896" o:spid="_x0000_s1032" style="position:absolute;left:68;top:6884;width:7156;height:2286;visibility:visible;mso-wrap-style:square;v-text-anchor:top" coordsize="71564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" path="m26670,135191r-5665,l19405,138366r-2654,3239l9271,148196r-4344,2845l,153416r,8585l17830,151295r,56781l26670,208076r,-56781l26670,135191xem26670,l21005,,19405,3162,16751,6400,9271,13004,4927,15836,,18211r,8598l17830,16103r,56782l26670,72885r,-56782l26670,xem64719,197904r-10173,l54546,208076r10173,l64719,197904xem64719,62712r-10173,l54546,72872r10173,l64719,62712xem124841,28486r-305,-3353l124447,24155r-2108,-8446l120827,12128,117716,7391r-762,-1156l115862,5232r,19901l115862,48983r-1397,7925l108927,64833r-3644,2083l97459,66916,93853,64833,88214,56908,86817,48983r,-23850l97155,7391r8280,l108927,9359r5538,7824l115862,25133r,-19901l114503,3962,108623,787,105206,,96050,,77698,28486r,8610l94373,74066r12332,l124841,46609r,-18123xem124968,165074r-9106,-24651l115862,160324r,23851l114465,192100r-5538,7925l105283,202107r-7824,l93853,200025r-5639,-7925l86817,184175r,-23851l97155,142582r8280,l108927,144551r5538,7823l115862,160324r,-19901l114503,139153r-5880,-3175l105206,135191r-9156,l77698,163677r,8611l94373,209257r12332,l124841,181813r127,-16739xem181241,46609r-12,-18123l180924,25133r-89,-978l172250,5207r,19926l172250,48983r-1385,7925l165315,64833r-3619,2083l153847,66916r-3594,-2083l144602,56908r-1397,-7925l143205,25133,153555,7391r8268,l165315,9359r5550,7824l172250,25133r,-19926l170916,3962,165011,787,161594,r-9144,l134086,28486r,8610l134493,45643r38,966l150774,74066r12332,l167513,72644r6959,-5728l177063,62890r3454,-10389l181241,46609xem181356,165074r-9106,-24676l172250,160324r,23851l170865,192100r-5550,7925l161696,202107r-7849,l150253,200025r-5651,-7925l143205,184175r,-23851l153555,142582r8268,l165315,144551r5550,7823l172250,160324r,-19926l170916,139153r-5905,-3175l161594,135191r-9144,l134086,163677r,8611l134493,180835r38,978l150774,209257r12332,l181241,181813r115,-16739xem240969,135458r-19659,l221310,228269r19659,l240969,220878r-10680,l230289,142849r10680,l240969,135458xem240969,266r-19659,l221310,93078r19659,l240969,85686r-10680,l230289,7658r10680,l240969,266xem294106,165074r-444,-4750l293573,159359r-2121,-8458l289966,147320r-3112,-4738l286092,141427r-1104,-1029l284988,160324r,23851l283603,192100r-5550,7925l274434,202107r-7836,l262991,200025r-5639,-7925l255943,184175r,-23851l266293,142582r8268,l278053,144551r5550,7823l284988,160324r,-19926l283654,139153r-5905,-3175l274332,135191r-9144,l246824,163677r,8611l247230,180835r39,978l263512,209257r12319,l293979,181813r127,-16739xem294106,29883r-444,-4750l293573,24155r-2121,-8446l289966,12128,286854,7391r-762,-1156l284988,5207r,19926l284988,48983r-1385,7925l278053,64833r-3619,2083l266598,66916r-3607,-2083l257352,56908r-1409,-7925l255943,25133,266293,7391r8268,l278053,9359r5550,7824l284988,25133r,-19926l283654,3962,277749,787,274332,r-9144,l246824,28486r,8610l247230,45643r39,966l263512,74066r12319,l293979,46609r127,-16726xem318414,197904r-10173,l308241,208076r10173,l318414,197904xem318414,62712r-10173,l308241,72872r10173,l318414,62712xem379056,161417r-977,-6592l378053,154622r-4051,-9411l371856,142582r-826,-1003l369163,140373r,13741l369074,164592r-1232,3746l362559,174142r-3391,1460l350977,175602r-3429,-1460l341922,168338r-1423,-3746l340575,154622r1410,-4000l347878,144195r3454,-1613l359168,142582r3531,1613l362546,144195r5284,5868l369163,154114r,-13741l363194,136474r-4280,-1283l347726,135191r-5436,2248l333578,146418r-2185,5931l331393,166890r2083,5728l341744,181343r5093,2184l356527,183527r13690,-9652l370205,179565r-369,3048l369785,183057r-1778,7125l366915,193001r-2641,4128l362585,198805r-4293,2642l358101,201447r-2438,660l350443,202107r-2908,-1016l343395,197485r-1397,-2921l341312,190512r-8598,788l347459,209257r10998,l379056,179565r,-5690l379056,161417xem379056,26225r-977,-6591l378053,19431r-4051,-9424l371856,7391r-826,-1016l369163,5168r,13755l369074,29400r-1232,3747l362559,38950r-3391,1448l350977,40398r-3429,-1448l341922,33147r-1423,-3747l340575,19431,362546,9004r5284,5867l369163,18923r,-13755l363194,1270,358914,,347726,r-5436,2247l333578,11226r-2185,5931l331393,31686r2083,5740l341744,46151r5093,2172l356527,48323r3352,-902l366039,43815r2413,-2325l369138,40398r1079,-1714l370205,44361r-369,3060l369785,47853,358292,66255r-191,l355663,66916r-5220,l347535,65900r-4140,-3607l341998,59372r-686,-4051l332714,56108r14745,17958l358457,74066,379056,44361r,-5677l379056,26225xem435063,47269r-9779,l425284,14655r,-14389l418033,266r-1715,2439l416318,14655r,32614l393598,47269,416318,14655r,-11950l384886,47269r,8179l416318,55448r,17437l425284,72885r,-17437l435063,55448r,-8179xem435457,182943r-152,-610l434314,178981r-2299,-3252l429806,172554r-3467,-2425l426339,191706r-1372,3480l419417,200634r-3492,1372l408965,202006,396913,189636r,-6693l398208,179603r546,-622l403707,173964r3493,-1410l415734,172554r3569,1410l424942,179603r1308,3340l426339,191706r,-21577l421868,168732r3594,-1410l428155,165392r3518,-4941l432549,157556r-114,-8903l430606,144424r-2070,-1969l423341,137502r,13043l423316,157556r-978,2349l417931,164223r-3035,1169l408393,165392r-8724,-14847l400748,148069r22593,2476l423341,137502r-470,-457l417766,135191r-12586,l400100,137045r-7620,7163l390575,148653r51,8903l401523,168732r-4407,1143l393712,172034r-4838,6337l387654,182333r38,11176l389864,198691r8789,8458l404431,209257r14338,l424561,207149r5308,-5143l433285,198691r2172,-5182l435457,182943xem459105,197904r-10173,l448932,208076r5156,l453923,211074r-533,2298l451624,216636r-1371,1207l448411,218643r2515,3822l453732,221234r2071,-1778l458444,214782r661,-3010l459105,197904xem459105,62712r-10173,l448932,72885r5156,l453923,75882r-533,2299l451624,81445r-1371,1206l448411,83451r2515,3823l453732,86042r2071,-1791l458444,79590r661,-3009l459105,62712xem534073,135191r-5690,l526808,138366r-2667,3239l516648,148196r-4318,2845l507403,153416r,8585l525221,151295r,56781l534073,208076r,-56781l534073,135191xem534073,r-5690,l526808,3162r-2667,3238l516648,13004r-4318,2832l507403,18211r,8598l525221,16103r,56782l534073,72885r,-56782l534073,xem572109,197904r-10160,l561949,208076r10160,l572109,197904xem572109,62712r-10160,l561949,72872r10160,l572109,62712xem632371,165074r-445,-4750l631837,159359r-2108,-8458l628243,147320r-3124,-4738l624357,141427r-1105,-1029l623252,160324r,23851l621868,192100r-5537,7925l612698,202107r-7836,l601256,200025r-5639,-7925l594207,184175r,-23851l604545,142582r8280,l616331,144551r5537,7823l623252,160324r,-19926l621919,139153r-5906,-3175l612609,135191r-9169,l585089,163677r,8611l585495,180835r38,978l601776,209257r12319,l632244,181813r127,-16739xem632371,29883r-445,-4750l631837,24155r-2108,-8446l628243,12128,625119,7391r-762,-1156l623252,5207r,19926l623252,48983r-1384,7925l616331,64833r-3633,2083l604862,66916r-3606,-2083l595617,56908r-1410,-7925l594207,25133,604545,7391r8280,l616331,9359r5537,7824l623252,25133r,-19926l621919,3962,616013,787,612609,r-9169,l585089,28486r,8610l585495,45643r38,966l601776,74066r12319,l632244,46609r127,-16726xem688759,165074r-445,-4750l688225,159359r-2108,-8458l684618,147320r-3111,-4738l680745,141427r-1105,-1029l679640,160324r,23851l678268,192100r-5549,7925l669086,202107r-7836,l657644,200025r-5626,-7925l650595,184175r,-23851l660946,142582r8267,l672719,144551r5549,7823l679640,160324r,-19926l678307,139153r-5906,-3175l668997,135191r-9156,l641502,163677r,8611l658164,209257r12332,l688632,181813r127,-16739xem688759,29883r-445,-4750l688225,24155r-2108,-8446l684618,12128,681507,7391r-762,-1156l679640,5207r,19926l679640,48983r-1372,7925l672719,64833r-3633,2083l661250,66916r-3606,-2083l652018,56908r-1423,-7925l650595,25133,660946,7391r8267,l672719,9359r5549,7824l679640,25133r,-19926l678307,3962,672401,787,668997,r-9156,l641502,28486r,8610l658164,74066r12332,l688632,46609r127,-16726xem715314,135458r-19685,l695629,142849r10706,l706335,220878r-10706,l695629,228269r19685,l715314,135458xem715314,266r-19685,l695629,7658r10706,l706335,85686r-10706,l695629,93078r19685,l715314,266xe" fillcolor="black" stroked="f">
                  <v:path arrowok="t"/>
                </v:shape>
                <v:shape id="Graphic 2897" o:spid="_x0000_s1033" style="position:absolute;left:15975;top:253;width:1537;height:13;visibility:visible;mso-wrap-style:square;v-text-anchor:top" coordsize="153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" path="m,l153579,e" filled="f" strokeweight=".28361mm">
                  <v:path arrowok="t"/>
                </v:shape>
                <v:shape id="Graphic 2898" o:spid="_x0000_s1034" style="position:absolute;left:17511;width:597;height:596;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" path="m59143,l,,,59156r59143,l59143,xe" fillcolor="#0000c0" stroked="f">
                  <v:path arrowok="t"/>
                </v:shape>
                <v:shape id="Graphic 2899" o:spid="_x0000_s1035" style="position:absolute;left:9971;top:1605;width:3391;height:13;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" path="m,l134307,em193451,l338607,e" filled="f" strokeweight=".28361mm">
                  <v:path arrowok="t"/>
                </v:shape>
                <v:shape id="Graphic 2900" o:spid="_x0000_s1036" style="position:absolute;left:11314;top:1352;width:597;height:596;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" path="m59143,l,,,59156r59143,l59143,xe" fillcolor="#0000c0" stroked="f">
                  <v:path arrowok="t"/>
                </v:shape>
                <v:shape id="Graphic 2901" o:spid="_x0000_s1037" style="position:absolute;left:16176;top:2957;width:1473;height:13;visibility:visible;mso-wrap-style:square;v-text-anchor:top" coordsize="14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" path="m135228,r11622,em,l76084,e" filled="f" strokeweight=".28361mm">
                  <v:path arrowok="t"/>
                </v:shape>
                <v:shape id="Graphic 2902" o:spid="_x0000_s1038" style="position:absolute;left:16937;top:2704;width:597;height:596;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" path="m59143,l,,,59143r59143,l59143,xe" fillcolor="#0000c0" stroked="f">
                  <v:path arrowok="t"/>
                </v:shape>
                <v:shape id="Graphic 2903" o:spid="_x0000_s1039" style="position:absolute;left:11656;top:4309;width:5855;height:13;visibility:visible;mso-wrap-style:square;v-text-anchor:top" coordsize="585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" path="m,l585443,e" filled="f" strokeweight=".28361mm">
                  <v:path arrowok="t"/>
                </v:shape>
                <v:shape id="Graphic 2904" o:spid="_x0000_s1040" style="position:absolute;left:17511;top:4055;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" path="m59143,l,,,59156r59143,l59143,xe" fillcolor="#0000c0" stroked="f">
                  <v:path arrowok="t"/>
                </v:shape>
                <v:shape id="Graphic 2905" o:spid="_x0000_s1041" style="position:absolute;left:15618;top:5661;width:1752;height:13;visibility:visible;mso-wrap-style:square;v-text-anchor:top" coordsize="175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" path="m143553,r31643,em,l84409,e" filled="f" strokeweight=".28361mm">
                  <v:path arrowok="t"/>
                </v:shape>
                <v:shape id="Graphic 2906" o:spid="_x0000_s1042" style="position:absolute;left:16462;top:5408;width:597;height:596;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" path="m59143,l,,,59156r59143,l59143,xe" fillcolor="#0000c0" stroked="f">
                  <v:path arrowok="t"/>
                </v:shape>
                <v:shape id="Graphic 2907" o:spid="_x0000_s1043" style="position:absolute;left:8918;top:7013;width:5283;height:13;visibility:visible;mso-wrap-style:square;v-text-anchor:top" coordsize="528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" path="m266551,l528320,em,l207394,e" filled="f" strokeweight=".28361mm">
                  <v:path arrowok="t"/>
                </v:shape>
                <v:shape id="Graphic 2908" o:spid="_x0000_s1044" style="position:absolute;left:10992;top:6760;width:597;height:596;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" path="m59156,l,,,59143r59156,l59156,xe" fillcolor="#0000c0" stroked="f">
                  <v:path arrowok="t"/>
                </v:shape>
                <v:shape id="Graphic 2909" o:spid="_x0000_s1045" style="position:absolute;left:16591;top:8365;width:921;height:13;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" path="m,l91964,e" filled="f" strokeweight=".28361mm">
                  <v:path arrowok="t"/>
                </v:shape>
                <v:shape id="Graphic 2910" o:spid="_x0000_s1046" style="position:absolute;left:17511;top:8111;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" path="m59143,l,,,59156r59143,l59143,xe" fillcolor="#0000c0" stroked="f">
                  <v:path arrowok="t"/>
                </v:shape>
                <v:shape id="Graphic 2911" o:spid="_x0000_s1047" style="position:absolute;left:7624;top:8703;width:10059;height:679;visibility:visible;mso-wrap-style:square;v-text-anchor:top" coordsize="100584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" path="m,l,67602em,33794r1005547,e" filled="f" strokeweight=".28361mm">
                  <v:path arrowok="t"/>
                </v:shape>
                <v:shape id="Graphic 2912" o:spid="_x0000_s1048" style="position:absolute;left:7667;top:9588;width:476;height:743;visibility:visible;mso-wrap-style:square;v-text-anchor:top" coordsize="4762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" path="m27508,l18364,,13982,1396,7023,7035,4406,11074,889,21539,,28473r,8623l16687,74066r12319,l33439,72631r6947,-5715l19795,66916,16167,64833,10528,56908,9118,48983r,-23850l10607,17195r48,-254l13741,12534,16205,9105,19456,7391r20578,l39268,6222,36830,3962,30924,787,27508,xem40034,7391r-12298,l31229,9359r5550,7836l38163,25133r,23850l36779,56908r-5550,7925l27587,66916r12799,l42989,62890,46418,52501r741,-5886l47282,29883r-443,-4750l46748,24155,44640,15709,43141,12128,40034,7391xe" fillcolor="black" stroked="f">
                  <v:path arrowok="t"/>
                </v:shape>
                <v:shape id="Graphic 2913" o:spid="_x0000_s1049" style="position:absolute;left:9635;top:8703;width:13;height:679;visibility:visible;mso-wrap-style:square;v-text-anchor:top" coordsize="127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" path="m,l,67602e" filled="f" strokeweight=".28361mm">
                  <v:path arrowok="t"/>
                </v:shape>
                <v:shape id="Image 2914" o:spid="_x0000_s1050" type="#_x0000_t75" style="position:absolute;left:8973;top:9588;width:1314;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">
                  <v:imagedata r:id="rId158" o:title=""/>
                </v:shape>
                <v:shape id="Graphic 2915" o:spid="_x0000_s1051" style="position:absolute;left:11647;top:8703;width:12;height:679;visibility:visible;mso-wrap-style:square;v-text-anchor:top" coordsize="127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" path="m,l,67602e" filled="f" strokeweight=".28361mm">
                  <v:path arrowok="t"/>
                </v:shape>
                <v:shape id="Image 2916" o:spid="_x0000_s1052" type="#_x0000_t75" style="position:absolute;left:10984;top:9588;width:1318;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">
                  <v:imagedata r:id="rId159" o:title=""/>
                </v:shape>
                <v:shape id="Graphic 2917" o:spid="_x0000_s1053" style="position:absolute;left:13658;top:8703;width:12;height:679;visibility:visible;mso-wrap-style:square;v-text-anchor:top" coordsize="127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" path="m,l,67602e" filled="f" strokeweight=".28361mm">
                  <v:path arrowok="t"/>
                </v:shape>
                <v:shape id="Image 2918" o:spid="_x0000_s1054" type="#_x0000_t75" style="position:absolute;left:12995;top:9588;width:1321;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">
                  <v:imagedata r:id="rId160" o:title=""/>
                </v:shape>
                <v:shape id="Graphic 2919" o:spid="_x0000_s1055" style="position:absolute;left:15669;top:8703;width:13;height:679;visibility:visible;mso-wrap-style:square;v-text-anchor:top" coordsize="127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" path="m,l,67602e" filled="f" strokeweight=".28361mm">
                  <v:path arrowok="t"/>
                </v:shape>
                <v:shape id="Image 2920" o:spid="_x0000_s1056" type="#_x0000_t75" style="position:absolute;left:15006;top:9588;width:1323;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">
                  <v:imagedata r:id="rId161" o:title=""/>
                </v:shape>
                <v:shape id="Graphic 2921" o:spid="_x0000_s1057" style="position:absolute;left:17680;top:8703;width:13;height:679;visibility:visible;mso-wrap-style:square;v-text-anchor:top" coordsize="127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" path="m,l,67602e" filled="f" strokeweight=".28361mm">
                  <v:path arrowok="t"/>
                </v:shape>
                <v:shape id="Graphic 2922" o:spid="_x0000_s1058" style="position:absolute;left:17227;top:9588;width:267;height:730;visibility:visible;mso-wrap-style:square;v-text-anchor:top" coordsize="2667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" path="m26670,l20993,,19418,3174,16738,6413,9258,13004,4927,15849,,18224r,8585l17830,16103r,56782l26670,72885,26670,xe" fillcolor="black" stroked="f">
                  <v:path arrowok="t"/>
                </v:shape>
                <w10:wrap anchorx="page"/>
              </v:group>
            </w:pict>
          </mc:Fallback>
        </mc:AlternateContent>
      </w:r>
      <w:r w:rsidRPr="003C6DAE">
        <w:rPr>
          <w:noProof/>
          <w:lang w:val="uk-UA"/>
        </w:rPr>
        <w:drawing>
          <wp:anchor distT="0" distB="0" distL="0" distR="0" simplePos="0" relativeHeight="16185344" behindDoc="0" locked="0" layoutInCell="1" allowOverlap="1" wp14:anchorId="7D4722FE" wp14:editId="7115BD62">
            <wp:simplePos x="0" y="0"/>
            <wp:positionH relativeFrom="page">
              <wp:posOffset>4537583</wp:posOffset>
            </wp:positionH>
            <wp:positionV relativeFrom="paragraph">
              <wp:posOffset>936521</wp:posOffset>
            </wp:positionV>
            <wp:extent cx="926984" cy="95250"/>
            <wp:effectExtent l="0" t="0" r="0" b="0"/>
            <wp:wrapNone/>
            <wp:docPr id="2923" name="Image 2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3" name="Image 2923"/>
                    <pic:cNvPicPr/>
                  </pic:nvPicPr>
                  <pic:blipFill>
                    <a:blip r:embed="rId162" cstate="print"/>
                    <a:stretch>
                      <a:fillRect/>
                    </a:stretch>
                  </pic:blipFill>
                  <pic:spPr>
                    <a:xfrm>
                      <a:off x="0" y="0"/>
                      <a:ext cx="926984" cy="95250"/>
                    </a:xfrm>
                    <a:prstGeom prst="rect">
                      <a:avLst/>
                    </a:prstGeom>
                  </pic:spPr>
                </pic:pic>
              </a:graphicData>
            </a:graphic>
          </wp:anchor>
        </w:drawing>
      </w:r>
      <w:r w:rsidRPr="003C6DAE">
        <w:rPr>
          <w:noProof/>
          <w:lang w:val="uk-UA"/>
        </w:rPr>
        <w:drawing>
          <wp:anchor distT="0" distB="0" distL="0" distR="0" simplePos="0" relativeHeight="16185856" behindDoc="0" locked="0" layoutInCell="1" allowOverlap="1" wp14:anchorId="4E61AEB0" wp14:editId="71C047F5">
            <wp:simplePos x="0" y="0"/>
            <wp:positionH relativeFrom="page">
              <wp:posOffset>5631867</wp:posOffset>
            </wp:positionH>
            <wp:positionV relativeFrom="paragraph">
              <wp:posOffset>936521</wp:posOffset>
            </wp:positionV>
            <wp:extent cx="926984" cy="95250"/>
            <wp:effectExtent l="0" t="0" r="0" b="0"/>
            <wp:wrapNone/>
            <wp:docPr id="2924" name="Image 2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4" name="Image 2924"/>
                    <pic:cNvPicPr/>
                  </pic:nvPicPr>
                  <pic:blipFill>
                    <a:blip r:embed="rId163" cstate="print"/>
                    <a:stretch>
                      <a:fillRect/>
                    </a:stretch>
                  </pic:blipFill>
                  <pic:spPr>
                    <a:xfrm>
                      <a:off x="0" y="0"/>
                      <a:ext cx="926984" cy="95250"/>
                    </a:xfrm>
                    <a:prstGeom prst="rect">
                      <a:avLst/>
                    </a:prstGeom>
                  </pic:spPr>
                </pic:pic>
              </a:graphicData>
            </a:graphic>
          </wp:anchor>
        </w:drawing>
      </w:r>
      <w:r w:rsidRPr="003C6DAE">
        <w:rPr>
          <w:noProof/>
          <w:lang w:val="uk-UA"/>
        </w:rPr>
        <mc:AlternateContent>
          <mc:Choice Requires="wpg">
            <w:drawing>
              <wp:anchor distT="0" distB="0" distL="0" distR="0" simplePos="0" relativeHeight="16186368" behindDoc="0" locked="0" layoutInCell="1" allowOverlap="1" wp14:anchorId="48B3ECAD" wp14:editId="78958427">
                <wp:simplePos x="0" y="0"/>
                <wp:positionH relativeFrom="page">
                  <wp:posOffset>6389443</wp:posOffset>
                </wp:positionH>
                <wp:positionV relativeFrom="paragraph">
                  <wp:posOffset>1077935</wp:posOffset>
                </wp:positionV>
                <wp:extent cx="231775" cy="59690"/>
                <wp:effectExtent l="0" t="0" r="0" b="0"/>
                <wp:wrapNone/>
                <wp:docPr id="2925" name="Group 2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59690"/>
                          <a:chOff x="0" y="0"/>
                          <a:chExt cx="231775" cy="59690"/>
                        </a:xfrm>
                      </wpg:grpSpPr>
                      <wps:wsp>
                        <wps:cNvPr id="2926" name="Graphic 2926"/>
                        <wps:cNvSpPr/>
                        <wps:spPr>
                          <a:xfrm>
                            <a:off x="0" y="25345"/>
                            <a:ext cx="172720" cy="1270"/>
                          </a:xfrm>
                          <a:custGeom>
                            <a:avLst/>
                            <a:gdLst/>
                            <a:ahLst/>
                            <a:cxnLst/>
                            <a:rect l="l" t="t" r="r" b="b"/>
                            <a:pathLst>
                              <a:path w="172720">
                                <a:moveTo>
                                  <a:pt x="0" y="0"/>
                                </a:moveTo>
                                <a:lnTo>
                                  <a:pt x="172455" y="0"/>
                                </a:lnTo>
                              </a:path>
                            </a:pathLst>
                          </a:custGeom>
                          <a:ln w="10210">
                            <a:solidFill>
                              <a:srgbClr val="000000"/>
                            </a:solidFill>
                            <a:prstDash val="solid"/>
                          </a:ln>
                        </wps:spPr>
                        <wps:bodyPr wrap="square" lIns="0" tIns="0" rIns="0" bIns="0" rtlCol="0">
                          <a:prstTxWarp prst="textNoShape">
                            <a:avLst/>
                          </a:prstTxWarp>
                          <a:noAutofit/>
                        </wps:bodyPr>
                      </wps:wsp>
                      <wps:wsp>
                        <wps:cNvPr id="2927" name="Graphic 2927"/>
                        <wps:cNvSpPr/>
                        <wps:spPr>
                          <a:xfrm>
                            <a:off x="172455" y="0"/>
                            <a:ext cx="59690" cy="59690"/>
                          </a:xfrm>
                          <a:custGeom>
                            <a:avLst/>
                            <a:gdLst/>
                            <a:ahLst/>
                            <a:cxnLst/>
                            <a:rect l="l" t="t" r="r" b="b"/>
                            <a:pathLst>
                              <a:path w="59690" h="59690">
                                <a:moveTo>
                                  <a:pt x="59143" y="0"/>
                                </a:moveTo>
                                <a:lnTo>
                                  <a:pt x="0" y="0"/>
                                </a:lnTo>
                                <a:lnTo>
                                  <a:pt x="0" y="59156"/>
                                </a:lnTo>
                                <a:lnTo>
                                  <a:pt x="59143" y="59156"/>
                                </a:lnTo>
                                <a:lnTo>
                                  <a:pt x="5914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399EB5EC" id="Group 2925" o:spid="_x0000_s1026" style="position:absolute;margin-left:503.1pt;margin-top:84.9pt;width:18.25pt;height:4.7pt;z-index:16186368;mso-wrap-distance-left:0;mso-wrap-distance-right:0;mso-position-horizontal-relative:page" coordsize="231775,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">
                <v:shape id="Graphic 2926" o:spid="_x0000_s1027" style="position:absolute;top:25345;width:172720;height:1270;visibility:visible;mso-wrap-style:square;v-text-anchor:top" coordsize="172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" path="m,l172455,e" filled="f" strokeweight=".28361mm">
                  <v:path arrowok="t"/>
                </v:shape>
                <v:shape id="Graphic 2927" o:spid="_x0000_s1028" style="position:absolute;left:172455;width:59690;height:59690;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" path="m59143,l,,,59156r59143,l59143,xe" fillcolor="#0000c0" stroked="f">
                  <v:path arrowok="t"/>
                </v:shape>
                <w10:wrap anchorx="page"/>
              </v:group>
            </w:pict>
          </mc:Fallback>
        </mc:AlternateContent>
      </w:r>
      <w:r w:rsidRPr="003C6DAE">
        <w:rPr>
          <w:noProof/>
          <w:lang w:val="uk-UA"/>
        </w:rPr>
        <mc:AlternateContent>
          <mc:Choice Requires="wpg">
            <w:drawing>
              <wp:anchor distT="0" distB="0" distL="0" distR="0" simplePos="0" relativeHeight="16186880" behindDoc="0" locked="0" layoutInCell="1" allowOverlap="1" wp14:anchorId="375554CB" wp14:editId="1AFBB9A4">
                <wp:simplePos x="0" y="0"/>
                <wp:positionH relativeFrom="page">
                  <wp:posOffset>6502527</wp:posOffset>
                </wp:positionH>
                <wp:positionV relativeFrom="paragraph">
                  <wp:posOffset>1213139</wp:posOffset>
                </wp:positionV>
                <wp:extent cx="88900" cy="59690"/>
                <wp:effectExtent l="0" t="0" r="0" b="0"/>
                <wp:wrapNone/>
                <wp:docPr id="2928" name="Group 2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59690"/>
                          <a:chOff x="0" y="0"/>
                          <a:chExt cx="88900" cy="59690"/>
                        </a:xfrm>
                      </wpg:grpSpPr>
                      <wps:wsp>
                        <wps:cNvPr id="2929" name="Graphic 2929"/>
                        <wps:cNvSpPr/>
                        <wps:spPr>
                          <a:xfrm>
                            <a:off x="0" y="25339"/>
                            <a:ext cx="29845" cy="1270"/>
                          </a:xfrm>
                          <a:custGeom>
                            <a:avLst/>
                            <a:gdLst/>
                            <a:ahLst/>
                            <a:cxnLst/>
                            <a:rect l="l" t="t" r="r" b="b"/>
                            <a:pathLst>
                              <a:path w="29845">
                                <a:moveTo>
                                  <a:pt x="0" y="0"/>
                                </a:moveTo>
                                <a:lnTo>
                                  <a:pt x="29538" y="0"/>
                                </a:lnTo>
                              </a:path>
                            </a:pathLst>
                          </a:custGeom>
                          <a:ln w="10210">
                            <a:solidFill>
                              <a:srgbClr val="000000"/>
                            </a:solidFill>
                            <a:prstDash val="solid"/>
                          </a:ln>
                        </wps:spPr>
                        <wps:bodyPr wrap="square" lIns="0" tIns="0" rIns="0" bIns="0" rtlCol="0">
                          <a:prstTxWarp prst="textNoShape">
                            <a:avLst/>
                          </a:prstTxWarp>
                          <a:noAutofit/>
                        </wps:bodyPr>
                      </wps:wsp>
                      <wps:wsp>
                        <wps:cNvPr id="2930" name="Graphic 2930"/>
                        <wps:cNvSpPr/>
                        <wps:spPr>
                          <a:xfrm>
                            <a:off x="29538" y="0"/>
                            <a:ext cx="59690" cy="59690"/>
                          </a:xfrm>
                          <a:custGeom>
                            <a:avLst/>
                            <a:gdLst/>
                            <a:ahLst/>
                            <a:cxnLst/>
                            <a:rect l="l" t="t" r="r" b="b"/>
                            <a:pathLst>
                              <a:path w="59690" h="59690">
                                <a:moveTo>
                                  <a:pt x="59143" y="0"/>
                                </a:moveTo>
                                <a:lnTo>
                                  <a:pt x="0" y="0"/>
                                </a:lnTo>
                                <a:lnTo>
                                  <a:pt x="0" y="59156"/>
                                </a:lnTo>
                                <a:lnTo>
                                  <a:pt x="59143" y="59156"/>
                                </a:lnTo>
                                <a:lnTo>
                                  <a:pt x="5914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51509973" id="Group 2928" o:spid="_x0000_s1026" style="position:absolute;margin-left:512pt;margin-top:95.5pt;width:7pt;height:4.7pt;z-index:16186880;mso-wrap-distance-left:0;mso-wrap-distance-right:0;mso-position-horizontal-relative:page" coordsize="88900,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">
                <v:shape id="Graphic 2929" o:spid="_x0000_s1027" style="position:absolute;top:25339;width:29845;height:1270;visibility:visible;mso-wrap-style:square;v-text-anchor:top" coordsize="29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" path="m,l29538,e" filled="f" strokeweight=".28361mm">
                  <v:path arrowok="t"/>
                </v:shape>
                <v:shape id="Graphic 2930" o:spid="_x0000_s1028" style="position:absolute;left:29538;width:59690;height:59690;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" path="m59143,l,,,59156r59143,l59143,xe" fillcolor="#0000c0" stroked="f">
                  <v:path arrowok="t"/>
                </v:shape>
                <w10:wrap anchorx="page"/>
              </v:group>
            </w:pict>
          </mc:Fallback>
        </mc:AlternateContent>
      </w:r>
      <w:r w:rsidRPr="003C6DAE">
        <w:rPr>
          <w:noProof/>
          <w:lang w:val="uk-UA"/>
        </w:rPr>
        <mc:AlternateContent>
          <mc:Choice Requires="wpg">
            <w:drawing>
              <wp:anchor distT="0" distB="0" distL="0" distR="0" simplePos="0" relativeHeight="16187392" behindDoc="0" locked="0" layoutInCell="1" allowOverlap="1" wp14:anchorId="00E60AA5" wp14:editId="460D8A97">
                <wp:simplePos x="0" y="0"/>
                <wp:positionH relativeFrom="page">
                  <wp:posOffset>6380526</wp:posOffset>
                </wp:positionH>
                <wp:positionV relativeFrom="paragraph">
                  <wp:posOffset>1348344</wp:posOffset>
                </wp:positionV>
                <wp:extent cx="191135" cy="59690"/>
                <wp:effectExtent l="0" t="0" r="0" b="0"/>
                <wp:wrapNone/>
                <wp:docPr id="2931" name="Group 2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135" cy="59690"/>
                          <a:chOff x="0" y="0"/>
                          <a:chExt cx="191135" cy="59690"/>
                        </a:xfrm>
                      </wpg:grpSpPr>
                      <wps:wsp>
                        <wps:cNvPr id="2932" name="Graphic 2932"/>
                        <wps:cNvSpPr/>
                        <wps:spPr>
                          <a:xfrm>
                            <a:off x="0" y="25339"/>
                            <a:ext cx="191135" cy="1270"/>
                          </a:xfrm>
                          <a:custGeom>
                            <a:avLst/>
                            <a:gdLst/>
                            <a:ahLst/>
                            <a:cxnLst/>
                            <a:rect l="l" t="t" r="r" b="b"/>
                            <a:pathLst>
                              <a:path w="191135">
                                <a:moveTo>
                                  <a:pt x="0" y="0"/>
                                </a:moveTo>
                                <a:lnTo>
                                  <a:pt x="105312" y="0"/>
                                </a:lnTo>
                              </a:path>
                              <a:path w="191135">
                                <a:moveTo>
                                  <a:pt x="164456" y="0"/>
                                </a:moveTo>
                                <a:lnTo>
                                  <a:pt x="190766" y="0"/>
                                </a:lnTo>
                              </a:path>
                            </a:pathLst>
                          </a:custGeom>
                          <a:ln w="10210">
                            <a:solidFill>
                              <a:srgbClr val="000000"/>
                            </a:solidFill>
                            <a:prstDash val="solid"/>
                          </a:ln>
                        </wps:spPr>
                        <wps:bodyPr wrap="square" lIns="0" tIns="0" rIns="0" bIns="0" rtlCol="0">
                          <a:prstTxWarp prst="textNoShape">
                            <a:avLst/>
                          </a:prstTxWarp>
                          <a:noAutofit/>
                        </wps:bodyPr>
                      </wps:wsp>
                      <wps:wsp>
                        <wps:cNvPr id="2933" name="Graphic 2933"/>
                        <wps:cNvSpPr/>
                        <wps:spPr>
                          <a:xfrm>
                            <a:off x="105312" y="0"/>
                            <a:ext cx="59690" cy="59690"/>
                          </a:xfrm>
                          <a:custGeom>
                            <a:avLst/>
                            <a:gdLst/>
                            <a:ahLst/>
                            <a:cxnLst/>
                            <a:rect l="l" t="t" r="r" b="b"/>
                            <a:pathLst>
                              <a:path w="59690" h="59690">
                                <a:moveTo>
                                  <a:pt x="59143" y="0"/>
                                </a:moveTo>
                                <a:lnTo>
                                  <a:pt x="0" y="0"/>
                                </a:lnTo>
                                <a:lnTo>
                                  <a:pt x="0" y="59143"/>
                                </a:lnTo>
                                <a:lnTo>
                                  <a:pt x="59143" y="59143"/>
                                </a:lnTo>
                                <a:lnTo>
                                  <a:pt x="5914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0D5EE4D1" id="Group 2931" o:spid="_x0000_s1026" style="position:absolute;margin-left:502.4pt;margin-top:106.15pt;width:15.05pt;height:4.7pt;z-index:16187392;mso-wrap-distance-left:0;mso-wrap-distance-right:0;mso-position-horizontal-relative:page" coordsize="191135,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">
                <v:shape id="Graphic 2932" o:spid="_x0000_s1027" style="position:absolute;top:25339;width:191135;height:1270;visibility:visible;mso-wrap-style:square;v-text-anchor:top" coordsize="191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" path="m,l105312,em164456,r26310,e" filled="f" strokeweight=".28361mm">
                  <v:path arrowok="t"/>
                </v:shape>
                <v:shape id="Graphic 2933" o:spid="_x0000_s1028" style="position:absolute;left:105312;width:59690;height:59690;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" path="m59143,l,,,59143r59143,l59143,xe" fillcolor="#0000c0" stroked="f">
                  <v:path arrowok="t"/>
                </v:shape>
                <w10:wrap anchorx="page"/>
              </v:group>
            </w:pict>
          </mc:Fallback>
        </mc:AlternateContent>
      </w:r>
      <w:r w:rsidRPr="003C6DAE">
        <w:rPr>
          <w:noProof/>
          <w:lang w:val="uk-UA"/>
        </w:rPr>
        <mc:AlternateContent>
          <mc:Choice Requires="wpg">
            <w:drawing>
              <wp:anchor distT="0" distB="0" distL="0" distR="0" simplePos="0" relativeHeight="16187904" behindDoc="0" locked="0" layoutInCell="1" allowOverlap="1" wp14:anchorId="06C0A397" wp14:editId="108A9DAC">
                <wp:simplePos x="0" y="0"/>
                <wp:positionH relativeFrom="page">
                  <wp:posOffset>6517795</wp:posOffset>
                </wp:positionH>
                <wp:positionV relativeFrom="paragraph">
                  <wp:posOffset>1483535</wp:posOffset>
                </wp:positionV>
                <wp:extent cx="103505" cy="59690"/>
                <wp:effectExtent l="0" t="0" r="0" b="0"/>
                <wp:wrapNone/>
                <wp:docPr id="2934" name="Group 2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505" cy="59690"/>
                          <a:chOff x="0" y="0"/>
                          <a:chExt cx="103505" cy="59690"/>
                        </a:xfrm>
                      </wpg:grpSpPr>
                      <wps:wsp>
                        <wps:cNvPr id="2935" name="Graphic 2935"/>
                        <wps:cNvSpPr/>
                        <wps:spPr>
                          <a:xfrm>
                            <a:off x="0" y="25345"/>
                            <a:ext cx="44450" cy="1270"/>
                          </a:xfrm>
                          <a:custGeom>
                            <a:avLst/>
                            <a:gdLst/>
                            <a:ahLst/>
                            <a:cxnLst/>
                            <a:rect l="l" t="t" r="r" b="b"/>
                            <a:pathLst>
                              <a:path w="44450">
                                <a:moveTo>
                                  <a:pt x="0" y="0"/>
                                </a:moveTo>
                                <a:lnTo>
                                  <a:pt x="44103" y="0"/>
                                </a:lnTo>
                              </a:path>
                            </a:pathLst>
                          </a:custGeom>
                          <a:ln w="10210">
                            <a:solidFill>
                              <a:srgbClr val="000000"/>
                            </a:solidFill>
                            <a:prstDash val="solid"/>
                          </a:ln>
                        </wps:spPr>
                        <wps:bodyPr wrap="square" lIns="0" tIns="0" rIns="0" bIns="0" rtlCol="0">
                          <a:prstTxWarp prst="textNoShape">
                            <a:avLst/>
                          </a:prstTxWarp>
                          <a:noAutofit/>
                        </wps:bodyPr>
                      </wps:wsp>
                      <wps:wsp>
                        <wps:cNvPr id="2936" name="Graphic 2936"/>
                        <wps:cNvSpPr/>
                        <wps:spPr>
                          <a:xfrm>
                            <a:off x="44103" y="0"/>
                            <a:ext cx="59690" cy="59690"/>
                          </a:xfrm>
                          <a:custGeom>
                            <a:avLst/>
                            <a:gdLst/>
                            <a:ahLst/>
                            <a:cxnLst/>
                            <a:rect l="l" t="t" r="r" b="b"/>
                            <a:pathLst>
                              <a:path w="59690" h="59690">
                                <a:moveTo>
                                  <a:pt x="59143" y="0"/>
                                </a:moveTo>
                                <a:lnTo>
                                  <a:pt x="0" y="0"/>
                                </a:lnTo>
                                <a:lnTo>
                                  <a:pt x="0" y="59156"/>
                                </a:lnTo>
                                <a:lnTo>
                                  <a:pt x="59143" y="59156"/>
                                </a:lnTo>
                                <a:lnTo>
                                  <a:pt x="5914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C40A6DA" id="Group 2934" o:spid="_x0000_s1026" style="position:absolute;margin-left:513.2pt;margin-top:116.8pt;width:8.15pt;height:4.7pt;z-index:16187904;mso-wrap-distance-left:0;mso-wrap-distance-right:0;mso-position-horizontal-relative:page" coordsize="103505,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">
                <v:shape id="Graphic 2935" o:spid="_x0000_s1027" style="position:absolute;top:25345;width:44450;height:1270;visibility:visible;mso-wrap-style:square;v-text-anchor:top" coordsize="4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" path="m,l44103,e" filled="f" strokeweight=".28361mm">
                  <v:path arrowok="t"/>
                </v:shape>
                <v:shape id="Graphic 2936" o:spid="_x0000_s1028" style="position:absolute;left:44103;width:59690;height:59690;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" path="m59143,l,,,59156r59143,l59143,xe" fillcolor="#0000c0" stroked="f">
                  <v:path arrowok="t"/>
                </v:shape>
                <w10:wrap anchorx="page"/>
              </v:group>
            </w:pict>
          </mc:Fallback>
        </mc:AlternateContent>
      </w:r>
      <w:r w:rsidR="0023327E" w:rsidRPr="0023327E">
        <w:rPr>
          <w:rFonts w:ascii="Microsoft Sans Serif" w:hAnsi="Microsoft Sans Serif" w:cs="Microsoft Sans Serif"/>
          <w:color w:val="636466"/>
          <w:w w:val="115"/>
          <w:sz w:val="22"/>
          <w:szCs w:val="22"/>
          <w:lang w:val="uk-UA"/>
        </w:rPr>
        <w:t xml:space="preserve">Рис. 2.4.4.2 Лісова діаграма з даними включених досліджень щодо виявлення стійкості до піразинаміду, незалежно від стійкості до рифампіцину. Еталонним стандартом був </w:t>
      </w:r>
      <w:proofErr w:type="spellStart"/>
      <w:r w:rsidR="0023327E" w:rsidRPr="0023327E">
        <w:rPr>
          <w:rFonts w:ascii="Microsoft Sans Serif" w:hAnsi="Microsoft Sans Serif" w:cs="Microsoft Sans Serif"/>
          <w:color w:val="636466"/>
          <w:w w:val="115"/>
          <w:sz w:val="22"/>
          <w:szCs w:val="22"/>
          <w:lang w:val="ru-RU"/>
        </w:rPr>
        <w:t>фенотипови</w:t>
      </w:r>
      <w:proofErr w:type="spellEnd"/>
      <w:r w:rsidR="0023327E" w:rsidRPr="0023327E">
        <w:rPr>
          <w:rFonts w:ascii="Microsoft Sans Serif" w:hAnsi="Microsoft Sans Serif" w:cs="Microsoft Sans Serif"/>
          <w:color w:val="636466"/>
          <w:w w:val="115"/>
          <w:sz w:val="22"/>
          <w:szCs w:val="22"/>
          <w:lang w:val="uk-UA"/>
        </w:rPr>
        <w:t xml:space="preserve">й </w:t>
      </w:r>
      <w:r w:rsidR="0023327E" w:rsidRPr="0023327E">
        <w:rPr>
          <w:rFonts w:ascii="Microsoft Sans Serif" w:hAnsi="Microsoft Sans Serif" w:cs="Microsoft Sans Serif"/>
          <w:color w:val="636466"/>
          <w:w w:val="115"/>
          <w:sz w:val="22"/>
          <w:szCs w:val="22"/>
          <w:lang w:val="ru-RU"/>
        </w:rPr>
        <w:t xml:space="preserve">ТМЧ </w:t>
      </w:r>
      <w:r w:rsidR="0023327E" w:rsidRPr="0023327E">
        <w:rPr>
          <w:rFonts w:ascii="Microsoft Sans Serif" w:hAnsi="Microsoft Sans Serif" w:cs="Microsoft Sans Serif"/>
          <w:color w:val="636466"/>
          <w:w w:val="115"/>
          <w:sz w:val="22"/>
          <w:szCs w:val="22"/>
          <w:lang w:val="uk-UA"/>
        </w:rPr>
        <w:t>на основі культуральних методів</w:t>
      </w:r>
    </w:p>
    <w:p w14:paraId="429CAA9F" w14:textId="14D4C1B9" w:rsidR="0023327E" w:rsidRPr="0023327E" w:rsidRDefault="0023327E" w:rsidP="0023327E">
      <w:pPr>
        <w:spacing w:line="235" w:lineRule="auto"/>
        <w:ind w:right="1330"/>
        <w:rPr>
          <w:w w:val="110"/>
          <w:sz w:val="18"/>
          <w:lang w:val="ru-RU"/>
        </w:rPr>
      </w:pPr>
    </w:p>
    <w:p w14:paraId="28CBD99B" w14:textId="411881BE" w:rsidR="00E05B98" w:rsidRPr="003C6DAE" w:rsidRDefault="0001099E" w:rsidP="00010C6A">
      <w:pPr>
        <w:pStyle w:val="6"/>
        <w:spacing w:before="244" w:line="249" w:lineRule="auto"/>
        <w:jc w:val="both"/>
        <w:rPr>
          <w:lang w:val="uk-UA"/>
        </w:rPr>
      </w:pPr>
      <w:r w:rsidRPr="003C6DAE">
        <w:rPr>
          <w:b w:val="0"/>
          <w:noProof/>
          <w:lang w:val="uk-UA"/>
        </w:rPr>
        <mc:AlternateContent>
          <mc:Choice Requires="wps">
            <w:drawing>
              <wp:anchor distT="0" distB="0" distL="114300" distR="114300" simplePos="0" relativeHeight="488203776" behindDoc="0" locked="0" layoutInCell="1" allowOverlap="1" wp14:anchorId="12DECD73" wp14:editId="791EFD88">
                <wp:simplePos x="0" y="0"/>
                <wp:positionH relativeFrom="margin">
                  <wp:align>right</wp:align>
                </wp:positionH>
                <wp:positionV relativeFrom="paragraph">
                  <wp:posOffset>160655</wp:posOffset>
                </wp:positionV>
                <wp:extent cx="6127115" cy="285750"/>
                <wp:effectExtent l="0" t="0" r="6985" b="0"/>
                <wp:wrapNone/>
                <wp:docPr id="1673089436" name="Поле 1673089436"/>
                <wp:cNvGraphicFramePr/>
                <a:graphic xmlns:a="http://schemas.openxmlformats.org/drawingml/2006/main">
                  <a:graphicData uri="http://schemas.microsoft.com/office/word/2010/wordprocessingShape">
                    <wps:wsp>
                      <wps:cNvSpPr txBox="1"/>
                      <wps:spPr>
                        <a:xfrm>
                          <a:off x="0" y="0"/>
                          <a:ext cx="6127115" cy="285750"/>
                        </a:xfrm>
                        <a:prstGeom prst="rect">
                          <a:avLst/>
                        </a:prstGeom>
                        <a:solidFill>
                          <a:schemeClr val="bg1"/>
                        </a:solidFill>
                        <a:ln w="6350">
                          <a:noFill/>
                        </a:ln>
                      </wps:spPr>
                      <wps:txbx>
                        <w:txbxContent>
                          <w:p w14:paraId="32533F9E" w14:textId="64190A05" w:rsidR="0001099E" w:rsidRPr="008D2647" w:rsidRDefault="0001099E" w:rsidP="0001099E">
                            <w:pPr>
                              <w:ind w:left="2160" w:hanging="2018"/>
                              <w:rPr>
                                <w:rFonts w:asciiTheme="minorHAnsi" w:hAnsiTheme="minorHAnsi" w:cstheme="minorHAnsi"/>
                                <w:b/>
                                <w:sz w:val="16"/>
                                <w:szCs w:val="16"/>
                                <w:lang w:val="uk-UA"/>
                              </w:rPr>
                            </w:pPr>
                            <w:r w:rsidRPr="008D2647">
                              <w:rPr>
                                <w:rFonts w:asciiTheme="minorHAnsi" w:hAnsiTheme="minorHAnsi" w:cstheme="minorHAnsi"/>
                                <w:b/>
                                <w:sz w:val="16"/>
                                <w:szCs w:val="16"/>
                                <w:lang w:val="uk-UA"/>
                              </w:rPr>
                              <w:t xml:space="preserve">Дослідження      </w:t>
                            </w:r>
                            <w:r w:rsidRPr="008D2647">
                              <w:rPr>
                                <w:rFonts w:asciiTheme="minorHAnsi" w:hAnsiTheme="minorHAnsi" w:cstheme="minorHAnsi"/>
                                <w:b/>
                                <w:sz w:val="16"/>
                                <w:szCs w:val="16"/>
                              </w:rPr>
                              <w:t xml:space="preserve">TP     FP    </w:t>
                            </w:r>
                            <w:r w:rsidRPr="008D2647">
                              <w:rPr>
                                <w:rFonts w:asciiTheme="minorHAnsi" w:hAnsiTheme="minorHAnsi" w:cstheme="minorHAnsi"/>
                                <w:b/>
                                <w:sz w:val="16"/>
                                <w:szCs w:val="16"/>
                                <w:lang w:val="uk-UA"/>
                              </w:rPr>
                              <w:t xml:space="preserve"> </w:t>
                            </w:r>
                            <w:r w:rsidRPr="008D2647">
                              <w:rPr>
                                <w:rFonts w:asciiTheme="minorHAnsi" w:hAnsiTheme="minorHAnsi" w:cstheme="minorHAnsi"/>
                                <w:b/>
                                <w:sz w:val="16"/>
                                <w:szCs w:val="16"/>
                              </w:rPr>
                              <w:t xml:space="preserve">FN  </w:t>
                            </w:r>
                            <w:r>
                              <w:rPr>
                                <w:rFonts w:asciiTheme="minorHAnsi" w:hAnsiTheme="minorHAnsi" w:cstheme="minorHAnsi"/>
                                <w:b/>
                                <w:sz w:val="16"/>
                                <w:szCs w:val="16"/>
                                <w:lang w:val="uk-UA"/>
                              </w:rPr>
                              <w:t xml:space="preserve">   </w:t>
                            </w:r>
                            <w:r w:rsidRPr="008D2647">
                              <w:rPr>
                                <w:rFonts w:asciiTheme="minorHAnsi" w:hAnsiTheme="minorHAnsi" w:cstheme="minorHAnsi"/>
                                <w:b/>
                                <w:sz w:val="16"/>
                                <w:szCs w:val="16"/>
                              </w:rPr>
                              <w:t xml:space="preserve">TN    </w:t>
                            </w:r>
                            <w:r>
                              <w:rPr>
                                <w:rFonts w:asciiTheme="minorHAnsi" w:hAnsiTheme="minorHAnsi" w:cstheme="minorHAnsi"/>
                                <w:b/>
                                <w:sz w:val="16"/>
                                <w:szCs w:val="16"/>
                                <w:lang w:val="uk-UA"/>
                              </w:rPr>
                              <w:t xml:space="preserve">     </w:t>
                            </w:r>
                            <w:r w:rsidRPr="008D2647">
                              <w:rPr>
                                <w:rFonts w:asciiTheme="minorHAnsi" w:hAnsiTheme="minorHAnsi" w:cstheme="minorHAnsi"/>
                                <w:b/>
                                <w:sz w:val="16"/>
                                <w:szCs w:val="16"/>
                                <w:lang w:val="uk-UA"/>
                              </w:rPr>
                              <w:t xml:space="preserve">Чутливість (95% ДІ)  Специфічність (95% ДІ)  </w:t>
                            </w:r>
                            <w:r w:rsidRPr="008D2647">
                              <w:rPr>
                                <w:rFonts w:asciiTheme="minorHAnsi" w:hAnsiTheme="minorHAnsi" w:cstheme="minorHAnsi"/>
                                <w:b/>
                                <w:sz w:val="16"/>
                                <w:szCs w:val="16"/>
                              </w:rPr>
                              <w:t xml:space="preserve"> </w:t>
                            </w:r>
                            <w:r>
                              <w:rPr>
                                <w:rFonts w:asciiTheme="minorHAnsi" w:hAnsiTheme="minorHAnsi" w:cstheme="minorHAnsi"/>
                                <w:b/>
                                <w:sz w:val="16"/>
                                <w:szCs w:val="16"/>
                                <w:lang w:val="uk-UA"/>
                              </w:rPr>
                              <w:t xml:space="preserve">     </w:t>
                            </w:r>
                            <w:r w:rsidRPr="008D2647">
                              <w:rPr>
                                <w:rFonts w:asciiTheme="minorHAnsi" w:hAnsiTheme="minorHAnsi" w:cstheme="minorHAnsi"/>
                                <w:b/>
                                <w:sz w:val="16"/>
                                <w:szCs w:val="16"/>
                                <w:lang w:val="uk-UA"/>
                              </w:rPr>
                              <w:t xml:space="preserve">Чутливість (95% ДІ)    </w:t>
                            </w:r>
                            <w:r>
                              <w:rPr>
                                <w:rFonts w:asciiTheme="minorHAnsi" w:hAnsiTheme="minorHAnsi" w:cstheme="minorHAnsi"/>
                                <w:b/>
                                <w:sz w:val="16"/>
                                <w:szCs w:val="16"/>
                                <w:lang w:val="uk-UA"/>
                              </w:rPr>
                              <w:t xml:space="preserve">    </w:t>
                            </w:r>
                            <w:r w:rsidRPr="008D2647">
                              <w:rPr>
                                <w:rFonts w:asciiTheme="minorHAnsi" w:hAnsiTheme="minorHAnsi" w:cstheme="minorHAnsi"/>
                                <w:b/>
                                <w:sz w:val="16"/>
                                <w:szCs w:val="16"/>
                                <w:lang w:val="uk-UA"/>
                              </w:rPr>
                              <w:t>Специфічність (95% ДІ)</w:t>
                            </w:r>
                            <w:r w:rsidRPr="008D2647">
                              <w:rPr>
                                <w:rFonts w:asciiTheme="minorHAnsi" w:hAnsiTheme="minorHAnsi" w:cstheme="minorHAnsi"/>
                                <w:b/>
                                <w:sz w:val="16"/>
                                <w:szCs w:val="16"/>
                              </w:rPr>
                              <w:t xml:space="preserve">          </w:t>
                            </w:r>
                            <w:r w:rsidRPr="008D2647">
                              <w:rPr>
                                <w:rFonts w:asciiTheme="minorHAnsi" w:hAnsiTheme="minorHAnsi" w:cstheme="minorHAnsi"/>
                                <w:b/>
                                <w:sz w:val="16"/>
                                <w:szCs w:val="16"/>
                                <w:lang w:val="uk-UA"/>
                              </w:rPr>
                              <w:t xml:space="preserve">                     </w:t>
                            </w:r>
                          </w:p>
                          <w:p w14:paraId="3EBC60DF" w14:textId="77777777" w:rsidR="0001099E" w:rsidRPr="00014B97" w:rsidRDefault="0001099E" w:rsidP="0001099E">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ECD73" id="Поле 1673089436" o:spid="_x0000_s1167" type="#_x0000_t202" style="position:absolute;left:0;text-align:left;margin-left:431.25pt;margin-top:12.65pt;width:482.45pt;height:22.5pt;z-index:48820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" fillcolor="white [3212]" stroked="f" strokeweight=".5pt">
                <v:textbox>
                  <w:txbxContent>
                    <w:p w14:paraId="32533F9E" w14:textId="64190A05" w:rsidR="0001099E" w:rsidRPr="008D2647" w:rsidRDefault="0001099E" w:rsidP="0001099E">
                      <w:pPr>
                        <w:ind w:left="2160" w:hanging="2018"/>
                        <w:rPr>
                          <w:rFonts w:asciiTheme="minorHAnsi" w:hAnsiTheme="minorHAnsi" w:cstheme="minorHAnsi"/>
                          <w:b/>
                          <w:sz w:val="16"/>
                          <w:szCs w:val="16"/>
                          <w:lang w:val="uk-UA"/>
                        </w:rPr>
                      </w:pPr>
                      <w:r w:rsidRPr="008D2647">
                        <w:rPr>
                          <w:rFonts w:asciiTheme="minorHAnsi" w:hAnsiTheme="minorHAnsi" w:cstheme="minorHAnsi"/>
                          <w:b/>
                          <w:sz w:val="16"/>
                          <w:szCs w:val="16"/>
                          <w:lang w:val="uk-UA"/>
                        </w:rPr>
                        <w:t xml:space="preserve">Дослідження      </w:t>
                      </w:r>
                      <w:r w:rsidRPr="008D2647">
                        <w:rPr>
                          <w:rFonts w:asciiTheme="minorHAnsi" w:hAnsiTheme="minorHAnsi" w:cstheme="minorHAnsi"/>
                          <w:b/>
                          <w:sz w:val="16"/>
                          <w:szCs w:val="16"/>
                        </w:rPr>
                        <w:t xml:space="preserve">TP     FP    </w:t>
                      </w:r>
                      <w:r w:rsidRPr="008D2647">
                        <w:rPr>
                          <w:rFonts w:asciiTheme="minorHAnsi" w:hAnsiTheme="minorHAnsi" w:cstheme="minorHAnsi"/>
                          <w:b/>
                          <w:sz w:val="16"/>
                          <w:szCs w:val="16"/>
                          <w:lang w:val="uk-UA"/>
                        </w:rPr>
                        <w:t xml:space="preserve"> </w:t>
                      </w:r>
                      <w:r w:rsidRPr="008D2647">
                        <w:rPr>
                          <w:rFonts w:asciiTheme="minorHAnsi" w:hAnsiTheme="minorHAnsi" w:cstheme="minorHAnsi"/>
                          <w:b/>
                          <w:sz w:val="16"/>
                          <w:szCs w:val="16"/>
                        </w:rPr>
                        <w:t xml:space="preserve">FN  </w:t>
                      </w:r>
                      <w:r>
                        <w:rPr>
                          <w:rFonts w:asciiTheme="minorHAnsi" w:hAnsiTheme="minorHAnsi" w:cstheme="minorHAnsi"/>
                          <w:b/>
                          <w:sz w:val="16"/>
                          <w:szCs w:val="16"/>
                          <w:lang w:val="uk-UA"/>
                        </w:rPr>
                        <w:t xml:space="preserve">   </w:t>
                      </w:r>
                      <w:r w:rsidRPr="008D2647">
                        <w:rPr>
                          <w:rFonts w:asciiTheme="minorHAnsi" w:hAnsiTheme="minorHAnsi" w:cstheme="minorHAnsi"/>
                          <w:b/>
                          <w:sz w:val="16"/>
                          <w:szCs w:val="16"/>
                        </w:rPr>
                        <w:t xml:space="preserve">TN    </w:t>
                      </w:r>
                      <w:r>
                        <w:rPr>
                          <w:rFonts w:asciiTheme="minorHAnsi" w:hAnsiTheme="minorHAnsi" w:cstheme="minorHAnsi"/>
                          <w:b/>
                          <w:sz w:val="16"/>
                          <w:szCs w:val="16"/>
                          <w:lang w:val="uk-UA"/>
                        </w:rPr>
                        <w:t xml:space="preserve">     </w:t>
                      </w:r>
                      <w:r w:rsidRPr="008D2647">
                        <w:rPr>
                          <w:rFonts w:asciiTheme="minorHAnsi" w:hAnsiTheme="minorHAnsi" w:cstheme="minorHAnsi"/>
                          <w:b/>
                          <w:sz w:val="16"/>
                          <w:szCs w:val="16"/>
                          <w:lang w:val="uk-UA"/>
                        </w:rPr>
                        <w:t xml:space="preserve">Чутливість (95% ДІ)  Специфічність (95% ДІ)  </w:t>
                      </w:r>
                      <w:r w:rsidRPr="008D2647">
                        <w:rPr>
                          <w:rFonts w:asciiTheme="minorHAnsi" w:hAnsiTheme="minorHAnsi" w:cstheme="minorHAnsi"/>
                          <w:b/>
                          <w:sz w:val="16"/>
                          <w:szCs w:val="16"/>
                        </w:rPr>
                        <w:t xml:space="preserve"> </w:t>
                      </w:r>
                      <w:r>
                        <w:rPr>
                          <w:rFonts w:asciiTheme="minorHAnsi" w:hAnsiTheme="minorHAnsi" w:cstheme="minorHAnsi"/>
                          <w:b/>
                          <w:sz w:val="16"/>
                          <w:szCs w:val="16"/>
                          <w:lang w:val="uk-UA"/>
                        </w:rPr>
                        <w:t xml:space="preserve">     </w:t>
                      </w:r>
                      <w:r w:rsidRPr="008D2647">
                        <w:rPr>
                          <w:rFonts w:asciiTheme="minorHAnsi" w:hAnsiTheme="minorHAnsi" w:cstheme="minorHAnsi"/>
                          <w:b/>
                          <w:sz w:val="16"/>
                          <w:szCs w:val="16"/>
                          <w:lang w:val="uk-UA"/>
                        </w:rPr>
                        <w:t xml:space="preserve">Чутливість (95% ДІ)    </w:t>
                      </w:r>
                      <w:r>
                        <w:rPr>
                          <w:rFonts w:asciiTheme="minorHAnsi" w:hAnsiTheme="minorHAnsi" w:cstheme="minorHAnsi"/>
                          <w:b/>
                          <w:sz w:val="16"/>
                          <w:szCs w:val="16"/>
                          <w:lang w:val="uk-UA"/>
                        </w:rPr>
                        <w:t xml:space="preserve">    </w:t>
                      </w:r>
                      <w:r w:rsidRPr="008D2647">
                        <w:rPr>
                          <w:rFonts w:asciiTheme="minorHAnsi" w:hAnsiTheme="minorHAnsi" w:cstheme="minorHAnsi"/>
                          <w:b/>
                          <w:sz w:val="16"/>
                          <w:szCs w:val="16"/>
                          <w:lang w:val="uk-UA"/>
                        </w:rPr>
                        <w:t>Специфічність (95% ДІ)</w:t>
                      </w:r>
                      <w:r w:rsidRPr="008D2647">
                        <w:rPr>
                          <w:rFonts w:asciiTheme="minorHAnsi" w:hAnsiTheme="minorHAnsi" w:cstheme="minorHAnsi"/>
                          <w:b/>
                          <w:sz w:val="16"/>
                          <w:szCs w:val="16"/>
                        </w:rPr>
                        <w:t xml:space="preserve">          </w:t>
                      </w:r>
                      <w:r w:rsidRPr="008D2647">
                        <w:rPr>
                          <w:rFonts w:asciiTheme="minorHAnsi" w:hAnsiTheme="minorHAnsi" w:cstheme="minorHAnsi"/>
                          <w:b/>
                          <w:sz w:val="16"/>
                          <w:szCs w:val="16"/>
                          <w:lang w:val="uk-UA"/>
                        </w:rPr>
                        <w:t xml:space="preserve">                     </w:t>
                      </w:r>
                    </w:p>
                    <w:p w14:paraId="3EBC60DF" w14:textId="77777777" w:rsidR="0001099E" w:rsidRPr="00014B97" w:rsidRDefault="0001099E" w:rsidP="0001099E">
                      <w:pPr>
                        <w:ind w:left="2160" w:hanging="2018"/>
                        <w:rPr>
                          <w:rFonts w:asciiTheme="minorHAnsi" w:hAnsiTheme="minorHAnsi" w:cstheme="minorHAnsi"/>
                          <w:b/>
                          <w:sz w:val="14"/>
                          <w:szCs w:val="14"/>
                          <w:lang w:val="uk-UA"/>
                        </w:rPr>
                      </w:pPr>
                      <w:r>
                        <w:rPr>
                          <w:rFonts w:asciiTheme="minorHAnsi" w:hAnsiTheme="minorHAnsi" w:cstheme="minorHAnsi"/>
                          <w:b/>
                          <w:sz w:val="14"/>
                          <w:szCs w:val="14"/>
                          <w:lang w:val="uk-UA"/>
                        </w:rPr>
                        <w:t xml:space="preserve">                                                                                                    </w:t>
                      </w:r>
                    </w:p>
                  </w:txbxContent>
                </v:textbox>
                <w10:wrap anchorx="margin"/>
              </v:shape>
            </w:pict>
          </mc:Fallback>
        </mc:AlternateContent>
      </w:r>
    </w:p>
    <w:p w14:paraId="2F67E853" w14:textId="57126D0F" w:rsidR="00E05B98" w:rsidRPr="003C6DAE" w:rsidRDefault="00E05B98" w:rsidP="00010C6A">
      <w:pPr>
        <w:pStyle w:val="a3"/>
        <w:jc w:val="both"/>
        <w:rPr>
          <w:rFonts w:ascii="Arial"/>
          <w:b/>
          <w:sz w:val="24"/>
          <w:lang w:val="uk-UA"/>
        </w:rPr>
      </w:pPr>
    </w:p>
    <w:p w14:paraId="404889E6" w14:textId="77777777" w:rsidR="00E05B98" w:rsidRPr="003C6DAE" w:rsidRDefault="00E05B98" w:rsidP="00010C6A">
      <w:pPr>
        <w:pStyle w:val="a3"/>
        <w:jc w:val="both"/>
        <w:rPr>
          <w:rFonts w:ascii="Arial"/>
          <w:b/>
          <w:sz w:val="24"/>
          <w:lang w:val="uk-UA"/>
        </w:rPr>
      </w:pPr>
    </w:p>
    <w:p w14:paraId="39DF1CEA" w14:textId="77777777" w:rsidR="00E05B98" w:rsidRPr="003C6DAE" w:rsidRDefault="00E05B98" w:rsidP="00010C6A">
      <w:pPr>
        <w:pStyle w:val="a3"/>
        <w:jc w:val="both"/>
        <w:rPr>
          <w:rFonts w:ascii="Arial"/>
          <w:b/>
          <w:sz w:val="24"/>
          <w:lang w:val="uk-UA"/>
        </w:rPr>
      </w:pPr>
    </w:p>
    <w:p w14:paraId="3F65071D" w14:textId="77777777" w:rsidR="00E05B98" w:rsidRPr="003C6DAE" w:rsidRDefault="00E05B98" w:rsidP="00010C6A">
      <w:pPr>
        <w:pStyle w:val="a3"/>
        <w:jc w:val="both"/>
        <w:rPr>
          <w:rFonts w:ascii="Arial"/>
          <w:b/>
          <w:sz w:val="24"/>
          <w:lang w:val="uk-UA"/>
        </w:rPr>
      </w:pPr>
    </w:p>
    <w:p w14:paraId="21CEAFAA" w14:textId="77777777" w:rsidR="00E05B98" w:rsidRPr="003C6DAE" w:rsidRDefault="00E05B98" w:rsidP="00010C6A">
      <w:pPr>
        <w:pStyle w:val="a3"/>
        <w:jc w:val="both"/>
        <w:rPr>
          <w:rFonts w:ascii="Arial"/>
          <w:b/>
          <w:sz w:val="24"/>
          <w:lang w:val="uk-UA"/>
        </w:rPr>
      </w:pPr>
    </w:p>
    <w:p w14:paraId="1135D537" w14:textId="77777777" w:rsidR="00E05B98" w:rsidRPr="003C6DAE" w:rsidRDefault="00E05B98" w:rsidP="00010C6A">
      <w:pPr>
        <w:pStyle w:val="a3"/>
        <w:jc w:val="both"/>
        <w:rPr>
          <w:rFonts w:ascii="Arial"/>
          <w:b/>
          <w:sz w:val="24"/>
          <w:lang w:val="uk-UA"/>
        </w:rPr>
      </w:pPr>
    </w:p>
    <w:p w14:paraId="59416B42" w14:textId="77777777" w:rsidR="00E05B98" w:rsidRPr="003C6DAE" w:rsidRDefault="00E05B98" w:rsidP="00010C6A">
      <w:pPr>
        <w:pStyle w:val="a3"/>
        <w:jc w:val="both"/>
        <w:rPr>
          <w:rFonts w:ascii="Arial"/>
          <w:b/>
          <w:sz w:val="24"/>
          <w:lang w:val="uk-UA"/>
        </w:rPr>
      </w:pPr>
    </w:p>
    <w:p w14:paraId="3DBC995F" w14:textId="77777777" w:rsidR="00E05B98" w:rsidRPr="003C6DAE" w:rsidRDefault="00E05B98" w:rsidP="00010C6A">
      <w:pPr>
        <w:pStyle w:val="a3"/>
        <w:jc w:val="both"/>
        <w:rPr>
          <w:rFonts w:ascii="Arial"/>
          <w:b/>
          <w:sz w:val="24"/>
          <w:lang w:val="uk-UA"/>
        </w:rPr>
      </w:pPr>
    </w:p>
    <w:p w14:paraId="0754958D" w14:textId="77777777" w:rsidR="00E05B98" w:rsidRPr="003C6DAE" w:rsidRDefault="00E05B98" w:rsidP="00010C6A">
      <w:pPr>
        <w:pStyle w:val="a3"/>
        <w:spacing w:before="80"/>
        <w:jc w:val="both"/>
        <w:rPr>
          <w:rFonts w:ascii="Arial"/>
          <w:b/>
          <w:sz w:val="24"/>
          <w:lang w:val="uk-UA"/>
        </w:rPr>
      </w:pPr>
    </w:p>
    <w:p w14:paraId="52F9F300" w14:textId="03315794" w:rsidR="00E05B98" w:rsidRPr="003C6DAE" w:rsidRDefault="00B01E0C" w:rsidP="00010C6A">
      <w:pPr>
        <w:spacing w:line="254" w:lineRule="auto"/>
        <w:ind w:left="567"/>
        <w:jc w:val="both"/>
        <w:rPr>
          <w:sz w:val="18"/>
          <w:lang w:val="uk-UA"/>
        </w:rPr>
      </w:pPr>
      <w:r w:rsidRPr="003C6DAE">
        <w:rPr>
          <w:noProof/>
          <w:sz w:val="18"/>
          <w:lang w:val="uk-UA"/>
        </w:rPr>
        <w:drawing>
          <wp:anchor distT="0" distB="0" distL="0" distR="0" simplePos="0" relativeHeight="16179712" behindDoc="0" locked="0" layoutInCell="1" allowOverlap="1" wp14:anchorId="58167C73" wp14:editId="4219BD67">
            <wp:simplePos x="0" y="0"/>
            <wp:positionH relativeFrom="page">
              <wp:posOffset>1846489</wp:posOffset>
            </wp:positionH>
            <wp:positionV relativeFrom="paragraph">
              <wp:posOffset>-698561</wp:posOffset>
            </wp:positionV>
            <wp:extent cx="97596" cy="74675"/>
            <wp:effectExtent l="0" t="0" r="0" b="0"/>
            <wp:wrapNone/>
            <wp:docPr id="2937" name="Image 2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7" name="Image 2937"/>
                    <pic:cNvPicPr/>
                  </pic:nvPicPr>
                  <pic:blipFill>
                    <a:blip r:embed="rId164" cstate="print"/>
                    <a:stretch>
                      <a:fillRect/>
                    </a:stretch>
                  </pic:blipFill>
                  <pic:spPr>
                    <a:xfrm>
                      <a:off x="0" y="0"/>
                      <a:ext cx="97596" cy="74675"/>
                    </a:xfrm>
                    <a:prstGeom prst="rect">
                      <a:avLst/>
                    </a:prstGeom>
                  </pic:spPr>
                </pic:pic>
              </a:graphicData>
            </a:graphic>
          </wp:anchor>
        </w:drawing>
      </w:r>
      <w:r w:rsidRPr="003C6DAE">
        <w:rPr>
          <w:noProof/>
          <w:sz w:val="18"/>
          <w:lang w:val="uk-UA"/>
        </w:rPr>
        <mc:AlternateContent>
          <mc:Choice Requires="wps">
            <w:drawing>
              <wp:anchor distT="0" distB="0" distL="0" distR="0" simplePos="0" relativeHeight="16180224" behindDoc="0" locked="0" layoutInCell="1" allowOverlap="1" wp14:anchorId="36B205F2" wp14:editId="7083E85D">
                <wp:simplePos x="0" y="0"/>
                <wp:positionH relativeFrom="page">
                  <wp:posOffset>1896019</wp:posOffset>
                </wp:positionH>
                <wp:positionV relativeFrom="paragraph">
                  <wp:posOffset>-563370</wp:posOffset>
                </wp:positionV>
                <wp:extent cx="47625" cy="74295"/>
                <wp:effectExtent l="0" t="0" r="0" b="0"/>
                <wp:wrapNone/>
                <wp:docPr id="2938" name="Graphic 2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74295"/>
                        </a:xfrm>
                        <a:custGeom>
                          <a:avLst/>
                          <a:gdLst/>
                          <a:ahLst/>
                          <a:cxnLst/>
                          <a:rect l="l" t="t" r="r" b="b"/>
                          <a:pathLst>
                            <a:path w="47625" h="74295">
                              <a:moveTo>
                                <a:pt x="27508" y="0"/>
                              </a:moveTo>
                              <a:lnTo>
                                <a:pt x="18351" y="0"/>
                              </a:lnTo>
                              <a:lnTo>
                                <a:pt x="13970" y="1409"/>
                              </a:lnTo>
                              <a:lnTo>
                                <a:pt x="7023" y="7048"/>
                              </a:lnTo>
                              <a:lnTo>
                                <a:pt x="4394" y="11074"/>
                              </a:lnTo>
                              <a:lnTo>
                                <a:pt x="876" y="21539"/>
                              </a:lnTo>
                              <a:lnTo>
                                <a:pt x="0" y="28486"/>
                              </a:lnTo>
                              <a:lnTo>
                                <a:pt x="0" y="37096"/>
                              </a:lnTo>
                              <a:lnTo>
                                <a:pt x="16675" y="74066"/>
                              </a:lnTo>
                              <a:lnTo>
                                <a:pt x="28994" y="74066"/>
                              </a:lnTo>
                              <a:lnTo>
                                <a:pt x="33426" y="72643"/>
                              </a:lnTo>
                              <a:lnTo>
                                <a:pt x="40386" y="66916"/>
                              </a:lnTo>
                              <a:lnTo>
                                <a:pt x="19759" y="66916"/>
                              </a:lnTo>
                              <a:lnTo>
                                <a:pt x="16154" y="64833"/>
                              </a:lnTo>
                              <a:lnTo>
                                <a:pt x="10515" y="56908"/>
                              </a:lnTo>
                              <a:lnTo>
                                <a:pt x="9105" y="48996"/>
                              </a:lnTo>
                              <a:lnTo>
                                <a:pt x="9105" y="25133"/>
                              </a:lnTo>
                              <a:lnTo>
                                <a:pt x="19443" y="7404"/>
                              </a:lnTo>
                              <a:lnTo>
                                <a:pt x="40023" y="7404"/>
                              </a:lnTo>
                              <a:lnTo>
                                <a:pt x="39255" y="6235"/>
                              </a:lnTo>
                              <a:lnTo>
                                <a:pt x="36817" y="3975"/>
                              </a:lnTo>
                              <a:lnTo>
                                <a:pt x="30911" y="787"/>
                              </a:lnTo>
                              <a:lnTo>
                                <a:pt x="27508" y="0"/>
                              </a:lnTo>
                              <a:close/>
                            </a:path>
                            <a:path w="47625" h="74295">
                              <a:moveTo>
                                <a:pt x="40023" y="7404"/>
                              </a:moveTo>
                              <a:lnTo>
                                <a:pt x="27724" y="7404"/>
                              </a:lnTo>
                              <a:lnTo>
                                <a:pt x="31216" y="9359"/>
                              </a:lnTo>
                              <a:lnTo>
                                <a:pt x="36779" y="17195"/>
                              </a:lnTo>
                              <a:lnTo>
                                <a:pt x="38163" y="25133"/>
                              </a:lnTo>
                              <a:lnTo>
                                <a:pt x="38163" y="48996"/>
                              </a:lnTo>
                              <a:lnTo>
                                <a:pt x="36779" y="56908"/>
                              </a:lnTo>
                              <a:lnTo>
                                <a:pt x="31216" y="64833"/>
                              </a:lnTo>
                              <a:lnTo>
                                <a:pt x="27598" y="66916"/>
                              </a:lnTo>
                              <a:lnTo>
                                <a:pt x="40386" y="66916"/>
                              </a:lnTo>
                              <a:lnTo>
                                <a:pt x="42976" y="62890"/>
                              </a:lnTo>
                              <a:lnTo>
                                <a:pt x="46405" y="52501"/>
                              </a:lnTo>
                              <a:lnTo>
                                <a:pt x="47147" y="46615"/>
                              </a:lnTo>
                              <a:lnTo>
                                <a:pt x="47269" y="29883"/>
                              </a:lnTo>
                              <a:lnTo>
                                <a:pt x="46827" y="25133"/>
                              </a:lnTo>
                              <a:lnTo>
                                <a:pt x="46736" y="24155"/>
                              </a:lnTo>
                              <a:lnTo>
                                <a:pt x="44627" y="15709"/>
                              </a:lnTo>
                              <a:lnTo>
                                <a:pt x="43129" y="12128"/>
                              </a:lnTo>
                              <a:lnTo>
                                <a:pt x="40023" y="74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AA9624" id="Graphic 2938" o:spid="_x0000_s1026" style="position:absolute;margin-left:149.3pt;margin-top:-44.35pt;width:3.75pt;height:5.85pt;z-index:16180224;visibility:visible;mso-wrap-style:square;mso-wrap-distance-left:0;mso-wrap-distance-top:0;mso-wrap-distance-right:0;mso-wrap-distance-bottom:0;mso-position-horizontal:absolute;mso-position-horizontal-relative:page;mso-position-vertical:absolute;mso-position-vertical-relative:text;v-text-anchor:top" coordsize="476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" path="m27508,l18351,,13970,1409,7023,7048,4394,11074,876,21539,,28486r,8610l16675,74066r12319,l33426,72643r6960,-5727l19759,66916,16154,64833,10515,56908,9105,48996r,-23863l19443,7404r20580,l39255,6235,36817,3975,30911,787,27508,xem40023,7404r-12299,l31216,9359r5563,7836l38163,25133r,23863l36779,56908r-5563,7925l27598,66916r12788,l42976,62890,46405,52501r742,-5886l47269,29883r-442,-4750l46736,24155,44627,15709,43129,12128,40023,7404xe" fillcolor="black" stroked="f">
                <v:path arrowok="t"/>
                <w10:wrap anchorx="page"/>
              </v:shape>
            </w:pict>
          </mc:Fallback>
        </mc:AlternateContent>
      </w:r>
      <w:r w:rsidRPr="003C6DAE">
        <w:rPr>
          <w:noProof/>
          <w:sz w:val="18"/>
          <w:lang w:val="uk-UA"/>
        </w:rPr>
        <mc:AlternateContent>
          <mc:Choice Requires="wps">
            <w:drawing>
              <wp:anchor distT="0" distB="0" distL="0" distR="0" simplePos="0" relativeHeight="16180736" behindDoc="0" locked="0" layoutInCell="1" allowOverlap="1" wp14:anchorId="624D2232" wp14:editId="0F7630B9">
                <wp:simplePos x="0" y="0"/>
                <wp:positionH relativeFrom="page">
                  <wp:posOffset>1896019</wp:posOffset>
                </wp:positionH>
                <wp:positionV relativeFrom="paragraph">
                  <wp:posOffset>-428166</wp:posOffset>
                </wp:positionV>
                <wp:extent cx="47625" cy="74295"/>
                <wp:effectExtent l="0" t="0" r="0" b="0"/>
                <wp:wrapNone/>
                <wp:docPr id="2939" name="Graphic 2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74295"/>
                        </a:xfrm>
                        <a:custGeom>
                          <a:avLst/>
                          <a:gdLst/>
                          <a:ahLst/>
                          <a:cxnLst/>
                          <a:rect l="l" t="t" r="r" b="b"/>
                          <a:pathLst>
                            <a:path w="47625" h="74295">
                              <a:moveTo>
                                <a:pt x="27508" y="0"/>
                              </a:moveTo>
                              <a:lnTo>
                                <a:pt x="18351" y="0"/>
                              </a:lnTo>
                              <a:lnTo>
                                <a:pt x="13970" y="1397"/>
                              </a:lnTo>
                              <a:lnTo>
                                <a:pt x="7023" y="7035"/>
                              </a:lnTo>
                              <a:lnTo>
                                <a:pt x="4394" y="11074"/>
                              </a:lnTo>
                              <a:lnTo>
                                <a:pt x="876" y="21539"/>
                              </a:lnTo>
                              <a:lnTo>
                                <a:pt x="0" y="28473"/>
                              </a:lnTo>
                              <a:lnTo>
                                <a:pt x="0" y="37096"/>
                              </a:lnTo>
                              <a:lnTo>
                                <a:pt x="399" y="45631"/>
                              </a:lnTo>
                              <a:lnTo>
                                <a:pt x="445" y="46609"/>
                              </a:lnTo>
                              <a:lnTo>
                                <a:pt x="16675" y="74066"/>
                              </a:lnTo>
                              <a:lnTo>
                                <a:pt x="28994" y="74066"/>
                              </a:lnTo>
                              <a:lnTo>
                                <a:pt x="33426" y="72631"/>
                              </a:lnTo>
                              <a:lnTo>
                                <a:pt x="40386" y="66916"/>
                              </a:lnTo>
                              <a:lnTo>
                                <a:pt x="19782" y="66916"/>
                              </a:lnTo>
                              <a:lnTo>
                                <a:pt x="16154" y="64833"/>
                              </a:lnTo>
                              <a:lnTo>
                                <a:pt x="10515" y="56908"/>
                              </a:lnTo>
                              <a:lnTo>
                                <a:pt x="9105" y="48983"/>
                              </a:lnTo>
                              <a:lnTo>
                                <a:pt x="9105" y="25133"/>
                              </a:lnTo>
                              <a:lnTo>
                                <a:pt x="10609" y="17183"/>
                              </a:lnTo>
                              <a:lnTo>
                                <a:pt x="10655" y="16941"/>
                              </a:lnTo>
                              <a:lnTo>
                                <a:pt x="13728" y="12534"/>
                              </a:lnTo>
                              <a:lnTo>
                                <a:pt x="16205" y="9105"/>
                              </a:lnTo>
                              <a:lnTo>
                                <a:pt x="19443" y="7391"/>
                              </a:lnTo>
                              <a:lnTo>
                                <a:pt x="40022" y="7391"/>
                              </a:lnTo>
                              <a:lnTo>
                                <a:pt x="39255" y="6223"/>
                              </a:lnTo>
                              <a:lnTo>
                                <a:pt x="36817" y="3962"/>
                              </a:lnTo>
                              <a:lnTo>
                                <a:pt x="30911" y="787"/>
                              </a:lnTo>
                              <a:lnTo>
                                <a:pt x="27508" y="0"/>
                              </a:lnTo>
                              <a:close/>
                            </a:path>
                            <a:path w="47625" h="74295">
                              <a:moveTo>
                                <a:pt x="40022" y="7391"/>
                              </a:moveTo>
                              <a:lnTo>
                                <a:pt x="27724" y="7391"/>
                              </a:lnTo>
                              <a:lnTo>
                                <a:pt x="31216" y="9347"/>
                              </a:lnTo>
                              <a:lnTo>
                                <a:pt x="36779" y="17183"/>
                              </a:lnTo>
                              <a:lnTo>
                                <a:pt x="38163" y="25133"/>
                              </a:lnTo>
                              <a:lnTo>
                                <a:pt x="38163" y="48983"/>
                              </a:lnTo>
                              <a:lnTo>
                                <a:pt x="36779" y="56908"/>
                              </a:lnTo>
                              <a:lnTo>
                                <a:pt x="31216" y="64833"/>
                              </a:lnTo>
                              <a:lnTo>
                                <a:pt x="27575" y="66916"/>
                              </a:lnTo>
                              <a:lnTo>
                                <a:pt x="40386" y="66916"/>
                              </a:lnTo>
                              <a:lnTo>
                                <a:pt x="42976" y="62890"/>
                              </a:lnTo>
                              <a:lnTo>
                                <a:pt x="46405" y="52501"/>
                              </a:lnTo>
                              <a:lnTo>
                                <a:pt x="47146" y="46609"/>
                              </a:lnTo>
                              <a:lnTo>
                                <a:pt x="47269" y="29883"/>
                              </a:lnTo>
                              <a:lnTo>
                                <a:pt x="46827" y="25133"/>
                              </a:lnTo>
                              <a:lnTo>
                                <a:pt x="46736" y="24155"/>
                              </a:lnTo>
                              <a:lnTo>
                                <a:pt x="44627" y="15709"/>
                              </a:lnTo>
                              <a:lnTo>
                                <a:pt x="43129" y="12128"/>
                              </a:lnTo>
                              <a:lnTo>
                                <a:pt x="40022" y="739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620225" id="Graphic 2939" o:spid="_x0000_s1026" style="position:absolute;margin-left:149.3pt;margin-top:-33.7pt;width:3.75pt;height:5.85pt;z-index:16180736;visibility:visible;mso-wrap-style:square;mso-wrap-distance-left:0;mso-wrap-distance-top:0;mso-wrap-distance-right:0;mso-wrap-distance-bottom:0;mso-position-horizontal:absolute;mso-position-horizontal-relative:page;mso-position-vertical:absolute;mso-position-vertical-relative:text;v-text-anchor:top" coordsize="476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" path="m27508,l18351,,13970,1397,7023,7035,4394,11074,876,21539,,28473r,8623l399,45631r46,978l16675,74066r12319,l33426,72631r6960,-5715l19782,66916,16154,64833,10515,56908,9105,48983r,-23850l10609,17183r46,-242l13728,12534,16205,9105,19443,7391r20579,l39255,6223,36817,3962,30911,787,27508,xem40022,7391r-12298,l31216,9347r5563,7836l38163,25133r,23850l36779,56908r-5563,7925l27575,66916r12811,l42976,62890,46405,52501r741,-5892l47269,29883r-442,-4750l46736,24155,44627,15709,43129,12128,40022,7391xe" fillcolor="black" stroked="f">
                <v:path arrowok="t"/>
                <w10:wrap anchorx="page"/>
              </v:shape>
            </w:pict>
          </mc:Fallback>
        </mc:AlternateContent>
      </w:r>
      <w:r w:rsidRPr="003C6DAE">
        <w:rPr>
          <w:noProof/>
          <w:sz w:val="18"/>
          <w:lang w:val="uk-UA"/>
        </w:rPr>
        <mc:AlternateContent>
          <mc:Choice Requires="wpg">
            <w:drawing>
              <wp:anchor distT="0" distB="0" distL="0" distR="0" simplePos="0" relativeHeight="16188416" behindDoc="0" locked="0" layoutInCell="1" allowOverlap="1" wp14:anchorId="775848F1" wp14:editId="30CF88A8">
                <wp:simplePos x="0" y="0"/>
                <wp:positionH relativeFrom="page">
                  <wp:posOffset>6513900</wp:posOffset>
                </wp:positionH>
                <wp:positionV relativeFrom="paragraph">
                  <wp:posOffset>-710971</wp:posOffset>
                </wp:positionV>
                <wp:extent cx="66675" cy="59690"/>
                <wp:effectExtent l="0" t="0" r="0" b="0"/>
                <wp:wrapNone/>
                <wp:docPr id="2940" name="Group 2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 cy="59690"/>
                          <a:chOff x="0" y="0"/>
                          <a:chExt cx="66675" cy="59690"/>
                        </a:xfrm>
                      </wpg:grpSpPr>
                      <wps:wsp>
                        <wps:cNvPr id="2941" name="Graphic 2941"/>
                        <wps:cNvSpPr/>
                        <wps:spPr>
                          <a:xfrm>
                            <a:off x="3710" y="20233"/>
                            <a:ext cx="1270" cy="10795"/>
                          </a:xfrm>
                          <a:custGeom>
                            <a:avLst/>
                            <a:gdLst/>
                            <a:ahLst/>
                            <a:cxnLst/>
                            <a:rect l="l" t="t" r="r" b="b"/>
                            <a:pathLst>
                              <a:path h="10795">
                                <a:moveTo>
                                  <a:pt x="0" y="0"/>
                                </a:moveTo>
                                <a:lnTo>
                                  <a:pt x="0" y="10210"/>
                                </a:lnTo>
                              </a:path>
                            </a:pathLst>
                          </a:custGeom>
                          <a:ln w="7421">
                            <a:solidFill>
                              <a:srgbClr val="000000"/>
                            </a:solidFill>
                            <a:prstDash val="solid"/>
                          </a:ln>
                        </wps:spPr>
                        <wps:bodyPr wrap="square" lIns="0" tIns="0" rIns="0" bIns="0" rtlCol="0">
                          <a:prstTxWarp prst="textNoShape">
                            <a:avLst/>
                          </a:prstTxWarp>
                          <a:noAutofit/>
                        </wps:bodyPr>
                      </wps:wsp>
                      <wps:wsp>
                        <wps:cNvPr id="2942" name="Graphic 2942"/>
                        <wps:cNvSpPr/>
                        <wps:spPr>
                          <a:xfrm>
                            <a:off x="7421" y="0"/>
                            <a:ext cx="59690" cy="59690"/>
                          </a:xfrm>
                          <a:custGeom>
                            <a:avLst/>
                            <a:gdLst/>
                            <a:ahLst/>
                            <a:cxnLst/>
                            <a:rect l="l" t="t" r="r" b="b"/>
                            <a:pathLst>
                              <a:path w="59690" h="59690">
                                <a:moveTo>
                                  <a:pt x="59156" y="0"/>
                                </a:moveTo>
                                <a:lnTo>
                                  <a:pt x="0" y="0"/>
                                </a:lnTo>
                                <a:lnTo>
                                  <a:pt x="0" y="59156"/>
                                </a:lnTo>
                                <a:lnTo>
                                  <a:pt x="59156" y="59156"/>
                                </a:lnTo>
                                <a:lnTo>
                                  <a:pt x="59156"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40D71E34" id="Group 2940" o:spid="_x0000_s1026" style="position:absolute;margin-left:512.9pt;margin-top:-56pt;width:5.25pt;height:4.7pt;z-index:16188416;mso-wrap-distance-left:0;mso-wrap-distance-right:0;mso-position-horizontal-relative:page" coordsize="66675,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">
                <v:shape id="Graphic 2941" o:spid="_x0000_s1027" style="position:absolute;left:3710;top:20233;width:1270;height:10795;visibility:visible;mso-wrap-style:square;v-text-anchor:top" coordsize="12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" path="m,l,10210e" filled="f" strokeweight=".20614mm">
                  <v:path arrowok="t"/>
                </v:shape>
                <v:shape id="Graphic 2942" o:spid="_x0000_s1028" style="position:absolute;left:7421;width:59690;height:59690;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" path="m59156,l,,,59156r59156,l59156,xe" fillcolor="#0000c0" stroked="f">
                  <v:path arrowok="t"/>
                </v:shape>
                <w10:wrap anchorx="page"/>
              </v:group>
            </w:pict>
          </mc:Fallback>
        </mc:AlternateContent>
      </w:r>
      <w:r w:rsidRPr="003C6DAE">
        <w:rPr>
          <w:noProof/>
          <w:sz w:val="18"/>
          <w:lang w:val="uk-UA"/>
        </w:rPr>
        <mc:AlternateContent>
          <mc:Choice Requires="wpg">
            <w:drawing>
              <wp:anchor distT="0" distB="0" distL="0" distR="0" simplePos="0" relativeHeight="16188928" behindDoc="0" locked="0" layoutInCell="1" allowOverlap="1" wp14:anchorId="60A24508" wp14:editId="24BA5F36">
                <wp:simplePos x="0" y="0"/>
                <wp:positionH relativeFrom="page">
                  <wp:posOffset>6527742</wp:posOffset>
                </wp:positionH>
                <wp:positionV relativeFrom="paragraph">
                  <wp:posOffset>-575766</wp:posOffset>
                </wp:positionV>
                <wp:extent cx="93345" cy="59690"/>
                <wp:effectExtent l="0" t="0" r="0" b="0"/>
                <wp:wrapNone/>
                <wp:docPr id="2943" name="Group 2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59690"/>
                          <a:chOff x="0" y="0"/>
                          <a:chExt cx="93345" cy="59690"/>
                        </a:xfrm>
                      </wpg:grpSpPr>
                      <wps:wsp>
                        <wps:cNvPr id="2944" name="Graphic 2944"/>
                        <wps:cNvSpPr/>
                        <wps:spPr>
                          <a:xfrm>
                            <a:off x="0" y="25339"/>
                            <a:ext cx="34290" cy="1270"/>
                          </a:xfrm>
                          <a:custGeom>
                            <a:avLst/>
                            <a:gdLst/>
                            <a:ahLst/>
                            <a:cxnLst/>
                            <a:rect l="l" t="t" r="r" b="b"/>
                            <a:pathLst>
                              <a:path w="34290">
                                <a:moveTo>
                                  <a:pt x="0" y="0"/>
                                </a:moveTo>
                                <a:lnTo>
                                  <a:pt x="34156" y="0"/>
                                </a:lnTo>
                              </a:path>
                            </a:pathLst>
                          </a:custGeom>
                          <a:ln w="10210">
                            <a:solidFill>
                              <a:srgbClr val="000000"/>
                            </a:solidFill>
                            <a:prstDash val="solid"/>
                          </a:ln>
                        </wps:spPr>
                        <wps:bodyPr wrap="square" lIns="0" tIns="0" rIns="0" bIns="0" rtlCol="0">
                          <a:prstTxWarp prst="textNoShape">
                            <a:avLst/>
                          </a:prstTxWarp>
                          <a:noAutofit/>
                        </wps:bodyPr>
                      </wps:wsp>
                      <wps:wsp>
                        <wps:cNvPr id="2945" name="Graphic 2945"/>
                        <wps:cNvSpPr/>
                        <wps:spPr>
                          <a:xfrm>
                            <a:off x="34156" y="0"/>
                            <a:ext cx="59690" cy="59690"/>
                          </a:xfrm>
                          <a:custGeom>
                            <a:avLst/>
                            <a:gdLst/>
                            <a:ahLst/>
                            <a:cxnLst/>
                            <a:rect l="l" t="t" r="r" b="b"/>
                            <a:pathLst>
                              <a:path w="59690" h="59690">
                                <a:moveTo>
                                  <a:pt x="59143" y="0"/>
                                </a:moveTo>
                                <a:lnTo>
                                  <a:pt x="0" y="0"/>
                                </a:lnTo>
                                <a:lnTo>
                                  <a:pt x="0" y="59143"/>
                                </a:lnTo>
                                <a:lnTo>
                                  <a:pt x="59143" y="59143"/>
                                </a:lnTo>
                                <a:lnTo>
                                  <a:pt x="59143" y="0"/>
                                </a:lnTo>
                                <a:close/>
                              </a:path>
                            </a:pathLst>
                          </a:custGeom>
                          <a:solidFill>
                            <a:srgbClr val="0000C0"/>
                          </a:solidFill>
                        </wps:spPr>
                        <wps:bodyPr wrap="square" lIns="0" tIns="0" rIns="0" bIns="0" rtlCol="0">
                          <a:prstTxWarp prst="textNoShape">
                            <a:avLst/>
                          </a:prstTxWarp>
                          <a:noAutofit/>
                        </wps:bodyPr>
                      </wps:wsp>
                    </wpg:wgp>
                  </a:graphicData>
                </a:graphic>
              </wp:anchor>
            </w:drawing>
          </mc:Choice>
          <mc:Fallback>
            <w:pict>
              <v:group w14:anchorId="6453B151" id="Group 2943" o:spid="_x0000_s1026" style="position:absolute;margin-left:514pt;margin-top:-45.35pt;width:7.35pt;height:4.7pt;z-index:16188928;mso-wrap-distance-left:0;mso-wrap-distance-right:0;mso-position-horizontal-relative:page" coordsize="93345,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">
                <v:shape id="Graphic 2944" o:spid="_x0000_s1027" style="position:absolute;top:25339;width:34290;height:1270;visibility:visible;mso-wrap-style:square;v-text-anchor:top" coordsize="34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" path="m,l34156,e" filled="f" strokeweight=".28361mm">
                  <v:path arrowok="t"/>
                </v:shape>
                <v:shape id="Graphic 2945" o:spid="_x0000_s1028" style="position:absolute;left:34156;width:59690;height:59690;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" path="m59143,l,,,59143r59143,l59143,xe" fillcolor="#0000c0" stroked="f">
                  <v:path arrowok="t"/>
                </v:shape>
                <w10:wrap anchorx="page"/>
              </v:group>
            </w:pict>
          </mc:Fallback>
        </mc:AlternateContent>
      </w:r>
      <w:r w:rsidRPr="003C6DAE">
        <w:rPr>
          <w:noProof/>
          <w:sz w:val="18"/>
          <w:lang w:val="uk-UA"/>
        </w:rPr>
        <mc:AlternateContent>
          <mc:Choice Requires="wpg">
            <w:drawing>
              <wp:anchor distT="0" distB="0" distL="0" distR="0" simplePos="0" relativeHeight="16189440" behindDoc="0" locked="0" layoutInCell="1" allowOverlap="1" wp14:anchorId="2C6D99AC" wp14:editId="1CE36DB7">
                <wp:simplePos x="0" y="0"/>
                <wp:positionH relativeFrom="page">
                  <wp:posOffset>5568141</wp:posOffset>
                </wp:positionH>
                <wp:positionV relativeFrom="paragraph">
                  <wp:posOffset>-440575</wp:posOffset>
                </wp:positionV>
                <wp:extent cx="1053465" cy="222250"/>
                <wp:effectExtent l="0" t="0" r="0" b="0"/>
                <wp:wrapNone/>
                <wp:docPr id="2946" name="Group 2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3465" cy="222250"/>
                          <a:chOff x="0" y="0"/>
                          <a:chExt cx="1053465" cy="222250"/>
                        </a:xfrm>
                      </wpg:grpSpPr>
                      <wps:wsp>
                        <wps:cNvPr id="2947" name="Graphic 2947"/>
                        <wps:cNvSpPr/>
                        <wps:spPr>
                          <a:xfrm>
                            <a:off x="993758" y="0"/>
                            <a:ext cx="59690" cy="59690"/>
                          </a:xfrm>
                          <a:custGeom>
                            <a:avLst/>
                            <a:gdLst/>
                            <a:ahLst/>
                            <a:cxnLst/>
                            <a:rect l="l" t="t" r="r" b="b"/>
                            <a:pathLst>
                              <a:path w="59690" h="59690">
                                <a:moveTo>
                                  <a:pt x="59143" y="0"/>
                                </a:moveTo>
                                <a:lnTo>
                                  <a:pt x="0" y="0"/>
                                </a:lnTo>
                                <a:lnTo>
                                  <a:pt x="0" y="59156"/>
                                </a:lnTo>
                                <a:lnTo>
                                  <a:pt x="59143" y="59156"/>
                                </a:lnTo>
                                <a:lnTo>
                                  <a:pt x="59143" y="0"/>
                                </a:lnTo>
                                <a:close/>
                              </a:path>
                            </a:pathLst>
                          </a:custGeom>
                          <a:solidFill>
                            <a:srgbClr val="0000C0"/>
                          </a:solidFill>
                        </wps:spPr>
                        <wps:bodyPr wrap="square" lIns="0" tIns="0" rIns="0" bIns="0" rtlCol="0">
                          <a:prstTxWarp prst="textNoShape">
                            <a:avLst/>
                          </a:prstTxWarp>
                          <a:noAutofit/>
                        </wps:bodyPr>
                      </wps:wsp>
                      <wps:wsp>
                        <wps:cNvPr id="2948" name="Graphic 2948"/>
                        <wps:cNvSpPr/>
                        <wps:spPr>
                          <a:xfrm>
                            <a:off x="5105" y="59148"/>
                            <a:ext cx="1005840" cy="67945"/>
                          </a:xfrm>
                          <a:custGeom>
                            <a:avLst/>
                            <a:gdLst/>
                            <a:ahLst/>
                            <a:cxnLst/>
                            <a:rect l="l" t="t" r="r" b="b"/>
                            <a:pathLst>
                              <a:path w="1005840" h="67945">
                                <a:moveTo>
                                  <a:pt x="0" y="0"/>
                                </a:moveTo>
                                <a:lnTo>
                                  <a:pt x="0" y="67602"/>
                                </a:lnTo>
                              </a:path>
                              <a:path w="1005840" h="67945">
                                <a:moveTo>
                                  <a:pt x="0" y="33794"/>
                                </a:moveTo>
                                <a:lnTo>
                                  <a:pt x="1005547" y="33794"/>
                                </a:lnTo>
                              </a:path>
                            </a:pathLst>
                          </a:custGeom>
                          <a:ln w="10210">
                            <a:solidFill>
                              <a:srgbClr val="000000"/>
                            </a:solidFill>
                            <a:prstDash val="solid"/>
                          </a:ln>
                        </wps:spPr>
                        <wps:bodyPr wrap="square" lIns="0" tIns="0" rIns="0" bIns="0" rtlCol="0">
                          <a:prstTxWarp prst="textNoShape">
                            <a:avLst/>
                          </a:prstTxWarp>
                          <a:noAutofit/>
                        </wps:bodyPr>
                      </wps:wsp>
                      <wps:wsp>
                        <wps:cNvPr id="2949" name="Graphic 2949"/>
                        <wps:cNvSpPr/>
                        <wps:spPr>
                          <a:xfrm>
                            <a:off x="9331" y="147607"/>
                            <a:ext cx="47625" cy="74295"/>
                          </a:xfrm>
                          <a:custGeom>
                            <a:avLst/>
                            <a:gdLst/>
                            <a:ahLst/>
                            <a:cxnLst/>
                            <a:rect l="l" t="t" r="r" b="b"/>
                            <a:pathLst>
                              <a:path w="47625" h="74295">
                                <a:moveTo>
                                  <a:pt x="27495" y="0"/>
                                </a:moveTo>
                                <a:lnTo>
                                  <a:pt x="18351" y="0"/>
                                </a:lnTo>
                                <a:lnTo>
                                  <a:pt x="13969" y="1396"/>
                                </a:lnTo>
                                <a:lnTo>
                                  <a:pt x="7010" y="7035"/>
                                </a:lnTo>
                                <a:lnTo>
                                  <a:pt x="4394" y="11074"/>
                                </a:lnTo>
                                <a:lnTo>
                                  <a:pt x="876" y="21539"/>
                                </a:lnTo>
                                <a:lnTo>
                                  <a:pt x="0" y="28473"/>
                                </a:lnTo>
                                <a:lnTo>
                                  <a:pt x="0" y="37096"/>
                                </a:lnTo>
                                <a:lnTo>
                                  <a:pt x="16675" y="74066"/>
                                </a:lnTo>
                                <a:lnTo>
                                  <a:pt x="28994" y="74066"/>
                                </a:lnTo>
                                <a:lnTo>
                                  <a:pt x="33426" y="72631"/>
                                </a:lnTo>
                                <a:lnTo>
                                  <a:pt x="40373" y="66916"/>
                                </a:lnTo>
                                <a:lnTo>
                                  <a:pt x="19782" y="66916"/>
                                </a:lnTo>
                                <a:lnTo>
                                  <a:pt x="16154" y="64833"/>
                                </a:lnTo>
                                <a:lnTo>
                                  <a:pt x="10515" y="56908"/>
                                </a:lnTo>
                                <a:lnTo>
                                  <a:pt x="9105" y="48983"/>
                                </a:lnTo>
                                <a:lnTo>
                                  <a:pt x="9105" y="25133"/>
                                </a:lnTo>
                                <a:lnTo>
                                  <a:pt x="10594" y="17195"/>
                                </a:lnTo>
                                <a:lnTo>
                                  <a:pt x="10642" y="16941"/>
                                </a:lnTo>
                                <a:lnTo>
                                  <a:pt x="13728" y="12534"/>
                                </a:lnTo>
                                <a:lnTo>
                                  <a:pt x="16192" y="9105"/>
                                </a:lnTo>
                                <a:lnTo>
                                  <a:pt x="19443" y="7391"/>
                                </a:lnTo>
                                <a:lnTo>
                                  <a:pt x="40022" y="7391"/>
                                </a:lnTo>
                                <a:lnTo>
                                  <a:pt x="39255" y="6222"/>
                                </a:lnTo>
                                <a:lnTo>
                                  <a:pt x="36817" y="3962"/>
                                </a:lnTo>
                                <a:lnTo>
                                  <a:pt x="30911" y="787"/>
                                </a:lnTo>
                                <a:lnTo>
                                  <a:pt x="27495" y="0"/>
                                </a:lnTo>
                                <a:close/>
                              </a:path>
                              <a:path w="47625" h="74295">
                                <a:moveTo>
                                  <a:pt x="40022" y="7391"/>
                                </a:moveTo>
                                <a:lnTo>
                                  <a:pt x="27724" y="7391"/>
                                </a:lnTo>
                                <a:lnTo>
                                  <a:pt x="31216" y="9359"/>
                                </a:lnTo>
                                <a:lnTo>
                                  <a:pt x="36766" y="17195"/>
                                </a:lnTo>
                                <a:lnTo>
                                  <a:pt x="38150" y="25133"/>
                                </a:lnTo>
                                <a:lnTo>
                                  <a:pt x="38150" y="48983"/>
                                </a:lnTo>
                                <a:lnTo>
                                  <a:pt x="36766" y="56908"/>
                                </a:lnTo>
                                <a:lnTo>
                                  <a:pt x="31216" y="64833"/>
                                </a:lnTo>
                                <a:lnTo>
                                  <a:pt x="27575" y="66916"/>
                                </a:lnTo>
                                <a:lnTo>
                                  <a:pt x="40373" y="66916"/>
                                </a:lnTo>
                                <a:lnTo>
                                  <a:pt x="42976" y="62890"/>
                                </a:lnTo>
                                <a:lnTo>
                                  <a:pt x="46405" y="52501"/>
                                </a:lnTo>
                                <a:lnTo>
                                  <a:pt x="47147" y="46615"/>
                                </a:lnTo>
                                <a:lnTo>
                                  <a:pt x="47269" y="29883"/>
                                </a:lnTo>
                                <a:lnTo>
                                  <a:pt x="46827" y="25133"/>
                                </a:lnTo>
                                <a:lnTo>
                                  <a:pt x="46735" y="24155"/>
                                </a:lnTo>
                                <a:lnTo>
                                  <a:pt x="44627" y="15709"/>
                                </a:lnTo>
                                <a:lnTo>
                                  <a:pt x="43129" y="12128"/>
                                </a:lnTo>
                                <a:lnTo>
                                  <a:pt x="40022" y="7391"/>
                                </a:lnTo>
                                <a:close/>
                              </a:path>
                            </a:pathLst>
                          </a:custGeom>
                          <a:solidFill>
                            <a:srgbClr val="000000"/>
                          </a:solidFill>
                        </wps:spPr>
                        <wps:bodyPr wrap="square" lIns="0" tIns="0" rIns="0" bIns="0" rtlCol="0">
                          <a:prstTxWarp prst="textNoShape">
                            <a:avLst/>
                          </a:prstTxWarp>
                          <a:noAutofit/>
                        </wps:bodyPr>
                      </wps:wsp>
                      <wps:wsp>
                        <wps:cNvPr id="2950" name="Graphic 2950"/>
                        <wps:cNvSpPr/>
                        <wps:spPr>
                          <a:xfrm>
                            <a:off x="206208" y="59148"/>
                            <a:ext cx="1270" cy="67945"/>
                          </a:xfrm>
                          <a:custGeom>
                            <a:avLst/>
                            <a:gdLst/>
                            <a:ahLst/>
                            <a:cxnLst/>
                            <a:rect l="l" t="t" r="r" b="b"/>
                            <a:pathLst>
                              <a:path h="67945">
                                <a:moveTo>
                                  <a:pt x="0" y="0"/>
                                </a:moveTo>
                                <a:lnTo>
                                  <a:pt x="0" y="67602"/>
                                </a:lnTo>
                              </a:path>
                            </a:pathLst>
                          </a:custGeom>
                          <a:ln w="1021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51" name="Image 2951"/>
                          <pic:cNvPicPr/>
                        </pic:nvPicPr>
                        <pic:blipFill>
                          <a:blip r:embed="rId165" cstate="print"/>
                          <a:stretch>
                            <a:fillRect/>
                          </a:stretch>
                        </pic:blipFill>
                        <pic:spPr>
                          <a:xfrm>
                            <a:off x="139950" y="147608"/>
                            <a:ext cx="131445" cy="74066"/>
                          </a:xfrm>
                          <a:prstGeom prst="rect">
                            <a:avLst/>
                          </a:prstGeom>
                        </pic:spPr>
                      </pic:pic>
                      <wps:wsp>
                        <wps:cNvPr id="2952" name="Graphic 2952"/>
                        <wps:cNvSpPr/>
                        <wps:spPr>
                          <a:xfrm>
                            <a:off x="407325" y="59148"/>
                            <a:ext cx="1270" cy="67945"/>
                          </a:xfrm>
                          <a:custGeom>
                            <a:avLst/>
                            <a:gdLst/>
                            <a:ahLst/>
                            <a:cxnLst/>
                            <a:rect l="l" t="t" r="r" b="b"/>
                            <a:pathLst>
                              <a:path h="67945">
                                <a:moveTo>
                                  <a:pt x="0" y="0"/>
                                </a:moveTo>
                                <a:lnTo>
                                  <a:pt x="0" y="67602"/>
                                </a:lnTo>
                              </a:path>
                            </a:pathLst>
                          </a:custGeom>
                          <a:ln w="1021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53" name="Image 2953"/>
                          <pic:cNvPicPr/>
                        </pic:nvPicPr>
                        <pic:blipFill>
                          <a:blip r:embed="rId166" cstate="print"/>
                          <a:stretch>
                            <a:fillRect/>
                          </a:stretch>
                        </pic:blipFill>
                        <pic:spPr>
                          <a:xfrm>
                            <a:off x="341076" y="147610"/>
                            <a:ext cx="131825" cy="74066"/>
                          </a:xfrm>
                          <a:prstGeom prst="rect">
                            <a:avLst/>
                          </a:prstGeom>
                        </pic:spPr>
                      </pic:pic>
                      <wps:wsp>
                        <wps:cNvPr id="2954" name="Graphic 2954"/>
                        <wps:cNvSpPr/>
                        <wps:spPr>
                          <a:xfrm>
                            <a:off x="608429" y="59148"/>
                            <a:ext cx="1270" cy="67945"/>
                          </a:xfrm>
                          <a:custGeom>
                            <a:avLst/>
                            <a:gdLst/>
                            <a:ahLst/>
                            <a:cxnLst/>
                            <a:rect l="l" t="t" r="r" b="b"/>
                            <a:pathLst>
                              <a:path h="67945">
                                <a:moveTo>
                                  <a:pt x="0" y="0"/>
                                </a:moveTo>
                                <a:lnTo>
                                  <a:pt x="0" y="67602"/>
                                </a:lnTo>
                              </a:path>
                            </a:pathLst>
                          </a:custGeom>
                          <a:ln w="1021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55" name="Image 2955"/>
                          <pic:cNvPicPr/>
                        </pic:nvPicPr>
                        <pic:blipFill>
                          <a:blip r:embed="rId167" cstate="print"/>
                          <a:stretch>
                            <a:fillRect/>
                          </a:stretch>
                        </pic:blipFill>
                        <pic:spPr>
                          <a:xfrm>
                            <a:off x="542183" y="147604"/>
                            <a:ext cx="132092" cy="74066"/>
                          </a:xfrm>
                          <a:prstGeom prst="rect">
                            <a:avLst/>
                          </a:prstGeom>
                        </pic:spPr>
                      </pic:pic>
                      <wps:wsp>
                        <wps:cNvPr id="2956" name="Graphic 2956"/>
                        <wps:cNvSpPr/>
                        <wps:spPr>
                          <a:xfrm>
                            <a:off x="809546" y="59148"/>
                            <a:ext cx="1270" cy="67945"/>
                          </a:xfrm>
                          <a:custGeom>
                            <a:avLst/>
                            <a:gdLst/>
                            <a:ahLst/>
                            <a:cxnLst/>
                            <a:rect l="l" t="t" r="r" b="b"/>
                            <a:pathLst>
                              <a:path h="67945">
                                <a:moveTo>
                                  <a:pt x="0" y="0"/>
                                </a:moveTo>
                                <a:lnTo>
                                  <a:pt x="0" y="67602"/>
                                </a:lnTo>
                              </a:path>
                            </a:pathLst>
                          </a:custGeom>
                          <a:ln w="1021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57" name="Image 2957"/>
                          <pic:cNvPicPr/>
                        </pic:nvPicPr>
                        <pic:blipFill>
                          <a:blip r:embed="rId168" cstate="print"/>
                          <a:stretch>
                            <a:fillRect/>
                          </a:stretch>
                        </pic:blipFill>
                        <pic:spPr>
                          <a:xfrm>
                            <a:off x="743291" y="147613"/>
                            <a:ext cx="132232" cy="74066"/>
                          </a:xfrm>
                          <a:prstGeom prst="rect">
                            <a:avLst/>
                          </a:prstGeom>
                        </pic:spPr>
                      </pic:pic>
                      <wps:wsp>
                        <wps:cNvPr id="2958" name="Graphic 2958"/>
                        <wps:cNvSpPr/>
                        <wps:spPr>
                          <a:xfrm>
                            <a:off x="1010649" y="59148"/>
                            <a:ext cx="1270" cy="67945"/>
                          </a:xfrm>
                          <a:custGeom>
                            <a:avLst/>
                            <a:gdLst/>
                            <a:ahLst/>
                            <a:cxnLst/>
                            <a:rect l="l" t="t" r="r" b="b"/>
                            <a:pathLst>
                              <a:path h="67945">
                                <a:moveTo>
                                  <a:pt x="0" y="0"/>
                                </a:moveTo>
                                <a:lnTo>
                                  <a:pt x="0" y="67602"/>
                                </a:lnTo>
                              </a:path>
                            </a:pathLst>
                          </a:custGeom>
                          <a:ln w="10210">
                            <a:solidFill>
                              <a:srgbClr val="000000"/>
                            </a:solidFill>
                            <a:prstDash val="solid"/>
                          </a:ln>
                        </wps:spPr>
                        <wps:bodyPr wrap="square" lIns="0" tIns="0" rIns="0" bIns="0" rtlCol="0">
                          <a:prstTxWarp prst="textNoShape">
                            <a:avLst/>
                          </a:prstTxWarp>
                          <a:noAutofit/>
                        </wps:bodyPr>
                      </wps:wsp>
                      <wps:wsp>
                        <wps:cNvPr id="2959" name="Graphic 2959"/>
                        <wps:cNvSpPr/>
                        <wps:spPr>
                          <a:xfrm>
                            <a:off x="965351" y="147605"/>
                            <a:ext cx="26670" cy="73025"/>
                          </a:xfrm>
                          <a:custGeom>
                            <a:avLst/>
                            <a:gdLst/>
                            <a:ahLst/>
                            <a:cxnLst/>
                            <a:rect l="l" t="t" r="r" b="b"/>
                            <a:pathLst>
                              <a:path w="26670" h="73025">
                                <a:moveTo>
                                  <a:pt x="26670" y="0"/>
                                </a:moveTo>
                                <a:lnTo>
                                  <a:pt x="20993" y="0"/>
                                </a:lnTo>
                                <a:lnTo>
                                  <a:pt x="19418" y="3174"/>
                                </a:lnTo>
                                <a:lnTo>
                                  <a:pt x="16738" y="6413"/>
                                </a:lnTo>
                                <a:lnTo>
                                  <a:pt x="9258" y="13004"/>
                                </a:lnTo>
                                <a:lnTo>
                                  <a:pt x="4927" y="15849"/>
                                </a:lnTo>
                                <a:lnTo>
                                  <a:pt x="0" y="18224"/>
                                </a:lnTo>
                                <a:lnTo>
                                  <a:pt x="0" y="26809"/>
                                </a:lnTo>
                                <a:lnTo>
                                  <a:pt x="17830" y="16103"/>
                                </a:lnTo>
                                <a:lnTo>
                                  <a:pt x="17830" y="72885"/>
                                </a:lnTo>
                                <a:lnTo>
                                  <a:pt x="26670" y="72885"/>
                                </a:lnTo>
                                <a:lnTo>
                                  <a:pt x="266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49C378" id="Group 2946" o:spid="_x0000_s1026" style="position:absolute;margin-left:438.45pt;margin-top:-34.7pt;width:82.95pt;height:17.5pt;z-index:16189440;mso-wrap-distance-left:0;mso-wrap-distance-right:0;mso-position-horizontal-relative:page" coordsize="10534,2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">
                <v:shape id="Graphic 2947" o:spid="_x0000_s1027" style="position:absolute;left:9937;width:597;height:596;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" path="m59143,l,,,59156r59143,l59143,xe" fillcolor="#0000c0" stroked="f">
                  <v:path arrowok="t"/>
                </v:shape>
                <v:shape id="Graphic 2948" o:spid="_x0000_s1028" style="position:absolute;left:51;top:591;width:10058;height:679;visibility:visible;mso-wrap-style:square;v-text-anchor:top" coordsize="100584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" path="m,l,67602em,33794r1005547,e" filled="f" strokeweight=".28361mm">
                  <v:path arrowok="t"/>
                </v:shape>
                <v:shape id="Graphic 2949" o:spid="_x0000_s1029" style="position:absolute;left:93;top:1476;width:476;height:743;visibility:visible;mso-wrap-style:square;v-text-anchor:top" coordsize="4762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" path="m27495,l18351,,13969,1396,7010,7035,4394,11074,876,21539,,28473r,8623l16675,74066r12319,l33426,72631r6947,-5715l19782,66916,16154,64833,10515,56908,9105,48983r,-23850l10594,17195r48,-254l13728,12534,16192,9105,19443,7391r20579,l39255,6222,36817,3962,30911,787,27495,xem40022,7391r-12298,l31216,9359r5550,7836l38150,25133r,23850l36766,56908r-5550,7925l27575,66916r12798,l42976,62890,46405,52501r742,-5886l47269,29883r-442,-4750l46735,24155,44627,15709,43129,12128,40022,7391xe" fillcolor="black" stroked="f">
                  <v:path arrowok="t"/>
                </v:shape>
                <v:shape id="Graphic 2950" o:spid="_x0000_s1030" style="position:absolute;left:2062;top:591;width:12;height:679;visibility:visible;mso-wrap-style:square;v-text-anchor:top" coordsize="127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" path="m,l,67602e" filled="f" strokeweight=".28361mm">
                  <v:path arrowok="t"/>
                </v:shape>
                <v:shape id="Image 2951" o:spid="_x0000_s1031" type="#_x0000_t75" style="position:absolute;left:1399;top:1476;width:1314;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">
                  <v:imagedata r:id="rId169" o:title=""/>
                </v:shape>
                <v:shape id="Graphic 2952" o:spid="_x0000_s1032" style="position:absolute;left:4073;top:591;width:12;height:679;visibility:visible;mso-wrap-style:square;v-text-anchor:top" coordsize="127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" path="m,l,67602e" filled="f" strokeweight=".28361mm">
                  <v:path arrowok="t"/>
                </v:shape>
                <v:shape id="Image 2953" o:spid="_x0000_s1033" type="#_x0000_t75" style="position:absolute;left:3410;top:1476;width:1319;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">
                  <v:imagedata r:id="rId170" o:title=""/>
                </v:shape>
                <v:shape id="Graphic 2954" o:spid="_x0000_s1034" style="position:absolute;left:6084;top:591;width:12;height:679;visibility:visible;mso-wrap-style:square;v-text-anchor:top" coordsize="127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" path="m,l,67602e" filled="f" strokeweight=".28361mm">
                  <v:path arrowok="t"/>
                </v:shape>
                <v:shape id="Image 2955" o:spid="_x0000_s1035" type="#_x0000_t75" style="position:absolute;left:5421;top:1476;width:1321;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">
                  <v:imagedata r:id="rId171" o:title=""/>
                </v:shape>
                <v:shape id="Graphic 2956" o:spid="_x0000_s1036" style="position:absolute;left:8095;top:591;width:13;height:679;visibility:visible;mso-wrap-style:square;v-text-anchor:top" coordsize="127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" path="m,l,67602e" filled="f" strokeweight=".28361mm">
                  <v:path arrowok="t"/>
                </v:shape>
                <v:shape id="Image 2957" o:spid="_x0000_s1037" type="#_x0000_t75" style="position:absolute;left:7432;top:1476;width:1323;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">
                  <v:imagedata r:id="rId172" o:title=""/>
                </v:shape>
                <v:shape id="Graphic 2958" o:spid="_x0000_s1038" style="position:absolute;left:10106;top:591;width:13;height:679;visibility:visible;mso-wrap-style:square;v-text-anchor:top" coordsize="127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" path="m,l,67602e" filled="f" strokeweight=".28361mm">
                  <v:path arrowok="t"/>
                </v:shape>
                <v:shape id="Graphic 2959" o:spid="_x0000_s1039" style="position:absolute;left:9653;top:1476;width:267;height:730;visibility:visible;mso-wrap-style:square;v-text-anchor:top" coordsize="2667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" path="m26670,l20993,,19418,3174,16738,6413,9258,13004,4927,15849,,18224r,8585l17830,16103r,56782l26670,72885,26670,xe" fillcolor="black" stroked="f">
                  <v:path arrowok="t"/>
                </v:shape>
                <w10:wrap anchorx="page"/>
              </v:group>
            </w:pict>
          </mc:Fallback>
        </mc:AlternateContent>
      </w:r>
      <w:r w:rsidR="0001099E" w:rsidRPr="003C6DAE">
        <w:rPr>
          <w:sz w:val="16"/>
          <w:szCs w:val="16"/>
          <w:lang w:val="uk-UA"/>
        </w:rPr>
        <w:t>ДІ: довірчий інтервал; FN: хибнонегативний результат; FP: хибнопозитивний результат; TN: істинно негативний результат; TP: істинно позитивний результат</w:t>
      </w:r>
    </w:p>
    <w:p w14:paraId="59EC2A5B" w14:textId="77777777" w:rsidR="00E05B98" w:rsidRPr="003C6DAE" w:rsidRDefault="00E05B98" w:rsidP="00010C6A">
      <w:pPr>
        <w:pStyle w:val="a3"/>
        <w:spacing w:before="137"/>
        <w:jc w:val="both"/>
        <w:rPr>
          <w:sz w:val="18"/>
          <w:lang w:val="uk-UA"/>
        </w:rPr>
      </w:pPr>
    </w:p>
    <w:p w14:paraId="0AC5B058" w14:textId="285D38B0" w:rsidR="0001099E" w:rsidRPr="006B6651" w:rsidRDefault="0001099E" w:rsidP="0001099E">
      <w:pPr>
        <w:spacing w:line="276" w:lineRule="auto"/>
        <w:ind w:left="567" w:right="141"/>
        <w:jc w:val="both"/>
        <w:rPr>
          <w:color w:val="000000" w:themeColor="text1"/>
          <w:sz w:val="20"/>
          <w:lang w:val="ru-RU"/>
        </w:rPr>
      </w:pPr>
      <w:proofErr w:type="spellStart"/>
      <w:r w:rsidRPr="006B6651">
        <w:rPr>
          <w:color w:val="000000" w:themeColor="text1"/>
          <w:sz w:val="20"/>
          <w:lang w:val="ru-RU"/>
        </w:rPr>
        <w:t>Загальна</w:t>
      </w:r>
      <w:proofErr w:type="spellEnd"/>
      <w:r w:rsidRPr="006B6651">
        <w:rPr>
          <w:color w:val="000000" w:themeColor="text1"/>
          <w:sz w:val="20"/>
          <w:lang w:val="ru-RU"/>
        </w:rPr>
        <w:t xml:space="preserve"> </w:t>
      </w:r>
      <w:proofErr w:type="spellStart"/>
      <w:r w:rsidRPr="006B6651">
        <w:rPr>
          <w:color w:val="000000" w:themeColor="text1"/>
          <w:sz w:val="20"/>
          <w:lang w:val="ru-RU"/>
        </w:rPr>
        <w:t>чутливість</w:t>
      </w:r>
      <w:proofErr w:type="spellEnd"/>
      <w:r w:rsidRPr="006B6651">
        <w:rPr>
          <w:color w:val="000000" w:themeColor="text1"/>
          <w:sz w:val="20"/>
          <w:lang w:val="ru-RU"/>
        </w:rPr>
        <w:t xml:space="preserve"> для виявлення </w:t>
      </w:r>
      <w:proofErr w:type="spellStart"/>
      <w:r w:rsidRPr="006B6651">
        <w:rPr>
          <w:color w:val="000000" w:themeColor="text1"/>
          <w:sz w:val="20"/>
          <w:lang w:val="ru-RU"/>
        </w:rPr>
        <w:t>стійкості</w:t>
      </w:r>
      <w:proofErr w:type="spellEnd"/>
      <w:r w:rsidRPr="006B6651">
        <w:rPr>
          <w:color w:val="000000" w:themeColor="text1"/>
          <w:sz w:val="20"/>
          <w:lang w:val="ru-RU"/>
        </w:rPr>
        <w:t xml:space="preserve"> до піразинаміду в </w:t>
      </w:r>
      <w:proofErr w:type="spellStart"/>
      <w:r w:rsidRPr="006B6651">
        <w:rPr>
          <w:color w:val="000000" w:themeColor="text1"/>
          <w:sz w:val="20"/>
          <w:lang w:val="ru-RU"/>
        </w:rPr>
        <w:t>цих</w:t>
      </w:r>
      <w:proofErr w:type="spellEnd"/>
      <w:r w:rsidRPr="006B6651">
        <w:rPr>
          <w:color w:val="000000" w:themeColor="text1"/>
          <w:sz w:val="20"/>
          <w:lang w:val="ru-RU"/>
        </w:rPr>
        <w:t xml:space="preserve"> семи </w:t>
      </w:r>
      <w:proofErr w:type="spellStart"/>
      <w:r w:rsidRPr="006B6651">
        <w:rPr>
          <w:color w:val="000000" w:themeColor="text1"/>
          <w:sz w:val="20"/>
          <w:lang w:val="ru-RU"/>
        </w:rPr>
        <w:t>дослідженнях</w:t>
      </w:r>
      <w:proofErr w:type="spellEnd"/>
      <w:r>
        <w:rPr>
          <w:color w:val="000000" w:themeColor="text1"/>
          <w:sz w:val="20"/>
          <w:lang w:val="ru-RU"/>
        </w:rPr>
        <w:t xml:space="preserve"> </w:t>
      </w:r>
      <w:proofErr w:type="spellStart"/>
      <w:r w:rsidRPr="006B6651">
        <w:rPr>
          <w:color w:val="000000" w:themeColor="text1"/>
          <w:sz w:val="20"/>
          <w:lang w:val="ru-RU"/>
        </w:rPr>
        <w:t>коливалася</w:t>
      </w:r>
      <w:proofErr w:type="spellEnd"/>
      <w:r w:rsidRPr="006B6651">
        <w:rPr>
          <w:color w:val="000000" w:themeColor="text1"/>
          <w:sz w:val="20"/>
          <w:lang w:val="ru-RU"/>
        </w:rPr>
        <w:t xml:space="preserve"> </w:t>
      </w:r>
      <w:proofErr w:type="spellStart"/>
      <w:r w:rsidRPr="006B6651">
        <w:rPr>
          <w:color w:val="000000" w:themeColor="text1"/>
          <w:sz w:val="20"/>
          <w:lang w:val="ru-RU"/>
        </w:rPr>
        <w:t>від</w:t>
      </w:r>
      <w:proofErr w:type="spellEnd"/>
      <w:r w:rsidRPr="006B6651">
        <w:rPr>
          <w:color w:val="000000" w:themeColor="text1"/>
          <w:sz w:val="20"/>
          <w:lang w:val="ru-RU"/>
        </w:rPr>
        <w:t xml:space="preserve"> 36% до 100%, а </w:t>
      </w:r>
      <w:proofErr w:type="spellStart"/>
      <w:r w:rsidRPr="006B6651">
        <w:rPr>
          <w:color w:val="000000" w:themeColor="text1"/>
          <w:sz w:val="20"/>
          <w:lang w:val="ru-RU"/>
        </w:rPr>
        <w:t>специфічність</w:t>
      </w:r>
      <w:proofErr w:type="spellEnd"/>
      <w:r w:rsidRPr="006B6651">
        <w:rPr>
          <w:color w:val="000000" w:themeColor="text1"/>
          <w:sz w:val="20"/>
          <w:lang w:val="ru-RU"/>
        </w:rPr>
        <w:t xml:space="preserve"> – </w:t>
      </w:r>
      <w:proofErr w:type="spellStart"/>
      <w:r w:rsidRPr="006B6651">
        <w:rPr>
          <w:color w:val="000000" w:themeColor="text1"/>
          <w:sz w:val="20"/>
          <w:lang w:val="ru-RU"/>
        </w:rPr>
        <w:t>від</w:t>
      </w:r>
      <w:proofErr w:type="spellEnd"/>
      <w:r w:rsidRPr="006B6651">
        <w:rPr>
          <w:color w:val="000000" w:themeColor="text1"/>
          <w:sz w:val="20"/>
          <w:lang w:val="ru-RU"/>
        </w:rPr>
        <w:t xml:space="preserve"> 96% до 100%. </w:t>
      </w:r>
      <w:proofErr w:type="spellStart"/>
      <w:r w:rsidRPr="006B6651">
        <w:rPr>
          <w:b/>
          <w:color w:val="000000" w:themeColor="text1"/>
          <w:sz w:val="20"/>
          <w:lang w:val="ru-RU"/>
        </w:rPr>
        <w:t>Об'єднана</w:t>
      </w:r>
      <w:proofErr w:type="spellEnd"/>
      <w:r w:rsidRPr="006B6651">
        <w:rPr>
          <w:b/>
          <w:color w:val="000000" w:themeColor="text1"/>
          <w:sz w:val="20"/>
          <w:lang w:val="ru-RU"/>
        </w:rPr>
        <w:t xml:space="preserve"> </w:t>
      </w:r>
      <w:proofErr w:type="spellStart"/>
      <w:r w:rsidRPr="006B6651">
        <w:rPr>
          <w:b/>
          <w:color w:val="000000" w:themeColor="text1"/>
          <w:sz w:val="20"/>
          <w:lang w:val="ru-RU"/>
        </w:rPr>
        <w:t>чутливість</w:t>
      </w:r>
      <w:proofErr w:type="spellEnd"/>
      <w:r w:rsidRPr="006B6651">
        <w:rPr>
          <w:b/>
          <w:color w:val="000000" w:themeColor="text1"/>
          <w:sz w:val="20"/>
          <w:lang w:val="ru-RU"/>
        </w:rPr>
        <w:t xml:space="preserve"> становила 81,2% (95% ДІ:</w:t>
      </w:r>
      <w:r w:rsidRPr="006B6651">
        <w:rPr>
          <w:color w:val="000000" w:themeColor="text1"/>
          <w:sz w:val="20"/>
          <w:lang w:val="ru-RU"/>
        </w:rPr>
        <w:t xml:space="preserve"> 75,4–85,8%), а </w:t>
      </w:r>
      <w:proofErr w:type="spellStart"/>
      <w:r w:rsidRPr="006B6651">
        <w:rPr>
          <w:color w:val="000000" w:themeColor="text1"/>
          <w:sz w:val="20"/>
          <w:lang w:val="ru-RU"/>
        </w:rPr>
        <w:t>специфічність</w:t>
      </w:r>
      <w:proofErr w:type="spellEnd"/>
      <w:r w:rsidRPr="006B6651">
        <w:rPr>
          <w:color w:val="000000" w:themeColor="text1"/>
          <w:sz w:val="20"/>
          <w:lang w:val="ru-RU"/>
        </w:rPr>
        <w:t xml:space="preserve"> – 97,8% (95% ДІ: 96,5–98,6%).</w:t>
      </w:r>
    </w:p>
    <w:p w14:paraId="5982A18D" w14:textId="51694AAA" w:rsidR="00E05B98" w:rsidRPr="003C6DAE" w:rsidRDefault="004A2937" w:rsidP="0001099E">
      <w:pPr>
        <w:spacing w:before="231" w:line="295" w:lineRule="auto"/>
        <w:ind w:left="567"/>
        <w:jc w:val="both"/>
        <w:rPr>
          <w:lang w:val="uk-UA"/>
        </w:rPr>
      </w:pPr>
      <w:r>
        <w:rPr>
          <w:noProof/>
        </w:rPr>
        <mc:AlternateContent>
          <mc:Choice Requires="wps">
            <w:drawing>
              <wp:anchor distT="0" distB="0" distL="114300" distR="114300" simplePos="0" relativeHeight="488221184" behindDoc="0" locked="0" layoutInCell="1" allowOverlap="1" wp14:anchorId="0985649E" wp14:editId="4E3D348E">
                <wp:simplePos x="0" y="0"/>
                <wp:positionH relativeFrom="column">
                  <wp:posOffset>6051243</wp:posOffset>
                </wp:positionH>
                <wp:positionV relativeFrom="paragraph">
                  <wp:posOffset>1875790</wp:posOffset>
                </wp:positionV>
                <wp:extent cx="558472" cy="292100"/>
                <wp:effectExtent l="0" t="0" r="0" b="0"/>
                <wp:wrapNone/>
                <wp:docPr id="886753532" name="Поле 1941"/>
                <wp:cNvGraphicFramePr/>
                <a:graphic xmlns:a="http://schemas.openxmlformats.org/drawingml/2006/main">
                  <a:graphicData uri="http://schemas.microsoft.com/office/word/2010/wordprocessingShape">
                    <wps:wsp>
                      <wps:cNvSpPr txBox="1"/>
                      <wps:spPr>
                        <a:xfrm>
                          <a:off x="0" y="0"/>
                          <a:ext cx="558472" cy="292100"/>
                        </a:xfrm>
                        <a:prstGeom prst="rect">
                          <a:avLst/>
                        </a:prstGeom>
                        <a:solidFill>
                          <a:schemeClr val="lt1"/>
                        </a:solidFill>
                        <a:ln w="6350">
                          <a:noFill/>
                        </a:ln>
                      </wps:spPr>
                      <wps:txbx>
                        <w:txbxContent>
                          <w:p w14:paraId="3DB855A6" w14:textId="34EB65F2" w:rsidR="004A2937" w:rsidRPr="00770751" w:rsidRDefault="004A2937" w:rsidP="004A2937">
                            <w:pPr>
                              <w:rPr>
                                <w:color w:val="388600"/>
                                <w:sz w:val="20"/>
                                <w:szCs w:val="20"/>
                                <w:lang w:val="uk-UA"/>
                              </w:rPr>
                            </w:pPr>
                            <w:r>
                              <w:rPr>
                                <w:color w:val="388600"/>
                                <w:sz w:val="20"/>
                                <w:szCs w:val="20"/>
                                <w:lang w:val="uk-UA"/>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5649E" id="_x0000_s1168" type="#_x0000_t202" style="position:absolute;left:0;text-align:left;margin-left:476.5pt;margin-top:147.7pt;width:43.95pt;height:23pt;z-index:4882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" fillcolor="white [3201]" stroked="f" strokeweight=".5pt">
                <v:textbox>
                  <w:txbxContent>
                    <w:p w14:paraId="3DB855A6" w14:textId="34EB65F2" w:rsidR="004A2937" w:rsidRPr="00770751" w:rsidRDefault="004A2937" w:rsidP="004A2937">
                      <w:pPr>
                        <w:rPr>
                          <w:color w:val="388600"/>
                          <w:sz w:val="20"/>
                          <w:szCs w:val="20"/>
                          <w:lang w:val="uk-UA"/>
                        </w:rPr>
                      </w:pPr>
                      <w:r>
                        <w:rPr>
                          <w:color w:val="388600"/>
                          <w:sz w:val="20"/>
                          <w:szCs w:val="20"/>
                          <w:lang w:val="uk-UA"/>
                        </w:rPr>
                        <w:t>95</w:t>
                      </w:r>
                    </w:p>
                  </w:txbxContent>
                </v:textbox>
              </v:shape>
            </w:pict>
          </mc:Fallback>
        </mc:AlternateContent>
      </w:r>
      <w:r w:rsidR="0001099E" w:rsidRPr="00BE6D3F">
        <w:rPr>
          <w:color w:val="000000" w:themeColor="text1"/>
          <w:w w:val="110"/>
          <w:sz w:val="20"/>
          <w:lang w:val="uk-UA"/>
        </w:rPr>
        <w:t>Стосовно деталей</w:t>
      </w:r>
      <w:r w:rsidR="0001099E" w:rsidRPr="006B6651">
        <w:rPr>
          <w:color w:val="000000" w:themeColor="text1"/>
          <w:w w:val="110"/>
          <w:sz w:val="20"/>
          <w:lang w:val="ru-RU"/>
        </w:rPr>
        <w:t xml:space="preserve"> щодо </w:t>
      </w:r>
      <w:proofErr w:type="spellStart"/>
      <w:r w:rsidR="0001099E" w:rsidRPr="006B6651">
        <w:rPr>
          <w:color w:val="000000" w:themeColor="text1"/>
          <w:w w:val="110"/>
          <w:sz w:val="20"/>
          <w:lang w:val="ru-RU"/>
        </w:rPr>
        <w:t>діагностичної</w:t>
      </w:r>
      <w:proofErr w:type="spellEnd"/>
      <w:r w:rsidR="0001099E" w:rsidRPr="006B6651">
        <w:rPr>
          <w:color w:val="000000" w:themeColor="text1"/>
          <w:w w:val="110"/>
          <w:sz w:val="20"/>
          <w:lang w:val="ru-RU"/>
        </w:rPr>
        <w:t xml:space="preserve"> </w:t>
      </w:r>
      <w:proofErr w:type="spellStart"/>
      <w:r w:rsidR="0001099E" w:rsidRPr="006B6651">
        <w:rPr>
          <w:color w:val="000000" w:themeColor="text1"/>
          <w:w w:val="110"/>
          <w:sz w:val="20"/>
          <w:lang w:val="ru-RU"/>
        </w:rPr>
        <w:t>точності</w:t>
      </w:r>
      <w:proofErr w:type="spellEnd"/>
      <w:r w:rsidR="0001099E" w:rsidRPr="006B6651">
        <w:rPr>
          <w:color w:val="000000" w:themeColor="text1"/>
          <w:w w:val="110"/>
          <w:sz w:val="20"/>
          <w:lang w:val="ru-RU"/>
        </w:rPr>
        <w:t xml:space="preserve"> </w:t>
      </w:r>
      <w:r w:rsidR="0001099E" w:rsidRPr="00BE6D3F">
        <w:rPr>
          <w:color w:val="000000" w:themeColor="text1"/>
          <w:w w:val="110"/>
          <w:sz w:val="20"/>
          <w:lang w:val="uk-UA"/>
        </w:rPr>
        <w:t>Т</w:t>
      </w:r>
      <w:r w:rsidR="0001099E" w:rsidRPr="006B6651">
        <w:rPr>
          <w:color w:val="000000" w:themeColor="text1"/>
          <w:w w:val="110"/>
          <w:sz w:val="20"/>
          <w:lang w:val="ru-RU"/>
        </w:rPr>
        <w:t>АНК</w:t>
      </w:r>
      <w:r w:rsidR="0001099E" w:rsidRPr="00BE6D3F">
        <w:rPr>
          <w:color w:val="000000" w:themeColor="text1"/>
          <w:w w:val="110"/>
          <w:sz w:val="20"/>
          <w:lang w:val="uk-UA"/>
        </w:rPr>
        <w:t xml:space="preserve"> </w:t>
      </w:r>
      <w:proofErr w:type="spellStart"/>
      <w:r w:rsidR="0001099E" w:rsidRPr="006B6651">
        <w:rPr>
          <w:color w:val="000000" w:themeColor="text1"/>
          <w:w w:val="110"/>
          <w:sz w:val="20"/>
          <w:lang w:val="ru-RU"/>
        </w:rPr>
        <w:t>високої</w:t>
      </w:r>
      <w:proofErr w:type="spellEnd"/>
      <w:r w:rsidR="0001099E" w:rsidRPr="006B6651">
        <w:rPr>
          <w:color w:val="000000" w:themeColor="text1"/>
          <w:w w:val="110"/>
          <w:sz w:val="20"/>
          <w:lang w:val="ru-RU"/>
        </w:rPr>
        <w:t xml:space="preserve"> </w:t>
      </w:r>
      <w:proofErr w:type="spellStart"/>
      <w:r w:rsidR="0001099E" w:rsidRPr="006B6651">
        <w:rPr>
          <w:color w:val="000000" w:themeColor="text1"/>
          <w:w w:val="110"/>
          <w:sz w:val="20"/>
          <w:lang w:val="ru-RU"/>
        </w:rPr>
        <w:t>складності</w:t>
      </w:r>
      <w:proofErr w:type="spellEnd"/>
      <w:r w:rsidR="0001099E" w:rsidRPr="006B6651">
        <w:rPr>
          <w:color w:val="000000" w:themeColor="text1"/>
          <w:w w:val="110"/>
          <w:sz w:val="20"/>
          <w:lang w:val="ru-RU"/>
        </w:rPr>
        <w:t xml:space="preserve"> на </w:t>
      </w:r>
      <w:proofErr w:type="spellStart"/>
      <w:r w:rsidR="0001099E" w:rsidRPr="006B6651">
        <w:rPr>
          <w:color w:val="000000" w:themeColor="text1"/>
          <w:w w:val="110"/>
          <w:sz w:val="20"/>
          <w:lang w:val="ru-RU"/>
        </w:rPr>
        <w:t>основі</w:t>
      </w:r>
      <w:proofErr w:type="spellEnd"/>
      <w:r w:rsidR="0001099E" w:rsidRPr="006B6651">
        <w:rPr>
          <w:color w:val="000000" w:themeColor="text1"/>
          <w:w w:val="110"/>
          <w:sz w:val="20"/>
          <w:lang w:val="ru-RU"/>
        </w:rPr>
        <w:t xml:space="preserve"> </w:t>
      </w:r>
      <w:proofErr w:type="spellStart"/>
      <w:r w:rsidR="0001099E" w:rsidRPr="006B6651">
        <w:rPr>
          <w:color w:val="000000" w:themeColor="text1"/>
          <w:w w:val="110"/>
          <w:sz w:val="20"/>
          <w:lang w:val="ru-RU"/>
        </w:rPr>
        <w:t>зворотної</w:t>
      </w:r>
      <w:proofErr w:type="spellEnd"/>
      <w:r w:rsidR="0001099E" w:rsidRPr="006B6651">
        <w:rPr>
          <w:color w:val="000000" w:themeColor="text1"/>
          <w:w w:val="110"/>
          <w:sz w:val="20"/>
          <w:lang w:val="ru-RU"/>
        </w:rPr>
        <w:t xml:space="preserve"> </w:t>
      </w:r>
      <w:proofErr w:type="spellStart"/>
      <w:r w:rsidR="0001099E" w:rsidRPr="006B6651">
        <w:rPr>
          <w:color w:val="000000" w:themeColor="text1"/>
          <w:w w:val="110"/>
          <w:sz w:val="20"/>
          <w:lang w:val="ru-RU"/>
        </w:rPr>
        <w:t>гібридизації</w:t>
      </w:r>
      <w:proofErr w:type="spellEnd"/>
      <w:r w:rsidR="0001099E" w:rsidRPr="006B6651">
        <w:rPr>
          <w:color w:val="000000" w:themeColor="text1"/>
          <w:w w:val="110"/>
          <w:sz w:val="20"/>
          <w:lang w:val="ru-RU"/>
        </w:rPr>
        <w:t xml:space="preserve">, включаючи </w:t>
      </w:r>
      <w:proofErr w:type="spellStart"/>
      <w:r w:rsidR="0001099E" w:rsidRPr="006B6651">
        <w:rPr>
          <w:color w:val="000000" w:themeColor="text1"/>
          <w:w w:val="110"/>
          <w:sz w:val="20"/>
          <w:lang w:val="ru-RU"/>
        </w:rPr>
        <w:t>порівняння</w:t>
      </w:r>
      <w:proofErr w:type="spellEnd"/>
      <w:r w:rsidR="0001099E" w:rsidRPr="006B6651">
        <w:rPr>
          <w:color w:val="000000" w:themeColor="text1"/>
          <w:w w:val="110"/>
          <w:sz w:val="20"/>
          <w:lang w:val="ru-RU"/>
        </w:rPr>
        <w:t xml:space="preserve"> з генотип</w:t>
      </w:r>
      <w:proofErr w:type="spellStart"/>
      <w:r w:rsidR="0001099E">
        <w:rPr>
          <w:color w:val="000000" w:themeColor="text1"/>
          <w:w w:val="110"/>
          <w:sz w:val="20"/>
          <w:lang w:val="uk-UA"/>
        </w:rPr>
        <w:t>овими</w:t>
      </w:r>
      <w:proofErr w:type="spellEnd"/>
      <w:r w:rsidR="0001099E" w:rsidRPr="006B6651">
        <w:rPr>
          <w:color w:val="000000" w:themeColor="text1"/>
          <w:w w:val="110"/>
          <w:sz w:val="20"/>
          <w:lang w:val="ru-RU"/>
        </w:rPr>
        <w:t xml:space="preserve"> та </w:t>
      </w:r>
      <w:proofErr w:type="spellStart"/>
      <w:r w:rsidR="0001099E" w:rsidRPr="006B6651">
        <w:rPr>
          <w:color w:val="000000" w:themeColor="text1"/>
          <w:w w:val="110"/>
          <w:sz w:val="20"/>
          <w:lang w:val="ru-RU"/>
        </w:rPr>
        <w:t>комбінованими</w:t>
      </w:r>
      <w:proofErr w:type="spellEnd"/>
      <w:r w:rsidR="0001099E" w:rsidRPr="006B6651">
        <w:rPr>
          <w:color w:val="000000" w:themeColor="text1"/>
          <w:w w:val="110"/>
          <w:sz w:val="20"/>
          <w:lang w:val="ru-RU"/>
        </w:rPr>
        <w:t xml:space="preserve"> </w:t>
      </w:r>
      <w:proofErr w:type="spellStart"/>
      <w:r w:rsidR="0001099E" w:rsidRPr="006B6651">
        <w:rPr>
          <w:color w:val="000000" w:themeColor="text1"/>
          <w:w w:val="110"/>
          <w:sz w:val="20"/>
          <w:lang w:val="ru-RU"/>
        </w:rPr>
        <w:t>еталонними</w:t>
      </w:r>
      <w:proofErr w:type="spellEnd"/>
      <w:r w:rsidR="0001099E" w:rsidRPr="006B6651">
        <w:rPr>
          <w:color w:val="000000" w:themeColor="text1"/>
          <w:w w:val="110"/>
          <w:sz w:val="20"/>
          <w:lang w:val="ru-RU"/>
        </w:rPr>
        <w:t xml:space="preserve"> стандартами, </w:t>
      </w:r>
      <w:r w:rsidR="0001099E" w:rsidRPr="00BE6D3F">
        <w:rPr>
          <w:color w:val="000000" w:themeColor="text1"/>
          <w:w w:val="110"/>
          <w:sz w:val="20"/>
          <w:lang w:val="uk-UA"/>
        </w:rPr>
        <w:t>див.</w:t>
      </w:r>
      <w:r w:rsidR="0001099E" w:rsidRPr="006B6651">
        <w:rPr>
          <w:color w:val="000000" w:themeColor="text1"/>
          <w:w w:val="110"/>
          <w:sz w:val="20"/>
          <w:lang w:val="ru-RU"/>
        </w:rPr>
        <w:t xml:space="preserve"> </w:t>
      </w:r>
      <w:r w:rsidR="0001099E" w:rsidRPr="006B6651">
        <w:rPr>
          <w:b/>
          <w:color w:val="000000" w:themeColor="text1"/>
          <w:w w:val="110"/>
          <w:sz w:val="20"/>
          <w:lang w:val="ru-RU"/>
        </w:rPr>
        <w:t>Веб-</w:t>
      </w:r>
      <w:proofErr w:type="spellStart"/>
      <w:r w:rsidR="0001099E" w:rsidRPr="006B6651">
        <w:rPr>
          <w:b/>
          <w:color w:val="000000" w:themeColor="text1"/>
          <w:w w:val="110"/>
          <w:sz w:val="20"/>
          <w:lang w:val="ru-RU"/>
        </w:rPr>
        <w:t>додат</w:t>
      </w:r>
      <w:r w:rsidR="0001099E" w:rsidRPr="00214F37">
        <w:rPr>
          <w:b/>
          <w:color w:val="000000" w:themeColor="text1"/>
          <w:w w:val="110"/>
          <w:sz w:val="20"/>
          <w:lang w:val="uk-UA"/>
        </w:rPr>
        <w:t>ок</w:t>
      </w:r>
      <w:proofErr w:type="spellEnd"/>
      <w:r w:rsidR="0001099E" w:rsidRPr="006B6651">
        <w:rPr>
          <w:b/>
          <w:color w:val="000000" w:themeColor="text1"/>
          <w:w w:val="110"/>
          <w:sz w:val="20"/>
          <w:lang w:val="ru-RU"/>
        </w:rPr>
        <w:t xml:space="preserve"> 4.17</w:t>
      </w:r>
      <w:r w:rsidR="0001099E" w:rsidRPr="006B6651">
        <w:rPr>
          <w:color w:val="000000" w:themeColor="text1"/>
          <w:w w:val="110"/>
          <w:sz w:val="20"/>
          <w:lang w:val="ru-RU"/>
        </w:rPr>
        <w:t>: «</w:t>
      </w:r>
      <w:r w:rsidR="0001099E" w:rsidRPr="001A32AE">
        <w:rPr>
          <w:color w:val="000000" w:themeColor="text1"/>
          <w:w w:val="110"/>
          <w:sz w:val="20"/>
          <w:lang w:val="uk-UA"/>
        </w:rPr>
        <w:t>Т</w:t>
      </w:r>
      <w:r w:rsidR="0001099E" w:rsidRPr="006B6651">
        <w:rPr>
          <w:color w:val="000000" w:themeColor="text1"/>
          <w:w w:val="110"/>
          <w:sz w:val="20"/>
          <w:lang w:val="ru-RU"/>
        </w:rPr>
        <w:t xml:space="preserve">АНК </w:t>
      </w:r>
      <w:proofErr w:type="spellStart"/>
      <w:r w:rsidR="0001099E" w:rsidRPr="006B6651">
        <w:rPr>
          <w:color w:val="000000" w:themeColor="text1"/>
          <w:w w:val="110"/>
          <w:sz w:val="20"/>
          <w:lang w:val="ru-RU"/>
        </w:rPr>
        <w:t>високої</w:t>
      </w:r>
      <w:proofErr w:type="spellEnd"/>
      <w:r w:rsidR="0001099E" w:rsidRPr="006B6651">
        <w:rPr>
          <w:color w:val="000000" w:themeColor="text1"/>
          <w:w w:val="110"/>
          <w:sz w:val="20"/>
          <w:lang w:val="ru-RU"/>
        </w:rPr>
        <w:t xml:space="preserve"> </w:t>
      </w:r>
      <w:proofErr w:type="spellStart"/>
      <w:r w:rsidR="0001099E" w:rsidRPr="006B6651">
        <w:rPr>
          <w:color w:val="000000" w:themeColor="text1"/>
          <w:w w:val="110"/>
          <w:sz w:val="20"/>
          <w:lang w:val="ru-RU"/>
        </w:rPr>
        <w:t>складності</w:t>
      </w:r>
      <w:proofErr w:type="spellEnd"/>
      <w:r w:rsidR="0001099E" w:rsidRPr="006B6651">
        <w:rPr>
          <w:color w:val="000000" w:themeColor="text1"/>
          <w:w w:val="110"/>
          <w:sz w:val="20"/>
          <w:lang w:val="ru-RU"/>
        </w:rPr>
        <w:t xml:space="preserve"> на </w:t>
      </w:r>
      <w:proofErr w:type="spellStart"/>
      <w:r w:rsidR="0001099E" w:rsidRPr="006B6651">
        <w:rPr>
          <w:color w:val="000000" w:themeColor="text1"/>
          <w:w w:val="110"/>
          <w:sz w:val="20"/>
          <w:lang w:val="ru-RU"/>
        </w:rPr>
        <w:t>основі</w:t>
      </w:r>
      <w:proofErr w:type="spellEnd"/>
      <w:r w:rsidR="0001099E" w:rsidRPr="006B6651">
        <w:rPr>
          <w:color w:val="000000" w:themeColor="text1"/>
          <w:w w:val="110"/>
          <w:sz w:val="20"/>
          <w:lang w:val="ru-RU"/>
        </w:rPr>
        <w:t xml:space="preserve"> </w:t>
      </w:r>
      <w:proofErr w:type="spellStart"/>
      <w:r w:rsidR="0001099E" w:rsidRPr="006B6651">
        <w:rPr>
          <w:color w:val="000000" w:themeColor="text1"/>
          <w:w w:val="110"/>
          <w:sz w:val="20"/>
          <w:lang w:val="ru-RU"/>
        </w:rPr>
        <w:t>зворотної</w:t>
      </w:r>
      <w:proofErr w:type="spellEnd"/>
      <w:r w:rsidR="0001099E" w:rsidRPr="006B6651">
        <w:rPr>
          <w:color w:val="000000" w:themeColor="text1"/>
          <w:w w:val="110"/>
          <w:sz w:val="20"/>
          <w:lang w:val="ru-RU"/>
        </w:rPr>
        <w:t xml:space="preserve"> </w:t>
      </w:r>
      <w:proofErr w:type="spellStart"/>
      <w:r w:rsidR="0001099E" w:rsidRPr="006B6651">
        <w:rPr>
          <w:color w:val="000000" w:themeColor="text1"/>
          <w:w w:val="110"/>
          <w:sz w:val="20"/>
          <w:lang w:val="ru-RU"/>
        </w:rPr>
        <w:t>гібридизації</w:t>
      </w:r>
      <w:proofErr w:type="spellEnd"/>
      <w:r w:rsidR="0001099E" w:rsidRPr="006B6651">
        <w:rPr>
          <w:color w:val="000000" w:themeColor="text1"/>
          <w:w w:val="110"/>
          <w:sz w:val="20"/>
          <w:lang w:val="ru-RU"/>
        </w:rPr>
        <w:t xml:space="preserve">: </w:t>
      </w:r>
      <w:proofErr w:type="spellStart"/>
      <w:r w:rsidR="0001099E" w:rsidRPr="006B6651">
        <w:rPr>
          <w:color w:val="000000" w:themeColor="text1"/>
          <w:w w:val="110"/>
          <w:sz w:val="20"/>
          <w:lang w:val="ru-RU"/>
        </w:rPr>
        <w:t>діагностична</w:t>
      </w:r>
      <w:proofErr w:type="spellEnd"/>
      <w:r w:rsidR="0001099E" w:rsidRPr="006B6651">
        <w:rPr>
          <w:color w:val="000000" w:themeColor="text1"/>
          <w:w w:val="110"/>
          <w:sz w:val="20"/>
          <w:lang w:val="ru-RU"/>
        </w:rPr>
        <w:t xml:space="preserve"> </w:t>
      </w:r>
      <w:proofErr w:type="spellStart"/>
      <w:r w:rsidR="0001099E" w:rsidRPr="006B6651">
        <w:rPr>
          <w:color w:val="000000" w:themeColor="text1"/>
          <w:w w:val="110"/>
          <w:sz w:val="20"/>
          <w:lang w:val="ru-RU"/>
        </w:rPr>
        <w:t>точність</w:t>
      </w:r>
      <w:proofErr w:type="spellEnd"/>
      <w:r w:rsidR="0001099E" w:rsidRPr="006B6651">
        <w:rPr>
          <w:color w:val="000000" w:themeColor="text1"/>
          <w:w w:val="110"/>
          <w:sz w:val="20"/>
          <w:lang w:val="ru-RU"/>
        </w:rPr>
        <w:t xml:space="preserve"> для виявлення </w:t>
      </w:r>
      <w:proofErr w:type="spellStart"/>
      <w:r w:rsidR="0001099E" w:rsidRPr="006B6651">
        <w:rPr>
          <w:color w:val="000000" w:themeColor="text1"/>
          <w:w w:val="110"/>
          <w:sz w:val="20"/>
          <w:lang w:val="ru-RU"/>
        </w:rPr>
        <w:t>стійкості</w:t>
      </w:r>
      <w:proofErr w:type="spellEnd"/>
      <w:r w:rsidR="0001099E" w:rsidRPr="006B6651">
        <w:rPr>
          <w:color w:val="000000" w:themeColor="text1"/>
          <w:w w:val="110"/>
          <w:sz w:val="20"/>
          <w:lang w:val="ru-RU"/>
        </w:rPr>
        <w:t xml:space="preserve"> до піразинаміду. </w:t>
      </w:r>
      <w:proofErr w:type="spellStart"/>
      <w:r w:rsidR="0001099E" w:rsidRPr="001A32AE">
        <w:rPr>
          <w:color w:val="000000" w:themeColor="text1"/>
          <w:w w:val="110"/>
          <w:sz w:val="20"/>
        </w:rPr>
        <w:t>Систематичний</w:t>
      </w:r>
      <w:proofErr w:type="spellEnd"/>
      <w:r w:rsidR="0001099E" w:rsidRPr="001A32AE">
        <w:rPr>
          <w:color w:val="000000" w:themeColor="text1"/>
          <w:w w:val="110"/>
          <w:sz w:val="20"/>
        </w:rPr>
        <w:t xml:space="preserve"> </w:t>
      </w:r>
      <w:proofErr w:type="spellStart"/>
      <w:r w:rsidR="0001099E" w:rsidRPr="001A32AE">
        <w:rPr>
          <w:color w:val="000000" w:themeColor="text1"/>
          <w:w w:val="110"/>
          <w:sz w:val="20"/>
        </w:rPr>
        <w:t>огляд</w:t>
      </w:r>
      <w:proofErr w:type="spellEnd"/>
      <w:r w:rsidR="0001099E" w:rsidRPr="001A32AE">
        <w:rPr>
          <w:color w:val="000000" w:themeColor="text1"/>
          <w:w w:val="110"/>
          <w:sz w:val="20"/>
        </w:rPr>
        <w:t>»</w:t>
      </w:r>
      <w:r w:rsidR="0001099E">
        <w:rPr>
          <w:color w:val="000000" w:themeColor="text1"/>
          <w:w w:val="110"/>
          <w:sz w:val="20"/>
          <w:lang w:val="uk-UA"/>
        </w:rPr>
        <w:t xml:space="preserve"> </w:t>
      </w:r>
      <w:r w:rsidR="0001099E">
        <w:rPr>
          <w:i/>
          <w:color w:val="000000" w:themeColor="text1"/>
          <w:w w:val="110"/>
          <w:sz w:val="20"/>
          <w:lang w:val="uk-UA"/>
        </w:rPr>
        <w:t>(</w:t>
      </w:r>
      <w:proofErr w:type="spellStart"/>
      <w:r w:rsidR="0001099E" w:rsidRPr="001A32AE">
        <w:rPr>
          <w:i/>
          <w:color w:val="000000" w:themeColor="text1"/>
          <w:w w:val="110"/>
          <w:sz w:val="20"/>
          <w:lang w:val="uk-UA"/>
        </w:rPr>
        <w:t>High</w:t>
      </w:r>
      <w:proofErr w:type="spellEnd"/>
      <w:r w:rsidR="0001099E" w:rsidRPr="001A32AE">
        <w:rPr>
          <w:i/>
          <w:color w:val="000000" w:themeColor="text1"/>
          <w:w w:val="110"/>
          <w:sz w:val="20"/>
          <w:lang w:val="uk-UA"/>
        </w:rPr>
        <w:t xml:space="preserve"> </w:t>
      </w:r>
      <w:proofErr w:type="spellStart"/>
      <w:r w:rsidR="0001099E" w:rsidRPr="001A32AE">
        <w:rPr>
          <w:i/>
          <w:color w:val="000000" w:themeColor="text1"/>
          <w:w w:val="110"/>
          <w:sz w:val="20"/>
          <w:lang w:val="uk-UA"/>
        </w:rPr>
        <w:t>complexity</w:t>
      </w:r>
      <w:proofErr w:type="spellEnd"/>
      <w:r w:rsidR="0001099E" w:rsidRPr="001A32AE">
        <w:rPr>
          <w:i/>
          <w:color w:val="000000" w:themeColor="text1"/>
          <w:w w:val="110"/>
          <w:sz w:val="20"/>
          <w:lang w:val="uk-UA"/>
        </w:rPr>
        <w:t xml:space="preserve"> </w:t>
      </w:r>
      <w:proofErr w:type="spellStart"/>
      <w:r w:rsidR="0001099E" w:rsidRPr="001A32AE">
        <w:rPr>
          <w:i/>
          <w:color w:val="000000" w:themeColor="text1"/>
          <w:w w:val="110"/>
          <w:sz w:val="20"/>
          <w:lang w:val="uk-UA"/>
        </w:rPr>
        <w:t>reverse</w:t>
      </w:r>
      <w:proofErr w:type="spellEnd"/>
      <w:r w:rsidR="0001099E" w:rsidRPr="001A32AE">
        <w:rPr>
          <w:i/>
          <w:color w:val="000000" w:themeColor="text1"/>
          <w:w w:val="110"/>
          <w:sz w:val="20"/>
          <w:lang w:val="uk-UA"/>
        </w:rPr>
        <w:t xml:space="preserve"> </w:t>
      </w:r>
      <w:proofErr w:type="spellStart"/>
      <w:r w:rsidR="0001099E" w:rsidRPr="001A32AE">
        <w:rPr>
          <w:i/>
          <w:color w:val="000000" w:themeColor="text1"/>
          <w:w w:val="110"/>
          <w:sz w:val="20"/>
          <w:lang w:val="uk-UA"/>
        </w:rPr>
        <w:t>hybridization-based</w:t>
      </w:r>
      <w:proofErr w:type="spellEnd"/>
      <w:r w:rsidR="0001099E" w:rsidRPr="001A32AE">
        <w:rPr>
          <w:i/>
          <w:color w:val="000000" w:themeColor="text1"/>
          <w:w w:val="110"/>
          <w:sz w:val="20"/>
          <w:lang w:val="uk-UA"/>
        </w:rPr>
        <w:t xml:space="preserve"> </w:t>
      </w:r>
      <w:proofErr w:type="spellStart"/>
      <w:r w:rsidR="0001099E" w:rsidRPr="001A32AE">
        <w:rPr>
          <w:i/>
          <w:color w:val="000000" w:themeColor="text1"/>
          <w:w w:val="110"/>
          <w:sz w:val="20"/>
          <w:lang w:val="uk-UA"/>
        </w:rPr>
        <w:t>NAATs</w:t>
      </w:r>
      <w:proofErr w:type="spellEnd"/>
      <w:r w:rsidR="0001099E" w:rsidRPr="001A32AE">
        <w:rPr>
          <w:i/>
          <w:color w:val="000000" w:themeColor="text1"/>
          <w:w w:val="110"/>
          <w:sz w:val="20"/>
          <w:lang w:val="uk-UA"/>
        </w:rPr>
        <w:t xml:space="preserve">: </w:t>
      </w:r>
      <w:proofErr w:type="spellStart"/>
      <w:r w:rsidR="0001099E" w:rsidRPr="001A32AE">
        <w:rPr>
          <w:i/>
          <w:color w:val="000000" w:themeColor="text1"/>
          <w:w w:val="110"/>
          <w:sz w:val="20"/>
          <w:lang w:val="uk-UA"/>
        </w:rPr>
        <w:t>diagnostic</w:t>
      </w:r>
      <w:proofErr w:type="spellEnd"/>
      <w:r w:rsidR="0001099E" w:rsidRPr="001A32AE">
        <w:rPr>
          <w:i/>
          <w:color w:val="000000" w:themeColor="text1"/>
          <w:w w:val="110"/>
          <w:sz w:val="20"/>
          <w:lang w:val="uk-UA"/>
        </w:rPr>
        <w:t xml:space="preserve"> </w:t>
      </w:r>
      <w:proofErr w:type="spellStart"/>
      <w:r w:rsidR="0001099E" w:rsidRPr="001A32AE">
        <w:rPr>
          <w:i/>
          <w:color w:val="000000" w:themeColor="text1"/>
          <w:w w:val="110"/>
          <w:sz w:val="20"/>
          <w:lang w:val="uk-UA"/>
        </w:rPr>
        <w:t>accuracy</w:t>
      </w:r>
      <w:proofErr w:type="spellEnd"/>
      <w:r w:rsidR="0001099E" w:rsidRPr="001A32AE">
        <w:rPr>
          <w:i/>
          <w:color w:val="000000" w:themeColor="text1"/>
          <w:w w:val="110"/>
          <w:sz w:val="20"/>
          <w:lang w:val="uk-UA"/>
        </w:rPr>
        <w:t xml:space="preserve"> for </w:t>
      </w:r>
      <w:proofErr w:type="spellStart"/>
      <w:r w:rsidR="0001099E" w:rsidRPr="001A32AE">
        <w:rPr>
          <w:i/>
          <w:color w:val="000000" w:themeColor="text1"/>
          <w:w w:val="110"/>
          <w:sz w:val="20"/>
          <w:lang w:val="uk-UA"/>
        </w:rPr>
        <w:t>detection</w:t>
      </w:r>
      <w:proofErr w:type="spellEnd"/>
      <w:r w:rsidR="0001099E" w:rsidRPr="001A32AE">
        <w:rPr>
          <w:i/>
          <w:color w:val="000000" w:themeColor="text1"/>
          <w:w w:val="110"/>
          <w:sz w:val="20"/>
          <w:lang w:val="uk-UA"/>
        </w:rPr>
        <w:t xml:space="preserve"> of </w:t>
      </w:r>
      <w:proofErr w:type="spellStart"/>
      <w:r w:rsidR="0001099E" w:rsidRPr="001A32AE">
        <w:rPr>
          <w:i/>
          <w:color w:val="000000" w:themeColor="text1"/>
          <w:w w:val="110"/>
          <w:sz w:val="20"/>
          <w:lang w:val="uk-UA"/>
        </w:rPr>
        <w:t>resistance</w:t>
      </w:r>
      <w:proofErr w:type="spellEnd"/>
      <w:r w:rsidR="0001099E" w:rsidRPr="001A32AE">
        <w:rPr>
          <w:i/>
          <w:color w:val="000000" w:themeColor="text1"/>
          <w:w w:val="110"/>
          <w:sz w:val="20"/>
          <w:lang w:val="uk-UA"/>
        </w:rPr>
        <w:t xml:space="preserve"> to </w:t>
      </w:r>
      <w:proofErr w:type="spellStart"/>
      <w:r w:rsidR="0001099E" w:rsidRPr="001A32AE">
        <w:rPr>
          <w:i/>
          <w:color w:val="000000" w:themeColor="text1"/>
          <w:w w:val="110"/>
          <w:sz w:val="20"/>
          <w:lang w:val="uk-UA"/>
        </w:rPr>
        <w:t>pyrazinamide</w:t>
      </w:r>
      <w:proofErr w:type="spellEnd"/>
      <w:r w:rsidR="0001099E" w:rsidRPr="001A32AE">
        <w:rPr>
          <w:i/>
          <w:color w:val="000000" w:themeColor="text1"/>
          <w:w w:val="110"/>
          <w:sz w:val="20"/>
          <w:lang w:val="uk-UA"/>
        </w:rPr>
        <w:t xml:space="preserve">. A </w:t>
      </w:r>
      <w:proofErr w:type="spellStart"/>
      <w:r w:rsidR="0001099E" w:rsidRPr="001A32AE">
        <w:rPr>
          <w:i/>
          <w:color w:val="000000" w:themeColor="text1"/>
          <w:w w:val="110"/>
          <w:sz w:val="20"/>
          <w:lang w:val="uk-UA"/>
        </w:rPr>
        <w:t>systematic</w:t>
      </w:r>
      <w:proofErr w:type="spellEnd"/>
      <w:r w:rsidR="0001099E" w:rsidRPr="001A32AE">
        <w:rPr>
          <w:i/>
          <w:color w:val="000000" w:themeColor="text1"/>
          <w:w w:val="110"/>
          <w:sz w:val="20"/>
          <w:lang w:val="uk-UA"/>
        </w:rPr>
        <w:t xml:space="preserve"> </w:t>
      </w:r>
      <w:proofErr w:type="spellStart"/>
      <w:r w:rsidR="0001099E" w:rsidRPr="001A32AE">
        <w:rPr>
          <w:i/>
          <w:color w:val="000000" w:themeColor="text1"/>
          <w:w w:val="110"/>
          <w:sz w:val="20"/>
          <w:lang w:val="uk-UA"/>
        </w:rPr>
        <w:t>review</w:t>
      </w:r>
      <w:proofErr w:type="spellEnd"/>
      <w:r w:rsidR="0001099E">
        <w:rPr>
          <w:i/>
          <w:color w:val="000000" w:themeColor="text1"/>
          <w:w w:val="110"/>
          <w:sz w:val="20"/>
          <w:lang w:val="uk-UA"/>
        </w:rPr>
        <w:t>)</w:t>
      </w:r>
      <w:r w:rsidR="0001099E" w:rsidRPr="006B6651">
        <w:rPr>
          <w:i/>
          <w:color w:val="000000" w:themeColor="text1"/>
          <w:w w:val="110"/>
          <w:sz w:val="20"/>
          <w:lang w:val="uk-UA"/>
        </w:rPr>
        <w:t>.</w:t>
      </w:r>
    </w:p>
    <w:p w14:paraId="037C7717" w14:textId="729B7876" w:rsidR="00E05B98" w:rsidRPr="003C6DAE" w:rsidRDefault="00E05B98" w:rsidP="00010C6A">
      <w:pPr>
        <w:spacing w:line="295" w:lineRule="auto"/>
        <w:jc w:val="both"/>
        <w:rPr>
          <w:lang w:val="uk-UA"/>
        </w:rPr>
        <w:sectPr w:rsidR="00E05B98" w:rsidRPr="003C6DAE" w:rsidSect="00010C6A">
          <w:pgSz w:w="11910" w:h="16840"/>
          <w:pgMar w:top="1321" w:right="1137" w:bottom="760" w:left="851" w:header="0" w:footer="573" w:gutter="0"/>
          <w:cols w:space="720"/>
        </w:sectPr>
      </w:pPr>
    </w:p>
    <w:p w14:paraId="2165ADB8" w14:textId="77777777" w:rsidR="0001099E" w:rsidRPr="006B6651" w:rsidRDefault="0001099E" w:rsidP="0001099E">
      <w:pPr>
        <w:pStyle w:val="5"/>
        <w:spacing w:before="62"/>
        <w:jc w:val="both"/>
        <w:rPr>
          <w:sz w:val="24"/>
          <w:lang w:val="uk-UA"/>
        </w:rPr>
      </w:pPr>
      <w:r w:rsidRPr="006B6651">
        <w:rPr>
          <w:color w:val="019648"/>
          <w:w w:val="105"/>
          <w:sz w:val="24"/>
          <w:lang w:val="uk-UA"/>
        </w:rPr>
        <w:lastRenderedPageBreak/>
        <w:t>Аналіз економічної ефективності</w:t>
      </w:r>
    </w:p>
    <w:p w14:paraId="54C62576" w14:textId="77777777" w:rsidR="0001099E" w:rsidRPr="006B6651" w:rsidRDefault="0001099E" w:rsidP="0001099E">
      <w:pPr>
        <w:pStyle w:val="9"/>
        <w:spacing w:before="211" w:line="276" w:lineRule="auto"/>
        <w:ind w:right="142"/>
        <w:jc w:val="both"/>
        <w:rPr>
          <w:rFonts w:ascii="Microsoft Sans Serif" w:hAnsi="Microsoft Sans Serif" w:cs="Microsoft Sans Serif"/>
          <w:b w:val="0"/>
          <w:bCs w:val="0"/>
          <w:color w:val="000000" w:themeColor="text1"/>
          <w:w w:val="110"/>
          <w:sz w:val="20"/>
          <w:szCs w:val="20"/>
          <w:lang w:val="uk-UA"/>
        </w:rPr>
      </w:pPr>
      <w:r w:rsidRPr="006B6651">
        <w:rPr>
          <w:rFonts w:ascii="Microsoft Sans Serif" w:hAnsi="Microsoft Sans Serif" w:cs="Microsoft Sans Serif"/>
          <w:b w:val="0"/>
          <w:bCs w:val="0"/>
          <w:color w:val="000000" w:themeColor="text1"/>
          <w:w w:val="110"/>
          <w:sz w:val="20"/>
          <w:szCs w:val="20"/>
          <w:lang w:val="uk-UA"/>
        </w:rPr>
        <w:t>Цей розділ відповідає на наступне додаткове запитання:</w:t>
      </w:r>
    </w:p>
    <w:p w14:paraId="509813DB" w14:textId="77777777" w:rsidR="0001099E" w:rsidRPr="006B6651" w:rsidRDefault="0001099E" w:rsidP="0001099E">
      <w:pPr>
        <w:pStyle w:val="9"/>
        <w:spacing w:line="276" w:lineRule="auto"/>
        <w:ind w:right="142"/>
        <w:jc w:val="both"/>
        <w:rPr>
          <w:rFonts w:ascii="Microsoft Sans Serif" w:hAnsi="Microsoft Sans Serif" w:cs="Microsoft Sans Serif"/>
          <w:b w:val="0"/>
          <w:bCs w:val="0"/>
          <w:color w:val="000000" w:themeColor="text1"/>
          <w:w w:val="110"/>
          <w:sz w:val="20"/>
          <w:szCs w:val="20"/>
          <w:lang w:val="uk-UA"/>
        </w:rPr>
      </w:pPr>
      <w:r w:rsidRPr="006B6651">
        <w:rPr>
          <w:rFonts w:ascii="Microsoft Sans Serif" w:hAnsi="Microsoft Sans Serif" w:cs="Microsoft Sans Serif"/>
          <w:color w:val="000000" w:themeColor="text1"/>
          <w:w w:val="115"/>
          <w:sz w:val="20"/>
          <w:szCs w:val="20"/>
          <w:lang w:val="uk-UA"/>
        </w:rPr>
        <w:t xml:space="preserve">Якими є порівняльна вартість, фінансова доступність та економічна ефективність впровадження </w:t>
      </w:r>
      <w:r w:rsidRPr="00BE6D3F">
        <w:rPr>
          <w:rFonts w:ascii="Microsoft Sans Serif" w:hAnsi="Microsoft Sans Serif" w:cs="Microsoft Sans Serif"/>
          <w:color w:val="000000" w:themeColor="text1"/>
          <w:w w:val="115"/>
          <w:sz w:val="20"/>
          <w:szCs w:val="20"/>
          <w:lang w:val="uk-UA"/>
        </w:rPr>
        <w:t>Т</w:t>
      </w:r>
      <w:r w:rsidRPr="006B6651">
        <w:rPr>
          <w:rFonts w:ascii="Microsoft Sans Serif" w:hAnsi="Microsoft Sans Serif" w:cs="Microsoft Sans Serif"/>
          <w:color w:val="000000" w:themeColor="text1"/>
          <w:w w:val="115"/>
          <w:sz w:val="20"/>
          <w:szCs w:val="20"/>
          <w:lang w:val="uk-UA"/>
        </w:rPr>
        <w:t>АНК високої складності на основі зворотної гібридизації?</w:t>
      </w:r>
    </w:p>
    <w:p w14:paraId="753E994A" w14:textId="77777777" w:rsidR="0001099E" w:rsidRPr="006B6651" w:rsidRDefault="0001099E" w:rsidP="0001099E">
      <w:pPr>
        <w:pStyle w:val="a3"/>
        <w:spacing w:before="172" w:line="276" w:lineRule="auto"/>
        <w:ind w:left="567" w:right="142"/>
        <w:jc w:val="both"/>
        <w:rPr>
          <w:color w:val="000000" w:themeColor="text1"/>
          <w:w w:val="110"/>
          <w:sz w:val="20"/>
          <w:szCs w:val="20"/>
          <w:lang w:val="ru-RU"/>
        </w:rPr>
      </w:pPr>
      <w:proofErr w:type="spellStart"/>
      <w:r w:rsidRPr="006B6651">
        <w:rPr>
          <w:color w:val="000000" w:themeColor="text1"/>
          <w:w w:val="110"/>
          <w:sz w:val="20"/>
          <w:szCs w:val="20"/>
          <w:lang w:val="ru-RU"/>
        </w:rPr>
        <w:t>Було</w:t>
      </w:r>
      <w:proofErr w:type="spellEnd"/>
      <w:r w:rsidRPr="006B6651">
        <w:rPr>
          <w:color w:val="000000" w:themeColor="text1"/>
          <w:w w:val="110"/>
          <w:sz w:val="20"/>
          <w:szCs w:val="20"/>
          <w:lang w:val="ru-RU"/>
        </w:rPr>
        <w:t xml:space="preserve"> проведено </w:t>
      </w:r>
      <w:proofErr w:type="spellStart"/>
      <w:r w:rsidRPr="006B6651">
        <w:rPr>
          <w:color w:val="000000" w:themeColor="text1"/>
          <w:w w:val="110"/>
          <w:sz w:val="20"/>
          <w:szCs w:val="20"/>
          <w:lang w:val="ru-RU"/>
        </w:rPr>
        <w:t>систематичний</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огляд</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зосереджений</w:t>
      </w:r>
      <w:proofErr w:type="spellEnd"/>
      <w:r w:rsidRPr="006B6651">
        <w:rPr>
          <w:color w:val="000000" w:themeColor="text1"/>
          <w:w w:val="110"/>
          <w:sz w:val="20"/>
          <w:szCs w:val="20"/>
          <w:lang w:val="ru-RU"/>
        </w:rPr>
        <w:t xml:space="preserve"> на </w:t>
      </w:r>
      <w:proofErr w:type="spellStart"/>
      <w:r w:rsidRPr="006B6651">
        <w:rPr>
          <w:color w:val="000000" w:themeColor="text1"/>
          <w:w w:val="110"/>
          <w:sz w:val="20"/>
          <w:szCs w:val="20"/>
          <w:lang w:val="ru-RU"/>
        </w:rPr>
        <w:t>економічних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оцінках</w:t>
      </w:r>
      <w:proofErr w:type="spellEnd"/>
      <w:r w:rsidRPr="006B6651">
        <w:rPr>
          <w:color w:val="000000" w:themeColor="text1"/>
          <w:w w:val="110"/>
          <w:sz w:val="20"/>
          <w:szCs w:val="20"/>
          <w:lang w:val="ru-RU"/>
        </w:rPr>
        <w:t xml:space="preserve"> </w:t>
      </w:r>
      <w:r w:rsidRPr="00BE6D3F">
        <w:rPr>
          <w:color w:val="000000" w:themeColor="text1"/>
          <w:w w:val="110"/>
          <w:sz w:val="20"/>
          <w:szCs w:val="20"/>
          <w:lang w:val="uk-UA"/>
        </w:rPr>
        <w:t>Т</w:t>
      </w:r>
      <w:r w:rsidRPr="006B6651">
        <w:rPr>
          <w:color w:val="000000" w:themeColor="text1"/>
          <w:w w:val="110"/>
          <w:sz w:val="20"/>
          <w:szCs w:val="20"/>
          <w:lang w:val="ru-RU"/>
        </w:rPr>
        <w:t xml:space="preserve">АНК </w:t>
      </w:r>
      <w:proofErr w:type="spellStart"/>
      <w:r w:rsidRPr="006B6651">
        <w:rPr>
          <w:color w:val="000000" w:themeColor="text1"/>
          <w:w w:val="110"/>
          <w:sz w:val="20"/>
          <w:szCs w:val="20"/>
          <w:lang w:val="ru-RU"/>
        </w:rPr>
        <w:t>високої</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складності</w:t>
      </w:r>
      <w:proofErr w:type="spellEnd"/>
      <w:r w:rsidRPr="006B6651">
        <w:rPr>
          <w:color w:val="000000" w:themeColor="text1"/>
          <w:w w:val="110"/>
          <w:sz w:val="20"/>
          <w:szCs w:val="20"/>
          <w:lang w:val="ru-RU"/>
        </w:rPr>
        <w:t xml:space="preserve"> на </w:t>
      </w:r>
      <w:proofErr w:type="spellStart"/>
      <w:r w:rsidRPr="006B6651">
        <w:rPr>
          <w:color w:val="000000" w:themeColor="text1"/>
          <w:w w:val="110"/>
          <w:sz w:val="20"/>
          <w:szCs w:val="20"/>
          <w:lang w:val="ru-RU"/>
        </w:rPr>
        <w:t>основі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зворотної</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гібридизації</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Було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здійснено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пошук</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нових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досліджень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опублікованих</w:t>
      </w:r>
      <w:proofErr w:type="spellEnd"/>
      <w:r w:rsidRPr="006B6651">
        <w:rPr>
          <w:color w:val="000000" w:themeColor="text1"/>
          <w:w w:val="110"/>
          <w:sz w:val="20"/>
          <w:szCs w:val="20"/>
          <w:lang w:val="ru-RU"/>
        </w:rPr>
        <w:t xml:space="preserve"> у </w:t>
      </w:r>
      <w:proofErr w:type="spellStart"/>
      <w:r w:rsidRPr="006B6651">
        <w:rPr>
          <w:color w:val="000000" w:themeColor="text1"/>
          <w:w w:val="110"/>
          <w:sz w:val="20"/>
          <w:szCs w:val="20"/>
          <w:lang w:val="ru-RU"/>
        </w:rPr>
        <w:t>період</w:t>
      </w:r>
      <w:proofErr w:type="spellEnd"/>
      <w:r w:rsidRPr="006B6651">
        <w:rPr>
          <w:color w:val="000000" w:themeColor="text1"/>
          <w:w w:val="110"/>
          <w:sz w:val="20"/>
          <w:szCs w:val="20"/>
          <w:lang w:val="ru-RU"/>
        </w:rPr>
        <w:t xml:space="preserve"> з 1 </w:t>
      </w:r>
      <w:proofErr w:type="spellStart"/>
      <w:r w:rsidRPr="006B6651">
        <w:rPr>
          <w:color w:val="000000" w:themeColor="text1"/>
          <w:w w:val="110"/>
          <w:sz w:val="20"/>
          <w:szCs w:val="20"/>
          <w:lang w:val="ru-RU"/>
        </w:rPr>
        <w:t>січня</w:t>
      </w:r>
      <w:proofErr w:type="spellEnd"/>
      <w:r w:rsidRPr="006B6651">
        <w:rPr>
          <w:color w:val="000000" w:themeColor="text1"/>
          <w:w w:val="110"/>
          <w:sz w:val="20"/>
          <w:szCs w:val="20"/>
          <w:lang w:val="ru-RU"/>
        </w:rPr>
        <w:t xml:space="preserve"> 2010 року </w:t>
      </w:r>
      <w:r w:rsidRPr="00BE6D3F">
        <w:rPr>
          <w:color w:val="000000" w:themeColor="text1"/>
          <w:w w:val="110"/>
          <w:sz w:val="20"/>
          <w:szCs w:val="20"/>
          <w:lang w:val="uk-UA"/>
        </w:rPr>
        <w:t>до</w:t>
      </w:r>
      <w:r w:rsidRPr="006B6651">
        <w:rPr>
          <w:color w:val="000000" w:themeColor="text1"/>
          <w:w w:val="110"/>
          <w:sz w:val="20"/>
          <w:szCs w:val="20"/>
          <w:lang w:val="ru-RU"/>
        </w:rPr>
        <w:t xml:space="preserve"> 17 вересня 2020 року, у </w:t>
      </w:r>
      <w:proofErr w:type="spellStart"/>
      <w:r w:rsidRPr="006B6651">
        <w:rPr>
          <w:color w:val="000000" w:themeColor="text1"/>
          <w:w w:val="110"/>
          <w:sz w:val="20"/>
          <w:szCs w:val="20"/>
          <w:lang w:val="ru-RU"/>
        </w:rPr>
        <w:t>чотирьох</w:t>
      </w:r>
      <w:proofErr w:type="spellEnd"/>
      <w:r w:rsidRPr="006B6651">
        <w:rPr>
          <w:color w:val="000000" w:themeColor="text1"/>
          <w:w w:val="110"/>
          <w:sz w:val="20"/>
          <w:szCs w:val="20"/>
          <w:lang w:val="ru-RU"/>
        </w:rPr>
        <w:t xml:space="preserve"> онлайн-базах </w:t>
      </w:r>
      <w:proofErr w:type="spellStart"/>
      <w:r w:rsidRPr="006B6651">
        <w:rPr>
          <w:color w:val="000000" w:themeColor="text1"/>
          <w:w w:val="110"/>
          <w:sz w:val="20"/>
          <w:szCs w:val="20"/>
          <w:lang w:val="ru-RU"/>
        </w:rPr>
        <w:t>даних</w:t>
      </w:r>
      <w:proofErr w:type="spellEnd"/>
      <w:r w:rsidRPr="006B6651">
        <w:rPr>
          <w:color w:val="000000" w:themeColor="text1"/>
          <w:w w:val="110"/>
          <w:sz w:val="20"/>
          <w:szCs w:val="20"/>
          <w:lang w:val="ru-RU"/>
        </w:rPr>
        <w:t xml:space="preserve"> (</w:t>
      </w:r>
      <w:r w:rsidRPr="00BE6D3F">
        <w:rPr>
          <w:color w:val="000000" w:themeColor="text1"/>
          <w:w w:val="110"/>
          <w:sz w:val="20"/>
          <w:szCs w:val="20"/>
        </w:rPr>
        <w:t>Embase</w:t>
      </w:r>
      <w:r w:rsidRPr="006B6651">
        <w:rPr>
          <w:color w:val="000000" w:themeColor="text1"/>
          <w:w w:val="110"/>
          <w:sz w:val="20"/>
          <w:szCs w:val="20"/>
          <w:lang w:val="ru-RU"/>
        </w:rPr>
        <w:t xml:space="preserve">, </w:t>
      </w:r>
      <w:r w:rsidRPr="00BE6D3F">
        <w:rPr>
          <w:color w:val="000000" w:themeColor="text1"/>
          <w:w w:val="110"/>
          <w:sz w:val="20"/>
          <w:szCs w:val="20"/>
        </w:rPr>
        <w:t>Medline</w:t>
      </w:r>
      <w:r w:rsidRPr="006B6651">
        <w:rPr>
          <w:color w:val="000000" w:themeColor="text1"/>
          <w:w w:val="110"/>
          <w:sz w:val="20"/>
          <w:szCs w:val="20"/>
          <w:lang w:val="ru-RU"/>
        </w:rPr>
        <w:t xml:space="preserve">, </w:t>
      </w:r>
      <w:r w:rsidRPr="00BE6D3F">
        <w:rPr>
          <w:color w:val="000000" w:themeColor="text1"/>
          <w:w w:val="110"/>
          <w:sz w:val="20"/>
          <w:szCs w:val="20"/>
        </w:rPr>
        <w:t>Web</w:t>
      </w:r>
      <w:r w:rsidRPr="006B6651">
        <w:rPr>
          <w:color w:val="000000" w:themeColor="text1"/>
          <w:w w:val="110"/>
          <w:sz w:val="20"/>
          <w:szCs w:val="20"/>
          <w:lang w:val="ru-RU"/>
        </w:rPr>
        <w:t xml:space="preserve"> </w:t>
      </w:r>
      <w:r w:rsidRPr="00BE6D3F">
        <w:rPr>
          <w:color w:val="000000" w:themeColor="text1"/>
          <w:w w:val="110"/>
          <w:sz w:val="20"/>
          <w:szCs w:val="20"/>
        </w:rPr>
        <w:t>of</w:t>
      </w:r>
      <w:r w:rsidRPr="006B6651">
        <w:rPr>
          <w:color w:val="000000" w:themeColor="text1"/>
          <w:w w:val="110"/>
          <w:sz w:val="20"/>
          <w:szCs w:val="20"/>
          <w:lang w:val="ru-RU"/>
        </w:rPr>
        <w:t xml:space="preserve"> </w:t>
      </w:r>
      <w:r w:rsidRPr="00BE6D3F">
        <w:rPr>
          <w:color w:val="000000" w:themeColor="text1"/>
          <w:w w:val="110"/>
          <w:sz w:val="20"/>
          <w:szCs w:val="20"/>
        </w:rPr>
        <w:t>Science</w:t>
      </w:r>
      <w:r w:rsidRPr="006B6651">
        <w:rPr>
          <w:color w:val="000000" w:themeColor="text1"/>
          <w:w w:val="110"/>
          <w:sz w:val="20"/>
          <w:szCs w:val="20"/>
          <w:lang w:val="ru-RU"/>
        </w:rPr>
        <w:t xml:space="preserve"> та </w:t>
      </w:r>
      <w:r w:rsidRPr="00BE6D3F">
        <w:rPr>
          <w:color w:val="000000" w:themeColor="text1"/>
          <w:w w:val="110"/>
          <w:sz w:val="20"/>
          <w:szCs w:val="20"/>
        </w:rPr>
        <w:t>Scopus</w:t>
      </w:r>
      <w:r w:rsidRPr="006B6651">
        <w:rPr>
          <w:color w:val="000000" w:themeColor="text1"/>
          <w:w w:val="110"/>
          <w:sz w:val="20"/>
          <w:szCs w:val="20"/>
          <w:lang w:val="ru-RU"/>
        </w:rPr>
        <w:t xml:space="preserve">). Списки </w:t>
      </w:r>
      <w:proofErr w:type="spellStart"/>
      <w:r w:rsidRPr="006B6651">
        <w:rPr>
          <w:color w:val="000000" w:themeColor="text1"/>
          <w:w w:val="110"/>
          <w:sz w:val="20"/>
          <w:szCs w:val="20"/>
          <w:lang w:val="ru-RU"/>
        </w:rPr>
        <w:t>літератури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всіх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відповідних</w:t>
      </w:r>
      <w:proofErr w:type="spellEnd"/>
      <w:r w:rsidRPr="006B6651">
        <w:rPr>
          <w:color w:val="000000" w:themeColor="text1"/>
          <w:w w:val="110"/>
          <w:sz w:val="20"/>
          <w:szCs w:val="20"/>
          <w:lang w:val="ru-RU"/>
        </w:rPr>
        <w:t xml:space="preserve"> статей, </w:t>
      </w:r>
      <w:proofErr w:type="spellStart"/>
      <w:r w:rsidRPr="006B6651">
        <w:rPr>
          <w:color w:val="000000" w:themeColor="text1"/>
          <w:w w:val="110"/>
          <w:sz w:val="20"/>
          <w:szCs w:val="20"/>
          <w:lang w:val="ru-RU"/>
        </w:rPr>
        <w:t>настанов</w:t>
      </w:r>
      <w:proofErr w:type="spellEnd"/>
      <w:r w:rsidRPr="006B6651">
        <w:rPr>
          <w:color w:val="000000" w:themeColor="text1"/>
          <w:w w:val="110"/>
          <w:sz w:val="20"/>
          <w:szCs w:val="20"/>
          <w:lang w:val="ru-RU"/>
        </w:rPr>
        <w:t xml:space="preserve"> та </w:t>
      </w:r>
      <w:proofErr w:type="spellStart"/>
      <w:r w:rsidRPr="006B6651">
        <w:rPr>
          <w:color w:val="000000" w:themeColor="text1"/>
          <w:w w:val="110"/>
          <w:sz w:val="20"/>
          <w:szCs w:val="20"/>
          <w:lang w:val="ru-RU"/>
        </w:rPr>
        <w:t>оглядів</w:t>
      </w:r>
      <w:proofErr w:type="spellEnd"/>
      <w:r w:rsidRPr="006B6651">
        <w:rPr>
          <w:color w:val="000000" w:themeColor="text1"/>
          <w:w w:val="110"/>
          <w:sz w:val="20"/>
          <w:szCs w:val="20"/>
          <w:lang w:val="ru-RU"/>
        </w:rPr>
        <w:t xml:space="preserve"> були </w:t>
      </w:r>
      <w:proofErr w:type="spellStart"/>
      <w:r w:rsidRPr="006B6651">
        <w:rPr>
          <w:color w:val="000000" w:themeColor="text1"/>
          <w:w w:val="110"/>
          <w:sz w:val="20"/>
          <w:szCs w:val="20"/>
          <w:lang w:val="ru-RU"/>
        </w:rPr>
        <w:t>переглянуті</w:t>
      </w:r>
      <w:proofErr w:type="spellEnd"/>
      <w:r w:rsidRPr="006B6651">
        <w:rPr>
          <w:color w:val="000000" w:themeColor="text1"/>
          <w:w w:val="110"/>
          <w:sz w:val="20"/>
          <w:szCs w:val="20"/>
          <w:lang w:val="ru-RU"/>
        </w:rPr>
        <w:t xml:space="preserve"> на предмет </w:t>
      </w:r>
      <w:proofErr w:type="spellStart"/>
      <w:r w:rsidRPr="006B6651">
        <w:rPr>
          <w:color w:val="000000" w:themeColor="text1"/>
          <w:w w:val="110"/>
          <w:sz w:val="20"/>
          <w:szCs w:val="20"/>
          <w:lang w:val="ru-RU"/>
        </w:rPr>
        <w:t>наявності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додаткових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досліджень</w:t>
      </w:r>
      <w:proofErr w:type="spellEnd"/>
      <w:r w:rsidRPr="006B6651">
        <w:rPr>
          <w:color w:val="000000" w:themeColor="text1"/>
          <w:w w:val="110"/>
          <w:sz w:val="20"/>
          <w:szCs w:val="20"/>
          <w:lang w:val="ru-RU"/>
        </w:rPr>
        <w:t xml:space="preserve">. Також </w:t>
      </w:r>
      <w:proofErr w:type="spellStart"/>
      <w:r w:rsidRPr="006B6651">
        <w:rPr>
          <w:color w:val="000000" w:themeColor="text1"/>
          <w:w w:val="110"/>
          <w:sz w:val="20"/>
          <w:szCs w:val="20"/>
          <w:lang w:val="ru-RU"/>
        </w:rPr>
        <w:t>було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встановлено</w:t>
      </w:r>
      <w:proofErr w:type="spellEnd"/>
      <w:r w:rsidRPr="006B6651">
        <w:rPr>
          <w:color w:val="000000" w:themeColor="text1"/>
          <w:w w:val="110"/>
          <w:sz w:val="20"/>
          <w:szCs w:val="20"/>
          <w:lang w:val="ru-RU"/>
        </w:rPr>
        <w:t xml:space="preserve"> контакт з </w:t>
      </w:r>
      <w:proofErr w:type="spellStart"/>
      <w:r w:rsidRPr="006B6651">
        <w:rPr>
          <w:color w:val="000000" w:themeColor="text1"/>
          <w:w w:val="110"/>
          <w:sz w:val="20"/>
          <w:szCs w:val="20"/>
          <w:lang w:val="ru-RU"/>
        </w:rPr>
        <w:t>експертами</w:t>
      </w:r>
      <w:proofErr w:type="spellEnd"/>
      <w:r w:rsidRPr="006B6651">
        <w:rPr>
          <w:color w:val="000000" w:themeColor="text1"/>
          <w:w w:val="110"/>
          <w:sz w:val="20"/>
          <w:szCs w:val="20"/>
          <w:lang w:val="ru-RU"/>
        </w:rPr>
        <w:t xml:space="preserve"> та </w:t>
      </w:r>
      <w:proofErr w:type="spellStart"/>
      <w:r w:rsidRPr="006B6651">
        <w:rPr>
          <w:color w:val="000000" w:themeColor="text1"/>
          <w:w w:val="110"/>
          <w:sz w:val="20"/>
          <w:szCs w:val="20"/>
          <w:lang w:val="ru-RU"/>
        </w:rPr>
        <w:t>виробниками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тестів</w:t>
      </w:r>
      <w:proofErr w:type="spellEnd"/>
      <w:r w:rsidRPr="006B6651">
        <w:rPr>
          <w:color w:val="000000" w:themeColor="text1"/>
          <w:w w:val="110"/>
          <w:sz w:val="20"/>
          <w:szCs w:val="20"/>
          <w:lang w:val="ru-RU"/>
        </w:rPr>
        <w:t xml:space="preserve"> для виявлення будь-</w:t>
      </w:r>
      <w:proofErr w:type="spellStart"/>
      <w:r w:rsidRPr="006B6651">
        <w:rPr>
          <w:color w:val="000000" w:themeColor="text1"/>
          <w:w w:val="110"/>
          <w:sz w:val="20"/>
          <w:szCs w:val="20"/>
          <w:lang w:val="ru-RU"/>
        </w:rPr>
        <w:t>яких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додаткових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неопублікованих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досліджень</w:t>
      </w:r>
      <w:proofErr w:type="spellEnd"/>
      <w:r w:rsidRPr="006B6651">
        <w:rPr>
          <w:color w:val="000000" w:themeColor="text1"/>
          <w:w w:val="110"/>
          <w:sz w:val="20"/>
          <w:szCs w:val="20"/>
          <w:lang w:val="ru-RU"/>
        </w:rPr>
        <w:t>.</w:t>
      </w:r>
    </w:p>
    <w:p w14:paraId="7D8B98D3" w14:textId="77777777" w:rsidR="0001099E" w:rsidRPr="006B6651" w:rsidRDefault="0001099E" w:rsidP="0001099E">
      <w:pPr>
        <w:pStyle w:val="a3"/>
        <w:spacing w:before="178" w:line="276" w:lineRule="auto"/>
        <w:ind w:left="567" w:right="142"/>
        <w:jc w:val="both"/>
        <w:rPr>
          <w:color w:val="000000" w:themeColor="text1"/>
          <w:sz w:val="20"/>
          <w:szCs w:val="20"/>
          <w:lang w:val="ru-RU"/>
        </w:rPr>
      </w:pPr>
      <w:r w:rsidRPr="006B6651">
        <w:rPr>
          <w:color w:val="000000" w:themeColor="text1"/>
          <w:w w:val="110"/>
          <w:sz w:val="20"/>
          <w:szCs w:val="20"/>
          <w:lang w:val="ru-RU"/>
        </w:rPr>
        <w:t xml:space="preserve">Метою </w:t>
      </w:r>
      <w:proofErr w:type="spellStart"/>
      <w:r w:rsidRPr="006B6651">
        <w:rPr>
          <w:color w:val="000000" w:themeColor="text1"/>
          <w:w w:val="110"/>
          <w:sz w:val="20"/>
          <w:szCs w:val="20"/>
          <w:lang w:val="ru-RU"/>
        </w:rPr>
        <w:t>огляду</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було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узагальнити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наявні</w:t>
      </w:r>
      <w:proofErr w:type="spellEnd"/>
      <w:r w:rsidRPr="006B6651">
        <w:rPr>
          <w:color w:val="000000" w:themeColor="text1"/>
          <w:w w:val="110"/>
          <w:sz w:val="20"/>
          <w:szCs w:val="20"/>
          <w:lang w:val="ru-RU"/>
        </w:rPr>
        <w:t xml:space="preserve"> економічні </w:t>
      </w:r>
      <w:proofErr w:type="spellStart"/>
      <w:r w:rsidRPr="006B6651">
        <w:rPr>
          <w:color w:val="000000" w:themeColor="text1"/>
          <w:w w:val="110"/>
          <w:sz w:val="20"/>
          <w:szCs w:val="20"/>
          <w:lang w:val="ru-RU"/>
        </w:rPr>
        <w:t>дані</w:t>
      </w:r>
      <w:proofErr w:type="spellEnd"/>
      <w:r w:rsidRPr="006B6651">
        <w:rPr>
          <w:color w:val="000000" w:themeColor="text1"/>
          <w:w w:val="110"/>
          <w:sz w:val="20"/>
          <w:szCs w:val="20"/>
          <w:lang w:val="ru-RU"/>
        </w:rPr>
        <w:t xml:space="preserve"> та </w:t>
      </w:r>
      <w:proofErr w:type="spellStart"/>
      <w:r w:rsidRPr="006B6651">
        <w:rPr>
          <w:color w:val="000000" w:themeColor="text1"/>
          <w:w w:val="110"/>
          <w:sz w:val="20"/>
          <w:szCs w:val="20"/>
          <w:lang w:val="ru-RU"/>
        </w:rPr>
        <w:t>глибше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зрозуміти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витрати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економічну</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ефективність</w:t>
      </w:r>
      <w:proofErr w:type="spellEnd"/>
      <w:r w:rsidRPr="006B6651">
        <w:rPr>
          <w:color w:val="000000" w:themeColor="text1"/>
          <w:w w:val="110"/>
          <w:sz w:val="20"/>
          <w:szCs w:val="20"/>
          <w:lang w:val="ru-RU"/>
        </w:rPr>
        <w:t xml:space="preserve"> та </w:t>
      </w:r>
      <w:proofErr w:type="spellStart"/>
      <w:r w:rsidRPr="006B6651">
        <w:rPr>
          <w:color w:val="000000" w:themeColor="text1"/>
          <w:w w:val="110"/>
          <w:sz w:val="20"/>
          <w:szCs w:val="20"/>
          <w:lang w:val="ru-RU"/>
        </w:rPr>
        <w:t>фінансову</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доступність</w:t>
      </w:r>
      <w:proofErr w:type="spellEnd"/>
      <w:r w:rsidRPr="006B6651">
        <w:rPr>
          <w:color w:val="000000" w:themeColor="text1"/>
          <w:w w:val="110"/>
          <w:sz w:val="20"/>
          <w:szCs w:val="20"/>
          <w:lang w:val="ru-RU"/>
        </w:rPr>
        <w:t xml:space="preserve"> </w:t>
      </w:r>
      <w:r w:rsidRPr="00BE6D3F">
        <w:rPr>
          <w:color w:val="000000" w:themeColor="text1"/>
          <w:w w:val="110"/>
          <w:sz w:val="20"/>
          <w:szCs w:val="20"/>
          <w:lang w:val="uk-UA"/>
        </w:rPr>
        <w:t>Т</w:t>
      </w:r>
      <w:r w:rsidRPr="006B6651">
        <w:rPr>
          <w:color w:val="000000" w:themeColor="text1"/>
          <w:w w:val="110"/>
          <w:sz w:val="20"/>
          <w:szCs w:val="20"/>
          <w:lang w:val="ru-RU"/>
        </w:rPr>
        <w:t xml:space="preserve">АНК </w:t>
      </w:r>
      <w:proofErr w:type="spellStart"/>
      <w:r w:rsidRPr="006B6651">
        <w:rPr>
          <w:color w:val="000000" w:themeColor="text1"/>
          <w:w w:val="110"/>
          <w:sz w:val="20"/>
          <w:szCs w:val="20"/>
          <w:lang w:val="ru-RU"/>
        </w:rPr>
        <w:t>високої</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складності</w:t>
      </w:r>
      <w:proofErr w:type="spellEnd"/>
      <w:r w:rsidRPr="006B6651">
        <w:rPr>
          <w:color w:val="000000" w:themeColor="text1"/>
          <w:w w:val="110"/>
          <w:sz w:val="20"/>
          <w:szCs w:val="20"/>
          <w:lang w:val="ru-RU"/>
        </w:rPr>
        <w:t xml:space="preserve"> на </w:t>
      </w:r>
      <w:proofErr w:type="spellStart"/>
      <w:r w:rsidRPr="006B6651">
        <w:rPr>
          <w:color w:val="000000" w:themeColor="text1"/>
          <w:w w:val="110"/>
          <w:sz w:val="20"/>
          <w:szCs w:val="20"/>
          <w:lang w:val="ru-RU"/>
        </w:rPr>
        <w:t>основі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зворотної</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гібридизації</w:t>
      </w:r>
      <w:proofErr w:type="spellEnd"/>
      <w:r w:rsidRPr="006B6651">
        <w:rPr>
          <w:color w:val="000000" w:themeColor="text1"/>
          <w:w w:val="110"/>
          <w:sz w:val="20"/>
          <w:szCs w:val="20"/>
          <w:lang w:val="ru-RU"/>
        </w:rPr>
        <w:t>.</w:t>
      </w:r>
    </w:p>
    <w:p w14:paraId="6F72DB0C" w14:textId="77777777" w:rsidR="0001099E" w:rsidRPr="006B6651" w:rsidRDefault="0001099E" w:rsidP="0001099E">
      <w:pPr>
        <w:pStyle w:val="a3"/>
        <w:spacing w:before="173" w:line="276" w:lineRule="auto"/>
        <w:ind w:left="567" w:right="142"/>
        <w:jc w:val="both"/>
        <w:rPr>
          <w:color w:val="000000" w:themeColor="text1"/>
          <w:sz w:val="20"/>
          <w:szCs w:val="20"/>
          <w:lang w:val="ru-RU"/>
        </w:rPr>
      </w:pPr>
      <w:r w:rsidRPr="006B6651">
        <w:rPr>
          <w:color w:val="000000" w:themeColor="text1"/>
          <w:w w:val="110"/>
          <w:sz w:val="20"/>
          <w:szCs w:val="20"/>
          <w:lang w:val="ru-RU"/>
        </w:rPr>
        <w:t xml:space="preserve">Не </w:t>
      </w:r>
      <w:proofErr w:type="spellStart"/>
      <w:r w:rsidRPr="006B6651">
        <w:rPr>
          <w:color w:val="000000" w:themeColor="text1"/>
          <w:w w:val="110"/>
          <w:sz w:val="20"/>
          <w:szCs w:val="20"/>
          <w:lang w:val="ru-RU"/>
        </w:rPr>
        <w:t>було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виявлено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жодних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опублікованих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досліджень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які</w:t>
      </w:r>
      <w:proofErr w:type="spellEnd"/>
      <w:r w:rsidRPr="006B6651">
        <w:rPr>
          <w:color w:val="000000" w:themeColor="text1"/>
          <w:w w:val="110"/>
          <w:sz w:val="20"/>
          <w:szCs w:val="20"/>
          <w:lang w:val="ru-RU"/>
        </w:rPr>
        <w:t xml:space="preserve"> б </w:t>
      </w:r>
      <w:proofErr w:type="spellStart"/>
      <w:r w:rsidRPr="006B6651">
        <w:rPr>
          <w:color w:val="000000" w:themeColor="text1"/>
          <w:w w:val="110"/>
          <w:sz w:val="20"/>
          <w:szCs w:val="20"/>
          <w:lang w:val="ru-RU"/>
        </w:rPr>
        <w:t>оцінювали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витрати</w:t>
      </w:r>
      <w:proofErr w:type="spellEnd"/>
      <w:r w:rsidRPr="006B6651">
        <w:rPr>
          <w:color w:val="000000" w:themeColor="text1"/>
          <w:w w:val="110"/>
          <w:sz w:val="20"/>
          <w:szCs w:val="20"/>
          <w:lang w:val="ru-RU"/>
        </w:rPr>
        <w:t xml:space="preserve"> або </w:t>
      </w:r>
      <w:proofErr w:type="spellStart"/>
      <w:r w:rsidRPr="006B6651">
        <w:rPr>
          <w:color w:val="000000" w:themeColor="text1"/>
          <w:w w:val="110"/>
          <w:sz w:val="20"/>
          <w:szCs w:val="20"/>
          <w:lang w:val="ru-RU"/>
        </w:rPr>
        <w:t>економічну</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ефективність</w:t>
      </w:r>
      <w:proofErr w:type="spellEnd"/>
      <w:r w:rsidRPr="006B6651">
        <w:rPr>
          <w:color w:val="000000" w:themeColor="text1"/>
          <w:w w:val="110"/>
          <w:sz w:val="20"/>
          <w:szCs w:val="20"/>
          <w:lang w:val="ru-RU"/>
        </w:rPr>
        <w:t xml:space="preserve"> використання </w:t>
      </w:r>
      <w:r>
        <w:rPr>
          <w:color w:val="000000" w:themeColor="text1"/>
          <w:w w:val="110"/>
          <w:sz w:val="20"/>
          <w:szCs w:val="20"/>
          <w:lang w:val="uk-UA"/>
        </w:rPr>
        <w:t xml:space="preserve">доступних на ринку </w:t>
      </w:r>
      <w:r w:rsidRPr="00BE6D3F">
        <w:rPr>
          <w:color w:val="000000" w:themeColor="text1"/>
          <w:w w:val="110"/>
          <w:sz w:val="20"/>
          <w:szCs w:val="20"/>
          <w:lang w:val="uk-UA"/>
        </w:rPr>
        <w:t>Т</w:t>
      </w:r>
      <w:r w:rsidRPr="006B6651">
        <w:rPr>
          <w:color w:val="000000" w:themeColor="text1"/>
          <w:w w:val="110"/>
          <w:sz w:val="20"/>
          <w:szCs w:val="20"/>
          <w:lang w:val="ru-RU"/>
        </w:rPr>
        <w:t xml:space="preserve">АНК </w:t>
      </w:r>
      <w:proofErr w:type="spellStart"/>
      <w:r w:rsidRPr="006B6651">
        <w:rPr>
          <w:color w:val="000000" w:themeColor="text1"/>
          <w:w w:val="110"/>
          <w:sz w:val="20"/>
          <w:szCs w:val="20"/>
          <w:lang w:val="ru-RU"/>
        </w:rPr>
        <w:t>високої</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складності</w:t>
      </w:r>
      <w:proofErr w:type="spellEnd"/>
      <w:r w:rsidRPr="006B6651">
        <w:rPr>
          <w:color w:val="000000" w:themeColor="text1"/>
          <w:w w:val="110"/>
          <w:sz w:val="20"/>
          <w:szCs w:val="20"/>
          <w:lang w:val="ru-RU"/>
        </w:rPr>
        <w:t xml:space="preserve"> на </w:t>
      </w:r>
      <w:proofErr w:type="spellStart"/>
      <w:r w:rsidRPr="006B6651">
        <w:rPr>
          <w:color w:val="000000" w:themeColor="text1"/>
          <w:w w:val="110"/>
          <w:sz w:val="20"/>
          <w:szCs w:val="20"/>
          <w:lang w:val="ru-RU"/>
        </w:rPr>
        <w:t>основі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гібридизації</w:t>
      </w:r>
      <w:proofErr w:type="spellEnd"/>
      <w:r w:rsidRPr="006B6651">
        <w:rPr>
          <w:color w:val="000000" w:themeColor="text1"/>
          <w:w w:val="110"/>
          <w:sz w:val="20"/>
          <w:szCs w:val="20"/>
          <w:lang w:val="ru-RU"/>
        </w:rPr>
        <w:t xml:space="preserve"> (</w:t>
      </w:r>
      <w:r w:rsidRPr="00BE6D3F">
        <w:rPr>
          <w:color w:val="000000" w:themeColor="text1"/>
          <w:w w:val="110"/>
          <w:sz w:val="20"/>
          <w:szCs w:val="20"/>
        </w:rPr>
        <w:t>Genoscholar</w:t>
      </w:r>
      <w:r w:rsidRPr="006B6651">
        <w:rPr>
          <w:color w:val="000000" w:themeColor="text1"/>
          <w:w w:val="110"/>
          <w:sz w:val="20"/>
          <w:szCs w:val="20"/>
          <w:lang w:val="ru-RU"/>
        </w:rPr>
        <w:t xml:space="preserve"> </w:t>
      </w:r>
      <w:r w:rsidRPr="00BE6D3F">
        <w:rPr>
          <w:color w:val="000000" w:themeColor="text1"/>
          <w:w w:val="110"/>
          <w:sz w:val="20"/>
          <w:szCs w:val="20"/>
        </w:rPr>
        <w:t>PZA</w:t>
      </w:r>
      <w:r w:rsidRPr="006B6651">
        <w:rPr>
          <w:color w:val="000000" w:themeColor="text1"/>
          <w:w w:val="110"/>
          <w:sz w:val="20"/>
          <w:szCs w:val="20"/>
          <w:lang w:val="ru-RU"/>
        </w:rPr>
        <w:t>-</w:t>
      </w:r>
      <w:r w:rsidRPr="00BE6D3F">
        <w:rPr>
          <w:color w:val="000000" w:themeColor="text1"/>
          <w:w w:val="110"/>
          <w:sz w:val="20"/>
          <w:szCs w:val="20"/>
        </w:rPr>
        <w:t>TB</w:t>
      </w:r>
      <w:r w:rsidRPr="006B6651">
        <w:rPr>
          <w:color w:val="000000" w:themeColor="text1"/>
          <w:w w:val="110"/>
          <w:sz w:val="20"/>
          <w:szCs w:val="20"/>
          <w:lang w:val="ru-RU"/>
        </w:rPr>
        <w:t xml:space="preserve"> </w:t>
      </w:r>
      <w:r w:rsidRPr="00BE6D3F">
        <w:rPr>
          <w:color w:val="000000" w:themeColor="text1"/>
          <w:w w:val="110"/>
          <w:sz w:val="20"/>
          <w:szCs w:val="20"/>
        </w:rPr>
        <w:t>II</w:t>
      </w:r>
      <w:r w:rsidRPr="006B6651">
        <w:rPr>
          <w:color w:val="000000" w:themeColor="text1"/>
          <w:w w:val="110"/>
          <w:sz w:val="20"/>
          <w:szCs w:val="20"/>
          <w:lang w:val="ru-RU"/>
        </w:rPr>
        <w:t xml:space="preserve">, </w:t>
      </w:r>
      <w:r>
        <w:rPr>
          <w:color w:val="000000" w:themeColor="text1"/>
          <w:w w:val="110"/>
          <w:sz w:val="20"/>
          <w:szCs w:val="20"/>
          <w:lang w:val="uk-UA"/>
        </w:rPr>
        <w:t xml:space="preserve">компанія </w:t>
      </w:r>
      <w:r w:rsidRPr="00BE6D3F">
        <w:rPr>
          <w:color w:val="000000" w:themeColor="text1"/>
          <w:w w:val="110"/>
          <w:sz w:val="20"/>
          <w:szCs w:val="20"/>
        </w:rPr>
        <w:t>Nipro</w:t>
      </w:r>
      <w:r>
        <w:rPr>
          <w:color w:val="000000" w:themeColor="text1"/>
          <w:w w:val="110"/>
          <w:sz w:val="20"/>
          <w:szCs w:val="20"/>
          <w:lang w:val="uk-UA"/>
        </w:rPr>
        <w:t>, Японія</w:t>
      </w:r>
      <w:r w:rsidRPr="006B6651">
        <w:rPr>
          <w:color w:val="000000" w:themeColor="text1"/>
          <w:w w:val="110"/>
          <w:sz w:val="20"/>
          <w:szCs w:val="20"/>
          <w:lang w:val="ru-RU"/>
        </w:rPr>
        <w:t xml:space="preserve">). </w:t>
      </w:r>
      <w:r w:rsidRPr="00BE6D3F">
        <w:rPr>
          <w:color w:val="000000" w:themeColor="text1"/>
          <w:w w:val="110"/>
          <w:sz w:val="20"/>
          <w:szCs w:val="20"/>
          <w:lang w:val="uk-UA"/>
        </w:rPr>
        <w:t xml:space="preserve">Із </w:t>
      </w:r>
      <w:proofErr w:type="spellStart"/>
      <w:r w:rsidRPr="006B6651">
        <w:rPr>
          <w:color w:val="000000" w:themeColor="text1"/>
          <w:w w:val="110"/>
          <w:sz w:val="20"/>
          <w:szCs w:val="20"/>
          <w:lang w:val="ru-RU"/>
        </w:rPr>
        <w:t>кількох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джерел</w:t>
      </w:r>
      <w:proofErr w:type="spellEnd"/>
      <w:r w:rsidRPr="00BE6D3F">
        <w:rPr>
          <w:color w:val="000000" w:themeColor="text1"/>
          <w:w w:val="110"/>
          <w:sz w:val="20"/>
          <w:szCs w:val="20"/>
          <w:lang w:val="uk-UA"/>
        </w:rPr>
        <w:t xml:space="preserve"> вдалося отримати непрямі дані</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Було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виявлено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чотири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дослідження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що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вивчали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інші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доступні</w:t>
      </w:r>
      <w:proofErr w:type="spellEnd"/>
      <w:r w:rsidRPr="006B6651">
        <w:rPr>
          <w:color w:val="000000" w:themeColor="text1"/>
          <w:w w:val="110"/>
          <w:sz w:val="20"/>
          <w:szCs w:val="20"/>
          <w:lang w:val="ru-RU"/>
        </w:rPr>
        <w:t xml:space="preserve"> </w:t>
      </w:r>
      <w:r>
        <w:rPr>
          <w:color w:val="000000" w:themeColor="text1"/>
          <w:w w:val="110"/>
          <w:sz w:val="20"/>
          <w:szCs w:val="20"/>
          <w:lang w:val="uk-UA"/>
        </w:rPr>
        <w:t xml:space="preserve">на ринку </w:t>
      </w:r>
      <w:r w:rsidRPr="00BE6D3F">
        <w:rPr>
          <w:color w:val="000000" w:themeColor="text1"/>
          <w:w w:val="110"/>
          <w:sz w:val="20"/>
          <w:szCs w:val="20"/>
        </w:rPr>
        <w:t>LPA</w:t>
      </w:r>
      <w:r w:rsidRPr="006B6651">
        <w:rPr>
          <w:color w:val="000000" w:themeColor="text1"/>
          <w:w w:val="110"/>
          <w:sz w:val="20"/>
          <w:szCs w:val="20"/>
          <w:lang w:val="ru-RU"/>
        </w:rPr>
        <w:t xml:space="preserve"> (</w:t>
      </w:r>
      <w:r w:rsidRPr="00BE6D3F">
        <w:rPr>
          <w:color w:val="000000" w:themeColor="text1"/>
          <w:w w:val="110"/>
          <w:sz w:val="20"/>
          <w:szCs w:val="20"/>
        </w:rPr>
        <w:t>Genotype</w:t>
      </w:r>
      <w:r w:rsidRPr="006B6651">
        <w:rPr>
          <w:color w:val="000000" w:themeColor="text1"/>
          <w:w w:val="110"/>
          <w:sz w:val="20"/>
          <w:szCs w:val="20"/>
          <w:lang w:val="ru-RU"/>
        </w:rPr>
        <w:t xml:space="preserve"> </w:t>
      </w:r>
      <w:r w:rsidRPr="00BE6D3F">
        <w:rPr>
          <w:color w:val="000000" w:themeColor="text1"/>
          <w:w w:val="110"/>
          <w:sz w:val="20"/>
          <w:szCs w:val="20"/>
        </w:rPr>
        <w:t>MTBDRsl</w:t>
      </w:r>
      <w:r w:rsidRPr="006B6651">
        <w:rPr>
          <w:color w:val="000000" w:themeColor="text1"/>
          <w:w w:val="110"/>
          <w:sz w:val="20"/>
          <w:szCs w:val="20"/>
          <w:lang w:val="ru-RU"/>
        </w:rPr>
        <w:t xml:space="preserve"> та </w:t>
      </w:r>
      <w:r w:rsidRPr="00BE6D3F">
        <w:rPr>
          <w:color w:val="000000" w:themeColor="text1"/>
          <w:w w:val="110"/>
          <w:sz w:val="20"/>
          <w:szCs w:val="20"/>
        </w:rPr>
        <w:t>MTBDRplus</w:t>
      </w:r>
      <w:r w:rsidRPr="006B6651">
        <w:rPr>
          <w:color w:val="000000" w:themeColor="text1"/>
          <w:w w:val="110"/>
          <w:sz w:val="20"/>
          <w:szCs w:val="20"/>
          <w:lang w:val="ru-RU"/>
        </w:rPr>
        <w:t xml:space="preserve">, </w:t>
      </w:r>
      <w:r w:rsidRPr="00BE6D3F">
        <w:rPr>
          <w:color w:val="000000" w:themeColor="text1"/>
          <w:w w:val="110"/>
          <w:sz w:val="20"/>
          <w:szCs w:val="20"/>
        </w:rPr>
        <w:t>Hain</w:t>
      </w:r>
      <w:r w:rsidRPr="006B6651">
        <w:rPr>
          <w:color w:val="000000" w:themeColor="text1"/>
          <w:w w:val="110"/>
          <w:sz w:val="20"/>
          <w:szCs w:val="20"/>
          <w:lang w:val="ru-RU"/>
        </w:rPr>
        <w:t xml:space="preserve"> </w:t>
      </w:r>
      <w:r w:rsidRPr="00BE6D3F">
        <w:rPr>
          <w:color w:val="000000" w:themeColor="text1"/>
          <w:w w:val="110"/>
          <w:sz w:val="20"/>
          <w:szCs w:val="20"/>
        </w:rPr>
        <w:t>Lifescience</w:t>
      </w:r>
      <w:r w:rsidRPr="006B6651">
        <w:rPr>
          <w:color w:val="000000" w:themeColor="text1"/>
          <w:w w:val="110"/>
          <w:sz w:val="20"/>
          <w:szCs w:val="20"/>
          <w:lang w:val="ru-RU"/>
        </w:rPr>
        <w:t>).</w:t>
      </w:r>
    </w:p>
    <w:p w14:paraId="244A5A11" w14:textId="77777777" w:rsidR="0001099E" w:rsidRPr="0001099E" w:rsidRDefault="0001099E" w:rsidP="0001099E">
      <w:pPr>
        <w:pStyle w:val="a3"/>
        <w:spacing w:before="175" w:line="276" w:lineRule="auto"/>
        <w:ind w:left="567" w:right="142"/>
        <w:jc w:val="both"/>
        <w:rPr>
          <w:color w:val="000000" w:themeColor="text1"/>
          <w:sz w:val="20"/>
          <w:szCs w:val="20"/>
          <w:lang w:val="ru-RU"/>
        </w:rPr>
      </w:pPr>
      <w:r w:rsidRPr="00BE6D3F">
        <w:rPr>
          <w:color w:val="000000" w:themeColor="text1"/>
          <w:w w:val="110"/>
          <w:sz w:val="20"/>
          <w:szCs w:val="20"/>
        </w:rPr>
        <w:t>LPA</w:t>
      </w:r>
      <w:r w:rsidRPr="006B6651">
        <w:rPr>
          <w:color w:val="000000" w:themeColor="text1"/>
          <w:w w:val="110"/>
          <w:sz w:val="20"/>
          <w:szCs w:val="20"/>
          <w:lang w:val="ru-RU"/>
        </w:rPr>
        <w:t xml:space="preserve"> </w:t>
      </w:r>
      <w:r w:rsidRPr="00BE6D3F">
        <w:rPr>
          <w:color w:val="000000" w:themeColor="text1"/>
          <w:w w:val="110"/>
          <w:sz w:val="20"/>
          <w:szCs w:val="20"/>
        </w:rPr>
        <w:t>Genoscholar</w:t>
      </w:r>
      <w:r w:rsidRPr="006B6651">
        <w:rPr>
          <w:color w:val="000000" w:themeColor="text1"/>
          <w:w w:val="110"/>
          <w:sz w:val="20"/>
          <w:szCs w:val="20"/>
          <w:lang w:val="ru-RU"/>
        </w:rPr>
        <w:t xml:space="preserve"> </w:t>
      </w:r>
      <w:r w:rsidRPr="00BE6D3F">
        <w:rPr>
          <w:color w:val="000000" w:themeColor="text1"/>
          <w:w w:val="110"/>
          <w:sz w:val="20"/>
          <w:szCs w:val="20"/>
        </w:rPr>
        <w:t>PZA</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був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розроблений</w:t>
      </w:r>
      <w:proofErr w:type="spellEnd"/>
      <w:r w:rsidRPr="006B6651">
        <w:rPr>
          <w:color w:val="000000" w:themeColor="text1"/>
          <w:w w:val="110"/>
          <w:sz w:val="20"/>
          <w:szCs w:val="20"/>
          <w:lang w:val="ru-RU"/>
        </w:rPr>
        <w:t xml:space="preserve"> для використання з </w:t>
      </w:r>
      <w:proofErr w:type="spellStart"/>
      <w:r w:rsidRPr="006B6651">
        <w:rPr>
          <w:color w:val="000000" w:themeColor="text1"/>
          <w:w w:val="110"/>
          <w:sz w:val="20"/>
          <w:szCs w:val="20"/>
          <w:lang w:val="ru-RU"/>
        </w:rPr>
        <w:t>автоматизованою</w:t>
      </w:r>
      <w:proofErr w:type="spellEnd"/>
      <w:r w:rsidRPr="006B6651">
        <w:rPr>
          <w:color w:val="000000" w:themeColor="text1"/>
          <w:w w:val="110"/>
          <w:sz w:val="20"/>
          <w:szCs w:val="20"/>
          <w:lang w:val="ru-RU"/>
        </w:rPr>
        <w:t xml:space="preserve"> системою </w:t>
      </w:r>
      <w:r w:rsidRPr="00BE6D3F">
        <w:rPr>
          <w:color w:val="000000" w:themeColor="text1"/>
          <w:w w:val="110"/>
          <w:sz w:val="20"/>
          <w:szCs w:val="20"/>
        </w:rPr>
        <w:t>MultiBlot</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від</w:t>
      </w:r>
      <w:proofErr w:type="spellEnd"/>
      <w:r w:rsidRPr="006B6651">
        <w:rPr>
          <w:color w:val="000000" w:themeColor="text1"/>
          <w:w w:val="110"/>
          <w:sz w:val="20"/>
          <w:szCs w:val="20"/>
          <w:lang w:val="ru-RU"/>
        </w:rPr>
        <w:t xml:space="preserve"> </w:t>
      </w:r>
      <w:r w:rsidRPr="00BE6D3F">
        <w:rPr>
          <w:color w:val="000000" w:themeColor="text1"/>
          <w:w w:val="110"/>
          <w:sz w:val="20"/>
          <w:szCs w:val="20"/>
        </w:rPr>
        <w:t>Nipro</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однак</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нещодавнє</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неопубліковане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дослідження</w:t>
      </w:r>
      <w:proofErr w:type="spellEnd"/>
      <w:r w:rsidRPr="006B6651">
        <w:rPr>
          <w:color w:val="000000" w:themeColor="text1"/>
          <w:w w:val="110"/>
          <w:position w:val="9"/>
          <w:sz w:val="20"/>
          <w:szCs w:val="20"/>
          <w:lang w:val="ru-RU"/>
        </w:rPr>
        <w:t>12</w:t>
      </w:r>
      <w:r w:rsidRPr="00BE6D3F">
        <w:rPr>
          <w:color w:val="000000" w:themeColor="text1"/>
          <w:w w:val="110"/>
          <w:position w:val="9"/>
          <w:sz w:val="20"/>
          <w:szCs w:val="20"/>
          <w:lang w:val="uk-UA"/>
        </w:rPr>
        <w:t xml:space="preserve"> </w:t>
      </w:r>
      <w:proofErr w:type="spellStart"/>
      <w:r w:rsidRPr="006B6651">
        <w:rPr>
          <w:color w:val="000000" w:themeColor="text1"/>
          <w:w w:val="110"/>
          <w:sz w:val="20"/>
          <w:szCs w:val="20"/>
          <w:lang w:val="ru-RU"/>
        </w:rPr>
        <w:t>продемонструвало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що</w:t>
      </w:r>
      <w:proofErr w:type="spellEnd"/>
      <w:r w:rsidRPr="006B6651">
        <w:rPr>
          <w:color w:val="000000" w:themeColor="text1"/>
          <w:w w:val="110"/>
          <w:sz w:val="20"/>
          <w:szCs w:val="20"/>
          <w:lang w:val="ru-RU"/>
        </w:rPr>
        <w:t xml:space="preserve"> </w:t>
      </w:r>
      <w:proofErr w:type="spellStart"/>
      <w:r w:rsidRPr="00BE6D3F">
        <w:rPr>
          <w:color w:val="000000" w:themeColor="text1"/>
          <w:w w:val="110"/>
          <w:sz w:val="20"/>
          <w:szCs w:val="20"/>
        </w:rPr>
        <w:t>Twincubator</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від</w:t>
      </w:r>
      <w:proofErr w:type="spellEnd"/>
      <w:r w:rsidRPr="006B6651">
        <w:rPr>
          <w:color w:val="000000" w:themeColor="text1"/>
          <w:w w:val="110"/>
          <w:sz w:val="20"/>
          <w:szCs w:val="20"/>
          <w:lang w:val="ru-RU"/>
        </w:rPr>
        <w:t xml:space="preserve"> </w:t>
      </w:r>
      <w:r w:rsidRPr="00BE6D3F">
        <w:rPr>
          <w:color w:val="000000" w:themeColor="text1"/>
          <w:w w:val="110"/>
          <w:sz w:val="20"/>
          <w:szCs w:val="20"/>
        </w:rPr>
        <w:t>Hain</w:t>
      </w:r>
      <w:r w:rsidRPr="006B6651">
        <w:rPr>
          <w:color w:val="000000" w:themeColor="text1"/>
          <w:w w:val="110"/>
          <w:sz w:val="20"/>
          <w:szCs w:val="20"/>
          <w:lang w:val="ru-RU"/>
        </w:rPr>
        <w:t xml:space="preserve"> </w:t>
      </w:r>
      <w:r w:rsidRPr="00BE6D3F">
        <w:rPr>
          <w:color w:val="000000" w:themeColor="text1"/>
          <w:w w:val="110"/>
          <w:sz w:val="20"/>
          <w:szCs w:val="20"/>
        </w:rPr>
        <w:t>Lifescience</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може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успішно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використовуватися</w:t>
      </w:r>
      <w:proofErr w:type="spellEnd"/>
      <w:r w:rsidRPr="006B6651">
        <w:rPr>
          <w:color w:val="000000" w:themeColor="text1"/>
          <w:w w:val="110"/>
          <w:sz w:val="20"/>
          <w:szCs w:val="20"/>
          <w:lang w:val="ru-RU"/>
        </w:rPr>
        <w:t xml:space="preserve"> з </w:t>
      </w:r>
      <w:proofErr w:type="spellStart"/>
      <w:r w:rsidRPr="006B6651">
        <w:rPr>
          <w:color w:val="000000" w:themeColor="text1"/>
          <w:w w:val="110"/>
          <w:sz w:val="20"/>
          <w:szCs w:val="20"/>
          <w:lang w:val="ru-RU"/>
        </w:rPr>
        <w:t>цим</w:t>
      </w:r>
      <w:proofErr w:type="spellEnd"/>
      <w:r w:rsidRPr="006B6651">
        <w:rPr>
          <w:color w:val="000000" w:themeColor="text1"/>
          <w:w w:val="110"/>
          <w:sz w:val="20"/>
          <w:szCs w:val="20"/>
          <w:lang w:val="ru-RU"/>
        </w:rPr>
        <w:t xml:space="preserve"> </w:t>
      </w:r>
      <w:r w:rsidRPr="00BE6D3F">
        <w:rPr>
          <w:color w:val="000000" w:themeColor="text1"/>
          <w:w w:val="110"/>
          <w:sz w:val="20"/>
          <w:szCs w:val="20"/>
        </w:rPr>
        <w:t>LPA</w:t>
      </w:r>
      <w:r w:rsidRPr="006B6651">
        <w:rPr>
          <w:color w:val="000000" w:themeColor="text1"/>
          <w:w w:val="110"/>
          <w:sz w:val="20"/>
          <w:szCs w:val="20"/>
          <w:lang w:val="ru-RU"/>
        </w:rPr>
        <w:t xml:space="preserve">. </w:t>
      </w:r>
      <w:proofErr w:type="spellStart"/>
      <w:r w:rsidRPr="0001099E">
        <w:rPr>
          <w:color w:val="000000" w:themeColor="text1"/>
          <w:w w:val="110"/>
          <w:sz w:val="20"/>
          <w:szCs w:val="20"/>
          <w:lang w:val="ru-RU"/>
        </w:rPr>
        <w:t>Це</w:t>
      </w:r>
      <w:proofErr w:type="spellEnd"/>
      <w:r w:rsidRPr="0001099E">
        <w:rPr>
          <w:color w:val="000000" w:themeColor="text1"/>
          <w:w w:val="110"/>
          <w:sz w:val="20"/>
          <w:szCs w:val="20"/>
          <w:lang w:val="ru-RU"/>
        </w:rPr>
        <w:t xml:space="preserve"> </w:t>
      </w:r>
      <w:proofErr w:type="spellStart"/>
      <w:r w:rsidRPr="0001099E">
        <w:rPr>
          <w:color w:val="000000" w:themeColor="text1"/>
          <w:w w:val="110"/>
          <w:sz w:val="20"/>
          <w:szCs w:val="20"/>
          <w:lang w:val="ru-RU"/>
        </w:rPr>
        <w:t>відкриття</w:t>
      </w:r>
      <w:proofErr w:type="spellEnd"/>
      <w:r w:rsidRPr="0001099E">
        <w:rPr>
          <w:color w:val="000000" w:themeColor="text1"/>
          <w:w w:val="110"/>
          <w:sz w:val="20"/>
          <w:szCs w:val="20"/>
          <w:lang w:val="ru-RU"/>
        </w:rPr>
        <w:t xml:space="preserve"> </w:t>
      </w:r>
      <w:proofErr w:type="spellStart"/>
      <w:r w:rsidRPr="0001099E">
        <w:rPr>
          <w:color w:val="000000" w:themeColor="text1"/>
          <w:w w:val="110"/>
          <w:sz w:val="20"/>
          <w:szCs w:val="20"/>
          <w:lang w:val="ru-RU"/>
        </w:rPr>
        <w:t>може</w:t>
      </w:r>
      <w:proofErr w:type="spellEnd"/>
      <w:r w:rsidRPr="0001099E">
        <w:rPr>
          <w:color w:val="000000" w:themeColor="text1"/>
          <w:w w:val="110"/>
          <w:sz w:val="20"/>
          <w:szCs w:val="20"/>
          <w:lang w:val="ru-RU"/>
        </w:rPr>
        <w:t xml:space="preserve"> </w:t>
      </w:r>
      <w:proofErr w:type="spellStart"/>
      <w:r w:rsidRPr="0001099E">
        <w:rPr>
          <w:color w:val="000000" w:themeColor="text1"/>
          <w:w w:val="110"/>
          <w:sz w:val="20"/>
          <w:szCs w:val="20"/>
          <w:lang w:val="ru-RU"/>
        </w:rPr>
        <w:t>полегшити</w:t>
      </w:r>
      <w:proofErr w:type="spellEnd"/>
      <w:r w:rsidRPr="0001099E">
        <w:rPr>
          <w:color w:val="000000" w:themeColor="text1"/>
          <w:w w:val="110"/>
          <w:sz w:val="20"/>
          <w:szCs w:val="20"/>
          <w:lang w:val="ru-RU"/>
        </w:rPr>
        <w:t xml:space="preserve"> </w:t>
      </w:r>
      <w:proofErr w:type="spellStart"/>
      <w:r w:rsidRPr="0001099E">
        <w:rPr>
          <w:color w:val="000000" w:themeColor="text1"/>
          <w:w w:val="110"/>
          <w:sz w:val="20"/>
          <w:szCs w:val="20"/>
          <w:lang w:val="ru-RU"/>
        </w:rPr>
        <w:t>впровадження</w:t>
      </w:r>
      <w:proofErr w:type="spellEnd"/>
      <w:r w:rsidRPr="0001099E">
        <w:rPr>
          <w:color w:val="000000" w:themeColor="text1"/>
          <w:w w:val="110"/>
          <w:sz w:val="20"/>
          <w:szCs w:val="20"/>
          <w:lang w:val="ru-RU"/>
        </w:rPr>
        <w:t xml:space="preserve"> </w:t>
      </w:r>
      <w:r w:rsidRPr="00BE6D3F">
        <w:rPr>
          <w:color w:val="000000" w:themeColor="text1"/>
          <w:w w:val="110"/>
          <w:sz w:val="20"/>
          <w:szCs w:val="20"/>
        </w:rPr>
        <w:t>LPA</w:t>
      </w:r>
      <w:r w:rsidRPr="0001099E">
        <w:rPr>
          <w:color w:val="000000" w:themeColor="text1"/>
          <w:w w:val="110"/>
          <w:sz w:val="20"/>
          <w:szCs w:val="20"/>
          <w:lang w:val="ru-RU"/>
        </w:rPr>
        <w:t xml:space="preserve"> </w:t>
      </w:r>
      <w:r w:rsidRPr="00BE6D3F">
        <w:rPr>
          <w:color w:val="000000" w:themeColor="text1"/>
          <w:w w:val="110"/>
          <w:sz w:val="20"/>
          <w:szCs w:val="20"/>
        </w:rPr>
        <w:t>Genoscholar</w:t>
      </w:r>
      <w:r w:rsidRPr="0001099E">
        <w:rPr>
          <w:color w:val="000000" w:themeColor="text1"/>
          <w:w w:val="110"/>
          <w:sz w:val="20"/>
          <w:szCs w:val="20"/>
          <w:lang w:val="ru-RU"/>
        </w:rPr>
        <w:t xml:space="preserve"> </w:t>
      </w:r>
      <w:r w:rsidRPr="00BE6D3F">
        <w:rPr>
          <w:color w:val="000000" w:themeColor="text1"/>
          <w:w w:val="110"/>
          <w:sz w:val="20"/>
          <w:szCs w:val="20"/>
        </w:rPr>
        <w:t>PZA</w:t>
      </w:r>
      <w:r w:rsidRPr="0001099E">
        <w:rPr>
          <w:color w:val="000000" w:themeColor="text1"/>
          <w:w w:val="110"/>
          <w:sz w:val="20"/>
          <w:szCs w:val="20"/>
          <w:lang w:val="ru-RU"/>
        </w:rPr>
        <w:t xml:space="preserve"> в </w:t>
      </w:r>
      <w:proofErr w:type="spellStart"/>
      <w:r w:rsidRPr="0001099E">
        <w:rPr>
          <w:color w:val="000000" w:themeColor="text1"/>
          <w:w w:val="110"/>
          <w:sz w:val="20"/>
          <w:szCs w:val="20"/>
          <w:lang w:val="ru-RU"/>
        </w:rPr>
        <w:t>окремих</w:t>
      </w:r>
      <w:proofErr w:type="spellEnd"/>
      <w:r w:rsidRPr="0001099E">
        <w:rPr>
          <w:color w:val="000000" w:themeColor="text1"/>
          <w:w w:val="110"/>
          <w:sz w:val="20"/>
          <w:szCs w:val="20"/>
          <w:lang w:val="ru-RU"/>
        </w:rPr>
        <w:t xml:space="preserve"> </w:t>
      </w:r>
      <w:proofErr w:type="spellStart"/>
      <w:r w:rsidRPr="0001099E">
        <w:rPr>
          <w:color w:val="000000" w:themeColor="text1"/>
          <w:w w:val="110"/>
          <w:sz w:val="20"/>
          <w:szCs w:val="20"/>
          <w:lang w:val="ru-RU"/>
        </w:rPr>
        <w:t>установах</w:t>
      </w:r>
      <w:proofErr w:type="spellEnd"/>
      <w:r w:rsidRPr="0001099E">
        <w:rPr>
          <w:color w:val="000000" w:themeColor="text1"/>
          <w:w w:val="110"/>
          <w:sz w:val="20"/>
          <w:szCs w:val="20"/>
          <w:lang w:val="ru-RU"/>
        </w:rPr>
        <w:t xml:space="preserve">, де </w:t>
      </w:r>
      <w:proofErr w:type="spellStart"/>
      <w:r w:rsidRPr="0001099E">
        <w:rPr>
          <w:color w:val="000000" w:themeColor="text1"/>
          <w:w w:val="110"/>
          <w:sz w:val="20"/>
          <w:szCs w:val="20"/>
          <w:lang w:val="ru-RU"/>
        </w:rPr>
        <w:t>обладнання</w:t>
      </w:r>
      <w:proofErr w:type="spellEnd"/>
      <w:r w:rsidRPr="0001099E">
        <w:rPr>
          <w:color w:val="000000" w:themeColor="text1"/>
          <w:w w:val="110"/>
          <w:sz w:val="20"/>
          <w:szCs w:val="20"/>
          <w:lang w:val="ru-RU"/>
        </w:rPr>
        <w:t xml:space="preserve"> </w:t>
      </w:r>
      <w:r w:rsidRPr="00BE6D3F">
        <w:rPr>
          <w:color w:val="000000" w:themeColor="text1"/>
          <w:w w:val="110"/>
          <w:sz w:val="20"/>
          <w:szCs w:val="20"/>
        </w:rPr>
        <w:t>Hain</w:t>
      </w:r>
      <w:r w:rsidRPr="0001099E">
        <w:rPr>
          <w:color w:val="000000" w:themeColor="text1"/>
          <w:w w:val="110"/>
          <w:sz w:val="20"/>
          <w:szCs w:val="20"/>
          <w:lang w:val="ru-RU"/>
        </w:rPr>
        <w:t xml:space="preserve"> </w:t>
      </w:r>
      <w:r w:rsidRPr="00BE6D3F">
        <w:rPr>
          <w:color w:val="000000" w:themeColor="text1"/>
          <w:w w:val="110"/>
          <w:sz w:val="20"/>
          <w:szCs w:val="20"/>
        </w:rPr>
        <w:t>Lifescience</w:t>
      </w:r>
      <w:r w:rsidRPr="0001099E">
        <w:rPr>
          <w:color w:val="000000" w:themeColor="text1"/>
          <w:w w:val="110"/>
          <w:sz w:val="20"/>
          <w:szCs w:val="20"/>
          <w:lang w:val="ru-RU"/>
        </w:rPr>
        <w:t xml:space="preserve"> </w:t>
      </w:r>
      <w:r w:rsidRPr="00BE6D3F">
        <w:rPr>
          <w:color w:val="000000" w:themeColor="text1"/>
          <w:w w:val="110"/>
          <w:sz w:val="20"/>
          <w:szCs w:val="20"/>
          <w:lang w:val="uk-UA"/>
        </w:rPr>
        <w:t>у</w:t>
      </w:r>
      <w:r w:rsidRPr="0001099E">
        <w:rPr>
          <w:color w:val="000000" w:themeColor="text1"/>
          <w:w w:val="110"/>
          <w:sz w:val="20"/>
          <w:szCs w:val="20"/>
          <w:lang w:val="ru-RU"/>
        </w:rPr>
        <w:t xml:space="preserve">же </w:t>
      </w:r>
      <w:proofErr w:type="spellStart"/>
      <w:r w:rsidRPr="0001099E">
        <w:rPr>
          <w:color w:val="000000" w:themeColor="text1"/>
          <w:w w:val="110"/>
          <w:sz w:val="20"/>
          <w:szCs w:val="20"/>
          <w:lang w:val="ru-RU"/>
        </w:rPr>
        <w:t>використовується</w:t>
      </w:r>
      <w:proofErr w:type="spellEnd"/>
      <w:r w:rsidRPr="0001099E">
        <w:rPr>
          <w:color w:val="000000" w:themeColor="text1"/>
          <w:w w:val="110"/>
          <w:sz w:val="20"/>
          <w:szCs w:val="20"/>
          <w:lang w:val="ru-RU"/>
        </w:rPr>
        <w:t>.</w:t>
      </w:r>
    </w:p>
    <w:p w14:paraId="536DF7A5" w14:textId="77777777" w:rsidR="0001099E" w:rsidRPr="006B6651" w:rsidRDefault="0001099E" w:rsidP="0001099E">
      <w:pPr>
        <w:spacing w:before="158"/>
        <w:ind w:right="142" w:firstLine="567"/>
        <w:jc w:val="both"/>
        <w:rPr>
          <w:color w:val="000000" w:themeColor="text1"/>
          <w:sz w:val="20"/>
          <w:szCs w:val="20"/>
          <w:lang w:val="ru-RU"/>
        </w:rPr>
      </w:pPr>
      <w:proofErr w:type="spellStart"/>
      <w:r w:rsidRPr="006B6651">
        <w:rPr>
          <w:i/>
          <w:color w:val="000000" w:themeColor="text1"/>
          <w:sz w:val="20"/>
          <w:szCs w:val="20"/>
          <w:lang w:val="ru-RU"/>
        </w:rPr>
        <w:t>Наскільки</w:t>
      </w:r>
      <w:proofErr w:type="spellEnd"/>
      <w:r w:rsidRPr="006B6651">
        <w:rPr>
          <w:i/>
          <w:color w:val="000000" w:themeColor="text1"/>
          <w:sz w:val="20"/>
          <w:szCs w:val="20"/>
          <w:lang w:val="ru-RU"/>
        </w:rPr>
        <w:t xml:space="preserve"> велик</w:t>
      </w:r>
      <w:r w:rsidRPr="00BE6D3F">
        <w:rPr>
          <w:i/>
          <w:color w:val="000000" w:themeColor="text1"/>
          <w:sz w:val="20"/>
          <w:szCs w:val="20"/>
          <w:lang w:val="uk-UA"/>
        </w:rPr>
        <w:t>і</w:t>
      </w:r>
      <w:r w:rsidRPr="006B6651">
        <w:rPr>
          <w:i/>
          <w:color w:val="000000" w:themeColor="text1"/>
          <w:sz w:val="20"/>
          <w:szCs w:val="20"/>
          <w:lang w:val="ru-RU"/>
        </w:rPr>
        <w:t xml:space="preserve"> </w:t>
      </w:r>
      <w:r w:rsidRPr="00BE6D3F">
        <w:rPr>
          <w:i/>
          <w:color w:val="000000" w:themeColor="text1"/>
          <w:sz w:val="20"/>
          <w:szCs w:val="20"/>
          <w:lang w:val="uk-UA"/>
        </w:rPr>
        <w:t>вимоги до</w:t>
      </w:r>
      <w:r w:rsidRPr="006B6651">
        <w:rPr>
          <w:i/>
          <w:color w:val="000000" w:themeColor="text1"/>
          <w:sz w:val="20"/>
          <w:szCs w:val="20"/>
          <w:lang w:val="ru-RU"/>
        </w:rPr>
        <w:t xml:space="preserve"> ресурс</w:t>
      </w:r>
      <w:r w:rsidRPr="00BE6D3F">
        <w:rPr>
          <w:i/>
          <w:color w:val="000000" w:themeColor="text1"/>
          <w:sz w:val="20"/>
          <w:szCs w:val="20"/>
          <w:lang w:val="uk-UA"/>
        </w:rPr>
        <w:t>ів</w:t>
      </w:r>
      <w:r w:rsidRPr="006B6651">
        <w:rPr>
          <w:i/>
          <w:color w:val="000000" w:themeColor="text1"/>
          <w:sz w:val="20"/>
          <w:szCs w:val="20"/>
          <w:lang w:val="ru-RU"/>
        </w:rPr>
        <w:t xml:space="preserve"> (</w:t>
      </w:r>
      <w:proofErr w:type="spellStart"/>
      <w:r w:rsidRPr="006B6651">
        <w:rPr>
          <w:i/>
          <w:color w:val="000000" w:themeColor="text1"/>
          <w:sz w:val="20"/>
          <w:szCs w:val="20"/>
          <w:lang w:val="ru-RU"/>
        </w:rPr>
        <w:t>витрати</w:t>
      </w:r>
      <w:proofErr w:type="spellEnd"/>
      <w:r w:rsidRPr="006B6651">
        <w:rPr>
          <w:i/>
          <w:color w:val="000000" w:themeColor="text1"/>
          <w:sz w:val="20"/>
          <w:szCs w:val="20"/>
          <w:lang w:val="ru-RU"/>
        </w:rPr>
        <w:t>)?</w:t>
      </w:r>
    </w:p>
    <w:p w14:paraId="3CC25AFF" w14:textId="77777777" w:rsidR="0001099E" w:rsidRPr="006B6651" w:rsidRDefault="0001099E" w:rsidP="0001099E">
      <w:pPr>
        <w:pStyle w:val="a3"/>
        <w:spacing w:before="223" w:line="276" w:lineRule="auto"/>
        <w:ind w:left="567" w:right="142"/>
        <w:jc w:val="both"/>
        <w:rPr>
          <w:color w:val="000000" w:themeColor="text1"/>
          <w:sz w:val="20"/>
          <w:szCs w:val="20"/>
          <w:lang w:val="ru-RU"/>
        </w:rPr>
      </w:pPr>
      <w:r w:rsidRPr="00BE6D3F">
        <w:rPr>
          <w:color w:val="000000" w:themeColor="text1"/>
          <w:w w:val="110"/>
          <w:sz w:val="20"/>
          <w:szCs w:val="20"/>
          <w:lang w:val="uk-UA"/>
        </w:rPr>
        <w:t>В</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опублікованих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досліджен</w:t>
      </w:r>
      <w:r w:rsidRPr="00BE6D3F">
        <w:rPr>
          <w:color w:val="000000" w:themeColor="text1"/>
          <w:w w:val="110"/>
          <w:sz w:val="20"/>
          <w:szCs w:val="20"/>
          <w:lang w:val="uk-UA"/>
        </w:rPr>
        <w:t>нях</w:t>
      </w:r>
      <w:proofErr w:type="spellEnd"/>
      <w:r w:rsidRPr="00BE6D3F">
        <w:rPr>
          <w:color w:val="000000" w:themeColor="text1"/>
          <w:w w:val="110"/>
          <w:sz w:val="20"/>
          <w:szCs w:val="20"/>
          <w:lang w:val="uk-UA"/>
        </w:rPr>
        <w:t xml:space="preserve"> не було знайдено прямих даних</w:t>
      </w:r>
      <w:r w:rsidRPr="006B6651">
        <w:rPr>
          <w:color w:val="000000" w:themeColor="text1"/>
          <w:w w:val="110"/>
          <w:sz w:val="20"/>
          <w:szCs w:val="20"/>
          <w:lang w:val="ru-RU"/>
        </w:rPr>
        <w:t xml:space="preserve"> щодо </w:t>
      </w:r>
      <w:proofErr w:type="spellStart"/>
      <w:r w:rsidRPr="006B6651">
        <w:rPr>
          <w:color w:val="000000" w:themeColor="text1"/>
          <w:w w:val="110"/>
          <w:sz w:val="20"/>
          <w:szCs w:val="20"/>
          <w:lang w:val="ru-RU"/>
        </w:rPr>
        <w:t>загальн</w:t>
      </w:r>
      <w:proofErr w:type="spellEnd"/>
      <w:r w:rsidRPr="00BE6D3F">
        <w:rPr>
          <w:color w:val="000000" w:themeColor="text1"/>
          <w:w w:val="110"/>
          <w:sz w:val="20"/>
          <w:szCs w:val="20"/>
          <w:lang w:val="uk-UA"/>
        </w:rPr>
        <w:t>ого об</w:t>
      </w:r>
      <w:r w:rsidRPr="006B6651">
        <w:rPr>
          <w:color w:val="000000" w:themeColor="text1"/>
          <w:w w:val="110"/>
          <w:sz w:val="20"/>
          <w:szCs w:val="20"/>
          <w:lang w:val="ru-RU"/>
        </w:rPr>
        <w:t>’</w:t>
      </w:r>
      <w:proofErr w:type="spellStart"/>
      <w:r w:rsidRPr="00BE6D3F">
        <w:rPr>
          <w:color w:val="000000" w:themeColor="text1"/>
          <w:w w:val="110"/>
          <w:sz w:val="20"/>
          <w:szCs w:val="20"/>
          <w:lang w:val="uk-UA"/>
        </w:rPr>
        <w:t>єму</w:t>
      </w:r>
      <w:proofErr w:type="spellEnd"/>
      <w:r w:rsidRPr="00BE6D3F">
        <w:rPr>
          <w:color w:val="000000" w:themeColor="text1"/>
          <w:w w:val="110"/>
          <w:sz w:val="20"/>
          <w:szCs w:val="20"/>
          <w:lang w:val="uk-UA"/>
        </w:rPr>
        <w:t xml:space="preserve"> </w:t>
      </w:r>
      <w:proofErr w:type="spellStart"/>
      <w:r w:rsidRPr="006B6651">
        <w:rPr>
          <w:color w:val="000000" w:themeColor="text1"/>
          <w:w w:val="110"/>
          <w:sz w:val="20"/>
          <w:szCs w:val="20"/>
          <w:lang w:val="ru-RU"/>
        </w:rPr>
        <w:t>необхідних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ресурсів</w:t>
      </w:r>
      <w:proofErr w:type="spellEnd"/>
      <w:r w:rsidRPr="006B6651">
        <w:rPr>
          <w:color w:val="000000" w:themeColor="text1"/>
          <w:w w:val="110"/>
          <w:sz w:val="20"/>
          <w:szCs w:val="20"/>
          <w:lang w:val="ru-RU"/>
        </w:rPr>
        <w:t xml:space="preserve">. </w:t>
      </w:r>
      <w:r w:rsidRPr="00BE6D3F">
        <w:rPr>
          <w:color w:val="000000" w:themeColor="text1"/>
          <w:w w:val="110"/>
          <w:sz w:val="20"/>
          <w:szCs w:val="20"/>
          <w:lang w:val="uk-UA"/>
        </w:rPr>
        <w:t>Вимоги до</w:t>
      </w:r>
      <w:r w:rsidRPr="006B6651">
        <w:rPr>
          <w:color w:val="000000" w:themeColor="text1"/>
          <w:w w:val="110"/>
          <w:sz w:val="20"/>
          <w:szCs w:val="20"/>
          <w:lang w:val="ru-RU"/>
        </w:rPr>
        <w:t xml:space="preserve"> ресурс</w:t>
      </w:r>
      <w:r w:rsidRPr="00BE6D3F">
        <w:rPr>
          <w:color w:val="000000" w:themeColor="text1"/>
          <w:w w:val="110"/>
          <w:sz w:val="20"/>
          <w:szCs w:val="20"/>
          <w:lang w:val="uk-UA"/>
        </w:rPr>
        <w:t>ів</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включа</w:t>
      </w:r>
      <w:proofErr w:type="spellEnd"/>
      <w:r w:rsidRPr="00BE6D3F">
        <w:rPr>
          <w:color w:val="000000" w:themeColor="text1"/>
          <w:w w:val="110"/>
          <w:sz w:val="20"/>
          <w:szCs w:val="20"/>
          <w:lang w:val="uk-UA"/>
        </w:rPr>
        <w:t>ю</w:t>
      </w:r>
      <w:r w:rsidRPr="006B6651">
        <w:rPr>
          <w:color w:val="000000" w:themeColor="text1"/>
          <w:w w:val="110"/>
          <w:sz w:val="20"/>
          <w:szCs w:val="20"/>
          <w:lang w:val="ru-RU"/>
        </w:rPr>
        <w:t xml:space="preserve">ть </w:t>
      </w:r>
      <w:proofErr w:type="spellStart"/>
      <w:r w:rsidRPr="006B6651">
        <w:rPr>
          <w:color w:val="000000" w:themeColor="text1"/>
          <w:w w:val="110"/>
          <w:sz w:val="20"/>
          <w:szCs w:val="20"/>
          <w:lang w:val="ru-RU"/>
        </w:rPr>
        <w:t>закупівлю</w:t>
      </w:r>
      <w:proofErr w:type="spellEnd"/>
      <w:r w:rsidRPr="006B6651">
        <w:rPr>
          <w:color w:val="000000" w:themeColor="text1"/>
          <w:w w:val="110"/>
          <w:sz w:val="20"/>
          <w:szCs w:val="20"/>
          <w:lang w:val="ru-RU"/>
        </w:rPr>
        <w:t xml:space="preserve"> тест</w:t>
      </w:r>
      <w:r w:rsidRPr="00BE6D3F">
        <w:rPr>
          <w:color w:val="000000" w:themeColor="text1"/>
          <w:w w:val="110"/>
          <w:sz w:val="20"/>
          <w:szCs w:val="20"/>
          <w:lang w:val="uk-UA"/>
        </w:rPr>
        <w:t>-</w:t>
      </w:r>
      <w:proofErr w:type="spellStart"/>
      <w:r w:rsidRPr="006B6651">
        <w:rPr>
          <w:color w:val="000000" w:themeColor="text1"/>
          <w:w w:val="110"/>
          <w:sz w:val="20"/>
          <w:szCs w:val="20"/>
          <w:lang w:val="ru-RU"/>
        </w:rPr>
        <w:t>наборів</w:t>
      </w:r>
      <w:proofErr w:type="spellEnd"/>
      <w:r w:rsidRPr="006B6651">
        <w:rPr>
          <w:color w:val="000000" w:themeColor="text1"/>
          <w:w w:val="110"/>
          <w:sz w:val="20"/>
          <w:szCs w:val="20"/>
          <w:lang w:val="ru-RU"/>
        </w:rPr>
        <w:t xml:space="preserve"> (</w:t>
      </w:r>
      <w:r w:rsidRPr="00BE6D3F">
        <w:rPr>
          <w:color w:val="000000" w:themeColor="text1"/>
          <w:w w:val="110"/>
          <w:sz w:val="20"/>
          <w:szCs w:val="20"/>
        </w:rPr>
        <w:t>LPA</w:t>
      </w:r>
      <w:r w:rsidRPr="006B6651">
        <w:rPr>
          <w:color w:val="000000" w:themeColor="text1"/>
          <w:w w:val="110"/>
          <w:sz w:val="20"/>
          <w:szCs w:val="20"/>
          <w:lang w:val="ru-RU"/>
        </w:rPr>
        <w:t xml:space="preserve"> </w:t>
      </w:r>
      <w:r w:rsidRPr="00BE6D3F">
        <w:rPr>
          <w:color w:val="000000" w:themeColor="text1"/>
          <w:w w:val="110"/>
          <w:sz w:val="20"/>
          <w:szCs w:val="20"/>
        </w:rPr>
        <w:t>Genoscholar</w:t>
      </w:r>
      <w:r w:rsidRPr="006B6651">
        <w:rPr>
          <w:color w:val="000000" w:themeColor="text1"/>
          <w:w w:val="110"/>
          <w:sz w:val="20"/>
          <w:szCs w:val="20"/>
          <w:lang w:val="ru-RU"/>
        </w:rPr>
        <w:t xml:space="preserve"> </w:t>
      </w:r>
      <w:r w:rsidRPr="00BE6D3F">
        <w:rPr>
          <w:color w:val="000000" w:themeColor="text1"/>
          <w:w w:val="110"/>
          <w:sz w:val="20"/>
          <w:szCs w:val="20"/>
        </w:rPr>
        <w:t>PZA</w:t>
      </w:r>
      <w:r w:rsidRPr="006B6651">
        <w:rPr>
          <w:color w:val="000000" w:themeColor="text1"/>
          <w:w w:val="110"/>
          <w:sz w:val="20"/>
          <w:szCs w:val="20"/>
          <w:lang w:val="ru-RU"/>
        </w:rPr>
        <w:t xml:space="preserve">: 16 </w:t>
      </w:r>
      <w:proofErr w:type="spellStart"/>
      <w:r w:rsidRPr="006B6651">
        <w:rPr>
          <w:color w:val="000000" w:themeColor="text1"/>
          <w:w w:val="110"/>
          <w:sz w:val="20"/>
          <w:szCs w:val="20"/>
          <w:lang w:val="ru-RU"/>
        </w:rPr>
        <w:t>доларів</w:t>
      </w:r>
      <w:proofErr w:type="spellEnd"/>
      <w:r w:rsidRPr="006B6651">
        <w:rPr>
          <w:color w:val="000000" w:themeColor="text1"/>
          <w:w w:val="110"/>
          <w:sz w:val="20"/>
          <w:szCs w:val="20"/>
          <w:lang w:val="ru-RU"/>
        </w:rPr>
        <w:t xml:space="preserve"> США / </w:t>
      </w:r>
      <w:proofErr w:type="spellStart"/>
      <w:r w:rsidRPr="006B6651">
        <w:rPr>
          <w:color w:val="000000" w:themeColor="text1"/>
          <w:w w:val="110"/>
          <w:sz w:val="20"/>
          <w:szCs w:val="20"/>
          <w:lang w:val="ru-RU"/>
        </w:rPr>
        <w:t>лише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витратні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матеріали</w:t>
      </w:r>
      <w:proofErr w:type="spellEnd"/>
      <w:r w:rsidRPr="006B6651">
        <w:rPr>
          <w:color w:val="000000" w:themeColor="text1"/>
          <w:w w:val="110"/>
          <w:sz w:val="20"/>
          <w:szCs w:val="20"/>
          <w:lang w:val="ru-RU"/>
        </w:rPr>
        <w:t xml:space="preserve"> для тест</w:t>
      </w:r>
      <w:r w:rsidRPr="00BE6D3F">
        <w:rPr>
          <w:color w:val="000000" w:themeColor="text1"/>
          <w:w w:val="110"/>
          <w:sz w:val="20"/>
          <w:szCs w:val="20"/>
          <w:lang w:val="uk-UA"/>
        </w:rPr>
        <w:t>-</w:t>
      </w:r>
      <w:r w:rsidRPr="006B6651">
        <w:rPr>
          <w:color w:val="000000" w:themeColor="text1"/>
          <w:w w:val="110"/>
          <w:sz w:val="20"/>
          <w:szCs w:val="20"/>
          <w:lang w:val="ru-RU"/>
        </w:rPr>
        <w:t xml:space="preserve">набору) та </w:t>
      </w:r>
      <w:proofErr w:type="spellStart"/>
      <w:r w:rsidRPr="006B6651">
        <w:rPr>
          <w:color w:val="000000" w:themeColor="text1"/>
          <w:w w:val="110"/>
          <w:sz w:val="20"/>
          <w:szCs w:val="20"/>
          <w:lang w:val="ru-RU"/>
        </w:rPr>
        <w:t>обладнання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вартість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якого</w:t>
      </w:r>
      <w:proofErr w:type="spellEnd"/>
      <w:r w:rsidRPr="006B6651">
        <w:rPr>
          <w:color w:val="000000" w:themeColor="text1"/>
          <w:w w:val="110"/>
          <w:sz w:val="20"/>
          <w:szCs w:val="20"/>
          <w:lang w:val="ru-RU"/>
        </w:rPr>
        <w:t xml:space="preserve"> становить 14 000 </w:t>
      </w:r>
      <w:proofErr w:type="spellStart"/>
      <w:r w:rsidRPr="006B6651">
        <w:rPr>
          <w:color w:val="000000" w:themeColor="text1"/>
          <w:w w:val="110"/>
          <w:sz w:val="20"/>
          <w:szCs w:val="20"/>
          <w:lang w:val="ru-RU"/>
        </w:rPr>
        <w:t>доларів</w:t>
      </w:r>
      <w:proofErr w:type="spellEnd"/>
      <w:r w:rsidRPr="006B6651">
        <w:rPr>
          <w:color w:val="000000" w:themeColor="text1"/>
          <w:w w:val="110"/>
          <w:sz w:val="20"/>
          <w:szCs w:val="20"/>
          <w:lang w:val="ru-RU"/>
        </w:rPr>
        <w:t xml:space="preserve"> США. </w:t>
      </w:r>
      <w:proofErr w:type="spellStart"/>
      <w:r w:rsidRPr="006B6651">
        <w:rPr>
          <w:color w:val="000000" w:themeColor="text1"/>
          <w:w w:val="110"/>
          <w:sz w:val="20"/>
          <w:szCs w:val="20"/>
          <w:lang w:val="ru-RU"/>
        </w:rPr>
        <w:t>Операційні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витрати</w:t>
      </w:r>
      <w:proofErr w:type="spellEnd"/>
      <w:r w:rsidRPr="006B6651">
        <w:rPr>
          <w:color w:val="000000" w:themeColor="text1"/>
          <w:w w:val="110"/>
          <w:sz w:val="20"/>
          <w:szCs w:val="20"/>
          <w:lang w:val="ru-RU"/>
        </w:rPr>
        <w:t xml:space="preserve"> часто в </w:t>
      </w:r>
      <w:proofErr w:type="spellStart"/>
      <w:r w:rsidRPr="006B6651">
        <w:rPr>
          <w:color w:val="000000" w:themeColor="text1"/>
          <w:w w:val="110"/>
          <w:sz w:val="20"/>
          <w:szCs w:val="20"/>
          <w:lang w:val="ru-RU"/>
        </w:rPr>
        <w:t>кілька</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разів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перевищують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вартість</w:t>
      </w:r>
      <w:proofErr w:type="spellEnd"/>
      <w:r w:rsidRPr="006B6651">
        <w:rPr>
          <w:color w:val="000000" w:themeColor="text1"/>
          <w:w w:val="110"/>
          <w:sz w:val="20"/>
          <w:szCs w:val="20"/>
          <w:lang w:val="ru-RU"/>
        </w:rPr>
        <w:t xml:space="preserve"> тест</w:t>
      </w:r>
      <w:r w:rsidRPr="00BE6D3F">
        <w:rPr>
          <w:color w:val="000000" w:themeColor="text1"/>
          <w:w w:val="110"/>
          <w:sz w:val="20"/>
          <w:szCs w:val="20"/>
          <w:lang w:val="uk-UA"/>
        </w:rPr>
        <w:t>-</w:t>
      </w:r>
      <w:proofErr w:type="spellStart"/>
      <w:r w:rsidRPr="006B6651">
        <w:rPr>
          <w:color w:val="000000" w:themeColor="text1"/>
          <w:w w:val="110"/>
          <w:sz w:val="20"/>
          <w:szCs w:val="20"/>
          <w:lang w:val="ru-RU"/>
        </w:rPr>
        <w:t>наборів</w:t>
      </w:r>
      <w:proofErr w:type="spellEnd"/>
      <w:r w:rsidRPr="006B6651">
        <w:rPr>
          <w:color w:val="000000" w:themeColor="text1"/>
          <w:w w:val="110"/>
          <w:sz w:val="20"/>
          <w:szCs w:val="20"/>
          <w:lang w:val="ru-RU"/>
        </w:rPr>
        <w:t xml:space="preserve"> (і </w:t>
      </w:r>
      <w:proofErr w:type="spellStart"/>
      <w:r w:rsidRPr="006B6651">
        <w:rPr>
          <w:color w:val="000000" w:themeColor="text1"/>
          <w:w w:val="110"/>
          <w:sz w:val="20"/>
          <w:szCs w:val="20"/>
          <w:lang w:val="ru-RU"/>
        </w:rPr>
        <w:t>будуть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відрізнятися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залежно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від</w:t>
      </w:r>
      <w:proofErr w:type="spellEnd"/>
      <w:r w:rsidRPr="006B6651">
        <w:rPr>
          <w:color w:val="000000" w:themeColor="text1"/>
          <w:w w:val="110"/>
          <w:sz w:val="20"/>
          <w:szCs w:val="20"/>
          <w:lang w:val="ru-RU"/>
        </w:rPr>
        <w:t xml:space="preserve"> </w:t>
      </w:r>
      <w:r>
        <w:rPr>
          <w:color w:val="000000" w:themeColor="text1"/>
          <w:w w:val="110"/>
          <w:sz w:val="20"/>
          <w:szCs w:val="20"/>
          <w:lang w:val="uk-UA"/>
        </w:rPr>
        <w:t>місця</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але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зазвичай</w:t>
      </w:r>
      <w:proofErr w:type="spellEnd"/>
      <w:r w:rsidRPr="006B6651">
        <w:rPr>
          <w:color w:val="000000" w:themeColor="text1"/>
          <w:w w:val="110"/>
          <w:sz w:val="20"/>
          <w:szCs w:val="20"/>
          <w:lang w:val="ru-RU"/>
        </w:rPr>
        <w:t xml:space="preserve"> не </w:t>
      </w:r>
      <w:r w:rsidRPr="00BE6D3F">
        <w:rPr>
          <w:color w:val="000000" w:themeColor="text1"/>
          <w:w w:val="110"/>
          <w:sz w:val="20"/>
          <w:szCs w:val="20"/>
          <w:lang w:val="uk-UA"/>
        </w:rPr>
        <w:t>беруться до уваги в розрахунках</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Компанія</w:t>
      </w:r>
      <w:proofErr w:type="spellEnd"/>
      <w:r w:rsidRPr="006B6651">
        <w:rPr>
          <w:color w:val="000000" w:themeColor="text1"/>
          <w:w w:val="110"/>
          <w:sz w:val="20"/>
          <w:szCs w:val="20"/>
          <w:lang w:val="ru-RU"/>
        </w:rPr>
        <w:t xml:space="preserve"> </w:t>
      </w:r>
      <w:r w:rsidRPr="00BE6D3F">
        <w:rPr>
          <w:color w:val="000000" w:themeColor="text1"/>
          <w:w w:val="110"/>
          <w:sz w:val="20"/>
          <w:szCs w:val="20"/>
        </w:rPr>
        <w:t>Nipro</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сподівається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що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вдасться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досягти</w:t>
      </w:r>
      <w:proofErr w:type="spellEnd"/>
      <w:r w:rsidRPr="00BE6D3F">
        <w:rPr>
          <w:color w:val="000000" w:themeColor="text1"/>
          <w:w w:val="110"/>
          <w:sz w:val="20"/>
          <w:szCs w:val="20"/>
          <w:lang w:val="uk-UA"/>
        </w:rPr>
        <w:t xml:space="preserve"> подальшого зниження вартості тестів</w:t>
      </w:r>
      <w:r w:rsidRPr="006B6651">
        <w:rPr>
          <w:color w:val="000000" w:themeColor="text1"/>
          <w:w w:val="110"/>
          <w:sz w:val="20"/>
          <w:szCs w:val="20"/>
          <w:lang w:val="ru-RU"/>
        </w:rPr>
        <w:t xml:space="preserve">, коли продукт </w:t>
      </w:r>
      <w:r w:rsidRPr="00BE6D3F">
        <w:rPr>
          <w:color w:val="000000" w:themeColor="text1"/>
          <w:w w:val="110"/>
          <w:sz w:val="20"/>
          <w:szCs w:val="20"/>
        </w:rPr>
        <w:t>Genoscholar</w:t>
      </w:r>
      <w:r w:rsidRPr="006B6651">
        <w:rPr>
          <w:color w:val="000000" w:themeColor="text1"/>
          <w:w w:val="110"/>
          <w:sz w:val="20"/>
          <w:szCs w:val="20"/>
          <w:lang w:val="ru-RU"/>
        </w:rPr>
        <w:t xml:space="preserve"> </w:t>
      </w:r>
      <w:r w:rsidRPr="00BE6D3F">
        <w:rPr>
          <w:color w:val="000000" w:themeColor="text1"/>
          <w:w w:val="110"/>
          <w:sz w:val="20"/>
          <w:szCs w:val="20"/>
        </w:rPr>
        <w:t>PZA</w:t>
      </w:r>
      <w:r w:rsidRPr="006B6651">
        <w:rPr>
          <w:color w:val="000000" w:themeColor="text1"/>
          <w:w w:val="110"/>
          <w:sz w:val="20"/>
          <w:szCs w:val="20"/>
          <w:lang w:val="ru-RU"/>
        </w:rPr>
        <w:t>-</w:t>
      </w:r>
      <w:r w:rsidRPr="00BE6D3F">
        <w:rPr>
          <w:color w:val="000000" w:themeColor="text1"/>
          <w:w w:val="110"/>
          <w:sz w:val="20"/>
          <w:szCs w:val="20"/>
        </w:rPr>
        <w:t>TB</w:t>
      </w:r>
      <w:r w:rsidRPr="006B6651">
        <w:rPr>
          <w:color w:val="000000" w:themeColor="text1"/>
          <w:w w:val="110"/>
          <w:sz w:val="20"/>
          <w:szCs w:val="20"/>
          <w:lang w:val="ru-RU"/>
        </w:rPr>
        <w:t xml:space="preserve"> </w:t>
      </w:r>
      <w:r w:rsidRPr="00BE6D3F">
        <w:rPr>
          <w:color w:val="000000" w:themeColor="text1"/>
          <w:w w:val="110"/>
          <w:sz w:val="20"/>
          <w:szCs w:val="20"/>
        </w:rPr>
        <w:t>II</w:t>
      </w:r>
      <w:r w:rsidRPr="006B6651">
        <w:rPr>
          <w:color w:val="000000" w:themeColor="text1"/>
          <w:w w:val="110"/>
          <w:sz w:val="20"/>
          <w:szCs w:val="20"/>
          <w:lang w:val="ru-RU"/>
        </w:rPr>
        <w:t xml:space="preserve"> буде </w:t>
      </w:r>
      <w:proofErr w:type="spellStart"/>
      <w:r w:rsidRPr="006B6651">
        <w:rPr>
          <w:color w:val="000000" w:themeColor="text1"/>
          <w:w w:val="110"/>
          <w:sz w:val="20"/>
          <w:szCs w:val="20"/>
          <w:lang w:val="ru-RU"/>
        </w:rPr>
        <w:t>поширюватися</w:t>
      </w:r>
      <w:proofErr w:type="spellEnd"/>
      <w:r w:rsidRPr="006B6651">
        <w:rPr>
          <w:color w:val="000000" w:themeColor="text1"/>
          <w:w w:val="110"/>
          <w:sz w:val="20"/>
          <w:szCs w:val="20"/>
          <w:lang w:val="ru-RU"/>
        </w:rPr>
        <w:t xml:space="preserve"> глобально.</w:t>
      </w:r>
    </w:p>
    <w:p w14:paraId="19BFFC8B" w14:textId="0729AB40" w:rsidR="00E05B98" w:rsidRPr="003C6DAE" w:rsidRDefault="0001099E" w:rsidP="0001099E">
      <w:pPr>
        <w:pStyle w:val="a3"/>
        <w:spacing w:before="171" w:line="297" w:lineRule="auto"/>
        <w:ind w:left="567" w:right="142"/>
        <w:jc w:val="both"/>
        <w:rPr>
          <w:lang w:val="uk-UA"/>
        </w:rPr>
      </w:pPr>
      <w:proofErr w:type="spellStart"/>
      <w:r w:rsidRPr="006B6651">
        <w:rPr>
          <w:color w:val="000000" w:themeColor="text1"/>
          <w:w w:val="110"/>
          <w:sz w:val="20"/>
          <w:szCs w:val="20"/>
          <w:lang w:val="ru-RU"/>
        </w:rPr>
        <w:t>Вартість</w:t>
      </w:r>
      <w:proofErr w:type="spellEnd"/>
      <w:r w:rsidRPr="006B6651">
        <w:rPr>
          <w:color w:val="000000" w:themeColor="text1"/>
          <w:w w:val="110"/>
          <w:sz w:val="20"/>
          <w:szCs w:val="20"/>
          <w:lang w:val="ru-RU"/>
        </w:rPr>
        <w:t xml:space="preserve"> одного тесту для </w:t>
      </w:r>
      <w:r w:rsidRPr="00BE6D3F">
        <w:rPr>
          <w:color w:val="000000" w:themeColor="text1"/>
          <w:w w:val="110"/>
          <w:sz w:val="20"/>
          <w:szCs w:val="20"/>
        </w:rPr>
        <w:t>Genotype</w:t>
      </w:r>
      <w:r w:rsidRPr="006B6651">
        <w:rPr>
          <w:color w:val="000000" w:themeColor="text1"/>
          <w:w w:val="110"/>
          <w:sz w:val="20"/>
          <w:szCs w:val="20"/>
          <w:lang w:val="ru-RU"/>
        </w:rPr>
        <w:t xml:space="preserve"> </w:t>
      </w:r>
      <w:r w:rsidRPr="00BE6D3F">
        <w:rPr>
          <w:color w:val="000000" w:themeColor="text1"/>
          <w:w w:val="110"/>
          <w:sz w:val="20"/>
          <w:szCs w:val="20"/>
        </w:rPr>
        <w:t>MTBDRsl</w:t>
      </w:r>
      <w:r w:rsidRPr="006B6651">
        <w:rPr>
          <w:color w:val="000000" w:themeColor="text1"/>
          <w:w w:val="110"/>
          <w:sz w:val="20"/>
          <w:szCs w:val="20"/>
          <w:lang w:val="ru-RU"/>
        </w:rPr>
        <w:t xml:space="preserve"> та </w:t>
      </w:r>
      <w:r w:rsidRPr="00BE6D3F">
        <w:rPr>
          <w:color w:val="000000" w:themeColor="text1"/>
          <w:w w:val="110"/>
          <w:sz w:val="20"/>
          <w:szCs w:val="20"/>
        </w:rPr>
        <w:t>MTBDRplus</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коливалася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від</w:t>
      </w:r>
      <w:proofErr w:type="spellEnd"/>
      <w:r w:rsidRPr="006B6651">
        <w:rPr>
          <w:color w:val="000000" w:themeColor="text1"/>
          <w:w w:val="110"/>
          <w:sz w:val="20"/>
          <w:szCs w:val="20"/>
          <w:lang w:val="ru-RU"/>
        </w:rPr>
        <w:t xml:space="preserve"> 23</w:t>
      </w:r>
      <w:r>
        <w:rPr>
          <w:color w:val="000000" w:themeColor="text1"/>
          <w:w w:val="110"/>
          <w:sz w:val="20"/>
          <w:szCs w:val="20"/>
          <w:lang w:val="uk-UA"/>
        </w:rPr>
        <w:t>,</w:t>
      </w:r>
      <w:r w:rsidRPr="006B6651">
        <w:rPr>
          <w:color w:val="000000" w:themeColor="text1"/>
          <w:w w:val="110"/>
          <w:sz w:val="20"/>
          <w:szCs w:val="20"/>
          <w:lang w:val="ru-RU"/>
        </w:rPr>
        <w:t xml:space="preserve">46 до 108,70 </w:t>
      </w:r>
      <w:proofErr w:type="spellStart"/>
      <w:r w:rsidRPr="006B6651">
        <w:rPr>
          <w:color w:val="000000" w:themeColor="text1"/>
          <w:w w:val="110"/>
          <w:sz w:val="20"/>
          <w:szCs w:val="20"/>
          <w:lang w:val="ru-RU"/>
        </w:rPr>
        <w:t>доларів</w:t>
      </w:r>
      <w:proofErr w:type="spellEnd"/>
      <w:r w:rsidRPr="006B6651">
        <w:rPr>
          <w:color w:val="000000" w:themeColor="text1"/>
          <w:w w:val="110"/>
          <w:sz w:val="20"/>
          <w:szCs w:val="20"/>
          <w:lang w:val="ru-RU"/>
        </w:rPr>
        <w:t xml:space="preserve"> США </w:t>
      </w:r>
      <w:r w:rsidRPr="006B6651">
        <w:rPr>
          <w:i/>
          <w:color w:val="000000" w:themeColor="text1"/>
          <w:w w:val="110"/>
          <w:sz w:val="20"/>
          <w:szCs w:val="20"/>
          <w:lang w:val="ru-RU"/>
        </w:rPr>
        <w:t>(14–15)</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причому</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вища</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вартість</w:t>
      </w:r>
      <w:proofErr w:type="spellEnd"/>
      <w:r w:rsidRPr="006B6651">
        <w:rPr>
          <w:color w:val="000000" w:themeColor="text1"/>
          <w:w w:val="110"/>
          <w:sz w:val="20"/>
          <w:szCs w:val="20"/>
          <w:lang w:val="ru-RU"/>
        </w:rPr>
        <w:t xml:space="preserve"> одного тесту </w:t>
      </w:r>
      <w:r w:rsidRPr="00BE6D3F">
        <w:rPr>
          <w:color w:val="000000" w:themeColor="text1"/>
          <w:w w:val="110"/>
          <w:sz w:val="20"/>
          <w:szCs w:val="20"/>
          <w:lang w:val="uk-UA"/>
        </w:rPr>
        <w:t>була</w:t>
      </w:r>
      <w:r w:rsidRPr="006B6651">
        <w:rPr>
          <w:color w:val="000000" w:themeColor="text1"/>
          <w:w w:val="110"/>
          <w:sz w:val="20"/>
          <w:szCs w:val="20"/>
          <w:lang w:val="ru-RU"/>
        </w:rPr>
        <w:t xml:space="preserve"> в таких </w:t>
      </w:r>
      <w:proofErr w:type="spellStart"/>
      <w:r w:rsidRPr="006B6651">
        <w:rPr>
          <w:color w:val="000000" w:themeColor="text1"/>
          <w:w w:val="110"/>
          <w:sz w:val="20"/>
          <w:szCs w:val="20"/>
          <w:lang w:val="ru-RU"/>
        </w:rPr>
        <w:t>країнах</w:t>
      </w:r>
      <w:proofErr w:type="spellEnd"/>
      <w:r w:rsidRPr="006B6651">
        <w:rPr>
          <w:color w:val="000000" w:themeColor="text1"/>
          <w:w w:val="110"/>
          <w:sz w:val="20"/>
          <w:szCs w:val="20"/>
          <w:lang w:val="ru-RU"/>
        </w:rPr>
        <w:t xml:space="preserve">, як Китай та </w:t>
      </w:r>
      <w:proofErr w:type="spellStart"/>
      <w:r w:rsidRPr="006B6651">
        <w:rPr>
          <w:color w:val="000000" w:themeColor="text1"/>
          <w:w w:val="110"/>
          <w:sz w:val="20"/>
          <w:szCs w:val="20"/>
          <w:lang w:val="ru-RU"/>
        </w:rPr>
        <w:t>Південна</w:t>
      </w:r>
      <w:proofErr w:type="spellEnd"/>
      <w:r w:rsidRPr="006B6651">
        <w:rPr>
          <w:color w:val="000000" w:themeColor="text1"/>
          <w:w w:val="110"/>
          <w:sz w:val="20"/>
          <w:szCs w:val="20"/>
          <w:lang w:val="ru-RU"/>
        </w:rPr>
        <w:t xml:space="preserve"> Африка, </w:t>
      </w:r>
      <w:r w:rsidRPr="00BE6D3F">
        <w:rPr>
          <w:color w:val="000000" w:themeColor="text1"/>
          <w:w w:val="110"/>
          <w:sz w:val="20"/>
          <w:szCs w:val="20"/>
          <w:lang w:val="uk-UA"/>
        </w:rPr>
        <w:t xml:space="preserve">що </w:t>
      </w:r>
      <w:r w:rsidRPr="006B6651">
        <w:rPr>
          <w:color w:val="000000" w:themeColor="text1"/>
          <w:w w:val="110"/>
          <w:sz w:val="20"/>
          <w:szCs w:val="20"/>
          <w:lang w:val="ru-RU"/>
        </w:rPr>
        <w:t xml:space="preserve">значною </w:t>
      </w:r>
      <w:proofErr w:type="spellStart"/>
      <w:r w:rsidRPr="006B6651">
        <w:rPr>
          <w:color w:val="000000" w:themeColor="text1"/>
          <w:w w:val="110"/>
          <w:sz w:val="20"/>
          <w:szCs w:val="20"/>
          <w:lang w:val="ru-RU"/>
        </w:rPr>
        <w:t>мірою</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зумовлен</w:t>
      </w:r>
      <w:proofErr w:type="spellEnd"/>
      <w:r w:rsidRPr="00BE6D3F">
        <w:rPr>
          <w:color w:val="000000" w:themeColor="text1"/>
          <w:w w:val="110"/>
          <w:sz w:val="20"/>
          <w:szCs w:val="20"/>
          <w:lang w:val="uk-UA"/>
        </w:rPr>
        <w:t>о</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вищими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заробітними</w:t>
      </w:r>
      <w:proofErr w:type="spellEnd"/>
      <w:r w:rsidRPr="006B6651">
        <w:rPr>
          <w:color w:val="000000" w:themeColor="text1"/>
          <w:w w:val="110"/>
          <w:sz w:val="20"/>
          <w:szCs w:val="20"/>
          <w:lang w:val="ru-RU"/>
        </w:rPr>
        <w:t xml:space="preserve"> платами персоналу та </w:t>
      </w:r>
      <w:proofErr w:type="spellStart"/>
      <w:r w:rsidRPr="006B6651">
        <w:rPr>
          <w:color w:val="000000" w:themeColor="text1"/>
          <w:w w:val="110"/>
          <w:sz w:val="20"/>
          <w:szCs w:val="20"/>
          <w:lang w:val="ru-RU"/>
        </w:rPr>
        <w:t>операційними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витратами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lang w:val="ru-RU"/>
        </w:rPr>
        <w:t>Екстраполяці</w:t>
      </w:r>
      <w:proofErr w:type="spellEnd"/>
      <w:r>
        <w:rPr>
          <w:color w:val="000000" w:themeColor="text1"/>
          <w:w w:val="110"/>
          <w:sz w:val="20"/>
          <w:lang w:val="uk-UA"/>
        </w:rPr>
        <w:t>ю</w:t>
      </w:r>
      <w:r w:rsidRPr="006B6651">
        <w:rPr>
          <w:color w:val="000000" w:themeColor="text1"/>
          <w:w w:val="110"/>
          <w:sz w:val="20"/>
          <w:lang w:val="ru-RU"/>
        </w:rPr>
        <w:t xml:space="preserve"> </w:t>
      </w:r>
      <w:r w:rsidRPr="00BE6D3F">
        <w:rPr>
          <w:color w:val="000000" w:themeColor="text1"/>
          <w:w w:val="110"/>
          <w:sz w:val="20"/>
          <w:lang w:val="uk-UA"/>
        </w:rPr>
        <w:t xml:space="preserve">даних про </w:t>
      </w:r>
      <w:proofErr w:type="spellStart"/>
      <w:r w:rsidRPr="006B6651">
        <w:rPr>
          <w:color w:val="000000" w:themeColor="text1"/>
          <w:w w:val="110"/>
          <w:sz w:val="20"/>
          <w:lang w:val="ru-RU"/>
        </w:rPr>
        <w:t>варт</w:t>
      </w:r>
      <w:r w:rsidRPr="00BE6D3F">
        <w:rPr>
          <w:color w:val="000000" w:themeColor="text1"/>
          <w:w w:val="110"/>
          <w:sz w:val="20"/>
          <w:lang w:val="uk-UA"/>
        </w:rPr>
        <w:t>ість</w:t>
      </w:r>
      <w:proofErr w:type="spellEnd"/>
      <w:r w:rsidRPr="006B6651">
        <w:rPr>
          <w:color w:val="000000" w:themeColor="text1"/>
          <w:w w:val="110"/>
          <w:sz w:val="20"/>
          <w:lang w:val="ru-RU"/>
        </w:rPr>
        <w:t xml:space="preserve"> одного тесту </w:t>
      </w:r>
      <w:r w:rsidRPr="00BE6D3F">
        <w:rPr>
          <w:color w:val="000000" w:themeColor="text1"/>
          <w:w w:val="110"/>
          <w:sz w:val="20"/>
          <w:lang w:val="uk-UA"/>
        </w:rPr>
        <w:t>для</w:t>
      </w:r>
      <w:r w:rsidRPr="006B6651">
        <w:rPr>
          <w:color w:val="000000" w:themeColor="text1"/>
          <w:w w:val="110"/>
          <w:sz w:val="20"/>
          <w:lang w:val="ru-RU"/>
        </w:rPr>
        <w:t xml:space="preserve"> </w:t>
      </w:r>
      <w:r w:rsidRPr="00BE6D3F">
        <w:rPr>
          <w:color w:val="000000" w:themeColor="text1"/>
          <w:w w:val="110"/>
          <w:sz w:val="20"/>
          <w:lang w:val="uk-UA"/>
        </w:rPr>
        <w:t>інших</w:t>
      </w:r>
      <w:r w:rsidRPr="006B6651">
        <w:rPr>
          <w:color w:val="000000" w:themeColor="text1"/>
          <w:w w:val="110"/>
          <w:sz w:val="20"/>
          <w:lang w:val="ru-RU"/>
        </w:rPr>
        <w:t xml:space="preserve"> </w:t>
      </w:r>
      <w:r w:rsidRPr="00BE6D3F">
        <w:rPr>
          <w:color w:val="000000" w:themeColor="text1"/>
          <w:w w:val="110"/>
          <w:sz w:val="20"/>
        </w:rPr>
        <w:t>LPA</w:t>
      </w:r>
      <w:r w:rsidRPr="006B6651">
        <w:rPr>
          <w:color w:val="000000" w:themeColor="text1"/>
          <w:w w:val="110"/>
          <w:sz w:val="20"/>
          <w:lang w:val="ru-RU"/>
        </w:rPr>
        <w:t xml:space="preserve"> </w:t>
      </w:r>
      <w:proofErr w:type="spellStart"/>
      <w:r w:rsidRPr="006B6651">
        <w:rPr>
          <w:color w:val="000000" w:themeColor="text1"/>
          <w:w w:val="110"/>
          <w:sz w:val="20"/>
          <w:lang w:val="ru-RU"/>
        </w:rPr>
        <w:t>слід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проводити</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обережністю</w:t>
      </w:r>
      <w:proofErr w:type="spellEnd"/>
      <w:r>
        <w:rPr>
          <w:color w:val="000000" w:themeColor="text1"/>
          <w:w w:val="110"/>
          <w:sz w:val="20"/>
          <w:lang w:val="uk-UA"/>
        </w:rPr>
        <w:t>. В</w:t>
      </w:r>
      <w:r w:rsidRPr="00BE6D3F">
        <w:rPr>
          <w:color w:val="000000" w:themeColor="text1"/>
          <w:w w:val="110"/>
          <w:sz w:val="20"/>
          <w:lang w:val="uk-UA"/>
        </w:rPr>
        <w:t>ідповідні оцінки</w:t>
      </w:r>
      <w:r w:rsidRPr="006B6651">
        <w:rPr>
          <w:color w:val="000000" w:themeColor="text1"/>
          <w:w w:val="110"/>
          <w:sz w:val="20"/>
          <w:lang w:val="ru-RU"/>
        </w:rPr>
        <w:t xml:space="preserve"> не </w:t>
      </w:r>
      <w:proofErr w:type="spellStart"/>
      <w:r w:rsidRPr="006B6651">
        <w:rPr>
          <w:color w:val="000000" w:themeColor="text1"/>
          <w:w w:val="110"/>
          <w:sz w:val="20"/>
          <w:lang w:val="ru-RU"/>
        </w:rPr>
        <w:t>призначені</w:t>
      </w:r>
      <w:proofErr w:type="spellEnd"/>
      <w:r w:rsidRPr="006B6651">
        <w:rPr>
          <w:color w:val="000000" w:themeColor="text1"/>
          <w:w w:val="110"/>
          <w:sz w:val="20"/>
          <w:lang w:val="ru-RU"/>
        </w:rPr>
        <w:t xml:space="preserve"> для прямого </w:t>
      </w:r>
      <w:proofErr w:type="spellStart"/>
      <w:r w:rsidRPr="006B6651">
        <w:rPr>
          <w:color w:val="000000" w:themeColor="text1"/>
          <w:w w:val="110"/>
          <w:sz w:val="20"/>
          <w:lang w:val="ru-RU"/>
        </w:rPr>
        <w:t>перенесення</w:t>
      </w:r>
      <w:proofErr w:type="spellEnd"/>
      <w:r w:rsidRPr="006B6651">
        <w:rPr>
          <w:color w:val="000000" w:themeColor="text1"/>
          <w:w w:val="110"/>
          <w:sz w:val="20"/>
          <w:lang w:val="ru-RU"/>
        </w:rPr>
        <w:t xml:space="preserve"> </w:t>
      </w:r>
      <w:r w:rsidRPr="00BE6D3F">
        <w:rPr>
          <w:color w:val="000000" w:themeColor="text1"/>
          <w:w w:val="110"/>
          <w:sz w:val="20"/>
          <w:lang w:val="uk-UA"/>
        </w:rPr>
        <w:t>на інші умови</w:t>
      </w:r>
      <w:r w:rsidRPr="006B6651">
        <w:rPr>
          <w:color w:val="000000" w:themeColor="text1"/>
          <w:w w:val="110"/>
          <w:sz w:val="20"/>
          <w:lang w:val="ru-RU"/>
        </w:rPr>
        <w:t xml:space="preserve">. Тим не </w:t>
      </w:r>
      <w:proofErr w:type="spellStart"/>
      <w:r w:rsidRPr="006B6651">
        <w:rPr>
          <w:color w:val="000000" w:themeColor="text1"/>
          <w:w w:val="110"/>
          <w:sz w:val="20"/>
          <w:lang w:val="ru-RU"/>
        </w:rPr>
        <w:t>менш</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ці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непрямі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свідчать</w:t>
      </w:r>
      <w:proofErr w:type="spellEnd"/>
      <w:r w:rsidRPr="006B6651">
        <w:rPr>
          <w:color w:val="000000" w:themeColor="text1"/>
          <w:w w:val="110"/>
          <w:sz w:val="20"/>
          <w:lang w:val="ru-RU"/>
        </w:rPr>
        <w:t xml:space="preserve"> про те,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загальна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вартість</w:t>
      </w:r>
      <w:proofErr w:type="spellEnd"/>
      <w:r w:rsidRPr="006B6651">
        <w:rPr>
          <w:color w:val="000000" w:themeColor="text1"/>
          <w:w w:val="110"/>
          <w:sz w:val="20"/>
          <w:lang w:val="ru-RU"/>
        </w:rPr>
        <w:t xml:space="preserve"> одного тесту </w:t>
      </w:r>
      <w:r w:rsidRPr="00BE6D3F">
        <w:rPr>
          <w:color w:val="000000" w:themeColor="text1"/>
          <w:w w:val="110"/>
          <w:sz w:val="20"/>
        </w:rPr>
        <w:t>Genoscholar</w:t>
      </w:r>
      <w:r w:rsidRPr="006B6651">
        <w:rPr>
          <w:color w:val="000000" w:themeColor="text1"/>
          <w:w w:val="110"/>
          <w:sz w:val="20"/>
          <w:lang w:val="ru-RU"/>
        </w:rPr>
        <w:t xml:space="preserve"> </w:t>
      </w:r>
      <w:r w:rsidRPr="00BE6D3F">
        <w:rPr>
          <w:color w:val="000000" w:themeColor="text1"/>
          <w:w w:val="110"/>
          <w:sz w:val="20"/>
        </w:rPr>
        <w:t>PZA</w:t>
      </w:r>
      <w:r w:rsidRPr="006B6651">
        <w:rPr>
          <w:color w:val="000000" w:themeColor="text1"/>
          <w:w w:val="110"/>
          <w:sz w:val="20"/>
          <w:lang w:val="ru-RU"/>
        </w:rPr>
        <w:t>-</w:t>
      </w:r>
      <w:r w:rsidRPr="00BE6D3F">
        <w:rPr>
          <w:color w:val="000000" w:themeColor="text1"/>
          <w:w w:val="110"/>
          <w:sz w:val="20"/>
        </w:rPr>
        <w:t>TB</w:t>
      </w:r>
      <w:r w:rsidRPr="006B6651">
        <w:rPr>
          <w:color w:val="000000" w:themeColor="text1"/>
          <w:w w:val="110"/>
          <w:sz w:val="20"/>
          <w:lang w:val="ru-RU"/>
        </w:rPr>
        <w:t xml:space="preserve"> </w:t>
      </w:r>
      <w:r w:rsidRPr="00BE6D3F">
        <w:rPr>
          <w:color w:val="000000" w:themeColor="text1"/>
          <w:w w:val="110"/>
          <w:sz w:val="20"/>
        </w:rPr>
        <w:t>II</w:t>
      </w:r>
      <w:r w:rsidRPr="006B6651">
        <w:rPr>
          <w:color w:val="000000" w:themeColor="text1"/>
          <w:w w:val="110"/>
          <w:sz w:val="20"/>
          <w:lang w:val="ru-RU"/>
        </w:rPr>
        <w:t xml:space="preserve">, </w:t>
      </w:r>
      <w:r w:rsidRPr="00BE6D3F">
        <w:rPr>
          <w:color w:val="000000" w:themeColor="text1"/>
          <w:w w:val="110"/>
          <w:sz w:val="20"/>
          <w:lang w:val="uk-UA"/>
        </w:rPr>
        <w:t>і</w:t>
      </w:r>
      <w:proofErr w:type="spellStart"/>
      <w:r w:rsidRPr="006B6651">
        <w:rPr>
          <w:color w:val="000000" w:themeColor="text1"/>
          <w:w w:val="110"/>
          <w:sz w:val="20"/>
          <w:lang w:val="ru-RU"/>
        </w:rPr>
        <w:t>мовірно</w:t>
      </w:r>
      <w:proofErr w:type="spellEnd"/>
      <w:r w:rsidRPr="006B6651">
        <w:rPr>
          <w:color w:val="000000" w:themeColor="text1"/>
          <w:w w:val="110"/>
          <w:sz w:val="20"/>
          <w:lang w:val="ru-RU"/>
        </w:rPr>
        <w:t xml:space="preserve">, у </w:t>
      </w:r>
      <w:proofErr w:type="spellStart"/>
      <w:r w:rsidRPr="006B6651">
        <w:rPr>
          <w:color w:val="000000" w:themeColor="text1"/>
          <w:w w:val="110"/>
          <w:sz w:val="20"/>
          <w:lang w:val="ru-RU"/>
        </w:rPr>
        <w:t>кілька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разів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вища</w:t>
      </w:r>
      <w:proofErr w:type="spellEnd"/>
      <w:r w:rsidRPr="006B6651">
        <w:rPr>
          <w:color w:val="000000" w:themeColor="text1"/>
          <w:w w:val="110"/>
          <w:sz w:val="20"/>
          <w:lang w:val="ru-RU"/>
        </w:rPr>
        <w:t xml:space="preserve"> за </w:t>
      </w:r>
      <w:proofErr w:type="spellStart"/>
      <w:r w:rsidRPr="006B6651">
        <w:rPr>
          <w:color w:val="000000" w:themeColor="text1"/>
          <w:w w:val="110"/>
          <w:sz w:val="20"/>
          <w:lang w:val="ru-RU"/>
        </w:rPr>
        <w:t>вартість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витратних</w:t>
      </w:r>
      <w:proofErr w:type="spellEnd"/>
      <w:r w:rsidRPr="006B6651">
        <w:rPr>
          <w:color w:val="000000" w:themeColor="text1"/>
          <w:w w:val="110"/>
          <w:sz w:val="20"/>
          <w:lang w:val="ru-RU"/>
        </w:rPr>
        <w:t xml:space="preserve"> матеріалів для одного тест</w:t>
      </w:r>
      <w:r w:rsidRPr="00BE6D3F">
        <w:rPr>
          <w:color w:val="000000" w:themeColor="text1"/>
          <w:w w:val="110"/>
          <w:sz w:val="20"/>
          <w:lang w:val="uk-UA"/>
        </w:rPr>
        <w:t>у (</w:t>
      </w:r>
      <w:r w:rsidRPr="006B6651">
        <w:rPr>
          <w:color w:val="000000" w:themeColor="text1"/>
          <w:w w:val="110"/>
          <w:sz w:val="20"/>
          <w:lang w:val="ru-RU"/>
        </w:rPr>
        <w:t xml:space="preserve">16 </w:t>
      </w:r>
      <w:proofErr w:type="spellStart"/>
      <w:r w:rsidRPr="006B6651">
        <w:rPr>
          <w:color w:val="000000" w:themeColor="text1"/>
          <w:w w:val="110"/>
          <w:sz w:val="20"/>
          <w:lang w:val="ru-RU"/>
        </w:rPr>
        <w:t>доларів</w:t>
      </w:r>
      <w:proofErr w:type="spellEnd"/>
      <w:r w:rsidRPr="006B6651">
        <w:rPr>
          <w:color w:val="000000" w:themeColor="text1"/>
          <w:w w:val="110"/>
          <w:sz w:val="20"/>
          <w:lang w:val="ru-RU"/>
        </w:rPr>
        <w:t xml:space="preserve"> США</w:t>
      </w:r>
      <w:r w:rsidRPr="00BE6D3F">
        <w:rPr>
          <w:color w:val="000000" w:themeColor="text1"/>
          <w:w w:val="110"/>
          <w:sz w:val="20"/>
          <w:lang w:val="uk-UA"/>
        </w:rPr>
        <w:t>).</w:t>
      </w:r>
    </w:p>
    <w:p w14:paraId="7548104C" w14:textId="77777777" w:rsidR="00E05B98" w:rsidRPr="003C6DAE" w:rsidRDefault="00E05B98">
      <w:pPr>
        <w:pStyle w:val="a3"/>
        <w:rPr>
          <w:sz w:val="20"/>
          <w:lang w:val="uk-UA"/>
        </w:rPr>
      </w:pPr>
    </w:p>
    <w:p w14:paraId="68A62F77" w14:textId="77777777" w:rsidR="00E05B98" w:rsidRPr="003C6DAE" w:rsidRDefault="00B01E0C">
      <w:pPr>
        <w:pStyle w:val="a3"/>
        <w:spacing w:before="61"/>
        <w:rPr>
          <w:sz w:val="20"/>
          <w:lang w:val="uk-UA"/>
        </w:rPr>
      </w:pPr>
      <w:r w:rsidRPr="003C6DAE">
        <w:rPr>
          <w:noProof/>
          <w:sz w:val="20"/>
          <w:lang w:val="uk-UA"/>
        </w:rPr>
        <mc:AlternateContent>
          <mc:Choice Requires="wps">
            <w:drawing>
              <wp:anchor distT="0" distB="0" distL="0" distR="0" simplePos="0" relativeHeight="488049152" behindDoc="1" locked="0" layoutInCell="1" allowOverlap="1" wp14:anchorId="24F7F8F1" wp14:editId="5815F6BD">
                <wp:simplePos x="0" y="0"/>
                <wp:positionH relativeFrom="page">
                  <wp:posOffset>900000</wp:posOffset>
                </wp:positionH>
                <wp:positionV relativeFrom="paragraph">
                  <wp:posOffset>198204</wp:posOffset>
                </wp:positionV>
                <wp:extent cx="1440180" cy="1270"/>
                <wp:effectExtent l="0" t="0" r="0" b="0"/>
                <wp:wrapTopAndBottom/>
                <wp:docPr id="2960" name="Graphic 2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270"/>
                        </a:xfrm>
                        <a:custGeom>
                          <a:avLst/>
                          <a:gdLst/>
                          <a:ahLst/>
                          <a:cxnLst/>
                          <a:rect l="l" t="t" r="r" b="b"/>
                          <a:pathLst>
                            <a:path w="1440180">
                              <a:moveTo>
                                <a:pt x="0" y="0"/>
                              </a:moveTo>
                              <a:lnTo>
                                <a:pt x="1440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D1C14E" id="Graphic 2960" o:spid="_x0000_s1026" style="position:absolute;margin-left:70.85pt;margin-top:15.6pt;width:113.4pt;height:.1pt;z-index:-15267328;visibility:visible;mso-wrap-style:square;mso-wrap-distance-left:0;mso-wrap-distance-top:0;mso-wrap-distance-right:0;mso-wrap-distance-bottom:0;mso-position-horizontal:absolute;mso-position-horizontal-relative:page;mso-position-vertical:absolute;mso-position-vertical-relative:text;v-text-anchor:top" coordsize="1440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" path="m,l1440002,e" filled="f" strokeweight=".5pt">
                <v:path arrowok="t"/>
                <w10:wrap type="topAndBottom" anchorx="page"/>
              </v:shape>
            </w:pict>
          </mc:Fallback>
        </mc:AlternateContent>
      </w:r>
    </w:p>
    <w:p w14:paraId="4A77CBCF" w14:textId="77777777" w:rsidR="00E05B98" w:rsidRPr="003C6DAE" w:rsidRDefault="00B01E0C">
      <w:pPr>
        <w:spacing w:before="124"/>
        <w:ind w:left="567"/>
        <w:rPr>
          <w:sz w:val="16"/>
          <w:lang w:val="uk-UA"/>
        </w:rPr>
      </w:pPr>
      <w:r w:rsidRPr="003C6DAE">
        <w:rPr>
          <w:sz w:val="16"/>
          <w:vertAlign w:val="superscript"/>
          <w:lang w:val="uk-UA"/>
        </w:rPr>
        <w:t>12</w:t>
      </w:r>
      <w:r w:rsidRPr="003C6DAE">
        <w:rPr>
          <w:spacing w:val="70"/>
          <w:sz w:val="16"/>
          <w:lang w:val="uk-UA"/>
        </w:rPr>
        <w:t xml:space="preserve"> </w:t>
      </w:r>
      <w:proofErr w:type="spellStart"/>
      <w:r w:rsidRPr="003C6DAE">
        <w:rPr>
          <w:sz w:val="16"/>
          <w:lang w:val="uk-UA"/>
        </w:rPr>
        <w:t>Leen</w:t>
      </w:r>
      <w:proofErr w:type="spellEnd"/>
      <w:r w:rsidRPr="003C6DAE">
        <w:rPr>
          <w:spacing w:val="-11"/>
          <w:sz w:val="16"/>
          <w:lang w:val="uk-UA"/>
        </w:rPr>
        <w:t xml:space="preserve"> </w:t>
      </w:r>
      <w:proofErr w:type="spellStart"/>
      <w:r w:rsidRPr="003C6DAE">
        <w:rPr>
          <w:sz w:val="16"/>
          <w:lang w:val="uk-UA"/>
        </w:rPr>
        <w:t>Rigouts</w:t>
      </w:r>
      <w:proofErr w:type="spellEnd"/>
      <w:r w:rsidRPr="003C6DAE">
        <w:rPr>
          <w:sz w:val="16"/>
          <w:lang w:val="uk-UA"/>
        </w:rPr>
        <w:t>:</w:t>
      </w:r>
      <w:r w:rsidRPr="003C6DAE">
        <w:rPr>
          <w:spacing w:val="-11"/>
          <w:sz w:val="16"/>
          <w:lang w:val="uk-UA"/>
        </w:rPr>
        <w:t xml:space="preserve"> </w:t>
      </w:r>
      <w:proofErr w:type="spellStart"/>
      <w:r w:rsidRPr="003C6DAE">
        <w:rPr>
          <w:sz w:val="16"/>
          <w:lang w:val="uk-UA"/>
        </w:rPr>
        <w:t>Validation</w:t>
      </w:r>
      <w:proofErr w:type="spellEnd"/>
      <w:r w:rsidRPr="003C6DAE">
        <w:rPr>
          <w:spacing w:val="-10"/>
          <w:sz w:val="16"/>
          <w:lang w:val="uk-UA"/>
        </w:rPr>
        <w:t xml:space="preserve"> </w:t>
      </w:r>
      <w:proofErr w:type="spellStart"/>
      <w:r w:rsidRPr="003C6DAE">
        <w:rPr>
          <w:sz w:val="16"/>
          <w:lang w:val="uk-UA"/>
        </w:rPr>
        <w:t>study</w:t>
      </w:r>
      <w:proofErr w:type="spellEnd"/>
      <w:r w:rsidRPr="003C6DAE">
        <w:rPr>
          <w:spacing w:val="-11"/>
          <w:sz w:val="16"/>
          <w:lang w:val="uk-UA"/>
        </w:rPr>
        <w:t xml:space="preserve"> </w:t>
      </w:r>
      <w:r w:rsidRPr="003C6DAE">
        <w:rPr>
          <w:sz w:val="16"/>
          <w:lang w:val="uk-UA"/>
        </w:rPr>
        <w:t>of</w:t>
      </w:r>
      <w:r w:rsidRPr="003C6DAE">
        <w:rPr>
          <w:spacing w:val="-11"/>
          <w:sz w:val="16"/>
          <w:lang w:val="uk-UA"/>
        </w:rPr>
        <w:t xml:space="preserve"> </w:t>
      </w:r>
      <w:r w:rsidRPr="003C6DAE">
        <w:rPr>
          <w:sz w:val="16"/>
          <w:lang w:val="uk-UA"/>
        </w:rPr>
        <w:t>Genoscholar</w:t>
      </w:r>
      <w:r w:rsidRPr="003C6DAE">
        <w:rPr>
          <w:spacing w:val="-10"/>
          <w:sz w:val="16"/>
          <w:lang w:val="uk-UA"/>
        </w:rPr>
        <w:t xml:space="preserve"> </w:t>
      </w:r>
      <w:r w:rsidRPr="003C6DAE">
        <w:rPr>
          <w:sz w:val="16"/>
          <w:lang w:val="uk-UA"/>
        </w:rPr>
        <w:t>PZA</w:t>
      </w:r>
      <w:r w:rsidRPr="003C6DAE">
        <w:rPr>
          <w:spacing w:val="-11"/>
          <w:sz w:val="16"/>
          <w:lang w:val="uk-UA"/>
        </w:rPr>
        <w:t xml:space="preserve"> </w:t>
      </w:r>
      <w:r w:rsidRPr="003C6DAE">
        <w:rPr>
          <w:sz w:val="16"/>
          <w:lang w:val="uk-UA"/>
        </w:rPr>
        <w:t>LPA</w:t>
      </w:r>
      <w:r w:rsidRPr="003C6DAE">
        <w:rPr>
          <w:spacing w:val="-10"/>
          <w:sz w:val="16"/>
          <w:lang w:val="uk-UA"/>
        </w:rPr>
        <w:t xml:space="preserve"> </w:t>
      </w:r>
      <w:r w:rsidRPr="003C6DAE">
        <w:rPr>
          <w:sz w:val="16"/>
          <w:lang w:val="uk-UA"/>
        </w:rPr>
        <w:t>in</w:t>
      </w:r>
      <w:r w:rsidRPr="003C6DAE">
        <w:rPr>
          <w:spacing w:val="-11"/>
          <w:sz w:val="16"/>
          <w:lang w:val="uk-UA"/>
        </w:rPr>
        <w:t xml:space="preserve"> </w:t>
      </w:r>
      <w:proofErr w:type="spellStart"/>
      <w:r w:rsidRPr="003C6DAE">
        <w:rPr>
          <w:sz w:val="16"/>
          <w:lang w:val="uk-UA"/>
        </w:rPr>
        <w:t>three</w:t>
      </w:r>
      <w:proofErr w:type="spellEnd"/>
      <w:r w:rsidRPr="003C6DAE">
        <w:rPr>
          <w:spacing w:val="-11"/>
          <w:sz w:val="16"/>
          <w:lang w:val="uk-UA"/>
        </w:rPr>
        <w:t xml:space="preserve"> </w:t>
      </w:r>
      <w:proofErr w:type="spellStart"/>
      <w:r w:rsidRPr="003C6DAE">
        <w:rPr>
          <w:sz w:val="16"/>
          <w:lang w:val="uk-UA"/>
        </w:rPr>
        <w:t>Supranational</w:t>
      </w:r>
      <w:proofErr w:type="spellEnd"/>
      <w:r w:rsidRPr="003C6DAE">
        <w:rPr>
          <w:spacing w:val="-10"/>
          <w:sz w:val="16"/>
          <w:lang w:val="uk-UA"/>
        </w:rPr>
        <w:t xml:space="preserve"> </w:t>
      </w:r>
      <w:r w:rsidRPr="003C6DAE">
        <w:rPr>
          <w:sz w:val="16"/>
          <w:lang w:val="uk-UA"/>
        </w:rPr>
        <w:t>TB</w:t>
      </w:r>
      <w:r w:rsidRPr="003C6DAE">
        <w:rPr>
          <w:spacing w:val="-11"/>
          <w:sz w:val="16"/>
          <w:lang w:val="uk-UA"/>
        </w:rPr>
        <w:t xml:space="preserve"> </w:t>
      </w:r>
      <w:r w:rsidRPr="003C6DAE">
        <w:rPr>
          <w:sz w:val="16"/>
          <w:lang w:val="uk-UA"/>
        </w:rPr>
        <w:t>Reference</w:t>
      </w:r>
      <w:r w:rsidRPr="003C6DAE">
        <w:rPr>
          <w:spacing w:val="-11"/>
          <w:sz w:val="16"/>
          <w:lang w:val="uk-UA"/>
        </w:rPr>
        <w:t xml:space="preserve"> </w:t>
      </w:r>
      <w:proofErr w:type="spellStart"/>
      <w:r w:rsidRPr="003C6DAE">
        <w:rPr>
          <w:spacing w:val="-2"/>
          <w:sz w:val="16"/>
          <w:lang w:val="uk-UA"/>
        </w:rPr>
        <w:t>Laboratories</w:t>
      </w:r>
      <w:proofErr w:type="spellEnd"/>
      <w:r w:rsidRPr="003C6DAE">
        <w:rPr>
          <w:spacing w:val="-2"/>
          <w:sz w:val="16"/>
          <w:lang w:val="uk-UA"/>
        </w:rPr>
        <w:t>.</w:t>
      </w:r>
    </w:p>
    <w:p w14:paraId="70D2AD65" w14:textId="77777777" w:rsidR="00E05B98" w:rsidRPr="003C6DAE" w:rsidRDefault="00E05B98">
      <w:pPr>
        <w:rPr>
          <w:sz w:val="16"/>
          <w:lang w:val="uk-UA"/>
        </w:rPr>
        <w:sectPr w:rsidR="00E05B98" w:rsidRPr="003C6DAE" w:rsidSect="00010C6A">
          <w:pgSz w:w="11910" w:h="16840"/>
          <w:pgMar w:top="1320" w:right="1137" w:bottom="760" w:left="850" w:header="0" w:footer="573" w:gutter="0"/>
          <w:cols w:space="720"/>
        </w:sectPr>
      </w:pPr>
    </w:p>
    <w:p w14:paraId="17F8A5A8" w14:textId="77777777" w:rsidR="0001099E" w:rsidRPr="006B6651" w:rsidRDefault="0001099E" w:rsidP="0001099E">
      <w:pPr>
        <w:pStyle w:val="a3"/>
        <w:spacing w:before="177" w:line="276" w:lineRule="auto"/>
        <w:ind w:left="567" w:right="4"/>
        <w:jc w:val="both"/>
        <w:rPr>
          <w:color w:val="000000" w:themeColor="text1"/>
          <w:w w:val="110"/>
          <w:sz w:val="20"/>
          <w:lang w:val="ru-RU"/>
        </w:rPr>
      </w:pPr>
      <w:proofErr w:type="spellStart"/>
      <w:r w:rsidRPr="006B6651">
        <w:rPr>
          <w:color w:val="000000" w:themeColor="text1"/>
          <w:w w:val="110"/>
          <w:sz w:val="20"/>
          <w:lang w:val="ru-RU"/>
        </w:rPr>
        <w:lastRenderedPageBreak/>
        <w:t>Вплив</w:t>
      </w:r>
      <w:proofErr w:type="spellEnd"/>
      <w:r w:rsidRPr="006B6651">
        <w:rPr>
          <w:color w:val="000000" w:themeColor="text1"/>
          <w:w w:val="110"/>
          <w:sz w:val="20"/>
          <w:lang w:val="ru-RU"/>
        </w:rPr>
        <w:t xml:space="preserve"> на бюджет залежатиме </w:t>
      </w:r>
      <w:proofErr w:type="spellStart"/>
      <w:r w:rsidRPr="006B6651">
        <w:rPr>
          <w:color w:val="000000" w:themeColor="text1"/>
          <w:w w:val="110"/>
          <w:sz w:val="20"/>
          <w:lang w:val="ru-RU"/>
        </w:rPr>
        <w:t>від</w:t>
      </w:r>
      <w:proofErr w:type="spellEnd"/>
      <w:r w:rsidRPr="006B6651">
        <w:rPr>
          <w:color w:val="000000" w:themeColor="text1"/>
          <w:w w:val="110"/>
          <w:sz w:val="20"/>
          <w:lang w:val="ru-RU"/>
        </w:rPr>
        <w:t xml:space="preserve"> поточного стандарту </w:t>
      </w:r>
      <w:proofErr w:type="spellStart"/>
      <w:r w:rsidRPr="006B6651">
        <w:rPr>
          <w:color w:val="000000" w:themeColor="text1"/>
          <w:w w:val="110"/>
          <w:sz w:val="20"/>
          <w:lang w:val="ru-RU"/>
        </w:rPr>
        <w:t>надання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допомоги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діагностичних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маршрутів</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шляхів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надання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допомоги</w:t>
      </w:r>
      <w:proofErr w:type="spellEnd"/>
      <w:r w:rsidRPr="006B6651">
        <w:rPr>
          <w:color w:val="000000" w:themeColor="text1"/>
          <w:w w:val="110"/>
          <w:sz w:val="20"/>
          <w:lang w:val="ru-RU"/>
        </w:rPr>
        <w:t xml:space="preserve">, а також </w:t>
      </w:r>
      <w:proofErr w:type="spellStart"/>
      <w:r w:rsidRPr="006B6651">
        <w:rPr>
          <w:color w:val="000000" w:themeColor="text1"/>
          <w:w w:val="110"/>
          <w:sz w:val="20"/>
          <w:lang w:val="ru-RU"/>
        </w:rPr>
        <w:t>пов'язаного</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цим</w:t>
      </w:r>
      <w:proofErr w:type="spellEnd"/>
      <w:r w:rsidRPr="006B6651">
        <w:rPr>
          <w:color w:val="000000" w:themeColor="text1"/>
          <w:w w:val="110"/>
          <w:sz w:val="20"/>
          <w:lang w:val="ru-RU"/>
        </w:rPr>
        <w:t xml:space="preserve"> використання </w:t>
      </w:r>
      <w:proofErr w:type="spellStart"/>
      <w:r w:rsidRPr="006B6651">
        <w:rPr>
          <w:color w:val="000000" w:themeColor="text1"/>
          <w:w w:val="110"/>
          <w:sz w:val="20"/>
          <w:lang w:val="ru-RU"/>
        </w:rPr>
        <w:t>ресурсів</w:t>
      </w:r>
      <w:proofErr w:type="spellEnd"/>
      <w:r w:rsidRPr="006B6651">
        <w:rPr>
          <w:color w:val="000000" w:themeColor="text1"/>
          <w:w w:val="110"/>
          <w:sz w:val="20"/>
          <w:lang w:val="ru-RU"/>
        </w:rPr>
        <w:t>.</w:t>
      </w:r>
    </w:p>
    <w:p w14:paraId="38F7DC86" w14:textId="77777777" w:rsidR="0001099E" w:rsidRPr="006B6651" w:rsidRDefault="0001099E" w:rsidP="0001099E">
      <w:pPr>
        <w:pStyle w:val="a3"/>
        <w:spacing w:before="177" w:line="276" w:lineRule="auto"/>
        <w:ind w:right="4" w:firstLine="567"/>
        <w:jc w:val="both"/>
        <w:rPr>
          <w:color w:val="000000" w:themeColor="text1"/>
          <w:sz w:val="20"/>
          <w:lang w:val="ru-RU"/>
        </w:rPr>
      </w:pPr>
      <w:r w:rsidRPr="006B6651">
        <w:rPr>
          <w:i/>
          <w:color w:val="000000" w:themeColor="text1"/>
          <w:sz w:val="20"/>
          <w:lang w:val="ru-RU"/>
        </w:rPr>
        <w:t xml:space="preserve">Яка </w:t>
      </w:r>
      <w:proofErr w:type="spellStart"/>
      <w:r w:rsidRPr="006B6651">
        <w:rPr>
          <w:i/>
          <w:color w:val="000000" w:themeColor="text1"/>
          <w:sz w:val="20"/>
          <w:lang w:val="ru-RU"/>
        </w:rPr>
        <w:t>достовірність</w:t>
      </w:r>
      <w:proofErr w:type="spellEnd"/>
      <w:r w:rsidRPr="006B6651">
        <w:rPr>
          <w:i/>
          <w:color w:val="000000" w:themeColor="text1"/>
          <w:sz w:val="20"/>
          <w:lang w:val="ru-RU"/>
        </w:rPr>
        <w:t xml:space="preserve"> </w:t>
      </w:r>
      <w:proofErr w:type="spellStart"/>
      <w:r w:rsidRPr="006B6651">
        <w:rPr>
          <w:i/>
          <w:color w:val="000000" w:themeColor="text1"/>
          <w:sz w:val="20"/>
          <w:lang w:val="ru-RU"/>
        </w:rPr>
        <w:t>даних</w:t>
      </w:r>
      <w:proofErr w:type="spellEnd"/>
      <w:r w:rsidRPr="006B6651">
        <w:rPr>
          <w:i/>
          <w:color w:val="000000" w:themeColor="text1"/>
          <w:sz w:val="20"/>
          <w:lang w:val="ru-RU"/>
        </w:rPr>
        <w:t xml:space="preserve"> щодо </w:t>
      </w:r>
      <w:r w:rsidRPr="00BE6D3F">
        <w:rPr>
          <w:i/>
          <w:color w:val="000000" w:themeColor="text1"/>
          <w:sz w:val="20"/>
          <w:lang w:val="uk-UA"/>
        </w:rPr>
        <w:t xml:space="preserve">вимог до ресурсів </w:t>
      </w:r>
      <w:r w:rsidRPr="006B6651">
        <w:rPr>
          <w:i/>
          <w:color w:val="000000" w:themeColor="text1"/>
          <w:sz w:val="20"/>
          <w:lang w:val="ru-RU"/>
        </w:rPr>
        <w:t>(</w:t>
      </w:r>
      <w:proofErr w:type="spellStart"/>
      <w:r w:rsidRPr="006B6651">
        <w:rPr>
          <w:i/>
          <w:color w:val="000000" w:themeColor="text1"/>
          <w:sz w:val="20"/>
          <w:lang w:val="ru-RU"/>
        </w:rPr>
        <w:t>витрат</w:t>
      </w:r>
      <w:proofErr w:type="spellEnd"/>
      <w:r w:rsidRPr="006B6651">
        <w:rPr>
          <w:i/>
          <w:color w:val="000000" w:themeColor="text1"/>
          <w:sz w:val="20"/>
          <w:lang w:val="ru-RU"/>
        </w:rPr>
        <w:t>)?</w:t>
      </w:r>
    </w:p>
    <w:p w14:paraId="17D3C6E4" w14:textId="77777777" w:rsidR="0001099E" w:rsidRPr="006B6651" w:rsidRDefault="0001099E" w:rsidP="0001099E">
      <w:pPr>
        <w:pStyle w:val="a3"/>
        <w:spacing w:before="222" w:line="276" w:lineRule="auto"/>
        <w:ind w:left="567" w:right="4"/>
        <w:jc w:val="both"/>
        <w:rPr>
          <w:color w:val="000000" w:themeColor="text1"/>
          <w:sz w:val="20"/>
          <w:lang w:val="ru-RU"/>
        </w:rPr>
      </w:pPr>
      <w:r>
        <w:rPr>
          <w:color w:val="000000" w:themeColor="text1"/>
          <w:w w:val="110"/>
          <w:sz w:val="20"/>
          <w:lang w:val="uk-UA"/>
        </w:rPr>
        <w:t>П</w:t>
      </w:r>
      <w:proofErr w:type="spellStart"/>
      <w:r w:rsidRPr="006B6651">
        <w:rPr>
          <w:color w:val="000000" w:themeColor="text1"/>
          <w:w w:val="110"/>
          <w:sz w:val="20"/>
          <w:lang w:val="ru-RU"/>
        </w:rPr>
        <w:t>ов'язані</w:t>
      </w:r>
      <w:proofErr w:type="spellEnd"/>
      <w:r w:rsidRPr="006B6651">
        <w:rPr>
          <w:color w:val="000000" w:themeColor="text1"/>
          <w:w w:val="110"/>
          <w:sz w:val="20"/>
          <w:lang w:val="ru-RU"/>
        </w:rPr>
        <w:t xml:space="preserve"> з тест</w:t>
      </w:r>
      <w:r w:rsidRPr="00BE6D3F">
        <w:rPr>
          <w:color w:val="000000" w:themeColor="text1"/>
          <w:w w:val="110"/>
          <w:sz w:val="20"/>
          <w:lang w:val="uk-UA"/>
        </w:rPr>
        <w:t>-</w:t>
      </w:r>
      <w:r w:rsidRPr="006B6651">
        <w:rPr>
          <w:color w:val="000000" w:themeColor="text1"/>
          <w:w w:val="110"/>
          <w:sz w:val="20"/>
          <w:lang w:val="ru-RU"/>
        </w:rPr>
        <w:t xml:space="preserve">наборами та </w:t>
      </w:r>
      <w:proofErr w:type="spellStart"/>
      <w:r w:rsidRPr="006B6651">
        <w:rPr>
          <w:color w:val="000000" w:themeColor="text1"/>
          <w:w w:val="110"/>
          <w:sz w:val="20"/>
          <w:lang w:val="ru-RU"/>
        </w:rPr>
        <w:t>обладнанням</w:t>
      </w:r>
      <w:proofErr w:type="spellEnd"/>
      <w:r w:rsidRPr="006B6651">
        <w:rPr>
          <w:lang w:val="ru-RU"/>
        </w:rPr>
        <w:t xml:space="preserve"> </w:t>
      </w:r>
      <w:r>
        <w:rPr>
          <w:color w:val="000000" w:themeColor="text1"/>
          <w:w w:val="110"/>
          <w:sz w:val="20"/>
          <w:lang w:val="uk-UA"/>
        </w:rPr>
        <w:t>п</w:t>
      </w:r>
      <w:proofErr w:type="spellStart"/>
      <w:r w:rsidRPr="006B6651">
        <w:rPr>
          <w:color w:val="000000" w:themeColor="text1"/>
          <w:w w:val="110"/>
          <w:sz w:val="20"/>
          <w:lang w:val="ru-RU"/>
        </w:rPr>
        <w:t>рямі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витрати</w:t>
      </w:r>
      <w:proofErr w:type="spellEnd"/>
      <w:r w:rsidRPr="006B6651">
        <w:rPr>
          <w:color w:val="000000" w:themeColor="text1"/>
          <w:w w:val="110"/>
          <w:sz w:val="20"/>
          <w:lang w:val="ru-RU"/>
        </w:rPr>
        <w:t xml:space="preserve">, </w:t>
      </w:r>
      <w:r w:rsidRPr="00BE6D3F">
        <w:rPr>
          <w:color w:val="000000" w:themeColor="text1"/>
          <w:w w:val="110"/>
          <w:sz w:val="20"/>
          <w:lang w:val="uk-UA"/>
        </w:rPr>
        <w:t>відомі</w:t>
      </w:r>
      <w:r w:rsidRPr="006B6651">
        <w:rPr>
          <w:color w:val="000000" w:themeColor="text1"/>
          <w:w w:val="110"/>
          <w:sz w:val="20"/>
          <w:lang w:val="ru-RU"/>
        </w:rPr>
        <w:t xml:space="preserve">, </w:t>
      </w:r>
      <w:r>
        <w:rPr>
          <w:color w:val="000000" w:themeColor="text1"/>
          <w:w w:val="110"/>
          <w:sz w:val="20"/>
          <w:lang w:val="uk-UA"/>
        </w:rPr>
        <w:t>але не були досліджені</w:t>
      </w:r>
      <w:r w:rsidRPr="006B6651">
        <w:rPr>
          <w:color w:val="000000" w:themeColor="text1"/>
          <w:w w:val="110"/>
          <w:sz w:val="20"/>
          <w:lang w:val="ru-RU"/>
        </w:rPr>
        <w:t xml:space="preserve"> </w:t>
      </w:r>
      <w:proofErr w:type="spellStart"/>
      <w:r w:rsidRPr="006B6651">
        <w:rPr>
          <w:color w:val="000000" w:themeColor="text1"/>
          <w:w w:val="110"/>
          <w:sz w:val="20"/>
          <w:lang w:val="ru-RU"/>
        </w:rPr>
        <w:t>декілька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важливих</w:t>
      </w:r>
      <w:proofErr w:type="spellEnd"/>
      <w:r w:rsidRPr="006B6651">
        <w:rPr>
          <w:color w:val="000000" w:themeColor="text1"/>
          <w:w w:val="110"/>
          <w:sz w:val="20"/>
          <w:lang w:val="ru-RU"/>
        </w:rPr>
        <w:t xml:space="preserve"> </w:t>
      </w:r>
      <w:r w:rsidRPr="00BE6D3F">
        <w:rPr>
          <w:color w:val="000000" w:themeColor="text1"/>
          <w:w w:val="110"/>
          <w:sz w:val="20"/>
          <w:lang w:val="uk-UA"/>
        </w:rPr>
        <w:t>аспектів стосовно</w:t>
      </w:r>
      <w:r w:rsidRPr="006B6651">
        <w:rPr>
          <w:color w:val="000000" w:themeColor="text1"/>
          <w:w w:val="110"/>
          <w:sz w:val="20"/>
          <w:lang w:val="ru-RU"/>
        </w:rPr>
        <w:t xml:space="preserve"> використання </w:t>
      </w:r>
      <w:proofErr w:type="spellStart"/>
      <w:r w:rsidRPr="006B6651">
        <w:rPr>
          <w:color w:val="000000" w:themeColor="text1"/>
          <w:w w:val="110"/>
          <w:sz w:val="20"/>
          <w:lang w:val="ru-RU"/>
        </w:rPr>
        <w:t>ресурсів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наприклад</w:t>
      </w:r>
      <w:proofErr w:type="spellEnd"/>
      <w:r w:rsidRPr="006B6651">
        <w:rPr>
          <w:color w:val="000000" w:themeColor="text1"/>
          <w:w w:val="110"/>
          <w:sz w:val="20"/>
          <w:lang w:val="ru-RU"/>
        </w:rPr>
        <w:t xml:space="preserve">, час персоналу, а також </w:t>
      </w:r>
      <w:proofErr w:type="spellStart"/>
      <w:r w:rsidRPr="006B6651">
        <w:rPr>
          <w:color w:val="000000" w:themeColor="text1"/>
          <w:w w:val="110"/>
          <w:sz w:val="20"/>
          <w:lang w:val="ru-RU"/>
        </w:rPr>
        <w:t>накладні</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операційні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пов'язані</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впровадженням</w:t>
      </w:r>
      <w:proofErr w:type="spellEnd"/>
      <w:r w:rsidRPr="006B6651">
        <w:rPr>
          <w:color w:val="000000" w:themeColor="text1"/>
          <w:w w:val="110"/>
          <w:sz w:val="20"/>
          <w:lang w:val="ru-RU"/>
        </w:rPr>
        <w:t xml:space="preserve"> </w:t>
      </w:r>
      <w:r w:rsidRPr="00BE6D3F">
        <w:rPr>
          <w:color w:val="000000" w:themeColor="text1"/>
          <w:w w:val="110"/>
          <w:sz w:val="20"/>
        </w:rPr>
        <w:t>Genoscholar</w:t>
      </w:r>
      <w:r w:rsidRPr="006B6651">
        <w:rPr>
          <w:color w:val="000000" w:themeColor="text1"/>
          <w:w w:val="110"/>
          <w:sz w:val="20"/>
          <w:lang w:val="ru-RU"/>
        </w:rPr>
        <w:t xml:space="preserve"> </w:t>
      </w:r>
      <w:r w:rsidRPr="00BE6D3F">
        <w:rPr>
          <w:color w:val="000000" w:themeColor="text1"/>
          <w:w w:val="110"/>
          <w:sz w:val="20"/>
        </w:rPr>
        <w:t>PZA</w:t>
      </w:r>
      <w:r w:rsidRPr="006B6651">
        <w:rPr>
          <w:color w:val="000000" w:themeColor="text1"/>
          <w:w w:val="110"/>
          <w:sz w:val="20"/>
          <w:lang w:val="ru-RU"/>
        </w:rPr>
        <w:t>-</w:t>
      </w:r>
      <w:r w:rsidRPr="00BE6D3F">
        <w:rPr>
          <w:color w:val="000000" w:themeColor="text1"/>
          <w:w w:val="110"/>
          <w:sz w:val="20"/>
        </w:rPr>
        <w:t>TB</w:t>
      </w:r>
      <w:r w:rsidRPr="006B6651">
        <w:rPr>
          <w:color w:val="000000" w:themeColor="text1"/>
          <w:w w:val="110"/>
          <w:sz w:val="20"/>
          <w:lang w:val="ru-RU"/>
        </w:rPr>
        <w:t xml:space="preserve"> </w:t>
      </w:r>
      <w:r w:rsidRPr="00BE6D3F">
        <w:rPr>
          <w:color w:val="000000" w:themeColor="text1"/>
          <w:w w:val="110"/>
          <w:sz w:val="20"/>
        </w:rPr>
        <w:t>II</w:t>
      </w:r>
      <w:r w:rsidRPr="006B6651">
        <w:rPr>
          <w:color w:val="000000" w:themeColor="text1"/>
          <w:w w:val="110"/>
          <w:sz w:val="20"/>
          <w:lang w:val="ru-RU"/>
        </w:rPr>
        <w:t xml:space="preserve">). </w:t>
      </w:r>
      <w:r w:rsidRPr="006B6651">
        <w:rPr>
          <w:color w:val="000000" w:themeColor="text1"/>
          <w:spacing w:val="-11"/>
          <w:w w:val="110"/>
          <w:sz w:val="20"/>
          <w:lang w:val="ru-RU"/>
        </w:rPr>
        <w:t xml:space="preserve"> </w:t>
      </w:r>
      <w:proofErr w:type="spellStart"/>
      <w:r w:rsidRPr="006B6651">
        <w:rPr>
          <w:color w:val="000000" w:themeColor="text1"/>
          <w:w w:val="110"/>
          <w:sz w:val="20"/>
          <w:lang w:val="ru-RU"/>
        </w:rPr>
        <w:t>Відмінності</w:t>
      </w:r>
      <w:proofErr w:type="spellEnd"/>
      <w:r w:rsidRPr="006B6651">
        <w:rPr>
          <w:color w:val="000000" w:themeColor="text1"/>
          <w:w w:val="110"/>
          <w:sz w:val="20"/>
          <w:lang w:val="ru-RU"/>
        </w:rPr>
        <w:t xml:space="preserve"> у </w:t>
      </w:r>
      <w:proofErr w:type="spellStart"/>
      <w:r w:rsidRPr="006B6651">
        <w:rPr>
          <w:color w:val="000000" w:themeColor="text1"/>
          <w:w w:val="110"/>
          <w:sz w:val="20"/>
          <w:lang w:val="ru-RU"/>
        </w:rPr>
        <w:t>використанні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ресурсів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між</w:t>
      </w:r>
      <w:proofErr w:type="spellEnd"/>
      <w:r w:rsidRPr="006B6651">
        <w:rPr>
          <w:color w:val="000000" w:themeColor="text1"/>
          <w:w w:val="110"/>
          <w:sz w:val="20"/>
          <w:lang w:val="ru-RU"/>
        </w:rPr>
        <w:t xml:space="preserve"> </w:t>
      </w:r>
      <w:r w:rsidRPr="00BE6D3F">
        <w:rPr>
          <w:color w:val="000000" w:themeColor="text1"/>
          <w:w w:val="110"/>
          <w:sz w:val="20"/>
        </w:rPr>
        <w:t>Genoscholar</w:t>
      </w:r>
      <w:r w:rsidRPr="006B6651">
        <w:rPr>
          <w:color w:val="000000" w:themeColor="text1"/>
          <w:w w:val="110"/>
          <w:sz w:val="20"/>
          <w:lang w:val="ru-RU"/>
        </w:rPr>
        <w:t xml:space="preserve"> </w:t>
      </w:r>
      <w:r w:rsidRPr="00BE6D3F">
        <w:rPr>
          <w:color w:val="000000" w:themeColor="text1"/>
          <w:w w:val="110"/>
          <w:sz w:val="20"/>
        </w:rPr>
        <w:t>PZA</w:t>
      </w:r>
      <w:r w:rsidRPr="006B6651">
        <w:rPr>
          <w:color w:val="000000" w:themeColor="text1"/>
          <w:w w:val="110"/>
          <w:sz w:val="20"/>
          <w:lang w:val="ru-RU"/>
        </w:rPr>
        <w:t>-</w:t>
      </w:r>
      <w:r w:rsidRPr="00BE6D3F">
        <w:rPr>
          <w:color w:val="000000" w:themeColor="text1"/>
          <w:w w:val="110"/>
          <w:sz w:val="20"/>
        </w:rPr>
        <w:t>TB</w:t>
      </w:r>
      <w:r w:rsidRPr="006B6651">
        <w:rPr>
          <w:color w:val="000000" w:themeColor="text1"/>
          <w:w w:val="110"/>
          <w:sz w:val="20"/>
          <w:lang w:val="ru-RU"/>
        </w:rPr>
        <w:t xml:space="preserve"> </w:t>
      </w:r>
      <w:r w:rsidRPr="00BE6D3F">
        <w:rPr>
          <w:color w:val="000000" w:themeColor="text1"/>
          <w:w w:val="110"/>
          <w:sz w:val="20"/>
        </w:rPr>
        <w:t>II</w:t>
      </w:r>
      <w:r w:rsidRPr="006B6651">
        <w:rPr>
          <w:color w:val="000000" w:themeColor="text1"/>
          <w:w w:val="110"/>
          <w:sz w:val="20"/>
          <w:lang w:val="ru-RU"/>
        </w:rPr>
        <w:t xml:space="preserve"> та </w:t>
      </w:r>
      <w:r w:rsidRPr="00BE6D3F">
        <w:rPr>
          <w:color w:val="000000" w:themeColor="text1"/>
          <w:w w:val="110"/>
          <w:sz w:val="20"/>
          <w:lang w:val="uk-UA"/>
        </w:rPr>
        <w:t>наявними</w:t>
      </w:r>
      <w:r w:rsidRPr="006B6651">
        <w:rPr>
          <w:color w:val="000000" w:themeColor="text1"/>
          <w:w w:val="110"/>
          <w:sz w:val="20"/>
          <w:lang w:val="ru-RU"/>
        </w:rPr>
        <w:t xml:space="preserve"> </w:t>
      </w:r>
      <w:proofErr w:type="spellStart"/>
      <w:r w:rsidRPr="006B6651">
        <w:rPr>
          <w:color w:val="000000" w:themeColor="text1"/>
          <w:w w:val="110"/>
          <w:sz w:val="20"/>
          <w:lang w:val="ru-RU"/>
        </w:rPr>
        <w:t>підходами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будуть</w:t>
      </w:r>
      <w:proofErr w:type="spellEnd"/>
      <w:r w:rsidRPr="006B6651">
        <w:rPr>
          <w:color w:val="000000" w:themeColor="text1"/>
          <w:w w:val="110"/>
          <w:sz w:val="20"/>
          <w:lang w:val="ru-RU"/>
        </w:rPr>
        <w:t xml:space="preserve"> </w:t>
      </w:r>
      <w:r w:rsidRPr="00BE6D3F">
        <w:rPr>
          <w:color w:val="000000" w:themeColor="text1"/>
          <w:w w:val="110"/>
          <w:sz w:val="20"/>
          <w:lang w:val="uk-UA"/>
        </w:rPr>
        <w:t>залежати</w:t>
      </w:r>
      <w:r w:rsidRPr="006B6651">
        <w:rPr>
          <w:color w:val="000000" w:themeColor="text1"/>
          <w:w w:val="110"/>
          <w:sz w:val="20"/>
          <w:lang w:val="ru-RU"/>
        </w:rPr>
        <w:t xml:space="preserve"> </w:t>
      </w:r>
      <w:proofErr w:type="spellStart"/>
      <w:r w:rsidRPr="006B6651">
        <w:rPr>
          <w:color w:val="000000" w:themeColor="text1"/>
          <w:w w:val="110"/>
          <w:sz w:val="20"/>
          <w:lang w:val="ru-RU"/>
        </w:rPr>
        <w:t>від</w:t>
      </w:r>
      <w:proofErr w:type="spellEnd"/>
      <w:r w:rsidRPr="006B6651">
        <w:rPr>
          <w:color w:val="000000" w:themeColor="text1"/>
          <w:w w:val="110"/>
          <w:sz w:val="20"/>
          <w:lang w:val="ru-RU"/>
        </w:rPr>
        <w:t xml:space="preserve"> </w:t>
      </w:r>
      <w:r>
        <w:rPr>
          <w:color w:val="000000" w:themeColor="text1"/>
          <w:w w:val="110"/>
          <w:sz w:val="20"/>
          <w:lang w:val="uk-UA"/>
        </w:rPr>
        <w:t>місць</w:t>
      </w:r>
      <w:r w:rsidRPr="006B6651">
        <w:rPr>
          <w:color w:val="000000" w:themeColor="text1"/>
          <w:w w:val="110"/>
          <w:sz w:val="20"/>
          <w:lang w:val="ru-RU"/>
        </w:rPr>
        <w:t xml:space="preserve">, </w:t>
      </w:r>
      <w:r>
        <w:rPr>
          <w:color w:val="000000" w:themeColor="text1"/>
          <w:w w:val="110"/>
          <w:sz w:val="20"/>
          <w:lang w:val="uk-UA"/>
        </w:rPr>
        <w:t>де</w:t>
      </w:r>
      <w:r w:rsidRPr="006B6651">
        <w:rPr>
          <w:color w:val="000000" w:themeColor="text1"/>
          <w:w w:val="110"/>
          <w:sz w:val="20"/>
          <w:lang w:val="ru-RU"/>
        </w:rPr>
        <w:t xml:space="preserve"> </w:t>
      </w:r>
      <w:proofErr w:type="spellStart"/>
      <w:r w:rsidRPr="006B6651">
        <w:rPr>
          <w:color w:val="000000" w:themeColor="text1"/>
          <w:w w:val="110"/>
          <w:sz w:val="20"/>
          <w:lang w:val="ru-RU"/>
        </w:rPr>
        <w:t>використовують</w:t>
      </w:r>
      <w:proofErr w:type="spellEnd"/>
      <w:r w:rsidRPr="00BE6D3F">
        <w:rPr>
          <w:color w:val="000000" w:themeColor="text1"/>
          <w:w w:val="110"/>
          <w:sz w:val="20"/>
          <w:lang w:val="uk-UA"/>
        </w:rPr>
        <w:t>ся</w:t>
      </w:r>
      <w:r w:rsidRPr="006B6651">
        <w:rPr>
          <w:color w:val="000000" w:themeColor="text1"/>
          <w:w w:val="110"/>
          <w:sz w:val="20"/>
          <w:lang w:val="ru-RU"/>
        </w:rPr>
        <w:t xml:space="preserve"> </w:t>
      </w:r>
      <w:proofErr w:type="spellStart"/>
      <w:r w:rsidRPr="006B6651">
        <w:rPr>
          <w:color w:val="000000" w:themeColor="text1"/>
          <w:w w:val="110"/>
          <w:sz w:val="20"/>
          <w:lang w:val="ru-RU"/>
        </w:rPr>
        <w:t>різні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методи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фенотипного</w:t>
      </w:r>
      <w:proofErr w:type="spellEnd"/>
      <w:r w:rsidRPr="006B6651">
        <w:rPr>
          <w:color w:val="000000" w:themeColor="text1"/>
          <w:w w:val="110"/>
          <w:sz w:val="20"/>
          <w:lang w:val="ru-RU"/>
        </w:rPr>
        <w:t xml:space="preserve"> та генотип</w:t>
      </w:r>
      <w:proofErr w:type="spellStart"/>
      <w:r>
        <w:rPr>
          <w:color w:val="000000" w:themeColor="text1"/>
          <w:w w:val="110"/>
          <w:sz w:val="20"/>
          <w:lang w:val="uk-UA"/>
        </w:rPr>
        <w:t>ов</w:t>
      </w:r>
      <w:proofErr w:type="spellEnd"/>
      <w:r w:rsidRPr="006B6651">
        <w:rPr>
          <w:color w:val="000000" w:themeColor="text1"/>
          <w:w w:val="110"/>
          <w:sz w:val="20"/>
          <w:lang w:val="ru-RU"/>
        </w:rPr>
        <w:t>о</w:t>
      </w:r>
      <w:r>
        <w:rPr>
          <w:color w:val="000000" w:themeColor="text1"/>
          <w:w w:val="110"/>
          <w:sz w:val="20"/>
          <w:lang w:val="uk-UA"/>
        </w:rPr>
        <w:t>го</w:t>
      </w:r>
      <w:r w:rsidRPr="006B6651">
        <w:rPr>
          <w:color w:val="000000" w:themeColor="text1"/>
          <w:w w:val="110"/>
          <w:sz w:val="20"/>
          <w:lang w:val="ru-RU"/>
        </w:rPr>
        <w:t xml:space="preserve"> </w:t>
      </w:r>
      <w:r w:rsidRPr="00BE6D3F">
        <w:rPr>
          <w:color w:val="000000" w:themeColor="text1"/>
          <w:w w:val="110"/>
          <w:sz w:val="20"/>
          <w:lang w:val="uk-UA"/>
        </w:rPr>
        <w:t>ТМЧ</w:t>
      </w:r>
      <w:r w:rsidRPr="006B6651">
        <w:rPr>
          <w:color w:val="000000" w:themeColor="text1"/>
          <w:w w:val="110"/>
          <w:sz w:val="20"/>
          <w:lang w:val="ru-RU"/>
        </w:rPr>
        <w:t>.</w:t>
      </w:r>
      <w:r w:rsidRPr="00BE6D3F">
        <w:rPr>
          <w:color w:val="000000" w:themeColor="text1"/>
          <w:w w:val="110"/>
          <w:sz w:val="20"/>
          <w:lang w:val="uk-UA"/>
        </w:rPr>
        <w:t xml:space="preserve"> </w:t>
      </w:r>
      <w:r w:rsidRPr="006B6651">
        <w:rPr>
          <w:color w:val="000000" w:themeColor="text1"/>
          <w:w w:val="110"/>
          <w:sz w:val="20"/>
          <w:lang w:val="ru-RU"/>
        </w:rPr>
        <w:t xml:space="preserve">Також </w:t>
      </w:r>
      <w:proofErr w:type="spellStart"/>
      <w:r w:rsidRPr="006B6651">
        <w:rPr>
          <w:color w:val="000000" w:themeColor="text1"/>
          <w:w w:val="110"/>
          <w:sz w:val="20"/>
          <w:lang w:val="ru-RU"/>
        </w:rPr>
        <w:t>існує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значна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варіабельність</w:t>
      </w:r>
      <w:proofErr w:type="spellEnd"/>
      <w:r w:rsidRPr="006B6651">
        <w:rPr>
          <w:color w:val="000000" w:themeColor="text1"/>
          <w:w w:val="110"/>
          <w:sz w:val="20"/>
          <w:lang w:val="ru-RU"/>
        </w:rPr>
        <w:t xml:space="preserve"> у </w:t>
      </w:r>
      <w:proofErr w:type="spellStart"/>
      <w:r w:rsidRPr="006B6651">
        <w:rPr>
          <w:color w:val="000000" w:themeColor="text1"/>
          <w:w w:val="110"/>
          <w:sz w:val="20"/>
          <w:lang w:val="ru-RU"/>
        </w:rPr>
        <w:t>витратах</w:t>
      </w:r>
      <w:proofErr w:type="spellEnd"/>
      <w:r w:rsidRPr="006B6651">
        <w:rPr>
          <w:color w:val="000000" w:themeColor="text1"/>
          <w:w w:val="110"/>
          <w:sz w:val="20"/>
          <w:lang w:val="ru-RU"/>
        </w:rPr>
        <w:t xml:space="preserve"> на час персоналу та </w:t>
      </w:r>
      <w:proofErr w:type="spellStart"/>
      <w:r w:rsidRPr="006B6651">
        <w:rPr>
          <w:color w:val="000000" w:themeColor="text1"/>
          <w:w w:val="110"/>
          <w:sz w:val="20"/>
          <w:lang w:val="ru-RU"/>
        </w:rPr>
        <w:t>операційних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витратах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наприклад</w:t>
      </w:r>
      <w:proofErr w:type="spellEnd"/>
      <w:r w:rsidRPr="006B6651">
        <w:rPr>
          <w:color w:val="000000" w:themeColor="text1"/>
          <w:w w:val="110"/>
          <w:sz w:val="20"/>
          <w:lang w:val="ru-RU"/>
        </w:rPr>
        <w:t xml:space="preserve">, </w:t>
      </w:r>
      <w:r w:rsidRPr="00BE6D3F">
        <w:rPr>
          <w:color w:val="000000" w:themeColor="text1"/>
          <w:w w:val="110"/>
          <w:sz w:val="20"/>
          <w:lang w:val="uk-UA"/>
        </w:rPr>
        <w:t xml:space="preserve">залежно від </w:t>
      </w:r>
      <w:proofErr w:type="spellStart"/>
      <w:r w:rsidRPr="006B6651">
        <w:rPr>
          <w:color w:val="000000" w:themeColor="text1"/>
          <w:w w:val="110"/>
          <w:sz w:val="20"/>
          <w:lang w:val="ru-RU"/>
        </w:rPr>
        <w:t>обсяг</w:t>
      </w:r>
      <w:proofErr w:type="spellEnd"/>
      <w:r w:rsidRPr="00BE6D3F">
        <w:rPr>
          <w:color w:val="000000" w:themeColor="text1"/>
          <w:w w:val="110"/>
          <w:sz w:val="20"/>
          <w:lang w:val="uk-UA"/>
        </w:rPr>
        <w:t>у</w:t>
      </w:r>
      <w:r w:rsidRPr="006B6651">
        <w:rPr>
          <w:color w:val="000000" w:themeColor="text1"/>
          <w:w w:val="110"/>
          <w:sz w:val="20"/>
          <w:lang w:val="ru-RU"/>
        </w:rPr>
        <w:t xml:space="preserve"> </w:t>
      </w:r>
      <w:proofErr w:type="spellStart"/>
      <w:r w:rsidRPr="006B6651">
        <w:rPr>
          <w:color w:val="000000" w:themeColor="text1"/>
          <w:w w:val="110"/>
          <w:sz w:val="20"/>
          <w:lang w:val="ru-RU"/>
        </w:rPr>
        <w:t>тестування</w:t>
      </w:r>
      <w:proofErr w:type="spellEnd"/>
      <w:r w:rsidRPr="006B6651">
        <w:rPr>
          <w:color w:val="000000" w:themeColor="text1"/>
          <w:w w:val="110"/>
          <w:sz w:val="20"/>
          <w:lang w:val="ru-RU"/>
        </w:rPr>
        <w:t xml:space="preserve">) </w:t>
      </w:r>
      <w:r w:rsidRPr="00BE6D3F">
        <w:rPr>
          <w:color w:val="000000" w:themeColor="text1"/>
          <w:w w:val="110"/>
          <w:sz w:val="20"/>
          <w:lang w:val="uk-UA"/>
        </w:rPr>
        <w:t xml:space="preserve">в різних </w:t>
      </w:r>
      <w:r>
        <w:rPr>
          <w:color w:val="000000" w:themeColor="text1"/>
          <w:w w:val="110"/>
          <w:sz w:val="20"/>
          <w:lang w:val="uk-UA"/>
        </w:rPr>
        <w:t>місцях</w:t>
      </w:r>
      <w:r w:rsidRPr="006B6651">
        <w:rPr>
          <w:color w:val="000000" w:themeColor="text1"/>
          <w:w w:val="110"/>
          <w:sz w:val="20"/>
          <w:lang w:val="ru-RU"/>
        </w:rPr>
        <w:t>.</w:t>
      </w:r>
    </w:p>
    <w:p w14:paraId="3281D3DF" w14:textId="77777777" w:rsidR="0001099E" w:rsidRPr="006B6651" w:rsidRDefault="0001099E" w:rsidP="0001099E">
      <w:pPr>
        <w:pStyle w:val="a3"/>
        <w:spacing w:before="222" w:line="276" w:lineRule="auto"/>
        <w:ind w:left="567" w:right="4"/>
        <w:jc w:val="both"/>
        <w:rPr>
          <w:color w:val="000000" w:themeColor="text1"/>
          <w:w w:val="110"/>
          <w:sz w:val="20"/>
          <w:lang w:val="ru-RU"/>
        </w:rPr>
      </w:pPr>
      <w:r w:rsidRPr="00BE6D3F">
        <w:rPr>
          <w:rStyle w:val="ng-star-inserted"/>
          <w:bCs/>
          <w:i/>
          <w:color w:val="000000" w:themeColor="text1"/>
          <w:sz w:val="20"/>
          <w:shd w:val="clear" w:color="auto" w:fill="FFFFFF"/>
          <w:lang w:val="uk-UA"/>
        </w:rPr>
        <w:t>Е</w:t>
      </w:r>
      <w:proofErr w:type="spellStart"/>
      <w:r w:rsidRPr="006B6651">
        <w:rPr>
          <w:rStyle w:val="ng-star-inserted"/>
          <w:bCs/>
          <w:i/>
          <w:color w:val="000000" w:themeColor="text1"/>
          <w:sz w:val="20"/>
          <w:shd w:val="clear" w:color="auto" w:fill="FFFFFF"/>
          <w:lang w:val="ru-RU"/>
        </w:rPr>
        <w:t>кономічна</w:t>
      </w:r>
      <w:proofErr w:type="spellEnd"/>
      <w:r w:rsidRPr="006B6651">
        <w:rPr>
          <w:rStyle w:val="ng-star-inserted"/>
          <w:bCs/>
          <w:i/>
          <w:color w:val="000000" w:themeColor="text1"/>
          <w:sz w:val="20"/>
          <w:shd w:val="clear" w:color="auto" w:fill="FFFFFF"/>
          <w:lang w:val="ru-RU"/>
        </w:rPr>
        <w:t xml:space="preserve"> </w:t>
      </w:r>
      <w:proofErr w:type="spellStart"/>
      <w:r w:rsidRPr="006B6651">
        <w:rPr>
          <w:rStyle w:val="ng-star-inserted"/>
          <w:bCs/>
          <w:i/>
          <w:color w:val="000000" w:themeColor="text1"/>
          <w:sz w:val="20"/>
          <w:shd w:val="clear" w:color="auto" w:fill="FFFFFF"/>
          <w:lang w:val="ru-RU"/>
        </w:rPr>
        <w:t>ефективність</w:t>
      </w:r>
      <w:proofErr w:type="spellEnd"/>
      <w:r w:rsidRPr="006B6651">
        <w:rPr>
          <w:rStyle w:val="ng-star-inserted"/>
          <w:bCs/>
          <w:i/>
          <w:color w:val="000000" w:themeColor="text1"/>
          <w:sz w:val="20"/>
          <w:shd w:val="clear" w:color="auto" w:fill="FFFFFF"/>
          <w:lang w:val="ru-RU"/>
        </w:rPr>
        <w:t xml:space="preserve"> </w:t>
      </w:r>
      <w:r>
        <w:rPr>
          <w:rStyle w:val="ng-star-inserted"/>
          <w:bCs/>
          <w:i/>
          <w:color w:val="000000" w:themeColor="text1"/>
          <w:sz w:val="20"/>
          <w:shd w:val="clear" w:color="auto" w:fill="FFFFFF"/>
          <w:lang w:val="uk-UA"/>
        </w:rPr>
        <w:t>інтервенції</w:t>
      </w:r>
      <w:r w:rsidRPr="006B6651">
        <w:rPr>
          <w:rStyle w:val="ng-star-inserted"/>
          <w:bCs/>
          <w:i/>
          <w:color w:val="000000" w:themeColor="text1"/>
          <w:sz w:val="20"/>
          <w:shd w:val="clear" w:color="auto" w:fill="FFFFFF"/>
          <w:lang w:val="ru-RU"/>
        </w:rPr>
        <w:t xml:space="preserve"> </w:t>
      </w:r>
      <w:proofErr w:type="spellStart"/>
      <w:r w:rsidRPr="006B6651">
        <w:rPr>
          <w:rStyle w:val="ng-star-inserted"/>
          <w:bCs/>
          <w:i/>
          <w:color w:val="000000" w:themeColor="text1"/>
          <w:sz w:val="20"/>
          <w:shd w:val="clear" w:color="auto" w:fill="FFFFFF"/>
          <w:lang w:val="ru-RU"/>
        </w:rPr>
        <w:t>свідчить</w:t>
      </w:r>
      <w:proofErr w:type="spellEnd"/>
      <w:r w:rsidRPr="006B6651">
        <w:rPr>
          <w:rStyle w:val="ng-star-inserted"/>
          <w:bCs/>
          <w:i/>
          <w:color w:val="000000" w:themeColor="text1"/>
          <w:sz w:val="20"/>
          <w:shd w:val="clear" w:color="auto" w:fill="FFFFFF"/>
          <w:lang w:val="ru-RU"/>
        </w:rPr>
        <w:t xml:space="preserve"> на користь ц</w:t>
      </w:r>
      <w:proofErr w:type="spellStart"/>
      <w:r>
        <w:rPr>
          <w:rStyle w:val="ng-star-inserted"/>
          <w:bCs/>
          <w:i/>
          <w:color w:val="000000" w:themeColor="text1"/>
          <w:sz w:val="20"/>
          <w:shd w:val="clear" w:color="auto" w:fill="FFFFFF"/>
          <w:lang w:val="uk-UA"/>
        </w:rPr>
        <w:t>ієї</w:t>
      </w:r>
      <w:proofErr w:type="spellEnd"/>
      <w:r w:rsidRPr="006B6651">
        <w:rPr>
          <w:rStyle w:val="ng-star-inserted"/>
          <w:bCs/>
          <w:i/>
          <w:color w:val="000000" w:themeColor="text1"/>
          <w:sz w:val="20"/>
          <w:shd w:val="clear" w:color="auto" w:fill="FFFFFF"/>
          <w:lang w:val="ru-RU"/>
        </w:rPr>
        <w:t xml:space="preserve"> </w:t>
      </w:r>
      <w:r>
        <w:rPr>
          <w:rStyle w:val="ng-star-inserted"/>
          <w:bCs/>
          <w:i/>
          <w:color w:val="000000" w:themeColor="text1"/>
          <w:sz w:val="20"/>
          <w:shd w:val="clear" w:color="auto" w:fill="FFFFFF"/>
          <w:lang w:val="uk-UA"/>
        </w:rPr>
        <w:t>інтервенції</w:t>
      </w:r>
      <w:r w:rsidRPr="006B6651">
        <w:rPr>
          <w:rStyle w:val="ng-star-inserted"/>
          <w:bCs/>
          <w:i/>
          <w:color w:val="000000" w:themeColor="text1"/>
          <w:sz w:val="20"/>
          <w:shd w:val="clear" w:color="auto" w:fill="FFFFFF"/>
          <w:lang w:val="ru-RU"/>
        </w:rPr>
        <w:t xml:space="preserve"> </w:t>
      </w:r>
      <w:proofErr w:type="spellStart"/>
      <w:r w:rsidRPr="006B6651">
        <w:rPr>
          <w:rStyle w:val="ng-star-inserted"/>
          <w:bCs/>
          <w:i/>
          <w:color w:val="000000" w:themeColor="text1"/>
          <w:sz w:val="20"/>
          <w:shd w:val="clear" w:color="auto" w:fill="FFFFFF"/>
          <w:lang w:val="ru-RU"/>
        </w:rPr>
        <w:t>чи</w:t>
      </w:r>
      <w:proofErr w:type="spellEnd"/>
      <w:r w:rsidRPr="006B6651">
        <w:rPr>
          <w:rStyle w:val="ng-star-inserted"/>
          <w:bCs/>
          <w:i/>
          <w:color w:val="000000" w:themeColor="text1"/>
          <w:sz w:val="20"/>
          <w:shd w:val="clear" w:color="auto" w:fill="FFFFFF"/>
          <w:lang w:val="ru-RU"/>
        </w:rPr>
        <w:t xml:space="preserve"> </w:t>
      </w:r>
      <w:proofErr w:type="spellStart"/>
      <w:r w:rsidRPr="006B6651">
        <w:rPr>
          <w:rStyle w:val="ng-star-inserted"/>
          <w:bCs/>
          <w:i/>
          <w:color w:val="000000" w:themeColor="text1"/>
          <w:sz w:val="20"/>
          <w:shd w:val="clear" w:color="auto" w:fill="FFFFFF"/>
          <w:lang w:val="ru-RU"/>
        </w:rPr>
        <w:t>порівнюваного</w:t>
      </w:r>
      <w:proofErr w:type="spellEnd"/>
      <w:r w:rsidRPr="006B6651">
        <w:rPr>
          <w:rStyle w:val="ng-star-inserted"/>
          <w:bCs/>
          <w:i/>
          <w:color w:val="000000" w:themeColor="text1"/>
          <w:sz w:val="20"/>
          <w:shd w:val="clear" w:color="auto" w:fill="FFFFFF"/>
          <w:lang w:val="ru-RU"/>
        </w:rPr>
        <w:t xml:space="preserve"> методу?</w:t>
      </w:r>
      <w:r w:rsidRPr="00BE6D3F">
        <w:rPr>
          <w:rStyle w:val="ng-star-inserted"/>
          <w:rFonts w:ascii="Arial" w:hAnsi="Arial" w:cs="Arial"/>
          <w:b/>
          <w:bCs/>
          <w:color w:val="000000" w:themeColor="text1"/>
          <w:sz w:val="20"/>
          <w:szCs w:val="21"/>
          <w:shd w:val="clear" w:color="auto" w:fill="FFFFFF"/>
          <w:lang w:val="uk-UA"/>
        </w:rPr>
        <w:t xml:space="preserve"> </w:t>
      </w:r>
    </w:p>
    <w:p w14:paraId="39A9F0F2" w14:textId="77777777" w:rsidR="0001099E" w:rsidRPr="006B6651" w:rsidRDefault="0001099E" w:rsidP="0001099E">
      <w:pPr>
        <w:pStyle w:val="a3"/>
        <w:spacing w:before="222" w:line="276" w:lineRule="auto"/>
        <w:ind w:left="567" w:right="4"/>
        <w:jc w:val="both"/>
        <w:rPr>
          <w:color w:val="000000" w:themeColor="text1"/>
          <w:sz w:val="20"/>
          <w:lang w:val="ru-RU"/>
        </w:rPr>
      </w:pPr>
      <w:r w:rsidRPr="006B6651">
        <w:rPr>
          <w:color w:val="000000" w:themeColor="text1"/>
          <w:w w:val="110"/>
          <w:sz w:val="20"/>
          <w:lang w:val="ru-RU"/>
        </w:rPr>
        <w:t xml:space="preserve">Не </w:t>
      </w:r>
      <w:proofErr w:type="spellStart"/>
      <w:r w:rsidRPr="006B6651">
        <w:rPr>
          <w:color w:val="000000" w:themeColor="text1"/>
          <w:w w:val="110"/>
          <w:sz w:val="20"/>
          <w:lang w:val="ru-RU"/>
        </w:rPr>
        <w:t>було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виявлено</w:t>
      </w:r>
      <w:proofErr w:type="spellEnd"/>
      <w:r w:rsidRPr="006B6651">
        <w:rPr>
          <w:color w:val="000000" w:themeColor="text1"/>
          <w:w w:val="110"/>
          <w:sz w:val="20"/>
          <w:lang w:val="ru-RU"/>
        </w:rPr>
        <w:t xml:space="preserve"> </w:t>
      </w:r>
      <w:r w:rsidRPr="00BE6D3F">
        <w:rPr>
          <w:color w:val="000000" w:themeColor="text1"/>
          <w:w w:val="110"/>
          <w:sz w:val="20"/>
          <w:lang w:val="uk-UA"/>
        </w:rPr>
        <w:t xml:space="preserve">жодного </w:t>
      </w:r>
      <w:proofErr w:type="spellStart"/>
      <w:r w:rsidRPr="006B6651">
        <w:rPr>
          <w:color w:val="000000" w:themeColor="text1"/>
          <w:w w:val="110"/>
          <w:sz w:val="20"/>
          <w:lang w:val="ru-RU"/>
        </w:rPr>
        <w:t>досліджен</w:t>
      </w:r>
      <w:proofErr w:type="spellEnd"/>
      <w:r w:rsidRPr="00BE6D3F">
        <w:rPr>
          <w:color w:val="000000" w:themeColor="text1"/>
          <w:w w:val="110"/>
          <w:sz w:val="20"/>
          <w:lang w:val="uk-UA"/>
        </w:rPr>
        <w:t>ня</w:t>
      </w:r>
      <w:r w:rsidRPr="006B6651">
        <w:rPr>
          <w:color w:val="000000" w:themeColor="text1"/>
          <w:w w:val="110"/>
          <w:sz w:val="20"/>
          <w:lang w:val="ru-RU"/>
        </w:rPr>
        <w:t xml:space="preserve"> </w:t>
      </w:r>
      <w:proofErr w:type="spellStart"/>
      <w:r w:rsidRPr="006B6651">
        <w:rPr>
          <w:color w:val="000000" w:themeColor="text1"/>
          <w:w w:val="110"/>
          <w:sz w:val="20"/>
          <w:lang w:val="ru-RU"/>
        </w:rPr>
        <w:t>економічної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використанням</w:t>
      </w:r>
      <w:proofErr w:type="spellEnd"/>
      <w:r w:rsidRPr="006B6651">
        <w:rPr>
          <w:color w:val="000000" w:themeColor="text1"/>
          <w:w w:val="110"/>
          <w:sz w:val="20"/>
          <w:lang w:val="ru-RU"/>
        </w:rPr>
        <w:t xml:space="preserve"> </w:t>
      </w:r>
      <w:r w:rsidRPr="00BE6D3F">
        <w:rPr>
          <w:color w:val="000000" w:themeColor="text1"/>
          <w:w w:val="110"/>
          <w:sz w:val="20"/>
        </w:rPr>
        <w:t>Genoscholar</w:t>
      </w:r>
      <w:r w:rsidRPr="006B6651">
        <w:rPr>
          <w:color w:val="000000" w:themeColor="text1"/>
          <w:w w:val="110"/>
          <w:sz w:val="20"/>
          <w:lang w:val="ru-RU"/>
        </w:rPr>
        <w:t xml:space="preserve"> </w:t>
      </w:r>
      <w:r w:rsidRPr="00BE6D3F">
        <w:rPr>
          <w:color w:val="000000" w:themeColor="text1"/>
          <w:w w:val="110"/>
          <w:sz w:val="20"/>
        </w:rPr>
        <w:t>PZA</w:t>
      </w:r>
      <w:r w:rsidRPr="006B6651">
        <w:rPr>
          <w:color w:val="000000" w:themeColor="text1"/>
          <w:w w:val="110"/>
          <w:sz w:val="20"/>
          <w:lang w:val="ru-RU"/>
        </w:rPr>
        <w:t>-</w:t>
      </w:r>
      <w:r w:rsidRPr="00BE6D3F">
        <w:rPr>
          <w:color w:val="000000" w:themeColor="text1"/>
          <w:w w:val="110"/>
          <w:sz w:val="20"/>
        </w:rPr>
        <w:t>TB</w:t>
      </w:r>
      <w:r w:rsidRPr="006B6651">
        <w:rPr>
          <w:color w:val="000000" w:themeColor="text1"/>
          <w:w w:val="110"/>
          <w:sz w:val="20"/>
          <w:lang w:val="ru-RU"/>
        </w:rPr>
        <w:t xml:space="preserve"> </w:t>
      </w:r>
      <w:r w:rsidRPr="00BE6D3F">
        <w:rPr>
          <w:color w:val="000000" w:themeColor="text1"/>
          <w:w w:val="110"/>
          <w:sz w:val="20"/>
        </w:rPr>
        <w:t>II</w:t>
      </w:r>
      <w:r w:rsidRPr="006B6651">
        <w:rPr>
          <w:color w:val="000000" w:themeColor="text1"/>
          <w:w w:val="110"/>
          <w:sz w:val="20"/>
          <w:lang w:val="ru-RU"/>
        </w:rPr>
        <w:t xml:space="preserve">. </w:t>
      </w:r>
      <w:r w:rsidRPr="00BE6D3F">
        <w:rPr>
          <w:color w:val="000000" w:themeColor="text1"/>
          <w:w w:val="110"/>
          <w:sz w:val="20"/>
          <w:lang w:val="uk-UA"/>
        </w:rPr>
        <w:t>Не рекомендується проводити е</w:t>
      </w:r>
      <w:proofErr w:type="spellStart"/>
      <w:r w:rsidRPr="006B6651">
        <w:rPr>
          <w:color w:val="000000" w:themeColor="text1"/>
          <w:w w:val="110"/>
          <w:sz w:val="20"/>
          <w:lang w:val="ru-RU"/>
        </w:rPr>
        <w:t>кстраполяці</w:t>
      </w:r>
      <w:proofErr w:type="spellEnd"/>
      <w:r w:rsidRPr="00BE6D3F">
        <w:rPr>
          <w:color w:val="000000" w:themeColor="text1"/>
          <w:w w:val="110"/>
          <w:sz w:val="20"/>
          <w:lang w:val="uk-UA"/>
        </w:rPr>
        <w:t>ю</w:t>
      </w:r>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BE6D3F">
        <w:rPr>
          <w:color w:val="000000" w:themeColor="text1"/>
          <w:w w:val="110"/>
          <w:sz w:val="20"/>
          <w:lang w:val="uk-UA"/>
        </w:rPr>
        <w:t xml:space="preserve"> про</w:t>
      </w:r>
      <w:r w:rsidRPr="006B6651">
        <w:rPr>
          <w:color w:val="000000" w:themeColor="text1"/>
          <w:w w:val="110"/>
          <w:sz w:val="20"/>
          <w:lang w:val="ru-RU"/>
        </w:rPr>
        <w:t xml:space="preserve"> </w:t>
      </w:r>
      <w:proofErr w:type="spellStart"/>
      <w:r w:rsidRPr="006B6651">
        <w:rPr>
          <w:color w:val="000000" w:themeColor="text1"/>
          <w:w w:val="110"/>
          <w:sz w:val="20"/>
          <w:lang w:val="ru-RU"/>
        </w:rPr>
        <w:t>економічн</w:t>
      </w:r>
      <w:proofErr w:type="spellEnd"/>
      <w:r w:rsidRPr="00BE6D3F">
        <w:rPr>
          <w:color w:val="000000" w:themeColor="text1"/>
          <w:w w:val="110"/>
          <w:sz w:val="20"/>
          <w:lang w:val="uk-UA"/>
        </w:rPr>
        <w:t>у</w:t>
      </w:r>
      <w:r w:rsidRPr="006B6651">
        <w:rPr>
          <w:color w:val="000000" w:themeColor="text1"/>
          <w:w w:val="110"/>
          <w:sz w:val="20"/>
          <w:lang w:val="ru-RU"/>
        </w:rPr>
        <w:t xml:space="preserve"> </w:t>
      </w:r>
      <w:proofErr w:type="spellStart"/>
      <w:r w:rsidRPr="006B6651">
        <w:rPr>
          <w:color w:val="000000" w:themeColor="text1"/>
          <w:w w:val="110"/>
          <w:sz w:val="20"/>
          <w:lang w:val="ru-RU"/>
        </w:rPr>
        <w:t>ефективн</w:t>
      </w:r>
      <w:proofErr w:type="spellEnd"/>
      <w:r w:rsidRPr="00BE6D3F">
        <w:rPr>
          <w:color w:val="000000" w:themeColor="text1"/>
          <w:w w:val="110"/>
          <w:sz w:val="20"/>
          <w:lang w:val="uk-UA"/>
        </w:rPr>
        <w:t>і</w:t>
      </w:r>
      <w:proofErr w:type="spellStart"/>
      <w:r w:rsidRPr="006B6651">
        <w:rPr>
          <w:color w:val="000000" w:themeColor="text1"/>
          <w:w w:val="110"/>
          <w:sz w:val="20"/>
          <w:lang w:val="ru-RU"/>
        </w:rPr>
        <w:t>ст</w:t>
      </w:r>
      <w:proofErr w:type="spellEnd"/>
      <w:r w:rsidRPr="00BE6D3F">
        <w:rPr>
          <w:color w:val="000000" w:themeColor="text1"/>
          <w:w w:val="110"/>
          <w:sz w:val="20"/>
          <w:lang w:val="uk-UA"/>
        </w:rPr>
        <w:t>ь</w:t>
      </w:r>
      <w:r w:rsidRPr="006B6651">
        <w:rPr>
          <w:color w:val="000000" w:themeColor="text1"/>
          <w:w w:val="110"/>
          <w:sz w:val="20"/>
          <w:lang w:val="ru-RU"/>
        </w:rPr>
        <w:t xml:space="preserve"> </w:t>
      </w:r>
      <w:proofErr w:type="spellStart"/>
      <w:r w:rsidRPr="006B6651">
        <w:rPr>
          <w:color w:val="000000" w:themeColor="text1"/>
          <w:w w:val="110"/>
          <w:sz w:val="20"/>
          <w:lang w:val="ru-RU"/>
        </w:rPr>
        <w:t>інших</w:t>
      </w:r>
      <w:proofErr w:type="spellEnd"/>
      <w:r w:rsidRPr="006B6651">
        <w:rPr>
          <w:color w:val="000000" w:themeColor="text1"/>
          <w:w w:val="110"/>
          <w:sz w:val="20"/>
          <w:lang w:val="ru-RU"/>
        </w:rPr>
        <w:t xml:space="preserve"> </w:t>
      </w:r>
      <w:r w:rsidRPr="00BE6D3F">
        <w:rPr>
          <w:color w:val="000000" w:themeColor="text1"/>
          <w:w w:val="110"/>
          <w:sz w:val="20"/>
        </w:rPr>
        <w:t>LPA</w:t>
      </w:r>
      <w:r w:rsidRPr="006B6651">
        <w:rPr>
          <w:color w:val="000000" w:themeColor="text1"/>
          <w:w w:val="110"/>
          <w:sz w:val="20"/>
          <w:lang w:val="ru-RU"/>
        </w:rPr>
        <w:t xml:space="preserve"> через </w:t>
      </w:r>
      <w:proofErr w:type="spellStart"/>
      <w:r w:rsidRPr="006B6651">
        <w:rPr>
          <w:color w:val="000000" w:themeColor="text1"/>
          <w:w w:val="110"/>
          <w:sz w:val="20"/>
          <w:lang w:val="ru-RU"/>
        </w:rPr>
        <w:t>відмінності</w:t>
      </w:r>
      <w:proofErr w:type="spellEnd"/>
      <w:r w:rsidRPr="006B6651">
        <w:rPr>
          <w:color w:val="000000" w:themeColor="text1"/>
          <w:w w:val="110"/>
          <w:sz w:val="20"/>
          <w:lang w:val="ru-RU"/>
        </w:rPr>
        <w:t xml:space="preserve"> в </w:t>
      </w:r>
      <w:proofErr w:type="spellStart"/>
      <w:r w:rsidRPr="006B6651">
        <w:rPr>
          <w:color w:val="000000" w:themeColor="text1"/>
          <w:w w:val="110"/>
          <w:sz w:val="20"/>
          <w:lang w:val="ru-RU"/>
        </w:rPr>
        <w:t>діагностичній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точності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поширеності</w:t>
      </w:r>
      <w:proofErr w:type="spellEnd"/>
      <w:r w:rsidRPr="006B6651">
        <w:rPr>
          <w:color w:val="000000" w:themeColor="text1"/>
          <w:w w:val="110"/>
          <w:sz w:val="20"/>
          <w:lang w:val="ru-RU"/>
        </w:rPr>
        <w:t xml:space="preserve"> </w:t>
      </w:r>
      <w:r w:rsidRPr="00BE6D3F">
        <w:rPr>
          <w:color w:val="000000" w:themeColor="text1"/>
          <w:w w:val="110"/>
          <w:sz w:val="20"/>
          <w:lang w:val="uk-UA"/>
        </w:rPr>
        <w:t>стійкості</w:t>
      </w:r>
      <w:r w:rsidRPr="006B6651">
        <w:rPr>
          <w:color w:val="000000" w:themeColor="text1"/>
          <w:w w:val="110"/>
          <w:sz w:val="20"/>
          <w:lang w:val="ru-RU"/>
        </w:rPr>
        <w:t xml:space="preserve"> та </w:t>
      </w:r>
      <w:proofErr w:type="spellStart"/>
      <w:r w:rsidRPr="006B6651">
        <w:rPr>
          <w:color w:val="000000" w:themeColor="text1"/>
          <w:w w:val="110"/>
          <w:sz w:val="20"/>
          <w:lang w:val="ru-RU"/>
        </w:rPr>
        <w:t>каскаді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тестування</w:t>
      </w:r>
      <w:proofErr w:type="spellEnd"/>
      <w:r w:rsidRPr="006B6651">
        <w:rPr>
          <w:color w:val="000000" w:themeColor="text1"/>
          <w:w w:val="110"/>
          <w:sz w:val="20"/>
          <w:lang w:val="ru-RU"/>
        </w:rPr>
        <w:t xml:space="preserve"> і лікування.</w:t>
      </w:r>
    </w:p>
    <w:p w14:paraId="478D5313" w14:textId="77777777" w:rsidR="0001099E" w:rsidRPr="00CA55DB" w:rsidRDefault="0001099E" w:rsidP="0001099E">
      <w:pPr>
        <w:spacing w:before="174" w:line="276" w:lineRule="auto"/>
        <w:ind w:left="567" w:right="4"/>
        <w:jc w:val="both"/>
        <w:rPr>
          <w:color w:val="000000" w:themeColor="text1"/>
          <w:sz w:val="20"/>
          <w:lang w:val="uk-UA"/>
        </w:rPr>
      </w:pPr>
      <w:r w:rsidRPr="00BE6D3F">
        <w:rPr>
          <w:color w:val="000000" w:themeColor="text1"/>
          <w:w w:val="110"/>
          <w:sz w:val="20"/>
          <w:lang w:val="uk-UA"/>
        </w:rPr>
        <w:t xml:space="preserve">Стосовно деталей </w:t>
      </w:r>
      <w:r w:rsidRPr="006B6651">
        <w:rPr>
          <w:color w:val="000000" w:themeColor="text1"/>
          <w:w w:val="110"/>
          <w:sz w:val="20"/>
          <w:lang w:val="ru-RU"/>
        </w:rPr>
        <w:t xml:space="preserve">щодо </w:t>
      </w:r>
      <w:proofErr w:type="spellStart"/>
      <w:r w:rsidRPr="006B6651">
        <w:rPr>
          <w:color w:val="000000" w:themeColor="text1"/>
          <w:w w:val="110"/>
          <w:sz w:val="20"/>
          <w:lang w:val="ru-RU"/>
        </w:rPr>
        <w:t>узагальнення</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аналізу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економічних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 xml:space="preserve"> </w:t>
      </w:r>
      <w:r w:rsidRPr="00BE6D3F">
        <w:rPr>
          <w:color w:val="000000" w:themeColor="text1"/>
          <w:w w:val="110"/>
          <w:sz w:val="20"/>
          <w:lang w:val="uk-UA"/>
        </w:rPr>
        <w:t>див.</w:t>
      </w:r>
      <w:r w:rsidRPr="006B6651">
        <w:rPr>
          <w:color w:val="000000" w:themeColor="text1"/>
          <w:w w:val="110"/>
          <w:sz w:val="20"/>
          <w:lang w:val="ru-RU"/>
        </w:rPr>
        <w:t xml:space="preserve"> </w:t>
      </w:r>
      <w:r w:rsidRPr="006B6651">
        <w:rPr>
          <w:b/>
          <w:color w:val="000000" w:themeColor="text1"/>
          <w:w w:val="110"/>
          <w:sz w:val="20"/>
          <w:lang w:val="ru-RU"/>
        </w:rPr>
        <w:t>Веб-</w:t>
      </w:r>
      <w:proofErr w:type="spellStart"/>
      <w:r w:rsidRPr="006B6651">
        <w:rPr>
          <w:b/>
          <w:color w:val="000000" w:themeColor="text1"/>
          <w:w w:val="110"/>
          <w:sz w:val="20"/>
          <w:lang w:val="ru-RU"/>
        </w:rPr>
        <w:t>додат</w:t>
      </w:r>
      <w:r w:rsidRPr="00BE6D3F">
        <w:rPr>
          <w:b/>
          <w:color w:val="000000" w:themeColor="text1"/>
          <w:w w:val="110"/>
          <w:sz w:val="20"/>
          <w:lang w:val="uk-UA"/>
        </w:rPr>
        <w:t>ок</w:t>
      </w:r>
      <w:proofErr w:type="spellEnd"/>
      <w:r w:rsidRPr="006B6651">
        <w:rPr>
          <w:b/>
          <w:color w:val="000000" w:themeColor="text1"/>
          <w:w w:val="110"/>
          <w:sz w:val="20"/>
          <w:lang w:val="ru-RU"/>
        </w:rPr>
        <w:t xml:space="preserve"> 4.9</w:t>
      </w:r>
      <w:r w:rsidRPr="006B6651">
        <w:rPr>
          <w:color w:val="000000" w:themeColor="text1"/>
          <w:w w:val="110"/>
          <w:sz w:val="20"/>
          <w:lang w:val="ru-RU"/>
        </w:rPr>
        <w:t>: «</w:t>
      </w:r>
      <w:proofErr w:type="spellStart"/>
      <w:r w:rsidRPr="006B6651">
        <w:rPr>
          <w:color w:val="000000" w:themeColor="text1"/>
          <w:w w:val="110"/>
          <w:sz w:val="20"/>
          <w:lang w:val="ru-RU"/>
        </w:rPr>
        <w:t>Систематичний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огляд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літератури</w:t>
      </w:r>
      <w:proofErr w:type="spellEnd"/>
      <w:r w:rsidRPr="006B6651">
        <w:rPr>
          <w:color w:val="000000" w:themeColor="text1"/>
          <w:w w:val="110"/>
          <w:sz w:val="20"/>
          <w:lang w:val="ru-RU"/>
        </w:rPr>
        <w:t xml:space="preserve"> щодо </w:t>
      </w:r>
      <w:proofErr w:type="spellStart"/>
      <w:r w:rsidRPr="006B6651">
        <w:rPr>
          <w:color w:val="000000" w:themeColor="text1"/>
          <w:w w:val="110"/>
          <w:sz w:val="20"/>
          <w:lang w:val="ru-RU"/>
        </w:rPr>
        <w:t>економічних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 xml:space="preserve"> для </w:t>
      </w:r>
      <w:r w:rsidRPr="00CA55DB">
        <w:rPr>
          <w:color w:val="000000" w:themeColor="text1"/>
          <w:w w:val="110"/>
          <w:sz w:val="20"/>
          <w:lang w:val="uk-UA"/>
        </w:rPr>
        <w:t>Т</w:t>
      </w:r>
      <w:r w:rsidRPr="006B6651">
        <w:rPr>
          <w:color w:val="000000" w:themeColor="text1"/>
          <w:w w:val="110"/>
          <w:sz w:val="20"/>
          <w:lang w:val="ru-RU"/>
        </w:rPr>
        <w:t xml:space="preserve">АНК для виявлення ТБ та </w:t>
      </w:r>
      <w:r w:rsidRPr="00CA55DB">
        <w:rPr>
          <w:color w:val="000000" w:themeColor="text1"/>
          <w:w w:val="110"/>
          <w:sz w:val="20"/>
          <w:lang w:val="uk-UA"/>
        </w:rPr>
        <w:t>ЛС</w:t>
      </w:r>
      <w:r w:rsidRPr="006B6651">
        <w:rPr>
          <w:color w:val="000000" w:themeColor="text1"/>
          <w:w w:val="110"/>
          <w:sz w:val="20"/>
          <w:lang w:val="ru-RU"/>
        </w:rPr>
        <w:t xml:space="preserve">-ТБ у </w:t>
      </w:r>
      <w:proofErr w:type="spellStart"/>
      <w:r w:rsidRPr="006B6651">
        <w:rPr>
          <w:color w:val="000000" w:themeColor="text1"/>
          <w:w w:val="110"/>
          <w:sz w:val="20"/>
          <w:lang w:val="ru-RU"/>
        </w:rPr>
        <w:t>дорослих</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дітей</w:t>
      </w:r>
      <w:proofErr w:type="spellEnd"/>
      <w:r w:rsidRPr="006B6651">
        <w:rPr>
          <w:color w:val="000000" w:themeColor="text1"/>
          <w:w w:val="110"/>
          <w:sz w:val="20"/>
          <w:lang w:val="ru-RU"/>
        </w:rPr>
        <w:t>»</w:t>
      </w:r>
      <w:r>
        <w:rPr>
          <w:color w:val="000000" w:themeColor="text1"/>
          <w:w w:val="110"/>
          <w:sz w:val="20"/>
          <w:lang w:val="uk-UA"/>
        </w:rPr>
        <w:t xml:space="preserve"> (</w:t>
      </w:r>
      <w:proofErr w:type="spellStart"/>
      <w:r w:rsidRPr="00CA55DB">
        <w:rPr>
          <w:i/>
          <w:color w:val="000000" w:themeColor="text1"/>
          <w:w w:val="110"/>
          <w:sz w:val="20"/>
          <w:lang w:val="uk-UA"/>
        </w:rPr>
        <w:t>Systematic</w:t>
      </w:r>
      <w:proofErr w:type="spellEnd"/>
      <w:r w:rsidRPr="00CA55DB">
        <w:rPr>
          <w:i/>
          <w:color w:val="000000" w:themeColor="text1"/>
          <w:w w:val="110"/>
          <w:sz w:val="20"/>
          <w:lang w:val="uk-UA"/>
        </w:rPr>
        <w:t xml:space="preserve"> </w:t>
      </w:r>
      <w:proofErr w:type="spellStart"/>
      <w:r w:rsidRPr="00CA55DB">
        <w:rPr>
          <w:i/>
          <w:color w:val="000000" w:themeColor="text1"/>
          <w:w w:val="110"/>
          <w:sz w:val="20"/>
          <w:lang w:val="uk-UA"/>
        </w:rPr>
        <w:t>literature</w:t>
      </w:r>
      <w:proofErr w:type="spellEnd"/>
      <w:r w:rsidRPr="00CA55DB">
        <w:rPr>
          <w:i/>
          <w:color w:val="000000" w:themeColor="text1"/>
          <w:w w:val="110"/>
          <w:sz w:val="20"/>
          <w:lang w:val="uk-UA"/>
        </w:rPr>
        <w:t xml:space="preserve"> </w:t>
      </w:r>
      <w:proofErr w:type="spellStart"/>
      <w:r w:rsidRPr="00CA55DB">
        <w:rPr>
          <w:i/>
          <w:color w:val="000000" w:themeColor="text1"/>
          <w:w w:val="110"/>
          <w:sz w:val="20"/>
          <w:lang w:val="uk-UA"/>
        </w:rPr>
        <w:t>review</w:t>
      </w:r>
      <w:proofErr w:type="spellEnd"/>
      <w:r w:rsidRPr="00CA55DB">
        <w:rPr>
          <w:i/>
          <w:color w:val="000000" w:themeColor="text1"/>
          <w:w w:val="110"/>
          <w:sz w:val="20"/>
          <w:lang w:val="uk-UA"/>
        </w:rPr>
        <w:t xml:space="preserve"> of </w:t>
      </w:r>
      <w:proofErr w:type="spellStart"/>
      <w:r w:rsidRPr="00CA55DB">
        <w:rPr>
          <w:i/>
          <w:color w:val="000000" w:themeColor="text1"/>
          <w:w w:val="110"/>
          <w:sz w:val="20"/>
          <w:lang w:val="uk-UA"/>
        </w:rPr>
        <w:t>economic</w:t>
      </w:r>
      <w:proofErr w:type="spellEnd"/>
      <w:r w:rsidRPr="00CA55DB">
        <w:rPr>
          <w:i/>
          <w:color w:val="000000" w:themeColor="text1"/>
          <w:w w:val="110"/>
          <w:sz w:val="20"/>
          <w:lang w:val="uk-UA"/>
        </w:rPr>
        <w:t xml:space="preserve"> </w:t>
      </w:r>
      <w:proofErr w:type="spellStart"/>
      <w:r w:rsidRPr="00CA55DB">
        <w:rPr>
          <w:i/>
          <w:color w:val="000000" w:themeColor="text1"/>
          <w:w w:val="110"/>
          <w:sz w:val="20"/>
          <w:lang w:val="uk-UA"/>
        </w:rPr>
        <w:t>evidence</w:t>
      </w:r>
      <w:proofErr w:type="spellEnd"/>
      <w:r w:rsidRPr="00CA55DB">
        <w:rPr>
          <w:i/>
          <w:color w:val="000000" w:themeColor="text1"/>
          <w:w w:val="110"/>
          <w:sz w:val="20"/>
          <w:lang w:val="uk-UA"/>
        </w:rPr>
        <w:t xml:space="preserve"> for </w:t>
      </w:r>
      <w:proofErr w:type="spellStart"/>
      <w:r w:rsidRPr="00CA55DB">
        <w:rPr>
          <w:i/>
          <w:color w:val="000000" w:themeColor="text1"/>
          <w:w w:val="110"/>
          <w:sz w:val="20"/>
          <w:lang w:val="uk-UA"/>
        </w:rPr>
        <w:t>NAATs</w:t>
      </w:r>
      <w:proofErr w:type="spellEnd"/>
      <w:r w:rsidRPr="00CA55DB">
        <w:rPr>
          <w:i/>
          <w:color w:val="000000" w:themeColor="text1"/>
          <w:w w:val="110"/>
          <w:sz w:val="20"/>
          <w:lang w:val="uk-UA"/>
        </w:rPr>
        <w:t xml:space="preserve"> to </w:t>
      </w:r>
      <w:proofErr w:type="spellStart"/>
      <w:r w:rsidRPr="00CA55DB">
        <w:rPr>
          <w:i/>
          <w:color w:val="000000" w:themeColor="text1"/>
          <w:w w:val="110"/>
          <w:sz w:val="20"/>
          <w:lang w:val="uk-UA"/>
        </w:rPr>
        <w:t>detect</w:t>
      </w:r>
      <w:proofErr w:type="spellEnd"/>
      <w:r w:rsidRPr="00CA55DB">
        <w:rPr>
          <w:i/>
          <w:color w:val="000000" w:themeColor="text1"/>
          <w:w w:val="110"/>
          <w:sz w:val="20"/>
          <w:lang w:val="uk-UA"/>
        </w:rPr>
        <w:t xml:space="preserve"> TB and DR-TB in </w:t>
      </w:r>
      <w:proofErr w:type="spellStart"/>
      <w:r w:rsidRPr="00CA55DB">
        <w:rPr>
          <w:i/>
          <w:color w:val="000000" w:themeColor="text1"/>
          <w:w w:val="110"/>
          <w:sz w:val="20"/>
          <w:lang w:val="uk-UA"/>
        </w:rPr>
        <w:t>adults</w:t>
      </w:r>
      <w:proofErr w:type="spellEnd"/>
      <w:r w:rsidRPr="00CA55DB">
        <w:rPr>
          <w:i/>
          <w:color w:val="000000" w:themeColor="text1"/>
          <w:w w:val="110"/>
          <w:sz w:val="20"/>
          <w:lang w:val="uk-UA"/>
        </w:rPr>
        <w:t xml:space="preserve"> and </w:t>
      </w:r>
      <w:proofErr w:type="spellStart"/>
      <w:r w:rsidRPr="00CA55DB">
        <w:rPr>
          <w:i/>
          <w:color w:val="000000" w:themeColor="text1"/>
          <w:w w:val="110"/>
          <w:sz w:val="20"/>
          <w:lang w:val="uk-UA"/>
        </w:rPr>
        <w:t>children</w:t>
      </w:r>
      <w:proofErr w:type="spellEnd"/>
      <w:r>
        <w:rPr>
          <w:color w:val="000000" w:themeColor="text1"/>
          <w:w w:val="110"/>
          <w:sz w:val="20"/>
          <w:lang w:val="uk-UA"/>
        </w:rPr>
        <w:t>)</w:t>
      </w:r>
    </w:p>
    <w:p w14:paraId="13B8CD9B" w14:textId="77777777" w:rsidR="0001099E" w:rsidRPr="00B04563" w:rsidRDefault="0001099E" w:rsidP="0001099E">
      <w:pPr>
        <w:pStyle w:val="5"/>
        <w:spacing w:before="184"/>
        <w:ind w:right="4"/>
        <w:jc w:val="both"/>
        <w:rPr>
          <w:sz w:val="24"/>
          <w:lang w:val="uk-UA"/>
        </w:rPr>
      </w:pPr>
      <w:r w:rsidRPr="00B04563">
        <w:rPr>
          <w:color w:val="019648"/>
          <w:sz w:val="24"/>
          <w:lang w:val="uk-UA"/>
        </w:rPr>
        <w:t>Точка зору користувачів</w:t>
      </w:r>
    </w:p>
    <w:p w14:paraId="33B474A6" w14:textId="77777777" w:rsidR="0001099E" w:rsidRPr="006B6651" w:rsidRDefault="0001099E" w:rsidP="0001099E">
      <w:pPr>
        <w:spacing w:before="179" w:line="249" w:lineRule="auto"/>
        <w:ind w:left="567" w:right="4"/>
        <w:jc w:val="both"/>
        <w:rPr>
          <w:b/>
          <w:color w:val="000000" w:themeColor="text1"/>
          <w:sz w:val="20"/>
          <w:lang w:val="uk-UA"/>
        </w:rPr>
      </w:pPr>
      <w:r w:rsidRPr="006B6651">
        <w:rPr>
          <w:color w:val="000000" w:themeColor="text1"/>
          <w:w w:val="115"/>
          <w:sz w:val="20"/>
          <w:lang w:val="uk-UA"/>
        </w:rPr>
        <w:t>Цей розділ відповідає на наступні запитання щодо думок та поглядів</w:t>
      </w:r>
      <w:r w:rsidRPr="006B6651">
        <w:rPr>
          <w:b/>
          <w:color w:val="000000" w:themeColor="text1"/>
          <w:w w:val="115"/>
          <w:sz w:val="20"/>
          <w:lang w:val="uk-UA"/>
        </w:rPr>
        <w:t xml:space="preserve"> ключових інформантів стосовно використання </w:t>
      </w:r>
      <w:r w:rsidRPr="00BE6D3F">
        <w:rPr>
          <w:b/>
          <w:color w:val="000000" w:themeColor="text1"/>
          <w:w w:val="115"/>
          <w:sz w:val="20"/>
          <w:lang w:val="uk-UA"/>
        </w:rPr>
        <w:t>Т</w:t>
      </w:r>
      <w:r w:rsidRPr="006B6651">
        <w:rPr>
          <w:b/>
          <w:color w:val="000000" w:themeColor="text1"/>
          <w:w w:val="115"/>
          <w:sz w:val="20"/>
          <w:lang w:val="uk-UA"/>
        </w:rPr>
        <w:t>АНК високої складності на основі зворотної гібридизації:</w:t>
      </w:r>
    </w:p>
    <w:p w14:paraId="2CEBC6C4" w14:textId="77777777" w:rsidR="0001099E" w:rsidRPr="006B6651" w:rsidRDefault="0001099E" w:rsidP="004A2937">
      <w:pPr>
        <w:pStyle w:val="a4"/>
        <w:numPr>
          <w:ilvl w:val="0"/>
          <w:numId w:val="42"/>
        </w:numPr>
        <w:tabs>
          <w:tab w:val="left" w:pos="1701"/>
        </w:tabs>
        <w:spacing w:before="117" w:line="276" w:lineRule="auto"/>
        <w:ind w:right="146"/>
        <w:jc w:val="left"/>
        <w:rPr>
          <w:color w:val="000000" w:themeColor="text1"/>
          <w:sz w:val="20"/>
          <w:lang w:val="ru-RU"/>
        </w:rPr>
      </w:pPr>
      <w:proofErr w:type="spellStart"/>
      <w:r w:rsidRPr="006B6651">
        <w:rPr>
          <w:color w:val="000000" w:themeColor="text1"/>
          <w:w w:val="110"/>
          <w:sz w:val="20"/>
          <w:lang w:val="ru-RU"/>
        </w:rPr>
        <w:t>Чи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існує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значна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невизначеність</w:t>
      </w:r>
      <w:proofErr w:type="spellEnd"/>
      <w:r w:rsidRPr="006B6651">
        <w:rPr>
          <w:color w:val="000000" w:themeColor="text1"/>
          <w:w w:val="110"/>
          <w:sz w:val="20"/>
          <w:lang w:val="ru-RU"/>
        </w:rPr>
        <w:t xml:space="preserve"> або </w:t>
      </w:r>
      <w:proofErr w:type="spellStart"/>
      <w:r w:rsidRPr="006B6651">
        <w:rPr>
          <w:color w:val="000000" w:themeColor="text1"/>
          <w:w w:val="110"/>
          <w:sz w:val="20"/>
          <w:lang w:val="ru-RU"/>
        </w:rPr>
        <w:t>варіабельність</w:t>
      </w:r>
      <w:proofErr w:type="spellEnd"/>
      <w:r w:rsidRPr="006B6651">
        <w:rPr>
          <w:color w:val="000000" w:themeColor="text1"/>
          <w:w w:val="110"/>
          <w:sz w:val="20"/>
          <w:lang w:val="ru-RU"/>
        </w:rPr>
        <w:t xml:space="preserve"> у тому, </w:t>
      </w:r>
      <w:proofErr w:type="spellStart"/>
      <w:r w:rsidRPr="006B6651">
        <w:rPr>
          <w:color w:val="000000" w:themeColor="text1"/>
          <w:w w:val="110"/>
          <w:sz w:val="20"/>
          <w:lang w:val="ru-RU"/>
        </w:rPr>
        <w:t>наскільки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основні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результати</w:t>
      </w:r>
      <w:proofErr w:type="spellEnd"/>
      <w:r w:rsidRPr="006B6651">
        <w:rPr>
          <w:color w:val="000000" w:themeColor="text1"/>
          <w:w w:val="110"/>
          <w:sz w:val="20"/>
          <w:lang w:val="ru-RU"/>
        </w:rPr>
        <w:t xml:space="preserve"> </w:t>
      </w:r>
      <w:r w:rsidRPr="00BE6D3F">
        <w:rPr>
          <w:color w:val="000000" w:themeColor="text1"/>
          <w:w w:val="110"/>
          <w:sz w:val="20"/>
          <w:lang w:val="uk-UA"/>
        </w:rPr>
        <w:t xml:space="preserve">цінні для </w:t>
      </w:r>
      <w:proofErr w:type="spellStart"/>
      <w:r w:rsidRPr="006B6651">
        <w:rPr>
          <w:color w:val="000000" w:themeColor="text1"/>
          <w:w w:val="110"/>
          <w:sz w:val="20"/>
          <w:lang w:val="ru-RU"/>
        </w:rPr>
        <w:t>кінцев</w:t>
      </w:r>
      <w:proofErr w:type="spellEnd"/>
      <w:r w:rsidRPr="00BE6D3F">
        <w:rPr>
          <w:color w:val="000000" w:themeColor="text1"/>
          <w:w w:val="110"/>
          <w:sz w:val="20"/>
          <w:lang w:val="uk-UA"/>
        </w:rPr>
        <w:t>их</w:t>
      </w:r>
      <w:r w:rsidRPr="006B6651">
        <w:rPr>
          <w:color w:val="000000" w:themeColor="text1"/>
          <w:w w:val="110"/>
          <w:sz w:val="20"/>
          <w:lang w:val="ru-RU"/>
        </w:rPr>
        <w:t xml:space="preserve"> </w:t>
      </w:r>
      <w:proofErr w:type="spellStart"/>
      <w:r w:rsidRPr="006B6651">
        <w:rPr>
          <w:color w:val="000000" w:themeColor="text1"/>
          <w:w w:val="110"/>
          <w:sz w:val="20"/>
          <w:lang w:val="ru-RU"/>
        </w:rPr>
        <w:t>користувачі</w:t>
      </w:r>
      <w:proofErr w:type="spellEnd"/>
      <w:r w:rsidRPr="00BE6D3F">
        <w:rPr>
          <w:color w:val="000000" w:themeColor="text1"/>
          <w:w w:val="110"/>
          <w:sz w:val="20"/>
          <w:lang w:val="uk-UA"/>
        </w:rPr>
        <w:t>в</w:t>
      </w:r>
      <w:r w:rsidRPr="006B6651">
        <w:rPr>
          <w:color w:val="000000" w:themeColor="text1"/>
          <w:w w:val="110"/>
          <w:sz w:val="20"/>
          <w:lang w:val="ru-RU"/>
        </w:rPr>
        <w:t>?</w:t>
      </w:r>
    </w:p>
    <w:p w14:paraId="6C352B76" w14:textId="77777777" w:rsidR="0001099E" w:rsidRPr="006B6651" w:rsidRDefault="0001099E" w:rsidP="004A2937">
      <w:pPr>
        <w:pStyle w:val="a4"/>
        <w:numPr>
          <w:ilvl w:val="0"/>
          <w:numId w:val="42"/>
        </w:numPr>
        <w:tabs>
          <w:tab w:val="left" w:pos="1701"/>
        </w:tabs>
        <w:spacing w:before="2"/>
        <w:jc w:val="left"/>
        <w:rPr>
          <w:color w:val="000000" w:themeColor="text1"/>
          <w:sz w:val="20"/>
          <w:lang w:val="ru-RU"/>
        </w:rPr>
      </w:pPr>
      <w:r w:rsidRPr="006B6651">
        <w:rPr>
          <w:color w:val="000000" w:themeColor="text1"/>
          <w:w w:val="110"/>
          <w:sz w:val="20"/>
          <w:lang w:val="ru-RU"/>
        </w:rPr>
        <w:t xml:space="preserve">Яким буде </w:t>
      </w:r>
      <w:proofErr w:type="spellStart"/>
      <w:r w:rsidRPr="006B6651">
        <w:rPr>
          <w:color w:val="000000" w:themeColor="text1"/>
          <w:w w:val="110"/>
          <w:sz w:val="20"/>
          <w:lang w:val="ru-RU"/>
        </w:rPr>
        <w:t>вплив</w:t>
      </w:r>
      <w:proofErr w:type="spellEnd"/>
      <w:r w:rsidRPr="006B6651">
        <w:rPr>
          <w:color w:val="000000" w:themeColor="text1"/>
          <w:w w:val="110"/>
          <w:sz w:val="20"/>
          <w:lang w:val="ru-RU"/>
        </w:rPr>
        <w:t xml:space="preserve"> на </w:t>
      </w:r>
      <w:r w:rsidRPr="00D76C86">
        <w:rPr>
          <w:color w:val="000000" w:themeColor="text1"/>
          <w:w w:val="110"/>
          <w:sz w:val="20"/>
          <w:lang w:val="uk-UA"/>
        </w:rPr>
        <w:t>справедливість</w:t>
      </w:r>
      <w:r w:rsidRPr="006B6651">
        <w:rPr>
          <w:color w:val="000000" w:themeColor="text1"/>
          <w:w w:val="110"/>
          <w:sz w:val="20"/>
          <w:lang w:val="ru-RU"/>
        </w:rPr>
        <w:t xml:space="preserve"> у </w:t>
      </w:r>
      <w:proofErr w:type="spellStart"/>
      <w:r w:rsidRPr="006B6651">
        <w:rPr>
          <w:color w:val="000000" w:themeColor="text1"/>
          <w:w w:val="110"/>
          <w:sz w:val="20"/>
          <w:lang w:val="ru-RU"/>
        </w:rPr>
        <w:t>сфері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охорони</w:t>
      </w:r>
      <w:proofErr w:type="spellEnd"/>
      <w:r w:rsidRPr="006B6651">
        <w:rPr>
          <w:color w:val="000000" w:themeColor="text1"/>
          <w:w w:val="110"/>
          <w:sz w:val="20"/>
          <w:lang w:val="ru-RU"/>
        </w:rPr>
        <w:t xml:space="preserve"> здоров'я?</w:t>
      </w:r>
    </w:p>
    <w:p w14:paraId="4ED13B0A" w14:textId="77777777" w:rsidR="0001099E" w:rsidRPr="006B6651" w:rsidRDefault="0001099E" w:rsidP="004A2937">
      <w:pPr>
        <w:pStyle w:val="a4"/>
        <w:numPr>
          <w:ilvl w:val="0"/>
          <w:numId w:val="42"/>
        </w:numPr>
        <w:tabs>
          <w:tab w:val="left" w:pos="1701"/>
        </w:tabs>
        <w:spacing w:before="41"/>
        <w:jc w:val="left"/>
        <w:rPr>
          <w:color w:val="000000" w:themeColor="text1"/>
          <w:sz w:val="20"/>
          <w:lang w:val="ru-RU"/>
        </w:rPr>
      </w:pPr>
      <w:proofErr w:type="spellStart"/>
      <w:r w:rsidRPr="006B6651">
        <w:rPr>
          <w:color w:val="000000" w:themeColor="text1"/>
          <w:w w:val="110"/>
          <w:sz w:val="20"/>
          <w:lang w:val="ru-RU"/>
        </w:rPr>
        <w:t>Чи</w:t>
      </w:r>
      <w:proofErr w:type="spellEnd"/>
      <w:r w:rsidRPr="006B6651">
        <w:rPr>
          <w:color w:val="000000" w:themeColor="text1"/>
          <w:w w:val="110"/>
          <w:sz w:val="20"/>
          <w:lang w:val="ru-RU"/>
        </w:rPr>
        <w:t xml:space="preserve"> </w:t>
      </w:r>
      <w:r w:rsidRPr="003E33BC">
        <w:rPr>
          <w:color w:val="000000" w:themeColor="text1"/>
          <w:w w:val="110"/>
          <w:sz w:val="20"/>
          <w:lang w:val="uk-UA"/>
        </w:rPr>
        <w:t>прийнятна інтервенція</w:t>
      </w:r>
      <w:r w:rsidRPr="006B6651">
        <w:rPr>
          <w:color w:val="000000" w:themeColor="text1"/>
          <w:w w:val="110"/>
          <w:sz w:val="20"/>
          <w:lang w:val="ru-RU"/>
        </w:rPr>
        <w:t xml:space="preserve"> для </w:t>
      </w:r>
      <w:proofErr w:type="spellStart"/>
      <w:r w:rsidRPr="006B6651">
        <w:rPr>
          <w:color w:val="000000" w:themeColor="text1"/>
          <w:w w:val="110"/>
          <w:sz w:val="20"/>
          <w:lang w:val="ru-RU"/>
        </w:rPr>
        <w:t>ключових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зацікавлених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сторін</w:t>
      </w:r>
      <w:proofErr w:type="spellEnd"/>
      <w:r w:rsidRPr="006B6651">
        <w:rPr>
          <w:color w:val="000000" w:themeColor="text1"/>
          <w:w w:val="110"/>
          <w:sz w:val="20"/>
          <w:lang w:val="ru-RU"/>
        </w:rPr>
        <w:t>?</w:t>
      </w:r>
    </w:p>
    <w:p w14:paraId="4BD2BB22" w14:textId="77777777" w:rsidR="0001099E" w:rsidRPr="006B6651" w:rsidRDefault="0001099E" w:rsidP="004A2937">
      <w:pPr>
        <w:pStyle w:val="a4"/>
        <w:numPr>
          <w:ilvl w:val="0"/>
          <w:numId w:val="42"/>
        </w:numPr>
        <w:tabs>
          <w:tab w:val="left" w:pos="1701"/>
        </w:tabs>
        <w:spacing w:before="42"/>
        <w:jc w:val="left"/>
        <w:rPr>
          <w:color w:val="000000" w:themeColor="text1"/>
          <w:sz w:val="20"/>
          <w:lang w:val="ru-RU"/>
        </w:rPr>
      </w:pPr>
      <w:proofErr w:type="spellStart"/>
      <w:r w:rsidRPr="006B6651">
        <w:rPr>
          <w:color w:val="000000" w:themeColor="text1"/>
          <w:w w:val="110"/>
          <w:sz w:val="20"/>
          <w:lang w:val="ru-RU"/>
        </w:rPr>
        <w:t>Чи</w:t>
      </w:r>
      <w:proofErr w:type="spellEnd"/>
      <w:r w:rsidRPr="006B6651">
        <w:rPr>
          <w:color w:val="000000" w:themeColor="text1"/>
          <w:w w:val="110"/>
          <w:sz w:val="20"/>
          <w:lang w:val="ru-RU"/>
        </w:rPr>
        <w:t xml:space="preserve"> </w:t>
      </w:r>
      <w:r w:rsidRPr="003E33BC">
        <w:rPr>
          <w:color w:val="000000" w:themeColor="text1"/>
          <w:w w:val="110"/>
          <w:sz w:val="20"/>
          <w:lang w:val="uk-UA"/>
        </w:rPr>
        <w:t>реалізація інтервенції практично</w:t>
      </w:r>
      <w:r w:rsidRPr="00BE6D3F">
        <w:rPr>
          <w:color w:val="000000" w:themeColor="text1"/>
          <w:w w:val="110"/>
          <w:sz w:val="20"/>
          <w:lang w:val="uk-UA"/>
        </w:rPr>
        <w:t xml:space="preserve"> можлива</w:t>
      </w:r>
      <w:r w:rsidRPr="006B6651">
        <w:rPr>
          <w:color w:val="000000" w:themeColor="text1"/>
          <w:w w:val="110"/>
          <w:sz w:val="20"/>
          <w:lang w:val="ru-RU"/>
        </w:rPr>
        <w:t>?</w:t>
      </w:r>
    </w:p>
    <w:p w14:paraId="6E61F2A5" w14:textId="77777777" w:rsidR="0001099E" w:rsidRPr="006B6651" w:rsidRDefault="0001099E" w:rsidP="0001099E">
      <w:pPr>
        <w:pStyle w:val="a3"/>
        <w:spacing w:before="10"/>
        <w:rPr>
          <w:sz w:val="20"/>
          <w:lang w:val="ru-RU"/>
        </w:rPr>
      </w:pPr>
    </w:p>
    <w:p w14:paraId="3EA6A857" w14:textId="77777777" w:rsidR="0001099E" w:rsidRPr="006B6651" w:rsidRDefault="0001099E" w:rsidP="0001099E">
      <w:pPr>
        <w:pStyle w:val="5"/>
        <w:rPr>
          <w:sz w:val="24"/>
          <w:lang w:val="ru-RU"/>
        </w:rPr>
      </w:pPr>
      <w:proofErr w:type="spellStart"/>
      <w:r w:rsidRPr="006B6651">
        <w:rPr>
          <w:color w:val="019648"/>
          <w:w w:val="105"/>
          <w:sz w:val="24"/>
          <w:lang w:val="ru-RU"/>
        </w:rPr>
        <w:t>Результати</w:t>
      </w:r>
      <w:proofErr w:type="spellEnd"/>
      <w:r w:rsidRPr="006B6651">
        <w:rPr>
          <w:color w:val="019648"/>
          <w:w w:val="105"/>
          <w:sz w:val="24"/>
          <w:lang w:val="ru-RU"/>
        </w:rPr>
        <w:t xml:space="preserve"> </w:t>
      </w:r>
      <w:proofErr w:type="spellStart"/>
      <w:r w:rsidRPr="006B6651">
        <w:rPr>
          <w:color w:val="019648"/>
          <w:w w:val="105"/>
          <w:sz w:val="24"/>
          <w:lang w:val="ru-RU"/>
        </w:rPr>
        <w:t>огляду</w:t>
      </w:r>
      <w:proofErr w:type="spellEnd"/>
      <w:r w:rsidRPr="006B6651">
        <w:rPr>
          <w:color w:val="019648"/>
          <w:w w:val="105"/>
          <w:sz w:val="24"/>
          <w:lang w:val="ru-RU"/>
        </w:rPr>
        <w:t xml:space="preserve"> та </w:t>
      </w:r>
      <w:proofErr w:type="spellStart"/>
      <w:r w:rsidRPr="006B6651">
        <w:rPr>
          <w:color w:val="019648"/>
          <w:w w:val="105"/>
          <w:sz w:val="24"/>
          <w:lang w:val="ru-RU"/>
        </w:rPr>
        <w:t>інтерв'ю</w:t>
      </w:r>
      <w:proofErr w:type="spellEnd"/>
    </w:p>
    <w:p w14:paraId="1A94E9F3" w14:textId="77777777" w:rsidR="0001099E" w:rsidRPr="006B6651" w:rsidRDefault="0001099E" w:rsidP="0001099E">
      <w:pPr>
        <w:pStyle w:val="a3"/>
        <w:spacing w:before="209" w:line="276" w:lineRule="auto"/>
        <w:ind w:left="567" w:right="146"/>
        <w:jc w:val="both"/>
        <w:rPr>
          <w:color w:val="000000" w:themeColor="text1"/>
          <w:sz w:val="20"/>
          <w:lang w:val="uk-UA"/>
        </w:rPr>
      </w:pPr>
      <w:proofErr w:type="spellStart"/>
      <w:r w:rsidRPr="006B6651">
        <w:rPr>
          <w:color w:val="000000" w:themeColor="text1"/>
          <w:w w:val="110"/>
          <w:sz w:val="20"/>
          <w:lang w:val="ru-RU"/>
        </w:rPr>
        <w:t>Основні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результати</w:t>
      </w:r>
      <w:proofErr w:type="spellEnd"/>
      <w:r w:rsidRPr="006B6651">
        <w:rPr>
          <w:color w:val="000000" w:themeColor="text1"/>
          <w:w w:val="110"/>
          <w:sz w:val="20"/>
          <w:lang w:val="ru-RU"/>
        </w:rPr>
        <w:t xml:space="preserve"> систематичного </w:t>
      </w:r>
      <w:proofErr w:type="spellStart"/>
      <w:r w:rsidRPr="006B6651">
        <w:rPr>
          <w:color w:val="000000" w:themeColor="text1"/>
          <w:w w:val="110"/>
          <w:sz w:val="20"/>
          <w:lang w:val="ru-RU"/>
        </w:rPr>
        <w:t>огляду</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інтерв'ю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наведені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нижче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інформація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отримана</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огляду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вказується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рівень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достовірності</w:t>
      </w:r>
      <w:proofErr w:type="spellEnd"/>
      <w:r w:rsidRPr="006B6651">
        <w:rPr>
          <w:color w:val="000000" w:themeColor="text1"/>
          <w:w w:val="110"/>
          <w:sz w:val="20"/>
          <w:lang w:val="ru-RU"/>
        </w:rPr>
        <w:t xml:space="preserve"> в </w:t>
      </w:r>
      <w:r w:rsidRPr="00BE6D3F">
        <w:rPr>
          <w:color w:val="000000" w:themeColor="text1"/>
          <w:w w:val="110"/>
          <w:sz w:val="20"/>
        </w:rPr>
        <w:t>QES</w:t>
      </w:r>
      <w:r w:rsidRPr="006B6651">
        <w:rPr>
          <w:color w:val="000000" w:themeColor="text1"/>
          <w:w w:val="110"/>
          <w:sz w:val="20"/>
          <w:lang w:val="ru-RU"/>
        </w:rPr>
        <w:t xml:space="preserve"> (</w:t>
      </w:r>
      <w:r w:rsidRPr="00BE6D3F">
        <w:rPr>
          <w:color w:val="000000" w:themeColor="text1"/>
          <w:w w:val="110"/>
          <w:sz w:val="20"/>
          <w:lang w:val="uk-UA"/>
        </w:rPr>
        <w:t>я</w:t>
      </w:r>
      <w:proofErr w:type="spellStart"/>
      <w:r w:rsidRPr="006B6651">
        <w:rPr>
          <w:color w:val="000000" w:themeColor="text1"/>
          <w:w w:val="110"/>
          <w:sz w:val="20"/>
          <w:lang w:val="ru-RU"/>
        </w:rPr>
        <w:t>кісний</w:t>
      </w:r>
      <w:proofErr w:type="spellEnd"/>
      <w:r w:rsidRPr="006B6651">
        <w:rPr>
          <w:color w:val="000000" w:themeColor="text1"/>
          <w:w w:val="110"/>
          <w:sz w:val="20"/>
          <w:lang w:val="ru-RU"/>
        </w:rPr>
        <w:t xml:space="preserve"> синтез </w:t>
      </w:r>
      <w:proofErr w:type="spellStart"/>
      <w:r w:rsidRPr="006B6651">
        <w:rPr>
          <w:color w:val="000000" w:themeColor="text1"/>
          <w:w w:val="110"/>
          <w:sz w:val="20"/>
          <w:lang w:val="ru-RU"/>
        </w:rPr>
        <w:t>доказів</w:t>
      </w:r>
      <w:proofErr w:type="spellEnd"/>
      <w:r w:rsidRPr="006B6651">
        <w:rPr>
          <w:color w:val="000000" w:themeColor="text1"/>
          <w:w w:val="110"/>
          <w:sz w:val="20"/>
          <w:lang w:val="ru-RU"/>
        </w:rPr>
        <w:t>)</w:t>
      </w:r>
      <w:r>
        <w:rPr>
          <w:color w:val="000000" w:themeColor="text1"/>
          <w:w w:val="110"/>
          <w:sz w:val="20"/>
          <w:lang w:val="uk-UA"/>
        </w:rPr>
        <w:t>. Я</w:t>
      </w:r>
      <w:r w:rsidRPr="006B6651">
        <w:rPr>
          <w:color w:val="000000" w:themeColor="text1"/>
          <w:w w:val="110"/>
          <w:sz w:val="20"/>
          <w:lang w:val="uk-UA"/>
        </w:rPr>
        <w:t xml:space="preserve">кщо вона отримана з інтерв'ю, </w:t>
      </w:r>
      <w:r w:rsidRPr="00BE6D3F">
        <w:rPr>
          <w:color w:val="000000" w:themeColor="text1"/>
          <w:w w:val="110"/>
          <w:sz w:val="20"/>
          <w:lang w:val="uk-UA"/>
        </w:rPr>
        <w:t>додається позначка</w:t>
      </w:r>
      <w:r w:rsidRPr="006B6651">
        <w:rPr>
          <w:color w:val="000000" w:themeColor="text1"/>
          <w:w w:val="110"/>
          <w:sz w:val="20"/>
          <w:lang w:val="uk-UA"/>
        </w:rPr>
        <w:t xml:space="preserve"> «</w:t>
      </w:r>
      <w:r w:rsidRPr="006B6651">
        <w:rPr>
          <w:i/>
          <w:color w:val="000000" w:themeColor="text1"/>
          <w:w w:val="110"/>
          <w:sz w:val="20"/>
          <w:lang w:val="uk-UA"/>
        </w:rPr>
        <w:t>Інтерв'ю</w:t>
      </w:r>
      <w:r w:rsidRPr="006B6651">
        <w:rPr>
          <w:color w:val="000000" w:themeColor="text1"/>
          <w:w w:val="110"/>
          <w:sz w:val="20"/>
          <w:lang w:val="uk-UA"/>
        </w:rPr>
        <w:t>».</w:t>
      </w:r>
    </w:p>
    <w:p w14:paraId="5DDFC8AC" w14:textId="77777777" w:rsidR="0001099E" w:rsidRPr="006B6651" w:rsidRDefault="0001099E" w:rsidP="0001099E">
      <w:pPr>
        <w:pStyle w:val="9"/>
        <w:spacing w:before="173" w:line="276" w:lineRule="auto"/>
        <w:ind w:right="854"/>
        <w:rPr>
          <w:rFonts w:ascii="Microsoft Sans Serif" w:hAnsi="Microsoft Sans Serif" w:cs="Microsoft Sans Serif"/>
          <w:color w:val="000000" w:themeColor="text1"/>
          <w:sz w:val="20"/>
          <w:lang w:val="uk-UA"/>
        </w:rPr>
      </w:pPr>
      <w:r w:rsidRPr="006B6651">
        <w:rPr>
          <w:rFonts w:ascii="Microsoft Sans Serif" w:hAnsi="Microsoft Sans Serif" w:cs="Microsoft Sans Serif"/>
          <w:color w:val="000000" w:themeColor="text1"/>
          <w:w w:val="115"/>
          <w:sz w:val="20"/>
          <w:lang w:val="uk-UA"/>
        </w:rPr>
        <w:t>Чи існує значна невизначеність або варіабельність у тому, наскільки основні результати цінні для кінцевих користувачів?</w:t>
      </w:r>
    </w:p>
    <w:p w14:paraId="6D224D91" w14:textId="77777777" w:rsidR="0001099E" w:rsidRPr="006B6651" w:rsidRDefault="0001099E" w:rsidP="004A2937">
      <w:pPr>
        <w:pStyle w:val="a4"/>
        <w:numPr>
          <w:ilvl w:val="0"/>
          <w:numId w:val="46"/>
        </w:numPr>
        <w:tabs>
          <w:tab w:val="left" w:pos="1701"/>
        </w:tabs>
        <w:spacing w:before="173"/>
        <w:ind w:right="4"/>
        <w:rPr>
          <w:color w:val="000000" w:themeColor="text1"/>
          <w:sz w:val="20"/>
          <w:lang w:val="ru-RU"/>
        </w:rPr>
      </w:pPr>
      <w:proofErr w:type="spellStart"/>
      <w:r w:rsidRPr="006B6651">
        <w:rPr>
          <w:b/>
          <w:color w:val="000000" w:themeColor="text1"/>
          <w:w w:val="110"/>
          <w:sz w:val="20"/>
          <w:lang w:val="ru-RU"/>
        </w:rPr>
        <w:t>Пацієнти</w:t>
      </w:r>
      <w:proofErr w:type="spellEnd"/>
      <w:r w:rsidRPr="006B6651">
        <w:rPr>
          <w:color w:val="000000" w:themeColor="text1"/>
          <w:w w:val="110"/>
          <w:sz w:val="20"/>
          <w:lang w:val="ru-RU"/>
        </w:rPr>
        <w:t xml:space="preserve"> в </w:t>
      </w:r>
      <w:proofErr w:type="spellStart"/>
      <w:r w:rsidRPr="006B6651">
        <w:rPr>
          <w:color w:val="000000" w:themeColor="text1"/>
          <w:w w:val="110"/>
          <w:sz w:val="20"/>
          <w:lang w:val="ru-RU"/>
        </w:rPr>
        <w:t>умовах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високого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тягаря</w:t>
      </w:r>
      <w:proofErr w:type="spellEnd"/>
      <w:r w:rsidRPr="006B6651">
        <w:rPr>
          <w:color w:val="000000" w:themeColor="text1"/>
          <w:w w:val="110"/>
          <w:sz w:val="20"/>
          <w:lang w:val="ru-RU"/>
        </w:rPr>
        <w:t xml:space="preserve"> ТБ </w:t>
      </w:r>
      <w:proofErr w:type="spellStart"/>
      <w:r w:rsidRPr="006B6651">
        <w:rPr>
          <w:color w:val="000000" w:themeColor="text1"/>
          <w:w w:val="110"/>
          <w:sz w:val="20"/>
          <w:lang w:val="ru-RU"/>
        </w:rPr>
        <w:t>цінують</w:t>
      </w:r>
      <w:proofErr w:type="spellEnd"/>
      <w:r w:rsidRPr="006B6651">
        <w:rPr>
          <w:color w:val="000000" w:themeColor="text1"/>
          <w:w w:val="110"/>
          <w:sz w:val="20"/>
          <w:lang w:val="ru-RU"/>
        </w:rPr>
        <w:t>:</w:t>
      </w:r>
    </w:p>
    <w:p w14:paraId="5806A0C5" w14:textId="77777777" w:rsidR="0001099E" w:rsidRPr="006B6651" w:rsidRDefault="0001099E" w:rsidP="004A2937">
      <w:pPr>
        <w:pStyle w:val="a4"/>
        <w:numPr>
          <w:ilvl w:val="1"/>
          <w:numId w:val="46"/>
        </w:numPr>
        <w:tabs>
          <w:tab w:val="left" w:pos="2078"/>
        </w:tabs>
        <w:spacing w:before="41" w:line="276" w:lineRule="auto"/>
        <w:ind w:right="4"/>
        <w:rPr>
          <w:color w:val="000000" w:themeColor="text1"/>
          <w:sz w:val="20"/>
          <w:lang w:val="ru-RU"/>
        </w:rPr>
      </w:pPr>
      <w:proofErr w:type="spellStart"/>
      <w:r w:rsidRPr="006B6651">
        <w:rPr>
          <w:color w:val="000000" w:themeColor="text1"/>
          <w:w w:val="110"/>
          <w:sz w:val="20"/>
          <w:lang w:val="ru-RU"/>
        </w:rPr>
        <w:t>отримання</w:t>
      </w:r>
      <w:proofErr w:type="spellEnd"/>
      <w:r w:rsidRPr="006B6651">
        <w:rPr>
          <w:color w:val="000000" w:themeColor="text1"/>
          <w:w w:val="110"/>
          <w:sz w:val="20"/>
          <w:lang w:val="ru-RU"/>
        </w:rPr>
        <w:t xml:space="preserve"> точного </w:t>
      </w:r>
      <w:proofErr w:type="spellStart"/>
      <w:r w:rsidRPr="006B6651">
        <w:rPr>
          <w:color w:val="000000" w:themeColor="text1"/>
          <w:w w:val="110"/>
          <w:sz w:val="20"/>
          <w:lang w:val="ru-RU"/>
        </w:rPr>
        <w:t>діагнозу</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досягнення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діагностичної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визначеності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нарешті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дізнатися</w:t>
      </w:r>
      <w:proofErr w:type="spellEnd"/>
      <w:r w:rsidRPr="006B6651">
        <w:rPr>
          <w:color w:val="000000" w:themeColor="text1"/>
          <w:w w:val="110"/>
          <w:sz w:val="20"/>
          <w:lang w:val="ru-RU"/>
        </w:rPr>
        <w:t>,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зі</w:t>
      </w:r>
      <w:proofErr w:type="spellEnd"/>
      <w:r w:rsidRPr="006B6651">
        <w:rPr>
          <w:color w:val="000000" w:themeColor="text1"/>
          <w:w w:val="110"/>
          <w:sz w:val="20"/>
          <w:lang w:val="ru-RU"/>
        </w:rPr>
        <w:t xml:space="preserve"> мною не так»);</w:t>
      </w:r>
    </w:p>
    <w:p w14:paraId="11529164" w14:textId="77777777" w:rsidR="0001099E" w:rsidRPr="006B6651" w:rsidRDefault="0001099E" w:rsidP="004A2937">
      <w:pPr>
        <w:pStyle w:val="a4"/>
        <w:numPr>
          <w:ilvl w:val="1"/>
          <w:numId w:val="46"/>
        </w:numPr>
        <w:tabs>
          <w:tab w:val="left" w:pos="2078"/>
        </w:tabs>
        <w:spacing w:before="3" w:line="276" w:lineRule="auto"/>
        <w:ind w:right="4"/>
        <w:rPr>
          <w:color w:val="000000" w:themeColor="text1"/>
          <w:sz w:val="20"/>
          <w:lang w:val="ru-RU"/>
        </w:rPr>
      </w:pPr>
      <w:proofErr w:type="spellStart"/>
      <w:r w:rsidRPr="006B6651">
        <w:rPr>
          <w:color w:val="000000" w:themeColor="text1"/>
          <w:w w:val="110"/>
          <w:sz w:val="20"/>
          <w:lang w:val="ru-RU"/>
        </w:rPr>
        <w:t>уникнення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затримок</w:t>
      </w:r>
      <w:proofErr w:type="spellEnd"/>
      <w:r w:rsidRPr="006B6651">
        <w:rPr>
          <w:color w:val="000000" w:themeColor="text1"/>
          <w:w w:val="110"/>
          <w:sz w:val="20"/>
          <w:lang w:val="ru-RU"/>
        </w:rPr>
        <w:t xml:space="preserve"> у </w:t>
      </w:r>
      <w:proofErr w:type="spellStart"/>
      <w:r w:rsidRPr="006B6651">
        <w:rPr>
          <w:color w:val="000000" w:themeColor="text1"/>
          <w:w w:val="110"/>
          <w:sz w:val="20"/>
          <w:lang w:val="ru-RU"/>
        </w:rPr>
        <w:t>діагностиці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оскільки</w:t>
      </w:r>
      <w:proofErr w:type="spellEnd"/>
      <w:r w:rsidRPr="006B6651">
        <w:rPr>
          <w:color w:val="000000" w:themeColor="text1"/>
          <w:w w:val="110"/>
          <w:sz w:val="20"/>
          <w:lang w:val="ru-RU"/>
        </w:rPr>
        <w:t xml:space="preserve"> вони </w:t>
      </w:r>
      <w:proofErr w:type="spellStart"/>
      <w:r w:rsidRPr="006B6651">
        <w:rPr>
          <w:color w:val="000000" w:themeColor="text1"/>
          <w:w w:val="110"/>
          <w:sz w:val="20"/>
          <w:lang w:val="ru-RU"/>
        </w:rPr>
        <w:t>посилюють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наявні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фінансові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труднощі</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емоційні</w:t>
      </w:r>
      <w:proofErr w:type="spellEnd"/>
      <w:r w:rsidRPr="006B6651">
        <w:rPr>
          <w:color w:val="000000" w:themeColor="text1"/>
          <w:w w:val="110"/>
          <w:sz w:val="20"/>
          <w:lang w:val="ru-RU"/>
        </w:rPr>
        <w:t xml:space="preserve"> й </w:t>
      </w:r>
      <w:proofErr w:type="spellStart"/>
      <w:r w:rsidRPr="006B6651">
        <w:rPr>
          <w:color w:val="000000" w:themeColor="text1"/>
          <w:w w:val="110"/>
          <w:sz w:val="20"/>
          <w:lang w:val="ru-RU"/>
        </w:rPr>
        <w:t>фізичні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страждання</w:t>
      </w:r>
      <w:proofErr w:type="spellEnd"/>
      <w:r w:rsidRPr="006B6651">
        <w:rPr>
          <w:color w:val="000000" w:themeColor="text1"/>
          <w:w w:val="110"/>
          <w:sz w:val="20"/>
          <w:lang w:val="ru-RU"/>
        </w:rPr>
        <w:t xml:space="preserve">, і </w:t>
      </w:r>
      <w:proofErr w:type="spellStart"/>
      <w:r w:rsidRPr="006B6651">
        <w:rPr>
          <w:color w:val="000000" w:themeColor="text1"/>
          <w:w w:val="110"/>
          <w:sz w:val="20"/>
          <w:lang w:val="ru-RU"/>
        </w:rPr>
        <w:t>змушують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пацієнтів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почуватися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винними</w:t>
      </w:r>
      <w:proofErr w:type="spellEnd"/>
      <w:r w:rsidRPr="006B6651">
        <w:rPr>
          <w:color w:val="000000" w:themeColor="text1"/>
          <w:w w:val="110"/>
          <w:sz w:val="20"/>
          <w:lang w:val="ru-RU"/>
        </w:rPr>
        <w:t xml:space="preserve"> за </w:t>
      </w:r>
      <w:proofErr w:type="spellStart"/>
      <w:r w:rsidRPr="006B6651">
        <w:rPr>
          <w:color w:val="000000" w:themeColor="text1"/>
          <w:w w:val="110"/>
          <w:sz w:val="20"/>
          <w:lang w:val="ru-RU"/>
        </w:rPr>
        <w:t>зараження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інших</w:t>
      </w:r>
      <w:proofErr w:type="spellEnd"/>
      <w:r w:rsidRPr="006B6651">
        <w:rPr>
          <w:color w:val="000000" w:themeColor="text1"/>
          <w:w w:val="110"/>
          <w:sz w:val="20"/>
          <w:lang w:val="ru-RU"/>
        </w:rPr>
        <w:t xml:space="preserve"> (особливо </w:t>
      </w:r>
      <w:proofErr w:type="spellStart"/>
      <w:r w:rsidRPr="006B6651">
        <w:rPr>
          <w:color w:val="000000" w:themeColor="text1"/>
          <w:w w:val="110"/>
          <w:sz w:val="20"/>
          <w:lang w:val="ru-RU"/>
        </w:rPr>
        <w:t>дітей</w:t>
      </w:r>
      <w:proofErr w:type="spellEnd"/>
      <w:r w:rsidRPr="006B6651">
        <w:rPr>
          <w:color w:val="000000" w:themeColor="text1"/>
          <w:w w:val="110"/>
          <w:sz w:val="20"/>
          <w:lang w:val="ru-RU"/>
        </w:rPr>
        <w:t>);</w:t>
      </w:r>
    </w:p>
    <w:p w14:paraId="27A06B6B" w14:textId="77777777" w:rsidR="0001099E" w:rsidRPr="00BE6D3F" w:rsidRDefault="0001099E" w:rsidP="004A2937">
      <w:pPr>
        <w:pStyle w:val="a4"/>
        <w:numPr>
          <w:ilvl w:val="1"/>
          <w:numId w:val="46"/>
        </w:numPr>
        <w:tabs>
          <w:tab w:val="left" w:pos="2078"/>
        </w:tabs>
        <w:spacing w:before="3"/>
        <w:ind w:right="4" w:hanging="321"/>
        <w:rPr>
          <w:color w:val="000000" w:themeColor="text1"/>
          <w:sz w:val="20"/>
        </w:rPr>
      </w:pPr>
      <w:proofErr w:type="spellStart"/>
      <w:r w:rsidRPr="00BE6D3F">
        <w:rPr>
          <w:color w:val="000000" w:themeColor="text1"/>
          <w:w w:val="110"/>
          <w:sz w:val="20"/>
        </w:rPr>
        <w:t>наявність</w:t>
      </w:r>
      <w:proofErr w:type="spellEnd"/>
      <w:r w:rsidRPr="00BE6D3F">
        <w:rPr>
          <w:color w:val="000000" w:themeColor="text1"/>
          <w:w w:val="110"/>
          <w:sz w:val="20"/>
        </w:rPr>
        <w:t xml:space="preserve"> </w:t>
      </w:r>
      <w:proofErr w:type="spellStart"/>
      <w:r w:rsidRPr="00BE6D3F">
        <w:rPr>
          <w:color w:val="000000" w:themeColor="text1"/>
          <w:w w:val="110"/>
          <w:sz w:val="20"/>
        </w:rPr>
        <w:t>доступних</w:t>
      </w:r>
      <w:proofErr w:type="spellEnd"/>
      <w:r w:rsidRPr="00BE6D3F">
        <w:rPr>
          <w:color w:val="000000" w:themeColor="text1"/>
          <w:w w:val="110"/>
          <w:sz w:val="20"/>
        </w:rPr>
        <w:t xml:space="preserve"> </w:t>
      </w:r>
      <w:proofErr w:type="spellStart"/>
      <w:r w:rsidRPr="00BE6D3F">
        <w:rPr>
          <w:color w:val="000000" w:themeColor="text1"/>
          <w:w w:val="110"/>
          <w:sz w:val="20"/>
        </w:rPr>
        <w:t>медичних</w:t>
      </w:r>
      <w:proofErr w:type="spellEnd"/>
      <w:r w:rsidRPr="00BE6D3F">
        <w:rPr>
          <w:color w:val="000000" w:themeColor="text1"/>
          <w:w w:val="110"/>
          <w:sz w:val="20"/>
        </w:rPr>
        <w:t xml:space="preserve"> </w:t>
      </w:r>
      <w:proofErr w:type="spellStart"/>
      <w:r w:rsidRPr="00BE6D3F">
        <w:rPr>
          <w:color w:val="000000" w:themeColor="text1"/>
          <w:w w:val="110"/>
          <w:sz w:val="20"/>
        </w:rPr>
        <w:t>закладів</w:t>
      </w:r>
      <w:proofErr w:type="spellEnd"/>
      <w:r w:rsidRPr="00BE6D3F">
        <w:rPr>
          <w:color w:val="000000" w:themeColor="text1"/>
          <w:w w:val="110"/>
          <w:sz w:val="20"/>
        </w:rPr>
        <w:t>; та</w:t>
      </w:r>
    </w:p>
    <w:p w14:paraId="5045A34A" w14:textId="06660E29" w:rsidR="0001099E" w:rsidRPr="006B6651" w:rsidRDefault="0001099E" w:rsidP="004A2937">
      <w:pPr>
        <w:pStyle w:val="a4"/>
        <w:numPr>
          <w:ilvl w:val="1"/>
          <w:numId w:val="46"/>
        </w:numPr>
        <w:tabs>
          <w:tab w:val="left" w:pos="2078"/>
        </w:tabs>
        <w:spacing w:before="42" w:line="276" w:lineRule="auto"/>
        <w:ind w:right="4"/>
        <w:rPr>
          <w:color w:val="000000" w:themeColor="text1"/>
          <w:w w:val="110"/>
          <w:sz w:val="20"/>
          <w:lang w:val="ru-RU"/>
        </w:rPr>
      </w:pPr>
      <w:proofErr w:type="spellStart"/>
      <w:r w:rsidRPr="006B6651">
        <w:rPr>
          <w:color w:val="000000" w:themeColor="text1"/>
          <w:w w:val="110"/>
          <w:sz w:val="20"/>
          <w:lang w:val="ru-RU"/>
        </w:rPr>
        <w:t>зменшення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w:t>
      </w:r>
      <w:proofErr w:type="spellEnd"/>
      <w:r w:rsidRPr="006B6651">
        <w:rPr>
          <w:color w:val="000000" w:themeColor="text1"/>
          <w:w w:val="110"/>
          <w:sz w:val="20"/>
          <w:lang w:val="ru-RU"/>
        </w:rPr>
        <w:t xml:space="preserve">, пов'язаних з </w:t>
      </w:r>
      <w:proofErr w:type="spellStart"/>
      <w:r w:rsidRPr="006B6651">
        <w:rPr>
          <w:color w:val="000000" w:themeColor="text1"/>
          <w:w w:val="110"/>
          <w:sz w:val="20"/>
          <w:lang w:val="ru-RU"/>
        </w:rPr>
        <w:t>діагностикою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наприклад</w:t>
      </w:r>
      <w:proofErr w:type="spellEnd"/>
      <w:r w:rsidRPr="006B6651">
        <w:rPr>
          <w:color w:val="000000" w:themeColor="text1"/>
          <w:w w:val="110"/>
          <w:sz w:val="20"/>
          <w:lang w:val="ru-RU"/>
        </w:rPr>
        <w:t xml:space="preserve">, </w:t>
      </w:r>
      <w:r w:rsidRPr="00BE6D3F">
        <w:rPr>
          <w:color w:val="000000" w:themeColor="text1"/>
          <w:w w:val="110"/>
          <w:sz w:val="20"/>
          <w:lang w:val="uk-UA"/>
        </w:rPr>
        <w:t>витрати на</w:t>
      </w:r>
      <w:r w:rsidRPr="006B6651">
        <w:rPr>
          <w:color w:val="000000" w:themeColor="text1"/>
          <w:w w:val="110"/>
          <w:sz w:val="20"/>
          <w:lang w:val="ru-RU"/>
        </w:rPr>
        <w:t xml:space="preserve"> </w:t>
      </w:r>
      <w:proofErr w:type="spellStart"/>
      <w:r w:rsidRPr="006B6651">
        <w:rPr>
          <w:color w:val="000000" w:themeColor="text1"/>
          <w:w w:val="110"/>
          <w:sz w:val="20"/>
          <w:lang w:val="ru-RU"/>
        </w:rPr>
        <w:t>проїзд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втрат</w:t>
      </w:r>
      <w:proofErr w:type="spellEnd"/>
      <w:r w:rsidRPr="00BE6D3F">
        <w:rPr>
          <w:color w:val="000000" w:themeColor="text1"/>
          <w:w w:val="110"/>
          <w:sz w:val="20"/>
          <w:lang w:val="uk-UA"/>
        </w:rPr>
        <w:t>а</w:t>
      </w:r>
      <w:r w:rsidRPr="006B6651">
        <w:rPr>
          <w:color w:val="000000" w:themeColor="text1"/>
          <w:w w:val="110"/>
          <w:sz w:val="20"/>
          <w:lang w:val="ru-RU"/>
        </w:rPr>
        <w:t xml:space="preserve"> </w:t>
      </w:r>
      <w:proofErr w:type="spellStart"/>
      <w:r w:rsidRPr="006B6651">
        <w:rPr>
          <w:color w:val="000000" w:themeColor="text1"/>
          <w:w w:val="110"/>
          <w:sz w:val="20"/>
          <w:lang w:val="ru-RU"/>
        </w:rPr>
        <w:t>робочого</w:t>
      </w:r>
      <w:proofErr w:type="spellEnd"/>
      <w:r w:rsidRPr="006B6651">
        <w:rPr>
          <w:color w:val="000000" w:themeColor="text1"/>
          <w:w w:val="110"/>
          <w:sz w:val="20"/>
          <w:lang w:val="ru-RU"/>
        </w:rPr>
        <w:t xml:space="preserve"> часу), як </w:t>
      </w:r>
      <w:proofErr w:type="spellStart"/>
      <w:r w:rsidRPr="006B6651">
        <w:rPr>
          <w:color w:val="000000" w:themeColor="text1"/>
          <w:w w:val="110"/>
          <w:sz w:val="20"/>
          <w:lang w:val="ru-RU"/>
        </w:rPr>
        <w:t>важливі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результати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діагностики</w:t>
      </w:r>
      <w:proofErr w:type="spellEnd"/>
      <w:r w:rsidRPr="006B6651">
        <w:rPr>
          <w:color w:val="000000" w:themeColor="text1"/>
          <w:w w:val="110"/>
          <w:sz w:val="20"/>
          <w:lang w:val="ru-RU"/>
        </w:rPr>
        <w:t>.</w:t>
      </w:r>
    </w:p>
    <w:p w14:paraId="1A96294C" w14:textId="2A5F1D4A" w:rsidR="0001099E" w:rsidRPr="004A2937" w:rsidRDefault="0001099E" w:rsidP="0001099E">
      <w:pPr>
        <w:spacing w:line="260" w:lineRule="exact"/>
        <w:ind w:left="2077" w:right="4"/>
        <w:rPr>
          <w:i/>
          <w:color w:val="000000" w:themeColor="text1"/>
          <w:sz w:val="20"/>
          <w:lang w:val="uk-UA"/>
        </w:rPr>
      </w:pPr>
      <w:r w:rsidRPr="00BE6D3F">
        <w:rPr>
          <w:i/>
          <w:color w:val="000000" w:themeColor="text1"/>
          <w:sz w:val="20"/>
        </w:rPr>
        <w:t xml:space="preserve">QES: </w:t>
      </w:r>
      <w:r>
        <w:rPr>
          <w:i/>
          <w:color w:val="000000" w:themeColor="text1"/>
          <w:sz w:val="20"/>
          <w:lang w:val="uk-UA"/>
        </w:rPr>
        <w:t>середній</w:t>
      </w:r>
      <w:r w:rsidRPr="00BE6D3F">
        <w:rPr>
          <w:i/>
          <w:color w:val="000000" w:themeColor="text1"/>
          <w:sz w:val="20"/>
        </w:rPr>
        <w:t xml:space="preserve"> </w:t>
      </w:r>
      <w:proofErr w:type="spellStart"/>
      <w:r w:rsidRPr="00BE6D3F">
        <w:rPr>
          <w:i/>
          <w:color w:val="000000" w:themeColor="text1"/>
          <w:sz w:val="20"/>
        </w:rPr>
        <w:t>рівень</w:t>
      </w:r>
      <w:proofErr w:type="spellEnd"/>
      <w:r w:rsidRPr="00BE6D3F">
        <w:rPr>
          <w:i/>
          <w:color w:val="000000" w:themeColor="text1"/>
          <w:sz w:val="20"/>
        </w:rPr>
        <w:t xml:space="preserve"> </w:t>
      </w:r>
      <w:proofErr w:type="spellStart"/>
      <w:r w:rsidRPr="00BE6D3F">
        <w:rPr>
          <w:i/>
          <w:color w:val="000000" w:themeColor="text1"/>
          <w:sz w:val="20"/>
        </w:rPr>
        <w:t>достовірності</w:t>
      </w:r>
      <w:proofErr w:type="spellEnd"/>
      <w:r w:rsidR="004A2937">
        <w:rPr>
          <w:i/>
          <w:color w:val="000000" w:themeColor="text1"/>
          <w:sz w:val="20"/>
          <w:lang w:val="uk-UA"/>
        </w:rPr>
        <w:t xml:space="preserve">          </w:t>
      </w:r>
    </w:p>
    <w:p w14:paraId="2AF8FA35" w14:textId="364E1A65" w:rsidR="0001099E" w:rsidRPr="0001099E" w:rsidRDefault="0001099E" w:rsidP="0001099E">
      <w:pPr>
        <w:spacing w:line="260" w:lineRule="exact"/>
        <w:ind w:left="2077" w:right="4"/>
        <w:rPr>
          <w:i/>
          <w:color w:val="000000" w:themeColor="text1"/>
          <w:sz w:val="20"/>
          <w:lang w:val="uk-UA"/>
        </w:rPr>
      </w:pPr>
    </w:p>
    <w:p w14:paraId="0DBB132B" w14:textId="1DF358AE" w:rsidR="0001099E" w:rsidRPr="00BE6D3F" w:rsidRDefault="004A2937" w:rsidP="0001099E">
      <w:pPr>
        <w:spacing w:line="260" w:lineRule="exact"/>
        <w:ind w:right="4"/>
        <w:rPr>
          <w:i/>
          <w:color w:val="000000" w:themeColor="text1"/>
          <w:sz w:val="20"/>
        </w:rPr>
      </w:pPr>
      <w:r>
        <w:rPr>
          <w:noProof/>
        </w:rPr>
        <mc:AlternateContent>
          <mc:Choice Requires="wps">
            <w:drawing>
              <wp:anchor distT="0" distB="0" distL="114300" distR="114300" simplePos="0" relativeHeight="488223232" behindDoc="0" locked="0" layoutInCell="1" allowOverlap="1" wp14:anchorId="1FA8C0AA" wp14:editId="79C02D55">
                <wp:simplePos x="0" y="0"/>
                <wp:positionH relativeFrom="column">
                  <wp:posOffset>6025515</wp:posOffset>
                </wp:positionH>
                <wp:positionV relativeFrom="paragraph">
                  <wp:posOffset>160655</wp:posOffset>
                </wp:positionV>
                <wp:extent cx="463550" cy="285750"/>
                <wp:effectExtent l="0" t="0" r="0" b="0"/>
                <wp:wrapNone/>
                <wp:docPr id="659941979" name="Поле 1941"/>
                <wp:cNvGraphicFramePr/>
                <a:graphic xmlns:a="http://schemas.openxmlformats.org/drawingml/2006/main">
                  <a:graphicData uri="http://schemas.microsoft.com/office/word/2010/wordprocessingShape">
                    <wps:wsp>
                      <wps:cNvSpPr txBox="1"/>
                      <wps:spPr>
                        <a:xfrm>
                          <a:off x="0" y="0"/>
                          <a:ext cx="463550" cy="285750"/>
                        </a:xfrm>
                        <a:prstGeom prst="rect">
                          <a:avLst/>
                        </a:prstGeom>
                        <a:solidFill>
                          <a:schemeClr val="lt1"/>
                        </a:solidFill>
                        <a:ln w="6350">
                          <a:noFill/>
                        </a:ln>
                      </wps:spPr>
                      <wps:txbx>
                        <w:txbxContent>
                          <w:p w14:paraId="4D8EB27A" w14:textId="66B9C0C8" w:rsidR="004A2937" w:rsidRPr="00770751" w:rsidRDefault="004A2937" w:rsidP="004A2937">
                            <w:pPr>
                              <w:rPr>
                                <w:color w:val="388600"/>
                                <w:sz w:val="20"/>
                                <w:szCs w:val="20"/>
                                <w:lang w:val="uk-UA"/>
                              </w:rPr>
                            </w:pPr>
                            <w:r>
                              <w:rPr>
                                <w:color w:val="388600"/>
                                <w:sz w:val="20"/>
                                <w:szCs w:val="20"/>
                                <w:lang w:val="uk-UA"/>
                              </w:rPr>
                              <w:t>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8C0AA" id="_x0000_s1169" type="#_x0000_t202" style="position:absolute;margin-left:474.45pt;margin-top:12.65pt;width:36.5pt;height:22.5pt;z-index:4882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" fillcolor="white [3201]" stroked="f" strokeweight=".5pt">
                <v:textbox>
                  <w:txbxContent>
                    <w:p w14:paraId="4D8EB27A" w14:textId="66B9C0C8" w:rsidR="004A2937" w:rsidRPr="00770751" w:rsidRDefault="004A2937" w:rsidP="004A2937">
                      <w:pPr>
                        <w:rPr>
                          <w:color w:val="388600"/>
                          <w:sz w:val="20"/>
                          <w:szCs w:val="20"/>
                          <w:lang w:val="uk-UA"/>
                        </w:rPr>
                      </w:pPr>
                      <w:r>
                        <w:rPr>
                          <w:color w:val="388600"/>
                          <w:sz w:val="20"/>
                          <w:szCs w:val="20"/>
                          <w:lang w:val="uk-UA"/>
                        </w:rPr>
                        <w:t>97</w:t>
                      </w:r>
                    </w:p>
                  </w:txbxContent>
                </v:textbox>
              </v:shape>
            </w:pict>
          </mc:Fallback>
        </mc:AlternateContent>
      </w:r>
    </w:p>
    <w:p w14:paraId="5CDB01D5" w14:textId="77777777" w:rsidR="0001099E" w:rsidRPr="00BE6D3F" w:rsidRDefault="0001099E" w:rsidP="004A2937">
      <w:pPr>
        <w:pStyle w:val="a4"/>
        <w:numPr>
          <w:ilvl w:val="0"/>
          <w:numId w:val="45"/>
        </w:numPr>
        <w:tabs>
          <w:tab w:val="left" w:pos="1701"/>
        </w:tabs>
        <w:spacing w:before="86" w:line="276" w:lineRule="auto"/>
        <w:ind w:right="4"/>
        <w:rPr>
          <w:color w:val="000000" w:themeColor="text1"/>
          <w:sz w:val="20"/>
        </w:rPr>
      </w:pPr>
      <w:r w:rsidRPr="00BE6D3F">
        <w:rPr>
          <w:color w:val="000000" w:themeColor="text1"/>
          <w:w w:val="110"/>
          <w:sz w:val="20"/>
          <w:lang w:val="uk-UA"/>
        </w:rPr>
        <w:lastRenderedPageBreak/>
        <w:t>Т</w:t>
      </w:r>
      <w:r w:rsidRPr="00BE6D3F">
        <w:rPr>
          <w:color w:val="000000" w:themeColor="text1"/>
          <w:w w:val="110"/>
          <w:sz w:val="20"/>
        </w:rPr>
        <w:t xml:space="preserve">АНК </w:t>
      </w:r>
      <w:proofErr w:type="spellStart"/>
      <w:r w:rsidRPr="00BE6D3F">
        <w:rPr>
          <w:color w:val="000000" w:themeColor="text1"/>
          <w:w w:val="110"/>
          <w:sz w:val="20"/>
        </w:rPr>
        <w:t>високої</w:t>
      </w:r>
      <w:proofErr w:type="spellEnd"/>
      <w:r w:rsidRPr="00BE6D3F">
        <w:rPr>
          <w:color w:val="000000" w:themeColor="text1"/>
          <w:w w:val="110"/>
          <w:sz w:val="20"/>
        </w:rPr>
        <w:t xml:space="preserve"> </w:t>
      </w:r>
      <w:proofErr w:type="spellStart"/>
      <w:r w:rsidRPr="00BE6D3F">
        <w:rPr>
          <w:color w:val="000000" w:themeColor="text1"/>
          <w:w w:val="110"/>
          <w:sz w:val="20"/>
        </w:rPr>
        <w:t>складності</w:t>
      </w:r>
      <w:proofErr w:type="spellEnd"/>
      <w:r w:rsidRPr="00BE6D3F">
        <w:rPr>
          <w:color w:val="000000" w:themeColor="text1"/>
          <w:w w:val="110"/>
          <w:sz w:val="20"/>
        </w:rPr>
        <w:t xml:space="preserve"> </w:t>
      </w:r>
      <w:proofErr w:type="spellStart"/>
      <w:r w:rsidRPr="00BE6D3F">
        <w:rPr>
          <w:color w:val="000000" w:themeColor="text1"/>
          <w:w w:val="110"/>
          <w:sz w:val="20"/>
        </w:rPr>
        <w:t>на</w:t>
      </w:r>
      <w:proofErr w:type="spellEnd"/>
      <w:r w:rsidRPr="00BE6D3F">
        <w:rPr>
          <w:color w:val="000000" w:themeColor="text1"/>
          <w:w w:val="110"/>
          <w:sz w:val="20"/>
        </w:rPr>
        <w:t xml:space="preserve"> </w:t>
      </w:r>
      <w:proofErr w:type="spellStart"/>
      <w:r w:rsidRPr="00BE6D3F">
        <w:rPr>
          <w:color w:val="000000" w:themeColor="text1"/>
          <w:w w:val="110"/>
          <w:sz w:val="20"/>
        </w:rPr>
        <w:t>основі</w:t>
      </w:r>
      <w:proofErr w:type="spellEnd"/>
      <w:r w:rsidRPr="00BE6D3F">
        <w:rPr>
          <w:color w:val="000000" w:themeColor="text1"/>
          <w:w w:val="110"/>
          <w:sz w:val="20"/>
        </w:rPr>
        <w:t xml:space="preserve"> </w:t>
      </w:r>
      <w:proofErr w:type="spellStart"/>
      <w:r w:rsidRPr="00BE6D3F">
        <w:rPr>
          <w:color w:val="000000" w:themeColor="text1"/>
          <w:w w:val="110"/>
          <w:sz w:val="20"/>
        </w:rPr>
        <w:t>зворотної</w:t>
      </w:r>
      <w:proofErr w:type="spellEnd"/>
      <w:r w:rsidRPr="00BE6D3F">
        <w:rPr>
          <w:color w:val="000000" w:themeColor="text1"/>
          <w:w w:val="110"/>
          <w:sz w:val="20"/>
        </w:rPr>
        <w:t xml:space="preserve"> </w:t>
      </w:r>
      <w:proofErr w:type="spellStart"/>
      <w:r w:rsidRPr="00BE6D3F">
        <w:rPr>
          <w:color w:val="000000" w:themeColor="text1"/>
          <w:w w:val="110"/>
          <w:sz w:val="20"/>
        </w:rPr>
        <w:t>гібридизації</w:t>
      </w:r>
      <w:proofErr w:type="spellEnd"/>
      <w:r w:rsidRPr="00BE6D3F">
        <w:rPr>
          <w:color w:val="000000" w:themeColor="text1"/>
          <w:w w:val="110"/>
          <w:sz w:val="20"/>
        </w:rPr>
        <w:t xml:space="preserve"> </w:t>
      </w:r>
      <w:proofErr w:type="spellStart"/>
      <w:r w:rsidRPr="00BE6D3F">
        <w:rPr>
          <w:color w:val="000000" w:themeColor="text1"/>
          <w:w w:val="110"/>
          <w:sz w:val="20"/>
        </w:rPr>
        <w:t>відповіда</w:t>
      </w:r>
      <w:proofErr w:type="spellEnd"/>
      <w:r>
        <w:rPr>
          <w:color w:val="000000" w:themeColor="text1"/>
          <w:w w:val="110"/>
          <w:sz w:val="20"/>
          <w:lang w:val="uk-UA"/>
        </w:rPr>
        <w:t>є</w:t>
      </w:r>
      <w:r w:rsidRPr="00BE6D3F">
        <w:rPr>
          <w:color w:val="000000" w:themeColor="text1"/>
          <w:w w:val="110"/>
          <w:sz w:val="20"/>
        </w:rPr>
        <w:t xml:space="preserve"> </w:t>
      </w:r>
      <w:proofErr w:type="spellStart"/>
      <w:r w:rsidRPr="00BE6D3F">
        <w:rPr>
          <w:color w:val="000000" w:themeColor="text1"/>
          <w:w w:val="110"/>
          <w:sz w:val="20"/>
        </w:rPr>
        <w:t>деяким</w:t>
      </w:r>
      <w:proofErr w:type="spellEnd"/>
      <w:r w:rsidRPr="00BE6D3F">
        <w:rPr>
          <w:color w:val="000000" w:themeColor="text1"/>
          <w:w w:val="110"/>
          <w:sz w:val="20"/>
        </w:rPr>
        <w:t xml:space="preserve"> </w:t>
      </w:r>
      <w:proofErr w:type="spellStart"/>
      <w:r w:rsidRPr="00BE6D3F">
        <w:rPr>
          <w:color w:val="000000" w:themeColor="text1"/>
          <w:w w:val="110"/>
          <w:sz w:val="20"/>
        </w:rPr>
        <w:t>уподобанням</w:t>
      </w:r>
      <w:proofErr w:type="spellEnd"/>
      <w:r w:rsidRPr="00BE6D3F">
        <w:rPr>
          <w:color w:val="000000" w:themeColor="text1"/>
          <w:w w:val="110"/>
          <w:sz w:val="20"/>
        </w:rPr>
        <w:t xml:space="preserve"> </w:t>
      </w:r>
      <w:r w:rsidRPr="0012437C">
        <w:rPr>
          <w:color w:val="000000" w:themeColor="text1"/>
          <w:w w:val="110"/>
          <w:sz w:val="20"/>
        </w:rPr>
        <w:t xml:space="preserve">та </w:t>
      </w:r>
      <w:proofErr w:type="spellStart"/>
      <w:r w:rsidRPr="0012437C">
        <w:rPr>
          <w:color w:val="000000" w:themeColor="text1"/>
          <w:w w:val="110"/>
          <w:sz w:val="20"/>
        </w:rPr>
        <w:t>цінностям</w:t>
      </w:r>
      <w:proofErr w:type="spellEnd"/>
      <w:r w:rsidRPr="0012437C">
        <w:rPr>
          <w:color w:val="000000" w:themeColor="text1"/>
          <w:w w:val="110"/>
          <w:sz w:val="20"/>
        </w:rPr>
        <w:t xml:space="preserve"> </w:t>
      </w:r>
      <w:proofErr w:type="spellStart"/>
      <w:r w:rsidRPr="0012437C">
        <w:rPr>
          <w:color w:val="000000" w:themeColor="text1"/>
          <w:w w:val="110"/>
          <w:sz w:val="20"/>
        </w:rPr>
        <w:t>персоналу</w:t>
      </w:r>
      <w:proofErr w:type="spellEnd"/>
      <w:r w:rsidRPr="00BE6D3F">
        <w:rPr>
          <w:color w:val="000000" w:themeColor="text1"/>
          <w:w w:val="110"/>
          <w:sz w:val="20"/>
        </w:rPr>
        <w:t xml:space="preserve"> </w:t>
      </w:r>
      <w:proofErr w:type="spellStart"/>
      <w:r w:rsidRPr="00BE6D3F">
        <w:rPr>
          <w:color w:val="000000" w:themeColor="text1"/>
          <w:w w:val="110"/>
          <w:sz w:val="20"/>
        </w:rPr>
        <w:t>лабораторій</w:t>
      </w:r>
      <w:proofErr w:type="spellEnd"/>
      <w:r w:rsidRPr="00BE6D3F">
        <w:rPr>
          <w:color w:val="000000" w:themeColor="text1"/>
          <w:w w:val="110"/>
          <w:sz w:val="20"/>
        </w:rPr>
        <w:t xml:space="preserve"> та </w:t>
      </w:r>
      <w:r w:rsidRPr="00BE6D3F">
        <w:rPr>
          <w:color w:val="000000" w:themeColor="text1"/>
          <w:w w:val="110"/>
          <w:sz w:val="20"/>
          <w:lang w:val="uk-UA"/>
        </w:rPr>
        <w:t>лікарів</w:t>
      </w:r>
      <w:r w:rsidRPr="00BE6D3F">
        <w:rPr>
          <w:color w:val="000000" w:themeColor="text1"/>
          <w:w w:val="110"/>
          <w:sz w:val="20"/>
        </w:rPr>
        <w:t xml:space="preserve">, </w:t>
      </w:r>
      <w:proofErr w:type="spellStart"/>
      <w:r w:rsidRPr="00BE6D3F">
        <w:rPr>
          <w:color w:val="000000" w:themeColor="text1"/>
          <w:w w:val="110"/>
          <w:sz w:val="20"/>
        </w:rPr>
        <w:t>оскільки</w:t>
      </w:r>
      <w:proofErr w:type="spellEnd"/>
      <w:r w:rsidRPr="00BE6D3F">
        <w:rPr>
          <w:color w:val="000000" w:themeColor="text1"/>
          <w:w w:val="110"/>
          <w:sz w:val="20"/>
        </w:rPr>
        <w:t xml:space="preserve"> </w:t>
      </w:r>
      <w:r w:rsidRPr="00BE6D3F">
        <w:rPr>
          <w:color w:val="000000" w:themeColor="text1"/>
          <w:w w:val="110"/>
          <w:sz w:val="20"/>
          <w:lang w:val="uk-UA"/>
        </w:rPr>
        <w:t>цей</w:t>
      </w:r>
      <w:r w:rsidRPr="00BE6D3F">
        <w:rPr>
          <w:color w:val="000000" w:themeColor="text1"/>
          <w:w w:val="110"/>
          <w:sz w:val="20"/>
        </w:rPr>
        <w:t xml:space="preserve"> </w:t>
      </w:r>
      <w:proofErr w:type="spellStart"/>
      <w:r w:rsidRPr="00BE6D3F">
        <w:rPr>
          <w:color w:val="000000" w:themeColor="text1"/>
          <w:w w:val="110"/>
          <w:sz w:val="20"/>
        </w:rPr>
        <w:t>тест</w:t>
      </w:r>
      <w:proofErr w:type="spellEnd"/>
      <w:r w:rsidRPr="00BE6D3F">
        <w:rPr>
          <w:color w:val="000000" w:themeColor="text1"/>
          <w:w w:val="110"/>
          <w:sz w:val="20"/>
        </w:rPr>
        <w:t>:</w:t>
      </w:r>
    </w:p>
    <w:p w14:paraId="58E21E78" w14:textId="77777777" w:rsidR="0001099E" w:rsidRPr="006B6651" w:rsidRDefault="0001099E" w:rsidP="004A2937">
      <w:pPr>
        <w:pStyle w:val="a4"/>
        <w:numPr>
          <w:ilvl w:val="1"/>
          <w:numId w:val="45"/>
        </w:numPr>
        <w:tabs>
          <w:tab w:val="left" w:pos="2077"/>
          <w:tab w:val="left" w:pos="2078"/>
        </w:tabs>
        <w:spacing w:before="2" w:line="276" w:lineRule="auto"/>
        <w:ind w:right="4"/>
        <w:rPr>
          <w:color w:val="000000" w:themeColor="text1"/>
          <w:sz w:val="20"/>
          <w:lang w:val="ru-RU"/>
        </w:rPr>
      </w:pPr>
      <w:proofErr w:type="spellStart"/>
      <w:r w:rsidRPr="006B6651">
        <w:rPr>
          <w:color w:val="000000" w:themeColor="text1"/>
          <w:w w:val="110"/>
          <w:sz w:val="20"/>
          <w:lang w:val="ru-RU"/>
        </w:rPr>
        <w:t>надає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швидші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результати</w:t>
      </w:r>
      <w:proofErr w:type="spellEnd"/>
      <w:r w:rsidRPr="006B6651">
        <w:rPr>
          <w:color w:val="000000" w:themeColor="text1"/>
          <w:w w:val="110"/>
          <w:sz w:val="20"/>
          <w:lang w:val="ru-RU"/>
        </w:rPr>
        <w:t xml:space="preserve"> щодо </w:t>
      </w:r>
      <w:proofErr w:type="spellStart"/>
      <w:r w:rsidRPr="006B6651">
        <w:rPr>
          <w:color w:val="000000" w:themeColor="text1"/>
          <w:w w:val="110"/>
          <w:sz w:val="20"/>
          <w:lang w:val="ru-RU"/>
        </w:rPr>
        <w:t>стійкості</w:t>
      </w:r>
      <w:proofErr w:type="spellEnd"/>
      <w:r w:rsidRPr="006B6651">
        <w:rPr>
          <w:color w:val="000000" w:themeColor="text1"/>
          <w:w w:val="110"/>
          <w:sz w:val="20"/>
          <w:lang w:val="ru-RU"/>
        </w:rPr>
        <w:t xml:space="preserve"> до піразинаміду, </w:t>
      </w:r>
      <w:proofErr w:type="spellStart"/>
      <w:r w:rsidRPr="006B6651">
        <w:rPr>
          <w:color w:val="000000" w:themeColor="text1"/>
          <w:w w:val="110"/>
          <w:sz w:val="20"/>
          <w:lang w:val="ru-RU"/>
        </w:rPr>
        <w:t>ніж</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інші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доступні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методи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наприклад</w:t>
      </w:r>
      <w:proofErr w:type="spellEnd"/>
      <w:r w:rsidRPr="006B6651">
        <w:rPr>
          <w:color w:val="000000" w:themeColor="text1"/>
          <w:w w:val="110"/>
          <w:sz w:val="20"/>
          <w:lang w:val="ru-RU"/>
        </w:rPr>
        <w:t>, ТМ</w:t>
      </w:r>
      <w:r w:rsidRPr="00BE6D3F">
        <w:rPr>
          <w:color w:val="000000" w:themeColor="text1"/>
          <w:w w:val="110"/>
          <w:sz w:val="20"/>
          <w:lang w:val="uk-UA"/>
        </w:rPr>
        <w:t>Ч на основі культуральних методів</w:t>
      </w:r>
      <w:r w:rsidRPr="006B6651">
        <w:rPr>
          <w:color w:val="000000" w:themeColor="text1"/>
          <w:w w:val="110"/>
          <w:sz w:val="20"/>
          <w:lang w:val="ru-RU"/>
        </w:rPr>
        <w:t>);</w:t>
      </w:r>
    </w:p>
    <w:p w14:paraId="75B7D67B" w14:textId="77777777" w:rsidR="0001099E" w:rsidRPr="006B6651" w:rsidRDefault="0001099E" w:rsidP="004A2937">
      <w:pPr>
        <w:pStyle w:val="a4"/>
        <w:numPr>
          <w:ilvl w:val="1"/>
          <w:numId w:val="45"/>
        </w:numPr>
        <w:tabs>
          <w:tab w:val="left" w:pos="2077"/>
          <w:tab w:val="left" w:pos="2078"/>
        </w:tabs>
        <w:spacing w:before="2" w:line="276" w:lineRule="auto"/>
        <w:ind w:right="1416"/>
        <w:jc w:val="left"/>
        <w:rPr>
          <w:color w:val="000000" w:themeColor="text1"/>
          <w:sz w:val="20"/>
          <w:lang w:val="ru-RU"/>
        </w:rPr>
      </w:pPr>
      <w:proofErr w:type="spellStart"/>
      <w:r w:rsidRPr="006B6651">
        <w:rPr>
          <w:color w:val="000000" w:themeColor="text1"/>
          <w:w w:val="110"/>
          <w:sz w:val="20"/>
          <w:lang w:val="ru-RU"/>
        </w:rPr>
        <w:t>може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надавати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інформацію</w:t>
      </w:r>
      <w:proofErr w:type="spellEnd"/>
      <w:r w:rsidRPr="006B6651">
        <w:rPr>
          <w:color w:val="000000" w:themeColor="text1"/>
          <w:w w:val="110"/>
          <w:sz w:val="20"/>
          <w:lang w:val="ru-RU"/>
        </w:rPr>
        <w:t xml:space="preserve"> про </w:t>
      </w:r>
      <w:proofErr w:type="spellStart"/>
      <w:r w:rsidRPr="006B6651">
        <w:rPr>
          <w:color w:val="000000" w:themeColor="text1"/>
          <w:w w:val="110"/>
          <w:sz w:val="20"/>
          <w:lang w:val="ru-RU"/>
        </w:rPr>
        <w:t>різні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рівні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концентрації</w:t>
      </w:r>
      <w:proofErr w:type="spellEnd"/>
      <w:r w:rsidRPr="006B6651">
        <w:rPr>
          <w:color w:val="000000" w:themeColor="text1"/>
          <w:w w:val="110"/>
          <w:sz w:val="20"/>
          <w:lang w:val="ru-RU"/>
        </w:rPr>
        <w:t>; та</w:t>
      </w:r>
    </w:p>
    <w:p w14:paraId="28AC1450" w14:textId="77777777" w:rsidR="0001099E" w:rsidRPr="006B6651" w:rsidRDefault="0001099E" w:rsidP="004A2937">
      <w:pPr>
        <w:pStyle w:val="a4"/>
        <w:numPr>
          <w:ilvl w:val="1"/>
          <w:numId w:val="45"/>
        </w:numPr>
        <w:tabs>
          <w:tab w:val="left" w:pos="2077"/>
          <w:tab w:val="left" w:pos="2078"/>
        </w:tabs>
        <w:spacing w:before="42"/>
        <w:ind w:hanging="321"/>
        <w:rPr>
          <w:color w:val="000000" w:themeColor="text1"/>
          <w:sz w:val="20"/>
          <w:lang w:val="ru-RU"/>
        </w:rPr>
      </w:pPr>
      <w:proofErr w:type="spellStart"/>
      <w:r w:rsidRPr="006B6651">
        <w:rPr>
          <w:color w:val="000000" w:themeColor="text1"/>
          <w:w w:val="110"/>
          <w:sz w:val="20"/>
          <w:lang w:val="ru-RU"/>
        </w:rPr>
        <w:t>спрямований</w:t>
      </w:r>
      <w:proofErr w:type="spellEnd"/>
      <w:r w:rsidRPr="006B6651">
        <w:rPr>
          <w:color w:val="000000" w:themeColor="text1"/>
          <w:w w:val="110"/>
          <w:sz w:val="20"/>
          <w:lang w:val="ru-RU"/>
        </w:rPr>
        <w:t xml:space="preserve"> на препарат</w:t>
      </w:r>
      <w:r w:rsidRPr="006B6651">
        <w:rPr>
          <w:lang w:val="ru-RU"/>
        </w:rPr>
        <w:t xml:space="preserve"> </w:t>
      </w:r>
      <w:proofErr w:type="spellStart"/>
      <w:r w:rsidRPr="006B6651">
        <w:rPr>
          <w:color w:val="000000" w:themeColor="text1"/>
          <w:w w:val="110"/>
          <w:sz w:val="20"/>
          <w:lang w:val="ru-RU"/>
        </w:rPr>
        <w:t>першого</w:t>
      </w:r>
      <w:proofErr w:type="spellEnd"/>
      <w:r w:rsidRPr="006B6651">
        <w:rPr>
          <w:color w:val="000000" w:themeColor="text1"/>
          <w:w w:val="110"/>
          <w:sz w:val="20"/>
          <w:lang w:val="ru-RU"/>
        </w:rPr>
        <w:t xml:space="preserve"> ряду, </w:t>
      </w:r>
      <w:proofErr w:type="spellStart"/>
      <w:r w:rsidRPr="006B6651">
        <w:rPr>
          <w:color w:val="000000" w:themeColor="text1"/>
          <w:w w:val="110"/>
          <w:sz w:val="20"/>
          <w:lang w:val="ru-RU"/>
        </w:rPr>
        <w:t>який</w:t>
      </w:r>
      <w:proofErr w:type="spellEnd"/>
      <w:r w:rsidRPr="006B6651">
        <w:rPr>
          <w:color w:val="000000" w:themeColor="text1"/>
          <w:w w:val="110"/>
          <w:sz w:val="20"/>
          <w:lang w:val="ru-RU"/>
        </w:rPr>
        <w:t xml:space="preserve"> широко </w:t>
      </w:r>
      <w:proofErr w:type="spellStart"/>
      <w:r w:rsidRPr="006B6651">
        <w:rPr>
          <w:color w:val="000000" w:themeColor="text1"/>
          <w:w w:val="110"/>
          <w:sz w:val="20"/>
          <w:lang w:val="ru-RU"/>
        </w:rPr>
        <w:t>використовується</w:t>
      </w:r>
      <w:proofErr w:type="spellEnd"/>
      <w:r w:rsidRPr="006B6651">
        <w:rPr>
          <w:color w:val="000000" w:themeColor="text1"/>
          <w:w w:val="110"/>
          <w:sz w:val="20"/>
          <w:lang w:val="ru-RU"/>
        </w:rPr>
        <w:t xml:space="preserve"> в </w:t>
      </w:r>
      <w:proofErr w:type="spellStart"/>
      <w:r w:rsidRPr="006B6651">
        <w:rPr>
          <w:color w:val="000000" w:themeColor="text1"/>
          <w:w w:val="110"/>
          <w:sz w:val="20"/>
          <w:lang w:val="ru-RU"/>
        </w:rPr>
        <w:t>лікуванні</w:t>
      </w:r>
      <w:proofErr w:type="spellEnd"/>
      <w:r w:rsidRPr="00BE6D3F">
        <w:rPr>
          <w:color w:val="000000" w:themeColor="text1"/>
          <w:w w:val="110"/>
          <w:sz w:val="20"/>
          <w:lang w:val="uk-UA"/>
        </w:rPr>
        <w:t xml:space="preserve"> </w:t>
      </w:r>
      <w:r w:rsidRPr="006B6651">
        <w:rPr>
          <w:color w:val="000000" w:themeColor="text1"/>
          <w:w w:val="110"/>
          <w:sz w:val="20"/>
          <w:lang w:val="ru-RU"/>
        </w:rPr>
        <w:t>ТБ.</w:t>
      </w:r>
    </w:p>
    <w:p w14:paraId="6C93FCA1" w14:textId="77777777" w:rsidR="0001099E" w:rsidRPr="006B6651" w:rsidRDefault="0001099E" w:rsidP="0001099E">
      <w:pPr>
        <w:pStyle w:val="a4"/>
        <w:tabs>
          <w:tab w:val="left" w:pos="2077"/>
          <w:tab w:val="left" w:pos="2078"/>
        </w:tabs>
        <w:spacing w:before="42"/>
        <w:ind w:left="2077" w:firstLine="0"/>
        <w:jc w:val="left"/>
        <w:rPr>
          <w:i/>
          <w:color w:val="000000" w:themeColor="text1"/>
          <w:sz w:val="20"/>
          <w:lang w:val="ru-RU"/>
        </w:rPr>
      </w:pPr>
      <w:proofErr w:type="spellStart"/>
      <w:r w:rsidRPr="006B6651">
        <w:rPr>
          <w:i/>
          <w:color w:val="000000" w:themeColor="text1"/>
          <w:sz w:val="20"/>
          <w:lang w:val="ru-RU"/>
        </w:rPr>
        <w:t>Інтерв'ю</w:t>
      </w:r>
      <w:proofErr w:type="spellEnd"/>
    </w:p>
    <w:p w14:paraId="044F95D7" w14:textId="77777777" w:rsidR="0001099E" w:rsidRPr="006B6651" w:rsidRDefault="0001099E" w:rsidP="0001099E">
      <w:pPr>
        <w:pStyle w:val="9"/>
        <w:spacing w:before="212"/>
        <w:jc w:val="both"/>
        <w:rPr>
          <w:rFonts w:ascii="Microsoft Sans Serif" w:hAnsi="Microsoft Sans Serif" w:cs="Microsoft Sans Serif"/>
          <w:color w:val="000000" w:themeColor="text1"/>
          <w:sz w:val="20"/>
          <w:lang w:val="ru-RU"/>
        </w:rPr>
      </w:pPr>
      <w:r w:rsidRPr="006B6651">
        <w:rPr>
          <w:rFonts w:ascii="Microsoft Sans Serif" w:hAnsi="Microsoft Sans Serif" w:cs="Microsoft Sans Serif"/>
          <w:color w:val="000000" w:themeColor="text1"/>
          <w:w w:val="115"/>
          <w:sz w:val="20"/>
          <w:lang w:val="ru-RU"/>
        </w:rPr>
        <w:t xml:space="preserve">Яким буде </w:t>
      </w:r>
      <w:proofErr w:type="spellStart"/>
      <w:r w:rsidRPr="006B6651">
        <w:rPr>
          <w:rFonts w:ascii="Microsoft Sans Serif" w:hAnsi="Microsoft Sans Serif" w:cs="Microsoft Sans Serif"/>
          <w:color w:val="000000" w:themeColor="text1"/>
          <w:w w:val="115"/>
          <w:sz w:val="20"/>
          <w:lang w:val="ru-RU"/>
        </w:rPr>
        <w:t>вплив</w:t>
      </w:r>
      <w:proofErr w:type="spellEnd"/>
      <w:r w:rsidRPr="006B6651">
        <w:rPr>
          <w:rFonts w:ascii="Microsoft Sans Serif" w:hAnsi="Microsoft Sans Serif" w:cs="Microsoft Sans Serif"/>
          <w:color w:val="000000" w:themeColor="text1"/>
          <w:w w:val="115"/>
          <w:sz w:val="20"/>
          <w:lang w:val="ru-RU"/>
        </w:rPr>
        <w:t xml:space="preserve"> на </w:t>
      </w:r>
      <w:r>
        <w:rPr>
          <w:rFonts w:ascii="Microsoft Sans Serif" w:hAnsi="Microsoft Sans Serif" w:cs="Microsoft Sans Serif"/>
          <w:color w:val="000000" w:themeColor="text1"/>
          <w:w w:val="115"/>
          <w:sz w:val="20"/>
          <w:lang w:val="uk-UA"/>
        </w:rPr>
        <w:t>справедливість</w:t>
      </w:r>
      <w:r w:rsidRPr="006B6651">
        <w:rPr>
          <w:rFonts w:ascii="Microsoft Sans Serif" w:hAnsi="Microsoft Sans Serif" w:cs="Microsoft Sans Serif"/>
          <w:color w:val="000000" w:themeColor="text1"/>
          <w:w w:val="115"/>
          <w:sz w:val="20"/>
          <w:lang w:val="ru-RU"/>
        </w:rPr>
        <w:t xml:space="preserve"> у </w:t>
      </w:r>
      <w:proofErr w:type="spellStart"/>
      <w:r w:rsidRPr="006B6651">
        <w:rPr>
          <w:rFonts w:ascii="Microsoft Sans Serif" w:hAnsi="Microsoft Sans Serif" w:cs="Microsoft Sans Serif"/>
          <w:color w:val="000000" w:themeColor="text1"/>
          <w:w w:val="115"/>
          <w:sz w:val="20"/>
          <w:lang w:val="ru-RU"/>
        </w:rPr>
        <w:t>сфері</w:t>
      </w:r>
      <w:proofErr w:type="spellEnd"/>
      <w:r w:rsidRPr="006B6651">
        <w:rPr>
          <w:rFonts w:ascii="Microsoft Sans Serif" w:hAnsi="Microsoft Sans Serif" w:cs="Microsoft Sans Serif"/>
          <w:color w:val="000000" w:themeColor="text1"/>
          <w:w w:val="115"/>
          <w:sz w:val="20"/>
          <w:lang w:val="ru-RU"/>
        </w:rPr>
        <w:t xml:space="preserve"> </w:t>
      </w:r>
      <w:proofErr w:type="spellStart"/>
      <w:r w:rsidRPr="006B6651">
        <w:rPr>
          <w:rFonts w:ascii="Microsoft Sans Serif" w:hAnsi="Microsoft Sans Serif" w:cs="Microsoft Sans Serif"/>
          <w:color w:val="000000" w:themeColor="text1"/>
          <w:w w:val="115"/>
          <w:sz w:val="20"/>
          <w:lang w:val="ru-RU"/>
        </w:rPr>
        <w:t>охорони</w:t>
      </w:r>
      <w:proofErr w:type="spellEnd"/>
      <w:r w:rsidRPr="006B6651">
        <w:rPr>
          <w:rFonts w:ascii="Microsoft Sans Serif" w:hAnsi="Microsoft Sans Serif" w:cs="Microsoft Sans Serif"/>
          <w:color w:val="000000" w:themeColor="text1"/>
          <w:w w:val="115"/>
          <w:sz w:val="20"/>
          <w:lang w:val="ru-RU"/>
        </w:rPr>
        <w:t xml:space="preserve"> здоров'я?</w:t>
      </w:r>
    </w:p>
    <w:p w14:paraId="7C341B90" w14:textId="77777777" w:rsidR="0001099E" w:rsidRPr="006B6651" w:rsidRDefault="0001099E" w:rsidP="00291E90">
      <w:pPr>
        <w:pStyle w:val="a3"/>
        <w:spacing w:before="181" w:line="249" w:lineRule="auto"/>
        <w:ind w:left="567" w:right="2"/>
        <w:jc w:val="both"/>
        <w:rPr>
          <w:color w:val="000000" w:themeColor="text1"/>
          <w:sz w:val="20"/>
          <w:lang w:val="ru-RU"/>
        </w:rPr>
      </w:pPr>
      <w:proofErr w:type="spellStart"/>
      <w:r w:rsidRPr="006B6651">
        <w:rPr>
          <w:color w:val="000000" w:themeColor="text1"/>
          <w:w w:val="110"/>
          <w:sz w:val="20"/>
          <w:lang w:val="ru-RU"/>
        </w:rPr>
        <w:t>Вплив</w:t>
      </w:r>
      <w:proofErr w:type="spellEnd"/>
      <w:r w:rsidRPr="006B6651">
        <w:rPr>
          <w:color w:val="000000" w:themeColor="text1"/>
          <w:w w:val="110"/>
          <w:sz w:val="20"/>
          <w:lang w:val="ru-RU"/>
        </w:rPr>
        <w:t xml:space="preserve"> на </w:t>
      </w:r>
      <w:r>
        <w:rPr>
          <w:color w:val="000000" w:themeColor="text1"/>
          <w:w w:val="110"/>
          <w:sz w:val="20"/>
          <w:lang w:val="uk-UA"/>
        </w:rPr>
        <w:t>справедливість</w:t>
      </w:r>
      <w:r w:rsidRPr="006B6651">
        <w:rPr>
          <w:color w:val="000000" w:themeColor="text1"/>
          <w:w w:val="110"/>
          <w:sz w:val="20"/>
          <w:lang w:val="ru-RU"/>
        </w:rPr>
        <w:t xml:space="preserve"> у </w:t>
      </w:r>
      <w:proofErr w:type="spellStart"/>
      <w:r w:rsidRPr="006B6651">
        <w:rPr>
          <w:color w:val="000000" w:themeColor="text1"/>
          <w:w w:val="110"/>
          <w:sz w:val="20"/>
          <w:lang w:val="ru-RU"/>
        </w:rPr>
        <w:t>сфері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охорони</w:t>
      </w:r>
      <w:proofErr w:type="spellEnd"/>
      <w:r w:rsidRPr="006B6651">
        <w:rPr>
          <w:color w:val="000000" w:themeColor="text1"/>
          <w:w w:val="110"/>
          <w:sz w:val="20"/>
          <w:lang w:val="ru-RU"/>
        </w:rPr>
        <w:t xml:space="preserve"> здоров'я буде </w:t>
      </w:r>
      <w:proofErr w:type="spellStart"/>
      <w:r w:rsidRPr="006B6651">
        <w:rPr>
          <w:color w:val="000000" w:themeColor="text1"/>
          <w:w w:val="110"/>
          <w:sz w:val="20"/>
          <w:lang w:val="ru-RU"/>
        </w:rPr>
        <w:t>подібним</w:t>
      </w:r>
      <w:proofErr w:type="spellEnd"/>
      <w:r w:rsidRPr="006B6651">
        <w:rPr>
          <w:color w:val="000000" w:themeColor="text1"/>
          <w:w w:val="110"/>
          <w:sz w:val="20"/>
          <w:lang w:val="ru-RU"/>
        </w:rPr>
        <w:t xml:space="preserve"> до </w:t>
      </w:r>
      <w:proofErr w:type="spellStart"/>
      <w:r w:rsidRPr="006B6651">
        <w:rPr>
          <w:color w:val="000000" w:themeColor="text1"/>
          <w:w w:val="110"/>
          <w:sz w:val="20"/>
          <w:lang w:val="ru-RU"/>
        </w:rPr>
        <w:t>впливу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автоматизованих</w:t>
      </w:r>
      <w:proofErr w:type="spellEnd"/>
      <w:r w:rsidRPr="006B6651">
        <w:rPr>
          <w:color w:val="000000" w:themeColor="text1"/>
          <w:w w:val="110"/>
          <w:sz w:val="20"/>
          <w:lang w:val="ru-RU"/>
        </w:rPr>
        <w:t xml:space="preserve"> </w:t>
      </w:r>
      <w:r w:rsidRPr="00BE6D3F">
        <w:rPr>
          <w:color w:val="000000" w:themeColor="text1"/>
          <w:w w:val="110"/>
          <w:sz w:val="20"/>
          <w:lang w:val="uk-UA"/>
        </w:rPr>
        <w:t>Т</w:t>
      </w:r>
      <w:r w:rsidRPr="006B6651">
        <w:rPr>
          <w:color w:val="000000" w:themeColor="text1"/>
          <w:w w:val="110"/>
          <w:sz w:val="20"/>
          <w:lang w:val="ru-RU"/>
        </w:rPr>
        <w:t xml:space="preserve">АНК </w:t>
      </w:r>
      <w:proofErr w:type="spellStart"/>
      <w:r w:rsidRPr="006B6651">
        <w:rPr>
          <w:color w:val="000000" w:themeColor="text1"/>
          <w:w w:val="110"/>
          <w:sz w:val="20"/>
          <w:lang w:val="ru-RU"/>
        </w:rPr>
        <w:t>помірної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складності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Розділ</w:t>
      </w:r>
      <w:proofErr w:type="spellEnd"/>
      <w:r w:rsidRPr="006B6651">
        <w:rPr>
          <w:color w:val="000000" w:themeColor="text1"/>
          <w:w w:val="110"/>
          <w:sz w:val="20"/>
          <w:lang w:val="ru-RU"/>
        </w:rPr>
        <w:t xml:space="preserve"> 2.1.2), а також </w:t>
      </w:r>
      <w:proofErr w:type="spellStart"/>
      <w:r w:rsidRPr="006B6651">
        <w:rPr>
          <w:color w:val="000000" w:themeColor="text1"/>
          <w:w w:val="110"/>
          <w:sz w:val="20"/>
          <w:lang w:val="ru-RU"/>
        </w:rPr>
        <w:t>включатиме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наступне</w:t>
      </w:r>
      <w:proofErr w:type="spellEnd"/>
      <w:r w:rsidRPr="006B6651">
        <w:rPr>
          <w:color w:val="000000" w:themeColor="text1"/>
          <w:w w:val="110"/>
          <w:sz w:val="20"/>
          <w:lang w:val="ru-RU"/>
        </w:rPr>
        <w:t>:</w:t>
      </w:r>
    </w:p>
    <w:p w14:paraId="761267EF" w14:textId="77777777" w:rsidR="0001099E" w:rsidRPr="006B6651" w:rsidRDefault="0001099E" w:rsidP="004A2937">
      <w:pPr>
        <w:pStyle w:val="a4"/>
        <w:numPr>
          <w:ilvl w:val="0"/>
          <w:numId w:val="45"/>
        </w:numPr>
        <w:tabs>
          <w:tab w:val="left" w:pos="1701"/>
        </w:tabs>
        <w:spacing w:before="117" w:line="276" w:lineRule="auto"/>
        <w:ind w:right="2"/>
        <w:rPr>
          <w:color w:val="000000" w:themeColor="text1"/>
          <w:sz w:val="20"/>
          <w:lang w:val="ru-RU"/>
        </w:rPr>
      </w:pPr>
      <w:proofErr w:type="spellStart"/>
      <w:r w:rsidRPr="006B6651">
        <w:rPr>
          <w:color w:val="000000" w:themeColor="text1"/>
          <w:sz w:val="20"/>
          <w:lang w:val="ru-RU"/>
        </w:rPr>
        <w:t>Тривалі</w:t>
      </w:r>
      <w:proofErr w:type="spellEnd"/>
      <w:r w:rsidRPr="006B6651">
        <w:rPr>
          <w:color w:val="000000" w:themeColor="text1"/>
          <w:sz w:val="20"/>
          <w:lang w:val="ru-RU"/>
        </w:rPr>
        <w:t xml:space="preserve"> </w:t>
      </w:r>
      <w:proofErr w:type="spellStart"/>
      <w:r w:rsidRPr="006B6651">
        <w:rPr>
          <w:color w:val="000000" w:themeColor="text1"/>
          <w:sz w:val="20"/>
          <w:lang w:val="ru-RU"/>
        </w:rPr>
        <w:t>затримки</w:t>
      </w:r>
      <w:proofErr w:type="spellEnd"/>
      <w:r w:rsidRPr="006B6651">
        <w:rPr>
          <w:color w:val="000000" w:themeColor="text1"/>
          <w:sz w:val="20"/>
          <w:lang w:val="ru-RU"/>
        </w:rPr>
        <w:t xml:space="preserve"> в </w:t>
      </w:r>
      <w:proofErr w:type="spellStart"/>
      <w:r w:rsidRPr="006B6651">
        <w:rPr>
          <w:color w:val="000000" w:themeColor="text1"/>
          <w:sz w:val="20"/>
          <w:lang w:val="ru-RU"/>
        </w:rPr>
        <w:t>діагностиці</w:t>
      </w:r>
      <w:proofErr w:type="spellEnd"/>
      <w:r w:rsidRPr="006B6651">
        <w:rPr>
          <w:color w:val="000000" w:themeColor="text1"/>
          <w:sz w:val="20"/>
          <w:lang w:val="ru-RU"/>
        </w:rPr>
        <w:t xml:space="preserve">, </w:t>
      </w:r>
      <w:proofErr w:type="spellStart"/>
      <w:r w:rsidRPr="006B6651">
        <w:rPr>
          <w:color w:val="000000" w:themeColor="text1"/>
          <w:sz w:val="20"/>
          <w:lang w:val="ru-RU"/>
        </w:rPr>
        <w:t>недостатнє</w:t>
      </w:r>
      <w:proofErr w:type="spellEnd"/>
      <w:r w:rsidRPr="006B6651">
        <w:rPr>
          <w:color w:val="000000" w:themeColor="text1"/>
          <w:sz w:val="20"/>
          <w:lang w:val="ru-RU"/>
        </w:rPr>
        <w:t xml:space="preserve"> використання </w:t>
      </w:r>
      <w:proofErr w:type="spellStart"/>
      <w:r w:rsidRPr="006B6651">
        <w:rPr>
          <w:color w:val="000000" w:themeColor="text1"/>
          <w:sz w:val="20"/>
          <w:lang w:val="ru-RU"/>
        </w:rPr>
        <w:t>діагностичних</w:t>
      </w:r>
      <w:proofErr w:type="spellEnd"/>
      <w:r w:rsidRPr="006B6651">
        <w:rPr>
          <w:color w:val="000000" w:themeColor="text1"/>
          <w:sz w:val="20"/>
          <w:lang w:val="ru-RU"/>
        </w:rPr>
        <w:t xml:space="preserve"> </w:t>
      </w:r>
      <w:proofErr w:type="spellStart"/>
      <w:r w:rsidRPr="006B6651">
        <w:rPr>
          <w:color w:val="000000" w:themeColor="text1"/>
          <w:sz w:val="20"/>
          <w:lang w:val="ru-RU"/>
        </w:rPr>
        <w:t>засобів</w:t>
      </w:r>
      <w:proofErr w:type="spellEnd"/>
      <w:r w:rsidRPr="006B6651">
        <w:rPr>
          <w:color w:val="000000" w:themeColor="text1"/>
          <w:sz w:val="20"/>
          <w:lang w:val="ru-RU"/>
        </w:rPr>
        <w:t xml:space="preserve">, </w:t>
      </w:r>
      <w:proofErr w:type="spellStart"/>
      <w:r w:rsidRPr="006B6651">
        <w:rPr>
          <w:color w:val="000000" w:themeColor="text1"/>
          <w:sz w:val="20"/>
          <w:lang w:val="ru-RU"/>
        </w:rPr>
        <w:t>відсутність</w:t>
      </w:r>
      <w:proofErr w:type="spellEnd"/>
      <w:r w:rsidRPr="006B6651">
        <w:rPr>
          <w:color w:val="000000" w:themeColor="text1"/>
          <w:sz w:val="20"/>
          <w:lang w:val="ru-RU"/>
        </w:rPr>
        <w:t xml:space="preserve"> </w:t>
      </w:r>
      <w:proofErr w:type="spellStart"/>
      <w:r w:rsidRPr="006B6651">
        <w:rPr>
          <w:color w:val="000000" w:themeColor="text1"/>
          <w:sz w:val="20"/>
          <w:lang w:val="ru-RU"/>
        </w:rPr>
        <w:t>закладів</w:t>
      </w:r>
      <w:proofErr w:type="spellEnd"/>
      <w:r w:rsidRPr="006B6651">
        <w:rPr>
          <w:color w:val="000000" w:themeColor="text1"/>
          <w:sz w:val="20"/>
          <w:lang w:val="ru-RU"/>
        </w:rPr>
        <w:t xml:space="preserve"> для </w:t>
      </w:r>
      <w:proofErr w:type="spellStart"/>
      <w:r w:rsidRPr="006B6651">
        <w:rPr>
          <w:color w:val="000000" w:themeColor="text1"/>
          <w:sz w:val="20"/>
          <w:lang w:val="ru-RU"/>
        </w:rPr>
        <w:t>діагностики</w:t>
      </w:r>
      <w:proofErr w:type="spellEnd"/>
      <w:r w:rsidRPr="006B6651">
        <w:rPr>
          <w:color w:val="000000" w:themeColor="text1"/>
          <w:sz w:val="20"/>
          <w:lang w:val="ru-RU"/>
        </w:rPr>
        <w:t xml:space="preserve"> ТБ на </w:t>
      </w:r>
      <w:proofErr w:type="spellStart"/>
      <w:r w:rsidRPr="006B6651">
        <w:rPr>
          <w:color w:val="000000" w:themeColor="text1"/>
          <w:sz w:val="20"/>
          <w:lang w:val="ru-RU"/>
        </w:rPr>
        <w:t>нижчих</w:t>
      </w:r>
      <w:proofErr w:type="spellEnd"/>
      <w:r w:rsidRPr="006B6651">
        <w:rPr>
          <w:color w:val="000000" w:themeColor="text1"/>
          <w:sz w:val="20"/>
          <w:lang w:val="ru-RU"/>
        </w:rPr>
        <w:t xml:space="preserve"> </w:t>
      </w:r>
      <w:proofErr w:type="spellStart"/>
      <w:r w:rsidRPr="006B6651">
        <w:rPr>
          <w:color w:val="000000" w:themeColor="text1"/>
          <w:sz w:val="20"/>
          <w:lang w:val="ru-RU"/>
        </w:rPr>
        <w:t>рівнях</w:t>
      </w:r>
      <w:proofErr w:type="spellEnd"/>
      <w:r w:rsidRPr="006B6651">
        <w:rPr>
          <w:color w:val="000000" w:themeColor="text1"/>
          <w:sz w:val="20"/>
          <w:lang w:val="ru-RU"/>
        </w:rPr>
        <w:t xml:space="preserve"> </w:t>
      </w:r>
      <w:proofErr w:type="spellStart"/>
      <w:r w:rsidRPr="006B6651">
        <w:rPr>
          <w:color w:val="000000" w:themeColor="text1"/>
          <w:sz w:val="20"/>
          <w:lang w:val="ru-RU"/>
        </w:rPr>
        <w:t>медичної</w:t>
      </w:r>
      <w:proofErr w:type="spellEnd"/>
      <w:r w:rsidRPr="006B6651">
        <w:rPr>
          <w:color w:val="000000" w:themeColor="text1"/>
          <w:sz w:val="20"/>
          <w:lang w:val="ru-RU"/>
        </w:rPr>
        <w:t xml:space="preserve"> </w:t>
      </w:r>
      <w:proofErr w:type="spellStart"/>
      <w:r w:rsidRPr="006B6651">
        <w:rPr>
          <w:color w:val="000000" w:themeColor="text1"/>
          <w:sz w:val="20"/>
          <w:lang w:val="ru-RU"/>
        </w:rPr>
        <w:t>допомоги</w:t>
      </w:r>
      <w:proofErr w:type="spellEnd"/>
      <w:r w:rsidRPr="006B6651">
        <w:rPr>
          <w:color w:val="000000" w:themeColor="text1"/>
          <w:sz w:val="20"/>
          <w:lang w:val="ru-RU"/>
        </w:rPr>
        <w:t xml:space="preserve"> та </w:t>
      </w:r>
      <w:proofErr w:type="spellStart"/>
      <w:r w:rsidRPr="006B6651">
        <w:rPr>
          <w:color w:val="000000" w:themeColor="text1"/>
          <w:sz w:val="20"/>
          <w:lang w:val="ru-RU"/>
        </w:rPr>
        <w:t>надмірна</w:t>
      </w:r>
      <w:proofErr w:type="spellEnd"/>
      <w:r w:rsidRPr="006B6651">
        <w:rPr>
          <w:color w:val="000000" w:themeColor="text1"/>
          <w:sz w:val="20"/>
          <w:lang w:val="ru-RU"/>
        </w:rPr>
        <w:t xml:space="preserve"> </w:t>
      </w:r>
      <w:proofErr w:type="spellStart"/>
      <w:r w:rsidRPr="006B6651">
        <w:rPr>
          <w:color w:val="000000" w:themeColor="text1"/>
          <w:sz w:val="20"/>
          <w:lang w:val="ru-RU"/>
        </w:rPr>
        <w:t>кількість</w:t>
      </w:r>
      <w:proofErr w:type="spellEnd"/>
      <w:r w:rsidRPr="006B6651">
        <w:rPr>
          <w:color w:val="000000" w:themeColor="text1"/>
          <w:sz w:val="20"/>
          <w:lang w:val="ru-RU"/>
        </w:rPr>
        <w:t xml:space="preserve"> </w:t>
      </w:r>
      <w:proofErr w:type="spellStart"/>
      <w:r w:rsidRPr="006B6651">
        <w:rPr>
          <w:color w:val="000000" w:themeColor="text1"/>
          <w:sz w:val="20"/>
          <w:lang w:val="ru-RU"/>
        </w:rPr>
        <w:t>критеріїв</w:t>
      </w:r>
      <w:proofErr w:type="spellEnd"/>
      <w:r w:rsidRPr="006B6651">
        <w:rPr>
          <w:color w:val="000000" w:themeColor="text1"/>
          <w:sz w:val="20"/>
          <w:lang w:val="ru-RU"/>
        </w:rPr>
        <w:t xml:space="preserve"> </w:t>
      </w:r>
      <w:proofErr w:type="spellStart"/>
      <w:r w:rsidRPr="006B6651">
        <w:rPr>
          <w:color w:val="000000" w:themeColor="text1"/>
          <w:sz w:val="20"/>
          <w:lang w:val="ru-RU"/>
        </w:rPr>
        <w:t>відбору</w:t>
      </w:r>
      <w:proofErr w:type="spellEnd"/>
      <w:r w:rsidRPr="006B6651">
        <w:rPr>
          <w:color w:val="000000" w:themeColor="text1"/>
          <w:sz w:val="20"/>
          <w:lang w:val="ru-RU"/>
        </w:rPr>
        <w:t xml:space="preserve"> </w:t>
      </w:r>
      <w:proofErr w:type="spellStart"/>
      <w:r w:rsidRPr="006B6651">
        <w:rPr>
          <w:color w:val="000000" w:themeColor="text1"/>
          <w:sz w:val="20"/>
          <w:lang w:val="ru-RU"/>
        </w:rPr>
        <w:t>ускладнюють</w:t>
      </w:r>
      <w:proofErr w:type="spellEnd"/>
      <w:r w:rsidRPr="006B6651">
        <w:rPr>
          <w:color w:val="000000" w:themeColor="text1"/>
          <w:sz w:val="20"/>
          <w:lang w:val="ru-RU"/>
        </w:rPr>
        <w:t xml:space="preserve"> доступ до </w:t>
      </w:r>
      <w:proofErr w:type="spellStart"/>
      <w:r w:rsidRPr="006B6651">
        <w:rPr>
          <w:color w:val="000000" w:themeColor="text1"/>
          <w:sz w:val="20"/>
          <w:lang w:val="ru-RU"/>
        </w:rPr>
        <w:t>своєчасного</w:t>
      </w:r>
      <w:proofErr w:type="spellEnd"/>
      <w:r w:rsidRPr="006B6651">
        <w:rPr>
          <w:color w:val="000000" w:themeColor="text1"/>
          <w:sz w:val="20"/>
          <w:lang w:val="ru-RU"/>
        </w:rPr>
        <w:t xml:space="preserve"> та точного </w:t>
      </w:r>
      <w:proofErr w:type="spellStart"/>
      <w:r w:rsidRPr="006B6651">
        <w:rPr>
          <w:color w:val="000000" w:themeColor="text1"/>
          <w:sz w:val="20"/>
          <w:lang w:val="ru-RU"/>
        </w:rPr>
        <w:t>тестування</w:t>
      </w:r>
      <w:proofErr w:type="spellEnd"/>
      <w:r w:rsidRPr="006B6651">
        <w:rPr>
          <w:color w:val="000000" w:themeColor="text1"/>
          <w:sz w:val="20"/>
          <w:lang w:val="ru-RU"/>
        </w:rPr>
        <w:t xml:space="preserve"> і лікування, особливо для </w:t>
      </w:r>
      <w:proofErr w:type="spellStart"/>
      <w:r w:rsidRPr="006B6651">
        <w:rPr>
          <w:color w:val="000000" w:themeColor="text1"/>
          <w:sz w:val="20"/>
          <w:lang w:val="ru-RU"/>
        </w:rPr>
        <w:t>вразливих</w:t>
      </w:r>
      <w:proofErr w:type="spellEnd"/>
      <w:r w:rsidRPr="006B6651">
        <w:rPr>
          <w:color w:val="000000" w:themeColor="text1"/>
          <w:sz w:val="20"/>
          <w:lang w:val="ru-RU"/>
        </w:rPr>
        <w:t xml:space="preserve"> </w:t>
      </w:r>
      <w:proofErr w:type="spellStart"/>
      <w:r w:rsidRPr="006B6651">
        <w:rPr>
          <w:color w:val="000000" w:themeColor="text1"/>
          <w:sz w:val="20"/>
          <w:lang w:val="ru-RU"/>
        </w:rPr>
        <w:t>груп</w:t>
      </w:r>
      <w:proofErr w:type="spellEnd"/>
      <w:r w:rsidRPr="006B6651">
        <w:rPr>
          <w:color w:val="000000" w:themeColor="text1"/>
          <w:sz w:val="20"/>
          <w:lang w:val="ru-RU"/>
        </w:rPr>
        <w:t xml:space="preserve"> </w:t>
      </w:r>
      <w:proofErr w:type="spellStart"/>
      <w:r w:rsidRPr="006B6651">
        <w:rPr>
          <w:color w:val="000000" w:themeColor="text1"/>
          <w:sz w:val="20"/>
          <w:lang w:val="ru-RU"/>
        </w:rPr>
        <w:t>населення</w:t>
      </w:r>
      <w:proofErr w:type="spellEnd"/>
      <w:r w:rsidRPr="006B6651">
        <w:rPr>
          <w:color w:val="000000" w:themeColor="text1"/>
          <w:sz w:val="20"/>
          <w:lang w:val="ru-RU"/>
        </w:rPr>
        <w:t>.</w:t>
      </w:r>
    </w:p>
    <w:p w14:paraId="3B2A2925" w14:textId="77777777" w:rsidR="0001099E" w:rsidRPr="006B6651" w:rsidRDefault="0001099E" w:rsidP="00291E90">
      <w:pPr>
        <w:spacing w:before="40" w:line="276" w:lineRule="auto"/>
        <w:ind w:left="1700" w:right="2"/>
        <w:jc w:val="both"/>
        <w:rPr>
          <w:i/>
          <w:color w:val="000000" w:themeColor="text1"/>
          <w:sz w:val="20"/>
          <w:lang w:val="ru-RU"/>
        </w:rPr>
      </w:pPr>
      <w:r w:rsidRPr="00BE6D3F">
        <w:rPr>
          <w:i/>
          <w:color w:val="000000" w:themeColor="text1"/>
          <w:sz w:val="20"/>
        </w:rPr>
        <w:t>QES</w:t>
      </w:r>
      <w:r w:rsidRPr="006B6651">
        <w:rPr>
          <w:i/>
          <w:color w:val="000000" w:themeColor="text1"/>
          <w:sz w:val="20"/>
          <w:lang w:val="ru-RU"/>
        </w:rPr>
        <w:t xml:space="preserve">: </w:t>
      </w:r>
      <w:proofErr w:type="spellStart"/>
      <w:r w:rsidRPr="006B6651">
        <w:rPr>
          <w:i/>
          <w:color w:val="000000" w:themeColor="text1"/>
          <w:sz w:val="20"/>
          <w:lang w:val="ru-RU"/>
        </w:rPr>
        <w:t>високий</w:t>
      </w:r>
      <w:proofErr w:type="spellEnd"/>
      <w:r w:rsidRPr="006B6651">
        <w:rPr>
          <w:i/>
          <w:color w:val="000000" w:themeColor="text1"/>
          <w:sz w:val="20"/>
          <w:lang w:val="ru-RU"/>
        </w:rPr>
        <w:t xml:space="preserve"> </w:t>
      </w:r>
      <w:proofErr w:type="spellStart"/>
      <w:r w:rsidRPr="006B6651">
        <w:rPr>
          <w:i/>
          <w:color w:val="000000" w:themeColor="text1"/>
          <w:sz w:val="20"/>
          <w:lang w:val="ru-RU"/>
        </w:rPr>
        <w:t>рівень</w:t>
      </w:r>
      <w:proofErr w:type="spellEnd"/>
      <w:r w:rsidRPr="006B6651">
        <w:rPr>
          <w:i/>
          <w:color w:val="000000" w:themeColor="text1"/>
          <w:sz w:val="20"/>
          <w:lang w:val="ru-RU"/>
        </w:rPr>
        <w:t xml:space="preserve"> </w:t>
      </w:r>
      <w:proofErr w:type="spellStart"/>
      <w:r w:rsidRPr="006B6651">
        <w:rPr>
          <w:i/>
          <w:color w:val="000000" w:themeColor="text1"/>
          <w:sz w:val="20"/>
          <w:lang w:val="ru-RU"/>
        </w:rPr>
        <w:t>достовірності</w:t>
      </w:r>
      <w:proofErr w:type="spellEnd"/>
    </w:p>
    <w:p w14:paraId="5B794AE1" w14:textId="77777777" w:rsidR="0001099E" w:rsidRPr="006B6651" w:rsidRDefault="0001099E" w:rsidP="00291E90">
      <w:pPr>
        <w:spacing w:before="40"/>
        <w:ind w:left="1700" w:right="2"/>
        <w:jc w:val="both"/>
        <w:rPr>
          <w:i/>
          <w:color w:val="000000" w:themeColor="text1"/>
          <w:sz w:val="20"/>
          <w:lang w:val="ru-RU"/>
        </w:rPr>
      </w:pPr>
      <w:r w:rsidRPr="006B6651">
        <w:rPr>
          <w:i/>
          <w:color w:val="000000" w:themeColor="text1"/>
          <w:sz w:val="20"/>
          <w:lang w:val="ru-RU"/>
        </w:rPr>
        <w:t xml:space="preserve">За результатами </w:t>
      </w:r>
      <w:proofErr w:type="spellStart"/>
      <w:r w:rsidRPr="006B6651">
        <w:rPr>
          <w:i/>
          <w:color w:val="000000" w:themeColor="text1"/>
          <w:sz w:val="20"/>
          <w:lang w:val="ru-RU"/>
        </w:rPr>
        <w:t>інтерв'ю</w:t>
      </w:r>
      <w:proofErr w:type="spellEnd"/>
      <w:r w:rsidRPr="006B6651">
        <w:rPr>
          <w:i/>
          <w:color w:val="000000" w:themeColor="text1"/>
          <w:sz w:val="20"/>
          <w:lang w:val="ru-RU"/>
        </w:rPr>
        <w:t xml:space="preserve">, </w:t>
      </w:r>
      <w:proofErr w:type="spellStart"/>
      <w:r w:rsidRPr="006B6651">
        <w:rPr>
          <w:i/>
          <w:color w:val="000000" w:themeColor="text1"/>
          <w:sz w:val="20"/>
          <w:lang w:val="ru-RU"/>
        </w:rPr>
        <w:t>це</w:t>
      </w:r>
      <w:proofErr w:type="spellEnd"/>
      <w:r w:rsidRPr="006B6651">
        <w:rPr>
          <w:i/>
          <w:color w:val="000000" w:themeColor="text1"/>
          <w:sz w:val="20"/>
          <w:lang w:val="ru-RU"/>
        </w:rPr>
        <w:t xml:space="preserve"> також </w:t>
      </w:r>
      <w:proofErr w:type="spellStart"/>
      <w:r w:rsidRPr="006B6651">
        <w:rPr>
          <w:i/>
          <w:color w:val="000000" w:themeColor="text1"/>
          <w:sz w:val="20"/>
          <w:lang w:val="ru-RU"/>
        </w:rPr>
        <w:t>поширюється</w:t>
      </w:r>
      <w:proofErr w:type="spellEnd"/>
      <w:r w:rsidRPr="006B6651">
        <w:rPr>
          <w:i/>
          <w:color w:val="000000" w:themeColor="text1"/>
          <w:sz w:val="20"/>
          <w:lang w:val="ru-RU"/>
        </w:rPr>
        <w:t xml:space="preserve"> на три </w:t>
      </w:r>
      <w:r>
        <w:rPr>
          <w:i/>
          <w:color w:val="000000" w:themeColor="text1"/>
          <w:sz w:val="20"/>
          <w:lang w:val="uk-UA"/>
        </w:rPr>
        <w:t>досліджувані</w:t>
      </w:r>
      <w:r w:rsidRPr="006B6651">
        <w:rPr>
          <w:i/>
          <w:color w:val="000000" w:themeColor="text1"/>
          <w:sz w:val="20"/>
          <w:lang w:val="ru-RU"/>
        </w:rPr>
        <w:t xml:space="preserve"> тести</w:t>
      </w:r>
    </w:p>
    <w:p w14:paraId="573A7CCB" w14:textId="77777777" w:rsidR="0001099E" w:rsidRPr="006B6651" w:rsidRDefault="0001099E" w:rsidP="004A2937">
      <w:pPr>
        <w:pStyle w:val="a4"/>
        <w:numPr>
          <w:ilvl w:val="0"/>
          <w:numId w:val="45"/>
        </w:numPr>
        <w:tabs>
          <w:tab w:val="left" w:pos="1701"/>
        </w:tabs>
        <w:spacing w:before="52" w:line="273" w:lineRule="auto"/>
        <w:ind w:right="2"/>
        <w:rPr>
          <w:color w:val="000000" w:themeColor="text1"/>
          <w:sz w:val="20"/>
          <w:lang w:val="ru-RU"/>
        </w:rPr>
      </w:pPr>
      <w:r w:rsidRPr="006B6651">
        <w:rPr>
          <w:color w:val="000000" w:themeColor="text1"/>
          <w:sz w:val="20"/>
          <w:lang w:val="ru-RU"/>
        </w:rPr>
        <w:t xml:space="preserve">Персонал та </w:t>
      </w:r>
      <w:proofErr w:type="spellStart"/>
      <w:r w:rsidRPr="006B6651">
        <w:rPr>
          <w:color w:val="000000" w:themeColor="text1"/>
          <w:sz w:val="20"/>
          <w:lang w:val="ru-RU"/>
        </w:rPr>
        <w:t>керівники</w:t>
      </w:r>
      <w:proofErr w:type="spellEnd"/>
      <w:r w:rsidRPr="006B6651">
        <w:rPr>
          <w:color w:val="000000" w:themeColor="text1"/>
          <w:sz w:val="20"/>
          <w:lang w:val="ru-RU"/>
        </w:rPr>
        <w:t xml:space="preserve"> </w:t>
      </w:r>
      <w:proofErr w:type="spellStart"/>
      <w:r w:rsidRPr="006B6651">
        <w:rPr>
          <w:color w:val="000000" w:themeColor="text1"/>
          <w:sz w:val="20"/>
          <w:lang w:val="ru-RU"/>
        </w:rPr>
        <w:t>висловили</w:t>
      </w:r>
      <w:proofErr w:type="spellEnd"/>
      <w:r w:rsidRPr="006B6651">
        <w:rPr>
          <w:color w:val="000000" w:themeColor="text1"/>
          <w:sz w:val="20"/>
          <w:lang w:val="ru-RU"/>
        </w:rPr>
        <w:t xml:space="preserve"> </w:t>
      </w:r>
      <w:proofErr w:type="spellStart"/>
      <w:r w:rsidRPr="006B6651">
        <w:rPr>
          <w:color w:val="000000" w:themeColor="text1"/>
          <w:sz w:val="20"/>
          <w:lang w:val="ru-RU"/>
        </w:rPr>
        <w:t>занепокоєння</w:t>
      </w:r>
      <w:proofErr w:type="spellEnd"/>
      <w:r w:rsidRPr="006B6651">
        <w:rPr>
          <w:color w:val="000000" w:themeColor="text1"/>
          <w:sz w:val="20"/>
          <w:lang w:val="ru-RU"/>
        </w:rPr>
        <w:t xml:space="preserve"> щодо </w:t>
      </w:r>
      <w:proofErr w:type="spellStart"/>
      <w:r w:rsidRPr="006B6651">
        <w:rPr>
          <w:color w:val="000000" w:themeColor="text1"/>
          <w:sz w:val="20"/>
          <w:lang w:val="ru-RU"/>
        </w:rPr>
        <w:t>сталості</w:t>
      </w:r>
      <w:proofErr w:type="spellEnd"/>
      <w:r w:rsidRPr="006B6651">
        <w:rPr>
          <w:color w:val="000000" w:themeColor="text1"/>
          <w:sz w:val="20"/>
          <w:lang w:val="ru-RU"/>
        </w:rPr>
        <w:t xml:space="preserve"> </w:t>
      </w:r>
      <w:proofErr w:type="spellStart"/>
      <w:r w:rsidRPr="006B6651">
        <w:rPr>
          <w:color w:val="000000" w:themeColor="text1"/>
          <w:sz w:val="20"/>
          <w:lang w:val="ru-RU"/>
        </w:rPr>
        <w:t>фінансування</w:t>
      </w:r>
      <w:proofErr w:type="spellEnd"/>
      <w:r w:rsidRPr="006B6651">
        <w:rPr>
          <w:color w:val="000000" w:themeColor="text1"/>
          <w:sz w:val="20"/>
          <w:lang w:val="ru-RU"/>
        </w:rPr>
        <w:t xml:space="preserve"> та </w:t>
      </w:r>
      <w:proofErr w:type="spellStart"/>
      <w:r w:rsidRPr="006B6651">
        <w:rPr>
          <w:color w:val="000000" w:themeColor="text1"/>
          <w:sz w:val="20"/>
          <w:lang w:val="ru-RU"/>
        </w:rPr>
        <w:t>технічного</w:t>
      </w:r>
      <w:proofErr w:type="spellEnd"/>
      <w:r w:rsidRPr="006B6651">
        <w:rPr>
          <w:color w:val="000000" w:themeColor="text1"/>
          <w:sz w:val="20"/>
          <w:lang w:val="ru-RU"/>
        </w:rPr>
        <w:t xml:space="preserve"> </w:t>
      </w:r>
      <w:proofErr w:type="spellStart"/>
      <w:r w:rsidRPr="006B6651">
        <w:rPr>
          <w:color w:val="000000" w:themeColor="text1"/>
          <w:sz w:val="20"/>
          <w:lang w:val="ru-RU"/>
        </w:rPr>
        <w:t>обслуговування</w:t>
      </w:r>
      <w:proofErr w:type="spellEnd"/>
      <w:r w:rsidRPr="006B6651">
        <w:rPr>
          <w:color w:val="000000" w:themeColor="text1"/>
          <w:sz w:val="20"/>
          <w:lang w:val="ru-RU"/>
        </w:rPr>
        <w:t xml:space="preserve">, </w:t>
      </w:r>
      <w:proofErr w:type="spellStart"/>
      <w:r w:rsidRPr="006B6651">
        <w:rPr>
          <w:color w:val="000000" w:themeColor="text1"/>
          <w:sz w:val="20"/>
          <w:lang w:val="ru-RU"/>
        </w:rPr>
        <w:t>складних</w:t>
      </w:r>
      <w:proofErr w:type="spellEnd"/>
      <w:r w:rsidRPr="006B6651">
        <w:rPr>
          <w:color w:val="000000" w:themeColor="text1"/>
          <w:sz w:val="20"/>
          <w:lang w:val="ru-RU"/>
        </w:rPr>
        <w:t xml:space="preserve"> </w:t>
      </w:r>
      <w:proofErr w:type="spellStart"/>
      <w:r w:rsidRPr="006B6651">
        <w:rPr>
          <w:color w:val="000000" w:themeColor="text1"/>
          <w:sz w:val="20"/>
          <w:lang w:val="ru-RU"/>
        </w:rPr>
        <w:t>конфліктів</w:t>
      </w:r>
      <w:proofErr w:type="spellEnd"/>
      <w:r w:rsidRPr="006B6651">
        <w:rPr>
          <w:color w:val="000000" w:themeColor="text1"/>
          <w:sz w:val="20"/>
          <w:lang w:val="ru-RU"/>
        </w:rPr>
        <w:t xml:space="preserve"> інтересів </w:t>
      </w:r>
      <w:proofErr w:type="spellStart"/>
      <w:r w:rsidRPr="006B6651">
        <w:rPr>
          <w:color w:val="000000" w:themeColor="text1"/>
          <w:sz w:val="20"/>
          <w:lang w:val="ru-RU"/>
        </w:rPr>
        <w:t>між</w:t>
      </w:r>
      <w:proofErr w:type="spellEnd"/>
      <w:r w:rsidRPr="006B6651">
        <w:rPr>
          <w:color w:val="000000" w:themeColor="text1"/>
          <w:sz w:val="20"/>
          <w:lang w:val="ru-RU"/>
        </w:rPr>
        <w:t xml:space="preserve"> донорами та </w:t>
      </w:r>
      <w:proofErr w:type="spellStart"/>
      <w:r w:rsidRPr="006B6651">
        <w:rPr>
          <w:color w:val="000000" w:themeColor="text1"/>
          <w:sz w:val="20"/>
          <w:lang w:val="ru-RU"/>
        </w:rPr>
        <w:t>виконавцями</w:t>
      </w:r>
      <w:proofErr w:type="spellEnd"/>
      <w:r w:rsidRPr="006B6651">
        <w:rPr>
          <w:color w:val="000000" w:themeColor="text1"/>
          <w:sz w:val="20"/>
          <w:lang w:val="ru-RU"/>
        </w:rPr>
        <w:t xml:space="preserve">, а також </w:t>
      </w:r>
      <w:proofErr w:type="spellStart"/>
      <w:r w:rsidRPr="006B6651">
        <w:rPr>
          <w:color w:val="000000" w:themeColor="text1"/>
          <w:sz w:val="20"/>
          <w:lang w:val="ru-RU"/>
        </w:rPr>
        <w:t>стратегічного</w:t>
      </w:r>
      <w:proofErr w:type="spellEnd"/>
      <w:r w:rsidRPr="006B6651">
        <w:rPr>
          <w:color w:val="000000" w:themeColor="text1"/>
          <w:sz w:val="20"/>
          <w:lang w:val="ru-RU"/>
        </w:rPr>
        <w:t xml:space="preserve"> та справедливого використання </w:t>
      </w:r>
      <w:proofErr w:type="spellStart"/>
      <w:r w:rsidRPr="006B6651">
        <w:rPr>
          <w:color w:val="000000" w:themeColor="text1"/>
          <w:sz w:val="20"/>
          <w:lang w:val="ru-RU"/>
        </w:rPr>
        <w:t>ресурсів</w:t>
      </w:r>
      <w:proofErr w:type="spellEnd"/>
      <w:r w:rsidRPr="006B6651">
        <w:rPr>
          <w:color w:val="000000" w:themeColor="text1"/>
          <w:sz w:val="20"/>
          <w:lang w:val="ru-RU"/>
        </w:rPr>
        <w:t xml:space="preserve">, </w:t>
      </w:r>
      <w:proofErr w:type="spellStart"/>
      <w:r w:rsidRPr="006B6651">
        <w:rPr>
          <w:color w:val="000000" w:themeColor="text1"/>
          <w:sz w:val="20"/>
          <w:lang w:val="ru-RU"/>
        </w:rPr>
        <w:t>що</w:t>
      </w:r>
      <w:proofErr w:type="spellEnd"/>
      <w:r w:rsidRPr="006B6651">
        <w:rPr>
          <w:color w:val="000000" w:themeColor="text1"/>
          <w:sz w:val="20"/>
          <w:lang w:val="ru-RU"/>
        </w:rPr>
        <w:t xml:space="preserve"> </w:t>
      </w:r>
      <w:proofErr w:type="spellStart"/>
      <w:r w:rsidRPr="006B6651">
        <w:rPr>
          <w:color w:val="000000" w:themeColor="text1"/>
          <w:sz w:val="20"/>
          <w:lang w:val="ru-RU"/>
        </w:rPr>
        <w:t>ускладнює</w:t>
      </w:r>
      <w:proofErr w:type="spellEnd"/>
      <w:r w:rsidRPr="006B6651">
        <w:rPr>
          <w:color w:val="000000" w:themeColor="text1"/>
          <w:sz w:val="20"/>
          <w:lang w:val="ru-RU"/>
        </w:rPr>
        <w:t xml:space="preserve"> </w:t>
      </w:r>
      <w:proofErr w:type="spellStart"/>
      <w:r w:rsidRPr="006B6651">
        <w:rPr>
          <w:color w:val="000000" w:themeColor="text1"/>
          <w:sz w:val="20"/>
          <w:lang w:val="ru-RU"/>
        </w:rPr>
        <w:t>забезпечення</w:t>
      </w:r>
      <w:proofErr w:type="spellEnd"/>
      <w:r w:rsidRPr="006B6651">
        <w:rPr>
          <w:color w:val="000000" w:themeColor="text1"/>
          <w:sz w:val="20"/>
          <w:lang w:val="ru-RU"/>
        </w:rPr>
        <w:t xml:space="preserve"> </w:t>
      </w:r>
      <w:r>
        <w:rPr>
          <w:color w:val="000000" w:themeColor="text1"/>
          <w:sz w:val="20"/>
          <w:lang w:val="uk-UA"/>
        </w:rPr>
        <w:t>справедливого</w:t>
      </w:r>
      <w:r w:rsidRPr="006B6651">
        <w:rPr>
          <w:color w:val="000000" w:themeColor="text1"/>
          <w:sz w:val="20"/>
          <w:lang w:val="ru-RU"/>
        </w:rPr>
        <w:t xml:space="preserve"> доступу до </w:t>
      </w:r>
      <w:proofErr w:type="spellStart"/>
      <w:r w:rsidRPr="006B6651">
        <w:rPr>
          <w:color w:val="000000" w:themeColor="text1"/>
          <w:sz w:val="20"/>
          <w:lang w:val="ru-RU"/>
        </w:rPr>
        <w:t>діагностики</w:t>
      </w:r>
      <w:proofErr w:type="spellEnd"/>
      <w:r w:rsidRPr="006B6651">
        <w:rPr>
          <w:color w:val="000000" w:themeColor="text1"/>
          <w:sz w:val="20"/>
          <w:lang w:val="ru-RU"/>
        </w:rPr>
        <w:t xml:space="preserve"> </w:t>
      </w:r>
      <w:r w:rsidRPr="00BE6D3F">
        <w:rPr>
          <w:color w:val="000000" w:themeColor="text1"/>
          <w:sz w:val="20"/>
          <w:lang w:val="uk-UA"/>
        </w:rPr>
        <w:t>із використанням</w:t>
      </w:r>
      <w:r w:rsidRPr="006B6651">
        <w:rPr>
          <w:color w:val="000000" w:themeColor="text1"/>
          <w:sz w:val="20"/>
          <w:lang w:val="ru-RU"/>
        </w:rPr>
        <w:t xml:space="preserve"> </w:t>
      </w:r>
      <w:proofErr w:type="spellStart"/>
      <w:r w:rsidRPr="006B6651">
        <w:rPr>
          <w:color w:val="000000" w:themeColor="text1"/>
          <w:sz w:val="20"/>
          <w:lang w:val="ru-RU"/>
        </w:rPr>
        <w:t>картриджів</w:t>
      </w:r>
      <w:proofErr w:type="spellEnd"/>
      <w:r w:rsidRPr="006B6651">
        <w:rPr>
          <w:color w:val="000000" w:themeColor="text1"/>
          <w:sz w:val="20"/>
          <w:lang w:val="ru-RU"/>
        </w:rPr>
        <w:t>.</w:t>
      </w:r>
    </w:p>
    <w:p w14:paraId="79D25687" w14:textId="77777777" w:rsidR="0001099E" w:rsidRPr="00BE6D3F" w:rsidRDefault="0001099E" w:rsidP="00291E90">
      <w:pPr>
        <w:pStyle w:val="a4"/>
        <w:tabs>
          <w:tab w:val="left" w:pos="1701"/>
        </w:tabs>
        <w:spacing w:before="52" w:line="273" w:lineRule="auto"/>
        <w:ind w:right="2" w:firstLine="0"/>
        <w:rPr>
          <w:i/>
          <w:color w:val="000000" w:themeColor="text1"/>
          <w:sz w:val="20"/>
        </w:rPr>
      </w:pPr>
      <w:r w:rsidRPr="00BE6D3F">
        <w:rPr>
          <w:i/>
          <w:color w:val="000000" w:themeColor="text1"/>
          <w:sz w:val="20"/>
        </w:rPr>
        <w:t xml:space="preserve">QES: </w:t>
      </w:r>
      <w:proofErr w:type="spellStart"/>
      <w:r w:rsidRPr="00BE6D3F">
        <w:rPr>
          <w:i/>
          <w:color w:val="000000" w:themeColor="text1"/>
          <w:sz w:val="20"/>
        </w:rPr>
        <w:t>високий</w:t>
      </w:r>
      <w:proofErr w:type="spellEnd"/>
      <w:r w:rsidRPr="00BE6D3F">
        <w:rPr>
          <w:i/>
          <w:color w:val="000000" w:themeColor="text1"/>
          <w:sz w:val="20"/>
        </w:rPr>
        <w:t xml:space="preserve"> </w:t>
      </w:r>
      <w:proofErr w:type="spellStart"/>
      <w:r w:rsidRPr="00BE6D3F">
        <w:rPr>
          <w:i/>
          <w:color w:val="000000" w:themeColor="text1"/>
          <w:sz w:val="20"/>
        </w:rPr>
        <w:t>рівень</w:t>
      </w:r>
      <w:proofErr w:type="spellEnd"/>
      <w:r w:rsidRPr="00BE6D3F">
        <w:rPr>
          <w:i/>
          <w:color w:val="000000" w:themeColor="text1"/>
          <w:sz w:val="20"/>
        </w:rPr>
        <w:t xml:space="preserve"> </w:t>
      </w:r>
      <w:proofErr w:type="spellStart"/>
      <w:r w:rsidRPr="00BE6D3F">
        <w:rPr>
          <w:i/>
          <w:color w:val="000000" w:themeColor="text1"/>
          <w:sz w:val="20"/>
        </w:rPr>
        <w:t>достовірності</w:t>
      </w:r>
      <w:proofErr w:type="spellEnd"/>
    </w:p>
    <w:p w14:paraId="154E70A2" w14:textId="77777777" w:rsidR="0001099E" w:rsidRPr="00BE6D3F" w:rsidRDefault="0001099E" w:rsidP="004A2937">
      <w:pPr>
        <w:pStyle w:val="a4"/>
        <w:numPr>
          <w:ilvl w:val="0"/>
          <w:numId w:val="45"/>
        </w:numPr>
        <w:tabs>
          <w:tab w:val="left" w:pos="1701"/>
        </w:tabs>
        <w:spacing w:before="14" w:line="276" w:lineRule="auto"/>
        <w:ind w:right="2"/>
        <w:rPr>
          <w:color w:val="000000" w:themeColor="text1"/>
          <w:w w:val="110"/>
          <w:sz w:val="20"/>
        </w:rPr>
      </w:pPr>
      <w:proofErr w:type="spellStart"/>
      <w:r w:rsidRPr="00BE6D3F">
        <w:rPr>
          <w:color w:val="000000" w:themeColor="text1"/>
          <w:w w:val="110"/>
          <w:sz w:val="20"/>
        </w:rPr>
        <w:t>Для</w:t>
      </w:r>
      <w:proofErr w:type="spellEnd"/>
      <w:r w:rsidRPr="00BE6D3F">
        <w:rPr>
          <w:color w:val="000000" w:themeColor="text1"/>
          <w:w w:val="110"/>
          <w:sz w:val="20"/>
        </w:rPr>
        <w:t xml:space="preserve"> </w:t>
      </w:r>
      <w:proofErr w:type="spellStart"/>
      <w:r w:rsidRPr="00BE6D3F">
        <w:rPr>
          <w:color w:val="000000" w:themeColor="text1"/>
          <w:w w:val="110"/>
          <w:sz w:val="20"/>
        </w:rPr>
        <w:t>пацієнтів</w:t>
      </w:r>
      <w:proofErr w:type="spellEnd"/>
      <w:r w:rsidRPr="00BE6D3F">
        <w:rPr>
          <w:color w:val="000000" w:themeColor="text1"/>
          <w:w w:val="110"/>
          <w:sz w:val="20"/>
        </w:rPr>
        <w:t xml:space="preserve"> </w:t>
      </w:r>
      <w:proofErr w:type="spellStart"/>
      <w:r w:rsidRPr="00BE6D3F">
        <w:rPr>
          <w:color w:val="000000" w:themeColor="text1"/>
          <w:w w:val="110"/>
          <w:sz w:val="20"/>
        </w:rPr>
        <w:t>доступ</w:t>
      </w:r>
      <w:proofErr w:type="spellEnd"/>
      <w:r w:rsidRPr="00BE6D3F">
        <w:rPr>
          <w:color w:val="000000" w:themeColor="text1"/>
          <w:w w:val="110"/>
          <w:sz w:val="20"/>
        </w:rPr>
        <w:t xml:space="preserve"> </w:t>
      </w:r>
      <w:proofErr w:type="spellStart"/>
      <w:r w:rsidRPr="00BE6D3F">
        <w:rPr>
          <w:color w:val="000000" w:themeColor="text1"/>
          <w:w w:val="110"/>
          <w:sz w:val="20"/>
        </w:rPr>
        <w:t>до</w:t>
      </w:r>
      <w:proofErr w:type="spellEnd"/>
      <w:r w:rsidRPr="00BE6D3F">
        <w:rPr>
          <w:color w:val="000000" w:themeColor="text1"/>
          <w:w w:val="110"/>
          <w:sz w:val="20"/>
        </w:rPr>
        <w:t xml:space="preserve"> </w:t>
      </w:r>
      <w:proofErr w:type="spellStart"/>
      <w:r w:rsidRPr="00BE6D3F">
        <w:rPr>
          <w:color w:val="000000" w:themeColor="text1"/>
          <w:w w:val="110"/>
          <w:sz w:val="20"/>
        </w:rPr>
        <w:t>чіткої</w:t>
      </w:r>
      <w:proofErr w:type="spellEnd"/>
      <w:r w:rsidRPr="00BE6D3F">
        <w:rPr>
          <w:color w:val="000000" w:themeColor="text1"/>
          <w:w w:val="110"/>
          <w:sz w:val="20"/>
        </w:rPr>
        <w:t xml:space="preserve">, </w:t>
      </w:r>
      <w:proofErr w:type="spellStart"/>
      <w:r w:rsidRPr="00BE6D3F">
        <w:rPr>
          <w:color w:val="000000" w:themeColor="text1"/>
          <w:w w:val="110"/>
          <w:sz w:val="20"/>
        </w:rPr>
        <w:t>зрозумілої</w:t>
      </w:r>
      <w:proofErr w:type="spellEnd"/>
      <w:r w:rsidRPr="00BE6D3F">
        <w:rPr>
          <w:color w:val="000000" w:themeColor="text1"/>
          <w:w w:val="110"/>
          <w:sz w:val="20"/>
        </w:rPr>
        <w:t xml:space="preserve"> та </w:t>
      </w:r>
      <w:proofErr w:type="spellStart"/>
      <w:r w:rsidRPr="00BE6D3F">
        <w:rPr>
          <w:color w:val="000000" w:themeColor="text1"/>
          <w:w w:val="110"/>
          <w:sz w:val="20"/>
        </w:rPr>
        <w:t>надійної</w:t>
      </w:r>
      <w:proofErr w:type="spellEnd"/>
      <w:r w:rsidRPr="00BE6D3F">
        <w:rPr>
          <w:color w:val="000000" w:themeColor="text1"/>
          <w:w w:val="110"/>
          <w:sz w:val="20"/>
        </w:rPr>
        <w:t xml:space="preserve"> </w:t>
      </w:r>
      <w:proofErr w:type="spellStart"/>
      <w:r w:rsidRPr="00BE6D3F">
        <w:rPr>
          <w:color w:val="000000" w:themeColor="text1"/>
          <w:w w:val="110"/>
          <w:sz w:val="20"/>
        </w:rPr>
        <w:t>інформації</w:t>
      </w:r>
      <w:proofErr w:type="spellEnd"/>
      <w:r w:rsidRPr="00BE6D3F">
        <w:rPr>
          <w:color w:val="000000" w:themeColor="text1"/>
          <w:w w:val="110"/>
          <w:sz w:val="20"/>
        </w:rPr>
        <w:t xml:space="preserve"> </w:t>
      </w:r>
      <w:proofErr w:type="spellStart"/>
      <w:r w:rsidRPr="00BE6D3F">
        <w:rPr>
          <w:color w:val="000000" w:themeColor="text1"/>
          <w:w w:val="110"/>
          <w:sz w:val="20"/>
        </w:rPr>
        <w:t>про</w:t>
      </w:r>
      <w:proofErr w:type="spellEnd"/>
      <w:r w:rsidRPr="00BE6D3F">
        <w:rPr>
          <w:color w:val="000000" w:themeColor="text1"/>
          <w:w w:val="110"/>
          <w:sz w:val="20"/>
        </w:rPr>
        <w:t xml:space="preserve"> </w:t>
      </w:r>
      <w:proofErr w:type="spellStart"/>
      <w:r w:rsidRPr="00BE6D3F">
        <w:rPr>
          <w:color w:val="000000" w:themeColor="text1"/>
          <w:w w:val="110"/>
          <w:sz w:val="20"/>
        </w:rPr>
        <w:t>те</w:t>
      </w:r>
      <w:proofErr w:type="spellEnd"/>
      <w:r w:rsidRPr="00BE6D3F">
        <w:rPr>
          <w:color w:val="000000" w:themeColor="text1"/>
          <w:w w:val="110"/>
          <w:sz w:val="20"/>
        </w:rPr>
        <w:t xml:space="preserve">, </w:t>
      </w:r>
      <w:proofErr w:type="spellStart"/>
      <w:r w:rsidRPr="00BE6D3F">
        <w:rPr>
          <w:color w:val="000000" w:themeColor="text1"/>
          <w:w w:val="110"/>
          <w:sz w:val="20"/>
        </w:rPr>
        <w:t>які</w:t>
      </w:r>
      <w:proofErr w:type="spellEnd"/>
      <w:r w:rsidRPr="00BE6D3F">
        <w:rPr>
          <w:color w:val="000000" w:themeColor="text1"/>
          <w:w w:val="110"/>
          <w:sz w:val="20"/>
        </w:rPr>
        <w:t xml:space="preserve"> </w:t>
      </w:r>
      <w:proofErr w:type="spellStart"/>
      <w:r w:rsidRPr="00BE6D3F">
        <w:rPr>
          <w:color w:val="000000" w:themeColor="text1"/>
          <w:w w:val="110"/>
          <w:sz w:val="20"/>
        </w:rPr>
        <w:t>діагностичні</w:t>
      </w:r>
      <w:proofErr w:type="spellEnd"/>
      <w:r w:rsidRPr="00BE6D3F">
        <w:rPr>
          <w:color w:val="000000" w:themeColor="text1"/>
          <w:w w:val="110"/>
          <w:sz w:val="20"/>
        </w:rPr>
        <w:t xml:space="preserve"> </w:t>
      </w:r>
      <w:proofErr w:type="spellStart"/>
      <w:r w:rsidRPr="00BE6D3F">
        <w:rPr>
          <w:color w:val="000000" w:themeColor="text1"/>
          <w:w w:val="110"/>
          <w:sz w:val="20"/>
        </w:rPr>
        <w:t>засоби</w:t>
      </w:r>
      <w:proofErr w:type="spellEnd"/>
      <w:r w:rsidRPr="00BE6D3F">
        <w:rPr>
          <w:color w:val="000000" w:themeColor="text1"/>
          <w:w w:val="110"/>
          <w:sz w:val="20"/>
        </w:rPr>
        <w:t xml:space="preserve"> </w:t>
      </w:r>
      <w:proofErr w:type="spellStart"/>
      <w:r w:rsidRPr="00BE6D3F">
        <w:rPr>
          <w:color w:val="000000" w:themeColor="text1"/>
          <w:w w:val="110"/>
          <w:sz w:val="20"/>
        </w:rPr>
        <w:t>для</w:t>
      </w:r>
      <w:proofErr w:type="spellEnd"/>
      <w:r w:rsidRPr="00BE6D3F">
        <w:rPr>
          <w:color w:val="000000" w:themeColor="text1"/>
          <w:w w:val="110"/>
          <w:sz w:val="20"/>
        </w:rPr>
        <w:t xml:space="preserve"> ТБ </w:t>
      </w:r>
      <w:proofErr w:type="spellStart"/>
      <w:r w:rsidRPr="00BE6D3F">
        <w:rPr>
          <w:color w:val="000000" w:themeColor="text1"/>
          <w:w w:val="110"/>
          <w:sz w:val="20"/>
        </w:rPr>
        <w:t>їм</w:t>
      </w:r>
      <w:proofErr w:type="spellEnd"/>
      <w:r w:rsidRPr="00BE6D3F">
        <w:rPr>
          <w:color w:val="000000" w:themeColor="text1"/>
          <w:w w:val="110"/>
          <w:sz w:val="20"/>
        </w:rPr>
        <w:t xml:space="preserve"> </w:t>
      </w:r>
      <w:proofErr w:type="spellStart"/>
      <w:r w:rsidRPr="00BE6D3F">
        <w:rPr>
          <w:color w:val="000000" w:themeColor="text1"/>
          <w:w w:val="110"/>
          <w:sz w:val="20"/>
        </w:rPr>
        <w:t>доступні</w:t>
      </w:r>
      <w:proofErr w:type="spellEnd"/>
      <w:r w:rsidRPr="00BE6D3F">
        <w:rPr>
          <w:color w:val="000000" w:themeColor="text1"/>
          <w:w w:val="110"/>
          <w:sz w:val="20"/>
        </w:rPr>
        <w:t xml:space="preserve"> та </w:t>
      </w:r>
      <w:proofErr w:type="spellStart"/>
      <w:r w:rsidRPr="00BE6D3F">
        <w:rPr>
          <w:color w:val="000000" w:themeColor="text1"/>
          <w:w w:val="110"/>
          <w:sz w:val="20"/>
        </w:rPr>
        <w:t>як</w:t>
      </w:r>
      <w:proofErr w:type="spellEnd"/>
      <w:r w:rsidRPr="00BE6D3F">
        <w:rPr>
          <w:color w:val="000000" w:themeColor="text1"/>
          <w:w w:val="110"/>
          <w:sz w:val="20"/>
        </w:rPr>
        <w:t xml:space="preserve"> </w:t>
      </w:r>
      <w:proofErr w:type="spellStart"/>
      <w:r w:rsidRPr="00BE6D3F">
        <w:rPr>
          <w:color w:val="000000" w:themeColor="text1"/>
          <w:w w:val="110"/>
          <w:sz w:val="20"/>
        </w:rPr>
        <w:t>інтерпретувати</w:t>
      </w:r>
      <w:proofErr w:type="spellEnd"/>
      <w:r w:rsidRPr="00BE6D3F">
        <w:rPr>
          <w:color w:val="000000" w:themeColor="text1"/>
          <w:w w:val="110"/>
          <w:sz w:val="20"/>
        </w:rPr>
        <w:t xml:space="preserve"> </w:t>
      </w:r>
      <w:proofErr w:type="spellStart"/>
      <w:r w:rsidRPr="00BE6D3F">
        <w:rPr>
          <w:color w:val="000000" w:themeColor="text1"/>
          <w:w w:val="110"/>
          <w:sz w:val="20"/>
        </w:rPr>
        <w:t>результати</w:t>
      </w:r>
      <w:proofErr w:type="spellEnd"/>
      <w:r w:rsidRPr="00BE6D3F">
        <w:rPr>
          <w:color w:val="000000" w:themeColor="text1"/>
          <w:w w:val="110"/>
          <w:sz w:val="20"/>
        </w:rPr>
        <w:t xml:space="preserve">, є життєво </w:t>
      </w:r>
      <w:proofErr w:type="spellStart"/>
      <w:r w:rsidRPr="00BE6D3F">
        <w:rPr>
          <w:color w:val="000000" w:themeColor="text1"/>
          <w:w w:val="110"/>
          <w:sz w:val="20"/>
        </w:rPr>
        <w:t>важливим</w:t>
      </w:r>
      <w:proofErr w:type="spellEnd"/>
      <w:r w:rsidRPr="00BE6D3F">
        <w:rPr>
          <w:color w:val="000000" w:themeColor="text1"/>
          <w:w w:val="110"/>
          <w:sz w:val="20"/>
        </w:rPr>
        <w:t xml:space="preserve"> </w:t>
      </w:r>
      <w:proofErr w:type="spellStart"/>
      <w:r w:rsidRPr="00BE6D3F">
        <w:rPr>
          <w:color w:val="000000" w:themeColor="text1"/>
          <w:w w:val="110"/>
          <w:sz w:val="20"/>
        </w:rPr>
        <w:t>компонентом</w:t>
      </w:r>
      <w:proofErr w:type="spellEnd"/>
      <w:r w:rsidRPr="00BE6D3F">
        <w:rPr>
          <w:color w:val="000000" w:themeColor="text1"/>
          <w:w w:val="110"/>
          <w:sz w:val="20"/>
        </w:rPr>
        <w:t xml:space="preserve"> </w:t>
      </w:r>
      <w:r>
        <w:rPr>
          <w:color w:val="000000" w:themeColor="text1"/>
          <w:w w:val="110"/>
          <w:sz w:val="20"/>
          <w:lang w:val="uk-UA"/>
        </w:rPr>
        <w:t>справедливості</w:t>
      </w:r>
      <w:r w:rsidRPr="00BE6D3F">
        <w:rPr>
          <w:color w:val="000000" w:themeColor="text1"/>
          <w:w w:val="110"/>
          <w:sz w:val="20"/>
          <w:lang w:val="uk-UA"/>
        </w:rPr>
        <w:t>. В</w:t>
      </w:r>
      <w:proofErr w:type="spellStart"/>
      <w:r w:rsidRPr="00BE6D3F">
        <w:rPr>
          <w:color w:val="000000" w:themeColor="text1"/>
          <w:w w:val="110"/>
          <w:sz w:val="20"/>
        </w:rPr>
        <w:t>ідсутність</w:t>
      </w:r>
      <w:proofErr w:type="spellEnd"/>
      <w:r w:rsidRPr="00BE6D3F">
        <w:rPr>
          <w:color w:val="000000" w:themeColor="text1"/>
          <w:w w:val="110"/>
          <w:sz w:val="20"/>
        </w:rPr>
        <w:t xml:space="preserve"> </w:t>
      </w:r>
      <w:proofErr w:type="spellStart"/>
      <w:r w:rsidRPr="00BE6D3F">
        <w:rPr>
          <w:color w:val="000000" w:themeColor="text1"/>
          <w:w w:val="110"/>
          <w:sz w:val="20"/>
        </w:rPr>
        <w:t>такого</w:t>
      </w:r>
      <w:proofErr w:type="spellEnd"/>
      <w:r w:rsidRPr="00BE6D3F">
        <w:rPr>
          <w:color w:val="000000" w:themeColor="text1"/>
          <w:w w:val="110"/>
          <w:sz w:val="20"/>
        </w:rPr>
        <w:t xml:space="preserve"> </w:t>
      </w:r>
      <w:proofErr w:type="spellStart"/>
      <w:r w:rsidRPr="00BE6D3F">
        <w:rPr>
          <w:color w:val="000000" w:themeColor="text1"/>
          <w:w w:val="110"/>
          <w:sz w:val="20"/>
        </w:rPr>
        <w:t>доступу</w:t>
      </w:r>
      <w:proofErr w:type="spellEnd"/>
      <w:r w:rsidRPr="00BE6D3F">
        <w:rPr>
          <w:color w:val="000000" w:themeColor="text1"/>
          <w:w w:val="110"/>
          <w:sz w:val="20"/>
        </w:rPr>
        <w:t xml:space="preserve"> </w:t>
      </w:r>
      <w:r w:rsidRPr="00BE6D3F">
        <w:rPr>
          <w:color w:val="000000" w:themeColor="text1"/>
          <w:w w:val="110"/>
          <w:sz w:val="20"/>
          <w:lang w:val="uk-UA"/>
        </w:rPr>
        <w:t>-</w:t>
      </w:r>
      <w:r>
        <w:rPr>
          <w:color w:val="000000" w:themeColor="text1"/>
          <w:w w:val="110"/>
          <w:sz w:val="20"/>
          <w:lang w:val="uk-UA"/>
        </w:rPr>
        <w:t xml:space="preserve"> </w:t>
      </w:r>
      <w:r w:rsidRPr="00BE6D3F">
        <w:rPr>
          <w:color w:val="000000" w:themeColor="text1"/>
          <w:w w:val="110"/>
          <w:sz w:val="20"/>
          <w:lang w:val="uk-UA"/>
        </w:rPr>
        <w:t>це</w:t>
      </w:r>
      <w:r w:rsidRPr="00BE6D3F">
        <w:rPr>
          <w:color w:val="000000" w:themeColor="text1"/>
          <w:w w:val="110"/>
          <w:sz w:val="20"/>
        </w:rPr>
        <w:t xml:space="preserve"> </w:t>
      </w:r>
      <w:r>
        <w:rPr>
          <w:color w:val="000000" w:themeColor="text1"/>
          <w:w w:val="110"/>
          <w:sz w:val="20"/>
          <w:lang w:val="uk-UA"/>
        </w:rPr>
        <w:t>велика</w:t>
      </w:r>
      <w:r w:rsidRPr="00BE6D3F">
        <w:rPr>
          <w:color w:val="000000" w:themeColor="text1"/>
          <w:w w:val="110"/>
          <w:sz w:val="20"/>
        </w:rPr>
        <w:t xml:space="preserve"> </w:t>
      </w:r>
      <w:proofErr w:type="spellStart"/>
      <w:r w:rsidRPr="00BE6D3F">
        <w:rPr>
          <w:color w:val="000000" w:themeColor="text1"/>
          <w:w w:val="110"/>
          <w:sz w:val="20"/>
        </w:rPr>
        <w:t>перешкод</w:t>
      </w:r>
      <w:proofErr w:type="spellEnd"/>
      <w:r w:rsidRPr="00BE6D3F">
        <w:rPr>
          <w:color w:val="000000" w:themeColor="text1"/>
          <w:w w:val="110"/>
          <w:sz w:val="20"/>
          <w:lang w:val="uk-UA"/>
        </w:rPr>
        <w:t>а</w:t>
      </w:r>
      <w:r w:rsidRPr="00BE6D3F">
        <w:rPr>
          <w:color w:val="000000" w:themeColor="text1"/>
          <w:w w:val="110"/>
          <w:sz w:val="20"/>
        </w:rPr>
        <w:t xml:space="preserve"> </w:t>
      </w:r>
      <w:proofErr w:type="spellStart"/>
      <w:r w:rsidRPr="00BE6D3F">
        <w:rPr>
          <w:color w:val="000000" w:themeColor="text1"/>
          <w:w w:val="110"/>
          <w:sz w:val="20"/>
        </w:rPr>
        <w:t>для</w:t>
      </w:r>
      <w:proofErr w:type="spellEnd"/>
      <w:r w:rsidRPr="00BE6D3F">
        <w:rPr>
          <w:color w:val="000000" w:themeColor="text1"/>
          <w:w w:val="110"/>
          <w:sz w:val="20"/>
        </w:rPr>
        <w:t xml:space="preserve"> </w:t>
      </w:r>
      <w:proofErr w:type="spellStart"/>
      <w:r w:rsidRPr="00BE6D3F">
        <w:rPr>
          <w:color w:val="000000" w:themeColor="text1"/>
          <w:w w:val="110"/>
          <w:sz w:val="20"/>
        </w:rPr>
        <w:t>пацієнтів</w:t>
      </w:r>
      <w:proofErr w:type="spellEnd"/>
      <w:r w:rsidRPr="00BE6D3F">
        <w:rPr>
          <w:color w:val="000000" w:themeColor="text1"/>
          <w:w w:val="110"/>
          <w:sz w:val="20"/>
        </w:rPr>
        <w:t>.</w:t>
      </w:r>
    </w:p>
    <w:p w14:paraId="7D43A66D" w14:textId="77777777" w:rsidR="0001099E" w:rsidRPr="00BE6D3F" w:rsidRDefault="0001099E" w:rsidP="00291E90">
      <w:pPr>
        <w:pStyle w:val="a4"/>
        <w:tabs>
          <w:tab w:val="left" w:pos="1701"/>
        </w:tabs>
        <w:spacing w:before="14" w:line="276" w:lineRule="auto"/>
        <w:ind w:right="2" w:firstLine="0"/>
        <w:rPr>
          <w:i/>
          <w:color w:val="000000" w:themeColor="text1"/>
          <w:sz w:val="20"/>
        </w:rPr>
      </w:pPr>
      <w:proofErr w:type="spellStart"/>
      <w:r w:rsidRPr="00BE6D3F">
        <w:rPr>
          <w:i/>
          <w:color w:val="000000" w:themeColor="text1"/>
          <w:w w:val="110"/>
          <w:sz w:val="20"/>
        </w:rPr>
        <w:t>Інтерв'ю</w:t>
      </w:r>
      <w:proofErr w:type="spellEnd"/>
    </w:p>
    <w:p w14:paraId="2754B0EA" w14:textId="77777777" w:rsidR="0001099E" w:rsidRPr="006B6651" w:rsidRDefault="0001099E" w:rsidP="004A2937">
      <w:pPr>
        <w:pStyle w:val="a4"/>
        <w:numPr>
          <w:ilvl w:val="0"/>
          <w:numId w:val="45"/>
        </w:numPr>
        <w:tabs>
          <w:tab w:val="left" w:pos="1701"/>
        </w:tabs>
        <w:spacing w:before="41" w:line="276" w:lineRule="auto"/>
        <w:ind w:right="2"/>
        <w:rPr>
          <w:color w:val="000000" w:themeColor="text1"/>
          <w:w w:val="110"/>
          <w:sz w:val="20"/>
          <w:lang w:val="ru-RU"/>
        </w:rPr>
      </w:pPr>
      <w:r>
        <w:rPr>
          <w:color w:val="000000" w:themeColor="text1"/>
          <w:w w:val="110"/>
          <w:sz w:val="20"/>
          <w:lang w:val="uk-UA"/>
        </w:rPr>
        <w:t>В</w:t>
      </w:r>
      <w:proofErr w:type="spellStart"/>
      <w:r w:rsidRPr="006B6651">
        <w:rPr>
          <w:color w:val="000000" w:themeColor="text1"/>
          <w:w w:val="110"/>
          <w:sz w:val="20"/>
          <w:lang w:val="ru-RU"/>
        </w:rPr>
        <w:t>аріанти</w:t>
      </w:r>
      <w:proofErr w:type="spellEnd"/>
      <w:r w:rsidRPr="006B6651">
        <w:rPr>
          <w:color w:val="000000" w:themeColor="text1"/>
          <w:w w:val="110"/>
          <w:sz w:val="20"/>
          <w:lang w:val="ru-RU"/>
        </w:rPr>
        <w:t xml:space="preserve"> лікування </w:t>
      </w:r>
      <w:proofErr w:type="spellStart"/>
      <w:r w:rsidRPr="006B6651">
        <w:rPr>
          <w:color w:val="000000" w:themeColor="text1"/>
          <w:w w:val="110"/>
          <w:sz w:val="20"/>
          <w:lang w:val="ru-RU"/>
        </w:rPr>
        <w:t>мають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відповідати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новим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діагностичним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засобам</w:t>
      </w:r>
      <w:proofErr w:type="spellEnd"/>
      <w:r w:rsidRPr="00BE6D3F">
        <w:rPr>
          <w:color w:val="000000" w:themeColor="text1"/>
          <w:w w:val="110"/>
          <w:sz w:val="20"/>
          <w:lang w:val="uk-UA"/>
        </w:rPr>
        <w:t>. В</w:t>
      </w:r>
      <w:proofErr w:type="spellStart"/>
      <w:r w:rsidRPr="006B6651">
        <w:rPr>
          <w:color w:val="000000" w:themeColor="text1"/>
          <w:w w:val="110"/>
          <w:sz w:val="20"/>
          <w:lang w:val="ru-RU"/>
        </w:rPr>
        <w:t>ажливо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покращити</w:t>
      </w:r>
      <w:proofErr w:type="spellEnd"/>
      <w:r w:rsidRPr="006B6651">
        <w:rPr>
          <w:color w:val="000000" w:themeColor="text1"/>
          <w:w w:val="110"/>
          <w:sz w:val="20"/>
          <w:lang w:val="ru-RU"/>
        </w:rPr>
        <w:t xml:space="preserve"> доступ до лікування на </w:t>
      </w:r>
      <w:proofErr w:type="spellStart"/>
      <w:r w:rsidRPr="006B6651">
        <w:rPr>
          <w:color w:val="000000" w:themeColor="text1"/>
          <w:w w:val="110"/>
          <w:sz w:val="20"/>
          <w:lang w:val="ru-RU"/>
        </w:rPr>
        <w:t>основі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нових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діагностичних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засобів</w:t>
      </w:r>
      <w:proofErr w:type="spellEnd"/>
      <w:r w:rsidRPr="006B6651">
        <w:rPr>
          <w:color w:val="000000" w:themeColor="text1"/>
          <w:w w:val="110"/>
          <w:sz w:val="20"/>
          <w:lang w:val="ru-RU"/>
        </w:rPr>
        <w:t xml:space="preserve">, а також </w:t>
      </w:r>
      <w:proofErr w:type="spellStart"/>
      <w:r w:rsidRPr="006B6651">
        <w:rPr>
          <w:color w:val="000000" w:themeColor="text1"/>
          <w:w w:val="110"/>
          <w:sz w:val="20"/>
          <w:lang w:val="ru-RU"/>
        </w:rPr>
        <w:t>покращити</w:t>
      </w:r>
      <w:proofErr w:type="spellEnd"/>
      <w:r w:rsidRPr="006B6651">
        <w:rPr>
          <w:color w:val="000000" w:themeColor="text1"/>
          <w:w w:val="110"/>
          <w:sz w:val="20"/>
          <w:lang w:val="ru-RU"/>
        </w:rPr>
        <w:t xml:space="preserve"> доступ до </w:t>
      </w:r>
      <w:proofErr w:type="spellStart"/>
      <w:r w:rsidRPr="006B6651">
        <w:rPr>
          <w:color w:val="000000" w:themeColor="text1"/>
          <w:w w:val="110"/>
          <w:sz w:val="20"/>
          <w:lang w:val="ru-RU"/>
        </w:rPr>
        <w:t>діагностики</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нових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варіантів</w:t>
      </w:r>
      <w:proofErr w:type="spellEnd"/>
      <w:r w:rsidRPr="006B6651">
        <w:rPr>
          <w:color w:val="000000" w:themeColor="text1"/>
          <w:w w:val="110"/>
          <w:sz w:val="20"/>
          <w:lang w:val="ru-RU"/>
        </w:rPr>
        <w:t xml:space="preserve"> лікування.</w:t>
      </w:r>
    </w:p>
    <w:p w14:paraId="7713CAA9" w14:textId="77777777" w:rsidR="0001099E" w:rsidRPr="00BE6D3F" w:rsidRDefault="0001099E" w:rsidP="00291E90">
      <w:pPr>
        <w:pStyle w:val="a4"/>
        <w:tabs>
          <w:tab w:val="left" w:pos="1701"/>
        </w:tabs>
        <w:spacing w:before="41" w:line="276" w:lineRule="auto"/>
        <w:ind w:right="2" w:firstLine="0"/>
        <w:rPr>
          <w:i/>
          <w:color w:val="000000" w:themeColor="text1"/>
          <w:sz w:val="20"/>
        </w:rPr>
      </w:pPr>
      <w:proofErr w:type="spellStart"/>
      <w:r w:rsidRPr="00BE6D3F">
        <w:rPr>
          <w:i/>
          <w:color w:val="000000" w:themeColor="text1"/>
          <w:w w:val="110"/>
          <w:sz w:val="20"/>
        </w:rPr>
        <w:t>Інтерв'ю</w:t>
      </w:r>
      <w:proofErr w:type="spellEnd"/>
    </w:p>
    <w:p w14:paraId="4D52A470" w14:textId="77777777" w:rsidR="0001099E" w:rsidRPr="006B6651" w:rsidRDefault="0001099E" w:rsidP="004A2937">
      <w:pPr>
        <w:pStyle w:val="a4"/>
        <w:numPr>
          <w:ilvl w:val="0"/>
          <w:numId w:val="45"/>
        </w:numPr>
        <w:tabs>
          <w:tab w:val="left" w:pos="1701"/>
        </w:tabs>
        <w:spacing w:before="41" w:line="276" w:lineRule="auto"/>
        <w:ind w:right="2"/>
        <w:rPr>
          <w:color w:val="000000" w:themeColor="text1"/>
          <w:sz w:val="20"/>
          <w:lang w:val="ru-RU"/>
        </w:rPr>
      </w:pPr>
      <w:proofErr w:type="spellStart"/>
      <w:r w:rsidRPr="00BE6D3F">
        <w:rPr>
          <w:color w:val="000000" w:themeColor="text1"/>
          <w:w w:val="110"/>
          <w:sz w:val="20"/>
        </w:rPr>
        <w:t>Швидкість</w:t>
      </w:r>
      <w:proofErr w:type="spellEnd"/>
      <w:r w:rsidRPr="00BE6D3F">
        <w:rPr>
          <w:color w:val="000000" w:themeColor="text1"/>
          <w:w w:val="110"/>
          <w:sz w:val="20"/>
        </w:rPr>
        <w:t xml:space="preserve">, з </w:t>
      </w:r>
      <w:proofErr w:type="spellStart"/>
      <w:r w:rsidRPr="00BE6D3F">
        <w:rPr>
          <w:color w:val="000000" w:themeColor="text1"/>
          <w:w w:val="110"/>
          <w:sz w:val="20"/>
        </w:rPr>
        <w:t>якою</w:t>
      </w:r>
      <w:proofErr w:type="spellEnd"/>
      <w:r w:rsidRPr="00BE6D3F">
        <w:rPr>
          <w:color w:val="000000" w:themeColor="text1"/>
          <w:w w:val="110"/>
          <w:sz w:val="20"/>
        </w:rPr>
        <w:t xml:space="preserve"> </w:t>
      </w:r>
      <w:proofErr w:type="spellStart"/>
      <w:r w:rsidRPr="00BE6D3F">
        <w:rPr>
          <w:color w:val="000000" w:themeColor="text1"/>
          <w:w w:val="110"/>
          <w:sz w:val="20"/>
        </w:rPr>
        <w:t>змінюються</w:t>
      </w:r>
      <w:proofErr w:type="spellEnd"/>
      <w:r w:rsidRPr="00BE6D3F">
        <w:rPr>
          <w:color w:val="000000" w:themeColor="text1"/>
          <w:w w:val="110"/>
          <w:sz w:val="20"/>
        </w:rPr>
        <w:t xml:space="preserve"> </w:t>
      </w:r>
      <w:proofErr w:type="spellStart"/>
      <w:r w:rsidRPr="00BE6D3F">
        <w:rPr>
          <w:color w:val="000000" w:themeColor="text1"/>
          <w:w w:val="110"/>
          <w:sz w:val="20"/>
        </w:rPr>
        <w:t>рекомендації</w:t>
      </w:r>
      <w:proofErr w:type="spellEnd"/>
      <w:r w:rsidRPr="00BE6D3F">
        <w:rPr>
          <w:color w:val="000000" w:themeColor="text1"/>
          <w:w w:val="110"/>
          <w:sz w:val="20"/>
        </w:rPr>
        <w:t xml:space="preserve"> ВООЗ, </w:t>
      </w:r>
      <w:proofErr w:type="spellStart"/>
      <w:r w:rsidRPr="00BE6D3F">
        <w:rPr>
          <w:color w:val="000000" w:themeColor="text1"/>
          <w:w w:val="110"/>
          <w:sz w:val="20"/>
        </w:rPr>
        <w:t>не</w:t>
      </w:r>
      <w:proofErr w:type="spellEnd"/>
      <w:r w:rsidRPr="00BE6D3F">
        <w:rPr>
          <w:color w:val="000000" w:themeColor="text1"/>
          <w:w w:val="110"/>
          <w:sz w:val="20"/>
        </w:rPr>
        <w:t xml:space="preserve"> </w:t>
      </w:r>
      <w:proofErr w:type="spellStart"/>
      <w:r w:rsidRPr="00BE6D3F">
        <w:rPr>
          <w:color w:val="000000" w:themeColor="text1"/>
          <w:w w:val="110"/>
          <w:sz w:val="20"/>
        </w:rPr>
        <w:t>відповідає</w:t>
      </w:r>
      <w:proofErr w:type="spellEnd"/>
      <w:r w:rsidRPr="00BE6D3F">
        <w:rPr>
          <w:color w:val="000000" w:themeColor="text1"/>
          <w:w w:val="110"/>
          <w:sz w:val="20"/>
        </w:rPr>
        <w:t xml:space="preserve"> </w:t>
      </w:r>
      <w:proofErr w:type="spellStart"/>
      <w:r w:rsidRPr="00BE6D3F">
        <w:rPr>
          <w:color w:val="000000" w:themeColor="text1"/>
          <w:w w:val="110"/>
          <w:sz w:val="20"/>
        </w:rPr>
        <w:t>швидкості</w:t>
      </w:r>
      <w:proofErr w:type="spellEnd"/>
      <w:r w:rsidRPr="00BE6D3F">
        <w:rPr>
          <w:color w:val="000000" w:themeColor="text1"/>
          <w:w w:val="110"/>
          <w:sz w:val="20"/>
        </w:rPr>
        <w:t xml:space="preserve">, з </w:t>
      </w:r>
      <w:proofErr w:type="spellStart"/>
      <w:r w:rsidRPr="00BE6D3F">
        <w:rPr>
          <w:color w:val="000000" w:themeColor="text1"/>
          <w:w w:val="110"/>
          <w:sz w:val="20"/>
        </w:rPr>
        <w:t>якою</w:t>
      </w:r>
      <w:proofErr w:type="spellEnd"/>
      <w:r w:rsidRPr="00BE6D3F">
        <w:rPr>
          <w:color w:val="000000" w:themeColor="text1"/>
          <w:w w:val="110"/>
          <w:sz w:val="20"/>
        </w:rPr>
        <w:t xml:space="preserve"> </w:t>
      </w:r>
      <w:proofErr w:type="spellStart"/>
      <w:r w:rsidRPr="00BE6D3F">
        <w:rPr>
          <w:color w:val="000000" w:themeColor="text1"/>
          <w:w w:val="110"/>
          <w:sz w:val="20"/>
        </w:rPr>
        <w:t>багато</w:t>
      </w:r>
      <w:proofErr w:type="spellEnd"/>
      <w:r w:rsidRPr="00BE6D3F">
        <w:rPr>
          <w:color w:val="000000" w:themeColor="text1"/>
          <w:w w:val="110"/>
          <w:sz w:val="20"/>
        </w:rPr>
        <w:t xml:space="preserve"> </w:t>
      </w:r>
      <w:proofErr w:type="spellStart"/>
      <w:r w:rsidRPr="00BE6D3F">
        <w:rPr>
          <w:color w:val="000000" w:themeColor="text1"/>
          <w:w w:val="110"/>
          <w:sz w:val="20"/>
        </w:rPr>
        <w:t>національних</w:t>
      </w:r>
      <w:proofErr w:type="spellEnd"/>
      <w:r w:rsidRPr="00BE6D3F">
        <w:rPr>
          <w:color w:val="000000" w:themeColor="text1"/>
          <w:w w:val="110"/>
          <w:sz w:val="20"/>
        </w:rPr>
        <w:t xml:space="preserve"> програм </w:t>
      </w:r>
      <w:proofErr w:type="spellStart"/>
      <w:r w:rsidRPr="00BE6D3F">
        <w:rPr>
          <w:color w:val="000000" w:themeColor="text1"/>
          <w:w w:val="110"/>
          <w:sz w:val="20"/>
        </w:rPr>
        <w:t>здатні</w:t>
      </w:r>
      <w:proofErr w:type="spellEnd"/>
      <w:r w:rsidRPr="00BE6D3F">
        <w:rPr>
          <w:color w:val="000000" w:themeColor="text1"/>
          <w:w w:val="110"/>
          <w:sz w:val="20"/>
        </w:rPr>
        <w:t xml:space="preserve"> </w:t>
      </w:r>
      <w:r w:rsidRPr="00BE6D3F">
        <w:rPr>
          <w:color w:val="000000" w:themeColor="text1"/>
          <w:w w:val="110"/>
          <w:sz w:val="20"/>
          <w:lang w:val="uk-UA"/>
        </w:rPr>
        <w:t xml:space="preserve">їх </w:t>
      </w:r>
      <w:proofErr w:type="spellStart"/>
      <w:r w:rsidRPr="00BE6D3F">
        <w:rPr>
          <w:color w:val="000000" w:themeColor="text1"/>
          <w:w w:val="110"/>
          <w:sz w:val="20"/>
        </w:rPr>
        <w:t>впроваджувати</w:t>
      </w:r>
      <w:proofErr w:type="spellEnd"/>
      <w:r w:rsidRPr="00BE6D3F">
        <w:rPr>
          <w:color w:val="000000" w:themeColor="text1"/>
          <w:w w:val="110"/>
          <w:sz w:val="20"/>
        </w:rPr>
        <w:t xml:space="preserve">. </w:t>
      </w:r>
      <w:proofErr w:type="spellStart"/>
      <w:r w:rsidRPr="006B6651">
        <w:rPr>
          <w:color w:val="000000" w:themeColor="text1"/>
          <w:w w:val="110"/>
          <w:sz w:val="20"/>
          <w:lang w:val="ru-RU"/>
        </w:rPr>
        <w:t>Це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призводить</w:t>
      </w:r>
      <w:proofErr w:type="spellEnd"/>
      <w:r w:rsidRPr="006B6651">
        <w:rPr>
          <w:color w:val="000000" w:themeColor="text1"/>
          <w:w w:val="110"/>
          <w:sz w:val="20"/>
          <w:lang w:val="ru-RU"/>
        </w:rPr>
        <w:t xml:space="preserve"> до </w:t>
      </w:r>
      <w:r w:rsidRPr="00BE6D3F">
        <w:rPr>
          <w:color w:val="000000" w:themeColor="text1"/>
          <w:w w:val="110"/>
          <w:sz w:val="20"/>
          <w:lang w:val="uk-UA"/>
        </w:rPr>
        <w:t>неоднорідного</w:t>
      </w:r>
      <w:r w:rsidRPr="006B6651">
        <w:rPr>
          <w:color w:val="000000" w:themeColor="text1"/>
          <w:w w:val="110"/>
          <w:sz w:val="20"/>
          <w:lang w:val="ru-RU"/>
        </w:rPr>
        <w:t xml:space="preserve"> доступу до </w:t>
      </w:r>
      <w:proofErr w:type="spellStart"/>
      <w:r w:rsidRPr="006B6651">
        <w:rPr>
          <w:color w:val="000000" w:themeColor="text1"/>
          <w:w w:val="110"/>
          <w:sz w:val="20"/>
          <w:lang w:val="ru-RU"/>
        </w:rPr>
        <w:t>нових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діагностичних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засобів</w:t>
      </w:r>
      <w:proofErr w:type="spellEnd"/>
      <w:r w:rsidRPr="006B6651">
        <w:rPr>
          <w:color w:val="000000" w:themeColor="text1"/>
          <w:w w:val="110"/>
          <w:sz w:val="20"/>
          <w:lang w:val="ru-RU"/>
        </w:rPr>
        <w:t xml:space="preserve"> та лікування ТБ:</w:t>
      </w:r>
    </w:p>
    <w:p w14:paraId="767B3E04" w14:textId="77777777" w:rsidR="0001099E" w:rsidRPr="006B6651" w:rsidRDefault="0001099E" w:rsidP="004A2937">
      <w:pPr>
        <w:pStyle w:val="a4"/>
        <w:numPr>
          <w:ilvl w:val="1"/>
          <w:numId w:val="45"/>
        </w:numPr>
        <w:tabs>
          <w:tab w:val="left" w:pos="2077"/>
          <w:tab w:val="left" w:pos="2078"/>
        </w:tabs>
        <w:spacing w:before="4" w:line="276" w:lineRule="auto"/>
        <w:ind w:right="144"/>
        <w:rPr>
          <w:color w:val="000000" w:themeColor="text1"/>
          <w:w w:val="110"/>
          <w:sz w:val="20"/>
          <w:lang w:val="ru-RU"/>
        </w:rPr>
      </w:pPr>
      <w:proofErr w:type="spellStart"/>
      <w:r w:rsidRPr="006B6651">
        <w:rPr>
          <w:color w:val="000000" w:themeColor="text1"/>
          <w:w w:val="110"/>
          <w:sz w:val="20"/>
          <w:lang w:val="ru-RU"/>
        </w:rPr>
        <w:t>між</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країнами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тобто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між</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тими</w:t>
      </w:r>
      <w:proofErr w:type="spellEnd"/>
      <w:r w:rsidRPr="006B6651">
        <w:rPr>
          <w:color w:val="000000" w:themeColor="text1"/>
          <w:w w:val="110"/>
          <w:sz w:val="20"/>
          <w:lang w:val="ru-RU"/>
        </w:rPr>
        <w:t xml:space="preserve">, </w:t>
      </w:r>
      <w:r w:rsidRPr="00BE6D3F">
        <w:rPr>
          <w:color w:val="000000" w:themeColor="text1"/>
          <w:w w:val="110"/>
          <w:sz w:val="20"/>
          <w:lang w:val="uk-UA"/>
        </w:rPr>
        <w:t>які</w:t>
      </w:r>
      <w:r w:rsidRPr="006B6651">
        <w:rPr>
          <w:color w:val="000000" w:themeColor="text1"/>
          <w:w w:val="110"/>
          <w:sz w:val="20"/>
          <w:lang w:val="ru-RU"/>
        </w:rPr>
        <w:t xml:space="preserve"> </w:t>
      </w:r>
      <w:proofErr w:type="spellStart"/>
      <w:r w:rsidRPr="006B6651">
        <w:rPr>
          <w:color w:val="000000" w:themeColor="text1"/>
          <w:w w:val="110"/>
          <w:sz w:val="20"/>
          <w:lang w:val="ru-RU"/>
        </w:rPr>
        <w:t>мож</w:t>
      </w:r>
      <w:r w:rsidRPr="00BE6D3F">
        <w:rPr>
          <w:color w:val="000000" w:themeColor="text1"/>
          <w:w w:val="110"/>
          <w:sz w:val="20"/>
          <w:lang w:val="uk-UA"/>
        </w:rPr>
        <w:t>уть</w:t>
      </w:r>
      <w:proofErr w:type="spellEnd"/>
      <w:r w:rsidRPr="006B6651">
        <w:rPr>
          <w:color w:val="000000" w:themeColor="text1"/>
          <w:w w:val="110"/>
          <w:sz w:val="20"/>
          <w:lang w:val="ru-RU"/>
        </w:rPr>
        <w:t xml:space="preserve">, і </w:t>
      </w:r>
      <w:proofErr w:type="spellStart"/>
      <w:r w:rsidRPr="006B6651">
        <w:rPr>
          <w:color w:val="000000" w:themeColor="text1"/>
          <w:w w:val="110"/>
          <w:sz w:val="20"/>
          <w:lang w:val="ru-RU"/>
        </w:rPr>
        <w:t>тими</w:t>
      </w:r>
      <w:proofErr w:type="spellEnd"/>
      <w:r w:rsidRPr="006B6651">
        <w:rPr>
          <w:color w:val="000000" w:themeColor="text1"/>
          <w:w w:val="110"/>
          <w:sz w:val="20"/>
          <w:lang w:val="ru-RU"/>
        </w:rPr>
        <w:t xml:space="preserve">, </w:t>
      </w:r>
      <w:r w:rsidRPr="00BE6D3F">
        <w:rPr>
          <w:color w:val="000000" w:themeColor="text1"/>
          <w:w w:val="110"/>
          <w:sz w:val="20"/>
          <w:lang w:val="uk-UA"/>
        </w:rPr>
        <w:t>які</w:t>
      </w:r>
      <w:r w:rsidRPr="006B6651">
        <w:rPr>
          <w:color w:val="000000" w:themeColor="text1"/>
          <w:w w:val="110"/>
          <w:sz w:val="20"/>
          <w:lang w:val="ru-RU"/>
        </w:rPr>
        <w:t xml:space="preserve"> не </w:t>
      </w:r>
      <w:proofErr w:type="spellStart"/>
      <w:r w:rsidRPr="006B6651">
        <w:rPr>
          <w:color w:val="000000" w:themeColor="text1"/>
          <w:w w:val="110"/>
          <w:sz w:val="20"/>
          <w:lang w:val="ru-RU"/>
        </w:rPr>
        <w:t>мож</w:t>
      </w:r>
      <w:r w:rsidRPr="00BE6D3F">
        <w:rPr>
          <w:color w:val="000000" w:themeColor="text1"/>
          <w:w w:val="110"/>
          <w:sz w:val="20"/>
          <w:lang w:val="uk-UA"/>
        </w:rPr>
        <w:t>уть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швидко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адаптуватися</w:t>
      </w:r>
      <w:proofErr w:type="spellEnd"/>
      <w:r w:rsidRPr="006B6651">
        <w:rPr>
          <w:color w:val="000000" w:themeColor="text1"/>
          <w:w w:val="110"/>
          <w:sz w:val="20"/>
          <w:lang w:val="ru-RU"/>
        </w:rPr>
        <w:t xml:space="preserve"> до </w:t>
      </w:r>
      <w:r>
        <w:rPr>
          <w:color w:val="000000" w:themeColor="text1"/>
          <w:w w:val="110"/>
          <w:sz w:val="20"/>
          <w:lang w:val="uk-UA"/>
        </w:rPr>
        <w:t xml:space="preserve">частих </w:t>
      </w:r>
      <w:r w:rsidRPr="00BE6D3F">
        <w:rPr>
          <w:color w:val="000000" w:themeColor="text1"/>
          <w:w w:val="110"/>
          <w:sz w:val="20"/>
          <w:lang w:val="uk-UA"/>
        </w:rPr>
        <w:t>змін у сфері</w:t>
      </w:r>
      <w:r w:rsidRPr="006B6651">
        <w:rPr>
          <w:color w:val="000000" w:themeColor="text1"/>
          <w:w w:val="110"/>
          <w:sz w:val="20"/>
          <w:lang w:val="ru-RU"/>
        </w:rPr>
        <w:t xml:space="preserve"> </w:t>
      </w:r>
      <w:proofErr w:type="spellStart"/>
      <w:r w:rsidRPr="006B6651">
        <w:rPr>
          <w:color w:val="000000" w:themeColor="text1"/>
          <w:w w:val="110"/>
          <w:sz w:val="20"/>
          <w:lang w:val="ru-RU"/>
        </w:rPr>
        <w:t>діагностики</w:t>
      </w:r>
      <w:proofErr w:type="spellEnd"/>
      <w:r w:rsidRPr="006B6651">
        <w:rPr>
          <w:color w:val="000000" w:themeColor="text1"/>
          <w:w w:val="110"/>
          <w:sz w:val="20"/>
          <w:lang w:val="ru-RU"/>
        </w:rPr>
        <w:t xml:space="preserve"> ТБ; та</w:t>
      </w:r>
    </w:p>
    <w:p w14:paraId="71071DC8" w14:textId="77777777" w:rsidR="0001099E" w:rsidRPr="00BE6D3F" w:rsidRDefault="0001099E" w:rsidP="004A2937">
      <w:pPr>
        <w:pStyle w:val="a4"/>
        <w:numPr>
          <w:ilvl w:val="1"/>
          <w:numId w:val="45"/>
        </w:numPr>
        <w:tabs>
          <w:tab w:val="left" w:pos="2077"/>
          <w:tab w:val="left" w:pos="2078"/>
        </w:tabs>
        <w:spacing w:before="4" w:line="276" w:lineRule="auto"/>
        <w:ind w:right="144"/>
        <w:jc w:val="left"/>
        <w:rPr>
          <w:color w:val="000000" w:themeColor="text1"/>
          <w:sz w:val="20"/>
        </w:rPr>
      </w:pPr>
      <w:proofErr w:type="spellStart"/>
      <w:r w:rsidRPr="006B6651">
        <w:rPr>
          <w:color w:val="000000" w:themeColor="text1"/>
          <w:w w:val="110"/>
          <w:sz w:val="20"/>
          <w:lang w:val="ru-RU"/>
        </w:rPr>
        <w:t>всередині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країн</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тобто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між</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пацієнтами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можуть</w:t>
      </w:r>
      <w:proofErr w:type="spellEnd"/>
      <w:r w:rsidRPr="006B6651">
        <w:rPr>
          <w:color w:val="000000" w:themeColor="text1"/>
          <w:w w:val="110"/>
          <w:sz w:val="20"/>
          <w:lang w:val="ru-RU"/>
        </w:rPr>
        <w:t xml:space="preserve"> і не </w:t>
      </w:r>
      <w:proofErr w:type="spellStart"/>
      <w:r w:rsidRPr="006B6651">
        <w:rPr>
          <w:color w:val="000000" w:themeColor="text1"/>
          <w:w w:val="110"/>
          <w:sz w:val="20"/>
          <w:lang w:val="ru-RU"/>
        </w:rPr>
        <w:t>можуть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дозволити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собі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приватну</w:t>
      </w:r>
      <w:proofErr w:type="spellEnd"/>
      <w:r w:rsidRPr="006B6651">
        <w:rPr>
          <w:color w:val="000000" w:themeColor="text1"/>
          <w:w w:val="110"/>
          <w:sz w:val="20"/>
          <w:lang w:val="ru-RU"/>
        </w:rPr>
        <w:t xml:space="preserve"> систему </w:t>
      </w:r>
      <w:proofErr w:type="spellStart"/>
      <w:r w:rsidRPr="006B6651">
        <w:rPr>
          <w:color w:val="000000" w:themeColor="text1"/>
          <w:w w:val="110"/>
          <w:sz w:val="20"/>
          <w:lang w:val="ru-RU"/>
        </w:rPr>
        <w:t>охорони</w:t>
      </w:r>
      <w:proofErr w:type="spellEnd"/>
      <w:r w:rsidRPr="006B6651">
        <w:rPr>
          <w:color w:val="000000" w:themeColor="text1"/>
          <w:w w:val="110"/>
          <w:sz w:val="20"/>
          <w:lang w:val="ru-RU"/>
        </w:rPr>
        <w:t xml:space="preserve"> здоров'я,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краще</w:t>
      </w:r>
      <w:proofErr w:type="spellEnd"/>
      <w:r w:rsidRPr="006B6651">
        <w:rPr>
          <w:color w:val="000000" w:themeColor="text1"/>
          <w:w w:val="110"/>
          <w:sz w:val="20"/>
          <w:lang w:val="ru-RU"/>
        </w:rPr>
        <w:t xml:space="preserve"> </w:t>
      </w:r>
      <w:r w:rsidRPr="00BE6D3F">
        <w:rPr>
          <w:color w:val="000000" w:themeColor="text1"/>
          <w:w w:val="110"/>
          <w:sz w:val="20"/>
          <w:lang w:val="uk-UA"/>
        </w:rPr>
        <w:t>обладнана</w:t>
      </w:r>
      <w:r w:rsidRPr="006B6651">
        <w:rPr>
          <w:color w:val="000000" w:themeColor="text1"/>
          <w:w w:val="110"/>
          <w:sz w:val="20"/>
          <w:lang w:val="ru-RU"/>
        </w:rPr>
        <w:t xml:space="preserve"> для </w:t>
      </w:r>
      <w:proofErr w:type="spellStart"/>
      <w:r w:rsidRPr="006B6651">
        <w:rPr>
          <w:color w:val="000000" w:themeColor="text1"/>
          <w:w w:val="110"/>
          <w:sz w:val="20"/>
          <w:lang w:val="ru-RU"/>
        </w:rPr>
        <w:t>швидкого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впровадження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нових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діагностичних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засобів</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політик</w:t>
      </w:r>
      <w:proofErr w:type="spellEnd"/>
      <w:r w:rsidRPr="006B6651">
        <w:rPr>
          <w:color w:val="000000" w:themeColor="text1"/>
          <w:w w:val="110"/>
          <w:sz w:val="20"/>
          <w:lang w:val="ru-RU"/>
        </w:rPr>
        <w:t xml:space="preserve">). </w:t>
      </w:r>
      <w:proofErr w:type="spellStart"/>
      <w:r w:rsidRPr="00BE6D3F">
        <w:rPr>
          <w:i/>
          <w:color w:val="000000" w:themeColor="text1"/>
          <w:w w:val="110"/>
          <w:sz w:val="20"/>
        </w:rPr>
        <w:t>Інтерв'ю</w:t>
      </w:r>
      <w:proofErr w:type="spellEnd"/>
    </w:p>
    <w:p w14:paraId="390E6516" w14:textId="77777777" w:rsidR="0001099E" w:rsidRPr="006B6651" w:rsidRDefault="0001099E" w:rsidP="00291E90">
      <w:pPr>
        <w:pStyle w:val="9"/>
        <w:spacing w:before="173"/>
        <w:ind w:right="144"/>
        <w:rPr>
          <w:rFonts w:ascii="Microsoft Sans Serif" w:hAnsi="Microsoft Sans Serif" w:cs="Microsoft Sans Serif"/>
          <w:color w:val="000000" w:themeColor="text1"/>
          <w:sz w:val="20"/>
          <w:lang w:val="ru-RU"/>
        </w:rPr>
      </w:pPr>
      <w:proofErr w:type="spellStart"/>
      <w:r w:rsidRPr="006B6651">
        <w:rPr>
          <w:rFonts w:ascii="Microsoft Sans Serif" w:hAnsi="Microsoft Sans Serif" w:cs="Microsoft Sans Serif"/>
          <w:color w:val="000000" w:themeColor="text1"/>
          <w:w w:val="115"/>
          <w:sz w:val="20"/>
          <w:lang w:val="ru-RU"/>
        </w:rPr>
        <w:t>Чи</w:t>
      </w:r>
      <w:proofErr w:type="spellEnd"/>
      <w:r w:rsidRPr="006B6651">
        <w:rPr>
          <w:rFonts w:ascii="Microsoft Sans Serif" w:hAnsi="Microsoft Sans Serif" w:cs="Microsoft Sans Serif"/>
          <w:color w:val="000000" w:themeColor="text1"/>
          <w:w w:val="115"/>
          <w:sz w:val="20"/>
          <w:lang w:val="ru-RU"/>
        </w:rPr>
        <w:t xml:space="preserve"> </w:t>
      </w:r>
      <w:proofErr w:type="spellStart"/>
      <w:r w:rsidRPr="006B6651">
        <w:rPr>
          <w:rFonts w:ascii="Microsoft Sans Serif" w:hAnsi="Microsoft Sans Serif" w:cs="Microsoft Sans Serif"/>
          <w:color w:val="000000" w:themeColor="text1"/>
          <w:w w:val="115"/>
          <w:sz w:val="20"/>
          <w:lang w:val="ru-RU"/>
        </w:rPr>
        <w:t>прийнятна</w:t>
      </w:r>
      <w:proofErr w:type="spellEnd"/>
      <w:r w:rsidRPr="006B6651">
        <w:rPr>
          <w:rFonts w:ascii="Microsoft Sans Serif" w:hAnsi="Microsoft Sans Serif" w:cs="Microsoft Sans Serif"/>
          <w:color w:val="000000" w:themeColor="text1"/>
          <w:w w:val="115"/>
          <w:sz w:val="20"/>
          <w:lang w:val="ru-RU"/>
        </w:rPr>
        <w:t xml:space="preserve"> </w:t>
      </w:r>
      <w:proofErr w:type="spellStart"/>
      <w:r w:rsidRPr="006B6651">
        <w:rPr>
          <w:rFonts w:ascii="Microsoft Sans Serif" w:hAnsi="Microsoft Sans Serif" w:cs="Microsoft Sans Serif"/>
          <w:color w:val="000000" w:themeColor="text1"/>
          <w:w w:val="115"/>
          <w:sz w:val="20"/>
          <w:lang w:val="ru-RU"/>
        </w:rPr>
        <w:t>інтервенція</w:t>
      </w:r>
      <w:proofErr w:type="spellEnd"/>
      <w:r w:rsidRPr="00BE6D3F">
        <w:rPr>
          <w:rFonts w:ascii="Microsoft Sans Serif" w:hAnsi="Microsoft Sans Serif" w:cs="Microsoft Sans Serif"/>
          <w:color w:val="000000" w:themeColor="text1"/>
          <w:w w:val="115"/>
          <w:sz w:val="20"/>
          <w:lang w:val="uk-UA"/>
        </w:rPr>
        <w:t xml:space="preserve"> </w:t>
      </w:r>
      <w:r w:rsidRPr="006B6651">
        <w:rPr>
          <w:rFonts w:ascii="Microsoft Sans Serif" w:hAnsi="Microsoft Sans Serif" w:cs="Microsoft Sans Serif"/>
          <w:color w:val="000000" w:themeColor="text1"/>
          <w:w w:val="115"/>
          <w:sz w:val="20"/>
          <w:lang w:val="ru-RU"/>
        </w:rPr>
        <w:t xml:space="preserve">для </w:t>
      </w:r>
      <w:proofErr w:type="spellStart"/>
      <w:r w:rsidRPr="006B6651">
        <w:rPr>
          <w:rFonts w:ascii="Microsoft Sans Serif" w:hAnsi="Microsoft Sans Serif" w:cs="Microsoft Sans Serif"/>
          <w:color w:val="000000" w:themeColor="text1"/>
          <w:w w:val="115"/>
          <w:sz w:val="20"/>
          <w:lang w:val="ru-RU"/>
        </w:rPr>
        <w:t>ключових</w:t>
      </w:r>
      <w:proofErr w:type="spellEnd"/>
      <w:r w:rsidRPr="006B6651">
        <w:rPr>
          <w:rFonts w:ascii="Microsoft Sans Serif" w:hAnsi="Microsoft Sans Serif" w:cs="Microsoft Sans Serif"/>
          <w:color w:val="000000" w:themeColor="text1"/>
          <w:w w:val="115"/>
          <w:sz w:val="20"/>
          <w:lang w:val="ru-RU"/>
        </w:rPr>
        <w:t xml:space="preserve"> </w:t>
      </w:r>
      <w:proofErr w:type="spellStart"/>
      <w:r w:rsidRPr="006B6651">
        <w:rPr>
          <w:rFonts w:ascii="Microsoft Sans Serif" w:hAnsi="Microsoft Sans Serif" w:cs="Microsoft Sans Serif"/>
          <w:color w:val="000000" w:themeColor="text1"/>
          <w:w w:val="115"/>
          <w:sz w:val="20"/>
          <w:lang w:val="ru-RU"/>
        </w:rPr>
        <w:t>зацікавлених</w:t>
      </w:r>
      <w:proofErr w:type="spellEnd"/>
      <w:r w:rsidRPr="006B6651">
        <w:rPr>
          <w:rFonts w:ascii="Microsoft Sans Serif" w:hAnsi="Microsoft Sans Serif" w:cs="Microsoft Sans Serif"/>
          <w:color w:val="000000" w:themeColor="text1"/>
          <w:w w:val="115"/>
          <w:sz w:val="20"/>
          <w:lang w:val="ru-RU"/>
        </w:rPr>
        <w:t xml:space="preserve"> </w:t>
      </w:r>
      <w:proofErr w:type="spellStart"/>
      <w:r w:rsidRPr="006B6651">
        <w:rPr>
          <w:rFonts w:ascii="Microsoft Sans Serif" w:hAnsi="Microsoft Sans Serif" w:cs="Microsoft Sans Serif"/>
          <w:color w:val="000000" w:themeColor="text1"/>
          <w:w w:val="115"/>
          <w:sz w:val="20"/>
          <w:lang w:val="ru-RU"/>
        </w:rPr>
        <w:t>сторін</w:t>
      </w:r>
      <w:proofErr w:type="spellEnd"/>
      <w:r w:rsidRPr="006B6651">
        <w:rPr>
          <w:rFonts w:ascii="Microsoft Sans Serif" w:hAnsi="Microsoft Sans Serif" w:cs="Microsoft Sans Serif"/>
          <w:color w:val="000000" w:themeColor="text1"/>
          <w:w w:val="115"/>
          <w:sz w:val="20"/>
          <w:lang w:val="ru-RU"/>
        </w:rPr>
        <w:t>?</w:t>
      </w:r>
    </w:p>
    <w:p w14:paraId="7848D854" w14:textId="77777777" w:rsidR="0001099E" w:rsidRPr="006B6651" w:rsidRDefault="0001099E" w:rsidP="004A2937">
      <w:pPr>
        <w:pStyle w:val="a4"/>
        <w:numPr>
          <w:ilvl w:val="0"/>
          <w:numId w:val="45"/>
        </w:numPr>
        <w:tabs>
          <w:tab w:val="left" w:pos="1701"/>
        </w:tabs>
        <w:spacing w:before="212" w:line="276" w:lineRule="auto"/>
        <w:ind w:left="1702" w:right="144"/>
        <w:rPr>
          <w:color w:val="000000" w:themeColor="text1"/>
          <w:sz w:val="20"/>
          <w:lang w:val="uk-UA"/>
        </w:rPr>
      </w:pPr>
      <w:proofErr w:type="spellStart"/>
      <w:r w:rsidRPr="006B6651">
        <w:rPr>
          <w:color w:val="000000" w:themeColor="text1"/>
          <w:w w:val="110"/>
          <w:sz w:val="20"/>
          <w:lang w:val="ru-RU"/>
        </w:rPr>
        <w:t>Прийнятність</w:t>
      </w:r>
      <w:proofErr w:type="spellEnd"/>
      <w:r w:rsidRPr="006B6651">
        <w:rPr>
          <w:color w:val="000000" w:themeColor="text1"/>
          <w:w w:val="110"/>
          <w:sz w:val="20"/>
          <w:lang w:val="ru-RU"/>
        </w:rPr>
        <w:t xml:space="preserve"> </w:t>
      </w:r>
      <w:r w:rsidRPr="00BE6D3F">
        <w:rPr>
          <w:color w:val="000000" w:themeColor="text1"/>
          <w:w w:val="110"/>
          <w:sz w:val="20"/>
          <w:lang w:val="uk-UA"/>
        </w:rPr>
        <w:t>ТАНК високої складності на основі зворотної гібридизації</w:t>
      </w:r>
      <w:r w:rsidRPr="006B6651">
        <w:rPr>
          <w:color w:val="000000" w:themeColor="text1"/>
          <w:w w:val="110"/>
          <w:sz w:val="20"/>
          <w:lang w:val="ru-RU"/>
        </w:rPr>
        <w:t xml:space="preserve"> </w:t>
      </w:r>
      <w:proofErr w:type="spellStart"/>
      <w:r w:rsidRPr="006B6651">
        <w:rPr>
          <w:color w:val="000000" w:themeColor="text1"/>
          <w:w w:val="110"/>
          <w:sz w:val="20"/>
          <w:lang w:val="ru-RU"/>
        </w:rPr>
        <w:t>залежить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від</w:t>
      </w:r>
      <w:proofErr w:type="spellEnd"/>
      <w:r w:rsidRPr="006B6651">
        <w:rPr>
          <w:color w:val="000000" w:themeColor="text1"/>
          <w:w w:val="110"/>
          <w:sz w:val="20"/>
          <w:lang w:val="ru-RU"/>
        </w:rPr>
        <w:t xml:space="preserve"> того, </w:t>
      </w:r>
      <w:proofErr w:type="spellStart"/>
      <w:r w:rsidRPr="006B6651">
        <w:rPr>
          <w:color w:val="000000" w:themeColor="text1"/>
          <w:w w:val="110"/>
          <w:sz w:val="20"/>
          <w:lang w:val="ru-RU"/>
        </w:rPr>
        <w:t>наскільки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ефективно</w:t>
      </w:r>
      <w:proofErr w:type="spellEnd"/>
      <w:r w:rsidRPr="006B6651">
        <w:rPr>
          <w:color w:val="000000" w:themeColor="text1"/>
          <w:w w:val="110"/>
          <w:sz w:val="20"/>
          <w:lang w:val="ru-RU"/>
        </w:rPr>
        <w:t xml:space="preserve"> тест </w:t>
      </w:r>
      <w:proofErr w:type="spellStart"/>
      <w:r w:rsidRPr="006B6651">
        <w:rPr>
          <w:color w:val="000000" w:themeColor="text1"/>
          <w:w w:val="110"/>
          <w:sz w:val="20"/>
          <w:lang w:val="ru-RU"/>
        </w:rPr>
        <w:t>працює</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різними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зразками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оскільки</w:t>
      </w:r>
      <w:proofErr w:type="spellEnd"/>
      <w:r w:rsidRPr="006B6651">
        <w:rPr>
          <w:color w:val="000000" w:themeColor="text1"/>
          <w:w w:val="110"/>
          <w:sz w:val="20"/>
          <w:lang w:val="ru-RU"/>
        </w:rPr>
        <w:t xml:space="preserve"> персонал </w:t>
      </w:r>
      <w:proofErr w:type="spellStart"/>
      <w:r w:rsidRPr="006B6651">
        <w:rPr>
          <w:color w:val="000000" w:themeColor="text1"/>
          <w:w w:val="110"/>
          <w:sz w:val="20"/>
          <w:lang w:val="ru-RU"/>
        </w:rPr>
        <w:t>лабораторії</w:t>
      </w:r>
      <w:proofErr w:type="spellEnd"/>
      <w:r w:rsidRPr="006B6651">
        <w:rPr>
          <w:color w:val="000000" w:themeColor="text1"/>
          <w:w w:val="110"/>
          <w:sz w:val="20"/>
          <w:lang w:val="ru-RU"/>
        </w:rPr>
        <w:t xml:space="preserve"> ставить під </w:t>
      </w:r>
      <w:proofErr w:type="spellStart"/>
      <w:r w:rsidRPr="006B6651">
        <w:rPr>
          <w:color w:val="000000" w:themeColor="text1"/>
          <w:w w:val="110"/>
          <w:sz w:val="20"/>
          <w:lang w:val="ru-RU"/>
        </w:rPr>
        <w:t>сумнів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методів</w:t>
      </w:r>
      <w:proofErr w:type="spellEnd"/>
      <w:r w:rsidRPr="006B6651">
        <w:rPr>
          <w:color w:val="000000" w:themeColor="text1"/>
          <w:w w:val="110"/>
          <w:sz w:val="20"/>
          <w:lang w:val="ru-RU"/>
        </w:rPr>
        <w:t xml:space="preserve"> </w:t>
      </w:r>
      <w:r w:rsidRPr="00BE6D3F">
        <w:rPr>
          <w:color w:val="000000" w:themeColor="text1"/>
          <w:w w:val="110"/>
          <w:sz w:val="20"/>
        </w:rPr>
        <w:t>LPA</w:t>
      </w:r>
      <w:r w:rsidRPr="006B6651">
        <w:rPr>
          <w:color w:val="000000" w:themeColor="text1"/>
          <w:w w:val="110"/>
          <w:sz w:val="20"/>
          <w:lang w:val="ru-RU"/>
        </w:rPr>
        <w:t xml:space="preserve"> для </w:t>
      </w:r>
      <w:proofErr w:type="spellStart"/>
      <w:r w:rsidRPr="006B6651">
        <w:rPr>
          <w:color w:val="000000" w:themeColor="text1"/>
          <w:w w:val="110"/>
          <w:sz w:val="20"/>
          <w:lang w:val="ru-RU"/>
        </w:rPr>
        <w:t>зразків</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негативним</w:t>
      </w:r>
      <w:proofErr w:type="spellEnd"/>
      <w:r w:rsidRPr="006B6651">
        <w:rPr>
          <w:color w:val="000000" w:themeColor="text1"/>
          <w:w w:val="110"/>
          <w:sz w:val="20"/>
          <w:lang w:val="ru-RU"/>
        </w:rPr>
        <w:t xml:space="preserve"> результатом мазка.</w:t>
      </w:r>
      <w:r w:rsidRPr="00BE6D3F">
        <w:rPr>
          <w:color w:val="000000" w:themeColor="text1"/>
          <w:w w:val="110"/>
          <w:sz w:val="20"/>
          <w:lang w:val="uk-UA"/>
        </w:rPr>
        <w:t xml:space="preserve"> </w:t>
      </w:r>
      <w:r w:rsidRPr="006B6651">
        <w:rPr>
          <w:color w:val="000000" w:themeColor="text1"/>
          <w:w w:val="110"/>
          <w:sz w:val="20"/>
          <w:lang w:val="uk-UA"/>
        </w:rPr>
        <w:t xml:space="preserve">Якщо зразки необхідно культивувати перед проведенням </w:t>
      </w:r>
      <w:r w:rsidRPr="00BE6D3F">
        <w:rPr>
          <w:color w:val="000000" w:themeColor="text1"/>
          <w:w w:val="110"/>
          <w:sz w:val="20"/>
        </w:rPr>
        <w:t>LPA</w:t>
      </w:r>
      <w:r w:rsidRPr="006B6651">
        <w:rPr>
          <w:color w:val="000000" w:themeColor="text1"/>
          <w:w w:val="110"/>
          <w:sz w:val="20"/>
          <w:lang w:val="uk-UA"/>
        </w:rPr>
        <w:t xml:space="preserve"> на піразинамід, це може нівелювати переваги швидшого отримання результатів цього методу порівняно з </w:t>
      </w:r>
      <w:proofErr w:type="spellStart"/>
      <w:r w:rsidRPr="006B6651">
        <w:rPr>
          <w:color w:val="000000" w:themeColor="text1"/>
          <w:w w:val="110"/>
          <w:sz w:val="20"/>
          <w:lang w:val="uk-UA"/>
        </w:rPr>
        <w:t>фенотиповим</w:t>
      </w:r>
      <w:proofErr w:type="spellEnd"/>
      <w:r w:rsidRPr="006B6651">
        <w:rPr>
          <w:color w:val="000000" w:themeColor="text1"/>
          <w:w w:val="110"/>
          <w:sz w:val="20"/>
          <w:lang w:val="uk-UA"/>
        </w:rPr>
        <w:t xml:space="preserve"> Т</w:t>
      </w:r>
      <w:r w:rsidRPr="00BE6D3F">
        <w:rPr>
          <w:color w:val="000000" w:themeColor="text1"/>
          <w:w w:val="110"/>
          <w:sz w:val="20"/>
          <w:lang w:val="uk-UA"/>
        </w:rPr>
        <w:t>М</w:t>
      </w:r>
      <w:r w:rsidRPr="006B6651">
        <w:rPr>
          <w:color w:val="000000" w:themeColor="text1"/>
          <w:w w:val="110"/>
          <w:sz w:val="20"/>
          <w:lang w:val="uk-UA"/>
        </w:rPr>
        <w:t>Ч для піразинаміду.</w:t>
      </w:r>
      <w:r w:rsidRPr="006B6651">
        <w:rPr>
          <w:color w:val="000000" w:themeColor="text1"/>
          <w:sz w:val="20"/>
          <w:lang w:val="uk-UA"/>
        </w:rPr>
        <w:t xml:space="preserve"> </w:t>
      </w:r>
      <w:proofErr w:type="spellStart"/>
      <w:r w:rsidRPr="006B6651">
        <w:rPr>
          <w:color w:val="000000" w:themeColor="text1"/>
          <w:w w:val="110"/>
          <w:sz w:val="20"/>
          <w:lang w:val="ru-RU"/>
        </w:rPr>
        <w:t>Прийнятність</w:t>
      </w:r>
      <w:proofErr w:type="spellEnd"/>
      <w:r w:rsidRPr="006B6651">
        <w:rPr>
          <w:color w:val="000000" w:themeColor="text1"/>
          <w:w w:val="110"/>
          <w:sz w:val="20"/>
          <w:lang w:val="ru-RU"/>
        </w:rPr>
        <w:t xml:space="preserve"> також </w:t>
      </w:r>
      <w:proofErr w:type="spellStart"/>
      <w:r w:rsidRPr="006B6651">
        <w:rPr>
          <w:color w:val="000000" w:themeColor="text1"/>
          <w:w w:val="110"/>
          <w:sz w:val="20"/>
          <w:lang w:val="ru-RU"/>
        </w:rPr>
        <w:t>залежить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від</w:t>
      </w:r>
      <w:proofErr w:type="spellEnd"/>
      <w:r w:rsidRPr="006B6651">
        <w:rPr>
          <w:color w:val="000000" w:themeColor="text1"/>
          <w:w w:val="110"/>
          <w:sz w:val="20"/>
          <w:lang w:val="ru-RU"/>
        </w:rPr>
        <w:t xml:space="preserve"> того, </w:t>
      </w:r>
      <w:proofErr w:type="spellStart"/>
      <w:r w:rsidRPr="006B6651">
        <w:rPr>
          <w:color w:val="000000" w:themeColor="text1"/>
          <w:w w:val="110"/>
          <w:sz w:val="20"/>
          <w:lang w:val="ru-RU"/>
        </w:rPr>
        <w:t>наскільки</w:t>
      </w:r>
      <w:proofErr w:type="spellEnd"/>
      <w:r w:rsidRPr="006B6651">
        <w:rPr>
          <w:color w:val="000000" w:themeColor="text1"/>
          <w:w w:val="110"/>
          <w:sz w:val="20"/>
          <w:lang w:val="ru-RU"/>
        </w:rPr>
        <w:t xml:space="preserve"> точно тест </w:t>
      </w:r>
      <w:proofErr w:type="spellStart"/>
      <w:r w:rsidRPr="006B6651">
        <w:rPr>
          <w:color w:val="000000" w:themeColor="text1"/>
          <w:w w:val="110"/>
          <w:sz w:val="20"/>
          <w:lang w:val="ru-RU"/>
        </w:rPr>
        <w:t>виявляє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мутації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специфічні</w:t>
      </w:r>
      <w:proofErr w:type="spellEnd"/>
      <w:r w:rsidRPr="006B6651">
        <w:rPr>
          <w:color w:val="000000" w:themeColor="text1"/>
          <w:w w:val="110"/>
          <w:sz w:val="20"/>
          <w:lang w:val="ru-RU"/>
        </w:rPr>
        <w:t xml:space="preserve"> для </w:t>
      </w:r>
      <w:r w:rsidRPr="00BE6D3F">
        <w:rPr>
          <w:color w:val="000000" w:themeColor="text1"/>
          <w:w w:val="110"/>
          <w:sz w:val="20"/>
          <w:lang w:val="uk-UA"/>
        </w:rPr>
        <w:t>стійкості</w:t>
      </w:r>
      <w:r w:rsidRPr="006B6651">
        <w:rPr>
          <w:color w:val="000000" w:themeColor="text1"/>
          <w:w w:val="110"/>
          <w:sz w:val="20"/>
          <w:lang w:val="ru-RU"/>
        </w:rPr>
        <w:t xml:space="preserve"> до піразинаміду</w:t>
      </w:r>
      <w:r>
        <w:rPr>
          <w:color w:val="000000" w:themeColor="text1"/>
          <w:w w:val="110"/>
          <w:sz w:val="20"/>
          <w:lang w:val="uk-UA"/>
        </w:rPr>
        <w:t>. В</w:t>
      </w:r>
      <w:r w:rsidRPr="006B6651">
        <w:rPr>
          <w:color w:val="000000" w:themeColor="text1"/>
          <w:w w:val="110"/>
          <w:sz w:val="20"/>
          <w:lang w:val="uk-UA"/>
        </w:rPr>
        <w:t xml:space="preserve"> певних </w:t>
      </w:r>
      <w:r>
        <w:rPr>
          <w:color w:val="000000" w:themeColor="text1"/>
          <w:w w:val="110"/>
          <w:sz w:val="20"/>
          <w:lang w:val="uk-UA"/>
        </w:rPr>
        <w:t>місцях</w:t>
      </w:r>
      <w:r w:rsidRPr="006B6651">
        <w:rPr>
          <w:color w:val="000000" w:themeColor="text1"/>
          <w:w w:val="110"/>
          <w:sz w:val="20"/>
          <w:lang w:val="uk-UA"/>
        </w:rPr>
        <w:t xml:space="preserve"> </w:t>
      </w:r>
      <w:r w:rsidRPr="00BE6D3F">
        <w:rPr>
          <w:color w:val="000000" w:themeColor="text1"/>
          <w:w w:val="110"/>
          <w:sz w:val="20"/>
          <w:lang w:val="uk-UA"/>
        </w:rPr>
        <w:t>лікарі</w:t>
      </w:r>
      <w:r w:rsidRPr="006B6651">
        <w:rPr>
          <w:color w:val="000000" w:themeColor="text1"/>
          <w:w w:val="110"/>
          <w:sz w:val="20"/>
          <w:lang w:val="uk-UA"/>
        </w:rPr>
        <w:t xml:space="preserve"> та персонал лабораторії можуть </w:t>
      </w:r>
      <w:r w:rsidRPr="006B6651">
        <w:rPr>
          <w:color w:val="000000" w:themeColor="text1"/>
          <w:w w:val="110"/>
          <w:sz w:val="20"/>
          <w:lang w:val="uk-UA"/>
        </w:rPr>
        <w:lastRenderedPageBreak/>
        <w:t>потребувати додаткових роз’яснень та обґрунтувань щодо пріоритетності саме цього тесту на лікарський препарат, враховуючи, що він наразі не входить до стандартної процедури ТМЧ.</w:t>
      </w:r>
    </w:p>
    <w:p w14:paraId="66FAD98E" w14:textId="77777777" w:rsidR="0001099E" w:rsidRPr="006B6651" w:rsidRDefault="0001099E" w:rsidP="004A2937">
      <w:pPr>
        <w:pStyle w:val="a4"/>
        <w:numPr>
          <w:ilvl w:val="0"/>
          <w:numId w:val="45"/>
        </w:numPr>
        <w:tabs>
          <w:tab w:val="left" w:pos="1701"/>
        </w:tabs>
        <w:spacing w:before="2" w:line="273" w:lineRule="auto"/>
        <w:ind w:right="146"/>
        <w:rPr>
          <w:i/>
          <w:color w:val="000000" w:themeColor="text1"/>
          <w:sz w:val="20"/>
          <w:lang w:val="ru-RU"/>
        </w:rPr>
      </w:pPr>
      <w:proofErr w:type="spellStart"/>
      <w:r w:rsidRPr="006B6651">
        <w:rPr>
          <w:color w:val="000000" w:themeColor="text1"/>
          <w:w w:val="105"/>
          <w:sz w:val="20"/>
          <w:lang w:val="ru-RU"/>
        </w:rPr>
        <w:t>Специфічні</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проблеми</w:t>
      </w:r>
      <w:proofErr w:type="spellEnd"/>
      <w:r w:rsidRPr="006B6651">
        <w:rPr>
          <w:color w:val="000000" w:themeColor="text1"/>
          <w:w w:val="105"/>
          <w:sz w:val="20"/>
          <w:lang w:val="ru-RU"/>
        </w:rPr>
        <w:t xml:space="preserve"> з практичною </w:t>
      </w:r>
      <w:proofErr w:type="spellStart"/>
      <w:r w:rsidRPr="006B6651">
        <w:rPr>
          <w:color w:val="000000" w:themeColor="text1"/>
          <w:w w:val="105"/>
          <w:sz w:val="20"/>
          <w:lang w:val="ru-RU"/>
        </w:rPr>
        <w:t>реалізацією</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вимоги</w:t>
      </w:r>
      <w:proofErr w:type="spellEnd"/>
      <w:r w:rsidRPr="006B6651">
        <w:rPr>
          <w:color w:val="000000" w:themeColor="text1"/>
          <w:w w:val="105"/>
          <w:sz w:val="20"/>
          <w:lang w:val="ru-RU"/>
        </w:rPr>
        <w:t xml:space="preserve"> до </w:t>
      </w:r>
      <w:proofErr w:type="spellStart"/>
      <w:r w:rsidRPr="006B6651">
        <w:rPr>
          <w:color w:val="000000" w:themeColor="text1"/>
          <w:w w:val="105"/>
          <w:sz w:val="20"/>
          <w:lang w:val="ru-RU"/>
        </w:rPr>
        <w:t>навчання</w:t>
      </w:r>
      <w:proofErr w:type="spellEnd"/>
      <w:r w:rsidRPr="006B6651">
        <w:rPr>
          <w:color w:val="000000" w:themeColor="text1"/>
          <w:w w:val="105"/>
          <w:sz w:val="20"/>
          <w:lang w:val="ru-RU"/>
        </w:rPr>
        <w:t xml:space="preserve"> та </w:t>
      </w:r>
      <w:proofErr w:type="spellStart"/>
      <w:r w:rsidRPr="006B6651">
        <w:rPr>
          <w:color w:val="000000" w:themeColor="text1"/>
          <w:w w:val="105"/>
          <w:sz w:val="20"/>
          <w:lang w:val="ru-RU"/>
        </w:rPr>
        <w:t>інфраструктури</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якість</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зразків</w:t>
      </w:r>
      <w:proofErr w:type="spellEnd"/>
      <w:r w:rsidRPr="006B6651">
        <w:rPr>
          <w:color w:val="000000" w:themeColor="text1"/>
          <w:w w:val="105"/>
          <w:sz w:val="20"/>
          <w:lang w:val="ru-RU"/>
        </w:rPr>
        <w:t xml:space="preserve">, система </w:t>
      </w:r>
      <w:proofErr w:type="spellStart"/>
      <w:r w:rsidRPr="006B6651">
        <w:rPr>
          <w:color w:val="000000" w:themeColor="text1"/>
          <w:w w:val="105"/>
          <w:sz w:val="20"/>
          <w:lang w:val="ru-RU"/>
        </w:rPr>
        <w:t>інтерпретації</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результатів</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загальні</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проблеми</w:t>
      </w:r>
      <w:proofErr w:type="spellEnd"/>
      <w:r w:rsidRPr="006B6651">
        <w:rPr>
          <w:color w:val="000000" w:themeColor="text1"/>
          <w:w w:val="105"/>
          <w:sz w:val="20"/>
          <w:lang w:val="ru-RU"/>
        </w:rPr>
        <w:t xml:space="preserve"> з практичною </w:t>
      </w:r>
      <w:proofErr w:type="spellStart"/>
      <w:r w:rsidRPr="006B6651">
        <w:rPr>
          <w:color w:val="000000" w:themeColor="text1"/>
          <w:w w:val="105"/>
          <w:sz w:val="20"/>
          <w:lang w:val="ru-RU"/>
        </w:rPr>
        <w:t>реалізацією</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визначені</w:t>
      </w:r>
      <w:proofErr w:type="spellEnd"/>
      <w:r w:rsidRPr="006B6651">
        <w:rPr>
          <w:color w:val="000000" w:themeColor="text1"/>
          <w:w w:val="105"/>
          <w:sz w:val="20"/>
          <w:lang w:val="ru-RU"/>
        </w:rPr>
        <w:t xml:space="preserve"> шляхом </w:t>
      </w:r>
      <w:proofErr w:type="spellStart"/>
      <w:r w:rsidRPr="006B6651">
        <w:rPr>
          <w:color w:val="000000" w:themeColor="text1"/>
          <w:w w:val="105"/>
          <w:sz w:val="20"/>
          <w:lang w:val="ru-RU"/>
        </w:rPr>
        <w:t>інтерв’ю</w:t>
      </w:r>
      <w:proofErr w:type="spellEnd"/>
      <w:r w:rsidRPr="006B6651">
        <w:rPr>
          <w:color w:val="000000" w:themeColor="text1"/>
          <w:w w:val="105"/>
          <w:sz w:val="20"/>
          <w:lang w:val="ru-RU"/>
        </w:rPr>
        <w:t xml:space="preserve"> та </w:t>
      </w:r>
      <w:r w:rsidRPr="00BE6D3F">
        <w:rPr>
          <w:color w:val="000000" w:themeColor="text1"/>
          <w:w w:val="105"/>
          <w:sz w:val="20"/>
        </w:rPr>
        <w:t>QES</w:t>
      </w:r>
      <w:r w:rsidRPr="00BE6D3F">
        <w:rPr>
          <w:color w:val="000000" w:themeColor="text1"/>
          <w:w w:val="105"/>
          <w:sz w:val="20"/>
          <w:lang w:val="uk-UA"/>
        </w:rPr>
        <w:t>)</w:t>
      </w:r>
      <w:r w:rsidRPr="006B6651">
        <w:rPr>
          <w:color w:val="000000" w:themeColor="text1"/>
          <w:w w:val="105"/>
          <w:sz w:val="20"/>
          <w:lang w:val="ru-RU"/>
        </w:rPr>
        <w:t xml:space="preserve"> та </w:t>
      </w:r>
      <w:proofErr w:type="spellStart"/>
      <w:r w:rsidRPr="006B6651">
        <w:rPr>
          <w:color w:val="000000" w:themeColor="text1"/>
          <w:w w:val="105"/>
          <w:sz w:val="20"/>
          <w:lang w:val="ru-RU"/>
        </w:rPr>
        <w:t>накопичені</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затримки</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ризикують</w:t>
      </w:r>
      <w:proofErr w:type="spellEnd"/>
      <w:r w:rsidRPr="006B6651">
        <w:rPr>
          <w:color w:val="000000" w:themeColor="text1"/>
          <w:w w:val="105"/>
          <w:sz w:val="20"/>
          <w:lang w:val="ru-RU"/>
        </w:rPr>
        <w:t xml:space="preserve"> </w:t>
      </w:r>
      <w:r w:rsidRPr="00BE6D3F">
        <w:rPr>
          <w:color w:val="000000" w:themeColor="text1"/>
          <w:w w:val="105"/>
          <w:sz w:val="20"/>
          <w:lang w:val="uk-UA"/>
        </w:rPr>
        <w:t>нівелювати</w:t>
      </w:r>
      <w:r w:rsidRPr="006B6651">
        <w:rPr>
          <w:color w:val="000000" w:themeColor="text1"/>
          <w:w w:val="105"/>
          <w:sz w:val="20"/>
          <w:lang w:val="ru-RU"/>
        </w:rPr>
        <w:t xml:space="preserve"> </w:t>
      </w:r>
      <w:proofErr w:type="spellStart"/>
      <w:r w:rsidRPr="006B6651">
        <w:rPr>
          <w:color w:val="000000" w:themeColor="text1"/>
          <w:w w:val="105"/>
          <w:sz w:val="20"/>
          <w:lang w:val="ru-RU"/>
        </w:rPr>
        <w:t>додаткову</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цінність</w:t>
      </w:r>
      <w:proofErr w:type="spellEnd"/>
      <w:r w:rsidRPr="006B6651">
        <w:rPr>
          <w:color w:val="000000" w:themeColor="text1"/>
          <w:w w:val="105"/>
          <w:sz w:val="20"/>
          <w:lang w:val="ru-RU"/>
        </w:rPr>
        <w:t xml:space="preserve"> та </w:t>
      </w:r>
      <w:proofErr w:type="spellStart"/>
      <w:r w:rsidRPr="006B6651">
        <w:rPr>
          <w:color w:val="000000" w:themeColor="text1"/>
          <w:w w:val="105"/>
          <w:sz w:val="20"/>
          <w:lang w:val="ru-RU"/>
        </w:rPr>
        <w:t>переваги</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визначені</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користувачами</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наприклад</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уникнення</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затримок</w:t>
      </w:r>
      <w:proofErr w:type="spellEnd"/>
      <w:r w:rsidRPr="006B6651">
        <w:rPr>
          <w:color w:val="000000" w:themeColor="text1"/>
          <w:w w:val="105"/>
          <w:sz w:val="20"/>
          <w:lang w:val="ru-RU"/>
        </w:rPr>
        <w:t xml:space="preserve"> та </w:t>
      </w:r>
      <w:proofErr w:type="spellStart"/>
      <w:r w:rsidRPr="006B6651">
        <w:rPr>
          <w:color w:val="000000" w:themeColor="text1"/>
          <w:w w:val="105"/>
          <w:sz w:val="20"/>
          <w:lang w:val="ru-RU"/>
        </w:rPr>
        <w:t>отримання</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інформації</w:t>
      </w:r>
      <w:proofErr w:type="spellEnd"/>
      <w:r w:rsidRPr="006B6651">
        <w:rPr>
          <w:color w:val="000000" w:themeColor="text1"/>
          <w:w w:val="105"/>
          <w:sz w:val="20"/>
          <w:lang w:val="ru-RU"/>
        </w:rPr>
        <w:t xml:space="preserve"> про </w:t>
      </w:r>
      <w:proofErr w:type="spellStart"/>
      <w:r w:rsidRPr="006B6651">
        <w:rPr>
          <w:color w:val="000000" w:themeColor="text1"/>
          <w:w w:val="105"/>
          <w:sz w:val="20"/>
          <w:lang w:val="ru-RU"/>
        </w:rPr>
        <w:t>лікарську</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стійкість</w:t>
      </w:r>
      <w:proofErr w:type="spellEnd"/>
      <w:r w:rsidRPr="006B6651">
        <w:rPr>
          <w:color w:val="000000" w:themeColor="text1"/>
          <w:w w:val="105"/>
          <w:sz w:val="20"/>
          <w:lang w:val="ru-RU"/>
        </w:rPr>
        <w:t xml:space="preserve">). </w:t>
      </w:r>
      <w:r w:rsidRPr="006B6651">
        <w:rPr>
          <w:i/>
          <w:color w:val="000000" w:themeColor="text1"/>
          <w:w w:val="105"/>
          <w:sz w:val="20"/>
          <w:lang w:val="ru-RU"/>
        </w:rPr>
        <w:t>(</w:t>
      </w:r>
      <w:r w:rsidRPr="00BE6D3F">
        <w:rPr>
          <w:i/>
          <w:color w:val="000000" w:themeColor="text1"/>
          <w:w w:val="105"/>
          <w:sz w:val="20"/>
        </w:rPr>
        <w:t>QES</w:t>
      </w:r>
      <w:r w:rsidRPr="006B6651">
        <w:rPr>
          <w:i/>
          <w:color w:val="000000" w:themeColor="text1"/>
          <w:w w:val="105"/>
          <w:sz w:val="20"/>
          <w:lang w:val="ru-RU"/>
        </w:rPr>
        <w:t xml:space="preserve">, </w:t>
      </w:r>
      <w:proofErr w:type="spellStart"/>
      <w:r w:rsidRPr="006B6651">
        <w:rPr>
          <w:i/>
          <w:color w:val="000000" w:themeColor="text1"/>
          <w:w w:val="105"/>
          <w:sz w:val="20"/>
          <w:lang w:val="ru-RU"/>
        </w:rPr>
        <w:t>високий</w:t>
      </w:r>
      <w:proofErr w:type="spellEnd"/>
      <w:r w:rsidRPr="006B6651">
        <w:rPr>
          <w:i/>
          <w:color w:val="000000" w:themeColor="text1"/>
          <w:w w:val="105"/>
          <w:sz w:val="20"/>
          <w:lang w:val="ru-RU"/>
        </w:rPr>
        <w:t xml:space="preserve"> </w:t>
      </w:r>
      <w:proofErr w:type="spellStart"/>
      <w:r w:rsidRPr="006B6651">
        <w:rPr>
          <w:i/>
          <w:color w:val="000000" w:themeColor="text1"/>
          <w:w w:val="105"/>
          <w:sz w:val="20"/>
          <w:lang w:val="ru-RU"/>
        </w:rPr>
        <w:t>рівень</w:t>
      </w:r>
      <w:proofErr w:type="spellEnd"/>
      <w:r w:rsidRPr="006B6651">
        <w:rPr>
          <w:i/>
          <w:color w:val="000000" w:themeColor="text1"/>
          <w:w w:val="105"/>
          <w:sz w:val="20"/>
          <w:lang w:val="ru-RU"/>
        </w:rPr>
        <w:t xml:space="preserve"> </w:t>
      </w:r>
      <w:proofErr w:type="spellStart"/>
      <w:r w:rsidRPr="006B6651">
        <w:rPr>
          <w:i/>
          <w:color w:val="000000" w:themeColor="text1"/>
          <w:w w:val="105"/>
          <w:sz w:val="20"/>
          <w:lang w:val="ru-RU"/>
        </w:rPr>
        <w:t>достовірності</w:t>
      </w:r>
      <w:proofErr w:type="spellEnd"/>
      <w:r w:rsidRPr="006B6651">
        <w:rPr>
          <w:i/>
          <w:color w:val="000000" w:themeColor="text1"/>
          <w:w w:val="105"/>
          <w:sz w:val="20"/>
          <w:lang w:val="ru-RU"/>
        </w:rPr>
        <w:t xml:space="preserve">, </w:t>
      </w:r>
      <w:proofErr w:type="spellStart"/>
      <w:r w:rsidRPr="006B6651">
        <w:rPr>
          <w:i/>
          <w:color w:val="000000" w:themeColor="text1"/>
          <w:w w:val="105"/>
          <w:sz w:val="20"/>
          <w:lang w:val="ru-RU"/>
        </w:rPr>
        <w:t>інтерв'ю</w:t>
      </w:r>
      <w:proofErr w:type="spellEnd"/>
      <w:r w:rsidRPr="006B6651">
        <w:rPr>
          <w:i/>
          <w:color w:val="000000" w:themeColor="text1"/>
          <w:w w:val="105"/>
          <w:sz w:val="20"/>
          <w:lang w:val="ru-RU"/>
        </w:rPr>
        <w:t>)</w:t>
      </w:r>
    </w:p>
    <w:p w14:paraId="40790CC1" w14:textId="77777777" w:rsidR="0001099E" w:rsidRPr="006B6651" w:rsidRDefault="0001099E" w:rsidP="00291E90">
      <w:pPr>
        <w:pStyle w:val="a3"/>
        <w:spacing w:before="12"/>
        <w:ind w:right="146"/>
        <w:jc w:val="both"/>
        <w:rPr>
          <w:i/>
          <w:color w:val="000000" w:themeColor="text1"/>
          <w:sz w:val="18"/>
          <w:lang w:val="ru-RU"/>
        </w:rPr>
      </w:pPr>
    </w:p>
    <w:p w14:paraId="7EEB1EBA" w14:textId="77777777" w:rsidR="0001099E" w:rsidRPr="006B6651" w:rsidRDefault="0001099E" w:rsidP="00291E90">
      <w:pPr>
        <w:pStyle w:val="9"/>
        <w:ind w:right="146"/>
        <w:jc w:val="both"/>
        <w:rPr>
          <w:rFonts w:ascii="Microsoft Sans Serif" w:hAnsi="Microsoft Sans Serif" w:cs="Microsoft Sans Serif"/>
          <w:color w:val="000000" w:themeColor="text1"/>
          <w:sz w:val="20"/>
          <w:lang w:val="ru-RU"/>
        </w:rPr>
      </w:pPr>
      <w:proofErr w:type="spellStart"/>
      <w:r w:rsidRPr="006B6651">
        <w:rPr>
          <w:rFonts w:ascii="Microsoft Sans Serif" w:hAnsi="Microsoft Sans Serif" w:cs="Microsoft Sans Serif"/>
          <w:color w:val="000000" w:themeColor="text1"/>
          <w:w w:val="115"/>
          <w:sz w:val="20"/>
          <w:lang w:val="ru-RU"/>
        </w:rPr>
        <w:t>Чи</w:t>
      </w:r>
      <w:proofErr w:type="spellEnd"/>
      <w:r w:rsidRPr="006B6651">
        <w:rPr>
          <w:rFonts w:ascii="Microsoft Sans Serif" w:hAnsi="Microsoft Sans Serif" w:cs="Microsoft Sans Serif"/>
          <w:color w:val="000000" w:themeColor="text1"/>
          <w:w w:val="115"/>
          <w:sz w:val="20"/>
          <w:lang w:val="ru-RU"/>
        </w:rPr>
        <w:t xml:space="preserve"> </w:t>
      </w:r>
      <w:proofErr w:type="spellStart"/>
      <w:r w:rsidRPr="006B6651">
        <w:rPr>
          <w:rFonts w:ascii="Microsoft Sans Serif" w:hAnsi="Microsoft Sans Serif" w:cs="Microsoft Sans Serif"/>
          <w:color w:val="000000" w:themeColor="text1"/>
          <w:w w:val="115"/>
          <w:sz w:val="20"/>
          <w:lang w:val="ru-RU"/>
        </w:rPr>
        <w:t>реаліз</w:t>
      </w:r>
      <w:r w:rsidRPr="00BE6D3F">
        <w:rPr>
          <w:rFonts w:ascii="Microsoft Sans Serif" w:hAnsi="Microsoft Sans Serif" w:cs="Microsoft Sans Serif"/>
          <w:color w:val="000000" w:themeColor="text1"/>
          <w:w w:val="115"/>
          <w:sz w:val="20"/>
          <w:lang w:val="uk-UA"/>
        </w:rPr>
        <w:t>ація</w:t>
      </w:r>
      <w:proofErr w:type="spellEnd"/>
      <w:r w:rsidRPr="006B6651">
        <w:rPr>
          <w:rFonts w:ascii="Microsoft Sans Serif" w:hAnsi="Microsoft Sans Serif" w:cs="Microsoft Sans Serif"/>
          <w:color w:val="000000" w:themeColor="text1"/>
          <w:w w:val="115"/>
          <w:sz w:val="20"/>
          <w:lang w:val="ru-RU"/>
        </w:rPr>
        <w:t xml:space="preserve"> </w:t>
      </w:r>
      <w:proofErr w:type="spellStart"/>
      <w:r w:rsidRPr="006B6651">
        <w:rPr>
          <w:rFonts w:ascii="Microsoft Sans Serif" w:hAnsi="Microsoft Sans Serif" w:cs="Microsoft Sans Serif"/>
          <w:color w:val="000000" w:themeColor="text1"/>
          <w:w w:val="115"/>
          <w:sz w:val="20"/>
          <w:lang w:val="ru-RU"/>
        </w:rPr>
        <w:t>інтервенці</w:t>
      </w:r>
      <w:proofErr w:type="spellEnd"/>
      <w:r w:rsidRPr="00BE6D3F">
        <w:rPr>
          <w:rFonts w:ascii="Microsoft Sans Serif" w:hAnsi="Microsoft Sans Serif" w:cs="Microsoft Sans Serif"/>
          <w:color w:val="000000" w:themeColor="text1"/>
          <w:w w:val="115"/>
          <w:sz w:val="20"/>
          <w:lang w:val="uk-UA"/>
        </w:rPr>
        <w:t>ї практично можлива</w:t>
      </w:r>
      <w:r w:rsidRPr="006B6651">
        <w:rPr>
          <w:rFonts w:ascii="Microsoft Sans Serif" w:hAnsi="Microsoft Sans Serif" w:cs="Microsoft Sans Serif"/>
          <w:color w:val="000000" w:themeColor="text1"/>
          <w:w w:val="115"/>
          <w:sz w:val="20"/>
          <w:lang w:val="ru-RU"/>
        </w:rPr>
        <w:t>?</w:t>
      </w:r>
    </w:p>
    <w:p w14:paraId="1D06C4E0" w14:textId="77777777" w:rsidR="0001099E" w:rsidRPr="00BE6D3F" w:rsidRDefault="0001099E" w:rsidP="004A2937">
      <w:pPr>
        <w:pStyle w:val="a4"/>
        <w:numPr>
          <w:ilvl w:val="0"/>
          <w:numId w:val="45"/>
        </w:numPr>
        <w:tabs>
          <w:tab w:val="left" w:pos="1701"/>
        </w:tabs>
        <w:spacing w:before="211" w:line="276" w:lineRule="auto"/>
        <w:ind w:right="146"/>
        <w:rPr>
          <w:i/>
          <w:color w:val="000000" w:themeColor="text1"/>
          <w:sz w:val="20"/>
        </w:rPr>
      </w:pPr>
      <w:proofErr w:type="spellStart"/>
      <w:r w:rsidRPr="006B6651">
        <w:rPr>
          <w:color w:val="000000" w:themeColor="text1"/>
          <w:w w:val="110"/>
          <w:sz w:val="20"/>
          <w:lang w:val="ru-RU"/>
        </w:rPr>
        <w:t>Впровадження</w:t>
      </w:r>
      <w:proofErr w:type="spellEnd"/>
      <w:r w:rsidRPr="006B6651">
        <w:rPr>
          <w:color w:val="000000" w:themeColor="text1"/>
          <w:w w:val="110"/>
          <w:sz w:val="20"/>
          <w:lang w:val="ru-RU"/>
        </w:rPr>
        <w:t xml:space="preserve"> </w:t>
      </w:r>
      <w:r w:rsidRPr="00BE6D3F">
        <w:rPr>
          <w:color w:val="000000" w:themeColor="text1"/>
          <w:w w:val="110"/>
          <w:sz w:val="20"/>
        </w:rPr>
        <w:t>LPA</w:t>
      </w:r>
      <w:r w:rsidRPr="006B6651">
        <w:rPr>
          <w:color w:val="000000" w:themeColor="text1"/>
          <w:sz w:val="20"/>
          <w:lang w:val="ru-RU"/>
        </w:rPr>
        <w:t xml:space="preserve"> </w:t>
      </w:r>
      <w:r w:rsidRPr="006B6651">
        <w:rPr>
          <w:color w:val="000000" w:themeColor="text1"/>
          <w:w w:val="110"/>
          <w:sz w:val="20"/>
          <w:lang w:val="ru-RU"/>
        </w:rPr>
        <w:t xml:space="preserve">для виявлення </w:t>
      </w:r>
      <w:proofErr w:type="spellStart"/>
      <w:r w:rsidRPr="006B6651">
        <w:rPr>
          <w:color w:val="000000" w:themeColor="text1"/>
          <w:w w:val="110"/>
          <w:sz w:val="20"/>
          <w:lang w:val="ru-RU"/>
        </w:rPr>
        <w:t>стійкості</w:t>
      </w:r>
      <w:proofErr w:type="spellEnd"/>
      <w:r w:rsidRPr="006B6651">
        <w:rPr>
          <w:color w:val="000000" w:themeColor="text1"/>
          <w:w w:val="110"/>
          <w:sz w:val="20"/>
          <w:lang w:val="ru-RU"/>
        </w:rPr>
        <w:t xml:space="preserve"> до піразинаміду ускладнюється</w:t>
      </w:r>
      <w:r w:rsidRPr="00BE6D3F">
        <w:rPr>
          <w:color w:val="000000" w:themeColor="text1"/>
          <w:w w:val="110"/>
          <w:sz w:val="20"/>
          <w:lang w:val="uk-UA"/>
        </w:rPr>
        <w:t xml:space="preserve"> </w:t>
      </w:r>
      <w:r w:rsidRPr="006B6651">
        <w:rPr>
          <w:color w:val="000000" w:themeColor="text1"/>
          <w:w w:val="110"/>
          <w:sz w:val="20"/>
          <w:lang w:val="ru-RU"/>
        </w:rPr>
        <w:t xml:space="preserve">через </w:t>
      </w:r>
      <w:r w:rsidRPr="00BE6D3F">
        <w:rPr>
          <w:color w:val="000000" w:themeColor="text1"/>
          <w:w w:val="110"/>
          <w:sz w:val="20"/>
          <w:lang w:val="uk-UA"/>
        </w:rPr>
        <w:t xml:space="preserve">значну потребу в навчанні та </w:t>
      </w:r>
      <w:proofErr w:type="spellStart"/>
      <w:r w:rsidRPr="006B6651">
        <w:rPr>
          <w:color w:val="000000" w:themeColor="text1"/>
          <w:w w:val="110"/>
          <w:sz w:val="20"/>
          <w:lang w:val="ru-RU"/>
        </w:rPr>
        <w:t>лабораторн</w:t>
      </w:r>
      <w:r w:rsidRPr="00BE6D3F">
        <w:rPr>
          <w:color w:val="000000" w:themeColor="text1"/>
          <w:w w:val="110"/>
          <w:sz w:val="20"/>
          <w:lang w:val="uk-UA"/>
        </w:rPr>
        <w:t>ій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інфраструктур</w:t>
      </w:r>
      <w:proofErr w:type="spellEnd"/>
      <w:r w:rsidRPr="00BE6D3F">
        <w:rPr>
          <w:color w:val="000000" w:themeColor="text1"/>
          <w:w w:val="110"/>
          <w:sz w:val="20"/>
          <w:lang w:val="uk-UA"/>
        </w:rPr>
        <w:t>і</w:t>
      </w:r>
      <w:r w:rsidRPr="006B6651">
        <w:rPr>
          <w:color w:val="000000" w:themeColor="text1"/>
          <w:w w:val="110"/>
          <w:sz w:val="20"/>
          <w:lang w:val="ru-RU"/>
        </w:rPr>
        <w:t xml:space="preserve">, </w:t>
      </w:r>
      <w:proofErr w:type="spellStart"/>
      <w:r w:rsidRPr="006B6651">
        <w:rPr>
          <w:color w:val="000000" w:themeColor="text1"/>
          <w:w w:val="110"/>
          <w:sz w:val="20"/>
          <w:lang w:val="ru-RU"/>
        </w:rPr>
        <w:t>необхідні</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реалізації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цього</w:t>
      </w:r>
      <w:proofErr w:type="spellEnd"/>
      <w:r w:rsidRPr="006B6651">
        <w:rPr>
          <w:color w:val="000000" w:themeColor="text1"/>
          <w:w w:val="110"/>
          <w:sz w:val="20"/>
          <w:lang w:val="ru-RU"/>
        </w:rPr>
        <w:t xml:space="preserve"> методу. </w:t>
      </w:r>
      <w:r w:rsidRPr="00BE6D3F">
        <w:rPr>
          <w:color w:val="000000" w:themeColor="text1"/>
          <w:w w:val="110"/>
          <w:sz w:val="20"/>
          <w:lang w:val="uk-UA"/>
        </w:rPr>
        <w:t>Можливість реалізації</w:t>
      </w:r>
      <w:r w:rsidRPr="006B6651">
        <w:rPr>
          <w:color w:val="000000" w:themeColor="text1"/>
          <w:w w:val="110"/>
          <w:sz w:val="20"/>
          <w:lang w:val="ru-RU"/>
        </w:rPr>
        <w:t xml:space="preserve"> також </w:t>
      </w:r>
      <w:proofErr w:type="spellStart"/>
      <w:r w:rsidRPr="006B6651">
        <w:rPr>
          <w:color w:val="000000" w:themeColor="text1"/>
          <w:w w:val="110"/>
          <w:sz w:val="20"/>
          <w:lang w:val="ru-RU"/>
        </w:rPr>
        <w:t>залежить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від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наявності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автоматизованої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системи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інтерпретації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оскільки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результати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важко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інтерпретувати</w:t>
      </w:r>
      <w:proofErr w:type="spellEnd"/>
      <w:r w:rsidRPr="006B6651">
        <w:rPr>
          <w:color w:val="000000" w:themeColor="text1"/>
          <w:w w:val="110"/>
          <w:sz w:val="20"/>
          <w:lang w:val="ru-RU"/>
        </w:rPr>
        <w:t xml:space="preserve">. </w:t>
      </w:r>
      <w:proofErr w:type="spellStart"/>
      <w:r w:rsidRPr="00BE6D3F">
        <w:rPr>
          <w:i/>
          <w:color w:val="000000" w:themeColor="text1"/>
          <w:w w:val="110"/>
          <w:sz w:val="20"/>
        </w:rPr>
        <w:t>Інтерв'ю</w:t>
      </w:r>
      <w:proofErr w:type="spellEnd"/>
    </w:p>
    <w:p w14:paraId="27BB903B" w14:textId="77777777" w:rsidR="0001099E" w:rsidRPr="00A816CE" w:rsidRDefault="0001099E" w:rsidP="00291E90">
      <w:pPr>
        <w:pStyle w:val="a3"/>
        <w:spacing w:before="10"/>
        <w:ind w:right="146"/>
        <w:jc w:val="both"/>
        <w:rPr>
          <w:i/>
          <w:sz w:val="19"/>
        </w:rPr>
      </w:pPr>
    </w:p>
    <w:p w14:paraId="6198EC84" w14:textId="77777777" w:rsidR="0001099E" w:rsidRPr="00B04563" w:rsidRDefault="0001099E" w:rsidP="00291E90">
      <w:pPr>
        <w:pStyle w:val="5"/>
        <w:ind w:right="146"/>
        <w:jc w:val="both"/>
        <w:rPr>
          <w:sz w:val="24"/>
        </w:rPr>
      </w:pPr>
      <w:proofErr w:type="spellStart"/>
      <w:r w:rsidRPr="00B04563">
        <w:rPr>
          <w:color w:val="019648"/>
          <w:w w:val="105"/>
          <w:sz w:val="24"/>
        </w:rPr>
        <w:t>Аспекти</w:t>
      </w:r>
      <w:proofErr w:type="spellEnd"/>
      <w:r w:rsidRPr="00B04563">
        <w:rPr>
          <w:color w:val="019648"/>
          <w:w w:val="105"/>
          <w:sz w:val="24"/>
        </w:rPr>
        <w:t xml:space="preserve"> </w:t>
      </w:r>
      <w:proofErr w:type="spellStart"/>
      <w:r w:rsidRPr="00B04563">
        <w:rPr>
          <w:color w:val="019648"/>
          <w:w w:val="105"/>
          <w:sz w:val="24"/>
        </w:rPr>
        <w:t>впровадження</w:t>
      </w:r>
      <w:proofErr w:type="spellEnd"/>
    </w:p>
    <w:p w14:paraId="42B66FED" w14:textId="77777777" w:rsidR="0001099E" w:rsidRPr="003E33BC" w:rsidRDefault="0001099E" w:rsidP="00291E90">
      <w:pPr>
        <w:pStyle w:val="a3"/>
        <w:spacing w:before="179" w:line="249" w:lineRule="auto"/>
        <w:ind w:left="1417" w:right="146"/>
        <w:jc w:val="both"/>
        <w:rPr>
          <w:color w:val="000000" w:themeColor="text1"/>
          <w:sz w:val="20"/>
        </w:rPr>
      </w:pPr>
      <w:proofErr w:type="spellStart"/>
      <w:r w:rsidRPr="00BE6D3F">
        <w:rPr>
          <w:color w:val="000000" w:themeColor="text1"/>
          <w:w w:val="110"/>
          <w:sz w:val="20"/>
        </w:rPr>
        <w:t>Фактори</w:t>
      </w:r>
      <w:proofErr w:type="spellEnd"/>
      <w:r w:rsidRPr="00BE6D3F">
        <w:rPr>
          <w:color w:val="000000" w:themeColor="text1"/>
          <w:w w:val="110"/>
          <w:sz w:val="20"/>
        </w:rPr>
        <w:t xml:space="preserve">, </w:t>
      </w:r>
      <w:proofErr w:type="spellStart"/>
      <w:r w:rsidRPr="00BE6D3F">
        <w:rPr>
          <w:color w:val="000000" w:themeColor="text1"/>
          <w:w w:val="110"/>
          <w:sz w:val="20"/>
        </w:rPr>
        <w:t>які</w:t>
      </w:r>
      <w:proofErr w:type="spellEnd"/>
      <w:r w:rsidRPr="00BE6D3F">
        <w:rPr>
          <w:color w:val="000000" w:themeColor="text1"/>
          <w:w w:val="110"/>
          <w:sz w:val="20"/>
        </w:rPr>
        <w:t xml:space="preserve"> </w:t>
      </w:r>
      <w:r w:rsidRPr="00BE6D3F">
        <w:rPr>
          <w:color w:val="000000" w:themeColor="text1"/>
          <w:w w:val="110"/>
          <w:sz w:val="20"/>
          <w:lang w:val="uk-UA"/>
        </w:rPr>
        <w:t>потрібно</w:t>
      </w:r>
      <w:r w:rsidRPr="00BE6D3F">
        <w:rPr>
          <w:color w:val="000000" w:themeColor="text1"/>
          <w:w w:val="110"/>
          <w:sz w:val="20"/>
        </w:rPr>
        <w:t xml:space="preserve"> </w:t>
      </w:r>
      <w:proofErr w:type="spellStart"/>
      <w:r w:rsidRPr="00BE6D3F">
        <w:rPr>
          <w:color w:val="000000" w:themeColor="text1"/>
          <w:w w:val="110"/>
          <w:sz w:val="20"/>
        </w:rPr>
        <w:t>враховувати</w:t>
      </w:r>
      <w:proofErr w:type="spellEnd"/>
      <w:r w:rsidRPr="00BE6D3F">
        <w:rPr>
          <w:color w:val="000000" w:themeColor="text1"/>
          <w:w w:val="110"/>
          <w:sz w:val="20"/>
        </w:rPr>
        <w:t xml:space="preserve"> </w:t>
      </w:r>
      <w:proofErr w:type="spellStart"/>
      <w:r w:rsidRPr="00BE6D3F">
        <w:rPr>
          <w:color w:val="000000" w:themeColor="text1"/>
          <w:w w:val="110"/>
          <w:sz w:val="20"/>
        </w:rPr>
        <w:t>при</w:t>
      </w:r>
      <w:proofErr w:type="spellEnd"/>
      <w:r w:rsidRPr="00BE6D3F">
        <w:rPr>
          <w:color w:val="000000" w:themeColor="text1"/>
          <w:w w:val="110"/>
          <w:sz w:val="20"/>
        </w:rPr>
        <w:t xml:space="preserve"> </w:t>
      </w:r>
      <w:proofErr w:type="spellStart"/>
      <w:r w:rsidRPr="00BE6D3F">
        <w:rPr>
          <w:color w:val="000000" w:themeColor="text1"/>
          <w:w w:val="110"/>
          <w:sz w:val="20"/>
        </w:rPr>
        <w:t>впровадженні</w:t>
      </w:r>
      <w:proofErr w:type="spellEnd"/>
      <w:r w:rsidRPr="00BE6D3F">
        <w:rPr>
          <w:color w:val="000000" w:themeColor="text1"/>
          <w:w w:val="110"/>
          <w:sz w:val="20"/>
        </w:rPr>
        <w:t xml:space="preserve"> ТАНК </w:t>
      </w:r>
      <w:proofErr w:type="spellStart"/>
      <w:r w:rsidRPr="00BE6D3F">
        <w:rPr>
          <w:color w:val="000000" w:themeColor="text1"/>
          <w:w w:val="110"/>
          <w:sz w:val="20"/>
        </w:rPr>
        <w:t>високої</w:t>
      </w:r>
      <w:proofErr w:type="spellEnd"/>
      <w:r w:rsidRPr="00BE6D3F">
        <w:rPr>
          <w:color w:val="000000" w:themeColor="text1"/>
          <w:w w:val="110"/>
          <w:sz w:val="20"/>
        </w:rPr>
        <w:t xml:space="preserve"> </w:t>
      </w:r>
      <w:proofErr w:type="spellStart"/>
      <w:r w:rsidRPr="003E33BC">
        <w:rPr>
          <w:color w:val="000000" w:themeColor="text1"/>
          <w:w w:val="110"/>
          <w:sz w:val="20"/>
        </w:rPr>
        <w:t>складності</w:t>
      </w:r>
      <w:proofErr w:type="spellEnd"/>
      <w:r w:rsidRPr="003E33BC">
        <w:rPr>
          <w:color w:val="000000" w:themeColor="text1"/>
          <w:w w:val="110"/>
          <w:sz w:val="20"/>
        </w:rPr>
        <w:t xml:space="preserve"> </w:t>
      </w:r>
      <w:proofErr w:type="spellStart"/>
      <w:r w:rsidRPr="003E33BC">
        <w:rPr>
          <w:color w:val="000000" w:themeColor="text1"/>
          <w:w w:val="110"/>
          <w:sz w:val="20"/>
        </w:rPr>
        <w:t>на</w:t>
      </w:r>
      <w:proofErr w:type="spellEnd"/>
      <w:r w:rsidRPr="003E33BC">
        <w:rPr>
          <w:color w:val="000000" w:themeColor="text1"/>
          <w:w w:val="110"/>
          <w:sz w:val="20"/>
        </w:rPr>
        <w:t xml:space="preserve"> </w:t>
      </w:r>
      <w:proofErr w:type="spellStart"/>
      <w:r w:rsidRPr="003E33BC">
        <w:rPr>
          <w:color w:val="000000" w:themeColor="text1"/>
          <w:w w:val="110"/>
          <w:sz w:val="20"/>
        </w:rPr>
        <w:t>основі</w:t>
      </w:r>
      <w:proofErr w:type="spellEnd"/>
      <w:r w:rsidRPr="003E33BC">
        <w:rPr>
          <w:color w:val="000000" w:themeColor="text1"/>
          <w:w w:val="110"/>
          <w:sz w:val="20"/>
        </w:rPr>
        <w:t xml:space="preserve"> </w:t>
      </w:r>
      <w:proofErr w:type="spellStart"/>
      <w:r w:rsidRPr="003E33BC">
        <w:rPr>
          <w:color w:val="000000" w:themeColor="text1"/>
          <w:w w:val="110"/>
          <w:sz w:val="20"/>
        </w:rPr>
        <w:t>гібридизації</w:t>
      </w:r>
      <w:proofErr w:type="spellEnd"/>
      <w:r w:rsidRPr="003E33BC">
        <w:rPr>
          <w:color w:val="000000" w:themeColor="text1"/>
          <w:w w:val="110"/>
          <w:sz w:val="20"/>
        </w:rPr>
        <w:t xml:space="preserve"> </w:t>
      </w:r>
      <w:proofErr w:type="spellStart"/>
      <w:r w:rsidRPr="003E33BC">
        <w:rPr>
          <w:color w:val="000000" w:themeColor="text1"/>
          <w:w w:val="110"/>
          <w:sz w:val="20"/>
        </w:rPr>
        <w:t>для</w:t>
      </w:r>
      <w:proofErr w:type="spellEnd"/>
      <w:r w:rsidRPr="003E33BC">
        <w:rPr>
          <w:color w:val="000000" w:themeColor="text1"/>
          <w:w w:val="110"/>
          <w:sz w:val="20"/>
        </w:rPr>
        <w:t xml:space="preserve"> виявлення </w:t>
      </w:r>
      <w:r>
        <w:rPr>
          <w:color w:val="000000" w:themeColor="text1"/>
          <w:w w:val="110"/>
          <w:sz w:val="20"/>
          <w:lang w:val="uk-UA"/>
        </w:rPr>
        <w:t>стійкості</w:t>
      </w:r>
      <w:r w:rsidRPr="003E33BC">
        <w:rPr>
          <w:color w:val="000000" w:themeColor="text1"/>
          <w:w w:val="110"/>
          <w:sz w:val="20"/>
        </w:rPr>
        <w:t xml:space="preserve"> </w:t>
      </w:r>
      <w:proofErr w:type="spellStart"/>
      <w:r w:rsidRPr="003E33BC">
        <w:rPr>
          <w:color w:val="000000" w:themeColor="text1"/>
          <w:w w:val="110"/>
          <w:sz w:val="20"/>
        </w:rPr>
        <w:t>до</w:t>
      </w:r>
      <w:proofErr w:type="spellEnd"/>
      <w:r w:rsidRPr="003E33BC">
        <w:rPr>
          <w:color w:val="000000" w:themeColor="text1"/>
          <w:w w:val="110"/>
          <w:sz w:val="20"/>
        </w:rPr>
        <w:t xml:space="preserve"> піразинаміду</w:t>
      </w:r>
      <w:r w:rsidRPr="003E33BC">
        <w:rPr>
          <w:color w:val="000000" w:themeColor="text1"/>
          <w:w w:val="110"/>
          <w:sz w:val="20"/>
          <w:lang w:val="uk-UA"/>
        </w:rPr>
        <w:t>, наведені нижче</w:t>
      </w:r>
      <w:r w:rsidRPr="003E33BC">
        <w:rPr>
          <w:color w:val="000000" w:themeColor="text1"/>
          <w:w w:val="110"/>
          <w:sz w:val="20"/>
        </w:rPr>
        <w:t>:</w:t>
      </w:r>
    </w:p>
    <w:p w14:paraId="6BF0A71E" w14:textId="77777777" w:rsidR="0001099E" w:rsidRPr="00BE6D3F" w:rsidRDefault="0001099E" w:rsidP="004A2937">
      <w:pPr>
        <w:pStyle w:val="a4"/>
        <w:numPr>
          <w:ilvl w:val="0"/>
          <w:numId w:val="45"/>
        </w:numPr>
        <w:tabs>
          <w:tab w:val="left" w:pos="1701"/>
        </w:tabs>
        <w:spacing w:before="117" w:line="276" w:lineRule="auto"/>
        <w:ind w:right="146"/>
        <w:rPr>
          <w:color w:val="000000" w:themeColor="text1"/>
          <w:sz w:val="20"/>
        </w:rPr>
      </w:pPr>
      <w:proofErr w:type="spellStart"/>
      <w:r w:rsidRPr="003E33BC">
        <w:rPr>
          <w:color w:val="000000" w:themeColor="text1"/>
          <w:w w:val="110"/>
          <w:sz w:val="20"/>
        </w:rPr>
        <w:t>Існу</w:t>
      </w:r>
      <w:r w:rsidRPr="003E33BC">
        <w:rPr>
          <w:color w:val="000000" w:themeColor="text1"/>
          <w:w w:val="110"/>
          <w:sz w:val="20"/>
          <w:lang w:val="uk-UA"/>
        </w:rPr>
        <w:t>ють</w:t>
      </w:r>
      <w:proofErr w:type="spellEnd"/>
      <w:r w:rsidRPr="003E33BC">
        <w:rPr>
          <w:color w:val="000000" w:themeColor="text1"/>
          <w:w w:val="110"/>
          <w:sz w:val="20"/>
        </w:rPr>
        <w:t xml:space="preserve"> </w:t>
      </w:r>
      <w:r w:rsidRPr="003E33BC">
        <w:rPr>
          <w:color w:val="000000" w:themeColor="text1"/>
          <w:w w:val="110"/>
          <w:sz w:val="20"/>
          <w:lang w:val="uk-UA"/>
        </w:rPr>
        <w:t>певні занепокоєння</w:t>
      </w:r>
      <w:r w:rsidRPr="003E33BC">
        <w:rPr>
          <w:color w:val="000000" w:themeColor="text1"/>
          <w:w w:val="110"/>
          <w:sz w:val="20"/>
        </w:rPr>
        <w:t xml:space="preserve"> щодо </w:t>
      </w:r>
      <w:proofErr w:type="spellStart"/>
      <w:r w:rsidRPr="003E33BC">
        <w:rPr>
          <w:color w:val="000000" w:themeColor="text1"/>
          <w:w w:val="110"/>
          <w:sz w:val="20"/>
        </w:rPr>
        <w:t>складності</w:t>
      </w:r>
      <w:proofErr w:type="spellEnd"/>
      <w:r w:rsidRPr="003E33BC">
        <w:rPr>
          <w:color w:val="000000" w:themeColor="text1"/>
          <w:w w:val="110"/>
          <w:sz w:val="20"/>
        </w:rPr>
        <w:t xml:space="preserve"> </w:t>
      </w:r>
      <w:proofErr w:type="spellStart"/>
      <w:r w:rsidRPr="003E33BC">
        <w:rPr>
          <w:color w:val="000000" w:themeColor="text1"/>
          <w:w w:val="110"/>
          <w:sz w:val="20"/>
        </w:rPr>
        <w:t>інтерпретації</w:t>
      </w:r>
      <w:proofErr w:type="spellEnd"/>
      <w:r w:rsidRPr="003E33BC">
        <w:rPr>
          <w:color w:val="000000" w:themeColor="text1"/>
          <w:w w:val="110"/>
          <w:sz w:val="20"/>
        </w:rPr>
        <w:t xml:space="preserve">. </w:t>
      </w:r>
      <w:proofErr w:type="spellStart"/>
      <w:r w:rsidRPr="003E33BC">
        <w:rPr>
          <w:color w:val="000000" w:themeColor="text1"/>
          <w:w w:val="110"/>
          <w:sz w:val="20"/>
        </w:rPr>
        <w:t>Велика</w:t>
      </w:r>
      <w:proofErr w:type="spellEnd"/>
      <w:r w:rsidRPr="003E33BC">
        <w:rPr>
          <w:color w:val="000000" w:themeColor="text1"/>
          <w:w w:val="110"/>
          <w:sz w:val="20"/>
        </w:rPr>
        <w:t xml:space="preserve"> </w:t>
      </w:r>
      <w:proofErr w:type="spellStart"/>
      <w:r w:rsidRPr="003E33BC">
        <w:rPr>
          <w:color w:val="000000" w:themeColor="text1"/>
          <w:w w:val="110"/>
          <w:sz w:val="20"/>
        </w:rPr>
        <w:t>кількість</w:t>
      </w:r>
      <w:proofErr w:type="spellEnd"/>
      <w:r w:rsidRPr="003E33BC">
        <w:rPr>
          <w:color w:val="000000" w:themeColor="text1"/>
          <w:w w:val="110"/>
          <w:sz w:val="20"/>
        </w:rPr>
        <w:t xml:space="preserve"> </w:t>
      </w:r>
      <w:proofErr w:type="spellStart"/>
      <w:r w:rsidRPr="003E33BC">
        <w:rPr>
          <w:color w:val="000000" w:themeColor="text1"/>
          <w:w w:val="110"/>
          <w:sz w:val="20"/>
        </w:rPr>
        <w:t>смуг</w:t>
      </w:r>
      <w:proofErr w:type="spellEnd"/>
      <w:r w:rsidRPr="00BE6D3F">
        <w:rPr>
          <w:color w:val="000000" w:themeColor="text1"/>
          <w:w w:val="110"/>
          <w:sz w:val="20"/>
        </w:rPr>
        <w:t xml:space="preserve"> </w:t>
      </w:r>
      <w:proofErr w:type="spellStart"/>
      <w:r w:rsidRPr="00BE6D3F">
        <w:rPr>
          <w:color w:val="000000" w:themeColor="text1"/>
          <w:w w:val="110"/>
          <w:sz w:val="20"/>
        </w:rPr>
        <w:t>ускладнює</w:t>
      </w:r>
      <w:proofErr w:type="spellEnd"/>
      <w:r w:rsidRPr="00BE6D3F">
        <w:rPr>
          <w:color w:val="000000" w:themeColor="text1"/>
          <w:w w:val="110"/>
          <w:sz w:val="20"/>
        </w:rPr>
        <w:t xml:space="preserve"> </w:t>
      </w:r>
      <w:proofErr w:type="spellStart"/>
      <w:r w:rsidRPr="00BE6D3F">
        <w:rPr>
          <w:color w:val="000000" w:themeColor="text1"/>
          <w:w w:val="110"/>
          <w:sz w:val="20"/>
        </w:rPr>
        <w:t>зчитування</w:t>
      </w:r>
      <w:proofErr w:type="spellEnd"/>
      <w:r w:rsidRPr="00BE6D3F">
        <w:rPr>
          <w:color w:val="000000" w:themeColor="text1"/>
          <w:w w:val="110"/>
          <w:sz w:val="20"/>
        </w:rPr>
        <w:t xml:space="preserve"> </w:t>
      </w:r>
      <w:proofErr w:type="spellStart"/>
      <w:r w:rsidRPr="00BE6D3F">
        <w:rPr>
          <w:color w:val="000000" w:themeColor="text1"/>
          <w:w w:val="110"/>
          <w:sz w:val="20"/>
        </w:rPr>
        <w:t>результату</w:t>
      </w:r>
      <w:proofErr w:type="spellEnd"/>
      <w:r w:rsidRPr="00BE6D3F">
        <w:rPr>
          <w:color w:val="000000" w:themeColor="text1"/>
          <w:w w:val="110"/>
          <w:sz w:val="20"/>
        </w:rPr>
        <w:t xml:space="preserve"> ТАНК </w:t>
      </w:r>
      <w:proofErr w:type="spellStart"/>
      <w:r w:rsidRPr="00BE6D3F">
        <w:rPr>
          <w:color w:val="000000" w:themeColor="text1"/>
          <w:w w:val="110"/>
          <w:sz w:val="20"/>
        </w:rPr>
        <w:t>високої</w:t>
      </w:r>
      <w:proofErr w:type="spellEnd"/>
      <w:r w:rsidRPr="00BE6D3F">
        <w:rPr>
          <w:color w:val="000000" w:themeColor="text1"/>
          <w:w w:val="110"/>
          <w:sz w:val="20"/>
        </w:rPr>
        <w:t xml:space="preserve"> </w:t>
      </w:r>
      <w:proofErr w:type="spellStart"/>
      <w:r w:rsidRPr="00BE6D3F">
        <w:rPr>
          <w:color w:val="000000" w:themeColor="text1"/>
          <w:w w:val="110"/>
          <w:sz w:val="20"/>
        </w:rPr>
        <w:t>складності</w:t>
      </w:r>
      <w:proofErr w:type="spellEnd"/>
      <w:r w:rsidRPr="00BE6D3F">
        <w:rPr>
          <w:color w:val="000000" w:themeColor="text1"/>
          <w:w w:val="110"/>
          <w:sz w:val="20"/>
        </w:rPr>
        <w:t xml:space="preserve"> </w:t>
      </w:r>
      <w:proofErr w:type="spellStart"/>
      <w:r w:rsidRPr="00BE6D3F">
        <w:rPr>
          <w:color w:val="000000" w:themeColor="text1"/>
          <w:w w:val="110"/>
          <w:sz w:val="20"/>
        </w:rPr>
        <w:t>на</w:t>
      </w:r>
      <w:proofErr w:type="spellEnd"/>
      <w:r w:rsidRPr="00BE6D3F">
        <w:rPr>
          <w:color w:val="000000" w:themeColor="text1"/>
          <w:w w:val="110"/>
          <w:sz w:val="20"/>
        </w:rPr>
        <w:t xml:space="preserve"> </w:t>
      </w:r>
      <w:proofErr w:type="spellStart"/>
      <w:r w:rsidRPr="00BE6D3F">
        <w:rPr>
          <w:color w:val="000000" w:themeColor="text1"/>
          <w:w w:val="110"/>
          <w:sz w:val="20"/>
        </w:rPr>
        <w:t>основі</w:t>
      </w:r>
      <w:proofErr w:type="spellEnd"/>
      <w:r w:rsidRPr="00BE6D3F">
        <w:rPr>
          <w:color w:val="000000" w:themeColor="text1"/>
          <w:w w:val="110"/>
          <w:sz w:val="20"/>
        </w:rPr>
        <w:t xml:space="preserve"> </w:t>
      </w:r>
      <w:proofErr w:type="spellStart"/>
      <w:r w:rsidRPr="00BE6D3F">
        <w:rPr>
          <w:color w:val="000000" w:themeColor="text1"/>
          <w:w w:val="110"/>
          <w:sz w:val="20"/>
        </w:rPr>
        <w:t>зворотної</w:t>
      </w:r>
      <w:proofErr w:type="spellEnd"/>
      <w:r w:rsidRPr="00BE6D3F">
        <w:rPr>
          <w:color w:val="000000" w:themeColor="text1"/>
          <w:w w:val="110"/>
          <w:sz w:val="20"/>
        </w:rPr>
        <w:t xml:space="preserve"> </w:t>
      </w:r>
      <w:proofErr w:type="spellStart"/>
      <w:r w:rsidRPr="00BE6D3F">
        <w:rPr>
          <w:color w:val="000000" w:themeColor="text1"/>
          <w:w w:val="110"/>
          <w:sz w:val="20"/>
        </w:rPr>
        <w:t>гібридизації</w:t>
      </w:r>
      <w:proofErr w:type="spellEnd"/>
      <w:r w:rsidRPr="00BE6D3F">
        <w:rPr>
          <w:color w:val="000000" w:themeColor="text1"/>
          <w:w w:val="110"/>
          <w:sz w:val="20"/>
        </w:rPr>
        <w:t>.</w:t>
      </w:r>
    </w:p>
    <w:p w14:paraId="0A4829CE" w14:textId="77777777" w:rsidR="0001099E" w:rsidRPr="00BE6D3F" w:rsidRDefault="0001099E" w:rsidP="004A2937">
      <w:pPr>
        <w:pStyle w:val="a4"/>
        <w:numPr>
          <w:ilvl w:val="0"/>
          <w:numId w:val="45"/>
        </w:numPr>
        <w:tabs>
          <w:tab w:val="left" w:pos="1701"/>
        </w:tabs>
        <w:spacing w:before="3" w:line="276" w:lineRule="auto"/>
        <w:ind w:right="146"/>
        <w:rPr>
          <w:color w:val="000000" w:themeColor="text1"/>
          <w:sz w:val="20"/>
        </w:rPr>
      </w:pPr>
      <w:proofErr w:type="spellStart"/>
      <w:r w:rsidRPr="00BE6D3F">
        <w:rPr>
          <w:color w:val="000000" w:themeColor="text1"/>
          <w:w w:val="110"/>
          <w:sz w:val="20"/>
        </w:rPr>
        <w:t>Місцеві</w:t>
      </w:r>
      <w:proofErr w:type="spellEnd"/>
      <w:r w:rsidRPr="00BE6D3F">
        <w:rPr>
          <w:color w:val="000000" w:themeColor="text1"/>
          <w:w w:val="110"/>
          <w:sz w:val="20"/>
        </w:rPr>
        <w:t xml:space="preserve"> </w:t>
      </w:r>
      <w:proofErr w:type="spellStart"/>
      <w:r w:rsidRPr="00BE6D3F">
        <w:rPr>
          <w:color w:val="000000" w:themeColor="text1"/>
          <w:w w:val="110"/>
          <w:sz w:val="20"/>
        </w:rPr>
        <w:t>епідеміологічні</w:t>
      </w:r>
      <w:proofErr w:type="spellEnd"/>
      <w:r w:rsidRPr="00BE6D3F">
        <w:rPr>
          <w:color w:val="000000" w:themeColor="text1"/>
          <w:w w:val="110"/>
          <w:sz w:val="20"/>
        </w:rPr>
        <w:t xml:space="preserve"> </w:t>
      </w:r>
      <w:proofErr w:type="spellStart"/>
      <w:r w:rsidRPr="00BE6D3F">
        <w:rPr>
          <w:color w:val="000000" w:themeColor="text1"/>
          <w:w w:val="110"/>
          <w:sz w:val="20"/>
        </w:rPr>
        <w:t>дані</w:t>
      </w:r>
      <w:proofErr w:type="spellEnd"/>
      <w:r w:rsidRPr="00BE6D3F">
        <w:rPr>
          <w:color w:val="000000" w:themeColor="text1"/>
          <w:w w:val="110"/>
          <w:sz w:val="20"/>
        </w:rPr>
        <w:t xml:space="preserve"> щодо </w:t>
      </w:r>
      <w:proofErr w:type="spellStart"/>
      <w:r w:rsidRPr="00BE6D3F">
        <w:rPr>
          <w:color w:val="000000" w:themeColor="text1"/>
          <w:w w:val="110"/>
          <w:sz w:val="20"/>
        </w:rPr>
        <w:t>поширеності</w:t>
      </w:r>
      <w:proofErr w:type="spellEnd"/>
      <w:r w:rsidRPr="00BE6D3F">
        <w:rPr>
          <w:color w:val="000000" w:themeColor="text1"/>
          <w:w w:val="110"/>
          <w:sz w:val="20"/>
        </w:rPr>
        <w:t xml:space="preserve"> </w:t>
      </w:r>
      <w:bookmarkStart w:id="82" w:name="_Hlk197951519"/>
      <w:proofErr w:type="spellStart"/>
      <w:r w:rsidRPr="00BE6D3F">
        <w:rPr>
          <w:color w:val="000000" w:themeColor="text1"/>
          <w:w w:val="110"/>
          <w:sz w:val="20"/>
        </w:rPr>
        <w:t>стійкості</w:t>
      </w:r>
      <w:proofErr w:type="spellEnd"/>
      <w:r w:rsidRPr="00BE6D3F">
        <w:rPr>
          <w:color w:val="000000" w:themeColor="text1"/>
          <w:w w:val="110"/>
          <w:sz w:val="20"/>
        </w:rPr>
        <w:t xml:space="preserve"> </w:t>
      </w:r>
      <w:bookmarkEnd w:id="82"/>
      <w:proofErr w:type="spellStart"/>
      <w:r w:rsidRPr="00BE6D3F">
        <w:rPr>
          <w:color w:val="000000" w:themeColor="text1"/>
          <w:w w:val="110"/>
          <w:sz w:val="20"/>
        </w:rPr>
        <w:t>повинні</w:t>
      </w:r>
      <w:proofErr w:type="spellEnd"/>
      <w:r w:rsidRPr="00BE6D3F">
        <w:rPr>
          <w:color w:val="000000" w:themeColor="text1"/>
          <w:w w:val="110"/>
          <w:sz w:val="20"/>
        </w:rPr>
        <w:t xml:space="preserve"> </w:t>
      </w:r>
      <w:proofErr w:type="spellStart"/>
      <w:r w:rsidRPr="00BE6D3F">
        <w:rPr>
          <w:color w:val="000000" w:themeColor="text1"/>
          <w:w w:val="110"/>
          <w:sz w:val="20"/>
        </w:rPr>
        <w:t>визначати</w:t>
      </w:r>
      <w:proofErr w:type="spellEnd"/>
      <w:r w:rsidRPr="00BE6D3F">
        <w:rPr>
          <w:color w:val="000000" w:themeColor="text1"/>
          <w:w w:val="110"/>
          <w:sz w:val="20"/>
        </w:rPr>
        <w:t xml:space="preserve"> </w:t>
      </w:r>
      <w:proofErr w:type="spellStart"/>
      <w:r w:rsidRPr="00BE6D3F">
        <w:rPr>
          <w:color w:val="000000" w:themeColor="text1"/>
          <w:w w:val="110"/>
          <w:sz w:val="20"/>
        </w:rPr>
        <w:t>місцеві</w:t>
      </w:r>
      <w:proofErr w:type="spellEnd"/>
      <w:r w:rsidRPr="00BE6D3F">
        <w:rPr>
          <w:color w:val="000000" w:themeColor="text1"/>
          <w:w w:val="110"/>
          <w:sz w:val="20"/>
        </w:rPr>
        <w:t xml:space="preserve"> </w:t>
      </w:r>
      <w:proofErr w:type="spellStart"/>
      <w:r w:rsidRPr="00BE6D3F">
        <w:rPr>
          <w:color w:val="000000" w:themeColor="text1"/>
          <w:w w:val="110"/>
          <w:sz w:val="20"/>
        </w:rPr>
        <w:t>алгоритми</w:t>
      </w:r>
      <w:proofErr w:type="spellEnd"/>
      <w:r w:rsidRPr="00BE6D3F">
        <w:rPr>
          <w:color w:val="000000" w:themeColor="text1"/>
          <w:w w:val="110"/>
          <w:sz w:val="20"/>
        </w:rPr>
        <w:t xml:space="preserve"> </w:t>
      </w:r>
      <w:proofErr w:type="spellStart"/>
      <w:r w:rsidRPr="00BE6D3F">
        <w:rPr>
          <w:color w:val="000000" w:themeColor="text1"/>
          <w:w w:val="110"/>
          <w:sz w:val="20"/>
        </w:rPr>
        <w:t>тестування</w:t>
      </w:r>
      <w:proofErr w:type="spellEnd"/>
      <w:r w:rsidRPr="00BE6D3F">
        <w:rPr>
          <w:color w:val="000000" w:themeColor="text1"/>
          <w:w w:val="110"/>
          <w:sz w:val="20"/>
        </w:rPr>
        <w:t xml:space="preserve">, </w:t>
      </w:r>
      <w:r w:rsidRPr="00BE6D3F">
        <w:rPr>
          <w:color w:val="000000" w:themeColor="text1"/>
          <w:w w:val="110"/>
          <w:sz w:val="20"/>
          <w:lang w:val="uk-UA"/>
        </w:rPr>
        <w:t>оскільки</w:t>
      </w:r>
      <w:r w:rsidRPr="00BE6D3F">
        <w:rPr>
          <w:color w:val="000000" w:themeColor="text1"/>
          <w:w w:val="110"/>
          <w:sz w:val="20"/>
        </w:rPr>
        <w:t xml:space="preserve"> </w:t>
      </w:r>
      <w:r w:rsidRPr="00BE6D3F">
        <w:rPr>
          <w:color w:val="000000" w:themeColor="text1"/>
          <w:w w:val="110"/>
          <w:sz w:val="20"/>
          <w:lang w:val="uk-UA"/>
        </w:rPr>
        <w:t>передтестова</w:t>
      </w:r>
      <w:r w:rsidRPr="00BE6D3F">
        <w:rPr>
          <w:color w:val="000000" w:themeColor="text1"/>
          <w:w w:val="110"/>
          <w:sz w:val="20"/>
        </w:rPr>
        <w:t xml:space="preserve"> </w:t>
      </w:r>
      <w:proofErr w:type="spellStart"/>
      <w:r w:rsidRPr="00BE6D3F">
        <w:rPr>
          <w:color w:val="000000" w:themeColor="text1"/>
          <w:w w:val="110"/>
          <w:sz w:val="20"/>
        </w:rPr>
        <w:t>ймовірність</w:t>
      </w:r>
      <w:proofErr w:type="spellEnd"/>
      <w:r w:rsidRPr="00BE6D3F">
        <w:rPr>
          <w:color w:val="000000" w:themeColor="text1"/>
          <w:w w:val="110"/>
          <w:sz w:val="20"/>
        </w:rPr>
        <w:t xml:space="preserve"> є </w:t>
      </w:r>
      <w:proofErr w:type="spellStart"/>
      <w:r w:rsidRPr="00BE6D3F">
        <w:rPr>
          <w:color w:val="000000" w:themeColor="text1"/>
          <w:w w:val="110"/>
          <w:sz w:val="20"/>
        </w:rPr>
        <w:t>важливою</w:t>
      </w:r>
      <w:proofErr w:type="spellEnd"/>
      <w:r w:rsidRPr="00BE6D3F">
        <w:rPr>
          <w:color w:val="000000" w:themeColor="text1"/>
          <w:w w:val="110"/>
          <w:sz w:val="20"/>
        </w:rPr>
        <w:t xml:space="preserve"> </w:t>
      </w:r>
      <w:proofErr w:type="spellStart"/>
      <w:r w:rsidRPr="00BE6D3F">
        <w:rPr>
          <w:color w:val="000000" w:themeColor="text1"/>
          <w:w w:val="110"/>
          <w:sz w:val="20"/>
        </w:rPr>
        <w:t>для</w:t>
      </w:r>
      <w:proofErr w:type="spellEnd"/>
      <w:r w:rsidRPr="00BE6D3F">
        <w:rPr>
          <w:color w:val="000000" w:themeColor="text1"/>
          <w:w w:val="110"/>
          <w:sz w:val="20"/>
        </w:rPr>
        <w:t xml:space="preserve"> </w:t>
      </w:r>
      <w:proofErr w:type="spellStart"/>
      <w:r w:rsidRPr="00BE6D3F">
        <w:rPr>
          <w:color w:val="000000" w:themeColor="text1"/>
          <w:w w:val="110"/>
          <w:sz w:val="20"/>
        </w:rPr>
        <w:t>клінічної</w:t>
      </w:r>
      <w:proofErr w:type="spellEnd"/>
      <w:r w:rsidRPr="00BE6D3F">
        <w:rPr>
          <w:color w:val="000000" w:themeColor="text1"/>
          <w:w w:val="110"/>
          <w:sz w:val="20"/>
        </w:rPr>
        <w:t xml:space="preserve"> </w:t>
      </w:r>
      <w:proofErr w:type="spellStart"/>
      <w:r w:rsidRPr="00BE6D3F">
        <w:rPr>
          <w:color w:val="000000" w:themeColor="text1"/>
          <w:w w:val="110"/>
          <w:sz w:val="20"/>
        </w:rPr>
        <w:t>інтерпретації</w:t>
      </w:r>
      <w:proofErr w:type="spellEnd"/>
      <w:r w:rsidRPr="00BE6D3F">
        <w:rPr>
          <w:color w:val="000000" w:themeColor="text1"/>
          <w:w w:val="110"/>
          <w:sz w:val="20"/>
        </w:rPr>
        <w:t xml:space="preserve"> </w:t>
      </w:r>
      <w:proofErr w:type="spellStart"/>
      <w:r w:rsidRPr="00BE6D3F">
        <w:rPr>
          <w:color w:val="000000" w:themeColor="text1"/>
          <w:w w:val="110"/>
          <w:sz w:val="20"/>
        </w:rPr>
        <w:t>результатів</w:t>
      </w:r>
      <w:proofErr w:type="spellEnd"/>
      <w:r w:rsidRPr="00BE6D3F">
        <w:rPr>
          <w:color w:val="000000" w:themeColor="text1"/>
          <w:w w:val="110"/>
          <w:sz w:val="20"/>
        </w:rPr>
        <w:t xml:space="preserve"> </w:t>
      </w:r>
      <w:proofErr w:type="spellStart"/>
      <w:r w:rsidRPr="00BE6D3F">
        <w:rPr>
          <w:color w:val="000000" w:themeColor="text1"/>
          <w:w w:val="110"/>
          <w:sz w:val="20"/>
        </w:rPr>
        <w:t>тесту</w:t>
      </w:r>
      <w:proofErr w:type="spellEnd"/>
      <w:r w:rsidRPr="00BE6D3F">
        <w:rPr>
          <w:color w:val="000000" w:themeColor="text1"/>
          <w:w w:val="110"/>
          <w:sz w:val="20"/>
        </w:rPr>
        <w:t>.</w:t>
      </w:r>
    </w:p>
    <w:p w14:paraId="0D7879B6" w14:textId="77777777" w:rsidR="0001099E" w:rsidRPr="00BE6D3F" w:rsidRDefault="0001099E" w:rsidP="004A2937">
      <w:pPr>
        <w:pStyle w:val="a4"/>
        <w:numPr>
          <w:ilvl w:val="0"/>
          <w:numId w:val="45"/>
        </w:numPr>
        <w:tabs>
          <w:tab w:val="left" w:pos="1701"/>
        </w:tabs>
        <w:spacing w:before="3" w:line="276" w:lineRule="auto"/>
        <w:ind w:right="146"/>
        <w:rPr>
          <w:color w:val="000000" w:themeColor="text1"/>
          <w:sz w:val="20"/>
        </w:rPr>
      </w:pPr>
      <w:proofErr w:type="spellStart"/>
      <w:r w:rsidRPr="00BE6D3F">
        <w:rPr>
          <w:color w:val="000000" w:themeColor="text1"/>
          <w:w w:val="110"/>
          <w:sz w:val="20"/>
        </w:rPr>
        <w:t>Вартість</w:t>
      </w:r>
      <w:proofErr w:type="spellEnd"/>
      <w:r w:rsidRPr="00BE6D3F">
        <w:rPr>
          <w:color w:val="000000" w:themeColor="text1"/>
          <w:w w:val="110"/>
          <w:sz w:val="20"/>
        </w:rPr>
        <w:t xml:space="preserve"> </w:t>
      </w:r>
      <w:proofErr w:type="spellStart"/>
      <w:r w:rsidRPr="00BE6D3F">
        <w:rPr>
          <w:color w:val="000000" w:themeColor="text1"/>
          <w:w w:val="110"/>
          <w:sz w:val="20"/>
        </w:rPr>
        <w:t>тесту</w:t>
      </w:r>
      <w:proofErr w:type="spellEnd"/>
      <w:r w:rsidRPr="00BE6D3F">
        <w:rPr>
          <w:color w:val="000000" w:themeColor="text1"/>
          <w:w w:val="110"/>
          <w:sz w:val="20"/>
        </w:rPr>
        <w:t xml:space="preserve"> </w:t>
      </w:r>
      <w:proofErr w:type="spellStart"/>
      <w:r w:rsidRPr="00BE6D3F">
        <w:rPr>
          <w:color w:val="000000" w:themeColor="text1"/>
          <w:w w:val="110"/>
          <w:sz w:val="20"/>
        </w:rPr>
        <w:t>варіюється</w:t>
      </w:r>
      <w:proofErr w:type="spellEnd"/>
      <w:r w:rsidRPr="00BE6D3F">
        <w:rPr>
          <w:color w:val="000000" w:themeColor="text1"/>
          <w:w w:val="110"/>
          <w:sz w:val="20"/>
        </w:rPr>
        <w:t xml:space="preserve"> </w:t>
      </w:r>
      <w:proofErr w:type="spellStart"/>
      <w:r w:rsidRPr="00BE6D3F">
        <w:rPr>
          <w:color w:val="000000" w:themeColor="text1"/>
          <w:w w:val="110"/>
          <w:sz w:val="20"/>
        </w:rPr>
        <w:t>залежно</w:t>
      </w:r>
      <w:proofErr w:type="spellEnd"/>
      <w:r w:rsidRPr="00BE6D3F">
        <w:rPr>
          <w:color w:val="000000" w:themeColor="text1"/>
          <w:w w:val="110"/>
          <w:sz w:val="20"/>
        </w:rPr>
        <w:t xml:space="preserve"> </w:t>
      </w:r>
      <w:proofErr w:type="spellStart"/>
      <w:r w:rsidRPr="00BE6D3F">
        <w:rPr>
          <w:color w:val="000000" w:themeColor="text1"/>
          <w:w w:val="110"/>
          <w:sz w:val="20"/>
        </w:rPr>
        <w:t>від</w:t>
      </w:r>
      <w:proofErr w:type="spellEnd"/>
      <w:r w:rsidRPr="00BE6D3F">
        <w:rPr>
          <w:color w:val="000000" w:themeColor="text1"/>
          <w:w w:val="110"/>
          <w:sz w:val="20"/>
        </w:rPr>
        <w:t xml:space="preserve"> </w:t>
      </w:r>
      <w:proofErr w:type="spellStart"/>
      <w:r w:rsidRPr="00BE6D3F">
        <w:rPr>
          <w:color w:val="000000" w:themeColor="text1"/>
          <w:w w:val="110"/>
          <w:sz w:val="20"/>
        </w:rPr>
        <w:t>кількості</w:t>
      </w:r>
      <w:proofErr w:type="spellEnd"/>
      <w:r w:rsidRPr="00BE6D3F">
        <w:rPr>
          <w:color w:val="000000" w:themeColor="text1"/>
          <w:w w:val="110"/>
          <w:sz w:val="20"/>
        </w:rPr>
        <w:t xml:space="preserve"> </w:t>
      </w:r>
      <w:proofErr w:type="spellStart"/>
      <w:r w:rsidRPr="00BE6D3F">
        <w:rPr>
          <w:color w:val="000000" w:themeColor="text1"/>
          <w:w w:val="110"/>
          <w:sz w:val="20"/>
        </w:rPr>
        <w:t>зразків</w:t>
      </w:r>
      <w:proofErr w:type="spellEnd"/>
      <w:r w:rsidRPr="00BE6D3F">
        <w:rPr>
          <w:color w:val="000000" w:themeColor="text1"/>
          <w:w w:val="110"/>
          <w:sz w:val="20"/>
        </w:rPr>
        <w:t xml:space="preserve"> у </w:t>
      </w:r>
      <w:proofErr w:type="spellStart"/>
      <w:r w:rsidRPr="00BE6D3F">
        <w:rPr>
          <w:color w:val="000000" w:themeColor="text1"/>
          <w:w w:val="110"/>
          <w:sz w:val="20"/>
        </w:rPr>
        <w:t>партії</w:t>
      </w:r>
      <w:proofErr w:type="spellEnd"/>
      <w:r w:rsidRPr="00BE6D3F">
        <w:rPr>
          <w:color w:val="000000" w:themeColor="text1"/>
          <w:w w:val="110"/>
          <w:sz w:val="20"/>
        </w:rPr>
        <w:t xml:space="preserve">, </w:t>
      </w:r>
      <w:proofErr w:type="spellStart"/>
      <w:r w:rsidRPr="00BE6D3F">
        <w:rPr>
          <w:color w:val="000000" w:themeColor="text1"/>
          <w:w w:val="110"/>
          <w:sz w:val="20"/>
        </w:rPr>
        <w:t>витрат</w:t>
      </w:r>
      <w:proofErr w:type="spellEnd"/>
      <w:r w:rsidRPr="00BE6D3F">
        <w:rPr>
          <w:color w:val="000000" w:themeColor="text1"/>
          <w:w w:val="110"/>
          <w:sz w:val="20"/>
        </w:rPr>
        <w:t xml:space="preserve"> </w:t>
      </w:r>
      <w:proofErr w:type="spellStart"/>
      <w:r w:rsidRPr="00BE6D3F">
        <w:rPr>
          <w:color w:val="000000" w:themeColor="text1"/>
          <w:w w:val="110"/>
          <w:sz w:val="20"/>
        </w:rPr>
        <w:t>робочого</w:t>
      </w:r>
      <w:proofErr w:type="spellEnd"/>
      <w:r w:rsidRPr="00BE6D3F">
        <w:rPr>
          <w:color w:val="000000" w:themeColor="text1"/>
          <w:w w:val="110"/>
          <w:sz w:val="20"/>
        </w:rPr>
        <w:t xml:space="preserve"> </w:t>
      </w:r>
      <w:proofErr w:type="spellStart"/>
      <w:r w:rsidRPr="00BE6D3F">
        <w:rPr>
          <w:color w:val="000000" w:themeColor="text1"/>
          <w:w w:val="110"/>
          <w:sz w:val="20"/>
        </w:rPr>
        <w:t>часу</w:t>
      </w:r>
      <w:proofErr w:type="spellEnd"/>
      <w:r w:rsidRPr="00BE6D3F">
        <w:rPr>
          <w:color w:val="000000" w:themeColor="text1"/>
          <w:w w:val="110"/>
          <w:sz w:val="20"/>
        </w:rPr>
        <w:t xml:space="preserve"> </w:t>
      </w:r>
      <w:proofErr w:type="spellStart"/>
      <w:r w:rsidRPr="00BE6D3F">
        <w:rPr>
          <w:color w:val="000000" w:themeColor="text1"/>
          <w:w w:val="110"/>
          <w:sz w:val="20"/>
        </w:rPr>
        <w:t>персоналу</w:t>
      </w:r>
      <w:proofErr w:type="spellEnd"/>
      <w:r w:rsidRPr="00BE6D3F">
        <w:rPr>
          <w:color w:val="000000" w:themeColor="text1"/>
          <w:w w:val="110"/>
          <w:sz w:val="20"/>
        </w:rPr>
        <w:t xml:space="preserve"> та </w:t>
      </w:r>
      <w:proofErr w:type="spellStart"/>
      <w:r w:rsidRPr="00BE6D3F">
        <w:rPr>
          <w:color w:val="000000" w:themeColor="text1"/>
          <w:w w:val="110"/>
          <w:sz w:val="20"/>
        </w:rPr>
        <w:t>інших</w:t>
      </w:r>
      <w:proofErr w:type="spellEnd"/>
      <w:r w:rsidRPr="00BE6D3F">
        <w:rPr>
          <w:color w:val="000000" w:themeColor="text1"/>
          <w:w w:val="110"/>
          <w:sz w:val="20"/>
        </w:rPr>
        <w:t xml:space="preserve"> </w:t>
      </w:r>
      <w:proofErr w:type="spellStart"/>
      <w:r w:rsidRPr="00BE6D3F">
        <w:rPr>
          <w:color w:val="000000" w:themeColor="text1"/>
          <w:w w:val="110"/>
          <w:sz w:val="20"/>
        </w:rPr>
        <w:t>параметрів</w:t>
      </w:r>
      <w:proofErr w:type="spellEnd"/>
      <w:r w:rsidRPr="00BE6D3F">
        <w:rPr>
          <w:color w:val="000000" w:themeColor="text1"/>
          <w:w w:val="110"/>
          <w:sz w:val="20"/>
        </w:rPr>
        <w:t xml:space="preserve">, </w:t>
      </w:r>
      <w:proofErr w:type="spellStart"/>
      <w:r w:rsidRPr="00BE6D3F">
        <w:rPr>
          <w:color w:val="000000" w:themeColor="text1"/>
          <w:w w:val="110"/>
          <w:sz w:val="20"/>
        </w:rPr>
        <w:t>що</w:t>
      </w:r>
      <w:proofErr w:type="spellEnd"/>
      <w:r w:rsidRPr="00BE6D3F">
        <w:rPr>
          <w:color w:val="000000" w:themeColor="text1"/>
          <w:w w:val="110"/>
          <w:sz w:val="20"/>
        </w:rPr>
        <w:t xml:space="preserve"> </w:t>
      </w:r>
      <w:proofErr w:type="spellStart"/>
      <w:r w:rsidRPr="00BE6D3F">
        <w:rPr>
          <w:color w:val="000000" w:themeColor="text1"/>
          <w:w w:val="110"/>
          <w:sz w:val="20"/>
        </w:rPr>
        <w:t>вимагає</w:t>
      </w:r>
      <w:proofErr w:type="spellEnd"/>
      <w:r w:rsidRPr="00BE6D3F">
        <w:rPr>
          <w:color w:val="000000" w:themeColor="text1"/>
          <w:w w:val="110"/>
          <w:sz w:val="20"/>
        </w:rPr>
        <w:t xml:space="preserve"> </w:t>
      </w:r>
      <w:proofErr w:type="spellStart"/>
      <w:r w:rsidRPr="00BE6D3F">
        <w:rPr>
          <w:color w:val="000000" w:themeColor="text1"/>
          <w:w w:val="110"/>
          <w:sz w:val="20"/>
        </w:rPr>
        <w:t>проведення</w:t>
      </w:r>
      <w:proofErr w:type="spellEnd"/>
      <w:r w:rsidRPr="00BE6D3F">
        <w:rPr>
          <w:color w:val="000000" w:themeColor="text1"/>
          <w:w w:val="110"/>
          <w:sz w:val="20"/>
        </w:rPr>
        <w:t xml:space="preserve"> </w:t>
      </w:r>
      <w:proofErr w:type="spellStart"/>
      <w:r w:rsidRPr="00BE6D3F">
        <w:rPr>
          <w:color w:val="000000" w:themeColor="text1"/>
          <w:w w:val="110"/>
          <w:sz w:val="20"/>
        </w:rPr>
        <w:t>місцевого</w:t>
      </w:r>
      <w:proofErr w:type="spellEnd"/>
      <w:r w:rsidRPr="00BE6D3F">
        <w:rPr>
          <w:color w:val="000000" w:themeColor="text1"/>
          <w:w w:val="110"/>
          <w:sz w:val="20"/>
        </w:rPr>
        <w:t xml:space="preserve"> </w:t>
      </w:r>
      <w:proofErr w:type="spellStart"/>
      <w:r w:rsidRPr="00BE6D3F">
        <w:rPr>
          <w:color w:val="000000" w:themeColor="text1"/>
          <w:w w:val="110"/>
          <w:sz w:val="20"/>
        </w:rPr>
        <w:t>розрахунку</w:t>
      </w:r>
      <w:proofErr w:type="spellEnd"/>
      <w:r w:rsidRPr="00BE6D3F">
        <w:rPr>
          <w:color w:val="000000" w:themeColor="text1"/>
          <w:w w:val="110"/>
          <w:sz w:val="20"/>
          <w:lang w:val="uk-UA"/>
        </w:rPr>
        <w:t xml:space="preserve"> </w:t>
      </w:r>
      <w:proofErr w:type="spellStart"/>
      <w:r w:rsidRPr="00BE6D3F">
        <w:rPr>
          <w:color w:val="000000" w:themeColor="text1"/>
          <w:w w:val="110"/>
          <w:sz w:val="20"/>
        </w:rPr>
        <w:t>вартості</w:t>
      </w:r>
      <w:proofErr w:type="spellEnd"/>
      <w:r w:rsidRPr="00BE6D3F">
        <w:rPr>
          <w:color w:val="000000" w:themeColor="text1"/>
          <w:w w:val="110"/>
          <w:sz w:val="20"/>
        </w:rPr>
        <w:t>.</w:t>
      </w:r>
    </w:p>
    <w:p w14:paraId="61E20598" w14:textId="77777777" w:rsidR="0001099E" w:rsidRPr="00BE6D3F" w:rsidRDefault="0001099E" w:rsidP="004A2937">
      <w:pPr>
        <w:pStyle w:val="a4"/>
        <w:numPr>
          <w:ilvl w:val="0"/>
          <w:numId w:val="45"/>
        </w:numPr>
        <w:tabs>
          <w:tab w:val="left" w:pos="1701"/>
        </w:tabs>
        <w:spacing w:before="2" w:line="276" w:lineRule="auto"/>
        <w:ind w:right="146"/>
        <w:rPr>
          <w:color w:val="000000" w:themeColor="text1"/>
          <w:sz w:val="20"/>
        </w:rPr>
      </w:pPr>
      <w:proofErr w:type="spellStart"/>
      <w:r w:rsidRPr="00BE6D3F">
        <w:rPr>
          <w:color w:val="000000" w:themeColor="text1"/>
          <w:w w:val="110"/>
          <w:sz w:val="20"/>
        </w:rPr>
        <w:t>Тести</w:t>
      </w:r>
      <w:proofErr w:type="spellEnd"/>
      <w:r w:rsidRPr="00BE6D3F">
        <w:rPr>
          <w:color w:val="000000" w:themeColor="text1"/>
          <w:w w:val="110"/>
          <w:sz w:val="20"/>
        </w:rPr>
        <w:t xml:space="preserve"> </w:t>
      </w:r>
      <w:proofErr w:type="spellStart"/>
      <w:r w:rsidRPr="00BE6D3F">
        <w:rPr>
          <w:color w:val="000000" w:themeColor="text1"/>
          <w:w w:val="110"/>
          <w:sz w:val="20"/>
        </w:rPr>
        <w:t>низької</w:t>
      </w:r>
      <w:proofErr w:type="spellEnd"/>
      <w:r w:rsidRPr="00BE6D3F">
        <w:rPr>
          <w:color w:val="000000" w:themeColor="text1"/>
          <w:w w:val="110"/>
          <w:sz w:val="20"/>
        </w:rPr>
        <w:t xml:space="preserve">, </w:t>
      </w:r>
      <w:proofErr w:type="spellStart"/>
      <w:r w:rsidRPr="00BE6D3F">
        <w:rPr>
          <w:color w:val="000000" w:themeColor="text1"/>
          <w:w w:val="110"/>
          <w:sz w:val="20"/>
        </w:rPr>
        <w:t>середньої</w:t>
      </w:r>
      <w:proofErr w:type="spellEnd"/>
      <w:r w:rsidRPr="00BE6D3F">
        <w:rPr>
          <w:color w:val="000000" w:themeColor="text1"/>
          <w:w w:val="110"/>
          <w:sz w:val="20"/>
        </w:rPr>
        <w:t xml:space="preserve"> та </w:t>
      </w:r>
      <w:proofErr w:type="spellStart"/>
      <w:r w:rsidRPr="00BE6D3F">
        <w:rPr>
          <w:color w:val="000000" w:themeColor="text1"/>
          <w:w w:val="110"/>
          <w:sz w:val="20"/>
        </w:rPr>
        <w:t>високої</w:t>
      </w:r>
      <w:proofErr w:type="spellEnd"/>
      <w:r w:rsidRPr="00BE6D3F">
        <w:rPr>
          <w:color w:val="000000" w:themeColor="text1"/>
          <w:w w:val="110"/>
          <w:sz w:val="20"/>
        </w:rPr>
        <w:t xml:space="preserve"> </w:t>
      </w:r>
      <w:proofErr w:type="spellStart"/>
      <w:r w:rsidRPr="00BE6D3F">
        <w:rPr>
          <w:color w:val="000000" w:themeColor="text1"/>
          <w:w w:val="110"/>
          <w:sz w:val="20"/>
        </w:rPr>
        <w:t>складності</w:t>
      </w:r>
      <w:proofErr w:type="spellEnd"/>
      <w:r w:rsidRPr="00BE6D3F">
        <w:rPr>
          <w:color w:val="000000" w:themeColor="text1"/>
          <w:w w:val="110"/>
          <w:sz w:val="20"/>
        </w:rPr>
        <w:t xml:space="preserve"> </w:t>
      </w:r>
      <w:proofErr w:type="spellStart"/>
      <w:r w:rsidRPr="00BE6D3F">
        <w:rPr>
          <w:color w:val="000000" w:themeColor="text1"/>
          <w:w w:val="110"/>
          <w:sz w:val="20"/>
        </w:rPr>
        <w:t>послідовно</w:t>
      </w:r>
      <w:proofErr w:type="spellEnd"/>
      <w:r w:rsidRPr="00BE6D3F">
        <w:rPr>
          <w:color w:val="000000" w:themeColor="text1"/>
          <w:w w:val="110"/>
          <w:sz w:val="20"/>
        </w:rPr>
        <w:t xml:space="preserve"> </w:t>
      </w:r>
      <w:proofErr w:type="spellStart"/>
      <w:r w:rsidRPr="00BE6D3F">
        <w:rPr>
          <w:color w:val="000000" w:themeColor="text1"/>
          <w:w w:val="110"/>
          <w:sz w:val="20"/>
        </w:rPr>
        <w:t>підвищують</w:t>
      </w:r>
      <w:proofErr w:type="spellEnd"/>
      <w:r w:rsidRPr="00BE6D3F">
        <w:rPr>
          <w:color w:val="000000" w:themeColor="text1"/>
          <w:w w:val="110"/>
          <w:sz w:val="20"/>
        </w:rPr>
        <w:t xml:space="preserve"> </w:t>
      </w:r>
      <w:proofErr w:type="spellStart"/>
      <w:r w:rsidRPr="00BE6D3F">
        <w:rPr>
          <w:color w:val="000000" w:themeColor="text1"/>
          <w:w w:val="110"/>
          <w:sz w:val="20"/>
        </w:rPr>
        <w:t>вимоги</w:t>
      </w:r>
      <w:proofErr w:type="spellEnd"/>
      <w:r w:rsidRPr="00BE6D3F">
        <w:rPr>
          <w:color w:val="000000" w:themeColor="text1"/>
          <w:w w:val="110"/>
          <w:sz w:val="20"/>
        </w:rPr>
        <w:t xml:space="preserve"> </w:t>
      </w:r>
      <w:proofErr w:type="spellStart"/>
      <w:r w:rsidRPr="00BE6D3F">
        <w:rPr>
          <w:color w:val="000000" w:themeColor="text1"/>
          <w:w w:val="110"/>
          <w:sz w:val="20"/>
        </w:rPr>
        <w:t>до</w:t>
      </w:r>
      <w:proofErr w:type="spellEnd"/>
      <w:r w:rsidRPr="00BE6D3F">
        <w:rPr>
          <w:color w:val="000000" w:themeColor="text1"/>
          <w:w w:val="110"/>
          <w:sz w:val="20"/>
        </w:rPr>
        <w:t xml:space="preserve"> </w:t>
      </w:r>
      <w:proofErr w:type="spellStart"/>
      <w:r w:rsidRPr="00BE6D3F">
        <w:rPr>
          <w:color w:val="000000" w:themeColor="text1"/>
          <w:w w:val="110"/>
          <w:sz w:val="20"/>
        </w:rPr>
        <w:t>технічної</w:t>
      </w:r>
      <w:proofErr w:type="spellEnd"/>
      <w:r w:rsidRPr="00BE6D3F">
        <w:rPr>
          <w:color w:val="000000" w:themeColor="text1"/>
          <w:w w:val="110"/>
          <w:sz w:val="20"/>
        </w:rPr>
        <w:t xml:space="preserve"> </w:t>
      </w:r>
      <w:proofErr w:type="spellStart"/>
      <w:r w:rsidRPr="00BE6D3F">
        <w:rPr>
          <w:color w:val="000000" w:themeColor="text1"/>
          <w:w w:val="110"/>
          <w:sz w:val="20"/>
        </w:rPr>
        <w:t>компетентності</w:t>
      </w:r>
      <w:proofErr w:type="spellEnd"/>
      <w:r w:rsidRPr="00BE6D3F">
        <w:rPr>
          <w:color w:val="000000" w:themeColor="text1"/>
          <w:w w:val="110"/>
          <w:sz w:val="20"/>
        </w:rPr>
        <w:t xml:space="preserve"> (</w:t>
      </w:r>
      <w:proofErr w:type="spellStart"/>
      <w:r w:rsidRPr="00BE6D3F">
        <w:rPr>
          <w:color w:val="000000" w:themeColor="text1"/>
          <w:w w:val="110"/>
          <w:sz w:val="20"/>
        </w:rPr>
        <w:t>кваліфікація</w:t>
      </w:r>
      <w:proofErr w:type="spellEnd"/>
      <w:r w:rsidRPr="00BE6D3F">
        <w:rPr>
          <w:color w:val="000000" w:themeColor="text1"/>
          <w:w w:val="110"/>
          <w:sz w:val="20"/>
        </w:rPr>
        <w:t xml:space="preserve"> та </w:t>
      </w:r>
      <w:proofErr w:type="spellStart"/>
      <w:r w:rsidRPr="00BE6D3F">
        <w:rPr>
          <w:color w:val="000000" w:themeColor="text1"/>
          <w:w w:val="110"/>
          <w:sz w:val="20"/>
        </w:rPr>
        <w:t>навички</w:t>
      </w:r>
      <w:proofErr w:type="spellEnd"/>
      <w:r w:rsidRPr="00BE6D3F">
        <w:rPr>
          <w:color w:val="000000" w:themeColor="text1"/>
          <w:w w:val="110"/>
          <w:sz w:val="20"/>
        </w:rPr>
        <w:t xml:space="preserve">) та </w:t>
      </w:r>
      <w:proofErr w:type="spellStart"/>
      <w:r w:rsidRPr="00BE6D3F">
        <w:rPr>
          <w:color w:val="000000" w:themeColor="text1"/>
          <w:w w:val="110"/>
          <w:sz w:val="20"/>
        </w:rPr>
        <w:t>витрат</w:t>
      </w:r>
      <w:proofErr w:type="spellEnd"/>
      <w:r w:rsidRPr="00BE6D3F">
        <w:rPr>
          <w:color w:val="000000" w:themeColor="text1"/>
          <w:w w:val="110"/>
          <w:sz w:val="20"/>
        </w:rPr>
        <w:t xml:space="preserve"> </w:t>
      </w:r>
      <w:proofErr w:type="spellStart"/>
      <w:r w:rsidRPr="00BE6D3F">
        <w:rPr>
          <w:color w:val="000000" w:themeColor="text1"/>
          <w:w w:val="110"/>
          <w:sz w:val="20"/>
        </w:rPr>
        <w:t>робочого</w:t>
      </w:r>
      <w:proofErr w:type="spellEnd"/>
      <w:r w:rsidRPr="00BE6D3F">
        <w:rPr>
          <w:color w:val="000000" w:themeColor="text1"/>
          <w:w w:val="110"/>
          <w:sz w:val="20"/>
        </w:rPr>
        <w:t xml:space="preserve"> </w:t>
      </w:r>
      <w:proofErr w:type="spellStart"/>
      <w:r w:rsidRPr="00BE6D3F">
        <w:rPr>
          <w:color w:val="000000" w:themeColor="text1"/>
          <w:w w:val="110"/>
          <w:sz w:val="20"/>
        </w:rPr>
        <w:t>часу</w:t>
      </w:r>
      <w:proofErr w:type="spellEnd"/>
      <w:r w:rsidRPr="00BE6D3F">
        <w:rPr>
          <w:color w:val="000000" w:themeColor="text1"/>
          <w:w w:val="110"/>
          <w:sz w:val="20"/>
        </w:rPr>
        <w:t xml:space="preserve"> </w:t>
      </w:r>
      <w:proofErr w:type="spellStart"/>
      <w:r w:rsidRPr="00BE6D3F">
        <w:rPr>
          <w:color w:val="000000" w:themeColor="text1"/>
          <w:w w:val="110"/>
          <w:sz w:val="20"/>
        </w:rPr>
        <w:t>персоналу</w:t>
      </w:r>
      <w:proofErr w:type="spellEnd"/>
      <w:r w:rsidRPr="00BE6D3F">
        <w:rPr>
          <w:color w:val="000000" w:themeColor="text1"/>
          <w:w w:val="110"/>
          <w:sz w:val="20"/>
        </w:rPr>
        <w:t xml:space="preserve">, </w:t>
      </w:r>
      <w:proofErr w:type="spellStart"/>
      <w:r w:rsidRPr="00BE6D3F">
        <w:rPr>
          <w:color w:val="000000" w:themeColor="text1"/>
          <w:w w:val="110"/>
          <w:sz w:val="20"/>
        </w:rPr>
        <w:t>що</w:t>
      </w:r>
      <w:proofErr w:type="spellEnd"/>
      <w:r w:rsidRPr="00BE6D3F">
        <w:rPr>
          <w:color w:val="000000" w:themeColor="text1"/>
          <w:w w:val="110"/>
          <w:sz w:val="20"/>
        </w:rPr>
        <w:t xml:space="preserve"> </w:t>
      </w:r>
      <w:proofErr w:type="spellStart"/>
      <w:r w:rsidRPr="00BE6D3F">
        <w:rPr>
          <w:color w:val="000000" w:themeColor="text1"/>
          <w:w w:val="110"/>
          <w:sz w:val="20"/>
        </w:rPr>
        <w:t>впливає</w:t>
      </w:r>
      <w:proofErr w:type="spellEnd"/>
      <w:r w:rsidRPr="00BE6D3F">
        <w:rPr>
          <w:color w:val="000000" w:themeColor="text1"/>
          <w:w w:val="110"/>
          <w:sz w:val="20"/>
        </w:rPr>
        <w:t xml:space="preserve"> </w:t>
      </w:r>
      <w:proofErr w:type="spellStart"/>
      <w:r w:rsidRPr="00BE6D3F">
        <w:rPr>
          <w:color w:val="000000" w:themeColor="text1"/>
          <w:w w:val="110"/>
          <w:sz w:val="20"/>
        </w:rPr>
        <w:t>на</w:t>
      </w:r>
      <w:proofErr w:type="spellEnd"/>
      <w:r w:rsidRPr="00BE6D3F">
        <w:rPr>
          <w:color w:val="000000" w:themeColor="text1"/>
          <w:w w:val="110"/>
          <w:sz w:val="20"/>
        </w:rPr>
        <w:t xml:space="preserve"> </w:t>
      </w:r>
      <w:proofErr w:type="spellStart"/>
      <w:r w:rsidRPr="00BE6D3F">
        <w:rPr>
          <w:color w:val="000000" w:themeColor="text1"/>
          <w:w w:val="110"/>
          <w:sz w:val="20"/>
        </w:rPr>
        <w:t>планування</w:t>
      </w:r>
      <w:proofErr w:type="spellEnd"/>
      <w:r w:rsidRPr="00BE6D3F">
        <w:rPr>
          <w:color w:val="000000" w:themeColor="text1"/>
          <w:w w:val="110"/>
          <w:sz w:val="20"/>
        </w:rPr>
        <w:t xml:space="preserve"> та </w:t>
      </w:r>
      <w:proofErr w:type="spellStart"/>
      <w:r w:rsidRPr="00BE6D3F">
        <w:rPr>
          <w:color w:val="000000" w:themeColor="text1"/>
          <w:w w:val="110"/>
          <w:sz w:val="20"/>
        </w:rPr>
        <w:t>бюджетування</w:t>
      </w:r>
      <w:proofErr w:type="spellEnd"/>
      <w:r w:rsidRPr="00BE6D3F">
        <w:rPr>
          <w:color w:val="000000" w:themeColor="text1"/>
          <w:w w:val="110"/>
          <w:sz w:val="20"/>
        </w:rPr>
        <w:t>.</w:t>
      </w:r>
    </w:p>
    <w:p w14:paraId="36FD8730" w14:textId="77777777" w:rsidR="0001099E" w:rsidRPr="006B6651" w:rsidRDefault="0001099E" w:rsidP="004A2937">
      <w:pPr>
        <w:pStyle w:val="a4"/>
        <w:numPr>
          <w:ilvl w:val="0"/>
          <w:numId w:val="45"/>
        </w:numPr>
        <w:tabs>
          <w:tab w:val="left" w:pos="1701"/>
        </w:tabs>
        <w:spacing w:before="2" w:line="276" w:lineRule="auto"/>
        <w:ind w:right="146"/>
        <w:rPr>
          <w:color w:val="000000" w:themeColor="text1"/>
          <w:sz w:val="20"/>
          <w:lang w:val="ru-RU"/>
        </w:rPr>
      </w:pPr>
      <w:r w:rsidRPr="006B6651">
        <w:rPr>
          <w:color w:val="000000" w:themeColor="text1"/>
          <w:w w:val="110"/>
          <w:sz w:val="20"/>
          <w:lang w:val="ru-RU"/>
        </w:rPr>
        <w:t xml:space="preserve">При </w:t>
      </w:r>
      <w:proofErr w:type="spellStart"/>
      <w:r w:rsidRPr="006B6651">
        <w:rPr>
          <w:color w:val="000000" w:themeColor="text1"/>
          <w:w w:val="110"/>
          <w:sz w:val="20"/>
          <w:lang w:val="ru-RU"/>
        </w:rPr>
        <w:t>виборі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постачальника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слід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враховувати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доступність</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своєчасність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місцевої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служби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підтримки</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технічного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обслуговування</w:t>
      </w:r>
      <w:proofErr w:type="spellEnd"/>
      <w:r w:rsidRPr="006B6651">
        <w:rPr>
          <w:color w:val="000000" w:themeColor="text1"/>
          <w:w w:val="110"/>
          <w:sz w:val="20"/>
          <w:lang w:val="ru-RU"/>
        </w:rPr>
        <w:t>.</w:t>
      </w:r>
    </w:p>
    <w:p w14:paraId="373816A7" w14:textId="77777777" w:rsidR="0001099E" w:rsidRPr="006B6651" w:rsidRDefault="0001099E" w:rsidP="004A2937">
      <w:pPr>
        <w:pStyle w:val="a4"/>
        <w:numPr>
          <w:ilvl w:val="0"/>
          <w:numId w:val="45"/>
        </w:numPr>
        <w:tabs>
          <w:tab w:val="left" w:pos="1701"/>
        </w:tabs>
        <w:spacing w:before="2" w:line="276" w:lineRule="auto"/>
        <w:ind w:right="146"/>
        <w:rPr>
          <w:color w:val="000000" w:themeColor="text1"/>
          <w:sz w:val="20"/>
          <w:lang w:val="ru-RU"/>
        </w:rPr>
      </w:pPr>
      <w:proofErr w:type="spellStart"/>
      <w:r w:rsidRPr="006B6651">
        <w:rPr>
          <w:color w:val="000000" w:themeColor="text1"/>
          <w:w w:val="110"/>
          <w:sz w:val="20"/>
          <w:lang w:val="ru-RU"/>
        </w:rPr>
        <w:t>Акредитація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лабораторії</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дотримання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вимог</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надійної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системи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управління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якістю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включ</w:t>
      </w:r>
      <w:proofErr w:type="spellEnd"/>
      <w:r w:rsidRPr="00BE6D3F">
        <w:rPr>
          <w:color w:val="000000" w:themeColor="text1"/>
          <w:w w:val="110"/>
          <w:sz w:val="20"/>
          <w:lang w:val="uk-UA"/>
        </w:rPr>
        <w:t>но з</w:t>
      </w:r>
      <w:r w:rsidRPr="006B6651">
        <w:rPr>
          <w:color w:val="000000" w:themeColor="text1"/>
          <w:w w:val="110"/>
          <w:sz w:val="20"/>
          <w:lang w:val="ru-RU"/>
        </w:rPr>
        <w:t xml:space="preserve"> </w:t>
      </w:r>
      <w:proofErr w:type="spellStart"/>
      <w:r w:rsidRPr="006B6651">
        <w:rPr>
          <w:color w:val="000000" w:themeColor="text1"/>
          <w:w w:val="110"/>
          <w:sz w:val="20"/>
          <w:lang w:val="ru-RU"/>
        </w:rPr>
        <w:t>належни</w:t>
      </w:r>
      <w:proofErr w:type="spellEnd"/>
      <w:r w:rsidRPr="00BE6D3F">
        <w:rPr>
          <w:color w:val="000000" w:themeColor="text1"/>
          <w:w w:val="110"/>
          <w:sz w:val="20"/>
          <w:lang w:val="uk-UA"/>
        </w:rPr>
        <w:t>м</w:t>
      </w:r>
      <w:r w:rsidRPr="006B6651">
        <w:rPr>
          <w:color w:val="000000" w:themeColor="text1"/>
          <w:w w:val="110"/>
          <w:sz w:val="20"/>
          <w:lang w:val="ru-RU"/>
        </w:rPr>
        <w:t xml:space="preserve"> контрол</w:t>
      </w:r>
      <w:proofErr w:type="spellStart"/>
      <w:r w:rsidRPr="00BE6D3F">
        <w:rPr>
          <w:color w:val="000000" w:themeColor="text1"/>
          <w:w w:val="110"/>
          <w:sz w:val="20"/>
          <w:lang w:val="uk-UA"/>
        </w:rPr>
        <w:t>ем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якості</w:t>
      </w:r>
      <w:proofErr w:type="spellEnd"/>
      <w:r w:rsidRPr="006B6651">
        <w:rPr>
          <w:color w:val="000000" w:themeColor="text1"/>
          <w:w w:val="110"/>
          <w:sz w:val="20"/>
          <w:lang w:val="ru-RU"/>
        </w:rPr>
        <w:t xml:space="preserve">) є </w:t>
      </w:r>
      <w:proofErr w:type="spellStart"/>
      <w:r w:rsidRPr="006B6651">
        <w:rPr>
          <w:color w:val="000000" w:themeColor="text1"/>
          <w:w w:val="110"/>
          <w:sz w:val="20"/>
          <w:lang w:val="ru-RU"/>
        </w:rPr>
        <w:t>необхідними</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стабільно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високої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послуг</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довіри</w:t>
      </w:r>
      <w:proofErr w:type="spellEnd"/>
      <w:r w:rsidRPr="006B6651">
        <w:rPr>
          <w:color w:val="000000" w:themeColor="text1"/>
          <w:sz w:val="20"/>
          <w:lang w:val="ru-RU"/>
        </w:rPr>
        <w:t xml:space="preserve"> </w:t>
      </w:r>
      <w:r w:rsidRPr="006B6651">
        <w:rPr>
          <w:color w:val="000000" w:themeColor="text1"/>
          <w:w w:val="110"/>
          <w:sz w:val="20"/>
          <w:lang w:val="ru-RU"/>
        </w:rPr>
        <w:t>до них.</w:t>
      </w:r>
    </w:p>
    <w:p w14:paraId="7DC9D2D1" w14:textId="77777777" w:rsidR="0001099E" w:rsidRPr="006B6651" w:rsidRDefault="0001099E" w:rsidP="004A2937">
      <w:pPr>
        <w:pStyle w:val="a4"/>
        <w:numPr>
          <w:ilvl w:val="0"/>
          <w:numId w:val="45"/>
        </w:numPr>
        <w:tabs>
          <w:tab w:val="left" w:pos="1701"/>
        </w:tabs>
        <w:spacing w:before="3" w:line="276" w:lineRule="auto"/>
        <w:ind w:right="146"/>
        <w:rPr>
          <w:color w:val="000000" w:themeColor="text1"/>
          <w:sz w:val="20"/>
          <w:lang w:val="ru-RU"/>
        </w:rPr>
      </w:pPr>
      <w:proofErr w:type="spellStart"/>
      <w:r w:rsidRPr="006B6651">
        <w:rPr>
          <w:color w:val="000000" w:themeColor="text1"/>
          <w:w w:val="110"/>
          <w:sz w:val="20"/>
          <w:lang w:val="ru-RU"/>
        </w:rPr>
        <w:t>Навчання</w:t>
      </w:r>
      <w:proofErr w:type="spellEnd"/>
      <w:r w:rsidRPr="006B6651">
        <w:rPr>
          <w:color w:val="000000" w:themeColor="text1"/>
          <w:w w:val="110"/>
          <w:sz w:val="20"/>
          <w:lang w:val="ru-RU"/>
        </w:rPr>
        <w:t xml:space="preserve"> як лабораторного, так і </w:t>
      </w:r>
      <w:r w:rsidRPr="00F612DE">
        <w:rPr>
          <w:color w:val="000000" w:themeColor="text1"/>
          <w:w w:val="110"/>
          <w:sz w:val="20"/>
          <w:lang w:val="uk-UA"/>
        </w:rPr>
        <w:t>медичного</w:t>
      </w:r>
      <w:r w:rsidRPr="006B6651">
        <w:rPr>
          <w:color w:val="000000" w:themeColor="text1"/>
          <w:w w:val="110"/>
          <w:sz w:val="20"/>
          <w:lang w:val="ru-RU"/>
        </w:rPr>
        <w:t xml:space="preserve"> персоналу </w:t>
      </w:r>
      <w:proofErr w:type="spellStart"/>
      <w:r w:rsidRPr="006B6651">
        <w:rPr>
          <w:color w:val="000000" w:themeColor="text1"/>
          <w:w w:val="110"/>
          <w:sz w:val="20"/>
          <w:lang w:val="ru-RU"/>
        </w:rPr>
        <w:t>забезпечить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надання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послуг</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клінічний</w:t>
      </w:r>
      <w:proofErr w:type="spellEnd"/>
      <w:r w:rsidRPr="006B6651">
        <w:rPr>
          <w:color w:val="000000" w:themeColor="text1"/>
          <w:w w:val="110"/>
          <w:sz w:val="20"/>
          <w:lang w:val="ru-RU"/>
        </w:rPr>
        <w:t xml:space="preserve"> результат.</w:t>
      </w:r>
    </w:p>
    <w:p w14:paraId="42A98713" w14:textId="77777777" w:rsidR="0001099E" w:rsidRPr="006B6651" w:rsidRDefault="0001099E" w:rsidP="004A2937">
      <w:pPr>
        <w:pStyle w:val="a4"/>
        <w:numPr>
          <w:ilvl w:val="0"/>
          <w:numId w:val="45"/>
        </w:numPr>
        <w:tabs>
          <w:tab w:val="left" w:pos="1701"/>
        </w:tabs>
        <w:spacing w:before="2" w:line="276" w:lineRule="auto"/>
        <w:ind w:right="146"/>
        <w:rPr>
          <w:color w:val="000000" w:themeColor="text1"/>
          <w:sz w:val="20"/>
          <w:lang w:val="ru-RU"/>
        </w:rPr>
      </w:pPr>
      <w:proofErr w:type="spellStart"/>
      <w:r w:rsidRPr="006B6651">
        <w:rPr>
          <w:color w:val="000000" w:themeColor="text1"/>
          <w:sz w:val="20"/>
          <w:lang w:val="ru-RU"/>
        </w:rPr>
        <w:t>Рекомендується</w:t>
      </w:r>
      <w:proofErr w:type="spellEnd"/>
      <w:r w:rsidRPr="006B6651">
        <w:rPr>
          <w:color w:val="000000" w:themeColor="text1"/>
          <w:sz w:val="20"/>
          <w:lang w:val="ru-RU"/>
        </w:rPr>
        <w:t xml:space="preserve"> використання </w:t>
      </w:r>
      <w:proofErr w:type="spellStart"/>
      <w:r w:rsidRPr="006B6651">
        <w:rPr>
          <w:color w:val="000000" w:themeColor="text1"/>
          <w:sz w:val="20"/>
          <w:lang w:val="ru-RU"/>
        </w:rPr>
        <w:t>комунікаційних</w:t>
      </w:r>
      <w:proofErr w:type="spellEnd"/>
      <w:r w:rsidRPr="006B6651">
        <w:rPr>
          <w:color w:val="000000" w:themeColor="text1"/>
          <w:sz w:val="20"/>
          <w:lang w:val="ru-RU"/>
        </w:rPr>
        <w:t xml:space="preserve"> </w:t>
      </w:r>
      <w:proofErr w:type="spellStart"/>
      <w:r w:rsidRPr="006B6651">
        <w:rPr>
          <w:color w:val="000000" w:themeColor="text1"/>
          <w:sz w:val="20"/>
          <w:lang w:val="ru-RU"/>
        </w:rPr>
        <w:t>рішень</w:t>
      </w:r>
      <w:proofErr w:type="spellEnd"/>
      <w:r w:rsidRPr="006B6651">
        <w:rPr>
          <w:color w:val="000000" w:themeColor="text1"/>
          <w:sz w:val="20"/>
          <w:lang w:val="ru-RU"/>
        </w:rPr>
        <w:t xml:space="preserve"> для </w:t>
      </w:r>
      <w:proofErr w:type="spellStart"/>
      <w:r w:rsidRPr="006B6651">
        <w:rPr>
          <w:color w:val="000000" w:themeColor="text1"/>
          <w:sz w:val="20"/>
          <w:lang w:val="ru-RU"/>
        </w:rPr>
        <w:t>передачі</w:t>
      </w:r>
      <w:proofErr w:type="spellEnd"/>
      <w:r w:rsidRPr="006B6651">
        <w:rPr>
          <w:color w:val="000000" w:themeColor="text1"/>
          <w:sz w:val="20"/>
          <w:lang w:val="ru-RU"/>
        </w:rPr>
        <w:t xml:space="preserve"> </w:t>
      </w:r>
      <w:proofErr w:type="spellStart"/>
      <w:r w:rsidRPr="006B6651">
        <w:rPr>
          <w:color w:val="000000" w:themeColor="text1"/>
          <w:sz w:val="20"/>
          <w:lang w:val="ru-RU"/>
        </w:rPr>
        <w:t>результатів</w:t>
      </w:r>
      <w:proofErr w:type="spellEnd"/>
      <w:r w:rsidRPr="006B6651">
        <w:rPr>
          <w:color w:val="000000" w:themeColor="text1"/>
          <w:sz w:val="20"/>
          <w:lang w:val="ru-RU"/>
        </w:rPr>
        <w:t xml:space="preserve">, </w:t>
      </w:r>
      <w:proofErr w:type="spellStart"/>
      <w:r w:rsidRPr="006B6651">
        <w:rPr>
          <w:color w:val="000000" w:themeColor="text1"/>
          <w:sz w:val="20"/>
          <w:lang w:val="ru-RU"/>
        </w:rPr>
        <w:t>щоб</w:t>
      </w:r>
      <w:proofErr w:type="spellEnd"/>
      <w:r w:rsidRPr="006B6651">
        <w:rPr>
          <w:color w:val="000000" w:themeColor="text1"/>
          <w:sz w:val="20"/>
          <w:lang w:val="ru-RU"/>
        </w:rPr>
        <w:t xml:space="preserve"> </w:t>
      </w:r>
      <w:proofErr w:type="spellStart"/>
      <w:r w:rsidRPr="006B6651">
        <w:rPr>
          <w:color w:val="000000" w:themeColor="text1"/>
          <w:sz w:val="20"/>
          <w:lang w:val="ru-RU"/>
        </w:rPr>
        <w:t>підвищити</w:t>
      </w:r>
      <w:proofErr w:type="spellEnd"/>
      <w:r w:rsidRPr="006B6651">
        <w:rPr>
          <w:color w:val="000000" w:themeColor="text1"/>
          <w:sz w:val="20"/>
          <w:lang w:val="ru-RU"/>
        </w:rPr>
        <w:t xml:space="preserve"> </w:t>
      </w:r>
      <w:proofErr w:type="spellStart"/>
      <w:r w:rsidRPr="006B6651">
        <w:rPr>
          <w:color w:val="000000" w:themeColor="text1"/>
          <w:sz w:val="20"/>
          <w:lang w:val="ru-RU"/>
        </w:rPr>
        <w:t>ефективність</w:t>
      </w:r>
      <w:proofErr w:type="spellEnd"/>
      <w:r w:rsidRPr="006B6651">
        <w:rPr>
          <w:color w:val="000000" w:themeColor="text1"/>
          <w:sz w:val="20"/>
          <w:lang w:val="ru-RU"/>
        </w:rPr>
        <w:t xml:space="preserve"> </w:t>
      </w:r>
      <w:proofErr w:type="spellStart"/>
      <w:r w:rsidRPr="006B6651">
        <w:rPr>
          <w:color w:val="000000" w:themeColor="text1"/>
          <w:sz w:val="20"/>
          <w:lang w:val="ru-RU"/>
        </w:rPr>
        <w:t>надання</w:t>
      </w:r>
      <w:proofErr w:type="spellEnd"/>
      <w:r w:rsidRPr="006B6651">
        <w:rPr>
          <w:color w:val="000000" w:themeColor="text1"/>
          <w:sz w:val="20"/>
          <w:lang w:val="ru-RU"/>
        </w:rPr>
        <w:t xml:space="preserve"> </w:t>
      </w:r>
      <w:proofErr w:type="spellStart"/>
      <w:r w:rsidRPr="006B6651">
        <w:rPr>
          <w:color w:val="000000" w:themeColor="text1"/>
          <w:sz w:val="20"/>
          <w:lang w:val="ru-RU"/>
        </w:rPr>
        <w:t>послуг</w:t>
      </w:r>
      <w:proofErr w:type="spellEnd"/>
      <w:r w:rsidRPr="006B6651">
        <w:rPr>
          <w:color w:val="000000" w:themeColor="text1"/>
          <w:sz w:val="20"/>
          <w:lang w:val="ru-RU"/>
        </w:rPr>
        <w:t xml:space="preserve"> та </w:t>
      </w:r>
      <w:proofErr w:type="spellStart"/>
      <w:r w:rsidRPr="006B6651">
        <w:rPr>
          <w:color w:val="000000" w:themeColor="text1"/>
          <w:sz w:val="20"/>
          <w:lang w:val="ru-RU"/>
        </w:rPr>
        <w:t>скоротити</w:t>
      </w:r>
      <w:proofErr w:type="spellEnd"/>
      <w:r w:rsidRPr="006B6651">
        <w:rPr>
          <w:color w:val="000000" w:themeColor="text1"/>
          <w:sz w:val="20"/>
          <w:lang w:val="ru-RU"/>
        </w:rPr>
        <w:t xml:space="preserve"> час до початку лікування.</w:t>
      </w:r>
    </w:p>
    <w:p w14:paraId="7CAFB426" w14:textId="77777777" w:rsidR="0001099E" w:rsidRPr="006B6651" w:rsidRDefault="0001099E" w:rsidP="004A2937">
      <w:pPr>
        <w:pStyle w:val="a4"/>
        <w:numPr>
          <w:ilvl w:val="0"/>
          <w:numId w:val="45"/>
        </w:numPr>
        <w:tabs>
          <w:tab w:val="left" w:pos="1701"/>
        </w:tabs>
        <w:spacing w:before="2" w:line="276" w:lineRule="auto"/>
        <w:ind w:right="146"/>
        <w:rPr>
          <w:color w:val="000000" w:themeColor="text1"/>
          <w:sz w:val="20"/>
          <w:lang w:val="uk-UA"/>
        </w:rPr>
      </w:pPr>
      <w:r w:rsidRPr="006B6651">
        <w:rPr>
          <w:color w:val="000000" w:themeColor="text1"/>
          <w:w w:val="110"/>
          <w:sz w:val="20"/>
          <w:lang w:val="ru-RU"/>
        </w:rPr>
        <w:t xml:space="preserve">За </w:t>
      </w:r>
      <w:proofErr w:type="spellStart"/>
      <w:r w:rsidRPr="006B6651">
        <w:rPr>
          <w:color w:val="000000" w:themeColor="text1"/>
          <w:w w:val="110"/>
          <w:sz w:val="20"/>
          <w:lang w:val="ru-RU"/>
        </w:rPr>
        <w:t>даними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багатонаціонального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популяційного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дослідження</w:t>
      </w:r>
      <w:proofErr w:type="spellEnd"/>
      <w:r w:rsidRPr="006B6651">
        <w:rPr>
          <w:color w:val="000000" w:themeColor="text1"/>
          <w:w w:val="110"/>
          <w:sz w:val="20"/>
          <w:lang w:val="ru-RU"/>
        </w:rPr>
        <w:t xml:space="preserve">, </w:t>
      </w:r>
      <w:r w:rsidRPr="00BE6D3F">
        <w:rPr>
          <w:color w:val="000000" w:themeColor="text1"/>
          <w:w w:val="110"/>
          <w:sz w:val="20"/>
          <w:lang w:val="uk-UA"/>
        </w:rPr>
        <w:t xml:space="preserve">спостерігалась значна варіативність </w:t>
      </w:r>
      <w:proofErr w:type="spellStart"/>
      <w:r w:rsidRPr="006B6651">
        <w:rPr>
          <w:color w:val="000000" w:themeColor="text1"/>
          <w:w w:val="110"/>
          <w:sz w:val="20"/>
          <w:lang w:val="ru-RU"/>
        </w:rPr>
        <w:t>рівні</w:t>
      </w:r>
      <w:proofErr w:type="spellEnd"/>
      <w:r w:rsidRPr="00BE6D3F">
        <w:rPr>
          <w:color w:val="000000" w:themeColor="text1"/>
          <w:w w:val="110"/>
          <w:sz w:val="20"/>
          <w:lang w:val="uk-UA"/>
        </w:rPr>
        <w:t>в</w:t>
      </w:r>
      <w:r w:rsidRPr="006B6651">
        <w:rPr>
          <w:color w:val="000000" w:themeColor="text1"/>
          <w:w w:val="110"/>
          <w:sz w:val="20"/>
          <w:lang w:val="ru-RU"/>
        </w:rPr>
        <w:t xml:space="preserve"> </w:t>
      </w:r>
      <w:proofErr w:type="spellStart"/>
      <w:r w:rsidRPr="006B6651">
        <w:rPr>
          <w:color w:val="000000" w:themeColor="text1"/>
          <w:w w:val="110"/>
          <w:sz w:val="20"/>
          <w:lang w:val="ru-RU"/>
        </w:rPr>
        <w:t>стійкості</w:t>
      </w:r>
      <w:proofErr w:type="spellEnd"/>
      <w:r w:rsidRPr="006B6651">
        <w:rPr>
          <w:color w:val="000000" w:themeColor="text1"/>
          <w:w w:val="110"/>
          <w:sz w:val="20"/>
          <w:lang w:val="ru-RU"/>
        </w:rPr>
        <w:t xml:space="preserve"> до піразинаміду в </w:t>
      </w:r>
      <w:r>
        <w:rPr>
          <w:color w:val="000000" w:themeColor="text1"/>
          <w:w w:val="110"/>
          <w:sz w:val="20"/>
          <w:lang w:val="uk-UA"/>
        </w:rPr>
        <w:t xml:space="preserve">місцях проведення цього дослідження </w:t>
      </w:r>
      <w:r w:rsidRPr="006B6651">
        <w:rPr>
          <w:color w:val="000000" w:themeColor="text1"/>
          <w:w w:val="110"/>
          <w:sz w:val="20"/>
          <w:lang w:val="ru-RU"/>
        </w:rPr>
        <w:t>(3,0–42,1%).</w:t>
      </w:r>
      <w:r w:rsidRPr="00BE6D3F">
        <w:rPr>
          <w:color w:val="000000" w:themeColor="text1"/>
          <w:w w:val="110"/>
          <w:sz w:val="20"/>
          <w:lang w:val="uk-UA"/>
        </w:rPr>
        <w:t xml:space="preserve"> </w:t>
      </w:r>
      <w:r w:rsidRPr="006B6651">
        <w:rPr>
          <w:color w:val="000000" w:themeColor="text1"/>
          <w:w w:val="110"/>
          <w:sz w:val="20"/>
          <w:lang w:val="uk-UA"/>
        </w:rPr>
        <w:t xml:space="preserve">У всіх </w:t>
      </w:r>
      <w:r w:rsidRPr="00BE6D3F">
        <w:rPr>
          <w:color w:val="000000" w:themeColor="text1"/>
          <w:w w:val="110"/>
          <w:sz w:val="20"/>
          <w:lang w:val="uk-UA"/>
        </w:rPr>
        <w:t>випадках</w:t>
      </w:r>
      <w:r w:rsidRPr="006B6651">
        <w:rPr>
          <w:color w:val="000000" w:themeColor="text1"/>
          <w:w w:val="110"/>
          <w:sz w:val="20"/>
          <w:lang w:val="uk-UA"/>
        </w:rPr>
        <w:t xml:space="preserve"> стійк</w:t>
      </w:r>
      <w:r w:rsidRPr="00BE6D3F">
        <w:rPr>
          <w:color w:val="000000" w:themeColor="text1"/>
          <w:w w:val="110"/>
          <w:sz w:val="20"/>
          <w:lang w:val="uk-UA"/>
        </w:rPr>
        <w:t xml:space="preserve">ість </w:t>
      </w:r>
      <w:r w:rsidRPr="006B6651">
        <w:rPr>
          <w:color w:val="000000" w:themeColor="text1"/>
          <w:w w:val="110"/>
          <w:sz w:val="20"/>
          <w:lang w:val="uk-UA"/>
        </w:rPr>
        <w:t>до піразинаміду була знач</w:t>
      </w:r>
      <w:r w:rsidRPr="00BE6D3F">
        <w:rPr>
          <w:color w:val="000000" w:themeColor="text1"/>
          <w:w w:val="110"/>
          <w:sz w:val="20"/>
          <w:lang w:val="uk-UA"/>
        </w:rPr>
        <w:t>ною мірою</w:t>
      </w:r>
      <w:r w:rsidRPr="006B6651">
        <w:rPr>
          <w:color w:val="000000" w:themeColor="text1"/>
          <w:w w:val="110"/>
          <w:sz w:val="20"/>
          <w:lang w:val="uk-UA"/>
        </w:rPr>
        <w:t xml:space="preserve"> пов'язана з</w:t>
      </w:r>
      <w:r w:rsidRPr="00BE6D3F">
        <w:rPr>
          <w:color w:val="000000" w:themeColor="text1"/>
          <w:w w:val="110"/>
          <w:sz w:val="20"/>
          <w:lang w:val="uk-UA"/>
        </w:rPr>
        <w:t>і</w:t>
      </w:r>
      <w:r w:rsidRPr="006B6651">
        <w:rPr>
          <w:color w:val="000000" w:themeColor="text1"/>
          <w:w w:val="110"/>
          <w:sz w:val="20"/>
          <w:lang w:val="uk-UA"/>
        </w:rPr>
        <w:t xml:space="preserve"> </w:t>
      </w:r>
      <w:r w:rsidRPr="00BE6D3F">
        <w:rPr>
          <w:color w:val="000000" w:themeColor="text1"/>
          <w:w w:val="110"/>
          <w:sz w:val="20"/>
          <w:lang w:val="uk-UA"/>
        </w:rPr>
        <w:t>стійкістю</w:t>
      </w:r>
      <w:r w:rsidRPr="006B6651">
        <w:rPr>
          <w:color w:val="000000" w:themeColor="text1"/>
          <w:w w:val="110"/>
          <w:sz w:val="20"/>
          <w:lang w:val="uk-UA"/>
        </w:rPr>
        <w:t xml:space="preserve"> до рифампіцину </w:t>
      </w:r>
      <w:r w:rsidRPr="006B6651">
        <w:rPr>
          <w:i/>
          <w:color w:val="000000" w:themeColor="text1"/>
          <w:w w:val="110"/>
          <w:sz w:val="20"/>
          <w:lang w:val="uk-UA"/>
        </w:rPr>
        <w:t>(49)</w:t>
      </w:r>
      <w:r w:rsidRPr="006B6651">
        <w:rPr>
          <w:color w:val="000000" w:themeColor="text1"/>
          <w:w w:val="110"/>
          <w:sz w:val="20"/>
          <w:lang w:val="uk-UA"/>
        </w:rPr>
        <w:t>.</w:t>
      </w:r>
    </w:p>
    <w:p w14:paraId="7B9F043F" w14:textId="77777777" w:rsidR="0001099E" w:rsidRPr="006B6651" w:rsidRDefault="0001099E" w:rsidP="004A2937">
      <w:pPr>
        <w:pStyle w:val="a4"/>
        <w:numPr>
          <w:ilvl w:val="0"/>
          <w:numId w:val="45"/>
        </w:numPr>
        <w:tabs>
          <w:tab w:val="left" w:pos="1701"/>
        </w:tabs>
        <w:spacing w:before="4" w:line="276" w:lineRule="auto"/>
        <w:ind w:right="146"/>
        <w:rPr>
          <w:color w:val="000000" w:themeColor="text1"/>
          <w:sz w:val="20"/>
          <w:lang w:val="uk-UA"/>
        </w:rPr>
      </w:pPr>
      <w:r w:rsidRPr="006B6651">
        <w:rPr>
          <w:color w:val="000000" w:themeColor="text1"/>
          <w:w w:val="110"/>
          <w:sz w:val="20"/>
          <w:lang w:val="uk-UA"/>
        </w:rPr>
        <w:t>Впровадження ТАНК високої складності на основі гібридизації вимагає наявності лабораторій з необхідною інфраструктурою, приміщенням та функціональними системами направлення зразків.</w:t>
      </w:r>
    </w:p>
    <w:p w14:paraId="1E72DB33" w14:textId="4193A07D" w:rsidR="0001099E" w:rsidRPr="006B6651" w:rsidRDefault="0001099E" w:rsidP="004A2937">
      <w:pPr>
        <w:pStyle w:val="a4"/>
        <w:numPr>
          <w:ilvl w:val="0"/>
          <w:numId w:val="45"/>
        </w:numPr>
        <w:tabs>
          <w:tab w:val="left" w:pos="1701"/>
        </w:tabs>
        <w:spacing w:before="2" w:line="276" w:lineRule="auto"/>
        <w:ind w:right="146"/>
        <w:rPr>
          <w:color w:val="000000" w:themeColor="text1"/>
          <w:w w:val="110"/>
          <w:sz w:val="20"/>
          <w:lang w:val="ru-RU"/>
        </w:rPr>
      </w:pPr>
      <w:proofErr w:type="spellStart"/>
      <w:r w:rsidRPr="006B6651">
        <w:rPr>
          <w:color w:val="000000" w:themeColor="text1"/>
          <w:w w:val="110"/>
          <w:sz w:val="20"/>
          <w:lang w:val="ru-RU"/>
        </w:rPr>
        <w:t>Оскільки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процес</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включає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кілька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ручних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етапів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необхідний</w:t>
      </w:r>
      <w:proofErr w:type="spellEnd"/>
      <w:r w:rsidRPr="006B6651">
        <w:rPr>
          <w:color w:val="000000" w:themeColor="text1"/>
          <w:w w:val="110"/>
          <w:sz w:val="20"/>
          <w:lang w:val="ru-RU"/>
        </w:rPr>
        <w:t xml:space="preserve"> добре </w:t>
      </w:r>
      <w:proofErr w:type="spellStart"/>
      <w:r w:rsidRPr="006B6651">
        <w:rPr>
          <w:color w:val="000000" w:themeColor="text1"/>
          <w:w w:val="110"/>
          <w:sz w:val="20"/>
          <w:lang w:val="ru-RU"/>
        </w:rPr>
        <w:t>навчений</w:t>
      </w:r>
      <w:proofErr w:type="spellEnd"/>
      <w:r w:rsidRPr="006B6651">
        <w:rPr>
          <w:color w:val="000000" w:themeColor="text1"/>
          <w:w w:val="110"/>
          <w:sz w:val="20"/>
          <w:lang w:val="ru-RU"/>
        </w:rPr>
        <w:t xml:space="preserve"> персонал для </w:t>
      </w:r>
      <w:r w:rsidRPr="00BE6D3F">
        <w:rPr>
          <w:color w:val="000000" w:themeColor="text1"/>
          <w:w w:val="110"/>
          <w:sz w:val="20"/>
          <w:lang w:val="uk-UA"/>
        </w:rPr>
        <w:t>проведення</w:t>
      </w:r>
      <w:r w:rsidRPr="006B6651">
        <w:rPr>
          <w:color w:val="000000" w:themeColor="text1"/>
          <w:w w:val="110"/>
          <w:sz w:val="20"/>
          <w:lang w:val="ru-RU"/>
        </w:rPr>
        <w:t xml:space="preserve"> </w:t>
      </w:r>
      <w:proofErr w:type="spellStart"/>
      <w:r w:rsidRPr="006B6651">
        <w:rPr>
          <w:color w:val="000000" w:themeColor="text1"/>
          <w:w w:val="110"/>
          <w:sz w:val="20"/>
          <w:lang w:val="ru-RU"/>
        </w:rPr>
        <w:t>аналізів</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обслуговування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приладів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Необхідні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спеціальна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підготовка</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досвід</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зчитування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розташування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смуг</w:t>
      </w:r>
      <w:proofErr w:type="spellEnd"/>
      <w:r w:rsidRPr="006B6651">
        <w:rPr>
          <w:color w:val="000000" w:themeColor="text1"/>
          <w:w w:val="110"/>
          <w:sz w:val="20"/>
          <w:lang w:val="ru-RU"/>
        </w:rPr>
        <w:t xml:space="preserve"> на </w:t>
      </w:r>
      <w:r w:rsidRPr="00BE6D3F">
        <w:rPr>
          <w:color w:val="000000" w:themeColor="text1"/>
          <w:w w:val="110"/>
          <w:sz w:val="20"/>
          <w:lang w:val="uk-UA"/>
        </w:rPr>
        <w:t>тест-смужці</w:t>
      </w:r>
      <w:r w:rsidRPr="006B6651">
        <w:rPr>
          <w:color w:val="000000" w:themeColor="text1"/>
          <w:w w:val="110"/>
          <w:sz w:val="20"/>
          <w:lang w:val="ru-RU"/>
        </w:rPr>
        <w:t>.</w:t>
      </w:r>
    </w:p>
    <w:p w14:paraId="70DA0451" w14:textId="5780A271" w:rsidR="00E05B98" w:rsidRPr="00291E90" w:rsidRDefault="004A2937" w:rsidP="004A2937">
      <w:pPr>
        <w:pStyle w:val="a4"/>
        <w:tabs>
          <w:tab w:val="left" w:pos="850"/>
        </w:tabs>
        <w:spacing w:before="1" w:line="297" w:lineRule="auto"/>
        <w:ind w:right="146" w:firstLine="0"/>
        <w:rPr>
          <w:lang w:val="uk-UA"/>
        </w:rPr>
        <w:sectPr w:rsidR="00E05B98" w:rsidRPr="00291E90" w:rsidSect="004A2937">
          <w:pgSz w:w="11910" w:h="16840"/>
          <w:pgMar w:top="1321" w:right="1276" w:bottom="760" w:left="851" w:header="0" w:footer="573" w:gutter="0"/>
          <w:cols w:space="720"/>
        </w:sectPr>
      </w:pPr>
      <w:r>
        <w:rPr>
          <w:noProof/>
        </w:rPr>
        <mc:AlternateContent>
          <mc:Choice Requires="wps">
            <w:drawing>
              <wp:anchor distT="0" distB="0" distL="114300" distR="114300" simplePos="0" relativeHeight="488225280" behindDoc="0" locked="0" layoutInCell="1" allowOverlap="1" wp14:anchorId="34576409" wp14:editId="63631CD0">
                <wp:simplePos x="0" y="0"/>
                <wp:positionH relativeFrom="margin">
                  <wp:posOffset>5995035</wp:posOffset>
                </wp:positionH>
                <wp:positionV relativeFrom="paragraph">
                  <wp:posOffset>242570</wp:posOffset>
                </wp:positionV>
                <wp:extent cx="463550" cy="254000"/>
                <wp:effectExtent l="0" t="0" r="0" b="0"/>
                <wp:wrapNone/>
                <wp:docPr id="554654506" name="Поле 1941"/>
                <wp:cNvGraphicFramePr/>
                <a:graphic xmlns:a="http://schemas.openxmlformats.org/drawingml/2006/main">
                  <a:graphicData uri="http://schemas.microsoft.com/office/word/2010/wordprocessingShape">
                    <wps:wsp>
                      <wps:cNvSpPr txBox="1"/>
                      <wps:spPr>
                        <a:xfrm>
                          <a:off x="0" y="0"/>
                          <a:ext cx="463550" cy="254000"/>
                        </a:xfrm>
                        <a:prstGeom prst="rect">
                          <a:avLst/>
                        </a:prstGeom>
                        <a:solidFill>
                          <a:schemeClr val="lt1"/>
                        </a:solidFill>
                        <a:ln w="6350">
                          <a:noFill/>
                        </a:ln>
                      </wps:spPr>
                      <wps:txbx>
                        <w:txbxContent>
                          <w:p w14:paraId="0835E393" w14:textId="2C0274FB" w:rsidR="004A2937" w:rsidRPr="00770751" w:rsidRDefault="004A2937" w:rsidP="004A2937">
                            <w:pPr>
                              <w:rPr>
                                <w:color w:val="388600"/>
                                <w:sz w:val="20"/>
                                <w:szCs w:val="20"/>
                                <w:lang w:val="uk-UA"/>
                              </w:rPr>
                            </w:pPr>
                            <w:r>
                              <w:rPr>
                                <w:color w:val="388600"/>
                                <w:sz w:val="20"/>
                                <w:szCs w:val="20"/>
                                <w:lang w:val="uk-UA"/>
                              </w:rPr>
                              <w:t>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76409" id="_x0000_s1170" type="#_x0000_t202" style="position:absolute;left:0;text-align:left;margin-left:472.05pt;margin-top:19.1pt;width:36.5pt;height:20pt;z-index:48822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lWMAIAAFs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" fillcolor="white [3201]" stroked="f" strokeweight=".5pt">
                <v:textbox>
                  <w:txbxContent>
                    <w:p w14:paraId="0835E393" w14:textId="2C0274FB" w:rsidR="004A2937" w:rsidRPr="00770751" w:rsidRDefault="004A2937" w:rsidP="004A2937">
                      <w:pPr>
                        <w:rPr>
                          <w:color w:val="388600"/>
                          <w:sz w:val="20"/>
                          <w:szCs w:val="20"/>
                          <w:lang w:val="uk-UA"/>
                        </w:rPr>
                      </w:pPr>
                      <w:r>
                        <w:rPr>
                          <w:color w:val="388600"/>
                          <w:sz w:val="20"/>
                          <w:szCs w:val="20"/>
                          <w:lang w:val="uk-UA"/>
                        </w:rPr>
                        <w:t>99</w:t>
                      </w:r>
                    </w:p>
                  </w:txbxContent>
                </v:textbox>
                <w10:wrap anchorx="margin"/>
              </v:shape>
            </w:pict>
          </mc:Fallback>
        </mc:AlternateContent>
      </w:r>
      <w:r>
        <w:rPr>
          <w:lang w:val="uk-UA"/>
        </w:rPr>
        <w:t xml:space="preserve">   </w:t>
      </w:r>
    </w:p>
    <w:p w14:paraId="13F77F2E" w14:textId="77777777" w:rsidR="00291E90" w:rsidRPr="00291E90" w:rsidRDefault="00291E90" w:rsidP="00291E90">
      <w:pPr>
        <w:pStyle w:val="5"/>
        <w:spacing w:before="62"/>
        <w:rPr>
          <w:sz w:val="24"/>
          <w:lang w:val="uk-UA"/>
        </w:rPr>
      </w:pPr>
      <w:bookmarkStart w:id="83" w:name="2.4.5_Targeted_next-generation_sequencin"/>
      <w:bookmarkStart w:id="84" w:name="_bookmark37"/>
      <w:bookmarkEnd w:id="83"/>
      <w:bookmarkEnd w:id="84"/>
      <w:r w:rsidRPr="00291E90">
        <w:rPr>
          <w:color w:val="019648"/>
          <w:spacing w:val="-7"/>
          <w:w w:val="105"/>
          <w:sz w:val="24"/>
          <w:lang w:val="uk-UA"/>
        </w:rPr>
        <w:lastRenderedPageBreak/>
        <w:t>Пріоритети досліджень</w:t>
      </w:r>
    </w:p>
    <w:p w14:paraId="18D6CD3F" w14:textId="77777777" w:rsidR="00291E90" w:rsidRPr="00291E90" w:rsidRDefault="00291E90" w:rsidP="00291E90">
      <w:pPr>
        <w:pStyle w:val="a3"/>
        <w:spacing w:before="179" w:line="249" w:lineRule="auto"/>
        <w:ind w:left="567" w:right="2"/>
        <w:jc w:val="both"/>
        <w:rPr>
          <w:color w:val="000000" w:themeColor="text1"/>
          <w:sz w:val="20"/>
          <w:lang w:val="uk-UA"/>
        </w:rPr>
      </w:pPr>
      <w:r w:rsidRPr="00291E90">
        <w:rPr>
          <w:color w:val="000000" w:themeColor="text1"/>
          <w:w w:val="110"/>
          <w:sz w:val="20"/>
          <w:lang w:val="uk-UA"/>
        </w:rPr>
        <w:t xml:space="preserve">Пріоритети досліджень щодо ТАНК високої складності на основі гібридизації для виявлення </w:t>
      </w:r>
      <w:r w:rsidRPr="00BE6D3F">
        <w:rPr>
          <w:color w:val="000000" w:themeColor="text1"/>
          <w:w w:val="110"/>
          <w:sz w:val="20"/>
          <w:lang w:val="uk-UA"/>
        </w:rPr>
        <w:t>стійкості</w:t>
      </w:r>
      <w:r w:rsidRPr="00291E90">
        <w:rPr>
          <w:color w:val="000000" w:themeColor="text1"/>
          <w:w w:val="110"/>
          <w:sz w:val="20"/>
          <w:lang w:val="uk-UA"/>
        </w:rPr>
        <w:t xml:space="preserve"> до піразинаміду:</w:t>
      </w:r>
    </w:p>
    <w:p w14:paraId="038CB2F2" w14:textId="77777777" w:rsidR="00291E90" w:rsidRPr="00291E90" w:rsidRDefault="00291E90" w:rsidP="004A2937">
      <w:pPr>
        <w:pStyle w:val="a4"/>
        <w:numPr>
          <w:ilvl w:val="0"/>
          <w:numId w:val="45"/>
        </w:numPr>
        <w:tabs>
          <w:tab w:val="left" w:pos="1701"/>
        </w:tabs>
        <w:spacing w:before="116" w:line="276" w:lineRule="auto"/>
        <w:ind w:right="2"/>
        <w:rPr>
          <w:color w:val="000000" w:themeColor="text1"/>
          <w:sz w:val="20"/>
          <w:lang w:val="uk-UA"/>
        </w:rPr>
      </w:pPr>
      <w:r w:rsidRPr="00BE6D3F">
        <w:rPr>
          <w:color w:val="000000" w:themeColor="text1"/>
          <w:w w:val="110"/>
          <w:sz w:val="20"/>
          <w:lang w:val="uk-UA"/>
        </w:rPr>
        <w:t>д</w:t>
      </w:r>
      <w:r w:rsidRPr="00291E90">
        <w:rPr>
          <w:color w:val="000000" w:themeColor="text1"/>
          <w:w w:val="110"/>
          <w:sz w:val="20"/>
          <w:lang w:val="uk-UA"/>
        </w:rPr>
        <w:t xml:space="preserve">іагностична точність </w:t>
      </w:r>
      <w:r w:rsidRPr="00BE6D3F">
        <w:rPr>
          <w:color w:val="000000" w:themeColor="text1"/>
          <w:w w:val="110"/>
          <w:sz w:val="20"/>
          <w:lang w:val="uk-UA"/>
        </w:rPr>
        <w:t xml:space="preserve">непрямого тестування з використанням </w:t>
      </w:r>
      <w:r w:rsidRPr="00291E90">
        <w:rPr>
          <w:color w:val="000000" w:themeColor="text1"/>
          <w:w w:val="110"/>
          <w:sz w:val="20"/>
          <w:lang w:val="uk-UA"/>
        </w:rPr>
        <w:t xml:space="preserve">ТАНК високої складності на основі гібридизації при тестуванні мокротиння та інших зразків у людей </w:t>
      </w:r>
      <w:r w:rsidRPr="00BE6D3F">
        <w:rPr>
          <w:color w:val="000000" w:themeColor="text1"/>
          <w:w w:val="110"/>
          <w:sz w:val="20"/>
          <w:lang w:val="uk-UA"/>
        </w:rPr>
        <w:t>і</w:t>
      </w:r>
      <w:r w:rsidRPr="00291E90">
        <w:rPr>
          <w:color w:val="000000" w:themeColor="text1"/>
          <w:w w:val="110"/>
          <w:sz w:val="20"/>
          <w:lang w:val="uk-UA"/>
        </w:rPr>
        <w:t xml:space="preserve">з симптомами ТБ, з наявністю або відсутністю </w:t>
      </w:r>
      <w:r w:rsidRPr="00BE6D3F">
        <w:rPr>
          <w:color w:val="000000" w:themeColor="text1"/>
          <w:w w:val="110"/>
          <w:sz w:val="20"/>
          <w:lang w:val="uk-UA"/>
        </w:rPr>
        <w:t>стійкості</w:t>
      </w:r>
      <w:r w:rsidRPr="00291E90">
        <w:rPr>
          <w:color w:val="000000" w:themeColor="text1"/>
          <w:w w:val="110"/>
          <w:sz w:val="20"/>
          <w:lang w:val="uk-UA"/>
        </w:rPr>
        <w:t xml:space="preserve"> до рифампіцину;</w:t>
      </w:r>
    </w:p>
    <w:p w14:paraId="47B9A536" w14:textId="77777777" w:rsidR="00291E90" w:rsidRPr="006B6651" w:rsidRDefault="00291E90" w:rsidP="004A2937">
      <w:pPr>
        <w:pStyle w:val="a4"/>
        <w:numPr>
          <w:ilvl w:val="0"/>
          <w:numId w:val="45"/>
        </w:numPr>
        <w:tabs>
          <w:tab w:val="left" w:pos="1701"/>
        </w:tabs>
        <w:spacing w:before="3" w:line="276" w:lineRule="auto"/>
        <w:ind w:right="2"/>
        <w:rPr>
          <w:color w:val="000000" w:themeColor="text1"/>
          <w:sz w:val="20"/>
          <w:lang w:val="ru-RU"/>
        </w:rPr>
      </w:pPr>
      <w:r w:rsidRPr="00BE6D3F">
        <w:rPr>
          <w:color w:val="000000" w:themeColor="text1"/>
          <w:w w:val="110"/>
          <w:sz w:val="20"/>
          <w:lang w:val="uk-UA"/>
        </w:rPr>
        <w:t>в</w:t>
      </w:r>
      <w:proofErr w:type="spellStart"/>
      <w:r w:rsidRPr="006B6651">
        <w:rPr>
          <w:color w:val="000000" w:themeColor="text1"/>
          <w:w w:val="110"/>
          <w:sz w:val="20"/>
          <w:lang w:val="ru-RU"/>
        </w:rPr>
        <w:t>плив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діагностичних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технологій</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прийняття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клінічних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рішень</w:t>
      </w:r>
      <w:proofErr w:type="spellEnd"/>
      <w:r w:rsidRPr="006B6651">
        <w:rPr>
          <w:color w:val="000000" w:themeColor="text1"/>
          <w:w w:val="110"/>
          <w:sz w:val="20"/>
          <w:lang w:val="ru-RU"/>
        </w:rPr>
        <w:t xml:space="preserve"> та на </w:t>
      </w:r>
      <w:proofErr w:type="spellStart"/>
      <w:r w:rsidRPr="006B6651">
        <w:rPr>
          <w:color w:val="000000" w:themeColor="text1"/>
          <w:w w:val="110"/>
          <w:sz w:val="20"/>
          <w:lang w:val="ru-RU"/>
        </w:rPr>
        <w:t>результати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важливі</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пацієнтів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наприклад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вилікування</w:t>
      </w:r>
      <w:proofErr w:type="spellEnd"/>
      <w:r w:rsidRPr="006B6651">
        <w:rPr>
          <w:color w:val="000000" w:themeColor="text1"/>
          <w:w w:val="110"/>
          <w:sz w:val="20"/>
          <w:lang w:val="ru-RU"/>
        </w:rPr>
        <w:t xml:space="preserve">, </w:t>
      </w:r>
      <w:r w:rsidRPr="00B32633">
        <w:rPr>
          <w:color w:val="000000" w:themeColor="text1"/>
          <w:w w:val="110"/>
          <w:sz w:val="20"/>
          <w:lang w:val="uk-UA"/>
        </w:rPr>
        <w:t>смертність</w:t>
      </w:r>
      <w:r w:rsidRPr="006B6651">
        <w:rPr>
          <w:color w:val="000000" w:themeColor="text1"/>
          <w:w w:val="110"/>
          <w:sz w:val="20"/>
          <w:lang w:val="ru-RU"/>
        </w:rPr>
        <w:t>, час</w:t>
      </w:r>
      <w:r>
        <w:rPr>
          <w:color w:val="000000" w:themeColor="text1"/>
          <w:w w:val="110"/>
          <w:sz w:val="20"/>
          <w:lang w:val="uk-UA"/>
        </w:rPr>
        <w:t xml:space="preserve"> до</w:t>
      </w:r>
      <w:r w:rsidRPr="006B6651">
        <w:rPr>
          <w:color w:val="000000" w:themeColor="text1"/>
          <w:w w:val="110"/>
          <w:sz w:val="20"/>
          <w:lang w:val="ru-RU"/>
        </w:rPr>
        <w:t xml:space="preserve"> </w:t>
      </w:r>
      <w:proofErr w:type="spellStart"/>
      <w:r w:rsidRPr="006B6651">
        <w:rPr>
          <w:color w:val="000000" w:themeColor="text1"/>
          <w:w w:val="110"/>
          <w:sz w:val="20"/>
          <w:lang w:val="ru-RU"/>
        </w:rPr>
        <w:t>встановлення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діагнозу</w:t>
      </w:r>
      <w:proofErr w:type="spellEnd"/>
      <w:r w:rsidRPr="006B6651">
        <w:rPr>
          <w:color w:val="000000" w:themeColor="text1"/>
          <w:w w:val="110"/>
          <w:sz w:val="20"/>
          <w:lang w:val="ru-RU"/>
        </w:rPr>
        <w:t xml:space="preserve"> та час </w:t>
      </w:r>
      <w:r>
        <w:rPr>
          <w:color w:val="000000" w:themeColor="text1"/>
          <w:w w:val="110"/>
          <w:sz w:val="20"/>
          <w:lang w:val="uk-UA"/>
        </w:rPr>
        <w:t xml:space="preserve">до </w:t>
      </w:r>
      <w:r w:rsidRPr="006B6651">
        <w:rPr>
          <w:color w:val="000000" w:themeColor="text1"/>
          <w:w w:val="110"/>
          <w:sz w:val="20"/>
          <w:lang w:val="ru-RU"/>
        </w:rPr>
        <w:t xml:space="preserve">початку лікування), у </w:t>
      </w:r>
      <w:proofErr w:type="spellStart"/>
      <w:r w:rsidRPr="006B6651">
        <w:rPr>
          <w:color w:val="000000" w:themeColor="text1"/>
          <w:w w:val="110"/>
          <w:sz w:val="20"/>
          <w:lang w:val="ru-RU"/>
        </w:rPr>
        <w:t>всіх</w:t>
      </w:r>
      <w:proofErr w:type="spellEnd"/>
      <w:r w:rsidRPr="006B6651">
        <w:rPr>
          <w:color w:val="000000" w:themeColor="text1"/>
          <w:w w:val="110"/>
          <w:sz w:val="20"/>
          <w:lang w:val="ru-RU"/>
        </w:rPr>
        <w:t xml:space="preserve"> </w:t>
      </w:r>
      <w:r>
        <w:rPr>
          <w:color w:val="000000" w:themeColor="text1"/>
          <w:w w:val="110"/>
          <w:sz w:val="20"/>
          <w:lang w:val="uk-UA"/>
        </w:rPr>
        <w:t>групах</w:t>
      </w:r>
      <w:r w:rsidRPr="006B6651">
        <w:rPr>
          <w:color w:val="000000" w:themeColor="text1"/>
          <w:w w:val="110"/>
          <w:sz w:val="20"/>
          <w:lang w:val="ru-RU"/>
        </w:rPr>
        <w:t xml:space="preserve"> </w:t>
      </w:r>
      <w:proofErr w:type="spellStart"/>
      <w:r w:rsidRPr="006B6651">
        <w:rPr>
          <w:color w:val="000000" w:themeColor="text1"/>
          <w:w w:val="110"/>
          <w:sz w:val="20"/>
          <w:lang w:val="ru-RU"/>
        </w:rPr>
        <w:t>пацієнтів</w:t>
      </w:r>
      <w:proofErr w:type="spellEnd"/>
      <w:r w:rsidRPr="006B6651">
        <w:rPr>
          <w:color w:val="000000" w:themeColor="text1"/>
          <w:w w:val="110"/>
          <w:sz w:val="20"/>
          <w:lang w:val="ru-RU"/>
        </w:rPr>
        <w:t>;</w:t>
      </w:r>
    </w:p>
    <w:p w14:paraId="3803E468" w14:textId="77777777" w:rsidR="00291E90" w:rsidRPr="006B6651" w:rsidRDefault="00291E90" w:rsidP="004A2937">
      <w:pPr>
        <w:pStyle w:val="a4"/>
        <w:numPr>
          <w:ilvl w:val="0"/>
          <w:numId w:val="45"/>
        </w:numPr>
        <w:tabs>
          <w:tab w:val="left" w:pos="1701"/>
        </w:tabs>
        <w:spacing w:before="4"/>
        <w:ind w:right="2"/>
        <w:rPr>
          <w:color w:val="000000" w:themeColor="text1"/>
          <w:sz w:val="20"/>
          <w:lang w:val="ru-RU"/>
        </w:rPr>
      </w:pPr>
      <w:r w:rsidRPr="00BE6D3F">
        <w:rPr>
          <w:color w:val="000000" w:themeColor="text1"/>
          <w:sz w:val="20"/>
          <w:lang w:val="uk-UA"/>
        </w:rPr>
        <w:t>в</w:t>
      </w:r>
      <w:proofErr w:type="spellStart"/>
      <w:r w:rsidRPr="006B6651">
        <w:rPr>
          <w:color w:val="000000" w:themeColor="text1"/>
          <w:sz w:val="20"/>
          <w:lang w:val="ru-RU"/>
        </w:rPr>
        <w:t>плив</w:t>
      </w:r>
      <w:proofErr w:type="spellEnd"/>
      <w:r w:rsidRPr="006B6651">
        <w:rPr>
          <w:color w:val="000000" w:themeColor="text1"/>
          <w:sz w:val="20"/>
          <w:lang w:val="ru-RU"/>
        </w:rPr>
        <w:t xml:space="preserve"> </w:t>
      </w:r>
      <w:r w:rsidRPr="00BE6D3F">
        <w:rPr>
          <w:color w:val="000000" w:themeColor="text1"/>
          <w:sz w:val="20"/>
          <w:lang w:val="uk-UA"/>
        </w:rPr>
        <w:t>певних</w:t>
      </w:r>
      <w:r w:rsidRPr="006B6651">
        <w:rPr>
          <w:color w:val="000000" w:themeColor="text1"/>
          <w:sz w:val="20"/>
          <w:lang w:val="ru-RU"/>
        </w:rPr>
        <w:t xml:space="preserve"> </w:t>
      </w:r>
      <w:proofErr w:type="spellStart"/>
      <w:r w:rsidRPr="006B6651">
        <w:rPr>
          <w:color w:val="000000" w:themeColor="text1"/>
          <w:sz w:val="20"/>
          <w:lang w:val="ru-RU"/>
        </w:rPr>
        <w:t>мутацій</w:t>
      </w:r>
      <w:proofErr w:type="spellEnd"/>
      <w:r w:rsidRPr="006B6651">
        <w:rPr>
          <w:color w:val="000000" w:themeColor="text1"/>
          <w:sz w:val="20"/>
          <w:lang w:val="ru-RU"/>
        </w:rPr>
        <w:t xml:space="preserve"> на </w:t>
      </w:r>
      <w:proofErr w:type="spellStart"/>
      <w:r w:rsidRPr="006B6651">
        <w:rPr>
          <w:color w:val="000000" w:themeColor="text1"/>
          <w:sz w:val="20"/>
          <w:lang w:val="ru-RU"/>
        </w:rPr>
        <w:t>результати</w:t>
      </w:r>
      <w:proofErr w:type="spellEnd"/>
      <w:r w:rsidRPr="006B6651">
        <w:rPr>
          <w:color w:val="000000" w:themeColor="text1"/>
          <w:sz w:val="20"/>
          <w:lang w:val="ru-RU"/>
        </w:rPr>
        <w:t xml:space="preserve"> лікування </w:t>
      </w:r>
      <w:proofErr w:type="spellStart"/>
      <w:r w:rsidRPr="006B6651">
        <w:rPr>
          <w:color w:val="000000" w:themeColor="text1"/>
          <w:sz w:val="20"/>
          <w:lang w:val="ru-RU"/>
        </w:rPr>
        <w:t>серед</w:t>
      </w:r>
      <w:proofErr w:type="spellEnd"/>
      <w:r w:rsidRPr="006B6651">
        <w:rPr>
          <w:color w:val="000000" w:themeColor="text1"/>
          <w:sz w:val="20"/>
          <w:lang w:val="ru-RU"/>
        </w:rPr>
        <w:t xml:space="preserve"> людей з Л</w:t>
      </w:r>
      <w:r w:rsidRPr="00BE6D3F">
        <w:rPr>
          <w:color w:val="000000" w:themeColor="text1"/>
          <w:sz w:val="20"/>
          <w:lang w:val="uk-UA"/>
        </w:rPr>
        <w:t>С</w:t>
      </w:r>
      <w:r w:rsidRPr="006B6651">
        <w:rPr>
          <w:color w:val="000000" w:themeColor="text1"/>
          <w:sz w:val="20"/>
          <w:lang w:val="ru-RU"/>
        </w:rPr>
        <w:t>-ТБ;</w:t>
      </w:r>
    </w:p>
    <w:p w14:paraId="085E30D1" w14:textId="77777777" w:rsidR="00291E90" w:rsidRPr="006B6651" w:rsidRDefault="00291E90" w:rsidP="004A2937">
      <w:pPr>
        <w:pStyle w:val="a4"/>
        <w:numPr>
          <w:ilvl w:val="0"/>
          <w:numId w:val="45"/>
        </w:numPr>
        <w:tabs>
          <w:tab w:val="left" w:pos="1701"/>
        </w:tabs>
        <w:spacing w:before="41" w:line="276" w:lineRule="auto"/>
        <w:ind w:right="2"/>
        <w:rPr>
          <w:color w:val="000000" w:themeColor="text1"/>
          <w:sz w:val="20"/>
          <w:lang w:val="ru-RU"/>
        </w:rPr>
      </w:pPr>
      <w:r>
        <w:rPr>
          <w:color w:val="000000" w:themeColor="text1"/>
          <w:w w:val="110"/>
          <w:sz w:val="20"/>
          <w:lang w:val="uk-UA"/>
        </w:rPr>
        <w:t>в</w:t>
      </w:r>
      <w:proofErr w:type="spellStart"/>
      <w:r w:rsidRPr="006B6651">
        <w:rPr>
          <w:color w:val="000000" w:themeColor="text1"/>
          <w:w w:val="110"/>
          <w:sz w:val="20"/>
          <w:lang w:val="ru-RU"/>
        </w:rPr>
        <w:t>икористання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інтеграція</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оптимізація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діагностичних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технологій</w:t>
      </w:r>
      <w:proofErr w:type="spellEnd"/>
      <w:r w:rsidRPr="006B6651">
        <w:rPr>
          <w:color w:val="000000" w:themeColor="text1"/>
          <w:w w:val="110"/>
          <w:sz w:val="20"/>
          <w:lang w:val="ru-RU"/>
        </w:rPr>
        <w:t xml:space="preserve"> в </w:t>
      </w:r>
      <w:proofErr w:type="spellStart"/>
      <w:r w:rsidRPr="006B6651">
        <w:rPr>
          <w:color w:val="000000" w:themeColor="text1"/>
          <w:w w:val="110"/>
          <w:sz w:val="20"/>
          <w:lang w:val="ru-RU"/>
        </w:rPr>
        <w:t>загальн</w:t>
      </w:r>
      <w:r w:rsidRPr="00BE6D3F">
        <w:rPr>
          <w:color w:val="000000" w:themeColor="text1"/>
          <w:w w:val="110"/>
          <w:sz w:val="20"/>
          <w:lang w:val="uk-UA"/>
        </w:rPr>
        <w:t>ій</w:t>
      </w:r>
      <w:proofErr w:type="spellEnd"/>
      <w:r w:rsidRPr="00BE6D3F">
        <w:rPr>
          <w:color w:val="000000" w:themeColor="text1"/>
          <w:w w:val="110"/>
          <w:sz w:val="20"/>
          <w:lang w:val="uk-UA"/>
        </w:rPr>
        <w:t xml:space="preserve"> системі </w:t>
      </w:r>
      <w:proofErr w:type="spellStart"/>
      <w:r w:rsidRPr="006B6651">
        <w:rPr>
          <w:color w:val="000000" w:themeColor="text1"/>
          <w:w w:val="110"/>
          <w:sz w:val="20"/>
          <w:lang w:val="ru-RU"/>
        </w:rPr>
        <w:t>тестування</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надання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медичної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допомоги</w:t>
      </w:r>
      <w:proofErr w:type="spellEnd"/>
      <w:r w:rsidRPr="006B6651">
        <w:rPr>
          <w:color w:val="000000" w:themeColor="text1"/>
          <w:w w:val="110"/>
          <w:sz w:val="20"/>
          <w:lang w:val="ru-RU"/>
        </w:rPr>
        <w:t xml:space="preserve">, а також </w:t>
      </w:r>
      <w:r w:rsidRPr="00BE6D3F">
        <w:rPr>
          <w:color w:val="000000" w:themeColor="text1"/>
          <w:w w:val="110"/>
          <w:sz w:val="20"/>
          <w:lang w:val="uk-UA"/>
        </w:rPr>
        <w:t>маршрутів пацієнта</w:t>
      </w:r>
      <w:r w:rsidRPr="006B6651">
        <w:rPr>
          <w:color w:val="000000" w:themeColor="text1"/>
          <w:w w:val="110"/>
          <w:sz w:val="20"/>
          <w:lang w:val="ru-RU"/>
        </w:rPr>
        <w:t xml:space="preserve"> та </w:t>
      </w:r>
      <w:r w:rsidRPr="00BE6D3F">
        <w:rPr>
          <w:color w:val="000000" w:themeColor="text1"/>
          <w:w w:val="110"/>
          <w:sz w:val="20"/>
          <w:lang w:val="uk-UA"/>
        </w:rPr>
        <w:t xml:space="preserve">діагностичних </w:t>
      </w:r>
      <w:proofErr w:type="spellStart"/>
      <w:r w:rsidRPr="006B6651">
        <w:rPr>
          <w:color w:val="000000" w:themeColor="text1"/>
          <w:w w:val="110"/>
          <w:sz w:val="20"/>
          <w:lang w:val="ru-RU"/>
        </w:rPr>
        <w:t>алгоритмів</w:t>
      </w:r>
      <w:proofErr w:type="spellEnd"/>
      <w:r w:rsidRPr="006B6651">
        <w:rPr>
          <w:color w:val="000000" w:themeColor="text1"/>
          <w:w w:val="110"/>
          <w:sz w:val="20"/>
          <w:lang w:val="ru-RU"/>
        </w:rPr>
        <w:t>;</w:t>
      </w:r>
    </w:p>
    <w:p w14:paraId="20837CE6" w14:textId="77777777" w:rsidR="00291E90" w:rsidRPr="006B6651" w:rsidRDefault="00291E90" w:rsidP="004A2937">
      <w:pPr>
        <w:pStyle w:val="a4"/>
        <w:numPr>
          <w:ilvl w:val="0"/>
          <w:numId w:val="45"/>
        </w:numPr>
        <w:tabs>
          <w:tab w:val="left" w:pos="1701"/>
        </w:tabs>
        <w:spacing w:before="3" w:line="276" w:lineRule="auto"/>
        <w:ind w:right="2"/>
        <w:rPr>
          <w:color w:val="000000" w:themeColor="text1"/>
          <w:sz w:val="20"/>
          <w:lang w:val="ru-RU"/>
        </w:rPr>
      </w:pPr>
      <w:r w:rsidRPr="00BE6D3F">
        <w:rPr>
          <w:color w:val="000000" w:themeColor="text1"/>
          <w:w w:val="110"/>
          <w:sz w:val="20"/>
          <w:lang w:val="uk-UA"/>
        </w:rPr>
        <w:t>е</w:t>
      </w:r>
      <w:proofErr w:type="spellStart"/>
      <w:r w:rsidRPr="006B6651">
        <w:rPr>
          <w:color w:val="000000" w:themeColor="text1"/>
          <w:w w:val="110"/>
          <w:sz w:val="20"/>
          <w:lang w:val="ru-RU"/>
        </w:rPr>
        <w:t>кономічні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дослідження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оцінюють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економічну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ефективність</w:t>
      </w:r>
      <w:proofErr w:type="spellEnd"/>
      <w:r w:rsidRPr="006B6651">
        <w:rPr>
          <w:color w:val="000000" w:themeColor="text1"/>
          <w:w w:val="110"/>
          <w:sz w:val="20"/>
          <w:lang w:val="ru-RU"/>
        </w:rPr>
        <w:t xml:space="preserve"> та </w:t>
      </w:r>
      <w:r w:rsidRPr="00BE6D3F">
        <w:rPr>
          <w:color w:val="000000" w:themeColor="text1"/>
          <w:w w:val="110"/>
          <w:sz w:val="20"/>
          <w:lang w:val="uk-UA"/>
        </w:rPr>
        <w:t xml:space="preserve">співвідношення витрат і вигоди </w:t>
      </w:r>
      <w:proofErr w:type="spellStart"/>
      <w:r w:rsidRPr="006B6651">
        <w:rPr>
          <w:color w:val="000000" w:themeColor="text1"/>
          <w:w w:val="110"/>
          <w:sz w:val="20"/>
          <w:lang w:val="ru-RU"/>
        </w:rPr>
        <w:t>діагностичних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технологій</w:t>
      </w:r>
      <w:proofErr w:type="spellEnd"/>
      <w:r w:rsidRPr="006B6651">
        <w:rPr>
          <w:color w:val="000000" w:themeColor="text1"/>
          <w:w w:val="110"/>
          <w:sz w:val="20"/>
          <w:lang w:val="ru-RU"/>
        </w:rPr>
        <w:t>;</w:t>
      </w:r>
    </w:p>
    <w:p w14:paraId="6F5B3528" w14:textId="77777777" w:rsidR="00291E90" w:rsidRPr="006B6651" w:rsidRDefault="00291E90" w:rsidP="004A2937">
      <w:pPr>
        <w:pStyle w:val="a4"/>
        <w:numPr>
          <w:ilvl w:val="0"/>
          <w:numId w:val="45"/>
        </w:numPr>
        <w:tabs>
          <w:tab w:val="left" w:pos="1701"/>
        </w:tabs>
        <w:spacing w:before="2" w:line="276" w:lineRule="auto"/>
        <w:ind w:right="2"/>
        <w:rPr>
          <w:color w:val="000000" w:themeColor="text1"/>
          <w:sz w:val="20"/>
          <w:lang w:val="ru-RU"/>
        </w:rPr>
      </w:pPr>
      <w:r w:rsidRPr="00BE6D3F">
        <w:rPr>
          <w:color w:val="000000" w:themeColor="text1"/>
          <w:spacing w:val="2"/>
          <w:w w:val="110"/>
          <w:sz w:val="20"/>
          <w:lang w:val="uk-UA"/>
        </w:rPr>
        <w:t>я</w:t>
      </w:r>
      <w:proofErr w:type="spellStart"/>
      <w:r w:rsidRPr="006B6651">
        <w:rPr>
          <w:color w:val="000000" w:themeColor="text1"/>
          <w:w w:val="110"/>
          <w:sz w:val="20"/>
          <w:lang w:val="ru-RU"/>
        </w:rPr>
        <w:t>кісні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дослідження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оцінюють</w:t>
      </w:r>
      <w:proofErr w:type="spellEnd"/>
      <w:r w:rsidRPr="006B6651">
        <w:rPr>
          <w:color w:val="000000" w:themeColor="text1"/>
          <w:w w:val="110"/>
          <w:sz w:val="20"/>
          <w:lang w:val="ru-RU"/>
        </w:rPr>
        <w:t xml:space="preserve"> </w:t>
      </w:r>
      <w:r>
        <w:rPr>
          <w:color w:val="000000" w:themeColor="text1"/>
          <w:w w:val="110"/>
          <w:sz w:val="20"/>
          <w:lang w:val="uk-UA"/>
        </w:rPr>
        <w:t>справедливість</w:t>
      </w:r>
      <w:r w:rsidRPr="006B6651">
        <w:rPr>
          <w:color w:val="000000" w:themeColor="text1"/>
          <w:w w:val="110"/>
          <w:sz w:val="20"/>
          <w:lang w:val="ru-RU"/>
        </w:rPr>
        <w:t xml:space="preserve">, </w:t>
      </w:r>
      <w:proofErr w:type="spellStart"/>
      <w:r w:rsidRPr="006B6651">
        <w:rPr>
          <w:color w:val="000000" w:themeColor="text1"/>
          <w:w w:val="110"/>
          <w:sz w:val="20"/>
          <w:lang w:val="ru-RU"/>
        </w:rPr>
        <w:t>прийнятність</w:t>
      </w:r>
      <w:proofErr w:type="spellEnd"/>
      <w:r w:rsidRPr="006B6651">
        <w:rPr>
          <w:color w:val="000000" w:themeColor="text1"/>
          <w:w w:val="110"/>
          <w:sz w:val="20"/>
          <w:lang w:val="ru-RU"/>
        </w:rPr>
        <w:t xml:space="preserve">, </w:t>
      </w:r>
      <w:r w:rsidRPr="00BE6D3F">
        <w:rPr>
          <w:color w:val="000000" w:themeColor="text1"/>
          <w:w w:val="110"/>
          <w:sz w:val="20"/>
          <w:lang w:val="uk-UA"/>
        </w:rPr>
        <w:t>можливість реалізації</w:t>
      </w:r>
      <w:r w:rsidRPr="006B6651">
        <w:rPr>
          <w:color w:val="000000" w:themeColor="text1"/>
          <w:w w:val="110"/>
          <w:sz w:val="20"/>
          <w:lang w:val="ru-RU"/>
        </w:rPr>
        <w:t xml:space="preserve"> та </w:t>
      </w:r>
      <w:proofErr w:type="spellStart"/>
      <w:r w:rsidRPr="006B6651">
        <w:rPr>
          <w:color w:val="000000" w:themeColor="text1"/>
          <w:w w:val="110"/>
          <w:sz w:val="20"/>
          <w:lang w:val="ru-RU"/>
        </w:rPr>
        <w:t>цінності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кінцевих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користувачів</w:t>
      </w:r>
      <w:proofErr w:type="spellEnd"/>
      <w:r w:rsidRPr="006B6651">
        <w:rPr>
          <w:color w:val="000000" w:themeColor="text1"/>
          <w:w w:val="110"/>
          <w:sz w:val="20"/>
          <w:lang w:val="ru-RU"/>
        </w:rPr>
        <w:t xml:space="preserve"> щодо </w:t>
      </w:r>
      <w:proofErr w:type="spellStart"/>
      <w:r w:rsidRPr="006B6651">
        <w:rPr>
          <w:color w:val="000000" w:themeColor="text1"/>
          <w:w w:val="110"/>
          <w:sz w:val="20"/>
          <w:lang w:val="ru-RU"/>
        </w:rPr>
        <w:t>діагностичних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технологій</w:t>
      </w:r>
      <w:proofErr w:type="spellEnd"/>
      <w:r w:rsidRPr="006B6651">
        <w:rPr>
          <w:color w:val="000000" w:themeColor="text1"/>
          <w:w w:val="110"/>
          <w:sz w:val="20"/>
          <w:lang w:val="ru-RU"/>
        </w:rPr>
        <w:t>; та</w:t>
      </w:r>
    </w:p>
    <w:p w14:paraId="191322D0" w14:textId="77777777" w:rsidR="00291E90" w:rsidRPr="006B6651" w:rsidRDefault="00291E90" w:rsidP="004A2937">
      <w:pPr>
        <w:pStyle w:val="a4"/>
        <w:numPr>
          <w:ilvl w:val="0"/>
          <w:numId w:val="45"/>
        </w:numPr>
        <w:tabs>
          <w:tab w:val="left" w:pos="1701"/>
        </w:tabs>
        <w:spacing w:before="2" w:line="276" w:lineRule="auto"/>
        <w:ind w:right="2"/>
        <w:rPr>
          <w:color w:val="000000" w:themeColor="text1"/>
          <w:sz w:val="20"/>
          <w:lang w:val="ru-RU"/>
        </w:rPr>
      </w:pPr>
      <w:proofErr w:type="spellStart"/>
      <w:r w:rsidRPr="00BE6D3F">
        <w:rPr>
          <w:color w:val="000000" w:themeColor="text1"/>
          <w:w w:val="110"/>
          <w:sz w:val="20"/>
        </w:rPr>
        <w:t>i</w:t>
      </w:r>
      <w:r w:rsidRPr="006B6651">
        <w:rPr>
          <w:color w:val="000000" w:themeColor="text1"/>
          <w:w w:val="110"/>
          <w:sz w:val="20"/>
          <w:lang w:val="ru-RU"/>
        </w:rPr>
        <w:t>нтерпретація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результатів</w:t>
      </w:r>
      <w:proofErr w:type="spellEnd"/>
      <w:r w:rsidRPr="006B6651">
        <w:rPr>
          <w:color w:val="000000" w:themeColor="text1"/>
          <w:w w:val="110"/>
          <w:sz w:val="20"/>
          <w:lang w:val="ru-RU"/>
        </w:rPr>
        <w:t xml:space="preserve"> ТАНК </w:t>
      </w:r>
      <w:proofErr w:type="spellStart"/>
      <w:r w:rsidRPr="006B6651">
        <w:rPr>
          <w:color w:val="000000" w:themeColor="text1"/>
          <w:w w:val="110"/>
          <w:sz w:val="20"/>
          <w:lang w:val="ru-RU"/>
        </w:rPr>
        <w:t>високої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складності</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основі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гібридизації</w:t>
      </w:r>
      <w:proofErr w:type="spellEnd"/>
      <w:r w:rsidRPr="006B6651">
        <w:rPr>
          <w:color w:val="000000" w:themeColor="text1"/>
          <w:w w:val="110"/>
          <w:sz w:val="20"/>
          <w:lang w:val="ru-RU"/>
        </w:rPr>
        <w:t xml:space="preserve"> у </w:t>
      </w:r>
      <w:proofErr w:type="spellStart"/>
      <w:r w:rsidRPr="006B6651">
        <w:rPr>
          <w:color w:val="000000" w:themeColor="text1"/>
          <w:w w:val="110"/>
          <w:sz w:val="20"/>
          <w:lang w:val="ru-RU"/>
        </w:rPr>
        <w:t>порівнянні</w:t>
      </w:r>
      <w:proofErr w:type="spellEnd"/>
      <w:r w:rsidRPr="006B6651">
        <w:rPr>
          <w:color w:val="000000" w:themeColor="text1"/>
          <w:w w:val="110"/>
          <w:sz w:val="20"/>
          <w:lang w:val="ru-RU"/>
        </w:rPr>
        <w:t xml:space="preserve"> з секвенуванням та </w:t>
      </w:r>
      <w:proofErr w:type="spellStart"/>
      <w:r w:rsidRPr="006B6651">
        <w:rPr>
          <w:color w:val="000000" w:themeColor="text1"/>
          <w:w w:val="110"/>
          <w:sz w:val="20"/>
          <w:lang w:val="ru-RU"/>
        </w:rPr>
        <w:t>новішими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даними</w:t>
      </w:r>
      <w:proofErr w:type="spellEnd"/>
      <w:r w:rsidRPr="006B6651">
        <w:rPr>
          <w:color w:val="000000" w:themeColor="text1"/>
          <w:w w:val="110"/>
          <w:sz w:val="20"/>
          <w:lang w:val="ru-RU"/>
        </w:rPr>
        <w:t xml:space="preserve"> щодо генотип</w:t>
      </w:r>
      <w:proofErr w:type="spellStart"/>
      <w:r w:rsidRPr="00BE6D3F">
        <w:rPr>
          <w:color w:val="000000" w:themeColor="text1"/>
          <w:w w:val="110"/>
          <w:sz w:val="20"/>
          <w:lang w:val="uk-UA"/>
        </w:rPr>
        <w:t>ових</w:t>
      </w:r>
      <w:proofErr w:type="spellEnd"/>
      <w:r w:rsidRPr="006B6651">
        <w:rPr>
          <w:color w:val="000000" w:themeColor="text1"/>
          <w:w w:val="110"/>
          <w:sz w:val="20"/>
          <w:lang w:val="ru-RU"/>
        </w:rPr>
        <w:t xml:space="preserve"> та фенотип</w:t>
      </w:r>
      <w:proofErr w:type="spellStart"/>
      <w:r w:rsidRPr="00BE6D3F">
        <w:rPr>
          <w:color w:val="000000" w:themeColor="text1"/>
          <w:w w:val="110"/>
          <w:sz w:val="20"/>
          <w:lang w:val="uk-UA"/>
        </w:rPr>
        <w:t>ових</w:t>
      </w:r>
      <w:proofErr w:type="spellEnd"/>
      <w:r w:rsidRPr="00BE6D3F">
        <w:rPr>
          <w:color w:val="000000" w:themeColor="text1"/>
          <w:w w:val="110"/>
          <w:sz w:val="20"/>
          <w:lang w:val="uk-UA"/>
        </w:rPr>
        <w:t xml:space="preserve"> </w:t>
      </w:r>
      <w:r w:rsidRPr="006B6651">
        <w:rPr>
          <w:color w:val="000000" w:themeColor="text1"/>
          <w:w w:val="110"/>
          <w:sz w:val="20"/>
          <w:lang w:val="ru-RU"/>
        </w:rPr>
        <w:t>зв'язків.</w:t>
      </w:r>
    </w:p>
    <w:p w14:paraId="0E2B52F7" w14:textId="77777777" w:rsidR="00291E90" w:rsidRPr="006B6651" w:rsidRDefault="00291E90" w:rsidP="00291E90">
      <w:pPr>
        <w:pStyle w:val="a3"/>
        <w:spacing w:before="8"/>
        <w:ind w:right="2"/>
        <w:jc w:val="both"/>
        <w:rPr>
          <w:sz w:val="18"/>
          <w:lang w:val="ru-RU"/>
        </w:rPr>
      </w:pPr>
    </w:p>
    <w:p w14:paraId="2F1A998F" w14:textId="77777777" w:rsidR="00291E90" w:rsidRPr="00B04563" w:rsidRDefault="00291E90" w:rsidP="004A2937">
      <w:pPr>
        <w:pStyle w:val="5"/>
        <w:numPr>
          <w:ilvl w:val="2"/>
          <w:numId w:val="41"/>
        </w:numPr>
        <w:tabs>
          <w:tab w:val="left" w:pos="2410"/>
        </w:tabs>
        <w:ind w:left="1276" w:right="2" w:hanging="721"/>
        <w:jc w:val="both"/>
        <w:rPr>
          <w:color w:val="019648"/>
          <w:sz w:val="24"/>
        </w:rPr>
      </w:pPr>
      <w:r w:rsidRPr="00B04563">
        <w:rPr>
          <w:color w:val="019648"/>
          <w:sz w:val="24"/>
        </w:rPr>
        <w:t xml:space="preserve">Таргетне </w:t>
      </w:r>
      <w:r w:rsidRPr="003E33BC">
        <w:rPr>
          <w:color w:val="019648"/>
          <w:sz w:val="24"/>
        </w:rPr>
        <w:t xml:space="preserve">секвенування </w:t>
      </w:r>
      <w:proofErr w:type="spellStart"/>
      <w:r w:rsidRPr="003E33BC">
        <w:rPr>
          <w:color w:val="019648"/>
          <w:sz w:val="24"/>
        </w:rPr>
        <w:t>наступного</w:t>
      </w:r>
      <w:proofErr w:type="spellEnd"/>
      <w:r w:rsidRPr="003E33BC">
        <w:rPr>
          <w:color w:val="019648"/>
          <w:sz w:val="24"/>
        </w:rPr>
        <w:t xml:space="preserve"> </w:t>
      </w:r>
      <w:proofErr w:type="spellStart"/>
      <w:r w:rsidRPr="003E33BC">
        <w:rPr>
          <w:color w:val="019648"/>
          <w:sz w:val="24"/>
        </w:rPr>
        <w:t>покоління</w:t>
      </w:r>
      <w:proofErr w:type="spellEnd"/>
    </w:p>
    <w:p w14:paraId="2A81D5E5" w14:textId="77777777" w:rsidR="00291E90" w:rsidRPr="006B6651" w:rsidRDefault="00291E90" w:rsidP="00291E90">
      <w:pPr>
        <w:pStyle w:val="a3"/>
        <w:spacing w:before="209" w:line="276" w:lineRule="auto"/>
        <w:ind w:left="555" w:right="2"/>
        <w:jc w:val="both"/>
        <w:rPr>
          <w:color w:val="000000" w:themeColor="text1"/>
          <w:sz w:val="20"/>
          <w:lang w:val="ru-RU"/>
        </w:rPr>
      </w:pPr>
      <w:proofErr w:type="spellStart"/>
      <w:r w:rsidRPr="006B6651">
        <w:rPr>
          <w:color w:val="000000" w:themeColor="text1"/>
          <w:w w:val="110"/>
          <w:sz w:val="20"/>
          <w:lang w:val="ru-RU"/>
        </w:rPr>
        <w:t>Технологія</w:t>
      </w:r>
      <w:proofErr w:type="spellEnd"/>
      <w:r w:rsidRPr="006B6651">
        <w:rPr>
          <w:color w:val="000000" w:themeColor="text1"/>
          <w:w w:val="110"/>
          <w:sz w:val="20"/>
          <w:lang w:val="ru-RU"/>
        </w:rPr>
        <w:t xml:space="preserve"> таргетного СНП </w:t>
      </w:r>
      <w:proofErr w:type="spellStart"/>
      <w:r w:rsidRPr="006B6651">
        <w:rPr>
          <w:color w:val="000000" w:themeColor="text1"/>
          <w:w w:val="110"/>
          <w:sz w:val="20"/>
          <w:lang w:val="ru-RU"/>
        </w:rPr>
        <w:t>поєднує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ампліфікацію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обраних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генів</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технологією</w:t>
      </w:r>
      <w:proofErr w:type="spellEnd"/>
      <w:r w:rsidRPr="006B6651">
        <w:rPr>
          <w:color w:val="000000" w:themeColor="text1"/>
          <w:w w:val="110"/>
          <w:sz w:val="20"/>
          <w:lang w:val="ru-RU"/>
        </w:rPr>
        <w:t xml:space="preserve"> СНП для виявлення </w:t>
      </w:r>
      <w:r w:rsidRPr="00BE6D3F">
        <w:rPr>
          <w:color w:val="000000" w:themeColor="text1"/>
          <w:w w:val="110"/>
          <w:sz w:val="20"/>
          <w:lang w:val="uk-UA"/>
        </w:rPr>
        <w:t>стійкості</w:t>
      </w:r>
      <w:r w:rsidRPr="006B6651">
        <w:rPr>
          <w:color w:val="000000" w:themeColor="text1"/>
          <w:w w:val="110"/>
          <w:sz w:val="20"/>
          <w:lang w:val="ru-RU"/>
        </w:rPr>
        <w:t xml:space="preserve"> до </w:t>
      </w:r>
      <w:proofErr w:type="spellStart"/>
      <w:r w:rsidRPr="006B6651">
        <w:rPr>
          <w:color w:val="000000" w:themeColor="text1"/>
          <w:w w:val="110"/>
          <w:sz w:val="20"/>
          <w:lang w:val="ru-RU"/>
        </w:rPr>
        <w:t>багатьох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препаратів</w:t>
      </w:r>
      <w:proofErr w:type="spellEnd"/>
      <w:r w:rsidRPr="006B6651">
        <w:rPr>
          <w:color w:val="000000" w:themeColor="text1"/>
          <w:w w:val="110"/>
          <w:sz w:val="20"/>
          <w:lang w:val="ru-RU"/>
        </w:rPr>
        <w:t xml:space="preserve"> за </w:t>
      </w:r>
      <w:proofErr w:type="spellStart"/>
      <w:r w:rsidRPr="006B6651">
        <w:rPr>
          <w:color w:val="000000" w:themeColor="text1"/>
          <w:w w:val="110"/>
          <w:sz w:val="20"/>
          <w:lang w:val="ru-RU"/>
        </w:rPr>
        <w:t>допомогою</w:t>
      </w:r>
      <w:proofErr w:type="spellEnd"/>
      <w:r w:rsidRPr="006B6651">
        <w:rPr>
          <w:color w:val="000000" w:themeColor="text1"/>
          <w:w w:val="110"/>
          <w:sz w:val="20"/>
          <w:lang w:val="ru-RU"/>
        </w:rPr>
        <w:t xml:space="preserve"> одного тесту. </w:t>
      </w:r>
      <w:r w:rsidRPr="00291E90">
        <w:rPr>
          <w:color w:val="000000" w:themeColor="text1"/>
          <w:w w:val="110"/>
          <w:sz w:val="20"/>
          <w:lang w:val="ru-RU"/>
        </w:rPr>
        <w:t xml:space="preserve">Також, </w:t>
      </w:r>
      <w:proofErr w:type="spellStart"/>
      <w:r w:rsidRPr="00291E90">
        <w:rPr>
          <w:color w:val="000000" w:themeColor="text1"/>
          <w:w w:val="110"/>
          <w:sz w:val="20"/>
          <w:lang w:val="ru-RU"/>
        </w:rPr>
        <w:t>оскільки</w:t>
      </w:r>
      <w:proofErr w:type="spellEnd"/>
      <w:r w:rsidRPr="00291E90">
        <w:rPr>
          <w:color w:val="000000" w:themeColor="text1"/>
          <w:w w:val="110"/>
          <w:sz w:val="20"/>
          <w:lang w:val="ru-RU"/>
        </w:rPr>
        <w:t xml:space="preserve"> таргетне СНП </w:t>
      </w:r>
      <w:proofErr w:type="spellStart"/>
      <w:r w:rsidRPr="00291E90">
        <w:rPr>
          <w:color w:val="000000" w:themeColor="text1"/>
          <w:w w:val="110"/>
          <w:sz w:val="20"/>
          <w:lang w:val="ru-RU"/>
        </w:rPr>
        <w:t>може</w:t>
      </w:r>
      <w:proofErr w:type="spellEnd"/>
      <w:r w:rsidRPr="00291E90">
        <w:rPr>
          <w:color w:val="000000" w:themeColor="text1"/>
          <w:w w:val="110"/>
          <w:sz w:val="20"/>
          <w:lang w:val="ru-RU"/>
        </w:rPr>
        <w:t xml:space="preserve"> </w:t>
      </w:r>
      <w:r w:rsidRPr="00BE6D3F">
        <w:rPr>
          <w:color w:val="000000" w:themeColor="text1"/>
          <w:w w:val="110"/>
          <w:sz w:val="20"/>
          <w:lang w:val="uk-UA"/>
        </w:rPr>
        <w:t>перевіряти</w:t>
      </w:r>
      <w:r w:rsidRPr="00291E90">
        <w:rPr>
          <w:color w:val="000000" w:themeColor="text1"/>
          <w:w w:val="110"/>
          <w:sz w:val="20"/>
          <w:lang w:val="ru-RU"/>
        </w:rPr>
        <w:t xml:space="preserve"> </w:t>
      </w:r>
      <w:proofErr w:type="spellStart"/>
      <w:r w:rsidRPr="00291E90">
        <w:rPr>
          <w:color w:val="000000" w:themeColor="text1"/>
          <w:w w:val="110"/>
          <w:sz w:val="20"/>
          <w:lang w:val="ru-RU"/>
        </w:rPr>
        <w:t>цілі</w:t>
      </w:r>
      <w:proofErr w:type="spellEnd"/>
      <w:r w:rsidRPr="00291E90">
        <w:rPr>
          <w:color w:val="000000" w:themeColor="text1"/>
          <w:w w:val="110"/>
          <w:sz w:val="20"/>
          <w:lang w:val="ru-RU"/>
        </w:rPr>
        <w:t xml:space="preserve"> </w:t>
      </w:r>
      <w:proofErr w:type="spellStart"/>
      <w:r w:rsidRPr="00291E90">
        <w:rPr>
          <w:color w:val="000000" w:themeColor="text1"/>
          <w:w w:val="110"/>
          <w:sz w:val="20"/>
          <w:lang w:val="ru-RU"/>
        </w:rPr>
        <w:t>гени</w:t>
      </w:r>
      <w:proofErr w:type="spellEnd"/>
      <w:r w:rsidRPr="00291E90">
        <w:rPr>
          <w:color w:val="000000" w:themeColor="text1"/>
          <w:w w:val="110"/>
          <w:sz w:val="20"/>
          <w:lang w:val="ru-RU"/>
        </w:rPr>
        <w:t xml:space="preserve"> для виявлення </w:t>
      </w:r>
      <w:proofErr w:type="spellStart"/>
      <w:r w:rsidRPr="00291E90">
        <w:rPr>
          <w:color w:val="000000" w:themeColor="text1"/>
          <w:w w:val="110"/>
          <w:sz w:val="20"/>
          <w:lang w:val="ru-RU"/>
        </w:rPr>
        <w:t>специфічних</w:t>
      </w:r>
      <w:proofErr w:type="spellEnd"/>
      <w:r w:rsidRPr="00291E90">
        <w:rPr>
          <w:color w:val="000000" w:themeColor="text1"/>
          <w:w w:val="110"/>
          <w:sz w:val="20"/>
          <w:lang w:val="ru-RU"/>
        </w:rPr>
        <w:t xml:space="preserve"> </w:t>
      </w:r>
      <w:proofErr w:type="spellStart"/>
      <w:r w:rsidRPr="00291E90">
        <w:rPr>
          <w:color w:val="000000" w:themeColor="text1"/>
          <w:w w:val="110"/>
          <w:sz w:val="20"/>
          <w:lang w:val="ru-RU"/>
        </w:rPr>
        <w:t>мутацій</w:t>
      </w:r>
      <w:proofErr w:type="spellEnd"/>
      <w:r w:rsidRPr="00291E90">
        <w:rPr>
          <w:color w:val="000000" w:themeColor="text1"/>
          <w:w w:val="110"/>
          <w:sz w:val="20"/>
          <w:lang w:val="ru-RU"/>
        </w:rPr>
        <w:t>, пов'язаних з</w:t>
      </w:r>
      <w:r w:rsidRPr="00BE6D3F">
        <w:rPr>
          <w:color w:val="000000" w:themeColor="text1"/>
          <w:w w:val="110"/>
          <w:sz w:val="20"/>
          <w:lang w:val="uk-UA"/>
        </w:rPr>
        <w:t>і стійкістю</w:t>
      </w:r>
      <w:r w:rsidRPr="00291E90">
        <w:rPr>
          <w:color w:val="000000" w:themeColor="text1"/>
          <w:w w:val="110"/>
          <w:sz w:val="20"/>
          <w:lang w:val="ru-RU"/>
        </w:rPr>
        <w:t xml:space="preserve">, тести на </w:t>
      </w:r>
      <w:proofErr w:type="spellStart"/>
      <w:r w:rsidRPr="00291E90">
        <w:rPr>
          <w:color w:val="000000" w:themeColor="text1"/>
          <w:w w:val="110"/>
          <w:sz w:val="20"/>
          <w:lang w:val="ru-RU"/>
        </w:rPr>
        <w:t>основі</w:t>
      </w:r>
      <w:proofErr w:type="spellEnd"/>
      <w:r w:rsidRPr="00291E90">
        <w:rPr>
          <w:color w:val="000000" w:themeColor="text1"/>
          <w:w w:val="110"/>
          <w:sz w:val="20"/>
          <w:lang w:val="ru-RU"/>
        </w:rPr>
        <w:t xml:space="preserve"> </w:t>
      </w:r>
      <w:proofErr w:type="spellStart"/>
      <w:r w:rsidRPr="00291E90">
        <w:rPr>
          <w:color w:val="000000" w:themeColor="text1"/>
          <w:w w:val="110"/>
          <w:sz w:val="20"/>
          <w:lang w:val="ru-RU"/>
        </w:rPr>
        <w:t>цієї</w:t>
      </w:r>
      <w:proofErr w:type="spellEnd"/>
      <w:r w:rsidRPr="00291E90">
        <w:rPr>
          <w:color w:val="000000" w:themeColor="text1"/>
          <w:w w:val="110"/>
          <w:sz w:val="20"/>
          <w:lang w:val="ru-RU"/>
        </w:rPr>
        <w:t xml:space="preserve"> </w:t>
      </w:r>
      <w:proofErr w:type="spellStart"/>
      <w:r w:rsidRPr="00291E90">
        <w:rPr>
          <w:color w:val="000000" w:themeColor="text1"/>
          <w:w w:val="110"/>
          <w:sz w:val="20"/>
          <w:lang w:val="ru-RU"/>
        </w:rPr>
        <w:t>технології</w:t>
      </w:r>
      <w:proofErr w:type="spellEnd"/>
      <w:r w:rsidRPr="00291E90">
        <w:rPr>
          <w:color w:val="000000" w:themeColor="text1"/>
          <w:w w:val="110"/>
          <w:sz w:val="20"/>
          <w:lang w:val="ru-RU"/>
        </w:rPr>
        <w:t xml:space="preserve"> </w:t>
      </w:r>
      <w:proofErr w:type="spellStart"/>
      <w:r w:rsidRPr="00291E90">
        <w:rPr>
          <w:color w:val="000000" w:themeColor="text1"/>
          <w:w w:val="110"/>
          <w:sz w:val="20"/>
          <w:lang w:val="ru-RU"/>
        </w:rPr>
        <w:t>можуть</w:t>
      </w:r>
      <w:proofErr w:type="spellEnd"/>
      <w:r w:rsidRPr="00291E90">
        <w:rPr>
          <w:color w:val="000000" w:themeColor="text1"/>
          <w:w w:val="110"/>
          <w:sz w:val="20"/>
          <w:lang w:val="ru-RU"/>
        </w:rPr>
        <w:t xml:space="preserve"> бути </w:t>
      </w:r>
      <w:proofErr w:type="spellStart"/>
      <w:r w:rsidRPr="00291E90">
        <w:rPr>
          <w:color w:val="000000" w:themeColor="text1"/>
          <w:w w:val="110"/>
          <w:sz w:val="20"/>
          <w:lang w:val="ru-RU"/>
        </w:rPr>
        <w:t>точнішими</w:t>
      </w:r>
      <w:proofErr w:type="spellEnd"/>
      <w:r w:rsidRPr="00291E90">
        <w:rPr>
          <w:color w:val="000000" w:themeColor="text1"/>
          <w:w w:val="110"/>
          <w:sz w:val="20"/>
          <w:lang w:val="ru-RU"/>
        </w:rPr>
        <w:t xml:space="preserve"> за </w:t>
      </w:r>
      <w:r w:rsidRPr="00B32633">
        <w:rPr>
          <w:color w:val="000000" w:themeColor="text1"/>
          <w:w w:val="110"/>
          <w:sz w:val="20"/>
          <w:lang w:val="uk-UA"/>
        </w:rPr>
        <w:t>наявні</w:t>
      </w:r>
      <w:r w:rsidRPr="00291E90">
        <w:rPr>
          <w:color w:val="000000" w:themeColor="text1"/>
          <w:w w:val="110"/>
          <w:sz w:val="20"/>
          <w:lang w:val="ru-RU"/>
        </w:rPr>
        <w:t xml:space="preserve"> </w:t>
      </w:r>
      <w:proofErr w:type="spellStart"/>
      <w:r w:rsidRPr="00291E90">
        <w:rPr>
          <w:color w:val="000000" w:themeColor="text1"/>
          <w:w w:val="110"/>
          <w:sz w:val="20"/>
          <w:lang w:val="ru-RU"/>
        </w:rPr>
        <w:t>швидкі</w:t>
      </w:r>
      <w:proofErr w:type="spellEnd"/>
      <w:r w:rsidRPr="00291E90">
        <w:rPr>
          <w:color w:val="000000" w:themeColor="text1"/>
          <w:w w:val="110"/>
          <w:sz w:val="20"/>
          <w:lang w:val="ru-RU"/>
        </w:rPr>
        <w:t xml:space="preserve"> </w:t>
      </w:r>
      <w:proofErr w:type="spellStart"/>
      <w:r w:rsidRPr="00291E90">
        <w:rPr>
          <w:color w:val="000000" w:themeColor="text1"/>
          <w:w w:val="110"/>
          <w:sz w:val="20"/>
          <w:lang w:val="ru-RU"/>
        </w:rPr>
        <w:t>діагностичні</w:t>
      </w:r>
      <w:proofErr w:type="spellEnd"/>
      <w:r w:rsidRPr="00291E90">
        <w:rPr>
          <w:color w:val="000000" w:themeColor="text1"/>
          <w:w w:val="110"/>
          <w:sz w:val="20"/>
          <w:lang w:val="ru-RU"/>
        </w:rPr>
        <w:t xml:space="preserve"> тести </w:t>
      </w:r>
      <w:r w:rsidRPr="00B32633">
        <w:rPr>
          <w:color w:val="000000" w:themeColor="text1"/>
          <w:w w:val="110"/>
          <w:sz w:val="20"/>
        </w:rPr>
        <w:t>WRD</w:t>
      </w:r>
      <w:r w:rsidRPr="00291E90">
        <w:rPr>
          <w:color w:val="000000" w:themeColor="text1"/>
          <w:w w:val="110"/>
          <w:sz w:val="20"/>
          <w:lang w:val="ru-RU"/>
        </w:rPr>
        <w:t xml:space="preserve">). </w:t>
      </w:r>
      <w:proofErr w:type="spellStart"/>
      <w:r w:rsidRPr="006B6651">
        <w:rPr>
          <w:color w:val="000000" w:themeColor="text1"/>
          <w:w w:val="110"/>
          <w:sz w:val="20"/>
          <w:lang w:val="ru-RU"/>
        </w:rPr>
        <w:t>Крім</w:t>
      </w:r>
      <w:proofErr w:type="spellEnd"/>
      <w:r w:rsidRPr="006B6651">
        <w:rPr>
          <w:color w:val="000000" w:themeColor="text1"/>
          <w:w w:val="110"/>
          <w:sz w:val="20"/>
          <w:lang w:val="ru-RU"/>
        </w:rPr>
        <w:t xml:space="preserve"> того, </w:t>
      </w:r>
      <w:proofErr w:type="spellStart"/>
      <w:r w:rsidRPr="006B6651">
        <w:rPr>
          <w:color w:val="000000" w:themeColor="text1"/>
          <w:w w:val="110"/>
          <w:sz w:val="20"/>
          <w:lang w:val="ru-RU"/>
        </w:rPr>
        <w:t>нові</w:t>
      </w:r>
      <w:proofErr w:type="spellEnd"/>
      <w:r w:rsidRPr="006B6651">
        <w:rPr>
          <w:color w:val="000000" w:themeColor="text1"/>
          <w:w w:val="110"/>
          <w:sz w:val="20"/>
          <w:lang w:val="ru-RU"/>
        </w:rPr>
        <w:t xml:space="preserve"> тести на </w:t>
      </w:r>
      <w:proofErr w:type="spellStart"/>
      <w:r w:rsidRPr="006B6651">
        <w:rPr>
          <w:color w:val="000000" w:themeColor="text1"/>
          <w:w w:val="110"/>
          <w:sz w:val="20"/>
          <w:lang w:val="ru-RU"/>
        </w:rPr>
        <w:t>основі</w:t>
      </w:r>
      <w:proofErr w:type="spellEnd"/>
      <w:r w:rsidRPr="006B6651">
        <w:rPr>
          <w:color w:val="000000" w:themeColor="text1"/>
          <w:w w:val="110"/>
          <w:sz w:val="20"/>
          <w:lang w:val="ru-RU"/>
        </w:rPr>
        <w:t xml:space="preserve"> СНП </w:t>
      </w:r>
      <w:proofErr w:type="spellStart"/>
      <w:r w:rsidRPr="006B6651">
        <w:rPr>
          <w:color w:val="000000" w:themeColor="text1"/>
          <w:w w:val="110"/>
          <w:sz w:val="20"/>
          <w:lang w:val="ru-RU"/>
        </w:rPr>
        <w:t>можуть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виявляти</w:t>
      </w:r>
      <w:proofErr w:type="spellEnd"/>
      <w:r w:rsidRPr="006B6651">
        <w:rPr>
          <w:color w:val="000000" w:themeColor="text1"/>
          <w:w w:val="110"/>
          <w:sz w:val="20"/>
          <w:lang w:val="ru-RU"/>
        </w:rPr>
        <w:t xml:space="preserve"> </w:t>
      </w:r>
      <w:r w:rsidRPr="00BE6D3F">
        <w:rPr>
          <w:color w:val="000000" w:themeColor="text1"/>
          <w:w w:val="110"/>
          <w:sz w:val="20"/>
          <w:lang w:val="uk-UA"/>
        </w:rPr>
        <w:t>стійкість</w:t>
      </w:r>
      <w:r w:rsidRPr="006B6651">
        <w:rPr>
          <w:color w:val="000000" w:themeColor="text1"/>
          <w:w w:val="110"/>
          <w:sz w:val="20"/>
          <w:lang w:val="ru-RU"/>
        </w:rPr>
        <w:t xml:space="preserve"> до </w:t>
      </w:r>
      <w:proofErr w:type="spellStart"/>
      <w:r w:rsidRPr="006B6651">
        <w:rPr>
          <w:color w:val="000000" w:themeColor="text1"/>
          <w:w w:val="110"/>
          <w:sz w:val="20"/>
          <w:lang w:val="ru-RU"/>
        </w:rPr>
        <w:t>нових</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перепрофільованих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препаратів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наразі</w:t>
      </w:r>
      <w:proofErr w:type="spellEnd"/>
      <w:r w:rsidRPr="006B6651">
        <w:rPr>
          <w:color w:val="000000" w:themeColor="text1"/>
          <w:w w:val="110"/>
          <w:sz w:val="20"/>
          <w:lang w:val="ru-RU"/>
        </w:rPr>
        <w:t xml:space="preserve"> не </w:t>
      </w:r>
      <w:proofErr w:type="spellStart"/>
      <w:r w:rsidRPr="006B6651">
        <w:rPr>
          <w:color w:val="000000" w:themeColor="text1"/>
          <w:w w:val="110"/>
          <w:sz w:val="20"/>
          <w:lang w:val="ru-RU"/>
        </w:rPr>
        <w:t>включені</w:t>
      </w:r>
      <w:proofErr w:type="spellEnd"/>
      <w:r w:rsidRPr="006B6651">
        <w:rPr>
          <w:color w:val="000000" w:themeColor="text1"/>
          <w:w w:val="110"/>
          <w:sz w:val="20"/>
          <w:lang w:val="ru-RU"/>
        </w:rPr>
        <w:t xml:space="preserve"> до </w:t>
      </w:r>
      <w:proofErr w:type="spellStart"/>
      <w:r w:rsidRPr="006B6651">
        <w:rPr>
          <w:color w:val="000000" w:themeColor="text1"/>
          <w:w w:val="110"/>
          <w:sz w:val="20"/>
          <w:lang w:val="ru-RU"/>
        </w:rPr>
        <w:t>жодних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інших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молекулярних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аналізів</w:t>
      </w:r>
      <w:proofErr w:type="spellEnd"/>
      <w:r w:rsidRPr="006B6651">
        <w:rPr>
          <w:color w:val="000000" w:themeColor="text1"/>
          <w:w w:val="110"/>
          <w:sz w:val="20"/>
          <w:lang w:val="ru-RU"/>
        </w:rPr>
        <w:t xml:space="preserve">.  </w:t>
      </w:r>
      <w:r w:rsidRPr="00BE6D3F">
        <w:rPr>
          <w:color w:val="000000" w:themeColor="text1"/>
          <w:w w:val="110"/>
          <w:sz w:val="20"/>
          <w:lang w:val="uk-UA"/>
        </w:rPr>
        <w:t>Таким чином</w:t>
      </w:r>
      <w:r w:rsidRPr="006B6651">
        <w:rPr>
          <w:color w:val="000000" w:themeColor="text1"/>
          <w:w w:val="110"/>
          <w:sz w:val="20"/>
          <w:lang w:val="ru-RU"/>
        </w:rPr>
        <w:t xml:space="preserve"> тести на </w:t>
      </w:r>
      <w:proofErr w:type="spellStart"/>
      <w:r w:rsidRPr="006B6651">
        <w:rPr>
          <w:color w:val="000000" w:themeColor="text1"/>
          <w:w w:val="110"/>
          <w:sz w:val="20"/>
          <w:lang w:val="ru-RU"/>
        </w:rPr>
        <w:t>основі</w:t>
      </w:r>
      <w:proofErr w:type="spellEnd"/>
      <w:r w:rsidRPr="006B6651">
        <w:rPr>
          <w:color w:val="000000" w:themeColor="text1"/>
          <w:w w:val="110"/>
          <w:sz w:val="20"/>
          <w:lang w:val="ru-RU"/>
        </w:rPr>
        <w:t xml:space="preserve"> таргетного СНП </w:t>
      </w:r>
      <w:proofErr w:type="spellStart"/>
      <w:r w:rsidRPr="006B6651">
        <w:rPr>
          <w:color w:val="000000" w:themeColor="text1"/>
          <w:w w:val="110"/>
          <w:sz w:val="20"/>
          <w:lang w:val="ru-RU"/>
        </w:rPr>
        <w:t>мають</w:t>
      </w:r>
      <w:proofErr w:type="spellEnd"/>
      <w:r w:rsidRPr="006B6651">
        <w:rPr>
          <w:color w:val="000000" w:themeColor="text1"/>
          <w:w w:val="110"/>
          <w:sz w:val="20"/>
          <w:lang w:val="ru-RU"/>
        </w:rPr>
        <w:t xml:space="preserve"> великий </w:t>
      </w:r>
      <w:proofErr w:type="spellStart"/>
      <w:r w:rsidRPr="006B6651">
        <w:rPr>
          <w:color w:val="000000" w:themeColor="text1"/>
          <w:w w:val="110"/>
          <w:sz w:val="20"/>
          <w:lang w:val="ru-RU"/>
        </w:rPr>
        <w:t>потенціал</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забезпечення</w:t>
      </w:r>
      <w:proofErr w:type="spellEnd"/>
      <w:r w:rsidRPr="006B6651">
        <w:rPr>
          <w:color w:val="000000" w:themeColor="text1"/>
          <w:w w:val="110"/>
          <w:sz w:val="20"/>
          <w:lang w:val="ru-RU"/>
        </w:rPr>
        <w:t xml:space="preserve"> комплексного виявлення </w:t>
      </w:r>
      <w:r w:rsidRPr="00BE6D3F">
        <w:rPr>
          <w:color w:val="000000" w:themeColor="text1"/>
          <w:w w:val="110"/>
          <w:sz w:val="20"/>
          <w:lang w:val="uk-UA"/>
        </w:rPr>
        <w:t>стійкості</w:t>
      </w:r>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відповідає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сучасним</w:t>
      </w:r>
      <w:proofErr w:type="spellEnd"/>
      <w:r w:rsidRPr="006B6651">
        <w:rPr>
          <w:color w:val="000000" w:themeColor="text1"/>
          <w:w w:val="110"/>
          <w:sz w:val="20"/>
          <w:lang w:val="ru-RU"/>
        </w:rPr>
        <w:t xml:space="preserve"> схемам лікування.</w:t>
      </w:r>
    </w:p>
    <w:p w14:paraId="51F78EF4" w14:textId="77777777" w:rsidR="00291E90" w:rsidRPr="00B04563" w:rsidRDefault="00291E90" w:rsidP="00291E90">
      <w:pPr>
        <w:pStyle w:val="5"/>
        <w:spacing w:before="189"/>
        <w:ind w:right="2"/>
        <w:jc w:val="both"/>
        <w:rPr>
          <w:sz w:val="24"/>
        </w:rPr>
      </w:pPr>
      <w:proofErr w:type="spellStart"/>
      <w:r w:rsidRPr="00B04563">
        <w:rPr>
          <w:color w:val="019648"/>
          <w:sz w:val="24"/>
        </w:rPr>
        <w:t>Рекомендації</w:t>
      </w:r>
      <w:proofErr w:type="spellEnd"/>
    </w:p>
    <w:p w14:paraId="2133FB89" w14:textId="77777777" w:rsidR="00291E90" w:rsidRPr="00A816CE" w:rsidRDefault="00291E90" w:rsidP="00291E90">
      <w:pPr>
        <w:pStyle w:val="a3"/>
        <w:spacing w:before="4"/>
        <w:ind w:right="2"/>
        <w:jc w:val="both"/>
        <w:rPr>
          <w:sz w:val="15"/>
        </w:rPr>
      </w:pPr>
    </w:p>
    <w:tbl>
      <w:tblPr>
        <w:tblStyle w:val="TableNormal"/>
        <w:tblW w:w="9214" w:type="dxa"/>
        <w:tblInd w:w="559"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214"/>
      </w:tblGrid>
      <w:tr w:rsidR="00291E90" w:rsidRPr="00EC30A9" w14:paraId="4762A9C3" w14:textId="77777777" w:rsidTr="00291E90">
        <w:trPr>
          <w:trHeight w:val="2334"/>
        </w:trPr>
        <w:tc>
          <w:tcPr>
            <w:tcW w:w="9214" w:type="dxa"/>
          </w:tcPr>
          <w:p w14:paraId="624588E4" w14:textId="77777777" w:rsidR="00291E90" w:rsidRPr="00EC30A9" w:rsidRDefault="00291E90" w:rsidP="00291E90">
            <w:pPr>
              <w:pStyle w:val="TableParagraph"/>
              <w:spacing w:before="9"/>
              <w:ind w:left="0" w:right="131"/>
              <w:jc w:val="both"/>
              <w:rPr>
                <w:color w:val="000000" w:themeColor="text1"/>
                <w:sz w:val="19"/>
              </w:rPr>
            </w:pPr>
          </w:p>
          <w:p w14:paraId="20A16FAB" w14:textId="77777777" w:rsidR="00291E90" w:rsidRPr="00BE6D3F" w:rsidRDefault="00291E90" w:rsidP="00291E90">
            <w:pPr>
              <w:pStyle w:val="TableParagraph"/>
              <w:spacing w:before="0" w:line="276" w:lineRule="auto"/>
              <w:ind w:left="680" w:right="131" w:hanging="397"/>
              <w:jc w:val="both"/>
              <w:rPr>
                <w:i/>
                <w:color w:val="000000" w:themeColor="text1"/>
                <w:w w:val="105"/>
                <w:sz w:val="20"/>
              </w:rPr>
            </w:pPr>
            <w:r w:rsidRPr="00EC30A9">
              <w:rPr>
                <w:b/>
                <w:color w:val="000000" w:themeColor="text1"/>
                <w:w w:val="115"/>
              </w:rPr>
              <w:t>17.</w:t>
            </w:r>
            <w:r>
              <w:rPr>
                <w:b/>
                <w:color w:val="000000" w:themeColor="text1"/>
                <w:w w:val="115"/>
              </w:rPr>
              <w:t xml:space="preserve"> </w:t>
            </w:r>
            <w:r w:rsidRPr="00BE6D3F">
              <w:rPr>
                <w:b/>
                <w:color w:val="000000" w:themeColor="text1"/>
                <w:sz w:val="20"/>
                <w:lang w:val="uk-UA"/>
              </w:rPr>
              <w:t>У людей</w:t>
            </w:r>
            <w:r w:rsidRPr="00BE6D3F">
              <w:rPr>
                <w:b/>
                <w:color w:val="000000" w:themeColor="text1"/>
                <w:sz w:val="20"/>
              </w:rPr>
              <w:t xml:space="preserve"> з бактеріологічно </w:t>
            </w:r>
            <w:proofErr w:type="spellStart"/>
            <w:r w:rsidRPr="00BE6D3F">
              <w:rPr>
                <w:b/>
                <w:color w:val="000000" w:themeColor="text1"/>
                <w:sz w:val="20"/>
              </w:rPr>
              <w:t>підтвердженим</w:t>
            </w:r>
            <w:proofErr w:type="spellEnd"/>
            <w:r w:rsidRPr="00BE6D3F">
              <w:rPr>
                <w:b/>
                <w:color w:val="000000" w:themeColor="text1"/>
                <w:sz w:val="20"/>
              </w:rPr>
              <w:t xml:space="preserve"> </w:t>
            </w:r>
            <w:proofErr w:type="spellStart"/>
            <w:r w:rsidRPr="00BE6D3F">
              <w:rPr>
                <w:b/>
                <w:color w:val="000000" w:themeColor="text1"/>
                <w:sz w:val="20"/>
              </w:rPr>
              <w:t>легеневим</w:t>
            </w:r>
            <w:proofErr w:type="spellEnd"/>
            <w:r w:rsidRPr="00BE6D3F">
              <w:rPr>
                <w:b/>
                <w:color w:val="000000" w:themeColor="text1"/>
                <w:sz w:val="20"/>
              </w:rPr>
              <w:t xml:space="preserve"> ТБ </w:t>
            </w:r>
            <w:proofErr w:type="spellStart"/>
            <w:r w:rsidRPr="00BE6D3F">
              <w:rPr>
                <w:b/>
                <w:color w:val="000000" w:themeColor="text1"/>
                <w:sz w:val="20"/>
              </w:rPr>
              <w:t>технології</w:t>
            </w:r>
            <w:proofErr w:type="spellEnd"/>
            <w:r w:rsidRPr="00BE6D3F">
              <w:rPr>
                <w:b/>
                <w:color w:val="000000" w:themeColor="text1"/>
                <w:sz w:val="20"/>
              </w:rPr>
              <w:t xml:space="preserve"> таргетного </w:t>
            </w:r>
            <w:r w:rsidRPr="003E33BC">
              <w:rPr>
                <w:b/>
                <w:color w:val="000000" w:themeColor="text1"/>
                <w:sz w:val="20"/>
              </w:rPr>
              <w:t xml:space="preserve">секвенування </w:t>
            </w:r>
            <w:proofErr w:type="spellStart"/>
            <w:r w:rsidRPr="003E33BC">
              <w:rPr>
                <w:b/>
                <w:color w:val="000000" w:themeColor="text1"/>
                <w:sz w:val="20"/>
              </w:rPr>
              <w:t>наступного</w:t>
            </w:r>
            <w:proofErr w:type="spellEnd"/>
            <w:r w:rsidRPr="003E33BC">
              <w:rPr>
                <w:b/>
                <w:color w:val="000000" w:themeColor="text1"/>
                <w:sz w:val="20"/>
              </w:rPr>
              <w:t xml:space="preserve"> </w:t>
            </w:r>
            <w:proofErr w:type="spellStart"/>
            <w:r w:rsidRPr="003E33BC">
              <w:rPr>
                <w:b/>
                <w:color w:val="000000" w:themeColor="text1"/>
                <w:sz w:val="20"/>
              </w:rPr>
              <w:t>покоління</w:t>
            </w:r>
            <w:proofErr w:type="spellEnd"/>
            <w:r w:rsidRPr="00BE6D3F">
              <w:rPr>
                <w:b/>
                <w:color w:val="000000" w:themeColor="text1"/>
                <w:sz w:val="20"/>
              </w:rPr>
              <w:t xml:space="preserve"> </w:t>
            </w:r>
            <w:proofErr w:type="spellStart"/>
            <w:r w:rsidRPr="00BE6D3F">
              <w:rPr>
                <w:b/>
                <w:color w:val="000000" w:themeColor="text1"/>
                <w:sz w:val="20"/>
              </w:rPr>
              <w:t>можуть</w:t>
            </w:r>
            <w:proofErr w:type="spellEnd"/>
            <w:r w:rsidRPr="00BE6D3F">
              <w:rPr>
                <w:b/>
                <w:color w:val="000000" w:themeColor="text1"/>
                <w:sz w:val="20"/>
              </w:rPr>
              <w:t xml:space="preserve"> </w:t>
            </w:r>
            <w:proofErr w:type="spellStart"/>
            <w:r w:rsidRPr="00BE6D3F">
              <w:rPr>
                <w:b/>
                <w:color w:val="000000" w:themeColor="text1"/>
                <w:sz w:val="20"/>
              </w:rPr>
              <w:t>використовуватися</w:t>
            </w:r>
            <w:proofErr w:type="spellEnd"/>
            <w:r w:rsidRPr="00BE6D3F">
              <w:rPr>
                <w:b/>
                <w:color w:val="000000" w:themeColor="text1"/>
                <w:sz w:val="20"/>
              </w:rPr>
              <w:t xml:space="preserve"> </w:t>
            </w:r>
            <w:proofErr w:type="spellStart"/>
            <w:r w:rsidRPr="00BE6D3F">
              <w:rPr>
                <w:b/>
                <w:color w:val="000000" w:themeColor="text1"/>
                <w:sz w:val="20"/>
              </w:rPr>
              <w:t>на</w:t>
            </w:r>
            <w:proofErr w:type="spellEnd"/>
            <w:r w:rsidRPr="00BE6D3F">
              <w:rPr>
                <w:b/>
                <w:color w:val="000000" w:themeColor="text1"/>
                <w:sz w:val="20"/>
              </w:rPr>
              <w:t xml:space="preserve"> </w:t>
            </w:r>
            <w:r>
              <w:rPr>
                <w:b/>
                <w:color w:val="000000" w:themeColor="text1"/>
                <w:sz w:val="20"/>
                <w:lang w:val="uk-UA"/>
              </w:rPr>
              <w:t xml:space="preserve">респіраторних </w:t>
            </w:r>
            <w:proofErr w:type="spellStart"/>
            <w:r w:rsidRPr="00BE6D3F">
              <w:rPr>
                <w:b/>
                <w:color w:val="000000" w:themeColor="text1"/>
                <w:sz w:val="20"/>
              </w:rPr>
              <w:t>зразках</w:t>
            </w:r>
            <w:proofErr w:type="spellEnd"/>
            <w:r>
              <w:rPr>
                <w:b/>
                <w:color w:val="000000" w:themeColor="text1"/>
                <w:sz w:val="20"/>
                <w:lang w:val="uk-UA"/>
              </w:rPr>
              <w:t xml:space="preserve"> </w:t>
            </w:r>
            <w:proofErr w:type="spellStart"/>
            <w:r w:rsidRPr="00BE6D3F">
              <w:rPr>
                <w:b/>
                <w:color w:val="000000" w:themeColor="text1"/>
                <w:sz w:val="20"/>
              </w:rPr>
              <w:t>для</w:t>
            </w:r>
            <w:proofErr w:type="spellEnd"/>
            <w:r w:rsidRPr="00BE6D3F">
              <w:rPr>
                <w:b/>
                <w:color w:val="000000" w:themeColor="text1"/>
                <w:sz w:val="20"/>
              </w:rPr>
              <w:t xml:space="preserve"> </w:t>
            </w:r>
            <w:proofErr w:type="spellStart"/>
            <w:r w:rsidRPr="00BE6D3F">
              <w:rPr>
                <w:b/>
                <w:color w:val="000000" w:themeColor="text1"/>
                <w:sz w:val="20"/>
              </w:rPr>
              <w:t>діагностики</w:t>
            </w:r>
            <w:proofErr w:type="spellEnd"/>
            <w:r w:rsidRPr="00BE6D3F">
              <w:rPr>
                <w:b/>
                <w:color w:val="000000" w:themeColor="text1"/>
                <w:sz w:val="20"/>
              </w:rPr>
              <w:t xml:space="preserve"> </w:t>
            </w:r>
            <w:r w:rsidRPr="00BE6D3F">
              <w:rPr>
                <w:b/>
                <w:color w:val="000000" w:themeColor="text1"/>
                <w:sz w:val="20"/>
                <w:lang w:val="uk-UA"/>
              </w:rPr>
              <w:t>стійкості</w:t>
            </w:r>
            <w:r w:rsidRPr="00BE6D3F">
              <w:rPr>
                <w:b/>
                <w:color w:val="000000" w:themeColor="text1"/>
                <w:sz w:val="20"/>
              </w:rPr>
              <w:t xml:space="preserve"> </w:t>
            </w:r>
            <w:proofErr w:type="spellStart"/>
            <w:r w:rsidRPr="00BE6D3F">
              <w:rPr>
                <w:b/>
                <w:color w:val="000000" w:themeColor="text1"/>
                <w:sz w:val="20"/>
              </w:rPr>
              <w:t>до</w:t>
            </w:r>
            <w:proofErr w:type="spellEnd"/>
            <w:r w:rsidRPr="00BE6D3F">
              <w:rPr>
                <w:b/>
                <w:color w:val="000000" w:themeColor="text1"/>
                <w:sz w:val="20"/>
              </w:rPr>
              <w:t xml:space="preserve"> рифампіцину, ізоніазиду, фторхінолонів, піразинаміду та етамбутолу </w:t>
            </w:r>
            <w:proofErr w:type="spellStart"/>
            <w:r w:rsidRPr="00BE6D3F">
              <w:rPr>
                <w:b/>
                <w:color w:val="000000" w:themeColor="text1"/>
                <w:sz w:val="20"/>
              </w:rPr>
              <w:t>замість</w:t>
            </w:r>
            <w:proofErr w:type="spellEnd"/>
            <w:r w:rsidRPr="00BE6D3F">
              <w:rPr>
                <w:b/>
                <w:color w:val="000000" w:themeColor="text1"/>
                <w:sz w:val="20"/>
              </w:rPr>
              <w:t xml:space="preserve"> </w:t>
            </w:r>
            <w:proofErr w:type="spellStart"/>
            <w:r w:rsidRPr="00BE6D3F">
              <w:rPr>
                <w:b/>
                <w:color w:val="000000" w:themeColor="text1"/>
                <w:sz w:val="20"/>
              </w:rPr>
              <w:t>фенотип</w:t>
            </w:r>
            <w:r>
              <w:rPr>
                <w:b/>
                <w:color w:val="000000" w:themeColor="text1"/>
                <w:sz w:val="20"/>
                <w:lang w:val="uk-UA"/>
              </w:rPr>
              <w:t>ового</w:t>
            </w:r>
            <w:proofErr w:type="spellEnd"/>
            <w:r w:rsidRPr="00BE6D3F">
              <w:rPr>
                <w:b/>
                <w:color w:val="000000" w:themeColor="text1"/>
                <w:sz w:val="20"/>
              </w:rPr>
              <w:t xml:space="preserve"> </w:t>
            </w:r>
            <w:proofErr w:type="spellStart"/>
            <w:r w:rsidRPr="00BE6D3F">
              <w:rPr>
                <w:b/>
                <w:color w:val="000000" w:themeColor="text1"/>
                <w:sz w:val="20"/>
              </w:rPr>
              <w:t>тестування</w:t>
            </w:r>
            <w:proofErr w:type="spellEnd"/>
            <w:r w:rsidRPr="00BE6D3F">
              <w:rPr>
                <w:b/>
                <w:color w:val="000000" w:themeColor="text1"/>
                <w:sz w:val="20"/>
              </w:rPr>
              <w:t xml:space="preserve"> </w:t>
            </w:r>
            <w:r w:rsidRPr="00BE6D3F">
              <w:rPr>
                <w:b/>
                <w:color w:val="000000" w:themeColor="text1"/>
                <w:sz w:val="20"/>
                <w:lang w:val="uk-UA"/>
              </w:rPr>
              <w:t xml:space="preserve">на медикаментозну </w:t>
            </w:r>
            <w:proofErr w:type="spellStart"/>
            <w:r w:rsidRPr="00BE6D3F">
              <w:rPr>
                <w:b/>
                <w:color w:val="000000" w:themeColor="text1"/>
                <w:sz w:val="20"/>
              </w:rPr>
              <w:t>чутливості</w:t>
            </w:r>
            <w:proofErr w:type="spellEnd"/>
            <w:r w:rsidRPr="00BE6D3F">
              <w:rPr>
                <w:b/>
                <w:color w:val="000000" w:themeColor="text1"/>
                <w:sz w:val="20"/>
                <w:lang w:val="uk-UA"/>
              </w:rPr>
              <w:t>ь на основі культуральних методів.</w:t>
            </w:r>
          </w:p>
          <w:p w14:paraId="6C45A89E" w14:textId="77777777" w:rsidR="00291E90" w:rsidRPr="00EC30A9" w:rsidRDefault="00291E90" w:rsidP="00291E90">
            <w:pPr>
              <w:pStyle w:val="TableParagraph"/>
              <w:spacing w:before="62" w:line="266" w:lineRule="auto"/>
              <w:ind w:left="680" w:right="131"/>
              <w:jc w:val="both"/>
              <w:rPr>
                <w:i/>
                <w:color w:val="000000" w:themeColor="text1"/>
              </w:rPr>
            </w:pPr>
            <w:r w:rsidRPr="00BE6D3F">
              <w:rPr>
                <w:i/>
                <w:color w:val="000000" w:themeColor="text1"/>
                <w:sz w:val="20"/>
              </w:rPr>
              <w:t>(</w:t>
            </w:r>
            <w:proofErr w:type="spellStart"/>
            <w:r w:rsidRPr="00BE6D3F">
              <w:rPr>
                <w:i/>
                <w:color w:val="000000" w:themeColor="text1"/>
                <w:sz w:val="20"/>
              </w:rPr>
              <w:t>Умовна</w:t>
            </w:r>
            <w:proofErr w:type="spellEnd"/>
            <w:r w:rsidRPr="00BE6D3F">
              <w:rPr>
                <w:i/>
                <w:color w:val="000000" w:themeColor="text1"/>
                <w:sz w:val="20"/>
              </w:rPr>
              <w:t xml:space="preserve"> </w:t>
            </w:r>
            <w:proofErr w:type="spellStart"/>
            <w:r w:rsidRPr="00BE6D3F">
              <w:rPr>
                <w:i/>
                <w:color w:val="000000" w:themeColor="text1"/>
                <w:sz w:val="20"/>
              </w:rPr>
              <w:t>рекомендація</w:t>
            </w:r>
            <w:proofErr w:type="spellEnd"/>
            <w:r w:rsidRPr="00BE6D3F">
              <w:rPr>
                <w:i/>
                <w:color w:val="000000" w:themeColor="text1"/>
                <w:sz w:val="20"/>
              </w:rPr>
              <w:t xml:space="preserve">, </w:t>
            </w:r>
            <w:proofErr w:type="spellStart"/>
            <w:r w:rsidRPr="00BE6D3F">
              <w:rPr>
                <w:i/>
                <w:color w:val="000000" w:themeColor="text1"/>
                <w:sz w:val="20"/>
              </w:rPr>
              <w:t>достовірність</w:t>
            </w:r>
            <w:proofErr w:type="spellEnd"/>
            <w:r w:rsidRPr="00BE6D3F">
              <w:rPr>
                <w:i/>
                <w:color w:val="000000" w:themeColor="text1"/>
                <w:sz w:val="20"/>
              </w:rPr>
              <w:t xml:space="preserve"> </w:t>
            </w:r>
            <w:proofErr w:type="spellStart"/>
            <w:r w:rsidRPr="00BE6D3F">
              <w:rPr>
                <w:i/>
                <w:color w:val="000000" w:themeColor="text1"/>
                <w:sz w:val="20"/>
              </w:rPr>
              <w:t>доказів</w:t>
            </w:r>
            <w:proofErr w:type="spellEnd"/>
            <w:r w:rsidRPr="00BE6D3F">
              <w:rPr>
                <w:i/>
                <w:color w:val="000000" w:themeColor="text1"/>
                <w:sz w:val="20"/>
              </w:rPr>
              <w:t xml:space="preserve"> </w:t>
            </w:r>
            <w:r>
              <w:rPr>
                <w:i/>
                <w:color w:val="000000" w:themeColor="text1"/>
                <w:sz w:val="20"/>
                <w:lang w:val="uk-UA"/>
              </w:rPr>
              <w:t>середня</w:t>
            </w:r>
            <w:r w:rsidRPr="00BE6D3F">
              <w:rPr>
                <w:i/>
                <w:color w:val="000000" w:themeColor="text1"/>
                <w:sz w:val="20"/>
              </w:rPr>
              <w:t xml:space="preserve"> [ізоніазид та піразинамід], </w:t>
            </w:r>
            <w:proofErr w:type="spellStart"/>
            <w:r w:rsidRPr="00BE6D3F">
              <w:rPr>
                <w:i/>
                <w:color w:val="000000" w:themeColor="text1"/>
                <w:sz w:val="20"/>
              </w:rPr>
              <w:t>низька</w:t>
            </w:r>
            <w:proofErr w:type="spellEnd"/>
            <w:r w:rsidRPr="00BE6D3F">
              <w:rPr>
                <w:i/>
                <w:color w:val="000000" w:themeColor="text1"/>
                <w:sz w:val="20"/>
              </w:rPr>
              <w:t xml:space="preserve"> [рифампіцин, фторхінолони та етамбутол])</w:t>
            </w:r>
          </w:p>
        </w:tc>
      </w:tr>
    </w:tbl>
    <w:p w14:paraId="2F177B20" w14:textId="77777777" w:rsidR="00291E90" w:rsidRPr="00EC30A9" w:rsidRDefault="00291E90" w:rsidP="00291E90">
      <w:pPr>
        <w:pStyle w:val="6"/>
        <w:spacing w:before="206"/>
        <w:ind w:right="2"/>
        <w:jc w:val="both"/>
        <w:rPr>
          <w:rFonts w:ascii="Microsoft Sans Serif" w:hAnsi="Microsoft Sans Serif" w:cs="Microsoft Sans Serif"/>
          <w:color w:val="000000" w:themeColor="text1"/>
          <w:lang w:val="uk-UA"/>
        </w:rPr>
      </w:pPr>
      <w:r w:rsidRPr="00EC30A9">
        <w:rPr>
          <w:rFonts w:ascii="Microsoft Sans Serif" w:hAnsi="Microsoft Sans Serif" w:cs="Microsoft Sans Serif"/>
          <w:color w:val="000000" w:themeColor="text1"/>
          <w:w w:val="115"/>
          <w:lang w:val="uk-UA"/>
        </w:rPr>
        <w:t>Примітки</w:t>
      </w:r>
    </w:p>
    <w:p w14:paraId="32DB59EF" w14:textId="77777777" w:rsidR="00291E90" w:rsidRPr="006B6651" w:rsidRDefault="00291E90" w:rsidP="004A2937">
      <w:pPr>
        <w:pStyle w:val="a4"/>
        <w:numPr>
          <w:ilvl w:val="0"/>
          <w:numId w:val="45"/>
        </w:numPr>
        <w:tabs>
          <w:tab w:val="left" w:pos="1701"/>
        </w:tabs>
        <w:spacing w:before="206" w:line="276" w:lineRule="auto"/>
        <w:ind w:right="2"/>
        <w:rPr>
          <w:color w:val="000000" w:themeColor="text1"/>
          <w:sz w:val="20"/>
          <w:lang w:val="ru-RU"/>
        </w:rPr>
      </w:pPr>
      <w:proofErr w:type="spellStart"/>
      <w:r w:rsidRPr="006B6651">
        <w:rPr>
          <w:color w:val="000000" w:themeColor="text1"/>
          <w:w w:val="110"/>
          <w:sz w:val="20"/>
          <w:lang w:val="ru-RU"/>
        </w:rPr>
        <w:t>Пріоритет</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слід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надавати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хто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має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вищий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ризик</w:t>
      </w:r>
      <w:proofErr w:type="spellEnd"/>
      <w:r w:rsidRPr="006B6651">
        <w:rPr>
          <w:color w:val="000000" w:themeColor="text1"/>
          <w:w w:val="110"/>
          <w:sz w:val="20"/>
          <w:lang w:val="ru-RU"/>
        </w:rPr>
        <w:t xml:space="preserve"> </w:t>
      </w:r>
      <w:r w:rsidRPr="00BE6D3F">
        <w:rPr>
          <w:color w:val="000000" w:themeColor="text1"/>
          <w:w w:val="110"/>
          <w:sz w:val="20"/>
          <w:lang w:val="uk-UA"/>
        </w:rPr>
        <w:t>стійкості</w:t>
      </w:r>
      <w:r w:rsidRPr="006B6651">
        <w:rPr>
          <w:color w:val="000000" w:themeColor="text1"/>
          <w:w w:val="110"/>
          <w:sz w:val="20"/>
          <w:lang w:val="ru-RU"/>
        </w:rPr>
        <w:t xml:space="preserve"> до </w:t>
      </w:r>
      <w:proofErr w:type="spellStart"/>
      <w:r w:rsidRPr="006B6651">
        <w:rPr>
          <w:color w:val="000000" w:themeColor="text1"/>
          <w:w w:val="110"/>
          <w:sz w:val="20"/>
          <w:lang w:val="ru-RU"/>
        </w:rPr>
        <w:t>препаратів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першого</w:t>
      </w:r>
      <w:proofErr w:type="spellEnd"/>
      <w:r w:rsidRPr="006B6651">
        <w:rPr>
          <w:color w:val="000000" w:themeColor="text1"/>
          <w:w w:val="110"/>
          <w:sz w:val="20"/>
          <w:lang w:val="ru-RU"/>
        </w:rPr>
        <w:t xml:space="preserve"> ряду лікування, </w:t>
      </w:r>
      <w:proofErr w:type="spellStart"/>
      <w:r w:rsidRPr="006B6651">
        <w:rPr>
          <w:color w:val="000000" w:themeColor="text1"/>
          <w:w w:val="110"/>
          <w:sz w:val="20"/>
          <w:lang w:val="ru-RU"/>
        </w:rPr>
        <w:t>зокрема</w:t>
      </w:r>
      <w:proofErr w:type="spellEnd"/>
      <w:r w:rsidRPr="006B6651">
        <w:rPr>
          <w:color w:val="000000" w:themeColor="text1"/>
          <w:w w:val="110"/>
          <w:sz w:val="20"/>
          <w:lang w:val="ru-RU"/>
        </w:rPr>
        <w:t xml:space="preserve"> особам, </w:t>
      </w:r>
      <w:proofErr w:type="spellStart"/>
      <w:r w:rsidRPr="006B6651">
        <w:rPr>
          <w:color w:val="000000" w:themeColor="text1"/>
          <w:w w:val="110"/>
          <w:sz w:val="20"/>
          <w:lang w:val="ru-RU"/>
        </w:rPr>
        <w:t>які</w:t>
      </w:r>
      <w:proofErr w:type="spellEnd"/>
      <w:r w:rsidRPr="006B6651">
        <w:rPr>
          <w:color w:val="000000" w:themeColor="text1"/>
          <w:w w:val="110"/>
          <w:sz w:val="20"/>
          <w:lang w:val="ru-RU"/>
        </w:rPr>
        <w:t>:</w:t>
      </w:r>
    </w:p>
    <w:p w14:paraId="24160177" w14:textId="77777777" w:rsidR="00291E90" w:rsidRPr="006B6651" w:rsidRDefault="00291E90" w:rsidP="004A2937">
      <w:pPr>
        <w:pStyle w:val="a4"/>
        <w:numPr>
          <w:ilvl w:val="1"/>
          <w:numId w:val="45"/>
        </w:numPr>
        <w:tabs>
          <w:tab w:val="left" w:pos="2077"/>
          <w:tab w:val="left" w:pos="2078"/>
        </w:tabs>
        <w:spacing w:before="2" w:line="276" w:lineRule="auto"/>
        <w:ind w:right="2"/>
        <w:rPr>
          <w:color w:val="000000" w:themeColor="text1"/>
          <w:sz w:val="20"/>
          <w:lang w:val="ru-RU"/>
        </w:rPr>
      </w:pPr>
      <w:bookmarkStart w:id="85" w:name="_Hlk197964940"/>
      <w:r w:rsidRPr="00BE6D3F">
        <w:rPr>
          <w:color w:val="000000" w:themeColor="text1"/>
          <w:w w:val="110"/>
          <w:sz w:val="20"/>
          <w:lang w:val="uk-UA"/>
        </w:rPr>
        <w:t>мають</w:t>
      </w:r>
      <w:r w:rsidRPr="006B6651">
        <w:rPr>
          <w:color w:val="000000" w:themeColor="text1"/>
          <w:w w:val="110"/>
          <w:sz w:val="20"/>
          <w:lang w:val="ru-RU"/>
        </w:rPr>
        <w:t xml:space="preserve"> </w:t>
      </w:r>
      <w:proofErr w:type="spellStart"/>
      <w:r w:rsidRPr="006B6651">
        <w:rPr>
          <w:color w:val="000000" w:themeColor="text1"/>
          <w:w w:val="110"/>
          <w:sz w:val="20"/>
          <w:lang w:val="ru-RU"/>
        </w:rPr>
        <w:t>позитивний</w:t>
      </w:r>
      <w:proofErr w:type="spellEnd"/>
      <w:r w:rsidRPr="006B6651">
        <w:rPr>
          <w:color w:val="000000" w:themeColor="text1"/>
          <w:w w:val="110"/>
          <w:sz w:val="20"/>
          <w:lang w:val="ru-RU"/>
        </w:rPr>
        <w:t xml:space="preserve"> результат мазка або </w:t>
      </w:r>
      <w:proofErr w:type="spellStart"/>
      <w:r w:rsidRPr="006B6651">
        <w:rPr>
          <w:color w:val="000000" w:themeColor="text1"/>
          <w:w w:val="110"/>
          <w:sz w:val="20"/>
          <w:lang w:val="ru-RU"/>
        </w:rPr>
        <w:t>посіву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після</w:t>
      </w:r>
      <w:proofErr w:type="spellEnd"/>
      <w:r w:rsidRPr="006B6651">
        <w:rPr>
          <w:color w:val="000000" w:themeColor="text1"/>
          <w:w w:val="110"/>
          <w:sz w:val="20"/>
          <w:lang w:val="ru-RU"/>
        </w:rPr>
        <w:t xml:space="preserve"> 2 або </w:t>
      </w:r>
      <w:proofErr w:type="spellStart"/>
      <w:r w:rsidRPr="006B6651">
        <w:rPr>
          <w:color w:val="000000" w:themeColor="text1"/>
          <w:w w:val="110"/>
          <w:sz w:val="20"/>
          <w:lang w:val="ru-RU"/>
        </w:rPr>
        <w:t>більше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місяців</w:t>
      </w:r>
      <w:proofErr w:type="spellEnd"/>
      <w:r w:rsidRPr="006B6651">
        <w:rPr>
          <w:color w:val="000000" w:themeColor="text1"/>
          <w:w w:val="110"/>
          <w:sz w:val="20"/>
          <w:lang w:val="ru-RU"/>
        </w:rPr>
        <w:t xml:space="preserve"> лікування, або </w:t>
      </w:r>
      <w:r w:rsidRPr="00BE6D3F">
        <w:rPr>
          <w:color w:val="000000" w:themeColor="text1"/>
          <w:w w:val="110"/>
          <w:sz w:val="20"/>
          <w:lang w:val="uk-UA"/>
        </w:rPr>
        <w:t>для</w:t>
      </w:r>
      <w:r w:rsidRPr="006B6651">
        <w:rPr>
          <w:color w:val="000000" w:themeColor="text1"/>
          <w:w w:val="110"/>
          <w:sz w:val="20"/>
          <w:lang w:val="ru-RU"/>
        </w:rPr>
        <w:t xml:space="preserve"> </w:t>
      </w:r>
      <w:proofErr w:type="spellStart"/>
      <w:r w:rsidRPr="006B6651">
        <w:rPr>
          <w:color w:val="000000" w:themeColor="text1"/>
          <w:w w:val="110"/>
          <w:sz w:val="20"/>
          <w:lang w:val="ru-RU"/>
        </w:rPr>
        <w:t>яких</w:t>
      </w:r>
      <w:proofErr w:type="spellEnd"/>
      <w:r w:rsidRPr="006B6651">
        <w:rPr>
          <w:color w:val="000000" w:themeColor="text1"/>
          <w:w w:val="110"/>
          <w:sz w:val="20"/>
          <w:lang w:val="ru-RU"/>
        </w:rPr>
        <w:t xml:space="preserve"> лікування </w:t>
      </w:r>
      <w:r w:rsidRPr="00BE6D3F">
        <w:rPr>
          <w:color w:val="000000" w:themeColor="text1"/>
          <w:w w:val="110"/>
          <w:sz w:val="20"/>
          <w:lang w:val="uk-UA"/>
        </w:rPr>
        <w:t>виявляється неефективним</w:t>
      </w:r>
      <w:r w:rsidRPr="006B6651">
        <w:rPr>
          <w:color w:val="000000" w:themeColor="text1"/>
          <w:w w:val="110"/>
          <w:sz w:val="20"/>
          <w:lang w:val="ru-RU"/>
        </w:rPr>
        <w:t>;</w:t>
      </w:r>
    </w:p>
    <w:bookmarkEnd w:id="85"/>
    <w:p w14:paraId="7B42EB53" w14:textId="77777777" w:rsidR="00291E90" w:rsidRDefault="00291E90" w:rsidP="004A2937">
      <w:pPr>
        <w:pStyle w:val="a4"/>
        <w:numPr>
          <w:ilvl w:val="1"/>
          <w:numId w:val="45"/>
        </w:numPr>
        <w:tabs>
          <w:tab w:val="left" w:pos="2077"/>
          <w:tab w:val="left" w:pos="2078"/>
        </w:tabs>
        <w:spacing w:before="3"/>
        <w:ind w:right="2" w:hanging="321"/>
        <w:rPr>
          <w:color w:val="000000" w:themeColor="text1"/>
          <w:w w:val="110"/>
          <w:sz w:val="20"/>
        </w:rPr>
      </w:pPr>
      <w:proofErr w:type="spellStart"/>
      <w:r w:rsidRPr="00BE6D3F">
        <w:rPr>
          <w:color w:val="000000" w:themeColor="text1"/>
          <w:w w:val="110"/>
          <w:sz w:val="20"/>
        </w:rPr>
        <w:t>раніше</w:t>
      </w:r>
      <w:proofErr w:type="spellEnd"/>
      <w:r w:rsidRPr="00BE6D3F">
        <w:rPr>
          <w:color w:val="000000" w:themeColor="text1"/>
          <w:w w:val="110"/>
          <w:sz w:val="20"/>
        </w:rPr>
        <w:t xml:space="preserve"> </w:t>
      </w:r>
      <w:r w:rsidRPr="00BE6D3F">
        <w:rPr>
          <w:color w:val="000000" w:themeColor="text1"/>
          <w:w w:val="110"/>
          <w:sz w:val="20"/>
          <w:lang w:val="uk-UA"/>
        </w:rPr>
        <w:t>лікувалися від</w:t>
      </w:r>
      <w:r w:rsidRPr="00BE6D3F">
        <w:rPr>
          <w:color w:val="000000" w:themeColor="text1"/>
          <w:w w:val="110"/>
          <w:sz w:val="20"/>
        </w:rPr>
        <w:t xml:space="preserve"> ТБ;</w:t>
      </w:r>
    </w:p>
    <w:p w14:paraId="514AB8BA" w14:textId="77777777" w:rsidR="00291E90" w:rsidRPr="00B32633" w:rsidRDefault="00291E90" w:rsidP="00291E90">
      <w:pPr>
        <w:widowControl/>
        <w:autoSpaceDE/>
        <w:autoSpaceDN/>
        <w:spacing w:after="160" w:line="259" w:lineRule="auto"/>
        <w:ind w:right="2"/>
        <w:jc w:val="both"/>
        <w:rPr>
          <w:color w:val="000000" w:themeColor="text1"/>
          <w:w w:val="110"/>
          <w:sz w:val="20"/>
        </w:rPr>
      </w:pPr>
      <w:r>
        <w:rPr>
          <w:color w:val="000000" w:themeColor="text1"/>
          <w:w w:val="110"/>
          <w:sz w:val="20"/>
        </w:rPr>
        <w:br w:type="page"/>
      </w:r>
    </w:p>
    <w:p w14:paraId="3A9D8EDD" w14:textId="77777777" w:rsidR="00291E90" w:rsidRPr="00B32633" w:rsidRDefault="00291E90" w:rsidP="00291E90">
      <w:pPr>
        <w:tabs>
          <w:tab w:val="left" w:pos="2077"/>
          <w:tab w:val="left" w:pos="2078"/>
        </w:tabs>
        <w:spacing w:before="3"/>
        <w:ind w:right="2"/>
        <w:jc w:val="both"/>
        <w:rPr>
          <w:color w:val="000000" w:themeColor="text1"/>
          <w:sz w:val="20"/>
        </w:rPr>
      </w:pPr>
    </w:p>
    <w:p w14:paraId="497E7F37" w14:textId="77777777" w:rsidR="00291E90" w:rsidRPr="006B6651" w:rsidRDefault="00291E90" w:rsidP="004A2937">
      <w:pPr>
        <w:pStyle w:val="a4"/>
        <w:numPr>
          <w:ilvl w:val="1"/>
          <w:numId w:val="45"/>
        </w:numPr>
        <w:tabs>
          <w:tab w:val="left" w:pos="2078"/>
        </w:tabs>
        <w:spacing w:before="41" w:line="276" w:lineRule="auto"/>
        <w:ind w:right="2"/>
        <w:rPr>
          <w:color w:val="000000" w:themeColor="text1"/>
          <w:sz w:val="20"/>
          <w:lang w:val="ru-RU"/>
        </w:rPr>
      </w:pPr>
      <w:proofErr w:type="spellStart"/>
      <w:r w:rsidRPr="006B6651">
        <w:rPr>
          <w:color w:val="000000" w:themeColor="text1"/>
          <w:sz w:val="20"/>
          <w:lang w:val="ru-RU"/>
        </w:rPr>
        <w:t>перебувають</w:t>
      </w:r>
      <w:proofErr w:type="spellEnd"/>
      <w:r w:rsidRPr="006B6651">
        <w:rPr>
          <w:color w:val="000000" w:themeColor="text1"/>
          <w:sz w:val="20"/>
          <w:lang w:val="ru-RU"/>
        </w:rPr>
        <w:t xml:space="preserve"> у </w:t>
      </w:r>
      <w:proofErr w:type="spellStart"/>
      <w:r w:rsidRPr="006B6651">
        <w:rPr>
          <w:color w:val="000000" w:themeColor="text1"/>
          <w:sz w:val="20"/>
          <w:lang w:val="ru-RU"/>
        </w:rPr>
        <w:t>контакті</w:t>
      </w:r>
      <w:proofErr w:type="spellEnd"/>
      <w:r w:rsidRPr="006B6651">
        <w:rPr>
          <w:color w:val="000000" w:themeColor="text1"/>
          <w:sz w:val="20"/>
          <w:lang w:val="ru-RU"/>
        </w:rPr>
        <w:t xml:space="preserve"> з особою, про яку </w:t>
      </w:r>
      <w:proofErr w:type="spellStart"/>
      <w:r w:rsidRPr="006B6651">
        <w:rPr>
          <w:color w:val="000000" w:themeColor="text1"/>
          <w:sz w:val="20"/>
          <w:lang w:val="ru-RU"/>
        </w:rPr>
        <w:t>відомо</w:t>
      </w:r>
      <w:proofErr w:type="spellEnd"/>
      <w:r w:rsidRPr="006B6651">
        <w:rPr>
          <w:color w:val="000000" w:themeColor="text1"/>
          <w:sz w:val="20"/>
          <w:lang w:val="ru-RU"/>
        </w:rPr>
        <w:t xml:space="preserve">, </w:t>
      </w:r>
      <w:proofErr w:type="spellStart"/>
      <w:r w:rsidRPr="006B6651">
        <w:rPr>
          <w:color w:val="000000" w:themeColor="text1"/>
          <w:sz w:val="20"/>
          <w:lang w:val="ru-RU"/>
        </w:rPr>
        <w:t>що</w:t>
      </w:r>
      <w:proofErr w:type="spellEnd"/>
      <w:r w:rsidRPr="006B6651">
        <w:rPr>
          <w:color w:val="000000" w:themeColor="text1"/>
          <w:sz w:val="20"/>
          <w:lang w:val="ru-RU"/>
        </w:rPr>
        <w:t xml:space="preserve"> вона </w:t>
      </w:r>
      <w:proofErr w:type="spellStart"/>
      <w:r w:rsidRPr="006B6651">
        <w:rPr>
          <w:color w:val="000000" w:themeColor="text1"/>
          <w:sz w:val="20"/>
          <w:lang w:val="ru-RU"/>
        </w:rPr>
        <w:t>має</w:t>
      </w:r>
      <w:proofErr w:type="spellEnd"/>
      <w:r w:rsidRPr="006B6651">
        <w:rPr>
          <w:color w:val="000000" w:themeColor="text1"/>
          <w:sz w:val="20"/>
          <w:lang w:val="ru-RU"/>
        </w:rPr>
        <w:t xml:space="preserve"> </w:t>
      </w:r>
      <w:r w:rsidRPr="00BE6D3F">
        <w:rPr>
          <w:color w:val="000000" w:themeColor="text1"/>
          <w:sz w:val="20"/>
          <w:lang w:val="uk-UA"/>
        </w:rPr>
        <w:t>стійкість</w:t>
      </w:r>
      <w:r w:rsidRPr="006B6651">
        <w:rPr>
          <w:color w:val="000000" w:themeColor="text1"/>
          <w:sz w:val="20"/>
          <w:lang w:val="ru-RU"/>
        </w:rPr>
        <w:t xml:space="preserve"> до </w:t>
      </w:r>
      <w:proofErr w:type="spellStart"/>
      <w:r w:rsidRPr="006B6651">
        <w:rPr>
          <w:color w:val="000000" w:themeColor="text1"/>
          <w:sz w:val="20"/>
          <w:lang w:val="ru-RU"/>
        </w:rPr>
        <w:t>протитуберкульозних</w:t>
      </w:r>
      <w:proofErr w:type="spellEnd"/>
      <w:r w:rsidRPr="006B6651">
        <w:rPr>
          <w:color w:val="000000" w:themeColor="text1"/>
          <w:sz w:val="20"/>
          <w:lang w:val="ru-RU"/>
        </w:rPr>
        <w:t xml:space="preserve"> </w:t>
      </w:r>
      <w:proofErr w:type="spellStart"/>
      <w:r w:rsidRPr="006B6651">
        <w:rPr>
          <w:color w:val="000000" w:themeColor="text1"/>
          <w:sz w:val="20"/>
          <w:lang w:val="ru-RU"/>
        </w:rPr>
        <w:t>препаратів</w:t>
      </w:r>
      <w:proofErr w:type="spellEnd"/>
      <w:r w:rsidRPr="006B6651">
        <w:rPr>
          <w:color w:val="000000" w:themeColor="text1"/>
          <w:sz w:val="20"/>
          <w:lang w:val="ru-RU"/>
        </w:rPr>
        <w:t>; або</w:t>
      </w:r>
    </w:p>
    <w:p w14:paraId="14E32D09" w14:textId="77777777" w:rsidR="00291E90" w:rsidRPr="006B6651" w:rsidRDefault="00291E90" w:rsidP="004A2937">
      <w:pPr>
        <w:pStyle w:val="a4"/>
        <w:numPr>
          <w:ilvl w:val="1"/>
          <w:numId w:val="45"/>
        </w:numPr>
        <w:tabs>
          <w:tab w:val="left" w:pos="2078"/>
        </w:tabs>
        <w:spacing w:before="41" w:line="276" w:lineRule="auto"/>
        <w:ind w:right="2"/>
        <w:rPr>
          <w:color w:val="000000" w:themeColor="text1"/>
          <w:sz w:val="20"/>
          <w:lang w:val="ru-RU"/>
        </w:rPr>
      </w:pPr>
      <w:proofErr w:type="spellStart"/>
      <w:r w:rsidRPr="006B6651">
        <w:rPr>
          <w:color w:val="000000" w:themeColor="text1"/>
          <w:w w:val="110"/>
          <w:sz w:val="20"/>
          <w:lang w:val="ru-RU"/>
        </w:rPr>
        <w:t>проживають</w:t>
      </w:r>
      <w:proofErr w:type="spellEnd"/>
      <w:r w:rsidRPr="006B6651">
        <w:rPr>
          <w:color w:val="000000" w:themeColor="text1"/>
          <w:w w:val="110"/>
          <w:sz w:val="20"/>
          <w:lang w:val="ru-RU"/>
        </w:rPr>
        <w:t xml:space="preserve"> </w:t>
      </w:r>
      <w:r w:rsidRPr="00BE6D3F">
        <w:rPr>
          <w:color w:val="000000" w:themeColor="text1"/>
          <w:w w:val="110"/>
          <w:sz w:val="20"/>
          <w:lang w:val="uk-UA"/>
        </w:rPr>
        <w:t>в умовах</w:t>
      </w:r>
      <w:r w:rsidRPr="006B6651">
        <w:rPr>
          <w:color w:val="000000" w:themeColor="text1"/>
          <w:w w:val="110"/>
          <w:sz w:val="20"/>
          <w:lang w:val="ru-RU"/>
        </w:rPr>
        <w:t xml:space="preserve"> або належать до </w:t>
      </w:r>
      <w:proofErr w:type="spellStart"/>
      <w:r w:rsidRPr="006B6651">
        <w:rPr>
          <w:color w:val="000000" w:themeColor="text1"/>
          <w:w w:val="110"/>
          <w:sz w:val="20"/>
          <w:lang w:val="ru-RU"/>
        </w:rPr>
        <w:t>підгруп</w:t>
      </w:r>
      <w:proofErr w:type="spellEnd"/>
      <w:r w:rsidRPr="006B6651">
        <w:rPr>
          <w:color w:val="000000" w:themeColor="text1"/>
          <w:w w:val="110"/>
          <w:sz w:val="20"/>
          <w:lang w:val="ru-RU"/>
        </w:rPr>
        <w:t xml:space="preserve">, де </w:t>
      </w:r>
      <w:proofErr w:type="spellStart"/>
      <w:r w:rsidRPr="006B6651">
        <w:rPr>
          <w:color w:val="000000" w:themeColor="text1"/>
          <w:w w:val="110"/>
          <w:sz w:val="20"/>
          <w:lang w:val="ru-RU"/>
        </w:rPr>
        <w:t>існує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висока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ймовірність</w:t>
      </w:r>
      <w:proofErr w:type="spellEnd"/>
      <w:r w:rsidRPr="006B6651">
        <w:rPr>
          <w:color w:val="000000" w:themeColor="text1"/>
          <w:w w:val="110"/>
          <w:sz w:val="20"/>
          <w:lang w:val="ru-RU"/>
        </w:rPr>
        <w:t xml:space="preserve"> </w:t>
      </w:r>
      <w:r w:rsidRPr="00BE6D3F">
        <w:rPr>
          <w:color w:val="000000" w:themeColor="text1"/>
          <w:w w:val="110"/>
          <w:sz w:val="20"/>
          <w:lang w:val="uk-UA"/>
        </w:rPr>
        <w:t>стійкості</w:t>
      </w:r>
      <w:r w:rsidRPr="006B6651">
        <w:rPr>
          <w:color w:val="000000" w:themeColor="text1"/>
          <w:w w:val="110"/>
          <w:sz w:val="20"/>
          <w:lang w:val="ru-RU"/>
        </w:rPr>
        <w:t xml:space="preserve"> до рифампіцину, ізоніазиду або фторхінолону (</w:t>
      </w:r>
      <w:proofErr w:type="spellStart"/>
      <w:r w:rsidRPr="006B6651">
        <w:rPr>
          <w:color w:val="000000" w:themeColor="text1"/>
          <w:w w:val="110"/>
          <w:sz w:val="20"/>
          <w:lang w:val="ru-RU"/>
        </w:rPr>
        <w:t>препаратів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використовуються</w:t>
      </w:r>
      <w:proofErr w:type="spellEnd"/>
      <w:r w:rsidRPr="006B6651">
        <w:rPr>
          <w:color w:val="000000" w:themeColor="text1"/>
          <w:w w:val="110"/>
          <w:sz w:val="20"/>
          <w:lang w:val="ru-RU"/>
        </w:rPr>
        <w:t xml:space="preserve"> в </w:t>
      </w:r>
      <w:proofErr w:type="spellStart"/>
      <w:r w:rsidRPr="006B6651">
        <w:rPr>
          <w:color w:val="000000" w:themeColor="text1"/>
          <w:w w:val="110"/>
          <w:sz w:val="20"/>
          <w:lang w:val="ru-RU"/>
        </w:rPr>
        <w:t>нових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коротших</w:t>
      </w:r>
      <w:proofErr w:type="spellEnd"/>
      <w:r w:rsidRPr="006B6651">
        <w:rPr>
          <w:color w:val="000000" w:themeColor="text1"/>
          <w:w w:val="110"/>
          <w:sz w:val="20"/>
          <w:lang w:val="ru-RU"/>
        </w:rPr>
        <w:t xml:space="preserve"> схемах лікування), або де </w:t>
      </w:r>
      <w:proofErr w:type="spellStart"/>
      <w:r w:rsidRPr="006B6651">
        <w:rPr>
          <w:color w:val="000000" w:themeColor="text1"/>
          <w:w w:val="110"/>
          <w:sz w:val="20"/>
          <w:lang w:val="ru-RU"/>
        </w:rPr>
        <w:t>спостерігається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висока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поширеність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штамів</w:t>
      </w:r>
      <w:proofErr w:type="spellEnd"/>
      <w:r w:rsidRPr="006B6651">
        <w:rPr>
          <w:color w:val="000000" w:themeColor="text1"/>
          <w:w w:val="110"/>
          <w:sz w:val="20"/>
          <w:lang w:val="ru-RU"/>
        </w:rPr>
        <w:t xml:space="preserve"> </w:t>
      </w:r>
      <w:r w:rsidRPr="00BE6D3F">
        <w:rPr>
          <w:i/>
          <w:color w:val="000000" w:themeColor="text1"/>
          <w:w w:val="110"/>
          <w:sz w:val="20"/>
        </w:rPr>
        <w:t>M</w:t>
      </w:r>
      <w:r w:rsidRPr="006B6651">
        <w:rPr>
          <w:i/>
          <w:color w:val="000000" w:themeColor="text1"/>
          <w:w w:val="110"/>
          <w:sz w:val="20"/>
          <w:lang w:val="ru-RU"/>
        </w:rPr>
        <w:t xml:space="preserve">. </w:t>
      </w:r>
      <w:r w:rsidRPr="00BE6D3F">
        <w:rPr>
          <w:i/>
          <w:color w:val="000000" w:themeColor="text1"/>
          <w:w w:val="110"/>
          <w:sz w:val="20"/>
        </w:rPr>
        <w:t>tuberculosis</w:t>
      </w:r>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містять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мутації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які</w:t>
      </w:r>
      <w:proofErr w:type="spellEnd"/>
      <w:r w:rsidRPr="006B6651">
        <w:rPr>
          <w:color w:val="000000" w:themeColor="text1"/>
          <w:w w:val="110"/>
          <w:sz w:val="20"/>
          <w:lang w:val="ru-RU"/>
        </w:rPr>
        <w:t xml:space="preserve"> не </w:t>
      </w:r>
      <w:proofErr w:type="spellStart"/>
      <w:r w:rsidRPr="006B6651">
        <w:rPr>
          <w:color w:val="000000" w:themeColor="text1"/>
          <w:w w:val="110"/>
          <w:sz w:val="20"/>
          <w:lang w:val="ru-RU"/>
        </w:rPr>
        <w:t>виявляються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іншими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швидкими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молекулярними</w:t>
      </w:r>
      <w:proofErr w:type="spellEnd"/>
      <w:r w:rsidRPr="006B6651">
        <w:rPr>
          <w:color w:val="000000" w:themeColor="text1"/>
          <w:w w:val="110"/>
          <w:sz w:val="20"/>
          <w:lang w:val="ru-RU"/>
        </w:rPr>
        <w:t xml:space="preserve"> тестами.</w:t>
      </w:r>
    </w:p>
    <w:p w14:paraId="6A4373C1" w14:textId="77777777" w:rsidR="00291E90" w:rsidRPr="006B6651" w:rsidRDefault="00291E90" w:rsidP="004A2937">
      <w:pPr>
        <w:pStyle w:val="a4"/>
        <w:numPr>
          <w:ilvl w:val="0"/>
          <w:numId w:val="45"/>
        </w:numPr>
        <w:tabs>
          <w:tab w:val="left" w:pos="1701"/>
        </w:tabs>
        <w:spacing w:before="62" w:line="276" w:lineRule="auto"/>
        <w:ind w:right="2"/>
        <w:rPr>
          <w:color w:val="000000" w:themeColor="text1"/>
          <w:sz w:val="20"/>
          <w:lang w:val="ru-RU"/>
        </w:rPr>
      </w:pPr>
      <w:proofErr w:type="spellStart"/>
      <w:r w:rsidRPr="006B6651">
        <w:rPr>
          <w:color w:val="000000" w:themeColor="text1"/>
          <w:w w:val="110"/>
          <w:sz w:val="20"/>
          <w:lang w:val="ru-RU"/>
        </w:rPr>
        <w:t>Ця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рекомендація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умовн</w:t>
      </w:r>
      <w:proofErr w:type="spellEnd"/>
      <w:r w:rsidRPr="00BE6D3F">
        <w:rPr>
          <w:color w:val="000000" w:themeColor="text1"/>
          <w:w w:val="110"/>
          <w:sz w:val="20"/>
          <w:lang w:val="uk-UA"/>
        </w:rPr>
        <w:t>а</w:t>
      </w:r>
      <w:r w:rsidRPr="006B6651">
        <w:rPr>
          <w:color w:val="000000" w:themeColor="text1"/>
          <w:w w:val="110"/>
          <w:sz w:val="20"/>
          <w:lang w:val="ru-RU"/>
        </w:rPr>
        <w:t xml:space="preserve"> через брак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 xml:space="preserve"> про користь для здоров'я, </w:t>
      </w:r>
      <w:r w:rsidRPr="00BE6D3F">
        <w:rPr>
          <w:color w:val="000000" w:themeColor="text1"/>
          <w:w w:val="110"/>
          <w:sz w:val="20"/>
          <w:lang w:val="uk-UA"/>
        </w:rPr>
        <w:t>неоднакову</w:t>
      </w:r>
      <w:r w:rsidRPr="006B6651">
        <w:rPr>
          <w:color w:val="000000" w:themeColor="text1"/>
          <w:w w:val="110"/>
          <w:sz w:val="20"/>
          <w:lang w:val="ru-RU"/>
        </w:rPr>
        <w:t xml:space="preserve"> </w:t>
      </w:r>
      <w:proofErr w:type="spellStart"/>
      <w:r w:rsidRPr="006B6651">
        <w:rPr>
          <w:color w:val="000000" w:themeColor="text1"/>
          <w:w w:val="110"/>
          <w:sz w:val="20"/>
          <w:lang w:val="ru-RU"/>
        </w:rPr>
        <w:t>достовірність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доказів</w:t>
      </w:r>
      <w:proofErr w:type="spellEnd"/>
      <w:r w:rsidRPr="006B6651">
        <w:rPr>
          <w:color w:val="000000" w:themeColor="text1"/>
          <w:w w:val="110"/>
          <w:sz w:val="20"/>
          <w:lang w:val="ru-RU"/>
        </w:rPr>
        <w:t xml:space="preserve"> щодо </w:t>
      </w:r>
      <w:proofErr w:type="spellStart"/>
      <w:r w:rsidRPr="006B6651">
        <w:rPr>
          <w:color w:val="000000" w:themeColor="text1"/>
          <w:w w:val="110"/>
          <w:sz w:val="20"/>
          <w:lang w:val="ru-RU"/>
        </w:rPr>
        <w:t>діагностичної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точності</w:t>
      </w:r>
      <w:proofErr w:type="spellEnd"/>
      <w:r w:rsidRPr="006B6651">
        <w:rPr>
          <w:color w:val="000000" w:themeColor="text1"/>
          <w:w w:val="110"/>
          <w:sz w:val="20"/>
          <w:lang w:val="ru-RU"/>
        </w:rPr>
        <w:t xml:space="preserve"> та </w:t>
      </w:r>
      <w:r w:rsidRPr="00BE6D3F">
        <w:rPr>
          <w:color w:val="000000" w:themeColor="text1"/>
          <w:w w:val="110"/>
          <w:sz w:val="20"/>
          <w:lang w:val="uk-UA"/>
        </w:rPr>
        <w:t>не</w:t>
      </w:r>
      <w:proofErr w:type="spellStart"/>
      <w:r w:rsidRPr="006B6651">
        <w:rPr>
          <w:color w:val="000000" w:themeColor="text1"/>
          <w:w w:val="110"/>
          <w:sz w:val="20"/>
          <w:lang w:val="ru-RU"/>
        </w:rPr>
        <w:t>оптималь</w:t>
      </w:r>
      <w:proofErr w:type="spellEnd"/>
      <w:r w:rsidRPr="00BE6D3F">
        <w:rPr>
          <w:color w:val="000000" w:themeColor="text1"/>
          <w:w w:val="110"/>
          <w:sz w:val="20"/>
          <w:lang w:val="uk-UA"/>
        </w:rPr>
        <w:t>ну точність</w:t>
      </w:r>
      <w:r w:rsidRPr="006B6651">
        <w:rPr>
          <w:color w:val="000000" w:themeColor="text1"/>
          <w:w w:val="110"/>
          <w:sz w:val="20"/>
          <w:lang w:val="ru-RU"/>
        </w:rPr>
        <w:t xml:space="preserve"> для </w:t>
      </w:r>
      <w:proofErr w:type="spellStart"/>
      <w:r w:rsidRPr="006B6651">
        <w:rPr>
          <w:color w:val="000000" w:themeColor="text1"/>
          <w:w w:val="110"/>
          <w:sz w:val="20"/>
          <w:lang w:val="ru-RU"/>
        </w:rPr>
        <w:t>певних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препаратів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Крім</w:t>
      </w:r>
      <w:proofErr w:type="spellEnd"/>
      <w:r w:rsidRPr="006B6651">
        <w:rPr>
          <w:color w:val="000000" w:themeColor="text1"/>
          <w:w w:val="110"/>
          <w:sz w:val="20"/>
          <w:lang w:val="ru-RU"/>
        </w:rPr>
        <w:t xml:space="preserve"> того, </w:t>
      </w:r>
      <w:proofErr w:type="spellStart"/>
      <w:r w:rsidRPr="006B6651">
        <w:rPr>
          <w:color w:val="000000" w:themeColor="text1"/>
          <w:w w:val="110"/>
          <w:sz w:val="20"/>
          <w:lang w:val="ru-RU"/>
        </w:rPr>
        <w:t>оскільки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це</w:t>
      </w:r>
      <w:proofErr w:type="spellEnd"/>
      <w:r w:rsidRPr="006B6651">
        <w:rPr>
          <w:color w:val="000000" w:themeColor="text1"/>
          <w:w w:val="110"/>
          <w:sz w:val="20"/>
          <w:lang w:val="ru-RU"/>
        </w:rPr>
        <w:t xml:space="preserve"> нова </w:t>
      </w:r>
      <w:proofErr w:type="spellStart"/>
      <w:r w:rsidRPr="006B6651">
        <w:rPr>
          <w:color w:val="000000" w:themeColor="text1"/>
          <w:w w:val="110"/>
          <w:sz w:val="20"/>
          <w:lang w:val="ru-RU"/>
        </w:rPr>
        <w:t>технологія</w:t>
      </w:r>
      <w:proofErr w:type="spellEnd"/>
      <w:r w:rsidRPr="006B6651">
        <w:rPr>
          <w:color w:val="000000" w:themeColor="text1"/>
          <w:w w:val="110"/>
          <w:sz w:val="20"/>
          <w:lang w:val="ru-RU"/>
        </w:rPr>
        <w:t xml:space="preserve">, яка </w:t>
      </w:r>
      <w:proofErr w:type="spellStart"/>
      <w:r w:rsidRPr="006B6651">
        <w:rPr>
          <w:color w:val="000000" w:themeColor="text1"/>
          <w:w w:val="110"/>
          <w:sz w:val="20"/>
          <w:lang w:val="ru-RU"/>
        </w:rPr>
        <w:t>ще</w:t>
      </w:r>
      <w:proofErr w:type="spellEnd"/>
      <w:r w:rsidRPr="006B6651">
        <w:rPr>
          <w:color w:val="000000" w:themeColor="text1"/>
          <w:w w:val="110"/>
          <w:sz w:val="20"/>
          <w:lang w:val="ru-RU"/>
        </w:rPr>
        <w:t xml:space="preserve"> не </w:t>
      </w:r>
      <w:proofErr w:type="spellStart"/>
      <w:r w:rsidRPr="006B6651">
        <w:rPr>
          <w:color w:val="000000" w:themeColor="text1"/>
          <w:w w:val="110"/>
          <w:sz w:val="20"/>
          <w:lang w:val="ru-RU"/>
        </w:rPr>
        <w:t>отримала</w:t>
      </w:r>
      <w:proofErr w:type="spellEnd"/>
      <w:r w:rsidRPr="006B6651">
        <w:rPr>
          <w:color w:val="000000" w:themeColor="text1"/>
          <w:w w:val="110"/>
          <w:sz w:val="20"/>
          <w:lang w:val="ru-RU"/>
        </w:rPr>
        <w:t xml:space="preserve"> широкого </w:t>
      </w:r>
      <w:proofErr w:type="spellStart"/>
      <w:r w:rsidRPr="006B6651">
        <w:rPr>
          <w:color w:val="000000" w:themeColor="text1"/>
          <w:w w:val="110"/>
          <w:sz w:val="20"/>
          <w:lang w:val="ru-RU"/>
        </w:rPr>
        <w:t>впровадження</w:t>
      </w:r>
      <w:proofErr w:type="spellEnd"/>
      <w:r w:rsidRPr="006B6651">
        <w:rPr>
          <w:color w:val="000000" w:themeColor="text1"/>
          <w:w w:val="110"/>
          <w:sz w:val="20"/>
          <w:lang w:val="ru-RU"/>
        </w:rPr>
        <w:t xml:space="preserve">, все </w:t>
      </w:r>
      <w:proofErr w:type="spellStart"/>
      <w:r w:rsidRPr="006B6651">
        <w:rPr>
          <w:color w:val="000000" w:themeColor="text1"/>
          <w:w w:val="110"/>
          <w:sz w:val="20"/>
          <w:lang w:val="ru-RU"/>
        </w:rPr>
        <w:t>ще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існують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обмежені</w:t>
      </w:r>
      <w:proofErr w:type="spellEnd"/>
      <w:r w:rsidRPr="006B6651">
        <w:rPr>
          <w:color w:val="000000" w:themeColor="text1"/>
          <w:w w:val="110"/>
          <w:sz w:val="20"/>
          <w:lang w:val="ru-RU"/>
        </w:rPr>
        <w:t xml:space="preserve"> та </w:t>
      </w:r>
      <w:r w:rsidRPr="00BE6D3F">
        <w:rPr>
          <w:color w:val="000000" w:themeColor="text1"/>
          <w:w w:val="110"/>
          <w:sz w:val="20"/>
          <w:lang w:val="uk-UA"/>
        </w:rPr>
        <w:t>неоднорідні</w:t>
      </w:r>
      <w:r w:rsidRPr="006B6651">
        <w:rPr>
          <w:color w:val="000000" w:themeColor="text1"/>
          <w:w w:val="110"/>
          <w:sz w:val="20"/>
          <w:lang w:val="ru-RU"/>
        </w:rPr>
        <w:t xml:space="preserve"> </w:t>
      </w:r>
      <w:proofErr w:type="spellStart"/>
      <w:r w:rsidRPr="006B6651">
        <w:rPr>
          <w:color w:val="000000" w:themeColor="text1"/>
          <w:w w:val="110"/>
          <w:sz w:val="20"/>
          <w:lang w:val="ru-RU"/>
        </w:rPr>
        <w:t>докази</w:t>
      </w:r>
      <w:proofErr w:type="spellEnd"/>
      <w:r w:rsidRPr="006B6651">
        <w:rPr>
          <w:color w:val="000000" w:themeColor="text1"/>
          <w:w w:val="110"/>
          <w:sz w:val="20"/>
          <w:lang w:val="ru-RU"/>
        </w:rPr>
        <w:t xml:space="preserve"> щодо </w:t>
      </w:r>
      <w:proofErr w:type="spellStart"/>
      <w:r w:rsidRPr="006B6651">
        <w:rPr>
          <w:color w:val="000000" w:themeColor="text1"/>
          <w:w w:val="110"/>
          <w:sz w:val="20"/>
          <w:lang w:val="ru-RU"/>
        </w:rPr>
        <w:t>витрат</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економічної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ефективності</w:t>
      </w:r>
      <w:proofErr w:type="spellEnd"/>
      <w:r w:rsidRPr="006B6651">
        <w:rPr>
          <w:color w:val="000000" w:themeColor="text1"/>
          <w:w w:val="110"/>
          <w:sz w:val="20"/>
          <w:lang w:val="ru-RU"/>
        </w:rPr>
        <w:t xml:space="preserve"> та </w:t>
      </w:r>
      <w:r w:rsidRPr="00BE6D3F">
        <w:rPr>
          <w:color w:val="000000" w:themeColor="text1"/>
          <w:w w:val="110"/>
          <w:sz w:val="20"/>
          <w:lang w:val="uk-UA"/>
        </w:rPr>
        <w:t>можливості</w:t>
      </w:r>
      <w:r w:rsidRPr="006B6651">
        <w:rPr>
          <w:color w:val="000000" w:themeColor="text1"/>
          <w:w w:val="110"/>
          <w:sz w:val="20"/>
          <w:lang w:val="ru-RU"/>
        </w:rPr>
        <w:t xml:space="preserve"> </w:t>
      </w:r>
      <w:r w:rsidRPr="00BE6D3F">
        <w:rPr>
          <w:color w:val="000000" w:themeColor="text1"/>
          <w:w w:val="110"/>
          <w:sz w:val="20"/>
          <w:lang w:val="uk-UA"/>
        </w:rPr>
        <w:t>впровадження</w:t>
      </w:r>
      <w:r w:rsidRPr="006B6651">
        <w:rPr>
          <w:color w:val="000000" w:themeColor="text1"/>
          <w:w w:val="110"/>
          <w:sz w:val="20"/>
          <w:lang w:val="ru-RU"/>
        </w:rPr>
        <w:t>.</w:t>
      </w:r>
    </w:p>
    <w:p w14:paraId="38BCA9E0" w14:textId="77777777" w:rsidR="00291E90" w:rsidRPr="006B6651" w:rsidRDefault="00291E90" w:rsidP="00291E90">
      <w:pPr>
        <w:pStyle w:val="a3"/>
        <w:spacing w:before="4"/>
        <w:ind w:right="2"/>
        <w:jc w:val="both"/>
        <w:rPr>
          <w:color w:val="000000" w:themeColor="text1"/>
          <w:sz w:val="17"/>
          <w:lang w:val="ru-RU"/>
        </w:rPr>
      </w:pPr>
    </w:p>
    <w:tbl>
      <w:tblPr>
        <w:tblStyle w:val="TableNormal"/>
        <w:tblW w:w="9214" w:type="dxa"/>
        <w:tblInd w:w="559"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214"/>
      </w:tblGrid>
      <w:tr w:rsidR="00291E90" w:rsidRPr="00D029FF" w14:paraId="45FE4A55" w14:textId="77777777" w:rsidTr="00291E90">
        <w:trPr>
          <w:trHeight w:val="2954"/>
        </w:trPr>
        <w:tc>
          <w:tcPr>
            <w:tcW w:w="9214" w:type="dxa"/>
          </w:tcPr>
          <w:p w14:paraId="38CDCC65" w14:textId="77777777" w:rsidR="00291E90" w:rsidRPr="006B6651" w:rsidRDefault="00291E90" w:rsidP="00291E90">
            <w:pPr>
              <w:pStyle w:val="TableParagraph"/>
              <w:spacing w:before="10"/>
              <w:ind w:left="120" w:right="2"/>
              <w:jc w:val="both"/>
              <w:rPr>
                <w:color w:val="000000" w:themeColor="text1"/>
                <w:sz w:val="19"/>
                <w:lang w:val="ru-RU"/>
              </w:rPr>
            </w:pPr>
          </w:p>
          <w:p w14:paraId="4A27063F" w14:textId="77777777" w:rsidR="00291E90" w:rsidRPr="006B6651" w:rsidRDefault="00291E90" w:rsidP="00291E90">
            <w:pPr>
              <w:pStyle w:val="TableParagraph"/>
              <w:spacing w:before="0" w:line="276" w:lineRule="auto"/>
              <w:ind w:left="680" w:right="272" w:hanging="397"/>
              <w:jc w:val="both"/>
              <w:rPr>
                <w:i/>
                <w:color w:val="000000" w:themeColor="text1"/>
                <w:sz w:val="20"/>
                <w:lang w:val="ru-RU"/>
              </w:rPr>
            </w:pPr>
            <w:r w:rsidRPr="006B6651">
              <w:rPr>
                <w:b/>
                <w:color w:val="000000" w:themeColor="text1"/>
                <w:w w:val="115"/>
                <w:lang w:val="ru-RU"/>
              </w:rPr>
              <w:t xml:space="preserve">18. </w:t>
            </w:r>
            <w:r w:rsidRPr="00BE6D3F">
              <w:rPr>
                <w:b/>
                <w:color w:val="000000" w:themeColor="text1"/>
                <w:sz w:val="20"/>
                <w:lang w:val="uk-UA"/>
              </w:rPr>
              <w:t>У людей</w:t>
            </w:r>
            <w:r w:rsidRPr="006B6651">
              <w:rPr>
                <w:b/>
                <w:color w:val="000000" w:themeColor="text1"/>
                <w:sz w:val="20"/>
                <w:lang w:val="ru-RU"/>
              </w:rPr>
              <w:t xml:space="preserve"> з бактеріологічно </w:t>
            </w:r>
            <w:proofErr w:type="spellStart"/>
            <w:r w:rsidRPr="006B6651">
              <w:rPr>
                <w:b/>
                <w:color w:val="000000" w:themeColor="text1"/>
                <w:sz w:val="20"/>
                <w:lang w:val="ru-RU"/>
              </w:rPr>
              <w:t>підтвердженим</w:t>
            </w:r>
            <w:proofErr w:type="spellEnd"/>
            <w:r w:rsidRPr="006B6651">
              <w:rPr>
                <w:b/>
                <w:color w:val="000000" w:themeColor="text1"/>
                <w:sz w:val="20"/>
                <w:lang w:val="ru-RU"/>
              </w:rPr>
              <w:t xml:space="preserve"> </w:t>
            </w:r>
            <w:proofErr w:type="spellStart"/>
            <w:r w:rsidRPr="006B6651">
              <w:rPr>
                <w:b/>
                <w:color w:val="000000" w:themeColor="text1"/>
                <w:sz w:val="20"/>
                <w:lang w:val="ru-RU"/>
              </w:rPr>
              <w:t>легеневим</w:t>
            </w:r>
            <w:proofErr w:type="spellEnd"/>
            <w:r w:rsidRPr="006B6651">
              <w:rPr>
                <w:b/>
                <w:color w:val="000000" w:themeColor="text1"/>
                <w:sz w:val="20"/>
                <w:lang w:val="ru-RU"/>
              </w:rPr>
              <w:t xml:space="preserve"> ТБ, </w:t>
            </w:r>
            <w:r w:rsidRPr="00BE6D3F">
              <w:rPr>
                <w:b/>
                <w:color w:val="000000" w:themeColor="text1"/>
                <w:sz w:val="20"/>
                <w:lang w:val="uk-UA"/>
              </w:rPr>
              <w:t>стійким</w:t>
            </w:r>
            <w:r w:rsidRPr="006B6651">
              <w:rPr>
                <w:b/>
                <w:color w:val="000000" w:themeColor="text1"/>
                <w:sz w:val="20"/>
                <w:lang w:val="ru-RU"/>
              </w:rPr>
              <w:t xml:space="preserve"> до рифампіцину, </w:t>
            </w:r>
            <w:proofErr w:type="spellStart"/>
            <w:r w:rsidRPr="006B6651">
              <w:rPr>
                <w:b/>
                <w:color w:val="000000" w:themeColor="text1"/>
                <w:sz w:val="20"/>
                <w:lang w:val="ru-RU"/>
              </w:rPr>
              <w:t>технології</w:t>
            </w:r>
            <w:proofErr w:type="spellEnd"/>
            <w:r w:rsidRPr="006B6651">
              <w:rPr>
                <w:b/>
                <w:color w:val="000000" w:themeColor="text1"/>
                <w:sz w:val="20"/>
                <w:lang w:val="ru-RU"/>
              </w:rPr>
              <w:t xml:space="preserve"> таргетного СНП </w:t>
            </w:r>
            <w:proofErr w:type="spellStart"/>
            <w:r w:rsidRPr="006B6651">
              <w:rPr>
                <w:b/>
                <w:color w:val="000000" w:themeColor="text1"/>
                <w:sz w:val="20"/>
                <w:lang w:val="ru-RU"/>
              </w:rPr>
              <w:t>можуть</w:t>
            </w:r>
            <w:proofErr w:type="spellEnd"/>
            <w:r w:rsidRPr="006B6651">
              <w:rPr>
                <w:b/>
                <w:color w:val="000000" w:themeColor="text1"/>
                <w:sz w:val="20"/>
                <w:lang w:val="ru-RU"/>
              </w:rPr>
              <w:t xml:space="preserve"> </w:t>
            </w:r>
            <w:proofErr w:type="spellStart"/>
            <w:r w:rsidRPr="006B6651">
              <w:rPr>
                <w:b/>
                <w:color w:val="000000" w:themeColor="text1"/>
                <w:sz w:val="20"/>
                <w:lang w:val="ru-RU"/>
              </w:rPr>
              <w:t>використовуватися</w:t>
            </w:r>
            <w:proofErr w:type="spellEnd"/>
            <w:r w:rsidRPr="006B6651">
              <w:rPr>
                <w:b/>
                <w:color w:val="000000" w:themeColor="text1"/>
                <w:sz w:val="20"/>
                <w:lang w:val="ru-RU"/>
              </w:rPr>
              <w:t xml:space="preserve"> на </w:t>
            </w:r>
            <w:r>
              <w:rPr>
                <w:b/>
                <w:color w:val="000000" w:themeColor="text1"/>
                <w:sz w:val="20"/>
                <w:lang w:val="uk-UA"/>
              </w:rPr>
              <w:t xml:space="preserve">респіраторних </w:t>
            </w:r>
            <w:proofErr w:type="spellStart"/>
            <w:r w:rsidRPr="006B6651">
              <w:rPr>
                <w:b/>
                <w:color w:val="000000" w:themeColor="text1"/>
                <w:sz w:val="20"/>
                <w:lang w:val="ru-RU"/>
              </w:rPr>
              <w:t>зразках</w:t>
            </w:r>
            <w:proofErr w:type="spellEnd"/>
            <w:r w:rsidRPr="00BE6D3F">
              <w:rPr>
                <w:b/>
                <w:color w:val="000000" w:themeColor="text1"/>
                <w:sz w:val="20"/>
                <w:lang w:val="uk-UA"/>
              </w:rPr>
              <w:t xml:space="preserve"> </w:t>
            </w:r>
            <w:r w:rsidRPr="006B6651">
              <w:rPr>
                <w:b/>
                <w:color w:val="000000" w:themeColor="text1"/>
                <w:sz w:val="20"/>
                <w:lang w:val="ru-RU"/>
              </w:rPr>
              <w:t xml:space="preserve">для </w:t>
            </w:r>
            <w:proofErr w:type="spellStart"/>
            <w:r w:rsidRPr="006B6651">
              <w:rPr>
                <w:b/>
                <w:color w:val="000000" w:themeColor="text1"/>
                <w:sz w:val="20"/>
                <w:lang w:val="ru-RU"/>
              </w:rPr>
              <w:t>діагностики</w:t>
            </w:r>
            <w:proofErr w:type="spellEnd"/>
            <w:r w:rsidRPr="006B6651">
              <w:rPr>
                <w:b/>
                <w:color w:val="000000" w:themeColor="text1"/>
                <w:sz w:val="20"/>
                <w:lang w:val="ru-RU"/>
              </w:rPr>
              <w:t xml:space="preserve"> </w:t>
            </w:r>
            <w:r w:rsidRPr="00BE6D3F">
              <w:rPr>
                <w:b/>
                <w:color w:val="000000" w:themeColor="text1"/>
                <w:sz w:val="20"/>
                <w:lang w:val="uk-UA"/>
              </w:rPr>
              <w:t>стійкості</w:t>
            </w:r>
            <w:r w:rsidRPr="006B6651">
              <w:rPr>
                <w:b/>
                <w:color w:val="000000" w:themeColor="text1"/>
                <w:sz w:val="20"/>
                <w:lang w:val="ru-RU"/>
              </w:rPr>
              <w:t xml:space="preserve"> до ізоніазиду, фторхінолонів, </w:t>
            </w:r>
            <w:proofErr w:type="spellStart"/>
            <w:r w:rsidRPr="006B6651">
              <w:rPr>
                <w:b/>
                <w:color w:val="000000" w:themeColor="text1"/>
                <w:sz w:val="20"/>
                <w:lang w:val="ru-RU"/>
              </w:rPr>
              <w:t>бедаквиліну</w:t>
            </w:r>
            <w:proofErr w:type="spellEnd"/>
            <w:r w:rsidRPr="006B6651">
              <w:rPr>
                <w:b/>
                <w:color w:val="000000" w:themeColor="text1"/>
                <w:sz w:val="20"/>
                <w:lang w:val="ru-RU"/>
              </w:rPr>
              <w:t xml:space="preserve">, лінезоліду, клофазиміну, піразинаміду, етамбутолу, амікацину та </w:t>
            </w:r>
            <w:proofErr w:type="spellStart"/>
            <w:r w:rsidRPr="006B6651">
              <w:rPr>
                <w:b/>
                <w:color w:val="000000" w:themeColor="text1"/>
                <w:sz w:val="20"/>
                <w:lang w:val="ru-RU"/>
              </w:rPr>
              <w:t>стрептоміцину</w:t>
            </w:r>
            <w:proofErr w:type="spellEnd"/>
            <w:r w:rsidRPr="006B6651">
              <w:rPr>
                <w:b/>
                <w:color w:val="000000" w:themeColor="text1"/>
                <w:sz w:val="20"/>
                <w:lang w:val="ru-RU"/>
              </w:rPr>
              <w:t xml:space="preserve"> </w:t>
            </w:r>
            <w:proofErr w:type="spellStart"/>
            <w:r w:rsidRPr="006B6651">
              <w:rPr>
                <w:b/>
                <w:color w:val="000000" w:themeColor="text1"/>
                <w:sz w:val="20"/>
                <w:lang w:val="ru-RU"/>
              </w:rPr>
              <w:t>замість</w:t>
            </w:r>
            <w:proofErr w:type="spellEnd"/>
            <w:r w:rsidRPr="006B6651">
              <w:rPr>
                <w:b/>
                <w:color w:val="000000" w:themeColor="text1"/>
                <w:sz w:val="20"/>
                <w:lang w:val="ru-RU"/>
              </w:rPr>
              <w:t xml:space="preserve"> фенотип</w:t>
            </w:r>
            <w:proofErr w:type="spellStart"/>
            <w:r>
              <w:rPr>
                <w:b/>
                <w:color w:val="000000" w:themeColor="text1"/>
                <w:sz w:val="20"/>
                <w:lang w:val="uk-UA"/>
              </w:rPr>
              <w:t>ового</w:t>
            </w:r>
            <w:proofErr w:type="spellEnd"/>
            <w:r w:rsidRPr="006B6651">
              <w:rPr>
                <w:b/>
                <w:color w:val="000000" w:themeColor="text1"/>
                <w:sz w:val="20"/>
                <w:lang w:val="ru-RU"/>
              </w:rPr>
              <w:t xml:space="preserve"> </w:t>
            </w:r>
            <w:proofErr w:type="spellStart"/>
            <w:r w:rsidRPr="006B6651">
              <w:rPr>
                <w:b/>
                <w:color w:val="000000" w:themeColor="text1"/>
                <w:sz w:val="20"/>
                <w:lang w:val="ru-RU"/>
              </w:rPr>
              <w:t>тестування</w:t>
            </w:r>
            <w:proofErr w:type="spellEnd"/>
            <w:r w:rsidRPr="006B6651">
              <w:rPr>
                <w:b/>
                <w:color w:val="000000" w:themeColor="text1"/>
                <w:sz w:val="20"/>
                <w:lang w:val="ru-RU"/>
              </w:rPr>
              <w:t xml:space="preserve"> </w:t>
            </w:r>
            <w:r w:rsidRPr="00BE6D3F">
              <w:rPr>
                <w:b/>
                <w:color w:val="000000" w:themeColor="text1"/>
                <w:sz w:val="20"/>
                <w:lang w:val="uk-UA"/>
              </w:rPr>
              <w:t xml:space="preserve">на медикаментозну </w:t>
            </w:r>
            <w:proofErr w:type="spellStart"/>
            <w:r w:rsidRPr="006B6651">
              <w:rPr>
                <w:b/>
                <w:color w:val="000000" w:themeColor="text1"/>
                <w:sz w:val="20"/>
                <w:lang w:val="ru-RU"/>
              </w:rPr>
              <w:t>чутливості</w:t>
            </w:r>
            <w:proofErr w:type="spellEnd"/>
            <w:r w:rsidRPr="00BE6D3F">
              <w:rPr>
                <w:b/>
                <w:color w:val="000000" w:themeColor="text1"/>
                <w:sz w:val="20"/>
                <w:lang w:val="uk-UA"/>
              </w:rPr>
              <w:t>ь на основі культуральних методів.</w:t>
            </w:r>
          </w:p>
          <w:p w14:paraId="56278AA2" w14:textId="77777777" w:rsidR="00291E90" w:rsidRPr="006B6651" w:rsidRDefault="00291E90" w:rsidP="00291E90">
            <w:pPr>
              <w:pStyle w:val="TableParagraph"/>
              <w:spacing w:before="51" w:line="280" w:lineRule="auto"/>
              <w:ind w:left="680" w:right="272"/>
              <w:jc w:val="both"/>
              <w:rPr>
                <w:i/>
                <w:color w:val="000000" w:themeColor="text1"/>
                <w:lang w:val="ru-RU"/>
              </w:rPr>
            </w:pPr>
            <w:r w:rsidRPr="006B6651">
              <w:rPr>
                <w:i/>
                <w:color w:val="000000" w:themeColor="text1"/>
                <w:sz w:val="20"/>
                <w:lang w:val="ru-RU"/>
              </w:rPr>
              <w:t>(</w:t>
            </w:r>
            <w:proofErr w:type="spellStart"/>
            <w:r w:rsidRPr="006B6651">
              <w:rPr>
                <w:i/>
                <w:color w:val="000000" w:themeColor="text1"/>
                <w:sz w:val="20"/>
                <w:lang w:val="ru-RU"/>
              </w:rPr>
              <w:t>Умовна</w:t>
            </w:r>
            <w:proofErr w:type="spellEnd"/>
            <w:r w:rsidRPr="006B6651">
              <w:rPr>
                <w:i/>
                <w:color w:val="000000" w:themeColor="text1"/>
                <w:sz w:val="20"/>
                <w:lang w:val="ru-RU"/>
              </w:rPr>
              <w:t xml:space="preserve"> </w:t>
            </w:r>
            <w:proofErr w:type="spellStart"/>
            <w:r w:rsidRPr="006B6651">
              <w:rPr>
                <w:i/>
                <w:color w:val="000000" w:themeColor="text1"/>
                <w:sz w:val="20"/>
                <w:lang w:val="ru-RU"/>
              </w:rPr>
              <w:t>рекомендація</w:t>
            </w:r>
            <w:proofErr w:type="spellEnd"/>
            <w:r w:rsidRPr="006B6651">
              <w:rPr>
                <w:i/>
                <w:color w:val="000000" w:themeColor="text1"/>
                <w:sz w:val="20"/>
                <w:lang w:val="ru-RU"/>
              </w:rPr>
              <w:t xml:space="preserve">, </w:t>
            </w:r>
            <w:proofErr w:type="spellStart"/>
            <w:r w:rsidRPr="006B6651">
              <w:rPr>
                <w:i/>
                <w:color w:val="000000" w:themeColor="text1"/>
                <w:sz w:val="20"/>
                <w:lang w:val="ru-RU"/>
              </w:rPr>
              <w:t>достовірність</w:t>
            </w:r>
            <w:proofErr w:type="spellEnd"/>
            <w:r w:rsidRPr="006B6651">
              <w:rPr>
                <w:i/>
                <w:color w:val="000000" w:themeColor="text1"/>
                <w:sz w:val="20"/>
                <w:lang w:val="ru-RU"/>
              </w:rPr>
              <w:t xml:space="preserve"> </w:t>
            </w:r>
            <w:proofErr w:type="spellStart"/>
            <w:r w:rsidRPr="006B6651">
              <w:rPr>
                <w:i/>
                <w:color w:val="000000" w:themeColor="text1"/>
                <w:sz w:val="20"/>
                <w:lang w:val="ru-RU"/>
              </w:rPr>
              <w:t>доказів</w:t>
            </w:r>
            <w:proofErr w:type="spellEnd"/>
            <w:r w:rsidRPr="006B6651">
              <w:rPr>
                <w:i/>
                <w:color w:val="000000" w:themeColor="text1"/>
                <w:sz w:val="20"/>
                <w:lang w:val="ru-RU"/>
              </w:rPr>
              <w:t xml:space="preserve"> </w:t>
            </w:r>
            <w:proofErr w:type="spellStart"/>
            <w:r w:rsidRPr="006B6651">
              <w:rPr>
                <w:i/>
                <w:color w:val="000000" w:themeColor="text1"/>
                <w:sz w:val="20"/>
                <w:lang w:val="ru-RU"/>
              </w:rPr>
              <w:t>висока</w:t>
            </w:r>
            <w:proofErr w:type="spellEnd"/>
            <w:r w:rsidRPr="006B6651">
              <w:rPr>
                <w:i/>
                <w:color w:val="000000" w:themeColor="text1"/>
                <w:sz w:val="20"/>
                <w:lang w:val="ru-RU"/>
              </w:rPr>
              <w:t xml:space="preserve"> [ізоніазид, фторхінолони та піразинамід], </w:t>
            </w:r>
            <w:r>
              <w:rPr>
                <w:i/>
                <w:color w:val="000000" w:themeColor="text1"/>
                <w:sz w:val="20"/>
                <w:lang w:val="uk-UA"/>
              </w:rPr>
              <w:t>середня</w:t>
            </w:r>
            <w:r w:rsidRPr="006B6651">
              <w:rPr>
                <w:i/>
                <w:color w:val="000000" w:themeColor="text1"/>
                <w:sz w:val="20"/>
                <w:lang w:val="ru-RU"/>
              </w:rPr>
              <w:t xml:space="preserve"> [етамбутол], </w:t>
            </w:r>
            <w:proofErr w:type="spellStart"/>
            <w:r w:rsidRPr="006B6651">
              <w:rPr>
                <w:i/>
                <w:color w:val="000000" w:themeColor="text1"/>
                <w:sz w:val="20"/>
                <w:lang w:val="ru-RU"/>
              </w:rPr>
              <w:t>низька</w:t>
            </w:r>
            <w:proofErr w:type="spellEnd"/>
            <w:r w:rsidRPr="006B6651">
              <w:rPr>
                <w:i/>
                <w:color w:val="000000" w:themeColor="text1"/>
                <w:sz w:val="20"/>
                <w:lang w:val="ru-RU"/>
              </w:rPr>
              <w:t xml:space="preserve"> [бедаквілін, лінезолід, клофазимін та </w:t>
            </w:r>
            <w:proofErr w:type="spellStart"/>
            <w:r w:rsidRPr="006B6651">
              <w:rPr>
                <w:i/>
                <w:color w:val="000000" w:themeColor="text1"/>
                <w:sz w:val="20"/>
                <w:lang w:val="ru-RU"/>
              </w:rPr>
              <w:t>стрептоміцин</w:t>
            </w:r>
            <w:proofErr w:type="spellEnd"/>
            <w:r w:rsidRPr="006B6651">
              <w:rPr>
                <w:i/>
                <w:color w:val="000000" w:themeColor="text1"/>
                <w:sz w:val="20"/>
                <w:lang w:val="ru-RU"/>
              </w:rPr>
              <w:t xml:space="preserve">], </w:t>
            </w:r>
            <w:proofErr w:type="spellStart"/>
            <w:r w:rsidRPr="006B6651">
              <w:rPr>
                <w:i/>
                <w:color w:val="000000" w:themeColor="text1"/>
                <w:sz w:val="20"/>
                <w:lang w:val="ru-RU"/>
              </w:rPr>
              <w:t>дуже</w:t>
            </w:r>
            <w:proofErr w:type="spellEnd"/>
            <w:r w:rsidRPr="006B6651">
              <w:rPr>
                <w:i/>
                <w:color w:val="000000" w:themeColor="text1"/>
                <w:sz w:val="20"/>
                <w:lang w:val="ru-RU"/>
              </w:rPr>
              <w:t xml:space="preserve"> </w:t>
            </w:r>
            <w:proofErr w:type="spellStart"/>
            <w:r w:rsidRPr="006B6651">
              <w:rPr>
                <w:i/>
                <w:color w:val="000000" w:themeColor="text1"/>
                <w:sz w:val="20"/>
                <w:lang w:val="ru-RU"/>
              </w:rPr>
              <w:t>низька</w:t>
            </w:r>
            <w:proofErr w:type="spellEnd"/>
            <w:r w:rsidRPr="006B6651">
              <w:rPr>
                <w:i/>
                <w:color w:val="000000" w:themeColor="text1"/>
                <w:sz w:val="20"/>
                <w:lang w:val="ru-RU"/>
              </w:rPr>
              <w:t xml:space="preserve"> [амікацин])</w:t>
            </w:r>
          </w:p>
        </w:tc>
      </w:tr>
    </w:tbl>
    <w:p w14:paraId="477684C8" w14:textId="77777777" w:rsidR="00291E90" w:rsidRPr="00EC30A9" w:rsidRDefault="00291E90" w:rsidP="00291E90">
      <w:pPr>
        <w:pStyle w:val="6"/>
        <w:spacing w:before="206"/>
        <w:ind w:right="2"/>
        <w:jc w:val="both"/>
        <w:rPr>
          <w:rFonts w:ascii="Microsoft Sans Serif" w:hAnsi="Microsoft Sans Serif" w:cs="Microsoft Sans Serif"/>
          <w:color w:val="000000" w:themeColor="text1"/>
          <w:lang w:val="uk-UA"/>
        </w:rPr>
      </w:pPr>
      <w:r w:rsidRPr="00EC30A9">
        <w:rPr>
          <w:rFonts w:ascii="Microsoft Sans Serif" w:hAnsi="Microsoft Sans Serif" w:cs="Microsoft Sans Serif"/>
          <w:color w:val="000000" w:themeColor="text1"/>
          <w:w w:val="115"/>
          <w:lang w:val="uk-UA"/>
        </w:rPr>
        <w:t>Примітки</w:t>
      </w:r>
    </w:p>
    <w:p w14:paraId="28D0C7B2" w14:textId="77777777" w:rsidR="00291E90" w:rsidRPr="006B6651" w:rsidRDefault="00291E90" w:rsidP="004A2937">
      <w:pPr>
        <w:pStyle w:val="a4"/>
        <w:numPr>
          <w:ilvl w:val="0"/>
          <w:numId w:val="45"/>
        </w:numPr>
        <w:tabs>
          <w:tab w:val="left" w:pos="1701"/>
        </w:tabs>
        <w:spacing w:before="206" w:line="276" w:lineRule="auto"/>
        <w:ind w:right="2"/>
        <w:rPr>
          <w:color w:val="000000" w:themeColor="text1"/>
          <w:sz w:val="20"/>
          <w:lang w:val="ru-RU"/>
        </w:rPr>
      </w:pPr>
      <w:proofErr w:type="spellStart"/>
      <w:r w:rsidRPr="006B6651">
        <w:rPr>
          <w:color w:val="000000" w:themeColor="text1"/>
          <w:w w:val="110"/>
          <w:sz w:val="20"/>
          <w:lang w:val="ru-RU"/>
        </w:rPr>
        <w:t>Пріоритет</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слід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надавати</w:t>
      </w:r>
      <w:proofErr w:type="spellEnd"/>
      <w:r w:rsidRPr="006B6651">
        <w:rPr>
          <w:color w:val="000000" w:themeColor="text1"/>
          <w:w w:val="110"/>
          <w:sz w:val="20"/>
          <w:lang w:val="ru-RU"/>
        </w:rPr>
        <w:t xml:space="preserve"> особам з </w:t>
      </w:r>
      <w:proofErr w:type="spellStart"/>
      <w:r w:rsidRPr="006B6651">
        <w:rPr>
          <w:color w:val="000000" w:themeColor="text1"/>
          <w:w w:val="110"/>
          <w:sz w:val="20"/>
          <w:lang w:val="ru-RU"/>
        </w:rPr>
        <w:t>вищим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ризиком</w:t>
      </w:r>
      <w:proofErr w:type="spellEnd"/>
      <w:r w:rsidRPr="006B6651">
        <w:rPr>
          <w:color w:val="000000" w:themeColor="text1"/>
          <w:w w:val="110"/>
          <w:sz w:val="20"/>
          <w:lang w:val="ru-RU"/>
        </w:rPr>
        <w:t xml:space="preserve"> </w:t>
      </w:r>
      <w:r>
        <w:rPr>
          <w:color w:val="000000" w:themeColor="text1"/>
          <w:w w:val="110"/>
          <w:sz w:val="20"/>
          <w:lang w:val="uk-UA"/>
        </w:rPr>
        <w:t>стійкості</w:t>
      </w:r>
      <w:r w:rsidRPr="006B6651">
        <w:rPr>
          <w:color w:val="000000" w:themeColor="text1"/>
          <w:w w:val="110"/>
          <w:sz w:val="20"/>
          <w:lang w:val="ru-RU"/>
        </w:rPr>
        <w:t xml:space="preserve"> до </w:t>
      </w:r>
      <w:proofErr w:type="spellStart"/>
      <w:r w:rsidRPr="006B6651">
        <w:rPr>
          <w:color w:val="000000" w:themeColor="text1"/>
          <w:w w:val="110"/>
          <w:sz w:val="20"/>
          <w:lang w:val="ru-RU"/>
        </w:rPr>
        <w:t>препаратів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використовуються</w:t>
      </w:r>
      <w:proofErr w:type="spellEnd"/>
      <w:r w:rsidRPr="006B6651">
        <w:rPr>
          <w:color w:val="000000" w:themeColor="text1"/>
          <w:w w:val="110"/>
          <w:sz w:val="20"/>
          <w:lang w:val="ru-RU"/>
        </w:rPr>
        <w:t xml:space="preserve"> для лікування Р</w:t>
      </w:r>
      <w:proofErr w:type="spellStart"/>
      <w:r w:rsidRPr="00BE6D3F">
        <w:rPr>
          <w:color w:val="000000" w:themeColor="text1"/>
          <w:w w:val="110"/>
          <w:sz w:val="20"/>
          <w:lang w:val="uk-UA"/>
        </w:rPr>
        <w:t>иф</w:t>
      </w:r>
      <w:proofErr w:type="spellEnd"/>
      <w:r w:rsidRPr="006B6651">
        <w:rPr>
          <w:color w:val="000000" w:themeColor="text1"/>
          <w:w w:val="110"/>
          <w:sz w:val="20"/>
          <w:lang w:val="ru-RU"/>
        </w:rPr>
        <w:t xml:space="preserve">-ТБ, </w:t>
      </w:r>
      <w:proofErr w:type="spellStart"/>
      <w:r w:rsidRPr="006B6651">
        <w:rPr>
          <w:color w:val="000000" w:themeColor="text1"/>
          <w:w w:val="110"/>
          <w:sz w:val="20"/>
          <w:lang w:val="ru-RU"/>
        </w:rPr>
        <w:t>зокрема</w:t>
      </w:r>
      <w:proofErr w:type="spellEnd"/>
      <w:r w:rsidRPr="006B6651">
        <w:rPr>
          <w:color w:val="000000" w:themeColor="text1"/>
          <w:w w:val="110"/>
          <w:sz w:val="20"/>
          <w:lang w:val="ru-RU"/>
        </w:rPr>
        <w:t xml:space="preserve"> особам, </w:t>
      </w:r>
      <w:proofErr w:type="spellStart"/>
      <w:r w:rsidRPr="006B6651">
        <w:rPr>
          <w:color w:val="000000" w:themeColor="text1"/>
          <w:w w:val="110"/>
          <w:sz w:val="20"/>
          <w:lang w:val="ru-RU"/>
        </w:rPr>
        <w:t>які</w:t>
      </w:r>
      <w:proofErr w:type="spellEnd"/>
      <w:r w:rsidRPr="006B6651">
        <w:rPr>
          <w:color w:val="000000" w:themeColor="text1"/>
          <w:w w:val="110"/>
          <w:sz w:val="20"/>
          <w:lang w:val="ru-RU"/>
        </w:rPr>
        <w:t>:</w:t>
      </w:r>
    </w:p>
    <w:p w14:paraId="6C89C5BD" w14:textId="77777777" w:rsidR="00291E90" w:rsidRPr="006B6651" w:rsidRDefault="00291E90" w:rsidP="004A2937">
      <w:pPr>
        <w:pStyle w:val="a4"/>
        <w:numPr>
          <w:ilvl w:val="1"/>
          <w:numId w:val="45"/>
        </w:numPr>
        <w:tabs>
          <w:tab w:val="left" w:pos="2077"/>
          <w:tab w:val="left" w:pos="2078"/>
        </w:tabs>
        <w:spacing w:before="2" w:line="276" w:lineRule="auto"/>
        <w:ind w:right="2"/>
        <w:rPr>
          <w:color w:val="000000" w:themeColor="text1"/>
          <w:sz w:val="20"/>
          <w:lang w:val="ru-RU"/>
        </w:rPr>
      </w:pPr>
      <w:r w:rsidRPr="00BE6D3F">
        <w:rPr>
          <w:color w:val="000000" w:themeColor="text1"/>
          <w:w w:val="110"/>
          <w:sz w:val="20"/>
          <w:lang w:val="uk-UA"/>
        </w:rPr>
        <w:t>мають</w:t>
      </w:r>
      <w:r w:rsidRPr="006B6651">
        <w:rPr>
          <w:color w:val="000000" w:themeColor="text1"/>
          <w:w w:val="110"/>
          <w:sz w:val="20"/>
          <w:lang w:val="ru-RU"/>
        </w:rPr>
        <w:t xml:space="preserve"> </w:t>
      </w:r>
      <w:proofErr w:type="spellStart"/>
      <w:r w:rsidRPr="006B6651">
        <w:rPr>
          <w:color w:val="000000" w:themeColor="text1"/>
          <w:w w:val="110"/>
          <w:sz w:val="20"/>
          <w:lang w:val="ru-RU"/>
        </w:rPr>
        <w:t>позитивний</w:t>
      </w:r>
      <w:proofErr w:type="spellEnd"/>
      <w:r w:rsidRPr="006B6651">
        <w:rPr>
          <w:color w:val="000000" w:themeColor="text1"/>
          <w:w w:val="110"/>
          <w:sz w:val="20"/>
          <w:lang w:val="ru-RU"/>
        </w:rPr>
        <w:t xml:space="preserve"> результат мазка або </w:t>
      </w:r>
      <w:proofErr w:type="spellStart"/>
      <w:r w:rsidRPr="006B6651">
        <w:rPr>
          <w:color w:val="000000" w:themeColor="text1"/>
          <w:w w:val="110"/>
          <w:sz w:val="20"/>
          <w:lang w:val="ru-RU"/>
        </w:rPr>
        <w:t>посіву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після</w:t>
      </w:r>
      <w:proofErr w:type="spellEnd"/>
      <w:r w:rsidRPr="006B6651">
        <w:rPr>
          <w:color w:val="000000" w:themeColor="text1"/>
          <w:w w:val="110"/>
          <w:sz w:val="20"/>
          <w:lang w:val="ru-RU"/>
        </w:rPr>
        <w:t xml:space="preserve"> 2 або </w:t>
      </w:r>
      <w:proofErr w:type="spellStart"/>
      <w:r w:rsidRPr="006B6651">
        <w:rPr>
          <w:color w:val="000000" w:themeColor="text1"/>
          <w:w w:val="110"/>
          <w:sz w:val="20"/>
          <w:lang w:val="ru-RU"/>
        </w:rPr>
        <w:t>більше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місяців</w:t>
      </w:r>
      <w:proofErr w:type="spellEnd"/>
      <w:r w:rsidRPr="006B6651">
        <w:rPr>
          <w:color w:val="000000" w:themeColor="text1"/>
          <w:w w:val="110"/>
          <w:sz w:val="20"/>
          <w:lang w:val="ru-RU"/>
        </w:rPr>
        <w:t xml:space="preserve"> лікування, або </w:t>
      </w:r>
      <w:r w:rsidRPr="00BE6D3F">
        <w:rPr>
          <w:color w:val="000000" w:themeColor="text1"/>
          <w:w w:val="110"/>
          <w:sz w:val="20"/>
          <w:lang w:val="uk-UA"/>
        </w:rPr>
        <w:t>для</w:t>
      </w:r>
      <w:r w:rsidRPr="006B6651">
        <w:rPr>
          <w:color w:val="000000" w:themeColor="text1"/>
          <w:w w:val="110"/>
          <w:sz w:val="20"/>
          <w:lang w:val="ru-RU"/>
        </w:rPr>
        <w:t xml:space="preserve"> </w:t>
      </w:r>
      <w:proofErr w:type="spellStart"/>
      <w:r w:rsidRPr="006B6651">
        <w:rPr>
          <w:color w:val="000000" w:themeColor="text1"/>
          <w:w w:val="110"/>
          <w:sz w:val="20"/>
          <w:lang w:val="ru-RU"/>
        </w:rPr>
        <w:t>яких</w:t>
      </w:r>
      <w:proofErr w:type="spellEnd"/>
      <w:r w:rsidRPr="006B6651">
        <w:rPr>
          <w:color w:val="000000" w:themeColor="text1"/>
          <w:w w:val="110"/>
          <w:sz w:val="20"/>
          <w:lang w:val="ru-RU"/>
        </w:rPr>
        <w:t xml:space="preserve"> лікування </w:t>
      </w:r>
      <w:r w:rsidRPr="00BE6D3F">
        <w:rPr>
          <w:color w:val="000000" w:themeColor="text1"/>
          <w:w w:val="110"/>
          <w:sz w:val="20"/>
          <w:lang w:val="uk-UA"/>
        </w:rPr>
        <w:t>виявляється неефективним</w:t>
      </w:r>
      <w:r w:rsidRPr="006B6651">
        <w:rPr>
          <w:color w:val="000000" w:themeColor="text1"/>
          <w:w w:val="110"/>
          <w:sz w:val="20"/>
          <w:lang w:val="ru-RU"/>
        </w:rPr>
        <w:t>;</w:t>
      </w:r>
    </w:p>
    <w:p w14:paraId="7C73C7D6" w14:textId="77777777" w:rsidR="00291E90" w:rsidRPr="006B6651" w:rsidRDefault="00291E90" w:rsidP="004A2937">
      <w:pPr>
        <w:pStyle w:val="a4"/>
        <w:numPr>
          <w:ilvl w:val="1"/>
          <w:numId w:val="45"/>
        </w:numPr>
        <w:tabs>
          <w:tab w:val="left" w:pos="2078"/>
        </w:tabs>
        <w:spacing w:before="3"/>
        <w:ind w:right="2" w:hanging="321"/>
        <w:rPr>
          <w:color w:val="000000" w:themeColor="text1"/>
          <w:sz w:val="20"/>
          <w:lang w:val="ru-RU"/>
        </w:rPr>
      </w:pPr>
      <w:proofErr w:type="spellStart"/>
      <w:r w:rsidRPr="006B6651">
        <w:rPr>
          <w:color w:val="000000" w:themeColor="text1"/>
          <w:w w:val="110"/>
          <w:sz w:val="20"/>
          <w:lang w:val="ru-RU"/>
        </w:rPr>
        <w:t>раніше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лікувалися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від</w:t>
      </w:r>
      <w:proofErr w:type="spellEnd"/>
      <w:r w:rsidRPr="006B6651">
        <w:rPr>
          <w:color w:val="000000" w:themeColor="text1"/>
          <w:w w:val="110"/>
          <w:sz w:val="20"/>
          <w:lang w:val="ru-RU"/>
        </w:rPr>
        <w:t xml:space="preserve"> ТБ, у тому </w:t>
      </w:r>
      <w:proofErr w:type="spellStart"/>
      <w:r w:rsidRPr="006B6651">
        <w:rPr>
          <w:color w:val="000000" w:themeColor="text1"/>
          <w:w w:val="110"/>
          <w:sz w:val="20"/>
          <w:lang w:val="ru-RU"/>
        </w:rPr>
        <w:t>числі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новими</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перепрофільованими</w:t>
      </w:r>
      <w:proofErr w:type="spellEnd"/>
      <w:r w:rsidRPr="006B6651">
        <w:rPr>
          <w:color w:val="000000" w:themeColor="text1"/>
          <w:w w:val="110"/>
          <w:sz w:val="20"/>
          <w:lang w:val="ru-RU"/>
        </w:rPr>
        <w:t xml:space="preserve"> </w:t>
      </w:r>
      <w:r w:rsidRPr="00BE6D3F">
        <w:rPr>
          <w:color w:val="000000" w:themeColor="text1"/>
          <w:w w:val="110"/>
          <w:sz w:val="20"/>
          <w:lang w:val="uk-UA"/>
        </w:rPr>
        <w:t xml:space="preserve">                       </w:t>
      </w:r>
      <w:r w:rsidRPr="006B6651">
        <w:rPr>
          <w:color w:val="000000" w:themeColor="text1"/>
          <w:w w:val="110"/>
          <w:sz w:val="20"/>
          <w:lang w:val="ru-RU"/>
        </w:rPr>
        <w:t>препаратами;</w:t>
      </w:r>
    </w:p>
    <w:p w14:paraId="00C65767" w14:textId="77777777" w:rsidR="00291E90" w:rsidRPr="006B6651" w:rsidRDefault="00291E90" w:rsidP="004A2937">
      <w:pPr>
        <w:pStyle w:val="a4"/>
        <w:numPr>
          <w:ilvl w:val="1"/>
          <w:numId w:val="45"/>
        </w:numPr>
        <w:tabs>
          <w:tab w:val="left" w:pos="2078"/>
        </w:tabs>
        <w:spacing w:before="41" w:line="276" w:lineRule="auto"/>
        <w:ind w:right="2"/>
        <w:rPr>
          <w:color w:val="000000" w:themeColor="text1"/>
          <w:sz w:val="20"/>
          <w:lang w:val="ru-RU"/>
        </w:rPr>
      </w:pPr>
      <w:proofErr w:type="spellStart"/>
      <w:r w:rsidRPr="006B6651">
        <w:rPr>
          <w:color w:val="000000" w:themeColor="text1"/>
          <w:w w:val="110"/>
          <w:sz w:val="20"/>
          <w:lang w:val="ru-RU"/>
        </w:rPr>
        <w:t>перебувають</w:t>
      </w:r>
      <w:proofErr w:type="spellEnd"/>
      <w:r w:rsidRPr="006B6651">
        <w:rPr>
          <w:color w:val="000000" w:themeColor="text1"/>
          <w:w w:val="110"/>
          <w:sz w:val="20"/>
          <w:lang w:val="ru-RU"/>
        </w:rPr>
        <w:t xml:space="preserve"> у </w:t>
      </w:r>
      <w:proofErr w:type="spellStart"/>
      <w:r w:rsidRPr="006B6651">
        <w:rPr>
          <w:color w:val="000000" w:themeColor="text1"/>
          <w:w w:val="110"/>
          <w:sz w:val="20"/>
          <w:lang w:val="ru-RU"/>
        </w:rPr>
        <w:t>контакті</w:t>
      </w:r>
      <w:proofErr w:type="spellEnd"/>
      <w:r w:rsidRPr="006B6651">
        <w:rPr>
          <w:color w:val="000000" w:themeColor="text1"/>
          <w:w w:val="110"/>
          <w:sz w:val="20"/>
          <w:lang w:val="ru-RU"/>
        </w:rPr>
        <w:t xml:space="preserve"> з особою, про яку </w:t>
      </w:r>
      <w:proofErr w:type="spellStart"/>
      <w:r w:rsidRPr="006B6651">
        <w:rPr>
          <w:color w:val="000000" w:themeColor="text1"/>
          <w:w w:val="110"/>
          <w:sz w:val="20"/>
          <w:lang w:val="ru-RU"/>
        </w:rPr>
        <w:t>відомо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вона </w:t>
      </w:r>
      <w:proofErr w:type="spellStart"/>
      <w:r w:rsidRPr="006B6651">
        <w:rPr>
          <w:color w:val="000000" w:themeColor="text1"/>
          <w:w w:val="110"/>
          <w:sz w:val="20"/>
          <w:lang w:val="ru-RU"/>
        </w:rPr>
        <w:t>має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стійкість</w:t>
      </w:r>
      <w:proofErr w:type="spellEnd"/>
      <w:r w:rsidRPr="006B6651">
        <w:rPr>
          <w:color w:val="000000" w:themeColor="text1"/>
          <w:w w:val="110"/>
          <w:sz w:val="20"/>
          <w:lang w:val="ru-RU"/>
        </w:rPr>
        <w:t xml:space="preserve"> до </w:t>
      </w:r>
      <w:proofErr w:type="spellStart"/>
      <w:r w:rsidRPr="006B6651">
        <w:rPr>
          <w:color w:val="000000" w:themeColor="text1"/>
          <w:w w:val="110"/>
          <w:sz w:val="20"/>
          <w:lang w:val="ru-RU"/>
        </w:rPr>
        <w:t>протитуберкульозних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препаратів</w:t>
      </w:r>
      <w:proofErr w:type="spellEnd"/>
      <w:r w:rsidRPr="00BE6D3F">
        <w:rPr>
          <w:color w:val="000000" w:themeColor="text1"/>
          <w:w w:val="110"/>
          <w:sz w:val="20"/>
          <w:lang w:val="uk-UA"/>
        </w:rPr>
        <w:t>,</w:t>
      </w:r>
      <w:r w:rsidRPr="006B6651">
        <w:rPr>
          <w:color w:val="000000" w:themeColor="text1"/>
          <w:sz w:val="20"/>
          <w:lang w:val="ru-RU"/>
        </w:rPr>
        <w:t xml:space="preserve"> </w:t>
      </w:r>
      <w:r w:rsidRPr="006B6651">
        <w:rPr>
          <w:color w:val="000000" w:themeColor="text1"/>
          <w:w w:val="110"/>
          <w:sz w:val="20"/>
          <w:lang w:val="ru-RU"/>
        </w:rPr>
        <w:t xml:space="preserve">включаючи </w:t>
      </w:r>
      <w:proofErr w:type="spellStart"/>
      <w:r w:rsidRPr="006B6651">
        <w:rPr>
          <w:color w:val="000000" w:themeColor="text1"/>
          <w:w w:val="110"/>
          <w:sz w:val="20"/>
          <w:lang w:val="ru-RU"/>
        </w:rPr>
        <w:t>нові</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перепрофільовані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препарати</w:t>
      </w:r>
      <w:proofErr w:type="spellEnd"/>
      <w:r w:rsidRPr="006B6651">
        <w:rPr>
          <w:color w:val="000000" w:themeColor="text1"/>
          <w:w w:val="110"/>
          <w:sz w:val="20"/>
          <w:lang w:val="ru-RU"/>
        </w:rPr>
        <w:t>; або</w:t>
      </w:r>
    </w:p>
    <w:p w14:paraId="5413CB3B" w14:textId="77777777" w:rsidR="00291E90" w:rsidRPr="006B6651" w:rsidRDefault="00291E90" w:rsidP="004A2937">
      <w:pPr>
        <w:pStyle w:val="a4"/>
        <w:numPr>
          <w:ilvl w:val="1"/>
          <w:numId w:val="45"/>
        </w:numPr>
        <w:tabs>
          <w:tab w:val="left" w:pos="2078"/>
        </w:tabs>
        <w:spacing w:before="3"/>
        <w:ind w:right="2" w:hanging="321"/>
        <w:rPr>
          <w:color w:val="000000" w:themeColor="text1"/>
          <w:sz w:val="20"/>
          <w:lang w:val="ru-RU"/>
        </w:rPr>
      </w:pPr>
      <w:proofErr w:type="spellStart"/>
      <w:r w:rsidRPr="006B6651">
        <w:rPr>
          <w:color w:val="000000" w:themeColor="text1"/>
          <w:w w:val="110"/>
          <w:sz w:val="20"/>
          <w:lang w:val="ru-RU"/>
        </w:rPr>
        <w:t>мають</w:t>
      </w:r>
      <w:proofErr w:type="spellEnd"/>
      <w:r w:rsidRPr="006B6651">
        <w:rPr>
          <w:color w:val="000000" w:themeColor="text1"/>
          <w:w w:val="110"/>
          <w:sz w:val="20"/>
          <w:lang w:val="ru-RU"/>
        </w:rPr>
        <w:t xml:space="preserve"> пре-</w:t>
      </w:r>
      <w:r w:rsidRPr="00B32633">
        <w:rPr>
          <w:color w:val="000000" w:themeColor="text1"/>
          <w:w w:val="110"/>
          <w:sz w:val="20"/>
          <w:lang w:val="uk-UA"/>
        </w:rPr>
        <w:t>ШЛС</w:t>
      </w:r>
      <w:r w:rsidRPr="00BE6D3F">
        <w:rPr>
          <w:color w:val="000000" w:themeColor="text1"/>
          <w:w w:val="110"/>
          <w:sz w:val="20"/>
          <w:lang w:val="uk-UA"/>
        </w:rPr>
        <w:t>-ТБ</w:t>
      </w:r>
      <w:r w:rsidRPr="006B6651">
        <w:rPr>
          <w:color w:val="000000" w:themeColor="text1"/>
          <w:w w:val="110"/>
          <w:sz w:val="20"/>
          <w:lang w:val="ru-RU"/>
        </w:rPr>
        <w:t xml:space="preserve"> з</w:t>
      </w:r>
      <w:r w:rsidRPr="00BE6D3F">
        <w:rPr>
          <w:color w:val="000000" w:themeColor="text1"/>
          <w:w w:val="110"/>
          <w:sz w:val="20"/>
          <w:lang w:val="uk-UA"/>
        </w:rPr>
        <w:t>і</w:t>
      </w:r>
      <w:r w:rsidRPr="006B6651">
        <w:rPr>
          <w:color w:val="000000" w:themeColor="text1"/>
          <w:w w:val="110"/>
          <w:sz w:val="20"/>
          <w:lang w:val="ru-RU"/>
        </w:rPr>
        <w:t xml:space="preserve"> </w:t>
      </w:r>
      <w:r w:rsidRPr="00BE6D3F">
        <w:rPr>
          <w:color w:val="000000" w:themeColor="text1"/>
          <w:w w:val="110"/>
          <w:sz w:val="20"/>
          <w:lang w:val="uk-UA"/>
        </w:rPr>
        <w:t>стійкістю</w:t>
      </w:r>
      <w:r w:rsidRPr="006B6651">
        <w:rPr>
          <w:color w:val="000000" w:themeColor="text1"/>
          <w:w w:val="110"/>
          <w:sz w:val="20"/>
          <w:lang w:val="ru-RU"/>
        </w:rPr>
        <w:t xml:space="preserve"> до фторхінолонів.</w:t>
      </w:r>
    </w:p>
    <w:p w14:paraId="166874D9" w14:textId="77777777" w:rsidR="00291E90" w:rsidRPr="006B6651" w:rsidRDefault="00291E90" w:rsidP="004A2937">
      <w:pPr>
        <w:pStyle w:val="a4"/>
        <w:numPr>
          <w:ilvl w:val="0"/>
          <w:numId w:val="45"/>
        </w:numPr>
        <w:tabs>
          <w:tab w:val="left" w:pos="1701"/>
        </w:tabs>
        <w:spacing w:before="41" w:line="276" w:lineRule="auto"/>
        <w:ind w:right="2"/>
        <w:rPr>
          <w:sz w:val="20"/>
          <w:lang w:val="ru-RU"/>
        </w:rPr>
      </w:pPr>
      <w:r w:rsidRPr="006B6651">
        <w:rPr>
          <w:w w:val="110"/>
          <w:sz w:val="20"/>
          <w:lang w:val="ru-RU"/>
        </w:rPr>
        <w:t xml:space="preserve">Як </w:t>
      </w:r>
      <w:proofErr w:type="spellStart"/>
      <w:r w:rsidRPr="006B6651">
        <w:rPr>
          <w:w w:val="110"/>
          <w:sz w:val="20"/>
          <w:lang w:val="ru-RU"/>
        </w:rPr>
        <w:t>зазначено</w:t>
      </w:r>
      <w:proofErr w:type="spellEnd"/>
      <w:r w:rsidRPr="006B6651">
        <w:rPr>
          <w:w w:val="110"/>
          <w:sz w:val="20"/>
          <w:lang w:val="ru-RU"/>
        </w:rPr>
        <w:t xml:space="preserve"> </w:t>
      </w:r>
      <w:proofErr w:type="spellStart"/>
      <w:r w:rsidRPr="006B6651">
        <w:rPr>
          <w:w w:val="110"/>
          <w:sz w:val="20"/>
          <w:lang w:val="ru-RU"/>
        </w:rPr>
        <w:t>вище</w:t>
      </w:r>
      <w:proofErr w:type="spellEnd"/>
      <w:r w:rsidRPr="006B6651">
        <w:rPr>
          <w:w w:val="110"/>
          <w:sz w:val="20"/>
          <w:lang w:val="ru-RU"/>
        </w:rPr>
        <w:t xml:space="preserve">, </w:t>
      </w:r>
      <w:proofErr w:type="spellStart"/>
      <w:r w:rsidRPr="006B6651">
        <w:rPr>
          <w:w w:val="110"/>
          <w:sz w:val="20"/>
          <w:lang w:val="ru-RU"/>
        </w:rPr>
        <w:t>ця</w:t>
      </w:r>
      <w:proofErr w:type="spellEnd"/>
      <w:r w:rsidRPr="006B6651">
        <w:rPr>
          <w:w w:val="110"/>
          <w:sz w:val="20"/>
          <w:lang w:val="ru-RU"/>
        </w:rPr>
        <w:t xml:space="preserve"> </w:t>
      </w:r>
      <w:proofErr w:type="spellStart"/>
      <w:r w:rsidRPr="006B6651">
        <w:rPr>
          <w:w w:val="110"/>
          <w:sz w:val="20"/>
          <w:lang w:val="ru-RU"/>
        </w:rPr>
        <w:t>рекомендація</w:t>
      </w:r>
      <w:proofErr w:type="spellEnd"/>
      <w:r w:rsidRPr="006B6651">
        <w:rPr>
          <w:w w:val="110"/>
          <w:sz w:val="20"/>
          <w:lang w:val="ru-RU"/>
        </w:rPr>
        <w:t xml:space="preserve"> </w:t>
      </w:r>
      <w:proofErr w:type="spellStart"/>
      <w:r w:rsidRPr="006B6651">
        <w:rPr>
          <w:w w:val="110"/>
          <w:sz w:val="20"/>
          <w:lang w:val="ru-RU"/>
        </w:rPr>
        <w:t>умовн</w:t>
      </w:r>
      <w:proofErr w:type="spellEnd"/>
      <w:r w:rsidRPr="00BE6D3F">
        <w:rPr>
          <w:w w:val="110"/>
          <w:sz w:val="20"/>
          <w:lang w:val="uk-UA"/>
        </w:rPr>
        <w:t>а</w:t>
      </w:r>
      <w:r w:rsidRPr="006B6651">
        <w:rPr>
          <w:w w:val="110"/>
          <w:sz w:val="20"/>
          <w:lang w:val="ru-RU"/>
        </w:rPr>
        <w:t xml:space="preserve"> через брак </w:t>
      </w:r>
      <w:proofErr w:type="spellStart"/>
      <w:r w:rsidRPr="006B6651">
        <w:rPr>
          <w:w w:val="110"/>
          <w:sz w:val="20"/>
          <w:lang w:val="ru-RU"/>
        </w:rPr>
        <w:t>даних</w:t>
      </w:r>
      <w:proofErr w:type="spellEnd"/>
      <w:r w:rsidRPr="006B6651">
        <w:rPr>
          <w:w w:val="110"/>
          <w:sz w:val="20"/>
          <w:lang w:val="ru-RU"/>
        </w:rPr>
        <w:t xml:space="preserve"> </w:t>
      </w:r>
      <w:r w:rsidRPr="00BE6D3F">
        <w:rPr>
          <w:w w:val="110"/>
          <w:sz w:val="20"/>
          <w:lang w:val="uk-UA"/>
        </w:rPr>
        <w:t>про</w:t>
      </w:r>
      <w:r w:rsidRPr="006B6651">
        <w:rPr>
          <w:w w:val="110"/>
          <w:sz w:val="20"/>
          <w:lang w:val="ru-RU"/>
        </w:rPr>
        <w:t xml:space="preserve"> </w:t>
      </w:r>
      <w:proofErr w:type="spellStart"/>
      <w:r w:rsidRPr="006B6651">
        <w:rPr>
          <w:w w:val="110"/>
          <w:sz w:val="20"/>
          <w:lang w:val="ru-RU"/>
        </w:rPr>
        <w:t>корист</w:t>
      </w:r>
      <w:proofErr w:type="spellEnd"/>
      <w:r w:rsidRPr="00BE6D3F">
        <w:rPr>
          <w:w w:val="110"/>
          <w:sz w:val="20"/>
          <w:lang w:val="uk-UA"/>
        </w:rPr>
        <w:t>ь</w:t>
      </w:r>
      <w:r w:rsidRPr="006B6651">
        <w:rPr>
          <w:w w:val="110"/>
          <w:sz w:val="20"/>
          <w:lang w:val="ru-RU"/>
        </w:rPr>
        <w:t xml:space="preserve"> для здоров'я, </w:t>
      </w:r>
      <w:r w:rsidRPr="00BE6D3F">
        <w:rPr>
          <w:w w:val="110"/>
          <w:sz w:val="20"/>
          <w:lang w:val="uk-UA"/>
        </w:rPr>
        <w:t>неоднакову</w:t>
      </w:r>
      <w:r w:rsidRPr="006B6651">
        <w:rPr>
          <w:w w:val="110"/>
          <w:sz w:val="20"/>
          <w:lang w:val="ru-RU"/>
        </w:rPr>
        <w:t xml:space="preserve"> </w:t>
      </w:r>
      <w:proofErr w:type="spellStart"/>
      <w:r w:rsidRPr="006B6651">
        <w:rPr>
          <w:w w:val="110"/>
          <w:sz w:val="20"/>
          <w:lang w:val="ru-RU"/>
        </w:rPr>
        <w:t>достовірність</w:t>
      </w:r>
      <w:proofErr w:type="spellEnd"/>
      <w:r w:rsidRPr="006B6651">
        <w:rPr>
          <w:w w:val="110"/>
          <w:sz w:val="20"/>
          <w:lang w:val="ru-RU"/>
        </w:rPr>
        <w:t xml:space="preserve"> </w:t>
      </w:r>
      <w:proofErr w:type="spellStart"/>
      <w:r w:rsidRPr="006B6651">
        <w:rPr>
          <w:w w:val="110"/>
          <w:sz w:val="20"/>
          <w:lang w:val="ru-RU"/>
        </w:rPr>
        <w:t>доказів</w:t>
      </w:r>
      <w:proofErr w:type="spellEnd"/>
      <w:r w:rsidRPr="006B6651">
        <w:rPr>
          <w:w w:val="110"/>
          <w:sz w:val="20"/>
          <w:lang w:val="ru-RU"/>
        </w:rPr>
        <w:t xml:space="preserve"> щодо </w:t>
      </w:r>
      <w:proofErr w:type="spellStart"/>
      <w:r w:rsidRPr="006B6651">
        <w:rPr>
          <w:w w:val="110"/>
          <w:sz w:val="20"/>
          <w:lang w:val="ru-RU"/>
        </w:rPr>
        <w:t>діагностичної</w:t>
      </w:r>
      <w:proofErr w:type="spellEnd"/>
      <w:r w:rsidRPr="006B6651">
        <w:rPr>
          <w:w w:val="110"/>
          <w:sz w:val="20"/>
          <w:lang w:val="ru-RU"/>
        </w:rPr>
        <w:t xml:space="preserve"> </w:t>
      </w:r>
      <w:proofErr w:type="spellStart"/>
      <w:r w:rsidRPr="006B6651">
        <w:rPr>
          <w:w w:val="110"/>
          <w:sz w:val="20"/>
          <w:lang w:val="ru-RU"/>
        </w:rPr>
        <w:t>точності</w:t>
      </w:r>
      <w:proofErr w:type="spellEnd"/>
      <w:r w:rsidRPr="006B6651">
        <w:rPr>
          <w:w w:val="110"/>
          <w:sz w:val="20"/>
          <w:lang w:val="ru-RU"/>
        </w:rPr>
        <w:t xml:space="preserve">, </w:t>
      </w:r>
      <w:r w:rsidRPr="00BE6D3F">
        <w:rPr>
          <w:w w:val="110"/>
          <w:sz w:val="20"/>
          <w:lang w:val="uk-UA"/>
        </w:rPr>
        <w:t xml:space="preserve">неоптимальну </w:t>
      </w:r>
      <w:proofErr w:type="spellStart"/>
      <w:r w:rsidRPr="006B6651">
        <w:rPr>
          <w:w w:val="110"/>
          <w:sz w:val="20"/>
          <w:lang w:val="ru-RU"/>
        </w:rPr>
        <w:t>точність</w:t>
      </w:r>
      <w:proofErr w:type="spellEnd"/>
      <w:r w:rsidRPr="006B6651">
        <w:rPr>
          <w:w w:val="110"/>
          <w:sz w:val="20"/>
          <w:lang w:val="ru-RU"/>
        </w:rPr>
        <w:t xml:space="preserve"> для </w:t>
      </w:r>
      <w:proofErr w:type="spellStart"/>
      <w:r w:rsidRPr="006B6651">
        <w:rPr>
          <w:w w:val="110"/>
          <w:sz w:val="20"/>
          <w:lang w:val="ru-RU"/>
        </w:rPr>
        <w:t>певних</w:t>
      </w:r>
      <w:proofErr w:type="spellEnd"/>
      <w:r w:rsidRPr="006B6651">
        <w:rPr>
          <w:w w:val="110"/>
          <w:sz w:val="20"/>
          <w:lang w:val="ru-RU"/>
        </w:rPr>
        <w:t xml:space="preserve"> </w:t>
      </w:r>
      <w:proofErr w:type="spellStart"/>
      <w:r w:rsidRPr="006B6651">
        <w:rPr>
          <w:w w:val="110"/>
          <w:sz w:val="20"/>
          <w:lang w:val="ru-RU"/>
        </w:rPr>
        <w:t>препаратів</w:t>
      </w:r>
      <w:proofErr w:type="spellEnd"/>
      <w:r w:rsidRPr="006B6651">
        <w:rPr>
          <w:w w:val="110"/>
          <w:sz w:val="20"/>
          <w:lang w:val="ru-RU"/>
        </w:rPr>
        <w:t xml:space="preserve">, а також через </w:t>
      </w:r>
      <w:proofErr w:type="spellStart"/>
      <w:r w:rsidRPr="006B6651">
        <w:rPr>
          <w:w w:val="110"/>
          <w:sz w:val="20"/>
          <w:lang w:val="ru-RU"/>
        </w:rPr>
        <w:t>обмежені</w:t>
      </w:r>
      <w:proofErr w:type="spellEnd"/>
      <w:r w:rsidRPr="006B6651">
        <w:rPr>
          <w:w w:val="110"/>
          <w:sz w:val="20"/>
          <w:lang w:val="ru-RU"/>
        </w:rPr>
        <w:t xml:space="preserve"> та </w:t>
      </w:r>
      <w:r w:rsidRPr="00BE6D3F">
        <w:rPr>
          <w:w w:val="110"/>
          <w:sz w:val="20"/>
          <w:lang w:val="uk-UA"/>
        </w:rPr>
        <w:t>неоднорідні</w:t>
      </w:r>
      <w:r w:rsidRPr="006B6651">
        <w:rPr>
          <w:w w:val="110"/>
          <w:sz w:val="20"/>
          <w:lang w:val="ru-RU"/>
        </w:rPr>
        <w:t xml:space="preserve"> </w:t>
      </w:r>
      <w:proofErr w:type="spellStart"/>
      <w:r w:rsidRPr="006B6651">
        <w:rPr>
          <w:w w:val="110"/>
          <w:sz w:val="20"/>
          <w:lang w:val="ru-RU"/>
        </w:rPr>
        <w:t>докази</w:t>
      </w:r>
      <w:proofErr w:type="spellEnd"/>
      <w:r w:rsidRPr="006B6651">
        <w:rPr>
          <w:w w:val="110"/>
          <w:sz w:val="20"/>
          <w:lang w:val="ru-RU"/>
        </w:rPr>
        <w:t xml:space="preserve"> щодо </w:t>
      </w:r>
      <w:proofErr w:type="spellStart"/>
      <w:r w:rsidRPr="006B6651">
        <w:rPr>
          <w:w w:val="110"/>
          <w:sz w:val="20"/>
          <w:lang w:val="ru-RU"/>
        </w:rPr>
        <w:t>витрат</w:t>
      </w:r>
      <w:proofErr w:type="spellEnd"/>
      <w:r w:rsidRPr="006B6651">
        <w:rPr>
          <w:w w:val="110"/>
          <w:sz w:val="20"/>
          <w:lang w:val="ru-RU"/>
        </w:rPr>
        <w:t xml:space="preserve">, </w:t>
      </w:r>
      <w:proofErr w:type="spellStart"/>
      <w:r w:rsidRPr="006B6651">
        <w:rPr>
          <w:w w:val="110"/>
          <w:sz w:val="20"/>
          <w:lang w:val="ru-RU"/>
        </w:rPr>
        <w:t>економічної</w:t>
      </w:r>
      <w:proofErr w:type="spellEnd"/>
      <w:r w:rsidRPr="006B6651">
        <w:rPr>
          <w:w w:val="110"/>
          <w:sz w:val="20"/>
          <w:lang w:val="ru-RU"/>
        </w:rPr>
        <w:t xml:space="preserve"> </w:t>
      </w:r>
      <w:proofErr w:type="spellStart"/>
      <w:r w:rsidRPr="006B6651">
        <w:rPr>
          <w:w w:val="110"/>
          <w:sz w:val="20"/>
          <w:lang w:val="ru-RU"/>
        </w:rPr>
        <w:t>ефективності</w:t>
      </w:r>
      <w:proofErr w:type="spellEnd"/>
      <w:r w:rsidRPr="006B6651">
        <w:rPr>
          <w:w w:val="110"/>
          <w:sz w:val="20"/>
          <w:lang w:val="ru-RU"/>
        </w:rPr>
        <w:t xml:space="preserve"> та </w:t>
      </w:r>
      <w:proofErr w:type="spellStart"/>
      <w:r w:rsidRPr="006B6651">
        <w:rPr>
          <w:w w:val="110"/>
          <w:sz w:val="20"/>
          <w:lang w:val="ru-RU"/>
        </w:rPr>
        <w:t>можливості</w:t>
      </w:r>
      <w:proofErr w:type="spellEnd"/>
      <w:r w:rsidRPr="006B6651">
        <w:rPr>
          <w:w w:val="110"/>
          <w:sz w:val="20"/>
          <w:lang w:val="ru-RU"/>
        </w:rPr>
        <w:t xml:space="preserve"> </w:t>
      </w:r>
      <w:proofErr w:type="spellStart"/>
      <w:r w:rsidRPr="006B6651">
        <w:rPr>
          <w:w w:val="110"/>
          <w:sz w:val="20"/>
          <w:lang w:val="ru-RU"/>
        </w:rPr>
        <w:t>впровадження</w:t>
      </w:r>
      <w:proofErr w:type="spellEnd"/>
      <w:r w:rsidRPr="006B6651">
        <w:rPr>
          <w:w w:val="110"/>
          <w:sz w:val="20"/>
          <w:lang w:val="ru-RU"/>
        </w:rPr>
        <w:t>.</w:t>
      </w:r>
    </w:p>
    <w:p w14:paraId="405762AD" w14:textId="1C40C37D" w:rsidR="00291E90" w:rsidRPr="006B6651" w:rsidRDefault="004A2937" w:rsidP="00291E90">
      <w:pPr>
        <w:widowControl/>
        <w:autoSpaceDE/>
        <w:autoSpaceDN/>
        <w:spacing w:after="160" w:line="259" w:lineRule="auto"/>
        <w:ind w:right="2"/>
        <w:jc w:val="both"/>
        <w:rPr>
          <w:sz w:val="20"/>
          <w:lang w:val="ru-RU"/>
        </w:rPr>
      </w:pPr>
      <w:r>
        <w:rPr>
          <w:noProof/>
        </w:rPr>
        <mc:AlternateContent>
          <mc:Choice Requires="wps">
            <w:drawing>
              <wp:anchor distT="0" distB="0" distL="114300" distR="114300" simplePos="0" relativeHeight="488227328" behindDoc="0" locked="0" layoutInCell="1" allowOverlap="1" wp14:anchorId="7B984CC7" wp14:editId="73789A85">
                <wp:simplePos x="0" y="0"/>
                <wp:positionH relativeFrom="column">
                  <wp:posOffset>5968365</wp:posOffset>
                </wp:positionH>
                <wp:positionV relativeFrom="paragraph">
                  <wp:posOffset>1836420</wp:posOffset>
                </wp:positionV>
                <wp:extent cx="463550" cy="234950"/>
                <wp:effectExtent l="0" t="0" r="0" b="0"/>
                <wp:wrapNone/>
                <wp:docPr id="1921375058" name="Поле 1941"/>
                <wp:cNvGraphicFramePr/>
                <a:graphic xmlns:a="http://schemas.openxmlformats.org/drawingml/2006/main">
                  <a:graphicData uri="http://schemas.microsoft.com/office/word/2010/wordprocessingShape">
                    <wps:wsp>
                      <wps:cNvSpPr txBox="1"/>
                      <wps:spPr>
                        <a:xfrm>
                          <a:off x="0" y="0"/>
                          <a:ext cx="463550" cy="234950"/>
                        </a:xfrm>
                        <a:prstGeom prst="rect">
                          <a:avLst/>
                        </a:prstGeom>
                        <a:solidFill>
                          <a:schemeClr val="lt1"/>
                        </a:solidFill>
                        <a:ln w="6350">
                          <a:noFill/>
                        </a:ln>
                      </wps:spPr>
                      <wps:txbx>
                        <w:txbxContent>
                          <w:p w14:paraId="6C55378B" w14:textId="5FA9AC56" w:rsidR="004A2937" w:rsidRPr="00770751" w:rsidRDefault="004A2937" w:rsidP="004A2937">
                            <w:pPr>
                              <w:rPr>
                                <w:color w:val="388600"/>
                                <w:sz w:val="20"/>
                                <w:szCs w:val="20"/>
                                <w:lang w:val="uk-UA"/>
                              </w:rPr>
                            </w:pPr>
                            <w:r>
                              <w:rPr>
                                <w:color w:val="388600"/>
                                <w:sz w:val="20"/>
                                <w:szCs w:val="20"/>
                                <w:lang w:val="uk-UA"/>
                              </w:rPr>
                              <w:t>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4CC7" id="_x0000_s1171" type="#_x0000_t202" style="position:absolute;left:0;text-align:left;margin-left:469.95pt;margin-top:144.6pt;width:36.5pt;height:18.5pt;z-index:4882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" fillcolor="white [3201]" stroked="f" strokeweight=".5pt">
                <v:textbox>
                  <w:txbxContent>
                    <w:p w14:paraId="6C55378B" w14:textId="5FA9AC56" w:rsidR="004A2937" w:rsidRPr="00770751" w:rsidRDefault="004A2937" w:rsidP="004A2937">
                      <w:pPr>
                        <w:rPr>
                          <w:color w:val="388600"/>
                          <w:sz w:val="20"/>
                          <w:szCs w:val="20"/>
                          <w:lang w:val="uk-UA"/>
                        </w:rPr>
                      </w:pPr>
                      <w:r>
                        <w:rPr>
                          <w:color w:val="388600"/>
                          <w:sz w:val="20"/>
                          <w:szCs w:val="20"/>
                          <w:lang w:val="uk-UA"/>
                        </w:rPr>
                        <w:t>101</w:t>
                      </w:r>
                    </w:p>
                  </w:txbxContent>
                </v:textbox>
              </v:shape>
            </w:pict>
          </mc:Fallback>
        </mc:AlternateContent>
      </w:r>
      <w:r w:rsidR="00291E90" w:rsidRPr="006B6651">
        <w:rPr>
          <w:sz w:val="20"/>
          <w:lang w:val="ru-RU"/>
        </w:rPr>
        <w:br w:type="page"/>
      </w:r>
    </w:p>
    <w:p w14:paraId="73716960" w14:textId="77777777" w:rsidR="00291E90" w:rsidRPr="006B6651" w:rsidRDefault="00291E90" w:rsidP="00291E90">
      <w:pPr>
        <w:pStyle w:val="a3"/>
        <w:ind w:left="1417" w:right="2"/>
        <w:jc w:val="both"/>
        <w:rPr>
          <w:sz w:val="20"/>
          <w:lang w:val="ru-RU"/>
        </w:rPr>
      </w:pPr>
    </w:p>
    <w:p w14:paraId="60E4829B" w14:textId="77777777" w:rsidR="00291E90" w:rsidRDefault="00291E90" w:rsidP="00291E90">
      <w:pPr>
        <w:pStyle w:val="a3"/>
        <w:ind w:left="1134" w:right="2"/>
        <w:jc w:val="both"/>
        <w:rPr>
          <w:sz w:val="20"/>
        </w:rPr>
      </w:pPr>
      <w:r w:rsidRPr="00A816CE">
        <w:rPr>
          <w:noProof/>
          <w:sz w:val="20"/>
        </w:rPr>
        <mc:AlternateContent>
          <mc:Choice Requires="wpg">
            <w:drawing>
              <wp:inline distT="0" distB="0" distL="0" distR="0" wp14:anchorId="25CC01F0" wp14:editId="6B319661">
                <wp:extent cx="5748793" cy="3079750"/>
                <wp:effectExtent l="0" t="0" r="4445" b="6350"/>
                <wp:docPr id="1505361735" name="Групувати 1505361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793" cy="3079750"/>
                          <a:chOff x="0" y="0"/>
                          <a:chExt cx="9071" cy="5290"/>
                        </a:xfrm>
                      </wpg:grpSpPr>
                      <wps:wsp>
                        <wps:cNvPr id="28023318" name="Freeform 14"/>
                        <wps:cNvSpPr>
                          <a:spLocks/>
                        </wps:cNvSpPr>
                        <wps:spPr bwMode="auto">
                          <a:xfrm>
                            <a:off x="170" y="0"/>
                            <a:ext cx="8901" cy="5290"/>
                          </a:xfrm>
                          <a:custGeom>
                            <a:avLst/>
                            <a:gdLst>
                              <a:gd name="T0" fmla="+- 0 8617 171"/>
                              <a:gd name="T1" fmla="*/ T0 w 8901"/>
                              <a:gd name="T2" fmla="*/ 0 h 5290"/>
                              <a:gd name="T3" fmla="+- 0 171 171"/>
                              <a:gd name="T4" fmla="*/ T3 w 8901"/>
                              <a:gd name="T5" fmla="*/ 0 h 5290"/>
                              <a:gd name="T6" fmla="+- 0 171 171"/>
                              <a:gd name="T7" fmla="*/ T6 w 8901"/>
                              <a:gd name="T8" fmla="*/ 5290 h 5290"/>
                              <a:gd name="T9" fmla="+- 0 8617 171"/>
                              <a:gd name="T10" fmla="*/ T9 w 8901"/>
                              <a:gd name="T11" fmla="*/ 5290 h 5290"/>
                              <a:gd name="T12" fmla="+- 0 8691 171"/>
                              <a:gd name="T13" fmla="*/ T12 w 8901"/>
                              <a:gd name="T14" fmla="*/ 5284 h 5290"/>
                              <a:gd name="T15" fmla="+- 0 8761 171"/>
                              <a:gd name="T16" fmla="*/ T15 w 8901"/>
                              <a:gd name="T17" fmla="*/ 5267 h 5290"/>
                              <a:gd name="T18" fmla="+- 0 8826 171"/>
                              <a:gd name="T19" fmla="*/ T18 w 8901"/>
                              <a:gd name="T20" fmla="*/ 5239 h 5290"/>
                              <a:gd name="T21" fmla="+- 0 8885 171"/>
                              <a:gd name="T22" fmla="*/ T21 w 8901"/>
                              <a:gd name="T23" fmla="*/ 5202 h 5290"/>
                              <a:gd name="T24" fmla="+- 0 8938 171"/>
                              <a:gd name="T25" fmla="*/ T24 w 8901"/>
                              <a:gd name="T26" fmla="*/ 5157 h 5290"/>
                              <a:gd name="T27" fmla="+- 0 8983 171"/>
                              <a:gd name="T28" fmla="*/ T27 w 8901"/>
                              <a:gd name="T29" fmla="*/ 5104 h 5290"/>
                              <a:gd name="T30" fmla="+- 0 9020 171"/>
                              <a:gd name="T31" fmla="*/ T30 w 8901"/>
                              <a:gd name="T32" fmla="*/ 5045 h 5290"/>
                              <a:gd name="T33" fmla="+- 0 9048 171"/>
                              <a:gd name="T34" fmla="*/ T33 w 8901"/>
                              <a:gd name="T35" fmla="*/ 4980 h 5290"/>
                              <a:gd name="T36" fmla="+- 0 9065 171"/>
                              <a:gd name="T37" fmla="*/ T36 w 8901"/>
                              <a:gd name="T38" fmla="*/ 4910 h 5290"/>
                              <a:gd name="T39" fmla="+- 0 9071 171"/>
                              <a:gd name="T40" fmla="*/ T39 w 8901"/>
                              <a:gd name="T41" fmla="*/ 4836 h 5290"/>
                              <a:gd name="T42" fmla="+- 0 9071 171"/>
                              <a:gd name="T43" fmla="*/ T42 w 8901"/>
                              <a:gd name="T44" fmla="*/ 454 h 5290"/>
                              <a:gd name="T45" fmla="+- 0 9065 171"/>
                              <a:gd name="T46" fmla="*/ T45 w 8901"/>
                              <a:gd name="T47" fmla="*/ 380 h 5290"/>
                              <a:gd name="T48" fmla="+- 0 9048 171"/>
                              <a:gd name="T49" fmla="*/ T48 w 8901"/>
                              <a:gd name="T50" fmla="*/ 310 h 5290"/>
                              <a:gd name="T51" fmla="+- 0 9020 171"/>
                              <a:gd name="T52" fmla="*/ T51 w 8901"/>
                              <a:gd name="T53" fmla="*/ 245 h 5290"/>
                              <a:gd name="T54" fmla="+- 0 8983 171"/>
                              <a:gd name="T55" fmla="*/ T54 w 8901"/>
                              <a:gd name="T56" fmla="*/ 186 h 5290"/>
                              <a:gd name="T57" fmla="+- 0 8938 171"/>
                              <a:gd name="T58" fmla="*/ T57 w 8901"/>
                              <a:gd name="T59" fmla="*/ 133 h 5290"/>
                              <a:gd name="T60" fmla="+- 0 8885 171"/>
                              <a:gd name="T61" fmla="*/ T60 w 8901"/>
                              <a:gd name="T62" fmla="*/ 88 h 5290"/>
                              <a:gd name="T63" fmla="+- 0 8826 171"/>
                              <a:gd name="T64" fmla="*/ T63 w 8901"/>
                              <a:gd name="T65" fmla="*/ 51 h 5290"/>
                              <a:gd name="T66" fmla="+- 0 8761 171"/>
                              <a:gd name="T67" fmla="*/ T66 w 8901"/>
                              <a:gd name="T68" fmla="*/ 23 h 5290"/>
                              <a:gd name="T69" fmla="+- 0 8691 171"/>
                              <a:gd name="T70" fmla="*/ T69 w 8901"/>
                              <a:gd name="T71" fmla="*/ 6 h 5290"/>
                              <a:gd name="T72" fmla="+- 0 8617 171"/>
                              <a:gd name="T73" fmla="*/ T72 w 8901"/>
                              <a:gd name="T74" fmla="*/ 0 h 529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8901" h="5290">
                                <a:moveTo>
                                  <a:pt x="8446" y="0"/>
                                </a:moveTo>
                                <a:lnTo>
                                  <a:pt x="0" y="0"/>
                                </a:lnTo>
                                <a:lnTo>
                                  <a:pt x="0" y="5290"/>
                                </a:lnTo>
                                <a:lnTo>
                                  <a:pt x="8446" y="5290"/>
                                </a:lnTo>
                                <a:lnTo>
                                  <a:pt x="8520" y="5284"/>
                                </a:lnTo>
                                <a:lnTo>
                                  <a:pt x="8590" y="5267"/>
                                </a:lnTo>
                                <a:lnTo>
                                  <a:pt x="8655" y="5239"/>
                                </a:lnTo>
                                <a:lnTo>
                                  <a:pt x="8714" y="5202"/>
                                </a:lnTo>
                                <a:lnTo>
                                  <a:pt x="8767" y="5157"/>
                                </a:lnTo>
                                <a:lnTo>
                                  <a:pt x="8812" y="5104"/>
                                </a:lnTo>
                                <a:lnTo>
                                  <a:pt x="8849" y="5045"/>
                                </a:lnTo>
                                <a:lnTo>
                                  <a:pt x="8877" y="4980"/>
                                </a:lnTo>
                                <a:lnTo>
                                  <a:pt x="8894" y="4910"/>
                                </a:lnTo>
                                <a:lnTo>
                                  <a:pt x="8900" y="4836"/>
                                </a:lnTo>
                                <a:lnTo>
                                  <a:pt x="8900" y="454"/>
                                </a:lnTo>
                                <a:lnTo>
                                  <a:pt x="8894" y="380"/>
                                </a:lnTo>
                                <a:lnTo>
                                  <a:pt x="8877" y="310"/>
                                </a:lnTo>
                                <a:lnTo>
                                  <a:pt x="8849" y="245"/>
                                </a:lnTo>
                                <a:lnTo>
                                  <a:pt x="8812" y="186"/>
                                </a:lnTo>
                                <a:lnTo>
                                  <a:pt x="8767" y="133"/>
                                </a:lnTo>
                                <a:lnTo>
                                  <a:pt x="8714" y="88"/>
                                </a:lnTo>
                                <a:lnTo>
                                  <a:pt x="8655" y="51"/>
                                </a:lnTo>
                                <a:lnTo>
                                  <a:pt x="8590" y="23"/>
                                </a:lnTo>
                                <a:lnTo>
                                  <a:pt x="8520" y="6"/>
                                </a:lnTo>
                                <a:lnTo>
                                  <a:pt x="8446" y="0"/>
                                </a:lnTo>
                                <a:close/>
                              </a:path>
                            </a:pathLst>
                          </a:custGeom>
                          <a:solidFill>
                            <a:srgbClr val="C6E0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147954" name="Freeform 15"/>
                        <wps:cNvSpPr>
                          <a:spLocks/>
                        </wps:cNvSpPr>
                        <wps:spPr bwMode="auto">
                          <a:xfrm>
                            <a:off x="0" y="193"/>
                            <a:ext cx="3457" cy="477"/>
                          </a:xfrm>
                          <a:custGeom>
                            <a:avLst/>
                            <a:gdLst>
                              <a:gd name="T0" fmla="*/ 1384 w 1645"/>
                              <a:gd name="T1" fmla="+- 0 247 247"/>
                              <a:gd name="T2" fmla="*/ 247 h 520"/>
                              <a:gd name="T3" fmla="*/ 0 w 1645"/>
                              <a:gd name="T4" fmla="+- 0 247 247"/>
                              <a:gd name="T5" fmla="*/ 247 h 520"/>
                              <a:gd name="T6" fmla="*/ 0 w 1645"/>
                              <a:gd name="T7" fmla="+- 0 767 247"/>
                              <a:gd name="T8" fmla="*/ 767 h 520"/>
                              <a:gd name="T9" fmla="*/ 1384 w 1645"/>
                              <a:gd name="T10" fmla="+- 0 767 247"/>
                              <a:gd name="T11" fmla="*/ 767 h 520"/>
                              <a:gd name="T12" fmla="*/ 1453 w 1645"/>
                              <a:gd name="T13" fmla="+- 0 757 247"/>
                              <a:gd name="T14" fmla="*/ 757 h 520"/>
                              <a:gd name="T15" fmla="*/ 1516 w 1645"/>
                              <a:gd name="T16" fmla="+- 0 731 247"/>
                              <a:gd name="T17" fmla="*/ 731 h 520"/>
                              <a:gd name="T18" fmla="*/ 1568 w 1645"/>
                              <a:gd name="T19" fmla="+- 0 691 247"/>
                              <a:gd name="T20" fmla="*/ 691 h 520"/>
                              <a:gd name="T21" fmla="*/ 1609 w 1645"/>
                              <a:gd name="T22" fmla="+- 0 638 247"/>
                              <a:gd name="T23" fmla="*/ 638 h 520"/>
                              <a:gd name="T24" fmla="*/ 1635 w 1645"/>
                              <a:gd name="T25" fmla="+- 0 576 247"/>
                              <a:gd name="T26" fmla="*/ 576 h 520"/>
                              <a:gd name="T27" fmla="*/ 1644 w 1645"/>
                              <a:gd name="T28" fmla="+- 0 507 247"/>
                              <a:gd name="T29" fmla="*/ 507 h 520"/>
                              <a:gd name="T30" fmla="*/ 1635 w 1645"/>
                              <a:gd name="T31" fmla="+- 0 438 247"/>
                              <a:gd name="T32" fmla="*/ 438 h 520"/>
                              <a:gd name="T33" fmla="*/ 1609 w 1645"/>
                              <a:gd name="T34" fmla="+- 0 376 247"/>
                              <a:gd name="T35" fmla="*/ 376 h 520"/>
                              <a:gd name="T36" fmla="*/ 1568 w 1645"/>
                              <a:gd name="T37" fmla="+- 0 323 247"/>
                              <a:gd name="T38" fmla="*/ 323 h 520"/>
                              <a:gd name="T39" fmla="*/ 1516 w 1645"/>
                              <a:gd name="T40" fmla="+- 0 283 247"/>
                              <a:gd name="T41" fmla="*/ 283 h 520"/>
                              <a:gd name="T42" fmla="*/ 1453 w 1645"/>
                              <a:gd name="T43" fmla="+- 0 257 247"/>
                              <a:gd name="T44" fmla="*/ 257 h 520"/>
                              <a:gd name="T45" fmla="*/ 1384 w 1645"/>
                              <a:gd name="T46" fmla="+- 0 247 247"/>
                              <a:gd name="T47" fmla="*/ 247 h 5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645" h="520">
                                <a:moveTo>
                                  <a:pt x="1384" y="0"/>
                                </a:moveTo>
                                <a:lnTo>
                                  <a:pt x="0" y="0"/>
                                </a:lnTo>
                                <a:lnTo>
                                  <a:pt x="0" y="520"/>
                                </a:lnTo>
                                <a:lnTo>
                                  <a:pt x="1384" y="520"/>
                                </a:lnTo>
                                <a:lnTo>
                                  <a:pt x="1453" y="510"/>
                                </a:lnTo>
                                <a:lnTo>
                                  <a:pt x="1516" y="484"/>
                                </a:lnTo>
                                <a:lnTo>
                                  <a:pt x="1568" y="444"/>
                                </a:lnTo>
                                <a:lnTo>
                                  <a:pt x="1609" y="391"/>
                                </a:lnTo>
                                <a:lnTo>
                                  <a:pt x="1635" y="329"/>
                                </a:lnTo>
                                <a:lnTo>
                                  <a:pt x="1644" y="260"/>
                                </a:lnTo>
                                <a:lnTo>
                                  <a:pt x="1635" y="191"/>
                                </a:lnTo>
                                <a:lnTo>
                                  <a:pt x="1609" y="129"/>
                                </a:lnTo>
                                <a:lnTo>
                                  <a:pt x="1568" y="76"/>
                                </a:lnTo>
                                <a:lnTo>
                                  <a:pt x="1516" y="36"/>
                                </a:lnTo>
                                <a:lnTo>
                                  <a:pt x="1453" y="10"/>
                                </a:lnTo>
                                <a:lnTo>
                                  <a:pt x="1384" y="0"/>
                                </a:lnTo>
                                <a:close/>
                              </a:path>
                            </a:pathLst>
                          </a:custGeom>
                          <a:solidFill>
                            <a:srgbClr val="009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752187" name="Text Box 16"/>
                        <wps:cNvSpPr txBox="1">
                          <a:spLocks noChangeArrowheads="1"/>
                        </wps:cNvSpPr>
                        <wps:spPr bwMode="auto">
                          <a:xfrm>
                            <a:off x="281" y="0"/>
                            <a:ext cx="8790" cy="5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A3945" w14:textId="77777777" w:rsidR="00291E90" w:rsidRDefault="00291E90" w:rsidP="00291E90">
                              <w:pPr>
                                <w:spacing w:before="5"/>
                                <w:rPr>
                                  <w:sz w:val="31"/>
                                </w:rPr>
                              </w:pPr>
                            </w:p>
                            <w:p w14:paraId="2042BFA8" w14:textId="2CC0DB0E" w:rsidR="00291E90" w:rsidRPr="00291E90" w:rsidRDefault="00291E90" w:rsidP="00291E90">
                              <w:pPr>
                                <w:rPr>
                                  <w:b/>
                                  <w:color w:val="FFFFFF"/>
                                  <w:w w:val="115"/>
                                  <w:sz w:val="20"/>
                                  <w:lang w:val="uk-UA"/>
                                </w:rPr>
                              </w:pPr>
                              <w:r w:rsidRPr="004E4F2C">
                                <w:rPr>
                                  <w:b/>
                                  <w:color w:val="FFFFFF"/>
                                  <w:w w:val="115"/>
                                  <w:sz w:val="20"/>
                                  <w:lang w:val="uk-UA"/>
                                </w:rPr>
                                <w:t xml:space="preserve">Інформаційний </w:t>
                              </w:r>
                              <w:r>
                                <w:rPr>
                                  <w:b/>
                                  <w:color w:val="FFFFFF"/>
                                  <w:w w:val="115"/>
                                  <w:sz w:val="20"/>
                                  <w:lang w:val="uk-UA"/>
                                </w:rPr>
                                <w:t xml:space="preserve"> </w:t>
                              </w:r>
                              <w:r w:rsidRPr="004E4F2C">
                                <w:rPr>
                                  <w:b/>
                                  <w:color w:val="FFFFFF"/>
                                  <w:w w:val="115"/>
                                  <w:sz w:val="20"/>
                                  <w:lang w:val="uk-UA"/>
                                </w:rPr>
                                <w:t xml:space="preserve">блок </w:t>
                              </w:r>
                              <w:r w:rsidRPr="006B6651">
                                <w:rPr>
                                  <w:b/>
                                  <w:color w:val="FFFFFF"/>
                                  <w:w w:val="115"/>
                                  <w:sz w:val="20"/>
                                  <w:lang w:val="ru-RU"/>
                                </w:rPr>
                                <w:t>2.4.5.1</w:t>
                              </w:r>
                            </w:p>
                            <w:p w14:paraId="3BBF56FD" w14:textId="77777777" w:rsidR="00291E90" w:rsidRPr="006B6651" w:rsidRDefault="00291E90" w:rsidP="00291E90">
                              <w:pPr>
                                <w:rPr>
                                  <w:b/>
                                  <w:lang w:val="ru-RU"/>
                                </w:rPr>
                              </w:pPr>
                            </w:p>
                            <w:p w14:paraId="36790246" w14:textId="77777777" w:rsidR="00291E90" w:rsidRPr="006B6651" w:rsidRDefault="00291E90" w:rsidP="00291E90">
                              <w:pPr>
                                <w:spacing w:line="276" w:lineRule="auto"/>
                                <w:ind w:left="510" w:right="361"/>
                                <w:jc w:val="both"/>
                                <w:rPr>
                                  <w:rFonts w:asciiTheme="minorHAnsi" w:hAnsiTheme="minorHAnsi" w:cstheme="minorHAnsi"/>
                                  <w:sz w:val="20"/>
                                  <w:lang w:val="ru-RU"/>
                                </w:rPr>
                              </w:pPr>
                              <w:r w:rsidRPr="006B6651">
                                <w:rPr>
                                  <w:rFonts w:asciiTheme="minorHAnsi" w:hAnsiTheme="minorHAnsi" w:cstheme="minorHAnsi"/>
                                  <w:w w:val="110"/>
                                  <w:sz w:val="20"/>
                                  <w:lang w:val="ru-RU"/>
                                </w:rPr>
                                <w:t xml:space="preserve">Продукти та </w:t>
                              </w:r>
                              <w:r w:rsidRPr="006B6651">
                                <w:rPr>
                                  <w:rFonts w:asciiTheme="minorHAnsi" w:hAnsiTheme="minorHAnsi" w:cstheme="minorHAnsi"/>
                                  <w:w w:val="110"/>
                                  <w:sz w:val="20"/>
                                  <w:lang w:val="ru-RU"/>
                                </w:rPr>
                                <w:t xml:space="preserve">препарати, дані </w:t>
                              </w:r>
                              <w:r>
                                <w:rPr>
                                  <w:rFonts w:asciiTheme="minorHAnsi" w:hAnsiTheme="minorHAnsi" w:cstheme="minorHAnsi"/>
                                  <w:w w:val="110"/>
                                  <w:sz w:val="20"/>
                                  <w:lang w:val="uk-UA"/>
                                </w:rPr>
                                <w:t xml:space="preserve">яких </w:t>
                              </w:r>
                              <w:r w:rsidRPr="006B6651">
                                <w:rPr>
                                  <w:rFonts w:asciiTheme="minorHAnsi" w:hAnsiTheme="minorHAnsi" w:cstheme="minorHAnsi"/>
                                  <w:w w:val="110"/>
                                  <w:sz w:val="20"/>
                                  <w:lang w:val="ru-RU"/>
                                </w:rPr>
                                <w:t>відповідали критеріям ефективності для даного класу тестів, перелічені нижче:</w:t>
                              </w:r>
                            </w:p>
                            <w:p w14:paraId="5B591384" w14:textId="77777777" w:rsidR="00291E90" w:rsidRPr="006B6651" w:rsidRDefault="00291E90" w:rsidP="00291E90">
                              <w:pPr>
                                <w:spacing w:before="173" w:line="276" w:lineRule="auto"/>
                                <w:ind w:left="510" w:right="349"/>
                                <w:jc w:val="both"/>
                                <w:rPr>
                                  <w:rFonts w:asciiTheme="minorHAnsi" w:hAnsiTheme="minorHAnsi" w:cstheme="minorHAnsi"/>
                                  <w:sz w:val="20"/>
                                  <w:lang w:val="ru-RU"/>
                                </w:rPr>
                              </w:pPr>
                              <w:r w:rsidRPr="00BE6D3F">
                                <w:rPr>
                                  <w:rFonts w:asciiTheme="minorHAnsi" w:hAnsiTheme="minorHAnsi" w:cstheme="minorHAnsi"/>
                                  <w:b/>
                                  <w:w w:val="110"/>
                                  <w:sz w:val="20"/>
                                </w:rPr>
                                <w:t>Deeplex</w:t>
                              </w:r>
                              <w:r w:rsidRPr="006B6651">
                                <w:rPr>
                                  <w:rFonts w:asciiTheme="minorHAnsi" w:hAnsiTheme="minorHAnsi" w:cstheme="minorHAnsi"/>
                                  <w:b/>
                                  <w:w w:val="110"/>
                                  <w:sz w:val="20"/>
                                  <w:lang w:val="ru-RU"/>
                                </w:rPr>
                                <w:t xml:space="preserve">® </w:t>
                              </w:r>
                              <w:r w:rsidRPr="00BE6D3F">
                                <w:rPr>
                                  <w:rFonts w:asciiTheme="minorHAnsi" w:hAnsiTheme="minorHAnsi" w:cstheme="minorHAnsi"/>
                                  <w:b/>
                                  <w:w w:val="110"/>
                                  <w:sz w:val="20"/>
                                </w:rPr>
                                <w:t>Myc</w:t>
                              </w:r>
                              <w:r w:rsidRPr="006B6651">
                                <w:rPr>
                                  <w:rFonts w:asciiTheme="minorHAnsi" w:hAnsiTheme="minorHAnsi" w:cstheme="minorHAnsi"/>
                                  <w:b/>
                                  <w:w w:val="110"/>
                                  <w:sz w:val="20"/>
                                  <w:lang w:val="ru-RU"/>
                                </w:rPr>
                                <w:t>-</w:t>
                              </w:r>
                              <w:r w:rsidRPr="00BE6D3F">
                                <w:rPr>
                                  <w:rFonts w:asciiTheme="minorHAnsi" w:hAnsiTheme="minorHAnsi" w:cstheme="minorHAnsi"/>
                                  <w:b/>
                                  <w:w w:val="110"/>
                                  <w:sz w:val="20"/>
                                </w:rPr>
                                <w:t>TB</w:t>
                              </w:r>
                              <w:r w:rsidRPr="006B6651">
                                <w:rPr>
                                  <w:rFonts w:asciiTheme="minorHAnsi" w:hAnsiTheme="minorHAnsi" w:cstheme="minorHAnsi"/>
                                  <w:b/>
                                  <w:w w:val="110"/>
                                  <w:sz w:val="20"/>
                                  <w:lang w:val="ru-RU"/>
                                </w:rPr>
                                <w:t xml:space="preserve"> </w:t>
                              </w:r>
                              <w:r w:rsidRPr="006B6651">
                                <w:rPr>
                                  <w:rFonts w:asciiTheme="minorHAnsi" w:hAnsiTheme="minorHAnsi" w:cstheme="minorHAnsi"/>
                                  <w:w w:val="110"/>
                                  <w:sz w:val="20"/>
                                  <w:lang w:val="ru-RU"/>
                                </w:rPr>
                                <w:t>(</w:t>
                              </w:r>
                              <w:r w:rsidRPr="00BE6D3F">
                                <w:rPr>
                                  <w:rFonts w:asciiTheme="minorHAnsi" w:hAnsiTheme="minorHAnsi" w:cstheme="minorHAnsi"/>
                                  <w:w w:val="110"/>
                                  <w:sz w:val="20"/>
                                </w:rPr>
                                <w:t>Genoscreen</w:t>
                              </w:r>
                              <w:r w:rsidRPr="006B6651">
                                <w:rPr>
                                  <w:rFonts w:asciiTheme="minorHAnsi" w:hAnsiTheme="minorHAnsi" w:cstheme="minorHAnsi"/>
                                  <w:w w:val="110"/>
                                  <w:sz w:val="20"/>
                                  <w:lang w:val="ru-RU"/>
                                </w:rPr>
                                <w:t>, Франція): рифампіцин, ізоніазид, піразинамід, етамбутол, фторхінолони, бедаквілін, лінезолід, клофазимін, амікацин та стрептоміцин</w:t>
                              </w:r>
                            </w:p>
                            <w:p w14:paraId="034E91DD" w14:textId="77777777" w:rsidR="00291E90" w:rsidRPr="006B6651" w:rsidRDefault="00291E90" w:rsidP="00291E90">
                              <w:pPr>
                                <w:spacing w:before="173" w:line="276" w:lineRule="auto"/>
                                <w:ind w:left="510" w:right="356"/>
                                <w:jc w:val="both"/>
                                <w:rPr>
                                  <w:rFonts w:asciiTheme="minorHAnsi" w:hAnsiTheme="minorHAnsi" w:cstheme="minorHAnsi"/>
                                  <w:sz w:val="20"/>
                                  <w:lang w:val="ru-RU"/>
                                </w:rPr>
                              </w:pPr>
                              <w:r w:rsidRPr="00BE6D3F">
                                <w:rPr>
                                  <w:rFonts w:asciiTheme="minorHAnsi" w:hAnsiTheme="minorHAnsi" w:cstheme="minorHAnsi"/>
                                  <w:b/>
                                  <w:w w:val="110"/>
                                  <w:sz w:val="20"/>
                                </w:rPr>
                                <w:t>AmPORE</w:t>
                              </w:r>
                              <w:r w:rsidRPr="006B6651">
                                <w:rPr>
                                  <w:rFonts w:asciiTheme="minorHAnsi" w:hAnsiTheme="minorHAnsi" w:cstheme="minorHAnsi"/>
                                  <w:b/>
                                  <w:w w:val="110"/>
                                  <w:sz w:val="20"/>
                                  <w:lang w:val="ru-RU"/>
                                </w:rPr>
                                <w:t>-</w:t>
                              </w:r>
                              <w:r w:rsidRPr="00BE6D3F">
                                <w:rPr>
                                  <w:rFonts w:asciiTheme="minorHAnsi" w:hAnsiTheme="minorHAnsi" w:cstheme="minorHAnsi"/>
                                  <w:b/>
                                  <w:w w:val="110"/>
                                  <w:sz w:val="20"/>
                                </w:rPr>
                                <w:t>TB</w:t>
                              </w:r>
                              <w:r w:rsidRPr="006B6651">
                                <w:rPr>
                                  <w:rFonts w:asciiTheme="minorHAnsi" w:hAnsiTheme="minorHAnsi" w:cstheme="minorHAnsi"/>
                                  <w:b/>
                                  <w:w w:val="110"/>
                                  <w:sz w:val="20"/>
                                  <w:lang w:val="ru-RU"/>
                                </w:rPr>
                                <w:t>®</w:t>
                              </w:r>
                              <w:r w:rsidRPr="006B6651">
                                <w:rPr>
                                  <w:rFonts w:asciiTheme="minorHAnsi" w:hAnsiTheme="minorHAnsi" w:cstheme="minorHAnsi"/>
                                  <w:b/>
                                  <w:spacing w:val="-18"/>
                                  <w:w w:val="110"/>
                                  <w:sz w:val="20"/>
                                  <w:lang w:val="ru-RU"/>
                                </w:rPr>
                                <w:t xml:space="preserve"> </w:t>
                              </w:r>
                              <w:r w:rsidRPr="006B6651">
                                <w:rPr>
                                  <w:rFonts w:asciiTheme="minorHAnsi" w:hAnsiTheme="minorHAnsi" w:cstheme="minorHAnsi"/>
                                  <w:w w:val="110"/>
                                  <w:sz w:val="20"/>
                                  <w:lang w:val="ru-RU"/>
                                </w:rPr>
                                <w:t>(</w:t>
                              </w:r>
                              <w:r w:rsidRPr="00BE6D3F">
                                <w:rPr>
                                  <w:rFonts w:asciiTheme="minorHAnsi" w:hAnsiTheme="minorHAnsi" w:cstheme="minorHAnsi"/>
                                  <w:w w:val="110"/>
                                  <w:sz w:val="20"/>
                                </w:rPr>
                                <w:t>Oxford</w:t>
                              </w:r>
                              <w:r w:rsidRPr="006B6651">
                                <w:rPr>
                                  <w:rFonts w:asciiTheme="minorHAnsi" w:hAnsiTheme="minorHAnsi" w:cstheme="minorHAnsi"/>
                                  <w:w w:val="110"/>
                                  <w:sz w:val="20"/>
                                  <w:lang w:val="ru-RU"/>
                                </w:rPr>
                                <w:t xml:space="preserve"> </w:t>
                              </w:r>
                              <w:r w:rsidRPr="00BE6D3F">
                                <w:rPr>
                                  <w:rFonts w:asciiTheme="minorHAnsi" w:hAnsiTheme="minorHAnsi" w:cstheme="minorHAnsi"/>
                                  <w:w w:val="110"/>
                                  <w:sz w:val="20"/>
                                </w:rPr>
                                <w:t>Nanopore</w:t>
                              </w:r>
                              <w:r w:rsidRPr="006B6651">
                                <w:rPr>
                                  <w:rFonts w:asciiTheme="minorHAnsi" w:hAnsiTheme="minorHAnsi" w:cstheme="minorHAnsi"/>
                                  <w:w w:val="110"/>
                                  <w:sz w:val="20"/>
                                  <w:lang w:val="ru-RU"/>
                                </w:rPr>
                                <w:t xml:space="preserve"> </w:t>
                              </w:r>
                              <w:r w:rsidRPr="00BE6D3F">
                                <w:rPr>
                                  <w:rFonts w:asciiTheme="minorHAnsi" w:hAnsiTheme="minorHAnsi" w:cstheme="minorHAnsi"/>
                                  <w:w w:val="110"/>
                                  <w:sz w:val="20"/>
                                </w:rPr>
                                <w:t>Diagnostics</w:t>
                              </w:r>
                              <w:r w:rsidRPr="006B6651">
                                <w:rPr>
                                  <w:rFonts w:asciiTheme="minorHAnsi" w:hAnsiTheme="minorHAnsi" w:cstheme="minorHAnsi"/>
                                  <w:w w:val="110"/>
                                  <w:sz w:val="20"/>
                                  <w:lang w:val="ru-RU"/>
                                </w:rPr>
                                <w:t>, Сполучене Королівство): рифампіцин, ізоніазид, фторхінолони, лінезолід, амікацин та стрептоміцин</w:t>
                              </w:r>
                            </w:p>
                            <w:p w14:paraId="783E75C4" w14:textId="77777777" w:rsidR="00291E90" w:rsidRPr="00BE6D3F" w:rsidRDefault="00291E90" w:rsidP="00291E90">
                              <w:pPr>
                                <w:spacing w:before="173"/>
                                <w:ind w:left="510"/>
                                <w:rPr>
                                  <w:rFonts w:asciiTheme="minorHAnsi" w:hAnsiTheme="minorHAnsi" w:cstheme="minorHAnsi"/>
                                  <w:w w:val="110"/>
                                  <w:sz w:val="20"/>
                                  <w:lang w:val="uk-UA"/>
                                </w:rPr>
                              </w:pPr>
                              <w:r w:rsidRPr="00BE6D3F">
                                <w:rPr>
                                  <w:rFonts w:asciiTheme="minorHAnsi" w:hAnsiTheme="minorHAnsi" w:cstheme="minorHAnsi"/>
                                  <w:b/>
                                  <w:w w:val="110"/>
                                  <w:sz w:val="20"/>
                                </w:rPr>
                                <w:t xml:space="preserve">TBseq® </w:t>
                              </w:r>
                              <w:r w:rsidRPr="00BE6D3F">
                                <w:rPr>
                                  <w:rFonts w:asciiTheme="minorHAnsi" w:hAnsiTheme="minorHAnsi" w:cstheme="minorHAnsi"/>
                                  <w:w w:val="110"/>
                                  <w:sz w:val="20"/>
                                  <w:lang w:val="uk-UA"/>
                                </w:rPr>
                                <w:t>(Hangzhou ShengTing Medical Technology Co., Китай): етамбутол</w:t>
                              </w:r>
                            </w:p>
                            <w:p w14:paraId="0F38E009" w14:textId="77777777" w:rsidR="00291E90" w:rsidRPr="006B6651" w:rsidRDefault="00291E90" w:rsidP="00291E90">
                              <w:pPr>
                                <w:spacing w:before="211" w:line="276" w:lineRule="auto"/>
                                <w:ind w:left="510" w:right="358"/>
                                <w:jc w:val="both"/>
                                <w:rPr>
                                  <w:rFonts w:asciiTheme="minorHAnsi" w:hAnsiTheme="minorHAnsi" w:cstheme="minorHAnsi"/>
                                  <w:color w:val="0070C0"/>
                                  <w:sz w:val="20"/>
                                  <w:lang w:val="ru-RU"/>
                                </w:rPr>
                              </w:pPr>
                              <w:r w:rsidRPr="006B6651">
                                <w:rPr>
                                  <w:rFonts w:asciiTheme="minorHAnsi" w:hAnsiTheme="minorHAnsi" w:cstheme="minorHAnsi"/>
                                  <w:w w:val="110"/>
                                  <w:sz w:val="20"/>
                                  <w:lang w:val="ru-RU"/>
                                </w:rPr>
                                <w:t>Якщо продукт ще не відповідає вимогам щодо певного препарату (тобто препарат не зазначений у переліку), потрібні подальші вдосконалення продукту, а перед клінічним застосуванням необхідний перегляд доказів.</w:t>
                              </w:r>
                            </w:p>
                          </w:txbxContent>
                        </wps:txbx>
                        <wps:bodyPr rot="0" vert="horz" wrap="square" lIns="0" tIns="0" rIns="0" bIns="0" anchor="t" anchorCtr="0" upright="1">
                          <a:noAutofit/>
                        </wps:bodyPr>
                      </wps:wsp>
                    </wpg:wgp>
                  </a:graphicData>
                </a:graphic>
              </wp:inline>
            </w:drawing>
          </mc:Choice>
          <mc:Fallback>
            <w:pict>
              <v:group w14:anchorId="25CC01F0" id="Групувати 1505361735" o:spid="_x0000_s1172" style="width:452.65pt;height:242.5pt;mso-position-horizontal-relative:char;mso-position-vertical-relative:line" coordsize="9071,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">
                <v:shape id="Freeform 14" o:spid="_x0000_s1173" style="position:absolute;left:170;width:8901;height:5290;visibility:visible;mso-wrap-style:square;v-text-anchor:top" coordsize="890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" path="m8446,l,,,5290r8446,l8520,5284r70,-17l8655,5239r59,-37l8767,5157r45,-53l8849,5045r28,-65l8894,4910r6,-74l8900,454r-6,-74l8877,310r-28,-65l8812,186r-45,-53l8714,88,8655,51,8590,23,8520,6,8446,xe" fillcolor="#c6e0ce" stroked="f">
                  <v:path arrowok="t" o:connecttype="custom" o:connectlocs="8446,0;0,0;0,5290;8446,5290;8520,5284;8590,5267;8655,5239;8714,5202;8767,5157;8812,5104;8849,5045;8877,4980;8894,4910;8900,4836;8900,454;8894,380;8877,310;8849,245;8812,186;8767,133;8714,88;8655,51;8590,23;8520,6;8446,0" o:connectangles="0,0,0,0,0,0,0,0,0,0,0,0,0,0,0,0,0,0,0,0,0,0,0,0,0"/>
                </v:shape>
                <v:shape id="Freeform 15" o:spid="_x0000_s1174" style="position:absolute;top:193;width:3457;height:477;visibility:visible;mso-wrap-style:square;v-text-anchor:top" coordsize="16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" path="m1384,l,,,520r1384,l1453,510r63,-26l1568,444r41,-53l1635,329r9,-69l1635,191r-26,-62l1568,76,1516,36,1453,10,1384,xe" fillcolor="#009649" stroked="f">
                  <v:path arrowok="t" o:connecttype="custom" o:connectlocs="2909,227;0,227;0,704;2909,704;3054,694;3186,671;3295,634;3381,585;3436,528;3455,465;3436,402;3381,345;3295,296;3186,260;3054,236;2909,227" o:connectangles="0,0,0,0,0,0,0,0,0,0,0,0,0,0,0,0"/>
                </v:shape>
                <v:shape id="Text Box 16" o:spid="_x0000_s1175" type="#_x0000_t202" style="position:absolute;left:281;width:8790;height:5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" filled="f" stroked="f">
                  <v:textbox inset="0,0,0,0">
                    <w:txbxContent>
                      <w:p w14:paraId="0F1A3945" w14:textId="77777777" w:rsidR="00291E90" w:rsidRDefault="00291E90" w:rsidP="00291E90">
                        <w:pPr>
                          <w:spacing w:before="5"/>
                          <w:rPr>
                            <w:sz w:val="31"/>
                          </w:rPr>
                        </w:pPr>
                      </w:p>
                      <w:p w14:paraId="2042BFA8" w14:textId="2CC0DB0E" w:rsidR="00291E90" w:rsidRPr="00291E90" w:rsidRDefault="00291E90" w:rsidP="00291E90">
                        <w:pPr>
                          <w:rPr>
                            <w:b/>
                            <w:color w:val="FFFFFF"/>
                            <w:w w:val="115"/>
                            <w:sz w:val="20"/>
                            <w:lang w:val="uk-UA"/>
                          </w:rPr>
                        </w:pPr>
                        <w:r w:rsidRPr="004E4F2C">
                          <w:rPr>
                            <w:b/>
                            <w:color w:val="FFFFFF"/>
                            <w:w w:val="115"/>
                            <w:sz w:val="20"/>
                            <w:lang w:val="uk-UA"/>
                          </w:rPr>
                          <w:t xml:space="preserve">Інформаційний </w:t>
                        </w:r>
                        <w:r>
                          <w:rPr>
                            <w:b/>
                            <w:color w:val="FFFFFF"/>
                            <w:w w:val="115"/>
                            <w:sz w:val="20"/>
                            <w:lang w:val="uk-UA"/>
                          </w:rPr>
                          <w:t xml:space="preserve"> </w:t>
                        </w:r>
                        <w:r w:rsidRPr="004E4F2C">
                          <w:rPr>
                            <w:b/>
                            <w:color w:val="FFFFFF"/>
                            <w:w w:val="115"/>
                            <w:sz w:val="20"/>
                            <w:lang w:val="uk-UA"/>
                          </w:rPr>
                          <w:t xml:space="preserve">блок </w:t>
                        </w:r>
                        <w:r w:rsidRPr="006B6651">
                          <w:rPr>
                            <w:b/>
                            <w:color w:val="FFFFFF"/>
                            <w:w w:val="115"/>
                            <w:sz w:val="20"/>
                            <w:lang w:val="ru-RU"/>
                          </w:rPr>
                          <w:t>2.4.5.1</w:t>
                        </w:r>
                      </w:p>
                      <w:p w14:paraId="3BBF56FD" w14:textId="77777777" w:rsidR="00291E90" w:rsidRPr="006B6651" w:rsidRDefault="00291E90" w:rsidP="00291E90">
                        <w:pPr>
                          <w:rPr>
                            <w:b/>
                            <w:lang w:val="ru-RU"/>
                          </w:rPr>
                        </w:pPr>
                      </w:p>
                      <w:p w14:paraId="36790246" w14:textId="77777777" w:rsidR="00291E90" w:rsidRPr="006B6651" w:rsidRDefault="00291E90" w:rsidP="00291E90">
                        <w:pPr>
                          <w:spacing w:line="276" w:lineRule="auto"/>
                          <w:ind w:left="510" w:right="361"/>
                          <w:jc w:val="both"/>
                          <w:rPr>
                            <w:rFonts w:asciiTheme="minorHAnsi" w:hAnsiTheme="minorHAnsi" w:cstheme="minorHAnsi"/>
                            <w:sz w:val="20"/>
                            <w:lang w:val="ru-RU"/>
                          </w:rPr>
                        </w:pPr>
                        <w:r w:rsidRPr="006B6651">
                          <w:rPr>
                            <w:rFonts w:asciiTheme="minorHAnsi" w:hAnsiTheme="minorHAnsi" w:cstheme="minorHAnsi"/>
                            <w:w w:val="110"/>
                            <w:sz w:val="20"/>
                            <w:lang w:val="ru-RU"/>
                          </w:rPr>
                          <w:t xml:space="preserve">Продукти та </w:t>
                        </w:r>
                        <w:r w:rsidRPr="006B6651">
                          <w:rPr>
                            <w:rFonts w:asciiTheme="minorHAnsi" w:hAnsiTheme="minorHAnsi" w:cstheme="minorHAnsi"/>
                            <w:w w:val="110"/>
                            <w:sz w:val="20"/>
                            <w:lang w:val="ru-RU"/>
                          </w:rPr>
                          <w:t xml:space="preserve">препарати, дані </w:t>
                        </w:r>
                        <w:r>
                          <w:rPr>
                            <w:rFonts w:asciiTheme="minorHAnsi" w:hAnsiTheme="minorHAnsi" w:cstheme="minorHAnsi"/>
                            <w:w w:val="110"/>
                            <w:sz w:val="20"/>
                            <w:lang w:val="uk-UA"/>
                          </w:rPr>
                          <w:t xml:space="preserve">яких </w:t>
                        </w:r>
                        <w:r w:rsidRPr="006B6651">
                          <w:rPr>
                            <w:rFonts w:asciiTheme="minorHAnsi" w:hAnsiTheme="minorHAnsi" w:cstheme="minorHAnsi"/>
                            <w:w w:val="110"/>
                            <w:sz w:val="20"/>
                            <w:lang w:val="ru-RU"/>
                          </w:rPr>
                          <w:t>відповідали критеріям ефективності для даного класу тестів, перелічені нижче:</w:t>
                        </w:r>
                      </w:p>
                      <w:p w14:paraId="5B591384" w14:textId="77777777" w:rsidR="00291E90" w:rsidRPr="006B6651" w:rsidRDefault="00291E90" w:rsidP="00291E90">
                        <w:pPr>
                          <w:spacing w:before="173" w:line="276" w:lineRule="auto"/>
                          <w:ind w:left="510" w:right="349"/>
                          <w:jc w:val="both"/>
                          <w:rPr>
                            <w:rFonts w:asciiTheme="minorHAnsi" w:hAnsiTheme="minorHAnsi" w:cstheme="minorHAnsi"/>
                            <w:sz w:val="20"/>
                            <w:lang w:val="ru-RU"/>
                          </w:rPr>
                        </w:pPr>
                        <w:r w:rsidRPr="00BE6D3F">
                          <w:rPr>
                            <w:rFonts w:asciiTheme="minorHAnsi" w:hAnsiTheme="minorHAnsi" w:cstheme="minorHAnsi"/>
                            <w:b/>
                            <w:w w:val="110"/>
                            <w:sz w:val="20"/>
                          </w:rPr>
                          <w:t>Deeplex</w:t>
                        </w:r>
                        <w:r w:rsidRPr="006B6651">
                          <w:rPr>
                            <w:rFonts w:asciiTheme="minorHAnsi" w:hAnsiTheme="minorHAnsi" w:cstheme="minorHAnsi"/>
                            <w:b/>
                            <w:w w:val="110"/>
                            <w:sz w:val="20"/>
                            <w:lang w:val="ru-RU"/>
                          </w:rPr>
                          <w:t xml:space="preserve">® </w:t>
                        </w:r>
                        <w:r w:rsidRPr="00BE6D3F">
                          <w:rPr>
                            <w:rFonts w:asciiTheme="minorHAnsi" w:hAnsiTheme="minorHAnsi" w:cstheme="minorHAnsi"/>
                            <w:b/>
                            <w:w w:val="110"/>
                            <w:sz w:val="20"/>
                          </w:rPr>
                          <w:t>Myc</w:t>
                        </w:r>
                        <w:r w:rsidRPr="006B6651">
                          <w:rPr>
                            <w:rFonts w:asciiTheme="minorHAnsi" w:hAnsiTheme="minorHAnsi" w:cstheme="minorHAnsi"/>
                            <w:b/>
                            <w:w w:val="110"/>
                            <w:sz w:val="20"/>
                            <w:lang w:val="ru-RU"/>
                          </w:rPr>
                          <w:t>-</w:t>
                        </w:r>
                        <w:r w:rsidRPr="00BE6D3F">
                          <w:rPr>
                            <w:rFonts w:asciiTheme="minorHAnsi" w:hAnsiTheme="minorHAnsi" w:cstheme="minorHAnsi"/>
                            <w:b/>
                            <w:w w:val="110"/>
                            <w:sz w:val="20"/>
                          </w:rPr>
                          <w:t>TB</w:t>
                        </w:r>
                        <w:r w:rsidRPr="006B6651">
                          <w:rPr>
                            <w:rFonts w:asciiTheme="minorHAnsi" w:hAnsiTheme="minorHAnsi" w:cstheme="minorHAnsi"/>
                            <w:b/>
                            <w:w w:val="110"/>
                            <w:sz w:val="20"/>
                            <w:lang w:val="ru-RU"/>
                          </w:rPr>
                          <w:t xml:space="preserve"> </w:t>
                        </w:r>
                        <w:r w:rsidRPr="006B6651">
                          <w:rPr>
                            <w:rFonts w:asciiTheme="minorHAnsi" w:hAnsiTheme="minorHAnsi" w:cstheme="minorHAnsi"/>
                            <w:w w:val="110"/>
                            <w:sz w:val="20"/>
                            <w:lang w:val="ru-RU"/>
                          </w:rPr>
                          <w:t>(</w:t>
                        </w:r>
                        <w:r w:rsidRPr="00BE6D3F">
                          <w:rPr>
                            <w:rFonts w:asciiTheme="minorHAnsi" w:hAnsiTheme="minorHAnsi" w:cstheme="minorHAnsi"/>
                            <w:w w:val="110"/>
                            <w:sz w:val="20"/>
                          </w:rPr>
                          <w:t>Genoscreen</w:t>
                        </w:r>
                        <w:r w:rsidRPr="006B6651">
                          <w:rPr>
                            <w:rFonts w:asciiTheme="minorHAnsi" w:hAnsiTheme="minorHAnsi" w:cstheme="minorHAnsi"/>
                            <w:w w:val="110"/>
                            <w:sz w:val="20"/>
                            <w:lang w:val="ru-RU"/>
                          </w:rPr>
                          <w:t>, Франція): рифампіцин, ізоніазид, піразинамід, етамбутол, фторхінолони, бедаквілін, лінезолід, клофазимін, амікацин та стрептоміцин</w:t>
                        </w:r>
                      </w:p>
                      <w:p w14:paraId="034E91DD" w14:textId="77777777" w:rsidR="00291E90" w:rsidRPr="006B6651" w:rsidRDefault="00291E90" w:rsidP="00291E90">
                        <w:pPr>
                          <w:spacing w:before="173" w:line="276" w:lineRule="auto"/>
                          <w:ind w:left="510" w:right="356"/>
                          <w:jc w:val="both"/>
                          <w:rPr>
                            <w:rFonts w:asciiTheme="minorHAnsi" w:hAnsiTheme="minorHAnsi" w:cstheme="minorHAnsi"/>
                            <w:sz w:val="20"/>
                            <w:lang w:val="ru-RU"/>
                          </w:rPr>
                        </w:pPr>
                        <w:r w:rsidRPr="00BE6D3F">
                          <w:rPr>
                            <w:rFonts w:asciiTheme="minorHAnsi" w:hAnsiTheme="minorHAnsi" w:cstheme="minorHAnsi"/>
                            <w:b/>
                            <w:w w:val="110"/>
                            <w:sz w:val="20"/>
                          </w:rPr>
                          <w:t>AmPORE</w:t>
                        </w:r>
                        <w:r w:rsidRPr="006B6651">
                          <w:rPr>
                            <w:rFonts w:asciiTheme="minorHAnsi" w:hAnsiTheme="minorHAnsi" w:cstheme="minorHAnsi"/>
                            <w:b/>
                            <w:w w:val="110"/>
                            <w:sz w:val="20"/>
                            <w:lang w:val="ru-RU"/>
                          </w:rPr>
                          <w:t>-</w:t>
                        </w:r>
                        <w:r w:rsidRPr="00BE6D3F">
                          <w:rPr>
                            <w:rFonts w:asciiTheme="minorHAnsi" w:hAnsiTheme="minorHAnsi" w:cstheme="minorHAnsi"/>
                            <w:b/>
                            <w:w w:val="110"/>
                            <w:sz w:val="20"/>
                          </w:rPr>
                          <w:t>TB</w:t>
                        </w:r>
                        <w:r w:rsidRPr="006B6651">
                          <w:rPr>
                            <w:rFonts w:asciiTheme="minorHAnsi" w:hAnsiTheme="minorHAnsi" w:cstheme="minorHAnsi"/>
                            <w:b/>
                            <w:w w:val="110"/>
                            <w:sz w:val="20"/>
                            <w:lang w:val="ru-RU"/>
                          </w:rPr>
                          <w:t>®</w:t>
                        </w:r>
                        <w:r w:rsidRPr="006B6651">
                          <w:rPr>
                            <w:rFonts w:asciiTheme="minorHAnsi" w:hAnsiTheme="minorHAnsi" w:cstheme="minorHAnsi"/>
                            <w:b/>
                            <w:spacing w:val="-18"/>
                            <w:w w:val="110"/>
                            <w:sz w:val="20"/>
                            <w:lang w:val="ru-RU"/>
                          </w:rPr>
                          <w:t xml:space="preserve"> </w:t>
                        </w:r>
                        <w:r w:rsidRPr="006B6651">
                          <w:rPr>
                            <w:rFonts w:asciiTheme="minorHAnsi" w:hAnsiTheme="minorHAnsi" w:cstheme="minorHAnsi"/>
                            <w:w w:val="110"/>
                            <w:sz w:val="20"/>
                            <w:lang w:val="ru-RU"/>
                          </w:rPr>
                          <w:t>(</w:t>
                        </w:r>
                        <w:r w:rsidRPr="00BE6D3F">
                          <w:rPr>
                            <w:rFonts w:asciiTheme="minorHAnsi" w:hAnsiTheme="minorHAnsi" w:cstheme="minorHAnsi"/>
                            <w:w w:val="110"/>
                            <w:sz w:val="20"/>
                          </w:rPr>
                          <w:t>Oxford</w:t>
                        </w:r>
                        <w:r w:rsidRPr="006B6651">
                          <w:rPr>
                            <w:rFonts w:asciiTheme="minorHAnsi" w:hAnsiTheme="minorHAnsi" w:cstheme="minorHAnsi"/>
                            <w:w w:val="110"/>
                            <w:sz w:val="20"/>
                            <w:lang w:val="ru-RU"/>
                          </w:rPr>
                          <w:t xml:space="preserve"> </w:t>
                        </w:r>
                        <w:r w:rsidRPr="00BE6D3F">
                          <w:rPr>
                            <w:rFonts w:asciiTheme="minorHAnsi" w:hAnsiTheme="minorHAnsi" w:cstheme="minorHAnsi"/>
                            <w:w w:val="110"/>
                            <w:sz w:val="20"/>
                          </w:rPr>
                          <w:t>Nanopore</w:t>
                        </w:r>
                        <w:r w:rsidRPr="006B6651">
                          <w:rPr>
                            <w:rFonts w:asciiTheme="minorHAnsi" w:hAnsiTheme="minorHAnsi" w:cstheme="minorHAnsi"/>
                            <w:w w:val="110"/>
                            <w:sz w:val="20"/>
                            <w:lang w:val="ru-RU"/>
                          </w:rPr>
                          <w:t xml:space="preserve"> </w:t>
                        </w:r>
                        <w:r w:rsidRPr="00BE6D3F">
                          <w:rPr>
                            <w:rFonts w:asciiTheme="minorHAnsi" w:hAnsiTheme="minorHAnsi" w:cstheme="minorHAnsi"/>
                            <w:w w:val="110"/>
                            <w:sz w:val="20"/>
                          </w:rPr>
                          <w:t>Diagnostics</w:t>
                        </w:r>
                        <w:r w:rsidRPr="006B6651">
                          <w:rPr>
                            <w:rFonts w:asciiTheme="minorHAnsi" w:hAnsiTheme="minorHAnsi" w:cstheme="minorHAnsi"/>
                            <w:w w:val="110"/>
                            <w:sz w:val="20"/>
                            <w:lang w:val="ru-RU"/>
                          </w:rPr>
                          <w:t>, Сполучене Королівство): рифампіцин, ізоніазид, фторхінолони, лінезолід, амікацин та стрептоміцин</w:t>
                        </w:r>
                      </w:p>
                      <w:p w14:paraId="783E75C4" w14:textId="77777777" w:rsidR="00291E90" w:rsidRPr="00BE6D3F" w:rsidRDefault="00291E90" w:rsidP="00291E90">
                        <w:pPr>
                          <w:spacing w:before="173"/>
                          <w:ind w:left="510"/>
                          <w:rPr>
                            <w:rFonts w:asciiTheme="minorHAnsi" w:hAnsiTheme="minorHAnsi" w:cstheme="minorHAnsi"/>
                            <w:w w:val="110"/>
                            <w:sz w:val="20"/>
                            <w:lang w:val="uk-UA"/>
                          </w:rPr>
                        </w:pPr>
                        <w:r w:rsidRPr="00BE6D3F">
                          <w:rPr>
                            <w:rFonts w:asciiTheme="minorHAnsi" w:hAnsiTheme="minorHAnsi" w:cstheme="minorHAnsi"/>
                            <w:b/>
                            <w:w w:val="110"/>
                            <w:sz w:val="20"/>
                          </w:rPr>
                          <w:t xml:space="preserve">TBseq® </w:t>
                        </w:r>
                        <w:r w:rsidRPr="00BE6D3F">
                          <w:rPr>
                            <w:rFonts w:asciiTheme="minorHAnsi" w:hAnsiTheme="minorHAnsi" w:cstheme="minorHAnsi"/>
                            <w:w w:val="110"/>
                            <w:sz w:val="20"/>
                            <w:lang w:val="uk-UA"/>
                          </w:rPr>
                          <w:t>(Hangzhou ShengTing Medical Technology Co., Китай): етамбутол</w:t>
                        </w:r>
                      </w:p>
                      <w:p w14:paraId="0F38E009" w14:textId="77777777" w:rsidR="00291E90" w:rsidRPr="006B6651" w:rsidRDefault="00291E90" w:rsidP="00291E90">
                        <w:pPr>
                          <w:spacing w:before="211" w:line="276" w:lineRule="auto"/>
                          <w:ind w:left="510" w:right="358"/>
                          <w:jc w:val="both"/>
                          <w:rPr>
                            <w:rFonts w:asciiTheme="minorHAnsi" w:hAnsiTheme="minorHAnsi" w:cstheme="minorHAnsi"/>
                            <w:color w:val="0070C0"/>
                            <w:sz w:val="20"/>
                            <w:lang w:val="ru-RU"/>
                          </w:rPr>
                        </w:pPr>
                        <w:r w:rsidRPr="006B6651">
                          <w:rPr>
                            <w:rFonts w:asciiTheme="minorHAnsi" w:hAnsiTheme="minorHAnsi" w:cstheme="minorHAnsi"/>
                            <w:w w:val="110"/>
                            <w:sz w:val="20"/>
                            <w:lang w:val="ru-RU"/>
                          </w:rPr>
                          <w:t>Якщо продукт ще не відповідає вимогам щодо певного препарату (тобто препарат не зазначений у переліку), потрібні подальші вдосконалення продукту, а перед клінічним застосуванням необхідний перегляд доказів.</w:t>
                        </w:r>
                      </w:p>
                    </w:txbxContent>
                  </v:textbox>
                </v:shape>
                <w10:anchorlock/>
              </v:group>
            </w:pict>
          </mc:Fallback>
        </mc:AlternateContent>
      </w:r>
    </w:p>
    <w:p w14:paraId="39736287" w14:textId="77777777" w:rsidR="00291E90" w:rsidRPr="00A816CE" w:rsidRDefault="00291E90" w:rsidP="00291E90">
      <w:pPr>
        <w:pStyle w:val="a3"/>
        <w:ind w:left="1417" w:right="2"/>
        <w:jc w:val="both"/>
        <w:rPr>
          <w:sz w:val="20"/>
        </w:rPr>
      </w:pPr>
    </w:p>
    <w:p w14:paraId="1A97B64D" w14:textId="77777777" w:rsidR="00291E90" w:rsidRPr="00A816CE" w:rsidRDefault="00291E90" w:rsidP="00291E90">
      <w:pPr>
        <w:pStyle w:val="a3"/>
        <w:spacing w:before="6"/>
        <w:ind w:right="2"/>
        <w:jc w:val="both"/>
        <w:rPr>
          <w:sz w:val="13"/>
        </w:rPr>
      </w:pPr>
    </w:p>
    <w:p w14:paraId="493978F8" w14:textId="77777777" w:rsidR="00291E90" w:rsidRPr="006B6651" w:rsidRDefault="00291E90" w:rsidP="00291E90">
      <w:pPr>
        <w:pStyle w:val="5"/>
        <w:spacing w:before="82"/>
        <w:ind w:right="2"/>
        <w:jc w:val="both"/>
        <w:rPr>
          <w:sz w:val="24"/>
          <w:lang w:val="ru-RU"/>
        </w:rPr>
      </w:pPr>
      <w:proofErr w:type="spellStart"/>
      <w:r w:rsidRPr="006B6651">
        <w:rPr>
          <w:color w:val="019648"/>
          <w:w w:val="105"/>
          <w:sz w:val="24"/>
          <w:lang w:val="ru-RU"/>
        </w:rPr>
        <w:t>Опис</w:t>
      </w:r>
      <w:proofErr w:type="spellEnd"/>
      <w:r w:rsidRPr="006B6651">
        <w:rPr>
          <w:color w:val="019648"/>
          <w:w w:val="105"/>
          <w:sz w:val="24"/>
          <w:lang w:val="ru-RU"/>
        </w:rPr>
        <w:t xml:space="preserve"> тесту</w:t>
      </w:r>
    </w:p>
    <w:p w14:paraId="3CE2A97F" w14:textId="77777777" w:rsidR="00291E90" w:rsidRPr="006B6651" w:rsidRDefault="00291E90" w:rsidP="00291E90">
      <w:pPr>
        <w:pStyle w:val="a3"/>
        <w:spacing w:before="179" w:line="249" w:lineRule="auto"/>
        <w:ind w:left="567" w:right="2"/>
        <w:jc w:val="both"/>
        <w:rPr>
          <w:sz w:val="20"/>
          <w:szCs w:val="20"/>
          <w:lang w:val="ru-RU"/>
        </w:rPr>
      </w:pPr>
      <w:r w:rsidRPr="006B6651">
        <w:rPr>
          <w:w w:val="110"/>
          <w:sz w:val="20"/>
          <w:szCs w:val="20"/>
          <w:lang w:val="ru-RU"/>
        </w:rPr>
        <w:t xml:space="preserve">Три продукти </w:t>
      </w:r>
      <w:proofErr w:type="spellStart"/>
      <w:r w:rsidRPr="006B6651">
        <w:rPr>
          <w:w w:val="110"/>
          <w:sz w:val="20"/>
          <w:szCs w:val="20"/>
          <w:lang w:val="ru-RU"/>
        </w:rPr>
        <w:t>відповідали</w:t>
      </w:r>
      <w:proofErr w:type="spellEnd"/>
      <w:r w:rsidRPr="006B6651">
        <w:rPr>
          <w:w w:val="110"/>
          <w:sz w:val="20"/>
          <w:szCs w:val="20"/>
          <w:lang w:val="ru-RU"/>
        </w:rPr>
        <w:t xml:space="preserve"> </w:t>
      </w:r>
      <w:proofErr w:type="spellStart"/>
      <w:r w:rsidRPr="006B6651">
        <w:rPr>
          <w:w w:val="110"/>
          <w:sz w:val="20"/>
          <w:szCs w:val="20"/>
          <w:lang w:val="ru-RU"/>
        </w:rPr>
        <w:t>критеріям</w:t>
      </w:r>
      <w:proofErr w:type="spellEnd"/>
      <w:r w:rsidRPr="006B6651">
        <w:rPr>
          <w:w w:val="110"/>
          <w:sz w:val="20"/>
          <w:szCs w:val="20"/>
          <w:lang w:val="ru-RU"/>
        </w:rPr>
        <w:t xml:space="preserve"> </w:t>
      </w:r>
      <w:proofErr w:type="spellStart"/>
      <w:r w:rsidRPr="006B6651">
        <w:rPr>
          <w:w w:val="110"/>
          <w:sz w:val="20"/>
          <w:szCs w:val="20"/>
          <w:lang w:val="ru-RU"/>
        </w:rPr>
        <w:t>включення</w:t>
      </w:r>
      <w:proofErr w:type="spellEnd"/>
      <w:r w:rsidRPr="006B6651">
        <w:rPr>
          <w:w w:val="110"/>
          <w:sz w:val="20"/>
          <w:szCs w:val="20"/>
          <w:lang w:val="ru-RU"/>
        </w:rPr>
        <w:t xml:space="preserve"> для виявлення </w:t>
      </w:r>
      <w:proofErr w:type="spellStart"/>
      <w:r w:rsidRPr="006B6651">
        <w:rPr>
          <w:w w:val="110"/>
          <w:sz w:val="20"/>
          <w:szCs w:val="20"/>
          <w:lang w:val="ru-RU"/>
        </w:rPr>
        <w:t>лікарської</w:t>
      </w:r>
      <w:proofErr w:type="spellEnd"/>
      <w:r w:rsidRPr="006B6651">
        <w:rPr>
          <w:w w:val="110"/>
          <w:sz w:val="20"/>
          <w:szCs w:val="20"/>
          <w:lang w:val="ru-RU"/>
        </w:rPr>
        <w:t xml:space="preserve"> </w:t>
      </w:r>
      <w:proofErr w:type="spellStart"/>
      <w:r w:rsidRPr="006B6651">
        <w:rPr>
          <w:w w:val="110"/>
          <w:sz w:val="20"/>
          <w:szCs w:val="20"/>
          <w:lang w:val="ru-RU"/>
        </w:rPr>
        <w:t>стійкості</w:t>
      </w:r>
      <w:proofErr w:type="spellEnd"/>
      <w:r w:rsidRPr="006B6651">
        <w:rPr>
          <w:w w:val="110"/>
          <w:sz w:val="20"/>
          <w:szCs w:val="20"/>
          <w:lang w:val="ru-RU"/>
        </w:rPr>
        <w:t xml:space="preserve"> </w:t>
      </w:r>
      <w:proofErr w:type="spellStart"/>
      <w:r w:rsidRPr="006B6651">
        <w:rPr>
          <w:w w:val="110"/>
          <w:sz w:val="20"/>
          <w:szCs w:val="20"/>
          <w:lang w:val="ru-RU"/>
        </w:rPr>
        <w:t>щонайменше</w:t>
      </w:r>
      <w:proofErr w:type="spellEnd"/>
      <w:r w:rsidRPr="006B6651">
        <w:rPr>
          <w:w w:val="110"/>
          <w:sz w:val="20"/>
          <w:szCs w:val="20"/>
          <w:lang w:val="ru-RU"/>
        </w:rPr>
        <w:t xml:space="preserve"> до одного з </w:t>
      </w:r>
      <w:proofErr w:type="spellStart"/>
      <w:r w:rsidRPr="006B6651">
        <w:rPr>
          <w:w w:val="110"/>
          <w:sz w:val="20"/>
          <w:szCs w:val="20"/>
          <w:lang w:val="ru-RU"/>
        </w:rPr>
        <w:t>оцінюваних</w:t>
      </w:r>
      <w:proofErr w:type="spellEnd"/>
      <w:r w:rsidRPr="006B6651">
        <w:rPr>
          <w:w w:val="110"/>
          <w:sz w:val="20"/>
          <w:szCs w:val="20"/>
          <w:lang w:val="ru-RU"/>
        </w:rPr>
        <w:t xml:space="preserve"> </w:t>
      </w:r>
      <w:proofErr w:type="spellStart"/>
      <w:r w:rsidRPr="006B6651">
        <w:rPr>
          <w:w w:val="110"/>
          <w:sz w:val="20"/>
          <w:szCs w:val="20"/>
          <w:lang w:val="ru-RU"/>
        </w:rPr>
        <w:t>протитуберкульозних</w:t>
      </w:r>
      <w:proofErr w:type="spellEnd"/>
      <w:r w:rsidRPr="006B6651">
        <w:rPr>
          <w:w w:val="110"/>
          <w:sz w:val="20"/>
          <w:szCs w:val="20"/>
          <w:lang w:val="ru-RU"/>
        </w:rPr>
        <w:t xml:space="preserve"> </w:t>
      </w:r>
      <w:proofErr w:type="spellStart"/>
      <w:r w:rsidRPr="006B6651">
        <w:rPr>
          <w:w w:val="110"/>
          <w:sz w:val="20"/>
          <w:szCs w:val="20"/>
          <w:lang w:val="ru-RU"/>
        </w:rPr>
        <w:t>препаратів</w:t>
      </w:r>
      <w:proofErr w:type="spellEnd"/>
      <w:r w:rsidRPr="006B6651">
        <w:rPr>
          <w:w w:val="110"/>
          <w:sz w:val="20"/>
          <w:szCs w:val="20"/>
          <w:lang w:val="ru-RU"/>
        </w:rPr>
        <w:t>.</w:t>
      </w:r>
    </w:p>
    <w:p w14:paraId="5E8D3A16" w14:textId="77777777" w:rsidR="00291E90" w:rsidRPr="006B6651" w:rsidRDefault="00291E90" w:rsidP="004A2937">
      <w:pPr>
        <w:pStyle w:val="a4"/>
        <w:numPr>
          <w:ilvl w:val="0"/>
          <w:numId w:val="45"/>
        </w:numPr>
        <w:tabs>
          <w:tab w:val="left" w:pos="1701"/>
        </w:tabs>
        <w:spacing w:before="116" w:line="276" w:lineRule="auto"/>
        <w:ind w:right="2"/>
        <w:rPr>
          <w:sz w:val="20"/>
          <w:szCs w:val="20"/>
          <w:lang w:val="ru-RU"/>
        </w:rPr>
      </w:pPr>
      <w:r w:rsidRPr="00BE6D3F">
        <w:rPr>
          <w:b/>
          <w:w w:val="110"/>
          <w:sz w:val="20"/>
          <w:szCs w:val="20"/>
          <w:lang w:val="uk-UA"/>
        </w:rPr>
        <w:t xml:space="preserve">Тест </w:t>
      </w:r>
      <w:r w:rsidRPr="00BE6D3F">
        <w:rPr>
          <w:b/>
          <w:spacing w:val="2"/>
          <w:w w:val="110"/>
          <w:sz w:val="20"/>
          <w:szCs w:val="20"/>
        </w:rPr>
        <w:t>Deeplex</w:t>
      </w:r>
      <w:r w:rsidRPr="006B6651">
        <w:rPr>
          <w:b/>
          <w:spacing w:val="2"/>
          <w:w w:val="110"/>
          <w:sz w:val="20"/>
          <w:szCs w:val="20"/>
          <w:lang w:val="ru-RU"/>
        </w:rPr>
        <w:t xml:space="preserve">® </w:t>
      </w:r>
      <w:r w:rsidRPr="00BE6D3F">
        <w:rPr>
          <w:b/>
          <w:spacing w:val="2"/>
          <w:w w:val="110"/>
          <w:sz w:val="20"/>
          <w:szCs w:val="20"/>
        </w:rPr>
        <w:t>Myc</w:t>
      </w:r>
      <w:r w:rsidRPr="006B6651">
        <w:rPr>
          <w:b/>
          <w:spacing w:val="2"/>
          <w:w w:val="110"/>
          <w:sz w:val="20"/>
          <w:szCs w:val="20"/>
          <w:lang w:val="ru-RU"/>
        </w:rPr>
        <w:t>-</w:t>
      </w:r>
      <w:r w:rsidRPr="00BE6D3F">
        <w:rPr>
          <w:b/>
          <w:spacing w:val="2"/>
          <w:w w:val="110"/>
          <w:sz w:val="20"/>
          <w:szCs w:val="20"/>
        </w:rPr>
        <w:t>TB</w:t>
      </w:r>
      <w:r w:rsidRPr="006B6651">
        <w:rPr>
          <w:b/>
          <w:spacing w:val="2"/>
          <w:w w:val="110"/>
          <w:sz w:val="20"/>
          <w:szCs w:val="20"/>
          <w:lang w:val="ru-RU"/>
        </w:rPr>
        <w:t xml:space="preserve"> </w:t>
      </w:r>
      <w:r w:rsidRPr="006B6651">
        <w:rPr>
          <w:w w:val="110"/>
          <w:sz w:val="20"/>
          <w:szCs w:val="20"/>
          <w:lang w:val="ru-RU"/>
        </w:rPr>
        <w:t>(</w:t>
      </w:r>
      <w:proofErr w:type="spellStart"/>
      <w:r w:rsidRPr="00BE6D3F">
        <w:rPr>
          <w:w w:val="110"/>
          <w:sz w:val="20"/>
          <w:szCs w:val="20"/>
        </w:rPr>
        <w:t>Genoscreen</w:t>
      </w:r>
      <w:proofErr w:type="spellEnd"/>
      <w:r w:rsidRPr="006B6651">
        <w:rPr>
          <w:w w:val="110"/>
          <w:sz w:val="20"/>
          <w:szCs w:val="20"/>
          <w:lang w:val="ru-RU"/>
        </w:rPr>
        <w:t xml:space="preserve">, </w:t>
      </w:r>
      <w:proofErr w:type="spellStart"/>
      <w:r w:rsidRPr="006B6651">
        <w:rPr>
          <w:w w:val="110"/>
          <w:sz w:val="20"/>
          <w:szCs w:val="20"/>
          <w:lang w:val="ru-RU"/>
        </w:rPr>
        <w:t>Франція</w:t>
      </w:r>
      <w:proofErr w:type="spellEnd"/>
      <w:r w:rsidRPr="006B6651">
        <w:rPr>
          <w:w w:val="110"/>
          <w:sz w:val="20"/>
          <w:szCs w:val="20"/>
          <w:lang w:val="ru-RU"/>
        </w:rPr>
        <w:t xml:space="preserve">) </w:t>
      </w:r>
      <w:r w:rsidRPr="00BE6D3F">
        <w:rPr>
          <w:w w:val="110"/>
          <w:sz w:val="20"/>
          <w:szCs w:val="20"/>
          <w:lang w:val="uk-UA"/>
        </w:rPr>
        <w:t>— це</w:t>
      </w:r>
      <w:r w:rsidRPr="006B6651">
        <w:rPr>
          <w:w w:val="110"/>
          <w:sz w:val="20"/>
          <w:szCs w:val="20"/>
          <w:lang w:val="ru-RU"/>
        </w:rPr>
        <w:t xml:space="preserve"> </w:t>
      </w:r>
      <w:proofErr w:type="spellStart"/>
      <w:r w:rsidRPr="006B6651">
        <w:rPr>
          <w:w w:val="110"/>
          <w:sz w:val="20"/>
          <w:szCs w:val="20"/>
          <w:lang w:val="ru-RU"/>
        </w:rPr>
        <w:t>наб</w:t>
      </w:r>
      <w:proofErr w:type="spellEnd"/>
      <w:r w:rsidRPr="00BE6D3F">
        <w:rPr>
          <w:w w:val="110"/>
          <w:sz w:val="20"/>
          <w:szCs w:val="20"/>
          <w:lang w:val="uk-UA"/>
        </w:rPr>
        <w:t>ір</w:t>
      </w:r>
      <w:r w:rsidRPr="006B6651">
        <w:rPr>
          <w:w w:val="110"/>
          <w:sz w:val="20"/>
          <w:szCs w:val="20"/>
          <w:lang w:val="ru-RU"/>
        </w:rPr>
        <w:t xml:space="preserve"> на </w:t>
      </w:r>
      <w:proofErr w:type="spellStart"/>
      <w:r w:rsidRPr="006B6651">
        <w:rPr>
          <w:w w:val="110"/>
          <w:sz w:val="20"/>
          <w:szCs w:val="20"/>
          <w:lang w:val="ru-RU"/>
        </w:rPr>
        <w:t>основі</w:t>
      </w:r>
      <w:proofErr w:type="spellEnd"/>
      <w:r w:rsidRPr="006B6651">
        <w:rPr>
          <w:w w:val="110"/>
          <w:sz w:val="20"/>
          <w:szCs w:val="20"/>
          <w:lang w:val="ru-RU"/>
        </w:rPr>
        <w:t xml:space="preserve"> </w:t>
      </w:r>
      <w:r w:rsidRPr="00BE6D3F">
        <w:rPr>
          <w:w w:val="110"/>
          <w:sz w:val="20"/>
          <w:szCs w:val="20"/>
          <w:lang w:val="uk-UA"/>
        </w:rPr>
        <w:t>таргетного СНП</w:t>
      </w:r>
      <w:r w:rsidRPr="006B6651">
        <w:rPr>
          <w:w w:val="110"/>
          <w:sz w:val="20"/>
          <w:szCs w:val="20"/>
          <w:lang w:val="ru-RU"/>
        </w:rPr>
        <w:t xml:space="preserve"> для </w:t>
      </w:r>
      <w:proofErr w:type="spellStart"/>
      <w:r w:rsidRPr="006B6651">
        <w:rPr>
          <w:w w:val="110"/>
          <w:sz w:val="20"/>
          <w:szCs w:val="20"/>
          <w:lang w:val="ru-RU"/>
        </w:rPr>
        <w:t>одночасної</w:t>
      </w:r>
      <w:proofErr w:type="spellEnd"/>
      <w:r w:rsidRPr="006B6651">
        <w:rPr>
          <w:w w:val="110"/>
          <w:sz w:val="20"/>
          <w:szCs w:val="20"/>
          <w:lang w:val="ru-RU"/>
        </w:rPr>
        <w:t xml:space="preserve"> </w:t>
      </w:r>
      <w:proofErr w:type="spellStart"/>
      <w:r w:rsidRPr="006B6651">
        <w:rPr>
          <w:w w:val="110"/>
          <w:sz w:val="20"/>
          <w:szCs w:val="20"/>
          <w:lang w:val="ru-RU"/>
        </w:rPr>
        <w:t>ідентифікації</w:t>
      </w:r>
      <w:proofErr w:type="spellEnd"/>
      <w:r w:rsidRPr="006B6651">
        <w:rPr>
          <w:w w:val="110"/>
          <w:sz w:val="20"/>
          <w:szCs w:val="20"/>
          <w:lang w:val="ru-RU"/>
        </w:rPr>
        <w:t xml:space="preserve"> </w:t>
      </w:r>
      <w:proofErr w:type="spellStart"/>
      <w:r w:rsidRPr="006B6651">
        <w:rPr>
          <w:w w:val="110"/>
          <w:sz w:val="20"/>
          <w:szCs w:val="20"/>
          <w:lang w:val="ru-RU"/>
        </w:rPr>
        <w:t>видів</w:t>
      </w:r>
      <w:proofErr w:type="spellEnd"/>
      <w:r w:rsidRPr="006B6651">
        <w:rPr>
          <w:w w:val="110"/>
          <w:sz w:val="20"/>
          <w:szCs w:val="20"/>
          <w:lang w:val="ru-RU"/>
        </w:rPr>
        <w:t xml:space="preserve"> </w:t>
      </w:r>
      <w:proofErr w:type="spellStart"/>
      <w:r w:rsidRPr="006B6651">
        <w:rPr>
          <w:w w:val="110"/>
          <w:sz w:val="20"/>
          <w:szCs w:val="20"/>
          <w:lang w:val="ru-RU"/>
        </w:rPr>
        <w:t>мікобактерій</w:t>
      </w:r>
      <w:proofErr w:type="spellEnd"/>
      <w:r w:rsidRPr="006B6651">
        <w:rPr>
          <w:w w:val="110"/>
          <w:sz w:val="20"/>
          <w:szCs w:val="20"/>
          <w:lang w:val="ru-RU"/>
        </w:rPr>
        <w:t xml:space="preserve">, </w:t>
      </w:r>
      <w:proofErr w:type="spellStart"/>
      <w:r w:rsidRPr="006B6651">
        <w:rPr>
          <w:w w:val="110"/>
          <w:sz w:val="20"/>
          <w:szCs w:val="20"/>
          <w:lang w:val="ru-RU"/>
        </w:rPr>
        <w:t>генотипування</w:t>
      </w:r>
      <w:proofErr w:type="spellEnd"/>
      <w:r w:rsidRPr="006B6651">
        <w:rPr>
          <w:w w:val="110"/>
          <w:sz w:val="20"/>
          <w:szCs w:val="20"/>
          <w:lang w:val="ru-RU"/>
        </w:rPr>
        <w:t xml:space="preserve"> та </w:t>
      </w:r>
      <w:proofErr w:type="spellStart"/>
      <w:r w:rsidRPr="006B6651">
        <w:rPr>
          <w:w w:val="110"/>
          <w:sz w:val="20"/>
          <w:szCs w:val="20"/>
          <w:lang w:val="ru-RU"/>
        </w:rPr>
        <w:t>прогнозування</w:t>
      </w:r>
      <w:proofErr w:type="spellEnd"/>
      <w:r w:rsidRPr="006B6651">
        <w:rPr>
          <w:w w:val="110"/>
          <w:sz w:val="20"/>
          <w:szCs w:val="20"/>
          <w:lang w:val="ru-RU"/>
        </w:rPr>
        <w:t xml:space="preserve"> </w:t>
      </w:r>
      <w:proofErr w:type="spellStart"/>
      <w:r w:rsidRPr="006B6651">
        <w:rPr>
          <w:w w:val="110"/>
          <w:sz w:val="20"/>
          <w:szCs w:val="20"/>
          <w:lang w:val="ru-RU"/>
        </w:rPr>
        <w:t>лікарської</w:t>
      </w:r>
      <w:proofErr w:type="spellEnd"/>
      <w:r w:rsidRPr="006B6651">
        <w:rPr>
          <w:w w:val="110"/>
          <w:sz w:val="20"/>
          <w:szCs w:val="20"/>
          <w:lang w:val="ru-RU"/>
        </w:rPr>
        <w:t xml:space="preserve"> </w:t>
      </w:r>
      <w:proofErr w:type="spellStart"/>
      <w:r w:rsidRPr="006B6651">
        <w:rPr>
          <w:w w:val="110"/>
          <w:sz w:val="20"/>
          <w:szCs w:val="20"/>
          <w:lang w:val="ru-RU"/>
        </w:rPr>
        <w:t>стійкості</w:t>
      </w:r>
      <w:proofErr w:type="spellEnd"/>
      <w:r w:rsidRPr="006B6651">
        <w:rPr>
          <w:w w:val="110"/>
          <w:sz w:val="20"/>
          <w:szCs w:val="20"/>
          <w:lang w:val="ru-RU"/>
        </w:rPr>
        <w:t xml:space="preserve"> </w:t>
      </w:r>
      <w:proofErr w:type="spellStart"/>
      <w:r w:rsidRPr="006B6651">
        <w:rPr>
          <w:w w:val="110"/>
          <w:sz w:val="20"/>
          <w:szCs w:val="20"/>
          <w:lang w:val="ru-RU"/>
        </w:rPr>
        <w:t>штамів</w:t>
      </w:r>
      <w:proofErr w:type="spellEnd"/>
      <w:r w:rsidRPr="006B6651">
        <w:rPr>
          <w:w w:val="110"/>
          <w:sz w:val="20"/>
          <w:szCs w:val="20"/>
          <w:lang w:val="ru-RU"/>
        </w:rPr>
        <w:t xml:space="preserve"> МБ</w:t>
      </w:r>
      <w:r w:rsidRPr="00BE6D3F">
        <w:rPr>
          <w:w w:val="110"/>
          <w:sz w:val="20"/>
          <w:szCs w:val="20"/>
          <w:lang w:val="uk-UA"/>
        </w:rPr>
        <w:t>Т</w:t>
      </w:r>
      <w:r w:rsidRPr="006B6651">
        <w:rPr>
          <w:w w:val="110"/>
          <w:sz w:val="20"/>
          <w:szCs w:val="20"/>
          <w:lang w:val="ru-RU"/>
        </w:rPr>
        <w:t xml:space="preserve">К, </w:t>
      </w:r>
      <w:r w:rsidRPr="00BE6D3F">
        <w:rPr>
          <w:w w:val="110"/>
          <w:sz w:val="20"/>
          <w:szCs w:val="20"/>
          <w:lang w:val="uk-UA"/>
        </w:rPr>
        <w:t>який</w:t>
      </w:r>
      <w:r w:rsidRPr="006B6651">
        <w:rPr>
          <w:w w:val="110"/>
          <w:sz w:val="20"/>
          <w:szCs w:val="20"/>
          <w:lang w:val="ru-RU"/>
        </w:rPr>
        <w:t xml:space="preserve"> </w:t>
      </w:r>
      <w:proofErr w:type="spellStart"/>
      <w:r w:rsidRPr="006B6651">
        <w:rPr>
          <w:w w:val="110"/>
          <w:sz w:val="20"/>
          <w:szCs w:val="20"/>
          <w:lang w:val="ru-RU"/>
        </w:rPr>
        <w:t>безпосередньо</w:t>
      </w:r>
      <w:proofErr w:type="spellEnd"/>
      <w:r w:rsidRPr="006B6651">
        <w:rPr>
          <w:w w:val="110"/>
          <w:sz w:val="20"/>
          <w:szCs w:val="20"/>
          <w:lang w:val="ru-RU"/>
        </w:rPr>
        <w:t xml:space="preserve"> </w:t>
      </w:r>
      <w:proofErr w:type="spellStart"/>
      <w:r w:rsidRPr="006B6651">
        <w:rPr>
          <w:w w:val="110"/>
          <w:sz w:val="20"/>
          <w:szCs w:val="20"/>
          <w:lang w:val="ru-RU"/>
        </w:rPr>
        <w:t>застосовується</w:t>
      </w:r>
      <w:proofErr w:type="spellEnd"/>
      <w:r w:rsidRPr="006B6651">
        <w:rPr>
          <w:w w:val="110"/>
          <w:sz w:val="20"/>
          <w:szCs w:val="20"/>
          <w:lang w:val="ru-RU"/>
        </w:rPr>
        <w:t xml:space="preserve"> до </w:t>
      </w:r>
      <w:proofErr w:type="spellStart"/>
      <w:r w:rsidRPr="006B6651">
        <w:rPr>
          <w:w w:val="110"/>
          <w:sz w:val="20"/>
          <w:szCs w:val="20"/>
          <w:lang w:val="ru-RU"/>
        </w:rPr>
        <w:t>зразків</w:t>
      </w:r>
      <w:proofErr w:type="spellEnd"/>
      <w:r w:rsidRPr="006B6651">
        <w:rPr>
          <w:w w:val="110"/>
          <w:sz w:val="20"/>
          <w:szCs w:val="20"/>
          <w:lang w:val="ru-RU"/>
        </w:rPr>
        <w:t xml:space="preserve"> </w:t>
      </w:r>
      <w:proofErr w:type="spellStart"/>
      <w:r w:rsidRPr="006B6651">
        <w:rPr>
          <w:w w:val="110"/>
          <w:sz w:val="20"/>
          <w:szCs w:val="20"/>
          <w:lang w:val="ru-RU"/>
        </w:rPr>
        <w:t>мокротиння</w:t>
      </w:r>
      <w:proofErr w:type="spellEnd"/>
      <w:r w:rsidRPr="006B6651">
        <w:rPr>
          <w:w w:val="110"/>
          <w:sz w:val="20"/>
          <w:szCs w:val="20"/>
          <w:lang w:val="ru-RU"/>
        </w:rPr>
        <w:t xml:space="preserve"> </w:t>
      </w:r>
      <w:r w:rsidRPr="006B6651">
        <w:rPr>
          <w:i/>
          <w:w w:val="110"/>
          <w:sz w:val="20"/>
          <w:szCs w:val="20"/>
          <w:lang w:val="ru-RU"/>
        </w:rPr>
        <w:t>(50)</w:t>
      </w:r>
      <w:r w:rsidRPr="006B6651">
        <w:rPr>
          <w:w w:val="110"/>
          <w:sz w:val="20"/>
          <w:szCs w:val="20"/>
          <w:lang w:val="ru-RU"/>
        </w:rPr>
        <w:t xml:space="preserve">. </w:t>
      </w:r>
      <w:proofErr w:type="spellStart"/>
      <w:r w:rsidRPr="006B6651">
        <w:rPr>
          <w:w w:val="110"/>
          <w:sz w:val="20"/>
          <w:szCs w:val="20"/>
          <w:lang w:val="ru-RU"/>
        </w:rPr>
        <w:t>Аналіз</w:t>
      </w:r>
      <w:proofErr w:type="spellEnd"/>
      <w:r w:rsidRPr="006B6651">
        <w:rPr>
          <w:w w:val="110"/>
          <w:sz w:val="20"/>
          <w:szCs w:val="20"/>
          <w:lang w:val="ru-RU"/>
        </w:rPr>
        <w:t xml:space="preserve"> </w:t>
      </w:r>
      <w:r w:rsidRPr="00BE6D3F">
        <w:rPr>
          <w:w w:val="110"/>
          <w:sz w:val="20"/>
          <w:szCs w:val="20"/>
          <w:lang w:val="uk-UA"/>
        </w:rPr>
        <w:t>використовує технологію</w:t>
      </w:r>
      <w:r w:rsidRPr="006B6651">
        <w:rPr>
          <w:w w:val="110"/>
          <w:sz w:val="20"/>
          <w:szCs w:val="20"/>
          <w:lang w:val="ru-RU"/>
        </w:rPr>
        <w:t xml:space="preserve"> </w:t>
      </w:r>
      <w:proofErr w:type="spellStart"/>
      <w:r w:rsidRPr="006B6651">
        <w:rPr>
          <w:w w:val="110"/>
          <w:sz w:val="20"/>
          <w:szCs w:val="20"/>
          <w:lang w:val="ru-RU"/>
        </w:rPr>
        <w:t>глибоко</w:t>
      </w:r>
      <w:proofErr w:type="spellEnd"/>
      <w:r w:rsidRPr="00BE6D3F">
        <w:rPr>
          <w:w w:val="110"/>
          <w:sz w:val="20"/>
          <w:szCs w:val="20"/>
          <w:lang w:val="uk-UA"/>
        </w:rPr>
        <w:t>го</w:t>
      </w:r>
      <w:r w:rsidRPr="006B6651">
        <w:rPr>
          <w:w w:val="110"/>
          <w:sz w:val="20"/>
          <w:szCs w:val="20"/>
          <w:lang w:val="ru-RU"/>
        </w:rPr>
        <w:t xml:space="preserve"> </w:t>
      </w:r>
      <w:proofErr w:type="spellStart"/>
      <w:r w:rsidRPr="006B6651">
        <w:rPr>
          <w:w w:val="110"/>
          <w:sz w:val="20"/>
          <w:szCs w:val="20"/>
          <w:lang w:val="ru-RU"/>
        </w:rPr>
        <w:t>секвенуванн</w:t>
      </w:r>
      <w:proofErr w:type="spellEnd"/>
      <w:r w:rsidRPr="00BE6D3F">
        <w:rPr>
          <w:w w:val="110"/>
          <w:sz w:val="20"/>
          <w:szCs w:val="20"/>
          <w:lang w:val="uk-UA"/>
        </w:rPr>
        <w:t>я</w:t>
      </w:r>
      <w:r w:rsidRPr="006B6651">
        <w:rPr>
          <w:w w:val="110"/>
          <w:sz w:val="20"/>
          <w:szCs w:val="20"/>
          <w:lang w:val="ru-RU"/>
        </w:rPr>
        <w:t xml:space="preserve"> </w:t>
      </w:r>
      <w:proofErr w:type="spellStart"/>
      <w:r w:rsidRPr="006B6651">
        <w:rPr>
          <w:w w:val="110"/>
          <w:sz w:val="20"/>
          <w:szCs w:val="20"/>
          <w:lang w:val="ru-RU"/>
        </w:rPr>
        <w:t>суміші</w:t>
      </w:r>
      <w:proofErr w:type="spellEnd"/>
      <w:r w:rsidRPr="006B6651">
        <w:rPr>
          <w:w w:val="110"/>
          <w:sz w:val="20"/>
          <w:szCs w:val="20"/>
          <w:lang w:val="ru-RU"/>
        </w:rPr>
        <w:t xml:space="preserve"> </w:t>
      </w:r>
      <w:r w:rsidRPr="00BE6D3F">
        <w:rPr>
          <w:w w:val="110"/>
          <w:sz w:val="20"/>
          <w:szCs w:val="20"/>
          <w:lang w:val="uk-UA"/>
        </w:rPr>
        <w:t xml:space="preserve">з </w:t>
      </w:r>
      <w:r w:rsidRPr="006B6651">
        <w:rPr>
          <w:w w:val="110"/>
          <w:sz w:val="20"/>
          <w:szCs w:val="20"/>
          <w:lang w:val="ru-RU"/>
        </w:rPr>
        <w:t xml:space="preserve">24 ампліконів і </w:t>
      </w:r>
      <w:proofErr w:type="spellStart"/>
      <w:r w:rsidRPr="006B6651">
        <w:rPr>
          <w:w w:val="110"/>
          <w:sz w:val="20"/>
          <w:szCs w:val="20"/>
          <w:lang w:val="ru-RU"/>
        </w:rPr>
        <w:t>націлений</w:t>
      </w:r>
      <w:proofErr w:type="spellEnd"/>
      <w:r w:rsidRPr="006B6651">
        <w:rPr>
          <w:w w:val="110"/>
          <w:sz w:val="20"/>
          <w:szCs w:val="20"/>
          <w:lang w:val="ru-RU"/>
        </w:rPr>
        <w:t xml:space="preserve"> на 18 </w:t>
      </w:r>
      <w:proofErr w:type="spellStart"/>
      <w:r w:rsidRPr="006B6651">
        <w:rPr>
          <w:w w:val="110"/>
          <w:sz w:val="20"/>
          <w:szCs w:val="20"/>
          <w:lang w:val="ru-RU"/>
        </w:rPr>
        <w:t>генних</w:t>
      </w:r>
      <w:proofErr w:type="spellEnd"/>
      <w:r w:rsidRPr="006B6651">
        <w:rPr>
          <w:w w:val="110"/>
          <w:sz w:val="20"/>
          <w:szCs w:val="20"/>
          <w:lang w:val="ru-RU"/>
        </w:rPr>
        <w:t xml:space="preserve"> </w:t>
      </w:r>
      <w:r w:rsidRPr="00BE6D3F">
        <w:rPr>
          <w:w w:val="110"/>
          <w:sz w:val="20"/>
          <w:szCs w:val="20"/>
          <w:lang w:val="uk-UA"/>
        </w:rPr>
        <w:t>ділянок</w:t>
      </w:r>
      <w:r w:rsidRPr="006B6651">
        <w:rPr>
          <w:w w:val="110"/>
          <w:sz w:val="20"/>
          <w:szCs w:val="20"/>
          <w:lang w:val="ru-RU"/>
        </w:rPr>
        <w:t xml:space="preserve"> МБ</w:t>
      </w:r>
      <w:r w:rsidRPr="00BE6D3F">
        <w:rPr>
          <w:w w:val="110"/>
          <w:sz w:val="20"/>
          <w:szCs w:val="20"/>
          <w:lang w:val="uk-UA"/>
        </w:rPr>
        <w:t>Т</w:t>
      </w:r>
      <w:r w:rsidRPr="006B6651">
        <w:rPr>
          <w:w w:val="110"/>
          <w:sz w:val="20"/>
          <w:szCs w:val="20"/>
          <w:lang w:val="ru-RU"/>
        </w:rPr>
        <w:t xml:space="preserve">К, пов'язаних </w:t>
      </w:r>
      <w:proofErr w:type="spellStart"/>
      <w:r w:rsidRPr="006B6651">
        <w:rPr>
          <w:w w:val="110"/>
          <w:sz w:val="20"/>
          <w:szCs w:val="20"/>
          <w:lang w:val="ru-RU"/>
        </w:rPr>
        <w:t>зі</w:t>
      </w:r>
      <w:proofErr w:type="spellEnd"/>
      <w:r w:rsidRPr="006B6651">
        <w:rPr>
          <w:w w:val="110"/>
          <w:sz w:val="20"/>
          <w:szCs w:val="20"/>
          <w:lang w:val="ru-RU"/>
        </w:rPr>
        <w:t xml:space="preserve"> </w:t>
      </w:r>
      <w:proofErr w:type="spellStart"/>
      <w:r w:rsidRPr="006B6651">
        <w:rPr>
          <w:w w:val="110"/>
          <w:sz w:val="20"/>
          <w:szCs w:val="20"/>
          <w:lang w:val="ru-RU"/>
        </w:rPr>
        <w:t>стійкістю</w:t>
      </w:r>
      <w:proofErr w:type="spellEnd"/>
      <w:r w:rsidRPr="006B6651">
        <w:rPr>
          <w:w w:val="110"/>
          <w:sz w:val="20"/>
          <w:szCs w:val="20"/>
          <w:lang w:val="ru-RU"/>
        </w:rPr>
        <w:t xml:space="preserve"> до </w:t>
      </w:r>
      <w:proofErr w:type="spellStart"/>
      <w:r w:rsidRPr="006B6651">
        <w:rPr>
          <w:w w:val="110"/>
          <w:sz w:val="20"/>
          <w:szCs w:val="20"/>
          <w:lang w:val="ru-RU"/>
        </w:rPr>
        <w:t>протитуберкульозних</w:t>
      </w:r>
      <w:proofErr w:type="spellEnd"/>
      <w:r w:rsidRPr="006B6651">
        <w:rPr>
          <w:w w:val="110"/>
          <w:sz w:val="20"/>
          <w:szCs w:val="20"/>
          <w:lang w:val="ru-RU"/>
        </w:rPr>
        <w:t xml:space="preserve"> </w:t>
      </w:r>
      <w:proofErr w:type="spellStart"/>
      <w:r w:rsidRPr="006B6651">
        <w:rPr>
          <w:w w:val="110"/>
          <w:sz w:val="20"/>
          <w:szCs w:val="20"/>
          <w:lang w:val="ru-RU"/>
        </w:rPr>
        <w:t>препаратів</w:t>
      </w:r>
      <w:proofErr w:type="spellEnd"/>
      <w:r w:rsidRPr="006B6651">
        <w:rPr>
          <w:w w:val="110"/>
          <w:sz w:val="20"/>
          <w:szCs w:val="20"/>
          <w:lang w:val="ru-RU"/>
        </w:rPr>
        <w:t xml:space="preserve"> (рифампіцин, ізоніазид, піразинамід, етамбутол, фторхінолони, амікацин, канаміцин, капреоміцин, </w:t>
      </w:r>
      <w:proofErr w:type="spellStart"/>
      <w:r w:rsidRPr="006B6651">
        <w:rPr>
          <w:w w:val="110"/>
          <w:sz w:val="20"/>
          <w:szCs w:val="20"/>
          <w:lang w:val="ru-RU"/>
        </w:rPr>
        <w:t>стрептоміцин</w:t>
      </w:r>
      <w:proofErr w:type="spellEnd"/>
      <w:r w:rsidRPr="006B6651">
        <w:rPr>
          <w:w w:val="110"/>
          <w:sz w:val="20"/>
          <w:szCs w:val="20"/>
          <w:lang w:val="ru-RU"/>
        </w:rPr>
        <w:t xml:space="preserve">, </w:t>
      </w:r>
      <w:proofErr w:type="spellStart"/>
      <w:r w:rsidRPr="006B6651">
        <w:rPr>
          <w:w w:val="110"/>
          <w:sz w:val="20"/>
          <w:szCs w:val="20"/>
          <w:lang w:val="ru-RU"/>
        </w:rPr>
        <w:t>етіонамід</w:t>
      </w:r>
      <w:proofErr w:type="spellEnd"/>
      <w:r w:rsidRPr="006B6651">
        <w:rPr>
          <w:w w:val="110"/>
          <w:sz w:val="20"/>
          <w:szCs w:val="20"/>
          <w:lang w:val="ru-RU"/>
        </w:rPr>
        <w:t xml:space="preserve">, бедаквілін, клофазимін та лінезолід). Ідентифікація </w:t>
      </w:r>
      <w:proofErr w:type="spellStart"/>
      <w:r w:rsidRPr="006B6651">
        <w:rPr>
          <w:w w:val="110"/>
          <w:sz w:val="20"/>
          <w:szCs w:val="20"/>
          <w:lang w:val="ru-RU"/>
        </w:rPr>
        <w:t>видів</w:t>
      </w:r>
      <w:proofErr w:type="spellEnd"/>
      <w:r w:rsidRPr="006B6651">
        <w:rPr>
          <w:w w:val="110"/>
          <w:sz w:val="20"/>
          <w:szCs w:val="20"/>
          <w:lang w:val="ru-RU"/>
        </w:rPr>
        <w:t xml:space="preserve"> </w:t>
      </w:r>
      <w:proofErr w:type="spellStart"/>
      <w:r w:rsidRPr="006B6651">
        <w:rPr>
          <w:w w:val="110"/>
          <w:sz w:val="20"/>
          <w:szCs w:val="20"/>
          <w:lang w:val="ru-RU"/>
        </w:rPr>
        <w:t>мікобактерій</w:t>
      </w:r>
      <w:proofErr w:type="spellEnd"/>
      <w:r w:rsidRPr="006B6651">
        <w:rPr>
          <w:w w:val="110"/>
          <w:sz w:val="20"/>
          <w:szCs w:val="20"/>
          <w:lang w:val="ru-RU"/>
        </w:rPr>
        <w:t xml:space="preserve"> </w:t>
      </w:r>
      <w:proofErr w:type="spellStart"/>
      <w:r w:rsidRPr="006B6651">
        <w:rPr>
          <w:w w:val="110"/>
          <w:sz w:val="20"/>
          <w:szCs w:val="20"/>
          <w:lang w:val="ru-RU"/>
        </w:rPr>
        <w:t>здійснюється</w:t>
      </w:r>
      <w:proofErr w:type="spellEnd"/>
      <w:r w:rsidRPr="006B6651">
        <w:rPr>
          <w:w w:val="110"/>
          <w:sz w:val="20"/>
          <w:szCs w:val="20"/>
          <w:lang w:val="ru-RU"/>
        </w:rPr>
        <w:t xml:space="preserve"> шляхом </w:t>
      </w:r>
      <w:proofErr w:type="spellStart"/>
      <w:r w:rsidRPr="006B6651">
        <w:rPr>
          <w:w w:val="110"/>
          <w:sz w:val="20"/>
          <w:szCs w:val="20"/>
          <w:lang w:val="ru-RU"/>
        </w:rPr>
        <w:t>націлювання</w:t>
      </w:r>
      <w:proofErr w:type="spellEnd"/>
      <w:r w:rsidRPr="006B6651">
        <w:rPr>
          <w:w w:val="110"/>
          <w:sz w:val="20"/>
          <w:szCs w:val="20"/>
          <w:lang w:val="ru-RU"/>
        </w:rPr>
        <w:t xml:space="preserve"> на ген </w:t>
      </w:r>
      <w:proofErr w:type="spellStart"/>
      <w:r w:rsidRPr="000B1FFE">
        <w:rPr>
          <w:i/>
          <w:w w:val="110"/>
          <w:sz w:val="20"/>
          <w:szCs w:val="20"/>
        </w:rPr>
        <w:t>hsp</w:t>
      </w:r>
      <w:proofErr w:type="spellEnd"/>
      <w:r w:rsidRPr="006B6651">
        <w:rPr>
          <w:w w:val="110"/>
          <w:sz w:val="20"/>
          <w:szCs w:val="20"/>
          <w:lang w:val="ru-RU"/>
        </w:rPr>
        <w:t xml:space="preserve">65; </w:t>
      </w:r>
      <w:proofErr w:type="spellStart"/>
      <w:r w:rsidRPr="006B6651">
        <w:rPr>
          <w:w w:val="110"/>
          <w:sz w:val="20"/>
          <w:szCs w:val="20"/>
          <w:lang w:val="ru-RU"/>
        </w:rPr>
        <w:t>мішень</w:t>
      </w:r>
      <w:proofErr w:type="spellEnd"/>
      <w:r w:rsidRPr="006B6651">
        <w:rPr>
          <w:w w:val="110"/>
          <w:sz w:val="20"/>
          <w:szCs w:val="20"/>
          <w:lang w:val="ru-RU"/>
        </w:rPr>
        <w:t xml:space="preserve"> для </w:t>
      </w:r>
      <w:proofErr w:type="spellStart"/>
      <w:r w:rsidRPr="006B6651">
        <w:rPr>
          <w:w w:val="110"/>
          <w:sz w:val="20"/>
          <w:szCs w:val="20"/>
          <w:lang w:val="ru-RU"/>
        </w:rPr>
        <w:t>споліготипування</w:t>
      </w:r>
      <w:proofErr w:type="spellEnd"/>
      <w:r w:rsidRPr="006B6651">
        <w:rPr>
          <w:w w:val="110"/>
          <w:sz w:val="20"/>
          <w:szCs w:val="20"/>
          <w:lang w:val="ru-RU"/>
        </w:rPr>
        <w:t xml:space="preserve"> (локус </w:t>
      </w:r>
      <w:r w:rsidRPr="000B1FFE">
        <w:rPr>
          <w:w w:val="110"/>
          <w:sz w:val="20"/>
          <w:szCs w:val="20"/>
        </w:rPr>
        <w:t>CRISPR</w:t>
      </w:r>
      <w:r w:rsidRPr="006B6651">
        <w:rPr>
          <w:w w:val="110"/>
          <w:sz w:val="20"/>
          <w:szCs w:val="20"/>
          <w:lang w:val="ru-RU"/>
        </w:rPr>
        <w:t>/</w:t>
      </w:r>
      <w:r w:rsidRPr="000B1FFE">
        <w:rPr>
          <w:w w:val="110"/>
          <w:sz w:val="20"/>
          <w:szCs w:val="20"/>
        </w:rPr>
        <w:t>Direct</w:t>
      </w:r>
      <w:r w:rsidRPr="006B6651">
        <w:rPr>
          <w:w w:val="110"/>
          <w:sz w:val="20"/>
          <w:szCs w:val="20"/>
          <w:lang w:val="ru-RU"/>
        </w:rPr>
        <w:t xml:space="preserve"> </w:t>
      </w:r>
      <w:r w:rsidRPr="000B1FFE">
        <w:rPr>
          <w:w w:val="110"/>
          <w:sz w:val="20"/>
          <w:szCs w:val="20"/>
        </w:rPr>
        <w:t>Repeat</w:t>
      </w:r>
      <w:r w:rsidRPr="006B6651">
        <w:rPr>
          <w:w w:val="110"/>
          <w:sz w:val="20"/>
          <w:szCs w:val="20"/>
          <w:lang w:val="ru-RU"/>
        </w:rPr>
        <w:t xml:space="preserve">) та </w:t>
      </w:r>
      <w:proofErr w:type="spellStart"/>
      <w:r w:rsidRPr="006B6651">
        <w:rPr>
          <w:w w:val="110"/>
          <w:sz w:val="20"/>
          <w:szCs w:val="20"/>
          <w:lang w:val="ru-RU"/>
        </w:rPr>
        <w:t>філогенетичні</w:t>
      </w:r>
      <w:proofErr w:type="spellEnd"/>
      <w:r w:rsidRPr="006B6651">
        <w:rPr>
          <w:w w:val="110"/>
          <w:sz w:val="20"/>
          <w:szCs w:val="20"/>
          <w:lang w:val="ru-RU"/>
        </w:rPr>
        <w:t xml:space="preserve"> </w:t>
      </w:r>
      <w:proofErr w:type="spellStart"/>
      <w:r w:rsidRPr="006B6651">
        <w:rPr>
          <w:w w:val="110"/>
          <w:sz w:val="20"/>
          <w:szCs w:val="20"/>
          <w:lang w:val="ru-RU"/>
        </w:rPr>
        <w:t>однонуклеотидні</w:t>
      </w:r>
      <w:proofErr w:type="spellEnd"/>
      <w:r w:rsidRPr="006B6651">
        <w:rPr>
          <w:w w:val="110"/>
          <w:sz w:val="20"/>
          <w:szCs w:val="20"/>
          <w:lang w:val="ru-RU"/>
        </w:rPr>
        <w:t xml:space="preserve"> </w:t>
      </w:r>
      <w:proofErr w:type="spellStart"/>
      <w:r w:rsidRPr="006B6651">
        <w:rPr>
          <w:w w:val="110"/>
          <w:sz w:val="20"/>
          <w:szCs w:val="20"/>
          <w:lang w:val="ru-RU"/>
        </w:rPr>
        <w:t>поліморфізми</w:t>
      </w:r>
      <w:proofErr w:type="spellEnd"/>
      <w:r w:rsidRPr="006B6651">
        <w:rPr>
          <w:w w:val="110"/>
          <w:sz w:val="20"/>
          <w:szCs w:val="20"/>
          <w:lang w:val="ru-RU"/>
        </w:rPr>
        <w:t xml:space="preserve"> (</w:t>
      </w:r>
      <w:r w:rsidRPr="00BE6D3F">
        <w:rPr>
          <w:w w:val="110"/>
          <w:sz w:val="20"/>
          <w:szCs w:val="20"/>
        </w:rPr>
        <w:t>SNP</w:t>
      </w:r>
      <w:r w:rsidRPr="006B6651">
        <w:rPr>
          <w:w w:val="110"/>
          <w:sz w:val="20"/>
          <w:szCs w:val="20"/>
          <w:lang w:val="ru-RU"/>
        </w:rPr>
        <w:t xml:space="preserve">) у </w:t>
      </w:r>
      <w:proofErr w:type="spellStart"/>
      <w:r w:rsidRPr="006B6651">
        <w:rPr>
          <w:w w:val="110"/>
          <w:sz w:val="20"/>
          <w:szCs w:val="20"/>
          <w:lang w:val="ru-RU"/>
        </w:rPr>
        <w:t>мішенях</w:t>
      </w:r>
      <w:proofErr w:type="spellEnd"/>
      <w:r w:rsidRPr="006B6651">
        <w:rPr>
          <w:w w:val="110"/>
          <w:sz w:val="20"/>
          <w:szCs w:val="20"/>
          <w:lang w:val="ru-RU"/>
        </w:rPr>
        <w:t xml:space="preserve">, пов'язаних із </w:t>
      </w:r>
      <w:proofErr w:type="spellStart"/>
      <w:r w:rsidRPr="006B6651">
        <w:rPr>
          <w:w w:val="110"/>
          <w:sz w:val="20"/>
          <w:szCs w:val="20"/>
          <w:lang w:val="ru-RU"/>
        </w:rPr>
        <w:t>лікарською</w:t>
      </w:r>
      <w:proofErr w:type="spellEnd"/>
      <w:r w:rsidRPr="006B6651">
        <w:rPr>
          <w:w w:val="110"/>
          <w:sz w:val="20"/>
          <w:szCs w:val="20"/>
          <w:lang w:val="ru-RU"/>
        </w:rPr>
        <w:t xml:space="preserve"> </w:t>
      </w:r>
      <w:proofErr w:type="spellStart"/>
      <w:r w:rsidRPr="006B6651">
        <w:rPr>
          <w:w w:val="110"/>
          <w:sz w:val="20"/>
          <w:szCs w:val="20"/>
          <w:lang w:val="ru-RU"/>
        </w:rPr>
        <w:t>стійкістю</w:t>
      </w:r>
      <w:proofErr w:type="spellEnd"/>
      <w:r w:rsidRPr="006B6651">
        <w:rPr>
          <w:w w:val="110"/>
          <w:sz w:val="20"/>
          <w:szCs w:val="20"/>
          <w:lang w:val="ru-RU"/>
        </w:rPr>
        <w:t xml:space="preserve">, </w:t>
      </w:r>
      <w:proofErr w:type="spellStart"/>
      <w:r w:rsidRPr="006B6651">
        <w:rPr>
          <w:w w:val="110"/>
          <w:sz w:val="20"/>
          <w:szCs w:val="20"/>
          <w:lang w:val="ru-RU"/>
        </w:rPr>
        <w:t>використовуються</w:t>
      </w:r>
      <w:proofErr w:type="spellEnd"/>
      <w:r w:rsidRPr="006B6651">
        <w:rPr>
          <w:w w:val="110"/>
          <w:sz w:val="20"/>
          <w:szCs w:val="20"/>
          <w:lang w:val="ru-RU"/>
        </w:rPr>
        <w:t xml:space="preserve"> для </w:t>
      </w:r>
      <w:proofErr w:type="spellStart"/>
      <w:r w:rsidRPr="006B6651">
        <w:rPr>
          <w:w w:val="110"/>
          <w:sz w:val="20"/>
          <w:szCs w:val="20"/>
          <w:lang w:val="ru-RU"/>
        </w:rPr>
        <w:t>генотипування</w:t>
      </w:r>
      <w:proofErr w:type="spellEnd"/>
      <w:r w:rsidRPr="006B6651">
        <w:rPr>
          <w:w w:val="110"/>
          <w:sz w:val="20"/>
          <w:szCs w:val="20"/>
          <w:lang w:val="ru-RU"/>
        </w:rPr>
        <w:t xml:space="preserve"> </w:t>
      </w:r>
      <w:proofErr w:type="spellStart"/>
      <w:r w:rsidRPr="006B6651">
        <w:rPr>
          <w:w w:val="110"/>
          <w:sz w:val="20"/>
          <w:szCs w:val="20"/>
          <w:lang w:val="ru-RU"/>
        </w:rPr>
        <w:t>штамів</w:t>
      </w:r>
      <w:proofErr w:type="spellEnd"/>
      <w:r w:rsidRPr="006B6651">
        <w:rPr>
          <w:w w:val="110"/>
          <w:sz w:val="20"/>
          <w:szCs w:val="20"/>
          <w:lang w:val="ru-RU"/>
        </w:rPr>
        <w:t xml:space="preserve"> МБ</w:t>
      </w:r>
      <w:r w:rsidRPr="00BE6D3F">
        <w:rPr>
          <w:w w:val="110"/>
          <w:sz w:val="20"/>
          <w:szCs w:val="20"/>
          <w:lang w:val="uk-UA"/>
        </w:rPr>
        <w:t>Т</w:t>
      </w:r>
      <w:r w:rsidRPr="006B6651">
        <w:rPr>
          <w:w w:val="110"/>
          <w:sz w:val="20"/>
          <w:szCs w:val="20"/>
          <w:lang w:val="ru-RU"/>
        </w:rPr>
        <w:t xml:space="preserve">К. </w:t>
      </w:r>
      <w:proofErr w:type="spellStart"/>
      <w:r w:rsidRPr="006B6651">
        <w:rPr>
          <w:w w:val="110"/>
          <w:sz w:val="20"/>
          <w:szCs w:val="20"/>
          <w:lang w:val="ru-RU"/>
        </w:rPr>
        <w:t>Аналіз</w:t>
      </w:r>
      <w:proofErr w:type="spellEnd"/>
      <w:r w:rsidRPr="006B6651">
        <w:rPr>
          <w:w w:val="110"/>
          <w:sz w:val="20"/>
          <w:szCs w:val="20"/>
          <w:lang w:val="ru-RU"/>
        </w:rPr>
        <w:t xml:space="preserve"> </w:t>
      </w:r>
      <w:proofErr w:type="spellStart"/>
      <w:r w:rsidRPr="006B6651">
        <w:rPr>
          <w:w w:val="110"/>
          <w:sz w:val="20"/>
          <w:szCs w:val="20"/>
          <w:lang w:val="ru-RU"/>
        </w:rPr>
        <w:t>виконується</w:t>
      </w:r>
      <w:proofErr w:type="spellEnd"/>
      <w:r w:rsidRPr="006B6651">
        <w:rPr>
          <w:w w:val="110"/>
          <w:sz w:val="20"/>
          <w:szCs w:val="20"/>
          <w:lang w:val="ru-RU"/>
        </w:rPr>
        <w:t xml:space="preserve"> з </w:t>
      </w:r>
      <w:proofErr w:type="spellStart"/>
      <w:r w:rsidRPr="006B6651">
        <w:rPr>
          <w:w w:val="110"/>
          <w:sz w:val="20"/>
          <w:szCs w:val="20"/>
          <w:lang w:val="ru-RU"/>
        </w:rPr>
        <w:t>використанням</w:t>
      </w:r>
      <w:proofErr w:type="spellEnd"/>
      <w:r w:rsidRPr="006B6651">
        <w:rPr>
          <w:w w:val="110"/>
          <w:sz w:val="20"/>
          <w:szCs w:val="20"/>
          <w:lang w:val="ru-RU"/>
        </w:rPr>
        <w:t xml:space="preserve"> </w:t>
      </w:r>
      <w:proofErr w:type="spellStart"/>
      <w:r w:rsidRPr="006B6651">
        <w:rPr>
          <w:w w:val="110"/>
          <w:sz w:val="20"/>
          <w:szCs w:val="20"/>
          <w:lang w:val="ru-RU"/>
        </w:rPr>
        <w:t>наборів</w:t>
      </w:r>
      <w:proofErr w:type="spellEnd"/>
      <w:r w:rsidRPr="006B6651">
        <w:rPr>
          <w:w w:val="110"/>
          <w:sz w:val="20"/>
          <w:szCs w:val="20"/>
          <w:lang w:val="ru-RU"/>
        </w:rPr>
        <w:t xml:space="preserve"> для </w:t>
      </w:r>
      <w:proofErr w:type="spellStart"/>
      <w:r w:rsidRPr="006B6651">
        <w:rPr>
          <w:w w:val="110"/>
          <w:sz w:val="20"/>
          <w:szCs w:val="20"/>
          <w:lang w:val="ru-RU"/>
        </w:rPr>
        <w:t>підготовки</w:t>
      </w:r>
      <w:proofErr w:type="spellEnd"/>
      <w:r w:rsidRPr="006B6651">
        <w:rPr>
          <w:w w:val="110"/>
          <w:sz w:val="20"/>
          <w:szCs w:val="20"/>
          <w:lang w:val="ru-RU"/>
        </w:rPr>
        <w:t xml:space="preserve"> </w:t>
      </w:r>
      <w:proofErr w:type="spellStart"/>
      <w:r w:rsidRPr="006B6651">
        <w:rPr>
          <w:w w:val="110"/>
          <w:sz w:val="20"/>
          <w:szCs w:val="20"/>
          <w:lang w:val="ru-RU"/>
        </w:rPr>
        <w:t>бібліотек</w:t>
      </w:r>
      <w:proofErr w:type="spellEnd"/>
      <w:r w:rsidRPr="006B6651">
        <w:rPr>
          <w:w w:val="110"/>
          <w:sz w:val="20"/>
          <w:szCs w:val="20"/>
          <w:lang w:val="ru-RU"/>
        </w:rPr>
        <w:t xml:space="preserve"> </w:t>
      </w:r>
      <w:proofErr w:type="spellStart"/>
      <w:r w:rsidRPr="00BE6D3F">
        <w:rPr>
          <w:w w:val="110"/>
          <w:sz w:val="20"/>
          <w:szCs w:val="20"/>
        </w:rPr>
        <w:t>Nextera</w:t>
      </w:r>
      <w:proofErr w:type="spellEnd"/>
      <w:r w:rsidRPr="006B6651">
        <w:rPr>
          <w:w w:val="110"/>
          <w:sz w:val="20"/>
          <w:szCs w:val="20"/>
          <w:lang w:val="ru-RU"/>
        </w:rPr>
        <w:t xml:space="preserve"> </w:t>
      </w:r>
      <w:r w:rsidRPr="00BE6D3F">
        <w:rPr>
          <w:w w:val="110"/>
          <w:sz w:val="20"/>
          <w:szCs w:val="20"/>
        </w:rPr>
        <w:t>XT</w:t>
      </w:r>
      <w:r w:rsidRPr="006B6651">
        <w:rPr>
          <w:w w:val="110"/>
          <w:sz w:val="20"/>
          <w:szCs w:val="20"/>
          <w:lang w:val="ru-RU"/>
        </w:rPr>
        <w:t xml:space="preserve"> та </w:t>
      </w:r>
      <w:r w:rsidRPr="00BE6D3F">
        <w:rPr>
          <w:w w:val="110"/>
          <w:sz w:val="20"/>
          <w:szCs w:val="20"/>
        </w:rPr>
        <w:t>DNA</w:t>
      </w:r>
      <w:r w:rsidRPr="006B6651">
        <w:rPr>
          <w:w w:val="110"/>
          <w:sz w:val="20"/>
          <w:szCs w:val="20"/>
          <w:lang w:val="ru-RU"/>
        </w:rPr>
        <w:t xml:space="preserve"> </w:t>
      </w:r>
      <w:r w:rsidRPr="00BE6D3F">
        <w:rPr>
          <w:w w:val="110"/>
          <w:sz w:val="20"/>
          <w:szCs w:val="20"/>
        </w:rPr>
        <w:t>Flex</w:t>
      </w:r>
      <w:r w:rsidRPr="006B6651">
        <w:rPr>
          <w:w w:val="110"/>
          <w:sz w:val="20"/>
          <w:szCs w:val="20"/>
          <w:lang w:val="ru-RU"/>
        </w:rPr>
        <w:t xml:space="preserve"> на платформах для секвенування </w:t>
      </w:r>
      <w:proofErr w:type="spellStart"/>
      <w:r w:rsidRPr="00BE6D3F">
        <w:rPr>
          <w:w w:val="110"/>
          <w:sz w:val="20"/>
          <w:szCs w:val="20"/>
        </w:rPr>
        <w:t>iSeq</w:t>
      </w:r>
      <w:proofErr w:type="spellEnd"/>
      <w:r w:rsidRPr="006B6651">
        <w:rPr>
          <w:w w:val="110"/>
          <w:sz w:val="20"/>
          <w:szCs w:val="20"/>
          <w:lang w:val="ru-RU"/>
        </w:rPr>
        <w:t xml:space="preserve"> 100, </w:t>
      </w:r>
      <w:proofErr w:type="spellStart"/>
      <w:r w:rsidRPr="00BE6D3F">
        <w:rPr>
          <w:w w:val="110"/>
          <w:sz w:val="20"/>
          <w:szCs w:val="20"/>
        </w:rPr>
        <w:t>MiniSeq</w:t>
      </w:r>
      <w:proofErr w:type="spellEnd"/>
      <w:r w:rsidRPr="006B6651">
        <w:rPr>
          <w:w w:val="110"/>
          <w:sz w:val="20"/>
          <w:szCs w:val="20"/>
          <w:lang w:val="ru-RU"/>
        </w:rPr>
        <w:t xml:space="preserve">, </w:t>
      </w:r>
      <w:proofErr w:type="spellStart"/>
      <w:r w:rsidRPr="00BE6D3F">
        <w:rPr>
          <w:w w:val="110"/>
          <w:sz w:val="20"/>
          <w:szCs w:val="20"/>
        </w:rPr>
        <w:t>MiSeq</w:t>
      </w:r>
      <w:proofErr w:type="spellEnd"/>
      <w:r w:rsidRPr="006B6651">
        <w:rPr>
          <w:w w:val="110"/>
          <w:sz w:val="20"/>
          <w:szCs w:val="20"/>
          <w:lang w:val="ru-RU"/>
        </w:rPr>
        <w:t xml:space="preserve"> та </w:t>
      </w:r>
      <w:proofErr w:type="spellStart"/>
      <w:r w:rsidRPr="00BE6D3F">
        <w:rPr>
          <w:w w:val="110"/>
          <w:sz w:val="20"/>
          <w:szCs w:val="20"/>
        </w:rPr>
        <w:t>NextSeq</w:t>
      </w:r>
      <w:proofErr w:type="spellEnd"/>
      <w:r w:rsidRPr="006B6651">
        <w:rPr>
          <w:w w:val="110"/>
          <w:sz w:val="20"/>
          <w:szCs w:val="20"/>
          <w:lang w:val="ru-RU"/>
        </w:rPr>
        <w:t xml:space="preserve"> (</w:t>
      </w:r>
      <w:r w:rsidRPr="00BE6D3F">
        <w:rPr>
          <w:w w:val="110"/>
          <w:sz w:val="20"/>
          <w:szCs w:val="20"/>
        </w:rPr>
        <w:t>Illumina</w:t>
      </w:r>
      <w:r w:rsidRPr="006B6651">
        <w:rPr>
          <w:w w:val="110"/>
          <w:sz w:val="20"/>
          <w:szCs w:val="20"/>
          <w:lang w:val="ru-RU"/>
        </w:rPr>
        <w:t xml:space="preserve">). </w:t>
      </w:r>
      <w:proofErr w:type="spellStart"/>
      <w:r w:rsidRPr="006B6651">
        <w:rPr>
          <w:w w:val="110"/>
          <w:sz w:val="20"/>
          <w:szCs w:val="20"/>
          <w:lang w:val="ru-RU"/>
        </w:rPr>
        <w:t>Рішення</w:t>
      </w:r>
      <w:proofErr w:type="spellEnd"/>
      <w:r w:rsidRPr="006B6651">
        <w:rPr>
          <w:w w:val="110"/>
          <w:sz w:val="20"/>
          <w:szCs w:val="20"/>
          <w:lang w:val="ru-RU"/>
        </w:rPr>
        <w:t xml:space="preserve"> </w:t>
      </w:r>
      <w:proofErr w:type="spellStart"/>
      <w:r w:rsidRPr="006B6651">
        <w:rPr>
          <w:w w:val="110"/>
          <w:sz w:val="20"/>
          <w:szCs w:val="20"/>
          <w:lang w:val="ru-RU"/>
        </w:rPr>
        <w:t>включає</w:t>
      </w:r>
      <w:proofErr w:type="spellEnd"/>
      <w:r w:rsidRPr="006B6651">
        <w:rPr>
          <w:w w:val="110"/>
          <w:sz w:val="20"/>
          <w:szCs w:val="20"/>
          <w:lang w:val="ru-RU"/>
        </w:rPr>
        <w:t xml:space="preserve"> </w:t>
      </w:r>
      <w:proofErr w:type="spellStart"/>
      <w:r w:rsidRPr="006B6651">
        <w:rPr>
          <w:w w:val="110"/>
          <w:sz w:val="20"/>
          <w:szCs w:val="20"/>
          <w:lang w:val="ru-RU"/>
        </w:rPr>
        <w:t>автоматизований</w:t>
      </w:r>
      <w:proofErr w:type="spellEnd"/>
      <w:r w:rsidRPr="006B6651">
        <w:rPr>
          <w:w w:val="110"/>
          <w:sz w:val="20"/>
          <w:szCs w:val="20"/>
          <w:lang w:val="ru-RU"/>
        </w:rPr>
        <w:t xml:space="preserve"> </w:t>
      </w:r>
      <w:r w:rsidRPr="00BE6D3F">
        <w:rPr>
          <w:w w:val="110"/>
          <w:sz w:val="20"/>
          <w:szCs w:val="20"/>
          <w:lang w:val="uk-UA"/>
        </w:rPr>
        <w:t>алгоритм</w:t>
      </w:r>
      <w:r w:rsidRPr="006B6651">
        <w:rPr>
          <w:w w:val="110"/>
          <w:sz w:val="20"/>
          <w:szCs w:val="20"/>
          <w:lang w:val="ru-RU"/>
        </w:rPr>
        <w:t xml:space="preserve"> </w:t>
      </w:r>
      <w:proofErr w:type="spellStart"/>
      <w:r w:rsidRPr="006B6651">
        <w:rPr>
          <w:w w:val="110"/>
          <w:sz w:val="20"/>
          <w:szCs w:val="20"/>
          <w:lang w:val="ru-RU"/>
        </w:rPr>
        <w:t>аналізу</w:t>
      </w:r>
      <w:proofErr w:type="spellEnd"/>
      <w:r w:rsidRPr="006B6651">
        <w:rPr>
          <w:w w:val="110"/>
          <w:sz w:val="20"/>
          <w:szCs w:val="20"/>
          <w:lang w:val="ru-RU"/>
        </w:rPr>
        <w:t xml:space="preserve"> </w:t>
      </w:r>
      <w:proofErr w:type="spellStart"/>
      <w:r w:rsidRPr="006B6651">
        <w:rPr>
          <w:w w:val="110"/>
          <w:sz w:val="20"/>
          <w:szCs w:val="20"/>
          <w:lang w:val="ru-RU"/>
        </w:rPr>
        <w:t>даних</w:t>
      </w:r>
      <w:proofErr w:type="spellEnd"/>
      <w:r w:rsidRPr="006B6651">
        <w:rPr>
          <w:w w:val="110"/>
          <w:sz w:val="20"/>
          <w:szCs w:val="20"/>
          <w:lang w:val="ru-RU"/>
        </w:rPr>
        <w:t xml:space="preserve"> секвенування у </w:t>
      </w:r>
      <w:proofErr w:type="spellStart"/>
      <w:r w:rsidRPr="006B6651">
        <w:rPr>
          <w:w w:val="110"/>
          <w:sz w:val="20"/>
          <w:szCs w:val="20"/>
          <w:lang w:val="ru-RU"/>
        </w:rPr>
        <w:t>захищеному</w:t>
      </w:r>
      <w:proofErr w:type="spellEnd"/>
      <w:r w:rsidRPr="006B6651">
        <w:rPr>
          <w:w w:val="110"/>
          <w:sz w:val="20"/>
          <w:szCs w:val="20"/>
          <w:lang w:val="ru-RU"/>
        </w:rPr>
        <w:t xml:space="preserve"> онлайн-</w:t>
      </w:r>
      <w:r w:rsidRPr="00BE6D3F">
        <w:rPr>
          <w:w w:val="110"/>
          <w:sz w:val="20"/>
          <w:szCs w:val="20"/>
          <w:lang w:val="uk-UA"/>
        </w:rPr>
        <w:t>застосунку</w:t>
      </w:r>
      <w:r w:rsidRPr="006B6651">
        <w:rPr>
          <w:w w:val="110"/>
          <w:sz w:val="20"/>
          <w:szCs w:val="20"/>
          <w:lang w:val="ru-RU"/>
        </w:rPr>
        <w:t xml:space="preserve"> з </w:t>
      </w:r>
      <w:proofErr w:type="spellStart"/>
      <w:r w:rsidRPr="006B6651">
        <w:rPr>
          <w:w w:val="110"/>
          <w:sz w:val="20"/>
          <w:szCs w:val="20"/>
          <w:lang w:val="ru-RU"/>
        </w:rPr>
        <w:t>інтегрованими</w:t>
      </w:r>
      <w:proofErr w:type="spellEnd"/>
      <w:r w:rsidRPr="006B6651">
        <w:rPr>
          <w:w w:val="110"/>
          <w:sz w:val="20"/>
          <w:szCs w:val="20"/>
          <w:lang w:val="ru-RU"/>
        </w:rPr>
        <w:t xml:space="preserve"> базами </w:t>
      </w:r>
      <w:proofErr w:type="spellStart"/>
      <w:r w:rsidRPr="006B6651">
        <w:rPr>
          <w:w w:val="110"/>
          <w:sz w:val="20"/>
          <w:szCs w:val="20"/>
          <w:lang w:val="ru-RU"/>
        </w:rPr>
        <w:t>даних</w:t>
      </w:r>
      <w:proofErr w:type="spellEnd"/>
      <w:r w:rsidRPr="006B6651">
        <w:rPr>
          <w:w w:val="110"/>
          <w:sz w:val="20"/>
          <w:szCs w:val="20"/>
          <w:lang w:val="ru-RU"/>
        </w:rPr>
        <w:t xml:space="preserve"> для </w:t>
      </w:r>
      <w:proofErr w:type="spellStart"/>
      <w:r w:rsidRPr="006B6651">
        <w:rPr>
          <w:w w:val="110"/>
          <w:sz w:val="20"/>
          <w:szCs w:val="20"/>
          <w:lang w:val="ru-RU"/>
        </w:rPr>
        <w:t>інтерпретації</w:t>
      </w:r>
      <w:proofErr w:type="spellEnd"/>
      <w:r w:rsidRPr="006B6651">
        <w:rPr>
          <w:w w:val="110"/>
          <w:sz w:val="20"/>
          <w:szCs w:val="20"/>
          <w:lang w:val="ru-RU"/>
        </w:rPr>
        <w:t xml:space="preserve"> </w:t>
      </w:r>
      <w:proofErr w:type="spellStart"/>
      <w:r w:rsidRPr="006B6651">
        <w:rPr>
          <w:w w:val="110"/>
          <w:sz w:val="20"/>
          <w:szCs w:val="20"/>
          <w:lang w:val="ru-RU"/>
        </w:rPr>
        <w:t>результатів</w:t>
      </w:r>
      <w:proofErr w:type="spellEnd"/>
      <w:r w:rsidRPr="006B6651">
        <w:rPr>
          <w:w w:val="110"/>
          <w:sz w:val="20"/>
          <w:szCs w:val="20"/>
          <w:lang w:val="ru-RU"/>
        </w:rPr>
        <w:t>.</w:t>
      </w:r>
    </w:p>
    <w:p w14:paraId="6AFA4CBC" w14:textId="77777777" w:rsidR="00291E90" w:rsidRPr="006B6651" w:rsidRDefault="00291E90" w:rsidP="004A2937">
      <w:pPr>
        <w:pStyle w:val="a4"/>
        <w:numPr>
          <w:ilvl w:val="0"/>
          <w:numId w:val="45"/>
        </w:numPr>
        <w:tabs>
          <w:tab w:val="left" w:pos="1701"/>
        </w:tabs>
        <w:spacing w:before="6" w:line="276" w:lineRule="auto"/>
        <w:ind w:right="2"/>
        <w:rPr>
          <w:sz w:val="20"/>
          <w:szCs w:val="20"/>
          <w:lang w:val="ru-RU"/>
        </w:rPr>
      </w:pPr>
      <w:r w:rsidRPr="000B1FFE">
        <w:rPr>
          <w:b/>
          <w:w w:val="110"/>
          <w:sz w:val="20"/>
          <w:szCs w:val="20"/>
          <w:lang w:val="uk-UA"/>
        </w:rPr>
        <w:t>Тест</w:t>
      </w:r>
      <w:r w:rsidRPr="006B6651">
        <w:rPr>
          <w:b/>
          <w:w w:val="110"/>
          <w:sz w:val="20"/>
          <w:szCs w:val="20"/>
          <w:lang w:val="ru-RU"/>
        </w:rPr>
        <w:t xml:space="preserve"> </w:t>
      </w:r>
      <w:r w:rsidRPr="000B1FFE">
        <w:rPr>
          <w:b/>
          <w:spacing w:val="2"/>
          <w:w w:val="110"/>
          <w:sz w:val="20"/>
          <w:szCs w:val="20"/>
        </w:rPr>
        <w:t>AmPORE</w:t>
      </w:r>
      <w:r w:rsidRPr="006B6651">
        <w:rPr>
          <w:b/>
          <w:spacing w:val="2"/>
          <w:w w:val="110"/>
          <w:sz w:val="20"/>
          <w:szCs w:val="20"/>
          <w:lang w:val="ru-RU"/>
        </w:rPr>
        <w:t>-</w:t>
      </w:r>
      <w:r w:rsidRPr="000B1FFE">
        <w:rPr>
          <w:b/>
          <w:spacing w:val="2"/>
          <w:w w:val="110"/>
          <w:sz w:val="20"/>
          <w:szCs w:val="20"/>
        </w:rPr>
        <w:t>TB</w:t>
      </w:r>
      <w:r w:rsidRPr="006B6651">
        <w:rPr>
          <w:b/>
          <w:spacing w:val="2"/>
          <w:w w:val="110"/>
          <w:sz w:val="20"/>
          <w:szCs w:val="20"/>
          <w:lang w:val="ru-RU"/>
        </w:rPr>
        <w:t xml:space="preserve">® </w:t>
      </w:r>
      <w:r w:rsidRPr="006B6651">
        <w:rPr>
          <w:w w:val="110"/>
          <w:sz w:val="20"/>
          <w:szCs w:val="20"/>
          <w:lang w:val="ru-RU"/>
        </w:rPr>
        <w:t>(</w:t>
      </w:r>
      <w:r w:rsidRPr="000B1FFE">
        <w:rPr>
          <w:w w:val="110"/>
          <w:sz w:val="20"/>
          <w:szCs w:val="20"/>
        </w:rPr>
        <w:t>Oxford</w:t>
      </w:r>
      <w:r w:rsidRPr="006B6651">
        <w:rPr>
          <w:w w:val="110"/>
          <w:sz w:val="20"/>
          <w:szCs w:val="20"/>
          <w:lang w:val="ru-RU"/>
        </w:rPr>
        <w:t xml:space="preserve"> </w:t>
      </w:r>
      <w:r w:rsidRPr="000B1FFE">
        <w:rPr>
          <w:w w:val="110"/>
          <w:sz w:val="20"/>
          <w:szCs w:val="20"/>
        </w:rPr>
        <w:t>Nanopore</w:t>
      </w:r>
      <w:r w:rsidRPr="006B6651">
        <w:rPr>
          <w:w w:val="110"/>
          <w:sz w:val="20"/>
          <w:szCs w:val="20"/>
          <w:lang w:val="ru-RU"/>
        </w:rPr>
        <w:t xml:space="preserve"> </w:t>
      </w:r>
      <w:r w:rsidRPr="000B1FFE">
        <w:rPr>
          <w:w w:val="110"/>
          <w:sz w:val="20"/>
          <w:szCs w:val="20"/>
        </w:rPr>
        <w:t>Diagnostics</w:t>
      </w:r>
      <w:r w:rsidRPr="006B6651">
        <w:rPr>
          <w:w w:val="110"/>
          <w:sz w:val="20"/>
          <w:szCs w:val="20"/>
          <w:lang w:val="ru-RU"/>
        </w:rPr>
        <w:t xml:space="preserve">, </w:t>
      </w:r>
      <w:proofErr w:type="spellStart"/>
      <w:r w:rsidRPr="006B6651">
        <w:rPr>
          <w:w w:val="110"/>
          <w:sz w:val="20"/>
          <w:szCs w:val="20"/>
          <w:lang w:val="ru-RU"/>
        </w:rPr>
        <w:t>Сполучене</w:t>
      </w:r>
      <w:proofErr w:type="spellEnd"/>
      <w:r w:rsidRPr="006B6651">
        <w:rPr>
          <w:w w:val="110"/>
          <w:sz w:val="20"/>
          <w:szCs w:val="20"/>
          <w:lang w:val="ru-RU"/>
        </w:rPr>
        <w:t xml:space="preserve"> </w:t>
      </w:r>
      <w:proofErr w:type="spellStart"/>
      <w:r w:rsidRPr="006B6651">
        <w:rPr>
          <w:w w:val="110"/>
          <w:sz w:val="20"/>
          <w:szCs w:val="20"/>
          <w:lang w:val="ru-RU"/>
        </w:rPr>
        <w:t>Королівство</w:t>
      </w:r>
      <w:proofErr w:type="spellEnd"/>
      <w:r w:rsidRPr="006B6651">
        <w:rPr>
          <w:w w:val="110"/>
          <w:sz w:val="20"/>
          <w:szCs w:val="20"/>
          <w:lang w:val="ru-RU"/>
        </w:rPr>
        <w:t xml:space="preserve">) </w:t>
      </w:r>
      <w:r w:rsidRPr="000B1FFE">
        <w:rPr>
          <w:w w:val="110"/>
          <w:sz w:val="20"/>
          <w:szCs w:val="20"/>
          <w:lang w:val="uk-UA"/>
        </w:rPr>
        <w:t>—</w:t>
      </w:r>
      <w:r w:rsidRPr="006B6651">
        <w:rPr>
          <w:w w:val="110"/>
          <w:sz w:val="20"/>
          <w:szCs w:val="20"/>
          <w:lang w:val="ru-RU"/>
        </w:rPr>
        <w:t xml:space="preserve"> </w:t>
      </w:r>
      <w:proofErr w:type="spellStart"/>
      <w:r w:rsidRPr="006B6651">
        <w:rPr>
          <w:w w:val="110"/>
          <w:sz w:val="20"/>
          <w:szCs w:val="20"/>
          <w:lang w:val="ru-RU"/>
        </w:rPr>
        <w:t>раніше</w:t>
      </w:r>
      <w:proofErr w:type="spellEnd"/>
      <w:r w:rsidRPr="006B6651">
        <w:rPr>
          <w:w w:val="110"/>
          <w:sz w:val="20"/>
          <w:szCs w:val="20"/>
          <w:lang w:val="ru-RU"/>
        </w:rPr>
        <w:t xml:space="preserve"> </w:t>
      </w:r>
      <w:proofErr w:type="spellStart"/>
      <w:r w:rsidRPr="006B6651">
        <w:rPr>
          <w:w w:val="110"/>
          <w:sz w:val="20"/>
          <w:szCs w:val="20"/>
          <w:lang w:val="ru-RU"/>
        </w:rPr>
        <w:t>відомий</w:t>
      </w:r>
      <w:proofErr w:type="spellEnd"/>
      <w:r w:rsidRPr="006B6651">
        <w:rPr>
          <w:w w:val="110"/>
          <w:sz w:val="20"/>
          <w:szCs w:val="20"/>
          <w:lang w:val="ru-RU"/>
        </w:rPr>
        <w:t xml:space="preserve"> як </w:t>
      </w:r>
      <w:r w:rsidRPr="000B1FFE">
        <w:rPr>
          <w:w w:val="110"/>
          <w:sz w:val="20"/>
          <w:szCs w:val="20"/>
        </w:rPr>
        <w:t>Nano</w:t>
      </w:r>
      <w:r w:rsidRPr="006B6651">
        <w:rPr>
          <w:w w:val="110"/>
          <w:sz w:val="20"/>
          <w:szCs w:val="20"/>
          <w:lang w:val="ru-RU"/>
        </w:rPr>
        <w:t>-</w:t>
      </w:r>
      <w:r w:rsidRPr="000B1FFE">
        <w:rPr>
          <w:w w:val="110"/>
          <w:sz w:val="20"/>
          <w:szCs w:val="20"/>
        </w:rPr>
        <w:t>TB</w:t>
      </w:r>
      <w:r w:rsidRPr="006B6651">
        <w:rPr>
          <w:w w:val="110"/>
          <w:sz w:val="20"/>
          <w:szCs w:val="20"/>
          <w:lang w:val="ru-RU"/>
        </w:rPr>
        <w:t>)</w:t>
      </w:r>
      <w:r w:rsidRPr="000B1FFE">
        <w:rPr>
          <w:w w:val="110"/>
          <w:sz w:val="20"/>
          <w:szCs w:val="20"/>
          <w:lang w:val="uk-UA"/>
        </w:rPr>
        <w:t xml:space="preserve"> </w:t>
      </w:r>
      <w:r w:rsidRPr="006B6651">
        <w:rPr>
          <w:w w:val="110"/>
          <w:sz w:val="20"/>
          <w:szCs w:val="20"/>
          <w:lang w:val="ru-RU"/>
        </w:rPr>
        <w:t xml:space="preserve">– </w:t>
      </w:r>
      <w:proofErr w:type="spellStart"/>
      <w:r w:rsidRPr="006B6651">
        <w:rPr>
          <w:w w:val="110"/>
          <w:sz w:val="20"/>
          <w:szCs w:val="20"/>
          <w:lang w:val="ru-RU"/>
        </w:rPr>
        <w:t>це</w:t>
      </w:r>
      <w:proofErr w:type="spellEnd"/>
      <w:r w:rsidRPr="006B6651">
        <w:rPr>
          <w:w w:val="110"/>
          <w:sz w:val="20"/>
          <w:szCs w:val="20"/>
          <w:lang w:val="ru-RU"/>
        </w:rPr>
        <w:t xml:space="preserve"> </w:t>
      </w:r>
      <w:proofErr w:type="spellStart"/>
      <w:r w:rsidRPr="006B6651">
        <w:rPr>
          <w:w w:val="110"/>
          <w:sz w:val="20"/>
          <w:szCs w:val="20"/>
          <w:lang w:val="ru-RU"/>
        </w:rPr>
        <w:t>набір</w:t>
      </w:r>
      <w:proofErr w:type="spellEnd"/>
      <w:r w:rsidRPr="006B6651">
        <w:rPr>
          <w:w w:val="110"/>
          <w:sz w:val="20"/>
          <w:szCs w:val="20"/>
          <w:lang w:val="ru-RU"/>
        </w:rPr>
        <w:t xml:space="preserve"> на </w:t>
      </w:r>
      <w:proofErr w:type="spellStart"/>
      <w:r w:rsidRPr="006B6651">
        <w:rPr>
          <w:w w:val="110"/>
          <w:sz w:val="20"/>
          <w:szCs w:val="20"/>
          <w:lang w:val="ru-RU"/>
        </w:rPr>
        <w:t>основі</w:t>
      </w:r>
      <w:proofErr w:type="spellEnd"/>
      <w:r w:rsidRPr="006B6651">
        <w:rPr>
          <w:w w:val="110"/>
          <w:sz w:val="20"/>
          <w:szCs w:val="20"/>
          <w:lang w:val="ru-RU"/>
        </w:rPr>
        <w:t xml:space="preserve"> </w:t>
      </w:r>
      <w:r w:rsidRPr="000B1FFE">
        <w:rPr>
          <w:w w:val="110"/>
          <w:sz w:val="20"/>
          <w:szCs w:val="20"/>
          <w:lang w:val="uk-UA"/>
        </w:rPr>
        <w:t>таргетного СНП</w:t>
      </w:r>
      <w:r w:rsidRPr="006B6651">
        <w:rPr>
          <w:w w:val="110"/>
          <w:sz w:val="20"/>
          <w:szCs w:val="20"/>
          <w:lang w:val="ru-RU"/>
        </w:rPr>
        <w:t xml:space="preserve"> для </w:t>
      </w:r>
      <w:proofErr w:type="spellStart"/>
      <w:r w:rsidRPr="006B6651">
        <w:rPr>
          <w:w w:val="110"/>
          <w:sz w:val="20"/>
          <w:szCs w:val="20"/>
          <w:lang w:val="ru-RU"/>
        </w:rPr>
        <w:t>одночасної</w:t>
      </w:r>
      <w:proofErr w:type="spellEnd"/>
      <w:r w:rsidRPr="006B6651">
        <w:rPr>
          <w:w w:val="110"/>
          <w:sz w:val="20"/>
          <w:szCs w:val="20"/>
          <w:lang w:val="ru-RU"/>
        </w:rPr>
        <w:t xml:space="preserve"> </w:t>
      </w:r>
      <w:proofErr w:type="spellStart"/>
      <w:r w:rsidRPr="006B6651">
        <w:rPr>
          <w:w w:val="110"/>
          <w:sz w:val="20"/>
          <w:szCs w:val="20"/>
          <w:lang w:val="ru-RU"/>
        </w:rPr>
        <w:t>ідентифікації</w:t>
      </w:r>
      <w:proofErr w:type="spellEnd"/>
      <w:r w:rsidRPr="006B6651">
        <w:rPr>
          <w:w w:val="110"/>
          <w:sz w:val="20"/>
          <w:szCs w:val="20"/>
          <w:lang w:val="ru-RU"/>
        </w:rPr>
        <w:t xml:space="preserve"> </w:t>
      </w:r>
      <w:proofErr w:type="spellStart"/>
      <w:r w:rsidRPr="006B6651">
        <w:rPr>
          <w:w w:val="110"/>
          <w:sz w:val="20"/>
          <w:szCs w:val="20"/>
          <w:lang w:val="ru-RU"/>
        </w:rPr>
        <w:t>видів</w:t>
      </w:r>
      <w:proofErr w:type="spellEnd"/>
      <w:r w:rsidRPr="006B6651">
        <w:rPr>
          <w:w w:val="110"/>
          <w:sz w:val="20"/>
          <w:szCs w:val="20"/>
          <w:lang w:val="ru-RU"/>
        </w:rPr>
        <w:t xml:space="preserve"> </w:t>
      </w:r>
      <w:proofErr w:type="spellStart"/>
      <w:r w:rsidRPr="006B6651">
        <w:rPr>
          <w:w w:val="110"/>
          <w:sz w:val="20"/>
          <w:szCs w:val="20"/>
          <w:lang w:val="ru-RU"/>
        </w:rPr>
        <w:t>мікобактерій</w:t>
      </w:r>
      <w:proofErr w:type="spellEnd"/>
      <w:r w:rsidRPr="006B6651">
        <w:rPr>
          <w:w w:val="110"/>
          <w:sz w:val="20"/>
          <w:szCs w:val="20"/>
          <w:lang w:val="ru-RU"/>
        </w:rPr>
        <w:t xml:space="preserve"> та виявлення </w:t>
      </w:r>
      <w:proofErr w:type="spellStart"/>
      <w:r w:rsidRPr="006B6651">
        <w:rPr>
          <w:w w:val="110"/>
          <w:sz w:val="20"/>
          <w:szCs w:val="20"/>
          <w:lang w:val="ru-RU"/>
        </w:rPr>
        <w:t>генетичних</w:t>
      </w:r>
      <w:proofErr w:type="spellEnd"/>
      <w:r w:rsidRPr="006B6651">
        <w:rPr>
          <w:w w:val="110"/>
          <w:sz w:val="20"/>
          <w:szCs w:val="20"/>
          <w:lang w:val="ru-RU"/>
        </w:rPr>
        <w:t xml:space="preserve"> </w:t>
      </w:r>
      <w:proofErr w:type="spellStart"/>
      <w:r w:rsidRPr="006B6651">
        <w:rPr>
          <w:w w:val="110"/>
          <w:sz w:val="20"/>
          <w:szCs w:val="20"/>
          <w:lang w:val="ru-RU"/>
        </w:rPr>
        <w:t>варіантів</w:t>
      </w:r>
      <w:proofErr w:type="spellEnd"/>
      <w:r w:rsidRPr="006B6651">
        <w:rPr>
          <w:w w:val="110"/>
          <w:sz w:val="20"/>
          <w:szCs w:val="20"/>
          <w:lang w:val="ru-RU"/>
        </w:rPr>
        <w:t xml:space="preserve"> М</w:t>
      </w:r>
      <w:r w:rsidRPr="000B1FFE">
        <w:rPr>
          <w:w w:val="110"/>
          <w:sz w:val="20"/>
          <w:szCs w:val="20"/>
          <w:lang w:val="uk-UA"/>
        </w:rPr>
        <w:t>Б</w:t>
      </w:r>
      <w:r w:rsidRPr="006B6651">
        <w:rPr>
          <w:w w:val="110"/>
          <w:sz w:val="20"/>
          <w:szCs w:val="20"/>
          <w:lang w:val="ru-RU"/>
        </w:rPr>
        <w:t xml:space="preserve">ТК, пов'язаних з </w:t>
      </w:r>
      <w:proofErr w:type="spellStart"/>
      <w:r w:rsidRPr="006B6651">
        <w:rPr>
          <w:w w:val="110"/>
          <w:sz w:val="20"/>
          <w:szCs w:val="20"/>
          <w:lang w:val="ru-RU"/>
        </w:rPr>
        <w:t>антимікробною</w:t>
      </w:r>
      <w:proofErr w:type="spellEnd"/>
      <w:r w:rsidRPr="006B6651">
        <w:rPr>
          <w:w w:val="110"/>
          <w:sz w:val="20"/>
          <w:szCs w:val="20"/>
          <w:lang w:val="ru-RU"/>
        </w:rPr>
        <w:t xml:space="preserve"> </w:t>
      </w:r>
      <w:proofErr w:type="spellStart"/>
      <w:r w:rsidRPr="006B6651">
        <w:rPr>
          <w:w w:val="110"/>
          <w:sz w:val="20"/>
          <w:szCs w:val="20"/>
          <w:lang w:val="ru-RU"/>
        </w:rPr>
        <w:t>резистентністю</w:t>
      </w:r>
      <w:proofErr w:type="spellEnd"/>
      <w:r w:rsidRPr="006B6651">
        <w:rPr>
          <w:w w:val="110"/>
          <w:sz w:val="20"/>
          <w:szCs w:val="20"/>
          <w:lang w:val="ru-RU"/>
        </w:rPr>
        <w:t xml:space="preserve">, в ДНК, </w:t>
      </w:r>
      <w:proofErr w:type="spellStart"/>
      <w:r w:rsidRPr="006B6651">
        <w:rPr>
          <w:w w:val="110"/>
          <w:sz w:val="20"/>
          <w:szCs w:val="20"/>
          <w:lang w:val="ru-RU"/>
        </w:rPr>
        <w:t>екстрагованій</w:t>
      </w:r>
      <w:proofErr w:type="spellEnd"/>
      <w:r w:rsidRPr="006B6651">
        <w:rPr>
          <w:w w:val="110"/>
          <w:sz w:val="20"/>
          <w:szCs w:val="20"/>
          <w:lang w:val="ru-RU"/>
        </w:rPr>
        <w:t xml:space="preserve"> зі </w:t>
      </w:r>
      <w:proofErr w:type="spellStart"/>
      <w:r w:rsidRPr="006B6651">
        <w:rPr>
          <w:w w:val="110"/>
          <w:sz w:val="20"/>
          <w:szCs w:val="20"/>
          <w:lang w:val="ru-RU"/>
        </w:rPr>
        <w:t>зразків</w:t>
      </w:r>
      <w:proofErr w:type="spellEnd"/>
      <w:r w:rsidRPr="006B6651">
        <w:rPr>
          <w:w w:val="110"/>
          <w:sz w:val="20"/>
          <w:szCs w:val="20"/>
          <w:lang w:val="ru-RU"/>
        </w:rPr>
        <w:t xml:space="preserve"> </w:t>
      </w:r>
      <w:proofErr w:type="spellStart"/>
      <w:r w:rsidRPr="006B6651">
        <w:rPr>
          <w:w w:val="110"/>
          <w:sz w:val="20"/>
          <w:szCs w:val="20"/>
          <w:lang w:val="ru-RU"/>
        </w:rPr>
        <w:t>мокротиння</w:t>
      </w:r>
      <w:proofErr w:type="spellEnd"/>
      <w:r w:rsidRPr="000B1FFE">
        <w:rPr>
          <w:w w:val="110"/>
          <w:sz w:val="20"/>
          <w:szCs w:val="20"/>
          <w:lang w:val="uk-UA"/>
        </w:rPr>
        <w:t>.</w:t>
      </w:r>
      <w:r w:rsidRPr="006B6651">
        <w:rPr>
          <w:w w:val="110"/>
          <w:position w:val="9"/>
          <w:sz w:val="20"/>
          <w:szCs w:val="20"/>
          <w:vertAlign w:val="superscript"/>
          <w:lang w:val="ru-RU"/>
        </w:rPr>
        <w:t>13</w:t>
      </w:r>
      <w:r w:rsidRPr="006B6651">
        <w:rPr>
          <w:w w:val="110"/>
          <w:position w:val="9"/>
          <w:sz w:val="20"/>
          <w:szCs w:val="20"/>
          <w:lang w:val="ru-RU"/>
        </w:rPr>
        <w:t xml:space="preserve"> </w:t>
      </w:r>
      <w:proofErr w:type="spellStart"/>
      <w:r w:rsidRPr="006B6651">
        <w:rPr>
          <w:w w:val="110"/>
          <w:sz w:val="20"/>
          <w:szCs w:val="20"/>
          <w:lang w:val="ru-RU"/>
        </w:rPr>
        <w:t>Аналіз</w:t>
      </w:r>
      <w:proofErr w:type="spellEnd"/>
      <w:r w:rsidRPr="006B6651">
        <w:rPr>
          <w:w w:val="110"/>
          <w:sz w:val="20"/>
          <w:szCs w:val="20"/>
          <w:lang w:val="ru-RU"/>
        </w:rPr>
        <w:t xml:space="preserve"> </w:t>
      </w:r>
      <w:r w:rsidRPr="000B1FFE">
        <w:rPr>
          <w:w w:val="110"/>
          <w:sz w:val="20"/>
          <w:szCs w:val="20"/>
          <w:lang w:val="uk-UA"/>
        </w:rPr>
        <w:t>використовує технологію</w:t>
      </w:r>
      <w:r w:rsidRPr="006B6651">
        <w:rPr>
          <w:w w:val="110"/>
          <w:sz w:val="20"/>
          <w:szCs w:val="20"/>
          <w:lang w:val="ru-RU"/>
        </w:rPr>
        <w:t xml:space="preserve"> </w:t>
      </w:r>
      <w:proofErr w:type="spellStart"/>
      <w:r w:rsidRPr="006B6651">
        <w:rPr>
          <w:w w:val="110"/>
          <w:sz w:val="20"/>
          <w:szCs w:val="20"/>
          <w:lang w:val="ru-RU"/>
        </w:rPr>
        <w:t>секвенуванн</w:t>
      </w:r>
      <w:proofErr w:type="spellEnd"/>
      <w:r w:rsidRPr="000B1FFE">
        <w:rPr>
          <w:w w:val="110"/>
          <w:sz w:val="20"/>
          <w:szCs w:val="20"/>
          <w:lang w:val="uk-UA"/>
        </w:rPr>
        <w:t>я</w:t>
      </w:r>
      <w:r w:rsidRPr="006B6651">
        <w:rPr>
          <w:w w:val="110"/>
          <w:sz w:val="20"/>
          <w:szCs w:val="20"/>
          <w:lang w:val="ru-RU"/>
        </w:rPr>
        <w:t xml:space="preserve"> </w:t>
      </w:r>
      <w:proofErr w:type="spellStart"/>
      <w:r w:rsidRPr="006B6651">
        <w:rPr>
          <w:w w:val="110"/>
          <w:sz w:val="20"/>
          <w:szCs w:val="20"/>
          <w:lang w:val="ru-RU"/>
        </w:rPr>
        <w:t>суміші</w:t>
      </w:r>
      <w:proofErr w:type="spellEnd"/>
      <w:r w:rsidRPr="006B6651">
        <w:rPr>
          <w:w w:val="110"/>
          <w:sz w:val="20"/>
          <w:szCs w:val="20"/>
          <w:lang w:val="ru-RU"/>
        </w:rPr>
        <w:t xml:space="preserve"> </w:t>
      </w:r>
      <w:r w:rsidRPr="000B1FFE">
        <w:rPr>
          <w:w w:val="110"/>
          <w:sz w:val="20"/>
          <w:szCs w:val="20"/>
          <w:lang w:val="uk-UA"/>
        </w:rPr>
        <w:t xml:space="preserve">з </w:t>
      </w:r>
      <w:r w:rsidRPr="006B6651">
        <w:rPr>
          <w:w w:val="110"/>
          <w:sz w:val="20"/>
          <w:szCs w:val="20"/>
          <w:lang w:val="ru-RU"/>
        </w:rPr>
        <w:t xml:space="preserve">27 ампліконів: 24 </w:t>
      </w:r>
      <w:proofErr w:type="spellStart"/>
      <w:r w:rsidRPr="006B6651">
        <w:rPr>
          <w:w w:val="110"/>
          <w:sz w:val="20"/>
          <w:szCs w:val="20"/>
          <w:lang w:val="ru-RU"/>
        </w:rPr>
        <w:t>мішені</w:t>
      </w:r>
      <w:proofErr w:type="spellEnd"/>
      <w:r w:rsidRPr="006B6651">
        <w:rPr>
          <w:w w:val="110"/>
          <w:sz w:val="20"/>
          <w:szCs w:val="20"/>
          <w:lang w:val="ru-RU"/>
        </w:rPr>
        <w:t xml:space="preserve"> </w:t>
      </w:r>
      <w:proofErr w:type="spellStart"/>
      <w:r w:rsidRPr="006B6651">
        <w:rPr>
          <w:w w:val="110"/>
          <w:sz w:val="20"/>
          <w:szCs w:val="20"/>
          <w:lang w:val="ru-RU"/>
        </w:rPr>
        <w:t>лікарської</w:t>
      </w:r>
      <w:proofErr w:type="spellEnd"/>
      <w:r w:rsidRPr="006B6651">
        <w:rPr>
          <w:w w:val="110"/>
          <w:sz w:val="20"/>
          <w:szCs w:val="20"/>
          <w:lang w:val="ru-RU"/>
        </w:rPr>
        <w:t xml:space="preserve"> </w:t>
      </w:r>
      <w:proofErr w:type="spellStart"/>
      <w:r w:rsidRPr="006B6651">
        <w:rPr>
          <w:w w:val="110"/>
          <w:sz w:val="20"/>
          <w:szCs w:val="20"/>
          <w:lang w:val="ru-RU"/>
        </w:rPr>
        <w:t>стійкості</w:t>
      </w:r>
      <w:proofErr w:type="spellEnd"/>
      <w:r w:rsidRPr="006B6651">
        <w:rPr>
          <w:w w:val="110"/>
          <w:sz w:val="20"/>
          <w:szCs w:val="20"/>
          <w:lang w:val="ru-RU"/>
        </w:rPr>
        <w:t xml:space="preserve">, </w:t>
      </w:r>
      <w:proofErr w:type="spellStart"/>
      <w:r w:rsidRPr="006B6651">
        <w:rPr>
          <w:w w:val="110"/>
          <w:sz w:val="20"/>
          <w:szCs w:val="20"/>
          <w:lang w:val="ru-RU"/>
        </w:rPr>
        <w:t>мішень</w:t>
      </w:r>
      <w:proofErr w:type="spellEnd"/>
      <w:r w:rsidRPr="006B6651">
        <w:rPr>
          <w:w w:val="110"/>
          <w:sz w:val="20"/>
          <w:szCs w:val="20"/>
          <w:lang w:val="ru-RU"/>
        </w:rPr>
        <w:t xml:space="preserve"> для </w:t>
      </w:r>
      <w:proofErr w:type="spellStart"/>
      <w:r w:rsidRPr="006B6651">
        <w:rPr>
          <w:w w:val="110"/>
          <w:sz w:val="20"/>
          <w:szCs w:val="20"/>
          <w:lang w:val="ru-RU"/>
        </w:rPr>
        <w:t>генотипування</w:t>
      </w:r>
      <w:proofErr w:type="spellEnd"/>
      <w:r w:rsidRPr="006B6651">
        <w:rPr>
          <w:w w:val="110"/>
          <w:sz w:val="20"/>
          <w:szCs w:val="20"/>
          <w:lang w:val="ru-RU"/>
        </w:rPr>
        <w:t xml:space="preserve">, </w:t>
      </w:r>
      <w:proofErr w:type="spellStart"/>
      <w:r w:rsidRPr="006B6651">
        <w:rPr>
          <w:w w:val="110"/>
          <w:sz w:val="20"/>
          <w:szCs w:val="20"/>
          <w:lang w:val="ru-RU"/>
        </w:rPr>
        <w:t>мішень</w:t>
      </w:r>
      <w:proofErr w:type="spellEnd"/>
      <w:r w:rsidRPr="006B6651">
        <w:rPr>
          <w:w w:val="110"/>
          <w:sz w:val="20"/>
          <w:szCs w:val="20"/>
          <w:lang w:val="ru-RU"/>
        </w:rPr>
        <w:t xml:space="preserve"> для </w:t>
      </w:r>
      <w:proofErr w:type="spellStart"/>
      <w:r w:rsidRPr="006B6651">
        <w:rPr>
          <w:w w:val="110"/>
          <w:sz w:val="20"/>
          <w:szCs w:val="20"/>
          <w:lang w:val="ru-RU"/>
        </w:rPr>
        <w:t>ідентифікації</w:t>
      </w:r>
      <w:proofErr w:type="spellEnd"/>
      <w:r w:rsidRPr="006B6651">
        <w:rPr>
          <w:w w:val="110"/>
          <w:sz w:val="20"/>
          <w:szCs w:val="20"/>
          <w:lang w:val="ru-RU"/>
        </w:rPr>
        <w:t xml:space="preserve"> </w:t>
      </w:r>
      <w:proofErr w:type="spellStart"/>
      <w:r w:rsidRPr="006B6651">
        <w:rPr>
          <w:w w:val="110"/>
          <w:sz w:val="20"/>
          <w:szCs w:val="20"/>
          <w:lang w:val="ru-RU"/>
        </w:rPr>
        <w:t>нетуберкульозних</w:t>
      </w:r>
      <w:proofErr w:type="spellEnd"/>
      <w:r w:rsidRPr="006B6651">
        <w:rPr>
          <w:w w:val="110"/>
          <w:sz w:val="20"/>
          <w:szCs w:val="20"/>
          <w:lang w:val="ru-RU"/>
        </w:rPr>
        <w:t xml:space="preserve"> </w:t>
      </w:r>
      <w:proofErr w:type="spellStart"/>
      <w:r w:rsidRPr="006B6651">
        <w:rPr>
          <w:w w:val="110"/>
          <w:sz w:val="20"/>
          <w:szCs w:val="20"/>
          <w:lang w:val="ru-RU"/>
        </w:rPr>
        <w:t>мікобактерій</w:t>
      </w:r>
      <w:proofErr w:type="spellEnd"/>
      <w:r w:rsidRPr="006B6651">
        <w:rPr>
          <w:w w:val="110"/>
          <w:sz w:val="20"/>
          <w:szCs w:val="20"/>
          <w:lang w:val="ru-RU"/>
        </w:rPr>
        <w:t xml:space="preserve"> (</w:t>
      </w:r>
      <w:proofErr w:type="spellStart"/>
      <w:r w:rsidRPr="000B1FFE">
        <w:rPr>
          <w:i/>
          <w:w w:val="110"/>
          <w:sz w:val="20"/>
          <w:szCs w:val="20"/>
        </w:rPr>
        <w:t>hsp</w:t>
      </w:r>
      <w:proofErr w:type="spellEnd"/>
      <w:r w:rsidRPr="006B6651">
        <w:rPr>
          <w:w w:val="110"/>
          <w:sz w:val="20"/>
          <w:szCs w:val="20"/>
          <w:lang w:val="ru-RU"/>
        </w:rPr>
        <w:t xml:space="preserve">65) та </w:t>
      </w:r>
      <w:proofErr w:type="spellStart"/>
      <w:r w:rsidRPr="006B6651">
        <w:rPr>
          <w:w w:val="110"/>
          <w:sz w:val="20"/>
          <w:szCs w:val="20"/>
          <w:lang w:val="ru-RU"/>
        </w:rPr>
        <w:t>внутрішній</w:t>
      </w:r>
      <w:proofErr w:type="spellEnd"/>
      <w:r w:rsidRPr="006B6651">
        <w:rPr>
          <w:w w:val="110"/>
          <w:sz w:val="20"/>
          <w:szCs w:val="20"/>
          <w:lang w:val="ru-RU"/>
        </w:rPr>
        <w:t xml:space="preserve"> контроль. </w:t>
      </w:r>
    </w:p>
    <w:p w14:paraId="1F5EB3F9" w14:textId="23D2074E" w:rsidR="00291E90" w:rsidRPr="006B6651" w:rsidRDefault="00291E90" w:rsidP="00291E90">
      <w:pPr>
        <w:tabs>
          <w:tab w:val="left" w:pos="1701"/>
        </w:tabs>
        <w:spacing w:before="6" w:line="276" w:lineRule="auto"/>
        <w:ind w:left="709" w:right="2"/>
        <w:jc w:val="both"/>
        <w:rPr>
          <w:sz w:val="20"/>
          <w:szCs w:val="20"/>
          <w:lang w:val="ru-RU"/>
        </w:rPr>
      </w:pPr>
      <w:r>
        <w:rPr>
          <w:sz w:val="20"/>
          <w:szCs w:val="20"/>
          <w:lang w:val="ru-RU"/>
        </w:rPr>
        <w:t>_________________________________________________</w:t>
      </w:r>
    </w:p>
    <w:p w14:paraId="016C0335" w14:textId="77777777" w:rsidR="00291E90" w:rsidRPr="006B6651" w:rsidRDefault="00291E90" w:rsidP="00291E90">
      <w:pPr>
        <w:spacing w:before="90"/>
        <w:ind w:left="709" w:right="2"/>
        <w:jc w:val="both"/>
        <w:rPr>
          <w:sz w:val="16"/>
          <w:lang w:val="ru-RU"/>
        </w:rPr>
      </w:pPr>
      <w:r w:rsidRPr="006B6651">
        <w:rPr>
          <w:w w:val="110"/>
          <w:position w:val="6"/>
          <w:sz w:val="9"/>
          <w:lang w:val="ru-RU"/>
        </w:rPr>
        <w:t xml:space="preserve">13 </w:t>
      </w:r>
      <w:r w:rsidRPr="00696E44">
        <w:rPr>
          <w:w w:val="110"/>
          <w:sz w:val="16"/>
        </w:rPr>
        <w:t>Oxford</w:t>
      </w:r>
      <w:r w:rsidRPr="006B6651">
        <w:rPr>
          <w:w w:val="110"/>
          <w:sz w:val="16"/>
          <w:lang w:val="ru-RU"/>
        </w:rPr>
        <w:t xml:space="preserve"> </w:t>
      </w:r>
      <w:r w:rsidRPr="00696E44">
        <w:rPr>
          <w:w w:val="110"/>
          <w:sz w:val="16"/>
        </w:rPr>
        <w:t>Nanopore</w:t>
      </w:r>
      <w:r w:rsidRPr="006B6651">
        <w:rPr>
          <w:w w:val="110"/>
          <w:sz w:val="16"/>
          <w:lang w:val="ru-RU"/>
        </w:rPr>
        <w:t xml:space="preserve"> </w:t>
      </w:r>
      <w:r w:rsidRPr="00696E44">
        <w:rPr>
          <w:w w:val="110"/>
          <w:sz w:val="16"/>
        </w:rPr>
        <w:t>Diagnostics</w:t>
      </w:r>
      <w:r w:rsidRPr="006B6651">
        <w:rPr>
          <w:w w:val="110"/>
          <w:sz w:val="16"/>
          <w:lang w:val="ru-RU"/>
        </w:rPr>
        <w:t xml:space="preserve"> </w:t>
      </w:r>
      <w:proofErr w:type="spellStart"/>
      <w:r w:rsidRPr="006B6651">
        <w:rPr>
          <w:w w:val="110"/>
          <w:sz w:val="16"/>
          <w:lang w:val="ru-RU"/>
        </w:rPr>
        <w:t>надал</w:t>
      </w:r>
      <w:proofErr w:type="spellEnd"/>
      <w:r w:rsidRPr="00696E44">
        <w:rPr>
          <w:w w:val="110"/>
          <w:sz w:val="16"/>
          <w:lang w:val="uk-UA"/>
        </w:rPr>
        <w:t>и</w:t>
      </w:r>
      <w:r w:rsidRPr="006B6651">
        <w:rPr>
          <w:w w:val="110"/>
          <w:sz w:val="16"/>
          <w:lang w:val="ru-RU"/>
        </w:rPr>
        <w:t xml:space="preserve"> про</w:t>
      </w:r>
      <w:r w:rsidRPr="00696E44">
        <w:rPr>
          <w:w w:val="110"/>
          <w:sz w:val="16"/>
          <w:lang w:val="uk-UA"/>
        </w:rPr>
        <w:t>є</w:t>
      </w:r>
      <w:proofErr w:type="spellStart"/>
      <w:r w:rsidRPr="006B6651">
        <w:rPr>
          <w:w w:val="110"/>
          <w:sz w:val="16"/>
          <w:lang w:val="ru-RU"/>
        </w:rPr>
        <w:t>кт</w:t>
      </w:r>
      <w:proofErr w:type="spellEnd"/>
      <w:r w:rsidRPr="006B6651">
        <w:rPr>
          <w:w w:val="110"/>
          <w:sz w:val="16"/>
          <w:lang w:val="ru-RU"/>
        </w:rPr>
        <w:t xml:space="preserve"> протоколу для </w:t>
      </w:r>
      <w:proofErr w:type="spellStart"/>
      <w:r w:rsidRPr="006B6651">
        <w:rPr>
          <w:w w:val="110"/>
          <w:sz w:val="16"/>
          <w:lang w:val="ru-RU"/>
        </w:rPr>
        <w:t>проведення</w:t>
      </w:r>
      <w:proofErr w:type="spellEnd"/>
      <w:r w:rsidRPr="006B6651">
        <w:rPr>
          <w:w w:val="110"/>
          <w:sz w:val="16"/>
          <w:lang w:val="ru-RU"/>
        </w:rPr>
        <w:t xml:space="preserve"> тесту.</w:t>
      </w:r>
    </w:p>
    <w:p w14:paraId="27C3B86F" w14:textId="77777777" w:rsidR="00291E90" w:rsidRPr="006B6651" w:rsidRDefault="00291E90" w:rsidP="00291E90">
      <w:pPr>
        <w:pStyle w:val="a3"/>
        <w:spacing w:before="86" w:line="276" w:lineRule="auto"/>
        <w:ind w:left="1700" w:right="2"/>
        <w:jc w:val="both"/>
        <w:rPr>
          <w:w w:val="110"/>
          <w:sz w:val="20"/>
          <w:lang w:val="ru-RU"/>
        </w:rPr>
      </w:pPr>
    </w:p>
    <w:p w14:paraId="1A874C4D" w14:textId="77777777" w:rsidR="00291E90" w:rsidRPr="006B6651" w:rsidRDefault="00291E90" w:rsidP="00291E90">
      <w:pPr>
        <w:pStyle w:val="a3"/>
        <w:spacing w:before="86" w:line="276" w:lineRule="auto"/>
        <w:ind w:left="1700" w:right="2"/>
        <w:jc w:val="both"/>
        <w:rPr>
          <w:w w:val="110"/>
          <w:sz w:val="20"/>
          <w:lang w:val="ru-RU"/>
        </w:rPr>
      </w:pPr>
    </w:p>
    <w:p w14:paraId="5386DA02" w14:textId="77777777" w:rsidR="00291E90" w:rsidRPr="006B6651" w:rsidRDefault="00291E90" w:rsidP="00291E90">
      <w:pPr>
        <w:pStyle w:val="a3"/>
        <w:spacing w:before="86" w:line="276" w:lineRule="auto"/>
        <w:ind w:left="709" w:right="2"/>
        <w:jc w:val="both"/>
        <w:rPr>
          <w:w w:val="110"/>
          <w:sz w:val="20"/>
          <w:lang w:val="ru-RU"/>
        </w:rPr>
      </w:pPr>
      <w:r w:rsidRPr="006B6651">
        <w:rPr>
          <w:w w:val="110"/>
          <w:sz w:val="20"/>
          <w:lang w:val="ru-RU"/>
        </w:rPr>
        <w:lastRenderedPageBreak/>
        <w:t xml:space="preserve">24 </w:t>
      </w:r>
      <w:proofErr w:type="spellStart"/>
      <w:r w:rsidRPr="006B6651">
        <w:rPr>
          <w:w w:val="110"/>
          <w:sz w:val="20"/>
          <w:lang w:val="ru-RU"/>
        </w:rPr>
        <w:t>мішені</w:t>
      </w:r>
      <w:proofErr w:type="spellEnd"/>
      <w:r w:rsidRPr="006B6651">
        <w:rPr>
          <w:w w:val="110"/>
          <w:sz w:val="20"/>
          <w:lang w:val="ru-RU"/>
        </w:rPr>
        <w:t xml:space="preserve"> </w:t>
      </w:r>
      <w:proofErr w:type="spellStart"/>
      <w:r w:rsidRPr="006B6651">
        <w:rPr>
          <w:w w:val="110"/>
          <w:sz w:val="20"/>
          <w:lang w:val="ru-RU"/>
        </w:rPr>
        <w:t>лікарської</w:t>
      </w:r>
      <w:proofErr w:type="spellEnd"/>
      <w:r w:rsidRPr="006B6651">
        <w:rPr>
          <w:w w:val="110"/>
          <w:sz w:val="20"/>
          <w:lang w:val="ru-RU"/>
        </w:rPr>
        <w:t xml:space="preserve"> </w:t>
      </w:r>
      <w:proofErr w:type="spellStart"/>
      <w:r w:rsidRPr="006B6651">
        <w:rPr>
          <w:w w:val="110"/>
          <w:sz w:val="20"/>
          <w:lang w:val="ru-RU"/>
        </w:rPr>
        <w:t>стійкості</w:t>
      </w:r>
      <w:proofErr w:type="spellEnd"/>
      <w:r w:rsidRPr="006B6651">
        <w:rPr>
          <w:w w:val="110"/>
          <w:sz w:val="20"/>
          <w:lang w:val="ru-RU"/>
        </w:rPr>
        <w:t xml:space="preserve"> – </w:t>
      </w:r>
      <w:proofErr w:type="spellStart"/>
      <w:r w:rsidRPr="006B6651">
        <w:rPr>
          <w:w w:val="110"/>
          <w:sz w:val="20"/>
          <w:lang w:val="ru-RU"/>
        </w:rPr>
        <w:t>це</w:t>
      </w:r>
      <w:proofErr w:type="spellEnd"/>
      <w:r w:rsidRPr="006B6651">
        <w:rPr>
          <w:w w:val="110"/>
          <w:sz w:val="20"/>
          <w:lang w:val="ru-RU"/>
        </w:rPr>
        <w:t xml:space="preserve"> </w:t>
      </w:r>
      <w:proofErr w:type="spellStart"/>
      <w:r w:rsidRPr="006B6651">
        <w:rPr>
          <w:w w:val="110"/>
          <w:sz w:val="20"/>
          <w:lang w:val="ru-RU"/>
        </w:rPr>
        <w:t>генні</w:t>
      </w:r>
      <w:proofErr w:type="spellEnd"/>
      <w:r w:rsidRPr="006B6651">
        <w:rPr>
          <w:w w:val="110"/>
          <w:sz w:val="20"/>
          <w:lang w:val="ru-RU"/>
        </w:rPr>
        <w:t xml:space="preserve"> </w:t>
      </w:r>
      <w:proofErr w:type="spellStart"/>
      <w:r w:rsidRPr="006B6651">
        <w:rPr>
          <w:w w:val="110"/>
          <w:sz w:val="20"/>
          <w:lang w:val="ru-RU"/>
        </w:rPr>
        <w:t>ділянки</w:t>
      </w:r>
      <w:proofErr w:type="spellEnd"/>
      <w:r w:rsidRPr="006B6651">
        <w:rPr>
          <w:w w:val="110"/>
          <w:sz w:val="20"/>
          <w:lang w:val="ru-RU"/>
        </w:rPr>
        <w:t xml:space="preserve"> МБТК, </w:t>
      </w:r>
      <w:proofErr w:type="spellStart"/>
      <w:r w:rsidRPr="006B6651">
        <w:rPr>
          <w:w w:val="110"/>
          <w:sz w:val="20"/>
          <w:lang w:val="ru-RU"/>
        </w:rPr>
        <w:t>пов'язані</w:t>
      </w:r>
      <w:proofErr w:type="spellEnd"/>
      <w:r w:rsidRPr="006B6651">
        <w:rPr>
          <w:w w:val="110"/>
          <w:sz w:val="20"/>
          <w:lang w:val="ru-RU"/>
        </w:rPr>
        <w:t xml:space="preserve"> </w:t>
      </w:r>
      <w:proofErr w:type="spellStart"/>
      <w:r w:rsidRPr="006B6651">
        <w:rPr>
          <w:w w:val="110"/>
          <w:sz w:val="20"/>
          <w:lang w:val="ru-RU"/>
        </w:rPr>
        <w:t>зі</w:t>
      </w:r>
      <w:proofErr w:type="spellEnd"/>
      <w:r w:rsidRPr="006B6651">
        <w:rPr>
          <w:w w:val="110"/>
          <w:sz w:val="20"/>
          <w:lang w:val="ru-RU"/>
        </w:rPr>
        <w:t xml:space="preserve"> </w:t>
      </w:r>
      <w:proofErr w:type="spellStart"/>
      <w:r w:rsidRPr="006B6651">
        <w:rPr>
          <w:w w:val="110"/>
          <w:sz w:val="20"/>
          <w:lang w:val="ru-RU"/>
        </w:rPr>
        <w:t>стійкістю</w:t>
      </w:r>
      <w:proofErr w:type="spellEnd"/>
      <w:r w:rsidRPr="006B6651">
        <w:rPr>
          <w:w w:val="110"/>
          <w:sz w:val="20"/>
          <w:lang w:val="ru-RU"/>
        </w:rPr>
        <w:t xml:space="preserve"> до </w:t>
      </w:r>
      <w:proofErr w:type="spellStart"/>
      <w:r w:rsidRPr="006B6651">
        <w:rPr>
          <w:w w:val="110"/>
          <w:sz w:val="20"/>
          <w:lang w:val="ru-RU"/>
        </w:rPr>
        <w:t>різних</w:t>
      </w:r>
      <w:proofErr w:type="spellEnd"/>
      <w:r w:rsidRPr="006B6651">
        <w:rPr>
          <w:w w:val="110"/>
          <w:sz w:val="20"/>
          <w:lang w:val="ru-RU"/>
        </w:rPr>
        <w:t xml:space="preserve"> </w:t>
      </w:r>
      <w:proofErr w:type="spellStart"/>
      <w:r w:rsidRPr="006B6651">
        <w:rPr>
          <w:w w:val="110"/>
          <w:sz w:val="20"/>
          <w:lang w:val="ru-RU"/>
        </w:rPr>
        <w:t>протитуберкульозних</w:t>
      </w:r>
      <w:proofErr w:type="spellEnd"/>
      <w:r w:rsidRPr="006B6651">
        <w:rPr>
          <w:w w:val="110"/>
          <w:sz w:val="20"/>
          <w:lang w:val="ru-RU"/>
        </w:rPr>
        <w:t xml:space="preserve"> </w:t>
      </w:r>
      <w:proofErr w:type="spellStart"/>
      <w:r w:rsidRPr="006B6651">
        <w:rPr>
          <w:w w:val="110"/>
          <w:sz w:val="20"/>
          <w:lang w:val="ru-RU"/>
        </w:rPr>
        <w:t>препаратів</w:t>
      </w:r>
      <w:proofErr w:type="spellEnd"/>
      <w:r w:rsidRPr="006B6651">
        <w:rPr>
          <w:w w:val="110"/>
          <w:sz w:val="20"/>
          <w:lang w:val="ru-RU"/>
        </w:rPr>
        <w:t xml:space="preserve"> (рифампіцин, ізоніазид, піразинамід, етамбутол, фторхінолони, амікацин, канаміцин, капреоміцин, </w:t>
      </w:r>
      <w:proofErr w:type="spellStart"/>
      <w:r w:rsidRPr="006B6651">
        <w:rPr>
          <w:w w:val="110"/>
          <w:sz w:val="20"/>
          <w:lang w:val="ru-RU"/>
        </w:rPr>
        <w:t>стрептоміцин</w:t>
      </w:r>
      <w:proofErr w:type="spellEnd"/>
      <w:r w:rsidRPr="006B6651">
        <w:rPr>
          <w:w w:val="110"/>
          <w:sz w:val="20"/>
          <w:lang w:val="ru-RU"/>
        </w:rPr>
        <w:t xml:space="preserve">, </w:t>
      </w:r>
      <w:proofErr w:type="spellStart"/>
      <w:r w:rsidRPr="006B6651">
        <w:rPr>
          <w:w w:val="110"/>
          <w:sz w:val="20"/>
          <w:lang w:val="ru-RU"/>
        </w:rPr>
        <w:t>етіонамід</w:t>
      </w:r>
      <w:proofErr w:type="spellEnd"/>
      <w:r w:rsidRPr="006B6651">
        <w:rPr>
          <w:w w:val="110"/>
          <w:sz w:val="20"/>
          <w:lang w:val="ru-RU"/>
        </w:rPr>
        <w:t>, бедаквілін, клофазимін, лінезолід та деламанід).</w:t>
      </w:r>
    </w:p>
    <w:p w14:paraId="7766717A" w14:textId="77777777" w:rsidR="00291E90" w:rsidRPr="00BE6D3F" w:rsidRDefault="00291E90" w:rsidP="00291E90">
      <w:pPr>
        <w:pStyle w:val="a3"/>
        <w:spacing w:before="86" w:line="276" w:lineRule="auto"/>
        <w:ind w:left="709" w:right="2"/>
        <w:jc w:val="both"/>
        <w:rPr>
          <w:w w:val="110"/>
          <w:sz w:val="20"/>
        </w:rPr>
      </w:pPr>
      <w:r w:rsidRPr="006B6651">
        <w:rPr>
          <w:w w:val="110"/>
          <w:sz w:val="20"/>
          <w:lang w:val="ru-RU"/>
        </w:rPr>
        <w:t xml:space="preserve">Ідентифікація </w:t>
      </w:r>
      <w:proofErr w:type="spellStart"/>
      <w:r w:rsidRPr="006B6651">
        <w:rPr>
          <w:w w:val="110"/>
          <w:sz w:val="20"/>
          <w:lang w:val="ru-RU"/>
        </w:rPr>
        <w:t>видів</w:t>
      </w:r>
      <w:proofErr w:type="spellEnd"/>
      <w:r w:rsidRPr="006B6651">
        <w:rPr>
          <w:w w:val="110"/>
          <w:sz w:val="20"/>
          <w:lang w:val="ru-RU"/>
        </w:rPr>
        <w:t xml:space="preserve"> </w:t>
      </w:r>
      <w:proofErr w:type="spellStart"/>
      <w:r w:rsidRPr="006B6651">
        <w:rPr>
          <w:w w:val="110"/>
          <w:sz w:val="20"/>
          <w:lang w:val="ru-RU"/>
        </w:rPr>
        <w:t>мікобактерій</w:t>
      </w:r>
      <w:proofErr w:type="spellEnd"/>
      <w:r w:rsidRPr="006B6651">
        <w:rPr>
          <w:w w:val="110"/>
          <w:sz w:val="20"/>
          <w:lang w:val="ru-RU"/>
        </w:rPr>
        <w:t xml:space="preserve"> </w:t>
      </w:r>
      <w:proofErr w:type="spellStart"/>
      <w:r w:rsidRPr="006B6651">
        <w:rPr>
          <w:w w:val="110"/>
          <w:sz w:val="20"/>
          <w:lang w:val="ru-RU"/>
        </w:rPr>
        <w:t>здійснюється</w:t>
      </w:r>
      <w:proofErr w:type="spellEnd"/>
      <w:r w:rsidRPr="006B6651">
        <w:rPr>
          <w:w w:val="110"/>
          <w:sz w:val="20"/>
          <w:lang w:val="ru-RU"/>
        </w:rPr>
        <w:t xml:space="preserve"> шляхом </w:t>
      </w:r>
      <w:proofErr w:type="spellStart"/>
      <w:r w:rsidRPr="006B6651">
        <w:rPr>
          <w:w w:val="110"/>
          <w:sz w:val="20"/>
          <w:lang w:val="ru-RU"/>
        </w:rPr>
        <w:t>націлювання</w:t>
      </w:r>
      <w:proofErr w:type="spellEnd"/>
      <w:r w:rsidRPr="006B6651">
        <w:rPr>
          <w:w w:val="110"/>
          <w:sz w:val="20"/>
          <w:lang w:val="ru-RU"/>
        </w:rPr>
        <w:t xml:space="preserve"> на ген </w:t>
      </w:r>
      <w:proofErr w:type="spellStart"/>
      <w:r w:rsidRPr="000B1FFE">
        <w:rPr>
          <w:i/>
          <w:w w:val="110"/>
          <w:sz w:val="20"/>
        </w:rPr>
        <w:t>hsp</w:t>
      </w:r>
      <w:proofErr w:type="spellEnd"/>
      <w:r w:rsidRPr="006B6651">
        <w:rPr>
          <w:w w:val="110"/>
          <w:sz w:val="20"/>
          <w:lang w:val="ru-RU"/>
        </w:rPr>
        <w:t xml:space="preserve">65; </w:t>
      </w:r>
      <w:proofErr w:type="spellStart"/>
      <w:r w:rsidRPr="006B6651">
        <w:rPr>
          <w:w w:val="110"/>
          <w:sz w:val="20"/>
          <w:lang w:val="ru-RU"/>
        </w:rPr>
        <w:t>мішень</w:t>
      </w:r>
      <w:proofErr w:type="spellEnd"/>
      <w:r w:rsidRPr="006B6651">
        <w:rPr>
          <w:w w:val="110"/>
          <w:sz w:val="20"/>
          <w:lang w:val="ru-RU"/>
        </w:rPr>
        <w:t xml:space="preserve"> для </w:t>
      </w:r>
      <w:proofErr w:type="spellStart"/>
      <w:r w:rsidRPr="006B6651">
        <w:rPr>
          <w:w w:val="110"/>
          <w:sz w:val="20"/>
          <w:lang w:val="ru-RU"/>
        </w:rPr>
        <w:t>споліготипування</w:t>
      </w:r>
      <w:proofErr w:type="spellEnd"/>
      <w:r w:rsidRPr="006B6651">
        <w:rPr>
          <w:w w:val="110"/>
          <w:sz w:val="20"/>
          <w:lang w:val="ru-RU"/>
        </w:rPr>
        <w:t xml:space="preserve"> (локус </w:t>
      </w:r>
      <w:r w:rsidRPr="000B1FFE">
        <w:rPr>
          <w:w w:val="110"/>
          <w:sz w:val="20"/>
        </w:rPr>
        <w:t>CRISPR</w:t>
      </w:r>
      <w:r w:rsidRPr="006B6651">
        <w:rPr>
          <w:w w:val="110"/>
          <w:sz w:val="20"/>
          <w:lang w:val="ru-RU"/>
        </w:rPr>
        <w:t>/</w:t>
      </w:r>
      <w:r w:rsidRPr="006B6651">
        <w:rPr>
          <w:sz w:val="20"/>
          <w:lang w:val="ru-RU"/>
        </w:rPr>
        <w:t xml:space="preserve"> </w:t>
      </w:r>
      <w:r w:rsidRPr="000B1FFE">
        <w:rPr>
          <w:w w:val="110"/>
          <w:sz w:val="20"/>
        </w:rPr>
        <w:t>Direct</w:t>
      </w:r>
      <w:r w:rsidRPr="006B6651">
        <w:rPr>
          <w:w w:val="110"/>
          <w:sz w:val="20"/>
          <w:lang w:val="ru-RU"/>
        </w:rPr>
        <w:t xml:space="preserve"> </w:t>
      </w:r>
      <w:r w:rsidRPr="000B1FFE">
        <w:rPr>
          <w:w w:val="110"/>
          <w:sz w:val="20"/>
        </w:rPr>
        <w:t>Repeat</w:t>
      </w:r>
      <w:r w:rsidRPr="006B6651">
        <w:rPr>
          <w:w w:val="110"/>
          <w:sz w:val="20"/>
          <w:lang w:val="ru-RU"/>
        </w:rPr>
        <w:t xml:space="preserve">) </w:t>
      </w:r>
      <w:proofErr w:type="spellStart"/>
      <w:r w:rsidRPr="006B6651">
        <w:rPr>
          <w:w w:val="110"/>
          <w:sz w:val="20"/>
          <w:lang w:val="ru-RU"/>
        </w:rPr>
        <w:t>використовується</w:t>
      </w:r>
      <w:proofErr w:type="spellEnd"/>
      <w:r w:rsidRPr="006B6651">
        <w:rPr>
          <w:w w:val="110"/>
          <w:sz w:val="20"/>
          <w:lang w:val="ru-RU"/>
        </w:rPr>
        <w:t xml:space="preserve"> для </w:t>
      </w:r>
      <w:proofErr w:type="spellStart"/>
      <w:r w:rsidRPr="006B6651">
        <w:rPr>
          <w:w w:val="110"/>
          <w:sz w:val="20"/>
          <w:lang w:val="ru-RU"/>
        </w:rPr>
        <w:t>генотипування</w:t>
      </w:r>
      <w:proofErr w:type="spellEnd"/>
      <w:r w:rsidRPr="006B6651">
        <w:rPr>
          <w:w w:val="110"/>
          <w:sz w:val="20"/>
          <w:lang w:val="ru-RU"/>
        </w:rPr>
        <w:t xml:space="preserve"> </w:t>
      </w:r>
      <w:proofErr w:type="spellStart"/>
      <w:r w:rsidRPr="006B6651">
        <w:rPr>
          <w:w w:val="110"/>
          <w:sz w:val="20"/>
          <w:lang w:val="ru-RU"/>
        </w:rPr>
        <w:t>штамів</w:t>
      </w:r>
      <w:proofErr w:type="spellEnd"/>
      <w:r w:rsidRPr="006B6651">
        <w:rPr>
          <w:w w:val="110"/>
          <w:sz w:val="20"/>
          <w:lang w:val="ru-RU"/>
        </w:rPr>
        <w:t xml:space="preserve"> МБТК. </w:t>
      </w:r>
      <w:proofErr w:type="spellStart"/>
      <w:r w:rsidRPr="006B6651">
        <w:rPr>
          <w:w w:val="110"/>
          <w:sz w:val="20"/>
          <w:lang w:val="ru-RU"/>
        </w:rPr>
        <w:t>Аналіз</w:t>
      </w:r>
      <w:proofErr w:type="spellEnd"/>
      <w:r w:rsidRPr="006B6651">
        <w:rPr>
          <w:w w:val="110"/>
          <w:sz w:val="20"/>
          <w:lang w:val="ru-RU"/>
        </w:rPr>
        <w:t xml:space="preserve"> </w:t>
      </w:r>
      <w:proofErr w:type="spellStart"/>
      <w:r w:rsidRPr="006B6651">
        <w:rPr>
          <w:w w:val="110"/>
          <w:sz w:val="20"/>
          <w:lang w:val="ru-RU"/>
        </w:rPr>
        <w:t>виконується</w:t>
      </w:r>
      <w:proofErr w:type="spellEnd"/>
      <w:r w:rsidRPr="006B6651">
        <w:rPr>
          <w:w w:val="110"/>
          <w:sz w:val="20"/>
          <w:lang w:val="ru-RU"/>
        </w:rPr>
        <w:t xml:space="preserve"> з </w:t>
      </w:r>
      <w:proofErr w:type="spellStart"/>
      <w:r w:rsidRPr="006B6651">
        <w:rPr>
          <w:w w:val="110"/>
          <w:sz w:val="20"/>
          <w:lang w:val="ru-RU"/>
        </w:rPr>
        <w:t>використанням</w:t>
      </w:r>
      <w:proofErr w:type="spellEnd"/>
      <w:r w:rsidRPr="006B6651">
        <w:rPr>
          <w:w w:val="110"/>
          <w:sz w:val="20"/>
          <w:lang w:val="ru-RU"/>
        </w:rPr>
        <w:t xml:space="preserve"> набору </w:t>
      </w:r>
      <w:r w:rsidRPr="000B1FFE">
        <w:rPr>
          <w:w w:val="110"/>
          <w:sz w:val="20"/>
        </w:rPr>
        <w:t>OND</w:t>
      </w:r>
      <w:r w:rsidRPr="006B6651">
        <w:rPr>
          <w:w w:val="110"/>
          <w:sz w:val="20"/>
          <w:lang w:val="ru-RU"/>
        </w:rPr>
        <w:t xml:space="preserve"> </w:t>
      </w:r>
      <w:r w:rsidRPr="000B1FFE">
        <w:rPr>
          <w:w w:val="110"/>
          <w:sz w:val="20"/>
        </w:rPr>
        <w:t>AmPORE</w:t>
      </w:r>
      <w:r w:rsidRPr="006B6651">
        <w:rPr>
          <w:w w:val="110"/>
          <w:sz w:val="20"/>
          <w:lang w:val="ru-RU"/>
        </w:rPr>
        <w:t>-</w:t>
      </w:r>
      <w:r w:rsidRPr="000B1FFE">
        <w:rPr>
          <w:w w:val="110"/>
          <w:sz w:val="20"/>
        </w:rPr>
        <w:t>TB</w:t>
      </w:r>
      <w:r w:rsidRPr="006B6651">
        <w:rPr>
          <w:w w:val="110"/>
          <w:sz w:val="20"/>
          <w:lang w:val="ru-RU"/>
        </w:rPr>
        <w:t xml:space="preserve"> (</w:t>
      </w:r>
      <w:r w:rsidRPr="000B1FFE">
        <w:rPr>
          <w:w w:val="110"/>
          <w:sz w:val="20"/>
        </w:rPr>
        <w:t>OND</w:t>
      </w:r>
      <w:r w:rsidRPr="006B6651">
        <w:rPr>
          <w:w w:val="110"/>
          <w:sz w:val="20"/>
          <w:lang w:val="ru-RU"/>
        </w:rPr>
        <w:t>-</w:t>
      </w:r>
      <w:r w:rsidRPr="000B1FFE">
        <w:rPr>
          <w:w w:val="110"/>
          <w:sz w:val="20"/>
        </w:rPr>
        <w:t>TBDR</w:t>
      </w:r>
      <w:r w:rsidRPr="006B6651">
        <w:rPr>
          <w:w w:val="110"/>
          <w:sz w:val="20"/>
          <w:lang w:val="ru-RU"/>
        </w:rPr>
        <w:t>001-</w:t>
      </w:r>
      <w:r w:rsidRPr="000B1FFE">
        <w:rPr>
          <w:w w:val="110"/>
          <w:sz w:val="20"/>
        </w:rPr>
        <w:t>XX</w:t>
      </w:r>
      <w:r w:rsidRPr="006B6651">
        <w:rPr>
          <w:w w:val="110"/>
          <w:sz w:val="20"/>
          <w:lang w:val="ru-RU"/>
        </w:rPr>
        <w:t xml:space="preserve">) та </w:t>
      </w:r>
      <w:proofErr w:type="spellStart"/>
      <w:r w:rsidRPr="006B6651">
        <w:rPr>
          <w:w w:val="110"/>
          <w:sz w:val="20"/>
          <w:lang w:val="ru-RU"/>
        </w:rPr>
        <w:t>проточних</w:t>
      </w:r>
      <w:proofErr w:type="spellEnd"/>
      <w:r w:rsidRPr="006B6651">
        <w:rPr>
          <w:w w:val="110"/>
          <w:sz w:val="20"/>
          <w:lang w:val="ru-RU"/>
        </w:rPr>
        <w:t xml:space="preserve"> кювет (</w:t>
      </w:r>
      <w:r w:rsidRPr="000B1FFE">
        <w:rPr>
          <w:w w:val="110"/>
          <w:sz w:val="20"/>
        </w:rPr>
        <w:t>OND</w:t>
      </w:r>
      <w:r w:rsidRPr="006B6651">
        <w:rPr>
          <w:w w:val="110"/>
          <w:sz w:val="20"/>
          <w:lang w:val="ru-RU"/>
        </w:rPr>
        <w:t>-</w:t>
      </w:r>
      <w:r w:rsidRPr="000B1FFE">
        <w:rPr>
          <w:w w:val="110"/>
          <w:sz w:val="20"/>
        </w:rPr>
        <w:t>FLO</w:t>
      </w:r>
      <w:r w:rsidRPr="006B6651">
        <w:rPr>
          <w:w w:val="110"/>
          <w:sz w:val="20"/>
          <w:lang w:val="ru-RU"/>
        </w:rPr>
        <w:t>-</w:t>
      </w:r>
      <w:r w:rsidRPr="000B1FFE">
        <w:rPr>
          <w:w w:val="110"/>
          <w:sz w:val="20"/>
        </w:rPr>
        <w:t>MIN</w:t>
      </w:r>
      <w:r w:rsidRPr="006B6651">
        <w:rPr>
          <w:w w:val="110"/>
          <w:sz w:val="20"/>
          <w:lang w:val="ru-RU"/>
        </w:rPr>
        <w:t>001-</w:t>
      </w:r>
      <w:r w:rsidRPr="000B1FFE">
        <w:rPr>
          <w:w w:val="110"/>
          <w:sz w:val="20"/>
        </w:rPr>
        <w:t>XX</w:t>
      </w:r>
      <w:r w:rsidRPr="006B6651">
        <w:rPr>
          <w:w w:val="110"/>
          <w:sz w:val="20"/>
          <w:lang w:val="ru-RU"/>
        </w:rPr>
        <w:t xml:space="preserve">) на </w:t>
      </w:r>
      <w:proofErr w:type="spellStart"/>
      <w:r w:rsidRPr="006B6651">
        <w:rPr>
          <w:w w:val="110"/>
          <w:sz w:val="20"/>
          <w:lang w:val="ru-RU"/>
        </w:rPr>
        <w:t>системі</w:t>
      </w:r>
      <w:proofErr w:type="spellEnd"/>
      <w:r w:rsidRPr="006B6651">
        <w:rPr>
          <w:w w:val="110"/>
          <w:sz w:val="20"/>
          <w:lang w:val="ru-RU"/>
        </w:rPr>
        <w:t xml:space="preserve"> </w:t>
      </w:r>
      <w:proofErr w:type="spellStart"/>
      <w:r w:rsidRPr="006B6651">
        <w:rPr>
          <w:w w:val="110"/>
          <w:sz w:val="20"/>
          <w:lang w:val="ru-RU"/>
        </w:rPr>
        <w:t>діагностичного</w:t>
      </w:r>
      <w:proofErr w:type="spellEnd"/>
      <w:r w:rsidRPr="006B6651">
        <w:rPr>
          <w:w w:val="110"/>
          <w:sz w:val="20"/>
          <w:lang w:val="ru-RU"/>
        </w:rPr>
        <w:t xml:space="preserve"> секвенування </w:t>
      </w:r>
      <w:proofErr w:type="spellStart"/>
      <w:r w:rsidRPr="000B1FFE">
        <w:rPr>
          <w:w w:val="110"/>
          <w:sz w:val="20"/>
        </w:rPr>
        <w:t>GridION</w:t>
      </w:r>
      <w:proofErr w:type="spellEnd"/>
      <w:r w:rsidRPr="006B6651">
        <w:rPr>
          <w:w w:val="110"/>
          <w:sz w:val="20"/>
          <w:lang w:val="ru-RU"/>
        </w:rPr>
        <w:t xml:space="preserve"> (</w:t>
      </w:r>
      <w:r w:rsidRPr="000B1FFE">
        <w:rPr>
          <w:w w:val="110"/>
          <w:sz w:val="20"/>
        </w:rPr>
        <w:t>OND</w:t>
      </w:r>
      <w:r w:rsidRPr="006B6651">
        <w:rPr>
          <w:w w:val="110"/>
          <w:sz w:val="20"/>
          <w:lang w:val="ru-RU"/>
        </w:rPr>
        <w:t>).</w:t>
      </w:r>
      <w:r w:rsidRPr="000B1FFE">
        <w:rPr>
          <w:w w:val="110"/>
          <w:sz w:val="20"/>
          <w:lang w:val="uk-UA"/>
        </w:rPr>
        <w:t xml:space="preserve"> </w:t>
      </w:r>
      <w:proofErr w:type="spellStart"/>
      <w:r w:rsidRPr="006B6651">
        <w:rPr>
          <w:w w:val="110"/>
          <w:sz w:val="20"/>
          <w:lang w:val="ru-RU"/>
        </w:rPr>
        <w:t>Програмне</w:t>
      </w:r>
      <w:proofErr w:type="spellEnd"/>
      <w:r w:rsidRPr="006B6651">
        <w:rPr>
          <w:w w:val="110"/>
          <w:sz w:val="20"/>
          <w:lang w:val="ru-RU"/>
        </w:rPr>
        <w:t xml:space="preserve"> </w:t>
      </w:r>
      <w:proofErr w:type="spellStart"/>
      <w:r w:rsidRPr="006B6651">
        <w:rPr>
          <w:w w:val="110"/>
          <w:sz w:val="20"/>
          <w:lang w:val="ru-RU"/>
        </w:rPr>
        <w:t>забезпечення</w:t>
      </w:r>
      <w:proofErr w:type="spellEnd"/>
      <w:r w:rsidRPr="006B6651">
        <w:rPr>
          <w:w w:val="110"/>
          <w:sz w:val="20"/>
          <w:lang w:val="ru-RU"/>
        </w:rPr>
        <w:t xml:space="preserve"> для </w:t>
      </w:r>
      <w:r w:rsidRPr="000B1FFE">
        <w:rPr>
          <w:w w:val="110"/>
          <w:sz w:val="20"/>
          <w:lang w:val="uk-UA"/>
        </w:rPr>
        <w:t>к</w:t>
      </w:r>
      <w:r>
        <w:rPr>
          <w:w w:val="110"/>
          <w:sz w:val="20"/>
          <w:lang w:val="uk-UA"/>
        </w:rPr>
        <w:t>е</w:t>
      </w:r>
      <w:r w:rsidRPr="000B1FFE">
        <w:rPr>
          <w:w w:val="110"/>
          <w:sz w:val="20"/>
          <w:lang w:val="uk-UA"/>
        </w:rPr>
        <w:t>рування</w:t>
      </w:r>
      <w:r w:rsidRPr="006B6651">
        <w:rPr>
          <w:w w:val="110"/>
          <w:sz w:val="20"/>
          <w:lang w:val="ru-RU"/>
        </w:rPr>
        <w:t xml:space="preserve"> секвенування</w:t>
      </w:r>
      <w:r w:rsidRPr="000B1FFE">
        <w:rPr>
          <w:w w:val="110"/>
          <w:sz w:val="20"/>
          <w:lang w:val="uk-UA"/>
        </w:rPr>
        <w:t>м</w:t>
      </w:r>
      <w:r w:rsidRPr="006B6651">
        <w:rPr>
          <w:w w:val="110"/>
          <w:sz w:val="20"/>
          <w:lang w:val="ru-RU"/>
        </w:rPr>
        <w:t xml:space="preserve"> на </w:t>
      </w:r>
      <w:proofErr w:type="spellStart"/>
      <w:r w:rsidRPr="006B6651">
        <w:rPr>
          <w:w w:val="110"/>
          <w:sz w:val="20"/>
          <w:lang w:val="ru-RU"/>
        </w:rPr>
        <w:t>пристрої</w:t>
      </w:r>
      <w:proofErr w:type="spellEnd"/>
      <w:r w:rsidRPr="006B6651">
        <w:rPr>
          <w:w w:val="110"/>
          <w:sz w:val="20"/>
          <w:lang w:val="ru-RU"/>
        </w:rPr>
        <w:t xml:space="preserve"> </w:t>
      </w:r>
      <w:proofErr w:type="spellStart"/>
      <w:r w:rsidRPr="006B6651">
        <w:rPr>
          <w:w w:val="110"/>
          <w:sz w:val="20"/>
          <w:lang w:val="ru-RU"/>
        </w:rPr>
        <w:t>може</w:t>
      </w:r>
      <w:proofErr w:type="spellEnd"/>
      <w:r w:rsidRPr="006B6651">
        <w:rPr>
          <w:w w:val="110"/>
          <w:sz w:val="20"/>
          <w:lang w:val="ru-RU"/>
        </w:rPr>
        <w:t xml:space="preserve"> автоматично </w:t>
      </w:r>
      <w:proofErr w:type="spellStart"/>
      <w:r w:rsidRPr="006B6651">
        <w:rPr>
          <w:w w:val="110"/>
          <w:sz w:val="20"/>
          <w:lang w:val="ru-RU"/>
        </w:rPr>
        <w:t>запускати</w:t>
      </w:r>
      <w:proofErr w:type="spellEnd"/>
      <w:r w:rsidRPr="006B6651">
        <w:rPr>
          <w:w w:val="110"/>
          <w:sz w:val="20"/>
          <w:lang w:val="ru-RU"/>
        </w:rPr>
        <w:t xml:space="preserve"> </w:t>
      </w:r>
      <w:proofErr w:type="spellStart"/>
      <w:r w:rsidRPr="006B6651">
        <w:rPr>
          <w:w w:val="110"/>
          <w:sz w:val="20"/>
          <w:lang w:val="ru-RU"/>
        </w:rPr>
        <w:t>робочі</w:t>
      </w:r>
      <w:proofErr w:type="spellEnd"/>
      <w:r w:rsidRPr="006B6651">
        <w:rPr>
          <w:w w:val="110"/>
          <w:sz w:val="20"/>
          <w:lang w:val="ru-RU"/>
        </w:rPr>
        <w:t xml:space="preserve"> </w:t>
      </w:r>
      <w:proofErr w:type="spellStart"/>
      <w:r w:rsidRPr="006B6651">
        <w:rPr>
          <w:w w:val="110"/>
          <w:sz w:val="20"/>
          <w:lang w:val="ru-RU"/>
        </w:rPr>
        <w:t>процеси</w:t>
      </w:r>
      <w:proofErr w:type="spellEnd"/>
      <w:r w:rsidRPr="006B6651">
        <w:rPr>
          <w:w w:val="110"/>
          <w:sz w:val="20"/>
          <w:lang w:val="ru-RU"/>
        </w:rPr>
        <w:t xml:space="preserve"> </w:t>
      </w:r>
      <w:proofErr w:type="spellStart"/>
      <w:r w:rsidRPr="006B6651">
        <w:rPr>
          <w:w w:val="110"/>
          <w:sz w:val="20"/>
          <w:lang w:val="ru-RU"/>
        </w:rPr>
        <w:t>аналізу</w:t>
      </w:r>
      <w:proofErr w:type="spellEnd"/>
      <w:r w:rsidRPr="006B6651">
        <w:rPr>
          <w:w w:val="110"/>
          <w:sz w:val="20"/>
          <w:lang w:val="ru-RU"/>
        </w:rPr>
        <w:t xml:space="preserve"> та </w:t>
      </w:r>
      <w:proofErr w:type="spellStart"/>
      <w:r w:rsidRPr="006B6651">
        <w:rPr>
          <w:w w:val="110"/>
          <w:sz w:val="20"/>
          <w:lang w:val="ru-RU"/>
        </w:rPr>
        <w:t>звітувати</w:t>
      </w:r>
      <w:proofErr w:type="spellEnd"/>
      <w:r w:rsidRPr="006B6651">
        <w:rPr>
          <w:w w:val="110"/>
          <w:sz w:val="20"/>
          <w:lang w:val="ru-RU"/>
        </w:rPr>
        <w:t xml:space="preserve"> про </w:t>
      </w:r>
      <w:proofErr w:type="spellStart"/>
      <w:r w:rsidRPr="006B6651">
        <w:rPr>
          <w:w w:val="110"/>
          <w:sz w:val="20"/>
          <w:lang w:val="ru-RU"/>
        </w:rPr>
        <w:t>їх</w:t>
      </w:r>
      <w:proofErr w:type="spellEnd"/>
      <w:r w:rsidRPr="00BE6D3F">
        <w:rPr>
          <w:w w:val="110"/>
          <w:sz w:val="20"/>
          <w:lang w:val="uk-UA"/>
        </w:rPr>
        <w:t>ні</w:t>
      </w:r>
      <w:r w:rsidRPr="006B6651">
        <w:rPr>
          <w:w w:val="110"/>
          <w:sz w:val="20"/>
          <w:lang w:val="ru-RU"/>
        </w:rPr>
        <w:t xml:space="preserve"> </w:t>
      </w:r>
      <w:proofErr w:type="spellStart"/>
      <w:r w:rsidRPr="006B6651">
        <w:rPr>
          <w:w w:val="110"/>
          <w:sz w:val="20"/>
          <w:lang w:val="ru-RU"/>
        </w:rPr>
        <w:t>результати</w:t>
      </w:r>
      <w:proofErr w:type="spellEnd"/>
      <w:r w:rsidRPr="006B6651">
        <w:rPr>
          <w:w w:val="110"/>
          <w:sz w:val="20"/>
          <w:lang w:val="ru-RU"/>
        </w:rPr>
        <w:t>.</w:t>
      </w:r>
      <w:r w:rsidRPr="00BE6D3F">
        <w:rPr>
          <w:w w:val="110"/>
          <w:sz w:val="20"/>
          <w:lang w:val="uk-UA"/>
        </w:rPr>
        <w:t xml:space="preserve"> </w:t>
      </w:r>
      <w:r w:rsidRPr="00BE6D3F">
        <w:rPr>
          <w:w w:val="110"/>
          <w:sz w:val="20"/>
        </w:rPr>
        <w:t>AmPORE</w:t>
      </w:r>
      <w:r w:rsidRPr="006B6651">
        <w:rPr>
          <w:w w:val="110"/>
          <w:sz w:val="20"/>
          <w:lang w:val="uk-UA"/>
        </w:rPr>
        <w:t>-</w:t>
      </w:r>
      <w:r w:rsidRPr="00BE6D3F">
        <w:rPr>
          <w:w w:val="110"/>
          <w:sz w:val="20"/>
        </w:rPr>
        <w:t>TB</w:t>
      </w:r>
      <w:r w:rsidRPr="006B6651">
        <w:rPr>
          <w:w w:val="110"/>
          <w:sz w:val="20"/>
          <w:lang w:val="uk-UA"/>
        </w:rPr>
        <w:t xml:space="preserve"> включає </w:t>
      </w:r>
      <w:r w:rsidRPr="00BE6D3F">
        <w:rPr>
          <w:w w:val="110"/>
          <w:sz w:val="20"/>
          <w:lang w:val="uk-UA"/>
        </w:rPr>
        <w:t xml:space="preserve">попередньо встановлене на пристрій </w:t>
      </w:r>
      <w:r w:rsidRPr="006B6651">
        <w:rPr>
          <w:w w:val="110"/>
          <w:sz w:val="20"/>
          <w:lang w:val="uk-UA"/>
        </w:rPr>
        <w:t xml:space="preserve">програмне забезпечення для аналізу, яке обробляє вихідні дані, отримані програмним забезпеченням для </w:t>
      </w:r>
      <w:r w:rsidRPr="00BE6D3F">
        <w:rPr>
          <w:w w:val="110"/>
          <w:sz w:val="20"/>
          <w:lang w:val="uk-UA"/>
        </w:rPr>
        <w:t xml:space="preserve">керування </w:t>
      </w:r>
      <w:r w:rsidRPr="006B6651">
        <w:rPr>
          <w:w w:val="110"/>
          <w:sz w:val="20"/>
          <w:lang w:val="uk-UA"/>
        </w:rPr>
        <w:t>секвенування</w:t>
      </w:r>
      <w:r w:rsidRPr="00BE6D3F">
        <w:rPr>
          <w:w w:val="110"/>
          <w:sz w:val="20"/>
          <w:lang w:val="uk-UA"/>
        </w:rPr>
        <w:t>м</w:t>
      </w:r>
      <w:r w:rsidRPr="006B6651">
        <w:rPr>
          <w:w w:val="110"/>
          <w:sz w:val="20"/>
          <w:lang w:val="uk-UA"/>
        </w:rPr>
        <w:t>, та створює легкий для інтерпретації звіт</w:t>
      </w:r>
      <w:r w:rsidRPr="00BE6D3F">
        <w:rPr>
          <w:w w:val="110"/>
          <w:sz w:val="20"/>
          <w:lang w:val="uk-UA"/>
        </w:rPr>
        <w:t>. У</w:t>
      </w:r>
      <w:proofErr w:type="spellStart"/>
      <w:r w:rsidRPr="00BE6D3F">
        <w:rPr>
          <w:w w:val="110"/>
          <w:sz w:val="20"/>
        </w:rPr>
        <w:t>се</w:t>
      </w:r>
      <w:proofErr w:type="spellEnd"/>
      <w:r w:rsidRPr="00BE6D3F">
        <w:rPr>
          <w:w w:val="110"/>
          <w:sz w:val="20"/>
        </w:rPr>
        <w:t xml:space="preserve"> </w:t>
      </w:r>
      <w:proofErr w:type="spellStart"/>
      <w:r w:rsidRPr="00BE6D3F">
        <w:rPr>
          <w:w w:val="110"/>
          <w:sz w:val="20"/>
        </w:rPr>
        <w:t>це</w:t>
      </w:r>
      <w:proofErr w:type="spellEnd"/>
      <w:r w:rsidRPr="00BE6D3F">
        <w:rPr>
          <w:w w:val="110"/>
          <w:sz w:val="20"/>
        </w:rPr>
        <w:t xml:space="preserve"> </w:t>
      </w:r>
      <w:proofErr w:type="spellStart"/>
      <w:r w:rsidRPr="00BE6D3F">
        <w:rPr>
          <w:w w:val="110"/>
          <w:sz w:val="20"/>
        </w:rPr>
        <w:t>виконується</w:t>
      </w:r>
      <w:proofErr w:type="spellEnd"/>
      <w:r w:rsidRPr="00BE6D3F">
        <w:rPr>
          <w:w w:val="110"/>
          <w:sz w:val="20"/>
        </w:rPr>
        <w:t xml:space="preserve"> </w:t>
      </w:r>
      <w:proofErr w:type="spellStart"/>
      <w:r w:rsidRPr="00BE6D3F">
        <w:rPr>
          <w:w w:val="110"/>
          <w:sz w:val="20"/>
        </w:rPr>
        <w:t>локально</w:t>
      </w:r>
      <w:proofErr w:type="spellEnd"/>
      <w:r w:rsidRPr="00BE6D3F">
        <w:rPr>
          <w:w w:val="110"/>
          <w:sz w:val="20"/>
        </w:rPr>
        <w:t xml:space="preserve"> </w:t>
      </w:r>
      <w:proofErr w:type="spellStart"/>
      <w:r w:rsidRPr="00BE6D3F">
        <w:rPr>
          <w:w w:val="110"/>
          <w:sz w:val="20"/>
        </w:rPr>
        <w:t>на</w:t>
      </w:r>
      <w:proofErr w:type="spellEnd"/>
      <w:r w:rsidRPr="00BE6D3F">
        <w:rPr>
          <w:w w:val="110"/>
          <w:sz w:val="20"/>
        </w:rPr>
        <w:t xml:space="preserve"> </w:t>
      </w:r>
      <w:proofErr w:type="spellStart"/>
      <w:r w:rsidRPr="00BE6D3F">
        <w:rPr>
          <w:w w:val="110"/>
          <w:sz w:val="20"/>
        </w:rPr>
        <w:t>пристрої</w:t>
      </w:r>
      <w:proofErr w:type="spellEnd"/>
      <w:r w:rsidRPr="00BE6D3F">
        <w:rPr>
          <w:w w:val="110"/>
          <w:sz w:val="20"/>
        </w:rPr>
        <w:t>.</w:t>
      </w:r>
    </w:p>
    <w:p w14:paraId="301C4950" w14:textId="77777777" w:rsidR="00291E90" w:rsidRPr="006B6651" w:rsidRDefault="00291E90" w:rsidP="004A2937">
      <w:pPr>
        <w:pStyle w:val="a4"/>
        <w:numPr>
          <w:ilvl w:val="0"/>
          <w:numId w:val="45"/>
        </w:numPr>
        <w:tabs>
          <w:tab w:val="left" w:pos="1701"/>
        </w:tabs>
        <w:spacing w:before="10" w:line="276" w:lineRule="auto"/>
        <w:ind w:right="2"/>
        <w:rPr>
          <w:sz w:val="20"/>
          <w:lang w:val="uk-UA"/>
        </w:rPr>
      </w:pPr>
      <w:r w:rsidRPr="00BE6D3F">
        <w:rPr>
          <w:b/>
          <w:w w:val="110"/>
          <w:sz w:val="20"/>
          <w:lang w:val="uk-UA"/>
        </w:rPr>
        <w:t>Тест</w:t>
      </w:r>
      <w:r w:rsidRPr="00BE6D3F">
        <w:rPr>
          <w:w w:val="110"/>
          <w:sz w:val="20"/>
        </w:rPr>
        <w:t xml:space="preserve"> </w:t>
      </w:r>
      <w:r w:rsidRPr="00BE6D3F">
        <w:rPr>
          <w:b/>
          <w:w w:val="110"/>
          <w:sz w:val="20"/>
        </w:rPr>
        <w:t xml:space="preserve">TBseq® </w:t>
      </w:r>
      <w:r w:rsidRPr="00BE6D3F">
        <w:rPr>
          <w:w w:val="110"/>
          <w:sz w:val="20"/>
        </w:rPr>
        <w:t xml:space="preserve">(Hangzhou </w:t>
      </w:r>
      <w:proofErr w:type="spellStart"/>
      <w:r w:rsidRPr="00BE6D3F">
        <w:rPr>
          <w:w w:val="110"/>
          <w:sz w:val="20"/>
        </w:rPr>
        <w:t>ShengTing</w:t>
      </w:r>
      <w:proofErr w:type="spellEnd"/>
      <w:r w:rsidRPr="00BE6D3F">
        <w:rPr>
          <w:w w:val="110"/>
          <w:sz w:val="20"/>
        </w:rPr>
        <w:t xml:space="preserve"> Medical Technology Co., </w:t>
      </w:r>
      <w:proofErr w:type="spellStart"/>
      <w:r w:rsidRPr="00BE6D3F">
        <w:rPr>
          <w:w w:val="110"/>
          <w:sz w:val="20"/>
        </w:rPr>
        <w:t>Китай</w:t>
      </w:r>
      <w:proofErr w:type="spellEnd"/>
      <w:r w:rsidRPr="00BE6D3F">
        <w:rPr>
          <w:w w:val="110"/>
          <w:sz w:val="20"/>
        </w:rPr>
        <w:t xml:space="preserve">) </w:t>
      </w:r>
      <w:r w:rsidRPr="00BE6D3F">
        <w:rPr>
          <w:w w:val="110"/>
          <w:sz w:val="20"/>
          <w:lang w:val="uk-UA"/>
        </w:rPr>
        <w:t xml:space="preserve">— </w:t>
      </w:r>
      <w:proofErr w:type="spellStart"/>
      <w:r w:rsidRPr="00BE6D3F">
        <w:rPr>
          <w:w w:val="110"/>
          <w:sz w:val="20"/>
        </w:rPr>
        <w:t>це</w:t>
      </w:r>
      <w:proofErr w:type="spellEnd"/>
      <w:r w:rsidRPr="00BE6D3F">
        <w:rPr>
          <w:w w:val="110"/>
          <w:sz w:val="20"/>
        </w:rPr>
        <w:t xml:space="preserve"> </w:t>
      </w:r>
      <w:proofErr w:type="spellStart"/>
      <w:r w:rsidRPr="00BE6D3F">
        <w:rPr>
          <w:w w:val="110"/>
          <w:sz w:val="20"/>
        </w:rPr>
        <w:t>набір</w:t>
      </w:r>
      <w:proofErr w:type="spellEnd"/>
      <w:r w:rsidRPr="00BE6D3F">
        <w:rPr>
          <w:w w:val="110"/>
          <w:sz w:val="20"/>
        </w:rPr>
        <w:t xml:space="preserve"> </w:t>
      </w:r>
      <w:proofErr w:type="spellStart"/>
      <w:r w:rsidRPr="00BE6D3F">
        <w:rPr>
          <w:w w:val="110"/>
          <w:sz w:val="20"/>
        </w:rPr>
        <w:t>на</w:t>
      </w:r>
      <w:proofErr w:type="spellEnd"/>
      <w:r w:rsidRPr="00BE6D3F">
        <w:rPr>
          <w:w w:val="110"/>
          <w:sz w:val="20"/>
        </w:rPr>
        <w:t xml:space="preserve"> </w:t>
      </w:r>
      <w:proofErr w:type="spellStart"/>
      <w:r w:rsidRPr="00BE6D3F">
        <w:rPr>
          <w:w w:val="110"/>
          <w:sz w:val="20"/>
        </w:rPr>
        <w:t>основі</w:t>
      </w:r>
      <w:proofErr w:type="spellEnd"/>
      <w:r w:rsidRPr="00BE6D3F">
        <w:rPr>
          <w:w w:val="110"/>
          <w:sz w:val="20"/>
        </w:rPr>
        <w:t xml:space="preserve"> таргетного </w:t>
      </w:r>
      <w:r w:rsidRPr="00BE6D3F">
        <w:rPr>
          <w:w w:val="110"/>
          <w:sz w:val="20"/>
          <w:lang w:val="uk-UA"/>
        </w:rPr>
        <w:t>СНП</w:t>
      </w:r>
      <w:r w:rsidRPr="00BE6D3F">
        <w:rPr>
          <w:w w:val="110"/>
          <w:sz w:val="20"/>
        </w:rPr>
        <w:t xml:space="preserve">, </w:t>
      </w:r>
      <w:proofErr w:type="spellStart"/>
      <w:r w:rsidRPr="00BE6D3F">
        <w:rPr>
          <w:w w:val="110"/>
          <w:sz w:val="20"/>
        </w:rPr>
        <w:t>який</w:t>
      </w:r>
      <w:proofErr w:type="spellEnd"/>
      <w:r w:rsidRPr="00BE6D3F">
        <w:rPr>
          <w:w w:val="110"/>
          <w:sz w:val="20"/>
        </w:rPr>
        <w:t xml:space="preserve"> </w:t>
      </w:r>
      <w:proofErr w:type="spellStart"/>
      <w:r w:rsidRPr="00BE6D3F">
        <w:rPr>
          <w:w w:val="110"/>
          <w:sz w:val="20"/>
        </w:rPr>
        <w:t>використовується</w:t>
      </w:r>
      <w:proofErr w:type="spellEnd"/>
      <w:r w:rsidRPr="00BE6D3F">
        <w:rPr>
          <w:w w:val="110"/>
          <w:sz w:val="20"/>
        </w:rPr>
        <w:t xml:space="preserve"> </w:t>
      </w:r>
      <w:proofErr w:type="spellStart"/>
      <w:r w:rsidRPr="00BE6D3F">
        <w:rPr>
          <w:w w:val="110"/>
          <w:sz w:val="20"/>
        </w:rPr>
        <w:t>для</w:t>
      </w:r>
      <w:proofErr w:type="spellEnd"/>
      <w:r w:rsidRPr="00BE6D3F">
        <w:rPr>
          <w:w w:val="110"/>
          <w:sz w:val="20"/>
        </w:rPr>
        <w:t xml:space="preserve"> </w:t>
      </w:r>
      <w:proofErr w:type="spellStart"/>
      <w:r w:rsidRPr="00BE6D3F">
        <w:rPr>
          <w:w w:val="110"/>
          <w:sz w:val="20"/>
        </w:rPr>
        <w:t>одночасної</w:t>
      </w:r>
      <w:proofErr w:type="spellEnd"/>
      <w:r w:rsidRPr="00BE6D3F">
        <w:rPr>
          <w:w w:val="110"/>
          <w:sz w:val="20"/>
        </w:rPr>
        <w:t xml:space="preserve"> </w:t>
      </w:r>
      <w:proofErr w:type="spellStart"/>
      <w:r w:rsidRPr="00BE6D3F">
        <w:rPr>
          <w:w w:val="110"/>
          <w:sz w:val="20"/>
        </w:rPr>
        <w:t>ідентифікації</w:t>
      </w:r>
      <w:proofErr w:type="spellEnd"/>
      <w:r w:rsidRPr="00BE6D3F">
        <w:rPr>
          <w:w w:val="110"/>
          <w:sz w:val="20"/>
        </w:rPr>
        <w:t xml:space="preserve"> </w:t>
      </w:r>
      <w:proofErr w:type="spellStart"/>
      <w:r w:rsidRPr="00BE6D3F">
        <w:rPr>
          <w:w w:val="110"/>
          <w:sz w:val="20"/>
        </w:rPr>
        <w:t>видів</w:t>
      </w:r>
      <w:proofErr w:type="spellEnd"/>
      <w:r w:rsidRPr="00BE6D3F">
        <w:rPr>
          <w:w w:val="110"/>
          <w:sz w:val="20"/>
        </w:rPr>
        <w:t xml:space="preserve"> </w:t>
      </w:r>
      <w:proofErr w:type="spellStart"/>
      <w:r w:rsidRPr="00BE6D3F">
        <w:rPr>
          <w:w w:val="110"/>
          <w:sz w:val="20"/>
        </w:rPr>
        <w:t>мікобактерій</w:t>
      </w:r>
      <w:proofErr w:type="spellEnd"/>
      <w:r w:rsidRPr="00BE6D3F">
        <w:rPr>
          <w:w w:val="110"/>
          <w:sz w:val="20"/>
        </w:rPr>
        <w:t xml:space="preserve"> та </w:t>
      </w:r>
      <w:proofErr w:type="spellStart"/>
      <w:r w:rsidRPr="00BE6D3F">
        <w:rPr>
          <w:w w:val="110"/>
          <w:sz w:val="20"/>
        </w:rPr>
        <w:t>прогнозування</w:t>
      </w:r>
      <w:proofErr w:type="spellEnd"/>
      <w:r w:rsidRPr="00BE6D3F">
        <w:rPr>
          <w:w w:val="110"/>
          <w:sz w:val="20"/>
        </w:rPr>
        <w:t xml:space="preserve"> </w:t>
      </w:r>
      <w:proofErr w:type="spellStart"/>
      <w:r w:rsidRPr="00BE6D3F">
        <w:rPr>
          <w:w w:val="110"/>
          <w:sz w:val="20"/>
        </w:rPr>
        <w:t>лікарської</w:t>
      </w:r>
      <w:proofErr w:type="spellEnd"/>
      <w:r w:rsidRPr="00BE6D3F">
        <w:rPr>
          <w:w w:val="110"/>
          <w:sz w:val="20"/>
        </w:rPr>
        <w:t xml:space="preserve"> </w:t>
      </w:r>
      <w:proofErr w:type="spellStart"/>
      <w:r w:rsidRPr="00BE6D3F">
        <w:rPr>
          <w:w w:val="110"/>
          <w:sz w:val="20"/>
        </w:rPr>
        <w:t>стійкості</w:t>
      </w:r>
      <w:proofErr w:type="spellEnd"/>
      <w:r w:rsidRPr="00BE6D3F">
        <w:rPr>
          <w:w w:val="110"/>
          <w:sz w:val="20"/>
        </w:rPr>
        <w:t xml:space="preserve"> </w:t>
      </w:r>
      <w:proofErr w:type="spellStart"/>
      <w:r w:rsidRPr="00BE6D3F">
        <w:rPr>
          <w:w w:val="110"/>
          <w:sz w:val="20"/>
        </w:rPr>
        <w:t>штамів</w:t>
      </w:r>
      <w:proofErr w:type="spellEnd"/>
      <w:r w:rsidRPr="00BE6D3F">
        <w:rPr>
          <w:w w:val="110"/>
          <w:sz w:val="20"/>
        </w:rPr>
        <w:t xml:space="preserve"> М</w:t>
      </w:r>
      <w:r w:rsidRPr="00BE6D3F">
        <w:rPr>
          <w:w w:val="110"/>
          <w:sz w:val="20"/>
          <w:lang w:val="uk-UA"/>
        </w:rPr>
        <w:t>Б</w:t>
      </w:r>
      <w:r w:rsidRPr="00BE6D3F">
        <w:rPr>
          <w:w w:val="110"/>
          <w:sz w:val="20"/>
        </w:rPr>
        <w:t xml:space="preserve">ТК; </w:t>
      </w:r>
      <w:proofErr w:type="spellStart"/>
      <w:r w:rsidRPr="00BE6D3F">
        <w:rPr>
          <w:w w:val="110"/>
          <w:sz w:val="20"/>
        </w:rPr>
        <w:t>він</w:t>
      </w:r>
      <w:proofErr w:type="spellEnd"/>
      <w:r w:rsidRPr="00BE6D3F">
        <w:rPr>
          <w:w w:val="110"/>
          <w:sz w:val="20"/>
        </w:rPr>
        <w:t xml:space="preserve"> </w:t>
      </w:r>
      <w:proofErr w:type="spellStart"/>
      <w:r w:rsidRPr="00BE6D3F">
        <w:rPr>
          <w:w w:val="110"/>
          <w:sz w:val="20"/>
        </w:rPr>
        <w:t>безпосередньо</w:t>
      </w:r>
      <w:proofErr w:type="spellEnd"/>
      <w:r w:rsidRPr="00BE6D3F">
        <w:rPr>
          <w:w w:val="110"/>
          <w:sz w:val="20"/>
        </w:rPr>
        <w:t xml:space="preserve"> </w:t>
      </w:r>
      <w:proofErr w:type="spellStart"/>
      <w:r w:rsidRPr="00BE6D3F">
        <w:rPr>
          <w:w w:val="110"/>
          <w:sz w:val="20"/>
        </w:rPr>
        <w:t>застосовується</w:t>
      </w:r>
      <w:proofErr w:type="spellEnd"/>
      <w:r w:rsidRPr="00BE6D3F">
        <w:rPr>
          <w:w w:val="110"/>
          <w:sz w:val="20"/>
        </w:rPr>
        <w:t xml:space="preserve"> </w:t>
      </w:r>
      <w:proofErr w:type="spellStart"/>
      <w:r w:rsidRPr="00BE6D3F">
        <w:rPr>
          <w:w w:val="110"/>
          <w:sz w:val="20"/>
        </w:rPr>
        <w:t>до</w:t>
      </w:r>
      <w:proofErr w:type="spellEnd"/>
      <w:r w:rsidRPr="00BE6D3F">
        <w:rPr>
          <w:w w:val="110"/>
          <w:sz w:val="20"/>
        </w:rPr>
        <w:t xml:space="preserve"> </w:t>
      </w:r>
      <w:proofErr w:type="spellStart"/>
      <w:r w:rsidRPr="00BE6D3F">
        <w:rPr>
          <w:w w:val="110"/>
          <w:sz w:val="20"/>
        </w:rPr>
        <w:t>клінічних</w:t>
      </w:r>
      <w:proofErr w:type="spellEnd"/>
      <w:r w:rsidRPr="00BE6D3F">
        <w:rPr>
          <w:w w:val="110"/>
          <w:sz w:val="20"/>
        </w:rPr>
        <w:t xml:space="preserve"> </w:t>
      </w:r>
      <w:proofErr w:type="spellStart"/>
      <w:r w:rsidRPr="00BE6D3F">
        <w:rPr>
          <w:w w:val="110"/>
          <w:sz w:val="20"/>
        </w:rPr>
        <w:t>зразків</w:t>
      </w:r>
      <w:proofErr w:type="spellEnd"/>
      <w:r w:rsidRPr="00BE6D3F">
        <w:rPr>
          <w:w w:val="110"/>
          <w:sz w:val="20"/>
        </w:rPr>
        <w:t xml:space="preserve">, </w:t>
      </w:r>
      <w:proofErr w:type="spellStart"/>
      <w:r w:rsidRPr="00BE6D3F">
        <w:rPr>
          <w:w w:val="110"/>
          <w:sz w:val="20"/>
        </w:rPr>
        <w:t>таких</w:t>
      </w:r>
      <w:proofErr w:type="spellEnd"/>
      <w:r w:rsidRPr="00BE6D3F">
        <w:rPr>
          <w:w w:val="110"/>
          <w:sz w:val="20"/>
        </w:rPr>
        <w:t xml:space="preserve"> </w:t>
      </w:r>
      <w:proofErr w:type="spellStart"/>
      <w:r w:rsidRPr="00BE6D3F">
        <w:rPr>
          <w:w w:val="110"/>
          <w:sz w:val="20"/>
        </w:rPr>
        <w:t>як</w:t>
      </w:r>
      <w:proofErr w:type="spellEnd"/>
      <w:r w:rsidRPr="00BE6D3F">
        <w:rPr>
          <w:w w:val="110"/>
          <w:sz w:val="20"/>
        </w:rPr>
        <w:t xml:space="preserve"> </w:t>
      </w:r>
      <w:proofErr w:type="spellStart"/>
      <w:r w:rsidRPr="00BE6D3F">
        <w:rPr>
          <w:w w:val="110"/>
          <w:sz w:val="20"/>
        </w:rPr>
        <w:t>мокротиння</w:t>
      </w:r>
      <w:proofErr w:type="spellEnd"/>
      <w:r w:rsidRPr="00BE6D3F">
        <w:rPr>
          <w:w w:val="110"/>
          <w:sz w:val="20"/>
        </w:rPr>
        <w:t xml:space="preserve"> та </w:t>
      </w:r>
      <w:proofErr w:type="spellStart"/>
      <w:r w:rsidRPr="00BE6D3F">
        <w:rPr>
          <w:w w:val="110"/>
          <w:sz w:val="20"/>
        </w:rPr>
        <w:t>рідина</w:t>
      </w:r>
      <w:proofErr w:type="spellEnd"/>
      <w:r w:rsidRPr="00BE6D3F">
        <w:rPr>
          <w:w w:val="110"/>
          <w:sz w:val="20"/>
        </w:rPr>
        <w:t xml:space="preserve"> БАЛ </w:t>
      </w:r>
      <w:r w:rsidRPr="00BE6D3F">
        <w:rPr>
          <w:i/>
          <w:w w:val="110"/>
          <w:sz w:val="20"/>
        </w:rPr>
        <w:t>(51)</w:t>
      </w:r>
      <w:r w:rsidRPr="00BE6D3F">
        <w:rPr>
          <w:w w:val="110"/>
          <w:sz w:val="20"/>
        </w:rPr>
        <w:t xml:space="preserve">. </w:t>
      </w:r>
      <w:proofErr w:type="spellStart"/>
      <w:r w:rsidRPr="00BE6D3F">
        <w:rPr>
          <w:w w:val="110"/>
          <w:sz w:val="20"/>
        </w:rPr>
        <w:t>Аналіз</w:t>
      </w:r>
      <w:proofErr w:type="spellEnd"/>
      <w:r w:rsidRPr="00BE6D3F">
        <w:rPr>
          <w:w w:val="110"/>
          <w:sz w:val="20"/>
        </w:rPr>
        <w:t xml:space="preserve"> </w:t>
      </w:r>
      <w:r w:rsidRPr="00BE6D3F">
        <w:rPr>
          <w:w w:val="110"/>
          <w:sz w:val="20"/>
          <w:lang w:val="uk-UA"/>
        </w:rPr>
        <w:t>використовує технологію</w:t>
      </w:r>
      <w:r w:rsidRPr="00BE6D3F">
        <w:rPr>
          <w:w w:val="110"/>
          <w:sz w:val="20"/>
        </w:rPr>
        <w:t xml:space="preserve"> </w:t>
      </w:r>
      <w:proofErr w:type="spellStart"/>
      <w:r w:rsidRPr="00BE6D3F">
        <w:rPr>
          <w:w w:val="110"/>
          <w:sz w:val="20"/>
        </w:rPr>
        <w:t>глибоко</w:t>
      </w:r>
      <w:proofErr w:type="spellEnd"/>
      <w:r w:rsidRPr="00BE6D3F">
        <w:rPr>
          <w:w w:val="110"/>
          <w:sz w:val="20"/>
          <w:lang w:val="uk-UA"/>
        </w:rPr>
        <w:t>го</w:t>
      </w:r>
      <w:r w:rsidRPr="00BE6D3F">
        <w:rPr>
          <w:w w:val="110"/>
          <w:sz w:val="20"/>
        </w:rPr>
        <w:t xml:space="preserve"> </w:t>
      </w:r>
      <w:proofErr w:type="spellStart"/>
      <w:r w:rsidRPr="00BE6D3F">
        <w:rPr>
          <w:w w:val="110"/>
          <w:sz w:val="20"/>
        </w:rPr>
        <w:t>секвенуванн</w:t>
      </w:r>
      <w:proofErr w:type="spellEnd"/>
      <w:r w:rsidRPr="00BE6D3F">
        <w:rPr>
          <w:w w:val="110"/>
          <w:sz w:val="20"/>
          <w:lang w:val="uk-UA"/>
        </w:rPr>
        <w:t>я</w:t>
      </w:r>
      <w:r w:rsidRPr="00BE6D3F">
        <w:rPr>
          <w:w w:val="110"/>
          <w:sz w:val="20"/>
        </w:rPr>
        <w:t xml:space="preserve"> </w:t>
      </w:r>
      <w:r w:rsidRPr="00BE6D3F">
        <w:rPr>
          <w:w w:val="110"/>
          <w:sz w:val="20"/>
          <w:lang w:val="uk-UA"/>
        </w:rPr>
        <w:t>с</w:t>
      </w:r>
      <w:proofErr w:type="spellStart"/>
      <w:r w:rsidRPr="00BE6D3F">
        <w:rPr>
          <w:w w:val="110"/>
          <w:sz w:val="20"/>
        </w:rPr>
        <w:t>уміш</w:t>
      </w:r>
      <w:proofErr w:type="spellEnd"/>
      <w:r w:rsidRPr="00BE6D3F">
        <w:rPr>
          <w:w w:val="110"/>
          <w:sz w:val="20"/>
          <w:lang w:val="uk-UA"/>
        </w:rPr>
        <w:t>і</w:t>
      </w:r>
      <w:r w:rsidRPr="00BE6D3F">
        <w:rPr>
          <w:w w:val="110"/>
          <w:sz w:val="20"/>
        </w:rPr>
        <w:t xml:space="preserve"> </w:t>
      </w:r>
      <w:proofErr w:type="spellStart"/>
      <w:r w:rsidRPr="00BE6D3F">
        <w:rPr>
          <w:w w:val="110"/>
          <w:sz w:val="20"/>
        </w:rPr>
        <w:t>для</w:t>
      </w:r>
      <w:proofErr w:type="spellEnd"/>
      <w:r w:rsidRPr="00BE6D3F">
        <w:rPr>
          <w:w w:val="110"/>
          <w:sz w:val="20"/>
        </w:rPr>
        <w:t xml:space="preserve"> </w:t>
      </w:r>
      <w:proofErr w:type="spellStart"/>
      <w:r w:rsidRPr="00BE6D3F">
        <w:rPr>
          <w:w w:val="110"/>
          <w:sz w:val="20"/>
        </w:rPr>
        <w:t>мультиплексної</w:t>
      </w:r>
      <w:proofErr w:type="spellEnd"/>
      <w:r w:rsidRPr="00BE6D3F">
        <w:rPr>
          <w:w w:val="110"/>
          <w:sz w:val="20"/>
        </w:rPr>
        <w:t xml:space="preserve"> ампліфікації та </w:t>
      </w:r>
      <w:proofErr w:type="spellStart"/>
      <w:r w:rsidRPr="00BE6D3F">
        <w:rPr>
          <w:w w:val="110"/>
          <w:sz w:val="20"/>
        </w:rPr>
        <w:t>націлений</w:t>
      </w:r>
      <w:proofErr w:type="spellEnd"/>
      <w:r w:rsidRPr="00BE6D3F">
        <w:rPr>
          <w:w w:val="110"/>
          <w:sz w:val="20"/>
        </w:rPr>
        <w:t xml:space="preserve"> </w:t>
      </w:r>
      <w:proofErr w:type="spellStart"/>
      <w:r w:rsidRPr="00BE6D3F">
        <w:rPr>
          <w:w w:val="110"/>
          <w:sz w:val="20"/>
        </w:rPr>
        <w:t>на</w:t>
      </w:r>
      <w:proofErr w:type="spellEnd"/>
      <w:r w:rsidRPr="00BE6D3F">
        <w:rPr>
          <w:w w:val="110"/>
          <w:sz w:val="20"/>
        </w:rPr>
        <w:t xml:space="preserve"> 21 </w:t>
      </w:r>
      <w:proofErr w:type="spellStart"/>
      <w:r w:rsidRPr="00BE6D3F">
        <w:rPr>
          <w:w w:val="110"/>
          <w:sz w:val="20"/>
        </w:rPr>
        <w:t>ген</w:t>
      </w:r>
      <w:proofErr w:type="spellEnd"/>
      <w:r w:rsidRPr="00BE6D3F">
        <w:rPr>
          <w:w w:val="110"/>
          <w:sz w:val="20"/>
        </w:rPr>
        <w:t xml:space="preserve"> М</w:t>
      </w:r>
      <w:r w:rsidRPr="00BE6D3F">
        <w:rPr>
          <w:w w:val="110"/>
          <w:sz w:val="20"/>
          <w:lang w:val="uk-UA"/>
        </w:rPr>
        <w:t>Б</w:t>
      </w:r>
      <w:r w:rsidRPr="00BE6D3F">
        <w:rPr>
          <w:w w:val="110"/>
          <w:sz w:val="20"/>
        </w:rPr>
        <w:t xml:space="preserve">ТК, </w:t>
      </w:r>
      <w:proofErr w:type="spellStart"/>
      <w:r w:rsidRPr="00BE6D3F">
        <w:rPr>
          <w:w w:val="110"/>
          <w:sz w:val="20"/>
        </w:rPr>
        <w:t>пов'язаний</w:t>
      </w:r>
      <w:proofErr w:type="spellEnd"/>
      <w:r w:rsidRPr="00BE6D3F">
        <w:rPr>
          <w:w w:val="110"/>
          <w:sz w:val="20"/>
        </w:rPr>
        <w:t xml:space="preserve"> </w:t>
      </w:r>
      <w:proofErr w:type="spellStart"/>
      <w:r w:rsidRPr="00BE6D3F">
        <w:rPr>
          <w:w w:val="110"/>
          <w:sz w:val="20"/>
        </w:rPr>
        <w:t>зі</w:t>
      </w:r>
      <w:proofErr w:type="spellEnd"/>
      <w:r w:rsidRPr="00BE6D3F">
        <w:rPr>
          <w:w w:val="110"/>
          <w:sz w:val="20"/>
        </w:rPr>
        <w:t xml:space="preserve"> </w:t>
      </w:r>
      <w:proofErr w:type="spellStart"/>
      <w:r w:rsidRPr="00BE6D3F">
        <w:rPr>
          <w:w w:val="110"/>
          <w:sz w:val="20"/>
        </w:rPr>
        <w:t>стійкістю</w:t>
      </w:r>
      <w:proofErr w:type="spellEnd"/>
      <w:r w:rsidRPr="00BE6D3F">
        <w:rPr>
          <w:w w:val="110"/>
          <w:sz w:val="20"/>
        </w:rPr>
        <w:t xml:space="preserve"> </w:t>
      </w:r>
      <w:proofErr w:type="spellStart"/>
      <w:r w:rsidRPr="00BE6D3F">
        <w:rPr>
          <w:w w:val="110"/>
          <w:sz w:val="20"/>
        </w:rPr>
        <w:t>до</w:t>
      </w:r>
      <w:proofErr w:type="spellEnd"/>
      <w:r w:rsidRPr="00BE6D3F">
        <w:rPr>
          <w:w w:val="110"/>
          <w:sz w:val="20"/>
        </w:rPr>
        <w:t xml:space="preserve"> </w:t>
      </w:r>
      <w:proofErr w:type="spellStart"/>
      <w:r w:rsidRPr="00BE6D3F">
        <w:rPr>
          <w:w w:val="110"/>
          <w:sz w:val="20"/>
        </w:rPr>
        <w:t>протитуберкульозних</w:t>
      </w:r>
      <w:proofErr w:type="spellEnd"/>
      <w:r w:rsidRPr="00BE6D3F">
        <w:rPr>
          <w:w w:val="110"/>
          <w:sz w:val="20"/>
        </w:rPr>
        <w:t xml:space="preserve"> </w:t>
      </w:r>
      <w:proofErr w:type="spellStart"/>
      <w:r w:rsidRPr="00BE6D3F">
        <w:rPr>
          <w:w w:val="110"/>
          <w:sz w:val="20"/>
        </w:rPr>
        <w:t>препаратів</w:t>
      </w:r>
      <w:proofErr w:type="spellEnd"/>
      <w:r w:rsidRPr="00BE6D3F">
        <w:rPr>
          <w:w w:val="110"/>
          <w:sz w:val="20"/>
        </w:rPr>
        <w:t xml:space="preserve"> (рифампіцин, ізоніазид, піразинамід, етамбутол, фторхінолони, амікацин, канаміцин, капреоміцин, </w:t>
      </w:r>
      <w:proofErr w:type="spellStart"/>
      <w:r w:rsidRPr="00BE6D3F">
        <w:rPr>
          <w:w w:val="110"/>
          <w:sz w:val="20"/>
        </w:rPr>
        <w:t>стрептоміцин</w:t>
      </w:r>
      <w:proofErr w:type="spellEnd"/>
      <w:r w:rsidRPr="00BE6D3F">
        <w:rPr>
          <w:w w:val="110"/>
          <w:sz w:val="20"/>
        </w:rPr>
        <w:t xml:space="preserve">, </w:t>
      </w:r>
      <w:proofErr w:type="spellStart"/>
      <w:r w:rsidRPr="00BE6D3F">
        <w:rPr>
          <w:w w:val="110"/>
          <w:sz w:val="20"/>
        </w:rPr>
        <w:t>парааміносаліцилова</w:t>
      </w:r>
      <w:proofErr w:type="spellEnd"/>
      <w:r w:rsidRPr="00BE6D3F">
        <w:rPr>
          <w:w w:val="110"/>
          <w:sz w:val="20"/>
        </w:rPr>
        <w:t xml:space="preserve"> </w:t>
      </w:r>
      <w:proofErr w:type="spellStart"/>
      <w:r w:rsidRPr="00BE6D3F">
        <w:rPr>
          <w:w w:val="110"/>
          <w:sz w:val="20"/>
        </w:rPr>
        <w:t>кислота</w:t>
      </w:r>
      <w:proofErr w:type="spellEnd"/>
      <w:r w:rsidRPr="00BE6D3F">
        <w:rPr>
          <w:w w:val="110"/>
          <w:sz w:val="20"/>
        </w:rPr>
        <w:t xml:space="preserve">, </w:t>
      </w:r>
      <w:proofErr w:type="spellStart"/>
      <w:r w:rsidRPr="00BE6D3F">
        <w:rPr>
          <w:w w:val="110"/>
          <w:sz w:val="20"/>
        </w:rPr>
        <w:t>циклосерин</w:t>
      </w:r>
      <w:proofErr w:type="spellEnd"/>
      <w:r w:rsidRPr="00BE6D3F">
        <w:rPr>
          <w:w w:val="110"/>
          <w:sz w:val="20"/>
        </w:rPr>
        <w:t xml:space="preserve">, </w:t>
      </w:r>
      <w:proofErr w:type="spellStart"/>
      <w:r w:rsidRPr="00BE6D3F">
        <w:rPr>
          <w:w w:val="110"/>
          <w:sz w:val="20"/>
        </w:rPr>
        <w:t>етіонамід</w:t>
      </w:r>
      <w:proofErr w:type="spellEnd"/>
      <w:r w:rsidRPr="00BE6D3F">
        <w:rPr>
          <w:w w:val="110"/>
          <w:sz w:val="20"/>
        </w:rPr>
        <w:t xml:space="preserve"> або </w:t>
      </w:r>
      <w:proofErr w:type="spellStart"/>
      <w:r w:rsidRPr="00BE6D3F">
        <w:rPr>
          <w:w w:val="110"/>
          <w:sz w:val="20"/>
        </w:rPr>
        <w:t>протіонамід</w:t>
      </w:r>
      <w:proofErr w:type="spellEnd"/>
      <w:r w:rsidRPr="00BE6D3F">
        <w:rPr>
          <w:w w:val="110"/>
          <w:sz w:val="20"/>
        </w:rPr>
        <w:t xml:space="preserve">, бедаквілін, клофазимін та лінезолід). Ідентифікація </w:t>
      </w:r>
      <w:proofErr w:type="spellStart"/>
      <w:r w:rsidRPr="00BE6D3F">
        <w:rPr>
          <w:w w:val="110"/>
          <w:sz w:val="20"/>
        </w:rPr>
        <w:t>видів</w:t>
      </w:r>
      <w:proofErr w:type="spellEnd"/>
      <w:r w:rsidRPr="00BE6D3F">
        <w:rPr>
          <w:w w:val="110"/>
          <w:sz w:val="20"/>
        </w:rPr>
        <w:t xml:space="preserve"> </w:t>
      </w:r>
      <w:proofErr w:type="spellStart"/>
      <w:r w:rsidRPr="00BE6D3F">
        <w:rPr>
          <w:w w:val="110"/>
          <w:sz w:val="20"/>
        </w:rPr>
        <w:t>мікобактерій</w:t>
      </w:r>
      <w:proofErr w:type="spellEnd"/>
      <w:r w:rsidRPr="00BE6D3F">
        <w:rPr>
          <w:w w:val="110"/>
          <w:sz w:val="20"/>
        </w:rPr>
        <w:t xml:space="preserve"> </w:t>
      </w:r>
      <w:proofErr w:type="spellStart"/>
      <w:r w:rsidRPr="00BE6D3F">
        <w:rPr>
          <w:w w:val="110"/>
          <w:sz w:val="20"/>
        </w:rPr>
        <w:t>здійснюється</w:t>
      </w:r>
      <w:proofErr w:type="spellEnd"/>
      <w:r w:rsidRPr="00BE6D3F">
        <w:rPr>
          <w:w w:val="110"/>
          <w:sz w:val="20"/>
        </w:rPr>
        <w:t xml:space="preserve"> </w:t>
      </w:r>
      <w:proofErr w:type="spellStart"/>
      <w:r w:rsidRPr="00BE6D3F">
        <w:rPr>
          <w:w w:val="110"/>
          <w:sz w:val="20"/>
        </w:rPr>
        <w:t>шляхом</w:t>
      </w:r>
      <w:proofErr w:type="spellEnd"/>
      <w:r w:rsidRPr="00BE6D3F">
        <w:rPr>
          <w:w w:val="110"/>
          <w:sz w:val="20"/>
        </w:rPr>
        <w:t xml:space="preserve"> </w:t>
      </w:r>
      <w:proofErr w:type="spellStart"/>
      <w:r w:rsidRPr="00BE6D3F">
        <w:rPr>
          <w:w w:val="110"/>
          <w:sz w:val="20"/>
        </w:rPr>
        <w:t>націлювання</w:t>
      </w:r>
      <w:proofErr w:type="spellEnd"/>
      <w:r w:rsidRPr="00BE6D3F">
        <w:rPr>
          <w:w w:val="110"/>
          <w:sz w:val="20"/>
        </w:rPr>
        <w:t xml:space="preserve"> </w:t>
      </w:r>
      <w:proofErr w:type="spellStart"/>
      <w:r w:rsidRPr="00BE6D3F">
        <w:rPr>
          <w:w w:val="110"/>
          <w:sz w:val="20"/>
        </w:rPr>
        <w:t>на</w:t>
      </w:r>
      <w:proofErr w:type="spellEnd"/>
      <w:r w:rsidRPr="00BE6D3F">
        <w:rPr>
          <w:w w:val="110"/>
          <w:sz w:val="20"/>
        </w:rPr>
        <w:t xml:space="preserve"> </w:t>
      </w:r>
      <w:proofErr w:type="spellStart"/>
      <w:r w:rsidRPr="00BE6D3F">
        <w:rPr>
          <w:w w:val="110"/>
          <w:sz w:val="20"/>
        </w:rPr>
        <w:t>генні</w:t>
      </w:r>
      <w:proofErr w:type="spellEnd"/>
      <w:r w:rsidRPr="00BE6D3F">
        <w:rPr>
          <w:w w:val="110"/>
          <w:sz w:val="20"/>
        </w:rPr>
        <w:t xml:space="preserve"> </w:t>
      </w:r>
      <w:r w:rsidRPr="00BE6D3F">
        <w:rPr>
          <w:w w:val="110"/>
          <w:sz w:val="20"/>
          <w:lang w:val="uk-UA"/>
        </w:rPr>
        <w:t>ділянки</w:t>
      </w:r>
      <w:r w:rsidRPr="00BE6D3F">
        <w:rPr>
          <w:w w:val="110"/>
          <w:sz w:val="20"/>
        </w:rPr>
        <w:t xml:space="preserve"> 16S та </w:t>
      </w:r>
      <w:r w:rsidRPr="00BE6D3F">
        <w:rPr>
          <w:i/>
          <w:w w:val="110"/>
          <w:sz w:val="20"/>
        </w:rPr>
        <w:t>hsp</w:t>
      </w:r>
      <w:r w:rsidRPr="00BE6D3F">
        <w:rPr>
          <w:w w:val="110"/>
          <w:sz w:val="20"/>
        </w:rPr>
        <w:t>65.</w:t>
      </w:r>
      <w:r w:rsidRPr="00BE6D3F">
        <w:rPr>
          <w:w w:val="110"/>
          <w:sz w:val="20"/>
          <w:lang w:val="uk-UA"/>
        </w:rPr>
        <w:t xml:space="preserve"> </w:t>
      </w:r>
      <w:r w:rsidRPr="006B6651">
        <w:rPr>
          <w:w w:val="110"/>
          <w:sz w:val="20"/>
          <w:lang w:val="uk-UA"/>
        </w:rPr>
        <w:t xml:space="preserve">Аналіз виконується з використанням набору для секвенування генів </w:t>
      </w:r>
      <w:r w:rsidRPr="00BE6D3F">
        <w:rPr>
          <w:w w:val="110"/>
          <w:sz w:val="20"/>
        </w:rPr>
        <w:t>Universal</w:t>
      </w:r>
      <w:r w:rsidRPr="006B6651">
        <w:rPr>
          <w:w w:val="110"/>
          <w:sz w:val="20"/>
          <w:lang w:val="uk-UA"/>
        </w:rPr>
        <w:t xml:space="preserve"> </w:t>
      </w:r>
      <w:r w:rsidRPr="00BE6D3F">
        <w:rPr>
          <w:w w:val="110"/>
          <w:sz w:val="20"/>
        </w:rPr>
        <w:t>Gene</w:t>
      </w:r>
      <w:r w:rsidRPr="006B6651">
        <w:rPr>
          <w:w w:val="110"/>
          <w:sz w:val="20"/>
          <w:lang w:val="uk-UA"/>
        </w:rPr>
        <w:t xml:space="preserve"> </w:t>
      </w:r>
      <w:r w:rsidRPr="00BE6D3F">
        <w:rPr>
          <w:w w:val="110"/>
          <w:sz w:val="20"/>
        </w:rPr>
        <w:t>Sequencing</w:t>
      </w:r>
      <w:r w:rsidRPr="006B6651">
        <w:rPr>
          <w:w w:val="110"/>
          <w:sz w:val="20"/>
          <w:lang w:val="uk-UA"/>
        </w:rPr>
        <w:t xml:space="preserve"> </w:t>
      </w:r>
      <w:r w:rsidRPr="00BE6D3F">
        <w:rPr>
          <w:w w:val="110"/>
          <w:sz w:val="20"/>
        </w:rPr>
        <w:t>Kit</w:t>
      </w:r>
      <w:r w:rsidRPr="00BE6D3F">
        <w:rPr>
          <w:w w:val="110"/>
          <w:sz w:val="20"/>
          <w:lang w:val="uk-UA"/>
        </w:rPr>
        <w:t xml:space="preserve"> </w:t>
      </w:r>
      <w:r w:rsidRPr="006B6651">
        <w:rPr>
          <w:w w:val="110"/>
          <w:sz w:val="20"/>
          <w:lang w:val="uk-UA"/>
        </w:rPr>
        <w:t>(</w:t>
      </w:r>
      <w:r w:rsidRPr="00BE6D3F">
        <w:rPr>
          <w:w w:val="110"/>
          <w:sz w:val="20"/>
          <w:lang w:val="uk-UA"/>
        </w:rPr>
        <w:t xml:space="preserve">виробництва </w:t>
      </w:r>
      <w:proofErr w:type="spellStart"/>
      <w:r w:rsidRPr="00BE6D3F">
        <w:rPr>
          <w:w w:val="110"/>
          <w:sz w:val="20"/>
        </w:rPr>
        <w:t>ShengTing</w:t>
      </w:r>
      <w:proofErr w:type="spellEnd"/>
      <w:r w:rsidRPr="006B6651">
        <w:rPr>
          <w:w w:val="110"/>
          <w:sz w:val="20"/>
          <w:lang w:val="uk-UA"/>
        </w:rPr>
        <w:t xml:space="preserve">) для створення бібліотек, які </w:t>
      </w:r>
      <w:proofErr w:type="spellStart"/>
      <w:r w:rsidRPr="006B6651">
        <w:rPr>
          <w:w w:val="110"/>
          <w:sz w:val="20"/>
          <w:lang w:val="uk-UA"/>
        </w:rPr>
        <w:t>секвенуються</w:t>
      </w:r>
      <w:proofErr w:type="spellEnd"/>
      <w:r w:rsidRPr="006B6651">
        <w:rPr>
          <w:w w:val="110"/>
          <w:sz w:val="20"/>
          <w:lang w:val="uk-UA"/>
        </w:rPr>
        <w:t xml:space="preserve"> на платформі </w:t>
      </w:r>
      <w:proofErr w:type="spellStart"/>
      <w:r w:rsidRPr="00BE6D3F">
        <w:rPr>
          <w:w w:val="110"/>
          <w:sz w:val="20"/>
        </w:rPr>
        <w:t>MinION</w:t>
      </w:r>
      <w:proofErr w:type="spellEnd"/>
      <w:r w:rsidRPr="006B6651">
        <w:rPr>
          <w:w w:val="110"/>
          <w:sz w:val="20"/>
          <w:lang w:val="uk-UA"/>
        </w:rPr>
        <w:t xml:space="preserve"> або </w:t>
      </w:r>
      <w:proofErr w:type="spellStart"/>
      <w:r w:rsidRPr="00BE6D3F">
        <w:rPr>
          <w:w w:val="110"/>
          <w:sz w:val="20"/>
        </w:rPr>
        <w:t>GridION</w:t>
      </w:r>
      <w:proofErr w:type="spellEnd"/>
      <w:r w:rsidRPr="006B6651">
        <w:rPr>
          <w:w w:val="110"/>
          <w:sz w:val="20"/>
          <w:lang w:val="uk-UA"/>
        </w:rPr>
        <w:t xml:space="preserve"> (</w:t>
      </w:r>
      <w:r w:rsidRPr="00BE6D3F">
        <w:rPr>
          <w:w w:val="110"/>
          <w:sz w:val="20"/>
          <w:lang w:val="uk-UA"/>
        </w:rPr>
        <w:t xml:space="preserve">компанії </w:t>
      </w:r>
      <w:r w:rsidRPr="00BE6D3F">
        <w:rPr>
          <w:w w:val="110"/>
          <w:sz w:val="20"/>
        </w:rPr>
        <w:t>Oxford</w:t>
      </w:r>
      <w:r w:rsidRPr="006B6651">
        <w:rPr>
          <w:w w:val="110"/>
          <w:sz w:val="20"/>
          <w:lang w:val="uk-UA"/>
        </w:rPr>
        <w:t xml:space="preserve"> </w:t>
      </w:r>
      <w:r w:rsidRPr="00BE6D3F">
        <w:rPr>
          <w:w w:val="110"/>
          <w:sz w:val="20"/>
        </w:rPr>
        <w:t>Nanopore</w:t>
      </w:r>
      <w:r w:rsidRPr="006B6651">
        <w:rPr>
          <w:w w:val="110"/>
          <w:sz w:val="20"/>
          <w:lang w:val="uk-UA"/>
        </w:rPr>
        <w:t xml:space="preserve"> </w:t>
      </w:r>
      <w:r w:rsidRPr="00BE6D3F">
        <w:rPr>
          <w:w w:val="110"/>
          <w:sz w:val="20"/>
        </w:rPr>
        <w:t>Technologies</w:t>
      </w:r>
      <w:r w:rsidRPr="006B6651">
        <w:rPr>
          <w:w w:val="110"/>
          <w:sz w:val="20"/>
          <w:lang w:val="uk-UA"/>
        </w:rPr>
        <w:t>). Рішення включає автоматизоване програмне забезпечення для аналізу (</w:t>
      </w:r>
      <w:r w:rsidRPr="00BE6D3F">
        <w:rPr>
          <w:w w:val="110"/>
          <w:sz w:val="20"/>
        </w:rPr>
        <w:t>Nano</w:t>
      </w:r>
      <w:r w:rsidRPr="006B6651">
        <w:rPr>
          <w:w w:val="110"/>
          <w:sz w:val="20"/>
          <w:lang w:val="uk-UA"/>
        </w:rPr>
        <w:t xml:space="preserve"> </w:t>
      </w:r>
      <w:r w:rsidRPr="00BE6D3F">
        <w:rPr>
          <w:w w:val="110"/>
          <w:sz w:val="20"/>
        </w:rPr>
        <w:t>TNGS</w:t>
      </w:r>
      <w:r w:rsidRPr="006B6651">
        <w:rPr>
          <w:w w:val="110"/>
          <w:sz w:val="20"/>
          <w:lang w:val="uk-UA"/>
        </w:rPr>
        <w:t xml:space="preserve"> </w:t>
      </w:r>
      <w:r w:rsidRPr="00BE6D3F">
        <w:rPr>
          <w:w w:val="110"/>
          <w:sz w:val="20"/>
        </w:rPr>
        <w:t>V</w:t>
      </w:r>
      <w:r w:rsidRPr="006B6651">
        <w:rPr>
          <w:w w:val="110"/>
          <w:sz w:val="20"/>
          <w:lang w:val="uk-UA"/>
        </w:rPr>
        <w:t>1.0) для обробки даних секвенування та захищений онлайн-</w:t>
      </w:r>
      <w:r w:rsidRPr="00BE6D3F">
        <w:rPr>
          <w:w w:val="110"/>
          <w:sz w:val="20"/>
          <w:lang w:val="uk-UA"/>
        </w:rPr>
        <w:t>застосунок</w:t>
      </w:r>
      <w:r w:rsidRPr="006B6651">
        <w:rPr>
          <w:w w:val="110"/>
          <w:sz w:val="20"/>
          <w:lang w:val="uk-UA"/>
        </w:rPr>
        <w:t xml:space="preserve"> (</w:t>
      </w:r>
      <w:r w:rsidRPr="00BE6D3F">
        <w:rPr>
          <w:w w:val="110"/>
          <w:sz w:val="20"/>
        </w:rPr>
        <w:t>TBseq</w:t>
      </w:r>
      <w:r w:rsidRPr="006B6651">
        <w:rPr>
          <w:w w:val="110"/>
          <w:sz w:val="20"/>
          <w:lang w:val="uk-UA"/>
        </w:rPr>
        <w:t xml:space="preserve">® </w:t>
      </w:r>
      <w:r w:rsidRPr="00BE6D3F">
        <w:rPr>
          <w:w w:val="110"/>
          <w:sz w:val="20"/>
        </w:rPr>
        <w:t>Web</w:t>
      </w:r>
      <w:r w:rsidRPr="006B6651">
        <w:rPr>
          <w:w w:val="110"/>
          <w:sz w:val="20"/>
          <w:lang w:val="uk-UA"/>
        </w:rPr>
        <w:t xml:space="preserve"> </w:t>
      </w:r>
      <w:r w:rsidRPr="00BE6D3F">
        <w:rPr>
          <w:w w:val="110"/>
          <w:sz w:val="20"/>
        </w:rPr>
        <w:t>App</w:t>
      </w:r>
      <w:r w:rsidRPr="006B6651">
        <w:rPr>
          <w:w w:val="110"/>
          <w:sz w:val="20"/>
          <w:lang w:val="uk-UA"/>
        </w:rPr>
        <w:t>) з інтегрованими базами даних для інтерпретації результатів.</w:t>
      </w:r>
    </w:p>
    <w:p w14:paraId="48353C6E" w14:textId="77777777" w:rsidR="00291E90" w:rsidRPr="006B6651" w:rsidRDefault="00291E90" w:rsidP="00291E90">
      <w:pPr>
        <w:pStyle w:val="a3"/>
        <w:spacing w:before="9"/>
        <w:ind w:right="2"/>
        <w:jc w:val="both"/>
        <w:rPr>
          <w:sz w:val="20"/>
          <w:lang w:val="uk-UA"/>
        </w:rPr>
      </w:pPr>
    </w:p>
    <w:p w14:paraId="3D5C34E8" w14:textId="77777777" w:rsidR="00291E90" w:rsidRPr="006B6651" w:rsidRDefault="00291E90" w:rsidP="00291E90">
      <w:pPr>
        <w:pStyle w:val="5"/>
        <w:spacing w:before="1"/>
        <w:ind w:right="2"/>
        <w:jc w:val="both"/>
        <w:rPr>
          <w:sz w:val="24"/>
          <w:lang w:val="ru-RU"/>
        </w:rPr>
      </w:pPr>
      <w:proofErr w:type="spellStart"/>
      <w:r w:rsidRPr="006B6651">
        <w:rPr>
          <w:color w:val="019648"/>
          <w:sz w:val="24"/>
          <w:lang w:val="ru-RU"/>
        </w:rPr>
        <w:t>Обґрунтування</w:t>
      </w:r>
      <w:proofErr w:type="spellEnd"/>
      <w:r w:rsidRPr="006B6651">
        <w:rPr>
          <w:color w:val="019648"/>
          <w:sz w:val="24"/>
          <w:lang w:val="ru-RU"/>
        </w:rPr>
        <w:t xml:space="preserve"> та </w:t>
      </w:r>
      <w:proofErr w:type="spellStart"/>
      <w:r w:rsidRPr="006B6651">
        <w:rPr>
          <w:color w:val="019648"/>
          <w:sz w:val="24"/>
          <w:lang w:val="ru-RU"/>
        </w:rPr>
        <w:t>докази</w:t>
      </w:r>
      <w:proofErr w:type="spellEnd"/>
    </w:p>
    <w:p w14:paraId="1566862B" w14:textId="77777777" w:rsidR="00291E90" w:rsidRPr="006B6651" w:rsidRDefault="00291E90" w:rsidP="00291E90">
      <w:pPr>
        <w:pStyle w:val="7"/>
        <w:spacing w:before="211"/>
        <w:ind w:right="2"/>
        <w:jc w:val="both"/>
        <w:rPr>
          <w:rFonts w:ascii="Microsoft Sans Serif" w:hAnsi="Microsoft Sans Serif" w:cs="Microsoft Sans Serif"/>
          <w:sz w:val="22"/>
          <w:lang w:val="ru-RU"/>
        </w:rPr>
      </w:pPr>
      <w:r>
        <w:rPr>
          <w:rFonts w:ascii="Microsoft Sans Serif" w:hAnsi="Microsoft Sans Serif" w:cs="Microsoft Sans Serif"/>
          <w:color w:val="019648"/>
          <w:sz w:val="22"/>
          <w:lang w:val="uk-UA"/>
        </w:rPr>
        <w:t>Т</w:t>
      </w:r>
      <w:proofErr w:type="spellStart"/>
      <w:r w:rsidRPr="006B6651">
        <w:rPr>
          <w:rFonts w:ascii="Microsoft Sans Serif" w:hAnsi="Microsoft Sans Serif" w:cs="Microsoft Sans Serif"/>
          <w:color w:val="019648"/>
          <w:sz w:val="22"/>
          <w:lang w:val="ru-RU"/>
        </w:rPr>
        <w:t>очність</w:t>
      </w:r>
      <w:proofErr w:type="spellEnd"/>
      <w:r w:rsidRPr="006B6651">
        <w:rPr>
          <w:rFonts w:ascii="Microsoft Sans Serif" w:hAnsi="Microsoft Sans Serif" w:cs="Microsoft Sans Serif"/>
          <w:color w:val="019648"/>
          <w:sz w:val="22"/>
          <w:lang w:val="ru-RU"/>
        </w:rPr>
        <w:t xml:space="preserve"> </w:t>
      </w:r>
      <w:r>
        <w:rPr>
          <w:rFonts w:ascii="Microsoft Sans Serif" w:hAnsi="Microsoft Sans Serif" w:cs="Microsoft Sans Serif"/>
          <w:color w:val="019648"/>
          <w:sz w:val="22"/>
          <w:lang w:val="uk-UA"/>
        </w:rPr>
        <w:t xml:space="preserve">діагностики </w:t>
      </w:r>
      <w:r w:rsidRPr="006B6651">
        <w:rPr>
          <w:rFonts w:ascii="Microsoft Sans Serif" w:hAnsi="Microsoft Sans Serif" w:cs="Microsoft Sans Serif"/>
          <w:color w:val="019648"/>
          <w:sz w:val="22"/>
          <w:lang w:val="ru-RU"/>
        </w:rPr>
        <w:t>та користь для здоров'я</w:t>
      </w:r>
    </w:p>
    <w:p w14:paraId="1935E9F4" w14:textId="77777777" w:rsidR="00291E90" w:rsidRPr="006B6651" w:rsidRDefault="00291E90" w:rsidP="00291E90">
      <w:pPr>
        <w:pStyle w:val="a3"/>
        <w:spacing w:before="188" w:line="249" w:lineRule="auto"/>
        <w:ind w:left="567" w:right="2"/>
        <w:jc w:val="both"/>
        <w:rPr>
          <w:sz w:val="20"/>
          <w:lang w:val="ru-RU"/>
        </w:rPr>
      </w:pPr>
      <w:proofErr w:type="spellStart"/>
      <w:r w:rsidRPr="006B6651">
        <w:rPr>
          <w:w w:val="110"/>
          <w:sz w:val="20"/>
          <w:lang w:val="ru-RU"/>
        </w:rPr>
        <w:t>Було</w:t>
      </w:r>
      <w:proofErr w:type="spellEnd"/>
      <w:r w:rsidRPr="006B6651">
        <w:rPr>
          <w:w w:val="110"/>
          <w:sz w:val="20"/>
          <w:lang w:val="ru-RU"/>
        </w:rPr>
        <w:t xml:space="preserve"> </w:t>
      </w:r>
      <w:proofErr w:type="spellStart"/>
      <w:r w:rsidRPr="006B6651">
        <w:rPr>
          <w:w w:val="110"/>
          <w:sz w:val="20"/>
          <w:lang w:val="ru-RU"/>
        </w:rPr>
        <w:t>сформульовано</w:t>
      </w:r>
      <w:proofErr w:type="spellEnd"/>
      <w:r w:rsidRPr="006B6651">
        <w:rPr>
          <w:w w:val="110"/>
          <w:sz w:val="20"/>
          <w:lang w:val="ru-RU"/>
        </w:rPr>
        <w:t xml:space="preserve"> два </w:t>
      </w:r>
      <w:proofErr w:type="spellStart"/>
      <w:r w:rsidRPr="006B6651">
        <w:rPr>
          <w:w w:val="110"/>
          <w:sz w:val="20"/>
          <w:lang w:val="ru-RU"/>
        </w:rPr>
        <w:t>питання</w:t>
      </w:r>
      <w:proofErr w:type="spellEnd"/>
      <w:r w:rsidRPr="006B6651">
        <w:rPr>
          <w:w w:val="110"/>
          <w:sz w:val="20"/>
          <w:lang w:val="ru-RU"/>
        </w:rPr>
        <w:t xml:space="preserve"> щодо здоров'я з </w:t>
      </w:r>
      <w:proofErr w:type="spellStart"/>
      <w:r w:rsidRPr="006B6651">
        <w:rPr>
          <w:w w:val="110"/>
          <w:sz w:val="20"/>
          <w:lang w:val="ru-RU"/>
        </w:rPr>
        <w:t>використанням</w:t>
      </w:r>
      <w:proofErr w:type="spellEnd"/>
      <w:r w:rsidRPr="006B6651">
        <w:rPr>
          <w:w w:val="110"/>
          <w:sz w:val="20"/>
          <w:lang w:val="ru-RU"/>
        </w:rPr>
        <w:t xml:space="preserve"> </w:t>
      </w:r>
      <w:proofErr w:type="spellStart"/>
      <w:r w:rsidRPr="006B6651">
        <w:rPr>
          <w:w w:val="110"/>
          <w:sz w:val="20"/>
          <w:lang w:val="ru-RU"/>
        </w:rPr>
        <w:t>підходу</w:t>
      </w:r>
      <w:proofErr w:type="spellEnd"/>
      <w:r w:rsidRPr="006B6651">
        <w:rPr>
          <w:w w:val="110"/>
          <w:sz w:val="20"/>
          <w:lang w:val="ru-RU"/>
        </w:rPr>
        <w:t xml:space="preserve"> </w:t>
      </w:r>
      <w:r w:rsidRPr="00BE6D3F">
        <w:rPr>
          <w:w w:val="110"/>
          <w:sz w:val="20"/>
        </w:rPr>
        <w:t>PICO</w:t>
      </w:r>
      <w:r w:rsidRPr="006B6651">
        <w:rPr>
          <w:w w:val="110"/>
          <w:sz w:val="20"/>
          <w:lang w:val="ru-RU"/>
        </w:rPr>
        <w:t xml:space="preserve">, </w:t>
      </w:r>
      <w:proofErr w:type="spellStart"/>
      <w:r w:rsidRPr="006B6651">
        <w:rPr>
          <w:w w:val="110"/>
          <w:sz w:val="20"/>
          <w:lang w:val="ru-RU"/>
        </w:rPr>
        <w:t>щоб</w:t>
      </w:r>
      <w:proofErr w:type="spellEnd"/>
      <w:r w:rsidRPr="006B6651">
        <w:rPr>
          <w:w w:val="110"/>
          <w:sz w:val="20"/>
          <w:lang w:val="ru-RU"/>
        </w:rPr>
        <w:t xml:space="preserve"> </w:t>
      </w:r>
      <w:proofErr w:type="spellStart"/>
      <w:r w:rsidRPr="006B6651">
        <w:rPr>
          <w:w w:val="110"/>
          <w:sz w:val="20"/>
          <w:lang w:val="ru-RU"/>
        </w:rPr>
        <w:t>створити</w:t>
      </w:r>
      <w:proofErr w:type="spellEnd"/>
      <w:r w:rsidRPr="006B6651">
        <w:rPr>
          <w:w w:val="110"/>
          <w:sz w:val="20"/>
          <w:lang w:val="ru-RU"/>
        </w:rPr>
        <w:t xml:space="preserve"> основу для </w:t>
      </w:r>
      <w:proofErr w:type="spellStart"/>
      <w:r w:rsidRPr="006B6651">
        <w:rPr>
          <w:w w:val="110"/>
          <w:sz w:val="20"/>
          <w:lang w:val="ru-RU"/>
        </w:rPr>
        <w:t>пошуку</w:t>
      </w:r>
      <w:proofErr w:type="spellEnd"/>
      <w:r w:rsidRPr="006B6651">
        <w:rPr>
          <w:w w:val="110"/>
          <w:sz w:val="20"/>
          <w:lang w:val="ru-RU"/>
        </w:rPr>
        <w:t xml:space="preserve">, </w:t>
      </w:r>
      <w:proofErr w:type="spellStart"/>
      <w:r w:rsidRPr="006B6651">
        <w:rPr>
          <w:w w:val="110"/>
          <w:sz w:val="20"/>
          <w:lang w:val="ru-RU"/>
        </w:rPr>
        <w:t>відбору</w:t>
      </w:r>
      <w:proofErr w:type="spellEnd"/>
      <w:r w:rsidRPr="006B6651">
        <w:rPr>
          <w:w w:val="110"/>
          <w:sz w:val="20"/>
          <w:lang w:val="ru-RU"/>
        </w:rPr>
        <w:t xml:space="preserve"> та </w:t>
      </w:r>
      <w:proofErr w:type="spellStart"/>
      <w:r w:rsidRPr="006B6651">
        <w:rPr>
          <w:w w:val="110"/>
          <w:sz w:val="20"/>
          <w:lang w:val="ru-RU"/>
        </w:rPr>
        <w:t>аналізу</w:t>
      </w:r>
      <w:proofErr w:type="spellEnd"/>
      <w:r w:rsidRPr="006B6651">
        <w:rPr>
          <w:w w:val="110"/>
          <w:sz w:val="20"/>
          <w:lang w:val="ru-RU"/>
        </w:rPr>
        <w:t xml:space="preserve"> </w:t>
      </w:r>
      <w:proofErr w:type="spellStart"/>
      <w:r w:rsidRPr="006B6651">
        <w:rPr>
          <w:w w:val="110"/>
          <w:sz w:val="20"/>
          <w:lang w:val="ru-RU"/>
        </w:rPr>
        <w:t>доказових</w:t>
      </w:r>
      <w:proofErr w:type="spellEnd"/>
      <w:r w:rsidRPr="006B6651">
        <w:rPr>
          <w:w w:val="110"/>
          <w:sz w:val="20"/>
          <w:lang w:val="ru-RU"/>
        </w:rPr>
        <w:t xml:space="preserve"> </w:t>
      </w:r>
      <w:proofErr w:type="spellStart"/>
      <w:r w:rsidRPr="006B6651">
        <w:rPr>
          <w:w w:val="110"/>
          <w:sz w:val="20"/>
          <w:lang w:val="ru-RU"/>
        </w:rPr>
        <w:t>даних</w:t>
      </w:r>
      <w:proofErr w:type="spellEnd"/>
      <w:r w:rsidRPr="006B6651">
        <w:rPr>
          <w:w w:val="110"/>
          <w:sz w:val="20"/>
          <w:lang w:val="ru-RU"/>
        </w:rPr>
        <w:t>.</w:t>
      </w:r>
    </w:p>
    <w:p w14:paraId="445CF04F" w14:textId="77777777" w:rsidR="00291E90" w:rsidRPr="006B6651" w:rsidRDefault="00291E90" w:rsidP="004A2937">
      <w:pPr>
        <w:pStyle w:val="a4"/>
        <w:numPr>
          <w:ilvl w:val="0"/>
          <w:numId w:val="47"/>
        </w:numPr>
        <w:tabs>
          <w:tab w:val="left" w:pos="1985"/>
        </w:tabs>
        <w:spacing w:before="0" w:line="276" w:lineRule="auto"/>
        <w:ind w:left="1134" w:right="2"/>
        <w:rPr>
          <w:w w:val="110"/>
          <w:sz w:val="20"/>
          <w:lang w:val="ru-RU"/>
        </w:rPr>
      </w:pPr>
      <w:proofErr w:type="spellStart"/>
      <w:r w:rsidRPr="006B6651">
        <w:rPr>
          <w:w w:val="110"/>
          <w:sz w:val="20"/>
          <w:lang w:val="ru-RU"/>
        </w:rPr>
        <w:t>Чи</w:t>
      </w:r>
      <w:proofErr w:type="spellEnd"/>
      <w:r w:rsidRPr="006B6651">
        <w:rPr>
          <w:w w:val="110"/>
          <w:sz w:val="20"/>
          <w:lang w:val="ru-RU"/>
        </w:rPr>
        <w:t xml:space="preserve"> </w:t>
      </w:r>
      <w:proofErr w:type="spellStart"/>
      <w:r w:rsidRPr="006B6651">
        <w:rPr>
          <w:w w:val="110"/>
          <w:sz w:val="20"/>
          <w:lang w:val="ru-RU"/>
        </w:rPr>
        <w:t>слід</w:t>
      </w:r>
      <w:proofErr w:type="spellEnd"/>
      <w:r w:rsidRPr="006B6651">
        <w:rPr>
          <w:w w:val="110"/>
          <w:sz w:val="20"/>
          <w:lang w:val="ru-RU"/>
        </w:rPr>
        <w:t xml:space="preserve"> </w:t>
      </w:r>
      <w:proofErr w:type="spellStart"/>
      <w:r w:rsidRPr="006B6651">
        <w:rPr>
          <w:w w:val="110"/>
          <w:sz w:val="20"/>
          <w:lang w:val="ru-RU"/>
        </w:rPr>
        <w:t>використовувати</w:t>
      </w:r>
      <w:proofErr w:type="spellEnd"/>
      <w:r w:rsidRPr="006B6651">
        <w:rPr>
          <w:w w:val="110"/>
          <w:sz w:val="20"/>
          <w:lang w:val="ru-RU"/>
        </w:rPr>
        <w:t xml:space="preserve"> таргетне </w:t>
      </w:r>
      <w:r w:rsidRPr="00BE6D3F">
        <w:rPr>
          <w:w w:val="110"/>
          <w:sz w:val="20"/>
          <w:lang w:val="uk-UA"/>
        </w:rPr>
        <w:t>СНП</w:t>
      </w:r>
      <w:r w:rsidRPr="006B6651">
        <w:rPr>
          <w:w w:val="110"/>
          <w:sz w:val="20"/>
          <w:lang w:val="ru-RU"/>
        </w:rPr>
        <w:t xml:space="preserve"> </w:t>
      </w:r>
      <w:r>
        <w:rPr>
          <w:w w:val="110"/>
          <w:sz w:val="20"/>
          <w:lang w:val="uk-UA"/>
        </w:rPr>
        <w:t xml:space="preserve">як первинний тест </w:t>
      </w:r>
      <w:r w:rsidRPr="006B6651">
        <w:rPr>
          <w:w w:val="110"/>
          <w:sz w:val="20"/>
          <w:lang w:val="ru-RU"/>
        </w:rPr>
        <w:t xml:space="preserve">для </w:t>
      </w:r>
      <w:proofErr w:type="spellStart"/>
      <w:r w:rsidRPr="006B6651">
        <w:rPr>
          <w:w w:val="110"/>
          <w:sz w:val="20"/>
          <w:lang w:val="ru-RU"/>
        </w:rPr>
        <w:t>діагностики</w:t>
      </w:r>
      <w:proofErr w:type="spellEnd"/>
      <w:r w:rsidRPr="006B6651">
        <w:rPr>
          <w:w w:val="110"/>
          <w:sz w:val="20"/>
          <w:lang w:val="ru-RU"/>
        </w:rPr>
        <w:t xml:space="preserve"> </w:t>
      </w:r>
      <w:proofErr w:type="spellStart"/>
      <w:r w:rsidRPr="006B6651">
        <w:rPr>
          <w:w w:val="110"/>
          <w:sz w:val="20"/>
          <w:lang w:val="ru-RU"/>
        </w:rPr>
        <w:t>лікарської</w:t>
      </w:r>
      <w:proofErr w:type="spellEnd"/>
      <w:r w:rsidRPr="006B6651">
        <w:rPr>
          <w:w w:val="110"/>
          <w:sz w:val="20"/>
          <w:lang w:val="ru-RU"/>
        </w:rPr>
        <w:t xml:space="preserve"> </w:t>
      </w:r>
      <w:proofErr w:type="spellStart"/>
      <w:r w:rsidRPr="006B6651">
        <w:rPr>
          <w:w w:val="110"/>
          <w:sz w:val="20"/>
          <w:lang w:val="ru-RU"/>
        </w:rPr>
        <w:t>стійкості</w:t>
      </w:r>
      <w:proofErr w:type="spellEnd"/>
      <w:r w:rsidRPr="006B6651">
        <w:rPr>
          <w:w w:val="110"/>
          <w:sz w:val="20"/>
          <w:lang w:val="ru-RU"/>
        </w:rPr>
        <w:t xml:space="preserve"> в </w:t>
      </w:r>
      <w:proofErr w:type="spellStart"/>
      <w:r w:rsidRPr="006B6651">
        <w:rPr>
          <w:w w:val="110"/>
          <w:sz w:val="20"/>
          <w:lang w:val="ru-RU"/>
        </w:rPr>
        <w:t>осіб</w:t>
      </w:r>
      <w:proofErr w:type="spellEnd"/>
      <w:r w:rsidRPr="006B6651">
        <w:rPr>
          <w:w w:val="110"/>
          <w:sz w:val="20"/>
          <w:lang w:val="ru-RU"/>
        </w:rPr>
        <w:t xml:space="preserve"> </w:t>
      </w:r>
      <w:r w:rsidRPr="00BE6D3F">
        <w:rPr>
          <w:w w:val="110"/>
          <w:sz w:val="20"/>
          <w:lang w:val="uk-UA"/>
        </w:rPr>
        <w:t>і</w:t>
      </w:r>
      <w:r w:rsidRPr="006B6651">
        <w:rPr>
          <w:w w:val="110"/>
          <w:sz w:val="20"/>
          <w:lang w:val="ru-RU"/>
        </w:rPr>
        <w:t xml:space="preserve">з бактеріологічно </w:t>
      </w:r>
      <w:proofErr w:type="spellStart"/>
      <w:r w:rsidRPr="006B6651">
        <w:rPr>
          <w:w w:val="110"/>
          <w:sz w:val="20"/>
          <w:lang w:val="ru-RU"/>
        </w:rPr>
        <w:t>підтвердженим</w:t>
      </w:r>
      <w:proofErr w:type="spellEnd"/>
      <w:r w:rsidRPr="006B6651">
        <w:rPr>
          <w:w w:val="110"/>
          <w:sz w:val="20"/>
          <w:lang w:val="ru-RU"/>
        </w:rPr>
        <w:t xml:space="preserve"> </w:t>
      </w:r>
      <w:r w:rsidRPr="00BE6D3F">
        <w:rPr>
          <w:w w:val="110"/>
          <w:sz w:val="20"/>
          <w:lang w:val="uk-UA"/>
        </w:rPr>
        <w:t xml:space="preserve">легеневим </w:t>
      </w:r>
      <w:proofErr w:type="spellStart"/>
      <w:r w:rsidRPr="006B6651">
        <w:rPr>
          <w:w w:val="110"/>
          <w:sz w:val="20"/>
          <w:lang w:val="ru-RU"/>
        </w:rPr>
        <w:t>туберкульозом</w:t>
      </w:r>
      <w:proofErr w:type="spellEnd"/>
      <w:r w:rsidRPr="006B6651">
        <w:rPr>
          <w:w w:val="110"/>
          <w:sz w:val="20"/>
          <w:lang w:val="ru-RU"/>
        </w:rPr>
        <w:t>?</w:t>
      </w:r>
    </w:p>
    <w:p w14:paraId="3C7BE928" w14:textId="717C5E0A" w:rsidR="00291E90" w:rsidRPr="00291E90" w:rsidRDefault="00291E90" w:rsidP="00291E90">
      <w:pPr>
        <w:spacing w:line="276" w:lineRule="auto"/>
        <w:ind w:right="2" w:firstLine="567"/>
        <w:rPr>
          <w:w w:val="110"/>
          <w:sz w:val="20"/>
        </w:rPr>
      </w:pPr>
      <w:proofErr w:type="spellStart"/>
      <w:r w:rsidRPr="00291E90">
        <w:rPr>
          <w:w w:val="110"/>
          <w:sz w:val="20"/>
        </w:rPr>
        <w:t>Це</w:t>
      </w:r>
      <w:proofErr w:type="spellEnd"/>
      <w:r w:rsidRPr="00291E90">
        <w:rPr>
          <w:w w:val="110"/>
          <w:sz w:val="20"/>
        </w:rPr>
        <w:t xml:space="preserve"> </w:t>
      </w:r>
      <w:proofErr w:type="spellStart"/>
      <w:r w:rsidRPr="00291E90">
        <w:rPr>
          <w:w w:val="110"/>
          <w:sz w:val="20"/>
        </w:rPr>
        <w:t>питання</w:t>
      </w:r>
      <w:proofErr w:type="spellEnd"/>
      <w:r w:rsidRPr="00291E90">
        <w:rPr>
          <w:w w:val="110"/>
          <w:sz w:val="20"/>
        </w:rPr>
        <w:t xml:space="preserve"> </w:t>
      </w:r>
      <w:proofErr w:type="spellStart"/>
      <w:r w:rsidRPr="00291E90">
        <w:rPr>
          <w:w w:val="110"/>
          <w:sz w:val="20"/>
        </w:rPr>
        <w:t>стосується</w:t>
      </w:r>
      <w:proofErr w:type="spellEnd"/>
      <w:r w:rsidRPr="00291E90">
        <w:rPr>
          <w:w w:val="110"/>
          <w:sz w:val="20"/>
        </w:rPr>
        <w:t>:</w:t>
      </w:r>
    </w:p>
    <w:p w14:paraId="78AC70EE" w14:textId="77777777" w:rsidR="00291E90" w:rsidRPr="00BE6D3F" w:rsidRDefault="00291E90" w:rsidP="004A2937">
      <w:pPr>
        <w:pStyle w:val="a4"/>
        <w:numPr>
          <w:ilvl w:val="1"/>
          <w:numId w:val="47"/>
        </w:numPr>
        <w:tabs>
          <w:tab w:val="left" w:pos="2077"/>
          <w:tab w:val="left" w:pos="2078"/>
        </w:tabs>
        <w:spacing w:before="126" w:line="273" w:lineRule="auto"/>
        <w:ind w:left="2075" w:right="2"/>
        <w:rPr>
          <w:sz w:val="20"/>
        </w:rPr>
      </w:pPr>
      <w:r w:rsidRPr="00BE6D3F">
        <w:rPr>
          <w:w w:val="110"/>
          <w:sz w:val="20"/>
        </w:rPr>
        <w:t xml:space="preserve">рифампіцину, </w:t>
      </w:r>
      <w:r w:rsidRPr="00BE6D3F">
        <w:rPr>
          <w:w w:val="110"/>
          <w:sz w:val="20"/>
          <w:lang w:val="uk-UA"/>
        </w:rPr>
        <w:t xml:space="preserve">з використанням комбінованого еталонного стандарту, що включає </w:t>
      </w:r>
      <w:proofErr w:type="spellStart"/>
      <w:r w:rsidRPr="00BE6D3F">
        <w:rPr>
          <w:w w:val="110"/>
          <w:sz w:val="20"/>
        </w:rPr>
        <w:t>фенотиповий</w:t>
      </w:r>
      <w:proofErr w:type="spellEnd"/>
      <w:r w:rsidRPr="00BE6D3F">
        <w:rPr>
          <w:w w:val="110"/>
          <w:sz w:val="20"/>
        </w:rPr>
        <w:t xml:space="preserve"> Т</w:t>
      </w:r>
      <w:r w:rsidRPr="00BE6D3F">
        <w:rPr>
          <w:w w:val="110"/>
          <w:sz w:val="20"/>
          <w:lang w:val="uk-UA"/>
        </w:rPr>
        <w:t>М</w:t>
      </w:r>
      <w:r w:rsidRPr="00BE6D3F">
        <w:rPr>
          <w:w w:val="110"/>
          <w:sz w:val="20"/>
        </w:rPr>
        <w:t xml:space="preserve">Ч та повногеномне </w:t>
      </w:r>
      <w:proofErr w:type="spellStart"/>
      <w:r w:rsidRPr="00BE6D3F">
        <w:rPr>
          <w:w w:val="110"/>
          <w:sz w:val="20"/>
        </w:rPr>
        <w:t>секвенуванн</w:t>
      </w:r>
      <w:proofErr w:type="spellEnd"/>
      <w:r w:rsidRPr="00BE6D3F">
        <w:rPr>
          <w:w w:val="110"/>
          <w:sz w:val="20"/>
          <w:lang w:val="uk-UA"/>
        </w:rPr>
        <w:t xml:space="preserve">я </w:t>
      </w:r>
      <w:r w:rsidRPr="00BE6D3F">
        <w:rPr>
          <w:w w:val="110"/>
          <w:sz w:val="20"/>
        </w:rPr>
        <w:t>(</w:t>
      </w:r>
      <w:r w:rsidRPr="00BE6D3F">
        <w:rPr>
          <w:w w:val="110"/>
          <w:sz w:val="20"/>
          <w:lang w:val="uk-UA"/>
        </w:rPr>
        <w:t>ПГС</w:t>
      </w:r>
      <w:r w:rsidRPr="00BE6D3F">
        <w:rPr>
          <w:w w:val="110"/>
          <w:sz w:val="20"/>
        </w:rPr>
        <w:t xml:space="preserve">), а </w:t>
      </w:r>
      <w:proofErr w:type="spellStart"/>
      <w:r w:rsidRPr="00BE6D3F">
        <w:rPr>
          <w:w w:val="110"/>
          <w:sz w:val="20"/>
        </w:rPr>
        <w:t>також</w:t>
      </w:r>
      <w:proofErr w:type="spellEnd"/>
      <w:r w:rsidRPr="00BE6D3F">
        <w:rPr>
          <w:w w:val="110"/>
          <w:sz w:val="20"/>
        </w:rPr>
        <w:t xml:space="preserve"> Xpert MTB/RIF® або Xpert Ultra®;</w:t>
      </w:r>
    </w:p>
    <w:p w14:paraId="0A754CA8" w14:textId="77777777" w:rsidR="00291E90" w:rsidRPr="006B6651" w:rsidRDefault="00291E90" w:rsidP="004A2937">
      <w:pPr>
        <w:pStyle w:val="a4"/>
        <w:numPr>
          <w:ilvl w:val="1"/>
          <w:numId w:val="47"/>
        </w:numPr>
        <w:tabs>
          <w:tab w:val="left" w:pos="2077"/>
          <w:tab w:val="left" w:pos="2078"/>
        </w:tabs>
        <w:spacing w:before="4"/>
        <w:ind w:left="2075" w:right="2" w:hanging="321"/>
        <w:rPr>
          <w:sz w:val="20"/>
          <w:lang w:val="ru-RU"/>
        </w:rPr>
      </w:pPr>
      <w:r w:rsidRPr="006B6651">
        <w:rPr>
          <w:w w:val="110"/>
          <w:sz w:val="20"/>
          <w:lang w:val="ru-RU"/>
        </w:rPr>
        <w:t xml:space="preserve">ізоніазиду, з </w:t>
      </w:r>
      <w:proofErr w:type="spellStart"/>
      <w:r w:rsidRPr="006B6651">
        <w:rPr>
          <w:w w:val="110"/>
          <w:sz w:val="20"/>
          <w:lang w:val="ru-RU"/>
        </w:rPr>
        <w:t>використанням</w:t>
      </w:r>
      <w:proofErr w:type="spellEnd"/>
      <w:r w:rsidRPr="006B6651">
        <w:rPr>
          <w:w w:val="110"/>
          <w:sz w:val="20"/>
          <w:lang w:val="ru-RU"/>
        </w:rPr>
        <w:t xml:space="preserve"> </w:t>
      </w:r>
      <w:proofErr w:type="spellStart"/>
      <w:r w:rsidRPr="006B6651">
        <w:rPr>
          <w:w w:val="110"/>
          <w:sz w:val="20"/>
          <w:lang w:val="ru-RU"/>
        </w:rPr>
        <w:t>фенотипового</w:t>
      </w:r>
      <w:proofErr w:type="spellEnd"/>
      <w:r w:rsidRPr="006B6651">
        <w:rPr>
          <w:w w:val="110"/>
          <w:sz w:val="20"/>
          <w:lang w:val="ru-RU"/>
        </w:rPr>
        <w:t xml:space="preserve"> Т</w:t>
      </w:r>
      <w:r w:rsidRPr="00BE6D3F">
        <w:rPr>
          <w:w w:val="110"/>
          <w:sz w:val="20"/>
          <w:lang w:val="uk-UA"/>
        </w:rPr>
        <w:t>М</w:t>
      </w:r>
      <w:r w:rsidRPr="006B6651">
        <w:rPr>
          <w:w w:val="110"/>
          <w:sz w:val="20"/>
          <w:lang w:val="ru-RU"/>
        </w:rPr>
        <w:t xml:space="preserve">Ч як </w:t>
      </w:r>
      <w:r w:rsidRPr="00BE6D3F">
        <w:rPr>
          <w:w w:val="110"/>
          <w:sz w:val="20"/>
          <w:lang w:val="uk-UA"/>
        </w:rPr>
        <w:t>еталонного</w:t>
      </w:r>
      <w:r w:rsidRPr="006B6651">
        <w:rPr>
          <w:w w:val="110"/>
          <w:sz w:val="20"/>
          <w:lang w:val="ru-RU"/>
        </w:rPr>
        <w:t xml:space="preserve"> стандарту;</w:t>
      </w:r>
    </w:p>
    <w:p w14:paraId="510A759D" w14:textId="77777777" w:rsidR="00291E90" w:rsidRPr="006B6651" w:rsidRDefault="00291E90" w:rsidP="004A2937">
      <w:pPr>
        <w:pStyle w:val="a4"/>
        <w:numPr>
          <w:ilvl w:val="1"/>
          <w:numId w:val="47"/>
        </w:numPr>
        <w:tabs>
          <w:tab w:val="left" w:pos="2077"/>
          <w:tab w:val="left" w:pos="2078"/>
        </w:tabs>
        <w:spacing w:before="41"/>
        <w:ind w:left="2075" w:right="2" w:hanging="321"/>
        <w:rPr>
          <w:sz w:val="20"/>
          <w:lang w:val="ru-RU"/>
        </w:rPr>
      </w:pPr>
      <w:proofErr w:type="spellStart"/>
      <w:r w:rsidRPr="006B6651">
        <w:rPr>
          <w:w w:val="110"/>
          <w:sz w:val="20"/>
          <w:lang w:val="ru-RU"/>
        </w:rPr>
        <w:t>левофлоксацину</w:t>
      </w:r>
      <w:proofErr w:type="spellEnd"/>
      <w:r w:rsidRPr="006B6651">
        <w:rPr>
          <w:w w:val="110"/>
          <w:sz w:val="20"/>
          <w:lang w:val="ru-RU"/>
        </w:rPr>
        <w:t xml:space="preserve">, з </w:t>
      </w:r>
      <w:proofErr w:type="spellStart"/>
      <w:r w:rsidRPr="006B6651">
        <w:rPr>
          <w:w w:val="110"/>
          <w:sz w:val="20"/>
          <w:lang w:val="ru-RU"/>
        </w:rPr>
        <w:t>використанням</w:t>
      </w:r>
      <w:proofErr w:type="spellEnd"/>
      <w:r w:rsidRPr="006B6651">
        <w:rPr>
          <w:w w:val="110"/>
          <w:sz w:val="20"/>
          <w:lang w:val="ru-RU"/>
        </w:rPr>
        <w:t xml:space="preserve"> </w:t>
      </w:r>
      <w:proofErr w:type="spellStart"/>
      <w:r w:rsidRPr="006B6651">
        <w:rPr>
          <w:w w:val="110"/>
          <w:sz w:val="20"/>
          <w:lang w:val="ru-RU"/>
        </w:rPr>
        <w:t>фенотипового</w:t>
      </w:r>
      <w:proofErr w:type="spellEnd"/>
      <w:r w:rsidRPr="006B6651">
        <w:rPr>
          <w:w w:val="110"/>
          <w:sz w:val="20"/>
          <w:lang w:val="ru-RU"/>
        </w:rPr>
        <w:t xml:space="preserve"> Т</w:t>
      </w:r>
      <w:r w:rsidRPr="00BE6D3F">
        <w:rPr>
          <w:w w:val="110"/>
          <w:sz w:val="20"/>
          <w:lang w:val="uk-UA"/>
        </w:rPr>
        <w:t>М</w:t>
      </w:r>
      <w:r w:rsidRPr="006B6651">
        <w:rPr>
          <w:w w:val="110"/>
          <w:sz w:val="20"/>
          <w:lang w:val="ru-RU"/>
        </w:rPr>
        <w:t xml:space="preserve">Ч як </w:t>
      </w:r>
      <w:proofErr w:type="spellStart"/>
      <w:r w:rsidRPr="006B6651">
        <w:rPr>
          <w:w w:val="110"/>
          <w:sz w:val="20"/>
          <w:lang w:val="ru-RU"/>
        </w:rPr>
        <w:t>еталонного</w:t>
      </w:r>
      <w:proofErr w:type="spellEnd"/>
      <w:r w:rsidRPr="006B6651">
        <w:rPr>
          <w:w w:val="110"/>
          <w:sz w:val="20"/>
          <w:lang w:val="ru-RU"/>
        </w:rPr>
        <w:t xml:space="preserve"> стандарту;</w:t>
      </w:r>
    </w:p>
    <w:p w14:paraId="194EE4CD" w14:textId="77777777" w:rsidR="00291E90" w:rsidRPr="006B6651" w:rsidRDefault="00291E90" w:rsidP="004A2937">
      <w:pPr>
        <w:pStyle w:val="a4"/>
        <w:numPr>
          <w:ilvl w:val="1"/>
          <w:numId w:val="47"/>
        </w:numPr>
        <w:tabs>
          <w:tab w:val="left" w:pos="2077"/>
          <w:tab w:val="left" w:pos="2078"/>
        </w:tabs>
        <w:spacing w:before="41"/>
        <w:ind w:left="2075" w:right="2" w:hanging="321"/>
        <w:rPr>
          <w:sz w:val="20"/>
          <w:lang w:val="ru-RU"/>
        </w:rPr>
      </w:pPr>
      <w:r w:rsidRPr="006B6651">
        <w:rPr>
          <w:w w:val="110"/>
          <w:sz w:val="20"/>
          <w:lang w:val="ru-RU"/>
        </w:rPr>
        <w:t>моксифлоксацину</w:t>
      </w:r>
      <w:r w:rsidRPr="00BE6D3F">
        <w:rPr>
          <w:w w:val="110"/>
          <w:sz w:val="20"/>
          <w:lang w:val="uk-UA"/>
        </w:rPr>
        <w:t xml:space="preserve">, </w:t>
      </w:r>
      <w:r w:rsidRPr="006B6651">
        <w:rPr>
          <w:w w:val="110"/>
          <w:sz w:val="20"/>
          <w:lang w:val="ru-RU"/>
        </w:rPr>
        <w:t xml:space="preserve">з </w:t>
      </w:r>
      <w:proofErr w:type="spellStart"/>
      <w:r w:rsidRPr="006B6651">
        <w:rPr>
          <w:w w:val="110"/>
          <w:sz w:val="20"/>
          <w:lang w:val="ru-RU"/>
        </w:rPr>
        <w:t>використанням</w:t>
      </w:r>
      <w:proofErr w:type="spellEnd"/>
      <w:r w:rsidRPr="006B6651">
        <w:rPr>
          <w:w w:val="110"/>
          <w:sz w:val="20"/>
          <w:lang w:val="ru-RU"/>
        </w:rPr>
        <w:t xml:space="preserve"> </w:t>
      </w:r>
      <w:proofErr w:type="spellStart"/>
      <w:r w:rsidRPr="006B6651">
        <w:rPr>
          <w:w w:val="110"/>
          <w:sz w:val="20"/>
          <w:lang w:val="ru-RU"/>
        </w:rPr>
        <w:t>фенотипового</w:t>
      </w:r>
      <w:proofErr w:type="spellEnd"/>
      <w:r w:rsidRPr="006B6651">
        <w:rPr>
          <w:w w:val="110"/>
          <w:sz w:val="20"/>
          <w:lang w:val="ru-RU"/>
        </w:rPr>
        <w:t xml:space="preserve"> Т</w:t>
      </w:r>
      <w:r w:rsidRPr="00BE6D3F">
        <w:rPr>
          <w:w w:val="110"/>
          <w:sz w:val="20"/>
          <w:lang w:val="uk-UA"/>
        </w:rPr>
        <w:t>М</w:t>
      </w:r>
      <w:r w:rsidRPr="006B6651">
        <w:rPr>
          <w:w w:val="110"/>
          <w:sz w:val="20"/>
          <w:lang w:val="ru-RU"/>
        </w:rPr>
        <w:t xml:space="preserve">Ч як </w:t>
      </w:r>
      <w:proofErr w:type="spellStart"/>
      <w:r w:rsidRPr="006B6651">
        <w:rPr>
          <w:w w:val="110"/>
          <w:sz w:val="20"/>
          <w:lang w:val="ru-RU"/>
        </w:rPr>
        <w:t>еталонного</w:t>
      </w:r>
      <w:proofErr w:type="spellEnd"/>
      <w:r w:rsidRPr="006B6651">
        <w:rPr>
          <w:w w:val="110"/>
          <w:sz w:val="20"/>
          <w:lang w:val="ru-RU"/>
        </w:rPr>
        <w:t xml:space="preserve"> стандарту;</w:t>
      </w:r>
    </w:p>
    <w:p w14:paraId="02AC3B02" w14:textId="77777777" w:rsidR="00291E90" w:rsidRPr="006B6651" w:rsidRDefault="00291E90" w:rsidP="004A2937">
      <w:pPr>
        <w:pStyle w:val="a4"/>
        <w:numPr>
          <w:ilvl w:val="1"/>
          <w:numId w:val="47"/>
        </w:numPr>
        <w:tabs>
          <w:tab w:val="left" w:pos="2077"/>
          <w:tab w:val="left" w:pos="2078"/>
        </w:tabs>
        <w:spacing w:before="41"/>
        <w:ind w:left="2075" w:right="2" w:hanging="321"/>
        <w:rPr>
          <w:sz w:val="20"/>
          <w:lang w:val="ru-RU"/>
        </w:rPr>
      </w:pPr>
      <w:r w:rsidRPr="006B6651">
        <w:rPr>
          <w:w w:val="110"/>
          <w:sz w:val="20"/>
          <w:lang w:val="ru-RU"/>
        </w:rPr>
        <w:t xml:space="preserve">піразинаміду, з </w:t>
      </w:r>
      <w:proofErr w:type="spellStart"/>
      <w:r w:rsidRPr="006B6651">
        <w:rPr>
          <w:w w:val="110"/>
          <w:sz w:val="20"/>
          <w:lang w:val="ru-RU"/>
        </w:rPr>
        <w:t>використанням</w:t>
      </w:r>
      <w:proofErr w:type="spellEnd"/>
      <w:r w:rsidRPr="006B6651">
        <w:rPr>
          <w:w w:val="110"/>
          <w:sz w:val="20"/>
          <w:lang w:val="ru-RU"/>
        </w:rPr>
        <w:t xml:space="preserve"> </w:t>
      </w:r>
      <w:proofErr w:type="spellStart"/>
      <w:r w:rsidRPr="006B6651">
        <w:rPr>
          <w:w w:val="110"/>
          <w:sz w:val="20"/>
          <w:lang w:val="ru-RU"/>
        </w:rPr>
        <w:t>комбінованого</w:t>
      </w:r>
      <w:proofErr w:type="spellEnd"/>
      <w:r w:rsidRPr="006B6651">
        <w:rPr>
          <w:w w:val="110"/>
          <w:sz w:val="20"/>
          <w:lang w:val="ru-RU"/>
        </w:rPr>
        <w:t xml:space="preserve"> </w:t>
      </w:r>
      <w:r w:rsidRPr="00BE6D3F">
        <w:rPr>
          <w:w w:val="110"/>
          <w:sz w:val="20"/>
          <w:lang w:val="uk-UA"/>
        </w:rPr>
        <w:t>еталонного</w:t>
      </w:r>
      <w:r w:rsidRPr="006B6651">
        <w:rPr>
          <w:w w:val="110"/>
          <w:sz w:val="20"/>
          <w:lang w:val="ru-RU"/>
        </w:rPr>
        <w:t xml:space="preserve"> стандарту, </w:t>
      </w:r>
      <w:proofErr w:type="spellStart"/>
      <w:r w:rsidRPr="006B6651">
        <w:rPr>
          <w:w w:val="110"/>
          <w:sz w:val="20"/>
          <w:lang w:val="ru-RU"/>
        </w:rPr>
        <w:t>що</w:t>
      </w:r>
      <w:proofErr w:type="spellEnd"/>
      <w:r w:rsidRPr="006B6651">
        <w:rPr>
          <w:w w:val="110"/>
          <w:sz w:val="20"/>
          <w:lang w:val="ru-RU"/>
        </w:rPr>
        <w:t xml:space="preserve"> </w:t>
      </w:r>
      <w:proofErr w:type="spellStart"/>
      <w:r w:rsidRPr="006B6651">
        <w:rPr>
          <w:w w:val="110"/>
          <w:sz w:val="20"/>
          <w:lang w:val="ru-RU"/>
        </w:rPr>
        <w:t>включає</w:t>
      </w:r>
      <w:proofErr w:type="spellEnd"/>
      <w:r w:rsidRPr="006B6651">
        <w:rPr>
          <w:w w:val="110"/>
          <w:sz w:val="20"/>
          <w:lang w:val="ru-RU"/>
        </w:rPr>
        <w:t xml:space="preserve"> </w:t>
      </w:r>
      <w:proofErr w:type="spellStart"/>
      <w:r w:rsidRPr="006B6651">
        <w:rPr>
          <w:w w:val="110"/>
          <w:sz w:val="20"/>
          <w:lang w:val="ru-RU"/>
        </w:rPr>
        <w:t>фенотиповий</w:t>
      </w:r>
      <w:proofErr w:type="spellEnd"/>
      <w:r w:rsidRPr="006B6651">
        <w:rPr>
          <w:w w:val="110"/>
          <w:sz w:val="20"/>
          <w:lang w:val="ru-RU"/>
        </w:rPr>
        <w:t xml:space="preserve"> Т</w:t>
      </w:r>
      <w:r w:rsidRPr="00BE6D3F">
        <w:rPr>
          <w:w w:val="110"/>
          <w:sz w:val="20"/>
          <w:lang w:val="uk-UA"/>
        </w:rPr>
        <w:t>М</w:t>
      </w:r>
      <w:r w:rsidRPr="006B6651">
        <w:rPr>
          <w:w w:val="110"/>
          <w:sz w:val="20"/>
          <w:lang w:val="ru-RU"/>
        </w:rPr>
        <w:t xml:space="preserve">Ч та </w:t>
      </w:r>
      <w:r w:rsidRPr="00BE6D3F">
        <w:rPr>
          <w:w w:val="110"/>
          <w:sz w:val="20"/>
          <w:lang w:val="uk-UA"/>
        </w:rPr>
        <w:t>ПГС</w:t>
      </w:r>
      <w:r w:rsidRPr="006B6651">
        <w:rPr>
          <w:w w:val="110"/>
          <w:sz w:val="20"/>
          <w:lang w:val="ru-RU"/>
        </w:rPr>
        <w:t>; та</w:t>
      </w:r>
    </w:p>
    <w:p w14:paraId="2460677D" w14:textId="0C99BEB3" w:rsidR="00291E90" w:rsidRPr="00291E90" w:rsidRDefault="00291E90" w:rsidP="004A2937">
      <w:pPr>
        <w:pStyle w:val="a4"/>
        <w:numPr>
          <w:ilvl w:val="1"/>
          <w:numId w:val="47"/>
        </w:numPr>
        <w:tabs>
          <w:tab w:val="left" w:pos="2077"/>
          <w:tab w:val="left" w:pos="2078"/>
        </w:tabs>
        <w:spacing w:before="42"/>
        <w:ind w:left="2075" w:right="2" w:hanging="321"/>
        <w:rPr>
          <w:sz w:val="20"/>
          <w:lang w:val="ru-RU"/>
        </w:rPr>
      </w:pPr>
      <w:r w:rsidRPr="006B6651">
        <w:rPr>
          <w:w w:val="110"/>
          <w:sz w:val="20"/>
          <w:lang w:val="ru-RU"/>
        </w:rPr>
        <w:t xml:space="preserve">етамбутолу, з </w:t>
      </w:r>
      <w:proofErr w:type="spellStart"/>
      <w:r w:rsidRPr="006B6651">
        <w:rPr>
          <w:w w:val="110"/>
          <w:sz w:val="20"/>
          <w:lang w:val="ru-RU"/>
        </w:rPr>
        <w:t>використанням</w:t>
      </w:r>
      <w:proofErr w:type="spellEnd"/>
      <w:r w:rsidRPr="006B6651">
        <w:rPr>
          <w:w w:val="110"/>
          <w:sz w:val="20"/>
          <w:lang w:val="ru-RU"/>
        </w:rPr>
        <w:t xml:space="preserve"> </w:t>
      </w:r>
      <w:proofErr w:type="spellStart"/>
      <w:r w:rsidRPr="006B6651">
        <w:rPr>
          <w:w w:val="110"/>
          <w:sz w:val="20"/>
          <w:lang w:val="ru-RU"/>
        </w:rPr>
        <w:t>комбінованого</w:t>
      </w:r>
      <w:proofErr w:type="spellEnd"/>
      <w:r w:rsidRPr="006B6651">
        <w:rPr>
          <w:w w:val="110"/>
          <w:sz w:val="20"/>
          <w:lang w:val="ru-RU"/>
        </w:rPr>
        <w:t xml:space="preserve"> </w:t>
      </w:r>
      <w:r w:rsidRPr="00BE6D3F">
        <w:rPr>
          <w:w w:val="110"/>
          <w:sz w:val="20"/>
          <w:lang w:val="uk-UA"/>
        </w:rPr>
        <w:t>еталонного</w:t>
      </w:r>
      <w:r w:rsidRPr="006B6651">
        <w:rPr>
          <w:w w:val="110"/>
          <w:sz w:val="20"/>
          <w:lang w:val="ru-RU"/>
        </w:rPr>
        <w:t xml:space="preserve"> стандарту, </w:t>
      </w:r>
      <w:proofErr w:type="spellStart"/>
      <w:r w:rsidRPr="006B6651">
        <w:rPr>
          <w:w w:val="110"/>
          <w:sz w:val="20"/>
          <w:lang w:val="ru-RU"/>
        </w:rPr>
        <w:t>що</w:t>
      </w:r>
      <w:proofErr w:type="spellEnd"/>
      <w:r w:rsidRPr="006B6651">
        <w:rPr>
          <w:w w:val="110"/>
          <w:sz w:val="20"/>
          <w:lang w:val="ru-RU"/>
        </w:rPr>
        <w:t xml:space="preserve"> </w:t>
      </w:r>
      <w:proofErr w:type="spellStart"/>
      <w:r w:rsidRPr="006B6651">
        <w:rPr>
          <w:w w:val="110"/>
          <w:sz w:val="20"/>
          <w:lang w:val="ru-RU"/>
        </w:rPr>
        <w:t>включає</w:t>
      </w:r>
      <w:proofErr w:type="spellEnd"/>
      <w:r w:rsidRPr="006B6651">
        <w:rPr>
          <w:w w:val="110"/>
          <w:sz w:val="20"/>
          <w:lang w:val="ru-RU"/>
        </w:rPr>
        <w:t xml:space="preserve"> </w:t>
      </w:r>
      <w:proofErr w:type="spellStart"/>
      <w:r w:rsidRPr="006B6651">
        <w:rPr>
          <w:w w:val="110"/>
          <w:sz w:val="20"/>
          <w:lang w:val="ru-RU"/>
        </w:rPr>
        <w:t>фенотиповий</w:t>
      </w:r>
      <w:proofErr w:type="spellEnd"/>
      <w:r w:rsidRPr="006B6651">
        <w:rPr>
          <w:w w:val="110"/>
          <w:sz w:val="20"/>
          <w:lang w:val="ru-RU"/>
        </w:rPr>
        <w:t xml:space="preserve"> Т</w:t>
      </w:r>
      <w:r w:rsidRPr="00BE6D3F">
        <w:rPr>
          <w:w w:val="110"/>
          <w:sz w:val="20"/>
          <w:lang w:val="uk-UA"/>
        </w:rPr>
        <w:t>М</w:t>
      </w:r>
      <w:r w:rsidRPr="006B6651">
        <w:rPr>
          <w:w w:val="110"/>
          <w:sz w:val="20"/>
          <w:lang w:val="ru-RU"/>
        </w:rPr>
        <w:t xml:space="preserve">Ч та </w:t>
      </w:r>
      <w:r w:rsidRPr="00BE6D3F">
        <w:rPr>
          <w:w w:val="110"/>
          <w:sz w:val="20"/>
          <w:lang w:val="uk-UA"/>
        </w:rPr>
        <w:t>ПГС</w:t>
      </w:r>
      <w:r w:rsidRPr="006B6651">
        <w:rPr>
          <w:w w:val="110"/>
          <w:sz w:val="20"/>
          <w:lang w:val="ru-RU"/>
        </w:rPr>
        <w:t>.</w:t>
      </w:r>
    </w:p>
    <w:p w14:paraId="45D3D857" w14:textId="01359B0B" w:rsidR="00291E90" w:rsidRPr="006B6651" w:rsidRDefault="004A2937" w:rsidP="00291E90">
      <w:pPr>
        <w:pStyle w:val="a4"/>
        <w:tabs>
          <w:tab w:val="left" w:pos="2077"/>
          <w:tab w:val="left" w:pos="2078"/>
        </w:tabs>
        <w:spacing w:before="42"/>
        <w:ind w:left="2075" w:right="2" w:firstLine="0"/>
        <w:rPr>
          <w:sz w:val="20"/>
          <w:lang w:val="ru-RU"/>
        </w:rPr>
      </w:pPr>
      <w:r>
        <w:rPr>
          <w:noProof/>
        </w:rPr>
        <mc:AlternateContent>
          <mc:Choice Requires="wps">
            <w:drawing>
              <wp:anchor distT="0" distB="0" distL="114300" distR="114300" simplePos="0" relativeHeight="488229376" behindDoc="0" locked="0" layoutInCell="1" allowOverlap="1" wp14:anchorId="0845DCE4" wp14:editId="2A38EE6A">
                <wp:simplePos x="0" y="0"/>
                <wp:positionH relativeFrom="column">
                  <wp:posOffset>5975350</wp:posOffset>
                </wp:positionH>
                <wp:positionV relativeFrom="paragraph">
                  <wp:posOffset>278765</wp:posOffset>
                </wp:positionV>
                <wp:extent cx="463550" cy="254000"/>
                <wp:effectExtent l="0" t="0" r="0" b="0"/>
                <wp:wrapNone/>
                <wp:docPr id="1936745767" name="Поле 1941"/>
                <wp:cNvGraphicFramePr/>
                <a:graphic xmlns:a="http://schemas.openxmlformats.org/drawingml/2006/main">
                  <a:graphicData uri="http://schemas.microsoft.com/office/word/2010/wordprocessingShape">
                    <wps:wsp>
                      <wps:cNvSpPr txBox="1"/>
                      <wps:spPr>
                        <a:xfrm>
                          <a:off x="0" y="0"/>
                          <a:ext cx="463550" cy="254000"/>
                        </a:xfrm>
                        <a:prstGeom prst="rect">
                          <a:avLst/>
                        </a:prstGeom>
                        <a:solidFill>
                          <a:schemeClr val="lt1"/>
                        </a:solidFill>
                        <a:ln w="6350">
                          <a:noFill/>
                        </a:ln>
                      </wps:spPr>
                      <wps:txbx>
                        <w:txbxContent>
                          <w:p w14:paraId="2BBB7840" w14:textId="16A425D3" w:rsidR="004A2937" w:rsidRPr="00770751" w:rsidRDefault="004A2937" w:rsidP="004A2937">
                            <w:pPr>
                              <w:rPr>
                                <w:color w:val="388600"/>
                                <w:sz w:val="20"/>
                                <w:szCs w:val="20"/>
                                <w:lang w:val="uk-UA"/>
                              </w:rPr>
                            </w:pPr>
                            <w:r>
                              <w:rPr>
                                <w:color w:val="388600"/>
                                <w:sz w:val="20"/>
                                <w:szCs w:val="20"/>
                                <w:lang w:val="uk-UA"/>
                              </w:rPr>
                              <w:t>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5DCE4" id="_x0000_s1176" type="#_x0000_t202" style="position:absolute;left:0;text-align:left;margin-left:470.5pt;margin-top:21.95pt;width:36.5pt;height:20pt;z-index:4882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" fillcolor="white [3201]" stroked="f" strokeweight=".5pt">
                <v:textbox>
                  <w:txbxContent>
                    <w:p w14:paraId="2BBB7840" w14:textId="16A425D3" w:rsidR="004A2937" w:rsidRPr="00770751" w:rsidRDefault="004A2937" w:rsidP="004A2937">
                      <w:pPr>
                        <w:rPr>
                          <w:color w:val="388600"/>
                          <w:sz w:val="20"/>
                          <w:szCs w:val="20"/>
                          <w:lang w:val="uk-UA"/>
                        </w:rPr>
                      </w:pPr>
                      <w:r>
                        <w:rPr>
                          <w:color w:val="388600"/>
                          <w:sz w:val="20"/>
                          <w:szCs w:val="20"/>
                          <w:lang w:val="uk-UA"/>
                        </w:rPr>
                        <w:t>103</w:t>
                      </w:r>
                    </w:p>
                  </w:txbxContent>
                </v:textbox>
              </v:shape>
            </w:pict>
          </mc:Fallback>
        </mc:AlternateContent>
      </w:r>
    </w:p>
    <w:p w14:paraId="216EDCE3" w14:textId="77777777" w:rsidR="00291E90" w:rsidRPr="006B6651" w:rsidRDefault="00291E90" w:rsidP="004A2937">
      <w:pPr>
        <w:pStyle w:val="a4"/>
        <w:numPr>
          <w:ilvl w:val="0"/>
          <w:numId w:val="47"/>
        </w:numPr>
        <w:tabs>
          <w:tab w:val="left" w:pos="1985"/>
          <w:tab w:val="left" w:pos="2127"/>
        </w:tabs>
        <w:spacing w:before="211" w:line="276" w:lineRule="auto"/>
        <w:ind w:left="1134" w:right="2"/>
        <w:rPr>
          <w:w w:val="110"/>
          <w:sz w:val="20"/>
          <w:lang w:val="ru-RU"/>
        </w:rPr>
      </w:pPr>
      <w:proofErr w:type="spellStart"/>
      <w:r w:rsidRPr="006B6651">
        <w:rPr>
          <w:w w:val="110"/>
          <w:sz w:val="20"/>
          <w:lang w:val="ru-RU"/>
        </w:rPr>
        <w:lastRenderedPageBreak/>
        <w:t>Чи</w:t>
      </w:r>
      <w:proofErr w:type="spellEnd"/>
      <w:r w:rsidRPr="006B6651">
        <w:rPr>
          <w:w w:val="110"/>
          <w:sz w:val="20"/>
          <w:lang w:val="ru-RU"/>
        </w:rPr>
        <w:t xml:space="preserve"> </w:t>
      </w:r>
      <w:proofErr w:type="spellStart"/>
      <w:r w:rsidRPr="006B6651">
        <w:rPr>
          <w:w w:val="110"/>
          <w:sz w:val="20"/>
          <w:lang w:val="ru-RU"/>
        </w:rPr>
        <w:t>слід</w:t>
      </w:r>
      <w:proofErr w:type="spellEnd"/>
      <w:r w:rsidRPr="006B6651">
        <w:rPr>
          <w:w w:val="110"/>
          <w:sz w:val="20"/>
          <w:lang w:val="ru-RU"/>
        </w:rPr>
        <w:t xml:space="preserve"> </w:t>
      </w:r>
      <w:proofErr w:type="spellStart"/>
      <w:r w:rsidRPr="006B6651">
        <w:rPr>
          <w:w w:val="110"/>
          <w:sz w:val="20"/>
          <w:lang w:val="ru-RU"/>
        </w:rPr>
        <w:t>використовувати</w:t>
      </w:r>
      <w:proofErr w:type="spellEnd"/>
      <w:r w:rsidRPr="006B6651">
        <w:rPr>
          <w:w w:val="110"/>
          <w:sz w:val="20"/>
          <w:lang w:val="ru-RU"/>
        </w:rPr>
        <w:t xml:space="preserve"> таргетне </w:t>
      </w:r>
      <w:r w:rsidRPr="00BE6D3F">
        <w:rPr>
          <w:w w:val="110"/>
          <w:sz w:val="20"/>
          <w:lang w:val="uk-UA"/>
        </w:rPr>
        <w:t>СНП</w:t>
      </w:r>
      <w:r w:rsidRPr="006B6651">
        <w:rPr>
          <w:w w:val="110"/>
          <w:sz w:val="20"/>
          <w:lang w:val="ru-RU"/>
        </w:rPr>
        <w:t xml:space="preserve"> для </w:t>
      </w:r>
      <w:proofErr w:type="spellStart"/>
      <w:r w:rsidRPr="006B6651">
        <w:rPr>
          <w:w w:val="110"/>
          <w:sz w:val="20"/>
          <w:lang w:val="ru-RU"/>
        </w:rPr>
        <w:t>діагностики</w:t>
      </w:r>
      <w:proofErr w:type="spellEnd"/>
      <w:r w:rsidRPr="006B6651">
        <w:rPr>
          <w:w w:val="110"/>
          <w:sz w:val="20"/>
          <w:lang w:val="ru-RU"/>
        </w:rPr>
        <w:t xml:space="preserve"> </w:t>
      </w:r>
      <w:proofErr w:type="spellStart"/>
      <w:r w:rsidRPr="006B6651">
        <w:rPr>
          <w:w w:val="110"/>
          <w:sz w:val="20"/>
          <w:lang w:val="ru-RU"/>
        </w:rPr>
        <w:t>лікарської</w:t>
      </w:r>
      <w:proofErr w:type="spellEnd"/>
      <w:r w:rsidRPr="006B6651">
        <w:rPr>
          <w:w w:val="110"/>
          <w:sz w:val="20"/>
          <w:lang w:val="ru-RU"/>
        </w:rPr>
        <w:t xml:space="preserve"> </w:t>
      </w:r>
      <w:proofErr w:type="spellStart"/>
      <w:r w:rsidRPr="006B6651">
        <w:rPr>
          <w:w w:val="110"/>
          <w:sz w:val="20"/>
          <w:lang w:val="ru-RU"/>
        </w:rPr>
        <w:t>стійкості</w:t>
      </w:r>
      <w:proofErr w:type="spellEnd"/>
      <w:r w:rsidRPr="006B6651">
        <w:rPr>
          <w:w w:val="110"/>
          <w:sz w:val="20"/>
          <w:lang w:val="ru-RU"/>
        </w:rPr>
        <w:t xml:space="preserve"> в </w:t>
      </w:r>
      <w:proofErr w:type="spellStart"/>
      <w:r w:rsidRPr="006B6651">
        <w:rPr>
          <w:w w:val="110"/>
          <w:sz w:val="20"/>
          <w:lang w:val="ru-RU"/>
        </w:rPr>
        <w:t>осіб</w:t>
      </w:r>
      <w:proofErr w:type="spellEnd"/>
      <w:r w:rsidRPr="006B6651">
        <w:rPr>
          <w:w w:val="110"/>
          <w:sz w:val="20"/>
          <w:lang w:val="ru-RU"/>
        </w:rPr>
        <w:t xml:space="preserve"> </w:t>
      </w:r>
      <w:r w:rsidRPr="00BE6D3F">
        <w:rPr>
          <w:w w:val="110"/>
          <w:sz w:val="20"/>
          <w:lang w:val="uk-UA"/>
        </w:rPr>
        <w:t>і</w:t>
      </w:r>
      <w:r w:rsidRPr="006B6651">
        <w:rPr>
          <w:w w:val="110"/>
          <w:sz w:val="20"/>
          <w:lang w:val="ru-RU"/>
        </w:rPr>
        <w:t xml:space="preserve">з бактеріологічно </w:t>
      </w:r>
      <w:proofErr w:type="spellStart"/>
      <w:r w:rsidRPr="006B6651">
        <w:rPr>
          <w:w w:val="110"/>
          <w:sz w:val="20"/>
          <w:lang w:val="ru-RU"/>
        </w:rPr>
        <w:t>підтвердженим</w:t>
      </w:r>
      <w:proofErr w:type="spellEnd"/>
      <w:r w:rsidRPr="006B6651">
        <w:rPr>
          <w:w w:val="110"/>
          <w:sz w:val="20"/>
          <w:lang w:val="ru-RU"/>
        </w:rPr>
        <w:t xml:space="preserve"> </w:t>
      </w:r>
      <w:r w:rsidRPr="00BE6D3F">
        <w:rPr>
          <w:w w:val="110"/>
          <w:sz w:val="20"/>
          <w:lang w:val="uk-UA"/>
        </w:rPr>
        <w:t xml:space="preserve">легеневим </w:t>
      </w:r>
      <w:proofErr w:type="spellStart"/>
      <w:r w:rsidRPr="006B6651">
        <w:rPr>
          <w:w w:val="110"/>
          <w:sz w:val="20"/>
          <w:lang w:val="ru-RU"/>
        </w:rPr>
        <w:t>туберкульозом</w:t>
      </w:r>
      <w:proofErr w:type="spellEnd"/>
      <w:r w:rsidRPr="006B6651">
        <w:rPr>
          <w:w w:val="110"/>
          <w:sz w:val="20"/>
          <w:lang w:val="ru-RU"/>
        </w:rPr>
        <w:t xml:space="preserve"> </w:t>
      </w:r>
      <w:proofErr w:type="spellStart"/>
      <w:r w:rsidRPr="006B6651">
        <w:rPr>
          <w:w w:val="110"/>
          <w:sz w:val="20"/>
          <w:lang w:val="ru-RU"/>
        </w:rPr>
        <w:t>зі</w:t>
      </w:r>
      <w:proofErr w:type="spellEnd"/>
      <w:r w:rsidRPr="006B6651">
        <w:rPr>
          <w:w w:val="110"/>
          <w:sz w:val="20"/>
          <w:lang w:val="ru-RU"/>
        </w:rPr>
        <w:t xml:space="preserve"> </w:t>
      </w:r>
      <w:proofErr w:type="spellStart"/>
      <w:r w:rsidRPr="006B6651">
        <w:rPr>
          <w:w w:val="110"/>
          <w:sz w:val="20"/>
          <w:lang w:val="ru-RU"/>
        </w:rPr>
        <w:t>стійкістю</w:t>
      </w:r>
      <w:proofErr w:type="spellEnd"/>
      <w:r w:rsidRPr="006B6651">
        <w:rPr>
          <w:w w:val="110"/>
          <w:sz w:val="20"/>
          <w:lang w:val="ru-RU"/>
        </w:rPr>
        <w:t xml:space="preserve"> до рифампіцину?</w:t>
      </w:r>
    </w:p>
    <w:p w14:paraId="351CBCF8" w14:textId="77777777" w:rsidR="00291E90" w:rsidRPr="00BE6D3F" w:rsidRDefault="00291E90" w:rsidP="00291E90">
      <w:pPr>
        <w:pStyle w:val="a3"/>
        <w:spacing w:before="2"/>
        <w:ind w:left="1701" w:right="2" w:hanging="567"/>
        <w:jc w:val="both"/>
        <w:rPr>
          <w:sz w:val="20"/>
        </w:rPr>
      </w:pPr>
      <w:proofErr w:type="spellStart"/>
      <w:r w:rsidRPr="00BE6D3F">
        <w:rPr>
          <w:w w:val="110"/>
          <w:sz w:val="20"/>
        </w:rPr>
        <w:t>Це</w:t>
      </w:r>
      <w:proofErr w:type="spellEnd"/>
      <w:r w:rsidRPr="00BE6D3F">
        <w:rPr>
          <w:w w:val="110"/>
          <w:sz w:val="20"/>
        </w:rPr>
        <w:t xml:space="preserve"> </w:t>
      </w:r>
      <w:proofErr w:type="spellStart"/>
      <w:r w:rsidRPr="00BE6D3F">
        <w:rPr>
          <w:w w:val="110"/>
          <w:sz w:val="20"/>
        </w:rPr>
        <w:t>питання</w:t>
      </w:r>
      <w:proofErr w:type="spellEnd"/>
      <w:r w:rsidRPr="00BE6D3F">
        <w:rPr>
          <w:w w:val="110"/>
          <w:sz w:val="20"/>
        </w:rPr>
        <w:t xml:space="preserve"> </w:t>
      </w:r>
      <w:proofErr w:type="spellStart"/>
      <w:r w:rsidRPr="00BE6D3F">
        <w:rPr>
          <w:w w:val="110"/>
          <w:sz w:val="20"/>
        </w:rPr>
        <w:t>стосується</w:t>
      </w:r>
      <w:proofErr w:type="spellEnd"/>
      <w:r w:rsidRPr="00BE6D3F">
        <w:rPr>
          <w:w w:val="110"/>
          <w:sz w:val="20"/>
        </w:rPr>
        <w:t>:</w:t>
      </w:r>
    </w:p>
    <w:p w14:paraId="2A8A3B08" w14:textId="77777777" w:rsidR="00291E90" w:rsidRPr="006B6651" w:rsidRDefault="00291E90" w:rsidP="004A2937">
      <w:pPr>
        <w:pStyle w:val="a4"/>
        <w:numPr>
          <w:ilvl w:val="1"/>
          <w:numId w:val="47"/>
        </w:numPr>
        <w:tabs>
          <w:tab w:val="left" w:pos="2077"/>
          <w:tab w:val="left" w:pos="2078"/>
        </w:tabs>
        <w:spacing w:before="127"/>
        <w:ind w:left="2081" w:right="2" w:hanging="323"/>
        <w:rPr>
          <w:sz w:val="20"/>
          <w:lang w:val="ru-RU"/>
        </w:rPr>
      </w:pPr>
      <w:r w:rsidRPr="006B6651">
        <w:rPr>
          <w:w w:val="110"/>
          <w:sz w:val="20"/>
          <w:lang w:val="ru-RU"/>
        </w:rPr>
        <w:t xml:space="preserve">ізоніазиду, з </w:t>
      </w:r>
      <w:proofErr w:type="spellStart"/>
      <w:r w:rsidRPr="006B6651">
        <w:rPr>
          <w:w w:val="110"/>
          <w:sz w:val="20"/>
          <w:lang w:val="ru-RU"/>
        </w:rPr>
        <w:t>використанням</w:t>
      </w:r>
      <w:proofErr w:type="spellEnd"/>
      <w:r w:rsidRPr="006B6651">
        <w:rPr>
          <w:w w:val="110"/>
          <w:sz w:val="20"/>
          <w:lang w:val="ru-RU"/>
        </w:rPr>
        <w:t xml:space="preserve"> </w:t>
      </w:r>
      <w:proofErr w:type="spellStart"/>
      <w:r w:rsidRPr="006B6651">
        <w:rPr>
          <w:w w:val="110"/>
          <w:sz w:val="20"/>
          <w:lang w:val="ru-RU"/>
        </w:rPr>
        <w:t>фенотипового</w:t>
      </w:r>
      <w:proofErr w:type="spellEnd"/>
      <w:r w:rsidRPr="006B6651">
        <w:rPr>
          <w:w w:val="110"/>
          <w:sz w:val="20"/>
          <w:lang w:val="ru-RU"/>
        </w:rPr>
        <w:t xml:space="preserve"> Т</w:t>
      </w:r>
      <w:r w:rsidRPr="00BE6D3F">
        <w:rPr>
          <w:w w:val="110"/>
          <w:sz w:val="20"/>
          <w:lang w:val="uk-UA"/>
        </w:rPr>
        <w:t>М</w:t>
      </w:r>
      <w:r w:rsidRPr="006B6651">
        <w:rPr>
          <w:w w:val="110"/>
          <w:sz w:val="20"/>
          <w:lang w:val="ru-RU"/>
        </w:rPr>
        <w:t xml:space="preserve">Ч як </w:t>
      </w:r>
      <w:r w:rsidRPr="00BE6D3F">
        <w:rPr>
          <w:w w:val="110"/>
          <w:sz w:val="20"/>
          <w:lang w:val="uk-UA"/>
        </w:rPr>
        <w:t>еталонного</w:t>
      </w:r>
      <w:r w:rsidRPr="006B6651">
        <w:rPr>
          <w:w w:val="110"/>
          <w:sz w:val="20"/>
          <w:lang w:val="ru-RU"/>
        </w:rPr>
        <w:t xml:space="preserve"> стандарту;</w:t>
      </w:r>
    </w:p>
    <w:p w14:paraId="14075995" w14:textId="77777777" w:rsidR="00291E90" w:rsidRPr="006B6651" w:rsidRDefault="00291E90" w:rsidP="004A2937">
      <w:pPr>
        <w:pStyle w:val="a4"/>
        <w:numPr>
          <w:ilvl w:val="1"/>
          <w:numId w:val="47"/>
        </w:numPr>
        <w:tabs>
          <w:tab w:val="left" w:pos="2077"/>
          <w:tab w:val="left" w:pos="2078"/>
        </w:tabs>
        <w:spacing w:before="127"/>
        <w:ind w:left="2081" w:right="2" w:hanging="323"/>
        <w:rPr>
          <w:sz w:val="20"/>
          <w:lang w:val="ru-RU"/>
        </w:rPr>
      </w:pPr>
      <w:proofErr w:type="spellStart"/>
      <w:r w:rsidRPr="006B6651">
        <w:rPr>
          <w:sz w:val="20"/>
          <w:shd w:val="clear" w:color="auto" w:fill="FFFFFF"/>
          <w:lang w:val="ru-RU"/>
        </w:rPr>
        <w:t>левофлоксацину</w:t>
      </w:r>
      <w:proofErr w:type="spellEnd"/>
      <w:r w:rsidRPr="00BE6D3F">
        <w:rPr>
          <w:sz w:val="20"/>
          <w:shd w:val="clear" w:color="auto" w:fill="FFFFFF"/>
          <w:lang w:val="uk-UA"/>
        </w:rPr>
        <w:t>,</w:t>
      </w:r>
      <w:r w:rsidRPr="00BE6D3F">
        <w:rPr>
          <w:rFonts w:ascii="Arial" w:hAnsi="Arial" w:cs="Arial"/>
          <w:sz w:val="20"/>
          <w:szCs w:val="21"/>
          <w:shd w:val="clear" w:color="auto" w:fill="FFFFFF"/>
          <w:lang w:val="uk-UA"/>
        </w:rPr>
        <w:t xml:space="preserve"> </w:t>
      </w:r>
      <w:r w:rsidRPr="006B6651">
        <w:rPr>
          <w:w w:val="110"/>
          <w:sz w:val="20"/>
          <w:lang w:val="ru-RU"/>
        </w:rPr>
        <w:t xml:space="preserve">з </w:t>
      </w:r>
      <w:proofErr w:type="spellStart"/>
      <w:r w:rsidRPr="006B6651">
        <w:rPr>
          <w:w w:val="110"/>
          <w:sz w:val="20"/>
          <w:lang w:val="ru-RU"/>
        </w:rPr>
        <w:t>використанням</w:t>
      </w:r>
      <w:proofErr w:type="spellEnd"/>
      <w:r w:rsidRPr="006B6651">
        <w:rPr>
          <w:w w:val="110"/>
          <w:sz w:val="20"/>
          <w:lang w:val="ru-RU"/>
        </w:rPr>
        <w:t xml:space="preserve"> </w:t>
      </w:r>
      <w:proofErr w:type="spellStart"/>
      <w:r w:rsidRPr="006B6651">
        <w:rPr>
          <w:w w:val="110"/>
          <w:sz w:val="20"/>
          <w:lang w:val="ru-RU"/>
        </w:rPr>
        <w:t>фенотипового</w:t>
      </w:r>
      <w:proofErr w:type="spellEnd"/>
      <w:r w:rsidRPr="006B6651">
        <w:rPr>
          <w:w w:val="110"/>
          <w:sz w:val="20"/>
          <w:lang w:val="ru-RU"/>
        </w:rPr>
        <w:t xml:space="preserve"> Т</w:t>
      </w:r>
      <w:r w:rsidRPr="00BE6D3F">
        <w:rPr>
          <w:w w:val="110"/>
          <w:sz w:val="20"/>
          <w:lang w:val="uk-UA"/>
        </w:rPr>
        <w:t>М</w:t>
      </w:r>
      <w:r w:rsidRPr="006B6651">
        <w:rPr>
          <w:w w:val="110"/>
          <w:sz w:val="20"/>
          <w:lang w:val="ru-RU"/>
        </w:rPr>
        <w:t xml:space="preserve">Ч як </w:t>
      </w:r>
      <w:r w:rsidRPr="00BE6D3F">
        <w:rPr>
          <w:w w:val="110"/>
          <w:sz w:val="20"/>
          <w:lang w:val="uk-UA"/>
        </w:rPr>
        <w:t>еталонного</w:t>
      </w:r>
      <w:r w:rsidRPr="006B6651">
        <w:rPr>
          <w:w w:val="110"/>
          <w:sz w:val="20"/>
          <w:lang w:val="ru-RU"/>
        </w:rPr>
        <w:t xml:space="preserve"> стандарту;</w:t>
      </w:r>
    </w:p>
    <w:p w14:paraId="79045B07" w14:textId="77777777" w:rsidR="00291E90" w:rsidRPr="006B6651" w:rsidRDefault="00291E90" w:rsidP="004A2937">
      <w:pPr>
        <w:pStyle w:val="a4"/>
        <w:numPr>
          <w:ilvl w:val="1"/>
          <w:numId w:val="47"/>
        </w:numPr>
        <w:tabs>
          <w:tab w:val="left" w:pos="2077"/>
          <w:tab w:val="left" w:pos="2078"/>
        </w:tabs>
        <w:spacing w:before="86"/>
        <w:ind w:left="2081" w:right="2" w:hanging="323"/>
        <w:rPr>
          <w:sz w:val="20"/>
          <w:lang w:val="ru-RU"/>
        </w:rPr>
      </w:pPr>
      <w:r w:rsidRPr="006B6651">
        <w:rPr>
          <w:w w:val="110"/>
          <w:sz w:val="20"/>
          <w:lang w:val="ru-RU"/>
        </w:rPr>
        <w:t>моксифлоксацину</w:t>
      </w:r>
      <w:r w:rsidRPr="00BE6D3F">
        <w:rPr>
          <w:w w:val="110"/>
          <w:sz w:val="20"/>
          <w:lang w:val="uk-UA"/>
        </w:rPr>
        <w:t xml:space="preserve"> </w:t>
      </w:r>
      <w:r w:rsidRPr="006B6651">
        <w:rPr>
          <w:w w:val="110"/>
          <w:sz w:val="20"/>
          <w:lang w:val="ru-RU"/>
        </w:rPr>
        <w:t xml:space="preserve">з </w:t>
      </w:r>
      <w:proofErr w:type="spellStart"/>
      <w:r w:rsidRPr="006B6651">
        <w:rPr>
          <w:w w:val="110"/>
          <w:sz w:val="20"/>
          <w:lang w:val="ru-RU"/>
        </w:rPr>
        <w:t>використанням</w:t>
      </w:r>
      <w:proofErr w:type="spellEnd"/>
      <w:r w:rsidRPr="006B6651">
        <w:rPr>
          <w:w w:val="110"/>
          <w:sz w:val="20"/>
          <w:lang w:val="ru-RU"/>
        </w:rPr>
        <w:t xml:space="preserve"> </w:t>
      </w:r>
      <w:proofErr w:type="spellStart"/>
      <w:r w:rsidRPr="006B6651">
        <w:rPr>
          <w:w w:val="110"/>
          <w:sz w:val="20"/>
          <w:lang w:val="ru-RU"/>
        </w:rPr>
        <w:t>фенотипового</w:t>
      </w:r>
      <w:proofErr w:type="spellEnd"/>
      <w:r w:rsidRPr="006B6651">
        <w:rPr>
          <w:w w:val="110"/>
          <w:sz w:val="20"/>
          <w:lang w:val="ru-RU"/>
        </w:rPr>
        <w:t xml:space="preserve"> Т</w:t>
      </w:r>
      <w:r w:rsidRPr="00BE6D3F">
        <w:rPr>
          <w:w w:val="110"/>
          <w:sz w:val="20"/>
          <w:lang w:val="uk-UA"/>
        </w:rPr>
        <w:t>М</w:t>
      </w:r>
      <w:r w:rsidRPr="006B6651">
        <w:rPr>
          <w:w w:val="110"/>
          <w:sz w:val="20"/>
          <w:lang w:val="ru-RU"/>
        </w:rPr>
        <w:t xml:space="preserve">Ч як </w:t>
      </w:r>
      <w:r w:rsidRPr="00BE6D3F">
        <w:rPr>
          <w:w w:val="110"/>
          <w:sz w:val="20"/>
          <w:lang w:val="uk-UA"/>
        </w:rPr>
        <w:t>еталонного</w:t>
      </w:r>
      <w:r w:rsidRPr="006B6651">
        <w:rPr>
          <w:w w:val="110"/>
          <w:sz w:val="20"/>
          <w:lang w:val="ru-RU"/>
        </w:rPr>
        <w:t xml:space="preserve"> стандарту;</w:t>
      </w:r>
    </w:p>
    <w:p w14:paraId="37251AB2" w14:textId="77777777" w:rsidR="00291E90" w:rsidRPr="006B6651" w:rsidRDefault="00291E90" w:rsidP="004A2937">
      <w:pPr>
        <w:pStyle w:val="a4"/>
        <w:numPr>
          <w:ilvl w:val="1"/>
          <w:numId w:val="47"/>
        </w:numPr>
        <w:tabs>
          <w:tab w:val="left" w:pos="2077"/>
          <w:tab w:val="left" w:pos="2078"/>
        </w:tabs>
        <w:spacing w:before="41"/>
        <w:ind w:left="2081" w:right="2" w:hanging="323"/>
        <w:rPr>
          <w:sz w:val="20"/>
          <w:lang w:val="ru-RU"/>
        </w:rPr>
      </w:pPr>
      <w:r w:rsidRPr="006B6651">
        <w:rPr>
          <w:w w:val="110"/>
          <w:sz w:val="20"/>
          <w:lang w:val="ru-RU"/>
        </w:rPr>
        <w:t xml:space="preserve">піразинаміду, з </w:t>
      </w:r>
      <w:proofErr w:type="spellStart"/>
      <w:r w:rsidRPr="006B6651">
        <w:rPr>
          <w:w w:val="110"/>
          <w:sz w:val="20"/>
          <w:lang w:val="ru-RU"/>
        </w:rPr>
        <w:t>використанням</w:t>
      </w:r>
      <w:proofErr w:type="spellEnd"/>
      <w:r w:rsidRPr="006B6651">
        <w:rPr>
          <w:w w:val="110"/>
          <w:sz w:val="20"/>
          <w:lang w:val="ru-RU"/>
        </w:rPr>
        <w:t xml:space="preserve"> </w:t>
      </w:r>
      <w:proofErr w:type="spellStart"/>
      <w:r w:rsidRPr="006B6651">
        <w:rPr>
          <w:w w:val="110"/>
          <w:sz w:val="20"/>
          <w:lang w:val="ru-RU"/>
        </w:rPr>
        <w:t>комбінованого</w:t>
      </w:r>
      <w:proofErr w:type="spellEnd"/>
      <w:r w:rsidRPr="006B6651">
        <w:rPr>
          <w:w w:val="110"/>
          <w:sz w:val="20"/>
          <w:lang w:val="ru-RU"/>
        </w:rPr>
        <w:t xml:space="preserve"> </w:t>
      </w:r>
      <w:r w:rsidRPr="00BE6D3F">
        <w:rPr>
          <w:w w:val="110"/>
          <w:sz w:val="20"/>
          <w:lang w:val="uk-UA"/>
        </w:rPr>
        <w:t>еталонного</w:t>
      </w:r>
      <w:r w:rsidRPr="006B6651">
        <w:rPr>
          <w:w w:val="110"/>
          <w:sz w:val="20"/>
          <w:lang w:val="ru-RU"/>
        </w:rPr>
        <w:t xml:space="preserve"> стандарту, </w:t>
      </w:r>
      <w:proofErr w:type="spellStart"/>
      <w:r w:rsidRPr="006B6651">
        <w:rPr>
          <w:w w:val="110"/>
          <w:sz w:val="20"/>
          <w:lang w:val="ru-RU"/>
        </w:rPr>
        <w:t>що</w:t>
      </w:r>
      <w:proofErr w:type="spellEnd"/>
      <w:r w:rsidRPr="006B6651">
        <w:rPr>
          <w:w w:val="110"/>
          <w:sz w:val="20"/>
          <w:lang w:val="ru-RU"/>
        </w:rPr>
        <w:t xml:space="preserve"> </w:t>
      </w:r>
      <w:proofErr w:type="spellStart"/>
      <w:r w:rsidRPr="006B6651">
        <w:rPr>
          <w:w w:val="110"/>
          <w:sz w:val="20"/>
          <w:lang w:val="ru-RU"/>
        </w:rPr>
        <w:t>включає</w:t>
      </w:r>
      <w:proofErr w:type="spellEnd"/>
      <w:r w:rsidRPr="006B6651">
        <w:rPr>
          <w:w w:val="110"/>
          <w:sz w:val="20"/>
          <w:lang w:val="ru-RU"/>
        </w:rPr>
        <w:t xml:space="preserve"> </w:t>
      </w:r>
      <w:proofErr w:type="spellStart"/>
      <w:r w:rsidRPr="006B6651">
        <w:rPr>
          <w:w w:val="110"/>
          <w:sz w:val="20"/>
          <w:lang w:val="ru-RU"/>
        </w:rPr>
        <w:t>фенотиповий</w:t>
      </w:r>
      <w:proofErr w:type="spellEnd"/>
      <w:r w:rsidRPr="006B6651">
        <w:rPr>
          <w:w w:val="110"/>
          <w:sz w:val="20"/>
          <w:lang w:val="ru-RU"/>
        </w:rPr>
        <w:t xml:space="preserve"> Т</w:t>
      </w:r>
      <w:r w:rsidRPr="00BE6D3F">
        <w:rPr>
          <w:w w:val="110"/>
          <w:sz w:val="20"/>
          <w:lang w:val="uk-UA"/>
        </w:rPr>
        <w:t>М</w:t>
      </w:r>
      <w:r w:rsidRPr="006B6651">
        <w:rPr>
          <w:w w:val="110"/>
          <w:sz w:val="20"/>
          <w:lang w:val="ru-RU"/>
        </w:rPr>
        <w:t xml:space="preserve">Ч та </w:t>
      </w:r>
      <w:r w:rsidRPr="00BE6D3F">
        <w:rPr>
          <w:w w:val="110"/>
          <w:sz w:val="20"/>
          <w:lang w:val="uk-UA"/>
        </w:rPr>
        <w:t>ПГС</w:t>
      </w:r>
      <w:r w:rsidRPr="006B6651">
        <w:rPr>
          <w:w w:val="110"/>
          <w:sz w:val="20"/>
          <w:lang w:val="ru-RU"/>
        </w:rPr>
        <w:t>;</w:t>
      </w:r>
    </w:p>
    <w:p w14:paraId="257E01F2" w14:textId="77777777" w:rsidR="00291E90" w:rsidRPr="006B6651" w:rsidRDefault="00291E90" w:rsidP="004A2937">
      <w:pPr>
        <w:pStyle w:val="a4"/>
        <w:numPr>
          <w:ilvl w:val="1"/>
          <w:numId w:val="47"/>
        </w:numPr>
        <w:tabs>
          <w:tab w:val="left" w:pos="2077"/>
          <w:tab w:val="left" w:pos="2078"/>
        </w:tabs>
        <w:spacing w:before="42"/>
        <w:ind w:left="2081" w:right="2" w:hanging="323"/>
        <w:rPr>
          <w:sz w:val="20"/>
          <w:lang w:val="ru-RU"/>
        </w:rPr>
      </w:pPr>
      <w:r w:rsidRPr="006B6651">
        <w:rPr>
          <w:w w:val="110"/>
          <w:sz w:val="20"/>
          <w:lang w:val="ru-RU"/>
        </w:rPr>
        <w:t xml:space="preserve">бедаквіліну, з </w:t>
      </w:r>
      <w:proofErr w:type="spellStart"/>
      <w:r w:rsidRPr="006B6651">
        <w:rPr>
          <w:w w:val="110"/>
          <w:sz w:val="20"/>
          <w:lang w:val="ru-RU"/>
        </w:rPr>
        <w:t>використанням</w:t>
      </w:r>
      <w:proofErr w:type="spellEnd"/>
      <w:r w:rsidRPr="006B6651">
        <w:rPr>
          <w:w w:val="110"/>
          <w:sz w:val="20"/>
          <w:lang w:val="ru-RU"/>
        </w:rPr>
        <w:t xml:space="preserve"> </w:t>
      </w:r>
      <w:proofErr w:type="spellStart"/>
      <w:r w:rsidRPr="006B6651">
        <w:rPr>
          <w:w w:val="110"/>
          <w:sz w:val="20"/>
          <w:lang w:val="ru-RU"/>
        </w:rPr>
        <w:t>фенотипового</w:t>
      </w:r>
      <w:proofErr w:type="spellEnd"/>
      <w:r w:rsidRPr="006B6651">
        <w:rPr>
          <w:w w:val="110"/>
          <w:sz w:val="20"/>
          <w:lang w:val="ru-RU"/>
        </w:rPr>
        <w:t xml:space="preserve"> Т</w:t>
      </w:r>
      <w:r w:rsidRPr="00BE6D3F">
        <w:rPr>
          <w:w w:val="110"/>
          <w:sz w:val="20"/>
          <w:lang w:val="uk-UA"/>
        </w:rPr>
        <w:t>М</w:t>
      </w:r>
      <w:r w:rsidRPr="006B6651">
        <w:rPr>
          <w:w w:val="110"/>
          <w:sz w:val="20"/>
          <w:lang w:val="ru-RU"/>
        </w:rPr>
        <w:t xml:space="preserve">Ч як </w:t>
      </w:r>
      <w:r w:rsidRPr="00BE6D3F">
        <w:rPr>
          <w:w w:val="110"/>
          <w:sz w:val="20"/>
          <w:lang w:val="uk-UA"/>
        </w:rPr>
        <w:t>еталонного</w:t>
      </w:r>
      <w:r w:rsidRPr="006B6651">
        <w:rPr>
          <w:w w:val="110"/>
          <w:sz w:val="20"/>
          <w:lang w:val="ru-RU"/>
        </w:rPr>
        <w:t xml:space="preserve"> стандарту;</w:t>
      </w:r>
    </w:p>
    <w:p w14:paraId="6E1D6E3D" w14:textId="77777777" w:rsidR="00291E90" w:rsidRPr="006B6651" w:rsidRDefault="00291E90" w:rsidP="004A2937">
      <w:pPr>
        <w:pStyle w:val="a4"/>
        <w:numPr>
          <w:ilvl w:val="1"/>
          <w:numId w:val="47"/>
        </w:numPr>
        <w:tabs>
          <w:tab w:val="left" w:pos="2077"/>
          <w:tab w:val="left" w:pos="2078"/>
        </w:tabs>
        <w:spacing w:before="42"/>
        <w:ind w:left="2081" w:right="2" w:hanging="323"/>
        <w:rPr>
          <w:sz w:val="20"/>
          <w:lang w:val="ru-RU"/>
        </w:rPr>
      </w:pPr>
      <w:r w:rsidRPr="006B6651">
        <w:rPr>
          <w:w w:val="110"/>
          <w:sz w:val="20"/>
          <w:lang w:val="ru-RU"/>
        </w:rPr>
        <w:t xml:space="preserve">лінезоліду, з </w:t>
      </w:r>
      <w:proofErr w:type="spellStart"/>
      <w:r w:rsidRPr="006B6651">
        <w:rPr>
          <w:w w:val="110"/>
          <w:sz w:val="20"/>
          <w:lang w:val="ru-RU"/>
        </w:rPr>
        <w:t>використанням</w:t>
      </w:r>
      <w:proofErr w:type="spellEnd"/>
      <w:r w:rsidRPr="006B6651">
        <w:rPr>
          <w:w w:val="110"/>
          <w:sz w:val="20"/>
          <w:lang w:val="ru-RU"/>
        </w:rPr>
        <w:t xml:space="preserve"> </w:t>
      </w:r>
      <w:proofErr w:type="spellStart"/>
      <w:r w:rsidRPr="006B6651">
        <w:rPr>
          <w:w w:val="110"/>
          <w:sz w:val="20"/>
          <w:lang w:val="ru-RU"/>
        </w:rPr>
        <w:t>фенотипового</w:t>
      </w:r>
      <w:proofErr w:type="spellEnd"/>
      <w:r w:rsidRPr="006B6651">
        <w:rPr>
          <w:w w:val="110"/>
          <w:sz w:val="20"/>
          <w:lang w:val="ru-RU"/>
        </w:rPr>
        <w:t xml:space="preserve"> Т</w:t>
      </w:r>
      <w:r w:rsidRPr="00BE6D3F">
        <w:rPr>
          <w:w w:val="110"/>
          <w:sz w:val="20"/>
          <w:lang w:val="uk-UA"/>
        </w:rPr>
        <w:t>М</w:t>
      </w:r>
      <w:r w:rsidRPr="006B6651">
        <w:rPr>
          <w:w w:val="110"/>
          <w:sz w:val="20"/>
          <w:lang w:val="ru-RU"/>
        </w:rPr>
        <w:t xml:space="preserve">Ч як </w:t>
      </w:r>
      <w:r w:rsidRPr="00BE6D3F">
        <w:rPr>
          <w:w w:val="110"/>
          <w:sz w:val="20"/>
          <w:lang w:val="uk-UA"/>
        </w:rPr>
        <w:t>еталонного</w:t>
      </w:r>
      <w:r w:rsidRPr="006B6651">
        <w:rPr>
          <w:w w:val="110"/>
          <w:sz w:val="20"/>
          <w:lang w:val="ru-RU"/>
        </w:rPr>
        <w:t xml:space="preserve"> стандарту;</w:t>
      </w:r>
    </w:p>
    <w:p w14:paraId="7A1B0561" w14:textId="77777777" w:rsidR="00291E90" w:rsidRPr="006B6651" w:rsidRDefault="00291E90" w:rsidP="004A2937">
      <w:pPr>
        <w:pStyle w:val="a4"/>
        <w:numPr>
          <w:ilvl w:val="1"/>
          <w:numId w:val="47"/>
        </w:numPr>
        <w:tabs>
          <w:tab w:val="left" w:pos="2077"/>
          <w:tab w:val="left" w:pos="2078"/>
        </w:tabs>
        <w:spacing w:before="41"/>
        <w:ind w:left="2081" w:right="2" w:hanging="323"/>
        <w:rPr>
          <w:sz w:val="20"/>
          <w:lang w:val="ru-RU"/>
        </w:rPr>
      </w:pPr>
      <w:r w:rsidRPr="006B6651">
        <w:rPr>
          <w:w w:val="110"/>
          <w:sz w:val="20"/>
          <w:lang w:val="ru-RU"/>
        </w:rPr>
        <w:t xml:space="preserve">клофазиміну, з </w:t>
      </w:r>
      <w:proofErr w:type="spellStart"/>
      <w:r w:rsidRPr="006B6651">
        <w:rPr>
          <w:w w:val="110"/>
          <w:sz w:val="20"/>
          <w:lang w:val="ru-RU"/>
        </w:rPr>
        <w:t>використанням</w:t>
      </w:r>
      <w:proofErr w:type="spellEnd"/>
      <w:r w:rsidRPr="006B6651">
        <w:rPr>
          <w:w w:val="110"/>
          <w:sz w:val="20"/>
          <w:lang w:val="ru-RU"/>
        </w:rPr>
        <w:t xml:space="preserve"> </w:t>
      </w:r>
      <w:proofErr w:type="spellStart"/>
      <w:r w:rsidRPr="006B6651">
        <w:rPr>
          <w:w w:val="110"/>
          <w:sz w:val="20"/>
          <w:lang w:val="ru-RU"/>
        </w:rPr>
        <w:t>фенотипового</w:t>
      </w:r>
      <w:proofErr w:type="spellEnd"/>
      <w:r w:rsidRPr="006B6651">
        <w:rPr>
          <w:w w:val="110"/>
          <w:sz w:val="20"/>
          <w:lang w:val="ru-RU"/>
        </w:rPr>
        <w:t xml:space="preserve"> Т</w:t>
      </w:r>
      <w:r w:rsidRPr="00BE6D3F">
        <w:rPr>
          <w:w w:val="110"/>
          <w:sz w:val="20"/>
          <w:lang w:val="uk-UA"/>
        </w:rPr>
        <w:t>М</w:t>
      </w:r>
      <w:r w:rsidRPr="006B6651">
        <w:rPr>
          <w:w w:val="110"/>
          <w:sz w:val="20"/>
          <w:lang w:val="ru-RU"/>
        </w:rPr>
        <w:t xml:space="preserve">Ч як </w:t>
      </w:r>
      <w:r w:rsidRPr="00BE6D3F">
        <w:rPr>
          <w:w w:val="110"/>
          <w:sz w:val="20"/>
          <w:lang w:val="uk-UA"/>
        </w:rPr>
        <w:t>еталонного</w:t>
      </w:r>
      <w:r w:rsidRPr="006B6651">
        <w:rPr>
          <w:w w:val="110"/>
          <w:sz w:val="20"/>
          <w:lang w:val="ru-RU"/>
        </w:rPr>
        <w:t xml:space="preserve"> стандарту;</w:t>
      </w:r>
    </w:p>
    <w:p w14:paraId="79AA57BD" w14:textId="77777777" w:rsidR="00291E90" w:rsidRPr="006B6651" w:rsidRDefault="00291E90" w:rsidP="004A2937">
      <w:pPr>
        <w:pStyle w:val="a4"/>
        <w:numPr>
          <w:ilvl w:val="1"/>
          <w:numId w:val="47"/>
        </w:numPr>
        <w:tabs>
          <w:tab w:val="left" w:pos="2077"/>
          <w:tab w:val="left" w:pos="2078"/>
        </w:tabs>
        <w:spacing w:before="41"/>
        <w:ind w:left="2081" w:right="2" w:hanging="323"/>
        <w:rPr>
          <w:sz w:val="20"/>
          <w:lang w:val="ru-RU"/>
        </w:rPr>
      </w:pPr>
      <w:r w:rsidRPr="006B6651">
        <w:rPr>
          <w:w w:val="110"/>
          <w:sz w:val="20"/>
          <w:lang w:val="ru-RU"/>
        </w:rPr>
        <w:t xml:space="preserve">амікацину, з </w:t>
      </w:r>
      <w:proofErr w:type="spellStart"/>
      <w:r w:rsidRPr="006B6651">
        <w:rPr>
          <w:w w:val="110"/>
          <w:sz w:val="20"/>
          <w:lang w:val="ru-RU"/>
        </w:rPr>
        <w:t>використанням</w:t>
      </w:r>
      <w:proofErr w:type="spellEnd"/>
      <w:r w:rsidRPr="006B6651">
        <w:rPr>
          <w:w w:val="110"/>
          <w:sz w:val="20"/>
          <w:lang w:val="ru-RU"/>
        </w:rPr>
        <w:t xml:space="preserve"> </w:t>
      </w:r>
      <w:proofErr w:type="spellStart"/>
      <w:r w:rsidRPr="006B6651">
        <w:rPr>
          <w:w w:val="110"/>
          <w:sz w:val="20"/>
          <w:lang w:val="ru-RU"/>
        </w:rPr>
        <w:t>фенотипового</w:t>
      </w:r>
      <w:proofErr w:type="spellEnd"/>
      <w:r w:rsidRPr="006B6651">
        <w:rPr>
          <w:w w:val="110"/>
          <w:sz w:val="20"/>
          <w:lang w:val="ru-RU"/>
        </w:rPr>
        <w:t xml:space="preserve"> Т</w:t>
      </w:r>
      <w:r w:rsidRPr="00BE6D3F">
        <w:rPr>
          <w:w w:val="110"/>
          <w:sz w:val="20"/>
          <w:lang w:val="uk-UA"/>
        </w:rPr>
        <w:t>М</w:t>
      </w:r>
      <w:r w:rsidRPr="006B6651">
        <w:rPr>
          <w:w w:val="110"/>
          <w:sz w:val="20"/>
          <w:lang w:val="ru-RU"/>
        </w:rPr>
        <w:t xml:space="preserve">Ч як </w:t>
      </w:r>
      <w:r w:rsidRPr="00BE6D3F">
        <w:rPr>
          <w:w w:val="110"/>
          <w:sz w:val="20"/>
          <w:lang w:val="uk-UA"/>
        </w:rPr>
        <w:t>еталонного</w:t>
      </w:r>
      <w:r w:rsidRPr="006B6651">
        <w:rPr>
          <w:w w:val="110"/>
          <w:sz w:val="20"/>
          <w:lang w:val="ru-RU"/>
        </w:rPr>
        <w:t xml:space="preserve"> стандарту;</w:t>
      </w:r>
    </w:p>
    <w:p w14:paraId="16F4F775" w14:textId="77777777" w:rsidR="00291E90" w:rsidRPr="006B6651" w:rsidRDefault="00291E90" w:rsidP="004A2937">
      <w:pPr>
        <w:pStyle w:val="a4"/>
        <w:numPr>
          <w:ilvl w:val="1"/>
          <w:numId w:val="47"/>
        </w:numPr>
        <w:tabs>
          <w:tab w:val="left" w:pos="2077"/>
          <w:tab w:val="left" w:pos="2078"/>
        </w:tabs>
        <w:spacing w:before="41"/>
        <w:ind w:left="2081" w:right="2" w:hanging="323"/>
        <w:rPr>
          <w:sz w:val="20"/>
          <w:lang w:val="ru-RU"/>
        </w:rPr>
      </w:pPr>
      <w:r w:rsidRPr="006B6651">
        <w:rPr>
          <w:w w:val="110"/>
          <w:sz w:val="20"/>
          <w:lang w:val="ru-RU"/>
        </w:rPr>
        <w:t xml:space="preserve">етамбутолу, з </w:t>
      </w:r>
      <w:proofErr w:type="spellStart"/>
      <w:r w:rsidRPr="006B6651">
        <w:rPr>
          <w:w w:val="110"/>
          <w:sz w:val="20"/>
          <w:lang w:val="ru-RU"/>
        </w:rPr>
        <w:t>використанням</w:t>
      </w:r>
      <w:proofErr w:type="spellEnd"/>
      <w:r w:rsidRPr="006B6651">
        <w:rPr>
          <w:w w:val="110"/>
          <w:sz w:val="20"/>
          <w:lang w:val="ru-RU"/>
        </w:rPr>
        <w:t xml:space="preserve"> </w:t>
      </w:r>
      <w:proofErr w:type="spellStart"/>
      <w:r w:rsidRPr="006B6651">
        <w:rPr>
          <w:w w:val="110"/>
          <w:sz w:val="20"/>
          <w:lang w:val="ru-RU"/>
        </w:rPr>
        <w:t>комбінованого</w:t>
      </w:r>
      <w:proofErr w:type="spellEnd"/>
      <w:r w:rsidRPr="006B6651">
        <w:rPr>
          <w:w w:val="110"/>
          <w:sz w:val="20"/>
          <w:lang w:val="ru-RU"/>
        </w:rPr>
        <w:t xml:space="preserve"> </w:t>
      </w:r>
      <w:r w:rsidRPr="00BE6D3F">
        <w:rPr>
          <w:w w:val="110"/>
          <w:sz w:val="20"/>
          <w:lang w:val="uk-UA"/>
        </w:rPr>
        <w:t>еталонного</w:t>
      </w:r>
      <w:r w:rsidRPr="006B6651">
        <w:rPr>
          <w:w w:val="110"/>
          <w:sz w:val="20"/>
          <w:lang w:val="ru-RU"/>
        </w:rPr>
        <w:t xml:space="preserve"> стандарту, </w:t>
      </w:r>
      <w:proofErr w:type="spellStart"/>
      <w:r w:rsidRPr="006B6651">
        <w:rPr>
          <w:w w:val="110"/>
          <w:sz w:val="20"/>
          <w:lang w:val="ru-RU"/>
        </w:rPr>
        <w:t>що</w:t>
      </w:r>
      <w:proofErr w:type="spellEnd"/>
      <w:r w:rsidRPr="006B6651">
        <w:rPr>
          <w:w w:val="110"/>
          <w:sz w:val="20"/>
          <w:lang w:val="ru-RU"/>
        </w:rPr>
        <w:t xml:space="preserve"> </w:t>
      </w:r>
      <w:proofErr w:type="spellStart"/>
      <w:r w:rsidRPr="006B6651">
        <w:rPr>
          <w:w w:val="110"/>
          <w:sz w:val="20"/>
          <w:lang w:val="ru-RU"/>
        </w:rPr>
        <w:t>включає</w:t>
      </w:r>
      <w:proofErr w:type="spellEnd"/>
      <w:r w:rsidRPr="006B6651">
        <w:rPr>
          <w:w w:val="110"/>
          <w:sz w:val="20"/>
          <w:lang w:val="ru-RU"/>
        </w:rPr>
        <w:t xml:space="preserve"> </w:t>
      </w:r>
      <w:proofErr w:type="spellStart"/>
      <w:r w:rsidRPr="006B6651">
        <w:rPr>
          <w:w w:val="110"/>
          <w:sz w:val="20"/>
          <w:lang w:val="ru-RU"/>
        </w:rPr>
        <w:t>фенотиповий</w:t>
      </w:r>
      <w:proofErr w:type="spellEnd"/>
      <w:r w:rsidRPr="006B6651">
        <w:rPr>
          <w:w w:val="110"/>
          <w:sz w:val="20"/>
          <w:lang w:val="ru-RU"/>
        </w:rPr>
        <w:t xml:space="preserve"> </w:t>
      </w:r>
      <w:r w:rsidRPr="00BE6D3F">
        <w:rPr>
          <w:w w:val="110"/>
          <w:sz w:val="20"/>
          <w:lang w:val="uk-UA"/>
        </w:rPr>
        <w:t>ТМЧ</w:t>
      </w:r>
      <w:r w:rsidRPr="006B6651">
        <w:rPr>
          <w:w w:val="110"/>
          <w:sz w:val="20"/>
          <w:lang w:val="ru-RU"/>
        </w:rPr>
        <w:t xml:space="preserve"> та </w:t>
      </w:r>
      <w:r w:rsidRPr="00BE6D3F">
        <w:rPr>
          <w:w w:val="110"/>
          <w:sz w:val="20"/>
          <w:lang w:val="uk-UA"/>
        </w:rPr>
        <w:t>ПГС</w:t>
      </w:r>
      <w:r w:rsidRPr="006B6651">
        <w:rPr>
          <w:w w:val="110"/>
          <w:sz w:val="20"/>
          <w:lang w:val="ru-RU"/>
        </w:rPr>
        <w:t>; та</w:t>
      </w:r>
    </w:p>
    <w:p w14:paraId="4EC5F87A" w14:textId="77777777" w:rsidR="00291E90" w:rsidRPr="006B6651" w:rsidRDefault="00291E90" w:rsidP="004A2937">
      <w:pPr>
        <w:pStyle w:val="a4"/>
        <w:numPr>
          <w:ilvl w:val="1"/>
          <w:numId w:val="47"/>
        </w:numPr>
        <w:tabs>
          <w:tab w:val="left" w:pos="2077"/>
          <w:tab w:val="left" w:pos="2078"/>
        </w:tabs>
        <w:spacing w:before="42"/>
        <w:ind w:left="2081" w:right="2" w:hanging="323"/>
        <w:rPr>
          <w:sz w:val="20"/>
          <w:lang w:val="ru-RU"/>
        </w:rPr>
      </w:pPr>
      <w:proofErr w:type="spellStart"/>
      <w:r w:rsidRPr="006B6651">
        <w:rPr>
          <w:w w:val="110"/>
          <w:sz w:val="20"/>
          <w:lang w:val="ru-RU"/>
        </w:rPr>
        <w:t>стрептоміцину</w:t>
      </w:r>
      <w:proofErr w:type="spellEnd"/>
      <w:r w:rsidRPr="006B6651">
        <w:rPr>
          <w:w w:val="110"/>
          <w:sz w:val="20"/>
          <w:lang w:val="ru-RU"/>
        </w:rPr>
        <w:t>,</w:t>
      </w:r>
      <w:r w:rsidRPr="00BE6D3F">
        <w:rPr>
          <w:w w:val="110"/>
          <w:sz w:val="20"/>
          <w:lang w:val="uk-UA"/>
        </w:rPr>
        <w:t xml:space="preserve"> </w:t>
      </w:r>
      <w:r w:rsidRPr="006B6651">
        <w:rPr>
          <w:w w:val="110"/>
          <w:sz w:val="20"/>
          <w:lang w:val="ru-RU"/>
        </w:rPr>
        <w:t xml:space="preserve">з </w:t>
      </w:r>
      <w:proofErr w:type="spellStart"/>
      <w:r w:rsidRPr="006B6651">
        <w:rPr>
          <w:w w:val="110"/>
          <w:sz w:val="20"/>
          <w:lang w:val="ru-RU"/>
        </w:rPr>
        <w:t>використанням</w:t>
      </w:r>
      <w:proofErr w:type="spellEnd"/>
      <w:r w:rsidRPr="006B6651">
        <w:rPr>
          <w:w w:val="110"/>
          <w:sz w:val="20"/>
          <w:lang w:val="ru-RU"/>
        </w:rPr>
        <w:t xml:space="preserve"> </w:t>
      </w:r>
      <w:proofErr w:type="spellStart"/>
      <w:r w:rsidRPr="006B6651">
        <w:rPr>
          <w:w w:val="110"/>
          <w:sz w:val="20"/>
          <w:lang w:val="ru-RU"/>
        </w:rPr>
        <w:t>фенотипового</w:t>
      </w:r>
      <w:proofErr w:type="spellEnd"/>
      <w:r w:rsidRPr="006B6651">
        <w:rPr>
          <w:w w:val="110"/>
          <w:sz w:val="20"/>
          <w:lang w:val="ru-RU"/>
        </w:rPr>
        <w:t xml:space="preserve"> Т</w:t>
      </w:r>
      <w:r w:rsidRPr="00BE6D3F">
        <w:rPr>
          <w:w w:val="110"/>
          <w:sz w:val="20"/>
          <w:lang w:val="uk-UA"/>
        </w:rPr>
        <w:t>М</w:t>
      </w:r>
      <w:r w:rsidRPr="006B6651">
        <w:rPr>
          <w:w w:val="110"/>
          <w:sz w:val="20"/>
          <w:lang w:val="ru-RU"/>
        </w:rPr>
        <w:t xml:space="preserve">Ч як </w:t>
      </w:r>
      <w:r w:rsidRPr="00BE6D3F">
        <w:rPr>
          <w:w w:val="110"/>
          <w:sz w:val="20"/>
          <w:lang w:val="uk-UA"/>
        </w:rPr>
        <w:t>еталонного</w:t>
      </w:r>
      <w:r w:rsidRPr="006B6651">
        <w:rPr>
          <w:w w:val="110"/>
          <w:sz w:val="20"/>
          <w:lang w:val="ru-RU"/>
        </w:rPr>
        <w:t xml:space="preserve"> стандарту;</w:t>
      </w:r>
      <w:r w:rsidRPr="00BE6D3F">
        <w:rPr>
          <w:w w:val="110"/>
          <w:sz w:val="20"/>
          <w:lang w:val="uk-UA"/>
        </w:rPr>
        <w:t xml:space="preserve"> </w:t>
      </w:r>
    </w:p>
    <w:p w14:paraId="1BDA4A45" w14:textId="77777777" w:rsidR="00291E90" w:rsidRPr="006B6651" w:rsidRDefault="00291E90" w:rsidP="00770751">
      <w:pPr>
        <w:pStyle w:val="a3"/>
        <w:spacing w:before="211" w:line="276" w:lineRule="auto"/>
        <w:ind w:left="567" w:right="2"/>
        <w:jc w:val="both"/>
        <w:rPr>
          <w:sz w:val="20"/>
          <w:lang w:val="uk-UA"/>
        </w:rPr>
      </w:pPr>
      <w:proofErr w:type="spellStart"/>
      <w:r w:rsidRPr="006B6651">
        <w:rPr>
          <w:w w:val="110"/>
          <w:sz w:val="20"/>
          <w:lang w:val="ru-RU"/>
        </w:rPr>
        <w:t>Був</w:t>
      </w:r>
      <w:proofErr w:type="spellEnd"/>
      <w:r w:rsidRPr="006B6651">
        <w:rPr>
          <w:w w:val="110"/>
          <w:sz w:val="20"/>
          <w:lang w:val="ru-RU"/>
        </w:rPr>
        <w:t xml:space="preserve"> проведений </w:t>
      </w:r>
      <w:r w:rsidRPr="00BE6D3F">
        <w:rPr>
          <w:w w:val="110"/>
          <w:sz w:val="20"/>
          <w:lang w:val="uk-UA"/>
        </w:rPr>
        <w:t>розширений</w:t>
      </w:r>
      <w:r w:rsidRPr="006B6651">
        <w:rPr>
          <w:w w:val="110"/>
          <w:sz w:val="20"/>
          <w:lang w:val="ru-RU"/>
        </w:rPr>
        <w:t xml:space="preserve"> </w:t>
      </w:r>
      <w:proofErr w:type="spellStart"/>
      <w:r w:rsidRPr="006B6651">
        <w:rPr>
          <w:w w:val="110"/>
          <w:sz w:val="20"/>
          <w:lang w:val="ru-RU"/>
        </w:rPr>
        <w:t>пошук</w:t>
      </w:r>
      <w:proofErr w:type="spellEnd"/>
      <w:r w:rsidRPr="006B6651">
        <w:rPr>
          <w:w w:val="110"/>
          <w:sz w:val="20"/>
          <w:lang w:val="ru-RU"/>
        </w:rPr>
        <w:t xml:space="preserve"> для виявлення, </w:t>
      </w:r>
      <w:proofErr w:type="spellStart"/>
      <w:r w:rsidRPr="006B6651">
        <w:rPr>
          <w:w w:val="110"/>
          <w:sz w:val="20"/>
          <w:lang w:val="ru-RU"/>
        </w:rPr>
        <w:t>оцінки</w:t>
      </w:r>
      <w:proofErr w:type="spellEnd"/>
      <w:r w:rsidRPr="006B6651">
        <w:rPr>
          <w:w w:val="110"/>
          <w:sz w:val="20"/>
          <w:lang w:val="ru-RU"/>
        </w:rPr>
        <w:t xml:space="preserve"> та </w:t>
      </w:r>
      <w:proofErr w:type="spellStart"/>
      <w:r w:rsidRPr="006B6651">
        <w:rPr>
          <w:w w:val="110"/>
          <w:sz w:val="20"/>
          <w:lang w:val="ru-RU"/>
        </w:rPr>
        <w:t>узагальнення</w:t>
      </w:r>
      <w:proofErr w:type="spellEnd"/>
      <w:r w:rsidRPr="006B6651">
        <w:rPr>
          <w:w w:val="110"/>
          <w:sz w:val="20"/>
          <w:lang w:val="ru-RU"/>
        </w:rPr>
        <w:t xml:space="preserve"> </w:t>
      </w:r>
      <w:proofErr w:type="spellStart"/>
      <w:r w:rsidRPr="006B6651">
        <w:rPr>
          <w:w w:val="110"/>
          <w:sz w:val="20"/>
          <w:lang w:val="ru-RU"/>
        </w:rPr>
        <w:t>доказових</w:t>
      </w:r>
      <w:proofErr w:type="spellEnd"/>
      <w:r w:rsidRPr="006B6651">
        <w:rPr>
          <w:w w:val="110"/>
          <w:sz w:val="20"/>
          <w:lang w:val="ru-RU"/>
        </w:rPr>
        <w:t xml:space="preserve"> </w:t>
      </w:r>
      <w:proofErr w:type="spellStart"/>
      <w:r w:rsidRPr="006B6651">
        <w:rPr>
          <w:w w:val="110"/>
          <w:sz w:val="20"/>
          <w:lang w:val="ru-RU"/>
        </w:rPr>
        <w:t>даних</w:t>
      </w:r>
      <w:proofErr w:type="spellEnd"/>
      <w:r w:rsidRPr="006B6651">
        <w:rPr>
          <w:w w:val="110"/>
          <w:sz w:val="20"/>
          <w:lang w:val="ru-RU"/>
        </w:rPr>
        <w:t xml:space="preserve"> щодо </w:t>
      </w:r>
      <w:proofErr w:type="spellStart"/>
      <w:r w:rsidRPr="006B6651">
        <w:rPr>
          <w:w w:val="110"/>
          <w:sz w:val="20"/>
          <w:lang w:val="ru-RU"/>
        </w:rPr>
        <w:t>користі</w:t>
      </w:r>
      <w:proofErr w:type="spellEnd"/>
      <w:r w:rsidRPr="006B6651">
        <w:rPr>
          <w:w w:val="110"/>
          <w:sz w:val="20"/>
          <w:lang w:val="ru-RU"/>
        </w:rPr>
        <w:t xml:space="preserve"> для здоров'я та </w:t>
      </w:r>
      <w:proofErr w:type="spellStart"/>
      <w:r w:rsidRPr="006B6651">
        <w:rPr>
          <w:w w:val="110"/>
          <w:sz w:val="20"/>
          <w:lang w:val="ru-RU"/>
        </w:rPr>
        <w:t>діагностичної</w:t>
      </w:r>
      <w:proofErr w:type="spellEnd"/>
      <w:r w:rsidRPr="006B6651">
        <w:rPr>
          <w:w w:val="110"/>
          <w:sz w:val="20"/>
          <w:lang w:val="ru-RU"/>
        </w:rPr>
        <w:t xml:space="preserve"> </w:t>
      </w:r>
      <w:proofErr w:type="spellStart"/>
      <w:r w:rsidRPr="006B6651">
        <w:rPr>
          <w:w w:val="110"/>
          <w:sz w:val="20"/>
          <w:lang w:val="ru-RU"/>
        </w:rPr>
        <w:t>точності</w:t>
      </w:r>
      <w:proofErr w:type="spellEnd"/>
      <w:r w:rsidRPr="006B6651">
        <w:rPr>
          <w:w w:val="110"/>
          <w:sz w:val="20"/>
          <w:lang w:val="ru-RU"/>
        </w:rPr>
        <w:t xml:space="preserve"> таргетного </w:t>
      </w:r>
      <w:r w:rsidRPr="00BE6D3F">
        <w:rPr>
          <w:w w:val="110"/>
          <w:sz w:val="20"/>
          <w:lang w:val="uk-UA"/>
        </w:rPr>
        <w:t>СНП</w:t>
      </w:r>
      <w:r w:rsidRPr="006B6651">
        <w:rPr>
          <w:w w:val="110"/>
          <w:sz w:val="20"/>
          <w:lang w:val="ru-RU"/>
        </w:rPr>
        <w:t xml:space="preserve"> </w:t>
      </w:r>
      <w:proofErr w:type="spellStart"/>
      <w:r w:rsidRPr="006B6651">
        <w:rPr>
          <w:w w:val="110"/>
          <w:sz w:val="20"/>
          <w:lang w:val="ru-RU"/>
        </w:rPr>
        <w:t>порівняно</w:t>
      </w:r>
      <w:proofErr w:type="spellEnd"/>
      <w:r w:rsidRPr="006B6651">
        <w:rPr>
          <w:w w:val="110"/>
          <w:sz w:val="20"/>
          <w:lang w:val="ru-RU"/>
        </w:rPr>
        <w:t xml:space="preserve"> з </w:t>
      </w:r>
      <w:proofErr w:type="spellStart"/>
      <w:r w:rsidRPr="006B6651">
        <w:rPr>
          <w:w w:val="110"/>
          <w:sz w:val="20"/>
          <w:lang w:val="ru-RU"/>
        </w:rPr>
        <w:t>фенотиповим</w:t>
      </w:r>
      <w:proofErr w:type="spellEnd"/>
      <w:r w:rsidRPr="006B6651">
        <w:rPr>
          <w:w w:val="110"/>
          <w:sz w:val="20"/>
          <w:lang w:val="ru-RU"/>
        </w:rPr>
        <w:t xml:space="preserve"> </w:t>
      </w:r>
      <w:proofErr w:type="spellStart"/>
      <w:r w:rsidRPr="006B6651">
        <w:rPr>
          <w:w w:val="110"/>
          <w:sz w:val="20"/>
          <w:lang w:val="ru-RU"/>
        </w:rPr>
        <w:t>тестуванням</w:t>
      </w:r>
      <w:proofErr w:type="spellEnd"/>
      <w:r w:rsidRPr="006B6651">
        <w:rPr>
          <w:w w:val="110"/>
          <w:sz w:val="20"/>
          <w:lang w:val="ru-RU"/>
        </w:rPr>
        <w:t xml:space="preserve"> </w:t>
      </w:r>
      <w:r w:rsidRPr="00BE6D3F">
        <w:rPr>
          <w:w w:val="110"/>
          <w:sz w:val="20"/>
          <w:lang w:val="uk-UA"/>
        </w:rPr>
        <w:t>на медикаментозну чутливість</w:t>
      </w:r>
      <w:r w:rsidRPr="006B6651">
        <w:rPr>
          <w:w w:val="110"/>
          <w:sz w:val="20"/>
          <w:lang w:val="ru-RU"/>
        </w:rPr>
        <w:t xml:space="preserve"> у </w:t>
      </w:r>
      <w:proofErr w:type="spellStart"/>
      <w:r w:rsidRPr="006B6651">
        <w:rPr>
          <w:w w:val="110"/>
          <w:sz w:val="20"/>
          <w:lang w:val="ru-RU"/>
        </w:rPr>
        <w:t>пацієнтів</w:t>
      </w:r>
      <w:proofErr w:type="spellEnd"/>
      <w:r w:rsidRPr="006B6651">
        <w:rPr>
          <w:w w:val="110"/>
          <w:sz w:val="20"/>
          <w:lang w:val="ru-RU"/>
        </w:rPr>
        <w:t xml:space="preserve"> з бактеріологічно </w:t>
      </w:r>
      <w:proofErr w:type="spellStart"/>
      <w:r w:rsidRPr="006B6651">
        <w:rPr>
          <w:w w:val="110"/>
          <w:sz w:val="20"/>
          <w:lang w:val="ru-RU"/>
        </w:rPr>
        <w:t>підтвердженим</w:t>
      </w:r>
      <w:proofErr w:type="spellEnd"/>
      <w:r w:rsidRPr="006B6651">
        <w:rPr>
          <w:w w:val="110"/>
          <w:sz w:val="20"/>
          <w:lang w:val="ru-RU"/>
        </w:rPr>
        <w:t xml:space="preserve"> </w:t>
      </w:r>
      <w:proofErr w:type="spellStart"/>
      <w:r w:rsidRPr="006B6651">
        <w:rPr>
          <w:w w:val="110"/>
          <w:sz w:val="20"/>
          <w:lang w:val="ru-RU"/>
        </w:rPr>
        <w:t>туберкульозом</w:t>
      </w:r>
      <w:proofErr w:type="spellEnd"/>
      <w:r w:rsidRPr="006B6651">
        <w:rPr>
          <w:w w:val="110"/>
          <w:sz w:val="20"/>
          <w:lang w:val="ru-RU"/>
        </w:rPr>
        <w:t xml:space="preserve"> або з бактеріологічно </w:t>
      </w:r>
      <w:proofErr w:type="spellStart"/>
      <w:r w:rsidRPr="006B6651">
        <w:rPr>
          <w:w w:val="110"/>
          <w:sz w:val="20"/>
          <w:lang w:val="ru-RU"/>
        </w:rPr>
        <w:t>підтвердженим</w:t>
      </w:r>
      <w:proofErr w:type="spellEnd"/>
      <w:r w:rsidRPr="006B6651">
        <w:rPr>
          <w:w w:val="110"/>
          <w:sz w:val="20"/>
          <w:lang w:val="ru-RU"/>
        </w:rPr>
        <w:t xml:space="preserve"> </w:t>
      </w:r>
      <w:r w:rsidRPr="00BE6D3F">
        <w:rPr>
          <w:w w:val="110"/>
          <w:sz w:val="20"/>
          <w:lang w:val="uk-UA"/>
        </w:rPr>
        <w:t xml:space="preserve">легеневим ТБ </w:t>
      </w:r>
      <w:proofErr w:type="spellStart"/>
      <w:r w:rsidRPr="006B6651">
        <w:rPr>
          <w:w w:val="110"/>
          <w:sz w:val="20"/>
          <w:lang w:val="ru-RU"/>
        </w:rPr>
        <w:t>зі</w:t>
      </w:r>
      <w:proofErr w:type="spellEnd"/>
      <w:r w:rsidRPr="006B6651">
        <w:rPr>
          <w:w w:val="110"/>
          <w:sz w:val="20"/>
          <w:lang w:val="ru-RU"/>
        </w:rPr>
        <w:t xml:space="preserve"> </w:t>
      </w:r>
      <w:proofErr w:type="spellStart"/>
      <w:r w:rsidRPr="006B6651">
        <w:rPr>
          <w:w w:val="110"/>
          <w:sz w:val="20"/>
          <w:lang w:val="ru-RU"/>
        </w:rPr>
        <w:t>стійкістю</w:t>
      </w:r>
      <w:proofErr w:type="spellEnd"/>
      <w:r w:rsidRPr="006B6651">
        <w:rPr>
          <w:w w:val="110"/>
          <w:sz w:val="20"/>
          <w:lang w:val="ru-RU"/>
        </w:rPr>
        <w:t xml:space="preserve"> до рифампіцину. </w:t>
      </w:r>
      <w:proofErr w:type="spellStart"/>
      <w:r w:rsidRPr="006B6651">
        <w:rPr>
          <w:w w:val="110"/>
          <w:sz w:val="20"/>
          <w:lang w:val="ru-RU"/>
        </w:rPr>
        <w:t>Був</w:t>
      </w:r>
      <w:proofErr w:type="spellEnd"/>
      <w:r w:rsidRPr="006B6651">
        <w:rPr>
          <w:w w:val="110"/>
          <w:sz w:val="20"/>
          <w:lang w:val="ru-RU"/>
        </w:rPr>
        <w:t xml:space="preserve"> </w:t>
      </w:r>
      <w:proofErr w:type="spellStart"/>
      <w:r w:rsidRPr="006B6651">
        <w:rPr>
          <w:w w:val="110"/>
          <w:sz w:val="20"/>
          <w:lang w:val="ru-RU"/>
        </w:rPr>
        <w:t>виконаний</w:t>
      </w:r>
      <w:proofErr w:type="spellEnd"/>
      <w:r w:rsidRPr="006B6651">
        <w:rPr>
          <w:w w:val="110"/>
          <w:sz w:val="20"/>
          <w:lang w:val="ru-RU"/>
        </w:rPr>
        <w:t xml:space="preserve"> </w:t>
      </w:r>
      <w:proofErr w:type="spellStart"/>
      <w:r w:rsidRPr="006B6651">
        <w:rPr>
          <w:w w:val="110"/>
          <w:sz w:val="20"/>
          <w:lang w:val="ru-RU"/>
        </w:rPr>
        <w:t>комплексний</w:t>
      </w:r>
      <w:proofErr w:type="spellEnd"/>
      <w:r w:rsidRPr="006B6651">
        <w:rPr>
          <w:w w:val="110"/>
          <w:sz w:val="20"/>
          <w:lang w:val="ru-RU"/>
        </w:rPr>
        <w:t xml:space="preserve"> </w:t>
      </w:r>
      <w:proofErr w:type="spellStart"/>
      <w:r w:rsidRPr="006B6651">
        <w:rPr>
          <w:w w:val="110"/>
          <w:sz w:val="20"/>
          <w:lang w:val="ru-RU"/>
        </w:rPr>
        <w:t>пошук</w:t>
      </w:r>
      <w:proofErr w:type="spellEnd"/>
      <w:r w:rsidRPr="006B6651">
        <w:rPr>
          <w:w w:val="110"/>
          <w:sz w:val="20"/>
          <w:lang w:val="ru-RU"/>
        </w:rPr>
        <w:t xml:space="preserve"> </w:t>
      </w:r>
      <w:proofErr w:type="spellStart"/>
      <w:r w:rsidRPr="006B6651">
        <w:rPr>
          <w:w w:val="110"/>
          <w:sz w:val="20"/>
          <w:lang w:val="ru-RU"/>
        </w:rPr>
        <w:t>відповідних</w:t>
      </w:r>
      <w:proofErr w:type="spellEnd"/>
      <w:r w:rsidRPr="006B6651">
        <w:rPr>
          <w:w w:val="110"/>
          <w:sz w:val="20"/>
          <w:lang w:val="ru-RU"/>
        </w:rPr>
        <w:t xml:space="preserve"> </w:t>
      </w:r>
      <w:proofErr w:type="spellStart"/>
      <w:r w:rsidRPr="006B6651">
        <w:rPr>
          <w:w w:val="110"/>
          <w:sz w:val="20"/>
          <w:lang w:val="ru-RU"/>
        </w:rPr>
        <w:t>публікаций</w:t>
      </w:r>
      <w:proofErr w:type="spellEnd"/>
      <w:r w:rsidRPr="006B6651">
        <w:rPr>
          <w:w w:val="110"/>
          <w:sz w:val="20"/>
          <w:lang w:val="ru-RU"/>
        </w:rPr>
        <w:t xml:space="preserve"> у </w:t>
      </w:r>
      <w:proofErr w:type="spellStart"/>
      <w:r w:rsidRPr="006B6651">
        <w:rPr>
          <w:w w:val="110"/>
          <w:sz w:val="20"/>
          <w:lang w:val="ru-RU"/>
        </w:rPr>
        <w:t>трьох</w:t>
      </w:r>
      <w:proofErr w:type="spellEnd"/>
      <w:r w:rsidRPr="006B6651">
        <w:rPr>
          <w:w w:val="110"/>
          <w:sz w:val="20"/>
          <w:lang w:val="ru-RU"/>
        </w:rPr>
        <w:t xml:space="preserve"> базах </w:t>
      </w:r>
      <w:proofErr w:type="spellStart"/>
      <w:r w:rsidRPr="006B6651">
        <w:rPr>
          <w:w w:val="110"/>
          <w:sz w:val="20"/>
          <w:lang w:val="ru-RU"/>
        </w:rPr>
        <w:t>даних</w:t>
      </w:r>
      <w:proofErr w:type="spellEnd"/>
      <w:r w:rsidRPr="006B6651">
        <w:rPr>
          <w:w w:val="110"/>
          <w:sz w:val="20"/>
          <w:lang w:val="ru-RU"/>
        </w:rPr>
        <w:t xml:space="preserve"> (</w:t>
      </w:r>
      <w:r w:rsidRPr="00BE6D3F">
        <w:rPr>
          <w:w w:val="110"/>
          <w:sz w:val="20"/>
        </w:rPr>
        <w:t>Medline</w:t>
      </w:r>
      <w:r w:rsidRPr="006B6651">
        <w:rPr>
          <w:w w:val="110"/>
          <w:sz w:val="20"/>
          <w:lang w:val="ru-RU"/>
        </w:rPr>
        <w:t xml:space="preserve">, </w:t>
      </w:r>
      <w:r w:rsidRPr="00BE6D3F">
        <w:rPr>
          <w:w w:val="110"/>
          <w:sz w:val="20"/>
        </w:rPr>
        <w:t>Ovid</w:t>
      </w:r>
      <w:r w:rsidRPr="006B6651">
        <w:rPr>
          <w:w w:val="110"/>
          <w:sz w:val="20"/>
          <w:lang w:val="ru-RU"/>
        </w:rPr>
        <w:t xml:space="preserve"> </w:t>
      </w:r>
      <w:r w:rsidRPr="00BE6D3F">
        <w:rPr>
          <w:w w:val="110"/>
          <w:sz w:val="20"/>
        </w:rPr>
        <w:t>Embase</w:t>
      </w:r>
      <w:r w:rsidRPr="006B6651">
        <w:rPr>
          <w:w w:val="110"/>
          <w:sz w:val="20"/>
          <w:lang w:val="ru-RU"/>
        </w:rPr>
        <w:t xml:space="preserve"> та </w:t>
      </w:r>
      <w:r w:rsidRPr="00BE6D3F">
        <w:rPr>
          <w:w w:val="110"/>
          <w:sz w:val="20"/>
        </w:rPr>
        <w:t>Scopus</w:t>
      </w:r>
      <w:r w:rsidRPr="006B6651">
        <w:rPr>
          <w:w w:val="110"/>
          <w:sz w:val="20"/>
          <w:lang w:val="ru-RU"/>
        </w:rPr>
        <w:t xml:space="preserve">). </w:t>
      </w:r>
      <w:proofErr w:type="spellStart"/>
      <w:r w:rsidRPr="006B6651">
        <w:rPr>
          <w:w w:val="110"/>
          <w:sz w:val="20"/>
          <w:lang w:val="ru-RU"/>
        </w:rPr>
        <w:t>Обмеження</w:t>
      </w:r>
      <w:proofErr w:type="spellEnd"/>
      <w:r w:rsidRPr="006B6651">
        <w:rPr>
          <w:w w:val="110"/>
          <w:sz w:val="20"/>
          <w:lang w:val="ru-RU"/>
        </w:rPr>
        <w:t xml:space="preserve"> за датою не </w:t>
      </w:r>
      <w:proofErr w:type="spellStart"/>
      <w:r w:rsidRPr="006B6651">
        <w:rPr>
          <w:w w:val="110"/>
          <w:sz w:val="20"/>
          <w:lang w:val="ru-RU"/>
        </w:rPr>
        <w:t>застосовувалося</w:t>
      </w:r>
      <w:proofErr w:type="spellEnd"/>
      <w:r w:rsidRPr="006B6651">
        <w:rPr>
          <w:w w:val="110"/>
          <w:sz w:val="20"/>
          <w:lang w:val="ru-RU"/>
        </w:rPr>
        <w:t xml:space="preserve">, </w:t>
      </w:r>
      <w:proofErr w:type="spellStart"/>
      <w:r w:rsidRPr="006B6651">
        <w:rPr>
          <w:w w:val="110"/>
          <w:sz w:val="20"/>
          <w:lang w:val="ru-RU"/>
        </w:rPr>
        <w:t>початковий</w:t>
      </w:r>
      <w:proofErr w:type="spellEnd"/>
      <w:r w:rsidRPr="006B6651">
        <w:rPr>
          <w:w w:val="110"/>
          <w:sz w:val="20"/>
          <w:lang w:val="ru-RU"/>
        </w:rPr>
        <w:t xml:space="preserve"> </w:t>
      </w:r>
      <w:proofErr w:type="spellStart"/>
      <w:r w:rsidRPr="006B6651">
        <w:rPr>
          <w:w w:val="110"/>
          <w:sz w:val="20"/>
          <w:lang w:val="ru-RU"/>
        </w:rPr>
        <w:t>пошук</w:t>
      </w:r>
      <w:proofErr w:type="spellEnd"/>
      <w:r w:rsidRPr="006B6651">
        <w:rPr>
          <w:w w:val="110"/>
          <w:sz w:val="20"/>
          <w:lang w:val="ru-RU"/>
        </w:rPr>
        <w:t xml:space="preserve"> </w:t>
      </w:r>
      <w:proofErr w:type="spellStart"/>
      <w:r w:rsidRPr="006B6651">
        <w:rPr>
          <w:w w:val="110"/>
          <w:sz w:val="20"/>
          <w:lang w:val="ru-RU"/>
        </w:rPr>
        <w:t>був</w:t>
      </w:r>
      <w:proofErr w:type="spellEnd"/>
      <w:r w:rsidRPr="006B6651">
        <w:rPr>
          <w:w w:val="110"/>
          <w:sz w:val="20"/>
          <w:lang w:val="ru-RU"/>
        </w:rPr>
        <w:t xml:space="preserve"> проведений 7 вересня 2022 року та повторений 17 </w:t>
      </w:r>
      <w:proofErr w:type="spellStart"/>
      <w:r w:rsidRPr="006B6651">
        <w:rPr>
          <w:w w:val="110"/>
          <w:sz w:val="20"/>
          <w:lang w:val="ru-RU"/>
        </w:rPr>
        <w:t>січня</w:t>
      </w:r>
      <w:proofErr w:type="spellEnd"/>
      <w:r w:rsidRPr="006B6651">
        <w:rPr>
          <w:w w:val="110"/>
          <w:sz w:val="20"/>
          <w:lang w:val="ru-RU"/>
        </w:rPr>
        <w:t xml:space="preserve"> 2023 року.</w:t>
      </w:r>
      <w:r w:rsidRPr="00BE6D3F">
        <w:rPr>
          <w:w w:val="110"/>
          <w:sz w:val="20"/>
          <w:lang w:val="uk-UA"/>
        </w:rPr>
        <w:t xml:space="preserve"> </w:t>
      </w:r>
      <w:r w:rsidRPr="006B6651">
        <w:rPr>
          <w:w w:val="110"/>
          <w:sz w:val="20"/>
          <w:lang w:val="uk-UA"/>
        </w:rPr>
        <w:t>Крім того, ВООЗ зробила публічний заклик до надання даних та зв'язалася з відомими експертами в цій галузі з проханням повідомити, чи мають вони або знають про неопубліковані дані, які могли б бути корисними.</w:t>
      </w:r>
    </w:p>
    <w:p w14:paraId="20600CC3" w14:textId="77777777" w:rsidR="00291E90" w:rsidRPr="006B6651" w:rsidRDefault="00291E90" w:rsidP="00DA5A55">
      <w:pPr>
        <w:pStyle w:val="a3"/>
        <w:spacing w:before="180" w:line="276" w:lineRule="auto"/>
        <w:ind w:left="567" w:right="2"/>
        <w:jc w:val="both"/>
        <w:rPr>
          <w:sz w:val="20"/>
          <w:lang w:val="ru-RU"/>
        </w:rPr>
      </w:pPr>
      <w:proofErr w:type="spellStart"/>
      <w:r w:rsidRPr="006B6651">
        <w:rPr>
          <w:w w:val="110"/>
          <w:sz w:val="20"/>
          <w:lang w:val="ru-RU"/>
        </w:rPr>
        <w:t>Даних</w:t>
      </w:r>
      <w:proofErr w:type="spellEnd"/>
      <w:r w:rsidRPr="006B6651">
        <w:rPr>
          <w:w w:val="110"/>
          <w:sz w:val="20"/>
          <w:lang w:val="ru-RU"/>
        </w:rPr>
        <w:t xml:space="preserve"> щодо </w:t>
      </w:r>
      <w:proofErr w:type="spellStart"/>
      <w:r w:rsidRPr="006B6651">
        <w:rPr>
          <w:w w:val="110"/>
          <w:sz w:val="20"/>
          <w:lang w:val="ru-RU"/>
        </w:rPr>
        <w:t>впливу</w:t>
      </w:r>
      <w:proofErr w:type="spellEnd"/>
      <w:r w:rsidRPr="006B6651">
        <w:rPr>
          <w:w w:val="110"/>
          <w:sz w:val="20"/>
          <w:lang w:val="ru-RU"/>
        </w:rPr>
        <w:t xml:space="preserve"> таргетного </w:t>
      </w:r>
      <w:r w:rsidRPr="00BE6D3F">
        <w:rPr>
          <w:w w:val="110"/>
          <w:sz w:val="20"/>
          <w:lang w:val="uk-UA"/>
        </w:rPr>
        <w:t>СНП</w:t>
      </w:r>
      <w:r w:rsidRPr="006B6651">
        <w:rPr>
          <w:w w:val="110"/>
          <w:sz w:val="20"/>
          <w:lang w:val="ru-RU"/>
        </w:rPr>
        <w:t xml:space="preserve"> на </w:t>
      </w:r>
      <w:proofErr w:type="spellStart"/>
      <w:r w:rsidRPr="006B6651">
        <w:rPr>
          <w:w w:val="110"/>
          <w:sz w:val="20"/>
          <w:lang w:val="ru-RU"/>
        </w:rPr>
        <w:t>результати</w:t>
      </w:r>
      <w:proofErr w:type="spellEnd"/>
      <w:r w:rsidRPr="006B6651">
        <w:rPr>
          <w:w w:val="110"/>
          <w:sz w:val="20"/>
          <w:lang w:val="ru-RU"/>
        </w:rPr>
        <w:t xml:space="preserve"> лікування на </w:t>
      </w:r>
      <w:proofErr w:type="spellStart"/>
      <w:r w:rsidRPr="006B6651">
        <w:rPr>
          <w:w w:val="110"/>
          <w:sz w:val="20"/>
          <w:lang w:val="ru-RU"/>
        </w:rPr>
        <w:t>рівні</w:t>
      </w:r>
      <w:proofErr w:type="spellEnd"/>
      <w:r w:rsidRPr="006B6651">
        <w:rPr>
          <w:w w:val="110"/>
          <w:sz w:val="20"/>
          <w:lang w:val="ru-RU"/>
        </w:rPr>
        <w:t xml:space="preserve"> </w:t>
      </w:r>
      <w:proofErr w:type="spellStart"/>
      <w:r w:rsidRPr="006B6651">
        <w:rPr>
          <w:w w:val="110"/>
          <w:sz w:val="20"/>
          <w:lang w:val="ru-RU"/>
        </w:rPr>
        <w:t>пацієнтів</w:t>
      </w:r>
      <w:proofErr w:type="spellEnd"/>
      <w:r w:rsidRPr="006B6651">
        <w:rPr>
          <w:w w:val="110"/>
          <w:sz w:val="20"/>
          <w:lang w:val="ru-RU"/>
        </w:rPr>
        <w:t xml:space="preserve"> </w:t>
      </w:r>
      <w:proofErr w:type="spellStart"/>
      <w:r w:rsidRPr="006B6651">
        <w:rPr>
          <w:w w:val="110"/>
          <w:sz w:val="20"/>
          <w:lang w:val="ru-RU"/>
        </w:rPr>
        <w:t>виявлено</w:t>
      </w:r>
      <w:proofErr w:type="spellEnd"/>
      <w:r w:rsidRPr="006B6651">
        <w:rPr>
          <w:w w:val="110"/>
          <w:sz w:val="20"/>
          <w:lang w:val="ru-RU"/>
        </w:rPr>
        <w:t xml:space="preserve"> не </w:t>
      </w:r>
      <w:proofErr w:type="spellStart"/>
      <w:r w:rsidRPr="006B6651">
        <w:rPr>
          <w:w w:val="110"/>
          <w:sz w:val="20"/>
          <w:lang w:val="ru-RU"/>
        </w:rPr>
        <w:t>було</w:t>
      </w:r>
      <w:proofErr w:type="spellEnd"/>
      <w:r w:rsidRPr="006B6651">
        <w:rPr>
          <w:w w:val="110"/>
          <w:sz w:val="20"/>
          <w:lang w:val="ru-RU"/>
        </w:rPr>
        <w:t xml:space="preserve">. </w:t>
      </w:r>
      <w:r>
        <w:rPr>
          <w:w w:val="110"/>
          <w:sz w:val="20"/>
          <w:lang w:val="uk-UA"/>
        </w:rPr>
        <w:t>Ч</w:t>
      </w:r>
      <w:proofErr w:type="spellStart"/>
      <w:r w:rsidRPr="006B6651">
        <w:rPr>
          <w:w w:val="110"/>
          <w:sz w:val="20"/>
          <w:lang w:val="ru-RU"/>
        </w:rPr>
        <w:t>ерез</w:t>
      </w:r>
      <w:proofErr w:type="spellEnd"/>
      <w:r w:rsidRPr="006B6651">
        <w:rPr>
          <w:w w:val="110"/>
          <w:sz w:val="20"/>
          <w:lang w:val="ru-RU"/>
        </w:rPr>
        <w:t xml:space="preserve"> </w:t>
      </w:r>
      <w:proofErr w:type="spellStart"/>
      <w:r w:rsidRPr="006B6651">
        <w:rPr>
          <w:w w:val="110"/>
          <w:sz w:val="20"/>
          <w:lang w:val="ru-RU"/>
        </w:rPr>
        <w:t>невелику</w:t>
      </w:r>
      <w:proofErr w:type="spellEnd"/>
      <w:r w:rsidRPr="006B6651">
        <w:rPr>
          <w:w w:val="110"/>
          <w:sz w:val="20"/>
          <w:lang w:val="ru-RU"/>
        </w:rPr>
        <w:t xml:space="preserve"> </w:t>
      </w:r>
      <w:proofErr w:type="spellStart"/>
      <w:r w:rsidRPr="006B6651">
        <w:rPr>
          <w:w w:val="110"/>
          <w:sz w:val="20"/>
          <w:lang w:val="ru-RU"/>
        </w:rPr>
        <w:t>кількість</w:t>
      </w:r>
      <w:proofErr w:type="spellEnd"/>
      <w:r w:rsidRPr="006B6651">
        <w:rPr>
          <w:w w:val="110"/>
          <w:sz w:val="20"/>
          <w:lang w:val="ru-RU"/>
        </w:rPr>
        <w:t xml:space="preserve"> </w:t>
      </w:r>
      <w:proofErr w:type="spellStart"/>
      <w:r w:rsidRPr="006B6651">
        <w:rPr>
          <w:w w:val="110"/>
          <w:sz w:val="20"/>
          <w:lang w:val="ru-RU"/>
        </w:rPr>
        <w:t>даних</w:t>
      </w:r>
      <w:proofErr w:type="spellEnd"/>
      <w:r w:rsidRPr="006B6651">
        <w:rPr>
          <w:w w:val="110"/>
          <w:sz w:val="20"/>
          <w:lang w:val="ru-RU"/>
        </w:rPr>
        <w:t xml:space="preserve">, </w:t>
      </w:r>
      <w:proofErr w:type="spellStart"/>
      <w:r w:rsidRPr="006B6651">
        <w:rPr>
          <w:w w:val="110"/>
          <w:sz w:val="20"/>
          <w:lang w:val="ru-RU"/>
        </w:rPr>
        <w:t>доступних</w:t>
      </w:r>
      <w:proofErr w:type="spellEnd"/>
      <w:r w:rsidRPr="006B6651">
        <w:rPr>
          <w:w w:val="110"/>
          <w:sz w:val="20"/>
          <w:lang w:val="ru-RU"/>
        </w:rPr>
        <w:t xml:space="preserve"> у </w:t>
      </w:r>
      <w:proofErr w:type="spellStart"/>
      <w:r w:rsidRPr="006B6651">
        <w:rPr>
          <w:w w:val="110"/>
          <w:sz w:val="20"/>
          <w:lang w:val="ru-RU"/>
        </w:rPr>
        <w:t>літературі</w:t>
      </w:r>
      <w:proofErr w:type="spellEnd"/>
      <w:r>
        <w:rPr>
          <w:w w:val="110"/>
          <w:sz w:val="20"/>
          <w:lang w:val="uk-UA"/>
        </w:rPr>
        <w:t xml:space="preserve"> д</w:t>
      </w:r>
      <w:r w:rsidRPr="006B6651">
        <w:rPr>
          <w:w w:val="110"/>
          <w:sz w:val="20"/>
          <w:lang w:val="ru-RU"/>
        </w:rPr>
        <w:t xml:space="preserve">ля </w:t>
      </w:r>
      <w:proofErr w:type="spellStart"/>
      <w:r w:rsidRPr="006B6651">
        <w:rPr>
          <w:w w:val="110"/>
          <w:sz w:val="20"/>
          <w:lang w:val="ru-RU"/>
        </w:rPr>
        <w:t>аналізу</w:t>
      </w:r>
      <w:proofErr w:type="spellEnd"/>
      <w:r w:rsidRPr="006B6651">
        <w:rPr>
          <w:w w:val="110"/>
          <w:sz w:val="20"/>
          <w:lang w:val="ru-RU"/>
        </w:rPr>
        <w:t xml:space="preserve"> </w:t>
      </w:r>
      <w:proofErr w:type="spellStart"/>
      <w:r w:rsidRPr="006B6651">
        <w:rPr>
          <w:w w:val="110"/>
          <w:sz w:val="20"/>
          <w:lang w:val="ru-RU"/>
        </w:rPr>
        <w:t>діагностичної</w:t>
      </w:r>
      <w:proofErr w:type="spellEnd"/>
      <w:r w:rsidRPr="006B6651">
        <w:rPr>
          <w:w w:val="110"/>
          <w:sz w:val="20"/>
          <w:lang w:val="ru-RU"/>
        </w:rPr>
        <w:t xml:space="preserve"> </w:t>
      </w:r>
      <w:proofErr w:type="spellStart"/>
      <w:r w:rsidRPr="006B6651">
        <w:rPr>
          <w:w w:val="110"/>
          <w:sz w:val="20"/>
          <w:lang w:val="ru-RU"/>
        </w:rPr>
        <w:t>точності</w:t>
      </w:r>
      <w:proofErr w:type="spellEnd"/>
      <w:r w:rsidRPr="006B6651">
        <w:rPr>
          <w:w w:val="110"/>
          <w:sz w:val="20"/>
          <w:lang w:val="ru-RU"/>
        </w:rPr>
        <w:t xml:space="preserve">, </w:t>
      </w:r>
      <w:proofErr w:type="spellStart"/>
      <w:r w:rsidRPr="006B6651">
        <w:rPr>
          <w:w w:val="110"/>
          <w:sz w:val="20"/>
          <w:lang w:val="ru-RU"/>
        </w:rPr>
        <w:t>всі</w:t>
      </w:r>
      <w:proofErr w:type="spellEnd"/>
      <w:r w:rsidRPr="006B6651">
        <w:rPr>
          <w:w w:val="110"/>
          <w:sz w:val="20"/>
          <w:lang w:val="ru-RU"/>
        </w:rPr>
        <w:t xml:space="preserve"> </w:t>
      </w:r>
      <w:proofErr w:type="spellStart"/>
      <w:r w:rsidRPr="006B6651">
        <w:rPr>
          <w:w w:val="110"/>
          <w:sz w:val="20"/>
          <w:lang w:val="ru-RU"/>
        </w:rPr>
        <w:t>дані</w:t>
      </w:r>
      <w:proofErr w:type="spellEnd"/>
      <w:r w:rsidRPr="006B6651">
        <w:rPr>
          <w:w w:val="110"/>
          <w:sz w:val="20"/>
          <w:lang w:val="ru-RU"/>
        </w:rPr>
        <w:t xml:space="preserve">, </w:t>
      </w:r>
      <w:proofErr w:type="spellStart"/>
      <w:r w:rsidRPr="006B6651">
        <w:rPr>
          <w:w w:val="110"/>
          <w:sz w:val="20"/>
          <w:lang w:val="ru-RU"/>
        </w:rPr>
        <w:t>виявлені</w:t>
      </w:r>
      <w:proofErr w:type="spellEnd"/>
      <w:r w:rsidRPr="006B6651">
        <w:rPr>
          <w:w w:val="110"/>
          <w:sz w:val="20"/>
          <w:lang w:val="ru-RU"/>
        </w:rPr>
        <w:t xml:space="preserve"> в </w:t>
      </w:r>
      <w:proofErr w:type="spellStart"/>
      <w:r w:rsidRPr="006B6651">
        <w:rPr>
          <w:w w:val="110"/>
          <w:sz w:val="20"/>
          <w:lang w:val="ru-RU"/>
        </w:rPr>
        <w:t>літературі</w:t>
      </w:r>
      <w:proofErr w:type="spellEnd"/>
      <w:r w:rsidRPr="006B6651">
        <w:rPr>
          <w:w w:val="110"/>
          <w:sz w:val="20"/>
          <w:lang w:val="ru-RU"/>
        </w:rPr>
        <w:t xml:space="preserve">, були </w:t>
      </w:r>
      <w:proofErr w:type="spellStart"/>
      <w:r w:rsidRPr="006B6651">
        <w:rPr>
          <w:w w:val="110"/>
          <w:sz w:val="20"/>
          <w:lang w:val="ru-RU"/>
        </w:rPr>
        <w:t>включені</w:t>
      </w:r>
      <w:proofErr w:type="spellEnd"/>
      <w:r w:rsidRPr="006B6651">
        <w:rPr>
          <w:w w:val="110"/>
          <w:sz w:val="20"/>
          <w:lang w:val="ru-RU"/>
        </w:rPr>
        <w:t xml:space="preserve"> </w:t>
      </w:r>
      <w:proofErr w:type="spellStart"/>
      <w:r w:rsidRPr="006B6651">
        <w:rPr>
          <w:w w:val="110"/>
          <w:sz w:val="20"/>
          <w:lang w:val="ru-RU"/>
        </w:rPr>
        <w:t>після</w:t>
      </w:r>
      <w:proofErr w:type="spellEnd"/>
      <w:r w:rsidRPr="006B6651">
        <w:rPr>
          <w:w w:val="110"/>
          <w:sz w:val="20"/>
          <w:lang w:val="ru-RU"/>
        </w:rPr>
        <w:t xml:space="preserve"> </w:t>
      </w:r>
      <w:proofErr w:type="spellStart"/>
      <w:r w:rsidRPr="006B6651">
        <w:rPr>
          <w:w w:val="110"/>
          <w:sz w:val="20"/>
          <w:lang w:val="ru-RU"/>
        </w:rPr>
        <w:t>листування</w:t>
      </w:r>
      <w:proofErr w:type="spellEnd"/>
      <w:r w:rsidRPr="006B6651">
        <w:rPr>
          <w:w w:val="110"/>
          <w:sz w:val="20"/>
          <w:lang w:val="ru-RU"/>
        </w:rPr>
        <w:t xml:space="preserve"> з авторами. Таким чином, </w:t>
      </w:r>
      <w:r w:rsidRPr="00BE6D3F">
        <w:rPr>
          <w:w w:val="110"/>
          <w:sz w:val="20"/>
          <w:lang w:val="uk-UA"/>
        </w:rPr>
        <w:t xml:space="preserve">не було потреби в </w:t>
      </w:r>
      <w:proofErr w:type="spellStart"/>
      <w:r w:rsidRPr="006B6651">
        <w:rPr>
          <w:w w:val="110"/>
          <w:sz w:val="20"/>
          <w:lang w:val="ru-RU"/>
        </w:rPr>
        <w:t>ручно</w:t>
      </w:r>
      <w:proofErr w:type="spellEnd"/>
      <w:r w:rsidRPr="00BE6D3F">
        <w:rPr>
          <w:w w:val="110"/>
          <w:sz w:val="20"/>
          <w:lang w:val="uk-UA"/>
        </w:rPr>
        <w:t>му</w:t>
      </w:r>
      <w:r w:rsidRPr="006B6651">
        <w:rPr>
          <w:w w:val="110"/>
          <w:sz w:val="20"/>
          <w:lang w:val="ru-RU"/>
        </w:rPr>
        <w:t xml:space="preserve"> </w:t>
      </w:r>
      <w:proofErr w:type="spellStart"/>
      <w:r w:rsidRPr="006B6651">
        <w:rPr>
          <w:w w:val="110"/>
          <w:sz w:val="20"/>
          <w:lang w:val="ru-RU"/>
        </w:rPr>
        <w:t>вилученн</w:t>
      </w:r>
      <w:proofErr w:type="spellEnd"/>
      <w:r w:rsidRPr="00BE6D3F">
        <w:rPr>
          <w:w w:val="110"/>
          <w:sz w:val="20"/>
          <w:lang w:val="uk-UA"/>
        </w:rPr>
        <w:t>і</w:t>
      </w:r>
      <w:r w:rsidRPr="006B6651">
        <w:rPr>
          <w:w w:val="110"/>
          <w:sz w:val="20"/>
          <w:lang w:val="ru-RU"/>
        </w:rPr>
        <w:t xml:space="preserve"> </w:t>
      </w:r>
      <w:proofErr w:type="spellStart"/>
      <w:r w:rsidRPr="006B6651">
        <w:rPr>
          <w:w w:val="110"/>
          <w:sz w:val="20"/>
          <w:lang w:val="ru-RU"/>
        </w:rPr>
        <w:t>даних</w:t>
      </w:r>
      <w:proofErr w:type="spellEnd"/>
      <w:r w:rsidRPr="006B6651">
        <w:rPr>
          <w:w w:val="110"/>
          <w:sz w:val="20"/>
          <w:lang w:val="ru-RU"/>
        </w:rPr>
        <w:t xml:space="preserve"> з </w:t>
      </w:r>
      <w:proofErr w:type="spellStart"/>
      <w:r w:rsidRPr="006B6651">
        <w:rPr>
          <w:w w:val="110"/>
          <w:sz w:val="20"/>
          <w:lang w:val="ru-RU"/>
        </w:rPr>
        <w:t>публікацій</w:t>
      </w:r>
      <w:proofErr w:type="spellEnd"/>
      <w:r w:rsidRPr="006B6651">
        <w:rPr>
          <w:w w:val="110"/>
          <w:sz w:val="20"/>
          <w:lang w:val="ru-RU"/>
        </w:rPr>
        <w:t xml:space="preserve">. </w:t>
      </w:r>
      <w:r w:rsidRPr="00BE6D3F">
        <w:rPr>
          <w:w w:val="110"/>
          <w:sz w:val="20"/>
          <w:lang w:val="uk-UA"/>
        </w:rPr>
        <w:t xml:space="preserve">Вже в </w:t>
      </w:r>
      <w:r w:rsidRPr="000B1FFE">
        <w:rPr>
          <w:w w:val="110"/>
          <w:sz w:val="20"/>
          <w:lang w:val="uk-UA"/>
        </w:rPr>
        <w:t>ході аналізу б</w:t>
      </w:r>
      <w:proofErr w:type="spellStart"/>
      <w:r w:rsidRPr="006B6651">
        <w:rPr>
          <w:w w:val="110"/>
          <w:sz w:val="20"/>
          <w:lang w:val="ru-RU"/>
        </w:rPr>
        <w:t>уло</w:t>
      </w:r>
      <w:proofErr w:type="spellEnd"/>
      <w:r w:rsidRPr="006B6651">
        <w:rPr>
          <w:w w:val="110"/>
          <w:sz w:val="20"/>
          <w:lang w:val="ru-RU"/>
        </w:rPr>
        <w:t xml:space="preserve"> прийнято </w:t>
      </w:r>
      <w:proofErr w:type="spellStart"/>
      <w:r w:rsidRPr="006B6651">
        <w:rPr>
          <w:w w:val="110"/>
          <w:sz w:val="20"/>
          <w:lang w:val="ru-RU"/>
        </w:rPr>
        <w:t>рішення</w:t>
      </w:r>
      <w:proofErr w:type="spellEnd"/>
      <w:r w:rsidRPr="006B6651">
        <w:rPr>
          <w:w w:val="110"/>
          <w:sz w:val="20"/>
          <w:lang w:val="ru-RU"/>
        </w:rPr>
        <w:t xml:space="preserve"> провести </w:t>
      </w:r>
      <w:proofErr w:type="spellStart"/>
      <w:r w:rsidRPr="006B6651">
        <w:rPr>
          <w:w w:val="110"/>
          <w:sz w:val="20"/>
          <w:lang w:val="ru-RU"/>
        </w:rPr>
        <w:t>лише</w:t>
      </w:r>
      <w:proofErr w:type="spellEnd"/>
      <w:r w:rsidRPr="006B6651">
        <w:rPr>
          <w:w w:val="110"/>
          <w:sz w:val="20"/>
          <w:lang w:val="ru-RU"/>
        </w:rPr>
        <w:t xml:space="preserve"> метааналіз </w:t>
      </w:r>
      <w:proofErr w:type="spellStart"/>
      <w:r w:rsidRPr="006B6651">
        <w:rPr>
          <w:w w:val="110"/>
          <w:sz w:val="20"/>
          <w:lang w:val="ru-RU"/>
        </w:rPr>
        <w:t>індивідуальних</w:t>
      </w:r>
      <w:proofErr w:type="spellEnd"/>
      <w:r w:rsidRPr="006B6651">
        <w:rPr>
          <w:w w:val="110"/>
          <w:sz w:val="20"/>
          <w:lang w:val="ru-RU"/>
        </w:rPr>
        <w:t xml:space="preserve"> </w:t>
      </w:r>
      <w:proofErr w:type="spellStart"/>
      <w:r w:rsidRPr="006B6651">
        <w:rPr>
          <w:w w:val="110"/>
          <w:sz w:val="20"/>
          <w:lang w:val="ru-RU"/>
        </w:rPr>
        <w:t>даних</w:t>
      </w:r>
      <w:proofErr w:type="spellEnd"/>
      <w:r w:rsidRPr="006B6651">
        <w:rPr>
          <w:w w:val="110"/>
          <w:sz w:val="20"/>
          <w:lang w:val="ru-RU"/>
        </w:rPr>
        <w:t xml:space="preserve"> </w:t>
      </w:r>
      <w:proofErr w:type="spellStart"/>
      <w:r w:rsidRPr="006B6651">
        <w:rPr>
          <w:w w:val="110"/>
          <w:sz w:val="20"/>
          <w:lang w:val="ru-RU"/>
        </w:rPr>
        <w:t>пацієнтів</w:t>
      </w:r>
      <w:proofErr w:type="spellEnd"/>
      <w:r w:rsidRPr="006B6651">
        <w:rPr>
          <w:w w:val="110"/>
          <w:sz w:val="20"/>
          <w:lang w:val="ru-RU"/>
        </w:rPr>
        <w:t xml:space="preserve"> (ІДП)</w:t>
      </w:r>
      <w:r>
        <w:rPr>
          <w:w w:val="110"/>
          <w:sz w:val="20"/>
          <w:lang w:val="uk-UA"/>
        </w:rPr>
        <w:t>. О</w:t>
      </w:r>
      <w:proofErr w:type="spellStart"/>
      <w:r w:rsidRPr="006B6651">
        <w:rPr>
          <w:w w:val="110"/>
          <w:sz w:val="20"/>
          <w:lang w:val="ru-RU"/>
        </w:rPr>
        <w:t>тже</w:t>
      </w:r>
      <w:proofErr w:type="spellEnd"/>
      <w:r w:rsidRPr="006B6651">
        <w:rPr>
          <w:w w:val="110"/>
          <w:sz w:val="20"/>
          <w:lang w:val="ru-RU"/>
        </w:rPr>
        <w:t xml:space="preserve">, будь-яке </w:t>
      </w:r>
      <w:proofErr w:type="spellStart"/>
      <w:r w:rsidRPr="006B6651">
        <w:rPr>
          <w:w w:val="110"/>
          <w:sz w:val="20"/>
          <w:lang w:val="ru-RU"/>
        </w:rPr>
        <w:t>дослідження</w:t>
      </w:r>
      <w:proofErr w:type="spellEnd"/>
      <w:r w:rsidRPr="006B6651">
        <w:rPr>
          <w:w w:val="110"/>
          <w:sz w:val="20"/>
          <w:lang w:val="ru-RU"/>
        </w:rPr>
        <w:t xml:space="preserve">, яке не могло </w:t>
      </w:r>
      <w:proofErr w:type="spellStart"/>
      <w:r w:rsidRPr="006B6651">
        <w:rPr>
          <w:w w:val="110"/>
          <w:sz w:val="20"/>
          <w:lang w:val="ru-RU"/>
        </w:rPr>
        <w:t>надати</w:t>
      </w:r>
      <w:proofErr w:type="spellEnd"/>
      <w:r w:rsidRPr="006B6651">
        <w:rPr>
          <w:w w:val="110"/>
          <w:sz w:val="20"/>
          <w:lang w:val="ru-RU"/>
        </w:rPr>
        <w:t xml:space="preserve"> ІДП, </w:t>
      </w:r>
      <w:proofErr w:type="spellStart"/>
      <w:r w:rsidRPr="006B6651">
        <w:rPr>
          <w:w w:val="110"/>
          <w:sz w:val="20"/>
          <w:lang w:val="ru-RU"/>
        </w:rPr>
        <w:t>було</w:t>
      </w:r>
      <w:proofErr w:type="spellEnd"/>
      <w:r w:rsidRPr="006B6651">
        <w:rPr>
          <w:w w:val="110"/>
          <w:sz w:val="20"/>
          <w:lang w:val="ru-RU"/>
        </w:rPr>
        <w:t xml:space="preserve"> </w:t>
      </w:r>
      <w:proofErr w:type="spellStart"/>
      <w:r w:rsidRPr="006B6651">
        <w:rPr>
          <w:w w:val="110"/>
          <w:sz w:val="20"/>
          <w:lang w:val="ru-RU"/>
        </w:rPr>
        <w:t>виключено</w:t>
      </w:r>
      <w:proofErr w:type="spellEnd"/>
      <w:r w:rsidRPr="006B6651">
        <w:rPr>
          <w:spacing w:val="2"/>
          <w:w w:val="110"/>
          <w:sz w:val="20"/>
          <w:lang w:val="ru-RU"/>
        </w:rPr>
        <w:t xml:space="preserve"> </w:t>
      </w:r>
      <w:r w:rsidRPr="006B6651">
        <w:rPr>
          <w:w w:val="110"/>
          <w:sz w:val="20"/>
          <w:lang w:val="ru-RU"/>
        </w:rPr>
        <w:t xml:space="preserve">Два </w:t>
      </w:r>
      <w:proofErr w:type="spellStart"/>
      <w:r w:rsidRPr="006B6651">
        <w:rPr>
          <w:w w:val="110"/>
          <w:sz w:val="20"/>
          <w:lang w:val="ru-RU"/>
        </w:rPr>
        <w:t>автори</w:t>
      </w:r>
      <w:proofErr w:type="spellEnd"/>
      <w:r w:rsidRPr="006B6651">
        <w:rPr>
          <w:w w:val="110"/>
          <w:sz w:val="20"/>
          <w:lang w:val="ru-RU"/>
        </w:rPr>
        <w:t xml:space="preserve"> </w:t>
      </w:r>
      <w:proofErr w:type="spellStart"/>
      <w:r w:rsidRPr="006B6651">
        <w:rPr>
          <w:w w:val="110"/>
          <w:sz w:val="20"/>
          <w:lang w:val="ru-RU"/>
        </w:rPr>
        <w:t>звіту</w:t>
      </w:r>
      <w:proofErr w:type="spellEnd"/>
      <w:r w:rsidRPr="006B6651">
        <w:rPr>
          <w:w w:val="110"/>
          <w:sz w:val="20"/>
          <w:lang w:val="ru-RU"/>
        </w:rPr>
        <w:t xml:space="preserve"> провели </w:t>
      </w:r>
      <w:proofErr w:type="spellStart"/>
      <w:r w:rsidRPr="006B6651">
        <w:rPr>
          <w:w w:val="110"/>
          <w:sz w:val="20"/>
          <w:lang w:val="ru-RU"/>
        </w:rPr>
        <w:t>незалежну</w:t>
      </w:r>
      <w:proofErr w:type="spellEnd"/>
      <w:r w:rsidRPr="006B6651">
        <w:rPr>
          <w:w w:val="110"/>
          <w:sz w:val="20"/>
          <w:lang w:val="ru-RU"/>
        </w:rPr>
        <w:t xml:space="preserve"> </w:t>
      </w:r>
      <w:proofErr w:type="spellStart"/>
      <w:r w:rsidRPr="006B6651">
        <w:rPr>
          <w:w w:val="110"/>
          <w:sz w:val="20"/>
          <w:lang w:val="ru-RU"/>
        </w:rPr>
        <w:t>оцінку</w:t>
      </w:r>
      <w:proofErr w:type="spellEnd"/>
      <w:r w:rsidRPr="006B6651">
        <w:rPr>
          <w:w w:val="110"/>
          <w:sz w:val="20"/>
          <w:lang w:val="ru-RU"/>
        </w:rPr>
        <w:t xml:space="preserve"> </w:t>
      </w:r>
      <w:proofErr w:type="spellStart"/>
      <w:r w:rsidRPr="006B6651">
        <w:rPr>
          <w:w w:val="110"/>
          <w:sz w:val="20"/>
          <w:lang w:val="ru-RU"/>
        </w:rPr>
        <w:t>методологічної</w:t>
      </w:r>
      <w:proofErr w:type="spellEnd"/>
      <w:r w:rsidRPr="006B6651">
        <w:rPr>
          <w:w w:val="110"/>
          <w:sz w:val="20"/>
          <w:lang w:val="ru-RU"/>
        </w:rPr>
        <w:t xml:space="preserve"> </w:t>
      </w:r>
      <w:proofErr w:type="spellStart"/>
      <w:r w:rsidRPr="006B6651">
        <w:rPr>
          <w:w w:val="110"/>
          <w:sz w:val="20"/>
          <w:lang w:val="ru-RU"/>
        </w:rPr>
        <w:t>якості</w:t>
      </w:r>
      <w:proofErr w:type="spellEnd"/>
      <w:r w:rsidRPr="006B6651">
        <w:rPr>
          <w:w w:val="110"/>
          <w:sz w:val="20"/>
          <w:lang w:val="ru-RU"/>
        </w:rPr>
        <w:t xml:space="preserve"> за </w:t>
      </w:r>
      <w:proofErr w:type="spellStart"/>
      <w:r w:rsidRPr="006B6651">
        <w:rPr>
          <w:w w:val="110"/>
          <w:sz w:val="20"/>
          <w:lang w:val="ru-RU"/>
        </w:rPr>
        <w:t>допомогою</w:t>
      </w:r>
      <w:proofErr w:type="spellEnd"/>
      <w:r w:rsidRPr="006B6651">
        <w:rPr>
          <w:w w:val="110"/>
          <w:sz w:val="20"/>
          <w:lang w:val="ru-RU"/>
        </w:rPr>
        <w:t xml:space="preserve"> </w:t>
      </w:r>
      <w:r w:rsidRPr="00BE6D3F">
        <w:rPr>
          <w:w w:val="110"/>
          <w:sz w:val="20"/>
        </w:rPr>
        <w:t>QUADAS</w:t>
      </w:r>
      <w:r w:rsidRPr="00291E90">
        <w:rPr>
          <w:w w:val="110"/>
          <w:sz w:val="20"/>
          <w:lang w:val="ru-RU"/>
        </w:rPr>
        <w:t xml:space="preserve">-2. </w:t>
      </w:r>
      <w:proofErr w:type="spellStart"/>
      <w:r w:rsidRPr="006B6651">
        <w:rPr>
          <w:w w:val="110"/>
          <w:sz w:val="20"/>
          <w:lang w:val="ru-RU"/>
        </w:rPr>
        <w:t>Розбіжності</w:t>
      </w:r>
      <w:proofErr w:type="spellEnd"/>
      <w:r w:rsidRPr="006B6651">
        <w:rPr>
          <w:w w:val="110"/>
          <w:sz w:val="20"/>
          <w:lang w:val="ru-RU"/>
        </w:rPr>
        <w:t xml:space="preserve"> </w:t>
      </w:r>
      <w:proofErr w:type="spellStart"/>
      <w:r w:rsidRPr="006B6651">
        <w:rPr>
          <w:w w:val="110"/>
          <w:sz w:val="20"/>
          <w:lang w:val="ru-RU"/>
        </w:rPr>
        <w:t>усувалися</w:t>
      </w:r>
      <w:proofErr w:type="spellEnd"/>
      <w:r w:rsidRPr="006B6651">
        <w:rPr>
          <w:w w:val="110"/>
          <w:sz w:val="20"/>
          <w:lang w:val="ru-RU"/>
        </w:rPr>
        <w:t xml:space="preserve"> шляхом </w:t>
      </w:r>
      <w:proofErr w:type="spellStart"/>
      <w:r w:rsidRPr="006B6651">
        <w:rPr>
          <w:w w:val="110"/>
          <w:sz w:val="20"/>
          <w:lang w:val="ru-RU"/>
        </w:rPr>
        <w:t>обговорення</w:t>
      </w:r>
      <w:proofErr w:type="spellEnd"/>
      <w:r w:rsidRPr="006B6651">
        <w:rPr>
          <w:w w:val="110"/>
          <w:sz w:val="20"/>
          <w:lang w:val="ru-RU"/>
        </w:rPr>
        <w:t xml:space="preserve">, а </w:t>
      </w:r>
      <w:proofErr w:type="spellStart"/>
      <w:r w:rsidRPr="006B6651">
        <w:rPr>
          <w:w w:val="110"/>
          <w:sz w:val="20"/>
          <w:lang w:val="ru-RU"/>
        </w:rPr>
        <w:t>невизначеності</w:t>
      </w:r>
      <w:proofErr w:type="spellEnd"/>
      <w:r w:rsidRPr="006B6651">
        <w:rPr>
          <w:w w:val="110"/>
          <w:sz w:val="20"/>
          <w:lang w:val="ru-RU"/>
        </w:rPr>
        <w:t xml:space="preserve"> або </w:t>
      </w:r>
      <w:proofErr w:type="spellStart"/>
      <w:r w:rsidRPr="006B6651">
        <w:rPr>
          <w:w w:val="110"/>
          <w:sz w:val="20"/>
          <w:lang w:val="ru-RU"/>
        </w:rPr>
        <w:t>розбіжності</w:t>
      </w:r>
      <w:proofErr w:type="spellEnd"/>
      <w:r w:rsidRPr="006B6651">
        <w:rPr>
          <w:w w:val="110"/>
          <w:sz w:val="20"/>
          <w:lang w:val="ru-RU"/>
        </w:rPr>
        <w:t xml:space="preserve"> </w:t>
      </w:r>
      <w:proofErr w:type="spellStart"/>
      <w:r w:rsidRPr="006B6651">
        <w:rPr>
          <w:w w:val="110"/>
          <w:sz w:val="20"/>
          <w:lang w:val="ru-RU"/>
        </w:rPr>
        <w:t>розглядалися</w:t>
      </w:r>
      <w:proofErr w:type="spellEnd"/>
      <w:r w:rsidRPr="006B6651">
        <w:rPr>
          <w:w w:val="110"/>
          <w:sz w:val="20"/>
          <w:lang w:val="ru-RU"/>
        </w:rPr>
        <w:t xml:space="preserve"> незалежною </w:t>
      </w:r>
      <w:proofErr w:type="spellStart"/>
      <w:r w:rsidRPr="006B6651">
        <w:rPr>
          <w:w w:val="110"/>
          <w:sz w:val="20"/>
          <w:lang w:val="ru-RU"/>
        </w:rPr>
        <w:t>третьою</w:t>
      </w:r>
      <w:proofErr w:type="spellEnd"/>
      <w:r w:rsidRPr="006B6651">
        <w:rPr>
          <w:w w:val="110"/>
          <w:sz w:val="20"/>
          <w:lang w:val="ru-RU"/>
        </w:rPr>
        <w:t xml:space="preserve"> стороною.</w:t>
      </w:r>
    </w:p>
    <w:p w14:paraId="1FD66A8F" w14:textId="77777777" w:rsidR="00291E90" w:rsidRPr="006B6651" w:rsidRDefault="00291E90" w:rsidP="00DA5A55">
      <w:pPr>
        <w:pStyle w:val="a3"/>
        <w:spacing w:before="179" w:line="276" w:lineRule="auto"/>
        <w:ind w:left="567" w:right="2"/>
        <w:jc w:val="both"/>
        <w:rPr>
          <w:sz w:val="20"/>
          <w:lang w:val="uk-UA"/>
        </w:rPr>
      </w:pPr>
      <w:r w:rsidRPr="006B6651">
        <w:rPr>
          <w:w w:val="110"/>
          <w:sz w:val="20"/>
          <w:lang w:val="ru-RU"/>
        </w:rPr>
        <w:t xml:space="preserve">Були </w:t>
      </w:r>
      <w:proofErr w:type="spellStart"/>
      <w:r w:rsidRPr="006B6651">
        <w:rPr>
          <w:w w:val="110"/>
          <w:sz w:val="20"/>
          <w:lang w:val="ru-RU"/>
        </w:rPr>
        <w:t>проведені</w:t>
      </w:r>
      <w:proofErr w:type="spellEnd"/>
      <w:r w:rsidRPr="006B6651">
        <w:rPr>
          <w:w w:val="110"/>
          <w:sz w:val="20"/>
          <w:lang w:val="ru-RU"/>
        </w:rPr>
        <w:t xml:space="preserve"> </w:t>
      </w:r>
      <w:proofErr w:type="spellStart"/>
      <w:r w:rsidRPr="006B6651">
        <w:rPr>
          <w:w w:val="110"/>
          <w:sz w:val="20"/>
          <w:lang w:val="ru-RU"/>
        </w:rPr>
        <w:t>додаткові</w:t>
      </w:r>
      <w:proofErr w:type="spellEnd"/>
      <w:r w:rsidRPr="006B6651">
        <w:rPr>
          <w:w w:val="110"/>
          <w:sz w:val="20"/>
          <w:lang w:val="ru-RU"/>
        </w:rPr>
        <w:t xml:space="preserve"> </w:t>
      </w:r>
      <w:proofErr w:type="spellStart"/>
      <w:r w:rsidRPr="006B6651">
        <w:rPr>
          <w:w w:val="110"/>
          <w:sz w:val="20"/>
          <w:lang w:val="ru-RU"/>
        </w:rPr>
        <w:t>аналізи</w:t>
      </w:r>
      <w:proofErr w:type="spellEnd"/>
      <w:r w:rsidRPr="006B6651">
        <w:rPr>
          <w:w w:val="110"/>
          <w:sz w:val="20"/>
          <w:lang w:val="ru-RU"/>
        </w:rPr>
        <w:t xml:space="preserve"> для </w:t>
      </w:r>
      <w:proofErr w:type="spellStart"/>
      <w:r w:rsidRPr="006B6651">
        <w:rPr>
          <w:w w:val="110"/>
          <w:sz w:val="20"/>
          <w:lang w:val="ru-RU"/>
        </w:rPr>
        <w:t>оцінки</w:t>
      </w:r>
      <w:proofErr w:type="spellEnd"/>
      <w:r w:rsidRPr="006B6651">
        <w:rPr>
          <w:w w:val="110"/>
          <w:sz w:val="20"/>
          <w:lang w:val="ru-RU"/>
        </w:rPr>
        <w:t xml:space="preserve"> </w:t>
      </w:r>
      <w:proofErr w:type="spellStart"/>
      <w:r w:rsidRPr="006B6651">
        <w:rPr>
          <w:w w:val="110"/>
          <w:sz w:val="20"/>
          <w:lang w:val="ru-RU"/>
        </w:rPr>
        <w:t>діагностичної</w:t>
      </w:r>
      <w:proofErr w:type="spellEnd"/>
      <w:r w:rsidRPr="006B6651">
        <w:rPr>
          <w:w w:val="110"/>
          <w:sz w:val="20"/>
          <w:lang w:val="ru-RU"/>
        </w:rPr>
        <w:t xml:space="preserve"> </w:t>
      </w:r>
      <w:proofErr w:type="spellStart"/>
      <w:r w:rsidRPr="006B6651">
        <w:rPr>
          <w:w w:val="110"/>
          <w:sz w:val="20"/>
          <w:lang w:val="ru-RU"/>
        </w:rPr>
        <w:t>точності</w:t>
      </w:r>
      <w:proofErr w:type="spellEnd"/>
      <w:r w:rsidRPr="006B6651">
        <w:rPr>
          <w:w w:val="110"/>
          <w:sz w:val="20"/>
          <w:lang w:val="ru-RU"/>
        </w:rPr>
        <w:t xml:space="preserve"> тесту у ЛЖВ (людей, </w:t>
      </w:r>
      <w:proofErr w:type="spellStart"/>
      <w:r w:rsidRPr="006B6651">
        <w:rPr>
          <w:w w:val="110"/>
          <w:sz w:val="20"/>
          <w:lang w:val="ru-RU"/>
        </w:rPr>
        <w:t>що</w:t>
      </w:r>
      <w:proofErr w:type="spellEnd"/>
      <w:r w:rsidRPr="006B6651">
        <w:rPr>
          <w:w w:val="110"/>
          <w:sz w:val="20"/>
          <w:lang w:val="ru-RU"/>
        </w:rPr>
        <w:t xml:space="preserve"> </w:t>
      </w:r>
      <w:proofErr w:type="spellStart"/>
      <w:r w:rsidRPr="006B6651">
        <w:rPr>
          <w:w w:val="110"/>
          <w:sz w:val="20"/>
          <w:lang w:val="ru-RU"/>
        </w:rPr>
        <w:t>живуть</w:t>
      </w:r>
      <w:proofErr w:type="spellEnd"/>
      <w:r w:rsidRPr="006B6651">
        <w:rPr>
          <w:w w:val="110"/>
          <w:sz w:val="20"/>
          <w:lang w:val="ru-RU"/>
        </w:rPr>
        <w:t xml:space="preserve"> з ВІЛ) та для </w:t>
      </w:r>
      <w:proofErr w:type="spellStart"/>
      <w:r w:rsidRPr="006B6651">
        <w:rPr>
          <w:w w:val="110"/>
          <w:sz w:val="20"/>
          <w:lang w:val="ru-RU"/>
        </w:rPr>
        <w:t>напівкількісних</w:t>
      </w:r>
      <w:proofErr w:type="spellEnd"/>
      <w:r w:rsidRPr="006B6651">
        <w:rPr>
          <w:w w:val="110"/>
          <w:sz w:val="20"/>
          <w:lang w:val="ru-RU"/>
        </w:rPr>
        <w:t xml:space="preserve"> </w:t>
      </w:r>
      <w:proofErr w:type="spellStart"/>
      <w:r w:rsidRPr="006B6651">
        <w:rPr>
          <w:w w:val="110"/>
          <w:sz w:val="20"/>
          <w:lang w:val="ru-RU"/>
        </w:rPr>
        <w:t>результатів</w:t>
      </w:r>
      <w:proofErr w:type="spellEnd"/>
      <w:r w:rsidRPr="006B6651">
        <w:rPr>
          <w:w w:val="110"/>
          <w:sz w:val="20"/>
          <w:lang w:val="ru-RU"/>
        </w:rPr>
        <w:t xml:space="preserve"> (</w:t>
      </w:r>
      <w:proofErr w:type="spellStart"/>
      <w:r w:rsidRPr="006B6651">
        <w:rPr>
          <w:w w:val="110"/>
          <w:sz w:val="20"/>
          <w:lang w:val="ru-RU"/>
        </w:rPr>
        <w:t>отриманих</w:t>
      </w:r>
      <w:proofErr w:type="spellEnd"/>
      <w:r w:rsidRPr="006B6651">
        <w:rPr>
          <w:w w:val="110"/>
          <w:sz w:val="20"/>
          <w:lang w:val="ru-RU"/>
        </w:rPr>
        <w:t xml:space="preserve"> на </w:t>
      </w:r>
      <w:proofErr w:type="spellStart"/>
      <w:r w:rsidRPr="006B6651">
        <w:rPr>
          <w:w w:val="110"/>
          <w:sz w:val="20"/>
          <w:lang w:val="ru-RU"/>
        </w:rPr>
        <w:t>основі</w:t>
      </w:r>
      <w:proofErr w:type="spellEnd"/>
      <w:r w:rsidRPr="006B6651">
        <w:rPr>
          <w:w w:val="110"/>
          <w:sz w:val="20"/>
          <w:lang w:val="ru-RU"/>
        </w:rPr>
        <w:t xml:space="preserve"> </w:t>
      </w:r>
      <w:proofErr w:type="spellStart"/>
      <w:r w:rsidRPr="006B6651">
        <w:rPr>
          <w:w w:val="110"/>
          <w:sz w:val="20"/>
          <w:lang w:val="ru-RU"/>
        </w:rPr>
        <w:t>порогових</w:t>
      </w:r>
      <w:proofErr w:type="spellEnd"/>
      <w:r w:rsidRPr="006B6651">
        <w:rPr>
          <w:w w:val="110"/>
          <w:sz w:val="20"/>
          <w:lang w:val="ru-RU"/>
        </w:rPr>
        <w:t xml:space="preserve"> </w:t>
      </w:r>
      <w:proofErr w:type="spellStart"/>
      <w:r w:rsidRPr="006B6651">
        <w:rPr>
          <w:w w:val="110"/>
          <w:sz w:val="20"/>
          <w:lang w:val="ru-RU"/>
        </w:rPr>
        <w:t>циклів</w:t>
      </w:r>
      <w:proofErr w:type="spellEnd"/>
      <w:r w:rsidRPr="006B6651">
        <w:rPr>
          <w:w w:val="110"/>
          <w:sz w:val="20"/>
          <w:lang w:val="ru-RU"/>
        </w:rPr>
        <w:t xml:space="preserve">) </w:t>
      </w:r>
      <w:proofErr w:type="spellStart"/>
      <w:r w:rsidRPr="006B6651">
        <w:rPr>
          <w:w w:val="110"/>
          <w:sz w:val="20"/>
          <w:lang w:val="ru-RU"/>
        </w:rPr>
        <w:t>тестів</w:t>
      </w:r>
      <w:proofErr w:type="spellEnd"/>
      <w:r w:rsidRPr="006B6651">
        <w:rPr>
          <w:w w:val="110"/>
          <w:sz w:val="20"/>
          <w:lang w:val="ru-RU"/>
        </w:rPr>
        <w:t xml:space="preserve"> </w:t>
      </w:r>
      <w:r w:rsidRPr="00BE6D3F">
        <w:rPr>
          <w:w w:val="110"/>
          <w:sz w:val="20"/>
        </w:rPr>
        <w:t>Xpert</w:t>
      </w:r>
      <w:r w:rsidRPr="006B6651">
        <w:rPr>
          <w:w w:val="110"/>
          <w:sz w:val="20"/>
          <w:lang w:val="ru-RU"/>
        </w:rPr>
        <w:t xml:space="preserve"> </w:t>
      </w:r>
      <w:r w:rsidRPr="00BE6D3F">
        <w:rPr>
          <w:w w:val="110"/>
          <w:sz w:val="20"/>
        </w:rPr>
        <w:t>MTB</w:t>
      </w:r>
      <w:r w:rsidRPr="006B6651">
        <w:rPr>
          <w:w w:val="110"/>
          <w:sz w:val="20"/>
          <w:lang w:val="ru-RU"/>
        </w:rPr>
        <w:t>/</w:t>
      </w:r>
      <w:r w:rsidRPr="00BE6D3F">
        <w:rPr>
          <w:w w:val="110"/>
          <w:sz w:val="20"/>
        </w:rPr>
        <w:t>RIF</w:t>
      </w:r>
      <w:r w:rsidRPr="006B6651">
        <w:rPr>
          <w:w w:val="110"/>
          <w:sz w:val="20"/>
          <w:lang w:val="ru-RU"/>
        </w:rPr>
        <w:t xml:space="preserve">® або </w:t>
      </w:r>
      <w:r w:rsidRPr="00BE6D3F">
        <w:rPr>
          <w:w w:val="110"/>
          <w:sz w:val="20"/>
        </w:rPr>
        <w:t>Xpert</w:t>
      </w:r>
      <w:r w:rsidRPr="006B6651">
        <w:rPr>
          <w:w w:val="110"/>
          <w:sz w:val="20"/>
          <w:lang w:val="ru-RU"/>
        </w:rPr>
        <w:t xml:space="preserve"> </w:t>
      </w:r>
      <w:r w:rsidRPr="00BE6D3F">
        <w:rPr>
          <w:w w:val="110"/>
          <w:sz w:val="20"/>
        </w:rPr>
        <w:t>Ultra</w:t>
      </w:r>
      <w:r w:rsidRPr="006B6651">
        <w:rPr>
          <w:w w:val="110"/>
          <w:sz w:val="20"/>
          <w:lang w:val="ru-RU"/>
        </w:rPr>
        <w:t>®, де "</w:t>
      </w:r>
      <w:proofErr w:type="spellStart"/>
      <w:r w:rsidRPr="006B6651">
        <w:rPr>
          <w:w w:val="110"/>
          <w:sz w:val="20"/>
          <w:lang w:val="ru-RU"/>
        </w:rPr>
        <w:t>дуже</w:t>
      </w:r>
      <w:proofErr w:type="spellEnd"/>
      <w:r w:rsidRPr="006B6651">
        <w:rPr>
          <w:w w:val="110"/>
          <w:sz w:val="20"/>
          <w:lang w:val="ru-RU"/>
        </w:rPr>
        <w:t xml:space="preserve"> </w:t>
      </w:r>
      <w:proofErr w:type="spellStart"/>
      <w:r w:rsidRPr="006B6651">
        <w:rPr>
          <w:w w:val="110"/>
          <w:sz w:val="20"/>
          <w:lang w:val="ru-RU"/>
        </w:rPr>
        <w:t>низькі</w:t>
      </w:r>
      <w:proofErr w:type="spellEnd"/>
      <w:r w:rsidRPr="006B6651">
        <w:rPr>
          <w:w w:val="110"/>
          <w:sz w:val="20"/>
          <w:lang w:val="ru-RU"/>
        </w:rPr>
        <w:t>" або "</w:t>
      </w:r>
      <w:proofErr w:type="spellStart"/>
      <w:r w:rsidRPr="006B6651">
        <w:rPr>
          <w:w w:val="110"/>
          <w:sz w:val="20"/>
          <w:lang w:val="ru-RU"/>
        </w:rPr>
        <w:t>низькі</w:t>
      </w:r>
      <w:proofErr w:type="spellEnd"/>
      <w:r w:rsidRPr="006B6651">
        <w:rPr>
          <w:w w:val="110"/>
          <w:sz w:val="20"/>
          <w:lang w:val="ru-RU"/>
        </w:rPr>
        <w:t xml:space="preserve">" </w:t>
      </w:r>
      <w:proofErr w:type="spellStart"/>
      <w:r w:rsidRPr="006B6651">
        <w:rPr>
          <w:w w:val="110"/>
          <w:sz w:val="20"/>
          <w:lang w:val="ru-RU"/>
        </w:rPr>
        <w:t>концентрації</w:t>
      </w:r>
      <w:proofErr w:type="spellEnd"/>
      <w:r w:rsidRPr="006B6651">
        <w:rPr>
          <w:w w:val="110"/>
          <w:sz w:val="20"/>
          <w:lang w:val="ru-RU"/>
        </w:rPr>
        <w:t xml:space="preserve"> </w:t>
      </w:r>
      <w:r w:rsidRPr="00BE6D3F">
        <w:rPr>
          <w:i/>
          <w:w w:val="110"/>
          <w:sz w:val="20"/>
        </w:rPr>
        <w:t>M</w:t>
      </w:r>
      <w:r w:rsidRPr="006B6651">
        <w:rPr>
          <w:i/>
          <w:w w:val="110"/>
          <w:sz w:val="20"/>
          <w:lang w:val="ru-RU"/>
        </w:rPr>
        <w:t xml:space="preserve">. </w:t>
      </w:r>
      <w:r w:rsidRPr="00BE6D3F">
        <w:rPr>
          <w:i/>
          <w:w w:val="110"/>
          <w:sz w:val="20"/>
        </w:rPr>
        <w:t>tuberculosis</w:t>
      </w:r>
      <w:r w:rsidRPr="006B6651">
        <w:rPr>
          <w:w w:val="110"/>
          <w:sz w:val="20"/>
          <w:lang w:val="ru-RU"/>
        </w:rPr>
        <w:t xml:space="preserve"> </w:t>
      </w:r>
      <w:proofErr w:type="spellStart"/>
      <w:r w:rsidRPr="006B6651">
        <w:rPr>
          <w:w w:val="110"/>
          <w:sz w:val="20"/>
          <w:lang w:val="ru-RU"/>
        </w:rPr>
        <w:t>порівнювалися</w:t>
      </w:r>
      <w:proofErr w:type="spellEnd"/>
      <w:r w:rsidRPr="006B6651">
        <w:rPr>
          <w:w w:val="110"/>
          <w:sz w:val="20"/>
          <w:lang w:val="ru-RU"/>
        </w:rPr>
        <w:t xml:space="preserve"> з "</w:t>
      </w:r>
      <w:proofErr w:type="spellStart"/>
      <w:r w:rsidRPr="006B6651">
        <w:rPr>
          <w:w w:val="110"/>
          <w:sz w:val="20"/>
          <w:lang w:val="ru-RU"/>
        </w:rPr>
        <w:t>середніми</w:t>
      </w:r>
      <w:proofErr w:type="spellEnd"/>
      <w:r w:rsidRPr="006B6651">
        <w:rPr>
          <w:w w:val="110"/>
          <w:sz w:val="20"/>
          <w:lang w:val="ru-RU"/>
        </w:rPr>
        <w:t>" або "</w:t>
      </w:r>
      <w:proofErr w:type="spellStart"/>
      <w:r w:rsidRPr="006B6651">
        <w:rPr>
          <w:w w:val="110"/>
          <w:sz w:val="20"/>
          <w:lang w:val="ru-RU"/>
        </w:rPr>
        <w:t>високими</w:t>
      </w:r>
      <w:proofErr w:type="spellEnd"/>
      <w:r w:rsidRPr="006B6651">
        <w:rPr>
          <w:w w:val="110"/>
          <w:sz w:val="20"/>
          <w:lang w:val="ru-RU"/>
        </w:rPr>
        <w:t xml:space="preserve">" </w:t>
      </w:r>
      <w:proofErr w:type="spellStart"/>
      <w:r w:rsidRPr="006B6651">
        <w:rPr>
          <w:w w:val="110"/>
          <w:sz w:val="20"/>
          <w:lang w:val="ru-RU"/>
        </w:rPr>
        <w:t>концентраціями</w:t>
      </w:r>
      <w:proofErr w:type="spellEnd"/>
      <w:r w:rsidRPr="006B6651">
        <w:rPr>
          <w:w w:val="110"/>
          <w:sz w:val="20"/>
          <w:lang w:val="ru-RU"/>
        </w:rPr>
        <w:t>.</w:t>
      </w:r>
      <w:r w:rsidRPr="00BE6D3F">
        <w:rPr>
          <w:w w:val="110"/>
          <w:sz w:val="20"/>
          <w:lang w:val="uk-UA"/>
        </w:rPr>
        <w:t xml:space="preserve"> </w:t>
      </w:r>
      <w:r w:rsidRPr="006B6651">
        <w:rPr>
          <w:w w:val="110"/>
          <w:sz w:val="20"/>
          <w:lang w:val="uk-UA"/>
        </w:rPr>
        <w:t xml:space="preserve">Категорії "дуже низькі" або "низькі" </w:t>
      </w:r>
      <w:proofErr w:type="spellStart"/>
      <w:r w:rsidRPr="006B6651">
        <w:rPr>
          <w:w w:val="110"/>
          <w:sz w:val="20"/>
          <w:lang w:val="uk-UA"/>
        </w:rPr>
        <w:t>напівкількісні</w:t>
      </w:r>
      <w:proofErr w:type="spellEnd"/>
      <w:r w:rsidRPr="006B6651">
        <w:rPr>
          <w:w w:val="110"/>
          <w:sz w:val="20"/>
          <w:lang w:val="uk-UA"/>
        </w:rPr>
        <w:t xml:space="preserve"> результати представляють стани з малим </w:t>
      </w:r>
      <w:proofErr w:type="spellStart"/>
      <w:r w:rsidRPr="006B6651">
        <w:rPr>
          <w:w w:val="110"/>
          <w:sz w:val="20"/>
          <w:lang w:val="uk-UA"/>
        </w:rPr>
        <w:t>бактеріовиділенням</w:t>
      </w:r>
      <w:proofErr w:type="spellEnd"/>
      <w:r w:rsidRPr="006B6651">
        <w:rPr>
          <w:w w:val="110"/>
          <w:sz w:val="20"/>
          <w:lang w:val="uk-UA"/>
        </w:rPr>
        <w:t>, такі як ті, що часто спостерігаються при туберкульозі у дітей.</w:t>
      </w:r>
    </w:p>
    <w:p w14:paraId="7FC2C1FE" w14:textId="082EE67C" w:rsidR="00291E90" w:rsidRPr="006B6651" w:rsidRDefault="00291E90" w:rsidP="00DA5A55">
      <w:pPr>
        <w:pStyle w:val="a3"/>
        <w:spacing w:before="172" w:line="276" w:lineRule="auto"/>
        <w:ind w:left="567" w:right="2"/>
        <w:jc w:val="both"/>
        <w:rPr>
          <w:sz w:val="20"/>
          <w:lang w:val="uk-UA"/>
        </w:rPr>
      </w:pPr>
      <w:proofErr w:type="spellStart"/>
      <w:r w:rsidRPr="006B6651">
        <w:rPr>
          <w:w w:val="110"/>
          <w:sz w:val="20"/>
          <w:lang w:val="ru-RU"/>
        </w:rPr>
        <w:t>Включалися</w:t>
      </w:r>
      <w:proofErr w:type="spellEnd"/>
      <w:r w:rsidRPr="006B6651">
        <w:rPr>
          <w:w w:val="110"/>
          <w:sz w:val="20"/>
          <w:lang w:val="ru-RU"/>
        </w:rPr>
        <w:t xml:space="preserve"> </w:t>
      </w:r>
      <w:proofErr w:type="spellStart"/>
      <w:r w:rsidRPr="006B6651">
        <w:rPr>
          <w:w w:val="110"/>
          <w:sz w:val="20"/>
          <w:lang w:val="ru-RU"/>
        </w:rPr>
        <w:t>дані</w:t>
      </w:r>
      <w:proofErr w:type="spellEnd"/>
      <w:r w:rsidRPr="006B6651">
        <w:rPr>
          <w:w w:val="110"/>
          <w:sz w:val="20"/>
          <w:lang w:val="ru-RU"/>
        </w:rPr>
        <w:t xml:space="preserve"> як з </w:t>
      </w:r>
      <w:proofErr w:type="spellStart"/>
      <w:r w:rsidRPr="006B6651">
        <w:rPr>
          <w:w w:val="110"/>
          <w:sz w:val="20"/>
          <w:lang w:val="ru-RU"/>
        </w:rPr>
        <w:t>опублікованих</w:t>
      </w:r>
      <w:proofErr w:type="spellEnd"/>
      <w:r w:rsidRPr="006B6651">
        <w:rPr>
          <w:w w:val="110"/>
          <w:sz w:val="20"/>
          <w:lang w:val="ru-RU"/>
        </w:rPr>
        <w:t xml:space="preserve">, так і з </w:t>
      </w:r>
      <w:proofErr w:type="spellStart"/>
      <w:r w:rsidRPr="006B6651">
        <w:rPr>
          <w:w w:val="110"/>
          <w:sz w:val="20"/>
          <w:lang w:val="ru-RU"/>
        </w:rPr>
        <w:t>неопублікованих</w:t>
      </w:r>
      <w:proofErr w:type="spellEnd"/>
      <w:r w:rsidRPr="006B6651">
        <w:rPr>
          <w:w w:val="110"/>
          <w:sz w:val="20"/>
          <w:lang w:val="ru-RU"/>
        </w:rPr>
        <w:t xml:space="preserve"> проспективних, </w:t>
      </w:r>
      <w:proofErr w:type="spellStart"/>
      <w:r w:rsidRPr="006B6651">
        <w:rPr>
          <w:w w:val="110"/>
          <w:sz w:val="20"/>
          <w:lang w:val="ru-RU"/>
        </w:rPr>
        <w:t>обсерваційних</w:t>
      </w:r>
      <w:proofErr w:type="spellEnd"/>
      <w:r w:rsidRPr="006B6651">
        <w:rPr>
          <w:w w:val="110"/>
          <w:sz w:val="20"/>
          <w:lang w:val="ru-RU"/>
        </w:rPr>
        <w:t xml:space="preserve"> </w:t>
      </w:r>
      <w:proofErr w:type="spellStart"/>
      <w:r w:rsidRPr="006B6651">
        <w:rPr>
          <w:w w:val="110"/>
          <w:sz w:val="20"/>
          <w:lang w:val="ru-RU"/>
        </w:rPr>
        <w:t>клінічних</w:t>
      </w:r>
      <w:proofErr w:type="spellEnd"/>
      <w:r w:rsidRPr="006B6651">
        <w:rPr>
          <w:w w:val="110"/>
          <w:sz w:val="20"/>
          <w:lang w:val="ru-RU"/>
        </w:rPr>
        <w:t xml:space="preserve"> </w:t>
      </w:r>
      <w:proofErr w:type="spellStart"/>
      <w:r w:rsidRPr="006B6651">
        <w:rPr>
          <w:w w:val="110"/>
          <w:sz w:val="20"/>
          <w:lang w:val="ru-RU"/>
        </w:rPr>
        <w:t>досліджень</w:t>
      </w:r>
      <w:proofErr w:type="spellEnd"/>
      <w:r w:rsidRPr="006B6651">
        <w:rPr>
          <w:w w:val="110"/>
          <w:sz w:val="20"/>
          <w:lang w:val="ru-RU"/>
        </w:rPr>
        <w:t xml:space="preserve"> </w:t>
      </w:r>
      <w:proofErr w:type="spellStart"/>
      <w:r w:rsidRPr="006B6651">
        <w:rPr>
          <w:w w:val="110"/>
          <w:sz w:val="20"/>
          <w:lang w:val="ru-RU"/>
        </w:rPr>
        <w:t>діагностичної</w:t>
      </w:r>
      <w:proofErr w:type="spellEnd"/>
      <w:r w:rsidRPr="006B6651">
        <w:rPr>
          <w:w w:val="110"/>
          <w:sz w:val="20"/>
          <w:lang w:val="ru-RU"/>
        </w:rPr>
        <w:t xml:space="preserve"> </w:t>
      </w:r>
      <w:proofErr w:type="spellStart"/>
      <w:r w:rsidRPr="006B6651">
        <w:rPr>
          <w:w w:val="110"/>
          <w:sz w:val="20"/>
          <w:lang w:val="ru-RU"/>
        </w:rPr>
        <w:t>точності</w:t>
      </w:r>
      <w:proofErr w:type="spellEnd"/>
      <w:r w:rsidRPr="006B6651">
        <w:rPr>
          <w:w w:val="110"/>
          <w:sz w:val="20"/>
          <w:lang w:val="ru-RU"/>
        </w:rPr>
        <w:t xml:space="preserve"> платформ таргетного </w:t>
      </w:r>
      <w:r w:rsidRPr="00BE6D3F">
        <w:rPr>
          <w:w w:val="110"/>
          <w:sz w:val="20"/>
          <w:lang w:val="uk-UA"/>
        </w:rPr>
        <w:t>СНП</w:t>
      </w:r>
      <w:r w:rsidRPr="006B6651">
        <w:rPr>
          <w:w w:val="110"/>
          <w:sz w:val="20"/>
          <w:lang w:val="ru-RU"/>
        </w:rPr>
        <w:t xml:space="preserve">. </w:t>
      </w:r>
      <w:proofErr w:type="spellStart"/>
      <w:r w:rsidRPr="006B6651">
        <w:rPr>
          <w:w w:val="110"/>
          <w:sz w:val="20"/>
          <w:lang w:val="ru-RU"/>
        </w:rPr>
        <w:t>Всі</w:t>
      </w:r>
      <w:proofErr w:type="spellEnd"/>
      <w:r w:rsidRPr="006B6651">
        <w:rPr>
          <w:w w:val="110"/>
          <w:sz w:val="20"/>
          <w:lang w:val="ru-RU"/>
        </w:rPr>
        <w:t xml:space="preserve"> </w:t>
      </w:r>
      <w:proofErr w:type="spellStart"/>
      <w:r w:rsidRPr="006B6651">
        <w:rPr>
          <w:w w:val="110"/>
          <w:sz w:val="20"/>
          <w:lang w:val="ru-RU"/>
        </w:rPr>
        <w:t>дослідження</w:t>
      </w:r>
      <w:proofErr w:type="spellEnd"/>
      <w:r w:rsidRPr="006B6651">
        <w:rPr>
          <w:w w:val="110"/>
          <w:sz w:val="20"/>
          <w:lang w:val="ru-RU"/>
        </w:rPr>
        <w:t xml:space="preserve">, де таргетне </w:t>
      </w:r>
      <w:r w:rsidRPr="00BE6D3F">
        <w:rPr>
          <w:w w:val="110"/>
          <w:sz w:val="20"/>
          <w:lang w:val="uk-UA"/>
        </w:rPr>
        <w:t>СНП</w:t>
      </w:r>
      <w:r w:rsidRPr="006B6651">
        <w:rPr>
          <w:w w:val="110"/>
          <w:sz w:val="20"/>
          <w:lang w:val="ru-RU"/>
        </w:rPr>
        <w:t xml:space="preserve"> </w:t>
      </w:r>
      <w:proofErr w:type="spellStart"/>
      <w:r w:rsidRPr="006B6651">
        <w:rPr>
          <w:w w:val="110"/>
          <w:sz w:val="20"/>
          <w:lang w:val="ru-RU"/>
        </w:rPr>
        <w:t>проводилося</w:t>
      </w:r>
      <w:proofErr w:type="spellEnd"/>
      <w:r w:rsidRPr="006B6651">
        <w:rPr>
          <w:w w:val="110"/>
          <w:sz w:val="20"/>
          <w:lang w:val="ru-RU"/>
        </w:rPr>
        <w:t xml:space="preserve"> </w:t>
      </w:r>
      <w:proofErr w:type="spellStart"/>
      <w:r w:rsidRPr="006B6651">
        <w:rPr>
          <w:w w:val="110"/>
          <w:sz w:val="20"/>
          <w:lang w:val="ru-RU"/>
        </w:rPr>
        <w:t>безпосередньо</w:t>
      </w:r>
      <w:proofErr w:type="spellEnd"/>
      <w:r w:rsidRPr="006B6651">
        <w:rPr>
          <w:w w:val="110"/>
          <w:sz w:val="20"/>
          <w:lang w:val="ru-RU"/>
        </w:rPr>
        <w:t xml:space="preserve"> з </w:t>
      </w:r>
      <w:proofErr w:type="spellStart"/>
      <w:r w:rsidRPr="006B6651">
        <w:rPr>
          <w:w w:val="110"/>
          <w:sz w:val="20"/>
          <w:lang w:val="ru-RU"/>
        </w:rPr>
        <w:t>оброблених</w:t>
      </w:r>
      <w:proofErr w:type="spellEnd"/>
      <w:r w:rsidRPr="006B6651">
        <w:rPr>
          <w:w w:val="110"/>
          <w:sz w:val="20"/>
          <w:lang w:val="ru-RU"/>
        </w:rPr>
        <w:t xml:space="preserve"> </w:t>
      </w:r>
      <w:proofErr w:type="spellStart"/>
      <w:r w:rsidRPr="006B6651">
        <w:rPr>
          <w:w w:val="110"/>
          <w:sz w:val="20"/>
          <w:lang w:val="ru-RU"/>
        </w:rPr>
        <w:t>клінічних</w:t>
      </w:r>
      <w:proofErr w:type="spellEnd"/>
      <w:r w:rsidRPr="006B6651">
        <w:rPr>
          <w:w w:val="110"/>
          <w:sz w:val="20"/>
          <w:lang w:val="ru-RU"/>
        </w:rPr>
        <w:t xml:space="preserve"> </w:t>
      </w:r>
      <w:proofErr w:type="spellStart"/>
      <w:r w:rsidRPr="006B6651">
        <w:rPr>
          <w:w w:val="110"/>
          <w:sz w:val="20"/>
          <w:lang w:val="ru-RU"/>
        </w:rPr>
        <w:t>зразків</w:t>
      </w:r>
      <w:proofErr w:type="spellEnd"/>
      <w:r w:rsidRPr="006B6651">
        <w:rPr>
          <w:w w:val="110"/>
          <w:sz w:val="20"/>
          <w:lang w:val="ru-RU"/>
        </w:rPr>
        <w:t xml:space="preserve">, були </w:t>
      </w:r>
      <w:proofErr w:type="spellStart"/>
      <w:r w:rsidRPr="006B6651">
        <w:rPr>
          <w:w w:val="110"/>
          <w:sz w:val="20"/>
          <w:lang w:val="ru-RU"/>
        </w:rPr>
        <w:t>включені</w:t>
      </w:r>
      <w:proofErr w:type="spellEnd"/>
      <w:r w:rsidRPr="006B6651">
        <w:rPr>
          <w:w w:val="110"/>
          <w:sz w:val="20"/>
          <w:lang w:val="ru-RU"/>
        </w:rPr>
        <w:t xml:space="preserve">, </w:t>
      </w:r>
      <w:proofErr w:type="spellStart"/>
      <w:r w:rsidRPr="006B6651">
        <w:rPr>
          <w:w w:val="110"/>
          <w:sz w:val="20"/>
          <w:lang w:val="ru-RU"/>
        </w:rPr>
        <w:t>тоді</w:t>
      </w:r>
      <w:proofErr w:type="spellEnd"/>
      <w:r w:rsidRPr="006B6651">
        <w:rPr>
          <w:w w:val="110"/>
          <w:sz w:val="20"/>
          <w:lang w:val="ru-RU"/>
        </w:rPr>
        <w:t xml:space="preserve"> як </w:t>
      </w:r>
      <w:proofErr w:type="spellStart"/>
      <w:r w:rsidRPr="006B6651">
        <w:rPr>
          <w:w w:val="110"/>
          <w:sz w:val="20"/>
          <w:lang w:val="ru-RU"/>
        </w:rPr>
        <w:t>ті</w:t>
      </w:r>
      <w:proofErr w:type="spellEnd"/>
      <w:r w:rsidRPr="006B6651">
        <w:rPr>
          <w:w w:val="110"/>
          <w:sz w:val="20"/>
          <w:lang w:val="ru-RU"/>
        </w:rPr>
        <w:t xml:space="preserve">, </w:t>
      </w:r>
      <w:proofErr w:type="spellStart"/>
      <w:r w:rsidRPr="006B6651">
        <w:rPr>
          <w:w w:val="110"/>
          <w:sz w:val="20"/>
          <w:lang w:val="ru-RU"/>
        </w:rPr>
        <w:t>що</w:t>
      </w:r>
      <w:proofErr w:type="spellEnd"/>
      <w:r w:rsidRPr="006B6651">
        <w:rPr>
          <w:w w:val="110"/>
          <w:sz w:val="20"/>
          <w:lang w:val="ru-RU"/>
        </w:rPr>
        <w:t xml:space="preserve"> </w:t>
      </w:r>
      <w:proofErr w:type="spellStart"/>
      <w:r w:rsidRPr="006B6651">
        <w:rPr>
          <w:w w:val="110"/>
          <w:sz w:val="20"/>
          <w:lang w:val="ru-RU"/>
        </w:rPr>
        <w:t>проводилися</w:t>
      </w:r>
      <w:proofErr w:type="spellEnd"/>
      <w:r w:rsidRPr="006B6651">
        <w:rPr>
          <w:w w:val="110"/>
          <w:sz w:val="20"/>
          <w:lang w:val="ru-RU"/>
        </w:rPr>
        <w:t xml:space="preserve"> </w:t>
      </w:r>
      <w:proofErr w:type="spellStart"/>
      <w:r w:rsidRPr="006B6651">
        <w:rPr>
          <w:w w:val="110"/>
          <w:sz w:val="20"/>
          <w:lang w:val="ru-RU"/>
        </w:rPr>
        <w:t>виключно</w:t>
      </w:r>
      <w:proofErr w:type="spellEnd"/>
      <w:r w:rsidRPr="006B6651">
        <w:rPr>
          <w:w w:val="110"/>
          <w:sz w:val="20"/>
          <w:lang w:val="ru-RU"/>
        </w:rPr>
        <w:t xml:space="preserve"> на </w:t>
      </w:r>
      <w:proofErr w:type="spellStart"/>
      <w:r w:rsidRPr="006B6651">
        <w:rPr>
          <w:w w:val="110"/>
          <w:sz w:val="20"/>
          <w:lang w:val="ru-RU"/>
        </w:rPr>
        <w:t>культивованих</w:t>
      </w:r>
      <w:proofErr w:type="spellEnd"/>
      <w:r w:rsidRPr="006B6651">
        <w:rPr>
          <w:w w:val="110"/>
          <w:sz w:val="20"/>
          <w:lang w:val="ru-RU"/>
        </w:rPr>
        <w:t xml:space="preserve"> </w:t>
      </w:r>
      <w:proofErr w:type="spellStart"/>
      <w:r w:rsidRPr="006B6651">
        <w:rPr>
          <w:w w:val="110"/>
          <w:sz w:val="20"/>
          <w:lang w:val="ru-RU"/>
        </w:rPr>
        <w:t>ізолятах</w:t>
      </w:r>
      <w:proofErr w:type="spellEnd"/>
      <w:r w:rsidRPr="006B6651">
        <w:rPr>
          <w:w w:val="110"/>
          <w:sz w:val="20"/>
          <w:lang w:val="ru-RU"/>
        </w:rPr>
        <w:t xml:space="preserve">, були </w:t>
      </w:r>
      <w:proofErr w:type="spellStart"/>
      <w:r w:rsidRPr="006B6651">
        <w:rPr>
          <w:w w:val="110"/>
          <w:sz w:val="20"/>
          <w:lang w:val="ru-RU"/>
        </w:rPr>
        <w:t>виключені</w:t>
      </w:r>
      <w:proofErr w:type="spellEnd"/>
      <w:r w:rsidRPr="006B6651">
        <w:rPr>
          <w:w w:val="110"/>
          <w:sz w:val="20"/>
          <w:lang w:val="ru-RU"/>
        </w:rPr>
        <w:t xml:space="preserve">. </w:t>
      </w:r>
      <w:proofErr w:type="spellStart"/>
      <w:r w:rsidRPr="006B6651">
        <w:rPr>
          <w:w w:val="110"/>
          <w:sz w:val="20"/>
          <w:lang w:val="ru-RU"/>
        </w:rPr>
        <w:t>Всі</w:t>
      </w:r>
      <w:proofErr w:type="spellEnd"/>
      <w:r w:rsidRPr="006B6651">
        <w:rPr>
          <w:w w:val="110"/>
          <w:sz w:val="20"/>
          <w:lang w:val="ru-RU"/>
        </w:rPr>
        <w:t xml:space="preserve"> </w:t>
      </w:r>
      <w:proofErr w:type="spellStart"/>
      <w:r w:rsidRPr="006B6651">
        <w:rPr>
          <w:w w:val="110"/>
          <w:sz w:val="20"/>
          <w:lang w:val="ru-RU"/>
        </w:rPr>
        <w:t>дослідження</w:t>
      </w:r>
      <w:proofErr w:type="spellEnd"/>
      <w:r w:rsidRPr="006B6651">
        <w:rPr>
          <w:w w:val="110"/>
          <w:sz w:val="20"/>
          <w:lang w:val="ru-RU"/>
        </w:rPr>
        <w:t xml:space="preserve"> </w:t>
      </w:r>
      <w:proofErr w:type="spellStart"/>
      <w:r w:rsidRPr="006B6651">
        <w:rPr>
          <w:w w:val="110"/>
          <w:sz w:val="20"/>
          <w:lang w:val="ru-RU"/>
        </w:rPr>
        <w:t>повинні</w:t>
      </w:r>
      <w:proofErr w:type="spellEnd"/>
      <w:r w:rsidRPr="006B6651">
        <w:rPr>
          <w:w w:val="110"/>
          <w:sz w:val="20"/>
          <w:lang w:val="ru-RU"/>
        </w:rPr>
        <w:t xml:space="preserve"> були </w:t>
      </w:r>
      <w:proofErr w:type="spellStart"/>
      <w:r w:rsidRPr="006B6651">
        <w:rPr>
          <w:w w:val="110"/>
          <w:sz w:val="20"/>
          <w:lang w:val="ru-RU"/>
        </w:rPr>
        <w:t>мати</w:t>
      </w:r>
      <w:proofErr w:type="spellEnd"/>
      <w:r w:rsidRPr="006B6651">
        <w:rPr>
          <w:w w:val="110"/>
          <w:sz w:val="20"/>
          <w:lang w:val="ru-RU"/>
        </w:rPr>
        <w:t xml:space="preserve"> </w:t>
      </w:r>
      <w:proofErr w:type="spellStart"/>
      <w:r w:rsidRPr="006B6651">
        <w:rPr>
          <w:w w:val="110"/>
          <w:sz w:val="20"/>
          <w:lang w:val="ru-RU"/>
        </w:rPr>
        <w:t>порівняльні</w:t>
      </w:r>
      <w:proofErr w:type="spellEnd"/>
      <w:r w:rsidRPr="006B6651">
        <w:rPr>
          <w:w w:val="110"/>
          <w:sz w:val="20"/>
          <w:lang w:val="ru-RU"/>
        </w:rPr>
        <w:t xml:space="preserve"> </w:t>
      </w:r>
      <w:proofErr w:type="spellStart"/>
      <w:r w:rsidRPr="006B6651">
        <w:rPr>
          <w:w w:val="110"/>
          <w:sz w:val="20"/>
          <w:lang w:val="ru-RU"/>
        </w:rPr>
        <w:t>дані</w:t>
      </w:r>
      <w:proofErr w:type="spellEnd"/>
      <w:r w:rsidRPr="006B6651">
        <w:rPr>
          <w:w w:val="110"/>
          <w:sz w:val="20"/>
          <w:lang w:val="ru-RU"/>
        </w:rPr>
        <w:t xml:space="preserve"> </w:t>
      </w:r>
      <w:proofErr w:type="spellStart"/>
      <w:r w:rsidRPr="006B6651">
        <w:rPr>
          <w:w w:val="110"/>
          <w:sz w:val="20"/>
          <w:lang w:val="ru-RU"/>
        </w:rPr>
        <w:t>фенотипового</w:t>
      </w:r>
      <w:proofErr w:type="spellEnd"/>
      <w:r w:rsidRPr="006B6651">
        <w:rPr>
          <w:w w:val="110"/>
          <w:sz w:val="20"/>
          <w:lang w:val="ru-RU"/>
        </w:rPr>
        <w:t xml:space="preserve"> Т</w:t>
      </w:r>
      <w:r w:rsidRPr="00BE6D3F">
        <w:rPr>
          <w:w w:val="110"/>
          <w:sz w:val="20"/>
          <w:lang w:val="uk-UA"/>
        </w:rPr>
        <w:t>М</w:t>
      </w:r>
      <w:r w:rsidRPr="006B6651">
        <w:rPr>
          <w:w w:val="110"/>
          <w:sz w:val="20"/>
          <w:lang w:val="ru-RU"/>
        </w:rPr>
        <w:t xml:space="preserve">Ч як </w:t>
      </w:r>
      <w:r w:rsidRPr="00BE6D3F">
        <w:rPr>
          <w:w w:val="110"/>
          <w:sz w:val="20"/>
          <w:lang w:val="uk-UA"/>
        </w:rPr>
        <w:t>еталонного</w:t>
      </w:r>
      <w:r w:rsidRPr="006B6651">
        <w:rPr>
          <w:w w:val="110"/>
          <w:sz w:val="20"/>
          <w:lang w:val="ru-RU"/>
        </w:rPr>
        <w:t xml:space="preserve"> стандарту</w:t>
      </w:r>
      <w:r>
        <w:rPr>
          <w:w w:val="110"/>
          <w:sz w:val="20"/>
          <w:lang w:val="uk-UA"/>
        </w:rPr>
        <w:t>. У</w:t>
      </w:r>
      <w:r w:rsidRPr="006B6651">
        <w:rPr>
          <w:w w:val="110"/>
          <w:sz w:val="20"/>
          <w:lang w:val="ru-RU"/>
        </w:rPr>
        <w:t xml:space="preserve"> </w:t>
      </w:r>
      <w:proofErr w:type="spellStart"/>
      <w:r w:rsidRPr="006B6651">
        <w:rPr>
          <w:w w:val="110"/>
          <w:sz w:val="20"/>
          <w:lang w:val="ru-RU"/>
        </w:rPr>
        <w:t>випадках</w:t>
      </w:r>
      <w:proofErr w:type="spellEnd"/>
      <w:r w:rsidRPr="00BE6D3F">
        <w:rPr>
          <w:w w:val="110"/>
          <w:sz w:val="20"/>
          <w:lang w:val="uk-UA"/>
        </w:rPr>
        <w:t xml:space="preserve"> з</w:t>
      </w:r>
      <w:r w:rsidRPr="006B6651">
        <w:rPr>
          <w:w w:val="110"/>
          <w:sz w:val="20"/>
          <w:lang w:val="ru-RU"/>
        </w:rPr>
        <w:t xml:space="preserve"> рифампіцин</w:t>
      </w:r>
      <w:proofErr w:type="spellStart"/>
      <w:r w:rsidRPr="00BE6D3F">
        <w:rPr>
          <w:w w:val="110"/>
          <w:sz w:val="20"/>
          <w:lang w:val="uk-UA"/>
        </w:rPr>
        <w:t>ом</w:t>
      </w:r>
      <w:proofErr w:type="spellEnd"/>
      <w:r w:rsidRPr="006B6651">
        <w:rPr>
          <w:w w:val="110"/>
          <w:sz w:val="20"/>
          <w:lang w:val="ru-RU"/>
        </w:rPr>
        <w:t>, етамбутол</w:t>
      </w:r>
      <w:proofErr w:type="spellStart"/>
      <w:r w:rsidRPr="00BE6D3F">
        <w:rPr>
          <w:w w:val="110"/>
          <w:sz w:val="20"/>
          <w:lang w:val="uk-UA"/>
        </w:rPr>
        <w:t>ом</w:t>
      </w:r>
      <w:proofErr w:type="spellEnd"/>
      <w:r w:rsidRPr="006B6651">
        <w:rPr>
          <w:w w:val="110"/>
          <w:sz w:val="20"/>
          <w:lang w:val="ru-RU"/>
        </w:rPr>
        <w:t xml:space="preserve"> та піразинамід</w:t>
      </w:r>
      <w:proofErr w:type="spellStart"/>
      <w:r w:rsidRPr="00BE6D3F">
        <w:rPr>
          <w:w w:val="110"/>
          <w:sz w:val="20"/>
          <w:lang w:val="uk-UA"/>
        </w:rPr>
        <w:t>ом</w:t>
      </w:r>
      <w:proofErr w:type="spellEnd"/>
      <w:r w:rsidRPr="006B6651">
        <w:rPr>
          <w:w w:val="110"/>
          <w:sz w:val="20"/>
          <w:lang w:val="ru-RU"/>
        </w:rPr>
        <w:t xml:space="preserve">, </w:t>
      </w:r>
      <w:proofErr w:type="spellStart"/>
      <w:r w:rsidRPr="006B6651">
        <w:rPr>
          <w:w w:val="110"/>
          <w:sz w:val="20"/>
          <w:lang w:val="ru-RU"/>
        </w:rPr>
        <w:t>дослідження</w:t>
      </w:r>
      <w:proofErr w:type="spellEnd"/>
      <w:r w:rsidRPr="006B6651">
        <w:rPr>
          <w:w w:val="110"/>
          <w:sz w:val="20"/>
          <w:lang w:val="ru-RU"/>
        </w:rPr>
        <w:t xml:space="preserve"> також </w:t>
      </w:r>
      <w:proofErr w:type="spellStart"/>
      <w:r w:rsidRPr="006B6651">
        <w:rPr>
          <w:w w:val="110"/>
          <w:sz w:val="20"/>
          <w:lang w:val="ru-RU"/>
        </w:rPr>
        <w:t>повинні</w:t>
      </w:r>
      <w:proofErr w:type="spellEnd"/>
      <w:r w:rsidRPr="006B6651">
        <w:rPr>
          <w:w w:val="110"/>
          <w:sz w:val="20"/>
          <w:lang w:val="ru-RU"/>
        </w:rPr>
        <w:t xml:space="preserve"> були </w:t>
      </w:r>
      <w:proofErr w:type="spellStart"/>
      <w:r w:rsidRPr="006B6651">
        <w:rPr>
          <w:w w:val="110"/>
          <w:sz w:val="20"/>
          <w:lang w:val="ru-RU"/>
        </w:rPr>
        <w:t>мати</w:t>
      </w:r>
      <w:proofErr w:type="spellEnd"/>
      <w:r w:rsidRPr="006B6651">
        <w:rPr>
          <w:w w:val="110"/>
          <w:sz w:val="20"/>
          <w:lang w:val="ru-RU"/>
        </w:rPr>
        <w:t xml:space="preserve"> </w:t>
      </w:r>
      <w:proofErr w:type="spellStart"/>
      <w:r w:rsidRPr="006B6651">
        <w:rPr>
          <w:w w:val="110"/>
          <w:sz w:val="20"/>
          <w:lang w:val="ru-RU"/>
        </w:rPr>
        <w:t>дані</w:t>
      </w:r>
      <w:proofErr w:type="spellEnd"/>
      <w:r w:rsidRPr="006B6651">
        <w:rPr>
          <w:w w:val="110"/>
          <w:sz w:val="20"/>
          <w:lang w:val="ru-RU"/>
        </w:rPr>
        <w:t xml:space="preserve"> ПГС, </w:t>
      </w:r>
      <w:proofErr w:type="spellStart"/>
      <w:r w:rsidRPr="006B6651">
        <w:rPr>
          <w:w w:val="110"/>
          <w:sz w:val="20"/>
          <w:lang w:val="ru-RU"/>
        </w:rPr>
        <w:t>щоб</w:t>
      </w:r>
      <w:proofErr w:type="spellEnd"/>
      <w:r w:rsidRPr="006B6651">
        <w:rPr>
          <w:w w:val="110"/>
          <w:sz w:val="20"/>
          <w:lang w:val="ru-RU"/>
        </w:rPr>
        <w:t xml:space="preserve"> </w:t>
      </w:r>
      <w:proofErr w:type="spellStart"/>
      <w:r w:rsidRPr="006B6651">
        <w:rPr>
          <w:w w:val="110"/>
          <w:sz w:val="20"/>
          <w:lang w:val="ru-RU"/>
        </w:rPr>
        <w:t>дозволити</w:t>
      </w:r>
      <w:proofErr w:type="spellEnd"/>
      <w:r w:rsidRPr="006B6651">
        <w:rPr>
          <w:w w:val="110"/>
          <w:sz w:val="20"/>
          <w:lang w:val="ru-RU"/>
        </w:rPr>
        <w:t xml:space="preserve"> </w:t>
      </w:r>
      <w:proofErr w:type="spellStart"/>
      <w:r w:rsidRPr="006B6651">
        <w:rPr>
          <w:w w:val="110"/>
          <w:sz w:val="20"/>
          <w:lang w:val="ru-RU"/>
        </w:rPr>
        <w:t>створеннякомбінованого</w:t>
      </w:r>
      <w:proofErr w:type="spellEnd"/>
      <w:r w:rsidRPr="006B6651">
        <w:rPr>
          <w:w w:val="110"/>
          <w:sz w:val="20"/>
          <w:lang w:val="ru-RU"/>
        </w:rPr>
        <w:t xml:space="preserve"> </w:t>
      </w:r>
      <w:r w:rsidRPr="00BE6D3F">
        <w:rPr>
          <w:w w:val="110"/>
          <w:sz w:val="20"/>
          <w:lang w:val="uk-UA"/>
        </w:rPr>
        <w:lastRenderedPageBreak/>
        <w:t>еталонного</w:t>
      </w:r>
      <w:r w:rsidRPr="006B6651">
        <w:rPr>
          <w:w w:val="110"/>
          <w:sz w:val="20"/>
          <w:lang w:val="ru-RU"/>
        </w:rPr>
        <w:t xml:space="preserve"> стандарту.</w:t>
      </w:r>
      <w:r w:rsidRPr="00BE6D3F">
        <w:rPr>
          <w:w w:val="110"/>
          <w:sz w:val="20"/>
          <w:lang w:val="uk-UA"/>
        </w:rPr>
        <w:t xml:space="preserve"> Стосовно всіх досліджень було зроблено запит на отримання</w:t>
      </w:r>
      <w:r w:rsidRPr="006B6651">
        <w:rPr>
          <w:sz w:val="20"/>
          <w:lang w:val="uk-UA"/>
        </w:rPr>
        <w:t xml:space="preserve"> </w:t>
      </w:r>
      <w:r w:rsidRPr="00BE6D3F">
        <w:rPr>
          <w:w w:val="110"/>
          <w:sz w:val="20"/>
          <w:lang w:val="uk-UA"/>
        </w:rPr>
        <w:t>р</w:t>
      </w:r>
      <w:r w:rsidRPr="006B6651">
        <w:rPr>
          <w:w w:val="110"/>
          <w:sz w:val="20"/>
          <w:lang w:val="uk-UA"/>
        </w:rPr>
        <w:t>езультат</w:t>
      </w:r>
      <w:r w:rsidRPr="00BE6D3F">
        <w:rPr>
          <w:w w:val="110"/>
          <w:sz w:val="20"/>
          <w:lang w:val="uk-UA"/>
        </w:rPr>
        <w:t>ів</w:t>
      </w:r>
      <w:r w:rsidRPr="006B6651">
        <w:rPr>
          <w:w w:val="110"/>
          <w:sz w:val="20"/>
          <w:lang w:val="uk-UA"/>
        </w:rPr>
        <w:t xml:space="preserve"> стійкості до рифампіцину та </w:t>
      </w:r>
      <w:proofErr w:type="spellStart"/>
      <w:r w:rsidRPr="006B6651">
        <w:rPr>
          <w:w w:val="110"/>
          <w:sz w:val="20"/>
          <w:lang w:val="uk-UA"/>
        </w:rPr>
        <w:t>напівкількісн</w:t>
      </w:r>
      <w:r w:rsidRPr="00BE6D3F">
        <w:rPr>
          <w:w w:val="110"/>
          <w:sz w:val="20"/>
          <w:lang w:val="uk-UA"/>
        </w:rPr>
        <w:t>их</w:t>
      </w:r>
      <w:proofErr w:type="spellEnd"/>
      <w:r w:rsidRPr="006B6651">
        <w:rPr>
          <w:w w:val="110"/>
          <w:sz w:val="20"/>
          <w:lang w:val="uk-UA"/>
        </w:rPr>
        <w:t xml:space="preserve"> результат</w:t>
      </w:r>
      <w:r w:rsidRPr="00BE6D3F">
        <w:rPr>
          <w:w w:val="110"/>
          <w:sz w:val="20"/>
          <w:lang w:val="uk-UA"/>
        </w:rPr>
        <w:t>ів</w:t>
      </w:r>
      <w:r w:rsidRPr="006B6651">
        <w:rPr>
          <w:w w:val="110"/>
          <w:sz w:val="20"/>
          <w:lang w:val="uk-UA"/>
        </w:rPr>
        <w:t xml:space="preserve"> з тестів </w:t>
      </w:r>
      <w:r w:rsidRPr="00BE6D3F">
        <w:rPr>
          <w:w w:val="110"/>
          <w:sz w:val="20"/>
        </w:rPr>
        <w:t>Xpert</w:t>
      </w:r>
      <w:r w:rsidRPr="006B6651">
        <w:rPr>
          <w:w w:val="110"/>
          <w:sz w:val="20"/>
          <w:lang w:val="uk-UA"/>
        </w:rPr>
        <w:t xml:space="preserve"> </w:t>
      </w:r>
      <w:r w:rsidRPr="00BE6D3F">
        <w:rPr>
          <w:w w:val="110"/>
          <w:sz w:val="20"/>
        </w:rPr>
        <w:t>MTB</w:t>
      </w:r>
      <w:r w:rsidRPr="006B6651">
        <w:rPr>
          <w:w w:val="110"/>
          <w:sz w:val="20"/>
          <w:lang w:val="uk-UA"/>
        </w:rPr>
        <w:t>/</w:t>
      </w:r>
      <w:r w:rsidRPr="00BE6D3F">
        <w:rPr>
          <w:w w:val="110"/>
          <w:sz w:val="20"/>
        </w:rPr>
        <w:t>RIF</w:t>
      </w:r>
      <w:r w:rsidRPr="006B6651">
        <w:rPr>
          <w:w w:val="110"/>
          <w:sz w:val="20"/>
          <w:lang w:val="uk-UA"/>
        </w:rPr>
        <w:t xml:space="preserve">® або </w:t>
      </w:r>
      <w:r w:rsidRPr="00BE6D3F">
        <w:rPr>
          <w:w w:val="110"/>
          <w:sz w:val="20"/>
        </w:rPr>
        <w:t>Xpert</w:t>
      </w:r>
      <w:r w:rsidRPr="006B6651">
        <w:rPr>
          <w:w w:val="110"/>
          <w:sz w:val="20"/>
          <w:lang w:val="uk-UA"/>
        </w:rPr>
        <w:t xml:space="preserve"> </w:t>
      </w:r>
      <w:r w:rsidRPr="00BE6D3F">
        <w:rPr>
          <w:w w:val="110"/>
          <w:sz w:val="20"/>
        </w:rPr>
        <w:t>Ultra</w:t>
      </w:r>
      <w:r w:rsidRPr="006B6651">
        <w:rPr>
          <w:w w:val="110"/>
          <w:sz w:val="20"/>
          <w:lang w:val="uk-UA"/>
        </w:rPr>
        <w:t>®.</w:t>
      </w:r>
    </w:p>
    <w:p w14:paraId="6D992981" w14:textId="77777777" w:rsidR="00291E90" w:rsidRPr="006B6651" w:rsidRDefault="00291E90" w:rsidP="00DA5A55">
      <w:pPr>
        <w:pStyle w:val="a3"/>
        <w:spacing w:before="175" w:line="276" w:lineRule="auto"/>
        <w:ind w:left="567" w:right="2"/>
        <w:jc w:val="both"/>
        <w:rPr>
          <w:w w:val="110"/>
          <w:sz w:val="20"/>
          <w:lang w:val="ru-RU"/>
        </w:rPr>
      </w:pPr>
      <w:r w:rsidRPr="006B6651">
        <w:rPr>
          <w:w w:val="110"/>
          <w:sz w:val="20"/>
          <w:lang w:val="uk-UA"/>
        </w:rPr>
        <w:t>Враховуючи, що це був огляд діагностичної точності класу діагностичних платформ, усі дані з кожної окремої платформи аналізувалися, щоб оцінити, які з них включити в аналіз для формування рекомендації для даного класу.</w:t>
      </w:r>
      <w:r w:rsidRPr="00BE6D3F">
        <w:rPr>
          <w:w w:val="110"/>
          <w:sz w:val="20"/>
          <w:lang w:val="uk-UA"/>
        </w:rPr>
        <w:t xml:space="preserve"> </w:t>
      </w:r>
      <w:proofErr w:type="spellStart"/>
      <w:r w:rsidRPr="006B6651">
        <w:rPr>
          <w:w w:val="110"/>
          <w:sz w:val="20"/>
          <w:lang w:val="ru-RU"/>
        </w:rPr>
        <w:t>Якщо</w:t>
      </w:r>
      <w:proofErr w:type="spellEnd"/>
      <w:r w:rsidRPr="006B6651">
        <w:rPr>
          <w:w w:val="110"/>
          <w:sz w:val="20"/>
          <w:lang w:val="ru-RU"/>
        </w:rPr>
        <w:t xml:space="preserve"> </w:t>
      </w:r>
      <w:proofErr w:type="spellStart"/>
      <w:r w:rsidRPr="006B6651">
        <w:rPr>
          <w:w w:val="110"/>
          <w:sz w:val="20"/>
          <w:lang w:val="ru-RU"/>
        </w:rPr>
        <w:t>ефективність</w:t>
      </w:r>
      <w:proofErr w:type="spellEnd"/>
      <w:r w:rsidRPr="006B6651">
        <w:rPr>
          <w:w w:val="110"/>
          <w:sz w:val="20"/>
          <w:lang w:val="ru-RU"/>
        </w:rPr>
        <w:t xml:space="preserve"> будь-</w:t>
      </w:r>
      <w:proofErr w:type="spellStart"/>
      <w:r w:rsidRPr="006B6651">
        <w:rPr>
          <w:w w:val="110"/>
          <w:sz w:val="20"/>
          <w:lang w:val="ru-RU"/>
        </w:rPr>
        <w:t>якої</w:t>
      </w:r>
      <w:proofErr w:type="spellEnd"/>
      <w:r w:rsidRPr="006B6651">
        <w:rPr>
          <w:w w:val="110"/>
          <w:sz w:val="20"/>
          <w:lang w:val="ru-RU"/>
        </w:rPr>
        <w:t xml:space="preserve"> </w:t>
      </w:r>
      <w:proofErr w:type="spellStart"/>
      <w:r w:rsidRPr="006B6651">
        <w:rPr>
          <w:w w:val="110"/>
          <w:sz w:val="20"/>
          <w:lang w:val="ru-RU"/>
        </w:rPr>
        <w:t>однієї</w:t>
      </w:r>
      <w:proofErr w:type="spellEnd"/>
      <w:r w:rsidRPr="006B6651">
        <w:rPr>
          <w:w w:val="110"/>
          <w:sz w:val="20"/>
          <w:lang w:val="ru-RU"/>
        </w:rPr>
        <w:t xml:space="preserve"> </w:t>
      </w:r>
      <w:proofErr w:type="spellStart"/>
      <w:r w:rsidRPr="006B6651">
        <w:rPr>
          <w:w w:val="110"/>
          <w:sz w:val="20"/>
          <w:lang w:val="ru-RU"/>
        </w:rPr>
        <w:t>платформи</w:t>
      </w:r>
      <w:proofErr w:type="spellEnd"/>
      <w:r w:rsidRPr="006B6651">
        <w:rPr>
          <w:w w:val="110"/>
          <w:sz w:val="20"/>
          <w:lang w:val="ru-RU"/>
        </w:rPr>
        <w:t xml:space="preserve"> </w:t>
      </w:r>
      <w:proofErr w:type="spellStart"/>
      <w:r w:rsidRPr="006B6651">
        <w:rPr>
          <w:w w:val="110"/>
          <w:sz w:val="20"/>
          <w:lang w:val="ru-RU"/>
        </w:rPr>
        <w:t>виявлялася</w:t>
      </w:r>
      <w:proofErr w:type="spellEnd"/>
      <w:r w:rsidRPr="006B6651">
        <w:rPr>
          <w:w w:val="110"/>
          <w:sz w:val="20"/>
          <w:lang w:val="ru-RU"/>
        </w:rPr>
        <w:t xml:space="preserve"> </w:t>
      </w:r>
      <w:r w:rsidRPr="00BE6D3F">
        <w:rPr>
          <w:w w:val="110"/>
          <w:sz w:val="20"/>
          <w:lang w:val="uk-UA"/>
        </w:rPr>
        <w:t xml:space="preserve">аномальною </w:t>
      </w:r>
      <w:r w:rsidRPr="006B6651">
        <w:rPr>
          <w:w w:val="110"/>
          <w:sz w:val="20"/>
          <w:lang w:val="ru-RU"/>
        </w:rPr>
        <w:t xml:space="preserve">за </w:t>
      </w:r>
      <w:proofErr w:type="spellStart"/>
      <w:r w:rsidRPr="006B6651">
        <w:rPr>
          <w:w w:val="110"/>
          <w:sz w:val="20"/>
          <w:lang w:val="ru-RU"/>
        </w:rPr>
        <w:t>показниками</w:t>
      </w:r>
      <w:proofErr w:type="spellEnd"/>
      <w:r w:rsidRPr="006B6651">
        <w:rPr>
          <w:w w:val="110"/>
          <w:sz w:val="20"/>
          <w:lang w:val="ru-RU"/>
        </w:rPr>
        <w:t xml:space="preserve"> </w:t>
      </w:r>
      <w:proofErr w:type="spellStart"/>
      <w:r w:rsidRPr="006B6651">
        <w:rPr>
          <w:w w:val="110"/>
          <w:sz w:val="20"/>
          <w:lang w:val="ru-RU"/>
        </w:rPr>
        <w:t>чутливості</w:t>
      </w:r>
      <w:proofErr w:type="spellEnd"/>
      <w:r w:rsidRPr="006B6651">
        <w:rPr>
          <w:w w:val="110"/>
          <w:sz w:val="20"/>
          <w:lang w:val="ru-RU"/>
        </w:rPr>
        <w:t xml:space="preserve"> або </w:t>
      </w:r>
      <w:proofErr w:type="spellStart"/>
      <w:r w:rsidRPr="006B6651">
        <w:rPr>
          <w:w w:val="110"/>
          <w:sz w:val="20"/>
          <w:lang w:val="ru-RU"/>
        </w:rPr>
        <w:t>специфічності</w:t>
      </w:r>
      <w:proofErr w:type="spellEnd"/>
      <w:r w:rsidRPr="006B6651">
        <w:rPr>
          <w:w w:val="110"/>
          <w:sz w:val="20"/>
          <w:lang w:val="ru-RU"/>
        </w:rPr>
        <w:t xml:space="preserve">, </w:t>
      </w:r>
      <w:proofErr w:type="spellStart"/>
      <w:r w:rsidRPr="006B6651">
        <w:rPr>
          <w:w w:val="110"/>
          <w:sz w:val="20"/>
          <w:lang w:val="ru-RU"/>
        </w:rPr>
        <w:t>цю</w:t>
      </w:r>
      <w:proofErr w:type="spellEnd"/>
      <w:r w:rsidRPr="006B6651">
        <w:rPr>
          <w:w w:val="110"/>
          <w:sz w:val="20"/>
          <w:lang w:val="ru-RU"/>
        </w:rPr>
        <w:t xml:space="preserve"> платформу </w:t>
      </w:r>
      <w:proofErr w:type="spellStart"/>
      <w:r w:rsidRPr="006B6651">
        <w:rPr>
          <w:w w:val="110"/>
          <w:sz w:val="20"/>
          <w:lang w:val="ru-RU"/>
        </w:rPr>
        <w:t>виключали</w:t>
      </w:r>
      <w:proofErr w:type="spellEnd"/>
      <w:r w:rsidRPr="006B6651">
        <w:rPr>
          <w:w w:val="110"/>
          <w:sz w:val="20"/>
          <w:lang w:val="ru-RU"/>
        </w:rPr>
        <w:t xml:space="preserve"> з </w:t>
      </w:r>
      <w:proofErr w:type="spellStart"/>
      <w:r w:rsidRPr="006B6651">
        <w:rPr>
          <w:w w:val="110"/>
          <w:sz w:val="20"/>
          <w:lang w:val="ru-RU"/>
        </w:rPr>
        <w:t>подальших</w:t>
      </w:r>
      <w:proofErr w:type="spellEnd"/>
      <w:r w:rsidRPr="006B6651">
        <w:rPr>
          <w:w w:val="110"/>
          <w:sz w:val="20"/>
          <w:lang w:val="ru-RU"/>
        </w:rPr>
        <w:t xml:space="preserve"> метааналізів. Платформа </w:t>
      </w:r>
      <w:proofErr w:type="spellStart"/>
      <w:r w:rsidRPr="006B6651">
        <w:rPr>
          <w:w w:val="110"/>
          <w:sz w:val="20"/>
          <w:lang w:val="ru-RU"/>
        </w:rPr>
        <w:t>вважалася</w:t>
      </w:r>
      <w:proofErr w:type="spellEnd"/>
      <w:r w:rsidRPr="006B6651">
        <w:rPr>
          <w:w w:val="110"/>
          <w:sz w:val="20"/>
          <w:lang w:val="ru-RU"/>
        </w:rPr>
        <w:t xml:space="preserve"> </w:t>
      </w:r>
      <w:r w:rsidRPr="00BE6D3F">
        <w:rPr>
          <w:w w:val="110"/>
          <w:sz w:val="20"/>
          <w:lang w:val="uk-UA"/>
        </w:rPr>
        <w:t>аномальною</w:t>
      </w:r>
      <w:r w:rsidRPr="006B6651">
        <w:rPr>
          <w:w w:val="110"/>
          <w:sz w:val="20"/>
          <w:lang w:val="ru-RU"/>
        </w:rPr>
        <w:t xml:space="preserve"> для </w:t>
      </w:r>
      <w:proofErr w:type="spellStart"/>
      <w:r w:rsidRPr="006B6651">
        <w:rPr>
          <w:w w:val="110"/>
          <w:sz w:val="20"/>
          <w:lang w:val="ru-RU"/>
        </w:rPr>
        <w:t>певного</w:t>
      </w:r>
      <w:proofErr w:type="spellEnd"/>
      <w:r w:rsidRPr="006B6651">
        <w:rPr>
          <w:w w:val="110"/>
          <w:sz w:val="20"/>
          <w:lang w:val="ru-RU"/>
        </w:rPr>
        <w:t xml:space="preserve"> препарату, </w:t>
      </w:r>
      <w:proofErr w:type="spellStart"/>
      <w:r w:rsidRPr="006B6651">
        <w:rPr>
          <w:w w:val="110"/>
          <w:sz w:val="20"/>
          <w:lang w:val="ru-RU"/>
        </w:rPr>
        <w:t>якщо</w:t>
      </w:r>
      <w:proofErr w:type="spellEnd"/>
      <w:r w:rsidRPr="006B6651">
        <w:rPr>
          <w:w w:val="110"/>
          <w:sz w:val="20"/>
          <w:lang w:val="ru-RU"/>
        </w:rPr>
        <w:t xml:space="preserve"> </w:t>
      </w:r>
      <w:proofErr w:type="spellStart"/>
      <w:r w:rsidRPr="006B6651">
        <w:rPr>
          <w:w w:val="110"/>
          <w:sz w:val="20"/>
          <w:lang w:val="ru-RU"/>
        </w:rPr>
        <w:t>точкова</w:t>
      </w:r>
      <w:proofErr w:type="spellEnd"/>
      <w:r w:rsidRPr="006B6651">
        <w:rPr>
          <w:w w:val="110"/>
          <w:sz w:val="20"/>
          <w:lang w:val="ru-RU"/>
        </w:rPr>
        <w:t xml:space="preserve"> </w:t>
      </w:r>
      <w:proofErr w:type="spellStart"/>
      <w:r w:rsidRPr="006B6651">
        <w:rPr>
          <w:w w:val="110"/>
          <w:sz w:val="20"/>
          <w:lang w:val="ru-RU"/>
        </w:rPr>
        <w:t>оцінка</w:t>
      </w:r>
      <w:proofErr w:type="spellEnd"/>
      <w:r w:rsidRPr="006B6651">
        <w:rPr>
          <w:w w:val="110"/>
          <w:sz w:val="20"/>
          <w:lang w:val="ru-RU"/>
        </w:rPr>
        <w:t xml:space="preserve"> </w:t>
      </w:r>
      <w:proofErr w:type="spellStart"/>
      <w:r w:rsidRPr="006B6651">
        <w:rPr>
          <w:w w:val="110"/>
          <w:sz w:val="20"/>
          <w:lang w:val="ru-RU"/>
        </w:rPr>
        <w:t>чутливості</w:t>
      </w:r>
      <w:proofErr w:type="spellEnd"/>
      <w:r w:rsidRPr="006B6651">
        <w:rPr>
          <w:w w:val="110"/>
          <w:sz w:val="20"/>
          <w:lang w:val="ru-RU"/>
        </w:rPr>
        <w:t xml:space="preserve"> </w:t>
      </w:r>
      <w:proofErr w:type="spellStart"/>
      <w:r w:rsidRPr="006B6651">
        <w:rPr>
          <w:w w:val="110"/>
          <w:sz w:val="20"/>
          <w:lang w:val="ru-RU"/>
        </w:rPr>
        <w:t>була</w:t>
      </w:r>
      <w:proofErr w:type="spellEnd"/>
      <w:r w:rsidRPr="006B6651">
        <w:rPr>
          <w:w w:val="110"/>
          <w:sz w:val="20"/>
          <w:lang w:val="ru-RU"/>
        </w:rPr>
        <w:t xml:space="preserve"> на </w:t>
      </w:r>
      <w:proofErr w:type="spellStart"/>
      <w:r w:rsidRPr="006B6651">
        <w:rPr>
          <w:w w:val="110"/>
          <w:sz w:val="20"/>
          <w:lang w:val="ru-RU"/>
        </w:rPr>
        <w:t>понад</w:t>
      </w:r>
      <w:proofErr w:type="spellEnd"/>
      <w:r w:rsidRPr="006B6651">
        <w:rPr>
          <w:w w:val="110"/>
          <w:sz w:val="20"/>
          <w:lang w:val="ru-RU"/>
        </w:rPr>
        <w:t xml:space="preserve"> 10 </w:t>
      </w:r>
      <w:proofErr w:type="spellStart"/>
      <w:r w:rsidRPr="006B6651">
        <w:rPr>
          <w:w w:val="110"/>
          <w:sz w:val="20"/>
          <w:lang w:val="ru-RU"/>
        </w:rPr>
        <w:t>відсоткових</w:t>
      </w:r>
      <w:proofErr w:type="spellEnd"/>
      <w:r w:rsidRPr="006B6651">
        <w:rPr>
          <w:w w:val="110"/>
          <w:sz w:val="20"/>
          <w:lang w:val="ru-RU"/>
        </w:rPr>
        <w:t xml:space="preserve"> </w:t>
      </w:r>
      <w:proofErr w:type="spellStart"/>
      <w:r w:rsidRPr="006B6651">
        <w:rPr>
          <w:w w:val="110"/>
          <w:sz w:val="20"/>
          <w:lang w:val="ru-RU"/>
        </w:rPr>
        <w:t>пунктів</w:t>
      </w:r>
      <w:proofErr w:type="spellEnd"/>
      <w:r w:rsidRPr="006B6651">
        <w:rPr>
          <w:w w:val="110"/>
          <w:sz w:val="20"/>
          <w:lang w:val="ru-RU"/>
        </w:rPr>
        <w:t xml:space="preserve"> </w:t>
      </w:r>
      <w:proofErr w:type="spellStart"/>
      <w:r w:rsidRPr="006B6651">
        <w:rPr>
          <w:w w:val="110"/>
          <w:sz w:val="20"/>
          <w:lang w:val="ru-RU"/>
        </w:rPr>
        <w:t>гіршою</w:t>
      </w:r>
      <w:proofErr w:type="spellEnd"/>
      <w:r w:rsidRPr="006B6651">
        <w:rPr>
          <w:w w:val="110"/>
          <w:sz w:val="20"/>
          <w:lang w:val="ru-RU"/>
        </w:rPr>
        <w:t xml:space="preserve">, </w:t>
      </w:r>
      <w:proofErr w:type="spellStart"/>
      <w:r w:rsidRPr="006B6651">
        <w:rPr>
          <w:w w:val="110"/>
          <w:sz w:val="20"/>
          <w:lang w:val="ru-RU"/>
        </w:rPr>
        <w:t>ніж</w:t>
      </w:r>
      <w:proofErr w:type="spellEnd"/>
      <w:r w:rsidRPr="006B6651">
        <w:rPr>
          <w:w w:val="110"/>
          <w:sz w:val="20"/>
          <w:lang w:val="ru-RU"/>
        </w:rPr>
        <w:t xml:space="preserve"> у </w:t>
      </w:r>
      <w:proofErr w:type="spellStart"/>
      <w:r w:rsidRPr="006B6651">
        <w:rPr>
          <w:w w:val="110"/>
          <w:sz w:val="20"/>
          <w:lang w:val="ru-RU"/>
        </w:rPr>
        <w:t>найкращої</w:t>
      </w:r>
      <w:proofErr w:type="spellEnd"/>
      <w:r w:rsidRPr="006B6651">
        <w:rPr>
          <w:w w:val="110"/>
          <w:sz w:val="20"/>
          <w:lang w:val="ru-RU"/>
        </w:rPr>
        <w:t xml:space="preserve"> </w:t>
      </w:r>
      <w:proofErr w:type="spellStart"/>
      <w:r w:rsidRPr="006B6651">
        <w:rPr>
          <w:w w:val="110"/>
          <w:sz w:val="20"/>
          <w:lang w:val="ru-RU"/>
        </w:rPr>
        <w:t>платформи</w:t>
      </w:r>
      <w:proofErr w:type="spellEnd"/>
      <w:r w:rsidRPr="006B6651">
        <w:rPr>
          <w:w w:val="110"/>
          <w:sz w:val="20"/>
          <w:lang w:val="ru-RU"/>
        </w:rPr>
        <w:t xml:space="preserve">, або </w:t>
      </w:r>
      <w:proofErr w:type="spellStart"/>
      <w:r w:rsidRPr="006B6651">
        <w:rPr>
          <w:w w:val="110"/>
          <w:sz w:val="20"/>
          <w:lang w:val="ru-RU"/>
        </w:rPr>
        <w:t>якщо</w:t>
      </w:r>
      <w:proofErr w:type="spellEnd"/>
      <w:r w:rsidRPr="006B6651">
        <w:rPr>
          <w:w w:val="110"/>
          <w:sz w:val="20"/>
          <w:lang w:val="ru-RU"/>
        </w:rPr>
        <w:t xml:space="preserve"> </w:t>
      </w:r>
      <w:proofErr w:type="spellStart"/>
      <w:r w:rsidRPr="006B6651">
        <w:rPr>
          <w:w w:val="110"/>
          <w:sz w:val="20"/>
          <w:lang w:val="ru-RU"/>
        </w:rPr>
        <w:t>точкова</w:t>
      </w:r>
      <w:proofErr w:type="spellEnd"/>
      <w:r w:rsidRPr="006B6651">
        <w:rPr>
          <w:w w:val="110"/>
          <w:sz w:val="20"/>
          <w:lang w:val="ru-RU"/>
        </w:rPr>
        <w:t xml:space="preserve"> </w:t>
      </w:r>
      <w:proofErr w:type="spellStart"/>
      <w:r w:rsidRPr="006B6651">
        <w:rPr>
          <w:w w:val="110"/>
          <w:sz w:val="20"/>
          <w:lang w:val="ru-RU"/>
        </w:rPr>
        <w:t>оцінка</w:t>
      </w:r>
      <w:proofErr w:type="spellEnd"/>
      <w:r w:rsidRPr="006B6651">
        <w:rPr>
          <w:w w:val="110"/>
          <w:sz w:val="20"/>
          <w:lang w:val="ru-RU"/>
        </w:rPr>
        <w:t xml:space="preserve"> </w:t>
      </w:r>
      <w:proofErr w:type="spellStart"/>
      <w:r w:rsidRPr="006B6651">
        <w:rPr>
          <w:w w:val="110"/>
          <w:sz w:val="20"/>
          <w:lang w:val="ru-RU"/>
        </w:rPr>
        <w:t>специфічності</w:t>
      </w:r>
      <w:proofErr w:type="spellEnd"/>
      <w:r w:rsidRPr="006B6651">
        <w:rPr>
          <w:w w:val="110"/>
          <w:sz w:val="20"/>
          <w:lang w:val="ru-RU"/>
        </w:rPr>
        <w:t xml:space="preserve"> </w:t>
      </w:r>
      <w:proofErr w:type="spellStart"/>
      <w:r w:rsidRPr="006B6651">
        <w:rPr>
          <w:w w:val="110"/>
          <w:sz w:val="20"/>
          <w:lang w:val="ru-RU"/>
        </w:rPr>
        <w:t>була</w:t>
      </w:r>
      <w:proofErr w:type="spellEnd"/>
      <w:r w:rsidRPr="006B6651">
        <w:rPr>
          <w:w w:val="110"/>
          <w:sz w:val="20"/>
          <w:lang w:val="ru-RU"/>
        </w:rPr>
        <w:t xml:space="preserve"> на </w:t>
      </w:r>
      <w:proofErr w:type="spellStart"/>
      <w:r w:rsidRPr="006B6651">
        <w:rPr>
          <w:w w:val="110"/>
          <w:sz w:val="20"/>
          <w:lang w:val="ru-RU"/>
        </w:rPr>
        <w:t>понад</w:t>
      </w:r>
      <w:proofErr w:type="spellEnd"/>
      <w:r w:rsidRPr="006B6651">
        <w:rPr>
          <w:w w:val="110"/>
          <w:sz w:val="20"/>
          <w:lang w:val="ru-RU"/>
        </w:rPr>
        <w:t xml:space="preserve"> 5 </w:t>
      </w:r>
      <w:proofErr w:type="spellStart"/>
      <w:r w:rsidRPr="006B6651">
        <w:rPr>
          <w:w w:val="110"/>
          <w:sz w:val="20"/>
          <w:lang w:val="ru-RU"/>
        </w:rPr>
        <w:t>відсоткових</w:t>
      </w:r>
      <w:proofErr w:type="spellEnd"/>
      <w:r w:rsidRPr="006B6651">
        <w:rPr>
          <w:w w:val="110"/>
          <w:sz w:val="20"/>
          <w:lang w:val="ru-RU"/>
        </w:rPr>
        <w:t xml:space="preserve"> </w:t>
      </w:r>
      <w:proofErr w:type="spellStart"/>
      <w:r w:rsidRPr="006B6651">
        <w:rPr>
          <w:w w:val="110"/>
          <w:sz w:val="20"/>
          <w:lang w:val="ru-RU"/>
        </w:rPr>
        <w:t>пунктів</w:t>
      </w:r>
      <w:proofErr w:type="spellEnd"/>
      <w:r w:rsidRPr="006B6651">
        <w:rPr>
          <w:w w:val="110"/>
          <w:sz w:val="20"/>
          <w:lang w:val="ru-RU"/>
        </w:rPr>
        <w:t xml:space="preserve"> </w:t>
      </w:r>
      <w:proofErr w:type="spellStart"/>
      <w:r w:rsidRPr="006B6651">
        <w:rPr>
          <w:w w:val="110"/>
          <w:sz w:val="20"/>
          <w:lang w:val="ru-RU"/>
        </w:rPr>
        <w:t>гіршою</w:t>
      </w:r>
      <w:proofErr w:type="spellEnd"/>
      <w:r w:rsidRPr="006B6651">
        <w:rPr>
          <w:w w:val="110"/>
          <w:sz w:val="20"/>
          <w:lang w:val="ru-RU"/>
        </w:rPr>
        <w:t>.</w:t>
      </w:r>
    </w:p>
    <w:p w14:paraId="27DA1A00" w14:textId="77777777" w:rsidR="00291E90" w:rsidRPr="006B6651" w:rsidRDefault="00291E90" w:rsidP="00DA5A55">
      <w:pPr>
        <w:pStyle w:val="a3"/>
        <w:spacing w:before="172" w:line="276" w:lineRule="auto"/>
        <w:ind w:left="567" w:right="2"/>
        <w:jc w:val="both"/>
        <w:rPr>
          <w:sz w:val="20"/>
          <w:lang w:val="ru-RU"/>
        </w:rPr>
      </w:pPr>
      <w:proofErr w:type="spellStart"/>
      <w:r w:rsidRPr="006B6651">
        <w:rPr>
          <w:w w:val="110"/>
          <w:sz w:val="20"/>
          <w:lang w:val="ru-RU"/>
        </w:rPr>
        <w:t>Було</w:t>
      </w:r>
      <w:proofErr w:type="spellEnd"/>
      <w:r w:rsidRPr="006B6651">
        <w:rPr>
          <w:w w:val="110"/>
          <w:sz w:val="20"/>
          <w:lang w:val="ru-RU"/>
        </w:rPr>
        <w:t xml:space="preserve"> проведено метааналіз ІДП </w:t>
      </w:r>
      <w:proofErr w:type="spellStart"/>
      <w:r w:rsidRPr="006B6651">
        <w:rPr>
          <w:w w:val="110"/>
          <w:sz w:val="20"/>
          <w:lang w:val="ru-RU"/>
        </w:rPr>
        <w:t>замість</w:t>
      </w:r>
      <w:proofErr w:type="spellEnd"/>
      <w:r w:rsidRPr="006B6651">
        <w:rPr>
          <w:w w:val="110"/>
          <w:sz w:val="20"/>
          <w:lang w:val="ru-RU"/>
        </w:rPr>
        <w:t xml:space="preserve"> </w:t>
      </w:r>
      <w:proofErr w:type="spellStart"/>
      <w:r w:rsidRPr="006B6651">
        <w:rPr>
          <w:w w:val="110"/>
          <w:sz w:val="20"/>
          <w:lang w:val="ru-RU"/>
        </w:rPr>
        <w:t>класичного</w:t>
      </w:r>
      <w:proofErr w:type="spellEnd"/>
      <w:r w:rsidRPr="006B6651">
        <w:rPr>
          <w:w w:val="110"/>
          <w:sz w:val="20"/>
          <w:lang w:val="ru-RU"/>
        </w:rPr>
        <w:t xml:space="preserve"> метааналізу, </w:t>
      </w:r>
      <w:proofErr w:type="spellStart"/>
      <w:r w:rsidRPr="006B6651">
        <w:rPr>
          <w:w w:val="110"/>
          <w:sz w:val="20"/>
          <w:lang w:val="ru-RU"/>
        </w:rPr>
        <w:t>оскільки</w:t>
      </w:r>
      <w:proofErr w:type="spellEnd"/>
      <w:r w:rsidRPr="006B6651">
        <w:rPr>
          <w:w w:val="110"/>
          <w:sz w:val="20"/>
          <w:lang w:val="ru-RU"/>
        </w:rPr>
        <w:t xml:space="preserve"> </w:t>
      </w:r>
      <w:proofErr w:type="spellStart"/>
      <w:r w:rsidRPr="006B6651">
        <w:rPr>
          <w:w w:val="110"/>
          <w:sz w:val="20"/>
          <w:lang w:val="ru-RU"/>
        </w:rPr>
        <w:t>дослідження</w:t>
      </w:r>
      <w:proofErr w:type="spellEnd"/>
      <w:r w:rsidRPr="006B6651">
        <w:rPr>
          <w:w w:val="110"/>
          <w:sz w:val="20"/>
          <w:lang w:val="ru-RU"/>
        </w:rPr>
        <w:t xml:space="preserve">, </w:t>
      </w:r>
      <w:proofErr w:type="spellStart"/>
      <w:r w:rsidRPr="006B6651">
        <w:rPr>
          <w:w w:val="110"/>
          <w:sz w:val="20"/>
          <w:lang w:val="ru-RU"/>
        </w:rPr>
        <w:t>виявлені</w:t>
      </w:r>
      <w:proofErr w:type="spellEnd"/>
      <w:r w:rsidRPr="006B6651">
        <w:rPr>
          <w:w w:val="110"/>
          <w:sz w:val="20"/>
          <w:lang w:val="ru-RU"/>
        </w:rPr>
        <w:t xml:space="preserve"> в </w:t>
      </w:r>
      <w:proofErr w:type="spellStart"/>
      <w:r w:rsidRPr="006B6651">
        <w:rPr>
          <w:w w:val="110"/>
          <w:sz w:val="20"/>
          <w:lang w:val="ru-RU"/>
        </w:rPr>
        <w:t>літературі</w:t>
      </w:r>
      <w:proofErr w:type="spellEnd"/>
      <w:r w:rsidRPr="006B6651">
        <w:rPr>
          <w:w w:val="110"/>
          <w:sz w:val="20"/>
          <w:lang w:val="ru-RU"/>
        </w:rPr>
        <w:t xml:space="preserve">, </w:t>
      </w:r>
      <w:proofErr w:type="spellStart"/>
      <w:r w:rsidRPr="006B6651">
        <w:rPr>
          <w:w w:val="110"/>
          <w:sz w:val="20"/>
          <w:lang w:val="ru-RU"/>
        </w:rPr>
        <w:t>зазвичай</w:t>
      </w:r>
      <w:proofErr w:type="spellEnd"/>
      <w:r w:rsidRPr="006B6651">
        <w:rPr>
          <w:w w:val="110"/>
          <w:sz w:val="20"/>
          <w:lang w:val="ru-RU"/>
        </w:rPr>
        <w:t xml:space="preserve"> були </w:t>
      </w:r>
      <w:proofErr w:type="spellStart"/>
      <w:r w:rsidRPr="006B6651">
        <w:rPr>
          <w:w w:val="110"/>
          <w:sz w:val="20"/>
          <w:lang w:val="ru-RU"/>
        </w:rPr>
        <w:t>занадто</w:t>
      </w:r>
      <w:proofErr w:type="spellEnd"/>
      <w:r w:rsidRPr="006B6651">
        <w:rPr>
          <w:w w:val="110"/>
          <w:sz w:val="20"/>
          <w:lang w:val="ru-RU"/>
        </w:rPr>
        <w:t xml:space="preserve"> </w:t>
      </w:r>
      <w:proofErr w:type="spellStart"/>
      <w:r w:rsidRPr="006B6651">
        <w:rPr>
          <w:w w:val="110"/>
          <w:sz w:val="20"/>
          <w:lang w:val="ru-RU"/>
        </w:rPr>
        <w:t>малими</w:t>
      </w:r>
      <w:proofErr w:type="spellEnd"/>
      <w:r w:rsidRPr="006B6651">
        <w:rPr>
          <w:w w:val="110"/>
          <w:sz w:val="20"/>
          <w:lang w:val="ru-RU"/>
        </w:rPr>
        <w:t xml:space="preserve">, </w:t>
      </w:r>
      <w:proofErr w:type="spellStart"/>
      <w:r w:rsidRPr="006B6651">
        <w:rPr>
          <w:w w:val="110"/>
          <w:sz w:val="20"/>
          <w:lang w:val="ru-RU"/>
        </w:rPr>
        <w:t>щоб</w:t>
      </w:r>
      <w:proofErr w:type="spellEnd"/>
      <w:r w:rsidRPr="006B6651">
        <w:rPr>
          <w:w w:val="110"/>
          <w:sz w:val="20"/>
          <w:lang w:val="ru-RU"/>
        </w:rPr>
        <w:t xml:space="preserve"> </w:t>
      </w:r>
      <w:proofErr w:type="spellStart"/>
      <w:r w:rsidRPr="006B6651">
        <w:rPr>
          <w:w w:val="110"/>
          <w:sz w:val="20"/>
          <w:lang w:val="ru-RU"/>
        </w:rPr>
        <w:t>зробити</w:t>
      </w:r>
      <w:proofErr w:type="spellEnd"/>
      <w:r w:rsidRPr="006B6651">
        <w:rPr>
          <w:w w:val="110"/>
          <w:sz w:val="20"/>
          <w:lang w:val="ru-RU"/>
        </w:rPr>
        <w:t xml:space="preserve"> </w:t>
      </w:r>
      <w:proofErr w:type="spellStart"/>
      <w:r w:rsidRPr="006B6651">
        <w:rPr>
          <w:w w:val="110"/>
          <w:sz w:val="20"/>
          <w:lang w:val="ru-RU"/>
        </w:rPr>
        <w:t>внесок</w:t>
      </w:r>
      <w:proofErr w:type="spellEnd"/>
      <w:r w:rsidRPr="006B6651">
        <w:rPr>
          <w:w w:val="110"/>
          <w:sz w:val="20"/>
          <w:lang w:val="ru-RU"/>
        </w:rPr>
        <w:t xml:space="preserve"> у </w:t>
      </w:r>
      <w:proofErr w:type="spellStart"/>
      <w:r w:rsidRPr="006B6651">
        <w:rPr>
          <w:w w:val="110"/>
          <w:sz w:val="20"/>
          <w:lang w:val="ru-RU"/>
        </w:rPr>
        <w:t>класичний</w:t>
      </w:r>
      <w:proofErr w:type="spellEnd"/>
      <w:r w:rsidRPr="006B6651">
        <w:rPr>
          <w:w w:val="110"/>
          <w:sz w:val="20"/>
          <w:lang w:val="ru-RU"/>
        </w:rPr>
        <w:t xml:space="preserve"> метааналіз, особливо щодо </w:t>
      </w:r>
      <w:proofErr w:type="spellStart"/>
      <w:r w:rsidRPr="006B6651">
        <w:rPr>
          <w:w w:val="110"/>
          <w:sz w:val="20"/>
          <w:lang w:val="ru-RU"/>
        </w:rPr>
        <w:t>нових</w:t>
      </w:r>
      <w:proofErr w:type="spellEnd"/>
      <w:r w:rsidRPr="006B6651">
        <w:rPr>
          <w:w w:val="110"/>
          <w:sz w:val="20"/>
          <w:lang w:val="ru-RU"/>
        </w:rPr>
        <w:t xml:space="preserve"> та </w:t>
      </w:r>
      <w:proofErr w:type="spellStart"/>
      <w:r w:rsidRPr="006B6651">
        <w:rPr>
          <w:w w:val="110"/>
          <w:sz w:val="20"/>
          <w:lang w:val="ru-RU"/>
        </w:rPr>
        <w:t>перепрофільованих</w:t>
      </w:r>
      <w:proofErr w:type="spellEnd"/>
      <w:r w:rsidRPr="006B6651">
        <w:rPr>
          <w:w w:val="110"/>
          <w:sz w:val="20"/>
          <w:lang w:val="ru-RU"/>
        </w:rPr>
        <w:t xml:space="preserve"> </w:t>
      </w:r>
      <w:proofErr w:type="spellStart"/>
      <w:r w:rsidRPr="006B6651">
        <w:rPr>
          <w:w w:val="110"/>
          <w:sz w:val="20"/>
          <w:lang w:val="ru-RU"/>
        </w:rPr>
        <w:t>препаратів</w:t>
      </w:r>
      <w:proofErr w:type="spellEnd"/>
      <w:r w:rsidRPr="006B6651">
        <w:rPr>
          <w:w w:val="110"/>
          <w:sz w:val="20"/>
          <w:lang w:val="ru-RU"/>
        </w:rPr>
        <w:t xml:space="preserve">. </w:t>
      </w:r>
      <w:proofErr w:type="spellStart"/>
      <w:r w:rsidRPr="006B6651">
        <w:rPr>
          <w:w w:val="110"/>
          <w:sz w:val="20"/>
          <w:lang w:val="ru-RU"/>
        </w:rPr>
        <w:t>Крім</w:t>
      </w:r>
      <w:proofErr w:type="spellEnd"/>
      <w:r w:rsidRPr="006B6651">
        <w:rPr>
          <w:w w:val="110"/>
          <w:sz w:val="20"/>
          <w:lang w:val="ru-RU"/>
        </w:rPr>
        <w:t xml:space="preserve"> того, </w:t>
      </w:r>
      <w:proofErr w:type="spellStart"/>
      <w:r w:rsidRPr="006B6651">
        <w:rPr>
          <w:w w:val="110"/>
          <w:sz w:val="20"/>
          <w:lang w:val="ru-RU"/>
        </w:rPr>
        <w:t>такий</w:t>
      </w:r>
      <w:proofErr w:type="spellEnd"/>
      <w:r w:rsidRPr="006B6651">
        <w:rPr>
          <w:w w:val="110"/>
          <w:sz w:val="20"/>
          <w:lang w:val="ru-RU"/>
        </w:rPr>
        <w:t xml:space="preserve"> </w:t>
      </w:r>
      <w:proofErr w:type="spellStart"/>
      <w:r w:rsidRPr="006B6651">
        <w:rPr>
          <w:w w:val="110"/>
          <w:sz w:val="20"/>
          <w:lang w:val="ru-RU"/>
        </w:rPr>
        <w:t>підхід</w:t>
      </w:r>
      <w:proofErr w:type="spellEnd"/>
      <w:r w:rsidRPr="006B6651">
        <w:rPr>
          <w:w w:val="110"/>
          <w:sz w:val="20"/>
          <w:lang w:val="ru-RU"/>
        </w:rPr>
        <w:t xml:space="preserve"> дозволив </w:t>
      </w:r>
      <w:proofErr w:type="spellStart"/>
      <w:r w:rsidRPr="006B6651">
        <w:rPr>
          <w:w w:val="110"/>
          <w:sz w:val="20"/>
          <w:lang w:val="ru-RU"/>
        </w:rPr>
        <w:t>включити</w:t>
      </w:r>
      <w:proofErr w:type="spellEnd"/>
      <w:r w:rsidRPr="006B6651">
        <w:rPr>
          <w:w w:val="110"/>
          <w:sz w:val="20"/>
          <w:lang w:val="ru-RU"/>
        </w:rPr>
        <w:t xml:space="preserve"> </w:t>
      </w:r>
      <w:proofErr w:type="spellStart"/>
      <w:r w:rsidRPr="006B6651">
        <w:rPr>
          <w:w w:val="110"/>
          <w:sz w:val="20"/>
          <w:lang w:val="ru-RU"/>
        </w:rPr>
        <w:t>відповідні</w:t>
      </w:r>
      <w:proofErr w:type="spellEnd"/>
      <w:r w:rsidRPr="006B6651">
        <w:rPr>
          <w:w w:val="110"/>
          <w:sz w:val="20"/>
          <w:lang w:val="ru-RU"/>
        </w:rPr>
        <w:t xml:space="preserve"> </w:t>
      </w:r>
      <w:proofErr w:type="spellStart"/>
      <w:r w:rsidRPr="006B6651">
        <w:rPr>
          <w:w w:val="110"/>
          <w:sz w:val="20"/>
          <w:lang w:val="ru-RU"/>
        </w:rPr>
        <w:t>коваріати</w:t>
      </w:r>
      <w:proofErr w:type="spellEnd"/>
      <w:r w:rsidRPr="006B6651">
        <w:rPr>
          <w:w w:val="110"/>
          <w:sz w:val="20"/>
          <w:lang w:val="ru-RU"/>
        </w:rPr>
        <w:t xml:space="preserve"> в модель</w:t>
      </w:r>
      <w:r>
        <w:rPr>
          <w:w w:val="110"/>
          <w:sz w:val="20"/>
          <w:lang w:val="uk-UA"/>
        </w:rPr>
        <w:t>,</w:t>
      </w:r>
      <w:r w:rsidRPr="006B6651">
        <w:rPr>
          <w:w w:val="110"/>
          <w:sz w:val="20"/>
          <w:lang w:val="ru-RU"/>
        </w:rPr>
        <w:t xml:space="preserve"> </w:t>
      </w:r>
      <w:r w:rsidRPr="00BE6D3F">
        <w:rPr>
          <w:w w:val="110"/>
          <w:sz w:val="20"/>
          <w:lang w:val="uk-UA"/>
        </w:rPr>
        <w:t xml:space="preserve">а також </w:t>
      </w:r>
      <w:proofErr w:type="spellStart"/>
      <w:r w:rsidRPr="006B6651">
        <w:rPr>
          <w:w w:val="110"/>
          <w:sz w:val="20"/>
          <w:lang w:val="ru-RU"/>
        </w:rPr>
        <w:t>контролювати</w:t>
      </w:r>
      <w:proofErr w:type="spellEnd"/>
      <w:r w:rsidRPr="006B6651">
        <w:rPr>
          <w:w w:val="110"/>
          <w:sz w:val="20"/>
          <w:lang w:val="ru-RU"/>
        </w:rPr>
        <w:t xml:space="preserve"> </w:t>
      </w:r>
      <w:proofErr w:type="spellStart"/>
      <w:r w:rsidRPr="006B6651">
        <w:rPr>
          <w:w w:val="110"/>
          <w:sz w:val="20"/>
          <w:lang w:val="ru-RU"/>
        </w:rPr>
        <w:t>повторне</w:t>
      </w:r>
      <w:proofErr w:type="spellEnd"/>
      <w:r w:rsidRPr="006B6651">
        <w:rPr>
          <w:w w:val="110"/>
          <w:sz w:val="20"/>
          <w:lang w:val="ru-RU"/>
        </w:rPr>
        <w:t xml:space="preserve"> </w:t>
      </w:r>
      <w:proofErr w:type="spellStart"/>
      <w:r w:rsidRPr="006B6651">
        <w:rPr>
          <w:w w:val="110"/>
          <w:sz w:val="20"/>
          <w:lang w:val="ru-RU"/>
        </w:rPr>
        <w:t>тестування</w:t>
      </w:r>
      <w:proofErr w:type="spellEnd"/>
      <w:r w:rsidRPr="006B6651">
        <w:rPr>
          <w:w w:val="110"/>
          <w:sz w:val="20"/>
          <w:lang w:val="ru-RU"/>
        </w:rPr>
        <w:t xml:space="preserve"> тих самих </w:t>
      </w:r>
      <w:proofErr w:type="spellStart"/>
      <w:r w:rsidRPr="006B6651">
        <w:rPr>
          <w:w w:val="110"/>
          <w:sz w:val="20"/>
          <w:lang w:val="ru-RU"/>
        </w:rPr>
        <w:t>зразків</w:t>
      </w:r>
      <w:proofErr w:type="spellEnd"/>
      <w:r w:rsidRPr="006B6651">
        <w:rPr>
          <w:w w:val="110"/>
          <w:sz w:val="20"/>
          <w:lang w:val="ru-RU"/>
        </w:rPr>
        <w:t xml:space="preserve"> з </w:t>
      </w:r>
      <w:proofErr w:type="spellStart"/>
      <w:r w:rsidRPr="006B6651">
        <w:rPr>
          <w:w w:val="110"/>
          <w:sz w:val="20"/>
          <w:lang w:val="ru-RU"/>
        </w:rPr>
        <w:t>використанням</w:t>
      </w:r>
      <w:proofErr w:type="spellEnd"/>
      <w:r w:rsidRPr="006B6651">
        <w:rPr>
          <w:w w:val="110"/>
          <w:sz w:val="20"/>
          <w:lang w:val="ru-RU"/>
        </w:rPr>
        <w:t xml:space="preserve"> </w:t>
      </w:r>
      <w:proofErr w:type="spellStart"/>
      <w:r w:rsidRPr="006B6651">
        <w:rPr>
          <w:w w:val="110"/>
          <w:sz w:val="20"/>
          <w:lang w:val="ru-RU"/>
        </w:rPr>
        <w:t>різних</w:t>
      </w:r>
      <w:proofErr w:type="spellEnd"/>
      <w:r w:rsidRPr="006B6651">
        <w:rPr>
          <w:w w:val="110"/>
          <w:sz w:val="20"/>
          <w:lang w:val="ru-RU"/>
        </w:rPr>
        <w:t xml:space="preserve"> платформ, </w:t>
      </w:r>
      <w:proofErr w:type="spellStart"/>
      <w:r w:rsidRPr="006B6651">
        <w:rPr>
          <w:w w:val="110"/>
          <w:sz w:val="20"/>
          <w:lang w:val="ru-RU"/>
        </w:rPr>
        <w:t>що</w:t>
      </w:r>
      <w:proofErr w:type="spellEnd"/>
      <w:r w:rsidRPr="006B6651">
        <w:rPr>
          <w:w w:val="110"/>
          <w:sz w:val="20"/>
          <w:lang w:val="ru-RU"/>
        </w:rPr>
        <w:t xml:space="preserve"> </w:t>
      </w:r>
      <w:r w:rsidRPr="00BE6D3F">
        <w:rPr>
          <w:w w:val="110"/>
          <w:sz w:val="20"/>
          <w:lang w:val="uk-UA"/>
        </w:rPr>
        <w:t>було характерно</w:t>
      </w:r>
      <w:r w:rsidRPr="006B6651">
        <w:rPr>
          <w:w w:val="110"/>
          <w:sz w:val="20"/>
          <w:lang w:val="ru-RU"/>
        </w:rPr>
        <w:t xml:space="preserve"> для </w:t>
      </w:r>
      <w:proofErr w:type="spellStart"/>
      <w:r w:rsidRPr="006B6651">
        <w:rPr>
          <w:w w:val="110"/>
          <w:sz w:val="20"/>
          <w:lang w:val="ru-RU"/>
        </w:rPr>
        <w:t>значної</w:t>
      </w:r>
      <w:proofErr w:type="spellEnd"/>
      <w:r w:rsidRPr="006B6651">
        <w:rPr>
          <w:w w:val="110"/>
          <w:sz w:val="20"/>
          <w:lang w:val="ru-RU"/>
        </w:rPr>
        <w:t xml:space="preserve"> </w:t>
      </w:r>
      <w:proofErr w:type="spellStart"/>
      <w:r w:rsidRPr="006B6651">
        <w:rPr>
          <w:w w:val="110"/>
          <w:sz w:val="20"/>
          <w:lang w:val="ru-RU"/>
        </w:rPr>
        <w:t>частини</w:t>
      </w:r>
      <w:proofErr w:type="spellEnd"/>
      <w:r w:rsidRPr="006B6651">
        <w:rPr>
          <w:w w:val="110"/>
          <w:sz w:val="20"/>
          <w:lang w:val="ru-RU"/>
        </w:rPr>
        <w:t xml:space="preserve"> </w:t>
      </w:r>
      <w:proofErr w:type="spellStart"/>
      <w:r w:rsidRPr="006B6651">
        <w:rPr>
          <w:w w:val="110"/>
          <w:sz w:val="20"/>
          <w:lang w:val="ru-RU"/>
        </w:rPr>
        <w:t>наявних</w:t>
      </w:r>
      <w:proofErr w:type="spellEnd"/>
      <w:r w:rsidRPr="006B6651">
        <w:rPr>
          <w:w w:val="110"/>
          <w:sz w:val="20"/>
          <w:lang w:val="ru-RU"/>
        </w:rPr>
        <w:t xml:space="preserve"> </w:t>
      </w:r>
      <w:proofErr w:type="spellStart"/>
      <w:r w:rsidRPr="006B6651">
        <w:rPr>
          <w:w w:val="110"/>
          <w:sz w:val="20"/>
          <w:lang w:val="ru-RU"/>
        </w:rPr>
        <w:t>даних</w:t>
      </w:r>
      <w:proofErr w:type="spellEnd"/>
      <w:r w:rsidRPr="006B6651">
        <w:rPr>
          <w:w w:val="110"/>
          <w:sz w:val="20"/>
          <w:lang w:val="ru-RU"/>
        </w:rPr>
        <w:t>.</w:t>
      </w:r>
    </w:p>
    <w:p w14:paraId="75242745" w14:textId="77777777" w:rsidR="00291E90" w:rsidRPr="006B6651" w:rsidRDefault="00291E90" w:rsidP="00DA5A55">
      <w:pPr>
        <w:pStyle w:val="a3"/>
        <w:spacing w:before="176" w:line="276" w:lineRule="auto"/>
        <w:ind w:left="567" w:right="2"/>
        <w:jc w:val="both"/>
        <w:rPr>
          <w:color w:val="000000" w:themeColor="text1"/>
          <w:sz w:val="20"/>
          <w:lang w:val="ru-RU"/>
        </w:rPr>
      </w:pPr>
      <w:r w:rsidRPr="006B6651">
        <w:rPr>
          <w:color w:val="000000" w:themeColor="text1"/>
          <w:w w:val="110"/>
          <w:sz w:val="20"/>
          <w:lang w:val="ru-RU"/>
        </w:rPr>
        <w:t xml:space="preserve">Для </w:t>
      </w:r>
      <w:proofErr w:type="spellStart"/>
      <w:r w:rsidRPr="006B6651">
        <w:rPr>
          <w:color w:val="000000" w:themeColor="text1"/>
          <w:w w:val="110"/>
          <w:sz w:val="20"/>
          <w:lang w:val="ru-RU"/>
        </w:rPr>
        <w:t>кожної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залежної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змінної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багатофакторна</w:t>
      </w:r>
      <w:proofErr w:type="spellEnd"/>
      <w:r w:rsidRPr="006B6651">
        <w:rPr>
          <w:color w:val="000000" w:themeColor="text1"/>
          <w:w w:val="110"/>
          <w:sz w:val="20"/>
          <w:lang w:val="ru-RU"/>
        </w:rPr>
        <w:t xml:space="preserve"> модель включала низку </w:t>
      </w:r>
      <w:proofErr w:type="spellStart"/>
      <w:r w:rsidRPr="006B6651">
        <w:rPr>
          <w:color w:val="000000" w:themeColor="text1"/>
          <w:w w:val="110"/>
          <w:sz w:val="20"/>
          <w:lang w:val="ru-RU"/>
        </w:rPr>
        <w:t>коваріат</w:t>
      </w:r>
      <w:proofErr w:type="spellEnd"/>
      <w:r w:rsidRPr="006B6651">
        <w:rPr>
          <w:color w:val="000000" w:themeColor="text1"/>
          <w:w w:val="110"/>
          <w:sz w:val="20"/>
          <w:lang w:val="ru-RU"/>
        </w:rPr>
        <w:t xml:space="preserve"> як </w:t>
      </w:r>
      <w:proofErr w:type="spellStart"/>
      <w:r w:rsidRPr="006B6651">
        <w:rPr>
          <w:color w:val="000000" w:themeColor="text1"/>
          <w:w w:val="110"/>
          <w:sz w:val="20"/>
          <w:lang w:val="ru-RU"/>
        </w:rPr>
        <w:t>фіксовані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w:t>
      </w:r>
      <w:proofErr w:type="spellEnd"/>
      <w:r w:rsidRPr="006B6651">
        <w:rPr>
          <w:color w:val="000000" w:themeColor="text1"/>
          <w:w w:val="110"/>
          <w:sz w:val="20"/>
          <w:lang w:val="ru-RU"/>
        </w:rPr>
        <w:t>.</w:t>
      </w:r>
      <w:r w:rsidRPr="00FD0682">
        <w:rPr>
          <w:color w:val="000000" w:themeColor="text1"/>
          <w:w w:val="110"/>
          <w:sz w:val="20"/>
          <w:lang w:val="uk-UA"/>
        </w:rPr>
        <w:t xml:space="preserve"> </w:t>
      </w:r>
      <w:r w:rsidRPr="006B6651">
        <w:rPr>
          <w:color w:val="000000" w:themeColor="text1"/>
          <w:w w:val="110"/>
          <w:sz w:val="20"/>
          <w:lang w:val="uk-UA"/>
        </w:rPr>
        <w:t xml:space="preserve">До них належали: стійкість до рифампіцину, визначена за допомогою </w:t>
      </w:r>
      <w:r w:rsidRPr="00FD0682">
        <w:rPr>
          <w:color w:val="000000" w:themeColor="text1"/>
          <w:w w:val="110"/>
          <w:sz w:val="20"/>
        </w:rPr>
        <w:t>Xpert</w:t>
      </w:r>
      <w:r w:rsidRPr="006B6651">
        <w:rPr>
          <w:color w:val="000000" w:themeColor="text1"/>
          <w:w w:val="110"/>
          <w:sz w:val="20"/>
          <w:lang w:val="uk-UA"/>
        </w:rPr>
        <w:t xml:space="preserve"> </w:t>
      </w:r>
      <w:r w:rsidRPr="00FD0682">
        <w:rPr>
          <w:color w:val="000000" w:themeColor="text1"/>
          <w:w w:val="110"/>
          <w:sz w:val="20"/>
        </w:rPr>
        <w:t>MTB</w:t>
      </w:r>
      <w:r w:rsidRPr="006B6651">
        <w:rPr>
          <w:color w:val="000000" w:themeColor="text1"/>
          <w:w w:val="110"/>
          <w:sz w:val="20"/>
          <w:lang w:val="uk-UA"/>
        </w:rPr>
        <w:t>/</w:t>
      </w:r>
      <w:r w:rsidRPr="00FD0682">
        <w:rPr>
          <w:color w:val="000000" w:themeColor="text1"/>
          <w:w w:val="110"/>
          <w:sz w:val="20"/>
        </w:rPr>
        <w:t>RIF</w:t>
      </w:r>
      <w:r w:rsidRPr="006B6651">
        <w:rPr>
          <w:color w:val="000000" w:themeColor="text1"/>
          <w:w w:val="110"/>
          <w:sz w:val="20"/>
          <w:lang w:val="uk-UA"/>
        </w:rPr>
        <w:t xml:space="preserve">® або </w:t>
      </w:r>
      <w:r w:rsidRPr="00FD0682">
        <w:rPr>
          <w:color w:val="000000" w:themeColor="text1"/>
          <w:w w:val="110"/>
          <w:sz w:val="20"/>
        </w:rPr>
        <w:t>Xpert</w:t>
      </w:r>
      <w:r w:rsidRPr="006B6651">
        <w:rPr>
          <w:color w:val="000000" w:themeColor="text1"/>
          <w:w w:val="110"/>
          <w:sz w:val="20"/>
          <w:lang w:val="uk-UA"/>
        </w:rPr>
        <w:t xml:space="preserve"> </w:t>
      </w:r>
      <w:r w:rsidRPr="00FD0682">
        <w:rPr>
          <w:color w:val="000000" w:themeColor="text1"/>
          <w:w w:val="110"/>
          <w:sz w:val="20"/>
        </w:rPr>
        <w:t>Ultra</w:t>
      </w:r>
      <w:r w:rsidRPr="006B6651">
        <w:rPr>
          <w:color w:val="000000" w:themeColor="text1"/>
          <w:w w:val="110"/>
          <w:sz w:val="20"/>
          <w:lang w:val="uk-UA"/>
        </w:rPr>
        <w:t xml:space="preserve">® для всіх препаратів, крім рифампіцину; значення порогового циклу тесту </w:t>
      </w:r>
      <w:r w:rsidRPr="00FD0682">
        <w:rPr>
          <w:color w:val="000000" w:themeColor="text1"/>
          <w:w w:val="110"/>
          <w:sz w:val="20"/>
        </w:rPr>
        <w:t>Xpert</w:t>
      </w:r>
      <w:r w:rsidRPr="006B6651">
        <w:rPr>
          <w:color w:val="000000" w:themeColor="text1"/>
          <w:w w:val="110"/>
          <w:sz w:val="20"/>
          <w:lang w:val="uk-UA"/>
        </w:rPr>
        <w:t xml:space="preserve"> </w:t>
      </w:r>
      <w:r w:rsidRPr="00FD0682">
        <w:rPr>
          <w:color w:val="000000" w:themeColor="text1"/>
          <w:w w:val="110"/>
          <w:sz w:val="20"/>
        </w:rPr>
        <w:t>MTB</w:t>
      </w:r>
      <w:r w:rsidRPr="006B6651">
        <w:rPr>
          <w:color w:val="000000" w:themeColor="text1"/>
          <w:w w:val="110"/>
          <w:sz w:val="20"/>
          <w:lang w:val="uk-UA"/>
        </w:rPr>
        <w:t>/</w:t>
      </w:r>
      <w:r w:rsidRPr="00FD0682">
        <w:rPr>
          <w:color w:val="000000" w:themeColor="text1"/>
          <w:w w:val="110"/>
          <w:sz w:val="20"/>
        </w:rPr>
        <w:t>RIF</w:t>
      </w:r>
      <w:r w:rsidRPr="006B6651">
        <w:rPr>
          <w:color w:val="000000" w:themeColor="text1"/>
          <w:w w:val="110"/>
          <w:sz w:val="20"/>
          <w:lang w:val="uk-UA"/>
        </w:rPr>
        <w:t xml:space="preserve">® або </w:t>
      </w:r>
      <w:r w:rsidRPr="00FD0682">
        <w:rPr>
          <w:color w:val="000000" w:themeColor="text1"/>
          <w:w w:val="110"/>
          <w:sz w:val="20"/>
        </w:rPr>
        <w:t>Xpert</w:t>
      </w:r>
      <w:r w:rsidRPr="006B6651">
        <w:rPr>
          <w:color w:val="000000" w:themeColor="text1"/>
          <w:w w:val="110"/>
          <w:sz w:val="20"/>
          <w:lang w:val="uk-UA"/>
        </w:rPr>
        <w:t xml:space="preserve"> </w:t>
      </w:r>
      <w:r w:rsidRPr="00FD0682">
        <w:rPr>
          <w:color w:val="000000" w:themeColor="text1"/>
          <w:w w:val="110"/>
          <w:sz w:val="20"/>
        </w:rPr>
        <w:t>Ultra</w:t>
      </w:r>
      <w:r w:rsidRPr="006B6651">
        <w:rPr>
          <w:color w:val="000000" w:themeColor="text1"/>
          <w:w w:val="110"/>
          <w:sz w:val="20"/>
          <w:lang w:val="uk-UA"/>
        </w:rPr>
        <w:t xml:space="preserve">®; та </w:t>
      </w:r>
      <w:proofErr w:type="spellStart"/>
      <w:r w:rsidRPr="006B6651">
        <w:rPr>
          <w:color w:val="000000" w:themeColor="text1"/>
          <w:w w:val="110"/>
          <w:sz w:val="20"/>
          <w:lang w:val="uk-UA"/>
        </w:rPr>
        <w:t>коваріата</w:t>
      </w:r>
      <w:proofErr w:type="spellEnd"/>
      <w:r w:rsidRPr="006B6651">
        <w:rPr>
          <w:color w:val="000000" w:themeColor="text1"/>
          <w:w w:val="110"/>
          <w:sz w:val="20"/>
          <w:lang w:val="uk-UA"/>
        </w:rPr>
        <w:t xml:space="preserve">, що вказувала, які зразки були </w:t>
      </w:r>
      <w:proofErr w:type="spellStart"/>
      <w:r w:rsidRPr="00FD0682">
        <w:rPr>
          <w:color w:val="000000" w:themeColor="text1"/>
          <w:w w:val="110"/>
          <w:sz w:val="20"/>
          <w:lang w:val="uk-UA"/>
        </w:rPr>
        <w:t>задубльовані</w:t>
      </w:r>
      <w:proofErr w:type="spellEnd"/>
      <w:r>
        <w:rPr>
          <w:color w:val="000000" w:themeColor="text1"/>
          <w:w w:val="110"/>
          <w:sz w:val="20"/>
          <w:lang w:val="uk-UA"/>
        </w:rPr>
        <w:t>. Д</w:t>
      </w:r>
      <w:proofErr w:type="spellStart"/>
      <w:r w:rsidRPr="006B6651">
        <w:rPr>
          <w:color w:val="000000" w:themeColor="text1"/>
          <w:w w:val="110"/>
          <w:sz w:val="20"/>
          <w:lang w:val="ru-RU"/>
        </w:rPr>
        <w:t>еякі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зразки</w:t>
      </w:r>
      <w:proofErr w:type="spellEnd"/>
      <w:r w:rsidRPr="006B6651">
        <w:rPr>
          <w:color w:val="000000" w:themeColor="text1"/>
          <w:w w:val="110"/>
          <w:sz w:val="20"/>
          <w:lang w:val="ru-RU"/>
        </w:rPr>
        <w:t xml:space="preserve"> були </w:t>
      </w:r>
      <w:proofErr w:type="spellStart"/>
      <w:r w:rsidRPr="006B6651">
        <w:rPr>
          <w:color w:val="000000" w:themeColor="text1"/>
          <w:w w:val="110"/>
          <w:sz w:val="20"/>
          <w:lang w:val="ru-RU"/>
        </w:rPr>
        <w:t>секвеновані</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двох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різних</w:t>
      </w:r>
      <w:proofErr w:type="spellEnd"/>
      <w:r w:rsidRPr="006B6651">
        <w:rPr>
          <w:color w:val="000000" w:themeColor="text1"/>
          <w:w w:val="110"/>
          <w:sz w:val="20"/>
          <w:lang w:val="ru-RU"/>
        </w:rPr>
        <w:t xml:space="preserve"> платформах і, таким чином, були </w:t>
      </w:r>
      <w:proofErr w:type="spellStart"/>
      <w:r w:rsidRPr="006B6651">
        <w:rPr>
          <w:color w:val="000000" w:themeColor="text1"/>
          <w:w w:val="110"/>
          <w:sz w:val="20"/>
          <w:lang w:val="ru-RU"/>
        </w:rPr>
        <w:t>представлені</w:t>
      </w:r>
      <w:proofErr w:type="spellEnd"/>
      <w:r w:rsidRPr="006B6651">
        <w:rPr>
          <w:color w:val="000000" w:themeColor="text1"/>
          <w:w w:val="110"/>
          <w:sz w:val="20"/>
          <w:lang w:val="ru-RU"/>
        </w:rPr>
        <w:t xml:space="preserve"> в </w:t>
      </w:r>
      <w:proofErr w:type="spellStart"/>
      <w:r w:rsidRPr="006B6651">
        <w:rPr>
          <w:color w:val="000000" w:themeColor="text1"/>
          <w:w w:val="110"/>
          <w:sz w:val="20"/>
          <w:lang w:val="ru-RU"/>
        </w:rPr>
        <w:t>аналізі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двічі</w:t>
      </w:r>
      <w:proofErr w:type="spellEnd"/>
      <w:r w:rsidRPr="006B6651">
        <w:rPr>
          <w:color w:val="000000" w:themeColor="text1"/>
          <w:w w:val="110"/>
          <w:sz w:val="20"/>
          <w:lang w:val="ru-RU"/>
        </w:rPr>
        <w:t xml:space="preserve">. Для моделей,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розглядали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діагностичну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точність</w:t>
      </w:r>
      <w:proofErr w:type="spellEnd"/>
      <w:r w:rsidRPr="006B6651">
        <w:rPr>
          <w:color w:val="000000" w:themeColor="text1"/>
          <w:w w:val="110"/>
          <w:sz w:val="20"/>
          <w:lang w:val="ru-RU"/>
        </w:rPr>
        <w:t xml:space="preserve"> тесту </w:t>
      </w:r>
      <w:r w:rsidRPr="00FD0682">
        <w:rPr>
          <w:color w:val="000000" w:themeColor="text1"/>
          <w:w w:val="110"/>
          <w:sz w:val="20"/>
          <w:lang w:val="uk-UA"/>
        </w:rPr>
        <w:t xml:space="preserve">саме </w:t>
      </w:r>
      <w:r w:rsidRPr="006B6651">
        <w:rPr>
          <w:color w:val="000000" w:themeColor="text1"/>
          <w:w w:val="110"/>
          <w:sz w:val="20"/>
          <w:lang w:val="ru-RU"/>
        </w:rPr>
        <w:t xml:space="preserve">у ЛЖВ, результат тесту на ВІЛ </w:t>
      </w:r>
      <w:proofErr w:type="spellStart"/>
      <w:r w:rsidRPr="006B6651">
        <w:rPr>
          <w:color w:val="000000" w:themeColor="text1"/>
          <w:w w:val="110"/>
          <w:sz w:val="20"/>
          <w:lang w:val="ru-RU"/>
        </w:rPr>
        <w:t>включався</w:t>
      </w:r>
      <w:proofErr w:type="spellEnd"/>
      <w:r w:rsidRPr="006B6651">
        <w:rPr>
          <w:color w:val="000000" w:themeColor="text1"/>
          <w:w w:val="110"/>
          <w:sz w:val="20"/>
          <w:lang w:val="ru-RU"/>
        </w:rPr>
        <w:t xml:space="preserve"> як </w:t>
      </w:r>
      <w:proofErr w:type="spellStart"/>
      <w:r w:rsidRPr="006B6651">
        <w:rPr>
          <w:color w:val="000000" w:themeColor="text1"/>
          <w:w w:val="110"/>
          <w:sz w:val="20"/>
          <w:lang w:val="ru-RU"/>
        </w:rPr>
        <w:t>коваріата</w:t>
      </w:r>
      <w:proofErr w:type="spellEnd"/>
      <w:r w:rsidRPr="006B6651">
        <w:rPr>
          <w:color w:val="000000" w:themeColor="text1"/>
          <w:w w:val="110"/>
          <w:sz w:val="20"/>
          <w:lang w:val="ru-RU"/>
        </w:rPr>
        <w:t xml:space="preserve">. </w:t>
      </w:r>
      <w:r w:rsidRPr="00FD0682">
        <w:rPr>
          <w:color w:val="000000" w:themeColor="text1"/>
          <w:w w:val="110"/>
          <w:sz w:val="20"/>
          <w:lang w:val="uk-UA"/>
        </w:rPr>
        <w:t>М</w:t>
      </w:r>
      <w:proofErr w:type="spellStart"/>
      <w:r w:rsidRPr="006B6651">
        <w:rPr>
          <w:color w:val="000000" w:themeColor="text1"/>
          <w:w w:val="110"/>
          <w:sz w:val="20"/>
          <w:lang w:val="ru-RU"/>
        </w:rPr>
        <w:t>ісце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проведення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дослідження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включалося</w:t>
      </w:r>
      <w:proofErr w:type="spellEnd"/>
      <w:r w:rsidRPr="006B6651">
        <w:rPr>
          <w:color w:val="000000" w:themeColor="text1"/>
          <w:w w:val="110"/>
          <w:sz w:val="20"/>
          <w:lang w:val="ru-RU"/>
        </w:rPr>
        <w:t xml:space="preserve"> як </w:t>
      </w:r>
      <w:proofErr w:type="spellStart"/>
      <w:r w:rsidRPr="006B6651">
        <w:rPr>
          <w:color w:val="000000" w:themeColor="text1"/>
          <w:w w:val="110"/>
          <w:sz w:val="20"/>
          <w:lang w:val="ru-RU"/>
        </w:rPr>
        <w:t>випадковий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w:t>
      </w:r>
      <w:proofErr w:type="spellEnd"/>
      <w:r w:rsidRPr="006B6651">
        <w:rPr>
          <w:color w:val="000000" w:themeColor="text1"/>
          <w:w w:val="110"/>
          <w:sz w:val="20"/>
          <w:lang w:val="ru-RU"/>
        </w:rPr>
        <w:t xml:space="preserve">. </w:t>
      </w:r>
      <w:r w:rsidRPr="00FD0682">
        <w:rPr>
          <w:color w:val="000000" w:themeColor="text1"/>
          <w:w w:val="110"/>
          <w:sz w:val="20"/>
          <w:lang w:val="uk-UA"/>
        </w:rPr>
        <w:t>Статистичне моделювання проводилось у</w:t>
      </w:r>
      <w:r w:rsidRPr="006B6651">
        <w:rPr>
          <w:color w:val="000000" w:themeColor="text1"/>
          <w:w w:val="110"/>
          <w:sz w:val="20"/>
          <w:lang w:val="ru-RU"/>
        </w:rPr>
        <w:t xml:space="preserve"> </w:t>
      </w:r>
      <w:r w:rsidRPr="00FD0682">
        <w:rPr>
          <w:color w:val="000000" w:themeColor="text1"/>
          <w:w w:val="110"/>
          <w:sz w:val="20"/>
        </w:rPr>
        <w:t>Stata</w:t>
      </w:r>
      <w:r w:rsidRPr="006B6651">
        <w:rPr>
          <w:color w:val="000000" w:themeColor="text1"/>
          <w:w w:val="110"/>
          <w:sz w:val="20"/>
          <w:lang w:val="ru-RU"/>
        </w:rPr>
        <w:t xml:space="preserve"> (</w:t>
      </w:r>
      <w:proofErr w:type="spellStart"/>
      <w:r w:rsidRPr="006B6651">
        <w:rPr>
          <w:color w:val="000000" w:themeColor="text1"/>
          <w:w w:val="110"/>
          <w:sz w:val="20"/>
          <w:lang w:val="ru-RU"/>
        </w:rPr>
        <w:t>версія</w:t>
      </w:r>
      <w:proofErr w:type="spellEnd"/>
      <w:r w:rsidRPr="006B6651">
        <w:rPr>
          <w:color w:val="000000" w:themeColor="text1"/>
          <w:w w:val="110"/>
          <w:sz w:val="20"/>
          <w:lang w:val="ru-RU"/>
        </w:rPr>
        <w:t xml:space="preserve"> 17) за </w:t>
      </w:r>
      <w:proofErr w:type="spellStart"/>
      <w:r w:rsidRPr="006B6651">
        <w:rPr>
          <w:color w:val="000000" w:themeColor="text1"/>
          <w:w w:val="110"/>
          <w:sz w:val="20"/>
          <w:lang w:val="ru-RU"/>
        </w:rPr>
        <w:t>допомогою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команди</w:t>
      </w:r>
      <w:proofErr w:type="spellEnd"/>
      <w:r w:rsidRPr="006B6651">
        <w:rPr>
          <w:color w:val="000000" w:themeColor="text1"/>
          <w:w w:val="110"/>
          <w:sz w:val="20"/>
          <w:lang w:val="ru-RU"/>
        </w:rPr>
        <w:t xml:space="preserve"> «</w:t>
      </w:r>
      <w:proofErr w:type="spellStart"/>
      <w:r w:rsidRPr="00FD0682">
        <w:rPr>
          <w:color w:val="000000" w:themeColor="text1"/>
          <w:w w:val="110"/>
          <w:sz w:val="20"/>
        </w:rPr>
        <w:t>melogit</w:t>
      </w:r>
      <w:proofErr w:type="spellEnd"/>
      <w:r w:rsidRPr="006B6651">
        <w:rPr>
          <w:color w:val="000000" w:themeColor="text1"/>
          <w:w w:val="110"/>
          <w:sz w:val="20"/>
          <w:lang w:val="ru-RU"/>
        </w:rPr>
        <w:t xml:space="preserve">», а </w:t>
      </w:r>
      <w:proofErr w:type="spellStart"/>
      <w:r w:rsidRPr="006B6651">
        <w:rPr>
          <w:color w:val="000000" w:themeColor="text1"/>
          <w:w w:val="110"/>
          <w:sz w:val="20"/>
          <w:lang w:val="ru-RU"/>
        </w:rPr>
        <w:t>вихідні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трансформувалися</w:t>
      </w:r>
      <w:proofErr w:type="spellEnd"/>
      <w:r w:rsidRPr="006B6651">
        <w:rPr>
          <w:color w:val="000000" w:themeColor="text1"/>
          <w:w w:val="110"/>
          <w:sz w:val="20"/>
          <w:lang w:val="ru-RU"/>
        </w:rPr>
        <w:t xml:space="preserve"> за </w:t>
      </w:r>
      <w:proofErr w:type="spellStart"/>
      <w:r w:rsidRPr="006B6651">
        <w:rPr>
          <w:color w:val="000000" w:themeColor="text1"/>
          <w:w w:val="110"/>
          <w:sz w:val="20"/>
          <w:lang w:val="ru-RU"/>
        </w:rPr>
        <w:t>допомогою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команди</w:t>
      </w:r>
      <w:proofErr w:type="spellEnd"/>
      <w:r w:rsidRPr="006B6651">
        <w:rPr>
          <w:color w:val="000000" w:themeColor="text1"/>
          <w:w w:val="110"/>
          <w:sz w:val="20"/>
          <w:lang w:val="ru-RU"/>
        </w:rPr>
        <w:t xml:space="preserve"> «</w:t>
      </w:r>
      <w:r w:rsidRPr="00FD0682">
        <w:rPr>
          <w:color w:val="000000" w:themeColor="text1"/>
          <w:w w:val="110"/>
          <w:sz w:val="20"/>
        </w:rPr>
        <w:t>margins</w:t>
      </w:r>
      <w:r w:rsidRPr="006B6651">
        <w:rPr>
          <w:color w:val="000000" w:themeColor="text1"/>
          <w:w w:val="110"/>
          <w:sz w:val="20"/>
          <w:lang w:val="ru-RU"/>
        </w:rPr>
        <w:t xml:space="preserve">». </w:t>
      </w:r>
      <w:proofErr w:type="spellStart"/>
      <w:r w:rsidRPr="006B6651">
        <w:rPr>
          <w:color w:val="000000" w:themeColor="text1"/>
          <w:w w:val="110"/>
          <w:sz w:val="20"/>
          <w:lang w:val="ru-RU"/>
        </w:rPr>
        <w:t>Моделі</w:t>
      </w:r>
      <w:proofErr w:type="spellEnd"/>
      <w:r w:rsidRPr="006B6651">
        <w:rPr>
          <w:color w:val="000000" w:themeColor="text1"/>
          <w:w w:val="110"/>
          <w:sz w:val="20"/>
          <w:lang w:val="ru-RU"/>
        </w:rPr>
        <w:t xml:space="preserve"> були </w:t>
      </w:r>
      <w:r w:rsidRPr="00FD0682">
        <w:rPr>
          <w:color w:val="000000" w:themeColor="text1"/>
          <w:w w:val="110"/>
          <w:sz w:val="20"/>
          <w:lang w:val="uk-UA"/>
        </w:rPr>
        <w:t>побудовані</w:t>
      </w:r>
      <w:r w:rsidRPr="006B6651">
        <w:rPr>
          <w:color w:val="000000" w:themeColor="text1"/>
          <w:w w:val="110"/>
          <w:sz w:val="20"/>
          <w:lang w:val="ru-RU"/>
        </w:rPr>
        <w:t xml:space="preserve"> для </w:t>
      </w:r>
      <w:proofErr w:type="spellStart"/>
      <w:r w:rsidRPr="006B6651">
        <w:rPr>
          <w:color w:val="000000" w:themeColor="text1"/>
          <w:w w:val="110"/>
          <w:sz w:val="20"/>
          <w:lang w:val="ru-RU"/>
        </w:rPr>
        <w:t>всіх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питань</w:t>
      </w:r>
      <w:proofErr w:type="spellEnd"/>
      <w:r w:rsidRPr="006B6651">
        <w:rPr>
          <w:color w:val="000000" w:themeColor="text1"/>
          <w:w w:val="110"/>
          <w:sz w:val="20"/>
          <w:lang w:val="ru-RU"/>
        </w:rPr>
        <w:t xml:space="preserve"> </w:t>
      </w:r>
      <w:r w:rsidRPr="00FD0682">
        <w:rPr>
          <w:color w:val="000000" w:themeColor="text1"/>
          <w:w w:val="110"/>
          <w:sz w:val="20"/>
          <w:lang w:val="uk-UA"/>
        </w:rPr>
        <w:t xml:space="preserve">формату </w:t>
      </w:r>
      <w:r w:rsidRPr="00FD0682">
        <w:rPr>
          <w:color w:val="000000" w:themeColor="text1"/>
          <w:w w:val="110"/>
          <w:sz w:val="20"/>
        </w:rPr>
        <w:t>PICO</w:t>
      </w:r>
      <w:r w:rsidRPr="006B6651">
        <w:rPr>
          <w:color w:val="000000" w:themeColor="text1"/>
          <w:w w:val="110"/>
          <w:sz w:val="20"/>
          <w:lang w:val="ru-RU"/>
        </w:rPr>
        <w:t xml:space="preserve"> </w:t>
      </w:r>
      <w:r w:rsidRPr="00FD0682">
        <w:rPr>
          <w:color w:val="000000" w:themeColor="text1"/>
          <w:w w:val="110"/>
          <w:sz w:val="20"/>
          <w:lang w:val="uk-UA"/>
        </w:rPr>
        <w:t>з метою оцінки</w:t>
      </w:r>
      <w:r w:rsidRPr="006B6651">
        <w:rPr>
          <w:color w:val="000000" w:themeColor="text1"/>
          <w:w w:val="110"/>
          <w:sz w:val="20"/>
          <w:lang w:val="ru-RU"/>
        </w:rPr>
        <w:t xml:space="preserve"> </w:t>
      </w:r>
      <w:proofErr w:type="spellStart"/>
      <w:r w:rsidRPr="006B6651">
        <w:rPr>
          <w:color w:val="000000" w:themeColor="text1"/>
          <w:w w:val="110"/>
          <w:sz w:val="20"/>
          <w:lang w:val="ru-RU"/>
        </w:rPr>
        <w:t>чутливості</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специфічності</w:t>
      </w:r>
      <w:proofErr w:type="spellEnd"/>
      <w:r w:rsidRPr="006B6651">
        <w:rPr>
          <w:color w:val="000000" w:themeColor="text1"/>
          <w:w w:val="110"/>
          <w:sz w:val="20"/>
          <w:lang w:val="ru-RU"/>
        </w:rPr>
        <w:t>.</w:t>
      </w:r>
    </w:p>
    <w:p w14:paraId="070387E4" w14:textId="77777777" w:rsidR="00291E90" w:rsidRPr="006B6651" w:rsidRDefault="00291E90" w:rsidP="00DA5A55">
      <w:pPr>
        <w:pStyle w:val="a3"/>
        <w:spacing w:before="173" w:line="276" w:lineRule="auto"/>
        <w:ind w:left="567" w:right="2"/>
        <w:jc w:val="both"/>
        <w:rPr>
          <w:color w:val="000000" w:themeColor="text1"/>
          <w:sz w:val="20"/>
          <w:lang w:val="ru-RU"/>
        </w:rPr>
      </w:pPr>
      <w:proofErr w:type="spellStart"/>
      <w:r w:rsidRPr="006B6651">
        <w:rPr>
          <w:color w:val="000000" w:themeColor="text1"/>
          <w:w w:val="110"/>
          <w:sz w:val="20"/>
          <w:lang w:val="ru-RU"/>
        </w:rPr>
        <w:t>Достовірність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доказових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об'єднаних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досліджень</w:t>
      </w:r>
      <w:proofErr w:type="spellEnd"/>
      <w:r w:rsidRPr="006B6651">
        <w:rPr>
          <w:color w:val="000000" w:themeColor="text1"/>
          <w:w w:val="110"/>
          <w:sz w:val="20"/>
          <w:lang w:val="ru-RU"/>
        </w:rPr>
        <w:t xml:space="preserve"> систематично </w:t>
      </w:r>
      <w:proofErr w:type="spellStart"/>
      <w:r w:rsidRPr="006B6651">
        <w:rPr>
          <w:color w:val="000000" w:themeColor="text1"/>
          <w:w w:val="110"/>
          <w:sz w:val="20"/>
          <w:lang w:val="ru-RU"/>
        </w:rPr>
        <w:t>оцінювалася</w:t>
      </w:r>
      <w:proofErr w:type="spellEnd"/>
      <w:r w:rsidRPr="006B6651">
        <w:rPr>
          <w:color w:val="000000" w:themeColor="text1"/>
          <w:w w:val="110"/>
          <w:sz w:val="20"/>
          <w:lang w:val="ru-RU"/>
        </w:rPr>
        <w:t xml:space="preserve"> для кожного з </w:t>
      </w:r>
      <w:proofErr w:type="spellStart"/>
      <w:r w:rsidRPr="006B6651">
        <w:rPr>
          <w:color w:val="000000" w:themeColor="text1"/>
          <w:w w:val="110"/>
          <w:sz w:val="20"/>
          <w:lang w:val="ru-RU"/>
        </w:rPr>
        <w:t>питань</w:t>
      </w:r>
      <w:proofErr w:type="spellEnd"/>
      <w:r w:rsidRPr="006B6651">
        <w:rPr>
          <w:color w:val="000000" w:themeColor="text1"/>
          <w:w w:val="110"/>
          <w:sz w:val="20"/>
          <w:lang w:val="ru-RU"/>
        </w:rPr>
        <w:t xml:space="preserve"> </w:t>
      </w:r>
      <w:r w:rsidRPr="00FD0682">
        <w:rPr>
          <w:color w:val="000000" w:themeColor="text1"/>
          <w:w w:val="110"/>
          <w:sz w:val="20"/>
          <w:lang w:val="uk-UA"/>
        </w:rPr>
        <w:t xml:space="preserve">формату </w:t>
      </w:r>
      <w:r w:rsidRPr="00FD0682">
        <w:rPr>
          <w:color w:val="000000" w:themeColor="text1"/>
          <w:w w:val="110"/>
          <w:sz w:val="20"/>
        </w:rPr>
        <w:t>PICO</w:t>
      </w:r>
      <w:r w:rsidRPr="006B6651">
        <w:rPr>
          <w:color w:val="000000" w:themeColor="text1"/>
          <w:w w:val="110"/>
          <w:sz w:val="20"/>
          <w:lang w:val="ru-RU"/>
        </w:rPr>
        <w:t xml:space="preserve"> за </w:t>
      </w:r>
      <w:proofErr w:type="spellStart"/>
      <w:r w:rsidRPr="006B6651">
        <w:rPr>
          <w:color w:val="000000" w:themeColor="text1"/>
          <w:w w:val="110"/>
          <w:sz w:val="20"/>
          <w:lang w:val="ru-RU"/>
        </w:rPr>
        <w:t>допомогою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підходу</w:t>
      </w:r>
      <w:proofErr w:type="spellEnd"/>
      <w:r w:rsidRPr="006B6651">
        <w:rPr>
          <w:color w:val="000000" w:themeColor="text1"/>
          <w:w w:val="110"/>
          <w:sz w:val="20"/>
          <w:lang w:val="ru-RU"/>
        </w:rPr>
        <w:t xml:space="preserve"> </w:t>
      </w:r>
      <w:r w:rsidRPr="00FD0682">
        <w:rPr>
          <w:color w:val="000000" w:themeColor="text1"/>
          <w:w w:val="110"/>
          <w:sz w:val="20"/>
        </w:rPr>
        <w:t>GRADE</w:t>
      </w:r>
      <w:r w:rsidRPr="006B6651">
        <w:rPr>
          <w:color w:val="000000" w:themeColor="text1"/>
          <w:w w:val="110"/>
          <w:sz w:val="20"/>
          <w:lang w:val="ru-RU"/>
        </w:rPr>
        <w:t xml:space="preserve">, </w:t>
      </w:r>
      <w:proofErr w:type="spellStart"/>
      <w:r w:rsidRPr="006B6651">
        <w:rPr>
          <w:color w:val="000000" w:themeColor="text1"/>
          <w:w w:val="110"/>
          <w:sz w:val="20"/>
          <w:lang w:val="ru-RU"/>
        </w:rPr>
        <w:t>який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загальну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оцінку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якості</w:t>
      </w:r>
      <w:proofErr w:type="spellEnd"/>
      <w:r w:rsidRPr="006B6651">
        <w:rPr>
          <w:color w:val="000000" w:themeColor="text1"/>
          <w:w w:val="110"/>
          <w:sz w:val="20"/>
          <w:lang w:val="ru-RU"/>
        </w:rPr>
        <w:t xml:space="preserve"> (або </w:t>
      </w:r>
      <w:proofErr w:type="spellStart"/>
      <w:r w:rsidRPr="006B6651">
        <w:rPr>
          <w:color w:val="000000" w:themeColor="text1"/>
          <w:w w:val="110"/>
          <w:sz w:val="20"/>
          <w:lang w:val="ru-RU"/>
        </w:rPr>
        <w:t>достовірності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доказових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має</w:t>
      </w:r>
      <w:proofErr w:type="spellEnd"/>
      <w:r w:rsidRPr="006B6651">
        <w:rPr>
          <w:color w:val="000000" w:themeColor="text1"/>
          <w:w w:val="110"/>
          <w:sz w:val="20"/>
          <w:lang w:val="ru-RU"/>
        </w:rPr>
        <w:t xml:space="preserve"> структуру для </w:t>
      </w:r>
      <w:proofErr w:type="spellStart"/>
      <w:r w:rsidRPr="006B6651">
        <w:rPr>
          <w:color w:val="000000" w:themeColor="text1"/>
          <w:w w:val="110"/>
          <w:sz w:val="20"/>
          <w:lang w:val="ru-RU"/>
        </w:rPr>
        <w:t>перетворення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доказових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рекомендації</w:t>
      </w:r>
      <w:proofErr w:type="spellEnd"/>
      <w:r w:rsidRPr="006B6651">
        <w:rPr>
          <w:color w:val="000000" w:themeColor="text1"/>
          <w:w w:val="110"/>
          <w:sz w:val="20"/>
          <w:lang w:val="ru-RU"/>
        </w:rPr>
        <w:t>.</w:t>
      </w:r>
    </w:p>
    <w:p w14:paraId="2D80F931" w14:textId="77777777" w:rsidR="00291E90" w:rsidRPr="006B6651" w:rsidRDefault="00291E90" w:rsidP="00291E90">
      <w:pPr>
        <w:pStyle w:val="a3"/>
        <w:spacing w:before="174" w:line="276" w:lineRule="auto"/>
        <w:ind w:left="567" w:right="2"/>
        <w:jc w:val="both"/>
        <w:rPr>
          <w:color w:val="000000" w:themeColor="text1"/>
          <w:sz w:val="20"/>
          <w:lang w:val="ru-RU"/>
        </w:rPr>
      </w:pPr>
      <w:proofErr w:type="spellStart"/>
      <w:r w:rsidRPr="006B6651">
        <w:rPr>
          <w:color w:val="000000" w:themeColor="text1"/>
          <w:w w:val="110"/>
          <w:sz w:val="20"/>
          <w:lang w:val="ru-RU"/>
        </w:rPr>
        <w:t>Програмне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забезпечення</w:t>
      </w:r>
      <w:proofErr w:type="spellEnd"/>
      <w:r w:rsidRPr="006B6651">
        <w:rPr>
          <w:color w:val="000000" w:themeColor="text1"/>
          <w:w w:val="110"/>
          <w:sz w:val="20"/>
          <w:lang w:val="ru-RU"/>
        </w:rPr>
        <w:t xml:space="preserve"> </w:t>
      </w:r>
      <w:r w:rsidRPr="00071D7E">
        <w:rPr>
          <w:color w:val="000000" w:themeColor="text1"/>
          <w:w w:val="110"/>
          <w:sz w:val="20"/>
        </w:rPr>
        <w:t>GRADEpro</w:t>
      </w:r>
      <w:r w:rsidRPr="006B6651">
        <w:rPr>
          <w:color w:val="000000" w:themeColor="text1"/>
          <w:w w:val="110"/>
          <w:sz w:val="20"/>
          <w:lang w:val="ru-RU"/>
        </w:rPr>
        <w:t xml:space="preserve"> </w:t>
      </w:r>
      <w:r w:rsidRPr="00071D7E">
        <w:rPr>
          <w:color w:val="000000" w:themeColor="text1"/>
          <w:w w:val="110"/>
          <w:sz w:val="20"/>
        </w:rPr>
        <w:t>Guideline</w:t>
      </w:r>
      <w:r w:rsidRPr="006B6651">
        <w:rPr>
          <w:color w:val="000000" w:themeColor="text1"/>
          <w:w w:val="110"/>
          <w:sz w:val="20"/>
          <w:lang w:val="ru-RU"/>
        </w:rPr>
        <w:t xml:space="preserve"> </w:t>
      </w:r>
      <w:r w:rsidRPr="00071D7E">
        <w:rPr>
          <w:color w:val="000000" w:themeColor="text1"/>
          <w:w w:val="110"/>
          <w:sz w:val="20"/>
        </w:rPr>
        <w:t>Development</w:t>
      </w:r>
      <w:r w:rsidRPr="006B6651">
        <w:rPr>
          <w:color w:val="000000" w:themeColor="text1"/>
          <w:w w:val="110"/>
          <w:sz w:val="20"/>
          <w:lang w:val="ru-RU"/>
        </w:rPr>
        <w:t xml:space="preserve"> </w:t>
      </w:r>
      <w:r w:rsidRPr="00071D7E">
        <w:rPr>
          <w:color w:val="000000" w:themeColor="text1"/>
          <w:w w:val="110"/>
          <w:sz w:val="20"/>
        </w:rPr>
        <w:t>Tool</w:t>
      </w:r>
      <w:r w:rsidRPr="006B6651">
        <w:rPr>
          <w:color w:val="000000" w:themeColor="text1"/>
          <w:w w:val="110"/>
          <w:sz w:val="20"/>
          <w:lang w:val="ru-RU"/>
        </w:rPr>
        <w:t xml:space="preserve"> </w:t>
      </w:r>
      <w:r w:rsidRPr="006B6651">
        <w:rPr>
          <w:i/>
          <w:color w:val="000000" w:themeColor="text1"/>
          <w:w w:val="110"/>
          <w:sz w:val="20"/>
          <w:lang w:val="ru-RU"/>
        </w:rPr>
        <w:t>(16)</w:t>
      </w:r>
      <w:r w:rsidRPr="006B6651">
        <w:rPr>
          <w:color w:val="000000" w:themeColor="text1"/>
          <w:w w:val="110"/>
          <w:sz w:val="20"/>
          <w:lang w:val="ru-RU"/>
        </w:rPr>
        <w:t xml:space="preserve"> </w:t>
      </w:r>
      <w:proofErr w:type="spellStart"/>
      <w:r w:rsidRPr="006B6651">
        <w:rPr>
          <w:color w:val="000000" w:themeColor="text1"/>
          <w:w w:val="110"/>
          <w:sz w:val="20"/>
          <w:lang w:val="ru-RU"/>
        </w:rPr>
        <w:t>використовувалося</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створення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зведених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таблиць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результатів</w:t>
      </w:r>
      <w:proofErr w:type="spellEnd"/>
      <w:r w:rsidRPr="006B6651">
        <w:rPr>
          <w:color w:val="000000" w:themeColor="text1"/>
          <w:w w:val="110"/>
          <w:sz w:val="20"/>
          <w:lang w:val="ru-RU"/>
        </w:rPr>
        <w:t xml:space="preserve"> щодо </w:t>
      </w:r>
      <w:proofErr w:type="spellStart"/>
      <w:r w:rsidRPr="006B6651">
        <w:rPr>
          <w:color w:val="000000" w:themeColor="text1"/>
          <w:w w:val="110"/>
          <w:sz w:val="20"/>
          <w:lang w:val="ru-RU"/>
        </w:rPr>
        <w:t>чутливості</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специфічності</w:t>
      </w:r>
      <w:proofErr w:type="spellEnd"/>
      <w:r w:rsidRPr="006B6651">
        <w:rPr>
          <w:color w:val="000000" w:themeColor="text1"/>
          <w:w w:val="110"/>
          <w:sz w:val="20"/>
          <w:lang w:val="ru-RU"/>
        </w:rPr>
        <w:t xml:space="preserve"> для кожного препарату. </w:t>
      </w:r>
      <w:proofErr w:type="spellStart"/>
      <w:r w:rsidRPr="006B6651">
        <w:rPr>
          <w:color w:val="000000" w:themeColor="text1"/>
          <w:w w:val="110"/>
          <w:sz w:val="20"/>
          <w:lang w:val="ru-RU"/>
        </w:rPr>
        <w:t>Потім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розраховувалася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кількість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класифікованих</w:t>
      </w:r>
      <w:proofErr w:type="spellEnd"/>
      <w:r w:rsidRPr="006B6651">
        <w:rPr>
          <w:color w:val="000000" w:themeColor="text1"/>
          <w:w w:val="110"/>
          <w:sz w:val="20"/>
          <w:lang w:val="ru-RU"/>
        </w:rPr>
        <w:t xml:space="preserve"> як </w:t>
      </w:r>
      <w:proofErr w:type="spellStart"/>
      <w:r w:rsidRPr="006B6651">
        <w:rPr>
          <w:color w:val="000000" w:themeColor="text1"/>
          <w:w w:val="110"/>
          <w:sz w:val="20"/>
          <w:lang w:val="ru-RU"/>
        </w:rPr>
        <w:t>істинн</w:t>
      </w:r>
      <w:proofErr w:type="spellEnd"/>
      <w:r w:rsidRPr="00FD0682">
        <w:rPr>
          <w:color w:val="000000" w:themeColor="text1"/>
          <w:w w:val="110"/>
          <w:sz w:val="20"/>
          <w:lang w:val="uk-UA"/>
        </w:rPr>
        <w:t xml:space="preserve">і, </w:t>
      </w:r>
      <w:r w:rsidRPr="006B6651">
        <w:rPr>
          <w:color w:val="000000" w:themeColor="text1"/>
          <w:w w:val="110"/>
          <w:sz w:val="20"/>
          <w:lang w:val="ru-RU"/>
        </w:rPr>
        <w:t xml:space="preserve">хибнопозитивні або </w:t>
      </w:r>
      <w:proofErr w:type="spellStart"/>
      <w:r w:rsidRPr="006B6651">
        <w:rPr>
          <w:color w:val="000000" w:themeColor="text1"/>
          <w:w w:val="110"/>
          <w:sz w:val="20"/>
          <w:lang w:val="ru-RU"/>
        </w:rPr>
        <w:t>негативні</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трьох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різних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рівнів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поширеності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лікарської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стійкості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обраних</w:t>
      </w:r>
      <w:proofErr w:type="spellEnd"/>
      <w:r w:rsidRPr="006B6651">
        <w:rPr>
          <w:color w:val="000000" w:themeColor="text1"/>
          <w:w w:val="110"/>
          <w:sz w:val="20"/>
          <w:lang w:val="ru-RU"/>
        </w:rPr>
        <w:t xml:space="preserve"> </w:t>
      </w:r>
      <w:r w:rsidRPr="00FD0682">
        <w:rPr>
          <w:color w:val="000000" w:themeColor="text1"/>
          <w:w w:val="110"/>
          <w:sz w:val="20"/>
          <w:lang w:val="uk-UA"/>
        </w:rPr>
        <w:t>для репрезентації</w:t>
      </w:r>
      <w:r w:rsidRPr="006B6651">
        <w:rPr>
          <w:color w:val="000000" w:themeColor="text1"/>
          <w:w w:val="110"/>
          <w:sz w:val="20"/>
          <w:lang w:val="ru-RU"/>
        </w:rPr>
        <w:t xml:space="preserve"> </w:t>
      </w:r>
      <w:proofErr w:type="spellStart"/>
      <w:r w:rsidRPr="006B6651">
        <w:rPr>
          <w:color w:val="000000" w:themeColor="text1"/>
          <w:w w:val="110"/>
          <w:sz w:val="20"/>
          <w:lang w:val="ru-RU"/>
        </w:rPr>
        <w:t>різних</w:t>
      </w:r>
      <w:proofErr w:type="spellEnd"/>
      <w:r w:rsidRPr="006B6651">
        <w:rPr>
          <w:color w:val="000000" w:themeColor="text1"/>
          <w:w w:val="110"/>
          <w:sz w:val="20"/>
          <w:lang w:val="ru-RU"/>
        </w:rPr>
        <w:t xml:space="preserve"> </w:t>
      </w:r>
      <w:r>
        <w:rPr>
          <w:color w:val="000000" w:themeColor="text1"/>
          <w:w w:val="110"/>
          <w:sz w:val="20"/>
          <w:lang w:val="uk-UA"/>
        </w:rPr>
        <w:t>країн та регіонів</w:t>
      </w:r>
      <w:r w:rsidRPr="006B6651">
        <w:rPr>
          <w:color w:val="000000" w:themeColor="text1"/>
          <w:w w:val="110"/>
          <w:sz w:val="20"/>
          <w:lang w:val="ru-RU"/>
        </w:rPr>
        <w:t xml:space="preserve">. </w:t>
      </w:r>
      <w:proofErr w:type="spellStart"/>
      <w:r w:rsidRPr="006B6651">
        <w:rPr>
          <w:color w:val="000000" w:themeColor="text1"/>
          <w:w w:val="110"/>
          <w:sz w:val="20"/>
          <w:lang w:val="ru-RU"/>
        </w:rPr>
        <w:t>Якість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доказових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оцінювалася</w:t>
      </w:r>
      <w:proofErr w:type="spellEnd"/>
      <w:r w:rsidRPr="006B6651">
        <w:rPr>
          <w:color w:val="000000" w:themeColor="text1"/>
          <w:w w:val="110"/>
          <w:sz w:val="20"/>
          <w:lang w:val="ru-RU"/>
        </w:rPr>
        <w:t xml:space="preserve"> як </w:t>
      </w:r>
      <w:proofErr w:type="spellStart"/>
      <w:r w:rsidRPr="006B6651">
        <w:rPr>
          <w:color w:val="000000" w:themeColor="text1"/>
          <w:w w:val="110"/>
          <w:sz w:val="20"/>
          <w:lang w:val="ru-RU"/>
        </w:rPr>
        <w:t>висока</w:t>
      </w:r>
      <w:proofErr w:type="spellEnd"/>
      <w:r w:rsidRPr="006B6651">
        <w:rPr>
          <w:color w:val="000000" w:themeColor="text1"/>
          <w:w w:val="110"/>
          <w:sz w:val="20"/>
          <w:lang w:val="ru-RU"/>
        </w:rPr>
        <w:t xml:space="preserve"> (без </w:t>
      </w:r>
      <w:proofErr w:type="spellStart"/>
      <w:r w:rsidRPr="006B6651">
        <w:rPr>
          <w:color w:val="000000" w:themeColor="text1"/>
          <w:w w:val="110"/>
          <w:sz w:val="20"/>
          <w:lang w:val="ru-RU"/>
        </w:rPr>
        <w:t>зниження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рівня</w:t>
      </w:r>
      <w:proofErr w:type="spellEnd"/>
      <w:r w:rsidRPr="006B6651">
        <w:rPr>
          <w:color w:val="000000" w:themeColor="text1"/>
          <w:w w:val="110"/>
          <w:sz w:val="20"/>
          <w:lang w:val="ru-RU"/>
        </w:rPr>
        <w:t xml:space="preserve">), </w:t>
      </w:r>
      <w:r w:rsidRPr="00FD0682">
        <w:rPr>
          <w:color w:val="000000" w:themeColor="text1"/>
          <w:w w:val="110"/>
          <w:sz w:val="20"/>
          <w:lang w:val="uk-UA"/>
        </w:rPr>
        <w:t>середня</w:t>
      </w:r>
      <w:r w:rsidRPr="006B6651">
        <w:rPr>
          <w:color w:val="000000" w:themeColor="text1"/>
          <w:w w:val="110"/>
          <w:sz w:val="20"/>
          <w:lang w:val="ru-RU"/>
        </w:rPr>
        <w:t xml:space="preserve"> (</w:t>
      </w:r>
      <w:proofErr w:type="spellStart"/>
      <w:r w:rsidRPr="006B6651">
        <w:rPr>
          <w:color w:val="000000" w:themeColor="text1"/>
          <w:w w:val="110"/>
          <w:sz w:val="20"/>
          <w:lang w:val="ru-RU"/>
        </w:rPr>
        <w:t>знижена</w:t>
      </w:r>
      <w:proofErr w:type="spellEnd"/>
      <w:r w:rsidRPr="006B6651">
        <w:rPr>
          <w:color w:val="000000" w:themeColor="text1"/>
          <w:w w:val="110"/>
          <w:sz w:val="20"/>
          <w:lang w:val="ru-RU"/>
        </w:rPr>
        <w:t xml:space="preserve"> на один </w:t>
      </w:r>
      <w:proofErr w:type="spellStart"/>
      <w:r w:rsidRPr="006B6651">
        <w:rPr>
          <w:color w:val="000000" w:themeColor="text1"/>
          <w:w w:val="110"/>
          <w:sz w:val="20"/>
          <w:lang w:val="ru-RU"/>
        </w:rPr>
        <w:t>рівень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низька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знижена</w:t>
      </w:r>
      <w:proofErr w:type="spellEnd"/>
      <w:r w:rsidRPr="006B6651">
        <w:rPr>
          <w:color w:val="000000" w:themeColor="text1"/>
          <w:w w:val="110"/>
          <w:sz w:val="20"/>
          <w:lang w:val="ru-RU"/>
        </w:rPr>
        <w:t xml:space="preserve"> на два </w:t>
      </w:r>
      <w:proofErr w:type="spellStart"/>
      <w:r w:rsidRPr="006B6651">
        <w:rPr>
          <w:color w:val="000000" w:themeColor="text1"/>
          <w:w w:val="110"/>
          <w:sz w:val="20"/>
          <w:lang w:val="ru-RU"/>
        </w:rPr>
        <w:t>рівні</w:t>
      </w:r>
      <w:proofErr w:type="spellEnd"/>
      <w:r w:rsidRPr="006B6651">
        <w:rPr>
          <w:color w:val="000000" w:themeColor="text1"/>
          <w:w w:val="110"/>
          <w:sz w:val="20"/>
          <w:lang w:val="ru-RU"/>
        </w:rPr>
        <w:t xml:space="preserve">) або </w:t>
      </w:r>
      <w:proofErr w:type="spellStart"/>
      <w:r w:rsidRPr="006B6651">
        <w:rPr>
          <w:color w:val="000000" w:themeColor="text1"/>
          <w:w w:val="110"/>
          <w:sz w:val="20"/>
          <w:lang w:val="ru-RU"/>
        </w:rPr>
        <w:t>дуже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низька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знижена</w:t>
      </w:r>
      <w:proofErr w:type="spellEnd"/>
      <w:r w:rsidRPr="006B6651">
        <w:rPr>
          <w:color w:val="000000" w:themeColor="text1"/>
          <w:w w:val="110"/>
          <w:sz w:val="20"/>
          <w:lang w:val="ru-RU"/>
        </w:rPr>
        <w:t xml:space="preserve"> </w:t>
      </w:r>
      <w:r w:rsidRPr="00FD0682">
        <w:rPr>
          <w:color w:val="000000" w:themeColor="text1"/>
          <w:w w:val="110"/>
          <w:sz w:val="20"/>
          <w:lang w:val="uk-UA"/>
        </w:rPr>
        <w:t xml:space="preserve">на </w:t>
      </w:r>
      <w:proofErr w:type="spellStart"/>
      <w:r w:rsidRPr="006B6651">
        <w:rPr>
          <w:color w:val="000000" w:themeColor="text1"/>
          <w:w w:val="110"/>
          <w:sz w:val="20"/>
          <w:lang w:val="ru-RU"/>
        </w:rPr>
        <w:t>більш</w:t>
      </w:r>
      <w:proofErr w:type="spellEnd"/>
      <w:r w:rsidRPr="00FD0682">
        <w:rPr>
          <w:color w:val="000000" w:themeColor="text1"/>
          <w:w w:val="110"/>
          <w:sz w:val="20"/>
          <w:lang w:val="uk-UA"/>
        </w:rPr>
        <w:t>е,</w:t>
      </w:r>
      <w:r w:rsidRPr="006B6651">
        <w:rPr>
          <w:color w:val="000000" w:themeColor="text1"/>
          <w:w w:val="110"/>
          <w:sz w:val="20"/>
          <w:lang w:val="ru-RU"/>
        </w:rPr>
        <w:t xml:space="preserve"> </w:t>
      </w:r>
      <w:proofErr w:type="spellStart"/>
      <w:r w:rsidRPr="006B6651">
        <w:rPr>
          <w:color w:val="000000" w:themeColor="text1"/>
          <w:w w:val="110"/>
          <w:sz w:val="20"/>
          <w:lang w:val="ru-RU"/>
        </w:rPr>
        <w:t>ніж</w:t>
      </w:r>
      <w:proofErr w:type="spellEnd"/>
      <w:r w:rsidRPr="006B6651">
        <w:rPr>
          <w:color w:val="000000" w:themeColor="text1"/>
          <w:w w:val="110"/>
          <w:sz w:val="20"/>
          <w:lang w:val="ru-RU"/>
        </w:rPr>
        <w:t xml:space="preserve"> два </w:t>
      </w:r>
      <w:proofErr w:type="spellStart"/>
      <w:r w:rsidRPr="006B6651">
        <w:rPr>
          <w:color w:val="000000" w:themeColor="text1"/>
          <w:w w:val="110"/>
          <w:sz w:val="20"/>
          <w:lang w:val="ru-RU"/>
        </w:rPr>
        <w:t>рівні</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основі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п'яти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факторів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ризик</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систематичної</w:t>
      </w:r>
      <w:proofErr w:type="spellEnd"/>
      <w:r w:rsidRPr="006B6651">
        <w:rPr>
          <w:color w:val="000000" w:themeColor="text1"/>
          <w:w w:val="110"/>
          <w:sz w:val="20"/>
          <w:lang w:val="ru-RU"/>
        </w:rPr>
        <w:t xml:space="preserve"> </w:t>
      </w:r>
      <w:r w:rsidRPr="00FD0682">
        <w:rPr>
          <w:color w:val="000000" w:themeColor="text1"/>
          <w:w w:val="110"/>
          <w:sz w:val="20"/>
          <w:lang w:val="uk-UA"/>
        </w:rPr>
        <w:t>похибки</w:t>
      </w:r>
      <w:r w:rsidRPr="006B6651">
        <w:rPr>
          <w:color w:val="000000" w:themeColor="text1"/>
          <w:w w:val="110"/>
          <w:sz w:val="20"/>
          <w:lang w:val="ru-RU"/>
        </w:rPr>
        <w:t xml:space="preserve">, </w:t>
      </w:r>
      <w:proofErr w:type="spellStart"/>
      <w:r w:rsidRPr="006B6651">
        <w:rPr>
          <w:color w:val="000000" w:themeColor="text1"/>
          <w:w w:val="110"/>
          <w:sz w:val="20"/>
          <w:lang w:val="ru-RU"/>
        </w:rPr>
        <w:t>непрямота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неузгодженість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неточність</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інші</w:t>
      </w:r>
      <w:proofErr w:type="spellEnd"/>
      <w:r w:rsidRPr="006B6651">
        <w:rPr>
          <w:color w:val="000000" w:themeColor="text1"/>
          <w:w w:val="110"/>
          <w:sz w:val="20"/>
          <w:lang w:val="ru-RU"/>
        </w:rPr>
        <w:t xml:space="preserve"> </w:t>
      </w:r>
      <w:r w:rsidRPr="00FD0682">
        <w:rPr>
          <w:color w:val="000000" w:themeColor="text1"/>
          <w:w w:val="110"/>
          <w:sz w:val="20"/>
          <w:lang w:val="uk-UA"/>
        </w:rPr>
        <w:t>аспекти</w:t>
      </w:r>
      <w:r w:rsidRPr="006B6651">
        <w:rPr>
          <w:color w:val="000000" w:themeColor="text1"/>
          <w:w w:val="110"/>
          <w:sz w:val="20"/>
          <w:lang w:val="ru-RU"/>
        </w:rPr>
        <w:t xml:space="preserve">. </w:t>
      </w:r>
      <w:r w:rsidRPr="006B6651">
        <w:rPr>
          <w:color w:val="000000" w:themeColor="text1"/>
          <w:spacing w:val="-14"/>
          <w:w w:val="110"/>
          <w:sz w:val="20"/>
          <w:lang w:val="ru-RU"/>
        </w:rPr>
        <w:t xml:space="preserve"> </w:t>
      </w:r>
      <w:proofErr w:type="spellStart"/>
      <w:r w:rsidRPr="006B6651">
        <w:rPr>
          <w:color w:val="000000" w:themeColor="text1"/>
          <w:w w:val="110"/>
          <w:sz w:val="20"/>
          <w:lang w:val="ru-RU"/>
        </w:rPr>
        <w:t>Якість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достовірність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доказових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знижувалася</w:t>
      </w:r>
      <w:proofErr w:type="spellEnd"/>
      <w:r w:rsidRPr="006B6651">
        <w:rPr>
          <w:color w:val="000000" w:themeColor="text1"/>
          <w:w w:val="110"/>
          <w:sz w:val="20"/>
          <w:lang w:val="ru-RU"/>
        </w:rPr>
        <w:t xml:space="preserve"> на один </w:t>
      </w:r>
      <w:proofErr w:type="spellStart"/>
      <w:r w:rsidRPr="006B6651">
        <w:rPr>
          <w:color w:val="000000" w:themeColor="text1"/>
          <w:w w:val="110"/>
          <w:sz w:val="20"/>
          <w:lang w:val="ru-RU"/>
        </w:rPr>
        <w:t>рівень</w:t>
      </w:r>
      <w:proofErr w:type="spellEnd"/>
      <w:r w:rsidRPr="00FD0682">
        <w:rPr>
          <w:color w:val="000000" w:themeColor="text1"/>
          <w:w w:val="110"/>
          <w:sz w:val="20"/>
          <w:lang w:val="uk-UA"/>
        </w:rPr>
        <w:t xml:space="preserve"> при виявленні </w:t>
      </w:r>
      <w:proofErr w:type="spellStart"/>
      <w:r w:rsidRPr="006B6651">
        <w:rPr>
          <w:color w:val="000000" w:themeColor="text1"/>
          <w:w w:val="110"/>
          <w:sz w:val="20"/>
          <w:lang w:val="ru-RU"/>
        </w:rPr>
        <w:t>серйозн</w:t>
      </w:r>
      <w:r w:rsidRPr="00FD0682">
        <w:rPr>
          <w:color w:val="000000" w:themeColor="text1"/>
          <w:w w:val="110"/>
          <w:sz w:val="20"/>
          <w:lang w:val="uk-UA"/>
        </w:rPr>
        <w:t>ої</w:t>
      </w:r>
      <w:proofErr w:type="spellEnd"/>
      <w:r w:rsidRPr="006B6651">
        <w:rPr>
          <w:color w:val="000000" w:themeColor="text1"/>
          <w:w w:val="110"/>
          <w:sz w:val="20"/>
          <w:lang w:val="ru-RU"/>
        </w:rPr>
        <w:t xml:space="preserve"> проблем</w:t>
      </w:r>
      <w:r w:rsidRPr="00FD0682">
        <w:rPr>
          <w:color w:val="000000" w:themeColor="text1"/>
          <w:w w:val="110"/>
          <w:sz w:val="20"/>
          <w:lang w:val="uk-UA"/>
        </w:rPr>
        <w:t>и</w:t>
      </w:r>
      <w:r w:rsidRPr="006B6651">
        <w:rPr>
          <w:color w:val="000000" w:themeColor="text1"/>
          <w:w w:val="110"/>
          <w:sz w:val="20"/>
          <w:lang w:val="ru-RU"/>
        </w:rPr>
        <w:t xml:space="preserve">, і на два </w:t>
      </w:r>
      <w:proofErr w:type="spellStart"/>
      <w:r w:rsidRPr="006B6651">
        <w:rPr>
          <w:color w:val="000000" w:themeColor="text1"/>
          <w:w w:val="110"/>
          <w:sz w:val="20"/>
          <w:lang w:val="ru-RU"/>
        </w:rPr>
        <w:t>рівні</w:t>
      </w:r>
      <w:proofErr w:type="spellEnd"/>
      <w:r w:rsidRPr="00FD0682">
        <w:rPr>
          <w:color w:val="000000" w:themeColor="text1"/>
          <w:w w:val="110"/>
          <w:sz w:val="20"/>
          <w:lang w:val="uk-UA"/>
        </w:rPr>
        <w:t xml:space="preserve"> при виявленні</w:t>
      </w:r>
      <w:r w:rsidRPr="006B6651">
        <w:rPr>
          <w:color w:val="000000" w:themeColor="text1"/>
          <w:w w:val="110"/>
          <w:sz w:val="20"/>
          <w:lang w:val="ru-RU"/>
        </w:rPr>
        <w:t xml:space="preserve"> </w:t>
      </w:r>
      <w:proofErr w:type="spellStart"/>
      <w:r w:rsidRPr="006B6651">
        <w:rPr>
          <w:color w:val="000000" w:themeColor="text1"/>
          <w:w w:val="110"/>
          <w:sz w:val="20"/>
          <w:lang w:val="ru-RU"/>
        </w:rPr>
        <w:t>дуже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серйозн</w:t>
      </w:r>
      <w:r w:rsidRPr="00FD0682">
        <w:rPr>
          <w:color w:val="000000" w:themeColor="text1"/>
          <w:w w:val="110"/>
          <w:sz w:val="20"/>
          <w:lang w:val="uk-UA"/>
        </w:rPr>
        <w:t>ої</w:t>
      </w:r>
      <w:proofErr w:type="spellEnd"/>
      <w:r w:rsidRPr="006B6651">
        <w:rPr>
          <w:color w:val="000000" w:themeColor="text1"/>
          <w:w w:val="110"/>
          <w:sz w:val="20"/>
          <w:lang w:val="ru-RU"/>
        </w:rPr>
        <w:t xml:space="preserve"> проблема за будь-</w:t>
      </w:r>
      <w:proofErr w:type="spellStart"/>
      <w:r w:rsidRPr="006B6651">
        <w:rPr>
          <w:color w:val="000000" w:themeColor="text1"/>
          <w:w w:val="110"/>
          <w:sz w:val="20"/>
          <w:lang w:val="ru-RU"/>
        </w:rPr>
        <w:t>яким</w:t>
      </w:r>
      <w:proofErr w:type="spellEnd"/>
      <w:r w:rsidRPr="006B6651">
        <w:rPr>
          <w:color w:val="000000" w:themeColor="text1"/>
          <w:w w:val="110"/>
          <w:sz w:val="20"/>
          <w:lang w:val="ru-RU"/>
        </w:rPr>
        <w:t xml:space="preserve"> із </w:t>
      </w:r>
      <w:proofErr w:type="spellStart"/>
      <w:r w:rsidRPr="006B6651">
        <w:rPr>
          <w:color w:val="000000" w:themeColor="text1"/>
          <w:w w:val="110"/>
          <w:sz w:val="20"/>
          <w:lang w:val="ru-RU"/>
        </w:rPr>
        <w:t>факторів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використовуються</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оцінки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доказових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w:t>
      </w:r>
    </w:p>
    <w:p w14:paraId="3850897C" w14:textId="0911EE24" w:rsidR="00E05B98" w:rsidRPr="003C6DAE" w:rsidRDefault="004A2937" w:rsidP="004A2937">
      <w:pPr>
        <w:pStyle w:val="a3"/>
        <w:spacing w:before="177" w:line="297" w:lineRule="auto"/>
        <w:ind w:left="567" w:right="2"/>
        <w:jc w:val="both"/>
        <w:rPr>
          <w:lang w:val="uk-UA"/>
        </w:rPr>
        <w:sectPr w:rsidR="00E05B98" w:rsidRPr="003C6DAE" w:rsidSect="004A2937">
          <w:pgSz w:w="11910" w:h="16840"/>
          <w:pgMar w:top="1321" w:right="1276" w:bottom="760" w:left="851" w:header="0" w:footer="573" w:gutter="0"/>
          <w:cols w:space="720"/>
        </w:sectPr>
      </w:pPr>
      <w:r>
        <w:rPr>
          <w:noProof/>
        </w:rPr>
        <mc:AlternateContent>
          <mc:Choice Requires="wps">
            <w:drawing>
              <wp:anchor distT="0" distB="0" distL="114300" distR="114300" simplePos="0" relativeHeight="488231424" behindDoc="0" locked="0" layoutInCell="1" allowOverlap="1" wp14:anchorId="0FE97E73" wp14:editId="322205D0">
                <wp:simplePos x="0" y="0"/>
                <wp:positionH relativeFrom="margin">
                  <wp:posOffset>5949315</wp:posOffset>
                </wp:positionH>
                <wp:positionV relativeFrom="paragraph">
                  <wp:posOffset>1616075</wp:posOffset>
                </wp:positionV>
                <wp:extent cx="463550" cy="279400"/>
                <wp:effectExtent l="0" t="0" r="0" b="6350"/>
                <wp:wrapNone/>
                <wp:docPr id="1027816839" name="Поле 1941"/>
                <wp:cNvGraphicFramePr/>
                <a:graphic xmlns:a="http://schemas.openxmlformats.org/drawingml/2006/main">
                  <a:graphicData uri="http://schemas.microsoft.com/office/word/2010/wordprocessingShape">
                    <wps:wsp>
                      <wps:cNvSpPr txBox="1"/>
                      <wps:spPr>
                        <a:xfrm>
                          <a:off x="0" y="0"/>
                          <a:ext cx="463550" cy="279400"/>
                        </a:xfrm>
                        <a:prstGeom prst="rect">
                          <a:avLst/>
                        </a:prstGeom>
                        <a:solidFill>
                          <a:schemeClr val="lt1"/>
                        </a:solidFill>
                        <a:ln w="6350">
                          <a:noFill/>
                        </a:ln>
                      </wps:spPr>
                      <wps:txbx>
                        <w:txbxContent>
                          <w:p w14:paraId="18D045C9" w14:textId="62772AEC" w:rsidR="004A2937" w:rsidRPr="00770751" w:rsidRDefault="004A2937" w:rsidP="004A2937">
                            <w:pPr>
                              <w:rPr>
                                <w:color w:val="388600"/>
                                <w:sz w:val="20"/>
                                <w:szCs w:val="20"/>
                                <w:lang w:val="uk-UA"/>
                              </w:rPr>
                            </w:pPr>
                            <w:r>
                              <w:rPr>
                                <w:color w:val="388600"/>
                                <w:sz w:val="20"/>
                                <w:szCs w:val="20"/>
                                <w:lang w:val="uk-UA"/>
                              </w:rP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97E73" id="_x0000_s1177" type="#_x0000_t202" style="position:absolute;left:0;text-align:left;margin-left:468.45pt;margin-top:127.25pt;width:36.5pt;height:22pt;z-index:48823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tyLwIAAFw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" fillcolor="white [3201]" stroked="f" strokeweight=".5pt">
                <v:textbox>
                  <w:txbxContent>
                    <w:p w14:paraId="18D045C9" w14:textId="62772AEC" w:rsidR="004A2937" w:rsidRPr="00770751" w:rsidRDefault="004A2937" w:rsidP="004A2937">
                      <w:pPr>
                        <w:rPr>
                          <w:color w:val="388600"/>
                          <w:sz w:val="20"/>
                          <w:szCs w:val="20"/>
                          <w:lang w:val="uk-UA"/>
                        </w:rPr>
                      </w:pPr>
                      <w:r>
                        <w:rPr>
                          <w:color w:val="388600"/>
                          <w:sz w:val="20"/>
                          <w:szCs w:val="20"/>
                          <w:lang w:val="uk-UA"/>
                        </w:rPr>
                        <w:t>105</w:t>
                      </w:r>
                    </w:p>
                  </w:txbxContent>
                </v:textbox>
                <w10:wrap anchorx="margin"/>
              </v:shape>
            </w:pict>
          </mc:Fallback>
        </mc:AlternateContent>
      </w:r>
      <w:r w:rsidR="00291E90" w:rsidRPr="00FD0682">
        <w:rPr>
          <w:color w:val="000000" w:themeColor="text1"/>
          <w:w w:val="110"/>
          <w:sz w:val="20"/>
          <w:lang w:val="uk-UA"/>
        </w:rPr>
        <w:t xml:space="preserve">Джерела даних для </w:t>
      </w:r>
      <w:r w:rsidR="00291E90" w:rsidRPr="00071D7E">
        <w:rPr>
          <w:color w:val="000000" w:themeColor="text1"/>
          <w:w w:val="110"/>
          <w:sz w:val="20"/>
          <w:lang w:val="uk-UA"/>
        </w:rPr>
        <w:t xml:space="preserve">аналізу ІДП наведені на </w:t>
      </w:r>
      <w:r w:rsidR="00291E90" w:rsidRPr="00071D7E">
        <w:rPr>
          <w:b/>
          <w:color w:val="000000" w:themeColor="text1"/>
          <w:w w:val="110"/>
          <w:sz w:val="20"/>
          <w:lang w:val="uk-UA"/>
        </w:rPr>
        <w:t>Рис. 2.4.5.1</w:t>
      </w:r>
      <w:r w:rsidR="00291E90" w:rsidRPr="00071D7E">
        <w:rPr>
          <w:color w:val="000000" w:themeColor="text1"/>
          <w:w w:val="110"/>
          <w:sz w:val="20"/>
          <w:lang w:val="uk-UA"/>
        </w:rPr>
        <w:t>.</w:t>
      </w:r>
      <w:r w:rsidR="00291E90" w:rsidRPr="00FD0682">
        <w:rPr>
          <w:color w:val="000000" w:themeColor="text1"/>
          <w:w w:val="110"/>
          <w:sz w:val="20"/>
          <w:lang w:val="uk-UA"/>
        </w:rPr>
        <w:t xml:space="preserve"> </w:t>
      </w:r>
      <w:r w:rsidR="00291E90" w:rsidRPr="006B6651">
        <w:rPr>
          <w:b/>
          <w:color w:val="000000" w:themeColor="text1"/>
          <w:spacing w:val="-16"/>
          <w:w w:val="110"/>
          <w:sz w:val="20"/>
          <w:lang w:val="ru-RU"/>
        </w:rPr>
        <w:t xml:space="preserve"> </w:t>
      </w:r>
      <w:r w:rsidR="00291E90" w:rsidRPr="00FD0682">
        <w:rPr>
          <w:color w:val="000000" w:themeColor="text1"/>
          <w:w w:val="110"/>
          <w:sz w:val="20"/>
          <w:lang w:val="uk-UA"/>
        </w:rPr>
        <w:t>Аналіз включав дані з опублікованих досліджень, великого багатоцентрового дослідження, проведеного FIND, та кількох інших досліджень у багатьох країнах. Більшість досліджень оцінювали лише тест Deeplex, тоді як дослідження FIND оцінювало як Deeplex, так і AmPORE-TB. Лише одне дослідження оцінювало TBseq. Для кожного препарату одну або дві платформи вилучали з аналізу на основі загальної кількості наявних стійких або чутливих зразків для цієї платформи та препарату, або тому, що точність платформи не відповідала критеріям діагностичної точності тесту для включення порівняно з найкращою платформою.</w:t>
      </w:r>
      <w:r>
        <w:rPr>
          <w:w w:val="105"/>
          <w:lang w:val="uk-UA"/>
        </w:rPr>
        <w:t xml:space="preserve"> </w:t>
      </w:r>
    </w:p>
    <w:p w14:paraId="04B732C4" w14:textId="2F40120D" w:rsidR="00E05B98" w:rsidRPr="003C6DAE" w:rsidRDefault="00291E90">
      <w:pPr>
        <w:pStyle w:val="6"/>
        <w:rPr>
          <w:lang w:val="uk-UA"/>
        </w:rPr>
      </w:pPr>
      <w:bookmarkStart w:id="86" w:name="_bookmark38"/>
      <w:bookmarkEnd w:id="86"/>
      <w:r>
        <w:rPr>
          <w:rFonts w:ascii="Microsoft Sans Serif" w:hAnsi="Microsoft Sans Serif" w:cs="Microsoft Sans Serif"/>
          <w:color w:val="636466"/>
          <w:w w:val="115"/>
          <w:lang w:val="uk-UA"/>
        </w:rPr>
        <w:lastRenderedPageBreak/>
        <w:t>Рис</w:t>
      </w:r>
      <w:r w:rsidRPr="006B6651">
        <w:rPr>
          <w:rFonts w:ascii="Microsoft Sans Serif" w:hAnsi="Microsoft Sans Serif" w:cs="Microsoft Sans Serif"/>
          <w:color w:val="636466"/>
          <w:w w:val="115"/>
          <w:lang w:val="ru-RU"/>
        </w:rPr>
        <w:t xml:space="preserve">. 2.4.5.1 </w:t>
      </w:r>
      <w:proofErr w:type="spellStart"/>
      <w:r w:rsidRPr="006B6651">
        <w:rPr>
          <w:rFonts w:ascii="Microsoft Sans Serif" w:hAnsi="Microsoft Sans Serif" w:cs="Microsoft Sans Serif"/>
          <w:color w:val="636466"/>
          <w:w w:val="115"/>
          <w:lang w:val="ru-RU"/>
        </w:rPr>
        <w:t>Дослідження</w:t>
      </w:r>
      <w:proofErr w:type="spellEnd"/>
      <w:r w:rsidRPr="006B6651">
        <w:rPr>
          <w:rFonts w:ascii="Microsoft Sans Serif" w:hAnsi="Microsoft Sans Serif" w:cs="Microsoft Sans Serif"/>
          <w:color w:val="636466"/>
          <w:w w:val="115"/>
          <w:lang w:val="ru-RU"/>
        </w:rPr>
        <w:t xml:space="preserve">, </w:t>
      </w:r>
      <w:proofErr w:type="spellStart"/>
      <w:r w:rsidRPr="006B6651">
        <w:rPr>
          <w:rFonts w:ascii="Microsoft Sans Serif" w:hAnsi="Microsoft Sans Serif" w:cs="Microsoft Sans Serif"/>
          <w:color w:val="636466"/>
          <w:w w:val="115"/>
          <w:lang w:val="ru-RU"/>
        </w:rPr>
        <w:t>включені</w:t>
      </w:r>
      <w:proofErr w:type="spellEnd"/>
      <w:r w:rsidRPr="006B6651">
        <w:rPr>
          <w:rFonts w:ascii="Microsoft Sans Serif" w:hAnsi="Microsoft Sans Serif" w:cs="Microsoft Sans Serif"/>
          <w:color w:val="636466"/>
          <w:w w:val="115"/>
          <w:lang w:val="ru-RU"/>
        </w:rPr>
        <w:t xml:space="preserve"> в метааналіз </w:t>
      </w:r>
      <w:r>
        <w:rPr>
          <w:rFonts w:ascii="Microsoft Sans Serif" w:hAnsi="Microsoft Sans Serif" w:cs="Microsoft Sans Serif"/>
          <w:color w:val="636466"/>
          <w:w w:val="115"/>
          <w:lang w:val="uk-UA"/>
        </w:rPr>
        <w:t>ІДП</w:t>
      </w:r>
      <w:r w:rsidRPr="006B6651">
        <w:rPr>
          <w:rFonts w:ascii="Microsoft Sans Serif" w:hAnsi="Microsoft Sans Serif" w:cs="Microsoft Sans Serif"/>
          <w:color w:val="636466"/>
          <w:w w:val="115"/>
          <w:lang w:val="ru-RU"/>
        </w:rPr>
        <w:t xml:space="preserve"> для </w:t>
      </w:r>
      <w:r>
        <w:rPr>
          <w:rFonts w:ascii="Microsoft Sans Serif" w:hAnsi="Microsoft Sans Serif" w:cs="Microsoft Sans Serif"/>
          <w:color w:val="636466"/>
          <w:w w:val="115"/>
          <w:lang w:val="uk-UA"/>
        </w:rPr>
        <w:t>таргетного СНП</w:t>
      </w:r>
    </w:p>
    <w:p w14:paraId="7A37ACBE" w14:textId="59036E81" w:rsidR="00E05B98" w:rsidRPr="003C6DAE" w:rsidRDefault="00291E90" w:rsidP="00767E2A">
      <w:pPr>
        <w:pStyle w:val="a3"/>
        <w:spacing w:before="145"/>
        <w:ind w:left="426"/>
        <w:rPr>
          <w:rFonts w:ascii="Arial"/>
          <w:b/>
          <w:sz w:val="20"/>
          <w:lang w:val="uk-UA"/>
        </w:rPr>
        <w:sectPr w:rsidR="00E05B98" w:rsidRPr="003C6DAE">
          <w:pgSz w:w="11910" w:h="16840"/>
          <w:pgMar w:top="1320" w:right="1275" w:bottom="760" w:left="850" w:header="0" w:footer="573" w:gutter="0"/>
          <w:cols w:space="720"/>
        </w:sectPr>
      </w:pPr>
      <w:r w:rsidRPr="006C14FD">
        <w:rPr>
          <w:b/>
          <w:noProof/>
          <w:sz w:val="24"/>
          <w:lang w:val="uk-UA"/>
        </w:rPr>
        <w:drawing>
          <wp:inline distT="0" distB="0" distL="0" distR="0" wp14:anchorId="20DA8388" wp14:editId="709B4011">
            <wp:extent cx="5758477" cy="2876550"/>
            <wp:effectExtent l="0" t="0" r="0" b="0"/>
            <wp:docPr id="1977154170" name="Рисунок 197715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793472" cy="2894031"/>
                    </a:xfrm>
                    <a:prstGeom prst="rect">
                      <a:avLst/>
                    </a:prstGeom>
                  </pic:spPr>
                </pic:pic>
              </a:graphicData>
            </a:graphic>
          </wp:inline>
        </w:drawing>
      </w:r>
    </w:p>
    <w:p w14:paraId="1E4483A1" w14:textId="77777777" w:rsidR="00767E2A" w:rsidRPr="00767E2A" w:rsidRDefault="00767E2A" w:rsidP="00767E2A">
      <w:pPr>
        <w:spacing w:before="105" w:line="235" w:lineRule="auto"/>
        <w:ind w:left="426" w:right="4"/>
        <w:jc w:val="both"/>
        <w:rPr>
          <w:color w:val="000000" w:themeColor="text1"/>
          <w:w w:val="110"/>
          <w:sz w:val="16"/>
          <w:szCs w:val="16"/>
          <w:lang w:val="uk-UA"/>
        </w:rPr>
      </w:pPr>
      <w:r w:rsidRPr="00767E2A">
        <w:rPr>
          <w:color w:val="000000" w:themeColor="text1"/>
          <w:w w:val="110"/>
          <w:sz w:val="16"/>
          <w:szCs w:val="16"/>
        </w:rPr>
        <w:t>ERJ</w:t>
      </w:r>
      <w:r w:rsidRPr="00767E2A">
        <w:rPr>
          <w:color w:val="000000" w:themeColor="text1"/>
          <w:w w:val="110"/>
          <w:sz w:val="16"/>
          <w:szCs w:val="16"/>
          <w:lang w:val="uk-UA"/>
        </w:rPr>
        <w:t xml:space="preserve"> - Європейський респіраторний журнал;</w:t>
      </w:r>
      <w:r w:rsidRPr="00767E2A">
        <w:rPr>
          <w:color w:val="000000" w:themeColor="text1"/>
          <w:spacing w:val="-4"/>
          <w:w w:val="110"/>
          <w:sz w:val="16"/>
          <w:szCs w:val="16"/>
          <w:lang w:val="uk-UA"/>
        </w:rPr>
        <w:t xml:space="preserve"> </w:t>
      </w:r>
      <w:r w:rsidRPr="00767E2A">
        <w:rPr>
          <w:color w:val="000000" w:themeColor="text1"/>
          <w:w w:val="110"/>
          <w:sz w:val="16"/>
          <w:szCs w:val="16"/>
        </w:rPr>
        <w:t>FIND</w:t>
      </w:r>
      <w:r w:rsidRPr="00767E2A">
        <w:rPr>
          <w:color w:val="000000" w:themeColor="text1"/>
          <w:w w:val="110"/>
          <w:sz w:val="16"/>
          <w:szCs w:val="16"/>
          <w:lang w:val="uk-UA"/>
        </w:rPr>
        <w:t xml:space="preserve"> - Фонд інноваційних і нових діагностичних засобів; </w:t>
      </w:r>
      <w:r w:rsidRPr="00767E2A">
        <w:rPr>
          <w:color w:val="000000" w:themeColor="text1"/>
          <w:w w:val="110"/>
          <w:sz w:val="16"/>
          <w:szCs w:val="16"/>
        </w:rPr>
        <w:t>NICD</w:t>
      </w:r>
      <w:r w:rsidRPr="00767E2A">
        <w:rPr>
          <w:color w:val="000000" w:themeColor="text1"/>
          <w:w w:val="110"/>
          <w:sz w:val="16"/>
          <w:szCs w:val="16"/>
          <w:lang w:val="uk-UA"/>
        </w:rPr>
        <w:t xml:space="preserve"> - Національний інститут інфекційних захворювань;</w:t>
      </w:r>
      <w:r w:rsidRPr="00767E2A">
        <w:rPr>
          <w:color w:val="000000" w:themeColor="text1"/>
          <w:spacing w:val="-10"/>
          <w:w w:val="110"/>
          <w:sz w:val="16"/>
          <w:szCs w:val="16"/>
          <w:lang w:val="uk-UA"/>
        </w:rPr>
        <w:t xml:space="preserve"> </w:t>
      </w:r>
      <w:r w:rsidRPr="00767E2A">
        <w:rPr>
          <w:color w:val="000000" w:themeColor="text1"/>
          <w:w w:val="110"/>
          <w:sz w:val="16"/>
          <w:szCs w:val="16"/>
        </w:rPr>
        <w:t>UTLD</w:t>
      </w:r>
      <w:r w:rsidRPr="00767E2A">
        <w:rPr>
          <w:color w:val="000000" w:themeColor="text1"/>
          <w:w w:val="110"/>
          <w:sz w:val="16"/>
          <w:szCs w:val="16"/>
          <w:lang w:val="uk-UA"/>
        </w:rPr>
        <w:t xml:space="preserve"> - Міжнародний союз боротьби з туберкульозом та захворюваннями легень; ІДП – індивідуальні дані пацієнтів; ННРЛ - наднаціональна референс-лабораторія; СНП-секвенування наступного покоління.</w:t>
      </w:r>
    </w:p>
    <w:p w14:paraId="457A7B86" w14:textId="77777777" w:rsidR="00767E2A" w:rsidRPr="006B6651" w:rsidRDefault="00767E2A" w:rsidP="00767E2A">
      <w:pPr>
        <w:pStyle w:val="a3"/>
        <w:spacing w:before="8"/>
        <w:ind w:right="4"/>
        <w:rPr>
          <w:color w:val="000000" w:themeColor="text1"/>
          <w:sz w:val="27"/>
          <w:lang w:val="uk-UA"/>
        </w:rPr>
      </w:pPr>
    </w:p>
    <w:p w14:paraId="4780A2EC" w14:textId="06E19AD3" w:rsidR="00E05B98" w:rsidRPr="003C6DAE" w:rsidRDefault="00767E2A" w:rsidP="00767E2A">
      <w:pPr>
        <w:pStyle w:val="a3"/>
        <w:ind w:left="426" w:right="4"/>
        <w:jc w:val="both"/>
        <w:rPr>
          <w:lang w:val="uk-UA"/>
        </w:rPr>
      </w:pPr>
      <w:r>
        <w:rPr>
          <w:color w:val="000000" w:themeColor="text1"/>
          <w:w w:val="110"/>
          <w:sz w:val="20"/>
          <w:lang w:val="uk-UA"/>
        </w:rPr>
        <w:t>Дані були узагальнені</w:t>
      </w:r>
      <w:r w:rsidRPr="006B6651">
        <w:rPr>
          <w:color w:val="000000" w:themeColor="text1"/>
          <w:w w:val="110"/>
          <w:sz w:val="20"/>
          <w:lang w:val="ru-RU"/>
        </w:rPr>
        <w:t xml:space="preserve"> </w:t>
      </w:r>
      <w:proofErr w:type="spellStart"/>
      <w:r w:rsidRPr="006B6651">
        <w:rPr>
          <w:color w:val="000000" w:themeColor="text1"/>
          <w:w w:val="110"/>
          <w:sz w:val="20"/>
          <w:lang w:val="ru-RU"/>
        </w:rPr>
        <w:t>навколо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двох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попередньо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визначених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питань</w:t>
      </w:r>
      <w:proofErr w:type="spellEnd"/>
      <w:r w:rsidRPr="006B6651">
        <w:rPr>
          <w:color w:val="000000" w:themeColor="text1"/>
          <w:w w:val="110"/>
          <w:sz w:val="20"/>
          <w:lang w:val="ru-RU"/>
        </w:rPr>
        <w:t xml:space="preserve"> </w:t>
      </w:r>
      <w:r w:rsidRPr="00FD0682">
        <w:rPr>
          <w:color w:val="000000" w:themeColor="text1"/>
          <w:w w:val="110"/>
          <w:sz w:val="20"/>
          <w:lang w:val="uk-UA"/>
        </w:rPr>
        <w:t xml:space="preserve">формату </w:t>
      </w:r>
      <w:r w:rsidRPr="00FD0682">
        <w:rPr>
          <w:color w:val="000000" w:themeColor="text1"/>
          <w:w w:val="110"/>
          <w:sz w:val="20"/>
        </w:rPr>
        <w:t>PICO</w:t>
      </w:r>
      <w:r w:rsidRPr="006B6651">
        <w:rPr>
          <w:color w:val="000000" w:themeColor="text1"/>
          <w:w w:val="110"/>
          <w:sz w:val="20"/>
          <w:lang w:val="ru-RU"/>
        </w:rPr>
        <w:t xml:space="preserve">, як </w:t>
      </w:r>
      <w:proofErr w:type="spellStart"/>
      <w:r w:rsidRPr="006B6651">
        <w:rPr>
          <w:color w:val="000000" w:themeColor="text1"/>
          <w:w w:val="110"/>
          <w:sz w:val="20"/>
          <w:lang w:val="ru-RU"/>
        </w:rPr>
        <w:t>зазначено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нижче</w:t>
      </w:r>
      <w:proofErr w:type="spellEnd"/>
      <w:r w:rsidRPr="006B6651">
        <w:rPr>
          <w:color w:val="000000" w:themeColor="text1"/>
          <w:w w:val="110"/>
          <w:sz w:val="20"/>
          <w:lang w:val="ru-RU"/>
        </w:rPr>
        <w:t>.</w:t>
      </w:r>
    </w:p>
    <w:p w14:paraId="64F91601" w14:textId="77777777" w:rsidR="00767E2A" w:rsidRPr="00767E2A" w:rsidRDefault="00767E2A" w:rsidP="0015544F">
      <w:pPr>
        <w:pStyle w:val="6"/>
        <w:tabs>
          <w:tab w:val="left" w:pos="709"/>
        </w:tabs>
        <w:spacing w:before="232" w:line="235" w:lineRule="auto"/>
        <w:ind w:left="1416" w:right="4" w:hanging="990"/>
        <w:jc w:val="both"/>
        <w:rPr>
          <w:rFonts w:ascii="Microsoft Sans Serif" w:hAnsi="Microsoft Sans Serif" w:cs="Microsoft Sans Serif"/>
          <w:color w:val="000000" w:themeColor="text1"/>
          <w:sz w:val="22"/>
          <w:szCs w:val="20"/>
          <w:lang w:val="uk-UA"/>
        </w:rPr>
      </w:pPr>
      <w:r w:rsidRPr="00A816CE">
        <w:rPr>
          <w:rFonts w:ascii="Microsoft Sans Serif" w:hAnsi="Microsoft Sans Serif" w:cs="Microsoft Sans Serif"/>
          <w:w w:val="115"/>
        </w:rPr>
        <w:t>PICO</w:t>
      </w:r>
      <w:r w:rsidRPr="00767E2A">
        <w:rPr>
          <w:rFonts w:ascii="Microsoft Sans Serif" w:hAnsi="Microsoft Sans Serif" w:cs="Microsoft Sans Serif"/>
          <w:w w:val="115"/>
          <w:lang w:val="uk-UA"/>
        </w:rPr>
        <w:t xml:space="preserve"> 1: </w:t>
      </w:r>
      <w:r w:rsidRPr="00767E2A">
        <w:rPr>
          <w:rFonts w:ascii="Microsoft Sans Serif" w:hAnsi="Microsoft Sans Serif" w:cs="Microsoft Sans Serif"/>
          <w:color w:val="000000" w:themeColor="text1"/>
          <w:w w:val="115"/>
          <w:sz w:val="22"/>
          <w:szCs w:val="20"/>
          <w:lang w:val="uk-UA"/>
        </w:rPr>
        <w:t xml:space="preserve">Чи слід використовувати таргетне СНП як </w:t>
      </w:r>
      <w:r>
        <w:rPr>
          <w:rFonts w:ascii="Microsoft Sans Serif" w:hAnsi="Microsoft Sans Serif" w:cs="Microsoft Sans Serif"/>
          <w:color w:val="000000" w:themeColor="text1"/>
          <w:w w:val="115"/>
          <w:sz w:val="22"/>
          <w:szCs w:val="20"/>
          <w:lang w:val="uk-UA"/>
        </w:rPr>
        <w:t>первинний</w:t>
      </w:r>
      <w:r w:rsidRPr="00767E2A">
        <w:rPr>
          <w:rFonts w:ascii="Microsoft Sans Serif" w:hAnsi="Microsoft Sans Serif" w:cs="Microsoft Sans Serif"/>
          <w:color w:val="000000" w:themeColor="text1"/>
          <w:w w:val="115"/>
          <w:sz w:val="22"/>
          <w:szCs w:val="20"/>
          <w:lang w:val="uk-UA"/>
        </w:rPr>
        <w:t xml:space="preserve"> тест для діагностики лікарської стійкості в осіб </w:t>
      </w:r>
      <w:r w:rsidRPr="00FD0682">
        <w:rPr>
          <w:rFonts w:ascii="Microsoft Sans Serif" w:hAnsi="Microsoft Sans Serif" w:cs="Microsoft Sans Serif"/>
          <w:color w:val="000000" w:themeColor="text1"/>
          <w:w w:val="115"/>
          <w:sz w:val="22"/>
          <w:szCs w:val="20"/>
          <w:lang w:val="uk-UA"/>
        </w:rPr>
        <w:t>і</w:t>
      </w:r>
      <w:r w:rsidRPr="00767E2A">
        <w:rPr>
          <w:rFonts w:ascii="Microsoft Sans Serif" w:hAnsi="Microsoft Sans Serif" w:cs="Microsoft Sans Serif"/>
          <w:color w:val="000000" w:themeColor="text1"/>
          <w:w w:val="115"/>
          <w:sz w:val="22"/>
          <w:szCs w:val="20"/>
          <w:lang w:val="uk-UA"/>
        </w:rPr>
        <w:t>з бактеріологічно підтвердженим легеневим туберкульозом?</w:t>
      </w:r>
    </w:p>
    <w:p w14:paraId="42CE168E" w14:textId="77777777" w:rsidR="00767E2A" w:rsidRPr="006B6651" w:rsidRDefault="00767E2A" w:rsidP="00767E2A">
      <w:pPr>
        <w:pStyle w:val="a3"/>
        <w:spacing w:before="209" w:line="276" w:lineRule="auto"/>
        <w:ind w:left="426" w:right="4"/>
        <w:jc w:val="both"/>
        <w:rPr>
          <w:color w:val="000000" w:themeColor="text1"/>
          <w:sz w:val="20"/>
          <w:szCs w:val="20"/>
          <w:lang w:val="ru-RU"/>
        </w:rPr>
      </w:pPr>
      <w:r w:rsidRPr="00767E2A">
        <w:rPr>
          <w:color w:val="000000" w:themeColor="text1"/>
          <w:w w:val="110"/>
          <w:sz w:val="20"/>
          <w:szCs w:val="20"/>
          <w:lang w:val="uk-UA"/>
        </w:rPr>
        <w:t xml:space="preserve">Наявні доказові дані, включені в остаточний об'єднаний аналіз, варіювалися залежно від препарату: від 12 досліджень з 1440 учасниками для чутливості до ізоніазиду до </w:t>
      </w:r>
      <w:r>
        <w:rPr>
          <w:color w:val="000000" w:themeColor="text1"/>
          <w:w w:val="110"/>
          <w:sz w:val="20"/>
          <w:szCs w:val="20"/>
          <w:lang w:val="uk-UA"/>
        </w:rPr>
        <w:t>3</w:t>
      </w:r>
      <w:r w:rsidRPr="00767E2A">
        <w:rPr>
          <w:color w:val="000000" w:themeColor="text1"/>
          <w:w w:val="110"/>
          <w:sz w:val="20"/>
          <w:szCs w:val="20"/>
          <w:lang w:val="uk-UA"/>
        </w:rPr>
        <w:t xml:space="preserve"> досліджень з 269 учасниками для специфічності до піразинаміду (</w:t>
      </w:r>
      <w:r w:rsidRPr="00767E2A">
        <w:rPr>
          <w:b/>
          <w:color w:val="000000" w:themeColor="text1"/>
          <w:w w:val="110"/>
          <w:sz w:val="20"/>
          <w:szCs w:val="20"/>
          <w:lang w:val="uk-UA"/>
        </w:rPr>
        <w:t>Таблиця 2.4.5.1</w:t>
      </w:r>
      <w:r w:rsidRPr="00767E2A">
        <w:rPr>
          <w:color w:val="000000" w:themeColor="text1"/>
          <w:w w:val="110"/>
          <w:sz w:val="20"/>
          <w:szCs w:val="20"/>
          <w:lang w:val="uk-UA"/>
        </w:rPr>
        <w:t xml:space="preserve">). </w:t>
      </w:r>
      <w:proofErr w:type="spellStart"/>
      <w:r w:rsidRPr="006B6651">
        <w:rPr>
          <w:color w:val="000000" w:themeColor="text1"/>
          <w:w w:val="110"/>
          <w:sz w:val="20"/>
          <w:szCs w:val="20"/>
          <w:lang w:val="ru-RU"/>
        </w:rPr>
        <w:t>Об'єднані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оцінки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визначалися</w:t>
      </w:r>
      <w:proofErr w:type="spellEnd"/>
      <w:r w:rsidRPr="006B6651">
        <w:rPr>
          <w:color w:val="000000" w:themeColor="text1"/>
          <w:w w:val="110"/>
          <w:sz w:val="20"/>
          <w:szCs w:val="20"/>
          <w:lang w:val="ru-RU"/>
        </w:rPr>
        <w:t xml:space="preserve"> за </w:t>
      </w:r>
      <w:proofErr w:type="spellStart"/>
      <w:r w:rsidRPr="006B6651">
        <w:rPr>
          <w:color w:val="000000" w:themeColor="text1"/>
          <w:w w:val="110"/>
          <w:sz w:val="20"/>
          <w:szCs w:val="20"/>
          <w:lang w:val="ru-RU"/>
        </w:rPr>
        <w:t>допомогою</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багатофакторної</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моделі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змішаними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ефектами</w:t>
      </w:r>
      <w:proofErr w:type="spellEnd"/>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всіх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препаратів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достовірн</w:t>
      </w:r>
      <w:r w:rsidRPr="00FD0682">
        <w:rPr>
          <w:color w:val="000000" w:themeColor="text1"/>
          <w:w w:val="110"/>
          <w:sz w:val="20"/>
          <w:szCs w:val="20"/>
          <w:lang w:val="uk-UA"/>
        </w:rPr>
        <w:t>ість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доказових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даних</w:t>
      </w:r>
      <w:proofErr w:type="spellEnd"/>
      <w:r w:rsidRPr="006B6651">
        <w:rPr>
          <w:color w:val="000000" w:themeColor="text1"/>
          <w:w w:val="110"/>
          <w:sz w:val="20"/>
          <w:szCs w:val="20"/>
          <w:lang w:val="ru-RU"/>
        </w:rPr>
        <w:t xml:space="preserve"> щодо </w:t>
      </w:r>
      <w:proofErr w:type="spellStart"/>
      <w:r w:rsidRPr="006B6651">
        <w:rPr>
          <w:color w:val="000000" w:themeColor="text1"/>
          <w:w w:val="110"/>
          <w:sz w:val="20"/>
          <w:szCs w:val="20"/>
          <w:lang w:val="ru-RU"/>
        </w:rPr>
        <w:t>чутливості</w:t>
      </w:r>
      <w:proofErr w:type="spellEnd"/>
      <w:r w:rsidRPr="006B6651">
        <w:rPr>
          <w:color w:val="000000" w:themeColor="text1"/>
          <w:w w:val="110"/>
          <w:sz w:val="20"/>
          <w:szCs w:val="20"/>
          <w:lang w:val="ru-RU"/>
        </w:rPr>
        <w:t xml:space="preserve"> та </w:t>
      </w:r>
      <w:proofErr w:type="spellStart"/>
      <w:r w:rsidRPr="006B6651">
        <w:rPr>
          <w:color w:val="000000" w:themeColor="text1"/>
          <w:w w:val="110"/>
          <w:sz w:val="20"/>
          <w:szCs w:val="20"/>
          <w:lang w:val="ru-RU"/>
        </w:rPr>
        <w:t>специфічності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бу</w:t>
      </w:r>
      <w:proofErr w:type="spellEnd"/>
      <w:r w:rsidRPr="00071D7E">
        <w:rPr>
          <w:color w:val="000000" w:themeColor="text1"/>
          <w:w w:val="110"/>
          <w:sz w:val="20"/>
          <w:szCs w:val="20"/>
          <w:lang w:val="uk-UA"/>
        </w:rPr>
        <w:t>ла</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знижен</w:t>
      </w:r>
      <w:proofErr w:type="spellEnd"/>
      <w:r w:rsidRPr="00071D7E">
        <w:rPr>
          <w:color w:val="000000" w:themeColor="text1"/>
          <w:w w:val="110"/>
          <w:sz w:val="20"/>
          <w:szCs w:val="20"/>
          <w:lang w:val="uk-UA"/>
        </w:rPr>
        <w:t>а</w:t>
      </w:r>
      <w:r w:rsidRPr="006B6651">
        <w:rPr>
          <w:color w:val="000000" w:themeColor="text1"/>
          <w:w w:val="110"/>
          <w:sz w:val="20"/>
          <w:szCs w:val="20"/>
          <w:lang w:val="ru-RU"/>
        </w:rPr>
        <w:t xml:space="preserve"> на один </w:t>
      </w:r>
      <w:proofErr w:type="spellStart"/>
      <w:r w:rsidRPr="006B6651">
        <w:rPr>
          <w:color w:val="000000" w:themeColor="text1"/>
          <w:w w:val="110"/>
          <w:sz w:val="20"/>
          <w:szCs w:val="20"/>
          <w:lang w:val="ru-RU"/>
        </w:rPr>
        <w:t>рівень</w:t>
      </w:r>
      <w:proofErr w:type="spellEnd"/>
      <w:r w:rsidRPr="006B6651">
        <w:rPr>
          <w:color w:val="000000" w:themeColor="text1"/>
          <w:w w:val="110"/>
          <w:sz w:val="20"/>
          <w:szCs w:val="20"/>
          <w:lang w:val="ru-RU"/>
        </w:rPr>
        <w:t xml:space="preserve"> через </w:t>
      </w:r>
      <w:proofErr w:type="spellStart"/>
      <w:r w:rsidRPr="006B6651">
        <w:rPr>
          <w:color w:val="000000" w:themeColor="text1"/>
          <w:w w:val="110"/>
          <w:sz w:val="20"/>
          <w:szCs w:val="20"/>
          <w:lang w:val="ru-RU"/>
        </w:rPr>
        <w:t>непрямоту</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оскільки</w:t>
      </w:r>
      <w:proofErr w:type="spellEnd"/>
      <w:r w:rsidRPr="006B6651">
        <w:rPr>
          <w:color w:val="000000" w:themeColor="text1"/>
          <w:w w:val="110"/>
          <w:sz w:val="20"/>
          <w:szCs w:val="20"/>
          <w:lang w:val="ru-RU"/>
        </w:rPr>
        <w:t xml:space="preserve"> </w:t>
      </w:r>
      <w:r w:rsidRPr="00FD0682">
        <w:rPr>
          <w:color w:val="000000" w:themeColor="text1"/>
          <w:w w:val="110"/>
          <w:sz w:val="20"/>
          <w:szCs w:val="20"/>
          <w:lang w:val="uk-UA"/>
        </w:rPr>
        <w:t xml:space="preserve">у </w:t>
      </w:r>
      <w:proofErr w:type="spellStart"/>
      <w:r w:rsidRPr="006B6651">
        <w:rPr>
          <w:color w:val="000000" w:themeColor="text1"/>
          <w:w w:val="110"/>
          <w:sz w:val="20"/>
          <w:szCs w:val="20"/>
          <w:lang w:val="ru-RU"/>
        </w:rPr>
        <w:t>всі</w:t>
      </w:r>
      <w:proofErr w:type="spellEnd"/>
      <w:r w:rsidRPr="00FD0682">
        <w:rPr>
          <w:color w:val="000000" w:themeColor="text1"/>
          <w:w w:val="110"/>
          <w:sz w:val="20"/>
          <w:szCs w:val="20"/>
          <w:lang w:val="uk-UA"/>
        </w:rPr>
        <w:t>х</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дослідження</w:t>
      </w:r>
      <w:proofErr w:type="spellEnd"/>
      <w:r w:rsidRPr="00FD0682">
        <w:rPr>
          <w:color w:val="000000" w:themeColor="text1"/>
          <w:w w:val="110"/>
          <w:sz w:val="20"/>
          <w:szCs w:val="20"/>
          <w:lang w:val="uk-UA"/>
        </w:rPr>
        <w:t>х</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бул</w:t>
      </w:r>
      <w:proofErr w:type="spellEnd"/>
      <w:r w:rsidRPr="00FD0682">
        <w:rPr>
          <w:color w:val="000000" w:themeColor="text1"/>
          <w:w w:val="110"/>
          <w:sz w:val="20"/>
          <w:szCs w:val="20"/>
          <w:lang w:val="uk-UA"/>
        </w:rPr>
        <w:t>а</w:t>
      </w:r>
      <w:r w:rsidRPr="006B6651">
        <w:rPr>
          <w:color w:val="000000" w:themeColor="text1"/>
          <w:w w:val="110"/>
          <w:sz w:val="20"/>
          <w:szCs w:val="20"/>
          <w:lang w:val="ru-RU"/>
        </w:rPr>
        <w:t xml:space="preserve"> </w:t>
      </w:r>
      <w:r w:rsidRPr="00FD0682">
        <w:rPr>
          <w:color w:val="000000" w:themeColor="text1"/>
          <w:w w:val="110"/>
          <w:sz w:val="20"/>
          <w:szCs w:val="20"/>
          <w:lang w:val="uk-UA"/>
        </w:rPr>
        <w:t>збільшена кількість</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зразк</w:t>
      </w:r>
      <w:proofErr w:type="spellEnd"/>
      <w:r w:rsidRPr="00FD0682">
        <w:rPr>
          <w:color w:val="000000" w:themeColor="text1"/>
          <w:w w:val="110"/>
          <w:sz w:val="20"/>
          <w:szCs w:val="20"/>
          <w:lang w:val="uk-UA"/>
        </w:rPr>
        <w:t>ів</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стійкістю</w:t>
      </w:r>
      <w:proofErr w:type="spellEnd"/>
      <w:r w:rsidRPr="006B6651">
        <w:rPr>
          <w:color w:val="000000" w:themeColor="text1"/>
          <w:w w:val="110"/>
          <w:sz w:val="20"/>
          <w:szCs w:val="20"/>
          <w:lang w:val="ru-RU"/>
        </w:rPr>
        <w:t xml:space="preserve"> до рифампіцину, </w:t>
      </w:r>
      <w:proofErr w:type="spellStart"/>
      <w:r w:rsidRPr="006B6651">
        <w:rPr>
          <w:color w:val="000000" w:themeColor="text1"/>
          <w:w w:val="110"/>
          <w:sz w:val="20"/>
          <w:szCs w:val="20"/>
          <w:lang w:val="ru-RU"/>
        </w:rPr>
        <w:t>що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викликало</w:t>
      </w:r>
      <w:proofErr w:type="spellEnd"/>
      <w:r w:rsidRPr="006B6651">
        <w:rPr>
          <w:color w:val="000000" w:themeColor="text1"/>
          <w:w w:val="110"/>
          <w:sz w:val="20"/>
          <w:szCs w:val="20"/>
          <w:lang w:val="ru-RU"/>
        </w:rPr>
        <w:t xml:space="preserve"> </w:t>
      </w:r>
      <w:r w:rsidRPr="00FD0682">
        <w:rPr>
          <w:color w:val="000000" w:themeColor="text1"/>
          <w:w w:val="110"/>
          <w:sz w:val="20"/>
          <w:szCs w:val="20"/>
          <w:lang w:val="uk-UA"/>
        </w:rPr>
        <w:t>сумніви</w:t>
      </w:r>
      <w:r w:rsidRPr="006B6651">
        <w:rPr>
          <w:color w:val="000000" w:themeColor="text1"/>
          <w:w w:val="110"/>
          <w:sz w:val="20"/>
          <w:szCs w:val="20"/>
          <w:lang w:val="ru-RU"/>
        </w:rPr>
        <w:t xml:space="preserve"> щодо </w:t>
      </w:r>
      <w:proofErr w:type="spellStart"/>
      <w:r w:rsidRPr="006B6651">
        <w:rPr>
          <w:color w:val="000000" w:themeColor="text1"/>
          <w:w w:val="110"/>
          <w:sz w:val="20"/>
          <w:szCs w:val="20"/>
          <w:lang w:val="ru-RU"/>
        </w:rPr>
        <w:t>можливості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екстраполяції</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результатів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Крім</w:t>
      </w:r>
      <w:proofErr w:type="spellEnd"/>
      <w:r w:rsidRPr="006B6651">
        <w:rPr>
          <w:color w:val="000000" w:themeColor="text1"/>
          <w:w w:val="110"/>
          <w:sz w:val="20"/>
          <w:szCs w:val="20"/>
          <w:lang w:val="ru-RU"/>
        </w:rPr>
        <w:t xml:space="preserve"> того для рифампіцину, </w:t>
      </w:r>
      <w:proofErr w:type="spellStart"/>
      <w:r w:rsidRPr="006B6651">
        <w:rPr>
          <w:color w:val="000000" w:themeColor="text1"/>
          <w:w w:val="110"/>
          <w:sz w:val="20"/>
          <w:szCs w:val="20"/>
          <w:lang w:val="ru-RU"/>
        </w:rPr>
        <w:t>левофлоксацину</w:t>
      </w:r>
      <w:proofErr w:type="spellEnd"/>
      <w:r w:rsidRPr="006B6651">
        <w:rPr>
          <w:color w:val="000000" w:themeColor="text1"/>
          <w:w w:val="110"/>
          <w:sz w:val="20"/>
          <w:szCs w:val="20"/>
          <w:lang w:val="ru-RU"/>
        </w:rPr>
        <w:t xml:space="preserve"> та піразинаміду </w:t>
      </w:r>
      <w:proofErr w:type="spellStart"/>
      <w:r w:rsidRPr="006B6651">
        <w:rPr>
          <w:color w:val="000000" w:themeColor="text1"/>
          <w:w w:val="110"/>
          <w:sz w:val="20"/>
          <w:szCs w:val="20"/>
          <w:lang w:val="ru-RU"/>
        </w:rPr>
        <w:t>достовірн</w:t>
      </w:r>
      <w:r w:rsidRPr="00FD0682">
        <w:rPr>
          <w:color w:val="000000" w:themeColor="text1"/>
          <w:w w:val="110"/>
          <w:sz w:val="20"/>
          <w:szCs w:val="20"/>
          <w:lang w:val="uk-UA"/>
        </w:rPr>
        <w:t>ість</w:t>
      </w:r>
      <w:proofErr w:type="spellEnd"/>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специфічності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бу</w:t>
      </w:r>
      <w:proofErr w:type="spellEnd"/>
      <w:r w:rsidRPr="00FD0682">
        <w:rPr>
          <w:color w:val="000000" w:themeColor="text1"/>
          <w:w w:val="110"/>
          <w:sz w:val="20"/>
          <w:szCs w:val="20"/>
          <w:lang w:val="uk-UA"/>
        </w:rPr>
        <w:t>ла</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знижен</w:t>
      </w:r>
      <w:proofErr w:type="spellEnd"/>
      <w:r w:rsidRPr="00FD0682">
        <w:rPr>
          <w:color w:val="000000" w:themeColor="text1"/>
          <w:w w:val="110"/>
          <w:sz w:val="20"/>
          <w:szCs w:val="20"/>
          <w:lang w:val="uk-UA"/>
        </w:rPr>
        <w:t>а</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ще</w:t>
      </w:r>
      <w:proofErr w:type="spellEnd"/>
      <w:r w:rsidRPr="006B6651">
        <w:rPr>
          <w:color w:val="000000" w:themeColor="text1"/>
          <w:w w:val="110"/>
          <w:sz w:val="20"/>
          <w:szCs w:val="20"/>
          <w:lang w:val="ru-RU"/>
        </w:rPr>
        <w:t xml:space="preserve"> на один </w:t>
      </w:r>
      <w:proofErr w:type="spellStart"/>
      <w:r w:rsidRPr="006B6651">
        <w:rPr>
          <w:color w:val="000000" w:themeColor="text1"/>
          <w:w w:val="110"/>
          <w:sz w:val="20"/>
          <w:szCs w:val="20"/>
          <w:lang w:val="ru-RU"/>
        </w:rPr>
        <w:t>рівень</w:t>
      </w:r>
      <w:proofErr w:type="spellEnd"/>
      <w:r w:rsidRPr="006B6651">
        <w:rPr>
          <w:color w:val="000000" w:themeColor="text1"/>
          <w:w w:val="110"/>
          <w:sz w:val="20"/>
          <w:szCs w:val="20"/>
          <w:lang w:val="ru-RU"/>
        </w:rPr>
        <w:t xml:space="preserve"> через </w:t>
      </w:r>
      <w:proofErr w:type="spellStart"/>
      <w:r w:rsidRPr="006B6651">
        <w:rPr>
          <w:color w:val="000000" w:themeColor="text1"/>
          <w:w w:val="110"/>
          <w:sz w:val="20"/>
          <w:szCs w:val="20"/>
          <w:lang w:val="ru-RU"/>
        </w:rPr>
        <w:t>неточність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однак</w:t>
      </w:r>
      <w:proofErr w:type="spellEnd"/>
      <w:r w:rsidRPr="006B6651">
        <w:rPr>
          <w:color w:val="000000" w:themeColor="text1"/>
          <w:w w:val="110"/>
          <w:sz w:val="20"/>
          <w:szCs w:val="20"/>
          <w:lang w:val="ru-RU"/>
        </w:rPr>
        <w:t xml:space="preserve"> для етамбутолу </w:t>
      </w:r>
      <w:r w:rsidRPr="00071D7E">
        <w:rPr>
          <w:color w:val="000000" w:themeColor="text1"/>
          <w:w w:val="110"/>
          <w:sz w:val="20"/>
          <w:szCs w:val="20"/>
          <w:lang w:val="uk-UA"/>
        </w:rPr>
        <w:t>вона</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бул</w:t>
      </w:r>
      <w:proofErr w:type="spellEnd"/>
      <w:r>
        <w:rPr>
          <w:color w:val="000000" w:themeColor="text1"/>
          <w:w w:val="110"/>
          <w:sz w:val="20"/>
          <w:szCs w:val="20"/>
          <w:lang w:val="uk-UA"/>
        </w:rPr>
        <w:t>а</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знижен</w:t>
      </w:r>
      <w:proofErr w:type="spellEnd"/>
      <w:r>
        <w:rPr>
          <w:color w:val="000000" w:themeColor="text1"/>
          <w:w w:val="110"/>
          <w:sz w:val="20"/>
          <w:szCs w:val="20"/>
          <w:lang w:val="uk-UA"/>
        </w:rPr>
        <w:t>а</w:t>
      </w:r>
      <w:r w:rsidRPr="006B6651">
        <w:rPr>
          <w:color w:val="000000" w:themeColor="text1"/>
          <w:w w:val="110"/>
          <w:sz w:val="20"/>
          <w:szCs w:val="20"/>
          <w:lang w:val="ru-RU"/>
        </w:rPr>
        <w:t xml:space="preserve"> через </w:t>
      </w:r>
      <w:proofErr w:type="spellStart"/>
      <w:r w:rsidRPr="006B6651">
        <w:rPr>
          <w:color w:val="000000" w:themeColor="text1"/>
          <w:w w:val="110"/>
          <w:sz w:val="20"/>
          <w:szCs w:val="20"/>
          <w:lang w:val="ru-RU"/>
        </w:rPr>
        <w:t>ризик</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систематичної</w:t>
      </w:r>
      <w:proofErr w:type="spellEnd"/>
      <w:r w:rsidRPr="006B6651">
        <w:rPr>
          <w:color w:val="000000" w:themeColor="text1"/>
          <w:w w:val="110"/>
          <w:sz w:val="20"/>
          <w:szCs w:val="20"/>
          <w:lang w:val="ru-RU"/>
        </w:rPr>
        <w:t xml:space="preserve"> </w:t>
      </w:r>
      <w:r w:rsidRPr="00071D7E">
        <w:rPr>
          <w:color w:val="000000" w:themeColor="text1"/>
          <w:w w:val="110"/>
          <w:sz w:val="20"/>
          <w:szCs w:val="20"/>
          <w:lang w:val="uk-UA"/>
        </w:rPr>
        <w:t>похибки</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оскільки</w:t>
      </w:r>
      <w:proofErr w:type="spellEnd"/>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досліджуваного</w:t>
      </w:r>
      <w:proofErr w:type="spellEnd"/>
      <w:r w:rsidRPr="006B6651">
        <w:rPr>
          <w:color w:val="000000" w:themeColor="text1"/>
          <w:w w:val="110"/>
          <w:sz w:val="20"/>
          <w:szCs w:val="20"/>
          <w:lang w:val="ru-RU"/>
        </w:rPr>
        <w:t xml:space="preserve"> та </w:t>
      </w:r>
      <w:r w:rsidRPr="00071D7E">
        <w:rPr>
          <w:color w:val="000000" w:themeColor="text1"/>
          <w:w w:val="110"/>
          <w:sz w:val="20"/>
          <w:szCs w:val="20"/>
          <w:lang w:val="uk-UA"/>
        </w:rPr>
        <w:t>еталонного</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тестів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використовувалися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різні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зразки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Загальна</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достовірність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доказових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даних</w:t>
      </w:r>
      <w:proofErr w:type="spellEnd"/>
      <w:r w:rsidRPr="006B6651">
        <w:rPr>
          <w:color w:val="000000" w:themeColor="text1"/>
          <w:w w:val="110"/>
          <w:sz w:val="20"/>
          <w:szCs w:val="20"/>
          <w:lang w:val="ru-RU"/>
        </w:rPr>
        <w:t xml:space="preserve"> щодо </w:t>
      </w:r>
      <w:proofErr w:type="spellStart"/>
      <w:r w:rsidRPr="006B6651">
        <w:rPr>
          <w:color w:val="000000" w:themeColor="text1"/>
          <w:w w:val="110"/>
          <w:sz w:val="20"/>
          <w:szCs w:val="20"/>
          <w:lang w:val="ru-RU"/>
        </w:rPr>
        <w:t>точності</w:t>
      </w:r>
      <w:proofErr w:type="spellEnd"/>
      <w:r w:rsidRPr="006B6651">
        <w:rPr>
          <w:color w:val="000000" w:themeColor="text1"/>
          <w:w w:val="110"/>
          <w:sz w:val="20"/>
          <w:szCs w:val="20"/>
          <w:lang w:val="ru-RU"/>
        </w:rPr>
        <w:t xml:space="preserve"> тесту </w:t>
      </w:r>
      <w:proofErr w:type="spellStart"/>
      <w:r w:rsidRPr="006B6651">
        <w:rPr>
          <w:color w:val="000000" w:themeColor="text1"/>
          <w:w w:val="110"/>
          <w:sz w:val="20"/>
          <w:szCs w:val="20"/>
          <w:lang w:val="ru-RU"/>
        </w:rPr>
        <w:t>варіювалася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від</w:t>
      </w:r>
      <w:proofErr w:type="spellEnd"/>
      <w:r w:rsidRPr="006B6651">
        <w:rPr>
          <w:color w:val="000000" w:themeColor="text1"/>
          <w:w w:val="110"/>
          <w:sz w:val="20"/>
          <w:szCs w:val="20"/>
          <w:lang w:val="ru-RU"/>
        </w:rPr>
        <w:t xml:space="preserve"> </w:t>
      </w:r>
      <w:r w:rsidRPr="00FD0682">
        <w:rPr>
          <w:color w:val="000000" w:themeColor="text1"/>
          <w:w w:val="110"/>
          <w:sz w:val="20"/>
          <w:szCs w:val="20"/>
          <w:lang w:val="uk-UA"/>
        </w:rPr>
        <w:t>середньої</w:t>
      </w:r>
      <w:r w:rsidRPr="006B6651">
        <w:rPr>
          <w:color w:val="000000" w:themeColor="text1"/>
          <w:w w:val="110"/>
          <w:sz w:val="20"/>
          <w:szCs w:val="20"/>
          <w:lang w:val="ru-RU"/>
        </w:rPr>
        <w:t xml:space="preserve"> до </w:t>
      </w:r>
      <w:proofErr w:type="spellStart"/>
      <w:r w:rsidRPr="006B6651">
        <w:rPr>
          <w:color w:val="000000" w:themeColor="text1"/>
          <w:w w:val="110"/>
          <w:sz w:val="20"/>
          <w:szCs w:val="20"/>
          <w:lang w:val="ru-RU"/>
        </w:rPr>
        <w:t>дуже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низької</w:t>
      </w:r>
      <w:proofErr w:type="spellEnd"/>
      <w:r w:rsidRPr="006B6651">
        <w:rPr>
          <w:color w:val="000000" w:themeColor="text1"/>
          <w:w w:val="110"/>
          <w:sz w:val="20"/>
          <w:szCs w:val="20"/>
          <w:lang w:val="ru-RU"/>
        </w:rPr>
        <w:t>.</w:t>
      </w:r>
    </w:p>
    <w:p w14:paraId="77441887" w14:textId="77777777" w:rsidR="00767E2A" w:rsidRPr="006B6651" w:rsidRDefault="00767E2A" w:rsidP="00767E2A">
      <w:pPr>
        <w:spacing w:before="180" w:line="276" w:lineRule="auto"/>
        <w:ind w:left="426" w:right="4"/>
        <w:jc w:val="both"/>
        <w:rPr>
          <w:b/>
          <w:color w:val="000000" w:themeColor="text1"/>
          <w:sz w:val="20"/>
          <w:szCs w:val="20"/>
          <w:lang w:val="ru-RU"/>
        </w:rPr>
      </w:pPr>
      <w:proofErr w:type="spellStart"/>
      <w:r w:rsidRPr="006B6651">
        <w:rPr>
          <w:color w:val="000000" w:themeColor="text1"/>
          <w:w w:val="115"/>
          <w:sz w:val="20"/>
          <w:szCs w:val="20"/>
          <w:lang w:val="ru-RU"/>
        </w:rPr>
        <w:t>Ефективність</w:t>
      </w:r>
      <w:proofErr w:type="spellEnd"/>
      <w:r w:rsidRPr="006B6651">
        <w:rPr>
          <w:color w:val="000000" w:themeColor="text1"/>
          <w:w w:val="115"/>
          <w:sz w:val="20"/>
          <w:szCs w:val="20"/>
          <w:lang w:val="ru-RU"/>
        </w:rPr>
        <w:t xml:space="preserve"> тесту </w:t>
      </w:r>
      <w:proofErr w:type="spellStart"/>
      <w:r w:rsidRPr="006B6651">
        <w:rPr>
          <w:color w:val="000000" w:themeColor="text1"/>
          <w:w w:val="115"/>
          <w:sz w:val="20"/>
          <w:szCs w:val="20"/>
          <w:lang w:val="ru-RU"/>
        </w:rPr>
        <w:t>була</w:t>
      </w:r>
      <w:proofErr w:type="spellEnd"/>
      <w:r w:rsidRPr="006B6651">
        <w:rPr>
          <w:color w:val="000000" w:themeColor="text1"/>
          <w:w w:val="115"/>
          <w:sz w:val="20"/>
          <w:szCs w:val="20"/>
          <w:lang w:val="ru-RU"/>
        </w:rPr>
        <w:t xml:space="preserve"> </w:t>
      </w:r>
      <w:proofErr w:type="spellStart"/>
      <w:r w:rsidRPr="006B6651">
        <w:rPr>
          <w:color w:val="000000" w:themeColor="text1"/>
          <w:w w:val="115"/>
          <w:sz w:val="20"/>
          <w:szCs w:val="20"/>
          <w:lang w:val="ru-RU"/>
        </w:rPr>
        <w:t>визнана</w:t>
      </w:r>
      <w:proofErr w:type="spellEnd"/>
      <w:r w:rsidRPr="006B6651">
        <w:rPr>
          <w:color w:val="000000" w:themeColor="text1"/>
          <w:w w:val="115"/>
          <w:sz w:val="20"/>
          <w:szCs w:val="20"/>
          <w:lang w:val="ru-RU"/>
        </w:rPr>
        <w:t xml:space="preserve"> точною для </w:t>
      </w:r>
      <w:proofErr w:type="spellStart"/>
      <w:r w:rsidRPr="006B6651">
        <w:rPr>
          <w:color w:val="000000" w:themeColor="text1"/>
          <w:w w:val="115"/>
          <w:sz w:val="20"/>
          <w:szCs w:val="20"/>
          <w:lang w:val="ru-RU"/>
        </w:rPr>
        <w:t>всіх</w:t>
      </w:r>
      <w:proofErr w:type="spellEnd"/>
      <w:r w:rsidRPr="006B6651">
        <w:rPr>
          <w:color w:val="000000" w:themeColor="text1"/>
          <w:w w:val="115"/>
          <w:sz w:val="20"/>
          <w:szCs w:val="20"/>
          <w:lang w:val="ru-RU"/>
        </w:rPr>
        <w:t xml:space="preserve"> </w:t>
      </w:r>
      <w:proofErr w:type="spellStart"/>
      <w:r w:rsidRPr="006B6651">
        <w:rPr>
          <w:color w:val="000000" w:themeColor="text1"/>
          <w:w w:val="115"/>
          <w:sz w:val="20"/>
          <w:szCs w:val="20"/>
          <w:lang w:val="ru-RU"/>
        </w:rPr>
        <w:t>препаратів</w:t>
      </w:r>
      <w:proofErr w:type="spellEnd"/>
      <w:r w:rsidRPr="006B6651">
        <w:rPr>
          <w:color w:val="000000" w:themeColor="text1"/>
          <w:w w:val="115"/>
          <w:sz w:val="20"/>
          <w:szCs w:val="20"/>
          <w:lang w:val="ru-RU"/>
        </w:rPr>
        <w:t xml:space="preserve">, </w:t>
      </w:r>
      <w:proofErr w:type="spellStart"/>
      <w:r w:rsidRPr="006B6651">
        <w:rPr>
          <w:color w:val="000000" w:themeColor="text1"/>
          <w:w w:val="115"/>
          <w:sz w:val="20"/>
          <w:szCs w:val="20"/>
          <w:lang w:val="ru-RU"/>
        </w:rPr>
        <w:t>включених</w:t>
      </w:r>
      <w:proofErr w:type="spellEnd"/>
      <w:r w:rsidRPr="006B6651">
        <w:rPr>
          <w:color w:val="000000" w:themeColor="text1"/>
          <w:w w:val="115"/>
          <w:sz w:val="20"/>
          <w:szCs w:val="20"/>
          <w:lang w:val="ru-RU"/>
        </w:rPr>
        <w:t xml:space="preserve"> в </w:t>
      </w:r>
      <w:proofErr w:type="spellStart"/>
      <w:r w:rsidRPr="006B6651">
        <w:rPr>
          <w:color w:val="000000" w:themeColor="text1"/>
          <w:w w:val="115"/>
          <w:sz w:val="20"/>
          <w:szCs w:val="20"/>
          <w:lang w:val="ru-RU"/>
        </w:rPr>
        <w:t>оцінку</w:t>
      </w:r>
      <w:proofErr w:type="spellEnd"/>
      <w:r w:rsidRPr="006B6651">
        <w:rPr>
          <w:color w:val="000000" w:themeColor="text1"/>
          <w:w w:val="115"/>
          <w:sz w:val="20"/>
          <w:szCs w:val="20"/>
          <w:lang w:val="ru-RU"/>
        </w:rPr>
        <w:t>, з</w:t>
      </w:r>
      <w:r w:rsidRPr="006B6651">
        <w:rPr>
          <w:b/>
          <w:color w:val="000000" w:themeColor="text1"/>
          <w:w w:val="115"/>
          <w:sz w:val="20"/>
          <w:szCs w:val="20"/>
          <w:lang w:val="ru-RU"/>
        </w:rPr>
        <w:t xml:space="preserve"> </w:t>
      </w:r>
      <w:proofErr w:type="spellStart"/>
      <w:r w:rsidRPr="006B6651">
        <w:rPr>
          <w:b/>
          <w:color w:val="000000" w:themeColor="text1"/>
          <w:w w:val="115"/>
          <w:sz w:val="20"/>
          <w:szCs w:val="20"/>
          <w:lang w:val="ru-RU"/>
        </w:rPr>
        <w:t>об'єднаною</w:t>
      </w:r>
      <w:proofErr w:type="spellEnd"/>
      <w:r w:rsidRPr="006B6651">
        <w:rPr>
          <w:b/>
          <w:color w:val="000000" w:themeColor="text1"/>
          <w:w w:val="115"/>
          <w:sz w:val="20"/>
          <w:szCs w:val="20"/>
          <w:lang w:val="ru-RU"/>
        </w:rPr>
        <w:t xml:space="preserve"> </w:t>
      </w:r>
      <w:proofErr w:type="spellStart"/>
      <w:r w:rsidRPr="006B6651">
        <w:rPr>
          <w:b/>
          <w:color w:val="000000" w:themeColor="text1"/>
          <w:w w:val="115"/>
          <w:sz w:val="20"/>
          <w:szCs w:val="20"/>
          <w:lang w:val="ru-RU"/>
        </w:rPr>
        <w:t>чутливістю</w:t>
      </w:r>
      <w:proofErr w:type="spellEnd"/>
      <w:r w:rsidRPr="006B6651">
        <w:rPr>
          <w:b/>
          <w:color w:val="000000" w:themeColor="text1"/>
          <w:w w:val="115"/>
          <w:sz w:val="20"/>
          <w:szCs w:val="20"/>
          <w:lang w:val="ru-RU"/>
        </w:rPr>
        <w:t xml:space="preserve"> </w:t>
      </w:r>
      <w:proofErr w:type="spellStart"/>
      <w:r w:rsidRPr="006B6651">
        <w:rPr>
          <w:b/>
          <w:color w:val="000000" w:themeColor="text1"/>
          <w:w w:val="115"/>
          <w:sz w:val="20"/>
          <w:szCs w:val="20"/>
          <w:lang w:val="ru-RU"/>
        </w:rPr>
        <w:t>щонайменше</w:t>
      </w:r>
      <w:proofErr w:type="spellEnd"/>
      <w:r w:rsidRPr="006B6651">
        <w:rPr>
          <w:b/>
          <w:color w:val="000000" w:themeColor="text1"/>
          <w:w w:val="115"/>
          <w:sz w:val="20"/>
          <w:szCs w:val="20"/>
          <w:lang w:val="ru-RU"/>
        </w:rPr>
        <w:t xml:space="preserve"> 95% для ізоніазиду, моксифлоксацину та етамбутолу, </w:t>
      </w:r>
      <w:proofErr w:type="spellStart"/>
      <w:r w:rsidRPr="006B6651">
        <w:rPr>
          <w:b/>
          <w:color w:val="000000" w:themeColor="text1"/>
          <w:w w:val="115"/>
          <w:sz w:val="20"/>
          <w:szCs w:val="20"/>
          <w:lang w:val="ru-RU"/>
        </w:rPr>
        <w:t>понад</w:t>
      </w:r>
      <w:proofErr w:type="spellEnd"/>
      <w:r w:rsidRPr="006B6651">
        <w:rPr>
          <w:b/>
          <w:color w:val="000000" w:themeColor="text1"/>
          <w:w w:val="115"/>
          <w:sz w:val="20"/>
          <w:szCs w:val="20"/>
          <w:lang w:val="ru-RU"/>
        </w:rPr>
        <w:t xml:space="preserve"> 93% для рифампіцину та </w:t>
      </w:r>
      <w:proofErr w:type="spellStart"/>
      <w:r w:rsidRPr="006B6651">
        <w:rPr>
          <w:b/>
          <w:color w:val="000000" w:themeColor="text1"/>
          <w:w w:val="115"/>
          <w:sz w:val="20"/>
          <w:szCs w:val="20"/>
          <w:lang w:val="ru-RU"/>
        </w:rPr>
        <w:t>левофлоксацину</w:t>
      </w:r>
      <w:proofErr w:type="spellEnd"/>
      <w:r w:rsidRPr="006B6651">
        <w:rPr>
          <w:b/>
          <w:color w:val="000000" w:themeColor="text1"/>
          <w:w w:val="115"/>
          <w:sz w:val="20"/>
          <w:szCs w:val="20"/>
          <w:lang w:val="ru-RU"/>
        </w:rPr>
        <w:t xml:space="preserve">, та 88% для піразинаміду. </w:t>
      </w:r>
      <w:proofErr w:type="spellStart"/>
      <w:r w:rsidRPr="006B6651">
        <w:rPr>
          <w:b/>
          <w:color w:val="000000" w:themeColor="text1"/>
          <w:w w:val="115"/>
          <w:sz w:val="20"/>
          <w:szCs w:val="20"/>
          <w:lang w:val="ru-RU"/>
        </w:rPr>
        <w:t>Об'єднана</w:t>
      </w:r>
      <w:proofErr w:type="spellEnd"/>
      <w:r w:rsidRPr="006B6651">
        <w:rPr>
          <w:b/>
          <w:color w:val="000000" w:themeColor="text1"/>
          <w:w w:val="115"/>
          <w:sz w:val="20"/>
          <w:szCs w:val="20"/>
          <w:lang w:val="ru-RU"/>
        </w:rPr>
        <w:t xml:space="preserve"> </w:t>
      </w:r>
      <w:proofErr w:type="spellStart"/>
      <w:r w:rsidRPr="006B6651">
        <w:rPr>
          <w:b/>
          <w:color w:val="000000" w:themeColor="text1"/>
          <w:w w:val="115"/>
          <w:sz w:val="20"/>
          <w:szCs w:val="20"/>
          <w:lang w:val="ru-RU"/>
        </w:rPr>
        <w:t>специфічність</w:t>
      </w:r>
      <w:proofErr w:type="spellEnd"/>
      <w:r w:rsidRPr="006B6651">
        <w:rPr>
          <w:b/>
          <w:color w:val="000000" w:themeColor="text1"/>
          <w:w w:val="115"/>
          <w:sz w:val="20"/>
          <w:szCs w:val="20"/>
          <w:lang w:val="ru-RU"/>
        </w:rPr>
        <w:t xml:space="preserve"> становила </w:t>
      </w:r>
      <w:proofErr w:type="spellStart"/>
      <w:r w:rsidRPr="006B6651">
        <w:rPr>
          <w:b/>
          <w:color w:val="000000" w:themeColor="text1"/>
          <w:w w:val="115"/>
          <w:sz w:val="20"/>
          <w:szCs w:val="20"/>
          <w:lang w:val="ru-RU"/>
        </w:rPr>
        <w:t>щонайменше</w:t>
      </w:r>
      <w:proofErr w:type="spellEnd"/>
      <w:r w:rsidRPr="006B6651">
        <w:rPr>
          <w:b/>
          <w:color w:val="000000" w:themeColor="text1"/>
          <w:w w:val="115"/>
          <w:sz w:val="20"/>
          <w:szCs w:val="20"/>
          <w:lang w:val="ru-RU"/>
        </w:rPr>
        <w:t xml:space="preserve"> 96% для </w:t>
      </w:r>
      <w:proofErr w:type="spellStart"/>
      <w:r w:rsidRPr="006B6651">
        <w:rPr>
          <w:b/>
          <w:color w:val="000000" w:themeColor="text1"/>
          <w:w w:val="115"/>
          <w:sz w:val="20"/>
          <w:szCs w:val="20"/>
          <w:lang w:val="ru-RU"/>
        </w:rPr>
        <w:t>всіх</w:t>
      </w:r>
      <w:proofErr w:type="spellEnd"/>
      <w:r w:rsidRPr="006B6651">
        <w:rPr>
          <w:b/>
          <w:color w:val="000000" w:themeColor="text1"/>
          <w:w w:val="115"/>
          <w:sz w:val="20"/>
          <w:szCs w:val="20"/>
          <w:lang w:val="ru-RU"/>
        </w:rPr>
        <w:t xml:space="preserve"> </w:t>
      </w:r>
      <w:proofErr w:type="spellStart"/>
      <w:r w:rsidRPr="006B6651">
        <w:rPr>
          <w:b/>
          <w:color w:val="000000" w:themeColor="text1"/>
          <w:w w:val="115"/>
          <w:sz w:val="20"/>
          <w:szCs w:val="20"/>
          <w:lang w:val="ru-RU"/>
        </w:rPr>
        <w:t>препаратів</w:t>
      </w:r>
      <w:proofErr w:type="spellEnd"/>
      <w:r w:rsidRPr="006B6651">
        <w:rPr>
          <w:b/>
          <w:color w:val="000000" w:themeColor="text1"/>
          <w:w w:val="115"/>
          <w:sz w:val="20"/>
          <w:szCs w:val="20"/>
          <w:lang w:val="ru-RU"/>
        </w:rPr>
        <w:t>.</w:t>
      </w:r>
    </w:p>
    <w:p w14:paraId="1A1F273D" w14:textId="77777777" w:rsidR="0015544F" w:rsidRDefault="00767E2A" w:rsidP="0015544F">
      <w:pPr>
        <w:pStyle w:val="a3"/>
        <w:spacing w:before="175" w:line="276" w:lineRule="auto"/>
        <w:ind w:left="426" w:right="4"/>
        <w:jc w:val="both"/>
        <w:rPr>
          <w:color w:val="000000" w:themeColor="text1"/>
          <w:w w:val="110"/>
          <w:sz w:val="20"/>
          <w:szCs w:val="20"/>
          <w:lang w:val="ru-RU"/>
        </w:rPr>
      </w:pPr>
      <w:r w:rsidRPr="00FD0682">
        <w:rPr>
          <w:color w:val="000000" w:themeColor="text1"/>
          <w:w w:val="110"/>
          <w:sz w:val="20"/>
          <w:szCs w:val="20"/>
          <w:lang w:val="uk-UA"/>
        </w:rPr>
        <w:t>Еталонним</w:t>
      </w:r>
      <w:r w:rsidRPr="006B6651">
        <w:rPr>
          <w:color w:val="000000" w:themeColor="text1"/>
          <w:w w:val="110"/>
          <w:sz w:val="20"/>
          <w:szCs w:val="20"/>
          <w:lang w:val="ru-RU"/>
        </w:rPr>
        <w:t xml:space="preserve"> стандартом </w:t>
      </w:r>
      <w:proofErr w:type="spellStart"/>
      <w:r w:rsidRPr="006B6651">
        <w:rPr>
          <w:color w:val="000000" w:themeColor="text1"/>
          <w:w w:val="110"/>
          <w:sz w:val="20"/>
          <w:szCs w:val="20"/>
          <w:lang w:val="ru-RU"/>
        </w:rPr>
        <w:t>був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фенотиповий</w:t>
      </w:r>
      <w:proofErr w:type="spellEnd"/>
      <w:r w:rsidRPr="006B6651">
        <w:rPr>
          <w:color w:val="000000" w:themeColor="text1"/>
          <w:w w:val="110"/>
          <w:sz w:val="20"/>
          <w:szCs w:val="20"/>
          <w:lang w:val="ru-RU"/>
        </w:rPr>
        <w:t xml:space="preserve"> Т</w:t>
      </w:r>
      <w:r w:rsidRPr="00FD0682">
        <w:rPr>
          <w:color w:val="000000" w:themeColor="text1"/>
          <w:w w:val="110"/>
          <w:sz w:val="20"/>
          <w:szCs w:val="20"/>
          <w:lang w:val="uk-UA"/>
        </w:rPr>
        <w:t>М</w:t>
      </w:r>
      <w:r w:rsidRPr="006B6651">
        <w:rPr>
          <w:color w:val="000000" w:themeColor="text1"/>
          <w:w w:val="110"/>
          <w:sz w:val="20"/>
          <w:szCs w:val="20"/>
          <w:lang w:val="ru-RU"/>
        </w:rPr>
        <w:t xml:space="preserve">Ч  на </w:t>
      </w:r>
      <w:proofErr w:type="spellStart"/>
      <w:r w:rsidRPr="006B6651">
        <w:rPr>
          <w:color w:val="000000" w:themeColor="text1"/>
          <w:w w:val="110"/>
          <w:sz w:val="20"/>
          <w:szCs w:val="20"/>
          <w:lang w:val="ru-RU"/>
        </w:rPr>
        <w:t>основі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культуральн</w:t>
      </w:r>
      <w:proofErr w:type="spellEnd"/>
      <w:r w:rsidRPr="00FD0682">
        <w:rPr>
          <w:color w:val="000000" w:themeColor="text1"/>
          <w:w w:val="110"/>
          <w:sz w:val="20"/>
          <w:szCs w:val="20"/>
          <w:lang w:val="uk-UA"/>
        </w:rPr>
        <w:t>их</w:t>
      </w:r>
      <w:r w:rsidRPr="006B6651">
        <w:rPr>
          <w:color w:val="000000" w:themeColor="text1"/>
          <w:w w:val="110"/>
          <w:sz w:val="20"/>
          <w:szCs w:val="20"/>
          <w:lang w:val="ru-RU"/>
        </w:rPr>
        <w:t xml:space="preserve"> метод</w:t>
      </w:r>
      <w:r w:rsidRPr="00FD0682">
        <w:rPr>
          <w:color w:val="000000" w:themeColor="text1"/>
          <w:w w:val="110"/>
          <w:sz w:val="20"/>
          <w:szCs w:val="20"/>
          <w:lang w:val="uk-UA"/>
        </w:rPr>
        <w:t>ів</w:t>
      </w:r>
      <w:r w:rsidRPr="006B6651">
        <w:rPr>
          <w:color w:val="000000" w:themeColor="text1"/>
          <w:w w:val="110"/>
          <w:sz w:val="20"/>
          <w:szCs w:val="20"/>
          <w:lang w:val="ru-RU"/>
        </w:rPr>
        <w:t xml:space="preserve"> для ізоніазиду, </w:t>
      </w:r>
      <w:proofErr w:type="spellStart"/>
      <w:r w:rsidRPr="006B6651">
        <w:rPr>
          <w:color w:val="000000" w:themeColor="text1"/>
          <w:w w:val="110"/>
          <w:sz w:val="20"/>
          <w:szCs w:val="20"/>
          <w:lang w:val="ru-RU"/>
        </w:rPr>
        <w:t>левофлоксацину</w:t>
      </w:r>
      <w:proofErr w:type="spellEnd"/>
      <w:r w:rsidRPr="006B6651">
        <w:rPr>
          <w:color w:val="000000" w:themeColor="text1"/>
          <w:w w:val="110"/>
          <w:sz w:val="20"/>
          <w:szCs w:val="20"/>
          <w:lang w:val="ru-RU"/>
        </w:rPr>
        <w:t xml:space="preserve"> та моксифлоксацину, та </w:t>
      </w:r>
      <w:proofErr w:type="spellStart"/>
      <w:r w:rsidRPr="006B6651">
        <w:rPr>
          <w:color w:val="000000" w:themeColor="text1"/>
          <w:w w:val="110"/>
          <w:sz w:val="20"/>
          <w:szCs w:val="20"/>
          <w:lang w:val="ru-RU"/>
        </w:rPr>
        <w:t>комбінація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фенотипового</w:t>
      </w:r>
      <w:proofErr w:type="spellEnd"/>
      <w:r w:rsidRPr="006B6651">
        <w:rPr>
          <w:color w:val="000000" w:themeColor="text1"/>
          <w:w w:val="110"/>
          <w:sz w:val="20"/>
          <w:szCs w:val="20"/>
          <w:lang w:val="ru-RU"/>
        </w:rPr>
        <w:t xml:space="preserve"> Т</w:t>
      </w:r>
      <w:r w:rsidRPr="00FD0682">
        <w:rPr>
          <w:color w:val="000000" w:themeColor="text1"/>
          <w:w w:val="110"/>
          <w:sz w:val="20"/>
          <w:szCs w:val="20"/>
          <w:lang w:val="uk-UA"/>
        </w:rPr>
        <w:t>М</w:t>
      </w:r>
      <w:r w:rsidRPr="006B6651">
        <w:rPr>
          <w:color w:val="000000" w:themeColor="text1"/>
          <w:w w:val="110"/>
          <w:sz w:val="20"/>
          <w:szCs w:val="20"/>
          <w:lang w:val="ru-RU"/>
        </w:rPr>
        <w:t xml:space="preserve">Ч і ПГС для </w:t>
      </w:r>
      <w:r>
        <w:rPr>
          <w:color w:val="000000" w:themeColor="text1"/>
          <w:w w:val="110"/>
          <w:sz w:val="20"/>
          <w:szCs w:val="20"/>
          <w:lang w:val="ru-RU"/>
        </w:rPr>
        <w:t xml:space="preserve"> </w:t>
      </w:r>
      <w:r w:rsidRPr="006B6651">
        <w:rPr>
          <w:color w:val="000000" w:themeColor="text1"/>
          <w:w w:val="110"/>
          <w:sz w:val="20"/>
          <w:szCs w:val="20"/>
          <w:lang w:val="ru-RU"/>
        </w:rPr>
        <w:t xml:space="preserve">рифампіцину, </w:t>
      </w:r>
      <w:r>
        <w:rPr>
          <w:color w:val="000000" w:themeColor="text1"/>
          <w:w w:val="110"/>
          <w:sz w:val="20"/>
          <w:szCs w:val="20"/>
          <w:lang w:val="ru-RU"/>
        </w:rPr>
        <w:t xml:space="preserve"> </w:t>
      </w:r>
      <w:r w:rsidRPr="006B6651">
        <w:rPr>
          <w:color w:val="000000" w:themeColor="text1"/>
          <w:w w:val="110"/>
          <w:sz w:val="20"/>
          <w:szCs w:val="20"/>
          <w:lang w:val="ru-RU"/>
        </w:rPr>
        <w:t xml:space="preserve">піразинаміду </w:t>
      </w:r>
      <w:r>
        <w:rPr>
          <w:color w:val="000000" w:themeColor="text1"/>
          <w:w w:val="110"/>
          <w:sz w:val="20"/>
          <w:szCs w:val="20"/>
          <w:lang w:val="ru-RU"/>
        </w:rPr>
        <w:t xml:space="preserve"> </w:t>
      </w:r>
      <w:r w:rsidRPr="006B6651">
        <w:rPr>
          <w:color w:val="000000" w:themeColor="text1"/>
          <w:w w:val="110"/>
          <w:sz w:val="20"/>
          <w:szCs w:val="20"/>
          <w:lang w:val="ru-RU"/>
        </w:rPr>
        <w:t xml:space="preserve">та </w:t>
      </w:r>
      <w:r>
        <w:rPr>
          <w:color w:val="000000" w:themeColor="text1"/>
          <w:w w:val="110"/>
          <w:sz w:val="20"/>
          <w:szCs w:val="20"/>
          <w:lang w:val="ru-RU"/>
        </w:rPr>
        <w:t xml:space="preserve"> </w:t>
      </w:r>
      <w:r w:rsidRPr="006B6651">
        <w:rPr>
          <w:color w:val="000000" w:themeColor="text1"/>
          <w:w w:val="110"/>
          <w:sz w:val="20"/>
          <w:szCs w:val="20"/>
          <w:lang w:val="ru-RU"/>
        </w:rPr>
        <w:t xml:space="preserve">етамбутолу. </w:t>
      </w:r>
      <w:r>
        <w:rPr>
          <w:color w:val="000000" w:themeColor="text1"/>
          <w:w w:val="110"/>
          <w:sz w:val="20"/>
          <w:szCs w:val="20"/>
          <w:lang w:val="ru-RU"/>
        </w:rPr>
        <w:t xml:space="preserve">  </w:t>
      </w:r>
      <w:proofErr w:type="spellStart"/>
      <w:r w:rsidRPr="006B6651">
        <w:rPr>
          <w:color w:val="000000" w:themeColor="text1"/>
          <w:w w:val="110"/>
          <w:sz w:val="20"/>
          <w:szCs w:val="20"/>
          <w:lang w:val="ru-RU"/>
        </w:rPr>
        <w:t>Відсоток</w:t>
      </w:r>
      <w:proofErr w:type="spellEnd"/>
      <w:r w:rsidRPr="006B6651">
        <w:rPr>
          <w:color w:val="000000" w:themeColor="text1"/>
          <w:w w:val="110"/>
          <w:sz w:val="20"/>
          <w:szCs w:val="20"/>
          <w:lang w:val="ru-RU"/>
        </w:rPr>
        <w:t xml:space="preserve"> </w:t>
      </w:r>
      <w:r>
        <w:rPr>
          <w:color w:val="000000" w:themeColor="text1"/>
          <w:w w:val="110"/>
          <w:sz w:val="20"/>
          <w:szCs w:val="20"/>
          <w:lang w:val="ru-RU"/>
        </w:rPr>
        <w:t xml:space="preserve">  </w:t>
      </w:r>
      <w:proofErr w:type="spellStart"/>
      <w:r w:rsidRPr="006B6651">
        <w:rPr>
          <w:color w:val="000000" w:themeColor="text1"/>
          <w:w w:val="110"/>
          <w:sz w:val="20"/>
          <w:szCs w:val="20"/>
          <w:lang w:val="ru-RU"/>
        </w:rPr>
        <w:t>тестів</w:t>
      </w:r>
      <w:proofErr w:type="spellEnd"/>
      <w:r w:rsidRPr="006B6651">
        <w:rPr>
          <w:color w:val="000000" w:themeColor="text1"/>
          <w:w w:val="110"/>
          <w:sz w:val="20"/>
          <w:szCs w:val="20"/>
          <w:lang w:val="ru-RU"/>
        </w:rPr>
        <w:t xml:space="preserve"> </w:t>
      </w:r>
      <w:r>
        <w:rPr>
          <w:color w:val="000000" w:themeColor="text1"/>
          <w:w w:val="110"/>
          <w:sz w:val="20"/>
          <w:szCs w:val="20"/>
          <w:lang w:val="ru-RU"/>
        </w:rPr>
        <w:t xml:space="preserve">  </w:t>
      </w:r>
      <w:r w:rsidRPr="006B6651">
        <w:rPr>
          <w:color w:val="000000" w:themeColor="text1"/>
          <w:w w:val="110"/>
          <w:sz w:val="20"/>
          <w:szCs w:val="20"/>
          <w:lang w:val="ru-RU"/>
        </w:rPr>
        <w:t xml:space="preserve">з </w:t>
      </w:r>
      <w:r>
        <w:rPr>
          <w:color w:val="000000" w:themeColor="text1"/>
          <w:w w:val="110"/>
          <w:sz w:val="20"/>
          <w:szCs w:val="20"/>
          <w:lang w:val="ru-RU"/>
        </w:rPr>
        <w:t xml:space="preserve">  </w:t>
      </w:r>
      <w:proofErr w:type="spellStart"/>
      <w:r w:rsidRPr="006B6651">
        <w:rPr>
          <w:color w:val="000000" w:themeColor="text1"/>
          <w:w w:val="110"/>
          <w:sz w:val="20"/>
          <w:szCs w:val="20"/>
          <w:lang w:val="ru-RU"/>
        </w:rPr>
        <w:t>невизначеними</w:t>
      </w:r>
      <w:proofErr w:type="spellEnd"/>
      <w:r w:rsidRPr="006B6651">
        <w:rPr>
          <w:color w:val="000000" w:themeColor="text1"/>
          <w:w w:val="110"/>
          <w:sz w:val="20"/>
          <w:szCs w:val="20"/>
          <w:lang w:val="ru-RU"/>
        </w:rPr>
        <w:t xml:space="preserve"> результатами </w:t>
      </w:r>
      <w:proofErr w:type="spellStart"/>
      <w:r w:rsidRPr="006B6651">
        <w:rPr>
          <w:color w:val="000000" w:themeColor="text1"/>
          <w:w w:val="110"/>
          <w:sz w:val="20"/>
          <w:szCs w:val="20"/>
          <w:lang w:val="ru-RU"/>
        </w:rPr>
        <w:t>коливався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від</w:t>
      </w:r>
      <w:proofErr w:type="spellEnd"/>
      <w:r w:rsidRPr="006B6651">
        <w:rPr>
          <w:color w:val="000000" w:themeColor="text1"/>
          <w:w w:val="110"/>
          <w:sz w:val="20"/>
          <w:szCs w:val="20"/>
          <w:lang w:val="ru-RU"/>
        </w:rPr>
        <w:t xml:space="preserve"> 9% (левофлоксацин та моксифлоксацин) до 18% (піразинамід)</w:t>
      </w:r>
      <w:r w:rsidRPr="00FD0682">
        <w:rPr>
          <w:color w:val="000000" w:themeColor="text1"/>
          <w:w w:val="110"/>
          <w:sz w:val="20"/>
          <w:szCs w:val="20"/>
          <w:lang w:val="uk-UA"/>
        </w:rPr>
        <w:t>, а в</w:t>
      </w:r>
      <w:proofErr w:type="spellStart"/>
      <w:r w:rsidRPr="006B6651">
        <w:rPr>
          <w:color w:val="000000" w:themeColor="text1"/>
          <w:w w:val="110"/>
          <w:sz w:val="20"/>
          <w:szCs w:val="20"/>
          <w:lang w:val="ru-RU"/>
        </w:rPr>
        <w:t>ищі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показники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невизначених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результатів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спостерігалися</w:t>
      </w:r>
      <w:proofErr w:type="spellEnd"/>
      <w:r w:rsidRPr="006B6651">
        <w:rPr>
          <w:color w:val="000000" w:themeColor="text1"/>
          <w:w w:val="110"/>
          <w:sz w:val="20"/>
          <w:szCs w:val="20"/>
          <w:lang w:val="ru-RU"/>
        </w:rPr>
        <w:t xml:space="preserve"> у </w:t>
      </w:r>
      <w:proofErr w:type="spellStart"/>
      <w:r w:rsidRPr="006B6651">
        <w:rPr>
          <w:color w:val="000000" w:themeColor="text1"/>
          <w:w w:val="110"/>
          <w:sz w:val="20"/>
          <w:szCs w:val="20"/>
          <w:lang w:val="ru-RU"/>
        </w:rPr>
        <w:t>зразках</w:t>
      </w:r>
      <w:proofErr w:type="spellEnd"/>
      <w:r w:rsidRPr="006B6651">
        <w:rPr>
          <w:color w:val="000000" w:themeColor="text1"/>
          <w:w w:val="110"/>
          <w:sz w:val="20"/>
          <w:szCs w:val="20"/>
          <w:lang w:val="ru-RU"/>
        </w:rPr>
        <w:t xml:space="preserve"> з </w:t>
      </w:r>
    </w:p>
    <w:p w14:paraId="0A6DF62C" w14:textId="026FE7E0" w:rsidR="00767E2A" w:rsidRPr="006B6651" w:rsidRDefault="00767E2A" w:rsidP="0015544F">
      <w:pPr>
        <w:pStyle w:val="a3"/>
        <w:spacing w:before="175" w:line="276" w:lineRule="auto"/>
        <w:ind w:left="426" w:right="4"/>
        <w:jc w:val="both"/>
        <w:rPr>
          <w:color w:val="000000" w:themeColor="text1"/>
          <w:w w:val="110"/>
          <w:sz w:val="20"/>
          <w:szCs w:val="20"/>
          <w:lang w:val="ru-RU"/>
        </w:rPr>
      </w:pPr>
      <w:proofErr w:type="spellStart"/>
      <w:r w:rsidRPr="006B6651">
        <w:rPr>
          <w:color w:val="000000" w:themeColor="text1"/>
          <w:w w:val="110"/>
          <w:sz w:val="20"/>
          <w:szCs w:val="20"/>
          <w:lang w:val="ru-RU"/>
        </w:rPr>
        <w:lastRenderedPageBreak/>
        <w:t>нижчим</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бактеріальним</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навантаженням</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напівкількісна</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категорія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низьке</w:t>
      </w:r>
      <w:proofErr w:type="spellEnd"/>
      <w:r w:rsidRPr="006B6651">
        <w:rPr>
          <w:color w:val="000000" w:themeColor="text1"/>
          <w:w w:val="110"/>
          <w:sz w:val="20"/>
          <w:szCs w:val="20"/>
          <w:lang w:val="ru-RU"/>
        </w:rPr>
        <w:t>" або "</w:t>
      </w:r>
      <w:proofErr w:type="spellStart"/>
      <w:r w:rsidRPr="006B6651">
        <w:rPr>
          <w:color w:val="000000" w:themeColor="text1"/>
          <w:w w:val="110"/>
          <w:sz w:val="20"/>
          <w:szCs w:val="20"/>
          <w:lang w:val="ru-RU"/>
        </w:rPr>
        <w:t>дуже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низьке</w:t>
      </w:r>
      <w:proofErr w:type="spellEnd"/>
      <w:r w:rsidRPr="006B6651">
        <w:rPr>
          <w:color w:val="000000" w:themeColor="text1"/>
          <w:w w:val="110"/>
          <w:sz w:val="20"/>
          <w:szCs w:val="20"/>
          <w:lang w:val="ru-RU"/>
        </w:rPr>
        <w:t>").</w:t>
      </w:r>
    </w:p>
    <w:p w14:paraId="3789A4AA" w14:textId="77777777" w:rsidR="00767E2A" w:rsidRPr="00767E2A" w:rsidRDefault="00767E2A" w:rsidP="00767E2A">
      <w:pPr>
        <w:pStyle w:val="6"/>
        <w:spacing w:before="87" w:line="235" w:lineRule="auto"/>
        <w:ind w:right="4"/>
        <w:jc w:val="both"/>
        <w:rPr>
          <w:rFonts w:ascii="Microsoft Sans Serif" w:hAnsi="Microsoft Sans Serif" w:cs="Microsoft Sans Serif"/>
          <w:sz w:val="22"/>
          <w:szCs w:val="22"/>
          <w:lang w:val="ru-RU"/>
        </w:rPr>
      </w:pPr>
      <w:bookmarkStart w:id="87" w:name="_bookmark39"/>
      <w:bookmarkEnd w:id="87"/>
      <w:proofErr w:type="spellStart"/>
      <w:r w:rsidRPr="00767E2A">
        <w:rPr>
          <w:rFonts w:ascii="Microsoft Sans Serif" w:hAnsi="Microsoft Sans Serif" w:cs="Microsoft Sans Serif"/>
          <w:color w:val="636466"/>
          <w:w w:val="115"/>
          <w:sz w:val="22"/>
          <w:szCs w:val="22"/>
          <w:lang w:val="ru-RU"/>
        </w:rPr>
        <w:t>Таблиця</w:t>
      </w:r>
      <w:proofErr w:type="spellEnd"/>
      <w:r w:rsidRPr="00767E2A">
        <w:rPr>
          <w:rFonts w:ascii="Microsoft Sans Serif" w:hAnsi="Microsoft Sans Serif" w:cs="Microsoft Sans Serif"/>
          <w:color w:val="636466"/>
          <w:w w:val="115"/>
          <w:sz w:val="22"/>
          <w:szCs w:val="22"/>
          <w:lang w:val="ru-RU"/>
        </w:rPr>
        <w:t xml:space="preserve"> 2.4.5.1 </w:t>
      </w:r>
      <w:proofErr w:type="spellStart"/>
      <w:r w:rsidRPr="00767E2A">
        <w:rPr>
          <w:rFonts w:ascii="Microsoft Sans Serif" w:hAnsi="Microsoft Sans Serif" w:cs="Microsoft Sans Serif"/>
          <w:color w:val="636466"/>
          <w:w w:val="115"/>
          <w:sz w:val="22"/>
          <w:szCs w:val="22"/>
          <w:lang w:val="ru-RU"/>
        </w:rPr>
        <w:t>Точність</w:t>
      </w:r>
      <w:proofErr w:type="spellEnd"/>
      <w:r w:rsidRPr="00767E2A">
        <w:rPr>
          <w:rFonts w:ascii="Microsoft Sans Serif" w:hAnsi="Microsoft Sans Serif" w:cs="Microsoft Sans Serif"/>
          <w:color w:val="636466"/>
          <w:w w:val="115"/>
          <w:sz w:val="22"/>
          <w:szCs w:val="22"/>
          <w:lang w:val="ru-RU"/>
        </w:rPr>
        <w:t xml:space="preserve"> та </w:t>
      </w:r>
      <w:proofErr w:type="spellStart"/>
      <w:r w:rsidRPr="00767E2A">
        <w:rPr>
          <w:rFonts w:ascii="Microsoft Sans Serif" w:hAnsi="Microsoft Sans Serif" w:cs="Microsoft Sans Serif"/>
          <w:color w:val="636466"/>
          <w:w w:val="115"/>
          <w:sz w:val="22"/>
          <w:szCs w:val="22"/>
          <w:lang w:val="ru-RU"/>
        </w:rPr>
        <w:t>достовірність</w:t>
      </w:r>
      <w:proofErr w:type="spellEnd"/>
      <w:r w:rsidRPr="00767E2A">
        <w:rPr>
          <w:rFonts w:ascii="Microsoft Sans Serif" w:hAnsi="Microsoft Sans Serif" w:cs="Microsoft Sans Serif"/>
          <w:color w:val="636466"/>
          <w:w w:val="115"/>
          <w:sz w:val="22"/>
          <w:szCs w:val="22"/>
          <w:lang w:val="ru-RU"/>
        </w:rPr>
        <w:t xml:space="preserve"> </w:t>
      </w:r>
      <w:proofErr w:type="spellStart"/>
      <w:r w:rsidRPr="00767E2A">
        <w:rPr>
          <w:rFonts w:ascii="Microsoft Sans Serif" w:hAnsi="Microsoft Sans Serif" w:cs="Microsoft Sans Serif"/>
          <w:color w:val="636466"/>
          <w:w w:val="115"/>
          <w:sz w:val="22"/>
          <w:szCs w:val="22"/>
          <w:lang w:val="ru-RU"/>
        </w:rPr>
        <w:t>доказ</w:t>
      </w:r>
      <w:r w:rsidRPr="00767E2A">
        <w:rPr>
          <w:rFonts w:ascii="Microsoft Sans Serif" w:hAnsi="Microsoft Sans Serif" w:cs="Microsoft Sans Serif"/>
          <w:color w:val="636466"/>
          <w:w w:val="115"/>
          <w:sz w:val="22"/>
          <w:szCs w:val="22"/>
          <w:lang w:val="uk-UA"/>
        </w:rPr>
        <w:t>ових</w:t>
      </w:r>
      <w:proofErr w:type="spellEnd"/>
      <w:r w:rsidRPr="00767E2A">
        <w:rPr>
          <w:rFonts w:ascii="Microsoft Sans Serif" w:hAnsi="Microsoft Sans Serif" w:cs="Microsoft Sans Serif"/>
          <w:color w:val="636466"/>
          <w:w w:val="115"/>
          <w:sz w:val="22"/>
          <w:szCs w:val="22"/>
          <w:lang w:val="uk-UA"/>
        </w:rPr>
        <w:t xml:space="preserve"> даних</w:t>
      </w:r>
      <w:r w:rsidRPr="00767E2A">
        <w:rPr>
          <w:rFonts w:ascii="Microsoft Sans Serif" w:hAnsi="Microsoft Sans Serif" w:cs="Microsoft Sans Serif"/>
          <w:color w:val="636466"/>
          <w:w w:val="115"/>
          <w:sz w:val="22"/>
          <w:szCs w:val="22"/>
          <w:lang w:val="ru-RU"/>
        </w:rPr>
        <w:t xml:space="preserve"> </w:t>
      </w:r>
      <w:r w:rsidRPr="00767E2A">
        <w:rPr>
          <w:rFonts w:ascii="Microsoft Sans Serif" w:hAnsi="Microsoft Sans Serif" w:cs="Microsoft Sans Serif"/>
          <w:color w:val="636466"/>
          <w:w w:val="115"/>
          <w:sz w:val="22"/>
          <w:szCs w:val="22"/>
          <w:lang w:val="uk-UA"/>
        </w:rPr>
        <w:t>таргетного СНП</w:t>
      </w:r>
      <w:r w:rsidRPr="00767E2A">
        <w:rPr>
          <w:rFonts w:ascii="Microsoft Sans Serif" w:hAnsi="Microsoft Sans Serif" w:cs="Microsoft Sans Serif"/>
          <w:color w:val="636466"/>
          <w:w w:val="115"/>
          <w:sz w:val="22"/>
          <w:szCs w:val="22"/>
          <w:lang w:val="ru-RU"/>
        </w:rPr>
        <w:t xml:space="preserve"> для виявлення </w:t>
      </w:r>
      <w:r w:rsidRPr="00767E2A">
        <w:rPr>
          <w:rFonts w:ascii="Microsoft Sans Serif" w:hAnsi="Microsoft Sans Serif" w:cs="Microsoft Sans Serif"/>
          <w:color w:val="636466"/>
          <w:w w:val="115"/>
          <w:sz w:val="22"/>
          <w:szCs w:val="22"/>
          <w:lang w:val="uk-UA"/>
        </w:rPr>
        <w:t>стійкості</w:t>
      </w:r>
      <w:r w:rsidRPr="00767E2A">
        <w:rPr>
          <w:rFonts w:ascii="Microsoft Sans Serif" w:hAnsi="Microsoft Sans Serif" w:cs="Microsoft Sans Serif"/>
          <w:color w:val="636466"/>
          <w:w w:val="115"/>
          <w:sz w:val="22"/>
          <w:szCs w:val="22"/>
          <w:lang w:val="ru-RU"/>
        </w:rPr>
        <w:t xml:space="preserve"> до </w:t>
      </w:r>
      <w:proofErr w:type="spellStart"/>
      <w:r w:rsidRPr="00767E2A">
        <w:rPr>
          <w:rFonts w:ascii="Microsoft Sans Serif" w:hAnsi="Microsoft Sans Serif" w:cs="Microsoft Sans Serif"/>
          <w:color w:val="636466"/>
          <w:w w:val="115"/>
          <w:sz w:val="22"/>
          <w:szCs w:val="22"/>
          <w:lang w:val="ru-RU"/>
        </w:rPr>
        <w:t>протитуберкульозних</w:t>
      </w:r>
      <w:proofErr w:type="spellEnd"/>
      <w:r w:rsidRPr="00767E2A">
        <w:rPr>
          <w:rFonts w:ascii="Microsoft Sans Serif" w:hAnsi="Microsoft Sans Serif" w:cs="Microsoft Sans Serif"/>
          <w:color w:val="636466"/>
          <w:w w:val="115"/>
          <w:sz w:val="22"/>
          <w:szCs w:val="22"/>
          <w:lang w:val="ru-RU"/>
        </w:rPr>
        <w:t xml:space="preserve"> </w:t>
      </w:r>
      <w:proofErr w:type="spellStart"/>
      <w:r w:rsidRPr="00767E2A">
        <w:rPr>
          <w:rFonts w:ascii="Microsoft Sans Serif" w:hAnsi="Microsoft Sans Serif" w:cs="Microsoft Sans Serif"/>
          <w:color w:val="636466"/>
          <w:w w:val="115"/>
          <w:sz w:val="22"/>
          <w:szCs w:val="22"/>
          <w:lang w:val="ru-RU"/>
        </w:rPr>
        <w:t>препаратів</w:t>
      </w:r>
      <w:proofErr w:type="spellEnd"/>
      <w:r w:rsidRPr="00767E2A">
        <w:rPr>
          <w:rFonts w:ascii="Microsoft Sans Serif" w:hAnsi="Microsoft Sans Serif" w:cs="Microsoft Sans Serif"/>
          <w:color w:val="636466"/>
          <w:w w:val="115"/>
          <w:sz w:val="22"/>
          <w:szCs w:val="22"/>
          <w:lang w:val="ru-RU"/>
        </w:rPr>
        <w:t xml:space="preserve"> </w:t>
      </w:r>
      <w:proofErr w:type="spellStart"/>
      <w:r w:rsidRPr="00767E2A">
        <w:rPr>
          <w:rFonts w:ascii="Microsoft Sans Serif" w:hAnsi="Microsoft Sans Serif" w:cs="Microsoft Sans Serif"/>
          <w:color w:val="636466"/>
          <w:w w:val="115"/>
          <w:sz w:val="22"/>
          <w:szCs w:val="22"/>
          <w:lang w:val="ru-RU"/>
        </w:rPr>
        <w:t>серед</w:t>
      </w:r>
      <w:proofErr w:type="spellEnd"/>
      <w:r w:rsidRPr="00767E2A">
        <w:rPr>
          <w:rFonts w:ascii="Microsoft Sans Serif" w:hAnsi="Microsoft Sans Serif" w:cs="Microsoft Sans Serif"/>
          <w:color w:val="636466"/>
          <w:w w:val="115"/>
          <w:sz w:val="22"/>
          <w:szCs w:val="22"/>
          <w:lang w:val="uk-UA"/>
        </w:rPr>
        <w:t xml:space="preserve"> осіб із </w:t>
      </w:r>
      <w:r w:rsidRPr="00767E2A">
        <w:rPr>
          <w:rFonts w:ascii="Microsoft Sans Serif" w:hAnsi="Microsoft Sans Serif" w:cs="Microsoft Sans Serif"/>
          <w:color w:val="636466"/>
          <w:w w:val="115"/>
          <w:sz w:val="22"/>
          <w:szCs w:val="22"/>
          <w:lang w:val="ru-RU"/>
        </w:rPr>
        <w:t xml:space="preserve">бактеріологічно </w:t>
      </w:r>
      <w:proofErr w:type="spellStart"/>
      <w:r w:rsidRPr="00767E2A">
        <w:rPr>
          <w:rFonts w:ascii="Microsoft Sans Serif" w:hAnsi="Microsoft Sans Serif" w:cs="Microsoft Sans Serif"/>
          <w:color w:val="636466"/>
          <w:w w:val="115"/>
          <w:sz w:val="22"/>
          <w:szCs w:val="22"/>
          <w:lang w:val="ru-RU"/>
        </w:rPr>
        <w:t>підтверджен</w:t>
      </w:r>
      <w:r w:rsidRPr="00767E2A">
        <w:rPr>
          <w:rFonts w:ascii="Microsoft Sans Serif" w:hAnsi="Microsoft Sans Serif" w:cs="Microsoft Sans Serif"/>
          <w:color w:val="636466"/>
          <w:w w:val="115"/>
          <w:sz w:val="22"/>
          <w:szCs w:val="22"/>
          <w:lang w:val="uk-UA"/>
        </w:rPr>
        <w:t>им</w:t>
      </w:r>
      <w:proofErr w:type="spellEnd"/>
      <w:r w:rsidRPr="00767E2A">
        <w:rPr>
          <w:rFonts w:ascii="Microsoft Sans Serif" w:hAnsi="Microsoft Sans Serif" w:cs="Microsoft Sans Serif"/>
          <w:color w:val="636466"/>
          <w:w w:val="115"/>
          <w:sz w:val="22"/>
          <w:szCs w:val="22"/>
          <w:lang w:val="ru-RU"/>
        </w:rPr>
        <w:t xml:space="preserve"> </w:t>
      </w:r>
      <w:r w:rsidRPr="00767E2A">
        <w:rPr>
          <w:rFonts w:ascii="Microsoft Sans Serif" w:hAnsi="Microsoft Sans Serif" w:cs="Microsoft Sans Serif"/>
          <w:color w:val="636466"/>
          <w:w w:val="115"/>
          <w:sz w:val="22"/>
          <w:szCs w:val="22"/>
          <w:lang w:val="uk-UA"/>
        </w:rPr>
        <w:t xml:space="preserve">легеневим </w:t>
      </w:r>
      <w:r w:rsidRPr="00767E2A">
        <w:rPr>
          <w:rFonts w:ascii="Microsoft Sans Serif" w:hAnsi="Microsoft Sans Serif" w:cs="Microsoft Sans Serif"/>
          <w:color w:val="636466"/>
          <w:w w:val="115"/>
          <w:sz w:val="22"/>
          <w:szCs w:val="22"/>
          <w:lang w:val="ru-RU"/>
        </w:rPr>
        <w:t xml:space="preserve">ТБ </w:t>
      </w:r>
    </w:p>
    <w:p w14:paraId="367EEDD1" w14:textId="77777777" w:rsidR="00767E2A" w:rsidRPr="006B6651" w:rsidRDefault="00767E2A" w:rsidP="00767E2A">
      <w:pPr>
        <w:pStyle w:val="a3"/>
        <w:spacing w:before="1"/>
        <w:ind w:right="4"/>
        <w:rPr>
          <w:b/>
          <w:sz w:val="15"/>
          <w:lang w:val="ru-RU"/>
        </w:rPr>
      </w:pPr>
    </w:p>
    <w:tbl>
      <w:tblPr>
        <w:tblStyle w:val="TableNormal"/>
        <w:tblW w:w="9639" w:type="dxa"/>
        <w:tblInd w:w="557" w:type="dxa"/>
        <w:tblLayout w:type="fixed"/>
        <w:tblLook w:val="01E0" w:firstRow="1" w:lastRow="1" w:firstColumn="1" w:lastColumn="1" w:noHBand="0" w:noVBand="0"/>
      </w:tblPr>
      <w:tblGrid>
        <w:gridCol w:w="1701"/>
        <w:gridCol w:w="2429"/>
        <w:gridCol w:w="2268"/>
        <w:gridCol w:w="1701"/>
        <w:gridCol w:w="1540"/>
      </w:tblGrid>
      <w:tr w:rsidR="00767E2A" w:rsidRPr="0015544F" w14:paraId="7E7ADE0B" w14:textId="77777777" w:rsidTr="0015544F">
        <w:trPr>
          <w:trHeight w:val="640"/>
        </w:trPr>
        <w:tc>
          <w:tcPr>
            <w:tcW w:w="1701" w:type="dxa"/>
            <w:tcBorders>
              <w:top w:val="single" w:sz="8" w:space="0" w:color="019648"/>
              <w:left w:val="single" w:sz="8" w:space="0" w:color="019648"/>
              <w:bottom w:val="single" w:sz="8" w:space="0" w:color="019648"/>
              <w:right w:val="single" w:sz="6" w:space="0" w:color="019648"/>
            </w:tcBorders>
            <w:shd w:val="clear" w:color="auto" w:fill="62A86B"/>
          </w:tcPr>
          <w:p w14:paraId="3E763F85" w14:textId="77777777" w:rsidR="00767E2A" w:rsidRPr="0015544F" w:rsidRDefault="00767E2A" w:rsidP="00767E2A">
            <w:pPr>
              <w:pStyle w:val="TableParagraph"/>
              <w:spacing w:before="8"/>
              <w:ind w:left="0" w:right="4"/>
              <w:rPr>
                <w:b/>
                <w:sz w:val="17"/>
                <w:szCs w:val="17"/>
                <w:lang w:val="ru-RU"/>
              </w:rPr>
            </w:pPr>
          </w:p>
          <w:p w14:paraId="596FADED" w14:textId="77777777" w:rsidR="00767E2A" w:rsidRPr="0015544F" w:rsidRDefault="00767E2A" w:rsidP="00767E2A">
            <w:pPr>
              <w:pStyle w:val="TableParagraph"/>
              <w:spacing w:before="0"/>
              <w:ind w:right="4"/>
              <w:rPr>
                <w:b/>
                <w:sz w:val="17"/>
                <w:szCs w:val="17"/>
                <w:lang w:val="uk-UA"/>
              </w:rPr>
            </w:pPr>
            <w:r w:rsidRPr="0015544F">
              <w:rPr>
                <w:b/>
                <w:color w:val="FFFFFF"/>
                <w:w w:val="120"/>
                <w:sz w:val="17"/>
                <w:szCs w:val="17"/>
                <w:lang w:val="uk-UA"/>
              </w:rPr>
              <w:t>Препарат</w:t>
            </w:r>
          </w:p>
        </w:tc>
        <w:tc>
          <w:tcPr>
            <w:tcW w:w="2429" w:type="dxa"/>
            <w:tcBorders>
              <w:top w:val="single" w:sz="8" w:space="0" w:color="019648"/>
              <w:left w:val="single" w:sz="6" w:space="0" w:color="019648"/>
              <w:bottom w:val="single" w:sz="8" w:space="0" w:color="019648"/>
              <w:right w:val="single" w:sz="6" w:space="0" w:color="019648"/>
            </w:tcBorders>
            <w:shd w:val="clear" w:color="auto" w:fill="62A86B"/>
          </w:tcPr>
          <w:p w14:paraId="2C704A6B" w14:textId="77777777" w:rsidR="00767E2A" w:rsidRPr="0015544F" w:rsidRDefault="00767E2A" w:rsidP="00767E2A">
            <w:pPr>
              <w:pStyle w:val="TableParagraph"/>
              <w:spacing w:before="8"/>
              <w:ind w:left="0" w:right="4"/>
              <w:rPr>
                <w:b/>
                <w:sz w:val="17"/>
                <w:szCs w:val="17"/>
              </w:rPr>
            </w:pPr>
          </w:p>
          <w:p w14:paraId="6AE3C53B" w14:textId="77777777" w:rsidR="00767E2A" w:rsidRPr="0015544F" w:rsidRDefault="00767E2A" w:rsidP="00767E2A">
            <w:pPr>
              <w:pStyle w:val="TableParagraph"/>
              <w:spacing w:before="0"/>
              <w:ind w:left="138" w:right="4"/>
              <w:rPr>
                <w:b/>
                <w:sz w:val="17"/>
                <w:szCs w:val="17"/>
                <w:lang w:val="uk-UA"/>
              </w:rPr>
            </w:pPr>
            <w:r w:rsidRPr="0015544F">
              <w:rPr>
                <w:b/>
                <w:color w:val="FFFFFF"/>
                <w:w w:val="115"/>
                <w:sz w:val="17"/>
                <w:szCs w:val="17"/>
                <w:lang w:val="uk-UA"/>
              </w:rPr>
              <w:t>Еталонний стандарт</w:t>
            </w:r>
          </w:p>
        </w:tc>
        <w:tc>
          <w:tcPr>
            <w:tcW w:w="2268" w:type="dxa"/>
            <w:tcBorders>
              <w:top w:val="single" w:sz="8" w:space="0" w:color="019648"/>
              <w:left w:val="single" w:sz="6" w:space="0" w:color="019648"/>
              <w:bottom w:val="single" w:sz="8" w:space="0" w:color="019648"/>
              <w:right w:val="single" w:sz="6" w:space="0" w:color="019648"/>
            </w:tcBorders>
            <w:shd w:val="clear" w:color="auto" w:fill="62A86B"/>
          </w:tcPr>
          <w:p w14:paraId="3F126AE2" w14:textId="77777777" w:rsidR="00767E2A" w:rsidRPr="0015544F" w:rsidRDefault="00767E2A" w:rsidP="00767E2A">
            <w:pPr>
              <w:pStyle w:val="TableParagraph"/>
              <w:spacing w:before="21" w:line="340" w:lineRule="atLeast"/>
              <w:ind w:left="138" w:right="4"/>
              <w:rPr>
                <w:b/>
                <w:sz w:val="17"/>
                <w:szCs w:val="17"/>
              </w:rPr>
            </w:pPr>
            <w:r w:rsidRPr="0015544F">
              <w:rPr>
                <w:b/>
                <w:color w:val="FFFFFF"/>
                <w:w w:val="120"/>
                <w:sz w:val="17"/>
                <w:szCs w:val="17"/>
                <w:lang w:val="uk-UA"/>
              </w:rPr>
              <w:t>Точність</w:t>
            </w:r>
            <w:r w:rsidRPr="0015544F">
              <w:rPr>
                <w:b/>
                <w:color w:val="FFFFFF"/>
                <w:w w:val="120"/>
                <w:sz w:val="17"/>
                <w:szCs w:val="17"/>
              </w:rPr>
              <w:t>%</w:t>
            </w:r>
            <w:r w:rsidRPr="0015544F">
              <w:rPr>
                <w:b/>
                <w:color w:val="FFFFFF"/>
                <w:w w:val="120"/>
                <w:sz w:val="17"/>
                <w:szCs w:val="17"/>
                <w:lang w:val="uk-UA"/>
              </w:rPr>
              <w:t xml:space="preserve">  </w:t>
            </w:r>
            <w:r w:rsidRPr="0015544F">
              <w:rPr>
                <w:b/>
                <w:color w:val="FFFFFF"/>
                <w:w w:val="120"/>
                <w:sz w:val="17"/>
                <w:szCs w:val="17"/>
              </w:rPr>
              <w:t xml:space="preserve">(95% </w:t>
            </w:r>
            <w:r w:rsidRPr="0015544F">
              <w:rPr>
                <w:b/>
                <w:color w:val="FFFFFF"/>
                <w:w w:val="120"/>
                <w:sz w:val="17"/>
                <w:szCs w:val="17"/>
                <w:lang w:val="uk-UA"/>
              </w:rPr>
              <w:t>ДІ</w:t>
            </w:r>
            <w:r w:rsidRPr="0015544F">
              <w:rPr>
                <w:b/>
                <w:color w:val="FFFFFF"/>
                <w:w w:val="120"/>
                <w:sz w:val="17"/>
                <w:szCs w:val="17"/>
              </w:rPr>
              <w:t>)</w:t>
            </w:r>
          </w:p>
        </w:tc>
        <w:tc>
          <w:tcPr>
            <w:tcW w:w="1701" w:type="dxa"/>
            <w:tcBorders>
              <w:top w:val="single" w:sz="8" w:space="0" w:color="019648"/>
              <w:left w:val="single" w:sz="6" w:space="0" w:color="019648"/>
              <w:bottom w:val="single" w:sz="8" w:space="0" w:color="019648"/>
              <w:right w:val="single" w:sz="6" w:space="0" w:color="019648"/>
            </w:tcBorders>
            <w:shd w:val="clear" w:color="auto" w:fill="62A86B"/>
          </w:tcPr>
          <w:p w14:paraId="409B4315" w14:textId="77777777" w:rsidR="00767E2A" w:rsidRPr="0015544F" w:rsidRDefault="00767E2A" w:rsidP="00767E2A">
            <w:pPr>
              <w:pStyle w:val="TableParagraph"/>
              <w:spacing w:before="141" w:line="232" w:lineRule="auto"/>
              <w:ind w:right="4"/>
              <w:rPr>
                <w:b/>
                <w:color w:val="FFFFFF"/>
                <w:w w:val="115"/>
                <w:sz w:val="17"/>
                <w:szCs w:val="17"/>
                <w:lang w:val="uk-UA"/>
              </w:rPr>
            </w:pPr>
            <w:r w:rsidRPr="0015544F">
              <w:rPr>
                <w:b/>
                <w:color w:val="FFFFFF"/>
                <w:w w:val="115"/>
                <w:sz w:val="17"/>
                <w:szCs w:val="17"/>
                <w:lang w:val="uk-UA"/>
              </w:rPr>
              <w:t>Дослідження</w:t>
            </w:r>
            <w:r w:rsidRPr="0015544F">
              <w:rPr>
                <w:b/>
                <w:color w:val="FFFFFF"/>
                <w:w w:val="115"/>
                <w:sz w:val="17"/>
                <w:szCs w:val="17"/>
              </w:rPr>
              <w:t xml:space="preserve"> </w:t>
            </w:r>
            <w:r w:rsidRPr="0015544F">
              <w:rPr>
                <w:b/>
                <w:color w:val="FFFFFF"/>
                <w:w w:val="115"/>
                <w:sz w:val="17"/>
                <w:szCs w:val="17"/>
                <w:lang w:val="uk-UA"/>
              </w:rPr>
              <w:t xml:space="preserve">   </w:t>
            </w:r>
          </w:p>
          <w:p w14:paraId="1F695472" w14:textId="77777777" w:rsidR="00767E2A" w:rsidRPr="0015544F" w:rsidRDefault="00767E2A" w:rsidP="00767E2A">
            <w:pPr>
              <w:pStyle w:val="TableParagraph"/>
              <w:spacing w:before="141" w:line="232" w:lineRule="auto"/>
              <w:ind w:left="139" w:right="4"/>
              <w:rPr>
                <w:b/>
                <w:color w:val="FFFFFF"/>
                <w:w w:val="115"/>
                <w:sz w:val="17"/>
                <w:szCs w:val="17"/>
                <w:lang w:val="uk-UA"/>
              </w:rPr>
            </w:pPr>
            <w:r w:rsidRPr="0015544F">
              <w:rPr>
                <w:b/>
                <w:color w:val="FFFFFF"/>
                <w:w w:val="110"/>
                <w:sz w:val="17"/>
                <w:szCs w:val="17"/>
              </w:rPr>
              <w:t>(</w:t>
            </w:r>
            <w:r w:rsidRPr="0015544F">
              <w:rPr>
                <w:b/>
                <w:color w:val="FFFFFF"/>
                <w:w w:val="110"/>
                <w:sz w:val="17"/>
                <w:szCs w:val="17"/>
                <w:lang w:val="uk-UA"/>
              </w:rPr>
              <w:t>к-ть осіб</w:t>
            </w:r>
            <w:r w:rsidRPr="0015544F">
              <w:rPr>
                <w:b/>
                <w:color w:val="FFFFFF"/>
                <w:w w:val="110"/>
                <w:sz w:val="17"/>
                <w:szCs w:val="17"/>
              </w:rPr>
              <w:t>)</w:t>
            </w:r>
          </w:p>
        </w:tc>
        <w:tc>
          <w:tcPr>
            <w:tcW w:w="1540" w:type="dxa"/>
            <w:tcBorders>
              <w:top w:val="single" w:sz="8" w:space="0" w:color="019648"/>
              <w:left w:val="single" w:sz="6" w:space="0" w:color="019648"/>
              <w:bottom w:val="single" w:sz="8" w:space="0" w:color="019648"/>
              <w:right w:val="single" w:sz="6" w:space="0" w:color="019648"/>
            </w:tcBorders>
            <w:shd w:val="clear" w:color="auto" w:fill="62A86B"/>
          </w:tcPr>
          <w:p w14:paraId="26D96EC2" w14:textId="77777777" w:rsidR="00767E2A" w:rsidRPr="0015544F" w:rsidRDefault="00767E2A" w:rsidP="00767E2A">
            <w:pPr>
              <w:pStyle w:val="TableParagraph"/>
              <w:spacing w:before="141" w:line="232" w:lineRule="auto"/>
              <w:ind w:left="139" w:right="4"/>
              <w:rPr>
                <w:b/>
                <w:sz w:val="17"/>
                <w:szCs w:val="17"/>
              </w:rPr>
            </w:pPr>
            <w:proofErr w:type="spellStart"/>
            <w:r w:rsidRPr="0015544F">
              <w:rPr>
                <w:b/>
                <w:color w:val="FFFFFF"/>
                <w:w w:val="115"/>
                <w:sz w:val="17"/>
                <w:szCs w:val="17"/>
              </w:rPr>
              <w:t>Достовірність</w:t>
            </w:r>
            <w:proofErr w:type="spellEnd"/>
            <w:r w:rsidRPr="0015544F">
              <w:rPr>
                <w:b/>
                <w:color w:val="FFFFFF"/>
                <w:w w:val="115"/>
                <w:sz w:val="17"/>
                <w:szCs w:val="17"/>
              </w:rPr>
              <w:t xml:space="preserve"> </w:t>
            </w:r>
            <w:proofErr w:type="spellStart"/>
            <w:r w:rsidRPr="0015544F">
              <w:rPr>
                <w:b/>
                <w:color w:val="FFFFFF"/>
                <w:w w:val="115"/>
                <w:sz w:val="17"/>
                <w:szCs w:val="17"/>
              </w:rPr>
              <w:t>доказових</w:t>
            </w:r>
            <w:proofErr w:type="spellEnd"/>
            <w:r w:rsidRPr="0015544F">
              <w:rPr>
                <w:b/>
                <w:color w:val="FFFFFF"/>
                <w:w w:val="115"/>
                <w:sz w:val="17"/>
                <w:szCs w:val="17"/>
              </w:rPr>
              <w:t xml:space="preserve"> </w:t>
            </w:r>
            <w:proofErr w:type="spellStart"/>
            <w:r w:rsidRPr="0015544F">
              <w:rPr>
                <w:b/>
                <w:color w:val="FFFFFF"/>
                <w:w w:val="115"/>
                <w:sz w:val="17"/>
                <w:szCs w:val="17"/>
              </w:rPr>
              <w:t>даних</w:t>
            </w:r>
            <w:proofErr w:type="spellEnd"/>
          </w:p>
        </w:tc>
      </w:tr>
      <w:tr w:rsidR="00767E2A" w:rsidRPr="0015544F" w14:paraId="1CCC00B9" w14:textId="77777777" w:rsidTr="0015544F">
        <w:trPr>
          <w:trHeight w:val="385"/>
        </w:trPr>
        <w:tc>
          <w:tcPr>
            <w:tcW w:w="1701" w:type="dxa"/>
            <w:tcBorders>
              <w:top w:val="single" w:sz="8" w:space="0" w:color="019648"/>
            </w:tcBorders>
          </w:tcPr>
          <w:p w14:paraId="4AA53678" w14:textId="77777777" w:rsidR="00767E2A" w:rsidRPr="0015544F" w:rsidRDefault="00767E2A" w:rsidP="00767E2A">
            <w:pPr>
              <w:pStyle w:val="TableParagraph"/>
              <w:spacing w:before="70"/>
              <w:ind w:left="0" w:right="4"/>
              <w:rPr>
                <w:b/>
                <w:sz w:val="17"/>
                <w:szCs w:val="17"/>
              </w:rPr>
            </w:pPr>
            <w:r w:rsidRPr="0015544F">
              <w:rPr>
                <w:b/>
                <w:w w:val="115"/>
                <w:sz w:val="17"/>
                <w:szCs w:val="17"/>
              </w:rPr>
              <w:t>Рифампіцин</w:t>
            </w:r>
          </w:p>
        </w:tc>
        <w:tc>
          <w:tcPr>
            <w:tcW w:w="2429" w:type="dxa"/>
            <w:tcBorders>
              <w:top w:val="single" w:sz="8" w:space="0" w:color="019648"/>
              <w:bottom w:val="single" w:sz="6" w:space="0" w:color="019648"/>
            </w:tcBorders>
          </w:tcPr>
          <w:p w14:paraId="3F2777C7" w14:textId="77777777" w:rsidR="00767E2A" w:rsidRPr="0015544F" w:rsidRDefault="00767E2A" w:rsidP="00767E2A">
            <w:pPr>
              <w:pStyle w:val="TableParagraph"/>
              <w:spacing w:before="70"/>
              <w:ind w:right="4"/>
              <w:rPr>
                <w:sz w:val="17"/>
                <w:szCs w:val="17"/>
                <w:lang w:val="uk-UA"/>
              </w:rPr>
            </w:pPr>
            <w:proofErr w:type="spellStart"/>
            <w:r w:rsidRPr="0015544F">
              <w:rPr>
                <w:w w:val="110"/>
                <w:sz w:val="17"/>
                <w:szCs w:val="17"/>
                <w:lang w:val="uk-UA"/>
              </w:rPr>
              <w:t>Фенотиповий</w:t>
            </w:r>
            <w:proofErr w:type="spellEnd"/>
            <w:r w:rsidRPr="0015544F">
              <w:rPr>
                <w:w w:val="110"/>
                <w:sz w:val="17"/>
                <w:szCs w:val="17"/>
              </w:rPr>
              <w:t xml:space="preserve"> </w:t>
            </w:r>
            <w:r w:rsidRPr="0015544F">
              <w:rPr>
                <w:w w:val="110"/>
                <w:sz w:val="17"/>
                <w:szCs w:val="17"/>
                <w:lang w:val="uk-UA"/>
              </w:rPr>
              <w:t>ТМЧ</w:t>
            </w:r>
            <w:r w:rsidRPr="0015544F">
              <w:rPr>
                <w:w w:val="110"/>
                <w:sz w:val="17"/>
                <w:szCs w:val="17"/>
              </w:rPr>
              <w:t>+</w:t>
            </w:r>
            <w:r w:rsidRPr="0015544F">
              <w:rPr>
                <w:w w:val="110"/>
                <w:sz w:val="17"/>
                <w:szCs w:val="17"/>
                <w:lang w:val="uk-UA"/>
              </w:rPr>
              <w:t>ПГС</w:t>
            </w:r>
          </w:p>
        </w:tc>
        <w:tc>
          <w:tcPr>
            <w:tcW w:w="2268" w:type="dxa"/>
            <w:tcBorders>
              <w:top w:val="single" w:sz="8" w:space="0" w:color="019648"/>
              <w:bottom w:val="single" w:sz="6" w:space="0" w:color="019648"/>
            </w:tcBorders>
          </w:tcPr>
          <w:p w14:paraId="682AF37E" w14:textId="77777777" w:rsidR="00767E2A" w:rsidRPr="0015544F" w:rsidRDefault="00767E2A" w:rsidP="00767E2A">
            <w:pPr>
              <w:pStyle w:val="TableParagraph"/>
              <w:spacing w:before="70"/>
              <w:ind w:right="4"/>
              <w:rPr>
                <w:sz w:val="17"/>
                <w:szCs w:val="17"/>
              </w:rPr>
            </w:pPr>
            <w:r w:rsidRPr="0015544F">
              <w:rPr>
                <w:w w:val="110"/>
                <w:sz w:val="17"/>
                <w:szCs w:val="17"/>
                <w:lang w:val="uk-UA"/>
              </w:rPr>
              <w:t>Ч</w:t>
            </w:r>
            <w:r w:rsidRPr="0015544F">
              <w:rPr>
                <w:w w:val="110"/>
                <w:sz w:val="17"/>
                <w:szCs w:val="17"/>
              </w:rPr>
              <w:t>: 93.1 (87.0–99.2)</w:t>
            </w:r>
          </w:p>
        </w:tc>
        <w:tc>
          <w:tcPr>
            <w:tcW w:w="1701" w:type="dxa"/>
            <w:tcBorders>
              <w:top w:val="single" w:sz="8" w:space="0" w:color="019648"/>
              <w:bottom w:val="single" w:sz="6" w:space="0" w:color="019648"/>
            </w:tcBorders>
          </w:tcPr>
          <w:p w14:paraId="52CC1FAF" w14:textId="77777777" w:rsidR="00767E2A" w:rsidRPr="0015544F" w:rsidRDefault="00767E2A" w:rsidP="00767E2A">
            <w:pPr>
              <w:pStyle w:val="TableParagraph"/>
              <w:spacing w:before="70"/>
              <w:ind w:right="4"/>
              <w:rPr>
                <w:sz w:val="17"/>
                <w:szCs w:val="17"/>
              </w:rPr>
            </w:pPr>
            <w:r w:rsidRPr="0015544F">
              <w:rPr>
                <w:w w:val="110"/>
                <w:sz w:val="17"/>
                <w:szCs w:val="17"/>
              </w:rPr>
              <w:t>9 (1436)</w:t>
            </w:r>
          </w:p>
        </w:tc>
        <w:tc>
          <w:tcPr>
            <w:tcW w:w="1540" w:type="dxa"/>
            <w:tcBorders>
              <w:top w:val="single" w:sz="8" w:space="0" w:color="019648"/>
              <w:bottom w:val="single" w:sz="6" w:space="0" w:color="019648"/>
            </w:tcBorders>
          </w:tcPr>
          <w:p w14:paraId="7BE86086" w14:textId="77777777" w:rsidR="00767E2A" w:rsidRPr="0015544F" w:rsidRDefault="00767E2A" w:rsidP="00767E2A">
            <w:pPr>
              <w:pStyle w:val="TableParagraph"/>
              <w:spacing w:before="70"/>
              <w:ind w:left="124" w:right="4"/>
              <w:rPr>
                <w:sz w:val="17"/>
                <w:szCs w:val="17"/>
                <w:lang w:val="uk-UA"/>
              </w:rPr>
            </w:pPr>
            <w:r w:rsidRPr="0015544F">
              <w:rPr>
                <w:w w:val="110"/>
                <w:sz w:val="17"/>
                <w:szCs w:val="17"/>
                <w:lang w:val="uk-UA"/>
              </w:rPr>
              <w:t>Середня</w:t>
            </w:r>
          </w:p>
        </w:tc>
      </w:tr>
      <w:tr w:rsidR="00767E2A" w:rsidRPr="0015544F" w14:paraId="43546DA0" w14:textId="77777777" w:rsidTr="0015544F">
        <w:trPr>
          <w:trHeight w:val="387"/>
        </w:trPr>
        <w:tc>
          <w:tcPr>
            <w:tcW w:w="1701" w:type="dxa"/>
            <w:tcBorders>
              <w:bottom w:val="single" w:sz="6" w:space="0" w:color="019648"/>
            </w:tcBorders>
          </w:tcPr>
          <w:p w14:paraId="59447F6A" w14:textId="77777777" w:rsidR="00767E2A" w:rsidRPr="0015544F" w:rsidRDefault="00767E2A" w:rsidP="00767E2A">
            <w:pPr>
              <w:pStyle w:val="TableParagraph"/>
              <w:spacing w:before="0"/>
              <w:ind w:left="0" w:right="4"/>
              <w:rPr>
                <w:sz w:val="17"/>
                <w:szCs w:val="17"/>
              </w:rPr>
            </w:pPr>
          </w:p>
        </w:tc>
        <w:tc>
          <w:tcPr>
            <w:tcW w:w="2429" w:type="dxa"/>
            <w:tcBorders>
              <w:top w:val="single" w:sz="6" w:space="0" w:color="019648"/>
              <w:bottom w:val="single" w:sz="6" w:space="0" w:color="019648"/>
            </w:tcBorders>
          </w:tcPr>
          <w:p w14:paraId="33D8E6EA" w14:textId="77777777" w:rsidR="00767E2A" w:rsidRPr="0015544F" w:rsidRDefault="00767E2A" w:rsidP="00767E2A">
            <w:pPr>
              <w:pStyle w:val="TableParagraph"/>
              <w:ind w:right="4"/>
              <w:rPr>
                <w:sz w:val="17"/>
                <w:szCs w:val="17"/>
              </w:rPr>
            </w:pPr>
            <w:proofErr w:type="spellStart"/>
            <w:r w:rsidRPr="0015544F">
              <w:rPr>
                <w:w w:val="110"/>
                <w:sz w:val="17"/>
                <w:szCs w:val="17"/>
              </w:rPr>
              <w:t>Фенотиповий</w:t>
            </w:r>
            <w:proofErr w:type="spellEnd"/>
            <w:r w:rsidRPr="0015544F">
              <w:rPr>
                <w:w w:val="110"/>
                <w:sz w:val="17"/>
                <w:szCs w:val="17"/>
              </w:rPr>
              <w:t xml:space="preserve"> ТМЧ+ПГС</w:t>
            </w:r>
          </w:p>
        </w:tc>
        <w:tc>
          <w:tcPr>
            <w:tcW w:w="2268" w:type="dxa"/>
            <w:tcBorders>
              <w:top w:val="single" w:sz="6" w:space="0" w:color="019648"/>
              <w:bottom w:val="single" w:sz="6" w:space="0" w:color="019648"/>
            </w:tcBorders>
          </w:tcPr>
          <w:p w14:paraId="231F7DF2" w14:textId="77777777" w:rsidR="00767E2A" w:rsidRPr="0015544F" w:rsidRDefault="00767E2A" w:rsidP="00767E2A">
            <w:pPr>
              <w:pStyle w:val="TableParagraph"/>
              <w:ind w:right="4"/>
              <w:rPr>
                <w:sz w:val="17"/>
                <w:szCs w:val="17"/>
              </w:rPr>
            </w:pPr>
            <w:r w:rsidRPr="0015544F">
              <w:rPr>
                <w:w w:val="110"/>
                <w:sz w:val="17"/>
                <w:szCs w:val="17"/>
                <w:lang w:val="uk-UA"/>
              </w:rPr>
              <w:t>С</w:t>
            </w:r>
            <w:r w:rsidRPr="0015544F">
              <w:rPr>
                <w:w w:val="110"/>
                <w:sz w:val="17"/>
                <w:szCs w:val="17"/>
              </w:rPr>
              <w:t>: 96.2 (88.6–100)</w:t>
            </w:r>
          </w:p>
        </w:tc>
        <w:tc>
          <w:tcPr>
            <w:tcW w:w="1701" w:type="dxa"/>
            <w:tcBorders>
              <w:top w:val="single" w:sz="6" w:space="0" w:color="019648"/>
              <w:bottom w:val="single" w:sz="6" w:space="0" w:color="019648"/>
            </w:tcBorders>
          </w:tcPr>
          <w:p w14:paraId="0A2F65B7" w14:textId="77777777" w:rsidR="00767E2A" w:rsidRPr="0015544F" w:rsidRDefault="00767E2A" w:rsidP="00767E2A">
            <w:pPr>
              <w:pStyle w:val="TableParagraph"/>
              <w:ind w:right="4"/>
              <w:rPr>
                <w:sz w:val="17"/>
                <w:szCs w:val="17"/>
              </w:rPr>
            </w:pPr>
            <w:r w:rsidRPr="0015544F">
              <w:rPr>
                <w:w w:val="110"/>
                <w:sz w:val="17"/>
                <w:szCs w:val="17"/>
              </w:rPr>
              <w:t>7 (271)</w:t>
            </w:r>
          </w:p>
        </w:tc>
        <w:tc>
          <w:tcPr>
            <w:tcW w:w="1540" w:type="dxa"/>
            <w:tcBorders>
              <w:top w:val="single" w:sz="6" w:space="0" w:color="019648"/>
              <w:bottom w:val="single" w:sz="6" w:space="0" w:color="019648"/>
            </w:tcBorders>
          </w:tcPr>
          <w:p w14:paraId="575DC4D1" w14:textId="77777777" w:rsidR="00767E2A" w:rsidRPr="0015544F" w:rsidRDefault="00767E2A" w:rsidP="00767E2A">
            <w:pPr>
              <w:pStyle w:val="TableParagraph"/>
              <w:ind w:left="124" w:right="4"/>
              <w:rPr>
                <w:sz w:val="17"/>
                <w:szCs w:val="17"/>
                <w:lang w:val="uk-UA"/>
              </w:rPr>
            </w:pPr>
            <w:r w:rsidRPr="0015544F">
              <w:rPr>
                <w:w w:val="115"/>
                <w:sz w:val="17"/>
                <w:szCs w:val="17"/>
                <w:lang w:val="uk-UA"/>
              </w:rPr>
              <w:t>Низька</w:t>
            </w:r>
          </w:p>
        </w:tc>
      </w:tr>
      <w:tr w:rsidR="00767E2A" w:rsidRPr="0015544F" w14:paraId="1DF8E8DB" w14:textId="77777777" w:rsidTr="0015544F">
        <w:trPr>
          <w:trHeight w:val="387"/>
        </w:trPr>
        <w:tc>
          <w:tcPr>
            <w:tcW w:w="1701" w:type="dxa"/>
            <w:tcBorders>
              <w:top w:val="single" w:sz="6" w:space="0" w:color="019648"/>
            </w:tcBorders>
          </w:tcPr>
          <w:p w14:paraId="18FE7BF4" w14:textId="77777777" w:rsidR="00767E2A" w:rsidRPr="0015544F" w:rsidRDefault="00767E2A" w:rsidP="00767E2A">
            <w:pPr>
              <w:pStyle w:val="TableParagraph"/>
              <w:ind w:left="0" w:right="4"/>
              <w:rPr>
                <w:b/>
                <w:sz w:val="17"/>
                <w:szCs w:val="17"/>
              </w:rPr>
            </w:pPr>
            <w:r w:rsidRPr="0015544F">
              <w:rPr>
                <w:b/>
                <w:w w:val="115"/>
                <w:sz w:val="17"/>
                <w:szCs w:val="17"/>
              </w:rPr>
              <w:t>Ізоніазид</w:t>
            </w:r>
          </w:p>
        </w:tc>
        <w:tc>
          <w:tcPr>
            <w:tcW w:w="2429" w:type="dxa"/>
            <w:tcBorders>
              <w:top w:val="single" w:sz="6" w:space="0" w:color="019648"/>
              <w:bottom w:val="single" w:sz="6" w:space="0" w:color="019648"/>
            </w:tcBorders>
          </w:tcPr>
          <w:p w14:paraId="75E5F789" w14:textId="77777777" w:rsidR="00767E2A" w:rsidRPr="0015544F" w:rsidRDefault="00767E2A" w:rsidP="00767E2A">
            <w:pPr>
              <w:pStyle w:val="TableParagraph"/>
              <w:ind w:right="4"/>
              <w:rPr>
                <w:sz w:val="17"/>
                <w:szCs w:val="17"/>
              </w:rPr>
            </w:pPr>
            <w:proofErr w:type="spellStart"/>
            <w:r w:rsidRPr="0015544F">
              <w:rPr>
                <w:w w:val="110"/>
                <w:sz w:val="17"/>
                <w:szCs w:val="17"/>
              </w:rPr>
              <w:t>Фенотиповий</w:t>
            </w:r>
            <w:proofErr w:type="spellEnd"/>
            <w:r w:rsidRPr="0015544F">
              <w:rPr>
                <w:w w:val="110"/>
                <w:sz w:val="17"/>
                <w:szCs w:val="17"/>
              </w:rPr>
              <w:t xml:space="preserve"> ТМЧ</w:t>
            </w:r>
          </w:p>
        </w:tc>
        <w:tc>
          <w:tcPr>
            <w:tcW w:w="2268" w:type="dxa"/>
            <w:tcBorders>
              <w:top w:val="single" w:sz="6" w:space="0" w:color="019648"/>
              <w:bottom w:val="single" w:sz="6" w:space="0" w:color="019648"/>
            </w:tcBorders>
          </w:tcPr>
          <w:p w14:paraId="12562FF1" w14:textId="77777777" w:rsidR="00767E2A" w:rsidRPr="0015544F" w:rsidRDefault="00767E2A" w:rsidP="00767E2A">
            <w:pPr>
              <w:pStyle w:val="TableParagraph"/>
              <w:ind w:right="4"/>
              <w:rPr>
                <w:sz w:val="17"/>
                <w:szCs w:val="17"/>
              </w:rPr>
            </w:pPr>
            <w:r w:rsidRPr="0015544F">
              <w:rPr>
                <w:w w:val="110"/>
                <w:sz w:val="17"/>
                <w:szCs w:val="17"/>
                <w:lang w:val="uk-UA"/>
              </w:rPr>
              <w:t>Ч</w:t>
            </w:r>
            <w:r w:rsidRPr="0015544F">
              <w:rPr>
                <w:w w:val="110"/>
                <w:sz w:val="17"/>
                <w:szCs w:val="17"/>
              </w:rPr>
              <w:t>: 95.8 (92.8–98.7)</w:t>
            </w:r>
          </w:p>
        </w:tc>
        <w:tc>
          <w:tcPr>
            <w:tcW w:w="1701" w:type="dxa"/>
            <w:tcBorders>
              <w:top w:val="single" w:sz="6" w:space="0" w:color="019648"/>
              <w:bottom w:val="single" w:sz="6" w:space="0" w:color="019648"/>
            </w:tcBorders>
          </w:tcPr>
          <w:p w14:paraId="0F79FD0E" w14:textId="77777777" w:rsidR="00767E2A" w:rsidRPr="0015544F" w:rsidRDefault="00767E2A" w:rsidP="00767E2A">
            <w:pPr>
              <w:pStyle w:val="TableParagraph"/>
              <w:ind w:right="4"/>
              <w:rPr>
                <w:sz w:val="17"/>
                <w:szCs w:val="17"/>
              </w:rPr>
            </w:pPr>
            <w:r w:rsidRPr="0015544F">
              <w:rPr>
                <w:w w:val="110"/>
                <w:sz w:val="17"/>
                <w:szCs w:val="17"/>
              </w:rPr>
              <w:t>12 (1440)</w:t>
            </w:r>
          </w:p>
        </w:tc>
        <w:tc>
          <w:tcPr>
            <w:tcW w:w="1540" w:type="dxa"/>
            <w:tcBorders>
              <w:top w:val="single" w:sz="6" w:space="0" w:color="019648"/>
              <w:bottom w:val="single" w:sz="6" w:space="0" w:color="019648"/>
            </w:tcBorders>
          </w:tcPr>
          <w:p w14:paraId="55EDC705" w14:textId="77777777" w:rsidR="00767E2A" w:rsidRPr="0015544F" w:rsidRDefault="00767E2A" w:rsidP="00767E2A">
            <w:pPr>
              <w:pStyle w:val="TableParagraph"/>
              <w:ind w:left="124" w:right="4"/>
              <w:rPr>
                <w:sz w:val="17"/>
                <w:szCs w:val="17"/>
              </w:rPr>
            </w:pPr>
            <w:r w:rsidRPr="0015544F">
              <w:rPr>
                <w:w w:val="110"/>
                <w:sz w:val="17"/>
                <w:szCs w:val="17"/>
                <w:lang w:val="uk-UA"/>
              </w:rPr>
              <w:t>Середня</w:t>
            </w:r>
          </w:p>
        </w:tc>
      </w:tr>
      <w:tr w:rsidR="00767E2A" w:rsidRPr="0015544F" w14:paraId="6E083580" w14:textId="77777777" w:rsidTr="0015544F">
        <w:trPr>
          <w:trHeight w:val="387"/>
        </w:trPr>
        <w:tc>
          <w:tcPr>
            <w:tcW w:w="1701" w:type="dxa"/>
            <w:tcBorders>
              <w:bottom w:val="single" w:sz="6" w:space="0" w:color="019648"/>
            </w:tcBorders>
          </w:tcPr>
          <w:p w14:paraId="7109CB75" w14:textId="77777777" w:rsidR="00767E2A" w:rsidRPr="0015544F" w:rsidRDefault="00767E2A" w:rsidP="00767E2A">
            <w:pPr>
              <w:pStyle w:val="TableParagraph"/>
              <w:spacing w:before="0"/>
              <w:ind w:left="0" w:right="4"/>
              <w:rPr>
                <w:sz w:val="17"/>
                <w:szCs w:val="17"/>
              </w:rPr>
            </w:pPr>
          </w:p>
        </w:tc>
        <w:tc>
          <w:tcPr>
            <w:tcW w:w="2429" w:type="dxa"/>
            <w:tcBorders>
              <w:top w:val="single" w:sz="6" w:space="0" w:color="019648"/>
              <w:bottom w:val="single" w:sz="6" w:space="0" w:color="019648"/>
            </w:tcBorders>
          </w:tcPr>
          <w:p w14:paraId="1FCF46A9" w14:textId="77777777" w:rsidR="00767E2A" w:rsidRPr="0015544F" w:rsidRDefault="00767E2A" w:rsidP="00767E2A">
            <w:pPr>
              <w:pStyle w:val="TableParagraph"/>
              <w:ind w:right="4"/>
              <w:rPr>
                <w:sz w:val="17"/>
                <w:szCs w:val="17"/>
              </w:rPr>
            </w:pPr>
            <w:proofErr w:type="spellStart"/>
            <w:r w:rsidRPr="0015544F">
              <w:rPr>
                <w:w w:val="110"/>
                <w:sz w:val="17"/>
                <w:szCs w:val="17"/>
              </w:rPr>
              <w:t>Фенотиповий</w:t>
            </w:r>
            <w:proofErr w:type="spellEnd"/>
            <w:r w:rsidRPr="0015544F">
              <w:rPr>
                <w:w w:val="110"/>
                <w:sz w:val="17"/>
                <w:szCs w:val="17"/>
              </w:rPr>
              <w:t xml:space="preserve"> ТМЧ</w:t>
            </w:r>
          </w:p>
        </w:tc>
        <w:tc>
          <w:tcPr>
            <w:tcW w:w="2268" w:type="dxa"/>
            <w:tcBorders>
              <w:top w:val="single" w:sz="6" w:space="0" w:color="019648"/>
              <w:bottom w:val="single" w:sz="6" w:space="0" w:color="019648"/>
            </w:tcBorders>
          </w:tcPr>
          <w:p w14:paraId="6DD67E4F" w14:textId="77777777" w:rsidR="00767E2A" w:rsidRPr="0015544F" w:rsidRDefault="00767E2A" w:rsidP="00767E2A">
            <w:pPr>
              <w:pStyle w:val="TableParagraph"/>
              <w:ind w:right="4"/>
              <w:rPr>
                <w:sz w:val="17"/>
                <w:szCs w:val="17"/>
              </w:rPr>
            </w:pPr>
            <w:r w:rsidRPr="0015544F">
              <w:rPr>
                <w:w w:val="110"/>
                <w:sz w:val="17"/>
                <w:szCs w:val="17"/>
                <w:lang w:val="uk-UA"/>
              </w:rPr>
              <w:t>С</w:t>
            </w:r>
            <w:r w:rsidRPr="0015544F">
              <w:rPr>
                <w:w w:val="110"/>
                <w:sz w:val="17"/>
                <w:szCs w:val="17"/>
              </w:rPr>
              <w:t>: 97.0 (95.1–98.9)</w:t>
            </w:r>
          </w:p>
        </w:tc>
        <w:tc>
          <w:tcPr>
            <w:tcW w:w="1701" w:type="dxa"/>
            <w:tcBorders>
              <w:top w:val="single" w:sz="6" w:space="0" w:color="019648"/>
              <w:bottom w:val="single" w:sz="6" w:space="0" w:color="019648"/>
            </w:tcBorders>
          </w:tcPr>
          <w:p w14:paraId="58B89063" w14:textId="77777777" w:rsidR="00767E2A" w:rsidRPr="0015544F" w:rsidRDefault="00767E2A" w:rsidP="00767E2A">
            <w:pPr>
              <w:pStyle w:val="TableParagraph"/>
              <w:ind w:right="4"/>
              <w:rPr>
                <w:sz w:val="17"/>
                <w:szCs w:val="17"/>
              </w:rPr>
            </w:pPr>
            <w:r w:rsidRPr="0015544F">
              <w:rPr>
                <w:w w:val="110"/>
                <w:sz w:val="17"/>
                <w:szCs w:val="17"/>
              </w:rPr>
              <w:t>12 (517)</w:t>
            </w:r>
          </w:p>
        </w:tc>
        <w:tc>
          <w:tcPr>
            <w:tcW w:w="1540" w:type="dxa"/>
            <w:tcBorders>
              <w:top w:val="single" w:sz="6" w:space="0" w:color="019648"/>
              <w:bottom w:val="single" w:sz="6" w:space="0" w:color="019648"/>
            </w:tcBorders>
          </w:tcPr>
          <w:p w14:paraId="3B881130" w14:textId="77777777" w:rsidR="00767E2A" w:rsidRPr="0015544F" w:rsidRDefault="00767E2A" w:rsidP="00767E2A">
            <w:pPr>
              <w:pStyle w:val="TableParagraph"/>
              <w:ind w:left="124" w:right="4"/>
              <w:rPr>
                <w:sz w:val="17"/>
                <w:szCs w:val="17"/>
              </w:rPr>
            </w:pPr>
            <w:r w:rsidRPr="0015544F">
              <w:rPr>
                <w:w w:val="110"/>
                <w:sz w:val="17"/>
                <w:szCs w:val="17"/>
                <w:lang w:val="uk-UA"/>
              </w:rPr>
              <w:t>Середня</w:t>
            </w:r>
          </w:p>
        </w:tc>
      </w:tr>
      <w:tr w:rsidR="00767E2A" w:rsidRPr="0015544F" w14:paraId="25DE48D6" w14:textId="77777777" w:rsidTr="0015544F">
        <w:trPr>
          <w:trHeight w:val="387"/>
        </w:trPr>
        <w:tc>
          <w:tcPr>
            <w:tcW w:w="1701" w:type="dxa"/>
            <w:tcBorders>
              <w:top w:val="single" w:sz="6" w:space="0" w:color="019648"/>
            </w:tcBorders>
          </w:tcPr>
          <w:p w14:paraId="4BF97240" w14:textId="77777777" w:rsidR="00767E2A" w:rsidRPr="0015544F" w:rsidRDefault="00767E2A" w:rsidP="00767E2A">
            <w:pPr>
              <w:pStyle w:val="TableParagraph"/>
              <w:ind w:left="0" w:right="4"/>
              <w:rPr>
                <w:b/>
                <w:sz w:val="17"/>
                <w:szCs w:val="17"/>
              </w:rPr>
            </w:pPr>
            <w:r w:rsidRPr="0015544F">
              <w:rPr>
                <w:b/>
                <w:w w:val="115"/>
                <w:sz w:val="17"/>
                <w:szCs w:val="17"/>
              </w:rPr>
              <w:t>Левофлоксацин</w:t>
            </w:r>
          </w:p>
        </w:tc>
        <w:tc>
          <w:tcPr>
            <w:tcW w:w="2429" w:type="dxa"/>
            <w:tcBorders>
              <w:top w:val="single" w:sz="6" w:space="0" w:color="019648"/>
              <w:bottom w:val="single" w:sz="6" w:space="0" w:color="019648"/>
            </w:tcBorders>
          </w:tcPr>
          <w:p w14:paraId="3BA0D9BE" w14:textId="77777777" w:rsidR="00767E2A" w:rsidRPr="0015544F" w:rsidRDefault="00767E2A" w:rsidP="00767E2A">
            <w:pPr>
              <w:pStyle w:val="TableParagraph"/>
              <w:ind w:right="4"/>
              <w:rPr>
                <w:sz w:val="17"/>
                <w:szCs w:val="17"/>
              </w:rPr>
            </w:pPr>
            <w:proofErr w:type="spellStart"/>
            <w:r w:rsidRPr="0015544F">
              <w:rPr>
                <w:w w:val="110"/>
                <w:sz w:val="17"/>
                <w:szCs w:val="17"/>
              </w:rPr>
              <w:t>Фенотиповий</w:t>
            </w:r>
            <w:proofErr w:type="spellEnd"/>
            <w:r w:rsidRPr="0015544F">
              <w:rPr>
                <w:w w:val="110"/>
                <w:sz w:val="17"/>
                <w:szCs w:val="17"/>
              </w:rPr>
              <w:t xml:space="preserve"> ТМЧ</w:t>
            </w:r>
          </w:p>
        </w:tc>
        <w:tc>
          <w:tcPr>
            <w:tcW w:w="2268" w:type="dxa"/>
            <w:tcBorders>
              <w:top w:val="single" w:sz="6" w:space="0" w:color="019648"/>
              <w:bottom w:val="single" w:sz="6" w:space="0" w:color="019648"/>
            </w:tcBorders>
          </w:tcPr>
          <w:p w14:paraId="24CE155B" w14:textId="77777777" w:rsidR="00767E2A" w:rsidRPr="0015544F" w:rsidRDefault="00767E2A" w:rsidP="00767E2A">
            <w:pPr>
              <w:pStyle w:val="TableParagraph"/>
              <w:ind w:right="4"/>
              <w:rPr>
                <w:sz w:val="17"/>
                <w:szCs w:val="17"/>
              </w:rPr>
            </w:pPr>
            <w:r w:rsidRPr="0015544F">
              <w:rPr>
                <w:w w:val="110"/>
                <w:sz w:val="17"/>
                <w:szCs w:val="17"/>
                <w:lang w:val="uk-UA"/>
              </w:rPr>
              <w:t>Ч</w:t>
            </w:r>
            <w:r w:rsidRPr="0015544F">
              <w:rPr>
                <w:w w:val="110"/>
                <w:sz w:val="17"/>
                <w:szCs w:val="17"/>
              </w:rPr>
              <w:t>: 94.2 (88.4–99.9)</w:t>
            </w:r>
          </w:p>
        </w:tc>
        <w:tc>
          <w:tcPr>
            <w:tcW w:w="1701" w:type="dxa"/>
            <w:tcBorders>
              <w:top w:val="single" w:sz="6" w:space="0" w:color="019648"/>
              <w:bottom w:val="single" w:sz="6" w:space="0" w:color="019648"/>
            </w:tcBorders>
          </w:tcPr>
          <w:p w14:paraId="11161AE7" w14:textId="77777777" w:rsidR="00767E2A" w:rsidRPr="0015544F" w:rsidRDefault="00767E2A" w:rsidP="00767E2A">
            <w:pPr>
              <w:pStyle w:val="TableParagraph"/>
              <w:ind w:right="4"/>
              <w:rPr>
                <w:sz w:val="17"/>
                <w:szCs w:val="17"/>
              </w:rPr>
            </w:pPr>
            <w:r w:rsidRPr="0015544F">
              <w:rPr>
                <w:w w:val="110"/>
                <w:sz w:val="17"/>
                <w:szCs w:val="17"/>
              </w:rPr>
              <w:t>6 (654)</w:t>
            </w:r>
          </w:p>
        </w:tc>
        <w:tc>
          <w:tcPr>
            <w:tcW w:w="1540" w:type="dxa"/>
            <w:tcBorders>
              <w:top w:val="single" w:sz="6" w:space="0" w:color="019648"/>
              <w:bottom w:val="single" w:sz="6" w:space="0" w:color="019648"/>
            </w:tcBorders>
          </w:tcPr>
          <w:p w14:paraId="1812D767" w14:textId="77777777" w:rsidR="00767E2A" w:rsidRPr="0015544F" w:rsidRDefault="00767E2A" w:rsidP="00767E2A">
            <w:pPr>
              <w:pStyle w:val="TableParagraph"/>
              <w:ind w:left="124" w:right="4"/>
              <w:rPr>
                <w:sz w:val="17"/>
                <w:szCs w:val="17"/>
              </w:rPr>
            </w:pPr>
            <w:r w:rsidRPr="0015544F">
              <w:rPr>
                <w:w w:val="115"/>
                <w:sz w:val="17"/>
                <w:szCs w:val="17"/>
                <w:lang w:val="uk-UA"/>
              </w:rPr>
              <w:t>Низька</w:t>
            </w:r>
          </w:p>
        </w:tc>
      </w:tr>
      <w:tr w:rsidR="00767E2A" w:rsidRPr="0015544F" w14:paraId="469FBA29" w14:textId="77777777" w:rsidTr="0015544F">
        <w:trPr>
          <w:trHeight w:val="387"/>
        </w:trPr>
        <w:tc>
          <w:tcPr>
            <w:tcW w:w="1701" w:type="dxa"/>
            <w:tcBorders>
              <w:bottom w:val="single" w:sz="6" w:space="0" w:color="019648"/>
            </w:tcBorders>
          </w:tcPr>
          <w:p w14:paraId="5B9CF8FB" w14:textId="77777777" w:rsidR="00767E2A" w:rsidRPr="0015544F" w:rsidRDefault="00767E2A" w:rsidP="00767E2A">
            <w:pPr>
              <w:pStyle w:val="TableParagraph"/>
              <w:spacing w:before="0"/>
              <w:ind w:left="0" w:right="4"/>
              <w:rPr>
                <w:sz w:val="17"/>
                <w:szCs w:val="17"/>
              </w:rPr>
            </w:pPr>
          </w:p>
        </w:tc>
        <w:tc>
          <w:tcPr>
            <w:tcW w:w="2429" w:type="dxa"/>
            <w:tcBorders>
              <w:top w:val="single" w:sz="6" w:space="0" w:color="019648"/>
              <w:bottom w:val="single" w:sz="6" w:space="0" w:color="019648"/>
            </w:tcBorders>
          </w:tcPr>
          <w:p w14:paraId="30089AB6" w14:textId="77777777" w:rsidR="00767E2A" w:rsidRPr="0015544F" w:rsidRDefault="00767E2A" w:rsidP="00767E2A">
            <w:pPr>
              <w:pStyle w:val="TableParagraph"/>
              <w:ind w:right="4"/>
              <w:rPr>
                <w:sz w:val="17"/>
                <w:szCs w:val="17"/>
              </w:rPr>
            </w:pPr>
            <w:proofErr w:type="spellStart"/>
            <w:r w:rsidRPr="0015544F">
              <w:rPr>
                <w:w w:val="110"/>
                <w:sz w:val="17"/>
                <w:szCs w:val="17"/>
              </w:rPr>
              <w:t>Фенотиповий</w:t>
            </w:r>
            <w:proofErr w:type="spellEnd"/>
            <w:r w:rsidRPr="0015544F">
              <w:rPr>
                <w:w w:val="110"/>
                <w:sz w:val="17"/>
                <w:szCs w:val="17"/>
              </w:rPr>
              <w:t xml:space="preserve"> ТМЧ</w:t>
            </w:r>
          </w:p>
        </w:tc>
        <w:tc>
          <w:tcPr>
            <w:tcW w:w="2268" w:type="dxa"/>
            <w:tcBorders>
              <w:top w:val="single" w:sz="6" w:space="0" w:color="019648"/>
              <w:bottom w:val="single" w:sz="6" w:space="0" w:color="019648"/>
            </w:tcBorders>
          </w:tcPr>
          <w:p w14:paraId="552416AD" w14:textId="77777777" w:rsidR="00767E2A" w:rsidRPr="0015544F" w:rsidRDefault="00767E2A" w:rsidP="00767E2A">
            <w:pPr>
              <w:pStyle w:val="TableParagraph"/>
              <w:ind w:right="4"/>
              <w:rPr>
                <w:sz w:val="17"/>
                <w:szCs w:val="17"/>
              </w:rPr>
            </w:pPr>
            <w:r w:rsidRPr="0015544F">
              <w:rPr>
                <w:w w:val="110"/>
                <w:sz w:val="17"/>
                <w:szCs w:val="17"/>
                <w:lang w:val="uk-UA"/>
              </w:rPr>
              <w:t>С</w:t>
            </w:r>
            <w:r w:rsidRPr="0015544F">
              <w:rPr>
                <w:w w:val="110"/>
                <w:sz w:val="17"/>
                <w:szCs w:val="17"/>
              </w:rPr>
              <w:t>: 96.2 (93.4–98.9)</w:t>
            </w:r>
          </w:p>
        </w:tc>
        <w:tc>
          <w:tcPr>
            <w:tcW w:w="1701" w:type="dxa"/>
            <w:tcBorders>
              <w:top w:val="single" w:sz="6" w:space="0" w:color="019648"/>
              <w:bottom w:val="single" w:sz="6" w:space="0" w:color="019648"/>
            </w:tcBorders>
          </w:tcPr>
          <w:p w14:paraId="6486CD87" w14:textId="77777777" w:rsidR="00767E2A" w:rsidRPr="0015544F" w:rsidRDefault="00767E2A" w:rsidP="00767E2A">
            <w:pPr>
              <w:pStyle w:val="TableParagraph"/>
              <w:ind w:right="4"/>
              <w:rPr>
                <w:sz w:val="17"/>
                <w:szCs w:val="17"/>
              </w:rPr>
            </w:pPr>
            <w:r w:rsidRPr="0015544F">
              <w:rPr>
                <w:w w:val="110"/>
                <w:sz w:val="17"/>
                <w:szCs w:val="17"/>
              </w:rPr>
              <w:t>7 (913)</w:t>
            </w:r>
          </w:p>
        </w:tc>
        <w:tc>
          <w:tcPr>
            <w:tcW w:w="1540" w:type="dxa"/>
            <w:tcBorders>
              <w:top w:val="single" w:sz="6" w:space="0" w:color="019648"/>
              <w:bottom w:val="single" w:sz="6" w:space="0" w:color="019648"/>
            </w:tcBorders>
          </w:tcPr>
          <w:p w14:paraId="2287965A" w14:textId="77777777" w:rsidR="00767E2A" w:rsidRPr="0015544F" w:rsidRDefault="00767E2A" w:rsidP="00767E2A">
            <w:pPr>
              <w:pStyle w:val="TableParagraph"/>
              <w:ind w:left="124" w:right="4"/>
              <w:rPr>
                <w:sz w:val="17"/>
                <w:szCs w:val="17"/>
              </w:rPr>
            </w:pPr>
            <w:r w:rsidRPr="0015544F">
              <w:rPr>
                <w:w w:val="110"/>
                <w:sz w:val="17"/>
                <w:szCs w:val="17"/>
                <w:lang w:val="uk-UA"/>
              </w:rPr>
              <w:t>Середня</w:t>
            </w:r>
          </w:p>
        </w:tc>
      </w:tr>
      <w:tr w:rsidR="00767E2A" w:rsidRPr="0015544F" w14:paraId="4C0F3375" w14:textId="77777777" w:rsidTr="0015544F">
        <w:trPr>
          <w:trHeight w:val="387"/>
        </w:trPr>
        <w:tc>
          <w:tcPr>
            <w:tcW w:w="1701" w:type="dxa"/>
            <w:tcBorders>
              <w:top w:val="single" w:sz="6" w:space="0" w:color="019648"/>
            </w:tcBorders>
          </w:tcPr>
          <w:p w14:paraId="78B58AF6" w14:textId="77777777" w:rsidR="00767E2A" w:rsidRPr="0015544F" w:rsidRDefault="00767E2A" w:rsidP="00767E2A">
            <w:pPr>
              <w:pStyle w:val="TableParagraph"/>
              <w:ind w:left="0" w:right="4"/>
              <w:rPr>
                <w:b/>
                <w:sz w:val="17"/>
                <w:szCs w:val="17"/>
              </w:rPr>
            </w:pPr>
            <w:r w:rsidRPr="0015544F">
              <w:rPr>
                <w:b/>
                <w:w w:val="115"/>
                <w:sz w:val="17"/>
                <w:szCs w:val="17"/>
              </w:rPr>
              <w:t>Моксифлоксацин</w:t>
            </w:r>
          </w:p>
        </w:tc>
        <w:tc>
          <w:tcPr>
            <w:tcW w:w="2429" w:type="dxa"/>
            <w:tcBorders>
              <w:top w:val="single" w:sz="6" w:space="0" w:color="019648"/>
              <w:bottom w:val="single" w:sz="6" w:space="0" w:color="019648"/>
            </w:tcBorders>
          </w:tcPr>
          <w:p w14:paraId="67A0F7ED" w14:textId="77777777" w:rsidR="00767E2A" w:rsidRPr="0015544F" w:rsidRDefault="00767E2A" w:rsidP="00767E2A">
            <w:pPr>
              <w:pStyle w:val="TableParagraph"/>
              <w:ind w:right="4"/>
              <w:rPr>
                <w:sz w:val="17"/>
                <w:szCs w:val="17"/>
              </w:rPr>
            </w:pPr>
            <w:proofErr w:type="spellStart"/>
            <w:r w:rsidRPr="0015544F">
              <w:rPr>
                <w:w w:val="110"/>
                <w:sz w:val="17"/>
                <w:szCs w:val="17"/>
              </w:rPr>
              <w:t>Фенотиповий</w:t>
            </w:r>
            <w:proofErr w:type="spellEnd"/>
            <w:r w:rsidRPr="0015544F">
              <w:rPr>
                <w:w w:val="110"/>
                <w:sz w:val="17"/>
                <w:szCs w:val="17"/>
              </w:rPr>
              <w:t xml:space="preserve"> ТМЧ</w:t>
            </w:r>
          </w:p>
        </w:tc>
        <w:tc>
          <w:tcPr>
            <w:tcW w:w="2268" w:type="dxa"/>
            <w:tcBorders>
              <w:top w:val="single" w:sz="6" w:space="0" w:color="019648"/>
              <w:bottom w:val="single" w:sz="6" w:space="0" w:color="019648"/>
            </w:tcBorders>
          </w:tcPr>
          <w:p w14:paraId="255422FB" w14:textId="77777777" w:rsidR="00767E2A" w:rsidRPr="0015544F" w:rsidRDefault="00767E2A" w:rsidP="00767E2A">
            <w:pPr>
              <w:pStyle w:val="TableParagraph"/>
              <w:ind w:right="4"/>
              <w:rPr>
                <w:sz w:val="17"/>
                <w:szCs w:val="17"/>
              </w:rPr>
            </w:pPr>
            <w:r w:rsidRPr="0015544F">
              <w:rPr>
                <w:w w:val="110"/>
                <w:sz w:val="17"/>
                <w:szCs w:val="17"/>
                <w:lang w:val="uk-UA"/>
              </w:rPr>
              <w:t>Ч</w:t>
            </w:r>
            <w:r w:rsidRPr="0015544F">
              <w:rPr>
                <w:w w:val="110"/>
                <w:sz w:val="17"/>
                <w:szCs w:val="17"/>
              </w:rPr>
              <w:t>: 95.6 (92.4–98.7)</w:t>
            </w:r>
          </w:p>
        </w:tc>
        <w:tc>
          <w:tcPr>
            <w:tcW w:w="1701" w:type="dxa"/>
            <w:tcBorders>
              <w:top w:val="single" w:sz="6" w:space="0" w:color="019648"/>
              <w:bottom w:val="single" w:sz="6" w:space="0" w:color="019648"/>
            </w:tcBorders>
          </w:tcPr>
          <w:p w14:paraId="27CEAF88" w14:textId="77777777" w:rsidR="00767E2A" w:rsidRPr="0015544F" w:rsidRDefault="00767E2A" w:rsidP="00767E2A">
            <w:pPr>
              <w:pStyle w:val="TableParagraph"/>
              <w:ind w:right="4"/>
              <w:rPr>
                <w:sz w:val="17"/>
                <w:szCs w:val="17"/>
              </w:rPr>
            </w:pPr>
            <w:r w:rsidRPr="0015544F">
              <w:rPr>
                <w:w w:val="110"/>
                <w:sz w:val="17"/>
                <w:szCs w:val="17"/>
              </w:rPr>
              <w:t>6 (652)</w:t>
            </w:r>
          </w:p>
        </w:tc>
        <w:tc>
          <w:tcPr>
            <w:tcW w:w="1540" w:type="dxa"/>
            <w:tcBorders>
              <w:top w:val="single" w:sz="6" w:space="0" w:color="019648"/>
              <w:bottom w:val="single" w:sz="6" w:space="0" w:color="019648"/>
            </w:tcBorders>
          </w:tcPr>
          <w:p w14:paraId="3F30BEA9" w14:textId="77777777" w:rsidR="00767E2A" w:rsidRPr="0015544F" w:rsidRDefault="00767E2A" w:rsidP="00767E2A">
            <w:pPr>
              <w:pStyle w:val="TableParagraph"/>
              <w:ind w:left="124" w:right="4"/>
              <w:rPr>
                <w:sz w:val="17"/>
                <w:szCs w:val="17"/>
              </w:rPr>
            </w:pPr>
            <w:r w:rsidRPr="0015544F">
              <w:rPr>
                <w:w w:val="110"/>
                <w:sz w:val="17"/>
                <w:szCs w:val="17"/>
                <w:lang w:val="uk-UA"/>
              </w:rPr>
              <w:t>Середня</w:t>
            </w:r>
          </w:p>
        </w:tc>
      </w:tr>
      <w:tr w:rsidR="00767E2A" w:rsidRPr="0015544F" w14:paraId="40A07376" w14:textId="77777777" w:rsidTr="0015544F">
        <w:trPr>
          <w:trHeight w:val="387"/>
        </w:trPr>
        <w:tc>
          <w:tcPr>
            <w:tcW w:w="1701" w:type="dxa"/>
            <w:tcBorders>
              <w:bottom w:val="single" w:sz="6" w:space="0" w:color="019648"/>
            </w:tcBorders>
          </w:tcPr>
          <w:p w14:paraId="7E35F614" w14:textId="77777777" w:rsidR="00767E2A" w:rsidRPr="0015544F" w:rsidRDefault="00767E2A" w:rsidP="00767E2A">
            <w:pPr>
              <w:pStyle w:val="TableParagraph"/>
              <w:spacing w:before="0"/>
              <w:ind w:left="0" w:right="4"/>
              <w:rPr>
                <w:sz w:val="17"/>
                <w:szCs w:val="17"/>
              </w:rPr>
            </w:pPr>
          </w:p>
        </w:tc>
        <w:tc>
          <w:tcPr>
            <w:tcW w:w="2429" w:type="dxa"/>
            <w:tcBorders>
              <w:top w:val="single" w:sz="6" w:space="0" w:color="019648"/>
              <w:bottom w:val="single" w:sz="6" w:space="0" w:color="019648"/>
            </w:tcBorders>
          </w:tcPr>
          <w:p w14:paraId="772E50A7" w14:textId="77777777" w:rsidR="00767E2A" w:rsidRPr="0015544F" w:rsidRDefault="00767E2A" w:rsidP="00767E2A">
            <w:pPr>
              <w:pStyle w:val="TableParagraph"/>
              <w:ind w:right="4"/>
              <w:rPr>
                <w:sz w:val="17"/>
                <w:szCs w:val="17"/>
              </w:rPr>
            </w:pPr>
            <w:proofErr w:type="spellStart"/>
            <w:r w:rsidRPr="0015544F">
              <w:rPr>
                <w:w w:val="110"/>
                <w:sz w:val="17"/>
                <w:szCs w:val="17"/>
              </w:rPr>
              <w:t>Фенотиповий</w:t>
            </w:r>
            <w:proofErr w:type="spellEnd"/>
            <w:r w:rsidRPr="0015544F">
              <w:rPr>
                <w:w w:val="110"/>
                <w:sz w:val="17"/>
                <w:szCs w:val="17"/>
              </w:rPr>
              <w:t xml:space="preserve"> ТМЧ</w:t>
            </w:r>
          </w:p>
        </w:tc>
        <w:tc>
          <w:tcPr>
            <w:tcW w:w="2268" w:type="dxa"/>
            <w:tcBorders>
              <w:top w:val="single" w:sz="6" w:space="0" w:color="019648"/>
              <w:bottom w:val="single" w:sz="6" w:space="0" w:color="019648"/>
            </w:tcBorders>
          </w:tcPr>
          <w:p w14:paraId="46D90C61" w14:textId="77777777" w:rsidR="00767E2A" w:rsidRPr="0015544F" w:rsidRDefault="00767E2A" w:rsidP="00767E2A">
            <w:pPr>
              <w:pStyle w:val="TableParagraph"/>
              <w:ind w:right="4"/>
              <w:rPr>
                <w:sz w:val="17"/>
                <w:szCs w:val="17"/>
              </w:rPr>
            </w:pPr>
            <w:r w:rsidRPr="0015544F">
              <w:rPr>
                <w:w w:val="110"/>
                <w:sz w:val="17"/>
                <w:szCs w:val="17"/>
                <w:lang w:val="uk-UA"/>
              </w:rPr>
              <w:t>С</w:t>
            </w:r>
            <w:r w:rsidRPr="0015544F">
              <w:rPr>
                <w:w w:val="110"/>
                <w:sz w:val="17"/>
                <w:szCs w:val="17"/>
              </w:rPr>
              <w:t>: 96.3 (93.2–99.5)</w:t>
            </w:r>
          </w:p>
        </w:tc>
        <w:tc>
          <w:tcPr>
            <w:tcW w:w="1701" w:type="dxa"/>
            <w:tcBorders>
              <w:top w:val="single" w:sz="6" w:space="0" w:color="019648"/>
              <w:bottom w:val="single" w:sz="6" w:space="0" w:color="019648"/>
            </w:tcBorders>
          </w:tcPr>
          <w:p w14:paraId="0FBCCCDE" w14:textId="77777777" w:rsidR="00767E2A" w:rsidRPr="0015544F" w:rsidRDefault="00767E2A" w:rsidP="00767E2A">
            <w:pPr>
              <w:pStyle w:val="TableParagraph"/>
              <w:ind w:right="4"/>
              <w:rPr>
                <w:sz w:val="17"/>
                <w:szCs w:val="17"/>
              </w:rPr>
            </w:pPr>
            <w:r w:rsidRPr="0015544F">
              <w:rPr>
                <w:w w:val="110"/>
                <w:sz w:val="17"/>
                <w:szCs w:val="17"/>
              </w:rPr>
              <w:t>8 (921)</w:t>
            </w:r>
          </w:p>
        </w:tc>
        <w:tc>
          <w:tcPr>
            <w:tcW w:w="1540" w:type="dxa"/>
            <w:tcBorders>
              <w:top w:val="single" w:sz="6" w:space="0" w:color="019648"/>
              <w:bottom w:val="single" w:sz="6" w:space="0" w:color="019648"/>
            </w:tcBorders>
          </w:tcPr>
          <w:p w14:paraId="590C1C24" w14:textId="77777777" w:rsidR="00767E2A" w:rsidRPr="0015544F" w:rsidRDefault="00767E2A" w:rsidP="00767E2A">
            <w:pPr>
              <w:pStyle w:val="TableParagraph"/>
              <w:ind w:left="124" w:right="4"/>
              <w:rPr>
                <w:sz w:val="17"/>
                <w:szCs w:val="17"/>
              </w:rPr>
            </w:pPr>
            <w:r w:rsidRPr="0015544F">
              <w:rPr>
                <w:w w:val="110"/>
                <w:sz w:val="17"/>
                <w:szCs w:val="17"/>
                <w:lang w:val="uk-UA"/>
              </w:rPr>
              <w:t>Середня</w:t>
            </w:r>
          </w:p>
        </w:tc>
      </w:tr>
      <w:tr w:rsidR="00767E2A" w:rsidRPr="0015544F" w14:paraId="4E3DCE95" w14:textId="77777777" w:rsidTr="0015544F">
        <w:trPr>
          <w:trHeight w:val="387"/>
        </w:trPr>
        <w:tc>
          <w:tcPr>
            <w:tcW w:w="1701" w:type="dxa"/>
            <w:tcBorders>
              <w:top w:val="single" w:sz="6" w:space="0" w:color="019648"/>
            </w:tcBorders>
          </w:tcPr>
          <w:p w14:paraId="667A3C4C" w14:textId="77777777" w:rsidR="00767E2A" w:rsidRPr="0015544F" w:rsidRDefault="00767E2A" w:rsidP="00767E2A">
            <w:pPr>
              <w:pStyle w:val="TableParagraph"/>
              <w:ind w:left="0" w:right="4"/>
              <w:rPr>
                <w:b/>
                <w:sz w:val="17"/>
                <w:szCs w:val="17"/>
              </w:rPr>
            </w:pPr>
            <w:r w:rsidRPr="0015544F">
              <w:rPr>
                <w:b/>
                <w:w w:val="115"/>
                <w:sz w:val="17"/>
                <w:szCs w:val="17"/>
              </w:rPr>
              <w:t>Піразинамід</w:t>
            </w:r>
          </w:p>
        </w:tc>
        <w:tc>
          <w:tcPr>
            <w:tcW w:w="2429" w:type="dxa"/>
            <w:tcBorders>
              <w:top w:val="single" w:sz="6" w:space="0" w:color="019648"/>
              <w:bottom w:val="single" w:sz="6" w:space="0" w:color="019648"/>
            </w:tcBorders>
          </w:tcPr>
          <w:p w14:paraId="7A6825EB" w14:textId="77777777" w:rsidR="00767E2A" w:rsidRPr="0015544F" w:rsidRDefault="00767E2A" w:rsidP="00767E2A">
            <w:pPr>
              <w:pStyle w:val="TableParagraph"/>
              <w:ind w:right="4"/>
              <w:rPr>
                <w:sz w:val="17"/>
                <w:szCs w:val="17"/>
              </w:rPr>
            </w:pPr>
            <w:proofErr w:type="spellStart"/>
            <w:r w:rsidRPr="0015544F">
              <w:rPr>
                <w:w w:val="110"/>
                <w:sz w:val="17"/>
                <w:szCs w:val="17"/>
              </w:rPr>
              <w:t>Фенотиповий</w:t>
            </w:r>
            <w:proofErr w:type="spellEnd"/>
            <w:r w:rsidRPr="0015544F">
              <w:rPr>
                <w:w w:val="110"/>
                <w:sz w:val="17"/>
                <w:szCs w:val="17"/>
              </w:rPr>
              <w:t xml:space="preserve"> ТМЧ+ПГС</w:t>
            </w:r>
          </w:p>
        </w:tc>
        <w:tc>
          <w:tcPr>
            <w:tcW w:w="2268" w:type="dxa"/>
            <w:tcBorders>
              <w:top w:val="single" w:sz="6" w:space="0" w:color="019648"/>
              <w:bottom w:val="single" w:sz="6" w:space="0" w:color="019648"/>
            </w:tcBorders>
          </w:tcPr>
          <w:p w14:paraId="0883A14F" w14:textId="77777777" w:rsidR="00767E2A" w:rsidRPr="0015544F" w:rsidRDefault="00767E2A" w:rsidP="00767E2A">
            <w:pPr>
              <w:pStyle w:val="TableParagraph"/>
              <w:ind w:right="4"/>
              <w:rPr>
                <w:sz w:val="17"/>
                <w:szCs w:val="17"/>
              </w:rPr>
            </w:pPr>
            <w:r w:rsidRPr="0015544F">
              <w:rPr>
                <w:w w:val="110"/>
                <w:sz w:val="17"/>
                <w:szCs w:val="17"/>
                <w:lang w:val="uk-UA"/>
              </w:rPr>
              <w:t>Ч</w:t>
            </w:r>
            <w:r w:rsidRPr="0015544F">
              <w:rPr>
                <w:w w:val="110"/>
                <w:sz w:val="17"/>
                <w:szCs w:val="17"/>
              </w:rPr>
              <w:t>: 88.4 (85.2–91.7)</w:t>
            </w:r>
          </w:p>
        </w:tc>
        <w:tc>
          <w:tcPr>
            <w:tcW w:w="1701" w:type="dxa"/>
            <w:tcBorders>
              <w:top w:val="single" w:sz="6" w:space="0" w:color="019648"/>
              <w:bottom w:val="single" w:sz="6" w:space="0" w:color="019648"/>
            </w:tcBorders>
          </w:tcPr>
          <w:p w14:paraId="3CD00DC5" w14:textId="77777777" w:rsidR="00767E2A" w:rsidRPr="0015544F" w:rsidRDefault="00767E2A" w:rsidP="00767E2A">
            <w:pPr>
              <w:pStyle w:val="TableParagraph"/>
              <w:ind w:right="4"/>
              <w:rPr>
                <w:sz w:val="17"/>
                <w:szCs w:val="17"/>
              </w:rPr>
            </w:pPr>
            <w:r w:rsidRPr="0015544F">
              <w:rPr>
                <w:w w:val="110"/>
                <w:sz w:val="17"/>
                <w:szCs w:val="17"/>
              </w:rPr>
              <w:t>3 (346)</w:t>
            </w:r>
          </w:p>
        </w:tc>
        <w:tc>
          <w:tcPr>
            <w:tcW w:w="1540" w:type="dxa"/>
            <w:tcBorders>
              <w:top w:val="single" w:sz="6" w:space="0" w:color="019648"/>
              <w:bottom w:val="single" w:sz="6" w:space="0" w:color="019648"/>
            </w:tcBorders>
          </w:tcPr>
          <w:p w14:paraId="14AD0FA4" w14:textId="77777777" w:rsidR="00767E2A" w:rsidRPr="0015544F" w:rsidRDefault="00767E2A" w:rsidP="00767E2A">
            <w:pPr>
              <w:pStyle w:val="TableParagraph"/>
              <w:ind w:left="124" w:right="4"/>
              <w:rPr>
                <w:sz w:val="17"/>
                <w:szCs w:val="17"/>
              </w:rPr>
            </w:pPr>
            <w:r w:rsidRPr="0015544F">
              <w:rPr>
                <w:w w:val="110"/>
                <w:sz w:val="17"/>
                <w:szCs w:val="17"/>
                <w:lang w:val="uk-UA"/>
              </w:rPr>
              <w:t>Середня</w:t>
            </w:r>
          </w:p>
        </w:tc>
      </w:tr>
      <w:tr w:rsidR="00767E2A" w:rsidRPr="0015544F" w14:paraId="610E11B7" w14:textId="77777777" w:rsidTr="0015544F">
        <w:trPr>
          <w:trHeight w:val="387"/>
        </w:trPr>
        <w:tc>
          <w:tcPr>
            <w:tcW w:w="1701" w:type="dxa"/>
            <w:tcBorders>
              <w:bottom w:val="single" w:sz="6" w:space="0" w:color="019648"/>
            </w:tcBorders>
          </w:tcPr>
          <w:p w14:paraId="342B1953" w14:textId="77777777" w:rsidR="00767E2A" w:rsidRPr="0015544F" w:rsidRDefault="00767E2A" w:rsidP="00767E2A">
            <w:pPr>
              <w:pStyle w:val="TableParagraph"/>
              <w:spacing w:before="0"/>
              <w:ind w:left="0" w:right="4"/>
              <w:rPr>
                <w:sz w:val="17"/>
                <w:szCs w:val="17"/>
              </w:rPr>
            </w:pPr>
          </w:p>
        </w:tc>
        <w:tc>
          <w:tcPr>
            <w:tcW w:w="2429" w:type="dxa"/>
            <w:tcBorders>
              <w:top w:val="single" w:sz="6" w:space="0" w:color="019648"/>
              <w:bottom w:val="single" w:sz="6" w:space="0" w:color="019648"/>
            </w:tcBorders>
          </w:tcPr>
          <w:p w14:paraId="74774DE8" w14:textId="77777777" w:rsidR="00767E2A" w:rsidRPr="0015544F" w:rsidRDefault="00767E2A" w:rsidP="00767E2A">
            <w:pPr>
              <w:pStyle w:val="TableParagraph"/>
              <w:ind w:right="4"/>
              <w:rPr>
                <w:sz w:val="17"/>
                <w:szCs w:val="17"/>
              </w:rPr>
            </w:pPr>
            <w:proofErr w:type="spellStart"/>
            <w:r w:rsidRPr="0015544F">
              <w:rPr>
                <w:w w:val="110"/>
                <w:sz w:val="17"/>
                <w:szCs w:val="17"/>
              </w:rPr>
              <w:t>Фенотиповий</w:t>
            </w:r>
            <w:proofErr w:type="spellEnd"/>
            <w:r w:rsidRPr="0015544F">
              <w:rPr>
                <w:w w:val="110"/>
                <w:sz w:val="17"/>
                <w:szCs w:val="17"/>
              </w:rPr>
              <w:t xml:space="preserve"> ТМЧ+ПГС</w:t>
            </w:r>
          </w:p>
        </w:tc>
        <w:tc>
          <w:tcPr>
            <w:tcW w:w="2268" w:type="dxa"/>
            <w:tcBorders>
              <w:top w:val="single" w:sz="6" w:space="0" w:color="019648"/>
              <w:bottom w:val="single" w:sz="6" w:space="0" w:color="019648"/>
            </w:tcBorders>
          </w:tcPr>
          <w:p w14:paraId="1FF4A56F" w14:textId="77777777" w:rsidR="00767E2A" w:rsidRPr="0015544F" w:rsidRDefault="00767E2A" w:rsidP="00767E2A">
            <w:pPr>
              <w:pStyle w:val="TableParagraph"/>
              <w:ind w:right="4"/>
              <w:rPr>
                <w:sz w:val="17"/>
                <w:szCs w:val="17"/>
              </w:rPr>
            </w:pPr>
            <w:r w:rsidRPr="0015544F">
              <w:rPr>
                <w:w w:val="110"/>
                <w:sz w:val="17"/>
                <w:szCs w:val="17"/>
                <w:lang w:val="uk-UA"/>
              </w:rPr>
              <w:t>С</w:t>
            </w:r>
            <w:r w:rsidRPr="0015544F">
              <w:rPr>
                <w:w w:val="110"/>
                <w:sz w:val="17"/>
                <w:szCs w:val="17"/>
              </w:rPr>
              <w:t>: 98.5 (97.1–100)</w:t>
            </w:r>
          </w:p>
        </w:tc>
        <w:tc>
          <w:tcPr>
            <w:tcW w:w="1701" w:type="dxa"/>
            <w:tcBorders>
              <w:top w:val="single" w:sz="6" w:space="0" w:color="019648"/>
              <w:bottom w:val="single" w:sz="6" w:space="0" w:color="019648"/>
            </w:tcBorders>
          </w:tcPr>
          <w:p w14:paraId="077B5963" w14:textId="77777777" w:rsidR="00767E2A" w:rsidRPr="0015544F" w:rsidRDefault="00767E2A" w:rsidP="00767E2A">
            <w:pPr>
              <w:pStyle w:val="TableParagraph"/>
              <w:ind w:right="4"/>
              <w:rPr>
                <w:sz w:val="17"/>
                <w:szCs w:val="17"/>
              </w:rPr>
            </w:pPr>
            <w:r w:rsidRPr="0015544F">
              <w:rPr>
                <w:w w:val="110"/>
                <w:sz w:val="17"/>
                <w:szCs w:val="17"/>
              </w:rPr>
              <w:t>3 (269)</w:t>
            </w:r>
          </w:p>
        </w:tc>
        <w:tc>
          <w:tcPr>
            <w:tcW w:w="1540" w:type="dxa"/>
            <w:tcBorders>
              <w:top w:val="single" w:sz="6" w:space="0" w:color="019648"/>
              <w:bottom w:val="single" w:sz="6" w:space="0" w:color="019648"/>
            </w:tcBorders>
          </w:tcPr>
          <w:p w14:paraId="2220D813" w14:textId="77777777" w:rsidR="00767E2A" w:rsidRPr="0015544F" w:rsidRDefault="00767E2A" w:rsidP="00767E2A">
            <w:pPr>
              <w:pStyle w:val="TableParagraph"/>
              <w:ind w:left="124" w:right="4"/>
              <w:rPr>
                <w:sz w:val="17"/>
                <w:szCs w:val="17"/>
              </w:rPr>
            </w:pPr>
            <w:r w:rsidRPr="0015544F">
              <w:rPr>
                <w:w w:val="110"/>
                <w:sz w:val="17"/>
                <w:szCs w:val="17"/>
                <w:lang w:val="uk-UA"/>
              </w:rPr>
              <w:t>Середня</w:t>
            </w:r>
          </w:p>
        </w:tc>
      </w:tr>
      <w:tr w:rsidR="00767E2A" w:rsidRPr="0015544F" w14:paraId="33DF317E" w14:textId="77777777" w:rsidTr="0015544F">
        <w:trPr>
          <w:trHeight w:val="387"/>
        </w:trPr>
        <w:tc>
          <w:tcPr>
            <w:tcW w:w="1701" w:type="dxa"/>
            <w:tcBorders>
              <w:top w:val="single" w:sz="6" w:space="0" w:color="019648"/>
            </w:tcBorders>
          </w:tcPr>
          <w:p w14:paraId="73CA77E3" w14:textId="77777777" w:rsidR="00767E2A" w:rsidRPr="0015544F" w:rsidRDefault="00767E2A" w:rsidP="00767E2A">
            <w:pPr>
              <w:pStyle w:val="TableParagraph"/>
              <w:ind w:left="0" w:right="4"/>
              <w:rPr>
                <w:b/>
                <w:sz w:val="17"/>
                <w:szCs w:val="17"/>
              </w:rPr>
            </w:pPr>
            <w:r w:rsidRPr="0015544F">
              <w:rPr>
                <w:b/>
                <w:w w:val="115"/>
                <w:sz w:val="17"/>
                <w:szCs w:val="17"/>
              </w:rPr>
              <w:t>Етамбутол</w:t>
            </w:r>
          </w:p>
        </w:tc>
        <w:tc>
          <w:tcPr>
            <w:tcW w:w="2429" w:type="dxa"/>
            <w:tcBorders>
              <w:top w:val="single" w:sz="6" w:space="0" w:color="019648"/>
              <w:bottom w:val="single" w:sz="6" w:space="0" w:color="019648"/>
            </w:tcBorders>
          </w:tcPr>
          <w:p w14:paraId="39663A93" w14:textId="77777777" w:rsidR="00767E2A" w:rsidRPr="0015544F" w:rsidRDefault="00767E2A" w:rsidP="00767E2A">
            <w:pPr>
              <w:pStyle w:val="TableParagraph"/>
              <w:ind w:right="4"/>
              <w:rPr>
                <w:sz w:val="17"/>
                <w:szCs w:val="17"/>
              </w:rPr>
            </w:pPr>
            <w:proofErr w:type="spellStart"/>
            <w:r w:rsidRPr="0015544F">
              <w:rPr>
                <w:w w:val="110"/>
                <w:sz w:val="17"/>
                <w:szCs w:val="17"/>
              </w:rPr>
              <w:t>Фенотиповий</w:t>
            </w:r>
            <w:proofErr w:type="spellEnd"/>
            <w:r w:rsidRPr="0015544F">
              <w:rPr>
                <w:w w:val="110"/>
                <w:sz w:val="17"/>
                <w:szCs w:val="17"/>
              </w:rPr>
              <w:t xml:space="preserve"> ТМЧ+ПГС</w:t>
            </w:r>
          </w:p>
        </w:tc>
        <w:tc>
          <w:tcPr>
            <w:tcW w:w="2268" w:type="dxa"/>
            <w:tcBorders>
              <w:top w:val="single" w:sz="6" w:space="0" w:color="019648"/>
              <w:bottom w:val="single" w:sz="6" w:space="0" w:color="019648"/>
            </w:tcBorders>
          </w:tcPr>
          <w:p w14:paraId="21E1DDAA" w14:textId="77777777" w:rsidR="00767E2A" w:rsidRPr="0015544F" w:rsidRDefault="00767E2A" w:rsidP="00767E2A">
            <w:pPr>
              <w:pStyle w:val="TableParagraph"/>
              <w:ind w:right="4"/>
              <w:rPr>
                <w:sz w:val="17"/>
                <w:szCs w:val="17"/>
              </w:rPr>
            </w:pPr>
            <w:r w:rsidRPr="0015544F">
              <w:rPr>
                <w:w w:val="110"/>
                <w:sz w:val="17"/>
                <w:szCs w:val="17"/>
                <w:lang w:val="uk-UA"/>
              </w:rPr>
              <w:t>Ч</w:t>
            </w:r>
            <w:r w:rsidRPr="0015544F">
              <w:rPr>
                <w:w w:val="110"/>
                <w:sz w:val="17"/>
                <w:szCs w:val="17"/>
              </w:rPr>
              <w:t>: 95.8 (94.0–97.6)</w:t>
            </w:r>
          </w:p>
        </w:tc>
        <w:tc>
          <w:tcPr>
            <w:tcW w:w="1701" w:type="dxa"/>
            <w:tcBorders>
              <w:top w:val="single" w:sz="6" w:space="0" w:color="019648"/>
              <w:bottom w:val="single" w:sz="6" w:space="0" w:color="019648"/>
            </w:tcBorders>
          </w:tcPr>
          <w:p w14:paraId="71018870" w14:textId="77777777" w:rsidR="00767E2A" w:rsidRPr="0015544F" w:rsidRDefault="00767E2A" w:rsidP="00767E2A">
            <w:pPr>
              <w:pStyle w:val="TableParagraph"/>
              <w:ind w:right="4"/>
              <w:rPr>
                <w:sz w:val="17"/>
                <w:szCs w:val="17"/>
              </w:rPr>
            </w:pPr>
            <w:r w:rsidRPr="0015544F">
              <w:rPr>
                <w:w w:val="110"/>
                <w:sz w:val="17"/>
                <w:szCs w:val="17"/>
              </w:rPr>
              <w:t>4 (432)</w:t>
            </w:r>
          </w:p>
        </w:tc>
        <w:tc>
          <w:tcPr>
            <w:tcW w:w="1540" w:type="dxa"/>
            <w:tcBorders>
              <w:top w:val="single" w:sz="6" w:space="0" w:color="019648"/>
              <w:bottom w:val="single" w:sz="6" w:space="0" w:color="019648"/>
            </w:tcBorders>
          </w:tcPr>
          <w:p w14:paraId="62DC2E0A" w14:textId="77777777" w:rsidR="00767E2A" w:rsidRPr="0015544F" w:rsidRDefault="00767E2A" w:rsidP="00767E2A">
            <w:pPr>
              <w:pStyle w:val="TableParagraph"/>
              <w:ind w:left="124" w:right="4"/>
              <w:rPr>
                <w:sz w:val="17"/>
                <w:szCs w:val="17"/>
              </w:rPr>
            </w:pPr>
            <w:r w:rsidRPr="0015544F">
              <w:rPr>
                <w:w w:val="115"/>
                <w:sz w:val="17"/>
                <w:szCs w:val="17"/>
                <w:lang w:val="uk-UA"/>
              </w:rPr>
              <w:t>Низька</w:t>
            </w:r>
          </w:p>
        </w:tc>
      </w:tr>
      <w:tr w:rsidR="00767E2A" w:rsidRPr="0015544F" w14:paraId="35D7A130" w14:textId="77777777" w:rsidTr="0015544F">
        <w:trPr>
          <w:trHeight w:val="387"/>
        </w:trPr>
        <w:tc>
          <w:tcPr>
            <w:tcW w:w="1701" w:type="dxa"/>
            <w:tcBorders>
              <w:bottom w:val="single" w:sz="6" w:space="0" w:color="019648"/>
            </w:tcBorders>
          </w:tcPr>
          <w:p w14:paraId="147A6BEB" w14:textId="77777777" w:rsidR="00767E2A" w:rsidRPr="0015544F" w:rsidRDefault="00767E2A" w:rsidP="00767E2A">
            <w:pPr>
              <w:pStyle w:val="TableParagraph"/>
              <w:spacing w:before="0"/>
              <w:ind w:left="0" w:right="4"/>
              <w:rPr>
                <w:sz w:val="17"/>
                <w:szCs w:val="17"/>
              </w:rPr>
            </w:pPr>
          </w:p>
        </w:tc>
        <w:tc>
          <w:tcPr>
            <w:tcW w:w="2429" w:type="dxa"/>
            <w:tcBorders>
              <w:top w:val="single" w:sz="6" w:space="0" w:color="019648"/>
              <w:bottom w:val="single" w:sz="6" w:space="0" w:color="019648"/>
            </w:tcBorders>
          </w:tcPr>
          <w:p w14:paraId="378AD23D" w14:textId="77777777" w:rsidR="00767E2A" w:rsidRPr="0015544F" w:rsidRDefault="00767E2A" w:rsidP="00767E2A">
            <w:pPr>
              <w:pStyle w:val="TableParagraph"/>
              <w:ind w:right="4"/>
              <w:rPr>
                <w:sz w:val="17"/>
                <w:szCs w:val="17"/>
              </w:rPr>
            </w:pPr>
            <w:proofErr w:type="spellStart"/>
            <w:r w:rsidRPr="0015544F">
              <w:rPr>
                <w:w w:val="110"/>
                <w:sz w:val="17"/>
                <w:szCs w:val="17"/>
              </w:rPr>
              <w:t>Фенотиповий</w:t>
            </w:r>
            <w:proofErr w:type="spellEnd"/>
            <w:r w:rsidRPr="0015544F">
              <w:rPr>
                <w:w w:val="110"/>
                <w:sz w:val="17"/>
                <w:szCs w:val="17"/>
              </w:rPr>
              <w:t xml:space="preserve"> ТМЧ+ПГС</w:t>
            </w:r>
          </w:p>
        </w:tc>
        <w:tc>
          <w:tcPr>
            <w:tcW w:w="2268" w:type="dxa"/>
            <w:tcBorders>
              <w:top w:val="single" w:sz="6" w:space="0" w:color="019648"/>
              <w:bottom w:val="single" w:sz="6" w:space="0" w:color="019648"/>
            </w:tcBorders>
          </w:tcPr>
          <w:p w14:paraId="63B04D04" w14:textId="77777777" w:rsidR="00767E2A" w:rsidRPr="0015544F" w:rsidRDefault="00767E2A" w:rsidP="00767E2A">
            <w:pPr>
              <w:pStyle w:val="TableParagraph"/>
              <w:ind w:right="4"/>
              <w:rPr>
                <w:sz w:val="17"/>
                <w:szCs w:val="17"/>
              </w:rPr>
            </w:pPr>
            <w:r w:rsidRPr="0015544F">
              <w:rPr>
                <w:w w:val="110"/>
                <w:sz w:val="17"/>
                <w:szCs w:val="17"/>
                <w:lang w:val="uk-UA"/>
              </w:rPr>
              <w:t>С</w:t>
            </w:r>
            <w:r w:rsidRPr="0015544F">
              <w:rPr>
                <w:w w:val="110"/>
                <w:sz w:val="17"/>
                <w:szCs w:val="17"/>
              </w:rPr>
              <w:t>: 99.3 (98.2–100)</w:t>
            </w:r>
          </w:p>
        </w:tc>
        <w:tc>
          <w:tcPr>
            <w:tcW w:w="1701" w:type="dxa"/>
            <w:tcBorders>
              <w:top w:val="single" w:sz="6" w:space="0" w:color="019648"/>
              <w:bottom w:val="single" w:sz="6" w:space="0" w:color="019648"/>
            </w:tcBorders>
          </w:tcPr>
          <w:p w14:paraId="7D879101" w14:textId="77777777" w:rsidR="00767E2A" w:rsidRPr="0015544F" w:rsidRDefault="00767E2A" w:rsidP="00767E2A">
            <w:pPr>
              <w:pStyle w:val="TableParagraph"/>
              <w:ind w:right="4"/>
              <w:rPr>
                <w:sz w:val="17"/>
                <w:szCs w:val="17"/>
              </w:rPr>
            </w:pPr>
            <w:r w:rsidRPr="0015544F">
              <w:rPr>
                <w:w w:val="110"/>
                <w:sz w:val="17"/>
                <w:szCs w:val="17"/>
              </w:rPr>
              <w:t>4 (268)</w:t>
            </w:r>
          </w:p>
        </w:tc>
        <w:tc>
          <w:tcPr>
            <w:tcW w:w="1540" w:type="dxa"/>
            <w:tcBorders>
              <w:top w:val="single" w:sz="6" w:space="0" w:color="019648"/>
              <w:bottom w:val="single" w:sz="6" w:space="0" w:color="019648"/>
            </w:tcBorders>
          </w:tcPr>
          <w:p w14:paraId="54D2CB8C" w14:textId="77777777" w:rsidR="00767E2A" w:rsidRPr="0015544F" w:rsidRDefault="00767E2A" w:rsidP="00767E2A">
            <w:pPr>
              <w:pStyle w:val="TableParagraph"/>
              <w:ind w:left="124" w:right="4"/>
              <w:rPr>
                <w:sz w:val="17"/>
                <w:szCs w:val="17"/>
              </w:rPr>
            </w:pPr>
            <w:r w:rsidRPr="0015544F">
              <w:rPr>
                <w:w w:val="115"/>
                <w:sz w:val="17"/>
                <w:szCs w:val="17"/>
                <w:lang w:val="uk-UA"/>
              </w:rPr>
              <w:t>Низька</w:t>
            </w:r>
          </w:p>
        </w:tc>
      </w:tr>
    </w:tbl>
    <w:p w14:paraId="2C4F746C" w14:textId="1E6A4516" w:rsidR="00767E2A" w:rsidRPr="0015544F" w:rsidRDefault="00767E2A" w:rsidP="0015544F">
      <w:pPr>
        <w:spacing w:before="251" w:line="235" w:lineRule="auto"/>
        <w:ind w:left="567" w:right="4"/>
        <w:jc w:val="both"/>
        <w:rPr>
          <w:color w:val="000000" w:themeColor="text1"/>
          <w:sz w:val="16"/>
          <w:szCs w:val="16"/>
        </w:rPr>
      </w:pPr>
      <w:r w:rsidRPr="0015544F">
        <w:rPr>
          <w:color w:val="000000" w:themeColor="text1"/>
          <w:w w:val="110"/>
          <w:sz w:val="16"/>
          <w:szCs w:val="16"/>
          <w:lang w:val="uk-UA"/>
        </w:rPr>
        <w:t>ДІ - довірчий інтервал</w:t>
      </w:r>
      <w:r w:rsidRPr="0015544F">
        <w:rPr>
          <w:color w:val="000000" w:themeColor="text1"/>
          <w:w w:val="110"/>
          <w:sz w:val="16"/>
          <w:szCs w:val="16"/>
        </w:rPr>
        <w:t xml:space="preserve">; </w:t>
      </w:r>
      <w:r w:rsidRPr="0015544F">
        <w:rPr>
          <w:color w:val="000000" w:themeColor="text1"/>
          <w:w w:val="110"/>
          <w:sz w:val="16"/>
          <w:szCs w:val="16"/>
          <w:lang w:val="uk-UA"/>
        </w:rPr>
        <w:t>ТМЧ - тест на медикаментозну чутливість</w:t>
      </w:r>
      <w:r w:rsidRPr="0015544F">
        <w:rPr>
          <w:color w:val="000000" w:themeColor="text1"/>
          <w:w w:val="110"/>
          <w:sz w:val="16"/>
          <w:szCs w:val="16"/>
        </w:rPr>
        <w:t xml:space="preserve">; </w:t>
      </w:r>
      <w:r w:rsidRPr="0015544F">
        <w:rPr>
          <w:color w:val="000000" w:themeColor="text1"/>
          <w:w w:val="110"/>
          <w:sz w:val="16"/>
          <w:szCs w:val="16"/>
          <w:lang w:val="uk-UA"/>
        </w:rPr>
        <w:t>СНП - секвенування наступного покоління</w:t>
      </w:r>
      <w:r w:rsidRPr="0015544F">
        <w:rPr>
          <w:color w:val="000000" w:themeColor="text1"/>
          <w:w w:val="110"/>
          <w:sz w:val="16"/>
          <w:szCs w:val="16"/>
        </w:rPr>
        <w:t xml:space="preserve">; </w:t>
      </w:r>
      <w:r w:rsidR="0015544F">
        <w:rPr>
          <w:color w:val="000000" w:themeColor="text1"/>
          <w:w w:val="110"/>
          <w:sz w:val="16"/>
          <w:szCs w:val="16"/>
          <w:lang w:val="uk-UA"/>
        </w:rPr>
        <w:t xml:space="preserve">              </w:t>
      </w:r>
      <w:r w:rsidRPr="0015544F">
        <w:rPr>
          <w:color w:val="000000" w:themeColor="text1"/>
          <w:w w:val="110"/>
          <w:sz w:val="16"/>
          <w:szCs w:val="16"/>
          <w:lang w:val="uk-UA"/>
        </w:rPr>
        <w:t>Ч - чутливість</w:t>
      </w:r>
      <w:r w:rsidRPr="0015544F">
        <w:rPr>
          <w:color w:val="000000" w:themeColor="text1"/>
          <w:w w:val="110"/>
          <w:sz w:val="16"/>
          <w:szCs w:val="16"/>
        </w:rPr>
        <w:t xml:space="preserve">; </w:t>
      </w:r>
      <w:r w:rsidRPr="0015544F">
        <w:rPr>
          <w:color w:val="000000" w:themeColor="text1"/>
          <w:w w:val="110"/>
          <w:sz w:val="16"/>
          <w:szCs w:val="16"/>
          <w:lang w:val="uk-UA"/>
        </w:rPr>
        <w:t>С - специфічність</w:t>
      </w:r>
      <w:r w:rsidRPr="0015544F">
        <w:rPr>
          <w:color w:val="000000" w:themeColor="text1"/>
          <w:w w:val="110"/>
          <w:sz w:val="16"/>
          <w:szCs w:val="16"/>
        </w:rPr>
        <w:t xml:space="preserve">; </w:t>
      </w:r>
      <w:r w:rsidRPr="0015544F">
        <w:rPr>
          <w:color w:val="000000" w:themeColor="text1"/>
          <w:w w:val="110"/>
          <w:sz w:val="16"/>
          <w:szCs w:val="16"/>
          <w:lang w:val="uk-UA"/>
        </w:rPr>
        <w:t>ТБ - туберкульоз</w:t>
      </w:r>
      <w:r w:rsidRPr="0015544F">
        <w:rPr>
          <w:color w:val="000000" w:themeColor="text1"/>
          <w:w w:val="110"/>
          <w:sz w:val="16"/>
          <w:szCs w:val="16"/>
        </w:rPr>
        <w:t xml:space="preserve">; </w:t>
      </w:r>
      <w:r w:rsidRPr="0015544F">
        <w:rPr>
          <w:color w:val="000000" w:themeColor="text1"/>
          <w:w w:val="110"/>
          <w:sz w:val="16"/>
          <w:szCs w:val="16"/>
          <w:lang w:val="uk-UA"/>
        </w:rPr>
        <w:t>ПГС –</w:t>
      </w:r>
      <w:r w:rsidRPr="0015544F">
        <w:rPr>
          <w:color w:val="000000" w:themeColor="text1"/>
          <w:w w:val="110"/>
          <w:sz w:val="16"/>
          <w:szCs w:val="16"/>
        </w:rPr>
        <w:t xml:space="preserve"> </w:t>
      </w:r>
      <w:r w:rsidRPr="0015544F">
        <w:rPr>
          <w:color w:val="000000" w:themeColor="text1"/>
          <w:w w:val="110"/>
          <w:sz w:val="16"/>
          <w:szCs w:val="16"/>
          <w:lang w:val="uk-UA"/>
        </w:rPr>
        <w:t>повногеномне секвенування</w:t>
      </w:r>
      <w:r w:rsidRPr="0015544F">
        <w:rPr>
          <w:color w:val="000000" w:themeColor="text1"/>
          <w:w w:val="110"/>
          <w:sz w:val="16"/>
          <w:szCs w:val="16"/>
        </w:rPr>
        <w:t>.</w:t>
      </w:r>
    </w:p>
    <w:p w14:paraId="7F321FBC" w14:textId="77777777" w:rsidR="00767E2A" w:rsidRPr="00FD0682" w:rsidRDefault="00767E2A" w:rsidP="00767E2A">
      <w:pPr>
        <w:pStyle w:val="a3"/>
        <w:spacing w:line="276" w:lineRule="auto"/>
        <w:ind w:left="1417" w:right="4"/>
        <w:jc w:val="both"/>
        <w:rPr>
          <w:color w:val="000000" w:themeColor="text1"/>
          <w:w w:val="110"/>
          <w:sz w:val="20"/>
        </w:rPr>
      </w:pPr>
    </w:p>
    <w:p w14:paraId="40F85A98" w14:textId="77777777" w:rsidR="00767E2A" w:rsidRPr="006B6651" w:rsidRDefault="00767E2A" w:rsidP="00767E2A">
      <w:pPr>
        <w:pStyle w:val="a3"/>
        <w:spacing w:line="276" w:lineRule="auto"/>
        <w:ind w:left="567" w:right="4"/>
        <w:jc w:val="both"/>
        <w:rPr>
          <w:color w:val="000000" w:themeColor="text1"/>
          <w:sz w:val="20"/>
          <w:lang w:val="ru-RU"/>
        </w:rPr>
      </w:pPr>
      <w:r w:rsidRPr="006B6651">
        <w:rPr>
          <w:color w:val="000000" w:themeColor="text1"/>
          <w:w w:val="110"/>
          <w:sz w:val="20"/>
          <w:lang w:val="ru-RU"/>
        </w:rPr>
        <w:t>Дан</w:t>
      </w:r>
      <w:r>
        <w:rPr>
          <w:color w:val="000000" w:themeColor="text1"/>
          <w:w w:val="110"/>
          <w:sz w:val="20"/>
          <w:lang w:val="uk-UA"/>
        </w:rPr>
        <w:t>і</w:t>
      </w:r>
      <w:r w:rsidRPr="006B6651">
        <w:rPr>
          <w:color w:val="000000" w:themeColor="text1"/>
          <w:w w:val="110"/>
          <w:sz w:val="20"/>
          <w:lang w:val="ru-RU"/>
        </w:rPr>
        <w:t xml:space="preserve"> </w:t>
      </w:r>
      <w:r>
        <w:rPr>
          <w:color w:val="000000" w:themeColor="text1"/>
          <w:w w:val="110"/>
          <w:sz w:val="20"/>
          <w:lang w:val="uk-UA"/>
        </w:rPr>
        <w:t>про</w:t>
      </w:r>
      <w:r w:rsidRPr="006B6651">
        <w:rPr>
          <w:color w:val="000000" w:themeColor="text1"/>
          <w:w w:val="110"/>
          <w:sz w:val="20"/>
          <w:lang w:val="ru-RU"/>
        </w:rPr>
        <w:t xml:space="preserve"> </w:t>
      </w:r>
      <w:proofErr w:type="spellStart"/>
      <w:r w:rsidRPr="006B6651">
        <w:rPr>
          <w:color w:val="000000" w:themeColor="text1"/>
          <w:w w:val="110"/>
          <w:sz w:val="20"/>
          <w:lang w:val="ru-RU"/>
        </w:rPr>
        <w:t>вплив</w:t>
      </w:r>
      <w:proofErr w:type="spellEnd"/>
      <w:r w:rsidRPr="006B6651">
        <w:rPr>
          <w:color w:val="000000" w:themeColor="text1"/>
          <w:w w:val="110"/>
          <w:sz w:val="20"/>
          <w:lang w:val="ru-RU"/>
        </w:rPr>
        <w:t xml:space="preserve"> таргетного </w:t>
      </w:r>
      <w:r w:rsidRPr="00FD0682">
        <w:rPr>
          <w:color w:val="000000" w:themeColor="text1"/>
          <w:w w:val="110"/>
          <w:sz w:val="20"/>
          <w:lang w:val="uk-UA"/>
        </w:rPr>
        <w:t>СНП</w:t>
      </w:r>
      <w:r w:rsidRPr="006B6651">
        <w:rPr>
          <w:color w:val="000000" w:themeColor="text1"/>
          <w:w w:val="110"/>
          <w:sz w:val="20"/>
          <w:lang w:val="ru-RU"/>
        </w:rPr>
        <w:t xml:space="preserve"> на </w:t>
      </w:r>
      <w:proofErr w:type="spellStart"/>
      <w:r w:rsidRPr="006B6651">
        <w:rPr>
          <w:color w:val="000000" w:themeColor="text1"/>
          <w:w w:val="110"/>
          <w:sz w:val="20"/>
          <w:lang w:val="ru-RU"/>
        </w:rPr>
        <w:t>такі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результати</w:t>
      </w:r>
      <w:proofErr w:type="spellEnd"/>
      <w:r w:rsidRPr="006B6651">
        <w:rPr>
          <w:color w:val="000000" w:themeColor="text1"/>
          <w:w w:val="110"/>
          <w:sz w:val="20"/>
          <w:lang w:val="ru-RU"/>
        </w:rPr>
        <w:t xml:space="preserve"> </w:t>
      </w:r>
      <w:r w:rsidRPr="00FD0682">
        <w:rPr>
          <w:color w:val="000000" w:themeColor="text1"/>
          <w:w w:val="110"/>
          <w:sz w:val="20"/>
          <w:lang w:val="uk-UA"/>
        </w:rPr>
        <w:t xml:space="preserve">для </w:t>
      </w:r>
      <w:proofErr w:type="spellStart"/>
      <w:r w:rsidRPr="006B6651">
        <w:rPr>
          <w:color w:val="000000" w:themeColor="text1"/>
          <w:w w:val="110"/>
          <w:sz w:val="20"/>
          <w:lang w:val="ru-RU"/>
        </w:rPr>
        <w:t>пацієнтів</w:t>
      </w:r>
      <w:proofErr w:type="spellEnd"/>
      <w:r w:rsidRPr="006B6651">
        <w:rPr>
          <w:color w:val="000000" w:themeColor="text1"/>
          <w:w w:val="110"/>
          <w:sz w:val="20"/>
          <w:lang w:val="ru-RU"/>
        </w:rPr>
        <w:t xml:space="preserve">, як час до початку лікування або </w:t>
      </w:r>
      <w:r>
        <w:rPr>
          <w:color w:val="000000" w:themeColor="text1"/>
          <w:w w:val="110"/>
          <w:sz w:val="20"/>
          <w:lang w:val="uk-UA"/>
        </w:rPr>
        <w:t>результати</w:t>
      </w:r>
      <w:r w:rsidRPr="006B6651">
        <w:rPr>
          <w:color w:val="000000" w:themeColor="text1"/>
          <w:w w:val="110"/>
          <w:sz w:val="20"/>
          <w:lang w:val="ru-RU"/>
        </w:rPr>
        <w:t xml:space="preserve"> лікування, </w:t>
      </w:r>
      <w:r>
        <w:rPr>
          <w:color w:val="000000" w:themeColor="text1"/>
          <w:w w:val="110"/>
          <w:sz w:val="20"/>
          <w:lang w:val="uk-UA"/>
        </w:rPr>
        <w:t>були відсутні</w:t>
      </w:r>
      <w:r w:rsidRPr="006B6651">
        <w:rPr>
          <w:color w:val="000000" w:themeColor="text1"/>
          <w:w w:val="110"/>
          <w:sz w:val="20"/>
          <w:lang w:val="ru-RU"/>
        </w:rPr>
        <w:t>.</w:t>
      </w:r>
    </w:p>
    <w:p w14:paraId="12B85742" w14:textId="77777777" w:rsidR="00767E2A" w:rsidRPr="006B6651" w:rsidRDefault="00767E2A" w:rsidP="00767E2A">
      <w:pPr>
        <w:pStyle w:val="9"/>
        <w:spacing w:before="172" w:line="276" w:lineRule="auto"/>
        <w:ind w:right="4"/>
        <w:jc w:val="both"/>
        <w:rPr>
          <w:rFonts w:ascii="Microsoft Sans Serif" w:hAnsi="Microsoft Sans Serif" w:cs="Microsoft Sans Serif"/>
          <w:color w:val="000000" w:themeColor="text1"/>
          <w:lang w:val="ru-RU"/>
        </w:rPr>
      </w:pPr>
      <w:r w:rsidRPr="00FD0682">
        <w:rPr>
          <w:rFonts w:ascii="Microsoft Sans Serif" w:hAnsi="Microsoft Sans Serif" w:cs="Microsoft Sans Serif"/>
          <w:color w:val="000000" w:themeColor="text1"/>
          <w:w w:val="115"/>
        </w:rPr>
        <w:t>PICO</w:t>
      </w:r>
      <w:r w:rsidRPr="006B6651">
        <w:rPr>
          <w:rFonts w:ascii="Microsoft Sans Serif" w:hAnsi="Microsoft Sans Serif" w:cs="Microsoft Sans Serif"/>
          <w:color w:val="000000" w:themeColor="text1"/>
          <w:w w:val="115"/>
          <w:lang w:val="ru-RU"/>
        </w:rPr>
        <w:t xml:space="preserve"> 2: </w:t>
      </w:r>
      <w:proofErr w:type="spellStart"/>
      <w:r w:rsidRPr="006B6651">
        <w:rPr>
          <w:rFonts w:ascii="Microsoft Sans Serif" w:hAnsi="Microsoft Sans Serif" w:cs="Microsoft Sans Serif"/>
          <w:color w:val="000000" w:themeColor="text1"/>
          <w:w w:val="115"/>
          <w:lang w:val="ru-RU"/>
        </w:rPr>
        <w:t>Чи</w:t>
      </w:r>
      <w:proofErr w:type="spellEnd"/>
      <w:r w:rsidRPr="006B6651">
        <w:rPr>
          <w:rFonts w:ascii="Microsoft Sans Serif" w:hAnsi="Microsoft Sans Serif" w:cs="Microsoft Sans Serif"/>
          <w:color w:val="000000" w:themeColor="text1"/>
          <w:w w:val="115"/>
          <w:lang w:val="ru-RU"/>
        </w:rPr>
        <w:t xml:space="preserve"> </w:t>
      </w:r>
      <w:proofErr w:type="spellStart"/>
      <w:r w:rsidRPr="006B6651">
        <w:rPr>
          <w:rFonts w:ascii="Microsoft Sans Serif" w:hAnsi="Microsoft Sans Serif" w:cs="Microsoft Sans Serif"/>
          <w:color w:val="000000" w:themeColor="text1"/>
          <w:w w:val="115"/>
          <w:lang w:val="ru-RU"/>
        </w:rPr>
        <w:t>слід</w:t>
      </w:r>
      <w:proofErr w:type="spellEnd"/>
      <w:r w:rsidRPr="006B6651">
        <w:rPr>
          <w:rFonts w:ascii="Microsoft Sans Serif" w:hAnsi="Microsoft Sans Serif" w:cs="Microsoft Sans Serif"/>
          <w:color w:val="000000" w:themeColor="text1"/>
          <w:w w:val="115"/>
          <w:lang w:val="ru-RU"/>
        </w:rPr>
        <w:t xml:space="preserve"> </w:t>
      </w:r>
      <w:proofErr w:type="spellStart"/>
      <w:r w:rsidRPr="006B6651">
        <w:rPr>
          <w:rFonts w:ascii="Microsoft Sans Serif" w:hAnsi="Microsoft Sans Serif" w:cs="Microsoft Sans Serif"/>
          <w:color w:val="000000" w:themeColor="text1"/>
          <w:w w:val="115"/>
          <w:lang w:val="ru-RU"/>
        </w:rPr>
        <w:t>використовувати</w:t>
      </w:r>
      <w:proofErr w:type="spellEnd"/>
      <w:r w:rsidRPr="006B6651">
        <w:rPr>
          <w:rFonts w:ascii="Microsoft Sans Serif" w:hAnsi="Microsoft Sans Serif" w:cs="Microsoft Sans Serif"/>
          <w:color w:val="000000" w:themeColor="text1"/>
          <w:w w:val="115"/>
          <w:lang w:val="ru-RU"/>
        </w:rPr>
        <w:t xml:space="preserve"> таргетне СНП для </w:t>
      </w:r>
      <w:proofErr w:type="spellStart"/>
      <w:r w:rsidRPr="006B6651">
        <w:rPr>
          <w:rFonts w:ascii="Microsoft Sans Serif" w:hAnsi="Microsoft Sans Serif" w:cs="Microsoft Sans Serif"/>
          <w:color w:val="000000" w:themeColor="text1"/>
          <w:w w:val="115"/>
          <w:lang w:val="ru-RU"/>
        </w:rPr>
        <w:t>діагностики</w:t>
      </w:r>
      <w:proofErr w:type="spellEnd"/>
      <w:r w:rsidRPr="006B6651">
        <w:rPr>
          <w:rFonts w:ascii="Microsoft Sans Serif" w:hAnsi="Microsoft Sans Serif" w:cs="Microsoft Sans Serif"/>
          <w:color w:val="000000" w:themeColor="text1"/>
          <w:w w:val="115"/>
          <w:lang w:val="ru-RU"/>
        </w:rPr>
        <w:t xml:space="preserve"> </w:t>
      </w:r>
      <w:proofErr w:type="spellStart"/>
      <w:r w:rsidRPr="006B6651">
        <w:rPr>
          <w:rFonts w:ascii="Microsoft Sans Serif" w:hAnsi="Microsoft Sans Serif" w:cs="Microsoft Sans Serif"/>
          <w:color w:val="000000" w:themeColor="text1"/>
          <w:w w:val="115"/>
          <w:lang w:val="ru-RU"/>
        </w:rPr>
        <w:t>лікарської</w:t>
      </w:r>
      <w:proofErr w:type="spellEnd"/>
      <w:r w:rsidRPr="006B6651">
        <w:rPr>
          <w:rFonts w:ascii="Microsoft Sans Serif" w:hAnsi="Microsoft Sans Serif" w:cs="Microsoft Sans Serif"/>
          <w:color w:val="000000" w:themeColor="text1"/>
          <w:w w:val="115"/>
          <w:lang w:val="ru-RU"/>
        </w:rPr>
        <w:t xml:space="preserve"> </w:t>
      </w:r>
      <w:proofErr w:type="spellStart"/>
      <w:r w:rsidRPr="006B6651">
        <w:rPr>
          <w:rFonts w:ascii="Microsoft Sans Serif" w:hAnsi="Microsoft Sans Serif" w:cs="Microsoft Sans Serif"/>
          <w:color w:val="000000" w:themeColor="text1"/>
          <w:w w:val="115"/>
          <w:lang w:val="ru-RU"/>
        </w:rPr>
        <w:t>стійкості</w:t>
      </w:r>
      <w:proofErr w:type="spellEnd"/>
      <w:r w:rsidRPr="006B6651">
        <w:rPr>
          <w:rFonts w:ascii="Microsoft Sans Serif" w:hAnsi="Microsoft Sans Serif" w:cs="Microsoft Sans Serif"/>
          <w:color w:val="000000" w:themeColor="text1"/>
          <w:w w:val="115"/>
          <w:lang w:val="ru-RU"/>
        </w:rPr>
        <w:t xml:space="preserve"> в </w:t>
      </w:r>
      <w:proofErr w:type="spellStart"/>
      <w:r w:rsidRPr="006B6651">
        <w:rPr>
          <w:rFonts w:ascii="Microsoft Sans Serif" w:hAnsi="Microsoft Sans Serif" w:cs="Microsoft Sans Serif"/>
          <w:color w:val="000000" w:themeColor="text1"/>
          <w:w w:val="115"/>
          <w:lang w:val="ru-RU"/>
        </w:rPr>
        <w:t>осіб</w:t>
      </w:r>
      <w:proofErr w:type="spellEnd"/>
      <w:r w:rsidRPr="006B6651">
        <w:rPr>
          <w:rFonts w:ascii="Microsoft Sans Serif" w:hAnsi="Microsoft Sans Serif" w:cs="Microsoft Sans Serif"/>
          <w:color w:val="000000" w:themeColor="text1"/>
          <w:w w:val="115"/>
          <w:lang w:val="ru-RU"/>
        </w:rPr>
        <w:t xml:space="preserve"> </w:t>
      </w:r>
      <w:r w:rsidRPr="00FD0682">
        <w:rPr>
          <w:rFonts w:ascii="Microsoft Sans Serif" w:hAnsi="Microsoft Sans Serif" w:cs="Microsoft Sans Serif"/>
          <w:color w:val="000000" w:themeColor="text1"/>
          <w:w w:val="115"/>
          <w:lang w:val="uk-UA"/>
        </w:rPr>
        <w:t>і</w:t>
      </w:r>
      <w:r w:rsidRPr="006B6651">
        <w:rPr>
          <w:rFonts w:ascii="Microsoft Sans Serif" w:hAnsi="Microsoft Sans Serif" w:cs="Microsoft Sans Serif"/>
          <w:color w:val="000000" w:themeColor="text1"/>
          <w:w w:val="115"/>
          <w:lang w:val="ru-RU"/>
        </w:rPr>
        <w:t xml:space="preserve">з бактеріологічно </w:t>
      </w:r>
      <w:proofErr w:type="spellStart"/>
      <w:r w:rsidRPr="006B6651">
        <w:rPr>
          <w:rFonts w:ascii="Microsoft Sans Serif" w:hAnsi="Microsoft Sans Serif" w:cs="Microsoft Sans Serif"/>
          <w:color w:val="000000" w:themeColor="text1"/>
          <w:w w:val="115"/>
          <w:lang w:val="ru-RU"/>
        </w:rPr>
        <w:t>підтвердженим</w:t>
      </w:r>
      <w:proofErr w:type="spellEnd"/>
      <w:r w:rsidRPr="006B6651">
        <w:rPr>
          <w:rFonts w:ascii="Microsoft Sans Serif" w:hAnsi="Microsoft Sans Serif" w:cs="Microsoft Sans Serif"/>
          <w:color w:val="000000" w:themeColor="text1"/>
          <w:w w:val="115"/>
          <w:lang w:val="ru-RU"/>
        </w:rPr>
        <w:t xml:space="preserve"> </w:t>
      </w:r>
      <w:proofErr w:type="spellStart"/>
      <w:r w:rsidRPr="006B6651">
        <w:rPr>
          <w:rFonts w:ascii="Microsoft Sans Serif" w:hAnsi="Microsoft Sans Serif" w:cs="Microsoft Sans Serif"/>
          <w:color w:val="000000" w:themeColor="text1"/>
          <w:w w:val="115"/>
          <w:lang w:val="ru-RU"/>
        </w:rPr>
        <w:t>легеневим</w:t>
      </w:r>
      <w:proofErr w:type="spellEnd"/>
      <w:r w:rsidRPr="006B6651">
        <w:rPr>
          <w:rFonts w:ascii="Microsoft Sans Serif" w:hAnsi="Microsoft Sans Serif" w:cs="Microsoft Sans Serif"/>
          <w:color w:val="000000" w:themeColor="text1"/>
          <w:w w:val="115"/>
          <w:lang w:val="ru-RU"/>
        </w:rPr>
        <w:t xml:space="preserve"> </w:t>
      </w:r>
      <w:proofErr w:type="spellStart"/>
      <w:r w:rsidRPr="006B6651">
        <w:rPr>
          <w:rFonts w:ascii="Microsoft Sans Serif" w:hAnsi="Microsoft Sans Serif" w:cs="Microsoft Sans Serif"/>
          <w:color w:val="000000" w:themeColor="text1"/>
          <w:w w:val="115"/>
          <w:lang w:val="ru-RU"/>
        </w:rPr>
        <w:t>туберкульозом</w:t>
      </w:r>
      <w:proofErr w:type="spellEnd"/>
      <w:r w:rsidRPr="006B6651">
        <w:rPr>
          <w:rFonts w:ascii="Microsoft Sans Serif" w:hAnsi="Microsoft Sans Serif" w:cs="Microsoft Sans Serif"/>
          <w:color w:val="000000" w:themeColor="text1"/>
          <w:w w:val="115"/>
          <w:lang w:val="ru-RU"/>
        </w:rPr>
        <w:t xml:space="preserve"> </w:t>
      </w:r>
      <w:proofErr w:type="spellStart"/>
      <w:r w:rsidRPr="006B6651">
        <w:rPr>
          <w:rFonts w:ascii="Microsoft Sans Serif" w:hAnsi="Microsoft Sans Serif" w:cs="Microsoft Sans Serif"/>
          <w:color w:val="000000" w:themeColor="text1"/>
          <w:w w:val="115"/>
          <w:lang w:val="ru-RU"/>
        </w:rPr>
        <w:t>зі</w:t>
      </w:r>
      <w:proofErr w:type="spellEnd"/>
      <w:r w:rsidRPr="006B6651">
        <w:rPr>
          <w:rFonts w:ascii="Microsoft Sans Serif" w:hAnsi="Microsoft Sans Serif" w:cs="Microsoft Sans Serif"/>
          <w:color w:val="000000" w:themeColor="text1"/>
          <w:w w:val="115"/>
          <w:lang w:val="ru-RU"/>
        </w:rPr>
        <w:t xml:space="preserve"> </w:t>
      </w:r>
      <w:proofErr w:type="spellStart"/>
      <w:r w:rsidRPr="006B6651">
        <w:rPr>
          <w:rFonts w:ascii="Microsoft Sans Serif" w:hAnsi="Microsoft Sans Serif" w:cs="Microsoft Sans Serif"/>
          <w:color w:val="000000" w:themeColor="text1"/>
          <w:w w:val="115"/>
          <w:lang w:val="ru-RU"/>
        </w:rPr>
        <w:t>стійкістю</w:t>
      </w:r>
      <w:proofErr w:type="spellEnd"/>
      <w:r w:rsidRPr="006B6651">
        <w:rPr>
          <w:rFonts w:ascii="Microsoft Sans Serif" w:hAnsi="Microsoft Sans Serif" w:cs="Microsoft Sans Serif"/>
          <w:color w:val="000000" w:themeColor="text1"/>
          <w:w w:val="115"/>
          <w:lang w:val="ru-RU"/>
        </w:rPr>
        <w:t xml:space="preserve"> до рифампіцину?</w:t>
      </w:r>
    </w:p>
    <w:p w14:paraId="44F830E1" w14:textId="77777777" w:rsidR="00767E2A" w:rsidRPr="006B6651" w:rsidRDefault="00767E2A" w:rsidP="0015544F">
      <w:pPr>
        <w:pStyle w:val="a3"/>
        <w:spacing w:before="173" w:line="276" w:lineRule="auto"/>
        <w:ind w:left="567" w:right="4"/>
        <w:jc w:val="both"/>
        <w:rPr>
          <w:color w:val="000000" w:themeColor="text1"/>
          <w:sz w:val="20"/>
          <w:szCs w:val="20"/>
          <w:lang w:val="ru-RU"/>
        </w:rPr>
      </w:pPr>
      <w:proofErr w:type="spellStart"/>
      <w:r w:rsidRPr="006B6651">
        <w:rPr>
          <w:color w:val="000000" w:themeColor="text1"/>
          <w:w w:val="110"/>
          <w:sz w:val="20"/>
          <w:szCs w:val="20"/>
          <w:lang w:val="ru-RU"/>
        </w:rPr>
        <w:t>Наявні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доказові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дані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варіювалися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залежно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від</w:t>
      </w:r>
      <w:proofErr w:type="spellEnd"/>
      <w:r w:rsidRPr="006B6651">
        <w:rPr>
          <w:color w:val="000000" w:themeColor="text1"/>
          <w:w w:val="110"/>
          <w:sz w:val="20"/>
          <w:szCs w:val="20"/>
          <w:lang w:val="ru-RU"/>
        </w:rPr>
        <w:t xml:space="preserve"> препарату: </w:t>
      </w:r>
      <w:proofErr w:type="spellStart"/>
      <w:r w:rsidRPr="006B6651">
        <w:rPr>
          <w:color w:val="000000" w:themeColor="text1"/>
          <w:w w:val="110"/>
          <w:sz w:val="20"/>
          <w:szCs w:val="20"/>
          <w:lang w:val="ru-RU"/>
        </w:rPr>
        <w:t>від</w:t>
      </w:r>
      <w:proofErr w:type="spellEnd"/>
      <w:r w:rsidRPr="006B6651">
        <w:rPr>
          <w:color w:val="000000" w:themeColor="text1"/>
          <w:w w:val="110"/>
          <w:sz w:val="20"/>
          <w:szCs w:val="20"/>
          <w:lang w:val="ru-RU"/>
        </w:rPr>
        <w:t xml:space="preserve"> 12 </w:t>
      </w:r>
      <w:proofErr w:type="spellStart"/>
      <w:r w:rsidRPr="006B6651">
        <w:rPr>
          <w:color w:val="000000" w:themeColor="text1"/>
          <w:w w:val="110"/>
          <w:sz w:val="20"/>
          <w:szCs w:val="20"/>
          <w:lang w:val="ru-RU"/>
        </w:rPr>
        <w:t>досліджень</w:t>
      </w:r>
      <w:proofErr w:type="spellEnd"/>
      <w:r w:rsidRPr="006B6651">
        <w:rPr>
          <w:color w:val="000000" w:themeColor="text1"/>
          <w:w w:val="110"/>
          <w:sz w:val="20"/>
          <w:szCs w:val="20"/>
          <w:lang w:val="ru-RU"/>
        </w:rPr>
        <w:t xml:space="preserve"> з 1440 </w:t>
      </w:r>
      <w:proofErr w:type="spellStart"/>
      <w:r w:rsidRPr="006B6651">
        <w:rPr>
          <w:color w:val="000000" w:themeColor="text1"/>
          <w:w w:val="110"/>
          <w:sz w:val="20"/>
          <w:szCs w:val="20"/>
          <w:lang w:val="ru-RU"/>
        </w:rPr>
        <w:t>учасниками</w:t>
      </w:r>
      <w:proofErr w:type="spellEnd"/>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чутливості</w:t>
      </w:r>
      <w:proofErr w:type="spellEnd"/>
      <w:r w:rsidRPr="006B6651">
        <w:rPr>
          <w:color w:val="000000" w:themeColor="text1"/>
          <w:w w:val="110"/>
          <w:sz w:val="20"/>
          <w:szCs w:val="20"/>
          <w:lang w:val="ru-RU"/>
        </w:rPr>
        <w:t xml:space="preserve"> до ізоніазиду до </w:t>
      </w:r>
      <w:r>
        <w:rPr>
          <w:color w:val="000000" w:themeColor="text1"/>
          <w:w w:val="110"/>
          <w:sz w:val="20"/>
          <w:szCs w:val="20"/>
          <w:lang w:val="uk-UA"/>
        </w:rPr>
        <w:t>3</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досліджень</w:t>
      </w:r>
      <w:proofErr w:type="spellEnd"/>
      <w:r w:rsidRPr="006B6651">
        <w:rPr>
          <w:color w:val="000000" w:themeColor="text1"/>
          <w:w w:val="110"/>
          <w:sz w:val="20"/>
          <w:szCs w:val="20"/>
          <w:lang w:val="ru-RU"/>
        </w:rPr>
        <w:t xml:space="preserve"> з 31 </w:t>
      </w:r>
      <w:proofErr w:type="spellStart"/>
      <w:r w:rsidRPr="006B6651">
        <w:rPr>
          <w:color w:val="000000" w:themeColor="text1"/>
          <w:w w:val="110"/>
          <w:sz w:val="20"/>
          <w:szCs w:val="20"/>
          <w:lang w:val="ru-RU"/>
        </w:rPr>
        <w:t>учасником</w:t>
      </w:r>
      <w:proofErr w:type="spellEnd"/>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чутливості</w:t>
      </w:r>
      <w:proofErr w:type="spellEnd"/>
      <w:r w:rsidRPr="006B6651">
        <w:rPr>
          <w:color w:val="000000" w:themeColor="text1"/>
          <w:w w:val="110"/>
          <w:sz w:val="20"/>
          <w:szCs w:val="20"/>
          <w:lang w:val="ru-RU"/>
        </w:rPr>
        <w:t xml:space="preserve"> до бедаквіліну (</w:t>
      </w:r>
      <w:proofErr w:type="spellStart"/>
      <w:r w:rsidRPr="006B6651">
        <w:rPr>
          <w:b/>
          <w:color w:val="000000" w:themeColor="text1"/>
          <w:w w:val="110"/>
          <w:sz w:val="20"/>
          <w:szCs w:val="20"/>
          <w:lang w:val="ru-RU"/>
        </w:rPr>
        <w:t>Таблиця</w:t>
      </w:r>
      <w:proofErr w:type="spellEnd"/>
      <w:r w:rsidRPr="006B6651">
        <w:rPr>
          <w:b/>
          <w:color w:val="000000" w:themeColor="text1"/>
          <w:w w:val="110"/>
          <w:sz w:val="20"/>
          <w:szCs w:val="20"/>
          <w:lang w:val="ru-RU"/>
        </w:rPr>
        <w:t xml:space="preserve"> 2.4.5.2</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Об'єднані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оцінки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визначалися</w:t>
      </w:r>
      <w:proofErr w:type="spellEnd"/>
      <w:r w:rsidRPr="006B6651">
        <w:rPr>
          <w:color w:val="000000" w:themeColor="text1"/>
          <w:w w:val="110"/>
          <w:sz w:val="20"/>
          <w:szCs w:val="20"/>
          <w:lang w:val="ru-RU"/>
        </w:rPr>
        <w:t xml:space="preserve"> за </w:t>
      </w:r>
      <w:proofErr w:type="spellStart"/>
      <w:r w:rsidRPr="006B6651">
        <w:rPr>
          <w:color w:val="000000" w:themeColor="text1"/>
          <w:w w:val="110"/>
          <w:sz w:val="20"/>
          <w:szCs w:val="20"/>
          <w:lang w:val="ru-RU"/>
        </w:rPr>
        <w:t>допомогою</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багатофакторної</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моделі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змішаними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ефектами</w:t>
      </w:r>
      <w:proofErr w:type="spellEnd"/>
      <w:r w:rsidRPr="006B6651">
        <w:rPr>
          <w:color w:val="000000" w:themeColor="text1"/>
          <w:w w:val="110"/>
          <w:sz w:val="20"/>
          <w:szCs w:val="20"/>
          <w:lang w:val="ru-RU"/>
        </w:rPr>
        <w:t>.</w:t>
      </w:r>
    </w:p>
    <w:p w14:paraId="3875B175" w14:textId="77777777" w:rsidR="0015544F" w:rsidRDefault="00767E2A" w:rsidP="0015544F">
      <w:pPr>
        <w:pStyle w:val="a3"/>
        <w:spacing w:before="173" w:line="276" w:lineRule="auto"/>
        <w:ind w:left="567" w:right="4"/>
        <w:jc w:val="both"/>
        <w:rPr>
          <w:color w:val="000000" w:themeColor="text1"/>
          <w:w w:val="110"/>
          <w:sz w:val="20"/>
          <w:szCs w:val="20"/>
          <w:lang w:val="ru-RU"/>
        </w:rPr>
      </w:pPr>
      <w:proofErr w:type="spellStart"/>
      <w:r w:rsidRPr="006B6651">
        <w:rPr>
          <w:color w:val="000000" w:themeColor="text1"/>
          <w:w w:val="110"/>
          <w:sz w:val="20"/>
          <w:szCs w:val="20"/>
          <w:lang w:val="ru-RU"/>
        </w:rPr>
        <w:t>Загальна</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достовірність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була</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високою</w:t>
      </w:r>
      <w:proofErr w:type="spellEnd"/>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деяких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препаратів</w:t>
      </w:r>
      <w:proofErr w:type="spellEnd"/>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левофлоксацину</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достовір</w:t>
      </w:r>
      <w:r w:rsidRPr="00322772">
        <w:rPr>
          <w:color w:val="000000" w:themeColor="text1"/>
          <w:w w:val="110"/>
          <w:sz w:val="20"/>
          <w:szCs w:val="20"/>
          <w:lang w:val="uk-UA"/>
        </w:rPr>
        <w:t>ність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зни</w:t>
      </w:r>
      <w:r w:rsidRPr="00322772">
        <w:rPr>
          <w:color w:val="000000" w:themeColor="text1"/>
          <w:w w:val="110"/>
          <w:sz w:val="20"/>
          <w:szCs w:val="20"/>
          <w:lang w:val="uk-UA"/>
        </w:rPr>
        <w:t>зили</w:t>
      </w:r>
      <w:proofErr w:type="spellEnd"/>
      <w:r w:rsidRPr="006B6651">
        <w:rPr>
          <w:color w:val="000000" w:themeColor="text1"/>
          <w:w w:val="110"/>
          <w:sz w:val="20"/>
          <w:szCs w:val="20"/>
          <w:lang w:val="ru-RU"/>
        </w:rPr>
        <w:t xml:space="preserve"> на один </w:t>
      </w:r>
      <w:proofErr w:type="spellStart"/>
      <w:r w:rsidRPr="006B6651">
        <w:rPr>
          <w:color w:val="000000" w:themeColor="text1"/>
          <w:w w:val="110"/>
          <w:sz w:val="20"/>
          <w:szCs w:val="20"/>
          <w:lang w:val="ru-RU"/>
        </w:rPr>
        <w:t>рівень</w:t>
      </w:r>
      <w:proofErr w:type="spellEnd"/>
      <w:r w:rsidRPr="006B6651">
        <w:rPr>
          <w:color w:val="000000" w:themeColor="text1"/>
          <w:w w:val="110"/>
          <w:sz w:val="20"/>
          <w:szCs w:val="20"/>
          <w:lang w:val="ru-RU"/>
        </w:rPr>
        <w:t xml:space="preserve"> через </w:t>
      </w:r>
      <w:proofErr w:type="spellStart"/>
      <w:r w:rsidRPr="006B6651">
        <w:rPr>
          <w:color w:val="000000" w:themeColor="text1"/>
          <w:w w:val="110"/>
          <w:sz w:val="20"/>
          <w:szCs w:val="20"/>
          <w:lang w:val="ru-RU"/>
        </w:rPr>
        <w:t>неузгодженість</w:t>
      </w:r>
      <w:proofErr w:type="spellEnd"/>
      <w:r w:rsidRPr="006B6651">
        <w:rPr>
          <w:color w:val="000000" w:themeColor="text1"/>
          <w:w w:val="110"/>
          <w:sz w:val="20"/>
          <w:szCs w:val="20"/>
          <w:lang w:val="ru-RU"/>
        </w:rPr>
        <w:t>.</w:t>
      </w:r>
      <w:r w:rsidRPr="00322772">
        <w:rPr>
          <w:color w:val="000000" w:themeColor="text1"/>
          <w:w w:val="110"/>
          <w:sz w:val="20"/>
          <w:szCs w:val="20"/>
          <w:lang w:val="uk-UA"/>
        </w:rPr>
        <w:t xml:space="preserve"> </w:t>
      </w:r>
      <w:r w:rsidRPr="006B6651">
        <w:rPr>
          <w:color w:val="000000" w:themeColor="text1"/>
          <w:w w:val="110"/>
          <w:sz w:val="20"/>
          <w:szCs w:val="20"/>
          <w:lang w:val="ru-RU"/>
        </w:rPr>
        <w:t xml:space="preserve">Для бедаквіліну та лінезоліду </w:t>
      </w:r>
      <w:proofErr w:type="spellStart"/>
      <w:r w:rsidRPr="006B6651">
        <w:rPr>
          <w:color w:val="000000" w:themeColor="text1"/>
          <w:w w:val="110"/>
          <w:sz w:val="20"/>
          <w:szCs w:val="20"/>
          <w:lang w:val="ru-RU"/>
        </w:rPr>
        <w:t>достовірн</w:t>
      </w:r>
      <w:proofErr w:type="spellEnd"/>
      <w:r w:rsidRPr="00322772">
        <w:rPr>
          <w:color w:val="000000" w:themeColor="text1"/>
          <w:w w:val="110"/>
          <w:sz w:val="20"/>
          <w:szCs w:val="20"/>
          <w:lang w:val="uk-UA"/>
        </w:rPr>
        <w:t>і</w:t>
      </w:r>
      <w:proofErr w:type="spellStart"/>
      <w:r w:rsidRPr="006B6651">
        <w:rPr>
          <w:color w:val="000000" w:themeColor="text1"/>
          <w:w w:val="110"/>
          <w:sz w:val="20"/>
          <w:szCs w:val="20"/>
          <w:lang w:val="ru-RU"/>
        </w:rPr>
        <w:t>ст</w:t>
      </w:r>
      <w:proofErr w:type="spellEnd"/>
      <w:r w:rsidRPr="00322772">
        <w:rPr>
          <w:color w:val="000000" w:themeColor="text1"/>
          <w:w w:val="110"/>
          <w:sz w:val="20"/>
          <w:szCs w:val="20"/>
          <w:lang w:val="uk-UA"/>
        </w:rPr>
        <w:t>ь</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було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знижено</w:t>
      </w:r>
      <w:proofErr w:type="spellEnd"/>
      <w:r w:rsidRPr="006B6651">
        <w:rPr>
          <w:color w:val="000000" w:themeColor="text1"/>
          <w:w w:val="110"/>
          <w:sz w:val="20"/>
          <w:szCs w:val="20"/>
          <w:lang w:val="ru-RU"/>
        </w:rPr>
        <w:t xml:space="preserve"> на два </w:t>
      </w:r>
      <w:proofErr w:type="spellStart"/>
      <w:r w:rsidRPr="006B6651">
        <w:rPr>
          <w:color w:val="000000" w:themeColor="text1"/>
          <w:w w:val="110"/>
          <w:sz w:val="20"/>
          <w:szCs w:val="20"/>
          <w:lang w:val="ru-RU"/>
        </w:rPr>
        <w:t>рівні</w:t>
      </w:r>
      <w:proofErr w:type="spellEnd"/>
      <w:r w:rsidRPr="006B6651">
        <w:rPr>
          <w:color w:val="000000" w:themeColor="text1"/>
          <w:w w:val="110"/>
          <w:sz w:val="20"/>
          <w:szCs w:val="20"/>
          <w:lang w:val="ru-RU"/>
        </w:rPr>
        <w:t xml:space="preserve"> через </w:t>
      </w:r>
      <w:proofErr w:type="spellStart"/>
      <w:r w:rsidRPr="006B6651">
        <w:rPr>
          <w:color w:val="000000" w:themeColor="text1"/>
          <w:w w:val="110"/>
          <w:sz w:val="20"/>
          <w:szCs w:val="20"/>
          <w:lang w:val="ru-RU"/>
        </w:rPr>
        <w:t>неточність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показника</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чутливості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оскільки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кількість</w:t>
      </w:r>
      <w:proofErr w:type="spellEnd"/>
      <w:r w:rsidRPr="006B6651">
        <w:rPr>
          <w:color w:val="000000" w:themeColor="text1"/>
          <w:w w:val="110"/>
          <w:sz w:val="20"/>
          <w:szCs w:val="20"/>
          <w:lang w:val="ru-RU"/>
        </w:rPr>
        <w:t xml:space="preserve"> </w:t>
      </w:r>
      <w:r w:rsidRPr="00FD0682">
        <w:rPr>
          <w:color w:val="000000" w:themeColor="text1"/>
          <w:w w:val="110"/>
          <w:sz w:val="20"/>
          <w:szCs w:val="20"/>
          <w:lang w:val="uk-UA"/>
        </w:rPr>
        <w:t>стійких</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зразків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була</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нижчою</w:t>
      </w:r>
      <w:proofErr w:type="spellEnd"/>
      <w:r w:rsidRPr="006B6651">
        <w:rPr>
          <w:color w:val="000000" w:themeColor="text1"/>
          <w:w w:val="110"/>
          <w:sz w:val="20"/>
          <w:szCs w:val="20"/>
          <w:lang w:val="ru-RU"/>
        </w:rPr>
        <w:t xml:space="preserve"> за </w:t>
      </w:r>
      <w:proofErr w:type="spellStart"/>
      <w:r w:rsidRPr="006B6651">
        <w:rPr>
          <w:color w:val="000000" w:themeColor="text1"/>
          <w:w w:val="110"/>
          <w:sz w:val="20"/>
          <w:szCs w:val="20"/>
          <w:lang w:val="ru-RU"/>
        </w:rPr>
        <w:t>встановлений</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поріг</w:t>
      </w:r>
      <w:proofErr w:type="spellEnd"/>
      <w:r w:rsidRPr="006B6651">
        <w:rPr>
          <w:color w:val="000000" w:themeColor="text1"/>
          <w:w w:val="110"/>
          <w:sz w:val="20"/>
          <w:szCs w:val="20"/>
          <w:lang w:val="ru-RU"/>
        </w:rPr>
        <w:t xml:space="preserve">, а </w:t>
      </w:r>
      <w:proofErr w:type="spellStart"/>
      <w:r w:rsidRPr="006B6651">
        <w:rPr>
          <w:color w:val="000000" w:themeColor="text1"/>
          <w:w w:val="110"/>
          <w:sz w:val="20"/>
          <w:szCs w:val="20"/>
          <w:lang w:val="ru-RU"/>
        </w:rPr>
        <w:t>довірчі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інтервали</w:t>
      </w:r>
      <w:proofErr w:type="spellEnd"/>
      <w:r w:rsidRPr="006B6651">
        <w:rPr>
          <w:color w:val="000000" w:themeColor="text1"/>
          <w:w w:val="110"/>
          <w:sz w:val="20"/>
          <w:szCs w:val="20"/>
          <w:lang w:val="ru-RU"/>
        </w:rPr>
        <w:t xml:space="preserve"> були широкими.</w:t>
      </w:r>
      <w:r w:rsidRPr="00FD0682">
        <w:rPr>
          <w:color w:val="000000" w:themeColor="text1"/>
          <w:w w:val="110"/>
          <w:sz w:val="20"/>
          <w:szCs w:val="20"/>
          <w:lang w:val="uk-UA"/>
        </w:rPr>
        <w:t xml:space="preserve"> </w:t>
      </w:r>
      <w:r w:rsidRPr="006B6651">
        <w:rPr>
          <w:color w:val="000000" w:themeColor="text1"/>
          <w:w w:val="110"/>
          <w:sz w:val="20"/>
          <w:szCs w:val="20"/>
          <w:lang w:val="ru-RU"/>
        </w:rPr>
        <w:t xml:space="preserve">Для клофазиміну </w:t>
      </w:r>
      <w:proofErr w:type="spellStart"/>
      <w:r w:rsidRPr="006B6651">
        <w:rPr>
          <w:color w:val="000000" w:themeColor="text1"/>
          <w:w w:val="110"/>
          <w:sz w:val="20"/>
          <w:szCs w:val="20"/>
          <w:lang w:val="ru-RU"/>
        </w:rPr>
        <w:t>достовірн</w:t>
      </w:r>
      <w:proofErr w:type="spellEnd"/>
      <w:r>
        <w:rPr>
          <w:color w:val="000000" w:themeColor="text1"/>
          <w:w w:val="110"/>
          <w:sz w:val="20"/>
          <w:szCs w:val="20"/>
          <w:lang w:val="uk-UA"/>
        </w:rPr>
        <w:t>і</w:t>
      </w:r>
      <w:proofErr w:type="spellStart"/>
      <w:r w:rsidRPr="006B6651">
        <w:rPr>
          <w:color w:val="000000" w:themeColor="text1"/>
          <w:w w:val="110"/>
          <w:sz w:val="20"/>
          <w:szCs w:val="20"/>
          <w:lang w:val="ru-RU"/>
        </w:rPr>
        <w:t>ст</w:t>
      </w:r>
      <w:proofErr w:type="spellEnd"/>
      <w:r>
        <w:rPr>
          <w:color w:val="000000" w:themeColor="text1"/>
          <w:w w:val="110"/>
          <w:sz w:val="20"/>
          <w:szCs w:val="20"/>
          <w:lang w:val="uk-UA"/>
        </w:rPr>
        <w:t>ь</w:t>
      </w:r>
      <w:r w:rsidRPr="006B6651">
        <w:rPr>
          <w:color w:val="000000" w:themeColor="text1"/>
          <w:w w:val="110"/>
          <w:sz w:val="20"/>
          <w:szCs w:val="20"/>
          <w:lang w:val="ru-RU"/>
        </w:rPr>
        <w:t xml:space="preserve"> також </w:t>
      </w:r>
      <w:proofErr w:type="spellStart"/>
      <w:r w:rsidRPr="006B6651">
        <w:rPr>
          <w:color w:val="000000" w:themeColor="text1"/>
          <w:w w:val="110"/>
          <w:sz w:val="20"/>
          <w:szCs w:val="20"/>
          <w:lang w:val="ru-RU"/>
        </w:rPr>
        <w:t>було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знижено</w:t>
      </w:r>
      <w:proofErr w:type="spellEnd"/>
      <w:r w:rsidRPr="006B6651">
        <w:rPr>
          <w:color w:val="000000" w:themeColor="text1"/>
          <w:w w:val="110"/>
          <w:sz w:val="20"/>
          <w:szCs w:val="20"/>
          <w:lang w:val="ru-RU"/>
        </w:rPr>
        <w:t xml:space="preserve"> на два </w:t>
      </w:r>
      <w:proofErr w:type="spellStart"/>
      <w:r w:rsidRPr="006B6651">
        <w:rPr>
          <w:color w:val="000000" w:themeColor="text1"/>
          <w:w w:val="110"/>
          <w:sz w:val="20"/>
          <w:szCs w:val="20"/>
          <w:lang w:val="ru-RU"/>
        </w:rPr>
        <w:t>рівні</w:t>
      </w:r>
      <w:proofErr w:type="spellEnd"/>
      <w:r w:rsidRPr="006B6651">
        <w:rPr>
          <w:color w:val="000000" w:themeColor="text1"/>
          <w:w w:val="110"/>
          <w:sz w:val="20"/>
          <w:szCs w:val="20"/>
          <w:lang w:val="ru-RU"/>
        </w:rPr>
        <w:t xml:space="preserve">: один – через </w:t>
      </w:r>
      <w:proofErr w:type="spellStart"/>
      <w:r w:rsidRPr="006B6651">
        <w:rPr>
          <w:color w:val="000000" w:themeColor="text1"/>
          <w:w w:val="110"/>
          <w:sz w:val="20"/>
          <w:szCs w:val="20"/>
          <w:lang w:val="ru-RU"/>
        </w:rPr>
        <w:t>неузгодженість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оскільки</w:t>
      </w:r>
      <w:proofErr w:type="spellEnd"/>
      <w:r w:rsidRPr="006B6651">
        <w:rPr>
          <w:color w:val="000000" w:themeColor="text1"/>
          <w:w w:val="110"/>
          <w:sz w:val="20"/>
          <w:szCs w:val="20"/>
          <w:lang w:val="ru-RU"/>
        </w:rPr>
        <w:t xml:space="preserve"> два </w:t>
      </w:r>
      <w:proofErr w:type="spellStart"/>
      <w:r w:rsidRPr="006B6651">
        <w:rPr>
          <w:color w:val="000000" w:themeColor="text1"/>
          <w:w w:val="110"/>
          <w:sz w:val="20"/>
          <w:szCs w:val="20"/>
          <w:lang w:val="ru-RU"/>
        </w:rPr>
        <w:t>дослідження</w:t>
      </w:r>
      <w:proofErr w:type="spellEnd"/>
      <w:r w:rsidRPr="006B6651">
        <w:rPr>
          <w:color w:val="000000" w:themeColor="text1"/>
          <w:w w:val="110"/>
          <w:sz w:val="20"/>
          <w:szCs w:val="20"/>
          <w:lang w:val="ru-RU"/>
        </w:rPr>
        <w:t xml:space="preserve"> були </w:t>
      </w:r>
      <w:r w:rsidRPr="00FD0682">
        <w:rPr>
          <w:color w:val="000000" w:themeColor="text1"/>
          <w:w w:val="110"/>
          <w:sz w:val="20"/>
          <w:szCs w:val="20"/>
          <w:lang w:val="uk-UA"/>
        </w:rPr>
        <w:t>аномальними</w:t>
      </w:r>
      <w:r w:rsidRPr="006B6651">
        <w:rPr>
          <w:color w:val="000000" w:themeColor="text1"/>
          <w:w w:val="110"/>
          <w:sz w:val="20"/>
          <w:szCs w:val="20"/>
          <w:lang w:val="ru-RU"/>
        </w:rPr>
        <w:t xml:space="preserve">), а </w:t>
      </w:r>
      <w:proofErr w:type="spellStart"/>
      <w:r w:rsidRPr="006B6651">
        <w:rPr>
          <w:color w:val="000000" w:themeColor="text1"/>
          <w:w w:val="110"/>
          <w:sz w:val="20"/>
          <w:szCs w:val="20"/>
          <w:lang w:val="ru-RU"/>
        </w:rPr>
        <w:t>інший</w:t>
      </w:r>
      <w:proofErr w:type="spellEnd"/>
      <w:r w:rsidRPr="006B6651">
        <w:rPr>
          <w:color w:val="000000" w:themeColor="text1"/>
          <w:w w:val="110"/>
          <w:sz w:val="20"/>
          <w:szCs w:val="20"/>
          <w:lang w:val="ru-RU"/>
        </w:rPr>
        <w:t xml:space="preserve"> – через </w:t>
      </w:r>
      <w:proofErr w:type="spellStart"/>
      <w:r w:rsidRPr="006B6651">
        <w:rPr>
          <w:color w:val="000000" w:themeColor="text1"/>
          <w:w w:val="110"/>
          <w:sz w:val="20"/>
          <w:szCs w:val="20"/>
          <w:lang w:val="ru-RU"/>
        </w:rPr>
        <w:t>неточність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оскільки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довірчі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інтервали</w:t>
      </w:r>
      <w:proofErr w:type="spellEnd"/>
      <w:r w:rsidRPr="006B6651">
        <w:rPr>
          <w:color w:val="000000" w:themeColor="text1"/>
          <w:w w:val="110"/>
          <w:sz w:val="20"/>
          <w:szCs w:val="20"/>
          <w:lang w:val="ru-RU"/>
        </w:rPr>
        <w:t xml:space="preserve"> були широкими). Для амікацину </w:t>
      </w:r>
      <w:proofErr w:type="spellStart"/>
      <w:r w:rsidRPr="006B6651">
        <w:rPr>
          <w:color w:val="000000" w:themeColor="text1"/>
          <w:w w:val="110"/>
          <w:sz w:val="20"/>
          <w:szCs w:val="20"/>
          <w:lang w:val="ru-RU"/>
        </w:rPr>
        <w:t>достовірн</w:t>
      </w:r>
      <w:r w:rsidRPr="00FD0682">
        <w:rPr>
          <w:color w:val="000000" w:themeColor="text1"/>
          <w:w w:val="110"/>
          <w:sz w:val="20"/>
          <w:szCs w:val="20"/>
          <w:lang w:val="uk-UA"/>
        </w:rPr>
        <w:t>ість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бул</w:t>
      </w:r>
      <w:proofErr w:type="spellEnd"/>
      <w:r w:rsidRPr="00FD0682">
        <w:rPr>
          <w:color w:val="000000" w:themeColor="text1"/>
          <w:w w:val="110"/>
          <w:sz w:val="20"/>
          <w:szCs w:val="20"/>
          <w:lang w:val="uk-UA"/>
        </w:rPr>
        <w:t>а</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знижен</w:t>
      </w:r>
      <w:proofErr w:type="spellEnd"/>
      <w:r w:rsidRPr="00FD0682">
        <w:rPr>
          <w:color w:val="000000" w:themeColor="text1"/>
          <w:w w:val="110"/>
          <w:sz w:val="20"/>
          <w:szCs w:val="20"/>
          <w:lang w:val="uk-UA"/>
        </w:rPr>
        <w:t>а</w:t>
      </w:r>
      <w:r w:rsidRPr="006B6651">
        <w:rPr>
          <w:color w:val="000000" w:themeColor="text1"/>
          <w:w w:val="110"/>
          <w:sz w:val="20"/>
          <w:szCs w:val="20"/>
          <w:lang w:val="ru-RU"/>
        </w:rPr>
        <w:t xml:space="preserve"> на один </w:t>
      </w:r>
      <w:proofErr w:type="spellStart"/>
      <w:r w:rsidRPr="006B6651">
        <w:rPr>
          <w:color w:val="000000" w:themeColor="text1"/>
          <w:w w:val="110"/>
          <w:sz w:val="20"/>
          <w:szCs w:val="20"/>
          <w:lang w:val="ru-RU"/>
        </w:rPr>
        <w:t>рівень</w:t>
      </w:r>
      <w:proofErr w:type="spellEnd"/>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чутливості</w:t>
      </w:r>
      <w:proofErr w:type="spellEnd"/>
      <w:r w:rsidRPr="006B6651">
        <w:rPr>
          <w:color w:val="000000" w:themeColor="text1"/>
          <w:w w:val="110"/>
          <w:sz w:val="20"/>
          <w:szCs w:val="20"/>
          <w:lang w:val="ru-RU"/>
        </w:rPr>
        <w:t xml:space="preserve"> та </w:t>
      </w:r>
      <w:proofErr w:type="spellStart"/>
      <w:r w:rsidRPr="006B6651">
        <w:rPr>
          <w:color w:val="000000" w:themeColor="text1"/>
          <w:w w:val="110"/>
          <w:sz w:val="20"/>
          <w:szCs w:val="20"/>
          <w:lang w:val="ru-RU"/>
        </w:rPr>
        <w:t>специфічності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оскільки</w:t>
      </w:r>
      <w:proofErr w:type="spellEnd"/>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значної</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частини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зразків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використовувалися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критичні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концентрації</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що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відрізнялися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від</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рекомендованих</w:t>
      </w:r>
      <w:proofErr w:type="spellEnd"/>
      <w:r w:rsidRPr="006B6651">
        <w:rPr>
          <w:color w:val="000000" w:themeColor="text1"/>
          <w:w w:val="110"/>
          <w:sz w:val="20"/>
          <w:szCs w:val="20"/>
          <w:lang w:val="ru-RU"/>
        </w:rPr>
        <w:t xml:space="preserve"> ВООЗ. </w:t>
      </w:r>
      <w:proofErr w:type="spellStart"/>
      <w:r w:rsidRPr="006B6651">
        <w:rPr>
          <w:color w:val="000000" w:themeColor="text1"/>
          <w:w w:val="110"/>
          <w:sz w:val="20"/>
          <w:szCs w:val="20"/>
          <w:lang w:val="ru-RU"/>
        </w:rPr>
        <w:t>Чутливість</w:t>
      </w:r>
      <w:proofErr w:type="spellEnd"/>
      <w:r w:rsidRPr="006B6651">
        <w:rPr>
          <w:color w:val="000000" w:themeColor="text1"/>
          <w:w w:val="110"/>
          <w:sz w:val="20"/>
          <w:szCs w:val="20"/>
          <w:lang w:val="ru-RU"/>
        </w:rPr>
        <w:t xml:space="preserve"> для амікацину </w:t>
      </w:r>
      <w:proofErr w:type="spellStart"/>
      <w:r w:rsidRPr="006B6651">
        <w:rPr>
          <w:color w:val="000000" w:themeColor="text1"/>
          <w:w w:val="110"/>
          <w:sz w:val="20"/>
          <w:szCs w:val="20"/>
          <w:lang w:val="ru-RU"/>
        </w:rPr>
        <w:t>була</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додатково</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знижена</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ще</w:t>
      </w:r>
      <w:proofErr w:type="spellEnd"/>
      <w:r w:rsidRPr="006B6651">
        <w:rPr>
          <w:color w:val="000000" w:themeColor="text1"/>
          <w:w w:val="110"/>
          <w:sz w:val="20"/>
          <w:szCs w:val="20"/>
          <w:lang w:val="ru-RU"/>
        </w:rPr>
        <w:t xml:space="preserve"> на два </w:t>
      </w:r>
      <w:proofErr w:type="spellStart"/>
      <w:r w:rsidRPr="006B6651">
        <w:rPr>
          <w:color w:val="000000" w:themeColor="text1"/>
          <w:w w:val="110"/>
          <w:sz w:val="20"/>
          <w:szCs w:val="20"/>
          <w:lang w:val="ru-RU"/>
        </w:rPr>
        <w:t>рівні</w:t>
      </w:r>
      <w:proofErr w:type="spellEnd"/>
      <w:r w:rsidRPr="006B6651">
        <w:rPr>
          <w:color w:val="000000" w:themeColor="text1"/>
          <w:w w:val="110"/>
          <w:sz w:val="20"/>
          <w:szCs w:val="20"/>
          <w:lang w:val="ru-RU"/>
        </w:rPr>
        <w:t xml:space="preserve">: один – через </w:t>
      </w:r>
      <w:proofErr w:type="spellStart"/>
      <w:r w:rsidRPr="006B6651">
        <w:rPr>
          <w:color w:val="000000" w:themeColor="text1"/>
          <w:w w:val="110"/>
          <w:sz w:val="20"/>
          <w:szCs w:val="20"/>
          <w:lang w:val="ru-RU"/>
        </w:rPr>
        <w:t>неузгодженість</w:t>
      </w:r>
      <w:proofErr w:type="spellEnd"/>
      <w:r w:rsidRPr="006B6651">
        <w:rPr>
          <w:color w:val="000000" w:themeColor="text1"/>
          <w:w w:val="110"/>
          <w:sz w:val="20"/>
          <w:szCs w:val="20"/>
          <w:lang w:val="ru-RU"/>
        </w:rPr>
        <w:t xml:space="preserve">, а </w:t>
      </w:r>
      <w:proofErr w:type="spellStart"/>
      <w:r w:rsidRPr="006B6651">
        <w:rPr>
          <w:color w:val="000000" w:themeColor="text1"/>
          <w:w w:val="110"/>
          <w:sz w:val="20"/>
          <w:szCs w:val="20"/>
          <w:lang w:val="ru-RU"/>
        </w:rPr>
        <w:t>інший</w:t>
      </w:r>
      <w:proofErr w:type="spellEnd"/>
      <w:r w:rsidRPr="006B6651">
        <w:rPr>
          <w:color w:val="000000" w:themeColor="text1"/>
          <w:w w:val="110"/>
          <w:sz w:val="20"/>
          <w:szCs w:val="20"/>
          <w:lang w:val="ru-RU"/>
        </w:rPr>
        <w:t xml:space="preserve"> – через </w:t>
      </w:r>
      <w:proofErr w:type="spellStart"/>
      <w:r w:rsidRPr="006B6651">
        <w:rPr>
          <w:color w:val="000000" w:themeColor="text1"/>
          <w:w w:val="110"/>
          <w:sz w:val="20"/>
          <w:szCs w:val="20"/>
          <w:lang w:val="ru-RU"/>
        </w:rPr>
        <w:t>неточність</w:t>
      </w:r>
      <w:proofErr w:type="spellEnd"/>
      <w:r w:rsidRPr="006B6651">
        <w:rPr>
          <w:color w:val="000000" w:themeColor="text1"/>
          <w:w w:val="110"/>
          <w:sz w:val="20"/>
          <w:szCs w:val="20"/>
          <w:lang w:val="ru-RU"/>
        </w:rPr>
        <w:t xml:space="preserve">. Для етамбутолу </w:t>
      </w:r>
      <w:proofErr w:type="spellStart"/>
      <w:r w:rsidRPr="006B6651">
        <w:rPr>
          <w:color w:val="000000" w:themeColor="text1"/>
          <w:w w:val="110"/>
          <w:sz w:val="20"/>
          <w:szCs w:val="20"/>
          <w:lang w:val="ru-RU"/>
        </w:rPr>
        <w:t>достові</w:t>
      </w:r>
      <w:r>
        <w:rPr>
          <w:color w:val="000000" w:themeColor="text1"/>
          <w:w w:val="110"/>
          <w:sz w:val="20"/>
          <w:szCs w:val="20"/>
          <w:lang w:val="uk-UA"/>
        </w:rPr>
        <w:t>рність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бул</w:t>
      </w:r>
      <w:proofErr w:type="spellEnd"/>
      <w:r>
        <w:rPr>
          <w:color w:val="000000" w:themeColor="text1"/>
          <w:w w:val="110"/>
          <w:sz w:val="20"/>
          <w:szCs w:val="20"/>
          <w:lang w:val="uk-UA"/>
        </w:rPr>
        <w:t>а</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знижен</w:t>
      </w:r>
      <w:proofErr w:type="spellEnd"/>
      <w:r>
        <w:rPr>
          <w:color w:val="000000" w:themeColor="text1"/>
          <w:w w:val="110"/>
          <w:sz w:val="20"/>
          <w:szCs w:val="20"/>
          <w:lang w:val="uk-UA"/>
        </w:rPr>
        <w:t>а</w:t>
      </w:r>
      <w:r w:rsidRPr="006B6651">
        <w:rPr>
          <w:color w:val="000000" w:themeColor="text1"/>
          <w:w w:val="110"/>
          <w:sz w:val="20"/>
          <w:szCs w:val="20"/>
          <w:lang w:val="ru-RU"/>
        </w:rPr>
        <w:t xml:space="preserve"> на один </w:t>
      </w:r>
      <w:proofErr w:type="spellStart"/>
      <w:r w:rsidRPr="006B6651">
        <w:rPr>
          <w:color w:val="000000" w:themeColor="text1"/>
          <w:w w:val="110"/>
          <w:sz w:val="20"/>
          <w:szCs w:val="20"/>
          <w:lang w:val="ru-RU"/>
        </w:rPr>
        <w:t>рівень</w:t>
      </w:r>
      <w:proofErr w:type="spellEnd"/>
      <w:r w:rsidRPr="006B6651">
        <w:rPr>
          <w:color w:val="000000" w:themeColor="text1"/>
          <w:w w:val="110"/>
          <w:sz w:val="20"/>
          <w:szCs w:val="20"/>
          <w:lang w:val="ru-RU"/>
        </w:rPr>
        <w:t xml:space="preserve"> через </w:t>
      </w:r>
      <w:proofErr w:type="spellStart"/>
      <w:r w:rsidRPr="006B6651">
        <w:rPr>
          <w:color w:val="000000" w:themeColor="text1"/>
          <w:w w:val="110"/>
          <w:sz w:val="20"/>
          <w:szCs w:val="20"/>
          <w:lang w:val="ru-RU"/>
        </w:rPr>
        <w:t>ризик</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систематичної</w:t>
      </w:r>
      <w:proofErr w:type="spellEnd"/>
      <w:r w:rsidRPr="006B6651">
        <w:rPr>
          <w:color w:val="000000" w:themeColor="text1"/>
          <w:w w:val="110"/>
          <w:sz w:val="20"/>
          <w:szCs w:val="20"/>
          <w:lang w:val="ru-RU"/>
        </w:rPr>
        <w:t xml:space="preserve"> </w:t>
      </w:r>
      <w:r w:rsidRPr="00FD0682">
        <w:rPr>
          <w:color w:val="000000" w:themeColor="text1"/>
          <w:w w:val="110"/>
          <w:sz w:val="20"/>
          <w:szCs w:val="20"/>
          <w:lang w:val="uk-UA"/>
        </w:rPr>
        <w:t>похибки</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оскільки</w:t>
      </w:r>
      <w:proofErr w:type="spellEnd"/>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досліджуваного</w:t>
      </w:r>
      <w:proofErr w:type="spellEnd"/>
      <w:r w:rsidRPr="006B6651">
        <w:rPr>
          <w:color w:val="000000" w:themeColor="text1"/>
          <w:w w:val="110"/>
          <w:sz w:val="20"/>
          <w:szCs w:val="20"/>
          <w:lang w:val="ru-RU"/>
        </w:rPr>
        <w:t xml:space="preserve"> та </w:t>
      </w:r>
      <w:r w:rsidRPr="006811CF">
        <w:rPr>
          <w:color w:val="000000" w:themeColor="text1"/>
          <w:w w:val="110"/>
          <w:sz w:val="20"/>
          <w:szCs w:val="20"/>
          <w:lang w:val="uk-UA"/>
        </w:rPr>
        <w:t>еталонного</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тестів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використовувалися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різні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зразки</w:t>
      </w:r>
      <w:proofErr w:type="spellEnd"/>
      <w:r w:rsidRPr="006B6651">
        <w:rPr>
          <w:color w:val="000000" w:themeColor="text1"/>
          <w:w w:val="110"/>
          <w:sz w:val="20"/>
          <w:szCs w:val="20"/>
          <w:lang w:val="ru-RU"/>
        </w:rPr>
        <w:t>.</w:t>
      </w:r>
      <w:r w:rsidRPr="00FD0682">
        <w:rPr>
          <w:color w:val="000000" w:themeColor="text1"/>
          <w:w w:val="110"/>
          <w:sz w:val="20"/>
          <w:szCs w:val="20"/>
          <w:lang w:val="uk-UA"/>
        </w:rPr>
        <w:t xml:space="preserve"> </w:t>
      </w:r>
      <w:proofErr w:type="spellStart"/>
      <w:r w:rsidRPr="006B6651">
        <w:rPr>
          <w:color w:val="000000" w:themeColor="text1"/>
          <w:w w:val="110"/>
          <w:sz w:val="20"/>
          <w:szCs w:val="20"/>
          <w:lang w:val="ru-RU"/>
        </w:rPr>
        <w:t>Специфічність</w:t>
      </w:r>
      <w:proofErr w:type="spellEnd"/>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стрептоміцину</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була</w:t>
      </w:r>
      <w:proofErr w:type="spellEnd"/>
      <w:r w:rsidRPr="006B6651">
        <w:rPr>
          <w:color w:val="000000" w:themeColor="text1"/>
          <w:w w:val="110"/>
          <w:sz w:val="20"/>
          <w:szCs w:val="20"/>
          <w:lang w:val="ru-RU"/>
        </w:rPr>
        <w:t xml:space="preserve"> </w:t>
      </w:r>
    </w:p>
    <w:p w14:paraId="3ECD3441" w14:textId="61A7D077" w:rsidR="0015544F" w:rsidRDefault="004A2937" w:rsidP="004A2937">
      <w:pPr>
        <w:pStyle w:val="a3"/>
        <w:tabs>
          <w:tab w:val="left" w:pos="8540"/>
        </w:tabs>
        <w:spacing w:before="173" w:line="276" w:lineRule="auto"/>
        <w:ind w:left="567" w:right="4"/>
        <w:jc w:val="both"/>
        <w:rPr>
          <w:color w:val="000000" w:themeColor="text1"/>
          <w:w w:val="110"/>
          <w:sz w:val="20"/>
          <w:szCs w:val="20"/>
          <w:lang w:val="ru-RU"/>
        </w:rPr>
      </w:pPr>
      <w:r>
        <w:rPr>
          <w:noProof/>
        </w:rPr>
        <mc:AlternateContent>
          <mc:Choice Requires="wps">
            <w:drawing>
              <wp:anchor distT="0" distB="0" distL="114300" distR="114300" simplePos="0" relativeHeight="488233472" behindDoc="0" locked="0" layoutInCell="1" allowOverlap="1" wp14:anchorId="7DF556AB" wp14:editId="162C1C03">
                <wp:simplePos x="0" y="0"/>
                <wp:positionH relativeFrom="margin">
                  <wp:posOffset>5968365</wp:posOffset>
                </wp:positionH>
                <wp:positionV relativeFrom="paragraph">
                  <wp:posOffset>210185</wp:posOffset>
                </wp:positionV>
                <wp:extent cx="463550" cy="215900"/>
                <wp:effectExtent l="0" t="0" r="0" b="0"/>
                <wp:wrapNone/>
                <wp:docPr id="1260154067" name="Поле 1941"/>
                <wp:cNvGraphicFramePr/>
                <a:graphic xmlns:a="http://schemas.openxmlformats.org/drawingml/2006/main">
                  <a:graphicData uri="http://schemas.microsoft.com/office/word/2010/wordprocessingShape">
                    <wps:wsp>
                      <wps:cNvSpPr txBox="1"/>
                      <wps:spPr>
                        <a:xfrm>
                          <a:off x="0" y="0"/>
                          <a:ext cx="463550" cy="215900"/>
                        </a:xfrm>
                        <a:prstGeom prst="rect">
                          <a:avLst/>
                        </a:prstGeom>
                        <a:solidFill>
                          <a:schemeClr val="lt1"/>
                        </a:solidFill>
                        <a:ln w="6350">
                          <a:noFill/>
                        </a:ln>
                      </wps:spPr>
                      <wps:txbx>
                        <w:txbxContent>
                          <w:p w14:paraId="394D32EF" w14:textId="6FDD5823" w:rsidR="004A2937" w:rsidRPr="00770751" w:rsidRDefault="004A2937" w:rsidP="004A2937">
                            <w:pPr>
                              <w:rPr>
                                <w:color w:val="388600"/>
                                <w:sz w:val="20"/>
                                <w:szCs w:val="20"/>
                                <w:lang w:val="uk-UA"/>
                              </w:rPr>
                            </w:pPr>
                            <w:r>
                              <w:rPr>
                                <w:color w:val="388600"/>
                                <w:sz w:val="20"/>
                                <w:szCs w:val="20"/>
                                <w:lang w:val="uk-UA"/>
                              </w:rPr>
                              <w:t>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556AB" id="_x0000_s1178" type="#_x0000_t202" style="position:absolute;left:0;text-align:left;margin-left:469.95pt;margin-top:16.55pt;width:36.5pt;height:17pt;z-index:48823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" fillcolor="white [3201]" stroked="f" strokeweight=".5pt">
                <v:textbox>
                  <w:txbxContent>
                    <w:p w14:paraId="394D32EF" w14:textId="6FDD5823" w:rsidR="004A2937" w:rsidRPr="00770751" w:rsidRDefault="004A2937" w:rsidP="004A2937">
                      <w:pPr>
                        <w:rPr>
                          <w:color w:val="388600"/>
                          <w:sz w:val="20"/>
                          <w:szCs w:val="20"/>
                          <w:lang w:val="uk-UA"/>
                        </w:rPr>
                      </w:pPr>
                      <w:r>
                        <w:rPr>
                          <w:color w:val="388600"/>
                          <w:sz w:val="20"/>
                          <w:szCs w:val="20"/>
                          <w:lang w:val="uk-UA"/>
                        </w:rPr>
                        <w:t>107</w:t>
                      </w:r>
                    </w:p>
                  </w:txbxContent>
                </v:textbox>
                <w10:wrap anchorx="margin"/>
              </v:shape>
            </w:pict>
          </mc:Fallback>
        </mc:AlternateContent>
      </w:r>
      <w:r>
        <w:rPr>
          <w:color w:val="000000" w:themeColor="text1"/>
          <w:w w:val="110"/>
          <w:sz w:val="20"/>
          <w:szCs w:val="20"/>
          <w:lang w:val="ru-RU"/>
        </w:rPr>
        <w:tab/>
      </w:r>
    </w:p>
    <w:p w14:paraId="00780088" w14:textId="1625AF92" w:rsidR="00767E2A" w:rsidRPr="0015544F" w:rsidRDefault="00767E2A" w:rsidP="0015544F">
      <w:pPr>
        <w:pStyle w:val="a3"/>
        <w:spacing w:before="173" w:line="276" w:lineRule="auto"/>
        <w:ind w:left="567" w:right="4"/>
        <w:jc w:val="both"/>
        <w:rPr>
          <w:color w:val="000000" w:themeColor="text1"/>
          <w:w w:val="110"/>
          <w:sz w:val="20"/>
          <w:szCs w:val="20"/>
          <w:lang w:val="ru-RU"/>
        </w:rPr>
      </w:pPr>
      <w:proofErr w:type="spellStart"/>
      <w:r w:rsidRPr="006B6651">
        <w:rPr>
          <w:color w:val="000000" w:themeColor="text1"/>
          <w:w w:val="110"/>
          <w:sz w:val="20"/>
          <w:szCs w:val="20"/>
          <w:lang w:val="ru-RU"/>
        </w:rPr>
        <w:lastRenderedPageBreak/>
        <w:t>знижена</w:t>
      </w:r>
      <w:proofErr w:type="spellEnd"/>
      <w:r w:rsidRPr="006B6651">
        <w:rPr>
          <w:color w:val="000000" w:themeColor="text1"/>
          <w:w w:val="110"/>
          <w:sz w:val="20"/>
          <w:szCs w:val="20"/>
          <w:lang w:val="ru-RU"/>
        </w:rPr>
        <w:t xml:space="preserve"> на два </w:t>
      </w:r>
      <w:proofErr w:type="spellStart"/>
      <w:r w:rsidRPr="006B6651">
        <w:rPr>
          <w:color w:val="000000" w:themeColor="text1"/>
          <w:w w:val="110"/>
          <w:sz w:val="20"/>
          <w:szCs w:val="20"/>
          <w:lang w:val="ru-RU"/>
        </w:rPr>
        <w:t>рівні</w:t>
      </w:r>
      <w:proofErr w:type="spellEnd"/>
      <w:r w:rsidRPr="006B6651">
        <w:rPr>
          <w:color w:val="000000" w:themeColor="text1"/>
          <w:w w:val="110"/>
          <w:sz w:val="20"/>
          <w:szCs w:val="20"/>
          <w:lang w:val="ru-RU"/>
        </w:rPr>
        <w:t xml:space="preserve">: один – через </w:t>
      </w:r>
      <w:proofErr w:type="spellStart"/>
      <w:r w:rsidRPr="006B6651">
        <w:rPr>
          <w:color w:val="000000" w:themeColor="text1"/>
          <w:w w:val="110"/>
          <w:sz w:val="20"/>
          <w:szCs w:val="20"/>
          <w:lang w:val="ru-RU"/>
        </w:rPr>
        <w:t>неузгодженість</w:t>
      </w:r>
      <w:proofErr w:type="spellEnd"/>
      <w:r w:rsidRPr="006B6651">
        <w:rPr>
          <w:color w:val="000000" w:themeColor="text1"/>
          <w:w w:val="110"/>
          <w:sz w:val="20"/>
          <w:szCs w:val="20"/>
          <w:lang w:val="ru-RU"/>
        </w:rPr>
        <w:t xml:space="preserve">, а </w:t>
      </w:r>
      <w:proofErr w:type="spellStart"/>
      <w:r w:rsidRPr="006B6651">
        <w:rPr>
          <w:color w:val="000000" w:themeColor="text1"/>
          <w:w w:val="110"/>
          <w:sz w:val="20"/>
          <w:szCs w:val="20"/>
          <w:lang w:val="ru-RU"/>
        </w:rPr>
        <w:t>інший</w:t>
      </w:r>
      <w:proofErr w:type="spellEnd"/>
      <w:r w:rsidRPr="006B6651">
        <w:rPr>
          <w:color w:val="000000" w:themeColor="text1"/>
          <w:w w:val="110"/>
          <w:sz w:val="20"/>
          <w:szCs w:val="20"/>
          <w:lang w:val="ru-RU"/>
        </w:rPr>
        <w:t xml:space="preserve"> – через </w:t>
      </w:r>
      <w:proofErr w:type="spellStart"/>
      <w:r w:rsidRPr="006B6651">
        <w:rPr>
          <w:color w:val="000000" w:themeColor="text1"/>
          <w:w w:val="110"/>
          <w:sz w:val="20"/>
          <w:szCs w:val="20"/>
          <w:lang w:val="ru-RU"/>
        </w:rPr>
        <w:t>неточність</w:t>
      </w:r>
      <w:proofErr w:type="spellEnd"/>
      <w:r w:rsidRPr="006B6651">
        <w:rPr>
          <w:color w:val="000000" w:themeColor="text1"/>
          <w:w w:val="110"/>
          <w:sz w:val="20"/>
          <w:szCs w:val="20"/>
          <w:lang w:val="ru-RU"/>
        </w:rPr>
        <w:t>.</w:t>
      </w:r>
      <w:r w:rsidRPr="00FD0682">
        <w:rPr>
          <w:color w:val="000000" w:themeColor="text1"/>
          <w:w w:val="110"/>
          <w:sz w:val="20"/>
          <w:szCs w:val="20"/>
          <w:lang w:val="uk-UA"/>
        </w:rPr>
        <w:t xml:space="preserve"> </w:t>
      </w:r>
      <w:proofErr w:type="spellStart"/>
      <w:r w:rsidRPr="006B6651">
        <w:rPr>
          <w:color w:val="000000" w:themeColor="text1"/>
          <w:w w:val="110"/>
          <w:sz w:val="20"/>
          <w:szCs w:val="20"/>
          <w:lang w:val="ru-RU"/>
        </w:rPr>
        <w:t>Загальна</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достовірність</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доказових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даних</w:t>
      </w:r>
      <w:proofErr w:type="spellEnd"/>
      <w:r w:rsidRPr="006B6651">
        <w:rPr>
          <w:color w:val="000000" w:themeColor="text1"/>
          <w:w w:val="110"/>
          <w:sz w:val="20"/>
          <w:szCs w:val="20"/>
          <w:lang w:val="ru-RU"/>
        </w:rPr>
        <w:t xml:space="preserve"> щодо </w:t>
      </w:r>
      <w:proofErr w:type="spellStart"/>
      <w:r w:rsidRPr="006B6651">
        <w:rPr>
          <w:color w:val="000000" w:themeColor="text1"/>
          <w:w w:val="110"/>
          <w:sz w:val="20"/>
          <w:szCs w:val="20"/>
          <w:lang w:val="ru-RU"/>
        </w:rPr>
        <w:t>точності</w:t>
      </w:r>
      <w:proofErr w:type="spellEnd"/>
      <w:r w:rsidRPr="006B6651">
        <w:rPr>
          <w:color w:val="000000" w:themeColor="text1"/>
          <w:w w:val="110"/>
          <w:sz w:val="20"/>
          <w:szCs w:val="20"/>
          <w:lang w:val="ru-RU"/>
        </w:rPr>
        <w:t xml:space="preserve"> тесту </w:t>
      </w:r>
      <w:proofErr w:type="spellStart"/>
      <w:r w:rsidRPr="006B6651">
        <w:rPr>
          <w:color w:val="000000" w:themeColor="text1"/>
          <w:w w:val="110"/>
          <w:sz w:val="20"/>
          <w:szCs w:val="20"/>
          <w:lang w:val="ru-RU"/>
        </w:rPr>
        <w:t>варіювалася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від</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високої</w:t>
      </w:r>
      <w:proofErr w:type="spellEnd"/>
      <w:r w:rsidRPr="006B6651">
        <w:rPr>
          <w:color w:val="000000" w:themeColor="text1"/>
          <w:w w:val="110"/>
          <w:sz w:val="20"/>
          <w:szCs w:val="20"/>
          <w:lang w:val="ru-RU"/>
        </w:rPr>
        <w:t xml:space="preserve"> до </w:t>
      </w:r>
      <w:proofErr w:type="spellStart"/>
      <w:r w:rsidRPr="006B6651">
        <w:rPr>
          <w:color w:val="000000" w:themeColor="text1"/>
          <w:w w:val="110"/>
          <w:sz w:val="20"/>
          <w:szCs w:val="20"/>
          <w:lang w:val="ru-RU"/>
        </w:rPr>
        <w:t>дуже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низької</w:t>
      </w:r>
      <w:proofErr w:type="spellEnd"/>
      <w:r w:rsidRPr="006B6651">
        <w:rPr>
          <w:color w:val="000000" w:themeColor="text1"/>
          <w:w w:val="110"/>
          <w:sz w:val="20"/>
          <w:szCs w:val="20"/>
          <w:lang w:val="ru-RU"/>
        </w:rPr>
        <w:t>.</w:t>
      </w:r>
    </w:p>
    <w:p w14:paraId="16B91E40" w14:textId="77777777" w:rsidR="00767E2A" w:rsidRPr="006B6651" w:rsidRDefault="00767E2A" w:rsidP="0015544F">
      <w:pPr>
        <w:spacing w:before="86" w:line="276" w:lineRule="auto"/>
        <w:ind w:left="567" w:right="4"/>
        <w:jc w:val="both"/>
        <w:rPr>
          <w:color w:val="000000" w:themeColor="text1"/>
          <w:sz w:val="20"/>
          <w:szCs w:val="20"/>
          <w:lang w:val="ru-RU"/>
        </w:rPr>
      </w:pPr>
      <w:r w:rsidRPr="00FD0682">
        <w:rPr>
          <w:color w:val="000000" w:themeColor="text1"/>
          <w:w w:val="110"/>
          <w:sz w:val="20"/>
          <w:szCs w:val="20"/>
          <w:lang w:val="uk-UA"/>
        </w:rPr>
        <w:t>С</w:t>
      </w:r>
      <w:proofErr w:type="spellStart"/>
      <w:r w:rsidRPr="006B6651">
        <w:rPr>
          <w:color w:val="000000" w:themeColor="text1"/>
          <w:w w:val="110"/>
          <w:sz w:val="20"/>
          <w:szCs w:val="20"/>
          <w:lang w:val="ru-RU"/>
        </w:rPr>
        <w:t>еред</w:t>
      </w:r>
      <w:proofErr w:type="spellEnd"/>
      <w:r w:rsidRPr="006B6651">
        <w:rPr>
          <w:color w:val="000000" w:themeColor="text1"/>
          <w:w w:val="110"/>
          <w:sz w:val="20"/>
          <w:szCs w:val="20"/>
          <w:lang w:val="ru-RU"/>
        </w:rPr>
        <w:t xml:space="preserve"> людей з Р</w:t>
      </w:r>
      <w:proofErr w:type="spellStart"/>
      <w:r w:rsidRPr="00FD0682">
        <w:rPr>
          <w:color w:val="000000" w:themeColor="text1"/>
          <w:w w:val="110"/>
          <w:sz w:val="20"/>
          <w:szCs w:val="20"/>
          <w:lang w:val="uk-UA"/>
        </w:rPr>
        <w:t>иф</w:t>
      </w:r>
      <w:proofErr w:type="spellEnd"/>
      <w:r w:rsidRPr="006B6651">
        <w:rPr>
          <w:color w:val="000000" w:themeColor="text1"/>
          <w:w w:val="110"/>
          <w:sz w:val="20"/>
          <w:szCs w:val="20"/>
          <w:lang w:val="ru-RU"/>
        </w:rPr>
        <w:t xml:space="preserve">-ТБ </w:t>
      </w:r>
      <w:r w:rsidRPr="00FD0682">
        <w:rPr>
          <w:color w:val="000000" w:themeColor="text1"/>
          <w:w w:val="110"/>
          <w:sz w:val="20"/>
          <w:szCs w:val="20"/>
          <w:lang w:val="uk-UA"/>
        </w:rPr>
        <w:t>т</w:t>
      </w:r>
      <w:r w:rsidRPr="006B6651">
        <w:rPr>
          <w:color w:val="000000" w:themeColor="text1"/>
          <w:w w:val="110"/>
          <w:sz w:val="20"/>
          <w:szCs w:val="20"/>
          <w:lang w:val="ru-RU"/>
        </w:rPr>
        <w:t xml:space="preserve">ест показав </w:t>
      </w:r>
      <w:proofErr w:type="spellStart"/>
      <w:r w:rsidRPr="006B6651">
        <w:rPr>
          <w:b/>
          <w:color w:val="000000" w:themeColor="text1"/>
          <w:w w:val="110"/>
          <w:sz w:val="20"/>
          <w:szCs w:val="20"/>
          <w:lang w:val="ru-RU"/>
        </w:rPr>
        <w:t>точні</w:t>
      </w:r>
      <w:proofErr w:type="spellEnd"/>
      <w:r w:rsidRPr="006B6651">
        <w:rPr>
          <w:b/>
          <w:color w:val="000000" w:themeColor="text1"/>
          <w:w w:val="110"/>
          <w:sz w:val="20"/>
          <w:szCs w:val="20"/>
          <w:lang w:val="ru-RU"/>
        </w:rPr>
        <w:t xml:space="preserve"> </w:t>
      </w:r>
      <w:proofErr w:type="spellStart"/>
      <w:r w:rsidRPr="006B6651">
        <w:rPr>
          <w:b/>
          <w:color w:val="000000" w:themeColor="text1"/>
          <w:w w:val="110"/>
          <w:sz w:val="20"/>
          <w:szCs w:val="20"/>
          <w:lang w:val="ru-RU"/>
        </w:rPr>
        <w:t>результати</w:t>
      </w:r>
      <w:proofErr w:type="spellEnd"/>
      <w:r w:rsidRPr="006B6651">
        <w:rPr>
          <w:b/>
          <w:color w:val="000000" w:themeColor="text1"/>
          <w:w w:val="110"/>
          <w:sz w:val="20"/>
          <w:szCs w:val="20"/>
          <w:lang w:val="ru-RU"/>
        </w:rPr>
        <w:t xml:space="preserve"> у </w:t>
      </w:r>
      <w:proofErr w:type="spellStart"/>
      <w:r w:rsidRPr="006B6651">
        <w:rPr>
          <w:b/>
          <w:color w:val="000000" w:themeColor="text1"/>
          <w:w w:val="110"/>
          <w:sz w:val="20"/>
          <w:szCs w:val="20"/>
          <w:lang w:val="ru-RU"/>
        </w:rPr>
        <w:t>виявленні</w:t>
      </w:r>
      <w:proofErr w:type="spellEnd"/>
      <w:r w:rsidRPr="006B6651">
        <w:rPr>
          <w:b/>
          <w:color w:val="000000" w:themeColor="text1"/>
          <w:w w:val="110"/>
          <w:sz w:val="20"/>
          <w:szCs w:val="20"/>
          <w:lang w:val="ru-RU"/>
        </w:rPr>
        <w:t xml:space="preserve"> </w:t>
      </w:r>
      <w:proofErr w:type="spellStart"/>
      <w:r w:rsidRPr="006B6651">
        <w:rPr>
          <w:b/>
          <w:color w:val="000000" w:themeColor="text1"/>
          <w:w w:val="110"/>
          <w:sz w:val="20"/>
          <w:szCs w:val="20"/>
          <w:lang w:val="ru-RU"/>
        </w:rPr>
        <w:t>стійкості</w:t>
      </w:r>
      <w:proofErr w:type="spellEnd"/>
      <w:r w:rsidRPr="006B6651">
        <w:rPr>
          <w:b/>
          <w:color w:val="000000" w:themeColor="text1"/>
          <w:w w:val="110"/>
          <w:sz w:val="20"/>
          <w:szCs w:val="20"/>
          <w:lang w:val="ru-RU"/>
        </w:rPr>
        <w:t xml:space="preserve"> до ізоніазиду, </w:t>
      </w:r>
      <w:proofErr w:type="spellStart"/>
      <w:r w:rsidRPr="006B6651">
        <w:rPr>
          <w:b/>
          <w:color w:val="000000" w:themeColor="text1"/>
          <w:w w:val="110"/>
          <w:sz w:val="20"/>
          <w:szCs w:val="20"/>
          <w:lang w:val="ru-RU"/>
        </w:rPr>
        <w:t>левофлоксацину</w:t>
      </w:r>
      <w:proofErr w:type="spellEnd"/>
      <w:r w:rsidRPr="006B6651">
        <w:rPr>
          <w:b/>
          <w:color w:val="000000" w:themeColor="text1"/>
          <w:w w:val="110"/>
          <w:sz w:val="20"/>
          <w:szCs w:val="20"/>
          <w:lang w:val="ru-RU"/>
        </w:rPr>
        <w:t xml:space="preserve">, моксифлоксацину, етамбутолу та </w:t>
      </w:r>
      <w:proofErr w:type="spellStart"/>
      <w:r w:rsidRPr="006B6651">
        <w:rPr>
          <w:b/>
          <w:color w:val="000000" w:themeColor="text1"/>
          <w:w w:val="110"/>
          <w:sz w:val="20"/>
          <w:szCs w:val="20"/>
          <w:lang w:val="ru-RU"/>
        </w:rPr>
        <w:t>стрептоміцину</w:t>
      </w:r>
      <w:proofErr w:type="spellEnd"/>
      <w:r w:rsidRPr="006B6651">
        <w:rPr>
          <w:b/>
          <w:color w:val="000000" w:themeColor="text1"/>
          <w:w w:val="110"/>
          <w:sz w:val="20"/>
          <w:szCs w:val="20"/>
          <w:lang w:val="ru-RU"/>
        </w:rPr>
        <w:t xml:space="preserve"> (</w:t>
      </w:r>
      <w:proofErr w:type="spellStart"/>
      <w:r w:rsidRPr="006B6651">
        <w:rPr>
          <w:b/>
          <w:color w:val="000000" w:themeColor="text1"/>
          <w:w w:val="110"/>
          <w:sz w:val="20"/>
          <w:szCs w:val="20"/>
          <w:lang w:val="ru-RU"/>
        </w:rPr>
        <w:t>об'єднана</w:t>
      </w:r>
      <w:proofErr w:type="spellEnd"/>
      <w:r w:rsidRPr="006B6651">
        <w:rPr>
          <w:b/>
          <w:color w:val="000000" w:themeColor="text1"/>
          <w:w w:val="110"/>
          <w:sz w:val="20"/>
          <w:szCs w:val="20"/>
          <w:lang w:val="ru-RU"/>
        </w:rPr>
        <w:t xml:space="preserve"> </w:t>
      </w:r>
      <w:proofErr w:type="spellStart"/>
      <w:r w:rsidRPr="006B6651">
        <w:rPr>
          <w:b/>
          <w:color w:val="000000" w:themeColor="text1"/>
          <w:w w:val="110"/>
          <w:sz w:val="20"/>
          <w:szCs w:val="20"/>
          <w:lang w:val="ru-RU"/>
        </w:rPr>
        <w:t>чутливість</w:t>
      </w:r>
      <w:proofErr w:type="spellEnd"/>
      <w:r w:rsidRPr="006B6651">
        <w:rPr>
          <w:b/>
          <w:color w:val="000000" w:themeColor="text1"/>
          <w:w w:val="110"/>
          <w:sz w:val="20"/>
          <w:szCs w:val="20"/>
          <w:lang w:val="ru-RU"/>
        </w:rPr>
        <w:t xml:space="preserve"> ≥95%) та </w:t>
      </w:r>
      <w:proofErr w:type="spellStart"/>
      <w:r w:rsidRPr="006B6651">
        <w:rPr>
          <w:b/>
          <w:color w:val="000000" w:themeColor="text1"/>
          <w:w w:val="110"/>
          <w:sz w:val="20"/>
          <w:szCs w:val="20"/>
          <w:lang w:val="ru-RU"/>
        </w:rPr>
        <w:t>прийнятн</w:t>
      </w:r>
      <w:proofErr w:type="spellEnd"/>
      <w:r>
        <w:rPr>
          <w:b/>
          <w:color w:val="000000" w:themeColor="text1"/>
          <w:w w:val="110"/>
          <w:sz w:val="20"/>
          <w:szCs w:val="20"/>
          <w:lang w:val="uk-UA"/>
        </w:rPr>
        <w:t>і</w:t>
      </w:r>
      <w:r w:rsidRPr="006B6651">
        <w:rPr>
          <w:b/>
          <w:color w:val="000000" w:themeColor="text1"/>
          <w:w w:val="110"/>
          <w:sz w:val="20"/>
          <w:szCs w:val="20"/>
          <w:lang w:val="ru-RU"/>
        </w:rPr>
        <w:t xml:space="preserve"> для піразинаміду (90%), бедаквіліну (68%), лінезоліду (69%), клофазиміну (70%) та амікацину (87%)</w:t>
      </w:r>
      <w:r w:rsidRPr="006B6651">
        <w:rPr>
          <w:color w:val="000000" w:themeColor="text1"/>
          <w:w w:val="110"/>
          <w:sz w:val="20"/>
          <w:szCs w:val="20"/>
          <w:lang w:val="ru-RU"/>
        </w:rPr>
        <w:t xml:space="preserve">. </w:t>
      </w:r>
      <w:proofErr w:type="spellStart"/>
      <w:r w:rsidRPr="006B6651">
        <w:rPr>
          <w:b/>
          <w:color w:val="000000" w:themeColor="text1"/>
          <w:w w:val="110"/>
          <w:sz w:val="20"/>
          <w:szCs w:val="20"/>
          <w:lang w:val="ru-RU"/>
        </w:rPr>
        <w:t>Об'єднана</w:t>
      </w:r>
      <w:proofErr w:type="spellEnd"/>
      <w:r w:rsidRPr="006B6651">
        <w:rPr>
          <w:b/>
          <w:color w:val="000000" w:themeColor="text1"/>
          <w:w w:val="110"/>
          <w:sz w:val="20"/>
          <w:szCs w:val="20"/>
          <w:lang w:val="ru-RU"/>
        </w:rPr>
        <w:t xml:space="preserve"> </w:t>
      </w:r>
      <w:proofErr w:type="spellStart"/>
      <w:r w:rsidRPr="006B6651">
        <w:rPr>
          <w:b/>
          <w:color w:val="000000" w:themeColor="text1"/>
          <w:w w:val="110"/>
          <w:sz w:val="20"/>
          <w:szCs w:val="20"/>
          <w:lang w:val="ru-RU"/>
        </w:rPr>
        <w:t>специфічність</w:t>
      </w:r>
      <w:proofErr w:type="spellEnd"/>
      <w:r w:rsidRPr="006B6651">
        <w:rPr>
          <w:b/>
          <w:color w:val="000000" w:themeColor="text1"/>
          <w:w w:val="110"/>
          <w:sz w:val="20"/>
          <w:szCs w:val="20"/>
          <w:lang w:val="ru-RU"/>
        </w:rPr>
        <w:t xml:space="preserve"> становила 95% або </w:t>
      </w:r>
      <w:proofErr w:type="spellStart"/>
      <w:r w:rsidRPr="006B6651">
        <w:rPr>
          <w:b/>
          <w:color w:val="000000" w:themeColor="text1"/>
          <w:w w:val="110"/>
          <w:sz w:val="20"/>
          <w:szCs w:val="20"/>
          <w:lang w:val="ru-RU"/>
        </w:rPr>
        <w:t>більше</w:t>
      </w:r>
      <w:proofErr w:type="spellEnd"/>
      <w:r w:rsidRPr="006B6651">
        <w:rPr>
          <w:b/>
          <w:color w:val="000000" w:themeColor="text1"/>
          <w:w w:val="110"/>
          <w:sz w:val="20"/>
          <w:szCs w:val="20"/>
          <w:lang w:val="ru-RU"/>
        </w:rPr>
        <w:t xml:space="preserve"> для </w:t>
      </w:r>
      <w:proofErr w:type="spellStart"/>
      <w:r w:rsidRPr="006B6651">
        <w:rPr>
          <w:b/>
          <w:color w:val="000000" w:themeColor="text1"/>
          <w:w w:val="110"/>
          <w:sz w:val="20"/>
          <w:szCs w:val="20"/>
          <w:lang w:val="ru-RU"/>
        </w:rPr>
        <w:t>всіх</w:t>
      </w:r>
      <w:proofErr w:type="spellEnd"/>
      <w:r w:rsidRPr="006B6651">
        <w:rPr>
          <w:b/>
          <w:color w:val="000000" w:themeColor="text1"/>
          <w:w w:val="110"/>
          <w:sz w:val="20"/>
          <w:szCs w:val="20"/>
          <w:lang w:val="ru-RU"/>
        </w:rPr>
        <w:t xml:space="preserve"> </w:t>
      </w:r>
      <w:proofErr w:type="spellStart"/>
      <w:r w:rsidRPr="006B6651">
        <w:rPr>
          <w:b/>
          <w:color w:val="000000" w:themeColor="text1"/>
          <w:w w:val="110"/>
          <w:sz w:val="20"/>
          <w:szCs w:val="20"/>
          <w:lang w:val="ru-RU"/>
        </w:rPr>
        <w:t>препаратів</w:t>
      </w:r>
      <w:proofErr w:type="spellEnd"/>
      <w:r w:rsidRPr="006B6651">
        <w:rPr>
          <w:b/>
          <w:color w:val="000000" w:themeColor="text1"/>
          <w:w w:val="110"/>
          <w:sz w:val="20"/>
          <w:szCs w:val="20"/>
          <w:lang w:val="ru-RU"/>
        </w:rPr>
        <w:t xml:space="preserve">, </w:t>
      </w:r>
      <w:proofErr w:type="spellStart"/>
      <w:r w:rsidRPr="006B6651">
        <w:rPr>
          <w:b/>
          <w:color w:val="000000" w:themeColor="text1"/>
          <w:w w:val="110"/>
          <w:sz w:val="20"/>
          <w:szCs w:val="20"/>
          <w:lang w:val="ru-RU"/>
        </w:rPr>
        <w:t>окрім</w:t>
      </w:r>
      <w:proofErr w:type="spellEnd"/>
      <w:r w:rsidRPr="006B6651">
        <w:rPr>
          <w:b/>
          <w:color w:val="000000" w:themeColor="text1"/>
          <w:w w:val="110"/>
          <w:sz w:val="20"/>
          <w:szCs w:val="20"/>
          <w:lang w:val="ru-RU"/>
        </w:rPr>
        <w:t xml:space="preserve"> </w:t>
      </w:r>
      <w:proofErr w:type="spellStart"/>
      <w:r w:rsidRPr="006B6651">
        <w:rPr>
          <w:b/>
          <w:color w:val="000000" w:themeColor="text1"/>
          <w:w w:val="110"/>
          <w:sz w:val="20"/>
          <w:szCs w:val="20"/>
          <w:lang w:val="ru-RU"/>
        </w:rPr>
        <w:t>стрептоміцину</w:t>
      </w:r>
      <w:proofErr w:type="spellEnd"/>
      <w:r w:rsidRPr="006B6651">
        <w:rPr>
          <w:b/>
          <w:color w:val="000000" w:themeColor="text1"/>
          <w:w w:val="110"/>
          <w:sz w:val="20"/>
          <w:szCs w:val="20"/>
          <w:lang w:val="ru-RU"/>
        </w:rPr>
        <w:t xml:space="preserve"> (75%).</w:t>
      </w:r>
      <w:r w:rsidRPr="00FD0682">
        <w:rPr>
          <w:b/>
          <w:color w:val="000000" w:themeColor="text1"/>
          <w:w w:val="110"/>
          <w:sz w:val="20"/>
          <w:szCs w:val="20"/>
          <w:lang w:val="uk-UA"/>
        </w:rPr>
        <w:t xml:space="preserve"> </w:t>
      </w:r>
      <w:r w:rsidRPr="00FD0682">
        <w:rPr>
          <w:color w:val="000000" w:themeColor="text1"/>
          <w:w w:val="110"/>
          <w:sz w:val="20"/>
          <w:szCs w:val="20"/>
          <w:lang w:val="uk-UA"/>
        </w:rPr>
        <w:t>Еталонним</w:t>
      </w:r>
      <w:r w:rsidRPr="006B6651">
        <w:rPr>
          <w:color w:val="000000" w:themeColor="text1"/>
          <w:w w:val="110"/>
          <w:sz w:val="20"/>
          <w:szCs w:val="20"/>
          <w:lang w:val="ru-RU"/>
        </w:rPr>
        <w:t xml:space="preserve"> стандартом </w:t>
      </w:r>
      <w:proofErr w:type="spellStart"/>
      <w:r w:rsidRPr="006B6651">
        <w:rPr>
          <w:color w:val="000000" w:themeColor="text1"/>
          <w:w w:val="110"/>
          <w:sz w:val="20"/>
          <w:szCs w:val="20"/>
          <w:lang w:val="ru-RU"/>
        </w:rPr>
        <w:t>був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фенотиповий</w:t>
      </w:r>
      <w:proofErr w:type="spellEnd"/>
      <w:r w:rsidRPr="006B6651">
        <w:rPr>
          <w:color w:val="000000" w:themeColor="text1"/>
          <w:w w:val="110"/>
          <w:sz w:val="20"/>
          <w:szCs w:val="20"/>
          <w:lang w:val="ru-RU"/>
        </w:rPr>
        <w:t xml:space="preserve"> Т</w:t>
      </w:r>
      <w:r w:rsidRPr="00FD0682">
        <w:rPr>
          <w:color w:val="000000" w:themeColor="text1"/>
          <w:w w:val="110"/>
          <w:sz w:val="20"/>
          <w:szCs w:val="20"/>
          <w:lang w:val="uk-UA"/>
        </w:rPr>
        <w:t>М</w:t>
      </w:r>
      <w:r w:rsidRPr="006B6651">
        <w:rPr>
          <w:color w:val="000000" w:themeColor="text1"/>
          <w:w w:val="110"/>
          <w:sz w:val="20"/>
          <w:szCs w:val="20"/>
          <w:lang w:val="ru-RU"/>
        </w:rPr>
        <w:t xml:space="preserve">Ч на </w:t>
      </w:r>
      <w:proofErr w:type="spellStart"/>
      <w:r w:rsidRPr="006B6651">
        <w:rPr>
          <w:color w:val="000000" w:themeColor="text1"/>
          <w:w w:val="110"/>
          <w:sz w:val="20"/>
          <w:szCs w:val="20"/>
          <w:lang w:val="ru-RU"/>
        </w:rPr>
        <w:t>основі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культуральн</w:t>
      </w:r>
      <w:proofErr w:type="spellEnd"/>
      <w:r w:rsidRPr="00FD0682">
        <w:rPr>
          <w:color w:val="000000" w:themeColor="text1"/>
          <w:w w:val="110"/>
          <w:sz w:val="20"/>
          <w:szCs w:val="20"/>
          <w:lang w:val="uk-UA"/>
        </w:rPr>
        <w:t>их</w:t>
      </w:r>
      <w:r w:rsidRPr="006B6651">
        <w:rPr>
          <w:color w:val="000000" w:themeColor="text1"/>
          <w:w w:val="110"/>
          <w:sz w:val="20"/>
          <w:szCs w:val="20"/>
          <w:lang w:val="ru-RU"/>
        </w:rPr>
        <w:t xml:space="preserve"> метод</w:t>
      </w:r>
      <w:r w:rsidRPr="00FD0682">
        <w:rPr>
          <w:color w:val="000000" w:themeColor="text1"/>
          <w:w w:val="110"/>
          <w:sz w:val="20"/>
          <w:szCs w:val="20"/>
          <w:lang w:val="uk-UA"/>
        </w:rPr>
        <w:t>ів</w:t>
      </w:r>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всіх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препаратів</w:t>
      </w:r>
      <w:proofErr w:type="spellEnd"/>
      <w:r w:rsidRPr="006B6651">
        <w:rPr>
          <w:color w:val="000000" w:themeColor="text1"/>
          <w:w w:val="110"/>
          <w:sz w:val="20"/>
          <w:szCs w:val="20"/>
          <w:lang w:val="ru-RU"/>
        </w:rPr>
        <w:t xml:space="preserve">, за </w:t>
      </w:r>
      <w:proofErr w:type="spellStart"/>
      <w:r w:rsidRPr="006B6651">
        <w:rPr>
          <w:color w:val="000000" w:themeColor="text1"/>
          <w:w w:val="110"/>
          <w:sz w:val="20"/>
          <w:szCs w:val="20"/>
          <w:lang w:val="ru-RU"/>
        </w:rPr>
        <w:t>винятком</w:t>
      </w:r>
      <w:proofErr w:type="spellEnd"/>
      <w:r w:rsidRPr="006B6651">
        <w:rPr>
          <w:color w:val="000000" w:themeColor="text1"/>
          <w:w w:val="110"/>
          <w:sz w:val="20"/>
          <w:szCs w:val="20"/>
          <w:lang w:val="ru-RU"/>
        </w:rPr>
        <w:t xml:space="preserve"> етамбутолу та піразинаміду, де </w:t>
      </w:r>
      <w:proofErr w:type="spellStart"/>
      <w:r w:rsidRPr="006B6651">
        <w:rPr>
          <w:color w:val="000000" w:themeColor="text1"/>
          <w:w w:val="110"/>
          <w:sz w:val="20"/>
          <w:szCs w:val="20"/>
          <w:lang w:val="ru-RU"/>
        </w:rPr>
        <w:t>використовувалася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комбінація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фенотипового</w:t>
      </w:r>
      <w:proofErr w:type="spellEnd"/>
      <w:r w:rsidRPr="006B6651">
        <w:rPr>
          <w:color w:val="000000" w:themeColor="text1"/>
          <w:w w:val="110"/>
          <w:sz w:val="20"/>
          <w:szCs w:val="20"/>
          <w:lang w:val="ru-RU"/>
        </w:rPr>
        <w:t xml:space="preserve"> Т</w:t>
      </w:r>
      <w:r w:rsidRPr="00FD0682">
        <w:rPr>
          <w:color w:val="000000" w:themeColor="text1"/>
          <w:w w:val="110"/>
          <w:sz w:val="20"/>
          <w:szCs w:val="20"/>
          <w:lang w:val="uk-UA"/>
        </w:rPr>
        <w:t>М</w:t>
      </w:r>
      <w:r w:rsidRPr="006B6651">
        <w:rPr>
          <w:color w:val="000000" w:themeColor="text1"/>
          <w:w w:val="110"/>
          <w:sz w:val="20"/>
          <w:szCs w:val="20"/>
          <w:lang w:val="ru-RU"/>
        </w:rPr>
        <w:t xml:space="preserve">Ч та ПГС. </w:t>
      </w:r>
      <w:proofErr w:type="spellStart"/>
      <w:r w:rsidRPr="006B6651">
        <w:rPr>
          <w:color w:val="000000" w:themeColor="text1"/>
          <w:w w:val="110"/>
          <w:sz w:val="20"/>
          <w:szCs w:val="20"/>
          <w:lang w:val="ru-RU"/>
        </w:rPr>
        <w:t>Відсоток</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тестів</w:t>
      </w:r>
      <w:proofErr w:type="spellEnd"/>
      <w:r w:rsidRPr="006B6651">
        <w:rPr>
          <w:color w:val="000000" w:themeColor="text1"/>
          <w:w w:val="110"/>
          <w:sz w:val="20"/>
          <w:szCs w:val="20"/>
          <w:lang w:val="ru-RU"/>
        </w:rPr>
        <w:t xml:space="preserve"> </w:t>
      </w:r>
      <w:r>
        <w:rPr>
          <w:color w:val="000000" w:themeColor="text1"/>
          <w:w w:val="110"/>
          <w:sz w:val="20"/>
          <w:szCs w:val="20"/>
          <w:lang w:val="uk-UA"/>
        </w:rPr>
        <w:t>і</w:t>
      </w:r>
      <w:r w:rsidRPr="006B6651">
        <w:rPr>
          <w:color w:val="000000" w:themeColor="text1"/>
          <w:w w:val="110"/>
          <w:sz w:val="20"/>
          <w:szCs w:val="20"/>
          <w:lang w:val="ru-RU"/>
        </w:rPr>
        <w:t xml:space="preserve">з </w:t>
      </w:r>
      <w:proofErr w:type="spellStart"/>
      <w:r w:rsidRPr="006B6651">
        <w:rPr>
          <w:color w:val="000000" w:themeColor="text1"/>
          <w:w w:val="110"/>
          <w:sz w:val="20"/>
          <w:szCs w:val="20"/>
          <w:lang w:val="ru-RU"/>
        </w:rPr>
        <w:t>невизначеними</w:t>
      </w:r>
      <w:proofErr w:type="spellEnd"/>
      <w:r w:rsidRPr="006B6651">
        <w:rPr>
          <w:color w:val="000000" w:themeColor="text1"/>
          <w:w w:val="110"/>
          <w:sz w:val="20"/>
          <w:szCs w:val="20"/>
          <w:lang w:val="ru-RU"/>
        </w:rPr>
        <w:t xml:space="preserve"> результатами </w:t>
      </w:r>
      <w:proofErr w:type="spellStart"/>
      <w:r w:rsidRPr="006B6651">
        <w:rPr>
          <w:color w:val="000000" w:themeColor="text1"/>
          <w:w w:val="110"/>
          <w:sz w:val="20"/>
          <w:szCs w:val="20"/>
          <w:lang w:val="ru-RU"/>
        </w:rPr>
        <w:t>коливався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від</w:t>
      </w:r>
      <w:proofErr w:type="spellEnd"/>
      <w:r w:rsidRPr="006B6651">
        <w:rPr>
          <w:color w:val="000000" w:themeColor="text1"/>
          <w:w w:val="110"/>
          <w:sz w:val="20"/>
          <w:szCs w:val="20"/>
          <w:lang w:val="ru-RU"/>
        </w:rPr>
        <w:t xml:space="preserve"> 9% (левофлоксацин та моксифлоксацин) до 21% (етамбутол); </w:t>
      </w:r>
      <w:proofErr w:type="spellStart"/>
      <w:r w:rsidRPr="006B6651">
        <w:rPr>
          <w:color w:val="000000" w:themeColor="text1"/>
          <w:w w:val="110"/>
          <w:sz w:val="20"/>
          <w:szCs w:val="20"/>
          <w:lang w:val="ru-RU"/>
        </w:rPr>
        <w:t>показники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невизначених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результатів</w:t>
      </w:r>
      <w:proofErr w:type="spellEnd"/>
      <w:r w:rsidRPr="006B6651">
        <w:rPr>
          <w:color w:val="000000" w:themeColor="text1"/>
          <w:w w:val="110"/>
          <w:sz w:val="20"/>
          <w:szCs w:val="20"/>
          <w:lang w:val="ru-RU"/>
        </w:rPr>
        <w:t xml:space="preserve"> були </w:t>
      </w:r>
      <w:proofErr w:type="spellStart"/>
      <w:r w:rsidRPr="006B6651">
        <w:rPr>
          <w:color w:val="000000" w:themeColor="text1"/>
          <w:w w:val="110"/>
          <w:sz w:val="20"/>
          <w:szCs w:val="20"/>
          <w:lang w:val="ru-RU"/>
        </w:rPr>
        <w:t>вищими</w:t>
      </w:r>
      <w:proofErr w:type="spellEnd"/>
      <w:r w:rsidRPr="006B6651">
        <w:rPr>
          <w:color w:val="000000" w:themeColor="text1"/>
          <w:w w:val="110"/>
          <w:sz w:val="20"/>
          <w:szCs w:val="20"/>
          <w:lang w:val="ru-RU"/>
        </w:rPr>
        <w:t xml:space="preserve"> у </w:t>
      </w:r>
      <w:proofErr w:type="spellStart"/>
      <w:r w:rsidRPr="006B6651">
        <w:rPr>
          <w:color w:val="000000" w:themeColor="text1"/>
          <w:w w:val="110"/>
          <w:sz w:val="20"/>
          <w:szCs w:val="20"/>
          <w:lang w:val="ru-RU"/>
        </w:rPr>
        <w:t>зразках</w:t>
      </w:r>
      <w:proofErr w:type="spellEnd"/>
      <w:r w:rsidRPr="006B6651">
        <w:rPr>
          <w:color w:val="000000" w:themeColor="text1"/>
          <w:w w:val="110"/>
          <w:sz w:val="20"/>
          <w:szCs w:val="20"/>
          <w:lang w:val="ru-RU"/>
        </w:rPr>
        <w:t xml:space="preserve"> з </w:t>
      </w:r>
      <w:proofErr w:type="spellStart"/>
      <w:r w:rsidRPr="006B6651">
        <w:rPr>
          <w:color w:val="000000" w:themeColor="text1"/>
          <w:w w:val="110"/>
          <w:sz w:val="20"/>
          <w:szCs w:val="20"/>
          <w:lang w:val="ru-RU"/>
        </w:rPr>
        <w:t>нижчим</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бактеріальним</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навантаженням</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напівкількісна</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категорія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низьке</w:t>
      </w:r>
      <w:proofErr w:type="spellEnd"/>
      <w:r w:rsidRPr="006B6651">
        <w:rPr>
          <w:color w:val="000000" w:themeColor="text1"/>
          <w:w w:val="110"/>
          <w:sz w:val="20"/>
          <w:szCs w:val="20"/>
          <w:lang w:val="ru-RU"/>
        </w:rPr>
        <w:t>" або "</w:t>
      </w:r>
      <w:proofErr w:type="spellStart"/>
      <w:r w:rsidRPr="006B6651">
        <w:rPr>
          <w:color w:val="000000" w:themeColor="text1"/>
          <w:w w:val="110"/>
          <w:sz w:val="20"/>
          <w:szCs w:val="20"/>
          <w:lang w:val="ru-RU"/>
        </w:rPr>
        <w:t>дуже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низьке</w:t>
      </w:r>
      <w:proofErr w:type="spellEnd"/>
      <w:r w:rsidRPr="006B6651">
        <w:rPr>
          <w:color w:val="000000" w:themeColor="text1"/>
          <w:w w:val="110"/>
          <w:sz w:val="20"/>
          <w:szCs w:val="20"/>
          <w:lang w:val="ru-RU"/>
        </w:rPr>
        <w:t>").</w:t>
      </w:r>
    </w:p>
    <w:p w14:paraId="56CA439C" w14:textId="77777777" w:rsidR="00767E2A" w:rsidRPr="006B6651" w:rsidRDefault="00767E2A" w:rsidP="00767E2A">
      <w:pPr>
        <w:pStyle w:val="a3"/>
        <w:spacing w:before="1"/>
        <w:ind w:right="4"/>
        <w:rPr>
          <w:sz w:val="21"/>
          <w:lang w:val="ru-RU"/>
        </w:rPr>
      </w:pPr>
    </w:p>
    <w:p w14:paraId="28908C28" w14:textId="77777777" w:rsidR="00767E2A" w:rsidRPr="0015544F" w:rsidRDefault="00767E2A" w:rsidP="00767E2A">
      <w:pPr>
        <w:pStyle w:val="6"/>
        <w:spacing w:line="235" w:lineRule="auto"/>
        <w:ind w:right="4"/>
        <w:jc w:val="both"/>
        <w:rPr>
          <w:rFonts w:ascii="Microsoft Sans Serif" w:hAnsi="Microsoft Sans Serif" w:cs="Microsoft Sans Serif"/>
          <w:sz w:val="22"/>
          <w:szCs w:val="22"/>
          <w:lang w:val="ru-RU"/>
        </w:rPr>
      </w:pPr>
      <w:bookmarkStart w:id="88" w:name="_bookmark40"/>
      <w:bookmarkEnd w:id="88"/>
      <w:r w:rsidRPr="0015544F">
        <w:rPr>
          <w:rFonts w:ascii="Microsoft Sans Serif" w:hAnsi="Microsoft Sans Serif" w:cs="Microsoft Sans Serif"/>
          <w:color w:val="636466"/>
          <w:w w:val="115"/>
          <w:sz w:val="22"/>
          <w:szCs w:val="22"/>
          <w:lang w:val="uk-UA"/>
        </w:rPr>
        <w:t>Таблиця</w:t>
      </w:r>
      <w:r w:rsidRPr="0015544F">
        <w:rPr>
          <w:rFonts w:ascii="Microsoft Sans Serif" w:hAnsi="Microsoft Sans Serif" w:cs="Microsoft Sans Serif"/>
          <w:color w:val="636466"/>
          <w:w w:val="115"/>
          <w:sz w:val="22"/>
          <w:szCs w:val="22"/>
          <w:lang w:val="ru-RU"/>
        </w:rPr>
        <w:t xml:space="preserve"> 2.4.5.2 </w:t>
      </w:r>
      <w:proofErr w:type="spellStart"/>
      <w:r w:rsidRPr="0015544F">
        <w:rPr>
          <w:rFonts w:ascii="Microsoft Sans Serif" w:hAnsi="Microsoft Sans Serif" w:cs="Microsoft Sans Serif"/>
          <w:color w:val="636466"/>
          <w:w w:val="115"/>
          <w:sz w:val="22"/>
          <w:szCs w:val="22"/>
          <w:lang w:val="ru-RU"/>
        </w:rPr>
        <w:t>Точність</w:t>
      </w:r>
      <w:proofErr w:type="spellEnd"/>
      <w:r w:rsidRPr="0015544F">
        <w:rPr>
          <w:rFonts w:ascii="Microsoft Sans Serif" w:hAnsi="Microsoft Sans Serif" w:cs="Microsoft Sans Serif"/>
          <w:color w:val="636466"/>
          <w:w w:val="115"/>
          <w:sz w:val="22"/>
          <w:szCs w:val="22"/>
          <w:lang w:val="ru-RU"/>
        </w:rPr>
        <w:t xml:space="preserve"> та </w:t>
      </w:r>
      <w:proofErr w:type="spellStart"/>
      <w:r w:rsidRPr="0015544F">
        <w:rPr>
          <w:rFonts w:ascii="Microsoft Sans Serif" w:hAnsi="Microsoft Sans Serif" w:cs="Microsoft Sans Serif"/>
          <w:color w:val="636466"/>
          <w:w w:val="115"/>
          <w:sz w:val="22"/>
          <w:szCs w:val="22"/>
          <w:lang w:val="ru-RU"/>
        </w:rPr>
        <w:t>достовірність</w:t>
      </w:r>
      <w:proofErr w:type="spellEnd"/>
      <w:r w:rsidRPr="0015544F">
        <w:rPr>
          <w:rFonts w:ascii="Microsoft Sans Serif" w:hAnsi="Microsoft Sans Serif" w:cs="Microsoft Sans Serif"/>
          <w:color w:val="636466"/>
          <w:w w:val="115"/>
          <w:sz w:val="22"/>
          <w:szCs w:val="22"/>
          <w:lang w:val="ru-RU"/>
        </w:rPr>
        <w:t xml:space="preserve"> </w:t>
      </w:r>
      <w:proofErr w:type="spellStart"/>
      <w:r w:rsidRPr="0015544F">
        <w:rPr>
          <w:rFonts w:ascii="Microsoft Sans Serif" w:hAnsi="Microsoft Sans Serif" w:cs="Microsoft Sans Serif"/>
          <w:color w:val="636466"/>
          <w:w w:val="115"/>
          <w:sz w:val="22"/>
          <w:szCs w:val="22"/>
          <w:lang w:val="ru-RU"/>
        </w:rPr>
        <w:t>доказових</w:t>
      </w:r>
      <w:proofErr w:type="spellEnd"/>
      <w:r w:rsidRPr="0015544F">
        <w:rPr>
          <w:rFonts w:ascii="Microsoft Sans Serif" w:hAnsi="Microsoft Sans Serif" w:cs="Microsoft Sans Serif"/>
          <w:color w:val="636466"/>
          <w:w w:val="115"/>
          <w:sz w:val="22"/>
          <w:szCs w:val="22"/>
          <w:lang w:val="ru-RU"/>
        </w:rPr>
        <w:t xml:space="preserve"> </w:t>
      </w:r>
      <w:proofErr w:type="spellStart"/>
      <w:r w:rsidRPr="0015544F">
        <w:rPr>
          <w:rFonts w:ascii="Microsoft Sans Serif" w:hAnsi="Microsoft Sans Serif" w:cs="Microsoft Sans Serif"/>
          <w:color w:val="636466"/>
          <w:w w:val="115"/>
          <w:sz w:val="22"/>
          <w:szCs w:val="22"/>
          <w:lang w:val="ru-RU"/>
        </w:rPr>
        <w:t>даних</w:t>
      </w:r>
      <w:proofErr w:type="spellEnd"/>
      <w:r w:rsidRPr="0015544F">
        <w:rPr>
          <w:rFonts w:ascii="Microsoft Sans Serif" w:hAnsi="Microsoft Sans Serif" w:cs="Microsoft Sans Serif"/>
          <w:color w:val="636466"/>
          <w:w w:val="115"/>
          <w:sz w:val="22"/>
          <w:szCs w:val="22"/>
          <w:lang w:val="ru-RU"/>
        </w:rPr>
        <w:t xml:space="preserve"> таргетного </w:t>
      </w:r>
      <w:r w:rsidRPr="0015544F">
        <w:rPr>
          <w:rFonts w:ascii="Microsoft Sans Serif" w:hAnsi="Microsoft Sans Serif" w:cs="Microsoft Sans Serif"/>
          <w:color w:val="636466"/>
          <w:w w:val="115"/>
          <w:sz w:val="22"/>
          <w:szCs w:val="22"/>
          <w:lang w:val="uk-UA"/>
        </w:rPr>
        <w:t>СНП</w:t>
      </w:r>
      <w:r w:rsidRPr="0015544F">
        <w:rPr>
          <w:rFonts w:ascii="Microsoft Sans Serif" w:hAnsi="Microsoft Sans Serif" w:cs="Microsoft Sans Serif"/>
          <w:color w:val="636466"/>
          <w:w w:val="115"/>
          <w:sz w:val="22"/>
          <w:szCs w:val="22"/>
          <w:lang w:val="ru-RU"/>
        </w:rPr>
        <w:t xml:space="preserve"> для виявлення </w:t>
      </w:r>
      <w:proofErr w:type="spellStart"/>
      <w:r w:rsidRPr="0015544F">
        <w:rPr>
          <w:rFonts w:ascii="Microsoft Sans Serif" w:hAnsi="Microsoft Sans Serif" w:cs="Microsoft Sans Serif"/>
          <w:color w:val="636466"/>
          <w:w w:val="115"/>
          <w:sz w:val="22"/>
          <w:szCs w:val="22"/>
          <w:lang w:val="ru-RU"/>
        </w:rPr>
        <w:t>стійкості</w:t>
      </w:r>
      <w:proofErr w:type="spellEnd"/>
      <w:r w:rsidRPr="0015544F">
        <w:rPr>
          <w:rFonts w:ascii="Microsoft Sans Serif" w:hAnsi="Microsoft Sans Serif" w:cs="Microsoft Sans Serif"/>
          <w:color w:val="636466"/>
          <w:w w:val="115"/>
          <w:sz w:val="22"/>
          <w:szCs w:val="22"/>
          <w:lang w:val="ru-RU"/>
        </w:rPr>
        <w:t xml:space="preserve"> до </w:t>
      </w:r>
      <w:proofErr w:type="spellStart"/>
      <w:r w:rsidRPr="0015544F">
        <w:rPr>
          <w:rFonts w:ascii="Microsoft Sans Serif" w:hAnsi="Microsoft Sans Serif" w:cs="Microsoft Sans Serif"/>
          <w:color w:val="636466"/>
          <w:w w:val="115"/>
          <w:sz w:val="22"/>
          <w:szCs w:val="22"/>
          <w:lang w:val="ru-RU"/>
        </w:rPr>
        <w:t>протитуберкульозних</w:t>
      </w:r>
      <w:proofErr w:type="spellEnd"/>
      <w:r w:rsidRPr="0015544F">
        <w:rPr>
          <w:rFonts w:ascii="Microsoft Sans Serif" w:hAnsi="Microsoft Sans Serif" w:cs="Microsoft Sans Serif"/>
          <w:color w:val="636466"/>
          <w:w w:val="115"/>
          <w:sz w:val="22"/>
          <w:szCs w:val="22"/>
          <w:lang w:val="ru-RU"/>
        </w:rPr>
        <w:t xml:space="preserve"> </w:t>
      </w:r>
      <w:proofErr w:type="spellStart"/>
      <w:r w:rsidRPr="0015544F">
        <w:rPr>
          <w:rFonts w:ascii="Microsoft Sans Serif" w:hAnsi="Microsoft Sans Serif" w:cs="Microsoft Sans Serif"/>
          <w:color w:val="636466"/>
          <w:w w:val="115"/>
          <w:sz w:val="22"/>
          <w:szCs w:val="22"/>
          <w:lang w:val="ru-RU"/>
        </w:rPr>
        <w:t>препаратів</w:t>
      </w:r>
      <w:proofErr w:type="spellEnd"/>
      <w:r w:rsidRPr="0015544F">
        <w:rPr>
          <w:rFonts w:ascii="Microsoft Sans Serif" w:hAnsi="Microsoft Sans Serif" w:cs="Microsoft Sans Serif"/>
          <w:color w:val="636466"/>
          <w:w w:val="115"/>
          <w:sz w:val="22"/>
          <w:szCs w:val="22"/>
          <w:lang w:val="ru-RU"/>
        </w:rPr>
        <w:t xml:space="preserve"> </w:t>
      </w:r>
      <w:proofErr w:type="spellStart"/>
      <w:r w:rsidRPr="0015544F">
        <w:rPr>
          <w:rFonts w:ascii="Microsoft Sans Serif" w:hAnsi="Microsoft Sans Serif" w:cs="Microsoft Sans Serif"/>
          <w:color w:val="636466"/>
          <w:w w:val="115"/>
          <w:sz w:val="22"/>
          <w:szCs w:val="22"/>
          <w:lang w:val="ru-RU"/>
        </w:rPr>
        <w:t>серед</w:t>
      </w:r>
      <w:proofErr w:type="spellEnd"/>
      <w:r w:rsidRPr="0015544F">
        <w:rPr>
          <w:rFonts w:ascii="Microsoft Sans Serif" w:hAnsi="Microsoft Sans Serif" w:cs="Microsoft Sans Serif"/>
          <w:color w:val="636466"/>
          <w:w w:val="115"/>
          <w:sz w:val="22"/>
          <w:szCs w:val="22"/>
          <w:lang w:val="ru-RU"/>
        </w:rPr>
        <w:t xml:space="preserve"> </w:t>
      </w:r>
      <w:proofErr w:type="spellStart"/>
      <w:r w:rsidRPr="0015544F">
        <w:rPr>
          <w:rFonts w:ascii="Microsoft Sans Serif" w:hAnsi="Microsoft Sans Serif" w:cs="Microsoft Sans Serif"/>
          <w:color w:val="636466"/>
          <w:w w:val="115"/>
          <w:sz w:val="22"/>
          <w:szCs w:val="22"/>
          <w:lang w:val="ru-RU"/>
        </w:rPr>
        <w:t>пацієнтів</w:t>
      </w:r>
      <w:proofErr w:type="spellEnd"/>
      <w:r w:rsidRPr="0015544F">
        <w:rPr>
          <w:rFonts w:ascii="Microsoft Sans Serif" w:hAnsi="Microsoft Sans Serif" w:cs="Microsoft Sans Serif"/>
          <w:color w:val="636466"/>
          <w:w w:val="115"/>
          <w:sz w:val="22"/>
          <w:szCs w:val="22"/>
          <w:lang w:val="ru-RU"/>
        </w:rPr>
        <w:t xml:space="preserve"> </w:t>
      </w:r>
      <w:r w:rsidRPr="0015544F">
        <w:rPr>
          <w:rFonts w:ascii="Microsoft Sans Serif" w:hAnsi="Microsoft Sans Serif" w:cs="Microsoft Sans Serif"/>
          <w:color w:val="636466"/>
          <w:w w:val="115"/>
          <w:sz w:val="22"/>
          <w:szCs w:val="22"/>
          <w:lang w:val="uk-UA"/>
        </w:rPr>
        <w:t>і</w:t>
      </w:r>
      <w:r w:rsidRPr="0015544F">
        <w:rPr>
          <w:rFonts w:ascii="Microsoft Sans Serif" w:hAnsi="Microsoft Sans Serif" w:cs="Microsoft Sans Serif"/>
          <w:color w:val="636466"/>
          <w:w w:val="115"/>
          <w:sz w:val="22"/>
          <w:szCs w:val="22"/>
          <w:lang w:val="ru-RU"/>
        </w:rPr>
        <w:t xml:space="preserve">з бактеріологічно </w:t>
      </w:r>
      <w:proofErr w:type="spellStart"/>
      <w:r w:rsidRPr="0015544F">
        <w:rPr>
          <w:rFonts w:ascii="Microsoft Sans Serif" w:hAnsi="Microsoft Sans Serif" w:cs="Microsoft Sans Serif"/>
          <w:color w:val="636466"/>
          <w:w w:val="115"/>
          <w:sz w:val="22"/>
          <w:szCs w:val="22"/>
          <w:lang w:val="ru-RU"/>
        </w:rPr>
        <w:t>підтвердженим</w:t>
      </w:r>
      <w:proofErr w:type="spellEnd"/>
      <w:r w:rsidRPr="0015544F">
        <w:rPr>
          <w:rFonts w:ascii="Microsoft Sans Serif" w:hAnsi="Microsoft Sans Serif" w:cs="Microsoft Sans Serif"/>
          <w:color w:val="636466"/>
          <w:w w:val="115"/>
          <w:sz w:val="22"/>
          <w:szCs w:val="22"/>
          <w:lang w:val="ru-RU"/>
        </w:rPr>
        <w:t xml:space="preserve"> рифампіцин-</w:t>
      </w:r>
      <w:proofErr w:type="spellStart"/>
      <w:r w:rsidRPr="0015544F">
        <w:rPr>
          <w:rFonts w:ascii="Microsoft Sans Serif" w:hAnsi="Microsoft Sans Serif" w:cs="Microsoft Sans Serif"/>
          <w:color w:val="636466"/>
          <w:w w:val="115"/>
          <w:sz w:val="22"/>
          <w:szCs w:val="22"/>
          <w:lang w:val="ru-RU"/>
        </w:rPr>
        <w:t>резистентним</w:t>
      </w:r>
      <w:proofErr w:type="spellEnd"/>
      <w:r w:rsidRPr="0015544F">
        <w:rPr>
          <w:rFonts w:ascii="Microsoft Sans Serif" w:hAnsi="Microsoft Sans Serif" w:cs="Microsoft Sans Serif"/>
          <w:color w:val="636466"/>
          <w:w w:val="115"/>
          <w:sz w:val="22"/>
          <w:szCs w:val="22"/>
          <w:lang w:val="ru-RU"/>
        </w:rPr>
        <w:t xml:space="preserve"> </w:t>
      </w:r>
      <w:r w:rsidRPr="0015544F">
        <w:rPr>
          <w:rFonts w:ascii="Microsoft Sans Serif" w:hAnsi="Microsoft Sans Serif" w:cs="Microsoft Sans Serif"/>
          <w:color w:val="636466"/>
          <w:w w:val="115"/>
          <w:sz w:val="22"/>
          <w:szCs w:val="22"/>
          <w:lang w:val="uk-UA"/>
        </w:rPr>
        <w:t xml:space="preserve">легеневим ТБ </w:t>
      </w:r>
    </w:p>
    <w:p w14:paraId="4C5D9978" w14:textId="77777777" w:rsidR="00767E2A" w:rsidRPr="006B6651" w:rsidRDefault="00767E2A" w:rsidP="00767E2A">
      <w:pPr>
        <w:pStyle w:val="a3"/>
        <w:ind w:right="4"/>
        <w:rPr>
          <w:b/>
          <w:sz w:val="15"/>
          <w:lang w:val="ru-RU"/>
        </w:rPr>
      </w:pPr>
    </w:p>
    <w:tbl>
      <w:tblPr>
        <w:tblStyle w:val="TableNormal"/>
        <w:tblW w:w="9356" w:type="dxa"/>
        <w:tblInd w:w="55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1985"/>
        <w:gridCol w:w="2410"/>
        <w:gridCol w:w="1985"/>
        <w:gridCol w:w="1559"/>
        <w:gridCol w:w="1417"/>
      </w:tblGrid>
      <w:tr w:rsidR="00767E2A" w:rsidRPr="00A816CE" w14:paraId="10EA1AC1" w14:textId="77777777" w:rsidTr="0015544F">
        <w:trPr>
          <w:trHeight w:val="778"/>
        </w:trPr>
        <w:tc>
          <w:tcPr>
            <w:tcW w:w="1985" w:type="dxa"/>
            <w:tcBorders>
              <w:right w:val="single" w:sz="6" w:space="0" w:color="019648"/>
            </w:tcBorders>
            <w:shd w:val="clear" w:color="auto" w:fill="62A86B"/>
          </w:tcPr>
          <w:p w14:paraId="3DD5809D" w14:textId="77777777" w:rsidR="00767E2A" w:rsidRPr="0015544F" w:rsidRDefault="00767E2A" w:rsidP="00767E2A">
            <w:pPr>
              <w:pStyle w:val="TableParagraph"/>
              <w:spacing w:before="8"/>
              <w:ind w:left="0" w:right="4"/>
              <w:rPr>
                <w:b/>
                <w:sz w:val="17"/>
                <w:szCs w:val="17"/>
                <w:lang w:val="ru-RU"/>
              </w:rPr>
            </w:pPr>
          </w:p>
          <w:p w14:paraId="42B3CFB7" w14:textId="77777777" w:rsidR="00767E2A" w:rsidRPr="0015544F" w:rsidRDefault="00767E2A" w:rsidP="00767E2A">
            <w:pPr>
              <w:pStyle w:val="TableParagraph"/>
              <w:spacing w:before="0"/>
              <w:ind w:left="146" w:right="4"/>
              <w:rPr>
                <w:b/>
                <w:sz w:val="17"/>
                <w:szCs w:val="17"/>
                <w:lang w:val="uk-UA"/>
              </w:rPr>
            </w:pPr>
            <w:r w:rsidRPr="0015544F">
              <w:rPr>
                <w:b/>
                <w:color w:val="FFFFFF"/>
                <w:w w:val="120"/>
                <w:sz w:val="17"/>
                <w:szCs w:val="17"/>
                <w:lang w:val="uk-UA"/>
              </w:rPr>
              <w:t>Препарат</w:t>
            </w:r>
          </w:p>
        </w:tc>
        <w:tc>
          <w:tcPr>
            <w:tcW w:w="2410" w:type="dxa"/>
            <w:tcBorders>
              <w:left w:val="single" w:sz="6" w:space="0" w:color="019648"/>
              <w:right w:val="single" w:sz="6" w:space="0" w:color="019648"/>
            </w:tcBorders>
            <w:shd w:val="clear" w:color="auto" w:fill="62A86B"/>
          </w:tcPr>
          <w:p w14:paraId="073480AB" w14:textId="77777777" w:rsidR="00767E2A" w:rsidRPr="0015544F" w:rsidRDefault="00767E2A" w:rsidP="00767E2A">
            <w:pPr>
              <w:pStyle w:val="TableParagraph"/>
              <w:spacing w:before="8"/>
              <w:ind w:left="0" w:right="4"/>
              <w:rPr>
                <w:b/>
                <w:sz w:val="17"/>
                <w:szCs w:val="17"/>
              </w:rPr>
            </w:pPr>
          </w:p>
          <w:p w14:paraId="0438C3CA" w14:textId="77777777" w:rsidR="00767E2A" w:rsidRPr="0015544F" w:rsidRDefault="00767E2A" w:rsidP="00767E2A">
            <w:pPr>
              <w:pStyle w:val="TableParagraph"/>
              <w:spacing w:before="0"/>
              <w:ind w:left="138" w:right="4"/>
              <w:rPr>
                <w:b/>
                <w:sz w:val="17"/>
                <w:szCs w:val="17"/>
                <w:lang w:val="uk-UA"/>
              </w:rPr>
            </w:pPr>
            <w:r w:rsidRPr="0015544F">
              <w:rPr>
                <w:b/>
                <w:color w:val="FFFFFF"/>
                <w:w w:val="115"/>
                <w:sz w:val="17"/>
                <w:szCs w:val="17"/>
                <w:lang w:val="uk-UA"/>
              </w:rPr>
              <w:t>Еталонний стандарт</w:t>
            </w:r>
          </w:p>
        </w:tc>
        <w:tc>
          <w:tcPr>
            <w:tcW w:w="1985" w:type="dxa"/>
            <w:tcBorders>
              <w:left w:val="single" w:sz="6" w:space="0" w:color="019648"/>
              <w:right w:val="single" w:sz="6" w:space="0" w:color="019648"/>
            </w:tcBorders>
            <w:shd w:val="clear" w:color="auto" w:fill="62A86B"/>
          </w:tcPr>
          <w:p w14:paraId="10BBE18B" w14:textId="77777777" w:rsidR="00767E2A" w:rsidRPr="0015544F" w:rsidRDefault="00767E2A" w:rsidP="00767E2A">
            <w:pPr>
              <w:pStyle w:val="TableParagraph"/>
              <w:spacing w:before="0" w:line="340" w:lineRule="atLeast"/>
              <w:ind w:left="138" w:right="4"/>
              <w:rPr>
                <w:b/>
                <w:sz w:val="17"/>
                <w:szCs w:val="17"/>
              </w:rPr>
            </w:pPr>
            <w:r w:rsidRPr="0015544F">
              <w:rPr>
                <w:b/>
                <w:color w:val="FFFFFF"/>
                <w:w w:val="120"/>
                <w:sz w:val="17"/>
                <w:szCs w:val="17"/>
                <w:lang w:val="uk-UA"/>
              </w:rPr>
              <w:t>Точність</w:t>
            </w:r>
            <w:r w:rsidRPr="0015544F">
              <w:rPr>
                <w:b/>
                <w:color w:val="FFFFFF"/>
                <w:w w:val="120"/>
                <w:sz w:val="17"/>
                <w:szCs w:val="17"/>
              </w:rPr>
              <w:t>% (95%</w:t>
            </w:r>
            <w:r w:rsidRPr="0015544F">
              <w:rPr>
                <w:b/>
                <w:color w:val="FFFFFF"/>
                <w:w w:val="120"/>
                <w:sz w:val="17"/>
                <w:szCs w:val="17"/>
                <w:lang w:val="uk-UA"/>
              </w:rPr>
              <w:t xml:space="preserve"> ДІ</w:t>
            </w:r>
            <w:r w:rsidRPr="0015544F">
              <w:rPr>
                <w:b/>
                <w:color w:val="FFFFFF"/>
                <w:w w:val="120"/>
                <w:sz w:val="17"/>
                <w:szCs w:val="17"/>
              </w:rPr>
              <w:t>)</w:t>
            </w:r>
          </w:p>
        </w:tc>
        <w:tc>
          <w:tcPr>
            <w:tcW w:w="1559" w:type="dxa"/>
            <w:tcBorders>
              <w:left w:val="single" w:sz="6" w:space="0" w:color="019648"/>
              <w:right w:val="single" w:sz="6" w:space="0" w:color="019648"/>
            </w:tcBorders>
            <w:shd w:val="clear" w:color="auto" w:fill="62A86B"/>
          </w:tcPr>
          <w:p w14:paraId="12C85E13" w14:textId="77777777" w:rsidR="00767E2A" w:rsidRPr="0015544F" w:rsidRDefault="00767E2A" w:rsidP="00767E2A">
            <w:pPr>
              <w:pStyle w:val="TableParagraph"/>
              <w:spacing w:before="141" w:line="232" w:lineRule="auto"/>
              <w:ind w:left="139" w:right="4"/>
              <w:rPr>
                <w:b/>
                <w:sz w:val="17"/>
                <w:szCs w:val="17"/>
              </w:rPr>
            </w:pPr>
            <w:r w:rsidRPr="0015544F">
              <w:rPr>
                <w:b/>
                <w:color w:val="FFFFFF"/>
                <w:w w:val="115"/>
                <w:sz w:val="17"/>
                <w:szCs w:val="17"/>
                <w:lang w:val="uk-UA"/>
              </w:rPr>
              <w:t>Дослідження</w:t>
            </w:r>
            <w:r w:rsidRPr="0015544F">
              <w:rPr>
                <w:b/>
                <w:color w:val="FFFFFF"/>
                <w:w w:val="115"/>
                <w:sz w:val="17"/>
                <w:szCs w:val="17"/>
              </w:rPr>
              <w:t xml:space="preserve"> </w:t>
            </w:r>
            <w:r w:rsidRPr="0015544F">
              <w:rPr>
                <w:b/>
                <w:color w:val="FFFFFF"/>
                <w:w w:val="110"/>
                <w:sz w:val="17"/>
                <w:szCs w:val="17"/>
              </w:rPr>
              <w:t>(</w:t>
            </w:r>
            <w:r w:rsidRPr="0015544F">
              <w:rPr>
                <w:b/>
                <w:color w:val="FFFFFF"/>
                <w:w w:val="110"/>
                <w:sz w:val="17"/>
                <w:szCs w:val="17"/>
                <w:lang w:val="uk-UA"/>
              </w:rPr>
              <w:t>к-ть осіб</w:t>
            </w:r>
            <w:r w:rsidRPr="0015544F">
              <w:rPr>
                <w:b/>
                <w:color w:val="FFFFFF"/>
                <w:w w:val="110"/>
                <w:sz w:val="17"/>
                <w:szCs w:val="17"/>
              </w:rPr>
              <w:t>)</w:t>
            </w:r>
          </w:p>
        </w:tc>
        <w:tc>
          <w:tcPr>
            <w:tcW w:w="1417" w:type="dxa"/>
            <w:tcBorders>
              <w:left w:val="single" w:sz="6" w:space="0" w:color="019648"/>
              <w:right w:val="single" w:sz="6" w:space="0" w:color="019648"/>
            </w:tcBorders>
            <w:shd w:val="clear" w:color="auto" w:fill="62A86B"/>
          </w:tcPr>
          <w:p w14:paraId="2BCDCACE" w14:textId="77777777" w:rsidR="00767E2A" w:rsidRPr="0015544F" w:rsidRDefault="00767E2A" w:rsidP="00767E2A">
            <w:pPr>
              <w:pStyle w:val="TableParagraph"/>
              <w:spacing w:before="141" w:line="232" w:lineRule="auto"/>
              <w:ind w:left="139" w:right="4"/>
              <w:rPr>
                <w:b/>
                <w:sz w:val="17"/>
                <w:szCs w:val="17"/>
                <w:lang w:val="uk-UA"/>
              </w:rPr>
            </w:pPr>
            <w:r w:rsidRPr="0015544F">
              <w:rPr>
                <w:b/>
                <w:color w:val="FFFFFF"/>
                <w:w w:val="115"/>
                <w:sz w:val="17"/>
                <w:szCs w:val="17"/>
                <w:lang w:val="uk-UA"/>
              </w:rPr>
              <w:t>Достовірність доказових даних</w:t>
            </w:r>
          </w:p>
        </w:tc>
      </w:tr>
      <w:tr w:rsidR="00767E2A" w:rsidRPr="00A816CE" w14:paraId="21613B66" w14:textId="77777777" w:rsidTr="0015544F">
        <w:trPr>
          <w:trHeight w:val="385"/>
        </w:trPr>
        <w:tc>
          <w:tcPr>
            <w:tcW w:w="1985" w:type="dxa"/>
            <w:tcBorders>
              <w:left w:val="nil"/>
              <w:bottom w:val="single" w:sz="6" w:space="0" w:color="019648"/>
              <w:right w:val="nil"/>
            </w:tcBorders>
          </w:tcPr>
          <w:p w14:paraId="00111065" w14:textId="77777777" w:rsidR="00767E2A" w:rsidRPr="0015544F" w:rsidRDefault="00767E2A" w:rsidP="00767E2A">
            <w:pPr>
              <w:pStyle w:val="TableParagraph"/>
              <w:spacing w:before="70"/>
              <w:ind w:left="133" w:right="4"/>
              <w:rPr>
                <w:b/>
                <w:sz w:val="17"/>
                <w:szCs w:val="17"/>
              </w:rPr>
            </w:pPr>
            <w:r w:rsidRPr="0015544F">
              <w:rPr>
                <w:b/>
                <w:w w:val="115"/>
                <w:sz w:val="17"/>
                <w:szCs w:val="17"/>
              </w:rPr>
              <w:t>Ізоніазид</w:t>
            </w:r>
          </w:p>
        </w:tc>
        <w:tc>
          <w:tcPr>
            <w:tcW w:w="2410" w:type="dxa"/>
            <w:tcBorders>
              <w:left w:val="nil"/>
              <w:bottom w:val="single" w:sz="6" w:space="0" w:color="019648"/>
              <w:right w:val="nil"/>
            </w:tcBorders>
          </w:tcPr>
          <w:p w14:paraId="29AEA199" w14:textId="77777777" w:rsidR="00767E2A" w:rsidRPr="0015544F" w:rsidRDefault="00767E2A" w:rsidP="00767E2A">
            <w:pPr>
              <w:pStyle w:val="TableParagraph"/>
              <w:spacing w:before="70"/>
              <w:ind w:right="4"/>
              <w:rPr>
                <w:sz w:val="17"/>
                <w:szCs w:val="17"/>
                <w:lang w:val="uk-UA"/>
              </w:rPr>
            </w:pPr>
            <w:proofErr w:type="spellStart"/>
            <w:r w:rsidRPr="0015544F">
              <w:rPr>
                <w:w w:val="110"/>
                <w:sz w:val="17"/>
                <w:szCs w:val="17"/>
                <w:lang w:val="uk-UA"/>
              </w:rPr>
              <w:t>Фенотиповий</w:t>
            </w:r>
            <w:proofErr w:type="spellEnd"/>
            <w:r w:rsidRPr="0015544F">
              <w:rPr>
                <w:w w:val="110"/>
                <w:sz w:val="17"/>
                <w:szCs w:val="17"/>
                <w:lang w:val="uk-UA"/>
              </w:rPr>
              <w:t xml:space="preserve"> ТМЧ</w:t>
            </w:r>
          </w:p>
        </w:tc>
        <w:tc>
          <w:tcPr>
            <w:tcW w:w="1985" w:type="dxa"/>
            <w:tcBorders>
              <w:left w:val="nil"/>
              <w:bottom w:val="single" w:sz="6" w:space="0" w:color="019648"/>
              <w:right w:val="nil"/>
            </w:tcBorders>
          </w:tcPr>
          <w:p w14:paraId="2B7A392F" w14:textId="77777777" w:rsidR="00767E2A" w:rsidRPr="0015544F" w:rsidRDefault="00767E2A" w:rsidP="00767E2A">
            <w:pPr>
              <w:pStyle w:val="TableParagraph"/>
              <w:spacing w:before="70"/>
              <w:ind w:right="4"/>
              <w:rPr>
                <w:sz w:val="17"/>
                <w:szCs w:val="17"/>
              </w:rPr>
            </w:pPr>
            <w:r w:rsidRPr="0015544F">
              <w:rPr>
                <w:w w:val="110"/>
                <w:sz w:val="17"/>
                <w:szCs w:val="17"/>
                <w:lang w:val="uk-UA"/>
              </w:rPr>
              <w:t>Ч</w:t>
            </w:r>
            <w:r w:rsidRPr="0015544F">
              <w:rPr>
                <w:w w:val="110"/>
                <w:sz w:val="17"/>
                <w:szCs w:val="17"/>
              </w:rPr>
              <w:t>: 96.5 (93.8–99.2)</w:t>
            </w:r>
          </w:p>
        </w:tc>
        <w:tc>
          <w:tcPr>
            <w:tcW w:w="1559" w:type="dxa"/>
            <w:tcBorders>
              <w:left w:val="nil"/>
              <w:bottom w:val="single" w:sz="6" w:space="0" w:color="019648"/>
              <w:right w:val="nil"/>
            </w:tcBorders>
          </w:tcPr>
          <w:p w14:paraId="0AF095F2" w14:textId="77777777" w:rsidR="00767E2A" w:rsidRPr="0015544F" w:rsidRDefault="00767E2A" w:rsidP="00767E2A">
            <w:pPr>
              <w:pStyle w:val="TableParagraph"/>
              <w:spacing w:before="70"/>
              <w:ind w:right="4"/>
              <w:rPr>
                <w:sz w:val="17"/>
                <w:szCs w:val="17"/>
              </w:rPr>
            </w:pPr>
            <w:r w:rsidRPr="0015544F">
              <w:rPr>
                <w:w w:val="110"/>
                <w:sz w:val="17"/>
                <w:szCs w:val="17"/>
              </w:rPr>
              <w:t>12 (1440)</w:t>
            </w:r>
          </w:p>
        </w:tc>
        <w:tc>
          <w:tcPr>
            <w:tcW w:w="1417" w:type="dxa"/>
            <w:tcBorders>
              <w:left w:val="nil"/>
              <w:bottom w:val="single" w:sz="6" w:space="0" w:color="019648"/>
              <w:right w:val="nil"/>
            </w:tcBorders>
          </w:tcPr>
          <w:p w14:paraId="4AB51E89" w14:textId="77777777" w:rsidR="00767E2A" w:rsidRPr="0015544F" w:rsidRDefault="00767E2A" w:rsidP="00767E2A">
            <w:pPr>
              <w:pStyle w:val="TableParagraph"/>
              <w:spacing w:before="70"/>
              <w:ind w:left="124" w:right="4"/>
              <w:rPr>
                <w:sz w:val="17"/>
                <w:szCs w:val="17"/>
                <w:lang w:val="uk-UA"/>
              </w:rPr>
            </w:pPr>
            <w:r w:rsidRPr="0015544F">
              <w:rPr>
                <w:w w:val="115"/>
                <w:sz w:val="17"/>
                <w:szCs w:val="17"/>
                <w:lang w:val="uk-UA"/>
              </w:rPr>
              <w:t>Висока</w:t>
            </w:r>
          </w:p>
        </w:tc>
      </w:tr>
      <w:tr w:rsidR="00767E2A" w:rsidRPr="00A816CE" w14:paraId="1E576D4E" w14:textId="77777777" w:rsidTr="0015544F">
        <w:trPr>
          <w:trHeight w:val="387"/>
        </w:trPr>
        <w:tc>
          <w:tcPr>
            <w:tcW w:w="1985" w:type="dxa"/>
            <w:tcBorders>
              <w:top w:val="single" w:sz="6" w:space="0" w:color="019648"/>
              <w:left w:val="nil"/>
              <w:bottom w:val="single" w:sz="6" w:space="0" w:color="019648"/>
              <w:right w:val="nil"/>
            </w:tcBorders>
          </w:tcPr>
          <w:p w14:paraId="2A30726D" w14:textId="77777777" w:rsidR="00767E2A" w:rsidRPr="0015544F" w:rsidRDefault="00767E2A" w:rsidP="00767E2A">
            <w:pPr>
              <w:pStyle w:val="TableParagraph"/>
              <w:spacing w:before="0"/>
              <w:ind w:left="0" w:right="4"/>
              <w:rPr>
                <w:sz w:val="17"/>
                <w:szCs w:val="17"/>
              </w:rPr>
            </w:pPr>
          </w:p>
        </w:tc>
        <w:tc>
          <w:tcPr>
            <w:tcW w:w="2410" w:type="dxa"/>
            <w:tcBorders>
              <w:top w:val="single" w:sz="6" w:space="0" w:color="019648"/>
              <w:left w:val="nil"/>
              <w:bottom w:val="single" w:sz="6" w:space="0" w:color="019648"/>
              <w:right w:val="nil"/>
            </w:tcBorders>
          </w:tcPr>
          <w:p w14:paraId="1FA2862F" w14:textId="77777777" w:rsidR="00767E2A" w:rsidRPr="0015544F" w:rsidRDefault="00767E2A" w:rsidP="00767E2A">
            <w:pPr>
              <w:pStyle w:val="TableParagraph"/>
              <w:ind w:right="4"/>
              <w:rPr>
                <w:sz w:val="17"/>
                <w:szCs w:val="17"/>
              </w:rPr>
            </w:pPr>
            <w:proofErr w:type="spellStart"/>
            <w:r w:rsidRPr="0015544F">
              <w:rPr>
                <w:w w:val="110"/>
                <w:sz w:val="17"/>
                <w:szCs w:val="17"/>
                <w:lang w:val="uk-UA"/>
              </w:rPr>
              <w:t>Фенотиповий</w:t>
            </w:r>
            <w:proofErr w:type="spellEnd"/>
            <w:r w:rsidRPr="0015544F">
              <w:rPr>
                <w:w w:val="110"/>
                <w:sz w:val="17"/>
                <w:szCs w:val="17"/>
                <w:lang w:val="uk-UA"/>
              </w:rPr>
              <w:t xml:space="preserve"> ТМЧ</w:t>
            </w:r>
          </w:p>
        </w:tc>
        <w:tc>
          <w:tcPr>
            <w:tcW w:w="1985" w:type="dxa"/>
            <w:tcBorders>
              <w:top w:val="single" w:sz="6" w:space="0" w:color="019648"/>
              <w:left w:val="nil"/>
              <w:bottom w:val="single" w:sz="6" w:space="0" w:color="019648"/>
              <w:right w:val="nil"/>
            </w:tcBorders>
          </w:tcPr>
          <w:p w14:paraId="39027099" w14:textId="77777777" w:rsidR="00767E2A" w:rsidRPr="0015544F" w:rsidRDefault="00767E2A" w:rsidP="00767E2A">
            <w:pPr>
              <w:pStyle w:val="TableParagraph"/>
              <w:ind w:right="4"/>
              <w:rPr>
                <w:sz w:val="17"/>
                <w:szCs w:val="17"/>
              </w:rPr>
            </w:pPr>
            <w:r w:rsidRPr="0015544F">
              <w:rPr>
                <w:w w:val="110"/>
                <w:sz w:val="17"/>
                <w:szCs w:val="17"/>
                <w:lang w:val="uk-UA"/>
              </w:rPr>
              <w:t>С</w:t>
            </w:r>
            <w:r w:rsidRPr="0015544F">
              <w:rPr>
                <w:w w:val="110"/>
                <w:sz w:val="17"/>
                <w:szCs w:val="17"/>
              </w:rPr>
              <w:t>: 95.8 (91.8–99.8)</w:t>
            </w:r>
          </w:p>
        </w:tc>
        <w:tc>
          <w:tcPr>
            <w:tcW w:w="1559" w:type="dxa"/>
            <w:tcBorders>
              <w:top w:val="single" w:sz="6" w:space="0" w:color="019648"/>
              <w:left w:val="nil"/>
              <w:bottom w:val="single" w:sz="6" w:space="0" w:color="019648"/>
              <w:right w:val="nil"/>
            </w:tcBorders>
          </w:tcPr>
          <w:p w14:paraId="2DA667EA" w14:textId="77777777" w:rsidR="00767E2A" w:rsidRPr="0015544F" w:rsidRDefault="00767E2A" w:rsidP="00767E2A">
            <w:pPr>
              <w:pStyle w:val="TableParagraph"/>
              <w:ind w:right="4"/>
              <w:rPr>
                <w:sz w:val="17"/>
                <w:szCs w:val="17"/>
              </w:rPr>
            </w:pPr>
            <w:r w:rsidRPr="0015544F">
              <w:rPr>
                <w:w w:val="110"/>
                <w:sz w:val="17"/>
                <w:szCs w:val="17"/>
              </w:rPr>
              <w:t>12 (517)</w:t>
            </w:r>
          </w:p>
        </w:tc>
        <w:tc>
          <w:tcPr>
            <w:tcW w:w="1417" w:type="dxa"/>
            <w:tcBorders>
              <w:top w:val="single" w:sz="6" w:space="0" w:color="019648"/>
              <w:left w:val="nil"/>
              <w:bottom w:val="single" w:sz="6" w:space="0" w:color="019648"/>
              <w:right w:val="nil"/>
            </w:tcBorders>
          </w:tcPr>
          <w:p w14:paraId="63ED36AD" w14:textId="77777777" w:rsidR="00767E2A" w:rsidRPr="0015544F" w:rsidRDefault="00767E2A" w:rsidP="00767E2A">
            <w:pPr>
              <w:pStyle w:val="TableParagraph"/>
              <w:ind w:left="124" w:right="4"/>
              <w:rPr>
                <w:sz w:val="17"/>
                <w:szCs w:val="17"/>
              </w:rPr>
            </w:pPr>
            <w:r w:rsidRPr="0015544F">
              <w:rPr>
                <w:w w:val="115"/>
                <w:sz w:val="17"/>
                <w:szCs w:val="17"/>
                <w:lang w:val="uk-UA"/>
              </w:rPr>
              <w:t>Висока</w:t>
            </w:r>
          </w:p>
        </w:tc>
      </w:tr>
      <w:tr w:rsidR="00767E2A" w:rsidRPr="00A816CE" w14:paraId="7DF2EF02" w14:textId="77777777" w:rsidTr="0015544F">
        <w:trPr>
          <w:trHeight w:val="387"/>
        </w:trPr>
        <w:tc>
          <w:tcPr>
            <w:tcW w:w="1985" w:type="dxa"/>
            <w:tcBorders>
              <w:top w:val="single" w:sz="6" w:space="0" w:color="019648"/>
              <w:left w:val="nil"/>
              <w:bottom w:val="single" w:sz="6" w:space="0" w:color="019648"/>
              <w:right w:val="nil"/>
            </w:tcBorders>
          </w:tcPr>
          <w:p w14:paraId="1B0916BD" w14:textId="77777777" w:rsidR="00767E2A" w:rsidRPr="0015544F" w:rsidRDefault="00767E2A" w:rsidP="00767E2A">
            <w:pPr>
              <w:pStyle w:val="TableParagraph"/>
              <w:ind w:left="133" w:right="4"/>
              <w:rPr>
                <w:b/>
                <w:sz w:val="17"/>
                <w:szCs w:val="17"/>
              </w:rPr>
            </w:pPr>
            <w:r w:rsidRPr="0015544F">
              <w:rPr>
                <w:b/>
                <w:w w:val="115"/>
                <w:sz w:val="17"/>
                <w:szCs w:val="17"/>
              </w:rPr>
              <w:t>Левофлоксацин</w:t>
            </w:r>
          </w:p>
        </w:tc>
        <w:tc>
          <w:tcPr>
            <w:tcW w:w="2410" w:type="dxa"/>
            <w:tcBorders>
              <w:top w:val="single" w:sz="6" w:space="0" w:color="019648"/>
              <w:left w:val="nil"/>
              <w:bottom w:val="single" w:sz="6" w:space="0" w:color="019648"/>
              <w:right w:val="nil"/>
            </w:tcBorders>
          </w:tcPr>
          <w:p w14:paraId="46BA1C7D" w14:textId="77777777" w:rsidR="00767E2A" w:rsidRPr="0015544F" w:rsidRDefault="00767E2A" w:rsidP="00767E2A">
            <w:pPr>
              <w:pStyle w:val="TableParagraph"/>
              <w:ind w:right="4"/>
              <w:rPr>
                <w:sz w:val="17"/>
                <w:szCs w:val="17"/>
              </w:rPr>
            </w:pPr>
            <w:proofErr w:type="spellStart"/>
            <w:r w:rsidRPr="0015544F">
              <w:rPr>
                <w:w w:val="110"/>
                <w:sz w:val="17"/>
                <w:szCs w:val="17"/>
                <w:lang w:val="uk-UA"/>
              </w:rPr>
              <w:t>Фенотиповий</w:t>
            </w:r>
            <w:proofErr w:type="spellEnd"/>
            <w:r w:rsidRPr="0015544F">
              <w:rPr>
                <w:w w:val="110"/>
                <w:sz w:val="17"/>
                <w:szCs w:val="17"/>
                <w:lang w:val="uk-UA"/>
              </w:rPr>
              <w:t xml:space="preserve"> ТМЧ</w:t>
            </w:r>
          </w:p>
        </w:tc>
        <w:tc>
          <w:tcPr>
            <w:tcW w:w="1985" w:type="dxa"/>
            <w:tcBorders>
              <w:top w:val="single" w:sz="6" w:space="0" w:color="019648"/>
              <w:left w:val="nil"/>
              <w:bottom w:val="single" w:sz="6" w:space="0" w:color="019648"/>
              <w:right w:val="nil"/>
            </w:tcBorders>
          </w:tcPr>
          <w:p w14:paraId="6CE3BA5A" w14:textId="77777777" w:rsidR="00767E2A" w:rsidRPr="0015544F" w:rsidRDefault="00767E2A" w:rsidP="00767E2A">
            <w:pPr>
              <w:pStyle w:val="TableParagraph"/>
              <w:ind w:right="4"/>
              <w:rPr>
                <w:sz w:val="17"/>
                <w:szCs w:val="17"/>
              </w:rPr>
            </w:pPr>
            <w:r w:rsidRPr="0015544F">
              <w:rPr>
                <w:w w:val="110"/>
                <w:sz w:val="17"/>
                <w:szCs w:val="17"/>
                <w:lang w:val="uk-UA"/>
              </w:rPr>
              <w:t>Ч</w:t>
            </w:r>
            <w:r w:rsidRPr="0015544F">
              <w:rPr>
                <w:w w:val="110"/>
                <w:sz w:val="17"/>
                <w:szCs w:val="17"/>
              </w:rPr>
              <w:t>: 95.8 (90.4–100)</w:t>
            </w:r>
          </w:p>
        </w:tc>
        <w:tc>
          <w:tcPr>
            <w:tcW w:w="1559" w:type="dxa"/>
            <w:tcBorders>
              <w:top w:val="single" w:sz="6" w:space="0" w:color="019648"/>
              <w:left w:val="nil"/>
              <w:bottom w:val="single" w:sz="6" w:space="0" w:color="019648"/>
              <w:right w:val="nil"/>
            </w:tcBorders>
          </w:tcPr>
          <w:p w14:paraId="777111D1" w14:textId="77777777" w:rsidR="00767E2A" w:rsidRPr="0015544F" w:rsidRDefault="00767E2A" w:rsidP="00767E2A">
            <w:pPr>
              <w:pStyle w:val="TableParagraph"/>
              <w:ind w:right="4"/>
              <w:rPr>
                <w:sz w:val="17"/>
                <w:szCs w:val="17"/>
              </w:rPr>
            </w:pPr>
            <w:r w:rsidRPr="0015544F">
              <w:rPr>
                <w:w w:val="110"/>
                <w:sz w:val="17"/>
                <w:szCs w:val="17"/>
              </w:rPr>
              <w:t>6 (654)</w:t>
            </w:r>
          </w:p>
        </w:tc>
        <w:tc>
          <w:tcPr>
            <w:tcW w:w="1417" w:type="dxa"/>
            <w:tcBorders>
              <w:top w:val="single" w:sz="6" w:space="0" w:color="019648"/>
              <w:left w:val="nil"/>
              <w:bottom w:val="single" w:sz="6" w:space="0" w:color="019648"/>
              <w:right w:val="nil"/>
            </w:tcBorders>
          </w:tcPr>
          <w:p w14:paraId="47C57A55" w14:textId="77777777" w:rsidR="00767E2A" w:rsidRPr="0015544F" w:rsidRDefault="00767E2A" w:rsidP="00767E2A">
            <w:pPr>
              <w:pStyle w:val="TableParagraph"/>
              <w:ind w:left="124" w:right="4"/>
              <w:rPr>
                <w:sz w:val="17"/>
                <w:szCs w:val="17"/>
                <w:lang w:val="uk-UA"/>
              </w:rPr>
            </w:pPr>
            <w:r w:rsidRPr="0015544F">
              <w:rPr>
                <w:w w:val="110"/>
                <w:sz w:val="17"/>
                <w:szCs w:val="17"/>
                <w:lang w:val="uk-UA"/>
              </w:rPr>
              <w:t>Середня</w:t>
            </w:r>
          </w:p>
        </w:tc>
      </w:tr>
      <w:tr w:rsidR="00767E2A" w:rsidRPr="00A816CE" w14:paraId="3EDCB82C" w14:textId="77777777" w:rsidTr="0015544F">
        <w:trPr>
          <w:trHeight w:val="387"/>
        </w:trPr>
        <w:tc>
          <w:tcPr>
            <w:tcW w:w="1985" w:type="dxa"/>
            <w:tcBorders>
              <w:top w:val="single" w:sz="6" w:space="0" w:color="019648"/>
              <w:left w:val="nil"/>
              <w:bottom w:val="single" w:sz="6" w:space="0" w:color="019648"/>
              <w:right w:val="nil"/>
            </w:tcBorders>
          </w:tcPr>
          <w:p w14:paraId="6BC821A6" w14:textId="77777777" w:rsidR="00767E2A" w:rsidRPr="0015544F" w:rsidRDefault="00767E2A" w:rsidP="00767E2A">
            <w:pPr>
              <w:pStyle w:val="TableParagraph"/>
              <w:spacing w:before="0"/>
              <w:ind w:left="0" w:right="4"/>
              <w:rPr>
                <w:sz w:val="17"/>
                <w:szCs w:val="17"/>
              </w:rPr>
            </w:pPr>
          </w:p>
        </w:tc>
        <w:tc>
          <w:tcPr>
            <w:tcW w:w="2410" w:type="dxa"/>
            <w:tcBorders>
              <w:top w:val="single" w:sz="6" w:space="0" w:color="019648"/>
              <w:left w:val="nil"/>
              <w:bottom w:val="single" w:sz="6" w:space="0" w:color="019648"/>
              <w:right w:val="nil"/>
            </w:tcBorders>
          </w:tcPr>
          <w:p w14:paraId="77BFDC4E" w14:textId="77777777" w:rsidR="00767E2A" w:rsidRPr="0015544F" w:rsidRDefault="00767E2A" w:rsidP="00767E2A">
            <w:pPr>
              <w:pStyle w:val="TableParagraph"/>
              <w:ind w:right="4"/>
              <w:rPr>
                <w:sz w:val="17"/>
                <w:szCs w:val="17"/>
              </w:rPr>
            </w:pPr>
            <w:proofErr w:type="spellStart"/>
            <w:r w:rsidRPr="0015544F">
              <w:rPr>
                <w:w w:val="110"/>
                <w:sz w:val="17"/>
                <w:szCs w:val="17"/>
                <w:lang w:val="uk-UA"/>
              </w:rPr>
              <w:t>Фенотиповий</w:t>
            </w:r>
            <w:proofErr w:type="spellEnd"/>
            <w:r w:rsidRPr="0015544F">
              <w:rPr>
                <w:w w:val="110"/>
                <w:sz w:val="17"/>
                <w:szCs w:val="17"/>
                <w:lang w:val="uk-UA"/>
              </w:rPr>
              <w:t xml:space="preserve"> ТМЧ</w:t>
            </w:r>
          </w:p>
        </w:tc>
        <w:tc>
          <w:tcPr>
            <w:tcW w:w="1985" w:type="dxa"/>
            <w:tcBorders>
              <w:top w:val="single" w:sz="6" w:space="0" w:color="019648"/>
              <w:left w:val="nil"/>
              <w:bottom w:val="single" w:sz="6" w:space="0" w:color="019648"/>
              <w:right w:val="nil"/>
            </w:tcBorders>
          </w:tcPr>
          <w:p w14:paraId="1673980C" w14:textId="77777777" w:rsidR="00767E2A" w:rsidRPr="0015544F" w:rsidRDefault="00767E2A" w:rsidP="00767E2A">
            <w:pPr>
              <w:pStyle w:val="TableParagraph"/>
              <w:ind w:right="4"/>
              <w:rPr>
                <w:sz w:val="17"/>
                <w:szCs w:val="17"/>
              </w:rPr>
            </w:pPr>
            <w:r w:rsidRPr="0015544F">
              <w:rPr>
                <w:w w:val="110"/>
                <w:sz w:val="17"/>
                <w:szCs w:val="17"/>
                <w:lang w:val="uk-UA"/>
              </w:rPr>
              <w:t>С</w:t>
            </w:r>
            <w:r w:rsidRPr="0015544F">
              <w:rPr>
                <w:w w:val="110"/>
                <w:sz w:val="17"/>
                <w:szCs w:val="17"/>
              </w:rPr>
              <w:t>: 96.0 (93.1–98.9)</w:t>
            </w:r>
          </w:p>
        </w:tc>
        <w:tc>
          <w:tcPr>
            <w:tcW w:w="1559" w:type="dxa"/>
            <w:tcBorders>
              <w:top w:val="single" w:sz="6" w:space="0" w:color="019648"/>
              <w:left w:val="nil"/>
              <w:bottom w:val="single" w:sz="6" w:space="0" w:color="019648"/>
              <w:right w:val="nil"/>
            </w:tcBorders>
          </w:tcPr>
          <w:p w14:paraId="6B9CB3A3" w14:textId="77777777" w:rsidR="00767E2A" w:rsidRPr="0015544F" w:rsidRDefault="00767E2A" w:rsidP="00767E2A">
            <w:pPr>
              <w:pStyle w:val="TableParagraph"/>
              <w:ind w:right="4"/>
              <w:rPr>
                <w:sz w:val="17"/>
                <w:szCs w:val="17"/>
              </w:rPr>
            </w:pPr>
            <w:r w:rsidRPr="0015544F">
              <w:rPr>
                <w:w w:val="110"/>
                <w:sz w:val="17"/>
                <w:szCs w:val="17"/>
              </w:rPr>
              <w:t>7 (913)</w:t>
            </w:r>
          </w:p>
        </w:tc>
        <w:tc>
          <w:tcPr>
            <w:tcW w:w="1417" w:type="dxa"/>
            <w:tcBorders>
              <w:top w:val="single" w:sz="6" w:space="0" w:color="019648"/>
              <w:left w:val="nil"/>
              <w:bottom w:val="single" w:sz="6" w:space="0" w:color="019648"/>
              <w:right w:val="nil"/>
            </w:tcBorders>
          </w:tcPr>
          <w:p w14:paraId="75A465A7" w14:textId="77777777" w:rsidR="00767E2A" w:rsidRPr="0015544F" w:rsidRDefault="00767E2A" w:rsidP="00767E2A">
            <w:pPr>
              <w:pStyle w:val="TableParagraph"/>
              <w:ind w:left="124" w:right="4"/>
              <w:rPr>
                <w:sz w:val="17"/>
                <w:szCs w:val="17"/>
              </w:rPr>
            </w:pPr>
            <w:r w:rsidRPr="0015544F">
              <w:rPr>
                <w:w w:val="115"/>
                <w:sz w:val="17"/>
                <w:szCs w:val="17"/>
                <w:lang w:val="uk-UA"/>
              </w:rPr>
              <w:t>Висока</w:t>
            </w:r>
          </w:p>
        </w:tc>
      </w:tr>
      <w:tr w:rsidR="00767E2A" w:rsidRPr="00A816CE" w14:paraId="145A708D" w14:textId="77777777" w:rsidTr="0015544F">
        <w:trPr>
          <w:trHeight w:val="387"/>
        </w:trPr>
        <w:tc>
          <w:tcPr>
            <w:tcW w:w="1985" w:type="dxa"/>
            <w:tcBorders>
              <w:top w:val="single" w:sz="6" w:space="0" w:color="019648"/>
              <w:left w:val="nil"/>
              <w:bottom w:val="single" w:sz="6" w:space="0" w:color="019648"/>
              <w:right w:val="nil"/>
            </w:tcBorders>
          </w:tcPr>
          <w:p w14:paraId="3492373E" w14:textId="77777777" w:rsidR="00767E2A" w:rsidRPr="0015544F" w:rsidRDefault="00767E2A" w:rsidP="00767E2A">
            <w:pPr>
              <w:pStyle w:val="TableParagraph"/>
              <w:ind w:left="133" w:right="4"/>
              <w:rPr>
                <w:b/>
                <w:sz w:val="17"/>
                <w:szCs w:val="17"/>
              </w:rPr>
            </w:pPr>
            <w:r w:rsidRPr="0015544F">
              <w:rPr>
                <w:b/>
                <w:w w:val="115"/>
                <w:sz w:val="17"/>
                <w:szCs w:val="17"/>
              </w:rPr>
              <w:t>Моксифлоксацин</w:t>
            </w:r>
          </w:p>
        </w:tc>
        <w:tc>
          <w:tcPr>
            <w:tcW w:w="2410" w:type="dxa"/>
            <w:tcBorders>
              <w:top w:val="single" w:sz="6" w:space="0" w:color="019648"/>
              <w:left w:val="nil"/>
              <w:bottom w:val="single" w:sz="6" w:space="0" w:color="019648"/>
              <w:right w:val="nil"/>
            </w:tcBorders>
          </w:tcPr>
          <w:p w14:paraId="685E1565" w14:textId="77777777" w:rsidR="00767E2A" w:rsidRPr="0015544F" w:rsidRDefault="00767E2A" w:rsidP="00767E2A">
            <w:pPr>
              <w:pStyle w:val="TableParagraph"/>
              <w:ind w:right="4"/>
              <w:rPr>
                <w:sz w:val="17"/>
                <w:szCs w:val="17"/>
              </w:rPr>
            </w:pPr>
            <w:proofErr w:type="spellStart"/>
            <w:r w:rsidRPr="0015544F">
              <w:rPr>
                <w:w w:val="110"/>
                <w:sz w:val="17"/>
                <w:szCs w:val="17"/>
                <w:lang w:val="uk-UA"/>
              </w:rPr>
              <w:t>Фенотиповий</w:t>
            </w:r>
            <w:proofErr w:type="spellEnd"/>
            <w:r w:rsidRPr="0015544F">
              <w:rPr>
                <w:w w:val="110"/>
                <w:sz w:val="17"/>
                <w:szCs w:val="17"/>
                <w:lang w:val="uk-UA"/>
              </w:rPr>
              <w:t xml:space="preserve"> ТМЧ</w:t>
            </w:r>
          </w:p>
        </w:tc>
        <w:tc>
          <w:tcPr>
            <w:tcW w:w="1985" w:type="dxa"/>
            <w:tcBorders>
              <w:top w:val="single" w:sz="6" w:space="0" w:color="019648"/>
              <w:left w:val="nil"/>
              <w:bottom w:val="single" w:sz="6" w:space="0" w:color="019648"/>
              <w:right w:val="nil"/>
            </w:tcBorders>
          </w:tcPr>
          <w:p w14:paraId="7C67B5A7" w14:textId="77777777" w:rsidR="00767E2A" w:rsidRPr="0015544F" w:rsidRDefault="00767E2A" w:rsidP="00767E2A">
            <w:pPr>
              <w:pStyle w:val="TableParagraph"/>
              <w:ind w:right="4"/>
              <w:rPr>
                <w:sz w:val="17"/>
                <w:szCs w:val="17"/>
              </w:rPr>
            </w:pPr>
            <w:r w:rsidRPr="0015544F">
              <w:rPr>
                <w:w w:val="110"/>
                <w:sz w:val="17"/>
                <w:szCs w:val="17"/>
                <w:lang w:val="uk-UA"/>
              </w:rPr>
              <w:t>Ч</w:t>
            </w:r>
            <w:r w:rsidRPr="0015544F">
              <w:rPr>
                <w:w w:val="110"/>
                <w:sz w:val="17"/>
                <w:szCs w:val="17"/>
              </w:rPr>
              <w:t>: 96.5 (93.6–99.5)</w:t>
            </w:r>
          </w:p>
        </w:tc>
        <w:tc>
          <w:tcPr>
            <w:tcW w:w="1559" w:type="dxa"/>
            <w:tcBorders>
              <w:top w:val="single" w:sz="6" w:space="0" w:color="019648"/>
              <w:left w:val="nil"/>
              <w:bottom w:val="single" w:sz="6" w:space="0" w:color="019648"/>
              <w:right w:val="nil"/>
            </w:tcBorders>
          </w:tcPr>
          <w:p w14:paraId="31B0D270" w14:textId="77777777" w:rsidR="00767E2A" w:rsidRPr="0015544F" w:rsidRDefault="00767E2A" w:rsidP="00767E2A">
            <w:pPr>
              <w:pStyle w:val="TableParagraph"/>
              <w:ind w:right="4"/>
              <w:rPr>
                <w:sz w:val="17"/>
                <w:szCs w:val="17"/>
              </w:rPr>
            </w:pPr>
            <w:r w:rsidRPr="0015544F">
              <w:rPr>
                <w:w w:val="110"/>
                <w:sz w:val="17"/>
                <w:szCs w:val="17"/>
              </w:rPr>
              <w:t>6 (652)</w:t>
            </w:r>
          </w:p>
        </w:tc>
        <w:tc>
          <w:tcPr>
            <w:tcW w:w="1417" w:type="dxa"/>
            <w:tcBorders>
              <w:top w:val="single" w:sz="6" w:space="0" w:color="019648"/>
              <w:left w:val="nil"/>
              <w:bottom w:val="single" w:sz="6" w:space="0" w:color="019648"/>
              <w:right w:val="nil"/>
            </w:tcBorders>
          </w:tcPr>
          <w:p w14:paraId="6785D572" w14:textId="77777777" w:rsidR="00767E2A" w:rsidRPr="0015544F" w:rsidRDefault="00767E2A" w:rsidP="00767E2A">
            <w:pPr>
              <w:pStyle w:val="TableParagraph"/>
              <w:ind w:left="124" w:right="4"/>
              <w:rPr>
                <w:sz w:val="17"/>
                <w:szCs w:val="17"/>
              </w:rPr>
            </w:pPr>
            <w:r w:rsidRPr="0015544F">
              <w:rPr>
                <w:w w:val="115"/>
                <w:sz w:val="17"/>
                <w:szCs w:val="17"/>
                <w:lang w:val="uk-UA"/>
              </w:rPr>
              <w:t>Висока</w:t>
            </w:r>
          </w:p>
        </w:tc>
      </w:tr>
      <w:tr w:rsidR="00767E2A" w:rsidRPr="00A816CE" w14:paraId="3F8E313D" w14:textId="77777777" w:rsidTr="0015544F">
        <w:trPr>
          <w:trHeight w:val="387"/>
        </w:trPr>
        <w:tc>
          <w:tcPr>
            <w:tcW w:w="1985" w:type="dxa"/>
            <w:tcBorders>
              <w:top w:val="single" w:sz="6" w:space="0" w:color="019648"/>
              <w:left w:val="nil"/>
              <w:bottom w:val="single" w:sz="6" w:space="0" w:color="019648"/>
              <w:right w:val="nil"/>
            </w:tcBorders>
          </w:tcPr>
          <w:p w14:paraId="6C9C878B" w14:textId="77777777" w:rsidR="00767E2A" w:rsidRPr="0015544F" w:rsidRDefault="00767E2A" w:rsidP="00767E2A">
            <w:pPr>
              <w:pStyle w:val="TableParagraph"/>
              <w:spacing w:before="0"/>
              <w:ind w:left="0" w:right="4"/>
              <w:rPr>
                <w:sz w:val="17"/>
                <w:szCs w:val="17"/>
              </w:rPr>
            </w:pPr>
          </w:p>
        </w:tc>
        <w:tc>
          <w:tcPr>
            <w:tcW w:w="2410" w:type="dxa"/>
            <w:tcBorders>
              <w:top w:val="single" w:sz="6" w:space="0" w:color="019648"/>
              <w:left w:val="nil"/>
              <w:bottom w:val="single" w:sz="6" w:space="0" w:color="019648"/>
              <w:right w:val="nil"/>
            </w:tcBorders>
          </w:tcPr>
          <w:p w14:paraId="4C08D3C9" w14:textId="77777777" w:rsidR="00767E2A" w:rsidRPr="0015544F" w:rsidRDefault="00767E2A" w:rsidP="00767E2A">
            <w:pPr>
              <w:pStyle w:val="TableParagraph"/>
              <w:ind w:right="4"/>
              <w:rPr>
                <w:sz w:val="17"/>
                <w:szCs w:val="17"/>
              </w:rPr>
            </w:pPr>
            <w:proofErr w:type="spellStart"/>
            <w:r w:rsidRPr="0015544F">
              <w:rPr>
                <w:w w:val="110"/>
                <w:sz w:val="17"/>
                <w:szCs w:val="17"/>
                <w:lang w:val="uk-UA"/>
              </w:rPr>
              <w:t>Фенотиповий</w:t>
            </w:r>
            <w:proofErr w:type="spellEnd"/>
            <w:r w:rsidRPr="0015544F">
              <w:rPr>
                <w:w w:val="110"/>
                <w:sz w:val="17"/>
                <w:szCs w:val="17"/>
                <w:lang w:val="uk-UA"/>
              </w:rPr>
              <w:t xml:space="preserve"> ТМЧ</w:t>
            </w:r>
          </w:p>
        </w:tc>
        <w:tc>
          <w:tcPr>
            <w:tcW w:w="1985" w:type="dxa"/>
            <w:tcBorders>
              <w:top w:val="single" w:sz="6" w:space="0" w:color="019648"/>
              <w:left w:val="nil"/>
              <w:bottom w:val="single" w:sz="6" w:space="0" w:color="019648"/>
              <w:right w:val="nil"/>
            </w:tcBorders>
          </w:tcPr>
          <w:p w14:paraId="09B19C44" w14:textId="77777777" w:rsidR="00767E2A" w:rsidRPr="0015544F" w:rsidRDefault="00767E2A" w:rsidP="00767E2A">
            <w:pPr>
              <w:pStyle w:val="TableParagraph"/>
              <w:ind w:right="4"/>
              <w:rPr>
                <w:sz w:val="17"/>
                <w:szCs w:val="17"/>
              </w:rPr>
            </w:pPr>
            <w:r w:rsidRPr="0015544F">
              <w:rPr>
                <w:w w:val="110"/>
                <w:sz w:val="17"/>
                <w:szCs w:val="17"/>
                <w:lang w:val="uk-UA"/>
              </w:rPr>
              <w:t>С</w:t>
            </w:r>
            <w:r w:rsidRPr="0015544F">
              <w:rPr>
                <w:w w:val="110"/>
                <w:sz w:val="17"/>
                <w:szCs w:val="17"/>
              </w:rPr>
              <w:t>: 95.2 (91.0–99.4)</w:t>
            </w:r>
          </w:p>
        </w:tc>
        <w:tc>
          <w:tcPr>
            <w:tcW w:w="1559" w:type="dxa"/>
            <w:tcBorders>
              <w:top w:val="single" w:sz="6" w:space="0" w:color="019648"/>
              <w:left w:val="nil"/>
              <w:bottom w:val="single" w:sz="6" w:space="0" w:color="019648"/>
              <w:right w:val="nil"/>
            </w:tcBorders>
          </w:tcPr>
          <w:p w14:paraId="7DC492CC" w14:textId="77777777" w:rsidR="00767E2A" w:rsidRPr="0015544F" w:rsidRDefault="00767E2A" w:rsidP="00767E2A">
            <w:pPr>
              <w:pStyle w:val="TableParagraph"/>
              <w:ind w:right="4"/>
              <w:rPr>
                <w:sz w:val="17"/>
                <w:szCs w:val="17"/>
              </w:rPr>
            </w:pPr>
            <w:r w:rsidRPr="0015544F">
              <w:rPr>
                <w:w w:val="110"/>
                <w:sz w:val="17"/>
                <w:szCs w:val="17"/>
              </w:rPr>
              <w:t>8 (921)</w:t>
            </w:r>
          </w:p>
        </w:tc>
        <w:tc>
          <w:tcPr>
            <w:tcW w:w="1417" w:type="dxa"/>
            <w:tcBorders>
              <w:top w:val="single" w:sz="6" w:space="0" w:color="019648"/>
              <w:left w:val="nil"/>
              <w:bottom w:val="single" w:sz="6" w:space="0" w:color="019648"/>
              <w:right w:val="nil"/>
            </w:tcBorders>
          </w:tcPr>
          <w:p w14:paraId="7940A1DA" w14:textId="77777777" w:rsidR="00767E2A" w:rsidRPr="0015544F" w:rsidRDefault="00767E2A" w:rsidP="00767E2A">
            <w:pPr>
              <w:pStyle w:val="TableParagraph"/>
              <w:ind w:left="124" w:right="4"/>
              <w:rPr>
                <w:sz w:val="17"/>
                <w:szCs w:val="17"/>
              </w:rPr>
            </w:pPr>
            <w:r w:rsidRPr="0015544F">
              <w:rPr>
                <w:w w:val="115"/>
                <w:sz w:val="17"/>
                <w:szCs w:val="17"/>
                <w:lang w:val="uk-UA"/>
              </w:rPr>
              <w:t>Висока</w:t>
            </w:r>
          </w:p>
        </w:tc>
      </w:tr>
      <w:tr w:rsidR="00767E2A" w:rsidRPr="00A816CE" w14:paraId="2A7CAF57" w14:textId="77777777" w:rsidTr="0015544F">
        <w:trPr>
          <w:trHeight w:val="387"/>
        </w:trPr>
        <w:tc>
          <w:tcPr>
            <w:tcW w:w="1985" w:type="dxa"/>
            <w:tcBorders>
              <w:top w:val="single" w:sz="6" w:space="0" w:color="019648"/>
              <w:left w:val="nil"/>
              <w:bottom w:val="single" w:sz="6" w:space="0" w:color="019648"/>
              <w:right w:val="nil"/>
            </w:tcBorders>
          </w:tcPr>
          <w:p w14:paraId="4D03D38A" w14:textId="77777777" w:rsidR="00767E2A" w:rsidRPr="0015544F" w:rsidRDefault="00767E2A" w:rsidP="00767E2A">
            <w:pPr>
              <w:pStyle w:val="TableParagraph"/>
              <w:ind w:left="133" w:right="4"/>
              <w:rPr>
                <w:b/>
                <w:sz w:val="17"/>
                <w:szCs w:val="17"/>
              </w:rPr>
            </w:pPr>
            <w:r w:rsidRPr="0015544F">
              <w:rPr>
                <w:b/>
                <w:w w:val="115"/>
                <w:sz w:val="17"/>
                <w:szCs w:val="17"/>
              </w:rPr>
              <w:t>Піразинамід</w:t>
            </w:r>
          </w:p>
        </w:tc>
        <w:tc>
          <w:tcPr>
            <w:tcW w:w="2410" w:type="dxa"/>
            <w:tcBorders>
              <w:top w:val="single" w:sz="6" w:space="0" w:color="019648"/>
              <w:left w:val="nil"/>
              <w:bottom w:val="single" w:sz="6" w:space="0" w:color="019648"/>
              <w:right w:val="nil"/>
            </w:tcBorders>
          </w:tcPr>
          <w:p w14:paraId="26D741EE" w14:textId="77777777" w:rsidR="00767E2A" w:rsidRPr="0015544F" w:rsidRDefault="00767E2A" w:rsidP="00767E2A">
            <w:pPr>
              <w:pStyle w:val="TableParagraph"/>
              <w:ind w:right="4"/>
              <w:rPr>
                <w:sz w:val="17"/>
                <w:szCs w:val="17"/>
              </w:rPr>
            </w:pPr>
            <w:proofErr w:type="spellStart"/>
            <w:r w:rsidRPr="0015544F">
              <w:rPr>
                <w:w w:val="110"/>
                <w:sz w:val="17"/>
                <w:szCs w:val="17"/>
                <w:lang w:val="uk-UA"/>
              </w:rPr>
              <w:t>Фенотиповий</w:t>
            </w:r>
            <w:proofErr w:type="spellEnd"/>
            <w:r w:rsidRPr="0015544F">
              <w:rPr>
                <w:w w:val="110"/>
                <w:sz w:val="17"/>
                <w:szCs w:val="17"/>
                <w:lang w:val="uk-UA"/>
              </w:rPr>
              <w:t xml:space="preserve"> ТМЧ+ПГС</w:t>
            </w:r>
          </w:p>
        </w:tc>
        <w:tc>
          <w:tcPr>
            <w:tcW w:w="1985" w:type="dxa"/>
            <w:tcBorders>
              <w:top w:val="single" w:sz="6" w:space="0" w:color="019648"/>
              <w:left w:val="nil"/>
              <w:bottom w:val="single" w:sz="6" w:space="0" w:color="019648"/>
              <w:right w:val="nil"/>
            </w:tcBorders>
          </w:tcPr>
          <w:p w14:paraId="2B091769" w14:textId="77777777" w:rsidR="00767E2A" w:rsidRPr="0015544F" w:rsidRDefault="00767E2A" w:rsidP="00767E2A">
            <w:pPr>
              <w:pStyle w:val="TableParagraph"/>
              <w:ind w:right="4"/>
              <w:rPr>
                <w:sz w:val="17"/>
                <w:szCs w:val="17"/>
              </w:rPr>
            </w:pPr>
            <w:r w:rsidRPr="0015544F">
              <w:rPr>
                <w:w w:val="110"/>
                <w:sz w:val="17"/>
                <w:szCs w:val="17"/>
                <w:lang w:val="uk-UA"/>
              </w:rPr>
              <w:t>Ч</w:t>
            </w:r>
            <w:r w:rsidRPr="0015544F">
              <w:rPr>
                <w:w w:val="110"/>
                <w:sz w:val="17"/>
                <w:szCs w:val="17"/>
              </w:rPr>
              <w:t>: 90.0 (86.8–93.2)</w:t>
            </w:r>
          </w:p>
        </w:tc>
        <w:tc>
          <w:tcPr>
            <w:tcW w:w="1559" w:type="dxa"/>
            <w:tcBorders>
              <w:top w:val="single" w:sz="6" w:space="0" w:color="019648"/>
              <w:left w:val="nil"/>
              <w:bottom w:val="single" w:sz="6" w:space="0" w:color="019648"/>
              <w:right w:val="nil"/>
            </w:tcBorders>
          </w:tcPr>
          <w:p w14:paraId="16D3E9B8" w14:textId="77777777" w:rsidR="00767E2A" w:rsidRPr="0015544F" w:rsidRDefault="00767E2A" w:rsidP="00767E2A">
            <w:pPr>
              <w:pStyle w:val="TableParagraph"/>
              <w:ind w:right="4"/>
              <w:rPr>
                <w:sz w:val="17"/>
                <w:szCs w:val="17"/>
              </w:rPr>
            </w:pPr>
            <w:r w:rsidRPr="0015544F">
              <w:rPr>
                <w:w w:val="110"/>
                <w:sz w:val="17"/>
                <w:szCs w:val="17"/>
              </w:rPr>
              <w:t>3 (346)</w:t>
            </w:r>
          </w:p>
        </w:tc>
        <w:tc>
          <w:tcPr>
            <w:tcW w:w="1417" w:type="dxa"/>
            <w:tcBorders>
              <w:top w:val="single" w:sz="6" w:space="0" w:color="019648"/>
              <w:left w:val="nil"/>
              <w:bottom w:val="single" w:sz="6" w:space="0" w:color="019648"/>
              <w:right w:val="nil"/>
            </w:tcBorders>
          </w:tcPr>
          <w:p w14:paraId="5AB9F1C3" w14:textId="77777777" w:rsidR="00767E2A" w:rsidRPr="0015544F" w:rsidRDefault="00767E2A" w:rsidP="00767E2A">
            <w:pPr>
              <w:pStyle w:val="TableParagraph"/>
              <w:ind w:left="124" w:right="4"/>
              <w:rPr>
                <w:sz w:val="17"/>
                <w:szCs w:val="17"/>
              </w:rPr>
            </w:pPr>
            <w:r w:rsidRPr="0015544F">
              <w:rPr>
                <w:w w:val="115"/>
                <w:sz w:val="17"/>
                <w:szCs w:val="17"/>
                <w:lang w:val="uk-UA"/>
              </w:rPr>
              <w:t>Висока</w:t>
            </w:r>
          </w:p>
        </w:tc>
      </w:tr>
      <w:tr w:rsidR="00767E2A" w:rsidRPr="00A816CE" w14:paraId="2D12E098" w14:textId="77777777" w:rsidTr="0015544F">
        <w:trPr>
          <w:trHeight w:val="387"/>
        </w:trPr>
        <w:tc>
          <w:tcPr>
            <w:tcW w:w="1985" w:type="dxa"/>
            <w:tcBorders>
              <w:top w:val="single" w:sz="6" w:space="0" w:color="019648"/>
              <w:left w:val="nil"/>
              <w:bottom w:val="single" w:sz="6" w:space="0" w:color="019648"/>
              <w:right w:val="nil"/>
            </w:tcBorders>
          </w:tcPr>
          <w:p w14:paraId="0C5F6CDB" w14:textId="77777777" w:rsidR="00767E2A" w:rsidRPr="0015544F" w:rsidRDefault="00767E2A" w:rsidP="00767E2A">
            <w:pPr>
              <w:pStyle w:val="TableParagraph"/>
              <w:spacing w:before="0"/>
              <w:ind w:left="0" w:right="4"/>
              <w:rPr>
                <w:sz w:val="17"/>
                <w:szCs w:val="17"/>
              </w:rPr>
            </w:pPr>
          </w:p>
        </w:tc>
        <w:tc>
          <w:tcPr>
            <w:tcW w:w="2410" w:type="dxa"/>
            <w:tcBorders>
              <w:top w:val="single" w:sz="6" w:space="0" w:color="019648"/>
              <w:left w:val="nil"/>
              <w:bottom w:val="single" w:sz="6" w:space="0" w:color="019648"/>
              <w:right w:val="nil"/>
            </w:tcBorders>
          </w:tcPr>
          <w:p w14:paraId="43DFD5A4" w14:textId="77777777" w:rsidR="00767E2A" w:rsidRPr="0015544F" w:rsidRDefault="00767E2A" w:rsidP="00767E2A">
            <w:pPr>
              <w:pStyle w:val="TableParagraph"/>
              <w:ind w:right="4"/>
              <w:rPr>
                <w:sz w:val="17"/>
                <w:szCs w:val="17"/>
              </w:rPr>
            </w:pPr>
            <w:proofErr w:type="spellStart"/>
            <w:r w:rsidRPr="0015544F">
              <w:rPr>
                <w:w w:val="110"/>
                <w:sz w:val="17"/>
                <w:szCs w:val="17"/>
                <w:lang w:val="uk-UA"/>
              </w:rPr>
              <w:t>Фенотиповий</w:t>
            </w:r>
            <w:proofErr w:type="spellEnd"/>
            <w:r w:rsidRPr="0015544F">
              <w:rPr>
                <w:w w:val="110"/>
                <w:sz w:val="17"/>
                <w:szCs w:val="17"/>
                <w:lang w:val="uk-UA"/>
              </w:rPr>
              <w:t xml:space="preserve"> ТМЧ+ПГС</w:t>
            </w:r>
          </w:p>
        </w:tc>
        <w:tc>
          <w:tcPr>
            <w:tcW w:w="1985" w:type="dxa"/>
            <w:tcBorders>
              <w:top w:val="single" w:sz="6" w:space="0" w:color="019648"/>
              <w:left w:val="nil"/>
              <w:bottom w:val="single" w:sz="6" w:space="0" w:color="019648"/>
              <w:right w:val="nil"/>
            </w:tcBorders>
          </w:tcPr>
          <w:p w14:paraId="7D13C460" w14:textId="77777777" w:rsidR="00767E2A" w:rsidRPr="0015544F" w:rsidRDefault="00767E2A" w:rsidP="00767E2A">
            <w:pPr>
              <w:pStyle w:val="TableParagraph"/>
              <w:ind w:right="4"/>
              <w:rPr>
                <w:sz w:val="17"/>
                <w:szCs w:val="17"/>
              </w:rPr>
            </w:pPr>
            <w:r w:rsidRPr="0015544F">
              <w:rPr>
                <w:w w:val="110"/>
                <w:sz w:val="17"/>
                <w:szCs w:val="17"/>
                <w:lang w:val="uk-UA"/>
              </w:rPr>
              <w:t>С</w:t>
            </w:r>
            <w:r w:rsidRPr="0015544F">
              <w:rPr>
                <w:w w:val="110"/>
                <w:sz w:val="17"/>
                <w:szCs w:val="17"/>
              </w:rPr>
              <w:t>: 98.6 (96.8–100)</w:t>
            </w:r>
          </w:p>
        </w:tc>
        <w:tc>
          <w:tcPr>
            <w:tcW w:w="1559" w:type="dxa"/>
            <w:tcBorders>
              <w:top w:val="single" w:sz="6" w:space="0" w:color="019648"/>
              <w:left w:val="nil"/>
              <w:bottom w:val="single" w:sz="6" w:space="0" w:color="019648"/>
              <w:right w:val="nil"/>
            </w:tcBorders>
          </w:tcPr>
          <w:p w14:paraId="7A6181DF" w14:textId="77777777" w:rsidR="00767E2A" w:rsidRPr="0015544F" w:rsidRDefault="00767E2A" w:rsidP="00767E2A">
            <w:pPr>
              <w:pStyle w:val="TableParagraph"/>
              <w:ind w:right="4"/>
              <w:rPr>
                <w:sz w:val="17"/>
                <w:szCs w:val="17"/>
              </w:rPr>
            </w:pPr>
            <w:r w:rsidRPr="0015544F">
              <w:rPr>
                <w:w w:val="110"/>
                <w:sz w:val="17"/>
                <w:szCs w:val="17"/>
              </w:rPr>
              <w:t>3 (269)</w:t>
            </w:r>
          </w:p>
        </w:tc>
        <w:tc>
          <w:tcPr>
            <w:tcW w:w="1417" w:type="dxa"/>
            <w:tcBorders>
              <w:top w:val="single" w:sz="6" w:space="0" w:color="019648"/>
              <w:left w:val="nil"/>
              <w:bottom w:val="single" w:sz="6" w:space="0" w:color="019648"/>
              <w:right w:val="nil"/>
            </w:tcBorders>
          </w:tcPr>
          <w:p w14:paraId="09C0308A" w14:textId="77777777" w:rsidR="00767E2A" w:rsidRPr="0015544F" w:rsidRDefault="00767E2A" w:rsidP="00767E2A">
            <w:pPr>
              <w:pStyle w:val="TableParagraph"/>
              <w:ind w:left="124" w:right="4"/>
              <w:rPr>
                <w:sz w:val="17"/>
                <w:szCs w:val="17"/>
              </w:rPr>
            </w:pPr>
            <w:r w:rsidRPr="0015544F">
              <w:rPr>
                <w:w w:val="115"/>
                <w:sz w:val="17"/>
                <w:szCs w:val="17"/>
                <w:lang w:val="uk-UA"/>
              </w:rPr>
              <w:t>Висока</w:t>
            </w:r>
          </w:p>
        </w:tc>
      </w:tr>
      <w:tr w:rsidR="00767E2A" w:rsidRPr="00A816CE" w14:paraId="3B3A5F5F" w14:textId="77777777" w:rsidTr="0015544F">
        <w:trPr>
          <w:trHeight w:val="387"/>
        </w:trPr>
        <w:tc>
          <w:tcPr>
            <w:tcW w:w="1985" w:type="dxa"/>
            <w:tcBorders>
              <w:top w:val="single" w:sz="6" w:space="0" w:color="019648"/>
              <w:left w:val="nil"/>
              <w:bottom w:val="single" w:sz="6" w:space="0" w:color="019648"/>
              <w:right w:val="nil"/>
            </w:tcBorders>
          </w:tcPr>
          <w:p w14:paraId="483F057A" w14:textId="77777777" w:rsidR="00767E2A" w:rsidRPr="0015544F" w:rsidRDefault="00767E2A" w:rsidP="00767E2A">
            <w:pPr>
              <w:pStyle w:val="TableParagraph"/>
              <w:ind w:left="133" w:right="4"/>
              <w:rPr>
                <w:b/>
                <w:sz w:val="17"/>
                <w:szCs w:val="17"/>
              </w:rPr>
            </w:pPr>
            <w:r w:rsidRPr="0015544F">
              <w:rPr>
                <w:b/>
                <w:w w:val="115"/>
                <w:sz w:val="17"/>
                <w:szCs w:val="17"/>
              </w:rPr>
              <w:t>Бедаквілін</w:t>
            </w:r>
          </w:p>
        </w:tc>
        <w:tc>
          <w:tcPr>
            <w:tcW w:w="2410" w:type="dxa"/>
            <w:tcBorders>
              <w:top w:val="single" w:sz="6" w:space="0" w:color="019648"/>
              <w:left w:val="nil"/>
              <w:bottom w:val="single" w:sz="6" w:space="0" w:color="019648"/>
              <w:right w:val="nil"/>
            </w:tcBorders>
          </w:tcPr>
          <w:p w14:paraId="34C2067E" w14:textId="77777777" w:rsidR="00767E2A" w:rsidRPr="0015544F" w:rsidRDefault="00767E2A" w:rsidP="00767E2A">
            <w:pPr>
              <w:pStyle w:val="TableParagraph"/>
              <w:ind w:right="4"/>
              <w:rPr>
                <w:sz w:val="17"/>
                <w:szCs w:val="17"/>
              </w:rPr>
            </w:pPr>
            <w:proofErr w:type="spellStart"/>
            <w:r w:rsidRPr="0015544F">
              <w:rPr>
                <w:w w:val="110"/>
                <w:sz w:val="17"/>
                <w:szCs w:val="17"/>
                <w:lang w:val="uk-UA"/>
              </w:rPr>
              <w:t>Фенотиповий</w:t>
            </w:r>
            <w:proofErr w:type="spellEnd"/>
            <w:r w:rsidRPr="0015544F">
              <w:rPr>
                <w:w w:val="110"/>
                <w:sz w:val="17"/>
                <w:szCs w:val="17"/>
                <w:lang w:val="uk-UA"/>
              </w:rPr>
              <w:t xml:space="preserve"> ТМЧ</w:t>
            </w:r>
          </w:p>
        </w:tc>
        <w:tc>
          <w:tcPr>
            <w:tcW w:w="1985" w:type="dxa"/>
            <w:tcBorders>
              <w:top w:val="single" w:sz="6" w:space="0" w:color="019648"/>
              <w:left w:val="nil"/>
              <w:bottom w:val="single" w:sz="6" w:space="0" w:color="019648"/>
              <w:right w:val="nil"/>
            </w:tcBorders>
          </w:tcPr>
          <w:p w14:paraId="127FDC34" w14:textId="77777777" w:rsidR="00767E2A" w:rsidRPr="0015544F" w:rsidRDefault="00767E2A" w:rsidP="00767E2A">
            <w:pPr>
              <w:pStyle w:val="TableParagraph"/>
              <w:ind w:right="4"/>
              <w:rPr>
                <w:sz w:val="17"/>
                <w:szCs w:val="17"/>
              </w:rPr>
            </w:pPr>
            <w:r w:rsidRPr="0015544F">
              <w:rPr>
                <w:w w:val="110"/>
                <w:sz w:val="17"/>
                <w:szCs w:val="17"/>
                <w:lang w:val="uk-UA"/>
              </w:rPr>
              <w:t>Ч</w:t>
            </w:r>
            <w:r w:rsidRPr="0015544F">
              <w:rPr>
                <w:w w:val="110"/>
                <w:sz w:val="17"/>
                <w:szCs w:val="17"/>
              </w:rPr>
              <w:t>: 67.9 (42.6–93.2)</w:t>
            </w:r>
          </w:p>
        </w:tc>
        <w:tc>
          <w:tcPr>
            <w:tcW w:w="1559" w:type="dxa"/>
            <w:tcBorders>
              <w:top w:val="single" w:sz="6" w:space="0" w:color="019648"/>
              <w:left w:val="nil"/>
              <w:bottom w:val="single" w:sz="6" w:space="0" w:color="019648"/>
              <w:right w:val="nil"/>
            </w:tcBorders>
          </w:tcPr>
          <w:p w14:paraId="4E2F74DB" w14:textId="77777777" w:rsidR="00767E2A" w:rsidRPr="0015544F" w:rsidRDefault="00767E2A" w:rsidP="00767E2A">
            <w:pPr>
              <w:pStyle w:val="TableParagraph"/>
              <w:ind w:right="4"/>
              <w:rPr>
                <w:sz w:val="17"/>
                <w:szCs w:val="17"/>
              </w:rPr>
            </w:pPr>
            <w:r w:rsidRPr="0015544F">
              <w:rPr>
                <w:w w:val="110"/>
                <w:sz w:val="17"/>
                <w:szCs w:val="17"/>
              </w:rPr>
              <w:t>3 (31)</w:t>
            </w:r>
          </w:p>
        </w:tc>
        <w:tc>
          <w:tcPr>
            <w:tcW w:w="1417" w:type="dxa"/>
            <w:tcBorders>
              <w:top w:val="single" w:sz="6" w:space="0" w:color="019648"/>
              <w:left w:val="nil"/>
              <w:bottom w:val="single" w:sz="6" w:space="0" w:color="019648"/>
              <w:right w:val="nil"/>
            </w:tcBorders>
          </w:tcPr>
          <w:p w14:paraId="0DA2D7B8" w14:textId="77777777" w:rsidR="00767E2A" w:rsidRPr="0015544F" w:rsidRDefault="00767E2A" w:rsidP="00767E2A">
            <w:pPr>
              <w:pStyle w:val="TableParagraph"/>
              <w:ind w:left="124" w:right="4"/>
              <w:rPr>
                <w:sz w:val="17"/>
                <w:szCs w:val="17"/>
                <w:lang w:val="uk-UA"/>
              </w:rPr>
            </w:pPr>
            <w:r w:rsidRPr="0015544F">
              <w:rPr>
                <w:w w:val="115"/>
                <w:sz w:val="17"/>
                <w:szCs w:val="17"/>
                <w:lang w:val="uk-UA"/>
              </w:rPr>
              <w:t>Низька</w:t>
            </w:r>
          </w:p>
        </w:tc>
      </w:tr>
      <w:tr w:rsidR="00767E2A" w:rsidRPr="00A816CE" w14:paraId="27A47905" w14:textId="77777777" w:rsidTr="0015544F">
        <w:trPr>
          <w:trHeight w:val="387"/>
        </w:trPr>
        <w:tc>
          <w:tcPr>
            <w:tcW w:w="1985" w:type="dxa"/>
            <w:tcBorders>
              <w:top w:val="single" w:sz="6" w:space="0" w:color="019648"/>
              <w:left w:val="nil"/>
              <w:bottom w:val="single" w:sz="6" w:space="0" w:color="019648"/>
              <w:right w:val="nil"/>
            </w:tcBorders>
          </w:tcPr>
          <w:p w14:paraId="49699BD3" w14:textId="77777777" w:rsidR="00767E2A" w:rsidRPr="0015544F" w:rsidRDefault="00767E2A" w:rsidP="00767E2A">
            <w:pPr>
              <w:pStyle w:val="TableParagraph"/>
              <w:spacing w:before="0"/>
              <w:ind w:left="0" w:right="4"/>
              <w:rPr>
                <w:sz w:val="17"/>
                <w:szCs w:val="17"/>
              </w:rPr>
            </w:pPr>
          </w:p>
        </w:tc>
        <w:tc>
          <w:tcPr>
            <w:tcW w:w="2410" w:type="dxa"/>
            <w:tcBorders>
              <w:top w:val="single" w:sz="6" w:space="0" w:color="019648"/>
              <w:left w:val="nil"/>
              <w:bottom w:val="single" w:sz="6" w:space="0" w:color="019648"/>
              <w:right w:val="nil"/>
            </w:tcBorders>
          </w:tcPr>
          <w:p w14:paraId="738BBF19" w14:textId="77777777" w:rsidR="00767E2A" w:rsidRPr="0015544F" w:rsidRDefault="00767E2A" w:rsidP="00767E2A">
            <w:pPr>
              <w:pStyle w:val="TableParagraph"/>
              <w:ind w:right="4"/>
              <w:rPr>
                <w:sz w:val="17"/>
                <w:szCs w:val="17"/>
              </w:rPr>
            </w:pPr>
            <w:proofErr w:type="spellStart"/>
            <w:r w:rsidRPr="0015544F">
              <w:rPr>
                <w:w w:val="110"/>
                <w:sz w:val="17"/>
                <w:szCs w:val="17"/>
                <w:lang w:val="uk-UA"/>
              </w:rPr>
              <w:t>Фенотиповий</w:t>
            </w:r>
            <w:proofErr w:type="spellEnd"/>
            <w:r w:rsidRPr="0015544F">
              <w:rPr>
                <w:w w:val="110"/>
                <w:sz w:val="17"/>
                <w:szCs w:val="17"/>
                <w:lang w:val="uk-UA"/>
              </w:rPr>
              <w:t xml:space="preserve"> ТМЧ</w:t>
            </w:r>
          </w:p>
        </w:tc>
        <w:tc>
          <w:tcPr>
            <w:tcW w:w="1985" w:type="dxa"/>
            <w:tcBorders>
              <w:top w:val="single" w:sz="6" w:space="0" w:color="019648"/>
              <w:left w:val="nil"/>
              <w:bottom w:val="single" w:sz="6" w:space="0" w:color="019648"/>
              <w:right w:val="nil"/>
            </w:tcBorders>
          </w:tcPr>
          <w:p w14:paraId="532F0CEE" w14:textId="77777777" w:rsidR="00767E2A" w:rsidRPr="0015544F" w:rsidRDefault="00767E2A" w:rsidP="00767E2A">
            <w:pPr>
              <w:pStyle w:val="TableParagraph"/>
              <w:ind w:right="4"/>
              <w:rPr>
                <w:sz w:val="17"/>
                <w:szCs w:val="17"/>
              </w:rPr>
            </w:pPr>
            <w:r w:rsidRPr="0015544F">
              <w:rPr>
                <w:w w:val="110"/>
                <w:sz w:val="17"/>
                <w:szCs w:val="17"/>
                <w:lang w:val="uk-UA"/>
              </w:rPr>
              <w:t>С</w:t>
            </w:r>
            <w:r w:rsidRPr="0015544F">
              <w:rPr>
                <w:w w:val="110"/>
                <w:sz w:val="17"/>
                <w:szCs w:val="17"/>
              </w:rPr>
              <w:t>: 97.0 (94.3–99.7)</w:t>
            </w:r>
          </w:p>
        </w:tc>
        <w:tc>
          <w:tcPr>
            <w:tcW w:w="1559" w:type="dxa"/>
            <w:tcBorders>
              <w:top w:val="single" w:sz="6" w:space="0" w:color="019648"/>
              <w:left w:val="nil"/>
              <w:bottom w:val="single" w:sz="6" w:space="0" w:color="019648"/>
              <w:right w:val="nil"/>
            </w:tcBorders>
          </w:tcPr>
          <w:p w14:paraId="4F0FE133" w14:textId="77777777" w:rsidR="00767E2A" w:rsidRPr="0015544F" w:rsidRDefault="00767E2A" w:rsidP="00767E2A">
            <w:pPr>
              <w:pStyle w:val="TableParagraph"/>
              <w:ind w:right="4"/>
              <w:rPr>
                <w:sz w:val="17"/>
                <w:szCs w:val="17"/>
              </w:rPr>
            </w:pPr>
            <w:r w:rsidRPr="0015544F">
              <w:rPr>
                <w:w w:val="110"/>
                <w:sz w:val="17"/>
                <w:szCs w:val="17"/>
              </w:rPr>
              <w:t>4 (519)</w:t>
            </w:r>
          </w:p>
        </w:tc>
        <w:tc>
          <w:tcPr>
            <w:tcW w:w="1417" w:type="dxa"/>
            <w:tcBorders>
              <w:top w:val="single" w:sz="6" w:space="0" w:color="019648"/>
              <w:left w:val="nil"/>
              <w:bottom w:val="single" w:sz="6" w:space="0" w:color="019648"/>
              <w:right w:val="nil"/>
            </w:tcBorders>
          </w:tcPr>
          <w:p w14:paraId="2F3F3A18" w14:textId="77777777" w:rsidR="00767E2A" w:rsidRPr="0015544F" w:rsidRDefault="00767E2A" w:rsidP="00767E2A">
            <w:pPr>
              <w:pStyle w:val="TableParagraph"/>
              <w:ind w:left="124" w:right="4"/>
              <w:rPr>
                <w:sz w:val="17"/>
                <w:szCs w:val="17"/>
              </w:rPr>
            </w:pPr>
            <w:r w:rsidRPr="0015544F">
              <w:rPr>
                <w:w w:val="115"/>
                <w:sz w:val="17"/>
                <w:szCs w:val="17"/>
                <w:lang w:val="uk-UA"/>
              </w:rPr>
              <w:t>Висока</w:t>
            </w:r>
          </w:p>
        </w:tc>
      </w:tr>
      <w:tr w:rsidR="00767E2A" w:rsidRPr="00A816CE" w14:paraId="01B3E2B5" w14:textId="77777777" w:rsidTr="0015544F">
        <w:trPr>
          <w:trHeight w:val="387"/>
        </w:trPr>
        <w:tc>
          <w:tcPr>
            <w:tcW w:w="1985" w:type="dxa"/>
            <w:tcBorders>
              <w:top w:val="single" w:sz="6" w:space="0" w:color="019648"/>
              <w:left w:val="nil"/>
              <w:bottom w:val="single" w:sz="6" w:space="0" w:color="019648"/>
              <w:right w:val="nil"/>
            </w:tcBorders>
          </w:tcPr>
          <w:p w14:paraId="6BC38789" w14:textId="77777777" w:rsidR="00767E2A" w:rsidRPr="0015544F" w:rsidRDefault="00767E2A" w:rsidP="00767E2A">
            <w:pPr>
              <w:pStyle w:val="TableParagraph"/>
              <w:ind w:left="133" w:right="4"/>
              <w:rPr>
                <w:b/>
                <w:sz w:val="17"/>
                <w:szCs w:val="17"/>
              </w:rPr>
            </w:pPr>
            <w:r w:rsidRPr="0015544F">
              <w:rPr>
                <w:b/>
                <w:w w:val="120"/>
                <w:sz w:val="17"/>
                <w:szCs w:val="17"/>
              </w:rPr>
              <w:t>Лінезолід</w:t>
            </w:r>
          </w:p>
        </w:tc>
        <w:tc>
          <w:tcPr>
            <w:tcW w:w="2410" w:type="dxa"/>
            <w:tcBorders>
              <w:top w:val="single" w:sz="6" w:space="0" w:color="019648"/>
              <w:left w:val="nil"/>
              <w:bottom w:val="single" w:sz="6" w:space="0" w:color="019648"/>
              <w:right w:val="nil"/>
            </w:tcBorders>
          </w:tcPr>
          <w:p w14:paraId="473380FD" w14:textId="77777777" w:rsidR="00767E2A" w:rsidRPr="0015544F" w:rsidRDefault="00767E2A" w:rsidP="00767E2A">
            <w:pPr>
              <w:pStyle w:val="TableParagraph"/>
              <w:ind w:right="4"/>
              <w:rPr>
                <w:sz w:val="17"/>
                <w:szCs w:val="17"/>
              </w:rPr>
            </w:pPr>
            <w:proofErr w:type="spellStart"/>
            <w:r w:rsidRPr="0015544F">
              <w:rPr>
                <w:w w:val="110"/>
                <w:sz w:val="17"/>
                <w:szCs w:val="17"/>
                <w:lang w:val="uk-UA"/>
              </w:rPr>
              <w:t>Фенотиповий</w:t>
            </w:r>
            <w:proofErr w:type="spellEnd"/>
            <w:r w:rsidRPr="0015544F">
              <w:rPr>
                <w:w w:val="110"/>
                <w:sz w:val="17"/>
                <w:szCs w:val="17"/>
                <w:lang w:val="uk-UA"/>
              </w:rPr>
              <w:t xml:space="preserve"> ТМЧ</w:t>
            </w:r>
          </w:p>
        </w:tc>
        <w:tc>
          <w:tcPr>
            <w:tcW w:w="1985" w:type="dxa"/>
            <w:tcBorders>
              <w:top w:val="single" w:sz="6" w:space="0" w:color="019648"/>
              <w:left w:val="nil"/>
              <w:bottom w:val="single" w:sz="6" w:space="0" w:color="019648"/>
              <w:right w:val="nil"/>
            </w:tcBorders>
          </w:tcPr>
          <w:p w14:paraId="1DE84B3F" w14:textId="77777777" w:rsidR="00767E2A" w:rsidRPr="0015544F" w:rsidRDefault="00767E2A" w:rsidP="00767E2A">
            <w:pPr>
              <w:pStyle w:val="TableParagraph"/>
              <w:ind w:right="4"/>
              <w:rPr>
                <w:sz w:val="17"/>
                <w:szCs w:val="17"/>
              </w:rPr>
            </w:pPr>
            <w:r w:rsidRPr="0015544F">
              <w:rPr>
                <w:w w:val="110"/>
                <w:sz w:val="17"/>
                <w:szCs w:val="17"/>
                <w:lang w:val="uk-UA"/>
              </w:rPr>
              <w:t>Ч</w:t>
            </w:r>
            <w:r w:rsidRPr="0015544F">
              <w:rPr>
                <w:w w:val="110"/>
                <w:sz w:val="17"/>
                <w:szCs w:val="17"/>
              </w:rPr>
              <w:t>: 68.9 (38.7–99.1)</w:t>
            </w:r>
          </w:p>
        </w:tc>
        <w:tc>
          <w:tcPr>
            <w:tcW w:w="1559" w:type="dxa"/>
            <w:tcBorders>
              <w:top w:val="single" w:sz="6" w:space="0" w:color="019648"/>
              <w:left w:val="nil"/>
              <w:bottom w:val="single" w:sz="6" w:space="0" w:color="019648"/>
              <w:right w:val="nil"/>
            </w:tcBorders>
          </w:tcPr>
          <w:p w14:paraId="739B617D" w14:textId="77777777" w:rsidR="00767E2A" w:rsidRPr="0015544F" w:rsidRDefault="00767E2A" w:rsidP="00767E2A">
            <w:pPr>
              <w:pStyle w:val="TableParagraph"/>
              <w:ind w:right="4"/>
              <w:rPr>
                <w:sz w:val="17"/>
                <w:szCs w:val="17"/>
              </w:rPr>
            </w:pPr>
            <w:r w:rsidRPr="0015544F">
              <w:rPr>
                <w:w w:val="110"/>
                <w:sz w:val="17"/>
                <w:szCs w:val="17"/>
              </w:rPr>
              <w:t>4 (31)</w:t>
            </w:r>
          </w:p>
        </w:tc>
        <w:tc>
          <w:tcPr>
            <w:tcW w:w="1417" w:type="dxa"/>
            <w:tcBorders>
              <w:top w:val="single" w:sz="6" w:space="0" w:color="019648"/>
              <w:left w:val="nil"/>
              <w:bottom w:val="single" w:sz="6" w:space="0" w:color="019648"/>
              <w:right w:val="nil"/>
            </w:tcBorders>
          </w:tcPr>
          <w:p w14:paraId="2AF7DBB1" w14:textId="77777777" w:rsidR="00767E2A" w:rsidRPr="0015544F" w:rsidRDefault="00767E2A" w:rsidP="00767E2A">
            <w:pPr>
              <w:pStyle w:val="TableParagraph"/>
              <w:ind w:left="124" w:right="4"/>
              <w:rPr>
                <w:sz w:val="17"/>
                <w:szCs w:val="17"/>
              </w:rPr>
            </w:pPr>
            <w:r w:rsidRPr="0015544F">
              <w:rPr>
                <w:w w:val="115"/>
                <w:sz w:val="17"/>
                <w:szCs w:val="17"/>
                <w:lang w:val="uk-UA"/>
              </w:rPr>
              <w:t>Низька</w:t>
            </w:r>
          </w:p>
        </w:tc>
      </w:tr>
      <w:tr w:rsidR="00767E2A" w:rsidRPr="00A816CE" w14:paraId="1B763773" w14:textId="77777777" w:rsidTr="0015544F">
        <w:trPr>
          <w:trHeight w:val="387"/>
        </w:trPr>
        <w:tc>
          <w:tcPr>
            <w:tcW w:w="1985" w:type="dxa"/>
            <w:tcBorders>
              <w:top w:val="single" w:sz="6" w:space="0" w:color="019648"/>
              <w:left w:val="nil"/>
              <w:bottom w:val="single" w:sz="6" w:space="0" w:color="019648"/>
              <w:right w:val="nil"/>
            </w:tcBorders>
          </w:tcPr>
          <w:p w14:paraId="6D0CDF37" w14:textId="77777777" w:rsidR="00767E2A" w:rsidRPr="0015544F" w:rsidRDefault="00767E2A" w:rsidP="00767E2A">
            <w:pPr>
              <w:pStyle w:val="TableParagraph"/>
              <w:spacing w:before="0"/>
              <w:ind w:left="0" w:right="4"/>
              <w:rPr>
                <w:sz w:val="17"/>
                <w:szCs w:val="17"/>
              </w:rPr>
            </w:pPr>
          </w:p>
        </w:tc>
        <w:tc>
          <w:tcPr>
            <w:tcW w:w="2410" w:type="dxa"/>
            <w:tcBorders>
              <w:top w:val="single" w:sz="6" w:space="0" w:color="019648"/>
              <w:left w:val="nil"/>
              <w:bottom w:val="single" w:sz="6" w:space="0" w:color="019648"/>
              <w:right w:val="nil"/>
            </w:tcBorders>
          </w:tcPr>
          <w:p w14:paraId="21DC3A4B" w14:textId="77777777" w:rsidR="00767E2A" w:rsidRPr="0015544F" w:rsidRDefault="00767E2A" w:rsidP="00767E2A">
            <w:pPr>
              <w:pStyle w:val="TableParagraph"/>
              <w:ind w:right="4"/>
              <w:rPr>
                <w:sz w:val="17"/>
                <w:szCs w:val="17"/>
              </w:rPr>
            </w:pPr>
            <w:proofErr w:type="spellStart"/>
            <w:r w:rsidRPr="0015544F">
              <w:rPr>
                <w:w w:val="110"/>
                <w:sz w:val="17"/>
                <w:szCs w:val="17"/>
                <w:lang w:val="uk-UA"/>
              </w:rPr>
              <w:t>Фенотиповий</w:t>
            </w:r>
            <w:proofErr w:type="spellEnd"/>
            <w:r w:rsidRPr="0015544F">
              <w:rPr>
                <w:w w:val="110"/>
                <w:sz w:val="17"/>
                <w:szCs w:val="17"/>
                <w:lang w:val="uk-UA"/>
              </w:rPr>
              <w:t xml:space="preserve"> ТМЧ</w:t>
            </w:r>
          </w:p>
        </w:tc>
        <w:tc>
          <w:tcPr>
            <w:tcW w:w="1985" w:type="dxa"/>
            <w:tcBorders>
              <w:top w:val="single" w:sz="6" w:space="0" w:color="019648"/>
              <w:left w:val="nil"/>
              <w:bottom w:val="single" w:sz="6" w:space="0" w:color="019648"/>
              <w:right w:val="nil"/>
            </w:tcBorders>
          </w:tcPr>
          <w:p w14:paraId="18B51CA6" w14:textId="77777777" w:rsidR="00767E2A" w:rsidRPr="0015544F" w:rsidRDefault="00767E2A" w:rsidP="00767E2A">
            <w:pPr>
              <w:pStyle w:val="TableParagraph"/>
              <w:ind w:right="4"/>
              <w:rPr>
                <w:sz w:val="17"/>
                <w:szCs w:val="17"/>
              </w:rPr>
            </w:pPr>
            <w:r w:rsidRPr="0015544F">
              <w:rPr>
                <w:w w:val="110"/>
                <w:sz w:val="17"/>
                <w:szCs w:val="17"/>
                <w:lang w:val="uk-UA"/>
              </w:rPr>
              <w:t>С</w:t>
            </w:r>
            <w:r w:rsidRPr="0015544F">
              <w:rPr>
                <w:w w:val="110"/>
                <w:sz w:val="17"/>
                <w:szCs w:val="17"/>
              </w:rPr>
              <w:t>: 99.8 (99.6–100)</w:t>
            </w:r>
          </w:p>
        </w:tc>
        <w:tc>
          <w:tcPr>
            <w:tcW w:w="1559" w:type="dxa"/>
            <w:tcBorders>
              <w:top w:val="single" w:sz="6" w:space="0" w:color="019648"/>
              <w:left w:val="nil"/>
              <w:bottom w:val="single" w:sz="6" w:space="0" w:color="019648"/>
              <w:right w:val="nil"/>
            </w:tcBorders>
          </w:tcPr>
          <w:p w14:paraId="7718D821" w14:textId="77777777" w:rsidR="00767E2A" w:rsidRPr="0015544F" w:rsidRDefault="00767E2A" w:rsidP="00767E2A">
            <w:pPr>
              <w:pStyle w:val="TableParagraph"/>
              <w:ind w:right="4"/>
              <w:rPr>
                <w:sz w:val="17"/>
                <w:szCs w:val="17"/>
              </w:rPr>
            </w:pPr>
            <w:r w:rsidRPr="0015544F">
              <w:rPr>
                <w:w w:val="110"/>
                <w:sz w:val="17"/>
                <w:szCs w:val="17"/>
              </w:rPr>
              <w:t>6 (1093)</w:t>
            </w:r>
          </w:p>
        </w:tc>
        <w:tc>
          <w:tcPr>
            <w:tcW w:w="1417" w:type="dxa"/>
            <w:tcBorders>
              <w:top w:val="single" w:sz="6" w:space="0" w:color="019648"/>
              <w:left w:val="nil"/>
              <w:bottom w:val="single" w:sz="6" w:space="0" w:color="019648"/>
              <w:right w:val="nil"/>
            </w:tcBorders>
          </w:tcPr>
          <w:p w14:paraId="0F28634D" w14:textId="77777777" w:rsidR="00767E2A" w:rsidRPr="0015544F" w:rsidRDefault="00767E2A" w:rsidP="00767E2A">
            <w:pPr>
              <w:pStyle w:val="TableParagraph"/>
              <w:ind w:left="124" w:right="4"/>
              <w:rPr>
                <w:sz w:val="17"/>
                <w:szCs w:val="17"/>
              </w:rPr>
            </w:pPr>
            <w:r w:rsidRPr="0015544F">
              <w:rPr>
                <w:w w:val="115"/>
                <w:sz w:val="17"/>
                <w:szCs w:val="17"/>
                <w:lang w:val="uk-UA"/>
              </w:rPr>
              <w:t>Висока</w:t>
            </w:r>
          </w:p>
        </w:tc>
      </w:tr>
      <w:tr w:rsidR="00767E2A" w:rsidRPr="00A816CE" w14:paraId="03F89DA9" w14:textId="77777777" w:rsidTr="0015544F">
        <w:trPr>
          <w:trHeight w:val="387"/>
        </w:trPr>
        <w:tc>
          <w:tcPr>
            <w:tcW w:w="1985" w:type="dxa"/>
            <w:tcBorders>
              <w:top w:val="single" w:sz="6" w:space="0" w:color="019648"/>
              <w:left w:val="nil"/>
              <w:bottom w:val="single" w:sz="6" w:space="0" w:color="019648"/>
              <w:right w:val="nil"/>
            </w:tcBorders>
          </w:tcPr>
          <w:p w14:paraId="2139EC47" w14:textId="77777777" w:rsidR="00767E2A" w:rsidRPr="0015544F" w:rsidRDefault="00767E2A" w:rsidP="00767E2A">
            <w:pPr>
              <w:pStyle w:val="TableParagraph"/>
              <w:ind w:left="133" w:right="4"/>
              <w:rPr>
                <w:b/>
                <w:sz w:val="17"/>
                <w:szCs w:val="17"/>
              </w:rPr>
            </w:pPr>
            <w:r w:rsidRPr="0015544F">
              <w:rPr>
                <w:b/>
                <w:w w:val="115"/>
                <w:sz w:val="17"/>
                <w:szCs w:val="17"/>
              </w:rPr>
              <w:t>Клофазимін</w:t>
            </w:r>
          </w:p>
        </w:tc>
        <w:tc>
          <w:tcPr>
            <w:tcW w:w="2410" w:type="dxa"/>
            <w:tcBorders>
              <w:top w:val="single" w:sz="6" w:space="0" w:color="019648"/>
              <w:left w:val="nil"/>
              <w:bottom w:val="single" w:sz="6" w:space="0" w:color="019648"/>
              <w:right w:val="nil"/>
            </w:tcBorders>
          </w:tcPr>
          <w:p w14:paraId="462A2DCB" w14:textId="77777777" w:rsidR="00767E2A" w:rsidRPr="0015544F" w:rsidRDefault="00767E2A" w:rsidP="00767E2A">
            <w:pPr>
              <w:pStyle w:val="TableParagraph"/>
              <w:ind w:right="4"/>
              <w:rPr>
                <w:sz w:val="17"/>
                <w:szCs w:val="17"/>
              </w:rPr>
            </w:pPr>
            <w:proofErr w:type="spellStart"/>
            <w:r w:rsidRPr="0015544F">
              <w:rPr>
                <w:w w:val="110"/>
                <w:sz w:val="17"/>
                <w:szCs w:val="17"/>
                <w:lang w:val="uk-UA"/>
              </w:rPr>
              <w:t>Фенотиповий</w:t>
            </w:r>
            <w:proofErr w:type="spellEnd"/>
            <w:r w:rsidRPr="0015544F">
              <w:rPr>
                <w:w w:val="110"/>
                <w:sz w:val="17"/>
                <w:szCs w:val="17"/>
                <w:lang w:val="uk-UA"/>
              </w:rPr>
              <w:t xml:space="preserve"> ТМЧ</w:t>
            </w:r>
          </w:p>
        </w:tc>
        <w:tc>
          <w:tcPr>
            <w:tcW w:w="1985" w:type="dxa"/>
            <w:tcBorders>
              <w:top w:val="single" w:sz="6" w:space="0" w:color="019648"/>
              <w:left w:val="nil"/>
              <w:bottom w:val="single" w:sz="6" w:space="0" w:color="019648"/>
              <w:right w:val="nil"/>
            </w:tcBorders>
          </w:tcPr>
          <w:p w14:paraId="5B2BA1F5" w14:textId="77777777" w:rsidR="00767E2A" w:rsidRPr="0015544F" w:rsidRDefault="00767E2A" w:rsidP="00767E2A">
            <w:pPr>
              <w:pStyle w:val="TableParagraph"/>
              <w:ind w:right="4"/>
              <w:rPr>
                <w:sz w:val="17"/>
                <w:szCs w:val="17"/>
              </w:rPr>
            </w:pPr>
            <w:r w:rsidRPr="0015544F">
              <w:rPr>
                <w:w w:val="110"/>
                <w:sz w:val="17"/>
                <w:szCs w:val="17"/>
                <w:lang w:val="uk-UA"/>
              </w:rPr>
              <w:t>Ч</w:t>
            </w:r>
            <w:r w:rsidRPr="0015544F">
              <w:rPr>
                <w:w w:val="110"/>
                <w:sz w:val="17"/>
                <w:szCs w:val="17"/>
              </w:rPr>
              <w:t>: 70.4 (34.6–100)</w:t>
            </w:r>
          </w:p>
        </w:tc>
        <w:tc>
          <w:tcPr>
            <w:tcW w:w="1559" w:type="dxa"/>
            <w:tcBorders>
              <w:top w:val="single" w:sz="6" w:space="0" w:color="019648"/>
              <w:left w:val="nil"/>
              <w:bottom w:val="single" w:sz="6" w:space="0" w:color="019648"/>
              <w:right w:val="nil"/>
            </w:tcBorders>
          </w:tcPr>
          <w:p w14:paraId="33F10C58" w14:textId="77777777" w:rsidR="00767E2A" w:rsidRPr="0015544F" w:rsidRDefault="00767E2A" w:rsidP="00767E2A">
            <w:pPr>
              <w:pStyle w:val="TableParagraph"/>
              <w:ind w:right="4"/>
              <w:rPr>
                <w:sz w:val="17"/>
                <w:szCs w:val="17"/>
              </w:rPr>
            </w:pPr>
            <w:r w:rsidRPr="0015544F">
              <w:rPr>
                <w:w w:val="110"/>
                <w:sz w:val="17"/>
                <w:szCs w:val="17"/>
              </w:rPr>
              <w:t>4 (36)</w:t>
            </w:r>
          </w:p>
        </w:tc>
        <w:tc>
          <w:tcPr>
            <w:tcW w:w="1417" w:type="dxa"/>
            <w:tcBorders>
              <w:top w:val="single" w:sz="6" w:space="0" w:color="019648"/>
              <w:left w:val="nil"/>
              <w:bottom w:val="single" w:sz="6" w:space="0" w:color="019648"/>
              <w:right w:val="nil"/>
            </w:tcBorders>
          </w:tcPr>
          <w:p w14:paraId="41736BBA" w14:textId="77777777" w:rsidR="00767E2A" w:rsidRPr="0015544F" w:rsidRDefault="00767E2A" w:rsidP="00767E2A">
            <w:pPr>
              <w:pStyle w:val="TableParagraph"/>
              <w:ind w:left="124" w:right="4"/>
              <w:rPr>
                <w:sz w:val="17"/>
                <w:szCs w:val="17"/>
              </w:rPr>
            </w:pPr>
            <w:r w:rsidRPr="0015544F">
              <w:rPr>
                <w:w w:val="115"/>
                <w:sz w:val="17"/>
                <w:szCs w:val="17"/>
                <w:lang w:val="uk-UA"/>
              </w:rPr>
              <w:t>Низька</w:t>
            </w:r>
          </w:p>
        </w:tc>
      </w:tr>
      <w:tr w:rsidR="00767E2A" w:rsidRPr="00A816CE" w14:paraId="10751584" w14:textId="77777777" w:rsidTr="0015544F">
        <w:trPr>
          <w:trHeight w:val="387"/>
        </w:trPr>
        <w:tc>
          <w:tcPr>
            <w:tcW w:w="1985" w:type="dxa"/>
            <w:tcBorders>
              <w:top w:val="single" w:sz="6" w:space="0" w:color="019648"/>
              <w:left w:val="nil"/>
              <w:bottom w:val="single" w:sz="6" w:space="0" w:color="019648"/>
              <w:right w:val="nil"/>
            </w:tcBorders>
          </w:tcPr>
          <w:p w14:paraId="73C4FCC3" w14:textId="77777777" w:rsidR="00767E2A" w:rsidRPr="0015544F" w:rsidRDefault="00767E2A" w:rsidP="00767E2A">
            <w:pPr>
              <w:pStyle w:val="TableParagraph"/>
              <w:spacing w:before="0"/>
              <w:ind w:left="0" w:right="4"/>
              <w:rPr>
                <w:sz w:val="17"/>
                <w:szCs w:val="17"/>
              </w:rPr>
            </w:pPr>
          </w:p>
        </w:tc>
        <w:tc>
          <w:tcPr>
            <w:tcW w:w="2410" w:type="dxa"/>
            <w:tcBorders>
              <w:top w:val="single" w:sz="6" w:space="0" w:color="019648"/>
              <w:left w:val="nil"/>
              <w:bottom w:val="single" w:sz="6" w:space="0" w:color="019648"/>
              <w:right w:val="nil"/>
            </w:tcBorders>
          </w:tcPr>
          <w:p w14:paraId="6721B0A9" w14:textId="77777777" w:rsidR="00767E2A" w:rsidRPr="0015544F" w:rsidRDefault="00767E2A" w:rsidP="00767E2A">
            <w:pPr>
              <w:pStyle w:val="TableParagraph"/>
              <w:ind w:right="4"/>
              <w:rPr>
                <w:sz w:val="17"/>
                <w:szCs w:val="17"/>
              </w:rPr>
            </w:pPr>
            <w:proofErr w:type="spellStart"/>
            <w:r w:rsidRPr="0015544F">
              <w:rPr>
                <w:w w:val="110"/>
                <w:sz w:val="17"/>
                <w:szCs w:val="17"/>
                <w:lang w:val="uk-UA"/>
              </w:rPr>
              <w:t>Фенотиповий</w:t>
            </w:r>
            <w:proofErr w:type="spellEnd"/>
            <w:r w:rsidRPr="0015544F">
              <w:rPr>
                <w:w w:val="110"/>
                <w:sz w:val="17"/>
                <w:szCs w:val="17"/>
                <w:lang w:val="uk-UA"/>
              </w:rPr>
              <w:t xml:space="preserve"> ТМЧ</w:t>
            </w:r>
          </w:p>
        </w:tc>
        <w:tc>
          <w:tcPr>
            <w:tcW w:w="1985" w:type="dxa"/>
            <w:tcBorders>
              <w:top w:val="single" w:sz="6" w:space="0" w:color="019648"/>
              <w:left w:val="nil"/>
              <w:bottom w:val="single" w:sz="6" w:space="0" w:color="019648"/>
              <w:right w:val="nil"/>
            </w:tcBorders>
          </w:tcPr>
          <w:p w14:paraId="12832BEC" w14:textId="77777777" w:rsidR="00767E2A" w:rsidRPr="0015544F" w:rsidRDefault="00767E2A" w:rsidP="00767E2A">
            <w:pPr>
              <w:pStyle w:val="TableParagraph"/>
              <w:ind w:right="4"/>
              <w:rPr>
                <w:sz w:val="17"/>
                <w:szCs w:val="17"/>
              </w:rPr>
            </w:pPr>
            <w:r w:rsidRPr="0015544F">
              <w:rPr>
                <w:w w:val="110"/>
                <w:sz w:val="17"/>
                <w:szCs w:val="17"/>
                <w:lang w:val="uk-UA"/>
              </w:rPr>
              <w:t>С</w:t>
            </w:r>
            <w:r w:rsidRPr="0015544F">
              <w:rPr>
                <w:w w:val="110"/>
                <w:sz w:val="17"/>
                <w:szCs w:val="17"/>
              </w:rPr>
              <w:t>: 96.3 (93.2–99.3)</w:t>
            </w:r>
          </w:p>
        </w:tc>
        <w:tc>
          <w:tcPr>
            <w:tcW w:w="1559" w:type="dxa"/>
            <w:tcBorders>
              <w:top w:val="single" w:sz="6" w:space="0" w:color="019648"/>
              <w:left w:val="nil"/>
              <w:bottom w:val="single" w:sz="6" w:space="0" w:color="019648"/>
              <w:right w:val="nil"/>
            </w:tcBorders>
          </w:tcPr>
          <w:p w14:paraId="4D38BF1F" w14:textId="77777777" w:rsidR="00767E2A" w:rsidRPr="0015544F" w:rsidRDefault="00767E2A" w:rsidP="00767E2A">
            <w:pPr>
              <w:pStyle w:val="TableParagraph"/>
              <w:ind w:right="4"/>
              <w:rPr>
                <w:sz w:val="17"/>
                <w:szCs w:val="17"/>
              </w:rPr>
            </w:pPr>
            <w:r w:rsidRPr="0015544F">
              <w:rPr>
                <w:w w:val="110"/>
                <w:sz w:val="17"/>
                <w:szCs w:val="17"/>
              </w:rPr>
              <w:t>6 (789)</w:t>
            </w:r>
          </w:p>
        </w:tc>
        <w:tc>
          <w:tcPr>
            <w:tcW w:w="1417" w:type="dxa"/>
            <w:tcBorders>
              <w:top w:val="single" w:sz="6" w:space="0" w:color="019648"/>
              <w:left w:val="nil"/>
              <w:bottom w:val="single" w:sz="6" w:space="0" w:color="019648"/>
              <w:right w:val="nil"/>
            </w:tcBorders>
          </w:tcPr>
          <w:p w14:paraId="1508DF8E" w14:textId="77777777" w:rsidR="00767E2A" w:rsidRPr="0015544F" w:rsidRDefault="00767E2A" w:rsidP="00767E2A">
            <w:pPr>
              <w:pStyle w:val="TableParagraph"/>
              <w:ind w:left="124" w:right="4"/>
              <w:rPr>
                <w:sz w:val="17"/>
                <w:szCs w:val="17"/>
              </w:rPr>
            </w:pPr>
            <w:r w:rsidRPr="0015544F">
              <w:rPr>
                <w:w w:val="115"/>
                <w:sz w:val="17"/>
                <w:szCs w:val="17"/>
                <w:lang w:val="uk-UA"/>
              </w:rPr>
              <w:t>Висока</w:t>
            </w:r>
          </w:p>
        </w:tc>
      </w:tr>
      <w:tr w:rsidR="00767E2A" w:rsidRPr="00A816CE" w14:paraId="16F46890" w14:textId="77777777" w:rsidTr="0015544F">
        <w:trPr>
          <w:trHeight w:val="387"/>
        </w:trPr>
        <w:tc>
          <w:tcPr>
            <w:tcW w:w="1985" w:type="dxa"/>
            <w:tcBorders>
              <w:top w:val="single" w:sz="6" w:space="0" w:color="019648"/>
              <w:left w:val="nil"/>
              <w:bottom w:val="single" w:sz="6" w:space="0" w:color="019648"/>
              <w:right w:val="nil"/>
            </w:tcBorders>
          </w:tcPr>
          <w:p w14:paraId="76C73501" w14:textId="77777777" w:rsidR="00767E2A" w:rsidRPr="0015544F" w:rsidRDefault="00767E2A" w:rsidP="00767E2A">
            <w:pPr>
              <w:pStyle w:val="TableParagraph"/>
              <w:ind w:left="133" w:right="4"/>
              <w:rPr>
                <w:b/>
                <w:sz w:val="17"/>
                <w:szCs w:val="17"/>
              </w:rPr>
            </w:pPr>
            <w:r w:rsidRPr="0015544F">
              <w:rPr>
                <w:b/>
                <w:w w:val="115"/>
                <w:sz w:val="17"/>
                <w:szCs w:val="17"/>
              </w:rPr>
              <w:t>Амікацин</w:t>
            </w:r>
          </w:p>
        </w:tc>
        <w:tc>
          <w:tcPr>
            <w:tcW w:w="2410" w:type="dxa"/>
            <w:tcBorders>
              <w:top w:val="single" w:sz="6" w:space="0" w:color="019648"/>
              <w:left w:val="nil"/>
              <w:bottom w:val="single" w:sz="6" w:space="0" w:color="019648"/>
              <w:right w:val="nil"/>
            </w:tcBorders>
          </w:tcPr>
          <w:p w14:paraId="53494F37" w14:textId="77777777" w:rsidR="00767E2A" w:rsidRPr="0015544F" w:rsidRDefault="00767E2A" w:rsidP="00767E2A">
            <w:pPr>
              <w:pStyle w:val="TableParagraph"/>
              <w:ind w:right="4"/>
              <w:rPr>
                <w:sz w:val="17"/>
                <w:szCs w:val="17"/>
              </w:rPr>
            </w:pPr>
            <w:proofErr w:type="spellStart"/>
            <w:r w:rsidRPr="0015544F">
              <w:rPr>
                <w:w w:val="110"/>
                <w:sz w:val="17"/>
                <w:szCs w:val="17"/>
                <w:lang w:val="uk-UA"/>
              </w:rPr>
              <w:t>Фенотиповий</w:t>
            </w:r>
            <w:proofErr w:type="spellEnd"/>
            <w:r w:rsidRPr="0015544F">
              <w:rPr>
                <w:w w:val="110"/>
                <w:sz w:val="17"/>
                <w:szCs w:val="17"/>
                <w:lang w:val="uk-UA"/>
              </w:rPr>
              <w:t xml:space="preserve"> ТМЧ</w:t>
            </w:r>
          </w:p>
        </w:tc>
        <w:tc>
          <w:tcPr>
            <w:tcW w:w="1985" w:type="dxa"/>
            <w:tcBorders>
              <w:top w:val="single" w:sz="6" w:space="0" w:color="019648"/>
              <w:left w:val="nil"/>
              <w:bottom w:val="single" w:sz="6" w:space="0" w:color="019648"/>
              <w:right w:val="nil"/>
            </w:tcBorders>
          </w:tcPr>
          <w:p w14:paraId="3E70C187" w14:textId="77777777" w:rsidR="00767E2A" w:rsidRPr="0015544F" w:rsidRDefault="00767E2A" w:rsidP="00767E2A">
            <w:pPr>
              <w:pStyle w:val="TableParagraph"/>
              <w:ind w:right="4"/>
              <w:rPr>
                <w:sz w:val="17"/>
                <w:szCs w:val="17"/>
              </w:rPr>
            </w:pPr>
            <w:r w:rsidRPr="0015544F">
              <w:rPr>
                <w:w w:val="110"/>
                <w:sz w:val="17"/>
                <w:szCs w:val="17"/>
                <w:lang w:val="uk-UA"/>
              </w:rPr>
              <w:t>Ч</w:t>
            </w:r>
            <w:r w:rsidRPr="0015544F">
              <w:rPr>
                <w:w w:val="110"/>
                <w:sz w:val="17"/>
                <w:szCs w:val="17"/>
              </w:rPr>
              <w:t>: 87.4 (74.5–100)</w:t>
            </w:r>
          </w:p>
        </w:tc>
        <w:tc>
          <w:tcPr>
            <w:tcW w:w="1559" w:type="dxa"/>
            <w:tcBorders>
              <w:top w:val="single" w:sz="6" w:space="0" w:color="019648"/>
              <w:left w:val="nil"/>
              <w:bottom w:val="single" w:sz="6" w:space="0" w:color="019648"/>
              <w:right w:val="nil"/>
            </w:tcBorders>
          </w:tcPr>
          <w:p w14:paraId="06BD3C00" w14:textId="77777777" w:rsidR="00767E2A" w:rsidRPr="0015544F" w:rsidRDefault="00767E2A" w:rsidP="00767E2A">
            <w:pPr>
              <w:pStyle w:val="TableParagraph"/>
              <w:ind w:right="4"/>
              <w:rPr>
                <w:sz w:val="17"/>
                <w:szCs w:val="17"/>
              </w:rPr>
            </w:pPr>
            <w:r w:rsidRPr="0015544F">
              <w:rPr>
                <w:w w:val="110"/>
                <w:sz w:val="17"/>
                <w:szCs w:val="17"/>
              </w:rPr>
              <w:t>5 (115)</w:t>
            </w:r>
          </w:p>
        </w:tc>
        <w:tc>
          <w:tcPr>
            <w:tcW w:w="1417" w:type="dxa"/>
            <w:tcBorders>
              <w:top w:val="single" w:sz="6" w:space="0" w:color="019648"/>
              <w:left w:val="nil"/>
              <w:bottom w:val="single" w:sz="6" w:space="0" w:color="019648"/>
              <w:right w:val="nil"/>
            </w:tcBorders>
          </w:tcPr>
          <w:p w14:paraId="24B38B51" w14:textId="77777777" w:rsidR="00767E2A" w:rsidRPr="0015544F" w:rsidRDefault="00767E2A" w:rsidP="00767E2A">
            <w:pPr>
              <w:pStyle w:val="TableParagraph"/>
              <w:ind w:left="124" w:right="4"/>
              <w:rPr>
                <w:sz w:val="17"/>
                <w:szCs w:val="17"/>
                <w:lang w:val="uk-UA"/>
              </w:rPr>
            </w:pPr>
            <w:r w:rsidRPr="0015544F">
              <w:rPr>
                <w:w w:val="110"/>
                <w:sz w:val="17"/>
                <w:szCs w:val="17"/>
                <w:lang w:val="uk-UA"/>
              </w:rPr>
              <w:t>Дуже низька</w:t>
            </w:r>
          </w:p>
        </w:tc>
      </w:tr>
      <w:tr w:rsidR="00767E2A" w:rsidRPr="00A816CE" w14:paraId="5BAD1944" w14:textId="77777777" w:rsidTr="0015544F">
        <w:trPr>
          <w:trHeight w:val="387"/>
        </w:trPr>
        <w:tc>
          <w:tcPr>
            <w:tcW w:w="1985" w:type="dxa"/>
            <w:tcBorders>
              <w:top w:val="single" w:sz="6" w:space="0" w:color="019648"/>
              <w:left w:val="nil"/>
              <w:bottom w:val="single" w:sz="6" w:space="0" w:color="019648"/>
              <w:right w:val="nil"/>
            </w:tcBorders>
          </w:tcPr>
          <w:p w14:paraId="395C1063" w14:textId="77777777" w:rsidR="00767E2A" w:rsidRPr="0015544F" w:rsidRDefault="00767E2A" w:rsidP="00767E2A">
            <w:pPr>
              <w:pStyle w:val="TableParagraph"/>
              <w:spacing w:before="0"/>
              <w:ind w:left="0" w:right="4"/>
              <w:rPr>
                <w:sz w:val="17"/>
                <w:szCs w:val="17"/>
              </w:rPr>
            </w:pPr>
          </w:p>
        </w:tc>
        <w:tc>
          <w:tcPr>
            <w:tcW w:w="2410" w:type="dxa"/>
            <w:tcBorders>
              <w:top w:val="single" w:sz="6" w:space="0" w:color="019648"/>
              <w:left w:val="nil"/>
              <w:bottom w:val="single" w:sz="6" w:space="0" w:color="019648"/>
              <w:right w:val="nil"/>
            </w:tcBorders>
          </w:tcPr>
          <w:p w14:paraId="1BED8906" w14:textId="77777777" w:rsidR="00767E2A" w:rsidRPr="0015544F" w:rsidRDefault="00767E2A" w:rsidP="00767E2A">
            <w:pPr>
              <w:pStyle w:val="TableParagraph"/>
              <w:ind w:right="4"/>
              <w:rPr>
                <w:sz w:val="17"/>
                <w:szCs w:val="17"/>
              </w:rPr>
            </w:pPr>
            <w:proofErr w:type="spellStart"/>
            <w:r w:rsidRPr="0015544F">
              <w:rPr>
                <w:w w:val="110"/>
                <w:sz w:val="17"/>
                <w:szCs w:val="17"/>
                <w:lang w:val="uk-UA"/>
              </w:rPr>
              <w:t>Фенотиповий</w:t>
            </w:r>
            <w:proofErr w:type="spellEnd"/>
            <w:r w:rsidRPr="0015544F">
              <w:rPr>
                <w:w w:val="110"/>
                <w:sz w:val="17"/>
                <w:szCs w:val="17"/>
                <w:lang w:val="uk-UA"/>
              </w:rPr>
              <w:t xml:space="preserve"> ТМЧ</w:t>
            </w:r>
          </w:p>
        </w:tc>
        <w:tc>
          <w:tcPr>
            <w:tcW w:w="1985" w:type="dxa"/>
            <w:tcBorders>
              <w:top w:val="single" w:sz="6" w:space="0" w:color="019648"/>
              <w:left w:val="nil"/>
              <w:bottom w:val="single" w:sz="6" w:space="0" w:color="019648"/>
              <w:right w:val="nil"/>
            </w:tcBorders>
          </w:tcPr>
          <w:p w14:paraId="02AE639B" w14:textId="77777777" w:rsidR="00767E2A" w:rsidRPr="0015544F" w:rsidRDefault="00767E2A" w:rsidP="00767E2A">
            <w:pPr>
              <w:pStyle w:val="TableParagraph"/>
              <w:ind w:right="4"/>
              <w:rPr>
                <w:sz w:val="17"/>
                <w:szCs w:val="17"/>
              </w:rPr>
            </w:pPr>
            <w:r w:rsidRPr="0015544F">
              <w:rPr>
                <w:w w:val="110"/>
                <w:sz w:val="17"/>
                <w:szCs w:val="17"/>
                <w:lang w:val="uk-UA"/>
              </w:rPr>
              <w:t>С</w:t>
            </w:r>
            <w:r w:rsidRPr="0015544F">
              <w:rPr>
                <w:w w:val="110"/>
                <w:sz w:val="17"/>
                <w:szCs w:val="17"/>
              </w:rPr>
              <w:t>: 99.0 (98.4–99.6)</w:t>
            </w:r>
          </w:p>
        </w:tc>
        <w:tc>
          <w:tcPr>
            <w:tcW w:w="1559" w:type="dxa"/>
            <w:tcBorders>
              <w:top w:val="single" w:sz="6" w:space="0" w:color="019648"/>
              <w:left w:val="nil"/>
              <w:bottom w:val="single" w:sz="6" w:space="0" w:color="019648"/>
              <w:right w:val="nil"/>
            </w:tcBorders>
          </w:tcPr>
          <w:p w14:paraId="772FDC2A" w14:textId="77777777" w:rsidR="00767E2A" w:rsidRPr="0015544F" w:rsidRDefault="00767E2A" w:rsidP="00767E2A">
            <w:pPr>
              <w:pStyle w:val="TableParagraph"/>
              <w:ind w:right="4"/>
              <w:rPr>
                <w:sz w:val="17"/>
                <w:szCs w:val="17"/>
              </w:rPr>
            </w:pPr>
            <w:r w:rsidRPr="0015544F">
              <w:rPr>
                <w:w w:val="110"/>
                <w:sz w:val="17"/>
                <w:szCs w:val="17"/>
              </w:rPr>
              <w:t>8 (1003)</w:t>
            </w:r>
          </w:p>
        </w:tc>
        <w:tc>
          <w:tcPr>
            <w:tcW w:w="1417" w:type="dxa"/>
            <w:tcBorders>
              <w:top w:val="single" w:sz="6" w:space="0" w:color="019648"/>
              <w:left w:val="nil"/>
              <w:bottom w:val="single" w:sz="6" w:space="0" w:color="019648"/>
              <w:right w:val="nil"/>
            </w:tcBorders>
          </w:tcPr>
          <w:p w14:paraId="021E3392" w14:textId="77777777" w:rsidR="00767E2A" w:rsidRPr="0015544F" w:rsidRDefault="00767E2A" w:rsidP="00767E2A">
            <w:pPr>
              <w:pStyle w:val="TableParagraph"/>
              <w:ind w:left="124" w:right="4"/>
              <w:rPr>
                <w:sz w:val="17"/>
                <w:szCs w:val="17"/>
              </w:rPr>
            </w:pPr>
            <w:r w:rsidRPr="0015544F">
              <w:rPr>
                <w:w w:val="110"/>
                <w:sz w:val="17"/>
                <w:szCs w:val="17"/>
                <w:lang w:val="uk-UA"/>
              </w:rPr>
              <w:t>Середня</w:t>
            </w:r>
          </w:p>
        </w:tc>
      </w:tr>
      <w:tr w:rsidR="00767E2A" w:rsidRPr="00A816CE" w14:paraId="481DB9C9" w14:textId="77777777" w:rsidTr="0015544F">
        <w:trPr>
          <w:trHeight w:val="387"/>
        </w:trPr>
        <w:tc>
          <w:tcPr>
            <w:tcW w:w="1985" w:type="dxa"/>
            <w:tcBorders>
              <w:top w:val="single" w:sz="6" w:space="0" w:color="019648"/>
              <w:left w:val="nil"/>
              <w:bottom w:val="single" w:sz="6" w:space="0" w:color="019648"/>
              <w:right w:val="nil"/>
            </w:tcBorders>
          </w:tcPr>
          <w:p w14:paraId="1AAF2C82" w14:textId="77777777" w:rsidR="00767E2A" w:rsidRPr="0015544F" w:rsidRDefault="00767E2A" w:rsidP="00767E2A">
            <w:pPr>
              <w:pStyle w:val="TableParagraph"/>
              <w:ind w:left="133" w:right="4"/>
              <w:rPr>
                <w:b/>
                <w:sz w:val="17"/>
                <w:szCs w:val="17"/>
              </w:rPr>
            </w:pPr>
            <w:r w:rsidRPr="0015544F">
              <w:rPr>
                <w:b/>
                <w:w w:val="115"/>
                <w:sz w:val="17"/>
                <w:szCs w:val="17"/>
              </w:rPr>
              <w:t>Етамбутол</w:t>
            </w:r>
          </w:p>
        </w:tc>
        <w:tc>
          <w:tcPr>
            <w:tcW w:w="2410" w:type="dxa"/>
            <w:tcBorders>
              <w:top w:val="single" w:sz="6" w:space="0" w:color="019648"/>
              <w:left w:val="nil"/>
              <w:bottom w:val="single" w:sz="6" w:space="0" w:color="019648"/>
              <w:right w:val="nil"/>
            </w:tcBorders>
          </w:tcPr>
          <w:p w14:paraId="4D4B49CC" w14:textId="77777777" w:rsidR="00767E2A" w:rsidRPr="0015544F" w:rsidRDefault="00767E2A" w:rsidP="00767E2A">
            <w:pPr>
              <w:pStyle w:val="TableParagraph"/>
              <w:ind w:right="4"/>
              <w:rPr>
                <w:sz w:val="17"/>
                <w:szCs w:val="17"/>
              </w:rPr>
            </w:pPr>
            <w:proofErr w:type="spellStart"/>
            <w:r w:rsidRPr="0015544F">
              <w:rPr>
                <w:w w:val="110"/>
                <w:sz w:val="17"/>
                <w:szCs w:val="17"/>
                <w:lang w:val="uk-UA"/>
              </w:rPr>
              <w:t>Фенотиповий</w:t>
            </w:r>
            <w:proofErr w:type="spellEnd"/>
            <w:r w:rsidRPr="0015544F">
              <w:rPr>
                <w:w w:val="110"/>
                <w:sz w:val="17"/>
                <w:szCs w:val="17"/>
                <w:lang w:val="uk-UA"/>
              </w:rPr>
              <w:t xml:space="preserve"> ТМЧ+ПГС</w:t>
            </w:r>
          </w:p>
        </w:tc>
        <w:tc>
          <w:tcPr>
            <w:tcW w:w="1985" w:type="dxa"/>
            <w:tcBorders>
              <w:top w:val="single" w:sz="6" w:space="0" w:color="019648"/>
              <w:left w:val="nil"/>
              <w:bottom w:val="single" w:sz="6" w:space="0" w:color="019648"/>
              <w:right w:val="nil"/>
            </w:tcBorders>
          </w:tcPr>
          <w:p w14:paraId="5C5AF764" w14:textId="77777777" w:rsidR="00767E2A" w:rsidRPr="0015544F" w:rsidRDefault="00767E2A" w:rsidP="00767E2A">
            <w:pPr>
              <w:pStyle w:val="TableParagraph"/>
              <w:ind w:right="4"/>
              <w:rPr>
                <w:sz w:val="17"/>
                <w:szCs w:val="17"/>
              </w:rPr>
            </w:pPr>
            <w:r w:rsidRPr="0015544F">
              <w:rPr>
                <w:w w:val="110"/>
                <w:sz w:val="17"/>
                <w:szCs w:val="17"/>
                <w:lang w:val="uk-UA"/>
              </w:rPr>
              <w:t>Ч</w:t>
            </w:r>
            <w:r w:rsidRPr="0015544F">
              <w:rPr>
                <w:w w:val="110"/>
                <w:sz w:val="17"/>
                <w:szCs w:val="17"/>
              </w:rPr>
              <w:t>: 96.7 (95.0–98.4)</w:t>
            </w:r>
          </w:p>
        </w:tc>
        <w:tc>
          <w:tcPr>
            <w:tcW w:w="1559" w:type="dxa"/>
            <w:tcBorders>
              <w:top w:val="single" w:sz="6" w:space="0" w:color="019648"/>
              <w:left w:val="nil"/>
              <w:bottom w:val="single" w:sz="6" w:space="0" w:color="019648"/>
              <w:right w:val="nil"/>
            </w:tcBorders>
          </w:tcPr>
          <w:p w14:paraId="28D1A0D4" w14:textId="77777777" w:rsidR="00767E2A" w:rsidRPr="0015544F" w:rsidRDefault="00767E2A" w:rsidP="00767E2A">
            <w:pPr>
              <w:pStyle w:val="TableParagraph"/>
              <w:ind w:right="4"/>
              <w:rPr>
                <w:sz w:val="17"/>
                <w:szCs w:val="17"/>
              </w:rPr>
            </w:pPr>
            <w:r w:rsidRPr="0015544F">
              <w:rPr>
                <w:w w:val="110"/>
                <w:sz w:val="17"/>
                <w:szCs w:val="17"/>
              </w:rPr>
              <w:t>4 (431)</w:t>
            </w:r>
          </w:p>
        </w:tc>
        <w:tc>
          <w:tcPr>
            <w:tcW w:w="1417" w:type="dxa"/>
            <w:tcBorders>
              <w:top w:val="single" w:sz="6" w:space="0" w:color="019648"/>
              <w:left w:val="nil"/>
              <w:bottom w:val="single" w:sz="6" w:space="0" w:color="019648"/>
              <w:right w:val="nil"/>
            </w:tcBorders>
          </w:tcPr>
          <w:p w14:paraId="0D13B544" w14:textId="77777777" w:rsidR="00767E2A" w:rsidRPr="0015544F" w:rsidRDefault="00767E2A" w:rsidP="00767E2A">
            <w:pPr>
              <w:pStyle w:val="TableParagraph"/>
              <w:ind w:left="124" w:right="4"/>
              <w:rPr>
                <w:sz w:val="17"/>
                <w:szCs w:val="17"/>
              </w:rPr>
            </w:pPr>
            <w:r w:rsidRPr="0015544F">
              <w:rPr>
                <w:w w:val="110"/>
                <w:sz w:val="17"/>
                <w:szCs w:val="17"/>
                <w:lang w:val="uk-UA"/>
              </w:rPr>
              <w:t>Середня</w:t>
            </w:r>
          </w:p>
        </w:tc>
      </w:tr>
      <w:tr w:rsidR="00767E2A" w:rsidRPr="00A816CE" w14:paraId="6B645E1A" w14:textId="77777777" w:rsidTr="0015544F">
        <w:trPr>
          <w:trHeight w:val="387"/>
        </w:trPr>
        <w:tc>
          <w:tcPr>
            <w:tcW w:w="1985" w:type="dxa"/>
            <w:tcBorders>
              <w:top w:val="single" w:sz="6" w:space="0" w:color="019648"/>
              <w:left w:val="nil"/>
              <w:bottom w:val="single" w:sz="6" w:space="0" w:color="019648"/>
              <w:right w:val="nil"/>
            </w:tcBorders>
          </w:tcPr>
          <w:p w14:paraId="376D23D2" w14:textId="77777777" w:rsidR="00767E2A" w:rsidRPr="0015544F" w:rsidRDefault="00767E2A" w:rsidP="00767E2A">
            <w:pPr>
              <w:pStyle w:val="TableParagraph"/>
              <w:spacing w:before="0"/>
              <w:ind w:left="0" w:right="4"/>
              <w:rPr>
                <w:sz w:val="17"/>
                <w:szCs w:val="17"/>
              </w:rPr>
            </w:pPr>
          </w:p>
        </w:tc>
        <w:tc>
          <w:tcPr>
            <w:tcW w:w="2410" w:type="dxa"/>
            <w:tcBorders>
              <w:top w:val="single" w:sz="6" w:space="0" w:color="019648"/>
              <w:left w:val="nil"/>
              <w:bottom w:val="single" w:sz="6" w:space="0" w:color="019648"/>
              <w:right w:val="nil"/>
            </w:tcBorders>
          </w:tcPr>
          <w:p w14:paraId="7103F3EC" w14:textId="77777777" w:rsidR="00767E2A" w:rsidRPr="0015544F" w:rsidRDefault="00767E2A" w:rsidP="00767E2A">
            <w:pPr>
              <w:pStyle w:val="TableParagraph"/>
              <w:ind w:right="4"/>
              <w:rPr>
                <w:sz w:val="17"/>
                <w:szCs w:val="17"/>
              </w:rPr>
            </w:pPr>
            <w:proofErr w:type="spellStart"/>
            <w:r w:rsidRPr="0015544F">
              <w:rPr>
                <w:w w:val="110"/>
                <w:sz w:val="17"/>
                <w:szCs w:val="17"/>
                <w:lang w:val="uk-UA"/>
              </w:rPr>
              <w:t>Фенотиповий</w:t>
            </w:r>
            <w:proofErr w:type="spellEnd"/>
            <w:r w:rsidRPr="0015544F">
              <w:rPr>
                <w:w w:val="110"/>
                <w:sz w:val="17"/>
                <w:szCs w:val="17"/>
                <w:lang w:val="uk-UA"/>
              </w:rPr>
              <w:t xml:space="preserve"> ТМЧ+ПГС</w:t>
            </w:r>
          </w:p>
        </w:tc>
        <w:tc>
          <w:tcPr>
            <w:tcW w:w="1985" w:type="dxa"/>
            <w:tcBorders>
              <w:top w:val="single" w:sz="6" w:space="0" w:color="019648"/>
              <w:left w:val="nil"/>
              <w:bottom w:val="single" w:sz="6" w:space="0" w:color="019648"/>
              <w:right w:val="nil"/>
            </w:tcBorders>
          </w:tcPr>
          <w:p w14:paraId="3FB18D42" w14:textId="77777777" w:rsidR="00767E2A" w:rsidRPr="0015544F" w:rsidRDefault="00767E2A" w:rsidP="00767E2A">
            <w:pPr>
              <w:pStyle w:val="TableParagraph"/>
              <w:ind w:right="4"/>
              <w:rPr>
                <w:sz w:val="17"/>
                <w:szCs w:val="17"/>
              </w:rPr>
            </w:pPr>
            <w:r w:rsidRPr="0015544F">
              <w:rPr>
                <w:w w:val="110"/>
                <w:sz w:val="17"/>
                <w:szCs w:val="17"/>
                <w:lang w:val="uk-UA"/>
              </w:rPr>
              <w:t>С</w:t>
            </w:r>
            <w:r w:rsidRPr="0015544F">
              <w:rPr>
                <w:w w:val="110"/>
                <w:sz w:val="17"/>
                <w:szCs w:val="17"/>
              </w:rPr>
              <w:t>: 98.4 (96.1–100)</w:t>
            </w:r>
          </w:p>
        </w:tc>
        <w:tc>
          <w:tcPr>
            <w:tcW w:w="1559" w:type="dxa"/>
            <w:tcBorders>
              <w:top w:val="single" w:sz="6" w:space="0" w:color="019648"/>
              <w:left w:val="nil"/>
              <w:bottom w:val="single" w:sz="6" w:space="0" w:color="019648"/>
              <w:right w:val="nil"/>
            </w:tcBorders>
          </w:tcPr>
          <w:p w14:paraId="198505CE" w14:textId="77777777" w:rsidR="00767E2A" w:rsidRPr="0015544F" w:rsidRDefault="00767E2A" w:rsidP="00767E2A">
            <w:pPr>
              <w:pStyle w:val="TableParagraph"/>
              <w:ind w:right="4"/>
              <w:rPr>
                <w:sz w:val="17"/>
                <w:szCs w:val="17"/>
              </w:rPr>
            </w:pPr>
            <w:r w:rsidRPr="0015544F">
              <w:rPr>
                <w:w w:val="110"/>
                <w:sz w:val="17"/>
                <w:szCs w:val="17"/>
              </w:rPr>
              <w:t>4 (123)</w:t>
            </w:r>
          </w:p>
        </w:tc>
        <w:tc>
          <w:tcPr>
            <w:tcW w:w="1417" w:type="dxa"/>
            <w:tcBorders>
              <w:top w:val="single" w:sz="6" w:space="0" w:color="019648"/>
              <w:left w:val="nil"/>
              <w:bottom w:val="single" w:sz="6" w:space="0" w:color="019648"/>
              <w:right w:val="nil"/>
            </w:tcBorders>
          </w:tcPr>
          <w:p w14:paraId="1F3C67BC" w14:textId="77777777" w:rsidR="00767E2A" w:rsidRPr="0015544F" w:rsidRDefault="00767E2A" w:rsidP="00767E2A">
            <w:pPr>
              <w:pStyle w:val="TableParagraph"/>
              <w:ind w:left="124" w:right="4"/>
              <w:rPr>
                <w:sz w:val="17"/>
                <w:szCs w:val="17"/>
              </w:rPr>
            </w:pPr>
            <w:r w:rsidRPr="0015544F">
              <w:rPr>
                <w:w w:val="110"/>
                <w:sz w:val="17"/>
                <w:szCs w:val="17"/>
                <w:lang w:val="uk-UA"/>
              </w:rPr>
              <w:t>Середня</w:t>
            </w:r>
          </w:p>
        </w:tc>
      </w:tr>
      <w:tr w:rsidR="00767E2A" w:rsidRPr="00A816CE" w14:paraId="2DB3B137" w14:textId="77777777" w:rsidTr="0015544F">
        <w:trPr>
          <w:trHeight w:val="387"/>
        </w:trPr>
        <w:tc>
          <w:tcPr>
            <w:tcW w:w="1985" w:type="dxa"/>
            <w:tcBorders>
              <w:top w:val="single" w:sz="6" w:space="0" w:color="019648"/>
              <w:left w:val="nil"/>
              <w:bottom w:val="single" w:sz="6" w:space="0" w:color="019648"/>
              <w:right w:val="nil"/>
            </w:tcBorders>
          </w:tcPr>
          <w:p w14:paraId="047AFE3D" w14:textId="77777777" w:rsidR="00767E2A" w:rsidRPr="0015544F" w:rsidRDefault="00767E2A" w:rsidP="00767E2A">
            <w:pPr>
              <w:pStyle w:val="TableParagraph"/>
              <w:ind w:left="133" w:right="4"/>
              <w:rPr>
                <w:b/>
                <w:sz w:val="17"/>
                <w:szCs w:val="17"/>
              </w:rPr>
            </w:pPr>
            <w:proofErr w:type="spellStart"/>
            <w:r w:rsidRPr="0015544F">
              <w:rPr>
                <w:b/>
                <w:w w:val="115"/>
                <w:sz w:val="17"/>
                <w:szCs w:val="17"/>
              </w:rPr>
              <w:t>Стрептоміцин</w:t>
            </w:r>
            <w:proofErr w:type="spellEnd"/>
          </w:p>
        </w:tc>
        <w:tc>
          <w:tcPr>
            <w:tcW w:w="2410" w:type="dxa"/>
            <w:tcBorders>
              <w:top w:val="single" w:sz="6" w:space="0" w:color="019648"/>
              <w:left w:val="nil"/>
              <w:bottom w:val="single" w:sz="6" w:space="0" w:color="019648"/>
              <w:right w:val="nil"/>
            </w:tcBorders>
          </w:tcPr>
          <w:p w14:paraId="7D78281F" w14:textId="77777777" w:rsidR="00767E2A" w:rsidRPr="0015544F" w:rsidRDefault="00767E2A" w:rsidP="00767E2A">
            <w:pPr>
              <w:pStyle w:val="TableParagraph"/>
              <w:ind w:right="4"/>
              <w:rPr>
                <w:sz w:val="17"/>
                <w:szCs w:val="17"/>
              </w:rPr>
            </w:pPr>
            <w:proofErr w:type="spellStart"/>
            <w:r w:rsidRPr="0015544F">
              <w:rPr>
                <w:w w:val="110"/>
                <w:sz w:val="17"/>
                <w:szCs w:val="17"/>
                <w:lang w:val="uk-UA"/>
              </w:rPr>
              <w:t>Фенотиповий</w:t>
            </w:r>
            <w:proofErr w:type="spellEnd"/>
            <w:r w:rsidRPr="0015544F">
              <w:rPr>
                <w:w w:val="110"/>
                <w:sz w:val="17"/>
                <w:szCs w:val="17"/>
                <w:lang w:val="uk-UA"/>
              </w:rPr>
              <w:t xml:space="preserve"> ТМЧ</w:t>
            </w:r>
          </w:p>
        </w:tc>
        <w:tc>
          <w:tcPr>
            <w:tcW w:w="1985" w:type="dxa"/>
            <w:tcBorders>
              <w:top w:val="single" w:sz="6" w:space="0" w:color="019648"/>
              <w:left w:val="nil"/>
              <w:bottom w:val="single" w:sz="6" w:space="0" w:color="019648"/>
              <w:right w:val="nil"/>
            </w:tcBorders>
          </w:tcPr>
          <w:p w14:paraId="05A835C9" w14:textId="77777777" w:rsidR="00767E2A" w:rsidRPr="0015544F" w:rsidRDefault="00767E2A" w:rsidP="00767E2A">
            <w:pPr>
              <w:pStyle w:val="TableParagraph"/>
              <w:ind w:right="4"/>
              <w:rPr>
                <w:sz w:val="17"/>
                <w:szCs w:val="17"/>
              </w:rPr>
            </w:pPr>
            <w:r w:rsidRPr="0015544F">
              <w:rPr>
                <w:w w:val="110"/>
                <w:sz w:val="17"/>
                <w:szCs w:val="17"/>
                <w:lang w:val="uk-UA"/>
              </w:rPr>
              <w:t>Ч</w:t>
            </w:r>
            <w:r w:rsidRPr="0015544F">
              <w:rPr>
                <w:w w:val="110"/>
                <w:sz w:val="17"/>
                <w:szCs w:val="17"/>
              </w:rPr>
              <w:t>: 98.1 (96.1–100)</w:t>
            </w:r>
          </w:p>
        </w:tc>
        <w:tc>
          <w:tcPr>
            <w:tcW w:w="1559" w:type="dxa"/>
            <w:tcBorders>
              <w:top w:val="single" w:sz="6" w:space="0" w:color="019648"/>
              <w:left w:val="nil"/>
              <w:bottom w:val="single" w:sz="6" w:space="0" w:color="019648"/>
              <w:right w:val="nil"/>
            </w:tcBorders>
          </w:tcPr>
          <w:p w14:paraId="212411B3" w14:textId="77777777" w:rsidR="00767E2A" w:rsidRPr="0015544F" w:rsidRDefault="00767E2A" w:rsidP="00767E2A">
            <w:pPr>
              <w:pStyle w:val="TableParagraph"/>
              <w:ind w:right="4"/>
              <w:rPr>
                <w:sz w:val="17"/>
                <w:szCs w:val="17"/>
              </w:rPr>
            </w:pPr>
            <w:r w:rsidRPr="0015544F">
              <w:rPr>
                <w:w w:val="110"/>
                <w:sz w:val="17"/>
                <w:szCs w:val="17"/>
              </w:rPr>
              <w:t>5 (493)</w:t>
            </w:r>
          </w:p>
        </w:tc>
        <w:tc>
          <w:tcPr>
            <w:tcW w:w="1417" w:type="dxa"/>
            <w:tcBorders>
              <w:top w:val="single" w:sz="6" w:space="0" w:color="019648"/>
              <w:left w:val="nil"/>
              <w:bottom w:val="single" w:sz="6" w:space="0" w:color="019648"/>
              <w:right w:val="nil"/>
            </w:tcBorders>
          </w:tcPr>
          <w:p w14:paraId="7FC7C3E9" w14:textId="77777777" w:rsidR="00767E2A" w:rsidRPr="0015544F" w:rsidRDefault="00767E2A" w:rsidP="00767E2A">
            <w:pPr>
              <w:pStyle w:val="TableParagraph"/>
              <w:ind w:left="124" w:right="4"/>
              <w:rPr>
                <w:sz w:val="17"/>
                <w:szCs w:val="17"/>
              </w:rPr>
            </w:pPr>
            <w:r w:rsidRPr="0015544F">
              <w:rPr>
                <w:w w:val="115"/>
                <w:sz w:val="17"/>
                <w:szCs w:val="17"/>
                <w:lang w:val="uk-UA"/>
              </w:rPr>
              <w:t>Висока</w:t>
            </w:r>
          </w:p>
        </w:tc>
      </w:tr>
      <w:tr w:rsidR="00767E2A" w:rsidRPr="00A816CE" w14:paraId="5E05E70D" w14:textId="77777777" w:rsidTr="0015544F">
        <w:trPr>
          <w:trHeight w:val="387"/>
        </w:trPr>
        <w:tc>
          <w:tcPr>
            <w:tcW w:w="1985" w:type="dxa"/>
            <w:tcBorders>
              <w:top w:val="single" w:sz="6" w:space="0" w:color="019648"/>
              <w:left w:val="nil"/>
              <w:bottom w:val="single" w:sz="6" w:space="0" w:color="019648"/>
              <w:right w:val="nil"/>
            </w:tcBorders>
          </w:tcPr>
          <w:p w14:paraId="61A2504A" w14:textId="77777777" w:rsidR="00767E2A" w:rsidRPr="0015544F" w:rsidRDefault="00767E2A" w:rsidP="00767E2A">
            <w:pPr>
              <w:pStyle w:val="TableParagraph"/>
              <w:spacing w:before="0"/>
              <w:ind w:left="0" w:right="4"/>
              <w:rPr>
                <w:sz w:val="17"/>
                <w:szCs w:val="17"/>
              </w:rPr>
            </w:pPr>
          </w:p>
        </w:tc>
        <w:tc>
          <w:tcPr>
            <w:tcW w:w="2410" w:type="dxa"/>
            <w:tcBorders>
              <w:top w:val="single" w:sz="6" w:space="0" w:color="019648"/>
              <w:left w:val="nil"/>
              <w:bottom w:val="single" w:sz="6" w:space="0" w:color="019648"/>
              <w:right w:val="nil"/>
            </w:tcBorders>
          </w:tcPr>
          <w:p w14:paraId="2AEF0166" w14:textId="77777777" w:rsidR="00767E2A" w:rsidRPr="0015544F" w:rsidRDefault="00767E2A" w:rsidP="00767E2A">
            <w:pPr>
              <w:pStyle w:val="TableParagraph"/>
              <w:ind w:right="4"/>
              <w:rPr>
                <w:sz w:val="17"/>
                <w:szCs w:val="17"/>
              </w:rPr>
            </w:pPr>
            <w:proofErr w:type="spellStart"/>
            <w:r w:rsidRPr="0015544F">
              <w:rPr>
                <w:w w:val="110"/>
                <w:sz w:val="17"/>
                <w:szCs w:val="17"/>
                <w:lang w:val="uk-UA"/>
              </w:rPr>
              <w:t>Фенотиповий</w:t>
            </w:r>
            <w:proofErr w:type="spellEnd"/>
            <w:r w:rsidRPr="0015544F">
              <w:rPr>
                <w:w w:val="110"/>
                <w:sz w:val="17"/>
                <w:szCs w:val="17"/>
                <w:lang w:val="uk-UA"/>
              </w:rPr>
              <w:t xml:space="preserve"> ТМЧ</w:t>
            </w:r>
          </w:p>
        </w:tc>
        <w:tc>
          <w:tcPr>
            <w:tcW w:w="1985" w:type="dxa"/>
            <w:tcBorders>
              <w:top w:val="single" w:sz="6" w:space="0" w:color="019648"/>
              <w:left w:val="nil"/>
              <w:bottom w:val="single" w:sz="6" w:space="0" w:color="019648"/>
              <w:right w:val="nil"/>
            </w:tcBorders>
          </w:tcPr>
          <w:p w14:paraId="2E1569B7" w14:textId="77777777" w:rsidR="00767E2A" w:rsidRPr="0015544F" w:rsidRDefault="00767E2A" w:rsidP="00767E2A">
            <w:pPr>
              <w:pStyle w:val="TableParagraph"/>
              <w:ind w:right="4"/>
              <w:rPr>
                <w:sz w:val="17"/>
                <w:szCs w:val="17"/>
              </w:rPr>
            </w:pPr>
            <w:r w:rsidRPr="0015544F">
              <w:rPr>
                <w:w w:val="110"/>
                <w:sz w:val="17"/>
                <w:szCs w:val="17"/>
                <w:lang w:val="uk-UA"/>
              </w:rPr>
              <w:t>С</w:t>
            </w:r>
            <w:r w:rsidRPr="0015544F">
              <w:rPr>
                <w:w w:val="110"/>
                <w:sz w:val="17"/>
                <w:szCs w:val="17"/>
              </w:rPr>
              <w:t>: 75.0 (59.5–90.5)</w:t>
            </w:r>
          </w:p>
        </w:tc>
        <w:tc>
          <w:tcPr>
            <w:tcW w:w="1559" w:type="dxa"/>
            <w:tcBorders>
              <w:top w:val="single" w:sz="6" w:space="0" w:color="019648"/>
              <w:left w:val="nil"/>
              <w:bottom w:val="single" w:sz="6" w:space="0" w:color="019648"/>
              <w:right w:val="nil"/>
            </w:tcBorders>
          </w:tcPr>
          <w:p w14:paraId="06856C26" w14:textId="77777777" w:rsidR="00767E2A" w:rsidRPr="0015544F" w:rsidRDefault="00767E2A" w:rsidP="00767E2A">
            <w:pPr>
              <w:pStyle w:val="TableParagraph"/>
              <w:ind w:right="4"/>
              <w:rPr>
                <w:sz w:val="17"/>
                <w:szCs w:val="17"/>
              </w:rPr>
            </w:pPr>
            <w:r w:rsidRPr="0015544F">
              <w:rPr>
                <w:w w:val="110"/>
                <w:sz w:val="17"/>
                <w:szCs w:val="17"/>
              </w:rPr>
              <w:t>5 (250)</w:t>
            </w:r>
          </w:p>
        </w:tc>
        <w:tc>
          <w:tcPr>
            <w:tcW w:w="1417" w:type="dxa"/>
            <w:tcBorders>
              <w:top w:val="single" w:sz="6" w:space="0" w:color="019648"/>
              <w:left w:val="nil"/>
              <w:bottom w:val="single" w:sz="6" w:space="0" w:color="019648"/>
              <w:right w:val="nil"/>
            </w:tcBorders>
          </w:tcPr>
          <w:p w14:paraId="4792990A" w14:textId="77777777" w:rsidR="00767E2A" w:rsidRPr="0015544F" w:rsidRDefault="00767E2A" w:rsidP="00767E2A">
            <w:pPr>
              <w:pStyle w:val="TableParagraph"/>
              <w:ind w:left="124" w:right="4"/>
              <w:rPr>
                <w:sz w:val="17"/>
                <w:szCs w:val="17"/>
              </w:rPr>
            </w:pPr>
            <w:r w:rsidRPr="0015544F">
              <w:rPr>
                <w:w w:val="115"/>
                <w:sz w:val="17"/>
                <w:szCs w:val="17"/>
                <w:lang w:val="uk-UA"/>
              </w:rPr>
              <w:t>Низька</w:t>
            </w:r>
          </w:p>
        </w:tc>
      </w:tr>
    </w:tbl>
    <w:p w14:paraId="237DD66F" w14:textId="77777777" w:rsidR="00767E2A" w:rsidRPr="0015544F" w:rsidRDefault="00767E2A" w:rsidP="0015544F">
      <w:pPr>
        <w:spacing w:before="251" w:line="235" w:lineRule="auto"/>
        <w:ind w:left="720" w:right="4"/>
        <w:jc w:val="both"/>
        <w:rPr>
          <w:color w:val="000000" w:themeColor="text1"/>
          <w:sz w:val="16"/>
          <w:szCs w:val="16"/>
        </w:rPr>
      </w:pPr>
      <w:r w:rsidRPr="0015544F">
        <w:rPr>
          <w:color w:val="000000" w:themeColor="text1"/>
          <w:w w:val="110"/>
          <w:sz w:val="16"/>
          <w:szCs w:val="16"/>
          <w:lang w:val="uk-UA"/>
        </w:rPr>
        <w:t>ДІ-довірчий інтервал</w:t>
      </w:r>
      <w:r w:rsidRPr="0015544F">
        <w:rPr>
          <w:color w:val="000000" w:themeColor="text1"/>
          <w:w w:val="110"/>
          <w:sz w:val="16"/>
          <w:szCs w:val="16"/>
        </w:rPr>
        <w:t xml:space="preserve">; </w:t>
      </w:r>
      <w:r w:rsidRPr="0015544F">
        <w:rPr>
          <w:color w:val="000000" w:themeColor="text1"/>
          <w:w w:val="110"/>
          <w:sz w:val="16"/>
          <w:szCs w:val="16"/>
          <w:lang w:val="uk-UA"/>
        </w:rPr>
        <w:t>ТМЧ – тест на медикаментозну чутливість</w:t>
      </w:r>
      <w:r w:rsidRPr="0015544F">
        <w:rPr>
          <w:color w:val="000000" w:themeColor="text1"/>
          <w:w w:val="110"/>
          <w:sz w:val="16"/>
          <w:szCs w:val="16"/>
        </w:rPr>
        <w:t xml:space="preserve">; </w:t>
      </w:r>
      <w:r w:rsidRPr="0015544F">
        <w:rPr>
          <w:color w:val="000000" w:themeColor="text1"/>
          <w:w w:val="110"/>
          <w:sz w:val="16"/>
          <w:szCs w:val="16"/>
          <w:lang w:val="uk-UA"/>
        </w:rPr>
        <w:t>СНП – секвенування наступного покоління</w:t>
      </w:r>
      <w:r w:rsidRPr="0015544F">
        <w:rPr>
          <w:color w:val="000000" w:themeColor="text1"/>
          <w:w w:val="110"/>
          <w:sz w:val="16"/>
          <w:szCs w:val="16"/>
        </w:rPr>
        <w:t xml:space="preserve">; </w:t>
      </w:r>
      <w:r w:rsidRPr="0015544F">
        <w:rPr>
          <w:color w:val="000000" w:themeColor="text1"/>
          <w:w w:val="110"/>
          <w:sz w:val="16"/>
          <w:szCs w:val="16"/>
          <w:lang w:val="uk-UA"/>
        </w:rPr>
        <w:t>Ч-чутливість</w:t>
      </w:r>
      <w:r w:rsidRPr="0015544F">
        <w:rPr>
          <w:color w:val="000000" w:themeColor="text1"/>
          <w:w w:val="110"/>
          <w:sz w:val="16"/>
          <w:szCs w:val="16"/>
        </w:rPr>
        <w:t xml:space="preserve">; </w:t>
      </w:r>
      <w:r w:rsidRPr="0015544F">
        <w:rPr>
          <w:color w:val="000000" w:themeColor="text1"/>
          <w:w w:val="110"/>
          <w:sz w:val="16"/>
          <w:szCs w:val="16"/>
          <w:lang w:val="uk-UA"/>
        </w:rPr>
        <w:t>С - специфічність</w:t>
      </w:r>
      <w:r w:rsidRPr="0015544F">
        <w:rPr>
          <w:color w:val="000000" w:themeColor="text1"/>
          <w:w w:val="110"/>
          <w:sz w:val="16"/>
          <w:szCs w:val="16"/>
        </w:rPr>
        <w:t xml:space="preserve">; </w:t>
      </w:r>
      <w:r w:rsidRPr="0015544F">
        <w:rPr>
          <w:color w:val="000000" w:themeColor="text1"/>
          <w:w w:val="110"/>
          <w:sz w:val="16"/>
          <w:szCs w:val="16"/>
          <w:lang w:val="uk-UA"/>
        </w:rPr>
        <w:t>ТБ - туберкульоз</w:t>
      </w:r>
      <w:r w:rsidRPr="0015544F">
        <w:rPr>
          <w:color w:val="000000" w:themeColor="text1"/>
          <w:w w:val="110"/>
          <w:sz w:val="16"/>
          <w:szCs w:val="16"/>
        </w:rPr>
        <w:t xml:space="preserve">; </w:t>
      </w:r>
      <w:r w:rsidRPr="0015544F">
        <w:rPr>
          <w:color w:val="000000" w:themeColor="text1"/>
          <w:w w:val="110"/>
          <w:sz w:val="16"/>
          <w:szCs w:val="16"/>
          <w:lang w:val="uk-UA"/>
        </w:rPr>
        <w:t>ПГС – повногеномне секвенування</w:t>
      </w:r>
      <w:r w:rsidRPr="0015544F">
        <w:rPr>
          <w:color w:val="000000" w:themeColor="text1"/>
          <w:w w:val="110"/>
          <w:sz w:val="16"/>
          <w:szCs w:val="16"/>
        </w:rPr>
        <w:t>.</w:t>
      </w:r>
    </w:p>
    <w:p w14:paraId="658080DA" w14:textId="0DDC1260" w:rsidR="0015544F" w:rsidRPr="007B3607" w:rsidRDefault="0015544F" w:rsidP="0015544F">
      <w:pPr>
        <w:pStyle w:val="a3"/>
        <w:spacing w:before="86" w:line="276" w:lineRule="auto"/>
        <w:ind w:right="4"/>
        <w:jc w:val="both"/>
        <w:rPr>
          <w:color w:val="000000" w:themeColor="text1"/>
          <w:w w:val="110"/>
          <w:sz w:val="20"/>
        </w:rPr>
      </w:pPr>
      <w:r w:rsidRPr="007B3607">
        <w:rPr>
          <w:color w:val="000000" w:themeColor="text1"/>
          <w:w w:val="110"/>
          <w:sz w:val="20"/>
        </w:rPr>
        <w:tab/>
      </w:r>
    </w:p>
    <w:p w14:paraId="2D982BB4" w14:textId="468488CA" w:rsidR="00767E2A" w:rsidRPr="006B6651" w:rsidRDefault="00767E2A" w:rsidP="0015544F">
      <w:pPr>
        <w:pStyle w:val="a3"/>
        <w:spacing w:before="86" w:line="276" w:lineRule="auto"/>
        <w:ind w:left="720" w:right="4"/>
        <w:jc w:val="both"/>
        <w:rPr>
          <w:color w:val="000000" w:themeColor="text1"/>
          <w:sz w:val="20"/>
          <w:lang w:val="ru-RU"/>
        </w:rPr>
      </w:pPr>
      <w:r w:rsidRPr="006B6651">
        <w:rPr>
          <w:color w:val="000000" w:themeColor="text1"/>
          <w:w w:val="110"/>
          <w:sz w:val="20"/>
          <w:lang w:val="ru-RU"/>
        </w:rPr>
        <w:lastRenderedPageBreak/>
        <w:t>Дан</w:t>
      </w:r>
      <w:r>
        <w:rPr>
          <w:color w:val="000000" w:themeColor="text1"/>
          <w:w w:val="110"/>
          <w:sz w:val="20"/>
          <w:lang w:val="uk-UA"/>
        </w:rPr>
        <w:t>і</w:t>
      </w:r>
      <w:r w:rsidRPr="006B6651">
        <w:rPr>
          <w:color w:val="000000" w:themeColor="text1"/>
          <w:w w:val="110"/>
          <w:sz w:val="20"/>
          <w:lang w:val="ru-RU"/>
        </w:rPr>
        <w:t xml:space="preserve"> щодо </w:t>
      </w:r>
      <w:proofErr w:type="spellStart"/>
      <w:r w:rsidRPr="006B6651">
        <w:rPr>
          <w:color w:val="000000" w:themeColor="text1"/>
          <w:w w:val="110"/>
          <w:sz w:val="20"/>
          <w:lang w:val="ru-RU"/>
        </w:rPr>
        <w:t>впливу</w:t>
      </w:r>
      <w:proofErr w:type="spellEnd"/>
      <w:r w:rsidRPr="006B6651">
        <w:rPr>
          <w:color w:val="000000" w:themeColor="text1"/>
          <w:w w:val="110"/>
          <w:sz w:val="20"/>
          <w:lang w:val="ru-RU"/>
        </w:rPr>
        <w:t xml:space="preserve"> таргетного </w:t>
      </w:r>
      <w:r w:rsidRPr="00FD0682">
        <w:rPr>
          <w:color w:val="000000" w:themeColor="text1"/>
          <w:w w:val="110"/>
          <w:sz w:val="20"/>
          <w:lang w:val="uk-UA"/>
        </w:rPr>
        <w:t>СНП</w:t>
      </w:r>
      <w:r w:rsidRPr="006B6651">
        <w:rPr>
          <w:color w:val="000000" w:themeColor="text1"/>
          <w:w w:val="110"/>
          <w:sz w:val="20"/>
          <w:lang w:val="ru-RU"/>
        </w:rPr>
        <w:t xml:space="preserve"> на </w:t>
      </w:r>
      <w:proofErr w:type="spellStart"/>
      <w:r w:rsidRPr="006B6651">
        <w:rPr>
          <w:color w:val="000000" w:themeColor="text1"/>
          <w:w w:val="110"/>
          <w:sz w:val="20"/>
          <w:lang w:val="ru-RU"/>
        </w:rPr>
        <w:t>такі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результати</w:t>
      </w:r>
      <w:proofErr w:type="spellEnd"/>
      <w:r w:rsidRPr="006B6651">
        <w:rPr>
          <w:color w:val="000000" w:themeColor="text1"/>
          <w:w w:val="110"/>
          <w:sz w:val="20"/>
          <w:lang w:val="ru-RU"/>
        </w:rPr>
        <w:t xml:space="preserve"> </w:t>
      </w:r>
      <w:r w:rsidRPr="00FD0682">
        <w:rPr>
          <w:color w:val="000000" w:themeColor="text1"/>
          <w:w w:val="110"/>
          <w:sz w:val="20"/>
          <w:lang w:val="uk-UA"/>
        </w:rPr>
        <w:t>для</w:t>
      </w:r>
      <w:r w:rsidRPr="006B6651">
        <w:rPr>
          <w:color w:val="000000" w:themeColor="text1"/>
          <w:w w:val="110"/>
          <w:sz w:val="20"/>
          <w:lang w:val="ru-RU"/>
        </w:rPr>
        <w:t xml:space="preserve"> </w:t>
      </w:r>
      <w:proofErr w:type="spellStart"/>
      <w:r w:rsidRPr="006B6651">
        <w:rPr>
          <w:color w:val="000000" w:themeColor="text1"/>
          <w:w w:val="110"/>
          <w:sz w:val="20"/>
          <w:lang w:val="ru-RU"/>
        </w:rPr>
        <w:t>пацієнтів</w:t>
      </w:r>
      <w:proofErr w:type="spellEnd"/>
      <w:r w:rsidRPr="006B6651">
        <w:rPr>
          <w:color w:val="000000" w:themeColor="text1"/>
          <w:w w:val="110"/>
          <w:sz w:val="20"/>
          <w:lang w:val="ru-RU"/>
        </w:rPr>
        <w:t xml:space="preserve">, як час до початку лікування або </w:t>
      </w:r>
      <w:r w:rsidRPr="00FD0682">
        <w:rPr>
          <w:color w:val="000000" w:themeColor="text1"/>
          <w:w w:val="110"/>
          <w:sz w:val="20"/>
          <w:lang w:val="uk-UA"/>
        </w:rPr>
        <w:t>результати</w:t>
      </w:r>
      <w:r w:rsidRPr="006B6651">
        <w:rPr>
          <w:color w:val="000000" w:themeColor="text1"/>
          <w:w w:val="110"/>
          <w:sz w:val="20"/>
          <w:lang w:val="ru-RU"/>
        </w:rPr>
        <w:t xml:space="preserve"> лікування, </w:t>
      </w:r>
      <w:r w:rsidRPr="006811CF">
        <w:rPr>
          <w:color w:val="000000" w:themeColor="text1"/>
          <w:w w:val="110"/>
          <w:sz w:val="20"/>
          <w:lang w:val="uk-UA"/>
        </w:rPr>
        <w:t>були відсутні</w:t>
      </w:r>
      <w:r w:rsidRPr="006B6651">
        <w:rPr>
          <w:color w:val="000000" w:themeColor="text1"/>
          <w:w w:val="110"/>
          <w:sz w:val="20"/>
          <w:lang w:val="ru-RU"/>
        </w:rPr>
        <w:t>.</w:t>
      </w:r>
    </w:p>
    <w:p w14:paraId="41D167E4" w14:textId="77777777" w:rsidR="00767E2A" w:rsidRPr="006B6651" w:rsidRDefault="00767E2A" w:rsidP="0015544F">
      <w:pPr>
        <w:pStyle w:val="a3"/>
        <w:spacing w:before="142"/>
        <w:ind w:right="4" w:firstLine="720"/>
        <w:jc w:val="both"/>
        <w:rPr>
          <w:color w:val="000000" w:themeColor="text1"/>
          <w:sz w:val="20"/>
          <w:lang w:val="ru-RU"/>
        </w:rPr>
      </w:pPr>
      <w:r w:rsidRPr="006B6651">
        <w:rPr>
          <w:color w:val="000000" w:themeColor="text1"/>
          <w:w w:val="110"/>
          <w:sz w:val="20"/>
          <w:lang w:val="ru-RU"/>
        </w:rPr>
        <w:t>Три веб-</w:t>
      </w:r>
      <w:proofErr w:type="spellStart"/>
      <w:r w:rsidRPr="006B6651">
        <w:rPr>
          <w:color w:val="000000" w:themeColor="text1"/>
          <w:w w:val="110"/>
          <w:sz w:val="20"/>
          <w:lang w:val="ru-RU"/>
        </w:rPr>
        <w:t>додатки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містять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додаткову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інформацію</w:t>
      </w:r>
      <w:proofErr w:type="spellEnd"/>
      <w:r w:rsidRPr="006B6651">
        <w:rPr>
          <w:color w:val="000000" w:themeColor="text1"/>
          <w:w w:val="110"/>
          <w:sz w:val="20"/>
          <w:lang w:val="ru-RU"/>
        </w:rPr>
        <w:t xml:space="preserve">, а </w:t>
      </w:r>
      <w:proofErr w:type="spellStart"/>
      <w:r w:rsidRPr="006B6651">
        <w:rPr>
          <w:color w:val="000000" w:themeColor="text1"/>
          <w:w w:val="110"/>
          <w:sz w:val="20"/>
          <w:lang w:val="ru-RU"/>
        </w:rPr>
        <w:t>саме</w:t>
      </w:r>
      <w:proofErr w:type="spellEnd"/>
      <w:r w:rsidRPr="006B6651">
        <w:rPr>
          <w:color w:val="000000" w:themeColor="text1"/>
          <w:w w:val="110"/>
          <w:sz w:val="20"/>
          <w:lang w:val="ru-RU"/>
        </w:rPr>
        <w:t>:</w:t>
      </w:r>
    </w:p>
    <w:p w14:paraId="198B64F4" w14:textId="77777777" w:rsidR="00767E2A" w:rsidRPr="006B6651" w:rsidRDefault="00767E2A" w:rsidP="004A2937">
      <w:pPr>
        <w:pStyle w:val="a4"/>
        <w:numPr>
          <w:ilvl w:val="0"/>
          <w:numId w:val="45"/>
        </w:numPr>
        <w:tabs>
          <w:tab w:val="left" w:pos="1701"/>
        </w:tabs>
        <w:spacing w:before="127" w:line="276" w:lineRule="auto"/>
        <w:ind w:right="4"/>
        <w:rPr>
          <w:i/>
          <w:color w:val="000000" w:themeColor="text1"/>
          <w:sz w:val="20"/>
          <w:lang w:val="ru-RU"/>
        </w:rPr>
      </w:pPr>
      <w:r w:rsidRPr="006B6651">
        <w:rPr>
          <w:color w:val="000000" w:themeColor="text1"/>
          <w:w w:val="110"/>
          <w:sz w:val="20"/>
          <w:lang w:val="ru-RU"/>
        </w:rPr>
        <w:t xml:space="preserve">детальна </w:t>
      </w:r>
      <w:proofErr w:type="spellStart"/>
      <w:r w:rsidRPr="006B6651">
        <w:rPr>
          <w:color w:val="000000" w:themeColor="text1"/>
          <w:w w:val="110"/>
          <w:sz w:val="20"/>
          <w:lang w:val="ru-RU"/>
        </w:rPr>
        <w:t>інформація</w:t>
      </w:r>
      <w:proofErr w:type="spellEnd"/>
      <w:r w:rsidRPr="006B6651">
        <w:rPr>
          <w:color w:val="000000" w:themeColor="text1"/>
          <w:w w:val="110"/>
          <w:sz w:val="20"/>
          <w:lang w:val="ru-RU"/>
        </w:rPr>
        <w:t xml:space="preserve"> про </w:t>
      </w:r>
      <w:proofErr w:type="spellStart"/>
      <w:r w:rsidRPr="006B6651">
        <w:rPr>
          <w:color w:val="000000" w:themeColor="text1"/>
          <w:w w:val="110"/>
          <w:sz w:val="20"/>
          <w:lang w:val="ru-RU"/>
        </w:rPr>
        <w:t>дослідження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включені</w:t>
      </w:r>
      <w:proofErr w:type="spellEnd"/>
      <w:r w:rsidRPr="006B6651">
        <w:rPr>
          <w:color w:val="000000" w:themeColor="text1"/>
          <w:w w:val="110"/>
          <w:sz w:val="20"/>
          <w:lang w:val="ru-RU"/>
        </w:rPr>
        <w:t xml:space="preserve"> в </w:t>
      </w:r>
      <w:proofErr w:type="spellStart"/>
      <w:r w:rsidRPr="006B6651">
        <w:rPr>
          <w:color w:val="000000" w:themeColor="text1"/>
          <w:w w:val="110"/>
          <w:sz w:val="20"/>
          <w:lang w:val="ru-RU"/>
        </w:rPr>
        <w:t>поточний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аналіз</w:t>
      </w:r>
      <w:proofErr w:type="spellEnd"/>
      <w:r w:rsidRPr="006B6651">
        <w:rPr>
          <w:i/>
          <w:color w:val="000000" w:themeColor="text1"/>
          <w:w w:val="110"/>
          <w:sz w:val="20"/>
          <w:lang w:val="ru-RU"/>
        </w:rPr>
        <w:t xml:space="preserve"> (</w:t>
      </w:r>
      <w:r w:rsidRPr="006B6651">
        <w:rPr>
          <w:b/>
          <w:i/>
          <w:color w:val="000000" w:themeColor="text1"/>
          <w:w w:val="110"/>
          <w:sz w:val="20"/>
          <w:lang w:val="ru-RU"/>
        </w:rPr>
        <w:t>Веб-</w:t>
      </w:r>
      <w:proofErr w:type="spellStart"/>
      <w:r w:rsidRPr="006B6651">
        <w:rPr>
          <w:b/>
          <w:i/>
          <w:color w:val="000000" w:themeColor="text1"/>
          <w:w w:val="110"/>
          <w:sz w:val="20"/>
          <w:lang w:val="ru-RU"/>
        </w:rPr>
        <w:t>додаток</w:t>
      </w:r>
      <w:proofErr w:type="spellEnd"/>
      <w:r w:rsidRPr="006B6651">
        <w:rPr>
          <w:b/>
          <w:i/>
          <w:color w:val="000000" w:themeColor="text1"/>
          <w:w w:val="110"/>
          <w:sz w:val="20"/>
          <w:lang w:val="ru-RU"/>
        </w:rPr>
        <w:t xml:space="preserve"> </w:t>
      </w:r>
      <w:r w:rsidRPr="00FD0682">
        <w:rPr>
          <w:b/>
          <w:i/>
          <w:color w:val="000000" w:themeColor="text1"/>
          <w:w w:val="110"/>
          <w:sz w:val="20"/>
        </w:rPr>
        <w:t>A</w:t>
      </w:r>
      <w:r w:rsidRPr="006B6651">
        <w:rPr>
          <w:b/>
          <w:i/>
          <w:color w:val="000000" w:themeColor="text1"/>
          <w:w w:val="110"/>
          <w:sz w:val="20"/>
          <w:lang w:val="ru-RU"/>
        </w:rPr>
        <w:t>.10</w:t>
      </w:r>
      <w:r w:rsidRPr="006B6651">
        <w:rPr>
          <w:i/>
          <w:color w:val="000000" w:themeColor="text1"/>
          <w:w w:val="110"/>
          <w:sz w:val="20"/>
          <w:lang w:val="ru-RU"/>
        </w:rPr>
        <w:t xml:space="preserve">: </w:t>
      </w:r>
      <w:r w:rsidRPr="006B6651">
        <w:rPr>
          <w:color w:val="000000" w:themeColor="text1"/>
          <w:w w:val="110"/>
          <w:sz w:val="20"/>
          <w:lang w:val="ru-RU"/>
        </w:rPr>
        <w:t>«</w:t>
      </w:r>
      <w:proofErr w:type="spellStart"/>
      <w:r w:rsidRPr="006B6651">
        <w:rPr>
          <w:color w:val="000000" w:themeColor="text1"/>
          <w:w w:val="110"/>
          <w:sz w:val="20"/>
          <w:lang w:val="ru-RU"/>
        </w:rPr>
        <w:t>Огляд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діагностичної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точності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технологій</w:t>
      </w:r>
      <w:proofErr w:type="spellEnd"/>
      <w:r w:rsidRPr="006B6651">
        <w:rPr>
          <w:color w:val="000000" w:themeColor="text1"/>
          <w:w w:val="110"/>
          <w:sz w:val="20"/>
          <w:lang w:val="ru-RU"/>
        </w:rPr>
        <w:t xml:space="preserve"> таргетного </w:t>
      </w:r>
      <w:r w:rsidRPr="00754D8B">
        <w:rPr>
          <w:color w:val="000000" w:themeColor="text1"/>
          <w:w w:val="110"/>
          <w:sz w:val="20"/>
          <w:lang w:val="uk-UA"/>
        </w:rPr>
        <w:t>СНП</w:t>
      </w:r>
      <w:r w:rsidRPr="006B6651">
        <w:rPr>
          <w:color w:val="000000" w:themeColor="text1"/>
          <w:w w:val="110"/>
          <w:sz w:val="20"/>
          <w:lang w:val="ru-RU"/>
        </w:rPr>
        <w:t xml:space="preserve"> для виявлення </w:t>
      </w:r>
      <w:proofErr w:type="spellStart"/>
      <w:r w:rsidRPr="006B6651">
        <w:rPr>
          <w:color w:val="000000" w:themeColor="text1"/>
          <w:w w:val="110"/>
          <w:sz w:val="20"/>
          <w:lang w:val="ru-RU"/>
        </w:rPr>
        <w:t>лікарської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стійкості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серед</w:t>
      </w:r>
      <w:proofErr w:type="spellEnd"/>
      <w:r w:rsidRPr="006B6651">
        <w:rPr>
          <w:color w:val="000000" w:themeColor="text1"/>
          <w:w w:val="110"/>
          <w:sz w:val="20"/>
          <w:lang w:val="ru-RU"/>
        </w:rPr>
        <w:t xml:space="preserve"> людей з </w:t>
      </w:r>
      <w:proofErr w:type="spellStart"/>
      <w:r w:rsidRPr="006B6651">
        <w:rPr>
          <w:color w:val="000000" w:themeColor="text1"/>
          <w:w w:val="110"/>
          <w:sz w:val="20"/>
          <w:lang w:val="ru-RU"/>
        </w:rPr>
        <w:t>діагностованим</w:t>
      </w:r>
      <w:proofErr w:type="spellEnd"/>
      <w:r w:rsidRPr="006B6651">
        <w:rPr>
          <w:color w:val="000000" w:themeColor="text1"/>
          <w:w w:val="110"/>
          <w:sz w:val="20"/>
          <w:lang w:val="ru-RU"/>
        </w:rPr>
        <w:t xml:space="preserve"> ТБ»</w:t>
      </w:r>
      <w:r>
        <w:rPr>
          <w:color w:val="000000" w:themeColor="text1"/>
          <w:w w:val="110"/>
          <w:sz w:val="20"/>
          <w:lang w:val="uk-UA"/>
        </w:rPr>
        <w:t xml:space="preserve"> </w:t>
      </w:r>
      <w:r>
        <w:rPr>
          <w:i/>
          <w:color w:val="000000" w:themeColor="text1"/>
          <w:w w:val="110"/>
          <w:sz w:val="20"/>
          <w:lang w:val="uk-UA"/>
        </w:rPr>
        <w:t>(</w:t>
      </w:r>
      <w:proofErr w:type="spellStart"/>
      <w:r w:rsidRPr="00754D8B">
        <w:rPr>
          <w:i/>
          <w:color w:val="000000" w:themeColor="text1"/>
          <w:w w:val="110"/>
          <w:sz w:val="20"/>
          <w:lang w:val="uk-UA"/>
        </w:rPr>
        <w:t>Review</w:t>
      </w:r>
      <w:proofErr w:type="spellEnd"/>
      <w:r w:rsidRPr="00754D8B">
        <w:rPr>
          <w:i/>
          <w:color w:val="000000" w:themeColor="text1"/>
          <w:w w:val="110"/>
          <w:sz w:val="20"/>
          <w:lang w:val="uk-UA"/>
        </w:rPr>
        <w:t xml:space="preserve"> of the </w:t>
      </w:r>
      <w:proofErr w:type="spellStart"/>
      <w:r w:rsidRPr="00754D8B">
        <w:rPr>
          <w:i/>
          <w:color w:val="000000" w:themeColor="text1"/>
          <w:w w:val="110"/>
          <w:sz w:val="20"/>
          <w:lang w:val="uk-UA"/>
        </w:rPr>
        <w:t>diagnostic</w:t>
      </w:r>
      <w:proofErr w:type="spellEnd"/>
      <w:r w:rsidRPr="00754D8B">
        <w:rPr>
          <w:i/>
          <w:color w:val="000000" w:themeColor="text1"/>
          <w:w w:val="110"/>
          <w:sz w:val="20"/>
          <w:lang w:val="uk-UA"/>
        </w:rPr>
        <w:t xml:space="preserve"> </w:t>
      </w:r>
      <w:proofErr w:type="spellStart"/>
      <w:r w:rsidRPr="00754D8B">
        <w:rPr>
          <w:i/>
          <w:color w:val="000000" w:themeColor="text1"/>
          <w:w w:val="110"/>
          <w:sz w:val="20"/>
          <w:lang w:val="uk-UA"/>
        </w:rPr>
        <w:t>accuracy</w:t>
      </w:r>
      <w:proofErr w:type="spellEnd"/>
      <w:r w:rsidRPr="00754D8B">
        <w:rPr>
          <w:i/>
          <w:color w:val="000000" w:themeColor="text1"/>
          <w:w w:val="110"/>
          <w:sz w:val="20"/>
          <w:lang w:val="uk-UA"/>
        </w:rPr>
        <w:t xml:space="preserve"> of </w:t>
      </w:r>
      <w:proofErr w:type="spellStart"/>
      <w:r w:rsidRPr="00754D8B">
        <w:rPr>
          <w:i/>
          <w:color w:val="000000" w:themeColor="text1"/>
          <w:w w:val="110"/>
          <w:sz w:val="20"/>
          <w:lang w:val="uk-UA"/>
        </w:rPr>
        <w:t>targeted</w:t>
      </w:r>
      <w:proofErr w:type="spellEnd"/>
      <w:r w:rsidRPr="00754D8B">
        <w:rPr>
          <w:i/>
          <w:color w:val="000000" w:themeColor="text1"/>
          <w:w w:val="110"/>
          <w:sz w:val="20"/>
          <w:lang w:val="uk-UA"/>
        </w:rPr>
        <w:t xml:space="preserve"> NGS </w:t>
      </w:r>
      <w:proofErr w:type="spellStart"/>
      <w:r w:rsidRPr="00754D8B">
        <w:rPr>
          <w:i/>
          <w:color w:val="000000" w:themeColor="text1"/>
          <w:w w:val="110"/>
          <w:sz w:val="20"/>
          <w:lang w:val="uk-UA"/>
        </w:rPr>
        <w:t>technologies</w:t>
      </w:r>
      <w:proofErr w:type="spellEnd"/>
      <w:r w:rsidRPr="00754D8B">
        <w:rPr>
          <w:i/>
          <w:color w:val="000000" w:themeColor="text1"/>
          <w:w w:val="110"/>
          <w:sz w:val="20"/>
          <w:lang w:val="uk-UA"/>
        </w:rPr>
        <w:t xml:space="preserve"> for </w:t>
      </w:r>
      <w:proofErr w:type="spellStart"/>
      <w:r w:rsidRPr="00754D8B">
        <w:rPr>
          <w:i/>
          <w:color w:val="000000" w:themeColor="text1"/>
          <w:w w:val="110"/>
          <w:sz w:val="20"/>
          <w:lang w:val="uk-UA"/>
        </w:rPr>
        <w:t>detection</w:t>
      </w:r>
      <w:proofErr w:type="spellEnd"/>
      <w:r w:rsidRPr="00754D8B">
        <w:rPr>
          <w:i/>
          <w:color w:val="000000" w:themeColor="text1"/>
          <w:w w:val="110"/>
          <w:sz w:val="20"/>
          <w:lang w:val="uk-UA"/>
        </w:rPr>
        <w:t xml:space="preserve"> of drug </w:t>
      </w:r>
      <w:proofErr w:type="spellStart"/>
      <w:r w:rsidRPr="00754D8B">
        <w:rPr>
          <w:i/>
          <w:color w:val="000000" w:themeColor="text1"/>
          <w:w w:val="110"/>
          <w:sz w:val="20"/>
          <w:lang w:val="uk-UA"/>
        </w:rPr>
        <w:t>resistance</w:t>
      </w:r>
      <w:proofErr w:type="spellEnd"/>
      <w:r w:rsidRPr="00754D8B">
        <w:rPr>
          <w:i/>
          <w:color w:val="000000" w:themeColor="text1"/>
          <w:w w:val="110"/>
          <w:sz w:val="20"/>
          <w:lang w:val="uk-UA"/>
        </w:rPr>
        <w:t xml:space="preserve"> </w:t>
      </w:r>
      <w:proofErr w:type="spellStart"/>
      <w:r w:rsidRPr="00754D8B">
        <w:rPr>
          <w:i/>
          <w:color w:val="000000" w:themeColor="text1"/>
          <w:w w:val="110"/>
          <w:sz w:val="20"/>
          <w:lang w:val="uk-UA"/>
        </w:rPr>
        <w:t>among</w:t>
      </w:r>
      <w:proofErr w:type="spellEnd"/>
      <w:r w:rsidRPr="00754D8B">
        <w:rPr>
          <w:i/>
          <w:color w:val="000000" w:themeColor="text1"/>
          <w:w w:val="110"/>
          <w:sz w:val="20"/>
          <w:lang w:val="uk-UA"/>
        </w:rPr>
        <w:t xml:space="preserve"> </w:t>
      </w:r>
      <w:proofErr w:type="spellStart"/>
      <w:r w:rsidRPr="00754D8B">
        <w:rPr>
          <w:i/>
          <w:color w:val="000000" w:themeColor="text1"/>
          <w:w w:val="110"/>
          <w:sz w:val="20"/>
          <w:lang w:val="uk-UA"/>
        </w:rPr>
        <w:t>people</w:t>
      </w:r>
      <w:proofErr w:type="spellEnd"/>
      <w:r w:rsidRPr="00754D8B">
        <w:rPr>
          <w:i/>
          <w:color w:val="000000" w:themeColor="text1"/>
          <w:w w:val="110"/>
          <w:sz w:val="20"/>
          <w:lang w:val="uk-UA"/>
        </w:rPr>
        <w:t xml:space="preserve"> </w:t>
      </w:r>
      <w:proofErr w:type="spellStart"/>
      <w:r w:rsidRPr="00754D8B">
        <w:rPr>
          <w:i/>
          <w:color w:val="000000" w:themeColor="text1"/>
          <w:w w:val="110"/>
          <w:sz w:val="20"/>
          <w:lang w:val="uk-UA"/>
        </w:rPr>
        <w:t>diagnosed</w:t>
      </w:r>
      <w:proofErr w:type="spellEnd"/>
      <w:r w:rsidRPr="00754D8B">
        <w:rPr>
          <w:i/>
          <w:color w:val="000000" w:themeColor="text1"/>
          <w:w w:val="110"/>
          <w:sz w:val="20"/>
          <w:lang w:val="uk-UA"/>
        </w:rPr>
        <w:t xml:space="preserve"> with TB)</w:t>
      </w:r>
      <w:r>
        <w:rPr>
          <w:i/>
          <w:color w:val="000000" w:themeColor="text1"/>
          <w:w w:val="110"/>
          <w:sz w:val="20"/>
          <w:lang w:val="uk-UA"/>
        </w:rPr>
        <w:t xml:space="preserve"> </w:t>
      </w:r>
      <w:r w:rsidRPr="006B6651">
        <w:rPr>
          <w:i/>
          <w:color w:val="000000" w:themeColor="text1"/>
          <w:w w:val="110"/>
          <w:sz w:val="20"/>
          <w:lang w:val="ru-RU"/>
        </w:rPr>
        <w:t>);</w:t>
      </w:r>
    </w:p>
    <w:p w14:paraId="13ACB74A" w14:textId="77777777" w:rsidR="00767E2A" w:rsidRPr="006B6651" w:rsidRDefault="00767E2A" w:rsidP="004A2937">
      <w:pPr>
        <w:pStyle w:val="a4"/>
        <w:numPr>
          <w:ilvl w:val="0"/>
          <w:numId w:val="45"/>
        </w:numPr>
        <w:tabs>
          <w:tab w:val="left" w:pos="1701"/>
        </w:tabs>
        <w:spacing w:before="3" w:line="271" w:lineRule="auto"/>
        <w:ind w:right="4"/>
        <w:rPr>
          <w:i/>
          <w:color w:val="000000" w:themeColor="text1"/>
          <w:sz w:val="20"/>
          <w:lang w:val="ru-RU"/>
        </w:rPr>
      </w:pPr>
      <w:r w:rsidRPr="006811CF">
        <w:rPr>
          <w:color w:val="000000" w:themeColor="text1"/>
          <w:w w:val="105"/>
          <w:sz w:val="20"/>
          <w:lang w:val="uk-UA"/>
        </w:rPr>
        <w:t>підсумок</w:t>
      </w:r>
      <w:r w:rsidRPr="006B6651">
        <w:rPr>
          <w:color w:val="000000" w:themeColor="text1"/>
          <w:w w:val="105"/>
          <w:sz w:val="20"/>
          <w:lang w:val="ru-RU"/>
        </w:rPr>
        <w:t xml:space="preserve"> </w:t>
      </w:r>
      <w:proofErr w:type="spellStart"/>
      <w:r w:rsidRPr="006B6651">
        <w:rPr>
          <w:color w:val="000000" w:themeColor="text1"/>
          <w:w w:val="105"/>
          <w:sz w:val="20"/>
          <w:lang w:val="ru-RU"/>
        </w:rPr>
        <w:t>результатів</w:t>
      </w:r>
      <w:proofErr w:type="spellEnd"/>
      <w:r w:rsidRPr="006B6651">
        <w:rPr>
          <w:color w:val="000000" w:themeColor="text1"/>
          <w:w w:val="105"/>
          <w:sz w:val="20"/>
          <w:lang w:val="ru-RU"/>
        </w:rPr>
        <w:t xml:space="preserve"> та </w:t>
      </w:r>
      <w:proofErr w:type="spellStart"/>
      <w:r w:rsidRPr="006B6651">
        <w:rPr>
          <w:color w:val="000000" w:themeColor="text1"/>
          <w:w w:val="105"/>
          <w:sz w:val="20"/>
          <w:lang w:val="ru-RU"/>
        </w:rPr>
        <w:t>деталі</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оцінки</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якості</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доказових</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даних</w:t>
      </w:r>
      <w:proofErr w:type="spellEnd"/>
      <w:r w:rsidRPr="006B6651">
        <w:rPr>
          <w:i/>
          <w:color w:val="000000" w:themeColor="text1"/>
          <w:w w:val="105"/>
          <w:sz w:val="20"/>
          <w:lang w:val="ru-RU"/>
        </w:rPr>
        <w:t xml:space="preserve"> (</w:t>
      </w:r>
      <w:r w:rsidRPr="006B6651">
        <w:rPr>
          <w:b/>
          <w:i/>
          <w:color w:val="000000" w:themeColor="text1"/>
          <w:w w:val="105"/>
          <w:sz w:val="20"/>
          <w:lang w:val="ru-RU"/>
        </w:rPr>
        <w:t>Веб-</w:t>
      </w:r>
      <w:proofErr w:type="spellStart"/>
      <w:r w:rsidRPr="006B6651">
        <w:rPr>
          <w:b/>
          <w:i/>
          <w:color w:val="000000" w:themeColor="text1"/>
          <w:w w:val="105"/>
          <w:sz w:val="20"/>
          <w:lang w:val="ru-RU"/>
        </w:rPr>
        <w:t>додаток</w:t>
      </w:r>
      <w:proofErr w:type="spellEnd"/>
      <w:r w:rsidRPr="006B6651">
        <w:rPr>
          <w:b/>
          <w:i/>
          <w:color w:val="000000" w:themeColor="text1"/>
          <w:w w:val="105"/>
          <w:sz w:val="20"/>
          <w:lang w:val="ru-RU"/>
        </w:rPr>
        <w:t xml:space="preserve"> </w:t>
      </w:r>
      <w:r w:rsidRPr="00FD0682">
        <w:rPr>
          <w:b/>
          <w:i/>
          <w:color w:val="000000" w:themeColor="text1"/>
          <w:w w:val="105"/>
          <w:sz w:val="20"/>
        </w:rPr>
        <w:t>A</w:t>
      </w:r>
      <w:r w:rsidRPr="006B6651">
        <w:rPr>
          <w:b/>
          <w:i/>
          <w:color w:val="000000" w:themeColor="text1"/>
          <w:w w:val="105"/>
          <w:sz w:val="20"/>
          <w:lang w:val="ru-RU"/>
        </w:rPr>
        <w:t>.10</w:t>
      </w:r>
      <w:r w:rsidRPr="006B6651">
        <w:rPr>
          <w:i/>
          <w:color w:val="000000" w:themeColor="text1"/>
          <w:w w:val="105"/>
          <w:sz w:val="20"/>
          <w:lang w:val="ru-RU"/>
        </w:rPr>
        <w:t xml:space="preserve">: « </w:t>
      </w:r>
      <w:proofErr w:type="spellStart"/>
      <w:r w:rsidRPr="006B6651">
        <w:rPr>
          <w:color w:val="000000" w:themeColor="text1"/>
          <w:w w:val="105"/>
          <w:sz w:val="20"/>
          <w:lang w:val="ru-RU"/>
        </w:rPr>
        <w:t>Профілі</w:t>
      </w:r>
      <w:proofErr w:type="spellEnd"/>
      <w:r w:rsidRPr="006B6651">
        <w:rPr>
          <w:color w:val="000000" w:themeColor="text1"/>
          <w:w w:val="105"/>
          <w:sz w:val="20"/>
          <w:lang w:val="ru-RU"/>
        </w:rPr>
        <w:t xml:space="preserve"> </w:t>
      </w:r>
      <w:r w:rsidRPr="00754D8B">
        <w:rPr>
          <w:color w:val="000000" w:themeColor="text1"/>
          <w:w w:val="105"/>
          <w:sz w:val="20"/>
        </w:rPr>
        <w:t>GRADE</w:t>
      </w:r>
      <w:r w:rsidRPr="006B6651">
        <w:rPr>
          <w:color w:val="000000" w:themeColor="text1"/>
          <w:w w:val="105"/>
          <w:sz w:val="20"/>
          <w:lang w:val="ru-RU"/>
        </w:rPr>
        <w:t xml:space="preserve"> для таргетного секвенування </w:t>
      </w:r>
      <w:proofErr w:type="spellStart"/>
      <w:r w:rsidRPr="006B6651">
        <w:rPr>
          <w:color w:val="000000" w:themeColor="text1"/>
          <w:w w:val="105"/>
          <w:sz w:val="20"/>
          <w:lang w:val="ru-RU"/>
        </w:rPr>
        <w:t>наступного</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покоління</w:t>
      </w:r>
      <w:proofErr w:type="spellEnd"/>
      <w:r w:rsidRPr="006B6651">
        <w:rPr>
          <w:color w:val="000000" w:themeColor="text1"/>
          <w:w w:val="105"/>
          <w:sz w:val="20"/>
          <w:lang w:val="ru-RU"/>
        </w:rPr>
        <w:t xml:space="preserve"> для виявлення </w:t>
      </w:r>
      <w:proofErr w:type="spellStart"/>
      <w:r w:rsidRPr="006B6651">
        <w:rPr>
          <w:color w:val="000000" w:themeColor="text1"/>
          <w:w w:val="105"/>
          <w:sz w:val="20"/>
          <w:lang w:val="ru-RU"/>
        </w:rPr>
        <w:t>лікарської</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стійкості</w:t>
      </w:r>
      <w:proofErr w:type="spellEnd"/>
      <w:r w:rsidRPr="006B6651">
        <w:rPr>
          <w:color w:val="000000" w:themeColor="text1"/>
          <w:w w:val="105"/>
          <w:sz w:val="20"/>
          <w:lang w:val="ru-RU"/>
        </w:rPr>
        <w:t xml:space="preserve"> ТБ»</w:t>
      </w:r>
      <w:r>
        <w:rPr>
          <w:color w:val="000000" w:themeColor="text1"/>
          <w:w w:val="105"/>
          <w:sz w:val="20"/>
          <w:lang w:val="uk-UA"/>
        </w:rPr>
        <w:t xml:space="preserve"> (</w:t>
      </w:r>
      <w:r w:rsidRPr="00754D8B">
        <w:rPr>
          <w:i/>
          <w:color w:val="000000" w:themeColor="text1"/>
          <w:w w:val="105"/>
          <w:sz w:val="20"/>
          <w:lang w:val="uk-UA"/>
        </w:rPr>
        <w:t xml:space="preserve">GRADE </w:t>
      </w:r>
      <w:proofErr w:type="spellStart"/>
      <w:r w:rsidRPr="00754D8B">
        <w:rPr>
          <w:i/>
          <w:color w:val="000000" w:themeColor="text1"/>
          <w:w w:val="105"/>
          <w:sz w:val="20"/>
          <w:lang w:val="uk-UA"/>
        </w:rPr>
        <w:t>profiles</w:t>
      </w:r>
      <w:proofErr w:type="spellEnd"/>
      <w:r w:rsidRPr="00754D8B">
        <w:rPr>
          <w:i/>
          <w:color w:val="000000" w:themeColor="text1"/>
          <w:w w:val="105"/>
          <w:sz w:val="20"/>
          <w:lang w:val="uk-UA"/>
        </w:rPr>
        <w:t xml:space="preserve"> of </w:t>
      </w:r>
      <w:proofErr w:type="spellStart"/>
      <w:r w:rsidRPr="00754D8B">
        <w:rPr>
          <w:i/>
          <w:color w:val="000000" w:themeColor="text1"/>
          <w:w w:val="105"/>
          <w:sz w:val="20"/>
          <w:lang w:val="uk-UA"/>
        </w:rPr>
        <w:t>targeted</w:t>
      </w:r>
      <w:proofErr w:type="spellEnd"/>
      <w:r w:rsidRPr="00754D8B">
        <w:rPr>
          <w:i/>
          <w:color w:val="000000" w:themeColor="text1"/>
          <w:w w:val="105"/>
          <w:sz w:val="20"/>
          <w:lang w:val="uk-UA"/>
        </w:rPr>
        <w:t xml:space="preserve"> </w:t>
      </w:r>
      <w:proofErr w:type="spellStart"/>
      <w:r w:rsidRPr="00754D8B">
        <w:rPr>
          <w:i/>
          <w:color w:val="000000" w:themeColor="text1"/>
          <w:w w:val="105"/>
          <w:sz w:val="20"/>
          <w:lang w:val="uk-UA"/>
        </w:rPr>
        <w:t>next-generation</w:t>
      </w:r>
      <w:proofErr w:type="spellEnd"/>
      <w:r w:rsidRPr="00754D8B">
        <w:rPr>
          <w:i/>
          <w:color w:val="000000" w:themeColor="text1"/>
          <w:w w:val="105"/>
          <w:sz w:val="20"/>
          <w:lang w:val="uk-UA"/>
        </w:rPr>
        <w:t xml:space="preserve"> </w:t>
      </w:r>
      <w:proofErr w:type="spellStart"/>
      <w:r w:rsidRPr="00754D8B">
        <w:rPr>
          <w:i/>
          <w:color w:val="000000" w:themeColor="text1"/>
          <w:w w:val="105"/>
          <w:sz w:val="20"/>
          <w:lang w:val="uk-UA"/>
        </w:rPr>
        <w:t>sequencing</w:t>
      </w:r>
      <w:proofErr w:type="spellEnd"/>
      <w:r w:rsidRPr="00754D8B">
        <w:rPr>
          <w:i/>
          <w:color w:val="000000" w:themeColor="text1"/>
          <w:w w:val="105"/>
          <w:sz w:val="20"/>
          <w:lang w:val="uk-UA"/>
        </w:rPr>
        <w:t xml:space="preserve"> for </w:t>
      </w:r>
      <w:proofErr w:type="spellStart"/>
      <w:r w:rsidRPr="00754D8B">
        <w:rPr>
          <w:i/>
          <w:color w:val="000000" w:themeColor="text1"/>
          <w:w w:val="105"/>
          <w:sz w:val="20"/>
          <w:lang w:val="uk-UA"/>
        </w:rPr>
        <w:t>detection</w:t>
      </w:r>
      <w:proofErr w:type="spellEnd"/>
      <w:r w:rsidRPr="00754D8B">
        <w:rPr>
          <w:i/>
          <w:color w:val="000000" w:themeColor="text1"/>
          <w:w w:val="105"/>
          <w:sz w:val="20"/>
          <w:lang w:val="uk-UA"/>
        </w:rPr>
        <w:t xml:space="preserve"> of TB drug </w:t>
      </w:r>
      <w:proofErr w:type="spellStart"/>
      <w:r w:rsidRPr="00754D8B">
        <w:rPr>
          <w:i/>
          <w:color w:val="000000" w:themeColor="text1"/>
          <w:w w:val="105"/>
          <w:sz w:val="20"/>
          <w:lang w:val="uk-UA"/>
        </w:rPr>
        <w:t>resistance</w:t>
      </w:r>
      <w:proofErr w:type="spellEnd"/>
      <w:r w:rsidRPr="00754D8B">
        <w:rPr>
          <w:color w:val="000000" w:themeColor="text1"/>
          <w:w w:val="105"/>
          <w:sz w:val="20"/>
          <w:lang w:val="uk-UA"/>
        </w:rPr>
        <w:t>)</w:t>
      </w:r>
      <w:r>
        <w:rPr>
          <w:i/>
          <w:color w:val="000000" w:themeColor="text1"/>
          <w:w w:val="105"/>
          <w:sz w:val="20"/>
          <w:lang w:val="uk-UA"/>
        </w:rPr>
        <w:t xml:space="preserve"> </w:t>
      </w:r>
      <w:r w:rsidRPr="006B6651">
        <w:rPr>
          <w:color w:val="000000" w:themeColor="text1"/>
          <w:w w:val="105"/>
          <w:sz w:val="20"/>
          <w:lang w:val="ru-RU"/>
        </w:rPr>
        <w:t>)</w:t>
      </w:r>
      <w:r w:rsidRPr="006B6651">
        <w:rPr>
          <w:i/>
          <w:color w:val="000000" w:themeColor="text1"/>
          <w:w w:val="105"/>
          <w:sz w:val="20"/>
          <w:lang w:val="ru-RU"/>
        </w:rPr>
        <w:t>; та</w:t>
      </w:r>
    </w:p>
    <w:p w14:paraId="640052C5" w14:textId="77777777" w:rsidR="00767E2A" w:rsidRPr="006B6651" w:rsidRDefault="00767E2A" w:rsidP="004A2937">
      <w:pPr>
        <w:pStyle w:val="a4"/>
        <w:numPr>
          <w:ilvl w:val="0"/>
          <w:numId w:val="45"/>
        </w:numPr>
        <w:tabs>
          <w:tab w:val="left" w:pos="1701"/>
        </w:tabs>
        <w:spacing w:before="8" w:line="266" w:lineRule="auto"/>
        <w:ind w:right="4"/>
        <w:rPr>
          <w:i/>
          <w:color w:val="000000" w:themeColor="text1"/>
          <w:sz w:val="20"/>
          <w:lang w:val="ru-RU"/>
        </w:rPr>
      </w:pPr>
      <w:r w:rsidRPr="006811CF">
        <w:rPr>
          <w:color w:val="000000" w:themeColor="text1"/>
          <w:w w:val="105"/>
          <w:sz w:val="20"/>
          <w:lang w:val="uk-UA"/>
        </w:rPr>
        <w:t>підсумок</w:t>
      </w:r>
      <w:r w:rsidRPr="006B6651">
        <w:rPr>
          <w:color w:val="000000" w:themeColor="text1"/>
          <w:w w:val="105"/>
          <w:sz w:val="20"/>
          <w:lang w:val="ru-RU"/>
        </w:rPr>
        <w:t xml:space="preserve"> </w:t>
      </w:r>
      <w:proofErr w:type="spellStart"/>
      <w:r w:rsidRPr="006B6651">
        <w:rPr>
          <w:color w:val="000000" w:themeColor="text1"/>
          <w:w w:val="105"/>
          <w:sz w:val="20"/>
          <w:lang w:val="ru-RU"/>
        </w:rPr>
        <w:t>рішень</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групи</w:t>
      </w:r>
      <w:proofErr w:type="spellEnd"/>
      <w:r w:rsidRPr="006B6651">
        <w:rPr>
          <w:color w:val="000000" w:themeColor="text1"/>
          <w:w w:val="105"/>
          <w:sz w:val="20"/>
          <w:lang w:val="ru-RU"/>
        </w:rPr>
        <w:t xml:space="preserve"> </w:t>
      </w:r>
      <w:r w:rsidRPr="006811CF">
        <w:rPr>
          <w:color w:val="000000" w:themeColor="text1"/>
          <w:w w:val="105"/>
          <w:sz w:val="20"/>
          <w:lang w:val="uk-UA"/>
        </w:rPr>
        <w:t>ГРН</w:t>
      </w:r>
      <w:r w:rsidRPr="006B6651">
        <w:rPr>
          <w:i/>
          <w:color w:val="000000" w:themeColor="text1"/>
          <w:w w:val="105"/>
          <w:sz w:val="20"/>
          <w:lang w:val="ru-RU"/>
        </w:rPr>
        <w:t xml:space="preserve"> (</w:t>
      </w:r>
      <w:r w:rsidRPr="006B6651">
        <w:rPr>
          <w:b/>
          <w:i/>
          <w:color w:val="000000" w:themeColor="text1"/>
          <w:w w:val="105"/>
          <w:sz w:val="20"/>
          <w:lang w:val="ru-RU"/>
        </w:rPr>
        <w:t>Веб-</w:t>
      </w:r>
      <w:proofErr w:type="spellStart"/>
      <w:r w:rsidRPr="006B6651">
        <w:rPr>
          <w:b/>
          <w:i/>
          <w:color w:val="000000" w:themeColor="text1"/>
          <w:w w:val="105"/>
          <w:sz w:val="20"/>
          <w:lang w:val="ru-RU"/>
        </w:rPr>
        <w:t>додаток</w:t>
      </w:r>
      <w:proofErr w:type="spellEnd"/>
      <w:r w:rsidRPr="006B6651">
        <w:rPr>
          <w:b/>
          <w:i/>
          <w:color w:val="000000" w:themeColor="text1"/>
          <w:w w:val="105"/>
          <w:sz w:val="20"/>
          <w:lang w:val="ru-RU"/>
        </w:rPr>
        <w:t xml:space="preserve"> </w:t>
      </w:r>
      <w:r w:rsidRPr="00FD0682">
        <w:rPr>
          <w:b/>
          <w:i/>
          <w:color w:val="000000" w:themeColor="text1"/>
          <w:w w:val="105"/>
          <w:sz w:val="20"/>
        </w:rPr>
        <w:t>A</w:t>
      </w:r>
      <w:r w:rsidRPr="006B6651">
        <w:rPr>
          <w:b/>
          <w:i/>
          <w:color w:val="000000" w:themeColor="text1"/>
          <w:w w:val="105"/>
          <w:sz w:val="20"/>
          <w:lang w:val="ru-RU"/>
        </w:rPr>
        <w:t>.10:</w:t>
      </w:r>
      <w:r w:rsidRPr="006B6651">
        <w:rPr>
          <w:i/>
          <w:color w:val="000000" w:themeColor="text1"/>
          <w:w w:val="105"/>
          <w:sz w:val="20"/>
          <w:lang w:val="ru-RU"/>
        </w:rPr>
        <w:t xml:space="preserve"> « </w:t>
      </w:r>
      <w:proofErr w:type="spellStart"/>
      <w:r w:rsidRPr="006B6651">
        <w:rPr>
          <w:color w:val="000000" w:themeColor="text1"/>
          <w:w w:val="105"/>
          <w:sz w:val="20"/>
          <w:lang w:val="ru-RU"/>
        </w:rPr>
        <w:t>Таблиці</w:t>
      </w:r>
      <w:proofErr w:type="spellEnd"/>
      <w:r w:rsidRPr="006B6651">
        <w:rPr>
          <w:color w:val="000000" w:themeColor="text1"/>
          <w:w w:val="105"/>
          <w:sz w:val="20"/>
          <w:lang w:val="ru-RU"/>
        </w:rPr>
        <w:t xml:space="preserve"> переходу </w:t>
      </w:r>
      <w:proofErr w:type="spellStart"/>
      <w:r w:rsidRPr="006B6651">
        <w:rPr>
          <w:color w:val="000000" w:themeColor="text1"/>
          <w:w w:val="105"/>
          <w:sz w:val="20"/>
          <w:lang w:val="ru-RU"/>
        </w:rPr>
        <w:t>від</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доказових</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даних</w:t>
      </w:r>
      <w:proofErr w:type="spellEnd"/>
      <w:r w:rsidRPr="006B6651">
        <w:rPr>
          <w:color w:val="000000" w:themeColor="text1"/>
          <w:w w:val="105"/>
          <w:sz w:val="20"/>
          <w:lang w:val="ru-RU"/>
        </w:rPr>
        <w:t xml:space="preserve"> до </w:t>
      </w:r>
      <w:proofErr w:type="spellStart"/>
      <w:r w:rsidRPr="006B6651">
        <w:rPr>
          <w:color w:val="000000" w:themeColor="text1"/>
          <w:w w:val="105"/>
          <w:sz w:val="20"/>
          <w:lang w:val="ru-RU"/>
        </w:rPr>
        <w:t>рішень</w:t>
      </w:r>
      <w:proofErr w:type="spellEnd"/>
      <w:r w:rsidRPr="006B6651">
        <w:rPr>
          <w:color w:val="000000" w:themeColor="text1"/>
          <w:w w:val="105"/>
          <w:sz w:val="20"/>
          <w:lang w:val="ru-RU"/>
        </w:rPr>
        <w:t xml:space="preserve">: таргетне секвенування </w:t>
      </w:r>
      <w:proofErr w:type="spellStart"/>
      <w:r w:rsidRPr="006B6651">
        <w:rPr>
          <w:color w:val="000000" w:themeColor="text1"/>
          <w:w w:val="105"/>
          <w:sz w:val="20"/>
          <w:lang w:val="ru-RU"/>
        </w:rPr>
        <w:t>наступного</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покоління</w:t>
      </w:r>
      <w:proofErr w:type="spellEnd"/>
      <w:r w:rsidRPr="006B6651">
        <w:rPr>
          <w:color w:val="000000" w:themeColor="text1"/>
          <w:w w:val="105"/>
          <w:sz w:val="20"/>
          <w:lang w:val="ru-RU"/>
        </w:rPr>
        <w:t xml:space="preserve"> для виявлення </w:t>
      </w:r>
      <w:proofErr w:type="spellStart"/>
      <w:r w:rsidRPr="006B6651">
        <w:rPr>
          <w:color w:val="000000" w:themeColor="text1"/>
          <w:w w:val="105"/>
          <w:sz w:val="20"/>
          <w:lang w:val="ru-RU"/>
        </w:rPr>
        <w:t>лікарської</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стійкості</w:t>
      </w:r>
      <w:proofErr w:type="spellEnd"/>
      <w:r w:rsidRPr="006B6651">
        <w:rPr>
          <w:color w:val="000000" w:themeColor="text1"/>
          <w:w w:val="105"/>
          <w:sz w:val="20"/>
          <w:lang w:val="ru-RU"/>
        </w:rPr>
        <w:t xml:space="preserve"> ТБ»</w:t>
      </w:r>
      <w:r>
        <w:rPr>
          <w:color w:val="000000" w:themeColor="text1"/>
          <w:w w:val="105"/>
          <w:sz w:val="20"/>
          <w:lang w:val="uk-UA"/>
        </w:rPr>
        <w:t xml:space="preserve"> (</w:t>
      </w:r>
      <w:proofErr w:type="spellStart"/>
      <w:r w:rsidRPr="00754D8B">
        <w:rPr>
          <w:i/>
          <w:color w:val="000000" w:themeColor="text1"/>
          <w:w w:val="105"/>
          <w:sz w:val="20"/>
          <w:lang w:val="uk-UA"/>
        </w:rPr>
        <w:t>Evidence</w:t>
      </w:r>
      <w:proofErr w:type="spellEnd"/>
      <w:r w:rsidRPr="00754D8B">
        <w:rPr>
          <w:i/>
          <w:color w:val="000000" w:themeColor="text1"/>
          <w:w w:val="105"/>
          <w:sz w:val="20"/>
          <w:lang w:val="uk-UA"/>
        </w:rPr>
        <w:t xml:space="preserve"> to </w:t>
      </w:r>
      <w:proofErr w:type="spellStart"/>
      <w:r w:rsidRPr="00754D8B">
        <w:rPr>
          <w:i/>
          <w:color w:val="000000" w:themeColor="text1"/>
          <w:w w:val="105"/>
          <w:sz w:val="20"/>
          <w:lang w:val="uk-UA"/>
        </w:rPr>
        <w:t>decision</w:t>
      </w:r>
      <w:proofErr w:type="spellEnd"/>
      <w:r w:rsidRPr="00754D8B">
        <w:rPr>
          <w:i/>
          <w:color w:val="000000" w:themeColor="text1"/>
          <w:w w:val="105"/>
          <w:sz w:val="20"/>
          <w:lang w:val="uk-UA"/>
        </w:rPr>
        <w:t xml:space="preserve"> </w:t>
      </w:r>
      <w:proofErr w:type="spellStart"/>
      <w:r w:rsidRPr="00754D8B">
        <w:rPr>
          <w:i/>
          <w:color w:val="000000" w:themeColor="text1"/>
          <w:w w:val="105"/>
          <w:sz w:val="20"/>
          <w:lang w:val="uk-UA"/>
        </w:rPr>
        <w:t>tables</w:t>
      </w:r>
      <w:proofErr w:type="spellEnd"/>
      <w:r w:rsidRPr="00754D8B">
        <w:rPr>
          <w:i/>
          <w:color w:val="000000" w:themeColor="text1"/>
          <w:w w:val="105"/>
          <w:sz w:val="20"/>
          <w:lang w:val="uk-UA"/>
        </w:rPr>
        <w:t xml:space="preserve">: </w:t>
      </w:r>
      <w:proofErr w:type="spellStart"/>
      <w:r w:rsidRPr="00754D8B">
        <w:rPr>
          <w:i/>
          <w:color w:val="000000" w:themeColor="text1"/>
          <w:w w:val="105"/>
          <w:sz w:val="20"/>
          <w:lang w:val="uk-UA"/>
        </w:rPr>
        <w:t>targeted</w:t>
      </w:r>
      <w:proofErr w:type="spellEnd"/>
      <w:r w:rsidRPr="00754D8B">
        <w:rPr>
          <w:i/>
          <w:color w:val="000000" w:themeColor="text1"/>
          <w:w w:val="105"/>
          <w:sz w:val="20"/>
          <w:lang w:val="uk-UA"/>
        </w:rPr>
        <w:t xml:space="preserve"> </w:t>
      </w:r>
      <w:proofErr w:type="spellStart"/>
      <w:r w:rsidRPr="00754D8B">
        <w:rPr>
          <w:i/>
          <w:color w:val="000000" w:themeColor="text1"/>
          <w:w w:val="105"/>
          <w:sz w:val="20"/>
          <w:lang w:val="uk-UA"/>
        </w:rPr>
        <w:t>next-generation</w:t>
      </w:r>
      <w:proofErr w:type="spellEnd"/>
      <w:r w:rsidRPr="00754D8B">
        <w:rPr>
          <w:i/>
          <w:color w:val="000000" w:themeColor="text1"/>
          <w:w w:val="105"/>
          <w:sz w:val="20"/>
          <w:lang w:val="uk-UA"/>
        </w:rPr>
        <w:t xml:space="preserve"> </w:t>
      </w:r>
      <w:proofErr w:type="spellStart"/>
      <w:r w:rsidRPr="00754D8B">
        <w:rPr>
          <w:i/>
          <w:color w:val="000000" w:themeColor="text1"/>
          <w:w w:val="105"/>
          <w:sz w:val="20"/>
          <w:lang w:val="uk-UA"/>
        </w:rPr>
        <w:t>sequencing</w:t>
      </w:r>
      <w:proofErr w:type="spellEnd"/>
      <w:r w:rsidRPr="00754D8B">
        <w:rPr>
          <w:i/>
          <w:color w:val="000000" w:themeColor="text1"/>
          <w:w w:val="105"/>
          <w:sz w:val="20"/>
          <w:lang w:val="uk-UA"/>
        </w:rPr>
        <w:t xml:space="preserve"> for </w:t>
      </w:r>
      <w:proofErr w:type="spellStart"/>
      <w:r w:rsidRPr="00754D8B">
        <w:rPr>
          <w:i/>
          <w:color w:val="000000" w:themeColor="text1"/>
          <w:w w:val="105"/>
          <w:sz w:val="20"/>
          <w:lang w:val="uk-UA"/>
        </w:rPr>
        <w:t>detection</w:t>
      </w:r>
      <w:proofErr w:type="spellEnd"/>
      <w:r w:rsidRPr="00754D8B">
        <w:rPr>
          <w:i/>
          <w:color w:val="000000" w:themeColor="text1"/>
          <w:w w:val="105"/>
          <w:sz w:val="20"/>
          <w:lang w:val="uk-UA"/>
        </w:rPr>
        <w:t xml:space="preserve"> of TB drug </w:t>
      </w:r>
      <w:proofErr w:type="spellStart"/>
      <w:r w:rsidRPr="00754D8B">
        <w:rPr>
          <w:i/>
          <w:color w:val="000000" w:themeColor="text1"/>
          <w:w w:val="105"/>
          <w:sz w:val="20"/>
          <w:lang w:val="uk-UA"/>
        </w:rPr>
        <w:t>resistance</w:t>
      </w:r>
      <w:proofErr w:type="spellEnd"/>
      <w:r>
        <w:rPr>
          <w:color w:val="000000" w:themeColor="text1"/>
          <w:w w:val="105"/>
          <w:sz w:val="20"/>
          <w:lang w:val="uk-UA"/>
        </w:rPr>
        <w:t xml:space="preserve">) </w:t>
      </w:r>
      <w:r w:rsidRPr="006B6651">
        <w:rPr>
          <w:color w:val="000000" w:themeColor="text1"/>
          <w:w w:val="105"/>
          <w:sz w:val="20"/>
          <w:lang w:val="ru-RU"/>
        </w:rPr>
        <w:t>)</w:t>
      </w:r>
      <w:r w:rsidRPr="006B6651">
        <w:rPr>
          <w:i/>
          <w:color w:val="000000" w:themeColor="text1"/>
          <w:w w:val="105"/>
          <w:sz w:val="20"/>
          <w:lang w:val="ru-RU"/>
        </w:rPr>
        <w:t>.</w:t>
      </w:r>
    </w:p>
    <w:p w14:paraId="7B7434F1" w14:textId="77777777" w:rsidR="00767E2A" w:rsidRPr="006B6651" w:rsidRDefault="00767E2A" w:rsidP="00767E2A">
      <w:pPr>
        <w:pStyle w:val="a3"/>
        <w:spacing w:before="5"/>
        <w:ind w:right="4"/>
        <w:rPr>
          <w:sz w:val="20"/>
          <w:lang w:val="ru-RU"/>
        </w:rPr>
      </w:pPr>
    </w:p>
    <w:p w14:paraId="341FF88A" w14:textId="77777777" w:rsidR="00767E2A" w:rsidRPr="006B6651" w:rsidRDefault="00767E2A" w:rsidP="00767E2A">
      <w:pPr>
        <w:pStyle w:val="5"/>
        <w:ind w:right="4"/>
        <w:jc w:val="both"/>
        <w:rPr>
          <w:lang w:val="ru-RU"/>
        </w:rPr>
      </w:pPr>
      <w:proofErr w:type="spellStart"/>
      <w:r w:rsidRPr="006B6651">
        <w:rPr>
          <w:color w:val="019648"/>
          <w:w w:val="105"/>
          <w:lang w:val="ru-RU"/>
        </w:rPr>
        <w:t>Аналіз</w:t>
      </w:r>
      <w:proofErr w:type="spellEnd"/>
      <w:r w:rsidRPr="006B6651">
        <w:rPr>
          <w:color w:val="019648"/>
          <w:w w:val="105"/>
          <w:lang w:val="ru-RU"/>
        </w:rPr>
        <w:t xml:space="preserve"> </w:t>
      </w:r>
      <w:proofErr w:type="spellStart"/>
      <w:r w:rsidRPr="006B6651">
        <w:rPr>
          <w:color w:val="019648"/>
          <w:w w:val="105"/>
          <w:lang w:val="ru-RU"/>
        </w:rPr>
        <w:t>економічної</w:t>
      </w:r>
      <w:proofErr w:type="spellEnd"/>
      <w:r w:rsidRPr="006B6651">
        <w:rPr>
          <w:color w:val="019648"/>
          <w:w w:val="105"/>
          <w:lang w:val="ru-RU"/>
        </w:rPr>
        <w:t xml:space="preserve"> </w:t>
      </w:r>
      <w:proofErr w:type="spellStart"/>
      <w:r w:rsidRPr="006B6651">
        <w:rPr>
          <w:color w:val="019648"/>
          <w:w w:val="105"/>
          <w:lang w:val="ru-RU"/>
        </w:rPr>
        <w:t>ефективності</w:t>
      </w:r>
      <w:proofErr w:type="spellEnd"/>
    </w:p>
    <w:p w14:paraId="498E8AB1" w14:textId="77777777" w:rsidR="00767E2A" w:rsidRPr="006B6651" w:rsidRDefault="00767E2A" w:rsidP="0015544F">
      <w:pPr>
        <w:pStyle w:val="a3"/>
        <w:spacing w:before="209" w:line="276" w:lineRule="auto"/>
        <w:ind w:left="567" w:right="4"/>
        <w:jc w:val="both"/>
        <w:rPr>
          <w:color w:val="000000" w:themeColor="text1"/>
          <w:sz w:val="20"/>
          <w:lang w:val="ru-RU"/>
        </w:rPr>
      </w:pPr>
      <w:proofErr w:type="spellStart"/>
      <w:r w:rsidRPr="006B6651">
        <w:rPr>
          <w:color w:val="000000" w:themeColor="text1"/>
          <w:w w:val="110"/>
          <w:sz w:val="20"/>
          <w:lang w:val="ru-RU"/>
        </w:rPr>
        <w:t>Дані</w:t>
      </w:r>
      <w:proofErr w:type="spellEnd"/>
      <w:r w:rsidRPr="006B6651">
        <w:rPr>
          <w:color w:val="000000" w:themeColor="text1"/>
          <w:w w:val="110"/>
          <w:sz w:val="20"/>
          <w:lang w:val="ru-RU"/>
        </w:rPr>
        <w:t xml:space="preserve"> про </w:t>
      </w:r>
      <w:proofErr w:type="spellStart"/>
      <w:r w:rsidRPr="006B6651">
        <w:rPr>
          <w:color w:val="000000" w:themeColor="text1"/>
          <w:w w:val="110"/>
          <w:sz w:val="20"/>
          <w:lang w:val="ru-RU"/>
        </w:rPr>
        <w:t>витрати</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економічну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ефективність</w:t>
      </w:r>
      <w:proofErr w:type="spellEnd"/>
      <w:r w:rsidRPr="006B6651">
        <w:rPr>
          <w:color w:val="000000" w:themeColor="text1"/>
          <w:w w:val="110"/>
          <w:sz w:val="20"/>
          <w:lang w:val="ru-RU"/>
        </w:rPr>
        <w:t xml:space="preserve"> для таргетного </w:t>
      </w:r>
      <w:r w:rsidRPr="00FD0682">
        <w:rPr>
          <w:color w:val="000000" w:themeColor="text1"/>
          <w:w w:val="110"/>
          <w:sz w:val="20"/>
          <w:lang w:val="uk-UA"/>
        </w:rPr>
        <w:t>СНП</w:t>
      </w:r>
      <w:r w:rsidRPr="006B6651">
        <w:rPr>
          <w:color w:val="000000" w:themeColor="text1"/>
          <w:w w:val="110"/>
          <w:sz w:val="20"/>
          <w:lang w:val="ru-RU"/>
        </w:rPr>
        <w:t xml:space="preserve"> </w:t>
      </w:r>
      <w:proofErr w:type="spellStart"/>
      <w:r w:rsidRPr="006B6651">
        <w:rPr>
          <w:color w:val="000000" w:themeColor="text1"/>
          <w:w w:val="110"/>
          <w:sz w:val="20"/>
          <w:lang w:val="ru-RU"/>
        </w:rPr>
        <w:t>оцінювалися</w:t>
      </w:r>
      <w:proofErr w:type="spellEnd"/>
      <w:r w:rsidRPr="006B6651">
        <w:rPr>
          <w:color w:val="000000" w:themeColor="text1"/>
          <w:w w:val="110"/>
          <w:sz w:val="20"/>
          <w:lang w:val="ru-RU"/>
        </w:rPr>
        <w:t xml:space="preserve"> шляхом систематичного </w:t>
      </w:r>
      <w:proofErr w:type="spellStart"/>
      <w:r w:rsidRPr="006B6651">
        <w:rPr>
          <w:color w:val="000000" w:themeColor="text1"/>
          <w:w w:val="110"/>
          <w:sz w:val="20"/>
          <w:lang w:val="ru-RU"/>
        </w:rPr>
        <w:t>огляду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опублікованої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літератури</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узагальненого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аналізу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економічної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ефективності</w:t>
      </w:r>
      <w:proofErr w:type="spellEnd"/>
      <w:r w:rsidRPr="00FD0682">
        <w:rPr>
          <w:color w:val="000000" w:themeColor="text1"/>
          <w:w w:val="110"/>
          <w:sz w:val="20"/>
          <w:lang w:val="uk-UA"/>
        </w:rPr>
        <w:t xml:space="preserve"> на основі моделювання</w:t>
      </w:r>
      <w:r w:rsidRPr="006B6651">
        <w:rPr>
          <w:color w:val="000000" w:themeColor="text1"/>
          <w:w w:val="110"/>
          <w:sz w:val="20"/>
          <w:lang w:val="ru-RU"/>
        </w:rPr>
        <w:t xml:space="preserve">, </w:t>
      </w:r>
      <w:proofErr w:type="spellStart"/>
      <w:r w:rsidRPr="006B6651">
        <w:rPr>
          <w:color w:val="000000" w:themeColor="text1"/>
          <w:w w:val="110"/>
          <w:sz w:val="20"/>
          <w:lang w:val="ru-RU"/>
        </w:rPr>
        <w:t>замовленого</w:t>
      </w:r>
      <w:proofErr w:type="spellEnd"/>
      <w:r w:rsidRPr="006B6651">
        <w:rPr>
          <w:color w:val="000000" w:themeColor="text1"/>
          <w:w w:val="110"/>
          <w:sz w:val="20"/>
          <w:lang w:val="ru-RU"/>
        </w:rPr>
        <w:t xml:space="preserve"> ВООЗ.</w:t>
      </w:r>
    </w:p>
    <w:p w14:paraId="7C6B89DB" w14:textId="77777777" w:rsidR="00767E2A" w:rsidRPr="006B6651" w:rsidRDefault="00767E2A" w:rsidP="0015544F">
      <w:pPr>
        <w:pStyle w:val="a3"/>
        <w:spacing w:before="173" w:line="276" w:lineRule="auto"/>
        <w:ind w:left="567" w:right="4"/>
        <w:jc w:val="both"/>
        <w:rPr>
          <w:color w:val="000000" w:themeColor="text1"/>
          <w:sz w:val="20"/>
          <w:lang w:val="ru-RU"/>
        </w:rPr>
      </w:pPr>
      <w:proofErr w:type="spellStart"/>
      <w:r w:rsidRPr="006B6651">
        <w:rPr>
          <w:color w:val="000000" w:themeColor="text1"/>
          <w:w w:val="110"/>
          <w:sz w:val="20"/>
          <w:lang w:val="ru-RU"/>
        </w:rPr>
        <w:t>Систематичний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огляд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економічної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ефективності</w:t>
      </w:r>
      <w:proofErr w:type="spellEnd"/>
      <w:r w:rsidRPr="006B6651">
        <w:rPr>
          <w:color w:val="000000" w:themeColor="text1"/>
          <w:w w:val="110"/>
          <w:sz w:val="20"/>
          <w:lang w:val="ru-RU"/>
        </w:rPr>
        <w:t xml:space="preserve"> використання таргетного </w:t>
      </w:r>
      <w:r w:rsidRPr="00FD0682">
        <w:rPr>
          <w:color w:val="000000" w:themeColor="text1"/>
          <w:w w:val="110"/>
          <w:sz w:val="20"/>
          <w:lang w:val="uk-UA"/>
        </w:rPr>
        <w:t>СНП</w:t>
      </w:r>
      <w:r w:rsidRPr="006B6651">
        <w:rPr>
          <w:color w:val="000000" w:themeColor="text1"/>
          <w:w w:val="110"/>
          <w:sz w:val="20"/>
          <w:lang w:val="ru-RU"/>
        </w:rPr>
        <w:t xml:space="preserve"> або ПГС для </w:t>
      </w:r>
      <w:proofErr w:type="spellStart"/>
      <w:r w:rsidRPr="006B6651">
        <w:rPr>
          <w:color w:val="000000" w:themeColor="text1"/>
          <w:w w:val="110"/>
          <w:sz w:val="20"/>
          <w:lang w:val="ru-RU"/>
        </w:rPr>
        <w:t>діагностики</w:t>
      </w:r>
      <w:proofErr w:type="spellEnd"/>
      <w:r w:rsidRPr="006B6651">
        <w:rPr>
          <w:color w:val="000000" w:themeColor="text1"/>
          <w:w w:val="110"/>
          <w:sz w:val="20"/>
          <w:lang w:val="ru-RU"/>
        </w:rPr>
        <w:t xml:space="preserve"> ЛС-ТБ </w:t>
      </w:r>
      <w:r w:rsidRPr="00FD0682">
        <w:rPr>
          <w:color w:val="000000" w:themeColor="text1"/>
          <w:w w:val="110"/>
          <w:sz w:val="20"/>
          <w:lang w:val="uk-UA"/>
        </w:rPr>
        <w:t>включав</w:t>
      </w:r>
      <w:r w:rsidRPr="006B6651">
        <w:rPr>
          <w:color w:val="000000" w:themeColor="text1"/>
          <w:w w:val="110"/>
          <w:sz w:val="20"/>
          <w:lang w:val="ru-RU"/>
        </w:rPr>
        <w:t xml:space="preserve"> </w:t>
      </w:r>
      <w:proofErr w:type="spellStart"/>
      <w:r w:rsidRPr="006B6651">
        <w:rPr>
          <w:color w:val="000000" w:themeColor="text1"/>
          <w:w w:val="110"/>
          <w:sz w:val="20"/>
          <w:lang w:val="ru-RU"/>
        </w:rPr>
        <w:t>пошук</w:t>
      </w:r>
      <w:proofErr w:type="spellEnd"/>
      <w:r w:rsidRPr="006B6651">
        <w:rPr>
          <w:color w:val="000000" w:themeColor="text1"/>
          <w:w w:val="110"/>
          <w:sz w:val="20"/>
          <w:lang w:val="ru-RU"/>
        </w:rPr>
        <w:t xml:space="preserve"> у </w:t>
      </w:r>
      <w:proofErr w:type="spellStart"/>
      <w:r w:rsidRPr="006B6651">
        <w:rPr>
          <w:color w:val="000000" w:themeColor="text1"/>
          <w:w w:val="110"/>
          <w:sz w:val="20"/>
          <w:lang w:val="ru-RU"/>
        </w:rPr>
        <w:t>трьох</w:t>
      </w:r>
      <w:proofErr w:type="spellEnd"/>
      <w:r w:rsidRPr="006B6651">
        <w:rPr>
          <w:color w:val="000000" w:themeColor="text1"/>
          <w:w w:val="110"/>
          <w:sz w:val="20"/>
          <w:lang w:val="ru-RU"/>
        </w:rPr>
        <w:t xml:space="preserve"> базах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 xml:space="preserve">: </w:t>
      </w:r>
      <w:r w:rsidRPr="00FD0682">
        <w:rPr>
          <w:color w:val="000000" w:themeColor="text1"/>
          <w:w w:val="110"/>
          <w:sz w:val="20"/>
        </w:rPr>
        <w:t>PubMed</w:t>
      </w:r>
      <w:r w:rsidRPr="006B6651">
        <w:rPr>
          <w:color w:val="000000" w:themeColor="text1"/>
          <w:w w:val="110"/>
          <w:sz w:val="20"/>
          <w:lang w:val="ru-RU"/>
        </w:rPr>
        <w:t xml:space="preserve">, </w:t>
      </w:r>
      <w:r w:rsidRPr="00FD0682">
        <w:rPr>
          <w:color w:val="000000" w:themeColor="text1"/>
          <w:w w:val="110"/>
          <w:sz w:val="20"/>
        </w:rPr>
        <w:t>Embase</w:t>
      </w:r>
      <w:r w:rsidRPr="006B6651">
        <w:rPr>
          <w:color w:val="000000" w:themeColor="text1"/>
          <w:w w:val="110"/>
          <w:sz w:val="20"/>
          <w:lang w:val="ru-RU"/>
        </w:rPr>
        <w:t xml:space="preserve"> та </w:t>
      </w:r>
      <w:r w:rsidRPr="00FD0682">
        <w:rPr>
          <w:color w:val="000000" w:themeColor="text1"/>
          <w:w w:val="110"/>
          <w:sz w:val="20"/>
        </w:rPr>
        <w:t>Scopus</w:t>
      </w:r>
      <w:r w:rsidRPr="006B6651">
        <w:rPr>
          <w:color w:val="000000" w:themeColor="text1"/>
          <w:w w:val="110"/>
          <w:sz w:val="20"/>
          <w:lang w:val="ru-RU"/>
        </w:rPr>
        <w:t xml:space="preserve">. </w:t>
      </w:r>
      <w:proofErr w:type="spellStart"/>
      <w:r w:rsidRPr="006B6651">
        <w:rPr>
          <w:color w:val="000000" w:themeColor="text1"/>
          <w:w w:val="110"/>
          <w:sz w:val="20"/>
          <w:lang w:val="ru-RU"/>
        </w:rPr>
        <w:t>Пошук</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був</w:t>
      </w:r>
      <w:proofErr w:type="spellEnd"/>
      <w:r w:rsidRPr="006B6651">
        <w:rPr>
          <w:color w:val="000000" w:themeColor="text1"/>
          <w:w w:val="110"/>
          <w:sz w:val="20"/>
          <w:lang w:val="ru-RU"/>
        </w:rPr>
        <w:t xml:space="preserve"> проведений 30 </w:t>
      </w:r>
      <w:proofErr w:type="spellStart"/>
      <w:r w:rsidRPr="006B6651">
        <w:rPr>
          <w:color w:val="000000" w:themeColor="text1"/>
          <w:w w:val="110"/>
          <w:sz w:val="20"/>
          <w:lang w:val="ru-RU"/>
        </w:rPr>
        <w:t>жовтня</w:t>
      </w:r>
      <w:proofErr w:type="spellEnd"/>
      <w:r w:rsidRPr="006B6651">
        <w:rPr>
          <w:color w:val="000000" w:themeColor="text1"/>
          <w:w w:val="110"/>
          <w:sz w:val="20"/>
          <w:lang w:val="ru-RU"/>
        </w:rPr>
        <w:t xml:space="preserve"> 2022 року і не мав </w:t>
      </w:r>
      <w:proofErr w:type="spellStart"/>
      <w:r w:rsidRPr="006B6651">
        <w:rPr>
          <w:color w:val="000000" w:themeColor="text1"/>
          <w:w w:val="110"/>
          <w:sz w:val="20"/>
          <w:lang w:val="ru-RU"/>
        </w:rPr>
        <w:t>часових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обмежень</w:t>
      </w:r>
      <w:proofErr w:type="spellEnd"/>
      <w:r w:rsidRPr="006B6651">
        <w:rPr>
          <w:color w:val="000000" w:themeColor="text1"/>
          <w:w w:val="110"/>
          <w:sz w:val="20"/>
          <w:lang w:val="ru-RU"/>
        </w:rPr>
        <w:t>.</w:t>
      </w:r>
      <w:r w:rsidRPr="00FD0682">
        <w:rPr>
          <w:color w:val="000000" w:themeColor="text1"/>
          <w:w w:val="110"/>
          <w:sz w:val="20"/>
          <w:lang w:val="uk-UA"/>
        </w:rPr>
        <w:t xml:space="preserve"> </w:t>
      </w:r>
      <w:proofErr w:type="spellStart"/>
      <w:r w:rsidRPr="006B6651">
        <w:rPr>
          <w:color w:val="000000" w:themeColor="text1"/>
          <w:w w:val="110"/>
          <w:sz w:val="20"/>
          <w:lang w:val="ru-RU"/>
        </w:rPr>
        <w:t>Усі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дані</w:t>
      </w:r>
      <w:proofErr w:type="spellEnd"/>
      <w:r w:rsidRPr="006B6651">
        <w:rPr>
          <w:color w:val="000000" w:themeColor="text1"/>
          <w:w w:val="110"/>
          <w:sz w:val="20"/>
          <w:lang w:val="ru-RU"/>
        </w:rPr>
        <w:t xml:space="preserve"> про </w:t>
      </w:r>
      <w:proofErr w:type="spellStart"/>
      <w:r w:rsidRPr="006B6651">
        <w:rPr>
          <w:color w:val="000000" w:themeColor="text1"/>
          <w:w w:val="110"/>
          <w:sz w:val="20"/>
          <w:lang w:val="ru-RU"/>
        </w:rPr>
        <w:t>витрати</w:t>
      </w:r>
      <w:proofErr w:type="spellEnd"/>
      <w:r w:rsidRPr="006B6651">
        <w:rPr>
          <w:color w:val="000000" w:themeColor="text1"/>
          <w:w w:val="110"/>
          <w:sz w:val="20"/>
          <w:lang w:val="ru-RU"/>
        </w:rPr>
        <w:t xml:space="preserve"> були </w:t>
      </w:r>
      <w:proofErr w:type="spellStart"/>
      <w:r w:rsidRPr="006B6651">
        <w:rPr>
          <w:color w:val="000000" w:themeColor="text1"/>
          <w:w w:val="110"/>
          <w:sz w:val="20"/>
          <w:lang w:val="ru-RU"/>
        </w:rPr>
        <w:t>скориговані</w:t>
      </w:r>
      <w:proofErr w:type="spellEnd"/>
      <w:r w:rsidRPr="006B6651">
        <w:rPr>
          <w:color w:val="000000" w:themeColor="text1"/>
          <w:w w:val="110"/>
          <w:sz w:val="20"/>
          <w:lang w:val="ru-RU"/>
        </w:rPr>
        <w:t xml:space="preserve"> </w:t>
      </w:r>
      <w:r w:rsidRPr="00FD0682">
        <w:rPr>
          <w:color w:val="000000" w:themeColor="text1"/>
          <w:w w:val="110"/>
          <w:sz w:val="20"/>
          <w:lang w:val="uk-UA"/>
        </w:rPr>
        <w:t xml:space="preserve">з урахуванням </w:t>
      </w:r>
      <w:r w:rsidRPr="00754D8B">
        <w:rPr>
          <w:color w:val="000000" w:themeColor="text1"/>
          <w:w w:val="110"/>
          <w:sz w:val="20"/>
          <w:lang w:val="uk-UA"/>
        </w:rPr>
        <w:t>інфляції</w:t>
      </w:r>
      <w:r w:rsidRPr="006B6651">
        <w:rPr>
          <w:color w:val="000000" w:themeColor="text1"/>
          <w:w w:val="110"/>
          <w:sz w:val="20"/>
          <w:lang w:val="ru-RU"/>
        </w:rPr>
        <w:t xml:space="preserve"> </w:t>
      </w:r>
      <w:r w:rsidRPr="00754D8B">
        <w:rPr>
          <w:color w:val="000000" w:themeColor="text1"/>
          <w:w w:val="110"/>
          <w:sz w:val="20"/>
          <w:lang w:val="uk-UA"/>
        </w:rPr>
        <w:t>та подані в</w:t>
      </w:r>
      <w:r>
        <w:rPr>
          <w:color w:val="000000" w:themeColor="text1"/>
          <w:w w:val="110"/>
          <w:sz w:val="20"/>
          <w:lang w:val="uk-UA"/>
        </w:rPr>
        <w:t xml:space="preserve"> </w:t>
      </w:r>
      <w:proofErr w:type="spellStart"/>
      <w:r w:rsidRPr="006B6651">
        <w:rPr>
          <w:color w:val="000000" w:themeColor="text1"/>
          <w:w w:val="110"/>
          <w:sz w:val="20"/>
          <w:lang w:val="ru-RU"/>
        </w:rPr>
        <w:t>долар</w:t>
      </w:r>
      <w:proofErr w:type="spellEnd"/>
      <w:r w:rsidRPr="00754D8B">
        <w:rPr>
          <w:color w:val="000000" w:themeColor="text1"/>
          <w:w w:val="110"/>
          <w:sz w:val="20"/>
          <w:lang w:val="uk-UA"/>
        </w:rPr>
        <w:t>ах</w:t>
      </w:r>
      <w:r w:rsidRPr="006B6651">
        <w:rPr>
          <w:color w:val="000000" w:themeColor="text1"/>
          <w:w w:val="110"/>
          <w:sz w:val="20"/>
          <w:lang w:val="ru-RU"/>
        </w:rPr>
        <w:t xml:space="preserve"> США 2021 року. </w:t>
      </w:r>
      <w:proofErr w:type="spellStart"/>
      <w:r w:rsidRPr="006B6651">
        <w:rPr>
          <w:color w:val="000000" w:themeColor="text1"/>
          <w:w w:val="110"/>
          <w:sz w:val="20"/>
          <w:lang w:val="ru-RU"/>
        </w:rPr>
        <w:t>Результати</w:t>
      </w:r>
      <w:proofErr w:type="spellEnd"/>
      <w:r w:rsidRPr="006B6651">
        <w:rPr>
          <w:color w:val="000000" w:themeColor="text1"/>
          <w:w w:val="110"/>
          <w:sz w:val="20"/>
          <w:lang w:val="ru-RU"/>
        </w:rPr>
        <w:t xml:space="preserve"> були </w:t>
      </w:r>
      <w:proofErr w:type="spellStart"/>
      <w:r w:rsidRPr="006B6651">
        <w:rPr>
          <w:color w:val="000000" w:themeColor="text1"/>
          <w:w w:val="110"/>
          <w:sz w:val="20"/>
          <w:lang w:val="ru-RU"/>
        </w:rPr>
        <w:t>узагальнені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описово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враховуючи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значну</w:t>
      </w:r>
      <w:proofErr w:type="spellEnd"/>
      <w:r w:rsidRPr="006B6651">
        <w:rPr>
          <w:color w:val="000000" w:themeColor="text1"/>
          <w:w w:val="110"/>
          <w:sz w:val="20"/>
          <w:lang w:val="ru-RU"/>
        </w:rPr>
        <w:t xml:space="preserve"> </w:t>
      </w:r>
      <w:r w:rsidRPr="00FD0682">
        <w:rPr>
          <w:color w:val="000000" w:themeColor="text1"/>
          <w:w w:val="110"/>
          <w:sz w:val="20"/>
          <w:lang w:val="uk-UA"/>
        </w:rPr>
        <w:t>неоднорідність</w:t>
      </w:r>
      <w:r w:rsidRPr="006B6651">
        <w:rPr>
          <w:color w:val="000000" w:themeColor="text1"/>
          <w:w w:val="110"/>
          <w:sz w:val="20"/>
          <w:lang w:val="ru-RU"/>
        </w:rPr>
        <w:t xml:space="preserve"> у </w:t>
      </w:r>
      <w:proofErr w:type="spellStart"/>
      <w:r w:rsidRPr="006B6651">
        <w:rPr>
          <w:color w:val="000000" w:themeColor="text1"/>
          <w:w w:val="110"/>
          <w:sz w:val="20"/>
          <w:lang w:val="ru-RU"/>
        </w:rPr>
        <w:t>методології</w:t>
      </w:r>
      <w:proofErr w:type="spellEnd"/>
      <w:r w:rsidRPr="006B6651">
        <w:rPr>
          <w:color w:val="000000" w:themeColor="text1"/>
          <w:w w:val="110"/>
          <w:sz w:val="20"/>
          <w:lang w:val="ru-RU"/>
        </w:rPr>
        <w:t xml:space="preserve"> та результатах </w:t>
      </w:r>
      <w:proofErr w:type="spellStart"/>
      <w:r w:rsidRPr="006B6651">
        <w:rPr>
          <w:color w:val="000000" w:themeColor="text1"/>
          <w:w w:val="110"/>
          <w:sz w:val="20"/>
          <w:lang w:val="ru-RU"/>
        </w:rPr>
        <w:t>досліджень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Серед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досліджень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включених</w:t>
      </w:r>
      <w:proofErr w:type="spellEnd"/>
      <w:r w:rsidRPr="006B6651">
        <w:rPr>
          <w:color w:val="000000" w:themeColor="text1"/>
          <w:w w:val="110"/>
          <w:sz w:val="20"/>
          <w:lang w:val="ru-RU"/>
        </w:rPr>
        <w:t xml:space="preserve"> до систематичного </w:t>
      </w:r>
      <w:proofErr w:type="spellStart"/>
      <w:r w:rsidRPr="006B6651">
        <w:rPr>
          <w:color w:val="000000" w:themeColor="text1"/>
          <w:w w:val="110"/>
          <w:sz w:val="20"/>
          <w:lang w:val="ru-RU"/>
        </w:rPr>
        <w:t>огляду</w:t>
      </w:r>
      <w:proofErr w:type="spellEnd"/>
      <w:r w:rsidRPr="006B6651">
        <w:rPr>
          <w:color w:val="000000" w:themeColor="text1"/>
          <w:w w:val="110"/>
          <w:sz w:val="20"/>
          <w:lang w:val="ru-RU"/>
        </w:rPr>
        <w:t xml:space="preserve">, три </w:t>
      </w:r>
      <w:proofErr w:type="spellStart"/>
      <w:r w:rsidRPr="006B6651">
        <w:rPr>
          <w:color w:val="000000" w:themeColor="text1"/>
          <w:w w:val="110"/>
          <w:sz w:val="20"/>
          <w:lang w:val="ru-RU"/>
        </w:rPr>
        <w:t>стосувалися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лише</w:t>
      </w:r>
      <w:proofErr w:type="spellEnd"/>
      <w:r w:rsidRPr="006B6651">
        <w:rPr>
          <w:color w:val="000000" w:themeColor="text1"/>
          <w:w w:val="110"/>
          <w:sz w:val="20"/>
          <w:lang w:val="ru-RU"/>
        </w:rPr>
        <w:t xml:space="preserve"> таргетного </w:t>
      </w:r>
      <w:r w:rsidRPr="00FD0682">
        <w:rPr>
          <w:color w:val="000000" w:themeColor="text1"/>
          <w:w w:val="110"/>
          <w:sz w:val="20"/>
          <w:lang w:val="uk-UA"/>
        </w:rPr>
        <w:t>СНП</w:t>
      </w:r>
      <w:r w:rsidRPr="006B6651">
        <w:rPr>
          <w:color w:val="000000" w:themeColor="text1"/>
          <w:w w:val="110"/>
          <w:sz w:val="20"/>
          <w:lang w:val="ru-RU"/>
        </w:rPr>
        <w:t xml:space="preserve">, три – таргетного </w:t>
      </w:r>
      <w:r w:rsidRPr="00FD0682">
        <w:rPr>
          <w:color w:val="000000" w:themeColor="text1"/>
          <w:w w:val="110"/>
          <w:sz w:val="20"/>
          <w:lang w:val="uk-UA"/>
        </w:rPr>
        <w:t>СНП</w:t>
      </w:r>
      <w:r w:rsidRPr="006B6651">
        <w:rPr>
          <w:color w:val="000000" w:themeColor="text1"/>
          <w:w w:val="110"/>
          <w:sz w:val="20"/>
          <w:lang w:val="ru-RU"/>
        </w:rPr>
        <w:t xml:space="preserve"> та ПГС, і </w:t>
      </w:r>
      <w:proofErr w:type="spellStart"/>
      <w:r w:rsidRPr="006B6651">
        <w:rPr>
          <w:color w:val="000000" w:themeColor="text1"/>
          <w:w w:val="110"/>
          <w:sz w:val="20"/>
          <w:lang w:val="ru-RU"/>
        </w:rPr>
        <w:t>чотири</w:t>
      </w:r>
      <w:proofErr w:type="spellEnd"/>
      <w:r w:rsidRPr="006B6651">
        <w:rPr>
          <w:color w:val="000000" w:themeColor="text1"/>
          <w:w w:val="110"/>
          <w:sz w:val="20"/>
          <w:lang w:val="ru-RU"/>
        </w:rPr>
        <w:t xml:space="preserve"> – </w:t>
      </w:r>
      <w:proofErr w:type="spellStart"/>
      <w:r w:rsidRPr="006B6651">
        <w:rPr>
          <w:color w:val="000000" w:themeColor="text1"/>
          <w:w w:val="110"/>
          <w:sz w:val="20"/>
          <w:lang w:val="ru-RU"/>
        </w:rPr>
        <w:t>лише</w:t>
      </w:r>
      <w:proofErr w:type="spellEnd"/>
      <w:r w:rsidRPr="006B6651">
        <w:rPr>
          <w:color w:val="000000" w:themeColor="text1"/>
          <w:w w:val="110"/>
          <w:sz w:val="20"/>
          <w:lang w:val="ru-RU"/>
        </w:rPr>
        <w:t xml:space="preserve"> ПГС. </w:t>
      </w:r>
      <w:r w:rsidRPr="00FD0682">
        <w:rPr>
          <w:color w:val="000000" w:themeColor="text1"/>
          <w:w w:val="110"/>
          <w:sz w:val="20"/>
          <w:lang w:val="uk-UA"/>
        </w:rPr>
        <w:t>Згідно з одним дослідженням</w:t>
      </w:r>
      <w:r w:rsidRPr="006B6651">
        <w:rPr>
          <w:color w:val="000000" w:themeColor="text1"/>
          <w:w w:val="110"/>
          <w:sz w:val="20"/>
          <w:lang w:val="ru-RU"/>
        </w:rPr>
        <w:t xml:space="preserve"> (</w:t>
      </w:r>
      <w:r w:rsidRPr="00FD0682">
        <w:rPr>
          <w:color w:val="000000" w:themeColor="text1"/>
          <w:w w:val="110"/>
          <w:sz w:val="20"/>
        </w:rPr>
        <w:t>n</w:t>
      </w:r>
      <w:r w:rsidRPr="006B6651">
        <w:rPr>
          <w:color w:val="000000" w:themeColor="text1"/>
          <w:w w:val="110"/>
          <w:sz w:val="20"/>
          <w:lang w:val="ru-RU"/>
        </w:rPr>
        <w:t>=1)</w:t>
      </w:r>
      <w:r w:rsidRPr="00FD0682">
        <w:rPr>
          <w:color w:val="000000" w:themeColor="text1"/>
          <w:w w:val="110"/>
          <w:sz w:val="20"/>
          <w:lang w:val="uk-UA"/>
        </w:rPr>
        <w:t>, д</w:t>
      </w:r>
      <w:r w:rsidRPr="006B6651">
        <w:rPr>
          <w:color w:val="000000" w:themeColor="text1"/>
          <w:w w:val="110"/>
          <w:sz w:val="20"/>
          <w:lang w:val="ru-RU"/>
        </w:rPr>
        <w:t xml:space="preserve">ля таргетного </w:t>
      </w:r>
      <w:r w:rsidRPr="00FD0682">
        <w:rPr>
          <w:color w:val="000000" w:themeColor="text1"/>
          <w:w w:val="110"/>
          <w:sz w:val="20"/>
          <w:lang w:val="uk-UA"/>
        </w:rPr>
        <w:t>СНП</w:t>
      </w:r>
      <w:r w:rsidRPr="006B6651">
        <w:rPr>
          <w:color w:val="000000" w:themeColor="text1"/>
          <w:w w:val="110"/>
          <w:sz w:val="20"/>
          <w:lang w:val="ru-RU"/>
        </w:rPr>
        <w:t xml:space="preserve"> </w:t>
      </w:r>
      <w:proofErr w:type="spellStart"/>
      <w:r w:rsidRPr="006B6651">
        <w:rPr>
          <w:color w:val="000000" w:themeColor="text1"/>
          <w:w w:val="110"/>
          <w:sz w:val="20"/>
          <w:lang w:val="ru-RU"/>
        </w:rPr>
        <w:t>вартість</w:t>
      </w:r>
      <w:proofErr w:type="spellEnd"/>
      <w:r w:rsidRPr="006B6651">
        <w:rPr>
          <w:color w:val="000000" w:themeColor="text1"/>
          <w:w w:val="110"/>
          <w:sz w:val="20"/>
          <w:lang w:val="ru-RU"/>
        </w:rPr>
        <w:t xml:space="preserve"> </w:t>
      </w:r>
      <w:r w:rsidRPr="00FD0682">
        <w:rPr>
          <w:color w:val="000000" w:themeColor="text1"/>
          <w:w w:val="110"/>
          <w:sz w:val="20"/>
          <w:lang w:val="uk-UA"/>
        </w:rPr>
        <w:t xml:space="preserve">за один зразок </w:t>
      </w:r>
      <w:r w:rsidRPr="006B6651">
        <w:rPr>
          <w:color w:val="000000" w:themeColor="text1"/>
          <w:w w:val="110"/>
          <w:sz w:val="20"/>
          <w:lang w:val="ru-RU"/>
        </w:rPr>
        <w:t xml:space="preserve">становила </w:t>
      </w:r>
      <w:proofErr w:type="spellStart"/>
      <w:r w:rsidRPr="006B6651">
        <w:rPr>
          <w:color w:val="000000" w:themeColor="text1"/>
          <w:w w:val="110"/>
          <w:sz w:val="20"/>
          <w:lang w:val="ru-RU"/>
        </w:rPr>
        <w:t>від</w:t>
      </w:r>
      <w:proofErr w:type="spellEnd"/>
      <w:r w:rsidRPr="006B6651">
        <w:rPr>
          <w:color w:val="000000" w:themeColor="text1"/>
          <w:w w:val="110"/>
          <w:sz w:val="20"/>
          <w:lang w:val="ru-RU"/>
        </w:rPr>
        <w:t xml:space="preserve"> 69,64 дол. США </w:t>
      </w:r>
      <w:r w:rsidRPr="00FD0682">
        <w:rPr>
          <w:color w:val="000000" w:themeColor="text1"/>
          <w:w w:val="110"/>
          <w:sz w:val="20"/>
          <w:lang w:val="uk-UA"/>
        </w:rPr>
        <w:t>при використанні</w:t>
      </w:r>
      <w:r w:rsidRPr="006B6651">
        <w:rPr>
          <w:color w:val="000000" w:themeColor="text1"/>
          <w:w w:val="110"/>
          <w:sz w:val="20"/>
          <w:lang w:val="ru-RU"/>
        </w:rPr>
        <w:t xml:space="preserve"> </w:t>
      </w:r>
      <w:r w:rsidRPr="00FD0682">
        <w:rPr>
          <w:color w:val="000000" w:themeColor="text1"/>
          <w:w w:val="110"/>
          <w:sz w:val="20"/>
        </w:rPr>
        <w:t>Illumina</w:t>
      </w:r>
      <w:r w:rsidRPr="006B6651">
        <w:rPr>
          <w:color w:val="000000" w:themeColor="text1"/>
          <w:w w:val="110"/>
          <w:sz w:val="20"/>
          <w:lang w:val="ru-RU"/>
        </w:rPr>
        <w:t xml:space="preserve"> </w:t>
      </w:r>
      <w:proofErr w:type="spellStart"/>
      <w:r w:rsidRPr="00FD0682">
        <w:rPr>
          <w:color w:val="000000" w:themeColor="text1"/>
          <w:w w:val="110"/>
          <w:sz w:val="20"/>
        </w:rPr>
        <w:t>MiSeq</w:t>
      </w:r>
      <w:proofErr w:type="spellEnd"/>
      <w:r w:rsidRPr="006B6651">
        <w:rPr>
          <w:color w:val="000000" w:themeColor="text1"/>
          <w:w w:val="110"/>
          <w:sz w:val="20"/>
          <w:lang w:val="ru-RU"/>
        </w:rPr>
        <w:t xml:space="preserve"> </w:t>
      </w:r>
      <w:r w:rsidRPr="00FD0682">
        <w:rPr>
          <w:color w:val="000000" w:themeColor="text1"/>
          <w:w w:val="110"/>
          <w:sz w:val="20"/>
          <w:lang w:val="uk-UA"/>
        </w:rPr>
        <w:t>та</w:t>
      </w:r>
      <w:r w:rsidRPr="006B6651">
        <w:rPr>
          <w:color w:val="000000" w:themeColor="text1"/>
          <w:w w:val="110"/>
          <w:sz w:val="20"/>
          <w:lang w:val="ru-RU"/>
        </w:rPr>
        <w:t xml:space="preserve"> </w:t>
      </w:r>
      <w:proofErr w:type="spellStart"/>
      <w:r w:rsidRPr="006B6651">
        <w:rPr>
          <w:color w:val="000000" w:themeColor="text1"/>
          <w:w w:val="110"/>
          <w:sz w:val="20"/>
          <w:lang w:val="ru-RU"/>
        </w:rPr>
        <w:t>аналізі</w:t>
      </w:r>
      <w:proofErr w:type="spellEnd"/>
      <w:r w:rsidRPr="006B6651">
        <w:rPr>
          <w:color w:val="000000" w:themeColor="text1"/>
          <w:w w:val="110"/>
          <w:sz w:val="20"/>
          <w:lang w:val="ru-RU"/>
        </w:rPr>
        <w:t xml:space="preserve"> 24 </w:t>
      </w:r>
      <w:proofErr w:type="spellStart"/>
      <w:r w:rsidRPr="006B6651">
        <w:rPr>
          <w:color w:val="000000" w:themeColor="text1"/>
          <w:w w:val="110"/>
          <w:sz w:val="20"/>
          <w:lang w:val="ru-RU"/>
        </w:rPr>
        <w:t>зразків</w:t>
      </w:r>
      <w:proofErr w:type="spellEnd"/>
      <w:r w:rsidRPr="006B6651">
        <w:rPr>
          <w:color w:val="000000" w:themeColor="text1"/>
          <w:w w:val="110"/>
          <w:sz w:val="20"/>
          <w:lang w:val="ru-RU"/>
        </w:rPr>
        <w:t xml:space="preserve"> до 73,47 дол. США </w:t>
      </w:r>
      <w:r w:rsidRPr="00FD0682">
        <w:rPr>
          <w:color w:val="000000" w:themeColor="text1"/>
          <w:w w:val="110"/>
          <w:sz w:val="20"/>
          <w:lang w:val="uk-UA"/>
        </w:rPr>
        <w:t>при використанні</w:t>
      </w:r>
      <w:r w:rsidRPr="006B6651">
        <w:rPr>
          <w:color w:val="000000" w:themeColor="text1"/>
          <w:w w:val="110"/>
          <w:sz w:val="20"/>
          <w:lang w:val="ru-RU"/>
        </w:rPr>
        <w:t xml:space="preserve"> </w:t>
      </w:r>
      <w:r w:rsidRPr="00FD0682">
        <w:rPr>
          <w:color w:val="000000" w:themeColor="text1"/>
          <w:w w:val="110"/>
          <w:sz w:val="20"/>
        </w:rPr>
        <w:t>Nanopore</w:t>
      </w:r>
      <w:r w:rsidRPr="006B6651">
        <w:rPr>
          <w:color w:val="000000" w:themeColor="text1"/>
          <w:w w:val="110"/>
          <w:sz w:val="20"/>
          <w:lang w:val="ru-RU"/>
        </w:rPr>
        <w:t xml:space="preserve"> </w:t>
      </w:r>
      <w:proofErr w:type="spellStart"/>
      <w:r w:rsidRPr="00FD0682">
        <w:rPr>
          <w:color w:val="000000" w:themeColor="text1"/>
          <w:w w:val="110"/>
          <w:sz w:val="20"/>
        </w:rPr>
        <w:t>MinION</w:t>
      </w:r>
      <w:proofErr w:type="spellEnd"/>
      <w:r w:rsidRPr="006B6651">
        <w:rPr>
          <w:color w:val="000000" w:themeColor="text1"/>
          <w:w w:val="110"/>
          <w:sz w:val="20"/>
          <w:lang w:val="ru-RU"/>
        </w:rPr>
        <w:t xml:space="preserve"> </w:t>
      </w:r>
      <w:r w:rsidRPr="00FD0682">
        <w:rPr>
          <w:color w:val="000000" w:themeColor="text1"/>
          <w:w w:val="110"/>
          <w:sz w:val="20"/>
          <w:lang w:val="uk-UA"/>
        </w:rPr>
        <w:t>та</w:t>
      </w:r>
      <w:r w:rsidRPr="006B6651">
        <w:rPr>
          <w:color w:val="000000" w:themeColor="text1"/>
          <w:w w:val="110"/>
          <w:sz w:val="20"/>
          <w:lang w:val="ru-RU"/>
        </w:rPr>
        <w:t xml:space="preserve"> </w:t>
      </w:r>
      <w:proofErr w:type="spellStart"/>
      <w:r w:rsidRPr="006B6651">
        <w:rPr>
          <w:color w:val="000000" w:themeColor="text1"/>
          <w:w w:val="110"/>
          <w:sz w:val="20"/>
          <w:lang w:val="ru-RU"/>
        </w:rPr>
        <w:t>аналізі</w:t>
      </w:r>
      <w:proofErr w:type="spellEnd"/>
      <w:r w:rsidRPr="006B6651">
        <w:rPr>
          <w:color w:val="000000" w:themeColor="text1"/>
          <w:w w:val="110"/>
          <w:sz w:val="20"/>
          <w:lang w:val="ru-RU"/>
        </w:rPr>
        <w:t xml:space="preserve"> 12 </w:t>
      </w:r>
      <w:proofErr w:type="spellStart"/>
      <w:r w:rsidRPr="006B6651">
        <w:rPr>
          <w:color w:val="000000" w:themeColor="text1"/>
          <w:w w:val="110"/>
          <w:sz w:val="20"/>
          <w:lang w:val="ru-RU"/>
        </w:rPr>
        <w:t>зразків</w:t>
      </w:r>
      <w:proofErr w:type="spellEnd"/>
      <w:r w:rsidRPr="00FD0682">
        <w:rPr>
          <w:color w:val="000000" w:themeColor="text1"/>
          <w:w w:val="110"/>
          <w:sz w:val="20"/>
          <w:lang w:val="uk-UA"/>
        </w:rPr>
        <w:t>. О</w:t>
      </w:r>
      <w:proofErr w:type="spellStart"/>
      <w:r w:rsidRPr="006B6651">
        <w:rPr>
          <w:color w:val="000000" w:themeColor="text1"/>
          <w:w w:val="110"/>
          <w:sz w:val="20"/>
          <w:lang w:val="ru-RU"/>
        </w:rPr>
        <w:t>днак</w:t>
      </w:r>
      <w:proofErr w:type="spellEnd"/>
      <w:r w:rsidRPr="006B6651">
        <w:rPr>
          <w:color w:val="000000" w:themeColor="text1"/>
          <w:w w:val="110"/>
          <w:sz w:val="20"/>
          <w:lang w:val="ru-RU"/>
        </w:rPr>
        <w:t xml:space="preserve"> ц</w:t>
      </w:r>
      <w:r w:rsidRPr="00FD0682">
        <w:rPr>
          <w:color w:val="000000" w:themeColor="text1"/>
          <w:w w:val="110"/>
          <w:sz w:val="20"/>
          <w:lang w:val="uk-UA"/>
        </w:rPr>
        <w:t>і</w:t>
      </w:r>
      <w:r w:rsidRPr="006B6651">
        <w:rPr>
          <w:color w:val="000000" w:themeColor="text1"/>
          <w:w w:val="110"/>
          <w:sz w:val="20"/>
          <w:lang w:val="ru-RU"/>
        </w:rPr>
        <w:t xml:space="preserve"> </w:t>
      </w:r>
      <w:r w:rsidRPr="00FD0682">
        <w:rPr>
          <w:color w:val="000000" w:themeColor="text1"/>
          <w:w w:val="110"/>
          <w:sz w:val="20"/>
          <w:lang w:val="uk-UA"/>
        </w:rPr>
        <w:t>розрахунки</w:t>
      </w:r>
      <w:r w:rsidRPr="006B6651">
        <w:rPr>
          <w:color w:val="000000" w:themeColor="text1"/>
          <w:w w:val="110"/>
          <w:sz w:val="20"/>
          <w:lang w:val="ru-RU"/>
        </w:rPr>
        <w:t xml:space="preserve"> </w:t>
      </w:r>
      <w:proofErr w:type="spellStart"/>
      <w:r w:rsidRPr="006B6651">
        <w:rPr>
          <w:color w:val="000000" w:themeColor="text1"/>
          <w:w w:val="110"/>
          <w:sz w:val="20"/>
          <w:lang w:val="ru-RU"/>
        </w:rPr>
        <w:t>обмежувал</w:t>
      </w:r>
      <w:proofErr w:type="spellEnd"/>
      <w:r w:rsidRPr="00FD0682">
        <w:rPr>
          <w:color w:val="000000" w:themeColor="text1"/>
          <w:w w:val="110"/>
          <w:sz w:val="20"/>
          <w:lang w:val="uk-UA"/>
        </w:rPr>
        <w:t>и</w:t>
      </w:r>
      <w:proofErr w:type="spellStart"/>
      <w:r w:rsidRPr="006B6651">
        <w:rPr>
          <w:color w:val="000000" w:themeColor="text1"/>
          <w:w w:val="110"/>
          <w:sz w:val="20"/>
          <w:lang w:val="ru-RU"/>
        </w:rPr>
        <w:t>ся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лише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деякими</w:t>
      </w:r>
      <w:proofErr w:type="spellEnd"/>
      <w:r w:rsidRPr="006B6651">
        <w:rPr>
          <w:color w:val="000000" w:themeColor="text1"/>
          <w:w w:val="110"/>
          <w:sz w:val="20"/>
          <w:lang w:val="ru-RU"/>
        </w:rPr>
        <w:t xml:space="preserve"> компонентами і не включал</w:t>
      </w:r>
      <w:r w:rsidRPr="00FD0682">
        <w:rPr>
          <w:color w:val="000000" w:themeColor="text1"/>
          <w:w w:val="110"/>
          <w:sz w:val="20"/>
          <w:lang w:val="uk-UA"/>
        </w:rPr>
        <w:t>и</w:t>
      </w:r>
      <w:r w:rsidRPr="006B6651">
        <w:rPr>
          <w:color w:val="000000" w:themeColor="text1"/>
          <w:w w:val="110"/>
          <w:sz w:val="20"/>
          <w:lang w:val="ru-RU"/>
        </w:rPr>
        <w:t xml:space="preserve"> </w:t>
      </w:r>
      <w:proofErr w:type="spellStart"/>
      <w:r w:rsidRPr="006B6651">
        <w:rPr>
          <w:color w:val="000000" w:themeColor="text1"/>
          <w:w w:val="110"/>
          <w:sz w:val="20"/>
          <w:lang w:val="ru-RU"/>
        </w:rPr>
        <w:t>витрати</w:t>
      </w:r>
      <w:proofErr w:type="spellEnd"/>
      <w:r w:rsidRPr="006B6651">
        <w:rPr>
          <w:color w:val="000000" w:themeColor="text1"/>
          <w:w w:val="110"/>
          <w:sz w:val="20"/>
          <w:lang w:val="ru-RU"/>
        </w:rPr>
        <w:t xml:space="preserve"> на персонал або </w:t>
      </w:r>
      <w:proofErr w:type="spellStart"/>
      <w:r w:rsidRPr="006B6651">
        <w:rPr>
          <w:color w:val="000000" w:themeColor="text1"/>
          <w:w w:val="110"/>
          <w:sz w:val="20"/>
          <w:lang w:val="ru-RU"/>
        </w:rPr>
        <w:t>накладні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витрати</w:t>
      </w:r>
      <w:proofErr w:type="spellEnd"/>
      <w:r w:rsidRPr="006B6651">
        <w:rPr>
          <w:color w:val="000000" w:themeColor="text1"/>
          <w:w w:val="110"/>
          <w:sz w:val="20"/>
          <w:lang w:val="ru-RU"/>
        </w:rPr>
        <w:t>.</w:t>
      </w:r>
      <w:r w:rsidRPr="00FD0682">
        <w:rPr>
          <w:color w:val="000000" w:themeColor="text1"/>
          <w:w w:val="110"/>
          <w:sz w:val="20"/>
          <w:lang w:val="uk-UA"/>
        </w:rPr>
        <w:t xml:space="preserve"> </w:t>
      </w:r>
      <w:r w:rsidRPr="006B6651">
        <w:rPr>
          <w:color w:val="000000" w:themeColor="text1"/>
          <w:w w:val="110"/>
          <w:sz w:val="20"/>
          <w:lang w:val="ru-RU"/>
        </w:rPr>
        <w:t>Для ПГС (</w:t>
      </w:r>
      <w:r w:rsidRPr="00FD0682">
        <w:rPr>
          <w:color w:val="000000" w:themeColor="text1"/>
          <w:w w:val="110"/>
          <w:sz w:val="20"/>
        </w:rPr>
        <w:t>n</w:t>
      </w:r>
      <w:r w:rsidRPr="006B6651">
        <w:rPr>
          <w:color w:val="000000" w:themeColor="text1"/>
          <w:w w:val="110"/>
          <w:sz w:val="20"/>
          <w:lang w:val="ru-RU"/>
        </w:rPr>
        <w:t xml:space="preserve">=5) </w:t>
      </w:r>
      <w:proofErr w:type="spellStart"/>
      <w:r w:rsidRPr="006B6651">
        <w:rPr>
          <w:color w:val="000000" w:themeColor="text1"/>
          <w:w w:val="110"/>
          <w:sz w:val="20"/>
          <w:lang w:val="ru-RU"/>
        </w:rPr>
        <w:t>вартість</w:t>
      </w:r>
      <w:proofErr w:type="spellEnd"/>
      <w:r w:rsidRPr="00FD0682">
        <w:rPr>
          <w:color w:val="000000" w:themeColor="text1"/>
          <w:w w:val="110"/>
          <w:sz w:val="20"/>
          <w:lang w:val="uk-UA"/>
        </w:rPr>
        <w:t xml:space="preserve"> за</w:t>
      </w:r>
      <w:r w:rsidRPr="006B6651">
        <w:rPr>
          <w:color w:val="000000" w:themeColor="text1"/>
          <w:w w:val="110"/>
          <w:sz w:val="20"/>
          <w:lang w:val="ru-RU"/>
        </w:rPr>
        <w:t xml:space="preserve"> од</w:t>
      </w:r>
      <w:proofErr w:type="spellStart"/>
      <w:r w:rsidRPr="00FD0682">
        <w:rPr>
          <w:color w:val="000000" w:themeColor="text1"/>
          <w:w w:val="110"/>
          <w:sz w:val="20"/>
          <w:lang w:val="uk-UA"/>
        </w:rPr>
        <w:t>ин</w:t>
      </w:r>
      <w:proofErr w:type="spellEnd"/>
      <w:r w:rsidRPr="006B6651">
        <w:rPr>
          <w:color w:val="000000" w:themeColor="text1"/>
          <w:w w:val="110"/>
          <w:sz w:val="20"/>
          <w:lang w:val="ru-RU"/>
        </w:rPr>
        <w:t xml:space="preserve"> зраз</w:t>
      </w:r>
      <w:proofErr w:type="spellStart"/>
      <w:r w:rsidRPr="00FD0682">
        <w:rPr>
          <w:color w:val="000000" w:themeColor="text1"/>
          <w:w w:val="110"/>
          <w:sz w:val="20"/>
          <w:lang w:val="uk-UA"/>
        </w:rPr>
        <w:t>ок</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коливалася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від</w:t>
      </w:r>
      <w:proofErr w:type="spellEnd"/>
      <w:r w:rsidRPr="006B6651">
        <w:rPr>
          <w:color w:val="000000" w:themeColor="text1"/>
          <w:w w:val="110"/>
          <w:sz w:val="20"/>
          <w:lang w:val="ru-RU"/>
        </w:rPr>
        <w:t xml:space="preserve"> 63,00 дол. США </w:t>
      </w:r>
      <w:r w:rsidRPr="00FD0682">
        <w:rPr>
          <w:color w:val="000000" w:themeColor="text1"/>
          <w:w w:val="110"/>
          <w:sz w:val="20"/>
          <w:lang w:val="uk-UA"/>
        </w:rPr>
        <w:t>при використанні</w:t>
      </w:r>
      <w:r w:rsidRPr="006B6651">
        <w:rPr>
          <w:color w:val="000000" w:themeColor="text1"/>
          <w:w w:val="110"/>
          <w:sz w:val="20"/>
          <w:lang w:val="ru-RU"/>
        </w:rPr>
        <w:t xml:space="preserve"> </w:t>
      </w:r>
      <w:r w:rsidRPr="00FD0682">
        <w:rPr>
          <w:color w:val="000000" w:themeColor="text1"/>
          <w:w w:val="110"/>
          <w:sz w:val="20"/>
        </w:rPr>
        <w:t>Nanopore</w:t>
      </w:r>
      <w:r w:rsidRPr="006B6651">
        <w:rPr>
          <w:color w:val="000000" w:themeColor="text1"/>
          <w:w w:val="110"/>
          <w:sz w:val="20"/>
          <w:lang w:val="ru-RU"/>
        </w:rPr>
        <w:t xml:space="preserve"> </w:t>
      </w:r>
      <w:proofErr w:type="spellStart"/>
      <w:r w:rsidRPr="00FD0682">
        <w:rPr>
          <w:color w:val="000000" w:themeColor="text1"/>
          <w:w w:val="110"/>
          <w:sz w:val="20"/>
        </w:rPr>
        <w:t>MinION</w:t>
      </w:r>
      <w:proofErr w:type="spellEnd"/>
      <w:r w:rsidRPr="006B6651">
        <w:rPr>
          <w:color w:val="000000" w:themeColor="text1"/>
          <w:w w:val="110"/>
          <w:sz w:val="20"/>
          <w:lang w:val="ru-RU"/>
        </w:rPr>
        <w:t xml:space="preserve"> до 277,00 дол. США </w:t>
      </w:r>
      <w:r w:rsidRPr="00FD0682">
        <w:rPr>
          <w:color w:val="000000" w:themeColor="text1"/>
          <w:w w:val="110"/>
          <w:sz w:val="20"/>
          <w:lang w:val="uk-UA"/>
        </w:rPr>
        <w:t>при використанні</w:t>
      </w:r>
      <w:r w:rsidRPr="006B6651">
        <w:rPr>
          <w:color w:val="000000" w:themeColor="text1"/>
          <w:w w:val="110"/>
          <w:sz w:val="20"/>
          <w:lang w:val="ru-RU"/>
        </w:rPr>
        <w:t xml:space="preserve"> </w:t>
      </w:r>
      <w:r w:rsidRPr="00FD0682">
        <w:rPr>
          <w:color w:val="000000" w:themeColor="text1"/>
          <w:w w:val="110"/>
          <w:sz w:val="20"/>
        </w:rPr>
        <w:t>Illumina</w:t>
      </w:r>
      <w:r w:rsidRPr="006B6651">
        <w:rPr>
          <w:color w:val="000000" w:themeColor="text1"/>
          <w:w w:val="110"/>
          <w:sz w:val="20"/>
          <w:lang w:val="ru-RU"/>
        </w:rPr>
        <w:t xml:space="preserve"> </w:t>
      </w:r>
      <w:proofErr w:type="spellStart"/>
      <w:r w:rsidRPr="00FD0682">
        <w:rPr>
          <w:color w:val="000000" w:themeColor="text1"/>
          <w:w w:val="110"/>
          <w:sz w:val="20"/>
        </w:rPr>
        <w:t>MiSeq</w:t>
      </w:r>
      <w:proofErr w:type="spellEnd"/>
      <w:r w:rsidRPr="00FD0682">
        <w:rPr>
          <w:color w:val="000000" w:themeColor="text1"/>
          <w:w w:val="110"/>
          <w:sz w:val="20"/>
          <w:lang w:val="uk-UA"/>
        </w:rPr>
        <w:t>. З огляду на те, що дослідження використовували різну кількість компонентів витрат, порівняння було ускладнено</w:t>
      </w:r>
      <w:r w:rsidRPr="006B6651">
        <w:rPr>
          <w:color w:val="000000" w:themeColor="text1"/>
          <w:w w:val="110"/>
          <w:sz w:val="20"/>
          <w:lang w:val="ru-RU"/>
        </w:rPr>
        <w:t xml:space="preserve">. </w:t>
      </w:r>
      <w:proofErr w:type="spellStart"/>
      <w:r w:rsidRPr="006B6651">
        <w:rPr>
          <w:color w:val="000000" w:themeColor="text1"/>
          <w:w w:val="110"/>
          <w:sz w:val="20"/>
          <w:lang w:val="ru-RU"/>
        </w:rPr>
        <w:t>Згідно</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оглядом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найвагомішим</w:t>
      </w:r>
      <w:proofErr w:type="spellEnd"/>
      <w:r w:rsidRPr="006B6651">
        <w:rPr>
          <w:color w:val="000000" w:themeColor="text1"/>
          <w:w w:val="110"/>
          <w:sz w:val="20"/>
          <w:lang w:val="ru-RU"/>
        </w:rPr>
        <w:t xml:space="preserve"> компонентом </w:t>
      </w:r>
      <w:proofErr w:type="spellStart"/>
      <w:r w:rsidRPr="006B6651">
        <w:rPr>
          <w:color w:val="000000" w:themeColor="text1"/>
          <w:w w:val="110"/>
          <w:sz w:val="20"/>
          <w:lang w:val="ru-RU"/>
        </w:rPr>
        <w:t>витрат</w:t>
      </w:r>
      <w:proofErr w:type="spellEnd"/>
      <w:r w:rsidRPr="00FD0682">
        <w:rPr>
          <w:color w:val="000000" w:themeColor="text1"/>
          <w:w w:val="110"/>
          <w:sz w:val="20"/>
          <w:lang w:val="uk-UA"/>
        </w:rPr>
        <w:t xml:space="preserve"> </w:t>
      </w:r>
      <w:proofErr w:type="spellStart"/>
      <w:r w:rsidRPr="006B6651">
        <w:rPr>
          <w:color w:val="000000" w:themeColor="text1"/>
          <w:w w:val="110"/>
          <w:sz w:val="20"/>
          <w:lang w:val="ru-RU"/>
        </w:rPr>
        <w:t>був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етап</w:t>
      </w:r>
      <w:proofErr w:type="spellEnd"/>
      <w:r w:rsidRPr="006B6651">
        <w:rPr>
          <w:color w:val="000000" w:themeColor="text1"/>
          <w:w w:val="110"/>
          <w:sz w:val="20"/>
          <w:lang w:val="ru-RU"/>
        </w:rPr>
        <w:t xml:space="preserve"> секвенування, а </w:t>
      </w:r>
      <w:proofErr w:type="spellStart"/>
      <w:r w:rsidRPr="006B6651">
        <w:rPr>
          <w:color w:val="000000" w:themeColor="text1"/>
          <w:w w:val="110"/>
          <w:sz w:val="20"/>
          <w:lang w:val="ru-RU"/>
        </w:rPr>
        <w:t>найбільшими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складовими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w:t>
      </w:r>
      <w:proofErr w:type="spellEnd"/>
      <w:r w:rsidRPr="006B6651">
        <w:rPr>
          <w:color w:val="000000" w:themeColor="text1"/>
          <w:w w:val="110"/>
          <w:sz w:val="20"/>
          <w:lang w:val="ru-RU"/>
        </w:rPr>
        <w:t xml:space="preserve"> були </w:t>
      </w:r>
      <w:proofErr w:type="spellStart"/>
      <w:r w:rsidRPr="006B6651">
        <w:rPr>
          <w:color w:val="000000" w:themeColor="text1"/>
          <w:w w:val="110"/>
          <w:sz w:val="20"/>
          <w:lang w:val="ru-RU"/>
        </w:rPr>
        <w:t>реагенти</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витратні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матеріали</w:t>
      </w:r>
      <w:proofErr w:type="spellEnd"/>
      <w:r w:rsidRPr="006B6651">
        <w:rPr>
          <w:color w:val="000000" w:themeColor="text1"/>
          <w:w w:val="110"/>
          <w:sz w:val="20"/>
          <w:lang w:val="ru-RU"/>
        </w:rPr>
        <w:t xml:space="preserve">, включаючи </w:t>
      </w:r>
      <w:proofErr w:type="spellStart"/>
      <w:r w:rsidRPr="006B6651">
        <w:rPr>
          <w:color w:val="000000" w:themeColor="text1"/>
          <w:w w:val="110"/>
          <w:sz w:val="20"/>
          <w:lang w:val="ru-RU"/>
        </w:rPr>
        <w:t>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необхідні</w:t>
      </w:r>
      <w:proofErr w:type="spellEnd"/>
      <w:r w:rsidRPr="006B6651">
        <w:rPr>
          <w:color w:val="000000" w:themeColor="text1"/>
          <w:w w:val="110"/>
          <w:sz w:val="20"/>
          <w:lang w:val="ru-RU"/>
        </w:rPr>
        <w:t xml:space="preserve"> для секвенування, </w:t>
      </w:r>
      <w:proofErr w:type="spellStart"/>
      <w:r w:rsidRPr="006B6651">
        <w:rPr>
          <w:color w:val="000000" w:themeColor="text1"/>
          <w:w w:val="110"/>
          <w:sz w:val="20"/>
          <w:lang w:val="ru-RU"/>
        </w:rPr>
        <w:t>обробки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зразків</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підготовки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бібліотек</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етапах</w:t>
      </w:r>
      <w:proofErr w:type="spellEnd"/>
      <w:r w:rsidRPr="006B6651">
        <w:rPr>
          <w:color w:val="000000" w:themeColor="text1"/>
          <w:w w:val="110"/>
          <w:sz w:val="20"/>
          <w:lang w:val="ru-RU"/>
        </w:rPr>
        <w:t xml:space="preserve"> таргетного </w:t>
      </w:r>
      <w:r w:rsidRPr="00FD0682">
        <w:rPr>
          <w:color w:val="000000" w:themeColor="text1"/>
          <w:w w:val="110"/>
          <w:sz w:val="20"/>
          <w:lang w:val="uk-UA"/>
        </w:rPr>
        <w:t>СНП</w:t>
      </w:r>
      <w:r w:rsidRPr="006B6651">
        <w:rPr>
          <w:color w:val="000000" w:themeColor="text1"/>
          <w:w w:val="110"/>
          <w:sz w:val="20"/>
          <w:lang w:val="ru-RU"/>
        </w:rPr>
        <w:t xml:space="preserve">. </w:t>
      </w:r>
      <w:proofErr w:type="spellStart"/>
      <w:r w:rsidRPr="006B6651">
        <w:rPr>
          <w:color w:val="000000" w:themeColor="text1"/>
          <w:w w:val="110"/>
          <w:sz w:val="20"/>
          <w:lang w:val="ru-RU"/>
        </w:rPr>
        <w:t>Автори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досліджень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визначили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чотири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основні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фактори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впливають</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вартість</w:t>
      </w:r>
      <w:proofErr w:type="spellEnd"/>
      <w:r w:rsidRPr="006B6651">
        <w:rPr>
          <w:color w:val="000000" w:themeColor="text1"/>
          <w:w w:val="110"/>
          <w:sz w:val="20"/>
          <w:lang w:val="ru-RU"/>
        </w:rPr>
        <w:t xml:space="preserve">: використання </w:t>
      </w:r>
      <w:proofErr w:type="spellStart"/>
      <w:r w:rsidRPr="006B6651">
        <w:rPr>
          <w:color w:val="000000" w:themeColor="text1"/>
          <w:w w:val="110"/>
          <w:sz w:val="20"/>
          <w:lang w:val="ru-RU"/>
        </w:rPr>
        <w:t>різних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секвенаторів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глибина</w:t>
      </w:r>
      <w:proofErr w:type="spellEnd"/>
      <w:r w:rsidRPr="006B6651">
        <w:rPr>
          <w:color w:val="000000" w:themeColor="text1"/>
          <w:w w:val="110"/>
          <w:sz w:val="20"/>
          <w:lang w:val="ru-RU"/>
        </w:rPr>
        <w:t xml:space="preserve"> та ширина </w:t>
      </w:r>
      <w:proofErr w:type="spellStart"/>
      <w:r w:rsidRPr="006B6651">
        <w:rPr>
          <w:color w:val="000000" w:themeColor="text1"/>
          <w:w w:val="110"/>
          <w:sz w:val="20"/>
          <w:lang w:val="ru-RU"/>
        </w:rPr>
        <w:t>покриття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неефективність</w:t>
      </w:r>
      <w:proofErr w:type="spellEnd"/>
      <w:r w:rsidRPr="006B6651">
        <w:rPr>
          <w:color w:val="000000" w:themeColor="text1"/>
          <w:w w:val="110"/>
          <w:sz w:val="20"/>
          <w:lang w:val="ru-RU"/>
        </w:rPr>
        <w:t xml:space="preserve"> при </w:t>
      </w:r>
      <w:proofErr w:type="spellStart"/>
      <w:r w:rsidRPr="006B6651">
        <w:rPr>
          <w:color w:val="000000" w:themeColor="text1"/>
          <w:w w:val="110"/>
          <w:sz w:val="20"/>
          <w:lang w:val="ru-RU"/>
        </w:rPr>
        <w:t>початкових</w:t>
      </w:r>
      <w:proofErr w:type="spellEnd"/>
      <w:r w:rsidRPr="006B6651">
        <w:rPr>
          <w:color w:val="000000" w:themeColor="text1"/>
          <w:w w:val="110"/>
          <w:sz w:val="20"/>
          <w:lang w:val="ru-RU"/>
        </w:rPr>
        <w:t xml:space="preserve"> запусках </w:t>
      </w:r>
      <w:proofErr w:type="spellStart"/>
      <w:r w:rsidRPr="006B6651">
        <w:rPr>
          <w:color w:val="000000" w:themeColor="text1"/>
          <w:w w:val="110"/>
          <w:sz w:val="20"/>
          <w:lang w:val="ru-RU"/>
        </w:rPr>
        <w:t>аналізу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зразків</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економія</w:t>
      </w:r>
      <w:proofErr w:type="spellEnd"/>
      <w:r w:rsidRPr="006B6651">
        <w:rPr>
          <w:color w:val="000000" w:themeColor="text1"/>
          <w:w w:val="110"/>
          <w:sz w:val="20"/>
          <w:lang w:val="ru-RU"/>
        </w:rPr>
        <w:t xml:space="preserve"> за </w:t>
      </w:r>
      <w:proofErr w:type="spellStart"/>
      <w:r w:rsidRPr="006B6651">
        <w:rPr>
          <w:color w:val="000000" w:themeColor="text1"/>
          <w:w w:val="110"/>
          <w:sz w:val="20"/>
          <w:lang w:val="ru-RU"/>
        </w:rPr>
        <w:t>рахунок</w:t>
      </w:r>
      <w:proofErr w:type="spellEnd"/>
      <w:r w:rsidRPr="006B6651">
        <w:rPr>
          <w:color w:val="000000" w:themeColor="text1"/>
          <w:w w:val="110"/>
          <w:sz w:val="20"/>
          <w:lang w:val="ru-RU"/>
        </w:rPr>
        <w:t xml:space="preserve"> масштабу через </w:t>
      </w:r>
      <w:proofErr w:type="spellStart"/>
      <w:r w:rsidRPr="006B6651">
        <w:rPr>
          <w:color w:val="000000" w:themeColor="text1"/>
          <w:w w:val="110"/>
          <w:sz w:val="20"/>
          <w:lang w:val="ru-RU"/>
        </w:rPr>
        <w:t>об'єднання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зразків</w:t>
      </w:r>
      <w:proofErr w:type="spellEnd"/>
      <w:r w:rsidRPr="006B6651">
        <w:rPr>
          <w:color w:val="000000" w:themeColor="text1"/>
          <w:w w:val="110"/>
          <w:sz w:val="20"/>
          <w:lang w:val="ru-RU"/>
        </w:rPr>
        <w:t xml:space="preserve"> у </w:t>
      </w:r>
      <w:proofErr w:type="spellStart"/>
      <w:r w:rsidRPr="006B6651">
        <w:rPr>
          <w:color w:val="000000" w:themeColor="text1"/>
          <w:w w:val="110"/>
          <w:sz w:val="20"/>
          <w:lang w:val="ru-RU"/>
        </w:rPr>
        <w:t>партії</w:t>
      </w:r>
      <w:proofErr w:type="spellEnd"/>
      <w:r w:rsidRPr="006B6651">
        <w:rPr>
          <w:color w:val="000000" w:themeColor="text1"/>
          <w:w w:val="110"/>
          <w:sz w:val="20"/>
          <w:lang w:val="ru-RU"/>
        </w:rPr>
        <w:t xml:space="preserve"> або </w:t>
      </w:r>
      <w:r w:rsidRPr="00D01824">
        <w:rPr>
          <w:color w:val="000000" w:themeColor="text1"/>
          <w:w w:val="110"/>
          <w:sz w:val="20"/>
          <w:lang w:val="uk-UA"/>
        </w:rPr>
        <w:t>к</w:t>
      </w:r>
      <w:proofErr w:type="spellStart"/>
      <w:r w:rsidRPr="006B6651">
        <w:rPr>
          <w:color w:val="000000" w:themeColor="text1"/>
          <w:w w:val="110"/>
          <w:sz w:val="20"/>
          <w:lang w:val="ru-RU"/>
        </w:rPr>
        <w:t>омбіноване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об'єднання</w:t>
      </w:r>
      <w:proofErr w:type="spellEnd"/>
      <w:r w:rsidRPr="006B6651">
        <w:rPr>
          <w:color w:val="000000" w:themeColor="text1"/>
          <w:w w:val="110"/>
          <w:sz w:val="20"/>
          <w:lang w:val="ru-RU"/>
        </w:rPr>
        <w:t xml:space="preserve"> в </w:t>
      </w:r>
      <w:proofErr w:type="spellStart"/>
      <w:r w:rsidRPr="006B6651">
        <w:rPr>
          <w:color w:val="000000" w:themeColor="text1"/>
          <w:w w:val="110"/>
          <w:sz w:val="20"/>
          <w:lang w:val="ru-RU"/>
        </w:rPr>
        <w:t>партії</w:t>
      </w:r>
      <w:proofErr w:type="spellEnd"/>
      <w:r w:rsidRPr="006B6651">
        <w:rPr>
          <w:color w:val="000000" w:themeColor="text1"/>
          <w:w w:val="110"/>
          <w:sz w:val="20"/>
          <w:lang w:val="ru-RU"/>
        </w:rPr>
        <w:t>.</w:t>
      </w:r>
    </w:p>
    <w:p w14:paraId="1082E9F5" w14:textId="4DEF55B2" w:rsidR="00767E2A" w:rsidRPr="0015544F" w:rsidRDefault="00767E2A" w:rsidP="0015544F">
      <w:pPr>
        <w:pStyle w:val="a3"/>
        <w:spacing w:before="160" w:line="249" w:lineRule="auto"/>
        <w:ind w:left="567" w:right="4"/>
        <w:jc w:val="both"/>
        <w:rPr>
          <w:color w:val="000000" w:themeColor="text1"/>
          <w:w w:val="110"/>
          <w:sz w:val="20"/>
          <w:lang w:val="ru-RU"/>
        </w:rPr>
      </w:pPr>
      <w:proofErr w:type="spellStart"/>
      <w:r w:rsidRPr="006B6651">
        <w:rPr>
          <w:color w:val="000000" w:themeColor="text1"/>
          <w:w w:val="110"/>
          <w:sz w:val="20"/>
          <w:lang w:val="ru-RU"/>
        </w:rPr>
        <w:t>Дані</w:t>
      </w:r>
      <w:proofErr w:type="spellEnd"/>
      <w:r w:rsidRPr="006B6651">
        <w:rPr>
          <w:color w:val="000000" w:themeColor="text1"/>
          <w:w w:val="110"/>
          <w:sz w:val="20"/>
          <w:lang w:val="ru-RU"/>
        </w:rPr>
        <w:t xml:space="preserve"> про </w:t>
      </w:r>
      <w:proofErr w:type="spellStart"/>
      <w:r w:rsidRPr="006B6651">
        <w:rPr>
          <w:color w:val="000000" w:themeColor="text1"/>
          <w:w w:val="110"/>
          <w:sz w:val="20"/>
          <w:lang w:val="ru-RU"/>
        </w:rPr>
        <w:t>витрати</w:t>
      </w:r>
      <w:proofErr w:type="spellEnd"/>
      <w:r w:rsidRPr="006B6651">
        <w:rPr>
          <w:color w:val="000000" w:themeColor="text1"/>
          <w:w w:val="110"/>
          <w:sz w:val="20"/>
          <w:lang w:val="ru-RU"/>
        </w:rPr>
        <w:t xml:space="preserve"> з систематичного </w:t>
      </w:r>
      <w:proofErr w:type="spellStart"/>
      <w:r w:rsidRPr="006B6651">
        <w:rPr>
          <w:color w:val="000000" w:themeColor="text1"/>
          <w:w w:val="110"/>
          <w:sz w:val="20"/>
          <w:lang w:val="ru-RU"/>
        </w:rPr>
        <w:t>огляду</w:t>
      </w:r>
      <w:proofErr w:type="spellEnd"/>
      <w:r w:rsidRPr="006B6651">
        <w:rPr>
          <w:color w:val="000000" w:themeColor="text1"/>
          <w:w w:val="110"/>
          <w:sz w:val="20"/>
          <w:lang w:val="ru-RU"/>
        </w:rPr>
        <w:t xml:space="preserve"> були </w:t>
      </w:r>
      <w:proofErr w:type="spellStart"/>
      <w:r w:rsidRPr="006B6651">
        <w:rPr>
          <w:color w:val="000000" w:themeColor="text1"/>
          <w:w w:val="110"/>
          <w:sz w:val="20"/>
          <w:lang w:val="ru-RU"/>
        </w:rPr>
        <w:t>обмеженими</w:t>
      </w:r>
      <w:proofErr w:type="spellEnd"/>
      <w:r w:rsidRPr="006B6651">
        <w:rPr>
          <w:color w:val="000000" w:themeColor="text1"/>
          <w:w w:val="110"/>
          <w:sz w:val="20"/>
          <w:lang w:val="ru-RU"/>
        </w:rPr>
        <w:t xml:space="preserve">; тому </w:t>
      </w:r>
      <w:r w:rsidRPr="00FD0682">
        <w:rPr>
          <w:color w:val="000000" w:themeColor="text1"/>
          <w:w w:val="110"/>
          <w:sz w:val="20"/>
          <w:lang w:val="uk-UA"/>
        </w:rPr>
        <w:t>провели</w:t>
      </w:r>
      <w:r w:rsidRPr="006B6651">
        <w:rPr>
          <w:color w:val="000000" w:themeColor="text1"/>
          <w:w w:val="110"/>
          <w:sz w:val="20"/>
          <w:lang w:val="ru-RU"/>
        </w:rPr>
        <w:t xml:space="preserve"> </w:t>
      </w:r>
      <w:proofErr w:type="spellStart"/>
      <w:r w:rsidRPr="006B6651">
        <w:rPr>
          <w:color w:val="000000" w:themeColor="text1"/>
          <w:w w:val="110"/>
          <w:sz w:val="20"/>
          <w:lang w:val="ru-RU"/>
        </w:rPr>
        <w:t>емпіричн</w:t>
      </w:r>
      <w:r w:rsidRPr="00D01824">
        <w:rPr>
          <w:color w:val="000000" w:themeColor="text1"/>
          <w:w w:val="110"/>
          <w:sz w:val="20"/>
          <w:lang w:val="uk-UA"/>
        </w:rPr>
        <w:t>ий</w:t>
      </w:r>
      <w:proofErr w:type="spellEnd"/>
      <w:r w:rsidRPr="006B6651">
        <w:rPr>
          <w:color w:val="000000" w:themeColor="text1"/>
          <w:w w:val="110"/>
          <w:sz w:val="20"/>
          <w:lang w:val="ru-RU"/>
        </w:rPr>
        <w:t xml:space="preserve"> </w:t>
      </w:r>
      <w:r w:rsidRPr="00D01824">
        <w:rPr>
          <w:color w:val="000000" w:themeColor="text1"/>
          <w:w w:val="110"/>
          <w:sz w:val="20"/>
          <w:lang w:val="uk-UA"/>
        </w:rPr>
        <w:t>розрахунок</w:t>
      </w:r>
      <w:r w:rsidRPr="006B6651">
        <w:rPr>
          <w:color w:val="000000" w:themeColor="text1"/>
          <w:w w:val="110"/>
          <w:sz w:val="20"/>
          <w:lang w:val="ru-RU"/>
        </w:rPr>
        <w:t xml:space="preserve"> </w:t>
      </w:r>
      <w:r w:rsidRPr="00D01824">
        <w:rPr>
          <w:color w:val="000000" w:themeColor="text1"/>
          <w:w w:val="110"/>
          <w:sz w:val="20"/>
          <w:lang w:val="uk-UA"/>
        </w:rPr>
        <w:t>витрат</w:t>
      </w:r>
      <w:r w:rsidRPr="00FD0682">
        <w:rPr>
          <w:color w:val="000000" w:themeColor="text1"/>
          <w:w w:val="110"/>
          <w:sz w:val="20"/>
          <w:lang w:val="uk-UA"/>
        </w:rPr>
        <w:t xml:space="preserve"> на одиницю, консультуючись </w:t>
      </w:r>
      <w:r w:rsidRPr="006B6651">
        <w:rPr>
          <w:color w:val="000000" w:themeColor="text1"/>
          <w:w w:val="110"/>
          <w:sz w:val="20"/>
          <w:lang w:val="ru-RU"/>
        </w:rPr>
        <w:t xml:space="preserve">з </w:t>
      </w:r>
      <w:proofErr w:type="spellStart"/>
      <w:r w:rsidRPr="006B6651">
        <w:rPr>
          <w:color w:val="000000" w:themeColor="text1"/>
          <w:w w:val="110"/>
          <w:sz w:val="20"/>
          <w:lang w:val="ru-RU"/>
        </w:rPr>
        <w:t>виробниками</w:t>
      </w:r>
      <w:proofErr w:type="spellEnd"/>
      <w:r w:rsidRPr="006B6651">
        <w:rPr>
          <w:color w:val="000000" w:themeColor="text1"/>
          <w:w w:val="110"/>
          <w:sz w:val="20"/>
          <w:lang w:val="ru-RU"/>
        </w:rPr>
        <w:t xml:space="preserve"> та </w:t>
      </w:r>
      <w:r w:rsidRPr="00FD0682">
        <w:rPr>
          <w:color w:val="000000" w:themeColor="text1"/>
          <w:w w:val="110"/>
          <w:sz w:val="20"/>
        </w:rPr>
        <w:t>FIND</w:t>
      </w:r>
      <w:r w:rsidRPr="006B6651">
        <w:rPr>
          <w:color w:val="000000" w:themeColor="text1"/>
          <w:w w:val="110"/>
          <w:sz w:val="20"/>
          <w:lang w:val="ru-RU"/>
        </w:rPr>
        <w:t>.</w:t>
      </w:r>
      <w:r w:rsidRPr="00FD0682">
        <w:rPr>
          <w:color w:val="000000" w:themeColor="text1"/>
          <w:w w:val="110"/>
          <w:sz w:val="20"/>
          <w:lang w:val="uk-UA"/>
        </w:rPr>
        <w:t xml:space="preserve"> </w:t>
      </w:r>
      <w:r w:rsidRPr="006B6651">
        <w:rPr>
          <w:color w:val="000000" w:themeColor="text1"/>
          <w:w w:val="110"/>
          <w:sz w:val="20"/>
          <w:lang w:val="ru-RU"/>
        </w:rPr>
        <w:t xml:space="preserve">На момент </w:t>
      </w:r>
      <w:proofErr w:type="spellStart"/>
      <w:r w:rsidRPr="006B6651">
        <w:rPr>
          <w:color w:val="000000" w:themeColor="text1"/>
          <w:w w:val="110"/>
          <w:sz w:val="20"/>
          <w:lang w:val="ru-RU"/>
        </w:rPr>
        <w:t>проведення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цієї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роботи</w:t>
      </w:r>
      <w:proofErr w:type="spellEnd"/>
      <w:r w:rsidRPr="006B6651">
        <w:rPr>
          <w:color w:val="000000" w:themeColor="text1"/>
          <w:w w:val="110"/>
          <w:sz w:val="20"/>
          <w:lang w:val="ru-RU"/>
        </w:rPr>
        <w:t xml:space="preserve"> були </w:t>
      </w:r>
      <w:proofErr w:type="spellStart"/>
      <w:r w:rsidRPr="006B6651">
        <w:rPr>
          <w:color w:val="000000" w:themeColor="text1"/>
          <w:w w:val="110"/>
          <w:sz w:val="20"/>
          <w:lang w:val="ru-RU"/>
        </w:rPr>
        <w:t>доступні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ціни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лише</w:t>
      </w:r>
      <w:proofErr w:type="spellEnd"/>
      <w:r w:rsidRPr="006B6651">
        <w:rPr>
          <w:color w:val="000000" w:themeColor="text1"/>
          <w:w w:val="110"/>
          <w:sz w:val="20"/>
          <w:lang w:val="ru-RU"/>
        </w:rPr>
        <w:t xml:space="preserve"> на </w:t>
      </w:r>
      <w:r w:rsidRPr="00FD0682">
        <w:rPr>
          <w:color w:val="000000" w:themeColor="text1"/>
          <w:w w:val="110"/>
          <w:sz w:val="20"/>
        </w:rPr>
        <w:t>Deeplex</w:t>
      </w:r>
      <w:r w:rsidRPr="006B6651">
        <w:rPr>
          <w:color w:val="000000" w:themeColor="text1"/>
          <w:w w:val="110"/>
          <w:sz w:val="20"/>
          <w:lang w:val="ru-RU"/>
        </w:rPr>
        <w:t xml:space="preserve"> </w:t>
      </w:r>
      <w:r w:rsidRPr="00FD0682">
        <w:rPr>
          <w:color w:val="000000" w:themeColor="text1"/>
          <w:w w:val="110"/>
          <w:sz w:val="20"/>
        </w:rPr>
        <w:t>Myc</w:t>
      </w:r>
      <w:r w:rsidRPr="006B6651">
        <w:rPr>
          <w:color w:val="000000" w:themeColor="text1"/>
          <w:w w:val="110"/>
          <w:sz w:val="20"/>
          <w:lang w:val="ru-RU"/>
        </w:rPr>
        <w:t>-</w:t>
      </w:r>
      <w:r w:rsidRPr="00FD0682">
        <w:rPr>
          <w:color w:val="000000" w:themeColor="text1"/>
          <w:w w:val="110"/>
          <w:sz w:val="20"/>
        </w:rPr>
        <w:t>TB</w:t>
      </w:r>
      <w:r w:rsidRPr="006B6651">
        <w:rPr>
          <w:color w:val="000000" w:themeColor="text1"/>
          <w:w w:val="110"/>
          <w:sz w:val="20"/>
          <w:lang w:val="ru-RU"/>
        </w:rPr>
        <w:t xml:space="preserve">, і вони </w:t>
      </w:r>
      <w:proofErr w:type="spellStart"/>
      <w:r w:rsidRPr="006B6651">
        <w:rPr>
          <w:color w:val="000000" w:themeColor="text1"/>
          <w:w w:val="110"/>
          <w:sz w:val="20"/>
          <w:lang w:val="ru-RU"/>
        </w:rPr>
        <w:t>використовувалися</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оцінки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вартості</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даного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класу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тестів</w:t>
      </w:r>
      <w:proofErr w:type="spellEnd"/>
      <w:r w:rsidRPr="006B6651">
        <w:rPr>
          <w:color w:val="000000" w:themeColor="text1"/>
          <w:w w:val="110"/>
          <w:sz w:val="20"/>
          <w:lang w:val="ru-RU"/>
        </w:rPr>
        <w:t xml:space="preserve">. </w:t>
      </w:r>
      <w:r w:rsidRPr="00FD0682">
        <w:rPr>
          <w:color w:val="000000" w:themeColor="text1"/>
          <w:w w:val="110"/>
          <w:sz w:val="20"/>
          <w:lang w:val="uk-UA"/>
        </w:rPr>
        <w:t>В</w:t>
      </w:r>
      <w:proofErr w:type="spellStart"/>
      <w:r w:rsidRPr="006B6651">
        <w:rPr>
          <w:color w:val="000000" w:themeColor="text1"/>
          <w:w w:val="110"/>
          <w:sz w:val="20"/>
          <w:lang w:val="ru-RU"/>
        </w:rPr>
        <w:t>итрати</w:t>
      </w:r>
      <w:proofErr w:type="spellEnd"/>
      <w:r w:rsidRPr="006B6651">
        <w:rPr>
          <w:color w:val="000000" w:themeColor="text1"/>
          <w:w w:val="110"/>
          <w:sz w:val="20"/>
          <w:lang w:val="ru-RU"/>
        </w:rPr>
        <w:t xml:space="preserve"> </w:t>
      </w:r>
      <w:r w:rsidRPr="00FD0682">
        <w:rPr>
          <w:color w:val="000000" w:themeColor="text1"/>
          <w:w w:val="110"/>
          <w:sz w:val="20"/>
          <w:lang w:val="uk-UA"/>
        </w:rPr>
        <w:t xml:space="preserve">на одиницю </w:t>
      </w:r>
      <w:r w:rsidRPr="006B6651">
        <w:rPr>
          <w:color w:val="000000" w:themeColor="text1"/>
          <w:w w:val="110"/>
          <w:sz w:val="20"/>
          <w:lang w:val="ru-RU"/>
        </w:rPr>
        <w:t xml:space="preserve">включали </w:t>
      </w:r>
      <w:proofErr w:type="spellStart"/>
      <w:r w:rsidRPr="006B6651">
        <w:rPr>
          <w:color w:val="000000" w:themeColor="text1"/>
          <w:w w:val="110"/>
          <w:sz w:val="20"/>
          <w:lang w:val="ru-RU"/>
        </w:rPr>
        <w:t>витратні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матеріали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обладнання</w:t>
      </w:r>
      <w:proofErr w:type="spellEnd"/>
      <w:r w:rsidRPr="006B6651">
        <w:rPr>
          <w:color w:val="000000" w:themeColor="text1"/>
          <w:w w:val="110"/>
          <w:sz w:val="20"/>
          <w:lang w:val="ru-RU"/>
        </w:rPr>
        <w:t xml:space="preserve">, </w:t>
      </w:r>
      <w:r w:rsidRPr="003A6F65">
        <w:rPr>
          <w:color w:val="000000" w:themeColor="text1"/>
          <w:w w:val="110"/>
          <w:sz w:val="20"/>
          <w:lang w:val="uk-UA"/>
        </w:rPr>
        <w:t xml:space="preserve">витрати на </w:t>
      </w:r>
      <w:r w:rsidRPr="006B6651">
        <w:rPr>
          <w:color w:val="000000" w:themeColor="text1"/>
          <w:w w:val="110"/>
          <w:sz w:val="20"/>
          <w:lang w:val="ru-RU"/>
        </w:rPr>
        <w:t xml:space="preserve">персонал та </w:t>
      </w:r>
      <w:proofErr w:type="spellStart"/>
      <w:r w:rsidRPr="006B6651">
        <w:rPr>
          <w:color w:val="000000" w:themeColor="text1"/>
          <w:w w:val="110"/>
          <w:sz w:val="20"/>
          <w:lang w:val="ru-RU"/>
        </w:rPr>
        <w:t>накладні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витрати</w:t>
      </w:r>
      <w:proofErr w:type="spellEnd"/>
      <w:r w:rsidRPr="006B6651">
        <w:rPr>
          <w:color w:val="000000" w:themeColor="text1"/>
          <w:w w:val="110"/>
          <w:sz w:val="20"/>
          <w:lang w:val="ru-RU"/>
        </w:rPr>
        <w:t xml:space="preserve"> (</w:t>
      </w:r>
      <w:r w:rsidRPr="00FD0682">
        <w:rPr>
          <w:color w:val="000000" w:themeColor="text1"/>
          <w:w w:val="110"/>
          <w:sz w:val="20"/>
          <w:lang w:val="uk-UA"/>
        </w:rPr>
        <w:t>за наявності</w:t>
      </w:r>
      <w:r w:rsidRPr="006B6651">
        <w:rPr>
          <w:color w:val="000000" w:themeColor="text1"/>
          <w:w w:val="110"/>
          <w:sz w:val="20"/>
          <w:lang w:val="ru-RU"/>
        </w:rPr>
        <w:t>)</w:t>
      </w:r>
      <w:r w:rsidRPr="00FD0682">
        <w:rPr>
          <w:color w:val="000000" w:themeColor="text1"/>
          <w:w w:val="110"/>
          <w:sz w:val="20"/>
          <w:lang w:val="uk-UA"/>
        </w:rPr>
        <w:t>. Т</w:t>
      </w:r>
      <w:proofErr w:type="spellStart"/>
      <w:r w:rsidRPr="006B6651">
        <w:rPr>
          <w:color w:val="000000" w:themeColor="text1"/>
          <w:w w:val="110"/>
          <w:sz w:val="20"/>
          <w:lang w:val="ru-RU"/>
        </w:rPr>
        <w:t>акож</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передбачалося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включають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тестування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таргетним</w:t>
      </w:r>
      <w:proofErr w:type="spellEnd"/>
      <w:r w:rsidRPr="006B6651">
        <w:rPr>
          <w:color w:val="000000" w:themeColor="text1"/>
          <w:w w:val="110"/>
          <w:sz w:val="20"/>
          <w:lang w:val="ru-RU"/>
        </w:rPr>
        <w:t xml:space="preserve"> </w:t>
      </w:r>
      <w:r w:rsidRPr="00FD0682">
        <w:rPr>
          <w:color w:val="000000" w:themeColor="text1"/>
          <w:w w:val="110"/>
          <w:sz w:val="20"/>
          <w:lang w:val="uk-UA"/>
        </w:rPr>
        <w:t>СНП</w:t>
      </w:r>
      <w:r w:rsidRPr="006B6651">
        <w:rPr>
          <w:color w:val="000000" w:themeColor="text1"/>
          <w:w w:val="110"/>
          <w:sz w:val="20"/>
          <w:lang w:val="ru-RU"/>
        </w:rPr>
        <w:t xml:space="preserve"> </w:t>
      </w:r>
      <w:r w:rsidRPr="00FD0682">
        <w:rPr>
          <w:color w:val="000000" w:themeColor="text1"/>
          <w:w w:val="110"/>
          <w:sz w:val="20"/>
          <w:lang w:val="uk-UA"/>
        </w:rPr>
        <w:t>для всіх</w:t>
      </w:r>
      <w:r w:rsidRPr="006B6651">
        <w:rPr>
          <w:color w:val="000000" w:themeColor="text1"/>
          <w:w w:val="110"/>
          <w:sz w:val="20"/>
          <w:lang w:val="ru-RU"/>
        </w:rPr>
        <w:t xml:space="preserve"> препарат</w:t>
      </w:r>
      <w:r w:rsidRPr="00FD0682">
        <w:rPr>
          <w:color w:val="000000" w:themeColor="text1"/>
          <w:w w:val="110"/>
          <w:sz w:val="20"/>
          <w:lang w:val="uk-UA"/>
        </w:rPr>
        <w:t>ів</w:t>
      </w:r>
      <w:r w:rsidRPr="006B6651">
        <w:rPr>
          <w:color w:val="000000" w:themeColor="text1"/>
          <w:w w:val="110"/>
          <w:sz w:val="20"/>
          <w:lang w:val="ru-RU"/>
        </w:rPr>
        <w:t xml:space="preserve">. На </w:t>
      </w:r>
      <w:proofErr w:type="spellStart"/>
      <w:r w:rsidRPr="006B6651">
        <w:rPr>
          <w:color w:val="000000" w:themeColor="text1"/>
          <w:w w:val="110"/>
          <w:sz w:val="20"/>
          <w:lang w:val="ru-RU"/>
        </w:rPr>
        <w:t>основі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емпіричного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аналізу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вартість</w:t>
      </w:r>
      <w:proofErr w:type="spellEnd"/>
      <w:r w:rsidRPr="006B6651">
        <w:rPr>
          <w:color w:val="000000" w:themeColor="text1"/>
          <w:w w:val="110"/>
          <w:sz w:val="20"/>
          <w:lang w:val="ru-RU"/>
        </w:rPr>
        <w:t xml:space="preserve"> таргетного </w:t>
      </w:r>
      <w:r w:rsidRPr="00FD0682">
        <w:rPr>
          <w:color w:val="000000" w:themeColor="text1"/>
          <w:w w:val="110"/>
          <w:sz w:val="20"/>
          <w:lang w:val="uk-UA"/>
        </w:rPr>
        <w:t>СНП</w:t>
      </w:r>
      <w:r w:rsidRPr="006B6651">
        <w:rPr>
          <w:color w:val="000000" w:themeColor="text1"/>
          <w:w w:val="110"/>
          <w:sz w:val="20"/>
          <w:lang w:val="ru-RU"/>
        </w:rPr>
        <w:t xml:space="preserve"> </w:t>
      </w:r>
      <w:proofErr w:type="spellStart"/>
      <w:r w:rsidRPr="006B6651">
        <w:rPr>
          <w:color w:val="000000" w:themeColor="text1"/>
          <w:w w:val="110"/>
          <w:sz w:val="20"/>
          <w:lang w:val="ru-RU"/>
        </w:rPr>
        <w:t>була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оцінена</w:t>
      </w:r>
      <w:proofErr w:type="spellEnd"/>
      <w:r w:rsidRPr="006B6651">
        <w:rPr>
          <w:color w:val="000000" w:themeColor="text1"/>
          <w:w w:val="110"/>
          <w:sz w:val="20"/>
          <w:lang w:val="ru-RU"/>
        </w:rPr>
        <w:t xml:space="preserve"> так:</w:t>
      </w:r>
    </w:p>
    <w:p w14:paraId="09560B10" w14:textId="77777777" w:rsidR="00767E2A" w:rsidRPr="006B6651" w:rsidRDefault="00767E2A" w:rsidP="004A2937">
      <w:pPr>
        <w:pStyle w:val="a4"/>
        <w:numPr>
          <w:ilvl w:val="0"/>
          <w:numId w:val="45"/>
        </w:numPr>
        <w:tabs>
          <w:tab w:val="left" w:pos="1701"/>
        </w:tabs>
        <w:spacing w:before="119"/>
        <w:ind w:right="4"/>
        <w:jc w:val="left"/>
        <w:rPr>
          <w:color w:val="000000" w:themeColor="text1"/>
          <w:sz w:val="20"/>
          <w:lang w:val="ru-RU"/>
        </w:rPr>
      </w:pPr>
      <w:r w:rsidRPr="006B6651">
        <w:rPr>
          <w:color w:val="000000" w:themeColor="text1"/>
          <w:w w:val="110"/>
          <w:sz w:val="20"/>
          <w:lang w:val="ru-RU"/>
        </w:rPr>
        <w:t xml:space="preserve">134 – 257 дол. США в </w:t>
      </w:r>
      <w:proofErr w:type="spellStart"/>
      <w:r w:rsidRPr="006B6651">
        <w:rPr>
          <w:color w:val="000000" w:themeColor="text1"/>
          <w:w w:val="110"/>
          <w:sz w:val="20"/>
          <w:lang w:val="ru-RU"/>
        </w:rPr>
        <w:t>Південній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Африці</w:t>
      </w:r>
      <w:proofErr w:type="spellEnd"/>
      <w:r w:rsidRPr="006B6651">
        <w:rPr>
          <w:color w:val="000000" w:themeColor="text1"/>
          <w:w w:val="110"/>
          <w:sz w:val="20"/>
          <w:lang w:val="ru-RU"/>
        </w:rPr>
        <w:t>;</w:t>
      </w:r>
    </w:p>
    <w:p w14:paraId="44F31AFC" w14:textId="77777777" w:rsidR="00767E2A" w:rsidRPr="00FD0682" w:rsidRDefault="00767E2A" w:rsidP="004A2937">
      <w:pPr>
        <w:pStyle w:val="a4"/>
        <w:numPr>
          <w:ilvl w:val="0"/>
          <w:numId w:val="45"/>
        </w:numPr>
        <w:tabs>
          <w:tab w:val="left" w:pos="1701"/>
        </w:tabs>
        <w:spacing w:before="42"/>
        <w:ind w:right="4"/>
        <w:jc w:val="left"/>
        <w:rPr>
          <w:color w:val="000000" w:themeColor="text1"/>
          <w:sz w:val="20"/>
        </w:rPr>
      </w:pPr>
      <w:r w:rsidRPr="005E38A8">
        <w:rPr>
          <w:color w:val="000000" w:themeColor="text1"/>
          <w:w w:val="110"/>
          <w:sz w:val="20"/>
        </w:rPr>
        <w:t xml:space="preserve">120 – 198 дол. США в </w:t>
      </w:r>
      <w:proofErr w:type="spellStart"/>
      <w:r w:rsidRPr="005E38A8">
        <w:rPr>
          <w:color w:val="000000" w:themeColor="text1"/>
          <w:w w:val="110"/>
          <w:sz w:val="20"/>
        </w:rPr>
        <w:t>Грузії</w:t>
      </w:r>
      <w:proofErr w:type="spellEnd"/>
      <w:r w:rsidRPr="00FD0682">
        <w:rPr>
          <w:color w:val="000000" w:themeColor="text1"/>
          <w:w w:val="110"/>
          <w:sz w:val="20"/>
        </w:rPr>
        <w:t>; та</w:t>
      </w:r>
    </w:p>
    <w:p w14:paraId="3D5F1BE6" w14:textId="438D0BCD" w:rsidR="00767E2A" w:rsidRPr="00FD0682" w:rsidRDefault="004A2937" w:rsidP="004A2937">
      <w:pPr>
        <w:pStyle w:val="a4"/>
        <w:numPr>
          <w:ilvl w:val="0"/>
          <w:numId w:val="45"/>
        </w:numPr>
        <w:tabs>
          <w:tab w:val="left" w:pos="1701"/>
        </w:tabs>
        <w:spacing w:before="41"/>
        <w:ind w:right="4"/>
        <w:jc w:val="left"/>
        <w:rPr>
          <w:color w:val="000000" w:themeColor="text1"/>
          <w:sz w:val="20"/>
        </w:rPr>
      </w:pPr>
      <w:r>
        <w:rPr>
          <w:noProof/>
          <w:color w:val="000000" w:themeColor="text1"/>
          <w:sz w:val="20"/>
        </w:rPr>
        <mc:AlternateContent>
          <mc:Choice Requires="wps">
            <w:drawing>
              <wp:anchor distT="0" distB="0" distL="114300" distR="114300" simplePos="0" relativeHeight="488234496" behindDoc="0" locked="0" layoutInCell="1" allowOverlap="1" wp14:anchorId="150A83C1" wp14:editId="5F69DB0D">
                <wp:simplePos x="0" y="0"/>
                <wp:positionH relativeFrom="column">
                  <wp:posOffset>6044565</wp:posOffset>
                </wp:positionH>
                <wp:positionV relativeFrom="paragraph">
                  <wp:posOffset>167005</wp:posOffset>
                </wp:positionV>
                <wp:extent cx="482600" cy="266700"/>
                <wp:effectExtent l="0" t="0" r="0" b="0"/>
                <wp:wrapNone/>
                <wp:docPr id="836754455" name="Поле 1942"/>
                <wp:cNvGraphicFramePr/>
                <a:graphic xmlns:a="http://schemas.openxmlformats.org/drawingml/2006/main">
                  <a:graphicData uri="http://schemas.microsoft.com/office/word/2010/wordprocessingShape">
                    <wps:wsp>
                      <wps:cNvSpPr txBox="1"/>
                      <wps:spPr>
                        <a:xfrm>
                          <a:off x="0" y="0"/>
                          <a:ext cx="482600" cy="266700"/>
                        </a:xfrm>
                        <a:prstGeom prst="rect">
                          <a:avLst/>
                        </a:prstGeom>
                        <a:solidFill>
                          <a:schemeClr val="lt1"/>
                        </a:solidFill>
                        <a:ln w="6350">
                          <a:noFill/>
                        </a:ln>
                      </wps:spPr>
                      <wps:txbx>
                        <w:txbxContent>
                          <w:p w14:paraId="2B4FD67A" w14:textId="6A9736B0" w:rsidR="004A2937" w:rsidRPr="004A2937" w:rsidRDefault="004A2937">
                            <w:pPr>
                              <w:rPr>
                                <w:color w:val="388600"/>
                                <w:sz w:val="20"/>
                                <w:szCs w:val="20"/>
                                <w:lang w:val="uk-UA"/>
                              </w:rPr>
                            </w:pPr>
                            <w:r w:rsidRPr="004A2937">
                              <w:rPr>
                                <w:color w:val="388600"/>
                                <w:sz w:val="20"/>
                                <w:szCs w:val="20"/>
                                <w:lang w:val="uk-UA"/>
                              </w:rPr>
                              <w:t>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0A83C1" id="Поле 1942" o:spid="_x0000_s1179" type="#_x0000_t202" style="position:absolute;left:0;text-align:left;margin-left:475.95pt;margin-top:13.15pt;width:38pt;height:21pt;z-index:48823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" fillcolor="white [3201]" stroked="f" strokeweight=".5pt">
                <v:textbox>
                  <w:txbxContent>
                    <w:p w14:paraId="2B4FD67A" w14:textId="6A9736B0" w:rsidR="004A2937" w:rsidRPr="004A2937" w:rsidRDefault="004A2937">
                      <w:pPr>
                        <w:rPr>
                          <w:color w:val="388600"/>
                          <w:sz w:val="20"/>
                          <w:szCs w:val="20"/>
                          <w:lang w:val="uk-UA"/>
                        </w:rPr>
                      </w:pPr>
                      <w:r w:rsidRPr="004A2937">
                        <w:rPr>
                          <w:color w:val="388600"/>
                          <w:sz w:val="20"/>
                          <w:szCs w:val="20"/>
                          <w:lang w:val="uk-UA"/>
                        </w:rPr>
                        <w:t>109</w:t>
                      </w:r>
                    </w:p>
                  </w:txbxContent>
                </v:textbox>
              </v:shape>
            </w:pict>
          </mc:Fallback>
        </mc:AlternateContent>
      </w:r>
      <w:r w:rsidR="00767E2A" w:rsidRPr="00FD0682">
        <w:rPr>
          <w:color w:val="000000" w:themeColor="text1"/>
          <w:w w:val="110"/>
          <w:sz w:val="20"/>
        </w:rPr>
        <w:t xml:space="preserve">121 – 175 дол. США в </w:t>
      </w:r>
      <w:proofErr w:type="spellStart"/>
      <w:r w:rsidR="00767E2A" w:rsidRPr="00FD0682">
        <w:rPr>
          <w:color w:val="000000" w:themeColor="text1"/>
          <w:w w:val="110"/>
          <w:sz w:val="20"/>
        </w:rPr>
        <w:t>Індії</w:t>
      </w:r>
      <w:proofErr w:type="spellEnd"/>
      <w:r w:rsidR="00767E2A" w:rsidRPr="00FD0682">
        <w:rPr>
          <w:color w:val="000000" w:themeColor="text1"/>
          <w:w w:val="110"/>
          <w:sz w:val="20"/>
        </w:rPr>
        <w:t>.</w:t>
      </w:r>
    </w:p>
    <w:p w14:paraId="04BE250B" w14:textId="77777777" w:rsidR="00767E2A" w:rsidRPr="00FD0682" w:rsidRDefault="00767E2A" w:rsidP="0015544F">
      <w:pPr>
        <w:pStyle w:val="a3"/>
        <w:spacing w:before="86" w:line="276" w:lineRule="auto"/>
        <w:ind w:left="567" w:right="4"/>
        <w:jc w:val="both"/>
        <w:rPr>
          <w:color w:val="000000" w:themeColor="text1"/>
          <w:sz w:val="20"/>
        </w:rPr>
      </w:pPr>
      <w:proofErr w:type="spellStart"/>
      <w:r w:rsidRPr="00FD0682">
        <w:rPr>
          <w:color w:val="000000" w:themeColor="text1"/>
          <w:w w:val="110"/>
          <w:sz w:val="20"/>
        </w:rPr>
        <w:lastRenderedPageBreak/>
        <w:t>Ці</w:t>
      </w:r>
      <w:proofErr w:type="spellEnd"/>
      <w:r w:rsidRPr="00FD0682">
        <w:rPr>
          <w:color w:val="000000" w:themeColor="text1"/>
          <w:w w:val="110"/>
          <w:sz w:val="20"/>
        </w:rPr>
        <w:t xml:space="preserve"> </w:t>
      </w:r>
      <w:proofErr w:type="spellStart"/>
      <w:r w:rsidRPr="00FD0682">
        <w:rPr>
          <w:color w:val="000000" w:themeColor="text1"/>
          <w:w w:val="110"/>
          <w:sz w:val="20"/>
        </w:rPr>
        <w:t>витрати</w:t>
      </w:r>
      <w:proofErr w:type="spellEnd"/>
      <w:r w:rsidRPr="00FD0682">
        <w:rPr>
          <w:color w:val="000000" w:themeColor="text1"/>
          <w:w w:val="110"/>
          <w:sz w:val="20"/>
        </w:rPr>
        <w:t xml:space="preserve"> </w:t>
      </w:r>
      <w:proofErr w:type="spellStart"/>
      <w:r w:rsidRPr="00FD0682">
        <w:rPr>
          <w:color w:val="000000" w:themeColor="text1"/>
          <w:w w:val="110"/>
          <w:sz w:val="20"/>
        </w:rPr>
        <w:t>залежать</w:t>
      </w:r>
      <w:proofErr w:type="spellEnd"/>
      <w:r w:rsidRPr="00FD0682">
        <w:rPr>
          <w:color w:val="000000" w:themeColor="text1"/>
          <w:w w:val="110"/>
          <w:sz w:val="20"/>
        </w:rPr>
        <w:t xml:space="preserve"> </w:t>
      </w:r>
      <w:proofErr w:type="spellStart"/>
      <w:r w:rsidRPr="00FD0682">
        <w:rPr>
          <w:color w:val="000000" w:themeColor="text1"/>
          <w:w w:val="110"/>
          <w:sz w:val="20"/>
        </w:rPr>
        <w:t>від</w:t>
      </w:r>
      <w:proofErr w:type="spellEnd"/>
      <w:r w:rsidRPr="00FD0682">
        <w:rPr>
          <w:color w:val="000000" w:themeColor="text1"/>
          <w:w w:val="110"/>
          <w:sz w:val="20"/>
        </w:rPr>
        <w:t xml:space="preserve"> </w:t>
      </w:r>
      <w:proofErr w:type="spellStart"/>
      <w:r w:rsidRPr="00FD0682">
        <w:rPr>
          <w:color w:val="000000" w:themeColor="text1"/>
          <w:w w:val="110"/>
          <w:sz w:val="20"/>
        </w:rPr>
        <w:t>обсягу</w:t>
      </w:r>
      <w:proofErr w:type="spellEnd"/>
      <w:r w:rsidRPr="00FD0682">
        <w:rPr>
          <w:color w:val="000000" w:themeColor="text1"/>
          <w:w w:val="110"/>
          <w:sz w:val="20"/>
        </w:rPr>
        <w:t xml:space="preserve"> </w:t>
      </w:r>
      <w:proofErr w:type="spellStart"/>
      <w:r w:rsidRPr="00FD0682">
        <w:rPr>
          <w:color w:val="000000" w:themeColor="text1"/>
          <w:w w:val="110"/>
          <w:sz w:val="20"/>
        </w:rPr>
        <w:t>пацієнтів</w:t>
      </w:r>
      <w:proofErr w:type="spellEnd"/>
      <w:r w:rsidRPr="00FD0682">
        <w:rPr>
          <w:color w:val="000000" w:themeColor="text1"/>
          <w:w w:val="110"/>
          <w:sz w:val="20"/>
        </w:rPr>
        <w:t xml:space="preserve">, </w:t>
      </w:r>
      <w:proofErr w:type="spellStart"/>
      <w:r w:rsidRPr="00FD0682">
        <w:rPr>
          <w:color w:val="000000" w:themeColor="text1"/>
          <w:w w:val="110"/>
          <w:sz w:val="20"/>
        </w:rPr>
        <w:t>об'єднання</w:t>
      </w:r>
      <w:proofErr w:type="spellEnd"/>
      <w:r w:rsidRPr="00FD0682">
        <w:rPr>
          <w:color w:val="000000" w:themeColor="text1"/>
          <w:w w:val="110"/>
          <w:sz w:val="20"/>
        </w:rPr>
        <w:t xml:space="preserve"> </w:t>
      </w:r>
      <w:proofErr w:type="spellStart"/>
      <w:r w:rsidRPr="00FD0682">
        <w:rPr>
          <w:color w:val="000000" w:themeColor="text1"/>
          <w:w w:val="110"/>
          <w:sz w:val="20"/>
        </w:rPr>
        <w:t>зразків</w:t>
      </w:r>
      <w:proofErr w:type="spellEnd"/>
      <w:r w:rsidRPr="00FD0682">
        <w:rPr>
          <w:color w:val="000000" w:themeColor="text1"/>
          <w:w w:val="110"/>
          <w:sz w:val="20"/>
        </w:rPr>
        <w:t xml:space="preserve"> у </w:t>
      </w:r>
      <w:proofErr w:type="spellStart"/>
      <w:r w:rsidRPr="00FD0682">
        <w:rPr>
          <w:color w:val="000000" w:themeColor="text1"/>
          <w:w w:val="110"/>
          <w:sz w:val="20"/>
        </w:rPr>
        <w:t>партії</w:t>
      </w:r>
      <w:proofErr w:type="spellEnd"/>
      <w:r w:rsidRPr="00FD0682">
        <w:rPr>
          <w:color w:val="000000" w:themeColor="text1"/>
          <w:w w:val="110"/>
          <w:sz w:val="20"/>
        </w:rPr>
        <w:t xml:space="preserve"> та </w:t>
      </w:r>
      <w:proofErr w:type="spellStart"/>
      <w:r w:rsidRPr="00FD0682">
        <w:rPr>
          <w:color w:val="000000" w:themeColor="text1"/>
          <w:w w:val="110"/>
          <w:sz w:val="20"/>
        </w:rPr>
        <w:t>узгодженої</w:t>
      </w:r>
      <w:proofErr w:type="spellEnd"/>
      <w:r w:rsidRPr="00FD0682">
        <w:rPr>
          <w:color w:val="000000" w:themeColor="text1"/>
          <w:w w:val="110"/>
          <w:sz w:val="20"/>
        </w:rPr>
        <w:t xml:space="preserve"> </w:t>
      </w:r>
      <w:proofErr w:type="spellStart"/>
      <w:r w:rsidRPr="00FD0682">
        <w:rPr>
          <w:color w:val="000000" w:themeColor="text1"/>
          <w:w w:val="110"/>
          <w:sz w:val="20"/>
        </w:rPr>
        <w:t>вартості</w:t>
      </w:r>
      <w:proofErr w:type="spellEnd"/>
      <w:r w:rsidRPr="00FD0682">
        <w:rPr>
          <w:color w:val="000000" w:themeColor="text1"/>
          <w:w w:val="110"/>
          <w:sz w:val="20"/>
        </w:rPr>
        <w:t xml:space="preserve"> </w:t>
      </w:r>
      <w:proofErr w:type="spellStart"/>
      <w:r w:rsidRPr="00FD0682">
        <w:rPr>
          <w:color w:val="000000" w:themeColor="text1"/>
          <w:w w:val="110"/>
          <w:sz w:val="20"/>
        </w:rPr>
        <w:t>набору</w:t>
      </w:r>
      <w:proofErr w:type="spellEnd"/>
      <w:r w:rsidRPr="00FD0682">
        <w:rPr>
          <w:color w:val="000000" w:themeColor="text1"/>
          <w:w w:val="110"/>
          <w:sz w:val="20"/>
        </w:rPr>
        <w:t xml:space="preserve"> </w:t>
      </w:r>
      <w:proofErr w:type="spellStart"/>
      <w:r w:rsidRPr="00FD0682">
        <w:rPr>
          <w:color w:val="000000" w:themeColor="text1"/>
          <w:w w:val="110"/>
          <w:sz w:val="20"/>
        </w:rPr>
        <w:t>для</w:t>
      </w:r>
      <w:proofErr w:type="spellEnd"/>
      <w:r w:rsidRPr="00FD0682">
        <w:rPr>
          <w:color w:val="000000" w:themeColor="text1"/>
          <w:w w:val="110"/>
          <w:sz w:val="20"/>
        </w:rPr>
        <w:t xml:space="preserve"> таргетного </w:t>
      </w:r>
      <w:r w:rsidRPr="00FD0682">
        <w:rPr>
          <w:color w:val="000000" w:themeColor="text1"/>
          <w:w w:val="110"/>
          <w:sz w:val="20"/>
          <w:lang w:val="uk-UA"/>
        </w:rPr>
        <w:t>СНП</w:t>
      </w:r>
      <w:r w:rsidRPr="00FD0682">
        <w:rPr>
          <w:color w:val="000000" w:themeColor="text1"/>
          <w:w w:val="110"/>
          <w:sz w:val="20"/>
        </w:rPr>
        <w:t>.</w:t>
      </w:r>
    </w:p>
    <w:p w14:paraId="0D9FCC59" w14:textId="77777777" w:rsidR="00767E2A" w:rsidRPr="00595828" w:rsidRDefault="00767E2A" w:rsidP="0015544F">
      <w:pPr>
        <w:pStyle w:val="a3"/>
        <w:spacing w:before="172" w:line="276" w:lineRule="auto"/>
        <w:ind w:left="567" w:right="4"/>
        <w:jc w:val="both"/>
        <w:rPr>
          <w:color w:val="000000" w:themeColor="text1"/>
          <w:sz w:val="20"/>
        </w:rPr>
      </w:pPr>
      <w:proofErr w:type="spellStart"/>
      <w:r w:rsidRPr="00595828">
        <w:rPr>
          <w:color w:val="000000" w:themeColor="text1"/>
          <w:w w:val="110"/>
          <w:sz w:val="20"/>
        </w:rPr>
        <w:t>Визнаючи</w:t>
      </w:r>
      <w:proofErr w:type="spellEnd"/>
      <w:r w:rsidRPr="00595828">
        <w:rPr>
          <w:color w:val="000000" w:themeColor="text1"/>
          <w:w w:val="110"/>
          <w:sz w:val="20"/>
        </w:rPr>
        <w:t xml:space="preserve"> </w:t>
      </w:r>
      <w:proofErr w:type="spellStart"/>
      <w:r w:rsidRPr="00595828">
        <w:rPr>
          <w:color w:val="000000" w:themeColor="text1"/>
          <w:w w:val="110"/>
          <w:sz w:val="20"/>
        </w:rPr>
        <w:t>брак</w:t>
      </w:r>
      <w:proofErr w:type="spellEnd"/>
      <w:r w:rsidRPr="00595828">
        <w:rPr>
          <w:color w:val="000000" w:themeColor="text1"/>
          <w:w w:val="110"/>
          <w:sz w:val="20"/>
        </w:rPr>
        <w:t xml:space="preserve"> </w:t>
      </w:r>
      <w:proofErr w:type="spellStart"/>
      <w:r w:rsidRPr="00595828">
        <w:rPr>
          <w:color w:val="000000" w:themeColor="text1"/>
          <w:w w:val="110"/>
          <w:sz w:val="20"/>
        </w:rPr>
        <w:t>економічних</w:t>
      </w:r>
      <w:proofErr w:type="spellEnd"/>
      <w:r w:rsidRPr="00595828">
        <w:rPr>
          <w:color w:val="000000" w:themeColor="text1"/>
          <w:w w:val="110"/>
          <w:sz w:val="20"/>
        </w:rPr>
        <w:t xml:space="preserve"> </w:t>
      </w:r>
      <w:proofErr w:type="spellStart"/>
      <w:r w:rsidRPr="00595828">
        <w:rPr>
          <w:color w:val="000000" w:themeColor="text1"/>
          <w:w w:val="110"/>
          <w:sz w:val="20"/>
        </w:rPr>
        <w:t>доказових</w:t>
      </w:r>
      <w:proofErr w:type="spellEnd"/>
      <w:r w:rsidRPr="00595828">
        <w:rPr>
          <w:color w:val="000000" w:themeColor="text1"/>
          <w:w w:val="110"/>
          <w:sz w:val="20"/>
        </w:rPr>
        <w:t xml:space="preserve"> </w:t>
      </w:r>
      <w:proofErr w:type="spellStart"/>
      <w:r w:rsidRPr="00595828">
        <w:rPr>
          <w:color w:val="000000" w:themeColor="text1"/>
          <w:w w:val="110"/>
          <w:sz w:val="20"/>
        </w:rPr>
        <w:t>даних</w:t>
      </w:r>
      <w:proofErr w:type="spellEnd"/>
      <w:r w:rsidRPr="00595828">
        <w:rPr>
          <w:color w:val="000000" w:themeColor="text1"/>
          <w:w w:val="110"/>
          <w:sz w:val="20"/>
        </w:rPr>
        <w:t xml:space="preserve"> з </w:t>
      </w:r>
      <w:proofErr w:type="spellStart"/>
      <w:r w:rsidRPr="00595828">
        <w:rPr>
          <w:color w:val="000000" w:themeColor="text1"/>
          <w:w w:val="110"/>
          <w:sz w:val="20"/>
        </w:rPr>
        <w:t>цієї</w:t>
      </w:r>
      <w:proofErr w:type="spellEnd"/>
      <w:r w:rsidRPr="00595828">
        <w:rPr>
          <w:color w:val="000000" w:themeColor="text1"/>
          <w:w w:val="110"/>
          <w:sz w:val="20"/>
        </w:rPr>
        <w:t xml:space="preserve"> </w:t>
      </w:r>
      <w:proofErr w:type="spellStart"/>
      <w:r w:rsidRPr="00595828">
        <w:rPr>
          <w:color w:val="000000" w:themeColor="text1"/>
          <w:w w:val="110"/>
          <w:sz w:val="20"/>
        </w:rPr>
        <w:t>теми</w:t>
      </w:r>
      <w:proofErr w:type="spellEnd"/>
      <w:r w:rsidRPr="00595828">
        <w:rPr>
          <w:color w:val="000000" w:themeColor="text1"/>
          <w:w w:val="110"/>
          <w:sz w:val="20"/>
        </w:rPr>
        <w:t xml:space="preserve">, </w:t>
      </w:r>
      <w:proofErr w:type="spellStart"/>
      <w:r w:rsidRPr="00595828">
        <w:rPr>
          <w:color w:val="000000" w:themeColor="text1"/>
          <w:w w:val="110"/>
          <w:sz w:val="20"/>
        </w:rPr>
        <w:t>було</w:t>
      </w:r>
      <w:proofErr w:type="spellEnd"/>
      <w:r w:rsidRPr="00595828">
        <w:rPr>
          <w:color w:val="000000" w:themeColor="text1"/>
          <w:w w:val="110"/>
          <w:sz w:val="20"/>
        </w:rPr>
        <w:t xml:space="preserve"> </w:t>
      </w:r>
      <w:proofErr w:type="spellStart"/>
      <w:r w:rsidRPr="00595828">
        <w:rPr>
          <w:color w:val="000000" w:themeColor="text1"/>
          <w:w w:val="110"/>
          <w:sz w:val="20"/>
        </w:rPr>
        <w:t>проведено</w:t>
      </w:r>
      <w:proofErr w:type="spellEnd"/>
      <w:r w:rsidRPr="00595828">
        <w:rPr>
          <w:color w:val="000000" w:themeColor="text1"/>
          <w:w w:val="110"/>
          <w:sz w:val="20"/>
        </w:rPr>
        <w:t xml:space="preserve"> </w:t>
      </w:r>
      <w:proofErr w:type="spellStart"/>
      <w:r w:rsidRPr="00595828">
        <w:rPr>
          <w:color w:val="000000" w:themeColor="text1"/>
          <w:w w:val="110"/>
          <w:sz w:val="20"/>
        </w:rPr>
        <w:t>гіпотетичне</w:t>
      </w:r>
      <w:proofErr w:type="spellEnd"/>
      <w:r w:rsidRPr="00595828">
        <w:rPr>
          <w:color w:val="000000" w:themeColor="text1"/>
          <w:w w:val="110"/>
          <w:sz w:val="20"/>
        </w:rPr>
        <w:t xml:space="preserve"> </w:t>
      </w:r>
      <w:proofErr w:type="spellStart"/>
      <w:r w:rsidRPr="00595828">
        <w:rPr>
          <w:color w:val="000000" w:themeColor="text1"/>
          <w:w w:val="110"/>
          <w:sz w:val="20"/>
        </w:rPr>
        <w:t>моделюва</w:t>
      </w:r>
      <w:r w:rsidRPr="00595828">
        <w:rPr>
          <w:color w:val="000000" w:themeColor="text1"/>
          <w:w w:val="110"/>
          <w:sz w:val="20"/>
          <w:lang w:val="uk-UA"/>
        </w:rPr>
        <w:t>ння</w:t>
      </w:r>
      <w:proofErr w:type="spellEnd"/>
      <w:r w:rsidRPr="00595828">
        <w:rPr>
          <w:color w:val="000000" w:themeColor="text1"/>
          <w:w w:val="110"/>
          <w:sz w:val="20"/>
        </w:rPr>
        <w:t xml:space="preserve"> </w:t>
      </w:r>
      <w:proofErr w:type="spellStart"/>
      <w:r w:rsidRPr="00595828">
        <w:rPr>
          <w:color w:val="000000" w:themeColor="text1"/>
          <w:w w:val="110"/>
          <w:sz w:val="20"/>
        </w:rPr>
        <w:t>економічної</w:t>
      </w:r>
      <w:proofErr w:type="spellEnd"/>
      <w:r w:rsidRPr="00595828">
        <w:rPr>
          <w:color w:val="000000" w:themeColor="text1"/>
          <w:w w:val="110"/>
          <w:sz w:val="20"/>
        </w:rPr>
        <w:t xml:space="preserve"> </w:t>
      </w:r>
      <w:proofErr w:type="spellStart"/>
      <w:r w:rsidRPr="00595828">
        <w:rPr>
          <w:color w:val="000000" w:themeColor="text1"/>
          <w:w w:val="110"/>
          <w:sz w:val="20"/>
        </w:rPr>
        <w:t>ефективності</w:t>
      </w:r>
      <w:proofErr w:type="spellEnd"/>
      <w:r w:rsidRPr="00595828">
        <w:rPr>
          <w:color w:val="000000" w:themeColor="text1"/>
          <w:w w:val="110"/>
          <w:sz w:val="20"/>
        </w:rPr>
        <w:t xml:space="preserve"> </w:t>
      </w:r>
      <w:r w:rsidRPr="00595828">
        <w:rPr>
          <w:color w:val="000000" w:themeColor="text1"/>
          <w:w w:val="110"/>
          <w:sz w:val="20"/>
          <w:lang w:val="uk-UA"/>
        </w:rPr>
        <w:t>з метою</w:t>
      </w:r>
      <w:r w:rsidRPr="00595828">
        <w:rPr>
          <w:color w:val="000000" w:themeColor="text1"/>
          <w:w w:val="110"/>
          <w:sz w:val="20"/>
        </w:rPr>
        <w:t xml:space="preserve"> </w:t>
      </w:r>
      <w:proofErr w:type="spellStart"/>
      <w:r w:rsidRPr="00595828">
        <w:rPr>
          <w:color w:val="000000" w:themeColor="text1"/>
          <w:w w:val="110"/>
          <w:sz w:val="20"/>
        </w:rPr>
        <w:t>оцінки</w:t>
      </w:r>
      <w:proofErr w:type="spellEnd"/>
      <w:r w:rsidRPr="00595828">
        <w:rPr>
          <w:color w:val="000000" w:themeColor="text1"/>
          <w:w w:val="110"/>
          <w:sz w:val="20"/>
        </w:rPr>
        <w:t xml:space="preserve"> </w:t>
      </w:r>
      <w:proofErr w:type="spellStart"/>
      <w:r w:rsidRPr="00595828">
        <w:rPr>
          <w:color w:val="000000" w:themeColor="text1"/>
          <w:w w:val="110"/>
          <w:sz w:val="20"/>
        </w:rPr>
        <w:t>економічної</w:t>
      </w:r>
      <w:proofErr w:type="spellEnd"/>
      <w:r w:rsidRPr="00595828">
        <w:rPr>
          <w:color w:val="000000" w:themeColor="text1"/>
          <w:w w:val="110"/>
          <w:sz w:val="20"/>
        </w:rPr>
        <w:t xml:space="preserve"> </w:t>
      </w:r>
      <w:proofErr w:type="spellStart"/>
      <w:r w:rsidRPr="00595828">
        <w:rPr>
          <w:color w:val="000000" w:themeColor="text1"/>
          <w:w w:val="110"/>
          <w:sz w:val="20"/>
        </w:rPr>
        <w:t>ефективності</w:t>
      </w:r>
      <w:proofErr w:type="spellEnd"/>
      <w:r w:rsidRPr="00595828">
        <w:rPr>
          <w:color w:val="000000" w:themeColor="text1"/>
          <w:w w:val="110"/>
          <w:sz w:val="20"/>
        </w:rPr>
        <w:t xml:space="preserve"> (</w:t>
      </w:r>
      <w:proofErr w:type="spellStart"/>
      <w:r w:rsidRPr="00595828">
        <w:rPr>
          <w:color w:val="000000" w:themeColor="text1"/>
          <w:w w:val="110"/>
          <w:sz w:val="20"/>
        </w:rPr>
        <w:t>Завдання</w:t>
      </w:r>
      <w:proofErr w:type="spellEnd"/>
      <w:r w:rsidRPr="00595828">
        <w:rPr>
          <w:color w:val="000000" w:themeColor="text1"/>
          <w:w w:val="110"/>
          <w:sz w:val="20"/>
        </w:rPr>
        <w:t xml:space="preserve"> 1) та </w:t>
      </w:r>
      <w:proofErr w:type="spellStart"/>
      <w:r w:rsidRPr="00595828">
        <w:rPr>
          <w:color w:val="000000" w:themeColor="text1"/>
          <w:w w:val="110"/>
          <w:sz w:val="20"/>
        </w:rPr>
        <w:t>фінансової</w:t>
      </w:r>
      <w:proofErr w:type="spellEnd"/>
      <w:r w:rsidRPr="00595828">
        <w:rPr>
          <w:color w:val="000000" w:themeColor="text1"/>
          <w:w w:val="110"/>
          <w:sz w:val="20"/>
        </w:rPr>
        <w:t xml:space="preserve"> </w:t>
      </w:r>
      <w:proofErr w:type="spellStart"/>
      <w:r w:rsidRPr="00595828">
        <w:rPr>
          <w:color w:val="000000" w:themeColor="text1"/>
          <w:w w:val="110"/>
          <w:sz w:val="20"/>
        </w:rPr>
        <w:t>доступності</w:t>
      </w:r>
      <w:proofErr w:type="spellEnd"/>
      <w:r w:rsidRPr="00595828">
        <w:rPr>
          <w:color w:val="000000" w:themeColor="text1"/>
          <w:w w:val="110"/>
          <w:sz w:val="20"/>
        </w:rPr>
        <w:t xml:space="preserve"> (</w:t>
      </w:r>
      <w:proofErr w:type="spellStart"/>
      <w:r w:rsidRPr="00595828">
        <w:rPr>
          <w:color w:val="000000" w:themeColor="text1"/>
          <w:w w:val="110"/>
          <w:sz w:val="20"/>
        </w:rPr>
        <w:t>Завдання</w:t>
      </w:r>
      <w:proofErr w:type="spellEnd"/>
      <w:r w:rsidRPr="00595828">
        <w:rPr>
          <w:color w:val="000000" w:themeColor="text1"/>
          <w:w w:val="110"/>
          <w:sz w:val="20"/>
        </w:rPr>
        <w:t xml:space="preserve"> 2) </w:t>
      </w:r>
      <w:proofErr w:type="spellStart"/>
      <w:r w:rsidRPr="00595828">
        <w:rPr>
          <w:color w:val="000000" w:themeColor="text1"/>
          <w:w w:val="110"/>
          <w:sz w:val="20"/>
        </w:rPr>
        <w:t>цих</w:t>
      </w:r>
      <w:proofErr w:type="spellEnd"/>
      <w:r w:rsidRPr="00595828">
        <w:rPr>
          <w:color w:val="000000" w:themeColor="text1"/>
          <w:w w:val="110"/>
          <w:sz w:val="20"/>
        </w:rPr>
        <w:t xml:space="preserve"> </w:t>
      </w:r>
      <w:proofErr w:type="spellStart"/>
      <w:r w:rsidRPr="00595828">
        <w:rPr>
          <w:color w:val="000000" w:themeColor="text1"/>
          <w:w w:val="110"/>
          <w:sz w:val="20"/>
        </w:rPr>
        <w:t>тестів</w:t>
      </w:r>
      <w:proofErr w:type="spellEnd"/>
      <w:r w:rsidRPr="00595828">
        <w:rPr>
          <w:color w:val="000000" w:themeColor="text1"/>
          <w:w w:val="110"/>
          <w:sz w:val="20"/>
        </w:rPr>
        <w:t xml:space="preserve"> </w:t>
      </w:r>
      <w:proofErr w:type="spellStart"/>
      <w:r w:rsidRPr="00595828">
        <w:rPr>
          <w:color w:val="000000" w:themeColor="text1"/>
          <w:w w:val="110"/>
          <w:sz w:val="20"/>
        </w:rPr>
        <w:t>для</w:t>
      </w:r>
      <w:proofErr w:type="spellEnd"/>
      <w:r w:rsidRPr="00595828">
        <w:rPr>
          <w:color w:val="000000" w:themeColor="text1"/>
          <w:w w:val="110"/>
          <w:sz w:val="20"/>
        </w:rPr>
        <w:t xml:space="preserve"> </w:t>
      </w:r>
      <w:proofErr w:type="spellStart"/>
      <w:r w:rsidRPr="00595828">
        <w:rPr>
          <w:color w:val="000000" w:themeColor="text1"/>
          <w:w w:val="110"/>
          <w:sz w:val="20"/>
        </w:rPr>
        <w:t>діагностики</w:t>
      </w:r>
      <w:proofErr w:type="spellEnd"/>
      <w:r w:rsidRPr="00595828">
        <w:rPr>
          <w:color w:val="000000" w:themeColor="text1"/>
          <w:w w:val="110"/>
          <w:sz w:val="20"/>
        </w:rPr>
        <w:t xml:space="preserve"> ЛС-ТБ у </w:t>
      </w:r>
      <w:proofErr w:type="spellStart"/>
      <w:r w:rsidRPr="00E005E2">
        <w:rPr>
          <w:color w:val="000000" w:themeColor="text1"/>
          <w:w w:val="110"/>
          <w:sz w:val="20"/>
        </w:rPr>
        <w:t>різних</w:t>
      </w:r>
      <w:proofErr w:type="spellEnd"/>
      <w:r w:rsidRPr="00E005E2">
        <w:rPr>
          <w:color w:val="000000" w:themeColor="text1"/>
          <w:w w:val="110"/>
          <w:sz w:val="20"/>
        </w:rPr>
        <w:t xml:space="preserve"> </w:t>
      </w:r>
      <w:r w:rsidRPr="00E005E2">
        <w:rPr>
          <w:color w:val="000000" w:themeColor="text1"/>
          <w:w w:val="110"/>
          <w:sz w:val="20"/>
          <w:lang w:val="uk-UA"/>
        </w:rPr>
        <w:t>країнах</w:t>
      </w:r>
      <w:r w:rsidRPr="00595828">
        <w:rPr>
          <w:color w:val="000000" w:themeColor="text1"/>
          <w:w w:val="110"/>
          <w:sz w:val="20"/>
        </w:rPr>
        <w:t xml:space="preserve"> з </w:t>
      </w:r>
      <w:proofErr w:type="spellStart"/>
      <w:r w:rsidRPr="00595828">
        <w:rPr>
          <w:color w:val="000000" w:themeColor="text1"/>
          <w:w w:val="110"/>
          <w:sz w:val="20"/>
        </w:rPr>
        <w:t>високим</w:t>
      </w:r>
      <w:proofErr w:type="spellEnd"/>
      <w:r w:rsidRPr="00595828">
        <w:rPr>
          <w:color w:val="000000" w:themeColor="text1"/>
          <w:w w:val="110"/>
          <w:sz w:val="20"/>
        </w:rPr>
        <w:t xml:space="preserve"> </w:t>
      </w:r>
      <w:proofErr w:type="spellStart"/>
      <w:r w:rsidRPr="00595828">
        <w:rPr>
          <w:color w:val="000000" w:themeColor="text1"/>
          <w:w w:val="110"/>
          <w:sz w:val="20"/>
        </w:rPr>
        <w:t>тягарем</w:t>
      </w:r>
      <w:proofErr w:type="spellEnd"/>
      <w:r w:rsidRPr="00595828">
        <w:rPr>
          <w:color w:val="000000" w:themeColor="text1"/>
          <w:w w:val="110"/>
          <w:sz w:val="20"/>
        </w:rPr>
        <w:t xml:space="preserve"> </w:t>
      </w:r>
      <w:proofErr w:type="spellStart"/>
      <w:r w:rsidRPr="00595828">
        <w:rPr>
          <w:color w:val="000000" w:themeColor="text1"/>
          <w:w w:val="110"/>
          <w:sz w:val="20"/>
        </w:rPr>
        <w:t>туберкульозу</w:t>
      </w:r>
      <w:proofErr w:type="spellEnd"/>
      <w:r w:rsidRPr="00595828">
        <w:rPr>
          <w:color w:val="000000" w:themeColor="text1"/>
          <w:w w:val="110"/>
          <w:sz w:val="20"/>
        </w:rPr>
        <w:t>.</w:t>
      </w:r>
    </w:p>
    <w:p w14:paraId="466F3265" w14:textId="77777777" w:rsidR="00767E2A" w:rsidRPr="00595828" w:rsidRDefault="00767E2A" w:rsidP="00767E2A">
      <w:pPr>
        <w:pStyle w:val="9"/>
        <w:spacing w:before="174" w:line="276" w:lineRule="auto"/>
        <w:ind w:right="4"/>
        <w:rPr>
          <w:rFonts w:ascii="Microsoft Sans Serif" w:hAnsi="Microsoft Sans Serif" w:cs="Microsoft Sans Serif"/>
          <w:color w:val="000000" w:themeColor="text1"/>
        </w:rPr>
      </w:pPr>
      <w:proofErr w:type="spellStart"/>
      <w:r w:rsidRPr="00595828">
        <w:rPr>
          <w:rFonts w:ascii="Microsoft Sans Serif" w:hAnsi="Microsoft Sans Serif" w:cs="Microsoft Sans Serif"/>
          <w:color w:val="000000" w:themeColor="text1"/>
          <w:w w:val="115"/>
        </w:rPr>
        <w:t>Завдання</w:t>
      </w:r>
      <w:proofErr w:type="spellEnd"/>
      <w:r w:rsidRPr="00595828">
        <w:rPr>
          <w:rFonts w:ascii="Microsoft Sans Serif" w:hAnsi="Microsoft Sans Serif" w:cs="Microsoft Sans Serif"/>
          <w:color w:val="000000" w:themeColor="text1"/>
          <w:w w:val="115"/>
        </w:rPr>
        <w:t xml:space="preserve"> 1: </w:t>
      </w:r>
      <w:proofErr w:type="spellStart"/>
      <w:r w:rsidRPr="00595828">
        <w:rPr>
          <w:rFonts w:ascii="Microsoft Sans Serif" w:hAnsi="Microsoft Sans Serif" w:cs="Microsoft Sans Serif"/>
          <w:color w:val="000000" w:themeColor="text1"/>
          <w:w w:val="115"/>
        </w:rPr>
        <w:t>Оцінити</w:t>
      </w:r>
      <w:proofErr w:type="spellEnd"/>
      <w:r w:rsidRPr="00595828">
        <w:rPr>
          <w:rFonts w:ascii="Microsoft Sans Serif" w:hAnsi="Microsoft Sans Serif" w:cs="Microsoft Sans Serif"/>
          <w:color w:val="000000" w:themeColor="text1"/>
          <w:w w:val="115"/>
        </w:rPr>
        <w:t xml:space="preserve"> </w:t>
      </w:r>
      <w:proofErr w:type="spellStart"/>
      <w:r w:rsidRPr="00595828">
        <w:rPr>
          <w:rFonts w:ascii="Microsoft Sans Serif" w:hAnsi="Microsoft Sans Serif" w:cs="Microsoft Sans Serif"/>
          <w:color w:val="000000" w:themeColor="text1"/>
          <w:w w:val="115"/>
        </w:rPr>
        <w:t>потенційну</w:t>
      </w:r>
      <w:proofErr w:type="spellEnd"/>
      <w:r w:rsidRPr="00595828">
        <w:rPr>
          <w:rFonts w:ascii="Microsoft Sans Serif" w:hAnsi="Microsoft Sans Serif" w:cs="Microsoft Sans Serif"/>
          <w:color w:val="000000" w:themeColor="text1"/>
          <w:w w:val="115"/>
        </w:rPr>
        <w:t xml:space="preserve"> </w:t>
      </w:r>
      <w:proofErr w:type="spellStart"/>
      <w:r w:rsidRPr="00595828">
        <w:rPr>
          <w:rFonts w:ascii="Microsoft Sans Serif" w:hAnsi="Microsoft Sans Serif" w:cs="Microsoft Sans Serif"/>
          <w:color w:val="000000" w:themeColor="text1"/>
          <w:w w:val="115"/>
        </w:rPr>
        <w:t>економічну</w:t>
      </w:r>
      <w:proofErr w:type="spellEnd"/>
      <w:r w:rsidRPr="00595828">
        <w:rPr>
          <w:rFonts w:ascii="Microsoft Sans Serif" w:hAnsi="Microsoft Sans Serif" w:cs="Microsoft Sans Serif"/>
          <w:color w:val="000000" w:themeColor="text1"/>
          <w:w w:val="115"/>
        </w:rPr>
        <w:t xml:space="preserve"> </w:t>
      </w:r>
      <w:proofErr w:type="spellStart"/>
      <w:r w:rsidRPr="00595828">
        <w:rPr>
          <w:rFonts w:ascii="Microsoft Sans Serif" w:hAnsi="Microsoft Sans Serif" w:cs="Microsoft Sans Serif"/>
          <w:color w:val="000000" w:themeColor="text1"/>
          <w:w w:val="115"/>
        </w:rPr>
        <w:t>ефективність</w:t>
      </w:r>
      <w:proofErr w:type="spellEnd"/>
      <w:r w:rsidRPr="00595828">
        <w:rPr>
          <w:rFonts w:ascii="Microsoft Sans Serif" w:hAnsi="Microsoft Sans Serif" w:cs="Microsoft Sans Serif"/>
          <w:color w:val="000000" w:themeColor="text1"/>
          <w:w w:val="115"/>
        </w:rPr>
        <w:t xml:space="preserve"> </w:t>
      </w:r>
      <w:proofErr w:type="spellStart"/>
      <w:r w:rsidRPr="00595828">
        <w:rPr>
          <w:rFonts w:ascii="Microsoft Sans Serif" w:hAnsi="Microsoft Sans Serif" w:cs="Microsoft Sans Serif"/>
          <w:color w:val="000000" w:themeColor="text1"/>
          <w:w w:val="115"/>
        </w:rPr>
        <w:t>впровадження</w:t>
      </w:r>
      <w:proofErr w:type="spellEnd"/>
      <w:r w:rsidRPr="00595828">
        <w:rPr>
          <w:rFonts w:ascii="Microsoft Sans Serif" w:hAnsi="Microsoft Sans Serif" w:cs="Microsoft Sans Serif"/>
          <w:color w:val="000000" w:themeColor="text1"/>
          <w:w w:val="115"/>
        </w:rPr>
        <w:t xml:space="preserve"> </w:t>
      </w:r>
      <w:proofErr w:type="spellStart"/>
      <w:r w:rsidRPr="00595828">
        <w:rPr>
          <w:rFonts w:ascii="Microsoft Sans Serif" w:hAnsi="Microsoft Sans Serif" w:cs="Microsoft Sans Serif"/>
          <w:color w:val="000000" w:themeColor="text1"/>
          <w:w w:val="115"/>
        </w:rPr>
        <w:t>технології</w:t>
      </w:r>
      <w:proofErr w:type="spellEnd"/>
      <w:r w:rsidRPr="00595828">
        <w:rPr>
          <w:rFonts w:ascii="Microsoft Sans Serif" w:hAnsi="Microsoft Sans Serif" w:cs="Microsoft Sans Serif"/>
          <w:color w:val="000000" w:themeColor="text1"/>
          <w:w w:val="115"/>
        </w:rPr>
        <w:t xml:space="preserve"> таргетного </w:t>
      </w:r>
      <w:r w:rsidRPr="00595828">
        <w:rPr>
          <w:rFonts w:ascii="Microsoft Sans Serif" w:hAnsi="Microsoft Sans Serif" w:cs="Microsoft Sans Serif"/>
          <w:color w:val="000000" w:themeColor="text1"/>
          <w:w w:val="115"/>
          <w:lang w:val="uk-UA"/>
        </w:rPr>
        <w:t>СНП</w:t>
      </w:r>
      <w:r w:rsidRPr="00595828">
        <w:rPr>
          <w:rFonts w:ascii="Microsoft Sans Serif" w:hAnsi="Microsoft Sans Serif" w:cs="Microsoft Sans Serif"/>
          <w:color w:val="000000" w:themeColor="text1"/>
          <w:w w:val="115"/>
        </w:rPr>
        <w:t xml:space="preserve"> </w:t>
      </w:r>
      <w:proofErr w:type="spellStart"/>
      <w:r w:rsidRPr="00595828">
        <w:rPr>
          <w:rFonts w:ascii="Microsoft Sans Serif" w:hAnsi="Microsoft Sans Serif" w:cs="Microsoft Sans Serif"/>
          <w:color w:val="000000" w:themeColor="text1"/>
          <w:w w:val="115"/>
        </w:rPr>
        <w:t>для</w:t>
      </w:r>
      <w:proofErr w:type="spellEnd"/>
      <w:r w:rsidRPr="00595828">
        <w:rPr>
          <w:rFonts w:ascii="Microsoft Sans Serif" w:hAnsi="Microsoft Sans Serif" w:cs="Microsoft Sans Serif"/>
          <w:color w:val="000000" w:themeColor="text1"/>
          <w:w w:val="115"/>
        </w:rPr>
        <w:t xml:space="preserve"> </w:t>
      </w:r>
      <w:proofErr w:type="spellStart"/>
      <w:r w:rsidRPr="00595828">
        <w:rPr>
          <w:rFonts w:ascii="Microsoft Sans Serif" w:hAnsi="Microsoft Sans Serif" w:cs="Microsoft Sans Serif"/>
          <w:color w:val="000000" w:themeColor="text1"/>
          <w:w w:val="115"/>
        </w:rPr>
        <w:t>діагностики</w:t>
      </w:r>
      <w:proofErr w:type="spellEnd"/>
      <w:r w:rsidRPr="00595828">
        <w:rPr>
          <w:rFonts w:ascii="Microsoft Sans Serif" w:hAnsi="Microsoft Sans Serif" w:cs="Microsoft Sans Serif"/>
          <w:color w:val="000000" w:themeColor="text1"/>
          <w:w w:val="115"/>
        </w:rPr>
        <w:t xml:space="preserve"> ЛС-ТБ в </w:t>
      </w:r>
      <w:proofErr w:type="spellStart"/>
      <w:r w:rsidRPr="00595828">
        <w:rPr>
          <w:rFonts w:ascii="Microsoft Sans Serif" w:hAnsi="Microsoft Sans Serif" w:cs="Microsoft Sans Serif"/>
          <w:color w:val="000000" w:themeColor="text1"/>
          <w:w w:val="115"/>
        </w:rPr>
        <w:t>Грузії</w:t>
      </w:r>
      <w:proofErr w:type="spellEnd"/>
      <w:r w:rsidRPr="00595828">
        <w:rPr>
          <w:rFonts w:ascii="Microsoft Sans Serif" w:hAnsi="Microsoft Sans Serif" w:cs="Microsoft Sans Serif"/>
          <w:color w:val="000000" w:themeColor="text1"/>
          <w:w w:val="115"/>
        </w:rPr>
        <w:t xml:space="preserve">, </w:t>
      </w:r>
      <w:proofErr w:type="spellStart"/>
      <w:r w:rsidRPr="00595828">
        <w:rPr>
          <w:rFonts w:ascii="Microsoft Sans Serif" w:hAnsi="Microsoft Sans Serif" w:cs="Microsoft Sans Serif"/>
          <w:color w:val="000000" w:themeColor="text1"/>
          <w:w w:val="115"/>
        </w:rPr>
        <w:t>Індії</w:t>
      </w:r>
      <w:proofErr w:type="spellEnd"/>
      <w:r w:rsidRPr="00595828">
        <w:rPr>
          <w:rFonts w:ascii="Microsoft Sans Serif" w:hAnsi="Microsoft Sans Serif" w:cs="Microsoft Sans Serif"/>
          <w:color w:val="000000" w:themeColor="text1"/>
          <w:w w:val="115"/>
        </w:rPr>
        <w:t xml:space="preserve"> та </w:t>
      </w:r>
      <w:proofErr w:type="spellStart"/>
      <w:r w:rsidRPr="00595828">
        <w:rPr>
          <w:rFonts w:ascii="Microsoft Sans Serif" w:hAnsi="Microsoft Sans Serif" w:cs="Microsoft Sans Serif"/>
          <w:color w:val="000000" w:themeColor="text1"/>
          <w:w w:val="115"/>
        </w:rPr>
        <w:t>Південній</w:t>
      </w:r>
      <w:proofErr w:type="spellEnd"/>
      <w:r w:rsidRPr="00595828">
        <w:rPr>
          <w:rFonts w:ascii="Microsoft Sans Serif" w:hAnsi="Microsoft Sans Serif" w:cs="Microsoft Sans Serif"/>
          <w:color w:val="000000" w:themeColor="text1"/>
          <w:w w:val="115"/>
        </w:rPr>
        <w:t xml:space="preserve"> </w:t>
      </w:r>
      <w:proofErr w:type="spellStart"/>
      <w:r w:rsidRPr="00595828">
        <w:rPr>
          <w:rFonts w:ascii="Microsoft Sans Serif" w:hAnsi="Microsoft Sans Serif" w:cs="Microsoft Sans Serif"/>
          <w:color w:val="000000" w:themeColor="text1"/>
          <w:w w:val="115"/>
        </w:rPr>
        <w:t>Африці</w:t>
      </w:r>
      <w:proofErr w:type="spellEnd"/>
      <w:r w:rsidRPr="00595828">
        <w:rPr>
          <w:rFonts w:ascii="Microsoft Sans Serif" w:hAnsi="Microsoft Sans Serif" w:cs="Microsoft Sans Serif"/>
          <w:color w:val="000000" w:themeColor="text1"/>
          <w:w w:val="115"/>
        </w:rPr>
        <w:t>.</w:t>
      </w:r>
    </w:p>
    <w:p w14:paraId="32ED3225" w14:textId="77777777" w:rsidR="00767E2A" w:rsidRPr="006B6651" w:rsidRDefault="00767E2A" w:rsidP="0015544F">
      <w:pPr>
        <w:pStyle w:val="a3"/>
        <w:spacing w:before="142" w:line="249" w:lineRule="auto"/>
        <w:ind w:left="567" w:right="4"/>
        <w:rPr>
          <w:color w:val="000000" w:themeColor="text1"/>
          <w:sz w:val="20"/>
          <w:lang w:val="ru-RU"/>
        </w:rPr>
      </w:pPr>
      <w:proofErr w:type="spellStart"/>
      <w:r w:rsidRPr="006B6651">
        <w:rPr>
          <w:color w:val="000000" w:themeColor="text1"/>
          <w:w w:val="110"/>
          <w:sz w:val="20"/>
          <w:lang w:val="ru-RU"/>
        </w:rPr>
        <w:t>Ця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оцінка</w:t>
      </w:r>
      <w:proofErr w:type="spellEnd"/>
      <w:r w:rsidRPr="006B6651">
        <w:rPr>
          <w:color w:val="000000" w:themeColor="text1"/>
          <w:w w:val="110"/>
          <w:sz w:val="20"/>
          <w:lang w:val="ru-RU"/>
        </w:rPr>
        <w:t xml:space="preserve"> включала </w:t>
      </w:r>
      <w:proofErr w:type="spellStart"/>
      <w:r w:rsidRPr="006B6651">
        <w:rPr>
          <w:color w:val="000000" w:themeColor="text1"/>
          <w:w w:val="110"/>
          <w:sz w:val="20"/>
          <w:lang w:val="ru-RU"/>
        </w:rPr>
        <w:t>моделювання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економічної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ефективності</w:t>
      </w:r>
      <w:proofErr w:type="spellEnd"/>
      <w:r w:rsidRPr="006B6651">
        <w:rPr>
          <w:color w:val="000000" w:themeColor="text1"/>
          <w:w w:val="110"/>
          <w:sz w:val="20"/>
          <w:lang w:val="ru-RU"/>
        </w:rPr>
        <w:t xml:space="preserve"> таргетного </w:t>
      </w:r>
      <w:r w:rsidRPr="00595828">
        <w:rPr>
          <w:color w:val="000000" w:themeColor="text1"/>
          <w:w w:val="110"/>
          <w:sz w:val="20"/>
          <w:lang w:val="uk-UA"/>
        </w:rPr>
        <w:t>СНП</w:t>
      </w:r>
      <w:r w:rsidRPr="006B6651">
        <w:rPr>
          <w:color w:val="000000" w:themeColor="text1"/>
          <w:w w:val="110"/>
          <w:sz w:val="20"/>
          <w:lang w:val="ru-RU"/>
        </w:rPr>
        <w:t xml:space="preserve"> у </w:t>
      </w:r>
      <w:proofErr w:type="spellStart"/>
      <w:r w:rsidRPr="006B6651">
        <w:rPr>
          <w:color w:val="000000" w:themeColor="text1"/>
          <w:w w:val="110"/>
          <w:sz w:val="20"/>
          <w:lang w:val="ru-RU"/>
        </w:rPr>
        <w:t>трьох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окремих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сценаріях</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різними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варіантами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порівняння</w:t>
      </w:r>
      <w:proofErr w:type="spellEnd"/>
      <w:r w:rsidRPr="006B6651">
        <w:rPr>
          <w:color w:val="000000" w:themeColor="text1"/>
          <w:w w:val="110"/>
          <w:sz w:val="20"/>
          <w:lang w:val="ru-RU"/>
        </w:rPr>
        <w:t>:</w:t>
      </w:r>
    </w:p>
    <w:p w14:paraId="50A98D08" w14:textId="77777777" w:rsidR="00767E2A" w:rsidRPr="006B6651" w:rsidRDefault="00767E2A" w:rsidP="004A2937">
      <w:pPr>
        <w:pStyle w:val="a4"/>
        <w:numPr>
          <w:ilvl w:val="0"/>
          <w:numId w:val="48"/>
        </w:numPr>
        <w:tabs>
          <w:tab w:val="left" w:pos="2127"/>
        </w:tabs>
        <w:spacing w:before="117" w:line="276" w:lineRule="auto"/>
        <w:ind w:left="993" w:right="4"/>
        <w:rPr>
          <w:color w:val="000000" w:themeColor="text1"/>
          <w:sz w:val="20"/>
          <w:lang w:val="ru-RU"/>
        </w:rPr>
      </w:pPr>
      <w:proofErr w:type="spellStart"/>
      <w:r w:rsidRPr="006B6651">
        <w:rPr>
          <w:color w:val="000000" w:themeColor="text1"/>
          <w:w w:val="110"/>
          <w:sz w:val="20"/>
          <w:lang w:val="ru-RU"/>
        </w:rPr>
        <w:t>Економічна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ефективність</w:t>
      </w:r>
      <w:proofErr w:type="spellEnd"/>
      <w:r w:rsidRPr="006B6651">
        <w:rPr>
          <w:color w:val="000000" w:themeColor="text1"/>
          <w:w w:val="110"/>
          <w:sz w:val="20"/>
          <w:lang w:val="ru-RU"/>
        </w:rPr>
        <w:t xml:space="preserve"> таргетного </w:t>
      </w:r>
      <w:bookmarkStart w:id="89" w:name="_Hlk198194722"/>
      <w:r w:rsidRPr="00595828">
        <w:rPr>
          <w:color w:val="000000" w:themeColor="text1"/>
          <w:w w:val="110"/>
          <w:sz w:val="20"/>
          <w:lang w:val="uk-UA"/>
        </w:rPr>
        <w:t>СНП</w:t>
      </w:r>
      <w:bookmarkEnd w:id="89"/>
      <w:r w:rsidRPr="006B6651">
        <w:rPr>
          <w:color w:val="000000" w:themeColor="text1"/>
          <w:w w:val="110"/>
          <w:sz w:val="20"/>
          <w:lang w:val="ru-RU"/>
        </w:rPr>
        <w:t xml:space="preserve"> для Т</w:t>
      </w:r>
      <w:r w:rsidRPr="00595828">
        <w:rPr>
          <w:color w:val="000000" w:themeColor="text1"/>
          <w:w w:val="110"/>
          <w:sz w:val="20"/>
          <w:lang w:val="uk-UA"/>
        </w:rPr>
        <w:t>М</w:t>
      </w:r>
      <w:r w:rsidRPr="006B6651">
        <w:rPr>
          <w:color w:val="000000" w:themeColor="text1"/>
          <w:w w:val="110"/>
          <w:sz w:val="20"/>
          <w:lang w:val="ru-RU"/>
        </w:rPr>
        <w:t xml:space="preserve">Ч </w:t>
      </w:r>
      <w:proofErr w:type="spellStart"/>
      <w:r w:rsidRPr="006B6651">
        <w:rPr>
          <w:color w:val="000000" w:themeColor="text1"/>
          <w:w w:val="110"/>
          <w:sz w:val="20"/>
          <w:lang w:val="ru-RU"/>
        </w:rPr>
        <w:t>серед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осіб</w:t>
      </w:r>
      <w:proofErr w:type="spellEnd"/>
      <w:r w:rsidRPr="006B6651">
        <w:rPr>
          <w:color w:val="000000" w:themeColor="text1"/>
          <w:w w:val="110"/>
          <w:sz w:val="20"/>
          <w:lang w:val="ru-RU"/>
        </w:rPr>
        <w:t xml:space="preserve"> з Р</w:t>
      </w:r>
      <w:proofErr w:type="spellStart"/>
      <w:r w:rsidRPr="00595828">
        <w:rPr>
          <w:color w:val="000000" w:themeColor="text1"/>
          <w:w w:val="110"/>
          <w:sz w:val="20"/>
          <w:lang w:val="uk-UA"/>
        </w:rPr>
        <w:t>иф</w:t>
      </w:r>
      <w:proofErr w:type="spellEnd"/>
      <w:r w:rsidRPr="006B6651">
        <w:rPr>
          <w:color w:val="000000" w:themeColor="text1"/>
          <w:w w:val="110"/>
          <w:sz w:val="20"/>
          <w:lang w:val="ru-RU"/>
        </w:rPr>
        <w:t xml:space="preserve">-ТБ </w:t>
      </w:r>
      <w:proofErr w:type="spellStart"/>
      <w:r w:rsidRPr="006B6651">
        <w:rPr>
          <w:color w:val="000000" w:themeColor="text1"/>
          <w:w w:val="110"/>
          <w:sz w:val="20"/>
          <w:lang w:val="ru-RU"/>
        </w:rPr>
        <w:t>після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швидкого</w:t>
      </w:r>
      <w:proofErr w:type="spellEnd"/>
      <w:r w:rsidRPr="006B6651">
        <w:rPr>
          <w:color w:val="000000" w:themeColor="text1"/>
          <w:w w:val="110"/>
          <w:sz w:val="20"/>
          <w:lang w:val="ru-RU"/>
        </w:rPr>
        <w:t xml:space="preserve"> молекулярного тесту на </w:t>
      </w:r>
      <w:proofErr w:type="spellStart"/>
      <w:r w:rsidRPr="006B6651">
        <w:rPr>
          <w:color w:val="000000" w:themeColor="text1"/>
          <w:w w:val="110"/>
          <w:sz w:val="20"/>
          <w:lang w:val="ru-RU"/>
        </w:rPr>
        <w:t>стійкість</w:t>
      </w:r>
      <w:proofErr w:type="spellEnd"/>
      <w:r w:rsidRPr="006B6651">
        <w:rPr>
          <w:color w:val="000000" w:themeColor="text1"/>
          <w:w w:val="110"/>
          <w:sz w:val="20"/>
          <w:lang w:val="ru-RU"/>
        </w:rPr>
        <w:t xml:space="preserve"> до рифампіцину як </w:t>
      </w:r>
      <w:proofErr w:type="spellStart"/>
      <w:r w:rsidRPr="006B6651">
        <w:rPr>
          <w:color w:val="000000" w:themeColor="text1"/>
          <w:w w:val="110"/>
          <w:sz w:val="20"/>
          <w:lang w:val="ru-RU"/>
        </w:rPr>
        <w:t>заміна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фенотипового</w:t>
      </w:r>
      <w:proofErr w:type="spellEnd"/>
      <w:r w:rsidRPr="006B6651">
        <w:rPr>
          <w:color w:val="000000" w:themeColor="text1"/>
          <w:w w:val="110"/>
          <w:sz w:val="20"/>
          <w:lang w:val="ru-RU"/>
        </w:rPr>
        <w:t xml:space="preserve"> Т</w:t>
      </w:r>
      <w:r w:rsidRPr="00595828">
        <w:rPr>
          <w:color w:val="000000" w:themeColor="text1"/>
          <w:w w:val="110"/>
          <w:sz w:val="20"/>
          <w:lang w:val="uk-UA"/>
        </w:rPr>
        <w:t>М</w:t>
      </w:r>
      <w:r w:rsidRPr="006B6651">
        <w:rPr>
          <w:color w:val="000000" w:themeColor="text1"/>
          <w:w w:val="110"/>
          <w:sz w:val="20"/>
          <w:lang w:val="ru-RU"/>
        </w:rPr>
        <w:t>Ч (</w:t>
      </w:r>
      <w:r w:rsidRPr="00595828">
        <w:rPr>
          <w:color w:val="000000" w:themeColor="text1"/>
          <w:w w:val="110"/>
          <w:sz w:val="20"/>
        </w:rPr>
        <w:t>PICO</w:t>
      </w:r>
      <w:r w:rsidRPr="006B6651">
        <w:rPr>
          <w:color w:val="000000" w:themeColor="text1"/>
          <w:w w:val="110"/>
          <w:sz w:val="20"/>
          <w:lang w:val="ru-RU"/>
        </w:rPr>
        <w:t xml:space="preserve"> 2).</w:t>
      </w:r>
    </w:p>
    <w:p w14:paraId="139452B6" w14:textId="77777777" w:rsidR="00767E2A" w:rsidRPr="006B6651" w:rsidRDefault="00767E2A" w:rsidP="004A2937">
      <w:pPr>
        <w:pStyle w:val="a4"/>
        <w:numPr>
          <w:ilvl w:val="0"/>
          <w:numId w:val="48"/>
        </w:numPr>
        <w:tabs>
          <w:tab w:val="left" w:pos="1701"/>
        </w:tabs>
        <w:spacing w:before="172" w:line="276" w:lineRule="auto"/>
        <w:ind w:left="993" w:right="4"/>
        <w:rPr>
          <w:color w:val="000000" w:themeColor="text1"/>
          <w:sz w:val="20"/>
          <w:lang w:val="ru-RU"/>
        </w:rPr>
      </w:pPr>
      <w:proofErr w:type="spellStart"/>
      <w:r w:rsidRPr="006B6651">
        <w:rPr>
          <w:color w:val="000000" w:themeColor="text1"/>
          <w:w w:val="110"/>
          <w:sz w:val="20"/>
          <w:lang w:val="ru-RU"/>
        </w:rPr>
        <w:t>Економічна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ефективність</w:t>
      </w:r>
      <w:proofErr w:type="spellEnd"/>
      <w:r w:rsidRPr="006B6651">
        <w:rPr>
          <w:color w:val="000000" w:themeColor="text1"/>
          <w:w w:val="110"/>
          <w:sz w:val="20"/>
          <w:lang w:val="ru-RU"/>
        </w:rPr>
        <w:t xml:space="preserve"> таргетного СНП для Т</w:t>
      </w:r>
      <w:r w:rsidRPr="00595828">
        <w:rPr>
          <w:color w:val="000000" w:themeColor="text1"/>
          <w:w w:val="110"/>
          <w:sz w:val="20"/>
          <w:lang w:val="uk-UA"/>
        </w:rPr>
        <w:t>М</w:t>
      </w:r>
      <w:r w:rsidRPr="006B6651">
        <w:rPr>
          <w:color w:val="000000" w:themeColor="text1"/>
          <w:w w:val="110"/>
          <w:sz w:val="20"/>
          <w:lang w:val="ru-RU"/>
        </w:rPr>
        <w:t xml:space="preserve">Ч </w:t>
      </w:r>
      <w:proofErr w:type="spellStart"/>
      <w:r w:rsidRPr="006B6651">
        <w:rPr>
          <w:color w:val="000000" w:themeColor="text1"/>
          <w:w w:val="110"/>
          <w:sz w:val="20"/>
          <w:lang w:val="ru-RU"/>
        </w:rPr>
        <w:t>серед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осіб</w:t>
      </w:r>
      <w:proofErr w:type="spellEnd"/>
      <w:r w:rsidRPr="006B6651">
        <w:rPr>
          <w:color w:val="000000" w:themeColor="text1"/>
          <w:w w:val="110"/>
          <w:sz w:val="20"/>
          <w:lang w:val="ru-RU"/>
        </w:rPr>
        <w:t xml:space="preserve"> з Р</w:t>
      </w:r>
      <w:proofErr w:type="spellStart"/>
      <w:r w:rsidRPr="00595828">
        <w:rPr>
          <w:color w:val="000000" w:themeColor="text1"/>
          <w:w w:val="110"/>
          <w:sz w:val="20"/>
          <w:lang w:val="uk-UA"/>
        </w:rPr>
        <w:t>иф</w:t>
      </w:r>
      <w:proofErr w:type="spellEnd"/>
      <w:r w:rsidRPr="006B6651">
        <w:rPr>
          <w:color w:val="000000" w:themeColor="text1"/>
          <w:w w:val="110"/>
          <w:sz w:val="20"/>
          <w:lang w:val="ru-RU"/>
        </w:rPr>
        <w:t xml:space="preserve">-ТБ </w:t>
      </w:r>
      <w:proofErr w:type="spellStart"/>
      <w:r w:rsidRPr="006B6651">
        <w:rPr>
          <w:color w:val="000000" w:themeColor="text1"/>
          <w:w w:val="110"/>
          <w:sz w:val="20"/>
          <w:lang w:val="ru-RU"/>
        </w:rPr>
        <w:t>після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швидкого</w:t>
      </w:r>
      <w:proofErr w:type="spellEnd"/>
      <w:r w:rsidRPr="006B6651">
        <w:rPr>
          <w:color w:val="000000" w:themeColor="text1"/>
          <w:w w:val="110"/>
          <w:sz w:val="20"/>
          <w:lang w:val="ru-RU"/>
        </w:rPr>
        <w:t xml:space="preserve"> молекулярного тесту на </w:t>
      </w:r>
      <w:proofErr w:type="spellStart"/>
      <w:r w:rsidRPr="006B6651">
        <w:rPr>
          <w:color w:val="000000" w:themeColor="text1"/>
          <w:w w:val="110"/>
          <w:sz w:val="20"/>
          <w:lang w:val="ru-RU"/>
        </w:rPr>
        <w:t>стійкість</w:t>
      </w:r>
      <w:proofErr w:type="spellEnd"/>
      <w:r w:rsidRPr="006B6651">
        <w:rPr>
          <w:color w:val="000000" w:themeColor="text1"/>
          <w:w w:val="110"/>
          <w:sz w:val="20"/>
          <w:lang w:val="ru-RU"/>
        </w:rPr>
        <w:t xml:space="preserve"> до рифампіцину як </w:t>
      </w:r>
      <w:proofErr w:type="spellStart"/>
      <w:r w:rsidRPr="006B6651">
        <w:rPr>
          <w:color w:val="000000" w:themeColor="text1"/>
          <w:w w:val="110"/>
          <w:sz w:val="20"/>
          <w:lang w:val="ru-RU"/>
        </w:rPr>
        <w:t>заміна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поточної</w:t>
      </w:r>
      <w:proofErr w:type="spellEnd"/>
      <w:r w:rsidRPr="006B6651">
        <w:rPr>
          <w:color w:val="000000" w:themeColor="text1"/>
          <w:w w:val="110"/>
          <w:sz w:val="20"/>
          <w:lang w:val="ru-RU"/>
        </w:rPr>
        <w:t xml:space="preserve"> </w:t>
      </w:r>
      <w:r w:rsidRPr="00595828">
        <w:rPr>
          <w:color w:val="000000" w:themeColor="text1"/>
          <w:w w:val="110"/>
          <w:sz w:val="20"/>
          <w:lang w:val="uk-UA"/>
        </w:rPr>
        <w:t xml:space="preserve">національної </w:t>
      </w:r>
      <w:r w:rsidRPr="006B6651">
        <w:rPr>
          <w:color w:val="000000" w:themeColor="text1"/>
          <w:w w:val="110"/>
          <w:sz w:val="20"/>
          <w:lang w:val="ru-RU"/>
        </w:rPr>
        <w:t>практики Т</w:t>
      </w:r>
      <w:r w:rsidRPr="00595828">
        <w:rPr>
          <w:color w:val="000000" w:themeColor="text1"/>
          <w:w w:val="110"/>
          <w:sz w:val="20"/>
          <w:lang w:val="uk-UA"/>
        </w:rPr>
        <w:t>М</w:t>
      </w:r>
      <w:r w:rsidRPr="006B6651">
        <w:rPr>
          <w:color w:val="000000" w:themeColor="text1"/>
          <w:w w:val="110"/>
          <w:sz w:val="20"/>
          <w:lang w:val="ru-RU"/>
        </w:rPr>
        <w:t>Ч (</w:t>
      </w:r>
      <w:r w:rsidRPr="00595828">
        <w:rPr>
          <w:color w:val="000000" w:themeColor="text1"/>
          <w:w w:val="110"/>
          <w:sz w:val="20"/>
        </w:rPr>
        <w:t>PICO</w:t>
      </w:r>
      <w:r w:rsidRPr="006B6651">
        <w:rPr>
          <w:color w:val="000000" w:themeColor="text1"/>
          <w:w w:val="110"/>
          <w:sz w:val="20"/>
          <w:lang w:val="ru-RU"/>
        </w:rPr>
        <w:t xml:space="preserve"> 2).</w:t>
      </w:r>
    </w:p>
    <w:p w14:paraId="3C35CBB0" w14:textId="77777777" w:rsidR="00767E2A" w:rsidRPr="006B6651" w:rsidRDefault="00767E2A" w:rsidP="004A2937">
      <w:pPr>
        <w:pStyle w:val="a4"/>
        <w:numPr>
          <w:ilvl w:val="0"/>
          <w:numId w:val="48"/>
        </w:numPr>
        <w:tabs>
          <w:tab w:val="left" w:pos="1701"/>
        </w:tabs>
        <w:spacing w:before="174" w:line="276" w:lineRule="auto"/>
        <w:ind w:left="993" w:right="4"/>
        <w:rPr>
          <w:color w:val="000000" w:themeColor="text1"/>
          <w:sz w:val="20"/>
          <w:lang w:val="ru-RU"/>
        </w:rPr>
      </w:pPr>
      <w:proofErr w:type="spellStart"/>
      <w:r w:rsidRPr="006B6651">
        <w:rPr>
          <w:color w:val="000000" w:themeColor="text1"/>
          <w:w w:val="110"/>
          <w:sz w:val="20"/>
          <w:lang w:val="ru-RU"/>
        </w:rPr>
        <w:t>Економічна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ефективність</w:t>
      </w:r>
      <w:proofErr w:type="spellEnd"/>
      <w:r w:rsidRPr="006B6651">
        <w:rPr>
          <w:color w:val="000000" w:themeColor="text1"/>
          <w:w w:val="110"/>
          <w:sz w:val="20"/>
          <w:lang w:val="ru-RU"/>
        </w:rPr>
        <w:t xml:space="preserve"> таргетного СНП як </w:t>
      </w:r>
      <w:r>
        <w:rPr>
          <w:color w:val="000000" w:themeColor="text1"/>
          <w:w w:val="110"/>
          <w:sz w:val="20"/>
          <w:lang w:val="uk-UA"/>
        </w:rPr>
        <w:t>первинного</w:t>
      </w:r>
      <w:r w:rsidRPr="006B6651">
        <w:rPr>
          <w:color w:val="000000" w:themeColor="text1"/>
          <w:w w:val="110"/>
          <w:sz w:val="20"/>
          <w:lang w:val="ru-RU"/>
        </w:rPr>
        <w:t xml:space="preserve"> тесту на </w:t>
      </w:r>
      <w:proofErr w:type="spellStart"/>
      <w:r w:rsidRPr="006B6651">
        <w:rPr>
          <w:color w:val="000000" w:themeColor="text1"/>
          <w:w w:val="110"/>
          <w:sz w:val="20"/>
          <w:lang w:val="ru-RU"/>
        </w:rPr>
        <w:t>лікарську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стійкість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туберкульозу</w:t>
      </w:r>
      <w:proofErr w:type="spellEnd"/>
      <w:r w:rsidRPr="006B6651">
        <w:rPr>
          <w:color w:val="000000" w:themeColor="text1"/>
          <w:w w:val="110"/>
          <w:sz w:val="20"/>
          <w:lang w:val="ru-RU"/>
        </w:rPr>
        <w:t xml:space="preserve"> у </w:t>
      </w:r>
      <w:proofErr w:type="spellStart"/>
      <w:r w:rsidRPr="006B6651">
        <w:rPr>
          <w:color w:val="000000" w:themeColor="text1"/>
          <w:w w:val="110"/>
          <w:sz w:val="20"/>
          <w:lang w:val="ru-RU"/>
        </w:rPr>
        <w:t>пацієнтів</w:t>
      </w:r>
      <w:proofErr w:type="spellEnd"/>
      <w:r w:rsidRPr="006B6651">
        <w:rPr>
          <w:color w:val="000000" w:themeColor="text1"/>
          <w:w w:val="110"/>
          <w:sz w:val="20"/>
          <w:lang w:val="ru-RU"/>
        </w:rPr>
        <w:t xml:space="preserve"> з бактеріологічно </w:t>
      </w:r>
      <w:proofErr w:type="spellStart"/>
      <w:r w:rsidRPr="006B6651">
        <w:rPr>
          <w:color w:val="000000" w:themeColor="text1"/>
          <w:w w:val="110"/>
          <w:sz w:val="20"/>
          <w:lang w:val="ru-RU"/>
        </w:rPr>
        <w:t>підтвердженим</w:t>
      </w:r>
      <w:proofErr w:type="spellEnd"/>
      <w:r w:rsidRPr="006B6651">
        <w:rPr>
          <w:color w:val="000000" w:themeColor="text1"/>
          <w:w w:val="110"/>
          <w:sz w:val="20"/>
          <w:lang w:val="ru-RU"/>
        </w:rPr>
        <w:t xml:space="preserve"> ТБ </w:t>
      </w:r>
      <w:proofErr w:type="spellStart"/>
      <w:r w:rsidRPr="006B6651">
        <w:rPr>
          <w:color w:val="000000" w:themeColor="text1"/>
          <w:w w:val="110"/>
          <w:sz w:val="20"/>
          <w:lang w:val="ru-RU"/>
        </w:rPr>
        <w:t>порівняно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швидким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молекулярним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тестуванням</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лікарську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стійкість</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фенотиповим</w:t>
      </w:r>
      <w:proofErr w:type="spellEnd"/>
      <w:r w:rsidRPr="006B6651">
        <w:rPr>
          <w:color w:val="000000" w:themeColor="text1"/>
          <w:w w:val="110"/>
          <w:sz w:val="20"/>
          <w:lang w:val="ru-RU"/>
        </w:rPr>
        <w:t xml:space="preserve"> Т</w:t>
      </w:r>
      <w:r w:rsidRPr="00595828">
        <w:rPr>
          <w:color w:val="000000" w:themeColor="text1"/>
          <w:w w:val="110"/>
          <w:sz w:val="20"/>
          <w:lang w:val="uk-UA"/>
        </w:rPr>
        <w:t>М</w:t>
      </w:r>
      <w:r w:rsidRPr="006B6651">
        <w:rPr>
          <w:color w:val="000000" w:themeColor="text1"/>
          <w:w w:val="110"/>
          <w:sz w:val="20"/>
          <w:lang w:val="ru-RU"/>
        </w:rPr>
        <w:t xml:space="preserve">Ч в </w:t>
      </w:r>
      <w:proofErr w:type="spellStart"/>
      <w:r w:rsidRPr="006B6651">
        <w:rPr>
          <w:color w:val="000000" w:themeColor="text1"/>
          <w:w w:val="110"/>
          <w:sz w:val="20"/>
          <w:lang w:val="ru-RU"/>
        </w:rPr>
        <w:t>умовах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високого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тягаря</w:t>
      </w:r>
      <w:proofErr w:type="spellEnd"/>
      <w:r w:rsidRPr="006B6651">
        <w:rPr>
          <w:color w:val="000000" w:themeColor="text1"/>
          <w:w w:val="110"/>
          <w:sz w:val="20"/>
          <w:lang w:val="ru-RU"/>
        </w:rPr>
        <w:t xml:space="preserve"> ЛС-ТБ (</w:t>
      </w:r>
      <w:r w:rsidRPr="00595828">
        <w:rPr>
          <w:color w:val="000000" w:themeColor="text1"/>
          <w:w w:val="110"/>
          <w:sz w:val="20"/>
        </w:rPr>
        <w:t>PICO</w:t>
      </w:r>
      <w:r w:rsidRPr="006B6651">
        <w:rPr>
          <w:color w:val="000000" w:themeColor="text1"/>
          <w:w w:val="110"/>
          <w:sz w:val="20"/>
          <w:lang w:val="ru-RU"/>
        </w:rPr>
        <w:t xml:space="preserve"> 1).</w:t>
      </w:r>
    </w:p>
    <w:p w14:paraId="76D3E1EC" w14:textId="77777777" w:rsidR="00767E2A" w:rsidRPr="006B6651" w:rsidRDefault="00767E2A" w:rsidP="0015544F">
      <w:pPr>
        <w:pStyle w:val="a3"/>
        <w:spacing w:before="173" w:line="276" w:lineRule="auto"/>
        <w:ind w:left="709" w:right="4"/>
        <w:jc w:val="both"/>
        <w:rPr>
          <w:color w:val="000000" w:themeColor="text1"/>
          <w:sz w:val="20"/>
          <w:lang w:val="ru-RU"/>
        </w:rPr>
      </w:pPr>
      <w:r w:rsidRPr="006B6651">
        <w:rPr>
          <w:color w:val="000000" w:themeColor="text1"/>
          <w:w w:val="110"/>
          <w:sz w:val="20"/>
          <w:lang w:val="ru-RU"/>
        </w:rPr>
        <w:t xml:space="preserve">У </w:t>
      </w:r>
      <w:proofErr w:type="spellStart"/>
      <w:r w:rsidRPr="006B6651">
        <w:rPr>
          <w:color w:val="000000" w:themeColor="text1"/>
          <w:w w:val="110"/>
          <w:sz w:val="20"/>
          <w:lang w:val="ru-RU"/>
        </w:rPr>
        <w:t>першому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сценарії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таргетн</w:t>
      </w:r>
      <w:proofErr w:type="spellEnd"/>
      <w:r w:rsidRPr="00595828">
        <w:rPr>
          <w:color w:val="000000" w:themeColor="text1"/>
          <w:w w:val="110"/>
          <w:sz w:val="20"/>
          <w:lang w:val="uk-UA"/>
        </w:rPr>
        <w:t>е</w:t>
      </w:r>
      <w:r w:rsidRPr="006B6651">
        <w:rPr>
          <w:color w:val="000000" w:themeColor="text1"/>
          <w:w w:val="110"/>
          <w:sz w:val="20"/>
          <w:lang w:val="ru-RU"/>
        </w:rPr>
        <w:t xml:space="preserve"> </w:t>
      </w:r>
      <w:r w:rsidRPr="00595828">
        <w:rPr>
          <w:color w:val="000000" w:themeColor="text1"/>
          <w:w w:val="110"/>
          <w:sz w:val="20"/>
          <w:lang w:val="uk-UA"/>
        </w:rPr>
        <w:t>СНП</w:t>
      </w:r>
      <w:r w:rsidRPr="006B6651">
        <w:rPr>
          <w:color w:val="000000" w:themeColor="text1"/>
          <w:w w:val="110"/>
          <w:sz w:val="20"/>
          <w:lang w:val="ru-RU"/>
        </w:rPr>
        <w:t xml:space="preserve"> </w:t>
      </w:r>
      <w:proofErr w:type="spellStart"/>
      <w:r w:rsidRPr="006B6651">
        <w:rPr>
          <w:color w:val="000000" w:themeColor="text1"/>
          <w:w w:val="110"/>
          <w:sz w:val="20"/>
          <w:lang w:val="ru-RU"/>
        </w:rPr>
        <w:t>порівнюва</w:t>
      </w:r>
      <w:proofErr w:type="spellEnd"/>
      <w:r w:rsidRPr="00595828">
        <w:rPr>
          <w:color w:val="000000" w:themeColor="text1"/>
          <w:w w:val="110"/>
          <w:sz w:val="20"/>
          <w:lang w:val="uk-UA"/>
        </w:rPr>
        <w:t>лось</w:t>
      </w:r>
      <w:r w:rsidRPr="006B6651">
        <w:rPr>
          <w:color w:val="000000" w:themeColor="text1"/>
          <w:w w:val="110"/>
          <w:sz w:val="20"/>
          <w:lang w:val="ru-RU"/>
        </w:rPr>
        <w:t xml:space="preserve"> з </w:t>
      </w:r>
      <w:proofErr w:type="spellStart"/>
      <w:r w:rsidRPr="006B6651">
        <w:rPr>
          <w:color w:val="000000" w:themeColor="text1"/>
          <w:w w:val="110"/>
          <w:sz w:val="20"/>
          <w:lang w:val="ru-RU"/>
        </w:rPr>
        <w:t>універсальним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фенотиповим</w:t>
      </w:r>
      <w:proofErr w:type="spellEnd"/>
      <w:r w:rsidRPr="006B6651">
        <w:rPr>
          <w:color w:val="000000" w:themeColor="text1"/>
          <w:w w:val="110"/>
          <w:sz w:val="20"/>
          <w:lang w:val="ru-RU"/>
        </w:rPr>
        <w:t xml:space="preserve"> Т</w:t>
      </w:r>
      <w:r w:rsidRPr="00595828">
        <w:rPr>
          <w:color w:val="000000" w:themeColor="text1"/>
          <w:w w:val="110"/>
          <w:sz w:val="20"/>
          <w:lang w:val="uk-UA"/>
        </w:rPr>
        <w:t>М</w:t>
      </w:r>
      <w:r w:rsidRPr="006B6651">
        <w:rPr>
          <w:color w:val="000000" w:themeColor="text1"/>
          <w:w w:val="110"/>
          <w:sz w:val="20"/>
          <w:lang w:val="ru-RU"/>
        </w:rPr>
        <w:t>Ч</w:t>
      </w:r>
      <w:r>
        <w:rPr>
          <w:color w:val="000000" w:themeColor="text1"/>
          <w:w w:val="110"/>
          <w:sz w:val="20"/>
          <w:lang w:val="uk-UA"/>
        </w:rPr>
        <w:t xml:space="preserve">. У </w:t>
      </w:r>
      <w:r w:rsidRPr="006B6651">
        <w:rPr>
          <w:color w:val="000000" w:themeColor="text1"/>
          <w:w w:val="110"/>
          <w:sz w:val="20"/>
          <w:lang w:val="uk-UA"/>
        </w:rPr>
        <w:t>другому сценарії таргетн</w:t>
      </w:r>
      <w:r w:rsidRPr="00595828">
        <w:rPr>
          <w:color w:val="000000" w:themeColor="text1"/>
          <w:w w:val="110"/>
          <w:sz w:val="20"/>
          <w:lang w:val="uk-UA"/>
        </w:rPr>
        <w:t>е</w:t>
      </w:r>
      <w:r w:rsidRPr="006B6651">
        <w:rPr>
          <w:color w:val="000000" w:themeColor="text1"/>
          <w:w w:val="110"/>
          <w:sz w:val="20"/>
          <w:lang w:val="uk-UA"/>
        </w:rPr>
        <w:t xml:space="preserve"> СНП порівнювався з поточною </w:t>
      </w:r>
      <w:r>
        <w:rPr>
          <w:color w:val="000000" w:themeColor="text1"/>
          <w:w w:val="110"/>
          <w:sz w:val="20"/>
          <w:lang w:val="uk-UA"/>
        </w:rPr>
        <w:t xml:space="preserve">національною </w:t>
      </w:r>
      <w:r w:rsidRPr="006B6651">
        <w:rPr>
          <w:color w:val="000000" w:themeColor="text1"/>
          <w:w w:val="110"/>
          <w:sz w:val="20"/>
          <w:lang w:val="uk-UA"/>
        </w:rPr>
        <w:t xml:space="preserve">практикою </w:t>
      </w:r>
      <w:proofErr w:type="spellStart"/>
      <w:r w:rsidRPr="006B6651">
        <w:rPr>
          <w:color w:val="000000" w:themeColor="text1"/>
          <w:w w:val="110"/>
          <w:sz w:val="20"/>
          <w:lang w:val="uk-UA"/>
        </w:rPr>
        <w:t>фенотипового</w:t>
      </w:r>
      <w:proofErr w:type="spellEnd"/>
      <w:r w:rsidRPr="006B6651">
        <w:rPr>
          <w:color w:val="000000" w:themeColor="text1"/>
          <w:w w:val="110"/>
          <w:sz w:val="20"/>
          <w:lang w:val="uk-UA"/>
        </w:rPr>
        <w:t xml:space="preserve"> Т</w:t>
      </w:r>
      <w:r w:rsidRPr="00595828">
        <w:rPr>
          <w:color w:val="000000" w:themeColor="text1"/>
          <w:w w:val="110"/>
          <w:sz w:val="20"/>
          <w:lang w:val="uk-UA"/>
        </w:rPr>
        <w:t>М</w:t>
      </w:r>
      <w:r w:rsidRPr="006B6651">
        <w:rPr>
          <w:color w:val="000000" w:themeColor="text1"/>
          <w:w w:val="110"/>
          <w:sz w:val="20"/>
          <w:lang w:val="uk-UA"/>
        </w:rPr>
        <w:t>Ч серед осіб з виявленою стійкістю до рифампіцину (</w:t>
      </w:r>
      <w:r w:rsidRPr="00595828">
        <w:rPr>
          <w:color w:val="000000" w:themeColor="text1"/>
          <w:w w:val="110"/>
          <w:sz w:val="20"/>
        </w:rPr>
        <w:t>PICO</w:t>
      </w:r>
      <w:r w:rsidRPr="006B6651">
        <w:rPr>
          <w:color w:val="000000" w:themeColor="text1"/>
          <w:w w:val="110"/>
          <w:sz w:val="20"/>
          <w:lang w:val="uk-UA"/>
        </w:rPr>
        <w:t xml:space="preserve"> 2).</w:t>
      </w:r>
      <w:r w:rsidRPr="00595828">
        <w:rPr>
          <w:color w:val="000000" w:themeColor="text1"/>
          <w:w w:val="110"/>
          <w:sz w:val="20"/>
          <w:lang w:val="uk-UA"/>
        </w:rPr>
        <w:t xml:space="preserve"> </w:t>
      </w:r>
      <w:proofErr w:type="spellStart"/>
      <w:r w:rsidRPr="006B6651">
        <w:rPr>
          <w:color w:val="000000" w:themeColor="text1"/>
          <w:w w:val="110"/>
          <w:sz w:val="20"/>
          <w:lang w:val="ru-RU"/>
        </w:rPr>
        <w:t>Це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було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зроблено</w:t>
      </w:r>
      <w:proofErr w:type="spellEnd"/>
      <w:r w:rsidRPr="006B6651">
        <w:rPr>
          <w:color w:val="000000" w:themeColor="text1"/>
          <w:w w:val="110"/>
          <w:sz w:val="20"/>
          <w:lang w:val="ru-RU"/>
        </w:rPr>
        <w:t xml:space="preserve"> </w:t>
      </w:r>
      <w:r w:rsidRPr="00595828">
        <w:rPr>
          <w:color w:val="000000" w:themeColor="text1"/>
          <w:w w:val="110"/>
          <w:sz w:val="20"/>
          <w:lang w:val="uk-UA"/>
        </w:rPr>
        <w:t>в</w:t>
      </w:r>
      <w:r w:rsidRPr="006B6651">
        <w:rPr>
          <w:color w:val="000000" w:themeColor="text1"/>
          <w:w w:val="110"/>
          <w:sz w:val="20"/>
          <w:lang w:val="ru-RU"/>
        </w:rPr>
        <w:t xml:space="preserve"> </w:t>
      </w:r>
      <w:proofErr w:type="spellStart"/>
      <w:r w:rsidRPr="006B6651">
        <w:rPr>
          <w:color w:val="000000" w:themeColor="text1"/>
          <w:w w:val="110"/>
          <w:sz w:val="20"/>
          <w:lang w:val="ru-RU"/>
        </w:rPr>
        <w:t>трьох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країн</w:t>
      </w:r>
      <w:proofErr w:type="spellEnd"/>
      <w:r w:rsidRPr="00595828">
        <w:rPr>
          <w:color w:val="000000" w:themeColor="text1"/>
          <w:w w:val="110"/>
          <w:sz w:val="20"/>
          <w:lang w:val="uk-UA"/>
        </w:rPr>
        <w:t>ах</w:t>
      </w:r>
      <w:r w:rsidRPr="006B6651">
        <w:rPr>
          <w:color w:val="000000" w:themeColor="text1"/>
          <w:w w:val="110"/>
          <w:sz w:val="20"/>
          <w:lang w:val="ru-RU"/>
        </w:rPr>
        <w:t xml:space="preserve">: </w:t>
      </w:r>
      <w:proofErr w:type="spellStart"/>
      <w:r w:rsidRPr="006B6651">
        <w:rPr>
          <w:color w:val="000000" w:themeColor="text1"/>
          <w:w w:val="110"/>
          <w:sz w:val="20"/>
          <w:lang w:val="ru-RU"/>
        </w:rPr>
        <w:t>Грузії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Індії</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Південн</w:t>
      </w:r>
      <w:r w:rsidRPr="00595828">
        <w:rPr>
          <w:color w:val="000000" w:themeColor="text1"/>
          <w:w w:val="110"/>
          <w:sz w:val="20"/>
          <w:lang w:val="uk-UA"/>
        </w:rPr>
        <w:t>ій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Афри</w:t>
      </w:r>
      <w:proofErr w:type="spellEnd"/>
      <w:r w:rsidRPr="00595828">
        <w:rPr>
          <w:color w:val="000000" w:themeColor="text1"/>
          <w:w w:val="110"/>
          <w:sz w:val="20"/>
          <w:lang w:val="uk-UA"/>
        </w:rPr>
        <w:t>ці</w:t>
      </w:r>
      <w:r w:rsidRPr="006B6651">
        <w:rPr>
          <w:color w:val="000000" w:themeColor="text1"/>
          <w:w w:val="110"/>
          <w:sz w:val="20"/>
          <w:lang w:val="ru-RU"/>
        </w:rPr>
        <w:t xml:space="preserve">. </w:t>
      </w:r>
      <w:proofErr w:type="spellStart"/>
      <w:r w:rsidRPr="006B6651">
        <w:rPr>
          <w:color w:val="000000" w:themeColor="text1"/>
          <w:w w:val="110"/>
          <w:sz w:val="20"/>
          <w:lang w:val="ru-RU"/>
        </w:rPr>
        <w:t>Поточна</w:t>
      </w:r>
      <w:proofErr w:type="spellEnd"/>
      <w:r w:rsidRPr="006B6651">
        <w:rPr>
          <w:color w:val="000000" w:themeColor="text1"/>
          <w:w w:val="110"/>
          <w:sz w:val="20"/>
          <w:lang w:val="ru-RU"/>
        </w:rPr>
        <w:t xml:space="preserve"> практика Т</w:t>
      </w:r>
      <w:r w:rsidRPr="00595828">
        <w:rPr>
          <w:color w:val="000000" w:themeColor="text1"/>
          <w:w w:val="110"/>
          <w:sz w:val="20"/>
          <w:lang w:val="uk-UA"/>
        </w:rPr>
        <w:t>М</w:t>
      </w:r>
      <w:r w:rsidRPr="006B6651">
        <w:rPr>
          <w:color w:val="000000" w:themeColor="text1"/>
          <w:w w:val="110"/>
          <w:sz w:val="20"/>
          <w:lang w:val="ru-RU"/>
        </w:rPr>
        <w:t xml:space="preserve">Ч в </w:t>
      </w:r>
      <w:proofErr w:type="spellStart"/>
      <w:r w:rsidRPr="006B6651">
        <w:rPr>
          <w:color w:val="000000" w:themeColor="text1"/>
          <w:w w:val="110"/>
          <w:sz w:val="20"/>
          <w:lang w:val="ru-RU"/>
        </w:rPr>
        <w:t>Грузії</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Південній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Африці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включає</w:t>
      </w:r>
      <w:proofErr w:type="spellEnd"/>
      <w:r w:rsidRPr="006B6651">
        <w:rPr>
          <w:color w:val="000000" w:themeColor="text1"/>
          <w:w w:val="110"/>
          <w:sz w:val="20"/>
          <w:lang w:val="ru-RU"/>
        </w:rPr>
        <w:t xml:space="preserve"> </w:t>
      </w:r>
      <w:r w:rsidRPr="00595828">
        <w:rPr>
          <w:color w:val="000000" w:themeColor="text1"/>
          <w:w w:val="110"/>
          <w:sz w:val="20"/>
        </w:rPr>
        <w:t>Xpert</w:t>
      </w:r>
      <w:r w:rsidRPr="006B6651">
        <w:rPr>
          <w:color w:val="000000" w:themeColor="text1"/>
          <w:w w:val="110"/>
          <w:sz w:val="20"/>
          <w:lang w:val="ru-RU"/>
        </w:rPr>
        <w:t xml:space="preserve"> </w:t>
      </w:r>
      <w:r w:rsidRPr="00595828">
        <w:rPr>
          <w:color w:val="000000" w:themeColor="text1"/>
          <w:w w:val="110"/>
          <w:sz w:val="20"/>
        </w:rPr>
        <w:t>XDR</w:t>
      </w:r>
      <w:r w:rsidRPr="006B6651">
        <w:rPr>
          <w:color w:val="000000" w:themeColor="text1"/>
          <w:w w:val="110"/>
          <w:sz w:val="20"/>
          <w:lang w:val="ru-RU"/>
        </w:rPr>
        <w:t xml:space="preserve">® </w:t>
      </w:r>
      <w:r w:rsidRPr="00595828">
        <w:rPr>
          <w:color w:val="000000" w:themeColor="text1"/>
          <w:w w:val="110"/>
          <w:sz w:val="20"/>
          <w:lang w:val="uk-UA"/>
        </w:rPr>
        <w:t>з подальшим</w:t>
      </w:r>
      <w:r w:rsidRPr="006B6651">
        <w:rPr>
          <w:color w:val="000000" w:themeColor="text1"/>
          <w:w w:val="110"/>
          <w:sz w:val="20"/>
          <w:lang w:val="ru-RU"/>
        </w:rPr>
        <w:t xml:space="preserve"> </w:t>
      </w:r>
      <w:proofErr w:type="spellStart"/>
      <w:r w:rsidRPr="006B6651">
        <w:rPr>
          <w:color w:val="000000" w:themeColor="text1"/>
          <w:w w:val="110"/>
          <w:sz w:val="20"/>
          <w:lang w:val="ru-RU"/>
        </w:rPr>
        <w:t>фенотипови</w:t>
      </w:r>
      <w:proofErr w:type="spellEnd"/>
      <w:r w:rsidRPr="00595828">
        <w:rPr>
          <w:color w:val="000000" w:themeColor="text1"/>
          <w:w w:val="110"/>
          <w:sz w:val="20"/>
          <w:lang w:val="uk-UA"/>
        </w:rPr>
        <w:t>м</w:t>
      </w:r>
      <w:r w:rsidRPr="006B6651">
        <w:rPr>
          <w:color w:val="000000" w:themeColor="text1"/>
          <w:w w:val="110"/>
          <w:sz w:val="20"/>
          <w:lang w:val="ru-RU"/>
        </w:rPr>
        <w:t xml:space="preserve"> Т</w:t>
      </w:r>
      <w:r w:rsidRPr="00595828">
        <w:rPr>
          <w:color w:val="000000" w:themeColor="text1"/>
          <w:w w:val="110"/>
          <w:sz w:val="20"/>
          <w:lang w:val="uk-UA"/>
        </w:rPr>
        <w:t>М</w:t>
      </w:r>
      <w:r w:rsidRPr="006B6651">
        <w:rPr>
          <w:color w:val="000000" w:themeColor="text1"/>
          <w:w w:val="110"/>
          <w:sz w:val="20"/>
          <w:lang w:val="ru-RU"/>
        </w:rPr>
        <w:t>Ч</w:t>
      </w:r>
      <w:r>
        <w:rPr>
          <w:color w:val="000000" w:themeColor="text1"/>
          <w:w w:val="110"/>
          <w:sz w:val="20"/>
          <w:lang w:val="uk-UA"/>
        </w:rPr>
        <w:t>. В</w:t>
      </w:r>
      <w:r w:rsidRPr="006B6651">
        <w:rPr>
          <w:color w:val="000000" w:themeColor="text1"/>
          <w:w w:val="110"/>
          <w:sz w:val="20"/>
          <w:lang w:val="ru-RU"/>
        </w:rPr>
        <w:t xml:space="preserve"> </w:t>
      </w:r>
      <w:proofErr w:type="spellStart"/>
      <w:r w:rsidRPr="006B6651">
        <w:rPr>
          <w:color w:val="000000" w:themeColor="text1"/>
          <w:w w:val="110"/>
          <w:sz w:val="20"/>
          <w:lang w:val="ru-RU"/>
        </w:rPr>
        <w:t>Індії</w:t>
      </w:r>
      <w:proofErr w:type="spellEnd"/>
      <w:r w:rsidRPr="006B6651">
        <w:rPr>
          <w:color w:val="000000" w:themeColor="text1"/>
          <w:w w:val="110"/>
          <w:sz w:val="20"/>
          <w:lang w:val="ru-RU"/>
        </w:rPr>
        <w:t xml:space="preserve"> вона </w:t>
      </w:r>
      <w:proofErr w:type="spellStart"/>
      <w:r w:rsidRPr="006B6651">
        <w:rPr>
          <w:color w:val="000000" w:themeColor="text1"/>
          <w:w w:val="110"/>
          <w:sz w:val="20"/>
          <w:lang w:val="ru-RU"/>
        </w:rPr>
        <w:t>включає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паралельне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проведення</w:t>
      </w:r>
      <w:proofErr w:type="spellEnd"/>
      <w:r w:rsidRPr="006B6651">
        <w:rPr>
          <w:color w:val="000000" w:themeColor="text1"/>
          <w:w w:val="110"/>
          <w:sz w:val="20"/>
          <w:lang w:val="ru-RU"/>
        </w:rPr>
        <w:t xml:space="preserve"> </w:t>
      </w:r>
      <w:r w:rsidRPr="00595828">
        <w:rPr>
          <w:color w:val="000000" w:themeColor="text1"/>
          <w:w w:val="110"/>
          <w:sz w:val="20"/>
        </w:rPr>
        <w:t>LPA</w:t>
      </w:r>
      <w:r w:rsidRPr="006B6651">
        <w:rPr>
          <w:color w:val="000000" w:themeColor="text1"/>
          <w:w w:val="110"/>
          <w:sz w:val="20"/>
          <w:lang w:val="ru-RU"/>
        </w:rPr>
        <w:t xml:space="preserve"> та </w:t>
      </w:r>
      <w:proofErr w:type="spellStart"/>
      <w:r w:rsidRPr="006B6651">
        <w:rPr>
          <w:color w:val="000000" w:themeColor="text1"/>
          <w:w w:val="110"/>
          <w:sz w:val="20"/>
          <w:lang w:val="ru-RU"/>
        </w:rPr>
        <w:t>фенотипового</w:t>
      </w:r>
      <w:proofErr w:type="spellEnd"/>
      <w:r w:rsidRPr="006B6651">
        <w:rPr>
          <w:color w:val="000000" w:themeColor="text1"/>
          <w:w w:val="110"/>
          <w:sz w:val="20"/>
          <w:lang w:val="ru-RU"/>
        </w:rPr>
        <w:t xml:space="preserve"> Т</w:t>
      </w:r>
      <w:r w:rsidRPr="00595828">
        <w:rPr>
          <w:color w:val="000000" w:themeColor="text1"/>
          <w:w w:val="110"/>
          <w:sz w:val="20"/>
          <w:lang w:val="uk-UA"/>
        </w:rPr>
        <w:t>М</w:t>
      </w:r>
      <w:r w:rsidRPr="006B6651">
        <w:rPr>
          <w:color w:val="000000" w:themeColor="text1"/>
          <w:w w:val="110"/>
          <w:sz w:val="20"/>
          <w:lang w:val="ru-RU"/>
        </w:rPr>
        <w:t xml:space="preserve">Ч. </w:t>
      </w:r>
      <w:proofErr w:type="spellStart"/>
      <w:r w:rsidRPr="006B6651">
        <w:rPr>
          <w:color w:val="000000" w:themeColor="text1"/>
          <w:w w:val="110"/>
          <w:sz w:val="20"/>
          <w:lang w:val="ru-RU"/>
        </w:rPr>
        <w:t>Останній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сценарій</w:t>
      </w:r>
      <w:proofErr w:type="spellEnd"/>
      <w:r w:rsidRPr="006B6651">
        <w:rPr>
          <w:color w:val="000000" w:themeColor="text1"/>
          <w:w w:val="110"/>
          <w:sz w:val="20"/>
          <w:lang w:val="ru-RU"/>
        </w:rPr>
        <w:t xml:space="preserve"> включав </w:t>
      </w:r>
      <w:proofErr w:type="spellStart"/>
      <w:r w:rsidRPr="006B6651">
        <w:rPr>
          <w:color w:val="000000" w:themeColor="text1"/>
          <w:w w:val="110"/>
          <w:sz w:val="20"/>
          <w:lang w:val="ru-RU"/>
        </w:rPr>
        <w:t>порівняння</w:t>
      </w:r>
      <w:proofErr w:type="spellEnd"/>
      <w:r w:rsidRPr="006B6651">
        <w:rPr>
          <w:color w:val="000000" w:themeColor="text1"/>
          <w:w w:val="110"/>
          <w:sz w:val="20"/>
          <w:lang w:val="ru-RU"/>
        </w:rPr>
        <w:t xml:space="preserve"> таргетного </w:t>
      </w:r>
      <w:r w:rsidRPr="00595828">
        <w:rPr>
          <w:color w:val="000000" w:themeColor="text1"/>
          <w:w w:val="110"/>
          <w:sz w:val="20"/>
          <w:lang w:val="uk-UA"/>
        </w:rPr>
        <w:t>СНП</w:t>
      </w:r>
      <w:r w:rsidRPr="006B6651">
        <w:rPr>
          <w:color w:val="000000" w:themeColor="text1"/>
          <w:w w:val="110"/>
          <w:sz w:val="20"/>
          <w:lang w:val="ru-RU"/>
        </w:rPr>
        <w:t xml:space="preserve"> </w:t>
      </w:r>
      <w:proofErr w:type="spellStart"/>
      <w:r w:rsidRPr="006B6651">
        <w:rPr>
          <w:color w:val="000000" w:themeColor="text1"/>
          <w:w w:val="110"/>
          <w:sz w:val="20"/>
          <w:lang w:val="ru-RU"/>
        </w:rPr>
        <w:t>зі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швидким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молекулярним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тестуванням</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лікарську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стійкість</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фенотиповим</w:t>
      </w:r>
      <w:proofErr w:type="spellEnd"/>
      <w:r w:rsidRPr="006B6651">
        <w:rPr>
          <w:color w:val="000000" w:themeColor="text1"/>
          <w:w w:val="110"/>
          <w:sz w:val="20"/>
          <w:lang w:val="ru-RU"/>
        </w:rPr>
        <w:t xml:space="preserve"> Т</w:t>
      </w:r>
      <w:r w:rsidRPr="00595828">
        <w:rPr>
          <w:color w:val="000000" w:themeColor="text1"/>
          <w:w w:val="110"/>
          <w:sz w:val="20"/>
          <w:lang w:val="uk-UA"/>
        </w:rPr>
        <w:t>М</w:t>
      </w:r>
      <w:r w:rsidRPr="006B6651">
        <w:rPr>
          <w:color w:val="000000" w:themeColor="text1"/>
          <w:w w:val="110"/>
          <w:sz w:val="20"/>
          <w:lang w:val="ru-RU"/>
        </w:rPr>
        <w:t xml:space="preserve">Ч як </w:t>
      </w:r>
      <w:r>
        <w:rPr>
          <w:color w:val="000000" w:themeColor="text1"/>
          <w:w w:val="110"/>
          <w:sz w:val="20"/>
          <w:lang w:val="uk-UA"/>
        </w:rPr>
        <w:t>первинними</w:t>
      </w:r>
      <w:r w:rsidRPr="006B6651">
        <w:rPr>
          <w:color w:val="000000" w:themeColor="text1"/>
          <w:w w:val="110"/>
          <w:sz w:val="20"/>
          <w:lang w:val="ru-RU"/>
        </w:rPr>
        <w:t xml:space="preserve"> тестами на </w:t>
      </w:r>
      <w:proofErr w:type="spellStart"/>
      <w:r w:rsidRPr="006B6651">
        <w:rPr>
          <w:color w:val="000000" w:themeColor="text1"/>
          <w:w w:val="110"/>
          <w:sz w:val="20"/>
          <w:lang w:val="ru-RU"/>
        </w:rPr>
        <w:t>лікарську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стійкість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туберкульозу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серед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усіх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пацієнтів</w:t>
      </w:r>
      <w:proofErr w:type="spellEnd"/>
      <w:r w:rsidRPr="006B6651">
        <w:rPr>
          <w:color w:val="000000" w:themeColor="text1"/>
          <w:w w:val="110"/>
          <w:sz w:val="20"/>
          <w:lang w:val="ru-RU"/>
        </w:rPr>
        <w:t xml:space="preserve"> з ТБ (</w:t>
      </w:r>
      <w:r w:rsidRPr="00595828">
        <w:rPr>
          <w:color w:val="000000" w:themeColor="text1"/>
          <w:w w:val="110"/>
          <w:sz w:val="20"/>
        </w:rPr>
        <w:t>PICO</w:t>
      </w:r>
      <w:r w:rsidRPr="006B6651">
        <w:rPr>
          <w:color w:val="000000" w:themeColor="text1"/>
          <w:w w:val="110"/>
          <w:sz w:val="20"/>
          <w:lang w:val="ru-RU"/>
        </w:rPr>
        <w:t xml:space="preserve"> 1), </w:t>
      </w:r>
      <w:proofErr w:type="spellStart"/>
      <w:r w:rsidRPr="006B6651">
        <w:rPr>
          <w:color w:val="000000" w:themeColor="text1"/>
          <w:w w:val="110"/>
          <w:sz w:val="20"/>
          <w:lang w:val="ru-RU"/>
        </w:rPr>
        <w:t>але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моделювався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лише</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Грузії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країни</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високим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тягарем</w:t>
      </w:r>
      <w:proofErr w:type="spellEnd"/>
      <w:r w:rsidRPr="006B6651">
        <w:rPr>
          <w:color w:val="000000" w:themeColor="text1"/>
          <w:w w:val="110"/>
          <w:sz w:val="20"/>
          <w:lang w:val="ru-RU"/>
        </w:rPr>
        <w:t xml:space="preserve"> ЛС-ТБ. </w:t>
      </w:r>
      <w:proofErr w:type="spellStart"/>
      <w:r w:rsidRPr="006B6651">
        <w:rPr>
          <w:color w:val="000000" w:themeColor="text1"/>
          <w:w w:val="110"/>
          <w:sz w:val="20"/>
          <w:lang w:val="ru-RU"/>
        </w:rPr>
        <w:t>Епідеміологічні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дані</w:t>
      </w:r>
      <w:proofErr w:type="spellEnd"/>
      <w:r w:rsidRPr="006B6651">
        <w:rPr>
          <w:color w:val="000000" w:themeColor="text1"/>
          <w:w w:val="110"/>
          <w:sz w:val="20"/>
          <w:lang w:val="ru-RU"/>
        </w:rPr>
        <w:t xml:space="preserve"> були </w:t>
      </w:r>
      <w:proofErr w:type="spellStart"/>
      <w:r w:rsidRPr="006B6651">
        <w:rPr>
          <w:color w:val="000000" w:themeColor="text1"/>
          <w:w w:val="110"/>
          <w:sz w:val="20"/>
          <w:lang w:val="ru-RU"/>
        </w:rPr>
        <w:t>отримані</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опублікованої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літератури</w:t>
      </w:r>
      <w:proofErr w:type="spellEnd"/>
      <w:r>
        <w:rPr>
          <w:color w:val="000000" w:themeColor="text1"/>
          <w:w w:val="110"/>
          <w:sz w:val="20"/>
          <w:lang w:val="uk-UA"/>
        </w:rPr>
        <w:t xml:space="preserve">, а </w:t>
      </w:r>
      <w:proofErr w:type="spellStart"/>
      <w:r w:rsidRPr="006B6651">
        <w:rPr>
          <w:color w:val="000000" w:themeColor="text1"/>
          <w:w w:val="110"/>
          <w:sz w:val="20"/>
          <w:lang w:val="ru-RU"/>
        </w:rPr>
        <w:t>дані</w:t>
      </w:r>
      <w:proofErr w:type="spellEnd"/>
      <w:r w:rsidRPr="006B6651">
        <w:rPr>
          <w:color w:val="000000" w:themeColor="text1"/>
          <w:w w:val="110"/>
          <w:sz w:val="20"/>
          <w:lang w:val="ru-RU"/>
        </w:rPr>
        <w:t xml:space="preserve"> про </w:t>
      </w:r>
      <w:proofErr w:type="spellStart"/>
      <w:r w:rsidRPr="006B6651">
        <w:rPr>
          <w:color w:val="000000" w:themeColor="text1"/>
          <w:w w:val="110"/>
          <w:sz w:val="20"/>
          <w:lang w:val="ru-RU"/>
        </w:rPr>
        <w:t>діагностичну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точність</w:t>
      </w:r>
      <w:proofErr w:type="spellEnd"/>
      <w:r w:rsidRPr="006B6651">
        <w:rPr>
          <w:color w:val="000000" w:themeColor="text1"/>
          <w:w w:val="110"/>
          <w:sz w:val="20"/>
          <w:lang w:val="ru-RU"/>
        </w:rPr>
        <w:t xml:space="preserve"> таргетного </w:t>
      </w:r>
      <w:r w:rsidRPr="003A6F65">
        <w:rPr>
          <w:color w:val="000000" w:themeColor="text1"/>
          <w:w w:val="110"/>
          <w:sz w:val="20"/>
          <w:lang w:val="uk-UA"/>
        </w:rPr>
        <w:t>СНП</w:t>
      </w:r>
      <w:r w:rsidRPr="006B6651">
        <w:rPr>
          <w:color w:val="000000" w:themeColor="text1"/>
          <w:w w:val="110"/>
          <w:sz w:val="20"/>
          <w:lang w:val="ru-RU"/>
        </w:rPr>
        <w:t xml:space="preserve"> – із систематичного </w:t>
      </w:r>
      <w:proofErr w:type="spellStart"/>
      <w:r w:rsidRPr="006B6651">
        <w:rPr>
          <w:color w:val="000000" w:themeColor="text1"/>
          <w:w w:val="110"/>
          <w:sz w:val="20"/>
          <w:lang w:val="ru-RU"/>
        </w:rPr>
        <w:t>огляду</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аналізу</w:t>
      </w:r>
      <w:proofErr w:type="spellEnd"/>
      <w:r w:rsidRPr="006B6651">
        <w:rPr>
          <w:color w:val="000000" w:themeColor="text1"/>
          <w:w w:val="110"/>
          <w:sz w:val="20"/>
          <w:lang w:val="ru-RU"/>
        </w:rPr>
        <w:t xml:space="preserve"> ІДП (</w:t>
      </w:r>
      <w:proofErr w:type="spellStart"/>
      <w:r w:rsidRPr="006B6651">
        <w:rPr>
          <w:color w:val="000000" w:themeColor="text1"/>
          <w:w w:val="110"/>
          <w:sz w:val="20"/>
          <w:lang w:val="ru-RU"/>
        </w:rPr>
        <w:t>індивідуальних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пацієнтів</w:t>
      </w:r>
      <w:proofErr w:type="spellEnd"/>
      <w:r w:rsidRPr="006B6651">
        <w:rPr>
          <w:color w:val="000000" w:themeColor="text1"/>
          <w:w w:val="110"/>
          <w:sz w:val="20"/>
          <w:lang w:val="ru-RU"/>
        </w:rPr>
        <w:t>), проведен</w:t>
      </w:r>
      <w:r w:rsidRPr="003A6F65">
        <w:rPr>
          <w:color w:val="000000" w:themeColor="text1"/>
          <w:w w:val="110"/>
          <w:sz w:val="20"/>
          <w:lang w:val="uk-UA"/>
        </w:rPr>
        <w:t>ого</w:t>
      </w:r>
      <w:r w:rsidRPr="006B6651">
        <w:rPr>
          <w:color w:val="000000" w:themeColor="text1"/>
          <w:w w:val="110"/>
          <w:sz w:val="20"/>
          <w:lang w:val="ru-RU"/>
        </w:rPr>
        <w:t xml:space="preserve"> для ц</w:t>
      </w:r>
      <w:r w:rsidRPr="003A6F65">
        <w:rPr>
          <w:color w:val="000000" w:themeColor="text1"/>
          <w:w w:val="110"/>
          <w:sz w:val="20"/>
          <w:lang w:val="uk-UA"/>
        </w:rPr>
        <w:t>их</w:t>
      </w:r>
      <w:r w:rsidRPr="006B6651">
        <w:rPr>
          <w:color w:val="000000" w:themeColor="text1"/>
          <w:w w:val="110"/>
          <w:sz w:val="20"/>
          <w:lang w:val="ru-RU"/>
        </w:rPr>
        <w:t xml:space="preserve"> </w:t>
      </w:r>
      <w:proofErr w:type="spellStart"/>
      <w:r w:rsidRPr="006B6651">
        <w:rPr>
          <w:color w:val="000000" w:themeColor="text1"/>
          <w:w w:val="110"/>
          <w:sz w:val="20"/>
          <w:lang w:val="ru-RU"/>
        </w:rPr>
        <w:t>настанов</w:t>
      </w:r>
      <w:proofErr w:type="spellEnd"/>
      <w:r w:rsidRPr="006B6651">
        <w:rPr>
          <w:color w:val="000000" w:themeColor="text1"/>
          <w:w w:val="110"/>
          <w:sz w:val="20"/>
          <w:lang w:val="ru-RU"/>
        </w:rPr>
        <w:t>.</w:t>
      </w:r>
      <w:r w:rsidRPr="003A6F65">
        <w:rPr>
          <w:color w:val="000000" w:themeColor="text1"/>
          <w:w w:val="110"/>
          <w:sz w:val="20"/>
          <w:lang w:val="uk-UA"/>
        </w:rPr>
        <w:t xml:space="preserve"> </w:t>
      </w:r>
      <w:r w:rsidRPr="006B6651">
        <w:rPr>
          <w:color w:val="000000" w:themeColor="text1"/>
          <w:w w:val="110"/>
          <w:sz w:val="20"/>
          <w:lang w:val="ru-RU"/>
        </w:rPr>
        <w:t xml:space="preserve">Економічні </w:t>
      </w:r>
      <w:proofErr w:type="spellStart"/>
      <w:r w:rsidRPr="006B6651">
        <w:rPr>
          <w:color w:val="000000" w:themeColor="text1"/>
          <w:w w:val="110"/>
          <w:sz w:val="20"/>
          <w:lang w:val="ru-RU"/>
        </w:rPr>
        <w:t>дані</w:t>
      </w:r>
      <w:proofErr w:type="spellEnd"/>
      <w:r w:rsidRPr="006B6651">
        <w:rPr>
          <w:color w:val="000000" w:themeColor="text1"/>
          <w:w w:val="110"/>
          <w:sz w:val="20"/>
          <w:lang w:val="ru-RU"/>
        </w:rPr>
        <w:t xml:space="preserve"> були </w:t>
      </w:r>
      <w:proofErr w:type="spellStart"/>
      <w:r w:rsidRPr="006B6651">
        <w:rPr>
          <w:color w:val="000000" w:themeColor="text1"/>
          <w:w w:val="110"/>
          <w:sz w:val="20"/>
          <w:lang w:val="ru-RU"/>
        </w:rPr>
        <w:t>отримані</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опублікованої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літератури</w:t>
      </w:r>
      <w:proofErr w:type="spellEnd"/>
      <w:r w:rsidRPr="006B6651">
        <w:rPr>
          <w:color w:val="000000" w:themeColor="text1"/>
          <w:w w:val="110"/>
          <w:sz w:val="20"/>
          <w:lang w:val="ru-RU"/>
        </w:rPr>
        <w:t xml:space="preserve"> та систематичного </w:t>
      </w:r>
      <w:r w:rsidRPr="003A6F65">
        <w:rPr>
          <w:color w:val="000000" w:themeColor="text1"/>
          <w:w w:val="110"/>
          <w:sz w:val="20"/>
          <w:lang w:val="uk-UA"/>
        </w:rPr>
        <w:t xml:space="preserve">огляду </w:t>
      </w:r>
      <w:r w:rsidRPr="006B6651">
        <w:rPr>
          <w:color w:val="000000" w:themeColor="text1"/>
          <w:w w:val="110"/>
          <w:sz w:val="20"/>
          <w:lang w:val="ru-RU"/>
        </w:rPr>
        <w:t xml:space="preserve">і </w:t>
      </w:r>
      <w:r w:rsidRPr="003A6F65">
        <w:rPr>
          <w:color w:val="000000" w:themeColor="text1"/>
          <w:w w:val="110"/>
          <w:sz w:val="20"/>
          <w:lang w:val="uk-UA"/>
        </w:rPr>
        <w:t>огляду предмету дослідження</w:t>
      </w:r>
      <w:r w:rsidRPr="006B6651">
        <w:rPr>
          <w:color w:val="000000" w:themeColor="text1"/>
          <w:w w:val="110"/>
          <w:sz w:val="20"/>
          <w:lang w:val="ru-RU"/>
        </w:rPr>
        <w:t>, проведен</w:t>
      </w:r>
      <w:r w:rsidRPr="003A6F65">
        <w:rPr>
          <w:color w:val="000000" w:themeColor="text1"/>
          <w:w w:val="110"/>
          <w:sz w:val="20"/>
          <w:lang w:val="uk-UA"/>
        </w:rPr>
        <w:t>их</w:t>
      </w:r>
      <w:r w:rsidRPr="006B6651">
        <w:rPr>
          <w:color w:val="000000" w:themeColor="text1"/>
          <w:w w:val="110"/>
          <w:sz w:val="20"/>
          <w:lang w:val="ru-RU"/>
        </w:rPr>
        <w:t xml:space="preserve"> </w:t>
      </w:r>
      <w:proofErr w:type="spellStart"/>
      <w:r w:rsidRPr="006B6651">
        <w:rPr>
          <w:color w:val="000000" w:themeColor="text1"/>
          <w:w w:val="110"/>
          <w:sz w:val="20"/>
          <w:lang w:val="ru-RU"/>
        </w:rPr>
        <w:t>паралельно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нашою</w:t>
      </w:r>
      <w:proofErr w:type="spellEnd"/>
      <w:r w:rsidRPr="006B6651">
        <w:rPr>
          <w:color w:val="000000" w:themeColor="text1"/>
          <w:w w:val="110"/>
          <w:sz w:val="20"/>
          <w:lang w:val="ru-RU"/>
        </w:rPr>
        <w:t xml:space="preserve"> командою, та </w:t>
      </w:r>
      <w:proofErr w:type="spellStart"/>
      <w:r w:rsidRPr="006B6651">
        <w:rPr>
          <w:color w:val="000000" w:themeColor="text1"/>
          <w:w w:val="110"/>
          <w:sz w:val="20"/>
          <w:lang w:val="ru-RU"/>
        </w:rPr>
        <w:t>доповнен</w:t>
      </w:r>
      <w:proofErr w:type="spellEnd"/>
      <w:r w:rsidRPr="003A6F65">
        <w:rPr>
          <w:color w:val="000000" w:themeColor="text1"/>
          <w:w w:val="110"/>
          <w:sz w:val="20"/>
          <w:lang w:val="uk-UA"/>
        </w:rPr>
        <w:t xml:space="preserve">их </w:t>
      </w:r>
      <w:proofErr w:type="spellStart"/>
      <w:r w:rsidRPr="006B6651">
        <w:rPr>
          <w:color w:val="000000" w:themeColor="text1"/>
          <w:w w:val="110"/>
          <w:sz w:val="20"/>
          <w:lang w:val="ru-RU"/>
        </w:rPr>
        <w:t>збором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емпіричних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w:t>
      </w:r>
    </w:p>
    <w:p w14:paraId="398F0369" w14:textId="77777777" w:rsidR="00767E2A" w:rsidRPr="006B6651" w:rsidRDefault="00767E2A" w:rsidP="0015544F">
      <w:pPr>
        <w:pStyle w:val="a3"/>
        <w:spacing w:before="180" w:line="276" w:lineRule="auto"/>
        <w:ind w:left="709" w:right="4"/>
        <w:jc w:val="both"/>
        <w:rPr>
          <w:color w:val="000000" w:themeColor="text1"/>
          <w:sz w:val="20"/>
          <w:lang w:val="ru-RU"/>
        </w:rPr>
      </w:pPr>
      <w:r w:rsidRPr="00595828">
        <w:rPr>
          <w:color w:val="000000" w:themeColor="text1"/>
          <w:w w:val="110"/>
          <w:sz w:val="20"/>
          <w:lang w:val="uk-UA"/>
        </w:rPr>
        <w:t>П</w:t>
      </w:r>
      <w:proofErr w:type="spellStart"/>
      <w:r w:rsidRPr="006B6651">
        <w:rPr>
          <w:color w:val="000000" w:themeColor="text1"/>
          <w:w w:val="110"/>
          <w:sz w:val="20"/>
          <w:lang w:val="ru-RU"/>
        </w:rPr>
        <w:t>ідхід</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основі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моделювання</w:t>
      </w:r>
      <w:proofErr w:type="spellEnd"/>
      <w:r w:rsidRPr="006B6651">
        <w:rPr>
          <w:color w:val="000000" w:themeColor="text1"/>
          <w:w w:val="110"/>
          <w:sz w:val="20"/>
          <w:lang w:val="ru-RU"/>
        </w:rPr>
        <w:t xml:space="preserve"> </w:t>
      </w:r>
      <w:r w:rsidRPr="00595828">
        <w:rPr>
          <w:color w:val="000000" w:themeColor="text1"/>
          <w:w w:val="110"/>
          <w:sz w:val="20"/>
          <w:lang w:val="uk-UA"/>
        </w:rPr>
        <w:t>для аналізу рішень</w:t>
      </w:r>
      <w:r w:rsidRPr="006B6651">
        <w:rPr>
          <w:color w:val="000000" w:themeColor="text1"/>
          <w:w w:val="110"/>
          <w:sz w:val="20"/>
          <w:lang w:val="ru-RU"/>
        </w:rPr>
        <w:t xml:space="preserve"> </w:t>
      </w:r>
      <w:r w:rsidRPr="00595828">
        <w:rPr>
          <w:color w:val="000000" w:themeColor="text1"/>
          <w:w w:val="110"/>
          <w:sz w:val="20"/>
          <w:lang w:val="uk-UA"/>
        </w:rPr>
        <w:t>був використаний д</w:t>
      </w:r>
      <w:r w:rsidRPr="006B6651">
        <w:rPr>
          <w:color w:val="000000" w:themeColor="text1"/>
          <w:w w:val="110"/>
          <w:sz w:val="20"/>
          <w:lang w:val="ru-RU"/>
        </w:rPr>
        <w:t xml:space="preserve">ля </w:t>
      </w:r>
      <w:proofErr w:type="spellStart"/>
      <w:r w:rsidRPr="006B6651">
        <w:rPr>
          <w:color w:val="000000" w:themeColor="text1"/>
          <w:w w:val="110"/>
          <w:sz w:val="20"/>
          <w:lang w:val="ru-RU"/>
        </w:rPr>
        <w:t>оцінки</w:t>
      </w:r>
      <w:proofErr w:type="spellEnd"/>
      <w:r w:rsidRPr="006B6651">
        <w:rPr>
          <w:color w:val="000000" w:themeColor="text1"/>
          <w:w w:val="110"/>
          <w:sz w:val="20"/>
          <w:lang w:val="ru-RU"/>
        </w:rPr>
        <w:t xml:space="preserve"> </w:t>
      </w:r>
      <w:proofErr w:type="spellStart"/>
      <w:r w:rsidRPr="003A6F65">
        <w:rPr>
          <w:color w:val="000000" w:themeColor="text1"/>
          <w:w w:val="110"/>
          <w:sz w:val="20"/>
          <w:lang w:val="uk-UA"/>
        </w:rPr>
        <w:t>інкрементальної</w:t>
      </w:r>
      <w:proofErr w:type="spellEnd"/>
      <w:r w:rsidRPr="003A6F65">
        <w:rPr>
          <w:color w:val="000000" w:themeColor="text1"/>
          <w:w w:val="110"/>
          <w:sz w:val="20"/>
          <w:lang w:val="uk-UA"/>
        </w:rPr>
        <w:t xml:space="preserve"> економічної ефективності </w:t>
      </w:r>
      <w:r w:rsidRPr="006B6651">
        <w:rPr>
          <w:color w:val="000000" w:themeColor="text1"/>
          <w:w w:val="110"/>
          <w:sz w:val="20"/>
          <w:lang w:val="ru-RU"/>
        </w:rPr>
        <w:t xml:space="preserve">використання таргетного </w:t>
      </w:r>
      <w:r w:rsidRPr="00595828">
        <w:rPr>
          <w:color w:val="000000" w:themeColor="text1"/>
          <w:w w:val="110"/>
          <w:sz w:val="20"/>
          <w:lang w:val="uk-UA"/>
        </w:rPr>
        <w:t>СНП</w:t>
      </w:r>
      <w:r w:rsidRPr="006B6651">
        <w:rPr>
          <w:color w:val="000000" w:themeColor="text1"/>
          <w:w w:val="110"/>
          <w:sz w:val="20"/>
          <w:lang w:val="ru-RU"/>
        </w:rPr>
        <w:t xml:space="preserve"> для </w:t>
      </w:r>
      <w:proofErr w:type="spellStart"/>
      <w:r w:rsidRPr="006B6651">
        <w:rPr>
          <w:color w:val="000000" w:themeColor="text1"/>
          <w:w w:val="110"/>
          <w:sz w:val="20"/>
          <w:lang w:val="ru-RU"/>
        </w:rPr>
        <w:t>діагностики</w:t>
      </w:r>
      <w:proofErr w:type="spellEnd"/>
      <w:r w:rsidRPr="006B6651">
        <w:rPr>
          <w:color w:val="000000" w:themeColor="text1"/>
          <w:w w:val="110"/>
          <w:sz w:val="20"/>
          <w:lang w:val="ru-RU"/>
        </w:rPr>
        <w:t xml:space="preserve"> ЛС-ТБ </w:t>
      </w:r>
      <w:proofErr w:type="spellStart"/>
      <w:r w:rsidRPr="006B6651">
        <w:rPr>
          <w:color w:val="000000" w:themeColor="text1"/>
          <w:w w:val="110"/>
          <w:sz w:val="20"/>
          <w:lang w:val="ru-RU"/>
        </w:rPr>
        <w:t>порівняно</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різними</w:t>
      </w:r>
      <w:proofErr w:type="spellEnd"/>
      <w:r w:rsidRPr="006B6651">
        <w:rPr>
          <w:color w:val="000000" w:themeColor="text1"/>
          <w:w w:val="110"/>
          <w:sz w:val="20"/>
          <w:lang w:val="ru-RU"/>
        </w:rPr>
        <w:t xml:space="preserve"> </w:t>
      </w:r>
      <w:r w:rsidRPr="00595828">
        <w:rPr>
          <w:color w:val="000000" w:themeColor="text1"/>
          <w:w w:val="110"/>
          <w:sz w:val="20"/>
          <w:lang w:val="uk-UA"/>
        </w:rPr>
        <w:t>наявними</w:t>
      </w:r>
      <w:r w:rsidRPr="006B6651">
        <w:rPr>
          <w:color w:val="000000" w:themeColor="text1"/>
          <w:w w:val="110"/>
          <w:sz w:val="20"/>
          <w:lang w:val="ru-RU"/>
        </w:rPr>
        <w:t xml:space="preserve"> </w:t>
      </w:r>
      <w:proofErr w:type="spellStart"/>
      <w:r w:rsidRPr="006B6651">
        <w:rPr>
          <w:color w:val="000000" w:themeColor="text1"/>
          <w:w w:val="110"/>
          <w:sz w:val="20"/>
          <w:lang w:val="ru-RU"/>
        </w:rPr>
        <w:t>сценаріями</w:t>
      </w:r>
      <w:proofErr w:type="spellEnd"/>
      <w:r w:rsidRPr="006B6651">
        <w:rPr>
          <w:color w:val="000000" w:themeColor="text1"/>
          <w:w w:val="110"/>
          <w:sz w:val="20"/>
          <w:lang w:val="ru-RU"/>
        </w:rPr>
        <w:t xml:space="preserve"> Т</w:t>
      </w:r>
      <w:r w:rsidRPr="00595828">
        <w:rPr>
          <w:color w:val="000000" w:themeColor="text1"/>
          <w:w w:val="110"/>
          <w:sz w:val="20"/>
          <w:lang w:val="uk-UA"/>
        </w:rPr>
        <w:t>М</w:t>
      </w:r>
      <w:r w:rsidRPr="006B6651">
        <w:rPr>
          <w:color w:val="000000" w:themeColor="text1"/>
          <w:w w:val="110"/>
          <w:sz w:val="20"/>
          <w:lang w:val="ru-RU"/>
        </w:rPr>
        <w:t xml:space="preserve">Ч. </w:t>
      </w:r>
      <w:proofErr w:type="spellStart"/>
      <w:r w:rsidRPr="006B6651">
        <w:rPr>
          <w:color w:val="000000" w:themeColor="text1"/>
          <w:w w:val="110"/>
          <w:sz w:val="20"/>
          <w:lang w:val="ru-RU"/>
        </w:rPr>
        <w:t>Це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було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зроблено</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позиції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системи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охорони</w:t>
      </w:r>
      <w:proofErr w:type="spellEnd"/>
      <w:r w:rsidRPr="006B6651">
        <w:rPr>
          <w:color w:val="000000" w:themeColor="text1"/>
          <w:w w:val="110"/>
          <w:sz w:val="20"/>
          <w:lang w:val="ru-RU"/>
        </w:rPr>
        <w:t xml:space="preserve"> здоров'я та </w:t>
      </w:r>
      <w:proofErr w:type="spellStart"/>
      <w:r w:rsidRPr="006B6651">
        <w:rPr>
          <w:color w:val="000000" w:themeColor="text1"/>
          <w:w w:val="110"/>
          <w:sz w:val="20"/>
          <w:lang w:val="ru-RU"/>
        </w:rPr>
        <w:t>враховує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лише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системи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охорони</w:t>
      </w:r>
      <w:proofErr w:type="spellEnd"/>
      <w:r w:rsidRPr="006B6651">
        <w:rPr>
          <w:color w:val="000000" w:themeColor="text1"/>
          <w:w w:val="110"/>
          <w:sz w:val="20"/>
          <w:lang w:val="ru-RU"/>
        </w:rPr>
        <w:t xml:space="preserve"> здоров'я, </w:t>
      </w:r>
      <w:proofErr w:type="spellStart"/>
      <w:r w:rsidRPr="006B6651">
        <w:rPr>
          <w:color w:val="000000" w:themeColor="text1"/>
          <w:w w:val="110"/>
          <w:sz w:val="20"/>
          <w:lang w:val="ru-RU"/>
        </w:rPr>
        <w:t>необхідні</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діагностики</w:t>
      </w:r>
      <w:proofErr w:type="spellEnd"/>
      <w:r w:rsidRPr="006B6651">
        <w:rPr>
          <w:color w:val="000000" w:themeColor="text1"/>
          <w:w w:val="110"/>
          <w:sz w:val="20"/>
          <w:lang w:val="ru-RU"/>
        </w:rPr>
        <w:t xml:space="preserve"> та лікування ТБ. Оцінка не </w:t>
      </w:r>
      <w:proofErr w:type="spellStart"/>
      <w:r w:rsidRPr="006B6651">
        <w:rPr>
          <w:color w:val="000000" w:themeColor="text1"/>
          <w:w w:val="110"/>
          <w:sz w:val="20"/>
          <w:lang w:val="ru-RU"/>
        </w:rPr>
        <w:t>враховувала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суспільні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витрати</w:t>
      </w:r>
      <w:proofErr w:type="spellEnd"/>
      <w:r w:rsidRPr="006B6651">
        <w:rPr>
          <w:color w:val="000000" w:themeColor="text1"/>
          <w:w w:val="110"/>
          <w:sz w:val="20"/>
          <w:lang w:val="ru-RU"/>
        </w:rPr>
        <w:t xml:space="preserve"> або будь-</w:t>
      </w:r>
      <w:proofErr w:type="spellStart"/>
      <w:r w:rsidRPr="006B6651">
        <w:rPr>
          <w:color w:val="000000" w:themeColor="text1"/>
          <w:w w:val="110"/>
          <w:sz w:val="20"/>
          <w:lang w:val="ru-RU"/>
        </w:rPr>
        <w:t>які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прямі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чи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непрямі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витрати</w:t>
      </w:r>
      <w:proofErr w:type="spellEnd"/>
      <w:r w:rsidRPr="00595828">
        <w:rPr>
          <w:color w:val="000000" w:themeColor="text1"/>
          <w:w w:val="110"/>
          <w:sz w:val="20"/>
          <w:lang w:val="uk-UA"/>
        </w:rPr>
        <w:t xml:space="preserve"> </w:t>
      </w:r>
      <w:proofErr w:type="spellStart"/>
      <w:r w:rsidRPr="006B6651">
        <w:rPr>
          <w:color w:val="000000" w:themeColor="text1"/>
          <w:w w:val="110"/>
          <w:sz w:val="20"/>
          <w:lang w:val="ru-RU"/>
        </w:rPr>
        <w:t>пацієнт</w:t>
      </w:r>
      <w:proofErr w:type="spellEnd"/>
      <w:r w:rsidRPr="00595828">
        <w:rPr>
          <w:color w:val="000000" w:themeColor="text1"/>
          <w:w w:val="110"/>
          <w:sz w:val="20"/>
          <w:lang w:val="uk-UA"/>
        </w:rPr>
        <w:t>ів</w:t>
      </w:r>
      <w:r w:rsidRPr="006B6651">
        <w:rPr>
          <w:color w:val="000000" w:themeColor="text1"/>
          <w:w w:val="110"/>
          <w:sz w:val="20"/>
          <w:lang w:val="ru-RU"/>
        </w:rPr>
        <w:t xml:space="preserve">. </w:t>
      </w:r>
      <w:proofErr w:type="spellStart"/>
      <w:r w:rsidRPr="006B6651">
        <w:rPr>
          <w:color w:val="000000" w:themeColor="text1"/>
          <w:w w:val="110"/>
          <w:sz w:val="20"/>
          <w:lang w:val="ru-RU"/>
        </w:rPr>
        <w:t>Крім</w:t>
      </w:r>
      <w:proofErr w:type="spellEnd"/>
      <w:r w:rsidRPr="006B6651">
        <w:rPr>
          <w:color w:val="000000" w:themeColor="text1"/>
          <w:w w:val="110"/>
          <w:sz w:val="20"/>
          <w:lang w:val="ru-RU"/>
        </w:rPr>
        <w:t xml:space="preserve"> того, </w:t>
      </w:r>
      <w:r w:rsidRPr="00595828">
        <w:rPr>
          <w:color w:val="000000" w:themeColor="text1"/>
          <w:w w:val="110"/>
          <w:sz w:val="20"/>
          <w:lang w:val="uk-UA"/>
        </w:rPr>
        <w:t xml:space="preserve">в цей аналіз не були включені </w:t>
      </w:r>
      <w:proofErr w:type="spellStart"/>
      <w:r w:rsidRPr="006B6651">
        <w:rPr>
          <w:color w:val="000000" w:themeColor="text1"/>
          <w:w w:val="110"/>
          <w:sz w:val="20"/>
          <w:lang w:val="ru-RU"/>
        </w:rPr>
        <w:t>витрати</w:t>
      </w:r>
      <w:proofErr w:type="spellEnd"/>
      <w:r w:rsidRPr="006B6651">
        <w:rPr>
          <w:color w:val="000000" w:themeColor="text1"/>
          <w:w w:val="110"/>
          <w:sz w:val="20"/>
          <w:lang w:val="ru-RU"/>
        </w:rPr>
        <w:t xml:space="preserve"> на транспортування </w:t>
      </w:r>
      <w:proofErr w:type="spellStart"/>
      <w:r w:rsidRPr="006B6651">
        <w:rPr>
          <w:color w:val="000000" w:themeColor="text1"/>
          <w:w w:val="110"/>
          <w:sz w:val="20"/>
          <w:lang w:val="ru-RU"/>
        </w:rPr>
        <w:t>зразків</w:t>
      </w:r>
      <w:proofErr w:type="spellEnd"/>
      <w:r w:rsidRPr="006B6651">
        <w:rPr>
          <w:color w:val="000000" w:themeColor="text1"/>
          <w:w w:val="110"/>
          <w:sz w:val="20"/>
          <w:lang w:val="ru-RU"/>
        </w:rPr>
        <w:t>.</w:t>
      </w:r>
      <w:r w:rsidRPr="00595828">
        <w:rPr>
          <w:color w:val="000000" w:themeColor="text1"/>
          <w:w w:val="110"/>
          <w:sz w:val="20"/>
          <w:lang w:val="uk-UA"/>
        </w:rPr>
        <w:t xml:space="preserve"> </w:t>
      </w:r>
      <w:proofErr w:type="spellStart"/>
      <w:r w:rsidRPr="006B6651">
        <w:rPr>
          <w:color w:val="000000" w:themeColor="text1"/>
          <w:w w:val="110"/>
          <w:sz w:val="20"/>
          <w:lang w:val="ru-RU"/>
        </w:rPr>
        <w:t>Основним</w:t>
      </w:r>
      <w:proofErr w:type="spellEnd"/>
      <w:r w:rsidRPr="006B6651">
        <w:rPr>
          <w:color w:val="000000" w:themeColor="text1"/>
          <w:w w:val="110"/>
          <w:sz w:val="20"/>
          <w:lang w:val="ru-RU"/>
        </w:rPr>
        <w:t xml:space="preserve"> результатом </w:t>
      </w:r>
      <w:r w:rsidRPr="00595828">
        <w:rPr>
          <w:color w:val="000000" w:themeColor="text1"/>
          <w:w w:val="110"/>
          <w:sz w:val="20"/>
          <w:lang w:val="uk-UA"/>
        </w:rPr>
        <w:t xml:space="preserve">був </w:t>
      </w:r>
      <w:r>
        <w:rPr>
          <w:color w:val="000000" w:themeColor="text1"/>
          <w:w w:val="110"/>
          <w:sz w:val="20"/>
          <w:lang w:val="uk-UA"/>
        </w:rPr>
        <w:t xml:space="preserve">інкрементний </w:t>
      </w:r>
      <w:r w:rsidRPr="006B6651">
        <w:rPr>
          <w:color w:val="000000" w:themeColor="text1"/>
          <w:w w:val="110"/>
          <w:sz w:val="20"/>
          <w:lang w:val="ru-RU"/>
        </w:rPr>
        <w:t xml:space="preserve">коефіцієнт </w:t>
      </w:r>
      <w:r w:rsidRPr="003A6F65">
        <w:rPr>
          <w:color w:val="000000" w:themeColor="text1"/>
          <w:w w:val="110"/>
          <w:sz w:val="20"/>
          <w:lang w:val="uk-UA"/>
        </w:rPr>
        <w:t xml:space="preserve">економічної ефективності </w:t>
      </w:r>
      <w:r w:rsidRPr="006B6651">
        <w:rPr>
          <w:color w:val="000000" w:themeColor="text1"/>
          <w:w w:val="110"/>
          <w:sz w:val="20"/>
          <w:lang w:val="ru-RU"/>
        </w:rPr>
        <w:t>(</w:t>
      </w:r>
      <w:r w:rsidRPr="003A6F65">
        <w:rPr>
          <w:color w:val="000000" w:themeColor="text1"/>
          <w:w w:val="110"/>
          <w:sz w:val="20"/>
        </w:rPr>
        <w:t>ICER</w:t>
      </w:r>
      <w:r w:rsidRPr="006B6651">
        <w:rPr>
          <w:color w:val="000000" w:themeColor="text1"/>
          <w:w w:val="110"/>
          <w:sz w:val="20"/>
          <w:lang w:val="ru-RU"/>
        </w:rPr>
        <w:t xml:space="preserve">), </w:t>
      </w:r>
      <w:proofErr w:type="spellStart"/>
      <w:r w:rsidRPr="006B6651">
        <w:rPr>
          <w:color w:val="000000" w:themeColor="text1"/>
          <w:w w:val="110"/>
          <w:sz w:val="20"/>
          <w:lang w:val="ru-RU"/>
        </w:rPr>
        <w:t>який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розраховувався</w:t>
      </w:r>
      <w:proofErr w:type="spellEnd"/>
      <w:r w:rsidRPr="006B6651">
        <w:rPr>
          <w:color w:val="000000" w:themeColor="text1"/>
          <w:w w:val="110"/>
          <w:sz w:val="20"/>
          <w:lang w:val="ru-RU"/>
        </w:rPr>
        <w:t xml:space="preserve"> як </w:t>
      </w:r>
      <w:r w:rsidRPr="00595828">
        <w:rPr>
          <w:color w:val="000000" w:themeColor="text1"/>
          <w:w w:val="110"/>
          <w:sz w:val="20"/>
          <w:lang w:val="uk-UA"/>
        </w:rPr>
        <w:t>додаткові</w:t>
      </w:r>
      <w:r w:rsidRPr="006B6651">
        <w:rPr>
          <w:color w:val="000000" w:themeColor="text1"/>
          <w:w w:val="110"/>
          <w:sz w:val="20"/>
          <w:lang w:val="ru-RU"/>
        </w:rPr>
        <w:t xml:space="preserve"> </w:t>
      </w:r>
      <w:proofErr w:type="spellStart"/>
      <w:r w:rsidRPr="006B6651">
        <w:rPr>
          <w:color w:val="000000" w:themeColor="text1"/>
          <w:w w:val="110"/>
          <w:sz w:val="20"/>
          <w:lang w:val="ru-RU"/>
        </w:rPr>
        <w:t>витрати</w:t>
      </w:r>
      <w:proofErr w:type="spellEnd"/>
      <w:r w:rsidRPr="006B6651">
        <w:rPr>
          <w:color w:val="000000" w:themeColor="text1"/>
          <w:w w:val="110"/>
          <w:sz w:val="20"/>
          <w:lang w:val="ru-RU"/>
        </w:rPr>
        <w:t xml:space="preserve"> в </w:t>
      </w:r>
      <w:proofErr w:type="spellStart"/>
      <w:r w:rsidRPr="006B6651">
        <w:rPr>
          <w:color w:val="000000" w:themeColor="text1"/>
          <w:w w:val="110"/>
          <w:sz w:val="20"/>
          <w:lang w:val="ru-RU"/>
        </w:rPr>
        <w:t>доларах</w:t>
      </w:r>
      <w:proofErr w:type="spellEnd"/>
      <w:r w:rsidRPr="006B6651">
        <w:rPr>
          <w:color w:val="000000" w:themeColor="text1"/>
          <w:w w:val="110"/>
          <w:sz w:val="20"/>
          <w:lang w:val="ru-RU"/>
        </w:rPr>
        <w:t xml:space="preserve"> США на один рік </w:t>
      </w:r>
      <w:proofErr w:type="spellStart"/>
      <w:r w:rsidRPr="006B6651">
        <w:rPr>
          <w:color w:val="000000" w:themeColor="text1"/>
          <w:w w:val="110"/>
          <w:sz w:val="20"/>
          <w:lang w:val="ru-RU"/>
        </w:rPr>
        <w:t>життя</w:t>
      </w:r>
      <w:proofErr w:type="spellEnd"/>
      <w:r w:rsidRPr="00595828">
        <w:rPr>
          <w:color w:val="000000" w:themeColor="text1"/>
          <w:w w:val="110"/>
          <w:sz w:val="20"/>
          <w:lang w:val="uk-UA"/>
        </w:rPr>
        <w:t xml:space="preserve"> з поправкою</w:t>
      </w:r>
      <w:r w:rsidRPr="006B6651">
        <w:rPr>
          <w:color w:val="000000" w:themeColor="text1"/>
          <w:w w:val="110"/>
          <w:sz w:val="20"/>
          <w:lang w:val="ru-RU"/>
        </w:rPr>
        <w:t xml:space="preserve"> </w:t>
      </w:r>
      <w:r w:rsidRPr="00595828">
        <w:rPr>
          <w:color w:val="000000" w:themeColor="text1"/>
          <w:w w:val="110"/>
          <w:sz w:val="20"/>
          <w:lang w:val="uk-UA"/>
        </w:rPr>
        <w:t>на</w:t>
      </w:r>
      <w:r w:rsidRPr="006B6651">
        <w:rPr>
          <w:color w:val="000000" w:themeColor="text1"/>
          <w:w w:val="110"/>
          <w:sz w:val="20"/>
          <w:lang w:val="ru-RU"/>
        </w:rPr>
        <w:t xml:space="preserve"> </w:t>
      </w:r>
      <w:r>
        <w:rPr>
          <w:color w:val="000000" w:themeColor="text1"/>
          <w:w w:val="110"/>
          <w:sz w:val="20"/>
          <w:lang w:val="uk-UA"/>
        </w:rPr>
        <w:t>непрацездатність</w:t>
      </w:r>
      <w:r w:rsidRPr="006B6651">
        <w:rPr>
          <w:color w:val="000000" w:themeColor="text1"/>
          <w:w w:val="110"/>
          <w:sz w:val="20"/>
          <w:lang w:val="ru-RU"/>
        </w:rPr>
        <w:t xml:space="preserve"> (</w:t>
      </w:r>
      <w:r w:rsidRPr="00595828">
        <w:rPr>
          <w:color w:val="000000" w:themeColor="text1"/>
          <w:w w:val="110"/>
          <w:sz w:val="20"/>
        </w:rPr>
        <w:t>DALY</w:t>
      </w:r>
      <w:r w:rsidRPr="006B6651">
        <w:rPr>
          <w:color w:val="000000" w:themeColor="text1"/>
          <w:w w:val="110"/>
          <w:sz w:val="20"/>
          <w:lang w:val="ru-RU"/>
        </w:rPr>
        <w:t>)</w:t>
      </w:r>
      <w:r>
        <w:rPr>
          <w:color w:val="000000" w:themeColor="text1"/>
          <w:w w:val="110"/>
          <w:sz w:val="20"/>
          <w:lang w:val="uk-UA"/>
        </w:rPr>
        <w:t>, якому вдалося запобігти</w:t>
      </w:r>
      <w:r w:rsidRPr="006B6651">
        <w:rPr>
          <w:color w:val="000000" w:themeColor="text1"/>
          <w:w w:val="110"/>
          <w:sz w:val="20"/>
          <w:lang w:val="ru-RU"/>
        </w:rPr>
        <w:t>.</w:t>
      </w:r>
    </w:p>
    <w:p w14:paraId="457B86F4" w14:textId="77777777" w:rsidR="0015544F" w:rsidRDefault="0015544F" w:rsidP="0015544F">
      <w:pPr>
        <w:spacing w:before="182"/>
        <w:ind w:left="709" w:right="4"/>
        <w:rPr>
          <w:i/>
          <w:color w:val="019648"/>
          <w:w w:val="105"/>
          <w:sz w:val="24"/>
          <w:lang w:val="ru-RU"/>
        </w:rPr>
      </w:pPr>
    </w:p>
    <w:p w14:paraId="093AD512" w14:textId="77777777" w:rsidR="0015544F" w:rsidRDefault="0015544F" w:rsidP="0015544F">
      <w:pPr>
        <w:spacing w:before="182"/>
        <w:ind w:left="709" w:right="4"/>
        <w:rPr>
          <w:i/>
          <w:color w:val="019648"/>
          <w:w w:val="105"/>
          <w:sz w:val="24"/>
          <w:lang w:val="ru-RU"/>
        </w:rPr>
      </w:pPr>
    </w:p>
    <w:p w14:paraId="514A40FD" w14:textId="77777777" w:rsidR="0015544F" w:rsidRDefault="0015544F" w:rsidP="0015544F">
      <w:pPr>
        <w:spacing w:before="182"/>
        <w:ind w:left="709" w:right="4"/>
        <w:rPr>
          <w:i/>
          <w:color w:val="019648"/>
          <w:w w:val="105"/>
          <w:sz w:val="24"/>
          <w:lang w:val="ru-RU"/>
        </w:rPr>
      </w:pPr>
    </w:p>
    <w:p w14:paraId="3E82A38B" w14:textId="310CC0B9" w:rsidR="00767E2A" w:rsidRPr="006B6651" w:rsidRDefault="00767E2A" w:rsidP="0015544F">
      <w:pPr>
        <w:spacing w:before="182"/>
        <w:ind w:left="709" w:right="4"/>
        <w:rPr>
          <w:i/>
          <w:sz w:val="24"/>
          <w:lang w:val="ru-RU"/>
        </w:rPr>
      </w:pPr>
      <w:proofErr w:type="spellStart"/>
      <w:r w:rsidRPr="006B6651">
        <w:rPr>
          <w:i/>
          <w:color w:val="019648"/>
          <w:w w:val="105"/>
          <w:sz w:val="24"/>
          <w:lang w:val="ru-RU"/>
        </w:rPr>
        <w:lastRenderedPageBreak/>
        <w:t>Основні</w:t>
      </w:r>
      <w:proofErr w:type="spellEnd"/>
      <w:r w:rsidRPr="006B6651">
        <w:rPr>
          <w:i/>
          <w:color w:val="019648"/>
          <w:w w:val="105"/>
          <w:sz w:val="24"/>
          <w:lang w:val="ru-RU"/>
        </w:rPr>
        <w:t xml:space="preserve"> </w:t>
      </w:r>
      <w:proofErr w:type="spellStart"/>
      <w:r w:rsidRPr="006B6651">
        <w:rPr>
          <w:i/>
          <w:color w:val="019648"/>
          <w:w w:val="105"/>
          <w:sz w:val="24"/>
          <w:lang w:val="ru-RU"/>
        </w:rPr>
        <w:t>результати</w:t>
      </w:r>
      <w:proofErr w:type="spellEnd"/>
      <w:r w:rsidRPr="006B6651">
        <w:rPr>
          <w:i/>
          <w:color w:val="019648"/>
          <w:w w:val="105"/>
          <w:sz w:val="24"/>
          <w:lang w:val="ru-RU"/>
        </w:rPr>
        <w:t xml:space="preserve"> для </w:t>
      </w:r>
      <w:r w:rsidRPr="00AB18EC">
        <w:rPr>
          <w:i/>
          <w:color w:val="019648"/>
          <w:w w:val="105"/>
          <w:sz w:val="24"/>
        </w:rPr>
        <w:t>PICO</w:t>
      </w:r>
      <w:r w:rsidRPr="006B6651">
        <w:rPr>
          <w:i/>
          <w:color w:val="019648"/>
          <w:w w:val="105"/>
          <w:sz w:val="24"/>
          <w:lang w:val="ru-RU"/>
        </w:rPr>
        <w:t xml:space="preserve"> 1: Використання таргетного </w:t>
      </w:r>
      <w:r>
        <w:rPr>
          <w:i/>
          <w:color w:val="019648"/>
          <w:w w:val="105"/>
          <w:sz w:val="24"/>
          <w:lang w:val="uk-UA"/>
        </w:rPr>
        <w:t>СНП</w:t>
      </w:r>
      <w:r w:rsidRPr="006B6651">
        <w:rPr>
          <w:i/>
          <w:color w:val="019648"/>
          <w:w w:val="105"/>
          <w:sz w:val="24"/>
          <w:lang w:val="ru-RU"/>
        </w:rPr>
        <w:t xml:space="preserve"> як </w:t>
      </w:r>
      <w:r>
        <w:rPr>
          <w:i/>
          <w:color w:val="019648"/>
          <w:w w:val="105"/>
          <w:sz w:val="24"/>
          <w:lang w:val="uk-UA"/>
        </w:rPr>
        <w:t>первинного</w:t>
      </w:r>
      <w:r w:rsidRPr="006B6651">
        <w:rPr>
          <w:i/>
          <w:color w:val="019648"/>
          <w:w w:val="105"/>
          <w:sz w:val="24"/>
          <w:lang w:val="ru-RU"/>
        </w:rPr>
        <w:t xml:space="preserve"> тесту</w:t>
      </w:r>
    </w:p>
    <w:p w14:paraId="34C8E184" w14:textId="77777777" w:rsidR="00767E2A" w:rsidRPr="006B6651" w:rsidRDefault="00767E2A" w:rsidP="0015544F">
      <w:pPr>
        <w:pStyle w:val="a3"/>
        <w:spacing w:before="86" w:line="276" w:lineRule="auto"/>
        <w:ind w:left="709" w:right="4"/>
        <w:jc w:val="both"/>
        <w:rPr>
          <w:color w:val="000000" w:themeColor="text1"/>
          <w:sz w:val="20"/>
          <w:lang w:val="ru-RU"/>
        </w:rPr>
      </w:pPr>
      <w:r w:rsidRPr="006B6651">
        <w:rPr>
          <w:color w:val="000000" w:themeColor="text1"/>
          <w:w w:val="110"/>
          <w:sz w:val="20"/>
          <w:lang w:val="ru-RU"/>
        </w:rPr>
        <w:t xml:space="preserve">Використання таргетного </w:t>
      </w:r>
      <w:r w:rsidRPr="00595828">
        <w:rPr>
          <w:color w:val="000000" w:themeColor="text1"/>
          <w:w w:val="110"/>
          <w:sz w:val="20"/>
          <w:lang w:val="uk-UA"/>
        </w:rPr>
        <w:t>СНП</w:t>
      </w:r>
      <w:r w:rsidRPr="006B6651">
        <w:rPr>
          <w:color w:val="000000" w:themeColor="text1"/>
          <w:w w:val="110"/>
          <w:sz w:val="20"/>
          <w:lang w:val="ru-RU"/>
        </w:rPr>
        <w:t xml:space="preserve"> як </w:t>
      </w:r>
      <w:r>
        <w:rPr>
          <w:color w:val="000000" w:themeColor="text1"/>
          <w:w w:val="110"/>
          <w:sz w:val="20"/>
          <w:lang w:val="uk-UA"/>
        </w:rPr>
        <w:t>первинного</w:t>
      </w:r>
      <w:r w:rsidRPr="006B6651">
        <w:rPr>
          <w:color w:val="000000" w:themeColor="text1"/>
          <w:w w:val="110"/>
          <w:sz w:val="20"/>
          <w:lang w:val="ru-RU"/>
        </w:rPr>
        <w:t xml:space="preserve"> тесту для </w:t>
      </w:r>
      <w:r w:rsidRPr="00595828">
        <w:rPr>
          <w:color w:val="000000" w:themeColor="text1"/>
          <w:w w:val="110"/>
          <w:sz w:val="20"/>
          <w:lang w:val="uk-UA"/>
        </w:rPr>
        <w:t xml:space="preserve">визначення </w:t>
      </w:r>
      <w:r>
        <w:rPr>
          <w:color w:val="000000" w:themeColor="text1"/>
          <w:w w:val="110"/>
          <w:sz w:val="20"/>
          <w:lang w:val="uk-UA"/>
        </w:rPr>
        <w:t>лікарської</w:t>
      </w:r>
      <w:r w:rsidRPr="00595828">
        <w:rPr>
          <w:color w:val="000000" w:themeColor="text1"/>
          <w:w w:val="110"/>
          <w:sz w:val="20"/>
          <w:lang w:val="uk-UA"/>
        </w:rPr>
        <w:t xml:space="preserve"> </w:t>
      </w:r>
      <w:proofErr w:type="spellStart"/>
      <w:r w:rsidRPr="00595828">
        <w:rPr>
          <w:color w:val="000000" w:themeColor="text1"/>
          <w:w w:val="110"/>
          <w:sz w:val="20"/>
          <w:lang w:val="uk-UA"/>
        </w:rPr>
        <w:t>чуливості</w:t>
      </w:r>
      <w:proofErr w:type="spellEnd"/>
      <w:r w:rsidRPr="006B6651">
        <w:rPr>
          <w:color w:val="000000" w:themeColor="text1"/>
          <w:w w:val="110"/>
          <w:sz w:val="20"/>
          <w:lang w:val="ru-RU"/>
        </w:rPr>
        <w:t xml:space="preserve"> в </w:t>
      </w:r>
      <w:proofErr w:type="spellStart"/>
      <w:r w:rsidRPr="006B6651">
        <w:rPr>
          <w:color w:val="000000" w:themeColor="text1"/>
          <w:w w:val="110"/>
          <w:sz w:val="20"/>
          <w:lang w:val="ru-RU"/>
        </w:rPr>
        <w:t>умовах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високого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тягаря</w:t>
      </w:r>
      <w:proofErr w:type="spellEnd"/>
      <w:r w:rsidRPr="006B6651">
        <w:rPr>
          <w:color w:val="000000" w:themeColor="text1"/>
          <w:w w:val="110"/>
          <w:sz w:val="20"/>
          <w:lang w:val="ru-RU"/>
        </w:rPr>
        <w:t xml:space="preserve"> ЛС-ТБ у </w:t>
      </w:r>
      <w:proofErr w:type="spellStart"/>
      <w:r w:rsidRPr="006B6651">
        <w:rPr>
          <w:color w:val="000000" w:themeColor="text1"/>
          <w:w w:val="110"/>
          <w:sz w:val="20"/>
          <w:lang w:val="ru-RU"/>
        </w:rPr>
        <w:t>Грузії</w:t>
      </w:r>
      <w:proofErr w:type="spellEnd"/>
      <w:r w:rsidRPr="006B6651">
        <w:rPr>
          <w:color w:val="000000" w:themeColor="text1"/>
          <w:w w:val="110"/>
          <w:sz w:val="20"/>
          <w:lang w:val="ru-RU"/>
        </w:rPr>
        <w:t xml:space="preserve"> </w:t>
      </w:r>
      <w:r w:rsidRPr="00595828">
        <w:rPr>
          <w:color w:val="000000" w:themeColor="text1"/>
          <w:w w:val="110"/>
          <w:sz w:val="20"/>
          <w:lang w:val="uk-UA"/>
        </w:rPr>
        <w:t>забезпечило кращі результати</w:t>
      </w:r>
      <w:r w:rsidRPr="006B6651">
        <w:rPr>
          <w:color w:val="000000" w:themeColor="text1"/>
          <w:w w:val="110"/>
          <w:sz w:val="20"/>
          <w:lang w:val="ru-RU"/>
        </w:rPr>
        <w:t xml:space="preserve"> для здоров'я (</w:t>
      </w:r>
      <w:r w:rsidRPr="00595828">
        <w:rPr>
          <w:color w:val="000000" w:themeColor="text1"/>
          <w:w w:val="110"/>
          <w:sz w:val="20"/>
        </w:rPr>
        <w:t>DALY</w:t>
      </w:r>
      <w:r w:rsidRPr="006B6651">
        <w:rPr>
          <w:color w:val="000000" w:themeColor="text1"/>
          <w:w w:val="110"/>
          <w:sz w:val="20"/>
          <w:lang w:val="ru-RU"/>
        </w:rPr>
        <w:t xml:space="preserve">=0,49) </w:t>
      </w:r>
      <w:proofErr w:type="spellStart"/>
      <w:r w:rsidRPr="006B6651">
        <w:rPr>
          <w:color w:val="000000" w:themeColor="text1"/>
          <w:w w:val="110"/>
          <w:sz w:val="20"/>
          <w:lang w:val="ru-RU"/>
        </w:rPr>
        <w:t>порівняно</w:t>
      </w:r>
      <w:proofErr w:type="spellEnd"/>
      <w:r w:rsidRPr="006B6651">
        <w:rPr>
          <w:color w:val="000000" w:themeColor="text1"/>
          <w:w w:val="110"/>
          <w:sz w:val="20"/>
          <w:lang w:val="ru-RU"/>
        </w:rPr>
        <w:t xml:space="preserve"> з </w:t>
      </w:r>
      <w:r w:rsidRPr="00595828">
        <w:rPr>
          <w:color w:val="000000" w:themeColor="text1"/>
          <w:w w:val="110"/>
          <w:sz w:val="20"/>
        </w:rPr>
        <w:t>Xpert</w:t>
      </w:r>
      <w:r w:rsidRPr="006B6651">
        <w:rPr>
          <w:color w:val="000000" w:themeColor="text1"/>
          <w:w w:val="110"/>
          <w:sz w:val="20"/>
          <w:lang w:val="ru-RU"/>
        </w:rPr>
        <w:t xml:space="preserve"> </w:t>
      </w:r>
      <w:r w:rsidRPr="00595828">
        <w:rPr>
          <w:color w:val="000000" w:themeColor="text1"/>
          <w:w w:val="110"/>
          <w:sz w:val="20"/>
        </w:rPr>
        <w:t>MTB</w:t>
      </w:r>
      <w:r w:rsidRPr="006B6651">
        <w:rPr>
          <w:color w:val="000000" w:themeColor="text1"/>
          <w:w w:val="110"/>
          <w:sz w:val="20"/>
          <w:lang w:val="ru-RU"/>
        </w:rPr>
        <w:t>/</w:t>
      </w:r>
      <w:r w:rsidRPr="00595828">
        <w:rPr>
          <w:color w:val="000000" w:themeColor="text1"/>
          <w:w w:val="110"/>
          <w:sz w:val="20"/>
        </w:rPr>
        <w:t>RIF</w:t>
      </w:r>
      <w:r w:rsidRPr="006B6651">
        <w:rPr>
          <w:color w:val="000000" w:themeColor="text1"/>
          <w:w w:val="110"/>
          <w:sz w:val="20"/>
          <w:lang w:val="ru-RU"/>
        </w:rPr>
        <w:t xml:space="preserve"> або </w:t>
      </w:r>
      <w:r w:rsidRPr="00595828">
        <w:rPr>
          <w:color w:val="000000" w:themeColor="text1"/>
          <w:w w:val="110"/>
          <w:sz w:val="20"/>
        </w:rPr>
        <w:t>Xpert</w:t>
      </w:r>
      <w:r w:rsidRPr="006B6651">
        <w:rPr>
          <w:color w:val="000000" w:themeColor="text1"/>
          <w:w w:val="110"/>
          <w:sz w:val="20"/>
          <w:lang w:val="ru-RU"/>
        </w:rPr>
        <w:t xml:space="preserve"> </w:t>
      </w:r>
      <w:r w:rsidRPr="00595828">
        <w:rPr>
          <w:color w:val="000000" w:themeColor="text1"/>
          <w:w w:val="110"/>
          <w:sz w:val="20"/>
        </w:rPr>
        <w:t>Ultra</w:t>
      </w:r>
      <w:r w:rsidRPr="006B6651">
        <w:rPr>
          <w:color w:val="000000" w:themeColor="text1"/>
          <w:lang w:val="ru-RU"/>
        </w:rPr>
        <w:t xml:space="preserve"> </w:t>
      </w:r>
      <w:r w:rsidRPr="006B6651">
        <w:rPr>
          <w:color w:val="000000" w:themeColor="text1"/>
          <w:w w:val="110"/>
          <w:sz w:val="20"/>
          <w:lang w:val="ru-RU"/>
        </w:rPr>
        <w:t xml:space="preserve">з </w:t>
      </w:r>
      <w:proofErr w:type="spellStart"/>
      <w:r w:rsidRPr="006B6651">
        <w:rPr>
          <w:color w:val="000000" w:themeColor="text1"/>
          <w:w w:val="110"/>
          <w:sz w:val="20"/>
          <w:lang w:val="ru-RU"/>
        </w:rPr>
        <w:t>подальшим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фенотиповим</w:t>
      </w:r>
      <w:proofErr w:type="spellEnd"/>
      <w:r w:rsidRPr="006B6651">
        <w:rPr>
          <w:color w:val="000000" w:themeColor="text1"/>
          <w:w w:val="110"/>
          <w:sz w:val="20"/>
          <w:lang w:val="ru-RU"/>
        </w:rPr>
        <w:t xml:space="preserve"> Т</w:t>
      </w:r>
      <w:r w:rsidRPr="00595828">
        <w:rPr>
          <w:color w:val="000000" w:themeColor="text1"/>
          <w:w w:val="110"/>
          <w:sz w:val="20"/>
          <w:lang w:val="uk-UA"/>
        </w:rPr>
        <w:t>М</w:t>
      </w:r>
      <w:r w:rsidRPr="006B6651">
        <w:rPr>
          <w:color w:val="000000" w:themeColor="text1"/>
          <w:w w:val="110"/>
          <w:sz w:val="20"/>
          <w:lang w:val="ru-RU"/>
        </w:rPr>
        <w:t>Ч (</w:t>
      </w:r>
      <w:r w:rsidRPr="00595828">
        <w:rPr>
          <w:color w:val="000000" w:themeColor="text1"/>
          <w:w w:val="110"/>
          <w:sz w:val="20"/>
        </w:rPr>
        <w:t>DALY</w:t>
      </w:r>
      <w:r w:rsidRPr="006B6651">
        <w:rPr>
          <w:color w:val="000000" w:themeColor="text1"/>
          <w:w w:val="110"/>
          <w:sz w:val="20"/>
          <w:lang w:val="ru-RU"/>
        </w:rPr>
        <w:t xml:space="preserve">=0,51). </w:t>
      </w:r>
      <w:r w:rsidRPr="00595828">
        <w:rPr>
          <w:color w:val="000000" w:themeColor="text1"/>
          <w:w w:val="110"/>
          <w:sz w:val="20"/>
        </w:rPr>
        <w:t>ICER</w:t>
      </w:r>
      <w:r w:rsidRPr="006B6651">
        <w:rPr>
          <w:color w:val="000000" w:themeColor="text1"/>
          <w:w w:val="110"/>
          <w:sz w:val="20"/>
          <w:lang w:val="ru-RU"/>
        </w:rPr>
        <w:t xml:space="preserve"> на </w:t>
      </w:r>
      <w:r w:rsidRPr="00595828">
        <w:rPr>
          <w:color w:val="000000" w:themeColor="text1"/>
          <w:w w:val="110"/>
          <w:sz w:val="20"/>
        </w:rPr>
        <w:t>DALY</w:t>
      </w:r>
      <w:r>
        <w:rPr>
          <w:color w:val="000000" w:themeColor="text1"/>
          <w:w w:val="110"/>
          <w:sz w:val="20"/>
          <w:lang w:val="uk-UA"/>
        </w:rPr>
        <w:t>, якому вдалося запобігти,</w:t>
      </w:r>
      <w:r w:rsidRPr="006B6651">
        <w:rPr>
          <w:color w:val="000000" w:themeColor="text1"/>
          <w:w w:val="110"/>
          <w:sz w:val="20"/>
          <w:lang w:val="ru-RU"/>
        </w:rPr>
        <w:t xml:space="preserve"> становив 9</w:t>
      </w:r>
      <w:r>
        <w:rPr>
          <w:color w:val="000000" w:themeColor="text1"/>
          <w:w w:val="110"/>
          <w:sz w:val="20"/>
          <w:lang w:val="uk-UA"/>
        </w:rPr>
        <w:t xml:space="preserve"> </w:t>
      </w:r>
      <w:r w:rsidRPr="006B6651">
        <w:rPr>
          <w:color w:val="000000" w:themeColor="text1"/>
          <w:w w:val="110"/>
          <w:sz w:val="20"/>
          <w:lang w:val="ru-RU"/>
        </w:rPr>
        <w:t xml:space="preserve">261 дол. США (95% </w:t>
      </w:r>
      <w:proofErr w:type="spellStart"/>
      <w:r w:rsidRPr="006B6651">
        <w:rPr>
          <w:color w:val="000000" w:themeColor="text1"/>
          <w:w w:val="110"/>
          <w:sz w:val="20"/>
          <w:lang w:val="ru-RU"/>
        </w:rPr>
        <w:t>діапазон</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невизначеності</w:t>
      </w:r>
      <w:proofErr w:type="spellEnd"/>
      <w:r w:rsidRPr="00595828">
        <w:rPr>
          <w:color w:val="000000" w:themeColor="text1"/>
          <w:w w:val="110"/>
          <w:sz w:val="20"/>
          <w:lang w:val="uk-UA"/>
        </w:rPr>
        <w:t xml:space="preserve"> (</w:t>
      </w:r>
      <w:r w:rsidRPr="00595828">
        <w:rPr>
          <w:color w:val="000000" w:themeColor="text1"/>
          <w:w w:val="110"/>
          <w:sz w:val="20"/>
        </w:rPr>
        <w:t>UR</w:t>
      </w:r>
      <w:r w:rsidRPr="006B6651">
        <w:rPr>
          <w:color w:val="000000" w:themeColor="text1"/>
          <w:w w:val="110"/>
          <w:sz w:val="20"/>
          <w:lang w:val="ru-RU"/>
        </w:rPr>
        <w:t>): 5</w:t>
      </w:r>
      <w:r>
        <w:rPr>
          <w:color w:val="000000" w:themeColor="text1"/>
          <w:w w:val="110"/>
          <w:sz w:val="20"/>
          <w:lang w:val="uk-UA"/>
        </w:rPr>
        <w:t xml:space="preserve"> </w:t>
      </w:r>
      <w:r w:rsidRPr="006B6651">
        <w:rPr>
          <w:color w:val="000000" w:themeColor="text1"/>
          <w:w w:val="110"/>
          <w:sz w:val="20"/>
          <w:lang w:val="ru-RU"/>
        </w:rPr>
        <w:t>258</w:t>
      </w:r>
      <w:r w:rsidRPr="00595828">
        <w:rPr>
          <w:color w:val="000000" w:themeColor="text1"/>
          <w:w w:val="110"/>
          <w:sz w:val="20"/>
          <w:lang w:val="uk-UA"/>
        </w:rPr>
        <w:t xml:space="preserve"> </w:t>
      </w:r>
      <w:r w:rsidRPr="006B6651">
        <w:rPr>
          <w:color w:val="000000" w:themeColor="text1"/>
          <w:w w:val="110"/>
          <w:sz w:val="20"/>
          <w:lang w:val="ru-RU"/>
        </w:rPr>
        <w:t>–</w:t>
      </w:r>
      <w:r w:rsidRPr="00595828">
        <w:rPr>
          <w:color w:val="000000" w:themeColor="text1"/>
          <w:w w:val="110"/>
          <w:sz w:val="20"/>
          <w:lang w:val="uk-UA"/>
        </w:rPr>
        <w:t xml:space="preserve"> </w:t>
      </w:r>
      <w:r w:rsidRPr="006B6651">
        <w:rPr>
          <w:color w:val="000000" w:themeColor="text1"/>
          <w:w w:val="110"/>
          <w:sz w:val="20"/>
          <w:lang w:val="ru-RU"/>
        </w:rPr>
        <w:t>32</w:t>
      </w:r>
      <w:r>
        <w:rPr>
          <w:color w:val="000000" w:themeColor="text1"/>
          <w:w w:val="110"/>
          <w:sz w:val="20"/>
          <w:lang w:val="uk-UA"/>
        </w:rPr>
        <w:t xml:space="preserve"> </w:t>
      </w:r>
      <w:r w:rsidRPr="006B6651">
        <w:rPr>
          <w:color w:val="000000" w:themeColor="text1"/>
          <w:w w:val="110"/>
          <w:sz w:val="20"/>
          <w:lang w:val="ru-RU"/>
        </w:rPr>
        <w:t>040 дол. США/</w:t>
      </w:r>
      <w:r w:rsidRPr="00595828">
        <w:rPr>
          <w:color w:val="000000" w:themeColor="text1"/>
          <w:w w:val="110"/>
          <w:sz w:val="20"/>
        </w:rPr>
        <w:t>DALY</w:t>
      </w:r>
      <w:r>
        <w:rPr>
          <w:color w:val="000000" w:themeColor="text1"/>
          <w:w w:val="110"/>
          <w:sz w:val="20"/>
          <w:lang w:val="uk-UA"/>
        </w:rPr>
        <w:t>, якому вдалося запобігти</w:t>
      </w:r>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вважалося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економічно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ефективним</w:t>
      </w:r>
      <w:proofErr w:type="spellEnd"/>
      <w:r w:rsidRPr="006B6651">
        <w:rPr>
          <w:color w:val="000000" w:themeColor="text1"/>
          <w:w w:val="110"/>
          <w:sz w:val="20"/>
          <w:lang w:val="ru-RU"/>
        </w:rPr>
        <w:t xml:space="preserve"> при пороговому </w:t>
      </w:r>
      <w:proofErr w:type="spellStart"/>
      <w:r w:rsidRPr="006B6651">
        <w:rPr>
          <w:color w:val="000000" w:themeColor="text1"/>
          <w:w w:val="110"/>
          <w:sz w:val="20"/>
          <w:lang w:val="ru-RU"/>
        </w:rPr>
        <w:t>значенні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готовності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платити</w:t>
      </w:r>
      <w:proofErr w:type="spellEnd"/>
      <w:r w:rsidRPr="006B6651">
        <w:rPr>
          <w:color w:val="000000" w:themeColor="text1"/>
          <w:w w:val="110"/>
          <w:sz w:val="20"/>
          <w:lang w:val="ru-RU"/>
        </w:rPr>
        <w:t xml:space="preserve"> (</w:t>
      </w:r>
      <w:r w:rsidRPr="00595828">
        <w:rPr>
          <w:color w:val="000000" w:themeColor="text1"/>
          <w:w w:val="110"/>
          <w:sz w:val="20"/>
        </w:rPr>
        <w:t>WTP</w:t>
      </w:r>
      <w:r w:rsidRPr="006B6651">
        <w:rPr>
          <w:color w:val="000000" w:themeColor="text1"/>
          <w:w w:val="110"/>
          <w:sz w:val="20"/>
          <w:lang w:val="ru-RU"/>
        </w:rPr>
        <w:t xml:space="preserve">) у три рази </w:t>
      </w:r>
      <w:proofErr w:type="spellStart"/>
      <w:r w:rsidRPr="006B6651">
        <w:rPr>
          <w:color w:val="000000" w:themeColor="text1"/>
          <w:w w:val="110"/>
          <w:sz w:val="20"/>
          <w:lang w:val="ru-RU"/>
        </w:rPr>
        <w:t>вищому</w:t>
      </w:r>
      <w:proofErr w:type="spellEnd"/>
      <w:r w:rsidRPr="006B6651">
        <w:rPr>
          <w:color w:val="000000" w:themeColor="text1"/>
          <w:w w:val="110"/>
          <w:sz w:val="20"/>
          <w:lang w:val="ru-RU"/>
        </w:rPr>
        <w:t xml:space="preserve"> за ВВП </w:t>
      </w:r>
      <w:proofErr w:type="spellStart"/>
      <w:r w:rsidRPr="006B6651">
        <w:rPr>
          <w:color w:val="000000" w:themeColor="text1"/>
          <w:w w:val="110"/>
          <w:sz w:val="20"/>
          <w:lang w:val="ru-RU"/>
        </w:rPr>
        <w:t>країни</w:t>
      </w:r>
      <w:proofErr w:type="spellEnd"/>
      <w:r w:rsidRPr="006B6651">
        <w:rPr>
          <w:color w:val="000000" w:themeColor="text1"/>
          <w:w w:val="110"/>
          <w:sz w:val="20"/>
          <w:lang w:val="ru-RU"/>
        </w:rPr>
        <w:t xml:space="preserve"> на душу </w:t>
      </w:r>
      <w:proofErr w:type="spellStart"/>
      <w:r w:rsidRPr="006B6651">
        <w:rPr>
          <w:color w:val="000000" w:themeColor="text1"/>
          <w:w w:val="110"/>
          <w:sz w:val="20"/>
          <w:lang w:val="ru-RU"/>
        </w:rPr>
        <w:t>населення</w:t>
      </w:r>
      <w:proofErr w:type="spellEnd"/>
      <w:r w:rsidRPr="006B6651">
        <w:rPr>
          <w:color w:val="000000" w:themeColor="text1"/>
          <w:w w:val="110"/>
          <w:sz w:val="20"/>
          <w:lang w:val="ru-RU"/>
        </w:rPr>
        <w:t xml:space="preserve"> (15 609 дол. США)</w:t>
      </w:r>
      <w:r w:rsidRPr="00595828">
        <w:rPr>
          <w:color w:val="000000" w:themeColor="text1"/>
          <w:w w:val="110"/>
          <w:sz w:val="20"/>
          <w:lang w:val="uk-UA"/>
        </w:rPr>
        <w:t xml:space="preserve">. У </w:t>
      </w:r>
      <w:r w:rsidRPr="006B6651">
        <w:rPr>
          <w:color w:val="000000" w:themeColor="text1"/>
          <w:w w:val="110"/>
          <w:sz w:val="20"/>
          <w:lang w:val="ru-RU"/>
        </w:rPr>
        <w:t xml:space="preserve">80% </w:t>
      </w:r>
      <w:proofErr w:type="spellStart"/>
      <w:r w:rsidRPr="006B6651">
        <w:rPr>
          <w:color w:val="000000" w:themeColor="text1"/>
          <w:w w:val="110"/>
          <w:sz w:val="20"/>
          <w:lang w:val="ru-RU"/>
        </w:rPr>
        <w:t>змодельованих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сценаріїв</w:t>
      </w:r>
      <w:proofErr w:type="spellEnd"/>
      <w:r w:rsidRPr="006B6651">
        <w:rPr>
          <w:color w:val="000000" w:themeColor="text1"/>
          <w:w w:val="110"/>
          <w:sz w:val="20"/>
          <w:lang w:val="ru-RU"/>
        </w:rPr>
        <w:t xml:space="preserve"> </w:t>
      </w:r>
      <w:r w:rsidRPr="00595828">
        <w:rPr>
          <w:color w:val="000000" w:themeColor="text1"/>
          <w:w w:val="110"/>
          <w:sz w:val="20"/>
        </w:rPr>
        <w:t>ICER</w:t>
      </w:r>
      <w:r w:rsidRPr="006B6651">
        <w:rPr>
          <w:color w:val="000000" w:themeColor="text1"/>
          <w:w w:val="110"/>
          <w:sz w:val="20"/>
          <w:lang w:val="ru-RU"/>
        </w:rPr>
        <w:t xml:space="preserve"> </w:t>
      </w:r>
      <w:proofErr w:type="spellStart"/>
      <w:r w:rsidRPr="006B6651">
        <w:rPr>
          <w:color w:val="000000" w:themeColor="text1"/>
          <w:w w:val="110"/>
          <w:sz w:val="20"/>
          <w:lang w:val="ru-RU"/>
        </w:rPr>
        <w:t>був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нижчим</w:t>
      </w:r>
      <w:proofErr w:type="spellEnd"/>
      <w:r w:rsidRPr="006B6651">
        <w:rPr>
          <w:color w:val="000000" w:themeColor="text1"/>
          <w:w w:val="110"/>
          <w:sz w:val="20"/>
          <w:lang w:val="ru-RU"/>
        </w:rPr>
        <w:t xml:space="preserve"> за </w:t>
      </w:r>
      <w:proofErr w:type="spellStart"/>
      <w:r w:rsidRPr="006B6651">
        <w:rPr>
          <w:color w:val="000000" w:themeColor="text1"/>
          <w:w w:val="110"/>
          <w:sz w:val="20"/>
          <w:lang w:val="ru-RU"/>
        </w:rPr>
        <w:t>поріг</w:t>
      </w:r>
      <w:proofErr w:type="spellEnd"/>
      <w:r w:rsidRPr="00595828">
        <w:rPr>
          <w:color w:val="000000" w:themeColor="text1"/>
          <w:w w:val="110"/>
          <w:sz w:val="20"/>
          <w:lang w:val="uk-UA"/>
        </w:rPr>
        <w:t xml:space="preserve"> </w:t>
      </w:r>
      <w:r w:rsidRPr="00595828">
        <w:rPr>
          <w:color w:val="000000" w:themeColor="text1"/>
          <w:w w:val="110"/>
          <w:sz w:val="20"/>
        </w:rPr>
        <w:t>WTP</w:t>
      </w:r>
      <w:r w:rsidRPr="006B6651">
        <w:rPr>
          <w:color w:val="000000" w:themeColor="text1"/>
          <w:w w:val="110"/>
          <w:sz w:val="20"/>
          <w:lang w:val="ru-RU"/>
        </w:rPr>
        <w:t>.</w:t>
      </w:r>
    </w:p>
    <w:p w14:paraId="19804C83" w14:textId="6A29EDA5" w:rsidR="00767E2A" w:rsidRPr="006B6651" w:rsidRDefault="00767E2A" w:rsidP="0015544F">
      <w:pPr>
        <w:pStyle w:val="7"/>
        <w:spacing w:before="177"/>
        <w:ind w:left="709" w:right="4"/>
        <w:rPr>
          <w:rFonts w:ascii="Microsoft Sans Serif" w:hAnsi="Microsoft Sans Serif" w:cs="Microsoft Sans Serif"/>
          <w:lang w:val="ru-RU"/>
        </w:rPr>
      </w:pPr>
      <w:proofErr w:type="spellStart"/>
      <w:r w:rsidRPr="006B6651">
        <w:rPr>
          <w:rFonts w:ascii="Microsoft Sans Serif" w:hAnsi="Microsoft Sans Serif" w:cs="Microsoft Sans Serif"/>
          <w:color w:val="019648"/>
          <w:lang w:val="ru-RU"/>
        </w:rPr>
        <w:t>Основні</w:t>
      </w:r>
      <w:proofErr w:type="spellEnd"/>
      <w:r w:rsidRPr="006B6651">
        <w:rPr>
          <w:rFonts w:ascii="Microsoft Sans Serif" w:hAnsi="Microsoft Sans Serif" w:cs="Microsoft Sans Serif"/>
          <w:color w:val="019648"/>
          <w:lang w:val="ru-RU"/>
        </w:rPr>
        <w:t xml:space="preserve"> </w:t>
      </w:r>
      <w:proofErr w:type="spellStart"/>
      <w:r w:rsidRPr="006B6651">
        <w:rPr>
          <w:rFonts w:ascii="Microsoft Sans Serif" w:hAnsi="Microsoft Sans Serif" w:cs="Microsoft Sans Serif"/>
          <w:color w:val="019648"/>
          <w:lang w:val="ru-RU"/>
        </w:rPr>
        <w:t>результати</w:t>
      </w:r>
      <w:proofErr w:type="spellEnd"/>
      <w:r w:rsidRPr="006B6651">
        <w:rPr>
          <w:rFonts w:ascii="Microsoft Sans Serif" w:hAnsi="Microsoft Sans Serif" w:cs="Microsoft Sans Serif"/>
          <w:color w:val="019648"/>
          <w:lang w:val="ru-RU"/>
        </w:rPr>
        <w:t xml:space="preserve"> для </w:t>
      </w:r>
      <w:r w:rsidRPr="00AB18EC">
        <w:rPr>
          <w:rFonts w:ascii="Microsoft Sans Serif" w:hAnsi="Microsoft Sans Serif" w:cs="Microsoft Sans Serif"/>
          <w:color w:val="019648"/>
        </w:rPr>
        <w:t>PICO</w:t>
      </w:r>
      <w:r w:rsidRPr="006B6651">
        <w:rPr>
          <w:rFonts w:ascii="Microsoft Sans Serif" w:hAnsi="Microsoft Sans Serif" w:cs="Microsoft Sans Serif"/>
          <w:color w:val="019648"/>
          <w:lang w:val="ru-RU"/>
        </w:rPr>
        <w:t xml:space="preserve"> 2: Використання таргетного </w:t>
      </w:r>
      <w:r>
        <w:rPr>
          <w:rFonts w:ascii="Microsoft Sans Serif" w:hAnsi="Microsoft Sans Serif" w:cs="Microsoft Sans Serif"/>
          <w:color w:val="019648"/>
          <w:lang w:val="uk-UA"/>
        </w:rPr>
        <w:t>СНП</w:t>
      </w:r>
      <w:r w:rsidRPr="006B6651">
        <w:rPr>
          <w:rFonts w:ascii="Microsoft Sans Serif" w:hAnsi="Microsoft Sans Serif" w:cs="Microsoft Sans Serif"/>
          <w:color w:val="019648"/>
          <w:lang w:val="ru-RU"/>
        </w:rPr>
        <w:t xml:space="preserve"> </w:t>
      </w:r>
      <w:proofErr w:type="spellStart"/>
      <w:r w:rsidRPr="006B6651">
        <w:rPr>
          <w:rFonts w:ascii="Microsoft Sans Serif" w:hAnsi="Microsoft Sans Serif" w:cs="Microsoft Sans Serif"/>
          <w:color w:val="019648"/>
          <w:lang w:val="ru-RU"/>
        </w:rPr>
        <w:t>серед</w:t>
      </w:r>
      <w:proofErr w:type="spellEnd"/>
      <w:r w:rsidRPr="006B6651">
        <w:rPr>
          <w:rFonts w:ascii="Microsoft Sans Serif" w:hAnsi="Microsoft Sans Serif" w:cs="Microsoft Sans Serif"/>
          <w:color w:val="019648"/>
          <w:lang w:val="ru-RU"/>
        </w:rPr>
        <w:t xml:space="preserve"> </w:t>
      </w:r>
      <w:proofErr w:type="spellStart"/>
      <w:r w:rsidRPr="006B6651">
        <w:rPr>
          <w:rFonts w:ascii="Microsoft Sans Serif" w:hAnsi="Microsoft Sans Serif" w:cs="Microsoft Sans Serif"/>
          <w:color w:val="019648"/>
          <w:lang w:val="ru-RU"/>
        </w:rPr>
        <w:t>осіб</w:t>
      </w:r>
      <w:proofErr w:type="spellEnd"/>
      <w:r w:rsidRPr="006B6651">
        <w:rPr>
          <w:rFonts w:ascii="Microsoft Sans Serif" w:hAnsi="Microsoft Sans Serif" w:cs="Microsoft Sans Serif"/>
          <w:color w:val="019648"/>
          <w:lang w:val="ru-RU"/>
        </w:rPr>
        <w:t xml:space="preserve"> з </w:t>
      </w:r>
      <w:r>
        <w:rPr>
          <w:rFonts w:ascii="Microsoft Sans Serif" w:hAnsi="Microsoft Sans Serif" w:cs="Microsoft Sans Serif"/>
          <w:color w:val="019648"/>
          <w:lang w:val="uk-UA"/>
        </w:rPr>
        <w:t xml:space="preserve">  </w:t>
      </w:r>
      <w:r w:rsidRPr="006B6651">
        <w:rPr>
          <w:rFonts w:ascii="Microsoft Sans Serif" w:hAnsi="Microsoft Sans Serif" w:cs="Microsoft Sans Serif"/>
          <w:color w:val="019648"/>
          <w:lang w:val="ru-RU"/>
        </w:rPr>
        <w:t>Р</w:t>
      </w:r>
      <w:proofErr w:type="spellStart"/>
      <w:r>
        <w:rPr>
          <w:rFonts w:ascii="Microsoft Sans Serif" w:hAnsi="Microsoft Sans Serif" w:cs="Microsoft Sans Serif"/>
          <w:color w:val="019648"/>
          <w:lang w:val="uk-UA"/>
        </w:rPr>
        <w:t>иф</w:t>
      </w:r>
      <w:proofErr w:type="spellEnd"/>
      <w:r w:rsidRPr="006B6651">
        <w:rPr>
          <w:rFonts w:ascii="Microsoft Sans Serif" w:hAnsi="Microsoft Sans Serif" w:cs="Microsoft Sans Serif"/>
          <w:color w:val="019648"/>
          <w:lang w:val="ru-RU"/>
        </w:rPr>
        <w:t>-ТБ</w:t>
      </w:r>
    </w:p>
    <w:p w14:paraId="6A0402F9" w14:textId="77777777" w:rsidR="00767E2A" w:rsidRPr="00595828" w:rsidRDefault="00767E2A" w:rsidP="0015544F">
      <w:pPr>
        <w:pStyle w:val="a3"/>
        <w:spacing w:before="218" w:line="276" w:lineRule="auto"/>
        <w:ind w:left="567" w:right="4"/>
        <w:jc w:val="both"/>
        <w:rPr>
          <w:color w:val="000000" w:themeColor="text1"/>
          <w:w w:val="110"/>
          <w:sz w:val="20"/>
          <w:lang w:val="uk-UA"/>
        </w:rPr>
      </w:pPr>
      <w:r w:rsidRPr="006B6651">
        <w:rPr>
          <w:color w:val="000000" w:themeColor="text1"/>
          <w:w w:val="110"/>
          <w:sz w:val="20"/>
          <w:lang w:val="ru-RU"/>
        </w:rPr>
        <w:t xml:space="preserve">При </w:t>
      </w:r>
      <w:proofErr w:type="spellStart"/>
      <w:r w:rsidRPr="006B6651">
        <w:rPr>
          <w:color w:val="000000" w:themeColor="text1"/>
          <w:w w:val="110"/>
          <w:sz w:val="20"/>
          <w:lang w:val="ru-RU"/>
        </w:rPr>
        <w:t>використанні</w:t>
      </w:r>
      <w:proofErr w:type="spellEnd"/>
      <w:r w:rsidRPr="006B6651">
        <w:rPr>
          <w:color w:val="000000" w:themeColor="text1"/>
          <w:w w:val="110"/>
          <w:sz w:val="20"/>
          <w:lang w:val="ru-RU"/>
        </w:rPr>
        <w:t xml:space="preserve"> таргетного </w:t>
      </w:r>
      <w:r w:rsidRPr="00595828">
        <w:rPr>
          <w:color w:val="000000" w:themeColor="text1"/>
          <w:w w:val="110"/>
          <w:sz w:val="20"/>
          <w:lang w:val="uk-UA"/>
        </w:rPr>
        <w:t>СНП</w:t>
      </w:r>
      <w:r w:rsidRPr="006B6651">
        <w:rPr>
          <w:color w:val="000000" w:themeColor="text1"/>
          <w:w w:val="110"/>
          <w:sz w:val="20"/>
          <w:lang w:val="ru-RU"/>
        </w:rPr>
        <w:t xml:space="preserve"> як </w:t>
      </w:r>
      <w:proofErr w:type="spellStart"/>
      <w:r w:rsidRPr="006B6651">
        <w:rPr>
          <w:i/>
          <w:color w:val="000000" w:themeColor="text1"/>
          <w:w w:val="110"/>
          <w:sz w:val="20"/>
          <w:lang w:val="ru-RU"/>
        </w:rPr>
        <w:t>заміни</w:t>
      </w:r>
      <w:proofErr w:type="spellEnd"/>
      <w:r w:rsidRPr="006B6651">
        <w:rPr>
          <w:i/>
          <w:color w:val="000000" w:themeColor="text1"/>
          <w:w w:val="110"/>
          <w:sz w:val="20"/>
          <w:lang w:val="ru-RU"/>
        </w:rPr>
        <w:t xml:space="preserve"> </w:t>
      </w:r>
      <w:proofErr w:type="spellStart"/>
      <w:r w:rsidRPr="006B6651">
        <w:rPr>
          <w:i/>
          <w:color w:val="000000" w:themeColor="text1"/>
          <w:w w:val="110"/>
          <w:sz w:val="20"/>
          <w:lang w:val="ru-RU"/>
        </w:rPr>
        <w:t>універсального</w:t>
      </w:r>
      <w:proofErr w:type="spellEnd"/>
      <w:r w:rsidRPr="006B6651">
        <w:rPr>
          <w:i/>
          <w:color w:val="000000" w:themeColor="text1"/>
          <w:w w:val="110"/>
          <w:sz w:val="20"/>
          <w:lang w:val="ru-RU"/>
        </w:rPr>
        <w:t xml:space="preserve"> </w:t>
      </w:r>
      <w:proofErr w:type="spellStart"/>
      <w:r w:rsidRPr="006B6651">
        <w:rPr>
          <w:i/>
          <w:color w:val="000000" w:themeColor="text1"/>
          <w:w w:val="110"/>
          <w:sz w:val="20"/>
          <w:lang w:val="ru-RU"/>
        </w:rPr>
        <w:t>фенотипового</w:t>
      </w:r>
      <w:proofErr w:type="spellEnd"/>
      <w:r w:rsidRPr="006B6651">
        <w:rPr>
          <w:i/>
          <w:color w:val="000000" w:themeColor="text1"/>
          <w:w w:val="110"/>
          <w:sz w:val="20"/>
          <w:lang w:val="ru-RU"/>
        </w:rPr>
        <w:t xml:space="preserve"> Т</w:t>
      </w:r>
      <w:r w:rsidRPr="00595828">
        <w:rPr>
          <w:i/>
          <w:color w:val="000000" w:themeColor="text1"/>
          <w:w w:val="110"/>
          <w:sz w:val="20"/>
          <w:lang w:val="uk-UA"/>
        </w:rPr>
        <w:t>М</w:t>
      </w:r>
      <w:r w:rsidRPr="006B6651">
        <w:rPr>
          <w:i/>
          <w:color w:val="000000" w:themeColor="text1"/>
          <w:w w:val="110"/>
          <w:sz w:val="20"/>
          <w:lang w:val="ru-RU"/>
        </w:rPr>
        <w:t>Ч</w:t>
      </w:r>
      <w:r w:rsidRPr="006B6651">
        <w:rPr>
          <w:color w:val="000000" w:themeColor="text1"/>
          <w:w w:val="110"/>
          <w:sz w:val="20"/>
          <w:lang w:val="ru-RU"/>
        </w:rPr>
        <w:t xml:space="preserve"> </w:t>
      </w:r>
      <w:proofErr w:type="spellStart"/>
      <w:r w:rsidRPr="006B6651">
        <w:rPr>
          <w:color w:val="000000" w:themeColor="text1"/>
          <w:w w:val="110"/>
          <w:sz w:val="20"/>
          <w:lang w:val="ru-RU"/>
        </w:rPr>
        <w:t>серед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пацієнтів</w:t>
      </w:r>
      <w:proofErr w:type="spellEnd"/>
      <w:r w:rsidRPr="006B6651">
        <w:rPr>
          <w:color w:val="000000" w:themeColor="text1"/>
          <w:w w:val="110"/>
          <w:sz w:val="20"/>
          <w:lang w:val="ru-RU"/>
        </w:rPr>
        <w:t xml:space="preserve"> з Р</w:t>
      </w:r>
      <w:proofErr w:type="spellStart"/>
      <w:r w:rsidRPr="00595828">
        <w:rPr>
          <w:color w:val="000000" w:themeColor="text1"/>
          <w:w w:val="110"/>
          <w:sz w:val="20"/>
          <w:lang w:val="uk-UA"/>
        </w:rPr>
        <w:t>иф</w:t>
      </w:r>
      <w:proofErr w:type="spellEnd"/>
      <w:r w:rsidRPr="006B6651">
        <w:rPr>
          <w:color w:val="000000" w:themeColor="text1"/>
          <w:w w:val="110"/>
          <w:sz w:val="20"/>
          <w:lang w:val="ru-RU"/>
        </w:rPr>
        <w:t xml:space="preserve">-ТБ, </w:t>
      </w:r>
      <w:proofErr w:type="spellStart"/>
      <w:r w:rsidRPr="006B6651">
        <w:rPr>
          <w:color w:val="000000" w:themeColor="text1"/>
          <w:w w:val="110"/>
          <w:sz w:val="20"/>
          <w:lang w:val="ru-RU"/>
        </w:rPr>
        <w:t>таргетн</w:t>
      </w:r>
      <w:proofErr w:type="spellEnd"/>
      <w:r w:rsidRPr="00595828">
        <w:rPr>
          <w:color w:val="000000" w:themeColor="text1"/>
          <w:w w:val="110"/>
          <w:sz w:val="20"/>
          <w:lang w:val="uk-UA"/>
        </w:rPr>
        <w:t>е</w:t>
      </w:r>
      <w:r w:rsidRPr="006B6651">
        <w:rPr>
          <w:color w:val="000000" w:themeColor="text1"/>
          <w:w w:val="110"/>
          <w:sz w:val="20"/>
          <w:lang w:val="ru-RU"/>
        </w:rPr>
        <w:t xml:space="preserve"> СНП </w:t>
      </w:r>
      <w:proofErr w:type="spellStart"/>
      <w:r w:rsidRPr="006B6651">
        <w:rPr>
          <w:color w:val="000000" w:themeColor="text1"/>
          <w:w w:val="110"/>
          <w:sz w:val="20"/>
          <w:lang w:val="ru-RU"/>
        </w:rPr>
        <w:t>поступа</w:t>
      </w:r>
      <w:proofErr w:type="spellEnd"/>
      <w:r w:rsidRPr="00595828">
        <w:rPr>
          <w:color w:val="000000" w:themeColor="text1"/>
          <w:w w:val="110"/>
          <w:sz w:val="20"/>
          <w:lang w:val="uk-UA"/>
        </w:rPr>
        <w:t>лося</w:t>
      </w:r>
      <w:r w:rsidRPr="006B6651">
        <w:rPr>
          <w:color w:val="000000" w:themeColor="text1"/>
          <w:w w:val="110"/>
          <w:sz w:val="20"/>
          <w:lang w:val="ru-RU"/>
        </w:rPr>
        <w:t xml:space="preserve"> </w:t>
      </w:r>
      <w:proofErr w:type="spellStart"/>
      <w:r w:rsidRPr="006B6651">
        <w:rPr>
          <w:color w:val="000000" w:themeColor="text1"/>
          <w:w w:val="110"/>
          <w:sz w:val="20"/>
          <w:lang w:val="ru-RU"/>
        </w:rPr>
        <w:t>фенотиповому</w:t>
      </w:r>
      <w:proofErr w:type="spellEnd"/>
      <w:r w:rsidRPr="006B6651">
        <w:rPr>
          <w:color w:val="000000" w:themeColor="text1"/>
          <w:w w:val="110"/>
          <w:sz w:val="20"/>
          <w:lang w:val="ru-RU"/>
        </w:rPr>
        <w:t xml:space="preserve"> Т</w:t>
      </w:r>
      <w:r w:rsidRPr="00595828">
        <w:rPr>
          <w:color w:val="000000" w:themeColor="text1"/>
          <w:w w:val="110"/>
          <w:sz w:val="20"/>
          <w:lang w:val="uk-UA"/>
        </w:rPr>
        <w:t>М</w:t>
      </w:r>
      <w:r w:rsidRPr="006B6651">
        <w:rPr>
          <w:color w:val="000000" w:themeColor="text1"/>
          <w:w w:val="110"/>
          <w:sz w:val="20"/>
          <w:lang w:val="ru-RU"/>
        </w:rPr>
        <w:t>Ч</w:t>
      </w:r>
      <w:r w:rsidRPr="00595828">
        <w:rPr>
          <w:color w:val="000000" w:themeColor="text1"/>
          <w:w w:val="110"/>
          <w:sz w:val="20"/>
          <w:lang w:val="uk-UA"/>
        </w:rPr>
        <w:t xml:space="preserve"> через </w:t>
      </w:r>
      <w:proofErr w:type="spellStart"/>
      <w:r w:rsidRPr="006B6651">
        <w:rPr>
          <w:color w:val="000000" w:themeColor="text1"/>
          <w:w w:val="110"/>
          <w:sz w:val="20"/>
          <w:lang w:val="ru-RU"/>
        </w:rPr>
        <w:t>вищі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витрати</w:t>
      </w:r>
      <w:proofErr w:type="spellEnd"/>
      <w:r w:rsidRPr="006B6651">
        <w:rPr>
          <w:color w:val="000000" w:themeColor="text1"/>
          <w:w w:val="110"/>
          <w:sz w:val="20"/>
          <w:lang w:val="ru-RU"/>
        </w:rPr>
        <w:t xml:space="preserve"> та </w:t>
      </w:r>
      <w:r w:rsidRPr="00595828">
        <w:rPr>
          <w:color w:val="000000" w:themeColor="text1"/>
          <w:w w:val="110"/>
          <w:sz w:val="20"/>
          <w:lang w:val="uk-UA"/>
        </w:rPr>
        <w:t>г</w:t>
      </w:r>
      <w:proofErr w:type="spellStart"/>
      <w:r w:rsidRPr="006B6651">
        <w:rPr>
          <w:color w:val="000000" w:themeColor="text1"/>
          <w:w w:val="110"/>
          <w:sz w:val="20"/>
          <w:lang w:val="ru-RU"/>
        </w:rPr>
        <w:t>ірші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результати</w:t>
      </w:r>
      <w:proofErr w:type="spellEnd"/>
      <w:r w:rsidRPr="006B6651">
        <w:rPr>
          <w:color w:val="000000" w:themeColor="text1"/>
          <w:w w:val="110"/>
          <w:sz w:val="20"/>
          <w:lang w:val="ru-RU"/>
        </w:rPr>
        <w:t xml:space="preserve"> </w:t>
      </w:r>
      <w:r w:rsidRPr="00595828">
        <w:rPr>
          <w:color w:val="000000" w:themeColor="text1"/>
          <w:w w:val="110"/>
          <w:sz w:val="20"/>
          <w:lang w:val="uk-UA"/>
        </w:rPr>
        <w:t>для</w:t>
      </w:r>
      <w:r w:rsidRPr="006B6651">
        <w:rPr>
          <w:color w:val="000000" w:themeColor="text1"/>
          <w:w w:val="110"/>
          <w:sz w:val="20"/>
          <w:lang w:val="ru-RU"/>
        </w:rPr>
        <w:t xml:space="preserve"> здоров’я.</w:t>
      </w:r>
      <w:r w:rsidRPr="00595828">
        <w:rPr>
          <w:color w:val="000000" w:themeColor="text1"/>
          <w:w w:val="110"/>
          <w:sz w:val="20"/>
          <w:lang w:val="uk-UA"/>
        </w:rPr>
        <w:t xml:space="preserve"> </w:t>
      </w:r>
      <w:proofErr w:type="spellStart"/>
      <w:r w:rsidRPr="006B6651">
        <w:rPr>
          <w:color w:val="000000" w:themeColor="text1"/>
          <w:w w:val="110"/>
          <w:sz w:val="20"/>
          <w:lang w:val="ru-RU"/>
        </w:rPr>
        <w:t>Цей</w:t>
      </w:r>
      <w:proofErr w:type="spellEnd"/>
      <w:r w:rsidRPr="006B6651">
        <w:rPr>
          <w:color w:val="000000" w:themeColor="text1"/>
          <w:w w:val="110"/>
          <w:sz w:val="20"/>
          <w:lang w:val="ru-RU"/>
        </w:rPr>
        <w:t xml:space="preserve"> результат </w:t>
      </w:r>
      <w:proofErr w:type="spellStart"/>
      <w:r w:rsidRPr="006B6651">
        <w:rPr>
          <w:color w:val="000000" w:themeColor="text1"/>
          <w:w w:val="110"/>
          <w:sz w:val="20"/>
          <w:lang w:val="ru-RU"/>
        </w:rPr>
        <w:t>був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зумовлений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високою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діагностичною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точністю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фенотипового</w:t>
      </w:r>
      <w:proofErr w:type="spellEnd"/>
      <w:r w:rsidRPr="006B6651">
        <w:rPr>
          <w:color w:val="000000" w:themeColor="text1"/>
          <w:w w:val="110"/>
          <w:sz w:val="20"/>
          <w:lang w:val="ru-RU"/>
        </w:rPr>
        <w:t xml:space="preserve"> Т</w:t>
      </w:r>
      <w:r w:rsidRPr="00595828">
        <w:rPr>
          <w:color w:val="000000" w:themeColor="text1"/>
          <w:w w:val="110"/>
          <w:sz w:val="20"/>
          <w:lang w:val="uk-UA"/>
        </w:rPr>
        <w:t>М</w:t>
      </w:r>
      <w:r w:rsidRPr="006B6651">
        <w:rPr>
          <w:color w:val="000000" w:themeColor="text1"/>
          <w:w w:val="110"/>
          <w:sz w:val="20"/>
          <w:lang w:val="ru-RU"/>
        </w:rPr>
        <w:t>Ч (як</w:t>
      </w:r>
      <w:proofErr w:type="spellStart"/>
      <w:r>
        <w:rPr>
          <w:color w:val="000000" w:themeColor="text1"/>
          <w:w w:val="110"/>
          <w:sz w:val="20"/>
          <w:lang w:val="uk-UA"/>
        </w:rPr>
        <w:t>ий</w:t>
      </w:r>
      <w:proofErr w:type="spellEnd"/>
      <w:r w:rsidRPr="006B6651">
        <w:rPr>
          <w:color w:val="000000" w:themeColor="text1"/>
          <w:w w:val="110"/>
          <w:sz w:val="20"/>
          <w:lang w:val="ru-RU"/>
        </w:rPr>
        <w:t xml:space="preserve"> в </w:t>
      </w:r>
      <w:proofErr w:type="spellStart"/>
      <w:r w:rsidRPr="006B6651">
        <w:rPr>
          <w:color w:val="000000" w:themeColor="text1"/>
          <w:w w:val="110"/>
          <w:sz w:val="20"/>
          <w:lang w:val="ru-RU"/>
        </w:rPr>
        <w:t>цьому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сценарії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вважа</w:t>
      </w:r>
      <w:proofErr w:type="spellEnd"/>
      <w:r>
        <w:rPr>
          <w:color w:val="000000" w:themeColor="text1"/>
          <w:w w:val="110"/>
          <w:sz w:val="20"/>
          <w:lang w:val="uk-UA"/>
        </w:rPr>
        <w:t>вся</w:t>
      </w:r>
      <w:r w:rsidRPr="006B6651">
        <w:rPr>
          <w:color w:val="000000" w:themeColor="text1"/>
          <w:w w:val="110"/>
          <w:sz w:val="20"/>
          <w:lang w:val="ru-RU"/>
        </w:rPr>
        <w:t xml:space="preserve"> </w:t>
      </w:r>
      <w:proofErr w:type="spellStart"/>
      <w:r w:rsidRPr="006B6651">
        <w:rPr>
          <w:color w:val="000000" w:themeColor="text1"/>
          <w:w w:val="110"/>
          <w:sz w:val="20"/>
          <w:lang w:val="ru-RU"/>
        </w:rPr>
        <w:t>універсальн</w:t>
      </w:r>
      <w:r>
        <w:rPr>
          <w:color w:val="000000" w:themeColor="text1"/>
          <w:w w:val="110"/>
          <w:sz w:val="20"/>
          <w:lang w:val="uk-UA"/>
        </w:rPr>
        <w:t>им</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припущенням</w:t>
      </w:r>
      <w:proofErr w:type="spellEnd"/>
      <w:r w:rsidRPr="006B6651">
        <w:rPr>
          <w:color w:val="000000" w:themeColor="text1"/>
          <w:w w:val="110"/>
          <w:sz w:val="20"/>
          <w:lang w:val="ru-RU"/>
        </w:rPr>
        <w:t xml:space="preserve"> про </w:t>
      </w:r>
      <w:proofErr w:type="spellStart"/>
      <w:r w:rsidRPr="006B6651">
        <w:rPr>
          <w:color w:val="000000" w:themeColor="text1"/>
          <w:w w:val="110"/>
          <w:sz w:val="20"/>
          <w:lang w:val="ru-RU"/>
        </w:rPr>
        <w:t>відсутність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різниці</w:t>
      </w:r>
      <w:proofErr w:type="spellEnd"/>
      <w:r w:rsidRPr="00595828">
        <w:rPr>
          <w:color w:val="000000" w:themeColor="text1"/>
          <w:w w:val="110"/>
          <w:sz w:val="20"/>
          <w:lang w:val="uk-UA"/>
        </w:rPr>
        <w:t xml:space="preserve"> </w:t>
      </w:r>
      <w:proofErr w:type="spellStart"/>
      <w:r w:rsidRPr="006B6651">
        <w:rPr>
          <w:color w:val="000000" w:themeColor="text1"/>
          <w:w w:val="110"/>
          <w:sz w:val="20"/>
          <w:lang w:val="ru-RU"/>
        </w:rPr>
        <w:t>між</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таргетним</w:t>
      </w:r>
      <w:proofErr w:type="spellEnd"/>
      <w:r w:rsidRPr="006B6651">
        <w:rPr>
          <w:color w:val="000000" w:themeColor="text1"/>
          <w:w w:val="110"/>
          <w:sz w:val="20"/>
          <w:lang w:val="ru-RU"/>
        </w:rPr>
        <w:t xml:space="preserve"> СНП та </w:t>
      </w:r>
      <w:proofErr w:type="spellStart"/>
      <w:r w:rsidRPr="006B6651">
        <w:rPr>
          <w:color w:val="000000" w:themeColor="text1"/>
          <w:w w:val="110"/>
          <w:sz w:val="20"/>
          <w:lang w:val="ru-RU"/>
        </w:rPr>
        <w:t>фенотиповим</w:t>
      </w:r>
      <w:proofErr w:type="spellEnd"/>
      <w:r w:rsidRPr="006B6651">
        <w:rPr>
          <w:color w:val="000000" w:themeColor="text1"/>
          <w:w w:val="110"/>
          <w:sz w:val="20"/>
          <w:lang w:val="ru-RU"/>
        </w:rPr>
        <w:t xml:space="preserve"> ТМЧ у </w:t>
      </w:r>
      <w:r w:rsidRPr="005E38A8">
        <w:rPr>
          <w:color w:val="000000" w:themeColor="text1"/>
          <w:w w:val="110"/>
          <w:sz w:val="20"/>
          <w:lang w:val="uk-UA"/>
        </w:rPr>
        <w:t xml:space="preserve">кількості </w:t>
      </w:r>
      <w:proofErr w:type="spellStart"/>
      <w:r w:rsidRPr="006B6651">
        <w:rPr>
          <w:color w:val="000000" w:themeColor="text1"/>
          <w:w w:val="110"/>
          <w:sz w:val="20"/>
          <w:lang w:val="ru-RU"/>
        </w:rPr>
        <w:t>пацієнтів</w:t>
      </w:r>
      <w:proofErr w:type="spellEnd"/>
      <w:r w:rsidRPr="006B6651">
        <w:rPr>
          <w:color w:val="000000" w:themeColor="text1"/>
          <w:w w:val="110"/>
          <w:sz w:val="20"/>
          <w:lang w:val="ru-RU"/>
        </w:rPr>
        <w:t xml:space="preserve"> </w:t>
      </w:r>
      <w:r w:rsidRPr="005E38A8">
        <w:rPr>
          <w:color w:val="000000" w:themeColor="text1"/>
          <w:w w:val="110"/>
          <w:sz w:val="20"/>
          <w:lang w:val="uk-UA"/>
        </w:rPr>
        <w:t xml:space="preserve">втрачених </w:t>
      </w:r>
      <w:r w:rsidRPr="006B6651">
        <w:rPr>
          <w:color w:val="000000" w:themeColor="text1"/>
          <w:w w:val="110"/>
          <w:sz w:val="20"/>
          <w:lang w:val="ru-RU"/>
        </w:rPr>
        <w:t xml:space="preserve">для </w:t>
      </w:r>
      <w:proofErr w:type="spellStart"/>
      <w:r w:rsidRPr="006B6651">
        <w:rPr>
          <w:color w:val="000000" w:themeColor="text1"/>
          <w:w w:val="110"/>
          <w:sz w:val="20"/>
          <w:lang w:val="ru-RU"/>
        </w:rPr>
        <w:t>подальшого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спостереження</w:t>
      </w:r>
      <w:proofErr w:type="spellEnd"/>
      <w:r w:rsidRPr="006B6651">
        <w:rPr>
          <w:color w:val="000000" w:themeColor="text1"/>
          <w:w w:val="110"/>
          <w:sz w:val="20"/>
          <w:lang w:val="ru-RU"/>
        </w:rPr>
        <w:t xml:space="preserve">. Коли </w:t>
      </w:r>
      <w:r w:rsidRPr="005E38A8">
        <w:rPr>
          <w:color w:val="000000" w:themeColor="text1"/>
          <w:w w:val="110"/>
          <w:sz w:val="20"/>
          <w:lang w:val="uk-UA"/>
        </w:rPr>
        <w:t>порівняння</w:t>
      </w:r>
      <w:r w:rsidRPr="00595828">
        <w:rPr>
          <w:color w:val="000000" w:themeColor="text1"/>
          <w:w w:val="110"/>
          <w:sz w:val="20"/>
          <w:lang w:val="uk-UA"/>
        </w:rPr>
        <w:t xml:space="preserve"> проводилось із використанням</w:t>
      </w:r>
      <w:r w:rsidRPr="006B6651">
        <w:rPr>
          <w:color w:val="000000" w:themeColor="text1"/>
          <w:w w:val="110"/>
          <w:sz w:val="20"/>
          <w:lang w:val="ru-RU"/>
        </w:rPr>
        <w:t xml:space="preserve"> </w:t>
      </w:r>
      <w:r w:rsidRPr="00595828">
        <w:rPr>
          <w:color w:val="000000" w:themeColor="text1"/>
          <w:w w:val="110"/>
          <w:sz w:val="20"/>
          <w:lang w:val="uk-UA"/>
        </w:rPr>
        <w:t xml:space="preserve">національної </w:t>
      </w:r>
      <w:r w:rsidRPr="006B6651">
        <w:rPr>
          <w:color w:val="000000" w:themeColor="text1"/>
          <w:w w:val="110"/>
          <w:sz w:val="20"/>
          <w:lang w:val="ru-RU"/>
        </w:rPr>
        <w:t>практик</w:t>
      </w:r>
      <w:r w:rsidRPr="00595828">
        <w:rPr>
          <w:color w:val="000000" w:themeColor="text1"/>
          <w:w w:val="110"/>
          <w:sz w:val="20"/>
          <w:lang w:val="uk-UA"/>
        </w:rPr>
        <w:t>и</w:t>
      </w:r>
      <w:r w:rsidRPr="006B6651">
        <w:rPr>
          <w:color w:val="000000" w:themeColor="text1"/>
          <w:w w:val="110"/>
          <w:sz w:val="20"/>
          <w:lang w:val="ru-RU"/>
        </w:rPr>
        <w:t xml:space="preserve"> Т</w:t>
      </w:r>
      <w:r w:rsidRPr="00595828">
        <w:rPr>
          <w:color w:val="000000" w:themeColor="text1"/>
          <w:w w:val="110"/>
          <w:sz w:val="20"/>
          <w:lang w:val="uk-UA"/>
        </w:rPr>
        <w:t>М</w:t>
      </w:r>
      <w:r w:rsidRPr="006B6651">
        <w:rPr>
          <w:color w:val="000000" w:themeColor="text1"/>
          <w:w w:val="110"/>
          <w:sz w:val="20"/>
          <w:lang w:val="ru-RU"/>
        </w:rPr>
        <w:t>Ч (</w:t>
      </w:r>
      <w:proofErr w:type="spellStart"/>
      <w:r w:rsidRPr="006B6651">
        <w:rPr>
          <w:color w:val="000000" w:themeColor="text1"/>
          <w:w w:val="110"/>
          <w:sz w:val="20"/>
          <w:lang w:val="ru-RU"/>
        </w:rPr>
        <w:t>замість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універсального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фенотипового</w:t>
      </w:r>
      <w:proofErr w:type="spellEnd"/>
      <w:r w:rsidRPr="006B6651">
        <w:rPr>
          <w:color w:val="000000" w:themeColor="text1"/>
          <w:w w:val="110"/>
          <w:sz w:val="20"/>
          <w:lang w:val="ru-RU"/>
        </w:rPr>
        <w:t xml:space="preserve"> Т</w:t>
      </w:r>
      <w:r w:rsidRPr="00595828">
        <w:rPr>
          <w:color w:val="000000" w:themeColor="text1"/>
          <w:w w:val="110"/>
          <w:sz w:val="20"/>
          <w:lang w:val="uk-UA"/>
        </w:rPr>
        <w:t>М</w:t>
      </w:r>
      <w:r w:rsidRPr="006B6651">
        <w:rPr>
          <w:color w:val="000000" w:themeColor="text1"/>
          <w:w w:val="110"/>
          <w:sz w:val="20"/>
          <w:lang w:val="ru-RU"/>
        </w:rPr>
        <w:t xml:space="preserve">Ч), </w:t>
      </w:r>
      <w:proofErr w:type="spellStart"/>
      <w:r w:rsidRPr="006B6651">
        <w:rPr>
          <w:color w:val="000000" w:themeColor="text1"/>
          <w:w w:val="110"/>
          <w:sz w:val="20"/>
          <w:lang w:val="ru-RU"/>
        </w:rPr>
        <w:t>таргетн</w:t>
      </w:r>
      <w:proofErr w:type="spellEnd"/>
      <w:r w:rsidRPr="00595828">
        <w:rPr>
          <w:color w:val="000000" w:themeColor="text1"/>
          <w:w w:val="110"/>
          <w:sz w:val="20"/>
          <w:lang w:val="uk-UA"/>
        </w:rPr>
        <w:t>е</w:t>
      </w:r>
      <w:r w:rsidRPr="006B6651">
        <w:rPr>
          <w:color w:val="000000" w:themeColor="text1"/>
          <w:w w:val="110"/>
          <w:sz w:val="20"/>
          <w:lang w:val="ru-RU"/>
        </w:rPr>
        <w:t xml:space="preserve"> СНП </w:t>
      </w:r>
      <w:proofErr w:type="spellStart"/>
      <w:r w:rsidRPr="006B6651">
        <w:rPr>
          <w:color w:val="000000" w:themeColor="text1"/>
          <w:w w:val="110"/>
          <w:sz w:val="20"/>
          <w:lang w:val="ru-RU"/>
        </w:rPr>
        <w:t>призводи</w:t>
      </w:r>
      <w:r w:rsidRPr="00595828">
        <w:rPr>
          <w:color w:val="000000" w:themeColor="text1"/>
          <w:w w:val="110"/>
          <w:sz w:val="20"/>
          <w:lang w:val="uk-UA"/>
        </w:rPr>
        <w:t>ло</w:t>
      </w:r>
      <w:proofErr w:type="spellEnd"/>
      <w:r w:rsidRPr="006B6651">
        <w:rPr>
          <w:color w:val="000000" w:themeColor="text1"/>
          <w:w w:val="110"/>
          <w:sz w:val="20"/>
          <w:lang w:val="ru-RU"/>
        </w:rPr>
        <w:t xml:space="preserve"> до </w:t>
      </w:r>
      <w:r w:rsidRPr="00595828">
        <w:rPr>
          <w:color w:val="000000" w:themeColor="text1"/>
          <w:w w:val="110"/>
          <w:sz w:val="20"/>
          <w:lang w:val="uk-UA"/>
        </w:rPr>
        <w:t>кращих результатів</w:t>
      </w:r>
      <w:r w:rsidRPr="006B6651">
        <w:rPr>
          <w:color w:val="000000" w:themeColor="text1"/>
          <w:w w:val="110"/>
          <w:sz w:val="20"/>
          <w:lang w:val="ru-RU"/>
        </w:rPr>
        <w:t xml:space="preserve"> для здоров'я, </w:t>
      </w:r>
      <w:proofErr w:type="spellStart"/>
      <w:r w:rsidRPr="006B6651">
        <w:rPr>
          <w:color w:val="000000" w:themeColor="text1"/>
          <w:w w:val="110"/>
          <w:sz w:val="20"/>
          <w:lang w:val="ru-RU"/>
        </w:rPr>
        <w:t>ніж</w:t>
      </w:r>
      <w:proofErr w:type="spellEnd"/>
      <w:r w:rsidRPr="006B6651">
        <w:rPr>
          <w:color w:val="000000" w:themeColor="text1"/>
          <w:w w:val="110"/>
          <w:sz w:val="20"/>
          <w:lang w:val="ru-RU"/>
        </w:rPr>
        <w:t xml:space="preserve"> </w:t>
      </w:r>
      <w:r w:rsidRPr="00595828">
        <w:rPr>
          <w:color w:val="000000" w:themeColor="text1"/>
          <w:w w:val="110"/>
          <w:sz w:val="20"/>
          <w:lang w:val="uk-UA"/>
        </w:rPr>
        <w:t xml:space="preserve">національна </w:t>
      </w:r>
      <w:r w:rsidRPr="006B6651">
        <w:rPr>
          <w:color w:val="000000" w:themeColor="text1"/>
          <w:w w:val="110"/>
          <w:sz w:val="20"/>
          <w:lang w:val="ru-RU"/>
        </w:rPr>
        <w:t>практика Т</w:t>
      </w:r>
      <w:r w:rsidRPr="00595828">
        <w:rPr>
          <w:color w:val="000000" w:themeColor="text1"/>
          <w:w w:val="110"/>
          <w:sz w:val="20"/>
          <w:lang w:val="uk-UA"/>
        </w:rPr>
        <w:t>М</w:t>
      </w:r>
      <w:r w:rsidRPr="006B6651">
        <w:rPr>
          <w:color w:val="000000" w:themeColor="text1"/>
          <w:w w:val="110"/>
          <w:sz w:val="20"/>
          <w:lang w:val="ru-RU"/>
        </w:rPr>
        <w:t xml:space="preserve">Ч, в </w:t>
      </w:r>
      <w:proofErr w:type="spellStart"/>
      <w:r w:rsidRPr="006B6651">
        <w:rPr>
          <w:color w:val="000000" w:themeColor="text1"/>
          <w:w w:val="110"/>
          <w:sz w:val="20"/>
          <w:lang w:val="ru-RU"/>
        </w:rPr>
        <w:t>усіх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трьох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країнах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Таргетн</w:t>
      </w:r>
      <w:proofErr w:type="spellEnd"/>
      <w:r w:rsidRPr="00595828">
        <w:rPr>
          <w:color w:val="000000" w:themeColor="text1"/>
          <w:w w:val="110"/>
          <w:sz w:val="20"/>
          <w:lang w:val="uk-UA"/>
        </w:rPr>
        <w:t>е</w:t>
      </w:r>
      <w:r w:rsidRPr="006B6651">
        <w:rPr>
          <w:color w:val="000000" w:themeColor="text1"/>
          <w:w w:val="110"/>
          <w:sz w:val="20"/>
          <w:lang w:val="ru-RU"/>
        </w:rPr>
        <w:t xml:space="preserve"> </w:t>
      </w:r>
      <w:r w:rsidRPr="00595828">
        <w:rPr>
          <w:color w:val="000000" w:themeColor="text1"/>
          <w:w w:val="110"/>
          <w:sz w:val="20"/>
          <w:lang w:val="uk-UA"/>
        </w:rPr>
        <w:t>СНП</w:t>
      </w:r>
      <w:r w:rsidRPr="006B6651">
        <w:rPr>
          <w:color w:val="000000" w:themeColor="text1"/>
          <w:w w:val="110"/>
          <w:sz w:val="20"/>
          <w:lang w:val="ru-RU"/>
        </w:rPr>
        <w:t xml:space="preserve"> </w:t>
      </w:r>
      <w:proofErr w:type="spellStart"/>
      <w:r w:rsidRPr="006B6651">
        <w:rPr>
          <w:color w:val="000000" w:themeColor="text1"/>
          <w:w w:val="110"/>
          <w:sz w:val="20"/>
          <w:lang w:val="ru-RU"/>
        </w:rPr>
        <w:t>бу</w:t>
      </w:r>
      <w:r w:rsidRPr="00595828">
        <w:rPr>
          <w:color w:val="000000" w:themeColor="text1"/>
          <w:w w:val="110"/>
          <w:sz w:val="20"/>
          <w:lang w:val="uk-UA"/>
        </w:rPr>
        <w:t>ло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економічно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ефективним</w:t>
      </w:r>
      <w:proofErr w:type="spellEnd"/>
      <w:r w:rsidRPr="006B6651">
        <w:rPr>
          <w:color w:val="000000" w:themeColor="text1"/>
          <w:w w:val="110"/>
          <w:sz w:val="20"/>
          <w:lang w:val="ru-RU"/>
        </w:rPr>
        <w:t xml:space="preserve"> у </w:t>
      </w:r>
      <w:proofErr w:type="spellStart"/>
      <w:r w:rsidRPr="006B6651">
        <w:rPr>
          <w:color w:val="000000" w:themeColor="text1"/>
          <w:w w:val="110"/>
          <w:sz w:val="20"/>
          <w:lang w:val="ru-RU"/>
        </w:rPr>
        <w:t>Південній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Африці</w:t>
      </w:r>
      <w:proofErr w:type="spellEnd"/>
      <w:r w:rsidRPr="006B6651">
        <w:rPr>
          <w:color w:val="000000" w:themeColor="text1"/>
          <w:w w:val="110"/>
          <w:sz w:val="20"/>
          <w:lang w:val="ru-RU"/>
        </w:rPr>
        <w:t xml:space="preserve"> (</w:t>
      </w:r>
      <w:r w:rsidRPr="00595828">
        <w:rPr>
          <w:color w:val="000000" w:themeColor="text1"/>
          <w:w w:val="110"/>
          <w:sz w:val="20"/>
        </w:rPr>
        <w:t>ICER</w:t>
      </w:r>
      <w:r w:rsidRPr="006B6651">
        <w:rPr>
          <w:color w:val="000000" w:themeColor="text1"/>
          <w:w w:val="110"/>
          <w:sz w:val="20"/>
          <w:lang w:val="ru-RU"/>
        </w:rPr>
        <w:t>: 15 619 дол. США/</w:t>
      </w:r>
      <w:r w:rsidRPr="00595828">
        <w:rPr>
          <w:color w:val="000000" w:themeColor="text1"/>
          <w:w w:val="110"/>
          <w:sz w:val="20"/>
        </w:rPr>
        <w:t>DALY</w:t>
      </w:r>
      <w:r>
        <w:rPr>
          <w:color w:val="000000" w:themeColor="text1"/>
          <w:w w:val="110"/>
          <w:sz w:val="20"/>
          <w:lang w:val="uk-UA"/>
        </w:rPr>
        <w:t>, якому вдалося запобігти</w:t>
      </w:r>
      <w:r w:rsidRPr="006B6651">
        <w:rPr>
          <w:color w:val="000000" w:themeColor="text1"/>
          <w:w w:val="110"/>
          <w:sz w:val="20"/>
          <w:lang w:val="ru-RU"/>
        </w:rPr>
        <w:t xml:space="preserve">, 95% </w:t>
      </w:r>
      <w:r w:rsidRPr="00595828">
        <w:rPr>
          <w:color w:val="000000" w:themeColor="text1"/>
          <w:w w:val="110"/>
          <w:sz w:val="20"/>
        </w:rPr>
        <w:t>UR</w:t>
      </w:r>
      <w:r w:rsidRPr="006B6651">
        <w:rPr>
          <w:color w:val="000000" w:themeColor="text1"/>
          <w:w w:val="110"/>
          <w:sz w:val="20"/>
          <w:lang w:val="ru-RU"/>
        </w:rPr>
        <w:t xml:space="preserve">: </w:t>
      </w:r>
      <w:proofErr w:type="spellStart"/>
      <w:r w:rsidRPr="006B6651">
        <w:rPr>
          <w:color w:val="000000" w:themeColor="text1"/>
          <w:w w:val="110"/>
          <w:sz w:val="20"/>
          <w:lang w:val="ru-RU"/>
        </w:rPr>
        <w:t>економія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коштів</w:t>
      </w:r>
      <w:proofErr w:type="spellEnd"/>
      <w:r w:rsidRPr="006B6651">
        <w:rPr>
          <w:color w:val="000000" w:themeColor="text1"/>
          <w:w w:val="110"/>
          <w:sz w:val="20"/>
          <w:lang w:val="ru-RU"/>
        </w:rPr>
        <w:t xml:space="preserve"> – 114 782 дол. США, при </w:t>
      </w:r>
      <w:proofErr w:type="spellStart"/>
      <w:r w:rsidRPr="006B6651">
        <w:rPr>
          <w:color w:val="000000" w:themeColor="text1"/>
          <w:w w:val="110"/>
          <w:sz w:val="20"/>
          <w:lang w:val="ru-RU"/>
        </w:rPr>
        <w:t>порозі</w:t>
      </w:r>
      <w:proofErr w:type="spellEnd"/>
      <w:r w:rsidRPr="006B6651">
        <w:rPr>
          <w:color w:val="000000" w:themeColor="text1"/>
          <w:w w:val="110"/>
          <w:sz w:val="20"/>
          <w:lang w:val="ru-RU"/>
        </w:rPr>
        <w:t xml:space="preserve"> </w:t>
      </w:r>
      <w:r w:rsidRPr="00595828">
        <w:rPr>
          <w:color w:val="000000" w:themeColor="text1"/>
          <w:w w:val="110"/>
          <w:sz w:val="20"/>
        </w:rPr>
        <w:t>WTP</w:t>
      </w:r>
      <w:r w:rsidRPr="006B6651">
        <w:rPr>
          <w:color w:val="000000" w:themeColor="text1"/>
          <w:w w:val="110"/>
          <w:sz w:val="20"/>
          <w:lang w:val="ru-RU"/>
        </w:rPr>
        <w:t xml:space="preserve"> 21 165 дол. США), </w:t>
      </w:r>
      <w:proofErr w:type="spellStart"/>
      <w:r w:rsidRPr="006B6651">
        <w:rPr>
          <w:color w:val="000000" w:themeColor="text1"/>
          <w:w w:val="110"/>
          <w:sz w:val="20"/>
          <w:lang w:val="ru-RU"/>
        </w:rPr>
        <w:t>але</w:t>
      </w:r>
      <w:proofErr w:type="spellEnd"/>
      <w:r w:rsidRPr="006B6651">
        <w:rPr>
          <w:color w:val="000000" w:themeColor="text1"/>
          <w:w w:val="110"/>
          <w:sz w:val="20"/>
          <w:lang w:val="ru-RU"/>
        </w:rPr>
        <w:t xml:space="preserve"> не </w:t>
      </w:r>
      <w:proofErr w:type="spellStart"/>
      <w:r w:rsidRPr="006B6651">
        <w:rPr>
          <w:color w:val="000000" w:themeColor="text1"/>
          <w:w w:val="110"/>
          <w:sz w:val="20"/>
          <w:lang w:val="ru-RU"/>
        </w:rPr>
        <w:t>бу</w:t>
      </w:r>
      <w:r w:rsidRPr="00595828">
        <w:rPr>
          <w:color w:val="000000" w:themeColor="text1"/>
          <w:w w:val="110"/>
          <w:sz w:val="20"/>
          <w:lang w:val="uk-UA"/>
        </w:rPr>
        <w:t>ло</w:t>
      </w:r>
      <w:proofErr w:type="spellEnd"/>
      <w:r w:rsidRPr="00595828">
        <w:rPr>
          <w:color w:val="000000" w:themeColor="text1"/>
          <w:w w:val="110"/>
          <w:sz w:val="20"/>
          <w:lang w:val="uk-UA"/>
        </w:rPr>
        <w:t xml:space="preserve"> </w:t>
      </w:r>
      <w:proofErr w:type="spellStart"/>
      <w:r w:rsidRPr="006B6651">
        <w:rPr>
          <w:color w:val="000000" w:themeColor="text1"/>
          <w:w w:val="110"/>
          <w:sz w:val="20"/>
          <w:lang w:val="ru-RU"/>
        </w:rPr>
        <w:t>економічно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ефективним</w:t>
      </w:r>
      <w:proofErr w:type="spellEnd"/>
      <w:r w:rsidRPr="006B6651">
        <w:rPr>
          <w:color w:val="000000" w:themeColor="text1"/>
          <w:w w:val="110"/>
          <w:sz w:val="20"/>
          <w:lang w:val="ru-RU"/>
        </w:rPr>
        <w:t xml:space="preserve"> у </w:t>
      </w:r>
      <w:proofErr w:type="spellStart"/>
      <w:r w:rsidRPr="006B6651">
        <w:rPr>
          <w:color w:val="000000" w:themeColor="text1"/>
          <w:w w:val="110"/>
          <w:sz w:val="20"/>
          <w:lang w:val="ru-RU"/>
        </w:rPr>
        <w:t>Грузії</w:t>
      </w:r>
      <w:proofErr w:type="spellEnd"/>
      <w:r w:rsidRPr="006B6651">
        <w:rPr>
          <w:color w:val="000000" w:themeColor="text1"/>
          <w:w w:val="110"/>
          <w:sz w:val="20"/>
          <w:lang w:val="ru-RU"/>
        </w:rPr>
        <w:t xml:space="preserve"> (</w:t>
      </w:r>
      <w:r w:rsidRPr="00595828">
        <w:rPr>
          <w:color w:val="000000" w:themeColor="text1"/>
          <w:w w:val="110"/>
          <w:sz w:val="20"/>
        </w:rPr>
        <w:t>ICER</w:t>
      </w:r>
      <w:r w:rsidRPr="006B6651">
        <w:rPr>
          <w:color w:val="000000" w:themeColor="text1"/>
          <w:w w:val="110"/>
          <w:sz w:val="20"/>
          <w:lang w:val="ru-RU"/>
        </w:rPr>
        <w:t>: 18 375 дол. США/</w:t>
      </w:r>
      <w:r w:rsidRPr="00595828">
        <w:rPr>
          <w:color w:val="000000" w:themeColor="text1"/>
          <w:w w:val="110"/>
          <w:sz w:val="20"/>
        </w:rPr>
        <w:t>DALY</w:t>
      </w:r>
      <w:r>
        <w:rPr>
          <w:color w:val="000000" w:themeColor="text1"/>
          <w:w w:val="110"/>
          <w:sz w:val="20"/>
          <w:lang w:val="uk-UA"/>
        </w:rPr>
        <w:t>, якому вдалося запобігти</w:t>
      </w:r>
      <w:r w:rsidRPr="006B6651">
        <w:rPr>
          <w:color w:val="000000" w:themeColor="text1"/>
          <w:w w:val="110"/>
          <w:sz w:val="20"/>
          <w:lang w:val="ru-RU"/>
        </w:rPr>
        <w:t xml:space="preserve">, </w:t>
      </w:r>
      <w:r w:rsidRPr="00595828">
        <w:rPr>
          <w:color w:val="000000" w:themeColor="text1"/>
          <w:w w:val="110"/>
          <w:sz w:val="20"/>
        </w:rPr>
        <w:t>UR</w:t>
      </w:r>
      <w:r w:rsidRPr="006B6651">
        <w:rPr>
          <w:color w:val="000000" w:themeColor="text1"/>
          <w:w w:val="110"/>
          <w:sz w:val="20"/>
          <w:lang w:val="ru-RU"/>
        </w:rPr>
        <w:t xml:space="preserve">: </w:t>
      </w:r>
      <w:proofErr w:type="spellStart"/>
      <w:r w:rsidRPr="006B6651">
        <w:rPr>
          <w:color w:val="000000" w:themeColor="text1"/>
          <w:w w:val="110"/>
          <w:sz w:val="20"/>
          <w:lang w:val="ru-RU"/>
        </w:rPr>
        <w:t>економія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коштів</w:t>
      </w:r>
      <w:proofErr w:type="spellEnd"/>
      <w:r w:rsidRPr="006B6651">
        <w:rPr>
          <w:color w:val="000000" w:themeColor="text1"/>
          <w:w w:val="110"/>
          <w:sz w:val="20"/>
          <w:lang w:val="ru-RU"/>
        </w:rPr>
        <w:t xml:space="preserve"> – 158 972 дол. США/</w:t>
      </w:r>
      <w:r w:rsidRPr="006B6651">
        <w:rPr>
          <w:color w:val="000000" w:themeColor="text1"/>
          <w:lang w:val="ru-RU"/>
        </w:rPr>
        <w:t xml:space="preserve"> </w:t>
      </w:r>
      <w:proofErr w:type="spellStart"/>
      <w:r w:rsidRPr="006B6651">
        <w:rPr>
          <w:color w:val="000000" w:themeColor="text1"/>
          <w:w w:val="110"/>
          <w:sz w:val="20"/>
          <w:lang w:val="ru-RU"/>
        </w:rPr>
        <w:t>відвернений</w:t>
      </w:r>
      <w:proofErr w:type="spellEnd"/>
      <w:r w:rsidRPr="006B6651">
        <w:rPr>
          <w:color w:val="000000" w:themeColor="text1"/>
          <w:w w:val="110"/>
          <w:sz w:val="20"/>
          <w:lang w:val="ru-RU"/>
        </w:rPr>
        <w:t xml:space="preserve"> </w:t>
      </w:r>
      <w:r w:rsidRPr="00595828">
        <w:rPr>
          <w:color w:val="000000" w:themeColor="text1"/>
          <w:w w:val="110"/>
          <w:sz w:val="20"/>
        </w:rPr>
        <w:t>DALY</w:t>
      </w:r>
      <w:r w:rsidRPr="006B6651">
        <w:rPr>
          <w:color w:val="000000" w:themeColor="text1"/>
          <w:w w:val="110"/>
          <w:sz w:val="20"/>
          <w:lang w:val="ru-RU"/>
        </w:rPr>
        <w:t xml:space="preserve">, при </w:t>
      </w:r>
      <w:proofErr w:type="spellStart"/>
      <w:r w:rsidRPr="006B6651">
        <w:rPr>
          <w:color w:val="000000" w:themeColor="text1"/>
          <w:w w:val="110"/>
          <w:sz w:val="20"/>
          <w:lang w:val="ru-RU"/>
        </w:rPr>
        <w:t>порозі</w:t>
      </w:r>
      <w:proofErr w:type="spellEnd"/>
      <w:r w:rsidRPr="006B6651">
        <w:rPr>
          <w:color w:val="000000" w:themeColor="text1"/>
          <w:w w:val="110"/>
          <w:sz w:val="20"/>
          <w:lang w:val="ru-RU"/>
        </w:rPr>
        <w:t xml:space="preserve"> </w:t>
      </w:r>
      <w:r w:rsidRPr="00595828">
        <w:rPr>
          <w:color w:val="000000" w:themeColor="text1"/>
          <w:w w:val="110"/>
          <w:sz w:val="20"/>
        </w:rPr>
        <w:t>WTP</w:t>
      </w:r>
      <w:r w:rsidRPr="006B6651">
        <w:rPr>
          <w:color w:val="000000" w:themeColor="text1"/>
          <w:w w:val="110"/>
          <w:sz w:val="20"/>
          <w:lang w:val="ru-RU"/>
        </w:rPr>
        <w:t xml:space="preserve"> 15 065 дол. США).</w:t>
      </w:r>
      <w:r w:rsidRPr="006B6651">
        <w:rPr>
          <w:color w:val="000000" w:themeColor="text1"/>
          <w:lang w:val="ru-RU"/>
        </w:rPr>
        <w:t xml:space="preserve"> </w:t>
      </w:r>
      <w:r w:rsidRPr="006B6651">
        <w:rPr>
          <w:color w:val="000000" w:themeColor="text1"/>
          <w:w w:val="110"/>
          <w:sz w:val="20"/>
          <w:lang w:val="ru-RU"/>
        </w:rPr>
        <w:t xml:space="preserve">В </w:t>
      </w:r>
      <w:proofErr w:type="spellStart"/>
      <w:r w:rsidRPr="006B6651">
        <w:rPr>
          <w:color w:val="000000" w:themeColor="text1"/>
          <w:w w:val="110"/>
          <w:sz w:val="20"/>
          <w:lang w:val="ru-RU"/>
        </w:rPr>
        <w:t>Індії</w:t>
      </w:r>
      <w:proofErr w:type="spellEnd"/>
      <w:r w:rsidRPr="006B6651">
        <w:rPr>
          <w:color w:val="000000" w:themeColor="text1"/>
          <w:w w:val="110"/>
          <w:sz w:val="20"/>
          <w:lang w:val="ru-RU"/>
        </w:rPr>
        <w:t xml:space="preserve">, де </w:t>
      </w:r>
      <w:r w:rsidRPr="00595828">
        <w:rPr>
          <w:color w:val="000000" w:themeColor="text1"/>
          <w:w w:val="110"/>
          <w:sz w:val="20"/>
        </w:rPr>
        <w:t>LPA</w:t>
      </w:r>
      <w:r w:rsidRPr="006B6651">
        <w:rPr>
          <w:color w:val="000000" w:themeColor="text1"/>
          <w:w w:val="110"/>
          <w:sz w:val="20"/>
          <w:lang w:val="ru-RU"/>
        </w:rPr>
        <w:t xml:space="preserve">, </w:t>
      </w:r>
      <w:proofErr w:type="spellStart"/>
      <w:r w:rsidRPr="006B6651">
        <w:rPr>
          <w:color w:val="000000" w:themeColor="text1"/>
          <w:w w:val="110"/>
          <w:sz w:val="20"/>
          <w:lang w:val="ru-RU"/>
        </w:rPr>
        <w:t>рідкі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культури</w:t>
      </w:r>
      <w:proofErr w:type="spellEnd"/>
      <w:r w:rsidRPr="006B6651">
        <w:rPr>
          <w:color w:val="000000" w:themeColor="text1"/>
          <w:w w:val="110"/>
          <w:sz w:val="20"/>
          <w:lang w:val="ru-RU"/>
        </w:rPr>
        <w:t xml:space="preserve"> та Т</w:t>
      </w:r>
      <w:r w:rsidRPr="00595828">
        <w:rPr>
          <w:color w:val="000000" w:themeColor="text1"/>
          <w:w w:val="110"/>
          <w:sz w:val="20"/>
          <w:lang w:val="uk-UA"/>
        </w:rPr>
        <w:t>М</w:t>
      </w:r>
      <w:r w:rsidRPr="006B6651">
        <w:rPr>
          <w:color w:val="000000" w:themeColor="text1"/>
          <w:w w:val="110"/>
          <w:sz w:val="20"/>
          <w:lang w:val="ru-RU"/>
        </w:rPr>
        <w:t xml:space="preserve">Ч </w:t>
      </w:r>
      <w:proofErr w:type="spellStart"/>
      <w:r w:rsidRPr="006B6651">
        <w:rPr>
          <w:color w:val="000000" w:themeColor="text1"/>
          <w:w w:val="110"/>
          <w:sz w:val="20"/>
          <w:lang w:val="ru-RU"/>
        </w:rPr>
        <w:t>використовуються</w:t>
      </w:r>
      <w:proofErr w:type="spellEnd"/>
      <w:r w:rsidRPr="006B6651">
        <w:rPr>
          <w:color w:val="000000" w:themeColor="text1"/>
          <w:w w:val="110"/>
          <w:sz w:val="20"/>
          <w:lang w:val="ru-RU"/>
        </w:rPr>
        <w:t xml:space="preserve"> як </w:t>
      </w:r>
      <w:proofErr w:type="spellStart"/>
      <w:r w:rsidRPr="006B6651">
        <w:rPr>
          <w:color w:val="000000" w:themeColor="text1"/>
          <w:w w:val="110"/>
          <w:sz w:val="20"/>
          <w:lang w:val="ru-RU"/>
        </w:rPr>
        <w:t>частина</w:t>
      </w:r>
      <w:proofErr w:type="spellEnd"/>
      <w:r w:rsidRPr="006B6651">
        <w:rPr>
          <w:color w:val="000000" w:themeColor="text1"/>
          <w:w w:val="110"/>
          <w:sz w:val="20"/>
          <w:lang w:val="ru-RU"/>
        </w:rPr>
        <w:t xml:space="preserve"> </w:t>
      </w:r>
      <w:r w:rsidRPr="00595828">
        <w:rPr>
          <w:color w:val="000000" w:themeColor="text1"/>
          <w:w w:val="110"/>
          <w:sz w:val="20"/>
          <w:lang w:val="uk-UA"/>
        </w:rPr>
        <w:t xml:space="preserve">національної </w:t>
      </w:r>
      <w:r w:rsidRPr="006B6651">
        <w:rPr>
          <w:color w:val="000000" w:themeColor="text1"/>
          <w:w w:val="110"/>
          <w:sz w:val="20"/>
          <w:lang w:val="ru-RU"/>
        </w:rPr>
        <w:t xml:space="preserve">практики ТМЧ, </w:t>
      </w:r>
      <w:proofErr w:type="spellStart"/>
      <w:r w:rsidRPr="006B6651">
        <w:rPr>
          <w:color w:val="000000" w:themeColor="text1"/>
          <w:w w:val="110"/>
          <w:sz w:val="20"/>
          <w:lang w:val="ru-RU"/>
        </w:rPr>
        <w:t>таргетний</w:t>
      </w:r>
      <w:proofErr w:type="spellEnd"/>
      <w:r w:rsidRPr="006B6651">
        <w:rPr>
          <w:color w:val="000000" w:themeColor="text1"/>
          <w:w w:val="110"/>
          <w:sz w:val="20"/>
          <w:lang w:val="ru-RU"/>
        </w:rPr>
        <w:t xml:space="preserve"> СНП </w:t>
      </w:r>
      <w:r w:rsidRPr="00595828">
        <w:rPr>
          <w:color w:val="000000" w:themeColor="text1"/>
          <w:w w:val="110"/>
          <w:sz w:val="20"/>
          <w:lang w:val="uk-UA"/>
        </w:rPr>
        <w:t>перевершив</w:t>
      </w:r>
      <w:r w:rsidRPr="006B6651">
        <w:rPr>
          <w:color w:val="000000" w:themeColor="text1"/>
          <w:w w:val="110"/>
          <w:sz w:val="20"/>
          <w:lang w:val="ru-RU"/>
        </w:rPr>
        <w:t xml:space="preserve"> </w:t>
      </w:r>
      <w:proofErr w:type="spellStart"/>
      <w:r w:rsidRPr="006B6651">
        <w:rPr>
          <w:color w:val="000000" w:themeColor="text1"/>
          <w:w w:val="110"/>
          <w:sz w:val="20"/>
          <w:lang w:val="ru-RU"/>
        </w:rPr>
        <w:t>поточн</w:t>
      </w:r>
      <w:proofErr w:type="spellEnd"/>
      <w:r w:rsidRPr="00595828">
        <w:rPr>
          <w:color w:val="000000" w:themeColor="text1"/>
          <w:w w:val="110"/>
          <w:sz w:val="20"/>
          <w:lang w:val="uk-UA"/>
        </w:rPr>
        <w:t>у національну</w:t>
      </w:r>
      <w:r w:rsidRPr="006B6651">
        <w:rPr>
          <w:color w:val="000000" w:themeColor="text1"/>
          <w:w w:val="110"/>
          <w:sz w:val="20"/>
          <w:lang w:val="ru-RU"/>
        </w:rPr>
        <w:t xml:space="preserve"> практик</w:t>
      </w:r>
      <w:r w:rsidRPr="00595828">
        <w:rPr>
          <w:color w:val="000000" w:themeColor="text1"/>
          <w:w w:val="110"/>
          <w:sz w:val="20"/>
          <w:lang w:val="uk-UA"/>
        </w:rPr>
        <w:t>у</w:t>
      </w:r>
      <w:r w:rsidRPr="006B6651">
        <w:rPr>
          <w:color w:val="000000" w:themeColor="text1"/>
          <w:w w:val="110"/>
          <w:sz w:val="20"/>
          <w:lang w:val="ru-RU"/>
        </w:rPr>
        <w:t xml:space="preserve"> ТМЧ, </w:t>
      </w:r>
      <w:proofErr w:type="spellStart"/>
      <w:r w:rsidRPr="006B6651">
        <w:rPr>
          <w:color w:val="000000" w:themeColor="text1"/>
          <w:w w:val="110"/>
          <w:sz w:val="20"/>
          <w:lang w:val="ru-RU"/>
        </w:rPr>
        <w:t>маючи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нижчі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витрати</w:t>
      </w:r>
      <w:proofErr w:type="spellEnd"/>
      <w:r w:rsidRPr="006B6651">
        <w:rPr>
          <w:color w:val="000000" w:themeColor="text1"/>
          <w:w w:val="110"/>
          <w:sz w:val="20"/>
          <w:lang w:val="ru-RU"/>
        </w:rPr>
        <w:t xml:space="preserve"> та </w:t>
      </w:r>
      <w:r w:rsidRPr="00595828">
        <w:rPr>
          <w:color w:val="000000" w:themeColor="text1"/>
          <w:w w:val="110"/>
          <w:sz w:val="20"/>
          <w:lang w:val="uk-UA"/>
        </w:rPr>
        <w:t>кращі</w:t>
      </w:r>
      <w:r w:rsidRPr="006B6651">
        <w:rPr>
          <w:color w:val="000000" w:themeColor="text1"/>
          <w:w w:val="110"/>
          <w:sz w:val="20"/>
          <w:lang w:val="ru-RU"/>
        </w:rPr>
        <w:t xml:space="preserve"> </w:t>
      </w:r>
      <w:r w:rsidRPr="00595828">
        <w:rPr>
          <w:color w:val="000000" w:themeColor="text1"/>
          <w:w w:val="110"/>
          <w:sz w:val="20"/>
          <w:lang w:val="uk-UA"/>
        </w:rPr>
        <w:t>результати</w:t>
      </w:r>
      <w:r w:rsidRPr="006B6651">
        <w:rPr>
          <w:color w:val="000000" w:themeColor="text1"/>
          <w:w w:val="110"/>
          <w:sz w:val="20"/>
          <w:lang w:val="ru-RU"/>
        </w:rPr>
        <w:t xml:space="preserve"> для здоров'я (95% </w:t>
      </w:r>
      <w:r w:rsidRPr="00595828">
        <w:rPr>
          <w:color w:val="000000" w:themeColor="text1"/>
          <w:w w:val="110"/>
          <w:sz w:val="20"/>
        </w:rPr>
        <w:t>UR</w:t>
      </w:r>
      <w:r w:rsidRPr="006B6651">
        <w:rPr>
          <w:color w:val="000000" w:themeColor="text1"/>
          <w:w w:val="110"/>
          <w:sz w:val="20"/>
          <w:lang w:val="ru-RU"/>
        </w:rPr>
        <w:t xml:space="preserve">: </w:t>
      </w:r>
      <w:proofErr w:type="spellStart"/>
      <w:r w:rsidRPr="006B6651">
        <w:rPr>
          <w:color w:val="000000" w:themeColor="text1"/>
          <w:w w:val="110"/>
          <w:sz w:val="20"/>
          <w:lang w:val="ru-RU"/>
        </w:rPr>
        <w:t>економія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коштів</w:t>
      </w:r>
      <w:proofErr w:type="spellEnd"/>
      <w:r w:rsidRPr="006B6651">
        <w:rPr>
          <w:color w:val="000000" w:themeColor="text1"/>
          <w:w w:val="110"/>
          <w:sz w:val="20"/>
          <w:lang w:val="ru-RU"/>
        </w:rPr>
        <w:t xml:space="preserve"> – 60 083 дол. США).</w:t>
      </w:r>
    </w:p>
    <w:p w14:paraId="36F2EBF1" w14:textId="77777777" w:rsidR="00767E2A" w:rsidRPr="006B6651" w:rsidRDefault="00767E2A" w:rsidP="00767E2A">
      <w:pPr>
        <w:pStyle w:val="7"/>
        <w:spacing w:before="188"/>
        <w:ind w:right="4"/>
        <w:jc w:val="both"/>
        <w:rPr>
          <w:rFonts w:ascii="Microsoft Sans Serif" w:hAnsi="Microsoft Sans Serif" w:cs="Microsoft Sans Serif"/>
          <w:lang w:val="ru-RU"/>
        </w:rPr>
      </w:pPr>
      <w:proofErr w:type="spellStart"/>
      <w:r w:rsidRPr="006B6651">
        <w:rPr>
          <w:rFonts w:ascii="Microsoft Sans Serif" w:hAnsi="Microsoft Sans Serif" w:cs="Microsoft Sans Serif"/>
          <w:color w:val="019648"/>
          <w:lang w:val="ru-RU"/>
        </w:rPr>
        <w:t>Основні</w:t>
      </w:r>
      <w:proofErr w:type="spellEnd"/>
      <w:r w:rsidRPr="006B6651">
        <w:rPr>
          <w:rFonts w:ascii="Microsoft Sans Serif" w:hAnsi="Microsoft Sans Serif" w:cs="Microsoft Sans Serif"/>
          <w:color w:val="019648"/>
          <w:lang w:val="ru-RU"/>
        </w:rPr>
        <w:t xml:space="preserve"> </w:t>
      </w:r>
      <w:proofErr w:type="spellStart"/>
      <w:r w:rsidRPr="006B6651">
        <w:rPr>
          <w:rFonts w:ascii="Microsoft Sans Serif" w:hAnsi="Microsoft Sans Serif" w:cs="Microsoft Sans Serif"/>
          <w:color w:val="019648"/>
          <w:lang w:val="ru-RU"/>
        </w:rPr>
        <w:t>результати</w:t>
      </w:r>
      <w:proofErr w:type="spellEnd"/>
      <w:r w:rsidRPr="006B6651">
        <w:rPr>
          <w:rFonts w:ascii="Microsoft Sans Serif" w:hAnsi="Microsoft Sans Serif" w:cs="Microsoft Sans Serif"/>
          <w:color w:val="019648"/>
          <w:lang w:val="ru-RU"/>
        </w:rPr>
        <w:t xml:space="preserve">: </w:t>
      </w:r>
      <w:proofErr w:type="spellStart"/>
      <w:r w:rsidRPr="006B6651">
        <w:rPr>
          <w:rFonts w:ascii="Microsoft Sans Serif" w:hAnsi="Microsoft Sans Serif" w:cs="Microsoft Sans Serif"/>
          <w:color w:val="019648"/>
          <w:lang w:val="ru-RU"/>
        </w:rPr>
        <w:t>аналіз</w:t>
      </w:r>
      <w:proofErr w:type="spellEnd"/>
      <w:r w:rsidRPr="006B6651">
        <w:rPr>
          <w:rFonts w:ascii="Microsoft Sans Serif" w:hAnsi="Microsoft Sans Serif" w:cs="Microsoft Sans Serif"/>
          <w:color w:val="019648"/>
          <w:lang w:val="ru-RU"/>
        </w:rPr>
        <w:t xml:space="preserve"> </w:t>
      </w:r>
      <w:proofErr w:type="spellStart"/>
      <w:r w:rsidRPr="006B6651">
        <w:rPr>
          <w:rFonts w:ascii="Microsoft Sans Serif" w:hAnsi="Microsoft Sans Serif" w:cs="Microsoft Sans Serif"/>
          <w:color w:val="019648"/>
          <w:lang w:val="ru-RU"/>
        </w:rPr>
        <w:t>сценаріїв</w:t>
      </w:r>
      <w:proofErr w:type="spellEnd"/>
    </w:p>
    <w:p w14:paraId="20523C18" w14:textId="77777777" w:rsidR="00767E2A" w:rsidRPr="006B6651" w:rsidRDefault="00767E2A" w:rsidP="0015544F">
      <w:pPr>
        <w:pStyle w:val="a3"/>
        <w:spacing w:before="218" w:line="276" w:lineRule="auto"/>
        <w:ind w:left="567" w:right="4"/>
        <w:jc w:val="both"/>
        <w:rPr>
          <w:color w:val="000000" w:themeColor="text1"/>
          <w:w w:val="105"/>
          <w:sz w:val="20"/>
          <w:lang w:val="ru-RU"/>
        </w:rPr>
      </w:pPr>
      <w:proofErr w:type="spellStart"/>
      <w:r w:rsidRPr="006B6651">
        <w:rPr>
          <w:color w:val="000000" w:themeColor="text1"/>
          <w:w w:val="105"/>
          <w:sz w:val="20"/>
          <w:lang w:val="ru-RU"/>
        </w:rPr>
        <w:t>Було</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досліджено</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кілька</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ключових</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аналізів</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сценаріїв</w:t>
      </w:r>
      <w:proofErr w:type="spellEnd"/>
      <w:r w:rsidRPr="006B6651">
        <w:rPr>
          <w:color w:val="000000" w:themeColor="text1"/>
          <w:w w:val="105"/>
          <w:sz w:val="20"/>
          <w:lang w:val="ru-RU"/>
        </w:rPr>
        <w:t xml:space="preserve">. У базовому </w:t>
      </w:r>
      <w:r w:rsidRPr="004A0605">
        <w:rPr>
          <w:color w:val="000000" w:themeColor="text1"/>
          <w:w w:val="105"/>
          <w:sz w:val="20"/>
          <w:lang w:val="uk-UA"/>
        </w:rPr>
        <w:t>сценарії</w:t>
      </w:r>
      <w:r w:rsidRPr="006B6651">
        <w:rPr>
          <w:color w:val="000000" w:themeColor="text1"/>
          <w:w w:val="105"/>
          <w:sz w:val="20"/>
          <w:lang w:val="ru-RU"/>
        </w:rPr>
        <w:t xml:space="preserve"> </w:t>
      </w:r>
      <w:proofErr w:type="spellStart"/>
      <w:r w:rsidRPr="006B6651">
        <w:rPr>
          <w:color w:val="000000" w:themeColor="text1"/>
          <w:w w:val="105"/>
          <w:sz w:val="20"/>
          <w:lang w:val="ru-RU"/>
        </w:rPr>
        <w:t>передбачалося</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що</w:t>
      </w:r>
      <w:proofErr w:type="spellEnd"/>
      <w:r w:rsidRPr="006B6651">
        <w:rPr>
          <w:color w:val="000000" w:themeColor="text1"/>
          <w:w w:val="105"/>
          <w:sz w:val="20"/>
          <w:lang w:val="ru-RU"/>
        </w:rPr>
        <w:t xml:space="preserve"> </w:t>
      </w:r>
      <w:r w:rsidRPr="004A0605">
        <w:rPr>
          <w:color w:val="000000" w:themeColor="text1"/>
          <w:w w:val="105"/>
          <w:sz w:val="20"/>
          <w:lang w:val="uk-UA"/>
        </w:rPr>
        <w:t xml:space="preserve">рівень </w:t>
      </w:r>
      <w:proofErr w:type="spellStart"/>
      <w:r w:rsidRPr="006B6651">
        <w:rPr>
          <w:color w:val="000000" w:themeColor="text1"/>
          <w:w w:val="105"/>
          <w:sz w:val="20"/>
          <w:lang w:val="ru-RU"/>
        </w:rPr>
        <w:t>втрат</w:t>
      </w:r>
      <w:proofErr w:type="spellEnd"/>
      <w:r w:rsidRPr="004A0605">
        <w:rPr>
          <w:color w:val="000000" w:themeColor="text1"/>
          <w:w w:val="105"/>
          <w:sz w:val="20"/>
          <w:lang w:val="uk-UA"/>
        </w:rPr>
        <w:t>и</w:t>
      </w:r>
      <w:r w:rsidRPr="006B6651">
        <w:rPr>
          <w:color w:val="000000" w:themeColor="text1"/>
          <w:w w:val="105"/>
          <w:sz w:val="20"/>
          <w:lang w:val="ru-RU"/>
        </w:rPr>
        <w:t xml:space="preserve"> </w:t>
      </w:r>
      <w:proofErr w:type="spellStart"/>
      <w:r w:rsidRPr="006B6651">
        <w:rPr>
          <w:color w:val="000000" w:themeColor="text1"/>
          <w:w w:val="105"/>
          <w:sz w:val="20"/>
          <w:lang w:val="ru-RU"/>
        </w:rPr>
        <w:t>пацієнтів</w:t>
      </w:r>
      <w:proofErr w:type="spellEnd"/>
      <w:r w:rsidRPr="006B6651">
        <w:rPr>
          <w:color w:val="000000" w:themeColor="text1"/>
          <w:w w:val="105"/>
          <w:sz w:val="20"/>
          <w:lang w:val="ru-RU"/>
        </w:rPr>
        <w:t xml:space="preserve"> для </w:t>
      </w:r>
      <w:proofErr w:type="spellStart"/>
      <w:r w:rsidRPr="006B6651">
        <w:rPr>
          <w:color w:val="000000" w:themeColor="text1"/>
          <w:w w:val="105"/>
          <w:sz w:val="20"/>
          <w:lang w:val="ru-RU"/>
        </w:rPr>
        <w:t>подальшого</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спостереження</w:t>
      </w:r>
      <w:proofErr w:type="spellEnd"/>
      <w:r w:rsidRPr="006B6651">
        <w:rPr>
          <w:color w:val="000000" w:themeColor="text1"/>
          <w:w w:val="105"/>
          <w:sz w:val="20"/>
          <w:lang w:val="ru-RU"/>
        </w:rPr>
        <w:t xml:space="preserve"> є </w:t>
      </w:r>
      <w:proofErr w:type="spellStart"/>
      <w:r w:rsidRPr="006B6651">
        <w:rPr>
          <w:color w:val="000000" w:themeColor="text1"/>
          <w:w w:val="105"/>
          <w:sz w:val="20"/>
          <w:lang w:val="ru-RU"/>
        </w:rPr>
        <w:t>однаков</w:t>
      </w:r>
      <w:r w:rsidRPr="004A0605">
        <w:rPr>
          <w:color w:val="000000" w:themeColor="text1"/>
          <w:w w:val="105"/>
          <w:sz w:val="20"/>
          <w:lang w:val="uk-UA"/>
        </w:rPr>
        <w:t>им</w:t>
      </w:r>
      <w:proofErr w:type="spellEnd"/>
      <w:r w:rsidRPr="006B6651">
        <w:rPr>
          <w:color w:val="000000" w:themeColor="text1"/>
          <w:w w:val="105"/>
          <w:sz w:val="20"/>
          <w:lang w:val="ru-RU"/>
        </w:rPr>
        <w:t xml:space="preserve"> для </w:t>
      </w:r>
      <w:proofErr w:type="spellStart"/>
      <w:r w:rsidRPr="006B6651">
        <w:rPr>
          <w:color w:val="000000" w:themeColor="text1"/>
          <w:w w:val="105"/>
          <w:sz w:val="20"/>
          <w:lang w:val="ru-RU"/>
        </w:rPr>
        <w:t>фенотипового</w:t>
      </w:r>
      <w:proofErr w:type="spellEnd"/>
      <w:r w:rsidRPr="006B6651">
        <w:rPr>
          <w:color w:val="000000" w:themeColor="text1"/>
          <w:w w:val="105"/>
          <w:sz w:val="20"/>
          <w:lang w:val="ru-RU"/>
        </w:rPr>
        <w:t xml:space="preserve"> Т</w:t>
      </w:r>
      <w:r w:rsidRPr="004A0605">
        <w:rPr>
          <w:color w:val="000000" w:themeColor="text1"/>
          <w:w w:val="105"/>
          <w:sz w:val="20"/>
          <w:lang w:val="uk-UA"/>
        </w:rPr>
        <w:t>М</w:t>
      </w:r>
      <w:r w:rsidRPr="006B6651">
        <w:rPr>
          <w:color w:val="000000" w:themeColor="text1"/>
          <w:w w:val="105"/>
          <w:sz w:val="20"/>
          <w:lang w:val="ru-RU"/>
        </w:rPr>
        <w:t xml:space="preserve">Ч та таргетного </w:t>
      </w:r>
      <w:r w:rsidRPr="004A0605">
        <w:rPr>
          <w:color w:val="000000" w:themeColor="text1"/>
          <w:w w:val="105"/>
          <w:sz w:val="20"/>
          <w:lang w:val="uk-UA"/>
        </w:rPr>
        <w:t xml:space="preserve">СНП. У </w:t>
      </w:r>
      <w:proofErr w:type="spellStart"/>
      <w:r w:rsidRPr="006B6651">
        <w:rPr>
          <w:color w:val="000000" w:themeColor="text1"/>
          <w:w w:val="105"/>
          <w:sz w:val="20"/>
          <w:lang w:val="ru-RU"/>
        </w:rPr>
        <w:t>сценарії</w:t>
      </w:r>
      <w:proofErr w:type="spellEnd"/>
      <w:r w:rsidRPr="006B6651">
        <w:rPr>
          <w:color w:val="000000" w:themeColor="text1"/>
          <w:w w:val="105"/>
          <w:sz w:val="20"/>
          <w:lang w:val="ru-RU"/>
        </w:rPr>
        <w:t xml:space="preserve">, де не </w:t>
      </w:r>
      <w:proofErr w:type="spellStart"/>
      <w:r w:rsidRPr="006B6651">
        <w:rPr>
          <w:color w:val="000000" w:themeColor="text1"/>
          <w:w w:val="105"/>
          <w:sz w:val="20"/>
          <w:lang w:val="ru-RU"/>
        </w:rPr>
        <w:t>було</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втрат</w:t>
      </w:r>
      <w:proofErr w:type="spellEnd"/>
      <w:r w:rsidRPr="006B6651">
        <w:rPr>
          <w:color w:val="000000" w:themeColor="text1"/>
          <w:w w:val="105"/>
          <w:sz w:val="20"/>
          <w:lang w:val="ru-RU"/>
        </w:rPr>
        <w:t xml:space="preserve"> для </w:t>
      </w:r>
      <w:proofErr w:type="spellStart"/>
      <w:r w:rsidRPr="006B6651">
        <w:rPr>
          <w:color w:val="000000" w:themeColor="text1"/>
          <w:w w:val="105"/>
          <w:sz w:val="20"/>
          <w:lang w:val="ru-RU"/>
        </w:rPr>
        <w:t>подальшого</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спостереження</w:t>
      </w:r>
      <w:proofErr w:type="spellEnd"/>
      <w:r w:rsidRPr="006B6651">
        <w:rPr>
          <w:color w:val="000000" w:themeColor="text1"/>
          <w:w w:val="105"/>
          <w:sz w:val="20"/>
          <w:lang w:val="ru-RU"/>
        </w:rPr>
        <w:t xml:space="preserve"> при </w:t>
      </w:r>
      <w:proofErr w:type="spellStart"/>
      <w:r w:rsidRPr="006B6651">
        <w:rPr>
          <w:color w:val="000000" w:themeColor="text1"/>
          <w:w w:val="105"/>
          <w:sz w:val="20"/>
          <w:lang w:val="ru-RU"/>
        </w:rPr>
        <w:t>використанні</w:t>
      </w:r>
      <w:proofErr w:type="spellEnd"/>
      <w:r w:rsidRPr="006B6651">
        <w:rPr>
          <w:color w:val="000000" w:themeColor="text1"/>
          <w:w w:val="105"/>
          <w:sz w:val="20"/>
          <w:lang w:val="ru-RU"/>
        </w:rPr>
        <w:t xml:space="preserve"> таргетного </w:t>
      </w:r>
      <w:r w:rsidRPr="004A0605">
        <w:rPr>
          <w:color w:val="000000" w:themeColor="text1"/>
          <w:w w:val="105"/>
          <w:sz w:val="20"/>
          <w:lang w:val="uk-UA"/>
        </w:rPr>
        <w:t>СНП</w:t>
      </w:r>
      <w:r w:rsidRPr="006B6651">
        <w:rPr>
          <w:color w:val="000000" w:themeColor="text1"/>
          <w:w w:val="105"/>
          <w:sz w:val="20"/>
          <w:lang w:val="ru-RU"/>
        </w:rPr>
        <w:t xml:space="preserve"> </w:t>
      </w:r>
      <w:proofErr w:type="spellStart"/>
      <w:r w:rsidRPr="006B6651">
        <w:rPr>
          <w:color w:val="000000" w:themeColor="text1"/>
          <w:w w:val="105"/>
          <w:sz w:val="20"/>
          <w:lang w:val="ru-RU"/>
        </w:rPr>
        <w:t>порівняно</w:t>
      </w:r>
      <w:proofErr w:type="spellEnd"/>
      <w:r w:rsidRPr="006B6651">
        <w:rPr>
          <w:color w:val="000000" w:themeColor="text1"/>
          <w:w w:val="105"/>
          <w:sz w:val="20"/>
          <w:lang w:val="ru-RU"/>
        </w:rPr>
        <w:t xml:space="preserve"> з 10% при </w:t>
      </w:r>
      <w:proofErr w:type="spellStart"/>
      <w:r w:rsidRPr="006B6651">
        <w:rPr>
          <w:color w:val="000000" w:themeColor="text1"/>
          <w:w w:val="105"/>
          <w:sz w:val="20"/>
          <w:lang w:val="ru-RU"/>
        </w:rPr>
        <w:t>фенотиповому</w:t>
      </w:r>
      <w:proofErr w:type="spellEnd"/>
      <w:r w:rsidRPr="006B6651">
        <w:rPr>
          <w:color w:val="000000" w:themeColor="text1"/>
          <w:w w:val="105"/>
          <w:sz w:val="20"/>
          <w:lang w:val="ru-RU"/>
        </w:rPr>
        <w:t xml:space="preserve"> Т</w:t>
      </w:r>
      <w:r w:rsidRPr="004A0605">
        <w:rPr>
          <w:color w:val="000000" w:themeColor="text1"/>
          <w:w w:val="105"/>
          <w:sz w:val="20"/>
          <w:lang w:val="uk-UA"/>
        </w:rPr>
        <w:t>М</w:t>
      </w:r>
      <w:r w:rsidRPr="006B6651">
        <w:rPr>
          <w:color w:val="000000" w:themeColor="text1"/>
          <w:w w:val="105"/>
          <w:sz w:val="20"/>
          <w:lang w:val="ru-RU"/>
        </w:rPr>
        <w:t xml:space="preserve">Ч, </w:t>
      </w:r>
      <w:proofErr w:type="spellStart"/>
      <w:r w:rsidRPr="006B6651">
        <w:rPr>
          <w:color w:val="000000" w:themeColor="text1"/>
          <w:w w:val="105"/>
          <w:sz w:val="20"/>
          <w:lang w:val="ru-RU"/>
        </w:rPr>
        <w:t>таргетн</w:t>
      </w:r>
      <w:proofErr w:type="spellEnd"/>
      <w:r w:rsidRPr="004A0605">
        <w:rPr>
          <w:color w:val="000000" w:themeColor="text1"/>
          <w:w w:val="105"/>
          <w:sz w:val="20"/>
          <w:lang w:val="uk-UA"/>
        </w:rPr>
        <w:t>е</w:t>
      </w:r>
      <w:r w:rsidRPr="006B6651">
        <w:rPr>
          <w:color w:val="000000" w:themeColor="text1"/>
          <w:w w:val="105"/>
          <w:sz w:val="20"/>
          <w:lang w:val="ru-RU"/>
        </w:rPr>
        <w:t xml:space="preserve"> </w:t>
      </w:r>
      <w:r w:rsidRPr="004A0605">
        <w:rPr>
          <w:color w:val="000000" w:themeColor="text1"/>
          <w:w w:val="105"/>
          <w:sz w:val="20"/>
          <w:lang w:val="uk-UA"/>
        </w:rPr>
        <w:t>СНП</w:t>
      </w:r>
      <w:r w:rsidRPr="006B6651">
        <w:rPr>
          <w:color w:val="000000" w:themeColor="text1"/>
          <w:w w:val="105"/>
          <w:sz w:val="20"/>
          <w:lang w:val="ru-RU"/>
        </w:rPr>
        <w:t xml:space="preserve"> </w:t>
      </w:r>
      <w:proofErr w:type="spellStart"/>
      <w:r w:rsidRPr="006B6651">
        <w:rPr>
          <w:color w:val="000000" w:themeColor="text1"/>
          <w:w w:val="105"/>
          <w:sz w:val="20"/>
          <w:lang w:val="ru-RU"/>
        </w:rPr>
        <w:t>бу</w:t>
      </w:r>
      <w:r w:rsidRPr="004A0605">
        <w:rPr>
          <w:color w:val="000000" w:themeColor="text1"/>
          <w:w w:val="105"/>
          <w:sz w:val="20"/>
          <w:lang w:val="uk-UA"/>
        </w:rPr>
        <w:t>ло</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економічно</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ефективним</w:t>
      </w:r>
      <w:proofErr w:type="spellEnd"/>
      <w:r w:rsidRPr="006B6651">
        <w:rPr>
          <w:color w:val="000000" w:themeColor="text1"/>
          <w:w w:val="105"/>
          <w:sz w:val="20"/>
          <w:lang w:val="ru-RU"/>
        </w:rPr>
        <w:t xml:space="preserve"> у </w:t>
      </w:r>
      <w:proofErr w:type="spellStart"/>
      <w:r w:rsidRPr="006B6651">
        <w:rPr>
          <w:color w:val="000000" w:themeColor="text1"/>
          <w:w w:val="105"/>
          <w:sz w:val="20"/>
          <w:lang w:val="ru-RU"/>
        </w:rPr>
        <w:t>Південній</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Африці</w:t>
      </w:r>
      <w:proofErr w:type="spellEnd"/>
      <w:r w:rsidRPr="006B6651">
        <w:rPr>
          <w:color w:val="000000" w:themeColor="text1"/>
          <w:w w:val="105"/>
          <w:sz w:val="20"/>
          <w:lang w:val="ru-RU"/>
        </w:rPr>
        <w:t xml:space="preserve"> (</w:t>
      </w:r>
      <w:r w:rsidRPr="004A0605">
        <w:rPr>
          <w:color w:val="000000" w:themeColor="text1"/>
          <w:w w:val="105"/>
          <w:sz w:val="20"/>
        </w:rPr>
        <w:t>ICER</w:t>
      </w:r>
      <w:r w:rsidRPr="006B6651">
        <w:rPr>
          <w:color w:val="000000" w:themeColor="text1"/>
          <w:w w:val="105"/>
          <w:sz w:val="20"/>
          <w:lang w:val="ru-RU"/>
        </w:rPr>
        <w:t>: 13 004 дол. США/</w:t>
      </w:r>
      <w:bookmarkStart w:id="90" w:name="_Hlk198212312"/>
      <w:r w:rsidRPr="006B6651">
        <w:rPr>
          <w:color w:val="000000" w:themeColor="text1"/>
          <w:w w:val="105"/>
          <w:sz w:val="20"/>
          <w:lang w:val="ru-RU"/>
        </w:rPr>
        <w:t xml:space="preserve"> </w:t>
      </w:r>
      <w:bookmarkEnd w:id="90"/>
      <w:r w:rsidRPr="004A0605">
        <w:rPr>
          <w:color w:val="000000" w:themeColor="text1"/>
          <w:w w:val="105"/>
          <w:sz w:val="20"/>
        </w:rPr>
        <w:t>DALY</w:t>
      </w:r>
      <w:r w:rsidRPr="004A0605">
        <w:rPr>
          <w:color w:val="000000" w:themeColor="text1"/>
          <w:w w:val="105"/>
          <w:sz w:val="20"/>
          <w:lang w:val="uk-UA"/>
        </w:rPr>
        <w:t>,</w:t>
      </w:r>
      <w:r w:rsidRPr="004A0605">
        <w:rPr>
          <w:color w:val="000000" w:themeColor="text1"/>
          <w:w w:val="110"/>
          <w:sz w:val="20"/>
          <w:lang w:val="uk-UA"/>
        </w:rPr>
        <w:t xml:space="preserve"> якому вдалося запобігти</w:t>
      </w:r>
      <w:r w:rsidRPr="006B6651">
        <w:rPr>
          <w:color w:val="000000" w:themeColor="text1"/>
          <w:w w:val="105"/>
          <w:sz w:val="20"/>
          <w:lang w:val="ru-RU"/>
        </w:rPr>
        <w:t xml:space="preserve">, </w:t>
      </w:r>
      <w:r w:rsidRPr="004A0605">
        <w:rPr>
          <w:color w:val="000000" w:themeColor="text1"/>
          <w:w w:val="105"/>
          <w:sz w:val="20"/>
        </w:rPr>
        <w:t>WTP</w:t>
      </w:r>
      <w:r w:rsidRPr="006B6651">
        <w:rPr>
          <w:color w:val="000000" w:themeColor="text1"/>
          <w:w w:val="105"/>
          <w:sz w:val="20"/>
          <w:lang w:val="ru-RU"/>
        </w:rPr>
        <w:t xml:space="preserve">: 21 165 дол. США) та </w:t>
      </w:r>
      <w:proofErr w:type="spellStart"/>
      <w:r w:rsidRPr="006B6651">
        <w:rPr>
          <w:color w:val="000000" w:themeColor="text1"/>
          <w:w w:val="105"/>
          <w:sz w:val="20"/>
          <w:lang w:val="ru-RU"/>
        </w:rPr>
        <w:t>Грузії</w:t>
      </w:r>
      <w:proofErr w:type="spellEnd"/>
      <w:r w:rsidRPr="006B6651">
        <w:rPr>
          <w:color w:val="000000" w:themeColor="text1"/>
          <w:w w:val="105"/>
          <w:sz w:val="20"/>
          <w:lang w:val="ru-RU"/>
        </w:rPr>
        <w:t xml:space="preserve"> (</w:t>
      </w:r>
      <w:r w:rsidRPr="004A0605">
        <w:rPr>
          <w:color w:val="000000" w:themeColor="text1"/>
          <w:w w:val="105"/>
          <w:sz w:val="20"/>
        </w:rPr>
        <w:t>ICER</w:t>
      </w:r>
      <w:r w:rsidRPr="006B6651">
        <w:rPr>
          <w:color w:val="000000" w:themeColor="text1"/>
          <w:w w:val="105"/>
          <w:sz w:val="20"/>
          <w:lang w:val="ru-RU"/>
        </w:rPr>
        <w:t>: 13 640 дол. США/</w:t>
      </w:r>
      <w:r w:rsidRPr="004A0605">
        <w:rPr>
          <w:color w:val="000000" w:themeColor="text1"/>
          <w:w w:val="105"/>
          <w:sz w:val="20"/>
        </w:rPr>
        <w:t>DALY</w:t>
      </w:r>
      <w:r w:rsidRPr="004A0605">
        <w:rPr>
          <w:color w:val="000000" w:themeColor="text1"/>
          <w:w w:val="105"/>
          <w:sz w:val="20"/>
          <w:lang w:val="uk-UA"/>
        </w:rPr>
        <w:t xml:space="preserve">, </w:t>
      </w:r>
      <w:r w:rsidRPr="004A0605">
        <w:rPr>
          <w:color w:val="000000" w:themeColor="text1"/>
          <w:w w:val="110"/>
          <w:sz w:val="20"/>
          <w:lang w:val="uk-UA"/>
        </w:rPr>
        <w:t>якому вдалося запобігти</w:t>
      </w:r>
      <w:r w:rsidRPr="006B6651">
        <w:rPr>
          <w:color w:val="000000" w:themeColor="text1"/>
          <w:w w:val="105"/>
          <w:sz w:val="20"/>
          <w:lang w:val="ru-RU"/>
        </w:rPr>
        <w:t xml:space="preserve">, </w:t>
      </w:r>
      <w:r w:rsidRPr="004A0605">
        <w:rPr>
          <w:color w:val="000000" w:themeColor="text1"/>
          <w:w w:val="105"/>
          <w:sz w:val="20"/>
        </w:rPr>
        <w:t>WTP</w:t>
      </w:r>
      <w:r w:rsidRPr="006B6651">
        <w:rPr>
          <w:color w:val="000000" w:themeColor="text1"/>
          <w:w w:val="105"/>
          <w:sz w:val="20"/>
          <w:lang w:val="ru-RU"/>
        </w:rPr>
        <w:t xml:space="preserve">: 15 069 дол. США), а </w:t>
      </w:r>
      <w:proofErr w:type="spellStart"/>
      <w:r w:rsidRPr="006B6651">
        <w:rPr>
          <w:color w:val="000000" w:themeColor="text1"/>
          <w:w w:val="105"/>
          <w:sz w:val="20"/>
          <w:lang w:val="ru-RU"/>
        </w:rPr>
        <w:t>таргетн</w:t>
      </w:r>
      <w:proofErr w:type="spellEnd"/>
      <w:r w:rsidRPr="004A0605">
        <w:rPr>
          <w:color w:val="000000" w:themeColor="text1"/>
          <w:w w:val="105"/>
          <w:sz w:val="20"/>
          <w:lang w:val="uk-UA"/>
        </w:rPr>
        <w:t>е</w:t>
      </w:r>
      <w:r w:rsidRPr="006B6651">
        <w:rPr>
          <w:color w:val="000000" w:themeColor="text1"/>
          <w:w w:val="105"/>
          <w:sz w:val="20"/>
          <w:lang w:val="ru-RU"/>
        </w:rPr>
        <w:t xml:space="preserve"> СНП все </w:t>
      </w:r>
      <w:proofErr w:type="spellStart"/>
      <w:r w:rsidRPr="006B6651">
        <w:rPr>
          <w:color w:val="000000" w:themeColor="text1"/>
          <w:w w:val="105"/>
          <w:sz w:val="20"/>
          <w:lang w:val="ru-RU"/>
        </w:rPr>
        <w:t>ще</w:t>
      </w:r>
      <w:proofErr w:type="spellEnd"/>
      <w:r w:rsidRPr="006B6651">
        <w:rPr>
          <w:color w:val="000000" w:themeColor="text1"/>
          <w:w w:val="105"/>
          <w:sz w:val="20"/>
          <w:lang w:val="ru-RU"/>
        </w:rPr>
        <w:t xml:space="preserve"> </w:t>
      </w:r>
      <w:r w:rsidRPr="004A0605">
        <w:rPr>
          <w:color w:val="000000" w:themeColor="text1"/>
          <w:w w:val="105"/>
          <w:sz w:val="20"/>
          <w:lang w:val="uk-UA"/>
        </w:rPr>
        <w:t>перевершувало</w:t>
      </w:r>
      <w:r w:rsidRPr="006B6651">
        <w:rPr>
          <w:color w:val="000000" w:themeColor="text1"/>
          <w:w w:val="105"/>
          <w:sz w:val="20"/>
          <w:lang w:val="ru-RU"/>
        </w:rPr>
        <w:t xml:space="preserve"> </w:t>
      </w:r>
      <w:r w:rsidRPr="004A0605">
        <w:rPr>
          <w:color w:val="000000" w:themeColor="text1"/>
          <w:w w:val="105"/>
          <w:sz w:val="20"/>
          <w:lang w:val="uk-UA"/>
        </w:rPr>
        <w:t xml:space="preserve">національну </w:t>
      </w:r>
      <w:r w:rsidRPr="006B6651">
        <w:rPr>
          <w:color w:val="000000" w:themeColor="text1"/>
          <w:w w:val="105"/>
          <w:sz w:val="20"/>
          <w:lang w:val="ru-RU"/>
        </w:rPr>
        <w:t>практик</w:t>
      </w:r>
      <w:r w:rsidRPr="004A0605">
        <w:rPr>
          <w:color w:val="000000" w:themeColor="text1"/>
          <w:w w:val="105"/>
          <w:sz w:val="20"/>
          <w:lang w:val="uk-UA"/>
        </w:rPr>
        <w:t>у</w:t>
      </w:r>
      <w:r w:rsidRPr="006B6651">
        <w:rPr>
          <w:color w:val="000000" w:themeColor="text1"/>
          <w:w w:val="105"/>
          <w:sz w:val="20"/>
          <w:lang w:val="ru-RU"/>
        </w:rPr>
        <w:t xml:space="preserve"> Т</w:t>
      </w:r>
      <w:r w:rsidRPr="004A0605">
        <w:rPr>
          <w:color w:val="000000" w:themeColor="text1"/>
          <w:w w:val="105"/>
          <w:sz w:val="20"/>
          <w:lang w:val="uk-UA"/>
        </w:rPr>
        <w:t>М</w:t>
      </w:r>
      <w:r w:rsidRPr="006B6651">
        <w:rPr>
          <w:color w:val="000000" w:themeColor="text1"/>
          <w:w w:val="105"/>
          <w:sz w:val="20"/>
          <w:lang w:val="ru-RU"/>
        </w:rPr>
        <w:t xml:space="preserve">Ч в </w:t>
      </w:r>
      <w:proofErr w:type="spellStart"/>
      <w:r w:rsidRPr="006B6651">
        <w:rPr>
          <w:color w:val="000000" w:themeColor="text1"/>
          <w:w w:val="105"/>
          <w:sz w:val="20"/>
          <w:lang w:val="ru-RU"/>
        </w:rPr>
        <w:t>Індії</w:t>
      </w:r>
      <w:proofErr w:type="spellEnd"/>
      <w:r w:rsidRPr="006B6651">
        <w:rPr>
          <w:color w:val="000000" w:themeColor="text1"/>
          <w:w w:val="105"/>
          <w:sz w:val="20"/>
          <w:lang w:val="ru-RU"/>
        </w:rPr>
        <w:t xml:space="preserve">. У </w:t>
      </w:r>
      <w:proofErr w:type="spellStart"/>
      <w:r w:rsidRPr="006B6651">
        <w:rPr>
          <w:color w:val="000000" w:themeColor="text1"/>
          <w:w w:val="105"/>
          <w:sz w:val="20"/>
          <w:lang w:val="ru-RU"/>
        </w:rPr>
        <w:t>сценаріях</w:t>
      </w:r>
      <w:proofErr w:type="spellEnd"/>
      <w:r w:rsidRPr="006B6651">
        <w:rPr>
          <w:color w:val="000000" w:themeColor="text1"/>
          <w:w w:val="105"/>
          <w:sz w:val="20"/>
          <w:lang w:val="ru-RU"/>
        </w:rPr>
        <w:t xml:space="preserve">, де </w:t>
      </w:r>
      <w:proofErr w:type="spellStart"/>
      <w:r w:rsidRPr="006B6651">
        <w:rPr>
          <w:color w:val="000000" w:themeColor="text1"/>
          <w:w w:val="105"/>
          <w:sz w:val="20"/>
          <w:lang w:val="ru-RU"/>
        </w:rPr>
        <w:t>платформи</w:t>
      </w:r>
      <w:proofErr w:type="spellEnd"/>
      <w:r w:rsidRPr="006B6651">
        <w:rPr>
          <w:color w:val="000000" w:themeColor="text1"/>
          <w:w w:val="105"/>
          <w:sz w:val="20"/>
          <w:lang w:val="ru-RU"/>
        </w:rPr>
        <w:t xml:space="preserve"> для секвенування </w:t>
      </w:r>
      <w:proofErr w:type="spellStart"/>
      <w:r w:rsidRPr="006B6651">
        <w:rPr>
          <w:color w:val="000000" w:themeColor="text1"/>
          <w:w w:val="105"/>
          <w:sz w:val="20"/>
          <w:lang w:val="ru-RU"/>
        </w:rPr>
        <w:t>використовуються</w:t>
      </w:r>
      <w:proofErr w:type="spellEnd"/>
      <w:r w:rsidRPr="006B6651">
        <w:rPr>
          <w:color w:val="000000" w:themeColor="text1"/>
          <w:w w:val="105"/>
          <w:sz w:val="20"/>
          <w:lang w:val="ru-RU"/>
        </w:rPr>
        <w:t xml:space="preserve"> для </w:t>
      </w:r>
      <w:proofErr w:type="spellStart"/>
      <w:r w:rsidRPr="006B6651">
        <w:rPr>
          <w:color w:val="000000" w:themeColor="text1"/>
          <w:w w:val="105"/>
          <w:sz w:val="20"/>
          <w:lang w:val="ru-RU"/>
        </w:rPr>
        <w:t>багатьох</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різних</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захворювань</w:t>
      </w:r>
      <w:proofErr w:type="spellEnd"/>
      <w:r w:rsidRPr="006B6651">
        <w:rPr>
          <w:color w:val="000000" w:themeColor="text1"/>
          <w:w w:val="105"/>
          <w:sz w:val="20"/>
          <w:lang w:val="ru-RU"/>
        </w:rPr>
        <w:t xml:space="preserve"> з метою </w:t>
      </w:r>
      <w:proofErr w:type="spellStart"/>
      <w:r w:rsidRPr="006B6651">
        <w:rPr>
          <w:color w:val="000000" w:themeColor="text1"/>
          <w:w w:val="105"/>
          <w:sz w:val="20"/>
          <w:lang w:val="ru-RU"/>
        </w:rPr>
        <w:t>зниження</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вартості</w:t>
      </w:r>
      <w:proofErr w:type="spellEnd"/>
      <w:r w:rsidRPr="006B6651">
        <w:rPr>
          <w:color w:val="000000" w:themeColor="text1"/>
          <w:w w:val="105"/>
          <w:sz w:val="20"/>
          <w:lang w:val="ru-RU"/>
        </w:rPr>
        <w:t xml:space="preserve"> </w:t>
      </w:r>
      <w:r w:rsidRPr="004A0605">
        <w:rPr>
          <w:color w:val="000000" w:themeColor="text1"/>
          <w:w w:val="105"/>
          <w:sz w:val="20"/>
          <w:lang w:val="uk-UA"/>
        </w:rPr>
        <w:t xml:space="preserve">одного </w:t>
      </w:r>
      <w:r w:rsidRPr="006B6651">
        <w:rPr>
          <w:color w:val="000000" w:themeColor="text1"/>
          <w:w w:val="105"/>
          <w:sz w:val="20"/>
          <w:lang w:val="ru-RU"/>
        </w:rPr>
        <w:t xml:space="preserve">тесту таргетного </w:t>
      </w:r>
      <w:r w:rsidRPr="004A0605">
        <w:rPr>
          <w:color w:val="000000" w:themeColor="text1"/>
          <w:w w:val="105"/>
          <w:sz w:val="20"/>
          <w:lang w:val="uk-UA"/>
        </w:rPr>
        <w:t>СНП</w:t>
      </w:r>
      <w:r w:rsidRPr="006B6651">
        <w:rPr>
          <w:color w:val="000000" w:themeColor="text1"/>
          <w:w w:val="105"/>
          <w:sz w:val="20"/>
          <w:lang w:val="ru-RU"/>
        </w:rPr>
        <w:t xml:space="preserve">, </w:t>
      </w:r>
      <w:proofErr w:type="spellStart"/>
      <w:r w:rsidRPr="006B6651">
        <w:rPr>
          <w:color w:val="000000" w:themeColor="text1"/>
          <w:w w:val="105"/>
          <w:sz w:val="20"/>
          <w:lang w:val="ru-RU"/>
        </w:rPr>
        <w:t>економічна</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ефективність</w:t>
      </w:r>
      <w:proofErr w:type="spellEnd"/>
      <w:r w:rsidRPr="006B6651">
        <w:rPr>
          <w:color w:val="000000" w:themeColor="text1"/>
          <w:w w:val="105"/>
          <w:sz w:val="20"/>
          <w:lang w:val="ru-RU"/>
        </w:rPr>
        <w:t xml:space="preserve"> таргетного </w:t>
      </w:r>
      <w:r w:rsidRPr="004A0605">
        <w:rPr>
          <w:color w:val="000000" w:themeColor="text1"/>
          <w:w w:val="105"/>
          <w:sz w:val="20"/>
          <w:lang w:val="uk-UA"/>
        </w:rPr>
        <w:t>СНП</w:t>
      </w:r>
      <w:r w:rsidRPr="006B6651">
        <w:rPr>
          <w:color w:val="000000" w:themeColor="text1"/>
          <w:w w:val="105"/>
          <w:sz w:val="20"/>
          <w:lang w:val="ru-RU"/>
        </w:rPr>
        <w:t xml:space="preserve"> </w:t>
      </w:r>
      <w:proofErr w:type="spellStart"/>
      <w:r w:rsidRPr="006B6651">
        <w:rPr>
          <w:color w:val="000000" w:themeColor="text1"/>
          <w:w w:val="105"/>
          <w:sz w:val="20"/>
          <w:lang w:val="ru-RU"/>
        </w:rPr>
        <w:t>покращується</w:t>
      </w:r>
      <w:proofErr w:type="spellEnd"/>
      <w:r w:rsidRPr="006B6651">
        <w:rPr>
          <w:color w:val="000000" w:themeColor="text1"/>
          <w:w w:val="105"/>
          <w:sz w:val="20"/>
          <w:lang w:val="ru-RU"/>
        </w:rPr>
        <w:t xml:space="preserve"> в </w:t>
      </w:r>
      <w:proofErr w:type="spellStart"/>
      <w:r w:rsidRPr="006B6651">
        <w:rPr>
          <w:color w:val="000000" w:themeColor="text1"/>
          <w:w w:val="105"/>
          <w:sz w:val="20"/>
          <w:lang w:val="ru-RU"/>
        </w:rPr>
        <w:t>усіх</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трьох</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країнах</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Було</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досліджено</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сценарій</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об'єднання</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зразків</w:t>
      </w:r>
      <w:proofErr w:type="spellEnd"/>
      <w:r w:rsidRPr="006B6651">
        <w:rPr>
          <w:color w:val="000000" w:themeColor="text1"/>
          <w:w w:val="105"/>
          <w:sz w:val="20"/>
          <w:lang w:val="ru-RU"/>
        </w:rPr>
        <w:t xml:space="preserve"> у </w:t>
      </w:r>
      <w:proofErr w:type="spellStart"/>
      <w:r w:rsidRPr="006B6651">
        <w:rPr>
          <w:color w:val="000000" w:themeColor="text1"/>
          <w:w w:val="105"/>
          <w:sz w:val="20"/>
          <w:lang w:val="ru-RU"/>
        </w:rPr>
        <w:t>партії</w:t>
      </w:r>
      <w:proofErr w:type="spellEnd"/>
      <w:r w:rsidRPr="006B6651">
        <w:rPr>
          <w:color w:val="000000" w:themeColor="text1"/>
          <w:w w:val="105"/>
          <w:sz w:val="20"/>
          <w:lang w:val="ru-RU"/>
        </w:rPr>
        <w:t xml:space="preserve">, в </w:t>
      </w:r>
      <w:proofErr w:type="spellStart"/>
      <w:r w:rsidRPr="006B6651">
        <w:rPr>
          <w:color w:val="000000" w:themeColor="text1"/>
          <w:w w:val="105"/>
          <w:sz w:val="20"/>
          <w:lang w:val="ru-RU"/>
        </w:rPr>
        <w:t>якому</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передбачалося</w:t>
      </w:r>
      <w:proofErr w:type="spellEnd"/>
      <w:r w:rsidRPr="006B6651">
        <w:rPr>
          <w:color w:val="000000" w:themeColor="text1"/>
          <w:w w:val="105"/>
          <w:sz w:val="20"/>
          <w:lang w:val="ru-RU"/>
        </w:rPr>
        <w:t xml:space="preserve"> на 20% </w:t>
      </w:r>
      <w:proofErr w:type="spellStart"/>
      <w:r w:rsidRPr="006B6651">
        <w:rPr>
          <w:color w:val="000000" w:themeColor="text1"/>
          <w:w w:val="105"/>
          <w:sz w:val="20"/>
          <w:lang w:val="ru-RU"/>
        </w:rPr>
        <w:t>менше</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зразків</w:t>
      </w:r>
      <w:proofErr w:type="spellEnd"/>
      <w:r w:rsidRPr="006B6651">
        <w:rPr>
          <w:color w:val="000000" w:themeColor="text1"/>
          <w:w w:val="105"/>
          <w:sz w:val="20"/>
          <w:lang w:val="ru-RU"/>
        </w:rPr>
        <w:t xml:space="preserve"> на один запуск таргетного СНП, </w:t>
      </w:r>
      <w:proofErr w:type="spellStart"/>
      <w:r w:rsidRPr="006B6651">
        <w:rPr>
          <w:color w:val="000000" w:themeColor="text1"/>
          <w:w w:val="105"/>
          <w:sz w:val="20"/>
          <w:lang w:val="ru-RU"/>
        </w:rPr>
        <w:t>що</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призвело</w:t>
      </w:r>
      <w:proofErr w:type="spellEnd"/>
      <w:r w:rsidRPr="006B6651">
        <w:rPr>
          <w:color w:val="000000" w:themeColor="text1"/>
          <w:w w:val="105"/>
          <w:sz w:val="20"/>
          <w:lang w:val="ru-RU"/>
        </w:rPr>
        <w:t xml:space="preserve"> до </w:t>
      </w:r>
      <w:proofErr w:type="spellStart"/>
      <w:r w:rsidRPr="006B6651">
        <w:rPr>
          <w:color w:val="000000" w:themeColor="text1"/>
          <w:w w:val="105"/>
          <w:sz w:val="20"/>
          <w:lang w:val="ru-RU"/>
        </w:rPr>
        <w:t>збільшення</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вартості</w:t>
      </w:r>
      <w:proofErr w:type="spellEnd"/>
      <w:r w:rsidRPr="006B6651">
        <w:rPr>
          <w:color w:val="000000" w:themeColor="text1"/>
          <w:w w:val="105"/>
          <w:sz w:val="20"/>
          <w:lang w:val="ru-RU"/>
        </w:rPr>
        <w:t xml:space="preserve"> </w:t>
      </w:r>
      <w:r w:rsidRPr="004A0605">
        <w:rPr>
          <w:color w:val="000000" w:themeColor="text1"/>
          <w:w w:val="105"/>
          <w:sz w:val="20"/>
          <w:lang w:val="uk-UA"/>
        </w:rPr>
        <w:t xml:space="preserve">за один </w:t>
      </w:r>
      <w:r w:rsidRPr="006B6651">
        <w:rPr>
          <w:color w:val="000000" w:themeColor="text1"/>
          <w:w w:val="105"/>
          <w:sz w:val="20"/>
          <w:lang w:val="ru-RU"/>
        </w:rPr>
        <w:t>тест таргетного СНП</w:t>
      </w:r>
      <w:r w:rsidRPr="004A0605">
        <w:rPr>
          <w:color w:val="000000" w:themeColor="text1"/>
          <w:w w:val="105"/>
          <w:sz w:val="20"/>
          <w:lang w:val="uk-UA"/>
        </w:rPr>
        <w:t xml:space="preserve">. У </w:t>
      </w:r>
      <w:r w:rsidRPr="006B6651">
        <w:rPr>
          <w:color w:val="000000" w:themeColor="text1"/>
          <w:w w:val="105"/>
          <w:sz w:val="20"/>
          <w:lang w:val="uk-UA"/>
        </w:rPr>
        <w:t xml:space="preserve">цьому сценарії підхід </w:t>
      </w:r>
      <w:r w:rsidRPr="004A0605">
        <w:rPr>
          <w:color w:val="000000" w:themeColor="text1"/>
          <w:w w:val="105"/>
          <w:sz w:val="20"/>
          <w:lang w:val="uk-UA"/>
        </w:rPr>
        <w:t>і</w:t>
      </w:r>
      <w:r w:rsidRPr="006B6651">
        <w:rPr>
          <w:color w:val="000000" w:themeColor="text1"/>
          <w:w w:val="105"/>
          <w:sz w:val="20"/>
          <w:lang w:val="uk-UA"/>
        </w:rPr>
        <w:t xml:space="preserve">з використанням таргетного СНП зберіг економічну ефективність лише в Південній Африці. </w:t>
      </w:r>
      <w:r w:rsidRPr="006B6651">
        <w:rPr>
          <w:color w:val="000000" w:themeColor="text1"/>
          <w:w w:val="105"/>
          <w:sz w:val="20"/>
          <w:lang w:val="ru-RU"/>
        </w:rPr>
        <w:t xml:space="preserve">Коли </w:t>
      </w:r>
      <w:r w:rsidRPr="004A0605">
        <w:rPr>
          <w:color w:val="000000" w:themeColor="text1"/>
          <w:w w:val="105"/>
          <w:sz w:val="20"/>
          <w:lang w:val="uk-UA"/>
        </w:rPr>
        <w:t>припускалося</w:t>
      </w:r>
      <w:r w:rsidRPr="006B6651">
        <w:rPr>
          <w:color w:val="000000" w:themeColor="text1"/>
          <w:w w:val="105"/>
          <w:sz w:val="20"/>
          <w:lang w:val="ru-RU"/>
        </w:rPr>
        <w:t xml:space="preserve"> </w:t>
      </w:r>
      <w:proofErr w:type="spellStart"/>
      <w:r w:rsidRPr="006B6651">
        <w:rPr>
          <w:color w:val="000000" w:themeColor="text1"/>
          <w:w w:val="105"/>
          <w:sz w:val="20"/>
          <w:lang w:val="ru-RU"/>
        </w:rPr>
        <w:t>зниження</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ціни</w:t>
      </w:r>
      <w:proofErr w:type="spellEnd"/>
      <w:r w:rsidRPr="006B6651">
        <w:rPr>
          <w:color w:val="000000" w:themeColor="text1"/>
          <w:w w:val="105"/>
          <w:sz w:val="20"/>
          <w:lang w:val="ru-RU"/>
        </w:rPr>
        <w:t xml:space="preserve"> на </w:t>
      </w:r>
      <w:proofErr w:type="spellStart"/>
      <w:r w:rsidRPr="006B6651">
        <w:rPr>
          <w:color w:val="000000" w:themeColor="text1"/>
          <w:w w:val="105"/>
          <w:sz w:val="20"/>
          <w:lang w:val="ru-RU"/>
        </w:rPr>
        <w:t>набір</w:t>
      </w:r>
      <w:proofErr w:type="spellEnd"/>
      <w:r w:rsidRPr="006B6651">
        <w:rPr>
          <w:color w:val="000000" w:themeColor="text1"/>
          <w:w w:val="105"/>
          <w:sz w:val="20"/>
          <w:lang w:val="ru-RU"/>
        </w:rPr>
        <w:t xml:space="preserve"> для</w:t>
      </w:r>
      <w:r w:rsidRPr="004A0605">
        <w:rPr>
          <w:color w:val="000000" w:themeColor="text1"/>
          <w:w w:val="105"/>
          <w:sz w:val="20"/>
          <w:lang w:val="uk-UA"/>
        </w:rPr>
        <w:t xml:space="preserve"> </w:t>
      </w:r>
      <w:r w:rsidRPr="006B6651">
        <w:rPr>
          <w:color w:val="000000" w:themeColor="text1"/>
          <w:w w:val="105"/>
          <w:sz w:val="20"/>
          <w:lang w:val="ru-RU"/>
        </w:rPr>
        <w:t>тесту таргетного СНП</w:t>
      </w:r>
      <w:r w:rsidRPr="004A0605">
        <w:rPr>
          <w:color w:val="000000" w:themeColor="text1"/>
          <w:w w:val="105"/>
          <w:sz w:val="20"/>
          <w:lang w:val="uk-UA"/>
        </w:rPr>
        <w:t xml:space="preserve"> на </w:t>
      </w:r>
      <w:r w:rsidRPr="006B6651">
        <w:rPr>
          <w:color w:val="000000" w:themeColor="text1"/>
          <w:w w:val="105"/>
          <w:sz w:val="20"/>
          <w:lang w:val="ru-RU"/>
        </w:rPr>
        <w:t xml:space="preserve">50%, </w:t>
      </w:r>
      <w:proofErr w:type="spellStart"/>
      <w:r w:rsidRPr="006B6651">
        <w:rPr>
          <w:color w:val="000000" w:themeColor="text1"/>
          <w:w w:val="105"/>
          <w:sz w:val="20"/>
          <w:lang w:val="ru-RU"/>
        </w:rPr>
        <w:t>економічна</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ефективність</w:t>
      </w:r>
      <w:proofErr w:type="spellEnd"/>
      <w:r w:rsidRPr="006B6651">
        <w:rPr>
          <w:color w:val="000000" w:themeColor="text1"/>
          <w:w w:val="105"/>
          <w:sz w:val="20"/>
          <w:lang w:val="ru-RU"/>
        </w:rPr>
        <w:t xml:space="preserve"> таргетного СНП </w:t>
      </w:r>
      <w:proofErr w:type="spellStart"/>
      <w:r w:rsidRPr="006B6651">
        <w:rPr>
          <w:color w:val="000000" w:themeColor="text1"/>
          <w:w w:val="105"/>
          <w:sz w:val="20"/>
          <w:lang w:val="ru-RU"/>
        </w:rPr>
        <w:t>додатково</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покращувалася</w:t>
      </w:r>
      <w:proofErr w:type="spellEnd"/>
      <w:r w:rsidRPr="006B6651">
        <w:rPr>
          <w:color w:val="000000" w:themeColor="text1"/>
          <w:w w:val="105"/>
          <w:sz w:val="20"/>
          <w:lang w:val="ru-RU"/>
        </w:rPr>
        <w:t xml:space="preserve"> в </w:t>
      </w:r>
      <w:proofErr w:type="spellStart"/>
      <w:r w:rsidRPr="006B6651">
        <w:rPr>
          <w:color w:val="000000" w:themeColor="text1"/>
          <w:w w:val="105"/>
          <w:sz w:val="20"/>
          <w:lang w:val="ru-RU"/>
        </w:rPr>
        <w:t>усіх</w:t>
      </w:r>
      <w:proofErr w:type="spellEnd"/>
      <w:r w:rsidRPr="006B6651">
        <w:rPr>
          <w:color w:val="000000" w:themeColor="text1"/>
          <w:w w:val="105"/>
          <w:sz w:val="20"/>
          <w:lang w:val="ru-RU"/>
        </w:rPr>
        <w:t xml:space="preserve"> </w:t>
      </w:r>
      <w:proofErr w:type="spellStart"/>
      <w:r w:rsidRPr="006B6651">
        <w:rPr>
          <w:color w:val="000000" w:themeColor="text1"/>
          <w:w w:val="105"/>
          <w:sz w:val="20"/>
          <w:lang w:val="ru-RU"/>
        </w:rPr>
        <w:t>країнах</w:t>
      </w:r>
      <w:proofErr w:type="spellEnd"/>
      <w:r w:rsidRPr="006B6651">
        <w:rPr>
          <w:color w:val="000000" w:themeColor="text1"/>
          <w:w w:val="105"/>
          <w:sz w:val="20"/>
          <w:lang w:val="ru-RU"/>
        </w:rPr>
        <w:t>.</w:t>
      </w:r>
    </w:p>
    <w:p w14:paraId="365305C5" w14:textId="77777777" w:rsidR="00767E2A" w:rsidRPr="006B6651" w:rsidRDefault="00767E2A" w:rsidP="00767E2A">
      <w:pPr>
        <w:pStyle w:val="9"/>
        <w:spacing w:before="184" w:line="276" w:lineRule="auto"/>
        <w:ind w:right="4"/>
        <w:jc w:val="both"/>
        <w:rPr>
          <w:rFonts w:ascii="Microsoft Sans Serif" w:hAnsi="Microsoft Sans Serif" w:cs="Microsoft Sans Serif"/>
          <w:color w:val="000000" w:themeColor="text1"/>
          <w:lang w:val="ru-RU"/>
        </w:rPr>
      </w:pPr>
      <w:proofErr w:type="spellStart"/>
      <w:r w:rsidRPr="006B6651">
        <w:rPr>
          <w:rFonts w:ascii="Microsoft Sans Serif" w:hAnsi="Microsoft Sans Serif" w:cs="Microsoft Sans Serif"/>
          <w:color w:val="000000" w:themeColor="text1"/>
          <w:w w:val="115"/>
          <w:lang w:val="ru-RU"/>
        </w:rPr>
        <w:t>Завдання</w:t>
      </w:r>
      <w:proofErr w:type="spellEnd"/>
      <w:r w:rsidRPr="006B6651">
        <w:rPr>
          <w:rFonts w:ascii="Microsoft Sans Serif" w:hAnsi="Microsoft Sans Serif" w:cs="Microsoft Sans Serif"/>
          <w:color w:val="000000" w:themeColor="text1"/>
          <w:w w:val="115"/>
          <w:lang w:val="ru-RU"/>
        </w:rPr>
        <w:t xml:space="preserve"> 2: </w:t>
      </w:r>
      <w:proofErr w:type="spellStart"/>
      <w:r w:rsidRPr="006B6651">
        <w:rPr>
          <w:rFonts w:ascii="Microsoft Sans Serif" w:hAnsi="Microsoft Sans Serif" w:cs="Microsoft Sans Serif"/>
          <w:color w:val="000000" w:themeColor="text1"/>
          <w:w w:val="115"/>
          <w:lang w:val="ru-RU"/>
        </w:rPr>
        <w:t>Оцінити</w:t>
      </w:r>
      <w:proofErr w:type="spellEnd"/>
      <w:r w:rsidRPr="006B6651">
        <w:rPr>
          <w:rFonts w:ascii="Microsoft Sans Serif" w:hAnsi="Microsoft Sans Serif" w:cs="Microsoft Sans Serif"/>
          <w:color w:val="000000" w:themeColor="text1"/>
          <w:w w:val="115"/>
          <w:lang w:val="ru-RU"/>
        </w:rPr>
        <w:t xml:space="preserve"> </w:t>
      </w:r>
      <w:proofErr w:type="spellStart"/>
      <w:r w:rsidRPr="006B6651">
        <w:rPr>
          <w:rFonts w:ascii="Microsoft Sans Serif" w:hAnsi="Microsoft Sans Serif" w:cs="Microsoft Sans Serif"/>
          <w:color w:val="000000" w:themeColor="text1"/>
          <w:w w:val="115"/>
          <w:lang w:val="ru-RU"/>
        </w:rPr>
        <w:t>фінансовий</w:t>
      </w:r>
      <w:proofErr w:type="spellEnd"/>
      <w:r w:rsidRPr="006B6651">
        <w:rPr>
          <w:rFonts w:ascii="Microsoft Sans Serif" w:hAnsi="Microsoft Sans Serif" w:cs="Microsoft Sans Serif"/>
          <w:color w:val="000000" w:themeColor="text1"/>
          <w:w w:val="115"/>
          <w:lang w:val="ru-RU"/>
        </w:rPr>
        <w:t xml:space="preserve"> </w:t>
      </w:r>
      <w:proofErr w:type="spellStart"/>
      <w:r w:rsidRPr="006B6651">
        <w:rPr>
          <w:rFonts w:ascii="Microsoft Sans Serif" w:hAnsi="Microsoft Sans Serif" w:cs="Microsoft Sans Serif"/>
          <w:color w:val="000000" w:themeColor="text1"/>
          <w:w w:val="115"/>
          <w:lang w:val="ru-RU"/>
        </w:rPr>
        <w:t>вплив</w:t>
      </w:r>
      <w:proofErr w:type="spellEnd"/>
      <w:r w:rsidRPr="006B6651">
        <w:rPr>
          <w:rFonts w:ascii="Microsoft Sans Serif" w:hAnsi="Microsoft Sans Serif" w:cs="Microsoft Sans Serif"/>
          <w:color w:val="000000" w:themeColor="text1"/>
          <w:w w:val="115"/>
          <w:lang w:val="ru-RU"/>
        </w:rPr>
        <w:t xml:space="preserve"> </w:t>
      </w:r>
      <w:proofErr w:type="spellStart"/>
      <w:r w:rsidRPr="006B6651">
        <w:rPr>
          <w:rFonts w:ascii="Microsoft Sans Serif" w:hAnsi="Microsoft Sans Serif" w:cs="Microsoft Sans Serif"/>
          <w:color w:val="000000" w:themeColor="text1"/>
          <w:w w:val="115"/>
          <w:lang w:val="ru-RU"/>
        </w:rPr>
        <w:t>впровадження</w:t>
      </w:r>
      <w:proofErr w:type="spellEnd"/>
      <w:r w:rsidRPr="006B6651">
        <w:rPr>
          <w:rFonts w:ascii="Microsoft Sans Serif" w:hAnsi="Microsoft Sans Serif" w:cs="Microsoft Sans Serif"/>
          <w:color w:val="000000" w:themeColor="text1"/>
          <w:w w:val="115"/>
          <w:lang w:val="ru-RU"/>
        </w:rPr>
        <w:t xml:space="preserve"> таргетного </w:t>
      </w:r>
      <w:r w:rsidRPr="00595828">
        <w:rPr>
          <w:rFonts w:ascii="Microsoft Sans Serif" w:hAnsi="Microsoft Sans Serif" w:cs="Microsoft Sans Serif"/>
          <w:color w:val="000000" w:themeColor="text1"/>
          <w:w w:val="115"/>
          <w:lang w:val="uk-UA"/>
        </w:rPr>
        <w:t>СНП</w:t>
      </w:r>
      <w:r w:rsidRPr="006B6651">
        <w:rPr>
          <w:rFonts w:ascii="Microsoft Sans Serif" w:hAnsi="Microsoft Sans Serif" w:cs="Microsoft Sans Serif"/>
          <w:color w:val="000000" w:themeColor="text1"/>
          <w:w w:val="115"/>
          <w:lang w:val="ru-RU"/>
        </w:rPr>
        <w:t xml:space="preserve"> як </w:t>
      </w:r>
      <w:proofErr w:type="spellStart"/>
      <w:r w:rsidRPr="006B6651">
        <w:rPr>
          <w:rFonts w:ascii="Microsoft Sans Serif" w:hAnsi="Microsoft Sans Serif" w:cs="Microsoft Sans Serif"/>
          <w:color w:val="000000" w:themeColor="text1"/>
          <w:w w:val="115"/>
          <w:lang w:val="ru-RU"/>
        </w:rPr>
        <w:t>замін</w:t>
      </w:r>
      <w:r>
        <w:rPr>
          <w:rFonts w:ascii="Microsoft Sans Serif" w:hAnsi="Microsoft Sans Serif" w:cs="Microsoft Sans Serif"/>
          <w:color w:val="000000" w:themeColor="text1"/>
          <w:w w:val="115"/>
          <w:lang w:val="uk-UA"/>
        </w:rPr>
        <w:t>ника</w:t>
      </w:r>
      <w:proofErr w:type="spellEnd"/>
      <w:r w:rsidRPr="006B6651">
        <w:rPr>
          <w:rFonts w:ascii="Microsoft Sans Serif" w:hAnsi="Microsoft Sans Serif" w:cs="Microsoft Sans Serif"/>
          <w:color w:val="000000" w:themeColor="text1"/>
          <w:w w:val="115"/>
          <w:lang w:val="ru-RU"/>
        </w:rPr>
        <w:t xml:space="preserve"> </w:t>
      </w:r>
      <w:r w:rsidRPr="00595828">
        <w:rPr>
          <w:rFonts w:ascii="Microsoft Sans Serif" w:hAnsi="Microsoft Sans Serif" w:cs="Microsoft Sans Serif"/>
          <w:color w:val="000000" w:themeColor="text1"/>
          <w:w w:val="115"/>
          <w:lang w:val="uk-UA"/>
        </w:rPr>
        <w:t>наявного</w:t>
      </w:r>
      <w:r w:rsidRPr="006B6651">
        <w:rPr>
          <w:rFonts w:ascii="Microsoft Sans Serif" w:hAnsi="Microsoft Sans Serif" w:cs="Microsoft Sans Serif"/>
          <w:color w:val="000000" w:themeColor="text1"/>
          <w:w w:val="115"/>
          <w:lang w:val="ru-RU"/>
        </w:rPr>
        <w:t xml:space="preserve"> Т</w:t>
      </w:r>
      <w:r w:rsidRPr="00595828">
        <w:rPr>
          <w:rFonts w:ascii="Microsoft Sans Serif" w:hAnsi="Microsoft Sans Serif" w:cs="Microsoft Sans Serif"/>
          <w:color w:val="000000" w:themeColor="text1"/>
          <w:w w:val="115"/>
          <w:lang w:val="uk-UA"/>
        </w:rPr>
        <w:t>М</w:t>
      </w:r>
      <w:r w:rsidRPr="006B6651">
        <w:rPr>
          <w:rFonts w:ascii="Microsoft Sans Serif" w:hAnsi="Microsoft Sans Serif" w:cs="Microsoft Sans Serif"/>
          <w:color w:val="000000" w:themeColor="text1"/>
          <w:w w:val="115"/>
          <w:lang w:val="ru-RU"/>
        </w:rPr>
        <w:t xml:space="preserve">Ч для </w:t>
      </w:r>
      <w:proofErr w:type="spellStart"/>
      <w:r w:rsidRPr="006B6651">
        <w:rPr>
          <w:rFonts w:ascii="Microsoft Sans Serif" w:hAnsi="Microsoft Sans Serif" w:cs="Microsoft Sans Serif"/>
          <w:color w:val="000000" w:themeColor="text1"/>
          <w:w w:val="115"/>
          <w:lang w:val="ru-RU"/>
        </w:rPr>
        <w:t>діагностики</w:t>
      </w:r>
      <w:proofErr w:type="spellEnd"/>
      <w:r w:rsidRPr="006B6651">
        <w:rPr>
          <w:rFonts w:ascii="Microsoft Sans Serif" w:hAnsi="Microsoft Sans Serif" w:cs="Microsoft Sans Serif"/>
          <w:color w:val="000000" w:themeColor="text1"/>
          <w:w w:val="115"/>
          <w:lang w:val="ru-RU"/>
        </w:rPr>
        <w:t xml:space="preserve"> ЛС-ТБ</w:t>
      </w:r>
      <w:r w:rsidRPr="00595828">
        <w:rPr>
          <w:rFonts w:ascii="Microsoft Sans Serif" w:hAnsi="Microsoft Sans Serif" w:cs="Microsoft Sans Serif"/>
          <w:color w:val="000000" w:themeColor="text1"/>
          <w:w w:val="115"/>
          <w:lang w:val="uk-UA"/>
        </w:rPr>
        <w:t xml:space="preserve"> </w:t>
      </w:r>
      <w:proofErr w:type="spellStart"/>
      <w:r w:rsidRPr="006B6651">
        <w:rPr>
          <w:rFonts w:ascii="Microsoft Sans Serif" w:hAnsi="Microsoft Sans Serif" w:cs="Microsoft Sans Serif"/>
          <w:color w:val="000000" w:themeColor="text1"/>
          <w:w w:val="115"/>
          <w:lang w:val="ru-RU"/>
        </w:rPr>
        <w:t>серед</w:t>
      </w:r>
      <w:proofErr w:type="spellEnd"/>
      <w:r w:rsidRPr="006B6651">
        <w:rPr>
          <w:rFonts w:ascii="Microsoft Sans Serif" w:hAnsi="Microsoft Sans Serif" w:cs="Microsoft Sans Serif"/>
          <w:color w:val="000000" w:themeColor="text1"/>
          <w:w w:val="115"/>
          <w:lang w:val="ru-RU"/>
        </w:rPr>
        <w:t xml:space="preserve"> </w:t>
      </w:r>
      <w:proofErr w:type="spellStart"/>
      <w:r w:rsidRPr="006B6651">
        <w:rPr>
          <w:rFonts w:ascii="Microsoft Sans Serif" w:hAnsi="Microsoft Sans Serif" w:cs="Microsoft Sans Serif"/>
          <w:color w:val="000000" w:themeColor="text1"/>
          <w:w w:val="115"/>
          <w:lang w:val="ru-RU"/>
        </w:rPr>
        <w:t>пацієнтів</w:t>
      </w:r>
      <w:proofErr w:type="spellEnd"/>
      <w:r w:rsidRPr="006B6651">
        <w:rPr>
          <w:rFonts w:ascii="Microsoft Sans Serif" w:hAnsi="Microsoft Sans Serif" w:cs="Microsoft Sans Serif"/>
          <w:color w:val="000000" w:themeColor="text1"/>
          <w:w w:val="115"/>
          <w:lang w:val="ru-RU"/>
        </w:rPr>
        <w:t xml:space="preserve"> з ТБ у </w:t>
      </w:r>
      <w:proofErr w:type="spellStart"/>
      <w:r w:rsidRPr="006B6651">
        <w:rPr>
          <w:rFonts w:ascii="Microsoft Sans Serif" w:hAnsi="Microsoft Sans Serif" w:cs="Microsoft Sans Serif"/>
          <w:color w:val="000000" w:themeColor="text1"/>
          <w:w w:val="115"/>
          <w:lang w:val="ru-RU"/>
        </w:rPr>
        <w:t>трьох</w:t>
      </w:r>
      <w:proofErr w:type="spellEnd"/>
      <w:r w:rsidRPr="006B6651">
        <w:rPr>
          <w:rFonts w:ascii="Microsoft Sans Serif" w:hAnsi="Microsoft Sans Serif" w:cs="Microsoft Sans Serif"/>
          <w:color w:val="000000" w:themeColor="text1"/>
          <w:w w:val="115"/>
          <w:lang w:val="ru-RU"/>
        </w:rPr>
        <w:t xml:space="preserve"> </w:t>
      </w:r>
      <w:proofErr w:type="spellStart"/>
      <w:r w:rsidRPr="006B6651">
        <w:rPr>
          <w:rFonts w:ascii="Microsoft Sans Serif" w:hAnsi="Microsoft Sans Serif" w:cs="Microsoft Sans Serif"/>
          <w:color w:val="000000" w:themeColor="text1"/>
          <w:w w:val="115"/>
          <w:lang w:val="ru-RU"/>
        </w:rPr>
        <w:t>країнах</w:t>
      </w:r>
      <w:proofErr w:type="spellEnd"/>
      <w:r w:rsidRPr="006B6651">
        <w:rPr>
          <w:rFonts w:ascii="Microsoft Sans Serif" w:hAnsi="Microsoft Sans Serif" w:cs="Microsoft Sans Serif"/>
          <w:color w:val="000000" w:themeColor="text1"/>
          <w:w w:val="115"/>
          <w:lang w:val="ru-RU"/>
        </w:rPr>
        <w:t xml:space="preserve">: </w:t>
      </w:r>
      <w:proofErr w:type="spellStart"/>
      <w:r w:rsidRPr="006B6651">
        <w:rPr>
          <w:rFonts w:ascii="Microsoft Sans Serif" w:hAnsi="Microsoft Sans Serif" w:cs="Microsoft Sans Serif"/>
          <w:color w:val="000000" w:themeColor="text1"/>
          <w:w w:val="115"/>
          <w:lang w:val="ru-RU"/>
        </w:rPr>
        <w:t>Грузії</w:t>
      </w:r>
      <w:proofErr w:type="spellEnd"/>
      <w:r w:rsidRPr="006B6651">
        <w:rPr>
          <w:rFonts w:ascii="Microsoft Sans Serif" w:hAnsi="Microsoft Sans Serif" w:cs="Microsoft Sans Serif"/>
          <w:color w:val="000000" w:themeColor="text1"/>
          <w:w w:val="115"/>
          <w:lang w:val="ru-RU"/>
        </w:rPr>
        <w:t xml:space="preserve">, </w:t>
      </w:r>
      <w:proofErr w:type="spellStart"/>
      <w:r w:rsidRPr="006B6651">
        <w:rPr>
          <w:rFonts w:ascii="Microsoft Sans Serif" w:hAnsi="Microsoft Sans Serif" w:cs="Microsoft Sans Serif"/>
          <w:color w:val="000000" w:themeColor="text1"/>
          <w:w w:val="115"/>
          <w:lang w:val="ru-RU"/>
        </w:rPr>
        <w:t>Індії</w:t>
      </w:r>
      <w:proofErr w:type="spellEnd"/>
      <w:r w:rsidRPr="006B6651">
        <w:rPr>
          <w:rFonts w:ascii="Microsoft Sans Serif" w:hAnsi="Microsoft Sans Serif" w:cs="Microsoft Sans Serif"/>
          <w:color w:val="000000" w:themeColor="text1"/>
          <w:w w:val="115"/>
          <w:lang w:val="ru-RU"/>
        </w:rPr>
        <w:t xml:space="preserve"> та </w:t>
      </w:r>
      <w:proofErr w:type="spellStart"/>
      <w:r w:rsidRPr="006B6651">
        <w:rPr>
          <w:rFonts w:ascii="Microsoft Sans Serif" w:hAnsi="Microsoft Sans Serif" w:cs="Microsoft Sans Serif"/>
          <w:color w:val="000000" w:themeColor="text1"/>
          <w:w w:val="115"/>
          <w:lang w:val="ru-RU"/>
        </w:rPr>
        <w:t>Південній</w:t>
      </w:r>
      <w:proofErr w:type="spellEnd"/>
      <w:r w:rsidRPr="006B6651">
        <w:rPr>
          <w:rFonts w:ascii="Microsoft Sans Serif" w:hAnsi="Microsoft Sans Serif" w:cs="Microsoft Sans Serif"/>
          <w:color w:val="000000" w:themeColor="text1"/>
          <w:w w:val="115"/>
          <w:lang w:val="ru-RU"/>
        </w:rPr>
        <w:t xml:space="preserve"> </w:t>
      </w:r>
      <w:proofErr w:type="spellStart"/>
      <w:r w:rsidRPr="006B6651">
        <w:rPr>
          <w:rFonts w:ascii="Microsoft Sans Serif" w:hAnsi="Microsoft Sans Serif" w:cs="Microsoft Sans Serif"/>
          <w:color w:val="000000" w:themeColor="text1"/>
          <w:w w:val="115"/>
          <w:lang w:val="ru-RU"/>
        </w:rPr>
        <w:t>Африці</w:t>
      </w:r>
      <w:proofErr w:type="spellEnd"/>
      <w:r w:rsidRPr="006B6651">
        <w:rPr>
          <w:rFonts w:ascii="Microsoft Sans Serif" w:hAnsi="Microsoft Sans Serif" w:cs="Microsoft Sans Serif"/>
          <w:color w:val="000000" w:themeColor="text1"/>
          <w:w w:val="115"/>
          <w:lang w:val="ru-RU"/>
        </w:rPr>
        <w:t>.</w:t>
      </w:r>
    </w:p>
    <w:p w14:paraId="680FB484" w14:textId="77777777" w:rsidR="0015544F" w:rsidRDefault="0015544F" w:rsidP="0015544F">
      <w:pPr>
        <w:pStyle w:val="6"/>
        <w:spacing w:line="259" w:lineRule="auto"/>
        <w:ind w:right="4"/>
        <w:jc w:val="both"/>
        <w:rPr>
          <w:rFonts w:ascii="Microsoft Sans Serif" w:hAnsi="Microsoft Sans Serif" w:cs="Microsoft Sans Serif"/>
          <w:b w:val="0"/>
          <w:bCs w:val="0"/>
          <w:color w:val="000000" w:themeColor="text1"/>
          <w:w w:val="110"/>
          <w:sz w:val="20"/>
          <w:lang w:val="ru-RU"/>
        </w:rPr>
      </w:pPr>
    </w:p>
    <w:p w14:paraId="4C16CD35" w14:textId="77777777" w:rsidR="00FE76F9" w:rsidRDefault="00767E2A" w:rsidP="0015544F">
      <w:pPr>
        <w:pStyle w:val="6"/>
        <w:spacing w:line="259" w:lineRule="auto"/>
        <w:ind w:right="4"/>
        <w:jc w:val="both"/>
        <w:rPr>
          <w:rFonts w:ascii="Microsoft Sans Serif" w:hAnsi="Microsoft Sans Serif" w:cs="Microsoft Sans Serif"/>
          <w:b w:val="0"/>
          <w:bCs w:val="0"/>
          <w:color w:val="000000" w:themeColor="text1"/>
          <w:w w:val="110"/>
          <w:sz w:val="20"/>
          <w:lang w:val="ru-RU"/>
        </w:rPr>
      </w:pPr>
      <w:proofErr w:type="spellStart"/>
      <w:r w:rsidRPr="0015544F">
        <w:rPr>
          <w:rFonts w:ascii="Microsoft Sans Serif" w:hAnsi="Microsoft Sans Serif" w:cs="Microsoft Sans Serif"/>
          <w:b w:val="0"/>
          <w:bCs w:val="0"/>
          <w:color w:val="000000" w:themeColor="text1"/>
          <w:w w:val="110"/>
          <w:sz w:val="20"/>
          <w:lang w:val="ru-RU"/>
        </w:rPr>
        <w:t>Було</w:t>
      </w:r>
      <w:proofErr w:type="spellEnd"/>
      <w:r w:rsidRPr="0015544F">
        <w:rPr>
          <w:rFonts w:ascii="Microsoft Sans Serif" w:hAnsi="Microsoft Sans Serif" w:cs="Microsoft Sans Serif"/>
          <w:b w:val="0"/>
          <w:bCs w:val="0"/>
          <w:color w:val="000000" w:themeColor="text1"/>
          <w:w w:val="110"/>
          <w:sz w:val="20"/>
          <w:lang w:val="ru-RU"/>
        </w:rPr>
        <w:t xml:space="preserve"> проведено </w:t>
      </w:r>
      <w:proofErr w:type="spellStart"/>
      <w:r w:rsidRPr="0015544F">
        <w:rPr>
          <w:rFonts w:ascii="Microsoft Sans Serif" w:hAnsi="Microsoft Sans Serif" w:cs="Microsoft Sans Serif"/>
          <w:b w:val="0"/>
          <w:bCs w:val="0"/>
          <w:color w:val="000000" w:themeColor="text1"/>
          <w:w w:val="110"/>
          <w:sz w:val="20"/>
          <w:lang w:val="ru-RU"/>
        </w:rPr>
        <w:t>оцінку</w:t>
      </w:r>
      <w:proofErr w:type="spellEnd"/>
      <w:r w:rsidRPr="0015544F">
        <w:rPr>
          <w:rFonts w:ascii="Microsoft Sans Serif" w:hAnsi="Microsoft Sans Serif" w:cs="Microsoft Sans Serif"/>
          <w:b w:val="0"/>
          <w:bCs w:val="0"/>
          <w:color w:val="000000" w:themeColor="text1"/>
          <w:w w:val="110"/>
          <w:sz w:val="20"/>
          <w:lang w:val="ru-RU"/>
        </w:rPr>
        <w:t xml:space="preserve"> </w:t>
      </w:r>
      <w:proofErr w:type="spellStart"/>
      <w:r w:rsidRPr="0015544F">
        <w:rPr>
          <w:rFonts w:ascii="Microsoft Sans Serif" w:hAnsi="Microsoft Sans Serif" w:cs="Microsoft Sans Serif"/>
          <w:b w:val="0"/>
          <w:bCs w:val="0"/>
          <w:color w:val="000000" w:themeColor="text1"/>
          <w:w w:val="110"/>
          <w:sz w:val="20"/>
          <w:lang w:val="ru-RU"/>
        </w:rPr>
        <w:t>впливу</w:t>
      </w:r>
      <w:proofErr w:type="spellEnd"/>
      <w:r w:rsidRPr="0015544F">
        <w:rPr>
          <w:rFonts w:ascii="Microsoft Sans Serif" w:hAnsi="Microsoft Sans Serif" w:cs="Microsoft Sans Serif"/>
          <w:b w:val="0"/>
          <w:bCs w:val="0"/>
          <w:color w:val="000000" w:themeColor="text1"/>
          <w:w w:val="110"/>
          <w:sz w:val="20"/>
          <w:lang w:val="ru-RU"/>
        </w:rPr>
        <w:t xml:space="preserve"> на бюджет для </w:t>
      </w:r>
      <w:proofErr w:type="spellStart"/>
      <w:r w:rsidRPr="0015544F">
        <w:rPr>
          <w:rFonts w:ascii="Microsoft Sans Serif" w:hAnsi="Microsoft Sans Serif" w:cs="Microsoft Sans Serif"/>
          <w:b w:val="0"/>
          <w:bCs w:val="0"/>
          <w:color w:val="000000" w:themeColor="text1"/>
          <w:w w:val="110"/>
          <w:sz w:val="20"/>
          <w:lang w:val="ru-RU"/>
        </w:rPr>
        <w:t>визначення</w:t>
      </w:r>
      <w:proofErr w:type="spellEnd"/>
      <w:r w:rsidRPr="0015544F">
        <w:rPr>
          <w:rFonts w:ascii="Microsoft Sans Serif" w:hAnsi="Microsoft Sans Serif" w:cs="Microsoft Sans Serif"/>
          <w:b w:val="0"/>
          <w:bCs w:val="0"/>
          <w:color w:val="000000" w:themeColor="text1"/>
          <w:w w:val="110"/>
          <w:sz w:val="20"/>
          <w:lang w:val="ru-RU"/>
        </w:rPr>
        <w:t xml:space="preserve"> </w:t>
      </w:r>
      <w:proofErr w:type="spellStart"/>
      <w:r w:rsidRPr="0015544F">
        <w:rPr>
          <w:rFonts w:ascii="Microsoft Sans Serif" w:hAnsi="Microsoft Sans Serif" w:cs="Microsoft Sans Serif"/>
          <w:b w:val="0"/>
          <w:bCs w:val="0"/>
          <w:color w:val="000000" w:themeColor="text1"/>
          <w:w w:val="110"/>
          <w:sz w:val="20"/>
          <w:lang w:val="ru-RU"/>
        </w:rPr>
        <w:t>фінансових</w:t>
      </w:r>
      <w:proofErr w:type="spellEnd"/>
      <w:r w:rsidRPr="0015544F">
        <w:rPr>
          <w:rFonts w:ascii="Microsoft Sans Serif" w:hAnsi="Microsoft Sans Serif" w:cs="Microsoft Sans Serif"/>
          <w:b w:val="0"/>
          <w:bCs w:val="0"/>
          <w:color w:val="000000" w:themeColor="text1"/>
          <w:w w:val="110"/>
          <w:sz w:val="20"/>
          <w:lang w:val="ru-RU"/>
        </w:rPr>
        <w:t xml:space="preserve"> </w:t>
      </w:r>
      <w:proofErr w:type="spellStart"/>
      <w:r w:rsidRPr="0015544F">
        <w:rPr>
          <w:rFonts w:ascii="Microsoft Sans Serif" w:hAnsi="Microsoft Sans Serif" w:cs="Microsoft Sans Serif"/>
          <w:b w:val="0"/>
          <w:bCs w:val="0"/>
          <w:color w:val="000000" w:themeColor="text1"/>
          <w:w w:val="110"/>
          <w:sz w:val="20"/>
          <w:lang w:val="ru-RU"/>
        </w:rPr>
        <w:t>наслідків</w:t>
      </w:r>
      <w:proofErr w:type="spellEnd"/>
      <w:r w:rsidRPr="0015544F">
        <w:rPr>
          <w:rFonts w:ascii="Microsoft Sans Serif" w:hAnsi="Microsoft Sans Serif" w:cs="Microsoft Sans Serif"/>
          <w:b w:val="0"/>
          <w:bCs w:val="0"/>
          <w:color w:val="000000" w:themeColor="text1"/>
          <w:w w:val="110"/>
          <w:sz w:val="20"/>
          <w:lang w:val="ru-RU"/>
        </w:rPr>
        <w:t xml:space="preserve"> </w:t>
      </w:r>
      <w:proofErr w:type="spellStart"/>
      <w:r w:rsidRPr="0015544F">
        <w:rPr>
          <w:rFonts w:ascii="Microsoft Sans Serif" w:hAnsi="Microsoft Sans Serif" w:cs="Microsoft Sans Serif"/>
          <w:b w:val="0"/>
          <w:bCs w:val="0"/>
          <w:color w:val="000000" w:themeColor="text1"/>
          <w:w w:val="110"/>
          <w:sz w:val="20"/>
          <w:lang w:val="ru-RU"/>
        </w:rPr>
        <w:t>впровадження</w:t>
      </w:r>
      <w:proofErr w:type="spellEnd"/>
      <w:r w:rsidRPr="0015544F">
        <w:rPr>
          <w:rFonts w:ascii="Microsoft Sans Serif" w:hAnsi="Microsoft Sans Serif" w:cs="Microsoft Sans Serif"/>
          <w:b w:val="0"/>
          <w:bCs w:val="0"/>
          <w:color w:val="000000" w:themeColor="text1"/>
          <w:w w:val="110"/>
          <w:sz w:val="20"/>
          <w:lang w:val="ru-RU"/>
        </w:rPr>
        <w:t xml:space="preserve"> таргетного </w:t>
      </w:r>
      <w:r w:rsidRPr="0015544F">
        <w:rPr>
          <w:rFonts w:ascii="Microsoft Sans Serif" w:hAnsi="Microsoft Sans Serif" w:cs="Microsoft Sans Serif"/>
          <w:b w:val="0"/>
          <w:bCs w:val="0"/>
          <w:color w:val="000000" w:themeColor="text1"/>
          <w:w w:val="110"/>
          <w:sz w:val="20"/>
          <w:lang w:val="uk-UA"/>
        </w:rPr>
        <w:t>СНП</w:t>
      </w:r>
      <w:r w:rsidRPr="0015544F">
        <w:rPr>
          <w:rFonts w:ascii="Microsoft Sans Serif" w:hAnsi="Microsoft Sans Serif" w:cs="Microsoft Sans Serif"/>
          <w:b w:val="0"/>
          <w:bCs w:val="0"/>
          <w:color w:val="000000" w:themeColor="text1"/>
          <w:w w:val="110"/>
          <w:sz w:val="20"/>
          <w:lang w:val="ru-RU"/>
        </w:rPr>
        <w:t xml:space="preserve"> для Т</w:t>
      </w:r>
      <w:r w:rsidRPr="0015544F">
        <w:rPr>
          <w:rFonts w:ascii="Microsoft Sans Serif" w:hAnsi="Microsoft Sans Serif" w:cs="Microsoft Sans Serif"/>
          <w:b w:val="0"/>
          <w:bCs w:val="0"/>
          <w:color w:val="000000" w:themeColor="text1"/>
          <w:w w:val="110"/>
          <w:sz w:val="20"/>
          <w:lang w:val="uk-UA"/>
        </w:rPr>
        <w:t>М</w:t>
      </w:r>
      <w:r w:rsidRPr="0015544F">
        <w:rPr>
          <w:rFonts w:ascii="Microsoft Sans Serif" w:hAnsi="Microsoft Sans Serif" w:cs="Microsoft Sans Serif"/>
          <w:b w:val="0"/>
          <w:bCs w:val="0"/>
          <w:color w:val="000000" w:themeColor="text1"/>
          <w:w w:val="110"/>
          <w:sz w:val="20"/>
          <w:lang w:val="ru-RU"/>
        </w:rPr>
        <w:t xml:space="preserve">Ч для </w:t>
      </w:r>
      <w:proofErr w:type="spellStart"/>
      <w:r w:rsidRPr="0015544F">
        <w:rPr>
          <w:rFonts w:ascii="Microsoft Sans Serif" w:hAnsi="Microsoft Sans Serif" w:cs="Microsoft Sans Serif"/>
          <w:b w:val="0"/>
          <w:bCs w:val="0"/>
          <w:color w:val="000000" w:themeColor="text1"/>
          <w:w w:val="110"/>
          <w:sz w:val="20"/>
          <w:lang w:val="ru-RU"/>
        </w:rPr>
        <w:t>всіх</w:t>
      </w:r>
      <w:proofErr w:type="spellEnd"/>
      <w:r w:rsidRPr="0015544F">
        <w:rPr>
          <w:rFonts w:ascii="Microsoft Sans Serif" w:hAnsi="Microsoft Sans Serif" w:cs="Microsoft Sans Serif"/>
          <w:b w:val="0"/>
          <w:bCs w:val="0"/>
          <w:color w:val="000000" w:themeColor="text1"/>
          <w:w w:val="110"/>
          <w:sz w:val="20"/>
          <w:lang w:val="ru-RU"/>
        </w:rPr>
        <w:t xml:space="preserve"> </w:t>
      </w:r>
      <w:proofErr w:type="spellStart"/>
      <w:r w:rsidRPr="0015544F">
        <w:rPr>
          <w:rFonts w:ascii="Microsoft Sans Serif" w:hAnsi="Microsoft Sans Serif" w:cs="Microsoft Sans Serif"/>
          <w:b w:val="0"/>
          <w:bCs w:val="0"/>
          <w:color w:val="000000" w:themeColor="text1"/>
          <w:w w:val="110"/>
          <w:sz w:val="20"/>
          <w:lang w:val="ru-RU"/>
        </w:rPr>
        <w:t>пацієнтів</w:t>
      </w:r>
      <w:proofErr w:type="spellEnd"/>
      <w:r w:rsidRPr="0015544F">
        <w:rPr>
          <w:rFonts w:ascii="Microsoft Sans Serif" w:hAnsi="Microsoft Sans Serif" w:cs="Microsoft Sans Serif"/>
          <w:b w:val="0"/>
          <w:bCs w:val="0"/>
          <w:color w:val="000000" w:themeColor="text1"/>
          <w:w w:val="110"/>
          <w:sz w:val="20"/>
          <w:lang w:val="ru-RU"/>
        </w:rPr>
        <w:t xml:space="preserve"> з </w:t>
      </w:r>
      <w:proofErr w:type="spellStart"/>
      <w:r w:rsidRPr="0015544F">
        <w:rPr>
          <w:rFonts w:ascii="Microsoft Sans Serif" w:hAnsi="Microsoft Sans Serif" w:cs="Microsoft Sans Serif"/>
          <w:b w:val="0"/>
          <w:bCs w:val="0"/>
          <w:color w:val="000000" w:themeColor="text1"/>
          <w:w w:val="110"/>
          <w:sz w:val="20"/>
          <w:lang w:val="ru-RU"/>
        </w:rPr>
        <w:t>діагностованим</w:t>
      </w:r>
      <w:proofErr w:type="spellEnd"/>
      <w:r w:rsidRPr="0015544F">
        <w:rPr>
          <w:rFonts w:ascii="Microsoft Sans Serif" w:hAnsi="Microsoft Sans Serif" w:cs="Microsoft Sans Serif"/>
          <w:b w:val="0"/>
          <w:bCs w:val="0"/>
          <w:color w:val="000000" w:themeColor="text1"/>
          <w:w w:val="110"/>
          <w:sz w:val="20"/>
          <w:lang w:val="ru-RU"/>
        </w:rPr>
        <w:t xml:space="preserve"> ТБ та </w:t>
      </w:r>
      <w:proofErr w:type="spellStart"/>
      <w:r w:rsidRPr="0015544F">
        <w:rPr>
          <w:rFonts w:ascii="Microsoft Sans Serif" w:hAnsi="Microsoft Sans Serif" w:cs="Microsoft Sans Serif"/>
          <w:b w:val="0"/>
          <w:bCs w:val="0"/>
          <w:color w:val="000000" w:themeColor="text1"/>
          <w:w w:val="110"/>
          <w:sz w:val="20"/>
          <w:lang w:val="ru-RU"/>
        </w:rPr>
        <w:t>заміни</w:t>
      </w:r>
      <w:proofErr w:type="spellEnd"/>
      <w:r w:rsidRPr="0015544F">
        <w:rPr>
          <w:rFonts w:ascii="Microsoft Sans Serif" w:hAnsi="Microsoft Sans Serif" w:cs="Microsoft Sans Serif"/>
          <w:b w:val="0"/>
          <w:bCs w:val="0"/>
          <w:color w:val="000000" w:themeColor="text1"/>
          <w:w w:val="110"/>
          <w:sz w:val="20"/>
          <w:lang w:val="ru-RU"/>
        </w:rPr>
        <w:t xml:space="preserve"> </w:t>
      </w:r>
    </w:p>
    <w:p w14:paraId="0BF7E144" w14:textId="427CAC26" w:rsidR="00FE76F9" w:rsidRDefault="004A2937" w:rsidP="004A2937">
      <w:pPr>
        <w:pStyle w:val="6"/>
        <w:tabs>
          <w:tab w:val="left" w:pos="3730"/>
        </w:tabs>
        <w:spacing w:line="259" w:lineRule="auto"/>
        <w:ind w:right="4"/>
        <w:jc w:val="both"/>
        <w:rPr>
          <w:rFonts w:ascii="Microsoft Sans Serif" w:hAnsi="Microsoft Sans Serif" w:cs="Microsoft Sans Serif"/>
          <w:b w:val="0"/>
          <w:bCs w:val="0"/>
          <w:color w:val="000000" w:themeColor="text1"/>
          <w:w w:val="110"/>
          <w:sz w:val="20"/>
          <w:lang w:val="ru-RU"/>
        </w:rPr>
      </w:pPr>
      <w:r>
        <w:rPr>
          <w:noProof/>
          <w:color w:val="000000" w:themeColor="text1"/>
          <w:sz w:val="20"/>
        </w:rPr>
        <mc:AlternateContent>
          <mc:Choice Requires="wps">
            <w:drawing>
              <wp:anchor distT="0" distB="0" distL="114300" distR="114300" simplePos="0" relativeHeight="488236544" behindDoc="0" locked="0" layoutInCell="1" allowOverlap="1" wp14:anchorId="43E4F3A3" wp14:editId="2768F876">
                <wp:simplePos x="0" y="0"/>
                <wp:positionH relativeFrom="column">
                  <wp:posOffset>5994400</wp:posOffset>
                </wp:positionH>
                <wp:positionV relativeFrom="paragraph">
                  <wp:posOffset>221615</wp:posOffset>
                </wp:positionV>
                <wp:extent cx="482600" cy="266700"/>
                <wp:effectExtent l="0" t="0" r="0" b="0"/>
                <wp:wrapNone/>
                <wp:docPr id="852579676" name="Поле 1942"/>
                <wp:cNvGraphicFramePr/>
                <a:graphic xmlns:a="http://schemas.openxmlformats.org/drawingml/2006/main">
                  <a:graphicData uri="http://schemas.microsoft.com/office/word/2010/wordprocessingShape">
                    <wps:wsp>
                      <wps:cNvSpPr txBox="1"/>
                      <wps:spPr>
                        <a:xfrm>
                          <a:off x="0" y="0"/>
                          <a:ext cx="482600" cy="266700"/>
                        </a:xfrm>
                        <a:prstGeom prst="rect">
                          <a:avLst/>
                        </a:prstGeom>
                        <a:solidFill>
                          <a:schemeClr val="lt1"/>
                        </a:solidFill>
                        <a:ln w="6350">
                          <a:noFill/>
                        </a:ln>
                      </wps:spPr>
                      <wps:txbx>
                        <w:txbxContent>
                          <w:p w14:paraId="071EC51D" w14:textId="53A302F2" w:rsidR="004A2937" w:rsidRPr="004A2937" w:rsidRDefault="004A2937" w:rsidP="004A2937">
                            <w:pPr>
                              <w:rPr>
                                <w:color w:val="388600"/>
                                <w:sz w:val="20"/>
                                <w:szCs w:val="20"/>
                                <w:lang w:val="uk-UA"/>
                              </w:rPr>
                            </w:pPr>
                            <w:r w:rsidRPr="004A2937">
                              <w:rPr>
                                <w:color w:val="388600"/>
                                <w:sz w:val="20"/>
                                <w:szCs w:val="20"/>
                                <w:lang w:val="uk-UA"/>
                              </w:rPr>
                              <w:t>1</w:t>
                            </w:r>
                            <w:r>
                              <w:rPr>
                                <w:color w:val="388600"/>
                                <w:sz w:val="20"/>
                                <w:szCs w:val="20"/>
                                <w:lang w:val="uk-U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E4F3A3" id="_x0000_s1180" type="#_x0000_t202" style="position:absolute;left:0;text-align:left;margin-left:472pt;margin-top:17.45pt;width:38pt;height:21pt;z-index:48823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" fillcolor="white [3201]" stroked="f" strokeweight=".5pt">
                <v:textbox>
                  <w:txbxContent>
                    <w:p w14:paraId="071EC51D" w14:textId="53A302F2" w:rsidR="004A2937" w:rsidRPr="004A2937" w:rsidRDefault="004A2937" w:rsidP="004A2937">
                      <w:pPr>
                        <w:rPr>
                          <w:color w:val="388600"/>
                          <w:sz w:val="20"/>
                          <w:szCs w:val="20"/>
                          <w:lang w:val="uk-UA"/>
                        </w:rPr>
                      </w:pPr>
                      <w:r w:rsidRPr="004A2937">
                        <w:rPr>
                          <w:color w:val="388600"/>
                          <w:sz w:val="20"/>
                          <w:szCs w:val="20"/>
                          <w:lang w:val="uk-UA"/>
                        </w:rPr>
                        <w:t>1</w:t>
                      </w:r>
                      <w:r>
                        <w:rPr>
                          <w:color w:val="388600"/>
                          <w:sz w:val="20"/>
                          <w:szCs w:val="20"/>
                          <w:lang w:val="uk-UA"/>
                        </w:rPr>
                        <w:t>11</w:t>
                      </w:r>
                    </w:p>
                  </w:txbxContent>
                </v:textbox>
              </v:shape>
            </w:pict>
          </mc:Fallback>
        </mc:AlternateContent>
      </w:r>
      <w:r>
        <w:rPr>
          <w:rFonts w:ascii="Microsoft Sans Serif" w:hAnsi="Microsoft Sans Serif" w:cs="Microsoft Sans Serif"/>
          <w:b w:val="0"/>
          <w:bCs w:val="0"/>
          <w:color w:val="000000" w:themeColor="text1"/>
          <w:w w:val="110"/>
          <w:sz w:val="20"/>
          <w:lang w:val="ru-RU"/>
        </w:rPr>
        <w:tab/>
      </w:r>
    </w:p>
    <w:p w14:paraId="7D0BF384" w14:textId="215801BF" w:rsidR="00E05B98" w:rsidRDefault="00767E2A" w:rsidP="0015544F">
      <w:pPr>
        <w:pStyle w:val="6"/>
        <w:spacing w:line="259" w:lineRule="auto"/>
        <w:ind w:right="4"/>
        <w:jc w:val="both"/>
        <w:rPr>
          <w:rFonts w:ascii="Microsoft Sans Serif" w:hAnsi="Microsoft Sans Serif" w:cs="Microsoft Sans Serif"/>
          <w:b w:val="0"/>
          <w:bCs w:val="0"/>
          <w:color w:val="000000" w:themeColor="text1"/>
          <w:w w:val="110"/>
          <w:sz w:val="20"/>
          <w:lang w:val="ru-RU"/>
        </w:rPr>
      </w:pPr>
      <w:r w:rsidRPr="0015544F">
        <w:rPr>
          <w:rFonts w:ascii="Microsoft Sans Serif" w:hAnsi="Microsoft Sans Serif" w:cs="Microsoft Sans Serif"/>
          <w:b w:val="0"/>
          <w:bCs w:val="0"/>
          <w:color w:val="000000" w:themeColor="text1"/>
          <w:w w:val="110"/>
          <w:sz w:val="20"/>
          <w:lang w:val="uk-UA"/>
        </w:rPr>
        <w:lastRenderedPageBreak/>
        <w:t xml:space="preserve">національної </w:t>
      </w:r>
      <w:r w:rsidRPr="0015544F">
        <w:rPr>
          <w:rFonts w:ascii="Microsoft Sans Serif" w:hAnsi="Microsoft Sans Serif" w:cs="Microsoft Sans Serif"/>
          <w:b w:val="0"/>
          <w:bCs w:val="0"/>
          <w:color w:val="000000" w:themeColor="text1"/>
          <w:w w:val="110"/>
          <w:sz w:val="20"/>
          <w:lang w:val="ru-RU"/>
        </w:rPr>
        <w:t>практики Т</w:t>
      </w:r>
      <w:r w:rsidRPr="0015544F">
        <w:rPr>
          <w:rFonts w:ascii="Microsoft Sans Serif" w:hAnsi="Microsoft Sans Serif" w:cs="Microsoft Sans Serif"/>
          <w:b w:val="0"/>
          <w:bCs w:val="0"/>
          <w:color w:val="000000" w:themeColor="text1"/>
          <w:w w:val="110"/>
          <w:sz w:val="20"/>
          <w:lang w:val="uk-UA"/>
        </w:rPr>
        <w:t>М</w:t>
      </w:r>
      <w:r w:rsidRPr="0015544F">
        <w:rPr>
          <w:rFonts w:ascii="Microsoft Sans Serif" w:hAnsi="Microsoft Sans Serif" w:cs="Microsoft Sans Serif"/>
          <w:b w:val="0"/>
          <w:bCs w:val="0"/>
          <w:color w:val="000000" w:themeColor="text1"/>
          <w:w w:val="110"/>
          <w:sz w:val="20"/>
          <w:lang w:val="ru-RU"/>
        </w:rPr>
        <w:t xml:space="preserve">Ч в </w:t>
      </w:r>
      <w:proofErr w:type="spellStart"/>
      <w:r w:rsidRPr="0015544F">
        <w:rPr>
          <w:rFonts w:ascii="Microsoft Sans Serif" w:hAnsi="Microsoft Sans Serif" w:cs="Microsoft Sans Serif"/>
          <w:b w:val="0"/>
          <w:bCs w:val="0"/>
          <w:color w:val="000000" w:themeColor="text1"/>
          <w:w w:val="110"/>
          <w:sz w:val="20"/>
          <w:lang w:val="ru-RU"/>
        </w:rPr>
        <w:t>Грузії</w:t>
      </w:r>
      <w:proofErr w:type="spellEnd"/>
      <w:r w:rsidRPr="0015544F">
        <w:rPr>
          <w:rFonts w:ascii="Microsoft Sans Serif" w:hAnsi="Microsoft Sans Serif" w:cs="Microsoft Sans Serif"/>
          <w:b w:val="0"/>
          <w:bCs w:val="0"/>
          <w:color w:val="000000" w:themeColor="text1"/>
          <w:w w:val="110"/>
          <w:sz w:val="20"/>
          <w:lang w:val="ru-RU"/>
        </w:rPr>
        <w:t xml:space="preserve"> (</w:t>
      </w:r>
      <w:r w:rsidRPr="0015544F">
        <w:rPr>
          <w:rFonts w:ascii="Microsoft Sans Serif" w:hAnsi="Microsoft Sans Serif" w:cs="Microsoft Sans Serif"/>
          <w:b w:val="0"/>
          <w:bCs w:val="0"/>
          <w:color w:val="000000" w:themeColor="text1"/>
          <w:w w:val="110"/>
          <w:sz w:val="20"/>
        </w:rPr>
        <w:t>PICO</w:t>
      </w:r>
      <w:r w:rsidRPr="0015544F">
        <w:rPr>
          <w:rFonts w:ascii="Microsoft Sans Serif" w:hAnsi="Microsoft Sans Serif" w:cs="Microsoft Sans Serif"/>
          <w:b w:val="0"/>
          <w:bCs w:val="0"/>
          <w:color w:val="000000" w:themeColor="text1"/>
          <w:w w:val="110"/>
          <w:sz w:val="20"/>
          <w:lang w:val="ru-RU"/>
        </w:rPr>
        <w:t xml:space="preserve"> 1). </w:t>
      </w:r>
      <w:proofErr w:type="spellStart"/>
      <w:r w:rsidRPr="0015544F">
        <w:rPr>
          <w:rFonts w:ascii="Microsoft Sans Serif" w:hAnsi="Microsoft Sans Serif" w:cs="Microsoft Sans Serif"/>
          <w:b w:val="0"/>
          <w:bCs w:val="0"/>
          <w:color w:val="000000" w:themeColor="text1"/>
          <w:w w:val="110"/>
          <w:sz w:val="20"/>
          <w:lang w:val="ru-RU"/>
        </w:rPr>
        <w:t>Аналіз</w:t>
      </w:r>
      <w:proofErr w:type="spellEnd"/>
      <w:r w:rsidRPr="0015544F">
        <w:rPr>
          <w:rFonts w:ascii="Microsoft Sans Serif" w:hAnsi="Microsoft Sans Serif" w:cs="Microsoft Sans Serif"/>
          <w:b w:val="0"/>
          <w:bCs w:val="0"/>
          <w:color w:val="000000" w:themeColor="text1"/>
          <w:w w:val="110"/>
          <w:sz w:val="20"/>
          <w:lang w:val="ru-RU"/>
        </w:rPr>
        <w:t xml:space="preserve"> показав, </w:t>
      </w:r>
      <w:proofErr w:type="spellStart"/>
      <w:r w:rsidRPr="0015544F">
        <w:rPr>
          <w:rFonts w:ascii="Microsoft Sans Serif" w:hAnsi="Microsoft Sans Serif" w:cs="Microsoft Sans Serif"/>
          <w:b w:val="0"/>
          <w:bCs w:val="0"/>
          <w:color w:val="000000" w:themeColor="text1"/>
          <w:w w:val="110"/>
          <w:sz w:val="20"/>
          <w:lang w:val="ru-RU"/>
        </w:rPr>
        <w:t>що</w:t>
      </w:r>
      <w:proofErr w:type="spellEnd"/>
      <w:r w:rsidRPr="0015544F">
        <w:rPr>
          <w:rFonts w:ascii="Microsoft Sans Serif" w:hAnsi="Microsoft Sans Serif" w:cs="Microsoft Sans Serif"/>
          <w:b w:val="0"/>
          <w:bCs w:val="0"/>
          <w:color w:val="000000" w:themeColor="text1"/>
          <w:w w:val="110"/>
          <w:sz w:val="20"/>
          <w:lang w:val="ru-RU"/>
        </w:rPr>
        <w:t xml:space="preserve"> </w:t>
      </w:r>
      <w:proofErr w:type="spellStart"/>
      <w:r w:rsidRPr="0015544F">
        <w:rPr>
          <w:rFonts w:ascii="Microsoft Sans Serif" w:hAnsi="Microsoft Sans Serif" w:cs="Microsoft Sans Serif"/>
          <w:b w:val="0"/>
          <w:bCs w:val="0"/>
          <w:color w:val="000000" w:themeColor="text1"/>
          <w:w w:val="110"/>
          <w:sz w:val="20"/>
          <w:lang w:val="ru-RU"/>
        </w:rPr>
        <w:t>впровадження</w:t>
      </w:r>
      <w:proofErr w:type="spellEnd"/>
      <w:r w:rsidRPr="0015544F">
        <w:rPr>
          <w:rFonts w:ascii="Microsoft Sans Serif" w:hAnsi="Microsoft Sans Serif" w:cs="Microsoft Sans Serif"/>
          <w:b w:val="0"/>
          <w:bCs w:val="0"/>
          <w:color w:val="000000" w:themeColor="text1"/>
          <w:w w:val="110"/>
          <w:sz w:val="20"/>
          <w:lang w:val="ru-RU"/>
        </w:rPr>
        <w:t xml:space="preserve"> таргетного </w:t>
      </w:r>
      <w:r w:rsidRPr="0015544F">
        <w:rPr>
          <w:rFonts w:ascii="Microsoft Sans Serif" w:hAnsi="Microsoft Sans Serif" w:cs="Microsoft Sans Serif"/>
          <w:b w:val="0"/>
          <w:bCs w:val="0"/>
          <w:color w:val="000000" w:themeColor="text1"/>
          <w:w w:val="110"/>
          <w:sz w:val="20"/>
          <w:lang w:val="uk-UA"/>
        </w:rPr>
        <w:t>СНП</w:t>
      </w:r>
      <w:r w:rsidRPr="0015544F">
        <w:rPr>
          <w:rFonts w:ascii="Microsoft Sans Serif" w:hAnsi="Microsoft Sans Serif" w:cs="Microsoft Sans Serif"/>
          <w:b w:val="0"/>
          <w:bCs w:val="0"/>
          <w:color w:val="000000" w:themeColor="text1"/>
          <w:w w:val="110"/>
          <w:sz w:val="20"/>
          <w:lang w:val="ru-RU"/>
        </w:rPr>
        <w:t xml:space="preserve"> для </w:t>
      </w:r>
      <w:proofErr w:type="spellStart"/>
      <w:r w:rsidRPr="0015544F">
        <w:rPr>
          <w:rFonts w:ascii="Microsoft Sans Serif" w:hAnsi="Microsoft Sans Serif" w:cs="Microsoft Sans Serif"/>
          <w:b w:val="0"/>
          <w:bCs w:val="0"/>
          <w:color w:val="000000" w:themeColor="text1"/>
          <w:w w:val="110"/>
          <w:sz w:val="20"/>
          <w:lang w:val="ru-RU"/>
        </w:rPr>
        <w:t>всіх</w:t>
      </w:r>
      <w:proofErr w:type="spellEnd"/>
      <w:r w:rsidRPr="0015544F">
        <w:rPr>
          <w:rFonts w:ascii="Microsoft Sans Serif" w:hAnsi="Microsoft Sans Serif" w:cs="Microsoft Sans Serif"/>
          <w:b w:val="0"/>
          <w:bCs w:val="0"/>
          <w:color w:val="000000" w:themeColor="text1"/>
          <w:w w:val="110"/>
          <w:sz w:val="20"/>
          <w:lang w:val="ru-RU"/>
        </w:rPr>
        <w:t xml:space="preserve"> </w:t>
      </w:r>
      <w:proofErr w:type="spellStart"/>
      <w:r w:rsidRPr="0015544F">
        <w:rPr>
          <w:rFonts w:ascii="Microsoft Sans Serif" w:hAnsi="Microsoft Sans Serif" w:cs="Microsoft Sans Serif"/>
          <w:b w:val="0"/>
          <w:bCs w:val="0"/>
          <w:color w:val="000000" w:themeColor="text1"/>
          <w:w w:val="110"/>
          <w:sz w:val="20"/>
          <w:lang w:val="ru-RU"/>
        </w:rPr>
        <w:t>пацієнтів</w:t>
      </w:r>
      <w:proofErr w:type="spellEnd"/>
      <w:r w:rsidRPr="0015544F">
        <w:rPr>
          <w:rFonts w:ascii="Microsoft Sans Serif" w:hAnsi="Microsoft Sans Serif" w:cs="Microsoft Sans Serif"/>
          <w:b w:val="0"/>
          <w:bCs w:val="0"/>
          <w:color w:val="000000" w:themeColor="text1"/>
          <w:w w:val="110"/>
          <w:sz w:val="20"/>
          <w:lang w:val="ru-RU"/>
        </w:rPr>
        <w:t xml:space="preserve"> з </w:t>
      </w:r>
      <w:proofErr w:type="spellStart"/>
      <w:r w:rsidRPr="0015544F">
        <w:rPr>
          <w:rFonts w:ascii="Microsoft Sans Serif" w:hAnsi="Microsoft Sans Serif" w:cs="Microsoft Sans Serif"/>
          <w:b w:val="0"/>
          <w:bCs w:val="0"/>
          <w:color w:val="000000" w:themeColor="text1"/>
          <w:w w:val="110"/>
          <w:sz w:val="20"/>
          <w:lang w:val="ru-RU"/>
        </w:rPr>
        <w:t>діагностованим</w:t>
      </w:r>
      <w:proofErr w:type="spellEnd"/>
      <w:r w:rsidRPr="0015544F">
        <w:rPr>
          <w:rFonts w:ascii="Microsoft Sans Serif" w:hAnsi="Microsoft Sans Serif" w:cs="Microsoft Sans Serif"/>
          <w:b w:val="0"/>
          <w:bCs w:val="0"/>
          <w:color w:val="000000" w:themeColor="text1"/>
          <w:w w:val="110"/>
          <w:sz w:val="20"/>
          <w:lang w:val="ru-RU"/>
        </w:rPr>
        <w:t xml:space="preserve"> ТБ буде </w:t>
      </w:r>
      <w:proofErr w:type="spellStart"/>
      <w:r w:rsidRPr="0015544F">
        <w:rPr>
          <w:rFonts w:ascii="Microsoft Sans Serif" w:hAnsi="Microsoft Sans Serif" w:cs="Microsoft Sans Serif"/>
          <w:b w:val="0"/>
          <w:bCs w:val="0"/>
          <w:color w:val="000000" w:themeColor="text1"/>
          <w:w w:val="110"/>
          <w:sz w:val="20"/>
          <w:lang w:val="ru-RU"/>
        </w:rPr>
        <w:t>дорожчим</w:t>
      </w:r>
      <w:proofErr w:type="spellEnd"/>
      <w:r w:rsidRPr="0015544F">
        <w:rPr>
          <w:rFonts w:ascii="Microsoft Sans Serif" w:hAnsi="Microsoft Sans Serif" w:cs="Microsoft Sans Serif"/>
          <w:b w:val="0"/>
          <w:bCs w:val="0"/>
          <w:color w:val="000000" w:themeColor="text1"/>
          <w:w w:val="110"/>
          <w:sz w:val="20"/>
          <w:lang w:val="ru-RU"/>
        </w:rPr>
        <w:t xml:space="preserve">, </w:t>
      </w:r>
      <w:proofErr w:type="spellStart"/>
      <w:r w:rsidRPr="0015544F">
        <w:rPr>
          <w:rFonts w:ascii="Microsoft Sans Serif" w:hAnsi="Microsoft Sans Serif" w:cs="Microsoft Sans Serif"/>
          <w:b w:val="0"/>
          <w:bCs w:val="0"/>
          <w:color w:val="000000" w:themeColor="text1"/>
          <w:w w:val="110"/>
          <w:sz w:val="20"/>
          <w:lang w:val="ru-RU"/>
        </w:rPr>
        <w:t>ніж</w:t>
      </w:r>
      <w:proofErr w:type="spellEnd"/>
      <w:r w:rsidRPr="0015544F">
        <w:rPr>
          <w:rFonts w:ascii="Microsoft Sans Serif" w:hAnsi="Microsoft Sans Serif" w:cs="Microsoft Sans Serif"/>
          <w:b w:val="0"/>
          <w:bCs w:val="0"/>
          <w:color w:val="000000" w:themeColor="text1"/>
          <w:w w:val="110"/>
          <w:sz w:val="20"/>
          <w:lang w:val="ru-RU"/>
        </w:rPr>
        <w:t xml:space="preserve"> </w:t>
      </w:r>
      <w:proofErr w:type="spellStart"/>
      <w:r w:rsidRPr="0015544F">
        <w:rPr>
          <w:rFonts w:ascii="Microsoft Sans Serif" w:hAnsi="Microsoft Sans Serif" w:cs="Microsoft Sans Serif"/>
          <w:b w:val="0"/>
          <w:bCs w:val="0"/>
          <w:color w:val="000000" w:themeColor="text1"/>
          <w:w w:val="110"/>
          <w:sz w:val="20"/>
          <w:lang w:val="ru-RU"/>
        </w:rPr>
        <w:t>тестування</w:t>
      </w:r>
      <w:proofErr w:type="spellEnd"/>
      <w:r w:rsidRPr="0015544F">
        <w:rPr>
          <w:rFonts w:ascii="Microsoft Sans Serif" w:hAnsi="Microsoft Sans Serif" w:cs="Microsoft Sans Serif"/>
          <w:b w:val="0"/>
          <w:bCs w:val="0"/>
          <w:color w:val="000000" w:themeColor="text1"/>
          <w:w w:val="110"/>
          <w:sz w:val="20"/>
          <w:lang w:val="ru-RU"/>
        </w:rPr>
        <w:t xml:space="preserve"> </w:t>
      </w:r>
      <w:proofErr w:type="spellStart"/>
      <w:r w:rsidRPr="0015544F">
        <w:rPr>
          <w:rFonts w:ascii="Microsoft Sans Serif" w:hAnsi="Microsoft Sans Serif" w:cs="Microsoft Sans Serif"/>
          <w:b w:val="0"/>
          <w:bCs w:val="0"/>
          <w:color w:val="000000" w:themeColor="text1"/>
          <w:w w:val="110"/>
          <w:sz w:val="20"/>
          <w:lang w:val="ru-RU"/>
        </w:rPr>
        <w:t>всіх</w:t>
      </w:r>
      <w:proofErr w:type="spellEnd"/>
      <w:r w:rsidRPr="0015544F">
        <w:rPr>
          <w:rFonts w:ascii="Microsoft Sans Serif" w:hAnsi="Microsoft Sans Serif" w:cs="Microsoft Sans Serif"/>
          <w:b w:val="0"/>
          <w:bCs w:val="0"/>
          <w:color w:val="000000" w:themeColor="text1"/>
          <w:w w:val="110"/>
          <w:sz w:val="20"/>
          <w:lang w:val="ru-RU"/>
        </w:rPr>
        <w:t xml:space="preserve"> </w:t>
      </w:r>
      <w:proofErr w:type="spellStart"/>
      <w:r w:rsidRPr="0015544F">
        <w:rPr>
          <w:rFonts w:ascii="Microsoft Sans Serif" w:hAnsi="Microsoft Sans Serif" w:cs="Microsoft Sans Serif"/>
          <w:b w:val="0"/>
          <w:bCs w:val="0"/>
          <w:color w:val="000000" w:themeColor="text1"/>
          <w:w w:val="110"/>
          <w:sz w:val="20"/>
          <w:lang w:val="ru-RU"/>
        </w:rPr>
        <w:t>пацієнтів</w:t>
      </w:r>
      <w:proofErr w:type="spellEnd"/>
      <w:r w:rsidRPr="0015544F">
        <w:rPr>
          <w:rFonts w:ascii="Microsoft Sans Serif" w:hAnsi="Microsoft Sans Serif" w:cs="Microsoft Sans Serif"/>
          <w:b w:val="0"/>
          <w:bCs w:val="0"/>
          <w:color w:val="000000" w:themeColor="text1"/>
          <w:w w:val="110"/>
          <w:sz w:val="20"/>
          <w:lang w:val="ru-RU"/>
        </w:rPr>
        <w:t xml:space="preserve"> за </w:t>
      </w:r>
      <w:proofErr w:type="spellStart"/>
      <w:r w:rsidRPr="0015544F">
        <w:rPr>
          <w:rFonts w:ascii="Microsoft Sans Serif" w:hAnsi="Microsoft Sans Serif" w:cs="Microsoft Sans Serif"/>
          <w:b w:val="0"/>
          <w:bCs w:val="0"/>
          <w:color w:val="000000" w:themeColor="text1"/>
          <w:w w:val="110"/>
          <w:sz w:val="20"/>
          <w:lang w:val="ru-RU"/>
        </w:rPr>
        <w:t>допомогою</w:t>
      </w:r>
      <w:proofErr w:type="spellEnd"/>
      <w:r w:rsidRPr="0015544F">
        <w:rPr>
          <w:rFonts w:ascii="Microsoft Sans Serif" w:hAnsi="Microsoft Sans Serif" w:cs="Microsoft Sans Serif"/>
          <w:b w:val="0"/>
          <w:bCs w:val="0"/>
          <w:color w:val="000000" w:themeColor="text1"/>
          <w:w w:val="110"/>
          <w:sz w:val="20"/>
          <w:lang w:val="ru-RU"/>
        </w:rPr>
        <w:t xml:space="preserve"> </w:t>
      </w:r>
      <w:r w:rsidRPr="0015544F">
        <w:rPr>
          <w:rFonts w:ascii="Microsoft Sans Serif" w:hAnsi="Microsoft Sans Serif" w:cs="Microsoft Sans Serif"/>
          <w:b w:val="0"/>
          <w:bCs w:val="0"/>
          <w:color w:val="000000" w:themeColor="text1"/>
          <w:w w:val="110"/>
          <w:sz w:val="20"/>
        </w:rPr>
        <w:t>Xpert</w:t>
      </w:r>
      <w:r w:rsidRPr="0015544F">
        <w:rPr>
          <w:rFonts w:ascii="Microsoft Sans Serif" w:hAnsi="Microsoft Sans Serif" w:cs="Microsoft Sans Serif"/>
          <w:b w:val="0"/>
          <w:bCs w:val="0"/>
          <w:color w:val="000000" w:themeColor="text1"/>
          <w:w w:val="110"/>
          <w:sz w:val="20"/>
          <w:lang w:val="ru-RU"/>
        </w:rPr>
        <w:t xml:space="preserve"> </w:t>
      </w:r>
      <w:r w:rsidRPr="0015544F">
        <w:rPr>
          <w:rFonts w:ascii="Microsoft Sans Serif" w:hAnsi="Microsoft Sans Serif" w:cs="Microsoft Sans Serif"/>
          <w:b w:val="0"/>
          <w:bCs w:val="0"/>
          <w:color w:val="000000" w:themeColor="text1"/>
          <w:w w:val="110"/>
          <w:sz w:val="20"/>
        </w:rPr>
        <w:t>MTB</w:t>
      </w:r>
      <w:r w:rsidRPr="0015544F">
        <w:rPr>
          <w:rFonts w:ascii="Microsoft Sans Serif" w:hAnsi="Microsoft Sans Serif" w:cs="Microsoft Sans Serif"/>
          <w:b w:val="0"/>
          <w:bCs w:val="0"/>
          <w:color w:val="000000" w:themeColor="text1"/>
          <w:w w:val="110"/>
          <w:sz w:val="20"/>
          <w:lang w:val="ru-RU"/>
        </w:rPr>
        <w:t>/</w:t>
      </w:r>
      <w:r w:rsidRPr="0015544F">
        <w:rPr>
          <w:rFonts w:ascii="Microsoft Sans Serif" w:hAnsi="Microsoft Sans Serif" w:cs="Microsoft Sans Serif"/>
          <w:b w:val="0"/>
          <w:bCs w:val="0"/>
          <w:color w:val="000000" w:themeColor="text1"/>
          <w:w w:val="110"/>
          <w:sz w:val="20"/>
        </w:rPr>
        <w:t>RIF</w:t>
      </w:r>
      <w:r w:rsidRPr="0015544F">
        <w:rPr>
          <w:rFonts w:ascii="Microsoft Sans Serif" w:hAnsi="Microsoft Sans Serif" w:cs="Microsoft Sans Serif"/>
          <w:b w:val="0"/>
          <w:bCs w:val="0"/>
          <w:color w:val="000000" w:themeColor="text1"/>
          <w:w w:val="110"/>
          <w:sz w:val="20"/>
          <w:lang w:val="ru-RU"/>
        </w:rPr>
        <w:t xml:space="preserve"> або </w:t>
      </w:r>
      <w:r w:rsidRPr="0015544F">
        <w:rPr>
          <w:rFonts w:ascii="Microsoft Sans Serif" w:hAnsi="Microsoft Sans Serif" w:cs="Microsoft Sans Serif"/>
          <w:b w:val="0"/>
          <w:bCs w:val="0"/>
          <w:color w:val="000000" w:themeColor="text1"/>
          <w:w w:val="110"/>
          <w:sz w:val="20"/>
        </w:rPr>
        <w:t>Xpert</w:t>
      </w:r>
      <w:r w:rsidRPr="0015544F">
        <w:rPr>
          <w:rFonts w:ascii="Microsoft Sans Serif" w:hAnsi="Microsoft Sans Serif" w:cs="Microsoft Sans Serif"/>
          <w:b w:val="0"/>
          <w:bCs w:val="0"/>
          <w:color w:val="000000" w:themeColor="text1"/>
          <w:w w:val="110"/>
          <w:sz w:val="20"/>
          <w:lang w:val="ru-RU"/>
        </w:rPr>
        <w:t xml:space="preserve"> </w:t>
      </w:r>
      <w:r w:rsidRPr="0015544F">
        <w:rPr>
          <w:rFonts w:ascii="Microsoft Sans Serif" w:hAnsi="Microsoft Sans Serif" w:cs="Microsoft Sans Serif"/>
          <w:b w:val="0"/>
          <w:bCs w:val="0"/>
          <w:color w:val="000000" w:themeColor="text1"/>
          <w:w w:val="110"/>
          <w:sz w:val="20"/>
        </w:rPr>
        <w:t>Ultra</w:t>
      </w:r>
      <w:r w:rsidRPr="0015544F">
        <w:rPr>
          <w:rFonts w:ascii="Microsoft Sans Serif" w:hAnsi="Microsoft Sans Serif" w:cs="Microsoft Sans Serif"/>
          <w:b w:val="0"/>
          <w:bCs w:val="0"/>
          <w:color w:val="000000" w:themeColor="text1"/>
          <w:w w:val="110"/>
          <w:sz w:val="20"/>
          <w:lang w:val="uk-UA"/>
        </w:rPr>
        <w:t xml:space="preserve">, а потім проведення </w:t>
      </w:r>
      <w:proofErr w:type="spellStart"/>
      <w:r w:rsidRPr="0015544F">
        <w:rPr>
          <w:rFonts w:ascii="Microsoft Sans Serif" w:hAnsi="Microsoft Sans Serif" w:cs="Microsoft Sans Serif"/>
          <w:b w:val="0"/>
          <w:bCs w:val="0"/>
          <w:color w:val="000000" w:themeColor="text1"/>
          <w:w w:val="110"/>
          <w:sz w:val="20"/>
          <w:lang w:val="uk-UA"/>
        </w:rPr>
        <w:t>фенотиповго</w:t>
      </w:r>
      <w:proofErr w:type="spellEnd"/>
      <w:r w:rsidRPr="0015544F">
        <w:rPr>
          <w:rFonts w:ascii="Microsoft Sans Serif" w:hAnsi="Microsoft Sans Serif" w:cs="Microsoft Sans Serif"/>
          <w:b w:val="0"/>
          <w:bCs w:val="0"/>
          <w:color w:val="000000" w:themeColor="text1"/>
          <w:w w:val="110"/>
          <w:sz w:val="20"/>
          <w:lang w:val="uk-UA"/>
        </w:rPr>
        <w:t xml:space="preserve"> </w:t>
      </w:r>
      <w:r w:rsidRPr="0015544F">
        <w:rPr>
          <w:rFonts w:ascii="Microsoft Sans Serif" w:hAnsi="Microsoft Sans Serif" w:cs="Microsoft Sans Serif"/>
          <w:b w:val="0"/>
          <w:bCs w:val="0"/>
          <w:color w:val="000000" w:themeColor="text1"/>
          <w:w w:val="110"/>
          <w:sz w:val="20"/>
          <w:lang w:val="ru-RU"/>
        </w:rPr>
        <w:t>Т</w:t>
      </w:r>
      <w:r w:rsidRPr="0015544F">
        <w:rPr>
          <w:rFonts w:ascii="Microsoft Sans Serif" w:hAnsi="Microsoft Sans Serif" w:cs="Microsoft Sans Serif"/>
          <w:b w:val="0"/>
          <w:bCs w:val="0"/>
          <w:color w:val="000000" w:themeColor="text1"/>
          <w:w w:val="110"/>
          <w:sz w:val="20"/>
          <w:lang w:val="uk-UA"/>
        </w:rPr>
        <w:t>М</w:t>
      </w:r>
      <w:r w:rsidRPr="0015544F">
        <w:rPr>
          <w:rFonts w:ascii="Microsoft Sans Serif" w:hAnsi="Microsoft Sans Serif" w:cs="Microsoft Sans Serif"/>
          <w:b w:val="0"/>
          <w:bCs w:val="0"/>
          <w:color w:val="000000" w:themeColor="text1"/>
          <w:w w:val="110"/>
          <w:sz w:val="20"/>
          <w:lang w:val="ru-RU"/>
        </w:rPr>
        <w:t xml:space="preserve">Ч (див. </w:t>
      </w:r>
      <w:r w:rsidRPr="00FE76F9">
        <w:rPr>
          <w:rFonts w:ascii="Microsoft Sans Serif" w:hAnsi="Microsoft Sans Serif" w:cs="Microsoft Sans Serif"/>
          <w:color w:val="000000" w:themeColor="text1"/>
          <w:w w:val="110"/>
          <w:sz w:val="20"/>
          <w:lang w:val="ru-RU"/>
        </w:rPr>
        <w:t>Рис. 2.4.5.2</w:t>
      </w:r>
      <w:r w:rsidRPr="0015544F">
        <w:rPr>
          <w:rFonts w:ascii="Microsoft Sans Serif" w:hAnsi="Microsoft Sans Serif" w:cs="Microsoft Sans Serif"/>
          <w:b w:val="0"/>
          <w:bCs w:val="0"/>
          <w:color w:val="000000" w:themeColor="text1"/>
          <w:w w:val="110"/>
          <w:sz w:val="20"/>
          <w:lang w:val="ru-RU"/>
        </w:rPr>
        <w:t>).</w:t>
      </w:r>
    </w:p>
    <w:p w14:paraId="02A458B5" w14:textId="77777777" w:rsidR="00FE76F9" w:rsidRDefault="00FE76F9" w:rsidP="0015544F">
      <w:pPr>
        <w:pStyle w:val="6"/>
        <w:spacing w:line="259" w:lineRule="auto"/>
        <w:ind w:right="4"/>
        <w:jc w:val="both"/>
        <w:rPr>
          <w:rFonts w:ascii="Microsoft Sans Serif" w:hAnsi="Microsoft Sans Serif" w:cs="Microsoft Sans Serif"/>
          <w:b w:val="0"/>
          <w:bCs w:val="0"/>
          <w:color w:val="000000" w:themeColor="text1"/>
          <w:w w:val="110"/>
          <w:sz w:val="20"/>
          <w:lang w:val="ru-RU"/>
        </w:rPr>
      </w:pPr>
    </w:p>
    <w:p w14:paraId="744D4C2C" w14:textId="15E9F4C4" w:rsidR="00FE76F9" w:rsidRPr="0015544F" w:rsidRDefault="00FE76F9" w:rsidP="0015544F">
      <w:pPr>
        <w:pStyle w:val="6"/>
        <w:spacing w:line="259" w:lineRule="auto"/>
        <w:ind w:right="4"/>
        <w:jc w:val="both"/>
        <w:rPr>
          <w:b w:val="0"/>
          <w:bCs w:val="0"/>
          <w:lang w:val="uk-UA"/>
        </w:rPr>
      </w:pPr>
      <w:r w:rsidRPr="006B6651">
        <w:rPr>
          <w:rFonts w:ascii="Microsoft Sans Serif" w:hAnsi="Microsoft Sans Serif" w:cs="Microsoft Sans Serif"/>
          <w:color w:val="808080" w:themeColor="background1" w:themeShade="80"/>
          <w:lang w:val="ru-RU"/>
        </w:rPr>
        <w:t xml:space="preserve">Рис. 2.4.5.2 </w:t>
      </w:r>
      <w:proofErr w:type="spellStart"/>
      <w:r w:rsidRPr="006B6651">
        <w:rPr>
          <w:rFonts w:ascii="Microsoft Sans Serif" w:hAnsi="Microsoft Sans Serif" w:cs="Microsoft Sans Serif"/>
          <w:color w:val="808080" w:themeColor="background1" w:themeShade="80"/>
          <w:lang w:val="ru-RU"/>
        </w:rPr>
        <w:t>Результати</w:t>
      </w:r>
      <w:proofErr w:type="spellEnd"/>
      <w:r w:rsidRPr="006B6651">
        <w:rPr>
          <w:rFonts w:ascii="Microsoft Sans Serif" w:hAnsi="Microsoft Sans Serif" w:cs="Microsoft Sans Serif"/>
          <w:color w:val="808080" w:themeColor="background1" w:themeShade="80"/>
          <w:lang w:val="ru-RU"/>
        </w:rPr>
        <w:t xml:space="preserve"> </w:t>
      </w:r>
      <w:proofErr w:type="spellStart"/>
      <w:r w:rsidRPr="006B6651">
        <w:rPr>
          <w:rFonts w:ascii="Microsoft Sans Serif" w:hAnsi="Microsoft Sans Serif" w:cs="Microsoft Sans Serif"/>
          <w:color w:val="808080" w:themeColor="background1" w:themeShade="80"/>
          <w:lang w:val="ru-RU"/>
        </w:rPr>
        <w:t>оцінки</w:t>
      </w:r>
      <w:proofErr w:type="spellEnd"/>
      <w:r w:rsidRPr="006B6651">
        <w:rPr>
          <w:rFonts w:ascii="Microsoft Sans Serif" w:hAnsi="Microsoft Sans Serif" w:cs="Microsoft Sans Serif"/>
          <w:color w:val="808080" w:themeColor="background1" w:themeShade="80"/>
          <w:lang w:val="ru-RU"/>
        </w:rPr>
        <w:t xml:space="preserve"> </w:t>
      </w:r>
      <w:proofErr w:type="spellStart"/>
      <w:r w:rsidRPr="006B6651">
        <w:rPr>
          <w:rFonts w:ascii="Microsoft Sans Serif" w:hAnsi="Microsoft Sans Serif" w:cs="Microsoft Sans Serif"/>
          <w:color w:val="808080" w:themeColor="background1" w:themeShade="80"/>
          <w:lang w:val="ru-RU"/>
        </w:rPr>
        <w:t>впливу</w:t>
      </w:r>
      <w:proofErr w:type="spellEnd"/>
      <w:r w:rsidRPr="006B6651">
        <w:rPr>
          <w:rFonts w:ascii="Microsoft Sans Serif" w:hAnsi="Microsoft Sans Serif" w:cs="Microsoft Sans Serif"/>
          <w:color w:val="808080" w:themeColor="background1" w:themeShade="80"/>
          <w:lang w:val="ru-RU"/>
        </w:rPr>
        <w:t xml:space="preserve"> на бюджет при </w:t>
      </w:r>
      <w:proofErr w:type="spellStart"/>
      <w:r w:rsidRPr="006B6651">
        <w:rPr>
          <w:rFonts w:ascii="Microsoft Sans Serif" w:hAnsi="Microsoft Sans Serif" w:cs="Microsoft Sans Serif"/>
          <w:color w:val="808080" w:themeColor="background1" w:themeShade="80"/>
          <w:lang w:val="ru-RU"/>
        </w:rPr>
        <w:t>порівнянні</w:t>
      </w:r>
      <w:proofErr w:type="spellEnd"/>
      <w:r w:rsidRPr="006B6651">
        <w:rPr>
          <w:rFonts w:ascii="Microsoft Sans Serif" w:hAnsi="Microsoft Sans Serif" w:cs="Microsoft Sans Serif"/>
          <w:color w:val="808080" w:themeColor="background1" w:themeShade="80"/>
          <w:lang w:val="ru-RU"/>
        </w:rPr>
        <w:t xml:space="preserve"> </w:t>
      </w:r>
      <w:proofErr w:type="spellStart"/>
      <w:r w:rsidRPr="006B6651">
        <w:rPr>
          <w:rFonts w:ascii="Microsoft Sans Serif" w:hAnsi="Microsoft Sans Serif" w:cs="Microsoft Sans Serif"/>
          <w:color w:val="808080" w:themeColor="background1" w:themeShade="80"/>
          <w:lang w:val="ru-RU"/>
        </w:rPr>
        <w:t>поточної</w:t>
      </w:r>
      <w:proofErr w:type="spellEnd"/>
      <w:r w:rsidRPr="006B6651">
        <w:rPr>
          <w:rFonts w:ascii="Microsoft Sans Serif" w:hAnsi="Microsoft Sans Serif" w:cs="Microsoft Sans Serif"/>
          <w:color w:val="808080" w:themeColor="background1" w:themeShade="80"/>
          <w:lang w:val="ru-RU"/>
        </w:rPr>
        <w:t xml:space="preserve"> </w:t>
      </w:r>
      <w:proofErr w:type="spellStart"/>
      <w:r w:rsidRPr="006B6651">
        <w:rPr>
          <w:rFonts w:ascii="Microsoft Sans Serif" w:hAnsi="Microsoft Sans Serif" w:cs="Microsoft Sans Serif"/>
          <w:color w:val="808080" w:themeColor="background1" w:themeShade="80"/>
          <w:lang w:val="ru-RU"/>
        </w:rPr>
        <w:t>стандартної</w:t>
      </w:r>
      <w:proofErr w:type="spellEnd"/>
      <w:r w:rsidRPr="006B6651">
        <w:rPr>
          <w:rFonts w:ascii="Microsoft Sans Serif" w:hAnsi="Microsoft Sans Serif" w:cs="Microsoft Sans Serif"/>
          <w:color w:val="808080" w:themeColor="background1" w:themeShade="80"/>
          <w:lang w:val="ru-RU"/>
        </w:rPr>
        <w:t xml:space="preserve"> практики ТМЧ з </w:t>
      </w:r>
      <w:proofErr w:type="spellStart"/>
      <w:r w:rsidRPr="006B6651">
        <w:rPr>
          <w:rFonts w:ascii="Microsoft Sans Serif" w:hAnsi="Microsoft Sans Serif" w:cs="Microsoft Sans Serif"/>
          <w:color w:val="808080" w:themeColor="background1" w:themeShade="80"/>
          <w:lang w:val="ru-RU"/>
        </w:rPr>
        <w:t>впровадженням</w:t>
      </w:r>
      <w:proofErr w:type="spellEnd"/>
      <w:r w:rsidRPr="006B6651">
        <w:rPr>
          <w:rFonts w:ascii="Microsoft Sans Serif" w:hAnsi="Microsoft Sans Serif" w:cs="Microsoft Sans Serif"/>
          <w:color w:val="808080" w:themeColor="background1" w:themeShade="80"/>
          <w:lang w:val="ru-RU"/>
        </w:rPr>
        <w:t xml:space="preserve"> таргетного СНП для </w:t>
      </w:r>
      <w:proofErr w:type="spellStart"/>
      <w:r w:rsidRPr="006B6651">
        <w:rPr>
          <w:rFonts w:ascii="Microsoft Sans Serif" w:hAnsi="Microsoft Sans Serif" w:cs="Microsoft Sans Serif"/>
          <w:color w:val="808080" w:themeColor="background1" w:themeShade="80"/>
          <w:lang w:val="ru-RU"/>
        </w:rPr>
        <w:t>всіх</w:t>
      </w:r>
      <w:proofErr w:type="spellEnd"/>
      <w:r w:rsidRPr="006B6651">
        <w:rPr>
          <w:rFonts w:ascii="Microsoft Sans Serif" w:hAnsi="Microsoft Sans Serif" w:cs="Microsoft Sans Serif"/>
          <w:color w:val="808080" w:themeColor="background1" w:themeShade="80"/>
          <w:lang w:val="ru-RU"/>
        </w:rPr>
        <w:t xml:space="preserve"> </w:t>
      </w:r>
      <w:proofErr w:type="spellStart"/>
      <w:r w:rsidRPr="006B6651">
        <w:rPr>
          <w:rFonts w:ascii="Microsoft Sans Serif" w:hAnsi="Microsoft Sans Serif" w:cs="Microsoft Sans Serif"/>
          <w:color w:val="808080" w:themeColor="background1" w:themeShade="80"/>
          <w:lang w:val="ru-RU"/>
        </w:rPr>
        <w:t>пацієнтів</w:t>
      </w:r>
      <w:proofErr w:type="spellEnd"/>
      <w:r w:rsidRPr="006B6651">
        <w:rPr>
          <w:rFonts w:ascii="Microsoft Sans Serif" w:hAnsi="Microsoft Sans Serif" w:cs="Microsoft Sans Serif"/>
          <w:color w:val="808080" w:themeColor="background1" w:themeShade="80"/>
          <w:lang w:val="ru-RU"/>
        </w:rPr>
        <w:t xml:space="preserve"> з </w:t>
      </w:r>
      <w:proofErr w:type="spellStart"/>
      <w:r w:rsidRPr="006B6651">
        <w:rPr>
          <w:rFonts w:ascii="Microsoft Sans Serif" w:hAnsi="Microsoft Sans Serif" w:cs="Microsoft Sans Serif"/>
          <w:color w:val="808080" w:themeColor="background1" w:themeShade="80"/>
          <w:lang w:val="ru-RU"/>
        </w:rPr>
        <w:t>діагностованим</w:t>
      </w:r>
      <w:proofErr w:type="spellEnd"/>
      <w:r w:rsidRPr="006B6651">
        <w:rPr>
          <w:rFonts w:ascii="Microsoft Sans Serif" w:hAnsi="Microsoft Sans Serif" w:cs="Microsoft Sans Serif"/>
          <w:color w:val="808080" w:themeColor="background1" w:themeShade="80"/>
          <w:lang w:val="ru-RU"/>
        </w:rPr>
        <w:t xml:space="preserve"> ТБ в </w:t>
      </w:r>
      <w:proofErr w:type="spellStart"/>
      <w:r w:rsidRPr="006B6651">
        <w:rPr>
          <w:rFonts w:ascii="Microsoft Sans Serif" w:hAnsi="Microsoft Sans Serif" w:cs="Microsoft Sans Serif"/>
          <w:color w:val="808080" w:themeColor="background1" w:themeShade="80"/>
          <w:lang w:val="ru-RU"/>
        </w:rPr>
        <w:t>Грузії</w:t>
      </w:r>
      <w:proofErr w:type="spellEnd"/>
    </w:p>
    <w:p w14:paraId="4E8A06C3" w14:textId="5C1E31C6" w:rsidR="00E05B98" w:rsidRPr="003C6DAE" w:rsidRDefault="00FE76F9">
      <w:pPr>
        <w:pStyle w:val="a3"/>
        <w:spacing w:before="1"/>
        <w:rPr>
          <w:rFonts w:ascii="Arial"/>
          <w:b/>
          <w:sz w:val="23"/>
          <w:lang w:val="uk-UA"/>
        </w:rPr>
      </w:pPr>
      <w:r>
        <w:rPr>
          <w:rFonts w:ascii="Arial"/>
          <w:b/>
          <w:noProof/>
          <w:sz w:val="23"/>
          <w:lang w:val="uk-UA"/>
        </w:rPr>
        <mc:AlternateContent>
          <mc:Choice Requires="wps">
            <w:drawing>
              <wp:anchor distT="0" distB="0" distL="114300" distR="114300" simplePos="0" relativeHeight="488204800" behindDoc="0" locked="0" layoutInCell="1" allowOverlap="1" wp14:anchorId="0D685E29" wp14:editId="1E3F2C8C">
                <wp:simplePos x="0" y="0"/>
                <wp:positionH relativeFrom="column">
                  <wp:posOffset>304165</wp:posOffset>
                </wp:positionH>
                <wp:positionV relativeFrom="paragraph">
                  <wp:posOffset>130810</wp:posOffset>
                </wp:positionV>
                <wp:extent cx="5899150" cy="2165350"/>
                <wp:effectExtent l="0" t="0" r="6350" b="6350"/>
                <wp:wrapNone/>
                <wp:docPr id="614787337" name="Поле 1939"/>
                <wp:cNvGraphicFramePr/>
                <a:graphic xmlns:a="http://schemas.openxmlformats.org/drawingml/2006/main">
                  <a:graphicData uri="http://schemas.microsoft.com/office/word/2010/wordprocessingShape">
                    <wps:wsp>
                      <wps:cNvSpPr txBox="1"/>
                      <wps:spPr>
                        <a:xfrm>
                          <a:off x="0" y="0"/>
                          <a:ext cx="5899150" cy="2165350"/>
                        </a:xfrm>
                        <a:prstGeom prst="rect">
                          <a:avLst/>
                        </a:prstGeom>
                        <a:solidFill>
                          <a:schemeClr val="bg1"/>
                        </a:solidFill>
                        <a:ln w="6350">
                          <a:noFill/>
                        </a:ln>
                      </wps:spPr>
                      <wps:txbx>
                        <w:txbxContent>
                          <w:p w14:paraId="75A2D9ED" w14:textId="4080FF0E" w:rsidR="00FE76F9" w:rsidRDefault="00FE76F9" w:rsidP="00FE76F9">
                            <w:pPr>
                              <w:jc w:val="center"/>
                            </w:pPr>
                            <w:r w:rsidRPr="006C14FD">
                              <w:rPr>
                                <w:b/>
                                <w:noProof/>
                                <w:sz w:val="24"/>
                              </w:rPr>
                              <w:drawing>
                                <wp:inline distT="0" distB="0" distL="0" distR="0" wp14:anchorId="2FC59673" wp14:editId="366D70DA">
                                  <wp:extent cx="3778250" cy="2034540"/>
                                  <wp:effectExtent l="0" t="0" r="0" b="3810"/>
                                  <wp:docPr id="1250793325" name="Рисунок 125079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790321" cy="2041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685E29" id="Поле 1939" o:spid="_x0000_s1181" type="#_x0000_t202" style="position:absolute;margin-left:23.95pt;margin-top:10.3pt;width:464.5pt;height:170.5pt;z-index:48820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" fillcolor="white [3212]" stroked="f" strokeweight=".5pt">
                <v:textbox>
                  <w:txbxContent>
                    <w:p w14:paraId="75A2D9ED" w14:textId="4080FF0E" w:rsidR="00FE76F9" w:rsidRDefault="00FE76F9" w:rsidP="00FE76F9">
                      <w:pPr>
                        <w:jc w:val="center"/>
                      </w:pPr>
                      <w:r w:rsidRPr="006C14FD">
                        <w:rPr>
                          <w:b/>
                          <w:noProof/>
                          <w:sz w:val="24"/>
                        </w:rPr>
                        <w:drawing>
                          <wp:inline distT="0" distB="0" distL="0" distR="0" wp14:anchorId="2FC59673" wp14:editId="366D70DA">
                            <wp:extent cx="3778250" cy="2034540"/>
                            <wp:effectExtent l="0" t="0" r="0" b="3810"/>
                            <wp:docPr id="1250793325" name="Рисунок 125079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790321" cy="2041040"/>
                                    </a:xfrm>
                                    <a:prstGeom prst="rect">
                                      <a:avLst/>
                                    </a:prstGeom>
                                  </pic:spPr>
                                </pic:pic>
                              </a:graphicData>
                            </a:graphic>
                          </wp:inline>
                        </w:drawing>
                      </w:r>
                    </w:p>
                  </w:txbxContent>
                </v:textbox>
              </v:shape>
            </w:pict>
          </mc:Fallback>
        </mc:AlternateContent>
      </w:r>
    </w:p>
    <w:p w14:paraId="45778765" w14:textId="77777777" w:rsidR="00E05B98" w:rsidRPr="003C6DAE" w:rsidRDefault="00E05B98">
      <w:pPr>
        <w:pStyle w:val="a3"/>
        <w:spacing w:before="11"/>
        <w:rPr>
          <w:rFonts w:ascii="Arial"/>
          <w:b/>
          <w:sz w:val="11"/>
          <w:lang w:val="uk-UA"/>
        </w:rPr>
      </w:pPr>
    </w:p>
    <w:p w14:paraId="15921A91" w14:textId="77777777" w:rsidR="00E05B98" w:rsidRPr="003C6DAE" w:rsidRDefault="00E05B98">
      <w:pPr>
        <w:pStyle w:val="a3"/>
        <w:rPr>
          <w:rFonts w:ascii="Arial"/>
          <w:b/>
          <w:sz w:val="11"/>
          <w:lang w:val="uk-UA"/>
        </w:rPr>
        <w:sectPr w:rsidR="00E05B98" w:rsidRPr="003C6DAE" w:rsidSect="0015544F">
          <w:type w:val="continuous"/>
          <w:pgSz w:w="11910" w:h="16840"/>
          <w:pgMar w:top="1321" w:right="1276" w:bottom="760" w:left="851" w:header="0" w:footer="573" w:gutter="0"/>
          <w:cols w:space="720"/>
        </w:sectPr>
      </w:pPr>
    </w:p>
    <w:p w14:paraId="2111DD3B" w14:textId="77777777" w:rsidR="00E05B98" w:rsidRPr="003C6DAE" w:rsidRDefault="00B01E0C">
      <w:pPr>
        <w:spacing w:before="79"/>
        <w:jc w:val="right"/>
        <w:rPr>
          <w:sz w:val="17"/>
          <w:lang w:val="uk-UA"/>
        </w:rPr>
      </w:pPr>
      <w:r w:rsidRPr="003C6DAE">
        <w:rPr>
          <w:noProof/>
          <w:sz w:val="17"/>
          <w:lang w:val="uk-UA"/>
        </w:rPr>
        <mc:AlternateContent>
          <mc:Choice Requires="wps">
            <w:drawing>
              <wp:anchor distT="0" distB="0" distL="0" distR="0" simplePos="0" relativeHeight="16203264" behindDoc="0" locked="0" layoutInCell="1" allowOverlap="1" wp14:anchorId="0AD4AF4E" wp14:editId="5BDEF1F6">
                <wp:simplePos x="0" y="0"/>
                <wp:positionH relativeFrom="page">
                  <wp:posOffset>1956222</wp:posOffset>
                </wp:positionH>
                <wp:positionV relativeFrom="paragraph">
                  <wp:posOffset>98005</wp:posOffset>
                </wp:positionV>
                <wp:extent cx="133350" cy="1333500"/>
                <wp:effectExtent l="0" t="0" r="0" b="0"/>
                <wp:wrapNone/>
                <wp:docPr id="3025" name="Textbox 3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1333500"/>
                        </a:xfrm>
                        <a:prstGeom prst="rect">
                          <a:avLst/>
                        </a:prstGeom>
                      </wps:spPr>
                      <wps:txbx>
                        <w:txbxContent>
                          <w:p w14:paraId="7403EF99" w14:textId="77777777" w:rsidR="007372B2" w:rsidRDefault="007372B2">
                            <w:pPr>
                              <w:spacing w:line="192" w:lineRule="exact"/>
                              <w:ind w:left="20"/>
                              <w:rPr>
                                <w:sz w:val="17"/>
                              </w:rPr>
                            </w:pPr>
                            <w:r>
                              <w:rPr>
                                <w:w w:val="110"/>
                                <w:sz w:val="17"/>
                              </w:rPr>
                              <w:t>Total</w:t>
                            </w:r>
                            <w:r>
                              <w:rPr>
                                <w:spacing w:val="-11"/>
                                <w:w w:val="110"/>
                                <w:sz w:val="17"/>
                              </w:rPr>
                              <w:t xml:space="preserve"> </w:t>
                            </w:r>
                            <w:r>
                              <w:rPr>
                                <w:w w:val="110"/>
                                <w:sz w:val="17"/>
                              </w:rPr>
                              <w:t>budget</w:t>
                            </w:r>
                            <w:r>
                              <w:rPr>
                                <w:spacing w:val="-11"/>
                                <w:w w:val="110"/>
                                <w:sz w:val="17"/>
                              </w:rPr>
                              <w:t xml:space="preserve"> </w:t>
                            </w:r>
                            <w:r>
                              <w:rPr>
                                <w:w w:val="110"/>
                                <w:sz w:val="17"/>
                              </w:rPr>
                              <w:t>impact</w:t>
                            </w:r>
                            <w:r>
                              <w:rPr>
                                <w:spacing w:val="-10"/>
                                <w:w w:val="110"/>
                                <w:sz w:val="17"/>
                              </w:rPr>
                              <w:t xml:space="preserve"> </w:t>
                            </w:r>
                            <w:r>
                              <w:rPr>
                                <w:spacing w:val="-2"/>
                                <w:w w:val="105"/>
                                <w:sz w:val="17"/>
                              </w:rPr>
                              <w:t>costs</w:t>
                            </w:r>
                          </w:p>
                        </w:txbxContent>
                      </wps:txbx>
                      <wps:bodyPr vert="vert270" wrap="square" lIns="0" tIns="0" rIns="0" bIns="0" rtlCol="0">
                        <a:noAutofit/>
                      </wps:bodyPr>
                    </wps:wsp>
                  </a:graphicData>
                </a:graphic>
              </wp:anchor>
            </w:drawing>
          </mc:Choice>
          <mc:Fallback>
            <w:pict>
              <v:shape w14:anchorId="0AD4AF4E" id="Textbox 3025" o:spid="_x0000_s1182" type="#_x0000_t202" style="position:absolute;left:0;text-align:left;margin-left:154.05pt;margin-top:7.7pt;width:10.5pt;height:105pt;z-index:16203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" filled="f" stroked="f">
                <v:textbox style="layout-flow:vertical;mso-layout-flow-alt:bottom-to-top" inset="0,0,0,0">
                  <w:txbxContent>
                    <w:p w14:paraId="7403EF99" w14:textId="77777777" w:rsidR="007372B2" w:rsidRDefault="007372B2">
                      <w:pPr>
                        <w:spacing w:line="192" w:lineRule="exact"/>
                        <w:ind w:left="20"/>
                        <w:rPr>
                          <w:sz w:val="17"/>
                        </w:rPr>
                      </w:pPr>
                      <w:r>
                        <w:rPr>
                          <w:w w:val="110"/>
                          <w:sz w:val="17"/>
                        </w:rPr>
                        <w:t>Total</w:t>
                      </w:r>
                      <w:r>
                        <w:rPr>
                          <w:spacing w:val="-11"/>
                          <w:w w:val="110"/>
                          <w:sz w:val="17"/>
                        </w:rPr>
                        <w:t xml:space="preserve"> </w:t>
                      </w:r>
                      <w:r>
                        <w:rPr>
                          <w:w w:val="110"/>
                          <w:sz w:val="17"/>
                        </w:rPr>
                        <w:t>budget</w:t>
                      </w:r>
                      <w:r>
                        <w:rPr>
                          <w:spacing w:val="-11"/>
                          <w:w w:val="110"/>
                          <w:sz w:val="17"/>
                        </w:rPr>
                        <w:t xml:space="preserve"> </w:t>
                      </w:r>
                      <w:r>
                        <w:rPr>
                          <w:w w:val="110"/>
                          <w:sz w:val="17"/>
                        </w:rPr>
                        <w:t>impact</w:t>
                      </w:r>
                      <w:r>
                        <w:rPr>
                          <w:spacing w:val="-10"/>
                          <w:w w:val="110"/>
                          <w:sz w:val="17"/>
                        </w:rPr>
                        <w:t xml:space="preserve"> </w:t>
                      </w:r>
                      <w:r>
                        <w:rPr>
                          <w:spacing w:val="-2"/>
                          <w:w w:val="105"/>
                          <w:sz w:val="17"/>
                        </w:rPr>
                        <w:t>costs</w:t>
                      </w:r>
                    </w:p>
                  </w:txbxContent>
                </v:textbox>
                <w10:wrap anchorx="page"/>
              </v:shape>
            </w:pict>
          </mc:Fallback>
        </mc:AlternateContent>
      </w:r>
      <w:r w:rsidRPr="003C6DAE">
        <w:rPr>
          <w:w w:val="105"/>
          <w:sz w:val="17"/>
          <w:lang w:val="uk-UA"/>
        </w:rPr>
        <w:t>$400</w:t>
      </w:r>
      <w:r w:rsidRPr="003C6DAE">
        <w:rPr>
          <w:spacing w:val="-7"/>
          <w:w w:val="105"/>
          <w:sz w:val="17"/>
          <w:lang w:val="uk-UA"/>
        </w:rPr>
        <w:t xml:space="preserve"> </w:t>
      </w:r>
      <w:r w:rsidRPr="003C6DAE">
        <w:rPr>
          <w:spacing w:val="-5"/>
          <w:w w:val="105"/>
          <w:sz w:val="17"/>
          <w:lang w:val="uk-UA"/>
        </w:rPr>
        <w:t>000</w:t>
      </w:r>
    </w:p>
    <w:p w14:paraId="4560EEE2" w14:textId="77777777" w:rsidR="00E05B98" w:rsidRPr="003C6DAE" w:rsidRDefault="00B01E0C">
      <w:pPr>
        <w:spacing w:before="29"/>
        <w:jc w:val="right"/>
        <w:rPr>
          <w:sz w:val="17"/>
          <w:lang w:val="uk-UA"/>
        </w:rPr>
      </w:pPr>
      <w:r w:rsidRPr="003C6DAE">
        <w:rPr>
          <w:w w:val="105"/>
          <w:sz w:val="17"/>
          <w:lang w:val="uk-UA"/>
        </w:rPr>
        <w:t>$350</w:t>
      </w:r>
      <w:r w:rsidRPr="003C6DAE">
        <w:rPr>
          <w:spacing w:val="-7"/>
          <w:w w:val="105"/>
          <w:sz w:val="17"/>
          <w:lang w:val="uk-UA"/>
        </w:rPr>
        <w:t xml:space="preserve"> </w:t>
      </w:r>
      <w:r w:rsidRPr="003C6DAE">
        <w:rPr>
          <w:spacing w:val="-5"/>
          <w:w w:val="105"/>
          <w:sz w:val="17"/>
          <w:lang w:val="uk-UA"/>
        </w:rPr>
        <w:t>000</w:t>
      </w:r>
    </w:p>
    <w:p w14:paraId="32B934C3" w14:textId="77777777" w:rsidR="00E05B98" w:rsidRPr="003C6DAE" w:rsidRDefault="00B01E0C">
      <w:pPr>
        <w:spacing w:before="28"/>
        <w:jc w:val="right"/>
        <w:rPr>
          <w:sz w:val="17"/>
          <w:lang w:val="uk-UA"/>
        </w:rPr>
      </w:pPr>
      <w:r w:rsidRPr="003C6DAE">
        <w:rPr>
          <w:w w:val="105"/>
          <w:sz w:val="17"/>
          <w:lang w:val="uk-UA"/>
        </w:rPr>
        <w:t>$300</w:t>
      </w:r>
      <w:r w:rsidRPr="003C6DAE">
        <w:rPr>
          <w:spacing w:val="-7"/>
          <w:w w:val="105"/>
          <w:sz w:val="17"/>
          <w:lang w:val="uk-UA"/>
        </w:rPr>
        <w:t xml:space="preserve"> </w:t>
      </w:r>
      <w:r w:rsidRPr="003C6DAE">
        <w:rPr>
          <w:spacing w:val="-5"/>
          <w:w w:val="105"/>
          <w:sz w:val="17"/>
          <w:lang w:val="uk-UA"/>
        </w:rPr>
        <w:t>000</w:t>
      </w:r>
    </w:p>
    <w:p w14:paraId="0629DC75" w14:textId="77777777" w:rsidR="00E05B98" w:rsidRPr="003C6DAE" w:rsidRDefault="00B01E0C">
      <w:pPr>
        <w:spacing w:before="29"/>
        <w:jc w:val="right"/>
        <w:rPr>
          <w:sz w:val="17"/>
          <w:lang w:val="uk-UA"/>
        </w:rPr>
      </w:pPr>
      <w:r w:rsidRPr="003C6DAE">
        <w:rPr>
          <w:w w:val="105"/>
          <w:sz w:val="17"/>
          <w:lang w:val="uk-UA"/>
        </w:rPr>
        <w:t>$250</w:t>
      </w:r>
      <w:r w:rsidRPr="003C6DAE">
        <w:rPr>
          <w:spacing w:val="-7"/>
          <w:w w:val="105"/>
          <w:sz w:val="17"/>
          <w:lang w:val="uk-UA"/>
        </w:rPr>
        <w:t xml:space="preserve"> </w:t>
      </w:r>
      <w:r w:rsidRPr="003C6DAE">
        <w:rPr>
          <w:spacing w:val="-5"/>
          <w:w w:val="105"/>
          <w:sz w:val="17"/>
          <w:lang w:val="uk-UA"/>
        </w:rPr>
        <w:t>000</w:t>
      </w:r>
    </w:p>
    <w:p w14:paraId="0EFB3026" w14:textId="77777777" w:rsidR="00E05B98" w:rsidRPr="003C6DAE" w:rsidRDefault="00B01E0C">
      <w:pPr>
        <w:spacing w:before="29"/>
        <w:jc w:val="right"/>
        <w:rPr>
          <w:sz w:val="17"/>
          <w:lang w:val="uk-UA"/>
        </w:rPr>
      </w:pPr>
      <w:r w:rsidRPr="003C6DAE">
        <w:rPr>
          <w:w w:val="105"/>
          <w:sz w:val="17"/>
          <w:lang w:val="uk-UA"/>
        </w:rPr>
        <w:t>$200</w:t>
      </w:r>
      <w:r w:rsidRPr="003C6DAE">
        <w:rPr>
          <w:spacing w:val="-7"/>
          <w:w w:val="105"/>
          <w:sz w:val="17"/>
          <w:lang w:val="uk-UA"/>
        </w:rPr>
        <w:t xml:space="preserve"> </w:t>
      </w:r>
      <w:r w:rsidRPr="003C6DAE">
        <w:rPr>
          <w:spacing w:val="-5"/>
          <w:w w:val="105"/>
          <w:sz w:val="17"/>
          <w:lang w:val="uk-UA"/>
        </w:rPr>
        <w:t>000</w:t>
      </w:r>
    </w:p>
    <w:p w14:paraId="5572EBC2" w14:textId="77777777" w:rsidR="00E05B98" w:rsidRPr="003C6DAE" w:rsidRDefault="00B01E0C">
      <w:pPr>
        <w:spacing w:before="28"/>
        <w:jc w:val="right"/>
        <w:rPr>
          <w:sz w:val="17"/>
          <w:lang w:val="uk-UA"/>
        </w:rPr>
      </w:pPr>
      <w:r w:rsidRPr="003C6DAE">
        <w:rPr>
          <w:w w:val="105"/>
          <w:sz w:val="17"/>
          <w:lang w:val="uk-UA"/>
        </w:rPr>
        <w:t>$150</w:t>
      </w:r>
      <w:r w:rsidRPr="003C6DAE">
        <w:rPr>
          <w:spacing w:val="-7"/>
          <w:w w:val="105"/>
          <w:sz w:val="17"/>
          <w:lang w:val="uk-UA"/>
        </w:rPr>
        <w:t xml:space="preserve"> </w:t>
      </w:r>
      <w:r w:rsidRPr="003C6DAE">
        <w:rPr>
          <w:spacing w:val="-5"/>
          <w:w w:val="105"/>
          <w:sz w:val="17"/>
          <w:lang w:val="uk-UA"/>
        </w:rPr>
        <w:t>000</w:t>
      </w:r>
    </w:p>
    <w:p w14:paraId="34CB5608" w14:textId="77777777" w:rsidR="00E05B98" w:rsidRPr="003C6DAE" w:rsidRDefault="00B01E0C">
      <w:pPr>
        <w:spacing w:before="29"/>
        <w:jc w:val="right"/>
        <w:rPr>
          <w:sz w:val="17"/>
          <w:lang w:val="uk-UA"/>
        </w:rPr>
      </w:pPr>
      <w:r w:rsidRPr="003C6DAE">
        <w:rPr>
          <w:w w:val="105"/>
          <w:sz w:val="17"/>
          <w:lang w:val="uk-UA"/>
        </w:rPr>
        <w:t>$100</w:t>
      </w:r>
      <w:r w:rsidRPr="003C6DAE">
        <w:rPr>
          <w:spacing w:val="-7"/>
          <w:w w:val="105"/>
          <w:sz w:val="17"/>
          <w:lang w:val="uk-UA"/>
        </w:rPr>
        <w:t xml:space="preserve"> </w:t>
      </w:r>
      <w:r w:rsidRPr="003C6DAE">
        <w:rPr>
          <w:spacing w:val="-5"/>
          <w:w w:val="105"/>
          <w:sz w:val="17"/>
          <w:lang w:val="uk-UA"/>
        </w:rPr>
        <w:t>000</w:t>
      </w:r>
    </w:p>
    <w:p w14:paraId="77B0419A" w14:textId="77777777" w:rsidR="00E05B98" w:rsidRPr="003C6DAE" w:rsidRDefault="00B01E0C">
      <w:pPr>
        <w:spacing w:before="28"/>
        <w:jc w:val="right"/>
        <w:rPr>
          <w:sz w:val="17"/>
          <w:lang w:val="uk-UA"/>
        </w:rPr>
      </w:pPr>
      <w:r w:rsidRPr="003C6DAE">
        <w:rPr>
          <w:w w:val="105"/>
          <w:sz w:val="17"/>
          <w:lang w:val="uk-UA"/>
        </w:rPr>
        <w:t>$50</w:t>
      </w:r>
      <w:r w:rsidRPr="003C6DAE">
        <w:rPr>
          <w:spacing w:val="-7"/>
          <w:w w:val="105"/>
          <w:sz w:val="17"/>
          <w:lang w:val="uk-UA"/>
        </w:rPr>
        <w:t xml:space="preserve"> </w:t>
      </w:r>
      <w:r w:rsidRPr="003C6DAE">
        <w:rPr>
          <w:spacing w:val="-5"/>
          <w:w w:val="105"/>
          <w:sz w:val="17"/>
          <w:lang w:val="uk-UA"/>
        </w:rPr>
        <w:t>000</w:t>
      </w:r>
    </w:p>
    <w:p w14:paraId="3FD1A2D6" w14:textId="77777777" w:rsidR="00E05B98" w:rsidRPr="003C6DAE" w:rsidRDefault="00B01E0C">
      <w:pPr>
        <w:spacing w:before="29"/>
        <w:jc w:val="right"/>
        <w:rPr>
          <w:sz w:val="17"/>
          <w:lang w:val="uk-UA"/>
        </w:rPr>
      </w:pPr>
      <w:r w:rsidRPr="003C6DAE">
        <w:rPr>
          <w:spacing w:val="-5"/>
          <w:w w:val="105"/>
          <w:sz w:val="17"/>
          <w:lang w:val="uk-UA"/>
        </w:rPr>
        <w:t>$0</w:t>
      </w:r>
    </w:p>
    <w:p w14:paraId="6860C92D" w14:textId="77777777" w:rsidR="00E05B98" w:rsidRPr="003C6DAE" w:rsidRDefault="00B01E0C">
      <w:pPr>
        <w:rPr>
          <w:sz w:val="17"/>
          <w:lang w:val="uk-UA"/>
        </w:rPr>
      </w:pPr>
      <w:r w:rsidRPr="003C6DAE">
        <w:rPr>
          <w:lang w:val="uk-UA"/>
        </w:rPr>
        <w:br w:type="column"/>
      </w:r>
    </w:p>
    <w:p w14:paraId="6412B097" w14:textId="77777777" w:rsidR="00E05B98" w:rsidRPr="003C6DAE" w:rsidRDefault="00E05B98">
      <w:pPr>
        <w:pStyle w:val="a3"/>
        <w:spacing w:before="78"/>
        <w:rPr>
          <w:sz w:val="17"/>
          <w:lang w:val="uk-UA"/>
        </w:rPr>
      </w:pPr>
    </w:p>
    <w:p w14:paraId="3C0D8A9D" w14:textId="77777777" w:rsidR="00E05B98" w:rsidRPr="003C6DAE" w:rsidRDefault="00B01E0C">
      <w:pPr>
        <w:ind w:left="526"/>
        <w:jc w:val="center"/>
        <w:rPr>
          <w:sz w:val="17"/>
          <w:lang w:val="uk-UA"/>
        </w:rPr>
      </w:pPr>
      <w:r w:rsidRPr="003C6DAE">
        <w:rPr>
          <w:w w:val="105"/>
          <w:sz w:val="17"/>
          <w:lang w:val="uk-UA"/>
        </w:rPr>
        <w:t>$257</w:t>
      </w:r>
      <w:r w:rsidRPr="003C6DAE">
        <w:rPr>
          <w:spacing w:val="-7"/>
          <w:w w:val="105"/>
          <w:sz w:val="17"/>
          <w:lang w:val="uk-UA"/>
        </w:rPr>
        <w:t xml:space="preserve"> </w:t>
      </w:r>
      <w:r w:rsidRPr="003C6DAE">
        <w:rPr>
          <w:spacing w:val="-5"/>
          <w:w w:val="105"/>
          <w:sz w:val="17"/>
          <w:lang w:val="uk-UA"/>
        </w:rPr>
        <w:t>499</w:t>
      </w:r>
    </w:p>
    <w:p w14:paraId="6E8B893E" w14:textId="3A4E2DFE" w:rsidR="00E05B98" w:rsidRPr="003C6DAE" w:rsidRDefault="00E05B98">
      <w:pPr>
        <w:pStyle w:val="a3"/>
        <w:ind w:left="84"/>
        <w:rPr>
          <w:sz w:val="20"/>
          <w:lang w:val="uk-UA"/>
        </w:rPr>
      </w:pPr>
    </w:p>
    <w:p w14:paraId="7A1CF20D" w14:textId="77777777" w:rsidR="00E05B98" w:rsidRPr="003C6DAE" w:rsidRDefault="00B01E0C">
      <w:pPr>
        <w:tabs>
          <w:tab w:val="left" w:pos="2942"/>
        </w:tabs>
        <w:spacing w:before="98"/>
        <w:ind w:left="715"/>
        <w:rPr>
          <w:sz w:val="17"/>
          <w:lang w:val="uk-UA"/>
        </w:rPr>
      </w:pPr>
      <w:r w:rsidRPr="003C6DAE">
        <w:rPr>
          <w:w w:val="105"/>
          <w:sz w:val="17"/>
          <w:lang w:val="uk-UA"/>
        </w:rPr>
        <w:t>$220</w:t>
      </w:r>
      <w:r w:rsidRPr="003C6DAE">
        <w:rPr>
          <w:spacing w:val="-7"/>
          <w:w w:val="105"/>
          <w:sz w:val="17"/>
          <w:lang w:val="uk-UA"/>
        </w:rPr>
        <w:t xml:space="preserve"> </w:t>
      </w:r>
      <w:r w:rsidRPr="003C6DAE">
        <w:rPr>
          <w:spacing w:val="-2"/>
          <w:w w:val="105"/>
          <w:sz w:val="17"/>
          <w:lang w:val="uk-UA"/>
        </w:rPr>
        <w:t>660.00</w:t>
      </w:r>
      <w:r w:rsidRPr="003C6DAE">
        <w:rPr>
          <w:sz w:val="17"/>
          <w:lang w:val="uk-UA"/>
        </w:rPr>
        <w:tab/>
      </w:r>
      <w:r w:rsidRPr="003C6DAE">
        <w:rPr>
          <w:w w:val="105"/>
          <w:sz w:val="17"/>
          <w:lang w:val="uk-UA"/>
        </w:rPr>
        <w:t>$257</w:t>
      </w:r>
      <w:r w:rsidRPr="003C6DAE">
        <w:rPr>
          <w:spacing w:val="-7"/>
          <w:w w:val="105"/>
          <w:sz w:val="17"/>
          <w:lang w:val="uk-UA"/>
        </w:rPr>
        <w:t xml:space="preserve"> </w:t>
      </w:r>
      <w:r w:rsidRPr="003C6DAE">
        <w:rPr>
          <w:spacing w:val="-2"/>
          <w:w w:val="105"/>
          <w:sz w:val="17"/>
          <w:lang w:val="uk-UA"/>
        </w:rPr>
        <w:t>499.00</w:t>
      </w:r>
    </w:p>
    <w:p w14:paraId="437ED788" w14:textId="77777777" w:rsidR="00E05B98" w:rsidRPr="003C6DAE" w:rsidRDefault="00E05B98">
      <w:pPr>
        <w:rPr>
          <w:sz w:val="17"/>
          <w:lang w:val="uk-UA"/>
        </w:rPr>
        <w:sectPr w:rsidR="00E05B98" w:rsidRPr="003C6DAE">
          <w:type w:val="continuous"/>
          <w:pgSz w:w="11910" w:h="16840"/>
          <w:pgMar w:top="1920" w:right="1275" w:bottom="280" w:left="850" w:header="0" w:footer="573" w:gutter="0"/>
          <w:cols w:num="2" w:space="720" w:equalWidth="0">
            <w:col w:w="3381" w:space="40"/>
            <w:col w:w="6364"/>
          </w:cols>
        </w:sectPr>
      </w:pPr>
    </w:p>
    <w:p w14:paraId="741F4B27" w14:textId="77777777" w:rsidR="00E05B98" w:rsidRPr="003C6DAE" w:rsidRDefault="00B01E0C">
      <w:pPr>
        <w:tabs>
          <w:tab w:val="left" w:pos="6652"/>
        </w:tabs>
        <w:spacing w:before="156"/>
        <w:ind w:left="4094"/>
        <w:rPr>
          <w:sz w:val="17"/>
          <w:lang w:val="uk-UA"/>
        </w:rPr>
      </w:pPr>
      <w:r w:rsidRPr="003C6DAE">
        <w:rPr>
          <w:sz w:val="17"/>
          <w:lang w:val="uk-UA"/>
        </w:rPr>
        <w:t>Xpert</w:t>
      </w:r>
      <w:r w:rsidRPr="003C6DAE">
        <w:rPr>
          <w:spacing w:val="16"/>
          <w:sz w:val="17"/>
          <w:lang w:val="uk-UA"/>
        </w:rPr>
        <w:t xml:space="preserve"> </w:t>
      </w:r>
      <w:r w:rsidRPr="003C6DAE">
        <w:rPr>
          <w:sz w:val="17"/>
          <w:lang w:val="uk-UA"/>
        </w:rPr>
        <w:t>+</w:t>
      </w:r>
      <w:r w:rsidRPr="003C6DAE">
        <w:rPr>
          <w:spacing w:val="16"/>
          <w:sz w:val="17"/>
          <w:lang w:val="uk-UA"/>
        </w:rPr>
        <w:t xml:space="preserve"> </w:t>
      </w:r>
      <w:proofErr w:type="spellStart"/>
      <w:r w:rsidRPr="003C6DAE">
        <w:rPr>
          <w:spacing w:val="-4"/>
          <w:sz w:val="17"/>
          <w:lang w:val="uk-UA"/>
        </w:rPr>
        <w:t>pDST</w:t>
      </w:r>
      <w:proofErr w:type="spellEnd"/>
      <w:r w:rsidRPr="003C6DAE">
        <w:rPr>
          <w:sz w:val="17"/>
          <w:lang w:val="uk-UA"/>
        </w:rPr>
        <w:tab/>
      </w:r>
      <w:r w:rsidRPr="003C6DAE">
        <w:rPr>
          <w:spacing w:val="-4"/>
          <w:sz w:val="17"/>
          <w:lang w:val="uk-UA"/>
        </w:rPr>
        <w:t>tNGS</w:t>
      </w:r>
    </w:p>
    <w:p w14:paraId="6F9313B2" w14:textId="77777777" w:rsidR="00E05B98" w:rsidRPr="003C6DAE" w:rsidRDefault="00B01E0C">
      <w:pPr>
        <w:spacing w:before="178"/>
        <w:ind w:left="1662"/>
        <w:jc w:val="center"/>
        <w:rPr>
          <w:rFonts w:ascii="Arial"/>
          <w:b/>
          <w:sz w:val="17"/>
          <w:lang w:val="uk-UA"/>
        </w:rPr>
      </w:pPr>
      <w:proofErr w:type="spellStart"/>
      <w:r w:rsidRPr="003C6DAE">
        <w:rPr>
          <w:rFonts w:ascii="Arial"/>
          <w:b/>
          <w:spacing w:val="-2"/>
          <w:sz w:val="17"/>
          <w:lang w:val="uk-UA"/>
        </w:rPr>
        <w:t>Georgia</w:t>
      </w:r>
      <w:proofErr w:type="spellEnd"/>
    </w:p>
    <w:p w14:paraId="78678FAB" w14:textId="77777777" w:rsidR="00E05B98" w:rsidRPr="003C6DAE" w:rsidRDefault="00E05B98">
      <w:pPr>
        <w:pStyle w:val="a3"/>
        <w:spacing w:before="106"/>
        <w:rPr>
          <w:rFonts w:ascii="Arial"/>
          <w:b/>
          <w:sz w:val="18"/>
          <w:lang w:val="uk-UA"/>
        </w:rPr>
      </w:pPr>
    </w:p>
    <w:p w14:paraId="3C80B28A" w14:textId="77777777" w:rsidR="00FE76F9" w:rsidRPr="00FE76F9" w:rsidRDefault="00FE76F9" w:rsidP="00FE76F9">
      <w:pPr>
        <w:pStyle w:val="a3"/>
        <w:spacing w:before="1" w:line="276" w:lineRule="auto"/>
        <w:ind w:left="567" w:right="4"/>
        <w:jc w:val="both"/>
        <w:rPr>
          <w:w w:val="110"/>
          <w:sz w:val="18"/>
          <w:szCs w:val="20"/>
          <w:lang w:val="uk-UA"/>
        </w:rPr>
      </w:pPr>
      <w:r w:rsidRPr="00FE76F9">
        <w:rPr>
          <w:w w:val="110"/>
          <w:sz w:val="18"/>
          <w:szCs w:val="20"/>
          <w:lang w:val="uk-UA"/>
        </w:rPr>
        <w:t xml:space="preserve">ТМЧ – тест на медикаментозну чутливість; СНП – секвенування наступного покоління; </w:t>
      </w:r>
      <w:proofErr w:type="spellStart"/>
      <w:r w:rsidRPr="00FE76F9">
        <w:rPr>
          <w:w w:val="110"/>
          <w:sz w:val="18"/>
          <w:szCs w:val="20"/>
          <w:lang w:val="uk-UA"/>
        </w:rPr>
        <w:t>фТМЧ</w:t>
      </w:r>
      <w:proofErr w:type="spellEnd"/>
      <w:r w:rsidRPr="00FE76F9">
        <w:rPr>
          <w:w w:val="110"/>
          <w:sz w:val="18"/>
          <w:szCs w:val="20"/>
          <w:lang w:val="uk-UA"/>
        </w:rPr>
        <w:t xml:space="preserve"> – </w:t>
      </w:r>
      <w:proofErr w:type="spellStart"/>
      <w:r w:rsidRPr="00FE76F9">
        <w:rPr>
          <w:w w:val="110"/>
          <w:sz w:val="18"/>
          <w:szCs w:val="20"/>
          <w:lang w:val="uk-UA"/>
        </w:rPr>
        <w:t>фенотиповий</w:t>
      </w:r>
      <w:proofErr w:type="spellEnd"/>
      <w:r w:rsidRPr="00FE76F9">
        <w:rPr>
          <w:w w:val="110"/>
          <w:sz w:val="18"/>
          <w:szCs w:val="20"/>
          <w:lang w:val="uk-UA"/>
        </w:rPr>
        <w:t xml:space="preserve"> ТМЧ; ТБ - туберкульоз; </w:t>
      </w:r>
      <w:proofErr w:type="spellStart"/>
      <w:r w:rsidRPr="00FE76F9">
        <w:rPr>
          <w:w w:val="110"/>
          <w:sz w:val="18"/>
          <w:szCs w:val="20"/>
          <w:lang w:val="uk-UA"/>
        </w:rPr>
        <w:t>тСНП</w:t>
      </w:r>
      <w:proofErr w:type="spellEnd"/>
      <w:r w:rsidRPr="00FE76F9">
        <w:rPr>
          <w:w w:val="110"/>
          <w:sz w:val="18"/>
          <w:szCs w:val="20"/>
          <w:lang w:val="uk-UA"/>
        </w:rPr>
        <w:t xml:space="preserve"> – таргетне секвенування наступного покоління.</w:t>
      </w:r>
    </w:p>
    <w:p w14:paraId="304E3A37" w14:textId="77777777" w:rsidR="00FE76F9" w:rsidRDefault="00FE76F9" w:rsidP="00FE76F9">
      <w:pPr>
        <w:pStyle w:val="a3"/>
        <w:spacing w:before="1" w:line="276" w:lineRule="auto"/>
        <w:ind w:left="1417" w:right="4"/>
        <w:jc w:val="both"/>
        <w:rPr>
          <w:w w:val="110"/>
          <w:sz w:val="18"/>
          <w:szCs w:val="20"/>
          <w:lang w:val="uk-UA"/>
        </w:rPr>
      </w:pPr>
    </w:p>
    <w:p w14:paraId="2D5BA2E0" w14:textId="77777777" w:rsidR="00FE76F9" w:rsidRPr="00FE76F9" w:rsidRDefault="00FE76F9" w:rsidP="00FE76F9">
      <w:pPr>
        <w:pStyle w:val="a3"/>
        <w:spacing w:before="1" w:line="276" w:lineRule="auto"/>
        <w:ind w:left="1417" w:right="4"/>
        <w:jc w:val="both"/>
        <w:rPr>
          <w:w w:val="110"/>
          <w:sz w:val="18"/>
          <w:szCs w:val="20"/>
          <w:lang w:val="uk-UA"/>
        </w:rPr>
      </w:pPr>
    </w:p>
    <w:p w14:paraId="441C20E7" w14:textId="77777777" w:rsidR="00FE76F9" w:rsidRPr="006B6651" w:rsidRDefault="00FE76F9" w:rsidP="00FE76F9">
      <w:pPr>
        <w:pStyle w:val="a3"/>
        <w:spacing w:before="1" w:line="276" w:lineRule="auto"/>
        <w:ind w:left="567" w:right="4"/>
        <w:jc w:val="both"/>
        <w:rPr>
          <w:color w:val="000000" w:themeColor="text1"/>
          <w:sz w:val="20"/>
          <w:lang w:val="ru-RU"/>
        </w:rPr>
      </w:pPr>
      <w:r w:rsidRPr="00FE76F9">
        <w:rPr>
          <w:color w:val="000000" w:themeColor="text1"/>
          <w:w w:val="110"/>
          <w:sz w:val="20"/>
          <w:lang w:val="uk-UA"/>
        </w:rPr>
        <w:t xml:space="preserve">Було проведено оцінку впливу на бюджет для визначення фінансових наслідків впровадження таргетного </w:t>
      </w:r>
      <w:r w:rsidRPr="00595828">
        <w:rPr>
          <w:color w:val="000000" w:themeColor="text1"/>
          <w:w w:val="110"/>
          <w:sz w:val="20"/>
          <w:lang w:val="uk-UA"/>
        </w:rPr>
        <w:t>СНП</w:t>
      </w:r>
      <w:r w:rsidRPr="00FE76F9">
        <w:rPr>
          <w:color w:val="000000" w:themeColor="text1"/>
          <w:w w:val="110"/>
          <w:sz w:val="20"/>
          <w:lang w:val="uk-UA"/>
        </w:rPr>
        <w:t xml:space="preserve"> для Т</w:t>
      </w:r>
      <w:r w:rsidRPr="00595828">
        <w:rPr>
          <w:color w:val="000000" w:themeColor="text1"/>
          <w:w w:val="110"/>
          <w:sz w:val="20"/>
          <w:lang w:val="uk-UA"/>
        </w:rPr>
        <w:t>М</w:t>
      </w:r>
      <w:r w:rsidRPr="00FE76F9">
        <w:rPr>
          <w:color w:val="000000" w:themeColor="text1"/>
          <w:w w:val="110"/>
          <w:sz w:val="20"/>
          <w:lang w:val="uk-UA"/>
        </w:rPr>
        <w:t xml:space="preserve">Ч після швидкого молекулярного тесту на стійкість до рифампіцину та заміни </w:t>
      </w:r>
      <w:r w:rsidRPr="00595828">
        <w:rPr>
          <w:color w:val="000000" w:themeColor="text1"/>
          <w:w w:val="110"/>
          <w:sz w:val="20"/>
          <w:lang w:val="uk-UA"/>
        </w:rPr>
        <w:t xml:space="preserve">національної </w:t>
      </w:r>
      <w:r w:rsidRPr="00FE76F9">
        <w:rPr>
          <w:color w:val="000000" w:themeColor="text1"/>
          <w:w w:val="110"/>
          <w:sz w:val="20"/>
          <w:lang w:val="uk-UA"/>
        </w:rPr>
        <w:t>практики Т</w:t>
      </w:r>
      <w:r w:rsidRPr="00595828">
        <w:rPr>
          <w:color w:val="000000" w:themeColor="text1"/>
          <w:w w:val="110"/>
          <w:sz w:val="20"/>
          <w:lang w:val="uk-UA"/>
        </w:rPr>
        <w:t>М</w:t>
      </w:r>
      <w:r w:rsidRPr="00FE76F9">
        <w:rPr>
          <w:color w:val="000000" w:themeColor="text1"/>
          <w:w w:val="110"/>
          <w:sz w:val="20"/>
          <w:lang w:val="uk-UA"/>
        </w:rPr>
        <w:t xml:space="preserve">Ч </w:t>
      </w:r>
      <w:r>
        <w:rPr>
          <w:color w:val="000000" w:themeColor="text1"/>
          <w:w w:val="110"/>
          <w:sz w:val="20"/>
          <w:lang w:val="uk-UA"/>
        </w:rPr>
        <w:t>у</w:t>
      </w:r>
      <w:r w:rsidRPr="00FE76F9">
        <w:rPr>
          <w:color w:val="000000" w:themeColor="text1"/>
          <w:w w:val="110"/>
          <w:sz w:val="20"/>
          <w:lang w:val="uk-UA"/>
        </w:rPr>
        <w:t xml:space="preserve"> Грузії, Індії та Південній Африці (</w:t>
      </w:r>
      <w:r w:rsidRPr="00595828">
        <w:rPr>
          <w:color w:val="000000" w:themeColor="text1"/>
          <w:w w:val="110"/>
          <w:sz w:val="20"/>
        </w:rPr>
        <w:t>PICO</w:t>
      </w:r>
      <w:r w:rsidRPr="00FE76F9">
        <w:rPr>
          <w:color w:val="000000" w:themeColor="text1"/>
          <w:w w:val="110"/>
          <w:sz w:val="20"/>
          <w:lang w:val="uk-UA"/>
        </w:rPr>
        <w:t xml:space="preserve"> 2). </w:t>
      </w:r>
      <w:r w:rsidRPr="00595828">
        <w:rPr>
          <w:color w:val="000000" w:themeColor="text1"/>
          <w:w w:val="110"/>
          <w:sz w:val="20"/>
          <w:lang w:val="uk-UA"/>
        </w:rPr>
        <w:t>Національна п</w:t>
      </w:r>
      <w:r w:rsidRPr="00FE76F9">
        <w:rPr>
          <w:color w:val="000000" w:themeColor="text1"/>
          <w:w w:val="110"/>
          <w:sz w:val="20"/>
          <w:lang w:val="uk-UA"/>
        </w:rPr>
        <w:t>рактика Т</w:t>
      </w:r>
      <w:r w:rsidRPr="00595828">
        <w:rPr>
          <w:color w:val="000000" w:themeColor="text1"/>
          <w:w w:val="110"/>
          <w:sz w:val="20"/>
          <w:lang w:val="uk-UA"/>
        </w:rPr>
        <w:t>М</w:t>
      </w:r>
      <w:r w:rsidRPr="00FE76F9">
        <w:rPr>
          <w:color w:val="000000" w:themeColor="text1"/>
          <w:w w:val="110"/>
          <w:sz w:val="20"/>
          <w:lang w:val="uk-UA"/>
        </w:rPr>
        <w:t xml:space="preserve">Ч включала </w:t>
      </w:r>
      <w:r w:rsidRPr="00595828">
        <w:rPr>
          <w:color w:val="000000" w:themeColor="text1"/>
          <w:w w:val="110"/>
          <w:sz w:val="20"/>
        </w:rPr>
        <w:t>Xpert</w:t>
      </w:r>
      <w:r w:rsidRPr="00FE76F9">
        <w:rPr>
          <w:color w:val="000000" w:themeColor="text1"/>
          <w:w w:val="110"/>
          <w:sz w:val="20"/>
          <w:lang w:val="uk-UA"/>
        </w:rPr>
        <w:t xml:space="preserve"> </w:t>
      </w:r>
      <w:r w:rsidRPr="00595828">
        <w:rPr>
          <w:color w:val="000000" w:themeColor="text1"/>
          <w:w w:val="110"/>
          <w:sz w:val="20"/>
        </w:rPr>
        <w:t>XDR</w:t>
      </w:r>
      <w:r w:rsidRPr="00FE76F9">
        <w:rPr>
          <w:color w:val="000000" w:themeColor="text1"/>
          <w:w w:val="110"/>
          <w:sz w:val="20"/>
          <w:lang w:val="uk-UA"/>
        </w:rPr>
        <w:t xml:space="preserve"> у поєднанні з </w:t>
      </w:r>
      <w:proofErr w:type="spellStart"/>
      <w:r w:rsidRPr="00FE76F9">
        <w:rPr>
          <w:color w:val="000000" w:themeColor="text1"/>
          <w:w w:val="110"/>
          <w:sz w:val="20"/>
          <w:lang w:val="uk-UA"/>
        </w:rPr>
        <w:t>фенотиповим</w:t>
      </w:r>
      <w:proofErr w:type="spellEnd"/>
      <w:r w:rsidRPr="00FE76F9">
        <w:rPr>
          <w:color w:val="000000" w:themeColor="text1"/>
          <w:w w:val="110"/>
          <w:sz w:val="20"/>
          <w:lang w:val="uk-UA"/>
        </w:rPr>
        <w:t xml:space="preserve"> Т</w:t>
      </w:r>
      <w:r w:rsidRPr="00595828">
        <w:rPr>
          <w:color w:val="000000" w:themeColor="text1"/>
          <w:w w:val="110"/>
          <w:sz w:val="20"/>
          <w:lang w:val="uk-UA"/>
        </w:rPr>
        <w:t>М</w:t>
      </w:r>
      <w:r w:rsidRPr="00FE76F9">
        <w:rPr>
          <w:color w:val="000000" w:themeColor="text1"/>
          <w:w w:val="110"/>
          <w:sz w:val="20"/>
          <w:lang w:val="uk-UA"/>
        </w:rPr>
        <w:t xml:space="preserve">Ч </w:t>
      </w:r>
      <w:r>
        <w:rPr>
          <w:color w:val="000000" w:themeColor="text1"/>
          <w:w w:val="110"/>
          <w:sz w:val="20"/>
          <w:lang w:val="uk-UA"/>
        </w:rPr>
        <w:t>у</w:t>
      </w:r>
      <w:r w:rsidRPr="00FE76F9">
        <w:rPr>
          <w:color w:val="000000" w:themeColor="text1"/>
          <w:w w:val="110"/>
          <w:sz w:val="20"/>
          <w:lang w:val="uk-UA"/>
        </w:rPr>
        <w:t xml:space="preserve"> Грузії та Південній Африці, та </w:t>
      </w:r>
      <w:r w:rsidRPr="00595828">
        <w:rPr>
          <w:color w:val="000000" w:themeColor="text1"/>
          <w:w w:val="110"/>
          <w:sz w:val="20"/>
        </w:rPr>
        <w:t>Xpert</w:t>
      </w:r>
      <w:r w:rsidRPr="00FE76F9">
        <w:rPr>
          <w:color w:val="000000" w:themeColor="text1"/>
          <w:w w:val="110"/>
          <w:sz w:val="20"/>
          <w:lang w:val="uk-UA"/>
        </w:rPr>
        <w:t xml:space="preserve"> </w:t>
      </w:r>
      <w:r w:rsidRPr="00595828">
        <w:rPr>
          <w:color w:val="000000" w:themeColor="text1"/>
          <w:w w:val="110"/>
          <w:sz w:val="20"/>
        </w:rPr>
        <w:t>XDR</w:t>
      </w:r>
      <w:r w:rsidRPr="00FE76F9">
        <w:rPr>
          <w:color w:val="000000" w:themeColor="text1"/>
          <w:w w:val="110"/>
          <w:sz w:val="20"/>
          <w:lang w:val="uk-UA"/>
        </w:rPr>
        <w:t xml:space="preserve"> у поєднанні з </w:t>
      </w:r>
      <w:r w:rsidRPr="00595828">
        <w:rPr>
          <w:color w:val="000000" w:themeColor="text1"/>
          <w:w w:val="110"/>
          <w:sz w:val="20"/>
        </w:rPr>
        <w:t>LPA</w:t>
      </w:r>
      <w:r w:rsidRPr="00FE76F9">
        <w:rPr>
          <w:color w:val="000000" w:themeColor="text1"/>
          <w:w w:val="110"/>
          <w:sz w:val="20"/>
          <w:lang w:val="uk-UA"/>
        </w:rPr>
        <w:t xml:space="preserve"> в Грузії протягом 1</w:t>
      </w:r>
      <w:r w:rsidRPr="00595828">
        <w:rPr>
          <w:color w:val="000000" w:themeColor="text1"/>
          <w:w w:val="110"/>
          <w:sz w:val="20"/>
          <w:lang w:val="uk-UA"/>
        </w:rPr>
        <w:t xml:space="preserve"> року</w:t>
      </w:r>
      <w:r w:rsidRPr="00FE76F9">
        <w:rPr>
          <w:color w:val="000000" w:themeColor="text1"/>
          <w:w w:val="110"/>
          <w:sz w:val="20"/>
          <w:lang w:val="uk-UA"/>
        </w:rPr>
        <w:t xml:space="preserve"> та 5</w:t>
      </w:r>
      <w:r w:rsidRPr="00595828">
        <w:rPr>
          <w:color w:val="000000" w:themeColor="text1"/>
          <w:w w:val="110"/>
          <w:sz w:val="20"/>
          <w:lang w:val="uk-UA"/>
        </w:rPr>
        <w:t xml:space="preserve"> років</w:t>
      </w:r>
      <w:r w:rsidRPr="00FE76F9">
        <w:rPr>
          <w:color w:val="000000" w:themeColor="text1"/>
          <w:w w:val="110"/>
          <w:sz w:val="20"/>
          <w:lang w:val="uk-UA"/>
        </w:rPr>
        <w:t>.</w:t>
      </w:r>
      <w:r w:rsidRPr="00595828">
        <w:rPr>
          <w:color w:val="000000" w:themeColor="text1"/>
          <w:w w:val="110"/>
          <w:sz w:val="20"/>
          <w:lang w:val="uk-UA"/>
        </w:rPr>
        <w:t xml:space="preserve"> </w:t>
      </w:r>
      <w:r>
        <w:rPr>
          <w:color w:val="000000" w:themeColor="text1"/>
          <w:w w:val="110"/>
          <w:sz w:val="20"/>
          <w:lang w:val="uk-UA"/>
        </w:rPr>
        <w:t>Припускалося</w:t>
      </w:r>
      <w:r w:rsidRPr="006B6651">
        <w:rPr>
          <w:color w:val="000000" w:themeColor="text1"/>
          <w:w w:val="110"/>
          <w:sz w:val="20"/>
          <w:lang w:val="uk-UA"/>
        </w:rPr>
        <w:t xml:space="preserve">, що відповідні </w:t>
      </w:r>
      <w:r>
        <w:rPr>
          <w:color w:val="000000" w:themeColor="text1"/>
          <w:w w:val="110"/>
          <w:sz w:val="20"/>
          <w:lang w:val="uk-UA"/>
        </w:rPr>
        <w:t>групи</w:t>
      </w:r>
      <w:r w:rsidRPr="006B6651">
        <w:rPr>
          <w:color w:val="000000" w:themeColor="text1"/>
          <w:w w:val="110"/>
          <w:sz w:val="20"/>
          <w:lang w:val="uk-UA"/>
        </w:rPr>
        <w:t xml:space="preserve"> пацієнтів з Р</w:t>
      </w:r>
      <w:r w:rsidRPr="00595828">
        <w:rPr>
          <w:color w:val="000000" w:themeColor="text1"/>
          <w:w w:val="110"/>
          <w:sz w:val="20"/>
          <w:lang w:val="uk-UA"/>
        </w:rPr>
        <w:t>иф</w:t>
      </w:r>
      <w:r w:rsidRPr="006B6651">
        <w:rPr>
          <w:color w:val="000000" w:themeColor="text1"/>
          <w:w w:val="110"/>
          <w:sz w:val="20"/>
          <w:lang w:val="uk-UA"/>
        </w:rPr>
        <w:t>-ТБ, які потребують Т</w:t>
      </w:r>
      <w:r w:rsidRPr="00595828">
        <w:rPr>
          <w:color w:val="000000" w:themeColor="text1"/>
          <w:w w:val="110"/>
          <w:sz w:val="20"/>
          <w:lang w:val="uk-UA"/>
        </w:rPr>
        <w:t>М</w:t>
      </w:r>
      <w:r w:rsidRPr="006B6651">
        <w:rPr>
          <w:color w:val="000000" w:themeColor="text1"/>
          <w:w w:val="110"/>
          <w:sz w:val="20"/>
          <w:lang w:val="uk-UA"/>
        </w:rPr>
        <w:t>Ч, становили 58 837, 8</w:t>
      </w:r>
      <w:r w:rsidRPr="00595828">
        <w:rPr>
          <w:color w:val="000000" w:themeColor="text1"/>
          <w:w w:val="110"/>
          <w:sz w:val="20"/>
          <w:lang w:val="uk-UA"/>
        </w:rPr>
        <w:t xml:space="preserve"> </w:t>
      </w:r>
      <w:r w:rsidRPr="006B6651">
        <w:rPr>
          <w:color w:val="000000" w:themeColor="text1"/>
          <w:w w:val="110"/>
          <w:sz w:val="20"/>
          <w:lang w:val="uk-UA"/>
        </w:rPr>
        <w:t>200 та 187 осіб у Південній Африці, Індії та Грузії відповідно, і що темпи зниження захворюваності на ТБ протягом 5 років були стабільними</w:t>
      </w:r>
      <w:r w:rsidRPr="006B6651">
        <w:rPr>
          <w:i/>
          <w:color w:val="000000" w:themeColor="text1"/>
          <w:w w:val="110"/>
          <w:sz w:val="20"/>
          <w:lang w:val="uk-UA"/>
        </w:rPr>
        <w:t>(2)</w:t>
      </w:r>
      <w:r w:rsidRPr="006B6651">
        <w:rPr>
          <w:color w:val="000000" w:themeColor="text1"/>
          <w:w w:val="110"/>
          <w:sz w:val="20"/>
          <w:lang w:val="uk-UA"/>
        </w:rPr>
        <w:t xml:space="preserve">. </w:t>
      </w:r>
      <w:r w:rsidRPr="006B6651">
        <w:rPr>
          <w:color w:val="000000" w:themeColor="text1"/>
          <w:w w:val="110"/>
          <w:sz w:val="20"/>
          <w:lang w:val="ru-RU"/>
        </w:rPr>
        <w:t xml:space="preserve">Для </w:t>
      </w:r>
      <w:proofErr w:type="spellStart"/>
      <w:r w:rsidRPr="006B6651">
        <w:rPr>
          <w:color w:val="000000" w:themeColor="text1"/>
          <w:w w:val="110"/>
          <w:sz w:val="20"/>
          <w:lang w:val="ru-RU"/>
        </w:rPr>
        <w:t>оцінки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впливу</w:t>
      </w:r>
      <w:proofErr w:type="spellEnd"/>
      <w:r w:rsidRPr="006B6651">
        <w:rPr>
          <w:color w:val="000000" w:themeColor="text1"/>
          <w:w w:val="110"/>
          <w:sz w:val="20"/>
          <w:lang w:val="ru-RU"/>
        </w:rPr>
        <w:t xml:space="preserve"> на бюджет </w:t>
      </w:r>
      <w:proofErr w:type="spellStart"/>
      <w:r w:rsidRPr="006B6651">
        <w:rPr>
          <w:color w:val="000000" w:themeColor="text1"/>
          <w:w w:val="110"/>
          <w:sz w:val="20"/>
          <w:lang w:val="ru-RU"/>
        </w:rPr>
        <w:t>конкретної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країни</w:t>
      </w:r>
      <w:proofErr w:type="spellEnd"/>
      <w:r w:rsidRPr="006B6651">
        <w:rPr>
          <w:color w:val="000000" w:themeColor="text1"/>
          <w:w w:val="110"/>
          <w:sz w:val="20"/>
          <w:lang w:val="ru-RU"/>
        </w:rPr>
        <w:t xml:space="preserve"> економічні </w:t>
      </w:r>
      <w:proofErr w:type="spellStart"/>
      <w:r w:rsidRPr="006B6651">
        <w:rPr>
          <w:color w:val="000000" w:themeColor="text1"/>
          <w:w w:val="110"/>
          <w:sz w:val="20"/>
          <w:lang w:val="ru-RU"/>
        </w:rPr>
        <w:t>витрати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згенеровані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моделлю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множилися</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кількість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пацієнтів</w:t>
      </w:r>
      <w:proofErr w:type="spellEnd"/>
      <w:r w:rsidRPr="006B6651">
        <w:rPr>
          <w:color w:val="000000" w:themeColor="text1"/>
          <w:w w:val="110"/>
          <w:sz w:val="20"/>
          <w:lang w:val="ru-RU"/>
        </w:rPr>
        <w:t>.</w:t>
      </w:r>
    </w:p>
    <w:p w14:paraId="5285F65E" w14:textId="06271E5B" w:rsidR="00E05B98" w:rsidRPr="003C6DAE" w:rsidRDefault="00FE76F9" w:rsidP="00FE76F9">
      <w:pPr>
        <w:pStyle w:val="a3"/>
        <w:spacing w:before="173" w:line="297" w:lineRule="auto"/>
        <w:ind w:left="567" w:right="4"/>
        <w:jc w:val="both"/>
        <w:rPr>
          <w:lang w:val="uk-UA"/>
        </w:rPr>
      </w:pPr>
      <w:hyperlink w:anchor="_bookmark42" w:history="1">
        <w:proofErr w:type="spellStart"/>
        <w:r w:rsidRPr="006B6651">
          <w:rPr>
            <w:color w:val="000000" w:themeColor="text1"/>
            <w:w w:val="110"/>
            <w:sz w:val="20"/>
            <w:lang w:val="ru-RU"/>
          </w:rPr>
          <w:t>Результати</w:t>
        </w:r>
        <w:proofErr w:type="spellEnd"/>
        <w:r w:rsidRPr="006B6651">
          <w:rPr>
            <w:color w:val="000000" w:themeColor="text1"/>
            <w:w w:val="110"/>
            <w:sz w:val="20"/>
            <w:lang w:val="ru-RU"/>
          </w:rPr>
          <w:t xml:space="preserve"> 1-річної </w:t>
        </w:r>
        <w:proofErr w:type="spellStart"/>
        <w:r w:rsidRPr="006B6651">
          <w:rPr>
            <w:color w:val="000000" w:themeColor="text1"/>
            <w:w w:val="110"/>
            <w:sz w:val="20"/>
            <w:lang w:val="ru-RU"/>
          </w:rPr>
          <w:t>оцінки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впливу</w:t>
        </w:r>
        <w:proofErr w:type="spellEnd"/>
        <w:r w:rsidRPr="006B6651">
          <w:rPr>
            <w:color w:val="000000" w:themeColor="text1"/>
            <w:w w:val="110"/>
            <w:sz w:val="20"/>
            <w:lang w:val="ru-RU"/>
          </w:rPr>
          <w:t xml:space="preserve"> на бюджет для </w:t>
        </w:r>
        <w:r w:rsidRPr="00595828">
          <w:rPr>
            <w:color w:val="000000" w:themeColor="text1"/>
            <w:w w:val="110"/>
            <w:sz w:val="20"/>
          </w:rPr>
          <w:t>PICO</w:t>
        </w:r>
        <w:r w:rsidRPr="006B6651">
          <w:rPr>
            <w:color w:val="000000" w:themeColor="text1"/>
            <w:w w:val="110"/>
            <w:sz w:val="20"/>
            <w:lang w:val="ru-RU"/>
          </w:rPr>
          <w:t xml:space="preserve"> 2 </w:t>
        </w:r>
        <w:proofErr w:type="spellStart"/>
        <w:r w:rsidRPr="006B6651">
          <w:rPr>
            <w:color w:val="000000" w:themeColor="text1"/>
            <w:w w:val="110"/>
            <w:sz w:val="20"/>
            <w:lang w:val="ru-RU"/>
          </w:rPr>
          <w:t>представлені</w:t>
        </w:r>
        <w:proofErr w:type="spellEnd"/>
        <w:r w:rsidRPr="006B6651">
          <w:rPr>
            <w:color w:val="000000" w:themeColor="text1"/>
            <w:w w:val="110"/>
            <w:sz w:val="20"/>
            <w:lang w:val="ru-RU"/>
          </w:rPr>
          <w:t xml:space="preserve"> на </w:t>
        </w:r>
        <w:r w:rsidRPr="006B6651">
          <w:rPr>
            <w:b/>
            <w:color w:val="000000" w:themeColor="text1"/>
            <w:w w:val="110"/>
            <w:sz w:val="20"/>
            <w:lang w:val="ru-RU"/>
          </w:rPr>
          <w:t>Рис. 2.4.5.3</w:t>
        </w:r>
        <w:r w:rsidRPr="006B6651">
          <w:rPr>
            <w:color w:val="000000" w:themeColor="text1"/>
            <w:w w:val="110"/>
            <w:sz w:val="20"/>
            <w:lang w:val="ru-RU"/>
          </w:rPr>
          <w:t>.</w:t>
        </w:r>
        <w:r w:rsidRPr="006B6651">
          <w:rPr>
            <w:b/>
            <w:color w:val="000000" w:themeColor="text1"/>
            <w:w w:val="110"/>
            <w:sz w:val="20"/>
            <w:lang w:val="ru-RU"/>
          </w:rPr>
          <w:t xml:space="preserve"> </w:t>
        </w:r>
      </w:hyperlink>
      <w:r w:rsidRPr="006B6651">
        <w:rPr>
          <w:color w:val="000000" w:themeColor="text1"/>
          <w:w w:val="110"/>
          <w:sz w:val="20"/>
          <w:lang w:val="ru-RU"/>
        </w:rPr>
        <w:t xml:space="preserve"> </w:t>
      </w:r>
      <w:r w:rsidRPr="00595828">
        <w:rPr>
          <w:color w:val="000000" w:themeColor="text1"/>
          <w:w w:val="110"/>
          <w:sz w:val="20"/>
          <w:lang w:val="uk-UA"/>
        </w:rPr>
        <w:t xml:space="preserve">Для </w:t>
      </w:r>
      <w:proofErr w:type="spellStart"/>
      <w:r w:rsidRPr="006B6651">
        <w:rPr>
          <w:color w:val="000000" w:themeColor="text1"/>
          <w:w w:val="110"/>
          <w:sz w:val="20"/>
          <w:lang w:val="ru-RU"/>
        </w:rPr>
        <w:t>Індії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було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розраховано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впровадження</w:t>
      </w:r>
      <w:proofErr w:type="spellEnd"/>
      <w:r w:rsidRPr="006B6651">
        <w:rPr>
          <w:color w:val="000000" w:themeColor="text1"/>
          <w:w w:val="110"/>
          <w:sz w:val="20"/>
          <w:lang w:val="ru-RU"/>
        </w:rPr>
        <w:t xml:space="preserve"> таргетного </w:t>
      </w:r>
      <w:r w:rsidRPr="00595828">
        <w:rPr>
          <w:color w:val="000000" w:themeColor="text1"/>
          <w:w w:val="110"/>
          <w:sz w:val="20"/>
          <w:lang w:val="uk-UA"/>
        </w:rPr>
        <w:t>СНП</w:t>
      </w:r>
      <w:r w:rsidRPr="006B6651">
        <w:rPr>
          <w:color w:val="000000" w:themeColor="text1"/>
          <w:w w:val="110"/>
          <w:sz w:val="20"/>
          <w:lang w:val="ru-RU"/>
        </w:rPr>
        <w:t xml:space="preserve"> </w:t>
      </w:r>
      <w:proofErr w:type="spellStart"/>
      <w:r w:rsidRPr="006B6651">
        <w:rPr>
          <w:color w:val="000000" w:themeColor="text1"/>
          <w:w w:val="110"/>
          <w:sz w:val="20"/>
          <w:lang w:val="ru-RU"/>
        </w:rPr>
        <w:t>коштуватиме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близько</w:t>
      </w:r>
      <w:proofErr w:type="spellEnd"/>
      <w:r w:rsidRPr="006B6651">
        <w:rPr>
          <w:color w:val="000000" w:themeColor="text1"/>
          <w:w w:val="110"/>
          <w:sz w:val="20"/>
          <w:lang w:val="ru-RU"/>
        </w:rPr>
        <w:t xml:space="preserve"> 57 130 727 дол. США – </w:t>
      </w:r>
      <w:proofErr w:type="spellStart"/>
      <w:r w:rsidRPr="006B6651">
        <w:rPr>
          <w:color w:val="000000" w:themeColor="text1"/>
          <w:w w:val="110"/>
          <w:sz w:val="20"/>
          <w:lang w:val="ru-RU"/>
        </w:rPr>
        <w:t>дещо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нижче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ніж</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поточна</w:t>
      </w:r>
      <w:proofErr w:type="spellEnd"/>
      <w:r w:rsidRPr="006B6651">
        <w:rPr>
          <w:color w:val="000000" w:themeColor="text1"/>
          <w:w w:val="110"/>
          <w:sz w:val="20"/>
          <w:lang w:val="ru-RU"/>
        </w:rPr>
        <w:t xml:space="preserve"> практика </w:t>
      </w:r>
      <w:r w:rsidRPr="00595828">
        <w:rPr>
          <w:color w:val="000000" w:themeColor="text1"/>
          <w:w w:val="110"/>
          <w:sz w:val="20"/>
        </w:rPr>
        <w:t>LPA</w:t>
      </w:r>
      <w:r w:rsidRPr="006B6651">
        <w:rPr>
          <w:color w:val="000000" w:themeColor="text1"/>
          <w:w w:val="110"/>
          <w:sz w:val="20"/>
          <w:lang w:val="ru-RU"/>
        </w:rPr>
        <w:t xml:space="preserve"> у </w:t>
      </w:r>
      <w:proofErr w:type="spellStart"/>
      <w:r w:rsidRPr="006B6651">
        <w:rPr>
          <w:color w:val="000000" w:themeColor="text1"/>
          <w:w w:val="110"/>
          <w:sz w:val="20"/>
          <w:lang w:val="ru-RU"/>
        </w:rPr>
        <w:t>поєднанні</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фенотиповим</w:t>
      </w:r>
      <w:proofErr w:type="spellEnd"/>
      <w:r w:rsidRPr="006B6651">
        <w:rPr>
          <w:color w:val="000000" w:themeColor="text1"/>
          <w:w w:val="110"/>
          <w:sz w:val="20"/>
          <w:lang w:val="ru-RU"/>
        </w:rPr>
        <w:t xml:space="preserve"> Т</w:t>
      </w:r>
      <w:r w:rsidRPr="00595828">
        <w:rPr>
          <w:color w:val="000000" w:themeColor="text1"/>
          <w:w w:val="110"/>
          <w:sz w:val="20"/>
          <w:lang w:val="uk-UA"/>
        </w:rPr>
        <w:t>М</w:t>
      </w:r>
      <w:r w:rsidRPr="006B6651">
        <w:rPr>
          <w:color w:val="000000" w:themeColor="text1"/>
          <w:w w:val="110"/>
          <w:sz w:val="20"/>
          <w:lang w:val="ru-RU"/>
        </w:rPr>
        <w:t xml:space="preserve">Ч, </w:t>
      </w:r>
      <w:proofErr w:type="spellStart"/>
      <w:r w:rsidRPr="006B6651">
        <w:rPr>
          <w:color w:val="000000" w:themeColor="text1"/>
          <w:w w:val="110"/>
          <w:sz w:val="20"/>
          <w:lang w:val="ru-RU"/>
        </w:rPr>
        <w:t>вартість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якої</w:t>
      </w:r>
      <w:proofErr w:type="spellEnd"/>
      <w:r w:rsidRPr="006B6651">
        <w:rPr>
          <w:color w:val="000000" w:themeColor="text1"/>
          <w:w w:val="110"/>
          <w:sz w:val="20"/>
          <w:lang w:val="ru-RU"/>
        </w:rPr>
        <w:t xml:space="preserve"> становить 57 719 097 дол. США. </w:t>
      </w:r>
      <w:r w:rsidRPr="00595828">
        <w:rPr>
          <w:color w:val="000000" w:themeColor="text1"/>
          <w:w w:val="110"/>
          <w:sz w:val="20"/>
          <w:lang w:val="uk-UA"/>
        </w:rPr>
        <w:t>Для П</w:t>
      </w:r>
      <w:proofErr w:type="spellStart"/>
      <w:r w:rsidRPr="006B6651">
        <w:rPr>
          <w:color w:val="000000" w:themeColor="text1"/>
          <w:w w:val="110"/>
          <w:sz w:val="20"/>
          <w:lang w:val="ru-RU"/>
        </w:rPr>
        <w:t>івденн</w:t>
      </w:r>
      <w:r w:rsidRPr="00595828">
        <w:rPr>
          <w:color w:val="000000" w:themeColor="text1"/>
          <w:w w:val="110"/>
          <w:sz w:val="20"/>
          <w:lang w:val="uk-UA"/>
        </w:rPr>
        <w:t>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Афри</w:t>
      </w:r>
      <w:r w:rsidRPr="00595828">
        <w:rPr>
          <w:color w:val="000000" w:themeColor="text1"/>
          <w:w w:val="110"/>
          <w:sz w:val="20"/>
          <w:lang w:val="uk-UA"/>
        </w:rPr>
        <w:t>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було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розраховано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впровадження</w:t>
      </w:r>
      <w:proofErr w:type="spellEnd"/>
      <w:r w:rsidRPr="006B6651">
        <w:rPr>
          <w:color w:val="000000" w:themeColor="text1"/>
          <w:w w:val="110"/>
          <w:sz w:val="20"/>
          <w:lang w:val="ru-RU"/>
        </w:rPr>
        <w:t xml:space="preserve"> таргетного </w:t>
      </w:r>
      <w:r w:rsidRPr="00595828">
        <w:rPr>
          <w:color w:val="000000" w:themeColor="text1"/>
          <w:w w:val="110"/>
          <w:sz w:val="20"/>
          <w:lang w:val="uk-UA"/>
        </w:rPr>
        <w:t>СНП</w:t>
      </w:r>
      <w:r w:rsidRPr="006B6651">
        <w:rPr>
          <w:color w:val="000000" w:themeColor="text1"/>
          <w:w w:val="110"/>
          <w:sz w:val="20"/>
          <w:lang w:val="ru-RU"/>
        </w:rPr>
        <w:t xml:space="preserve"> </w:t>
      </w:r>
      <w:proofErr w:type="spellStart"/>
      <w:r w:rsidRPr="006B6651">
        <w:rPr>
          <w:color w:val="000000" w:themeColor="text1"/>
          <w:w w:val="110"/>
          <w:sz w:val="20"/>
          <w:lang w:val="ru-RU"/>
        </w:rPr>
        <w:t>призведе</w:t>
      </w:r>
      <w:proofErr w:type="spellEnd"/>
      <w:r w:rsidRPr="006B6651">
        <w:rPr>
          <w:color w:val="000000" w:themeColor="text1"/>
          <w:w w:val="110"/>
          <w:sz w:val="20"/>
          <w:lang w:val="ru-RU"/>
        </w:rPr>
        <w:t xml:space="preserve"> до </w:t>
      </w:r>
      <w:proofErr w:type="spellStart"/>
      <w:r w:rsidRPr="006B6651">
        <w:rPr>
          <w:color w:val="000000" w:themeColor="text1"/>
          <w:w w:val="110"/>
          <w:sz w:val="20"/>
          <w:lang w:val="ru-RU"/>
        </w:rPr>
        <w:t>збільшення</w:t>
      </w:r>
      <w:proofErr w:type="spellEnd"/>
      <w:r w:rsidRPr="006B6651">
        <w:rPr>
          <w:color w:val="000000" w:themeColor="text1"/>
          <w:w w:val="110"/>
          <w:sz w:val="20"/>
          <w:lang w:val="ru-RU"/>
        </w:rPr>
        <w:t xml:space="preserve"> бюджету </w:t>
      </w:r>
      <w:proofErr w:type="spellStart"/>
      <w:r w:rsidRPr="006B6651">
        <w:rPr>
          <w:color w:val="000000" w:themeColor="text1"/>
          <w:w w:val="110"/>
          <w:sz w:val="20"/>
          <w:lang w:val="ru-RU"/>
        </w:rPr>
        <w:t>приблизно</w:t>
      </w:r>
      <w:proofErr w:type="spellEnd"/>
      <w:r w:rsidRPr="006B6651">
        <w:rPr>
          <w:color w:val="000000" w:themeColor="text1"/>
          <w:w w:val="110"/>
          <w:sz w:val="20"/>
          <w:lang w:val="ru-RU"/>
        </w:rPr>
        <w:t xml:space="preserve"> до 27 888 200 дол. США,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дещо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більше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ніж</w:t>
      </w:r>
      <w:proofErr w:type="spellEnd"/>
      <w:r w:rsidRPr="006B6651">
        <w:rPr>
          <w:color w:val="000000" w:themeColor="text1"/>
          <w:w w:val="110"/>
          <w:sz w:val="20"/>
          <w:lang w:val="ru-RU"/>
        </w:rPr>
        <w:t xml:space="preserve"> </w:t>
      </w:r>
      <w:r w:rsidRPr="00595828">
        <w:rPr>
          <w:color w:val="000000" w:themeColor="text1"/>
          <w:w w:val="110"/>
          <w:sz w:val="20"/>
        </w:rPr>
        <w:t>LPA</w:t>
      </w:r>
      <w:r w:rsidRPr="006B6651">
        <w:rPr>
          <w:color w:val="000000" w:themeColor="text1"/>
          <w:w w:val="110"/>
          <w:sz w:val="20"/>
          <w:lang w:val="ru-RU"/>
        </w:rPr>
        <w:t xml:space="preserve"> у </w:t>
      </w:r>
      <w:proofErr w:type="spellStart"/>
      <w:r w:rsidRPr="006B6651">
        <w:rPr>
          <w:color w:val="000000" w:themeColor="text1"/>
          <w:w w:val="110"/>
          <w:sz w:val="20"/>
          <w:lang w:val="ru-RU"/>
        </w:rPr>
        <w:t>поєднанні</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фенотиповим</w:t>
      </w:r>
      <w:proofErr w:type="spellEnd"/>
      <w:r w:rsidRPr="006B6651">
        <w:rPr>
          <w:color w:val="000000" w:themeColor="text1"/>
          <w:w w:val="110"/>
          <w:sz w:val="20"/>
          <w:lang w:val="ru-RU"/>
        </w:rPr>
        <w:t xml:space="preserve"> Т</w:t>
      </w:r>
      <w:r w:rsidRPr="00595828">
        <w:rPr>
          <w:color w:val="000000" w:themeColor="text1"/>
          <w:w w:val="110"/>
          <w:sz w:val="20"/>
          <w:lang w:val="uk-UA"/>
        </w:rPr>
        <w:t>М</w:t>
      </w:r>
      <w:r w:rsidRPr="006B6651">
        <w:rPr>
          <w:color w:val="000000" w:themeColor="text1"/>
          <w:w w:val="110"/>
          <w:sz w:val="20"/>
          <w:lang w:val="ru-RU"/>
        </w:rPr>
        <w:t xml:space="preserve">Ч, </w:t>
      </w:r>
      <w:proofErr w:type="spellStart"/>
      <w:r w:rsidRPr="006B6651">
        <w:rPr>
          <w:color w:val="000000" w:themeColor="text1"/>
          <w:w w:val="110"/>
          <w:sz w:val="20"/>
          <w:lang w:val="ru-RU"/>
        </w:rPr>
        <w:t>вартість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якого</w:t>
      </w:r>
      <w:proofErr w:type="spellEnd"/>
      <w:r w:rsidRPr="006B6651">
        <w:rPr>
          <w:color w:val="000000" w:themeColor="text1"/>
          <w:w w:val="110"/>
          <w:sz w:val="20"/>
          <w:lang w:val="ru-RU"/>
        </w:rPr>
        <w:t xml:space="preserve"> становить 26 428 600 дол. США.</w:t>
      </w:r>
      <w:r w:rsidRPr="006B6651">
        <w:rPr>
          <w:color w:val="000000" w:themeColor="text1"/>
          <w:spacing w:val="-2"/>
          <w:w w:val="110"/>
          <w:sz w:val="20"/>
          <w:lang w:val="ru-RU"/>
        </w:rPr>
        <w:t xml:space="preserve"> </w:t>
      </w:r>
      <w:r w:rsidRPr="00595828">
        <w:rPr>
          <w:color w:val="000000" w:themeColor="text1"/>
          <w:w w:val="110"/>
          <w:sz w:val="20"/>
          <w:lang w:val="uk-UA"/>
        </w:rPr>
        <w:t>А для</w:t>
      </w:r>
      <w:r w:rsidRPr="006B6651">
        <w:rPr>
          <w:color w:val="000000" w:themeColor="text1"/>
          <w:w w:val="110"/>
          <w:sz w:val="20"/>
          <w:lang w:val="ru-RU"/>
        </w:rPr>
        <w:t xml:space="preserve"> </w:t>
      </w:r>
      <w:proofErr w:type="spellStart"/>
      <w:r w:rsidRPr="006B6651">
        <w:rPr>
          <w:color w:val="000000" w:themeColor="text1"/>
          <w:w w:val="110"/>
          <w:sz w:val="20"/>
          <w:lang w:val="ru-RU"/>
        </w:rPr>
        <w:t>Грузії</w:t>
      </w:r>
      <w:proofErr w:type="spellEnd"/>
      <w:r w:rsidRPr="006B6651">
        <w:rPr>
          <w:color w:val="000000" w:themeColor="text1"/>
          <w:w w:val="110"/>
          <w:sz w:val="20"/>
          <w:lang w:val="ru-RU"/>
        </w:rPr>
        <w:t xml:space="preserve">, де </w:t>
      </w:r>
      <w:proofErr w:type="spellStart"/>
      <w:r w:rsidRPr="006B6651">
        <w:rPr>
          <w:color w:val="000000" w:themeColor="text1"/>
          <w:w w:val="110"/>
          <w:sz w:val="20"/>
          <w:lang w:val="ru-RU"/>
        </w:rPr>
        <w:t>менше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пацієнтів</w:t>
      </w:r>
      <w:proofErr w:type="spellEnd"/>
      <w:r w:rsidRPr="006B6651">
        <w:rPr>
          <w:color w:val="000000" w:themeColor="text1"/>
          <w:w w:val="110"/>
          <w:sz w:val="20"/>
          <w:lang w:val="ru-RU"/>
        </w:rPr>
        <w:t xml:space="preserve"> з бактеріологічно </w:t>
      </w:r>
      <w:proofErr w:type="spellStart"/>
      <w:r w:rsidRPr="006B6651">
        <w:rPr>
          <w:color w:val="000000" w:themeColor="text1"/>
          <w:w w:val="110"/>
          <w:sz w:val="20"/>
          <w:lang w:val="ru-RU"/>
        </w:rPr>
        <w:t>підтвердженим</w:t>
      </w:r>
      <w:proofErr w:type="spellEnd"/>
      <w:r w:rsidRPr="006B6651">
        <w:rPr>
          <w:color w:val="000000" w:themeColor="text1"/>
          <w:w w:val="110"/>
          <w:sz w:val="20"/>
          <w:lang w:val="ru-RU"/>
        </w:rPr>
        <w:t xml:space="preserve"> ТБ, </w:t>
      </w:r>
      <w:proofErr w:type="spellStart"/>
      <w:r w:rsidRPr="006B6651">
        <w:rPr>
          <w:color w:val="000000" w:themeColor="text1"/>
          <w:w w:val="110"/>
          <w:sz w:val="20"/>
          <w:lang w:val="ru-RU"/>
        </w:rPr>
        <w:t>було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розраховано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впровадження</w:t>
      </w:r>
      <w:proofErr w:type="spellEnd"/>
      <w:r w:rsidRPr="006B6651">
        <w:rPr>
          <w:color w:val="000000" w:themeColor="text1"/>
          <w:w w:val="110"/>
          <w:sz w:val="20"/>
          <w:lang w:val="ru-RU"/>
        </w:rPr>
        <w:t xml:space="preserve"> таргетного </w:t>
      </w:r>
      <w:r w:rsidRPr="00595828">
        <w:rPr>
          <w:color w:val="000000" w:themeColor="text1"/>
          <w:w w:val="110"/>
          <w:sz w:val="20"/>
          <w:lang w:val="uk-UA"/>
        </w:rPr>
        <w:t>СНП</w:t>
      </w:r>
      <w:r w:rsidRPr="006B6651">
        <w:rPr>
          <w:color w:val="000000" w:themeColor="text1"/>
          <w:w w:val="110"/>
          <w:sz w:val="20"/>
          <w:lang w:val="ru-RU"/>
        </w:rPr>
        <w:t xml:space="preserve"> </w:t>
      </w:r>
      <w:proofErr w:type="spellStart"/>
      <w:r w:rsidRPr="006B6651">
        <w:rPr>
          <w:color w:val="000000" w:themeColor="text1"/>
          <w:w w:val="110"/>
          <w:sz w:val="20"/>
          <w:lang w:val="ru-RU"/>
        </w:rPr>
        <w:t>коштуватиме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близько</w:t>
      </w:r>
      <w:proofErr w:type="spellEnd"/>
      <w:r w:rsidRPr="006B6651">
        <w:rPr>
          <w:color w:val="000000" w:themeColor="text1"/>
          <w:w w:val="110"/>
          <w:sz w:val="20"/>
          <w:lang w:val="ru-RU"/>
        </w:rPr>
        <w:t xml:space="preserve"> 592 221 дол. США,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дещо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більше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ніж</w:t>
      </w:r>
      <w:proofErr w:type="spellEnd"/>
      <w:r w:rsidRPr="006B6651">
        <w:rPr>
          <w:color w:val="000000" w:themeColor="text1"/>
          <w:w w:val="110"/>
          <w:sz w:val="20"/>
          <w:lang w:val="ru-RU"/>
        </w:rPr>
        <w:t xml:space="preserve"> </w:t>
      </w:r>
      <w:r w:rsidRPr="00595828">
        <w:rPr>
          <w:color w:val="000000" w:themeColor="text1"/>
          <w:w w:val="110"/>
          <w:sz w:val="20"/>
        </w:rPr>
        <w:t>LPA</w:t>
      </w:r>
      <w:r w:rsidRPr="006B6651">
        <w:rPr>
          <w:color w:val="000000" w:themeColor="text1"/>
          <w:w w:val="110"/>
          <w:sz w:val="20"/>
          <w:lang w:val="ru-RU"/>
        </w:rPr>
        <w:t xml:space="preserve"> у </w:t>
      </w:r>
      <w:proofErr w:type="spellStart"/>
      <w:r w:rsidRPr="006B6651">
        <w:rPr>
          <w:color w:val="000000" w:themeColor="text1"/>
          <w:w w:val="110"/>
          <w:sz w:val="20"/>
          <w:lang w:val="ru-RU"/>
        </w:rPr>
        <w:t>поєднанні</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фенотиповим</w:t>
      </w:r>
      <w:proofErr w:type="spellEnd"/>
      <w:r w:rsidRPr="006B6651">
        <w:rPr>
          <w:color w:val="000000" w:themeColor="text1"/>
          <w:w w:val="110"/>
          <w:sz w:val="20"/>
          <w:lang w:val="ru-RU"/>
        </w:rPr>
        <w:t xml:space="preserve"> Т</w:t>
      </w:r>
      <w:r w:rsidRPr="00595828">
        <w:rPr>
          <w:color w:val="000000" w:themeColor="text1"/>
          <w:w w:val="110"/>
          <w:sz w:val="20"/>
          <w:lang w:val="uk-UA"/>
        </w:rPr>
        <w:t>М</w:t>
      </w:r>
      <w:r w:rsidRPr="006B6651">
        <w:rPr>
          <w:color w:val="000000" w:themeColor="text1"/>
          <w:w w:val="110"/>
          <w:sz w:val="20"/>
          <w:lang w:val="ru-RU"/>
        </w:rPr>
        <w:t xml:space="preserve">Ч, </w:t>
      </w:r>
      <w:proofErr w:type="spellStart"/>
      <w:r w:rsidRPr="006B6651">
        <w:rPr>
          <w:color w:val="000000" w:themeColor="text1"/>
          <w:w w:val="110"/>
          <w:sz w:val="20"/>
          <w:lang w:val="ru-RU"/>
        </w:rPr>
        <w:t>вартість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якого</w:t>
      </w:r>
      <w:proofErr w:type="spellEnd"/>
      <w:r w:rsidRPr="006B6651">
        <w:rPr>
          <w:color w:val="000000" w:themeColor="text1"/>
          <w:w w:val="110"/>
          <w:sz w:val="20"/>
          <w:lang w:val="ru-RU"/>
        </w:rPr>
        <w:t xml:space="preserve"> становить 568 480 дол. США.</w:t>
      </w:r>
    </w:p>
    <w:p w14:paraId="78496656" w14:textId="77777777" w:rsidR="00E05B98" w:rsidRPr="003C6DAE" w:rsidRDefault="00E05B98">
      <w:pPr>
        <w:pStyle w:val="a3"/>
        <w:spacing w:line="297" w:lineRule="auto"/>
        <w:jc w:val="both"/>
        <w:rPr>
          <w:lang w:val="uk-UA"/>
        </w:rPr>
        <w:sectPr w:rsidR="00E05B98" w:rsidRPr="003C6DAE">
          <w:type w:val="continuous"/>
          <w:pgSz w:w="11910" w:h="16840"/>
          <w:pgMar w:top="1920" w:right="1275" w:bottom="280" w:left="850" w:header="0" w:footer="573" w:gutter="0"/>
          <w:cols w:space="720"/>
        </w:sectPr>
      </w:pPr>
    </w:p>
    <w:p w14:paraId="132EAF20" w14:textId="77777777" w:rsidR="00FE76F9" w:rsidRDefault="00FE76F9" w:rsidP="00FE76F9">
      <w:pPr>
        <w:pStyle w:val="6"/>
        <w:spacing w:before="83" w:line="244" w:lineRule="auto"/>
        <w:ind w:right="4"/>
        <w:jc w:val="both"/>
        <w:rPr>
          <w:rFonts w:ascii="Microsoft Sans Serif" w:hAnsi="Microsoft Sans Serif" w:cs="Microsoft Sans Serif"/>
          <w:color w:val="636466"/>
          <w:w w:val="115"/>
          <w:lang w:val="uk-UA"/>
        </w:rPr>
      </w:pPr>
      <w:bookmarkStart w:id="91" w:name="_bookmark42"/>
      <w:bookmarkEnd w:id="91"/>
      <w:r w:rsidRPr="00FE76F9">
        <w:rPr>
          <w:rFonts w:ascii="Microsoft Sans Serif" w:hAnsi="Microsoft Sans Serif" w:cs="Microsoft Sans Serif"/>
          <w:color w:val="636466"/>
          <w:w w:val="115"/>
          <w:lang w:val="uk-UA"/>
        </w:rPr>
        <w:lastRenderedPageBreak/>
        <w:t>Рис. 2.4.5.3 Результати оцінки впливу на бюджет</w:t>
      </w:r>
      <w:r>
        <w:rPr>
          <w:rFonts w:ascii="Microsoft Sans Serif" w:hAnsi="Microsoft Sans Serif" w:cs="Microsoft Sans Serif"/>
          <w:color w:val="636466"/>
          <w:w w:val="115"/>
          <w:lang w:val="uk-UA"/>
        </w:rPr>
        <w:t xml:space="preserve">, </w:t>
      </w:r>
      <w:r w:rsidRPr="00FE76F9">
        <w:rPr>
          <w:rFonts w:ascii="Microsoft Sans Serif" w:hAnsi="Microsoft Sans Serif" w:cs="Microsoft Sans Serif"/>
          <w:color w:val="636466"/>
          <w:w w:val="115"/>
          <w:lang w:val="uk-UA"/>
        </w:rPr>
        <w:t>порівнянн</w:t>
      </w:r>
      <w:r>
        <w:rPr>
          <w:rFonts w:ascii="Microsoft Sans Serif" w:hAnsi="Microsoft Sans Serif" w:cs="Microsoft Sans Serif"/>
          <w:color w:val="636466"/>
          <w:w w:val="115"/>
          <w:lang w:val="uk-UA"/>
        </w:rPr>
        <w:t>я</w:t>
      </w:r>
      <w:r w:rsidRPr="00FE76F9">
        <w:rPr>
          <w:rFonts w:ascii="Microsoft Sans Serif" w:hAnsi="Microsoft Sans Serif" w:cs="Microsoft Sans Serif"/>
          <w:color w:val="636466"/>
          <w:w w:val="115"/>
          <w:lang w:val="uk-UA"/>
        </w:rPr>
        <w:t xml:space="preserve"> поточної стандартної практики </w:t>
      </w:r>
      <w:r>
        <w:rPr>
          <w:rFonts w:ascii="Microsoft Sans Serif" w:hAnsi="Microsoft Sans Serif" w:cs="Microsoft Sans Serif"/>
          <w:color w:val="636466"/>
          <w:w w:val="115"/>
          <w:lang w:val="uk-UA"/>
        </w:rPr>
        <w:t>ТМЧ</w:t>
      </w:r>
      <w:r w:rsidRPr="00FE76F9">
        <w:rPr>
          <w:rFonts w:ascii="Microsoft Sans Serif" w:hAnsi="Microsoft Sans Serif" w:cs="Microsoft Sans Serif"/>
          <w:color w:val="636466"/>
          <w:w w:val="115"/>
          <w:lang w:val="uk-UA"/>
        </w:rPr>
        <w:t xml:space="preserve"> із впровадженням </w:t>
      </w:r>
      <w:r>
        <w:rPr>
          <w:rFonts w:ascii="Microsoft Sans Serif" w:hAnsi="Microsoft Sans Serif" w:cs="Microsoft Sans Serif"/>
          <w:color w:val="636466"/>
          <w:w w:val="115"/>
          <w:lang w:val="uk-UA"/>
        </w:rPr>
        <w:t>таргетного СНП</w:t>
      </w:r>
      <w:r w:rsidRPr="00FE76F9">
        <w:rPr>
          <w:rFonts w:ascii="Microsoft Sans Serif" w:hAnsi="Microsoft Sans Serif" w:cs="Microsoft Sans Serif"/>
          <w:color w:val="636466"/>
          <w:w w:val="115"/>
          <w:lang w:val="uk-UA"/>
        </w:rPr>
        <w:t xml:space="preserve"> для пацієнтів з Р</w:t>
      </w:r>
      <w:r>
        <w:rPr>
          <w:rFonts w:ascii="Microsoft Sans Serif" w:hAnsi="Microsoft Sans Serif" w:cs="Microsoft Sans Serif"/>
          <w:color w:val="636466"/>
          <w:w w:val="115"/>
          <w:lang w:val="uk-UA"/>
        </w:rPr>
        <w:t>иф-</w:t>
      </w:r>
      <w:r w:rsidRPr="00FE76F9">
        <w:rPr>
          <w:rFonts w:ascii="Microsoft Sans Serif" w:hAnsi="Microsoft Sans Serif" w:cs="Microsoft Sans Serif"/>
          <w:color w:val="636466"/>
          <w:w w:val="115"/>
          <w:lang w:val="uk-UA"/>
        </w:rPr>
        <w:t>ТБ в Індії, Південній Африці та Грузії</w:t>
      </w:r>
      <w:r>
        <w:rPr>
          <w:rFonts w:ascii="Microsoft Sans Serif" w:hAnsi="Microsoft Sans Serif" w:cs="Microsoft Sans Serif"/>
          <w:color w:val="636466"/>
          <w:w w:val="115"/>
          <w:lang w:val="uk-UA"/>
        </w:rPr>
        <w:t xml:space="preserve"> </w:t>
      </w:r>
    </w:p>
    <w:p w14:paraId="01011507" w14:textId="77777777" w:rsidR="00FE76F9" w:rsidRPr="006C14FD" w:rsidRDefault="00FE76F9" w:rsidP="00FE76F9">
      <w:pPr>
        <w:pStyle w:val="6"/>
        <w:spacing w:before="83" w:line="244" w:lineRule="auto"/>
        <w:ind w:right="1330"/>
        <w:rPr>
          <w:rFonts w:ascii="Microsoft Sans Serif" w:hAnsi="Microsoft Sans Serif" w:cs="Microsoft Sans Serif"/>
          <w:color w:val="636466"/>
          <w:w w:val="115"/>
          <w:lang w:val="uk-UA"/>
        </w:rPr>
      </w:pPr>
      <w:r w:rsidRPr="006C14FD">
        <w:rPr>
          <w:rFonts w:ascii="Microsoft Sans Serif" w:hAnsi="Microsoft Sans Serif" w:cs="Microsoft Sans Serif"/>
          <w:noProof/>
          <w:color w:val="636466"/>
          <w:w w:val="115"/>
          <w:lang w:val="uk-UA"/>
        </w:rPr>
        <w:drawing>
          <wp:inline distT="0" distB="0" distL="0" distR="0" wp14:anchorId="74B37EE0" wp14:editId="251752C9">
            <wp:extent cx="5452276" cy="2688063"/>
            <wp:effectExtent l="0" t="0" r="0" b="0"/>
            <wp:docPr id="26401437" name="Рисунок 2640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465763" cy="2694712"/>
                    </a:xfrm>
                    <a:prstGeom prst="rect">
                      <a:avLst/>
                    </a:prstGeom>
                  </pic:spPr>
                </pic:pic>
              </a:graphicData>
            </a:graphic>
          </wp:inline>
        </w:drawing>
      </w:r>
    </w:p>
    <w:p w14:paraId="21905C13" w14:textId="77777777" w:rsidR="00FE76F9" w:rsidRPr="006B6651" w:rsidRDefault="00FE76F9" w:rsidP="00FE76F9">
      <w:pPr>
        <w:spacing w:before="104" w:line="235" w:lineRule="auto"/>
        <w:ind w:left="567" w:right="146"/>
        <w:jc w:val="both"/>
        <w:rPr>
          <w:color w:val="000000" w:themeColor="text1"/>
          <w:sz w:val="18"/>
          <w:lang w:val="uk-UA"/>
        </w:rPr>
      </w:pPr>
      <w:r w:rsidRPr="00595828">
        <w:rPr>
          <w:color w:val="000000" w:themeColor="text1"/>
          <w:w w:val="110"/>
          <w:sz w:val="18"/>
          <w:lang w:val="uk-UA"/>
        </w:rPr>
        <w:t>ТМЧ – тест на медикаментозну чутливість</w:t>
      </w:r>
      <w:r w:rsidRPr="006B6651">
        <w:rPr>
          <w:color w:val="000000" w:themeColor="text1"/>
          <w:w w:val="110"/>
          <w:sz w:val="18"/>
          <w:lang w:val="uk-UA"/>
        </w:rPr>
        <w:t xml:space="preserve">; </w:t>
      </w:r>
      <w:r w:rsidRPr="00595828">
        <w:rPr>
          <w:color w:val="000000" w:themeColor="text1"/>
          <w:w w:val="110"/>
          <w:sz w:val="18"/>
        </w:rPr>
        <w:t>LPA</w:t>
      </w:r>
      <w:r w:rsidRPr="00595828">
        <w:rPr>
          <w:color w:val="000000" w:themeColor="text1"/>
          <w:w w:val="110"/>
          <w:sz w:val="18"/>
          <w:lang w:val="uk-UA"/>
        </w:rPr>
        <w:t xml:space="preserve"> – лінійний зонд-аналіз</w:t>
      </w:r>
      <w:r w:rsidRPr="006B6651">
        <w:rPr>
          <w:color w:val="000000" w:themeColor="text1"/>
          <w:w w:val="110"/>
          <w:sz w:val="18"/>
          <w:lang w:val="uk-UA"/>
        </w:rPr>
        <w:t xml:space="preserve">; </w:t>
      </w:r>
      <w:r w:rsidRPr="00595828">
        <w:rPr>
          <w:color w:val="000000" w:themeColor="text1"/>
          <w:w w:val="110"/>
          <w:sz w:val="18"/>
          <w:lang w:val="uk-UA"/>
        </w:rPr>
        <w:t xml:space="preserve">СНП – секвенування </w:t>
      </w:r>
      <w:r w:rsidRPr="00896CB1">
        <w:rPr>
          <w:color w:val="000000" w:themeColor="text1"/>
          <w:w w:val="110"/>
          <w:sz w:val="18"/>
          <w:lang w:val="uk-UA"/>
        </w:rPr>
        <w:t>наступного</w:t>
      </w:r>
      <w:r w:rsidRPr="00595828">
        <w:rPr>
          <w:color w:val="000000" w:themeColor="text1"/>
          <w:w w:val="110"/>
          <w:sz w:val="18"/>
          <w:lang w:val="uk-UA"/>
        </w:rPr>
        <w:t xml:space="preserve"> покоління</w:t>
      </w:r>
      <w:r w:rsidRPr="006B6651">
        <w:rPr>
          <w:color w:val="000000" w:themeColor="text1"/>
          <w:w w:val="110"/>
          <w:sz w:val="18"/>
          <w:lang w:val="uk-UA"/>
        </w:rPr>
        <w:t xml:space="preserve">; </w:t>
      </w:r>
      <w:proofErr w:type="spellStart"/>
      <w:r w:rsidRPr="00595828">
        <w:rPr>
          <w:color w:val="000000" w:themeColor="text1"/>
          <w:w w:val="110"/>
          <w:sz w:val="18"/>
          <w:lang w:val="uk-UA"/>
        </w:rPr>
        <w:t>фТМЧ</w:t>
      </w:r>
      <w:proofErr w:type="spellEnd"/>
      <w:r w:rsidRPr="00595828">
        <w:rPr>
          <w:color w:val="000000" w:themeColor="text1"/>
          <w:w w:val="110"/>
          <w:sz w:val="18"/>
          <w:lang w:val="uk-UA"/>
        </w:rPr>
        <w:t xml:space="preserve"> – </w:t>
      </w:r>
      <w:proofErr w:type="spellStart"/>
      <w:r w:rsidRPr="00595828">
        <w:rPr>
          <w:color w:val="000000" w:themeColor="text1"/>
          <w:w w:val="110"/>
          <w:sz w:val="18"/>
          <w:lang w:val="uk-UA"/>
        </w:rPr>
        <w:t>фенотиповий</w:t>
      </w:r>
      <w:proofErr w:type="spellEnd"/>
      <w:r w:rsidRPr="00595828">
        <w:rPr>
          <w:color w:val="000000" w:themeColor="text1"/>
          <w:w w:val="110"/>
          <w:sz w:val="18"/>
          <w:lang w:val="uk-UA"/>
        </w:rPr>
        <w:t xml:space="preserve"> ТМЧ</w:t>
      </w:r>
      <w:r w:rsidRPr="006B6651">
        <w:rPr>
          <w:color w:val="000000" w:themeColor="text1"/>
          <w:w w:val="110"/>
          <w:sz w:val="18"/>
          <w:lang w:val="uk-UA"/>
        </w:rPr>
        <w:t xml:space="preserve">; </w:t>
      </w:r>
      <w:r w:rsidRPr="00595828">
        <w:rPr>
          <w:color w:val="000000" w:themeColor="text1"/>
          <w:w w:val="110"/>
          <w:sz w:val="18"/>
          <w:lang w:val="uk-UA"/>
        </w:rPr>
        <w:t>Риф-ТБ – ТБ стійкий до рифампіцину</w:t>
      </w:r>
      <w:r w:rsidRPr="006B6651">
        <w:rPr>
          <w:color w:val="000000" w:themeColor="text1"/>
          <w:w w:val="110"/>
          <w:sz w:val="18"/>
          <w:lang w:val="uk-UA"/>
        </w:rPr>
        <w:t xml:space="preserve">; </w:t>
      </w:r>
      <w:r w:rsidRPr="00595828">
        <w:rPr>
          <w:color w:val="000000" w:themeColor="text1"/>
          <w:w w:val="110"/>
          <w:sz w:val="18"/>
          <w:lang w:val="uk-UA"/>
        </w:rPr>
        <w:t>ТБ - туберкульоз</w:t>
      </w:r>
      <w:r w:rsidRPr="006B6651">
        <w:rPr>
          <w:color w:val="000000" w:themeColor="text1"/>
          <w:w w:val="110"/>
          <w:sz w:val="18"/>
          <w:lang w:val="uk-UA"/>
        </w:rPr>
        <w:t xml:space="preserve">; </w:t>
      </w:r>
      <w:proofErr w:type="spellStart"/>
      <w:r w:rsidRPr="00595828">
        <w:rPr>
          <w:color w:val="000000" w:themeColor="text1"/>
          <w:w w:val="110"/>
          <w:sz w:val="18"/>
          <w:lang w:val="uk-UA"/>
        </w:rPr>
        <w:t>тСНП</w:t>
      </w:r>
      <w:proofErr w:type="spellEnd"/>
      <w:r w:rsidRPr="00595828">
        <w:rPr>
          <w:color w:val="000000" w:themeColor="text1"/>
          <w:w w:val="110"/>
          <w:sz w:val="18"/>
          <w:lang w:val="uk-UA"/>
        </w:rPr>
        <w:t xml:space="preserve"> – таргетне секвенування наступного покоління</w:t>
      </w:r>
      <w:r w:rsidRPr="006B6651">
        <w:rPr>
          <w:color w:val="000000" w:themeColor="text1"/>
          <w:w w:val="110"/>
          <w:sz w:val="18"/>
          <w:lang w:val="uk-UA"/>
        </w:rPr>
        <w:t>.</w:t>
      </w:r>
    </w:p>
    <w:p w14:paraId="3A291707" w14:textId="77777777" w:rsidR="00FE76F9" w:rsidRPr="006B6651" w:rsidRDefault="00FE76F9" w:rsidP="00FE76F9">
      <w:pPr>
        <w:pStyle w:val="a3"/>
        <w:spacing w:before="6"/>
        <w:rPr>
          <w:sz w:val="28"/>
          <w:lang w:val="uk-UA"/>
        </w:rPr>
      </w:pPr>
    </w:p>
    <w:p w14:paraId="55652984" w14:textId="77777777" w:rsidR="00FE76F9" w:rsidRPr="006B6651" w:rsidRDefault="00FE76F9" w:rsidP="00FE76F9">
      <w:pPr>
        <w:pStyle w:val="5"/>
        <w:jc w:val="both"/>
        <w:rPr>
          <w:lang w:val="uk-UA"/>
        </w:rPr>
      </w:pPr>
      <w:r w:rsidRPr="006B6651">
        <w:rPr>
          <w:color w:val="019648"/>
          <w:lang w:val="uk-UA"/>
        </w:rPr>
        <w:t>Точка зору користувачів</w:t>
      </w:r>
    </w:p>
    <w:p w14:paraId="24F69781" w14:textId="77777777" w:rsidR="00FE76F9" w:rsidRPr="006B6651" w:rsidRDefault="00FE76F9" w:rsidP="00FE76F9">
      <w:pPr>
        <w:pStyle w:val="a3"/>
        <w:tabs>
          <w:tab w:val="left" w:pos="8789"/>
          <w:tab w:val="left" w:pos="8931"/>
        </w:tabs>
        <w:spacing w:before="209" w:line="276" w:lineRule="auto"/>
        <w:ind w:left="567" w:right="2"/>
        <w:jc w:val="both"/>
        <w:rPr>
          <w:color w:val="000000" w:themeColor="text1"/>
          <w:w w:val="110"/>
          <w:sz w:val="20"/>
          <w:lang w:val="ru-RU"/>
        </w:rPr>
      </w:pPr>
      <w:r w:rsidRPr="006B6651">
        <w:rPr>
          <w:color w:val="000000" w:themeColor="text1"/>
          <w:sz w:val="20"/>
          <w:lang w:val="uk-UA"/>
        </w:rPr>
        <w:t xml:space="preserve">Було замовлено </w:t>
      </w:r>
      <w:r w:rsidRPr="007346BD">
        <w:rPr>
          <w:color w:val="000000" w:themeColor="text1"/>
          <w:sz w:val="20"/>
          <w:lang w:val="uk-UA"/>
        </w:rPr>
        <w:t xml:space="preserve">швидкий </w:t>
      </w:r>
      <w:r w:rsidRPr="006B6651">
        <w:rPr>
          <w:color w:val="000000" w:themeColor="text1"/>
          <w:sz w:val="20"/>
          <w:lang w:val="uk-UA"/>
        </w:rPr>
        <w:t xml:space="preserve">огляд із метою виявлення та узагальнення якісних даних щодо використання таргетного СНП для виявлення </w:t>
      </w:r>
      <w:r w:rsidRPr="007346BD">
        <w:rPr>
          <w:color w:val="000000" w:themeColor="text1"/>
          <w:sz w:val="20"/>
          <w:lang w:val="uk-UA"/>
        </w:rPr>
        <w:t>лікарської</w:t>
      </w:r>
      <w:r w:rsidRPr="006B6651">
        <w:rPr>
          <w:color w:val="000000" w:themeColor="text1"/>
          <w:sz w:val="20"/>
          <w:lang w:val="uk-UA"/>
        </w:rPr>
        <w:t xml:space="preserve"> стійкості ТБ</w:t>
      </w:r>
      <w:r>
        <w:rPr>
          <w:color w:val="000000" w:themeColor="text1"/>
          <w:sz w:val="20"/>
          <w:lang w:val="uk-UA"/>
        </w:rPr>
        <w:t>. З</w:t>
      </w:r>
      <w:r w:rsidRPr="006B6651">
        <w:rPr>
          <w:color w:val="000000" w:themeColor="text1"/>
          <w:sz w:val="20"/>
          <w:lang w:val="uk-UA"/>
        </w:rPr>
        <w:t xml:space="preserve">окрема, метою було дослідити аспекти впровадження, пов’язані з прийнятністю, </w:t>
      </w:r>
      <w:r w:rsidRPr="007346BD">
        <w:rPr>
          <w:color w:val="000000" w:themeColor="text1"/>
          <w:sz w:val="20"/>
          <w:lang w:val="uk-UA"/>
        </w:rPr>
        <w:t>можливістю реалізації</w:t>
      </w:r>
      <w:r w:rsidRPr="006B6651">
        <w:rPr>
          <w:color w:val="000000" w:themeColor="text1"/>
          <w:sz w:val="20"/>
          <w:lang w:val="uk-UA"/>
        </w:rPr>
        <w:t xml:space="preserve">, цінностями, уподобаннями та справедливістю. </w:t>
      </w:r>
      <w:proofErr w:type="spellStart"/>
      <w:r w:rsidRPr="006B6651">
        <w:rPr>
          <w:color w:val="000000" w:themeColor="text1"/>
          <w:w w:val="110"/>
          <w:sz w:val="20"/>
          <w:lang w:val="ru-RU"/>
        </w:rPr>
        <w:t>Огляд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проводився</w:t>
      </w:r>
      <w:proofErr w:type="spellEnd"/>
      <w:r w:rsidRPr="006B6651">
        <w:rPr>
          <w:color w:val="000000" w:themeColor="text1"/>
          <w:w w:val="110"/>
          <w:sz w:val="20"/>
          <w:lang w:val="ru-RU"/>
        </w:rPr>
        <w:t xml:space="preserve"> в </w:t>
      </w:r>
      <w:proofErr w:type="spellStart"/>
      <w:r w:rsidRPr="006B6651">
        <w:rPr>
          <w:color w:val="000000" w:themeColor="text1"/>
          <w:w w:val="110"/>
          <w:sz w:val="20"/>
          <w:lang w:val="ru-RU"/>
        </w:rPr>
        <w:t>базі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 xml:space="preserve"> </w:t>
      </w:r>
      <w:r w:rsidRPr="007346BD">
        <w:rPr>
          <w:color w:val="000000" w:themeColor="text1"/>
          <w:w w:val="110"/>
          <w:sz w:val="20"/>
        </w:rPr>
        <w:t>Medline</w:t>
      </w:r>
      <w:r w:rsidRPr="006B6651">
        <w:rPr>
          <w:color w:val="000000" w:themeColor="text1"/>
          <w:w w:val="110"/>
          <w:sz w:val="20"/>
          <w:lang w:val="ru-RU"/>
        </w:rPr>
        <w:t xml:space="preserve"> без </w:t>
      </w:r>
      <w:proofErr w:type="spellStart"/>
      <w:r w:rsidRPr="006B6651">
        <w:rPr>
          <w:color w:val="000000" w:themeColor="text1"/>
          <w:w w:val="110"/>
          <w:sz w:val="20"/>
          <w:lang w:val="ru-RU"/>
        </w:rPr>
        <w:t>обмежень</w:t>
      </w:r>
      <w:proofErr w:type="spellEnd"/>
      <w:r w:rsidRPr="006B6651">
        <w:rPr>
          <w:color w:val="000000" w:themeColor="text1"/>
          <w:w w:val="110"/>
          <w:sz w:val="20"/>
          <w:lang w:val="ru-RU"/>
        </w:rPr>
        <w:t xml:space="preserve"> за роком </w:t>
      </w:r>
      <w:proofErr w:type="spellStart"/>
      <w:r w:rsidRPr="006B6651">
        <w:rPr>
          <w:color w:val="000000" w:themeColor="text1"/>
          <w:w w:val="110"/>
          <w:sz w:val="20"/>
          <w:lang w:val="ru-RU"/>
        </w:rPr>
        <w:t>чи</w:t>
      </w:r>
      <w:proofErr w:type="spellEnd"/>
      <w:r w:rsidRPr="006B6651">
        <w:rPr>
          <w:color w:val="000000" w:themeColor="text1"/>
          <w:w w:val="110"/>
          <w:sz w:val="20"/>
          <w:lang w:val="ru-RU"/>
        </w:rPr>
        <w:t xml:space="preserve"> мовою. </w:t>
      </w:r>
      <w:r w:rsidRPr="006B6651">
        <w:rPr>
          <w:color w:val="000000" w:themeColor="text1"/>
          <w:sz w:val="20"/>
          <w:lang w:val="ru-RU"/>
        </w:rPr>
        <w:t xml:space="preserve">Перший </w:t>
      </w:r>
      <w:proofErr w:type="spellStart"/>
      <w:r w:rsidRPr="006B6651">
        <w:rPr>
          <w:color w:val="000000" w:themeColor="text1"/>
          <w:sz w:val="20"/>
          <w:lang w:val="ru-RU"/>
        </w:rPr>
        <w:t>пошук</w:t>
      </w:r>
      <w:proofErr w:type="spellEnd"/>
      <w:r w:rsidRPr="006B6651">
        <w:rPr>
          <w:color w:val="000000" w:themeColor="text1"/>
          <w:sz w:val="20"/>
          <w:lang w:val="ru-RU"/>
        </w:rPr>
        <w:t xml:space="preserve"> </w:t>
      </w:r>
      <w:proofErr w:type="spellStart"/>
      <w:r w:rsidRPr="006B6651">
        <w:rPr>
          <w:color w:val="000000" w:themeColor="text1"/>
          <w:sz w:val="20"/>
          <w:lang w:val="ru-RU"/>
        </w:rPr>
        <w:t>був</w:t>
      </w:r>
      <w:proofErr w:type="spellEnd"/>
      <w:r w:rsidRPr="006B6651">
        <w:rPr>
          <w:color w:val="000000" w:themeColor="text1"/>
          <w:sz w:val="20"/>
          <w:lang w:val="ru-RU"/>
        </w:rPr>
        <w:t xml:space="preserve"> </w:t>
      </w:r>
      <w:proofErr w:type="spellStart"/>
      <w:r w:rsidRPr="006B6651">
        <w:rPr>
          <w:color w:val="000000" w:themeColor="text1"/>
          <w:sz w:val="20"/>
          <w:lang w:val="ru-RU"/>
        </w:rPr>
        <w:t>здійснений</w:t>
      </w:r>
      <w:proofErr w:type="spellEnd"/>
      <w:r w:rsidRPr="006B6651">
        <w:rPr>
          <w:color w:val="000000" w:themeColor="text1"/>
          <w:sz w:val="20"/>
          <w:lang w:val="ru-RU"/>
        </w:rPr>
        <w:t xml:space="preserve"> 19 </w:t>
      </w:r>
      <w:proofErr w:type="spellStart"/>
      <w:r w:rsidRPr="006B6651">
        <w:rPr>
          <w:color w:val="000000" w:themeColor="text1"/>
          <w:sz w:val="20"/>
          <w:lang w:val="ru-RU"/>
        </w:rPr>
        <w:t>серпня</w:t>
      </w:r>
      <w:proofErr w:type="spellEnd"/>
      <w:r w:rsidRPr="006B6651">
        <w:rPr>
          <w:color w:val="000000" w:themeColor="text1"/>
          <w:sz w:val="20"/>
          <w:lang w:val="ru-RU"/>
        </w:rPr>
        <w:t xml:space="preserve"> 2022 року, а </w:t>
      </w:r>
      <w:proofErr w:type="spellStart"/>
      <w:r w:rsidRPr="006B6651">
        <w:rPr>
          <w:color w:val="000000" w:themeColor="text1"/>
          <w:sz w:val="20"/>
          <w:lang w:val="ru-RU"/>
        </w:rPr>
        <w:t>повторний</w:t>
      </w:r>
      <w:proofErr w:type="spellEnd"/>
      <w:r w:rsidRPr="006B6651">
        <w:rPr>
          <w:color w:val="000000" w:themeColor="text1"/>
          <w:sz w:val="20"/>
          <w:lang w:val="ru-RU"/>
        </w:rPr>
        <w:t xml:space="preserve"> – 10 </w:t>
      </w:r>
      <w:proofErr w:type="spellStart"/>
      <w:r w:rsidRPr="006B6651">
        <w:rPr>
          <w:color w:val="000000" w:themeColor="text1"/>
          <w:sz w:val="20"/>
          <w:lang w:val="ru-RU"/>
        </w:rPr>
        <w:t>жовтня</w:t>
      </w:r>
      <w:proofErr w:type="spellEnd"/>
      <w:r w:rsidRPr="006B6651">
        <w:rPr>
          <w:color w:val="000000" w:themeColor="text1"/>
          <w:sz w:val="20"/>
          <w:lang w:val="ru-RU"/>
        </w:rPr>
        <w:t xml:space="preserve"> 2022 року, </w:t>
      </w:r>
      <w:r w:rsidRPr="007346BD">
        <w:rPr>
          <w:color w:val="000000" w:themeColor="text1"/>
          <w:sz w:val="20"/>
          <w:lang w:val="uk-UA"/>
        </w:rPr>
        <w:t>щоб охопити</w:t>
      </w:r>
      <w:r w:rsidRPr="006B6651">
        <w:rPr>
          <w:color w:val="000000" w:themeColor="text1"/>
          <w:sz w:val="20"/>
          <w:lang w:val="ru-RU"/>
        </w:rPr>
        <w:t xml:space="preserve"> </w:t>
      </w:r>
      <w:proofErr w:type="spellStart"/>
      <w:r w:rsidRPr="006B6651">
        <w:rPr>
          <w:color w:val="000000" w:themeColor="text1"/>
          <w:sz w:val="20"/>
          <w:lang w:val="ru-RU"/>
        </w:rPr>
        <w:t>дослідження</w:t>
      </w:r>
      <w:proofErr w:type="spellEnd"/>
      <w:r w:rsidRPr="006B6651">
        <w:rPr>
          <w:color w:val="000000" w:themeColor="text1"/>
          <w:sz w:val="20"/>
          <w:lang w:val="ru-RU"/>
        </w:rPr>
        <w:t xml:space="preserve">, </w:t>
      </w:r>
      <w:proofErr w:type="spellStart"/>
      <w:r w:rsidRPr="006B6651">
        <w:rPr>
          <w:color w:val="000000" w:themeColor="text1"/>
          <w:sz w:val="20"/>
          <w:lang w:val="ru-RU"/>
        </w:rPr>
        <w:t>пов’язані</w:t>
      </w:r>
      <w:proofErr w:type="spellEnd"/>
      <w:r w:rsidRPr="006B6651">
        <w:rPr>
          <w:color w:val="000000" w:themeColor="text1"/>
          <w:sz w:val="20"/>
          <w:lang w:val="ru-RU"/>
        </w:rPr>
        <w:t xml:space="preserve"> з ПГС, щодо виявлення </w:t>
      </w:r>
      <w:r w:rsidRPr="007346BD">
        <w:rPr>
          <w:color w:val="000000" w:themeColor="text1"/>
          <w:sz w:val="20"/>
          <w:lang w:val="uk-UA"/>
        </w:rPr>
        <w:t>лікарської</w:t>
      </w:r>
      <w:r w:rsidRPr="006B6651">
        <w:rPr>
          <w:color w:val="000000" w:themeColor="text1"/>
          <w:sz w:val="20"/>
          <w:lang w:val="ru-RU"/>
        </w:rPr>
        <w:t xml:space="preserve"> </w:t>
      </w:r>
      <w:proofErr w:type="spellStart"/>
      <w:r w:rsidRPr="006B6651">
        <w:rPr>
          <w:color w:val="000000" w:themeColor="text1"/>
          <w:sz w:val="20"/>
          <w:lang w:val="ru-RU"/>
        </w:rPr>
        <w:t>стійкості</w:t>
      </w:r>
      <w:proofErr w:type="spellEnd"/>
      <w:r w:rsidRPr="006B6651">
        <w:rPr>
          <w:color w:val="000000" w:themeColor="text1"/>
          <w:sz w:val="20"/>
          <w:lang w:val="ru-RU"/>
        </w:rPr>
        <w:t xml:space="preserve"> ТБ. </w:t>
      </w:r>
      <w:proofErr w:type="spellStart"/>
      <w:r w:rsidRPr="006B6651">
        <w:rPr>
          <w:color w:val="000000" w:themeColor="text1"/>
          <w:sz w:val="20"/>
          <w:lang w:val="ru-RU"/>
        </w:rPr>
        <w:t>Огляд</w:t>
      </w:r>
      <w:proofErr w:type="spellEnd"/>
      <w:r w:rsidRPr="006B6651">
        <w:rPr>
          <w:color w:val="000000" w:themeColor="text1"/>
          <w:sz w:val="20"/>
          <w:lang w:val="ru-RU"/>
        </w:rPr>
        <w:t xml:space="preserve"> не </w:t>
      </w:r>
      <w:proofErr w:type="spellStart"/>
      <w:r w:rsidRPr="006B6651">
        <w:rPr>
          <w:color w:val="000000" w:themeColor="text1"/>
          <w:sz w:val="20"/>
          <w:lang w:val="ru-RU"/>
        </w:rPr>
        <w:t>виявив</w:t>
      </w:r>
      <w:proofErr w:type="spellEnd"/>
      <w:r w:rsidRPr="006B6651">
        <w:rPr>
          <w:color w:val="000000" w:themeColor="text1"/>
          <w:sz w:val="20"/>
          <w:lang w:val="ru-RU"/>
        </w:rPr>
        <w:t xml:space="preserve"> жодного </w:t>
      </w:r>
      <w:proofErr w:type="spellStart"/>
      <w:r w:rsidRPr="006B6651">
        <w:rPr>
          <w:color w:val="000000" w:themeColor="text1"/>
          <w:sz w:val="20"/>
          <w:lang w:val="ru-RU"/>
        </w:rPr>
        <w:t>дослідження</w:t>
      </w:r>
      <w:proofErr w:type="spellEnd"/>
      <w:r w:rsidRPr="006B6651">
        <w:rPr>
          <w:color w:val="000000" w:themeColor="text1"/>
          <w:sz w:val="20"/>
          <w:lang w:val="ru-RU"/>
        </w:rPr>
        <w:t xml:space="preserve">, яке </w:t>
      </w:r>
      <w:proofErr w:type="spellStart"/>
      <w:r w:rsidRPr="006B6651">
        <w:rPr>
          <w:color w:val="000000" w:themeColor="text1"/>
          <w:sz w:val="20"/>
          <w:lang w:val="ru-RU"/>
        </w:rPr>
        <w:t>відповідало</w:t>
      </w:r>
      <w:proofErr w:type="spellEnd"/>
      <w:r w:rsidRPr="006B6651">
        <w:rPr>
          <w:color w:val="000000" w:themeColor="text1"/>
          <w:sz w:val="20"/>
          <w:lang w:val="ru-RU"/>
        </w:rPr>
        <w:t xml:space="preserve"> б </w:t>
      </w:r>
      <w:proofErr w:type="spellStart"/>
      <w:r w:rsidRPr="006B6651">
        <w:rPr>
          <w:color w:val="000000" w:themeColor="text1"/>
          <w:sz w:val="20"/>
          <w:lang w:val="ru-RU"/>
        </w:rPr>
        <w:t>критеріям</w:t>
      </w:r>
      <w:proofErr w:type="spellEnd"/>
      <w:r w:rsidRPr="006B6651">
        <w:rPr>
          <w:color w:val="000000" w:themeColor="text1"/>
          <w:sz w:val="20"/>
          <w:lang w:val="ru-RU"/>
        </w:rPr>
        <w:t xml:space="preserve"> для </w:t>
      </w:r>
      <w:proofErr w:type="spellStart"/>
      <w:r w:rsidRPr="006B6651">
        <w:rPr>
          <w:color w:val="000000" w:themeColor="text1"/>
          <w:sz w:val="20"/>
          <w:lang w:val="ru-RU"/>
        </w:rPr>
        <w:t>аналізу</w:t>
      </w:r>
      <w:proofErr w:type="spellEnd"/>
      <w:r w:rsidRPr="006B6651">
        <w:rPr>
          <w:color w:val="000000" w:themeColor="text1"/>
          <w:sz w:val="20"/>
          <w:lang w:val="ru-RU"/>
        </w:rPr>
        <w:t xml:space="preserve"> та </w:t>
      </w:r>
      <w:proofErr w:type="spellStart"/>
      <w:r w:rsidRPr="006B6651">
        <w:rPr>
          <w:color w:val="000000" w:themeColor="text1"/>
          <w:sz w:val="20"/>
          <w:lang w:val="ru-RU"/>
        </w:rPr>
        <w:t>узагальнення</w:t>
      </w:r>
      <w:proofErr w:type="spellEnd"/>
      <w:r w:rsidRPr="006B6651">
        <w:rPr>
          <w:color w:val="000000" w:themeColor="text1"/>
          <w:sz w:val="20"/>
          <w:lang w:val="ru-RU"/>
        </w:rPr>
        <w:t xml:space="preserve">. На </w:t>
      </w:r>
      <w:proofErr w:type="spellStart"/>
      <w:r w:rsidRPr="006B6651">
        <w:rPr>
          <w:color w:val="000000" w:themeColor="text1"/>
          <w:sz w:val="20"/>
          <w:lang w:val="ru-RU"/>
        </w:rPr>
        <w:t>основі</w:t>
      </w:r>
      <w:proofErr w:type="spellEnd"/>
      <w:r w:rsidRPr="006B6651">
        <w:rPr>
          <w:color w:val="000000" w:themeColor="text1"/>
          <w:sz w:val="20"/>
          <w:lang w:val="ru-RU"/>
        </w:rPr>
        <w:t xml:space="preserve"> систематичного </w:t>
      </w:r>
      <w:proofErr w:type="spellStart"/>
      <w:r w:rsidRPr="006B6651">
        <w:rPr>
          <w:color w:val="000000" w:themeColor="text1"/>
          <w:sz w:val="20"/>
          <w:lang w:val="ru-RU"/>
        </w:rPr>
        <w:t>пошуку</w:t>
      </w:r>
      <w:proofErr w:type="spellEnd"/>
      <w:r w:rsidRPr="006B6651">
        <w:rPr>
          <w:color w:val="000000" w:themeColor="text1"/>
          <w:sz w:val="20"/>
          <w:lang w:val="ru-RU"/>
        </w:rPr>
        <w:t xml:space="preserve"> </w:t>
      </w:r>
      <w:proofErr w:type="spellStart"/>
      <w:r w:rsidRPr="006B6651">
        <w:rPr>
          <w:color w:val="000000" w:themeColor="text1"/>
          <w:sz w:val="20"/>
          <w:lang w:val="ru-RU"/>
        </w:rPr>
        <w:t>було</w:t>
      </w:r>
      <w:proofErr w:type="spellEnd"/>
      <w:r w:rsidRPr="006B6651">
        <w:rPr>
          <w:color w:val="000000" w:themeColor="text1"/>
          <w:sz w:val="20"/>
          <w:lang w:val="ru-RU"/>
        </w:rPr>
        <w:t xml:space="preserve"> </w:t>
      </w:r>
      <w:proofErr w:type="spellStart"/>
      <w:r w:rsidRPr="006B6651">
        <w:rPr>
          <w:color w:val="000000" w:themeColor="text1"/>
          <w:sz w:val="20"/>
          <w:lang w:val="ru-RU"/>
        </w:rPr>
        <w:t>знайдено</w:t>
      </w:r>
      <w:proofErr w:type="spellEnd"/>
      <w:r w:rsidRPr="006B6651">
        <w:rPr>
          <w:color w:val="000000" w:themeColor="text1"/>
          <w:sz w:val="20"/>
          <w:lang w:val="ru-RU"/>
        </w:rPr>
        <w:t xml:space="preserve"> три </w:t>
      </w:r>
      <w:proofErr w:type="spellStart"/>
      <w:r w:rsidRPr="006B6651">
        <w:rPr>
          <w:color w:val="000000" w:themeColor="text1"/>
          <w:sz w:val="20"/>
          <w:lang w:val="ru-RU"/>
        </w:rPr>
        <w:t>публікації</w:t>
      </w:r>
      <w:proofErr w:type="spellEnd"/>
      <w:r w:rsidRPr="006B6651">
        <w:rPr>
          <w:color w:val="000000" w:themeColor="text1"/>
          <w:sz w:val="20"/>
          <w:lang w:val="ru-RU"/>
        </w:rPr>
        <w:t xml:space="preserve">, а також — за </w:t>
      </w:r>
      <w:proofErr w:type="spellStart"/>
      <w:r w:rsidRPr="006B6651">
        <w:rPr>
          <w:color w:val="000000" w:themeColor="text1"/>
          <w:sz w:val="20"/>
          <w:lang w:val="ru-RU"/>
        </w:rPr>
        <w:t>допомогою</w:t>
      </w:r>
      <w:proofErr w:type="spellEnd"/>
      <w:r w:rsidRPr="006B6651">
        <w:rPr>
          <w:color w:val="000000" w:themeColor="text1"/>
          <w:sz w:val="20"/>
          <w:lang w:val="ru-RU"/>
        </w:rPr>
        <w:t xml:space="preserve"> </w:t>
      </w:r>
      <w:proofErr w:type="spellStart"/>
      <w:r w:rsidRPr="006B6651">
        <w:rPr>
          <w:color w:val="000000" w:themeColor="text1"/>
          <w:sz w:val="20"/>
          <w:lang w:val="ru-RU"/>
        </w:rPr>
        <w:t>відкритого</w:t>
      </w:r>
      <w:proofErr w:type="spellEnd"/>
      <w:r w:rsidRPr="006B6651">
        <w:rPr>
          <w:color w:val="000000" w:themeColor="text1"/>
          <w:sz w:val="20"/>
          <w:lang w:val="ru-RU"/>
        </w:rPr>
        <w:t xml:space="preserve">, ручного </w:t>
      </w:r>
      <w:proofErr w:type="spellStart"/>
      <w:r w:rsidRPr="006B6651">
        <w:rPr>
          <w:color w:val="000000" w:themeColor="text1"/>
          <w:sz w:val="20"/>
          <w:lang w:val="ru-RU"/>
        </w:rPr>
        <w:t>пошуку</w:t>
      </w:r>
      <w:proofErr w:type="spellEnd"/>
      <w:r w:rsidRPr="006B6651">
        <w:rPr>
          <w:color w:val="000000" w:themeColor="text1"/>
          <w:sz w:val="20"/>
          <w:lang w:val="ru-RU"/>
        </w:rPr>
        <w:t xml:space="preserve"> та </w:t>
      </w:r>
      <w:proofErr w:type="spellStart"/>
      <w:r w:rsidRPr="006B6651">
        <w:rPr>
          <w:color w:val="000000" w:themeColor="text1"/>
          <w:sz w:val="20"/>
          <w:lang w:val="ru-RU"/>
        </w:rPr>
        <w:t>залучення</w:t>
      </w:r>
      <w:proofErr w:type="spellEnd"/>
      <w:r w:rsidRPr="006B6651">
        <w:rPr>
          <w:color w:val="000000" w:themeColor="text1"/>
          <w:sz w:val="20"/>
          <w:lang w:val="ru-RU"/>
        </w:rPr>
        <w:t xml:space="preserve"> </w:t>
      </w:r>
      <w:proofErr w:type="spellStart"/>
      <w:r w:rsidRPr="006B6651">
        <w:rPr>
          <w:color w:val="000000" w:themeColor="text1"/>
          <w:sz w:val="20"/>
          <w:lang w:val="ru-RU"/>
        </w:rPr>
        <w:t>експертів</w:t>
      </w:r>
      <w:proofErr w:type="spellEnd"/>
      <w:r w:rsidRPr="006B6651">
        <w:rPr>
          <w:color w:val="000000" w:themeColor="text1"/>
          <w:sz w:val="20"/>
          <w:lang w:val="ru-RU"/>
        </w:rPr>
        <w:t xml:space="preserve"> — </w:t>
      </w:r>
      <w:proofErr w:type="spellStart"/>
      <w:r w:rsidRPr="006B6651">
        <w:rPr>
          <w:color w:val="000000" w:themeColor="text1"/>
          <w:sz w:val="20"/>
          <w:lang w:val="ru-RU"/>
        </w:rPr>
        <w:t>ще</w:t>
      </w:r>
      <w:proofErr w:type="spellEnd"/>
      <w:r w:rsidRPr="006B6651">
        <w:rPr>
          <w:color w:val="000000" w:themeColor="text1"/>
          <w:sz w:val="20"/>
          <w:lang w:val="ru-RU"/>
        </w:rPr>
        <w:t xml:space="preserve"> 27 матеріалів. </w:t>
      </w:r>
      <w:proofErr w:type="spellStart"/>
      <w:r w:rsidRPr="006B6651">
        <w:rPr>
          <w:color w:val="000000" w:themeColor="text1"/>
          <w:sz w:val="20"/>
          <w:lang w:val="ru-RU"/>
        </w:rPr>
        <w:t>Після</w:t>
      </w:r>
      <w:proofErr w:type="spellEnd"/>
      <w:r w:rsidRPr="006B6651">
        <w:rPr>
          <w:color w:val="000000" w:themeColor="text1"/>
          <w:sz w:val="20"/>
          <w:lang w:val="ru-RU"/>
        </w:rPr>
        <w:t xml:space="preserve"> </w:t>
      </w:r>
      <w:r w:rsidRPr="007346BD">
        <w:rPr>
          <w:color w:val="000000" w:themeColor="text1"/>
          <w:sz w:val="20"/>
          <w:lang w:val="uk-UA"/>
        </w:rPr>
        <w:t xml:space="preserve">перегляду </w:t>
      </w:r>
      <w:proofErr w:type="spellStart"/>
      <w:r w:rsidRPr="006B6651">
        <w:rPr>
          <w:color w:val="000000" w:themeColor="text1"/>
          <w:sz w:val="20"/>
          <w:lang w:val="ru-RU"/>
        </w:rPr>
        <w:t>повного</w:t>
      </w:r>
      <w:proofErr w:type="spellEnd"/>
      <w:r w:rsidRPr="006B6651">
        <w:rPr>
          <w:color w:val="000000" w:themeColor="text1"/>
          <w:sz w:val="20"/>
          <w:lang w:val="ru-RU"/>
        </w:rPr>
        <w:t xml:space="preserve"> </w:t>
      </w:r>
      <w:r w:rsidRPr="007346BD">
        <w:rPr>
          <w:color w:val="000000" w:themeColor="text1"/>
          <w:sz w:val="20"/>
          <w:lang w:val="uk-UA"/>
        </w:rPr>
        <w:t>тексту</w:t>
      </w:r>
      <w:r w:rsidRPr="006B6651">
        <w:rPr>
          <w:color w:val="000000" w:themeColor="text1"/>
          <w:sz w:val="20"/>
          <w:lang w:val="ru-RU"/>
        </w:rPr>
        <w:t xml:space="preserve"> 30 матеріалів</w:t>
      </w:r>
      <w:r>
        <w:rPr>
          <w:color w:val="000000" w:themeColor="text1"/>
          <w:sz w:val="20"/>
          <w:lang w:val="uk-UA"/>
        </w:rPr>
        <w:t xml:space="preserve"> було виявлено, що</w:t>
      </w:r>
      <w:r w:rsidRPr="006B6651">
        <w:rPr>
          <w:color w:val="000000" w:themeColor="text1"/>
          <w:sz w:val="20"/>
          <w:lang w:val="ru-RU"/>
        </w:rPr>
        <w:t xml:space="preserve"> </w:t>
      </w:r>
      <w:proofErr w:type="spellStart"/>
      <w:r w:rsidRPr="006B6651">
        <w:rPr>
          <w:color w:val="000000" w:themeColor="text1"/>
          <w:sz w:val="20"/>
          <w:lang w:val="ru-RU"/>
        </w:rPr>
        <w:t>жоден</w:t>
      </w:r>
      <w:proofErr w:type="spellEnd"/>
      <w:r w:rsidRPr="006B6651">
        <w:rPr>
          <w:color w:val="000000" w:themeColor="text1"/>
          <w:sz w:val="20"/>
          <w:lang w:val="ru-RU"/>
        </w:rPr>
        <w:t xml:space="preserve"> не </w:t>
      </w:r>
      <w:proofErr w:type="spellStart"/>
      <w:r w:rsidRPr="006B6651">
        <w:rPr>
          <w:color w:val="000000" w:themeColor="text1"/>
          <w:sz w:val="20"/>
          <w:lang w:val="ru-RU"/>
        </w:rPr>
        <w:t>відповідав</w:t>
      </w:r>
      <w:proofErr w:type="spellEnd"/>
      <w:r w:rsidRPr="006B6651">
        <w:rPr>
          <w:color w:val="000000" w:themeColor="text1"/>
          <w:sz w:val="20"/>
          <w:lang w:val="ru-RU"/>
        </w:rPr>
        <w:t xml:space="preserve"> </w:t>
      </w:r>
      <w:proofErr w:type="spellStart"/>
      <w:r w:rsidRPr="006B6651">
        <w:rPr>
          <w:color w:val="000000" w:themeColor="text1"/>
          <w:sz w:val="20"/>
          <w:lang w:val="ru-RU"/>
        </w:rPr>
        <w:t>критеріям</w:t>
      </w:r>
      <w:proofErr w:type="spellEnd"/>
      <w:r w:rsidRPr="006B6651">
        <w:rPr>
          <w:color w:val="000000" w:themeColor="text1"/>
          <w:sz w:val="20"/>
          <w:lang w:val="ru-RU"/>
        </w:rPr>
        <w:t xml:space="preserve"> </w:t>
      </w:r>
      <w:proofErr w:type="spellStart"/>
      <w:r w:rsidRPr="006B6651">
        <w:rPr>
          <w:color w:val="000000" w:themeColor="text1"/>
          <w:sz w:val="20"/>
          <w:lang w:val="ru-RU"/>
        </w:rPr>
        <w:t>включення</w:t>
      </w:r>
      <w:proofErr w:type="spellEnd"/>
      <w:r w:rsidRPr="006B6651">
        <w:rPr>
          <w:color w:val="000000" w:themeColor="text1"/>
          <w:sz w:val="20"/>
          <w:lang w:val="ru-RU"/>
        </w:rPr>
        <w:t xml:space="preserve">. </w:t>
      </w:r>
      <w:proofErr w:type="spellStart"/>
      <w:r w:rsidRPr="006B6651">
        <w:rPr>
          <w:color w:val="000000" w:themeColor="text1"/>
          <w:sz w:val="20"/>
          <w:lang w:val="ru-RU"/>
        </w:rPr>
        <w:t>Оскільки</w:t>
      </w:r>
      <w:proofErr w:type="spellEnd"/>
      <w:r w:rsidRPr="006B6651">
        <w:rPr>
          <w:color w:val="000000" w:themeColor="text1"/>
          <w:sz w:val="20"/>
          <w:lang w:val="ru-RU"/>
        </w:rPr>
        <w:t xml:space="preserve"> </w:t>
      </w:r>
      <w:proofErr w:type="spellStart"/>
      <w:r w:rsidRPr="006B6651">
        <w:rPr>
          <w:color w:val="000000" w:themeColor="text1"/>
          <w:sz w:val="20"/>
          <w:lang w:val="ru-RU"/>
        </w:rPr>
        <w:t>прямих</w:t>
      </w:r>
      <w:proofErr w:type="spellEnd"/>
      <w:r w:rsidRPr="006B6651">
        <w:rPr>
          <w:color w:val="000000" w:themeColor="text1"/>
          <w:sz w:val="20"/>
          <w:lang w:val="ru-RU"/>
        </w:rPr>
        <w:t xml:space="preserve"> </w:t>
      </w:r>
      <w:proofErr w:type="spellStart"/>
      <w:r w:rsidRPr="006B6651">
        <w:rPr>
          <w:color w:val="000000" w:themeColor="text1"/>
          <w:sz w:val="20"/>
          <w:lang w:val="ru-RU"/>
        </w:rPr>
        <w:t>доказів</w:t>
      </w:r>
      <w:proofErr w:type="spellEnd"/>
      <w:r w:rsidRPr="006B6651">
        <w:rPr>
          <w:color w:val="000000" w:themeColor="text1"/>
          <w:sz w:val="20"/>
          <w:lang w:val="ru-RU"/>
        </w:rPr>
        <w:t xml:space="preserve"> не </w:t>
      </w:r>
      <w:proofErr w:type="spellStart"/>
      <w:r w:rsidRPr="006B6651">
        <w:rPr>
          <w:color w:val="000000" w:themeColor="text1"/>
          <w:sz w:val="20"/>
          <w:lang w:val="ru-RU"/>
        </w:rPr>
        <w:t>було</w:t>
      </w:r>
      <w:proofErr w:type="spellEnd"/>
      <w:r w:rsidRPr="006B6651">
        <w:rPr>
          <w:color w:val="000000" w:themeColor="text1"/>
          <w:sz w:val="20"/>
          <w:lang w:val="ru-RU"/>
        </w:rPr>
        <w:t xml:space="preserve"> </w:t>
      </w:r>
      <w:proofErr w:type="spellStart"/>
      <w:r w:rsidRPr="006B6651">
        <w:rPr>
          <w:color w:val="000000" w:themeColor="text1"/>
          <w:sz w:val="20"/>
          <w:lang w:val="ru-RU"/>
        </w:rPr>
        <w:t>знайдено</w:t>
      </w:r>
      <w:proofErr w:type="spellEnd"/>
      <w:r w:rsidRPr="006B6651">
        <w:rPr>
          <w:color w:val="000000" w:themeColor="text1"/>
          <w:sz w:val="20"/>
          <w:lang w:val="ru-RU"/>
        </w:rPr>
        <w:t xml:space="preserve">, </w:t>
      </w:r>
      <w:proofErr w:type="spellStart"/>
      <w:r w:rsidRPr="006B6651">
        <w:rPr>
          <w:color w:val="000000" w:themeColor="text1"/>
          <w:sz w:val="20"/>
          <w:lang w:val="ru-RU"/>
        </w:rPr>
        <w:t>було</w:t>
      </w:r>
      <w:proofErr w:type="spellEnd"/>
      <w:r w:rsidRPr="006B6651">
        <w:rPr>
          <w:color w:val="000000" w:themeColor="text1"/>
          <w:sz w:val="20"/>
          <w:lang w:val="ru-RU"/>
        </w:rPr>
        <w:t xml:space="preserve"> взято до </w:t>
      </w:r>
      <w:proofErr w:type="spellStart"/>
      <w:r w:rsidRPr="006B6651">
        <w:rPr>
          <w:color w:val="000000" w:themeColor="text1"/>
          <w:sz w:val="20"/>
          <w:lang w:val="ru-RU"/>
        </w:rPr>
        <w:t>уваги</w:t>
      </w:r>
      <w:proofErr w:type="spellEnd"/>
      <w:r w:rsidRPr="006B6651">
        <w:rPr>
          <w:color w:val="000000" w:themeColor="text1"/>
          <w:sz w:val="20"/>
          <w:lang w:val="ru-RU"/>
        </w:rPr>
        <w:t xml:space="preserve"> </w:t>
      </w:r>
      <w:proofErr w:type="spellStart"/>
      <w:r w:rsidRPr="006B6651">
        <w:rPr>
          <w:color w:val="000000" w:themeColor="text1"/>
          <w:sz w:val="20"/>
          <w:lang w:val="ru-RU"/>
        </w:rPr>
        <w:t>узагальнення</w:t>
      </w:r>
      <w:proofErr w:type="spellEnd"/>
      <w:r w:rsidRPr="006B6651">
        <w:rPr>
          <w:color w:val="000000" w:themeColor="text1"/>
          <w:sz w:val="20"/>
          <w:lang w:val="ru-RU"/>
        </w:rPr>
        <w:t xml:space="preserve"> </w:t>
      </w:r>
      <w:proofErr w:type="spellStart"/>
      <w:r w:rsidRPr="006B6651">
        <w:rPr>
          <w:color w:val="000000" w:themeColor="text1"/>
          <w:sz w:val="20"/>
          <w:lang w:val="ru-RU"/>
        </w:rPr>
        <w:t>якісних</w:t>
      </w:r>
      <w:proofErr w:type="spellEnd"/>
      <w:r w:rsidRPr="006B6651">
        <w:rPr>
          <w:color w:val="000000" w:themeColor="text1"/>
          <w:sz w:val="20"/>
          <w:lang w:val="ru-RU"/>
        </w:rPr>
        <w:t xml:space="preserve"> </w:t>
      </w:r>
      <w:proofErr w:type="spellStart"/>
      <w:r w:rsidRPr="006B6651">
        <w:rPr>
          <w:color w:val="000000" w:themeColor="text1"/>
          <w:sz w:val="20"/>
          <w:lang w:val="ru-RU"/>
        </w:rPr>
        <w:t>доказів</w:t>
      </w:r>
      <w:proofErr w:type="spellEnd"/>
      <w:r w:rsidRPr="006B6651">
        <w:rPr>
          <w:color w:val="000000" w:themeColor="text1"/>
          <w:sz w:val="20"/>
          <w:lang w:val="ru-RU"/>
        </w:rPr>
        <w:t xml:space="preserve">, </w:t>
      </w:r>
      <w:proofErr w:type="spellStart"/>
      <w:r w:rsidRPr="006B6651">
        <w:rPr>
          <w:color w:val="000000" w:themeColor="text1"/>
          <w:sz w:val="20"/>
          <w:lang w:val="ru-RU"/>
        </w:rPr>
        <w:t>опубліковане</w:t>
      </w:r>
      <w:proofErr w:type="spellEnd"/>
      <w:r w:rsidRPr="006B6651">
        <w:rPr>
          <w:color w:val="000000" w:themeColor="text1"/>
          <w:sz w:val="20"/>
          <w:lang w:val="ru-RU"/>
        </w:rPr>
        <w:t xml:space="preserve"> </w:t>
      </w:r>
      <w:r w:rsidRPr="007346BD">
        <w:rPr>
          <w:color w:val="000000" w:themeColor="text1"/>
          <w:sz w:val="20"/>
        </w:rPr>
        <w:t>Cochrane</w:t>
      </w:r>
      <w:r w:rsidRPr="006B6651">
        <w:rPr>
          <w:color w:val="000000" w:themeColor="text1"/>
          <w:sz w:val="20"/>
          <w:lang w:val="ru-RU"/>
        </w:rPr>
        <w:t xml:space="preserve"> у 2022 </w:t>
      </w:r>
      <w:proofErr w:type="spellStart"/>
      <w:r w:rsidRPr="006B6651">
        <w:rPr>
          <w:color w:val="000000" w:themeColor="text1"/>
          <w:sz w:val="20"/>
          <w:lang w:val="ru-RU"/>
        </w:rPr>
        <w:t>році</w:t>
      </w:r>
      <w:proofErr w:type="spellEnd"/>
      <w:r w:rsidRPr="006B6651">
        <w:rPr>
          <w:color w:val="000000" w:themeColor="text1"/>
          <w:sz w:val="20"/>
          <w:lang w:val="ru-RU"/>
        </w:rPr>
        <w:t xml:space="preserve">, в </w:t>
      </w:r>
      <w:proofErr w:type="spellStart"/>
      <w:r w:rsidRPr="006B6651">
        <w:rPr>
          <w:color w:val="000000" w:themeColor="text1"/>
          <w:sz w:val="20"/>
          <w:lang w:val="ru-RU"/>
        </w:rPr>
        <w:t>якому</w:t>
      </w:r>
      <w:proofErr w:type="spellEnd"/>
      <w:r w:rsidRPr="006B6651">
        <w:rPr>
          <w:color w:val="000000" w:themeColor="text1"/>
          <w:sz w:val="20"/>
          <w:lang w:val="ru-RU"/>
        </w:rPr>
        <w:t xml:space="preserve"> </w:t>
      </w:r>
      <w:proofErr w:type="spellStart"/>
      <w:r w:rsidRPr="006B6651">
        <w:rPr>
          <w:color w:val="000000" w:themeColor="text1"/>
          <w:sz w:val="20"/>
          <w:lang w:val="ru-RU"/>
        </w:rPr>
        <w:t>аналізувалися</w:t>
      </w:r>
      <w:proofErr w:type="spellEnd"/>
      <w:r w:rsidRPr="006B6651">
        <w:rPr>
          <w:color w:val="000000" w:themeColor="text1"/>
          <w:sz w:val="20"/>
          <w:lang w:val="ru-RU"/>
        </w:rPr>
        <w:t xml:space="preserve"> погляди </w:t>
      </w:r>
      <w:proofErr w:type="spellStart"/>
      <w:r w:rsidRPr="006B6651">
        <w:rPr>
          <w:color w:val="000000" w:themeColor="text1"/>
          <w:sz w:val="20"/>
          <w:lang w:val="ru-RU"/>
        </w:rPr>
        <w:t>пацієнтів</w:t>
      </w:r>
      <w:proofErr w:type="spellEnd"/>
      <w:r w:rsidRPr="006B6651">
        <w:rPr>
          <w:color w:val="000000" w:themeColor="text1"/>
          <w:sz w:val="20"/>
          <w:lang w:val="ru-RU"/>
        </w:rPr>
        <w:t xml:space="preserve"> і </w:t>
      </w:r>
      <w:proofErr w:type="spellStart"/>
      <w:r w:rsidRPr="006B6651">
        <w:rPr>
          <w:color w:val="000000" w:themeColor="text1"/>
          <w:sz w:val="20"/>
          <w:lang w:val="ru-RU"/>
        </w:rPr>
        <w:t>медичних</w:t>
      </w:r>
      <w:proofErr w:type="spellEnd"/>
      <w:r w:rsidRPr="006B6651">
        <w:rPr>
          <w:color w:val="000000" w:themeColor="text1"/>
          <w:sz w:val="20"/>
          <w:lang w:val="ru-RU"/>
        </w:rPr>
        <w:t xml:space="preserve"> </w:t>
      </w:r>
      <w:proofErr w:type="spellStart"/>
      <w:r w:rsidRPr="006B6651">
        <w:rPr>
          <w:color w:val="000000" w:themeColor="text1"/>
          <w:sz w:val="20"/>
          <w:lang w:val="ru-RU"/>
        </w:rPr>
        <w:t>працівників</w:t>
      </w:r>
      <w:proofErr w:type="spellEnd"/>
      <w:r w:rsidRPr="006B6651">
        <w:rPr>
          <w:color w:val="000000" w:themeColor="text1"/>
          <w:sz w:val="20"/>
          <w:lang w:val="ru-RU"/>
        </w:rPr>
        <w:t xml:space="preserve"> на </w:t>
      </w:r>
      <w:proofErr w:type="spellStart"/>
      <w:r w:rsidRPr="006B6651">
        <w:rPr>
          <w:color w:val="000000" w:themeColor="text1"/>
          <w:sz w:val="20"/>
          <w:lang w:val="ru-RU"/>
        </w:rPr>
        <w:t>швидкі</w:t>
      </w:r>
      <w:proofErr w:type="spellEnd"/>
      <w:r w:rsidRPr="006B6651">
        <w:rPr>
          <w:color w:val="000000" w:themeColor="text1"/>
          <w:sz w:val="20"/>
          <w:lang w:val="ru-RU"/>
        </w:rPr>
        <w:t xml:space="preserve"> </w:t>
      </w:r>
      <w:proofErr w:type="spellStart"/>
      <w:r w:rsidRPr="006B6651">
        <w:rPr>
          <w:color w:val="000000" w:themeColor="text1"/>
          <w:sz w:val="20"/>
          <w:lang w:val="ru-RU"/>
        </w:rPr>
        <w:t>молекулярні</w:t>
      </w:r>
      <w:proofErr w:type="spellEnd"/>
      <w:r w:rsidRPr="006B6651">
        <w:rPr>
          <w:color w:val="000000" w:themeColor="text1"/>
          <w:sz w:val="20"/>
          <w:lang w:val="ru-RU"/>
        </w:rPr>
        <w:t xml:space="preserve"> тести для </w:t>
      </w:r>
      <w:proofErr w:type="spellStart"/>
      <w:r w:rsidRPr="006B6651">
        <w:rPr>
          <w:color w:val="000000" w:themeColor="text1"/>
          <w:sz w:val="20"/>
          <w:lang w:val="ru-RU"/>
        </w:rPr>
        <w:t>діагностики</w:t>
      </w:r>
      <w:proofErr w:type="spellEnd"/>
      <w:r w:rsidRPr="006B6651">
        <w:rPr>
          <w:color w:val="000000" w:themeColor="text1"/>
          <w:sz w:val="20"/>
          <w:lang w:val="ru-RU"/>
        </w:rPr>
        <w:t xml:space="preserve"> ТБ та </w:t>
      </w:r>
      <w:proofErr w:type="spellStart"/>
      <w:r w:rsidRPr="006B6651">
        <w:rPr>
          <w:color w:val="000000" w:themeColor="text1"/>
          <w:sz w:val="20"/>
          <w:lang w:val="ru-RU"/>
        </w:rPr>
        <w:t>його</w:t>
      </w:r>
      <w:proofErr w:type="spellEnd"/>
      <w:r w:rsidRPr="006B6651">
        <w:rPr>
          <w:color w:val="000000" w:themeColor="text1"/>
          <w:sz w:val="20"/>
          <w:lang w:val="ru-RU"/>
        </w:rPr>
        <w:t xml:space="preserve"> </w:t>
      </w:r>
      <w:r w:rsidRPr="007346BD">
        <w:rPr>
          <w:color w:val="000000" w:themeColor="text1"/>
          <w:sz w:val="20"/>
          <w:lang w:val="uk-UA"/>
        </w:rPr>
        <w:t>лікарської</w:t>
      </w:r>
      <w:r w:rsidRPr="006B6651">
        <w:rPr>
          <w:color w:val="000000" w:themeColor="text1"/>
          <w:sz w:val="20"/>
          <w:lang w:val="ru-RU"/>
        </w:rPr>
        <w:t xml:space="preserve"> </w:t>
      </w:r>
      <w:proofErr w:type="spellStart"/>
      <w:r w:rsidRPr="006B6651">
        <w:rPr>
          <w:color w:val="000000" w:themeColor="text1"/>
          <w:sz w:val="20"/>
          <w:lang w:val="ru-RU"/>
        </w:rPr>
        <w:t>стійкості</w:t>
      </w:r>
      <w:proofErr w:type="spellEnd"/>
      <w:r w:rsidRPr="006B6651">
        <w:rPr>
          <w:color w:val="000000" w:themeColor="text1"/>
          <w:sz w:val="20"/>
          <w:lang w:val="ru-RU"/>
        </w:rPr>
        <w:t xml:space="preserve">. </w:t>
      </w:r>
      <w:proofErr w:type="spellStart"/>
      <w:r w:rsidRPr="006B6651">
        <w:rPr>
          <w:color w:val="000000" w:themeColor="text1"/>
          <w:sz w:val="20"/>
          <w:lang w:val="ru-RU"/>
        </w:rPr>
        <w:t>Це</w:t>
      </w:r>
      <w:proofErr w:type="spellEnd"/>
      <w:r w:rsidRPr="006B6651">
        <w:rPr>
          <w:color w:val="000000" w:themeColor="text1"/>
          <w:sz w:val="20"/>
          <w:lang w:val="ru-RU"/>
        </w:rPr>
        <w:t xml:space="preserve"> </w:t>
      </w:r>
      <w:proofErr w:type="spellStart"/>
      <w:r w:rsidRPr="006B6651">
        <w:rPr>
          <w:color w:val="000000" w:themeColor="text1"/>
          <w:sz w:val="20"/>
          <w:lang w:val="ru-RU"/>
        </w:rPr>
        <w:t>дослідження</w:t>
      </w:r>
      <w:proofErr w:type="spellEnd"/>
      <w:r w:rsidRPr="006B6651">
        <w:rPr>
          <w:color w:val="000000" w:themeColor="text1"/>
          <w:sz w:val="20"/>
          <w:lang w:val="ru-RU"/>
        </w:rPr>
        <w:t xml:space="preserve"> </w:t>
      </w:r>
      <w:proofErr w:type="spellStart"/>
      <w:r w:rsidRPr="006B6651">
        <w:rPr>
          <w:color w:val="000000" w:themeColor="text1"/>
          <w:sz w:val="20"/>
          <w:lang w:val="ru-RU"/>
        </w:rPr>
        <w:t>надає</w:t>
      </w:r>
      <w:proofErr w:type="spellEnd"/>
      <w:r w:rsidRPr="006B6651">
        <w:rPr>
          <w:color w:val="000000" w:themeColor="text1"/>
          <w:sz w:val="20"/>
          <w:lang w:val="ru-RU"/>
        </w:rPr>
        <w:t xml:space="preserve"> </w:t>
      </w:r>
      <w:proofErr w:type="spellStart"/>
      <w:r w:rsidRPr="006B6651">
        <w:rPr>
          <w:color w:val="000000" w:themeColor="text1"/>
          <w:sz w:val="20"/>
          <w:lang w:val="ru-RU"/>
        </w:rPr>
        <w:t>релевантні</w:t>
      </w:r>
      <w:proofErr w:type="spellEnd"/>
      <w:r w:rsidRPr="006B6651">
        <w:rPr>
          <w:color w:val="000000" w:themeColor="text1"/>
          <w:sz w:val="20"/>
          <w:lang w:val="ru-RU"/>
        </w:rPr>
        <w:t xml:space="preserve">, </w:t>
      </w:r>
      <w:proofErr w:type="spellStart"/>
      <w:r w:rsidRPr="006B6651">
        <w:rPr>
          <w:color w:val="000000" w:themeColor="text1"/>
          <w:sz w:val="20"/>
          <w:lang w:val="ru-RU"/>
        </w:rPr>
        <w:t>хоча</w:t>
      </w:r>
      <w:proofErr w:type="spellEnd"/>
      <w:r w:rsidRPr="006B6651">
        <w:rPr>
          <w:color w:val="000000" w:themeColor="text1"/>
          <w:sz w:val="20"/>
          <w:lang w:val="ru-RU"/>
        </w:rPr>
        <w:t xml:space="preserve"> й </w:t>
      </w:r>
      <w:proofErr w:type="spellStart"/>
      <w:r w:rsidRPr="006B6651">
        <w:rPr>
          <w:color w:val="000000" w:themeColor="text1"/>
          <w:sz w:val="20"/>
          <w:lang w:val="ru-RU"/>
        </w:rPr>
        <w:t>непрямі</w:t>
      </w:r>
      <w:proofErr w:type="spellEnd"/>
      <w:r w:rsidRPr="006B6651">
        <w:rPr>
          <w:color w:val="000000" w:themeColor="text1"/>
          <w:sz w:val="20"/>
          <w:lang w:val="ru-RU"/>
        </w:rPr>
        <w:t xml:space="preserve"> </w:t>
      </w:r>
      <w:proofErr w:type="spellStart"/>
      <w:r w:rsidRPr="006B6651">
        <w:rPr>
          <w:color w:val="000000" w:themeColor="text1"/>
          <w:sz w:val="20"/>
          <w:lang w:val="ru-RU"/>
        </w:rPr>
        <w:t>докази</w:t>
      </w:r>
      <w:proofErr w:type="spellEnd"/>
      <w:r w:rsidRPr="006B6651">
        <w:rPr>
          <w:color w:val="000000" w:themeColor="text1"/>
          <w:sz w:val="20"/>
          <w:lang w:val="ru-RU"/>
        </w:rPr>
        <w:t xml:space="preserve"> з </w:t>
      </w:r>
      <w:proofErr w:type="spellStart"/>
      <w:r w:rsidRPr="006B6651">
        <w:rPr>
          <w:color w:val="000000" w:themeColor="text1"/>
          <w:sz w:val="20"/>
          <w:lang w:val="ru-RU"/>
        </w:rPr>
        <w:t>цієї</w:t>
      </w:r>
      <w:proofErr w:type="spellEnd"/>
      <w:r w:rsidRPr="006B6651">
        <w:rPr>
          <w:color w:val="000000" w:themeColor="text1"/>
          <w:sz w:val="20"/>
          <w:lang w:val="ru-RU"/>
        </w:rPr>
        <w:t xml:space="preserve"> теми. </w:t>
      </w:r>
      <w:proofErr w:type="spellStart"/>
      <w:r w:rsidRPr="006B6651">
        <w:rPr>
          <w:color w:val="000000" w:themeColor="text1"/>
          <w:sz w:val="20"/>
          <w:lang w:val="ru-RU"/>
        </w:rPr>
        <w:t>Автори</w:t>
      </w:r>
      <w:proofErr w:type="spellEnd"/>
      <w:r w:rsidRPr="006B6651">
        <w:rPr>
          <w:color w:val="000000" w:themeColor="text1"/>
          <w:sz w:val="20"/>
          <w:lang w:val="ru-RU"/>
        </w:rPr>
        <w:t xml:space="preserve"> </w:t>
      </w:r>
      <w:proofErr w:type="spellStart"/>
      <w:r w:rsidRPr="006B6651">
        <w:rPr>
          <w:color w:val="000000" w:themeColor="text1"/>
          <w:sz w:val="20"/>
          <w:lang w:val="ru-RU"/>
        </w:rPr>
        <w:t>зазначили</w:t>
      </w:r>
      <w:proofErr w:type="spellEnd"/>
      <w:r w:rsidRPr="006B6651">
        <w:rPr>
          <w:color w:val="000000" w:themeColor="text1"/>
          <w:sz w:val="20"/>
          <w:lang w:val="ru-RU"/>
        </w:rPr>
        <w:t xml:space="preserve">, </w:t>
      </w:r>
      <w:proofErr w:type="spellStart"/>
      <w:r w:rsidRPr="006B6651">
        <w:rPr>
          <w:color w:val="000000" w:themeColor="text1"/>
          <w:sz w:val="20"/>
          <w:lang w:val="ru-RU"/>
        </w:rPr>
        <w:t>що</w:t>
      </w:r>
      <w:proofErr w:type="spellEnd"/>
      <w:r w:rsidRPr="006B6651">
        <w:rPr>
          <w:color w:val="000000" w:themeColor="text1"/>
          <w:sz w:val="20"/>
          <w:lang w:val="ru-RU"/>
        </w:rPr>
        <w:t xml:space="preserve"> для людей з ТБ </w:t>
      </w:r>
      <w:proofErr w:type="spellStart"/>
      <w:r w:rsidRPr="006B6651">
        <w:rPr>
          <w:color w:val="000000" w:themeColor="text1"/>
          <w:sz w:val="20"/>
          <w:lang w:val="ru-RU"/>
        </w:rPr>
        <w:t>важливо</w:t>
      </w:r>
      <w:proofErr w:type="spellEnd"/>
      <w:r w:rsidRPr="006B6651">
        <w:rPr>
          <w:color w:val="000000" w:themeColor="text1"/>
          <w:sz w:val="20"/>
          <w:lang w:val="ru-RU"/>
        </w:rPr>
        <w:t xml:space="preserve"> </w:t>
      </w:r>
      <w:proofErr w:type="spellStart"/>
      <w:r w:rsidRPr="006B6651">
        <w:rPr>
          <w:color w:val="000000" w:themeColor="text1"/>
          <w:sz w:val="20"/>
          <w:lang w:val="ru-RU"/>
        </w:rPr>
        <w:t>отримати</w:t>
      </w:r>
      <w:proofErr w:type="spellEnd"/>
      <w:r w:rsidRPr="006B6651">
        <w:rPr>
          <w:color w:val="000000" w:themeColor="text1"/>
          <w:sz w:val="20"/>
          <w:lang w:val="ru-RU"/>
        </w:rPr>
        <w:t xml:space="preserve"> </w:t>
      </w:r>
      <w:proofErr w:type="spellStart"/>
      <w:r w:rsidRPr="006B6651">
        <w:rPr>
          <w:color w:val="000000" w:themeColor="text1"/>
          <w:sz w:val="20"/>
          <w:lang w:val="ru-RU"/>
        </w:rPr>
        <w:t>точний</w:t>
      </w:r>
      <w:proofErr w:type="spellEnd"/>
      <w:r w:rsidRPr="006B6651">
        <w:rPr>
          <w:color w:val="000000" w:themeColor="text1"/>
          <w:sz w:val="20"/>
          <w:lang w:val="ru-RU"/>
        </w:rPr>
        <w:t xml:space="preserve"> </w:t>
      </w:r>
      <w:proofErr w:type="spellStart"/>
      <w:r w:rsidRPr="006B6651">
        <w:rPr>
          <w:color w:val="000000" w:themeColor="text1"/>
          <w:sz w:val="20"/>
          <w:lang w:val="ru-RU"/>
        </w:rPr>
        <w:t>діагноз</w:t>
      </w:r>
      <w:proofErr w:type="spellEnd"/>
      <w:r w:rsidRPr="006B6651">
        <w:rPr>
          <w:color w:val="000000" w:themeColor="text1"/>
          <w:sz w:val="20"/>
          <w:lang w:val="ru-RU"/>
        </w:rPr>
        <w:t xml:space="preserve"> без </w:t>
      </w:r>
      <w:proofErr w:type="spellStart"/>
      <w:r w:rsidRPr="006B6651">
        <w:rPr>
          <w:color w:val="000000" w:themeColor="text1"/>
          <w:sz w:val="20"/>
          <w:lang w:val="ru-RU"/>
        </w:rPr>
        <w:t>затримок</w:t>
      </w:r>
      <w:proofErr w:type="spellEnd"/>
      <w:r w:rsidRPr="006B6651">
        <w:rPr>
          <w:color w:val="000000" w:themeColor="text1"/>
          <w:sz w:val="20"/>
          <w:lang w:val="ru-RU"/>
        </w:rPr>
        <w:t xml:space="preserve"> і з </w:t>
      </w:r>
      <w:proofErr w:type="spellStart"/>
      <w:r w:rsidRPr="006B6651">
        <w:rPr>
          <w:color w:val="000000" w:themeColor="text1"/>
          <w:sz w:val="20"/>
          <w:lang w:val="ru-RU"/>
        </w:rPr>
        <w:t>мінімальними</w:t>
      </w:r>
      <w:proofErr w:type="spellEnd"/>
      <w:r w:rsidRPr="006B6651">
        <w:rPr>
          <w:color w:val="000000" w:themeColor="text1"/>
          <w:sz w:val="20"/>
          <w:lang w:val="ru-RU"/>
        </w:rPr>
        <w:t xml:space="preserve"> </w:t>
      </w:r>
      <w:proofErr w:type="spellStart"/>
      <w:r w:rsidRPr="006B6651">
        <w:rPr>
          <w:color w:val="000000" w:themeColor="text1"/>
          <w:sz w:val="20"/>
          <w:lang w:val="ru-RU"/>
        </w:rPr>
        <w:t>витратами</w:t>
      </w:r>
      <w:proofErr w:type="spellEnd"/>
      <w:r w:rsidRPr="006B6651">
        <w:rPr>
          <w:color w:val="000000" w:themeColor="text1"/>
          <w:sz w:val="20"/>
          <w:lang w:val="ru-RU"/>
        </w:rPr>
        <w:t xml:space="preserve">, </w:t>
      </w:r>
      <w:proofErr w:type="spellStart"/>
      <w:r w:rsidRPr="006B6651">
        <w:rPr>
          <w:color w:val="000000" w:themeColor="text1"/>
          <w:sz w:val="20"/>
          <w:lang w:val="ru-RU"/>
        </w:rPr>
        <w:t>пов’язаними</w:t>
      </w:r>
      <w:proofErr w:type="spellEnd"/>
      <w:r w:rsidRPr="006B6651">
        <w:rPr>
          <w:color w:val="000000" w:themeColor="text1"/>
          <w:sz w:val="20"/>
          <w:lang w:val="ru-RU"/>
        </w:rPr>
        <w:t xml:space="preserve"> з </w:t>
      </w:r>
      <w:proofErr w:type="spellStart"/>
      <w:r w:rsidRPr="006B6651">
        <w:rPr>
          <w:color w:val="000000" w:themeColor="text1"/>
          <w:sz w:val="20"/>
          <w:lang w:val="ru-RU"/>
        </w:rPr>
        <w:t>діагностикою</w:t>
      </w:r>
      <w:proofErr w:type="spellEnd"/>
      <w:r w:rsidRPr="007346BD">
        <w:rPr>
          <w:color w:val="000000" w:themeColor="text1"/>
          <w:sz w:val="20"/>
          <w:lang w:val="uk-UA"/>
        </w:rPr>
        <w:t>. М</w:t>
      </w:r>
      <w:proofErr w:type="spellStart"/>
      <w:r w:rsidRPr="006B6651">
        <w:rPr>
          <w:color w:val="000000" w:themeColor="text1"/>
          <w:sz w:val="20"/>
          <w:lang w:val="ru-RU"/>
        </w:rPr>
        <w:t>едичні</w:t>
      </w:r>
      <w:proofErr w:type="spellEnd"/>
      <w:r w:rsidRPr="006B6651">
        <w:rPr>
          <w:color w:val="000000" w:themeColor="text1"/>
          <w:sz w:val="20"/>
          <w:lang w:val="ru-RU"/>
        </w:rPr>
        <w:t xml:space="preserve"> </w:t>
      </w:r>
      <w:proofErr w:type="spellStart"/>
      <w:r w:rsidRPr="006B6651">
        <w:rPr>
          <w:color w:val="000000" w:themeColor="text1"/>
          <w:sz w:val="20"/>
          <w:lang w:val="ru-RU"/>
        </w:rPr>
        <w:t>працівники</w:t>
      </w:r>
      <w:proofErr w:type="spellEnd"/>
      <w:r w:rsidRPr="006B6651">
        <w:rPr>
          <w:color w:val="000000" w:themeColor="text1"/>
          <w:sz w:val="20"/>
          <w:lang w:val="ru-RU"/>
        </w:rPr>
        <w:t xml:space="preserve"> </w:t>
      </w:r>
      <w:proofErr w:type="spellStart"/>
      <w:r w:rsidRPr="006B6651">
        <w:rPr>
          <w:color w:val="000000" w:themeColor="text1"/>
          <w:sz w:val="20"/>
          <w:lang w:val="ru-RU"/>
        </w:rPr>
        <w:t>цінують</w:t>
      </w:r>
      <w:proofErr w:type="spellEnd"/>
      <w:r w:rsidRPr="006B6651">
        <w:rPr>
          <w:color w:val="000000" w:themeColor="text1"/>
          <w:sz w:val="20"/>
          <w:lang w:val="ru-RU"/>
        </w:rPr>
        <w:t xml:space="preserve"> </w:t>
      </w:r>
      <w:proofErr w:type="spellStart"/>
      <w:r w:rsidRPr="006B6651">
        <w:rPr>
          <w:color w:val="000000" w:themeColor="text1"/>
          <w:sz w:val="20"/>
          <w:lang w:val="ru-RU"/>
        </w:rPr>
        <w:t>точність</w:t>
      </w:r>
      <w:proofErr w:type="spellEnd"/>
      <w:r w:rsidRPr="006B6651">
        <w:rPr>
          <w:color w:val="000000" w:themeColor="text1"/>
          <w:sz w:val="20"/>
          <w:lang w:val="ru-RU"/>
        </w:rPr>
        <w:t xml:space="preserve">, простоту </w:t>
      </w:r>
      <w:proofErr w:type="spellStart"/>
      <w:r w:rsidRPr="006B6651">
        <w:rPr>
          <w:color w:val="000000" w:themeColor="text1"/>
          <w:sz w:val="20"/>
          <w:lang w:val="ru-RU"/>
        </w:rPr>
        <w:t>інтерпретації</w:t>
      </w:r>
      <w:proofErr w:type="spellEnd"/>
      <w:r w:rsidRPr="006B6651">
        <w:rPr>
          <w:color w:val="000000" w:themeColor="text1"/>
          <w:sz w:val="20"/>
          <w:lang w:val="ru-RU"/>
        </w:rPr>
        <w:t xml:space="preserve"> </w:t>
      </w:r>
      <w:proofErr w:type="spellStart"/>
      <w:r w:rsidRPr="006B6651">
        <w:rPr>
          <w:color w:val="000000" w:themeColor="text1"/>
          <w:sz w:val="20"/>
          <w:lang w:val="ru-RU"/>
        </w:rPr>
        <w:t>результатів</w:t>
      </w:r>
      <w:proofErr w:type="spellEnd"/>
      <w:r w:rsidRPr="006B6651">
        <w:rPr>
          <w:color w:val="000000" w:themeColor="text1"/>
          <w:sz w:val="20"/>
          <w:lang w:val="ru-RU"/>
        </w:rPr>
        <w:t xml:space="preserve"> ТАНК, </w:t>
      </w:r>
      <w:proofErr w:type="spellStart"/>
      <w:r w:rsidRPr="006B6651">
        <w:rPr>
          <w:color w:val="000000" w:themeColor="text1"/>
          <w:sz w:val="20"/>
          <w:lang w:val="ru-RU"/>
        </w:rPr>
        <w:t>швидке</w:t>
      </w:r>
      <w:proofErr w:type="spellEnd"/>
      <w:r w:rsidRPr="006B6651">
        <w:rPr>
          <w:color w:val="000000" w:themeColor="text1"/>
          <w:sz w:val="20"/>
          <w:lang w:val="ru-RU"/>
        </w:rPr>
        <w:t xml:space="preserve"> </w:t>
      </w:r>
      <w:proofErr w:type="spellStart"/>
      <w:r w:rsidRPr="006B6651">
        <w:rPr>
          <w:color w:val="000000" w:themeColor="text1"/>
          <w:sz w:val="20"/>
          <w:lang w:val="ru-RU"/>
        </w:rPr>
        <w:t>отримання</w:t>
      </w:r>
      <w:proofErr w:type="spellEnd"/>
      <w:r w:rsidRPr="006B6651">
        <w:rPr>
          <w:color w:val="000000" w:themeColor="text1"/>
          <w:sz w:val="20"/>
          <w:lang w:val="ru-RU"/>
        </w:rPr>
        <w:t xml:space="preserve"> результату та </w:t>
      </w:r>
      <w:proofErr w:type="spellStart"/>
      <w:r w:rsidRPr="006B6651">
        <w:rPr>
          <w:color w:val="000000" w:themeColor="text1"/>
          <w:sz w:val="20"/>
          <w:lang w:val="ru-RU"/>
        </w:rPr>
        <w:t>низькі</w:t>
      </w:r>
      <w:proofErr w:type="spellEnd"/>
      <w:r w:rsidRPr="006B6651">
        <w:rPr>
          <w:color w:val="000000" w:themeColor="text1"/>
          <w:sz w:val="20"/>
          <w:lang w:val="ru-RU"/>
        </w:rPr>
        <w:t xml:space="preserve"> </w:t>
      </w:r>
      <w:proofErr w:type="spellStart"/>
      <w:r w:rsidRPr="006B6651">
        <w:rPr>
          <w:color w:val="000000" w:themeColor="text1"/>
          <w:sz w:val="20"/>
          <w:lang w:val="ru-RU"/>
        </w:rPr>
        <w:t>витрати</w:t>
      </w:r>
      <w:proofErr w:type="spellEnd"/>
      <w:r w:rsidRPr="006B6651">
        <w:rPr>
          <w:color w:val="000000" w:themeColor="text1"/>
          <w:sz w:val="20"/>
          <w:lang w:val="ru-RU"/>
        </w:rPr>
        <w:t xml:space="preserve"> для </w:t>
      </w:r>
      <w:proofErr w:type="spellStart"/>
      <w:r w:rsidRPr="006B6651">
        <w:rPr>
          <w:color w:val="000000" w:themeColor="text1"/>
          <w:sz w:val="20"/>
          <w:lang w:val="ru-RU"/>
        </w:rPr>
        <w:t>пацієнта</w:t>
      </w:r>
      <w:proofErr w:type="spellEnd"/>
      <w:r w:rsidRPr="006B6651">
        <w:rPr>
          <w:color w:val="000000" w:themeColor="text1"/>
          <w:sz w:val="20"/>
          <w:lang w:val="ru-RU"/>
        </w:rPr>
        <w:t>.</w:t>
      </w:r>
    </w:p>
    <w:p w14:paraId="2D9640C1" w14:textId="51E97399" w:rsidR="00E05B98" w:rsidRPr="003C6DAE" w:rsidRDefault="00FE76F9" w:rsidP="00FE76F9">
      <w:pPr>
        <w:pStyle w:val="a3"/>
        <w:spacing w:before="185" w:line="297" w:lineRule="auto"/>
        <w:ind w:left="567" w:right="2"/>
        <w:jc w:val="both"/>
        <w:rPr>
          <w:lang w:val="uk-UA"/>
        </w:rPr>
      </w:pPr>
      <w:r w:rsidRPr="006B6651">
        <w:rPr>
          <w:color w:val="000000" w:themeColor="text1"/>
          <w:w w:val="110"/>
          <w:sz w:val="20"/>
          <w:lang w:val="ru-RU"/>
        </w:rPr>
        <w:t xml:space="preserve">Для </w:t>
      </w:r>
      <w:proofErr w:type="spellStart"/>
      <w:r w:rsidRPr="006B6651">
        <w:rPr>
          <w:color w:val="000000" w:themeColor="text1"/>
          <w:w w:val="110"/>
          <w:sz w:val="20"/>
          <w:lang w:val="ru-RU"/>
        </w:rPr>
        <w:t>заповнення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прогалини</w:t>
      </w:r>
      <w:proofErr w:type="spellEnd"/>
      <w:r w:rsidRPr="006B6651">
        <w:rPr>
          <w:color w:val="000000" w:themeColor="text1"/>
          <w:w w:val="110"/>
          <w:sz w:val="20"/>
          <w:lang w:val="ru-RU"/>
        </w:rPr>
        <w:t xml:space="preserve"> у </w:t>
      </w:r>
      <w:proofErr w:type="spellStart"/>
      <w:r w:rsidRPr="006B6651">
        <w:rPr>
          <w:color w:val="000000" w:themeColor="text1"/>
          <w:w w:val="110"/>
          <w:sz w:val="20"/>
          <w:lang w:val="ru-RU"/>
        </w:rPr>
        <w:t>прямих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доказах</w:t>
      </w:r>
      <w:proofErr w:type="spellEnd"/>
      <w:r w:rsidRPr="006B6651">
        <w:rPr>
          <w:color w:val="000000" w:themeColor="text1"/>
          <w:w w:val="110"/>
          <w:sz w:val="20"/>
          <w:lang w:val="ru-RU"/>
        </w:rPr>
        <w:t xml:space="preserve"> ВООЗ </w:t>
      </w:r>
      <w:proofErr w:type="spellStart"/>
      <w:r w:rsidRPr="006B6651">
        <w:rPr>
          <w:color w:val="000000" w:themeColor="text1"/>
          <w:w w:val="110"/>
          <w:sz w:val="20"/>
          <w:lang w:val="ru-RU"/>
        </w:rPr>
        <w:t>ініціювала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додаткове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якісне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поперечне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дослідження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включало </w:t>
      </w:r>
      <w:proofErr w:type="spellStart"/>
      <w:r w:rsidRPr="006B6651">
        <w:rPr>
          <w:color w:val="000000" w:themeColor="text1"/>
          <w:w w:val="110"/>
          <w:sz w:val="20"/>
          <w:lang w:val="ru-RU"/>
        </w:rPr>
        <w:t>напівструктуровані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інтерв’ю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переважно</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лабораторним</w:t>
      </w:r>
      <w:proofErr w:type="spellEnd"/>
      <w:r w:rsidRPr="006B6651">
        <w:rPr>
          <w:color w:val="000000" w:themeColor="text1"/>
          <w:w w:val="110"/>
          <w:sz w:val="20"/>
          <w:lang w:val="ru-RU"/>
        </w:rPr>
        <w:t xml:space="preserve"> персоналом та </w:t>
      </w:r>
      <w:proofErr w:type="spellStart"/>
      <w:r w:rsidRPr="006B6651">
        <w:rPr>
          <w:color w:val="000000" w:themeColor="text1"/>
          <w:w w:val="110"/>
          <w:sz w:val="20"/>
          <w:lang w:val="ru-RU"/>
        </w:rPr>
        <w:t>керівним</w:t>
      </w:r>
      <w:proofErr w:type="spellEnd"/>
      <w:r w:rsidRPr="006B6651">
        <w:rPr>
          <w:color w:val="000000" w:themeColor="text1"/>
          <w:w w:val="110"/>
          <w:sz w:val="20"/>
          <w:lang w:val="ru-RU"/>
        </w:rPr>
        <w:t xml:space="preserve"> складом,</w:t>
      </w:r>
      <w:r>
        <w:rPr>
          <w:color w:val="000000" w:themeColor="text1"/>
          <w:w w:val="110"/>
          <w:sz w:val="20"/>
          <w:lang w:val="uk-UA"/>
        </w:rPr>
        <w:t xml:space="preserve"> тими, хто</w:t>
      </w:r>
      <w:r w:rsidRPr="006B6651">
        <w:rPr>
          <w:color w:val="000000" w:themeColor="text1"/>
          <w:w w:val="110"/>
          <w:sz w:val="20"/>
          <w:lang w:val="ru-RU"/>
        </w:rPr>
        <w:t xml:space="preserve"> </w:t>
      </w:r>
      <w:proofErr w:type="spellStart"/>
      <w:r w:rsidRPr="006B6651">
        <w:rPr>
          <w:color w:val="000000" w:themeColor="text1"/>
          <w:w w:val="110"/>
          <w:sz w:val="20"/>
          <w:lang w:val="ru-RU"/>
        </w:rPr>
        <w:t>безпосередньо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впроваджували</w:t>
      </w:r>
      <w:proofErr w:type="spellEnd"/>
      <w:r w:rsidRPr="006B6651">
        <w:rPr>
          <w:color w:val="000000" w:themeColor="text1"/>
          <w:w w:val="110"/>
          <w:sz w:val="20"/>
          <w:lang w:val="ru-RU"/>
        </w:rPr>
        <w:t xml:space="preserve"> таргетне СНП </w:t>
      </w:r>
      <w:r>
        <w:rPr>
          <w:color w:val="000000" w:themeColor="text1"/>
          <w:w w:val="110"/>
          <w:sz w:val="20"/>
          <w:lang w:val="uk-UA"/>
        </w:rPr>
        <w:t>у</w:t>
      </w:r>
      <w:r w:rsidRPr="006B6651">
        <w:rPr>
          <w:color w:val="000000" w:themeColor="text1"/>
          <w:w w:val="110"/>
          <w:sz w:val="20"/>
          <w:lang w:val="ru-RU"/>
        </w:rPr>
        <w:t xml:space="preserve"> </w:t>
      </w:r>
      <w:proofErr w:type="spellStart"/>
      <w:r w:rsidRPr="006B6651">
        <w:rPr>
          <w:color w:val="000000" w:themeColor="text1"/>
          <w:w w:val="110"/>
          <w:sz w:val="20"/>
          <w:lang w:val="ru-RU"/>
        </w:rPr>
        <w:t>трьох</w:t>
      </w:r>
      <w:proofErr w:type="spellEnd"/>
      <w:r w:rsidRPr="006B6651">
        <w:rPr>
          <w:color w:val="000000" w:themeColor="text1"/>
          <w:w w:val="110"/>
          <w:sz w:val="20"/>
          <w:lang w:val="ru-RU"/>
        </w:rPr>
        <w:t xml:space="preserve"> </w:t>
      </w:r>
      <w:r w:rsidRPr="00955048">
        <w:rPr>
          <w:color w:val="000000" w:themeColor="text1"/>
          <w:w w:val="110"/>
          <w:sz w:val="20"/>
          <w:lang w:val="uk-UA"/>
        </w:rPr>
        <w:t>центрах дослідження</w:t>
      </w:r>
      <w:r w:rsidRPr="006B6651">
        <w:rPr>
          <w:color w:val="000000" w:themeColor="text1"/>
          <w:w w:val="110"/>
          <w:sz w:val="20"/>
          <w:lang w:val="ru-RU"/>
        </w:rPr>
        <w:t xml:space="preserve"> </w:t>
      </w:r>
      <w:r w:rsidRPr="007346BD">
        <w:rPr>
          <w:color w:val="000000" w:themeColor="text1"/>
          <w:w w:val="110"/>
          <w:sz w:val="20"/>
        </w:rPr>
        <w:t>FIND</w:t>
      </w:r>
      <w:r>
        <w:rPr>
          <w:color w:val="000000" w:themeColor="text1"/>
          <w:w w:val="110"/>
          <w:sz w:val="20"/>
          <w:lang w:val="uk-UA"/>
        </w:rPr>
        <w:t xml:space="preserve">. Також були </w:t>
      </w:r>
      <w:proofErr w:type="spellStart"/>
      <w:r>
        <w:rPr>
          <w:color w:val="000000" w:themeColor="text1"/>
          <w:w w:val="110"/>
          <w:sz w:val="20"/>
          <w:lang w:val="uk-UA"/>
        </w:rPr>
        <w:t>інтерв</w:t>
      </w:r>
      <w:proofErr w:type="spellEnd"/>
      <w:r w:rsidRPr="006B6651">
        <w:rPr>
          <w:color w:val="000000" w:themeColor="text1"/>
          <w:w w:val="110"/>
          <w:sz w:val="20"/>
          <w:lang w:val="ru-RU"/>
        </w:rPr>
        <w:t>’</w:t>
      </w:r>
      <w:r>
        <w:rPr>
          <w:color w:val="000000" w:themeColor="text1"/>
          <w:w w:val="110"/>
          <w:sz w:val="20"/>
          <w:lang w:val="uk-UA"/>
        </w:rPr>
        <w:t xml:space="preserve">ю </w:t>
      </w:r>
      <w:r w:rsidRPr="006B6651">
        <w:rPr>
          <w:color w:val="000000" w:themeColor="text1"/>
          <w:w w:val="110"/>
          <w:sz w:val="20"/>
          <w:lang w:val="ru-RU"/>
        </w:rPr>
        <w:t xml:space="preserve">з </w:t>
      </w:r>
      <w:proofErr w:type="spellStart"/>
      <w:r w:rsidRPr="006B6651">
        <w:rPr>
          <w:color w:val="000000" w:themeColor="text1"/>
          <w:w w:val="110"/>
          <w:sz w:val="20"/>
          <w:lang w:val="ru-RU"/>
        </w:rPr>
        <w:t>трьома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глобальними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експертами</w:t>
      </w:r>
      <w:proofErr w:type="spellEnd"/>
      <w:r w:rsidRPr="006B6651">
        <w:rPr>
          <w:color w:val="000000" w:themeColor="text1"/>
          <w:w w:val="110"/>
          <w:sz w:val="20"/>
          <w:lang w:val="ru-RU"/>
        </w:rPr>
        <w:t xml:space="preserve"> у </w:t>
      </w:r>
      <w:proofErr w:type="spellStart"/>
      <w:r w:rsidRPr="006B6651">
        <w:rPr>
          <w:color w:val="000000" w:themeColor="text1"/>
          <w:w w:val="110"/>
          <w:sz w:val="20"/>
          <w:lang w:val="ru-RU"/>
        </w:rPr>
        <w:t>сфері</w:t>
      </w:r>
      <w:proofErr w:type="spellEnd"/>
      <w:r w:rsidRPr="006B6651">
        <w:rPr>
          <w:color w:val="000000" w:themeColor="text1"/>
          <w:w w:val="110"/>
          <w:sz w:val="20"/>
          <w:lang w:val="ru-RU"/>
        </w:rPr>
        <w:t xml:space="preserve"> догляду та </w:t>
      </w:r>
      <w:proofErr w:type="spellStart"/>
      <w:r w:rsidRPr="006B6651">
        <w:rPr>
          <w:color w:val="000000" w:themeColor="text1"/>
          <w:w w:val="110"/>
          <w:sz w:val="20"/>
          <w:lang w:val="ru-RU"/>
        </w:rPr>
        <w:t>діагностики</w:t>
      </w:r>
      <w:proofErr w:type="spellEnd"/>
      <w:r w:rsidRPr="006B6651">
        <w:rPr>
          <w:color w:val="000000" w:themeColor="text1"/>
          <w:w w:val="110"/>
          <w:sz w:val="20"/>
          <w:lang w:val="ru-RU"/>
        </w:rPr>
        <w:t xml:space="preserve"> ТБ. Усього участь у </w:t>
      </w:r>
      <w:proofErr w:type="spellStart"/>
      <w:r w:rsidRPr="006B6651">
        <w:rPr>
          <w:color w:val="000000" w:themeColor="text1"/>
          <w:w w:val="110"/>
          <w:sz w:val="20"/>
          <w:lang w:val="ru-RU"/>
        </w:rPr>
        <w:t>дослідженні</w:t>
      </w:r>
      <w:proofErr w:type="spellEnd"/>
      <w:r w:rsidRPr="006B6651">
        <w:rPr>
          <w:color w:val="000000" w:themeColor="text1"/>
          <w:w w:val="110"/>
          <w:sz w:val="20"/>
          <w:lang w:val="ru-RU"/>
        </w:rPr>
        <w:t xml:space="preserve"> взяли 17 </w:t>
      </w:r>
      <w:proofErr w:type="spellStart"/>
      <w:r w:rsidRPr="006B6651">
        <w:rPr>
          <w:color w:val="000000" w:themeColor="text1"/>
          <w:w w:val="110"/>
          <w:sz w:val="20"/>
          <w:lang w:val="ru-RU"/>
        </w:rPr>
        <w:t>респондентів</w:t>
      </w:r>
      <w:proofErr w:type="spellEnd"/>
      <w:r w:rsidRPr="006B6651">
        <w:rPr>
          <w:color w:val="000000" w:themeColor="text1"/>
          <w:w w:val="110"/>
          <w:sz w:val="20"/>
          <w:lang w:val="ru-RU"/>
        </w:rPr>
        <w:t xml:space="preserve">, а сам проєкт </w:t>
      </w:r>
      <w:proofErr w:type="spellStart"/>
      <w:r w:rsidRPr="006B6651">
        <w:rPr>
          <w:color w:val="000000" w:themeColor="text1"/>
          <w:w w:val="110"/>
          <w:sz w:val="20"/>
          <w:lang w:val="ru-RU"/>
        </w:rPr>
        <w:t>проводився</w:t>
      </w:r>
      <w:proofErr w:type="spellEnd"/>
      <w:r w:rsidRPr="006B6651">
        <w:rPr>
          <w:color w:val="000000" w:themeColor="text1"/>
          <w:w w:val="110"/>
          <w:sz w:val="20"/>
          <w:lang w:val="ru-RU"/>
        </w:rPr>
        <w:t xml:space="preserve"> у </w:t>
      </w:r>
      <w:proofErr w:type="spellStart"/>
      <w:r w:rsidRPr="006B6651">
        <w:rPr>
          <w:color w:val="000000" w:themeColor="text1"/>
          <w:w w:val="110"/>
          <w:sz w:val="20"/>
          <w:lang w:val="ru-RU"/>
        </w:rPr>
        <w:t>вересні</w:t>
      </w:r>
      <w:proofErr w:type="spellEnd"/>
      <w:r>
        <w:rPr>
          <w:color w:val="000000" w:themeColor="text1"/>
          <w:w w:val="110"/>
          <w:sz w:val="20"/>
          <w:lang w:val="uk-UA"/>
        </w:rPr>
        <w:t>-</w:t>
      </w:r>
      <w:proofErr w:type="spellStart"/>
      <w:r w:rsidRPr="006B6651">
        <w:rPr>
          <w:color w:val="000000" w:themeColor="text1"/>
          <w:w w:val="110"/>
          <w:sz w:val="20"/>
          <w:lang w:val="ru-RU"/>
        </w:rPr>
        <w:t>жовтні</w:t>
      </w:r>
      <w:proofErr w:type="spellEnd"/>
      <w:r w:rsidRPr="006B6651">
        <w:rPr>
          <w:color w:val="000000" w:themeColor="text1"/>
          <w:w w:val="110"/>
          <w:sz w:val="20"/>
          <w:lang w:val="ru-RU"/>
        </w:rPr>
        <w:t xml:space="preserve"> 2022 року. Метою </w:t>
      </w:r>
      <w:proofErr w:type="spellStart"/>
      <w:r w:rsidRPr="006B6651">
        <w:rPr>
          <w:color w:val="000000" w:themeColor="text1"/>
          <w:w w:val="110"/>
          <w:sz w:val="20"/>
          <w:lang w:val="ru-RU"/>
        </w:rPr>
        <w:t>було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дослідити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сприйняття</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досвід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впровадження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технології</w:t>
      </w:r>
      <w:proofErr w:type="spellEnd"/>
      <w:r w:rsidRPr="006B6651">
        <w:rPr>
          <w:color w:val="000000" w:themeColor="text1"/>
          <w:w w:val="110"/>
          <w:sz w:val="20"/>
          <w:lang w:val="ru-RU"/>
        </w:rPr>
        <w:t xml:space="preserve"> таргетного СНП у </w:t>
      </w:r>
      <w:proofErr w:type="spellStart"/>
      <w:r w:rsidRPr="006B6651">
        <w:rPr>
          <w:color w:val="000000" w:themeColor="text1"/>
          <w:w w:val="110"/>
          <w:sz w:val="20"/>
          <w:lang w:val="ru-RU"/>
        </w:rPr>
        <w:t>контексті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прийнятності</w:t>
      </w:r>
      <w:proofErr w:type="spellEnd"/>
      <w:r w:rsidRPr="006B6651">
        <w:rPr>
          <w:color w:val="000000" w:themeColor="text1"/>
          <w:w w:val="110"/>
          <w:sz w:val="20"/>
          <w:lang w:val="ru-RU"/>
        </w:rPr>
        <w:t xml:space="preserve">, </w:t>
      </w:r>
      <w:r w:rsidRPr="007346BD">
        <w:rPr>
          <w:color w:val="000000" w:themeColor="text1"/>
          <w:w w:val="110"/>
          <w:sz w:val="20"/>
          <w:lang w:val="uk-UA"/>
        </w:rPr>
        <w:t>можливості реалізації</w:t>
      </w:r>
      <w:r w:rsidRPr="006B6651">
        <w:rPr>
          <w:color w:val="000000" w:themeColor="text1"/>
          <w:w w:val="110"/>
          <w:sz w:val="20"/>
          <w:lang w:val="ru-RU"/>
        </w:rPr>
        <w:t xml:space="preserve">, </w:t>
      </w:r>
      <w:proofErr w:type="spellStart"/>
      <w:r w:rsidRPr="006B6651">
        <w:rPr>
          <w:color w:val="000000" w:themeColor="text1"/>
          <w:w w:val="110"/>
          <w:sz w:val="20"/>
          <w:lang w:val="ru-RU"/>
        </w:rPr>
        <w:t>цінностей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уподобань</w:t>
      </w:r>
      <w:proofErr w:type="spellEnd"/>
      <w:r w:rsidRPr="006B6651">
        <w:rPr>
          <w:color w:val="000000" w:themeColor="text1"/>
          <w:w w:val="110"/>
          <w:sz w:val="20"/>
          <w:lang w:val="ru-RU"/>
        </w:rPr>
        <w:t xml:space="preserve"> і </w:t>
      </w:r>
      <w:proofErr w:type="spellStart"/>
      <w:r w:rsidRPr="006B6651">
        <w:rPr>
          <w:color w:val="000000" w:themeColor="text1"/>
          <w:w w:val="110"/>
          <w:sz w:val="20"/>
          <w:lang w:val="ru-RU"/>
        </w:rPr>
        <w:t>справедливості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Основні</w:t>
      </w:r>
      <w:proofErr w:type="spellEnd"/>
      <w:r w:rsidRPr="006B6651">
        <w:rPr>
          <w:color w:val="000000" w:themeColor="text1"/>
          <w:w w:val="110"/>
          <w:sz w:val="20"/>
          <w:lang w:val="ru-RU"/>
        </w:rPr>
        <w:t xml:space="preserve"> </w:t>
      </w:r>
      <w:r w:rsidRPr="007346BD">
        <w:rPr>
          <w:color w:val="000000" w:themeColor="text1"/>
          <w:w w:val="110"/>
          <w:sz w:val="20"/>
          <w:lang w:val="uk-UA"/>
        </w:rPr>
        <w:t>висновки</w:t>
      </w:r>
      <w:r w:rsidRPr="006B6651">
        <w:rPr>
          <w:color w:val="000000" w:themeColor="text1"/>
          <w:w w:val="110"/>
          <w:sz w:val="20"/>
          <w:lang w:val="ru-RU"/>
        </w:rPr>
        <w:t xml:space="preserve"> </w:t>
      </w:r>
      <w:r w:rsidRPr="007346BD">
        <w:rPr>
          <w:color w:val="000000" w:themeColor="text1"/>
          <w:w w:val="110"/>
          <w:sz w:val="20"/>
          <w:lang w:val="uk-UA"/>
        </w:rPr>
        <w:t>наведені</w:t>
      </w:r>
      <w:r w:rsidRPr="006B6651">
        <w:rPr>
          <w:color w:val="000000" w:themeColor="text1"/>
          <w:w w:val="110"/>
          <w:sz w:val="20"/>
          <w:lang w:val="ru-RU"/>
        </w:rPr>
        <w:t xml:space="preserve"> </w:t>
      </w:r>
      <w:proofErr w:type="spellStart"/>
      <w:r w:rsidRPr="006B6651">
        <w:rPr>
          <w:color w:val="000000" w:themeColor="text1"/>
          <w:w w:val="110"/>
          <w:sz w:val="20"/>
          <w:lang w:val="ru-RU"/>
        </w:rPr>
        <w:t>нижче</w:t>
      </w:r>
      <w:proofErr w:type="spellEnd"/>
      <w:r w:rsidRPr="006B6651">
        <w:rPr>
          <w:color w:val="000000" w:themeColor="text1"/>
          <w:w w:val="110"/>
          <w:sz w:val="20"/>
          <w:lang w:val="ru-RU"/>
        </w:rPr>
        <w:t>.</w:t>
      </w:r>
    </w:p>
    <w:p w14:paraId="42C6F357" w14:textId="77777777" w:rsidR="004A2937" w:rsidRDefault="004A2937" w:rsidP="00FE76F9">
      <w:pPr>
        <w:pStyle w:val="a3"/>
        <w:spacing w:line="297" w:lineRule="auto"/>
        <w:ind w:right="571"/>
        <w:jc w:val="both"/>
        <w:rPr>
          <w:lang w:val="uk-UA"/>
        </w:rPr>
      </w:pPr>
    </w:p>
    <w:p w14:paraId="66F8B2EA" w14:textId="5402C674" w:rsidR="004A2937" w:rsidRPr="004A2937" w:rsidRDefault="004A2937" w:rsidP="004A2937">
      <w:pPr>
        <w:rPr>
          <w:lang w:val="uk-UA"/>
        </w:rPr>
      </w:pPr>
    </w:p>
    <w:p w14:paraId="62B84D5A" w14:textId="0EDB30CE" w:rsidR="004A2937" w:rsidRDefault="004A2937" w:rsidP="004A2937">
      <w:pPr>
        <w:jc w:val="right"/>
        <w:rPr>
          <w:lang w:val="uk-UA"/>
        </w:rPr>
      </w:pPr>
    </w:p>
    <w:p w14:paraId="687ECD54" w14:textId="09EBFD98" w:rsidR="004A2937" w:rsidRDefault="004A2937" w:rsidP="004A2937">
      <w:pPr>
        <w:rPr>
          <w:lang w:val="uk-UA"/>
        </w:rPr>
      </w:pPr>
      <w:r>
        <w:rPr>
          <w:noProof/>
          <w:color w:val="000000" w:themeColor="text1"/>
          <w:sz w:val="20"/>
        </w:rPr>
        <mc:AlternateContent>
          <mc:Choice Requires="wps">
            <w:drawing>
              <wp:anchor distT="0" distB="0" distL="114300" distR="114300" simplePos="0" relativeHeight="488240640" behindDoc="0" locked="0" layoutInCell="1" allowOverlap="1" wp14:anchorId="7D0BE89D" wp14:editId="6FC261F5">
                <wp:simplePos x="0" y="0"/>
                <wp:positionH relativeFrom="margin">
                  <wp:posOffset>6031865</wp:posOffset>
                </wp:positionH>
                <wp:positionV relativeFrom="paragraph">
                  <wp:posOffset>53975</wp:posOffset>
                </wp:positionV>
                <wp:extent cx="482600" cy="285750"/>
                <wp:effectExtent l="0" t="0" r="0" b="0"/>
                <wp:wrapNone/>
                <wp:docPr id="560357960" name="Поле 1942"/>
                <wp:cNvGraphicFramePr/>
                <a:graphic xmlns:a="http://schemas.openxmlformats.org/drawingml/2006/main">
                  <a:graphicData uri="http://schemas.microsoft.com/office/word/2010/wordprocessingShape">
                    <wps:wsp>
                      <wps:cNvSpPr txBox="1"/>
                      <wps:spPr>
                        <a:xfrm>
                          <a:off x="0" y="0"/>
                          <a:ext cx="482600" cy="285750"/>
                        </a:xfrm>
                        <a:prstGeom prst="rect">
                          <a:avLst/>
                        </a:prstGeom>
                        <a:solidFill>
                          <a:schemeClr val="lt1"/>
                        </a:solidFill>
                        <a:ln w="6350">
                          <a:noFill/>
                        </a:ln>
                      </wps:spPr>
                      <wps:txbx>
                        <w:txbxContent>
                          <w:p w14:paraId="6397FF15" w14:textId="77777777" w:rsidR="004A2937" w:rsidRPr="004A2937" w:rsidRDefault="004A2937" w:rsidP="004A2937">
                            <w:pPr>
                              <w:rPr>
                                <w:color w:val="388600"/>
                                <w:sz w:val="20"/>
                                <w:szCs w:val="20"/>
                                <w:lang w:val="uk-UA"/>
                              </w:rPr>
                            </w:pPr>
                            <w:r w:rsidRPr="004A2937">
                              <w:rPr>
                                <w:color w:val="388600"/>
                                <w:sz w:val="20"/>
                                <w:szCs w:val="20"/>
                                <w:lang w:val="uk-UA"/>
                              </w:rPr>
                              <w:t>1</w:t>
                            </w:r>
                            <w:r>
                              <w:rPr>
                                <w:color w:val="388600"/>
                                <w:sz w:val="20"/>
                                <w:szCs w:val="20"/>
                                <w:lang w:val="uk-U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BE89D" id="_x0000_s1183" type="#_x0000_t202" style="position:absolute;margin-left:474.95pt;margin-top:4.25pt;width:38pt;height:22.5pt;z-index:48824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2t+MAIAAFwEAAAOAAAAZHJzL2Uyb0RvYy54bWysVEuP2jAQvlfqf7B8LwkUW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" fillcolor="white [3201]" stroked="f" strokeweight=".5pt">
                <v:textbox>
                  <w:txbxContent>
                    <w:p w14:paraId="6397FF15" w14:textId="77777777" w:rsidR="004A2937" w:rsidRPr="004A2937" w:rsidRDefault="004A2937" w:rsidP="004A2937">
                      <w:pPr>
                        <w:rPr>
                          <w:color w:val="388600"/>
                          <w:sz w:val="20"/>
                          <w:szCs w:val="20"/>
                          <w:lang w:val="uk-UA"/>
                        </w:rPr>
                      </w:pPr>
                      <w:r w:rsidRPr="004A2937">
                        <w:rPr>
                          <w:color w:val="388600"/>
                          <w:sz w:val="20"/>
                          <w:szCs w:val="20"/>
                          <w:lang w:val="uk-UA"/>
                        </w:rPr>
                        <w:t>1</w:t>
                      </w:r>
                      <w:r>
                        <w:rPr>
                          <w:color w:val="388600"/>
                          <w:sz w:val="20"/>
                          <w:szCs w:val="20"/>
                          <w:lang w:val="uk-UA"/>
                        </w:rPr>
                        <w:t>13</w:t>
                      </w:r>
                    </w:p>
                  </w:txbxContent>
                </v:textbox>
                <w10:wrap anchorx="margin"/>
              </v:shape>
            </w:pict>
          </mc:Fallback>
        </mc:AlternateContent>
      </w:r>
    </w:p>
    <w:p w14:paraId="783EF89D" w14:textId="37B4066B" w:rsidR="004A2937" w:rsidRPr="004A2937" w:rsidRDefault="004A2937" w:rsidP="004A2937">
      <w:pPr>
        <w:rPr>
          <w:lang w:val="uk-UA"/>
        </w:rPr>
        <w:sectPr w:rsidR="004A2937" w:rsidRPr="004A2937" w:rsidSect="00FE76F9">
          <w:pgSz w:w="11910" w:h="16840"/>
          <w:pgMar w:top="1134" w:right="1276" w:bottom="278" w:left="851" w:header="0" w:footer="573" w:gutter="0"/>
          <w:cols w:space="720"/>
        </w:sectPr>
      </w:pPr>
    </w:p>
    <w:p w14:paraId="6A3C6A05" w14:textId="77777777" w:rsidR="00FE76F9" w:rsidRPr="006B6651" w:rsidRDefault="00FE76F9" w:rsidP="00FE76F9">
      <w:pPr>
        <w:pStyle w:val="9"/>
        <w:spacing w:before="86"/>
        <w:rPr>
          <w:rFonts w:ascii="Microsoft Sans Serif" w:hAnsi="Microsoft Sans Serif" w:cs="Microsoft Sans Serif"/>
          <w:color w:val="000000" w:themeColor="text1"/>
          <w:w w:val="115"/>
          <w:lang w:val="ru-RU"/>
        </w:rPr>
      </w:pPr>
      <w:proofErr w:type="spellStart"/>
      <w:r w:rsidRPr="006B6651">
        <w:rPr>
          <w:rFonts w:ascii="Microsoft Sans Serif" w:hAnsi="Microsoft Sans Serif" w:cs="Microsoft Sans Serif"/>
          <w:color w:val="000000" w:themeColor="text1"/>
          <w:w w:val="115"/>
          <w:lang w:val="ru-RU"/>
        </w:rPr>
        <w:lastRenderedPageBreak/>
        <w:t>Прийнятність</w:t>
      </w:r>
      <w:proofErr w:type="spellEnd"/>
    </w:p>
    <w:p w14:paraId="54CBA23E" w14:textId="77777777" w:rsidR="00FE76F9" w:rsidRDefault="00FE76F9" w:rsidP="00FE76F9">
      <w:pPr>
        <w:spacing w:line="276" w:lineRule="auto"/>
        <w:ind w:right="1134" w:firstLine="567"/>
        <w:rPr>
          <w:color w:val="000000" w:themeColor="text1"/>
          <w:w w:val="110"/>
          <w:sz w:val="20"/>
          <w:lang w:val="ru-RU"/>
        </w:rPr>
      </w:pPr>
    </w:p>
    <w:p w14:paraId="2ABC2FBD" w14:textId="103177BF" w:rsidR="00FE76F9" w:rsidRPr="006B6651" w:rsidRDefault="00FE76F9" w:rsidP="00FE76F9">
      <w:pPr>
        <w:spacing w:line="276" w:lineRule="auto"/>
        <w:ind w:left="567" w:right="147"/>
        <w:rPr>
          <w:color w:val="000000" w:themeColor="text1"/>
          <w:w w:val="110"/>
          <w:sz w:val="20"/>
          <w:lang w:val="ru-RU"/>
        </w:rPr>
      </w:pPr>
      <w:proofErr w:type="spellStart"/>
      <w:r w:rsidRPr="006B6651">
        <w:rPr>
          <w:color w:val="000000" w:themeColor="text1"/>
          <w:w w:val="110"/>
          <w:sz w:val="20"/>
          <w:lang w:val="ru-RU"/>
        </w:rPr>
        <w:t>Постійно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висловлювалося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позитивне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ставлення</w:t>
      </w:r>
      <w:proofErr w:type="spellEnd"/>
      <w:r w:rsidRPr="006B6651">
        <w:rPr>
          <w:color w:val="000000" w:themeColor="text1"/>
          <w:w w:val="110"/>
          <w:sz w:val="20"/>
          <w:lang w:val="ru-RU"/>
        </w:rPr>
        <w:t xml:space="preserve"> до </w:t>
      </w:r>
      <w:proofErr w:type="spellStart"/>
      <w:r w:rsidRPr="006B6651">
        <w:rPr>
          <w:color w:val="000000" w:themeColor="text1"/>
          <w:w w:val="110"/>
          <w:sz w:val="20"/>
          <w:lang w:val="ru-RU"/>
        </w:rPr>
        <w:t>прийнятності</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потенційної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користі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технології</w:t>
      </w:r>
      <w:proofErr w:type="spellEnd"/>
      <w:r w:rsidRPr="006B6651">
        <w:rPr>
          <w:color w:val="000000" w:themeColor="text1"/>
          <w:w w:val="110"/>
          <w:sz w:val="20"/>
          <w:lang w:val="ru-RU"/>
        </w:rPr>
        <w:t xml:space="preserve"> таргетного СНП. Таргетне СНП </w:t>
      </w:r>
      <w:proofErr w:type="spellStart"/>
      <w:r w:rsidRPr="006B6651">
        <w:rPr>
          <w:color w:val="000000" w:themeColor="text1"/>
          <w:w w:val="110"/>
          <w:sz w:val="20"/>
          <w:lang w:val="ru-RU"/>
        </w:rPr>
        <w:t>розглядалося</w:t>
      </w:r>
      <w:proofErr w:type="spellEnd"/>
      <w:r w:rsidRPr="006B6651">
        <w:rPr>
          <w:color w:val="000000" w:themeColor="text1"/>
          <w:w w:val="110"/>
          <w:sz w:val="20"/>
          <w:lang w:val="ru-RU"/>
        </w:rPr>
        <w:t xml:space="preserve"> як «</w:t>
      </w:r>
      <w:proofErr w:type="spellStart"/>
      <w:r w:rsidRPr="006B6651">
        <w:rPr>
          <w:color w:val="000000" w:themeColor="text1"/>
          <w:w w:val="110"/>
          <w:sz w:val="20"/>
          <w:lang w:val="ru-RU"/>
        </w:rPr>
        <w:t>важливий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прорив</w:t>
      </w:r>
      <w:proofErr w:type="spellEnd"/>
      <w:r w:rsidRPr="006B6651">
        <w:rPr>
          <w:color w:val="000000" w:themeColor="text1"/>
          <w:w w:val="110"/>
          <w:sz w:val="20"/>
          <w:lang w:val="ru-RU"/>
        </w:rPr>
        <w:t xml:space="preserve">» у </w:t>
      </w:r>
      <w:proofErr w:type="spellStart"/>
      <w:r w:rsidRPr="006B6651">
        <w:rPr>
          <w:color w:val="000000" w:themeColor="text1"/>
          <w:w w:val="110"/>
          <w:sz w:val="20"/>
          <w:lang w:val="ru-RU"/>
        </w:rPr>
        <w:t>молекулярній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діагностиці</w:t>
      </w:r>
      <w:proofErr w:type="spellEnd"/>
      <w:r w:rsidRPr="006B6651">
        <w:rPr>
          <w:color w:val="000000" w:themeColor="text1"/>
          <w:w w:val="110"/>
          <w:sz w:val="20"/>
          <w:lang w:val="ru-RU"/>
        </w:rPr>
        <w:t xml:space="preserve"> </w:t>
      </w:r>
      <w:r w:rsidRPr="007346BD">
        <w:rPr>
          <w:color w:val="000000" w:themeColor="text1"/>
          <w:w w:val="110"/>
          <w:sz w:val="20"/>
          <w:lang w:val="uk-UA"/>
        </w:rPr>
        <w:t>МЛС-</w:t>
      </w:r>
      <w:r w:rsidRPr="006B6651">
        <w:rPr>
          <w:color w:val="000000" w:themeColor="text1"/>
          <w:w w:val="110"/>
          <w:sz w:val="20"/>
          <w:lang w:val="ru-RU"/>
        </w:rPr>
        <w:t>ТБ.</w:t>
      </w:r>
    </w:p>
    <w:p w14:paraId="10802B0C" w14:textId="77777777" w:rsidR="00FE76F9" w:rsidRPr="006B6651" w:rsidRDefault="00FE76F9" w:rsidP="004A2937">
      <w:pPr>
        <w:pStyle w:val="a4"/>
        <w:numPr>
          <w:ilvl w:val="0"/>
          <w:numId w:val="52"/>
        </w:numPr>
        <w:tabs>
          <w:tab w:val="left" w:pos="1985"/>
        </w:tabs>
        <w:spacing w:before="176" w:line="276" w:lineRule="auto"/>
        <w:ind w:left="1135" w:right="147"/>
        <w:rPr>
          <w:color w:val="000000" w:themeColor="text1"/>
          <w:sz w:val="20"/>
          <w:lang w:val="ru-RU"/>
        </w:rPr>
      </w:pPr>
      <w:proofErr w:type="spellStart"/>
      <w:r w:rsidRPr="006B6651">
        <w:rPr>
          <w:color w:val="000000" w:themeColor="text1"/>
          <w:sz w:val="20"/>
          <w:lang w:val="ru-RU"/>
        </w:rPr>
        <w:t>Основними</w:t>
      </w:r>
      <w:proofErr w:type="spellEnd"/>
      <w:r w:rsidRPr="006B6651">
        <w:rPr>
          <w:color w:val="000000" w:themeColor="text1"/>
          <w:sz w:val="20"/>
          <w:lang w:val="ru-RU"/>
        </w:rPr>
        <w:t xml:space="preserve"> причинами </w:t>
      </w:r>
      <w:proofErr w:type="spellStart"/>
      <w:r w:rsidRPr="006B6651">
        <w:rPr>
          <w:b/>
          <w:color w:val="000000" w:themeColor="text1"/>
          <w:sz w:val="20"/>
          <w:lang w:val="ru-RU"/>
        </w:rPr>
        <w:t>високого</w:t>
      </w:r>
      <w:proofErr w:type="spellEnd"/>
      <w:r w:rsidRPr="006B6651">
        <w:rPr>
          <w:b/>
          <w:color w:val="000000" w:themeColor="text1"/>
          <w:sz w:val="20"/>
          <w:lang w:val="ru-RU"/>
        </w:rPr>
        <w:t xml:space="preserve"> </w:t>
      </w:r>
      <w:proofErr w:type="spellStart"/>
      <w:r w:rsidRPr="006B6651">
        <w:rPr>
          <w:b/>
          <w:color w:val="000000" w:themeColor="text1"/>
          <w:sz w:val="20"/>
          <w:lang w:val="ru-RU"/>
        </w:rPr>
        <w:t>рівня</w:t>
      </w:r>
      <w:proofErr w:type="spellEnd"/>
      <w:r w:rsidRPr="006B6651">
        <w:rPr>
          <w:b/>
          <w:color w:val="000000" w:themeColor="text1"/>
          <w:sz w:val="20"/>
          <w:lang w:val="ru-RU"/>
        </w:rPr>
        <w:t xml:space="preserve"> </w:t>
      </w:r>
      <w:proofErr w:type="spellStart"/>
      <w:r w:rsidRPr="006B6651">
        <w:rPr>
          <w:b/>
          <w:color w:val="000000" w:themeColor="text1"/>
          <w:sz w:val="20"/>
          <w:lang w:val="ru-RU"/>
        </w:rPr>
        <w:t>прийнятності</w:t>
      </w:r>
      <w:proofErr w:type="spellEnd"/>
      <w:r w:rsidRPr="006B6651">
        <w:rPr>
          <w:color w:val="000000" w:themeColor="text1"/>
          <w:sz w:val="20"/>
          <w:lang w:val="ru-RU"/>
        </w:rPr>
        <w:t xml:space="preserve"> </w:t>
      </w:r>
      <w:r w:rsidRPr="006B6651">
        <w:rPr>
          <w:b/>
          <w:color w:val="000000" w:themeColor="text1"/>
          <w:sz w:val="20"/>
          <w:lang w:val="ru-RU"/>
        </w:rPr>
        <w:t xml:space="preserve">були </w:t>
      </w:r>
      <w:r w:rsidRPr="007346BD">
        <w:rPr>
          <w:b/>
          <w:color w:val="000000" w:themeColor="text1"/>
          <w:sz w:val="20"/>
          <w:lang w:val="uk-UA"/>
        </w:rPr>
        <w:t>комплексність</w:t>
      </w:r>
      <w:r w:rsidRPr="006B6651">
        <w:rPr>
          <w:color w:val="000000" w:themeColor="text1"/>
          <w:sz w:val="20"/>
          <w:lang w:val="ru-RU"/>
        </w:rPr>
        <w:t xml:space="preserve"> (</w:t>
      </w:r>
      <w:proofErr w:type="spellStart"/>
      <w:r w:rsidRPr="006B6651">
        <w:rPr>
          <w:color w:val="000000" w:themeColor="text1"/>
          <w:sz w:val="20"/>
          <w:lang w:val="ru-RU"/>
        </w:rPr>
        <w:t>визначення</w:t>
      </w:r>
      <w:proofErr w:type="spellEnd"/>
      <w:r w:rsidRPr="006B6651">
        <w:rPr>
          <w:color w:val="000000" w:themeColor="text1"/>
          <w:sz w:val="20"/>
          <w:lang w:val="ru-RU"/>
        </w:rPr>
        <w:t xml:space="preserve"> </w:t>
      </w:r>
      <w:proofErr w:type="spellStart"/>
      <w:r w:rsidRPr="006B6651">
        <w:rPr>
          <w:color w:val="000000" w:themeColor="text1"/>
          <w:sz w:val="20"/>
          <w:lang w:val="ru-RU"/>
        </w:rPr>
        <w:t>стійкості</w:t>
      </w:r>
      <w:proofErr w:type="spellEnd"/>
      <w:r w:rsidRPr="006B6651">
        <w:rPr>
          <w:color w:val="000000" w:themeColor="text1"/>
          <w:sz w:val="20"/>
          <w:lang w:val="ru-RU"/>
        </w:rPr>
        <w:t xml:space="preserve"> до </w:t>
      </w:r>
      <w:proofErr w:type="spellStart"/>
      <w:r w:rsidRPr="006B6651">
        <w:rPr>
          <w:color w:val="000000" w:themeColor="text1"/>
          <w:sz w:val="20"/>
          <w:lang w:val="ru-RU"/>
        </w:rPr>
        <w:t>більшої</w:t>
      </w:r>
      <w:proofErr w:type="spellEnd"/>
      <w:r w:rsidRPr="006B6651">
        <w:rPr>
          <w:color w:val="000000" w:themeColor="text1"/>
          <w:sz w:val="20"/>
          <w:lang w:val="ru-RU"/>
        </w:rPr>
        <w:t xml:space="preserve"> </w:t>
      </w:r>
      <w:proofErr w:type="spellStart"/>
      <w:r w:rsidRPr="006B6651">
        <w:rPr>
          <w:color w:val="000000" w:themeColor="text1"/>
          <w:sz w:val="20"/>
          <w:lang w:val="ru-RU"/>
        </w:rPr>
        <w:t>кількості</w:t>
      </w:r>
      <w:proofErr w:type="spellEnd"/>
      <w:r w:rsidRPr="006B6651">
        <w:rPr>
          <w:color w:val="000000" w:themeColor="text1"/>
          <w:sz w:val="20"/>
          <w:lang w:val="ru-RU"/>
        </w:rPr>
        <w:t xml:space="preserve"> </w:t>
      </w:r>
      <w:proofErr w:type="spellStart"/>
      <w:r w:rsidRPr="006B6651">
        <w:rPr>
          <w:color w:val="000000" w:themeColor="text1"/>
          <w:sz w:val="20"/>
          <w:lang w:val="ru-RU"/>
        </w:rPr>
        <w:t>препаратів</w:t>
      </w:r>
      <w:proofErr w:type="spellEnd"/>
      <w:r w:rsidRPr="006B6651">
        <w:rPr>
          <w:color w:val="000000" w:themeColor="text1"/>
          <w:sz w:val="20"/>
          <w:lang w:val="ru-RU"/>
        </w:rPr>
        <w:t xml:space="preserve">, </w:t>
      </w:r>
      <w:proofErr w:type="spellStart"/>
      <w:r w:rsidRPr="006B6651">
        <w:rPr>
          <w:color w:val="000000" w:themeColor="text1"/>
          <w:sz w:val="20"/>
          <w:lang w:val="ru-RU"/>
        </w:rPr>
        <w:t>включно</w:t>
      </w:r>
      <w:proofErr w:type="spellEnd"/>
      <w:r w:rsidRPr="006B6651">
        <w:rPr>
          <w:color w:val="000000" w:themeColor="text1"/>
          <w:sz w:val="20"/>
          <w:lang w:val="ru-RU"/>
        </w:rPr>
        <w:t xml:space="preserve"> з </w:t>
      </w:r>
      <w:proofErr w:type="spellStart"/>
      <w:r w:rsidRPr="006B6651">
        <w:rPr>
          <w:color w:val="000000" w:themeColor="text1"/>
          <w:sz w:val="20"/>
          <w:lang w:val="ru-RU"/>
        </w:rPr>
        <w:t>новими</w:t>
      </w:r>
      <w:proofErr w:type="spellEnd"/>
      <w:r w:rsidRPr="006B6651">
        <w:rPr>
          <w:color w:val="000000" w:themeColor="text1"/>
          <w:sz w:val="20"/>
          <w:lang w:val="ru-RU"/>
        </w:rPr>
        <w:t xml:space="preserve"> та </w:t>
      </w:r>
      <w:r w:rsidRPr="007346BD">
        <w:rPr>
          <w:color w:val="000000" w:themeColor="text1"/>
          <w:sz w:val="20"/>
          <w:lang w:val="uk-UA"/>
        </w:rPr>
        <w:t>пере</w:t>
      </w:r>
      <w:proofErr w:type="spellStart"/>
      <w:r w:rsidRPr="006B6651">
        <w:rPr>
          <w:color w:val="000000" w:themeColor="text1"/>
          <w:sz w:val="20"/>
          <w:lang w:val="ru-RU"/>
        </w:rPr>
        <w:t>профільованими</w:t>
      </w:r>
      <w:proofErr w:type="spellEnd"/>
      <w:r w:rsidRPr="006B6651">
        <w:rPr>
          <w:color w:val="000000" w:themeColor="text1"/>
          <w:sz w:val="20"/>
          <w:lang w:val="ru-RU"/>
        </w:rPr>
        <w:t xml:space="preserve">), </w:t>
      </w:r>
      <w:proofErr w:type="spellStart"/>
      <w:r w:rsidRPr="006B6651">
        <w:rPr>
          <w:b/>
          <w:color w:val="000000" w:themeColor="text1"/>
          <w:sz w:val="20"/>
          <w:lang w:val="ru-RU"/>
        </w:rPr>
        <w:t>зручність</w:t>
      </w:r>
      <w:proofErr w:type="spellEnd"/>
      <w:r w:rsidRPr="006B6651">
        <w:rPr>
          <w:b/>
          <w:color w:val="000000" w:themeColor="text1"/>
          <w:sz w:val="20"/>
          <w:lang w:val="ru-RU"/>
        </w:rPr>
        <w:t xml:space="preserve"> використання </w:t>
      </w:r>
      <w:proofErr w:type="spellStart"/>
      <w:r w:rsidRPr="006B6651">
        <w:rPr>
          <w:b/>
          <w:color w:val="000000" w:themeColor="text1"/>
          <w:sz w:val="20"/>
          <w:lang w:val="ru-RU"/>
        </w:rPr>
        <w:t>зразка</w:t>
      </w:r>
      <w:proofErr w:type="spellEnd"/>
      <w:r w:rsidRPr="006B6651">
        <w:rPr>
          <w:b/>
          <w:color w:val="000000" w:themeColor="text1"/>
          <w:sz w:val="20"/>
          <w:lang w:val="ru-RU"/>
        </w:rPr>
        <w:t xml:space="preserve"> </w:t>
      </w:r>
      <w:proofErr w:type="spellStart"/>
      <w:r w:rsidRPr="006B6651">
        <w:rPr>
          <w:b/>
          <w:color w:val="000000" w:themeColor="text1"/>
          <w:sz w:val="20"/>
          <w:lang w:val="ru-RU"/>
        </w:rPr>
        <w:t>мокротиння</w:t>
      </w:r>
      <w:proofErr w:type="spellEnd"/>
      <w:r w:rsidRPr="006B6651">
        <w:rPr>
          <w:color w:val="000000" w:themeColor="text1"/>
          <w:sz w:val="20"/>
          <w:lang w:val="ru-RU"/>
        </w:rPr>
        <w:t xml:space="preserve"> (на </w:t>
      </w:r>
      <w:proofErr w:type="spellStart"/>
      <w:r w:rsidRPr="006B6651">
        <w:rPr>
          <w:color w:val="000000" w:themeColor="text1"/>
          <w:sz w:val="20"/>
          <w:lang w:val="ru-RU"/>
        </w:rPr>
        <w:t>відміну</w:t>
      </w:r>
      <w:proofErr w:type="spellEnd"/>
      <w:r w:rsidRPr="006B6651">
        <w:rPr>
          <w:color w:val="000000" w:themeColor="text1"/>
          <w:sz w:val="20"/>
          <w:lang w:val="ru-RU"/>
        </w:rPr>
        <w:t xml:space="preserve"> </w:t>
      </w:r>
      <w:proofErr w:type="spellStart"/>
      <w:r w:rsidRPr="006B6651">
        <w:rPr>
          <w:color w:val="000000" w:themeColor="text1"/>
          <w:sz w:val="20"/>
          <w:lang w:val="ru-RU"/>
        </w:rPr>
        <w:t>від</w:t>
      </w:r>
      <w:proofErr w:type="spellEnd"/>
      <w:r w:rsidRPr="006B6651">
        <w:rPr>
          <w:color w:val="000000" w:themeColor="text1"/>
          <w:sz w:val="20"/>
          <w:lang w:val="ru-RU"/>
        </w:rPr>
        <w:t xml:space="preserve"> культур</w:t>
      </w:r>
      <w:r>
        <w:rPr>
          <w:color w:val="000000" w:themeColor="text1"/>
          <w:sz w:val="20"/>
          <w:lang w:val="uk-UA"/>
        </w:rPr>
        <w:t>аль</w:t>
      </w:r>
      <w:r w:rsidRPr="006B6651">
        <w:rPr>
          <w:color w:val="000000" w:themeColor="text1"/>
          <w:sz w:val="20"/>
          <w:lang w:val="ru-RU"/>
        </w:rPr>
        <w:t xml:space="preserve">них </w:t>
      </w:r>
      <w:proofErr w:type="spellStart"/>
      <w:r w:rsidRPr="006B6651">
        <w:rPr>
          <w:color w:val="000000" w:themeColor="text1"/>
          <w:sz w:val="20"/>
          <w:lang w:val="ru-RU"/>
        </w:rPr>
        <w:t>зразків</w:t>
      </w:r>
      <w:proofErr w:type="spellEnd"/>
      <w:r w:rsidRPr="006B6651">
        <w:rPr>
          <w:color w:val="000000" w:themeColor="text1"/>
          <w:sz w:val="20"/>
          <w:lang w:val="ru-RU"/>
        </w:rPr>
        <w:t xml:space="preserve">) </w:t>
      </w:r>
      <w:r w:rsidRPr="006B6651">
        <w:rPr>
          <w:b/>
          <w:color w:val="000000" w:themeColor="text1"/>
          <w:sz w:val="20"/>
          <w:lang w:val="ru-RU"/>
        </w:rPr>
        <w:t xml:space="preserve">і </w:t>
      </w:r>
      <w:proofErr w:type="spellStart"/>
      <w:r w:rsidRPr="006B6651">
        <w:rPr>
          <w:b/>
          <w:color w:val="000000" w:themeColor="text1"/>
          <w:sz w:val="20"/>
          <w:lang w:val="ru-RU"/>
        </w:rPr>
        <w:t>швидкість</w:t>
      </w:r>
      <w:proofErr w:type="spellEnd"/>
      <w:r w:rsidRPr="006B6651">
        <w:rPr>
          <w:color w:val="000000" w:themeColor="text1"/>
          <w:sz w:val="20"/>
          <w:lang w:val="ru-RU"/>
        </w:rPr>
        <w:t xml:space="preserve"> (</w:t>
      </w:r>
      <w:proofErr w:type="spellStart"/>
      <w:r w:rsidRPr="006B6651">
        <w:rPr>
          <w:color w:val="000000" w:themeColor="text1"/>
          <w:sz w:val="20"/>
          <w:lang w:val="ru-RU"/>
        </w:rPr>
        <w:t>швидке</w:t>
      </w:r>
      <w:proofErr w:type="spellEnd"/>
      <w:r w:rsidRPr="006B6651">
        <w:rPr>
          <w:color w:val="000000" w:themeColor="text1"/>
          <w:sz w:val="20"/>
          <w:lang w:val="ru-RU"/>
        </w:rPr>
        <w:t xml:space="preserve"> </w:t>
      </w:r>
      <w:proofErr w:type="spellStart"/>
      <w:r w:rsidRPr="006B6651">
        <w:rPr>
          <w:color w:val="000000" w:themeColor="text1"/>
          <w:sz w:val="20"/>
          <w:lang w:val="ru-RU"/>
        </w:rPr>
        <w:t>отримання</w:t>
      </w:r>
      <w:proofErr w:type="spellEnd"/>
      <w:r w:rsidRPr="006B6651">
        <w:rPr>
          <w:color w:val="000000" w:themeColor="text1"/>
          <w:sz w:val="20"/>
          <w:lang w:val="ru-RU"/>
        </w:rPr>
        <w:t xml:space="preserve"> </w:t>
      </w:r>
      <w:proofErr w:type="spellStart"/>
      <w:r w:rsidRPr="006B6651">
        <w:rPr>
          <w:color w:val="000000" w:themeColor="text1"/>
          <w:sz w:val="20"/>
          <w:lang w:val="ru-RU"/>
        </w:rPr>
        <w:t>результатів</w:t>
      </w:r>
      <w:proofErr w:type="spellEnd"/>
      <w:r w:rsidRPr="006B6651">
        <w:rPr>
          <w:color w:val="000000" w:themeColor="text1"/>
          <w:sz w:val="20"/>
          <w:lang w:val="ru-RU"/>
        </w:rPr>
        <w:t xml:space="preserve"> </w:t>
      </w:r>
      <w:proofErr w:type="spellStart"/>
      <w:r w:rsidRPr="006B6651">
        <w:rPr>
          <w:color w:val="000000" w:themeColor="text1"/>
          <w:sz w:val="20"/>
          <w:lang w:val="ru-RU"/>
        </w:rPr>
        <w:t>порівняно</w:t>
      </w:r>
      <w:proofErr w:type="spellEnd"/>
      <w:r w:rsidRPr="006B6651">
        <w:rPr>
          <w:color w:val="000000" w:themeColor="text1"/>
          <w:sz w:val="20"/>
          <w:lang w:val="ru-RU"/>
        </w:rPr>
        <w:t xml:space="preserve"> з </w:t>
      </w:r>
      <w:proofErr w:type="spellStart"/>
      <w:r w:rsidRPr="006B6651">
        <w:rPr>
          <w:color w:val="000000" w:themeColor="text1"/>
          <w:sz w:val="20"/>
          <w:lang w:val="ru-RU"/>
        </w:rPr>
        <w:t>термінами</w:t>
      </w:r>
      <w:proofErr w:type="spellEnd"/>
      <w:r w:rsidRPr="006B6651">
        <w:rPr>
          <w:color w:val="000000" w:themeColor="text1"/>
          <w:sz w:val="20"/>
          <w:lang w:val="ru-RU"/>
        </w:rPr>
        <w:t xml:space="preserve"> </w:t>
      </w:r>
      <w:proofErr w:type="spellStart"/>
      <w:r w:rsidRPr="006B6651">
        <w:rPr>
          <w:color w:val="000000" w:themeColor="text1"/>
          <w:sz w:val="20"/>
          <w:lang w:val="ru-RU"/>
        </w:rPr>
        <w:t>фенотипового</w:t>
      </w:r>
      <w:proofErr w:type="spellEnd"/>
      <w:r w:rsidRPr="006B6651">
        <w:rPr>
          <w:color w:val="000000" w:themeColor="text1"/>
          <w:sz w:val="20"/>
          <w:lang w:val="ru-RU"/>
        </w:rPr>
        <w:t xml:space="preserve"> </w:t>
      </w:r>
      <w:proofErr w:type="spellStart"/>
      <w:r w:rsidRPr="006B6651">
        <w:rPr>
          <w:color w:val="000000" w:themeColor="text1"/>
          <w:sz w:val="20"/>
          <w:lang w:val="ru-RU"/>
        </w:rPr>
        <w:t>тестування</w:t>
      </w:r>
      <w:proofErr w:type="spellEnd"/>
      <w:r w:rsidRPr="006B6651">
        <w:rPr>
          <w:color w:val="000000" w:themeColor="text1"/>
          <w:sz w:val="20"/>
          <w:lang w:val="ru-RU"/>
        </w:rPr>
        <w:t xml:space="preserve">: 3–5 </w:t>
      </w:r>
      <w:proofErr w:type="spellStart"/>
      <w:r w:rsidRPr="006B6651">
        <w:rPr>
          <w:color w:val="000000" w:themeColor="text1"/>
          <w:sz w:val="20"/>
          <w:lang w:val="ru-RU"/>
        </w:rPr>
        <w:t>днів</w:t>
      </w:r>
      <w:proofErr w:type="spellEnd"/>
      <w:r w:rsidRPr="006B6651">
        <w:rPr>
          <w:color w:val="000000" w:themeColor="text1"/>
          <w:sz w:val="20"/>
          <w:lang w:val="ru-RU"/>
        </w:rPr>
        <w:t xml:space="preserve"> </w:t>
      </w:r>
      <w:r w:rsidRPr="007346BD">
        <w:rPr>
          <w:color w:val="000000" w:themeColor="text1"/>
          <w:sz w:val="20"/>
          <w:lang w:val="uk-UA"/>
        </w:rPr>
        <w:t>порівняно з</w:t>
      </w:r>
      <w:r w:rsidRPr="006B6651">
        <w:rPr>
          <w:color w:val="000000" w:themeColor="text1"/>
          <w:sz w:val="20"/>
          <w:lang w:val="ru-RU"/>
        </w:rPr>
        <w:t xml:space="preserve"> 4–6 </w:t>
      </w:r>
      <w:r w:rsidRPr="007346BD">
        <w:rPr>
          <w:color w:val="000000" w:themeColor="text1"/>
          <w:sz w:val="20"/>
          <w:lang w:val="uk-UA"/>
        </w:rPr>
        <w:t>тижнями</w:t>
      </w:r>
      <w:r w:rsidRPr="006B6651">
        <w:rPr>
          <w:color w:val="000000" w:themeColor="text1"/>
          <w:sz w:val="20"/>
          <w:lang w:val="ru-RU"/>
        </w:rPr>
        <w:t>).</w:t>
      </w:r>
    </w:p>
    <w:p w14:paraId="2000267B" w14:textId="77777777" w:rsidR="00FE76F9" w:rsidRPr="006B6651" w:rsidRDefault="00FE76F9" w:rsidP="004A2937">
      <w:pPr>
        <w:pStyle w:val="a4"/>
        <w:numPr>
          <w:ilvl w:val="0"/>
          <w:numId w:val="52"/>
        </w:numPr>
        <w:tabs>
          <w:tab w:val="left" w:pos="1985"/>
        </w:tabs>
        <w:spacing w:before="176" w:line="276" w:lineRule="auto"/>
        <w:ind w:left="1135" w:right="147"/>
        <w:rPr>
          <w:color w:val="000000" w:themeColor="text1"/>
          <w:sz w:val="20"/>
          <w:lang w:val="ru-RU"/>
        </w:rPr>
      </w:pPr>
      <w:r w:rsidRPr="006B6651">
        <w:rPr>
          <w:color w:val="000000" w:themeColor="text1"/>
          <w:w w:val="110"/>
          <w:sz w:val="20"/>
          <w:lang w:val="ru-RU"/>
        </w:rPr>
        <w:t xml:space="preserve">Також </w:t>
      </w:r>
      <w:proofErr w:type="spellStart"/>
      <w:r w:rsidRPr="006B6651">
        <w:rPr>
          <w:color w:val="000000" w:themeColor="text1"/>
          <w:w w:val="110"/>
          <w:sz w:val="20"/>
          <w:lang w:val="ru-RU"/>
        </w:rPr>
        <w:t>відчувалося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існує</w:t>
      </w:r>
      <w:proofErr w:type="spellEnd"/>
      <w:r w:rsidRPr="006B6651">
        <w:rPr>
          <w:color w:val="000000" w:themeColor="text1"/>
          <w:w w:val="110"/>
          <w:sz w:val="20"/>
          <w:lang w:val="ru-RU"/>
        </w:rPr>
        <w:t xml:space="preserve"> </w:t>
      </w:r>
      <w:r w:rsidRPr="007346BD">
        <w:rPr>
          <w:b/>
          <w:color w:val="000000" w:themeColor="text1"/>
          <w:w w:val="110"/>
          <w:sz w:val="20"/>
          <w:lang w:val="uk-UA"/>
        </w:rPr>
        <w:t>гарне</w:t>
      </w:r>
      <w:r w:rsidRPr="006B6651">
        <w:rPr>
          <w:b/>
          <w:color w:val="000000" w:themeColor="text1"/>
          <w:w w:val="110"/>
          <w:sz w:val="20"/>
          <w:lang w:val="ru-RU"/>
        </w:rPr>
        <w:t xml:space="preserve"> </w:t>
      </w:r>
      <w:proofErr w:type="spellStart"/>
      <w:r w:rsidRPr="006B6651">
        <w:rPr>
          <w:b/>
          <w:color w:val="000000" w:themeColor="text1"/>
          <w:w w:val="110"/>
          <w:sz w:val="20"/>
          <w:lang w:val="ru-RU"/>
        </w:rPr>
        <w:t>вікно</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можливостей</w:t>
      </w:r>
      <w:proofErr w:type="spellEnd"/>
      <w:r w:rsidRPr="006B6651">
        <w:rPr>
          <w:b/>
          <w:color w:val="000000" w:themeColor="text1"/>
          <w:w w:val="110"/>
          <w:sz w:val="20"/>
          <w:lang w:val="ru-RU"/>
        </w:rPr>
        <w:t xml:space="preserve"> для </w:t>
      </w:r>
      <w:proofErr w:type="spellStart"/>
      <w:r w:rsidRPr="006B6651">
        <w:rPr>
          <w:b/>
          <w:color w:val="000000" w:themeColor="text1"/>
          <w:w w:val="110"/>
          <w:sz w:val="20"/>
          <w:lang w:val="ru-RU"/>
        </w:rPr>
        <w:t>отримання</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користі</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від</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технології</w:t>
      </w:r>
      <w:proofErr w:type="spellEnd"/>
      <w:r w:rsidRPr="006B6651">
        <w:rPr>
          <w:b/>
          <w:color w:val="000000" w:themeColor="text1"/>
          <w:w w:val="110"/>
          <w:sz w:val="20"/>
          <w:lang w:val="ru-RU"/>
        </w:rPr>
        <w:t xml:space="preserve"> таргетного СНП</w:t>
      </w:r>
      <w:r>
        <w:rPr>
          <w:color w:val="000000" w:themeColor="text1"/>
          <w:w w:val="110"/>
          <w:sz w:val="20"/>
          <w:lang w:val="uk-UA"/>
        </w:rPr>
        <w:t>. Т</w:t>
      </w:r>
      <w:proofErr w:type="spellStart"/>
      <w:r w:rsidRPr="006B6651">
        <w:rPr>
          <w:color w:val="000000" w:themeColor="text1"/>
          <w:w w:val="110"/>
          <w:sz w:val="20"/>
          <w:lang w:val="ru-RU"/>
        </w:rPr>
        <w:t>обто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технологія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з’являється</w:t>
      </w:r>
      <w:proofErr w:type="spellEnd"/>
      <w:r w:rsidRPr="006B6651">
        <w:rPr>
          <w:color w:val="000000" w:themeColor="text1"/>
          <w:w w:val="110"/>
          <w:sz w:val="20"/>
          <w:lang w:val="ru-RU"/>
        </w:rPr>
        <w:t xml:space="preserve"> у </w:t>
      </w:r>
      <w:r w:rsidRPr="007346BD">
        <w:rPr>
          <w:color w:val="000000" w:themeColor="text1"/>
          <w:w w:val="110"/>
          <w:sz w:val="20"/>
          <w:lang w:val="uk-UA"/>
        </w:rPr>
        <w:t>потрібний</w:t>
      </w:r>
      <w:r w:rsidRPr="006B6651">
        <w:rPr>
          <w:color w:val="000000" w:themeColor="text1"/>
          <w:w w:val="110"/>
          <w:sz w:val="20"/>
          <w:lang w:val="ru-RU"/>
        </w:rPr>
        <w:t xml:space="preserve"> момент, </w:t>
      </w:r>
      <w:proofErr w:type="spellStart"/>
      <w:r w:rsidRPr="006B6651">
        <w:rPr>
          <w:color w:val="000000" w:themeColor="text1"/>
          <w:w w:val="110"/>
          <w:sz w:val="20"/>
          <w:lang w:val="ru-RU"/>
        </w:rPr>
        <w:t>враховуючи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стійкість</w:t>
      </w:r>
      <w:proofErr w:type="spellEnd"/>
      <w:r w:rsidRPr="006B6651">
        <w:rPr>
          <w:color w:val="000000" w:themeColor="text1"/>
          <w:w w:val="110"/>
          <w:sz w:val="20"/>
          <w:lang w:val="ru-RU"/>
        </w:rPr>
        <w:t xml:space="preserve"> до </w:t>
      </w:r>
      <w:proofErr w:type="spellStart"/>
      <w:r w:rsidRPr="006B6651">
        <w:rPr>
          <w:color w:val="000000" w:themeColor="text1"/>
          <w:w w:val="110"/>
          <w:sz w:val="20"/>
          <w:lang w:val="ru-RU"/>
        </w:rPr>
        <w:t>нових</w:t>
      </w:r>
      <w:proofErr w:type="spellEnd"/>
      <w:r w:rsidRPr="006B6651">
        <w:rPr>
          <w:color w:val="000000" w:themeColor="text1"/>
          <w:w w:val="110"/>
          <w:sz w:val="20"/>
          <w:lang w:val="ru-RU"/>
        </w:rPr>
        <w:t xml:space="preserve"> </w:t>
      </w:r>
      <w:r w:rsidRPr="007346BD">
        <w:rPr>
          <w:color w:val="000000" w:themeColor="text1"/>
          <w:w w:val="110"/>
          <w:sz w:val="20"/>
          <w:lang w:val="uk-UA"/>
        </w:rPr>
        <w:t xml:space="preserve">протитуберкульозних </w:t>
      </w:r>
      <w:proofErr w:type="spellStart"/>
      <w:r w:rsidRPr="006B6651">
        <w:rPr>
          <w:color w:val="000000" w:themeColor="text1"/>
          <w:w w:val="110"/>
          <w:sz w:val="20"/>
          <w:lang w:val="ru-RU"/>
        </w:rPr>
        <w:t>препаратів</w:t>
      </w:r>
      <w:proofErr w:type="spellEnd"/>
      <w:r w:rsidRPr="007346BD">
        <w:rPr>
          <w:color w:val="000000" w:themeColor="text1"/>
          <w:w w:val="110"/>
          <w:sz w:val="20"/>
          <w:lang w:val="uk-UA"/>
        </w:rPr>
        <w:t xml:space="preserve">, </w:t>
      </w:r>
      <w:proofErr w:type="spellStart"/>
      <w:r w:rsidRPr="006B6651">
        <w:rPr>
          <w:color w:val="000000" w:themeColor="text1"/>
          <w:w w:val="110"/>
          <w:sz w:val="20"/>
          <w:lang w:val="ru-RU"/>
        </w:rPr>
        <w:t>ймовірно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зростатиме</w:t>
      </w:r>
      <w:proofErr w:type="spellEnd"/>
      <w:r w:rsidRPr="006B6651">
        <w:rPr>
          <w:color w:val="000000" w:themeColor="text1"/>
          <w:w w:val="110"/>
          <w:sz w:val="20"/>
          <w:lang w:val="ru-RU"/>
        </w:rPr>
        <w:t xml:space="preserve"> у </w:t>
      </w:r>
      <w:proofErr w:type="spellStart"/>
      <w:r w:rsidRPr="006B6651">
        <w:rPr>
          <w:color w:val="000000" w:themeColor="text1"/>
          <w:w w:val="110"/>
          <w:sz w:val="20"/>
          <w:lang w:val="ru-RU"/>
        </w:rPr>
        <w:t>міру</w:t>
      </w:r>
      <w:proofErr w:type="spellEnd"/>
      <w:r w:rsidRPr="006B6651">
        <w:rPr>
          <w:color w:val="000000" w:themeColor="text1"/>
          <w:w w:val="110"/>
          <w:sz w:val="20"/>
          <w:lang w:val="ru-RU"/>
        </w:rPr>
        <w:t xml:space="preserve"> того, як </w:t>
      </w:r>
      <w:r w:rsidRPr="007346BD">
        <w:rPr>
          <w:color w:val="000000" w:themeColor="text1"/>
          <w:w w:val="110"/>
          <w:sz w:val="20"/>
          <w:lang w:val="uk-UA"/>
        </w:rPr>
        <w:t xml:space="preserve">використання цих </w:t>
      </w:r>
      <w:r w:rsidRPr="006B6651">
        <w:rPr>
          <w:color w:val="000000" w:themeColor="text1"/>
          <w:w w:val="110"/>
          <w:sz w:val="20"/>
          <w:lang w:val="ru-RU"/>
        </w:rPr>
        <w:t>препарат</w:t>
      </w:r>
      <w:r w:rsidRPr="007346BD">
        <w:rPr>
          <w:color w:val="000000" w:themeColor="text1"/>
          <w:w w:val="110"/>
          <w:sz w:val="20"/>
          <w:lang w:val="uk-UA"/>
        </w:rPr>
        <w:t>ів</w:t>
      </w:r>
      <w:r w:rsidRPr="006B6651">
        <w:rPr>
          <w:color w:val="000000" w:themeColor="text1"/>
          <w:w w:val="110"/>
          <w:sz w:val="20"/>
          <w:lang w:val="ru-RU"/>
        </w:rPr>
        <w:t xml:space="preserve"> </w:t>
      </w:r>
      <w:proofErr w:type="spellStart"/>
      <w:r w:rsidRPr="006B6651">
        <w:rPr>
          <w:color w:val="000000" w:themeColor="text1"/>
          <w:w w:val="110"/>
          <w:sz w:val="20"/>
          <w:lang w:val="ru-RU"/>
        </w:rPr>
        <w:t>ставатим</w:t>
      </w:r>
      <w:proofErr w:type="spellEnd"/>
      <w:r w:rsidRPr="007346BD">
        <w:rPr>
          <w:color w:val="000000" w:themeColor="text1"/>
          <w:w w:val="110"/>
          <w:sz w:val="20"/>
          <w:lang w:val="uk-UA"/>
        </w:rPr>
        <w:t>е</w:t>
      </w:r>
      <w:r w:rsidRPr="006B6651">
        <w:rPr>
          <w:color w:val="000000" w:themeColor="text1"/>
          <w:w w:val="110"/>
          <w:sz w:val="20"/>
          <w:lang w:val="ru-RU"/>
        </w:rPr>
        <w:t xml:space="preserve"> </w:t>
      </w:r>
      <w:proofErr w:type="spellStart"/>
      <w:r w:rsidRPr="006B6651">
        <w:rPr>
          <w:color w:val="000000" w:themeColor="text1"/>
          <w:w w:val="110"/>
          <w:sz w:val="20"/>
          <w:lang w:val="ru-RU"/>
        </w:rPr>
        <w:t>рутинними</w:t>
      </w:r>
      <w:proofErr w:type="spellEnd"/>
      <w:r w:rsidRPr="006B6651">
        <w:rPr>
          <w:color w:val="000000" w:themeColor="text1"/>
          <w:w w:val="110"/>
          <w:sz w:val="20"/>
          <w:lang w:val="ru-RU"/>
        </w:rPr>
        <w:t>.</w:t>
      </w:r>
    </w:p>
    <w:p w14:paraId="40D0FC39" w14:textId="77777777" w:rsidR="00FE76F9" w:rsidRPr="007346BD" w:rsidRDefault="00FE76F9" w:rsidP="00FE76F9">
      <w:pPr>
        <w:pStyle w:val="9"/>
        <w:spacing w:before="175"/>
        <w:ind w:right="147"/>
        <w:rPr>
          <w:rFonts w:ascii="Microsoft Sans Serif" w:hAnsi="Microsoft Sans Serif" w:cs="Microsoft Sans Serif"/>
          <w:color w:val="000000" w:themeColor="text1"/>
          <w:lang w:val="uk-UA"/>
        </w:rPr>
      </w:pPr>
      <w:r w:rsidRPr="007346BD">
        <w:rPr>
          <w:rFonts w:ascii="Microsoft Sans Serif" w:hAnsi="Microsoft Sans Serif" w:cs="Microsoft Sans Serif"/>
          <w:color w:val="000000" w:themeColor="text1"/>
          <w:w w:val="115"/>
          <w:lang w:val="uk-UA"/>
        </w:rPr>
        <w:t>Можливість реалізації</w:t>
      </w:r>
    </w:p>
    <w:p w14:paraId="2C68F1BF" w14:textId="77777777" w:rsidR="00FE76F9" w:rsidRPr="006B6651" w:rsidRDefault="00FE76F9" w:rsidP="00FE76F9">
      <w:pPr>
        <w:spacing w:before="212" w:line="276" w:lineRule="auto"/>
        <w:ind w:left="567" w:right="147"/>
        <w:jc w:val="both"/>
        <w:rPr>
          <w:color w:val="000000" w:themeColor="text1"/>
          <w:sz w:val="20"/>
          <w:lang w:val="ru-RU"/>
        </w:rPr>
      </w:pPr>
      <w:proofErr w:type="spellStart"/>
      <w:r w:rsidRPr="006B6651">
        <w:rPr>
          <w:color w:val="000000" w:themeColor="text1"/>
          <w:w w:val="110"/>
          <w:sz w:val="20"/>
          <w:lang w:val="ru-RU"/>
        </w:rPr>
        <w:t>Хоча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можливості</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потенційна</w:t>
      </w:r>
      <w:proofErr w:type="spellEnd"/>
      <w:r w:rsidRPr="006B6651">
        <w:rPr>
          <w:color w:val="000000" w:themeColor="text1"/>
          <w:w w:val="110"/>
          <w:sz w:val="20"/>
          <w:lang w:val="ru-RU"/>
        </w:rPr>
        <w:t xml:space="preserve"> користь </w:t>
      </w:r>
      <w:proofErr w:type="spellStart"/>
      <w:r w:rsidRPr="006B6651">
        <w:rPr>
          <w:color w:val="000000" w:themeColor="text1"/>
          <w:w w:val="110"/>
          <w:sz w:val="20"/>
          <w:lang w:val="ru-RU"/>
        </w:rPr>
        <w:t>технології</w:t>
      </w:r>
      <w:proofErr w:type="spellEnd"/>
      <w:r w:rsidRPr="006B6651">
        <w:rPr>
          <w:color w:val="000000" w:themeColor="text1"/>
          <w:w w:val="110"/>
          <w:sz w:val="20"/>
          <w:lang w:val="ru-RU"/>
        </w:rPr>
        <w:t xml:space="preserve"> таргетного СНП </w:t>
      </w:r>
      <w:proofErr w:type="spellStart"/>
      <w:r w:rsidRPr="006B6651">
        <w:rPr>
          <w:color w:val="000000" w:themeColor="text1"/>
          <w:w w:val="110"/>
          <w:sz w:val="20"/>
          <w:lang w:val="ru-RU"/>
        </w:rPr>
        <w:t>отримали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високу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оцінку</w:t>
      </w:r>
      <w:proofErr w:type="spellEnd"/>
      <w:r w:rsidRPr="006B6651">
        <w:rPr>
          <w:color w:val="000000" w:themeColor="text1"/>
          <w:w w:val="110"/>
          <w:sz w:val="20"/>
          <w:lang w:val="ru-RU"/>
        </w:rPr>
        <w:t xml:space="preserve">, </w:t>
      </w:r>
      <w:r w:rsidRPr="006B6651">
        <w:rPr>
          <w:b/>
          <w:color w:val="000000" w:themeColor="text1"/>
          <w:w w:val="110"/>
          <w:sz w:val="20"/>
          <w:lang w:val="ru-RU"/>
        </w:rPr>
        <w:t xml:space="preserve">під час </w:t>
      </w:r>
      <w:proofErr w:type="spellStart"/>
      <w:r w:rsidRPr="006B6651">
        <w:rPr>
          <w:b/>
          <w:color w:val="000000" w:themeColor="text1"/>
          <w:w w:val="110"/>
          <w:sz w:val="20"/>
          <w:lang w:val="ru-RU"/>
        </w:rPr>
        <w:t>тестування</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зразків</w:t>
      </w:r>
      <w:proofErr w:type="spellEnd"/>
      <w:r w:rsidRPr="006B6651">
        <w:rPr>
          <w:b/>
          <w:color w:val="000000" w:themeColor="text1"/>
          <w:w w:val="110"/>
          <w:sz w:val="20"/>
          <w:lang w:val="ru-RU"/>
        </w:rPr>
        <w:t xml:space="preserve"> із </w:t>
      </w:r>
      <w:proofErr w:type="spellStart"/>
      <w:r w:rsidRPr="006B6651">
        <w:rPr>
          <w:b/>
          <w:color w:val="000000" w:themeColor="text1"/>
          <w:w w:val="110"/>
          <w:sz w:val="20"/>
          <w:lang w:val="ru-RU"/>
        </w:rPr>
        <w:t>використанням</w:t>
      </w:r>
      <w:proofErr w:type="spellEnd"/>
      <w:r w:rsidRPr="006B6651">
        <w:rPr>
          <w:b/>
          <w:color w:val="000000" w:themeColor="text1"/>
          <w:w w:val="110"/>
          <w:sz w:val="20"/>
          <w:lang w:val="ru-RU"/>
        </w:rPr>
        <w:t xml:space="preserve"> платформ таргетного СНП </w:t>
      </w:r>
      <w:proofErr w:type="spellStart"/>
      <w:r w:rsidRPr="006B6651">
        <w:rPr>
          <w:b/>
          <w:color w:val="000000" w:themeColor="text1"/>
          <w:w w:val="110"/>
          <w:sz w:val="20"/>
          <w:lang w:val="ru-RU"/>
        </w:rPr>
        <w:t>було</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визначено</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кілька</w:t>
      </w:r>
      <w:proofErr w:type="spellEnd"/>
      <w:r w:rsidRPr="006B6651">
        <w:rPr>
          <w:b/>
          <w:color w:val="000000" w:themeColor="text1"/>
          <w:w w:val="110"/>
          <w:sz w:val="20"/>
          <w:lang w:val="ru-RU"/>
        </w:rPr>
        <w:t xml:space="preserve"> проблем</w:t>
      </w:r>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мож</w:t>
      </w:r>
      <w:r w:rsidRPr="007346BD">
        <w:rPr>
          <w:color w:val="000000" w:themeColor="text1"/>
          <w:w w:val="110"/>
          <w:sz w:val="20"/>
          <w:lang w:val="uk-UA"/>
        </w:rPr>
        <w:t>уть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обмежити</w:t>
      </w:r>
      <w:proofErr w:type="spellEnd"/>
      <w:r w:rsidRPr="006B6651">
        <w:rPr>
          <w:color w:val="000000" w:themeColor="text1"/>
          <w:w w:val="110"/>
          <w:sz w:val="20"/>
          <w:lang w:val="ru-RU"/>
        </w:rPr>
        <w:t xml:space="preserve"> </w:t>
      </w:r>
      <w:r w:rsidRPr="007346BD">
        <w:rPr>
          <w:color w:val="000000" w:themeColor="text1"/>
          <w:w w:val="110"/>
          <w:sz w:val="20"/>
          <w:lang w:val="uk-UA"/>
        </w:rPr>
        <w:t>можливість</w:t>
      </w:r>
      <w:r w:rsidRPr="006B6651">
        <w:rPr>
          <w:color w:val="000000" w:themeColor="text1"/>
          <w:w w:val="110"/>
          <w:sz w:val="20"/>
          <w:lang w:val="ru-RU"/>
        </w:rPr>
        <w:t xml:space="preserve"> використання </w:t>
      </w:r>
      <w:proofErr w:type="spellStart"/>
      <w:r w:rsidRPr="006B6651">
        <w:rPr>
          <w:color w:val="000000" w:themeColor="text1"/>
          <w:w w:val="110"/>
          <w:sz w:val="20"/>
          <w:lang w:val="ru-RU"/>
        </w:rPr>
        <w:t>цієї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технології</w:t>
      </w:r>
      <w:proofErr w:type="spellEnd"/>
      <w:r w:rsidRPr="006B6651">
        <w:rPr>
          <w:color w:val="000000" w:themeColor="text1"/>
          <w:w w:val="110"/>
          <w:sz w:val="20"/>
          <w:lang w:val="ru-RU"/>
        </w:rPr>
        <w:t xml:space="preserve"> в </w:t>
      </w:r>
      <w:proofErr w:type="spellStart"/>
      <w:r w:rsidRPr="006B6651">
        <w:rPr>
          <w:color w:val="000000" w:themeColor="text1"/>
          <w:w w:val="110"/>
          <w:sz w:val="20"/>
          <w:lang w:val="ru-RU"/>
        </w:rPr>
        <w:t>рутинній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практиці</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даному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етапі</w:t>
      </w:r>
      <w:proofErr w:type="spellEnd"/>
      <w:r w:rsidRPr="006B6651">
        <w:rPr>
          <w:color w:val="000000" w:themeColor="text1"/>
          <w:w w:val="110"/>
          <w:sz w:val="20"/>
          <w:lang w:val="ru-RU"/>
        </w:rPr>
        <w:t>.</w:t>
      </w:r>
      <w:r w:rsidRPr="007346BD">
        <w:rPr>
          <w:color w:val="000000" w:themeColor="text1"/>
          <w:w w:val="110"/>
          <w:sz w:val="20"/>
          <w:lang w:val="uk-UA"/>
        </w:rPr>
        <w:t xml:space="preserve"> </w:t>
      </w:r>
      <w:proofErr w:type="spellStart"/>
      <w:r w:rsidRPr="006B6651">
        <w:rPr>
          <w:color w:val="000000" w:themeColor="text1"/>
          <w:w w:val="110"/>
          <w:sz w:val="20"/>
          <w:lang w:val="ru-RU"/>
        </w:rPr>
        <w:t>Загальн</w:t>
      </w:r>
      <w:proofErr w:type="spellEnd"/>
      <w:r w:rsidRPr="007346BD">
        <w:rPr>
          <w:color w:val="000000" w:themeColor="text1"/>
          <w:w w:val="110"/>
          <w:sz w:val="20"/>
          <w:lang w:val="uk-UA"/>
        </w:rPr>
        <w:t>а</w:t>
      </w:r>
      <w:r w:rsidRPr="006B6651">
        <w:rPr>
          <w:color w:val="000000" w:themeColor="text1"/>
          <w:w w:val="110"/>
          <w:sz w:val="20"/>
          <w:lang w:val="ru-RU"/>
        </w:rPr>
        <w:t xml:space="preserve"> </w:t>
      </w:r>
      <w:r w:rsidRPr="007346BD">
        <w:rPr>
          <w:color w:val="000000" w:themeColor="text1"/>
          <w:w w:val="110"/>
          <w:sz w:val="20"/>
          <w:lang w:val="uk-UA"/>
        </w:rPr>
        <w:t>думка</w:t>
      </w:r>
      <w:r w:rsidRPr="006B6651">
        <w:rPr>
          <w:color w:val="000000" w:themeColor="text1"/>
          <w:w w:val="110"/>
          <w:sz w:val="20"/>
          <w:lang w:val="ru-RU"/>
        </w:rPr>
        <w:t xml:space="preserve"> </w:t>
      </w:r>
      <w:proofErr w:type="spellStart"/>
      <w:r w:rsidRPr="006B6651">
        <w:rPr>
          <w:color w:val="000000" w:themeColor="text1"/>
          <w:w w:val="110"/>
          <w:sz w:val="20"/>
          <w:lang w:val="ru-RU"/>
        </w:rPr>
        <w:t>полягал</w:t>
      </w:r>
      <w:proofErr w:type="spellEnd"/>
      <w:r w:rsidRPr="007346BD">
        <w:rPr>
          <w:color w:val="000000" w:themeColor="text1"/>
          <w:w w:val="110"/>
          <w:sz w:val="20"/>
          <w:lang w:val="uk-UA"/>
        </w:rPr>
        <w:t>а</w:t>
      </w:r>
      <w:r w:rsidRPr="006B6651">
        <w:rPr>
          <w:color w:val="000000" w:themeColor="text1"/>
          <w:w w:val="110"/>
          <w:sz w:val="20"/>
          <w:lang w:val="ru-RU"/>
        </w:rPr>
        <w:t xml:space="preserve"> в тому,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технологія</w:t>
      </w:r>
      <w:proofErr w:type="spellEnd"/>
      <w:r w:rsidRPr="006B6651">
        <w:rPr>
          <w:color w:val="000000" w:themeColor="text1"/>
          <w:w w:val="110"/>
          <w:sz w:val="20"/>
          <w:lang w:val="ru-RU"/>
        </w:rPr>
        <w:t xml:space="preserve"> таргетного СНП </w:t>
      </w:r>
      <w:proofErr w:type="spellStart"/>
      <w:r w:rsidRPr="006B6651">
        <w:rPr>
          <w:color w:val="000000" w:themeColor="text1"/>
          <w:w w:val="110"/>
          <w:sz w:val="20"/>
          <w:lang w:val="ru-RU"/>
        </w:rPr>
        <w:t>потребує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подальшої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розробки</w:t>
      </w:r>
      <w:proofErr w:type="spellEnd"/>
      <w:r w:rsidRPr="006B6651">
        <w:rPr>
          <w:color w:val="000000" w:themeColor="text1"/>
          <w:w w:val="110"/>
          <w:sz w:val="20"/>
          <w:lang w:val="ru-RU"/>
        </w:rPr>
        <w:t xml:space="preserve">, перш </w:t>
      </w:r>
      <w:proofErr w:type="spellStart"/>
      <w:r w:rsidRPr="006B6651">
        <w:rPr>
          <w:color w:val="000000" w:themeColor="text1"/>
          <w:w w:val="110"/>
          <w:sz w:val="20"/>
          <w:lang w:val="ru-RU"/>
        </w:rPr>
        <w:t>ніж</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її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можна</w:t>
      </w:r>
      <w:proofErr w:type="spellEnd"/>
      <w:r w:rsidRPr="006B6651">
        <w:rPr>
          <w:color w:val="000000" w:themeColor="text1"/>
          <w:w w:val="110"/>
          <w:sz w:val="20"/>
          <w:lang w:val="ru-RU"/>
        </w:rPr>
        <w:t xml:space="preserve"> буде </w:t>
      </w:r>
      <w:proofErr w:type="spellStart"/>
      <w:r w:rsidRPr="006B6651">
        <w:rPr>
          <w:color w:val="000000" w:themeColor="text1"/>
          <w:w w:val="110"/>
          <w:sz w:val="20"/>
          <w:lang w:val="ru-RU"/>
        </w:rPr>
        <w:t>вважати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повністю</w:t>
      </w:r>
      <w:proofErr w:type="spellEnd"/>
      <w:r w:rsidRPr="006B6651">
        <w:rPr>
          <w:color w:val="000000" w:themeColor="text1"/>
          <w:w w:val="110"/>
          <w:sz w:val="20"/>
          <w:lang w:val="ru-RU"/>
        </w:rPr>
        <w:t xml:space="preserve"> готовою до практичного </w:t>
      </w:r>
      <w:proofErr w:type="spellStart"/>
      <w:r w:rsidRPr="006B6651">
        <w:rPr>
          <w:color w:val="000000" w:themeColor="text1"/>
          <w:w w:val="110"/>
          <w:sz w:val="20"/>
          <w:lang w:val="ru-RU"/>
        </w:rPr>
        <w:t>застосування</w:t>
      </w:r>
      <w:proofErr w:type="spellEnd"/>
      <w:r w:rsidRPr="006B6651">
        <w:rPr>
          <w:color w:val="000000" w:themeColor="text1"/>
          <w:w w:val="110"/>
          <w:sz w:val="20"/>
          <w:lang w:val="ru-RU"/>
        </w:rPr>
        <w:t>.</w:t>
      </w:r>
    </w:p>
    <w:p w14:paraId="510EFA76" w14:textId="77777777" w:rsidR="00FE76F9" w:rsidRPr="006B6651" w:rsidRDefault="00FE76F9" w:rsidP="00FE76F9">
      <w:pPr>
        <w:pStyle w:val="a3"/>
        <w:spacing w:before="145"/>
        <w:ind w:right="147" w:firstLine="567"/>
        <w:jc w:val="both"/>
        <w:rPr>
          <w:color w:val="000000" w:themeColor="text1"/>
          <w:sz w:val="20"/>
          <w:lang w:val="ru-RU"/>
        </w:rPr>
      </w:pPr>
      <w:proofErr w:type="spellStart"/>
      <w:r w:rsidRPr="006B6651">
        <w:rPr>
          <w:color w:val="000000" w:themeColor="text1"/>
          <w:w w:val="110"/>
          <w:sz w:val="20"/>
          <w:lang w:val="ru-RU"/>
        </w:rPr>
        <w:t>Було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визначено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такі</w:t>
      </w:r>
      <w:proofErr w:type="spellEnd"/>
      <w:r w:rsidRPr="006B6651">
        <w:rPr>
          <w:color w:val="000000" w:themeColor="text1"/>
          <w:w w:val="110"/>
          <w:sz w:val="20"/>
          <w:lang w:val="ru-RU"/>
        </w:rPr>
        <w:t xml:space="preserve"> </w:t>
      </w:r>
      <w:r w:rsidRPr="007346BD">
        <w:rPr>
          <w:color w:val="000000" w:themeColor="text1"/>
          <w:w w:val="110"/>
          <w:sz w:val="20"/>
          <w:lang w:val="uk-UA"/>
        </w:rPr>
        <w:t>складнощі реалізації</w:t>
      </w:r>
      <w:r w:rsidRPr="006B6651">
        <w:rPr>
          <w:color w:val="000000" w:themeColor="text1"/>
          <w:w w:val="110"/>
          <w:sz w:val="20"/>
          <w:lang w:val="ru-RU"/>
        </w:rPr>
        <w:t>:</w:t>
      </w:r>
    </w:p>
    <w:p w14:paraId="46AB650C" w14:textId="77777777" w:rsidR="00FE76F9" w:rsidRPr="006B6651" w:rsidRDefault="00FE76F9" w:rsidP="004A2937">
      <w:pPr>
        <w:pStyle w:val="a4"/>
        <w:numPr>
          <w:ilvl w:val="0"/>
          <w:numId w:val="51"/>
        </w:numPr>
        <w:tabs>
          <w:tab w:val="left" w:pos="1985"/>
        </w:tabs>
        <w:spacing w:before="127" w:line="276" w:lineRule="auto"/>
        <w:ind w:left="993" w:right="147"/>
        <w:rPr>
          <w:color w:val="000000" w:themeColor="text1"/>
          <w:w w:val="110"/>
          <w:sz w:val="20"/>
          <w:lang w:val="ru-RU"/>
        </w:rPr>
      </w:pPr>
      <w:r w:rsidRPr="007346BD">
        <w:rPr>
          <w:b/>
          <w:color w:val="000000" w:themeColor="text1"/>
          <w:w w:val="110"/>
          <w:sz w:val="20"/>
          <w:lang w:val="uk-UA"/>
        </w:rPr>
        <w:t>Складнощі</w:t>
      </w:r>
      <w:r w:rsidRPr="006B6651">
        <w:rPr>
          <w:b/>
          <w:color w:val="000000" w:themeColor="text1"/>
          <w:w w:val="110"/>
          <w:sz w:val="20"/>
          <w:lang w:val="ru-RU"/>
        </w:rPr>
        <w:t xml:space="preserve"> запуску та </w:t>
      </w:r>
      <w:proofErr w:type="spellStart"/>
      <w:r w:rsidRPr="006B6651">
        <w:rPr>
          <w:b/>
          <w:color w:val="000000" w:themeColor="text1"/>
          <w:w w:val="110"/>
          <w:sz w:val="20"/>
          <w:lang w:val="ru-RU"/>
        </w:rPr>
        <w:t>налагодження</w:t>
      </w:r>
      <w:proofErr w:type="spellEnd"/>
      <w:r w:rsidRPr="006B6651">
        <w:rPr>
          <w:b/>
          <w:color w:val="000000" w:themeColor="text1"/>
          <w:w w:val="110"/>
          <w:sz w:val="20"/>
          <w:lang w:val="ru-RU"/>
        </w:rPr>
        <w:t>:</w:t>
      </w:r>
      <w:r w:rsidRPr="00F33F49">
        <w:rPr>
          <w:b/>
          <w:color w:val="000000" w:themeColor="text1"/>
          <w:w w:val="110"/>
          <w:sz w:val="20"/>
          <w:lang w:val="uk-UA"/>
        </w:rPr>
        <w:t xml:space="preserve"> </w:t>
      </w:r>
      <w:proofErr w:type="spellStart"/>
      <w:r w:rsidRPr="006B6651">
        <w:rPr>
          <w:color w:val="000000" w:themeColor="text1"/>
          <w:w w:val="110"/>
          <w:sz w:val="20"/>
          <w:lang w:val="ru-RU"/>
        </w:rPr>
        <w:t>Було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виявлено</w:t>
      </w:r>
      <w:proofErr w:type="spellEnd"/>
      <w:r w:rsidRPr="006B6651">
        <w:rPr>
          <w:color w:val="000000" w:themeColor="text1"/>
          <w:w w:val="110"/>
          <w:sz w:val="20"/>
          <w:lang w:val="ru-RU"/>
        </w:rPr>
        <w:t xml:space="preserve"> низку проблем, пов’язаних із запуском і </w:t>
      </w:r>
      <w:r w:rsidRPr="007346BD">
        <w:rPr>
          <w:color w:val="000000" w:themeColor="text1"/>
          <w:w w:val="110"/>
          <w:sz w:val="20"/>
          <w:lang w:val="uk-UA"/>
        </w:rPr>
        <w:t>налагодженням</w:t>
      </w:r>
      <w:r w:rsidRPr="006B6651">
        <w:rPr>
          <w:color w:val="000000" w:themeColor="text1"/>
          <w:w w:val="110"/>
          <w:sz w:val="20"/>
          <w:lang w:val="ru-RU"/>
        </w:rPr>
        <w:t xml:space="preserve"> </w:t>
      </w:r>
      <w:proofErr w:type="spellStart"/>
      <w:r w:rsidRPr="006B6651">
        <w:rPr>
          <w:color w:val="000000" w:themeColor="text1"/>
          <w:w w:val="110"/>
          <w:sz w:val="20"/>
          <w:lang w:val="ru-RU"/>
        </w:rPr>
        <w:t>технології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Ці</w:t>
      </w:r>
      <w:proofErr w:type="spellEnd"/>
      <w:r w:rsidRPr="006B6651">
        <w:rPr>
          <w:color w:val="000000" w:themeColor="text1"/>
          <w:w w:val="110"/>
          <w:sz w:val="20"/>
          <w:lang w:val="ru-RU"/>
        </w:rPr>
        <w:t xml:space="preserve"> </w:t>
      </w:r>
      <w:r w:rsidRPr="007346BD">
        <w:rPr>
          <w:color w:val="000000" w:themeColor="text1"/>
          <w:w w:val="110"/>
          <w:sz w:val="20"/>
          <w:lang w:val="uk-UA"/>
        </w:rPr>
        <w:t>проблеми</w:t>
      </w:r>
      <w:r w:rsidRPr="006B6651">
        <w:rPr>
          <w:color w:val="000000" w:themeColor="text1"/>
          <w:w w:val="110"/>
          <w:sz w:val="20"/>
          <w:lang w:val="ru-RU"/>
        </w:rPr>
        <w:t xml:space="preserve"> </w:t>
      </w:r>
      <w:proofErr w:type="spellStart"/>
      <w:r w:rsidRPr="006B6651">
        <w:rPr>
          <w:color w:val="000000" w:themeColor="text1"/>
          <w:w w:val="110"/>
          <w:sz w:val="20"/>
          <w:lang w:val="ru-RU"/>
        </w:rPr>
        <w:t>стосувалися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новизни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технології</w:t>
      </w:r>
      <w:proofErr w:type="spellEnd"/>
      <w:r w:rsidRPr="006B6651">
        <w:rPr>
          <w:color w:val="000000" w:themeColor="text1"/>
          <w:w w:val="110"/>
          <w:sz w:val="20"/>
          <w:lang w:val="ru-RU"/>
        </w:rPr>
        <w:t xml:space="preserve"> та </w:t>
      </w:r>
      <w:r>
        <w:rPr>
          <w:color w:val="000000" w:themeColor="text1"/>
          <w:w w:val="110"/>
          <w:sz w:val="20"/>
          <w:lang w:val="uk-UA"/>
        </w:rPr>
        <w:t>місця</w:t>
      </w:r>
      <w:r w:rsidRPr="006B6651">
        <w:rPr>
          <w:color w:val="000000" w:themeColor="text1"/>
          <w:w w:val="110"/>
          <w:sz w:val="20"/>
          <w:lang w:val="ru-RU"/>
        </w:rPr>
        <w:t xml:space="preserve"> </w:t>
      </w:r>
      <w:proofErr w:type="spellStart"/>
      <w:r w:rsidRPr="006B6651">
        <w:rPr>
          <w:color w:val="000000" w:themeColor="text1"/>
          <w:w w:val="110"/>
          <w:sz w:val="20"/>
          <w:lang w:val="ru-RU"/>
        </w:rPr>
        <w:t>проведення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дослідження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імпорту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обладнання</w:t>
      </w:r>
      <w:proofErr w:type="spellEnd"/>
      <w:r w:rsidRPr="006B6651">
        <w:rPr>
          <w:color w:val="000000" w:themeColor="text1"/>
          <w:w w:val="110"/>
          <w:sz w:val="20"/>
          <w:lang w:val="ru-RU"/>
        </w:rPr>
        <w:t xml:space="preserve"> й </w:t>
      </w:r>
      <w:proofErr w:type="spellStart"/>
      <w:r w:rsidRPr="006B6651">
        <w:rPr>
          <w:color w:val="000000" w:themeColor="text1"/>
          <w:w w:val="110"/>
          <w:sz w:val="20"/>
          <w:lang w:val="ru-RU"/>
        </w:rPr>
        <w:t>спеціалізованих</w:t>
      </w:r>
      <w:proofErr w:type="spellEnd"/>
      <w:r w:rsidRPr="006B6651">
        <w:rPr>
          <w:color w:val="000000" w:themeColor="text1"/>
          <w:w w:val="110"/>
          <w:sz w:val="20"/>
          <w:lang w:val="ru-RU"/>
        </w:rPr>
        <w:t xml:space="preserve"> матеріалів, </w:t>
      </w:r>
      <w:proofErr w:type="spellStart"/>
      <w:r w:rsidRPr="006B6651">
        <w:rPr>
          <w:color w:val="000000" w:themeColor="text1"/>
          <w:w w:val="110"/>
          <w:sz w:val="20"/>
          <w:lang w:val="ru-RU"/>
        </w:rPr>
        <w:t>відсутності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технічної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підтримки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всередині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країни</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вирішення</w:t>
      </w:r>
      <w:proofErr w:type="spellEnd"/>
      <w:r w:rsidRPr="006B6651">
        <w:rPr>
          <w:color w:val="000000" w:themeColor="text1"/>
          <w:w w:val="110"/>
          <w:sz w:val="20"/>
          <w:lang w:val="ru-RU"/>
        </w:rPr>
        <w:t xml:space="preserve"> проблем, а також потреби в </w:t>
      </w:r>
      <w:proofErr w:type="spellStart"/>
      <w:r w:rsidRPr="006B6651">
        <w:rPr>
          <w:color w:val="000000" w:themeColor="text1"/>
          <w:w w:val="110"/>
          <w:sz w:val="20"/>
          <w:lang w:val="ru-RU"/>
        </w:rPr>
        <w:t>більшій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кількості</w:t>
      </w:r>
      <w:proofErr w:type="spellEnd"/>
      <w:r w:rsidRPr="006B6651">
        <w:rPr>
          <w:color w:val="000000" w:themeColor="text1"/>
          <w:w w:val="110"/>
          <w:sz w:val="20"/>
          <w:lang w:val="ru-RU"/>
        </w:rPr>
        <w:t xml:space="preserve"> практичного </w:t>
      </w:r>
      <w:proofErr w:type="spellStart"/>
      <w:r w:rsidRPr="006B6651">
        <w:rPr>
          <w:color w:val="000000" w:themeColor="text1"/>
          <w:w w:val="110"/>
          <w:sz w:val="20"/>
          <w:lang w:val="ru-RU"/>
        </w:rPr>
        <w:t>навчання</w:t>
      </w:r>
      <w:proofErr w:type="spellEnd"/>
      <w:r w:rsidRPr="006B6651">
        <w:rPr>
          <w:color w:val="000000" w:themeColor="text1"/>
          <w:w w:val="110"/>
          <w:sz w:val="20"/>
          <w:lang w:val="ru-RU"/>
        </w:rPr>
        <w:t>.</w:t>
      </w:r>
      <w:r w:rsidRPr="006B6651">
        <w:rPr>
          <w:color w:val="000000" w:themeColor="text1"/>
          <w:lang w:val="ru-RU"/>
        </w:rPr>
        <w:t xml:space="preserve"> </w:t>
      </w:r>
    </w:p>
    <w:p w14:paraId="38505194" w14:textId="77777777" w:rsidR="00FE76F9" w:rsidRPr="006B6651" w:rsidRDefault="00FE76F9" w:rsidP="004A2937">
      <w:pPr>
        <w:pStyle w:val="a4"/>
        <w:numPr>
          <w:ilvl w:val="0"/>
          <w:numId w:val="51"/>
        </w:numPr>
        <w:tabs>
          <w:tab w:val="left" w:pos="1985"/>
        </w:tabs>
        <w:spacing w:before="5" w:line="276" w:lineRule="auto"/>
        <w:ind w:left="993" w:right="147"/>
        <w:rPr>
          <w:color w:val="000000" w:themeColor="text1"/>
          <w:w w:val="110"/>
          <w:sz w:val="20"/>
          <w:lang w:val="ru-RU"/>
        </w:rPr>
      </w:pPr>
      <w:proofErr w:type="spellStart"/>
      <w:r w:rsidRPr="006B6651">
        <w:rPr>
          <w:b/>
          <w:color w:val="000000" w:themeColor="text1"/>
          <w:w w:val="110"/>
          <w:sz w:val="20"/>
          <w:lang w:val="ru-RU"/>
        </w:rPr>
        <w:t>Висока</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технічна</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складність</w:t>
      </w:r>
      <w:proofErr w:type="spellEnd"/>
      <w:r w:rsidRPr="006B6651">
        <w:rPr>
          <w:b/>
          <w:color w:val="000000" w:themeColor="text1"/>
          <w:w w:val="110"/>
          <w:sz w:val="20"/>
          <w:lang w:val="ru-RU"/>
        </w:rPr>
        <w:t xml:space="preserve"> тесту:</w:t>
      </w:r>
      <w:r w:rsidRPr="007346BD">
        <w:rPr>
          <w:b/>
          <w:color w:val="000000" w:themeColor="text1"/>
          <w:w w:val="110"/>
          <w:sz w:val="20"/>
          <w:lang w:val="uk-UA"/>
        </w:rPr>
        <w:t xml:space="preserve"> </w:t>
      </w:r>
      <w:r w:rsidRPr="007346BD">
        <w:rPr>
          <w:color w:val="000000" w:themeColor="text1"/>
          <w:w w:val="110"/>
          <w:sz w:val="20"/>
          <w:lang w:val="uk-UA"/>
        </w:rPr>
        <w:t>Таргетне СНП</w:t>
      </w:r>
      <w:r w:rsidRPr="006B6651">
        <w:rPr>
          <w:color w:val="000000" w:themeColor="text1"/>
          <w:w w:val="110"/>
          <w:sz w:val="20"/>
          <w:lang w:val="ru-RU"/>
        </w:rPr>
        <w:t xml:space="preserve"> </w:t>
      </w:r>
      <w:proofErr w:type="spellStart"/>
      <w:r w:rsidRPr="006B6651">
        <w:rPr>
          <w:color w:val="000000" w:themeColor="text1"/>
          <w:w w:val="110"/>
          <w:sz w:val="20"/>
          <w:lang w:val="ru-RU"/>
        </w:rPr>
        <w:t>розглядається</w:t>
      </w:r>
      <w:proofErr w:type="spellEnd"/>
      <w:r w:rsidRPr="006B6651">
        <w:rPr>
          <w:color w:val="000000" w:themeColor="text1"/>
          <w:w w:val="110"/>
          <w:sz w:val="20"/>
          <w:lang w:val="ru-RU"/>
        </w:rPr>
        <w:t xml:space="preserve"> як </w:t>
      </w:r>
      <w:proofErr w:type="spellStart"/>
      <w:r w:rsidRPr="006B6651">
        <w:rPr>
          <w:color w:val="000000" w:themeColor="text1"/>
          <w:w w:val="110"/>
          <w:sz w:val="20"/>
          <w:lang w:val="ru-RU"/>
        </w:rPr>
        <w:t>молекулярний</w:t>
      </w:r>
      <w:proofErr w:type="spellEnd"/>
      <w:r w:rsidRPr="006B6651">
        <w:rPr>
          <w:color w:val="000000" w:themeColor="text1"/>
          <w:w w:val="110"/>
          <w:sz w:val="20"/>
          <w:lang w:val="ru-RU"/>
        </w:rPr>
        <w:t xml:space="preserve"> тест </w:t>
      </w:r>
      <w:r w:rsidRPr="007346BD">
        <w:rPr>
          <w:color w:val="000000" w:themeColor="text1"/>
          <w:w w:val="110"/>
          <w:sz w:val="20"/>
          <w:lang w:val="uk-UA"/>
        </w:rPr>
        <w:t>високої складності</w:t>
      </w:r>
      <w:r w:rsidRPr="006B6651">
        <w:rPr>
          <w:color w:val="000000" w:themeColor="text1"/>
          <w:w w:val="110"/>
          <w:sz w:val="20"/>
          <w:lang w:val="ru-RU"/>
        </w:rPr>
        <w:t xml:space="preserve">. </w:t>
      </w:r>
      <w:proofErr w:type="spellStart"/>
      <w:r w:rsidRPr="006B6651">
        <w:rPr>
          <w:color w:val="000000" w:themeColor="text1"/>
          <w:w w:val="110"/>
          <w:sz w:val="20"/>
          <w:lang w:val="ru-RU"/>
        </w:rPr>
        <w:t>Наприклад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підготовка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зразка</w:t>
      </w:r>
      <w:proofErr w:type="spellEnd"/>
      <w:r w:rsidRPr="006B6651">
        <w:rPr>
          <w:color w:val="000000" w:themeColor="text1"/>
          <w:w w:val="110"/>
          <w:sz w:val="20"/>
          <w:lang w:val="ru-RU"/>
        </w:rPr>
        <w:t xml:space="preserve"> до секвенування </w:t>
      </w:r>
      <w:proofErr w:type="spellStart"/>
      <w:r w:rsidRPr="006B6651">
        <w:rPr>
          <w:color w:val="000000" w:themeColor="text1"/>
          <w:w w:val="110"/>
          <w:sz w:val="20"/>
          <w:lang w:val="ru-RU"/>
        </w:rPr>
        <w:t>включає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кілька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етапів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потребують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уважності</w:t>
      </w:r>
      <w:proofErr w:type="spellEnd"/>
      <w:r w:rsidRPr="006B6651">
        <w:rPr>
          <w:color w:val="000000" w:themeColor="text1"/>
          <w:w w:val="110"/>
          <w:sz w:val="20"/>
          <w:lang w:val="ru-RU"/>
        </w:rPr>
        <w:t xml:space="preserve"> до деталей і </w:t>
      </w:r>
      <w:proofErr w:type="spellStart"/>
      <w:r w:rsidRPr="006B6651">
        <w:rPr>
          <w:color w:val="000000" w:themeColor="text1"/>
          <w:w w:val="110"/>
          <w:sz w:val="20"/>
          <w:lang w:val="ru-RU"/>
        </w:rPr>
        <w:t>точності</w:t>
      </w:r>
      <w:proofErr w:type="spellEnd"/>
      <w:r w:rsidRPr="006B6651">
        <w:rPr>
          <w:color w:val="000000" w:themeColor="text1"/>
          <w:w w:val="110"/>
          <w:sz w:val="20"/>
          <w:lang w:val="ru-RU"/>
        </w:rPr>
        <w:t xml:space="preserve">, практично не </w:t>
      </w:r>
      <w:proofErr w:type="spellStart"/>
      <w:r w:rsidRPr="006B6651">
        <w:rPr>
          <w:color w:val="000000" w:themeColor="text1"/>
          <w:w w:val="110"/>
          <w:sz w:val="20"/>
          <w:lang w:val="ru-RU"/>
        </w:rPr>
        <w:t>залишаючи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місця</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помилок</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Підготовка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бібліотеки</w:t>
      </w:r>
      <w:proofErr w:type="spellEnd"/>
      <w:r w:rsidRPr="006B6651">
        <w:rPr>
          <w:color w:val="000000" w:themeColor="text1"/>
          <w:w w:val="110"/>
          <w:sz w:val="20"/>
          <w:lang w:val="ru-RU"/>
        </w:rPr>
        <w:t xml:space="preserve"> є особливо складною для </w:t>
      </w:r>
      <w:proofErr w:type="spellStart"/>
      <w:r w:rsidRPr="006B6651">
        <w:rPr>
          <w:color w:val="000000" w:themeColor="text1"/>
          <w:w w:val="110"/>
          <w:sz w:val="20"/>
          <w:lang w:val="ru-RU"/>
        </w:rPr>
        <w:t>платформи</w:t>
      </w:r>
      <w:proofErr w:type="spellEnd"/>
      <w:r w:rsidRPr="006B6651">
        <w:rPr>
          <w:color w:val="000000" w:themeColor="text1"/>
          <w:w w:val="110"/>
          <w:sz w:val="20"/>
          <w:lang w:val="ru-RU"/>
        </w:rPr>
        <w:t xml:space="preserve"> </w:t>
      </w:r>
      <w:r w:rsidRPr="007346BD">
        <w:rPr>
          <w:color w:val="000000" w:themeColor="text1"/>
          <w:w w:val="110"/>
          <w:sz w:val="20"/>
        </w:rPr>
        <w:t>Deeplex</w:t>
      </w:r>
      <w:r w:rsidRPr="006B6651">
        <w:rPr>
          <w:color w:val="000000" w:themeColor="text1"/>
          <w:w w:val="110"/>
          <w:sz w:val="20"/>
          <w:lang w:val="ru-RU"/>
        </w:rPr>
        <w:t xml:space="preserve">, </w:t>
      </w:r>
      <w:proofErr w:type="spellStart"/>
      <w:r w:rsidRPr="006B6651">
        <w:rPr>
          <w:color w:val="000000" w:themeColor="text1"/>
          <w:w w:val="110"/>
          <w:sz w:val="20"/>
          <w:lang w:val="ru-RU"/>
        </w:rPr>
        <w:t>хоча</w:t>
      </w:r>
      <w:proofErr w:type="spellEnd"/>
      <w:r w:rsidRPr="006B6651">
        <w:rPr>
          <w:color w:val="000000" w:themeColor="text1"/>
          <w:w w:val="110"/>
          <w:sz w:val="20"/>
          <w:lang w:val="ru-RU"/>
        </w:rPr>
        <w:t xml:space="preserve"> як </w:t>
      </w:r>
      <w:r w:rsidRPr="007346BD">
        <w:rPr>
          <w:color w:val="000000" w:themeColor="text1"/>
          <w:w w:val="110"/>
          <w:sz w:val="20"/>
        </w:rPr>
        <w:t>Deeplex</w:t>
      </w:r>
      <w:r w:rsidRPr="006B6651">
        <w:rPr>
          <w:color w:val="000000" w:themeColor="text1"/>
          <w:w w:val="110"/>
          <w:sz w:val="20"/>
          <w:lang w:val="ru-RU"/>
        </w:rPr>
        <w:t xml:space="preserve">, так і </w:t>
      </w:r>
      <w:r w:rsidRPr="007346BD">
        <w:rPr>
          <w:color w:val="000000" w:themeColor="text1"/>
          <w:w w:val="110"/>
          <w:sz w:val="20"/>
        </w:rPr>
        <w:t>Nanopore</w:t>
      </w:r>
      <w:r w:rsidRPr="006B6651">
        <w:rPr>
          <w:color w:val="000000" w:themeColor="text1"/>
          <w:w w:val="110"/>
          <w:sz w:val="20"/>
          <w:lang w:val="ru-RU"/>
        </w:rPr>
        <w:t xml:space="preserve"> </w:t>
      </w:r>
      <w:proofErr w:type="spellStart"/>
      <w:r w:rsidRPr="006B6651">
        <w:rPr>
          <w:color w:val="000000" w:themeColor="text1"/>
          <w:w w:val="110"/>
          <w:sz w:val="20"/>
          <w:lang w:val="ru-RU"/>
        </w:rPr>
        <w:t>загалом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вважаються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досить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складними</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обох</w:t>
      </w:r>
      <w:proofErr w:type="spellEnd"/>
      <w:r w:rsidRPr="006B6651">
        <w:rPr>
          <w:color w:val="000000" w:themeColor="text1"/>
          <w:w w:val="110"/>
          <w:sz w:val="20"/>
          <w:lang w:val="ru-RU"/>
        </w:rPr>
        <w:t xml:space="preserve"> платформ </w:t>
      </w:r>
      <w:proofErr w:type="spellStart"/>
      <w:r w:rsidRPr="006B6651">
        <w:rPr>
          <w:color w:val="000000" w:themeColor="text1"/>
          <w:w w:val="110"/>
          <w:sz w:val="20"/>
          <w:lang w:val="ru-RU"/>
        </w:rPr>
        <w:t>зазначалося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існує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недостатньо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можливостей</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раннього</w:t>
      </w:r>
      <w:proofErr w:type="spellEnd"/>
      <w:r w:rsidRPr="006B6651">
        <w:rPr>
          <w:color w:val="000000" w:themeColor="text1"/>
          <w:w w:val="110"/>
          <w:sz w:val="20"/>
          <w:lang w:val="ru-RU"/>
        </w:rPr>
        <w:t xml:space="preserve"> виявлення та </w:t>
      </w:r>
      <w:proofErr w:type="spellStart"/>
      <w:r w:rsidRPr="006B6651">
        <w:rPr>
          <w:color w:val="000000" w:themeColor="text1"/>
          <w:w w:val="110"/>
          <w:sz w:val="20"/>
          <w:lang w:val="ru-RU"/>
        </w:rPr>
        <w:t>виправлення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помилок</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підвищує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ризик</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невдалого</w:t>
      </w:r>
      <w:proofErr w:type="spellEnd"/>
      <w:r w:rsidRPr="006B6651">
        <w:rPr>
          <w:color w:val="000000" w:themeColor="text1"/>
          <w:w w:val="110"/>
          <w:sz w:val="20"/>
          <w:lang w:val="ru-RU"/>
        </w:rPr>
        <w:t xml:space="preserve"> запуску тесту.</w:t>
      </w:r>
      <w:r w:rsidRPr="006B6651">
        <w:rPr>
          <w:color w:val="000000" w:themeColor="text1"/>
          <w:lang w:val="ru-RU"/>
        </w:rPr>
        <w:t xml:space="preserve"> </w:t>
      </w:r>
    </w:p>
    <w:p w14:paraId="7C567AE5" w14:textId="77777777" w:rsidR="00FE76F9" w:rsidRPr="006B6651" w:rsidRDefault="00FE76F9" w:rsidP="004A2937">
      <w:pPr>
        <w:pStyle w:val="a4"/>
        <w:numPr>
          <w:ilvl w:val="0"/>
          <w:numId w:val="51"/>
        </w:numPr>
        <w:tabs>
          <w:tab w:val="left" w:pos="1985"/>
        </w:tabs>
        <w:spacing w:before="127" w:line="276" w:lineRule="auto"/>
        <w:ind w:left="993" w:right="147"/>
        <w:rPr>
          <w:color w:val="000000" w:themeColor="text1"/>
          <w:sz w:val="20"/>
          <w:lang w:val="ru-RU"/>
        </w:rPr>
      </w:pPr>
      <w:r w:rsidRPr="007346BD">
        <w:rPr>
          <w:b/>
          <w:color w:val="000000" w:themeColor="text1"/>
          <w:w w:val="110"/>
          <w:sz w:val="20"/>
          <w:lang w:val="uk-UA"/>
        </w:rPr>
        <w:t>Вимоги до с</w:t>
      </w:r>
      <w:proofErr w:type="spellStart"/>
      <w:r w:rsidRPr="006B6651">
        <w:rPr>
          <w:b/>
          <w:color w:val="000000" w:themeColor="text1"/>
          <w:w w:val="110"/>
          <w:sz w:val="20"/>
          <w:lang w:val="ru-RU"/>
        </w:rPr>
        <w:t>пеціалізован</w:t>
      </w:r>
      <w:r w:rsidRPr="007346BD">
        <w:rPr>
          <w:b/>
          <w:color w:val="000000" w:themeColor="text1"/>
          <w:w w:val="110"/>
          <w:sz w:val="20"/>
          <w:lang w:val="uk-UA"/>
        </w:rPr>
        <w:t>ої</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лабораторн</w:t>
      </w:r>
      <w:r w:rsidRPr="007346BD">
        <w:rPr>
          <w:b/>
          <w:color w:val="000000" w:themeColor="text1"/>
          <w:w w:val="110"/>
          <w:sz w:val="20"/>
          <w:lang w:val="uk-UA"/>
        </w:rPr>
        <w:t>ої</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інфраструктур</w:t>
      </w:r>
      <w:proofErr w:type="spellEnd"/>
      <w:r w:rsidRPr="007346BD">
        <w:rPr>
          <w:b/>
          <w:color w:val="000000" w:themeColor="text1"/>
          <w:w w:val="110"/>
          <w:sz w:val="20"/>
          <w:lang w:val="uk-UA"/>
        </w:rPr>
        <w:t>и</w:t>
      </w:r>
      <w:r w:rsidRPr="006B6651">
        <w:rPr>
          <w:b/>
          <w:color w:val="000000" w:themeColor="text1"/>
          <w:w w:val="110"/>
          <w:sz w:val="20"/>
          <w:lang w:val="ru-RU"/>
        </w:rPr>
        <w:t xml:space="preserve"> та </w:t>
      </w:r>
      <w:r w:rsidRPr="007346BD">
        <w:rPr>
          <w:b/>
          <w:color w:val="000000" w:themeColor="text1"/>
          <w:w w:val="110"/>
          <w:sz w:val="20"/>
          <w:lang w:val="uk-UA"/>
        </w:rPr>
        <w:t>персоналу</w:t>
      </w:r>
      <w:r w:rsidRPr="006B6651">
        <w:rPr>
          <w:b/>
          <w:color w:val="000000" w:themeColor="text1"/>
          <w:w w:val="110"/>
          <w:sz w:val="20"/>
          <w:lang w:val="ru-RU"/>
        </w:rPr>
        <w:t>:</w:t>
      </w:r>
      <w:r w:rsidRPr="006B6651">
        <w:rPr>
          <w:color w:val="000000" w:themeColor="text1"/>
          <w:w w:val="110"/>
          <w:sz w:val="20"/>
          <w:lang w:val="ru-RU"/>
        </w:rPr>
        <w:t xml:space="preserve"> </w:t>
      </w:r>
      <w:proofErr w:type="spellStart"/>
      <w:r w:rsidRPr="006B6651">
        <w:rPr>
          <w:color w:val="000000" w:themeColor="text1"/>
          <w:w w:val="110"/>
          <w:sz w:val="20"/>
          <w:lang w:val="ru-RU"/>
        </w:rPr>
        <w:t>оскільки</w:t>
      </w:r>
      <w:proofErr w:type="spellEnd"/>
      <w:r w:rsidRPr="006B6651">
        <w:rPr>
          <w:color w:val="000000" w:themeColor="text1"/>
          <w:w w:val="110"/>
          <w:sz w:val="20"/>
          <w:lang w:val="ru-RU"/>
        </w:rPr>
        <w:t xml:space="preserve"> таргетне СНП є молекулярною платформою для </w:t>
      </w:r>
      <w:proofErr w:type="spellStart"/>
      <w:r w:rsidRPr="006B6651">
        <w:rPr>
          <w:color w:val="000000" w:themeColor="text1"/>
          <w:w w:val="110"/>
          <w:sz w:val="20"/>
          <w:lang w:val="ru-RU"/>
        </w:rPr>
        <w:t>тестування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воно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потребує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високоспеціалізованої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лабораторної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інфраструктури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наприклад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кількох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приміщень</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запобігання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контамінації</w:t>
      </w:r>
      <w:proofErr w:type="spellEnd"/>
      <w:r w:rsidRPr="006B6651">
        <w:rPr>
          <w:color w:val="000000" w:themeColor="text1"/>
          <w:w w:val="110"/>
          <w:sz w:val="20"/>
          <w:lang w:val="ru-RU"/>
        </w:rPr>
        <w:t xml:space="preserve"> ампліконів і </w:t>
      </w:r>
      <w:proofErr w:type="spellStart"/>
      <w:r w:rsidRPr="006B6651">
        <w:rPr>
          <w:color w:val="000000" w:themeColor="text1"/>
          <w:w w:val="110"/>
          <w:sz w:val="20"/>
          <w:lang w:val="ru-RU"/>
        </w:rPr>
        <w:t>спеціалізованих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холодильних</w:t>
      </w:r>
      <w:proofErr w:type="spellEnd"/>
      <w:r w:rsidRPr="006B6651">
        <w:rPr>
          <w:color w:val="000000" w:themeColor="text1"/>
          <w:w w:val="110"/>
          <w:sz w:val="20"/>
          <w:lang w:val="ru-RU"/>
        </w:rPr>
        <w:t xml:space="preserve"> установок). </w:t>
      </w:r>
      <w:proofErr w:type="spellStart"/>
      <w:r w:rsidRPr="006B6651">
        <w:rPr>
          <w:color w:val="000000" w:themeColor="text1"/>
          <w:w w:val="110"/>
          <w:sz w:val="20"/>
          <w:lang w:val="ru-RU"/>
        </w:rPr>
        <w:t>Крім</w:t>
      </w:r>
      <w:proofErr w:type="spellEnd"/>
      <w:r w:rsidRPr="006B6651">
        <w:rPr>
          <w:color w:val="000000" w:themeColor="text1"/>
          <w:w w:val="110"/>
          <w:sz w:val="20"/>
          <w:lang w:val="ru-RU"/>
        </w:rPr>
        <w:t xml:space="preserve"> того, </w:t>
      </w:r>
      <w:proofErr w:type="spellStart"/>
      <w:r w:rsidRPr="006B6651">
        <w:rPr>
          <w:color w:val="000000" w:themeColor="text1"/>
          <w:w w:val="110"/>
          <w:sz w:val="20"/>
          <w:lang w:val="ru-RU"/>
        </w:rPr>
        <w:t>необхідні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висококваліфіковані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фахівці</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молекулярної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біології</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медицини</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проведення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тестування</w:t>
      </w:r>
      <w:proofErr w:type="spellEnd"/>
      <w:r w:rsidRPr="006B6651">
        <w:rPr>
          <w:color w:val="000000" w:themeColor="text1"/>
          <w:w w:val="110"/>
          <w:sz w:val="20"/>
          <w:lang w:val="ru-RU"/>
        </w:rPr>
        <w:t xml:space="preserve">. У </w:t>
      </w:r>
      <w:r w:rsidRPr="007346BD">
        <w:rPr>
          <w:color w:val="000000" w:themeColor="text1"/>
          <w:w w:val="110"/>
          <w:sz w:val="20"/>
          <w:lang w:val="uk-UA"/>
        </w:rPr>
        <w:t>КНСРД</w:t>
      </w:r>
      <w:r w:rsidRPr="006B6651">
        <w:rPr>
          <w:color w:val="000000" w:themeColor="text1"/>
          <w:w w:val="110"/>
          <w:sz w:val="20"/>
          <w:lang w:val="ru-RU"/>
        </w:rPr>
        <w:t xml:space="preserve"> </w:t>
      </w:r>
      <w:proofErr w:type="spellStart"/>
      <w:r w:rsidRPr="006B6651">
        <w:rPr>
          <w:color w:val="000000" w:themeColor="text1"/>
          <w:w w:val="110"/>
          <w:sz w:val="20"/>
          <w:lang w:val="ru-RU"/>
        </w:rPr>
        <w:t>така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лабораторна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інфраструктура</w:t>
      </w:r>
      <w:proofErr w:type="spellEnd"/>
      <w:r w:rsidRPr="006B6651">
        <w:rPr>
          <w:color w:val="000000" w:themeColor="text1"/>
          <w:w w:val="110"/>
          <w:sz w:val="20"/>
          <w:lang w:val="ru-RU"/>
        </w:rPr>
        <w:t xml:space="preserve"> та персонал </w:t>
      </w:r>
      <w:proofErr w:type="spellStart"/>
      <w:r w:rsidRPr="006B6651">
        <w:rPr>
          <w:color w:val="000000" w:themeColor="text1"/>
          <w:w w:val="110"/>
          <w:sz w:val="20"/>
          <w:lang w:val="ru-RU"/>
        </w:rPr>
        <w:t>можуть</w:t>
      </w:r>
      <w:proofErr w:type="spellEnd"/>
      <w:r w:rsidRPr="006B6651">
        <w:rPr>
          <w:color w:val="000000" w:themeColor="text1"/>
          <w:w w:val="110"/>
          <w:sz w:val="20"/>
          <w:lang w:val="ru-RU"/>
        </w:rPr>
        <w:t xml:space="preserve"> бути </w:t>
      </w:r>
      <w:proofErr w:type="spellStart"/>
      <w:r w:rsidRPr="006B6651">
        <w:rPr>
          <w:color w:val="000000" w:themeColor="text1"/>
          <w:w w:val="110"/>
          <w:sz w:val="20"/>
          <w:lang w:val="ru-RU"/>
        </w:rPr>
        <w:t>доступними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лише</w:t>
      </w:r>
      <w:proofErr w:type="spellEnd"/>
      <w:r w:rsidRPr="006B6651">
        <w:rPr>
          <w:color w:val="000000" w:themeColor="text1"/>
          <w:w w:val="110"/>
          <w:sz w:val="20"/>
          <w:lang w:val="ru-RU"/>
        </w:rPr>
        <w:t xml:space="preserve"> в </w:t>
      </w:r>
      <w:proofErr w:type="spellStart"/>
      <w:r w:rsidRPr="006B6651">
        <w:rPr>
          <w:color w:val="000000" w:themeColor="text1"/>
          <w:w w:val="110"/>
          <w:sz w:val="20"/>
          <w:lang w:val="ru-RU"/>
        </w:rPr>
        <w:t>центральних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лабораторіях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тобто</w:t>
      </w:r>
      <w:proofErr w:type="spellEnd"/>
      <w:r w:rsidRPr="006B6651">
        <w:rPr>
          <w:color w:val="000000" w:themeColor="text1"/>
          <w:w w:val="110"/>
          <w:sz w:val="20"/>
          <w:lang w:val="ru-RU"/>
        </w:rPr>
        <w:t xml:space="preserve"> не в </w:t>
      </w:r>
      <w:proofErr w:type="spellStart"/>
      <w:r w:rsidRPr="006B6651">
        <w:rPr>
          <w:color w:val="000000" w:themeColor="text1"/>
          <w:w w:val="110"/>
          <w:sz w:val="20"/>
          <w:lang w:val="ru-RU"/>
        </w:rPr>
        <w:t>регіональних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лабораторіях</w:t>
      </w:r>
      <w:proofErr w:type="spellEnd"/>
      <w:r w:rsidRPr="006B6651">
        <w:rPr>
          <w:color w:val="000000" w:themeColor="text1"/>
          <w:w w:val="110"/>
          <w:sz w:val="20"/>
          <w:lang w:val="ru-RU"/>
        </w:rPr>
        <w:t>).</w:t>
      </w:r>
    </w:p>
    <w:p w14:paraId="1CB5A51F" w14:textId="77777777" w:rsidR="00FE76F9" w:rsidRPr="006B6651" w:rsidRDefault="00FE76F9" w:rsidP="004A2937">
      <w:pPr>
        <w:pStyle w:val="a4"/>
        <w:numPr>
          <w:ilvl w:val="0"/>
          <w:numId w:val="51"/>
        </w:numPr>
        <w:tabs>
          <w:tab w:val="left" w:pos="1985"/>
        </w:tabs>
        <w:spacing w:before="7" w:line="276" w:lineRule="auto"/>
        <w:ind w:left="993" w:right="147"/>
        <w:rPr>
          <w:color w:val="000000" w:themeColor="text1"/>
          <w:lang w:val="ru-RU"/>
        </w:rPr>
      </w:pPr>
      <w:proofErr w:type="spellStart"/>
      <w:r w:rsidRPr="006B6651">
        <w:rPr>
          <w:b/>
          <w:color w:val="000000" w:themeColor="text1"/>
          <w:w w:val="110"/>
          <w:sz w:val="20"/>
          <w:lang w:val="ru-RU"/>
        </w:rPr>
        <w:t>Спеціальні</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вимоги</w:t>
      </w:r>
      <w:proofErr w:type="spellEnd"/>
      <w:r w:rsidRPr="006B6651">
        <w:rPr>
          <w:b/>
          <w:color w:val="000000" w:themeColor="text1"/>
          <w:w w:val="110"/>
          <w:sz w:val="20"/>
          <w:lang w:val="ru-RU"/>
        </w:rPr>
        <w:t xml:space="preserve"> для </w:t>
      </w:r>
      <w:proofErr w:type="spellStart"/>
      <w:r w:rsidRPr="006B6651">
        <w:rPr>
          <w:b/>
          <w:color w:val="000000" w:themeColor="text1"/>
          <w:w w:val="110"/>
          <w:sz w:val="20"/>
          <w:lang w:val="ru-RU"/>
        </w:rPr>
        <w:t>проведення</w:t>
      </w:r>
      <w:proofErr w:type="spellEnd"/>
      <w:r w:rsidRPr="006B6651">
        <w:rPr>
          <w:b/>
          <w:color w:val="000000" w:themeColor="text1"/>
          <w:w w:val="110"/>
          <w:sz w:val="20"/>
          <w:lang w:val="ru-RU"/>
        </w:rPr>
        <w:t xml:space="preserve"> тесту:</w:t>
      </w:r>
      <w:r w:rsidRPr="007346BD">
        <w:rPr>
          <w:color w:val="000000" w:themeColor="text1"/>
          <w:w w:val="110"/>
          <w:sz w:val="20"/>
          <w:lang w:val="uk-UA"/>
        </w:rPr>
        <w:t xml:space="preserve"> </w:t>
      </w:r>
      <w:proofErr w:type="spellStart"/>
      <w:r w:rsidRPr="006B6651">
        <w:rPr>
          <w:color w:val="000000" w:themeColor="text1"/>
          <w:w w:val="110"/>
          <w:sz w:val="20"/>
          <w:lang w:val="ru-RU"/>
        </w:rPr>
        <w:t>Окрім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високоспеціалізованої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лабораторної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інфраструктури</w:t>
      </w:r>
      <w:proofErr w:type="spellEnd"/>
      <w:r w:rsidRPr="006B6651">
        <w:rPr>
          <w:color w:val="000000" w:themeColor="text1"/>
          <w:w w:val="110"/>
          <w:sz w:val="20"/>
          <w:lang w:val="ru-RU"/>
        </w:rPr>
        <w:t xml:space="preserve"> та персоналу, </w:t>
      </w:r>
      <w:proofErr w:type="spellStart"/>
      <w:r w:rsidRPr="006B6651">
        <w:rPr>
          <w:color w:val="000000" w:themeColor="text1"/>
          <w:w w:val="110"/>
          <w:sz w:val="20"/>
          <w:lang w:val="ru-RU"/>
        </w:rPr>
        <w:t>ця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технологія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тестування</w:t>
      </w:r>
      <w:proofErr w:type="spellEnd"/>
      <w:r w:rsidRPr="006B6651">
        <w:rPr>
          <w:color w:val="000000" w:themeColor="text1"/>
          <w:w w:val="110"/>
          <w:sz w:val="20"/>
          <w:lang w:val="ru-RU"/>
        </w:rPr>
        <w:t xml:space="preserve"> також </w:t>
      </w:r>
      <w:proofErr w:type="spellStart"/>
      <w:r w:rsidRPr="006B6651">
        <w:rPr>
          <w:color w:val="000000" w:themeColor="text1"/>
          <w:w w:val="110"/>
          <w:sz w:val="20"/>
          <w:lang w:val="ru-RU"/>
        </w:rPr>
        <w:t>потребує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безперебійного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електропостачання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стабільного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інтернет-з’єднання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потужних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комп’ютерних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ресурсів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чистої</w:t>
      </w:r>
      <w:proofErr w:type="spellEnd"/>
      <w:r w:rsidRPr="006B6651">
        <w:rPr>
          <w:color w:val="000000" w:themeColor="text1"/>
          <w:w w:val="110"/>
          <w:sz w:val="20"/>
          <w:lang w:val="ru-RU"/>
        </w:rPr>
        <w:t xml:space="preserve"> води та контролю температури — </w:t>
      </w:r>
      <w:proofErr w:type="spellStart"/>
      <w:r w:rsidRPr="006B6651">
        <w:rPr>
          <w:color w:val="000000" w:themeColor="text1"/>
          <w:w w:val="110"/>
          <w:sz w:val="20"/>
          <w:lang w:val="ru-RU"/>
        </w:rPr>
        <w:t>вимоги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можуть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становити</w:t>
      </w:r>
      <w:proofErr w:type="spellEnd"/>
      <w:r w:rsidRPr="006B6651">
        <w:rPr>
          <w:color w:val="000000" w:themeColor="text1"/>
          <w:w w:val="110"/>
          <w:sz w:val="20"/>
          <w:lang w:val="ru-RU"/>
        </w:rPr>
        <w:t xml:space="preserve"> </w:t>
      </w:r>
      <w:r w:rsidRPr="007346BD">
        <w:rPr>
          <w:color w:val="000000" w:themeColor="text1"/>
          <w:w w:val="110"/>
          <w:sz w:val="20"/>
          <w:lang w:val="uk-UA"/>
        </w:rPr>
        <w:t>труднощі</w:t>
      </w:r>
      <w:r w:rsidRPr="006B6651">
        <w:rPr>
          <w:color w:val="000000" w:themeColor="text1"/>
          <w:w w:val="110"/>
          <w:sz w:val="20"/>
          <w:lang w:val="ru-RU"/>
        </w:rPr>
        <w:t xml:space="preserve"> у </w:t>
      </w:r>
      <w:proofErr w:type="spellStart"/>
      <w:r w:rsidRPr="006B6651">
        <w:rPr>
          <w:color w:val="000000" w:themeColor="text1"/>
          <w:w w:val="110"/>
          <w:sz w:val="20"/>
          <w:lang w:val="ru-RU"/>
        </w:rPr>
        <w:t>деяких</w:t>
      </w:r>
      <w:proofErr w:type="spellEnd"/>
      <w:r w:rsidRPr="006B6651">
        <w:rPr>
          <w:color w:val="000000" w:themeColor="text1"/>
          <w:w w:val="110"/>
          <w:sz w:val="20"/>
          <w:lang w:val="ru-RU"/>
        </w:rPr>
        <w:t xml:space="preserve"> </w:t>
      </w:r>
      <w:r w:rsidRPr="007346BD">
        <w:rPr>
          <w:color w:val="000000" w:themeColor="text1"/>
          <w:w w:val="110"/>
          <w:sz w:val="20"/>
          <w:lang w:val="uk-UA"/>
        </w:rPr>
        <w:t>КНСРД</w:t>
      </w:r>
      <w:r w:rsidRPr="006B6651">
        <w:rPr>
          <w:color w:val="000000" w:themeColor="text1"/>
          <w:w w:val="110"/>
          <w:sz w:val="20"/>
          <w:lang w:val="ru-RU"/>
        </w:rPr>
        <w:t>.</w:t>
      </w:r>
      <w:r w:rsidRPr="006B6651">
        <w:rPr>
          <w:color w:val="000000" w:themeColor="text1"/>
          <w:lang w:val="ru-RU"/>
        </w:rPr>
        <w:t xml:space="preserve"> </w:t>
      </w:r>
    </w:p>
    <w:p w14:paraId="7F8C4889" w14:textId="77777777" w:rsidR="00FE76F9" w:rsidRPr="006B6651" w:rsidRDefault="00FE76F9" w:rsidP="00FE76F9">
      <w:pPr>
        <w:widowControl/>
        <w:autoSpaceDE/>
        <w:autoSpaceDN/>
        <w:spacing w:after="160" w:line="259" w:lineRule="auto"/>
        <w:rPr>
          <w:color w:val="000000" w:themeColor="text1"/>
          <w:lang w:val="ru-RU"/>
        </w:rPr>
      </w:pPr>
      <w:r w:rsidRPr="006B6651">
        <w:rPr>
          <w:color w:val="000000" w:themeColor="text1"/>
          <w:lang w:val="ru-RU"/>
        </w:rPr>
        <w:br w:type="page"/>
      </w:r>
    </w:p>
    <w:p w14:paraId="43C7AB67" w14:textId="77777777" w:rsidR="00FE76F9" w:rsidRPr="006B6651" w:rsidRDefault="00FE76F9" w:rsidP="00FE76F9">
      <w:pPr>
        <w:pStyle w:val="a4"/>
        <w:tabs>
          <w:tab w:val="left" w:pos="1701"/>
        </w:tabs>
        <w:spacing w:before="7" w:line="276" w:lineRule="auto"/>
        <w:ind w:right="1411" w:firstLine="0"/>
        <w:rPr>
          <w:color w:val="000000" w:themeColor="text1"/>
          <w:w w:val="110"/>
          <w:sz w:val="20"/>
          <w:lang w:val="ru-RU"/>
        </w:rPr>
      </w:pPr>
    </w:p>
    <w:p w14:paraId="5E075D2B" w14:textId="77777777" w:rsidR="00FE76F9" w:rsidRPr="006B6651" w:rsidRDefault="00FE76F9" w:rsidP="004A2937">
      <w:pPr>
        <w:pStyle w:val="a4"/>
        <w:numPr>
          <w:ilvl w:val="0"/>
          <w:numId w:val="51"/>
        </w:numPr>
        <w:tabs>
          <w:tab w:val="left" w:pos="1843"/>
        </w:tabs>
        <w:spacing w:before="86" w:line="276" w:lineRule="auto"/>
        <w:ind w:left="1134" w:right="146"/>
        <w:rPr>
          <w:color w:val="000000" w:themeColor="text1"/>
          <w:sz w:val="20"/>
          <w:szCs w:val="20"/>
          <w:lang w:val="ru-RU"/>
        </w:rPr>
      </w:pPr>
      <w:proofErr w:type="spellStart"/>
      <w:r w:rsidRPr="006B6651">
        <w:rPr>
          <w:b/>
          <w:color w:val="000000" w:themeColor="text1"/>
          <w:sz w:val="20"/>
          <w:szCs w:val="20"/>
          <w:lang w:val="ru-RU"/>
        </w:rPr>
        <w:t>Проблеми</w:t>
      </w:r>
      <w:proofErr w:type="spellEnd"/>
      <w:r w:rsidRPr="006B6651">
        <w:rPr>
          <w:b/>
          <w:color w:val="000000" w:themeColor="text1"/>
          <w:sz w:val="20"/>
          <w:szCs w:val="20"/>
          <w:lang w:val="ru-RU"/>
        </w:rPr>
        <w:t xml:space="preserve"> з </w:t>
      </w:r>
      <w:proofErr w:type="spellStart"/>
      <w:r w:rsidRPr="006B6651">
        <w:rPr>
          <w:b/>
          <w:color w:val="000000" w:themeColor="text1"/>
          <w:sz w:val="20"/>
          <w:szCs w:val="20"/>
          <w:lang w:val="ru-RU"/>
        </w:rPr>
        <w:t>ланцюгом</w:t>
      </w:r>
      <w:proofErr w:type="spellEnd"/>
      <w:r w:rsidRPr="006B6651">
        <w:rPr>
          <w:b/>
          <w:color w:val="000000" w:themeColor="text1"/>
          <w:sz w:val="20"/>
          <w:szCs w:val="20"/>
          <w:lang w:val="ru-RU"/>
        </w:rPr>
        <w:t xml:space="preserve"> </w:t>
      </w:r>
      <w:proofErr w:type="spellStart"/>
      <w:r w:rsidRPr="006B6651">
        <w:rPr>
          <w:b/>
          <w:color w:val="000000" w:themeColor="text1"/>
          <w:sz w:val="20"/>
          <w:szCs w:val="20"/>
          <w:lang w:val="ru-RU"/>
        </w:rPr>
        <w:t>постачання</w:t>
      </w:r>
      <w:proofErr w:type="spellEnd"/>
      <w:r w:rsidRPr="006B6651">
        <w:rPr>
          <w:b/>
          <w:color w:val="000000" w:themeColor="text1"/>
          <w:sz w:val="20"/>
          <w:szCs w:val="20"/>
          <w:lang w:val="ru-RU"/>
        </w:rPr>
        <w:t>:</w:t>
      </w:r>
      <w:r w:rsidRPr="006B6651">
        <w:rPr>
          <w:color w:val="000000" w:themeColor="text1"/>
          <w:sz w:val="20"/>
          <w:szCs w:val="20"/>
          <w:lang w:val="ru-RU"/>
        </w:rPr>
        <w:t xml:space="preserve"> </w:t>
      </w:r>
      <w:proofErr w:type="spellStart"/>
      <w:r w:rsidRPr="006B6651">
        <w:rPr>
          <w:color w:val="000000" w:themeColor="text1"/>
          <w:sz w:val="20"/>
          <w:lang w:val="ru-RU"/>
        </w:rPr>
        <w:t>повідомлялося</w:t>
      </w:r>
      <w:proofErr w:type="spellEnd"/>
      <w:r w:rsidRPr="006B6651">
        <w:rPr>
          <w:color w:val="000000" w:themeColor="text1"/>
          <w:sz w:val="20"/>
          <w:lang w:val="ru-RU"/>
        </w:rPr>
        <w:t xml:space="preserve"> про </w:t>
      </w:r>
      <w:proofErr w:type="spellStart"/>
      <w:r w:rsidRPr="006B6651">
        <w:rPr>
          <w:color w:val="000000" w:themeColor="text1"/>
          <w:sz w:val="20"/>
          <w:lang w:val="ru-RU"/>
        </w:rPr>
        <w:t>серйозні</w:t>
      </w:r>
      <w:proofErr w:type="spellEnd"/>
      <w:r w:rsidRPr="006B6651">
        <w:rPr>
          <w:color w:val="000000" w:themeColor="text1"/>
          <w:sz w:val="20"/>
          <w:lang w:val="ru-RU"/>
        </w:rPr>
        <w:t xml:space="preserve"> </w:t>
      </w:r>
      <w:proofErr w:type="spellStart"/>
      <w:r w:rsidRPr="006B6651">
        <w:rPr>
          <w:color w:val="000000" w:themeColor="text1"/>
          <w:sz w:val="20"/>
          <w:lang w:val="ru-RU"/>
        </w:rPr>
        <w:t>труднощі</w:t>
      </w:r>
      <w:proofErr w:type="spellEnd"/>
      <w:r w:rsidRPr="006B6651">
        <w:rPr>
          <w:color w:val="000000" w:themeColor="text1"/>
          <w:sz w:val="20"/>
          <w:lang w:val="ru-RU"/>
        </w:rPr>
        <w:t xml:space="preserve">, </w:t>
      </w:r>
      <w:proofErr w:type="spellStart"/>
      <w:r w:rsidRPr="006B6651">
        <w:rPr>
          <w:color w:val="000000" w:themeColor="text1"/>
          <w:sz w:val="20"/>
          <w:lang w:val="ru-RU"/>
        </w:rPr>
        <w:t>пов’язані</w:t>
      </w:r>
      <w:proofErr w:type="spellEnd"/>
      <w:r w:rsidRPr="006B6651">
        <w:rPr>
          <w:color w:val="000000" w:themeColor="text1"/>
          <w:sz w:val="20"/>
          <w:lang w:val="ru-RU"/>
        </w:rPr>
        <w:t xml:space="preserve"> з </w:t>
      </w:r>
      <w:proofErr w:type="spellStart"/>
      <w:r w:rsidRPr="006B6651">
        <w:rPr>
          <w:color w:val="000000" w:themeColor="text1"/>
          <w:sz w:val="20"/>
          <w:lang w:val="ru-RU"/>
        </w:rPr>
        <w:t>ланцюгом</w:t>
      </w:r>
      <w:proofErr w:type="spellEnd"/>
      <w:r w:rsidRPr="006B6651">
        <w:rPr>
          <w:color w:val="000000" w:themeColor="text1"/>
          <w:sz w:val="20"/>
          <w:lang w:val="ru-RU"/>
        </w:rPr>
        <w:t xml:space="preserve"> </w:t>
      </w:r>
      <w:proofErr w:type="spellStart"/>
      <w:r w:rsidRPr="006B6651">
        <w:rPr>
          <w:color w:val="000000" w:themeColor="text1"/>
          <w:sz w:val="20"/>
          <w:lang w:val="ru-RU"/>
        </w:rPr>
        <w:t>постачання</w:t>
      </w:r>
      <w:proofErr w:type="spellEnd"/>
      <w:r w:rsidRPr="006B6651">
        <w:rPr>
          <w:color w:val="000000" w:themeColor="text1"/>
          <w:sz w:val="20"/>
          <w:lang w:val="ru-RU"/>
        </w:rPr>
        <w:t xml:space="preserve">, </w:t>
      </w:r>
      <w:proofErr w:type="spellStart"/>
      <w:r w:rsidRPr="006B6651">
        <w:rPr>
          <w:color w:val="000000" w:themeColor="text1"/>
          <w:sz w:val="20"/>
          <w:lang w:val="ru-RU"/>
        </w:rPr>
        <w:t>необхідним</w:t>
      </w:r>
      <w:proofErr w:type="spellEnd"/>
      <w:r w:rsidRPr="006B6651">
        <w:rPr>
          <w:color w:val="000000" w:themeColor="text1"/>
          <w:sz w:val="20"/>
          <w:lang w:val="ru-RU"/>
        </w:rPr>
        <w:t xml:space="preserve"> для </w:t>
      </w:r>
      <w:proofErr w:type="spellStart"/>
      <w:r w:rsidRPr="006B6651">
        <w:rPr>
          <w:color w:val="000000" w:themeColor="text1"/>
          <w:sz w:val="20"/>
          <w:lang w:val="ru-RU"/>
        </w:rPr>
        <w:t>впровадження</w:t>
      </w:r>
      <w:proofErr w:type="spellEnd"/>
      <w:r w:rsidRPr="006B6651">
        <w:rPr>
          <w:color w:val="000000" w:themeColor="text1"/>
          <w:sz w:val="20"/>
          <w:lang w:val="ru-RU"/>
        </w:rPr>
        <w:t xml:space="preserve"> таргетного СНП. </w:t>
      </w:r>
      <w:proofErr w:type="spellStart"/>
      <w:r w:rsidRPr="006B6651">
        <w:rPr>
          <w:color w:val="000000" w:themeColor="text1"/>
          <w:sz w:val="20"/>
          <w:lang w:val="ru-RU"/>
        </w:rPr>
        <w:t>Закупівельні</w:t>
      </w:r>
      <w:proofErr w:type="spellEnd"/>
      <w:r w:rsidRPr="006B6651">
        <w:rPr>
          <w:color w:val="000000" w:themeColor="text1"/>
          <w:sz w:val="20"/>
          <w:lang w:val="ru-RU"/>
        </w:rPr>
        <w:t xml:space="preserve"> </w:t>
      </w:r>
      <w:proofErr w:type="spellStart"/>
      <w:r w:rsidRPr="006B6651">
        <w:rPr>
          <w:color w:val="000000" w:themeColor="text1"/>
          <w:sz w:val="20"/>
          <w:lang w:val="ru-RU"/>
        </w:rPr>
        <w:t>труднощі</w:t>
      </w:r>
      <w:proofErr w:type="spellEnd"/>
      <w:r w:rsidRPr="006B6651">
        <w:rPr>
          <w:color w:val="000000" w:themeColor="text1"/>
          <w:sz w:val="20"/>
          <w:lang w:val="ru-RU"/>
        </w:rPr>
        <w:t xml:space="preserve"> та </w:t>
      </w:r>
      <w:proofErr w:type="spellStart"/>
      <w:r w:rsidRPr="006B6651">
        <w:rPr>
          <w:color w:val="000000" w:themeColor="text1"/>
          <w:sz w:val="20"/>
          <w:lang w:val="ru-RU"/>
        </w:rPr>
        <w:t>затримки</w:t>
      </w:r>
      <w:proofErr w:type="spellEnd"/>
      <w:r w:rsidRPr="006B6651">
        <w:rPr>
          <w:color w:val="000000" w:themeColor="text1"/>
          <w:sz w:val="20"/>
          <w:lang w:val="ru-RU"/>
        </w:rPr>
        <w:t xml:space="preserve"> в </w:t>
      </w:r>
      <w:proofErr w:type="spellStart"/>
      <w:r w:rsidRPr="006B6651">
        <w:rPr>
          <w:color w:val="000000" w:themeColor="text1"/>
          <w:sz w:val="20"/>
          <w:lang w:val="ru-RU"/>
        </w:rPr>
        <w:t>постачанні</w:t>
      </w:r>
      <w:proofErr w:type="spellEnd"/>
      <w:r w:rsidRPr="006B6651">
        <w:rPr>
          <w:color w:val="000000" w:themeColor="text1"/>
          <w:sz w:val="20"/>
          <w:lang w:val="ru-RU"/>
        </w:rPr>
        <w:t xml:space="preserve"> у </w:t>
      </w:r>
      <w:proofErr w:type="spellStart"/>
      <w:r w:rsidRPr="006B6651">
        <w:rPr>
          <w:color w:val="000000" w:themeColor="text1"/>
          <w:sz w:val="20"/>
          <w:lang w:val="ru-RU"/>
        </w:rPr>
        <w:t>поєднанні</w:t>
      </w:r>
      <w:proofErr w:type="spellEnd"/>
      <w:r w:rsidRPr="006B6651">
        <w:rPr>
          <w:color w:val="000000" w:themeColor="text1"/>
          <w:sz w:val="20"/>
          <w:lang w:val="ru-RU"/>
        </w:rPr>
        <w:t xml:space="preserve"> з </w:t>
      </w:r>
      <w:proofErr w:type="spellStart"/>
      <w:r w:rsidRPr="006B6651">
        <w:rPr>
          <w:color w:val="000000" w:themeColor="text1"/>
          <w:sz w:val="20"/>
          <w:lang w:val="ru-RU"/>
        </w:rPr>
        <w:t>обмеженим</w:t>
      </w:r>
      <w:proofErr w:type="spellEnd"/>
      <w:r w:rsidRPr="006B6651">
        <w:rPr>
          <w:color w:val="000000" w:themeColor="text1"/>
          <w:sz w:val="20"/>
          <w:lang w:val="ru-RU"/>
        </w:rPr>
        <w:t xml:space="preserve"> </w:t>
      </w:r>
      <w:proofErr w:type="spellStart"/>
      <w:r w:rsidRPr="006B6651">
        <w:rPr>
          <w:color w:val="000000" w:themeColor="text1"/>
          <w:sz w:val="20"/>
          <w:lang w:val="ru-RU"/>
        </w:rPr>
        <w:t>терміном</w:t>
      </w:r>
      <w:proofErr w:type="spellEnd"/>
      <w:r w:rsidRPr="006B6651">
        <w:rPr>
          <w:color w:val="000000" w:themeColor="text1"/>
          <w:sz w:val="20"/>
          <w:lang w:val="ru-RU"/>
        </w:rPr>
        <w:t xml:space="preserve"> </w:t>
      </w:r>
      <w:proofErr w:type="spellStart"/>
      <w:r w:rsidRPr="006B6651">
        <w:rPr>
          <w:color w:val="000000" w:themeColor="text1"/>
          <w:sz w:val="20"/>
          <w:lang w:val="ru-RU"/>
        </w:rPr>
        <w:t>придатності</w:t>
      </w:r>
      <w:proofErr w:type="spellEnd"/>
      <w:r w:rsidRPr="006B6651">
        <w:rPr>
          <w:color w:val="000000" w:themeColor="text1"/>
          <w:sz w:val="20"/>
          <w:lang w:val="ru-RU"/>
        </w:rPr>
        <w:t xml:space="preserve"> </w:t>
      </w:r>
      <w:proofErr w:type="spellStart"/>
      <w:r w:rsidRPr="006B6651">
        <w:rPr>
          <w:color w:val="000000" w:themeColor="text1"/>
          <w:sz w:val="20"/>
          <w:lang w:val="ru-RU"/>
        </w:rPr>
        <w:t>реагентів</w:t>
      </w:r>
      <w:proofErr w:type="spellEnd"/>
      <w:r w:rsidRPr="006B6651">
        <w:rPr>
          <w:color w:val="000000" w:themeColor="text1"/>
          <w:sz w:val="20"/>
          <w:lang w:val="ru-RU"/>
        </w:rPr>
        <w:t xml:space="preserve"> </w:t>
      </w:r>
      <w:proofErr w:type="spellStart"/>
      <w:r w:rsidRPr="006B6651">
        <w:rPr>
          <w:color w:val="000000" w:themeColor="text1"/>
          <w:sz w:val="20"/>
          <w:lang w:val="ru-RU"/>
        </w:rPr>
        <w:t>ставлять</w:t>
      </w:r>
      <w:proofErr w:type="spellEnd"/>
      <w:r w:rsidRPr="006B6651">
        <w:rPr>
          <w:color w:val="000000" w:themeColor="text1"/>
          <w:sz w:val="20"/>
          <w:lang w:val="ru-RU"/>
        </w:rPr>
        <w:t xml:space="preserve"> під </w:t>
      </w:r>
      <w:proofErr w:type="spellStart"/>
      <w:r w:rsidRPr="006B6651">
        <w:rPr>
          <w:color w:val="000000" w:themeColor="text1"/>
          <w:sz w:val="20"/>
          <w:lang w:val="ru-RU"/>
        </w:rPr>
        <w:t>загрозу</w:t>
      </w:r>
      <w:proofErr w:type="spellEnd"/>
      <w:r w:rsidRPr="006B6651">
        <w:rPr>
          <w:color w:val="000000" w:themeColor="text1"/>
          <w:sz w:val="20"/>
          <w:lang w:val="ru-RU"/>
        </w:rPr>
        <w:t xml:space="preserve"> </w:t>
      </w:r>
      <w:proofErr w:type="spellStart"/>
      <w:r w:rsidRPr="006B6651">
        <w:rPr>
          <w:color w:val="000000" w:themeColor="text1"/>
          <w:sz w:val="20"/>
          <w:lang w:val="ru-RU"/>
        </w:rPr>
        <w:t>постійний</w:t>
      </w:r>
      <w:proofErr w:type="spellEnd"/>
      <w:r w:rsidRPr="006B6651">
        <w:rPr>
          <w:color w:val="000000" w:themeColor="text1"/>
          <w:sz w:val="20"/>
          <w:lang w:val="ru-RU"/>
        </w:rPr>
        <w:t xml:space="preserve"> доступ до </w:t>
      </w:r>
      <w:proofErr w:type="spellStart"/>
      <w:r w:rsidRPr="006B6651">
        <w:rPr>
          <w:color w:val="000000" w:themeColor="text1"/>
          <w:sz w:val="20"/>
          <w:lang w:val="ru-RU"/>
        </w:rPr>
        <w:t>спеціалізованих</w:t>
      </w:r>
      <w:proofErr w:type="spellEnd"/>
      <w:r w:rsidRPr="006B6651">
        <w:rPr>
          <w:color w:val="000000" w:themeColor="text1"/>
          <w:sz w:val="20"/>
          <w:lang w:val="ru-RU"/>
        </w:rPr>
        <w:t xml:space="preserve"> </w:t>
      </w:r>
      <w:proofErr w:type="spellStart"/>
      <w:r w:rsidRPr="006B6651">
        <w:rPr>
          <w:color w:val="000000" w:themeColor="text1"/>
          <w:sz w:val="20"/>
          <w:lang w:val="ru-RU"/>
        </w:rPr>
        <w:t>витратних</w:t>
      </w:r>
      <w:proofErr w:type="spellEnd"/>
      <w:r w:rsidRPr="006B6651">
        <w:rPr>
          <w:color w:val="000000" w:themeColor="text1"/>
          <w:sz w:val="20"/>
          <w:lang w:val="ru-RU"/>
        </w:rPr>
        <w:t xml:space="preserve"> матеріалів.</w:t>
      </w:r>
    </w:p>
    <w:p w14:paraId="5B8E10CA" w14:textId="77777777" w:rsidR="00FE76F9" w:rsidRPr="006B6651" w:rsidRDefault="00FE76F9" w:rsidP="004A2937">
      <w:pPr>
        <w:pStyle w:val="a4"/>
        <w:numPr>
          <w:ilvl w:val="0"/>
          <w:numId w:val="51"/>
        </w:numPr>
        <w:tabs>
          <w:tab w:val="left" w:pos="2127"/>
        </w:tabs>
        <w:spacing w:before="3" w:line="276" w:lineRule="auto"/>
        <w:ind w:left="1134" w:right="146"/>
        <w:rPr>
          <w:color w:val="000000" w:themeColor="text1"/>
          <w:sz w:val="20"/>
          <w:lang w:val="ru-RU"/>
        </w:rPr>
      </w:pPr>
      <w:proofErr w:type="spellStart"/>
      <w:r w:rsidRPr="006B6651">
        <w:rPr>
          <w:b/>
          <w:color w:val="000000" w:themeColor="text1"/>
          <w:w w:val="110"/>
          <w:sz w:val="20"/>
          <w:lang w:val="ru-RU"/>
        </w:rPr>
        <w:t>Вимоги</w:t>
      </w:r>
      <w:proofErr w:type="spellEnd"/>
      <w:r w:rsidRPr="006B6651">
        <w:rPr>
          <w:b/>
          <w:color w:val="000000" w:themeColor="text1"/>
          <w:w w:val="110"/>
          <w:sz w:val="20"/>
          <w:lang w:val="ru-RU"/>
        </w:rPr>
        <w:t xml:space="preserve"> до</w:t>
      </w:r>
      <w:r w:rsidRPr="007346BD">
        <w:rPr>
          <w:b/>
          <w:color w:val="000000" w:themeColor="text1"/>
          <w:w w:val="110"/>
          <w:sz w:val="20"/>
          <w:lang w:val="uk-UA"/>
        </w:rPr>
        <w:t xml:space="preserve"> </w:t>
      </w:r>
      <w:proofErr w:type="spellStart"/>
      <w:r w:rsidRPr="006B6651">
        <w:rPr>
          <w:b/>
          <w:color w:val="000000" w:themeColor="text1"/>
          <w:w w:val="110"/>
          <w:sz w:val="20"/>
          <w:lang w:val="ru-RU"/>
        </w:rPr>
        <w:t>зберігання</w:t>
      </w:r>
      <w:proofErr w:type="spellEnd"/>
      <w:r w:rsidRPr="006B6651">
        <w:rPr>
          <w:b/>
          <w:color w:val="000000" w:themeColor="text1"/>
          <w:w w:val="110"/>
          <w:sz w:val="20"/>
          <w:lang w:val="ru-RU"/>
        </w:rPr>
        <w:t xml:space="preserve"> </w:t>
      </w:r>
      <w:r w:rsidRPr="007346BD">
        <w:rPr>
          <w:b/>
          <w:color w:val="000000" w:themeColor="text1"/>
          <w:w w:val="110"/>
          <w:sz w:val="20"/>
          <w:lang w:val="uk-UA"/>
        </w:rPr>
        <w:t>та управління даними</w:t>
      </w:r>
      <w:r w:rsidRPr="006B6651">
        <w:rPr>
          <w:b/>
          <w:color w:val="000000" w:themeColor="text1"/>
          <w:w w:val="110"/>
          <w:sz w:val="20"/>
          <w:lang w:val="ru-RU"/>
        </w:rPr>
        <w:t>:</w:t>
      </w:r>
      <w:r w:rsidRPr="006B6651">
        <w:rPr>
          <w:color w:val="000000" w:themeColor="text1"/>
          <w:w w:val="110"/>
          <w:sz w:val="20"/>
          <w:lang w:val="ru-RU"/>
        </w:rPr>
        <w:t xml:space="preserve"> </w:t>
      </w:r>
      <w:r w:rsidRPr="007346BD">
        <w:rPr>
          <w:color w:val="000000" w:themeColor="text1"/>
          <w:w w:val="110"/>
          <w:sz w:val="20"/>
          <w:lang w:val="uk-UA"/>
        </w:rPr>
        <w:t>було зазначено</w:t>
      </w:r>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вимоги</w:t>
      </w:r>
      <w:proofErr w:type="spellEnd"/>
      <w:r w:rsidRPr="006B6651">
        <w:rPr>
          <w:color w:val="000000" w:themeColor="text1"/>
          <w:w w:val="110"/>
          <w:sz w:val="20"/>
          <w:lang w:val="ru-RU"/>
        </w:rPr>
        <w:t xml:space="preserve"> до </w:t>
      </w:r>
      <w:proofErr w:type="spellStart"/>
      <w:r w:rsidRPr="006B6651">
        <w:rPr>
          <w:color w:val="000000" w:themeColor="text1"/>
          <w:w w:val="110"/>
          <w:sz w:val="20"/>
          <w:lang w:val="ru-RU"/>
        </w:rPr>
        <w:t>аналізу</w:t>
      </w:r>
      <w:proofErr w:type="spellEnd"/>
      <w:r w:rsidRPr="006B6651">
        <w:rPr>
          <w:color w:val="000000" w:themeColor="text1"/>
          <w:w w:val="110"/>
          <w:sz w:val="20"/>
          <w:lang w:val="ru-RU"/>
        </w:rPr>
        <w:t xml:space="preserve"> </w:t>
      </w:r>
      <w:r>
        <w:rPr>
          <w:color w:val="000000" w:themeColor="text1"/>
          <w:w w:val="110"/>
          <w:sz w:val="20"/>
          <w:lang w:val="uk-UA"/>
        </w:rPr>
        <w:t>та</w:t>
      </w:r>
      <w:r w:rsidRPr="006B6651">
        <w:rPr>
          <w:color w:val="000000" w:themeColor="text1"/>
          <w:w w:val="110"/>
          <w:sz w:val="20"/>
          <w:lang w:val="ru-RU"/>
        </w:rPr>
        <w:t xml:space="preserve"> </w:t>
      </w:r>
      <w:proofErr w:type="spellStart"/>
      <w:r w:rsidRPr="006B6651">
        <w:rPr>
          <w:color w:val="000000" w:themeColor="text1"/>
          <w:w w:val="110"/>
          <w:sz w:val="20"/>
          <w:lang w:val="ru-RU"/>
        </w:rPr>
        <w:t>зберігання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 xml:space="preserve"> не були </w:t>
      </w:r>
      <w:proofErr w:type="spellStart"/>
      <w:r w:rsidRPr="006B6651">
        <w:rPr>
          <w:color w:val="000000" w:themeColor="text1"/>
          <w:w w:val="110"/>
          <w:sz w:val="20"/>
          <w:lang w:val="ru-RU"/>
        </w:rPr>
        <w:t>повністю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опрацьовані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зокрема</w:t>
      </w:r>
      <w:proofErr w:type="spellEnd"/>
      <w:r w:rsidRPr="006B6651">
        <w:rPr>
          <w:color w:val="000000" w:themeColor="text1"/>
          <w:w w:val="110"/>
          <w:sz w:val="20"/>
          <w:lang w:val="ru-RU"/>
        </w:rPr>
        <w:t xml:space="preserve"> щодо систем резервного </w:t>
      </w:r>
      <w:proofErr w:type="spellStart"/>
      <w:r w:rsidRPr="006B6651">
        <w:rPr>
          <w:color w:val="000000" w:themeColor="text1"/>
          <w:w w:val="110"/>
          <w:sz w:val="20"/>
          <w:lang w:val="ru-RU"/>
        </w:rPr>
        <w:t>копіювання</w:t>
      </w:r>
      <w:proofErr w:type="spellEnd"/>
      <w:r w:rsidRPr="006B6651">
        <w:rPr>
          <w:color w:val="000000" w:themeColor="text1"/>
          <w:w w:val="110"/>
          <w:sz w:val="20"/>
          <w:lang w:val="ru-RU"/>
        </w:rPr>
        <w:t xml:space="preserve">, прав </w:t>
      </w:r>
      <w:proofErr w:type="spellStart"/>
      <w:r w:rsidRPr="006B6651">
        <w:rPr>
          <w:color w:val="000000" w:themeColor="text1"/>
          <w:w w:val="110"/>
          <w:sz w:val="20"/>
          <w:lang w:val="ru-RU"/>
        </w:rPr>
        <w:t>власності</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дані</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безпеки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одне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питання</w:t>
      </w:r>
      <w:proofErr w:type="spellEnd"/>
      <w:r w:rsidRPr="006B6651">
        <w:rPr>
          <w:color w:val="000000" w:themeColor="text1"/>
          <w:w w:val="110"/>
          <w:sz w:val="20"/>
          <w:lang w:val="ru-RU"/>
        </w:rPr>
        <w:t xml:space="preserve">, яке </w:t>
      </w:r>
      <w:proofErr w:type="spellStart"/>
      <w:r w:rsidRPr="006B6651">
        <w:rPr>
          <w:color w:val="000000" w:themeColor="text1"/>
          <w:w w:val="110"/>
          <w:sz w:val="20"/>
          <w:lang w:val="ru-RU"/>
        </w:rPr>
        <w:t>слід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враховувати</w:t>
      </w:r>
      <w:proofErr w:type="spellEnd"/>
      <w:r w:rsidRPr="006B6651">
        <w:rPr>
          <w:color w:val="000000" w:themeColor="text1"/>
          <w:w w:val="110"/>
          <w:sz w:val="20"/>
          <w:lang w:val="ru-RU"/>
        </w:rPr>
        <w:t xml:space="preserve">, — </w:t>
      </w:r>
      <w:proofErr w:type="spellStart"/>
      <w:r w:rsidRPr="006B6651">
        <w:rPr>
          <w:color w:val="000000" w:themeColor="text1"/>
          <w:w w:val="110"/>
          <w:sz w:val="20"/>
          <w:lang w:val="ru-RU"/>
        </w:rPr>
        <w:t>це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інтеграція</w:t>
      </w:r>
      <w:proofErr w:type="spellEnd"/>
      <w:r w:rsidRPr="006B6651">
        <w:rPr>
          <w:color w:val="000000" w:themeColor="text1"/>
          <w:w w:val="110"/>
          <w:sz w:val="20"/>
          <w:lang w:val="ru-RU"/>
        </w:rPr>
        <w:t xml:space="preserve"> таргетного СНП у </w:t>
      </w:r>
      <w:proofErr w:type="spellStart"/>
      <w:r w:rsidRPr="006B6651">
        <w:rPr>
          <w:color w:val="000000" w:themeColor="text1"/>
          <w:w w:val="110"/>
          <w:sz w:val="20"/>
          <w:lang w:val="ru-RU"/>
        </w:rPr>
        <w:t>рутинні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лабораторні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інформаційні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системи</w:t>
      </w:r>
      <w:proofErr w:type="spellEnd"/>
      <w:r w:rsidRPr="006B6651">
        <w:rPr>
          <w:color w:val="000000" w:themeColor="text1"/>
          <w:w w:val="110"/>
          <w:sz w:val="20"/>
          <w:lang w:val="ru-RU"/>
        </w:rPr>
        <w:t>.</w:t>
      </w:r>
    </w:p>
    <w:p w14:paraId="7426EAE0" w14:textId="77777777" w:rsidR="00FE76F9" w:rsidRPr="006B6651" w:rsidRDefault="00FE76F9" w:rsidP="004A2937">
      <w:pPr>
        <w:pStyle w:val="a4"/>
        <w:numPr>
          <w:ilvl w:val="0"/>
          <w:numId w:val="51"/>
        </w:numPr>
        <w:tabs>
          <w:tab w:val="left" w:pos="2127"/>
        </w:tabs>
        <w:spacing w:before="5" w:line="276" w:lineRule="auto"/>
        <w:ind w:left="1134" w:right="146"/>
        <w:rPr>
          <w:color w:val="000000" w:themeColor="text1"/>
          <w:sz w:val="20"/>
          <w:lang w:val="uk-UA"/>
        </w:rPr>
      </w:pPr>
      <w:proofErr w:type="spellStart"/>
      <w:r w:rsidRPr="006B6651">
        <w:rPr>
          <w:b/>
          <w:color w:val="000000" w:themeColor="text1"/>
          <w:w w:val="110"/>
          <w:sz w:val="20"/>
          <w:lang w:val="ru-RU"/>
        </w:rPr>
        <w:t>Необхідність</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постійного</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оновлення</w:t>
      </w:r>
      <w:proofErr w:type="spellEnd"/>
      <w:r w:rsidRPr="006B6651">
        <w:rPr>
          <w:b/>
          <w:color w:val="000000" w:themeColor="text1"/>
          <w:w w:val="110"/>
          <w:sz w:val="20"/>
          <w:lang w:val="ru-RU"/>
        </w:rPr>
        <w:t xml:space="preserve"> каталогу </w:t>
      </w:r>
      <w:proofErr w:type="spellStart"/>
      <w:r w:rsidRPr="006B6651">
        <w:rPr>
          <w:b/>
          <w:color w:val="000000" w:themeColor="text1"/>
          <w:w w:val="110"/>
          <w:sz w:val="20"/>
          <w:lang w:val="ru-RU"/>
        </w:rPr>
        <w:t>мутацій</w:t>
      </w:r>
      <w:proofErr w:type="spellEnd"/>
      <w:r w:rsidRPr="006B6651">
        <w:rPr>
          <w:b/>
          <w:color w:val="000000" w:themeColor="text1"/>
          <w:w w:val="110"/>
          <w:sz w:val="20"/>
          <w:lang w:val="ru-RU"/>
        </w:rPr>
        <w:t xml:space="preserve"> ВООЗ:</w:t>
      </w:r>
      <w:r w:rsidRPr="006B6651">
        <w:rPr>
          <w:color w:val="000000" w:themeColor="text1"/>
          <w:w w:val="110"/>
          <w:sz w:val="20"/>
          <w:lang w:val="ru-RU"/>
        </w:rPr>
        <w:t xml:space="preserve"> </w:t>
      </w:r>
      <w:proofErr w:type="spellStart"/>
      <w:r w:rsidRPr="006B6651">
        <w:rPr>
          <w:color w:val="000000" w:themeColor="text1"/>
          <w:w w:val="110"/>
          <w:sz w:val="20"/>
          <w:lang w:val="ru-RU"/>
        </w:rPr>
        <w:t>було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визнано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користь </w:t>
      </w:r>
      <w:proofErr w:type="spellStart"/>
      <w:r w:rsidRPr="006B6651">
        <w:rPr>
          <w:color w:val="000000" w:themeColor="text1"/>
          <w:w w:val="110"/>
          <w:sz w:val="20"/>
          <w:lang w:val="ru-RU"/>
        </w:rPr>
        <w:t>технології</w:t>
      </w:r>
      <w:proofErr w:type="spellEnd"/>
      <w:r w:rsidRPr="006B6651">
        <w:rPr>
          <w:color w:val="000000" w:themeColor="text1"/>
          <w:w w:val="110"/>
          <w:sz w:val="20"/>
          <w:lang w:val="ru-RU"/>
        </w:rPr>
        <w:t xml:space="preserve"> таргетного СНП </w:t>
      </w:r>
      <w:proofErr w:type="spellStart"/>
      <w:r w:rsidRPr="006B6651">
        <w:rPr>
          <w:color w:val="000000" w:themeColor="text1"/>
          <w:w w:val="110"/>
          <w:sz w:val="20"/>
          <w:lang w:val="ru-RU"/>
        </w:rPr>
        <w:t>залежить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від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інформаційної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підтримки</w:t>
      </w:r>
      <w:proofErr w:type="spellEnd"/>
      <w:r w:rsidRPr="007346BD">
        <w:rPr>
          <w:color w:val="000000" w:themeColor="text1"/>
          <w:w w:val="110"/>
          <w:sz w:val="20"/>
          <w:lang w:val="uk-UA"/>
        </w:rPr>
        <w:t xml:space="preserve">, яку надає </w:t>
      </w:r>
      <w:r w:rsidRPr="006B6651">
        <w:rPr>
          <w:color w:val="000000" w:themeColor="text1"/>
          <w:w w:val="110"/>
          <w:sz w:val="20"/>
          <w:lang w:val="ru-RU"/>
        </w:rPr>
        <w:t xml:space="preserve">каталог </w:t>
      </w:r>
      <w:proofErr w:type="spellStart"/>
      <w:r w:rsidRPr="006B6651">
        <w:rPr>
          <w:color w:val="000000" w:themeColor="text1"/>
          <w:w w:val="110"/>
          <w:sz w:val="20"/>
          <w:lang w:val="ru-RU"/>
        </w:rPr>
        <w:t>мутацій</w:t>
      </w:r>
      <w:proofErr w:type="spellEnd"/>
      <w:r w:rsidRPr="006B6651">
        <w:rPr>
          <w:color w:val="000000" w:themeColor="text1"/>
          <w:w w:val="110"/>
          <w:sz w:val="20"/>
          <w:lang w:val="ru-RU"/>
        </w:rPr>
        <w:t xml:space="preserve"> ВООЗ</w:t>
      </w:r>
      <w:r>
        <w:rPr>
          <w:color w:val="000000" w:themeColor="text1"/>
          <w:w w:val="110"/>
          <w:sz w:val="20"/>
          <w:lang w:val="uk-UA"/>
        </w:rPr>
        <w:t xml:space="preserve"> </w:t>
      </w:r>
      <w:r w:rsidRPr="006B6651">
        <w:rPr>
          <w:i/>
          <w:color w:val="000000" w:themeColor="text1"/>
          <w:w w:val="110"/>
          <w:sz w:val="20"/>
          <w:lang w:val="ru-RU"/>
        </w:rPr>
        <w:t>(53)</w:t>
      </w:r>
      <w:r w:rsidRPr="007346BD">
        <w:rPr>
          <w:color w:val="000000" w:themeColor="text1"/>
          <w:w w:val="110"/>
          <w:sz w:val="20"/>
          <w:lang w:val="uk-UA"/>
        </w:rPr>
        <w:t>. Він</w:t>
      </w:r>
      <w:r w:rsidRPr="006B6651">
        <w:rPr>
          <w:color w:val="000000" w:themeColor="text1"/>
          <w:w w:val="110"/>
          <w:sz w:val="20"/>
          <w:lang w:val="uk-UA"/>
        </w:rPr>
        <w:t xml:space="preserve"> забезпечує змістовну інтерпретацію даних щодо стійкості</w:t>
      </w:r>
      <w:r>
        <w:rPr>
          <w:color w:val="000000" w:themeColor="text1"/>
          <w:w w:val="110"/>
          <w:sz w:val="20"/>
          <w:lang w:val="uk-UA"/>
        </w:rPr>
        <w:t xml:space="preserve">, а отже, </w:t>
      </w:r>
      <w:r w:rsidRPr="006B6651">
        <w:rPr>
          <w:color w:val="000000" w:themeColor="text1"/>
          <w:w w:val="110"/>
          <w:sz w:val="20"/>
          <w:lang w:val="uk-UA"/>
        </w:rPr>
        <w:t>має постійно оновлюватися.</w:t>
      </w:r>
    </w:p>
    <w:p w14:paraId="140D76E2" w14:textId="77777777" w:rsidR="00FE76F9" w:rsidRPr="006B6651" w:rsidRDefault="00FE76F9" w:rsidP="004A2937">
      <w:pPr>
        <w:pStyle w:val="a4"/>
        <w:numPr>
          <w:ilvl w:val="0"/>
          <w:numId w:val="51"/>
        </w:numPr>
        <w:tabs>
          <w:tab w:val="left" w:pos="2127"/>
        </w:tabs>
        <w:spacing w:before="5" w:line="276" w:lineRule="auto"/>
        <w:ind w:left="1134" w:right="146"/>
        <w:rPr>
          <w:color w:val="000000" w:themeColor="text1"/>
          <w:sz w:val="20"/>
          <w:lang w:val="ru-RU"/>
        </w:rPr>
      </w:pPr>
      <w:r w:rsidRPr="006B6651">
        <w:rPr>
          <w:b/>
          <w:color w:val="000000" w:themeColor="text1"/>
          <w:w w:val="110"/>
          <w:sz w:val="20"/>
          <w:lang w:val="uk-UA"/>
        </w:rPr>
        <w:t xml:space="preserve">Проблеми </w:t>
      </w:r>
      <w:r w:rsidRPr="007346BD">
        <w:rPr>
          <w:b/>
          <w:color w:val="000000" w:themeColor="text1"/>
          <w:w w:val="110"/>
          <w:sz w:val="20"/>
          <w:lang w:val="uk-UA"/>
        </w:rPr>
        <w:t xml:space="preserve">можливості реалізації </w:t>
      </w:r>
      <w:r w:rsidRPr="006B6651">
        <w:rPr>
          <w:b/>
          <w:color w:val="000000" w:themeColor="text1"/>
          <w:w w:val="110"/>
          <w:sz w:val="20"/>
          <w:lang w:val="uk-UA"/>
        </w:rPr>
        <w:t xml:space="preserve">відрізнялися для різних платформ таргетного СНП: </w:t>
      </w:r>
      <w:r w:rsidRPr="006B6651">
        <w:rPr>
          <w:color w:val="000000" w:themeColor="text1"/>
          <w:w w:val="110"/>
          <w:sz w:val="20"/>
          <w:lang w:val="uk-UA"/>
        </w:rPr>
        <w:t>загальна думка полягала в тому, що всі платформи таргетного СНП потребують подальшої розробки, перш ніж вони будуть повністю готові до практичного використання, деякі більше, ніж інші.</w:t>
      </w:r>
      <w:r w:rsidRPr="007346BD">
        <w:rPr>
          <w:color w:val="000000" w:themeColor="text1"/>
          <w:w w:val="110"/>
          <w:sz w:val="20"/>
          <w:lang w:val="uk-UA"/>
        </w:rPr>
        <w:t xml:space="preserve"> </w:t>
      </w:r>
      <w:r w:rsidRPr="006B6651">
        <w:rPr>
          <w:color w:val="000000" w:themeColor="text1"/>
          <w:w w:val="110"/>
          <w:sz w:val="20"/>
          <w:lang w:val="uk-UA"/>
        </w:rPr>
        <w:t xml:space="preserve">Високий рівень технічної складності підготовки зразка (переважно етап підготовки бібліотеки) вважався ключовою </w:t>
      </w:r>
      <w:r w:rsidRPr="007346BD">
        <w:rPr>
          <w:color w:val="000000" w:themeColor="text1"/>
          <w:w w:val="110"/>
          <w:sz w:val="20"/>
          <w:lang w:val="uk-UA"/>
        </w:rPr>
        <w:t>складністю</w:t>
      </w:r>
      <w:r w:rsidRPr="006B6651">
        <w:rPr>
          <w:color w:val="000000" w:themeColor="text1"/>
          <w:w w:val="110"/>
          <w:sz w:val="20"/>
          <w:lang w:val="uk-UA"/>
        </w:rPr>
        <w:t xml:space="preserve"> для платформи </w:t>
      </w:r>
      <w:r w:rsidRPr="007346BD">
        <w:rPr>
          <w:color w:val="000000" w:themeColor="text1"/>
          <w:w w:val="110"/>
          <w:sz w:val="20"/>
        </w:rPr>
        <w:t>Deeplex</w:t>
      </w:r>
      <w:r w:rsidRPr="006B6651">
        <w:rPr>
          <w:color w:val="000000" w:themeColor="text1"/>
          <w:w w:val="110"/>
          <w:sz w:val="20"/>
          <w:lang w:val="uk-UA"/>
        </w:rPr>
        <w:t xml:space="preserve">, а потреба в покращенні аналізу даних і потужності зберігання — </w:t>
      </w:r>
      <w:r w:rsidRPr="007346BD">
        <w:rPr>
          <w:color w:val="000000" w:themeColor="text1"/>
          <w:w w:val="110"/>
          <w:sz w:val="20"/>
          <w:lang w:val="uk-UA"/>
        </w:rPr>
        <w:t>складністю</w:t>
      </w:r>
      <w:r w:rsidRPr="006B6651">
        <w:rPr>
          <w:color w:val="000000" w:themeColor="text1"/>
          <w:w w:val="110"/>
          <w:sz w:val="20"/>
          <w:lang w:val="uk-UA"/>
        </w:rPr>
        <w:t xml:space="preserve"> для платформи </w:t>
      </w:r>
      <w:r w:rsidRPr="007346BD">
        <w:rPr>
          <w:color w:val="000000" w:themeColor="text1"/>
          <w:w w:val="110"/>
          <w:sz w:val="20"/>
        </w:rPr>
        <w:t>Oxford</w:t>
      </w:r>
      <w:r w:rsidRPr="006B6651">
        <w:rPr>
          <w:color w:val="000000" w:themeColor="text1"/>
          <w:w w:val="110"/>
          <w:sz w:val="20"/>
          <w:lang w:val="uk-UA"/>
        </w:rPr>
        <w:t xml:space="preserve"> </w:t>
      </w:r>
      <w:r w:rsidRPr="007346BD">
        <w:rPr>
          <w:color w:val="000000" w:themeColor="text1"/>
          <w:w w:val="110"/>
          <w:sz w:val="20"/>
        </w:rPr>
        <w:t>Nanopore</w:t>
      </w:r>
      <w:r w:rsidRPr="006B6651">
        <w:rPr>
          <w:color w:val="000000" w:themeColor="text1"/>
          <w:w w:val="110"/>
          <w:sz w:val="20"/>
          <w:lang w:val="uk-UA"/>
        </w:rPr>
        <w:t>, хоча обидві потребують високої точності та уваги до деталей.</w:t>
      </w:r>
      <w:r w:rsidRPr="007346BD">
        <w:rPr>
          <w:color w:val="000000" w:themeColor="text1"/>
          <w:w w:val="110"/>
          <w:sz w:val="20"/>
          <w:lang w:val="uk-UA"/>
        </w:rPr>
        <w:t xml:space="preserve"> </w:t>
      </w:r>
      <w:r w:rsidRPr="006B6651">
        <w:rPr>
          <w:color w:val="000000" w:themeColor="text1"/>
          <w:w w:val="110"/>
          <w:sz w:val="20"/>
          <w:lang w:val="ru-RU"/>
        </w:rPr>
        <w:t xml:space="preserve">Також є потреба в </w:t>
      </w:r>
      <w:proofErr w:type="spellStart"/>
      <w:r w:rsidRPr="006B6651">
        <w:rPr>
          <w:color w:val="000000" w:themeColor="text1"/>
          <w:w w:val="110"/>
          <w:sz w:val="20"/>
          <w:lang w:val="ru-RU"/>
        </w:rPr>
        <w:t>запровадженні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етапів</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раннього</w:t>
      </w:r>
      <w:proofErr w:type="spellEnd"/>
      <w:r w:rsidRPr="006B6651">
        <w:rPr>
          <w:color w:val="000000" w:themeColor="text1"/>
          <w:w w:val="110"/>
          <w:sz w:val="20"/>
          <w:lang w:val="ru-RU"/>
        </w:rPr>
        <w:t xml:space="preserve"> виявлення </w:t>
      </w:r>
      <w:proofErr w:type="spellStart"/>
      <w:r w:rsidRPr="006B6651">
        <w:rPr>
          <w:color w:val="000000" w:themeColor="text1"/>
          <w:w w:val="110"/>
          <w:sz w:val="20"/>
          <w:lang w:val="ru-RU"/>
        </w:rPr>
        <w:t>помилок</w:t>
      </w:r>
      <w:proofErr w:type="spellEnd"/>
      <w:r w:rsidRPr="006B6651">
        <w:rPr>
          <w:color w:val="000000" w:themeColor="text1"/>
          <w:w w:val="110"/>
          <w:sz w:val="20"/>
          <w:lang w:val="ru-RU"/>
        </w:rPr>
        <w:t>.</w:t>
      </w:r>
    </w:p>
    <w:p w14:paraId="639677F8" w14:textId="77777777" w:rsidR="00FE76F9" w:rsidRPr="006B6651" w:rsidRDefault="00FE76F9" w:rsidP="0061310B">
      <w:pPr>
        <w:pStyle w:val="a3"/>
        <w:spacing w:before="3"/>
        <w:ind w:right="146"/>
        <w:rPr>
          <w:sz w:val="20"/>
          <w:lang w:val="ru-RU"/>
        </w:rPr>
      </w:pPr>
    </w:p>
    <w:p w14:paraId="1E8543F5" w14:textId="77777777" w:rsidR="00FE76F9" w:rsidRPr="003A6F65" w:rsidRDefault="00FE76F9" w:rsidP="0061310B">
      <w:pPr>
        <w:pStyle w:val="5"/>
        <w:ind w:right="146"/>
        <w:jc w:val="both"/>
        <w:rPr>
          <w:lang w:val="uk-UA"/>
        </w:rPr>
      </w:pPr>
      <w:proofErr w:type="spellStart"/>
      <w:r w:rsidRPr="006B6651">
        <w:rPr>
          <w:color w:val="019648"/>
          <w:lang w:val="ru-RU"/>
        </w:rPr>
        <w:t>Цінності</w:t>
      </w:r>
      <w:proofErr w:type="spellEnd"/>
      <w:r w:rsidRPr="006B6651">
        <w:rPr>
          <w:color w:val="019648"/>
          <w:lang w:val="ru-RU"/>
        </w:rPr>
        <w:t xml:space="preserve">, </w:t>
      </w:r>
      <w:proofErr w:type="spellStart"/>
      <w:r w:rsidRPr="006B6651">
        <w:rPr>
          <w:color w:val="019648"/>
          <w:lang w:val="ru-RU"/>
        </w:rPr>
        <w:t>уподобання</w:t>
      </w:r>
      <w:proofErr w:type="spellEnd"/>
      <w:r w:rsidRPr="006B6651">
        <w:rPr>
          <w:color w:val="019648"/>
          <w:lang w:val="ru-RU"/>
        </w:rPr>
        <w:t xml:space="preserve"> та </w:t>
      </w:r>
      <w:r>
        <w:rPr>
          <w:color w:val="019648"/>
          <w:lang w:val="uk-UA"/>
        </w:rPr>
        <w:t>справедливість</w:t>
      </w:r>
    </w:p>
    <w:p w14:paraId="798CBFD4" w14:textId="77777777" w:rsidR="00FE76F9" w:rsidRPr="006B6651" w:rsidRDefault="00FE76F9" w:rsidP="0061310B">
      <w:pPr>
        <w:spacing w:before="209" w:line="276" w:lineRule="auto"/>
        <w:ind w:left="567" w:right="146"/>
        <w:jc w:val="both"/>
        <w:rPr>
          <w:color w:val="000000" w:themeColor="text1"/>
          <w:sz w:val="20"/>
          <w:lang w:val="ru-RU"/>
        </w:rPr>
      </w:pPr>
      <w:proofErr w:type="spellStart"/>
      <w:r w:rsidRPr="006B6651">
        <w:rPr>
          <w:color w:val="000000" w:themeColor="text1"/>
          <w:w w:val="110"/>
          <w:sz w:val="20"/>
          <w:lang w:val="ru-RU"/>
        </w:rPr>
        <w:t>Загальн</w:t>
      </w:r>
      <w:proofErr w:type="spellEnd"/>
      <w:r w:rsidRPr="007346BD">
        <w:rPr>
          <w:color w:val="000000" w:themeColor="text1"/>
          <w:w w:val="110"/>
          <w:sz w:val="20"/>
          <w:lang w:val="uk-UA"/>
        </w:rPr>
        <w:t xml:space="preserve">а думка </w:t>
      </w:r>
      <w:proofErr w:type="spellStart"/>
      <w:r w:rsidRPr="006B6651">
        <w:rPr>
          <w:color w:val="000000" w:themeColor="text1"/>
          <w:w w:val="110"/>
          <w:sz w:val="20"/>
          <w:lang w:val="ru-RU"/>
        </w:rPr>
        <w:t>полягає</w:t>
      </w:r>
      <w:proofErr w:type="spellEnd"/>
      <w:r w:rsidRPr="006B6651">
        <w:rPr>
          <w:color w:val="000000" w:themeColor="text1"/>
          <w:w w:val="110"/>
          <w:sz w:val="20"/>
          <w:lang w:val="ru-RU"/>
        </w:rPr>
        <w:t xml:space="preserve"> в тому,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b/>
          <w:color w:val="000000" w:themeColor="text1"/>
          <w:w w:val="110"/>
          <w:sz w:val="20"/>
          <w:lang w:val="ru-RU"/>
        </w:rPr>
        <w:t>діагностичні</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технології</w:t>
      </w:r>
      <w:proofErr w:type="spellEnd"/>
      <w:r w:rsidRPr="006B6651">
        <w:rPr>
          <w:b/>
          <w:color w:val="000000" w:themeColor="text1"/>
          <w:w w:val="110"/>
          <w:sz w:val="20"/>
          <w:lang w:val="ru-RU"/>
        </w:rPr>
        <w:t xml:space="preserve"> для МЛС-ТБ </w:t>
      </w:r>
      <w:proofErr w:type="spellStart"/>
      <w:r w:rsidRPr="006B6651">
        <w:rPr>
          <w:b/>
          <w:color w:val="000000" w:themeColor="text1"/>
          <w:w w:val="110"/>
          <w:sz w:val="20"/>
          <w:lang w:val="ru-RU"/>
        </w:rPr>
        <w:t>мають</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поєднувати</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точність</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швидкість</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доступність</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справедливість</w:t>
      </w:r>
      <w:proofErr w:type="spellEnd"/>
      <w:r w:rsidRPr="006B6651">
        <w:rPr>
          <w:b/>
          <w:color w:val="000000" w:themeColor="text1"/>
          <w:w w:val="110"/>
          <w:sz w:val="20"/>
          <w:lang w:val="ru-RU"/>
        </w:rPr>
        <w:t xml:space="preserve"> і </w:t>
      </w:r>
      <w:proofErr w:type="spellStart"/>
      <w:r w:rsidRPr="006B6651">
        <w:rPr>
          <w:b/>
          <w:color w:val="000000" w:themeColor="text1"/>
          <w:w w:val="110"/>
          <w:sz w:val="20"/>
          <w:lang w:val="ru-RU"/>
        </w:rPr>
        <w:t>економічну</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ефективність</w:t>
      </w:r>
      <w:proofErr w:type="spellEnd"/>
      <w:r w:rsidRPr="006B6651">
        <w:rPr>
          <w:color w:val="000000" w:themeColor="text1"/>
          <w:w w:val="110"/>
          <w:sz w:val="20"/>
          <w:lang w:val="ru-RU"/>
        </w:rPr>
        <w:t xml:space="preserve">, і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технологія</w:t>
      </w:r>
      <w:proofErr w:type="spellEnd"/>
      <w:r w:rsidRPr="006B6651">
        <w:rPr>
          <w:color w:val="000000" w:themeColor="text1"/>
          <w:w w:val="110"/>
          <w:sz w:val="20"/>
          <w:lang w:val="ru-RU"/>
        </w:rPr>
        <w:t xml:space="preserve"> таргетного СНП </w:t>
      </w:r>
      <w:proofErr w:type="spellStart"/>
      <w:r w:rsidRPr="006B6651">
        <w:rPr>
          <w:color w:val="000000" w:themeColor="text1"/>
          <w:w w:val="110"/>
          <w:sz w:val="20"/>
          <w:lang w:val="ru-RU"/>
        </w:rPr>
        <w:t>має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врахувати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ці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аспекти</w:t>
      </w:r>
      <w:proofErr w:type="spellEnd"/>
      <w:r w:rsidRPr="006B6651">
        <w:rPr>
          <w:color w:val="000000" w:themeColor="text1"/>
          <w:w w:val="110"/>
          <w:sz w:val="20"/>
          <w:lang w:val="ru-RU"/>
        </w:rPr>
        <w:t xml:space="preserve"> перед </w:t>
      </w:r>
      <w:proofErr w:type="spellStart"/>
      <w:r w:rsidRPr="006B6651">
        <w:rPr>
          <w:color w:val="000000" w:themeColor="text1"/>
          <w:w w:val="110"/>
          <w:sz w:val="20"/>
          <w:lang w:val="ru-RU"/>
        </w:rPr>
        <w:t>впровадженням</w:t>
      </w:r>
      <w:proofErr w:type="spellEnd"/>
      <w:r w:rsidRPr="006B6651">
        <w:rPr>
          <w:color w:val="000000" w:themeColor="text1"/>
          <w:w w:val="110"/>
          <w:sz w:val="20"/>
          <w:lang w:val="ru-RU"/>
        </w:rPr>
        <w:t xml:space="preserve"> у КНСРД. </w:t>
      </w:r>
      <w:proofErr w:type="spellStart"/>
      <w:r w:rsidRPr="006B6651">
        <w:rPr>
          <w:color w:val="000000" w:themeColor="text1"/>
          <w:w w:val="110"/>
          <w:sz w:val="20"/>
          <w:lang w:val="ru-RU"/>
        </w:rPr>
        <w:t>Ці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міркування</w:t>
      </w:r>
      <w:proofErr w:type="spellEnd"/>
      <w:r w:rsidRPr="006B6651">
        <w:rPr>
          <w:color w:val="000000" w:themeColor="text1"/>
          <w:w w:val="110"/>
          <w:sz w:val="20"/>
          <w:lang w:val="ru-RU"/>
        </w:rPr>
        <w:t xml:space="preserve"> були </w:t>
      </w:r>
      <w:r w:rsidRPr="007346BD">
        <w:rPr>
          <w:color w:val="000000" w:themeColor="text1"/>
          <w:w w:val="110"/>
          <w:sz w:val="20"/>
          <w:lang w:val="uk-UA"/>
        </w:rPr>
        <w:t>однаковими для</w:t>
      </w:r>
      <w:r w:rsidRPr="006B6651">
        <w:rPr>
          <w:color w:val="000000" w:themeColor="text1"/>
          <w:w w:val="110"/>
          <w:sz w:val="20"/>
          <w:lang w:val="ru-RU"/>
        </w:rPr>
        <w:t xml:space="preserve"> </w:t>
      </w:r>
      <w:proofErr w:type="spellStart"/>
      <w:r w:rsidRPr="006B6651">
        <w:rPr>
          <w:color w:val="000000" w:themeColor="text1"/>
          <w:w w:val="110"/>
          <w:sz w:val="20"/>
          <w:lang w:val="ru-RU"/>
        </w:rPr>
        <w:t>різних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груп</w:t>
      </w:r>
      <w:proofErr w:type="spellEnd"/>
      <w:r w:rsidRPr="006B6651">
        <w:rPr>
          <w:color w:val="000000" w:themeColor="text1"/>
          <w:w w:val="110"/>
          <w:sz w:val="20"/>
          <w:lang w:val="ru-RU"/>
        </w:rPr>
        <w:t xml:space="preserve"> </w:t>
      </w:r>
      <w:r w:rsidRPr="007346BD">
        <w:rPr>
          <w:color w:val="000000" w:themeColor="text1"/>
          <w:w w:val="110"/>
          <w:sz w:val="20"/>
          <w:lang w:val="uk-UA"/>
        </w:rPr>
        <w:t>зацікавлених</w:t>
      </w:r>
      <w:r w:rsidRPr="006B6651">
        <w:rPr>
          <w:color w:val="000000" w:themeColor="text1"/>
          <w:w w:val="110"/>
          <w:sz w:val="20"/>
          <w:lang w:val="ru-RU"/>
        </w:rPr>
        <w:t xml:space="preserve"> </w:t>
      </w:r>
      <w:proofErr w:type="spellStart"/>
      <w:r w:rsidRPr="006B6651">
        <w:rPr>
          <w:color w:val="000000" w:themeColor="text1"/>
          <w:w w:val="110"/>
          <w:sz w:val="20"/>
          <w:lang w:val="ru-RU"/>
        </w:rPr>
        <w:t>сторін</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які</w:t>
      </w:r>
      <w:proofErr w:type="spellEnd"/>
      <w:r w:rsidRPr="006B6651">
        <w:rPr>
          <w:color w:val="000000" w:themeColor="text1"/>
          <w:w w:val="110"/>
          <w:sz w:val="20"/>
          <w:lang w:val="ru-RU"/>
        </w:rPr>
        <w:t xml:space="preserve"> брали участь у </w:t>
      </w:r>
      <w:proofErr w:type="spellStart"/>
      <w:r w:rsidRPr="006B6651">
        <w:rPr>
          <w:color w:val="000000" w:themeColor="text1"/>
          <w:w w:val="110"/>
          <w:sz w:val="20"/>
          <w:lang w:val="ru-RU"/>
        </w:rPr>
        <w:t>дослідженні</w:t>
      </w:r>
      <w:proofErr w:type="spellEnd"/>
      <w:r w:rsidRPr="006B6651">
        <w:rPr>
          <w:color w:val="000000" w:themeColor="text1"/>
          <w:w w:val="110"/>
          <w:sz w:val="20"/>
          <w:lang w:val="ru-RU"/>
        </w:rPr>
        <w:t>.</w:t>
      </w:r>
    </w:p>
    <w:p w14:paraId="27A82034" w14:textId="77777777" w:rsidR="00FE76F9" w:rsidRPr="006B6651" w:rsidRDefault="00FE76F9" w:rsidP="004A2937">
      <w:pPr>
        <w:pStyle w:val="a4"/>
        <w:numPr>
          <w:ilvl w:val="0"/>
          <w:numId w:val="49"/>
        </w:numPr>
        <w:tabs>
          <w:tab w:val="left" w:pos="1985"/>
        </w:tabs>
        <w:spacing w:before="176" w:line="276" w:lineRule="auto"/>
        <w:ind w:left="1134" w:right="4"/>
        <w:rPr>
          <w:color w:val="000000" w:themeColor="text1"/>
          <w:sz w:val="20"/>
          <w:lang w:val="ru-RU"/>
        </w:rPr>
      </w:pPr>
      <w:proofErr w:type="spellStart"/>
      <w:r w:rsidRPr="006B6651">
        <w:rPr>
          <w:b/>
          <w:color w:val="000000" w:themeColor="text1"/>
          <w:w w:val="110"/>
          <w:sz w:val="20"/>
          <w:lang w:val="ru-RU"/>
        </w:rPr>
        <w:t>Централізоване</w:t>
      </w:r>
      <w:proofErr w:type="spellEnd"/>
      <w:r w:rsidRPr="006B6651">
        <w:rPr>
          <w:b/>
          <w:color w:val="000000" w:themeColor="text1"/>
          <w:w w:val="110"/>
          <w:sz w:val="20"/>
          <w:lang w:val="ru-RU"/>
        </w:rPr>
        <w:t xml:space="preserve"> </w:t>
      </w:r>
      <w:r w:rsidRPr="007346BD">
        <w:rPr>
          <w:b/>
          <w:color w:val="000000" w:themeColor="text1"/>
          <w:w w:val="110"/>
          <w:sz w:val="20"/>
          <w:lang w:val="uk-UA"/>
        </w:rPr>
        <w:t xml:space="preserve">чи </w:t>
      </w:r>
      <w:proofErr w:type="spellStart"/>
      <w:r w:rsidRPr="006B6651">
        <w:rPr>
          <w:b/>
          <w:color w:val="000000" w:themeColor="text1"/>
          <w:w w:val="110"/>
          <w:sz w:val="20"/>
          <w:lang w:val="ru-RU"/>
        </w:rPr>
        <w:t>децентралізован</w:t>
      </w:r>
      <w:proofErr w:type="spellEnd"/>
      <w:r>
        <w:rPr>
          <w:b/>
          <w:color w:val="000000" w:themeColor="text1"/>
          <w:w w:val="110"/>
          <w:sz w:val="20"/>
          <w:lang w:val="uk-UA"/>
        </w:rPr>
        <w:t>е</w:t>
      </w:r>
      <w:r w:rsidRPr="006B6651">
        <w:rPr>
          <w:b/>
          <w:color w:val="000000" w:themeColor="text1"/>
          <w:w w:val="110"/>
          <w:sz w:val="20"/>
          <w:lang w:val="ru-RU"/>
        </w:rPr>
        <w:t xml:space="preserve"> </w:t>
      </w:r>
      <w:proofErr w:type="spellStart"/>
      <w:r w:rsidRPr="006B6651">
        <w:rPr>
          <w:b/>
          <w:color w:val="000000" w:themeColor="text1"/>
          <w:w w:val="110"/>
          <w:sz w:val="20"/>
          <w:lang w:val="ru-RU"/>
        </w:rPr>
        <w:t>розміщення</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може</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мати</w:t>
      </w:r>
      <w:proofErr w:type="spellEnd"/>
      <w:r w:rsidRPr="006B6651">
        <w:rPr>
          <w:b/>
          <w:color w:val="000000" w:themeColor="text1"/>
          <w:w w:val="110"/>
          <w:sz w:val="20"/>
          <w:lang w:val="ru-RU"/>
        </w:rPr>
        <w:t xml:space="preserve"> наслідки для </w:t>
      </w:r>
      <w:r w:rsidRPr="007346BD">
        <w:rPr>
          <w:b/>
          <w:color w:val="000000" w:themeColor="text1"/>
          <w:w w:val="110"/>
          <w:sz w:val="20"/>
          <w:lang w:val="uk-UA"/>
        </w:rPr>
        <w:t>справедливості</w:t>
      </w:r>
      <w:r w:rsidRPr="006B6651">
        <w:rPr>
          <w:b/>
          <w:color w:val="000000" w:themeColor="text1"/>
          <w:w w:val="110"/>
          <w:sz w:val="20"/>
          <w:lang w:val="ru-RU"/>
        </w:rPr>
        <w:t xml:space="preserve"> доступ</w:t>
      </w:r>
      <w:r w:rsidRPr="007346BD">
        <w:rPr>
          <w:b/>
          <w:color w:val="000000" w:themeColor="text1"/>
          <w:w w:val="110"/>
          <w:sz w:val="20"/>
          <w:lang w:val="uk-UA"/>
        </w:rPr>
        <w:t>у</w:t>
      </w:r>
      <w:r w:rsidRPr="006B6651">
        <w:rPr>
          <w:b/>
          <w:color w:val="000000" w:themeColor="text1"/>
          <w:w w:val="110"/>
          <w:sz w:val="20"/>
          <w:lang w:val="ru-RU"/>
        </w:rPr>
        <w:t>:</w:t>
      </w:r>
      <w:r w:rsidRPr="006B6651">
        <w:rPr>
          <w:color w:val="000000" w:themeColor="text1"/>
          <w:w w:val="110"/>
          <w:sz w:val="20"/>
          <w:lang w:val="ru-RU"/>
        </w:rPr>
        <w:t xml:space="preserve"> з </w:t>
      </w:r>
      <w:proofErr w:type="spellStart"/>
      <w:r w:rsidRPr="006B6651">
        <w:rPr>
          <w:color w:val="000000" w:themeColor="text1"/>
          <w:w w:val="110"/>
          <w:sz w:val="20"/>
          <w:lang w:val="ru-RU"/>
        </w:rPr>
        <w:t>огляду</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високоспеціалізовану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лабораторну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інфраструктуру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спеціалізован</w:t>
      </w:r>
      <w:r w:rsidRPr="007346BD">
        <w:rPr>
          <w:color w:val="000000" w:themeColor="text1"/>
          <w:w w:val="110"/>
          <w:sz w:val="20"/>
          <w:lang w:val="uk-UA"/>
        </w:rPr>
        <w:t>ий</w:t>
      </w:r>
      <w:proofErr w:type="spellEnd"/>
      <w:r w:rsidRPr="006B6651">
        <w:rPr>
          <w:color w:val="000000" w:themeColor="text1"/>
          <w:w w:val="110"/>
          <w:sz w:val="20"/>
          <w:lang w:val="ru-RU"/>
        </w:rPr>
        <w:t xml:space="preserve"> </w:t>
      </w:r>
      <w:r w:rsidRPr="007346BD">
        <w:rPr>
          <w:color w:val="000000" w:themeColor="text1"/>
          <w:w w:val="110"/>
          <w:sz w:val="20"/>
          <w:lang w:val="uk-UA"/>
        </w:rPr>
        <w:t>персонал</w:t>
      </w:r>
      <w:r w:rsidRPr="006B6651">
        <w:rPr>
          <w:color w:val="000000" w:themeColor="text1"/>
          <w:w w:val="110"/>
          <w:sz w:val="20"/>
          <w:lang w:val="ru-RU"/>
        </w:rPr>
        <w:t xml:space="preserve"> та </w:t>
      </w:r>
      <w:proofErr w:type="spellStart"/>
      <w:r w:rsidRPr="006B6651">
        <w:rPr>
          <w:color w:val="000000" w:themeColor="text1"/>
          <w:w w:val="110"/>
          <w:sz w:val="20"/>
          <w:lang w:val="ru-RU"/>
        </w:rPr>
        <w:t>технічну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складність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необхідні</w:t>
      </w:r>
      <w:proofErr w:type="spellEnd"/>
      <w:r w:rsidRPr="006B6651">
        <w:rPr>
          <w:color w:val="000000" w:themeColor="text1"/>
          <w:w w:val="110"/>
          <w:sz w:val="20"/>
          <w:lang w:val="ru-RU"/>
        </w:rPr>
        <w:t xml:space="preserve"> для таргетного СНП, </w:t>
      </w:r>
      <w:proofErr w:type="spellStart"/>
      <w:r w:rsidRPr="006B6651">
        <w:rPr>
          <w:color w:val="000000" w:themeColor="text1"/>
          <w:w w:val="110"/>
          <w:sz w:val="20"/>
          <w:lang w:val="ru-RU"/>
        </w:rPr>
        <w:t>ця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технологія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може</w:t>
      </w:r>
      <w:proofErr w:type="spellEnd"/>
      <w:r w:rsidRPr="006B6651">
        <w:rPr>
          <w:color w:val="000000" w:themeColor="text1"/>
          <w:w w:val="110"/>
          <w:sz w:val="20"/>
          <w:lang w:val="ru-RU"/>
        </w:rPr>
        <w:t xml:space="preserve"> </w:t>
      </w:r>
      <w:r w:rsidRPr="007346BD">
        <w:rPr>
          <w:color w:val="000000" w:themeColor="text1"/>
          <w:w w:val="110"/>
          <w:sz w:val="20"/>
          <w:lang w:val="uk-UA"/>
        </w:rPr>
        <w:t>підходити</w:t>
      </w:r>
      <w:r w:rsidRPr="006B6651">
        <w:rPr>
          <w:color w:val="000000" w:themeColor="text1"/>
          <w:w w:val="110"/>
          <w:sz w:val="20"/>
          <w:lang w:val="ru-RU"/>
        </w:rPr>
        <w:t xml:space="preserve"> </w:t>
      </w:r>
      <w:proofErr w:type="spellStart"/>
      <w:r w:rsidRPr="006B6651">
        <w:rPr>
          <w:color w:val="000000" w:themeColor="text1"/>
          <w:w w:val="110"/>
          <w:sz w:val="20"/>
          <w:lang w:val="ru-RU"/>
        </w:rPr>
        <w:t>лише</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розміщення</w:t>
      </w:r>
      <w:proofErr w:type="spellEnd"/>
      <w:r w:rsidRPr="006B6651">
        <w:rPr>
          <w:color w:val="000000" w:themeColor="text1"/>
          <w:w w:val="110"/>
          <w:sz w:val="20"/>
          <w:lang w:val="ru-RU"/>
        </w:rPr>
        <w:t xml:space="preserve"> в </w:t>
      </w:r>
      <w:proofErr w:type="spellStart"/>
      <w:r w:rsidRPr="006B6651">
        <w:rPr>
          <w:color w:val="000000" w:themeColor="text1"/>
          <w:w w:val="110"/>
          <w:sz w:val="20"/>
          <w:lang w:val="ru-RU"/>
        </w:rPr>
        <w:t>централізованих</w:t>
      </w:r>
      <w:proofErr w:type="spellEnd"/>
      <w:r w:rsidRPr="006B6651">
        <w:rPr>
          <w:color w:val="000000" w:themeColor="text1"/>
          <w:w w:val="110"/>
          <w:sz w:val="20"/>
          <w:lang w:val="ru-RU"/>
        </w:rPr>
        <w:t xml:space="preserve"> референс-</w:t>
      </w:r>
      <w:proofErr w:type="spellStart"/>
      <w:r w:rsidRPr="006B6651">
        <w:rPr>
          <w:color w:val="000000" w:themeColor="text1"/>
          <w:w w:val="110"/>
          <w:sz w:val="20"/>
          <w:lang w:val="ru-RU"/>
        </w:rPr>
        <w:t>лабораторіях</w:t>
      </w:r>
      <w:proofErr w:type="spellEnd"/>
      <w:r w:rsidRPr="006B6651">
        <w:rPr>
          <w:color w:val="000000" w:themeColor="text1"/>
          <w:w w:val="110"/>
          <w:sz w:val="20"/>
          <w:lang w:val="ru-RU"/>
        </w:rPr>
        <w:t>.</w:t>
      </w:r>
      <w:r w:rsidRPr="007346BD">
        <w:rPr>
          <w:color w:val="000000" w:themeColor="text1"/>
          <w:lang w:val="uk-UA"/>
        </w:rPr>
        <w:t xml:space="preserve"> </w:t>
      </w:r>
      <w:proofErr w:type="spellStart"/>
      <w:r w:rsidRPr="006B6651">
        <w:rPr>
          <w:color w:val="000000" w:themeColor="text1"/>
          <w:w w:val="110"/>
          <w:sz w:val="20"/>
          <w:lang w:val="ru-RU"/>
        </w:rPr>
        <w:t>Це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може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мати</w:t>
      </w:r>
      <w:proofErr w:type="spellEnd"/>
      <w:r w:rsidRPr="006B6651">
        <w:rPr>
          <w:color w:val="000000" w:themeColor="text1"/>
          <w:w w:val="110"/>
          <w:sz w:val="20"/>
          <w:lang w:val="ru-RU"/>
        </w:rPr>
        <w:t xml:space="preserve"> наслідки для </w:t>
      </w:r>
      <w:r w:rsidRPr="007346BD">
        <w:rPr>
          <w:color w:val="000000" w:themeColor="text1"/>
          <w:w w:val="110"/>
          <w:sz w:val="20"/>
          <w:lang w:val="uk-UA"/>
        </w:rPr>
        <w:t>справедливості</w:t>
      </w:r>
      <w:r w:rsidRPr="006B6651">
        <w:rPr>
          <w:color w:val="000000" w:themeColor="text1"/>
          <w:w w:val="110"/>
          <w:sz w:val="20"/>
          <w:lang w:val="ru-RU"/>
        </w:rPr>
        <w:t xml:space="preserve"> доступу, </w:t>
      </w:r>
      <w:proofErr w:type="spellStart"/>
      <w:r w:rsidRPr="006B6651">
        <w:rPr>
          <w:color w:val="000000" w:themeColor="text1"/>
          <w:w w:val="110"/>
          <w:sz w:val="20"/>
          <w:lang w:val="ru-RU"/>
        </w:rPr>
        <w:t>якщо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це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означає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менший</w:t>
      </w:r>
      <w:proofErr w:type="spellEnd"/>
      <w:r w:rsidRPr="006B6651">
        <w:rPr>
          <w:color w:val="000000" w:themeColor="text1"/>
          <w:w w:val="110"/>
          <w:sz w:val="20"/>
          <w:lang w:val="ru-RU"/>
        </w:rPr>
        <w:t xml:space="preserve"> доступ для </w:t>
      </w:r>
      <w:proofErr w:type="spellStart"/>
      <w:r w:rsidRPr="006B6651">
        <w:rPr>
          <w:color w:val="000000" w:themeColor="text1"/>
          <w:w w:val="110"/>
          <w:sz w:val="20"/>
          <w:lang w:val="ru-RU"/>
        </w:rPr>
        <w:t>деяких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регіонів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країни</w:t>
      </w:r>
      <w:proofErr w:type="spellEnd"/>
      <w:r w:rsidRPr="006B6651">
        <w:rPr>
          <w:color w:val="000000" w:themeColor="text1"/>
          <w:w w:val="110"/>
          <w:sz w:val="20"/>
          <w:lang w:val="ru-RU"/>
        </w:rPr>
        <w:t xml:space="preserve">, де </w:t>
      </w:r>
      <w:proofErr w:type="spellStart"/>
      <w:r w:rsidRPr="006B6651">
        <w:rPr>
          <w:color w:val="000000" w:themeColor="text1"/>
          <w:w w:val="110"/>
          <w:sz w:val="20"/>
          <w:lang w:val="ru-RU"/>
        </w:rPr>
        <w:t>відсутні</w:t>
      </w:r>
      <w:proofErr w:type="spellEnd"/>
      <w:r w:rsidRPr="006B6651">
        <w:rPr>
          <w:color w:val="000000" w:themeColor="text1"/>
          <w:w w:val="110"/>
          <w:sz w:val="20"/>
          <w:lang w:val="ru-RU"/>
        </w:rPr>
        <w:t xml:space="preserve"> референс-</w:t>
      </w:r>
      <w:proofErr w:type="spellStart"/>
      <w:r w:rsidRPr="006B6651">
        <w:rPr>
          <w:color w:val="000000" w:themeColor="text1"/>
          <w:w w:val="110"/>
          <w:sz w:val="20"/>
          <w:lang w:val="ru-RU"/>
        </w:rPr>
        <w:t>лабораторії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Це</w:t>
      </w:r>
      <w:proofErr w:type="spellEnd"/>
      <w:r w:rsidRPr="006B6651">
        <w:rPr>
          <w:color w:val="000000" w:themeColor="text1"/>
          <w:w w:val="110"/>
          <w:sz w:val="20"/>
          <w:lang w:val="ru-RU"/>
        </w:rPr>
        <w:t xml:space="preserve"> також </w:t>
      </w:r>
      <w:proofErr w:type="spellStart"/>
      <w:r w:rsidRPr="006B6651">
        <w:rPr>
          <w:color w:val="000000" w:themeColor="text1"/>
          <w:w w:val="110"/>
          <w:sz w:val="20"/>
          <w:lang w:val="ru-RU"/>
        </w:rPr>
        <w:t>може</w:t>
      </w:r>
      <w:proofErr w:type="spellEnd"/>
      <w:r w:rsidRPr="006B6651">
        <w:rPr>
          <w:color w:val="000000" w:themeColor="text1"/>
          <w:w w:val="110"/>
          <w:sz w:val="20"/>
          <w:lang w:val="ru-RU"/>
        </w:rPr>
        <w:t xml:space="preserve"> </w:t>
      </w:r>
      <w:r w:rsidRPr="007346BD">
        <w:rPr>
          <w:color w:val="000000" w:themeColor="text1"/>
          <w:w w:val="110"/>
          <w:sz w:val="20"/>
          <w:lang w:val="uk-UA"/>
        </w:rPr>
        <w:t xml:space="preserve">впливати на витрати </w:t>
      </w:r>
      <w:r w:rsidRPr="006B6651">
        <w:rPr>
          <w:color w:val="000000" w:themeColor="text1"/>
          <w:w w:val="110"/>
          <w:sz w:val="20"/>
          <w:lang w:val="ru-RU"/>
        </w:rPr>
        <w:t>(</w:t>
      </w:r>
      <w:proofErr w:type="spellStart"/>
      <w:r w:rsidRPr="006B6651">
        <w:rPr>
          <w:color w:val="000000" w:themeColor="text1"/>
          <w:w w:val="110"/>
          <w:sz w:val="20"/>
          <w:lang w:val="ru-RU"/>
        </w:rPr>
        <w:t>наприклад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витрати</w:t>
      </w:r>
      <w:proofErr w:type="spellEnd"/>
      <w:r w:rsidRPr="006B6651">
        <w:rPr>
          <w:color w:val="000000" w:themeColor="text1"/>
          <w:w w:val="110"/>
          <w:sz w:val="20"/>
          <w:lang w:val="ru-RU"/>
        </w:rPr>
        <w:t xml:space="preserve"> на транспортування </w:t>
      </w:r>
      <w:proofErr w:type="spellStart"/>
      <w:r w:rsidRPr="006B6651">
        <w:rPr>
          <w:color w:val="000000" w:themeColor="text1"/>
          <w:w w:val="110"/>
          <w:sz w:val="20"/>
          <w:lang w:val="ru-RU"/>
        </w:rPr>
        <w:t>мокротиння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імовірн</w:t>
      </w:r>
      <w:r w:rsidRPr="007346BD">
        <w:rPr>
          <w:color w:val="000000" w:themeColor="text1"/>
          <w:w w:val="110"/>
          <w:sz w:val="20"/>
          <w:lang w:val="uk-UA"/>
        </w:rPr>
        <w:t>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втрати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зразків</w:t>
      </w:r>
      <w:proofErr w:type="spellEnd"/>
      <w:r w:rsidRPr="006B6651">
        <w:rPr>
          <w:color w:val="000000" w:themeColor="text1"/>
          <w:w w:val="110"/>
          <w:sz w:val="20"/>
          <w:lang w:val="ru-RU"/>
        </w:rPr>
        <w:t xml:space="preserve"> та часу до </w:t>
      </w:r>
      <w:proofErr w:type="spellStart"/>
      <w:r w:rsidRPr="006B6651">
        <w:rPr>
          <w:color w:val="000000" w:themeColor="text1"/>
          <w:w w:val="110"/>
          <w:sz w:val="20"/>
          <w:lang w:val="ru-RU"/>
        </w:rPr>
        <w:t>отримання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результатів</w:t>
      </w:r>
      <w:proofErr w:type="spellEnd"/>
      <w:r w:rsidRPr="006B6651">
        <w:rPr>
          <w:color w:val="000000" w:themeColor="text1"/>
          <w:w w:val="110"/>
          <w:sz w:val="20"/>
          <w:lang w:val="ru-RU"/>
        </w:rPr>
        <w:t>.</w:t>
      </w:r>
    </w:p>
    <w:p w14:paraId="77E82BDA" w14:textId="1763191A" w:rsidR="00FE76F9" w:rsidRPr="006B6651" w:rsidRDefault="00FE76F9" w:rsidP="004A2937">
      <w:pPr>
        <w:pStyle w:val="a4"/>
        <w:numPr>
          <w:ilvl w:val="0"/>
          <w:numId w:val="49"/>
        </w:numPr>
        <w:tabs>
          <w:tab w:val="left" w:pos="1985"/>
        </w:tabs>
        <w:spacing w:before="178" w:line="276" w:lineRule="auto"/>
        <w:ind w:left="1134" w:right="4"/>
        <w:rPr>
          <w:color w:val="000000" w:themeColor="text1"/>
          <w:w w:val="110"/>
          <w:sz w:val="20"/>
          <w:lang w:val="ru-RU"/>
        </w:rPr>
      </w:pPr>
      <w:r w:rsidRPr="007346BD">
        <w:rPr>
          <w:b/>
          <w:color w:val="000000" w:themeColor="text1"/>
          <w:spacing w:val="-3"/>
          <w:w w:val="110"/>
          <w:sz w:val="20"/>
          <w:lang w:val="uk-UA"/>
        </w:rPr>
        <w:t>Основні аспекти занепокоєння – це доступність та економічна ефективність</w:t>
      </w:r>
      <w:r w:rsidRPr="006B6651">
        <w:rPr>
          <w:b/>
          <w:color w:val="000000" w:themeColor="text1"/>
          <w:spacing w:val="-3"/>
          <w:w w:val="110"/>
          <w:sz w:val="20"/>
          <w:lang w:val="ru-RU"/>
        </w:rPr>
        <w:t>:</w:t>
      </w:r>
      <w:r w:rsidRPr="006B6651">
        <w:rPr>
          <w:b/>
          <w:color w:val="000000" w:themeColor="text1"/>
          <w:spacing w:val="-12"/>
          <w:w w:val="110"/>
          <w:sz w:val="20"/>
          <w:lang w:val="ru-RU"/>
        </w:rPr>
        <w:t xml:space="preserve"> </w:t>
      </w:r>
      <w:r w:rsidRPr="007346BD">
        <w:rPr>
          <w:color w:val="000000" w:themeColor="text1"/>
          <w:w w:val="110"/>
          <w:sz w:val="20"/>
          <w:lang w:val="uk-UA"/>
        </w:rPr>
        <w:t>Б</w:t>
      </w:r>
      <w:proofErr w:type="spellStart"/>
      <w:r w:rsidRPr="006B6651">
        <w:rPr>
          <w:color w:val="000000" w:themeColor="text1"/>
          <w:w w:val="110"/>
          <w:sz w:val="20"/>
          <w:lang w:val="ru-RU"/>
        </w:rPr>
        <w:t>уло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висловлено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значне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занепокоєння</w:t>
      </w:r>
      <w:proofErr w:type="spellEnd"/>
      <w:r w:rsidRPr="006B6651">
        <w:rPr>
          <w:color w:val="000000" w:themeColor="text1"/>
          <w:w w:val="110"/>
          <w:sz w:val="20"/>
          <w:lang w:val="ru-RU"/>
        </w:rPr>
        <w:t xml:space="preserve"> щодо </w:t>
      </w:r>
      <w:proofErr w:type="spellStart"/>
      <w:r w:rsidRPr="006B6651">
        <w:rPr>
          <w:color w:val="000000" w:themeColor="text1"/>
          <w:w w:val="110"/>
          <w:sz w:val="20"/>
          <w:lang w:val="ru-RU"/>
        </w:rPr>
        <w:t>фінансових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технологію</w:t>
      </w:r>
      <w:proofErr w:type="spellEnd"/>
      <w:r w:rsidRPr="006B6651">
        <w:rPr>
          <w:color w:val="000000" w:themeColor="text1"/>
          <w:w w:val="110"/>
          <w:sz w:val="20"/>
          <w:lang w:val="ru-RU"/>
        </w:rPr>
        <w:t xml:space="preserve"> таргетного СНП </w:t>
      </w:r>
      <w:r w:rsidRPr="007346BD">
        <w:rPr>
          <w:color w:val="000000" w:themeColor="text1"/>
          <w:w w:val="110"/>
          <w:sz w:val="20"/>
          <w:lang w:val="uk-UA"/>
        </w:rPr>
        <w:t xml:space="preserve">та </w:t>
      </w:r>
      <w:proofErr w:type="spellStart"/>
      <w:r w:rsidRPr="006B6651">
        <w:rPr>
          <w:color w:val="000000" w:themeColor="text1"/>
          <w:w w:val="110"/>
          <w:sz w:val="20"/>
          <w:lang w:val="ru-RU"/>
        </w:rPr>
        <w:t>її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доступності</w:t>
      </w:r>
      <w:proofErr w:type="spellEnd"/>
      <w:r w:rsidRPr="006B6651">
        <w:rPr>
          <w:color w:val="000000" w:themeColor="text1"/>
          <w:w w:val="110"/>
          <w:sz w:val="20"/>
          <w:lang w:val="ru-RU"/>
        </w:rPr>
        <w:t xml:space="preserve"> для КНСРД. </w:t>
      </w:r>
      <w:r w:rsidRPr="006B6651">
        <w:rPr>
          <w:color w:val="000000" w:themeColor="text1"/>
          <w:spacing w:val="-29"/>
          <w:w w:val="110"/>
          <w:sz w:val="20"/>
          <w:lang w:val="ru-RU"/>
        </w:rPr>
        <w:t xml:space="preserve"> </w:t>
      </w:r>
      <w:proofErr w:type="spellStart"/>
      <w:r w:rsidRPr="006B6651">
        <w:rPr>
          <w:color w:val="000000" w:themeColor="text1"/>
          <w:w w:val="110"/>
          <w:sz w:val="20"/>
          <w:lang w:val="ru-RU"/>
        </w:rPr>
        <w:t>Учасники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висловлювали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занепокоєння</w:t>
      </w:r>
      <w:proofErr w:type="spellEnd"/>
      <w:r w:rsidRPr="006B6651">
        <w:rPr>
          <w:color w:val="000000" w:themeColor="text1"/>
          <w:w w:val="110"/>
          <w:sz w:val="20"/>
          <w:lang w:val="ru-RU"/>
        </w:rPr>
        <w:t xml:space="preserve"> щодо </w:t>
      </w:r>
      <w:proofErr w:type="spellStart"/>
      <w:r w:rsidRPr="006B6651">
        <w:rPr>
          <w:color w:val="000000" w:themeColor="text1"/>
          <w:w w:val="110"/>
          <w:sz w:val="20"/>
          <w:lang w:val="ru-RU"/>
        </w:rPr>
        <w:t>вартості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обладнання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вартості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постійних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спеціалізованих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витратних</w:t>
      </w:r>
      <w:proofErr w:type="spellEnd"/>
      <w:r w:rsidRPr="006B6651">
        <w:rPr>
          <w:color w:val="000000" w:themeColor="text1"/>
          <w:w w:val="110"/>
          <w:sz w:val="20"/>
          <w:lang w:val="ru-RU"/>
        </w:rPr>
        <w:t xml:space="preserve"> матеріалів (особливо </w:t>
      </w:r>
      <w:proofErr w:type="spellStart"/>
      <w:r w:rsidRPr="006B6651">
        <w:rPr>
          <w:color w:val="000000" w:themeColor="text1"/>
          <w:w w:val="110"/>
          <w:sz w:val="20"/>
          <w:lang w:val="ru-RU"/>
        </w:rPr>
        <w:t>реагентів</w:t>
      </w:r>
      <w:proofErr w:type="spellEnd"/>
      <w:r w:rsidRPr="006B6651">
        <w:rPr>
          <w:color w:val="000000" w:themeColor="text1"/>
          <w:w w:val="110"/>
          <w:sz w:val="20"/>
          <w:lang w:val="ru-RU"/>
        </w:rPr>
        <w:t xml:space="preserve">), а також </w:t>
      </w:r>
      <w:proofErr w:type="spellStart"/>
      <w:r w:rsidRPr="006B6651">
        <w:rPr>
          <w:color w:val="000000" w:themeColor="text1"/>
          <w:w w:val="110"/>
          <w:sz w:val="20"/>
          <w:lang w:val="ru-RU"/>
        </w:rPr>
        <w:t>вартості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обслуговування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обладнання</w:t>
      </w:r>
      <w:proofErr w:type="spellEnd"/>
      <w:r w:rsidRPr="006B6651">
        <w:rPr>
          <w:color w:val="000000" w:themeColor="text1"/>
          <w:w w:val="110"/>
          <w:sz w:val="20"/>
          <w:lang w:val="ru-RU"/>
        </w:rPr>
        <w:t>.</w:t>
      </w:r>
      <w:r w:rsidRPr="007346BD">
        <w:rPr>
          <w:color w:val="000000" w:themeColor="text1"/>
          <w:w w:val="110"/>
          <w:sz w:val="20"/>
          <w:lang w:val="uk-UA"/>
        </w:rPr>
        <w:t xml:space="preserve"> </w:t>
      </w:r>
      <w:r w:rsidRPr="006B6651">
        <w:rPr>
          <w:color w:val="000000" w:themeColor="text1"/>
          <w:w w:val="110"/>
          <w:sz w:val="20"/>
          <w:lang w:val="ru-RU"/>
        </w:rPr>
        <w:t xml:space="preserve">Вони </w:t>
      </w:r>
      <w:proofErr w:type="spellStart"/>
      <w:r w:rsidRPr="006B6651">
        <w:rPr>
          <w:color w:val="000000" w:themeColor="text1"/>
          <w:w w:val="110"/>
          <w:sz w:val="20"/>
          <w:lang w:val="ru-RU"/>
        </w:rPr>
        <w:t>зазначали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розрахунки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мають</w:t>
      </w:r>
      <w:proofErr w:type="spellEnd"/>
      <w:r w:rsidRPr="006B6651">
        <w:rPr>
          <w:color w:val="000000" w:themeColor="text1"/>
          <w:w w:val="110"/>
          <w:sz w:val="20"/>
          <w:lang w:val="ru-RU"/>
        </w:rPr>
        <w:t xml:space="preserve"> бути </w:t>
      </w:r>
      <w:proofErr w:type="spellStart"/>
      <w:r w:rsidRPr="006B6651">
        <w:rPr>
          <w:color w:val="000000" w:themeColor="text1"/>
          <w:w w:val="110"/>
          <w:sz w:val="20"/>
          <w:lang w:val="ru-RU"/>
        </w:rPr>
        <w:t>комплексними</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включати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вартість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спеціальних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витратних</w:t>
      </w:r>
      <w:proofErr w:type="spellEnd"/>
      <w:r w:rsidRPr="006B6651">
        <w:rPr>
          <w:color w:val="000000" w:themeColor="text1"/>
          <w:w w:val="110"/>
          <w:sz w:val="20"/>
          <w:lang w:val="ru-RU"/>
        </w:rPr>
        <w:t xml:space="preserve"> матеріалів, </w:t>
      </w:r>
      <w:proofErr w:type="spellStart"/>
      <w:r w:rsidRPr="006B6651">
        <w:rPr>
          <w:color w:val="000000" w:themeColor="text1"/>
          <w:w w:val="110"/>
          <w:sz w:val="20"/>
          <w:lang w:val="ru-RU"/>
        </w:rPr>
        <w:t>додаткових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загальних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лабораторних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витратних</w:t>
      </w:r>
      <w:proofErr w:type="spellEnd"/>
      <w:r w:rsidRPr="006B6651">
        <w:rPr>
          <w:color w:val="000000" w:themeColor="text1"/>
          <w:w w:val="110"/>
          <w:sz w:val="20"/>
          <w:lang w:val="ru-RU"/>
        </w:rPr>
        <w:t xml:space="preserve"> матеріалів і </w:t>
      </w:r>
      <w:proofErr w:type="spellStart"/>
      <w:r w:rsidRPr="006B6651">
        <w:rPr>
          <w:color w:val="000000" w:themeColor="text1"/>
          <w:w w:val="110"/>
          <w:sz w:val="20"/>
          <w:lang w:val="ru-RU"/>
        </w:rPr>
        <w:t>додаткових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інфраструктурних</w:t>
      </w:r>
      <w:proofErr w:type="spellEnd"/>
      <w:r w:rsidRPr="006B6651">
        <w:rPr>
          <w:color w:val="000000" w:themeColor="text1"/>
          <w:w w:val="110"/>
          <w:sz w:val="20"/>
          <w:lang w:val="ru-RU"/>
        </w:rPr>
        <w:t xml:space="preserve"> потреб (</w:t>
      </w:r>
      <w:proofErr w:type="spellStart"/>
      <w:r w:rsidRPr="006B6651">
        <w:rPr>
          <w:color w:val="000000" w:themeColor="text1"/>
          <w:w w:val="110"/>
          <w:sz w:val="20"/>
          <w:lang w:val="ru-RU"/>
        </w:rPr>
        <w:t>наприклад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додатковий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простір</w:t>
      </w:r>
      <w:proofErr w:type="spellEnd"/>
      <w:r w:rsidRPr="006B6651">
        <w:rPr>
          <w:color w:val="000000" w:themeColor="text1"/>
          <w:w w:val="110"/>
          <w:sz w:val="20"/>
          <w:lang w:val="ru-RU"/>
        </w:rPr>
        <w:t xml:space="preserve">, контроль температури й </w:t>
      </w:r>
      <w:proofErr w:type="spellStart"/>
      <w:r w:rsidRPr="006B6651">
        <w:rPr>
          <w:color w:val="000000" w:themeColor="text1"/>
          <w:w w:val="110"/>
          <w:sz w:val="20"/>
          <w:lang w:val="ru-RU"/>
        </w:rPr>
        <w:t>підключення</w:t>
      </w:r>
      <w:proofErr w:type="spellEnd"/>
      <w:r w:rsidRPr="006B6651">
        <w:rPr>
          <w:color w:val="000000" w:themeColor="text1"/>
          <w:w w:val="110"/>
          <w:sz w:val="20"/>
          <w:lang w:val="ru-RU"/>
        </w:rPr>
        <w:t xml:space="preserve"> до </w:t>
      </w:r>
      <w:proofErr w:type="spellStart"/>
      <w:r w:rsidRPr="006B6651">
        <w:rPr>
          <w:color w:val="000000" w:themeColor="text1"/>
          <w:w w:val="110"/>
          <w:sz w:val="20"/>
          <w:lang w:val="ru-RU"/>
        </w:rPr>
        <w:t>Інтернету</w:t>
      </w:r>
      <w:proofErr w:type="spellEnd"/>
      <w:r w:rsidRPr="006B6651">
        <w:rPr>
          <w:color w:val="000000" w:themeColor="text1"/>
          <w:w w:val="110"/>
          <w:sz w:val="20"/>
          <w:lang w:val="ru-RU"/>
        </w:rPr>
        <w:t xml:space="preserve">). </w:t>
      </w:r>
      <w:r w:rsidRPr="006B6651">
        <w:rPr>
          <w:color w:val="000000" w:themeColor="text1"/>
          <w:spacing w:val="-39"/>
          <w:w w:val="110"/>
          <w:sz w:val="20"/>
          <w:lang w:val="ru-RU"/>
        </w:rPr>
        <w:t xml:space="preserve"> </w:t>
      </w:r>
      <w:proofErr w:type="spellStart"/>
      <w:r w:rsidRPr="006B6651">
        <w:rPr>
          <w:color w:val="000000" w:themeColor="text1"/>
          <w:w w:val="110"/>
          <w:sz w:val="20"/>
          <w:lang w:val="ru-RU"/>
        </w:rPr>
        <w:t>Висловлювалися</w:t>
      </w:r>
      <w:proofErr w:type="spellEnd"/>
      <w:r w:rsidRPr="006B6651">
        <w:rPr>
          <w:color w:val="000000" w:themeColor="text1"/>
          <w:w w:val="110"/>
          <w:sz w:val="20"/>
          <w:lang w:val="ru-RU"/>
        </w:rPr>
        <w:t xml:space="preserve"> </w:t>
      </w:r>
      <w:r w:rsidRPr="007346BD">
        <w:rPr>
          <w:color w:val="000000" w:themeColor="text1"/>
          <w:w w:val="110"/>
          <w:sz w:val="20"/>
          <w:lang w:val="uk-UA"/>
        </w:rPr>
        <w:t>думки</w:t>
      </w:r>
      <w:r w:rsidRPr="006B6651">
        <w:rPr>
          <w:color w:val="000000" w:themeColor="text1"/>
          <w:w w:val="110"/>
          <w:sz w:val="20"/>
          <w:lang w:val="ru-RU"/>
        </w:rPr>
        <w:t xml:space="preserve">,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розрахунки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економічної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мають</w:t>
      </w:r>
      <w:proofErr w:type="spellEnd"/>
      <w:r w:rsidRPr="006B6651">
        <w:rPr>
          <w:color w:val="000000" w:themeColor="text1"/>
          <w:w w:val="110"/>
          <w:sz w:val="20"/>
          <w:lang w:val="ru-RU"/>
        </w:rPr>
        <w:t xml:space="preserve"> бути </w:t>
      </w:r>
      <w:r w:rsidRPr="00143A75">
        <w:rPr>
          <w:color w:val="000000" w:themeColor="text1"/>
          <w:w w:val="110"/>
          <w:sz w:val="20"/>
          <w:lang w:val="uk-UA"/>
        </w:rPr>
        <w:t>комплексними</w:t>
      </w:r>
      <w:r w:rsidRPr="006B6651">
        <w:rPr>
          <w:color w:val="000000" w:themeColor="text1"/>
          <w:w w:val="110"/>
          <w:sz w:val="20"/>
          <w:lang w:val="ru-RU"/>
        </w:rPr>
        <w:t xml:space="preserve"> та </w:t>
      </w:r>
      <w:proofErr w:type="spellStart"/>
      <w:r w:rsidRPr="006B6651">
        <w:rPr>
          <w:color w:val="000000" w:themeColor="text1"/>
          <w:w w:val="110"/>
          <w:sz w:val="20"/>
          <w:lang w:val="ru-RU"/>
        </w:rPr>
        <w:t>включати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оцінку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впливу</w:t>
      </w:r>
      <w:proofErr w:type="spellEnd"/>
      <w:r w:rsidRPr="006B6651">
        <w:rPr>
          <w:color w:val="000000" w:themeColor="text1"/>
          <w:w w:val="110"/>
          <w:sz w:val="20"/>
          <w:lang w:val="ru-RU"/>
        </w:rPr>
        <w:t xml:space="preserve"> використання таргетного СНП на </w:t>
      </w:r>
      <w:proofErr w:type="spellStart"/>
      <w:r w:rsidRPr="006B6651">
        <w:rPr>
          <w:color w:val="000000" w:themeColor="text1"/>
          <w:w w:val="110"/>
          <w:sz w:val="20"/>
          <w:lang w:val="ru-RU"/>
        </w:rPr>
        <w:t>покращення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результатів</w:t>
      </w:r>
      <w:proofErr w:type="spellEnd"/>
      <w:r w:rsidRPr="006B6651">
        <w:rPr>
          <w:color w:val="000000" w:themeColor="text1"/>
          <w:w w:val="110"/>
          <w:sz w:val="20"/>
          <w:lang w:val="ru-RU"/>
        </w:rPr>
        <w:t xml:space="preserve"> щодо ТБ.</w:t>
      </w:r>
      <w:r w:rsidR="004A2937">
        <w:rPr>
          <w:color w:val="000000" w:themeColor="text1"/>
          <w:w w:val="110"/>
          <w:sz w:val="20"/>
          <w:lang w:val="ru-RU"/>
        </w:rPr>
        <w:t xml:space="preserve">        </w:t>
      </w:r>
    </w:p>
    <w:p w14:paraId="20E7368B" w14:textId="4FC6AE5F" w:rsidR="00FE76F9" w:rsidRPr="006B6651" w:rsidRDefault="004A2937" w:rsidP="00FE76F9">
      <w:pPr>
        <w:widowControl/>
        <w:autoSpaceDE/>
        <w:autoSpaceDN/>
        <w:spacing w:after="160" w:line="259" w:lineRule="auto"/>
        <w:rPr>
          <w:color w:val="000000" w:themeColor="text1"/>
          <w:w w:val="110"/>
          <w:sz w:val="20"/>
          <w:lang w:val="ru-RU"/>
        </w:rPr>
      </w:pPr>
      <w:r>
        <w:rPr>
          <w:noProof/>
          <w:color w:val="000000" w:themeColor="text1"/>
          <w:sz w:val="20"/>
        </w:rPr>
        <mc:AlternateContent>
          <mc:Choice Requires="wps">
            <w:drawing>
              <wp:anchor distT="0" distB="0" distL="114300" distR="114300" simplePos="0" relativeHeight="488242688" behindDoc="0" locked="0" layoutInCell="1" allowOverlap="1" wp14:anchorId="7F377E09" wp14:editId="3954BA78">
                <wp:simplePos x="0" y="0"/>
                <wp:positionH relativeFrom="margin">
                  <wp:posOffset>5588000</wp:posOffset>
                </wp:positionH>
                <wp:positionV relativeFrom="paragraph">
                  <wp:posOffset>509905</wp:posOffset>
                </wp:positionV>
                <wp:extent cx="482600" cy="266700"/>
                <wp:effectExtent l="0" t="0" r="0" b="0"/>
                <wp:wrapNone/>
                <wp:docPr id="1818710546" name="Поле 1942"/>
                <wp:cNvGraphicFramePr/>
                <a:graphic xmlns:a="http://schemas.openxmlformats.org/drawingml/2006/main">
                  <a:graphicData uri="http://schemas.microsoft.com/office/word/2010/wordprocessingShape">
                    <wps:wsp>
                      <wps:cNvSpPr txBox="1"/>
                      <wps:spPr>
                        <a:xfrm>
                          <a:off x="0" y="0"/>
                          <a:ext cx="482600" cy="266700"/>
                        </a:xfrm>
                        <a:prstGeom prst="rect">
                          <a:avLst/>
                        </a:prstGeom>
                        <a:solidFill>
                          <a:schemeClr val="lt1"/>
                        </a:solidFill>
                        <a:ln w="6350">
                          <a:noFill/>
                        </a:ln>
                      </wps:spPr>
                      <wps:txbx>
                        <w:txbxContent>
                          <w:p w14:paraId="0F2FF118" w14:textId="3441508A" w:rsidR="004A2937" w:rsidRPr="004A2937" w:rsidRDefault="004A2937" w:rsidP="004A2937">
                            <w:pPr>
                              <w:rPr>
                                <w:color w:val="388600"/>
                                <w:sz w:val="20"/>
                                <w:szCs w:val="20"/>
                                <w:lang w:val="uk-UA"/>
                              </w:rPr>
                            </w:pPr>
                            <w:r w:rsidRPr="004A2937">
                              <w:rPr>
                                <w:color w:val="388600"/>
                                <w:sz w:val="20"/>
                                <w:szCs w:val="20"/>
                                <w:lang w:val="uk-UA"/>
                              </w:rPr>
                              <w:t>1</w:t>
                            </w:r>
                            <w:r>
                              <w:rPr>
                                <w:color w:val="388600"/>
                                <w:sz w:val="20"/>
                                <w:szCs w:val="20"/>
                                <w:lang w:val="uk-UA"/>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377E09" id="_x0000_s1184" type="#_x0000_t202" style="position:absolute;margin-left:440pt;margin-top:40.15pt;width:38pt;height:21pt;z-index:488242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" fillcolor="white [3201]" stroked="f" strokeweight=".5pt">
                <v:textbox>
                  <w:txbxContent>
                    <w:p w14:paraId="0F2FF118" w14:textId="3441508A" w:rsidR="004A2937" w:rsidRPr="004A2937" w:rsidRDefault="004A2937" w:rsidP="004A2937">
                      <w:pPr>
                        <w:rPr>
                          <w:color w:val="388600"/>
                          <w:sz w:val="20"/>
                          <w:szCs w:val="20"/>
                          <w:lang w:val="uk-UA"/>
                        </w:rPr>
                      </w:pPr>
                      <w:r w:rsidRPr="004A2937">
                        <w:rPr>
                          <w:color w:val="388600"/>
                          <w:sz w:val="20"/>
                          <w:szCs w:val="20"/>
                          <w:lang w:val="uk-UA"/>
                        </w:rPr>
                        <w:t>1</w:t>
                      </w:r>
                      <w:r>
                        <w:rPr>
                          <w:color w:val="388600"/>
                          <w:sz w:val="20"/>
                          <w:szCs w:val="20"/>
                          <w:lang w:val="uk-UA"/>
                        </w:rPr>
                        <w:t>15</w:t>
                      </w:r>
                    </w:p>
                  </w:txbxContent>
                </v:textbox>
                <w10:wrap anchorx="margin"/>
              </v:shape>
            </w:pict>
          </mc:Fallback>
        </mc:AlternateContent>
      </w:r>
      <w:r w:rsidR="00FE76F9" w:rsidRPr="006B6651">
        <w:rPr>
          <w:color w:val="000000" w:themeColor="text1"/>
          <w:w w:val="110"/>
          <w:sz w:val="20"/>
          <w:lang w:val="ru-RU"/>
        </w:rPr>
        <w:br w:type="page"/>
      </w:r>
    </w:p>
    <w:p w14:paraId="469767AD" w14:textId="77777777" w:rsidR="00FE76F9" w:rsidRPr="006B6651" w:rsidRDefault="00FE76F9" w:rsidP="004A2937">
      <w:pPr>
        <w:pStyle w:val="a4"/>
        <w:numPr>
          <w:ilvl w:val="0"/>
          <w:numId w:val="49"/>
        </w:numPr>
        <w:tabs>
          <w:tab w:val="left" w:pos="1843"/>
        </w:tabs>
        <w:spacing w:before="86" w:line="276" w:lineRule="auto"/>
        <w:ind w:left="1134" w:right="146"/>
        <w:rPr>
          <w:color w:val="000000" w:themeColor="text1"/>
          <w:sz w:val="20"/>
          <w:lang w:val="ru-RU"/>
        </w:rPr>
      </w:pPr>
      <w:r w:rsidRPr="007346BD">
        <w:rPr>
          <w:b/>
          <w:color w:val="000000" w:themeColor="text1"/>
          <w:w w:val="110"/>
          <w:sz w:val="20"/>
          <w:lang w:val="uk-UA"/>
        </w:rPr>
        <w:lastRenderedPageBreak/>
        <w:t>Тягар</w:t>
      </w:r>
      <w:r w:rsidRPr="006B6651">
        <w:rPr>
          <w:b/>
          <w:color w:val="000000" w:themeColor="text1"/>
          <w:w w:val="110"/>
          <w:sz w:val="20"/>
          <w:lang w:val="ru-RU"/>
        </w:rPr>
        <w:t xml:space="preserve"> </w:t>
      </w:r>
      <w:r w:rsidRPr="007346BD">
        <w:rPr>
          <w:b/>
          <w:color w:val="000000" w:themeColor="text1"/>
          <w:w w:val="110"/>
          <w:sz w:val="20"/>
          <w:lang w:val="uk-UA"/>
        </w:rPr>
        <w:t>захворюваності на МЛС</w:t>
      </w:r>
      <w:r w:rsidRPr="006B6651">
        <w:rPr>
          <w:b/>
          <w:color w:val="000000" w:themeColor="text1"/>
          <w:w w:val="110"/>
          <w:sz w:val="20"/>
          <w:lang w:val="ru-RU"/>
        </w:rPr>
        <w:t>/</w:t>
      </w:r>
      <w:r w:rsidRPr="007346BD">
        <w:rPr>
          <w:b/>
          <w:color w:val="000000" w:themeColor="text1"/>
          <w:w w:val="110"/>
          <w:sz w:val="20"/>
          <w:lang w:val="uk-UA"/>
        </w:rPr>
        <w:t xml:space="preserve">Риф-ТБ в країні </w:t>
      </w:r>
      <w:proofErr w:type="spellStart"/>
      <w:r w:rsidRPr="006B6651">
        <w:rPr>
          <w:b/>
          <w:color w:val="000000" w:themeColor="text1"/>
          <w:w w:val="110"/>
          <w:sz w:val="20"/>
          <w:lang w:val="ru-RU"/>
        </w:rPr>
        <w:t>може</w:t>
      </w:r>
      <w:proofErr w:type="spellEnd"/>
      <w:r w:rsidRPr="006B6651">
        <w:rPr>
          <w:b/>
          <w:color w:val="000000" w:themeColor="text1"/>
          <w:w w:val="110"/>
          <w:sz w:val="20"/>
          <w:lang w:val="ru-RU"/>
        </w:rPr>
        <w:t xml:space="preserve"> </w:t>
      </w:r>
      <w:proofErr w:type="spellStart"/>
      <w:r w:rsidRPr="006B6651">
        <w:rPr>
          <w:b/>
          <w:color w:val="000000" w:themeColor="text1"/>
          <w:w w:val="110"/>
          <w:sz w:val="20"/>
          <w:lang w:val="ru-RU"/>
        </w:rPr>
        <w:t>впливати</w:t>
      </w:r>
      <w:proofErr w:type="spellEnd"/>
      <w:r w:rsidRPr="006B6651">
        <w:rPr>
          <w:b/>
          <w:color w:val="000000" w:themeColor="text1"/>
          <w:w w:val="110"/>
          <w:sz w:val="20"/>
          <w:lang w:val="ru-RU"/>
        </w:rPr>
        <w:t xml:space="preserve"> на </w:t>
      </w:r>
      <w:proofErr w:type="spellStart"/>
      <w:r w:rsidRPr="006B6651">
        <w:rPr>
          <w:b/>
          <w:color w:val="000000" w:themeColor="text1"/>
          <w:w w:val="110"/>
          <w:sz w:val="20"/>
          <w:lang w:val="ru-RU"/>
        </w:rPr>
        <w:t>справедливість</w:t>
      </w:r>
      <w:proofErr w:type="spellEnd"/>
      <w:r w:rsidRPr="006B6651">
        <w:rPr>
          <w:b/>
          <w:color w:val="000000" w:themeColor="text1"/>
          <w:w w:val="110"/>
          <w:sz w:val="20"/>
          <w:lang w:val="ru-RU"/>
        </w:rPr>
        <w:t xml:space="preserve"> доступу на </w:t>
      </w:r>
      <w:proofErr w:type="spellStart"/>
      <w:r w:rsidRPr="006B6651">
        <w:rPr>
          <w:b/>
          <w:color w:val="000000" w:themeColor="text1"/>
          <w:w w:val="110"/>
          <w:sz w:val="20"/>
          <w:lang w:val="ru-RU"/>
        </w:rPr>
        <w:t>централізован</w:t>
      </w:r>
      <w:proofErr w:type="spellEnd"/>
      <w:r w:rsidRPr="007346BD">
        <w:rPr>
          <w:b/>
          <w:color w:val="000000" w:themeColor="text1"/>
          <w:w w:val="110"/>
          <w:sz w:val="20"/>
          <w:lang w:val="uk-UA"/>
        </w:rPr>
        <w:t>их</w:t>
      </w:r>
      <w:r w:rsidRPr="006B6651">
        <w:rPr>
          <w:b/>
          <w:color w:val="000000" w:themeColor="text1"/>
          <w:w w:val="110"/>
          <w:sz w:val="20"/>
          <w:lang w:val="ru-RU"/>
        </w:rPr>
        <w:t xml:space="preserve"> </w:t>
      </w:r>
      <w:proofErr w:type="spellStart"/>
      <w:r w:rsidRPr="006B6651">
        <w:rPr>
          <w:b/>
          <w:color w:val="000000" w:themeColor="text1"/>
          <w:w w:val="110"/>
          <w:sz w:val="20"/>
          <w:lang w:val="ru-RU"/>
        </w:rPr>
        <w:t>рівн</w:t>
      </w:r>
      <w:r w:rsidRPr="007346BD">
        <w:rPr>
          <w:b/>
          <w:color w:val="000000" w:themeColor="text1"/>
          <w:w w:val="110"/>
          <w:sz w:val="20"/>
          <w:lang w:val="uk-UA"/>
        </w:rPr>
        <w:t>ях</w:t>
      </w:r>
      <w:proofErr w:type="spellEnd"/>
      <w:r w:rsidRPr="006B6651">
        <w:rPr>
          <w:b/>
          <w:color w:val="000000" w:themeColor="text1"/>
          <w:w w:val="110"/>
          <w:sz w:val="20"/>
          <w:lang w:val="ru-RU"/>
        </w:rPr>
        <w:t>.</w:t>
      </w:r>
      <w:r w:rsidRPr="006B6651">
        <w:rPr>
          <w:color w:val="000000" w:themeColor="text1"/>
          <w:w w:val="110"/>
          <w:sz w:val="20"/>
          <w:lang w:val="ru-RU"/>
        </w:rPr>
        <w:t xml:space="preserve"> У </w:t>
      </w:r>
      <w:proofErr w:type="spellStart"/>
      <w:r w:rsidRPr="006B6651">
        <w:rPr>
          <w:color w:val="000000" w:themeColor="text1"/>
          <w:w w:val="110"/>
          <w:sz w:val="20"/>
          <w:lang w:val="ru-RU"/>
        </w:rPr>
        <w:t>деяких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країнах</w:t>
      </w:r>
      <w:proofErr w:type="spellEnd"/>
      <w:r w:rsidRPr="006B6651">
        <w:rPr>
          <w:color w:val="000000" w:themeColor="text1"/>
          <w:w w:val="110"/>
          <w:sz w:val="20"/>
          <w:lang w:val="ru-RU"/>
        </w:rPr>
        <w:t xml:space="preserve"> з великим </w:t>
      </w:r>
      <w:proofErr w:type="spellStart"/>
      <w:r w:rsidRPr="006B6651">
        <w:rPr>
          <w:color w:val="000000" w:themeColor="text1"/>
          <w:w w:val="110"/>
          <w:sz w:val="20"/>
          <w:lang w:val="ru-RU"/>
        </w:rPr>
        <w:t>навантаженням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центральні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лабораторії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можуть</w:t>
      </w:r>
      <w:proofErr w:type="spellEnd"/>
      <w:r w:rsidRPr="006B6651">
        <w:rPr>
          <w:color w:val="000000" w:themeColor="text1"/>
          <w:w w:val="110"/>
          <w:sz w:val="20"/>
          <w:lang w:val="ru-RU"/>
        </w:rPr>
        <w:t xml:space="preserve"> не </w:t>
      </w:r>
      <w:proofErr w:type="spellStart"/>
      <w:r w:rsidRPr="006B6651">
        <w:rPr>
          <w:color w:val="000000" w:themeColor="text1"/>
          <w:w w:val="110"/>
          <w:sz w:val="20"/>
          <w:lang w:val="ru-RU"/>
        </w:rPr>
        <w:t>мати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достатньої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потужності</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обробки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великої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кількості</w:t>
      </w:r>
      <w:proofErr w:type="spellEnd"/>
      <w:r w:rsidRPr="006B6651">
        <w:rPr>
          <w:color w:val="000000" w:themeColor="text1"/>
          <w:w w:val="110"/>
          <w:sz w:val="20"/>
          <w:lang w:val="ru-RU"/>
        </w:rPr>
        <w:t xml:space="preserve"> </w:t>
      </w:r>
      <w:r w:rsidRPr="007346BD">
        <w:rPr>
          <w:color w:val="000000" w:themeColor="text1"/>
          <w:w w:val="110"/>
          <w:sz w:val="20"/>
          <w:lang w:val="uk-UA"/>
        </w:rPr>
        <w:t>зразків</w:t>
      </w:r>
      <w:r w:rsidRPr="006B6651">
        <w:rPr>
          <w:color w:val="000000" w:themeColor="text1"/>
          <w:w w:val="110"/>
          <w:sz w:val="20"/>
          <w:lang w:val="ru-RU"/>
        </w:rPr>
        <w:t xml:space="preserve"> </w:t>
      </w:r>
      <w:proofErr w:type="spellStart"/>
      <w:r w:rsidRPr="006B6651">
        <w:rPr>
          <w:color w:val="000000" w:themeColor="text1"/>
          <w:w w:val="110"/>
          <w:sz w:val="20"/>
          <w:lang w:val="ru-RU"/>
        </w:rPr>
        <w:t>своєчасно</w:t>
      </w:r>
      <w:proofErr w:type="spellEnd"/>
      <w:r w:rsidRPr="007346BD">
        <w:rPr>
          <w:color w:val="000000" w:themeColor="text1"/>
          <w:w w:val="110"/>
          <w:sz w:val="20"/>
          <w:lang w:val="uk-UA"/>
        </w:rPr>
        <w:t>. Н</w:t>
      </w:r>
      <w:proofErr w:type="spellStart"/>
      <w:r w:rsidRPr="006B6651">
        <w:rPr>
          <w:color w:val="000000" w:themeColor="text1"/>
          <w:w w:val="110"/>
          <w:sz w:val="20"/>
          <w:lang w:val="ru-RU"/>
        </w:rPr>
        <w:t>атомість</w:t>
      </w:r>
      <w:proofErr w:type="spellEnd"/>
      <w:r w:rsidRPr="006B6651">
        <w:rPr>
          <w:color w:val="000000" w:themeColor="text1"/>
          <w:w w:val="110"/>
          <w:sz w:val="20"/>
          <w:lang w:val="ru-RU"/>
        </w:rPr>
        <w:t xml:space="preserve"> у </w:t>
      </w:r>
      <w:proofErr w:type="spellStart"/>
      <w:r w:rsidRPr="006B6651">
        <w:rPr>
          <w:color w:val="000000" w:themeColor="text1"/>
          <w:w w:val="110"/>
          <w:sz w:val="20"/>
          <w:lang w:val="ru-RU"/>
        </w:rPr>
        <w:t>країнах</w:t>
      </w:r>
      <w:proofErr w:type="spellEnd"/>
      <w:r w:rsidRPr="006B6651">
        <w:rPr>
          <w:color w:val="000000" w:themeColor="text1"/>
          <w:w w:val="110"/>
          <w:sz w:val="20"/>
          <w:lang w:val="ru-RU"/>
        </w:rPr>
        <w:t xml:space="preserve"> із </w:t>
      </w:r>
      <w:proofErr w:type="spellStart"/>
      <w:r w:rsidRPr="006B6651">
        <w:rPr>
          <w:color w:val="000000" w:themeColor="text1"/>
          <w:w w:val="110"/>
          <w:sz w:val="20"/>
          <w:lang w:val="ru-RU"/>
        </w:rPr>
        <w:t>низьким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навантаженням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очікування</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достатню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кількість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зразків</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тестування</w:t>
      </w:r>
      <w:proofErr w:type="spellEnd"/>
      <w:r w:rsidRPr="007346BD">
        <w:rPr>
          <w:color w:val="000000" w:themeColor="text1"/>
          <w:w w:val="110"/>
          <w:sz w:val="20"/>
          <w:lang w:val="uk-UA"/>
        </w:rPr>
        <w:t xml:space="preserve"> партіями</w:t>
      </w:r>
      <w:r w:rsidRPr="006B6651">
        <w:rPr>
          <w:color w:val="000000" w:themeColor="text1"/>
          <w:w w:val="110"/>
          <w:sz w:val="20"/>
          <w:lang w:val="ru-RU"/>
        </w:rPr>
        <w:t xml:space="preserve"> </w:t>
      </w:r>
      <w:proofErr w:type="spellStart"/>
      <w:r w:rsidRPr="006B6651">
        <w:rPr>
          <w:color w:val="000000" w:themeColor="text1"/>
          <w:w w:val="110"/>
          <w:sz w:val="20"/>
          <w:lang w:val="ru-RU"/>
        </w:rPr>
        <w:t>призводитиме</w:t>
      </w:r>
      <w:proofErr w:type="spellEnd"/>
      <w:r w:rsidRPr="006B6651">
        <w:rPr>
          <w:color w:val="000000" w:themeColor="text1"/>
          <w:w w:val="110"/>
          <w:sz w:val="20"/>
          <w:lang w:val="ru-RU"/>
        </w:rPr>
        <w:t xml:space="preserve"> до </w:t>
      </w:r>
      <w:proofErr w:type="spellStart"/>
      <w:r w:rsidRPr="006B6651">
        <w:rPr>
          <w:color w:val="000000" w:themeColor="text1"/>
          <w:w w:val="110"/>
          <w:sz w:val="20"/>
          <w:lang w:val="ru-RU"/>
        </w:rPr>
        <w:t>затримок</w:t>
      </w:r>
      <w:proofErr w:type="spellEnd"/>
      <w:r w:rsidRPr="006B6651">
        <w:rPr>
          <w:color w:val="000000" w:themeColor="text1"/>
          <w:w w:val="110"/>
          <w:sz w:val="20"/>
          <w:lang w:val="ru-RU"/>
        </w:rPr>
        <w:t>.</w:t>
      </w:r>
    </w:p>
    <w:p w14:paraId="39712DA4" w14:textId="16D8A530" w:rsidR="00FE76F9" w:rsidRPr="00737004" w:rsidRDefault="00DA5A55" w:rsidP="0061310B">
      <w:pPr>
        <w:pStyle w:val="5"/>
        <w:spacing w:before="185"/>
        <w:ind w:right="146"/>
        <w:jc w:val="both"/>
        <w:rPr>
          <w:lang w:val="uk-UA"/>
        </w:rPr>
      </w:pPr>
      <w:r>
        <w:rPr>
          <w:color w:val="019648"/>
          <w:w w:val="105"/>
          <w:lang w:val="uk-UA"/>
        </w:rPr>
        <w:t>Міркування щодо</w:t>
      </w:r>
      <w:r w:rsidR="00FE76F9">
        <w:rPr>
          <w:color w:val="019648"/>
          <w:w w:val="105"/>
          <w:lang w:val="uk-UA"/>
        </w:rPr>
        <w:t xml:space="preserve"> впровадження</w:t>
      </w:r>
    </w:p>
    <w:p w14:paraId="45F0C598" w14:textId="77777777" w:rsidR="00FE76F9" w:rsidRPr="006B6651" w:rsidRDefault="00FE76F9" w:rsidP="0061310B">
      <w:pPr>
        <w:pStyle w:val="a3"/>
        <w:spacing w:before="179" w:line="249" w:lineRule="auto"/>
        <w:ind w:left="567" w:right="146"/>
        <w:jc w:val="both"/>
        <w:rPr>
          <w:color w:val="000000" w:themeColor="text1"/>
          <w:sz w:val="20"/>
          <w:lang w:val="ru-RU"/>
        </w:rPr>
      </w:pPr>
      <w:proofErr w:type="spellStart"/>
      <w:r w:rsidRPr="006B6651">
        <w:rPr>
          <w:color w:val="000000" w:themeColor="text1"/>
          <w:w w:val="110"/>
          <w:sz w:val="20"/>
          <w:lang w:val="ru-RU"/>
        </w:rPr>
        <w:t>Хоча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наявні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докази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підтримують</w:t>
      </w:r>
      <w:proofErr w:type="spellEnd"/>
      <w:r w:rsidRPr="006B6651">
        <w:rPr>
          <w:color w:val="000000" w:themeColor="text1"/>
          <w:w w:val="110"/>
          <w:sz w:val="20"/>
          <w:lang w:val="ru-RU"/>
        </w:rPr>
        <w:t xml:space="preserve"> використання таргетного СНП для виявлення </w:t>
      </w:r>
      <w:proofErr w:type="spellStart"/>
      <w:r w:rsidRPr="006B6651">
        <w:rPr>
          <w:color w:val="000000" w:themeColor="text1"/>
          <w:w w:val="110"/>
          <w:sz w:val="20"/>
          <w:lang w:val="ru-RU"/>
        </w:rPr>
        <w:t>лікарської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стійкості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після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діагностики</w:t>
      </w:r>
      <w:proofErr w:type="spellEnd"/>
      <w:r w:rsidRPr="006B6651">
        <w:rPr>
          <w:color w:val="000000" w:themeColor="text1"/>
          <w:w w:val="110"/>
          <w:sz w:val="20"/>
          <w:lang w:val="ru-RU"/>
        </w:rPr>
        <w:t xml:space="preserve"> ТБ з метою </w:t>
      </w:r>
      <w:r w:rsidRPr="007346BD">
        <w:rPr>
          <w:color w:val="000000" w:themeColor="text1"/>
          <w:w w:val="110"/>
          <w:sz w:val="20"/>
          <w:lang w:val="uk-UA"/>
        </w:rPr>
        <w:t xml:space="preserve">обґрунтування </w:t>
      </w:r>
      <w:proofErr w:type="spellStart"/>
      <w:r w:rsidRPr="006B6651">
        <w:rPr>
          <w:color w:val="000000" w:themeColor="text1"/>
          <w:w w:val="110"/>
          <w:sz w:val="20"/>
          <w:lang w:val="ru-RU"/>
        </w:rPr>
        <w:t>рішень</w:t>
      </w:r>
      <w:proofErr w:type="spellEnd"/>
      <w:r w:rsidRPr="006B6651">
        <w:rPr>
          <w:color w:val="000000" w:themeColor="text1"/>
          <w:w w:val="110"/>
          <w:sz w:val="20"/>
          <w:lang w:val="ru-RU"/>
        </w:rPr>
        <w:t xml:space="preserve"> щодо лікування ЛС-ТБ, під час </w:t>
      </w:r>
      <w:proofErr w:type="spellStart"/>
      <w:r w:rsidRPr="006B6651">
        <w:rPr>
          <w:color w:val="000000" w:themeColor="text1"/>
          <w:w w:val="110"/>
          <w:sz w:val="20"/>
          <w:lang w:val="ru-RU"/>
        </w:rPr>
        <w:t>впровадження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цих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тестів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слід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враховувати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такі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фактори</w:t>
      </w:r>
      <w:proofErr w:type="spellEnd"/>
      <w:r w:rsidRPr="006B6651">
        <w:rPr>
          <w:color w:val="000000" w:themeColor="text1"/>
          <w:w w:val="110"/>
          <w:sz w:val="20"/>
          <w:lang w:val="ru-RU"/>
        </w:rPr>
        <w:t>:</w:t>
      </w:r>
    </w:p>
    <w:p w14:paraId="40D929F7" w14:textId="77777777" w:rsidR="00FE76F9" w:rsidRPr="006B6651" w:rsidRDefault="00FE76F9" w:rsidP="004A2937">
      <w:pPr>
        <w:pStyle w:val="a4"/>
        <w:numPr>
          <w:ilvl w:val="0"/>
          <w:numId w:val="50"/>
        </w:numPr>
        <w:tabs>
          <w:tab w:val="left" w:pos="2127"/>
        </w:tabs>
        <w:spacing w:before="117" w:line="276" w:lineRule="auto"/>
        <w:ind w:left="1134" w:right="146"/>
        <w:rPr>
          <w:color w:val="000000" w:themeColor="text1"/>
          <w:sz w:val="20"/>
          <w:lang w:val="ru-RU"/>
        </w:rPr>
      </w:pPr>
      <w:r w:rsidRPr="006B6651">
        <w:rPr>
          <w:color w:val="000000" w:themeColor="text1"/>
          <w:w w:val="110"/>
          <w:sz w:val="20"/>
          <w:lang w:val="ru-RU"/>
        </w:rPr>
        <w:t xml:space="preserve">Перед </w:t>
      </w:r>
      <w:proofErr w:type="spellStart"/>
      <w:r w:rsidRPr="006B6651">
        <w:rPr>
          <w:color w:val="000000" w:themeColor="text1"/>
          <w:w w:val="110"/>
          <w:sz w:val="20"/>
          <w:lang w:val="ru-RU"/>
        </w:rPr>
        <w:t>впровадженням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цих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діагностичних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тестів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необхідне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регуляторне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схвалення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від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національних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регуляторних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органів</w:t>
      </w:r>
      <w:proofErr w:type="spellEnd"/>
      <w:r w:rsidRPr="006B6651">
        <w:rPr>
          <w:color w:val="000000" w:themeColor="text1"/>
          <w:w w:val="110"/>
          <w:sz w:val="20"/>
          <w:lang w:val="ru-RU"/>
        </w:rPr>
        <w:t xml:space="preserve"> або </w:t>
      </w:r>
      <w:proofErr w:type="spellStart"/>
      <w:r w:rsidRPr="006B6651">
        <w:rPr>
          <w:color w:val="000000" w:themeColor="text1"/>
          <w:w w:val="110"/>
          <w:sz w:val="20"/>
          <w:lang w:val="ru-RU"/>
        </w:rPr>
        <w:t>інших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відповідних</w:t>
      </w:r>
      <w:proofErr w:type="spellEnd"/>
      <w:r w:rsidRPr="006B6651">
        <w:rPr>
          <w:color w:val="000000" w:themeColor="text1"/>
          <w:w w:val="110"/>
          <w:sz w:val="20"/>
          <w:lang w:val="ru-RU"/>
        </w:rPr>
        <w:t xml:space="preserve"> структур.</w:t>
      </w:r>
    </w:p>
    <w:p w14:paraId="662BC916" w14:textId="77777777" w:rsidR="00FE76F9" w:rsidRPr="006B6651" w:rsidRDefault="00FE76F9" w:rsidP="004A2937">
      <w:pPr>
        <w:pStyle w:val="a4"/>
        <w:numPr>
          <w:ilvl w:val="0"/>
          <w:numId w:val="50"/>
        </w:numPr>
        <w:tabs>
          <w:tab w:val="left" w:pos="2127"/>
        </w:tabs>
        <w:spacing w:before="2" w:line="276" w:lineRule="auto"/>
        <w:ind w:left="1134" w:right="146"/>
        <w:rPr>
          <w:color w:val="000000" w:themeColor="text1"/>
          <w:sz w:val="20"/>
          <w:lang w:val="ru-RU"/>
        </w:rPr>
      </w:pPr>
      <w:r w:rsidRPr="006B6651">
        <w:rPr>
          <w:color w:val="000000" w:themeColor="text1"/>
          <w:w w:val="110"/>
          <w:sz w:val="20"/>
          <w:lang w:val="ru-RU"/>
        </w:rPr>
        <w:t xml:space="preserve">У </w:t>
      </w:r>
      <w:proofErr w:type="spellStart"/>
      <w:r w:rsidRPr="006B6651">
        <w:rPr>
          <w:color w:val="000000" w:themeColor="text1"/>
          <w:w w:val="110"/>
          <w:sz w:val="20"/>
          <w:lang w:val="ru-RU"/>
        </w:rPr>
        <w:t>своєму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нинішньому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форматі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таргетний</w:t>
      </w:r>
      <w:proofErr w:type="spellEnd"/>
      <w:r w:rsidRPr="006B6651">
        <w:rPr>
          <w:color w:val="000000" w:themeColor="text1"/>
          <w:w w:val="110"/>
          <w:sz w:val="20"/>
          <w:lang w:val="ru-RU"/>
        </w:rPr>
        <w:t xml:space="preserve"> СНП є тестом </w:t>
      </w:r>
      <w:proofErr w:type="spellStart"/>
      <w:r w:rsidRPr="006B6651">
        <w:rPr>
          <w:color w:val="000000" w:themeColor="text1"/>
          <w:w w:val="110"/>
          <w:sz w:val="20"/>
          <w:lang w:val="ru-RU"/>
        </w:rPr>
        <w:t>високої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складності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який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найкраще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підходить</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централізованих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лабораторій</w:t>
      </w:r>
      <w:proofErr w:type="spellEnd"/>
      <w:r w:rsidRPr="006B6651">
        <w:rPr>
          <w:color w:val="000000" w:themeColor="text1"/>
          <w:w w:val="110"/>
          <w:sz w:val="20"/>
          <w:lang w:val="ru-RU"/>
        </w:rPr>
        <w:t xml:space="preserve"> </w:t>
      </w:r>
      <w:r w:rsidRPr="007346BD">
        <w:rPr>
          <w:color w:val="000000" w:themeColor="text1"/>
          <w:w w:val="110"/>
          <w:sz w:val="20"/>
          <w:lang w:val="uk-UA"/>
        </w:rPr>
        <w:t xml:space="preserve">зі </w:t>
      </w:r>
      <w:proofErr w:type="spellStart"/>
      <w:r w:rsidRPr="006B6651">
        <w:rPr>
          <w:color w:val="000000" w:themeColor="text1"/>
          <w:w w:val="110"/>
          <w:sz w:val="20"/>
          <w:lang w:val="ru-RU"/>
        </w:rPr>
        <w:t>спеціалізован</w:t>
      </w:r>
      <w:r w:rsidRPr="007346BD">
        <w:rPr>
          <w:color w:val="000000" w:themeColor="text1"/>
          <w:w w:val="110"/>
          <w:sz w:val="20"/>
          <w:lang w:val="uk-UA"/>
        </w:rPr>
        <w:t>ою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інфраструктурою</w:t>
      </w:r>
      <w:proofErr w:type="spellEnd"/>
      <w:r w:rsidRPr="007346BD">
        <w:rPr>
          <w:color w:val="000000" w:themeColor="text1"/>
          <w:w w:val="110"/>
          <w:sz w:val="20"/>
          <w:lang w:val="uk-UA"/>
        </w:rPr>
        <w:t>, де персонал має відповідні навички.</w:t>
      </w:r>
    </w:p>
    <w:p w14:paraId="38CE4176" w14:textId="77777777" w:rsidR="00FE76F9" w:rsidRPr="006B6651" w:rsidRDefault="00FE76F9" w:rsidP="004A2937">
      <w:pPr>
        <w:pStyle w:val="a4"/>
        <w:numPr>
          <w:ilvl w:val="0"/>
          <w:numId w:val="50"/>
        </w:numPr>
        <w:tabs>
          <w:tab w:val="left" w:pos="2127"/>
        </w:tabs>
        <w:spacing w:before="3" w:line="276" w:lineRule="auto"/>
        <w:ind w:left="1134" w:right="146"/>
        <w:rPr>
          <w:color w:val="000000" w:themeColor="text1"/>
          <w:sz w:val="20"/>
          <w:lang w:val="ru-RU"/>
        </w:rPr>
      </w:pPr>
      <w:proofErr w:type="spellStart"/>
      <w:r w:rsidRPr="006B6651">
        <w:rPr>
          <w:color w:val="000000" w:themeColor="text1"/>
          <w:w w:val="110"/>
          <w:sz w:val="20"/>
          <w:lang w:val="ru-RU"/>
        </w:rPr>
        <w:t>Таргетн</w:t>
      </w:r>
      <w:proofErr w:type="spellEnd"/>
      <w:r w:rsidRPr="007346BD">
        <w:rPr>
          <w:color w:val="000000" w:themeColor="text1"/>
          <w:w w:val="110"/>
          <w:sz w:val="20"/>
          <w:lang w:val="uk-UA"/>
        </w:rPr>
        <w:t>е</w:t>
      </w:r>
      <w:r w:rsidRPr="006B6651">
        <w:rPr>
          <w:color w:val="000000" w:themeColor="text1"/>
          <w:w w:val="110"/>
          <w:sz w:val="20"/>
          <w:lang w:val="ru-RU"/>
        </w:rPr>
        <w:t xml:space="preserve"> СНП не </w:t>
      </w:r>
      <w:proofErr w:type="spellStart"/>
      <w:r w:rsidRPr="006B6651">
        <w:rPr>
          <w:color w:val="000000" w:themeColor="text1"/>
          <w:w w:val="110"/>
          <w:sz w:val="20"/>
          <w:lang w:val="ru-RU"/>
        </w:rPr>
        <w:t>заміню</w:t>
      </w:r>
      <w:proofErr w:type="spellEnd"/>
      <w:r w:rsidRPr="007346BD">
        <w:rPr>
          <w:color w:val="000000" w:themeColor="text1"/>
          <w:w w:val="110"/>
          <w:sz w:val="20"/>
          <w:lang w:val="uk-UA"/>
        </w:rPr>
        <w:t>є</w:t>
      </w:r>
      <w:r w:rsidRPr="006B6651">
        <w:rPr>
          <w:color w:val="000000" w:themeColor="text1"/>
          <w:w w:val="110"/>
          <w:sz w:val="20"/>
          <w:lang w:val="ru-RU"/>
        </w:rPr>
        <w:t xml:space="preserve"> </w:t>
      </w:r>
      <w:r w:rsidRPr="007346BD">
        <w:rPr>
          <w:color w:val="000000" w:themeColor="text1"/>
          <w:w w:val="110"/>
          <w:sz w:val="20"/>
          <w:lang w:val="uk-UA"/>
        </w:rPr>
        <w:t>наявні</w:t>
      </w:r>
      <w:r w:rsidRPr="006B6651">
        <w:rPr>
          <w:color w:val="000000" w:themeColor="text1"/>
          <w:w w:val="110"/>
          <w:sz w:val="20"/>
          <w:lang w:val="ru-RU"/>
        </w:rPr>
        <w:t xml:space="preserve"> </w:t>
      </w:r>
      <w:proofErr w:type="spellStart"/>
      <w:r w:rsidRPr="006B6651">
        <w:rPr>
          <w:color w:val="000000" w:themeColor="text1"/>
          <w:w w:val="110"/>
          <w:sz w:val="20"/>
          <w:lang w:val="ru-RU"/>
        </w:rPr>
        <w:t>швидкі</w:t>
      </w:r>
      <w:proofErr w:type="spellEnd"/>
      <w:r w:rsidRPr="006B6651">
        <w:rPr>
          <w:color w:val="000000" w:themeColor="text1"/>
          <w:w w:val="110"/>
          <w:sz w:val="20"/>
          <w:lang w:val="ru-RU"/>
        </w:rPr>
        <w:t xml:space="preserve"> тести, </w:t>
      </w:r>
      <w:proofErr w:type="spellStart"/>
      <w:r w:rsidRPr="006B6651">
        <w:rPr>
          <w:color w:val="000000" w:themeColor="text1"/>
          <w:w w:val="110"/>
          <w:sz w:val="20"/>
          <w:lang w:val="ru-RU"/>
        </w:rPr>
        <w:t>які</w:t>
      </w:r>
      <w:proofErr w:type="spellEnd"/>
      <w:r w:rsidRPr="006B6651">
        <w:rPr>
          <w:color w:val="000000" w:themeColor="text1"/>
          <w:w w:val="110"/>
          <w:sz w:val="20"/>
          <w:lang w:val="ru-RU"/>
        </w:rPr>
        <w:t xml:space="preserve"> є </w:t>
      </w:r>
      <w:proofErr w:type="spellStart"/>
      <w:r w:rsidRPr="006B6651">
        <w:rPr>
          <w:color w:val="000000" w:themeColor="text1"/>
          <w:w w:val="110"/>
          <w:sz w:val="20"/>
          <w:lang w:val="ru-RU"/>
        </w:rPr>
        <w:t>доступнішими</w:t>
      </w:r>
      <w:proofErr w:type="spellEnd"/>
      <w:r w:rsidRPr="006B6651">
        <w:rPr>
          <w:color w:val="000000" w:themeColor="text1"/>
          <w:w w:val="110"/>
          <w:sz w:val="20"/>
          <w:lang w:val="ru-RU"/>
        </w:rPr>
        <w:t xml:space="preserve"> й </w:t>
      </w:r>
      <w:proofErr w:type="spellStart"/>
      <w:r w:rsidRPr="006B6651">
        <w:rPr>
          <w:color w:val="000000" w:themeColor="text1"/>
          <w:w w:val="110"/>
          <w:sz w:val="20"/>
          <w:lang w:val="ru-RU"/>
        </w:rPr>
        <w:t>простішими</w:t>
      </w:r>
      <w:proofErr w:type="spellEnd"/>
      <w:r w:rsidRPr="006B6651">
        <w:rPr>
          <w:color w:val="000000" w:themeColor="text1"/>
          <w:w w:val="110"/>
          <w:sz w:val="20"/>
          <w:lang w:val="ru-RU"/>
        </w:rPr>
        <w:t xml:space="preserve"> для виконання з метою виявлення </w:t>
      </w:r>
      <w:r w:rsidRPr="007346BD">
        <w:rPr>
          <w:color w:val="000000" w:themeColor="text1"/>
          <w:w w:val="110"/>
          <w:sz w:val="20"/>
          <w:lang w:val="uk-UA"/>
        </w:rPr>
        <w:t>стійкості</w:t>
      </w:r>
      <w:r w:rsidRPr="006B6651">
        <w:rPr>
          <w:color w:val="000000" w:themeColor="text1"/>
          <w:w w:val="110"/>
          <w:sz w:val="20"/>
          <w:lang w:val="ru-RU"/>
        </w:rPr>
        <w:t xml:space="preserve"> до рифампіцину, ізоніазиду та фторхінолонів.</w:t>
      </w:r>
      <w:r w:rsidRPr="006B6651">
        <w:rPr>
          <w:color w:val="000000" w:themeColor="text1"/>
          <w:spacing w:val="-10"/>
          <w:w w:val="110"/>
          <w:sz w:val="20"/>
          <w:lang w:val="ru-RU"/>
        </w:rPr>
        <w:t xml:space="preserve"> </w:t>
      </w:r>
      <w:proofErr w:type="spellStart"/>
      <w:r w:rsidRPr="006B6651">
        <w:rPr>
          <w:color w:val="000000" w:themeColor="text1"/>
          <w:w w:val="110"/>
          <w:sz w:val="20"/>
          <w:lang w:val="ru-RU"/>
        </w:rPr>
        <w:t>Однак</w:t>
      </w:r>
      <w:proofErr w:type="spellEnd"/>
      <w:r w:rsidRPr="006B6651">
        <w:rPr>
          <w:color w:val="000000" w:themeColor="text1"/>
          <w:w w:val="110"/>
          <w:sz w:val="20"/>
          <w:lang w:val="ru-RU"/>
        </w:rPr>
        <w:t xml:space="preserve"> </w:t>
      </w:r>
      <w:r w:rsidRPr="007346BD">
        <w:rPr>
          <w:color w:val="000000" w:themeColor="text1"/>
          <w:w w:val="110"/>
          <w:sz w:val="20"/>
          <w:lang w:val="uk-UA"/>
        </w:rPr>
        <w:t>при швидкому проведенні</w:t>
      </w:r>
      <w:r w:rsidRPr="006B6651">
        <w:rPr>
          <w:color w:val="000000" w:themeColor="text1"/>
          <w:w w:val="110"/>
          <w:sz w:val="20"/>
          <w:lang w:val="ru-RU"/>
        </w:rPr>
        <w:t xml:space="preserve"> </w:t>
      </w:r>
      <w:proofErr w:type="spellStart"/>
      <w:r w:rsidRPr="006B6651">
        <w:rPr>
          <w:color w:val="000000" w:themeColor="text1"/>
          <w:w w:val="110"/>
          <w:sz w:val="20"/>
          <w:lang w:val="ru-RU"/>
        </w:rPr>
        <w:t>таргетн</w:t>
      </w:r>
      <w:proofErr w:type="spellEnd"/>
      <w:r w:rsidRPr="007346BD">
        <w:rPr>
          <w:color w:val="000000" w:themeColor="text1"/>
          <w:w w:val="110"/>
          <w:sz w:val="20"/>
          <w:lang w:val="uk-UA"/>
        </w:rPr>
        <w:t>ого</w:t>
      </w:r>
      <w:r w:rsidRPr="006B6651">
        <w:rPr>
          <w:color w:val="000000" w:themeColor="text1"/>
          <w:w w:val="110"/>
          <w:sz w:val="20"/>
          <w:lang w:val="ru-RU"/>
        </w:rPr>
        <w:t xml:space="preserve"> СНП, </w:t>
      </w:r>
      <w:proofErr w:type="spellStart"/>
      <w:r w:rsidRPr="006B6651">
        <w:rPr>
          <w:color w:val="000000" w:themeColor="text1"/>
          <w:w w:val="110"/>
          <w:sz w:val="20"/>
          <w:lang w:val="ru-RU"/>
        </w:rPr>
        <w:t>його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можна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розглядати</w:t>
      </w:r>
      <w:proofErr w:type="spellEnd"/>
      <w:r w:rsidRPr="006B6651">
        <w:rPr>
          <w:color w:val="000000" w:themeColor="text1"/>
          <w:w w:val="110"/>
          <w:sz w:val="20"/>
          <w:lang w:val="ru-RU"/>
        </w:rPr>
        <w:t xml:space="preserve"> як альтернативу для </w:t>
      </w:r>
      <w:r w:rsidRPr="007346BD">
        <w:rPr>
          <w:color w:val="000000" w:themeColor="text1"/>
          <w:w w:val="110"/>
          <w:sz w:val="20"/>
          <w:lang w:val="uk-UA"/>
        </w:rPr>
        <w:t>первинного</w:t>
      </w:r>
      <w:r w:rsidRPr="006B6651">
        <w:rPr>
          <w:color w:val="000000" w:themeColor="text1"/>
          <w:w w:val="110"/>
          <w:sz w:val="20"/>
          <w:lang w:val="ru-RU"/>
        </w:rPr>
        <w:t xml:space="preserve"> </w:t>
      </w:r>
      <w:proofErr w:type="spellStart"/>
      <w:r w:rsidRPr="006B6651">
        <w:rPr>
          <w:color w:val="000000" w:themeColor="text1"/>
          <w:w w:val="110"/>
          <w:sz w:val="20"/>
          <w:lang w:val="ru-RU"/>
        </w:rPr>
        <w:t>тестування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пріоритетних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груп</w:t>
      </w:r>
      <w:proofErr w:type="spellEnd"/>
      <w:r w:rsidRPr="006B6651">
        <w:rPr>
          <w:color w:val="000000" w:themeColor="text1"/>
          <w:w w:val="110"/>
          <w:sz w:val="20"/>
          <w:lang w:val="ru-RU"/>
        </w:rPr>
        <w:t>.</w:t>
      </w:r>
      <w:r w:rsidRPr="006B6651">
        <w:rPr>
          <w:color w:val="000000" w:themeColor="text1"/>
          <w:spacing w:val="-24"/>
          <w:w w:val="110"/>
          <w:sz w:val="20"/>
          <w:lang w:val="ru-RU"/>
        </w:rPr>
        <w:t xml:space="preserve"> </w:t>
      </w:r>
      <w:proofErr w:type="spellStart"/>
      <w:r w:rsidRPr="006B6651">
        <w:rPr>
          <w:color w:val="000000" w:themeColor="text1"/>
          <w:w w:val="110"/>
          <w:sz w:val="20"/>
          <w:lang w:val="ru-RU"/>
        </w:rPr>
        <w:t>Найбільше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користі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від</w:t>
      </w:r>
      <w:proofErr w:type="spellEnd"/>
      <w:r w:rsidRPr="006B6651">
        <w:rPr>
          <w:color w:val="000000" w:themeColor="text1"/>
          <w:w w:val="110"/>
          <w:sz w:val="20"/>
          <w:lang w:val="ru-RU"/>
        </w:rPr>
        <w:t xml:space="preserve"> тесту </w:t>
      </w:r>
      <w:proofErr w:type="spellStart"/>
      <w:r w:rsidRPr="006B6651">
        <w:rPr>
          <w:color w:val="000000" w:themeColor="text1"/>
          <w:w w:val="110"/>
          <w:sz w:val="20"/>
          <w:lang w:val="ru-RU"/>
        </w:rPr>
        <w:t>матимуть</w:t>
      </w:r>
      <w:proofErr w:type="spellEnd"/>
      <w:r w:rsidRPr="006B6651">
        <w:rPr>
          <w:color w:val="000000" w:themeColor="text1"/>
          <w:w w:val="110"/>
          <w:sz w:val="20"/>
          <w:lang w:val="ru-RU"/>
        </w:rPr>
        <w:t xml:space="preserve"> особи, </w:t>
      </w:r>
      <w:proofErr w:type="spellStart"/>
      <w:r w:rsidRPr="006B6651">
        <w:rPr>
          <w:color w:val="000000" w:themeColor="text1"/>
          <w:w w:val="110"/>
          <w:sz w:val="20"/>
          <w:lang w:val="ru-RU"/>
        </w:rPr>
        <w:t>яким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потріб</w:t>
      </w:r>
      <w:proofErr w:type="spellEnd"/>
      <w:r w:rsidRPr="007346BD">
        <w:rPr>
          <w:color w:val="000000" w:themeColor="text1"/>
          <w:w w:val="110"/>
          <w:sz w:val="20"/>
          <w:lang w:val="uk-UA"/>
        </w:rPr>
        <w:t>ний</w:t>
      </w:r>
      <w:r w:rsidRPr="006B6651">
        <w:rPr>
          <w:color w:val="000000" w:themeColor="text1"/>
          <w:w w:val="110"/>
          <w:sz w:val="20"/>
          <w:lang w:val="ru-RU"/>
        </w:rPr>
        <w:t xml:space="preserve"> </w:t>
      </w:r>
      <w:proofErr w:type="spellStart"/>
      <w:r w:rsidRPr="006B6651">
        <w:rPr>
          <w:color w:val="000000" w:themeColor="text1"/>
          <w:w w:val="110"/>
          <w:sz w:val="20"/>
          <w:lang w:val="ru-RU"/>
        </w:rPr>
        <w:t>швидк</w:t>
      </w:r>
      <w:r w:rsidRPr="007346BD">
        <w:rPr>
          <w:color w:val="000000" w:themeColor="text1"/>
          <w:w w:val="110"/>
          <w:sz w:val="20"/>
          <w:lang w:val="uk-UA"/>
        </w:rPr>
        <w:t>ий</w:t>
      </w:r>
      <w:proofErr w:type="spellEnd"/>
      <w:r w:rsidRPr="006B6651">
        <w:rPr>
          <w:color w:val="000000" w:themeColor="text1"/>
          <w:w w:val="110"/>
          <w:sz w:val="20"/>
          <w:lang w:val="ru-RU"/>
        </w:rPr>
        <w:t xml:space="preserve"> </w:t>
      </w:r>
      <w:r w:rsidRPr="007346BD">
        <w:rPr>
          <w:color w:val="000000" w:themeColor="text1"/>
          <w:w w:val="110"/>
          <w:sz w:val="20"/>
          <w:lang w:val="uk-UA"/>
        </w:rPr>
        <w:t>та</w:t>
      </w:r>
      <w:r w:rsidRPr="006B6651">
        <w:rPr>
          <w:color w:val="000000" w:themeColor="text1"/>
          <w:w w:val="110"/>
          <w:sz w:val="20"/>
          <w:lang w:val="ru-RU"/>
        </w:rPr>
        <w:t xml:space="preserve"> </w:t>
      </w:r>
      <w:proofErr w:type="spellStart"/>
      <w:r w:rsidRPr="006B6651">
        <w:rPr>
          <w:color w:val="000000" w:themeColor="text1"/>
          <w:w w:val="110"/>
          <w:sz w:val="20"/>
          <w:lang w:val="ru-RU"/>
        </w:rPr>
        <w:t>комплексн</w:t>
      </w:r>
      <w:r w:rsidRPr="007346BD">
        <w:rPr>
          <w:color w:val="000000" w:themeColor="text1"/>
          <w:w w:val="110"/>
          <w:sz w:val="20"/>
          <w:lang w:val="uk-UA"/>
        </w:rPr>
        <w:t>ий</w:t>
      </w:r>
      <w:proofErr w:type="spellEnd"/>
      <w:r w:rsidRPr="006B6651">
        <w:rPr>
          <w:color w:val="000000" w:themeColor="text1"/>
          <w:w w:val="110"/>
          <w:sz w:val="20"/>
          <w:lang w:val="ru-RU"/>
        </w:rPr>
        <w:t xml:space="preserve"> ТМЧ, </w:t>
      </w:r>
      <w:proofErr w:type="spellStart"/>
      <w:r w:rsidRPr="006B6651">
        <w:rPr>
          <w:color w:val="000000" w:themeColor="text1"/>
          <w:w w:val="110"/>
          <w:sz w:val="20"/>
          <w:lang w:val="ru-RU"/>
        </w:rPr>
        <w:t>але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мають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обмежений</w:t>
      </w:r>
      <w:proofErr w:type="spellEnd"/>
      <w:r w:rsidRPr="006B6651">
        <w:rPr>
          <w:color w:val="000000" w:themeColor="text1"/>
          <w:w w:val="110"/>
          <w:sz w:val="20"/>
          <w:lang w:val="ru-RU"/>
        </w:rPr>
        <w:t xml:space="preserve"> доступ до </w:t>
      </w:r>
      <w:proofErr w:type="spellStart"/>
      <w:r w:rsidRPr="006B6651">
        <w:rPr>
          <w:color w:val="000000" w:themeColor="text1"/>
          <w:w w:val="110"/>
          <w:sz w:val="20"/>
          <w:lang w:val="ru-RU"/>
        </w:rPr>
        <w:t>фенотипового</w:t>
      </w:r>
      <w:proofErr w:type="spellEnd"/>
      <w:r w:rsidRPr="006B6651">
        <w:rPr>
          <w:color w:val="000000" w:themeColor="text1"/>
          <w:w w:val="110"/>
          <w:sz w:val="20"/>
          <w:lang w:val="ru-RU"/>
        </w:rPr>
        <w:t xml:space="preserve"> ТМЧ.</w:t>
      </w:r>
    </w:p>
    <w:p w14:paraId="5BB217FE" w14:textId="77777777" w:rsidR="00FE76F9" w:rsidRPr="006B6651" w:rsidRDefault="00FE76F9" w:rsidP="004A2937">
      <w:pPr>
        <w:pStyle w:val="a4"/>
        <w:numPr>
          <w:ilvl w:val="0"/>
          <w:numId w:val="50"/>
        </w:numPr>
        <w:tabs>
          <w:tab w:val="left" w:pos="2127"/>
        </w:tabs>
        <w:spacing w:before="6" w:line="276" w:lineRule="auto"/>
        <w:ind w:left="1134" w:right="146"/>
        <w:rPr>
          <w:color w:val="000000" w:themeColor="text1"/>
          <w:sz w:val="20"/>
          <w:lang w:val="ru-RU"/>
        </w:rPr>
      </w:pPr>
      <w:proofErr w:type="spellStart"/>
      <w:r w:rsidRPr="006B6651">
        <w:rPr>
          <w:color w:val="000000" w:themeColor="text1"/>
          <w:w w:val="110"/>
          <w:sz w:val="20"/>
          <w:lang w:val="ru-RU"/>
        </w:rPr>
        <w:t>Пріоритет</w:t>
      </w:r>
      <w:proofErr w:type="spellEnd"/>
      <w:r w:rsidRPr="006B6651">
        <w:rPr>
          <w:color w:val="000000" w:themeColor="text1"/>
          <w:w w:val="110"/>
          <w:sz w:val="20"/>
          <w:lang w:val="ru-RU"/>
        </w:rPr>
        <w:t xml:space="preserve"> </w:t>
      </w:r>
      <w:r w:rsidRPr="007346BD">
        <w:rPr>
          <w:color w:val="000000" w:themeColor="text1"/>
          <w:w w:val="110"/>
          <w:sz w:val="20"/>
          <w:lang w:val="uk-UA"/>
        </w:rPr>
        <w:t xml:space="preserve">потрібно </w:t>
      </w:r>
      <w:proofErr w:type="spellStart"/>
      <w:r w:rsidRPr="006B6651">
        <w:rPr>
          <w:color w:val="000000" w:themeColor="text1"/>
          <w:w w:val="110"/>
          <w:sz w:val="20"/>
          <w:lang w:val="ru-RU"/>
        </w:rPr>
        <w:t>надавати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зразкам</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високим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бактеріальним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навантаженням</w:t>
      </w:r>
      <w:proofErr w:type="spellEnd"/>
      <w:r w:rsidRPr="006B6651">
        <w:rPr>
          <w:color w:val="000000" w:themeColor="text1"/>
          <w:w w:val="110"/>
          <w:sz w:val="20"/>
          <w:lang w:val="ru-RU"/>
        </w:rPr>
        <w:t xml:space="preserve"> відповідно до </w:t>
      </w:r>
      <w:r w:rsidRPr="007346BD">
        <w:rPr>
          <w:color w:val="000000" w:themeColor="text1"/>
          <w:w w:val="110"/>
          <w:sz w:val="20"/>
          <w:lang w:val="uk-UA"/>
        </w:rPr>
        <w:t>первинних</w:t>
      </w:r>
      <w:r w:rsidRPr="006B6651">
        <w:rPr>
          <w:color w:val="000000" w:themeColor="text1"/>
          <w:w w:val="110"/>
          <w:sz w:val="20"/>
          <w:lang w:val="ru-RU"/>
        </w:rPr>
        <w:t xml:space="preserve"> </w:t>
      </w:r>
      <w:proofErr w:type="spellStart"/>
      <w:r w:rsidRPr="006B6651">
        <w:rPr>
          <w:color w:val="000000" w:themeColor="text1"/>
          <w:w w:val="110"/>
          <w:sz w:val="20"/>
          <w:lang w:val="ru-RU"/>
        </w:rPr>
        <w:t>бактеріологічних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тестів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наприклад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напівкількісна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оцінка</w:t>
      </w:r>
      <w:proofErr w:type="spellEnd"/>
      <w:r w:rsidRPr="006B6651">
        <w:rPr>
          <w:color w:val="000000" w:themeColor="text1"/>
          <w:w w:val="110"/>
          <w:sz w:val="20"/>
          <w:lang w:val="ru-RU"/>
        </w:rPr>
        <w:t xml:space="preserve"> «висок</w:t>
      </w:r>
      <w:r w:rsidRPr="007346BD">
        <w:rPr>
          <w:color w:val="000000" w:themeColor="text1"/>
          <w:w w:val="110"/>
          <w:sz w:val="20"/>
          <w:lang w:val="uk-UA"/>
        </w:rPr>
        <w:t>е</w:t>
      </w:r>
      <w:r w:rsidRPr="006B6651">
        <w:rPr>
          <w:color w:val="000000" w:themeColor="text1"/>
          <w:w w:val="110"/>
          <w:sz w:val="20"/>
          <w:lang w:val="ru-RU"/>
        </w:rPr>
        <w:t>/</w:t>
      </w:r>
      <w:proofErr w:type="spellStart"/>
      <w:r w:rsidRPr="006B6651">
        <w:rPr>
          <w:color w:val="000000" w:themeColor="text1"/>
          <w:w w:val="110"/>
          <w:sz w:val="20"/>
          <w:lang w:val="ru-RU"/>
        </w:rPr>
        <w:t>середн</w:t>
      </w:r>
      <w:proofErr w:type="spellEnd"/>
      <w:r w:rsidRPr="007346BD">
        <w:rPr>
          <w:color w:val="000000" w:themeColor="text1"/>
          <w:w w:val="110"/>
          <w:sz w:val="20"/>
          <w:lang w:val="uk-UA"/>
        </w:rPr>
        <w:t>є</w:t>
      </w:r>
      <w:r w:rsidRPr="006B6651">
        <w:rPr>
          <w:color w:val="000000" w:themeColor="text1"/>
          <w:w w:val="110"/>
          <w:sz w:val="20"/>
          <w:lang w:val="ru-RU"/>
        </w:rPr>
        <w:t xml:space="preserve">» або позитивна </w:t>
      </w:r>
      <w:proofErr w:type="spellStart"/>
      <w:r w:rsidRPr="006B6651">
        <w:rPr>
          <w:color w:val="000000" w:themeColor="text1"/>
          <w:w w:val="110"/>
          <w:sz w:val="20"/>
          <w:lang w:val="ru-RU"/>
        </w:rPr>
        <w:t>мікроскопія</w:t>
      </w:r>
      <w:proofErr w:type="spellEnd"/>
      <w:r w:rsidRPr="006B6651">
        <w:rPr>
          <w:color w:val="000000" w:themeColor="text1"/>
          <w:w w:val="110"/>
          <w:sz w:val="20"/>
          <w:lang w:val="ru-RU"/>
        </w:rPr>
        <w:t xml:space="preserve"> мазка).</w:t>
      </w:r>
      <w:r w:rsidRPr="007346BD">
        <w:rPr>
          <w:color w:val="000000" w:themeColor="text1"/>
          <w:w w:val="110"/>
          <w:sz w:val="20"/>
          <w:lang w:val="uk-UA"/>
        </w:rPr>
        <w:t xml:space="preserve"> </w:t>
      </w:r>
      <w:r w:rsidRPr="006B6651">
        <w:rPr>
          <w:color w:val="000000" w:themeColor="text1"/>
          <w:w w:val="110"/>
          <w:sz w:val="20"/>
          <w:lang w:val="uk-UA"/>
        </w:rPr>
        <w:t>У випадках із низьким навантаженням (наприклад, «низьк</w:t>
      </w:r>
      <w:r w:rsidRPr="007346BD">
        <w:rPr>
          <w:color w:val="000000" w:themeColor="text1"/>
          <w:w w:val="110"/>
          <w:sz w:val="20"/>
          <w:lang w:val="uk-UA"/>
        </w:rPr>
        <w:t>е</w:t>
      </w:r>
      <w:r w:rsidRPr="006B6651">
        <w:rPr>
          <w:color w:val="000000" w:themeColor="text1"/>
          <w:w w:val="110"/>
          <w:sz w:val="20"/>
          <w:lang w:val="uk-UA"/>
        </w:rPr>
        <w:t>/дуже низьк</w:t>
      </w:r>
      <w:r w:rsidRPr="007346BD">
        <w:rPr>
          <w:color w:val="000000" w:themeColor="text1"/>
          <w:w w:val="110"/>
          <w:sz w:val="20"/>
          <w:lang w:val="uk-UA"/>
        </w:rPr>
        <w:t>е</w:t>
      </w:r>
      <w:r w:rsidRPr="006B6651">
        <w:rPr>
          <w:color w:val="000000" w:themeColor="text1"/>
          <w:w w:val="110"/>
          <w:sz w:val="20"/>
          <w:lang w:val="uk-UA"/>
        </w:rPr>
        <w:t>/слідові кількості» або негативна мікроскопія), рекомендації залишаються чинними, хоча ймовірність отримання невизначених результатів є вищою</w:t>
      </w:r>
      <w:r w:rsidRPr="007346BD">
        <w:rPr>
          <w:color w:val="000000" w:themeColor="text1"/>
          <w:w w:val="110"/>
          <w:sz w:val="20"/>
          <w:lang w:val="uk-UA"/>
        </w:rPr>
        <w:t>. О</w:t>
      </w:r>
      <w:proofErr w:type="spellStart"/>
      <w:r w:rsidRPr="006B6651">
        <w:rPr>
          <w:color w:val="000000" w:themeColor="text1"/>
          <w:w w:val="110"/>
          <w:sz w:val="20"/>
          <w:lang w:val="ru-RU"/>
        </w:rPr>
        <w:t>тже</w:t>
      </w:r>
      <w:proofErr w:type="spellEnd"/>
      <w:r w:rsidRPr="006B6651">
        <w:rPr>
          <w:color w:val="000000" w:themeColor="text1"/>
          <w:w w:val="110"/>
          <w:sz w:val="20"/>
          <w:lang w:val="ru-RU"/>
        </w:rPr>
        <w:t xml:space="preserve">, для таких </w:t>
      </w:r>
      <w:proofErr w:type="spellStart"/>
      <w:r w:rsidRPr="006B6651">
        <w:rPr>
          <w:color w:val="000000" w:themeColor="text1"/>
          <w:w w:val="110"/>
          <w:sz w:val="20"/>
          <w:lang w:val="ru-RU"/>
        </w:rPr>
        <w:t>зразків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ймовірно</w:t>
      </w:r>
      <w:proofErr w:type="spellEnd"/>
      <w:r w:rsidRPr="006B6651">
        <w:rPr>
          <w:color w:val="000000" w:themeColor="text1"/>
          <w:w w:val="110"/>
          <w:sz w:val="20"/>
          <w:lang w:val="ru-RU"/>
        </w:rPr>
        <w:t xml:space="preserve">, все </w:t>
      </w:r>
      <w:r w:rsidRPr="007346BD">
        <w:rPr>
          <w:color w:val="000000" w:themeColor="text1"/>
          <w:w w:val="110"/>
          <w:sz w:val="20"/>
          <w:lang w:val="uk-UA"/>
        </w:rPr>
        <w:t>ж</w:t>
      </w:r>
      <w:r w:rsidRPr="006B6651">
        <w:rPr>
          <w:color w:val="000000" w:themeColor="text1"/>
          <w:w w:val="110"/>
          <w:sz w:val="20"/>
          <w:lang w:val="ru-RU"/>
        </w:rPr>
        <w:t xml:space="preserve"> </w:t>
      </w:r>
      <w:proofErr w:type="spellStart"/>
      <w:r w:rsidRPr="006B6651">
        <w:rPr>
          <w:color w:val="000000" w:themeColor="text1"/>
          <w:w w:val="110"/>
          <w:sz w:val="20"/>
          <w:lang w:val="ru-RU"/>
        </w:rPr>
        <w:t>потрібно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виконувати</w:t>
      </w:r>
      <w:proofErr w:type="spellEnd"/>
      <w:r w:rsidRPr="006B6651">
        <w:rPr>
          <w:color w:val="000000" w:themeColor="text1"/>
          <w:w w:val="110"/>
          <w:sz w:val="20"/>
          <w:lang w:val="ru-RU"/>
        </w:rPr>
        <w:t xml:space="preserve"> фенотипов</w:t>
      </w:r>
      <w:proofErr w:type="spellStart"/>
      <w:r w:rsidRPr="007346BD">
        <w:rPr>
          <w:color w:val="000000" w:themeColor="text1"/>
          <w:w w:val="110"/>
          <w:sz w:val="20"/>
          <w:lang w:val="uk-UA"/>
        </w:rPr>
        <w:t>ий</w:t>
      </w:r>
      <w:proofErr w:type="spellEnd"/>
      <w:r w:rsidRPr="006B6651">
        <w:rPr>
          <w:color w:val="000000" w:themeColor="text1"/>
          <w:w w:val="110"/>
          <w:sz w:val="20"/>
          <w:lang w:val="ru-RU"/>
        </w:rPr>
        <w:t xml:space="preserve"> ТМЧ.</w:t>
      </w:r>
    </w:p>
    <w:p w14:paraId="5A4F5A17" w14:textId="77777777" w:rsidR="00FE76F9" w:rsidRPr="006B6651" w:rsidRDefault="00FE76F9" w:rsidP="004A2937">
      <w:pPr>
        <w:pStyle w:val="a4"/>
        <w:numPr>
          <w:ilvl w:val="0"/>
          <w:numId w:val="50"/>
        </w:numPr>
        <w:tabs>
          <w:tab w:val="left" w:pos="2127"/>
        </w:tabs>
        <w:spacing w:before="7" w:line="276" w:lineRule="auto"/>
        <w:ind w:left="1134" w:right="146"/>
        <w:rPr>
          <w:color w:val="000000" w:themeColor="text1"/>
          <w:sz w:val="20"/>
          <w:lang w:val="ru-RU"/>
        </w:rPr>
      </w:pPr>
      <w:proofErr w:type="spellStart"/>
      <w:r w:rsidRPr="006B6651">
        <w:rPr>
          <w:color w:val="000000" w:themeColor="text1"/>
          <w:w w:val="110"/>
          <w:sz w:val="20"/>
          <w:lang w:val="ru-RU"/>
        </w:rPr>
        <w:t>Аналогічно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ці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рекомендації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застосовуються</w:t>
      </w:r>
      <w:proofErr w:type="spellEnd"/>
      <w:r w:rsidRPr="006B6651">
        <w:rPr>
          <w:color w:val="000000" w:themeColor="text1"/>
          <w:w w:val="110"/>
          <w:sz w:val="20"/>
          <w:lang w:val="ru-RU"/>
        </w:rPr>
        <w:t xml:space="preserve"> до </w:t>
      </w:r>
      <w:proofErr w:type="spellStart"/>
      <w:r w:rsidRPr="006B6651">
        <w:rPr>
          <w:color w:val="000000" w:themeColor="text1"/>
          <w:w w:val="110"/>
          <w:sz w:val="20"/>
          <w:lang w:val="ru-RU"/>
        </w:rPr>
        <w:t>дітей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підлітків</w:t>
      </w:r>
      <w:proofErr w:type="spellEnd"/>
      <w:r w:rsidRPr="006B6651">
        <w:rPr>
          <w:color w:val="000000" w:themeColor="text1"/>
          <w:w w:val="110"/>
          <w:sz w:val="20"/>
          <w:lang w:val="ru-RU"/>
        </w:rPr>
        <w:t xml:space="preserve"> і людей, </w:t>
      </w:r>
      <w:proofErr w:type="spellStart"/>
      <w:r w:rsidRPr="006B6651">
        <w:rPr>
          <w:color w:val="000000" w:themeColor="text1"/>
          <w:w w:val="110"/>
          <w:sz w:val="20"/>
          <w:lang w:val="ru-RU"/>
        </w:rPr>
        <w:t>які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живуть</w:t>
      </w:r>
      <w:proofErr w:type="spellEnd"/>
      <w:r w:rsidRPr="006B6651">
        <w:rPr>
          <w:color w:val="000000" w:themeColor="text1"/>
          <w:w w:val="110"/>
          <w:sz w:val="20"/>
          <w:lang w:val="ru-RU"/>
        </w:rPr>
        <w:t xml:space="preserve"> з ВІЛ, </w:t>
      </w:r>
      <w:proofErr w:type="spellStart"/>
      <w:r w:rsidRPr="006B6651">
        <w:rPr>
          <w:color w:val="000000" w:themeColor="text1"/>
          <w:w w:val="110"/>
          <w:sz w:val="20"/>
          <w:lang w:val="ru-RU"/>
        </w:rPr>
        <w:t>оскільки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серед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цих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груп</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частіше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зустрічаються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зразки</w:t>
      </w:r>
      <w:proofErr w:type="spellEnd"/>
      <w:r w:rsidRPr="006B6651">
        <w:rPr>
          <w:color w:val="000000" w:themeColor="text1"/>
          <w:w w:val="110"/>
          <w:sz w:val="20"/>
          <w:lang w:val="ru-RU"/>
        </w:rPr>
        <w:t xml:space="preserve"> з </w:t>
      </w:r>
      <w:proofErr w:type="spellStart"/>
      <w:r w:rsidRPr="006B6651">
        <w:rPr>
          <w:color w:val="000000" w:themeColor="text1"/>
          <w:w w:val="110"/>
          <w:sz w:val="20"/>
          <w:lang w:val="ru-RU"/>
        </w:rPr>
        <w:t>низьким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бактеріальним</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навантаженням</w:t>
      </w:r>
      <w:proofErr w:type="spellEnd"/>
      <w:r w:rsidRPr="006B6651">
        <w:rPr>
          <w:color w:val="000000" w:themeColor="text1"/>
          <w:w w:val="110"/>
          <w:sz w:val="20"/>
          <w:lang w:val="ru-RU"/>
        </w:rPr>
        <w:t>.</w:t>
      </w:r>
    </w:p>
    <w:p w14:paraId="314016FF" w14:textId="77777777" w:rsidR="00FE76F9" w:rsidRPr="006B6651" w:rsidRDefault="00FE76F9" w:rsidP="004A2937">
      <w:pPr>
        <w:pStyle w:val="a4"/>
        <w:numPr>
          <w:ilvl w:val="0"/>
          <w:numId w:val="50"/>
        </w:numPr>
        <w:tabs>
          <w:tab w:val="left" w:pos="2127"/>
        </w:tabs>
        <w:spacing w:before="2" w:line="276" w:lineRule="auto"/>
        <w:ind w:left="1134" w:right="146"/>
        <w:rPr>
          <w:color w:val="000000" w:themeColor="text1"/>
          <w:sz w:val="20"/>
          <w:lang w:val="ru-RU"/>
        </w:rPr>
      </w:pPr>
      <w:proofErr w:type="spellStart"/>
      <w:r w:rsidRPr="006B6651">
        <w:rPr>
          <w:color w:val="000000" w:themeColor="text1"/>
          <w:w w:val="110"/>
          <w:sz w:val="20"/>
          <w:lang w:val="ru-RU"/>
        </w:rPr>
        <w:t>Рекомендація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базується</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даних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отриманих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мокротиння</w:t>
      </w:r>
      <w:proofErr w:type="spellEnd"/>
      <w:r w:rsidRPr="006B6651">
        <w:rPr>
          <w:color w:val="000000" w:themeColor="text1"/>
          <w:w w:val="110"/>
          <w:sz w:val="20"/>
          <w:lang w:val="ru-RU"/>
        </w:rPr>
        <w:t xml:space="preserve"> і </w:t>
      </w:r>
      <w:r w:rsidRPr="007346BD">
        <w:rPr>
          <w:color w:val="000000" w:themeColor="text1"/>
          <w:w w:val="110"/>
          <w:sz w:val="20"/>
          <w:lang w:val="uk-UA"/>
        </w:rPr>
        <w:t>БАЛ</w:t>
      </w:r>
      <w:r w:rsidRPr="006B6651">
        <w:rPr>
          <w:color w:val="000000" w:themeColor="text1"/>
          <w:w w:val="110"/>
          <w:sz w:val="20"/>
          <w:lang w:val="ru-RU"/>
        </w:rPr>
        <w:t xml:space="preserve">, і </w:t>
      </w:r>
      <w:proofErr w:type="spellStart"/>
      <w:r w:rsidRPr="006B6651">
        <w:rPr>
          <w:color w:val="000000" w:themeColor="text1"/>
          <w:w w:val="110"/>
          <w:sz w:val="20"/>
          <w:lang w:val="ru-RU"/>
        </w:rPr>
        <w:t>може</w:t>
      </w:r>
      <w:proofErr w:type="spellEnd"/>
      <w:r w:rsidRPr="006B6651">
        <w:rPr>
          <w:color w:val="000000" w:themeColor="text1"/>
          <w:w w:val="110"/>
          <w:sz w:val="20"/>
          <w:lang w:val="ru-RU"/>
        </w:rPr>
        <w:t xml:space="preserve"> бути </w:t>
      </w:r>
      <w:proofErr w:type="spellStart"/>
      <w:r w:rsidRPr="006B6651">
        <w:rPr>
          <w:color w:val="000000" w:themeColor="text1"/>
          <w:w w:val="110"/>
          <w:sz w:val="20"/>
          <w:lang w:val="ru-RU"/>
        </w:rPr>
        <w:t>поширена</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інші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нижніх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дихальних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шляхів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наприклад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ендотрахеальний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аспірат</w:t>
      </w:r>
      <w:proofErr w:type="spellEnd"/>
      <w:r w:rsidRPr="006B6651">
        <w:rPr>
          <w:color w:val="000000" w:themeColor="text1"/>
          <w:w w:val="110"/>
          <w:sz w:val="20"/>
          <w:lang w:val="ru-RU"/>
        </w:rPr>
        <w:t>).</w:t>
      </w:r>
      <w:r w:rsidRPr="007346BD">
        <w:rPr>
          <w:color w:val="000000" w:themeColor="text1"/>
          <w:w w:val="110"/>
          <w:sz w:val="20"/>
          <w:lang w:val="uk-UA"/>
        </w:rPr>
        <w:t xml:space="preserve"> </w:t>
      </w:r>
      <w:proofErr w:type="spellStart"/>
      <w:r w:rsidRPr="006B6651">
        <w:rPr>
          <w:color w:val="000000" w:themeColor="text1"/>
          <w:w w:val="110"/>
          <w:sz w:val="20"/>
          <w:lang w:val="ru-RU"/>
        </w:rPr>
        <w:t>Однак</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необхідні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подальші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дослідження</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оцінки</w:t>
      </w:r>
      <w:proofErr w:type="spellEnd"/>
      <w:r w:rsidRPr="006B6651">
        <w:rPr>
          <w:color w:val="000000" w:themeColor="text1"/>
          <w:w w:val="110"/>
          <w:sz w:val="20"/>
          <w:lang w:val="ru-RU"/>
        </w:rPr>
        <w:t xml:space="preserve"> використання </w:t>
      </w:r>
      <w:proofErr w:type="spellStart"/>
      <w:r w:rsidRPr="006B6651">
        <w:rPr>
          <w:color w:val="000000" w:themeColor="text1"/>
          <w:w w:val="110"/>
          <w:sz w:val="20"/>
          <w:lang w:val="ru-RU"/>
        </w:rPr>
        <w:t>цих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тестів</w:t>
      </w:r>
      <w:proofErr w:type="spellEnd"/>
      <w:r w:rsidRPr="006B6651">
        <w:rPr>
          <w:color w:val="000000" w:themeColor="text1"/>
          <w:w w:val="110"/>
          <w:sz w:val="20"/>
          <w:lang w:val="ru-RU"/>
        </w:rPr>
        <w:t xml:space="preserve"> на </w:t>
      </w:r>
      <w:proofErr w:type="spellStart"/>
      <w:r w:rsidRPr="006B6651">
        <w:rPr>
          <w:color w:val="000000" w:themeColor="text1"/>
          <w:w w:val="110"/>
          <w:sz w:val="20"/>
          <w:lang w:val="ru-RU"/>
        </w:rPr>
        <w:t>альтернативних</w:t>
      </w:r>
      <w:proofErr w:type="spellEnd"/>
      <w:r w:rsidRPr="006B6651">
        <w:rPr>
          <w:color w:val="000000" w:themeColor="text1"/>
          <w:w w:val="110"/>
          <w:sz w:val="20"/>
          <w:lang w:val="ru-RU"/>
        </w:rPr>
        <w:t xml:space="preserve"> типах </w:t>
      </w:r>
      <w:proofErr w:type="spellStart"/>
      <w:r w:rsidRPr="006B6651">
        <w:rPr>
          <w:color w:val="000000" w:themeColor="text1"/>
          <w:w w:val="110"/>
          <w:sz w:val="20"/>
          <w:lang w:val="ru-RU"/>
        </w:rPr>
        <w:t>зразків</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діагностики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легеневого</w:t>
      </w:r>
      <w:proofErr w:type="spellEnd"/>
      <w:r w:rsidRPr="006B6651">
        <w:rPr>
          <w:color w:val="000000" w:themeColor="text1"/>
          <w:w w:val="110"/>
          <w:sz w:val="20"/>
          <w:lang w:val="ru-RU"/>
        </w:rPr>
        <w:t xml:space="preserve"> ТБ у </w:t>
      </w:r>
      <w:proofErr w:type="spellStart"/>
      <w:r w:rsidRPr="006B6651">
        <w:rPr>
          <w:color w:val="000000" w:themeColor="text1"/>
          <w:w w:val="110"/>
          <w:sz w:val="20"/>
          <w:lang w:val="ru-RU"/>
        </w:rPr>
        <w:t>дітей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наприклад</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носоглотковий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аспірат</w:t>
      </w:r>
      <w:proofErr w:type="spellEnd"/>
      <w:r w:rsidRPr="006B6651">
        <w:rPr>
          <w:color w:val="000000" w:themeColor="text1"/>
          <w:w w:val="110"/>
          <w:sz w:val="20"/>
          <w:lang w:val="ru-RU"/>
        </w:rPr>
        <w:t xml:space="preserve"> і кал) і </w:t>
      </w:r>
      <w:proofErr w:type="spellStart"/>
      <w:r w:rsidRPr="006B6651">
        <w:rPr>
          <w:color w:val="000000" w:themeColor="text1"/>
          <w:w w:val="110"/>
          <w:sz w:val="20"/>
          <w:lang w:val="ru-RU"/>
        </w:rPr>
        <w:t>діагностики</w:t>
      </w:r>
      <w:proofErr w:type="spellEnd"/>
      <w:r w:rsidRPr="006B6651">
        <w:rPr>
          <w:color w:val="000000" w:themeColor="text1"/>
          <w:w w:val="110"/>
          <w:sz w:val="20"/>
          <w:lang w:val="ru-RU"/>
        </w:rPr>
        <w:t xml:space="preserve"> позалегеневого ТБ.</w:t>
      </w:r>
    </w:p>
    <w:p w14:paraId="02BF0B08" w14:textId="77777777" w:rsidR="00FE76F9" w:rsidRPr="006B6651" w:rsidRDefault="00FE76F9" w:rsidP="004A2937">
      <w:pPr>
        <w:pStyle w:val="a4"/>
        <w:numPr>
          <w:ilvl w:val="0"/>
          <w:numId w:val="50"/>
        </w:numPr>
        <w:tabs>
          <w:tab w:val="left" w:pos="2127"/>
        </w:tabs>
        <w:spacing w:before="6" w:line="276" w:lineRule="auto"/>
        <w:ind w:left="1134" w:right="146"/>
        <w:rPr>
          <w:color w:val="000000" w:themeColor="text1"/>
          <w:w w:val="110"/>
          <w:sz w:val="20"/>
          <w:lang w:val="uk-UA"/>
        </w:rPr>
      </w:pPr>
      <w:proofErr w:type="spellStart"/>
      <w:r w:rsidRPr="006B6651">
        <w:rPr>
          <w:color w:val="000000" w:themeColor="text1"/>
          <w:w w:val="110"/>
          <w:sz w:val="20"/>
          <w:lang w:val="ru-RU"/>
        </w:rPr>
        <w:t>Оскільки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чутливість</w:t>
      </w:r>
      <w:proofErr w:type="spellEnd"/>
      <w:r w:rsidRPr="006B6651">
        <w:rPr>
          <w:color w:val="000000" w:themeColor="text1"/>
          <w:w w:val="110"/>
          <w:sz w:val="20"/>
          <w:lang w:val="ru-RU"/>
        </w:rPr>
        <w:t xml:space="preserve"> тесту до виявлення </w:t>
      </w:r>
      <w:r w:rsidRPr="007346BD">
        <w:rPr>
          <w:color w:val="000000" w:themeColor="text1"/>
          <w:w w:val="110"/>
          <w:sz w:val="20"/>
          <w:lang w:val="uk-UA"/>
        </w:rPr>
        <w:t>стійкості</w:t>
      </w:r>
      <w:r w:rsidRPr="006B6651">
        <w:rPr>
          <w:color w:val="000000" w:themeColor="text1"/>
          <w:w w:val="110"/>
          <w:sz w:val="20"/>
          <w:lang w:val="ru-RU"/>
        </w:rPr>
        <w:t xml:space="preserve"> до бедаквіліну, лінезоліду та клофазиміну є </w:t>
      </w:r>
      <w:proofErr w:type="spellStart"/>
      <w:r w:rsidRPr="006B6651">
        <w:rPr>
          <w:color w:val="000000" w:themeColor="text1"/>
          <w:w w:val="110"/>
          <w:sz w:val="20"/>
          <w:lang w:val="ru-RU"/>
        </w:rPr>
        <w:t>недостатньою</w:t>
      </w:r>
      <w:proofErr w:type="spellEnd"/>
      <w:r w:rsidRPr="006B6651">
        <w:rPr>
          <w:color w:val="000000" w:themeColor="text1"/>
          <w:w w:val="110"/>
          <w:sz w:val="20"/>
          <w:lang w:val="ru-RU"/>
        </w:rPr>
        <w:t xml:space="preserve">, під час </w:t>
      </w:r>
      <w:proofErr w:type="spellStart"/>
      <w:r w:rsidRPr="006B6651">
        <w:rPr>
          <w:color w:val="000000" w:themeColor="text1"/>
          <w:w w:val="110"/>
          <w:sz w:val="20"/>
          <w:lang w:val="ru-RU"/>
        </w:rPr>
        <w:t>інтерпретації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результатів</w:t>
      </w:r>
      <w:proofErr w:type="spellEnd"/>
      <w:r w:rsidRPr="006B6651">
        <w:rPr>
          <w:color w:val="000000" w:themeColor="text1"/>
          <w:w w:val="110"/>
          <w:sz w:val="20"/>
          <w:lang w:val="ru-RU"/>
        </w:rPr>
        <w:t xml:space="preserve"> </w:t>
      </w:r>
      <w:r w:rsidRPr="007346BD">
        <w:rPr>
          <w:color w:val="000000" w:themeColor="text1"/>
          <w:w w:val="110"/>
          <w:sz w:val="20"/>
          <w:lang w:val="uk-UA"/>
        </w:rPr>
        <w:t>таргетного СНП</w:t>
      </w:r>
      <w:r w:rsidRPr="006B6651">
        <w:rPr>
          <w:color w:val="000000" w:themeColor="text1"/>
          <w:w w:val="110"/>
          <w:sz w:val="20"/>
          <w:lang w:val="ru-RU"/>
        </w:rPr>
        <w:t xml:space="preserve"> для </w:t>
      </w:r>
      <w:proofErr w:type="spellStart"/>
      <w:r w:rsidRPr="006B6651">
        <w:rPr>
          <w:color w:val="000000" w:themeColor="text1"/>
          <w:w w:val="110"/>
          <w:sz w:val="20"/>
          <w:lang w:val="ru-RU"/>
        </w:rPr>
        <w:t>цих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препаратів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важливо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враховувати</w:t>
      </w:r>
      <w:proofErr w:type="spellEnd"/>
      <w:r w:rsidRPr="006B6651">
        <w:rPr>
          <w:color w:val="000000" w:themeColor="text1"/>
          <w:w w:val="110"/>
          <w:sz w:val="20"/>
          <w:lang w:val="ru-RU"/>
        </w:rPr>
        <w:t xml:space="preserve"> </w:t>
      </w:r>
      <w:proofErr w:type="spellStart"/>
      <w:r w:rsidRPr="007346BD">
        <w:rPr>
          <w:color w:val="000000" w:themeColor="text1"/>
          <w:w w:val="110"/>
          <w:sz w:val="20"/>
          <w:lang w:val="uk-UA"/>
        </w:rPr>
        <w:t>передтестову</w:t>
      </w:r>
      <w:proofErr w:type="spellEnd"/>
      <w:r w:rsidRPr="007346BD">
        <w:rPr>
          <w:color w:val="000000" w:themeColor="text1"/>
          <w:w w:val="110"/>
          <w:sz w:val="20"/>
          <w:lang w:val="uk-UA"/>
        </w:rPr>
        <w:t xml:space="preserve"> </w:t>
      </w:r>
      <w:proofErr w:type="spellStart"/>
      <w:r w:rsidRPr="006B6651">
        <w:rPr>
          <w:color w:val="000000" w:themeColor="text1"/>
          <w:w w:val="110"/>
          <w:sz w:val="20"/>
          <w:lang w:val="ru-RU"/>
        </w:rPr>
        <w:t>ймовірність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наявності</w:t>
      </w:r>
      <w:proofErr w:type="spellEnd"/>
      <w:r w:rsidRPr="006B6651">
        <w:rPr>
          <w:color w:val="000000" w:themeColor="text1"/>
          <w:w w:val="110"/>
          <w:sz w:val="20"/>
          <w:lang w:val="ru-RU"/>
        </w:rPr>
        <w:t xml:space="preserve"> </w:t>
      </w:r>
      <w:r w:rsidRPr="007346BD">
        <w:rPr>
          <w:color w:val="000000" w:themeColor="text1"/>
          <w:w w:val="110"/>
          <w:sz w:val="20"/>
          <w:lang w:val="uk-UA"/>
        </w:rPr>
        <w:t>стійкості</w:t>
      </w:r>
      <w:r w:rsidRPr="006B6651">
        <w:rPr>
          <w:color w:val="000000" w:themeColor="text1"/>
          <w:w w:val="110"/>
          <w:sz w:val="20"/>
          <w:lang w:val="ru-RU"/>
        </w:rPr>
        <w:t>.</w:t>
      </w:r>
      <w:r w:rsidRPr="007346BD">
        <w:rPr>
          <w:color w:val="000000" w:themeColor="text1"/>
          <w:w w:val="110"/>
          <w:sz w:val="20"/>
          <w:lang w:val="uk-UA"/>
        </w:rPr>
        <w:t xml:space="preserve"> </w:t>
      </w:r>
      <w:proofErr w:type="spellStart"/>
      <w:r w:rsidRPr="006B6651">
        <w:rPr>
          <w:color w:val="000000" w:themeColor="text1"/>
          <w:w w:val="110"/>
          <w:sz w:val="20"/>
          <w:lang w:val="ru-RU"/>
        </w:rPr>
        <w:t>Додаткове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тестування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які</w:t>
      </w:r>
      <w:proofErr w:type="spellEnd"/>
      <w:r w:rsidRPr="006B6651">
        <w:rPr>
          <w:color w:val="000000" w:themeColor="text1"/>
          <w:w w:val="110"/>
          <w:sz w:val="20"/>
          <w:lang w:val="ru-RU"/>
        </w:rPr>
        <w:t xml:space="preserve"> показали </w:t>
      </w:r>
      <w:proofErr w:type="spellStart"/>
      <w:r w:rsidRPr="006B6651">
        <w:rPr>
          <w:color w:val="000000" w:themeColor="text1"/>
          <w:w w:val="110"/>
          <w:sz w:val="20"/>
          <w:lang w:val="ru-RU"/>
        </w:rPr>
        <w:t>чутливість</w:t>
      </w:r>
      <w:proofErr w:type="spellEnd"/>
      <w:r w:rsidRPr="006B6651">
        <w:rPr>
          <w:color w:val="000000" w:themeColor="text1"/>
          <w:w w:val="110"/>
          <w:sz w:val="20"/>
          <w:lang w:val="ru-RU"/>
        </w:rPr>
        <w:t xml:space="preserve"> (за </w:t>
      </w:r>
      <w:proofErr w:type="spellStart"/>
      <w:r w:rsidRPr="006B6651">
        <w:rPr>
          <w:color w:val="000000" w:themeColor="text1"/>
          <w:w w:val="110"/>
          <w:sz w:val="20"/>
          <w:lang w:val="ru-RU"/>
        </w:rPr>
        <w:t>допомогою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фенотипового</w:t>
      </w:r>
      <w:proofErr w:type="spellEnd"/>
      <w:r w:rsidRPr="006B6651">
        <w:rPr>
          <w:color w:val="000000" w:themeColor="text1"/>
          <w:w w:val="110"/>
          <w:sz w:val="20"/>
          <w:lang w:val="ru-RU"/>
        </w:rPr>
        <w:t xml:space="preserve"> ТМЧ</w:t>
      </w:r>
      <w:r w:rsidRPr="007346BD">
        <w:rPr>
          <w:color w:val="000000" w:themeColor="text1"/>
          <w:w w:val="110"/>
          <w:sz w:val="20"/>
          <w:lang w:val="uk-UA"/>
        </w:rPr>
        <w:t xml:space="preserve"> на основі культуральних методів</w:t>
      </w:r>
      <w:r w:rsidRPr="006B6651">
        <w:rPr>
          <w:color w:val="000000" w:themeColor="text1"/>
          <w:w w:val="110"/>
          <w:sz w:val="20"/>
          <w:lang w:val="ru-RU"/>
        </w:rPr>
        <w:t xml:space="preserve">) буде </w:t>
      </w:r>
      <w:proofErr w:type="spellStart"/>
      <w:r w:rsidRPr="006B6651">
        <w:rPr>
          <w:color w:val="000000" w:themeColor="text1"/>
          <w:w w:val="110"/>
          <w:sz w:val="20"/>
          <w:lang w:val="ru-RU"/>
        </w:rPr>
        <w:t>доцільним</w:t>
      </w:r>
      <w:proofErr w:type="spellEnd"/>
      <w:r w:rsidRPr="006B6651">
        <w:rPr>
          <w:color w:val="000000" w:themeColor="text1"/>
          <w:w w:val="110"/>
          <w:sz w:val="20"/>
          <w:lang w:val="ru-RU"/>
        </w:rPr>
        <w:t xml:space="preserve">, особливо </w:t>
      </w:r>
      <w:r w:rsidRPr="007346BD">
        <w:rPr>
          <w:color w:val="000000" w:themeColor="text1"/>
          <w:w w:val="110"/>
          <w:sz w:val="20"/>
          <w:lang w:val="uk-UA"/>
        </w:rPr>
        <w:t xml:space="preserve">коли є </w:t>
      </w:r>
      <w:r w:rsidRPr="006B6651">
        <w:rPr>
          <w:color w:val="000000" w:themeColor="text1"/>
          <w:w w:val="110"/>
          <w:sz w:val="20"/>
          <w:lang w:val="ru-RU"/>
        </w:rPr>
        <w:t>висок</w:t>
      </w:r>
      <w:proofErr w:type="spellStart"/>
      <w:r w:rsidRPr="007346BD">
        <w:rPr>
          <w:color w:val="000000" w:themeColor="text1"/>
          <w:w w:val="110"/>
          <w:sz w:val="20"/>
          <w:lang w:val="uk-UA"/>
        </w:rPr>
        <w:t>ий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ризик</w:t>
      </w:r>
      <w:proofErr w:type="spellEnd"/>
      <w:r w:rsidRPr="006B6651">
        <w:rPr>
          <w:color w:val="000000" w:themeColor="text1"/>
          <w:w w:val="110"/>
          <w:sz w:val="20"/>
          <w:lang w:val="ru-RU"/>
        </w:rPr>
        <w:t xml:space="preserve"> </w:t>
      </w:r>
      <w:r w:rsidRPr="007346BD">
        <w:rPr>
          <w:color w:val="000000" w:themeColor="text1"/>
          <w:w w:val="110"/>
          <w:sz w:val="20"/>
          <w:lang w:val="uk-UA"/>
        </w:rPr>
        <w:t>стійкості</w:t>
      </w:r>
      <w:r w:rsidRPr="006B6651">
        <w:rPr>
          <w:color w:val="000000" w:themeColor="text1"/>
          <w:w w:val="110"/>
          <w:sz w:val="20"/>
          <w:lang w:val="ru-RU"/>
        </w:rPr>
        <w:t>.</w:t>
      </w:r>
      <w:r w:rsidRPr="007346BD">
        <w:rPr>
          <w:color w:val="000000" w:themeColor="text1"/>
          <w:w w:val="110"/>
          <w:sz w:val="20"/>
          <w:lang w:val="uk-UA"/>
        </w:rPr>
        <w:t xml:space="preserve"> </w:t>
      </w:r>
      <w:proofErr w:type="spellStart"/>
      <w:r w:rsidRPr="006B6651">
        <w:rPr>
          <w:color w:val="000000" w:themeColor="text1"/>
          <w:w w:val="110"/>
          <w:sz w:val="20"/>
          <w:lang w:val="ru-RU"/>
        </w:rPr>
        <w:t>Оскільки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специфічність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висока</w:t>
      </w:r>
      <w:proofErr w:type="spellEnd"/>
      <w:r w:rsidRPr="006B6651">
        <w:rPr>
          <w:color w:val="000000" w:themeColor="text1"/>
          <w:w w:val="110"/>
          <w:sz w:val="20"/>
          <w:lang w:val="ru-RU"/>
        </w:rPr>
        <w:t xml:space="preserve">, результат,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свідчить</w:t>
      </w:r>
      <w:proofErr w:type="spellEnd"/>
      <w:r w:rsidRPr="006B6651">
        <w:rPr>
          <w:color w:val="000000" w:themeColor="text1"/>
          <w:w w:val="110"/>
          <w:sz w:val="20"/>
          <w:lang w:val="ru-RU"/>
        </w:rPr>
        <w:t xml:space="preserve"> про </w:t>
      </w:r>
      <w:r w:rsidRPr="007346BD">
        <w:rPr>
          <w:color w:val="000000" w:themeColor="text1"/>
          <w:w w:val="110"/>
          <w:sz w:val="20"/>
          <w:lang w:val="uk-UA"/>
        </w:rPr>
        <w:t>стійкість</w:t>
      </w:r>
      <w:r w:rsidRPr="006B6651">
        <w:rPr>
          <w:color w:val="000000" w:themeColor="text1"/>
          <w:w w:val="110"/>
          <w:sz w:val="20"/>
          <w:lang w:val="ru-RU"/>
        </w:rPr>
        <w:t xml:space="preserve">, </w:t>
      </w:r>
      <w:proofErr w:type="spellStart"/>
      <w:r w:rsidRPr="006B6651">
        <w:rPr>
          <w:color w:val="000000" w:themeColor="text1"/>
          <w:w w:val="110"/>
          <w:sz w:val="20"/>
          <w:lang w:val="ru-RU"/>
        </w:rPr>
        <w:t>може</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використовуватись</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підбору</w:t>
      </w:r>
      <w:proofErr w:type="spellEnd"/>
      <w:r w:rsidRPr="006B6651">
        <w:rPr>
          <w:color w:val="000000" w:themeColor="text1"/>
          <w:w w:val="110"/>
          <w:sz w:val="20"/>
          <w:lang w:val="ru-RU"/>
        </w:rPr>
        <w:t xml:space="preserve"> </w:t>
      </w:r>
      <w:r w:rsidRPr="007346BD">
        <w:rPr>
          <w:color w:val="000000" w:themeColor="text1"/>
          <w:w w:val="110"/>
          <w:sz w:val="20"/>
          <w:lang w:val="uk-UA"/>
        </w:rPr>
        <w:t>лікування</w:t>
      </w:r>
      <w:r w:rsidRPr="006B6651">
        <w:rPr>
          <w:color w:val="000000" w:themeColor="text1"/>
          <w:w w:val="110"/>
          <w:sz w:val="20"/>
          <w:lang w:val="ru-RU"/>
        </w:rPr>
        <w:t xml:space="preserve">, особливо у </w:t>
      </w:r>
      <w:proofErr w:type="spellStart"/>
      <w:r w:rsidRPr="006B6651">
        <w:rPr>
          <w:color w:val="000000" w:themeColor="text1"/>
          <w:w w:val="110"/>
          <w:sz w:val="20"/>
          <w:lang w:val="ru-RU"/>
        </w:rPr>
        <w:t>випадках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високого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ризику</w:t>
      </w:r>
      <w:proofErr w:type="spellEnd"/>
      <w:r w:rsidRPr="006B6651">
        <w:rPr>
          <w:color w:val="000000" w:themeColor="text1"/>
          <w:w w:val="110"/>
          <w:sz w:val="20"/>
          <w:lang w:val="ru-RU"/>
        </w:rPr>
        <w:t xml:space="preserve"> </w:t>
      </w:r>
      <w:r w:rsidRPr="007346BD">
        <w:rPr>
          <w:color w:val="000000" w:themeColor="text1"/>
          <w:w w:val="110"/>
          <w:sz w:val="20"/>
          <w:lang w:val="uk-UA"/>
        </w:rPr>
        <w:t>стійкості</w:t>
      </w:r>
      <w:r w:rsidRPr="006B6651">
        <w:rPr>
          <w:color w:val="000000" w:themeColor="text1"/>
          <w:w w:val="110"/>
          <w:sz w:val="20"/>
          <w:lang w:val="ru-RU"/>
        </w:rPr>
        <w:t>.</w:t>
      </w:r>
      <w:r w:rsidRPr="007346BD">
        <w:rPr>
          <w:color w:val="000000" w:themeColor="text1"/>
          <w:w w:val="110"/>
          <w:sz w:val="20"/>
          <w:lang w:val="uk-UA"/>
        </w:rPr>
        <w:t xml:space="preserve"> </w:t>
      </w:r>
      <w:r w:rsidRPr="006B6651">
        <w:rPr>
          <w:color w:val="000000" w:themeColor="text1"/>
          <w:w w:val="110"/>
          <w:sz w:val="20"/>
          <w:lang w:val="uk-UA"/>
        </w:rPr>
        <w:t xml:space="preserve">У випадку з </w:t>
      </w:r>
      <w:proofErr w:type="spellStart"/>
      <w:r w:rsidRPr="006B6651">
        <w:rPr>
          <w:color w:val="000000" w:themeColor="text1"/>
          <w:w w:val="110"/>
          <w:sz w:val="20"/>
          <w:lang w:val="uk-UA"/>
        </w:rPr>
        <w:t>претоманідом</w:t>
      </w:r>
      <w:proofErr w:type="spellEnd"/>
      <w:r w:rsidRPr="006B6651">
        <w:rPr>
          <w:color w:val="000000" w:themeColor="text1"/>
          <w:w w:val="110"/>
          <w:sz w:val="20"/>
          <w:lang w:val="uk-UA"/>
        </w:rPr>
        <w:t xml:space="preserve"> механізми </w:t>
      </w:r>
      <w:r w:rsidRPr="007346BD">
        <w:rPr>
          <w:color w:val="000000" w:themeColor="text1"/>
          <w:w w:val="110"/>
          <w:sz w:val="20"/>
          <w:lang w:val="uk-UA"/>
        </w:rPr>
        <w:t>стійкості</w:t>
      </w:r>
      <w:r w:rsidRPr="006B6651">
        <w:rPr>
          <w:color w:val="000000" w:themeColor="text1"/>
          <w:w w:val="110"/>
          <w:sz w:val="20"/>
          <w:lang w:val="uk-UA"/>
        </w:rPr>
        <w:t xml:space="preserve"> ще повністю не вивчені, тому також потрібен </w:t>
      </w:r>
      <w:proofErr w:type="spellStart"/>
      <w:r w:rsidRPr="006B6651">
        <w:rPr>
          <w:color w:val="000000" w:themeColor="text1"/>
          <w:w w:val="110"/>
          <w:sz w:val="20"/>
          <w:lang w:val="uk-UA"/>
        </w:rPr>
        <w:t>фенотиповий</w:t>
      </w:r>
      <w:proofErr w:type="spellEnd"/>
      <w:r w:rsidRPr="006B6651">
        <w:rPr>
          <w:color w:val="000000" w:themeColor="text1"/>
          <w:w w:val="110"/>
          <w:sz w:val="20"/>
          <w:lang w:val="uk-UA"/>
        </w:rPr>
        <w:t xml:space="preserve"> ТМЧ для цього препарату.</w:t>
      </w:r>
    </w:p>
    <w:p w14:paraId="7616F5F0" w14:textId="77777777" w:rsidR="00FE76F9" w:rsidRPr="006B6651" w:rsidRDefault="00FE76F9" w:rsidP="00FE76F9">
      <w:pPr>
        <w:widowControl/>
        <w:autoSpaceDE/>
        <w:autoSpaceDN/>
        <w:spacing w:after="160" w:line="259" w:lineRule="auto"/>
        <w:rPr>
          <w:color w:val="000000" w:themeColor="text1"/>
          <w:w w:val="110"/>
          <w:sz w:val="20"/>
          <w:lang w:val="uk-UA"/>
        </w:rPr>
      </w:pPr>
      <w:r w:rsidRPr="006B6651">
        <w:rPr>
          <w:color w:val="000000" w:themeColor="text1"/>
          <w:w w:val="110"/>
          <w:sz w:val="20"/>
          <w:lang w:val="uk-UA"/>
        </w:rPr>
        <w:br w:type="page"/>
      </w:r>
    </w:p>
    <w:p w14:paraId="360F81A9" w14:textId="77777777" w:rsidR="00FE76F9" w:rsidRPr="006B6651" w:rsidRDefault="00FE76F9" w:rsidP="00FE76F9">
      <w:pPr>
        <w:pStyle w:val="5"/>
        <w:spacing w:before="62"/>
        <w:rPr>
          <w:lang w:val="uk-UA"/>
        </w:rPr>
      </w:pPr>
      <w:r w:rsidRPr="006B6651">
        <w:rPr>
          <w:color w:val="019648"/>
          <w:w w:val="110"/>
          <w:lang w:val="uk-UA"/>
        </w:rPr>
        <w:lastRenderedPageBreak/>
        <w:t>Пріоритети досліджень</w:t>
      </w:r>
    </w:p>
    <w:p w14:paraId="0BEDFBA0" w14:textId="77777777" w:rsidR="00FE76F9" w:rsidRPr="006B6651" w:rsidRDefault="00FE76F9" w:rsidP="0061310B">
      <w:pPr>
        <w:pStyle w:val="a3"/>
        <w:spacing w:before="209" w:line="276" w:lineRule="auto"/>
        <w:ind w:left="567" w:right="4"/>
        <w:jc w:val="both"/>
        <w:rPr>
          <w:color w:val="000000" w:themeColor="text1"/>
          <w:sz w:val="20"/>
          <w:lang w:val="uk-UA"/>
        </w:rPr>
      </w:pPr>
      <w:r w:rsidRPr="006B6651">
        <w:rPr>
          <w:color w:val="000000" w:themeColor="text1"/>
          <w:w w:val="110"/>
          <w:sz w:val="20"/>
          <w:lang w:val="uk-UA"/>
        </w:rPr>
        <w:t>Кілька ключових пріоритетів</w:t>
      </w:r>
      <w:r w:rsidRPr="007346BD">
        <w:rPr>
          <w:color w:val="000000" w:themeColor="text1"/>
          <w:w w:val="110"/>
          <w:sz w:val="20"/>
          <w:lang w:val="uk-UA"/>
        </w:rPr>
        <w:t xml:space="preserve"> досліджень</w:t>
      </w:r>
      <w:r w:rsidRPr="006B6651">
        <w:rPr>
          <w:color w:val="000000" w:themeColor="text1"/>
          <w:w w:val="110"/>
          <w:sz w:val="20"/>
          <w:lang w:val="uk-UA"/>
        </w:rPr>
        <w:t xml:space="preserve"> були визначені під час огляду наявних доказів щодо використання таргетного СНП для виявлення лікарської стійкості ТБ. Вони поділяються на три основні категорії: клінічні дослідження, дослідження з впровадження та моніторинг і оцінка.</w:t>
      </w:r>
    </w:p>
    <w:p w14:paraId="43DAEAB0" w14:textId="77777777" w:rsidR="00FE76F9" w:rsidRPr="00A816CE" w:rsidRDefault="00FE76F9" w:rsidP="00FE76F9">
      <w:pPr>
        <w:pStyle w:val="7"/>
        <w:spacing w:before="176"/>
        <w:rPr>
          <w:rFonts w:ascii="Microsoft Sans Serif" w:hAnsi="Microsoft Sans Serif" w:cs="Microsoft Sans Serif"/>
        </w:rPr>
      </w:pPr>
      <w:proofErr w:type="spellStart"/>
      <w:r w:rsidRPr="00595828">
        <w:rPr>
          <w:rFonts w:ascii="Microsoft Sans Serif" w:hAnsi="Microsoft Sans Serif" w:cs="Microsoft Sans Serif"/>
          <w:color w:val="019648"/>
          <w:w w:val="105"/>
        </w:rPr>
        <w:t>Клінічні</w:t>
      </w:r>
      <w:proofErr w:type="spellEnd"/>
      <w:r w:rsidRPr="00595828">
        <w:rPr>
          <w:rFonts w:ascii="Microsoft Sans Serif" w:hAnsi="Microsoft Sans Serif" w:cs="Microsoft Sans Serif"/>
          <w:color w:val="019648"/>
          <w:w w:val="105"/>
        </w:rPr>
        <w:t xml:space="preserve"> </w:t>
      </w:r>
      <w:proofErr w:type="spellStart"/>
      <w:r w:rsidRPr="00595828">
        <w:rPr>
          <w:rFonts w:ascii="Microsoft Sans Serif" w:hAnsi="Microsoft Sans Serif" w:cs="Microsoft Sans Serif"/>
          <w:color w:val="019648"/>
          <w:w w:val="105"/>
        </w:rPr>
        <w:t>дослідження</w:t>
      </w:r>
      <w:proofErr w:type="spellEnd"/>
      <w:r w:rsidRPr="00595828">
        <w:rPr>
          <w:rFonts w:ascii="Microsoft Sans Serif" w:hAnsi="Microsoft Sans Serif" w:cs="Microsoft Sans Serif"/>
          <w:color w:val="019648"/>
          <w:w w:val="105"/>
        </w:rPr>
        <w:t>:</w:t>
      </w:r>
    </w:p>
    <w:p w14:paraId="406A394E" w14:textId="77777777" w:rsidR="00FE76F9" w:rsidRPr="006B6651" w:rsidRDefault="00FE76F9" w:rsidP="004A2937">
      <w:pPr>
        <w:pStyle w:val="a4"/>
        <w:numPr>
          <w:ilvl w:val="0"/>
          <w:numId w:val="50"/>
        </w:numPr>
        <w:tabs>
          <w:tab w:val="left" w:pos="2268"/>
        </w:tabs>
        <w:spacing w:before="213"/>
        <w:ind w:left="1134" w:right="6"/>
        <w:rPr>
          <w:color w:val="000000" w:themeColor="text1"/>
          <w:sz w:val="20"/>
          <w:szCs w:val="20"/>
          <w:lang w:val="ru-RU"/>
        </w:rPr>
      </w:pPr>
      <w:r w:rsidRPr="006B6651">
        <w:rPr>
          <w:color w:val="000000" w:themeColor="text1"/>
          <w:spacing w:val="-3"/>
          <w:w w:val="110"/>
          <w:sz w:val="20"/>
          <w:szCs w:val="20"/>
          <w:lang w:val="ru-RU"/>
        </w:rPr>
        <w:t xml:space="preserve">Провести </w:t>
      </w:r>
      <w:proofErr w:type="spellStart"/>
      <w:r w:rsidRPr="006B6651">
        <w:rPr>
          <w:color w:val="000000" w:themeColor="text1"/>
          <w:spacing w:val="-3"/>
          <w:w w:val="110"/>
          <w:sz w:val="20"/>
          <w:szCs w:val="20"/>
          <w:lang w:val="ru-RU"/>
        </w:rPr>
        <w:t>клінічні</w:t>
      </w:r>
      <w:proofErr w:type="spellEnd"/>
      <w:r w:rsidRPr="006B6651">
        <w:rPr>
          <w:color w:val="000000" w:themeColor="text1"/>
          <w:spacing w:val="-3"/>
          <w:w w:val="110"/>
          <w:sz w:val="20"/>
          <w:szCs w:val="20"/>
          <w:lang w:val="ru-RU"/>
        </w:rPr>
        <w:t xml:space="preserve"> </w:t>
      </w:r>
      <w:r w:rsidRPr="007346BD">
        <w:rPr>
          <w:color w:val="000000" w:themeColor="text1"/>
          <w:spacing w:val="-3"/>
          <w:w w:val="110"/>
          <w:sz w:val="20"/>
          <w:szCs w:val="20"/>
          <w:lang w:val="uk-UA"/>
        </w:rPr>
        <w:t>дослідження</w:t>
      </w:r>
      <w:r w:rsidRPr="006B6651">
        <w:rPr>
          <w:color w:val="000000" w:themeColor="text1"/>
          <w:spacing w:val="-3"/>
          <w:w w:val="110"/>
          <w:sz w:val="20"/>
          <w:szCs w:val="20"/>
          <w:lang w:val="ru-RU"/>
        </w:rPr>
        <w:t xml:space="preserve"> для </w:t>
      </w:r>
      <w:proofErr w:type="spellStart"/>
      <w:r w:rsidRPr="006B6651">
        <w:rPr>
          <w:color w:val="000000" w:themeColor="text1"/>
          <w:spacing w:val="-3"/>
          <w:w w:val="110"/>
          <w:sz w:val="20"/>
          <w:szCs w:val="20"/>
          <w:lang w:val="ru-RU"/>
        </w:rPr>
        <w:t>оцінки</w:t>
      </w:r>
      <w:proofErr w:type="spellEnd"/>
      <w:r w:rsidRPr="006B6651">
        <w:rPr>
          <w:color w:val="000000" w:themeColor="text1"/>
          <w:spacing w:val="-3"/>
          <w:w w:val="110"/>
          <w:sz w:val="20"/>
          <w:szCs w:val="20"/>
          <w:lang w:val="ru-RU"/>
        </w:rPr>
        <w:t xml:space="preserve"> </w:t>
      </w:r>
      <w:proofErr w:type="spellStart"/>
      <w:r w:rsidRPr="006B6651">
        <w:rPr>
          <w:color w:val="000000" w:themeColor="text1"/>
          <w:spacing w:val="-3"/>
          <w:w w:val="110"/>
          <w:sz w:val="20"/>
          <w:szCs w:val="20"/>
          <w:lang w:val="ru-RU"/>
        </w:rPr>
        <w:t>впливу</w:t>
      </w:r>
      <w:proofErr w:type="spellEnd"/>
      <w:r w:rsidRPr="006B6651">
        <w:rPr>
          <w:color w:val="000000" w:themeColor="text1"/>
          <w:spacing w:val="-3"/>
          <w:w w:val="110"/>
          <w:sz w:val="20"/>
          <w:szCs w:val="20"/>
          <w:lang w:val="ru-RU"/>
        </w:rPr>
        <w:t xml:space="preserve"> таргетного СНП на </w:t>
      </w:r>
      <w:proofErr w:type="spellStart"/>
      <w:r w:rsidRPr="006B6651">
        <w:rPr>
          <w:color w:val="000000" w:themeColor="text1"/>
          <w:spacing w:val="-3"/>
          <w:w w:val="110"/>
          <w:sz w:val="20"/>
          <w:szCs w:val="20"/>
          <w:lang w:val="ru-RU"/>
        </w:rPr>
        <w:t>важливі</w:t>
      </w:r>
      <w:proofErr w:type="spellEnd"/>
      <w:r w:rsidRPr="006B6651">
        <w:rPr>
          <w:color w:val="000000" w:themeColor="text1"/>
          <w:spacing w:val="-3"/>
          <w:w w:val="110"/>
          <w:sz w:val="20"/>
          <w:szCs w:val="20"/>
          <w:lang w:val="ru-RU"/>
        </w:rPr>
        <w:t xml:space="preserve"> для </w:t>
      </w:r>
      <w:proofErr w:type="spellStart"/>
      <w:r w:rsidRPr="006B6651">
        <w:rPr>
          <w:color w:val="000000" w:themeColor="text1"/>
          <w:spacing w:val="-3"/>
          <w:w w:val="110"/>
          <w:sz w:val="20"/>
          <w:szCs w:val="20"/>
          <w:lang w:val="ru-RU"/>
        </w:rPr>
        <w:t>пацієнтів</w:t>
      </w:r>
      <w:proofErr w:type="spellEnd"/>
      <w:r w:rsidRPr="006B6651">
        <w:rPr>
          <w:color w:val="000000" w:themeColor="text1"/>
          <w:spacing w:val="-3"/>
          <w:w w:val="110"/>
          <w:sz w:val="20"/>
          <w:szCs w:val="20"/>
          <w:lang w:val="ru-RU"/>
        </w:rPr>
        <w:t xml:space="preserve"> результати¹⁴.</w:t>
      </w:r>
    </w:p>
    <w:p w14:paraId="4625373C" w14:textId="77777777" w:rsidR="00FE76F9" w:rsidRPr="006B6651" w:rsidRDefault="00FE76F9" w:rsidP="004A2937">
      <w:pPr>
        <w:pStyle w:val="a4"/>
        <w:numPr>
          <w:ilvl w:val="0"/>
          <w:numId w:val="50"/>
        </w:numPr>
        <w:tabs>
          <w:tab w:val="left" w:pos="2268"/>
        </w:tabs>
        <w:spacing w:before="42" w:line="276" w:lineRule="auto"/>
        <w:ind w:left="1134" w:right="6"/>
        <w:rPr>
          <w:color w:val="000000" w:themeColor="text1"/>
          <w:sz w:val="20"/>
          <w:szCs w:val="20"/>
          <w:lang w:val="ru-RU"/>
        </w:rPr>
      </w:pPr>
      <w:proofErr w:type="spellStart"/>
      <w:r w:rsidRPr="006B6651">
        <w:rPr>
          <w:color w:val="000000" w:themeColor="text1"/>
          <w:w w:val="110"/>
          <w:sz w:val="20"/>
          <w:szCs w:val="20"/>
          <w:lang w:val="ru-RU"/>
        </w:rPr>
        <w:t>Оцінити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точність</w:t>
      </w:r>
      <w:proofErr w:type="spellEnd"/>
      <w:r w:rsidRPr="006B6651">
        <w:rPr>
          <w:color w:val="000000" w:themeColor="text1"/>
          <w:w w:val="110"/>
          <w:sz w:val="20"/>
          <w:szCs w:val="20"/>
          <w:lang w:val="ru-RU"/>
        </w:rPr>
        <w:t xml:space="preserve"> і </w:t>
      </w:r>
      <w:proofErr w:type="spellStart"/>
      <w:r w:rsidRPr="006B6651">
        <w:rPr>
          <w:color w:val="000000" w:themeColor="text1"/>
          <w:w w:val="110"/>
          <w:sz w:val="20"/>
          <w:szCs w:val="20"/>
          <w:lang w:val="ru-RU"/>
        </w:rPr>
        <w:t>вплив</w:t>
      </w:r>
      <w:proofErr w:type="spellEnd"/>
      <w:r w:rsidRPr="006B6651">
        <w:rPr>
          <w:color w:val="000000" w:themeColor="text1"/>
          <w:w w:val="110"/>
          <w:sz w:val="20"/>
          <w:szCs w:val="20"/>
          <w:lang w:val="ru-RU"/>
        </w:rPr>
        <w:t xml:space="preserve"> на </w:t>
      </w:r>
      <w:proofErr w:type="spellStart"/>
      <w:r w:rsidRPr="006B6651">
        <w:rPr>
          <w:color w:val="000000" w:themeColor="text1"/>
          <w:w w:val="110"/>
          <w:sz w:val="20"/>
          <w:szCs w:val="20"/>
          <w:lang w:val="ru-RU"/>
        </w:rPr>
        <w:t>важливі</w:t>
      </w:r>
      <w:proofErr w:type="spellEnd"/>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пацієнтів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результати</w:t>
      </w:r>
      <w:proofErr w:type="spellEnd"/>
      <w:r w:rsidRPr="006B6651">
        <w:rPr>
          <w:color w:val="000000" w:themeColor="text1"/>
          <w:w w:val="110"/>
          <w:sz w:val="20"/>
          <w:szCs w:val="20"/>
          <w:lang w:val="ru-RU"/>
        </w:rPr>
        <w:t xml:space="preserve"> таргетного СНП </w:t>
      </w:r>
      <w:proofErr w:type="spellStart"/>
      <w:r w:rsidRPr="006B6651">
        <w:rPr>
          <w:color w:val="000000" w:themeColor="text1"/>
          <w:w w:val="110"/>
          <w:sz w:val="20"/>
          <w:szCs w:val="20"/>
          <w:lang w:val="ru-RU"/>
        </w:rPr>
        <w:t>серед</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осіб</w:t>
      </w:r>
      <w:proofErr w:type="spellEnd"/>
      <w:r w:rsidRPr="006B6651">
        <w:rPr>
          <w:color w:val="000000" w:themeColor="text1"/>
          <w:w w:val="110"/>
          <w:sz w:val="20"/>
          <w:szCs w:val="20"/>
          <w:lang w:val="ru-RU"/>
        </w:rPr>
        <w:t xml:space="preserve"> із </w:t>
      </w:r>
      <w:proofErr w:type="spellStart"/>
      <w:r w:rsidRPr="006B6651">
        <w:rPr>
          <w:color w:val="000000" w:themeColor="text1"/>
          <w:w w:val="110"/>
          <w:sz w:val="20"/>
          <w:szCs w:val="20"/>
          <w:lang w:val="ru-RU"/>
        </w:rPr>
        <w:t>підтвердженим</w:t>
      </w:r>
      <w:proofErr w:type="spellEnd"/>
      <w:r w:rsidRPr="006B6651">
        <w:rPr>
          <w:color w:val="000000" w:themeColor="text1"/>
          <w:w w:val="110"/>
          <w:sz w:val="20"/>
          <w:szCs w:val="20"/>
          <w:lang w:val="ru-RU"/>
        </w:rPr>
        <w:t xml:space="preserve"> ТБ у </w:t>
      </w:r>
      <w:r>
        <w:rPr>
          <w:color w:val="000000" w:themeColor="text1"/>
          <w:w w:val="110"/>
          <w:sz w:val="20"/>
          <w:szCs w:val="20"/>
          <w:lang w:val="uk-UA"/>
        </w:rPr>
        <w:t>групах</w:t>
      </w:r>
      <w:r w:rsidRPr="006B6651">
        <w:rPr>
          <w:color w:val="000000" w:themeColor="text1"/>
          <w:w w:val="110"/>
          <w:sz w:val="20"/>
          <w:szCs w:val="20"/>
          <w:lang w:val="ru-RU"/>
        </w:rPr>
        <w:t xml:space="preserve"> з </w:t>
      </w:r>
      <w:proofErr w:type="spellStart"/>
      <w:r w:rsidRPr="006B6651">
        <w:rPr>
          <w:color w:val="000000" w:themeColor="text1"/>
          <w:w w:val="110"/>
          <w:sz w:val="20"/>
          <w:szCs w:val="20"/>
          <w:lang w:val="ru-RU"/>
        </w:rPr>
        <w:t>різним</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рівнем</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поширеності</w:t>
      </w:r>
      <w:proofErr w:type="spellEnd"/>
      <w:r w:rsidRPr="006B6651">
        <w:rPr>
          <w:color w:val="000000" w:themeColor="text1"/>
          <w:w w:val="110"/>
          <w:sz w:val="20"/>
          <w:szCs w:val="20"/>
          <w:lang w:val="ru-RU"/>
        </w:rPr>
        <w:t xml:space="preserve"> </w:t>
      </w:r>
      <w:r w:rsidRPr="007346BD">
        <w:rPr>
          <w:color w:val="000000" w:themeColor="text1"/>
          <w:w w:val="110"/>
          <w:sz w:val="20"/>
          <w:szCs w:val="20"/>
          <w:lang w:val="uk-UA"/>
        </w:rPr>
        <w:t>стійкості</w:t>
      </w:r>
      <w:r w:rsidRPr="006B6651">
        <w:rPr>
          <w:color w:val="000000" w:themeColor="text1"/>
          <w:w w:val="110"/>
          <w:sz w:val="20"/>
          <w:szCs w:val="20"/>
          <w:lang w:val="ru-RU"/>
        </w:rPr>
        <w:t xml:space="preserve"> до рифампіцину або </w:t>
      </w:r>
      <w:proofErr w:type="spellStart"/>
      <w:r w:rsidRPr="006B6651">
        <w:rPr>
          <w:color w:val="000000" w:themeColor="text1"/>
          <w:w w:val="110"/>
          <w:sz w:val="20"/>
          <w:szCs w:val="20"/>
          <w:lang w:val="ru-RU"/>
        </w:rPr>
        <w:t>інших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препаратів</w:t>
      </w:r>
      <w:proofErr w:type="spellEnd"/>
      <w:r w:rsidRPr="006B6651">
        <w:rPr>
          <w:color w:val="000000" w:themeColor="text1"/>
          <w:w w:val="110"/>
          <w:sz w:val="20"/>
          <w:szCs w:val="20"/>
          <w:lang w:val="ru-RU"/>
        </w:rPr>
        <w:t>.</w:t>
      </w:r>
    </w:p>
    <w:p w14:paraId="1CC4C0BB" w14:textId="77777777" w:rsidR="00FE76F9" w:rsidRPr="006B6651" w:rsidRDefault="00FE76F9" w:rsidP="004A2937">
      <w:pPr>
        <w:pStyle w:val="a4"/>
        <w:numPr>
          <w:ilvl w:val="0"/>
          <w:numId w:val="50"/>
        </w:numPr>
        <w:tabs>
          <w:tab w:val="left" w:pos="2268"/>
        </w:tabs>
        <w:spacing w:before="3" w:line="276" w:lineRule="auto"/>
        <w:ind w:left="1134" w:right="6"/>
        <w:rPr>
          <w:color w:val="000000" w:themeColor="text1"/>
          <w:sz w:val="20"/>
          <w:szCs w:val="20"/>
          <w:lang w:val="ru-RU"/>
        </w:rPr>
      </w:pPr>
      <w:proofErr w:type="spellStart"/>
      <w:r w:rsidRPr="006B6651">
        <w:rPr>
          <w:color w:val="000000" w:themeColor="text1"/>
          <w:w w:val="110"/>
          <w:sz w:val="20"/>
          <w:szCs w:val="20"/>
          <w:lang w:val="ru-RU"/>
        </w:rPr>
        <w:t>Оцінити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точність</w:t>
      </w:r>
      <w:proofErr w:type="spellEnd"/>
      <w:r w:rsidRPr="006B6651">
        <w:rPr>
          <w:color w:val="000000" w:themeColor="text1"/>
          <w:w w:val="110"/>
          <w:sz w:val="20"/>
          <w:szCs w:val="20"/>
          <w:lang w:val="ru-RU"/>
        </w:rPr>
        <w:t xml:space="preserve"> і </w:t>
      </w:r>
      <w:proofErr w:type="spellStart"/>
      <w:r w:rsidRPr="006B6651">
        <w:rPr>
          <w:color w:val="000000" w:themeColor="text1"/>
          <w:w w:val="110"/>
          <w:sz w:val="20"/>
          <w:szCs w:val="20"/>
          <w:lang w:val="ru-RU"/>
        </w:rPr>
        <w:t>вплив</w:t>
      </w:r>
      <w:proofErr w:type="spellEnd"/>
      <w:r w:rsidRPr="006B6651">
        <w:rPr>
          <w:color w:val="000000" w:themeColor="text1"/>
          <w:w w:val="110"/>
          <w:sz w:val="20"/>
          <w:szCs w:val="20"/>
          <w:lang w:val="ru-RU"/>
        </w:rPr>
        <w:t xml:space="preserve"> на </w:t>
      </w:r>
      <w:proofErr w:type="spellStart"/>
      <w:r w:rsidRPr="006B6651">
        <w:rPr>
          <w:color w:val="000000" w:themeColor="text1"/>
          <w:w w:val="110"/>
          <w:sz w:val="20"/>
          <w:szCs w:val="20"/>
          <w:lang w:val="ru-RU"/>
        </w:rPr>
        <w:t>важливі</w:t>
      </w:r>
      <w:proofErr w:type="spellEnd"/>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пацієнтів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результати</w:t>
      </w:r>
      <w:proofErr w:type="spellEnd"/>
      <w:r w:rsidRPr="006B6651">
        <w:rPr>
          <w:color w:val="000000" w:themeColor="text1"/>
          <w:w w:val="110"/>
          <w:sz w:val="20"/>
          <w:szCs w:val="20"/>
          <w:lang w:val="ru-RU"/>
        </w:rPr>
        <w:t xml:space="preserve"> таргетного СНП для виявлення </w:t>
      </w:r>
      <w:r w:rsidRPr="007346BD">
        <w:rPr>
          <w:color w:val="000000" w:themeColor="text1"/>
          <w:w w:val="110"/>
          <w:sz w:val="20"/>
          <w:szCs w:val="20"/>
          <w:lang w:val="uk-UA"/>
        </w:rPr>
        <w:t>стійкості</w:t>
      </w:r>
      <w:r w:rsidRPr="006B6651">
        <w:rPr>
          <w:color w:val="000000" w:themeColor="text1"/>
          <w:w w:val="110"/>
          <w:sz w:val="20"/>
          <w:szCs w:val="20"/>
          <w:lang w:val="ru-RU"/>
        </w:rPr>
        <w:t xml:space="preserve"> до </w:t>
      </w:r>
      <w:proofErr w:type="spellStart"/>
      <w:r w:rsidRPr="006B6651">
        <w:rPr>
          <w:color w:val="000000" w:themeColor="text1"/>
          <w:w w:val="110"/>
          <w:sz w:val="20"/>
          <w:szCs w:val="20"/>
          <w:lang w:val="ru-RU"/>
        </w:rPr>
        <w:t>нових</w:t>
      </w:r>
      <w:proofErr w:type="spellEnd"/>
      <w:r w:rsidRPr="006B6651">
        <w:rPr>
          <w:color w:val="000000" w:themeColor="text1"/>
          <w:w w:val="110"/>
          <w:sz w:val="20"/>
          <w:szCs w:val="20"/>
          <w:lang w:val="ru-RU"/>
        </w:rPr>
        <w:t xml:space="preserve"> і </w:t>
      </w:r>
      <w:r w:rsidRPr="007346BD">
        <w:rPr>
          <w:color w:val="000000" w:themeColor="text1"/>
          <w:w w:val="110"/>
          <w:sz w:val="20"/>
          <w:szCs w:val="20"/>
          <w:lang w:val="uk-UA"/>
        </w:rPr>
        <w:t>перепрофільованих</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препаратів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зокрема</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претоманіду</w:t>
      </w:r>
      <w:proofErr w:type="spellEnd"/>
      <w:r w:rsidRPr="006B6651">
        <w:rPr>
          <w:color w:val="000000" w:themeColor="text1"/>
          <w:w w:val="110"/>
          <w:sz w:val="20"/>
          <w:szCs w:val="20"/>
          <w:lang w:val="ru-RU"/>
        </w:rPr>
        <w:t xml:space="preserve">, в </w:t>
      </w:r>
      <w:proofErr w:type="spellStart"/>
      <w:r w:rsidRPr="006B6651">
        <w:rPr>
          <w:color w:val="000000" w:themeColor="text1"/>
          <w:w w:val="110"/>
          <w:sz w:val="20"/>
          <w:szCs w:val="20"/>
          <w:lang w:val="ru-RU"/>
        </w:rPr>
        <w:t>різних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географічних</w:t>
      </w:r>
      <w:proofErr w:type="spellEnd"/>
      <w:r w:rsidRPr="006B6651">
        <w:rPr>
          <w:color w:val="000000" w:themeColor="text1"/>
          <w:w w:val="110"/>
          <w:sz w:val="20"/>
          <w:szCs w:val="20"/>
          <w:lang w:val="ru-RU"/>
        </w:rPr>
        <w:t xml:space="preserve"> </w:t>
      </w:r>
      <w:r>
        <w:rPr>
          <w:color w:val="000000" w:themeColor="text1"/>
          <w:w w:val="110"/>
          <w:sz w:val="20"/>
          <w:szCs w:val="20"/>
          <w:lang w:val="uk-UA"/>
        </w:rPr>
        <w:t>та</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епідеміологічних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умовах</w:t>
      </w:r>
      <w:proofErr w:type="spellEnd"/>
      <w:r w:rsidRPr="006B6651">
        <w:rPr>
          <w:color w:val="000000" w:themeColor="text1"/>
          <w:w w:val="110"/>
          <w:sz w:val="20"/>
          <w:szCs w:val="20"/>
          <w:lang w:val="ru-RU"/>
        </w:rPr>
        <w:t>.</w:t>
      </w:r>
    </w:p>
    <w:p w14:paraId="432287CC" w14:textId="77777777" w:rsidR="00FE76F9" w:rsidRPr="006B6651" w:rsidRDefault="00FE76F9" w:rsidP="004A2937">
      <w:pPr>
        <w:pStyle w:val="a4"/>
        <w:numPr>
          <w:ilvl w:val="0"/>
          <w:numId w:val="50"/>
        </w:numPr>
        <w:tabs>
          <w:tab w:val="left" w:pos="2268"/>
        </w:tabs>
        <w:spacing w:before="4" w:line="276" w:lineRule="auto"/>
        <w:ind w:left="1134" w:right="6"/>
        <w:rPr>
          <w:color w:val="000000" w:themeColor="text1"/>
          <w:sz w:val="20"/>
          <w:szCs w:val="20"/>
          <w:lang w:val="ru-RU"/>
        </w:rPr>
      </w:pPr>
      <w:proofErr w:type="spellStart"/>
      <w:r w:rsidRPr="006B6651">
        <w:rPr>
          <w:color w:val="000000" w:themeColor="text1"/>
          <w:w w:val="110"/>
          <w:sz w:val="20"/>
          <w:szCs w:val="20"/>
          <w:lang w:val="ru-RU"/>
        </w:rPr>
        <w:t>Оцінити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точність</w:t>
      </w:r>
      <w:proofErr w:type="spellEnd"/>
      <w:r w:rsidRPr="006B6651">
        <w:rPr>
          <w:color w:val="000000" w:themeColor="text1"/>
          <w:w w:val="110"/>
          <w:sz w:val="20"/>
          <w:szCs w:val="20"/>
          <w:lang w:val="ru-RU"/>
        </w:rPr>
        <w:t xml:space="preserve"> і </w:t>
      </w:r>
      <w:proofErr w:type="spellStart"/>
      <w:r w:rsidRPr="006B6651">
        <w:rPr>
          <w:color w:val="000000" w:themeColor="text1"/>
          <w:w w:val="110"/>
          <w:sz w:val="20"/>
          <w:szCs w:val="20"/>
          <w:lang w:val="ru-RU"/>
        </w:rPr>
        <w:t>вплив</w:t>
      </w:r>
      <w:proofErr w:type="spellEnd"/>
      <w:r w:rsidRPr="006B6651">
        <w:rPr>
          <w:color w:val="000000" w:themeColor="text1"/>
          <w:w w:val="110"/>
          <w:sz w:val="20"/>
          <w:szCs w:val="20"/>
          <w:lang w:val="ru-RU"/>
        </w:rPr>
        <w:t xml:space="preserve"> таргетного СНП на </w:t>
      </w:r>
      <w:proofErr w:type="spellStart"/>
      <w:r w:rsidRPr="006B6651">
        <w:rPr>
          <w:color w:val="000000" w:themeColor="text1"/>
          <w:w w:val="110"/>
          <w:sz w:val="20"/>
          <w:szCs w:val="20"/>
          <w:lang w:val="ru-RU"/>
        </w:rPr>
        <w:t>результати</w:t>
      </w:r>
      <w:proofErr w:type="spellEnd"/>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пацієнтів</w:t>
      </w:r>
      <w:proofErr w:type="spellEnd"/>
      <w:r w:rsidRPr="006B6651">
        <w:rPr>
          <w:color w:val="000000" w:themeColor="text1"/>
          <w:w w:val="110"/>
          <w:sz w:val="20"/>
          <w:szCs w:val="20"/>
          <w:lang w:val="ru-RU"/>
        </w:rPr>
        <w:t xml:space="preserve"> при </w:t>
      </w:r>
      <w:proofErr w:type="spellStart"/>
      <w:r w:rsidRPr="006B6651">
        <w:rPr>
          <w:color w:val="000000" w:themeColor="text1"/>
          <w:w w:val="110"/>
          <w:sz w:val="20"/>
          <w:szCs w:val="20"/>
          <w:lang w:val="ru-RU"/>
        </w:rPr>
        <w:t>аналізі</w:t>
      </w:r>
      <w:proofErr w:type="spellEnd"/>
      <w:r w:rsidRPr="006B6651">
        <w:rPr>
          <w:color w:val="000000" w:themeColor="text1"/>
          <w:w w:val="110"/>
          <w:sz w:val="20"/>
          <w:szCs w:val="20"/>
          <w:lang w:val="ru-RU"/>
        </w:rPr>
        <w:t xml:space="preserve"> позалегеневих </w:t>
      </w:r>
      <w:proofErr w:type="spellStart"/>
      <w:r w:rsidRPr="006B6651">
        <w:rPr>
          <w:color w:val="000000" w:themeColor="text1"/>
          <w:w w:val="110"/>
          <w:sz w:val="20"/>
          <w:szCs w:val="20"/>
          <w:lang w:val="ru-RU"/>
        </w:rPr>
        <w:t>зразків</w:t>
      </w:r>
      <w:proofErr w:type="spellEnd"/>
      <w:r w:rsidRPr="006B6651">
        <w:rPr>
          <w:color w:val="000000" w:themeColor="text1"/>
          <w:w w:val="110"/>
          <w:sz w:val="20"/>
          <w:szCs w:val="20"/>
          <w:lang w:val="ru-RU"/>
        </w:rPr>
        <w:t xml:space="preserve">, включаючи </w:t>
      </w:r>
      <w:r w:rsidRPr="007346BD">
        <w:rPr>
          <w:color w:val="000000" w:themeColor="text1"/>
          <w:w w:val="110"/>
          <w:sz w:val="20"/>
          <w:szCs w:val="20"/>
          <w:lang w:val="uk-UA"/>
        </w:rPr>
        <w:t>СМР</w:t>
      </w:r>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діагностики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менінгіту</w:t>
      </w:r>
      <w:proofErr w:type="spellEnd"/>
      <w:r w:rsidRPr="006B6651">
        <w:rPr>
          <w:color w:val="000000" w:themeColor="text1"/>
          <w:w w:val="110"/>
          <w:sz w:val="20"/>
          <w:szCs w:val="20"/>
          <w:lang w:val="ru-RU"/>
        </w:rPr>
        <w:t xml:space="preserve">, </w:t>
      </w:r>
      <w:r w:rsidRPr="003213CE">
        <w:rPr>
          <w:color w:val="000000" w:themeColor="text1"/>
          <w:w w:val="110"/>
          <w:sz w:val="20"/>
          <w:szCs w:val="20"/>
          <w:lang w:val="uk-UA"/>
        </w:rPr>
        <w:t>немокротинн</w:t>
      </w:r>
      <w:r>
        <w:rPr>
          <w:color w:val="000000" w:themeColor="text1"/>
          <w:w w:val="110"/>
          <w:sz w:val="20"/>
          <w:szCs w:val="20"/>
          <w:lang w:val="uk-UA"/>
        </w:rPr>
        <w:t>их</w:t>
      </w:r>
      <w:r w:rsidRPr="003213CE">
        <w:rPr>
          <w:color w:val="000000" w:themeColor="text1"/>
          <w:w w:val="110"/>
          <w:sz w:val="20"/>
          <w:szCs w:val="20"/>
          <w:lang w:val="uk-UA"/>
        </w:rPr>
        <w:t xml:space="preserve"> зразк</w:t>
      </w:r>
      <w:r>
        <w:rPr>
          <w:color w:val="000000" w:themeColor="text1"/>
          <w:w w:val="110"/>
          <w:sz w:val="20"/>
          <w:szCs w:val="20"/>
          <w:lang w:val="uk-UA"/>
        </w:rPr>
        <w:t>ів</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наприклад</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носоглотков</w:t>
      </w:r>
      <w:proofErr w:type="spellEnd"/>
      <w:r>
        <w:rPr>
          <w:color w:val="000000" w:themeColor="text1"/>
          <w:w w:val="110"/>
          <w:sz w:val="20"/>
          <w:szCs w:val="20"/>
          <w:lang w:val="uk-UA"/>
        </w:rPr>
        <w:t>ого</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аспірат</w:t>
      </w:r>
      <w:proofErr w:type="spellEnd"/>
      <w:r>
        <w:rPr>
          <w:color w:val="000000" w:themeColor="text1"/>
          <w:w w:val="110"/>
          <w:sz w:val="20"/>
          <w:szCs w:val="20"/>
          <w:lang w:val="uk-UA"/>
        </w:rPr>
        <w:t>у</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шлунков</w:t>
      </w:r>
      <w:proofErr w:type="spellEnd"/>
      <w:r>
        <w:rPr>
          <w:color w:val="000000" w:themeColor="text1"/>
          <w:w w:val="110"/>
          <w:sz w:val="20"/>
          <w:szCs w:val="20"/>
          <w:lang w:val="uk-UA"/>
        </w:rPr>
        <w:t>ого</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аспірат</w:t>
      </w:r>
      <w:proofErr w:type="spellEnd"/>
      <w:r>
        <w:rPr>
          <w:color w:val="000000" w:themeColor="text1"/>
          <w:w w:val="110"/>
          <w:sz w:val="20"/>
          <w:szCs w:val="20"/>
          <w:lang w:val="uk-UA"/>
        </w:rPr>
        <w:t>у</w:t>
      </w:r>
      <w:r w:rsidRPr="006B6651">
        <w:rPr>
          <w:color w:val="000000" w:themeColor="text1"/>
          <w:w w:val="110"/>
          <w:sz w:val="20"/>
          <w:szCs w:val="20"/>
          <w:lang w:val="ru-RU"/>
        </w:rPr>
        <w:t xml:space="preserve"> або кал</w:t>
      </w:r>
      <w:r>
        <w:rPr>
          <w:color w:val="000000" w:themeColor="text1"/>
          <w:w w:val="110"/>
          <w:sz w:val="20"/>
          <w:szCs w:val="20"/>
          <w:lang w:val="uk-UA"/>
        </w:rPr>
        <w:t>у</w:t>
      </w:r>
      <w:r w:rsidRPr="006B6651">
        <w:rPr>
          <w:color w:val="000000" w:themeColor="text1"/>
          <w:w w:val="110"/>
          <w:sz w:val="20"/>
          <w:szCs w:val="20"/>
          <w:lang w:val="ru-RU"/>
        </w:rPr>
        <w:t xml:space="preserve">) для </w:t>
      </w:r>
      <w:proofErr w:type="spellStart"/>
      <w:r w:rsidRPr="006B6651">
        <w:rPr>
          <w:color w:val="000000" w:themeColor="text1"/>
          <w:w w:val="110"/>
          <w:sz w:val="20"/>
          <w:szCs w:val="20"/>
          <w:lang w:val="ru-RU"/>
        </w:rPr>
        <w:t>дітей</w:t>
      </w:r>
      <w:proofErr w:type="spellEnd"/>
      <w:r w:rsidRPr="006B6651">
        <w:rPr>
          <w:color w:val="000000" w:themeColor="text1"/>
          <w:w w:val="110"/>
          <w:sz w:val="20"/>
          <w:szCs w:val="20"/>
          <w:lang w:val="ru-RU"/>
        </w:rPr>
        <w:t xml:space="preserve">, а також </w:t>
      </w:r>
      <w:proofErr w:type="spellStart"/>
      <w:r w:rsidRPr="006B6651">
        <w:rPr>
          <w:color w:val="000000" w:themeColor="text1"/>
          <w:w w:val="110"/>
          <w:sz w:val="20"/>
          <w:szCs w:val="20"/>
          <w:lang w:val="ru-RU"/>
        </w:rPr>
        <w:t>альтернативних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типів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зразків</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наприклад</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мазк</w:t>
      </w:r>
      <w:proofErr w:type="spellEnd"/>
      <w:r>
        <w:rPr>
          <w:color w:val="000000" w:themeColor="text1"/>
          <w:w w:val="110"/>
          <w:sz w:val="20"/>
          <w:szCs w:val="20"/>
          <w:lang w:val="uk-UA"/>
        </w:rPr>
        <w:t>а</w:t>
      </w:r>
      <w:r w:rsidRPr="006B6651">
        <w:rPr>
          <w:color w:val="000000" w:themeColor="text1"/>
          <w:w w:val="110"/>
          <w:sz w:val="20"/>
          <w:szCs w:val="20"/>
          <w:lang w:val="ru-RU"/>
        </w:rPr>
        <w:t xml:space="preserve"> з </w:t>
      </w:r>
      <w:proofErr w:type="spellStart"/>
      <w:r w:rsidRPr="006B6651">
        <w:rPr>
          <w:color w:val="000000" w:themeColor="text1"/>
          <w:w w:val="110"/>
          <w:sz w:val="20"/>
          <w:szCs w:val="20"/>
          <w:lang w:val="ru-RU"/>
        </w:rPr>
        <w:t>язика</w:t>
      </w:r>
      <w:proofErr w:type="spellEnd"/>
      <w:r w:rsidRPr="006B6651">
        <w:rPr>
          <w:color w:val="000000" w:themeColor="text1"/>
          <w:w w:val="110"/>
          <w:sz w:val="20"/>
          <w:szCs w:val="20"/>
          <w:lang w:val="ru-RU"/>
        </w:rPr>
        <w:t xml:space="preserve">) у </w:t>
      </w:r>
      <w:proofErr w:type="spellStart"/>
      <w:r w:rsidRPr="006B6651">
        <w:rPr>
          <w:color w:val="000000" w:themeColor="text1"/>
          <w:w w:val="110"/>
          <w:sz w:val="20"/>
          <w:szCs w:val="20"/>
          <w:lang w:val="ru-RU"/>
        </w:rPr>
        <w:t>дорослих</w:t>
      </w:r>
      <w:proofErr w:type="spellEnd"/>
      <w:r w:rsidRPr="006B6651">
        <w:rPr>
          <w:color w:val="000000" w:themeColor="text1"/>
          <w:w w:val="110"/>
          <w:sz w:val="20"/>
          <w:szCs w:val="20"/>
          <w:lang w:val="ru-RU"/>
        </w:rPr>
        <w:t xml:space="preserve"> і </w:t>
      </w:r>
      <w:proofErr w:type="spellStart"/>
      <w:r w:rsidRPr="006B6651">
        <w:rPr>
          <w:color w:val="000000" w:themeColor="text1"/>
          <w:w w:val="110"/>
          <w:sz w:val="20"/>
          <w:szCs w:val="20"/>
          <w:lang w:val="ru-RU"/>
        </w:rPr>
        <w:t>дітей</w:t>
      </w:r>
      <w:proofErr w:type="spellEnd"/>
      <w:r w:rsidRPr="006B6651">
        <w:rPr>
          <w:color w:val="000000" w:themeColor="text1"/>
          <w:w w:val="110"/>
          <w:sz w:val="20"/>
          <w:szCs w:val="20"/>
          <w:lang w:val="ru-RU"/>
        </w:rPr>
        <w:t>.</w:t>
      </w:r>
    </w:p>
    <w:p w14:paraId="1EC069FD" w14:textId="77777777" w:rsidR="00FE76F9" w:rsidRPr="006B6651" w:rsidRDefault="00FE76F9" w:rsidP="004A2937">
      <w:pPr>
        <w:pStyle w:val="a4"/>
        <w:numPr>
          <w:ilvl w:val="0"/>
          <w:numId w:val="50"/>
        </w:numPr>
        <w:tabs>
          <w:tab w:val="left" w:pos="2268"/>
        </w:tabs>
        <w:spacing w:before="4" w:line="276" w:lineRule="auto"/>
        <w:ind w:left="1134" w:right="6"/>
        <w:rPr>
          <w:color w:val="000000" w:themeColor="text1"/>
          <w:sz w:val="20"/>
          <w:szCs w:val="20"/>
          <w:lang w:val="ru-RU"/>
        </w:rPr>
      </w:pPr>
      <w:r w:rsidRPr="006B6651">
        <w:rPr>
          <w:color w:val="000000" w:themeColor="text1"/>
          <w:w w:val="110"/>
          <w:sz w:val="20"/>
          <w:szCs w:val="20"/>
          <w:lang w:val="ru-RU"/>
        </w:rPr>
        <w:t xml:space="preserve">Провести </w:t>
      </w:r>
      <w:proofErr w:type="spellStart"/>
      <w:r w:rsidRPr="006B6651">
        <w:rPr>
          <w:color w:val="000000" w:themeColor="text1"/>
          <w:w w:val="110"/>
          <w:sz w:val="20"/>
          <w:szCs w:val="20"/>
          <w:lang w:val="ru-RU"/>
        </w:rPr>
        <w:t>додаткові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якісні</w:t>
      </w:r>
      <w:proofErr w:type="spellEnd"/>
      <w:r w:rsidRPr="006B6651">
        <w:rPr>
          <w:color w:val="000000" w:themeColor="text1"/>
          <w:w w:val="110"/>
          <w:sz w:val="20"/>
          <w:szCs w:val="20"/>
          <w:lang w:val="ru-RU"/>
        </w:rPr>
        <w:t xml:space="preserve"> </w:t>
      </w:r>
      <w:r>
        <w:rPr>
          <w:color w:val="000000" w:themeColor="text1"/>
          <w:w w:val="110"/>
          <w:sz w:val="20"/>
          <w:szCs w:val="20"/>
          <w:lang w:val="uk-UA"/>
        </w:rPr>
        <w:t>та</w:t>
      </w:r>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кількісні</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дослідження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щоб</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краще</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зрозуміти</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ставлення</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кінцевих</w:t>
      </w:r>
      <w:proofErr w:type="spellEnd"/>
      <w:r w:rsidRPr="006B6651">
        <w:rPr>
          <w:color w:val="000000" w:themeColor="text1"/>
          <w:w w:val="110"/>
          <w:sz w:val="20"/>
          <w:szCs w:val="20"/>
          <w:lang w:val="ru-RU"/>
        </w:rPr>
        <w:t xml:space="preserve"> </w:t>
      </w:r>
      <w:proofErr w:type="spellStart"/>
      <w:r w:rsidRPr="006B6651">
        <w:rPr>
          <w:color w:val="000000" w:themeColor="text1"/>
          <w:w w:val="110"/>
          <w:sz w:val="20"/>
          <w:szCs w:val="20"/>
          <w:lang w:val="ru-RU"/>
        </w:rPr>
        <w:t>користувачів</w:t>
      </w:r>
      <w:proofErr w:type="spellEnd"/>
      <w:r w:rsidRPr="006B6651">
        <w:rPr>
          <w:color w:val="000000" w:themeColor="text1"/>
          <w:w w:val="110"/>
          <w:sz w:val="20"/>
          <w:szCs w:val="20"/>
          <w:lang w:val="ru-RU"/>
        </w:rPr>
        <w:t xml:space="preserve"> </w:t>
      </w:r>
      <w:r w:rsidRPr="007346BD">
        <w:rPr>
          <w:color w:val="000000" w:themeColor="text1"/>
          <w:w w:val="110"/>
          <w:sz w:val="20"/>
          <w:szCs w:val="20"/>
          <w:lang w:val="uk-UA"/>
        </w:rPr>
        <w:t>та лікарів</w:t>
      </w:r>
      <w:r w:rsidRPr="006B6651">
        <w:rPr>
          <w:color w:val="000000" w:themeColor="text1"/>
          <w:w w:val="110"/>
          <w:sz w:val="20"/>
          <w:szCs w:val="20"/>
          <w:lang w:val="ru-RU"/>
        </w:rPr>
        <w:t xml:space="preserve"> до </w:t>
      </w:r>
      <w:proofErr w:type="spellStart"/>
      <w:r w:rsidRPr="006B6651">
        <w:rPr>
          <w:color w:val="000000" w:themeColor="text1"/>
          <w:w w:val="110"/>
          <w:sz w:val="20"/>
          <w:szCs w:val="20"/>
          <w:lang w:val="ru-RU"/>
        </w:rPr>
        <w:t>прийнятності</w:t>
      </w:r>
      <w:proofErr w:type="spellEnd"/>
      <w:r w:rsidRPr="006B6651">
        <w:rPr>
          <w:color w:val="000000" w:themeColor="text1"/>
          <w:w w:val="110"/>
          <w:sz w:val="20"/>
          <w:szCs w:val="20"/>
          <w:lang w:val="ru-RU"/>
        </w:rPr>
        <w:t xml:space="preserve"> </w:t>
      </w:r>
      <w:r>
        <w:rPr>
          <w:color w:val="000000" w:themeColor="text1"/>
          <w:w w:val="110"/>
          <w:sz w:val="20"/>
          <w:szCs w:val="20"/>
          <w:lang w:val="uk-UA"/>
        </w:rPr>
        <w:t>та</w:t>
      </w:r>
      <w:r w:rsidRPr="006B6651">
        <w:rPr>
          <w:color w:val="000000" w:themeColor="text1"/>
          <w:w w:val="110"/>
          <w:sz w:val="20"/>
          <w:szCs w:val="20"/>
          <w:lang w:val="ru-RU"/>
        </w:rPr>
        <w:t xml:space="preserve"> </w:t>
      </w:r>
      <w:r w:rsidRPr="003213CE">
        <w:rPr>
          <w:color w:val="000000" w:themeColor="text1"/>
          <w:w w:val="110"/>
          <w:sz w:val="20"/>
          <w:szCs w:val="20"/>
          <w:lang w:val="uk-UA"/>
        </w:rPr>
        <w:t>можливості</w:t>
      </w:r>
      <w:r w:rsidRPr="006B6651">
        <w:rPr>
          <w:color w:val="000000" w:themeColor="text1"/>
          <w:w w:val="110"/>
          <w:sz w:val="20"/>
          <w:szCs w:val="20"/>
          <w:lang w:val="ru-RU"/>
        </w:rPr>
        <w:t xml:space="preserve"> використання таргетного СНП.</w:t>
      </w:r>
    </w:p>
    <w:p w14:paraId="56AED052" w14:textId="77777777" w:rsidR="00FE76F9" w:rsidRPr="00A816CE" w:rsidRDefault="00FE76F9" w:rsidP="0061310B">
      <w:pPr>
        <w:pStyle w:val="7"/>
        <w:spacing w:before="233"/>
        <w:ind w:right="6"/>
        <w:jc w:val="both"/>
        <w:rPr>
          <w:rFonts w:ascii="Microsoft Sans Serif" w:hAnsi="Microsoft Sans Serif" w:cs="Microsoft Sans Serif"/>
        </w:rPr>
      </w:pPr>
      <w:proofErr w:type="spellStart"/>
      <w:r w:rsidRPr="00595828">
        <w:rPr>
          <w:rFonts w:ascii="Microsoft Sans Serif" w:hAnsi="Microsoft Sans Serif" w:cs="Microsoft Sans Serif"/>
          <w:color w:val="019648"/>
        </w:rPr>
        <w:t>Дослідження</w:t>
      </w:r>
      <w:proofErr w:type="spellEnd"/>
      <w:r w:rsidRPr="00595828">
        <w:rPr>
          <w:rFonts w:ascii="Microsoft Sans Serif" w:hAnsi="Microsoft Sans Serif" w:cs="Microsoft Sans Serif"/>
          <w:color w:val="019648"/>
        </w:rPr>
        <w:t xml:space="preserve"> з </w:t>
      </w:r>
      <w:proofErr w:type="spellStart"/>
      <w:r w:rsidRPr="00595828">
        <w:rPr>
          <w:rFonts w:ascii="Microsoft Sans Serif" w:hAnsi="Microsoft Sans Serif" w:cs="Microsoft Sans Serif"/>
          <w:color w:val="019648"/>
        </w:rPr>
        <w:t>впровадження</w:t>
      </w:r>
      <w:proofErr w:type="spellEnd"/>
      <w:r w:rsidRPr="00595828">
        <w:rPr>
          <w:rFonts w:ascii="Microsoft Sans Serif" w:hAnsi="Microsoft Sans Serif" w:cs="Microsoft Sans Serif"/>
          <w:color w:val="019648"/>
        </w:rPr>
        <w:t>:</w:t>
      </w:r>
    </w:p>
    <w:p w14:paraId="0B7AC996" w14:textId="77777777" w:rsidR="00FE76F9" w:rsidRPr="00D76C86" w:rsidRDefault="00FE76F9" w:rsidP="004A2937">
      <w:pPr>
        <w:pStyle w:val="a4"/>
        <w:numPr>
          <w:ilvl w:val="0"/>
          <w:numId w:val="50"/>
        </w:numPr>
        <w:tabs>
          <w:tab w:val="left" w:pos="2127"/>
        </w:tabs>
        <w:spacing w:before="218" w:line="276" w:lineRule="auto"/>
        <w:ind w:left="1134" w:right="6"/>
        <w:rPr>
          <w:color w:val="000000" w:themeColor="text1"/>
          <w:sz w:val="20"/>
        </w:rPr>
      </w:pPr>
      <w:proofErr w:type="spellStart"/>
      <w:r w:rsidRPr="00D76C86">
        <w:rPr>
          <w:color w:val="000000" w:themeColor="text1"/>
          <w:w w:val="110"/>
          <w:sz w:val="20"/>
        </w:rPr>
        <w:t>Розробити</w:t>
      </w:r>
      <w:proofErr w:type="spellEnd"/>
      <w:r w:rsidRPr="00D76C86">
        <w:rPr>
          <w:color w:val="000000" w:themeColor="text1"/>
          <w:w w:val="110"/>
          <w:sz w:val="20"/>
        </w:rPr>
        <w:t xml:space="preserve"> й </w:t>
      </w:r>
      <w:proofErr w:type="spellStart"/>
      <w:r w:rsidRPr="00D76C86">
        <w:rPr>
          <w:color w:val="000000" w:themeColor="text1"/>
          <w:w w:val="110"/>
          <w:sz w:val="20"/>
        </w:rPr>
        <w:t>оцінити</w:t>
      </w:r>
      <w:proofErr w:type="spellEnd"/>
      <w:r w:rsidRPr="00D76C86">
        <w:rPr>
          <w:color w:val="000000" w:themeColor="text1"/>
          <w:w w:val="110"/>
          <w:sz w:val="20"/>
        </w:rPr>
        <w:t xml:space="preserve"> </w:t>
      </w:r>
      <w:proofErr w:type="spellStart"/>
      <w:r w:rsidRPr="00D76C86">
        <w:rPr>
          <w:color w:val="000000" w:themeColor="text1"/>
          <w:w w:val="110"/>
          <w:sz w:val="20"/>
        </w:rPr>
        <w:t>ефективні</w:t>
      </w:r>
      <w:proofErr w:type="spellEnd"/>
      <w:r w:rsidRPr="00D76C86">
        <w:rPr>
          <w:color w:val="000000" w:themeColor="text1"/>
          <w:w w:val="110"/>
          <w:sz w:val="20"/>
        </w:rPr>
        <w:t xml:space="preserve"> </w:t>
      </w:r>
      <w:proofErr w:type="spellStart"/>
      <w:r w:rsidRPr="00D76C86">
        <w:rPr>
          <w:color w:val="000000" w:themeColor="text1"/>
          <w:w w:val="110"/>
          <w:sz w:val="20"/>
        </w:rPr>
        <w:t>моделі</w:t>
      </w:r>
      <w:proofErr w:type="spellEnd"/>
      <w:r w:rsidRPr="00D76C86">
        <w:rPr>
          <w:color w:val="000000" w:themeColor="text1"/>
          <w:w w:val="110"/>
          <w:sz w:val="20"/>
        </w:rPr>
        <w:t xml:space="preserve"> </w:t>
      </w:r>
      <w:proofErr w:type="spellStart"/>
      <w:r w:rsidRPr="00D76C86">
        <w:rPr>
          <w:color w:val="000000" w:themeColor="text1"/>
          <w:w w:val="110"/>
          <w:sz w:val="20"/>
        </w:rPr>
        <w:t>впровадження</w:t>
      </w:r>
      <w:proofErr w:type="spellEnd"/>
      <w:r w:rsidRPr="00D76C86">
        <w:rPr>
          <w:color w:val="000000" w:themeColor="text1"/>
          <w:w w:val="110"/>
          <w:sz w:val="20"/>
        </w:rPr>
        <w:t xml:space="preserve"> </w:t>
      </w:r>
      <w:proofErr w:type="spellStart"/>
      <w:r w:rsidRPr="00D76C86">
        <w:rPr>
          <w:color w:val="000000" w:themeColor="text1"/>
          <w:w w:val="110"/>
          <w:sz w:val="20"/>
        </w:rPr>
        <w:t>шляхом</w:t>
      </w:r>
      <w:proofErr w:type="spellEnd"/>
      <w:r w:rsidRPr="00D76C86">
        <w:rPr>
          <w:color w:val="000000" w:themeColor="text1"/>
          <w:w w:val="110"/>
          <w:sz w:val="20"/>
        </w:rPr>
        <w:t xml:space="preserve"> </w:t>
      </w:r>
      <w:proofErr w:type="spellStart"/>
      <w:r w:rsidRPr="00D76C86">
        <w:rPr>
          <w:color w:val="000000" w:themeColor="text1"/>
          <w:w w:val="110"/>
          <w:sz w:val="20"/>
        </w:rPr>
        <w:t>інтеграції</w:t>
      </w:r>
      <w:proofErr w:type="spellEnd"/>
      <w:r w:rsidRPr="00D76C86">
        <w:rPr>
          <w:color w:val="000000" w:themeColor="text1"/>
          <w:w w:val="110"/>
          <w:sz w:val="20"/>
        </w:rPr>
        <w:t xml:space="preserve"> таргетного СНП у </w:t>
      </w:r>
      <w:proofErr w:type="spellStart"/>
      <w:r w:rsidRPr="00D76C86">
        <w:rPr>
          <w:color w:val="000000" w:themeColor="text1"/>
          <w:w w:val="110"/>
          <w:sz w:val="20"/>
        </w:rPr>
        <w:t>лабораторні</w:t>
      </w:r>
      <w:proofErr w:type="spellEnd"/>
      <w:r w:rsidRPr="00D76C86">
        <w:rPr>
          <w:color w:val="000000" w:themeColor="text1"/>
          <w:w w:val="110"/>
          <w:sz w:val="20"/>
        </w:rPr>
        <w:t xml:space="preserve"> </w:t>
      </w:r>
      <w:proofErr w:type="spellStart"/>
      <w:r w:rsidRPr="00D76C86">
        <w:rPr>
          <w:color w:val="000000" w:themeColor="text1"/>
          <w:w w:val="110"/>
          <w:sz w:val="20"/>
        </w:rPr>
        <w:t>мережі</w:t>
      </w:r>
      <w:proofErr w:type="spellEnd"/>
      <w:r w:rsidRPr="00D76C86">
        <w:rPr>
          <w:color w:val="000000" w:themeColor="text1"/>
          <w:w w:val="110"/>
          <w:sz w:val="20"/>
        </w:rPr>
        <w:t xml:space="preserve"> </w:t>
      </w:r>
      <w:r>
        <w:rPr>
          <w:color w:val="000000" w:themeColor="text1"/>
          <w:w w:val="110"/>
          <w:sz w:val="20"/>
          <w:lang w:val="uk-UA"/>
        </w:rPr>
        <w:t>та</w:t>
      </w:r>
      <w:r w:rsidRPr="00D76C86">
        <w:rPr>
          <w:color w:val="000000" w:themeColor="text1"/>
          <w:w w:val="110"/>
          <w:sz w:val="20"/>
        </w:rPr>
        <w:t xml:space="preserve"> </w:t>
      </w:r>
      <w:proofErr w:type="spellStart"/>
      <w:r w:rsidRPr="00D76C86">
        <w:rPr>
          <w:color w:val="000000" w:themeColor="text1"/>
          <w:w w:val="110"/>
          <w:sz w:val="20"/>
        </w:rPr>
        <w:t>оптимізації</w:t>
      </w:r>
      <w:proofErr w:type="spellEnd"/>
      <w:r w:rsidRPr="00D76C86">
        <w:rPr>
          <w:color w:val="000000" w:themeColor="text1"/>
          <w:w w:val="110"/>
          <w:sz w:val="20"/>
        </w:rPr>
        <w:t xml:space="preserve"> </w:t>
      </w:r>
      <w:proofErr w:type="spellStart"/>
      <w:r w:rsidRPr="00D76C86">
        <w:rPr>
          <w:color w:val="000000" w:themeColor="text1"/>
          <w:w w:val="110"/>
          <w:sz w:val="20"/>
        </w:rPr>
        <w:t>алгоритмів</w:t>
      </w:r>
      <w:proofErr w:type="spellEnd"/>
      <w:r w:rsidRPr="00D76C86">
        <w:rPr>
          <w:color w:val="000000" w:themeColor="text1"/>
          <w:w w:val="110"/>
          <w:sz w:val="20"/>
        </w:rPr>
        <w:t xml:space="preserve"> з </w:t>
      </w:r>
      <w:proofErr w:type="spellStart"/>
      <w:r w:rsidRPr="00D76C86">
        <w:rPr>
          <w:color w:val="000000" w:themeColor="text1"/>
          <w:w w:val="110"/>
          <w:sz w:val="20"/>
        </w:rPr>
        <w:t>метою</w:t>
      </w:r>
      <w:proofErr w:type="spellEnd"/>
      <w:r w:rsidRPr="00D76C86">
        <w:rPr>
          <w:color w:val="000000" w:themeColor="text1"/>
          <w:w w:val="110"/>
          <w:sz w:val="20"/>
        </w:rPr>
        <w:t xml:space="preserve"> </w:t>
      </w:r>
      <w:proofErr w:type="spellStart"/>
      <w:r w:rsidRPr="00D76C86">
        <w:rPr>
          <w:color w:val="000000" w:themeColor="text1"/>
          <w:w w:val="110"/>
          <w:sz w:val="20"/>
        </w:rPr>
        <w:t>покращення</w:t>
      </w:r>
      <w:proofErr w:type="spellEnd"/>
      <w:r w:rsidRPr="00D76C86">
        <w:rPr>
          <w:color w:val="000000" w:themeColor="text1"/>
          <w:w w:val="110"/>
          <w:sz w:val="20"/>
        </w:rPr>
        <w:t xml:space="preserve"> </w:t>
      </w:r>
      <w:r w:rsidRPr="00D76C86">
        <w:rPr>
          <w:color w:val="000000" w:themeColor="text1"/>
          <w:w w:val="110"/>
          <w:sz w:val="20"/>
          <w:lang w:val="uk-UA"/>
        </w:rPr>
        <w:t xml:space="preserve">своєчасного </w:t>
      </w:r>
      <w:proofErr w:type="spellStart"/>
      <w:r w:rsidRPr="00D76C86">
        <w:rPr>
          <w:color w:val="000000" w:themeColor="text1"/>
          <w:w w:val="110"/>
          <w:sz w:val="20"/>
        </w:rPr>
        <w:t>доступу</w:t>
      </w:r>
      <w:proofErr w:type="spellEnd"/>
      <w:r w:rsidRPr="00D76C86">
        <w:rPr>
          <w:color w:val="000000" w:themeColor="text1"/>
          <w:w w:val="110"/>
          <w:sz w:val="20"/>
        </w:rPr>
        <w:t xml:space="preserve"> </w:t>
      </w:r>
      <w:proofErr w:type="spellStart"/>
      <w:r w:rsidRPr="00D76C86">
        <w:rPr>
          <w:color w:val="000000" w:themeColor="text1"/>
          <w:w w:val="110"/>
          <w:sz w:val="20"/>
        </w:rPr>
        <w:t>до</w:t>
      </w:r>
      <w:proofErr w:type="spellEnd"/>
      <w:r w:rsidRPr="00D76C86">
        <w:rPr>
          <w:color w:val="000000" w:themeColor="text1"/>
          <w:w w:val="110"/>
          <w:sz w:val="20"/>
        </w:rPr>
        <w:t xml:space="preserve"> </w:t>
      </w:r>
      <w:proofErr w:type="spellStart"/>
      <w:r w:rsidRPr="00D76C86">
        <w:rPr>
          <w:color w:val="000000" w:themeColor="text1"/>
          <w:w w:val="110"/>
          <w:sz w:val="20"/>
        </w:rPr>
        <w:t>тестування</w:t>
      </w:r>
      <w:proofErr w:type="spellEnd"/>
      <w:r w:rsidRPr="00D76C86">
        <w:rPr>
          <w:color w:val="000000" w:themeColor="text1"/>
          <w:w w:val="110"/>
          <w:sz w:val="20"/>
        </w:rPr>
        <w:t xml:space="preserve"> та </w:t>
      </w:r>
      <w:proofErr w:type="spellStart"/>
      <w:r w:rsidRPr="00D76C86">
        <w:rPr>
          <w:color w:val="000000" w:themeColor="text1"/>
          <w:w w:val="110"/>
          <w:sz w:val="20"/>
        </w:rPr>
        <w:t>початку</w:t>
      </w:r>
      <w:proofErr w:type="spellEnd"/>
      <w:r w:rsidRPr="00D76C86">
        <w:rPr>
          <w:color w:val="000000" w:themeColor="text1"/>
          <w:w w:val="110"/>
          <w:sz w:val="20"/>
        </w:rPr>
        <w:t xml:space="preserve"> лікування, а </w:t>
      </w:r>
      <w:proofErr w:type="spellStart"/>
      <w:r w:rsidRPr="00D76C86">
        <w:rPr>
          <w:color w:val="000000" w:themeColor="text1"/>
          <w:w w:val="110"/>
          <w:sz w:val="20"/>
        </w:rPr>
        <w:t>також</w:t>
      </w:r>
      <w:proofErr w:type="spellEnd"/>
      <w:r w:rsidRPr="00D76C86">
        <w:rPr>
          <w:color w:val="000000" w:themeColor="text1"/>
          <w:w w:val="110"/>
          <w:sz w:val="20"/>
        </w:rPr>
        <w:t xml:space="preserve"> </w:t>
      </w:r>
      <w:proofErr w:type="spellStart"/>
      <w:r w:rsidRPr="00D76C86">
        <w:rPr>
          <w:color w:val="000000" w:themeColor="text1"/>
          <w:w w:val="110"/>
          <w:sz w:val="20"/>
        </w:rPr>
        <w:t>покращення</w:t>
      </w:r>
      <w:proofErr w:type="spellEnd"/>
      <w:r w:rsidRPr="00D76C86">
        <w:rPr>
          <w:color w:val="000000" w:themeColor="text1"/>
          <w:w w:val="110"/>
          <w:sz w:val="20"/>
        </w:rPr>
        <w:t xml:space="preserve"> </w:t>
      </w:r>
      <w:proofErr w:type="spellStart"/>
      <w:r w:rsidRPr="00D76C86">
        <w:rPr>
          <w:color w:val="000000" w:themeColor="text1"/>
          <w:w w:val="110"/>
          <w:sz w:val="20"/>
        </w:rPr>
        <w:t>результатів</w:t>
      </w:r>
      <w:proofErr w:type="spellEnd"/>
      <w:r w:rsidRPr="00D76C86">
        <w:rPr>
          <w:color w:val="000000" w:themeColor="text1"/>
          <w:w w:val="110"/>
          <w:sz w:val="20"/>
        </w:rPr>
        <w:t xml:space="preserve"> </w:t>
      </w:r>
      <w:r w:rsidRPr="00D76C86">
        <w:rPr>
          <w:color w:val="000000" w:themeColor="text1"/>
          <w:w w:val="110"/>
          <w:sz w:val="20"/>
          <w:lang w:val="uk-UA"/>
        </w:rPr>
        <w:t>лікування</w:t>
      </w:r>
      <w:proofErr w:type="spellStart"/>
      <w:r w:rsidRPr="00D76C86">
        <w:rPr>
          <w:color w:val="000000" w:themeColor="text1"/>
          <w:w w:val="110"/>
          <w:sz w:val="20"/>
        </w:rPr>
        <w:t>для</w:t>
      </w:r>
      <w:proofErr w:type="spellEnd"/>
      <w:r w:rsidRPr="00D76C86">
        <w:rPr>
          <w:color w:val="000000" w:themeColor="text1"/>
          <w:w w:val="110"/>
          <w:sz w:val="20"/>
        </w:rPr>
        <w:t xml:space="preserve"> </w:t>
      </w:r>
      <w:proofErr w:type="spellStart"/>
      <w:r w:rsidRPr="00D76C86">
        <w:rPr>
          <w:color w:val="000000" w:themeColor="text1"/>
          <w:w w:val="110"/>
          <w:sz w:val="20"/>
        </w:rPr>
        <w:t>пацієнтів</w:t>
      </w:r>
      <w:proofErr w:type="spellEnd"/>
      <w:r w:rsidRPr="00D76C86">
        <w:rPr>
          <w:color w:val="000000" w:themeColor="text1"/>
          <w:w w:val="110"/>
          <w:sz w:val="20"/>
        </w:rPr>
        <w:t>.</w:t>
      </w:r>
    </w:p>
    <w:p w14:paraId="00943346" w14:textId="77777777" w:rsidR="00FE76F9" w:rsidRPr="006B6651" w:rsidRDefault="00FE76F9" w:rsidP="004A2937">
      <w:pPr>
        <w:pStyle w:val="a4"/>
        <w:numPr>
          <w:ilvl w:val="0"/>
          <w:numId w:val="50"/>
        </w:numPr>
        <w:tabs>
          <w:tab w:val="left" w:pos="2127"/>
        </w:tabs>
        <w:spacing w:before="4" w:line="276" w:lineRule="auto"/>
        <w:ind w:left="1134" w:right="6"/>
        <w:rPr>
          <w:color w:val="000000" w:themeColor="text1"/>
          <w:sz w:val="20"/>
          <w:lang w:val="ru-RU"/>
        </w:rPr>
      </w:pPr>
      <w:proofErr w:type="spellStart"/>
      <w:r w:rsidRPr="006B6651">
        <w:rPr>
          <w:color w:val="000000" w:themeColor="text1"/>
          <w:w w:val="110"/>
          <w:sz w:val="20"/>
          <w:lang w:val="ru-RU"/>
        </w:rPr>
        <w:t>Розробити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стратегії</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підвищення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ефективності</w:t>
      </w:r>
      <w:proofErr w:type="spellEnd"/>
      <w:r w:rsidRPr="006B6651">
        <w:rPr>
          <w:color w:val="000000" w:themeColor="text1"/>
          <w:w w:val="110"/>
          <w:sz w:val="20"/>
          <w:lang w:val="ru-RU"/>
        </w:rPr>
        <w:t xml:space="preserve"> таргетного СНП, включаючи </w:t>
      </w:r>
      <w:proofErr w:type="spellStart"/>
      <w:r w:rsidRPr="006B6651">
        <w:rPr>
          <w:color w:val="000000" w:themeColor="text1"/>
          <w:w w:val="110"/>
          <w:sz w:val="20"/>
          <w:lang w:val="ru-RU"/>
        </w:rPr>
        <w:t>методи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обробки</w:t>
      </w:r>
      <w:proofErr w:type="spellEnd"/>
      <w:r w:rsidRPr="006B6651">
        <w:rPr>
          <w:color w:val="000000" w:themeColor="text1"/>
          <w:w w:val="110"/>
          <w:sz w:val="20"/>
          <w:lang w:val="ru-RU"/>
        </w:rPr>
        <w:t xml:space="preserve"> й </w:t>
      </w:r>
      <w:proofErr w:type="spellStart"/>
      <w:r w:rsidRPr="006B6651">
        <w:rPr>
          <w:color w:val="000000" w:themeColor="text1"/>
          <w:w w:val="110"/>
          <w:sz w:val="20"/>
          <w:lang w:val="ru-RU"/>
        </w:rPr>
        <w:t>концентрування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визначення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оптимальних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порогових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значень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бактеріального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навантаженн</w:t>
      </w:r>
      <w:proofErr w:type="spellEnd"/>
      <w:r w:rsidRPr="00D76C86">
        <w:rPr>
          <w:color w:val="000000" w:themeColor="text1"/>
          <w:w w:val="110"/>
          <w:sz w:val="20"/>
          <w:lang w:val="uk-UA"/>
        </w:rPr>
        <w:t>я з первинних тестів</w:t>
      </w:r>
      <w:r w:rsidRPr="006B6651">
        <w:rPr>
          <w:color w:val="000000" w:themeColor="text1"/>
          <w:w w:val="110"/>
          <w:sz w:val="20"/>
          <w:lang w:val="ru-RU"/>
        </w:rPr>
        <w:t xml:space="preserve">, використання молекулярного транспортного </w:t>
      </w:r>
      <w:proofErr w:type="spellStart"/>
      <w:r w:rsidRPr="006B6651">
        <w:rPr>
          <w:color w:val="000000" w:themeColor="text1"/>
          <w:w w:val="110"/>
          <w:sz w:val="20"/>
          <w:lang w:val="ru-RU"/>
        </w:rPr>
        <w:t>середовища</w:t>
      </w:r>
      <w:proofErr w:type="spellEnd"/>
      <w:r w:rsidRPr="006B6651">
        <w:rPr>
          <w:color w:val="000000" w:themeColor="text1"/>
          <w:w w:val="110"/>
          <w:sz w:val="20"/>
          <w:lang w:val="ru-RU"/>
        </w:rPr>
        <w:t xml:space="preserve"> </w:t>
      </w:r>
      <w:r w:rsidRPr="00D76C86">
        <w:rPr>
          <w:color w:val="000000" w:themeColor="text1"/>
          <w:w w:val="110"/>
          <w:sz w:val="20"/>
          <w:lang w:val="uk-UA"/>
        </w:rPr>
        <w:t xml:space="preserve">для </w:t>
      </w:r>
      <w:proofErr w:type="spellStart"/>
      <w:r w:rsidRPr="006B6651">
        <w:rPr>
          <w:color w:val="000000" w:themeColor="text1"/>
          <w:w w:val="110"/>
          <w:sz w:val="20"/>
          <w:lang w:val="ru-RU"/>
        </w:rPr>
        <w:t>зберігання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зразків</w:t>
      </w:r>
      <w:proofErr w:type="spellEnd"/>
      <w:r w:rsidRPr="006B6651">
        <w:rPr>
          <w:color w:val="000000" w:themeColor="text1"/>
          <w:w w:val="110"/>
          <w:sz w:val="20"/>
          <w:lang w:val="ru-RU"/>
        </w:rPr>
        <w:t xml:space="preserve"> за </w:t>
      </w:r>
      <w:proofErr w:type="spellStart"/>
      <w:r w:rsidRPr="006B6651">
        <w:rPr>
          <w:color w:val="000000" w:themeColor="text1"/>
          <w:w w:val="110"/>
          <w:sz w:val="20"/>
          <w:lang w:val="ru-RU"/>
        </w:rPr>
        <w:t>кімнатної</w:t>
      </w:r>
      <w:proofErr w:type="spellEnd"/>
      <w:r w:rsidRPr="006B6651">
        <w:rPr>
          <w:color w:val="000000" w:themeColor="text1"/>
          <w:w w:val="110"/>
          <w:sz w:val="20"/>
          <w:lang w:val="ru-RU"/>
        </w:rPr>
        <w:t xml:space="preserve"> температури та </w:t>
      </w:r>
      <w:proofErr w:type="spellStart"/>
      <w:r w:rsidRPr="006B6651">
        <w:rPr>
          <w:color w:val="000000" w:themeColor="text1"/>
          <w:w w:val="110"/>
          <w:sz w:val="20"/>
          <w:lang w:val="ru-RU"/>
        </w:rPr>
        <w:t>їх</w:t>
      </w:r>
      <w:proofErr w:type="spellEnd"/>
      <w:r w:rsidRPr="006B6651">
        <w:rPr>
          <w:color w:val="000000" w:themeColor="text1"/>
          <w:w w:val="110"/>
          <w:sz w:val="20"/>
          <w:lang w:val="ru-RU"/>
        </w:rPr>
        <w:t xml:space="preserve"> транспортування до </w:t>
      </w:r>
      <w:proofErr w:type="spellStart"/>
      <w:r w:rsidRPr="006B6651">
        <w:rPr>
          <w:color w:val="000000" w:themeColor="text1"/>
          <w:w w:val="110"/>
          <w:sz w:val="20"/>
          <w:lang w:val="ru-RU"/>
        </w:rPr>
        <w:t>місць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проведення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аналізів</w:t>
      </w:r>
      <w:proofErr w:type="spellEnd"/>
      <w:r w:rsidRPr="006B6651">
        <w:rPr>
          <w:color w:val="000000" w:themeColor="text1"/>
          <w:w w:val="110"/>
          <w:sz w:val="20"/>
          <w:lang w:val="ru-RU"/>
        </w:rPr>
        <w:t>.</w:t>
      </w:r>
    </w:p>
    <w:p w14:paraId="507FA53F" w14:textId="77777777" w:rsidR="00FE76F9" w:rsidRPr="006B6651" w:rsidRDefault="00FE76F9" w:rsidP="004A2937">
      <w:pPr>
        <w:pStyle w:val="a4"/>
        <w:numPr>
          <w:ilvl w:val="0"/>
          <w:numId w:val="50"/>
        </w:numPr>
        <w:tabs>
          <w:tab w:val="left" w:pos="2127"/>
        </w:tabs>
        <w:spacing w:before="4" w:line="276" w:lineRule="auto"/>
        <w:ind w:left="1134" w:right="6"/>
        <w:rPr>
          <w:color w:val="000000" w:themeColor="text1"/>
          <w:sz w:val="20"/>
          <w:lang w:val="ru-RU"/>
        </w:rPr>
      </w:pPr>
      <w:r w:rsidRPr="006B6651">
        <w:rPr>
          <w:color w:val="000000" w:themeColor="text1"/>
          <w:w w:val="110"/>
          <w:sz w:val="20"/>
          <w:lang w:val="ru-RU"/>
        </w:rPr>
        <w:t xml:space="preserve">Регулярно </w:t>
      </w:r>
      <w:proofErr w:type="spellStart"/>
      <w:r w:rsidRPr="006B6651">
        <w:rPr>
          <w:color w:val="000000" w:themeColor="text1"/>
          <w:w w:val="110"/>
          <w:sz w:val="20"/>
          <w:lang w:val="ru-RU"/>
        </w:rPr>
        <w:t>оновлювати</w:t>
      </w:r>
      <w:proofErr w:type="spellEnd"/>
      <w:r w:rsidRPr="006B6651">
        <w:rPr>
          <w:color w:val="000000" w:themeColor="text1"/>
          <w:w w:val="110"/>
          <w:sz w:val="20"/>
          <w:lang w:val="ru-RU"/>
        </w:rPr>
        <w:t xml:space="preserve"> каталог </w:t>
      </w:r>
      <w:proofErr w:type="spellStart"/>
      <w:r w:rsidRPr="006B6651">
        <w:rPr>
          <w:color w:val="000000" w:themeColor="text1"/>
          <w:w w:val="110"/>
          <w:sz w:val="20"/>
          <w:lang w:val="ru-RU"/>
        </w:rPr>
        <w:t>мутацій</w:t>
      </w:r>
      <w:proofErr w:type="spellEnd"/>
      <w:r w:rsidRPr="006B6651">
        <w:rPr>
          <w:color w:val="000000" w:themeColor="text1"/>
          <w:w w:val="110"/>
          <w:sz w:val="20"/>
          <w:lang w:val="ru-RU"/>
        </w:rPr>
        <w:t xml:space="preserve"> ВООЗ (53), включаючи </w:t>
      </w:r>
      <w:proofErr w:type="spellStart"/>
      <w:r w:rsidRPr="006B6651">
        <w:rPr>
          <w:color w:val="000000" w:themeColor="text1"/>
          <w:w w:val="110"/>
          <w:sz w:val="20"/>
          <w:lang w:val="ru-RU"/>
        </w:rPr>
        <w:t>нові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генетичні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мішені</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нові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препарати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наприклад</w:t>
      </w:r>
      <w:proofErr w:type="spellEnd"/>
      <w:r w:rsidRPr="006B6651">
        <w:rPr>
          <w:color w:val="000000" w:themeColor="text1"/>
          <w:w w:val="110"/>
          <w:sz w:val="20"/>
          <w:lang w:val="ru-RU"/>
        </w:rPr>
        <w:t xml:space="preserve">, претоманід), </w:t>
      </w:r>
      <w:proofErr w:type="spellStart"/>
      <w:r w:rsidRPr="006B6651">
        <w:rPr>
          <w:color w:val="000000" w:themeColor="text1"/>
          <w:w w:val="110"/>
          <w:sz w:val="20"/>
          <w:lang w:val="ru-RU"/>
        </w:rPr>
        <w:t>щоб</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покращити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чутливість</w:t>
      </w:r>
      <w:proofErr w:type="spellEnd"/>
      <w:r w:rsidRPr="006B6651">
        <w:rPr>
          <w:color w:val="000000" w:themeColor="text1"/>
          <w:w w:val="110"/>
          <w:sz w:val="20"/>
          <w:lang w:val="ru-RU"/>
        </w:rPr>
        <w:t xml:space="preserve"> і </w:t>
      </w:r>
      <w:proofErr w:type="spellStart"/>
      <w:r w:rsidRPr="006B6651">
        <w:rPr>
          <w:color w:val="000000" w:themeColor="text1"/>
          <w:w w:val="110"/>
          <w:sz w:val="20"/>
          <w:lang w:val="ru-RU"/>
        </w:rPr>
        <w:t>специфічність</w:t>
      </w:r>
      <w:proofErr w:type="spellEnd"/>
      <w:r w:rsidRPr="006B6651">
        <w:rPr>
          <w:color w:val="000000" w:themeColor="text1"/>
          <w:w w:val="110"/>
          <w:sz w:val="20"/>
          <w:lang w:val="ru-RU"/>
        </w:rPr>
        <w:t xml:space="preserve"> таргетного СНП.</w:t>
      </w:r>
    </w:p>
    <w:p w14:paraId="4BF35128" w14:textId="77777777" w:rsidR="00FE76F9" w:rsidRPr="006B6651" w:rsidRDefault="00FE76F9" w:rsidP="004A2937">
      <w:pPr>
        <w:pStyle w:val="a4"/>
        <w:numPr>
          <w:ilvl w:val="0"/>
          <w:numId w:val="50"/>
        </w:numPr>
        <w:tabs>
          <w:tab w:val="left" w:pos="2127"/>
        </w:tabs>
        <w:spacing w:before="4" w:line="276" w:lineRule="auto"/>
        <w:ind w:left="709" w:right="6"/>
        <w:rPr>
          <w:color w:val="000000" w:themeColor="text1"/>
          <w:sz w:val="20"/>
          <w:lang w:val="ru-RU"/>
        </w:rPr>
      </w:pPr>
      <w:proofErr w:type="spellStart"/>
      <w:r w:rsidRPr="006B6651">
        <w:rPr>
          <w:color w:val="000000" w:themeColor="text1"/>
          <w:w w:val="110"/>
          <w:sz w:val="20"/>
          <w:lang w:val="ru-RU"/>
        </w:rPr>
        <w:t>Досліджувати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технологічні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інновації</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спрощення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процесу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тестування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автоматизації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етапів</w:t>
      </w:r>
      <w:proofErr w:type="spellEnd"/>
      <w:r w:rsidRPr="006B6651">
        <w:rPr>
          <w:color w:val="000000" w:themeColor="text1"/>
          <w:w w:val="110"/>
          <w:sz w:val="20"/>
          <w:lang w:val="ru-RU"/>
        </w:rPr>
        <w:t xml:space="preserve"> (особливо </w:t>
      </w:r>
      <w:proofErr w:type="spellStart"/>
      <w:r w:rsidRPr="006B6651">
        <w:rPr>
          <w:color w:val="000000" w:themeColor="text1"/>
          <w:w w:val="110"/>
          <w:sz w:val="20"/>
          <w:lang w:val="ru-RU"/>
        </w:rPr>
        <w:t>підготовки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бібліотеки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розробки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децентралізованих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рішень</w:t>
      </w:r>
      <w:proofErr w:type="spellEnd"/>
      <w:r w:rsidRPr="006B6651">
        <w:rPr>
          <w:color w:val="000000" w:themeColor="text1"/>
          <w:w w:val="110"/>
          <w:sz w:val="20"/>
          <w:lang w:val="ru-RU"/>
        </w:rPr>
        <w:t xml:space="preserve"> для таргетного СНП і </w:t>
      </w:r>
      <w:proofErr w:type="spellStart"/>
      <w:r w:rsidRPr="006B6651">
        <w:rPr>
          <w:color w:val="000000" w:themeColor="text1"/>
          <w:w w:val="110"/>
          <w:sz w:val="20"/>
          <w:lang w:val="ru-RU"/>
        </w:rPr>
        <w:t>можливостей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поєднання</w:t>
      </w:r>
      <w:proofErr w:type="spellEnd"/>
      <w:r w:rsidRPr="006B6651">
        <w:rPr>
          <w:color w:val="000000" w:themeColor="text1"/>
          <w:w w:val="110"/>
          <w:sz w:val="20"/>
          <w:lang w:val="ru-RU"/>
        </w:rPr>
        <w:t xml:space="preserve"> з уже </w:t>
      </w:r>
      <w:proofErr w:type="spellStart"/>
      <w:r w:rsidRPr="006B6651">
        <w:rPr>
          <w:color w:val="000000" w:themeColor="text1"/>
          <w:w w:val="110"/>
          <w:sz w:val="20"/>
          <w:lang w:val="ru-RU"/>
        </w:rPr>
        <w:t>наявними</w:t>
      </w:r>
      <w:proofErr w:type="spellEnd"/>
      <w:r w:rsidRPr="006B6651">
        <w:rPr>
          <w:color w:val="000000" w:themeColor="text1"/>
          <w:w w:val="110"/>
          <w:sz w:val="20"/>
          <w:lang w:val="ru-RU"/>
        </w:rPr>
        <w:t xml:space="preserve"> тестами (</w:t>
      </w:r>
      <w:proofErr w:type="spellStart"/>
      <w:r w:rsidRPr="006B6651">
        <w:rPr>
          <w:color w:val="000000" w:themeColor="text1"/>
          <w:w w:val="110"/>
          <w:sz w:val="20"/>
          <w:lang w:val="ru-RU"/>
        </w:rPr>
        <w:t>наприклад</w:t>
      </w:r>
      <w:proofErr w:type="spellEnd"/>
      <w:r w:rsidRPr="006B6651">
        <w:rPr>
          <w:color w:val="000000" w:themeColor="text1"/>
          <w:w w:val="110"/>
          <w:sz w:val="20"/>
          <w:lang w:val="ru-RU"/>
        </w:rPr>
        <w:t xml:space="preserve">, використання </w:t>
      </w:r>
      <w:proofErr w:type="spellStart"/>
      <w:r w:rsidRPr="006B6651">
        <w:rPr>
          <w:color w:val="000000" w:themeColor="text1"/>
          <w:w w:val="110"/>
          <w:sz w:val="20"/>
          <w:lang w:val="ru-RU"/>
        </w:rPr>
        <w:t>залишк</w:t>
      </w:r>
      <w:proofErr w:type="spellEnd"/>
      <w:r w:rsidRPr="00D76C86">
        <w:rPr>
          <w:color w:val="000000" w:themeColor="text1"/>
          <w:w w:val="110"/>
          <w:sz w:val="20"/>
          <w:lang w:val="uk-UA"/>
        </w:rPr>
        <w:t>ів</w:t>
      </w:r>
      <w:r w:rsidRPr="006B6651">
        <w:rPr>
          <w:color w:val="000000" w:themeColor="text1"/>
          <w:w w:val="110"/>
          <w:sz w:val="20"/>
          <w:lang w:val="ru-RU"/>
        </w:rPr>
        <w:t xml:space="preserve"> ДНК або </w:t>
      </w:r>
      <w:proofErr w:type="spellStart"/>
      <w:r w:rsidRPr="006B6651">
        <w:rPr>
          <w:color w:val="000000" w:themeColor="text1"/>
          <w:w w:val="110"/>
          <w:sz w:val="20"/>
          <w:lang w:val="ru-RU"/>
        </w:rPr>
        <w:t>мазків</w:t>
      </w:r>
      <w:proofErr w:type="spellEnd"/>
      <w:r w:rsidRPr="00D76C86">
        <w:rPr>
          <w:color w:val="000000" w:themeColor="text1"/>
          <w:w w:val="110"/>
          <w:sz w:val="20"/>
          <w:lang w:val="uk-UA"/>
        </w:rPr>
        <w:t xml:space="preserve"> на предметних скельцях, які вже показали позитивний результат</w:t>
      </w:r>
      <w:r w:rsidRPr="006B6651">
        <w:rPr>
          <w:color w:val="000000" w:themeColor="text1"/>
          <w:w w:val="110"/>
          <w:sz w:val="20"/>
          <w:lang w:val="ru-RU"/>
        </w:rPr>
        <w:t>).</w:t>
      </w:r>
    </w:p>
    <w:p w14:paraId="507D46B8" w14:textId="77777777" w:rsidR="00FE76F9" w:rsidRPr="006B6651" w:rsidRDefault="00FE76F9" w:rsidP="004A2937">
      <w:pPr>
        <w:pStyle w:val="a4"/>
        <w:numPr>
          <w:ilvl w:val="0"/>
          <w:numId w:val="50"/>
        </w:numPr>
        <w:tabs>
          <w:tab w:val="left" w:pos="2127"/>
        </w:tabs>
        <w:spacing w:before="3" w:line="276" w:lineRule="auto"/>
        <w:ind w:left="1134" w:right="6"/>
        <w:rPr>
          <w:color w:val="000000" w:themeColor="text1"/>
          <w:sz w:val="20"/>
          <w:lang w:val="ru-RU"/>
        </w:rPr>
      </w:pPr>
      <w:r w:rsidRPr="006B6651">
        <w:rPr>
          <w:color w:val="000000" w:themeColor="text1"/>
          <w:w w:val="110"/>
          <w:sz w:val="20"/>
          <w:lang w:val="ru-RU"/>
        </w:rPr>
        <w:t xml:space="preserve">Провести </w:t>
      </w:r>
      <w:r w:rsidRPr="00D76C86">
        <w:rPr>
          <w:color w:val="000000" w:themeColor="text1"/>
          <w:w w:val="110"/>
          <w:sz w:val="20"/>
          <w:lang w:val="uk-UA"/>
        </w:rPr>
        <w:t>всебічний аналіз</w:t>
      </w:r>
      <w:r w:rsidRPr="006B6651">
        <w:rPr>
          <w:color w:val="000000" w:themeColor="text1"/>
          <w:w w:val="110"/>
          <w:sz w:val="20"/>
          <w:lang w:val="ru-RU"/>
        </w:rPr>
        <w:t xml:space="preserve"> </w:t>
      </w:r>
      <w:r w:rsidRPr="00D76C86">
        <w:rPr>
          <w:color w:val="000000" w:themeColor="text1"/>
          <w:w w:val="110"/>
          <w:sz w:val="20"/>
          <w:lang w:val="uk-UA"/>
        </w:rPr>
        <w:t>наявних можливостей та ресурсів для</w:t>
      </w:r>
      <w:r w:rsidRPr="006B6651">
        <w:rPr>
          <w:color w:val="000000" w:themeColor="text1"/>
          <w:w w:val="110"/>
          <w:sz w:val="20"/>
          <w:lang w:val="ru-RU"/>
        </w:rPr>
        <w:t xml:space="preserve"> секвенування в </w:t>
      </w:r>
      <w:proofErr w:type="spellStart"/>
      <w:r w:rsidRPr="006B6651">
        <w:rPr>
          <w:color w:val="000000" w:themeColor="text1"/>
          <w:w w:val="110"/>
          <w:sz w:val="20"/>
          <w:lang w:val="ru-RU"/>
        </w:rPr>
        <w:t>країнах</w:t>
      </w:r>
      <w:proofErr w:type="spellEnd"/>
      <w:r w:rsidRPr="006B6651">
        <w:rPr>
          <w:color w:val="000000" w:themeColor="text1"/>
          <w:w w:val="110"/>
          <w:sz w:val="20"/>
          <w:lang w:val="ru-RU"/>
        </w:rPr>
        <w:t xml:space="preserve"> і </w:t>
      </w:r>
      <w:proofErr w:type="spellStart"/>
      <w:r w:rsidRPr="006B6651">
        <w:rPr>
          <w:color w:val="000000" w:themeColor="text1"/>
          <w:w w:val="110"/>
          <w:sz w:val="20"/>
          <w:lang w:val="ru-RU"/>
        </w:rPr>
        <w:t>оптимізувати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діагностичні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мережі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Розміщення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технології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має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враховувати</w:t>
      </w:r>
      <w:proofErr w:type="spellEnd"/>
      <w:r w:rsidRPr="006B6651">
        <w:rPr>
          <w:color w:val="000000" w:themeColor="text1"/>
          <w:w w:val="110"/>
          <w:sz w:val="20"/>
          <w:lang w:val="ru-RU"/>
        </w:rPr>
        <w:t xml:space="preserve"> потреби в </w:t>
      </w:r>
      <w:proofErr w:type="spellStart"/>
      <w:r w:rsidRPr="006B6651">
        <w:rPr>
          <w:color w:val="000000" w:themeColor="text1"/>
          <w:w w:val="110"/>
          <w:sz w:val="20"/>
          <w:lang w:val="ru-RU"/>
        </w:rPr>
        <w:t>секвенуванні</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кількох</w:t>
      </w:r>
      <w:proofErr w:type="spellEnd"/>
      <w:r w:rsidRPr="006B6651">
        <w:rPr>
          <w:color w:val="000000" w:themeColor="text1"/>
          <w:w w:val="110"/>
          <w:sz w:val="20"/>
          <w:lang w:val="ru-RU"/>
        </w:rPr>
        <w:t xml:space="preserve"> хвороб, </w:t>
      </w:r>
      <w:proofErr w:type="spellStart"/>
      <w:r w:rsidRPr="006B6651">
        <w:rPr>
          <w:color w:val="000000" w:themeColor="text1"/>
          <w:w w:val="110"/>
          <w:sz w:val="20"/>
          <w:lang w:val="ru-RU"/>
        </w:rPr>
        <w:t>сприяти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міждисциплінарному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використанню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приладів</w:t>
      </w:r>
      <w:proofErr w:type="spellEnd"/>
      <w:r w:rsidRPr="006B6651">
        <w:rPr>
          <w:color w:val="000000" w:themeColor="text1"/>
          <w:w w:val="110"/>
          <w:sz w:val="20"/>
          <w:lang w:val="ru-RU"/>
        </w:rPr>
        <w:t xml:space="preserve"> і </w:t>
      </w:r>
      <w:proofErr w:type="spellStart"/>
      <w:r w:rsidRPr="006B6651">
        <w:rPr>
          <w:color w:val="000000" w:themeColor="text1"/>
          <w:w w:val="110"/>
          <w:sz w:val="20"/>
          <w:lang w:val="ru-RU"/>
        </w:rPr>
        <w:t>спільному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покриттю</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витрат</w:t>
      </w:r>
      <w:proofErr w:type="spellEnd"/>
      <w:r w:rsidRPr="006B6651">
        <w:rPr>
          <w:color w:val="000000" w:themeColor="text1"/>
          <w:w w:val="110"/>
          <w:sz w:val="20"/>
          <w:lang w:val="ru-RU"/>
        </w:rPr>
        <w:t>.</w:t>
      </w:r>
    </w:p>
    <w:p w14:paraId="710EDCDA" w14:textId="26332F8F" w:rsidR="00FE76F9" w:rsidRPr="006B6651" w:rsidRDefault="0061310B" w:rsidP="004A2937">
      <w:pPr>
        <w:pStyle w:val="a4"/>
        <w:numPr>
          <w:ilvl w:val="0"/>
          <w:numId w:val="50"/>
        </w:numPr>
        <w:tabs>
          <w:tab w:val="left" w:pos="2127"/>
        </w:tabs>
        <w:spacing w:before="5" w:line="276" w:lineRule="auto"/>
        <w:ind w:left="1134" w:right="4"/>
        <w:rPr>
          <w:color w:val="000000" w:themeColor="text1"/>
          <w:sz w:val="20"/>
          <w:lang w:val="ru-RU"/>
        </w:rPr>
      </w:pPr>
      <w:r w:rsidRPr="00A816CE">
        <w:rPr>
          <w:noProof/>
        </w:rPr>
        <mc:AlternateContent>
          <mc:Choice Requires="wps">
            <w:drawing>
              <wp:anchor distT="0" distB="0" distL="0" distR="0" simplePos="0" relativeHeight="488206848" behindDoc="1" locked="0" layoutInCell="1" allowOverlap="1" wp14:anchorId="23C893F6" wp14:editId="4321CBAB">
                <wp:simplePos x="0" y="0"/>
                <wp:positionH relativeFrom="page">
                  <wp:posOffset>912495</wp:posOffset>
                </wp:positionH>
                <wp:positionV relativeFrom="paragraph">
                  <wp:posOffset>561975</wp:posOffset>
                </wp:positionV>
                <wp:extent cx="1440180" cy="1270"/>
                <wp:effectExtent l="13970" t="13335" r="12700" b="4445"/>
                <wp:wrapTopAndBottom/>
                <wp:docPr id="10" name="Полілінія: фігур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1270"/>
                        </a:xfrm>
                        <a:custGeom>
                          <a:avLst/>
                          <a:gdLst>
                            <a:gd name="T0" fmla="+- 0 1417 1417"/>
                            <a:gd name="T1" fmla="*/ T0 w 2268"/>
                            <a:gd name="T2" fmla="+- 0 3685 1417"/>
                            <a:gd name="T3" fmla="*/ T2 w 2268"/>
                          </a:gdLst>
                          <a:ahLst/>
                          <a:cxnLst>
                            <a:cxn ang="0">
                              <a:pos x="T1" y="0"/>
                            </a:cxn>
                            <a:cxn ang="0">
                              <a:pos x="T3" y="0"/>
                            </a:cxn>
                          </a:cxnLst>
                          <a:rect l="0" t="0" r="r" b="b"/>
                          <a:pathLst>
                            <a:path w="2268">
                              <a:moveTo>
                                <a:pt x="0" y="0"/>
                              </a:moveTo>
                              <a:lnTo>
                                <a:pt x="226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FDC20" id="Полілінія: фігура 10" o:spid="_x0000_s1026" style="position:absolute;margin-left:71.85pt;margin-top:44.25pt;width:113.4pt;height:.1pt;z-index:-1510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" path="m,l2268,e" filled="f" strokeweight=".5pt">
                <v:path arrowok="t" o:connecttype="custom" o:connectlocs="0,0;1440180,0" o:connectangles="0,0"/>
                <w10:wrap type="topAndBottom" anchorx="page"/>
              </v:shape>
            </w:pict>
          </mc:Fallback>
        </mc:AlternateContent>
      </w:r>
      <w:proofErr w:type="spellStart"/>
      <w:r w:rsidR="00FE76F9" w:rsidRPr="006B6651">
        <w:rPr>
          <w:color w:val="000000" w:themeColor="text1"/>
          <w:w w:val="110"/>
          <w:sz w:val="20"/>
          <w:lang w:val="ru-RU"/>
        </w:rPr>
        <w:t>Зібрати</w:t>
      </w:r>
      <w:proofErr w:type="spellEnd"/>
      <w:r w:rsidR="00FE76F9" w:rsidRPr="006B6651">
        <w:rPr>
          <w:color w:val="000000" w:themeColor="text1"/>
          <w:w w:val="110"/>
          <w:sz w:val="20"/>
          <w:lang w:val="ru-RU"/>
        </w:rPr>
        <w:t xml:space="preserve"> й </w:t>
      </w:r>
      <w:proofErr w:type="spellStart"/>
      <w:r w:rsidR="00FE76F9" w:rsidRPr="006B6651">
        <w:rPr>
          <w:color w:val="000000" w:themeColor="text1"/>
          <w:w w:val="110"/>
          <w:sz w:val="20"/>
          <w:lang w:val="ru-RU"/>
        </w:rPr>
        <w:t>використати</w:t>
      </w:r>
      <w:proofErr w:type="spellEnd"/>
      <w:r w:rsidR="00FE76F9" w:rsidRPr="006B6651">
        <w:rPr>
          <w:color w:val="000000" w:themeColor="text1"/>
          <w:w w:val="110"/>
          <w:sz w:val="20"/>
          <w:lang w:val="ru-RU"/>
        </w:rPr>
        <w:t xml:space="preserve"> </w:t>
      </w:r>
      <w:proofErr w:type="spellStart"/>
      <w:r w:rsidR="00FE76F9" w:rsidRPr="006B6651">
        <w:rPr>
          <w:color w:val="000000" w:themeColor="text1"/>
          <w:w w:val="110"/>
          <w:sz w:val="20"/>
          <w:lang w:val="ru-RU"/>
        </w:rPr>
        <w:t>досвід</w:t>
      </w:r>
      <w:proofErr w:type="spellEnd"/>
      <w:r w:rsidR="00FE76F9" w:rsidRPr="006B6651">
        <w:rPr>
          <w:color w:val="000000" w:themeColor="text1"/>
          <w:w w:val="110"/>
          <w:sz w:val="20"/>
          <w:lang w:val="ru-RU"/>
        </w:rPr>
        <w:t xml:space="preserve"> </w:t>
      </w:r>
      <w:proofErr w:type="spellStart"/>
      <w:r w:rsidR="00FE76F9" w:rsidRPr="006B6651">
        <w:rPr>
          <w:color w:val="000000" w:themeColor="text1"/>
          <w:w w:val="110"/>
          <w:sz w:val="20"/>
          <w:lang w:val="ru-RU"/>
        </w:rPr>
        <w:t>застосування</w:t>
      </w:r>
      <w:proofErr w:type="spellEnd"/>
      <w:r w:rsidR="00FE76F9" w:rsidRPr="006B6651">
        <w:rPr>
          <w:color w:val="000000" w:themeColor="text1"/>
          <w:w w:val="110"/>
          <w:sz w:val="20"/>
          <w:lang w:val="ru-RU"/>
        </w:rPr>
        <w:t xml:space="preserve"> таргетного СНП у </w:t>
      </w:r>
      <w:proofErr w:type="spellStart"/>
      <w:r w:rsidR="00FE76F9" w:rsidRPr="006B6651">
        <w:rPr>
          <w:color w:val="000000" w:themeColor="text1"/>
          <w:w w:val="110"/>
          <w:sz w:val="20"/>
          <w:lang w:val="ru-RU"/>
        </w:rPr>
        <w:t>діагностиці</w:t>
      </w:r>
      <w:proofErr w:type="spellEnd"/>
      <w:r w:rsidR="00FE76F9" w:rsidRPr="006B6651">
        <w:rPr>
          <w:color w:val="000000" w:themeColor="text1"/>
          <w:w w:val="110"/>
          <w:sz w:val="20"/>
          <w:lang w:val="ru-RU"/>
        </w:rPr>
        <w:t xml:space="preserve"> </w:t>
      </w:r>
      <w:proofErr w:type="spellStart"/>
      <w:r w:rsidR="00FE76F9" w:rsidRPr="006B6651">
        <w:rPr>
          <w:color w:val="000000" w:themeColor="text1"/>
          <w:w w:val="110"/>
          <w:sz w:val="20"/>
          <w:lang w:val="ru-RU"/>
        </w:rPr>
        <w:t>інших</w:t>
      </w:r>
      <w:proofErr w:type="spellEnd"/>
      <w:r w:rsidR="00FE76F9" w:rsidRPr="006B6651">
        <w:rPr>
          <w:color w:val="000000" w:themeColor="text1"/>
          <w:w w:val="110"/>
          <w:sz w:val="20"/>
          <w:lang w:val="ru-RU"/>
        </w:rPr>
        <w:t xml:space="preserve"> хвороб (</w:t>
      </w:r>
      <w:proofErr w:type="spellStart"/>
      <w:r w:rsidR="00FE76F9" w:rsidRPr="006B6651">
        <w:rPr>
          <w:color w:val="000000" w:themeColor="text1"/>
          <w:w w:val="110"/>
          <w:sz w:val="20"/>
          <w:lang w:val="ru-RU"/>
        </w:rPr>
        <w:t>наприклад</w:t>
      </w:r>
      <w:proofErr w:type="spellEnd"/>
      <w:r w:rsidR="00FE76F9" w:rsidRPr="006B6651">
        <w:rPr>
          <w:color w:val="000000" w:themeColor="text1"/>
          <w:w w:val="110"/>
          <w:sz w:val="20"/>
          <w:lang w:val="ru-RU"/>
        </w:rPr>
        <w:t xml:space="preserve">, </w:t>
      </w:r>
      <w:r w:rsidR="00FE76F9" w:rsidRPr="00D76C86">
        <w:rPr>
          <w:color w:val="000000" w:themeColor="text1"/>
          <w:w w:val="110"/>
          <w:sz w:val="20"/>
        </w:rPr>
        <w:t>COVID</w:t>
      </w:r>
      <w:r w:rsidR="00FE76F9" w:rsidRPr="006B6651">
        <w:rPr>
          <w:color w:val="000000" w:themeColor="text1"/>
          <w:w w:val="110"/>
          <w:sz w:val="20"/>
          <w:lang w:val="ru-RU"/>
        </w:rPr>
        <w:t xml:space="preserve">-19), </w:t>
      </w:r>
      <w:proofErr w:type="spellStart"/>
      <w:r w:rsidR="00FE76F9" w:rsidRPr="006B6651">
        <w:rPr>
          <w:color w:val="000000" w:themeColor="text1"/>
          <w:w w:val="110"/>
          <w:sz w:val="20"/>
          <w:lang w:val="ru-RU"/>
        </w:rPr>
        <w:t>щоб</w:t>
      </w:r>
      <w:proofErr w:type="spellEnd"/>
      <w:r w:rsidR="00FE76F9" w:rsidRPr="006B6651">
        <w:rPr>
          <w:color w:val="000000" w:themeColor="text1"/>
          <w:w w:val="110"/>
          <w:sz w:val="20"/>
          <w:lang w:val="ru-RU"/>
        </w:rPr>
        <w:t xml:space="preserve"> </w:t>
      </w:r>
      <w:proofErr w:type="spellStart"/>
      <w:r w:rsidR="00FE76F9" w:rsidRPr="006B6651">
        <w:rPr>
          <w:color w:val="000000" w:themeColor="text1"/>
          <w:w w:val="110"/>
          <w:sz w:val="20"/>
          <w:lang w:val="ru-RU"/>
        </w:rPr>
        <w:t>розробити</w:t>
      </w:r>
      <w:proofErr w:type="spellEnd"/>
      <w:r w:rsidR="00FE76F9" w:rsidRPr="006B6651">
        <w:rPr>
          <w:color w:val="000000" w:themeColor="text1"/>
          <w:w w:val="110"/>
          <w:sz w:val="20"/>
          <w:lang w:val="ru-RU"/>
        </w:rPr>
        <w:t xml:space="preserve"> </w:t>
      </w:r>
      <w:proofErr w:type="spellStart"/>
      <w:r w:rsidR="00FE76F9" w:rsidRPr="006B6651">
        <w:rPr>
          <w:color w:val="000000" w:themeColor="text1"/>
          <w:w w:val="110"/>
          <w:sz w:val="20"/>
          <w:lang w:val="ru-RU"/>
        </w:rPr>
        <w:t>ефективні</w:t>
      </w:r>
      <w:proofErr w:type="spellEnd"/>
      <w:r w:rsidR="00FE76F9" w:rsidRPr="006B6651">
        <w:rPr>
          <w:color w:val="000000" w:themeColor="text1"/>
          <w:w w:val="110"/>
          <w:sz w:val="20"/>
          <w:lang w:val="ru-RU"/>
        </w:rPr>
        <w:t xml:space="preserve"> </w:t>
      </w:r>
      <w:proofErr w:type="spellStart"/>
      <w:r w:rsidR="00FE76F9" w:rsidRPr="006B6651">
        <w:rPr>
          <w:color w:val="000000" w:themeColor="text1"/>
          <w:w w:val="110"/>
          <w:sz w:val="20"/>
          <w:lang w:val="ru-RU"/>
        </w:rPr>
        <w:t>стратегії</w:t>
      </w:r>
      <w:proofErr w:type="spellEnd"/>
      <w:r w:rsidR="00FE76F9" w:rsidRPr="006B6651">
        <w:rPr>
          <w:color w:val="000000" w:themeColor="text1"/>
          <w:w w:val="110"/>
          <w:sz w:val="20"/>
          <w:lang w:val="ru-RU"/>
        </w:rPr>
        <w:t xml:space="preserve"> </w:t>
      </w:r>
      <w:proofErr w:type="spellStart"/>
      <w:r w:rsidR="00FE76F9" w:rsidRPr="006B6651">
        <w:rPr>
          <w:color w:val="000000" w:themeColor="text1"/>
          <w:w w:val="110"/>
          <w:sz w:val="20"/>
          <w:lang w:val="ru-RU"/>
        </w:rPr>
        <w:t>впровадження</w:t>
      </w:r>
      <w:proofErr w:type="spellEnd"/>
      <w:r w:rsidR="00FE76F9" w:rsidRPr="006B6651">
        <w:rPr>
          <w:color w:val="000000" w:themeColor="text1"/>
          <w:w w:val="110"/>
          <w:sz w:val="20"/>
          <w:lang w:val="ru-RU"/>
        </w:rPr>
        <w:t xml:space="preserve"> для ТБ.</w:t>
      </w:r>
      <w:r w:rsidR="004A2937">
        <w:rPr>
          <w:color w:val="000000" w:themeColor="text1"/>
          <w:w w:val="110"/>
          <w:sz w:val="20"/>
          <w:lang w:val="ru-RU"/>
        </w:rPr>
        <w:t xml:space="preserve">  </w:t>
      </w:r>
    </w:p>
    <w:p w14:paraId="30CC0E8E" w14:textId="6C0DCF46" w:rsidR="0061310B" w:rsidRPr="0061310B" w:rsidRDefault="0061310B" w:rsidP="00FE76F9">
      <w:pPr>
        <w:pStyle w:val="a3"/>
        <w:spacing w:before="5"/>
        <w:rPr>
          <w:sz w:val="6"/>
          <w:szCs w:val="6"/>
          <w:lang w:val="ru-RU"/>
        </w:rPr>
      </w:pPr>
    </w:p>
    <w:p w14:paraId="237C722F" w14:textId="097EE62E" w:rsidR="00FE76F9" w:rsidRPr="006B6651" w:rsidRDefault="00FE76F9" w:rsidP="0061310B">
      <w:pPr>
        <w:spacing w:before="90"/>
        <w:ind w:left="851" w:right="-138" w:hanging="283"/>
        <w:rPr>
          <w:color w:val="000000" w:themeColor="text1"/>
          <w:w w:val="110"/>
          <w:sz w:val="16"/>
          <w:lang w:val="ru-RU"/>
        </w:rPr>
      </w:pPr>
      <w:r w:rsidRPr="006B6651">
        <w:rPr>
          <w:w w:val="110"/>
          <w:position w:val="6"/>
          <w:sz w:val="9"/>
          <w:lang w:val="ru-RU"/>
        </w:rPr>
        <w:t xml:space="preserve">14 </w:t>
      </w:r>
      <w:proofErr w:type="spellStart"/>
      <w:r w:rsidRPr="006B6651">
        <w:rPr>
          <w:color w:val="000000" w:themeColor="text1"/>
          <w:w w:val="110"/>
          <w:sz w:val="16"/>
          <w:lang w:val="ru-RU"/>
        </w:rPr>
        <w:t>Смертність</w:t>
      </w:r>
      <w:proofErr w:type="spellEnd"/>
      <w:r w:rsidRPr="006B6651">
        <w:rPr>
          <w:color w:val="000000" w:themeColor="text1"/>
          <w:w w:val="110"/>
          <w:sz w:val="16"/>
          <w:lang w:val="ru-RU"/>
        </w:rPr>
        <w:t xml:space="preserve">, </w:t>
      </w:r>
      <w:r w:rsidRPr="003213CE">
        <w:rPr>
          <w:color w:val="000000" w:themeColor="text1"/>
          <w:w w:val="110"/>
          <w:sz w:val="16"/>
          <w:lang w:val="uk-UA"/>
        </w:rPr>
        <w:t>Вилікування</w:t>
      </w:r>
      <w:r w:rsidRPr="006B6651">
        <w:rPr>
          <w:color w:val="000000" w:themeColor="text1"/>
          <w:w w:val="110"/>
          <w:sz w:val="16"/>
          <w:lang w:val="ru-RU"/>
        </w:rPr>
        <w:t xml:space="preserve">, </w:t>
      </w:r>
      <w:r w:rsidRPr="00D76C86">
        <w:rPr>
          <w:color w:val="000000" w:themeColor="text1"/>
          <w:w w:val="110"/>
          <w:sz w:val="16"/>
          <w:lang w:val="uk-UA"/>
        </w:rPr>
        <w:t>В</w:t>
      </w:r>
      <w:r w:rsidRPr="006B6651">
        <w:rPr>
          <w:color w:val="000000" w:themeColor="text1"/>
          <w:w w:val="110"/>
          <w:sz w:val="16"/>
          <w:lang w:val="ru-RU"/>
        </w:rPr>
        <w:t>трат</w:t>
      </w:r>
      <w:r w:rsidRPr="00D76C86">
        <w:rPr>
          <w:color w:val="000000" w:themeColor="text1"/>
          <w:w w:val="110"/>
          <w:sz w:val="16"/>
          <w:lang w:val="uk-UA"/>
        </w:rPr>
        <w:t>а</w:t>
      </w:r>
      <w:r w:rsidRPr="006B6651">
        <w:rPr>
          <w:color w:val="000000" w:themeColor="text1"/>
          <w:w w:val="110"/>
          <w:sz w:val="16"/>
          <w:lang w:val="ru-RU"/>
        </w:rPr>
        <w:t xml:space="preserve"> для </w:t>
      </w:r>
      <w:proofErr w:type="spellStart"/>
      <w:r w:rsidRPr="006B6651">
        <w:rPr>
          <w:color w:val="000000" w:themeColor="text1"/>
          <w:w w:val="110"/>
          <w:sz w:val="16"/>
          <w:lang w:val="ru-RU"/>
        </w:rPr>
        <w:t>подальшого</w:t>
      </w:r>
      <w:proofErr w:type="spellEnd"/>
      <w:r w:rsidRPr="006B6651">
        <w:rPr>
          <w:color w:val="000000" w:themeColor="text1"/>
          <w:w w:val="110"/>
          <w:sz w:val="16"/>
          <w:lang w:val="ru-RU"/>
        </w:rPr>
        <w:t xml:space="preserve"> </w:t>
      </w:r>
      <w:proofErr w:type="spellStart"/>
      <w:r w:rsidRPr="006B6651">
        <w:rPr>
          <w:color w:val="000000" w:themeColor="text1"/>
          <w:w w:val="110"/>
          <w:sz w:val="16"/>
          <w:lang w:val="ru-RU"/>
        </w:rPr>
        <w:t>спостереження</w:t>
      </w:r>
      <w:proofErr w:type="spellEnd"/>
      <w:r w:rsidRPr="006B6651">
        <w:rPr>
          <w:color w:val="000000" w:themeColor="text1"/>
          <w:w w:val="110"/>
          <w:sz w:val="16"/>
          <w:lang w:val="ru-RU"/>
        </w:rPr>
        <w:t xml:space="preserve">; </w:t>
      </w:r>
      <w:r w:rsidRPr="00D76C86">
        <w:rPr>
          <w:color w:val="000000" w:themeColor="text1"/>
          <w:w w:val="110"/>
          <w:sz w:val="16"/>
          <w:lang w:val="uk-UA"/>
        </w:rPr>
        <w:t>Ч</w:t>
      </w:r>
      <w:r w:rsidRPr="006B6651">
        <w:rPr>
          <w:color w:val="000000" w:themeColor="text1"/>
          <w:w w:val="110"/>
          <w:sz w:val="16"/>
          <w:lang w:val="ru-RU"/>
        </w:rPr>
        <w:t xml:space="preserve">ас до </w:t>
      </w:r>
      <w:r w:rsidRPr="00D76C86">
        <w:rPr>
          <w:color w:val="000000" w:themeColor="text1"/>
          <w:w w:val="110"/>
          <w:sz w:val="16"/>
          <w:lang w:val="uk-UA"/>
        </w:rPr>
        <w:t xml:space="preserve">встановлення </w:t>
      </w:r>
      <w:proofErr w:type="spellStart"/>
      <w:r w:rsidRPr="006B6651">
        <w:rPr>
          <w:color w:val="000000" w:themeColor="text1"/>
          <w:w w:val="110"/>
          <w:sz w:val="16"/>
          <w:lang w:val="ru-RU"/>
        </w:rPr>
        <w:t>діагнозу</w:t>
      </w:r>
      <w:proofErr w:type="spellEnd"/>
      <w:r w:rsidRPr="006B6651">
        <w:rPr>
          <w:color w:val="000000" w:themeColor="text1"/>
          <w:w w:val="110"/>
          <w:sz w:val="16"/>
          <w:lang w:val="ru-RU"/>
        </w:rPr>
        <w:t xml:space="preserve">; </w:t>
      </w:r>
      <w:r w:rsidRPr="00D76C86">
        <w:rPr>
          <w:color w:val="000000" w:themeColor="text1"/>
          <w:w w:val="110"/>
          <w:sz w:val="16"/>
          <w:lang w:val="uk-UA"/>
        </w:rPr>
        <w:t>Ч</w:t>
      </w:r>
      <w:r w:rsidRPr="006B6651">
        <w:rPr>
          <w:color w:val="000000" w:themeColor="text1"/>
          <w:w w:val="110"/>
          <w:sz w:val="16"/>
          <w:lang w:val="ru-RU"/>
        </w:rPr>
        <w:t>ас до початку лікування</w:t>
      </w:r>
    </w:p>
    <w:p w14:paraId="78352EC4" w14:textId="14B44357" w:rsidR="00FE76F9" w:rsidRPr="006B6651" w:rsidRDefault="004A2937" w:rsidP="00FE76F9">
      <w:pPr>
        <w:widowControl/>
        <w:autoSpaceDE/>
        <w:autoSpaceDN/>
        <w:spacing w:after="160" w:line="259" w:lineRule="auto"/>
        <w:rPr>
          <w:color w:val="000000" w:themeColor="text1"/>
          <w:w w:val="110"/>
          <w:sz w:val="16"/>
          <w:lang w:val="ru-RU"/>
        </w:rPr>
      </w:pPr>
      <w:r>
        <w:rPr>
          <w:noProof/>
          <w:color w:val="000000" w:themeColor="text1"/>
          <w:sz w:val="20"/>
        </w:rPr>
        <mc:AlternateContent>
          <mc:Choice Requires="wps">
            <w:drawing>
              <wp:anchor distT="0" distB="0" distL="114300" distR="114300" simplePos="0" relativeHeight="488244736" behindDoc="0" locked="0" layoutInCell="1" allowOverlap="1" wp14:anchorId="0D75D568" wp14:editId="75EF3C74">
                <wp:simplePos x="0" y="0"/>
                <wp:positionH relativeFrom="margin">
                  <wp:posOffset>6007100</wp:posOffset>
                </wp:positionH>
                <wp:positionV relativeFrom="paragraph">
                  <wp:posOffset>247650</wp:posOffset>
                </wp:positionV>
                <wp:extent cx="482600" cy="266700"/>
                <wp:effectExtent l="0" t="0" r="0" b="0"/>
                <wp:wrapNone/>
                <wp:docPr id="1462368115" name="Поле 1942"/>
                <wp:cNvGraphicFramePr/>
                <a:graphic xmlns:a="http://schemas.openxmlformats.org/drawingml/2006/main">
                  <a:graphicData uri="http://schemas.microsoft.com/office/word/2010/wordprocessingShape">
                    <wps:wsp>
                      <wps:cNvSpPr txBox="1"/>
                      <wps:spPr>
                        <a:xfrm>
                          <a:off x="0" y="0"/>
                          <a:ext cx="482600" cy="266700"/>
                        </a:xfrm>
                        <a:prstGeom prst="rect">
                          <a:avLst/>
                        </a:prstGeom>
                        <a:solidFill>
                          <a:schemeClr val="lt1"/>
                        </a:solidFill>
                        <a:ln w="6350">
                          <a:noFill/>
                        </a:ln>
                      </wps:spPr>
                      <wps:txbx>
                        <w:txbxContent>
                          <w:p w14:paraId="55BF3AAF" w14:textId="29335367" w:rsidR="004A2937" w:rsidRPr="004A2937" w:rsidRDefault="004A2937" w:rsidP="004A2937">
                            <w:pPr>
                              <w:rPr>
                                <w:color w:val="388600"/>
                                <w:sz w:val="20"/>
                                <w:szCs w:val="20"/>
                                <w:lang w:val="uk-UA"/>
                              </w:rPr>
                            </w:pPr>
                            <w:r w:rsidRPr="004A2937">
                              <w:rPr>
                                <w:color w:val="388600"/>
                                <w:sz w:val="20"/>
                                <w:szCs w:val="20"/>
                                <w:lang w:val="uk-UA"/>
                              </w:rPr>
                              <w:t>1</w:t>
                            </w:r>
                            <w:r>
                              <w:rPr>
                                <w:color w:val="388600"/>
                                <w:sz w:val="20"/>
                                <w:szCs w:val="20"/>
                                <w:lang w:val="uk-UA"/>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75D568" id="_x0000_s1185" type="#_x0000_t202" style="position:absolute;margin-left:473pt;margin-top:19.5pt;width:38pt;height:21pt;z-index:48824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" fillcolor="white [3201]" stroked="f" strokeweight=".5pt">
                <v:textbox>
                  <w:txbxContent>
                    <w:p w14:paraId="55BF3AAF" w14:textId="29335367" w:rsidR="004A2937" w:rsidRPr="004A2937" w:rsidRDefault="004A2937" w:rsidP="004A2937">
                      <w:pPr>
                        <w:rPr>
                          <w:color w:val="388600"/>
                          <w:sz w:val="20"/>
                          <w:szCs w:val="20"/>
                          <w:lang w:val="uk-UA"/>
                        </w:rPr>
                      </w:pPr>
                      <w:r w:rsidRPr="004A2937">
                        <w:rPr>
                          <w:color w:val="388600"/>
                          <w:sz w:val="20"/>
                          <w:szCs w:val="20"/>
                          <w:lang w:val="uk-UA"/>
                        </w:rPr>
                        <w:t>1</w:t>
                      </w:r>
                      <w:r>
                        <w:rPr>
                          <w:color w:val="388600"/>
                          <w:sz w:val="20"/>
                          <w:szCs w:val="20"/>
                          <w:lang w:val="uk-UA"/>
                        </w:rPr>
                        <w:t>17</w:t>
                      </w:r>
                    </w:p>
                  </w:txbxContent>
                </v:textbox>
                <w10:wrap anchorx="margin"/>
              </v:shape>
            </w:pict>
          </mc:Fallback>
        </mc:AlternateContent>
      </w:r>
      <w:r w:rsidR="00FE76F9" w:rsidRPr="006B6651">
        <w:rPr>
          <w:color w:val="000000" w:themeColor="text1"/>
          <w:w w:val="110"/>
          <w:sz w:val="16"/>
          <w:lang w:val="ru-RU"/>
        </w:rPr>
        <w:br w:type="page"/>
      </w:r>
    </w:p>
    <w:p w14:paraId="3988D195" w14:textId="77777777" w:rsidR="00FE76F9" w:rsidRPr="00A816CE" w:rsidRDefault="00FE76F9" w:rsidP="00FE76F9">
      <w:pPr>
        <w:pStyle w:val="7"/>
        <w:spacing w:before="70"/>
        <w:rPr>
          <w:rFonts w:ascii="Microsoft Sans Serif" w:hAnsi="Microsoft Sans Serif" w:cs="Microsoft Sans Serif"/>
        </w:rPr>
      </w:pPr>
      <w:proofErr w:type="spellStart"/>
      <w:r w:rsidRPr="00595828">
        <w:rPr>
          <w:rFonts w:ascii="Microsoft Sans Serif" w:hAnsi="Microsoft Sans Serif" w:cs="Microsoft Sans Serif"/>
          <w:color w:val="019648"/>
        </w:rPr>
        <w:lastRenderedPageBreak/>
        <w:t>Моніторинг</w:t>
      </w:r>
      <w:proofErr w:type="spellEnd"/>
      <w:r w:rsidRPr="00595828">
        <w:rPr>
          <w:rFonts w:ascii="Microsoft Sans Serif" w:hAnsi="Microsoft Sans Serif" w:cs="Microsoft Sans Serif"/>
          <w:color w:val="019648"/>
        </w:rPr>
        <w:t xml:space="preserve"> і </w:t>
      </w:r>
      <w:proofErr w:type="spellStart"/>
      <w:r w:rsidRPr="00595828">
        <w:rPr>
          <w:rFonts w:ascii="Microsoft Sans Serif" w:hAnsi="Microsoft Sans Serif" w:cs="Microsoft Sans Serif"/>
          <w:color w:val="019648"/>
        </w:rPr>
        <w:t>оцінка</w:t>
      </w:r>
      <w:proofErr w:type="spellEnd"/>
      <w:r w:rsidRPr="00595828">
        <w:rPr>
          <w:rFonts w:ascii="Microsoft Sans Serif" w:hAnsi="Microsoft Sans Serif" w:cs="Microsoft Sans Serif"/>
          <w:color w:val="019648"/>
        </w:rPr>
        <w:t>:</w:t>
      </w:r>
    </w:p>
    <w:p w14:paraId="50DD0F0E" w14:textId="77777777" w:rsidR="00FE76F9" w:rsidRPr="006B6651" w:rsidRDefault="00FE76F9" w:rsidP="004A2937">
      <w:pPr>
        <w:pStyle w:val="a4"/>
        <w:numPr>
          <w:ilvl w:val="0"/>
          <w:numId w:val="50"/>
        </w:numPr>
        <w:tabs>
          <w:tab w:val="left" w:pos="2268"/>
        </w:tabs>
        <w:spacing w:before="218" w:line="276" w:lineRule="auto"/>
        <w:ind w:left="1276" w:right="4"/>
        <w:rPr>
          <w:color w:val="000000" w:themeColor="text1"/>
          <w:sz w:val="20"/>
          <w:lang w:val="ru-RU"/>
        </w:rPr>
      </w:pPr>
      <w:proofErr w:type="spellStart"/>
      <w:r w:rsidRPr="006B6651">
        <w:rPr>
          <w:color w:val="000000" w:themeColor="text1"/>
          <w:w w:val="110"/>
          <w:sz w:val="20"/>
          <w:lang w:val="ru-RU"/>
        </w:rPr>
        <w:t>Уніфікувати</w:t>
      </w:r>
      <w:proofErr w:type="spellEnd"/>
      <w:r w:rsidRPr="006B6651">
        <w:rPr>
          <w:color w:val="000000" w:themeColor="text1"/>
          <w:w w:val="110"/>
          <w:sz w:val="20"/>
          <w:lang w:val="ru-RU"/>
        </w:rPr>
        <w:t xml:space="preserve"> номенклатуру </w:t>
      </w:r>
      <w:proofErr w:type="spellStart"/>
      <w:r w:rsidRPr="006B6651">
        <w:rPr>
          <w:color w:val="000000" w:themeColor="text1"/>
          <w:w w:val="110"/>
          <w:sz w:val="20"/>
          <w:lang w:val="ru-RU"/>
        </w:rPr>
        <w:t>звітування</w:t>
      </w:r>
      <w:proofErr w:type="spellEnd"/>
      <w:r w:rsidRPr="006B6651">
        <w:rPr>
          <w:color w:val="000000" w:themeColor="text1"/>
          <w:w w:val="110"/>
          <w:sz w:val="20"/>
          <w:lang w:val="ru-RU"/>
        </w:rPr>
        <w:t xml:space="preserve"> про </w:t>
      </w:r>
      <w:proofErr w:type="spellStart"/>
      <w:r w:rsidRPr="006B6651">
        <w:rPr>
          <w:color w:val="000000" w:themeColor="text1"/>
          <w:w w:val="110"/>
          <w:sz w:val="20"/>
          <w:lang w:val="ru-RU"/>
        </w:rPr>
        <w:t>результати</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різних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технологій</w:t>
      </w:r>
      <w:proofErr w:type="spellEnd"/>
      <w:r w:rsidRPr="006B6651">
        <w:rPr>
          <w:color w:val="000000" w:themeColor="text1"/>
          <w:w w:val="110"/>
          <w:sz w:val="20"/>
          <w:lang w:val="ru-RU"/>
        </w:rPr>
        <w:t xml:space="preserve"> таргетного СНП для </w:t>
      </w:r>
      <w:proofErr w:type="spellStart"/>
      <w:r w:rsidRPr="006B6651">
        <w:rPr>
          <w:color w:val="000000" w:themeColor="text1"/>
          <w:w w:val="110"/>
          <w:sz w:val="20"/>
          <w:lang w:val="ru-RU"/>
        </w:rPr>
        <w:t>інтеграції</w:t>
      </w:r>
      <w:proofErr w:type="spellEnd"/>
      <w:r w:rsidRPr="006B6651">
        <w:rPr>
          <w:color w:val="000000" w:themeColor="text1"/>
          <w:w w:val="110"/>
          <w:sz w:val="20"/>
          <w:lang w:val="ru-RU"/>
        </w:rPr>
        <w:t xml:space="preserve"> в </w:t>
      </w:r>
      <w:proofErr w:type="spellStart"/>
      <w:r w:rsidRPr="006B6651">
        <w:rPr>
          <w:color w:val="000000" w:themeColor="text1"/>
          <w:w w:val="110"/>
          <w:sz w:val="20"/>
          <w:lang w:val="ru-RU"/>
        </w:rPr>
        <w:t>інформаційні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системи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охорони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здоровʼя</w:t>
      </w:r>
      <w:proofErr w:type="spellEnd"/>
      <w:r w:rsidRPr="006B6651">
        <w:rPr>
          <w:color w:val="000000" w:themeColor="text1"/>
          <w:w w:val="110"/>
          <w:sz w:val="20"/>
          <w:lang w:val="ru-RU"/>
        </w:rPr>
        <w:t>.</w:t>
      </w:r>
    </w:p>
    <w:p w14:paraId="4B976254" w14:textId="77777777" w:rsidR="00FE76F9" w:rsidRPr="006B6651" w:rsidRDefault="00FE76F9" w:rsidP="004A2937">
      <w:pPr>
        <w:pStyle w:val="a4"/>
        <w:numPr>
          <w:ilvl w:val="0"/>
          <w:numId w:val="50"/>
        </w:numPr>
        <w:tabs>
          <w:tab w:val="left" w:pos="2268"/>
        </w:tabs>
        <w:spacing w:before="2" w:line="276" w:lineRule="auto"/>
        <w:ind w:left="1276" w:right="4"/>
        <w:rPr>
          <w:color w:val="000000" w:themeColor="text1"/>
          <w:sz w:val="20"/>
          <w:lang w:val="ru-RU"/>
        </w:rPr>
      </w:pPr>
      <w:proofErr w:type="spellStart"/>
      <w:r w:rsidRPr="006B6651">
        <w:rPr>
          <w:color w:val="000000" w:themeColor="text1"/>
          <w:w w:val="110"/>
          <w:sz w:val="20"/>
          <w:lang w:val="ru-RU"/>
        </w:rPr>
        <w:t>Забезпечити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окремий</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облік</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справжніх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технічних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збоїв</w:t>
      </w:r>
      <w:proofErr w:type="spellEnd"/>
      <w:r w:rsidRPr="006B6651">
        <w:rPr>
          <w:color w:val="000000" w:themeColor="text1"/>
          <w:w w:val="110"/>
          <w:sz w:val="20"/>
          <w:lang w:val="ru-RU"/>
        </w:rPr>
        <w:t xml:space="preserve"> і </w:t>
      </w:r>
      <w:proofErr w:type="spellStart"/>
      <w:r w:rsidRPr="006B6651">
        <w:rPr>
          <w:color w:val="000000" w:themeColor="text1"/>
          <w:w w:val="110"/>
          <w:sz w:val="20"/>
          <w:lang w:val="ru-RU"/>
        </w:rPr>
        <w:t>некласифікованих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мутацій</w:t>
      </w:r>
      <w:proofErr w:type="spellEnd"/>
      <w:r w:rsidRPr="006B6651">
        <w:rPr>
          <w:color w:val="000000" w:themeColor="text1"/>
          <w:w w:val="110"/>
          <w:sz w:val="20"/>
          <w:lang w:val="ru-RU"/>
        </w:rPr>
        <w:t xml:space="preserve"> і </w:t>
      </w:r>
      <w:proofErr w:type="spellStart"/>
      <w:r w:rsidRPr="006B6651">
        <w:rPr>
          <w:color w:val="000000" w:themeColor="text1"/>
          <w:w w:val="110"/>
          <w:sz w:val="20"/>
          <w:lang w:val="ru-RU"/>
        </w:rPr>
        <w:t>відстежувати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ці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тенденції</w:t>
      </w:r>
      <w:proofErr w:type="spellEnd"/>
      <w:r w:rsidRPr="006B6651">
        <w:rPr>
          <w:color w:val="000000" w:themeColor="text1"/>
          <w:w w:val="110"/>
          <w:sz w:val="20"/>
          <w:lang w:val="ru-RU"/>
        </w:rPr>
        <w:t xml:space="preserve"> в </w:t>
      </w:r>
      <w:proofErr w:type="spellStart"/>
      <w:r w:rsidRPr="006B6651">
        <w:rPr>
          <w:color w:val="000000" w:themeColor="text1"/>
          <w:w w:val="110"/>
          <w:sz w:val="20"/>
          <w:lang w:val="ru-RU"/>
        </w:rPr>
        <w:t>динаміці</w:t>
      </w:r>
      <w:proofErr w:type="spellEnd"/>
      <w:r w:rsidRPr="006B6651">
        <w:rPr>
          <w:color w:val="000000" w:themeColor="text1"/>
          <w:w w:val="110"/>
          <w:sz w:val="20"/>
          <w:lang w:val="ru-RU"/>
        </w:rPr>
        <w:t xml:space="preserve"> як </w:t>
      </w:r>
      <w:proofErr w:type="spellStart"/>
      <w:r w:rsidRPr="006B6651">
        <w:rPr>
          <w:color w:val="000000" w:themeColor="text1"/>
          <w:w w:val="110"/>
          <w:sz w:val="20"/>
          <w:lang w:val="ru-RU"/>
        </w:rPr>
        <w:t>важливу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частину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звітності</w:t>
      </w:r>
      <w:proofErr w:type="spellEnd"/>
      <w:r w:rsidRPr="006B6651">
        <w:rPr>
          <w:color w:val="000000" w:themeColor="text1"/>
          <w:w w:val="110"/>
          <w:sz w:val="20"/>
          <w:lang w:val="ru-RU"/>
        </w:rPr>
        <w:t>.</w:t>
      </w:r>
    </w:p>
    <w:p w14:paraId="09A40CFB" w14:textId="77777777" w:rsidR="00FE76F9" w:rsidRPr="006B6651" w:rsidRDefault="00FE76F9" w:rsidP="004A2937">
      <w:pPr>
        <w:pStyle w:val="a4"/>
        <w:numPr>
          <w:ilvl w:val="0"/>
          <w:numId w:val="50"/>
        </w:numPr>
        <w:tabs>
          <w:tab w:val="left" w:pos="2268"/>
        </w:tabs>
        <w:spacing w:before="2" w:line="276" w:lineRule="auto"/>
        <w:ind w:left="1276" w:right="4"/>
        <w:rPr>
          <w:color w:val="000000" w:themeColor="text1"/>
          <w:sz w:val="20"/>
          <w:lang w:val="ru-RU"/>
        </w:rPr>
      </w:pPr>
      <w:r w:rsidRPr="006B6651">
        <w:rPr>
          <w:color w:val="000000" w:themeColor="text1"/>
          <w:w w:val="110"/>
          <w:sz w:val="20"/>
          <w:lang w:val="ru-RU"/>
        </w:rPr>
        <w:t xml:space="preserve">Регулярно </w:t>
      </w:r>
      <w:proofErr w:type="spellStart"/>
      <w:r w:rsidRPr="006B6651">
        <w:rPr>
          <w:color w:val="000000" w:themeColor="text1"/>
          <w:w w:val="110"/>
          <w:sz w:val="20"/>
          <w:lang w:val="ru-RU"/>
        </w:rPr>
        <w:t>відстежувати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показники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зокрема</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загальні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показники</w:t>
      </w:r>
      <w:proofErr w:type="spellEnd"/>
      <w:r w:rsidRPr="006B6651">
        <w:rPr>
          <w:color w:val="000000" w:themeColor="text1"/>
          <w:w w:val="110"/>
          <w:sz w:val="20"/>
          <w:lang w:val="ru-RU"/>
        </w:rPr>
        <w:t xml:space="preserve"> </w:t>
      </w:r>
      <w:r w:rsidRPr="00D76C86">
        <w:rPr>
          <w:color w:val="000000" w:themeColor="text1"/>
          <w:w w:val="110"/>
          <w:sz w:val="20"/>
          <w:lang w:val="uk-UA"/>
        </w:rPr>
        <w:t>стійкості</w:t>
      </w:r>
      <w:r w:rsidRPr="006B6651">
        <w:rPr>
          <w:color w:val="000000" w:themeColor="text1"/>
          <w:w w:val="110"/>
          <w:sz w:val="20"/>
          <w:lang w:val="ru-RU"/>
        </w:rPr>
        <w:t xml:space="preserve">, </w:t>
      </w:r>
      <w:proofErr w:type="spellStart"/>
      <w:r w:rsidRPr="006B6651">
        <w:rPr>
          <w:color w:val="000000" w:themeColor="text1"/>
          <w:w w:val="110"/>
          <w:sz w:val="20"/>
          <w:lang w:val="ru-RU"/>
        </w:rPr>
        <w:t>показники</w:t>
      </w:r>
      <w:proofErr w:type="spellEnd"/>
      <w:r w:rsidRPr="006B6651">
        <w:rPr>
          <w:color w:val="000000" w:themeColor="text1"/>
          <w:w w:val="110"/>
          <w:sz w:val="20"/>
          <w:lang w:val="ru-RU"/>
        </w:rPr>
        <w:t xml:space="preserve"> </w:t>
      </w:r>
      <w:r w:rsidRPr="00D76C86">
        <w:rPr>
          <w:color w:val="000000" w:themeColor="text1"/>
          <w:w w:val="110"/>
          <w:sz w:val="20"/>
          <w:lang w:val="uk-UA"/>
        </w:rPr>
        <w:t>стійкості</w:t>
      </w:r>
      <w:r w:rsidRPr="006B6651">
        <w:rPr>
          <w:color w:val="000000" w:themeColor="text1"/>
          <w:w w:val="110"/>
          <w:sz w:val="20"/>
          <w:lang w:val="ru-RU"/>
        </w:rPr>
        <w:t xml:space="preserve"> до </w:t>
      </w:r>
      <w:proofErr w:type="spellStart"/>
      <w:r w:rsidRPr="006B6651">
        <w:rPr>
          <w:color w:val="000000" w:themeColor="text1"/>
          <w:w w:val="110"/>
          <w:sz w:val="20"/>
          <w:lang w:val="ru-RU"/>
        </w:rPr>
        <w:t>конкретних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препаратів</w:t>
      </w:r>
      <w:proofErr w:type="spellEnd"/>
      <w:r w:rsidRPr="006B6651">
        <w:rPr>
          <w:color w:val="000000" w:themeColor="text1"/>
          <w:w w:val="110"/>
          <w:sz w:val="20"/>
          <w:lang w:val="ru-RU"/>
        </w:rPr>
        <w:t>/</w:t>
      </w:r>
      <w:proofErr w:type="spellStart"/>
      <w:r w:rsidRPr="006B6651">
        <w:rPr>
          <w:color w:val="000000" w:themeColor="text1"/>
          <w:w w:val="110"/>
          <w:sz w:val="20"/>
          <w:lang w:val="ru-RU"/>
        </w:rPr>
        <w:t>мішеней</w:t>
      </w:r>
      <w:proofErr w:type="spellEnd"/>
      <w:r w:rsidRPr="006B6651">
        <w:rPr>
          <w:color w:val="000000" w:themeColor="text1"/>
          <w:w w:val="110"/>
          <w:sz w:val="20"/>
          <w:lang w:val="ru-RU"/>
        </w:rPr>
        <w:t xml:space="preserve"> і час до </w:t>
      </w:r>
      <w:proofErr w:type="spellStart"/>
      <w:r w:rsidRPr="006B6651">
        <w:rPr>
          <w:color w:val="000000" w:themeColor="text1"/>
          <w:w w:val="110"/>
          <w:sz w:val="20"/>
          <w:lang w:val="ru-RU"/>
        </w:rPr>
        <w:t>отримання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результатів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загальний</w:t>
      </w:r>
      <w:proofErr w:type="spellEnd"/>
      <w:r w:rsidRPr="006B6651">
        <w:rPr>
          <w:color w:val="000000" w:themeColor="text1"/>
          <w:w w:val="110"/>
          <w:sz w:val="20"/>
          <w:lang w:val="ru-RU"/>
        </w:rPr>
        <w:t xml:space="preserve"> і </w:t>
      </w:r>
      <w:proofErr w:type="spellStart"/>
      <w:r w:rsidRPr="006B6651">
        <w:rPr>
          <w:color w:val="000000" w:themeColor="text1"/>
          <w:w w:val="110"/>
          <w:sz w:val="20"/>
          <w:lang w:val="ru-RU"/>
        </w:rPr>
        <w:t>лабораторний</w:t>
      </w:r>
      <w:proofErr w:type="spellEnd"/>
      <w:r w:rsidRPr="006B6651">
        <w:rPr>
          <w:color w:val="000000" w:themeColor="text1"/>
          <w:w w:val="110"/>
          <w:sz w:val="20"/>
          <w:lang w:val="ru-RU"/>
        </w:rPr>
        <w:t>).</w:t>
      </w:r>
    </w:p>
    <w:p w14:paraId="7592B233" w14:textId="77777777" w:rsidR="00FE76F9" w:rsidRPr="006B6651" w:rsidRDefault="00FE76F9" w:rsidP="004A2937">
      <w:pPr>
        <w:pStyle w:val="a4"/>
        <w:numPr>
          <w:ilvl w:val="0"/>
          <w:numId w:val="50"/>
        </w:numPr>
        <w:tabs>
          <w:tab w:val="left" w:pos="2268"/>
        </w:tabs>
        <w:spacing w:before="3" w:line="276" w:lineRule="auto"/>
        <w:ind w:left="1276" w:right="4"/>
        <w:rPr>
          <w:color w:val="000000" w:themeColor="text1"/>
          <w:sz w:val="20"/>
          <w:lang w:val="ru-RU"/>
        </w:rPr>
      </w:pPr>
      <w:proofErr w:type="spellStart"/>
      <w:r w:rsidRPr="006B6651">
        <w:rPr>
          <w:color w:val="000000" w:themeColor="text1"/>
          <w:w w:val="110"/>
          <w:sz w:val="20"/>
          <w:lang w:val="ru-RU"/>
        </w:rPr>
        <w:t>Впровадити</w:t>
      </w:r>
      <w:proofErr w:type="spellEnd"/>
      <w:r w:rsidRPr="006B6651">
        <w:rPr>
          <w:color w:val="000000" w:themeColor="text1"/>
          <w:w w:val="110"/>
          <w:sz w:val="20"/>
          <w:lang w:val="ru-RU"/>
        </w:rPr>
        <w:t xml:space="preserve"> заходи контролю </w:t>
      </w:r>
      <w:proofErr w:type="spellStart"/>
      <w:r w:rsidRPr="006B6651">
        <w:rPr>
          <w:color w:val="000000" w:themeColor="text1"/>
          <w:w w:val="110"/>
          <w:sz w:val="20"/>
          <w:lang w:val="ru-RU"/>
        </w:rPr>
        <w:t>якості</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такі</w:t>
      </w:r>
      <w:proofErr w:type="spellEnd"/>
      <w:r w:rsidRPr="006B6651">
        <w:rPr>
          <w:color w:val="000000" w:themeColor="text1"/>
          <w:w w:val="110"/>
          <w:sz w:val="20"/>
          <w:lang w:val="ru-RU"/>
        </w:rPr>
        <w:t xml:space="preserve"> як </w:t>
      </w:r>
      <w:proofErr w:type="spellStart"/>
      <w:r w:rsidRPr="006B6651">
        <w:rPr>
          <w:color w:val="000000" w:themeColor="text1"/>
          <w:w w:val="110"/>
          <w:sz w:val="20"/>
          <w:lang w:val="ru-RU"/>
        </w:rPr>
        <w:t>відстеження</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частоти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невизначених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результатів</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глибини</w:t>
      </w:r>
      <w:proofErr w:type="spellEnd"/>
      <w:r w:rsidRPr="006B6651">
        <w:rPr>
          <w:color w:val="000000" w:themeColor="text1"/>
          <w:w w:val="110"/>
          <w:sz w:val="20"/>
          <w:lang w:val="ru-RU"/>
        </w:rPr>
        <w:t xml:space="preserve"> </w:t>
      </w:r>
      <w:r w:rsidRPr="00D76C86">
        <w:rPr>
          <w:color w:val="000000" w:themeColor="text1"/>
          <w:w w:val="110"/>
          <w:sz w:val="20"/>
          <w:lang w:val="uk-UA"/>
        </w:rPr>
        <w:t xml:space="preserve">та покриття </w:t>
      </w:r>
      <w:r w:rsidRPr="006B6651">
        <w:rPr>
          <w:color w:val="000000" w:themeColor="text1"/>
          <w:w w:val="110"/>
          <w:sz w:val="20"/>
          <w:lang w:val="ru-RU"/>
        </w:rPr>
        <w:t xml:space="preserve">секвенування, а також участь у </w:t>
      </w:r>
      <w:proofErr w:type="spellStart"/>
      <w:r w:rsidRPr="006B6651">
        <w:rPr>
          <w:color w:val="000000" w:themeColor="text1"/>
          <w:w w:val="110"/>
          <w:sz w:val="20"/>
          <w:lang w:val="ru-RU"/>
        </w:rPr>
        <w:t>програмах</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зовнішнього</w:t>
      </w:r>
      <w:proofErr w:type="spellEnd"/>
      <w:r w:rsidRPr="006B6651">
        <w:rPr>
          <w:color w:val="000000" w:themeColor="text1"/>
          <w:w w:val="110"/>
          <w:sz w:val="20"/>
          <w:lang w:val="ru-RU"/>
        </w:rPr>
        <w:t xml:space="preserve"> контролю </w:t>
      </w:r>
      <w:proofErr w:type="spellStart"/>
      <w:r w:rsidRPr="006B6651">
        <w:rPr>
          <w:color w:val="000000" w:themeColor="text1"/>
          <w:w w:val="110"/>
          <w:sz w:val="20"/>
          <w:lang w:val="ru-RU"/>
        </w:rPr>
        <w:t>якості</w:t>
      </w:r>
      <w:proofErr w:type="spellEnd"/>
      <w:r w:rsidRPr="006B6651">
        <w:rPr>
          <w:color w:val="000000" w:themeColor="text1"/>
          <w:w w:val="110"/>
          <w:sz w:val="20"/>
          <w:lang w:val="ru-RU"/>
        </w:rPr>
        <w:t>.</w:t>
      </w:r>
    </w:p>
    <w:p w14:paraId="17CB5780" w14:textId="77777777" w:rsidR="00FE76F9" w:rsidRPr="006B6651" w:rsidRDefault="00FE76F9" w:rsidP="004A2937">
      <w:pPr>
        <w:pStyle w:val="a4"/>
        <w:numPr>
          <w:ilvl w:val="0"/>
          <w:numId w:val="50"/>
        </w:numPr>
        <w:tabs>
          <w:tab w:val="left" w:pos="2268"/>
        </w:tabs>
        <w:spacing w:before="2" w:line="276" w:lineRule="auto"/>
        <w:ind w:left="1276" w:right="4"/>
        <w:rPr>
          <w:color w:val="000000" w:themeColor="text1"/>
          <w:sz w:val="20"/>
          <w:lang w:val="ru-RU"/>
        </w:rPr>
      </w:pPr>
      <w:proofErr w:type="spellStart"/>
      <w:r w:rsidRPr="006B6651">
        <w:rPr>
          <w:color w:val="000000" w:themeColor="text1"/>
          <w:w w:val="110"/>
          <w:sz w:val="20"/>
          <w:lang w:val="ru-RU"/>
        </w:rPr>
        <w:t>Створити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програму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зовнішнього</w:t>
      </w:r>
      <w:proofErr w:type="spellEnd"/>
      <w:r w:rsidRPr="006B6651">
        <w:rPr>
          <w:color w:val="000000" w:themeColor="text1"/>
          <w:w w:val="110"/>
          <w:sz w:val="20"/>
          <w:lang w:val="ru-RU"/>
        </w:rPr>
        <w:t xml:space="preserve"> контролю </w:t>
      </w:r>
      <w:proofErr w:type="spellStart"/>
      <w:r w:rsidRPr="006B6651">
        <w:rPr>
          <w:color w:val="000000" w:themeColor="text1"/>
          <w:w w:val="110"/>
          <w:sz w:val="20"/>
          <w:lang w:val="ru-RU"/>
        </w:rPr>
        <w:t>якості</w:t>
      </w:r>
      <w:proofErr w:type="spellEnd"/>
      <w:r w:rsidRPr="006B6651">
        <w:rPr>
          <w:color w:val="000000" w:themeColor="text1"/>
          <w:w w:val="110"/>
          <w:sz w:val="20"/>
          <w:lang w:val="ru-RU"/>
        </w:rPr>
        <w:t xml:space="preserve"> для секвенування, </w:t>
      </w:r>
      <w:proofErr w:type="spellStart"/>
      <w:r w:rsidRPr="006B6651">
        <w:rPr>
          <w:color w:val="000000" w:themeColor="text1"/>
          <w:w w:val="110"/>
          <w:sz w:val="20"/>
          <w:lang w:val="ru-RU"/>
        </w:rPr>
        <w:t>що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охоплює</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всі</w:t>
      </w:r>
      <w:proofErr w:type="spellEnd"/>
      <w:r w:rsidRPr="006B6651">
        <w:rPr>
          <w:color w:val="000000" w:themeColor="text1"/>
          <w:w w:val="110"/>
          <w:sz w:val="20"/>
          <w:lang w:val="ru-RU"/>
        </w:rPr>
        <w:t xml:space="preserve"> </w:t>
      </w:r>
      <w:r w:rsidRPr="00D76C86">
        <w:rPr>
          <w:color w:val="000000" w:themeColor="text1"/>
          <w:w w:val="110"/>
          <w:sz w:val="20"/>
          <w:lang w:val="uk-UA"/>
        </w:rPr>
        <w:t>цільові ділянки</w:t>
      </w:r>
      <w:r w:rsidRPr="006B6651">
        <w:rPr>
          <w:color w:val="000000" w:themeColor="text1"/>
          <w:w w:val="110"/>
          <w:sz w:val="20"/>
          <w:lang w:val="ru-RU"/>
        </w:rPr>
        <w:t>.</w:t>
      </w:r>
    </w:p>
    <w:p w14:paraId="6EE87E79" w14:textId="77777777" w:rsidR="00FE76F9" w:rsidRPr="00D76C86" w:rsidRDefault="00FE76F9" w:rsidP="004A2937">
      <w:pPr>
        <w:pStyle w:val="a4"/>
        <w:numPr>
          <w:ilvl w:val="0"/>
          <w:numId w:val="50"/>
        </w:numPr>
        <w:tabs>
          <w:tab w:val="left" w:pos="2268"/>
        </w:tabs>
        <w:spacing w:before="2" w:line="276" w:lineRule="auto"/>
        <w:ind w:left="1276" w:right="4"/>
        <w:rPr>
          <w:color w:val="000000" w:themeColor="text1"/>
          <w:sz w:val="20"/>
        </w:rPr>
      </w:pPr>
      <w:proofErr w:type="spellStart"/>
      <w:r w:rsidRPr="006B6651">
        <w:rPr>
          <w:color w:val="000000" w:themeColor="text1"/>
          <w:w w:val="110"/>
          <w:sz w:val="20"/>
          <w:lang w:val="ru-RU"/>
        </w:rPr>
        <w:t>Інтегрувати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дані</w:t>
      </w:r>
      <w:proofErr w:type="spellEnd"/>
      <w:r w:rsidRPr="006B6651">
        <w:rPr>
          <w:color w:val="000000" w:themeColor="text1"/>
          <w:w w:val="110"/>
          <w:sz w:val="20"/>
          <w:lang w:val="ru-RU"/>
        </w:rPr>
        <w:t xml:space="preserve"> секвенування в </w:t>
      </w:r>
      <w:r w:rsidRPr="00D76C86">
        <w:rPr>
          <w:color w:val="000000" w:themeColor="text1"/>
          <w:w w:val="110"/>
          <w:sz w:val="20"/>
          <w:lang w:val="uk-UA"/>
        </w:rPr>
        <w:t>наявні</w:t>
      </w:r>
      <w:r w:rsidRPr="006B6651">
        <w:rPr>
          <w:color w:val="000000" w:themeColor="text1"/>
          <w:w w:val="110"/>
          <w:sz w:val="20"/>
          <w:lang w:val="ru-RU"/>
        </w:rPr>
        <w:t xml:space="preserve"> </w:t>
      </w:r>
      <w:proofErr w:type="spellStart"/>
      <w:r w:rsidRPr="006B6651">
        <w:rPr>
          <w:color w:val="000000" w:themeColor="text1"/>
          <w:w w:val="110"/>
          <w:sz w:val="20"/>
          <w:lang w:val="ru-RU"/>
        </w:rPr>
        <w:t>системи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епіднагляду</w:t>
      </w:r>
      <w:proofErr w:type="spellEnd"/>
      <w:r w:rsidRPr="006B6651">
        <w:rPr>
          <w:color w:val="000000" w:themeColor="text1"/>
          <w:w w:val="110"/>
          <w:sz w:val="20"/>
          <w:lang w:val="ru-RU"/>
        </w:rPr>
        <w:t xml:space="preserve"> для </w:t>
      </w:r>
      <w:proofErr w:type="spellStart"/>
      <w:r w:rsidRPr="006B6651">
        <w:rPr>
          <w:color w:val="000000" w:themeColor="text1"/>
          <w:w w:val="110"/>
          <w:sz w:val="20"/>
          <w:lang w:val="ru-RU"/>
        </w:rPr>
        <w:t>ефективного</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моніторингу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поширеності</w:t>
      </w:r>
      <w:proofErr w:type="spellEnd"/>
      <w:r w:rsidRPr="006B6651">
        <w:rPr>
          <w:color w:val="000000" w:themeColor="text1"/>
          <w:w w:val="110"/>
          <w:sz w:val="20"/>
          <w:lang w:val="ru-RU"/>
        </w:rPr>
        <w:t xml:space="preserve"> та </w:t>
      </w:r>
      <w:proofErr w:type="spellStart"/>
      <w:r w:rsidRPr="006B6651">
        <w:rPr>
          <w:color w:val="000000" w:themeColor="text1"/>
          <w:w w:val="110"/>
          <w:sz w:val="20"/>
          <w:lang w:val="ru-RU"/>
        </w:rPr>
        <w:t>динаміки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лікарської</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стійкості</w:t>
      </w:r>
      <w:proofErr w:type="spellEnd"/>
      <w:r w:rsidRPr="006B6651">
        <w:rPr>
          <w:color w:val="000000" w:themeColor="text1"/>
          <w:w w:val="110"/>
          <w:sz w:val="20"/>
          <w:lang w:val="ru-RU"/>
        </w:rPr>
        <w:t xml:space="preserve">. </w:t>
      </w:r>
      <w:proofErr w:type="spellStart"/>
      <w:r w:rsidRPr="00D76C86">
        <w:rPr>
          <w:color w:val="000000" w:themeColor="text1"/>
          <w:w w:val="110"/>
          <w:sz w:val="20"/>
        </w:rPr>
        <w:t>Обмінюватись</w:t>
      </w:r>
      <w:proofErr w:type="spellEnd"/>
      <w:r w:rsidRPr="00D76C86">
        <w:rPr>
          <w:color w:val="000000" w:themeColor="text1"/>
          <w:w w:val="110"/>
          <w:sz w:val="20"/>
        </w:rPr>
        <w:t xml:space="preserve"> </w:t>
      </w:r>
      <w:proofErr w:type="spellStart"/>
      <w:r w:rsidRPr="00D76C86">
        <w:rPr>
          <w:color w:val="000000" w:themeColor="text1"/>
          <w:w w:val="110"/>
          <w:sz w:val="20"/>
        </w:rPr>
        <w:t>цими</w:t>
      </w:r>
      <w:proofErr w:type="spellEnd"/>
      <w:r w:rsidRPr="00D76C86">
        <w:rPr>
          <w:color w:val="000000" w:themeColor="text1"/>
          <w:w w:val="110"/>
          <w:sz w:val="20"/>
        </w:rPr>
        <w:t xml:space="preserve"> </w:t>
      </w:r>
      <w:proofErr w:type="spellStart"/>
      <w:r w:rsidRPr="00D76C86">
        <w:rPr>
          <w:color w:val="000000" w:themeColor="text1"/>
          <w:w w:val="110"/>
          <w:sz w:val="20"/>
        </w:rPr>
        <w:t>даними</w:t>
      </w:r>
      <w:proofErr w:type="spellEnd"/>
      <w:r w:rsidRPr="00D76C86">
        <w:rPr>
          <w:color w:val="000000" w:themeColor="text1"/>
          <w:w w:val="110"/>
          <w:sz w:val="20"/>
        </w:rPr>
        <w:t xml:space="preserve"> </w:t>
      </w:r>
      <w:proofErr w:type="spellStart"/>
      <w:r w:rsidRPr="00D76C86">
        <w:rPr>
          <w:color w:val="000000" w:themeColor="text1"/>
          <w:w w:val="110"/>
          <w:sz w:val="20"/>
        </w:rPr>
        <w:t>для</w:t>
      </w:r>
      <w:proofErr w:type="spellEnd"/>
      <w:r w:rsidRPr="00D76C86">
        <w:rPr>
          <w:color w:val="000000" w:themeColor="text1"/>
          <w:w w:val="110"/>
          <w:sz w:val="20"/>
        </w:rPr>
        <w:t xml:space="preserve"> </w:t>
      </w:r>
      <w:proofErr w:type="spellStart"/>
      <w:r w:rsidRPr="00D76C86">
        <w:rPr>
          <w:color w:val="000000" w:themeColor="text1"/>
          <w:w w:val="110"/>
          <w:sz w:val="20"/>
        </w:rPr>
        <w:t>оновлення</w:t>
      </w:r>
      <w:proofErr w:type="spellEnd"/>
      <w:r w:rsidRPr="00D76C86">
        <w:rPr>
          <w:color w:val="000000" w:themeColor="text1"/>
          <w:w w:val="110"/>
          <w:sz w:val="20"/>
        </w:rPr>
        <w:t xml:space="preserve"> </w:t>
      </w:r>
      <w:proofErr w:type="spellStart"/>
      <w:r w:rsidRPr="00D76C86">
        <w:rPr>
          <w:color w:val="000000" w:themeColor="text1"/>
          <w:w w:val="110"/>
          <w:sz w:val="20"/>
        </w:rPr>
        <w:t>каталогу</w:t>
      </w:r>
      <w:proofErr w:type="spellEnd"/>
      <w:r w:rsidRPr="00D76C86">
        <w:rPr>
          <w:color w:val="000000" w:themeColor="text1"/>
          <w:w w:val="110"/>
          <w:sz w:val="20"/>
        </w:rPr>
        <w:t xml:space="preserve"> </w:t>
      </w:r>
      <w:proofErr w:type="spellStart"/>
      <w:r w:rsidRPr="00D76C86">
        <w:rPr>
          <w:color w:val="000000" w:themeColor="text1"/>
          <w:w w:val="110"/>
          <w:sz w:val="20"/>
        </w:rPr>
        <w:t>мутацій</w:t>
      </w:r>
      <w:proofErr w:type="spellEnd"/>
      <w:r w:rsidRPr="00D76C86">
        <w:rPr>
          <w:color w:val="000000" w:themeColor="text1"/>
          <w:w w:val="110"/>
          <w:sz w:val="20"/>
        </w:rPr>
        <w:t xml:space="preserve"> ВООЗ.</w:t>
      </w:r>
    </w:p>
    <w:p w14:paraId="6848D1E7" w14:textId="6D2FE3E7" w:rsidR="00FE76F9" w:rsidRPr="00DA5A55" w:rsidRDefault="00FE76F9" w:rsidP="004A2937">
      <w:pPr>
        <w:pStyle w:val="a4"/>
        <w:numPr>
          <w:ilvl w:val="0"/>
          <w:numId w:val="50"/>
        </w:numPr>
        <w:tabs>
          <w:tab w:val="left" w:pos="2268"/>
        </w:tabs>
        <w:spacing w:before="4" w:line="276" w:lineRule="auto"/>
        <w:ind w:left="1276" w:right="4"/>
        <w:rPr>
          <w:color w:val="000000" w:themeColor="text1"/>
          <w:sz w:val="20"/>
          <w:lang w:val="ru-RU"/>
        </w:rPr>
      </w:pPr>
      <w:proofErr w:type="spellStart"/>
      <w:r w:rsidRPr="00DA5A55">
        <w:rPr>
          <w:color w:val="000000" w:themeColor="text1"/>
          <w:w w:val="110"/>
          <w:sz w:val="20"/>
          <w:lang w:val="ru-RU"/>
        </w:rPr>
        <w:t>Збирати</w:t>
      </w:r>
      <w:proofErr w:type="spellEnd"/>
      <w:r w:rsidRPr="00DA5A55">
        <w:rPr>
          <w:color w:val="000000" w:themeColor="text1"/>
          <w:w w:val="110"/>
          <w:sz w:val="20"/>
          <w:lang w:val="ru-RU"/>
        </w:rPr>
        <w:t xml:space="preserve"> </w:t>
      </w:r>
      <w:proofErr w:type="spellStart"/>
      <w:r w:rsidRPr="00DA5A55">
        <w:rPr>
          <w:color w:val="000000" w:themeColor="text1"/>
          <w:w w:val="110"/>
          <w:sz w:val="20"/>
          <w:lang w:val="ru-RU"/>
        </w:rPr>
        <w:t>дані</w:t>
      </w:r>
      <w:proofErr w:type="spellEnd"/>
      <w:r w:rsidRPr="00DA5A55">
        <w:rPr>
          <w:color w:val="000000" w:themeColor="text1"/>
          <w:w w:val="110"/>
          <w:sz w:val="20"/>
          <w:lang w:val="ru-RU"/>
        </w:rPr>
        <w:t xml:space="preserve"> про </w:t>
      </w:r>
      <w:proofErr w:type="spellStart"/>
      <w:r w:rsidRPr="00DA5A55">
        <w:rPr>
          <w:color w:val="000000" w:themeColor="text1"/>
          <w:w w:val="110"/>
          <w:sz w:val="20"/>
          <w:lang w:val="ru-RU"/>
        </w:rPr>
        <w:t>витрати</w:t>
      </w:r>
      <w:proofErr w:type="spellEnd"/>
      <w:r w:rsidRPr="00DA5A55">
        <w:rPr>
          <w:color w:val="000000" w:themeColor="text1"/>
          <w:w w:val="110"/>
          <w:sz w:val="20"/>
          <w:lang w:val="ru-RU"/>
        </w:rPr>
        <w:t xml:space="preserve"> для </w:t>
      </w:r>
      <w:proofErr w:type="spellStart"/>
      <w:r w:rsidRPr="00DA5A55">
        <w:rPr>
          <w:color w:val="000000" w:themeColor="text1"/>
          <w:w w:val="110"/>
          <w:sz w:val="20"/>
          <w:lang w:val="ru-RU"/>
        </w:rPr>
        <w:t>вирішення</w:t>
      </w:r>
      <w:proofErr w:type="spellEnd"/>
      <w:r w:rsidRPr="00DA5A55">
        <w:rPr>
          <w:color w:val="000000" w:themeColor="text1"/>
          <w:w w:val="110"/>
          <w:sz w:val="20"/>
          <w:lang w:val="ru-RU"/>
        </w:rPr>
        <w:t xml:space="preserve"> </w:t>
      </w:r>
      <w:proofErr w:type="spellStart"/>
      <w:r w:rsidRPr="00DA5A55">
        <w:rPr>
          <w:color w:val="000000" w:themeColor="text1"/>
          <w:w w:val="110"/>
          <w:sz w:val="20"/>
          <w:lang w:val="ru-RU"/>
        </w:rPr>
        <w:t>ключових</w:t>
      </w:r>
      <w:proofErr w:type="spellEnd"/>
      <w:r w:rsidRPr="00DA5A55">
        <w:rPr>
          <w:color w:val="000000" w:themeColor="text1"/>
          <w:w w:val="110"/>
          <w:sz w:val="20"/>
          <w:lang w:val="ru-RU"/>
        </w:rPr>
        <w:t xml:space="preserve"> </w:t>
      </w:r>
      <w:proofErr w:type="spellStart"/>
      <w:r w:rsidRPr="00DA5A55">
        <w:rPr>
          <w:color w:val="000000" w:themeColor="text1"/>
          <w:w w:val="110"/>
          <w:sz w:val="20"/>
          <w:lang w:val="ru-RU"/>
        </w:rPr>
        <w:t>питань</w:t>
      </w:r>
      <w:proofErr w:type="spellEnd"/>
      <w:r w:rsidRPr="00DA5A55">
        <w:rPr>
          <w:color w:val="000000" w:themeColor="text1"/>
          <w:w w:val="110"/>
          <w:sz w:val="20"/>
          <w:lang w:val="ru-RU"/>
        </w:rPr>
        <w:t xml:space="preserve">, </w:t>
      </w:r>
      <w:proofErr w:type="spellStart"/>
      <w:r w:rsidRPr="00DA5A55">
        <w:rPr>
          <w:color w:val="000000" w:themeColor="text1"/>
          <w:w w:val="110"/>
          <w:sz w:val="20"/>
          <w:lang w:val="ru-RU"/>
        </w:rPr>
        <w:t>зокрема</w:t>
      </w:r>
      <w:proofErr w:type="spellEnd"/>
      <w:r w:rsidRPr="00DA5A55">
        <w:rPr>
          <w:color w:val="000000" w:themeColor="text1"/>
          <w:w w:val="110"/>
          <w:sz w:val="20"/>
          <w:lang w:val="ru-RU"/>
        </w:rPr>
        <w:t xml:space="preserve"> </w:t>
      </w:r>
      <w:r w:rsidRPr="00D76C86">
        <w:rPr>
          <w:color w:val="000000" w:themeColor="text1"/>
          <w:w w:val="110"/>
          <w:sz w:val="20"/>
          <w:lang w:val="uk-UA"/>
        </w:rPr>
        <w:t xml:space="preserve">стосовно </w:t>
      </w:r>
      <w:proofErr w:type="spellStart"/>
      <w:r w:rsidRPr="00DA5A55">
        <w:rPr>
          <w:color w:val="000000" w:themeColor="text1"/>
          <w:w w:val="110"/>
          <w:sz w:val="20"/>
          <w:lang w:val="ru-RU"/>
        </w:rPr>
        <w:t>витрат</w:t>
      </w:r>
      <w:proofErr w:type="spellEnd"/>
      <w:r w:rsidRPr="00DA5A55">
        <w:rPr>
          <w:color w:val="000000" w:themeColor="text1"/>
          <w:w w:val="110"/>
          <w:sz w:val="20"/>
          <w:lang w:val="ru-RU"/>
        </w:rPr>
        <w:t xml:space="preserve"> на </w:t>
      </w:r>
      <w:proofErr w:type="spellStart"/>
      <w:r w:rsidRPr="00DA5A55">
        <w:rPr>
          <w:color w:val="000000" w:themeColor="text1"/>
          <w:w w:val="110"/>
          <w:sz w:val="20"/>
          <w:lang w:val="ru-RU"/>
        </w:rPr>
        <w:t>впровадження</w:t>
      </w:r>
      <w:proofErr w:type="spellEnd"/>
      <w:r w:rsidRPr="00DA5A55">
        <w:rPr>
          <w:color w:val="000000" w:themeColor="text1"/>
          <w:w w:val="110"/>
          <w:sz w:val="20"/>
          <w:lang w:val="ru-RU"/>
        </w:rPr>
        <w:t xml:space="preserve"> й </w:t>
      </w:r>
      <w:proofErr w:type="spellStart"/>
      <w:r w:rsidRPr="00DA5A55">
        <w:rPr>
          <w:color w:val="000000" w:themeColor="text1"/>
          <w:w w:val="110"/>
          <w:sz w:val="20"/>
          <w:lang w:val="ru-RU"/>
        </w:rPr>
        <w:t>масштабування</w:t>
      </w:r>
      <w:proofErr w:type="spellEnd"/>
      <w:r w:rsidRPr="00DA5A55">
        <w:rPr>
          <w:color w:val="000000" w:themeColor="text1"/>
          <w:w w:val="110"/>
          <w:sz w:val="20"/>
          <w:lang w:val="ru-RU"/>
        </w:rPr>
        <w:t xml:space="preserve"> таргетного СНП у </w:t>
      </w:r>
      <w:proofErr w:type="spellStart"/>
      <w:r w:rsidRPr="00DA5A55">
        <w:rPr>
          <w:color w:val="000000" w:themeColor="text1"/>
          <w:w w:val="110"/>
          <w:sz w:val="20"/>
          <w:lang w:val="ru-RU"/>
        </w:rPr>
        <w:t>різних</w:t>
      </w:r>
      <w:proofErr w:type="spellEnd"/>
      <w:r w:rsidRPr="00DA5A55">
        <w:rPr>
          <w:color w:val="000000" w:themeColor="text1"/>
          <w:w w:val="110"/>
          <w:sz w:val="20"/>
          <w:lang w:val="ru-RU"/>
        </w:rPr>
        <w:t xml:space="preserve"> </w:t>
      </w:r>
      <w:r w:rsidR="00DA5A55">
        <w:rPr>
          <w:color w:val="000000" w:themeColor="text1"/>
          <w:w w:val="110"/>
          <w:sz w:val="20"/>
          <w:lang w:val="uk-UA"/>
        </w:rPr>
        <w:t>умовах</w:t>
      </w:r>
      <w:r w:rsidRPr="00DA5A55">
        <w:rPr>
          <w:color w:val="000000" w:themeColor="text1"/>
          <w:w w:val="110"/>
          <w:sz w:val="20"/>
          <w:lang w:val="ru-RU"/>
        </w:rPr>
        <w:t xml:space="preserve">, </w:t>
      </w:r>
      <w:proofErr w:type="spellStart"/>
      <w:r w:rsidRPr="00DA5A55">
        <w:rPr>
          <w:color w:val="000000" w:themeColor="text1"/>
          <w:w w:val="110"/>
          <w:sz w:val="20"/>
          <w:lang w:val="ru-RU"/>
        </w:rPr>
        <w:t>компроміс</w:t>
      </w:r>
      <w:proofErr w:type="spellEnd"/>
      <w:r w:rsidRPr="00D76C86">
        <w:rPr>
          <w:color w:val="000000" w:themeColor="text1"/>
          <w:w w:val="110"/>
          <w:sz w:val="20"/>
          <w:lang w:val="uk-UA"/>
        </w:rPr>
        <w:t>у</w:t>
      </w:r>
      <w:r w:rsidRPr="00DA5A55">
        <w:rPr>
          <w:color w:val="000000" w:themeColor="text1"/>
          <w:w w:val="110"/>
          <w:sz w:val="20"/>
          <w:lang w:val="ru-RU"/>
        </w:rPr>
        <w:t xml:space="preserve"> </w:t>
      </w:r>
      <w:proofErr w:type="spellStart"/>
      <w:r w:rsidRPr="00DA5A55">
        <w:rPr>
          <w:color w:val="000000" w:themeColor="text1"/>
          <w:w w:val="110"/>
          <w:sz w:val="20"/>
          <w:lang w:val="ru-RU"/>
        </w:rPr>
        <w:t>між</w:t>
      </w:r>
      <w:proofErr w:type="spellEnd"/>
      <w:r w:rsidRPr="00DA5A55">
        <w:rPr>
          <w:color w:val="000000" w:themeColor="text1"/>
          <w:w w:val="110"/>
          <w:sz w:val="20"/>
          <w:lang w:val="ru-RU"/>
        </w:rPr>
        <w:t xml:space="preserve"> часом до </w:t>
      </w:r>
      <w:proofErr w:type="spellStart"/>
      <w:r w:rsidRPr="00DA5A55">
        <w:rPr>
          <w:color w:val="000000" w:themeColor="text1"/>
          <w:w w:val="110"/>
          <w:sz w:val="20"/>
          <w:lang w:val="ru-RU"/>
        </w:rPr>
        <w:t>отримання</w:t>
      </w:r>
      <w:proofErr w:type="spellEnd"/>
      <w:r w:rsidRPr="00DA5A55">
        <w:rPr>
          <w:color w:val="000000" w:themeColor="text1"/>
          <w:w w:val="110"/>
          <w:sz w:val="20"/>
          <w:lang w:val="ru-RU"/>
        </w:rPr>
        <w:t xml:space="preserve"> </w:t>
      </w:r>
      <w:proofErr w:type="spellStart"/>
      <w:r w:rsidRPr="00DA5A55">
        <w:rPr>
          <w:color w:val="000000" w:themeColor="text1"/>
          <w:w w:val="110"/>
          <w:sz w:val="20"/>
          <w:lang w:val="ru-RU"/>
        </w:rPr>
        <w:t>результатів</w:t>
      </w:r>
      <w:proofErr w:type="spellEnd"/>
      <w:r w:rsidRPr="00DA5A55">
        <w:rPr>
          <w:color w:val="000000" w:themeColor="text1"/>
          <w:w w:val="110"/>
          <w:sz w:val="20"/>
          <w:lang w:val="ru-RU"/>
        </w:rPr>
        <w:t xml:space="preserve"> і </w:t>
      </w:r>
      <w:proofErr w:type="spellStart"/>
      <w:r w:rsidRPr="00DA5A55">
        <w:rPr>
          <w:color w:val="000000" w:themeColor="text1"/>
          <w:w w:val="110"/>
          <w:sz w:val="20"/>
          <w:lang w:val="ru-RU"/>
        </w:rPr>
        <w:t>тестуванням</w:t>
      </w:r>
      <w:proofErr w:type="spellEnd"/>
      <w:r w:rsidRPr="00D76C86">
        <w:rPr>
          <w:color w:val="000000" w:themeColor="text1"/>
          <w:w w:val="110"/>
          <w:sz w:val="20"/>
          <w:lang w:val="uk-UA"/>
        </w:rPr>
        <w:t xml:space="preserve"> партіями</w:t>
      </w:r>
      <w:r w:rsidRPr="00DA5A55">
        <w:rPr>
          <w:color w:val="000000" w:themeColor="text1"/>
          <w:w w:val="110"/>
          <w:sz w:val="20"/>
          <w:lang w:val="ru-RU"/>
        </w:rPr>
        <w:t xml:space="preserve">, а також </w:t>
      </w:r>
      <w:proofErr w:type="spellStart"/>
      <w:r w:rsidRPr="00DA5A55">
        <w:rPr>
          <w:color w:val="000000" w:themeColor="text1"/>
          <w:w w:val="110"/>
          <w:sz w:val="20"/>
          <w:lang w:val="ru-RU"/>
        </w:rPr>
        <w:t>оптимальн</w:t>
      </w:r>
      <w:proofErr w:type="spellEnd"/>
      <w:r w:rsidRPr="00D76C86">
        <w:rPr>
          <w:color w:val="000000" w:themeColor="text1"/>
          <w:w w:val="110"/>
          <w:sz w:val="20"/>
          <w:lang w:val="uk-UA"/>
        </w:rPr>
        <w:t>ого</w:t>
      </w:r>
      <w:r w:rsidRPr="00DA5A55">
        <w:rPr>
          <w:color w:val="000000" w:themeColor="text1"/>
          <w:w w:val="110"/>
          <w:sz w:val="20"/>
          <w:lang w:val="ru-RU"/>
        </w:rPr>
        <w:t xml:space="preserve"> баланс</w:t>
      </w:r>
      <w:r w:rsidRPr="00D76C86">
        <w:rPr>
          <w:color w:val="000000" w:themeColor="text1"/>
          <w:w w:val="110"/>
          <w:sz w:val="20"/>
          <w:lang w:val="uk-UA"/>
        </w:rPr>
        <w:t>у</w:t>
      </w:r>
      <w:r w:rsidRPr="00DA5A55">
        <w:rPr>
          <w:color w:val="000000" w:themeColor="text1"/>
          <w:w w:val="110"/>
          <w:sz w:val="20"/>
          <w:lang w:val="ru-RU"/>
        </w:rPr>
        <w:t xml:space="preserve"> </w:t>
      </w:r>
      <w:r w:rsidR="00DA5A55">
        <w:rPr>
          <w:color w:val="000000" w:themeColor="text1"/>
          <w:w w:val="110"/>
          <w:sz w:val="20"/>
          <w:lang w:val="uk-UA"/>
        </w:rPr>
        <w:t>за</w:t>
      </w:r>
      <w:r w:rsidRPr="00DA5A55">
        <w:rPr>
          <w:color w:val="000000" w:themeColor="text1"/>
          <w:w w:val="110"/>
          <w:sz w:val="20"/>
          <w:lang w:val="ru-RU"/>
        </w:rPr>
        <w:t xml:space="preserve"> </w:t>
      </w:r>
      <w:proofErr w:type="spellStart"/>
      <w:r w:rsidRPr="00DA5A55">
        <w:rPr>
          <w:color w:val="000000" w:themeColor="text1"/>
          <w:w w:val="110"/>
          <w:sz w:val="20"/>
          <w:lang w:val="ru-RU"/>
        </w:rPr>
        <w:t>різних</w:t>
      </w:r>
      <w:proofErr w:type="spellEnd"/>
      <w:r w:rsidRPr="00DA5A55">
        <w:rPr>
          <w:color w:val="000000" w:themeColor="text1"/>
          <w:w w:val="110"/>
          <w:sz w:val="20"/>
          <w:lang w:val="ru-RU"/>
        </w:rPr>
        <w:t xml:space="preserve"> </w:t>
      </w:r>
      <w:r w:rsidR="00DA5A55">
        <w:rPr>
          <w:color w:val="000000" w:themeColor="text1"/>
          <w:w w:val="110"/>
          <w:sz w:val="20"/>
          <w:lang w:val="uk-UA"/>
        </w:rPr>
        <w:t>умов</w:t>
      </w:r>
      <w:r w:rsidRPr="00DA5A55">
        <w:rPr>
          <w:color w:val="000000" w:themeColor="text1"/>
          <w:w w:val="110"/>
          <w:sz w:val="20"/>
          <w:lang w:val="ru-RU"/>
        </w:rPr>
        <w:t>.</w:t>
      </w:r>
    </w:p>
    <w:p w14:paraId="4CA98520" w14:textId="77777777" w:rsidR="00FE76F9" w:rsidRPr="007B3607" w:rsidRDefault="00FE76F9" w:rsidP="004A2937">
      <w:pPr>
        <w:pStyle w:val="a4"/>
        <w:numPr>
          <w:ilvl w:val="0"/>
          <w:numId w:val="50"/>
        </w:numPr>
        <w:tabs>
          <w:tab w:val="left" w:pos="2268"/>
        </w:tabs>
        <w:spacing w:before="4" w:line="276" w:lineRule="auto"/>
        <w:ind w:left="1276" w:right="4"/>
        <w:rPr>
          <w:color w:val="000000" w:themeColor="text1"/>
          <w:sz w:val="14"/>
          <w:lang w:val="ru-RU"/>
        </w:rPr>
      </w:pPr>
      <w:r w:rsidRPr="007B3607">
        <w:rPr>
          <w:color w:val="000000" w:themeColor="text1"/>
          <w:w w:val="110"/>
          <w:sz w:val="20"/>
          <w:lang w:val="ru-RU"/>
        </w:rPr>
        <w:t xml:space="preserve">Оцінити, як тестування на декілька захворювань впливає на роботу програм і витрати, з урахуванням обсягів тестування для конкретних </w:t>
      </w:r>
      <w:r w:rsidRPr="00D76C86">
        <w:rPr>
          <w:color w:val="000000" w:themeColor="text1"/>
          <w:w w:val="110"/>
          <w:sz w:val="20"/>
          <w:lang w:val="uk-UA"/>
        </w:rPr>
        <w:t>захворювань</w:t>
      </w:r>
      <w:r w:rsidRPr="007B3607">
        <w:rPr>
          <w:color w:val="000000" w:themeColor="text1"/>
          <w:w w:val="110"/>
          <w:sz w:val="20"/>
          <w:lang w:val="ru-RU"/>
        </w:rPr>
        <w:t>, терміни виконання аналізів, калькуляцію витрат, спільне використання ресурсів та потреби в ресурсах.</w:t>
      </w:r>
    </w:p>
    <w:p w14:paraId="08C1E3DC" w14:textId="1E650048" w:rsidR="00E05B98" w:rsidRPr="003C6DAE" w:rsidRDefault="00FE76F9" w:rsidP="0061310B">
      <w:pPr>
        <w:pStyle w:val="a4"/>
        <w:numPr>
          <w:ilvl w:val="1"/>
          <w:numId w:val="13"/>
        </w:numPr>
        <w:tabs>
          <w:tab w:val="left" w:pos="850"/>
          <w:tab w:val="left" w:pos="2268"/>
        </w:tabs>
        <w:spacing w:before="4" w:line="297" w:lineRule="auto"/>
        <w:ind w:left="1276" w:right="4"/>
        <w:rPr>
          <w:lang w:val="uk-UA"/>
        </w:rPr>
      </w:pPr>
      <w:proofErr w:type="spellStart"/>
      <w:r w:rsidRPr="006B6651">
        <w:rPr>
          <w:color w:val="000000" w:themeColor="text1"/>
          <w:w w:val="110"/>
          <w:sz w:val="20"/>
          <w:lang w:val="ru-RU"/>
        </w:rPr>
        <w:t>Оцінити</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вплив</w:t>
      </w:r>
      <w:proofErr w:type="spellEnd"/>
      <w:r w:rsidRPr="006B6651">
        <w:rPr>
          <w:color w:val="000000" w:themeColor="text1"/>
          <w:w w:val="110"/>
          <w:sz w:val="20"/>
          <w:lang w:val="ru-RU"/>
        </w:rPr>
        <w:t xml:space="preserve"> часу до початку або </w:t>
      </w:r>
      <w:proofErr w:type="spellStart"/>
      <w:r w:rsidRPr="006B6651">
        <w:rPr>
          <w:color w:val="000000" w:themeColor="text1"/>
          <w:w w:val="110"/>
          <w:sz w:val="20"/>
          <w:lang w:val="ru-RU"/>
        </w:rPr>
        <w:t>зміни</w:t>
      </w:r>
      <w:proofErr w:type="spellEnd"/>
      <w:r w:rsidRPr="006B6651">
        <w:rPr>
          <w:color w:val="000000" w:themeColor="text1"/>
          <w:w w:val="110"/>
          <w:sz w:val="20"/>
          <w:lang w:val="ru-RU"/>
        </w:rPr>
        <w:t xml:space="preserve"> лікування, </w:t>
      </w:r>
      <w:proofErr w:type="spellStart"/>
      <w:r w:rsidRPr="006B6651">
        <w:rPr>
          <w:color w:val="000000" w:themeColor="text1"/>
          <w:w w:val="110"/>
          <w:sz w:val="20"/>
          <w:lang w:val="ru-RU"/>
        </w:rPr>
        <w:t>результати</w:t>
      </w:r>
      <w:proofErr w:type="spellEnd"/>
      <w:r w:rsidRPr="006B6651">
        <w:rPr>
          <w:color w:val="000000" w:themeColor="text1"/>
          <w:w w:val="110"/>
          <w:sz w:val="20"/>
          <w:lang w:val="ru-RU"/>
        </w:rPr>
        <w:t xml:space="preserve"> лікування та </w:t>
      </w:r>
      <w:proofErr w:type="spellStart"/>
      <w:r w:rsidRPr="006B6651">
        <w:rPr>
          <w:color w:val="000000" w:themeColor="text1"/>
          <w:w w:val="110"/>
          <w:sz w:val="20"/>
          <w:lang w:val="ru-RU"/>
        </w:rPr>
        <w:t>загальну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економічну</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ефективність</w:t>
      </w:r>
      <w:proofErr w:type="spellEnd"/>
      <w:r w:rsidRPr="006B6651">
        <w:rPr>
          <w:color w:val="000000" w:themeColor="text1"/>
          <w:w w:val="110"/>
          <w:sz w:val="20"/>
          <w:lang w:val="ru-RU"/>
        </w:rPr>
        <w:t xml:space="preserve"> </w:t>
      </w:r>
      <w:proofErr w:type="spellStart"/>
      <w:r w:rsidRPr="006B6651">
        <w:rPr>
          <w:color w:val="000000" w:themeColor="text1"/>
          <w:w w:val="110"/>
          <w:sz w:val="20"/>
          <w:lang w:val="ru-RU"/>
        </w:rPr>
        <w:t>впровадження</w:t>
      </w:r>
      <w:proofErr w:type="spellEnd"/>
      <w:r w:rsidRPr="006B6651">
        <w:rPr>
          <w:color w:val="000000" w:themeColor="text1"/>
          <w:w w:val="110"/>
          <w:sz w:val="20"/>
          <w:lang w:val="ru-RU"/>
        </w:rPr>
        <w:t xml:space="preserve"> таргетного СНП.</w:t>
      </w:r>
    </w:p>
    <w:p w14:paraId="114F36DB" w14:textId="77777777" w:rsidR="00E05B98" w:rsidRPr="003C6DAE" w:rsidRDefault="00E05B98" w:rsidP="0061310B">
      <w:pPr>
        <w:pStyle w:val="a4"/>
        <w:tabs>
          <w:tab w:val="left" w:pos="2268"/>
        </w:tabs>
        <w:spacing w:line="297" w:lineRule="auto"/>
        <w:ind w:left="1276" w:right="4"/>
        <w:rPr>
          <w:lang w:val="uk-UA"/>
        </w:rPr>
        <w:sectPr w:rsidR="00E05B98" w:rsidRPr="003C6DAE">
          <w:pgSz w:w="11910" w:h="16840"/>
          <w:pgMar w:top="1320" w:right="1275" w:bottom="760" w:left="850" w:header="0" w:footer="573" w:gutter="0"/>
          <w:cols w:space="720"/>
        </w:sectPr>
      </w:pPr>
    </w:p>
    <w:p w14:paraId="26F8316C" w14:textId="5AEA2ECD" w:rsidR="00E05B98" w:rsidRPr="003C6DAE" w:rsidRDefault="0061310B" w:rsidP="004A2937">
      <w:pPr>
        <w:pStyle w:val="3"/>
        <w:numPr>
          <w:ilvl w:val="1"/>
          <w:numId w:val="31"/>
        </w:numPr>
        <w:tabs>
          <w:tab w:val="left" w:pos="1303"/>
        </w:tabs>
        <w:spacing w:before="33"/>
        <w:ind w:left="1303" w:hanging="736"/>
        <w:jc w:val="both"/>
        <w:rPr>
          <w:color w:val="019648"/>
          <w:lang w:val="uk-UA"/>
        </w:rPr>
      </w:pPr>
      <w:bookmarkStart w:id="92" w:name="2.5._References"/>
      <w:bookmarkStart w:id="93" w:name="_bookmark43"/>
      <w:bookmarkEnd w:id="92"/>
      <w:bookmarkEnd w:id="93"/>
      <w:r>
        <w:rPr>
          <w:color w:val="019648"/>
          <w:spacing w:val="-2"/>
          <w:w w:val="105"/>
          <w:lang w:val="uk-UA"/>
        </w:rPr>
        <w:lastRenderedPageBreak/>
        <w:t>Список літератури</w:t>
      </w:r>
    </w:p>
    <w:p w14:paraId="1A8CC91D" w14:textId="77777777" w:rsidR="00E05B98" w:rsidRPr="003C6DAE" w:rsidRDefault="00B01E0C">
      <w:pPr>
        <w:pStyle w:val="a4"/>
        <w:numPr>
          <w:ilvl w:val="0"/>
          <w:numId w:val="12"/>
        </w:numPr>
        <w:tabs>
          <w:tab w:val="left" w:pos="927"/>
        </w:tabs>
        <w:spacing w:before="186" w:line="297" w:lineRule="auto"/>
        <w:ind w:right="140"/>
        <w:rPr>
          <w:sz w:val="20"/>
          <w:lang w:val="uk-UA"/>
        </w:rPr>
      </w:pPr>
      <w:r w:rsidRPr="003C6DAE">
        <w:rPr>
          <w:sz w:val="20"/>
          <w:lang w:val="uk-UA"/>
        </w:rPr>
        <w:t xml:space="preserve">Global tuberculosis </w:t>
      </w:r>
      <w:proofErr w:type="spellStart"/>
      <w:r w:rsidRPr="003C6DAE">
        <w:rPr>
          <w:sz w:val="20"/>
          <w:lang w:val="uk-UA"/>
        </w:rPr>
        <w:t>report</w:t>
      </w:r>
      <w:proofErr w:type="spellEnd"/>
      <w:r w:rsidRPr="003C6DAE">
        <w:rPr>
          <w:sz w:val="20"/>
          <w:lang w:val="uk-UA"/>
        </w:rPr>
        <w:t xml:space="preserve"> 2024. Geneva: </w:t>
      </w:r>
      <w:proofErr w:type="spellStart"/>
      <w:r w:rsidRPr="003C6DAE">
        <w:rPr>
          <w:sz w:val="20"/>
          <w:lang w:val="uk-UA"/>
        </w:rPr>
        <w:t>World</w:t>
      </w:r>
      <w:proofErr w:type="spellEnd"/>
      <w:r w:rsidRPr="003C6DAE">
        <w:rPr>
          <w:sz w:val="20"/>
          <w:lang w:val="uk-UA"/>
        </w:rPr>
        <w:t xml:space="preserve"> Health </w:t>
      </w:r>
      <w:proofErr w:type="spellStart"/>
      <w:r w:rsidRPr="003C6DAE">
        <w:rPr>
          <w:sz w:val="20"/>
          <w:lang w:val="uk-UA"/>
        </w:rPr>
        <w:t>Organization</w:t>
      </w:r>
      <w:proofErr w:type="spellEnd"/>
      <w:r w:rsidRPr="003C6DAE">
        <w:rPr>
          <w:sz w:val="20"/>
          <w:lang w:val="uk-UA"/>
        </w:rPr>
        <w:t>; 2024 (</w:t>
      </w:r>
      <w:hyperlink r:id="rId176">
        <w:r w:rsidRPr="003C6DAE">
          <w:rPr>
            <w:color w:val="019648"/>
            <w:sz w:val="20"/>
            <w:lang w:val="uk-UA"/>
          </w:rPr>
          <w:t>https://www.who.int/</w:t>
        </w:r>
      </w:hyperlink>
      <w:r w:rsidRPr="003C6DAE">
        <w:rPr>
          <w:color w:val="019648"/>
          <w:sz w:val="20"/>
          <w:lang w:val="uk-UA"/>
        </w:rPr>
        <w:t xml:space="preserve"> </w:t>
      </w:r>
      <w:hyperlink r:id="rId177">
        <w:r w:rsidRPr="003C6DAE">
          <w:rPr>
            <w:color w:val="019648"/>
            <w:spacing w:val="-2"/>
            <w:w w:val="105"/>
            <w:sz w:val="20"/>
            <w:lang w:val="uk-UA"/>
          </w:rPr>
          <w:t>teams/global-tuberculosis-programme/tb-reports/global-tuberculosis-report-2024</w:t>
        </w:r>
      </w:hyperlink>
      <w:r w:rsidRPr="003C6DAE">
        <w:rPr>
          <w:spacing w:val="-2"/>
          <w:w w:val="105"/>
          <w:sz w:val="20"/>
          <w:lang w:val="uk-UA"/>
        </w:rPr>
        <w:t>).</w:t>
      </w:r>
    </w:p>
    <w:p w14:paraId="260C1EF3" w14:textId="77777777" w:rsidR="00E05B98" w:rsidRPr="003C6DAE" w:rsidRDefault="00B01E0C">
      <w:pPr>
        <w:pStyle w:val="a4"/>
        <w:numPr>
          <w:ilvl w:val="0"/>
          <w:numId w:val="12"/>
        </w:numPr>
        <w:tabs>
          <w:tab w:val="left" w:pos="927"/>
        </w:tabs>
        <w:spacing w:before="83" w:line="297" w:lineRule="auto"/>
        <w:ind w:right="141"/>
        <w:rPr>
          <w:sz w:val="20"/>
          <w:lang w:val="uk-UA"/>
        </w:rPr>
      </w:pPr>
      <w:proofErr w:type="spellStart"/>
      <w:r w:rsidRPr="003C6DAE">
        <w:rPr>
          <w:spacing w:val="-2"/>
          <w:sz w:val="20"/>
          <w:lang w:val="uk-UA"/>
        </w:rPr>
        <w:t>Resolution</w:t>
      </w:r>
      <w:proofErr w:type="spellEnd"/>
      <w:r w:rsidRPr="003C6DAE">
        <w:rPr>
          <w:spacing w:val="-4"/>
          <w:sz w:val="20"/>
          <w:lang w:val="uk-UA"/>
        </w:rPr>
        <w:t xml:space="preserve"> </w:t>
      </w:r>
      <w:r w:rsidRPr="003C6DAE">
        <w:rPr>
          <w:spacing w:val="-2"/>
          <w:sz w:val="20"/>
          <w:lang w:val="uk-UA"/>
        </w:rPr>
        <w:t>78/L.4.</w:t>
      </w:r>
      <w:r w:rsidRPr="003C6DAE">
        <w:rPr>
          <w:spacing w:val="-4"/>
          <w:sz w:val="20"/>
          <w:lang w:val="uk-UA"/>
        </w:rPr>
        <w:t xml:space="preserve"> </w:t>
      </w:r>
      <w:proofErr w:type="spellStart"/>
      <w:r w:rsidRPr="003C6DAE">
        <w:rPr>
          <w:spacing w:val="-2"/>
          <w:sz w:val="20"/>
          <w:lang w:val="uk-UA"/>
        </w:rPr>
        <w:t>Political</w:t>
      </w:r>
      <w:proofErr w:type="spellEnd"/>
      <w:r w:rsidRPr="003C6DAE">
        <w:rPr>
          <w:spacing w:val="-4"/>
          <w:sz w:val="20"/>
          <w:lang w:val="uk-UA"/>
        </w:rPr>
        <w:t xml:space="preserve"> </w:t>
      </w:r>
      <w:proofErr w:type="spellStart"/>
      <w:r w:rsidRPr="003C6DAE">
        <w:rPr>
          <w:spacing w:val="-2"/>
          <w:sz w:val="20"/>
          <w:lang w:val="uk-UA"/>
        </w:rPr>
        <w:t>declaration</w:t>
      </w:r>
      <w:proofErr w:type="spellEnd"/>
      <w:r w:rsidRPr="003C6DAE">
        <w:rPr>
          <w:spacing w:val="-4"/>
          <w:sz w:val="20"/>
          <w:lang w:val="uk-UA"/>
        </w:rPr>
        <w:t xml:space="preserve"> </w:t>
      </w:r>
      <w:r w:rsidRPr="003C6DAE">
        <w:rPr>
          <w:spacing w:val="-2"/>
          <w:sz w:val="20"/>
          <w:lang w:val="uk-UA"/>
        </w:rPr>
        <w:t>of</w:t>
      </w:r>
      <w:r w:rsidRPr="003C6DAE">
        <w:rPr>
          <w:spacing w:val="-4"/>
          <w:sz w:val="20"/>
          <w:lang w:val="uk-UA"/>
        </w:rPr>
        <w:t xml:space="preserve"> </w:t>
      </w:r>
      <w:r w:rsidRPr="003C6DAE">
        <w:rPr>
          <w:spacing w:val="-2"/>
          <w:sz w:val="20"/>
          <w:lang w:val="uk-UA"/>
        </w:rPr>
        <w:t>the</w:t>
      </w:r>
      <w:r w:rsidRPr="003C6DAE">
        <w:rPr>
          <w:spacing w:val="-4"/>
          <w:sz w:val="20"/>
          <w:lang w:val="uk-UA"/>
        </w:rPr>
        <w:t xml:space="preserve"> </w:t>
      </w:r>
      <w:proofErr w:type="spellStart"/>
      <w:r w:rsidRPr="003C6DAE">
        <w:rPr>
          <w:spacing w:val="-2"/>
          <w:sz w:val="20"/>
          <w:lang w:val="uk-UA"/>
        </w:rPr>
        <w:t>high-level</w:t>
      </w:r>
      <w:proofErr w:type="spellEnd"/>
      <w:r w:rsidRPr="003C6DAE">
        <w:rPr>
          <w:spacing w:val="-4"/>
          <w:sz w:val="20"/>
          <w:lang w:val="uk-UA"/>
        </w:rPr>
        <w:t xml:space="preserve"> </w:t>
      </w:r>
      <w:proofErr w:type="spellStart"/>
      <w:r w:rsidRPr="003C6DAE">
        <w:rPr>
          <w:spacing w:val="-2"/>
          <w:sz w:val="20"/>
          <w:lang w:val="uk-UA"/>
        </w:rPr>
        <w:t>meeting</w:t>
      </w:r>
      <w:proofErr w:type="spellEnd"/>
      <w:r w:rsidRPr="003C6DAE">
        <w:rPr>
          <w:spacing w:val="-4"/>
          <w:sz w:val="20"/>
          <w:lang w:val="uk-UA"/>
        </w:rPr>
        <w:t xml:space="preserve"> </w:t>
      </w:r>
      <w:r w:rsidRPr="003C6DAE">
        <w:rPr>
          <w:spacing w:val="-2"/>
          <w:sz w:val="20"/>
          <w:lang w:val="uk-UA"/>
        </w:rPr>
        <w:t>of</w:t>
      </w:r>
      <w:r w:rsidRPr="003C6DAE">
        <w:rPr>
          <w:spacing w:val="-4"/>
          <w:sz w:val="20"/>
          <w:lang w:val="uk-UA"/>
        </w:rPr>
        <w:t xml:space="preserve"> </w:t>
      </w:r>
      <w:r w:rsidRPr="003C6DAE">
        <w:rPr>
          <w:spacing w:val="-2"/>
          <w:sz w:val="20"/>
          <w:lang w:val="uk-UA"/>
        </w:rPr>
        <w:t>the</w:t>
      </w:r>
      <w:r w:rsidRPr="003C6DAE">
        <w:rPr>
          <w:spacing w:val="-4"/>
          <w:sz w:val="20"/>
          <w:lang w:val="uk-UA"/>
        </w:rPr>
        <w:t xml:space="preserve"> </w:t>
      </w:r>
      <w:proofErr w:type="spellStart"/>
      <w:r w:rsidRPr="003C6DAE">
        <w:rPr>
          <w:spacing w:val="-2"/>
          <w:sz w:val="20"/>
          <w:lang w:val="uk-UA"/>
        </w:rPr>
        <w:t>General</w:t>
      </w:r>
      <w:proofErr w:type="spellEnd"/>
      <w:r w:rsidRPr="003C6DAE">
        <w:rPr>
          <w:spacing w:val="-4"/>
          <w:sz w:val="20"/>
          <w:lang w:val="uk-UA"/>
        </w:rPr>
        <w:t xml:space="preserve"> </w:t>
      </w:r>
      <w:proofErr w:type="spellStart"/>
      <w:r w:rsidRPr="003C6DAE">
        <w:rPr>
          <w:spacing w:val="-2"/>
          <w:sz w:val="20"/>
          <w:lang w:val="uk-UA"/>
        </w:rPr>
        <w:t>Assembly</w:t>
      </w:r>
      <w:proofErr w:type="spellEnd"/>
      <w:r w:rsidRPr="003C6DAE">
        <w:rPr>
          <w:spacing w:val="-4"/>
          <w:sz w:val="20"/>
          <w:lang w:val="uk-UA"/>
        </w:rPr>
        <w:t xml:space="preserve"> </w:t>
      </w:r>
      <w:r w:rsidRPr="003C6DAE">
        <w:rPr>
          <w:spacing w:val="-2"/>
          <w:sz w:val="20"/>
          <w:lang w:val="uk-UA"/>
        </w:rPr>
        <w:t>on</w:t>
      </w:r>
      <w:r w:rsidRPr="003C6DAE">
        <w:rPr>
          <w:spacing w:val="-4"/>
          <w:sz w:val="20"/>
          <w:lang w:val="uk-UA"/>
        </w:rPr>
        <w:t xml:space="preserve"> </w:t>
      </w:r>
      <w:r w:rsidRPr="003C6DAE">
        <w:rPr>
          <w:spacing w:val="-2"/>
          <w:sz w:val="20"/>
          <w:lang w:val="uk-UA"/>
        </w:rPr>
        <w:t>the</w:t>
      </w:r>
      <w:r w:rsidRPr="003C6DAE">
        <w:rPr>
          <w:spacing w:val="-4"/>
          <w:sz w:val="20"/>
          <w:lang w:val="uk-UA"/>
        </w:rPr>
        <w:t xml:space="preserve"> </w:t>
      </w:r>
      <w:proofErr w:type="spellStart"/>
      <w:r w:rsidRPr="003C6DAE">
        <w:rPr>
          <w:spacing w:val="-2"/>
          <w:sz w:val="20"/>
          <w:lang w:val="uk-UA"/>
        </w:rPr>
        <w:t>fight</w:t>
      </w:r>
      <w:proofErr w:type="spellEnd"/>
      <w:r w:rsidRPr="003C6DAE">
        <w:rPr>
          <w:spacing w:val="-2"/>
          <w:sz w:val="20"/>
          <w:lang w:val="uk-UA"/>
        </w:rPr>
        <w:t xml:space="preserve"> </w:t>
      </w:r>
      <w:proofErr w:type="spellStart"/>
      <w:r w:rsidRPr="003C6DAE">
        <w:rPr>
          <w:sz w:val="20"/>
          <w:lang w:val="uk-UA"/>
        </w:rPr>
        <w:t>against</w:t>
      </w:r>
      <w:proofErr w:type="spellEnd"/>
      <w:r w:rsidRPr="003C6DAE">
        <w:rPr>
          <w:spacing w:val="-5"/>
          <w:sz w:val="20"/>
          <w:lang w:val="uk-UA"/>
        </w:rPr>
        <w:t xml:space="preserve"> </w:t>
      </w:r>
      <w:r w:rsidRPr="003C6DAE">
        <w:rPr>
          <w:sz w:val="20"/>
          <w:lang w:val="uk-UA"/>
        </w:rPr>
        <w:t>tuberculosis.</w:t>
      </w:r>
      <w:r w:rsidRPr="003C6DAE">
        <w:rPr>
          <w:spacing w:val="-5"/>
          <w:sz w:val="20"/>
          <w:lang w:val="uk-UA"/>
        </w:rPr>
        <w:t xml:space="preserve"> </w:t>
      </w:r>
      <w:r w:rsidRPr="003C6DAE">
        <w:rPr>
          <w:sz w:val="20"/>
          <w:lang w:val="uk-UA"/>
        </w:rPr>
        <w:t>New</w:t>
      </w:r>
      <w:r w:rsidRPr="003C6DAE">
        <w:rPr>
          <w:spacing w:val="-5"/>
          <w:sz w:val="20"/>
          <w:lang w:val="uk-UA"/>
        </w:rPr>
        <w:t xml:space="preserve"> </w:t>
      </w:r>
      <w:proofErr w:type="spellStart"/>
      <w:r w:rsidRPr="003C6DAE">
        <w:rPr>
          <w:sz w:val="20"/>
          <w:lang w:val="uk-UA"/>
        </w:rPr>
        <w:t>York</w:t>
      </w:r>
      <w:proofErr w:type="spellEnd"/>
      <w:r w:rsidRPr="003C6DAE">
        <w:rPr>
          <w:sz w:val="20"/>
          <w:lang w:val="uk-UA"/>
        </w:rPr>
        <w:t>:</w:t>
      </w:r>
      <w:r w:rsidRPr="003C6DAE">
        <w:rPr>
          <w:spacing w:val="-5"/>
          <w:sz w:val="20"/>
          <w:lang w:val="uk-UA"/>
        </w:rPr>
        <w:t xml:space="preserve"> </w:t>
      </w:r>
      <w:proofErr w:type="spellStart"/>
      <w:r w:rsidRPr="003C6DAE">
        <w:rPr>
          <w:sz w:val="20"/>
          <w:lang w:val="uk-UA"/>
        </w:rPr>
        <w:t>United</w:t>
      </w:r>
      <w:proofErr w:type="spellEnd"/>
      <w:r w:rsidRPr="003C6DAE">
        <w:rPr>
          <w:spacing w:val="-5"/>
          <w:sz w:val="20"/>
          <w:lang w:val="uk-UA"/>
        </w:rPr>
        <w:t xml:space="preserve"> </w:t>
      </w:r>
      <w:proofErr w:type="spellStart"/>
      <w:r w:rsidRPr="003C6DAE">
        <w:rPr>
          <w:sz w:val="20"/>
          <w:lang w:val="uk-UA"/>
        </w:rPr>
        <w:t>Nations</w:t>
      </w:r>
      <w:proofErr w:type="spellEnd"/>
      <w:r w:rsidRPr="003C6DAE">
        <w:rPr>
          <w:sz w:val="20"/>
          <w:lang w:val="uk-UA"/>
        </w:rPr>
        <w:t>;</w:t>
      </w:r>
      <w:r w:rsidRPr="003C6DAE">
        <w:rPr>
          <w:spacing w:val="-5"/>
          <w:sz w:val="20"/>
          <w:lang w:val="uk-UA"/>
        </w:rPr>
        <w:t xml:space="preserve"> </w:t>
      </w:r>
      <w:r w:rsidRPr="003C6DAE">
        <w:rPr>
          <w:sz w:val="20"/>
          <w:lang w:val="uk-UA"/>
        </w:rPr>
        <w:t>2023</w:t>
      </w:r>
      <w:r w:rsidRPr="003C6DAE">
        <w:rPr>
          <w:spacing w:val="-5"/>
          <w:sz w:val="20"/>
          <w:lang w:val="uk-UA"/>
        </w:rPr>
        <w:t xml:space="preserve"> </w:t>
      </w:r>
      <w:r w:rsidRPr="003C6DAE">
        <w:rPr>
          <w:sz w:val="20"/>
          <w:lang w:val="uk-UA"/>
        </w:rPr>
        <w:t>(</w:t>
      </w:r>
      <w:hyperlink r:id="rId178">
        <w:r w:rsidRPr="003C6DAE">
          <w:rPr>
            <w:color w:val="019648"/>
            <w:sz w:val="20"/>
            <w:lang w:val="uk-UA"/>
          </w:rPr>
          <w:t>https://digitallibrary.un.org/record/4022582</w:t>
        </w:r>
      </w:hyperlink>
      <w:r w:rsidRPr="003C6DAE">
        <w:rPr>
          <w:sz w:val="20"/>
          <w:lang w:val="uk-UA"/>
        </w:rPr>
        <w:t>).</w:t>
      </w:r>
    </w:p>
    <w:p w14:paraId="3A0C19B5" w14:textId="77777777" w:rsidR="00E05B98" w:rsidRPr="003C6DAE" w:rsidRDefault="00B01E0C">
      <w:pPr>
        <w:pStyle w:val="a4"/>
        <w:numPr>
          <w:ilvl w:val="0"/>
          <w:numId w:val="12"/>
        </w:numPr>
        <w:tabs>
          <w:tab w:val="left" w:pos="927"/>
        </w:tabs>
        <w:spacing w:before="84" w:line="297" w:lineRule="auto"/>
        <w:ind w:right="142"/>
        <w:rPr>
          <w:sz w:val="20"/>
          <w:lang w:val="uk-UA"/>
        </w:rPr>
      </w:pPr>
      <w:proofErr w:type="spellStart"/>
      <w:r w:rsidRPr="003C6DAE">
        <w:rPr>
          <w:spacing w:val="-2"/>
          <w:sz w:val="20"/>
          <w:lang w:val="uk-UA"/>
        </w:rPr>
        <w:t>Implementing</w:t>
      </w:r>
      <w:proofErr w:type="spellEnd"/>
      <w:r w:rsidRPr="003C6DAE">
        <w:rPr>
          <w:spacing w:val="-6"/>
          <w:sz w:val="20"/>
          <w:lang w:val="uk-UA"/>
        </w:rPr>
        <w:t xml:space="preserve"> </w:t>
      </w:r>
      <w:r w:rsidRPr="003C6DAE">
        <w:rPr>
          <w:spacing w:val="-2"/>
          <w:sz w:val="20"/>
          <w:lang w:val="uk-UA"/>
        </w:rPr>
        <w:t>the</w:t>
      </w:r>
      <w:r w:rsidRPr="003C6DAE">
        <w:rPr>
          <w:spacing w:val="-6"/>
          <w:sz w:val="20"/>
          <w:lang w:val="uk-UA"/>
        </w:rPr>
        <w:t xml:space="preserve"> </w:t>
      </w:r>
      <w:r w:rsidRPr="003C6DAE">
        <w:rPr>
          <w:spacing w:val="-2"/>
          <w:sz w:val="20"/>
          <w:lang w:val="uk-UA"/>
        </w:rPr>
        <w:t>End</w:t>
      </w:r>
      <w:r w:rsidRPr="003C6DAE">
        <w:rPr>
          <w:spacing w:val="-6"/>
          <w:sz w:val="20"/>
          <w:lang w:val="uk-UA"/>
        </w:rPr>
        <w:t xml:space="preserve"> </w:t>
      </w:r>
      <w:r w:rsidRPr="003C6DAE">
        <w:rPr>
          <w:spacing w:val="-2"/>
          <w:sz w:val="20"/>
          <w:lang w:val="uk-UA"/>
        </w:rPr>
        <w:t>TB</w:t>
      </w:r>
      <w:r w:rsidRPr="003C6DAE">
        <w:rPr>
          <w:spacing w:val="-6"/>
          <w:sz w:val="20"/>
          <w:lang w:val="uk-UA"/>
        </w:rPr>
        <w:t xml:space="preserve"> </w:t>
      </w:r>
      <w:proofErr w:type="spellStart"/>
      <w:r w:rsidRPr="003C6DAE">
        <w:rPr>
          <w:spacing w:val="-2"/>
          <w:sz w:val="20"/>
          <w:lang w:val="uk-UA"/>
        </w:rPr>
        <w:t>Strategy</w:t>
      </w:r>
      <w:proofErr w:type="spellEnd"/>
      <w:r w:rsidRPr="003C6DAE">
        <w:rPr>
          <w:spacing w:val="-2"/>
          <w:sz w:val="20"/>
          <w:lang w:val="uk-UA"/>
        </w:rPr>
        <w:t>:</w:t>
      </w:r>
      <w:r w:rsidRPr="003C6DAE">
        <w:rPr>
          <w:spacing w:val="-6"/>
          <w:sz w:val="20"/>
          <w:lang w:val="uk-UA"/>
        </w:rPr>
        <w:t xml:space="preserve"> </w:t>
      </w:r>
      <w:r w:rsidRPr="003C6DAE">
        <w:rPr>
          <w:spacing w:val="-2"/>
          <w:sz w:val="20"/>
          <w:lang w:val="uk-UA"/>
        </w:rPr>
        <w:t>the</w:t>
      </w:r>
      <w:r w:rsidRPr="003C6DAE">
        <w:rPr>
          <w:spacing w:val="-6"/>
          <w:sz w:val="20"/>
          <w:lang w:val="uk-UA"/>
        </w:rPr>
        <w:t xml:space="preserve"> </w:t>
      </w:r>
      <w:proofErr w:type="spellStart"/>
      <w:r w:rsidRPr="003C6DAE">
        <w:rPr>
          <w:spacing w:val="-2"/>
          <w:sz w:val="20"/>
          <w:lang w:val="uk-UA"/>
        </w:rPr>
        <w:t>essentials</w:t>
      </w:r>
      <w:proofErr w:type="spellEnd"/>
      <w:r w:rsidRPr="003C6DAE">
        <w:rPr>
          <w:spacing w:val="-2"/>
          <w:sz w:val="20"/>
          <w:lang w:val="uk-UA"/>
        </w:rPr>
        <w:t>.</w:t>
      </w:r>
      <w:r w:rsidRPr="003C6DAE">
        <w:rPr>
          <w:spacing w:val="-6"/>
          <w:sz w:val="20"/>
          <w:lang w:val="uk-UA"/>
        </w:rPr>
        <w:t xml:space="preserve"> </w:t>
      </w:r>
      <w:r w:rsidRPr="003C6DAE">
        <w:rPr>
          <w:spacing w:val="-2"/>
          <w:sz w:val="20"/>
          <w:lang w:val="uk-UA"/>
        </w:rPr>
        <w:t>Geneva:</w:t>
      </w:r>
      <w:r w:rsidRPr="003C6DAE">
        <w:rPr>
          <w:spacing w:val="-6"/>
          <w:sz w:val="20"/>
          <w:lang w:val="uk-UA"/>
        </w:rPr>
        <w:t xml:space="preserve"> </w:t>
      </w:r>
      <w:proofErr w:type="spellStart"/>
      <w:r w:rsidRPr="003C6DAE">
        <w:rPr>
          <w:spacing w:val="-2"/>
          <w:sz w:val="20"/>
          <w:lang w:val="uk-UA"/>
        </w:rPr>
        <w:t>World</w:t>
      </w:r>
      <w:proofErr w:type="spellEnd"/>
      <w:r w:rsidRPr="003C6DAE">
        <w:rPr>
          <w:spacing w:val="-6"/>
          <w:sz w:val="20"/>
          <w:lang w:val="uk-UA"/>
        </w:rPr>
        <w:t xml:space="preserve"> </w:t>
      </w:r>
      <w:r w:rsidRPr="003C6DAE">
        <w:rPr>
          <w:spacing w:val="-2"/>
          <w:sz w:val="20"/>
          <w:lang w:val="uk-UA"/>
        </w:rPr>
        <w:t>Health</w:t>
      </w:r>
      <w:r w:rsidRPr="003C6DAE">
        <w:rPr>
          <w:spacing w:val="-6"/>
          <w:sz w:val="20"/>
          <w:lang w:val="uk-UA"/>
        </w:rPr>
        <w:t xml:space="preserve"> </w:t>
      </w:r>
      <w:proofErr w:type="spellStart"/>
      <w:r w:rsidRPr="003C6DAE">
        <w:rPr>
          <w:spacing w:val="-2"/>
          <w:sz w:val="20"/>
          <w:lang w:val="uk-UA"/>
        </w:rPr>
        <w:t>Organization</w:t>
      </w:r>
      <w:proofErr w:type="spellEnd"/>
      <w:r w:rsidRPr="003C6DAE">
        <w:rPr>
          <w:spacing w:val="-2"/>
          <w:sz w:val="20"/>
          <w:lang w:val="uk-UA"/>
        </w:rPr>
        <w:t>;</w:t>
      </w:r>
      <w:r w:rsidRPr="003C6DAE">
        <w:rPr>
          <w:spacing w:val="-6"/>
          <w:sz w:val="20"/>
          <w:lang w:val="uk-UA"/>
        </w:rPr>
        <w:t xml:space="preserve"> </w:t>
      </w:r>
      <w:r w:rsidRPr="003C6DAE">
        <w:rPr>
          <w:spacing w:val="-2"/>
          <w:sz w:val="20"/>
          <w:lang w:val="uk-UA"/>
        </w:rPr>
        <w:t>2015</w:t>
      </w:r>
      <w:r w:rsidRPr="003C6DAE">
        <w:rPr>
          <w:spacing w:val="-6"/>
          <w:sz w:val="20"/>
          <w:lang w:val="uk-UA"/>
        </w:rPr>
        <w:t xml:space="preserve"> </w:t>
      </w:r>
      <w:r w:rsidRPr="003C6DAE">
        <w:rPr>
          <w:spacing w:val="-2"/>
          <w:sz w:val="20"/>
          <w:lang w:val="uk-UA"/>
        </w:rPr>
        <w:t>(</w:t>
      </w:r>
      <w:hyperlink r:id="rId179">
        <w:r w:rsidRPr="003C6DAE">
          <w:rPr>
            <w:color w:val="019648"/>
            <w:spacing w:val="-2"/>
            <w:sz w:val="20"/>
            <w:lang w:val="uk-UA"/>
          </w:rPr>
          <w:t>https://</w:t>
        </w:r>
      </w:hyperlink>
      <w:r w:rsidRPr="003C6DAE">
        <w:rPr>
          <w:color w:val="019648"/>
          <w:spacing w:val="-2"/>
          <w:sz w:val="20"/>
          <w:lang w:val="uk-UA"/>
        </w:rPr>
        <w:t xml:space="preserve"> </w:t>
      </w:r>
      <w:hyperlink r:id="rId180">
        <w:r w:rsidRPr="003C6DAE">
          <w:rPr>
            <w:color w:val="019648"/>
            <w:spacing w:val="-2"/>
            <w:sz w:val="20"/>
            <w:lang w:val="uk-UA"/>
          </w:rPr>
          <w:t>apps.who.int/</w:t>
        </w:r>
        <w:proofErr w:type="spellStart"/>
        <w:r w:rsidRPr="003C6DAE">
          <w:rPr>
            <w:color w:val="019648"/>
            <w:spacing w:val="-2"/>
            <w:sz w:val="20"/>
            <w:lang w:val="uk-UA"/>
          </w:rPr>
          <w:t>iris</w:t>
        </w:r>
        <w:proofErr w:type="spellEnd"/>
        <w:r w:rsidRPr="003C6DAE">
          <w:rPr>
            <w:color w:val="019648"/>
            <w:spacing w:val="-2"/>
            <w:sz w:val="20"/>
            <w:lang w:val="uk-UA"/>
          </w:rPr>
          <w:t>/</w:t>
        </w:r>
        <w:proofErr w:type="spellStart"/>
        <w:r w:rsidRPr="003C6DAE">
          <w:rPr>
            <w:color w:val="019648"/>
            <w:spacing w:val="-2"/>
            <w:sz w:val="20"/>
            <w:lang w:val="uk-UA"/>
          </w:rPr>
          <w:t>handle</w:t>
        </w:r>
        <w:proofErr w:type="spellEnd"/>
        <w:r w:rsidRPr="003C6DAE">
          <w:rPr>
            <w:color w:val="019648"/>
            <w:spacing w:val="-2"/>
            <w:sz w:val="20"/>
            <w:lang w:val="uk-UA"/>
          </w:rPr>
          <w:t>/10665/206499</w:t>
        </w:r>
      </w:hyperlink>
      <w:r w:rsidRPr="003C6DAE">
        <w:rPr>
          <w:spacing w:val="-2"/>
          <w:sz w:val="20"/>
          <w:lang w:val="uk-UA"/>
        </w:rPr>
        <w:t>).</w:t>
      </w:r>
    </w:p>
    <w:p w14:paraId="7D430EE4" w14:textId="77777777" w:rsidR="00E05B98" w:rsidRPr="003C6DAE" w:rsidRDefault="00B01E0C">
      <w:pPr>
        <w:pStyle w:val="a4"/>
        <w:numPr>
          <w:ilvl w:val="0"/>
          <w:numId w:val="12"/>
        </w:numPr>
        <w:tabs>
          <w:tab w:val="left" w:pos="927"/>
        </w:tabs>
        <w:spacing w:before="84" w:line="297" w:lineRule="auto"/>
        <w:ind w:right="134"/>
        <w:rPr>
          <w:sz w:val="20"/>
          <w:lang w:val="uk-UA"/>
        </w:rPr>
      </w:pPr>
      <w:proofErr w:type="spellStart"/>
      <w:r w:rsidRPr="003C6DAE">
        <w:rPr>
          <w:sz w:val="20"/>
          <w:lang w:val="uk-UA"/>
        </w:rPr>
        <w:t>Boyer</w:t>
      </w:r>
      <w:proofErr w:type="spellEnd"/>
      <w:r w:rsidRPr="003C6DAE">
        <w:rPr>
          <w:sz w:val="20"/>
          <w:lang w:val="uk-UA"/>
        </w:rPr>
        <w:t xml:space="preserve"> S, </w:t>
      </w:r>
      <w:proofErr w:type="spellStart"/>
      <w:r w:rsidRPr="003C6DAE">
        <w:rPr>
          <w:sz w:val="20"/>
          <w:lang w:val="uk-UA"/>
        </w:rPr>
        <w:t>March</w:t>
      </w:r>
      <w:proofErr w:type="spellEnd"/>
      <w:r w:rsidRPr="003C6DAE">
        <w:rPr>
          <w:sz w:val="20"/>
          <w:lang w:val="uk-UA"/>
        </w:rPr>
        <w:t xml:space="preserve"> L, </w:t>
      </w:r>
      <w:proofErr w:type="spellStart"/>
      <w:r w:rsidRPr="003C6DAE">
        <w:rPr>
          <w:sz w:val="20"/>
          <w:lang w:val="uk-UA"/>
        </w:rPr>
        <w:t>Kouanfack</w:t>
      </w:r>
      <w:proofErr w:type="spellEnd"/>
      <w:r w:rsidRPr="003C6DAE">
        <w:rPr>
          <w:sz w:val="20"/>
          <w:lang w:val="uk-UA"/>
        </w:rPr>
        <w:t xml:space="preserve"> C, </w:t>
      </w:r>
      <w:proofErr w:type="spellStart"/>
      <w:r w:rsidRPr="003C6DAE">
        <w:rPr>
          <w:sz w:val="20"/>
          <w:lang w:val="uk-UA"/>
        </w:rPr>
        <w:t>Laborde-Balen</w:t>
      </w:r>
      <w:proofErr w:type="spellEnd"/>
      <w:r w:rsidRPr="003C6DAE">
        <w:rPr>
          <w:sz w:val="20"/>
          <w:lang w:val="uk-UA"/>
        </w:rPr>
        <w:t xml:space="preserve"> G, </w:t>
      </w:r>
      <w:proofErr w:type="spellStart"/>
      <w:r w:rsidRPr="003C6DAE">
        <w:rPr>
          <w:sz w:val="20"/>
          <w:lang w:val="uk-UA"/>
        </w:rPr>
        <w:t>Marino</w:t>
      </w:r>
      <w:proofErr w:type="spellEnd"/>
      <w:r w:rsidRPr="003C6DAE">
        <w:rPr>
          <w:sz w:val="20"/>
          <w:lang w:val="uk-UA"/>
        </w:rPr>
        <w:t xml:space="preserve"> P, </w:t>
      </w:r>
      <w:proofErr w:type="spellStart"/>
      <w:r w:rsidRPr="003C6DAE">
        <w:rPr>
          <w:sz w:val="20"/>
          <w:lang w:val="uk-UA"/>
        </w:rPr>
        <w:t>Aghokeng</w:t>
      </w:r>
      <w:proofErr w:type="spellEnd"/>
      <w:r w:rsidRPr="003C6DAE">
        <w:rPr>
          <w:sz w:val="20"/>
          <w:lang w:val="uk-UA"/>
        </w:rPr>
        <w:t xml:space="preserve"> AF, </w:t>
      </w:r>
      <w:proofErr w:type="spellStart"/>
      <w:r w:rsidRPr="003C6DAE">
        <w:rPr>
          <w:sz w:val="20"/>
          <w:lang w:val="uk-UA"/>
        </w:rPr>
        <w:t>Mpoudi-Ngole</w:t>
      </w:r>
      <w:proofErr w:type="spellEnd"/>
      <w:r w:rsidRPr="003C6DAE">
        <w:rPr>
          <w:sz w:val="20"/>
          <w:lang w:val="uk-UA"/>
        </w:rPr>
        <w:t xml:space="preserve"> E, </w:t>
      </w:r>
      <w:proofErr w:type="spellStart"/>
      <w:r w:rsidRPr="003C6DAE">
        <w:rPr>
          <w:spacing w:val="-4"/>
          <w:sz w:val="20"/>
          <w:lang w:val="uk-UA"/>
        </w:rPr>
        <w:t>Koulla-Shiro</w:t>
      </w:r>
      <w:proofErr w:type="spellEnd"/>
      <w:r w:rsidRPr="003C6DAE">
        <w:rPr>
          <w:spacing w:val="-4"/>
          <w:sz w:val="20"/>
          <w:lang w:val="uk-UA"/>
        </w:rPr>
        <w:t xml:space="preserve"> S, </w:t>
      </w:r>
      <w:proofErr w:type="spellStart"/>
      <w:r w:rsidRPr="003C6DAE">
        <w:rPr>
          <w:spacing w:val="-4"/>
          <w:sz w:val="20"/>
          <w:lang w:val="uk-UA"/>
        </w:rPr>
        <w:t>Delaporte</w:t>
      </w:r>
      <w:proofErr w:type="spellEnd"/>
      <w:r w:rsidRPr="003C6DAE">
        <w:rPr>
          <w:spacing w:val="-4"/>
          <w:sz w:val="20"/>
          <w:lang w:val="uk-UA"/>
        </w:rPr>
        <w:t xml:space="preserve"> E, </w:t>
      </w:r>
      <w:proofErr w:type="spellStart"/>
      <w:r w:rsidRPr="003C6DAE">
        <w:rPr>
          <w:spacing w:val="-4"/>
          <w:sz w:val="20"/>
          <w:lang w:val="uk-UA"/>
        </w:rPr>
        <w:t>Carrieri</w:t>
      </w:r>
      <w:proofErr w:type="spellEnd"/>
      <w:r w:rsidRPr="003C6DAE">
        <w:rPr>
          <w:spacing w:val="-4"/>
          <w:sz w:val="20"/>
          <w:lang w:val="uk-UA"/>
        </w:rPr>
        <w:t xml:space="preserve"> MP, </w:t>
      </w:r>
      <w:proofErr w:type="spellStart"/>
      <w:r w:rsidRPr="003C6DAE">
        <w:rPr>
          <w:spacing w:val="-4"/>
          <w:sz w:val="20"/>
          <w:lang w:val="uk-UA"/>
        </w:rPr>
        <w:t>Spire</w:t>
      </w:r>
      <w:proofErr w:type="spellEnd"/>
      <w:r w:rsidRPr="003C6DAE">
        <w:rPr>
          <w:spacing w:val="-4"/>
          <w:sz w:val="20"/>
          <w:lang w:val="uk-UA"/>
        </w:rPr>
        <w:t xml:space="preserve"> B, </w:t>
      </w:r>
      <w:proofErr w:type="spellStart"/>
      <w:r w:rsidRPr="003C6DAE">
        <w:rPr>
          <w:spacing w:val="-4"/>
          <w:sz w:val="20"/>
          <w:lang w:val="uk-UA"/>
        </w:rPr>
        <w:t>Laurent</w:t>
      </w:r>
      <w:proofErr w:type="spellEnd"/>
      <w:r w:rsidRPr="003C6DAE">
        <w:rPr>
          <w:spacing w:val="-4"/>
          <w:sz w:val="20"/>
          <w:lang w:val="uk-UA"/>
        </w:rPr>
        <w:t xml:space="preserve"> C, </w:t>
      </w:r>
      <w:proofErr w:type="spellStart"/>
      <w:r w:rsidRPr="003C6DAE">
        <w:rPr>
          <w:spacing w:val="-4"/>
          <w:sz w:val="20"/>
          <w:lang w:val="uk-UA"/>
        </w:rPr>
        <w:t>Moatti</w:t>
      </w:r>
      <w:proofErr w:type="spellEnd"/>
      <w:r w:rsidRPr="003C6DAE">
        <w:rPr>
          <w:spacing w:val="-4"/>
          <w:sz w:val="20"/>
          <w:lang w:val="uk-UA"/>
        </w:rPr>
        <w:t xml:space="preserve"> JP; </w:t>
      </w:r>
      <w:proofErr w:type="spellStart"/>
      <w:r w:rsidRPr="003C6DAE">
        <w:rPr>
          <w:spacing w:val="-4"/>
          <w:sz w:val="20"/>
          <w:lang w:val="uk-UA"/>
        </w:rPr>
        <w:t>Stratall</w:t>
      </w:r>
      <w:proofErr w:type="spellEnd"/>
      <w:r w:rsidRPr="003C6DAE">
        <w:rPr>
          <w:spacing w:val="-4"/>
          <w:sz w:val="20"/>
          <w:lang w:val="uk-UA"/>
        </w:rPr>
        <w:t xml:space="preserve"> ANRS 12110/ESTHER </w:t>
      </w:r>
      <w:proofErr w:type="spellStart"/>
      <w:r w:rsidRPr="003C6DAE">
        <w:rPr>
          <w:sz w:val="20"/>
          <w:lang w:val="uk-UA"/>
        </w:rPr>
        <w:t>Study</w:t>
      </w:r>
      <w:proofErr w:type="spellEnd"/>
      <w:r w:rsidRPr="003C6DAE">
        <w:rPr>
          <w:sz w:val="20"/>
          <w:lang w:val="uk-UA"/>
        </w:rPr>
        <w:t xml:space="preserve"> Group. </w:t>
      </w:r>
      <w:proofErr w:type="spellStart"/>
      <w:r w:rsidRPr="003C6DAE">
        <w:rPr>
          <w:sz w:val="20"/>
          <w:lang w:val="uk-UA"/>
        </w:rPr>
        <w:t>Monitoring</w:t>
      </w:r>
      <w:proofErr w:type="spellEnd"/>
      <w:r w:rsidRPr="003C6DAE">
        <w:rPr>
          <w:sz w:val="20"/>
          <w:lang w:val="uk-UA"/>
        </w:rPr>
        <w:t xml:space="preserve"> of HIV </w:t>
      </w:r>
      <w:proofErr w:type="spellStart"/>
      <w:r w:rsidRPr="003C6DAE">
        <w:rPr>
          <w:sz w:val="20"/>
          <w:lang w:val="uk-UA"/>
        </w:rPr>
        <w:t>viral</w:t>
      </w:r>
      <w:proofErr w:type="spellEnd"/>
      <w:r w:rsidRPr="003C6DAE">
        <w:rPr>
          <w:sz w:val="20"/>
          <w:lang w:val="uk-UA"/>
        </w:rPr>
        <w:t xml:space="preserve"> </w:t>
      </w:r>
      <w:proofErr w:type="spellStart"/>
      <w:r w:rsidRPr="003C6DAE">
        <w:rPr>
          <w:sz w:val="20"/>
          <w:lang w:val="uk-UA"/>
        </w:rPr>
        <w:t>load</w:t>
      </w:r>
      <w:proofErr w:type="spellEnd"/>
      <w:r w:rsidRPr="003C6DAE">
        <w:rPr>
          <w:sz w:val="20"/>
          <w:lang w:val="uk-UA"/>
        </w:rPr>
        <w:t xml:space="preserve">, CD4 </w:t>
      </w:r>
      <w:proofErr w:type="spellStart"/>
      <w:r w:rsidRPr="003C6DAE">
        <w:rPr>
          <w:sz w:val="20"/>
          <w:lang w:val="uk-UA"/>
        </w:rPr>
        <w:t>cell</w:t>
      </w:r>
      <w:proofErr w:type="spellEnd"/>
      <w:r w:rsidRPr="003C6DAE">
        <w:rPr>
          <w:sz w:val="20"/>
          <w:lang w:val="uk-UA"/>
        </w:rPr>
        <w:t xml:space="preserve"> </w:t>
      </w:r>
      <w:proofErr w:type="spellStart"/>
      <w:r w:rsidRPr="003C6DAE">
        <w:rPr>
          <w:sz w:val="20"/>
          <w:lang w:val="uk-UA"/>
        </w:rPr>
        <w:t>count</w:t>
      </w:r>
      <w:proofErr w:type="spellEnd"/>
      <w:r w:rsidRPr="003C6DAE">
        <w:rPr>
          <w:sz w:val="20"/>
          <w:lang w:val="uk-UA"/>
        </w:rPr>
        <w:t xml:space="preserve">, and </w:t>
      </w:r>
      <w:proofErr w:type="spellStart"/>
      <w:r w:rsidRPr="003C6DAE">
        <w:rPr>
          <w:sz w:val="20"/>
          <w:lang w:val="uk-UA"/>
        </w:rPr>
        <w:t>clinical</w:t>
      </w:r>
      <w:proofErr w:type="spellEnd"/>
      <w:r w:rsidRPr="003C6DAE">
        <w:rPr>
          <w:sz w:val="20"/>
          <w:lang w:val="uk-UA"/>
        </w:rPr>
        <w:t xml:space="preserve"> </w:t>
      </w:r>
      <w:proofErr w:type="spellStart"/>
      <w:r w:rsidRPr="003C6DAE">
        <w:rPr>
          <w:sz w:val="20"/>
          <w:lang w:val="uk-UA"/>
        </w:rPr>
        <w:t>assessment</w:t>
      </w:r>
      <w:proofErr w:type="spellEnd"/>
      <w:r w:rsidRPr="003C6DAE">
        <w:rPr>
          <w:sz w:val="20"/>
          <w:lang w:val="uk-UA"/>
        </w:rPr>
        <w:t xml:space="preserve"> </w:t>
      </w:r>
      <w:proofErr w:type="spellStart"/>
      <w:r w:rsidRPr="003C6DAE">
        <w:rPr>
          <w:sz w:val="20"/>
          <w:lang w:val="uk-UA"/>
        </w:rPr>
        <w:t>versus</w:t>
      </w:r>
      <w:proofErr w:type="spellEnd"/>
      <w:r w:rsidRPr="003C6DAE">
        <w:rPr>
          <w:sz w:val="20"/>
          <w:lang w:val="uk-UA"/>
        </w:rPr>
        <w:t xml:space="preserve"> </w:t>
      </w:r>
      <w:proofErr w:type="spellStart"/>
      <w:r w:rsidRPr="003C6DAE">
        <w:rPr>
          <w:sz w:val="20"/>
          <w:lang w:val="uk-UA"/>
        </w:rPr>
        <w:t>clinical</w:t>
      </w:r>
      <w:proofErr w:type="spellEnd"/>
      <w:r w:rsidRPr="003C6DAE">
        <w:rPr>
          <w:sz w:val="20"/>
          <w:lang w:val="uk-UA"/>
        </w:rPr>
        <w:t xml:space="preserve"> </w:t>
      </w:r>
      <w:proofErr w:type="spellStart"/>
      <w:r w:rsidRPr="003C6DAE">
        <w:rPr>
          <w:sz w:val="20"/>
          <w:lang w:val="uk-UA"/>
        </w:rPr>
        <w:t>monitoring</w:t>
      </w:r>
      <w:proofErr w:type="spellEnd"/>
      <w:r w:rsidRPr="003C6DAE">
        <w:rPr>
          <w:spacing w:val="-7"/>
          <w:sz w:val="20"/>
          <w:lang w:val="uk-UA"/>
        </w:rPr>
        <w:t xml:space="preserve"> </w:t>
      </w:r>
      <w:proofErr w:type="spellStart"/>
      <w:r w:rsidRPr="003C6DAE">
        <w:rPr>
          <w:sz w:val="20"/>
          <w:lang w:val="uk-UA"/>
        </w:rPr>
        <w:t>alone</w:t>
      </w:r>
      <w:proofErr w:type="spellEnd"/>
      <w:r w:rsidRPr="003C6DAE">
        <w:rPr>
          <w:spacing w:val="-7"/>
          <w:sz w:val="20"/>
          <w:lang w:val="uk-UA"/>
        </w:rPr>
        <w:t xml:space="preserve"> </w:t>
      </w:r>
      <w:r w:rsidRPr="003C6DAE">
        <w:rPr>
          <w:sz w:val="20"/>
          <w:lang w:val="uk-UA"/>
        </w:rPr>
        <w:t>for</w:t>
      </w:r>
      <w:r w:rsidRPr="003C6DAE">
        <w:rPr>
          <w:spacing w:val="-7"/>
          <w:sz w:val="20"/>
          <w:lang w:val="uk-UA"/>
        </w:rPr>
        <w:t xml:space="preserve"> </w:t>
      </w:r>
      <w:proofErr w:type="spellStart"/>
      <w:r w:rsidRPr="003C6DAE">
        <w:rPr>
          <w:sz w:val="20"/>
          <w:lang w:val="uk-UA"/>
        </w:rPr>
        <w:t>antiretroviral</w:t>
      </w:r>
      <w:proofErr w:type="spellEnd"/>
      <w:r w:rsidRPr="003C6DAE">
        <w:rPr>
          <w:spacing w:val="-7"/>
          <w:sz w:val="20"/>
          <w:lang w:val="uk-UA"/>
        </w:rPr>
        <w:t xml:space="preserve"> </w:t>
      </w:r>
      <w:r w:rsidRPr="003C6DAE">
        <w:rPr>
          <w:sz w:val="20"/>
          <w:lang w:val="uk-UA"/>
        </w:rPr>
        <w:t>therapy</w:t>
      </w:r>
      <w:r w:rsidRPr="003C6DAE">
        <w:rPr>
          <w:spacing w:val="-7"/>
          <w:sz w:val="20"/>
          <w:lang w:val="uk-UA"/>
        </w:rPr>
        <w:t xml:space="preserve"> </w:t>
      </w:r>
      <w:r w:rsidRPr="003C6DAE">
        <w:rPr>
          <w:sz w:val="20"/>
          <w:lang w:val="uk-UA"/>
        </w:rPr>
        <w:t>in</w:t>
      </w:r>
      <w:r w:rsidRPr="003C6DAE">
        <w:rPr>
          <w:spacing w:val="-7"/>
          <w:sz w:val="20"/>
          <w:lang w:val="uk-UA"/>
        </w:rPr>
        <w:t xml:space="preserve"> </w:t>
      </w:r>
      <w:proofErr w:type="spellStart"/>
      <w:r w:rsidRPr="003C6DAE">
        <w:rPr>
          <w:sz w:val="20"/>
          <w:lang w:val="uk-UA"/>
        </w:rPr>
        <w:t>low-resource</w:t>
      </w:r>
      <w:proofErr w:type="spellEnd"/>
      <w:r w:rsidRPr="003C6DAE">
        <w:rPr>
          <w:spacing w:val="-7"/>
          <w:sz w:val="20"/>
          <w:lang w:val="uk-UA"/>
        </w:rPr>
        <w:t xml:space="preserve"> </w:t>
      </w:r>
      <w:r w:rsidRPr="003C6DAE">
        <w:rPr>
          <w:sz w:val="20"/>
          <w:lang w:val="uk-UA"/>
        </w:rPr>
        <w:t>settings</w:t>
      </w:r>
      <w:r w:rsidRPr="003C6DAE">
        <w:rPr>
          <w:spacing w:val="-7"/>
          <w:sz w:val="20"/>
          <w:lang w:val="uk-UA"/>
        </w:rPr>
        <w:t xml:space="preserve"> </w:t>
      </w:r>
      <w:r w:rsidRPr="003C6DAE">
        <w:rPr>
          <w:sz w:val="20"/>
          <w:lang w:val="uk-UA"/>
        </w:rPr>
        <w:t>(</w:t>
      </w:r>
      <w:proofErr w:type="spellStart"/>
      <w:r w:rsidRPr="003C6DAE">
        <w:rPr>
          <w:sz w:val="20"/>
          <w:lang w:val="uk-UA"/>
        </w:rPr>
        <w:t>Stratall</w:t>
      </w:r>
      <w:proofErr w:type="spellEnd"/>
      <w:r w:rsidRPr="003C6DAE">
        <w:rPr>
          <w:spacing w:val="-7"/>
          <w:sz w:val="20"/>
          <w:lang w:val="uk-UA"/>
        </w:rPr>
        <w:t xml:space="preserve"> </w:t>
      </w:r>
      <w:r w:rsidRPr="003C6DAE">
        <w:rPr>
          <w:sz w:val="20"/>
          <w:lang w:val="uk-UA"/>
        </w:rPr>
        <w:t>ANRS</w:t>
      </w:r>
      <w:r w:rsidRPr="003C6DAE">
        <w:rPr>
          <w:spacing w:val="-7"/>
          <w:sz w:val="20"/>
          <w:lang w:val="uk-UA"/>
        </w:rPr>
        <w:t xml:space="preserve"> </w:t>
      </w:r>
      <w:r w:rsidRPr="003C6DAE">
        <w:rPr>
          <w:sz w:val="20"/>
          <w:lang w:val="uk-UA"/>
        </w:rPr>
        <w:t xml:space="preserve">12110/ESTHER): a </w:t>
      </w:r>
      <w:proofErr w:type="spellStart"/>
      <w:r w:rsidRPr="003C6DAE">
        <w:rPr>
          <w:sz w:val="20"/>
          <w:lang w:val="uk-UA"/>
        </w:rPr>
        <w:t>cost-effectiveness</w:t>
      </w:r>
      <w:proofErr w:type="spellEnd"/>
      <w:r w:rsidRPr="003C6DAE">
        <w:rPr>
          <w:sz w:val="20"/>
          <w:lang w:val="uk-UA"/>
        </w:rPr>
        <w:t xml:space="preserve"> </w:t>
      </w:r>
      <w:proofErr w:type="spellStart"/>
      <w:r w:rsidRPr="003C6DAE">
        <w:rPr>
          <w:sz w:val="20"/>
          <w:lang w:val="uk-UA"/>
        </w:rPr>
        <w:t>analysis</w:t>
      </w:r>
      <w:proofErr w:type="spellEnd"/>
      <w:r w:rsidRPr="003C6DAE">
        <w:rPr>
          <w:sz w:val="20"/>
          <w:lang w:val="uk-UA"/>
        </w:rPr>
        <w:t xml:space="preserve">. </w:t>
      </w:r>
      <w:proofErr w:type="spellStart"/>
      <w:r w:rsidRPr="003C6DAE">
        <w:rPr>
          <w:sz w:val="20"/>
          <w:lang w:val="uk-UA"/>
        </w:rPr>
        <w:t>Lancet</w:t>
      </w:r>
      <w:proofErr w:type="spellEnd"/>
      <w:r w:rsidRPr="003C6DAE">
        <w:rPr>
          <w:sz w:val="20"/>
          <w:lang w:val="uk-UA"/>
        </w:rPr>
        <w:t xml:space="preserve"> </w:t>
      </w:r>
      <w:proofErr w:type="spellStart"/>
      <w:r w:rsidRPr="003C6DAE">
        <w:rPr>
          <w:sz w:val="20"/>
          <w:lang w:val="uk-UA"/>
        </w:rPr>
        <w:t>Infect</w:t>
      </w:r>
      <w:proofErr w:type="spellEnd"/>
      <w:r w:rsidRPr="003C6DAE">
        <w:rPr>
          <w:sz w:val="20"/>
          <w:lang w:val="uk-UA"/>
        </w:rPr>
        <w:t xml:space="preserve"> </w:t>
      </w:r>
      <w:proofErr w:type="spellStart"/>
      <w:r w:rsidRPr="003C6DAE">
        <w:rPr>
          <w:sz w:val="20"/>
          <w:lang w:val="uk-UA"/>
        </w:rPr>
        <w:t>Dis</w:t>
      </w:r>
      <w:proofErr w:type="spellEnd"/>
      <w:r w:rsidRPr="003C6DAE">
        <w:rPr>
          <w:sz w:val="20"/>
          <w:lang w:val="uk-UA"/>
        </w:rPr>
        <w:t xml:space="preserve">. 2013 Jul;13(7):577–86. doi: 10.1016/S1473– 3099(13)70073–2. </w:t>
      </w:r>
      <w:proofErr w:type="spellStart"/>
      <w:r w:rsidRPr="003C6DAE">
        <w:rPr>
          <w:sz w:val="20"/>
          <w:lang w:val="uk-UA"/>
        </w:rPr>
        <w:t>Epub</w:t>
      </w:r>
      <w:proofErr w:type="spellEnd"/>
      <w:r w:rsidRPr="003C6DAE">
        <w:rPr>
          <w:sz w:val="20"/>
          <w:lang w:val="uk-UA"/>
        </w:rPr>
        <w:t xml:space="preserve"> 2013 </w:t>
      </w:r>
      <w:proofErr w:type="spellStart"/>
      <w:r w:rsidRPr="003C6DAE">
        <w:rPr>
          <w:sz w:val="20"/>
          <w:lang w:val="uk-UA"/>
        </w:rPr>
        <w:t>Apr</w:t>
      </w:r>
      <w:proofErr w:type="spellEnd"/>
      <w:r w:rsidRPr="003C6DAE">
        <w:rPr>
          <w:sz w:val="20"/>
          <w:lang w:val="uk-UA"/>
        </w:rPr>
        <w:t xml:space="preserve"> 18. PMID: 23602084.</w:t>
      </w:r>
    </w:p>
    <w:p w14:paraId="109F2E60" w14:textId="77777777" w:rsidR="00E05B98" w:rsidRPr="003C6DAE" w:rsidRDefault="00B01E0C">
      <w:pPr>
        <w:pStyle w:val="a4"/>
        <w:numPr>
          <w:ilvl w:val="0"/>
          <w:numId w:val="12"/>
        </w:numPr>
        <w:tabs>
          <w:tab w:val="left" w:pos="927"/>
        </w:tabs>
        <w:spacing w:before="81" w:line="297" w:lineRule="auto"/>
        <w:ind w:right="139"/>
        <w:rPr>
          <w:sz w:val="20"/>
          <w:lang w:val="uk-UA"/>
        </w:rPr>
      </w:pPr>
      <w:proofErr w:type="spellStart"/>
      <w:r w:rsidRPr="003C6DAE">
        <w:rPr>
          <w:sz w:val="20"/>
          <w:lang w:val="uk-UA"/>
        </w:rPr>
        <w:t>Eckman</w:t>
      </w:r>
      <w:proofErr w:type="spellEnd"/>
      <w:r w:rsidRPr="003C6DAE">
        <w:rPr>
          <w:spacing w:val="-6"/>
          <w:sz w:val="20"/>
          <w:lang w:val="uk-UA"/>
        </w:rPr>
        <w:t xml:space="preserve"> </w:t>
      </w:r>
      <w:r w:rsidRPr="003C6DAE">
        <w:rPr>
          <w:sz w:val="20"/>
          <w:lang w:val="uk-UA"/>
        </w:rPr>
        <w:t>MH,</w:t>
      </w:r>
      <w:r w:rsidRPr="003C6DAE">
        <w:rPr>
          <w:spacing w:val="-6"/>
          <w:sz w:val="20"/>
          <w:lang w:val="uk-UA"/>
        </w:rPr>
        <w:t xml:space="preserve"> </w:t>
      </w:r>
      <w:proofErr w:type="spellStart"/>
      <w:r w:rsidRPr="003C6DAE">
        <w:rPr>
          <w:sz w:val="20"/>
          <w:lang w:val="uk-UA"/>
        </w:rPr>
        <w:t>Ward</w:t>
      </w:r>
      <w:proofErr w:type="spellEnd"/>
      <w:r w:rsidRPr="003C6DAE">
        <w:rPr>
          <w:spacing w:val="-6"/>
          <w:sz w:val="20"/>
          <w:lang w:val="uk-UA"/>
        </w:rPr>
        <w:t xml:space="preserve"> </w:t>
      </w:r>
      <w:r w:rsidRPr="003C6DAE">
        <w:rPr>
          <w:sz w:val="20"/>
          <w:lang w:val="uk-UA"/>
        </w:rPr>
        <w:t>JW,</w:t>
      </w:r>
      <w:r w:rsidRPr="003C6DAE">
        <w:rPr>
          <w:spacing w:val="-6"/>
          <w:sz w:val="20"/>
          <w:lang w:val="uk-UA"/>
        </w:rPr>
        <w:t xml:space="preserve"> </w:t>
      </w:r>
      <w:proofErr w:type="spellStart"/>
      <w:r w:rsidRPr="003C6DAE">
        <w:rPr>
          <w:sz w:val="20"/>
          <w:lang w:val="uk-UA"/>
        </w:rPr>
        <w:t>Sherman</w:t>
      </w:r>
      <w:proofErr w:type="spellEnd"/>
      <w:r w:rsidRPr="003C6DAE">
        <w:rPr>
          <w:spacing w:val="-6"/>
          <w:sz w:val="20"/>
          <w:lang w:val="uk-UA"/>
        </w:rPr>
        <w:t xml:space="preserve"> </w:t>
      </w:r>
      <w:r w:rsidRPr="003C6DAE">
        <w:rPr>
          <w:sz w:val="20"/>
          <w:lang w:val="uk-UA"/>
        </w:rPr>
        <w:t>KE.</w:t>
      </w:r>
      <w:r w:rsidRPr="003C6DAE">
        <w:rPr>
          <w:spacing w:val="-6"/>
          <w:sz w:val="20"/>
          <w:lang w:val="uk-UA"/>
        </w:rPr>
        <w:t xml:space="preserve"> </w:t>
      </w:r>
      <w:proofErr w:type="spellStart"/>
      <w:r w:rsidRPr="003C6DAE">
        <w:rPr>
          <w:sz w:val="20"/>
          <w:lang w:val="uk-UA"/>
        </w:rPr>
        <w:t>Cost</w:t>
      </w:r>
      <w:proofErr w:type="spellEnd"/>
      <w:r w:rsidRPr="003C6DAE">
        <w:rPr>
          <w:spacing w:val="-6"/>
          <w:sz w:val="20"/>
          <w:lang w:val="uk-UA"/>
        </w:rPr>
        <w:t xml:space="preserve"> </w:t>
      </w:r>
      <w:proofErr w:type="spellStart"/>
      <w:r w:rsidRPr="003C6DAE">
        <w:rPr>
          <w:sz w:val="20"/>
          <w:lang w:val="uk-UA"/>
        </w:rPr>
        <w:t>effectiveness</w:t>
      </w:r>
      <w:proofErr w:type="spellEnd"/>
      <w:r w:rsidRPr="003C6DAE">
        <w:rPr>
          <w:spacing w:val="-6"/>
          <w:sz w:val="20"/>
          <w:lang w:val="uk-UA"/>
        </w:rPr>
        <w:t xml:space="preserve"> </w:t>
      </w:r>
      <w:r w:rsidRPr="003C6DAE">
        <w:rPr>
          <w:sz w:val="20"/>
          <w:lang w:val="uk-UA"/>
        </w:rPr>
        <w:t>of</w:t>
      </w:r>
      <w:r w:rsidRPr="003C6DAE">
        <w:rPr>
          <w:spacing w:val="-6"/>
          <w:sz w:val="20"/>
          <w:lang w:val="uk-UA"/>
        </w:rPr>
        <w:t xml:space="preserve"> </w:t>
      </w:r>
      <w:proofErr w:type="spellStart"/>
      <w:r w:rsidRPr="003C6DAE">
        <w:rPr>
          <w:sz w:val="20"/>
          <w:lang w:val="uk-UA"/>
        </w:rPr>
        <w:t>universal</w:t>
      </w:r>
      <w:proofErr w:type="spellEnd"/>
      <w:r w:rsidRPr="003C6DAE">
        <w:rPr>
          <w:spacing w:val="-6"/>
          <w:sz w:val="20"/>
          <w:lang w:val="uk-UA"/>
        </w:rPr>
        <w:t xml:space="preserve"> </w:t>
      </w:r>
      <w:proofErr w:type="spellStart"/>
      <w:r w:rsidRPr="003C6DAE">
        <w:rPr>
          <w:sz w:val="20"/>
          <w:lang w:val="uk-UA"/>
        </w:rPr>
        <w:t>screening</w:t>
      </w:r>
      <w:proofErr w:type="spellEnd"/>
      <w:r w:rsidRPr="003C6DAE">
        <w:rPr>
          <w:spacing w:val="-6"/>
          <w:sz w:val="20"/>
          <w:lang w:val="uk-UA"/>
        </w:rPr>
        <w:t xml:space="preserve"> </w:t>
      </w:r>
      <w:r w:rsidRPr="003C6DAE">
        <w:rPr>
          <w:sz w:val="20"/>
          <w:lang w:val="uk-UA"/>
        </w:rPr>
        <w:t>for</w:t>
      </w:r>
      <w:r w:rsidRPr="003C6DAE">
        <w:rPr>
          <w:spacing w:val="-6"/>
          <w:sz w:val="20"/>
          <w:lang w:val="uk-UA"/>
        </w:rPr>
        <w:t xml:space="preserve"> </w:t>
      </w:r>
      <w:proofErr w:type="spellStart"/>
      <w:r w:rsidRPr="003C6DAE">
        <w:rPr>
          <w:sz w:val="20"/>
          <w:lang w:val="uk-UA"/>
        </w:rPr>
        <w:t>hepatitis</w:t>
      </w:r>
      <w:proofErr w:type="spellEnd"/>
      <w:r w:rsidRPr="003C6DAE">
        <w:rPr>
          <w:spacing w:val="-6"/>
          <w:sz w:val="20"/>
          <w:lang w:val="uk-UA"/>
        </w:rPr>
        <w:t xml:space="preserve"> </w:t>
      </w:r>
      <w:r w:rsidRPr="003C6DAE">
        <w:rPr>
          <w:sz w:val="20"/>
          <w:lang w:val="uk-UA"/>
        </w:rPr>
        <w:t>C</w:t>
      </w:r>
      <w:r w:rsidRPr="003C6DAE">
        <w:rPr>
          <w:spacing w:val="-6"/>
          <w:sz w:val="20"/>
          <w:lang w:val="uk-UA"/>
        </w:rPr>
        <w:t xml:space="preserve"> </w:t>
      </w:r>
      <w:proofErr w:type="spellStart"/>
      <w:r w:rsidRPr="003C6DAE">
        <w:rPr>
          <w:sz w:val="20"/>
          <w:lang w:val="uk-UA"/>
        </w:rPr>
        <w:t>virus</w:t>
      </w:r>
      <w:proofErr w:type="spellEnd"/>
      <w:r w:rsidRPr="003C6DAE">
        <w:rPr>
          <w:sz w:val="20"/>
          <w:lang w:val="uk-UA"/>
        </w:rPr>
        <w:t xml:space="preserve"> </w:t>
      </w:r>
      <w:proofErr w:type="spellStart"/>
      <w:r w:rsidRPr="003C6DAE">
        <w:rPr>
          <w:sz w:val="20"/>
          <w:lang w:val="uk-UA"/>
        </w:rPr>
        <w:t>infection</w:t>
      </w:r>
      <w:proofErr w:type="spellEnd"/>
      <w:r w:rsidRPr="003C6DAE">
        <w:rPr>
          <w:sz w:val="20"/>
          <w:lang w:val="uk-UA"/>
        </w:rPr>
        <w:t xml:space="preserve"> in the </w:t>
      </w:r>
      <w:proofErr w:type="spellStart"/>
      <w:r w:rsidRPr="003C6DAE">
        <w:rPr>
          <w:sz w:val="20"/>
          <w:lang w:val="uk-UA"/>
        </w:rPr>
        <w:t>era</w:t>
      </w:r>
      <w:proofErr w:type="spellEnd"/>
      <w:r w:rsidRPr="003C6DAE">
        <w:rPr>
          <w:sz w:val="20"/>
          <w:lang w:val="uk-UA"/>
        </w:rPr>
        <w:t xml:space="preserve"> of </w:t>
      </w:r>
      <w:proofErr w:type="spellStart"/>
      <w:r w:rsidRPr="003C6DAE">
        <w:rPr>
          <w:sz w:val="20"/>
          <w:lang w:val="uk-UA"/>
        </w:rPr>
        <w:t>direct-acting</w:t>
      </w:r>
      <w:proofErr w:type="spellEnd"/>
      <w:r w:rsidRPr="003C6DAE">
        <w:rPr>
          <w:sz w:val="20"/>
          <w:lang w:val="uk-UA"/>
        </w:rPr>
        <w:t xml:space="preserve">, </w:t>
      </w:r>
      <w:proofErr w:type="spellStart"/>
      <w:r w:rsidRPr="003C6DAE">
        <w:rPr>
          <w:sz w:val="20"/>
          <w:lang w:val="uk-UA"/>
        </w:rPr>
        <w:t>pangenotypic</w:t>
      </w:r>
      <w:proofErr w:type="spellEnd"/>
      <w:r w:rsidRPr="003C6DAE">
        <w:rPr>
          <w:sz w:val="20"/>
          <w:lang w:val="uk-UA"/>
        </w:rPr>
        <w:t xml:space="preserve"> </w:t>
      </w:r>
      <w:proofErr w:type="spellStart"/>
      <w:r w:rsidRPr="003C6DAE">
        <w:rPr>
          <w:sz w:val="20"/>
          <w:lang w:val="uk-UA"/>
        </w:rPr>
        <w:t>treatment</w:t>
      </w:r>
      <w:proofErr w:type="spellEnd"/>
      <w:r w:rsidRPr="003C6DAE">
        <w:rPr>
          <w:sz w:val="20"/>
          <w:lang w:val="uk-UA"/>
        </w:rPr>
        <w:t xml:space="preserve"> </w:t>
      </w:r>
      <w:proofErr w:type="spellStart"/>
      <w:r w:rsidRPr="003C6DAE">
        <w:rPr>
          <w:sz w:val="20"/>
          <w:lang w:val="uk-UA"/>
        </w:rPr>
        <w:t>regimens</w:t>
      </w:r>
      <w:proofErr w:type="spellEnd"/>
      <w:r w:rsidRPr="003C6DAE">
        <w:rPr>
          <w:sz w:val="20"/>
          <w:lang w:val="uk-UA"/>
        </w:rPr>
        <w:t xml:space="preserve">. Clin </w:t>
      </w:r>
      <w:proofErr w:type="spellStart"/>
      <w:r w:rsidRPr="003C6DAE">
        <w:rPr>
          <w:sz w:val="20"/>
          <w:lang w:val="uk-UA"/>
        </w:rPr>
        <w:t>Gastroenterol</w:t>
      </w:r>
      <w:proofErr w:type="spellEnd"/>
      <w:r w:rsidRPr="003C6DAE">
        <w:rPr>
          <w:sz w:val="20"/>
          <w:lang w:val="uk-UA"/>
        </w:rPr>
        <w:t xml:space="preserve"> </w:t>
      </w:r>
      <w:proofErr w:type="spellStart"/>
      <w:r w:rsidRPr="003C6DAE">
        <w:rPr>
          <w:sz w:val="20"/>
          <w:lang w:val="uk-UA"/>
        </w:rPr>
        <w:t>Hepatol</w:t>
      </w:r>
      <w:proofErr w:type="spellEnd"/>
      <w:r w:rsidRPr="003C6DAE">
        <w:rPr>
          <w:sz w:val="20"/>
          <w:lang w:val="uk-UA"/>
        </w:rPr>
        <w:t xml:space="preserve">. </w:t>
      </w:r>
      <w:r w:rsidRPr="003C6DAE">
        <w:rPr>
          <w:w w:val="105"/>
          <w:sz w:val="20"/>
          <w:lang w:val="uk-UA"/>
        </w:rPr>
        <w:t xml:space="preserve">2019;17:930–9. e9. doi: </w:t>
      </w:r>
      <w:hyperlink r:id="rId181">
        <w:r w:rsidRPr="003C6DAE">
          <w:rPr>
            <w:color w:val="019648"/>
            <w:w w:val="105"/>
            <w:sz w:val="20"/>
            <w:lang w:val="uk-UA"/>
          </w:rPr>
          <w:t>https://doi.org/10.1016/j.cgh.2018.08.080</w:t>
        </w:r>
      </w:hyperlink>
      <w:r w:rsidRPr="003C6DAE">
        <w:rPr>
          <w:w w:val="105"/>
          <w:sz w:val="20"/>
          <w:lang w:val="uk-UA"/>
        </w:rPr>
        <w:t>.</w:t>
      </w:r>
    </w:p>
    <w:p w14:paraId="45C2E1EE" w14:textId="77777777" w:rsidR="00E05B98" w:rsidRPr="003C6DAE" w:rsidRDefault="00B01E0C">
      <w:pPr>
        <w:pStyle w:val="a4"/>
        <w:numPr>
          <w:ilvl w:val="0"/>
          <w:numId w:val="12"/>
        </w:numPr>
        <w:tabs>
          <w:tab w:val="left" w:pos="927"/>
        </w:tabs>
        <w:spacing w:before="83" w:line="297" w:lineRule="auto"/>
        <w:ind w:right="139"/>
        <w:rPr>
          <w:sz w:val="20"/>
          <w:lang w:val="uk-UA"/>
        </w:rPr>
      </w:pPr>
      <w:proofErr w:type="spellStart"/>
      <w:r w:rsidRPr="003C6DAE">
        <w:rPr>
          <w:spacing w:val="-2"/>
          <w:sz w:val="20"/>
          <w:lang w:val="uk-UA"/>
        </w:rPr>
        <w:t>Wang</w:t>
      </w:r>
      <w:proofErr w:type="spellEnd"/>
      <w:r w:rsidRPr="003C6DAE">
        <w:rPr>
          <w:spacing w:val="-9"/>
          <w:sz w:val="20"/>
          <w:lang w:val="uk-UA"/>
        </w:rPr>
        <w:t xml:space="preserve"> </w:t>
      </w:r>
      <w:r w:rsidRPr="003C6DAE">
        <w:rPr>
          <w:spacing w:val="-2"/>
          <w:sz w:val="20"/>
          <w:lang w:val="uk-UA"/>
        </w:rPr>
        <w:t>J-H,</w:t>
      </w:r>
      <w:r w:rsidRPr="003C6DAE">
        <w:rPr>
          <w:spacing w:val="-9"/>
          <w:sz w:val="20"/>
          <w:lang w:val="uk-UA"/>
        </w:rPr>
        <w:t xml:space="preserve"> </w:t>
      </w:r>
      <w:proofErr w:type="spellStart"/>
      <w:r w:rsidRPr="003C6DAE">
        <w:rPr>
          <w:spacing w:val="-2"/>
          <w:sz w:val="20"/>
          <w:lang w:val="uk-UA"/>
        </w:rPr>
        <w:t>Chen</w:t>
      </w:r>
      <w:proofErr w:type="spellEnd"/>
      <w:r w:rsidRPr="003C6DAE">
        <w:rPr>
          <w:spacing w:val="-9"/>
          <w:sz w:val="20"/>
          <w:lang w:val="uk-UA"/>
        </w:rPr>
        <w:t xml:space="preserve"> </w:t>
      </w:r>
      <w:r w:rsidRPr="003C6DAE">
        <w:rPr>
          <w:spacing w:val="-2"/>
          <w:sz w:val="20"/>
          <w:lang w:val="uk-UA"/>
        </w:rPr>
        <w:t>C-H,</w:t>
      </w:r>
      <w:r w:rsidRPr="003C6DAE">
        <w:rPr>
          <w:spacing w:val="-9"/>
          <w:sz w:val="20"/>
          <w:lang w:val="uk-UA"/>
        </w:rPr>
        <w:t xml:space="preserve"> </w:t>
      </w:r>
      <w:r w:rsidRPr="003C6DAE">
        <w:rPr>
          <w:spacing w:val="-2"/>
          <w:sz w:val="20"/>
          <w:lang w:val="uk-UA"/>
        </w:rPr>
        <w:t>Chang</w:t>
      </w:r>
      <w:r w:rsidRPr="003C6DAE">
        <w:rPr>
          <w:spacing w:val="-9"/>
          <w:sz w:val="20"/>
          <w:lang w:val="uk-UA"/>
        </w:rPr>
        <w:t xml:space="preserve"> </w:t>
      </w:r>
      <w:r w:rsidRPr="003C6DAE">
        <w:rPr>
          <w:spacing w:val="-2"/>
          <w:sz w:val="20"/>
          <w:lang w:val="uk-UA"/>
        </w:rPr>
        <w:t>C-M,</w:t>
      </w:r>
      <w:r w:rsidRPr="003C6DAE">
        <w:rPr>
          <w:spacing w:val="-9"/>
          <w:sz w:val="20"/>
          <w:lang w:val="uk-UA"/>
        </w:rPr>
        <w:t xml:space="preserve"> </w:t>
      </w:r>
      <w:proofErr w:type="spellStart"/>
      <w:r w:rsidRPr="003C6DAE">
        <w:rPr>
          <w:spacing w:val="-2"/>
          <w:sz w:val="20"/>
          <w:lang w:val="uk-UA"/>
        </w:rPr>
        <w:t>Feng</w:t>
      </w:r>
      <w:proofErr w:type="spellEnd"/>
      <w:r w:rsidRPr="003C6DAE">
        <w:rPr>
          <w:spacing w:val="-9"/>
          <w:sz w:val="20"/>
          <w:lang w:val="uk-UA"/>
        </w:rPr>
        <w:t xml:space="preserve"> </w:t>
      </w:r>
      <w:r w:rsidRPr="003C6DAE">
        <w:rPr>
          <w:spacing w:val="-2"/>
          <w:sz w:val="20"/>
          <w:lang w:val="uk-UA"/>
        </w:rPr>
        <w:t>W-C,</w:t>
      </w:r>
      <w:r w:rsidRPr="003C6DAE">
        <w:rPr>
          <w:spacing w:val="-9"/>
          <w:sz w:val="20"/>
          <w:lang w:val="uk-UA"/>
        </w:rPr>
        <w:t xml:space="preserve"> </w:t>
      </w:r>
      <w:proofErr w:type="spellStart"/>
      <w:r w:rsidRPr="003C6DAE">
        <w:rPr>
          <w:spacing w:val="-2"/>
          <w:sz w:val="20"/>
          <w:lang w:val="uk-UA"/>
        </w:rPr>
        <w:t>Lee</w:t>
      </w:r>
      <w:proofErr w:type="spellEnd"/>
      <w:r w:rsidRPr="003C6DAE">
        <w:rPr>
          <w:spacing w:val="-9"/>
          <w:sz w:val="20"/>
          <w:lang w:val="uk-UA"/>
        </w:rPr>
        <w:t xml:space="preserve"> </w:t>
      </w:r>
      <w:r w:rsidRPr="003C6DAE">
        <w:rPr>
          <w:spacing w:val="-2"/>
          <w:sz w:val="20"/>
          <w:lang w:val="uk-UA"/>
        </w:rPr>
        <w:t>C-Y,</w:t>
      </w:r>
      <w:r w:rsidRPr="003C6DAE">
        <w:rPr>
          <w:spacing w:val="-9"/>
          <w:sz w:val="20"/>
          <w:lang w:val="uk-UA"/>
        </w:rPr>
        <w:t xml:space="preserve"> </w:t>
      </w:r>
      <w:proofErr w:type="spellStart"/>
      <w:r w:rsidRPr="003C6DAE">
        <w:rPr>
          <w:spacing w:val="-2"/>
          <w:sz w:val="20"/>
          <w:lang w:val="uk-UA"/>
        </w:rPr>
        <w:t>Lu</w:t>
      </w:r>
      <w:proofErr w:type="spellEnd"/>
      <w:r w:rsidRPr="003C6DAE">
        <w:rPr>
          <w:spacing w:val="-9"/>
          <w:sz w:val="20"/>
          <w:lang w:val="uk-UA"/>
        </w:rPr>
        <w:t xml:space="preserve"> </w:t>
      </w:r>
      <w:r w:rsidRPr="003C6DAE">
        <w:rPr>
          <w:spacing w:val="-2"/>
          <w:sz w:val="20"/>
          <w:lang w:val="uk-UA"/>
        </w:rPr>
        <w:t>S-N.</w:t>
      </w:r>
      <w:r w:rsidRPr="003C6DAE">
        <w:rPr>
          <w:spacing w:val="-9"/>
          <w:sz w:val="20"/>
          <w:lang w:val="uk-UA"/>
        </w:rPr>
        <w:t xml:space="preserve"> </w:t>
      </w:r>
      <w:proofErr w:type="spellStart"/>
      <w:r w:rsidRPr="003C6DAE">
        <w:rPr>
          <w:spacing w:val="-2"/>
          <w:sz w:val="20"/>
          <w:lang w:val="uk-UA"/>
        </w:rPr>
        <w:t>Hepatitis</w:t>
      </w:r>
      <w:proofErr w:type="spellEnd"/>
      <w:r w:rsidRPr="003C6DAE">
        <w:rPr>
          <w:spacing w:val="-9"/>
          <w:sz w:val="20"/>
          <w:lang w:val="uk-UA"/>
        </w:rPr>
        <w:t xml:space="preserve"> </w:t>
      </w:r>
      <w:r w:rsidRPr="003C6DAE">
        <w:rPr>
          <w:spacing w:val="-2"/>
          <w:sz w:val="20"/>
          <w:lang w:val="uk-UA"/>
        </w:rPr>
        <w:t>C</w:t>
      </w:r>
      <w:r w:rsidRPr="003C6DAE">
        <w:rPr>
          <w:spacing w:val="-9"/>
          <w:sz w:val="20"/>
          <w:lang w:val="uk-UA"/>
        </w:rPr>
        <w:t xml:space="preserve"> </w:t>
      </w:r>
      <w:proofErr w:type="spellStart"/>
      <w:r w:rsidRPr="003C6DAE">
        <w:rPr>
          <w:spacing w:val="-2"/>
          <w:sz w:val="20"/>
          <w:lang w:val="uk-UA"/>
        </w:rPr>
        <w:t>virus</w:t>
      </w:r>
      <w:proofErr w:type="spellEnd"/>
      <w:r w:rsidRPr="003C6DAE">
        <w:rPr>
          <w:spacing w:val="-9"/>
          <w:sz w:val="20"/>
          <w:lang w:val="uk-UA"/>
        </w:rPr>
        <w:t xml:space="preserve"> </w:t>
      </w:r>
      <w:proofErr w:type="spellStart"/>
      <w:r w:rsidRPr="003C6DAE">
        <w:rPr>
          <w:spacing w:val="-2"/>
          <w:sz w:val="20"/>
          <w:lang w:val="uk-UA"/>
        </w:rPr>
        <w:t>core</w:t>
      </w:r>
      <w:proofErr w:type="spellEnd"/>
      <w:r w:rsidRPr="003C6DAE">
        <w:rPr>
          <w:spacing w:val="-9"/>
          <w:sz w:val="20"/>
          <w:lang w:val="uk-UA"/>
        </w:rPr>
        <w:t xml:space="preserve"> </w:t>
      </w:r>
      <w:proofErr w:type="spellStart"/>
      <w:r w:rsidRPr="003C6DAE">
        <w:rPr>
          <w:spacing w:val="-2"/>
          <w:sz w:val="20"/>
          <w:lang w:val="uk-UA"/>
        </w:rPr>
        <w:t>antigen</w:t>
      </w:r>
      <w:proofErr w:type="spellEnd"/>
      <w:r w:rsidRPr="003C6DAE">
        <w:rPr>
          <w:spacing w:val="-9"/>
          <w:sz w:val="20"/>
          <w:lang w:val="uk-UA"/>
        </w:rPr>
        <w:t xml:space="preserve"> </w:t>
      </w:r>
      <w:proofErr w:type="spellStart"/>
      <w:r w:rsidRPr="003C6DAE">
        <w:rPr>
          <w:spacing w:val="-2"/>
          <w:sz w:val="20"/>
          <w:lang w:val="uk-UA"/>
        </w:rPr>
        <w:t>is</w:t>
      </w:r>
      <w:proofErr w:type="spellEnd"/>
      <w:r w:rsidRPr="003C6DAE">
        <w:rPr>
          <w:spacing w:val="-9"/>
          <w:sz w:val="20"/>
          <w:lang w:val="uk-UA"/>
        </w:rPr>
        <w:t xml:space="preserve"> </w:t>
      </w:r>
      <w:proofErr w:type="spellStart"/>
      <w:r w:rsidRPr="003C6DAE">
        <w:rPr>
          <w:spacing w:val="-2"/>
          <w:sz w:val="20"/>
          <w:lang w:val="uk-UA"/>
        </w:rPr>
        <w:t>cost</w:t>
      </w:r>
      <w:proofErr w:type="spellEnd"/>
      <w:r w:rsidRPr="003C6DAE">
        <w:rPr>
          <w:spacing w:val="-2"/>
          <w:sz w:val="20"/>
          <w:lang w:val="uk-UA"/>
        </w:rPr>
        <w:t xml:space="preserve">- </w:t>
      </w:r>
      <w:proofErr w:type="spellStart"/>
      <w:r w:rsidRPr="003C6DAE">
        <w:rPr>
          <w:sz w:val="20"/>
          <w:lang w:val="uk-UA"/>
        </w:rPr>
        <w:t>effective</w:t>
      </w:r>
      <w:proofErr w:type="spellEnd"/>
      <w:r w:rsidRPr="003C6DAE">
        <w:rPr>
          <w:sz w:val="20"/>
          <w:lang w:val="uk-UA"/>
        </w:rPr>
        <w:t xml:space="preserve"> in </w:t>
      </w:r>
      <w:proofErr w:type="spellStart"/>
      <w:r w:rsidRPr="003C6DAE">
        <w:rPr>
          <w:sz w:val="20"/>
          <w:lang w:val="uk-UA"/>
        </w:rPr>
        <w:t>community-based</w:t>
      </w:r>
      <w:proofErr w:type="spellEnd"/>
      <w:r w:rsidRPr="003C6DAE">
        <w:rPr>
          <w:sz w:val="20"/>
          <w:lang w:val="uk-UA"/>
        </w:rPr>
        <w:t xml:space="preserve"> </w:t>
      </w:r>
      <w:proofErr w:type="spellStart"/>
      <w:r w:rsidRPr="003C6DAE">
        <w:rPr>
          <w:sz w:val="20"/>
          <w:lang w:val="uk-UA"/>
        </w:rPr>
        <w:t>screening</w:t>
      </w:r>
      <w:proofErr w:type="spellEnd"/>
      <w:r w:rsidRPr="003C6DAE">
        <w:rPr>
          <w:sz w:val="20"/>
          <w:lang w:val="uk-UA"/>
        </w:rPr>
        <w:t xml:space="preserve"> of </w:t>
      </w:r>
      <w:proofErr w:type="spellStart"/>
      <w:r w:rsidRPr="003C6DAE">
        <w:rPr>
          <w:sz w:val="20"/>
          <w:lang w:val="uk-UA"/>
        </w:rPr>
        <w:t>active</w:t>
      </w:r>
      <w:proofErr w:type="spellEnd"/>
      <w:r w:rsidRPr="003C6DAE">
        <w:rPr>
          <w:sz w:val="20"/>
          <w:lang w:val="uk-UA"/>
        </w:rPr>
        <w:t xml:space="preserve"> </w:t>
      </w:r>
      <w:proofErr w:type="spellStart"/>
      <w:r w:rsidRPr="003C6DAE">
        <w:rPr>
          <w:sz w:val="20"/>
          <w:lang w:val="uk-UA"/>
        </w:rPr>
        <w:t>hepatitis</w:t>
      </w:r>
      <w:proofErr w:type="spellEnd"/>
      <w:r w:rsidRPr="003C6DAE">
        <w:rPr>
          <w:sz w:val="20"/>
          <w:lang w:val="uk-UA"/>
        </w:rPr>
        <w:t xml:space="preserve"> C </w:t>
      </w:r>
      <w:proofErr w:type="spellStart"/>
      <w:r w:rsidRPr="003C6DAE">
        <w:rPr>
          <w:sz w:val="20"/>
          <w:lang w:val="uk-UA"/>
        </w:rPr>
        <w:t>infection</w:t>
      </w:r>
      <w:proofErr w:type="spellEnd"/>
      <w:r w:rsidRPr="003C6DAE">
        <w:rPr>
          <w:sz w:val="20"/>
          <w:lang w:val="uk-UA"/>
        </w:rPr>
        <w:t xml:space="preserve"> in </w:t>
      </w:r>
      <w:proofErr w:type="spellStart"/>
      <w:r w:rsidRPr="003C6DAE">
        <w:rPr>
          <w:sz w:val="20"/>
          <w:lang w:val="uk-UA"/>
        </w:rPr>
        <w:t>Taiwan</w:t>
      </w:r>
      <w:proofErr w:type="spellEnd"/>
      <w:r w:rsidRPr="003C6DAE">
        <w:rPr>
          <w:sz w:val="20"/>
          <w:lang w:val="uk-UA"/>
        </w:rPr>
        <w:t xml:space="preserve">. J </w:t>
      </w:r>
      <w:proofErr w:type="spellStart"/>
      <w:r w:rsidRPr="003C6DAE">
        <w:rPr>
          <w:sz w:val="20"/>
          <w:lang w:val="uk-UA"/>
        </w:rPr>
        <w:t>Formos</w:t>
      </w:r>
      <w:proofErr w:type="spellEnd"/>
      <w:r w:rsidRPr="003C6DAE">
        <w:rPr>
          <w:sz w:val="20"/>
          <w:lang w:val="uk-UA"/>
        </w:rPr>
        <w:t xml:space="preserve"> Med </w:t>
      </w:r>
      <w:proofErr w:type="spellStart"/>
      <w:r w:rsidRPr="003C6DAE">
        <w:rPr>
          <w:sz w:val="20"/>
          <w:lang w:val="uk-UA"/>
        </w:rPr>
        <w:t>Assoc</w:t>
      </w:r>
      <w:proofErr w:type="spellEnd"/>
      <w:r w:rsidRPr="003C6DAE">
        <w:rPr>
          <w:sz w:val="20"/>
          <w:lang w:val="uk-UA"/>
        </w:rPr>
        <w:t>.</w:t>
      </w:r>
      <w:r w:rsidRPr="003C6DAE">
        <w:rPr>
          <w:spacing w:val="25"/>
          <w:sz w:val="20"/>
          <w:lang w:val="uk-UA"/>
        </w:rPr>
        <w:t xml:space="preserve"> </w:t>
      </w:r>
      <w:r w:rsidRPr="003C6DAE">
        <w:rPr>
          <w:sz w:val="20"/>
          <w:lang w:val="uk-UA"/>
        </w:rPr>
        <w:t>2020;119:504–8.</w:t>
      </w:r>
      <w:r w:rsidRPr="003C6DAE">
        <w:rPr>
          <w:spacing w:val="25"/>
          <w:sz w:val="20"/>
          <w:lang w:val="uk-UA"/>
        </w:rPr>
        <w:t xml:space="preserve"> </w:t>
      </w:r>
      <w:r w:rsidRPr="003C6DAE">
        <w:rPr>
          <w:sz w:val="20"/>
          <w:lang w:val="uk-UA"/>
        </w:rPr>
        <w:t>doi:</w:t>
      </w:r>
      <w:r w:rsidRPr="003C6DAE">
        <w:rPr>
          <w:spacing w:val="25"/>
          <w:sz w:val="20"/>
          <w:lang w:val="uk-UA"/>
        </w:rPr>
        <w:t xml:space="preserve"> </w:t>
      </w:r>
      <w:hyperlink r:id="rId182">
        <w:r w:rsidRPr="003C6DAE">
          <w:rPr>
            <w:color w:val="019648"/>
            <w:sz w:val="20"/>
            <w:lang w:val="uk-UA"/>
          </w:rPr>
          <w:t>https://doi.org/10.1016/j.jfma.2019.07.011</w:t>
        </w:r>
      </w:hyperlink>
      <w:r w:rsidRPr="003C6DAE">
        <w:rPr>
          <w:sz w:val="20"/>
          <w:lang w:val="uk-UA"/>
        </w:rPr>
        <w:t>.</w:t>
      </w:r>
    </w:p>
    <w:p w14:paraId="6062451F" w14:textId="77777777" w:rsidR="00E05B98" w:rsidRPr="003C6DAE" w:rsidRDefault="00B01E0C">
      <w:pPr>
        <w:pStyle w:val="a4"/>
        <w:numPr>
          <w:ilvl w:val="0"/>
          <w:numId w:val="12"/>
        </w:numPr>
        <w:tabs>
          <w:tab w:val="left" w:pos="927"/>
          <w:tab w:val="left" w:pos="966"/>
        </w:tabs>
        <w:spacing w:before="83" w:line="297" w:lineRule="auto"/>
        <w:ind w:right="141"/>
        <w:rPr>
          <w:sz w:val="20"/>
          <w:lang w:val="uk-UA"/>
        </w:rPr>
      </w:pPr>
      <w:proofErr w:type="spellStart"/>
      <w:r w:rsidRPr="003C6DAE">
        <w:rPr>
          <w:sz w:val="20"/>
          <w:lang w:val="uk-UA"/>
        </w:rPr>
        <w:t>Report</w:t>
      </w:r>
      <w:proofErr w:type="spellEnd"/>
      <w:r w:rsidRPr="003C6DAE">
        <w:rPr>
          <w:spacing w:val="29"/>
          <w:sz w:val="20"/>
          <w:lang w:val="uk-UA"/>
        </w:rPr>
        <w:t xml:space="preserve"> </w:t>
      </w:r>
      <w:r w:rsidRPr="003C6DAE">
        <w:rPr>
          <w:sz w:val="20"/>
          <w:lang w:val="uk-UA"/>
        </w:rPr>
        <w:t>for</w:t>
      </w:r>
      <w:r w:rsidRPr="003C6DAE">
        <w:rPr>
          <w:spacing w:val="-12"/>
          <w:sz w:val="20"/>
          <w:lang w:val="uk-UA"/>
        </w:rPr>
        <w:t xml:space="preserve"> </w:t>
      </w:r>
      <w:r w:rsidRPr="003C6DAE">
        <w:rPr>
          <w:sz w:val="20"/>
          <w:lang w:val="uk-UA"/>
        </w:rPr>
        <w:t>WHO:</w:t>
      </w:r>
      <w:r w:rsidRPr="003C6DAE">
        <w:rPr>
          <w:spacing w:val="-12"/>
          <w:sz w:val="20"/>
          <w:lang w:val="uk-UA"/>
        </w:rPr>
        <w:t xml:space="preserve"> </w:t>
      </w:r>
      <w:proofErr w:type="spellStart"/>
      <w:r w:rsidRPr="003C6DAE">
        <w:rPr>
          <w:sz w:val="20"/>
          <w:lang w:val="uk-UA"/>
        </w:rPr>
        <w:t>non-inferiority</w:t>
      </w:r>
      <w:proofErr w:type="spellEnd"/>
      <w:r w:rsidRPr="003C6DAE">
        <w:rPr>
          <w:spacing w:val="-12"/>
          <w:sz w:val="20"/>
          <w:lang w:val="uk-UA"/>
        </w:rPr>
        <w:t xml:space="preserve"> </w:t>
      </w:r>
      <w:proofErr w:type="spellStart"/>
      <w:r w:rsidRPr="003C6DAE">
        <w:rPr>
          <w:sz w:val="20"/>
          <w:lang w:val="uk-UA"/>
        </w:rPr>
        <w:t>evaluation</w:t>
      </w:r>
      <w:proofErr w:type="spellEnd"/>
      <w:r w:rsidRPr="003C6DAE">
        <w:rPr>
          <w:spacing w:val="-12"/>
          <w:sz w:val="20"/>
          <w:lang w:val="uk-UA"/>
        </w:rPr>
        <w:t xml:space="preserve"> </w:t>
      </w:r>
      <w:r w:rsidRPr="003C6DAE">
        <w:rPr>
          <w:sz w:val="20"/>
          <w:lang w:val="uk-UA"/>
        </w:rPr>
        <w:t>of</w:t>
      </w:r>
      <w:r w:rsidRPr="003C6DAE">
        <w:rPr>
          <w:spacing w:val="-12"/>
          <w:sz w:val="20"/>
          <w:lang w:val="uk-UA"/>
        </w:rPr>
        <w:t xml:space="preserve"> </w:t>
      </w:r>
      <w:r w:rsidRPr="003C6DAE">
        <w:rPr>
          <w:sz w:val="20"/>
          <w:lang w:val="uk-UA"/>
        </w:rPr>
        <w:t>Nipro</w:t>
      </w:r>
      <w:r w:rsidRPr="003C6DAE">
        <w:rPr>
          <w:spacing w:val="-12"/>
          <w:sz w:val="20"/>
          <w:lang w:val="uk-UA"/>
        </w:rPr>
        <w:t xml:space="preserve"> </w:t>
      </w:r>
      <w:r w:rsidRPr="003C6DAE">
        <w:rPr>
          <w:sz w:val="20"/>
          <w:lang w:val="uk-UA"/>
        </w:rPr>
        <w:t>NTM+MDRTB</w:t>
      </w:r>
      <w:r w:rsidRPr="003C6DAE">
        <w:rPr>
          <w:spacing w:val="-12"/>
          <w:sz w:val="20"/>
          <w:lang w:val="uk-UA"/>
        </w:rPr>
        <w:t xml:space="preserve"> </w:t>
      </w:r>
      <w:r w:rsidRPr="003C6DAE">
        <w:rPr>
          <w:sz w:val="20"/>
          <w:lang w:val="uk-UA"/>
        </w:rPr>
        <w:t>and</w:t>
      </w:r>
      <w:r w:rsidRPr="003C6DAE">
        <w:rPr>
          <w:spacing w:val="-12"/>
          <w:sz w:val="20"/>
          <w:lang w:val="uk-UA"/>
        </w:rPr>
        <w:t xml:space="preserve"> </w:t>
      </w:r>
      <w:r w:rsidRPr="003C6DAE">
        <w:rPr>
          <w:sz w:val="20"/>
          <w:lang w:val="uk-UA"/>
        </w:rPr>
        <w:t>Hain</w:t>
      </w:r>
      <w:r w:rsidRPr="003C6DAE">
        <w:rPr>
          <w:spacing w:val="-12"/>
          <w:sz w:val="20"/>
          <w:lang w:val="uk-UA"/>
        </w:rPr>
        <w:t xml:space="preserve"> </w:t>
      </w:r>
      <w:r w:rsidRPr="003C6DAE">
        <w:rPr>
          <w:sz w:val="20"/>
          <w:lang w:val="uk-UA"/>
        </w:rPr>
        <w:t>GenoType</w:t>
      </w:r>
      <w:r w:rsidRPr="003C6DAE">
        <w:rPr>
          <w:spacing w:val="-12"/>
          <w:sz w:val="20"/>
          <w:lang w:val="uk-UA"/>
        </w:rPr>
        <w:t xml:space="preserve"> </w:t>
      </w:r>
      <w:r w:rsidRPr="003C6DAE">
        <w:rPr>
          <w:sz w:val="20"/>
          <w:lang w:val="uk-UA"/>
        </w:rPr>
        <w:t xml:space="preserve">MTBDRplus V2 line </w:t>
      </w:r>
      <w:proofErr w:type="spellStart"/>
      <w:r w:rsidRPr="003C6DAE">
        <w:rPr>
          <w:sz w:val="20"/>
          <w:lang w:val="uk-UA"/>
        </w:rPr>
        <w:t>probe</w:t>
      </w:r>
      <w:proofErr w:type="spellEnd"/>
      <w:r w:rsidRPr="003C6DAE">
        <w:rPr>
          <w:sz w:val="20"/>
          <w:lang w:val="uk-UA"/>
        </w:rPr>
        <w:t xml:space="preserve"> </w:t>
      </w:r>
      <w:proofErr w:type="spellStart"/>
      <w:r w:rsidRPr="003C6DAE">
        <w:rPr>
          <w:sz w:val="20"/>
          <w:lang w:val="uk-UA"/>
        </w:rPr>
        <w:t>assays</w:t>
      </w:r>
      <w:proofErr w:type="spellEnd"/>
      <w:r w:rsidRPr="003C6DAE">
        <w:rPr>
          <w:sz w:val="20"/>
          <w:lang w:val="uk-UA"/>
        </w:rPr>
        <w:t xml:space="preserve">. Geneva: </w:t>
      </w:r>
      <w:proofErr w:type="spellStart"/>
      <w:r w:rsidRPr="003C6DAE">
        <w:rPr>
          <w:sz w:val="20"/>
          <w:lang w:val="uk-UA"/>
        </w:rPr>
        <w:t>Foundation</w:t>
      </w:r>
      <w:proofErr w:type="spellEnd"/>
      <w:r w:rsidRPr="003C6DAE">
        <w:rPr>
          <w:sz w:val="20"/>
          <w:lang w:val="uk-UA"/>
        </w:rPr>
        <w:t xml:space="preserve"> for </w:t>
      </w:r>
      <w:proofErr w:type="spellStart"/>
      <w:r w:rsidRPr="003C6DAE">
        <w:rPr>
          <w:sz w:val="20"/>
          <w:lang w:val="uk-UA"/>
        </w:rPr>
        <w:t>Innovative</w:t>
      </w:r>
      <w:proofErr w:type="spellEnd"/>
      <w:r w:rsidRPr="003C6DAE">
        <w:rPr>
          <w:sz w:val="20"/>
          <w:lang w:val="uk-UA"/>
        </w:rPr>
        <w:t xml:space="preserve"> New </w:t>
      </w:r>
      <w:proofErr w:type="spellStart"/>
      <w:r w:rsidRPr="003C6DAE">
        <w:rPr>
          <w:sz w:val="20"/>
          <w:lang w:val="uk-UA"/>
        </w:rPr>
        <w:t>Diagnostics</w:t>
      </w:r>
      <w:proofErr w:type="spellEnd"/>
      <w:r w:rsidRPr="003C6DAE">
        <w:rPr>
          <w:sz w:val="20"/>
          <w:lang w:val="uk-UA"/>
        </w:rPr>
        <w:t>; 2015.</w:t>
      </w:r>
    </w:p>
    <w:p w14:paraId="3502920D" w14:textId="77777777" w:rsidR="00E05B98" w:rsidRPr="003C6DAE" w:rsidRDefault="00B01E0C">
      <w:pPr>
        <w:pStyle w:val="a4"/>
        <w:numPr>
          <w:ilvl w:val="0"/>
          <w:numId w:val="12"/>
        </w:numPr>
        <w:tabs>
          <w:tab w:val="left" w:pos="927"/>
        </w:tabs>
        <w:spacing w:before="83" w:line="297" w:lineRule="auto"/>
        <w:ind w:right="132"/>
        <w:rPr>
          <w:sz w:val="20"/>
          <w:lang w:val="uk-UA"/>
        </w:rPr>
      </w:pPr>
      <w:proofErr w:type="spellStart"/>
      <w:r w:rsidRPr="003C6DAE">
        <w:rPr>
          <w:sz w:val="20"/>
          <w:lang w:val="uk-UA"/>
        </w:rPr>
        <w:t>Nathavitharana</w:t>
      </w:r>
      <w:proofErr w:type="spellEnd"/>
      <w:r w:rsidRPr="003C6DAE">
        <w:rPr>
          <w:sz w:val="20"/>
          <w:lang w:val="uk-UA"/>
        </w:rPr>
        <w:t xml:space="preserve"> RR, </w:t>
      </w:r>
      <w:proofErr w:type="spellStart"/>
      <w:r w:rsidRPr="003C6DAE">
        <w:rPr>
          <w:sz w:val="20"/>
          <w:lang w:val="uk-UA"/>
        </w:rPr>
        <w:t>Cudahy</w:t>
      </w:r>
      <w:proofErr w:type="spellEnd"/>
      <w:r w:rsidRPr="003C6DAE">
        <w:rPr>
          <w:sz w:val="20"/>
          <w:lang w:val="uk-UA"/>
        </w:rPr>
        <w:t xml:space="preserve"> PG, </w:t>
      </w:r>
      <w:proofErr w:type="spellStart"/>
      <w:r w:rsidRPr="003C6DAE">
        <w:rPr>
          <w:sz w:val="20"/>
          <w:lang w:val="uk-UA"/>
        </w:rPr>
        <w:t>Schumacher</w:t>
      </w:r>
      <w:proofErr w:type="spellEnd"/>
      <w:r w:rsidRPr="003C6DAE">
        <w:rPr>
          <w:sz w:val="20"/>
          <w:lang w:val="uk-UA"/>
        </w:rPr>
        <w:t xml:space="preserve"> SG, </w:t>
      </w:r>
      <w:proofErr w:type="spellStart"/>
      <w:r w:rsidRPr="003C6DAE">
        <w:rPr>
          <w:sz w:val="20"/>
          <w:lang w:val="uk-UA"/>
        </w:rPr>
        <w:t>Steingart</w:t>
      </w:r>
      <w:proofErr w:type="spellEnd"/>
      <w:r w:rsidRPr="003C6DAE">
        <w:rPr>
          <w:sz w:val="20"/>
          <w:lang w:val="uk-UA"/>
        </w:rPr>
        <w:t xml:space="preserve"> KR, </w:t>
      </w:r>
      <w:proofErr w:type="spellStart"/>
      <w:r w:rsidRPr="003C6DAE">
        <w:rPr>
          <w:sz w:val="20"/>
          <w:lang w:val="uk-UA"/>
        </w:rPr>
        <w:t>Pai</w:t>
      </w:r>
      <w:proofErr w:type="spellEnd"/>
      <w:r w:rsidRPr="003C6DAE">
        <w:rPr>
          <w:sz w:val="20"/>
          <w:lang w:val="uk-UA"/>
        </w:rPr>
        <w:t xml:space="preserve"> M, </w:t>
      </w:r>
      <w:proofErr w:type="spellStart"/>
      <w:r w:rsidRPr="003C6DAE">
        <w:rPr>
          <w:sz w:val="20"/>
          <w:lang w:val="uk-UA"/>
        </w:rPr>
        <w:t>Denkinger</w:t>
      </w:r>
      <w:proofErr w:type="spellEnd"/>
      <w:r w:rsidRPr="003C6DAE">
        <w:rPr>
          <w:sz w:val="20"/>
          <w:lang w:val="uk-UA"/>
        </w:rPr>
        <w:t xml:space="preserve"> CM. </w:t>
      </w:r>
      <w:proofErr w:type="spellStart"/>
      <w:r w:rsidRPr="003C6DAE">
        <w:rPr>
          <w:sz w:val="20"/>
          <w:lang w:val="uk-UA"/>
        </w:rPr>
        <w:t>Accuracy</w:t>
      </w:r>
      <w:proofErr w:type="spellEnd"/>
      <w:r w:rsidRPr="003C6DAE">
        <w:rPr>
          <w:sz w:val="20"/>
          <w:lang w:val="uk-UA"/>
        </w:rPr>
        <w:t xml:space="preserve"> of</w:t>
      </w:r>
      <w:r w:rsidRPr="003C6DAE">
        <w:rPr>
          <w:spacing w:val="80"/>
          <w:sz w:val="20"/>
          <w:lang w:val="uk-UA"/>
        </w:rPr>
        <w:t xml:space="preserve"> </w:t>
      </w:r>
      <w:r w:rsidRPr="003C6DAE">
        <w:rPr>
          <w:sz w:val="20"/>
          <w:lang w:val="uk-UA"/>
        </w:rPr>
        <w:t>line</w:t>
      </w:r>
      <w:r w:rsidRPr="003C6DAE">
        <w:rPr>
          <w:spacing w:val="80"/>
          <w:sz w:val="20"/>
          <w:lang w:val="uk-UA"/>
        </w:rPr>
        <w:t xml:space="preserve"> </w:t>
      </w:r>
      <w:proofErr w:type="spellStart"/>
      <w:r w:rsidRPr="003C6DAE">
        <w:rPr>
          <w:sz w:val="20"/>
          <w:lang w:val="uk-UA"/>
        </w:rPr>
        <w:t>probe</w:t>
      </w:r>
      <w:proofErr w:type="spellEnd"/>
      <w:r w:rsidRPr="003C6DAE">
        <w:rPr>
          <w:spacing w:val="80"/>
          <w:sz w:val="20"/>
          <w:lang w:val="uk-UA"/>
        </w:rPr>
        <w:t xml:space="preserve"> </w:t>
      </w:r>
      <w:proofErr w:type="spellStart"/>
      <w:r w:rsidRPr="003C6DAE">
        <w:rPr>
          <w:sz w:val="20"/>
          <w:lang w:val="uk-UA"/>
        </w:rPr>
        <w:t>assays</w:t>
      </w:r>
      <w:proofErr w:type="spellEnd"/>
      <w:r w:rsidRPr="003C6DAE">
        <w:rPr>
          <w:spacing w:val="80"/>
          <w:sz w:val="20"/>
          <w:lang w:val="uk-UA"/>
        </w:rPr>
        <w:t xml:space="preserve"> </w:t>
      </w:r>
      <w:r w:rsidRPr="003C6DAE">
        <w:rPr>
          <w:sz w:val="20"/>
          <w:lang w:val="uk-UA"/>
        </w:rPr>
        <w:t>for</w:t>
      </w:r>
      <w:r w:rsidRPr="003C6DAE">
        <w:rPr>
          <w:spacing w:val="80"/>
          <w:sz w:val="20"/>
          <w:lang w:val="uk-UA"/>
        </w:rPr>
        <w:t xml:space="preserve"> </w:t>
      </w:r>
      <w:r w:rsidRPr="003C6DAE">
        <w:rPr>
          <w:sz w:val="20"/>
          <w:lang w:val="uk-UA"/>
        </w:rPr>
        <w:t>the</w:t>
      </w:r>
      <w:r w:rsidRPr="003C6DAE">
        <w:rPr>
          <w:spacing w:val="80"/>
          <w:sz w:val="20"/>
          <w:lang w:val="uk-UA"/>
        </w:rPr>
        <w:t xml:space="preserve"> </w:t>
      </w:r>
      <w:proofErr w:type="spellStart"/>
      <w:r w:rsidRPr="003C6DAE">
        <w:rPr>
          <w:sz w:val="20"/>
          <w:lang w:val="uk-UA"/>
        </w:rPr>
        <w:t>diagnosis</w:t>
      </w:r>
      <w:proofErr w:type="spellEnd"/>
      <w:r w:rsidRPr="003C6DAE">
        <w:rPr>
          <w:spacing w:val="80"/>
          <w:sz w:val="20"/>
          <w:lang w:val="uk-UA"/>
        </w:rPr>
        <w:t xml:space="preserve"> </w:t>
      </w:r>
      <w:r w:rsidRPr="003C6DAE">
        <w:rPr>
          <w:sz w:val="20"/>
          <w:lang w:val="uk-UA"/>
        </w:rPr>
        <w:t>of</w:t>
      </w:r>
      <w:r w:rsidRPr="003C6DAE">
        <w:rPr>
          <w:spacing w:val="80"/>
          <w:sz w:val="20"/>
          <w:lang w:val="uk-UA"/>
        </w:rPr>
        <w:t xml:space="preserve"> </w:t>
      </w:r>
      <w:proofErr w:type="spellStart"/>
      <w:r w:rsidRPr="003C6DAE">
        <w:rPr>
          <w:sz w:val="20"/>
          <w:lang w:val="uk-UA"/>
        </w:rPr>
        <w:t>pulmonary</w:t>
      </w:r>
      <w:proofErr w:type="spellEnd"/>
      <w:r w:rsidRPr="003C6DAE">
        <w:rPr>
          <w:spacing w:val="80"/>
          <w:sz w:val="20"/>
          <w:lang w:val="uk-UA"/>
        </w:rPr>
        <w:t xml:space="preserve"> </w:t>
      </w:r>
      <w:r w:rsidRPr="003C6DAE">
        <w:rPr>
          <w:sz w:val="20"/>
          <w:lang w:val="uk-UA"/>
        </w:rPr>
        <w:t>and</w:t>
      </w:r>
      <w:r w:rsidRPr="003C6DAE">
        <w:rPr>
          <w:spacing w:val="80"/>
          <w:sz w:val="20"/>
          <w:lang w:val="uk-UA"/>
        </w:rPr>
        <w:t xml:space="preserve"> </w:t>
      </w:r>
      <w:proofErr w:type="spellStart"/>
      <w:r w:rsidRPr="003C6DAE">
        <w:rPr>
          <w:sz w:val="20"/>
          <w:lang w:val="uk-UA"/>
        </w:rPr>
        <w:t>multidrug-resistant</w:t>
      </w:r>
      <w:proofErr w:type="spellEnd"/>
      <w:r w:rsidRPr="003C6DAE">
        <w:rPr>
          <w:spacing w:val="80"/>
          <w:sz w:val="20"/>
          <w:lang w:val="uk-UA"/>
        </w:rPr>
        <w:t xml:space="preserve"> </w:t>
      </w:r>
      <w:r w:rsidRPr="003C6DAE">
        <w:rPr>
          <w:sz w:val="20"/>
          <w:lang w:val="uk-UA"/>
        </w:rPr>
        <w:t xml:space="preserve">tuberculosis: a </w:t>
      </w:r>
      <w:proofErr w:type="spellStart"/>
      <w:r w:rsidRPr="003C6DAE">
        <w:rPr>
          <w:sz w:val="20"/>
          <w:lang w:val="uk-UA"/>
        </w:rPr>
        <w:t>systematic</w:t>
      </w:r>
      <w:proofErr w:type="spellEnd"/>
      <w:r w:rsidRPr="003C6DAE">
        <w:rPr>
          <w:sz w:val="20"/>
          <w:lang w:val="uk-UA"/>
        </w:rPr>
        <w:t xml:space="preserve"> </w:t>
      </w:r>
      <w:proofErr w:type="spellStart"/>
      <w:r w:rsidRPr="003C6DAE">
        <w:rPr>
          <w:sz w:val="20"/>
          <w:lang w:val="uk-UA"/>
        </w:rPr>
        <w:t>review</w:t>
      </w:r>
      <w:proofErr w:type="spellEnd"/>
      <w:r w:rsidRPr="003C6DAE">
        <w:rPr>
          <w:sz w:val="20"/>
          <w:lang w:val="uk-UA"/>
        </w:rPr>
        <w:t xml:space="preserve"> and </w:t>
      </w:r>
      <w:proofErr w:type="spellStart"/>
      <w:r w:rsidRPr="003C6DAE">
        <w:rPr>
          <w:sz w:val="20"/>
          <w:lang w:val="uk-UA"/>
        </w:rPr>
        <w:t>meta-analysis</w:t>
      </w:r>
      <w:proofErr w:type="spellEnd"/>
      <w:r w:rsidRPr="003C6DAE">
        <w:rPr>
          <w:sz w:val="20"/>
          <w:lang w:val="uk-UA"/>
        </w:rPr>
        <w:t xml:space="preserve">. Eur </w:t>
      </w:r>
      <w:proofErr w:type="spellStart"/>
      <w:r w:rsidRPr="003C6DAE">
        <w:rPr>
          <w:sz w:val="20"/>
          <w:lang w:val="uk-UA"/>
        </w:rPr>
        <w:t>Respir</w:t>
      </w:r>
      <w:proofErr w:type="spellEnd"/>
      <w:r w:rsidRPr="003C6DAE">
        <w:rPr>
          <w:sz w:val="20"/>
          <w:lang w:val="uk-UA"/>
        </w:rPr>
        <w:t xml:space="preserve"> J. 2017;49:1601075. doi: </w:t>
      </w:r>
      <w:hyperlink r:id="rId183">
        <w:r w:rsidRPr="003C6DAE">
          <w:rPr>
            <w:color w:val="019648"/>
            <w:sz w:val="20"/>
            <w:lang w:val="uk-UA"/>
          </w:rPr>
          <w:t>https://doi.</w:t>
        </w:r>
      </w:hyperlink>
      <w:r w:rsidRPr="003C6DAE">
        <w:rPr>
          <w:color w:val="019648"/>
          <w:sz w:val="20"/>
          <w:lang w:val="uk-UA"/>
        </w:rPr>
        <w:t xml:space="preserve"> </w:t>
      </w:r>
      <w:hyperlink r:id="rId184">
        <w:proofErr w:type="spellStart"/>
        <w:r w:rsidRPr="003C6DAE">
          <w:rPr>
            <w:color w:val="019648"/>
            <w:spacing w:val="-2"/>
            <w:sz w:val="20"/>
            <w:lang w:val="uk-UA"/>
          </w:rPr>
          <w:t>org</w:t>
        </w:r>
        <w:proofErr w:type="spellEnd"/>
        <w:r w:rsidRPr="003C6DAE">
          <w:rPr>
            <w:color w:val="019648"/>
            <w:spacing w:val="-2"/>
            <w:sz w:val="20"/>
            <w:lang w:val="uk-UA"/>
          </w:rPr>
          <w:t>/10.1183/13993003.01075–2016</w:t>
        </w:r>
      </w:hyperlink>
      <w:r w:rsidRPr="003C6DAE">
        <w:rPr>
          <w:spacing w:val="-2"/>
          <w:sz w:val="20"/>
          <w:lang w:val="uk-UA"/>
        </w:rPr>
        <w:t>.</w:t>
      </w:r>
    </w:p>
    <w:p w14:paraId="3EA9C3C1" w14:textId="77777777" w:rsidR="00E05B98" w:rsidRPr="003C6DAE" w:rsidRDefault="00B01E0C">
      <w:pPr>
        <w:pStyle w:val="a4"/>
        <w:numPr>
          <w:ilvl w:val="0"/>
          <w:numId w:val="12"/>
        </w:numPr>
        <w:tabs>
          <w:tab w:val="left" w:pos="927"/>
        </w:tabs>
        <w:spacing w:before="82" w:line="297" w:lineRule="auto"/>
        <w:ind w:right="140"/>
        <w:rPr>
          <w:sz w:val="20"/>
          <w:lang w:val="uk-UA"/>
        </w:rPr>
      </w:pPr>
      <w:proofErr w:type="spellStart"/>
      <w:r w:rsidRPr="003C6DAE">
        <w:rPr>
          <w:sz w:val="20"/>
          <w:lang w:val="uk-UA"/>
        </w:rPr>
        <w:t>Rapid</w:t>
      </w:r>
      <w:proofErr w:type="spellEnd"/>
      <w:r w:rsidRPr="003C6DAE">
        <w:rPr>
          <w:sz w:val="20"/>
          <w:lang w:val="uk-UA"/>
        </w:rPr>
        <w:t xml:space="preserve"> </w:t>
      </w:r>
      <w:proofErr w:type="spellStart"/>
      <w:r w:rsidRPr="003C6DAE">
        <w:rPr>
          <w:sz w:val="20"/>
          <w:lang w:val="uk-UA"/>
        </w:rPr>
        <w:t>diagnosis</w:t>
      </w:r>
      <w:proofErr w:type="spellEnd"/>
      <w:r w:rsidRPr="003C6DAE">
        <w:rPr>
          <w:sz w:val="20"/>
          <w:lang w:val="uk-UA"/>
        </w:rPr>
        <w:t xml:space="preserve"> of tuberculosis </w:t>
      </w:r>
      <w:proofErr w:type="spellStart"/>
      <w:r w:rsidRPr="003C6DAE">
        <w:rPr>
          <w:sz w:val="20"/>
          <w:lang w:val="uk-UA"/>
        </w:rPr>
        <w:t>brochure</w:t>
      </w:r>
      <w:proofErr w:type="spellEnd"/>
      <w:r w:rsidRPr="003C6DAE">
        <w:rPr>
          <w:sz w:val="20"/>
          <w:lang w:val="uk-UA"/>
        </w:rPr>
        <w:t xml:space="preserve">. </w:t>
      </w:r>
      <w:proofErr w:type="spellStart"/>
      <w:r w:rsidRPr="003C6DAE">
        <w:rPr>
          <w:sz w:val="20"/>
          <w:lang w:val="uk-UA"/>
        </w:rPr>
        <w:t>Nehren</w:t>
      </w:r>
      <w:proofErr w:type="spellEnd"/>
      <w:r w:rsidRPr="003C6DAE">
        <w:rPr>
          <w:sz w:val="20"/>
          <w:lang w:val="uk-UA"/>
        </w:rPr>
        <w:t>, Germany: Hain Lifescience; 2015 (</w:t>
      </w:r>
      <w:hyperlink r:id="rId185">
        <w:r w:rsidRPr="003C6DAE">
          <w:rPr>
            <w:color w:val="019648"/>
            <w:sz w:val="20"/>
            <w:lang w:val="uk-UA"/>
          </w:rPr>
          <w:t>http://www.</w:t>
        </w:r>
      </w:hyperlink>
      <w:r w:rsidRPr="003C6DAE">
        <w:rPr>
          <w:color w:val="019648"/>
          <w:sz w:val="20"/>
          <w:lang w:val="uk-UA"/>
        </w:rPr>
        <w:t xml:space="preserve"> </w:t>
      </w:r>
      <w:hyperlink r:id="rId186">
        <w:r w:rsidRPr="003C6DAE">
          <w:rPr>
            <w:color w:val="019648"/>
            <w:spacing w:val="-2"/>
            <w:w w:val="105"/>
            <w:sz w:val="20"/>
            <w:lang w:val="uk-UA"/>
          </w:rPr>
          <w:t>hain-lifescience.de/uploadfiles/file/produkte/mikrobiologie/mykobakterien/tb_eng.pdf</w:t>
        </w:r>
      </w:hyperlink>
      <w:r w:rsidRPr="003C6DAE">
        <w:rPr>
          <w:spacing w:val="-2"/>
          <w:w w:val="105"/>
          <w:sz w:val="20"/>
          <w:lang w:val="uk-UA"/>
        </w:rPr>
        <w:t>).</w:t>
      </w:r>
    </w:p>
    <w:p w14:paraId="11C7A473" w14:textId="77777777" w:rsidR="00E05B98" w:rsidRPr="003C6DAE" w:rsidRDefault="00B01E0C">
      <w:pPr>
        <w:pStyle w:val="a4"/>
        <w:numPr>
          <w:ilvl w:val="0"/>
          <w:numId w:val="12"/>
        </w:numPr>
        <w:tabs>
          <w:tab w:val="left" w:pos="927"/>
        </w:tabs>
        <w:spacing w:before="84" w:line="297" w:lineRule="auto"/>
        <w:ind w:right="140"/>
        <w:rPr>
          <w:sz w:val="20"/>
          <w:lang w:val="uk-UA"/>
        </w:rPr>
      </w:pPr>
      <w:proofErr w:type="spellStart"/>
      <w:r w:rsidRPr="003C6DAE">
        <w:rPr>
          <w:sz w:val="20"/>
          <w:lang w:val="uk-UA"/>
        </w:rPr>
        <w:t>Bossuyt</w:t>
      </w:r>
      <w:proofErr w:type="spellEnd"/>
      <w:r w:rsidRPr="003C6DAE">
        <w:rPr>
          <w:spacing w:val="-14"/>
          <w:sz w:val="20"/>
          <w:lang w:val="uk-UA"/>
        </w:rPr>
        <w:t xml:space="preserve"> </w:t>
      </w:r>
      <w:r w:rsidRPr="003C6DAE">
        <w:rPr>
          <w:sz w:val="20"/>
          <w:lang w:val="uk-UA"/>
        </w:rPr>
        <w:t>P,</w:t>
      </w:r>
      <w:r w:rsidRPr="003C6DAE">
        <w:rPr>
          <w:spacing w:val="-13"/>
          <w:sz w:val="20"/>
          <w:lang w:val="uk-UA"/>
        </w:rPr>
        <w:t xml:space="preserve"> </w:t>
      </w:r>
      <w:proofErr w:type="spellStart"/>
      <w:r w:rsidRPr="003C6DAE">
        <w:rPr>
          <w:sz w:val="20"/>
          <w:lang w:val="uk-UA"/>
        </w:rPr>
        <w:t>Reitsma</w:t>
      </w:r>
      <w:proofErr w:type="spellEnd"/>
      <w:r w:rsidRPr="003C6DAE">
        <w:rPr>
          <w:spacing w:val="-13"/>
          <w:sz w:val="20"/>
          <w:lang w:val="uk-UA"/>
        </w:rPr>
        <w:t xml:space="preserve"> </w:t>
      </w:r>
      <w:r w:rsidRPr="003C6DAE">
        <w:rPr>
          <w:sz w:val="20"/>
          <w:lang w:val="uk-UA"/>
        </w:rPr>
        <w:t>J,</w:t>
      </w:r>
      <w:r w:rsidRPr="003C6DAE">
        <w:rPr>
          <w:spacing w:val="-14"/>
          <w:sz w:val="20"/>
          <w:lang w:val="uk-UA"/>
        </w:rPr>
        <w:t xml:space="preserve"> </w:t>
      </w:r>
      <w:proofErr w:type="spellStart"/>
      <w:r w:rsidRPr="003C6DAE">
        <w:rPr>
          <w:sz w:val="20"/>
          <w:lang w:val="uk-UA"/>
        </w:rPr>
        <w:t>Bruns</w:t>
      </w:r>
      <w:proofErr w:type="spellEnd"/>
      <w:r w:rsidRPr="003C6DAE">
        <w:rPr>
          <w:spacing w:val="-13"/>
          <w:sz w:val="20"/>
          <w:lang w:val="uk-UA"/>
        </w:rPr>
        <w:t xml:space="preserve"> </w:t>
      </w:r>
      <w:r w:rsidRPr="003C6DAE">
        <w:rPr>
          <w:sz w:val="20"/>
          <w:lang w:val="uk-UA"/>
        </w:rPr>
        <w:t>D,</w:t>
      </w:r>
      <w:r w:rsidRPr="003C6DAE">
        <w:rPr>
          <w:spacing w:val="-13"/>
          <w:sz w:val="20"/>
          <w:lang w:val="uk-UA"/>
        </w:rPr>
        <w:t xml:space="preserve"> </w:t>
      </w:r>
      <w:proofErr w:type="spellStart"/>
      <w:r w:rsidRPr="003C6DAE">
        <w:rPr>
          <w:sz w:val="20"/>
          <w:lang w:val="uk-UA"/>
        </w:rPr>
        <w:t>Gatsonis</w:t>
      </w:r>
      <w:proofErr w:type="spellEnd"/>
      <w:r w:rsidRPr="003C6DAE">
        <w:rPr>
          <w:spacing w:val="-13"/>
          <w:sz w:val="20"/>
          <w:lang w:val="uk-UA"/>
        </w:rPr>
        <w:t xml:space="preserve"> </w:t>
      </w:r>
      <w:r w:rsidRPr="003C6DAE">
        <w:rPr>
          <w:sz w:val="20"/>
          <w:lang w:val="uk-UA"/>
        </w:rPr>
        <w:t>C,</w:t>
      </w:r>
      <w:r w:rsidRPr="003C6DAE">
        <w:rPr>
          <w:spacing w:val="-14"/>
          <w:sz w:val="20"/>
          <w:lang w:val="uk-UA"/>
        </w:rPr>
        <w:t xml:space="preserve"> </w:t>
      </w:r>
      <w:proofErr w:type="spellStart"/>
      <w:r w:rsidRPr="003C6DAE">
        <w:rPr>
          <w:sz w:val="20"/>
          <w:lang w:val="uk-UA"/>
        </w:rPr>
        <w:t>Glasziou</w:t>
      </w:r>
      <w:proofErr w:type="spellEnd"/>
      <w:r w:rsidRPr="003C6DAE">
        <w:rPr>
          <w:spacing w:val="-13"/>
          <w:sz w:val="20"/>
          <w:lang w:val="uk-UA"/>
        </w:rPr>
        <w:t xml:space="preserve"> </w:t>
      </w:r>
      <w:r w:rsidRPr="003C6DAE">
        <w:rPr>
          <w:sz w:val="20"/>
          <w:lang w:val="uk-UA"/>
        </w:rPr>
        <w:t>P,</w:t>
      </w:r>
      <w:r w:rsidRPr="003C6DAE">
        <w:rPr>
          <w:spacing w:val="-13"/>
          <w:sz w:val="20"/>
          <w:lang w:val="uk-UA"/>
        </w:rPr>
        <w:t xml:space="preserve"> </w:t>
      </w:r>
      <w:proofErr w:type="spellStart"/>
      <w:r w:rsidRPr="003C6DAE">
        <w:rPr>
          <w:sz w:val="20"/>
          <w:lang w:val="uk-UA"/>
        </w:rPr>
        <w:t>Irwig</w:t>
      </w:r>
      <w:proofErr w:type="spellEnd"/>
      <w:r w:rsidRPr="003C6DAE">
        <w:rPr>
          <w:spacing w:val="-14"/>
          <w:sz w:val="20"/>
          <w:lang w:val="uk-UA"/>
        </w:rPr>
        <w:t xml:space="preserve"> </w:t>
      </w:r>
      <w:r w:rsidRPr="003C6DAE">
        <w:rPr>
          <w:sz w:val="20"/>
          <w:lang w:val="uk-UA"/>
        </w:rPr>
        <w:t>L</w:t>
      </w:r>
      <w:r w:rsidRPr="003C6DAE">
        <w:rPr>
          <w:spacing w:val="-13"/>
          <w:sz w:val="20"/>
          <w:lang w:val="uk-UA"/>
        </w:rPr>
        <w:t xml:space="preserve"> </w:t>
      </w:r>
      <w:r w:rsidRPr="003C6DAE">
        <w:rPr>
          <w:sz w:val="20"/>
          <w:lang w:val="uk-UA"/>
        </w:rPr>
        <w:t>et</w:t>
      </w:r>
      <w:r w:rsidRPr="003C6DAE">
        <w:rPr>
          <w:spacing w:val="-13"/>
          <w:sz w:val="20"/>
          <w:lang w:val="uk-UA"/>
        </w:rPr>
        <w:t xml:space="preserve"> </w:t>
      </w:r>
      <w:proofErr w:type="spellStart"/>
      <w:r w:rsidRPr="003C6DAE">
        <w:rPr>
          <w:sz w:val="20"/>
          <w:lang w:val="uk-UA"/>
        </w:rPr>
        <w:t>al</w:t>
      </w:r>
      <w:proofErr w:type="spellEnd"/>
      <w:r w:rsidRPr="003C6DAE">
        <w:rPr>
          <w:sz w:val="20"/>
          <w:lang w:val="uk-UA"/>
        </w:rPr>
        <w:t>.</w:t>
      </w:r>
      <w:r w:rsidRPr="003C6DAE">
        <w:rPr>
          <w:spacing w:val="-13"/>
          <w:sz w:val="20"/>
          <w:lang w:val="uk-UA"/>
        </w:rPr>
        <w:t xml:space="preserve"> </w:t>
      </w:r>
      <w:r w:rsidRPr="003C6DAE">
        <w:rPr>
          <w:sz w:val="20"/>
          <w:lang w:val="uk-UA"/>
        </w:rPr>
        <w:t>STARD</w:t>
      </w:r>
      <w:r w:rsidRPr="003C6DAE">
        <w:rPr>
          <w:spacing w:val="-14"/>
          <w:sz w:val="20"/>
          <w:lang w:val="uk-UA"/>
        </w:rPr>
        <w:t xml:space="preserve"> </w:t>
      </w:r>
      <w:r w:rsidRPr="003C6DAE">
        <w:rPr>
          <w:sz w:val="20"/>
          <w:lang w:val="uk-UA"/>
        </w:rPr>
        <w:t>2015:</w:t>
      </w:r>
      <w:r w:rsidRPr="003C6DAE">
        <w:rPr>
          <w:spacing w:val="-13"/>
          <w:sz w:val="20"/>
          <w:lang w:val="uk-UA"/>
        </w:rPr>
        <w:t xml:space="preserve"> </w:t>
      </w:r>
      <w:r w:rsidRPr="003C6DAE">
        <w:rPr>
          <w:sz w:val="20"/>
          <w:lang w:val="uk-UA"/>
        </w:rPr>
        <w:t>an</w:t>
      </w:r>
      <w:r w:rsidRPr="003C6DAE">
        <w:rPr>
          <w:spacing w:val="-13"/>
          <w:sz w:val="20"/>
          <w:lang w:val="uk-UA"/>
        </w:rPr>
        <w:t xml:space="preserve"> </w:t>
      </w:r>
      <w:proofErr w:type="spellStart"/>
      <w:r w:rsidRPr="003C6DAE">
        <w:rPr>
          <w:sz w:val="20"/>
          <w:lang w:val="uk-UA"/>
        </w:rPr>
        <w:t>updated</w:t>
      </w:r>
      <w:proofErr w:type="spellEnd"/>
      <w:r w:rsidRPr="003C6DAE">
        <w:rPr>
          <w:spacing w:val="-14"/>
          <w:sz w:val="20"/>
          <w:lang w:val="uk-UA"/>
        </w:rPr>
        <w:t xml:space="preserve"> </w:t>
      </w:r>
      <w:proofErr w:type="spellStart"/>
      <w:r w:rsidRPr="003C6DAE">
        <w:rPr>
          <w:sz w:val="20"/>
          <w:lang w:val="uk-UA"/>
        </w:rPr>
        <w:t>list</w:t>
      </w:r>
      <w:proofErr w:type="spellEnd"/>
      <w:r w:rsidRPr="003C6DAE">
        <w:rPr>
          <w:spacing w:val="-13"/>
          <w:sz w:val="20"/>
          <w:lang w:val="uk-UA"/>
        </w:rPr>
        <w:t xml:space="preserve"> </w:t>
      </w:r>
      <w:r w:rsidRPr="003C6DAE">
        <w:rPr>
          <w:sz w:val="20"/>
          <w:lang w:val="uk-UA"/>
        </w:rPr>
        <w:t xml:space="preserve">of </w:t>
      </w:r>
      <w:proofErr w:type="spellStart"/>
      <w:r w:rsidRPr="003C6DAE">
        <w:rPr>
          <w:sz w:val="20"/>
          <w:lang w:val="uk-UA"/>
        </w:rPr>
        <w:t>essential</w:t>
      </w:r>
      <w:proofErr w:type="spellEnd"/>
      <w:r w:rsidRPr="003C6DAE">
        <w:rPr>
          <w:sz w:val="20"/>
          <w:lang w:val="uk-UA"/>
        </w:rPr>
        <w:t xml:space="preserve"> </w:t>
      </w:r>
      <w:proofErr w:type="spellStart"/>
      <w:r w:rsidRPr="003C6DAE">
        <w:rPr>
          <w:sz w:val="20"/>
          <w:lang w:val="uk-UA"/>
        </w:rPr>
        <w:t>items</w:t>
      </w:r>
      <w:proofErr w:type="spellEnd"/>
      <w:r w:rsidRPr="003C6DAE">
        <w:rPr>
          <w:sz w:val="20"/>
          <w:lang w:val="uk-UA"/>
        </w:rPr>
        <w:t xml:space="preserve"> for </w:t>
      </w:r>
      <w:proofErr w:type="spellStart"/>
      <w:r w:rsidRPr="003C6DAE">
        <w:rPr>
          <w:sz w:val="20"/>
          <w:lang w:val="uk-UA"/>
        </w:rPr>
        <w:t>reporting</w:t>
      </w:r>
      <w:proofErr w:type="spellEnd"/>
      <w:r w:rsidRPr="003C6DAE">
        <w:rPr>
          <w:sz w:val="20"/>
          <w:lang w:val="uk-UA"/>
        </w:rPr>
        <w:t xml:space="preserve"> </w:t>
      </w:r>
      <w:proofErr w:type="spellStart"/>
      <w:r w:rsidRPr="003C6DAE">
        <w:rPr>
          <w:sz w:val="20"/>
          <w:lang w:val="uk-UA"/>
        </w:rPr>
        <w:t>diagnostic</w:t>
      </w:r>
      <w:proofErr w:type="spellEnd"/>
      <w:r w:rsidRPr="003C6DAE">
        <w:rPr>
          <w:sz w:val="20"/>
          <w:lang w:val="uk-UA"/>
        </w:rPr>
        <w:t xml:space="preserve"> </w:t>
      </w:r>
      <w:proofErr w:type="spellStart"/>
      <w:r w:rsidRPr="003C6DAE">
        <w:rPr>
          <w:sz w:val="20"/>
          <w:lang w:val="uk-UA"/>
        </w:rPr>
        <w:t>accuracy</w:t>
      </w:r>
      <w:proofErr w:type="spellEnd"/>
      <w:r w:rsidRPr="003C6DAE">
        <w:rPr>
          <w:sz w:val="20"/>
          <w:lang w:val="uk-UA"/>
        </w:rPr>
        <w:t xml:space="preserve"> </w:t>
      </w:r>
      <w:proofErr w:type="spellStart"/>
      <w:r w:rsidRPr="003C6DAE">
        <w:rPr>
          <w:sz w:val="20"/>
          <w:lang w:val="uk-UA"/>
        </w:rPr>
        <w:t>studies</w:t>
      </w:r>
      <w:proofErr w:type="spellEnd"/>
      <w:r w:rsidRPr="003C6DAE">
        <w:rPr>
          <w:sz w:val="20"/>
          <w:lang w:val="uk-UA"/>
        </w:rPr>
        <w:t xml:space="preserve">. BMJ. 2015;351:h5527. doi: </w:t>
      </w:r>
      <w:hyperlink r:id="rId187">
        <w:r w:rsidRPr="003C6DAE">
          <w:rPr>
            <w:color w:val="019648"/>
            <w:sz w:val="20"/>
            <w:lang w:val="uk-UA"/>
          </w:rPr>
          <w:t>https://doi.</w:t>
        </w:r>
      </w:hyperlink>
      <w:r w:rsidRPr="003C6DAE">
        <w:rPr>
          <w:color w:val="019648"/>
          <w:sz w:val="20"/>
          <w:lang w:val="uk-UA"/>
        </w:rPr>
        <w:t xml:space="preserve"> </w:t>
      </w:r>
      <w:hyperlink r:id="rId188">
        <w:proofErr w:type="spellStart"/>
        <w:r w:rsidRPr="003C6DAE">
          <w:rPr>
            <w:color w:val="019648"/>
            <w:spacing w:val="-2"/>
            <w:sz w:val="20"/>
            <w:lang w:val="uk-UA"/>
          </w:rPr>
          <w:t>org</w:t>
        </w:r>
        <w:proofErr w:type="spellEnd"/>
        <w:r w:rsidRPr="003C6DAE">
          <w:rPr>
            <w:color w:val="019648"/>
            <w:spacing w:val="-2"/>
            <w:sz w:val="20"/>
            <w:lang w:val="uk-UA"/>
          </w:rPr>
          <w:t>/10.1136/bmj.h5527</w:t>
        </w:r>
      </w:hyperlink>
      <w:r w:rsidRPr="003C6DAE">
        <w:rPr>
          <w:spacing w:val="-2"/>
          <w:sz w:val="20"/>
          <w:lang w:val="uk-UA"/>
        </w:rPr>
        <w:t>.</w:t>
      </w:r>
    </w:p>
    <w:p w14:paraId="32FC8162" w14:textId="77777777" w:rsidR="00E05B98" w:rsidRPr="003C6DAE" w:rsidRDefault="00B01E0C">
      <w:pPr>
        <w:pStyle w:val="a4"/>
        <w:numPr>
          <w:ilvl w:val="0"/>
          <w:numId w:val="12"/>
        </w:numPr>
        <w:tabs>
          <w:tab w:val="left" w:pos="927"/>
        </w:tabs>
        <w:spacing w:before="83" w:line="297" w:lineRule="auto"/>
        <w:ind w:right="138"/>
        <w:rPr>
          <w:sz w:val="20"/>
          <w:lang w:val="uk-UA"/>
        </w:rPr>
      </w:pPr>
      <w:proofErr w:type="spellStart"/>
      <w:r w:rsidRPr="003C6DAE">
        <w:rPr>
          <w:sz w:val="20"/>
          <w:lang w:val="uk-UA"/>
        </w:rPr>
        <w:t>Sekiguchi</w:t>
      </w:r>
      <w:proofErr w:type="spellEnd"/>
      <w:r w:rsidRPr="003C6DAE">
        <w:rPr>
          <w:spacing w:val="-12"/>
          <w:sz w:val="20"/>
          <w:lang w:val="uk-UA"/>
        </w:rPr>
        <w:t xml:space="preserve"> </w:t>
      </w:r>
      <w:r w:rsidRPr="003C6DAE">
        <w:rPr>
          <w:sz w:val="20"/>
          <w:lang w:val="uk-UA"/>
        </w:rPr>
        <w:t>J,</w:t>
      </w:r>
      <w:r w:rsidRPr="003C6DAE">
        <w:rPr>
          <w:spacing w:val="-12"/>
          <w:sz w:val="20"/>
          <w:lang w:val="uk-UA"/>
        </w:rPr>
        <w:t xml:space="preserve"> </w:t>
      </w:r>
      <w:proofErr w:type="spellStart"/>
      <w:r w:rsidRPr="003C6DAE">
        <w:rPr>
          <w:sz w:val="20"/>
          <w:lang w:val="uk-UA"/>
        </w:rPr>
        <w:t>Nakamura</w:t>
      </w:r>
      <w:proofErr w:type="spellEnd"/>
      <w:r w:rsidRPr="003C6DAE">
        <w:rPr>
          <w:spacing w:val="-12"/>
          <w:sz w:val="20"/>
          <w:lang w:val="uk-UA"/>
        </w:rPr>
        <w:t xml:space="preserve"> </w:t>
      </w:r>
      <w:r w:rsidRPr="003C6DAE">
        <w:rPr>
          <w:sz w:val="20"/>
          <w:lang w:val="uk-UA"/>
        </w:rPr>
        <w:t>T,</w:t>
      </w:r>
      <w:r w:rsidRPr="003C6DAE">
        <w:rPr>
          <w:spacing w:val="-12"/>
          <w:sz w:val="20"/>
          <w:lang w:val="uk-UA"/>
        </w:rPr>
        <w:t xml:space="preserve"> </w:t>
      </w:r>
      <w:proofErr w:type="spellStart"/>
      <w:r w:rsidRPr="003C6DAE">
        <w:rPr>
          <w:sz w:val="20"/>
          <w:lang w:val="uk-UA"/>
        </w:rPr>
        <w:t>Miyoshi-Akiyama</w:t>
      </w:r>
      <w:proofErr w:type="spellEnd"/>
      <w:r w:rsidRPr="003C6DAE">
        <w:rPr>
          <w:spacing w:val="-12"/>
          <w:sz w:val="20"/>
          <w:lang w:val="uk-UA"/>
        </w:rPr>
        <w:t xml:space="preserve"> </w:t>
      </w:r>
      <w:r w:rsidRPr="003C6DAE">
        <w:rPr>
          <w:sz w:val="20"/>
          <w:lang w:val="uk-UA"/>
        </w:rPr>
        <w:t>T,</w:t>
      </w:r>
      <w:r w:rsidRPr="003C6DAE">
        <w:rPr>
          <w:spacing w:val="-12"/>
          <w:sz w:val="20"/>
          <w:lang w:val="uk-UA"/>
        </w:rPr>
        <w:t xml:space="preserve"> </w:t>
      </w:r>
      <w:proofErr w:type="spellStart"/>
      <w:r w:rsidRPr="003C6DAE">
        <w:rPr>
          <w:sz w:val="20"/>
          <w:lang w:val="uk-UA"/>
        </w:rPr>
        <w:t>Kirikae</w:t>
      </w:r>
      <w:proofErr w:type="spellEnd"/>
      <w:r w:rsidRPr="003C6DAE">
        <w:rPr>
          <w:spacing w:val="-12"/>
          <w:sz w:val="20"/>
          <w:lang w:val="uk-UA"/>
        </w:rPr>
        <w:t xml:space="preserve"> </w:t>
      </w:r>
      <w:r w:rsidRPr="003C6DAE">
        <w:rPr>
          <w:sz w:val="20"/>
          <w:lang w:val="uk-UA"/>
        </w:rPr>
        <w:t>F,</w:t>
      </w:r>
      <w:r w:rsidRPr="003C6DAE">
        <w:rPr>
          <w:spacing w:val="-12"/>
          <w:sz w:val="20"/>
          <w:lang w:val="uk-UA"/>
        </w:rPr>
        <w:t xml:space="preserve"> </w:t>
      </w:r>
      <w:proofErr w:type="spellStart"/>
      <w:r w:rsidRPr="003C6DAE">
        <w:rPr>
          <w:sz w:val="20"/>
          <w:lang w:val="uk-UA"/>
        </w:rPr>
        <w:t>Kobayashi</w:t>
      </w:r>
      <w:proofErr w:type="spellEnd"/>
      <w:r w:rsidRPr="003C6DAE">
        <w:rPr>
          <w:spacing w:val="-12"/>
          <w:sz w:val="20"/>
          <w:lang w:val="uk-UA"/>
        </w:rPr>
        <w:t xml:space="preserve"> </w:t>
      </w:r>
      <w:r w:rsidRPr="003C6DAE">
        <w:rPr>
          <w:sz w:val="20"/>
          <w:lang w:val="uk-UA"/>
        </w:rPr>
        <w:t>I,</w:t>
      </w:r>
      <w:r w:rsidRPr="003C6DAE">
        <w:rPr>
          <w:spacing w:val="-12"/>
          <w:sz w:val="20"/>
          <w:lang w:val="uk-UA"/>
        </w:rPr>
        <w:t xml:space="preserve"> </w:t>
      </w:r>
      <w:proofErr w:type="spellStart"/>
      <w:r w:rsidRPr="003C6DAE">
        <w:rPr>
          <w:sz w:val="20"/>
          <w:lang w:val="uk-UA"/>
        </w:rPr>
        <w:t>Augustynowicz-Kopec</w:t>
      </w:r>
      <w:proofErr w:type="spellEnd"/>
      <w:r w:rsidRPr="003C6DAE">
        <w:rPr>
          <w:spacing w:val="-12"/>
          <w:sz w:val="20"/>
          <w:lang w:val="uk-UA"/>
        </w:rPr>
        <w:t xml:space="preserve"> </w:t>
      </w:r>
      <w:r w:rsidRPr="003C6DAE">
        <w:rPr>
          <w:sz w:val="20"/>
          <w:lang w:val="uk-UA"/>
        </w:rPr>
        <w:t>E</w:t>
      </w:r>
      <w:r w:rsidRPr="003C6DAE">
        <w:rPr>
          <w:spacing w:val="-12"/>
          <w:sz w:val="20"/>
          <w:lang w:val="uk-UA"/>
        </w:rPr>
        <w:t xml:space="preserve"> </w:t>
      </w:r>
      <w:r w:rsidRPr="003C6DAE">
        <w:rPr>
          <w:sz w:val="20"/>
          <w:lang w:val="uk-UA"/>
        </w:rPr>
        <w:t>et</w:t>
      </w:r>
      <w:r w:rsidRPr="003C6DAE">
        <w:rPr>
          <w:spacing w:val="-12"/>
          <w:sz w:val="20"/>
          <w:lang w:val="uk-UA"/>
        </w:rPr>
        <w:t xml:space="preserve"> </w:t>
      </w:r>
      <w:proofErr w:type="spellStart"/>
      <w:r w:rsidRPr="003C6DAE">
        <w:rPr>
          <w:sz w:val="20"/>
          <w:lang w:val="uk-UA"/>
        </w:rPr>
        <w:t>al</w:t>
      </w:r>
      <w:proofErr w:type="spellEnd"/>
      <w:r w:rsidRPr="003C6DAE">
        <w:rPr>
          <w:sz w:val="20"/>
          <w:lang w:val="uk-UA"/>
        </w:rPr>
        <w:t xml:space="preserve">. Development and </w:t>
      </w:r>
      <w:proofErr w:type="spellStart"/>
      <w:r w:rsidRPr="003C6DAE">
        <w:rPr>
          <w:sz w:val="20"/>
          <w:lang w:val="uk-UA"/>
        </w:rPr>
        <w:t>evaluation</w:t>
      </w:r>
      <w:proofErr w:type="spellEnd"/>
      <w:r w:rsidRPr="003C6DAE">
        <w:rPr>
          <w:sz w:val="20"/>
          <w:lang w:val="uk-UA"/>
        </w:rPr>
        <w:t xml:space="preserve"> of a line </w:t>
      </w:r>
      <w:proofErr w:type="spellStart"/>
      <w:r w:rsidRPr="003C6DAE">
        <w:rPr>
          <w:sz w:val="20"/>
          <w:lang w:val="uk-UA"/>
        </w:rPr>
        <w:t>probe</w:t>
      </w:r>
      <w:proofErr w:type="spellEnd"/>
      <w:r w:rsidRPr="003C6DAE">
        <w:rPr>
          <w:sz w:val="20"/>
          <w:lang w:val="uk-UA"/>
        </w:rPr>
        <w:t xml:space="preserve"> assay for </w:t>
      </w:r>
      <w:proofErr w:type="spellStart"/>
      <w:r w:rsidRPr="003C6DAE">
        <w:rPr>
          <w:sz w:val="20"/>
          <w:lang w:val="uk-UA"/>
        </w:rPr>
        <w:t>rapid</w:t>
      </w:r>
      <w:proofErr w:type="spellEnd"/>
      <w:r w:rsidRPr="003C6DAE">
        <w:rPr>
          <w:sz w:val="20"/>
          <w:lang w:val="uk-UA"/>
        </w:rPr>
        <w:t xml:space="preserve"> </w:t>
      </w:r>
      <w:proofErr w:type="spellStart"/>
      <w:r w:rsidRPr="003C6DAE">
        <w:rPr>
          <w:sz w:val="20"/>
          <w:lang w:val="uk-UA"/>
        </w:rPr>
        <w:t>identification</w:t>
      </w:r>
      <w:proofErr w:type="spellEnd"/>
      <w:r w:rsidRPr="003C6DAE">
        <w:rPr>
          <w:sz w:val="20"/>
          <w:lang w:val="uk-UA"/>
        </w:rPr>
        <w:t xml:space="preserve"> of </w:t>
      </w:r>
      <w:proofErr w:type="spellStart"/>
      <w:r w:rsidRPr="003C6DAE">
        <w:rPr>
          <w:sz w:val="20"/>
          <w:lang w:val="uk-UA"/>
        </w:rPr>
        <w:t>pncA</w:t>
      </w:r>
      <w:proofErr w:type="spellEnd"/>
      <w:r w:rsidRPr="003C6DAE">
        <w:rPr>
          <w:sz w:val="20"/>
          <w:lang w:val="uk-UA"/>
        </w:rPr>
        <w:t xml:space="preserve"> </w:t>
      </w:r>
      <w:proofErr w:type="spellStart"/>
      <w:r w:rsidRPr="003C6DAE">
        <w:rPr>
          <w:sz w:val="20"/>
          <w:lang w:val="uk-UA"/>
        </w:rPr>
        <w:t>mutations</w:t>
      </w:r>
      <w:proofErr w:type="spellEnd"/>
      <w:r w:rsidRPr="003C6DAE">
        <w:rPr>
          <w:sz w:val="20"/>
          <w:lang w:val="uk-UA"/>
        </w:rPr>
        <w:t xml:space="preserve"> in </w:t>
      </w:r>
      <w:proofErr w:type="spellStart"/>
      <w:r w:rsidRPr="003C6DAE">
        <w:rPr>
          <w:sz w:val="20"/>
          <w:lang w:val="uk-UA"/>
        </w:rPr>
        <w:t>pyrazinamide-resistant</w:t>
      </w:r>
      <w:proofErr w:type="spellEnd"/>
      <w:r w:rsidRPr="003C6DAE">
        <w:rPr>
          <w:sz w:val="20"/>
          <w:lang w:val="uk-UA"/>
        </w:rPr>
        <w:t xml:space="preserve"> Mycobacterium tuberculosis </w:t>
      </w:r>
      <w:proofErr w:type="spellStart"/>
      <w:r w:rsidRPr="003C6DAE">
        <w:rPr>
          <w:sz w:val="20"/>
          <w:lang w:val="uk-UA"/>
        </w:rPr>
        <w:t>strains</w:t>
      </w:r>
      <w:proofErr w:type="spellEnd"/>
      <w:r w:rsidRPr="003C6DAE">
        <w:rPr>
          <w:sz w:val="20"/>
          <w:lang w:val="uk-UA"/>
        </w:rPr>
        <w:t xml:space="preserve">. J Clin Microbiol. 2007;45:2802–7. doi: </w:t>
      </w:r>
      <w:hyperlink r:id="rId189">
        <w:r w:rsidRPr="003C6DAE">
          <w:rPr>
            <w:color w:val="019648"/>
            <w:spacing w:val="-2"/>
            <w:sz w:val="20"/>
            <w:lang w:val="uk-UA"/>
          </w:rPr>
          <w:t>https://doi.org/10.1128/jcm.00352–07</w:t>
        </w:r>
      </w:hyperlink>
      <w:r w:rsidRPr="003C6DAE">
        <w:rPr>
          <w:spacing w:val="-2"/>
          <w:sz w:val="20"/>
          <w:lang w:val="uk-UA"/>
        </w:rPr>
        <w:t>.</w:t>
      </w:r>
    </w:p>
    <w:p w14:paraId="1BFC4985" w14:textId="77777777" w:rsidR="00E05B98" w:rsidRPr="003C6DAE" w:rsidRDefault="00B01E0C">
      <w:pPr>
        <w:pStyle w:val="a4"/>
        <w:numPr>
          <w:ilvl w:val="0"/>
          <w:numId w:val="12"/>
        </w:numPr>
        <w:tabs>
          <w:tab w:val="left" w:pos="927"/>
        </w:tabs>
        <w:spacing w:before="82" w:line="297" w:lineRule="auto"/>
        <w:ind w:right="140"/>
        <w:rPr>
          <w:sz w:val="20"/>
          <w:lang w:val="uk-UA"/>
        </w:rPr>
      </w:pPr>
      <w:proofErr w:type="spellStart"/>
      <w:r w:rsidRPr="003C6DAE">
        <w:rPr>
          <w:w w:val="105"/>
          <w:sz w:val="20"/>
          <w:lang w:val="uk-UA"/>
        </w:rPr>
        <w:t>Köser</w:t>
      </w:r>
      <w:proofErr w:type="spellEnd"/>
      <w:r w:rsidRPr="003C6DAE">
        <w:rPr>
          <w:w w:val="105"/>
          <w:sz w:val="20"/>
          <w:lang w:val="uk-UA"/>
        </w:rPr>
        <w:t xml:space="preserve"> CU, </w:t>
      </w:r>
      <w:proofErr w:type="spellStart"/>
      <w:r w:rsidRPr="003C6DAE">
        <w:rPr>
          <w:w w:val="105"/>
          <w:sz w:val="20"/>
          <w:lang w:val="uk-UA"/>
        </w:rPr>
        <w:t>Cirillo</w:t>
      </w:r>
      <w:proofErr w:type="spellEnd"/>
      <w:r w:rsidRPr="003C6DAE">
        <w:rPr>
          <w:w w:val="105"/>
          <w:sz w:val="20"/>
          <w:lang w:val="uk-UA"/>
        </w:rPr>
        <w:t xml:space="preserve"> DM, </w:t>
      </w:r>
      <w:proofErr w:type="spellStart"/>
      <w:r w:rsidRPr="003C6DAE">
        <w:rPr>
          <w:w w:val="105"/>
          <w:sz w:val="20"/>
          <w:lang w:val="uk-UA"/>
        </w:rPr>
        <w:t>Miotto</w:t>
      </w:r>
      <w:proofErr w:type="spellEnd"/>
      <w:r w:rsidRPr="003C6DAE">
        <w:rPr>
          <w:w w:val="105"/>
          <w:sz w:val="20"/>
          <w:lang w:val="uk-UA"/>
        </w:rPr>
        <w:t xml:space="preserve"> P. </w:t>
      </w:r>
      <w:proofErr w:type="spellStart"/>
      <w:r w:rsidRPr="003C6DAE">
        <w:rPr>
          <w:w w:val="105"/>
          <w:sz w:val="20"/>
          <w:lang w:val="uk-UA"/>
        </w:rPr>
        <w:t>How</w:t>
      </w:r>
      <w:proofErr w:type="spellEnd"/>
      <w:r w:rsidRPr="003C6DAE">
        <w:rPr>
          <w:w w:val="105"/>
          <w:sz w:val="20"/>
          <w:lang w:val="uk-UA"/>
        </w:rPr>
        <w:t xml:space="preserve"> to </w:t>
      </w:r>
      <w:proofErr w:type="spellStart"/>
      <w:r w:rsidRPr="003C6DAE">
        <w:rPr>
          <w:w w:val="105"/>
          <w:sz w:val="20"/>
          <w:lang w:val="uk-UA"/>
        </w:rPr>
        <w:t>optimally</w:t>
      </w:r>
      <w:proofErr w:type="spellEnd"/>
      <w:r w:rsidRPr="003C6DAE">
        <w:rPr>
          <w:w w:val="105"/>
          <w:sz w:val="20"/>
          <w:lang w:val="uk-UA"/>
        </w:rPr>
        <w:t xml:space="preserve"> </w:t>
      </w:r>
      <w:proofErr w:type="spellStart"/>
      <w:r w:rsidRPr="003C6DAE">
        <w:rPr>
          <w:w w:val="105"/>
          <w:sz w:val="20"/>
          <w:lang w:val="uk-UA"/>
        </w:rPr>
        <w:t>combine</w:t>
      </w:r>
      <w:proofErr w:type="spellEnd"/>
      <w:r w:rsidRPr="003C6DAE">
        <w:rPr>
          <w:w w:val="105"/>
          <w:sz w:val="20"/>
          <w:lang w:val="uk-UA"/>
        </w:rPr>
        <w:t xml:space="preserve"> </w:t>
      </w:r>
      <w:proofErr w:type="spellStart"/>
      <w:r w:rsidRPr="003C6DAE">
        <w:rPr>
          <w:w w:val="105"/>
          <w:sz w:val="20"/>
          <w:lang w:val="uk-UA"/>
        </w:rPr>
        <w:t>genotypic</w:t>
      </w:r>
      <w:proofErr w:type="spellEnd"/>
      <w:r w:rsidRPr="003C6DAE">
        <w:rPr>
          <w:w w:val="105"/>
          <w:sz w:val="20"/>
          <w:lang w:val="uk-UA"/>
        </w:rPr>
        <w:t xml:space="preserve"> and </w:t>
      </w:r>
      <w:proofErr w:type="spellStart"/>
      <w:r w:rsidRPr="003C6DAE">
        <w:rPr>
          <w:w w:val="105"/>
          <w:sz w:val="20"/>
          <w:lang w:val="uk-UA"/>
        </w:rPr>
        <w:t>phenotypic</w:t>
      </w:r>
      <w:proofErr w:type="spellEnd"/>
      <w:r w:rsidRPr="003C6DAE">
        <w:rPr>
          <w:w w:val="105"/>
          <w:sz w:val="20"/>
          <w:lang w:val="uk-UA"/>
        </w:rPr>
        <w:t xml:space="preserve"> drug </w:t>
      </w:r>
      <w:proofErr w:type="spellStart"/>
      <w:r w:rsidRPr="003C6DAE">
        <w:rPr>
          <w:sz w:val="20"/>
          <w:lang w:val="uk-UA"/>
        </w:rPr>
        <w:t>susceptibility</w:t>
      </w:r>
      <w:proofErr w:type="spellEnd"/>
      <w:r w:rsidRPr="003C6DAE">
        <w:rPr>
          <w:sz w:val="20"/>
          <w:lang w:val="uk-UA"/>
        </w:rPr>
        <w:t xml:space="preserve"> </w:t>
      </w:r>
      <w:proofErr w:type="spellStart"/>
      <w:r w:rsidRPr="003C6DAE">
        <w:rPr>
          <w:sz w:val="20"/>
          <w:lang w:val="uk-UA"/>
        </w:rPr>
        <w:t>testing</w:t>
      </w:r>
      <w:proofErr w:type="spellEnd"/>
      <w:r w:rsidRPr="003C6DAE">
        <w:rPr>
          <w:sz w:val="20"/>
          <w:lang w:val="uk-UA"/>
        </w:rPr>
        <w:t xml:space="preserve"> </w:t>
      </w:r>
      <w:proofErr w:type="spellStart"/>
      <w:r w:rsidRPr="003C6DAE">
        <w:rPr>
          <w:sz w:val="20"/>
          <w:lang w:val="uk-UA"/>
        </w:rPr>
        <w:t>methods</w:t>
      </w:r>
      <w:proofErr w:type="spellEnd"/>
      <w:r w:rsidRPr="003C6DAE">
        <w:rPr>
          <w:sz w:val="20"/>
          <w:lang w:val="uk-UA"/>
        </w:rPr>
        <w:t xml:space="preserve"> for </w:t>
      </w:r>
      <w:proofErr w:type="spellStart"/>
      <w:r w:rsidRPr="003C6DAE">
        <w:rPr>
          <w:sz w:val="20"/>
          <w:lang w:val="uk-UA"/>
        </w:rPr>
        <w:t>pyrazinamide</w:t>
      </w:r>
      <w:proofErr w:type="spellEnd"/>
      <w:r w:rsidRPr="003C6DAE">
        <w:rPr>
          <w:sz w:val="20"/>
          <w:lang w:val="uk-UA"/>
        </w:rPr>
        <w:t xml:space="preserve">. </w:t>
      </w:r>
      <w:proofErr w:type="spellStart"/>
      <w:r w:rsidRPr="003C6DAE">
        <w:rPr>
          <w:sz w:val="20"/>
          <w:lang w:val="uk-UA"/>
        </w:rPr>
        <w:t>Antimicrob</w:t>
      </w:r>
      <w:proofErr w:type="spellEnd"/>
      <w:r w:rsidRPr="003C6DAE">
        <w:rPr>
          <w:sz w:val="20"/>
          <w:lang w:val="uk-UA"/>
        </w:rPr>
        <w:t xml:space="preserve"> </w:t>
      </w:r>
      <w:proofErr w:type="spellStart"/>
      <w:r w:rsidRPr="003C6DAE">
        <w:rPr>
          <w:sz w:val="20"/>
          <w:lang w:val="uk-UA"/>
        </w:rPr>
        <w:t>Agents</w:t>
      </w:r>
      <w:proofErr w:type="spellEnd"/>
      <w:r w:rsidRPr="003C6DAE">
        <w:rPr>
          <w:sz w:val="20"/>
          <w:lang w:val="uk-UA"/>
        </w:rPr>
        <w:t xml:space="preserve"> </w:t>
      </w:r>
      <w:proofErr w:type="spellStart"/>
      <w:r w:rsidRPr="003C6DAE">
        <w:rPr>
          <w:sz w:val="20"/>
          <w:lang w:val="uk-UA"/>
        </w:rPr>
        <w:t>Chemother</w:t>
      </w:r>
      <w:proofErr w:type="spellEnd"/>
      <w:r w:rsidRPr="003C6DAE">
        <w:rPr>
          <w:sz w:val="20"/>
          <w:lang w:val="uk-UA"/>
        </w:rPr>
        <w:t>. 2020;64:e01003–</w:t>
      </w:r>
    </w:p>
    <w:p w14:paraId="389D40A5" w14:textId="77777777" w:rsidR="00E05B98" w:rsidRPr="003C6DAE" w:rsidRDefault="00B01E0C">
      <w:pPr>
        <w:spacing w:line="225" w:lineRule="exact"/>
        <w:ind w:left="927"/>
        <w:jc w:val="both"/>
        <w:rPr>
          <w:sz w:val="20"/>
          <w:lang w:val="uk-UA"/>
        </w:rPr>
      </w:pPr>
      <w:r w:rsidRPr="003C6DAE">
        <w:rPr>
          <w:sz w:val="20"/>
          <w:lang w:val="uk-UA"/>
        </w:rPr>
        <w:t>20.</w:t>
      </w:r>
      <w:r w:rsidRPr="003C6DAE">
        <w:rPr>
          <w:spacing w:val="58"/>
          <w:sz w:val="20"/>
          <w:lang w:val="uk-UA"/>
        </w:rPr>
        <w:t xml:space="preserve"> </w:t>
      </w:r>
      <w:r w:rsidRPr="003C6DAE">
        <w:rPr>
          <w:sz w:val="20"/>
          <w:lang w:val="uk-UA"/>
        </w:rPr>
        <w:t>doi:</w:t>
      </w:r>
      <w:r w:rsidRPr="003C6DAE">
        <w:rPr>
          <w:spacing w:val="58"/>
          <w:sz w:val="20"/>
          <w:lang w:val="uk-UA"/>
        </w:rPr>
        <w:t xml:space="preserve"> </w:t>
      </w:r>
      <w:hyperlink r:id="rId190">
        <w:r w:rsidRPr="003C6DAE">
          <w:rPr>
            <w:color w:val="019648"/>
            <w:spacing w:val="-2"/>
            <w:sz w:val="20"/>
            <w:lang w:val="uk-UA"/>
          </w:rPr>
          <w:t>https://doi.org/10.1128/AAC.01003–20</w:t>
        </w:r>
      </w:hyperlink>
      <w:r w:rsidRPr="003C6DAE">
        <w:rPr>
          <w:spacing w:val="-2"/>
          <w:sz w:val="20"/>
          <w:lang w:val="uk-UA"/>
        </w:rPr>
        <w:t>.</w:t>
      </w:r>
    </w:p>
    <w:p w14:paraId="03C5BECE" w14:textId="77777777" w:rsidR="00E05B98" w:rsidRPr="003C6DAE" w:rsidRDefault="00B01E0C">
      <w:pPr>
        <w:pStyle w:val="a4"/>
        <w:numPr>
          <w:ilvl w:val="0"/>
          <w:numId w:val="12"/>
        </w:numPr>
        <w:tabs>
          <w:tab w:val="left" w:pos="927"/>
        </w:tabs>
        <w:spacing w:before="139" w:line="297" w:lineRule="auto"/>
        <w:ind w:right="138"/>
        <w:rPr>
          <w:sz w:val="20"/>
          <w:lang w:val="uk-UA"/>
        </w:rPr>
      </w:pPr>
      <w:proofErr w:type="spellStart"/>
      <w:r w:rsidRPr="003C6DAE">
        <w:rPr>
          <w:sz w:val="20"/>
          <w:lang w:val="uk-UA"/>
        </w:rPr>
        <w:t>Groessl</w:t>
      </w:r>
      <w:proofErr w:type="spellEnd"/>
      <w:r w:rsidRPr="003C6DAE">
        <w:rPr>
          <w:spacing w:val="-7"/>
          <w:sz w:val="20"/>
          <w:lang w:val="uk-UA"/>
        </w:rPr>
        <w:t xml:space="preserve"> </w:t>
      </w:r>
      <w:r w:rsidRPr="003C6DAE">
        <w:rPr>
          <w:sz w:val="20"/>
          <w:lang w:val="uk-UA"/>
        </w:rPr>
        <w:t>EJ,</w:t>
      </w:r>
      <w:r w:rsidRPr="003C6DAE">
        <w:rPr>
          <w:spacing w:val="-7"/>
          <w:sz w:val="20"/>
          <w:lang w:val="uk-UA"/>
        </w:rPr>
        <w:t xml:space="preserve"> </w:t>
      </w:r>
      <w:proofErr w:type="spellStart"/>
      <w:r w:rsidRPr="003C6DAE">
        <w:rPr>
          <w:sz w:val="20"/>
          <w:lang w:val="uk-UA"/>
        </w:rPr>
        <w:t>Ganiats</w:t>
      </w:r>
      <w:proofErr w:type="spellEnd"/>
      <w:r w:rsidRPr="003C6DAE">
        <w:rPr>
          <w:spacing w:val="-7"/>
          <w:sz w:val="20"/>
          <w:lang w:val="uk-UA"/>
        </w:rPr>
        <w:t xml:space="preserve"> </w:t>
      </w:r>
      <w:r w:rsidRPr="003C6DAE">
        <w:rPr>
          <w:sz w:val="20"/>
          <w:lang w:val="uk-UA"/>
        </w:rPr>
        <w:t>TG,</w:t>
      </w:r>
      <w:r w:rsidRPr="003C6DAE">
        <w:rPr>
          <w:spacing w:val="-7"/>
          <w:sz w:val="20"/>
          <w:lang w:val="uk-UA"/>
        </w:rPr>
        <w:t xml:space="preserve"> </w:t>
      </w:r>
      <w:proofErr w:type="spellStart"/>
      <w:r w:rsidRPr="003C6DAE">
        <w:rPr>
          <w:sz w:val="20"/>
          <w:lang w:val="uk-UA"/>
        </w:rPr>
        <w:t>Hillery</w:t>
      </w:r>
      <w:proofErr w:type="spellEnd"/>
      <w:r w:rsidRPr="003C6DAE">
        <w:rPr>
          <w:spacing w:val="-7"/>
          <w:sz w:val="20"/>
          <w:lang w:val="uk-UA"/>
        </w:rPr>
        <w:t xml:space="preserve"> </w:t>
      </w:r>
      <w:r w:rsidRPr="003C6DAE">
        <w:rPr>
          <w:sz w:val="20"/>
          <w:lang w:val="uk-UA"/>
        </w:rPr>
        <w:t>N,</w:t>
      </w:r>
      <w:r w:rsidRPr="003C6DAE">
        <w:rPr>
          <w:spacing w:val="-7"/>
          <w:sz w:val="20"/>
          <w:lang w:val="uk-UA"/>
        </w:rPr>
        <w:t xml:space="preserve"> </w:t>
      </w:r>
      <w:proofErr w:type="spellStart"/>
      <w:r w:rsidRPr="003C6DAE">
        <w:rPr>
          <w:sz w:val="20"/>
          <w:lang w:val="uk-UA"/>
        </w:rPr>
        <w:t>Trollip</w:t>
      </w:r>
      <w:proofErr w:type="spellEnd"/>
      <w:r w:rsidRPr="003C6DAE">
        <w:rPr>
          <w:spacing w:val="-7"/>
          <w:sz w:val="20"/>
          <w:lang w:val="uk-UA"/>
        </w:rPr>
        <w:t xml:space="preserve"> </w:t>
      </w:r>
      <w:r w:rsidRPr="003C6DAE">
        <w:rPr>
          <w:sz w:val="20"/>
          <w:lang w:val="uk-UA"/>
        </w:rPr>
        <w:t>A,</w:t>
      </w:r>
      <w:r w:rsidRPr="003C6DAE">
        <w:rPr>
          <w:spacing w:val="-7"/>
          <w:sz w:val="20"/>
          <w:lang w:val="uk-UA"/>
        </w:rPr>
        <w:t xml:space="preserve"> </w:t>
      </w:r>
      <w:r w:rsidRPr="003C6DAE">
        <w:rPr>
          <w:sz w:val="20"/>
          <w:lang w:val="uk-UA"/>
        </w:rPr>
        <w:t>Jackson</w:t>
      </w:r>
      <w:r w:rsidRPr="003C6DAE">
        <w:rPr>
          <w:spacing w:val="-7"/>
          <w:sz w:val="20"/>
          <w:lang w:val="uk-UA"/>
        </w:rPr>
        <w:t xml:space="preserve"> </w:t>
      </w:r>
      <w:r w:rsidRPr="003C6DAE">
        <w:rPr>
          <w:sz w:val="20"/>
          <w:lang w:val="uk-UA"/>
        </w:rPr>
        <w:t>RL,</w:t>
      </w:r>
      <w:r w:rsidRPr="003C6DAE">
        <w:rPr>
          <w:spacing w:val="-7"/>
          <w:sz w:val="20"/>
          <w:lang w:val="uk-UA"/>
        </w:rPr>
        <w:t xml:space="preserve"> </w:t>
      </w:r>
      <w:proofErr w:type="spellStart"/>
      <w:r w:rsidRPr="003C6DAE">
        <w:rPr>
          <w:sz w:val="20"/>
          <w:lang w:val="uk-UA"/>
        </w:rPr>
        <w:t>Catanzaro</w:t>
      </w:r>
      <w:proofErr w:type="spellEnd"/>
      <w:r w:rsidRPr="003C6DAE">
        <w:rPr>
          <w:spacing w:val="-7"/>
          <w:sz w:val="20"/>
          <w:lang w:val="uk-UA"/>
        </w:rPr>
        <w:t xml:space="preserve"> </w:t>
      </w:r>
      <w:r w:rsidRPr="003C6DAE">
        <w:rPr>
          <w:sz w:val="20"/>
          <w:lang w:val="uk-UA"/>
        </w:rPr>
        <w:t>DG</w:t>
      </w:r>
      <w:r w:rsidRPr="003C6DAE">
        <w:rPr>
          <w:spacing w:val="-7"/>
          <w:sz w:val="20"/>
          <w:lang w:val="uk-UA"/>
        </w:rPr>
        <w:t xml:space="preserve"> </w:t>
      </w:r>
      <w:r w:rsidRPr="003C6DAE">
        <w:rPr>
          <w:sz w:val="20"/>
          <w:lang w:val="uk-UA"/>
        </w:rPr>
        <w:t>et</w:t>
      </w:r>
      <w:r w:rsidRPr="003C6DAE">
        <w:rPr>
          <w:spacing w:val="-7"/>
          <w:sz w:val="20"/>
          <w:lang w:val="uk-UA"/>
        </w:rPr>
        <w:t xml:space="preserve"> </w:t>
      </w:r>
      <w:proofErr w:type="spellStart"/>
      <w:r w:rsidRPr="003C6DAE">
        <w:rPr>
          <w:sz w:val="20"/>
          <w:lang w:val="uk-UA"/>
        </w:rPr>
        <w:t>al</w:t>
      </w:r>
      <w:proofErr w:type="spellEnd"/>
      <w:r w:rsidRPr="003C6DAE">
        <w:rPr>
          <w:sz w:val="20"/>
          <w:lang w:val="uk-UA"/>
        </w:rPr>
        <w:t>.</w:t>
      </w:r>
      <w:r w:rsidRPr="003C6DAE">
        <w:rPr>
          <w:spacing w:val="-7"/>
          <w:sz w:val="20"/>
          <w:lang w:val="uk-UA"/>
        </w:rPr>
        <w:t xml:space="preserve"> </w:t>
      </w:r>
      <w:proofErr w:type="spellStart"/>
      <w:r w:rsidRPr="003C6DAE">
        <w:rPr>
          <w:sz w:val="20"/>
          <w:lang w:val="uk-UA"/>
        </w:rPr>
        <w:t>Cost</w:t>
      </w:r>
      <w:proofErr w:type="spellEnd"/>
      <w:r w:rsidRPr="003C6DAE">
        <w:rPr>
          <w:spacing w:val="-7"/>
          <w:sz w:val="20"/>
          <w:lang w:val="uk-UA"/>
        </w:rPr>
        <w:t xml:space="preserve"> </w:t>
      </w:r>
      <w:proofErr w:type="spellStart"/>
      <w:r w:rsidRPr="003C6DAE">
        <w:rPr>
          <w:sz w:val="20"/>
          <w:lang w:val="uk-UA"/>
        </w:rPr>
        <w:t>analysis</w:t>
      </w:r>
      <w:proofErr w:type="spellEnd"/>
      <w:r w:rsidRPr="003C6DAE">
        <w:rPr>
          <w:spacing w:val="-7"/>
          <w:sz w:val="20"/>
          <w:lang w:val="uk-UA"/>
        </w:rPr>
        <w:t xml:space="preserve"> </w:t>
      </w:r>
      <w:r w:rsidRPr="003C6DAE">
        <w:rPr>
          <w:sz w:val="20"/>
          <w:lang w:val="uk-UA"/>
        </w:rPr>
        <w:t>of</w:t>
      </w:r>
      <w:r w:rsidRPr="003C6DAE">
        <w:rPr>
          <w:spacing w:val="-7"/>
          <w:sz w:val="20"/>
          <w:lang w:val="uk-UA"/>
        </w:rPr>
        <w:t xml:space="preserve"> </w:t>
      </w:r>
      <w:proofErr w:type="spellStart"/>
      <w:r w:rsidRPr="003C6DAE">
        <w:rPr>
          <w:sz w:val="20"/>
          <w:lang w:val="uk-UA"/>
        </w:rPr>
        <w:t>rapid</w:t>
      </w:r>
      <w:proofErr w:type="spellEnd"/>
      <w:r w:rsidRPr="003C6DAE">
        <w:rPr>
          <w:sz w:val="20"/>
          <w:lang w:val="uk-UA"/>
        </w:rPr>
        <w:t xml:space="preserve"> </w:t>
      </w:r>
      <w:proofErr w:type="spellStart"/>
      <w:r w:rsidRPr="003C6DAE">
        <w:rPr>
          <w:spacing w:val="-2"/>
          <w:sz w:val="20"/>
          <w:lang w:val="uk-UA"/>
        </w:rPr>
        <w:t>diagnostics</w:t>
      </w:r>
      <w:proofErr w:type="spellEnd"/>
      <w:r w:rsidRPr="003C6DAE">
        <w:rPr>
          <w:spacing w:val="-3"/>
          <w:sz w:val="20"/>
          <w:lang w:val="uk-UA"/>
        </w:rPr>
        <w:t xml:space="preserve"> </w:t>
      </w:r>
      <w:r w:rsidRPr="003C6DAE">
        <w:rPr>
          <w:spacing w:val="-2"/>
          <w:sz w:val="20"/>
          <w:lang w:val="uk-UA"/>
        </w:rPr>
        <w:t>for</w:t>
      </w:r>
      <w:r w:rsidRPr="003C6DAE">
        <w:rPr>
          <w:spacing w:val="-3"/>
          <w:sz w:val="20"/>
          <w:lang w:val="uk-UA"/>
        </w:rPr>
        <w:t xml:space="preserve"> </w:t>
      </w:r>
      <w:r w:rsidRPr="003C6DAE">
        <w:rPr>
          <w:spacing w:val="-2"/>
          <w:sz w:val="20"/>
          <w:lang w:val="uk-UA"/>
        </w:rPr>
        <w:t>drug-</w:t>
      </w:r>
      <w:proofErr w:type="spellStart"/>
      <w:r w:rsidRPr="003C6DAE">
        <w:rPr>
          <w:spacing w:val="-2"/>
          <w:sz w:val="20"/>
          <w:lang w:val="uk-UA"/>
        </w:rPr>
        <w:t>resistant</w:t>
      </w:r>
      <w:proofErr w:type="spellEnd"/>
      <w:r w:rsidRPr="003C6DAE">
        <w:rPr>
          <w:spacing w:val="-3"/>
          <w:sz w:val="20"/>
          <w:lang w:val="uk-UA"/>
        </w:rPr>
        <w:t xml:space="preserve"> </w:t>
      </w:r>
      <w:r w:rsidRPr="003C6DAE">
        <w:rPr>
          <w:spacing w:val="-2"/>
          <w:sz w:val="20"/>
          <w:lang w:val="uk-UA"/>
        </w:rPr>
        <w:t>tuberculosis.</w:t>
      </w:r>
      <w:r w:rsidRPr="003C6DAE">
        <w:rPr>
          <w:spacing w:val="-3"/>
          <w:sz w:val="20"/>
          <w:lang w:val="uk-UA"/>
        </w:rPr>
        <w:t xml:space="preserve"> </w:t>
      </w:r>
      <w:r w:rsidRPr="003C6DAE">
        <w:rPr>
          <w:spacing w:val="-2"/>
          <w:sz w:val="20"/>
          <w:lang w:val="uk-UA"/>
        </w:rPr>
        <w:t>BMC</w:t>
      </w:r>
      <w:r w:rsidRPr="003C6DAE">
        <w:rPr>
          <w:spacing w:val="-3"/>
          <w:sz w:val="20"/>
          <w:lang w:val="uk-UA"/>
        </w:rPr>
        <w:t xml:space="preserve"> </w:t>
      </w:r>
      <w:proofErr w:type="spellStart"/>
      <w:r w:rsidRPr="003C6DAE">
        <w:rPr>
          <w:spacing w:val="-2"/>
          <w:sz w:val="20"/>
          <w:lang w:val="uk-UA"/>
        </w:rPr>
        <w:t>Infect</w:t>
      </w:r>
      <w:proofErr w:type="spellEnd"/>
      <w:r w:rsidRPr="003C6DAE">
        <w:rPr>
          <w:spacing w:val="-3"/>
          <w:sz w:val="20"/>
          <w:lang w:val="uk-UA"/>
        </w:rPr>
        <w:t xml:space="preserve"> </w:t>
      </w:r>
      <w:proofErr w:type="spellStart"/>
      <w:r w:rsidRPr="003C6DAE">
        <w:rPr>
          <w:spacing w:val="-2"/>
          <w:sz w:val="20"/>
          <w:lang w:val="uk-UA"/>
        </w:rPr>
        <w:t>Dis</w:t>
      </w:r>
      <w:proofErr w:type="spellEnd"/>
      <w:r w:rsidRPr="003C6DAE">
        <w:rPr>
          <w:spacing w:val="-2"/>
          <w:sz w:val="20"/>
          <w:lang w:val="uk-UA"/>
        </w:rPr>
        <w:t>.</w:t>
      </w:r>
      <w:r w:rsidRPr="003C6DAE">
        <w:rPr>
          <w:spacing w:val="-3"/>
          <w:sz w:val="20"/>
          <w:lang w:val="uk-UA"/>
        </w:rPr>
        <w:t xml:space="preserve"> </w:t>
      </w:r>
      <w:r w:rsidRPr="003C6DAE">
        <w:rPr>
          <w:spacing w:val="-2"/>
          <w:sz w:val="20"/>
          <w:lang w:val="uk-UA"/>
        </w:rPr>
        <w:t>2018;18:102.</w:t>
      </w:r>
      <w:r w:rsidRPr="003C6DAE">
        <w:rPr>
          <w:spacing w:val="-3"/>
          <w:sz w:val="20"/>
          <w:lang w:val="uk-UA"/>
        </w:rPr>
        <w:t xml:space="preserve"> </w:t>
      </w:r>
      <w:r w:rsidRPr="003C6DAE">
        <w:rPr>
          <w:spacing w:val="-2"/>
          <w:sz w:val="20"/>
          <w:lang w:val="uk-UA"/>
        </w:rPr>
        <w:t xml:space="preserve">doi: </w:t>
      </w:r>
      <w:hyperlink r:id="rId191">
        <w:r w:rsidRPr="003C6DAE">
          <w:rPr>
            <w:color w:val="019648"/>
            <w:spacing w:val="-2"/>
            <w:sz w:val="20"/>
            <w:lang w:val="uk-UA"/>
          </w:rPr>
          <w:t>https://doi.org/10.1186/</w:t>
        </w:r>
      </w:hyperlink>
      <w:r w:rsidRPr="003C6DAE">
        <w:rPr>
          <w:color w:val="019648"/>
          <w:spacing w:val="-2"/>
          <w:sz w:val="20"/>
          <w:lang w:val="uk-UA"/>
        </w:rPr>
        <w:t xml:space="preserve"> </w:t>
      </w:r>
      <w:hyperlink r:id="rId192">
        <w:r w:rsidRPr="003C6DAE">
          <w:rPr>
            <w:color w:val="019648"/>
            <w:spacing w:val="-2"/>
            <w:sz w:val="20"/>
            <w:lang w:val="uk-UA"/>
          </w:rPr>
          <w:t>s12879–018–3013–0</w:t>
        </w:r>
      </w:hyperlink>
      <w:r w:rsidRPr="003C6DAE">
        <w:rPr>
          <w:spacing w:val="-2"/>
          <w:sz w:val="20"/>
          <w:lang w:val="uk-UA"/>
        </w:rPr>
        <w:t>.</w:t>
      </w:r>
    </w:p>
    <w:p w14:paraId="5435958A" w14:textId="77777777" w:rsidR="00E05B98" w:rsidRPr="003C6DAE" w:rsidRDefault="00B01E0C">
      <w:pPr>
        <w:pStyle w:val="a4"/>
        <w:numPr>
          <w:ilvl w:val="0"/>
          <w:numId w:val="12"/>
        </w:numPr>
        <w:tabs>
          <w:tab w:val="left" w:pos="927"/>
        </w:tabs>
        <w:spacing w:before="83" w:line="297" w:lineRule="auto"/>
        <w:ind w:right="140"/>
        <w:rPr>
          <w:sz w:val="20"/>
          <w:lang w:val="uk-UA"/>
        </w:rPr>
      </w:pPr>
      <w:proofErr w:type="spellStart"/>
      <w:r w:rsidRPr="003C6DAE">
        <w:rPr>
          <w:sz w:val="20"/>
          <w:lang w:val="uk-UA"/>
        </w:rPr>
        <w:t>Li</w:t>
      </w:r>
      <w:proofErr w:type="spellEnd"/>
      <w:r w:rsidRPr="003C6DAE">
        <w:rPr>
          <w:spacing w:val="-11"/>
          <w:sz w:val="20"/>
          <w:lang w:val="uk-UA"/>
        </w:rPr>
        <w:t xml:space="preserve"> </w:t>
      </w:r>
      <w:r w:rsidRPr="003C6DAE">
        <w:rPr>
          <w:sz w:val="20"/>
          <w:lang w:val="uk-UA"/>
        </w:rPr>
        <w:t>X,</w:t>
      </w:r>
      <w:r w:rsidRPr="003C6DAE">
        <w:rPr>
          <w:spacing w:val="-11"/>
          <w:sz w:val="20"/>
          <w:lang w:val="uk-UA"/>
        </w:rPr>
        <w:t xml:space="preserve"> </w:t>
      </w:r>
      <w:proofErr w:type="spellStart"/>
      <w:r w:rsidRPr="003C6DAE">
        <w:rPr>
          <w:sz w:val="20"/>
          <w:lang w:val="uk-UA"/>
        </w:rPr>
        <w:t>Deng</w:t>
      </w:r>
      <w:proofErr w:type="spellEnd"/>
      <w:r w:rsidRPr="003C6DAE">
        <w:rPr>
          <w:spacing w:val="-11"/>
          <w:sz w:val="20"/>
          <w:lang w:val="uk-UA"/>
        </w:rPr>
        <w:t xml:space="preserve"> </w:t>
      </w:r>
      <w:r w:rsidRPr="003C6DAE">
        <w:rPr>
          <w:sz w:val="20"/>
          <w:lang w:val="uk-UA"/>
        </w:rPr>
        <w:t>Y,</w:t>
      </w:r>
      <w:r w:rsidRPr="003C6DAE">
        <w:rPr>
          <w:spacing w:val="-11"/>
          <w:sz w:val="20"/>
          <w:lang w:val="uk-UA"/>
        </w:rPr>
        <w:t xml:space="preserve"> </w:t>
      </w:r>
      <w:proofErr w:type="spellStart"/>
      <w:r w:rsidRPr="003C6DAE">
        <w:rPr>
          <w:sz w:val="20"/>
          <w:lang w:val="uk-UA"/>
        </w:rPr>
        <w:t>Wang</w:t>
      </w:r>
      <w:proofErr w:type="spellEnd"/>
      <w:r w:rsidRPr="003C6DAE">
        <w:rPr>
          <w:spacing w:val="-11"/>
          <w:sz w:val="20"/>
          <w:lang w:val="uk-UA"/>
        </w:rPr>
        <w:t xml:space="preserve"> </w:t>
      </w:r>
      <w:r w:rsidRPr="003C6DAE">
        <w:rPr>
          <w:sz w:val="20"/>
          <w:lang w:val="uk-UA"/>
        </w:rPr>
        <w:t>J,</w:t>
      </w:r>
      <w:r w:rsidRPr="003C6DAE">
        <w:rPr>
          <w:spacing w:val="-11"/>
          <w:sz w:val="20"/>
          <w:lang w:val="uk-UA"/>
        </w:rPr>
        <w:t xml:space="preserve"> </w:t>
      </w:r>
      <w:proofErr w:type="spellStart"/>
      <w:r w:rsidRPr="003C6DAE">
        <w:rPr>
          <w:sz w:val="20"/>
          <w:lang w:val="uk-UA"/>
        </w:rPr>
        <w:t>Jing</w:t>
      </w:r>
      <w:proofErr w:type="spellEnd"/>
      <w:r w:rsidRPr="003C6DAE">
        <w:rPr>
          <w:spacing w:val="-11"/>
          <w:sz w:val="20"/>
          <w:lang w:val="uk-UA"/>
        </w:rPr>
        <w:t xml:space="preserve"> </w:t>
      </w:r>
      <w:r w:rsidRPr="003C6DAE">
        <w:rPr>
          <w:sz w:val="20"/>
          <w:lang w:val="uk-UA"/>
        </w:rPr>
        <w:t>H,</w:t>
      </w:r>
      <w:r w:rsidRPr="003C6DAE">
        <w:rPr>
          <w:spacing w:val="-11"/>
          <w:sz w:val="20"/>
          <w:lang w:val="uk-UA"/>
        </w:rPr>
        <w:t xml:space="preserve"> </w:t>
      </w:r>
      <w:proofErr w:type="spellStart"/>
      <w:r w:rsidRPr="003C6DAE">
        <w:rPr>
          <w:sz w:val="20"/>
          <w:lang w:val="uk-UA"/>
        </w:rPr>
        <w:t>Shu</w:t>
      </w:r>
      <w:proofErr w:type="spellEnd"/>
      <w:r w:rsidRPr="003C6DAE">
        <w:rPr>
          <w:spacing w:val="-11"/>
          <w:sz w:val="20"/>
          <w:lang w:val="uk-UA"/>
        </w:rPr>
        <w:t xml:space="preserve"> </w:t>
      </w:r>
      <w:r w:rsidRPr="003C6DAE">
        <w:rPr>
          <w:sz w:val="20"/>
          <w:lang w:val="uk-UA"/>
        </w:rPr>
        <w:t>W,</w:t>
      </w:r>
      <w:r w:rsidRPr="003C6DAE">
        <w:rPr>
          <w:spacing w:val="-11"/>
          <w:sz w:val="20"/>
          <w:lang w:val="uk-UA"/>
        </w:rPr>
        <w:t xml:space="preserve"> </w:t>
      </w:r>
      <w:proofErr w:type="spellStart"/>
      <w:r w:rsidRPr="003C6DAE">
        <w:rPr>
          <w:sz w:val="20"/>
          <w:lang w:val="uk-UA"/>
        </w:rPr>
        <w:t>Qin</w:t>
      </w:r>
      <w:proofErr w:type="spellEnd"/>
      <w:r w:rsidRPr="003C6DAE">
        <w:rPr>
          <w:spacing w:val="-11"/>
          <w:sz w:val="20"/>
          <w:lang w:val="uk-UA"/>
        </w:rPr>
        <w:t xml:space="preserve"> </w:t>
      </w:r>
      <w:r w:rsidRPr="003C6DAE">
        <w:rPr>
          <w:sz w:val="20"/>
          <w:lang w:val="uk-UA"/>
        </w:rPr>
        <w:t>J</w:t>
      </w:r>
      <w:r w:rsidRPr="003C6DAE">
        <w:rPr>
          <w:spacing w:val="-11"/>
          <w:sz w:val="20"/>
          <w:lang w:val="uk-UA"/>
        </w:rPr>
        <w:t xml:space="preserve"> </w:t>
      </w:r>
      <w:r w:rsidRPr="003C6DAE">
        <w:rPr>
          <w:sz w:val="20"/>
          <w:lang w:val="uk-UA"/>
        </w:rPr>
        <w:t>et</w:t>
      </w:r>
      <w:r w:rsidRPr="003C6DAE">
        <w:rPr>
          <w:spacing w:val="-11"/>
          <w:sz w:val="20"/>
          <w:lang w:val="uk-UA"/>
        </w:rPr>
        <w:t xml:space="preserve"> </w:t>
      </w:r>
      <w:proofErr w:type="spellStart"/>
      <w:r w:rsidRPr="003C6DAE">
        <w:rPr>
          <w:sz w:val="20"/>
          <w:lang w:val="uk-UA"/>
        </w:rPr>
        <w:t>al</w:t>
      </w:r>
      <w:proofErr w:type="spellEnd"/>
      <w:r w:rsidRPr="003C6DAE">
        <w:rPr>
          <w:sz w:val="20"/>
          <w:lang w:val="uk-UA"/>
        </w:rPr>
        <w:t>.</w:t>
      </w:r>
      <w:r w:rsidRPr="003C6DAE">
        <w:rPr>
          <w:spacing w:val="-11"/>
          <w:sz w:val="20"/>
          <w:lang w:val="uk-UA"/>
        </w:rPr>
        <w:t xml:space="preserve"> </w:t>
      </w:r>
      <w:proofErr w:type="spellStart"/>
      <w:r w:rsidRPr="003C6DAE">
        <w:rPr>
          <w:sz w:val="20"/>
          <w:lang w:val="uk-UA"/>
        </w:rPr>
        <w:t>Rapid</w:t>
      </w:r>
      <w:proofErr w:type="spellEnd"/>
      <w:r w:rsidRPr="003C6DAE">
        <w:rPr>
          <w:spacing w:val="-11"/>
          <w:sz w:val="20"/>
          <w:lang w:val="uk-UA"/>
        </w:rPr>
        <w:t xml:space="preserve"> </w:t>
      </w:r>
      <w:proofErr w:type="spellStart"/>
      <w:r w:rsidRPr="003C6DAE">
        <w:rPr>
          <w:sz w:val="20"/>
          <w:lang w:val="uk-UA"/>
        </w:rPr>
        <w:t>diagnosis</w:t>
      </w:r>
      <w:proofErr w:type="spellEnd"/>
      <w:r w:rsidRPr="003C6DAE">
        <w:rPr>
          <w:spacing w:val="-11"/>
          <w:sz w:val="20"/>
          <w:lang w:val="uk-UA"/>
        </w:rPr>
        <w:t xml:space="preserve"> </w:t>
      </w:r>
      <w:r w:rsidRPr="003C6DAE">
        <w:rPr>
          <w:sz w:val="20"/>
          <w:lang w:val="uk-UA"/>
        </w:rPr>
        <w:t>of</w:t>
      </w:r>
      <w:r w:rsidRPr="003C6DAE">
        <w:rPr>
          <w:spacing w:val="-11"/>
          <w:sz w:val="20"/>
          <w:lang w:val="uk-UA"/>
        </w:rPr>
        <w:t xml:space="preserve"> </w:t>
      </w:r>
      <w:proofErr w:type="spellStart"/>
      <w:r w:rsidRPr="003C6DAE">
        <w:rPr>
          <w:sz w:val="20"/>
          <w:lang w:val="uk-UA"/>
        </w:rPr>
        <w:t>multidrug-resistant</w:t>
      </w:r>
      <w:proofErr w:type="spellEnd"/>
      <w:r w:rsidRPr="003C6DAE">
        <w:rPr>
          <w:spacing w:val="-11"/>
          <w:sz w:val="20"/>
          <w:lang w:val="uk-UA"/>
        </w:rPr>
        <w:t xml:space="preserve"> </w:t>
      </w:r>
      <w:r w:rsidRPr="003C6DAE">
        <w:rPr>
          <w:sz w:val="20"/>
          <w:lang w:val="uk-UA"/>
        </w:rPr>
        <w:t xml:space="preserve">tuberculosis </w:t>
      </w:r>
      <w:proofErr w:type="spellStart"/>
      <w:r w:rsidRPr="003C6DAE">
        <w:rPr>
          <w:sz w:val="20"/>
          <w:lang w:val="uk-UA"/>
        </w:rPr>
        <w:t>impacts</w:t>
      </w:r>
      <w:proofErr w:type="spellEnd"/>
      <w:r w:rsidRPr="003C6DAE">
        <w:rPr>
          <w:sz w:val="20"/>
          <w:lang w:val="uk-UA"/>
        </w:rPr>
        <w:t xml:space="preserve"> </w:t>
      </w:r>
      <w:proofErr w:type="spellStart"/>
      <w:r w:rsidRPr="003C6DAE">
        <w:rPr>
          <w:sz w:val="20"/>
          <w:lang w:val="uk-UA"/>
        </w:rPr>
        <w:t>expenditures</w:t>
      </w:r>
      <w:proofErr w:type="spellEnd"/>
      <w:r w:rsidRPr="003C6DAE">
        <w:rPr>
          <w:sz w:val="20"/>
          <w:lang w:val="uk-UA"/>
        </w:rPr>
        <w:t xml:space="preserve"> </w:t>
      </w:r>
      <w:proofErr w:type="spellStart"/>
      <w:r w:rsidRPr="003C6DAE">
        <w:rPr>
          <w:sz w:val="20"/>
          <w:lang w:val="uk-UA"/>
        </w:rPr>
        <w:t>prior</w:t>
      </w:r>
      <w:proofErr w:type="spellEnd"/>
      <w:r w:rsidRPr="003C6DAE">
        <w:rPr>
          <w:sz w:val="20"/>
          <w:lang w:val="uk-UA"/>
        </w:rPr>
        <w:t xml:space="preserve"> to </w:t>
      </w:r>
      <w:proofErr w:type="spellStart"/>
      <w:r w:rsidRPr="003C6DAE">
        <w:rPr>
          <w:sz w:val="20"/>
          <w:lang w:val="uk-UA"/>
        </w:rPr>
        <w:t>appropriate</w:t>
      </w:r>
      <w:proofErr w:type="spellEnd"/>
      <w:r w:rsidRPr="003C6DAE">
        <w:rPr>
          <w:sz w:val="20"/>
          <w:lang w:val="uk-UA"/>
        </w:rPr>
        <w:t xml:space="preserve"> </w:t>
      </w:r>
      <w:proofErr w:type="spellStart"/>
      <w:r w:rsidRPr="003C6DAE">
        <w:rPr>
          <w:sz w:val="20"/>
          <w:lang w:val="uk-UA"/>
        </w:rPr>
        <w:t>treatment</w:t>
      </w:r>
      <w:proofErr w:type="spellEnd"/>
      <w:r w:rsidRPr="003C6DAE">
        <w:rPr>
          <w:sz w:val="20"/>
          <w:lang w:val="uk-UA"/>
        </w:rPr>
        <w:t xml:space="preserve">: a </w:t>
      </w:r>
      <w:proofErr w:type="spellStart"/>
      <w:r w:rsidRPr="003C6DAE">
        <w:rPr>
          <w:sz w:val="20"/>
          <w:lang w:val="uk-UA"/>
        </w:rPr>
        <w:t>performance</w:t>
      </w:r>
      <w:proofErr w:type="spellEnd"/>
      <w:r w:rsidRPr="003C6DAE">
        <w:rPr>
          <w:sz w:val="20"/>
          <w:lang w:val="uk-UA"/>
        </w:rPr>
        <w:t xml:space="preserve"> and </w:t>
      </w:r>
      <w:proofErr w:type="spellStart"/>
      <w:r w:rsidRPr="003C6DAE">
        <w:rPr>
          <w:sz w:val="20"/>
          <w:lang w:val="uk-UA"/>
        </w:rPr>
        <w:t>diagnostic</w:t>
      </w:r>
      <w:proofErr w:type="spellEnd"/>
      <w:r w:rsidRPr="003C6DAE">
        <w:rPr>
          <w:sz w:val="20"/>
          <w:lang w:val="uk-UA"/>
        </w:rPr>
        <w:t xml:space="preserve"> </w:t>
      </w:r>
      <w:proofErr w:type="spellStart"/>
      <w:r w:rsidRPr="003C6DAE">
        <w:rPr>
          <w:sz w:val="20"/>
          <w:lang w:val="uk-UA"/>
        </w:rPr>
        <w:t>cost</w:t>
      </w:r>
      <w:proofErr w:type="spellEnd"/>
      <w:r w:rsidRPr="003C6DAE">
        <w:rPr>
          <w:sz w:val="20"/>
          <w:lang w:val="uk-UA"/>
        </w:rPr>
        <w:t xml:space="preserve"> </w:t>
      </w:r>
      <w:proofErr w:type="spellStart"/>
      <w:r w:rsidRPr="003C6DAE">
        <w:rPr>
          <w:sz w:val="20"/>
          <w:lang w:val="uk-UA"/>
        </w:rPr>
        <w:t>analysis</w:t>
      </w:r>
      <w:proofErr w:type="spellEnd"/>
      <w:r w:rsidRPr="003C6DAE">
        <w:rPr>
          <w:sz w:val="20"/>
          <w:lang w:val="uk-UA"/>
        </w:rPr>
        <w:t xml:space="preserve">. </w:t>
      </w:r>
      <w:proofErr w:type="spellStart"/>
      <w:r w:rsidRPr="003C6DAE">
        <w:rPr>
          <w:sz w:val="20"/>
          <w:lang w:val="uk-UA"/>
        </w:rPr>
        <w:t>Infect</w:t>
      </w:r>
      <w:proofErr w:type="spellEnd"/>
      <w:r w:rsidRPr="003C6DAE">
        <w:rPr>
          <w:spacing w:val="31"/>
          <w:sz w:val="20"/>
          <w:lang w:val="uk-UA"/>
        </w:rPr>
        <w:t xml:space="preserve"> </w:t>
      </w:r>
      <w:r w:rsidRPr="003C6DAE">
        <w:rPr>
          <w:sz w:val="20"/>
          <w:lang w:val="uk-UA"/>
        </w:rPr>
        <w:t>Drug</w:t>
      </w:r>
      <w:r w:rsidRPr="003C6DAE">
        <w:rPr>
          <w:spacing w:val="31"/>
          <w:sz w:val="20"/>
          <w:lang w:val="uk-UA"/>
        </w:rPr>
        <w:t xml:space="preserve"> </w:t>
      </w:r>
      <w:proofErr w:type="spellStart"/>
      <w:r w:rsidRPr="003C6DAE">
        <w:rPr>
          <w:sz w:val="20"/>
          <w:lang w:val="uk-UA"/>
        </w:rPr>
        <w:t>Resist</w:t>
      </w:r>
      <w:proofErr w:type="spellEnd"/>
      <w:r w:rsidRPr="003C6DAE">
        <w:rPr>
          <w:sz w:val="20"/>
          <w:lang w:val="uk-UA"/>
        </w:rPr>
        <w:t>.</w:t>
      </w:r>
      <w:r w:rsidRPr="003C6DAE">
        <w:rPr>
          <w:spacing w:val="31"/>
          <w:sz w:val="20"/>
          <w:lang w:val="uk-UA"/>
        </w:rPr>
        <w:t xml:space="preserve"> </w:t>
      </w:r>
      <w:r w:rsidRPr="003C6DAE">
        <w:rPr>
          <w:sz w:val="20"/>
          <w:lang w:val="uk-UA"/>
        </w:rPr>
        <w:t>2019;12:3549–55.</w:t>
      </w:r>
      <w:r w:rsidRPr="003C6DAE">
        <w:rPr>
          <w:spacing w:val="31"/>
          <w:sz w:val="20"/>
          <w:lang w:val="uk-UA"/>
        </w:rPr>
        <w:t xml:space="preserve"> </w:t>
      </w:r>
      <w:r w:rsidRPr="003C6DAE">
        <w:rPr>
          <w:sz w:val="20"/>
          <w:lang w:val="uk-UA"/>
        </w:rPr>
        <w:t>doi:</w:t>
      </w:r>
      <w:r w:rsidRPr="003C6DAE">
        <w:rPr>
          <w:spacing w:val="31"/>
          <w:sz w:val="20"/>
          <w:lang w:val="uk-UA"/>
        </w:rPr>
        <w:t xml:space="preserve"> </w:t>
      </w:r>
      <w:hyperlink r:id="rId193">
        <w:r w:rsidRPr="003C6DAE">
          <w:rPr>
            <w:color w:val="019648"/>
            <w:sz w:val="20"/>
            <w:lang w:val="uk-UA"/>
          </w:rPr>
          <w:t>https://doi.org/10.2147/idr.S224518</w:t>
        </w:r>
      </w:hyperlink>
      <w:r w:rsidRPr="003C6DAE">
        <w:rPr>
          <w:sz w:val="20"/>
          <w:lang w:val="uk-UA"/>
        </w:rPr>
        <w:t>.</w:t>
      </w:r>
    </w:p>
    <w:p w14:paraId="26B6AB85" w14:textId="2C1C4CCB" w:rsidR="00E05B98" w:rsidRPr="003C6DAE" w:rsidRDefault="004A2937">
      <w:pPr>
        <w:pStyle w:val="a4"/>
        <w:numPr>
          <w:ilvl w:val="0"/>
          <w:numId w:val="12"/>
        </w:numPr>
        <w:tabs>
          <w:tab w:val="left" w:pos="926"/>
        </w:tabs>
        <w:spacing w:before="83"/>
        <w:ind w:left="926" w:hanging="359"/>
        <w:rPr>
          <w:sz w:val="20"/>
          <w:lang w:val="uk-UA"/>
        </w:rPr>
      </w:pPr>
      <w:r>
        <w:rPr>
          <w:noProof/>
          <w:color w:val="000000" w:themeColor="text1"/>
          <w:sz w:val="20"/>
        </w:rPr>
        <mc:AlternateContent>
          <mc:Choice Requires="wps">
            <w:drawing>
              <wp:anchor distT="0" distB="0" distL="114300" distR="114300" simplePos="0" relativeHeight="488246784" behindDoc="0" locked="0" layoutInCell="1" allowOverlap="1" wp14:anchorId="68D0C214" wp14:editId="480BA488">
                <wp:simplePos x="0" y="0"/>
                <wp:positionH relativeFrom="margin">
                  <wp:posOffset>6012815</wp:posOffset>
                </wp:positionH>
                <wp:positionV relativeFrom="paragraph">
                  <wp:posOffset>734060</wp:posOffset>
                </wp:positionV>
                <wp:extent cx="482600" cy="228600"/>
                <wp:effectExtent l="0" t="0" r="0" b="0"/>
                <wp:wrapNone/>
                <wp:docPr id="164426194" name="Поле 1942"/>
                <wp:cNvGraphicFramePr/>
                <a:graphic xmlns:a="http://schemas.openxmlformats.org/drawingml/2006/main">
                  <a:graphicData uri="http://schemas.microsoft.com/office/word/2010/wordprocessingShape">
                    <wps:wsp>
                      <wps:cNvSpPr txBox="1"/>
                      <wps:spPr>
                        <a:xfrm>
                          <a:off x="0" y="0"/>
                          <a:ext cx="482600" cy="228600"/>
                        </a:xfrm>
                        <a:prstGeom prst="rect">
                          <a:avLst/>
                        </a:prstGeom>
                        <a:solidFill>
                          <a:schemeClr val="lt1"/>
                        </a:solidFill>
                        <a:ln w="6350">
                          <a:noFill/>
                        </a:ln>
                      </wps:spPr>
                      <wps:txbx>
                        <w:txbxContent>
                          <w:p w14:paraId="62881188" w14:textId="4F76F587" w:rsidR="004A2937" w:rsidRPr="004A2937" w:rsidRDefault="004A2937" w:rsidP="004A2937">
                            <w:pPr>
                              <w:rPr>
                                <w:color w:val="388600"/>
                                <w:sz w:val="20"/>
                                <w:szCs w:val="20"/>
                                <w:lang w:val="uk-UA"/>
                              </w:rPr>
                            </w:pPr>
                            <w:r w:rsidRPr="004A2937">
                              <w:rPr>
                                <w:color w:val="388600"/>
                                <w:sz w:val="20"/>
                                <w:szCs w:val="20"/>
                                <w:lang w:val="uk-UA"/>
                              </w:rPr>
                              <w:t>1</w:t>
                            </w:r>
                            <w:r>
                              <w:rPr>
                                <w:color w:val="388600"/>
                                <w:sz w:val="20"/>
                                <w:szCs w:val="20"/>
                                <w:lang w:val="uk-UA"/>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0C214" id="_x0000_s1186" type="#_x0000_t202" style="position:absolute;left:0;text-align:left;margin-left:473.45pt;margin-top:57.8pt;width:38pt;height:18pt;z-index:48824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" fillcolor="white [3201]" stroked="f" strokeweight=".5pt">
                <v:textbox>
                  <w:txbxContent>
                    <w:p w14:paraId="62881188" w14:textId="4F76F587" w:rsidR="004A2937" w:rsidRPr="004A2937" w:rsidRDefault="004A2937" w:rsidP="004A2937">
                      <w:pPr>
                        <w:rPr>
                          <w:color w:val="388600"/>
                          <w:sz w:val="20"/>
                          <w:szCs w:val="20"/>
                          <w:lang w:val="uk-UA"/>
                        </w:rPr>
                      </w:pPr>
                      <w:r w:rsidRPr="004A2937">
                        <w:rPr>
                          <w:color w:val="388600"/>
                          <w:sz w:val="20"/>
                          <w:szCs w:val="20"/>
                          <w:lang w:val="uk-UA"/>
                        </w:rPr>
                        <w:t>1</w:t>
                      </w:r>
                      <w:r>
                        <w:rPr>
                          <w:color w:val="388600"/>
                          <w:sz w:val="20"/>
                          <w:szCs w:val="20"/>
                          <w:lang w:val="uk-UA"/>
                        </w:rPr>
                        <w:t>19</w:t>
                      </w:r>
                    </w:p>
                  </w:txbxContent>
                </v:textbox>
                <w10:wrap anchorx="margin"/>
              </v:shape>
            </w:pict>
          </mc:Fallback>
        </mc:AlternateContent>
      </w:r>
      <w:r w:rsidR="00B01E0C" w:rsidRPr="003C6DAE">
        <w:rPr>
          <w:sz w:val="20"/>
          <w:lang w:val="uk-UA"/>
        </w:rPr>
        <w:t>GRADEpro</w:t>
      </w:r>
      <w:r w:rsidR="00B01E0C" w:rsidRPr="003C6DAE">
        <w:rPr>
          <w:spacing w:val="-3"/>
          <w:sz w:val="20"/>
          <w:lang w:val="uk-UA"/>
        </w:rPr>
        <w:t xml:space="preserve"> </w:t>
      </w:r>
      <w:r w:rsidR="00B01E0C" w:rsidRPr="003C6DAE">
        <w:rPr>
          <w:sz w:val="20"/>
          <w:lang w:val="uk-UA"/>
        </w:rPr>
        <w:t>GDT</w:t>
      </w:r>
      <w:r w:rsidR="00B01E0C" w:rsidRPr="003C6DAE">
        <w:rPr>
          <w:spacing w:val="-3"/>
          <w:sz w:val="20"/>
          <w:lang w:val="uk-UA"/>
        </w:rPr>
        <w:t xml:space="preserve"> </w:t>
      </w:r>
      <w:r w:rsidR="00B01E0C" w:rsidRPr="003C6DAE">
        <w:rPr>
          <w:sz w:val="20"/>
          <w:lang w:val="uk-UA"/>
        </w:rPr>
        <w:t>[</w:t>
      </w:r>
      <w:proofErr w:type="spellStart"/>
      <w:r w:rsidR="00B01E0C" w:rsidRPr="003C6DAE">
        <w:rPr>
          <w:sz w:val="20"/>
          <w:lang w:val="uk-UA"/>
        </w:rPr>
        <w:t>website</w:t>
      </w:r>
      <w:proofErr w:type="spellEnd"/>
      <w:r w:rsidR="00B01E0C" w:rsidRPr="003C6DAE">
        <w:rPr>
          <w:sz w:val="20"/>
          <w:lang w:val="uk-UA"/>
        </w:rPr>
        <w:t>].</w:t>
      </w:r>
      <w:r w:rsidR="00B01E0C" w:rsidRPr="003C6DAE">
        <w:rPr>
          <w:spacing w:val="-3"/>
          <w:sz w:val="20"/>
          <w:lang w:val="uk-UA"/>
        </w:rPr>
        <w:t xml:space="preserve"> </w:t>
      </w:r>
      <w:proofErr w:type="spellStart"/>
      <w:r w:rsidR="00B01E0C" w:rsidRPr="003C6DAE">
        <w:rPr>
          <w:sz w:val="20"/>
          <w:lang w:val="uk-UA"/>
        </w:rPr>
        <w:t>Hamilton</w:t>
      </w:r>
      <w:proofErr w:type="spellEnd"/>
      <w:r w:rsidR="00B01E0C" w:rsidRPr="003C6DAE">
        <w:rPr>
          <w:sz w:val="20"/>
          <w:lang w:val="uk-UA"/>
        </w:rPr>
        <w:t>,</w:t>
      </w:r>
      <w:r w:rsidR="00B01E0C" w:rsidRPr="003C6DAE">
        <w:rPr>
          <w:spacing w:val="-3"/>
          <w:sz w:val="20"/>
          <w:lang w:val="uk-UA"/>
        </w:rPr>
        <w:t xml:space="preserve"> </w:t>
      </w:r>
      <w:proofErr w:type="spellStart"/>
      <w:r w:rsidR="00B01E0C" w:rsidRPr="003C6DAE">
        <w:rPr>
          <w:sz w:val="20"/>
          <w:lang w:val="uk-UA"/>
        </w:rPr>
        <w:t>Ontario</w:t>
      </w:r>
      <w:proofErr w:type="spellEnd"/>
      <w:r w:rsidR="00B01E0C" w:rsidRPr="003C6DAE">
        <w:rPr>
          <w:sz w:val="20"/>
          <w:lang w:val="uk-UA"/>
        </w:rPr>
        <w:t>:</w:t>
      </w:r>
      <w:r w:rsidR="00B01E0C" w:rsidRPr="003C6DAE">
        <w:rPr>
          <w:spacing w:val="-3"/>
          <w:sz w:val="20"/>
          <w:lang w:val="uk-UA"/>
        </w:rPr>
        <w:t xml:space="preserve"> </w:t>
      </w:r>
      <w:proofErr w:type="spellStart"/>
      <w:r w:rsidR="00B01E0C" w:rsidRPr="003C6DAE">
        <w:rPr>
          <w:sz w:val="20"/>
          <w:lang w:val="uk-UA"/>
        </w:rPr>
        <w:t>McMaster</w:t>
      </w:r>
      <w:proofErr w:type="spellEnd"/>
      <w:r w:rsidR="00B01E0C" w:rsidRPr="003C6DAE">
        <w:rPr>
          <w:spacing w:val="-3"/>
          <w:sz w:val="20"/>
          <w:lang w:val="uk-UA"/>
        </w:rPr>
        <w:t xml:space="preserve"> </w:t>
      </w:r>
      <w:proofErr w:type="spellStart"/>
      <w:r w:rsidR="00B01E0C" w:rsidRPr="003C6DAE">
        <w:rPr>
          <w:sz w:val="20"/>
          <w:lang w:val="uk-UA"/>
        </w:rPr>
        <w:t>University</w:t>
      </w:r>
      <w:proofErr w:type="spellEnd"/>
      <w:r w:rsidR="00B01E0C" w:rsidRPr="003C6DAE">
        <w:rPr>
          <w:sz w:val="20"/>
          <w:lang w:val="uk-UA"/>
        </w:rPr>
        <w:t>;</w:t>
      </w:r>
      <w:r w:rsidR="00B01E0C" w:rsidRPr="003C6DAE">
        <w:rPr>
          <w:spacing w:val="-3"/>
          <w:sz w:val="20"/>
          <w:lang w:val="uk-UA"/>
        </w:rPr>
        <w:t xml:space="preserve"> </w:t>
      </w:r>
      <w:r w:rsidR="00B01E0C" w:rsidRPr="003C6DAE">
        <w:rPr>
          <w:sz w:val="20"/>
          <w:lang w:val="uk-UA"/>
        </w:rPr>
        <w:t>2020</w:t>
      </w:r>
      <w:r w:rsidR="00B01E0C" w:rsidRPr="003C6DAE">
        <w:rPr>
          <w:spacing w:val="-2"/>
          <w:sz w:val="20"/>
          <w:lang w:val="uk-UA"/>
        </w:rPr>
        <w:t xml:space="preserve"> (</w:t>
      </w:r>
      <w:hyperlink r:id="rId194">
        <w:r w:rsidR="00B01E0C" w:rsidRPr="003C6DAE">
          <w:rPr>
            <w:color w:val="019648"/>
            <w:spacing w:val="-2"/>
            <w:sz w:val="20"/>
            <w:lang w:val="uk-UA"/>
          </w:rPr>
          <w:t>https://gradepro.org/</w:t>
        </w:r>
      </w:hyperlink>
      <w:r w:rsidR="00B01E0C" w:rsidRPr="003C6DAE">
        <w:rPr>
          <w:spacing w:val="-2"/>
          <w:sz w:val="20"/>
          <w:lang w:val="uk-UA"/>
        </w:rPr>
        <w:t>).</w:t>
      </w:r>
    </w:p>
    <w:p w14:paraId="48DEE5BB" w14:textId="449F3E0D" w:rsidR="00E05B98" w:rsidRPr="003C6DAE" w:rsidRDefault="00E05B98">
      <w:pPr>
        <w:pStyle w:val="a4"/>
        <w:rPr>
          <w:sz w:val="20"/>
          <w:lang w:val="uk-UA"/>
        </w:rPr>
        <w:sectPr w:rsidR="00E05B98" w:rsidRPr="003C6DAE" w:rsidSect="004A2937">
          <w:pgSz w:w="11910" w:h="16840"/>
          <w:pgMar w:top="1321" w:right="1276" w:bottom="760" w:left="851" w:header="0" w:footer="573" w:gutter="0"/>
          <w:cols w:space="720"/>
        </w:sectPr>
      </w:pPr>
    </w:p>
    <w:p w14:paraId="2A201DA9" w14:textId="77777777" w:rsidR="00E05B98" w:rsidRPr="003C6DAE" w:rsidRDefault="00E05B98">
      <w:pPr>
        <w:pStyle w:val="a3"/>
        <w:spacing w:before="7"/>
        <w:rPr>
          <w:sz w:val="17"/>
          <w:lang w:val="uk-UA"/>
        </w:rPr>
      </w:pPr>
    </w:p>
    <w:p w14:paraId="2D1EB75C" w14:textId="77777777" w:rsidR="00E05B98" w:rsidRPr="003C6DAE" w:rsidRDefault="00E05B98">
      <w:pPr>
        <w:pStyle w:val="a3"/>
        <w:rPr>
          <w:sz w:val="17"/>
          <w:lang w:val="uk-UA"/>
        </w:rPr>
        <w:sectPr w:rsidR="00E05B98" w:rsidRPr="003C6DAE">
          <w:footerReference w:type="even" r:id="rId195"/>
          <w:pgSz w:w="11910" w:h="16840"/>
          <w:pgMar w:top="1920" w:right="1275" w:bottom="280" w:left="850" w:header="0" w:footer="0" w:gutter="0"/>
          <w:cols w:space="720"/>
        </w:sectPr>
      </w:pPr>
    </w:p>
    <w:p w14:paraId="0E6D0B88" w14:textId="77777777" w:rsidR="00E05B98" w:rsidRPr="003C6DAE" w:rsidRDefault="00B01E0C">
      <w:pPr>
        <w:pStyle w:val="a3"/>
        <w:rPr>
          <w:sz w:val="64"/>
          <w:lang w:val="uk-UA"/>
        </w:rPr>
      </w:pPr>
      <w:r w:rsidRPr="003C6DAE">
        <w:rPr>
          <w:noProof/>
          <w:sz w:val="64"/>
          <w:lang w:val="uk-UA"/>
        </w:rPr>
        <w:lastRenderedPageBreak/>
        <w:drawing>
          <wp:anchor distT="0" distB="0" distL="0" distR="0" simplePos="0" relativeHeight="481830912" behindDoc="1" locked="0" layoutInCell="1" allowOverlap="1" wp14:anchorId="4BCB3F6E" wp14:editId="0DAC7431">
            <wp:simplePos x="0" y="0"/>
            <wp:positionH relativeFrom="page">
              <wp:posOffset>1365</wp:posOffset>
            </wp:positionH>
            <wp:positionV relativeFrom="page">
              <wp:posOffset>0</wp:posOffset>
            </wp:positionV>
            <wp:extent cx="7558640" cy="1470902"/>
            <wp:effectExtent l="0" t="0" r="0" b="0"/>
            <wp:wrapNone/>
            <wp:docPr id="3041" name="Image 3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1" name="Image 3041"/>
                    <pic:cNvPicPr/>
                  </pic:nvPicPr>
                  <pic:blipFill>
                    <a:blip r:embed="rId31" cstate="print"/>
                    <a:stretch>
                      <a:fillRect/>
                    </a:stretch>
                  </pic:blipFill>
                  <pic:spPr>
                    <a:xfrm>
                      <a:off x="0" y="0"/>
                      <a:ext cx="7558640" cy="1470902"/>
                    </a:xfrm>
                    <a:prstGeom prst="rect">
                      <a:avLst/>
                    </a:prstGeom>
                  </pic:spPr>
                </pic:pic>
              </a:graphicData>
            </a:graphic>
          </wp:anchor>
        </w:drawing>
      </w:r>
    </w:p>
    <w:p w14:paraId="08602259" w14:textId="77777777" w:rsidR="00E05B98" w:rsidRPr="003C6DAE" w:rsidRDefault="00E05B98">
      <w:pPr>
        <w:pStyle w:val="a3"/>
        <w:rPr>
          <w:sz w:val="64"/>
          <w:lang w:val="uk-UA"/>
        </w:rPr>
      </w:pPr>
    </w:p>
    <w:p w14:paraId="6B125DD0" w14:textId="77777777" w:rsidR="00E05B98" w:rsidRPr="003C6DAE" w:rsidRDefault="00E05B98">
      <w:pPr>
        <w:pStyle w:val="a3"/>
        <w:spacing w:before="55"/>
        <w:rPr>
          <w:sz w:val="64"/>
          <w:lang w:val="uk-UA"/>
        </w:rPr>
      </w:pPr>
    </w:p>
    <w:p w14:paraId="3AA5D838" w14:textId="79D2992D" w:rsidR="00E05B98" w:rsidRPr="00D518B3" w:rsidRDefault="00D518B3" w:rsidP="004A2937">
      <w:pPr>
        <w:pStyle w:val="1"/>
        <w:numPr>
          <w:ilvl w:val="0"/>
          <w:numId w:val="31"/>
        </w:numPr>
        <w:tabs>
          <w:tab w:val="left" w:pos="1232"/>
        </w:tabs>
        <w:spacing w:line="254" w:lineRule="auto"/>
        <w:ind w:left="567" w:right="4" w:firstLine="0"/>
        <w:rPr>
          <w:sz w:val="56"/>
          <w:szCs w:val="56"/>
          <w:lang w:val="uk-UA"/>
        </w:rPr>
      </w:pPr>
      <w:bookmarkStart w:id="94" w:name="3._Recommendations_for_diagnosis_of_TB_i"/>
      <w:bookmarkStart w:id="95" w:name="3.1._Mycobacterium_tuberculosis_antigen-"/>
      <w:bookmarkStart w:id="96" w:name="_bookmark44"/>
      <w:bookmarkEnd w:id="94"/>
      <w:bookmarkEnd w:id="95"/>
      <w:bookmarkEnd w:id="96"/>
      <w:r w:rsidRPr="00D518B3">
        <w:rPr>
          <w:color w:val="019648"/>
          <w:sz w:val="56"/>
          <w:szCs w:val="56"/>
          <w:lang w:val="uk-UA"/>
        </w:rPr>
        <w:t>Рекомендації щодо діагностики інфекції т</w:t>
      </w:r>
      <w:r w:rsidR="001E73C1">
        <w:rPr>
          <w:color w:val="019648"/>
          <w:sz w:val="56"/>
          <w:szCs w:val="56"/>
          <w:lang w:val="uk-UA"/>
        </w:rPr>
        <w:t>у</w:t>
      </w:r>
      <w:r w:rsidRPr="00D518B3">
        <w:rPr>
          <w:color w:val="019648"/>
          <w:sz w:val="56"/>
          <w:szCs w:val="56"/>
          <w:lang w:val="uk-UA"/>
        </w:rPr>
        <w:t>беркульозу</w:t>
      </w:r>
    </w:p>
    <w:p w14:paraId="0764A64D" w14:textId="77777777" w:rsidR="00E05B98" w:rsidRPr="00DF6F29" w:rsidRDefault="00E05B98">
      <w:pPr>
        <w:pStyle w:val="a3"/>
        <w:spacing w:before="111"/>
        <w:rPr>
          <w:sz w:val="44"/>
          <w:szCs w:val="44"/>
          <w:lang w:val="uk-UA"/>
        </w:rPr>
      </w:pPr>
    </w:p>
    <w:p w14:paraId="3B4C962A" w14:textId="46BDDE22" w:rsidR="00E05B98" w:rsidRPr="00D518B3" w:rsidRDefault="00D518B3" w:rsidP="004A2937">
      <w:pPr>
        <w:pStyle w:val="3"/>
        <w:numPr>
          <w:ilvl w:val="1"/>
          <w:numId w:val="31"/>
        </w:numPr>
        <w:tabs>
          <w:tab w:val="left" w:pos="1244"/>
        </w:tabs>
        <w:ind w:left="1134" w:right="4" w:hanging="567"/>
        <w:rPr>
          <w:color w:val="019648"/>
          <w:sz w:val="36"/>
          <w:szCs w:val="36"/>
          <w:lang w:val="uk-UA"/>
        </w:rPr>
      </w:pPr>
      <w:r w:rsidRPr="00D518B3">
        <w:rPr>
          <w:color w:val="019648"/>
          <w:sz w:val="36"/>
          <w:szCs w:val="36"/>
          <w:lang w:val="uk-UA"/>
        </w:rPr>
        <w:t xml:space="preserve">Шкірні тести на </w:t>
      </w:r>
      <w:r w:rsidR="00144823">
        <w:rPr>
          <w:color w:val="019648"/>
          <w:sz w:val="36"/>
          <w:szCs w:val="36"/>
          <w:lang w:val="uk-UA"/>
        </w:rPr>
        <w:t xml:space="preserve">основі </w:t>
      </w:r>
      <w:r w:rsidRPr="00D518B3">
        <w:rPr>
          <w:color w:val="019648"/>
          <w:sz w:val="36"/>
          <w:szCs w:val="36"/>
          <w:lang w:val="uk-UA"/>
        </w:rPr>
        <w:t>антиген</w:t>
      </w:r>
      <w:r w:rsidR="00144823">
        <w:rPr>
          <w:color w:val="019648"/>
          <w:sz w:val="36"/>
          <w:szCs w:val="36"/>
          <w:lang w:val="uk-UA"/>
        </w:rPr>
        <w:t>у</w:t>
      </w:r>
      <w:r w:rsidRPr="00D518B3">
        <w:rPr>
          <w:color w:val="019648"/>
          <w:sz w:val="36"/>
          <w:szCs w:val="36"/>
          <w:lang w:val="uk-UA"/>
        </w:rPr>
        <w:t xml:space="preserve"> мікобактері</w:t>
      </w:r>
      <w:r w:rsidR="00144823">
        <w:rPr>
          <w:color w:val="019648"/>
          <w:sz w:val="36"/>
          <w:szCs w:val="36"/>
          <w:lang w:val="uk-UA"/>
        </w:rPr>
        <w:t>ї</w:t>
      </w:r>
      <w:r w:rsidRPr="00D518B3">
        <w:rPr>
          <w:color w:val="019648"/>
          <w:sz w:val="36"/>
          <w:szCs w:val="36"/>
          <w:lang w:val="uk-UA"/>
        </w:rPr>
        <w:t xml:space="preserve"> туберкульозу для діагностики інфекції ТБ</w:t>
      </w:r>
    </w:p>
    <w:p w14:paraId="542F5B43" w14:textId="77777777" w:rsidR="00DF6F29" w:rsidRPr="00DF6F29" w:rsidRDefault="00DF6F29">
      <w:pPr>
        <w:pStyle w:val="a3"/>
        <w:spacing w:before="172" w:line="297" w:lineRule="auto"/>
        <w:ind w:left="567" w:right="136"/>
        <w:jc w:val="both"/>
        <w:rPr>
          <w:sz w:val="4"/>
          <w:szCs w:val="4"/>
          <w:lang w:val="uk-UA"/>
        </w:rPr>
      </w:pPr>
    </w:p>
    <w:p w14:paraId="042999F6" w14:textId="7B537916" w:rsidR="00E05B98" w:rsidRPr="00D518B3" w:rsidRDefault="00456254" w:rsidP="00A326F0">
      <w:pPr>
        <w:pStyle w:val="a3"/>
        <w:spacing w:before="172" w:line="276" w:lineRule="auto"/>
        <w:ind w:left="567"/>
        <w:jc w:val="both"/>
        <w:rPr>
          <w:sz w:val="20"/>
          <w:szCs w:val="20"/>
          <w:lang w:val="uk-UA"/>
        </w:rPr>
      </w:pPr>
      <w:r w:rsidRPr="00456254">
        <w:rPr>
          <w:sz w:val="20"/>
          <w:szCs w:val="20"/>
          <w:lang w:val="uk-UA"/>
        </w:rPr>
        <w:t xml:space="preserve">Починаючи з 2011 року, Всесвітня організація охорони здоров'я (ВООЗ) випускає рекомендації щодо використання АВГІ для діагностики ТБ-інфекції. У 2018 році ВООЗ оновила ці рекомендації, визначивши, що </w:t>
      </w:r>
      <w:r w:rsidR="00D45FA2">
        <w:rPr>
          <w:sz w:val="20"/>
          <w:szCs w:val="20"/>
          <w:lang w:val="uk-UA"/>
        </w:rPr>
        <w:t>ТШП</w:t>
      </w:r>
      <w:r w:rsidRPr="00456254">
        <w:rPr>
          <w:sz w:val="20"/>
          <w:szCs w:val="20"/>
          <w:lang w:val="uk-UA"/>
        </w:rPr>
        <w:t xml:space="preserve"> або АВГІ (або обидва тести) можуть використовуватися для діагностики ТБ в країнах з низьким та середнім рівнем доходу. </w:t>
      </w:r>
      <w:r w:rsidR="00D45FA2">
        <w:rPr>
          <w:sz w:val="20"/>
          <w:szCs w:val="20"/>
          <w:lang w:val="uk-UA"/>
        </w:rPr>
        <w:t>ТШП</w:t>
      </w:r>
      <w:r w:rsidRPr="00456254">
        <w:rPr>
          <w:sz w:val="20"/>
          <w:szCs w:val="20"/>
          <w:lang w:val="uk-UA"/>
        </w:rPr>
        <w:t xml:space="preserve"> - це </w:t>
      </w:r>
      <w:r w:rsidR="00C608A6">
        <w:rPr>
          <w:sz w:val="20"/>
          <w:szCs w:val="20"/>
          <w:lang w:val="uk-UA"/>
        </w:rPr>
        <w:t xml:space="preserve">тест, який широко </w:t>
      </w:r>
      <w:r w:rsidRPr="00456254">
        <w:rPr>
          <w:sz w:val="20"/>
          <w:szCs w:val="20"/>
          <w:lang w:val="uk-UA"/>
        </w:rPr>
        <w:t>використову</w:t>
      </w:r>
      <w:r w:rsidR="00C608A6">
        <w:rPr>
          <w:sz w:val="20"/>
          <w:szCs w:val="20"/>
          <w:lang w:val="uk-UA"/>
        </w:rPr>
        <w:t>ють у</w:t>
      </w:r>
      <w:r w:rsidRPr="00456254">
        <w:rPr>
          <w:sz w:val="20"/>
          <w:szCs w:val="20"/>
          <w:lang w:val="uk-UA"/>
        </w:rPr>
        <w:t xml:space="preserve"> місцях надання медичної допомоги, </w:t>
      </w:r>
      <w:r w:rsidR="00C608A6">
        <w:rPr>
          <w:sz w:val="20"/>
          <w:szCs w:val="20"/>
          <w:lang w:val="uk-UA"/>
        </w:rPr>
        <w:t>що</w:t>
      </w:r>
      <w:r w:rsidRPr="00456254">
        <w:rPr>
          <w:sz w:val="20"/>
          <w:szCs w:val="20"/>
          <w:lang w:val="uk-UA"/>
        </w:rPr>
        <w:t xml:space="preserve"> включає внутрішньошкірну ін'єкцію очищеного похідного білка (PPD), сирої суміші різних мікобактеріальних антигенів, що стимулює реакцію гіперчутливості сповільненого типу і викликає виникнення  </w:t>
      </w:r>
      <w:r w:rsidR="00CE4B93" w:rsidRPr="00456254">
        <w:rPr>
          <w:sz w:val="20"/>
          <w:szCs w:val="20"/>
          <w:lang w:val="uk-UA"/>
        </w:rPr>
        <w:t>ущільнення</w:t>
      </w:r>
      <w:r w:rsidRPr="00456254">
        <w:rPr>
          <w:sz w:val="20"/>
          <w:szCs w:val="20"/>
          <w:lang w:val="uk-UA"/>
        </w:rPr>
        <w:t xml:space="preserve"> (індурацію) в місці введення ін'єкції протягом 48-72 годин.</w:t>
      </w:r>
      <w:r w:rsidR="00B01E0C" w:rsidRPr="00D518B3">
        <w:rPr>
          <w:sz w:val="20"/>
          <w:szCs w:val="20"/>
          <w:lang w:val="uk-UA"/>
        </w:rPr>
        <w:t xml:space="preserve"> </w:t>
      </w:r>
      <w:r w:rsidR="0023341D" w:rsidRPr="0023341D">
        <w:rPr>
          <w:sz w:val="20"/>
          <w:szCs w:val="20"/>
          <w:lang w:val="uk-UA"/>
        </w:rPr>
        <w:t xml:space="preserve">Цей тест має відносно низьку специфічність у осіб, які недавно отримали щеплення бацилою Кальметта-Герена (БЦЖ), і низьку чутливість в осіб з ослабленим імунітетом (наприклад, людей, які живуть з ВІЛ [ЛЖВ]); отже, інтерпретаційні порогові значення мають бути адаптовані для цих груп населення. Після проведення </w:t>
      </w:r>
      <w:r w:rsidR="00D45FA2">
        <w:rPr>
          <w:sz w:val="20"/>
          <w:szCs w:val="20"/>
          <w:lang w:val="uk-UA"/>
        </w:rPr>
        <w:t>ТШП</w:t>
      </w:r>
      <w:r w:rsidR="0023341D" w:rsidRPr="0023341D">
        <w:rPr>
          <w:sz w:val="20"/>
          <w:szCs w:val="20"/>
          <w:lang w:val="uk-UA"/>
        </w:rPr>
        <w:t xml:space="preserve"> необхідний повторний візит до клініки, а результати слід  зчитати протягом рекомендованого часу для </w:t>
      </w:r>
      <w:r w:rsidR="0023341D" w:rsidRPr="00C608A6">
        <w:rPr>
          <w:sz w:val="20"/>
          <w:szCs w:val="20"/>
          <w:lang w:val="uk-UA"/>
        </w:rPr>
        <w:t xml:space="preserve">гарантування їх валідності. І навпаки, АВГІ- це тести </w:t>
      </w:r>
      <w:r w:rsidR="0023341D" w:rsidRPr="00C608A6">
        <w:rPr>
          <w:i/>
          <w:iCs/>
          <w:sz w:val="20"/>
          <w:szCs w:val="20"/>
          <w:lang w:val="uk-UA"/>
        </w:rPr>
        <w:t>in vitro</w:t>
      </w:r>
      <w:r w:rsidR="0023341D" w:rsidRPr="00C608A6">
        <w:rPr>
          <w:sz w:val="20"/>
          <w:szCs w:val="20"/>
          <w:lang w:val="uk-UA"/>
        </w:rPr>
        <w:t xml:space="preserve">, які вимірюють вивільнення гамма-інтерферону (IFN-γ) Т-клітинами після стимуляції раннім секреторним антигенним цільовим білком 6 kDa (ESAT-6) та білком культурального фільтрату 10 (CFP-10), які є специфічними до </w:t>
      </w:r>
      <w:r w:rsidR="0023341D" w:rsidRPr="00C608A6">
        <w:rPr>
          <w:i/>
          <w:iCs/>
          <w:sz w:val="20"/>
          <w:szCs w:val="20"/>
          <w:lang w:val="uk-UA"/>
        </w:rPr>
        <w:t>Mtb</w:t>
      </w:r>
      <w:r w:rsidR="00B01E0C" w:rsidRPr="00C608A6">
        <w:rPr>
          <w:sz w:val="20"/>
          <w:szCs w:val="20"/>
          <w:lang w:val="uk-UA"/>
        </w:rPr>
        <w:t xml:space="preserve">. </w:t>
      </w:r>
      <w:r w:rsidR="006A66B5" w:rsidRPr="00C608A6">
        <w:rPr>
          <w:sz w:val="20"/>
          <w:szCs w:val="20"/>
          <w:lang w:val="uk-UA"/>
        </w:rPr>
        <w:t xml:space="preserve">На відміну від </w:t>
      </w:r>
      <w:r w:rsidR="00D45FA2">
        <w:rPr>
          <w:sz w:val="20"/>
          <w:szCs w:val="20"/>
          <w:lang w:val="uk-UA"/>
        </w:rPr>
        <w:t>ТШП</w:t>
      </w:r>
      <w:r w:rsidR="006A66B5" w:rsidRPr="00C608A6">
        <w:rPr>
          <w:sz w:val="20"/>
          <w:szCs w:val="20"/>
          <w:lang w:val="uk-UA"/>
        </w:rPr>
        <w:t>, на АВГІ не впливає попередня вакцинація БЦЖ або інфікування нетуберкульозними мікобактеріями</w:t>
      </w:r>
      <w:r w:rsidR="006A66B5" w:rsidRPr="006A66B5">
        <w:rPr>
          <w:sz w:val="20"/>
          <w:szCs w:val="20"/>
          <w:lang w:val="uk-UA"/>
        </w:rPr>
        <w:t xml:space="preserve"> (НМБ), за кількома винятками. Однак платформи АВГІ є більш дорогими в експлуатації і потребують спеціалізованих приміщень та навченого персоналу; тому </w:t>
      </w:r>
      <w:r w:rsidR="00D45FA2">
        <w:rPr>
          <w:sz w:val="20"/>
          <w:szCs w:val="20"/>
          <w:lang w:val="uk-UA"/>
        </w:rPr>
        <w:t>ТШП</w:t>
      </w:r>
      <w:r w:rsidR="006A66B5" w:rsidRPr="006A66B5">
        <w:rPr>
          <w:sz w:val="20"/>
          <w:szCs w:val="20"/>
          <w:lang w:val="uk-UA"/>
        </w:rPr>
        <w:t xml:space="preserve"> є найбільш поширеним тестом на виявлення інфекції ТБ у світі. Недавній глобальний дефіцит очищеного </w:t>
      </w:r>
      <w:r w:rsidR="00CE4B93" w:rsidRPr="006A66B5">
        <w:rPr>
          <w:sz w:val="20"/>
          <w:szCs w:val="20"/>
          <w:lang w:val="uk-UA"/>
        </w:rPr>
        <w:t>білкового</w:t>
      </w:r>
      <w:r w:rsidR="006A66B5" w:rsidRPr="006A66B5">
        <w:rPr>
          <w:sz w:val="20"/>
          <w:szCs w:val="20"/>
          <w:lang w:val="uk-UA"/>
        </w:rPr>
        <w:t xml:space="preserve"> деривату туберкуліну (PPD) підкреслив необхідність пошуку альтернатив.</w:t>
      </w:r>
    </w:p>
    <w:p w14:paraId="4B041788" w14:textId="0F5BF4CB" w:rsidR="00E05B98" w:rsidRPr="00D518B3" w:rsidRDefault="000E1E7C" w:rsidP="00A326F0">
      <w:pPr>
        <w:pStyle w:val="a3"/>
        <w:spacing w:before="187" w:line="276" w:lineRule="auto"/>
        <w:ind w:left="567"/>
        <w:jc w:val="both"/>
        <w:rPr>
          <w:sz w:val="20"/>
          <w:szCs w:val="20"/>
          <w:lang w:val="uk-UA"/>
        </w:rPr>
      </w:pPr>
      <w:r w:rsidRPr="000E1E7C">
        <w:rPr>
          <w:sz w:val="20"/>
          <w:szCs w:val="20"/>
          <w:lang w:val="uk-UA"/>
        </w:rPr>
        <w:t>Окрім шкірних тестів на туберкульоз та аналізів на вивільнення гамма-інтерферону, раніше рекоменд</w:t>
      </w:r>
      <w:r w:rsidR="00745D3A">
        <w:rPr>
          <w:sz w:val="20"/>
          <w:szCs w:val="20"/>
          <w:lang w:val="uk-UA"/>
        </w:rPr>
        <w:t>ованих</w:t>
      </w:r>
      <w:r w:rsidRPr="000E1E7C">
        <w:rPr>
          <w:sz w:val="20"/>
          <w:szCs w:val="20"/>
          <w:lang w:val="uk-UA"/>
        </w:rPr>
        <w:t xml:space="preserve"> ВООЗ, недавно були розроблені шкірні тести на антиген </w:t>
      </w:r>
      <w:r w:rsidRPr="00745D3A">
        <w:rPr>
          <w:i/>
          <w:iCs/>
          <w:sz w:val="20"/>
          <w:szCs w:val="20"/>
          <w:lang w:val="uk-UA"/>
        </w:rPr>
        <w:t>Mtb</w:t>
      </w:r>
      <w:r w:rsidRPr="000E1E7C">
        <w:rPr>
          <w:sz w:val="20"/>
          <w:szCs w:val="20"/>
          <w:lang w:val="uk-UA"/>
        </w:rPr>
        <w:t xml:space="preserve"> (</w:t>
      </w:r>
      <w:r w:rsidR="00745D3A">
        <w:rPr>
          <w:sz w:val="20"/>
          <w:szCs w:val="20"/>
          <w:lang w:val="uk-UA"/>
        </w:rPr>
        <w:t>ШПТБ</w:t>
      </w:r>
      <w:r w:rsidRPr="000E1E7C">
        <w:rPr>
          <w:sz w:val="20"/>
          <w:szCs w:val="20"/>
          <w:lang w:val="uk-UA"/>
        </w:rPr>
        <w:t>)</w:t>
      </w:r>
      <w:r w:rsidR="00745D3A">
        <w:rPr>
          <w:sz w:val="20"/>
          <w:szCs w:val="20"/>
          <w:lang w:val="uk-UA"/>
        </w:rPr>
        <w:t xml:space="preserve">, засновані на специфічних антигенах,  </w:t>
      </w:r>
      <w:r w:rsidRPr="000E1E7C">
        <w:rPr>
          <w:sz w:val="20"/>
          <w:szCs w:val="20"/>
          <w:lang w:val="uk-UA"/>
        </w:rPr>
        <w:t xml:space="preserve">з використанням тих самих антигенів ESAT-6 та CFP-10; ці тести поєднують простішу платформу шкірних тестів зі специфічністю АВГІ. </w:t>
      </w:r>
      <w:r w:rsidR="00745D3A">
        <w:rPr>
          <w:sz w:val="20"/>
          <w:szCs w:val="20"/>
          <w:lang w:val="uk-UA"/>
        </w:rPr>
        <w:t>ШПТБ</w:t>
      </w:r>
      <w:r w:rsidRPr="000E1E7C">
        <w:rPr>
          <w:sz w:val="20"/>
          <w:szCs w:val="20"/>
          <w:lang w:val="uk-UA"/>
        </w:rPr>
        <w:t xml:space="preserve"> включають тест Cy-Tb (Інститут сироватки Індії, Індія), Diaskintest® (компані</w:t>
      </w:r>
      <w:r w:rsidR="00745D3A">
        <w:rPr>
          <w:sz w:val="20"/>
          <w:szCs w:val="20"/>
          <w:lang w:val="uk-UA"/>
        </w:rPr>
        <w:t>ї</w:t>
      </w:r>
      <w:r w:rsidRPr="000E1E7C">
        <w:rPr>
          <w:sz w:val="20"/>
          <w:szCs w:val="20"/>
          <w:lang w:val="uk-UA"/>
        </w:rPr>
        <w:t xml:space="preserve"> </w:t>
      </w:r>
      <w:r w:rsidR="00745D3A">
        <w:rPr>
          <w:sz w:val="20"/>
          <w:szCs w:val="20"/>
          <w:lang w:val="uk-UA"/>
        </w:rPr>
        <w:t>«</w:t>
      </w:r>
      <w:r w:rsidRPr="000E1E7C">
        <w:rPr>
          <w:sz w:val="20"/>
          <w:szCs w:val="20"/>
          <w:lang w:val="uk-UA"/>
        </w:rPr>
        <w:t>Generium</w:t>
      </w:r>
      <w:r w:rsidR="00745D3A">
        <w:rPr>
          <w:sz w:val="20"/>
          <w:szCs w:val="20"/>
          <w:lang w:val="uk-UA"/>
        </w:rPr>
        <w:t>»</w:t>
      </w:r>
      <w:r w:rsidRPr="000E1E7C">
        <w:rPr>
          <w:sz w:val="20"/>
          <w:szCs w:val="20"/>
          <w:lang w:val="uk-UA"/>
        </w:rPr>
        <w:t>, Російська Федерація) та C-TST (раніше відомий як тест ESAT6-CFP10, компані</w:t>
      </w:r>
      <w:r w:rsidR="00745D3A">
        <w:rPr>
          <w:sz w:val="20"/>
          <w:szCs w:val="20"/>
          <w:lang w:val="uk-UA"/>
        </w:rPr>
        <w:t>ї</w:t>
      </w:r>
      <w:r w:rsidRPr="000E1E7C">
        <w:rPr>
          <w:sz w:val="20"/>
          <w:szCs w:val="20"/>
          <w:lang w:val="uk-UA"/>
        </w:rPr>
        <w:t xml:space="preserve"> </w:t>
      </w:r>
      <w:r w:rsidR="00745D3A">
        <w:rPr>
          <w:sz w:val="20"/>
          <w:szCs w:val="20"/>
          <w:lang w:val="uk-UA"/>
        </w:rPr>
        <w:t>«</w:t>
      </w:r>
      <w:r w:rsidRPr="000E1E7C">
        <w:rPr>
          <w:sz w:val="20"/>
          <w:szCs w:val="20"/>
          <w:lang w:val="uk-UA"/>
        </w:rPr>
        <w:t>Anhui Zhifei Longcom</w:t>
      </w:r>
      <w:r w:rsidR="00745D3A">
        <w:rPr>
          <w:sz w:val="20"/>
          <w:szCs w:val="20"/>
          <w:lang w:val="uk-UA"/>
        </w:rPr>
        <w:t>»</w:t>
      </w:r>
      <w:r w:rsidRPr="000E1E7C">
        <w:rPr>
          <w:sz w:val="20"/>
          <w:szCs w:val="20"/>
          <w:lang w:val="uk-UA"/>
        </w:rPr>
        <w:t>, Китай).</w:t>
      </w:r>
      <w:r w:rsidR="00B01E0C" w:rsidRPr="00D518B3">
        <w:rPr>
          <w:sz w:val="20"/>
          <w:szCs w:val="20"/>
          <w:lang w:val="uk-UA"/>
        </w:rPr>
        <w:t xml:space="preserve"> </w:t>
      </w:r>
      <w:r w:rsidR="00A326F0" w:rsidRPr="00A326F0">
        <w:rPr>
          <w:sz w:val="20"/>
          <w:szCs w:val="20"/>
          <w:lang w:val="uk-UA"/>
        </w:rPr>
        <w:t xml:space="preserve">Усі тести використовують внутрішньошкірну ін'єкцію антигену і, як і тест </w:t>
      </w:r>
      <w:r w:rsidR="00D45FA2">
        <w:rPr>
          <w:sz w:val="20"/>
          <w:szCs w:val="20"/>
          <w:lang w:val="uk-UA"/>
        </w:rPr>
        <w:t>ТШП</w:t>
      </w:r>
      <w:r w:rsidR="00A326F0" w:rsidRPr="00A326F0">
        <w:rPr>
          <w:sz w:val="20"/>
          <w:szCs w:val="20"/>
          <w:lang w:val="uk-UA"/>
        </w:rPr>
        <w:t xml:space="preserve">, їх результати зчитуються через 48-72 години шляхом вимірювання ущільнення в міліметрах, використовуючи метод, запропонований Манту. Нові дані свідчать про те, що порівняно з АВГІ, тести можуть мати подібну специфічність і надавати більш достовірні результати у дітей та підлітків, а також у ЛЖВ, ніж тест </w:t>
      </w:r>
      <w:r w:rsidR="00D45FA2">
        <w:rPr>
          <w:sz w:val="20"/>
          <w:szCs w:val="20"/>
          <w:lang w:val="uk-UA"/>
        </w:rPr>
        <w:t>ТШП</w:t>
      </w:r>
      <w:r w:rsidR="00A326F0" w:rsidRPr="00A326F0">
        <w:rPr>
          <w:sz w:val="20"/>
          <w:szCs w:val="20"/>
          <w:lang w:val="uk-UA"/>
        </w:rPr>
        <w:t>. Однак не було проведено систематичного огляду доказових даних</w:t>
      </w:r>
      <w:r w:rsidR="00B01E0C" w:rsidRPr="00D518B3">
        <w:rPr>
          <w:sz w:val="20"/>
          <w:szCs w:val="20"/>
          <w:lang w:val="uk-UA"/>
        </w:rPr>
        <w:t>.</w:t>
      </w:r>
    </w:p>
    <w:p w14:paraId="4413B2AA" w14:textId="1EF3E0EE" w:rsidR="00DF6F29" w:rsidRPr="00D518B3" w:rsidRDefault="00A326F0" w:rsidP="00A326F0">
      <w:pPr>
        <w:pStyle w:val="a3"/>
        <w:spacing w:before="182" w:line="276" w:lineRule="auto"/>
        <w:ind w:left="567"/>
        <w:jc w:val="both"/>
        <w:rPr>
          <w:sz w:val="20"/>
          <w:szCs w:val="20"/>
          <w:lang w:val="uk-UA"/>
        </w:rPr>
      </w:pPr>
      <w:r w:rsidRPr="00A326F0">
        <w:rPr>
          <w:sz w:val="20"/>
          <w:szCs w:val="20"/>
          <w:lang w:val="uk-UA"/>
        </w:rPr>
        <w:t xml:space="preserve">У 2021 році ВООЗ замовила проведення систематичного огляду опублікованих і неопублікованих даних про цей новий клас тестів на інфекцію ТБ, які раніше не розглядалися ВООЗ. Систематичний огляд включав дані про діагностичну точність, безпеку, економічні аспекти та якісні докази </w:t>
      </w:r>
      <w:r w:rsidR="007276E6">
        <w:rPr>
          <w:sz w:val="20"/>
          <w:szCs w:val="20"/>
          <w:lang w:val="uk-UA"/>
        </w:rPr>
        <w:t xml:space="preserve">щодо </w:t>
      </w:r>
      <w:r w:rsidRPr="00A326F0">
        <w:rPr>
          <w:sz w:val="20"/>
          <w:szCs w:val="20"/>
          <w:lang w:val="uk-UA"/>
        </w:rPr>
        <w:t>реалізації, прийнятності, справедливості, цінності та уподобан</w:t>
      </w:r>
      <w:r w:rsidR="007276E6">
        <w:rPr>
          <w:sz w:val="20"/>
          <w:szCs w:val="20"/>
          <w:lang w:val="uk-UA"/>
        </w:rPr>
        <w:t>ь</w:t>
      </w:r>
      <w:r w:rsidRPr="00A326F0">
        <w:rPr>
          <w:sz w:val="20"/>
          <w:szCs w:val="20"/>
          <w:lang w:val="uk-UA"/>
        </w:rPr>
        <w:t xml:space="preserve"> кінцевих користувачів. У період 31 січня-3 лютого 2022 року ВООЗ скликала Групу з розробки настанов (ГРН) для обговорення результатів систематичних оглядів та вироблення рекомендацій щодо цього класу методів діагностики туберкульозної інфекції.</w:t>
      </w:r>
    </w:p>
    <w:p w14:paraId="79A5BA59" w14:textId="77777777" w:rsidR="00E05B98" w:rsidRPr="00D518B3" w:rsidRDefault="00E05B98" w:rsidP="00A326F0">
      <w:pPr>
        <w:pStyle w:val="a3"/>
        <w:spacing w:line="276" w:lineRule="auto"/>
        <w:jc w:val="both"/>
        <w:rPr>
          <w:sz w:val="20"/>
          <w:szCs w:val="20"/>
          <w:lang w:val="uk-UA"/>
        </w:rPr>
        <w:sectPr w:rsidR="00E05B98" w:rsidRPr="00D518B3" w:rsidSect="00A326F0">
          <w:footerReference w:type="even" r:id="rId196"/>
          <w:footerReference w:type="default" r:id="rId197"/>
          <w:pgSz w:w="11910" w:h="16840"/>
          <w:pgMar w:top="0" w:right="1137" w:bottom="760" w:left="850" w:header="0" w:footer="573" w:gutter="0"/>
          <w:pgNumType w:start="121"/>
          <w:cols w:space="720"/>
        </w:sectPr>
      </w:pPr>
    </w:p>
    <w:p w14:paraId="7EF62C60" w14:textId="6B54EC5E" w:rsidR="00E05B98" w:rsidRPr="00D518B3" w:rsidRDefault="00A326F0" w:rsidP="00A326F0">
      <w:pPr>
        <w:pStyle w:val="a3"/>
        <w:spacing w:before="147" w:line="276" w:lineRule="auto"/>
        <w:ind w:left="567"/>
        <w:jc w:val="both"/>
        <w:rPr>
          <w:sz w:val="20"/>
          <w:szCs w:val="20"/>
          <w:lang w:val="uk-UA"/>
        </w:rPr>
      </w:pPr>
      <w:r w:rsidRPr="00A326F0">
        <w:rPr>
          <w:sz w:val="20"/>
          <w:szCs w:val="20"/>
          <w:lang w:val="uk-UA"/>
        </w:rPr>
        <w:lastRenderedPageBreak/>
        <w:t>До оцінки були включені наступні технології:</w:t>
      </w:r>
    </w:p>
    <w:p w14:paraId="5246C361" w14:textId="77777777" w:rsidR="00A326F0" w:rsidRPr="00A326F0" w:rsidRDefault="00A326F0" w:rsidP="00A326F0">
      <w:pPr>
        <w:pStyle w:val="a4"/>
        <w:numPr>
          <w:ilvl w:val="0"/>
          <w:numId w:val="11"/>
        </w:numPr>
        <w:tabs>
          <w:tab w:val="left" w:pos="850"/>
        </w:tabs>
        <w:rPr>
          <w:sz w:val="20"/>
          <w:szCs w:val="20"/>
          <w:lang w:val="uk-UA"/>
        </w:rPr>
      </w:pPr>
      <w:r w:rsidRPr="00A326F0">
        <w:rPr>
          <w:sz w:val="20"/>
          <w:szCs w:val="20"/>
          <w:lang w:val="uk-UA"/>
        </w:rPr>
        <w:t>Cy-Tb (Інститут сироватки Індії, Індія);</w:t>
      </w:r>
    </w:p>
    <w:p w14:paraId="7FC24BC2" w14:textId="3897240A" w:rsidR="00A326F0" w:rsidRPr="00A326F0" w:rsidRDefault="00A326F0" w:rsidP="00A326F0">
      <w:pPr>
        <w:pStyle w:val="a4"/>
        <w:numPr>
          <w:ilvl w:val="0"/>
          <w:numId w:val="11"/>
        </w:numPr>
        <w:tabs>
          <w:tab w:val="left" w:pos="850"/>
        </w:tabs>
        <w:rPr>
          <w:sz w:val="20"/>
          <w:szCs w:val="20"/>
          <w:lang w:val="uk-UA"/>
        </w:rPr>
      </w:pPr>
      <w:r w:rsidRPr="00A326F0">
        <w:rPr>
          <w:sz w:val="20"/>
          <w:szCs w:val="20"/>
          <w:lang w:val="uk-UA"/>
        </w:rPr>
        <w:t>Діаскінтест (компанія «Генеріум», Російська Федерація); та</w:t>
      </w:r>
    </w:p>
    <w:p w14:paraId="5CD6AA7E" w14:textId="16CCE7A3" w:rsidR="00E05B98" w:rsidRPr="00D518B3" w:rsidRDefault="00A326F0" w:rsidP="00A326F0">
      <w:pPr>
        <w:pStyle w:val="a4"/>
        <w:numPr>
          <w:ilvl w:val="0"/>
          <w:numId w:val="11"/>
        </w:numPr>
        <w:tabs>
          <w:tab w:val="left" w:pos="850"/>
        </w:tabs>
        <w:jc w:val="left"/>
        <w:rPr>
          <w:sz w:val="20"/>
          <w:szCs w:val="20"/>
          <w:lang w:val="uk-UA"/>
        </w:rPr>
      </w:pPr>
      <w:r w:rsidRPr="00A326F0">
        <w:rPr>
          <w:sz w:val="20"/>
          <w:szCs w:val="20"/>
          <w:lang w:val="uk-UA"/>
        </w:rPr>
        <w:t xml:space="preserve">C-TST (раніше відомий як тест ESAT6-CFP10, компанія </w:t>
      </w:r>
      <w:r w:rsidR="007276E6">
        <w:rPr>
          <w:sz w:val="20"/>
          <w:szCs w:val="20"/>
          <w:lang w:val="uk-UA"/>
        </w:rPr>
        <w:t>«</w:t>
      </w:r>
      <w:r w:rsidRPr="00A326F0">
        <w:rPr>
          <w:sz w:val="20"/>
          <w:szCs w:val="20"/>
          <w:lang w:val="uk-UA"/>
        </w:rPr>
        <w:t>Anhui Zhifei Longcom</w:t>
      </w:r>
      <w:r w:rsidR="007276E6">
        <w:rPr>
          <w:sz w:val="20"/>
          <w:szCs w:val="20"/>
          <w:lang w:val="uk-UA"/>
        </w:rPr>
        <w:t>»</w:t>
      </w:r>
      <w:r w:rsidRPr="00A326F0">
        <w:rPr>
          <w:sz w:val="20"/>
          <w:szCs w:val="20"/>
          <w:lang w:val="uk-UA"/>
        </w:rPr>
        <w:t>, Китай)</w:t>
      </w:r>
      <w:r>
        <w:rPr>
          <w:sz w:val="20"/>
          <w:szCs w:val="20"/>
          <w:lang w:val="uk-UA"/>
        </w:rPr>
        <w:t>.</w:t>
      </w:r>
    </w:p>
    <w:p w14:paraId="32578ED9" w14:textId="77777777" w:rsidR="00E05B98" w:rsidRPr="00D518B3" w:rsidRDefault="00E05B98">
      <w:pPr>
        <w:pStyle w:val="a3"/>
        <w:spacing w:before="107"/>
        <w:rPr>
          <w:sz w:val="20"/>
          <w:szCs w:val="20"/>
          <w:lang w:val="uk-UA"/>
        </w:rPr>
      </w:pPr>
    </w:p>
    <w:p w14:paraId="640FE3F6" w14:textId="0414D158" w:rsidR="00E05B98" w:rsidRPr="00DF6F29" w:rsidRDefault="00DF6F29">
      <w:pPr>
        <w:pStyle w:val="6"/>
        <w:spacing w:before="1"/>
        <w:jc w:val="both"/>
        <w:rPr>
          <w:sz w:val="20"/>
          <w:szCs w:val="20"/>
          <w:lang w:val="ru-RU"/>
        </w:rPr>
      </w:pPr>
      <w:r>
        <w:rPr>
          <w:color w:val="636466"/>
          <w:spacing w:val="-2"/>
          <w:sz w:val="20"/>
          <w:szCs w:val="20"/>
          <w:lang w:val="uk-UA"/>
        </w:rPr>
        <w:t>Табли</w:t>
      </w:r>
      <w:r w:rsidR="007276E6">
        <w:rPr>
          <w:color w:val="636466"/>
          <w:spacing w:val="-2"/>
          <w:sz w:val="20"/>
          <w:szCs w:val="20"/>
          <w:lang w:val="uk-UA"/>
        </w:rPr>
        <w:t>ц</w:t>
      </w:r>
      <w:r>
        <w:rPr>
          <w:color w:val="636466"/>
          <w:spacing w:val="-2"/>
          <w:sz w:val="20"/>
          <w:szCs w:val="20"/>
          <w:lang w:val="uk-UA"/>
        </w:rPr>
        <w:t>я</w:t>
      </w:r>
      <w:r w:rsidR="00B01E0C" w:rsidRPr="00D518B3">
        <w:rPr>
          <w:color w:val="636466"/>
          <w:spacing w:val="-12"/>
          <w:sz w:val="20"/>
          <w:szCs w:val="20"/>
          <w:lang w:val="uk-UA"/>
        </w:rPr>
        <w:t xml:space="preserve"> </w:t>
      </w:r>
      <w:r w:rsidR="00B01E0C" w:rsidRPr="00D518B3">
        <w:rPr>
          <w:color w:val="636466"/>
          <w:spacing w:val="-2"/>
          <w:sz w:val="20"/>
          <w:szCs w:val="20"/>
          <w:lang w:val="uk-UA"/>
        </w:rPr>
        <w:t>3.1.1</w:t>
      </w:r>
      <w:r w:rsidR="00B01E0C" w:rsidRPr="00D518B3">
        <w:rPr>
          <w:color w:val="636466"/>
          <w:spacing w:val="-11"/>
          <w:sz w:val="20"/>
          <w:szCs w:val="20"/>
          <w:lang w:val="uk-UA"/>
        </w:rPr>
        <w:t xml:space="preserve"> </w:t>
      </w:r>
      <w:r>
        <w:rPr>
          <w:color w:val="636466"/>
          <w:spacing w:val="-11"/>
          <w:sz w:val="20"/>
          <w:szCs w:val="20"/>
          <w:lang w:val="uk-UA"/>
        </w:rPr>
        <w:t xml:space="preserve">Запитання </w:t>
      </w:r>
      <w:r w:rsidR="00B01E0C" w:rsidRPr="00D518B3">
        <w:rPr>
          <w:color w:val="636466"/>
          <w:spacing w:val="-2"/>
          <w:sz w:val="20"/>
          <w:szCs w:val="20"/>
          <w:lang w:val="uk-UA"/>
        </w:rPr>
        <w:t>PICO</w:t>
      </w:r>
      <w:r w:rsidR="00B01E0C" w:rsidRPr="00D518B3">
        <w:rPr>
          <w:color w:val="636466"/>
          <w:spacing w:val="-11"/>
          <w:sz w:val="20"/>
          <w:szCs w:val="20"/>
          <w:lang w:val="uk-UA"/>
        </w:rPr>
        <w:t xml:space="preserve"> </w:t>
      </w:r>
      <w:r>
        <w:rPr>
          <w:color w:val="636466"/>
          <w:spacing w:val="-2"/>
          <w:sz w:val="20"/>
          <w:szCs w:val="20"/>
          <w:lang w:val="uk-UA"/>
        </w:rPr>
        <w:t>для оцінки</w:t>
      </w:r>
      <w:r w:rsidR="00B01E0C" w:rsidRPr="00D518B3">
        <w:rPr>
          <w:color w:val="636466"/>
          <w:spacing w:val="-11"/>
          <w:sz w:val="20"/>
          <w:szCs w:val="20"/>
          <w:lang w:val="uk-UA"/>
        </w:rPr>
        <w:t xml:space="preserve"> </w:t>
      </w:r>
      <w:r>
        <w:rPr>
          <w:color w:val="636466"/>
          <w:spacing w:val="-11"/>
          <w:sz w:val="20"/>
          <w:szCs w:val="20"/>
          <w:lang w:val="uk-UA"/>
        </w:rPr>
        <w:t xml:space="preserve">шкірного тесту на основі антигену </w:t>
      </w:r>
      <w:r w:rsidRPr="00DF6F29">
        <w:rPr>
          <w:i/>
          <w:iCs/>
          <w:color w:val="636466"/>
          <w:spacing w:val="-2"/>
          <w:sz w:val="20"/>
          <w:szCs w:val="20"/>
        </w:rPr>
        <w:t>Mtb</w:t>
      </w:r>
    </w:p>
    <w:p w14:paraId="50A938FF" w14:textId="77777777" w:rsidR="00E05B98" w:rsidRPr="00D518B3" w:rsidRDefault="00E05B98">
      <w:pPr>
        <w:pStyle w:val="a3"/>
        <w:spacing w:before="1"/>
        <w:rPr>
          <w:rFonts w:ascii="Arial"/>
          <w:b/>
          <w:sz w:val="20"/>
          <w:szCs w:val="20"/>
          <w:lang w:val="uk-UA"/>
        </w:rPr>
      </w:pPr>
    </w:p>
    <w:tbl>
      <w:tblPr>
        <w:tblStyle w:val="TableNormal"/>
        <w:tblW w:w="9341" w:type="dxa"/>
        <w:tblInd w:w="577" w:type="dxa"/>
        <w:tblBorders>
          <w:top w:val="single" w:sz="4" w:space="0" w:color="019648"/>
          <w:left w:val="single" w:sz="4" w:space="0" w:color="019648"/>
          <w:bottom w:val="single" w:sz="4" w:space="0" w:color="019648"/>
          <w:right w:val="single" w:sz="4" w:space="0" w:color="019648"/>
          <w:insideH w:val="single" w:sz="4" w:space="0" w:color="019648"/>
          <w:insideV w:val="single" w:sz="4" w:space="0" w:color="019648"/>
        </w:tblBorders>
        <w:tblLayout w:type="fixed"/>
        <w:tblLook w:val="01E0" w:firstRow="1" w:lastRow="1" w:firstColumn="1" w:lastColumn="1" w:noHBand="0" w:noVBand="0"/>
      </w:tblPr>
      <w:tblGrid>
        <w:gridCol w:w="3567"/>
        <w:gridCol w:w="1620"/>
        <w:gridCol w:w="1620"/>
        <w:gridCol w:w="2534"/>
      </w:tblGrid>
      <w:tr w:rsidR="00E05B98" w:rsidRPr="00DF6F29" w14:paraId="5E764A99" w14:textId="77777777" w:rsidTr="00DF6F29">
        <w:trPr>
          <w:trHeight w:val="435"/>
        </w:trPr>
        <w:tc>
          <w:tcPr>
            <w:tcW w:w="3567" w:type="dxa"/>
            <w:tcBorders>
              <w:bottom w:val="single" w:sz="6" w:space="0" w:color="019648"/>
              <w:right w:val="single" w:sz="6" w:space="0" w:color="019648"/>
            </w:tcBorders>
            <w:shd w:val="clear" w:color="auto" w:fill="62A86B"/>
          </w:tcPr>
          <w:p w14:paraId="06FC664E" w14:textId="3069D143" w:rsidR="00E05B98" w:rsidRPr="00DF6F29" w:rsidRDefault="00DF6F29">
            <w:pPr>
              <w:pStyle w:val="TableParagraph"/>
              <w:spacing w:before="100"/>
              <w:ind w:left="138"/>
              <w:rPr>
                <w:rFonts w:ascii="Arial" w:hAnsi="Arial" w:cs="Arial"/>
                <w:b/>
                <w:sz w:val="20"/>
                <w:szCs w:val="20"/>
                <w:lang w:val="uk-UA"/>
              </w:rPr>
            </w:pPr>
            <w:r w:rsidRPr="00DF6F29">
              <w:rPr>
                <w:rFonts w:ascii="Arial" w:hAnsi="Arial" w:cs="Arial"/>
                <w:b/>
                <w:color w:val="FFFFFF"/>
                <w:spacing w:val="-2"/>
                <w:sz w:val="20"/>
                <w:szCs w:val="20"/>
                <w:lang w:val="uk-UA"/>
              </w:rPr>
              <w:t>Популяція</w:t>
            </w:r>
          </w:p>
        </w:tc>
        <w:tc>
          <w:tcPr>
            <w:tcW w:w="1620" w:type="dxa"/>
            <w:tcBorders>
              <w:left w:val="single" w:sz="6" w:space="0" w:color="019648"/>
              <w:bottom w:val="single" w:sz="6" w:space="0" w:color="019648"/>
              <w:right w:val="single" w:sz="6" w:space="0" w:color="019648"/>
            </w:tcBorders>
            <w:shd w:val="clear" w:color="auto" w:fill="62A86B"/>
          </w:tcPr>
          <w:p w14:paraId="1BED85BF" w14:textId="60CF258B" w:rsidR="00E05B98" w:rsidRPr="00DF6F29" w:rsidRDefault="00DF6F29">
            <w:pPr>
              <w:pStyle w:val="TableParagraph"/>
              <w:spacing w:before="100"/>
              <w:ind w:left="135"/>
              <w:rPr>
                <w:rFonts w:ascii="Arial" w:hAnsi="Arial" w:cs="Arial"/>
                <w:b/>
                <w:sz w:val="20"/>
                <w:szCs w:val="20"/>
                <w:lang w:val="uk-UA"/>
              </w:rPr>
            </w:pPr>
            <w:r w:rsidRPr="00DF6F29">
              <w:rPr>
                <w:rFonts w:ascii="Arial" w:hAnsi="Arial" w:cs="Arial"/>
                <w:b/>
                <w:color w:val="FFFFFF"/>
                <w:spacing w:val="-2"/>
                <w:w w:val="105"/>
                <w:sz w:val="20"/>
                <w:szCs w:val="20"/>
                <w:lang w:val="uk-UA"/>
              </w:rPr>
              <w:t>Інтервенція</w:t>
            </w:r>
          </w:p>
        </w:tc>
        <w:tc>
          <w:tcPr>
            <w:tcW w:w="1620" w:type="dxa"/>
            <w:tcBorders>
              <w:left w:val="single" w:sz="6" w:space="0" w:color="019648"/>
              <w:bottom w:val="single" w:sz="6" w:space="0" w:color="019648"/>
              <w:right w:val="single" w:sz="6" w:space="0" w:color="019648"/>
            </w:tcBorders>
            <w:shd w:val="clear" w:color="auto" w:fill="62A86B"/>
          </w:tcPr>
          <w:p w14:paraId="0230A7D6" w14:textId="62DAC7B6" w:rsidR="00E05B98" w:rsidRPr="00DF6F29" w:rsidRDefault="00DF6F29">
            <w:pPr>
              <w:pStyle w:val="TableParagraph"/>
              <w:spacing w:before="100"/>
              <w:ind w:left="135"/>
              <w:rPr>
                <w:rFonts w:ascii="Arial" w:hAnsi="Arial" w:cs="Arial"/>
                <w:b/>
                <w:sz w:val="20"/>
                <w:szCs w:val="20"/>
                <w:lang w:val="uk-UA"/>
              </w:rPr>
            </w:pPr>
            <w:r w:rsidRPr="00DF6F29">
              <w:rPr>
                <w:rFonts w:ascii="Arial" w:hAnsi="Arial" w:cs="Arial"/>
                <w:b/>
                <w:color w:val="FFFFFF"/>
                <w:spacing w:val="-2"/>
                <w:sz w:val="20"/>
                <w:szCs w:val="20"/>
                <w:lang w:val="uk-UA"/>
              </w:rPr>
              <w:t>Тест порівнянн</w:t>
            </w:r>
            <w:r>
              <w:rPr>
                <w:rFonts w:ascii="Arial" w:hAnsi="Arial" w:cs="Arial"/>
                <w:b/>
                <w:color w:val="FFFFFF"/>
                <w:spacing w:val="-2"/>
                <w:sz w:val="20"/>
                <w:szCs w:val="20"/>
                <w:lang w:val="uk-UA"/>
              </w:rPr>
              <w:t>я</w:t>
            </w:r>
          </w:p>
        </w:tc>
        <w:tc>
          <w:tcPr>
            <w:tcW w:w="2534" w:type="dxa"/>
            <w:tcBorders>
              <w:left w:val="single" w:sz="6" w:space="0" w:color="019648"/>
              <w:bottom w:val="single" w:sz="6" w:space="0" w:color="019648"/>
              <w:right w:val="single" w:sz="6" w:space="0" w:color="019648"/>
            </w:tcBorders>
            <w:shd w:val="clear" w:color="auto" w:fill="62A86B"/>
          </w:tcPr>
          <w:p w14:paraId="1FA3801B" w14:textId="45784886" w:rsidR="00E05B98" w:rsidRPr="00DF6F29" w:rsidRDefault="00DF6F29">
            <w:pPr>
              <w:pStyle w:val="TableParagraph"/>
              <w:spacing w:before="100"/>
              <w:ind w:left="135"/>
              <w:rPr>
                <w:rFonts w:ascii="Arial" w:hAnsi="Arial" w:cs="Arial"/>
                <w:b/>
                <w:sz w:val="20"/>
                <w:szCs w:val="20"/>
                <w:lang w:val="uk-UA"/>
              </w:rPr>
            </w:pPr>
            <w:r>
              <w:rPr>
                <w:rFonts w:ascii="Arial" w:hAnsi="Arial" w:cs="Arial"/>
                <w:b/>
                <w:color w:val="FFFFFF"/>
                <w:spacing w:val="-2"/>
                <w:sz w:val="20"/>
                <w:szCs w:val="20"/>
                <w:lang w:val="uk-UA"/>
              </w:rPr>
              <w:t>Результат</w:t>
            </w:r>
          </w:p>
        </w:tc>
      </w:tr>
      <w:tr w:rsidR="00E05B98" w:rsidRPr="00D029FF" w14:paraId="0942A095" w14:textId="77777777" w:rsidTr="00DF6F29">
        <w:trPr>
          <w:trHeight w:val="8783"/>
        </w:trPr>
        <w:tc>
          <w:tcPr>
            <w:tcW w:w="3567" w:type="dxa"/>
            <w:tcBorders>
              <w:top w:val="single" w:sz="6" w:space="0" w:color="019648"/>
              <w:left w:val="nil"/>
              <w:bottom w:val="single" w:sz="6" w:space="0" w:color="019648"/>
              <w:right w:val="nil"/>
            </w:tcBorders>
          </w:tcPr>
          <w:p w14:paraId="7B18C8AA" w14:textId="207CA78A" w:rsidR="00E05B98" w:rsidRPr="00D518B3" w:rsidRDefault="00A326F0">
            <w:pPr>
              <w:pStyle w:val="TableParagraph"/>
              <w:numPr>
                <w:ilvl w:val="0"/>
                <w:numId w:val="10"/>
              </w:numPr>
              <w:tabs>
                <w:tab w:val="left" w:pos="289"/>
              </w:tabs>
              <w:ind w:left="289" w:hanging="169"/>
              <w:rPr>
                <w:sz w:val="20"/>
                <w:szCs w:val="20"/>
                <w:lang w:val="uk-UA"/>
              </w:rPr>
            </w:pPr>
            <w:r>
              <w:rPr>
                <w:spacing w:val="-2"/>
                <w:sz w:val="20"/>
                <w:szCs w:val="20"/>
                <w:lang w:val="uk-UA"/>
              </w:rPr>
              <w:t>ЛЖВ</w:t>
            </w:r>
          </w:p>
          <w:p w14:paraId="00D70FFB" w14:textId="2BDBC086" w:rsidR="00E05B98" w:rsidRPr="00D518B3" w:rsidRDefault="00A326F0">
            <w:pPr>
              <w:pStyle w:val="TableParagraph"/>
              <w:numPr>
                <w:ilvl w:val="0"/>
                <w:numId w:val="10"/>
              </w:numPr>
              <w:tabs>
                <w:tab w:val="left" w:pos="289"/>
              </w:tabs>
              <w:spacing w:before="96"/>
              <w:ind w:left="289" w:hanging="169"/>
              <w:rPr>
                <w:sz w:val="20"/>
                <w:szCs w:val="20"/>
                <w:lang w:val="uk-UA"/>
              </w:rPr>
            </w:pPr>
            <w:r>
              <w:rPr>
                <w:sz w:val="20"/>
                <w:szCs w:val="20"/>
                <w:lang w:val="uk-UA"/>
              </w:rPr>
              <w:t>Діти віком</w:t>
            </w:r>
            <w:r w:rsidR="00B01E0C" w:rsidRPr="00D518B3">
              <w:rPr>
                <w:spacing w:val="-4"/>
                <w:sz w:val="20"/>
                <w:szCs w:val="20"/>
                <w:lang w:val="uk-UA"/>
              </w:rPr>
              <w:t xml:space="preserve"> </w:t>
            </w:r>
            <w:r w:rsidR="00B01E0C" w:rsidRPr="00D518B3">
              <w:rPr>
                <w:sz w:val="20"/>
                <w:szCs w:val="20"/>
                <w:lang w:val="uk-UA"/>
              </w:rPr>
              <w:t>&lt;5</w:t>
            </w:r>
            <w:r w:rsidR="00B01E0C" w:rsidRPr="00D518B3">
              <w:rPr>
                <w:spacing w:val="-3"/>
                <w:sz w:val="20"/>
                <w:szCs w:val="20"/>
                <w:lang w:val="uk-UA"/>
              </w:rPr>
              <w:t xml:space="preserve"> </w:t>
            </w:r>
            <w:r>
              <w:rPr>
                <w:spacing w:val="-2"/>
                <w:sz w:val="20"/>
                <w:szCs w:val="20"/>
                <w:lang w:val="uk-UA"/>
              </w:rPr>
              <w:t>років</w:t>
            </w:r>
          </w:p>
          <w:p w14:paraId="558CCB27" w14:textId="63D00456" w:rsidR="00E05B98" w:rsidRPr="00D518B3" w:rsidRDefault="00BF385A">
            <w:pPr>
              <w:pStyle w:val="TableParagraph"/>
              <w:numPr>
                <w:ilvl w:val="0"/>
                <w:numId w:val="10"/>
              </w:numPr>
              <w:tabs>
                <w:tab w:val="left" w:pos="288"/>
                <w:tab w:val="left" w:pos="290"/>
              </w:tabs>
              <w:spacing w:before="95" w:line="249" w:lineRule="auto"/>
              <w:ind w:right="643"/>
              <w:rPr>
                <w:sz w:val="20"/>
                <w:szCs w:val="20"/>
                <w:lang w:val="uk-UA"/>
              </w:rPr>
            </w:pPr>
            <w:r w:rsidRPr="00BF385A">
              <w:rPr>
                <w:sz w:val="20"/>
                <w:szCs w:val="20"/>
                <w:lang w:val="uk-UA"/>
              </w:rPr>
              <w:t>Побутові та інші близькі контакти</w:t>
            </w:r>
          </w:p>
          <w:p w14:paraId="155A6F23" w14:textId="2DFA95A1" w:rsidR="00E05B98" w:rsidRPr="00D518B3" w:rsidRDefault="00BF385A">
            <w:pPr>
              <w:pStyle w:val="TableParagraph"/>
              <w:numPr>
                <w:ilvl w:val="0"/>
                <w:numId w:val="10"/>
              </w:numPr>
              <w:tabs>
                <w:tab w:val="left" w:pos="289"/>
              </w:tabs>
              <w:spacing w:before="87"/>
              <w:ind w:left="289" w:hanging="169"/>
              <w:rPr>
                <w:sz w:val="20"/>
                <w:szCs w:val="20"/>
                <w:lang w:val="uk-UA"/>
              </w:rPr>
            </w:pPr>
            <w:r>
              <w:rPr>
                <w:sz w:val="20"/>
                <w:szCs w:val="20"/>
                <w:lang w:val="uk-UA"/>
              </w:rPr>
              <w:t>Інші групи ризику</w:t>
            </w:r>
            <w:r w:rsidR="00B01E0C" w:rsidRPr="00D518B3">
              <w:rPr>
                <w:spacing w:val="-2"/>
                <w:sz w:val="20"/>
                <w:szCs w:val="20"/>
                <w:lang w:val="uk-UA"/>
              </w:rPr>
              <w:t>:</w:t>
            </w:r>
          </w:p>
          <w:p w14:paraId="49665A18" w14:textId="14EDC685" w:rsidR="00E05B98" w:rsidRPr="00D518B3" w:rsidRDefault="00622D0C">
            <w:pPr>
              <w:pStyle w:val="TableParagraph"/>
              <w:numPr>
                <w:ilvl w:val="0"/>
                <w:numId w:val="10"/>
              </w:numPr>
              <w:tabs>
                <w:tab w:val="left" w:pos="288"/>
                <w:tab w:val="left" w:pos="290"/>
              </w:tabs>
              <w:spacing w:before="96" w:line="249" w:lineRule="auto"/>
              <w:ind w:right="211"/>
              <w:rPr>
                <w:sz w:val="20"/>
                <w:szCs w:val="20"/>
                <w:lang w:val="uk-UA"/>
              </w:rPr>
            </w:pPr>
            <w:r>
              <w:rPr>
                <w:sz w:val="20"/>
                <w:szCs w:val="20"/>
                <w:lang w:val="uk-UA"/>
              </w:rPr>
              <w:t>Особи</w:t>
            </w:r>
            <w:r w:rsidR="00765D2A">
              <w:rPr>
                <w:sz w:val="20"/>
                <w:szCs w:val="20"/>
                <w:lang w:val="uk-UA"/>
              </w:rPr>
              <w:t xml:space="preserve"> </w:t>
            </w:r>
            <w:r>
              <w:rPr>
                <w:sz w:val="20"/>
                <w:szCs w:val="20"/>
                <w:lang w:val="uk-UA"/>
              </w:rPr>
              <w:t xml:space="preserve">з </w:t>
            </w:r>
            <w:r w:rsidR="00765D2A">
              <w:rPr>
                <w:sz w:val="20"/>
                <w:szCs w:val="20"/>
                <w:lang w:val="uk-UA"/>
              </w:rPr>
              <w:t>о</w:t>
            </w:r>
            <w:r w:rsidR="00765D2A" w:rsidRPr="00765D2A">
              <w:rPr>
                <w:sz w:val="20"/>
                <w:szCs w:val="20"/>
                <w:lang w:val="uk-UA"/>
              </w:rPr>
              <w:t>слаблени</w:t>
            </w:r>
            <w:r w:rsidR="00765D2A">
              <w:rPr>
                <w:sz w:val="20"/>
                <w:szCs w:val="20"/>
                <w:lang w:val="uk-UA"/>
              </w:rPr>
              <w:t>м</w:t>
            </w:r>
            <w:r w:rsidR="00765D2A" w:rsidRPr="00765D2A">
              <w:rPr>
                <w:sz w:val="20"/>
                <w:szCs w:val="20"/>
                <w:lang w:val="uk-UA"/>
              </w:rPr>
              <w:t xml:space="preserve"> імунітет</w:t>
            </w:r>
            <w:r w:rsidR="00765D2A">
              <w:rPr>
                <w:sz w:val="20"/>
                <w:szCs w:val="20"/>
                <w:lang w:val="uk-UA"/>
              </w:rPr>
              <w:t>ом</w:t>
            </w:r>
            <w:r w:rsidR="00765D2A" w:rsidRPr="00765D2A">
              <w:rPr>
                <w:sz w:val="20"/>
                <w:szCs w:val="20"/>
                <w:lang w:val="uk-UA"/>
              </w:rPr>
              <w:t xml:space="preserve"> (напр</w:t>
            </w:r>
            <w:r>
              <w:rPr>
                <w:sz w:val="20"/>
                <w:szCs w:val="20"/>
                <w:lang w:val="uk-UA"/>
              </w:rPr>
              <w:t>.</w:t>
            </w:r>
            <w:r w:rsidR="00765D2A" w:rsidRPr="00765D2A">
              <w:rPr>
                <w:sz w:val="20"/>
                <w:szCs w:val="20"/>
                <w:lang w:val="uk-UA"/>
              </w:rPr>
              <w:t xml:space="preserve">, особи, які отримують лікування </w:t>
            </w:r>
            <w:r w:rsidR="00CE4B93" w:rsidRPr="00765D2A">
              <w:rPr>
                <w:sz w:val="20"/>
                <w:szCs w:val="20"/>
                <w:lang w:val="uk-UA"/>
              </w:rPr>
              <w:t>антагоністами</w:t>
            </w:r>
            <w:r w:rsidR="00765D2A" w:rsidRPr="00765D2A">
              <w:rPr>
                <w:sz w:val="20"/>
                <w:szCs w:val="20"/>
                <w:lang w:val="uk-UA"/>
              </w:rPr>
              <w:t xml:space="preserve"> фактора некроза пу</w:t>
            </w:r>
            <w:r w:rsidR="007276E6">
              <w:rPr>
                <w:sz w:val="20"/>
                <w:szCs w:val="20"/>
                <w:lang w:val="uk-UA"/>
              </w:rPr>
              <w:t>х</w:t>
            </w:r>
            <w:r w:rsidR="00765D2A" w:rsidRPr="00765D2A">
              <w:rPr>
                <w:sz w:val="20"/>
                <w:szCs w:val="20"/>
                <w:lang w:val="uk-UA"/>
              </w:rPr>
              <w:t>лини альфа [anti-TNF-α])</w:t>
            </w:r>
          </w:p>
          <w:p w14:paraId="769B3663" w14:textId="23C07B62" w:rsidR="00E05B98" w:rsidRPr="00D518B3" w:rsidRDefault="00622D0C">
            <w:pPr>
              <w:pStyle w:val="TableParagraph"/>
              <w:numPr>
                <w:ilvl w:val="1"/>
                <w:numId w:val="10"/>
              </w:numPr>
              <w:tabs>
                <w:tab w:val="left" w:pos="500"/>
              </w:tabs>
              <w:spacing w:before="80" w:line="249" w:lineRule="auto"/>
              <w:ind w:right="240"/>
              <w:rPr>
                <w:sz w:val="20"/>
                <w:szCs w:val="20"/>
                <w:lang w:val="uk-UA"/>
              </w:rPr>
            </w:pPr>
            <w:r w:rsidRPr="00622D0C">
              <w:rPr>
                <w:w w:val="105"/>
                <w:sz w:val="20"/>
                <w:szCs w:val="20"/>
                <w:lang w:val="uk-UA"/>
              </w:rPr>
              <w:t>або отримують діаліз; особи, які проходять підготовку до трансплантації органів або гематологічної трансплантації; пацієнти із силікозом; вагітні жінки; або особи, які погано харчуються, страждають на цукровий діабет, вживають стероїди або курять тютюн)</w:t>
            </w:r>
          </w:p>
          <w:p w14:paraId="3B8274D8" w14:textId="3711BCC8" w:rsidR="00E05B98" w:rsidRPr="00D518B3" w:rsidRDefault="00622D0C">
            <w:pPr>
              <w:pStyle w:val="TableParagraph"/>
              <w:numPr>
                <w:ilvl w:val="1"/>
                <w:numId w:val="10"/>
              </w:numPr>
              <w:tabs>
                <w:tab w:val="left" w:pos="500"/>
              </w:tabs>
              <w:spacing w:before="88" w:line="249" w:lineRule="auto"/>
              <w:ind w:right="104"/>
              <w:rPr>
                <w:sz w:val="20"/>
                <w:szCs w:val="20"/>
                <w:lang w:val="uk-UA"/>
              </w:rPr>
            </w:pPr>
            <w:r w:rsidRPr="00622D0C">
              <w:rPr>
                <w:sz w:val="20"/>
                <w:szCs w:val="20"/>
                <w:lang w:val="uk-UA"/>
              </w:rPr>
              <w:t xml:space="preserve">Особи з високим ризиком попереднього контакту з випадками ТБ (напр., ув'язнені, медичні працівники, іммігранти з країн з високим тягарем ТБ, особи з </w:t>
            </w:r>
            <w:r w:rsidR="00DB4AD8">
              <w:rPr>
                <w:sz w:val="20"/>
                <w:szCs w:val="20"/>
                <w:lang w:val="uk-UA"/>
              </w:rPr>
              <w:t xml:space="preserve">проявом відхилення від норми на </w:t>
            </w:r>
            <w:r w:rsidRPr="00622D0C">
              <w:rPr>
                <w:sz w:val="20"/>
                <w:szCs w:val="20"/>
                <w:lang w:val="uk-UA"/>
              </w:rPr>
              <w:t xml:space="preserve"> РОГК, бездомні та люди, які вживають наркотики, а також мешканці районів з високим тягарем ТБ)</w:t>
            </w:r>
            <w:r w:rsidR="00B01E0C" w:rsidRPr="00D518B3">
              <w:rPr>
                <w:sz w:val="20"/>
                <w:szCs w:val="20"/>
                <w:vertAlign w:val="superscript"/>
                <w:lang w:val="uk-UA"/>
              </w:rPr>
              <w:t>a</w:t>
            </w:r>
          </w:p>
          <w:p w14:paraId="16C94622" w14:textId="0CAE463A" w:rsidR="00E05B98" w:rsidRPr="00D518B3" w:rsidRDefault="00622D0C" w:rsidP="00622D0C">
            <w:pPr>
              <w:pStyle w:val="TableParagraph"/>
              <w:numPr>
                <w:ilvl w:val="0"/>
                <w:numId w:val="10"/>
              </w:numPr>
              <w:tabs>
                <w:tab w:val="left" w:pos="288"/>
                <w:tab w:val="left" w:pos="290"/>
              </w:tabs>
              <w:spacing w:before="91" w:line="249" w:lineRule="auto"/>
              <w:ind w:right="181"/>
              <w:rPr>
                <w:sz w:val="20"/>
                <w:szCs w:val="20"/>
                <w:lang w:val="uk-UA"/>
              </w:rPr>
            </w:pPr>
            <w:r w:rsidRPr="00622D0C">
              <w:rPr>
                <w:sz w:val="20"/>
                <w:szCs w:val="20"/>
                <w:lang w:val="uk-UA"/>
              </w:rPr>
              <w:t>Особи щеплені БЦЖ на противагу невакциновани</w:t>
            </w:r>
            <w:r w:rsidR="007276E6">
              <w:rPr>
                <w:sz w:val="20"/>
                <w:szCs w:val="20"/>
                <w:lang w:val="uk-UA"/>
              </w:rPr>
              <w:t>м</w:t>
            </w:r>
            <w:r w:rsidRPr="00622D0C">
              <w:rPr>
                <w:sz w:val="20"/>
                <w:szCs w:val="20"/>
                <w:lang w:val="uk-UA"/>
              </w:rPr>
              <w:t xml:space="preserve"> (у ви</w:t>
            </w:r>
            <w:r w:rsidR="00DB4AD8">
              <w:rPr>
                <w:sz w:val="20"/>
                <w:szCs w:val="20"/>
                <w:lang w:val="uk-UA"/>
              </w:rPr>
              <w:t>явле</w:t>
            </w:r>
            <w:r w:rsidRPr="00622D0C">
              <w:rPr>
                <w:sz w:val="20"/>
                <w:szCs w:val="20"/>
                <w:lang w:val="uk-UA"/>
              </w:rPr>
              <w:t>них групах ризику інфікування ТБ – стратифікован</w:t>
            </w:r>
            <w:r w:rsidR="00DB4AD8">
              <w:rPr>
                <w:sz w:val="20"/>
                <w:szCs w:val="20"/>
                <w:lang w:val="uk-UA"/>
              </w:rPr>
              <w:t>их</w:t>
            </w:r>
            <w:r w:rsidRPr="00622D0C">
              <w:rPr>
                <w:sz w:val="20"/>
                <w:szCs w:val="20"/>
                <w:lang w:val="uk-UA"/>
              </w:rPr>
              <w:t xml:space="preserve"> або </w:t>
            </w:r>
            <w:r w:rsidR="00DB4AD8">
              <w:rPr>
                <w:sz w:val="20"/>
                <w:szCs w:val="20"/>
                <w:lang w:val="uk-UA"/>
              </w:rPr>
              <w:t xml:space="preserve">в </w:t>
            </w:r>
            <w:r w:rsidRPr="00622D0C">
              <w:rPr>
                <w:sz w:val="20"/>
                <w:szCs w:val="20"/>
                <w:lang w:val="uk-UA"/>
              </w:rPr>
              <w:t>комбін</w:t>
            </w:r>
            <w:r w:rsidR="00D70499">
              <w:rPr>
                <w:sz w:val="20"/>
                <w:szCs w:val="20"/>
                <w:lang w:val="uk-UA"/>
              </w:rPr>
              <w:t>а</w:t>
            </w:r>
            <w:r w:rsidR="00DB4AD8">
              <w:rPr>
                <w:sz w:val="20"/>
                <w:szCs w:val="20"/>
                <w:lang w:val="uk-UA"/>
              </w:rPr>
              <w:t>ції</w:t>
            </w:r>
            <w:r w:rsidRPr="00622D0C">
              <w:rPr>
                <w:sz w:val="20"/>
                <w:szCs w:val="20"/>
                <w:lang w:val="uk-UA"/>
              </w:rPr>
              <w:t>, залежно від обставин)</w:t>
            </w:r>
          </w:p>
        </w:tc>
        <w:tc>
          <w:tcPr>
            <w:tcW w:w="1620" w:type="dxa"/>
            <w:tcBorders>
              <w:top w:val="single" w:sz="6" w:space="0" w:color="019648"/>
              <w:left w:val="nil"/>
              <w:bottom w:val="single" w:sz="6" w:space="0" w:color="019648"/>
              <w:right w:val="nil"/>
            </w:tcBorders>
          </w:tcPr>
          <w:p w14:paraId="42943AA7" w14:textId="1629528D" w:rsidR="00E05B98" w:rsidRPr="00D518B3" w:rsidRDefault="007276E6">
            <w:pPr>
              <w:pStyle w:val="TableParagraph"/>
              <w:numPr>
                <w:ilvl w:val="0"/>
                <w:numId w:val="9"/>
              </w:numPr>
              <w:tabs>
                <w:tab w:val="left" w:pos="289"/>
              </w:tabs>
              <w:ind w:left="289" w:hanging="169"/>
              <w:rPr>
                <w:sz w:val="20"/>
                <w:szCs w:val="20"/>
                <w:lang w:val="uk-UA"/>
              </w:rPr>
            </w:pPr>
            <w:r>
              <w:rPr>
                <w:spacing w:val="-2"/>
                <w:w w:val="95"/>
                <w:sz w:val="20"/>
                <w:szCs w:val="20"/>
                <w:lang w:val="uk-UA"/>
              </w:rPr>
              <w:t>ШПТБ</w:t>
            </w:r>
            <w:r w:rsidR="00B01E0C" w:rsidRPr="00D518B3">
              <w:rPr>
                <w:spacing w:val="-2"/>
                <w:w w:val="95"/>
                <w:sz w:val="20"/>
                <w:szCs w:val="20"/>
                <w:lang w:val="uk-UA"/>
              </w:rPr>
              <w:t>:</w:t>
            </w:r>
          </w:p>
          <w:p w14:paraId="4B9AEA44" w14:textId="584D89BB" w:rsidR="00E05B98" w:rsidRPr="00D518B3" w:rsidRDefault="00A326F0">
            <w:pPr>
              <w:pStyle w:val="TableParagraph"/>
              <w:numPr>
                <w:ilvl w:val="0"/>
                <w:numId w:val="9"/>
              </w:numPr>
              <w:tabs>
                <w:tab w:val="left" w:pos="289"/>
              </w:tabs>
              <w:spacing w:before="96"/>
              <w:ind w:left="289" w:hanging="169"/>
              <w:rPr>
                <w:sz w:val="20"/>
                <w:szCs w:val="20"/>
                <w:lang w:val="uk-UA"/>
              </w:rPr>
            </w:pPr>
            <w:r>
              <w:rPr>
                <w:spacing w:val="-2"/>
                <w:sz w:val="20"/>
                <w:szCs w:val="20"/>
                <w:lang w:val="uk-UA"/>
              </w:rPr>
              <w:t>Діаскінтест</w:t>
            </w:r>
          </w:p>
          <w:p w14:paraId="111A0521" w14:textId="77777777" w:rsidR="00E05B98" w:rsidRPr="00D518B3" w:rsidRDefault="00B01E0C">
            <w:pPr>
              <w:pStyle w:val="TableParagraph"/>
              <w:numPr>
                <w:ilvl w:val="0"/>
                <w:numId w:val="9"/>
              </w:numPr>
              <w:tabs>
                <w:tab w:val="left" w:pos="289"/>
              </w:tabs>
              <w:spacing w:before="95"/>
              <w:ind w:left="289" w:hanging="169"/>
              <w:rPr>
                <w:sz w:val="20"/>
                <w:szCs w:val="20"/>
                <w:lang w:val="uk-UA"/>
              </w:rPr>
            </w:pPr>
            <w:r w:rsidRPr="00D518B3">
              <w:rPr>
                <w:w w:val="90"/>
                <w:sz w:val="20"/>
                <w:szCs w:val="20"/>
                <w:lang w:val="uk-UA"/>
              </w:rPr>
              <w:t>Cy-</w:t>
            </w:r>
            <w:r w:rsidRPr="00D518B3">
              <w:rPr>
                <w:spacing w:val="-5"/>
                <w:sz w:val="20"/>
                <w:szCs w:val="20"/>
                <w:lang w:val="uk-UA"/>
              </w:rPr>
              <w:t>Tb</w:t>
            </w:r>
          </w:p>
          <w:p w14:paraId="2E436EF9" w14:textId="77777777" w:rsidR="00E05B98" w:rsidRPr="00D518B3" w:rsidRDefault="00B01E0C">
            <w:pPr>
              <w:pStyle w:val="TableParagraph"/>
              <w:numPr>
                <w:ilvl w:val="0"/>
                <w:numId w:val="9"/>
              </w:numPr>
              <w:tabs>
                <w:tab w:val="left" w:pos="289"/>
              </w:tabs>
              <w:spacing w:before="96"/>
              <w:ind w:left="289" w:hanging="169"/>
              <w:rPr>
                <w:sz w:val="20"/>
                <w:szCs w:val="20"/>
                <w:lang w:val="uk-UA"/>
              </w:rPr>
            </w:pPr>
            <w:r w:rsidRPr="00D518B3">
              <w:rPr>
                <w:w w:val="80"/>
                <w:sz w:val="20"/>
                <w:szCs w:val="20"/>
                <w:lang w:val="uk-UA"/>
              </w:rPr>
              <w:t>C-</w:t>
            </w:r>
            <w:r w:rsidRPr="00D518B3">
              <w:rPr>
                <w:spacing w:val="-5"/>
                <w:w w:val="95"/>
                <w:sz w:val="20"/>
                <w:szCs w:val="20"/>
                <w:lang w:val="uk-UA"/>
              </w:rPr>
              <w:t>TST</w:t>
            </w:r>
          </w:p>
          <w:p w14:paraId="6C0511D5" w14:textId="14373492" w:rsidR="00E05B98" w:rsidRPr="00D518B3" w:rsidRDefault="00BF385A">
            <w:pPr>
              <w:pStyle w:val="TableParagraph"/>
              <w:numPr>
                <w:ilvl w:val="0"/>
                <w:numId w:val="9"/>
              </w:numPr>
              <w:tabs>
                <w:tab w:val="left" w:pos="289"/>
              </w:tabs>
              <w:spacing w:before="96"/>
              <w:ind w:left="289" w:hanging="169"/>
              <w:rPr>
                <w:sz w:val="20"/>
                <w:szCs w:val="20"/>
                <w:lang w:val="uk-UA"/>
              </w:rPr>
            </w:pPr>
            <w:r>
              <w:rPr>
                <w:spacing w:val="-2"/>
                <w:sz w:val="20"/>
                <w:szCs w:val="20"/>
                <w:lang w:val="uk-UA"/>
              </w:rPr>
              <w:t>Інше</w:t>
            </w:r>
          </w:p>
        </w:tc>
        <w:tc>
          <w:tcPr>
            <w:tcW w:w="1620" w:type="dxa"/>
            <w:tcBorders>
              <w:top w:val="single" w:sz="6" w:space="0" w:color="019648"/>
              <w:left w:val="nil"/>
              <w:bottom w:val="single" w:sz="6" w:space="0" w:color="019648"/>
              <w:right w:val="nil"/>
            </w:tcBorders>
          </w:tcPr>
          <w:p w14:paraId="198A0E3E" w14:textId="39EF316A" w:rsidR="00E05B98" w:rsidRPr="00D518B3" w:rsidRDefault="00BF385A">
            <w:pPr>
              <w:pStyle w:val="TableParagraph"/>
              <w:ind w:left="120"/>
              <w:rPr>
                <w:sz w:val="20"/>
                <w:szCs w:val="20"/>
                <w:lang w:val="uk-UA"/>
              </w:rPr>
            </w:pPr>
            <w:r>
              <w:rPr>
                <w:spacing w:val="-5"/>
                <w:w w:val="90"/>
                <w:sz w:val="20"/>
                <w:szCs w:val="20"/>
                <w:lang w:val="uk-UA"/>
              </w:rPr>
              <w:t xml:space="preserve">Тест </w:t>
            </w:r>
            <w:r w:rsidR="00D45FA2">
              <w:rPr>
                <w:spacing w:val="-5"/>
                <w:w w:val="90"/>
                <w:sz w:val="20"/>
                <w:szCs w:val="20"/>
                <w:lang w:val="uk-UA"/>
              </w:rPr>
              <w:t>ТШП</w:t>
            </w:r>
          </w:p>
          <w:p w14:paraId="60512FB9" w14:textId="55CF29E7" w:rsidR="00E05B98" w:rsidRPr="00D518B3" w:rsidRDefault="00BF385A">
            <w:pPr>
              <w:pStyle w:val="TableParagraph"/>
              <w:spacing w:before="96"/>
              <w:ind w:left="120"/>
              <w:rPr>
                <w:sz w:val="20"/>
                <w:szCs w:val="20"/>
                <w:lang w:val="uk-UA"/>
              </w:rPr>
            </w:pPr>
            <w:r>
              <w:rPr>
                <w:sz w:val="20"/>
                <w:szCs w:val="20"/>
                <w:lang w:val="uk-UA"/>
              </w:rPr>
              <w:t>а</w:t>
            </w:r>
            <w:r>
              <w:rPr>
                <w:spacing w:val="3"/>
                <w:sz w:val="20"/>
                <w:szCs w:val="20"/>
                <w:lang w:val="uk-UA"/>
              </w:rPr>
              <w:t>б</w:t>
            </w:r>
            <w:r>
              <w:rPr>
                <w:spacing w:val="-2"/>
                <w:sz w:val="20"/>
                <w:szCs w:val="20"/>
                <w:lang w:val="uk-UA"/>
              </w:rPr>
              <w:t>о АВГІ</w:t>
            </w:r>
          </w:p>
        </w:tc>
        <w:tc>
          <w:tcPr>
            <w:tcW w:w="2534" w:type="dxa"/>
            <w:tcBorders>
              <w:top w:val="single" w:sz="6" w:space="0" w:color="019648"/>
              <w:left w:val="nil"/>
              <w:bottom w:val="single" w:sz="6" w:space="0" w:color="019648"/>
              <w:right w:val="nil"/>
            </w:tcBorders>
          </w:tcPr>
          <w:p w14:paraId="1F064C6C" w14:textId="58C136EA" w:rsidR="00E05B98" w:rsidRPr="00D518B3" w:rsidRDefault="00BF385A" w:rsidP="00BF385A">
            <w:pPr>
              <w:pStyle w:val="TableParagraph"/>
              <w:numPr>
                <w:ilvl w:val="0"/>
                <w:numId w:val="8"/>
              </w:numPr>
              <w:spacing w:before="2" w:line="249" w:lineRule="auto"/>
              <w:rPr>
                <w:sz w:val="20"/>
                <w:szCs w:val="20"/>
                <w:lang w:val="uk-UA"/>
              </w:rPr>
            </w:pPr>
            <w:r w:rsidRPr="00BF385A">
              <w:rPr>
                <w:sz w:val="20"/>
                <w:szCs w:val="20"/>
                <w:lang w:val="uk-UA"/>
              </w:rPr>
              <w:t>Ефективність ПЛТ за результатами діагностичних тестів</w:t>
            </w:r>
          </w:p>
          <w:p w14:paraId="4FAE8AA0" w14:textId="20AAE945" w:rsidR="00E05B98" w:rsidRPr="00D518B3" w:rsidRDefault="00BF385A">
            <w:pPr>
              <w:pStyle w:val="TableParagraph"/>
              <w:numPr>
                <w:ilvl w:val="0"/>
                <w:numId w:val="8"/>
              </w:numPr>
              <w:tabs>
                <w:tab w:val="left" w:pos="288"/>
                <w:tab w:val="left" w:pos="290"/>
              </w:tabs>
              <w:spacing w:before="87" w:line="249" w:lineRule="auto"/>
              <w:ind w:right="204"/>
              <w:rPr>
                <w:sz w:val="20"/>
                <w:szCs w:val="20"/>
                <w:lang w:val="uk-UA"/>
              </w:rPr>
            </w:pPr>
            <w:r w:rsidRPr="00BF385A">
              <w:rPr>
                <w:sz w:val="20"/>
                <w:szCs w:val="20"/>
                <w:lang w:val="uk-UA"/>
              </w:rPr>
              <w:t>Прогностичне значення розвитку захворювання на ТБ</w:t>
            </w:r>
          </w:p>
          <w:p w14:paraId="7608E939" w14:textId="3B0552B9" w:rsidR="00E05B98" w:rsidRPr="00D518B3" w:rsidRDefault="00765D2A" w:rsidP="00765D2A">
            <w:pPr>
              <w:pStyle w:val="TableParagraph"/>
              <w:numPr>
                <w:ilvl w:val="0"/>
                <w:numId w:val="8"/>
              </w:numPr>
              <w:tabs>
                <w:tab w:val="left" w:pos="288"/>
                <w:tab w:val="left" w:pos="290"/>
              </w:tabs>
              <w:spacing w:before="88" w:line="249" w:lineRule="auto"/>
              <w:ind w:right="-3"/>
              <w:rPr>
                <w:sz w:val="20"/>
                <w:szCs w:val="20"/>
                <w:lang w:val="uk-UA"/>
              </w:rPr>
            </w:pPr>
            <w:r w:rsidRPr="00765D2A">
              <w:rPr>
                <w:w w:val="105"/>
                <w:sz w:val="20"/>
                <w:szCs w:val="20"/>
                <w:lang w:val="uk-UA"/>
              </w:rPr>
              <w:t>Кореляція з градієнтом експозиції</w:t>
            </w:r>
          </w:p>
          <w:p w14:paraId="4EE82C63" w14:textId="029E62A8" w:rsidR="00E05B98" w:rsidRPr="00D518B3" w:rsidRDefault="00765D2A">
            <w:pPr>
              <w:pStyle w:val="TableParagraph"/>
              <w:numPr>
                <w:ilvl w:val="0"/>
                <w:numId w:val="8"/>
              </w:numPr>
              <w:tabs>
                <w:tab w:val="left" w:pos="288"/>
                <w:tab w:val="left" w:pos="290"/>
              </w:tabs>
              <w:spacing w:before="87" w:line="249" w:lineRule="auto"/>
              <w:ind w:right="296"/>
              <w:rPr>
                <w:sz w:val="20"/>
                <w:szCs w:val="20"/>
                <w:lang w:val="uk-UA"/>
              </w:rPr>
            </w:pPr>
            <w:r w:rsidRPr="00765D2A">
              <w:rPr>
                <w:sz w:val="20"/>
                <w:szCs w:val="20"/>
                <w:lang w:val="uk-UA"/>
              </w:rPr>
              <w:t>Чутливість та специфічність</w:t>
            </w:r>
            <w:r w:rsidRPr="00765D2A">
              <w:rPr>
                <w:sz w:val="20"/>
                <w:szCs w:val="20"/>
                <w:vertAlign w:val="superscript"/>
                <w:lang w:val="uk-UA"/>
              </w:rPr>
              <w:t>b</w:t>
            </w:r>
            <w:r w:rsidRPr="00765D2A">
              <w:rPr>
                <w:sz w:val="20"/>
                <w:szCs w:val="20"/>
                <w:lang w:val="uk-UA"/>
              </w:rPr>
              <w:t xml:space="preserve"> до ТБ-інфекції</w:t>
            </w:r>
            <w:r w:rsidRPr="00765D2A">
              <w:rPr>
                <w:sz w:val="20"/>
                <w:szCs w:val="20"/>
                <w:vertAlign w:val="superscript"/>
                <w:lang w:val="uk-UA"/>
              </w:rPr>
              <w:t>c</w:t>
            </w:r>
          </w:p>
          <w:p w14:paraId="3BFBB565" w14:textId="6C80399B" w:rsidR="00E05B98" w:rsidRPr="00D518B3" w:rsidRDefault="00765D2A">
            <w:pPr>
              <w:pStyle w:val="TableParagraph"/>
              <w:numPr>
                <w:ilvl w:val="0"/>
                <w:numId w:val="8"/>
              </w:numPr>
              <w:tabs>
                <w:tab w:val="left" w:pos="288"/>
                <w:tab w:val="left" w:pos="290"/>
              </w:tabs>
              <w:spacing w:before="87" w:line="249" w:lineRule="auto"/>
              <w:ind w:right="162"/>
              <w:rPr>
                <w:sz w:val="20"/>
                <w:szCs w:val="20"/>
                <w:lang w:val="uk-UA"/>
              </w:rPr>
            </w:pPr>
            <w:r w:rsidRPr="00765D2A">
              <w:rPr>
                <w:sz w:val="20"/>
                <w:szCs w:val="20"/>
                <w:lang w:val="uk-UA"/>
              </w:rPr>
              <w:t xml:space="preserve">Схожість із тестом </w:t>
            </w:r>
            <w:r w:rsidR="00D45FA2">
              <w:rPr>
                <w:sz w:val="20"/>
                <w:szCs w:val="20"/>
                <w:lang w:val="uk-UA"/>
              </w:rPr>
              <w:t>ТШП</w:t>
            </w:r>
          </w:p>
          <w:p w14:paraId="426ABEF4" w14:textId="7B77B3C6" w:rsidR="00E05B98" w:rsidRPr="00D518B3" w:rsidRDefault="00765D2A">
            <w:pPr>
              <w:pStyle w:val="TableParagraph"/>
              <w:numPr>
                <w:ilvl w:val="0"/>
                <w:numId w:val="8"/>
              </w:numPr>
              <w:tabs>
                <w:tab w:val="left" w:pos="288"/>
                <w:tab w:val="left" w:pos="290"/>
              </w:tabs>
              <w:spacing w:before="87" w:line="249" w:lineRule="auto"/>
              <w:ind w:right="162"/>
              <w:rPr>
                <w:sz w:val="20"/>
                <w:szCs w:val="20"/>
                <w:lang w:val="uk-UA"/>
              </w:rPr>
            </w:pPr>
            <w:r w:rsidRPr="00765D2A">
              <w:rPr>
                <w:sz w:val="20"/>
                <w:szCs w:val="20"/>
                <w:lang w:val="uk-UA"/>
              </w:rPr>
              <w:t>Схожість із тест</w:t>
            </w:r>
            <w:r>
              <w:rPr>
                <w:sz w:val="20"/>
                <w:szCs w:val="20"/>
                <w:lang w:val="uk-UA"/>
              </w:rPr>
              <w:t>ами АВГІ</w:t>
            </w:r>
          </w:p>
          <w:p w14:paraId="142C79A0" w14:textId="4B84BB20" w:rsidR="00E05B98" w:rsidRPr="00D518B3" w:rsidRDefault="00765D2A">
            <w:pPr>
              <w:pStyle w:val="TableParagraph"/>
              <w:numPr>
                <w:ilvl w:val="0"/>
                <w:numId w:val="8"/>
              </w:numPr>
              <w:tabs>
                <w:tab w:val="left" w:pos="288"/>
                <w:tab w:val="left" w:pos="290"/>
              </w:tabs>
              <w:spacing w:before="87" w:line="249" w:lineRule="auto"/>
              <w:ind w:right="153"/>
              <w:rPr>
                <w:sz w:val="20"/>
                <w:szCs w:val="20"/>
                <w:lang w:val="uk-UA"/>
              </w:rPr>
            </w:pPr>
            <w:r w:rsidRPr="00765D2A">
              <w:rPr>
                <w:sz w:val="20"/>
                <w:szCs w:val="20"/>
                <w:lang w:val="uk-UA"/>
              </w:rPr>
              <w:t xml:space="preserve">Частка </w:t>
            </w:r>
            <w:r>
              <w:rPr>
                <w:sz w:val="20"/>
                <w:szCs w:val="20"/>
                <w:lang w:val="uk-UA"/>
              </w:rPr>
              <w:t>людей</w:t>
            </w:r>
            <w:r w:rsidRPr="00765D2A">
              <w:rPr>
                <w:sz w:val="20"/>
                <w:szCs w:val="20"/>
                <w:lang w:val="uk-UA"/>
              </w:rPr>
              <w:t>, які розпочали ПЛТ</w:t>
            </w:r>
          </w:p>
        </w:tc>
      </w:tr>
    </w:tbl>
    <w:p w14:paraId="5C17231C" w14:textId="77777777" w:rsidR="00E05B98" w:rsidRPr="00D518B3" w:rsidRDefault="00E05B98">
      <w:pPr>
        <w:pStyle w:val="TableParagraph"/>
        <w:spacing w:line="249" w:lineRule="auto"/>
        <w:rPr>
          <w:sz w:val="20"/>
          <w:szCs w:val="20"/>
          <w:lang w:val="uk-UA"/>
        </w:rPr>
        <w:sectPr w:rsidR="00E05B98" w:rsidRPr="00D518B3" w:rsidSect="00DF6F29">
          <w:pgSz w:w="11910" w:h="16840"/>
          <w:pgMar w:top="1320" w:right="995" w:bottom="760" w:left="850" w:header="0" w:footer="573" w:gutter="0"/>
          <w:cols w:space="720"/>
        </w:sectPr>
      </w:pPr>
    </w:p>
    <w:p w14:paraId="7EAABEBD" w14:textId="0450F353" w:rsidR="00E05B98" w:rsidRPr="00D518B3" w:rsidRDefault="00DB19FE">
      <w:pPr>
        <w:pStyle w:val="a3"/>
        <w:spacing w:before="52" w:line="297" w:lineRule="auto"/>
        <w:ind w:left="567" w:right="140"/>
        <w:jc w:val="both"/>
        <w:rPr>
          <w:sz w:val="20"/>
          <w:szCs w:val="20"/>
          <w:lang w:val="uk-UA"/>
        </w:rPr>
      </w:pPr>
      <w:r w:rsidRPr="00DB19FE">
        <w:rPr>
          <w:sz w:val="20"/>
          <w:szCs w:val="20"/>
          <w:lang w:val="uk-UA"/>
        </w:rPr>
        <w:lastRenderedPageBreak/>
        <w:t>Чинні рекомендації ґрунтуються на оцін</w:t>
      </w:r>
      <w:r w:rsidR="007276E6">
        <w:rPr>
          <w:sz w:val="20"/>
          <w:szCs w:val="20"/>
          <w:lang w:val="uk-UA"/>
        </w:rPr>
        <w:t>ці</w:t>
      </w:r>
      <w:r w:rsidRPr="00DB19FE">
        <w:rPr>
          <w:sz w:val="20"/>
          <w:szCs w:val="20"/>
          <w:lang w:val="uk-UA"/>
        </w:rPr>
        <w:t xml:space="preserve"> даних для тестів, які були включені в поточну оцінку. Отримані результати не можуть бути екстрапольовані на інші тести конкретних брендів; крім того, </w:t>
      </w:r>
      <w:r w:rsidR="007276E6">
        <w:rPr>
          <w:sz w:val="20"/>
          <w:szCs w:val="20"/>
          <w:lang w:val="uk-UA"/>
        </w:rPr>
        <w:t xml:space="preserve">ВООЗ повинна спеціально </w:t>
      </w:r>
      <w:r w:rsidR="00CE4B93">
        <w:rPr>
          <w:sz w:val="20"/>
          <w:szCs w:val="20"/>
          <w:lang w:val="uk-UA"/>
        </w:rPr>
        <w:t>оцінити</w:t>
      </w:r>
      <w:r w:rsidR="007276E6">
        <w:rPr>
          <w:sz w:val="20"/>
          <w:szCs w:val="20"/>
          <w:lang w:val="uk-UA"/>
        </w:rPr>
        <w:t xml:space="preserve"> </w:t>
      </w:r>
      <w:r w:rsidRPr="00DB19FE">
        <w:rPr>
          <w:sz w:val="20"/>
          <w:szCs w:val="20"/>
          <w:lang w:val="uk-UA"/>
        </w:rPr>
        <w:t>будь-які нові технології в цьому класі.</w:t>
      </w:r>
    </w:p>
    <w:p w14:paraId="77644321" w14:textId="68969BEF" w:rsidR="00E05B98" w:rsidRPr="00D518B3" w:rsidRDefault="00DB19FE">
      <w:pPr>
        <w:pStyle w:val="a3"/>
        <w:spacing w:before="174" w:line="297" w:lineRule="auto"/>
        <w:ind w:left="567" w:right="133"/>
        <w:jc w:val="both"/>
        <w:rPr>
          <w:sz w:val="20"/>
          <w:szCs w:val="20"/>
          <w:lang w:val="uk-UA"/>
        </w:rPr>
      </w:pPr>
      <w:r w:rsidRPr="00DB19FE">
        <w:rPr>
          <w:sz w:val="20"/>
          <w:szCs w:val="20"/>
          <w:lang w:val="uk-UA"/>
        </w:rPr>
        <w:t>Настанови  поширюється через списки розсилки Глобальної програми ВООЗ із боротьби з ТБ (ВООЗ/Г</w:t>
      </w:r>
      <w:r w:rsidR="007276E6">
        <w:rPr>
          <w:sz w:val="20"/>
          <w:szCs w:val="20"/>
          <w:lang w:val="uk-UA"/>
        </w:rPr>
        <w:t>П</w:t>
      </w:r>
      <w:r w:rsidRPr="00DB19FE">
        <w:rPr>
          <w:sz w:val="20"/>
          <w:szCs w:val="20"/>
          <w:lang w:val="uk-UA"/>
        </w:rPr>
        <w:t xml:space="preserve">ТБ) серед регіональних бюро ВООЗ, держав-членів, </w:t>
      </w:r>
      <w:r w:rsidR="007276E6">
        <w:rPr>
          <w:sz w:val="20"/>
          <w:szCs w:val="20"/>
          <w:lang w:val="uk-UA"/>
        </w:rPr>
        <w:t xml:space="preserve">учасників </w:t>
      </w:r>
      <w:r w:rsidRPr="00DB19FE">
        <w:rPr>
          <w:sz w:val="20"/>
          <w:szCs w:val="20"/>
          <w:lang w:val="uk-UA"/>
        </w:rPr>
        <w:t xml:space="preserve">Партнерства «Зупинити ТБ» та інших зацікавлених сторін (наприклад, Глобальної лабораторної ініціативи та </w:t>
      </w:r>
      <w:r w:rsidR="007276E6">
        <w:rPr>
          <w:sz w:val="20"/>
          <w:szCs w:val="20"/>
          <w:lang w:val="uk-UA"/>
        </w:rPr>
        <w:t>Супра</w:t>
      </w:r>
      <w:r w:rsidRPr="00DB19FE">
        <w:rPr>
          <w:sz w:val="20"/>
          <w:szCs w:val="20"/>
          <w:lang w:val="uk-UA"/>
        </w:rPr>
        <w:t>національної мережі референс-лабораторій з туберкульозу); настанови також публікуються на веб-сайтах ВООЗ/Г</w:t>
      </w:r>
      <w:r w:rsidR="007276E6">
        <w:rPr>
          <w:sz w:val="20"/>
          <w:szCs w:val="20"/>
          <w:lang w:val="uk-UA"/>
        </w:rPr>
        <w:t>П</w:t>
      </w:r>
      <w:r w:rsidRPr="00DB19FE">
        <w:rPr>
          <w:sz w:val="20"/>
          <w:szCs w:val="20"/>
          <w:lang w:val="uk-UA"/>
        </w:rPr>
        <w:t>ТБ та Глобальної лабораторної ініціативи. Оновлена політика включена до Платформи ВООЗ з обміну знаннями щодо ТБ - онлайн-довідкового ресурсу щодо глобальної політики у сфері ТБ та похідних продуктів.</w:t>
      </w:r>
    </w:p>
    <w:p w14:paraId="5C704D89" w14:textId="4CC02159" w:rsidR="00E05B98" w:rsidRPr="00DF6F29" w:rsidRDefault="00DF6F29">
      <w:pPr>
        <w:pStyle w:val="4"/>
        <w:spacing w:before="201"/>
        <w:rPr>
          <w:sz w:val="26"/>
          <w:szCs w:val="26"/>
          <w:lang w:val="uk-UA"/>
        </w:rPr>
      </w:pPr>
      <w:r>
        <w:rPr>
          <w:color w:val="019648"/>
          <w:spacing w:val="-2"/>
          <w:sz w:val="26"/>
          <w:szCs w:val="26"/>
          <w:lang w:val="uk-UA"/>
        </w:rPr>
        <w:t xml:space="preserve">Рекомендація </w:t>
      </w:r>
    </w:p>
    <w:p w14:paraId="5B5B670C" w14:textId="77777777" w:rsidR="00E05B98" w:rsidRPr="003C6DAE" w:rsidRDefault="00E05B98">
      <w:pPr>
        <w:pStyle w:val="a3"/>
        <w:spacing w:before="17"/>
        <w:rPr>
          <w:rFonts w:ascii="Arial"/>
          <w:b/>
          <w:sz w:val="20"/>
          <w:lang w:val="uk-UA"/>
        </w:rPr>
      </w:pPr>
    </w:p>
    <w:tbl>
      <w:tblPr>
        <w:tblStyle w:val="TableNormal"/>
        <w:tblW w:w="0" w:type="auto"/>
        <w:tblInd w:w="58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051"/>
      </w:tblGrid>
      <w:tr w:rsidR="00E05B98" w:rsidRPr="00D029FF" w14:paraId="1FCFE24F" w14:textId="77777777">
        <w:trPr>
          <w:trHeight w:val="1404"/>
        </w:trPr>
        <w:tc>
          <w:tcPr>
            <w:tcW w:w="9051" w:type="dxa"/>
          </w:tcPr>
          <w:p w14:paraId="44A29BE9" w14:textId="7D28FB97" w:rsidR="00DB19FE" w:rsidRPr="00DB19FE" w:rsidRDefault="00B01E0C" w:rsidP="00DB19FE">
            <w:pPr>
              <w:pStyle w:val="TableParagraph"/>
              <w:spacing w:before="245" w:line="295" w:lineRule="auto"/>
              <w:ind w:left="680" w:hanging="397"/>
              <w:rPr>
                <w:rFonts w:ascii="Arial"/>
                <w:b/>
                <w:lang w:val="uk-UA"/>
              </w:rPr>
            </w:pPr>
            <w:r w:rsidRPr="003C6DAE">
              <w:rPr>
                <w:rFonts w:ascii="Arial"/>
                <w:b/>
                <w:lang w:val="uk-UA"/>
              </w:rPr>
              <w:t xml:space="preserve">18. </w:t>
            </w:r>
            <w:r w:rsidR="00DB19FE" w:rsidRPr="00DB19FE">
              <w:rPr>
                <w:rFonts w:ascii="Arial"/>
                <w:b/>
                <w:lang w:val="uk-UA"/>
              </w:rPr>
              <w:t>Шкірні</w:t>
            </w:r>
            <w:r w:rsidR="00DB19FE" w:rsidRPr="00DB19FE">
              <w:rPr>
                <w:rFonts w:ascii="Arial"/>
                <w:b/>
                <w:lang w:val="uk-UA"/>
              </w:rPr>
              <w:t xml:space="preserve"> </w:t>
            </w:r>
            <w:r w:rsidR="00DB19FE" w:rsidRPr="00DB19FE">
              <w:rPr>
                <w:rFonts w:ascii="Arial"/>
                <w:b/>
                <w:lang w:val="uk-UA"/>
              </w:rPr>
              <w:t>тести</w:t>
            </w:r>
            <w:r w:rsidR="00DB19FE" w:rsidRPr="00DB19FE">
              <w:rPr>
                <w:rFonts w:ascii="Arial"/>
                <w:b/>
                <w:lang w:val="uk-UA"/>
              </w:rPr>
              <w:t xml:space="preserve"> </w:t>
            </w:r>
            <w:r w:rsidR="00DB19FE" w:rsidRPr="00DB19FE">
              <w:rPr>
                <w:rFonts w:ascii="Arial"/>
                <w:b/>
                <w:lang w:val="uk-UA"/>
              </w:rPr>
              <w:t>на</w:t>
            </w:r>
            <w:r w:rsidR="00DB19FE" w:rsidRPr="00DB19FE">
              <w:rPr>
                <w:rFonts w:ascii="Arial"/>
                <w:b/>
                <w:lang w:val="uk-UA"/>
              </w:rPr>
              <w:t xml:space="preserve"> </w:t>
            </w:r>
            <w:r w:rsidR="000E5728">
              <w:rPr>
                <w:rFonts w:ascii="Arial"/>
                <w:b/>
                <w:lang w:val="uk-UA"/>
              </w:rPr>
              <w:t>основі</w:t>
            </w:r>
            <w:r w:rsidR="000E5728">
              <w:rPr>
                <w:rFonts w:ascii="Arial"/>
                <w:b/>
                <w:lang w:val="uk-UA"/>
              </w:rPr>
              <w:t xml:space="preserve"> </w:t>
            </w:r>
            <w:r w:rsidR="00DB19FE" w:rsidRPr="00DB19FE">
              <w:rPr>
                <w:rFonts w:ascii="Arial"/>
                <w:b/>
                <w:lang w:val="uk-UA"/>
              </w:rPr>
              <w:t>антиген</w:t>
            </w:r>
            <w:r w:rsidR="000E5728">
              <w:rPr>
                <w:rFonts w:ascii="Arial"/>
                <w:b/>
                <w:lang w:val="uk-UA"/>
              </w:rPr>
              <w:t>у</w:t>
            </w:r>
            <w:r w:rsidR="00DB19FE" w:rsidRPr="00DB19FE">
              <w:rPr>
                <w:rFonts w:ascii="Arial"/>
                <w:b/>
                <w:lang w:val="uk-UA"/>
              </w:rPr>
              <w:t xml:space="preserve"> </w:t>
            </w:r>
            <w:r w:rsidR="00DB19FE" w:rsidRPr="00DB19FE">
              <w:rPr>
                <w:rFonts w:ascii="Arial"/>
                <w:b/>
                <w:lang w:val="uk-UA"/>
              </w:rPr>
              <w:t>мікобактерії</w:t>
            </w:r>
            <w:r w:rsidR="00DB19FE" w:rsidRPr="00DB19FE">
              <w:rPr>
                <w:rFonts w:ascii="Arial"/>
                <w:b/>
                <w:lang w:val="uk-UA"/>
              </w:rPr>
              <w:t xml:space="preserve"> </w:t>
            </w:r>
            <w:r w:rsidR="00DB19FE" w:rsidRPr="00DB19FE">
              <w:rPr>
                <w:rFonts w:ascii="Arial"/>
                <w:b/>
                <w:lang w:val="uk-UA"/>
              </w:rPr>
              <w:t>туберкульозу</w:t>
            </w:r>
            <w:r w:rsidR="00DB19FE" w:rsidRPr="00DB19FE">
              <w:rPr>
                <w:rFonts w:ascii="Arial"/>
                <w:b/>
                <w:lang w:val="uk-UA"/>
              </w:rPr>
              <w:t xml:space="preserve"> (</w:t>
            </w:r>
            <w:r w:rsidR="000E5728">
              <w:rPr>
                <w:rFonts w:ascii="Arial"/>
                <w:b/>
                <w:lang w:val="uk-UA"/>
              </w:rPr>
              <w:t>ШПТБ</w:t>
            </w:r>
            <w:r w:rsidR="000E5728">
              <w:rPr>
                <w:rFonts w:ascii="Arial"/>
                <w:b/>
                <w:lang w:val="uk-UA"/>
              </w:rPr>
              <w:t>)</w:t>
            </w:r>
            <w:r w:rsidR="00DB19FE" w:rsidRPr="00DB19FE">
              <w:rPr>
                <w:rFonts w:ascii="Arial"/>
                <w:b/>
                <w:lang w:val="uk-UA"/>
              </w:rPr>
              <w:t xml:space="preserve"> </w:t>
            </w:r>
            <w:r w:rsidR="00DB19FE" w:rsidRPr="00DB19FE">
              <w:rPr>
                <w:rFonts w:ascii="Arial"/>
                <w:b/>
                <w:lang w:val="uk-UA"/>
              </w:rPr>
              <w:t>можна</w:t>
            </w:r>
            <w:r w:rsidR="00DB19FE" w:rsidRPr="00DB19FE">
              <w:rPr>
                <w:rFonts w:ascii="Arial"/>
                <w:b/>
                <w:lang w:val="uk-UA"/>
              </w:rPr>
              <w:t xml:space="preserve"> </w:t>
            </w:r>
            <w:r w:rsidR="00DB19FE" w:rsidRPr="00DB19FE">
              <w:rPr>
                <w:rFonts w:ascii="Arial"/>
                <w:b/>
                <w:lang w:val="uk-UA"/>
              </w:rPr>
              <w:t>використовувати</w:t>
            </w:r>
            <w:r w:rsidR="00DB19FE" w:rsidRPr="00DB19FE">
              <w:rPr>
                <w:rFonts w:ascii="Arial"/>
                <w:b/>
                <w:lang w:val="uk-UA"/>
              </w:rPr>
              <w:t xml:space="preserve"> </w:t>
            </w:r>
            <w:r w:rsidR="00DB19FE" w:rsidRPr="00DB19FE">
              <w:rPr>
                <w:rFonts w:ascii="Arial"/>
                <w:b/>
                <w:lang w:val="uk-UA"/>
              </w:rPr>
              <w:t>для</w:t>
            </w:r>
            <w:r w:rsidR="00DB19FE" w:rsidRPr="00DB19FE">
              <w:rPr>
                <w:rFonts w:ascii="Arial"/>
                <w:b/>
                <w:lang w:val="uk-UA"/>
              </w:rPr>
              <w:t xml:space="preserve"> </w:t>
            </w:r>
            <w:r w:rsidR="00DC0CCA">
              <w:rPr>
                <w:rFonts w:ascii="Arial"/>
                <w:b/>
                <w:lang w:val="uk-UA"/>
              </w:rPr>
              <w:t>діагностики</w:t>
            </w:r>
            <w:r w:rsidR="00DC0CCA">
              <w:rPr>
                <w:rFonts w:ascii="Arial"/>
                <w:b/>
                <w:lang w:val="uk-UA"/>
              </w:rPr>
              <w:t xml:space="preserve"> </w:t>
            </w:r>
            <w:r w:rsidR="00DB19FE" w:rsidRPr="00DB19FE">
              <w:rPr>
                <w:rFonts w:ascii="Arial"/>
                <w:b/>
                <w:lang w:val="uk-UA"/>
              </w:rPr>
              <w:t>туберкульозної</w:t>
            </w:r>
            <w:r w:rsidR="00DB19FE" w:rsidRPr="00DB19FE">
              <w:rPr>
                <w:rFonts w:ascii="Arial"/>
                <w:b/>
                <w:lang w:val="uk-UA"/>
              </w:rPr>
              <w:t xml:space="preserve"> </w:t>
            </w:r>
            <w:r w:rsidR="00DB19FE" w:rsidRPr="00DB19FE">
              <w:rPr>
                <w:rFonts w:ascii="Arial"/>
                <w:b/>
                <w:lang w:val="uk-UA"/>
              </w:rPr>
              <w:t>інфекції</w:t>
            </w:r>
            <w:r w:rsidR="00DB19FE" w:rsidRPr="00DB19FE">
              <w:rPr>
                <w:rFonts w:ascii="Arial"/>
                <w:b/>
                <w:lang w:val="uk-UA"/>
              </w:rPr>
              <w:t>.</w:t>
            </w:r>
          </w:p>
          <w:p w14:paraId="2A808736" w14:textId="2D4418CE" w:rsidR="00E05B98" w:rsidRPr="00DB19FE" w:rsidRDefault="00DB19FE" w:rsidP="00DB19FE">
            <w:pPr>
              <w:pStyle w:val="TableParagraph"/>
              <w:spacing w:before="55"/>
              <w:ind w:left="680"/>
              <w:rPr>
                <w:rFonts w:ascii="Arial"/>
                <w:bCs/>
                <w:i/>
                <w:iCs/>
                <w:lang w:val="uk-UA"/>
              </w:rPr>
            </w:pPr>
            <w:r w:rsidRPr="00DB19FE">
              <w:rPr>
                <w:rFonts w:ascii="Arial"/>
                <w:bCs/>
                <w:i/>
                <w:iCs/>
                <w:lang w:val="uk-UA"/>
              </w:rPr>
              <w:t>(</w:t>
            </w:r>
            <w:r w:rsidRPr="00DB19FE">
              <w:rPr>
                <w:rFonts w:ascii="Arial"/>
                <w:bCs/>
                <w:i/>
                <w:iCs/>
                <w:lang w:val="uk-UA"/>
              </w:rPr>
              <w:t>Умовна</w:t>
            </w:r>
            <w:r w:rsidRPr="00DB19FE">
              <w:rPr>
                <w:rFonts w:ascii="Arial"/>
                <w:bCs/>
                <w:i/>
                <w:iCs/>
                <w:lang w:val="uk-UA"/>
              </w:rPr>
              <w:t xml:space="preserve"> </w:t>
            </w:r>
            <w:r w:rsidRPr="00DB19FE">
              <w:rPr>
                <w:rFonts w:ascii="Arial"/>
                <w:bCs/>
                <w:i/>
                <w:iCs/>
                <w:lang w:val="uk-UA"/>
              </w:rPr>
              <w:t>рекомендація</w:t>
            </w:r>
            <w:r w:rsidRPr="00DB19FE">
              <w:rPr>
                <w:rFonts w:ascii="Arial"/>
                <w:bCs/>
                <w:i/>
                <w:iCs/>
                <w:lang w:val="uk-UA"/>
              </w:rPr>
              <w:t xml:space="preserve"> </w:t>
            </w:r>
            <w:r w:rsidRPr="00DB19FE">
              <w:rPr>
                <w:rFonts w:ascii="Arial"/>
                <w:bCs/>
                <w:i/>
                <w:iCs/>
                <w:lang w:val="uk-UA"/>
              </w:rPr>
              <w:t>для</w:t>
            </w:r>
            <w:r w:rsidRPr="00DB19FE">
              <w:rPr>
                <w:rFonts w:ascii="Arial"/>
                <w:bCs/>
                <w:i/>
                <w:iCs/>
                <w:lang w:val="uk-UA"/>
              </w:rPr>
              <w:t xml:space="preserve"> </w:t>
            </w:r>
            <w:r w:rsidRPr="00DB19FE">
              <w:rPr>
                <w:rFonts w:ascii="Arial"/>
                <w:bCs/>
                <w:i/>
                <w:iCs/>
                <w:lang w:val="uk-UA"/>
              </w:rPr>
              <w:t>інтервенції</w:t>
            </w:r>
            <w:r w:rsidRPr="00DB19FE">
              <w:rPr>
                <w:rFonts w:ascii="Arial"/>
                <w:bCs/>
                <w:i/>
                <w:iCs/>
                <w:lang w:val="uk-UA"/>
              </w:rPr>
              <w:t xml:space="preserve">, </w:t>
            </w:r>
            <w:r w:rsidRPr="00DB19FE">
              <w:rPr>
                <w:rFonts w:ascii="Arial"/>
                <w:bCs/>
                <w:i/>
                <w:iCs/>
                <w:lang w:val="uk-UA"/>
              </w:rPr>
              <w:t>дуже</w:t>
            </w:r>
            <w:r w:rsidRPr="00DB19FE">
              <w:rPr>
                <w:rFonts w:ascii="Arial"/>
                <w:bCs/>
                <w:i/>
                <w:iCs/>
                <w:lang w:val="uk-UA"/>
              </w:rPr>
              <w:t xml:space="preserve"> </w:t>
            </w:r>
            <w:r w:rsidRPr="00DB19FE">
              <w:rPr>
                <w:rFonts w:ascii="Arial"/>
                <w:bCs/>
                <w:i/>
                <w:iCs/>
                <w:lang w:val="uk-UA"/>
              </w:rPr>
              <w:t>низька</w:t>
            </w:r>
            <w:r w:rsidRPr="00DB19FE">
              <w:rPr>
                <w:rFonts w:ascii="Arial"/>
                <w:bCs/>
                <w:i/>
                <w:iCs/>
                <w:lang w:val="uk-UA"/>
              </w:rPr>
              <w:t xml:space="preserve"> </w:t>
            </w:r>
            <w:r w:rsidRPr="00DB19FE">
              <w:rPr>
                <w:rFonts w:ascii="Arial"/>
                <w:bCs/>
                <w:i/>
                <w:iCs/>
                <w:lang w:val="uk-UA"/>
              </w:rPr>
              <w:t>достовірність</w:t>
            </w:r>
            <w:r w:rsidRPr="00DB19FE">
              <w:rPr>
                <w:rFonts w:ascii="Arial"/>
                <w:bCs/>
                <w:i/>
                <w:iCs/>
                <w:lang w:val="uk-UA"/>
              </w:rPr>
              <w:t xml:space="preserve"> </w:t>
            </w:r>
            <w:r w:rsidRPr="00DB19FE">
              <w:rPr>
                <w:rFonts w:ascii="Arial"/>
                <w:bCs/>
                <w:i/>
                <w:iCs/>
                <w:lang w:val="uk-UA"/>
              </w:rPr>
              <w:t>доказів</w:t>
            </w:r>
            <w:r w:rsidRPr="00DB19FE">
              <w:rPr>
                <w:rFonts w:ascii="Arial"/>
                <w:bCs/>
                <w:i/>
                <w:iCs/>
                <w:lang w:val="uk-UA"/>
              </w:rPr>
              <w:t>)</w:t>
            </w:r>
          </w:p>
        </w:tc>
      </w:tr>
    </w:tbl>
    <w:p w14:paraId="0529B350" w14:textId="4451DFD3" w:rsidR="00E05B98" w:rsidRPr="003C6DAE" w:rsidRDefault="00DF6F29">
      <w:pPr>
        <w:pStyle w:val="7"/>
        <w:spacing w:before="210"/>
        <w:rPr>
          <w:lang w:val="uk-UA"/>
        </w:rPr>
      </w:pPr>
      <w:r>
        <w:rPr>
          <w:color w:val="019648"/>
          <w:spacing w:val="-2"/>
          <w:lang w:val="uk-UA"/>
        </w:rPr>
        <w:t>Доказова база</w:t>
      </w:r>
    </w:p>
    <w:p w14:paraId="2BD0C9E6" w14:textId="4F796BFE" w:rsidR="00E05B98" w:rsidRPr="00515717" w:rsidRDefault="00240EA9">
      <w:pPr>
        <w:pStyle w:val="a3"/>
        <w:spacing w:before="226" w:line="297" w:lineRule="auto"/>
        <w:ind w:left="567" w:right="137"/>
        <w:jc w:val="both"/>
        <w:rPr>
          <w:sz w:val="20"/>
          <w:szCs w:val="20"/>
          <w:lang w:val="uk-UA"/>
        </w:rPr>
      </w:pPr>
      <w:r w:rsidRPr="00515717">
        <w:rPr>
          <w:sz w:val="20"/>
          <w:szCs w:val="20"/>
          <w:lang w:val="uk-UA"/>
        </w:rPr>
        <w:t xml:space="preserve">У 2021 році ВООЗ замовила проведення систематичного огляду опублікованих і неопублікованих даних про новий клас тестів </w:t>
      </w:r>
      <w:r w:rsidR="00DC0CCA">
        <w:rPr>
          <w:sz w:val="20"/>
          <w:szCs w:val="20"/>
          <w:lang w:val="uk-UA"/>
        </w:rPr>
        <w:t>для діагностики</w:t>
      </w:r>
      <w:r w:rsidRPr="00515717">
        <w:rPr>
          <w:sz w:val="20"/>
          <w:szCs w:val="20"/>
          <w:lang w:val="uk-UA"/>
        </w:rPr>
        <w:t xml:space="preserve"> ТБ, які раніше не розглядалися ВООЗ. Основне питання </w:t>
      </w:r>
      <w:r w:rsidR="00DC0CCA">
        <w:rPr>
          <w:sz w:val="20"/>
          <w:szCs w:val="20"/>
          <w:lang w:val="uk-UA"/>
        </w:rPr>
        <w:t xml:space="preserve">щодо політики </w:t>
      </w:r>
      <w:r w:rsidRPr="00515717">
        <w:rPr>
          <w:sz w:val="20"/>
          <w:szCs w:val="20"/>
          <w:lang w:val="uk-UA"/>
        </w:rPr>
        <w:t xml:space="preserve">полягало в наступному: Чи слід використовувати шкірні тести на основі антигену </w:t>
      </w:r>
      <w:r w:rsidRPr="00DC0CCA">
        <w:rPr>
          <w:i/>
          <w:iCs/>
          <w:sz w:val="20"/>
          <w:szCs w:val="20"/>
          <w:lang w:val="uk-UA"/>
        </w:rPr>
        <w:t>Mtb</w:t>
      </w:r>
      <w:r w:rsidRPr="00515717">
        <w:rPr>
          <w:sz w:val="20"/>
          <w:szCs w:val="20"/>
          <w:lang w:val="uk-UA"/>
        </w:rPr>
        <w:t xml:space="preserve"> (</w:t>
      </w:r>
      <w:r w:rsidR="00DC0CCA">
        <w:rPr>
          <w:sz w:val="20"/>
          <w:szCs w:val="20"/>
          <w:lang w:val="uk-UA"/>
        </w:rPr>
        <w:t>ШПТБ</w:t>
      </w:r>
      <w:r w:rsidRPr="00515717">
        <w:rPr>
          <w:sz w:val="20"/>
          <w:szCs w:val="20"/>
          <w:lang w:val="uk-UA"/>
        </w:rPr>
        <w:t>) для виявлення ТБ-інфекції як альтернативу  шкірній туберкуліновій пробі (</w:t>
      </w:r>
      <w:r w:rsidR="00D45FA2">
        <w:rPr>
          <w:sz w:val="20"/>
          <w:szCs w:val="20"/>
          <w:lang w:val="uk-UA"/>
        </w:rPr>
        <w:t>ТШП</w:t>
      </w:r>
      <w:r w:rsidRPr="00515717">
        <w:rPr>
          <w:sz w:val="20"/>
          <w:szCs w:val="20"/>
          <w:lang w:val="uk-UA"/>
        </w:rPr>
        <w:t>) або схваленому ВООЗ аналізу на вивільнення гамма-інтерферону (АВГІ) для виявлення осіб, які мають найбільший ризик розвитку ТБ-інфекції до захворювання на ТБ?</w:t>
      </w:r>
      <w:r w:rsidR="00B01E0C" w:rsidRPr="00515717">
        <w:rPr>
          <w:spacing w:val="-14"/>
          <w:sz w:val="20"/>
          <w:szCs w:val="20"/>
          <w:lang w:val="uk-UA"/>
        </w:rPr>
        <w:t xml:space="preserve"> </w:t>
      </w:r>
      <w:r w:rsidRPr="00515717">
        <w:rPr>
          <w:sz w:val="20"/>
          <w:szCs w:val="20"/>
          <w:lang w:val="uk-UA"/>
        </w:rPr>
        <w:t>Виходячи з основного стратегічного питання, було виділено чотири області для пошуку та генерації доказових даних: діагностична точність, безпека, економічні аспекти та аспекти</w:t>
      </w:r>
      <w:r w:rsidR="00DC0CCA">
        <w:rPr>
          <w:sz w:val="20"/>
          <w:szCs w:val="20"/>
          <w:lang w:val="uk-UA"/>
        </w:rPr>
        <w:t xml:space="preserve"> якості</w:t>
      </w:r>
      <w:r w:rsidRPr="00515717">
        <w:rPr>
          <w:sz w:val="20"/>
          <w:szCs w:val="20"/>
          <w:lang w:val="uk-UA"/>
        </w:rPr>
        <w:t>. Для кожної області були визначені конкретні популяції, інтервенцію, порівняння (компаратор) та результат (PICO) або дослідницькі питання.</w:t>
      </w:r>
    </w:p>
    <w:p w14:paraId="03DE3B20" w14:textId="24E10BE6" w:rsidR="00E05B98" w:rsidRPr="00515717" w:rsidRDefault="00AB44E6">
      <w:pPr>
        <w:spacing w:before="177" w:line="295" w:lineRule="auto"/>
        <w:ind w:left="567"/>
        <w:rPr>
          <w:rFonts w:ascii="Arial" w:hAnsi="Arial"/>
          <w:b/>
          <w:sz w:val="20"/>
          <w:szCs w:val="20"/>
          <w:lang w:val="uk-UA"/>
        </w:rPr>
      </w:pPr>
      <w:r w:rsidRPr="00515717">
        <w:rPr>
          <w:rFonts w:ascii="Arial" w:hAnsi="Arial"/>
          <w:b/>
          <w:spacing w:val="-6"/>
          <w:sz w:val="20"/>
          <w:szCs w:val="20"/>
          <w:lang w:val="uk-UA"/>
        </w:rPr>
        <w:t xml:space="preserve">Область 1 - </w:t>
      </w:r>
      <w:r w:rsidRPr="00515717">
        <w:rPr>
          <w:rFonts w:ascii="Arial" w:hAnsi="Arial"/>
          <w:b/>
          <w:i/>
          <w:iCs/>
          <w:spacing w:val="-6"/>
          <w:sz w:val="20"/>
          <w:szCs w:val="20"/>
          <w:lang w:val="uk-UA"/>
        </w:rPr>
        <w:t>Точність діагностики</w:t>
      </w:r>
      <w:r w:rsidRPr="00515717">
        <w:rPr>
          <w:rFonts w:ascii="Arial" w:hAnsi="Arial"/>
          <w:b/>
          <w:spacing w:val="-6"/>
          <w:sz w:val="20"/>
          <w:szCs w:val="20"/>
          <w:lang w:val="uk-UA"/>
        </w:rPr>
        <w:t xml:space="preserve"> (запитання PICO): Чи мають </w:t>
      </w:r>
      <w:r w:rsidR="00DC0CCA">
        <w:rPr>
          <w:rFonts w:ascii="Arial" w:hAnsi="Arial"/>
          <w:b/>
          <w:spacing w:val="-6"/>
          <w:sz w:val="20"/>
          <w:szCs w:val="20"/>
          <w:lang w:val="uk-UA"/>
        </w:rPr>
        <w:t>ШПТБ</w:t>
      </w:r>
      <w:r w:rsidRPr="00515717">
        <w:rPr>
          <w:rFonts w:ascii="Arial" w:hAnsi="Arial"/>
          <w:b/>
          <w:spacing w:val="-6"/>
          <w:sz w:val="20"/>
          <w:szCs w:val="20"/>
          <w:lang w:val="uk-UA"/>
        </w:rPr>
        <w:t xml:space="preserve"> такі ж або кращі діагностичні показники, ніж </w:t>
      </w:r>
      <w:r w:rsidR="00D45FA2">
        <w:rPr>
          <w:rFonts w:ascii="Arial" w:hAnsi="Arial"/>
          <w:b/>
          <w:spacing w:val="-6"/>
          <w:sz w:val="20"/>
          <w:szCs w:val="20"/>
          <w:lang w:val="uk-UA"/>
        </w:rPr>
        <w:t>ТШП</w:t>
      </w:r>
      <w:r w:rsidRPr="00515717">
        <w:rPr>
          <w:rFonts w:ascii="Arial" w:hAnsi="Arial"/>
          <w:b/>
          <w:spacing w:val="-6"/>
          <w:sz w:val="20"/>
          <w:szCs w:val="20"/>
          <w:lang w:val="uk-UA"/>
        </w:rPr>
        <w:t xml:space="preserve"> або АВГІ, для </w:t>
      </w:r>
      <w:r w:rsidR="00DC0CCA">
        <w:rPr>
          <w:rFonts w:ascii="Arial" w:hAnsi="Arial"/>
          <w:b/>
          <w:spacing w:val="-6"/>
          <w:sz w:val="20"/>
          <w:szCs w:val="20"/>
          <w:lang w:val="uk-UA"/>
        </w:rPr>
        <w:t>виявлення</w:t>
      </w:r>
      <w:r w:rsidRPr="00515717">
        <w:rPr>
          <w:rFonts w:ascii="Arial" w:hAnsi="Arial"/>
          <w:b/>
          <w:spacing w:val="-6"/>
          <w:sz w:val="20"/>
          <w:szCs w:val="20"/>
          <w:lang w:val="uk-UA"/>
        </w:rPr>
        <w:t xml:space="preserve"> ТБ-інфекції?</w:t>
      </w:r>
    </w:p>
    <w:p w14:paraId="7F8EE16F" w14:textId="17F29E2D" w:rsidR="00E05B98" w:rsidRPr="00515717" w:rsidRDefault="00AB44E6">
      <w:pPr>
        <w:pStyle w:val="9"/>
        <w:spacing w:before="168" w:line="295" w:lineRule="auto"/>
        <w:ind w:right="5"/>
        <w:rPr>
          <w:iCs/>
          <w:sz w:val="20"/>
          <w:szCs w:val="20"/>
          <w:lang w:val="uk-UA"/>
        </w:rPr>
      </w:pPr>
      <w:r w:rsidRPr="00515717">
        <w:rPr>
          <w:spacing w:val="-2"/>
          <w:sz w:val="20"/>
          <w:szCs w:val="20"/>
          <w:lang w:val="uk-UA"/>
        </w:rPr>
        <w:t>Область</w:t>
      </w:r>
      <w:r w:rsidR="00B01E0C" w:rsidRPr="00515717">
        <w:rPr>
          <w:spacing w:val="-14"/>
          <w:sz w:val="20"/>
          <w:szCs w:val="20"/>
          <w:lang w:val="uk-UA"/>
        </w:rPr>
        <w:t xml:space="preserve"> </w:t>
      </w:r>
      <w:r w:rsidR="00B01E0C" w:rsidRPr="00515717">
        <w:rPr>
          <w:spacing w:val="-2"/>
          <w:sz w:val="20"/>
          <w:szCs w:val="20"/>
          <w:lang w:val="uk-UA"/>
        </w:rPr>
        <w:t>2</w:t>
      </w:r>
      <w:r w:rsidR="00B01E0C" w:rsidRPr="00515717">
        <w:rPr>
          <w:spacing w:val="-13"/>
          <w:sz w:val="20"/>
          <w:szCs w:val="20"/>
          <w:lang w:val="uk-UA"/>
        </w:rPr>
        <w:t xml:space="preserve"> </w:t>
      </w:r>
      <w:r w:rsidR="00B01E0C" w:rsidRPr="00515717">
        <w:rPr>
          <w:spacing w:val="-2"/>
          <w:sz w:val="20"/>
          <w:szCs w:val="20"/>
          <w:lang w:val="uk-UA"/>
        </w:rPr>
        <w:t>–</w:t>
      </w:r>
      <w:r w:rsidR="00B01E0C" w:rsidRPr="00515717">
        <w:rPr>
          <w:spacing w:val="-13"/>
          <w:sz w:val="20"/>
          <w:szCs w:val="20"/>
          <w:lang w:val="uk-UA"/>
        </w:rPr>
        <w:t xml:space="preserve"> </w:t>
      </w:r>
      <w:r w:rsidRPr="00515717">
        <w:rPr>
          <w:i/>
          <w:spacing w:val="-2"/>
          <w:sz w:val="20"/>
          <w:szCs w:val="20"/>
          <w:lang w:val="uk-UA"/>
        </w:rPr>
        <w:t xml:space="preserve">Безпека: </w:t>
      </w:r>
      <w:r w:rsidRPr="00515717">
        <w:rPr>
          <w:iCs/>
          <w:spacing w:val="-2"/>
          <w:sz w:val="20"/>
          <w:szCs w:val="20"/>
          <w:lang w:val="uk-UA"/>
        </w:rPr>
        <w:t xml:space="preserve">Чи </w:t>
      </w:r>
      <w:r w:rsidR="006046E6">
        <w:rPr>
          <w:iCs/>
          <w:spacing w:val="-2"/>
          <w:sz w:val="20"/>
          <w:szCs w:val="20"/>
          <w:lang w:val="uk-UA"/>
        </w:rPr>
        <w:t xml:space="preserve">викликають </w:t>
      </w:r>
      <w:r w:rsidRPr="00515717">
        <w:rPr>
          <w:iCs/>
          <w:spacing w:val="-2"/>
          <w:sz w:val="20"/>
          <w:szCs w:val="20"/>
          <w:lang w:val="uk-UA"/>
        </w:rPr>
        <w:t xml:space="preserve">тести </w:t>
      </w:r>
      <w:r w:rsidR="00DC0CCA">
        <w:rPr>
          <w:iCs/>
          <w:spacing w:val="-2"/>
          <w:sz w:val="20"/>
          <w:szCs w:val="20"/>
          <w:lang w:val="uk-UA"/>
        </w:rPr>
        <w:t>ШПТБ</w:t>
      </w:r>
      <w:r w:rsidRPr="00515717">
        <w:rPr>
          <w:iCs/>
          <w:spacing w:val="-2"/>
          <w:sz w:val="20"/>
          <w:szCs w:val="20"/>
          <w:lang w:val="uk-UA"/>
        </w:rPr>
        <w:t xml:space="preserve"> для виявлення ТБ-інфекції більш</w:t>
      </w:r>
      <w:r w:rsidR="006046E6">
        <w:rPr>
          <w:iCs/>
          <w:spacing w:val="-2"/>
          <w:sz w:val="20"/>
          <w:szCs w:val="20"/>
          <w:lang w:val="uk-UA"/>
        </w:rPr>
        <w:t>е</w:t>
      </w:r>
      <w:r w:rsidRPr="00515717">
        <w:rPr>
          <w:iCs/>
          <w:spacing w:val="-2"/>
          <w:sz w:val="20"/>
          <w:szCs w:val="20"/>
          <w:lang w:val="uk-UA"/>
        </w:rPr>
        <w:t xml:space="preserve"> побічних реакцій, ніж тести </w:t>
      </w:r>
      <w:r w:rsidR="00D45FA2">
        <w:rPr>
          <w:iCs/>
          <w:spacing w:val="-2"/>
          <w:sz w:val="20"/>
          <w:szCs w:val="20"/>
          <w:lang w:val="uk-UA"/>
        </w:rPr>
        <w:t>ТШП</w:t>
      </w:r>
      <w:r w:rsidRPr="00515717">
        <w:rPr>
          <w:iCs/>
          <w:spacing w:val="-2"/>
          <w:sz w:val="20"/>
          <w:szCs w:val="20"/>
          <w:lang w:val="uk-UA"/>
        </w:rPr>
        <w:t xml:space="preserve"> або АВГІ?</w:t>
      </w:r>
    </w:p>
    <w:p w14:paraId="4C509C5C" w14:textId="38A62ABE" w:rsidR="00AB44E6" w:rsidRPr="00515717" w:rsidRDefault="00AB44E6" w:rsidP="00AB44E6">
      <w:pPr>
        <w:pStyle w:val="a4"/>
        <w:numPr>
          <w:ilvl w:val="0"/>
          <w:numId w:val="11"/>
        </w:numPr>
        <w:tabs>
          <w:tab w:val="left" w:pos="850"/>
        </w:tabs>
        <w:spacing w:before="2" w:line="297" w:lineRule="auto"/>
        <w:ind w:right="142"/>
        <w:rPr>
          <w:sz w:val="20"/>
          <w:szCs w:val="20"/>
          <w:lang w:val="uk-UA"/>
        </w:rPr>
      </w:pPr>
      <w:r w:rsidRPr="00515717">
        <w:rPr>
          <w:sz w:val="20"/>
          <w:szCs w:val="20"/>
          <w:lang w:val="uk-UA"/>
        </w:rPr>
        <w:t xml:space="preserve">Яким є ризик виникнення несприятливих подій при застосуванні тестів </w:t>
      </w:r>
      <w:r w:rsidR="006046E6">
        <w:rPr>
          <w:sz w:val="20"/>
          <w:szCs w:val="20"/>
          <w:lang w:val="uk-UA"/>
        </w:rPr>
        <w:t>ШПТБ</w:t>
      </w:r>
      <w:r w:rsidRPr="00515717">
        <w:rPr>
          <w:sz w:val="20"/>
          <w:szCs w:val="20"/>
          <w:lang w:val="uk-UA"/>
        </w:rPr>
        <w:t xml:space="preserve"> порівняно з чинним тестом </w:t>
      </w:r>
      <w:r w:rsidR="00D45FA2">
        <w:rPr>
          <w:sz w:val="20"/>
          <w:szCs w:val="20"/>
          <w:lang w:val="uk-UA"/>
        </w:rPr>
        <w:t>ТШП</w:t>
      </w:r>
      <w:r w:rsidRPr="00515717">
        <w:rPr>
          <w:sz w:val="20"/>
          <w:szCs w:val="20"/>
          <w:lang w:val="uk-UA"/>
        </w:rPr>
        <w:t xml:space="preserve"> або АВГІ?</w:t>
      </w:r>
    </w:p>
    <w:p w14:paraId="4B8B64C4" w14:textId="375FA248" w:rsidR="00AB44E6" w:rsidRPr="00515717" w:rsidRDefault="00AB44E6" w:rsidP="00AB44E6">
      <w:pPr>
        <w:pStyle w:val="a4"/>
        <w:numPr>
          <w:ilvl w:val="0"/>
          <w:numId w:val="11"/>
        </w:numPr>
        <w:tabs>
          <w:tab w:val="left" w:pos="850"/>
        </w:tabs>
        <w:spacing w:before="2" w:line="297" w:lineRule="auto"/>
        <w:ind w:right="142"/>
        <w:rPr>
          <w:sz w:val="20"/>
          <w:szCs w:val="20"/>
          <w:lang w:val="uk-UA"/>
        </w:rPr>
      </w:pPr>
      <w:r w:rsidRPr="00515717">
        <w:rPr>
          <w:sz w:val="20"/>
          <w:szCs w:val="20"/>
          <w:lang w:val="uk-UA"/>
        </w:rPr>
        <w:t>Розглян</w:t>
      </w:r>
      <w:r w:rsidR="006046E6">
        <w:rPr>
          <w:sz w:val="20"/>
          <w:szCs w:val="20"/>
          <w:lang w:val="uk-UA"/>
        </w:rPr>
        <w:t>ьте</w:t>
      </w:r>
      <w:r w:rsidRPr="00515717">
        <w:rPr>
          <w:sz w:val="20"/>
          <w:szCs w:val="20"/>
          <w:lang w:val="uk-UA"/>
        </w:rPr>
        <w:t xml:space="preserve"> дані про локальні та системні реакції, класифіковані за типом, тяжкістю та серйозністю, а також стратифіковані за підгрупами.</w:t>
      </w:r>
    </w:p>
    <w:p w14:paraId="480C1FB6" w14:textId="2438885C" w:rsidR="00E05B98" w:rsidRPr="00515717" w:rsidRDefault="00AB44E6" w:rsidP="00AB44E6">
      <w:pPr>
        <w:pStyle w:val="a4"/>
        <w:numPr>
          <w:ilvl w:val="0"/>
          <w:numId w:val="11"/>
        </w:numPr>
        <w:tabs>
          <w:tab w:val="left" w:pos="850"/>
        </w:tabs>
        <w:spacing w:before="2" w:line="297" w:lineRule="auto"/>
        <w:ind w:right="142"/>
        <w:jc w:val="left"/>
        <w:rPr>
          <w:sz w:val="20"/>
          <w:szCs w:val="20"/>
          <w:lang w:val="uk-UA"/>
        </w:rPr>
      </w:pPr>
      <w:r w:rsidRPr="00515717">
        <w:rPr>
          <w:sz w:val="20"/>
          <w:szCs w:val="20"/>
          <w:lang w:val="uk-UA"/>
        </w:rPr>
        <w:t>За можливості, обчисл</w:t>
      </w:r>
      <w:r w:rsidR="006046E6">
        <w:rPr>
          <w:sz w:val="20"/>
          <w:szCs w:val="20"/>
          <w:lang w:val="uk-UA"/>
        </w:rPr>
        <w:t>іть</w:t>
      </w:r>
      <w:r w:rsidRPr="00515717">
        <w:rPr>
          <w:sz w:val="20"/>
          <w:szCs w:val="20"/>
          <w:lang w:val="uk-UA"/>
        </w:rPr>
        <w:t xml:space="preserve"> відносні ризики; однак за відсутності контрольної групи, яка б отримувала тест порівн</w:t>
      </w:r>
      <w:r w:rsidR="006046E6">
        <w:rPr>
          <w:sz w:val="20"/>
          <w:szCs w:val="20"/>
          <w:lang w:val="uk-UA"/>
        </w:rPr>
        <w:t>ян</w:t>
      </w:r>
      <w:r w:rsidRPr="00515717">
        <w:rPr>
          <w:sz w:val="20"/>
          <w:szCs w:val="20"/>
          <w:lang w:val="uk-UA"/>
        </w:rPr>
        <w:t>ня, повідом</w:t>
      </w:r>
      <w:r w:rsidR="006046E6">
        <w:rPr>
          <w:sz w:val="20"/>
          <w:szCs w:val="20"/>
          <w:lang w:val="uk-UA"/>
        </w:rPr>
        <w:t>те</w:t>
      </w:r>
      <w:r w:rsidRPr="00515717">
        <w:rPr>
          <w:sz w:val="20"/>
          <w:szCs w:val="20"/>
          <w:lang w:val="uk-UA"/>
        </w:rPr>
        <w:t xml:space="preserve"> про частоту (%) виникнення несприятливих подій.</w:t>
      </w:r>
    </w:p>
    <w:p w14:paraId="14296475" w14:textId="4AB64508" w:rsidR="00E05B98" w:rsidRPr="00515717" w:rsidRDefault="00AB44E6">
      <w:pPr>
        <w:spacing w:before="226" w:line="295" w:lineRule="auto"/>
        <w:ind w:left="567"/>
        <w:rPr>
          <w:rFonts w:ascii="Arial" w:hAnsi="Arial"/>
          <w:b/>
          <w:iCs/>
          <w:sz w:val="20"/>
          <w:szCs w:val="20"/>
          <w:lang w:val="uk-UA"/>
        </w:rPr>
      </w:pPr>
      <w:r w:rsidRPr="00515717">
        <w:rPr>
          <w:rFonts w:ascii="Arial" w:hAnsi="Arial"/>
          <w:b/>
          <w:sz w:val="20"/>
          <w:szCs w:val="20"/>
          <w:lang w:val="uk-UA"/>
        </w:rPr>
        <w:t>Область</w:t>
      </w:r>
      <w:r w:rsidR="00B01E0C" w:rsidRPr="00515717">
        <w:rPr>
          <w:rFonts w:ascii="Arial" w:hAnsi="Arial"/>
          <w:b/>
          <w:sz w:val="20"/>
          <w:szCs w:val="20"/>
          <w:lang w:val="uk-UA"/>
        </w:rPr>
        <w:t xml:space="preserve"> 3 </w:t>
      </w:r>
      <w:r w:rsidR="00B01E0C" w:rsidRPr="00515717">
        <w:rPr>
          <w:rFonts w:ascii="Arial" w:hAnsi="Arial"/>
          <w:b/>
          <w:i/>
          <w:sz w:val="20"/>
          <w:szCs w:val="20"/>
          <w:lang w:val="uk-UA"/>
        </w:rPr>
        <w:t xml:space="preserve">– </w:t>
      </w:r>
      <w:r w:rsidR="00515717" w:rsidRPr="00515717">
        <w:rPr>
          <w:rFonts w:ascii="Arial" w:hAnsi="Arial"/>
          <w:b/>
          <w:i/>
          <w:sz w:val="20"/>
          <w:szCs w:val="20"/>
          <w:lang w:val="uk-UA"/>
        </w:rPr>
        <w:t xml:space="preserve">Аналіз економічної ефективності: </w:t>
      </w:r>
      <w:r w:rsidR="00515717" w:rsidRPr="00515717">
        <w:rPr>
          <w:rFonts w:ascii="Arial" w:hAnsi="Arial"/>
          <w:b/>
          <w:iCs/>
          <w:sz w:val="20"/>
          <w:szCs w:val="20"/>
          <w:lang w:val="uk-UA"/>
        </w:rPr>
        <w:t xml:space="preserve">Які економічні міркування стосовно </w:t>
      </w:r>
      <w:r w:rsidR="006046E6">
        <w:rPr>
          <w:rFonts w:ascii="Arial" w:hAnsi="Arial"/>
          <w:b/>
          <w:iCs/>
          <w:sz w:val="20"/>
          <w:szCs w:val="20"/>
          <w:lang w:val="uk-UA"/>
        </w:rPr>
        <w:t xml:space="preserve">ШПТБ </w:t>
      </w:r>
      <w:r w:rsidR="00515717" w:rsidRPr="00515717">
        <w:rPr>
          <w:rFonts w:ascii="Arial" w:hAnsi="Arial"/>
          <w:b/>
          <w:iCs/>
          <w:sz w:val="20"/>
          <w:szCs w:val="20"/>
          <w:lang w:val="uk-UA"/>
        </w:rPr>
        <w:t xml:space="preserve">у порівнянні з </w:t>
      </w:r>
      <w:r w:rsidR="00D45FA2">
        <w:rPr>
          <w:rFonts w:ascii="Arial" w:hAnsi="Arial"/>
          <w:b/>
          <w:iCs/>
          <w:sz w:val="20"/>
          <w:szCs w:val="20"/>
          <w:lang w:val="uk-UA"/>
        </w:rPr>
        <w:t>ТШП</w:t>
      </w:r>
      <w:r w:rsidR="00515717" w:rsidRPr="00515717">
        <w:rPr>
          <w:rFonts w:ascii="Arial" w:hAnsi="Arial"/>
          <w:b/>
          <w:iCs/>
          <w:sz w:val="20"/>
          <w:szCs w:val="20"/>
          <w:lang w:val="uk-UA"/>
        </w:rPr>
        <w:t xml:space="preserve"> або АВГІ?</w:t>
      </w:r>
    </w:p>
    <w:p w14:paraId="2D59F35D" w14:textId="77777777" w:rsidR="00515717" w:rsidRPr="00515717" w:rsidRDefault="00515717" w:rsidP="00515717">
      <w:pPr>
        <w:pStyle w:val="a4"/>
        <w:numPr>
          <w:ilvl w:val="0"/>
          <w:numId w:val="11"/>
        </w:numPr>
        <w:tabs>
          <w:tab w:val="left" w:pos="850"/>
        </w:tabs>
        <w:rPr>
          <w:sz w:val="20"/>
          <w:szCs w:val="20"/>
          <w:lang w:val="uk-UA"/>
        </w:rPr>
      </w:pPr>
      <w:r w:rsidRPr="00515717">
        <w:rPr>
          <w:sz w:val="20"/>
          <w:szCs w:val="20"/>
          <w:lang w:val="uk-UA"/>
        </w:rPr>
        <w:t>Наскільки великими є потреби в ресурсах (витрати)?</w:t>
      </w:r>
    </w:p>
    <w:p w14:paraId="6EDA02C3" w14:textId="2F2EC5CC" w:rsidR="00515717" w:rsidRPr="00515717" w:rsidRDefault="00515717" w:rsidP="00515717">
      <w:pPr>
        <w:pStyle w:val="a4"/>
        <w:numPr>
          <w:ilvl w:val="0"/>
          <w:numId w:val="11"/>
        </w:numPr>
        <w:tabs>
          <w:tab w:val="left" w:pos="850"/>
        </w:tabs>
        <w:rPr>
          <w:sz w:val="20"/>
          <w:szCs w:val="20"/>
          <w:lang w:val="uk-UA"/>
        </w:rPr>
      </w:pPr>
      <w:r w:rsidRPr="00515717">
        <w:rPr>
          <w:sz w:val="20"/>
          <w:szCs w:val="20"/>
          <w:lang w:val="uk-UA"/>
        </w:rPr>
        <w:t>Наскільки достовірними є докази щодо потреб у ресурсах (витрат)?</w:t>
      </w:r>
    </w:p>
    <w:p w14:paraId="5E30D670" w14:textId="3B7200D1" w:rsidR="00E05B98" w:rsidRPr="00515717" w:rsidRDefault="006046E6" w:rsidP="00515717">
      <w:pPr>
        <w:pStyle w:val="a4"/>
        <w:numPr>
          <w:ilvl w:val="0"/>
          <w:numId w:val="11"/>
        </w:numPr>
        <w:tabs>
          <w:tab w:val="left" w:pos="850"/>
        </w:tabs>
        <w:jc w:val="left"/>
        <w:rPr>
          <w:sz w:val="20"/>
          <w:szCs w:val="20"/>
          <w:lang w:val="uk-UA"/>
        </w:rPr>
      </w:pPr>
      <w:r>
        <w:rPr>
          <w:sz w:val="20"/>
          <w:szCs w:val="20"/>
          <w:lang w:val="uk-UA"/>
        </w:rPr>
        <w:t>Е</w:t>
      </w:r>
      <w:r w:rsidR="00515717" w:rsidRPr="00515717">
        <w:rPr>
          <w:sz w:val="20"/>
          <w:szCs w:val="20"/>
          <w:lang w:val="uk-UA"/>
        </w:rPr>
        <w:t xml:space="preserve">кономічна ефективність інтервенції свідчить на користь інтервенції </w:t>
      </w:r>
      <w:r>
        <w:rPr>
          <w:sz w:val="20"/>
          <w:szCs w:val="20"/>
          <w:lang w:val="uk-UA"/>
        </w:rPr>
        <w:t>чи</w:t>
      </w:r>
      <w:r w:rsidR="00515717" w:rsidRPr="00515717">
        <w:rPr>
          <w:sz w:val="20"/>
          <w:szCs w:val="20"/>
          <w:lang w:val="uk-UA"/>
        </w:rPr>
        <w:t xml:space="preserve"> порівняння?</w:t>
      </w:r>
    </w:p>
    <w:p w14:paraId="129F7F1A" w14:textId="77777777" w:rsidR="00E05B98" w:rsidRPr="003C6DAE" w:rsidRDefault="00E05B98">
      <w:pPr>
        <w:pStyle w:val="a4"/>
        <w:jc w:val="left"/>
        <w:rPr>
          <w:lang w:val="uk-UA"/>
        </w:rPr>
        <w:sectPr w:rsidR="00E05B98" w:rsidRPr="003C6DAE">
          <w:footerReference w:type="even" r:id="rId198"/>
          <w:footerReference w:type="default" r:id="rId199"/>
          <w:pgSz w:w="11910" w:h="16840"/>
          <w:pgMar w:top="1320" w:right="1275" w:bottom="760" w:left="850" w:header="0" w:footer="573" w:gutter="0"/>
          <w:pgNumType w:start="123"/>
          <w:cols w:space="720"/>
        </w:sectPr>
      </w:pPr>
    </w:p>
    <w:p w14:paraId="0BDBB7F4" w14:textId="27D361AC" w:rsidR="00E05B98" w:rsidRPr="00A851F2" w:rsidRDefault="00515717">
      <w:pPr>
        <w:pStyle w:val="9"/>
        <w:spacing w:before="69" w:line="295" w:lineRule="auto"/>
        <w:ind w:right="142"/>
        <w:jc w:val="both"/>
        <w:rPr>
          <w:sz w:val="20"/>
          <w:szCs w:val="20"/>
          <w:lang w:val="uk-UA"/>
        </w:rPr>
      </w:pPr>
      <w:r w:rsidRPr="00A851F2">
        <w:rPr>
          <w:spacing w:val="-2"/>
          <w:sz w:val="20"/>
          <w:szCs w:val="20"/>
          <w:lang w:val="uk-UA"/>
        </w:rPr>
        <w:lastRenderedPageBreak/>
        <w:t>Область</w:t>
      </w:r>
      <w:r w:rsidR="00B01E0C" w:rsidRPr="00A851F2">
        <w:rPr>
          <w:spacing w:val="-11"/>
          <w:sz w:val="20"/>
          <w:szCs w:val="20"/>
          <w:lang w:val="uk-UA"/>
        </w:rPr>
        <w:t xml:space="preserve"> </w:t>
      </w:r>
      <w:r w:rsidR="00B01E0C" w:rsidRPr="00A851F2">
        <w:rPr>
          <w:spacing w:val="-2"/>
          <w:sz w:val="20"/>
          <w:szCs w:val="20"/>
          <w:lang w:val="uk-UA"/>
        </w:rPr>
        <w:t>4</w:t>
      </w:r>
      <w:r w:rsidR="00B01E0C" w:rsidRPr="00A851F2">
        <w:rPr>
          <w:spacing w:val="-13"/>
          <w:sz w:val="20"/>
          <w:szCs w:val="20"/>
          <w:lang w:val="uk-UA"/>
        </w:rPr>
        <w:t xml:space="preserve"> </w:t>
      </w:r>
      <w:r w:rsidR="00B01E0C" w:rsidRPr="00A851F2">
        <w:rPr>
          <w:spacing w:val="-2"/>
          <w:sz w:val="20"/>
          <w:szCs w:val="20"/>
          <w:lang w:val="uk-UA"/>
        </w:rPr>
        <w:t>–</w:t>
      </w:r>
      <w:r w:rsidR="00B01E0C" w:rsidRPr="00A851F2">
        <w:rPr>
          <w:spacing w:val="-11"/>
          <w:sz w:val="20"/>
          <w:szCs w:val="20"/>
          <w:lang w:val="uk-UA"/>
        </w:rPr>
        <w:t xml:space="preserve"> </w:t>
      </w:r>
      <w:r w:rsidR="00A851F2" w:rsidRPr="00A851F2">
        <w:rPr>
          <w:i/>
          <w:spacing w:val="-2"/>
          <w:sz w:val="20"/>
          <w:szCs w:val="20"/>
          <w:lang w:val="uk-UA"/>
        </w:rPr>
        <w:t xml:space="preserve">Точка зору користувача: </w:t>
      </w:r>
      <w:r w:rsidR="00A851F2" w:rsidRPr="00A851F2">
        <w:rPr>
          <w:iCs/>
          <w:spacing w:val="-2"/>
          <w:sz w:val="20"/>
          <w:szCs w:val="20"/>
          <w:lang w:val="uk-UA"/>
        </w:rPr>
        <w:t>Якими є погляди та точки зору кінцевих користувачів</w:t>
      </w:r>
      <w:r w:rsidR="00A851F2" w:rsidRPr="00A851F2">
        <w:rPr>
          <w:iCs/>
          <w:spacing w:val="-2"/>
          <w:sz w:val="20"/>
          <w:szCs w:val="20"/>
          <w:vertAlign w:val="superscript"/>
          <w:lang w:val="uk-UA"/>
        </w:rPr>
        <w:t>4</w:t>
      </w:r>
      <w:r w:rsidR="00A851F2" w:rsidRPr="00A851F2">
        <w:rPr>
          <w:iCs/>
          <w:spacing w:val="-2"/>
          <w:sz w:val="20"/>
          <w:szCs w:val="20"/>
          <w:lang w:val="uk-UA"/>
        </w:rPr>
        <w:t xml:space="preserve"> щодо використання нових шкірних тестів </w:t>
      </w:r>
      <w:r w:rsidR="00A851F2" w:rsidRPr="006046E6">
        <w:rPr>
          <w:i/>
          <w:spacing w:val="-2"/>
          <w:sz w:val="20"/>
          <w:szCs w:val="20"/>
          <w:lang w:val="uk-UA"/>
        </w:rPr>
        <w:t>in vivo</w:t>
      </w:r>
      <w:r w:rsidR="00A851F2" w:rsidRPr="00A851F2">
        <w:rPr>
          <w:iCs/>
          <w:spacing w:val="-2"/>
          <w:sz w:val="20"/>
          <w:szCs w:val="20"/>
          <w:lang w:val="uk-UA"/>
        </w:rPr>
        <w:t xml:space="preserve"> для виявлення ТБ-інфекції?</w:t>
      </w:r>
    </w:p>
    <w:p w14:paraId="5B0221F2" w14:textId="77777777" w:rsidR="00A851F2" w:rsidRPr="00A851F2" w:rsidRDefault="00A851F2" w:rsidP="00A851F2">
      <w:pPr>
        <w:pStyle w:val="a4"/>
        <w:numPr>
          <w:ilvl w:val="0"/>
          <w:numId w:val="11"/>
        </w:numPr>
        <w:tabs>
          <w:tab w:val="left" w:pos="850"/>
        </w:tabs>
        <w:rPr>
          <w:w w:val="105"/>
          <w:sz w:val="20"/>
          <w:szCs w:val="20"/>
          <w:lang w:val="uk-UA"/>
        </w:rPr>
      </w:pPr>
      <w:r w:rsidRPr="00A851F2">
        <w:rPr>
          <w:w w:val="105"/>
          <w:sz w:val="20"/>
          <w:szCs w:val="20"/>
          <w:lang w:val="uk-UA"/>
        </w:rPr>
        <w:t>Чи існує значна невизначеність або варіативність щодо того, наскільки кінцеві користувачі цінують основні результати?</w:t>
      </w:r>
    </w:p>
    <w:p w14:paraId="7BDD252A" w14:textId="030CA4BC" w:rsidR="00A851F2" w:rsidRPr="000532E5" w:rsidRDefault="00A851F2" w:rsidP="00A851F2">
      <w:pPr>
        <w:pStyle w:val="a4"/>
        <w:numPr>
          <w:ilvl w:val="0"/>
          <w:numId w:val="11"/>
        </w:numPr>
        <w:tabs>
          <w:tab w:val="left" w:pos="850"/>
        </w:tabs>
        <w:rPr>
          <w:w w:val="105"/>
          <w:sz w:val="20"/>
          <w:szCs w:val="20"/>
          <w:lang w:val="uk-UA"/>
        </w:rPr>
      </w:pPr>
      <w:r w:rsidRPr="000532E5">
        <w:rPr>
          <w:w w:val="105"/>
          <w:sz w:val="20"/>
          <w:szCs w:val="20"/>
          <w:lang w:val="uk-UA"/>
        </w:rPr>
        <w:t xml:space="preserve">Яким буде вплив на справедливість </w:t>
      </w:r>
      <w:r w:rsidR="00501E8E" w:rsidRPr="000532E5">
        <w:rPr>
          <w:w w:val="105"/>
          <w:sz w:val="20"/>
          <w:szCs w:val="20"/>
          <w:lang w:val="uk-UA"/>
        </w:rPr>
        <w:t xml:space="preserve">щодо </w:t>
      </w:r>
      <w:r w:rsidRPr="000532E5">
        <w:rPr>
          <w:w w:val="105"/>
          <w:sz w:val="20"/>
          <w:szCs w:val="20"/>
          <w:lang w:val="uk-UA"/>
        </w:rPr>
        <w:t>здоров'я?</w:t>
      </w:r>
    </w:p>
    <w:p w14:paraId="6DE7BDCE" w14:textId="59FD63A3" w:rsidR="00A851F2" w:rsidRPr="00A851F2" w:rsidRDefault="00A851F2" w:rsidP="00A851F2">
      <w:pPr>
        <w:pStyle w:val="a4"/>
        <w:numPr>
          <w:ilvl w:val="0"/>
          <w:numId w:val="11"/>
        </w:numPr>
        <w:tabs>
          <w:tab w:val="left" w:pos="850"/>
        </w:tabs>
        <w:rPr>
          <w:w w:val="105"/>
          <w:sz w:val="20"/>
          <w:szCs w:val="20"/>
          <w:lang w:val="uk-UA"/>
        </w:rPr>
      </w:pPr>
      <w:r w:rsidRPr="00A851F2">
        <w:rPr>
          <w:w w:val="105"/>
          <w:sz w:val="20"/>
          <w:szCs w:val="20"/>
          <w:lang w:val="uk-UA"/>
        </w:rPr>
        <w:t>Чи надання інтервенції є прийнятною для ключових зацікавлених сторін?</w:t>
      </w:r>
    </w:p>
    <w:p w14:paraId="6B8817D0" w14:textId="311D4044" w:rsidR="00E05B98" w:rsidRPr="00A851F2" w:rsidRDefault="00A851F2" w:rsidP="00A851F2">
      <w:pPr>
        <w:pStyle w:val="a4"/>
        <w:numPr>
          <w:ilvl w:val="0"/>
          <w:numId w:val="11"/>
        </w:numPr>
        <w:tabs>
          <w:tab w:val="left" w:pos="850"/>
        </w:tabs>
        <w:jc w:val="left"/>
        <w:rPr>
          <w:sz w:val="20"/>
          <w:szCs w:val="20"/>
          <w:lang w:val="uk-UA"/>
        </w:rPr>
      </w:pPr>
      <w:r w:rsidRPr="00A851F2">
        <w:rPr>
          <w:w w:val="105"/>
          <w:sz w:val="20"/>
          <w:szCs w:val="20"/>
          <w:lang w:val="uk-UA"/>
        </w:rPr>
        <w:t>Чи можливо реалізувати інтервенцію?</w:t>
      </w:r>
    </w:p>
    <w:p w14:paraId="5F066472" w14:textId="77777777" w:rsidR="00E05B98" w:rsidRPr="00A851F2" w:rsidRDefault="00E05B98">
      <w:pPr>
        <w:pStyle w:val="a3"/>
        <w:spacing w:before="38"/>
        <w:rPr>
          <w:sz w:val="20"/>
          <w:szCs w:val="20"/>
          <w:lang w:val="uk-UA"/>
        </w:rPr>
      </w:pPr>
    </w:p>
    <w:p w14:paraId="134865B9" w14:textId="3CAA8EE5" w:rsidR="00E05B98" w:rsidRPr="00A851F2" w:rsidRDefault="00294179">
      <w:pPr>
        <w:pStyle w:val="a3"/>
        <w:spacing w:line="297" w:lineRule="auto"/>
        <w:ind w:left="567" w:right="139"/>
        <w:jc w:val="both"/>
        <w:rPr>
          <w:sz w:val="20"/>
          <w:szCs w:val="20"/>
          <w:lang w:val="uk-UA"/>
        </w:rPr>
      </w:pPr>
      <w:r w:rsidRPr="00294179">
        <w:rPr>
          <w:sz w:val="20"/>
          <w:szCs w:val="20"/>
          <w:lang w:val="uk-UA"/>
        </w:rPr>
        <w:t>Достовірність доказів об'єднаних досліджень оцінювали систематично за допомогою запитань PICO, використовуючи підхід GRADE (оцінка, розробка та аналіз ре</w:t>
      </w:r>
      <w:r w:rsidR="006046E6">
        <w:rPr>
          <w:sz w:val="20"/>
          <w:szCs w:val="20"/>
          <w:lang w:val="uk-UA"/>
        </w:rPr>
        <w:t>к</w:t>
      </w:r>
      <w:r w:rsidRPr="00294179">
        <w:rPr>
          <w:sz w:val="20"/>
          <w:szCs w:val="20"/>
          <w:lang w:val="uk-UA"/>
        </w:rPr>
        <w:t>ом</w:t>
      </w:r>
      <w:r w:rsidR="006046E6">
        <w:rPr>
          <w:sz w:val="20"/>
          <w:szCs w:val="20"/>
          <w:lang w:val="uk-UA"/>
        </w:rPr>
        <w:t>е</w:t>
      </w:r>
      <w:r w:rsidRPr="00294179">
        <w:rPr>
          <w:sz w:val="20"/>
          <w:szCs w:val="20"/>
          <w:lang w:val="uk-UA"/>
        </w:rPr>
        <w:t>ндацій) (2, 3). Підхід GRADE забезпечує загальну оцінку якості (або достовірності) доказів і має структуру для перетворення доказових даних у рекомендації; крім того, в рамках цього підходу, навіть якщо дослідження діагностичної точності мають обсерваційний дизайн, вони приймаються як високоякісні докази.</w:t>
      </w:r>
    </w:p>
    <w:p w14:paraId="5B732ACB" w14:textId="5995DC9F" w:rsidR="00E05B98" w:rsidRPr="00A851F2" w:rsidRDefault="00294179">
      <w:pPr>
        <w:pStyle w:val="a3"/>
        <w:spacing w:before="169" w:line="297" w:lineRule="auto"/>
        <w:ind w:left="567" w:right="133"/>
        <w:jc w:val="both"/>
        <w:rPr>
          <w:sz w:val="20"/>
          <w:szCs w:val="20"/>
          <w:lang w:val="uk-UA"/>
        </w:rPr>
      </w:pPr>
      <w:r w:rsidRPr="00294179">
        <w:rPr>
          <w:spacing w:val="-2"/>
          <w:sz w:val="20"/>
          <w:szCs w:val="20"/>
          <w:lang w:val="uk-UA"/>
        </w:rPr>
        <w:t xml:space="preserve">Для створення зведених таблиць результатів було використано </w:t>
      </w:r>
      <w:r w:rsidR="00501E8E">
        <w:rPr>
          <w:spacing w:val="-2"/>
          <w:sz w:val="20"/>
          <w:szCs w:val="20"/>
          <w:lang w:val="uk-UA"/>
        </w:rPr>
        <w:t xml:space="preserve">інструмент розробки настанов </w:t>
      </w:r>
      <w:r w:rsidRPr="00294179">
        <w:rPr>
          <w:spacing w:val="-2"/>
          <w:sz w:val="20"/>
          <w:szCs w:val="20"/>
          <w:lang w:val="uk-UA"/>
        </w:rPr>
        <w:t xml:space="preserve">GRADEpro </w:t>
      </w:r>
      <w:r w:rsidR="00501E8E">
        <w:rPr>
          <w:spacing w:val="-2"/>
          <w:sz w:val="20"/>
          <w:szCs w:val="20"/>
          <w:lang w:val="uk-UA"/>
        </w:rPr>
        <w:t xml:space="preserve"> (програмне забезпечення</w:t>
      </w:r>
      <w:r w:rsidR="00501E8E" w:rsidRPr="00501E8E">
        <w:rPr>
          <w:spacing w:val="-2"/>
          <w:sz w:val="20"/>
          <w:szCs w:val="20"/>
          <w:lang w:val="uk-UA"/>
        </w:rPr>
        <w:t xml:space="preserve">, яке використовується для створення таблиць </w:t>
      </w:r>
      <w:r w:rsidR="00501E8E">
        <w:rPr>
          <w:spacing w:val="-2"/>
          <w:sz w:val="20"/>
          <w:szCs w:val="20"/>
          <w:lang w:val="uk-UA"/>
        </w:rPr>
        <w:t>зведених</w:t>
      </w:r>
      <w:r w:rsidR="00501E8E" w:rsidRPr="00501E8E">
        <w:rPr>
          <w:spacing w:val="-2"/>
          <w:sz w:val="20"/>
          <w:szCs w:val="20"/>
          <w:lang w:val="uk-UA"/>
        </w:rPr>
        <w:t xml:space="preserve"> результатів </w:t>
      </w:r>
      <w:r w:rsidR="006D3165">
        <w:rPr>
          <w:spacing w:val="-2"/>
          <w:sz w:val="20"/>
          <w:szCs w:val="20"/>
          <w:lang w:val="uk-UA"/>
        </w:rPr>
        <w:t>систематичних оглядів Кокрана)</w:t>
      </w:r>
      <w:r w:rsidR="00501E8E" w:rsidRPr="00501E8E">
        <w:rPr>
          <w:spacing w:val="-2"/>
          <w:sz w:val="20"/>
          <w:szCs w:val="20"/>
          <w:lang w:val="uk-UA"/>
        </w:rPr>
        <w:t xml:space="preserve"> </w:t>
      </w:r>
      <w:r w:rsidRPr="00294179">
        <w:rPr>
          <w:spacing w:val="-2"/>
          <w:sz w:val="20"/>
          <w:szCs w:val="20"/>
          <w:lang w:val="uk-UA"/>
        </w:rPr>
        <w:t>(</w:t>
      </w:r>
      <w:r w:rsidRPr="006046E6">
        <w:rPr>
          <w:i/>
          <w:iCs/>
          <w:spacing w:val="-2"/>
          <w:sz w:val="20"/>
          <w:szCs w:val="20"/>
          <w:lang w:val="uk-UA"/>
        </w:rPr>
        <w:t>4</w:t>
      </w:r>
      <w:r w:rsidRPr="00294179">
        <w:rPr>
          <w:spacing w:val="-2"/>
          <w:sz w:val="20"/>
          <w:szCs w:val="20"/>
          <w:lang w:val="uk-UA"/>
        </w:rPr>
        <w:t>). Якість доказів була оцінена як висока (не було знижено), помірна (знижена на один рівень), низька (знижена на два рівні) або дуже низька (знижена більш ніж на два рівні) на основі п'яти факторів: ризик</w:t>
      </w:r>
      <w:r w:rsidR="006046E6">
        <w:rPr>
          <w:spacing w:val="-2"/>
          <w:sz w:val="20"/>
          <w:szCs w:val="20"/>
          <w:lang w:val="uk-UA"/>
        </w:rPr>
        <w:t>и</w:t>
      </w:r>
      <w:r w:rsidRPr="00294179">
        <w:rPr>
          <w:spacing w:val="-2"/>
          <w:sz w:val="20"/>
          <w:szCs w:val="20"/>
          <w:lang w:val="uk-UA"/>
        </w:rPr>
        <w:t xml:space="preserve"> систематичної похибки,  опосередкованість, неузгодженість результатів між дослідженнями, неточність та інші міркування.</w:t>
      </w:r>
      <w:r w:rsidR="00B01E0C" w:rsidRPr="00A851F2">
        <w:rPr>
          <w:spacing w:val="-6"/>
          <w:sz w:val="20"/>
          <w:szCs w:val="20"/>
          <w:lang w:val="uk-UA"/>
        </w:rPr>
        <w:t xml:space="preserve"> </w:t>
      </w:r>
      <w:r w:rsidRPr="00294179">
        <w:rPr>
          <w:spacing w:val="-4"/>
          <w:sz w:val="20"/>
          <w:szCs w:val="20"/>
          <w:lang w:val="uk-UA"/>
        </w:rPr>
        <w:t>Якість (достовірність) доказів знижувал</w:t>
      </w:r>
      <w:r w:rsidR="006046E6">
        <w:rPr>
          <w:spacing w:val="-4"/>
          <w:sz w:val="20"/>
          <w:szCs w:val="20"/>
          <w:lang w:val="uk-UA"/>
        </w:rPr>
        <w:t>и</w:t>
      </w:r>
      <w:r w:rsidRPr="00294179">
        <w:rPr>
          <w:spacing w:val="-4"/>
          <w:sz w:val="20"/>
          <w:szCs w:val="20"/>
          <w:lang w:val="uk-UA"/>
        </w:rPr>
        <w:t xml:space="preserve"> на один рівень при виявленні серйозної проблеми і на два рівні при виявленні дуже серйозної проблеми в будь-якому з факторів, що використовуються для оцінки якості доказів. Для даних систематичних оглядів, які мали якісний характер, використовували інструмент GRADE-CERQual</w:t>
      </w:r>
      <w:r w:rsidR="00B01E0C" w:rsidRPr="00A851F2">
        <w:rPr>
          <w:sz w:val="20"/>
          <w:szCs w:val="20"/>
          <w:lang w:val="uk-UA"/>
        </w:rPr>
        <w:t>.</w:t>
      </w:r>
      <w:r w:rsidR="004F72F9" w:rsidRPr="004F72F9">
        <w:rPr>
          <w:lang w:val="ru-RU"/>
        </w:rPr>
        <w:t xml:space="preserve"> </w:t>
      </w:r>
      <w:r w:rsidR="004F72F9" w:rsidRPr="004F72F9">
        <w:rPr>
          <w:sz w:val="20"/>
          <w:szCs w:val="20"/>
          <w:lang w:val="uk-UA"/>
        </w:rPr>
        <w:t>Інструмент вивчає методологічні обмеження включених досліджень, узгодженість кожного висновку огляду, повноту даних на підтримку висновку огляду та відповідність включених досліджень питанням огляду дослідження; він використовується для оцінки якості даних, отриманих у ході проведення якісних досліджень</w:t>
      </w:r>
      <w:r w:rsidR="00B01E0C" w:rsidRPr="00A851F2">
        <w:rPr>
          <w:sz w:val="20"/>
          <w:szCs w:val="20"/>
          <w:lang w:val="uk-UA"/>
        </w:rPr>
        <w:t>.</w:t>
      </w:r>
    </w:p>
    <w:p w14:paraId="6C3D9D9D" w14:textId="45436C18" w:rsidR="00E05B98" w:rsidRPr="00A851F2" w:rsidRDefault="007A2732" w:rsidP="00FF4A3D">
      <w:pPr>
        <w:pStyle w:val="a3"/>
        <w:spacing w:before="153" w:line="268" w:lineRule="auto"/>
        <w:ind w:left="567" w:right="149"/>
        <w:jc w:val="both"/>
        <w:rPr>
          <w:sz w:val="20"/>
          <w:szCs w:val="20"/>
          <w:lang w:val="uk-UA"/>
        </w:rPr>
      </w:pPr>
      <w:r w:rsidRPr="007A2732">
        <w:rPr>
          <w:spacing w:val="-4"/>
          <w:sz w:val="20"/>
          <w:szCs w:val="20"/>
          <w:lang w:val="uk-UA"/>
        </w:rPr>
        <w:t>Синтез даних був структурований навколо попередньо поставленого запитання PICO, як зазначено вище. Наступні веб-додатки надають додаткову інформацію для синтезу та аналізу доказів:</w:t>
      </w:r>
    </w:p>
    <w:p w14:paraId="12D47125" w14:textId="1B3D63D6" w:rsidR="00E05B98" w:rsidRPr="00A851F2" w:rsidRDefault="007A2732" w:rsidP="00FF4A3D">
      <w:pPr>
        <w:pStyle w:val="a4"/>
        <w:numPr>
          <w:ilvl w:val="0"/>
          <w:numId w:val="11"/>
        </w:numPr>
        <w:tabs>
          <w:tab w:val="left" w:pos="850"/>
        </w:tabs>
        <w:spacing w:before="113" w:line="295" w:lineRule="auto"/>
        <w:ind w:right="144"/>
        <w:rPr>
          <w:rFonts w:ascii="Arial" w:hAnsi="Arial"/>
          <w:i/>
          <w:sz w:val="20"/>
          <w:szCs w:val="20"/>
          <w:lang w:val="uk-UA"/>
        </w:rPr>
      </w:pPr>
      <w:r w:rsidRPr="007A2732">
        <w:rPr>
          <w:b/>
          <w:bCs/>
          <w:i/>
          <w:iCs/>
          <w:sz w:val="20"/>
          <w:szCs w:val="20"/>
          <w:lang w:val="uk-UA"/>
        </w:rPr>
        <w:t>Веб-додаток А.</w:t>
      </w:r>
      <w:r w:rsidRPr="007A2732">
        <w:rPr>
          <w:sz w:val="20"/>
          <w:szCs w:val="20"/>
          <w:lang w:val="uk-UA"/>
        </w:rPr>
        <w:t xml:space="preserve"> </w:t>
      </w:r>
      <w:r w:rsidRPr="007A2732">
        <w:rPr>
          <w:i/>
          <w:iCs/>
          <w:sz w:val="20"/>
          <w:szCs w:val="20"/>
          <w:lang w:val="uk-UA"/>
        </w:rPr>
        <w:t xml:space="preserve">Точність шкірних тестів на основі антигену </w:t>
      </w:r>
      <w:r w:rsidRPr="007A2732">
        <w:rPr>
          <w:i/>
          <w:iCs/>
          <w:sz w:val="20"/>
          <w:szCs w:val="20"/>
        </w:rPr>
        <w:t>Mycobacterium</w:t>
      </w:r>
      <w:r w:rsidRPr="007A2732">
        <w:rPr>
          <w:i/>
          <w:iCs/>
          <w:sz w:val="20"/>
          <w:szCs w:val="20"/>
          <w:lang w:val="uk-UA"/>
        </w:rPr>
        <w:t xml:space="preserve"> </w:t>
      </w:r>
      <w:r w:rsidRPr="007A2732">
        <w:rPr>
          <w:i/>
          <w:iCs/>
          <w:sz w:val="20"/>
          <w:szCs w:val="20"/>
        </w:rPr>
        <w:t>tuberculosis</w:t>
      </w:r>
      <w:r w:rsidRPr="007A2732">
        <w:rPr>
          <w:i/>
          <w:iCs/>
          <w:sz w:val="20"/>
          <w:szCs w:val="20"/>
          <w:lang w:val="uk-UA"/>
        </w:rPr>
        <w:t>: систематичний огляд та метааналіз</w:t>
      </w:r>
    </w:p>
    <w:p w14:paraId="7B055B80" w14:textId="26B8D488" w:rsidR="00E05B98" w:rsidRPr="007A2732" w:rsidRDefault="007A2732" w:rsidP="00FF4A3D">
      <w:pPr>
        <w:pStyle w:val="a4"/>
        <w:numPr>
          <w:ilvl w:val="0"/>
          <w:numId w:val="11"/>
        </w:numPr>
        <w:tabs>
          <w:tab w:val="left" w:pos="850"/>
        </w:tabs>
        <w:spacing w:before="0" w:line="295" w:lineRule="auto"/>
        <w:ind w:right="140"/>
        <w:rPr>
          <w:rFonts w:ascii="Arial" w:hAnsi="Arial"/>
          <w:i/>
          <w:iCs/>
          <w:sz w:val="20"/>
          <w:szCs w:val="20"/>
          <w:lang w:val="uk-UA"/>
        </w:rPr>
      </w:pPr>
      <w:r w:rsidRPr="007A2732">
        <w:rPr>
          <w:b/>
          <w:bCs/>
          <w:i/>
          <w:iCs/>
          <w:sz w:val="20"/>
          <w:szCs w:val="20"/>
          <w:lang w:val="uk-UA"/>
        </w:rPr>
        <w:t xml:space="preserve">Веб-додаток </w:t>
      </w:r>
      <w:r w:rsidRPr="007A2732">
        <w:rPr>
          <w:b/>
          <w:bCs/>
          <w:i/>
          <w:iCs/>
          <w:sz w:val="20"/>
          <w:szCs w:val="20"/>
        </w:rPr>
        <w:t>B</w:t>
      </w:r>
      <w:r w:rsidRPr="007A2732">
        <w:rPr>
          <w:b/>
          <w:bCs/>
          <w:i/>
          <w:iCs/>
          <w:sz w:val="20"/>
          <w:szCs w:val="20"/>
          <w:lang w:val="uk-UA"/>
        </w:rPr>
        <w:t>.</w:t>
      </w:r>
      <w:r w:rsidRPr="007A2732">
        <w:rPr>
          <w:i/>
          <w:iCs/>
          <w:sz w:val="20"/>
          <w:szCs w:val="20"/>
          <w:lang w:val="uk-UA"/>
        </w:rPr>
        <w:t xml:space="preserve"> Безпека шкірних тестів на основі антигену </w:t>
      </w:r>
      <w:r w:rsidRPr="007A2732">
        <w:rPr>
          <w:i/>
          <w:iCs/>
          <w:sz w:val="20"/>
          <w:szCs w:val="20"/>
        </w:rPr>
        <w:t>Mycobacterium</w:t>
      </w:r>
      <w:r w:rsidRPr="007A2732">
        <w:rPr>
          <w:i/>
          <w:iCs/>
          <w:sz w:val="20"/>
          <w:szCs w:val="20"/>
          <w:lang w:val="uk-UA"/>
        </w:rPr>
        <w:t xml:space="preserve"> </w:t>
      </w:r>
      <w:r w:rsidRPr="007A2732">
        <w:rPr>
          <w:i/>
          <w:iCs/>
          <w:sz w:val="20"/>
          <w:szCs w:val="20"/>
        </w:rPr>
        <w:t>tuberculosis</w:t>
      </w:r>
      <w:r w:rsidRPr="007A2732">
        <w:rPr>
          <w:i/>
          <w:iCs/>
          <w:sz w:val="20"/>
          <w:szCs w:val="20"/>
          <w:lang w:val="uk-UA"/>
        </w:rPr>
        <w:t>: систематичний огляд та метааналіз</w:t>
      </w:r>
    </w:p>
    <w:p w14:paraId="17942D25" w14:textId="7C8B1C07" w:rsidR="00E05B98" w:rsidRPr="007A2732" w:rsidRDefault="007A2732" w:rsidP="00FF4A3D">
      <w:pPr>
        <w:pStyle w:val="a4"/>
        <w:numPr>
          <w:ilvl w:val="0"/>
          <w:numId w:val="11"/>
        </w:numPr>
        <w:tabs>
          <w:tab w:val="left" w:pos="850"/>
        </w:tabs>
        <w:spacing w:before="0" w:line="251" w:lineRule="exact"/>
        <w:ind w:hanging="283"/>
        <w:rPr>
          <w:rFonts w:ascii="Arial" w:hAnsi="Arial"/>
          <w:i/>
          <w:iCs/>
          <w:sz w:val="20"/>
          <w:szCs w:val="20"/>
          <w:lang w:val="uk-UA"/>
        </w:rPr>
      </w:pPr>
      <w:r w:rsidRPr="007A2732">
        <w:rPr>
          <w:b/>
          <w:bCs/>
          <w:i/>
          <w:iCs/>
          <w:sz w:val="20"/>
          <w:szCs w:val="20"/>
          <w:lang w:val="uk-UA"/>
        </w:rPr>
        <w:t xml:space="preserve">Веб-додаток </w:t>
      </w:r>
      <w:r w:rsidRPr="007A2732">
        <w:rPr>
          <w:b/>
          <w:bCs/>
          <w:i/>
          <w:iCs/>
          <w:sz w:val="20"/>
          <w:szCs w:val="20"/>
        </w:rPr>
        <w:t>C</w:t>
      </w:r>
      <w:r w:rsidRPr="007A2732">
        <w:rPr>
          <w:b/>
          <w:bCs/>
          <w:i/>
          <w:iCs/>
          <w:sz w:val="20"/>
          <w:szCs w:val="20"/>
          <w:lang w:val="uk-UA"/>
        </w:rPr>
        <w:t>.</w:t>
      </w:r>
      <w:r w:rsidRPr="007A2732">
        <w:rPr>
          <w:i/>
          <w:iCs/>
          <w:sz w:val="20"/>
          <w:szCs w:val="20"/>
          <w:lang w:val="uk-UA"/>
        </w:rPr>
        <w:t xml:space="preserve"> Профілі </w:t>
      </w:r>
      <w:r w:rsidRPr="007A2732">
        <w:rPr>
          <w:i/>
          <w:iCs/>
          <w:sz w:val="20"/>
          <w:szCs w:val="20"/>
        </w:rPr>
        <w:t>GRADE</w:t>
      </w:r>
      <w:r w:rsidRPr="007A2732">
        <w:rPr>
          <w:i/>
          <w:iCs/>
          <w:sz w:val="20"/>
          <w:szCs w:val="20"/>
          <w:lang w:val="uk-UA"/>
        </w:rPr>
        <w:t xml:space="preserve"> шкірних тестів на основі антигену </w:t>
      </w:r>
      <w:r w:rsidRPr="007A2732">
        <w:rPr>
          <w:i/>
          <w:iCs/>
          <w:sz w:val="20"/>
          <w:szCs w:val="20"/>
        </w:rPr>
        <w:t>Mycobacterium</w:t>
      </w:r>
      <w:r w:rsidRPr="007A2732">
        <w:rPr>
          <w:i/>
          <w:iCs/>
          <w:sz w:val="20"/>
          <w:szCs w:val="20"/>
          <w:lang w:val="uk-UA"/>
        </w:rPr>
        <w:t xml:space="preserve"> </w:t>
      </w:r>
      <w:r w:rsidRPr="007A2732">
        <w:rPr>
          <w:i/>
          <w:iCs/>
          <w:sz w:val="20"/>
          <w:szCs w:val="20"/>
        </w:rPr>
        <w:t>tuberculosis</w:t>
      </w:r>
    </w:p>
    <w:p w14:paraId="2A94B0CC" w14:textId="630582CB" w:rsidR="00E05B98" w:rsidRPr="007A2732" w:rsidRDefault="007A2732" w:rsidP="00FF4A3D">
      <w:pPr>
        <w:pStyle w:val="a4"/>
        <w:numPr>
          <w:ilvl w:val="0"/>
          <w:numId w:val="11"/>
        </w:numPr>
        <w:tabs>
          <w:tab w:val="left" w:pos="850"/>
        </w:tabs>
        <w:spacing w:before="55" w:line="295" w:lineRule="auto"/>
        <w:ind w:right="140"/>
        <w:rPr>
          <w:rFonts w:ascii="Arial" w:hAnsi="Arial"/>
          <w:i/>
          <w:iCs/>
          <w:sz w:val="20"/>
          <w:szCs w:val="20"/>
          <w:lang w:val="uk-UA"/>
        </w:rPr>
      </w:pPr>
      <w:r w:rsidRPr="007A2732">
        <w:rPr>
          <w:b/>
          <w:bCs/>
          <w:i/>
          <w:iCs/>
          <w:sz w:val="20"/>
          <w:szCs w:val="20"/>
          <w:lang w:val="uk-UA"/>
        </w:rPr>
        <w:t xml:space="preserve">Веб-додаток </w:t>
      </w:r>
      <w:r w:rsidRPr="007A2732">
        <w:rPr>
          <w:b/>
          <w:bCs/>
          <w:i/>
          <w:iCs/>
          <w:sz w:val="20"/>
          <w:szCs w:val="20"/>
        </w:rPr>
        <w:t>D</w:t>
      </w:r>
      <w:r w:rsidRPr="007A2732">
        <w:rPr>
          <w:b/>
          <w:bCs/>
          <w:i/>
          <w:iCs/>
          <w:sz w:val="20"/>
          <w:szCs w:val="20"/>
          <w:lang w:val="uk-UA"/>
        </w:rPr>
        <w:t>.</w:t>
      </w:r>
      <w:r w:rsidRPr="007A2732">
        <w:rPr>
          <w:i/>
          <w:iCs/>
          <w:sz w:val="20"/>
          <w:szCs w:val="20"/>
          <w:lang w:val="uk-UA"/>
        </w:rPr>
        <w:t xml:space="preserve"> Економічна ефективність шкірних тестів на основі антигену </w:t>
      </w:r>
      <w:r w:rsidRPr="007A2732">
        <w:rPr>
          <w:i/>
          <w:iCs/>
          <w:sz w:val="20"/>
          <w:szCs w:val="20"/>
        </w:rPr>
        <w:t>Mycobacterium</w:t>
      </w:r>
      <w:r w:rsidRPr="007A2732">
        <w:rPr>
          <w:i/>
          <w:iCs/>
          <w:sz w:val="20"/>
          <w:szCs w:val="20"/>
          <w:lang w:val="uk-UA"/>
        </w:rPr>
        <w:t xml:space="preserve"> </w:t>
      </w:r>
      <w:r w:rsidRPr="007A2732">
        <w:rPr>
          <w:i/>
          <w:iCs/>
          <w:sz w:val="20"/>
          <w:szCs w:val="20"/>
        </w:rPr>
        <w:t>tuberculosis</w:t>
      </w:r>
      <w:r w:rsidRPr="007A2732">
        <w:rPr>
          <w:i/>
          <w:iCs/>
          <w:sz w:val="20"/>
          <w:szCs w:val="20"/>
          <w:lang w:val="uk-UA"/>
        </w:rPr>
        <w:t>: систематичний огляд</w:t>
      </w:r>
    </w:p>
    <w:p w14:paraId="254F391C" w14:textId="2301E42F" w:rsidR="00E05B98" w:rsidRPr="00FF4A3D" w:rsidRDefault="00FF4A3D" w:rsidP="00FF4A3D">
      <w:pPr>
        <w:pStyle w:val="a4"/>
        <w:numPr>
          <w:ilvl w:val="0"/>
          <w:numId w:val="11"/>
        </w:numPr>
        <w:tabs>
          <w:tab w:val="left" w:pos="850"/>
        </w:tabs>
        <w:spacing w:before="0" w:line="295" w:lineRule="auto"/>
        <w:ind w:right="139"/>
        <w:rPr>
          <w:rFonts w:ascii="Arial" w:hAnsi="Arial"/>
          <w:i/>
          <w:iCs/>
          <w:sz w:val="20"/>
          <w:szCs w:val="20"/>
          <w:lang w:val="uk-UA"/>
        </w:rPr>
      </w:pPr>
      <w:r w:rsidRPr="00FF4A3D">
        <w:rPr>
          <w:b/>
          <w:bCs/>
          <w:i/>
          <w:iCs/>
          <w:sz w:val="20"/>
          <w:szCs w:val="20"/>
          <w:lang w:val="uk-UA"/>
        </w:rPr>
        <w:t xml:space="preserve">Веб-додаток </w:t>
      </w:r>
      <w:r w:rsidRPr="00FF4A3D">
        <w:rPr>
          <w:b/>
          <w:bCs/>
          <w:i/>
          <w:iCs/>
          <w:sz w:val="20"/>
          <w:szCs w:val="20"/>
        </w:rPr>
        <w:t>E</w:t>
      </w:r>
      <w:r w:rsidRPr="00FF4A3D">
        <w:rPr>
          <w:b/>
          <w:bCs/>
          <w:i/>
          <w:iCs/>
          <w:sz w:val="20"/>
          <w:szCs w:val="20"/>
          <w:lang w:val="uk-UA"/>
        </w:rPr>
        <w:t>.</w:t>
      </w:r>
      <w:r w:rsidRPr="00FF4A3D">
        <w:rPr>
          <w:i/>
          <w:iCs/>
          <w:sz w:val="20"/>
          <w:szCs w:val="20"/>
          <w:lang w:val="uk-UA"/>
        </w:rPr>
        <w:t xml:space="preserve"> Моделювання економічних доказів використання шкірних тестів на основі антигену </w:t>
      </w:r>
      <w:r w:rsidRPr="00FF4A3D">
        <w:rPr>
          <w:i/>
          <w:iCs/>
          <w:sz w:val="20"/>
          <w:szCs w:val="20"/>
        </w:rPr>
        <w:t>Mycobacterium</w:t>
      </w:r>
      <w:r w:rsidRPr="00FF4A3D">
        <w:rPr>
          <w:i/>
          <w:iCs/>
          <w:sz w:val="20"/>
          <w:szCs w:val="20"/>
          <w:lang w:val="uk-UA"/>
        </w:rPr>
        <w:t xml:space="preserve"> </w:t>
      </w:r>
      <w:r w:rsidRPr="00FF4A3D">
        <w:rPr>
          <w:i/>
          <w:iCs/>
          <w:sz w:val="20"/>
          <w:szCs w:val="20"/>
        </w:rPr>
        <w:t>tuberculosis</w:t>
      </w:r>
    </w:p>
    <w:p w14:paraId="6B4EA715" w14:textId="2E87351D" w:rsidR="00E05B98" w:rsidRPr="00FF4A3D" w:rsidRDefault="00FF4A3D" w:rsidP="00FF4A3D">
      <w:pPr>
        <w:pStyle w:val="a4"/>
        <w:numPr>
          <w:ilvl w:val="0"/>
          <w:numId w:val="11"/>
        </w:numPr>
        <w:tabs>
          <w:tab w:val="left" w:pos="850"/>
        </w:tabs>
        <w:spacing w:before="0" w:line="295" w:lineRule="auto"/>
        <w:ind w:right="139"/>
        <w:rPr>
          <w:rFonts w:ascii="Arial" w:hAnsi="Arial"/>
          <w:i/>
          <w:iCs/>
          <w:sz w:val="20"/>
          <w:szCs w:val="20"/>
          <w:lang w:val="uk-UA"/>
        </w:rPr>
      </w:pPr>
      <w:r w:rsidRPr="00FF4A3D">
        <w:rPr>
          <w:b/>
          <w:bCs/>
          <w:i/>
          <w:iCs/>
          <w:sz w:val="20"/>
          <w:szCs w:val="20"/>
          <w:lang w:val="uk-UA"/>
        </w:rPr>
        <w:t xml:space="preserve">Веб-додаток </w:t>
      </w:r>
      <w:r w:rsidRPr="00FF4A3D">
        <w:rPr>
          <w:b/>
          <w:bCs/>
          <w:i/>
          <w:iCs/>
          <w:sz w:val="20"/>
          <w:szCs w:val="20"/>
        </w:rPr>
        <w:t>F</w:t>
      </w:r>
      <w:r w:rsidRPr="00FF4A3D">
        <w:rPr>
          <w:b/>
          <w:bCs/>
          <w:i/>
          <w:iCs/>
          <w:sz w:val="20"/>
          <w:szCs w:val="20"/>
          <w:lang w:val="uk-UA"/>
        </w:rPr>
        <w:t>.</w:t>
      </w:r>
      <w:r w:rsidRPr="00FF4A3D">
        <w:rPr>
          <w:i/>
          <w:iCs/>
          <w:sz w:val="20"/>
          <w:szCs w:val="20"/>
          <w:lang w:val="uk-UA"/>
        </w:rPr>
        <w:t xml:space="preserve"> Якісні докази використання шкірних тестів на основі антигену </w:t>
      </w:r>
      <w:r w:rsidRPr="00FF4A3D">
        <w:rPr>
          <w:i/>
          <w:iCs/>
          <w:sz w:val="20"/>
          <w:szCs w:val="20"/>
        </w:rPr>
        <w:t>Mycobacterium</w:t>
      </w:r>
      <w:r w:rsidRPr="00FF4A3D">
        <w:rPr>
          <w:i/>
          <w:iCs/>
          <w:sz w:val="20"/>
          <w:szCs w:val="20"/>
          <w:lang w:val="uk-UA"/>
        </w:rPr>
        <w:t xml:space="preserve"> </w:t>
      </w:r>
      <w:r w:rsidRPr="00FF4A3D">
        <w:rPr>
          <w:i/>
          <w:iCs/>
          <w:sz w:val="20"/>
          <w:szCs w:val="20"/>
        </w:rPr>
        <w:t>tuberculosis</w:t>
      </w:r>
    </w:p>
    <w:p w14:paraId="436CCE82" w14:textId="32CB7A52" w:rsidR="00E05B98" w:rsidRPr="00FF4A3D" w:rsidRDefault="00FF4A3D" w:rsidP="00FF4A3D">
      <w:pPr>
        <w:pStyle w:val="a4"/>
        <w:numPr>
          <w:ilvl w:val="0"/>
          <w:numId w:val="11"/>
        </w:numPr>
        <w:tabs>
          <w:tab w:val="left" w:pos="850"/>
        </w:tabs>
        <w:spacing w:before="0" w:line="295" w:lineRule="auto"/>
        <w:ind w:right="139"/>
        <w:rPr>
          <w:rFonts w:ascii="Arial" w:hAnsi="Arial"/>
          <w:i/>
          <w:iCs/>
          <w:sz w:val="20"/>
          <w:szCs w:val="20"/>
          <w:lang w:val="uk-UA"/>
        </w:rPr>
      </w:pPr>
      <w:r w:rsidRPr="00FF4A3D">
        <w:rPr>
          <w:b/>
          <w:bCs/>
          <w:i/>
          <w:iCs/>
          <w:sz w:val="20"/>
          <w:szCs w:val="20"/>
          <w:lang w:val="uk-UA"/>
        </w:rPr>
        <w:t xml:space="preserve">Веб-додаток </w:t>
      </w:r>
      <w:r w:rsidRPr="00FF4A3D">
        <w:rPr>
          <w:b/>
          <w:bCs/>
          <w:i/>
          <w:iCs/>
          <w:sz w:val="20"/>
          <w:szCs w:val="20"/>
        </w:rPr>
        <w:t>G</w:t>
      </w:r>
      <w:r w:rsidRPr="00FF4A3D">
        <w:rPr>
          <w:b/>
          <w:bCs/>
          <w:i/>
          <w:iCs/>
          <w:sz w:val="20"/>
          <w:szCs w:val="20"/>
          <w:lang w:val="uk-UA"/>
        </w:rPr>
        <w:t>.</w:t>
      </w:r>
      <w:r w:rsidRPr="00FF4A3D">
        <w:rPr>
          <w:i/>
          <w:iCs/>
          <w:sz w:val="20"/>
          <w:szCs w:val="20"/>
          <w:lang w:val="uk-UA"/>
        </w:rPr>
        <w:t xml:space="preserve"> Шкірні тести на основі антигену </w:t>
      </w:r>
      <w:r w:rsidRPr="00FF4A3D">
        <w:rPr>
          <w:i/>
          <w:iCs/>
          <w:sz w:val="20"/>
          <w:szCs w:val="20"/>
        </w:rPr>
        <w:t>Mycobacterium</w:t>
      </w:r>
      <w:r w:rsidRPr="00FF4A3D">
        <w:rPr>
          <w:i/>
          <w:iCs/>
          <w:sz w:val="20"/>
          <w:szCs w:val="20"/>
          <w:lang w:val="uk-UA"/>
        </w:rPr>
        <w:t xml:space="preserve"> </w:t>
      </w:r>
      <w:r w:rsidRPr="00FF4A3D">
        <w:rPr>
          <w:i/>
          <w:iCs/>
          <w:sz w:val="20"/>
          <w:szCs w:val="20"/>
        </w:rPr>
        <w:t>tuberculosis</w:t>
      </w:r>
      <w:r w:rsidRPr="00FF4A3D">
        <w:rPr>
          <w:i/>
          <w:iCs/>
          <w:sz w:val="20"/>
          <w:szCs w:val="20"/>
          <w:lang w:val="uk-UA"/>
        </w:rPr>
        <w:t>: таблиця «доказів для прийняття рішення»</w:t>
      </w:r>
      <w:r>
        <w:rPr>
          <w:i/>
          <w:iCs/>
          <w:sz w:val="20"/>
          <w:szCs w:val="20"/>
          <w:lang w:val="uk-UA"/>
        </w:rPr>
        <w:t>.</w:t>
      </w:r>
    </w:p>
    <w:p w14:paraId="403B310F" w14:textId="77777777" w:rsidR="00E05B98" w:rsidRPr="00A851F2" w:rsidRDefault="00E05B98" w:rsidP="00FF4A3D">
      <w:pPr>
        <w:pStyle w:val="a4"/>
        <w:spacing w:line="295" w:lineRule="auto"/>
        <w:rPr>
          <w:rFonts w:ascii="Arial" w:hAnsi="Arial"/>
          <w:i/>
          <w:sz w:val="20"/>
          <w:szCs w:val="20"/>
          <w:lang w:val="uk-UA"/>
        </w:rPr>
        <w:sectPr w:rsidR="00E05B98" w:rsidRPr="00A851F2">
          <w:pgSz w:w="11910" w:h="16840"/>
          <w:pgMar w:top="1300" w:right="1275" w:bottom="760" w:left="850" w:header="0" w:footer="573" w:gutter="0"/>
          <w:cols w:space="720"/>
        </w:sectPr>
      </w:pPr>
    </w:p>
    <w:p w14:paraId="39D5F281" w14:textId="68162F85" w:rsidR="00E05B98" w:rsidRPr="00DF6F29" w:rsidRDefault="00DF6F29">
      <w:pPr>
        <w:pStyle w:val="5"/>
        <w:spacing w:before="45"/>
        <w:jc w:val="both"/>
        <w:rPr>
          <w:sz w:val="26"/>
          <w:szCs w:val="26"/>
          <w:lang w:val="uk-UA"/>
        </w:rPr>
      </w:pPr>
      <w:r w:rsidRPr="00DF6F29">
        <w:rPr>
          <w:color w:val="019648"/>
          <w:w w:val="105"/>
          <w:sz w:val="26"/>
          <w:szCs w:val="26"/>
          <w:lang w:val="uk-UA"/>
        </w:rPr>
        <w:lastRenderedPageBreak/>
        <w:t>Діагностична точність</w:t>
      </w:r>
    </w:p>
    <w:p w14:paraId="5FC50179" w14:textId="4B56E936" w:rsidR="00E05B98" w:rsidRPr="00FF4A3D" w:rsidRDefault="00DB4AD8" w:rsidP="00794491">
      <w:pPr>
        <w:pStyle w:val="a3"/>
        <w:spacing w:before="219" w:line="269" w:lineRule="auto"/>
        <w:ind w:left="567" w:right="132"/>
        <w:jc w:val="both"/>
        <w:rPr>
          <w:sz w:val="20"/>
          <w:szCs w:val="20"/>
          <w:lang w:val="uk-UA"/>
        </w:rPr>
      </w:pPr>
      <w:r w:rsidRPr="00DB4AD8">
        <w:rPr>
          <w:sz w:val="20"/>
          <w:szCs w:val="20"/>
          <w:lang w:val="uk-UA"/>
        </w:rPr>
        <w:t>Бул</w:t>
      </w:r>
      <w:r w:rsidR="00303010">
        <w:rPr>
          <w:sz w:val="20"/>
          <w:szCs w:val="20"/>
          <w:lang w:val="uk-UA"/>
        </w:rPr>
        <w:t>и</w:t>
      </w:r>
      <w:r w:rsidRPr="00DB4AD8">
        <w:rPr>
          <w:sz w:val="20"/>
          <w:szCs w:val="20"/>
          <w:lang w:val="uk-UA"/>
        </w:rPr>
        <w:t xml:space="preserve"> виявлен</w:t>
      </w:r>
      <w:r w:rsidR="00303010">
        <w:rPr>
          <w:sz w:val="20"/>
          <w:szCs w:val="20"/>
          <w:lang w:val="uk-UA"/>
        </w:rPr>
        <w:t>і</w:t>
      </w:r>
      <w:r w:rsidRPr="00DB4AD8">
        <w:rPr>
          <w:sz w:val="20"/>
          <w:szCs w:val="20"/>
          <w:lang w:val="uk-UA"/>
        </w:rPr>
        <w:t xml:space="preserve"> дослідження діагностичної точності, які оцінювали чутливість, специфічність та відповідність (конкордантність) тестів </w:t>
      </w:r>
      <w:r w:rsidR="00303010">
        <w:rPr>
          <w:sz w:val="20"/>
          <w:szCs w:val="20"/>
          <w:lang w:val="uk-UA"/>
        </w:rPr>
        <w:t>ШПТБ</w:t>
      </w:r>
      <w:r w:rsidRPr="00DB4AD8">
        <w:rPr>
          <w:sz w:val="20"/>
          <w:szCs w:val="20"/>
          <w:lang w:val="uk-UA"/>
        </w:rPr>
        <w:t xml:space="preserve">. Не було виявлено досліджень щодо ефективності ПЛТ на основі результатів діагностичних тестів, щодо прогностичної цінності розвитку </w:t>
      </w:r>
      <w:r w:rsidR="00303010">
        <w:rPr>
          <w:sz w:val="20"/>
          <w:szCs w:val="20"/>
          <w:lang w:val="uk-UA"/>
        </w:rPr>
        <w:t>ТБ-</w:t>
      </w:r>
      <w:r w:rsidRPr="00DB4AD8">
        <w:rPr>
          <w:sz w:val="20"/>
          <w:szCs w:val="20"/>
          <w:lang w:val="uk-UA"/>
        </w:rPr>
        <w:t>захворювання або  частки осіб, які розпочали ПЛТ.</w:t>
      </w:r>
    </w:p>
    <w:p w14:paraId="23D66B28" w14:textId="00E24DF4" w:rsidR="00E05B98" w:rsidRPr="00FF4A3D" w:rsidRDefault="00D70499" w:rsidP="00794491">
      <w:pPr>
        <w:pStyle w:val="a3"/>
        <w:spacing w:before="175" w:line="269" w:lineRule="auto"/>
        <w:ind w:left="567" w:right="135"/>
        <w:jc w:val="both"/>
        <w:rPr>
          <w:sz w:val="20"/>
          <w:szCs w:val="20"/>
          <w:lang w:val="uk-UA"/>
        </w:rPr>
      </w:pPr>
      <w:r w:rsidRPr="00D70499">
        <w:rPr>
          <w:sz w:val="20"/>
          <w:szCs w:val="20"/>
          <w:lang w:val="uk-UA"/>
        </w:rPr>
        <w:t xml:space="preserve">Оцінені докази для </w:t>
      </w:r>
      <w:r w:rsidR="00303010">
        <w:rPr>
          <w:sz w:val="20"/>
          <w:szCs w:val="20"/>
          <w:lang w:val="uk-UA"/>
        </w:rPr>
        <w:t xml:space="preserve">тестів </w:t>
      </w:r>
      <w:r w:rsidRPr="00D70499">
        <w:rPr>
          <w:sz w:val="20"/>
          <w:szCs w:val="20"/>
          <w:lang w:val="uk-UA"/>
        </w:rPr>
        <w:t>Cy-Tb і C-TST включають рекомендовану виробником індурацію розміром не менше 5 мм в якості порогового значення. Згідно з інструкцією по застосуванню Діаскінтесту, наявність індурації будь-якого розміру вважається позитивною відповіддю. Однак оцінені докази також включали деякі дослідження стосовно Діаскінтесту, під час яких в якості порогового значення використовували індурацію розміром принаймні в 5 мм, із зазначенням, де це доречно.</w:t>
      </w:r>
    </w:p>
    <w:p w14:paraId="73D99C18" w14:textId="084E86E8" w:rsidR="00E05B98" w:rsidRPr="003C6DAE" w:rsidRDefault="00DF6F29" w:rsidP="00794491">
      <w:pPr>
        <w:pStyle w:val="9"/>
        <w:spacing w:before="172" w:line="269" w:lineRule="auto"/>
        <w:rPr>
          <w:lang w:val="uk-UA"/>
        </w:rPr>
      </w:pPr>
      <w:r>
        <w:rPr>
          <w:spacing w:val="-2"/>
          <w:lang w:val="uk-UA"/>
        </w:rPr>
        <w:t>Чутливість</w:t>
      </w:r>
    </w:p>
    <w:p w14:paraId="7E463841" w14:textId="777757FA" w:rsidR="00E05B98" w:rsidRPr="00D70499" w:rsidRDefault="00380B90" w:rsidP="00794491">
      <w:pPr>
        <w:pStyle w:val="a3"/>
        <w:spacing w:before="231" w:line="269" w:lineRule="auto"/>
        <w:ind w:left="567" w:right="137"/>
        <w:jc w:val="both"/>
        <w:rPr>
          <w:rFonts w:ascii="Arial" w:hAnsi="Arial"/>
          <w:b/>
          <w:sz w:val="20"/>
          <w:szCs w:val="20"/>
          <w:lang w:val="uk-UA"/>
        </w:rPr>
      </w:pPr>
      <w:r w:rsidRPr="00380B90">
        <w:rPr>
          <w:sz w:val="20"/>
          <w:szCs w:val="20"/>
          <w:lang w:val="uk-UA"/>
        </w:rPr>
        <w:t>Загалом 20 досліджень</w:t>
      </w:r>
      <w:r w:rsidR="00303010">
        <w:rPr>
          <w:sz w:val="20"/>
          <w:szCs w:val="20"/>
          <w:lang w:val="uk-UA"/>
        </w:rPr>
        <w:t>, що включали</w:t>
      </w:r>
      <w:r w:rsidRPr="00380B90">
        <w:rPr>
          <w:sz w:val="20"/>
          <w:szCs w:val="20"/>
          <w:lang w:val="uk-UA"/>
        </w:rPr>
        <w:t xml:space="preserve"> 1627 </w:t>
      </w:r>
      <w:r w:rsidR="00303010">
        <w:rPr>
          <w:sz w:val="20"/>
          <w:szCs w:val="20"/>
          <w:lang w:val="uk-UA"/>
        </w:rPr>
        <w:t>учасників,</w:t>
      </w:r>
      <w:r w:rsidRPr="00380B90">
        <w:rPr>
          <w:sz w:val="20"/>
          <w:szCs w:val="20"/>
          <w:lang w:val="uk-UA"/>
        </w:rPr>
        <w:t xml:space="preserve"> надали дані для оцінки чутливості тестів </w:t>
      </w:r>
      <w:r w:rsidR="00303010">
        <w:rPr>
          <w:sz w:val="20"/>
          <w:szCs w:val="20"/>
          <w:lang w:val="uk-UA"/>
        </w:rPr>
        <w:t xml:space="preserve">ШПТБ </w:t>
      </w:r>
      <w:r w:rsidRPr="00380B90">
        <w:rPr>
          <w:sz w:val="20"/>
          <w:szCs w:val="20"/>
          <w:lang w:val="uk-UA"/>
        </w:rPr>
        <w:t xml:space="preserve">у людей з мікробіологічно підтвердженим ТБ, що використовували в якості проксі-фактора для чутливості при діагностуванні ТБ-інфекції. Із них: у шести дослідженнях за участю 539 осіб здійснювали пряме порівняння тестів </w:t>
      </w:r>
      <w:r w:rsidR="00D45FA2">
        <w:rPr>
          <w:sz w:val="20"/>
          <w:szCs w:val="20"/>
          <w:lang w:val="uk-UA"/>
        </w:rPr>
        <w:t>ТШП</w:t>
      </w:r>
      <w:r w:rsidRPr="00380B90">
        <w:rPr>
          <w:sz w:val="20"/>
          <w:szCs w:val="20"/>
          <w:lang w:val="uk-UA"/>
        </w:rPr>
        <w:t xml:space="preserve"> або АВГІ  (або обидва); 17 досліджень включали 1276 учасників, які були ВІЛ-негативними або чий ВІЛ-статус був невідомий; п'ять досліджень включали 317 ЛЖВ; і чотири дослідження включали 34 учасники віком до 18 років. Із включених досліджень, 14 оцінювали Діаскінтест, чотири - Cy-Tb і три - C-TST, як показано на </w:t>
      </w:r>
      <w:r w:rsidRPr="00380B90">
        <w:rPr>
          <w:b/>
          <w:bCs/>
          <w:sz w:val="20"/>
          <w:szCs w:val="20"/>
          <w:lang w:val="uk-UA"/>
        </w:rPr>
        <w:t>Рис. 3.1.1.1-3.1.1.2</w:t>
      </w:r>
      <w:r w:rsidRPr="00380B90">
        <w:rPr>
          <w:sz w:val="20"/>
          <w:szCs w:val="20"/>
          <w:lang w:val="uk-UA"/>
        </w:rPr>
        <w:t>.</w:t>
      </w:r>
    </w:p>
    <w:p w14:paraId="66E91969" w14:textId="77777777" w:rsidR="00E05B98" w:rsidRPr="003C6DAE" w:rsidRDefault="00E05B98">
      <w:pPr>
        <w:pStyle w:val="a3"/>
        <w:spacing w:before="12"/>
        <w:rPr>
          <w:rFonts w:ascii="Arial"/>
          <w:b/>
          <w:lang w:val="uk-UA"/>
        </w:rPr>
      </w:pPr>
    </w:p>
    <w:p w14:paraId="1780BE78" w14:textId="4BC0F84A" w:rsidR="00E05B98" w:rsidRPr="00226806" w:rsidRDefault="00226806">
      <w:pPr>
        <w:pStyle w:val="6"/>
        <w:spacing w:before="0"/>
        <w:rPr>
          <w:sz w:val="20"/>
          <w:szCs w:val="20"/>
          <w:lang w:val="uk-UA"/>
        </w:rPr>
      </w:pPr>
      <w:bookmarkStart w:id="97" w:name="_bookmark45"/>
      <w:bookmarkEnd w:id="97"/>
      <w:r w:rsidRPr="00226806">
        <w:rPr>
          <w:color w:val="636466"/>
          <w:spacing w:val="-2"/>
          <w:sz w:val="20"/>
          <w:szCs w:val="20"/>
          <w:lang w:val="uk-UA"/>
        </w:rPr>
        <w:t>Рис. 3.1.1.2 Чутливість ШПТБ у всіх дослідженнях за участю осіб з ВІЛ-негативним або невідомим статусом</w:t>
      </w:r>
    </w:p>
    <w:p w14:paraId="4117B598" w14:textId="1CE75FDC" w:rsidR="00E05B98" w:rsidRPr="003C6DAE" w:rsidRDefault="00794491">
      <w:pPr>
        <w:pStyle w:val="a3"/>
        <w:spacing w:before="7"/>
        <w:rPr>
          <w:rFonts w:ascii="Arial"/>
          <w:b/>
          <w:sz w:val="17"/>
          <w:lang w:val="uk-UA"/>
        </w:rPr>
      </w:pPr>
      <w:r>
        <w:rPr>
          <w:rFonts w:ascii="Arial"/>
          <w:b/>
          <w:noProof/>
          <w:sz w:val="17"/>
          <w:lang w:val="uk-UA"/>
        </w:rPr>
        <mc:AlternateContent>
          <mc:Choice Requires="wps">
            <w:drawing>
              <wp:anchor distT="0" distB="0" distL="114300" distR="114300" simplePos="0" relativeHeight="488169984" behindDoc="0" locked="0" layoutInCell="1" allowOverlap="1" wp14:anchorId="73553271" wp14:editId="13FA48B0">
                <wp:simplePos x="0" y="0"/>
                <wp:positionH relativeFrom="column">
                  <wp:posOffset>355600</wp:posOffset>
                </wp:positionH>
                <wp:positionV relativeFrom="paragraph">
                  <wp:posOffset>4363085</wp:posOffset>
                </wp:positionV>
                <wp:extent cx="6248400" cy="660400"/>
                <wp:effectExtent l="0" t="0" r="0" b="6350"/>
                <wp:wrapNone/>
                <wp:docPr id="54097479" name="Поле 1915"/>
                <wp:cNvGraphicFramePr/>
                <a:graphic xmlns:a="http://schemas.openxmlformats.org/drawingml/2006/main">
                  <a:graphicData uri="http://schemas.microsoft.com/office/word/2010/wordprocessingShape">
                    <wps:wsp>
                      <wps:cNvSpPr txBox="1"/>
                      <wps:spPr>
                        <a:xfrm>
                          <a:off x="0" y="0"/>
                          <a:ext cx="6248400" cy="660400"/>
                        </a:xfrm>
                        <a:prstGeom prst="rect">
                          <a:avLst/>
                        </a:prstGeom>
                        <a:solidFill>
                          <a:schemeClr val="lt1"/>
                        </a:solidFill>
                        <a:ln w="6350">
                          <a:noFill/>
                        </a:ln>
                      </wps:spPr>
                      <wps:txbx>
                        <w:txbxContent>
                          <w:p w14:paraId="5B41BE8A" w14:textId="103365DD" w:rsidR="007372B2" w:rsidRPr="00226806" w:rsidRDefault="007372B2">
                            <w:pPr>
                              <w:rPr>
                                <w:sz w:val="16"/>
                                <w:szCs w:val="16"/>
                                <w:lang w:val="uk-UA"/>
                              </w:rPr>
                            </w:pPr>
                            <w:r w:rsidRPr="00CE302F">
                              <w:rPr>
                                <w:b/>
                                <w:bCs/>
                                <w:sz w:val="16"/>
                                <w:szCs w:val="16"/>
                                <w:u w:val="single"/>
                                <w:lang w:val="uk-UA"/>
                              </w:rPr>
                              <w:t>Примітки перекладача</w:t>
                            </w:r>
                            <w:r>
                              <w:rPr>
                                <w:sz w:val="16"/>
                                <w:szCs w:val="16"/>
                                <w:lang w:val="uk-UA"/>
                              </w:rPr>
                              <w:t>. ШПТБ:</w:t>
                            </w:r>
                            <w:r w:rsidRPr="000532E5">
                              <w:rPr>
                                <w:sz w:val="16"/>
                                <w:szCs w:val="16"/>
                                <w:lang w:val="uk-UA"/>
                              </w:rPr>
                              <w:t xml:space="preserve"> шкірні тести на основі антигену </w:t>
                            </w:r>
                            <w:r w:rsidRPr="000532E5">
                              <w:rPr>
                                <w:i/>
                                <w:iCs/>
                                <w:sz w:val="16"/>
                                <w:szCs w:val="16"/>
                                <w:lang w:val="uk-UA"/>
                              </w:rPr>
                              <w:t>Mtb</w:t>
                            </w:r>
                            <w:r>
                              <w:rPr>
                                <w:i/>
                                <w:iCs/>
                                <w:sz w:val="16"/>
                                <w:szCs w:val="16"/>
                                <w:lang w:val="uk-UA"/>
                              </w:rPr>
                              <w:t>;</w:t>
                            </w:r>
                            <w:r w:rsidRPr="000532E5">
                              <w:rPr>
                                <w:sz w:val="16"/>
                                <w:szCs w:val="16"/>
                                <w:lang w:val="uk-UA"/>
                              </w:rPr>
                              <w:t xml:space="preserve"> ДІ: довірчий інтервал; </w:t>
                            </w:r>
                            <w:r w:rsidRPr="000532E5">
                              <w:rPr>
                                <w:sz w:val="16"/>
                                <w:szCs w:val="16"/>
                              </w:rPr>
                              <w:t>TP</w:t>
                            </w:r>
                            <w:r w:rsidRPr="000532E5">
                              <w:rPr>
                                <w:sz w:val="16"/>
                                <w:szCs w:val="16"/>
                                <w:lang w:val="uk-UA"/>
                              </w:rPr>
                              <w:t xml:space="preserve">: істинно  позитивний результат; </w:t>
                            </w:r>
                            <w:r w:rsidRPr="000532E5">
                              <w:rPr>
                                <w:sz w:val="16"/>
                                <w:szCs w:val="16"/>
                              </w:rPr>
                              <w:t>TP</w:t>
                            </w:r>
                            <w:r w:rsidRPr="000532E5">
                              <w:rPr>
                                <w:sz w:val="16"/>
                                <w:szCs w:val="16"/>
                                <w:lang w:val="uk-UA"/>
                              </w:rPr>
                              <w:t>+</w:t>
                            </w:r>
                            <w:r w:rsidRPr="000532E5">
                              <w:rPr>
                                <w:sz w:val="16"/>
                                <w:szCs w:val="16"/>
                              </w:rPr>
                              <w:t>FN</w:t>
                            </w:r>
                            <w:r w:rsidRPr="000532E5">
                              <w:rPr>
                                <w:sz w:val="16"/>
                                <w:szCs w:val="16"/>
                                <w:lang w:val="uk-UA"/>
                              </w:rPr>
                              <w:t xml:space="preserve">: істинно позитивний результат + хибнонегатиний результат; </w:t>
                            </w:r>
                            <w:r w:rsidRPr="000532E5">
                              <w:rPr>
                                <w:sz w:val="16"/>
                                <w:szCs w:val="16"/>
                              </w:rPr>
                              <w:t>Group</w:t>
                            </w:r>
                            <w:r w:rsidRPr="000532E5">
                              <w:rPr>
                                <w:sz w:val="16"/>
                                <w:szCs w:val="16"/>
                                <w:lang w:val="uk-UA"/>
                              </w:rPr>
                              <w:t>=</w:t>
                            </w:r>
                            <w:r w:rsidRPr="000532E5">
                              <w:rPr>
                                <w:sz w:val="16"/>
                                <w:szCs w:val="16"/>
                              </w:rPr>
                              <w:t>TST</w:t>
                            </w:r>
                            <w:r w:rsidRPr="000532E5">
                              <w:rPr>
                                <w:sz w:val="16"/>
                                <w:szCs w:val="16"/>
                                <w:lang w:val="uk-UA"/>
                              </w:rPr>
                              <w:t xml:space="preserve">: група використання ШТП; </w:t>
                            </w:r>
                            <w:r w:rsidRPr="000532E5">
                              <w:rPr>
                                <w:sz w:val="16"/>
                                <w:szCs w:val="16"/>
                              </w:rPr>
                              <w:t>group</w:t>
                            </w:r>
                            <w:r w:rsidRPr="000532E5">
                              <w:rPr>
                                <w:sz w:val="16"/>
                                <w:szCs w:val="16"/>
                                <w:lang w:val="uk-UA"/>
                              </w:rPr>
                              <w:t>=</w:t>
                            </w:r>
                            <w:r w:rsidRPr="000532E5">
                              <w:rPr>
                                <w:sz w:val="16"/>
                                <w:szCs w:val="16"/>
                              </w:rPr>
                              <w:t>IGRA</w:t>
                            </w:r>
                            <w:r w:rsidRPr="000532E5">
                              <w:rPr>
                                <w:sz w:val="16"/>
                                <w:szCs w:val="16"/>
                                <w:lang w:val="uk-UA"/>
                              </w:rPr>
                              <w:t xml:space="preserve"> (</w:t>
                            </w:r>
                            <w:r w:rsidRPr="000532E5">
                              <w:rPr>
                                <w:sz w:val="16"/>
                                <w:szCs w:val="16"/>
                              </w:rPr>
                              <w:t>QFT</w:t>
                            </w:r>
                            <w:r w:rsidRPr="000532E5">
                              <w:rPr>
                                <w:sz w:val="16"/>
                                <w:szCs w:val="16"/>
                                <w:lang w:val="uk-UA"/>
                              </w:rPr>
                              <w:t>): група викор</w:t>
                            </w:r>
                            <w:r w:rsidRPr="00226806">
                              <w:rPr>
                                <w:sz w:val="16"/>
                                <w:szCs w:val="16"/>
                                <w:lang w:val="uk-UA"/>
                              </w:rPr>
                              <w:t>истання АВГІ (</w:t>
                            </w:r>
                            <w:r w:rsidRPr="00226806">
                              <w:rPr>
                                <w:sz w:val="16"/>
                                <w:szCs w:val="16"/>
                              </w:rPr>
                              <w:t>QFT</w:t>
                            </w:r>
                            <w:r w:rsidRPr="00226806">
                              <w:rPr>
                                <w:sz w:val="16"/>
                                <w:szCs w:val="16"/>
                                <w:lang w:val="uk-UA"/>
                              </w:rPr>
                              <w:t xml:space="preserve">); </w:t>
                            </w:r>
                            <w:r w:rsidRPr="00226806">
                              <w:rPr>
                                <w:sz w:val="16"/>
                                <w:szCs w:val="16"/>
                              </w:rPr>
                              <w:t>group</w:t>
                            </w:r>
                            <w:r w:rsidRPr="00226806">
                              <w:rPr>
                                <w:sz w:val="16"/>
                                <w:szCs w:val="16"/>
                                <w:lang w:val="uk-UA"/>
                              </w:rPr>
                              <w:t>=</w:t>
                            </w:r>
                            <w:r w:rsidRPr="00226806">
                              <w:rPr>
                                <w:sz w:val="16"/>
                                <w:szCs w:val="16"/>
                              </w:rPr>
                              <w:t>TBST</w:t>
                            </w:r>
                            <w:r w:rsidRPr="00226806">
                              <w:rPr>
                                <w:sz w:val="16"/>
                                <w:szCs w:val="16"/>
                                <w:lang w:val="uk-UA"/>
                              </w:rPr>
                              <w:t>: група використання Ш</w:t>
                            </w:r>
                            <w:r>
                              <w:rPr>
                                <w:sz w:val="16"/>
                                <w:szCs w:val="16"/>
                                <w:lang w:val="uk-UA"/>
                              </w:rPr>
                              <w:t>П</w:t>
                            </w:r>
                            <w:r w:rsidRPr="00226806">
                              <w:rPr>
                                <w:sz w:val="16"/>
                                <w:szCs w:val="16"/>
                                <w:lang w:val="uk-UA"/>
                              </w:rPr>
                              <w:t>ТБ</w:t>
                            </w:r>
                            <w:r>
                              <w:rPr>
                                <w:sz w:val="16"/>
                                <w:szCs w:val="16"/>
                                <w:lang w:val="uk-UA"/>
                              </w:rPr>
                              <w:t>;</w:t>
                            </w:r>
                            <w:r w:rsidRPr="00226806">
                              <w:rPr>
                                <w:sz w:val="16"/>
                                <w:szCs w:val="16"/>
                                <w:lang w:val="uk-UA"/>
                              </w:rPr>
                              <w:t xml:space="preserve"> </w:t>
                            </w:r>
                            <w:r>
                              <w:rPr>
                                <w:sz w:val="16"/>
                                <w:szCs w:val="16"/>
                              </w:rPr>
                              <w:t>R</w:t>
                            </w:r>
                            <w:r w:rsidRPr="00226806">
                              <w:rPr>
                                <w:sz w:val="16"/>
                                <w:szCs w:val="16"/>
                              </w:rPr>
                              <w:t>andom</w:t>
                            </w:r>
                            <w:r w:rsidRPr="00226806">
                              <w:rPr>
                                <w:sz w:val="16"/>
                                <w:szCs w:val="16"/>
                                <w:lang w:val="uk-UA"/>
                              </w:rPr>
                              <w:t xml:space="preserve"> </w:t>
                            </w:r>
                            <w:r w:rsidRPr="00226806">
                              <w:rPr>
                                <w:sz w:val="16"/>
                                <w:szCs w:val="16"/>
                              </w:rPr>
                              <w:t>affects</w:t>
                            </w:r>
                            <w:r w:rsidRPr="00226806">
                              <w:rPr>
                                <w:sz w:val="16"/>
                                <w:szCs w:val="16"/>
                                <w:lang w:val="uk-UA"/>
                              </w:rPr>
                              <w:t xml:space="preserve"> </w:t>
                            </w:r>
                            <w:r w:rsidRPr="00226806">
                              <w:rPr>
                                <w:sz w:val="16"/>
                                <w:szCs w:val="16"/>
                              </w:rPr>
                              <w:t>model</w:t>
                            </w:r>
                            <w:r w:rsidRPr="00226806">
                              <w:rPr>
                                <w:sz w:val="16"/>
                                <w:szCs w:val="16"/>
                                <w:lang w:val="uk-UA"/>
                              </w:rPr>
                              <w:t xml:space="preserve">: </w:t>
                            </w:r>
                            <w:r>
                              <w:rPr>
                                <w:sz w:val="16"/>
                                <w:szCs w:val="16"/>
                                <w:lang w:val="uk-UA"/>
                              </w:rPr>
                              <w:t>модель випадкових ефектів</w:t>
                            </w:r>
                            <w:r w:rsidRPr="00226806">
                              <w:rPr>
                                <w:sz w:val="16"/>
                                <w:szCs w:val="16"/>
                                <w:lang w:val="uk-UA"/>
                              </w:rPr>
                              <w:t xml:space="preserve">; </w:t>
                            </w:r>
                            <w:r w:rsidRPr="00226806">
                              <w:rPr>
                                <w:sz w:val="16"/>
                                <w:szCs w:val="16"/>
                              </w:rPr>
                              <w:t>Heterogeneity</w:t>
                            </w:r>
                            <w:r w:rsidRPr="00226806">
                              <w:rPr>
                                <w:sz w:val="16"/>
                                <w:szCs w:val="16"/>
                                <w:lang w:val="uk-UA"/>
                              </w:rPr>
                              <w:t xml:space="preserve">: </w:t>
                            </w:r>
                            <w:r>
                              <w:rPr>
                                <w:sz w:val="16"/>
                                <w:szCs w:val="16"/>
                                <w:lang w:val="uk-UA"/>
                              </w:rPr>
                              <w:t xml:space="preserve">неоднорідність; </w:t>
                            </w:r>
                            <w:r w:rsidRPr="00226806">
                              <w:rPr>
                                <w:sz w:val="16"/>
                                <w:szCs w:val="16"/>
                              </w:rPr>
                              <w:t>Test</w:t>
                            </w:r>
                            <w:r w:rsidRPr="00226806">
                              <w:rPr>
                                <w:sz w:val="16"/>
                                <w:szCs w:val="16"/>
                                <w:lang w:val="uk-UA"/>
                              </w:rPr>
                              <w:t xml:space="preserve"> </w:t>
                            </w:r>
                            <w:r w:rsidRPr="00226806">
                              <w:rPr>
                                <w:sz w:val="16"/>
                                <w:szCs w:val="16"/>
                              </w:rPr>
                              <w:t>for</w:t>
                            </w:r>
                            <w:r w:rsidRPr="00226806">
                              <w:rPr>
                                <w:sz w:val="16"/>
                                <w:szCs w:val="16"/>
                                <w:lang w:val="uk-UA"/>
                              </w:rPr>
                              <w:t xml:space="preserve"> </w:t>
                            </w:r>
                            <w:r w:rsidRPr="00226806">
                              <w:rPr>
                                <w:sz w:val="16"/>
                                <w:szCs w:val="16"/>
                              </w:rPr>
                              <w:t>subgroup</w:t>
                            </w:r>
                            <w:r w:rsidRPr="00226806">
                              <w:rPr>
                                <w:sz w:val="16"/>
                                <w:szCs w:val="16"/>
                                <w:lang w:val="uk-UA"/>
                              </w:rPr>
                              <w:t xml:space="preserve"> </w:t>
                            </w:r>
                            <w:r w:rsidRPr="00226806">
                              <w:rPr>
                                <w:sz w:val="16"/>
                                <w:szCs w:val="16"/>
                              </w:rPr>
                              <w:t>differences</w:t>
                            </w:r>
                            <w:r w:rsidRPr="00226806">
                              <w:rPr>
                                <w:sz w:val="16"/>
                                <w:szCs w:val="16"/>
                                <w:lang w:val="uk-UA"/>
                              </w:rPr>
                              <w:t>:</w:t>
                            </w:r>
                            <w:r>
                              <w:rPr>
                                <w:sz w:val="16"/>
                                <w:szCs w:val="16"/>
                                <w:lang w:val="uk-UA"/>
                              </w:rPr>
                              <w:t xml:space="preserve"> </w:t>
                            </w:r>
                            <w:r w:rsidRPr="00226806">
                              <w:rPr>
                                <w:sz w:val="16"/>
                                <w:szCs w:val="16"/>
                                <w:lang w:val="uk-UA"/>
                              </w:rPr>
                              <w:t>Дослідження на відмінності у підгрупах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53271" id="Поле 1915" o:spid="_x0000_s1187" type="#_x0000_t202" style="position:absolute;margin-left:28pt;margin-top:343.55pt;width:492pt;height:52pt;z-index:4881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" fillcolor="white [3201]" stroked="f" strokeweight=".5pt">
                <v:textbox>
                  <w:txbxContent>
                    <w:p w14:paraId="5B41BE8A" w14:textId="103365DD" w:rsidR="007372B2" w:rsidRPr="00226806" w:rsidRDefault="007372B2">
                      <w:pPr>
                        <w:rPr>
                          <w:sz w:val="16"/>
                          <w:szCs w:val="16"/>
                          <w:lang w:val="uk-UA"/>
                        </w:rPr>
                      </w:pPr>
                      <w:r w:rsidRPr="00CE302F">
                        <w:rPr>
                          <w:b/>
                          <w:bCs/>
                          <w:sz w:val="16"/>
                          <w:szCs w:val="16"/>
                          <w:u w:val="single"/>
                          <w:lang w:val="uk-UA"/>
                        </w:rPr>
                        <w:t>Примітки перекладача</w:t>
                      </w:r>
                      <w:r>
                        <w:rPr>
                          <w:sz w:val="16"/>
                          <w:szCs w:val="16"/>
                          <w:lang w:val="uk-UA"/>
                        </w:rPr>
                        <w:t>. ШПТБ:</w:t>
                      </w:r>
                      <w:r w:rsidRPr="000532E5">
                        <w:rPr>
                          <w:sz w:val="16"/>
                          <w:szCs w:val="16"/>
                          <w:lang w:val="uk-UA"/>
                        </w:rPr>
                        <w:t xml:space="preserve"> шкірні тести на основі антигену </w:t>
                      </w:r>
                      <w:r w:rsidRPr="000532E5">
                        <w:rPr>
                          <w:i/>
                          <w:iCs/>
                          <w:sz w:val="16"/>
                          <w:szCs w:val="16"/>
                          <w:lang w:val="uk-UA"/>
                        </w:rPr>
                        <w:t>Mtb</w:t>
                      </w:r>
                      <w:r>
                        <w:rPr>
                          <w:i/>
                          <w:iCs/>
                          <w:sz w:val="16"/>
                          <w:szCs w:val="16"/>
                          <w:lang w:val="uk-UA"/>
                        </w:rPr>
                        <w:t>;</w:t>
                      </w:r>
                      <w:r w:rsidRPr="000532E5">
                        <w:rPr>
                          <w:sz w:val="16"/>
                          <w:szCs w:val="16"/>
                          <w:lang w:val="uk-UA"/>
                        </w:rPr>
                        <w:t xml:space="preserve"> ДІ: довірчий інтервал; </w:t>
                      </w:r>
                      <w:r w:rsidRPr="000532E5">
                        <w:rPr>
                          <w:sz w:val="16"/>
                          <w:szCs w:val="16"/>
                        </w:rPr>
                        <w:t>TP</w:t>
                      </w:r>
                      <w:r w:rsidRPr="000532E5">
                        <w:rPr>
                          <w:sz w:val="16"/>
                          <w:szCs w:val="16"/>
                          <w:lang w:val="uk-UA"/>
                        </w:rPr>
                        <w:t xml:space="preserve">: істинно  позитивний результат; </w:t>
                      </w:r>
                      <w:r w:rsidRPr="000532E5">
                        <w:rPr>
                          <w:sz w:val="16"/>
                          <w:szCs w:val="16"/>
                        </w:rPr>
                        <w:t>TP</w:t>
                      </w:r>
                      <w:r w:rsidRPr="000532E5">
                        <w:rPr>
                          <w:sz w:val="16"/>
                          <w:szCs w:val="16"/>
                          <w:lang w:val="uk-UA"/>
                        </w:rPr>
                        <w:t>+</w:t>
                      </w:r>
                      <w:r w:rsidRPr="000532E5">
                        <w:rPr>
                          <w:sz w:val="16"/>
                          <w:szCs w:val="16"/>
                        </w:rPr>
                        <w:t>FN</w:t>
                      </w:r>
                      <w:r w:rsidRPr="000532E5">
                        <w:rPr>
                          <w:sz w:val="16"/>
                          <w:szCs w:val="16"/>
                          <w:lang w:val="uk-UA"/>
                        </w:rPr>
                        <w:t xml:space="preserve">: істинно позитивний результат + хибнонегатиний результат; </w:t>
                      </w:r>
                      <w:r w:rsidRPr="000532E5">
                        <w:rPr>
                          <w:sz w:val="16"/>
                          <w:szCs w:val="16"/>
                        </w:rPr>
                        <w:t>Group</w:t>
                      </w:r>
                      <w:r w:rsidRPr="000532E5">
                        <w:rPr>
                          <w:sz w:val="16"/>
                          <w:szCs w:val="16"/>
                          <w:lang w:val="uk-UA"/>
                        </w:rPr>
                        <w:t>=</w:t>
                      </w:r>
                      <w:r w:rsidRPr="000532E5">
                        <w:rPr>
                          <w:sz w:val="16"/>
                          <w:szCs w:val="16"/>
                        </w:rPr>
                        <w:t>TST</w:t>
                      </w:r>
                      <w:r w:rsidRPr="000532E5">
                        <w:rPr>
                          <w:sz w:val="16"/>
                          <w:szCs w:val="16"/>
                          <w:lang w:val="uk-UA"/>
                        </w:rPr>
                        <w:t xml:space="preserve">: група використання ШТП; </w:t>
                      </w:r>
                      <w:r w:rsidRPr="000532E5">
                        <w:rPr>
                          <w:sz w:val="16"/>
                          <w:szCs w:val="16"/>
                        </w:rPr>
                        <w:t>group</w:t>
                      </w:r>
                      <w:r w:rsidRPr="000532E5">
                        <w:rPr>
                          <w:sz w:val="16"/>
                          <w:szCs w:val="16"/>
                          <w:lang w:val="uk-UA"/>
                        </w:rPr>
                        <w:t>=</w:t>
                      </w:r>
                      <w:r w:rsidRPr="000532E5">
                        <w:rPr>
                          <w:sz w:val="16"/>
                          <w:szCs w:val="16"/>
                        </w:rPr>
                        <w:t>IGRA</w:t>
                      </w:r>
                      <w:r w:rsidRPr="000532E5">
                        <w:rPr>
                          <w:sz w:val="16"/>
                          <w:szCs w:val="16"/>
                          <w:lang w:val="uk-UA"/>
                        </w:rPr>
                        <w:t xml:space="preserve"> (</w:t>
                      </w:r>
                      <w:r w:rsidRPr="000532E5">
                        <w:rPr>
                          <w:sz w:val="16"/>
                          <w:szCs w:val="16"/>
                        </w:rPr>
                        <w:t>QFT</w:t>
                      </w:r>
                      <w:r w:rsidRPr="000532E5">
                        <w:rPr>
                          <w:sz w:val="16"/>
                          <w:szCs w:val="16"/>
                          <w:lang w:val="uk-UA"/>
                        </w:rPr>
                        <w:t>): група викор</w:t>
                      </w:r>
                      <w:r w:rsidRPr="00226806">
                        <w:rPr>
                          <w:sz w:val="16"/>
                          <w:szCs w:val="16"/>
                          <w:lang w:val="uk-UA"/>
                        </w:rPr>
                        <w:t>истання АВГІ (</w:t>
                      </w:r>
                      <w:r w:rsidRPr="00226806">
                        <w:rPr>
                          <w:sz w:val="16"/>
                          <w:szCs w:val="16"/>
                        </w:rPr>
                        <w:t>QFT</w:t>
                      </w:r>
                      <w:r w:rsidRPr="00226806">
                        <w:rPr>
                          <w:sz w:val="16"/>
                          <w:szCs w:val="16"/>
                          <w:lang w:val="uk-UA"/>
                        </w:rPr>
                        <w:t xml:space="preserve">); </w:t>
                      </w:r>
                      <w:r w:rsidRPr="00226806">
                        <w:rPr>
                          <w:sz w:val="16"/>
                          <w:szCs w:val="16"/>
                        </w:rPr>
                        <w:t>group</w:t>
                      </w:r>
                      <w:r w:rsidRPr="00226806">
                        <w:rPr>
                          <w:sz w:val="16"/>
                          <w:szCs w:val="16"/>
                          <w:lang w:val="uk-UA"/>
                        </w:rPr>
                        <w:t>=</w:t>
                      </w:r>
                      <w:r w:rsidRPr="00226806">
                        <w:rPr>
                          <w:sz w:val="16"/>
                          <w:szCs w:val="16"/>
                        </w:rPr>
                        <w:t>TBST</w:t>
                      </w:r>
                      <w:r w:rsidRPr="00226806">
                        <w:rPr>
                          <w:sz w:val="16"/>
                          <w:szCs w:val="16"/>
                          <w:lang w:val="uk-UA"/>
                        </w:rPr>
                        <w:t>: група використання Ш</w:t>
                      </w:r>
                      <w:r>
                        <w:rPr>
                          <w:sz w:val="16"/>
                          <w:szCs w:val="16"/>
                          <w:lang w:val="uk-UA"/>
                        </w:rPr>
                        <w:t>П</w:t>
                      </w:r>
                      <w:r w:rsidRPr="00226806">
                        <w:rPr>
                          <w:sz w:val="16"/>
                          <w:szCs w:val="16"/>
                          <w:lang w:val="uk-UA"/>
                        </w:rPr>
                        <w:t>ТБ</w:t>
                      </w:r>
                      <w:r>
                        <w:rPr>
                          <w:sz w:val="16"/>
                          <w:szCs w:val="16"/>
                          <w:lang w:val="uk-UA"/>
                        </w:rPr>
                        <w:t>;</w:t>
                      </w:r>
                      <w:r w:rsidRPr="00226806">
                        <w:rPr>
                          <w:sz w:val="16"/>
                          <w:szCs w:val="16"/>
                          <w:lang w:val="uk-UA"/>
                        </w:rPr>
                        <w:t xml:space="preserve"> </w:t>
                      </w:r>
                      <w:r>
                        <w:rPr>
                          <w:sz w:val="16"/>
                          <w:szCs w:val="16"/>
                        </w:rPr>
                        <w:t>R</w:t>
                      </w:r>
                      <w:r w:rsidRPr="00226806">
                        <w:rPr>
                          <w:sz w:val="16"/>
                          <w:szCs w:val="16"/>
                        </w:rPr>
                        <w:t>andom</w:t>
                      </w:r>
                      <w:r w:rsidRPr="00226806">
                        <w:rPr>
                          <w:sz w:val="16"/>
                          <w:szCs w:val="16"/>
                          <w:lang w:val="uk-UA"/>
                        </w:rPr>
                        <w:t xml:space="preserve"> </w:t>
                      </w:r>
                      <w:r w:rsidRPr="00226806">
                        <w:rPr>
                          <w:sz w:val="16"/>
                          <w:szCs w:val="16"/>
                        </w:rPr>
                        <w:t>affects</w:t>
                      </w:r>
                      <w:r w:rsidRPr="00226806">
                        <w:rPr>
                          <w:sz w:val="16"/>
                          <w:szCs w:val="16"/>
                          <w:lang w:val="uk-UA"/>
                        </w:rPr>
                        <w:t xml:space="preserve"> </w:t>
                      </w:r>
                      <w:r w:rsidRPr="00226806">
                        <w:rPr>
                          <w:sz w:val="16"/>
                          <w:szCs w:val="16"/>
                        </w:rPr>
                        <w:t>model</w:t>
                      </w:r>
                      <w:r w:rsidRPr="00226806">
                        <w:rPr>
                          <w:sz w:val="16"/>
                          <w:szCs w:val="16"/>
                          <w:lang w:val="uk-UA"/>
                        </w:rPr>
                        <w:t xml:space="preserve">: </w:t>
                      </w:r>
                      <w:r>
                        <w:rPr>
                          <w:sz w:val="16"/>
                          <w:szCs w:val="16"/>
                          <w:lang w:val="uk-UA"/>
                        </w:rPr>
                        <w:t>модель випадкових ефектів</w:t>
                      </w:r>
                      <w:r w:rsidRPr="00226806">
                        <w:rPr>
                          <w:sz w:val="16"/>
                          <w:szCs w:val="16"/>
                          <w:lang w:val="uk-UA"/>
                        </w:rPr>
                        <w:t xml:space="preserve">; </w:t>
                      </w:r>
                      <w:r w:rsidRPr="00226806">
                        <w:rPr>
                          <w:sz w:val="16"/>
                          <w:szCs w:val="16"/>
                        </w:rPr>
                        <w:t>Heterogeneity</w:t>
                      </w:r>
                      <w:r w:rsidRPr="00226806">
                        <w:rPr>
                          <w:sz w:val="16"/>
                          <w:szCs w:val="16"/>
                          <w:lang w:val="uk-UA"/>
                        </w:rPr>
                        <w:t xml:space="preserve">: </w:t>
                      </w:r>
                      <w:r>
                        <w:rPr>
                          <w:sz w:val="16"/>
                          <w:szCs w:val="16"/>
                          <w:lang w:val="uk-UA"/>
                        </w:rPr>
                        <w:t xml:space="preserve">неоднорідність; </w:t>
                      </w:r>
                      <w:r w:rsidRPr="00226806">
                        <w:rPr>
                          <w:sz w:val="16"/>
                          <w:szCs w:val="16"/>
                        </w:rPr>
                        <w:t>Test</w:t>
                      </w:r>
                      <w:r w:rsidRPr="00226806">
                        <w:rPr>
                          <w:sz w:val="16"/>
                          <w:szCs w:val="16"/>
                          <w:lang w:val="uk-UA"/>
                        </w:rPr>
                        <w:t xml:space="preserve"> </w:t>
                      </w:r>
                      <w:r w:rsidRPr="00226806">
                        <w:rPr>
                          <w:sz w:val="16"/>
                          <w:szCs w:val="16"/>
                        </w:rPr>
                        <w:t>for</w:t>
                      </w:r>
                      <w:r w:rsidRPr="00226806">
                        <w:rPr>
                          <w:sz w:val="16"/>
                          <w:szCs w:val="16"/>
                          <w:lang w:val="uk-UA"/>
                        </w:rPr>
                        <w:t xml:space="preserve"> </w:t>
                      </w:r>
                      <w:r w:rsidRPr="00226806">
                        <w:rPr>
                          <w:sz w:val="16"/>
                          <w:szCs w:val="16"/>
                        </w:rPr>
                        <w:t>subgroup</w:t>
                      </w:r>
                      <w:r w:rsidRPr="00226806">
                        <w:rPr>
                          <w:sz w:val="16"/>
                          <w:szCs w:val="16"/>
                          <w:lang w:val="uk-UA"/>
                        </w:rPr>
                        <w:t xml:space="preserve"> </w:t>
                      </w:r>
                      <w:r w:rsidRPr="00226806">
                        <w:rPr>
                          <w:sz w:val="16"/>
                          <w:szCs w:val="16"/>
                        </w:rPr>
                        <w:t>differences</w:t>
                      </w:r>
                      <w:r w:rsidRPr="00226806">
                        <w:rPr>
                          <w:sz w:val="16"/>
                          <w:szCs w:val="16"/>
                          <w:lang w:val="uk-UA"/>
                        </w:rPr>
                        <w:t>:</w:t>
                      </w:r>
                      <w:r>
                        <w:rPr>
                          <w:sz w:val="16"/>
                          <w:szCs w:val="16"/>
                          <w:lang w:val="uk-UA"/>
                        </w:rPr>
                        <w:t xml:space="preserve"> </w:t>
                      </w:r>
                      <w:r w:rsidRPr="00226806">
                        <w:rPr>
                          <w:sz w:val="16"/>
                          <w:szCs w:val="16"/>
                          <w:lang w:val="uk-UA"/>
                        </w:rPr>
                        <w:t>Дослідження на відмінності у підгрупах</w:t>
                      </w:r>
                    </w:p>
                  </w:txbxContent>
                </v:textbox>
              </v:shape>
            </w:pict>
          </mc:Fallback>
        </mc:AlternateContent>
      </w:r>
      <w:r w:rsidR="00AC0AAD">
        <w:rPr>
          <w:rFonts w:ascii="Arial"/>
          <w:b/>
          <w:noProof/>
          <w:sz w:val="17"/>
          <w:lang w:val="uk-UA"/>
        </w:rPr>
        <mc:AlternateContent>
          <mc:Choice Requires="wps">
            <w:drawing>
              <wp:anchor distT="0" distB="0" distL="114300" distR="114300" simplePos="0" relativeHeight="488168960" behindDoc="0" locked="0" layoutInCell="1" allowOverlap="1" wp14:anchorId="3AB0042A" wp14:editId="66299A2A">
                <wp:simplePos x="0" y="0"/>
                <wp:positionH relativeFrom="column">
                  <wp:posOffset>196850</wp:posOffset>
                </wp:positionH>
                <wp:positionV relativeFrom="paragraph">
                  <wp:posOffset>108585</wp:posOffset>
                </wp:positionV>
                <wp:extent cx="6153150" cy="292100"/>
                <wp:effectExtent l="0" t="0" r="0" b="0"/>
                <wp:wrapNone/>
                <wp:docPr id="1817860339" name="Поле 1914"/>
                <wp:cNvGraphicFramePr/>
                <a:graphic xmlns:a="http://schemas.openxmlformats.org/drawingml/2006/main">
                  <a:graphicData uri="http://schemas.microsoft.com/office/word/2010/wordprocessingShape">
                    <wps:wsp>
                      <wps:cNvSpPr txBox="1"/>
                      <wps:spPr>
                        <a:xfrm>
                          <a:off x="0" y="0"/>
                          <a:ext cx="6153150" cy="292100"/>
                        </a:xfrm>
                        <a:prstGeom prst="rect">
                          <a:avLst/>
                        </a:prstGeom>
                        <a:solidFill>
                          <a:schemeClr val="lt1"/>
                        </a:solidFill>
                        <a:ln w="6350">
                          <a:noFill/>
                        </a:ln>
                      </wps:spPr>
                      <wps:txbx>
                        <w:txbxContent>
                          <w:tbl>
                            <w:tblPr>
                              <w:tblStyle w:val="ac"/>
                              <w:tblW w:w="10991" w:type="dxa"/>
                              <w:tblLook w:val="04A0" w:firstRow="1" w:lastRow="0" w:firstColumn="1" w:lastColumn="0" w:noHBand="0" w:noVBand="1"/>
                            </w:tblPr>
                            <w:tblGrid>
                              <w:gridCol w:w="2157"/>
                              <w:gridCol w:w="1104"/>
                              <w:gridCol w:w="1487"/>
                              <w:gridCol w:w="497"/>
                              <w:gridCol w:w="3260"/>
                              <w:gridCol w:w="2486"/>
                            </w:tblGrid>
                            <w:tr w:rsidR="007372B2" w14:paraId="50391210" w14:textId="77777777" w:rsidTr="00C124DA">
                              <w:tc>
                                <w:tcPr>
                                  <w:tcW w:w="2157" w:type="dxa"/>
                                  <w:tcBorders>
                                    <w:top w:val="nil"/>
                                    <w:left w:val="nil"/>
                                    <w:bottom w:val="nil"/>
                                    <w:right w:val="nil"/>
                                  </w:tcBorders>
                                </w:tcPr>
                                <w:p w14:paraId="7D4C64A3" w14:textId="7B4AD24C" w:rsidR="007372B2" w:rsidRPr="00C124DA" w:rsidRDefault="007372B2">
                                  <w:pPr>
                                    <w:rPr>
                                      <w:rFonts w:ascii="Arial" w:hAnsi="Arial" w:cs="Arial"/>
                                      <w:b/>
                                      <w:bCs/>
                                      <w:sz w:val="17"/>
                                      <w:szCs w:val="17"/>
                                      <w:lang w:val="uk-UA"/>
                                    </w:rPr>
                                  </w:pPr>
                                  <w:r w:rsidRPr="00C124DA">
                                    <w:rPr>
                                      <w:rFonts w:ascii="Arial" w:hAnsi="Arial" w:cs="Arial"/>
                                      <w:b/>
                                      <w:bCs/>
                                      <w:sz w:val="17"/>
                                      <w:szCs w:val="17"/>
                                      <w:lang w:val="uk-UA"/>
                                    </w:rPr>
                                    <w:t>Дослідження</w:t>
                                  </w:r>
                                </w:p>
                              </w:tc>
                              <w:tc>
                                <w:tcPr>
                                  <w:tcW w:w="1104" w:type="dxa"/>
                                  <w:tcBorders>
                                    <w:top w:val="nil"/>
                                    <w:left w:val="nil"/>
                                    <w:bottom w:val="nil"/>
                                    <w:right w:val="nil"/>
                                  </w:tcBorders>
                                </w:tcPr>
                                <w:p w14:paraId="76BDC430" w14:textId="193BE9C8" w:rsidR="007372B2" w:rsidRPr="00C124DA" w:rsidRDefault="007372B2" w:rsidP="00794491">
                                  <w:pPr>
                                    <w:jc w:val="center"/>
                                    <w:rPr>
                                      <w:rFonts w:ascii="Arial" w:hAnsi="Arial" w:cs="Arial"/>
                                      <w:b/>
                                      <w:bCs/>
                                      <w:sz w:val="17"/>
                                      <w:szCs w:val="17"/>
                                    </w:rPr>
                                  </w:pPr>
                                  <w:r w:rsidRPr="00C124DA">
                                    <w:rPr>
                                      <w:rFonts w:ascii="Arial" w:hAnsi="Arial" w:cs="Arial"/>
                                      <w:b/>
                                      <w:bCs/>
                                      <w:sz w:val="17"/>
                                      <w:szCs w:val="17"/>
                                      <w:lang w:val="uk-UA"/>
                                    </w:rPr>
                                    <w:t xml:space="preserve">       </w:t>
                                  </w:r>
                                  <w:r w:rsidRPr="00C124DA">
                                    <w:rPr>
                                      <w:rFonts w:ascii="Arial" w:hAnsi="Arial" w:cs="Arial"/>
                                      <w:b/>
                                      <w:bCs/>
                                      <w:sz w:val="17"/>
                                      <w:szCs w:val="17"/>
                                    </w:rPr>
                                    <w:t>TP</w:t>
                                  </w:r>
                                </w:p>
                              </w:tc>
                              <w:tc>
                                <w:tcPr>
                                  <w:tcW w:w="1487" w:type="dxa"/>
                                  <w:tcBorders>
                                    <w:top w:val="nil"/>
                                    <w:left w:val="nil"/>
                                    <w:bottom w:val="nil"/>
                                    <w:right w:val="nil"/>
                                  </w:tcBorders>
                                </w:tcPr>
                                <w:p w14:paraId="691C52C1" w14:textId="776DD1BA" w:rsidR="007372B2" w:rsidRPr="00C124DA" w:rsidRDefault="007372B2" w:rsidP="00794491">
                                  <w:pPr>
                                    <w:jc w:val="center"/>
                                    <w:rPr>
                                      <w:rFonts w:ascii="Arial" w:hAnsi="Arial" w:cs="Arial"/>
                                      <w:b/>
                                      <w:bCs/>
                                      <w:sz w:val="17"/>
                                      <w:szCs w:val="17"/>
                                    </w:rPr>
                                  </w:pPr>
                                  <w:r w:rsidRPr="00C124DA">
                                    <w:rPr>
                                      <w:rFonts w:ascii="Arial" w:hAnsi="Arial" w:cs="Arial"/>
                                      <w:b/>
                                      <w:bCs/>
                                      <w:sz w:val="17"/>
                                      <w:szCs w:val="17"/>
                                      <w:lang w:val="uk-UA"/>
                                    </w:rPr>
                                    <w:t xml:space="preserve">       </w:t>
                                  </w:r>
                                  <w:r w:rsidRPr="00C124DA">
                                    <w:rPr>
                                      <w:rFonts w:ascii="Arial" w:hAnsi="Arial" w:cs="Arial"/>
                                      <w:b/>
                                      <w:bCs/>
                                      <w:sz w:val="17"/>
                                      <w:szCs w:val="17"/>
                                    </w:rPr>
                                    <w:t>TP+FN</w:t>
                                  </w:r>
                                </w:p>
                              </w:tc>
                              <w:tc>
                                <w:tcPr>
                                  <w:tcW w:w="497" w:type="dxa"/>
                                  <w:tcBorders>
                                    <w:top w:val="nil"/>
                                    <w:left w:val="nil"/>
                                    <w:bottom w:val="nil"/>
                                    <w:right w:val="nil"/>
                                  </w:tcBorders>
                                </w:tcPr>
                                <w:p w14:paraId="453C435A" w14:textId="77777777" w:rsidR="007372B2" w:rsidRPr="00C124DA" w:rsidRDefault="007372B2">
                                  <w:pPr>
                                    <w:rPr>
                                      <w:rFonts w:ascii="Arial" w:hAnsi="Arial" w:cs="Arial"/>
                                      <w:b/>
                                      <w:bCs/>
                                      <w:sz w:val="17"/>
                                      <w:szCs w:val="17"/>
                                      <w:lang w:val="uk-UA"/>
                                    </w:rPr>
                                  </w:pPr>
                                </w:p>
                              </w:tc>
                              <w:tc>
                                <w:tcPr>
                                  <w:tcW w:w="3260" w:type="dxa"/>
                                  <w:tcBorders>
                                    <w:top w:val="nil"/>
                                    <w:left w:val="nil"/>
                                    <w:bottom w:val="nil"/>
                                    <w:right w:val="nil"/>
                                  </w:tcBorders>
                                </w:tcPr>
                                <w:p w14:paraId="7227AC88" w14:textId="4E28C965" w:rsidR="007372B2" w:rsidRPr="00C124DA" w:rsidRDefault="007372B2">
                                  <w:pPr>
                                    <w:rPr>
                                      <w:rFonts w:ascii="Arial" w:hAnsi="Arial" w:cs="Arial"/>
                                      <w:b/>
                                      <w:bCs/>
                                      <w:sz w:val="17"/>
                                      <w:szCs w:val="17"/>
                                      <w:lang w:val="uk-UA"/>
                                    </w:rPr>
                                  </w:pPr>
                                  <w:r w:rsidRPr="00C124DA">
                                    <w:rPr>
                                      <w:rFonts w:ascii="Arial" w:hAnsi="Arial" w:cs="Arial"/>
                                      <w:b/>
                                      <w:bCs/>
                                      <w:sz w:val="17"/>
                                      <w:szCs w:val="17"/>
                                      <w:lang w:val="uk-UA"/>
                                    </w:rPr>
                                    <w:t xml:space="preserve">                             </w:t>
                                  </w:r>
                                  <w:r>
                                    <w:rPr>
                                      <w:rFonts w:ascii="Arial" w:hAnsi="Arial" w:cs="Arial"/>
                                      <w:b/>
                                      <w:bCs/>
                                      <w:sz w:val="17"/>
                                      <w:szCs w:val="17"/>
                                      <w:lang w:val="uk-UA"/>
                                    </w:rPr>
                                    <w:t xml:space="preserve">   </w:t>
                                  </w:r>
                                  <w:r w:rsidRPr="00C124DA">
                                    <w:rPr>
                                      <w:rFonts w:ascii="Arial" w:hAnsi="Arial" w:cs="Arial"/>
                                      <w:b/>
                                      <w:bCs/>
                                      <w:sz w:val="17"/>
                                      <w:szCs w:val="17"/>
                                      <w:lang w:val="uk-UA"/>
                                    </w:rPr>
                                    <w:t>Чутливість (%)</w:t>
                                  </w:r>
                                </w:p>
                              </w:tc>
                              <w:tc>
                                <w:tcPr>
                                  <w:tcW w:w="2486" w:type="dxa"/>
                                  <w:tcBorders>
                                    <w:top w:val="nil"/>
                                    <w:left w:val="nil"/>
                                    <w:bottom w:val="nil"/>
                                    <w:right w:val="nil"/>
                                  </w:tcBorders>
                                </w:tcPr>
                                <w:p w14:paraId="7E9FB6E9" w14:textId="0DC312B1" w:rsidR="007372B2" w:rsidRPr="00C124DA" w:rsidRDefault="007372B2">
                                  <w:pPr>
                                    <w:rPr>
                                      <w:rFonts w:ascii="Arial" w:hAnsi="Arial" w:cs="Arial"/>
                                      <w:b/>
                                      <w:bCs/>
                                      <w:sz w:val="17"/>
                                      <w:szCs w:val="17"/>
                                      <w:lang w:val="uk-UA"/>
                                    </w:rPr>
                                  </w:pPr>
                                  <w:r>
                                    <w:rPr>
                                      <w:rFonts w:ascii="Arial" w:hAnsi="Arial" w:cs="Arial"/>
                                      <w:b/>
                                      <w:bCs/>
                                      <w:sz w:val="17"/>
                                      <w:szCs w:val="17"/>
                                      <w:lang w:val="uk-UA"/>
                                    </w:rPr>
                                    <w:t xml:space="preserve"> </w:t>
                                  </w:r>
                                  <w:r w:rsidRPr="00C124DA">
                                    <w:rPr>
                                      <w:rFonts w:ascii="Arial" w:hAnsi="Arial" w:cs="Arial"/>
                                      <w:b/>
                                      <w:bCs/>
                                      <w:sz w:val="17"/>
                                      <w:szCs w:val="17"/>
                                      <w:lang w:val="uk-UA"/>
                                    </w:rPr>
                                    <w:t>95%  ДІ</w:t>
                                  </w:r>
                                </w:p>
                              </w:tc>
                            </w:tr>
                            <w:tr w:rsidR="007372B2" w14:paraId="16BE9BCB" w14:textId="77777777" w:rsidTr="00C124DA">
                              <w:tc>
                                <w:tcPr>
                                  <w:tcW w:w="2157" w:type="dxa"/>
                                  <w:tcBorders>
                                    <w:top w:val="nil"/>
                                    <w:left w:val="nil"/>
                                    <w:bottom w:val="nil"/>
                                    <w:right w:val="nil"/>
                                  </w:tcBorders>
                                </w:tcPr>
                                <w:p w14:paraId="78D3E56F" w14:textId="77777777" w:rsidR="007372B2" w:rsidRPr="00AC0AAD" w:rsidRDefault="007372B2">
                                  <w:pPr>
                                    <w:rPr>
                                      <w:rFonts w:ascii="Arial" w:hAnsi="Arial" w:cs="Arial"/>
                                      <w:b/>
                                      <w:bCs/>
                                      <w:sz w:val="18"/>
                                      <w:szCs w:val="18"/>
                                      <w:lang w:val="uk-UA"/>
                                    </w:rPr>
                                  </w:pPr>
                                </w:p>
                              </w:tc>
                              <w:tc>
                                <w:tcPr>
                                  <w:tcW w:w="1104" w:type="dxa"/>
                                  <w:tcBorders>
                                    <w:top w:val="nil"/>
                                    <w:left w:val="nil"/>
                                    <w:bottom w:val="nil"/>
                                    <w:right w:val="nil"/>
                                  </w:tcBorders>
                                </w:tcPr>
                                <w:p w14:paraId="7415DE2A" w14:textId="77777777" w:rsidR="007372B2" w:rsidRDefault="007372B2" w:rsidP="00794491">
                                  <w:pPr>
                                    <w:jc w:val="center"/>
                                    <w:rPr>
                                      <w:rFonts w:ascii="Arial" w:hAnsi="Arial" w:cs="Arial"/>
                                      <w:b/>
                                      <w:bCs/>
                                      <w:sz w:val="18"/>
                                      <w:szCs w:val="18"/>
                                    </w:rPr>
                                  </w:pPr>
                                </w:p>
                              </w:tc>
                              <w:tc>
                                <w:tcPr>
                                  <w:tcW w:w="1487" w:type="dxa"/>
                                  <w:tcBorders>
                                    <w:top w:val="nil"/>
                                    <w:left w:val="nil"/>
                                    <w:bottom w:val="nil"/>
                                    <w:right w:val="nil"/>
                                  </w:tcBorders>
                                </w:tcPr>
                                <w:p w14:paraId="05F8E16E" w14:textId="77777777" w:rsidR="007372B2" w:rsidRDefault="007372B2" w:rsidP="00794491">
                                  <w:pPr>
                                    <w:jc w:val="center"/>
                                    <w:rPr>
                                      <w:rFonts w:ascii="Arial" w:hAnsi="Arial" w:cs="Arial"/>
                                      <w:b/>
                                      <w:bCs/>
                                      <w:sz w:val="18"/>
                                      <w:szCs w:val="18"/>
                                    </w:rPr>
                                  </w:pPr>
                                </w:p>
                              </w:tc>
                              <w:tc>
                                <w:tcPr>
                                  <w:tcW w:w="497" w:type="dxa"/>
                                  <w:tcBorders>
                                    <w:top w:val="nil"/>
                                    <w:left w:val="nil"/>
                                    <w:bottom w:val="nil"/>
                                    <w:right w:val="nil"/>
                                  </w:tcBorders>
                                </w:tcPr>
                                <w:p w14:paraId="3551FA84" w14:textId="77777777" w:rsidR="007372B2" w:rsidRDefault="007372B2">
                                  <w:pPr>
                                    <w:rPr>
                                      <w:rFonts w:ascii="Arial" w:hAnsi="Arial" w:cs="Arial"/>
                                      <w:b/>
                                      <w:bCs/>
                                      <w:sz w:val="18"/>
                                      <w:szCs w:val="18"/>
                                      <w:lang w:val="uk-UA"/>
                                    </w:rPr>
                                  </w:pPr>
                                </w:p>
                              </w:tc>
                              <w:tc>
                                <w:tcPr>
                                  <w:tcW w:w="3260" w:type="dxa"/>
                                  <w:tcBorders>
                                    <w:top w:val="nil"/>
                                    <w:left w:val="nil"/>
                                    <w:bottom w:val="nil"/>
                                    <w:right w:val="nil"/>
                                  </w:tcBorders>
                                </w:tcPr>
                                <w:p w14:paraId="26D59D90" w14:textId="77777777" w:rsidR="007372B2" w:rsidRDefault="007372B2">
                                  <w:pPr>
                                    <w:rPr>
                                      <w:rFonts w:ascii="Arial" w:hAnsi="Arial" w:cs="Arial"/>
                                      <w:b/>
                                      <w:bCs/>
                                      <w:sz w:val="18"/>
                                      <w:szCs w:val="18"/>
                                      <w:lang w:val="uk-UA"/>
                                    </w:rPr>
                                  </w:pPr>
                                </w:p>
                              </w:tc>
                              <w:tc>
                                <w:tcPr>
                                  <w:tcW w:w="2486" w:type="dxa"/>
                                  <w:tcBorders>
                                    <w:top w:val="nil"/>
                                    <w:left w:val="nil"/>
                                    <w:bottom w:val="nil"/>
                                    <w:right w:val="nil"/>
                                  </w:tcBorders>
                                </w:tcPr>
                                <w:p w14:paraId="37ECE94A" w14:textId="7712C9D3" w:rsidR="007372B2" w:rsidRDefault="007372B2">
                                  <w:pPr>
                                    <w:rPr>
                                      <w:rFonts w:ascii="Arial" w:hAnsi="Arial" w:cs="Arial"/>
                                      <w:b/>
                                      <w:bCs/>
                                      <w:sz w:val="18"/>
                                      <w:szCs w:val="18"/>
                                      <w:lang w:val="uk-UA"/>
                                    </w:rPr>
                                  </w:pPr>
                                </w:p>
                              </w:tc>
                            </w:tr>
                            <w:tr w:rsidR="007372B2" w14:paraId="1E26740B" w14:textId="77777777" w:rsidTr="00C124DA">
                              <w:tc>
                                <w:tcPr>
                                  <w:tcW w:w="2157" w:type="dxa"/>
                                  <w:tcBorders>
                                    <w:top w:val="nil"/>
                                    <w:left w:val="nil"/>
                                    <w:bottom w:val="nil"/>
                                    <w:right w:val="nil"/>
                                  </w:tcBorders>
                                </w:tcPr>
                                <w:p w14:paraId="22C18BCA" w14:textId="77777777" w:rsidR="007372B2" w:rsidRPr="00AC0AAD" w:rsidRDefault="007372B2">
                                  <w:pPr>
                                    <w:rPr>
                                      <w:rFonts w:ascii="Arial" w:hAnsi="Arial" w:cs="Arial"/>
                                      <w:b/>
                                      <w:bCs/>
                                      <w:sz w:val="18"/>
                                      <w:szCs w:val="18"/>
                                      <w:lang w:val="uk-UA"/>
                                    </w:rPr>
                                  </w:pPr>
                                </w:p>
                              </w:tc>
                              <w:tc>
                                <w:tcPr>
                                  <w:tcW w:w="1104" w:type="dxa"/>
                                  <w:tcBorders>
                                    <w:top w:val="nil"/>
                                    <w:left w:val="nil"/>
                                    <w:bottom w:val="nil"/>
                                    <w:right w:val="nil"/>
                                  </w:tcBorders>
                                </w:tcPr>
                                <w:p w14:paraId="761C8A10" w14:textId="77777777" w:rsidR="007372B2" w:rsidRDefault="007372B2" w:rsidP="00794491">
                                  <w:pPr>
                                    <w:jc w:val="center"/>
                                    <w:rPr>
                                      <w:rFonts w:ascii="Arial" w:hAnsi="Arial" w:cs="Arial"/>
                                      <w:b/>
                                      <w:bCs/>
                                      <w:sz w:val="18"/>
                                      <w:szCs w:val="18"/>
                                    </w:rPr>
                                  </w:pPr>
                                </w:p>
                              </w:tc>
                              <w:tc>
                                <w:tcPr>
                                  <w:tcW w:w="1487" w:type="dxa"/>
                                  <w:tcBorders>
                                    <w:top w:val="nil"/>
                                    <w:left w:val="nil"/>
                                    <w:bottom w:val="nil"/>
                                    <w:right w:val="nil"/>
                                  </w:tcBorders>
                                </w:tcPr>
                                <w:p w14:paraId="3FE9852B" w14:textId="77777777" w:rsidR="007372B2" w:rsidRDefault="007372B2" w:rsidP="00794491">
                                  <w:pPr>
                                    <w:jc w:val="center"/>
                                    <w:rPr>
                                      <w:rFonts w:ascii="Arial" w:hAnsi="Arial" w:cs="Arial"/>
                                      <w:b/>
                                      <w:bCs/>
                                      <w:sz w:val="18"/>
                                      <w:szCs w:val="18"/>
                                    </w:rPr>
                                  </w:pPr>
                                </w:p>
                              </w:tc>
                              <w:tc>
                                <w:tcPr>
                                  <w:tcW w:w="497" w:type="dxa"/>
                                  <w:tcBorders>
                                    <w:top w:val="nil"/>
                                    <w:left w:val="nil"/>
                                    <w:bottom w:val="nil"/>
                                    <w:right w:val="nil"/>
                                  </w:tcBorders>
                                </w:tcPr>
                                <w:p w14:paraId="37849CCA" w14:textId="77777777" w:rsidR="007372B2" w:rsidRDefault="007372B2">
                                  <w:pPr>
                                    <w:rPr>
                                      <w:rFonts w:ascii="Arial" w:hAnsi="Arial" w:cs="Arial"/>
                                      <w:b/>
                                      <w:bCs/>
                                      <w:sz w:val="18"/>
                                      <w:szCs w:val="18"/>
                                      <w:lang w:val="uk-UA"/>
                                    </w:rPr>
                                  </w:pPr>
                                </w:p>
                              </w:tc>
                              <w:tc>
                                <w:tcPr>
                                  <w:tcW w:w="3260" w:type="dxa"/>
                                  <w:tcBorders>
                                    <w:top w:val="nil"/>
                                    <w:left w:val="nil"/>
                                    <w:bottom w:val="nil"/>
                                    <w:right w:val="nil"/>
                                  </w:tcBorders>
                                </w:tcPr>
                                <w:p w14:paraId="65D803E0" w14:textId="77777777" w:rsidR="007372B2" w:rsidRDefault="007372B2">
                                  <w:pPr>
                                    <w:rPr>
                                      <w:rFonts w:ascii="Arial" w:hAnsi="Arial" w:cs="Arial"/>
                                      <w:b/>
                                      <w:bCs/>
                                      <w:sz w:val="18"/>
                                      <w:szCs w:val="18"/>
                                      <w:lang w:val="uk-UA"/>
                                    </w:rPr>
                                  </w:pPr>
                                </w:p>
                              </w:tc>
                              <w:tc>
                                <w:tcPr>
                                  <w:tcW w:w="2486" w:type="dxa"/>
                                  <w:tcBorders>
                                    <w:top w:val="nil"/>
                                    <w:left w:val="nil"/>
                                    <w:bottom w:val="nil"/>
                                    <w:right w:val="nil"/>
                                  </w:tcBorders>
                                </w:tcPr>
                                <w:p w14:paraId="7CA6981C" w14:textId="6C0A652B" w:rsidR="007372B2" w:rsidRDefault="007372B2">
                                  <w:pPr>
                                    <w:rPr>
                                      <w:rFonts w:ascii="Arial" w:hAnsi="Arial" w:cs="Arial"/>
                                      <w:b/>
                                      <w:bCs/>
                                      <w:sz w:val="18"/>
                                      <w:szCs w:val="18"/>
                                      <w:lang w:val="uk-UA"/>
                                    </w:rPr>
                                  </w:pPr>
                                </w:p>
                              </w:tc>
                            </w:tr>
                          </w:tbl>
                          <w:p w14:paraId="4614F68B" w14:textId="77777777" w:rsidR="007372B2" w:rsidRDefault="007372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B0042A" id="Поле 1914" o:spid="_x0000_s1188" type="#_x0000_t202" style="position:absolute;margin-left:15.5pt;margin-top:8.55pt;width:484.5pt;height:23pt;z-index:48816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" fillcolor="white [3201]" stroked="f" strokeweight=".5pt">
                <v:textbox>
                  <w:txbxContent>
                    <w:tbl>
                      <w:tblPr>
                        <w:tblStyle w:val="ac"/>
                        <w:tblW w:w="10991" w:type="dxa"/>
                        <w:tblLook w:val="04A0" w:firstRow="1" w:lastRow="0" w:firstColumn="1" w:lastColumn="0" w:noHBand="0" w:noVBand="1"/>
                      </w:tblPr>
                      <w:tblGrid>
                        <w:gridCol w:w="2157"/>
                        <w:gridCol w:w="1104"/>
                        <w:gridCol w:w="1487"/>
                        <w:gridCol w:w="497"/>
                        <w:gridCol w:w="3260"/>
                        <w:gridCol w:w="2486"/>
                      </w:tblGrid>
                      <w:tr w:rsidR="007372B2" w14:paraId="50391210" w14:textId="77777777" w:rsidTr="00C124DA">
                        <w:tc>
                          <w:tcPr>
                            <w:tcW w:w="2157" w:type="dxa"/>
                            <w:tcBorders>
                              <w:top w:val="nil"/>
                              <w:left w:val="nil"/>
                              <w:bottom w:val="nil"/>
                              <w:right w:val="nil"/>
                            </w:tcBorders>
                          </w:tcPr>
                          <w:p w14:paraId="7D4C64A3" w14:textId="7B4AD24C" w:rsidR="007372B2" w:rsidRPr="00C124DA" w:rsidRDefault="007372B2">
                            <w:pPr>
                              <w:rPr>
                                <w:rFonts w:ascii="Arial" w:hAnsi="Arial" w:cs="Arial"/>
                                <w:b/>
                                <w:bCs/>
                                <w:sz w:val="17"/>
                                <w:szCs w:val="17"/>
                                <w:lang w:val="uk-UA"/>
                              </w:rPr>
                            </w:pPr>
                            <w:r w:rsidRPr="00C124DA">
                              <w:rPr>
                                <w:rFonts w:ascii="Arial" w:hAnsi="Arial" w:cs="Arial"/>
                                <w:b/>
                                <w:bCs/>
                                <w:sz w:val="17"/>
                                <w:szCs w:val="17"/>
                                <w:lang w:val="uk-UA"/>
                              </w:rPr>
                              <w:t>Дослідження</w:t>
                            </w:r>
                          </w:p>
                        </w:tc>
                        <w:tc>
                          <w:tcPr>
                            <w:tcW w:w="1104" w:type="dxa"/>
                            <w:tcBorders>
                              <w:top w:val="nil"/>
                              <w:left w:val="nil"/>
                              <w:bottom w:val="nil"/>
                              <w:right w:val="nil"/>
                            </w:tcBorders>
                          </w:tcPr>
                          <w:p w14:paraId="76BDC430" w14:textId="193BE9C8" w:rsidR="007372B2" w:rsidRPr="00C124DA" w:rsidRDefault="007372B2" w:rsidP="00794491">
                            <w:pPr>
                              <w:jc w:val="center"/>
                              <w:rPr>
                                <w:rFonts w:ascii="Arial" w:hAnsi="Arial" w:cs="Arial"/>
                                <w:b/>
                                <w:bCs/>
                                <w:sz w:val="17"/>
                                <w:szCs w:val="17"/>
                              </w:rPr>
                            </w:pPr>
                            <w:r w:rsidRPr="00C124DA">
                              <w:rPr>
                                <w:rFonts w:ascii="Arial" w:hAnsi="Arial" w:cs="Arial"/>
                                <w:b/>
                                <w:bCs/>
                                <w:sz w:val="17"/>
                                <w:szCs w:val="17"/>
                                <w:lang w:val="uk-UA"/>
                              </w:rPr>
                              <w:t xml:space="preserve">       </w:t>
                            </w:r>
                            <w:r w:rsidRPr="00C124DA">
                              <w:rPr>
                                <w:rFonts w:ascii="Arial" w:hAnsi="Arial" w:cs="Arial"/>
                                <w:b/>
                                <w:bCs/>
                                <w:sz w:val="17"/>
                                <w:szCs w:val="17"/>
                              </w:rPr>
                              <w:t>TP</w:t>
                            </w:r>
                          </w:p>
                        </w:tc>
                        <w:tc>
                          <w:tcPr>
                            <w:tcW w:w="1487" w:type="dxa"/>
                            <w:tcBorders>
                              <w:top w:val="nil"/>
                              <w:left w:val="nil"/>
                              <w:bottom w:val="nil"/>
                              <w:right w:val="nil"/>
                            </w:tcBorders>
                          </w:tcPr>
                          <w:p w14:paraId="691C52C1" w14:textId="776DD1BA" w:rsidR="007372B2" w:rsidRPr="00C124DA" w:rsidRDefault="007372B2" w:rsidP="00794491">
                            <w:pPr>
                              <w:jc w:val="center"/>
                              <w:rPr>
                                <w:rFonts w:ascii="Arial" w:hAnsi="Arial" w:cs="Arial"/>
                                <w:b/>
                                <w:bCs/>
                                <w:sz w:val="17"/>
                                <w:szCs w:val="17"/>
                              </w:rPr>
                            </w:pPr>
                            <w:r w:rsidRPr="00C124DA">
                              <w:rPr>
                                <w:rFonts w:ascii="Arial" w:hAnsi="Arial" w:cs="Arial"/>
                                <w:b/>
                                <w:bCs/>
                                <w:sz w:val="17"/>
                                <w:szCs w:val="17"/>
                                <w:lang w:val="uk-UA"/>
                              </w:rPr>
                              <w:t xml:space="preserve">       </w:t>
                            </w:r>
                            <w:r w:rsidRPr="00C124DA">
                              <w:rPr>
                                <w:rFonts w:ascii="Arial" w:hAnsi="Arial" w:cs="Arial"/>
                                <w:b/>
                                <w:bCs/>
                                <w:sz w:val="17"/>
                                <w:szCs w:val="17"/>
                              </w:rPr>
                              <w:t>TP+FN</w:t>
                            </w:r>
                          </w:p>
                        </w:tc>
                        <w:tc>
                          <w:tcPr>
                            <w:tcW w:w="497" w:type="dxa"/>
                            <w:tcBorders>
                              <w:top w:val="nil"/>
                              <w:left w:val="nil"/>
                              <w:bottom w:val="nil"/>
                              <w:right w:val="nil"/>
                            </w:tcBorders>
                          </w:tcPr>
                          <w:p w14:paraId="453C435A" w14:textId="77777777" w:rsidR="007372B2" w:rsidRPr="00C124DA" w:rsidRDefault="007372B2">
                            <w:pPr>
                              <w:rPr>
                                <w:rFonts w:ascii="Arial" w:hAnsi="Arial" w:cs="Arial"/>
                                <w:b/>
                                <w:bCs/>
                                <w:sz w:val="17"/>
                                <w:szCs w:val="17"/>
                                <w:lang w:val="uk-UA"/>
                              </w:rPr>
                            </w:pPr>
                          </w:p>
                        </w:tc>
                        <w:tc>
                          <w:tcPr>
                            <w:tcW w:w="3260" w:type="dxa"/>
                            <w:tcBorders>
                              <w:top w:val="nil"/>
                              <w:left w:val="nil"/>
                              <w:bottom w:val="nil"/>
                              <w:right w:val="nil"/>
                            </w:tcBorders>
                          </w:tcPr>
                          <w:p w14:paraId="7227AC88" w14:textId="4E28C965" w:rsidR="007372B2" w:rsidRPr="00C124DA" w:rsidRDefault="007372B2">
                            <w:pPr>
                              <w:rPr>
                                <w:rFonts w:ascii="Arial" w:hAnsi="Arial" w:cs="Arial"/>
                                <w:b/>
                                <w:bCs/>
                                <w:sz w:val="17"/>
                                <w:szCs w:val="17"/>
                                <w:lang w:val="uk-UA"/>
                              </w:rPr>
                            </w:pPr>
                            <w:r w:rsidRPr="00C124DA">
                              <w:rPr>
                                <w:rFonts w:ascii="Arial" w:hAnsi="Arial" w:cs="Arial"/>
                                <w:b/>
                                <w:bCs/>
                                <w:sz w:val="17"/>
                                <w:szCs w:val="17"/>
                                <w:lang w:val="uk-UA"/>
                              </w:rPr>
                              <w:t xml:space="preserve">                             </w:t>
                            </w:r>
                            <w:r>
                              <w:rPr>
                                <w:rFonts w:ascii="Arial" w:hAnsi="Arial" w:cs="Arial"/>
                                <w:b/>
                                <w:bCs/>
                                <w:sz w:val="17"/>
                                <w:szCs w:val="17"/>
                                <w:lang w:val="uk-UA"/>
                              </w:rPr>
                              <w:t xml:space="preserve">   </w:t>
                            </w:r>
                            <w:r w:rsidRPr="00C124DA">
                              <w:rPr>
                                <w:rFonts w:ascii="Arial" w:hAnsi="Arial" w:cs="Arial"/>
                                <w:b/>
                                <w:bCs/>
                                <w:sz w:val="17"/>
                                <w:szCs w:val="17"/>
                                <w:lang w:val="uk-UA"/>
                              </w:rPr>
                              <w:t>Чутливість (%)</w:t>
                            </w:r>
                          </w:p>
                        </w:tc>
                        <w:tc>
                          <w:tcPr>
                            <w:tcW w:w="2486" w:type="dxa"/>
                            <w:tcBorders>
                              <w:top w:val="nil"/>
                              <w:left w:val="nil"/>
                              <w:bottom w:val="nil"/>
                              <w:right w:val="nil"/>
                            </w:tcBorders>
                          </w:tcPr>
                          <w:p w14:paraId="7E9FB6E9" w14:textId="0DC312B1" w:rsidR="007372B2" w:rsidRPr="00C124DA" w:rsidRDefault="007372B2">
                            <w:pPr>
                              <w:rPr>
                                <w:rFonts w:ascii="Arial" w:hAnsi="Arial" w:cs="Arial"/>
                                <w:b/>
                                <w:bCs/>
                                <w:sz w:val="17"/>
                                <w:szCs w:val="17"/>
                                <w:lang w:val="uk-UA"/>
                              </w:rPr>
                            </w:pPr>
                            <w:r>
                              <w:rPr>
                                <w:rFonts w:ascii="Arial" w:hAnsi="Arial" w:cs="Arial"/>
                                <w:b/>
                                <w:bCs/>
                                <w:sz w:val="17"/>
                                <w:szCs w:val="17"/>
                                <w:lang w:val="uk-UA"/>
                              </w:rPr>
                              <w:t xml:space="preserve"> </w:t>
                            </w:r>
                            <w:r w:rsidRPr="00C124DA">
                              <w:rPr>
                                <w:rFonts w:ascii="Arial" w:hAnsi="Arial" w:cs="Arial"/>
                                <w:b/>
                                <w:bCs/>
                                <w:sz w:val="17"/>
                                <w:szCs w:val="17"/>
                                <w:lang w:val="uk-UA"/>
                              </w:rPr>
                              <w:t>95%  ДІ</w:t>
                            </w:r>
                          </w:p>
                        </w:tc>
                      </w:tr>
                      <w:tr w:rsidR="007372B2" w14:paraId="16BE9BCB" w14:textId="77777777" w:rsidTr="00C124DA">
                        <w:tc>
                          <w:tcPr>
                            <w:tcW w:w="2157" w:type="dxa"/>
                            <w:tcBorders>
                              <w:top w:val="nil"/>
                              <w:left w:val="nil"/>
                              <w:bottom w:val="nil"/>
                              <w:right w:val="nil"/>
                            </w:tcBorders>
                          </w:tcPr>
                          <w:p w14:paraId="78D3E56F" w14:textId="77777777" w:rsidR="007372B2" w:rsidRPr="00AC0AAD" w:rsidRDefault="007372B2">
                            <w:pPr>
                              <w:rPr>
                                <w:rFonts w:ascii="Arial" w:hAnsi="Arial" w:cs="Arial"/>
                                <w:b/>
                                <w:bCs/>
                                <w:sz w:val="18"/>
                                <w:szCs w:val="18"/>
                                <w:lang w:val="uk-UA"/>
                              </w:rPr>
                            </w:pPr>
                          </w:p>
                        </w:tc>
                        <w:tc>
                          <w:tcPr>
                            <w:tcW w:w="1104" w:type="dxa"/>
                            <w:tcBorders>
                              <w:top w:val="nil"/>
                              <w:left w:val="nil"/>
                              <w:bottom w:val="nil"/>
                              <w:right w:val="nil"/>
                            </w:tcBorders>
                          </w:tcPr>
                          <w:p w14:paraId="7415DE2A" w14:textId="77777777" w:rsidR="007372B2" w:rsidRDefault="007372B2" w:rsidP="00794491">
                            <w:pPr>
                              <w:jc w:val="center"/>
                              <w:rPr>
                                <w:rFonts w:ascii="Arial" w:hAnsi="Arial" w:cs="Arial"/>
                                <w:b/>
                                <w:bCs/>
                                <w:sz w:val="18"/>
                                <w:szCs w:val="18"/>
                              </w:rPr>
                            </w:pPr>
                          </w:p>
                        </w:tc>
                        <w:tc>
                          <w:tcPr>
                            <w:tcW w:w="1487" w:type="dxa"/>
                            <w:tcBorders>
                              <w:top w:val="nil"/>
                              <w:left w:val="nil"/>
                              <w:bottom w:val="nil"/>
                              <w:right w:val="nil"/>
                            </w:tcBorders>
                          </w:tcPr>
                          <w:p w14:paraId="05F8E16E" w14:textId="77777777" w:rsidR="007372B2" w:rsidRDefault="007372B2" w:rsidP="00794491">
                            <w:pPr>
                              <w:jc w:val="center"/>
                              <w:rPr>
                                <w:rFonts w:ascii="Arial" w:hAnsi="Arial" w:cs="Arial"/>
                                <w:b/>
                                <w:bCs/>
                                <w:sz w:val="18"/>
                                <w:szCs w:val="18"/>
                              </w:rPr>
                            </w:pPr>
                          </w:p>
                        </w:tc>
                        <w:tc>
                          <w:tcPr>
                            <w:tcW w:w="497" w:type="dxa"/>
                            <w:tcBorders>
                              <w:top w:val="nil"/>
                              <w:left w:val="nil"/>
                              <w:bottom w:val="nil"/>
                              <w:right w:val="nil"/>
                            </w:tcBorders>
                          </w:tcPr>
                          <w:p w14:paraId="3551FA84" w14:textId="77777777" w:rsidR="007372B2" w:rsidRDefault="007372B2">
                            <w:pPr>
                              <w:rPr>
                                <w:rFonts w:ascii="Arial" w:hAnsi="Arial" w:cs="Arial"/>
                                <w:b/>
                                <w:bCs/>
                                <w:sz w:val="18"/>
                                <w:szCs w:val="18"/>
                                <w:lang w:val="uk-UA"/>
                              </w:rPr>
                            </w:pPr>
                          </w:p>
                        </w:tc>
                        <w:tc>
                          <w:tcPr>
                            <w:tcW w:w="3260" w:type="dxa"/>
                            <w:tcBorders>
                              <w:top w:val="nil"/>
                              <w:left w:val="nil"/>
                              <w:bottom w:val="nil"/>
                              <w:right w:val="nil"/>
                            </w:tcBorders>
                          </w:tcPr>
                          <w:p w14:paraId="26D59D90" w14:textId="77777777" w:rsidR="007372B2" w:rsidRDefault="007372B2">
                            <w:pPr>
                              <w:rPr>
                                <w:rFonts w:ascii="Arial" w:hAnsi="Arial" w:cs="Arial"/>
                                <w:b/>
                                <w:bCs/>
                                <w:sz w:val="18"/>
                                <w:szCs w:val="18"/>
                                <w:lang w:val="uk-UA"/>
                              </w:rPr>
                            </w:pPr>
                          </w:p>
                        </w:tc>
                        <w:tc>
                          <w:tcPr>
                            <w:tcW w:w="2486" w:type="dxa"/>
                            <w:tcBorders>
                              <w:top w:val="nil"/>
                              <w:left w:val="nil"/>
                              <w:bottom w:val="nil"/>
                              <w:right w:val="nil"/>
                            </w:tcBorders>
                          </w:tcPr>
                          <w:p w14:paraId="37ECE94A" w14:textId="7712C9D3" w:rsidR="007372B2" w:rsidRDefault="007372B2">
                            <w:pPr>
                              <w:rPr>
                                <w:rFonts w:ascii="Arial" w:hAnsi="Arial" w:cs="Arial"/>
                                <w:b/>
                                <w:bCs/>
                                <w:sz w:val="18"/>
                                <w:szCs w:val="18"/>
                                <w:lang w:val="uk-UA"/>
                              </w:rPr>
                            </w:pPr>
                          </w:p>
                        </w:tc>
                      </w:tr>
                      <w:tr w:rsidR="007372B2" w14:paraId="1E26740B" w14:textId="77777777" w:rsidTr="00C124DA">
                        <w:tc>
                          <w:tcPr>
                            <w:tcW w:w="2157" w:type="dxa"/>
                            <w:tcBorders>
                              <w:top w:val="nil"/>
                              <w:left w:val="nil"/>
                              <w:bottom w:val="nil"/>
                              <w:right w:val="nil"/>
                            </w:tcBorders>
                          </w:tcPr>
                          <w:p w14:paraId="22C18BCA" w14:textId="77777777" w:rsidR="007372B2" w:rsidRPr="00AC0AAD" w:rsidRDefault="007372B2">
                            <w:pPr>
                              <w:rPr>
                                <w:rFonts w:ascii="Arial" w:hAnsi="Arial" w:cs="Arial"/>
                                <w:b/>
                                <w:bCs/>
                                <w:sz w:val="18"/>
                                <w:szCs w:val="18"/>
                                <w:lang w:val="uk-UA"/>
                              </w:rPr>
                            </w:pPr>
                          </w:p>
                        </w:tc>
                        <w:tc>
                          <w:tcPr>
                            <w:tcW w:w="1104" w:type="dxa"/>
                            <w:tcBorders>
                              <w:top w:val="nil"/>
                              <w:left w:val="nil"/>
                              <w:bottom w:val="nil"/>
                              <w:right w:val="nil"/>
                            </w:tcBorders>
                          </w:tcPr>
                          <w:p w14:paraId="761C8A10" w14:textId="77777777" w:rsidR="007372B2" w:rsidRDefault="007372B2" w:rsidP="00794491">
                            <w:pPr>
                              <w:jc w:val="center"/>
                              <w:rPr>
                                <w:rFonts w:ascii="Arial" w:hAnsi="Arial" w:cs="Arial"/>
                                <w:b/>
                                <w:bCs/>
                                <w:sz w:val="18"/>
                                <w:szCs w:val="18"/>
                              </w:rPr>
                            </w:pPr>
                          </w:p>
                        </w:tc>
                        <w:tc>
                          <w:tcPr>
                            <w:tcW w:w="1487" w:type="dxa"/>
                            <w:tcBorders>
                              <w:top w:val="nil"/>
                              <w:left w:val="nil"/>
                              <w:bottom w:val="nil"/>
                              <w:right w:val="nil"/>
                            </w:tcBorders>
                          </w:tcPr>
                          <w:p w14:paraId="3FE9852B" w14:textId="77777777" w:rsidR="007372B2" w:rsidRDefault="007372B2" w:rsidP="00794491">
                            <w:pPr>
                              <w:jc w:val="center"/>
                              <w:rPr>
                                <w:rFonts w:ascii="Arial" w:hAnsi="Arial" w:cs="Arial"/>
                                <w:b/>
                                <w:bCs/>
                                <w:sz w:val="18"/>
                                <w:szCs w:val="18"/>
                              </w:rPr>
                            </w:pPr>
                          </w:p>
                        </w:tc>
                        <w:tc>
                          <w:tcPr>
                            <w:tcW w:w="497" w:type="dxa"/>
                            <w:tcBorders>
                              <w:top w:val="nil"/>
                              <w:left w:val="nil"/>
                              <w:bottom w:val="nil"/>
                              <w:right w:val="nil"/>
                            </w:tcBorders>
                          </w:tcPr>
                          <w:p w14:paraId="37849CCA" w14:textId="77777777" w:rsidR="007372B2" w:rsidRDefault="007372B2">
                            <w:pPr>
                              <w:rPr>
                                <w:rFonts w:ascii="Arial" w:hAnsi="Arial" w:cs="Arial"/>
                                <w:b/>
                                <w:bCs/>
                                <w:sz w:val="18"/>
                                <w:szCs w:val="18"/>
                                <w:lang w:val="uk-UA"/>
                              </w:rPr>
                            </w:pPr>
                          </w:p>
                        </w:tc>
                        <w:tc>
                          <w:tcPr>
                            <w:tcW w:w="3260" w:type="dxa"/>
                            <w:tcBorders>
                              <w:top w:val="nil"/>
                              <w:left w:val="nil"/>
                              <w:bottom w:val="nil"/>
                              <w:right w:val="nil"/>
                            </w:tcBorders>
                          </w:tcPr>
                          <w:p w14:paraId="65D803E0" w14:textId="77777777" w:rsidR="007372B2" w:rsidRDefault="007372B2">
                            <w:pPr>
                              <w:rPr>
                                <w:rFonts w:ascii="Arial" w:hAnsi="Arial" w:cs="Arial"/>
                                <w:b/>
                                <w:bCs/>
                                <w:sz w:val="18"/>
                                <w:szCs w:val="18"/>
                                <w:lang w:val="uk-UA"/>
                              </w:rPr>
                            </w:pPr>
                          </w:p>
                        </w:tc>
                        <w:tc>
                          <w:tcPr>
                            <w:tcW w:w="2486" w:type="dxa"/>
                            <w:tcBorders>
                              <w:top w:val="nil"/>
                              <w:left w:val="nil"/>
                              <w:bottom w:val="nil"/>
                              <w:right w:val="nil"/>
                            </w:tcBorders>
                          </w:tcPr>
                          <w:p w14:paraId="7CA6981C" w14:textId="6C0A652B" w:rsidR="007372B2" w:rsidRDefault="007372B2">
                            <w:pPr>
                              <w:rPr>
                                <w:rFonts w:ascii="Arial" w:hAnsi="Arial" w:cs="Arial"/>
                                <w:b/>
                                <w:bCs/>
                                <w:sz w:val="18"/>
                                <w:szCs w:val="18"/>
                                <w:lang w:val="uk-UA"/>
                              </w:rPr>
                            </w:pPr>
                          </w:p>
                        </w:tc>
                      </w:tr>
                    </w:tbl>
                    <w:p w14:paraId="4614F68B" w14:textId="77777777" w:rsidR="007372B2" w:rsidRDefault="007372B2"/>
                  </w:txbxContent>
                </v:textbox>
              </v:shape>
            </w:pict>
          </mc:Fallback>
        </mc:AlternateContent>
      </w:r>
      <w:r w:rsidR="00AC0AAD">
        <w:rPr>
          <w:rFonts w:ascii="Arial"/>
          <w:b/>
          <w:noProof/>
          <w:sz w:val="17"/>
          <w:lang w:val="uk-UA"/>
        </w:rPr>
        <mc:AlternateContent>
          <mc:Choice Requires="wps">
            <w:drawing>
              <wp:anchor distT="0" distB="0" distL="114300" distR="114300" simplePos="0" relativeHeight="488167936" behindDoc="0" locked="0" layoutInCell="1" allowOverlap="1" wp14:anchorId="0A272354" wp14:editId="2D430FA2">
                <wp:simplePos x="0" y="0"/>
                <wp:positionH relativeFrom="column">
                  <wp:posOffset>254000</wp:posOffset>
                </wp:positionH>
                <wp:positionV relativeFrom="paragraph">
                  <wp:posOffset>356235</wp:posOffset>
                </wp:positionV>
                <wp:extent cx="6057900" cy="4165600"/>
                <wp:effectExtent l="0" t="0" r="0" b="6350"/>
                <wp:wrapNone/>
                <wp:docPr id="1929884786" name="Поле 1913"/>
                <wp:cNvGraphicFramePr/>
                <a:graphic xmlns:a="http://schemas.openxmlformats.org/drawingml/2006/main">
                  <a:graphicData uri="http://schemas.microsoft.com/office/word/2010/wordprocessingShape">
                    <wps:wsp>
                      <wps:cNvSpPr txBox="1"/>
                      <wps:spPr>
                        <a:xfrm>
                          <a:off x="0" y="0"/>
                          <a:ext cx="6057900" cy="4165600"/>
                        </a:xfrm>
                        <a:prstGeom prst="rect">
                          <a:avLst/>
                        </a:prstGeom>
                        <a:solidFill>
                          <a:schemeClr val="bg1"/>
                        </a:solidFill>
                        <a:ln w="6350">
                          <a:noFill/>
                        </a:ln>
                      </wps:spPr>
                      <wps:txbx>
                        <w:txbxContent>
                          <w:p w14:paraId="2D0AC7A0" w14:textId="054EACCF" w:rsidR="007372B2" w:rsidRDefault="007372B2">
                            <w:r>
                              <w:rPr>
                                <w:noProof/>
                              </w:rPr>
                              <w:drawing>
                                <wp:inline distT="0" distB="0" distL="0" distR="0" wp14:anchorId="364829E3" wp14:editId="1B3DCFA8">
                                  <wp:extent cx="5835650" cy="3960495"/>
                                  <wp:effectExtent l="0" t="0" r="0" b="1905"/>
                                  <wp:docPr id="15141598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59833" name=""/>
                                          <pic:cNvPicPr/>
                                        </pic:nvPicPr>
                                        <pic:blipFill>
                                          <a:blip r:embed="rId200"/>
                                          <a:stretch>
                                            <a:fillRect/>
                                          </a:stretch>
                                        </pic:blipFill>
                                        <pic:spPr>
                                          <a:xfrm>
                                            <a:off x="0" y="0"/>
                                            <a:ext cx="5835650" cy="3960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72354" id="Поле 1913" o:spid="_x0000_s1189" type="#_x0000_t202" style="position:absolute;margin-left:20pt;margin-top:28.05pt;width:477pt;height:328pt;z-index:4881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" fillcolor="white [3212]" stroked="f" strokeweight=".5pt">
                <v:textbox>
                  <w:txbxContent>
                    <w:p w14:paraId="2D0AC7A0" w14:textId="054EACCF" w:rsidR="007372B2" w:rsidRDefault="007372B2">
                      <w:r>
                        <w:rPr>
                          <w:noProof/>
                        </w:rPr>
                        <w:drawing>
                          <wp:inline distT="0" distB="0" distL="0" distR="0" wp14:anchorId="364829E3" wp14:editId="1B3DCFA8">
                            <wp:extent cx="5835650" cy="3960495"/>
                            <wp:effectExtent l="0" t="0" r="0" b="1905"/>
                            <wp:docPr id="15141598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59833" name=""/>
                                    <pic:cNvPicPr/>
                                  </pic:nvPicPr>
                                  <pic:blipFill>
                                    <a:blip r:embed="rId200"/>
                                    <a:stretch>
                                      <a:fillRect/>
                                    </a:stretch>
                                  </pic:blipFill>
                                  <pic:spPr>
                                    <a:xfrm>
                                      <a:off x="0" y="0"/>
                                      <a:ext cx="5835650" cy="3960495"/>
                                    </a:xfrm>
                                    <a:prstGeom prst="rect">
                                      <a:avLst/>
                                    </a:prstGeom>
                                  </pic:spPr>
                                </pic:pic>
                              </a:graphicData>
                            </a:graphic>
                          </wp:inline>
                        </w:drawing>
                      </w:r>
                    </w:p>
                  </w:txbxContent>
                </v:textbox>
              </v:shape>
            </w:pict>
          </mc:Fallback>
        </mc:AlternateContent>
      </w:r>
      <w:r w:rsidR="00B01E0C" w:rsidRPr="003C6DAE">
        <w:rPr>
          <w:rFonts w:ascii="Arial"/>
          <w:b/>
          <w:noProof/>
          <w:sz w:val="17"/>
          <w:lang w:val="uk-UA"/>
        </w:rPr>
        <w:drawing>
          <wp:anchor distT="0" distB="0" distL="0" distR="0" simplePos="0" relativeHeight="488065024" behindDoc="1" locked="0" layoutInCell="1" allowOverlap="1" wp14:anchorId="635781D0" wp14:editId="5E1F7234">
            <wp:simplePos x="0" y="0"/>
            <wp:positionH relativeFrom="page">
              <wp:posOffset>899999</wp:posOffset>
            </wp:positionH>
            <wp:positionV relativeFrom="paragraph">
              <wp:posOffset>144415</wp:posOffset>
            </wp:positionV>
            <wp:extent cx="5727578" cy="4149089"/>
            <wp:effectExtent l="0" t="0" r="6985" b="4445"/>
            <wp:wrapTopAndBottom/>
            <wp:docPr id="3046" name="Image 3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6" name="Image 3046"/>
                    <pic:cNvPicPr/>
                  </pic:nvPicPr>
                  <pic:blipFill>
                    <a:blip r:embed="rId201" cstate="print"/>
                    <a:stretch>
                      <a:fillRect/>
                    </a:stretch>
                  </pic:blipFill>
                  <pic:spPr>
                    <a:xfrm>
                      <a:off x="0" y="0"/>
                      <a:ext cx="5727578" cy="4149089"/>
                    </a:xfrm>
                    <a:prstGeom prst="rect">
                      <a:avLst/>
                    </a:prstGeom>
                  </pic:spPr>
                </pic:pic>
              </a:graphicData>
            </a:graphic>
          </wp:anchor>
        </w:drawing>
      </w:r>
    </w:p>
    <w:p w14:paraId="459E644E" w14:textId="77777777" w:rsidR="00E05B98" w:rsidRPr="003C6DAE" w:rsidRDefault="00E05B98">
      <w:pPr>
        <w:pStyle w:val="a3"/>
        <w:rPr>
          <w:rFonts w:ascii="Arial"/>
          <w:b/>
          <w:sz w:val="17"/>
          <w:lang w:val="uk-UA"/>
        </w:rPr>
        <w:sectPr w:rsidR="00E05B98" w:rsidRPr="003C6DAE" w:rsidSect="00794491">
          <w:pgSz w:w="11910" w:h="16840"/>
          <w:pgMar w:top="1135" w:right="995" w:bottom="760" w:left="850" w:header="0" w:footer="573" w:gutter="0"/>
          <w:cols w:space="720"/>
        </w:sectPr>
      </w:pPr>
    </w:p>
    <w:p w14:paraId="687AE73D" w14:textId="11DE4745" w:rsidR="00E05B98" w:rsidRPr="00AC0AAD" w:rsidRDefault="004B4360" w:rsidP="003D28E5">
      <w:pPr>
        <w:pStyle w:val="a3"/>
        <w:spacing w:before="52" w:line="269" w:lineRule="auto"/>
        <w:ind w:left="567" w:right="136"/>
        <w:jc w:val="both"/>
        <w:rPr>
          <w:sz w:val="20"/>
          <w:szCs w:val="20"/>
          <w:lang w:val="uk-UA"/>
        </w:rPr>
      </w:pPr>
      <w:r w:rsidRPr="00AC0AAD">
        <w:rPr>
          <w:w w:val="105"/>
          <w:sz w:val="20"/>
          <w:szCs w:val="20"/>
          <w:lang w:val="uk-UA"/>
        </w:rPr>
        <w:lastRenderedPageBreak/>
        <w:t>У шести перехресних дослідженнях (</w:t>
      </w:r>
      <w:r w:rsidRPr="00C124DA">
        <w:rPr>
          <w:b/>
          <w:bCs/>
          <w:w w:val="105"/>
          <w:sz w:val="20"/>
          <w:szCs w:val="20"/>
          <w:lang w:val="uk-UA"/>
        </w:rPr>
        <w:t>рис. 3.1.1.1</w:t>
      </w:r>
      <w:r w:rsidRPr="00AC0AAD">
        <w:rPr>
          <w:w w:val="105"/>
          <w:sz w:val="20"/>
          <w:szCs w:val="20"/>
          <w:lang w:val="uk-UA"/>
        </w:rPr>
        <w:t xml:space="preserve">) об'єднана чутливість </w:t>
      </w:r>
      <w:r w:rsidR="00C124DA">
        <w:rPr>
          <w:w w:val="105"/>
          <w:sz w:val="20"/>
          <w:szCs w:val="20"/>
          <w:lang w:val="uk-UA"/>
        </w:rPr>
        <w:t xml:space="preserve">на противагу </w:t>
      </w:r>
      <w:r w:rsidRPr="00AC0AAD">
        <w:rPr>
          <w:w w:val="105"/>
          <w:sz w:val="20"/>
          <w:szCs w:val="20"/>
          <w:lang w:val="uk-UA"/>
        </w:rPr>
        <w:t>мікробіологічно</w:t>
      </w:r>
      <w:r w:rsidR="00C124DA">
        <w:rPr>
          <w:w w:val="105"/>
          <w:sz w:val="20"/>
          <w:szCs w:val="20"/>
          <w:lang w:val="uk-UA"/>
        </w:rPr>
        <w:t>му</w:t>
      </w:r>
      <w:r w:rsidRPr="00AC0AAD">
        <w:rPr>
          <w:w w:val="105"/>
          <w:sz w:val="20"/>
          <w:szCs w:val="20"/>
          <w:lang w:val="uk-UA"/>
        </w:rPr>
        <w:t xml:space="preserve"> еталонно</w:t>
      </w:r>
      <w:r w:rsidR="00C124DA">
        <w:rPr>
          <w:w w:val="105"/>
          <w:sz w:val="20"/>
          <w:szCs w:val="20"/>
          <w:lang w:val="uk-UA"/>
        </w:rPr>
        <w:t>му</w:t>
      </w:r>
      <w:r w:rsidRPr="00AC0AAD">
        <w:rPr>
          <w:w w:val="105"/>
          <w:sz w:val="20"/>
          <w:szCs w:val="20"/>
          <w:lang w:val="uk-UA"/>
        </w:rPr>
        <w:t xml:space="preserve"> стандарту на виявлення </w:t>
      </w:r>
      <w:r w:rsidR="00C124DA">
        <w:rPr>
          <w:w w:val="105"/>
          <w:sz w:val="20"/>
          <w:szCs w:val="20"/>
          <w:lang w:val="uk-UA"/>
        </w:rPr>
        <w:t>ТБ-</w:t>
      </w:r>
      <w:r w:rsidRPr="00AC0AAD">
        <w:rPr>
          <w:w w:val="105"/>
          <w:sz w:val="20"/>
          <w:szCs w:val="20"/>
          <w:lang w:val="uk-UA"/>
        </w:rPr>
        <w:t>захворювання становила 78,1% (95% довірчий інтервал [ДІ]: 70,6-84,1%). Докази вважалися такими, що  мають високий ступінь достовірності, рейтинг яких не було знижено. Дослідження Старшинової  2018 р. (5) і  2019  р. (6) оцінювали результати Діаскінтесту з пороговим значенням ущільнення (індурації) не менше 5 мм; решта досліджень були прямими порівняльними дослідженнями, в яких оцінювали Cy-Tb.</w:t>
      </w:r>
      <w:r w:rsidR="00B01E0C" w:rsidRPr="00AC0AAD">
        <w:rPr>
          <w:spacing w:val="-13"/>
          <w:sz w:val="20"/>
          <w:szCs w:val="20"/>
          <w:lang w:val="uk-UA"/>
        </w:rPr>
        <w:t xml:space="preserve"> </w:t>
      </w:r>
      <w:r w:rsidR="00AC0AAD" w:rsidRPr="00AC0AAD">
        <w:rPr>
          <w:spacing w:val="-2"/>
          <w:sz w:val="20"/>
          <w:szCs w:val="20"/>
          <w:lang w:val="uk-UA"/>
        </w:rPr>
        <w:t xml:space="preserve">Оцінювані доказові дані для Cy-Tb включали порогове значення індурації не менше 5 мм у всіх дослідженнях. У чотирьох дослідженнях (7-10) порогове значення індурації  при </w:t>
      </w:r>
      <w:r w:rsidR="00D45FA2">
        <w:rPr>
          <w:spacing w:val="-2"/>
          <w:sz w:val="20"/>
          <w:szCs w:val="20"/>
          <w:lang w:val="uk-UA"/>
        </w:rPr>
        <w:t>ТШП</w:t>
      </w:r>
      <w:r w:rsidR="00AC0AAD" w:rsidRPr="00AC0AAD">
        <w:rPr>
          <w:spacing w:val="-2"/>
          <w:sz w:val="20"/>
          <w:szCs w:val="20"/>
          <w:lang w:val="uk-UA"/>
        </w:rPr>
        <w:t xml:space="preserve"> становило 5 мм для ЛЖВ і 15 мм для ВІЛ-негативних осіб. До цього аналізу були включені лише дослідження Діаскінтесту та Cy-Tb.</w:t>
      </w:r>
    </w:p>
    <w:p w14:paraId="4E06065F" w14:textId="1E07BAAB" w:rsidR="00E05B98" w:rsidRPr="003D28E5" w:rsidRDefault="00AC0AAD">
      <w:pPr>
        <w:pStyle w:val="6"/>
        <w:spacing w:before="235" w:line="268" w:lineRule="auto"/>
        <w:ind w:right="189"/>
        <w:jc w:val="both"/>
        <w:rPr>
          <w:sz w:val="20"/>
          <w:szCs w:val="20"/>
          <w:lang w:val="uk-UA"/>
        </w:rPr>
      </w:pPr>
      <w:bookmarkStart w:id="98" w:name="_bookmark46"/>
      <w:bookmarkEnd w:id="98"/>
      <w:r w:rsidRPr="003D28E5">
        <w:rPr>
          <w:color w:val="636466"/>
          <w:sz w:val="20"/>
          <w:szCs w:val="20"/>
          <w:lang w:val="uk-UA"/>
        </w:rPr>
        <w:t xml:space="preserve">Рис. 3.1.1.2 Чутливість </w:t>
      </w:r>
      <w:r w:rsidR="00C124DA">
        <w:rPr>
          <w:color w:val="636466"/>
          <w:sz w:val="20"/>
          <w:szCs w:val="20"/>
          <w:lang w:val="uk-UA"/>
        </w:rPr>
        <w:t>ШПТБ</w:t>
      </w:r>
      <w:r w:rsidRPr="003D28E5">
        <w:rPr>
          <w:color w:val="636466"/>
          <w:sz w:val="20"/>
          <w:szCs w:val="20"/>
          <w:lang w:val="uk-UA"/>
        </w:rPr>
        <w:t xml:space="preserve"> у всіх дослідженнях за участю осіб з ВІЛ-негативним або невідомим статусом</w:t>
      </w:r>
    </w:p>
    <w:p w14:paraId="582F43FA" w14:textId="0023D702" w:rsidR="00E05B98" w:rsidRPr="003C6DAE" w:rsidRDefault="000532E5">
      <w:pPr>
        <w:pStyle w:val="a3"/>
        <w:rPr>
          <w:rFonts w:ascii="Arial"/>
          <w:b/>
          <w:sz w:val="17"/>
          <w:lang w:val="uk-UA"/>
        </w:rPr>
      </w:pPr>
      <w:r>
        <w:rPr>
          <w:rFonts w:ascii="Arial"/>
          <w:b/>
          <w:noProof/>
          <w:sz w:val="17"/>
          <w:lang w:val="uk-UA"/>
        </w:rPr>
        <mc:AlternateContent>
          <mc:Choice Requires="wps">
            <w:drawing>
              <wp:anchor distT="0" distB="0" distL="114300" distR="114300" simplePos="0" relativeHeight="488171008" behindDoc="0" locked="0" layoutInCell="1" allowOverlap="1" wp14:anchorId="37973075" wp14:editId="7CCC4A2F">
                <wp:simplePos x="0" y="0"/>
                <wp:positionH relativeFrom="column">
                  <wp:posOffset>241300</wp:posOffset>
                </wp:positionH>
                <wp:positionV relativeFrom="paragraph">
                  <wp:posOffset>7620</wp:posOffset>
                </wp:positionV>
                <wp:extent cx="6076950" cy="5029200"/>
                <wp:effectExtent l="0" t="0" r="0" b="0"/>
                <wp:wrapNone/>
                <wp:docPr id="234589938" name="Поле 1916"/>
                <wp:cNvGraphicFramePr/>
                <a:graphic xmlns:a="http://schemas.openxmlformats.org/drawingml/2006/main">
                  <a:graphicData uri="http://schemas.microsoft.com/office/word/2010/wordprocessingShape">
                    <wps:wsp>
                      <wps:cNvSpPr txBox="1"/>
                      <wps:spPr>
                        <a:xfrm>
                          <a:off x="0" y="0"/>
                          <a:ext cx="6076950" cy="5029200"/>
                        </a:xfrm>
                        <a:prstGeom prst="rect">
                          <a:avLst/>
                        </a:prstGeom>
                        <a:solidFill>
                          <a:schemeClr val="bg1"/>
                        </a:solidFill>
                        <a:ln w="6350">
                          <a:noFill/>
                        </a:ln>
                      </wps:spPr>
                      <wps:txbx>
                        <w:txbxContent>
                          <w:p w14:paraId="2934FFB9" w14:textId="594B68F8" w:rsidR="007372B2" w:rsidRDefault="007372B2">
                            <w:r>
                              <w:rPr>
                                <w:noProof/>
                              </w:rPr>
                              <w:drawing>
                                <wp:inline distT="0" distB="0" distL="0" distR="0" wp14:anchorId="65090B5F" wp14:editId="7AFC2F8A">
                                  <wp:extent cx="5816600" cy="4921250"/>
                                  <wp:effectExtent l="0" t="0" r="0" b="0"/>
                                  <wp:docPr id="1653014244"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816600" cy="4921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73075" id="Поле 1916" o:spid="_x0000_s1190" type="#_x0000_t202" style="position:absolute;margin-left:19pt;margin-top:.6pt;width:478.5pt;height:396pt;z-index:4881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" fillcolor="white [3212]" stroked="f" strokeweight=".5pt">
                <v:textbox>
                  <w:txbxContent>
                    <w:p w14:paraId="2934FFB9" w14:textId="594B68F8" w:rsidR="007372B2" w:rsidRDefault="007372B2">
                      <w:r>
                        <w:rPr>
                          <w:noProof/>
                        </w:rPr>
                        <w:drawing>
                          <wp:inline distT="0" distB="0" distL="0" distR="0" wp14:anchorId="65090B5F" wp14:editId="7AFC2F8A">
                            <wp:extent cx="5816600" cy="4921250"/>
                            <wp:effectExtent l="0" t="0" r="0" b="0"/>
                            <wp:docPr id="1653014244"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816600" cy="4921250"/>
                                    </a:xfrm>
                                    <a:prstGeom prst="rect">
                                      <a:avLst/>
                                    </a:prstGeom>
                                    <a:noFill/>
                                    <a:ln>
                                      <a:noFill/>
                                    </a:ln>
                                  </pic:spPr>
                                </pic:pic>
                              </a:graphicData>
                            </a:graphic>
                          </wp:inline>
                        </w:drawing>
                      </w:r>
                    </w:p>
                  </w:txbxContent>
                </v:textbox>
              </v:shape>
            </w:pict>
          </mc:Fallback>
        </mc:AlternateContent>
      </w:r>
      <w:r w:rsidR="00905C92">
        <w:rPr>
          <w:rFonts w:ascii="Arial"/>
          <w:b/>
          <w:noProof/>
          <w:sz w:val="17"/>
          <w:lang w:val="uk-UA"/>
        </w:rPr>
        <mc:AlternateContent>
          <mc:Choice Requires="wps">
            <w:drawing>
              <wp:anchor distT="0" distB="0" distL="114300" distR="114300" simplePos="0" relativeHeight="488172032" behindDoc="0" locked="0" layoutInCell="1" allowOverlap="1" wp14:anchorId="7C2C445F" wp14:editId="2145A11E">
                <wp:simplePos x="0" y="0"/>
                <wp:positionH relativeFrom="column">
                  <wp:posOffset>247650</wp:posOffset>
                </wp:positionH>
                <wp:positionV relativeFrom="paragraph">
                  <wp:posOffset>3175</wp:posOffset>
                </wp:positionV>
                <wp:extent cx="6032500" cy="323850"/>
                <wp:effectExtent l="0" t="0" r="6350" b="0"/>
                <wp:wrapNone/>
                <wp:docPr id="1441430638" name="Поле 1919"/>
                <wp:cNvGraphicFramePr/>
                <a:graphic xmlns:a="http://schemas.openxmlformats.org/drawingml/2006/main">
                  <a:graphicData uri="http://schemas.microsoft.com/office/word/2010/wordprocessingShape">
                    <wps:wsp>
                      <wps:cNvSpPr txBox="1"/>
                      <wps:spPr>
                        <a:xfrm>
                          <a:off x="0" y="0"/>
                          <a:ext cx="6032500" cy="323850"/>
                        </a:xfrm>
                        <a:prstGeom prst="rect">
                          <a:avLst/>
                        </a:prstGeom>
                        <a:solidFill>
                          <a:schemeClr val="bg1"/>
                        </a:solidFill>
                        <a:ln w="6350">
                          <a:noFill/>
                        </a:ln>
                      </wps:spPr>
                      <wps:txbx>
                        <w:txbxContent>
                          <w:tbl>
                            <w:tblPr>
                              <w:tblStyle w:val="ac"/>
                              <w:tblW w:w="8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1104"/>
                              <w:gridCol w:w="1487"/>
                              <w:gridCol w:w="238"/>
                              <w:gridCol w:w="1625"/>
                              <w:gridCol w:w="2202"/>
                            </w:tblGrid>
                            <w:tr w:rsidR="007372B2" w:rsidRPr="00794491" w14:paraId="3D9BB8FE" w14:textId="77777777" w:rsidTr="00905C92">
                              <w:tc>
                                <w:tcPr>
                                  <w:tcW w:w="2157" w:type="dxa"/>
                                </w:tcPr>
                                <w:p w14:paraId="0F1C5943" w14:textId="77777777" w:rsidR="007372B2" w:rsidRPr="00AC0AAD" w:rsidRDefault="007372B2" w:rsidP="000073C1">
                                  <w:pPr>
                                    <w:ind w:left="-110"/>
                                    <w:rPr>
                                      <w:rFonts w:ascii="Arial" w:hAnsi="Arial" w:cs="Arial"/>
                                      <w:b/>
                                      <w:bCs/>
                                      <w:sz w:val="18"/>
                                      <w:szCs w:val="18"/>
                                      <w:lang w:val="uk-UA"/>
                                    </w:rPr>
                                  </w:pPr>
                                  <w:r w:rsidRPr="00AC0AAD">
                                    <w:rPr>
                                      <w:rFonts w:ascii="Arial" w:hAnsi="Arial" w:cs="Arial"/>
                                      <w:b/>
                                      <w:bCs/>
                                      <w:sz w:val="18"/>
                                      <w:szCs w:val="18"/>
                                      <w:lang w:val="uk-UA"/>
                                    </w:rPr>
                                    <w:t>Дослідження</w:t>
                                  </w:r>
                                </w:p>
                              </w:tc>
                              <w:tc>
                                <w:tcPr>
                                  <w:tcW w:w="1104" w:type="dxa"/>
                                </w:tcPr>
                                <w:p w14:paraId="4D9925B2" w14:textId="75F31D61" w:rsidR="007372B2" w:rsidRPr="00794491" w:rsidRDefault="007372B2" w:rsidP="00905C92">
                                  <w:pPr>
                                    <w:jc w:val="center"/>
                                    <w:rPr>
                                      <w:rFonts w:ascii="Arial" w:hAnsi="Arial" w:cs="Arial"/>
                                      <w:b/>
                                      <w:bCs/>
                                      <w:sz w:val="18"/>
                                      <w:szCs w:val="18"/>
                                    </w:rPr>
                                  </w:pPr>
                                  <w:r>
                                    <w:rPr>
                                      <w:rFonts w:ascii="Arial" w:hAnsi="Arial" w:cs="Arial"/>
                                      <w:b/>
                                      <w:bCs/>
                                      <w:sz w:val="18"/>
                                      <w:szCs w:val="18"/>
                                      <w:lang w:val="uk-UA"/>
                                    </w:rPr>
                                    <w:t xml:space="preserve">     </w:t>
                                  </w:r>
                                  <w:r>
                                    <w:rPr>
                                      <w:rFonts w:ascii="Arial" w:hAnsi="Arial" w:cs="Arial"/>
                                      <w:b/>
                                      <w:bCs/>
                                      <w:sz w:val="18"/>
                                      <w:szCs w:val="18"/>
                                    </w:rPr>
                                    <w:t>TP</w:t>
                                  </w:r>
                                </w:p>
                              </w:tc>
                              <w:tc>
                                <w:tcPr>
                                  <w:tcW w:w="1487" w:type="dxa"/>
                                </w:tcPr>
                                <w:p w14:paraId="07480D03" w14:textId="4994EF57" w:rsidR="007372B2" w:rsidRPr="00AC0AAD" w:rsidRDefault="007372B2" w:rsidP="00905C92">
                                  <w:pPr>
                                    <w:jc w:val="center"/>
                                    <w:rPr>
                                      <w:rFonts w:ascii="Arial" w:hAnsi="Arial" w:cs="Arial"/>
                                      <w:b/>
                                      <w:bCs/>
                                      <w:sz w:val="18"/>
                                      <w:szCs w:val="18"/>
                                    </w:rPr>
                                  </w:pPr>
                                  <w:r>
                                    <w:rPr>
                                      <w:rFonts w:ascii="Arial" w:hAnsi="Arial" w:cs="Arial"/>
                                      <w:b/>
                                      <w:bCs/>
                                      <w:sz w:val="18"/>
                                      <w:szCs w:val="18"/>
                                      <w:lang w:val="uk-UA"/>
                                    </w:rPr>
                                    <w:t xml:space="preserve">      </w:t>
                                  </w:r>
                                  <w:r>
                                    <w:rPr>
                                      <w:rFonts w:ascii="Arial" w:hAnsi="Arial" w:cs="Arial"/>
                                      <w:b/>
                                      <w:bCs/>
                                      <w:sz w:val="18"/>
                                      <w:szCs w:val="18"/>
                                    </w:rPr>
                                    <w:t>TP+FN</w:t>
                                  </w:r>
                                </w:p>
                              </w:tc>
                              <w:tc>
                                <w:tcPr>
                                  <w:tcW w:w="238" w:type="dxa"/>
                                </w:tcPr>
                                <w:p w14:paraId="7227DC6A" w14:textId="77777777" w:rsidR="007372B2" w:rsidRDefault="007372B2" w:rsidP="00905C92">
                                  <w:pPr>
                                    <w:rPr>
                                      <w:rFonts w:ascii="Arial" w:hAnsi="Arial" w:cs="Arial"/>
                                      <w:b/>
                                      <w:bCs/>
                                      <w:sz w:val="18"/>
                                      <w:szCs w:val="18"/>
                                      <w:lang w:val="uk-UA"/>
                                    </w:rPr>
                                  </w:pPr>
                                </w:p>
                              </w:tc>
                              <w:tc>
                                <w:tcPr>
                                  <w:tcW w:w="1625" w:type="dxa"/>
                                </w:tcPr>
                                <w:p w14:paraId="7E3FD4C7" w14:textId="77777777" w:rsidR="007372B2" w:rsidRDefault="007372B2" w:rsidP="00905C92">
                                  <w:pPr>
                                    <w:rPr>
                                      <w:rFonts w:ascii="Arial" w:hAnsi="Arial" w:cs="Arial"/>
                                      <w:b/>
                                      <w:bCs/>
                                      <w:sz w:val="18"/>
                                      <w:szCs w:val="18"/>
                                      <w:lang w:val="uk-UA"/>
                                    </w:rPr>
                                  </w:pPr>
                                  <w:r>
                                    <w:rPr>
                                      <w:rFonts w:ascii="Arial" w:hAnsi="Arial" w:cs="Arial"/>
                                      <w:b/>
                                      <w:bCs/>
                                      <w:sz w:val="18"/>
                                      <w:szCs w:val="18"/>
                                      <w:lang w:val="uk-UA"/>
                                    </w:rPr>
                                    <w:t>Чутливість (%)</w:t>
                                  </w:r>
                                </w:p>
                              </w:tc>
                              <w:tc>
                                <w:tcPr>
                                  <w:tcW w:w="2202" w:type="dxa"/>
                                </w:tcPr>
                                <w:p w14:paraId="71D2C350" w14:textId="77777777" w:rsidR="007372B2" w:rsidRPr="00794491" w:rsidRDefault="007372B2" w:rsidP="00905C92">
                                  <w:pPr>
                                    <w:rPr>
                                      <w:rFonts w:ascii="Arial" w:hAnsi="Arial" w:cs="Arial"/>
                                      <w:b/>
                                      <w:bCs/>
                                      <w:sz w:val="18"/>
                                      <w:szCs w:val="18"/>
                                      <w:lang w:val="uk-UA"/>
                                    </w:rPr>
                                  </w:pPr>
                                  <w:r>
                                    <w:rPr>
                                      <w:rFonts w:ascii="Arial" w:hAnsi="Arial" w:cs="Arial"/>
                                      <w:b/>
                                      <w:bCs/>
                                      <w:sz w:val="18"/>
                                      <w:szCs w:val="18"/>
                                      <w:lang w:val="uk-UA"/>
                                    </w:rPr>
                                    <w:t xml:space="preserve">                        95%  ДІ</w:t>
                                  </w:r>
                                </w:p>
                              </w:tc>
                            </w:tr>
                          </w:tbl>
                          <w:p w14:paraId="66F8F917" w14:textId="71B02F88" w:rsidR="007372B2" w:rsidRPr="00905C92" w:rsidRDefault="007372B2" w:rsidP="00905C92">
                            <w:pPr>
                              <w:ind w:left="-142"/>
                              <w:rPr>
                                <w:rFonts w:ascii="Arial" w:hAnsi="Arial" w:cs="Arial"/>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2C445F" id="Поле 1919" o:spid="_x0000_s1191" type="#_x0000_t202" style="position:absolute;margin-left:19.5pt;margin-top:.25pt;width:475pt;height:25.5pt;z-index:48817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" fillcolor="white [3212]" stroked="f" strokeweight=".5pt">
                <v:textbox>
                  <w:txbxContent>
                    <w:tbl>
                      <w:tblPr>
                        <w:tblStyle w:val="ac"/>
                        <w:tblW w:w="8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1104"/>
                        <w:gridCol w:w="1487"/>
                        <w:gridCol w:w="238"/>
                        <w:gridCol w:w="1625"/>
                        <w:gridCol w:w="2202"/>
                      </w:tblGrid>
                      <w:tr w:rsidR="007372B2" w:rsidRPr="00794491" w14:paraId="3D9BB8FE" w14:textId="77777777" w:rsidTr="00905C92">
                        <w:tc>
                          <w:tcPr>
                            <w:tcW w:w="2157" w:type="dxa"/>
                          </w:tcPr>
                          <w:p w14:paraId="0F1C5943" w14:textId="77777777" w:rsidR="007372B2" w:rsidRPr="00AC0AAD" w:rsidRDefault="007372B2" w:rsidP="000073C1">
                            <w:pPr>
                              <w:ind w:left="-110"/>
                              <w:rPr>
                                <w:rFonts w:ascii="Arial" w:hAnsi="Arial" w:cs="Arial"/>
                                <w:b/>
                                <w:bCs/>
                                <w:sz w:val="18"/>
                                <w:szCs w:val="18"/>
                                <w:lang w:val="uk-UA"/>
                              </w:rPr>
                            </w:pPr>
                            <w:r w:rsidRPr="00AC0AAD">
                              <w:rPr>
                                <w:rFonts w:ascii="Arial" w:hAnsi="Arial" w:cs="Arial"/>
                                <w:b/>
                                <w:bCs/>
                                <w:sz w:val="18"/>
                                <w:szCs w:val="18"/>
                                <w:lang w:val="uk-UA"/>
                              </w:rPr>
                              <w:t>Дослідження</w:t>
                            </w:r>
                          </w:p>
                        </w:tc>
                        <w:tc>
                          <w:tcPr>
                            <w:tcW w:w="1104" w:type="dxa"/>
                          </w:tcPr>
                          <w:p w14:paraId="4D9925B2" w14:textId="75F31D61" w:rsidR="007372B2" w:rsidRPr="00794491" w:rsidRDefault="007372B2" w:rsidP="00905C92">
                            <w:pPr>
                              <w:jc w:val="center"/>
                              <w:rPr>
                                <w:rFonts w:ascii="Arial" w:hAnsi="Arial" w:cs="Arial"/>
                                <w:b/>
                                <w:bCs/>
                                <w:sz w:val="18"/>
                                <w:szCs w:val="18"/>
                              </w:rPr>
                            </w:pPr>
                            <w:r>
                              <w:rPr>
                                <w:rFonts w:ascii="Arial" w:hAnsi="Arial" w:cs="Arial"/>
                                <w:b/>
                                <w:bCs/>
                                <w:sz w:val="18"/>
                                <w:szCs w:val="18"/>
                                <w:lang w:val="uk-UA"/>
                              </w:rPr>
                              <w:t xml:space="preserve">     </w:t>
                            </w:r>
                            <w:r>
                              <w:rPr>
                                <w:rFonts w:ascii="Arial" w:hAnsi="Arial" w:cs="Arial"/>
                                <w:b/>
                                <w:bCs/>
                                <w:sz w:val="18"/>
                                <w:szCs w:val="18"/>
                              </w:rPr>
                              <w:t>TP</w:t>
                            </w:r>
                          </w:p>
                        </w:tc>
                        <w:tc>
                          <w:tcPr>
                            <w:tcW w:w="1487" w:type="dxa"/>
                          </w:tcPr>
                          <w:p w14:paraId="07480D03" w14:textId="4994EF57" w:rsidR="007372B2" w:rsidRPr="00AC0AAD" w:rsidRDefault="007372B2" w:rsidP="00905C92">
                            <w:pPr>
                              <w:jc w:val="center"/>
                              <w:rPr>
                                <w:rFonts w:ascii="Arial" w:hAnsi="Arial" w:cs="Arial"/>
                                <w:b/>
                                <w:bCs/>
                                <w:sz w:val="18"/>
                                <w:szCs w:val="18"/>
                              </w:rPr>
                            </w:pPr>
                            <w:r>
                              <w:rPr>
                                <w:rFonts w:ascii="Arial" w:hAnsi="Arial" w:cs="Arial"/>
                                <w:b/>
                                <w:bCs/>
                                <w:sz w:val="18"/>
                                <w:szCs w:val="18"/>
                                <w:lang w:val="uk-UA"/>
                              </w:rPr>
                              <w:t xml:space="preserve">      </w:t>
                            </w:r>
                            <w:r>
                              <w:rPr>
                                <w:rFonts w:ascii="Arial" w:hAnsi="Arial" w:cs="Arial"/>
                                <w:b/>
                                <w:bCs/>
                                <w:sz w:val="18"/>
                                <w:szCs w:val="18"/>
                              </w:rPr>
                              <w:t>TP+FN</w:t>
                            </w:r>
                          </w:p>
                        </w:tc>
                        <w:tc>
                          <w:tcPr>
                            <w:tcW w:w="238" w:type="dxa"/>
                          </w:tcPr>
                          <w:p w14:paraId="7227DC6A" w14:textId="77777777" w:rsidR="007372B2" w:rsidRDefault="007372B2" w:rsidP="00905C92">
                            <w:pPr>
                              <w:rPr>
                                <w:rFonts w:ascii="Arial" w:hAnsi="Arial" w:cs="Arial"/>
                                <w:b/>
                                <w:bCs/>
                                <w:sz w:val="18"/>
                                <w:szCs w:val="18"/>
                                <w:lang w:val="uk-UA"/>
                              </w:rPr>
                            </w:pPr>
                          </w:p>
                        </w:tc>
                        <w:tc>
                          <w:tcPr>
                            <w:tcW w:w="1625" w:type="dxa"/>
                          </w:tcPr>
                          <w:p w14:paraId="7E3FD4C7" w14:textId="77777777" w:rsidR="007372B2" w:rsidRDefault="007372B2" w:rsidP="00905C92">
                            <w:pPr>
                              <w:rPr>
                                <w:rFonts w:ascii="Arial" w:hAnsi="Arial" w:cs="Arial"/>
                                <w:b/>
                                <w:bCs/>
                                <w:sz w:val="18"/>
                                <w:szCs w:val="18"/>
                                <w:lang w:val="uk-UA"/>
                              </w:rPr>
                            </w:pPr>
                            <w:r>
                              <w:rPr>
                                <w:rFonts w:ascii="Arial" w:hAnsi="Arial" w:cs="Arial"/>
                                <w:b/>
                                <w:bCs/>
                                <w:sz w:val="18"/>
                                <w:szCs w:val="18"/>
                                <w:lang w:val="uk-UA"/>
                              </w:rPr>
                              <w:t>Чутливість (%)</w:t>
                            </w:r>
                          </w:p>
                        </w:tc>
                        <w:tc>
                          <w:tcPr>
                            <w:tcW w:w="2202" w:type="dxa"/>
                          </w:tcPr>
                          <w:p w14:paraId="71D2C350" w14:textId="77777777" w:rsidR="007372B2" w:rsidRPr="00794491" w:rsidRDefault="007372B2" w:rsidP="00905C92">
                            <w:pPr>
                              <w:rPr>
                                <w:rFonts w:ascii="Arial" w:hAnsi="Arial" w:cs="Arial"/>
                                <w:b/>
                                <w:bCs/>
                                <w:sz w:val="18"/>
                                <w:szCs w:val="18"/>
                                <w:lang w:val="uk-UA"/>
                              </w:rPr>
                            </w:pPr>
                            <w:r>
                              <w:rPr>
                                <w:rFonts w:ascii="Arial" w:hAnsi="Arial" w:cs="Arial"/>
                                <w:b/>
                                <w:bCs/>
                                <w:sz w:val="18"/>
                                <w:szCs w:val="18"/>
                                <w:lang w:val="uk-UA"/>
                              </w:rPr>
                              <w:t xml:space="preserve">                        95%  ДІ</w:t>
                            </w:r>
                          </w:p>
                        </w:tc>
                      </w:tr>
                    </w:tbl>
                    <w:p w14:paraId="66F8F917" w14:textId="71B02F88" w:rsidR="007372B2" w:rsidRPr="00905C92" w:rsidRDefault="007372B2" w:rsidP="00905C92">
                      <w:pPr>
                        <w:ind w:left="-142"/>
                        <w:rPr>
                          <w:rFonts w:ascii="Arial" w:hAnsi="Arial" w:cs="Arial"/>
                          <w:lang w:val="uk-UA"/>
                        </w:rPr>
                      </w:pPr>
                    </w:p>
                  </w:txbxContent>
                </v:textbox>
              </v:shape>
            </w:pict>
          </mc:Fallback>
        </mc:AlternateContent>
      </w:r>
      <w:r w:rsidR="00B01E0C" w:rsidRPr="003C6DAE">
        <w:rPr>
          <w:rFonts w:ascii="Arial"/>
          <w:b/>
          <w:noProof/>
          <w:sz w:val="17"/>
          <w:lang w:val="uk-UA"/>
        </w:rPr>
        <w:drawing>
          <wp:anchor distT="0" distB="0" distL="0" distR="0" simplePos="0" relativeHeight="488065536" behindDoc="1" locked="0" layoutInCell="1" allowOverlap="1" wp14:anchorId="5C8CD24B" wp14:editId="216C7B50">
            <wp:simplePos x="0" y="0"/>
            <wp:positionH relativeFrom="page">
              <wp:posOffset>914247</wp:posOffset>
            </wp:positionH>
            <wp:positionV relativeFrom="paragraph">
              <wp:posOffset>139667</wp:posOffset>
            </wp:positionV>
            <wp:extent cx="5718655" cy="4927949"/>
            <wp:effectExtent l="0" t="0" r="0" b="0"/>
            <wp:wrapTopAndBottom/>
            <wp:docPr id="3047" name="Image 3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7" name="Image 3047"/>
                    <pic:cNvPicPr/>
                  </pic:nvPicPr>
                  <pic:blipFill>
                    <a:blip r:embed="rId203" cstate="print"/>
                    <a:stretch>
                      <a:fillRect/>
                    </a:stretch>
                  </pic:blipFill>
                  <pic:spPr>
                    <a:xfrm>
                      <a:off x="0" y="0"/>
                      <a:ext cx="5718655" cy="4927949"/>
                    </a:xfrm>
                    <a:prstGeom prst="rect">
                      <a:avLst/>
                    </a:prstGeom>
                  </pic:spPr>
                </pic:pic>
              </a:graphicData>
            </a:graphic>
          </wp:anchor>
        </w:drawing>
      </w:r>
    </w:p>
    <w:tbl>
      <w:tblPr>
        <w:tblStyle w:val="ac"/>
        <w:tblW w:w="9639" w:type="dxa"/>
        <w:tblInd w:w="426" w:type="dxa"/>
        <w:tblLook w:val="04A0" w:firstRow="1" w:lastRow="0" w:firstColumn="1" w:lastColumn="0" w:noHBand="0" w:noVBand="1"/>
      </w:tblPr>
      <w:tblGrid>
        <w:gridCol w:w="9639"/>
      </w:tblGrid>
      <w:tr w:rsidR="00905C92" w:rsidRPr="00D029FF" w14:paraId="187DFAB0" w14:textId="77777777" w:rsidTr="00246FF7">
        <w:tc>
          <w:tcPr>
            <w:tcW w:w="9639" w:type="dxa"/>
            <w:tcBorders>
              <w:top w:val="single" w:sz="4" w:space="0" w:color="auto"/>
              <w:left w:val="nil"/>
              <w:bottom w:val="nil"/>
              <w:right w:val="nil"/>
            </w:tcBorders>
          </w:tcPr>
          <w:p w14:paraId="0D18B43B" w14:textId="1E10A8AE" w:rsidR="000532E5" w:rsidRPr="000073C1" w:rsidRDefault="000532E5" w:rsidP="00CE302F">
            <w:pPr>
              <w:rPr>
                <w:b/>
                <w:bCs/>
                <w:sz w:val="8"/>
                <w:szCs w:val="8"/>
                <w:u w:val="single"/>
                <w:lang w:val="uk-UA"/>
              </w:rPr>
            </w:pPr>
          </w:p>
          <w:p w14:paraId="1408ED0F" w14:textId="46001B00" w:rsidR="00CE302F" w:rsidRPr="000532E5" w:rsidRDefault="00CE302F" w:rsidP="00CE302F">
            <w:pPr>
              <w:rPr>
                <w:sz w:val="15"/>
                <w:szCs w:val="15"/>
                <w:lang w:val="uk-UA"/>
              </w:rPr>
            </w:pPr>
            <w:r w:rsidRPr="000532E5">
              <w:rPr>
                <w:b/>
                <w:bCs/>
                <w:sz w:val="15"/>
                <w:szCs w:val="15"/>
                <w:u w:val="single"/>
                <w:lang w:val="uk-UA"/>
              </w:rPr>
              <w:t>Примітки перекладача</w:t>
            </w:r>
            <w:r w:rsidRPr="000532E5">
              <w:rPr>
                <w:sz w:val="15"/>
                <w:szCs w:val="15"/>
                <w:lang w:val="uk-UA"/>
              </w:rPr>
              <w:t xml:space="preserve">. </w:t>
            </w:r>
            <w:r w:rsidR="000532E5" w:rsidRPr="000532E5">
              <w:rPr>
                <w:sz w:val="15"/>
                <w:szCs w:val="15"/>
                <w:lang w:val="uk-UA"/>
              </w:rPr>
              <w:t xml:space="preserve">ШПТБ: шкірні тести на основі антигену </w:t>
            </w:r>
            <w:r w:rsidR="000532E5" w:rsidRPr="000532E5">
              <w:rPr>
                <w:i/>
                <w:iCs/>
                <w:sz w:val="15"/>
                <w:szCs w:val="15"/>
                <w:lang w:val="uk-UA"/>
              </w:rPr>
              <w:t xml:space="preserve">Mtb; </w:t>
            </w:r>
            <w:r w:rsidRPr="000532E5">
              <w:rPr>
                <w:sz w:val="15"/>
                <w:szCs w:val="15"/>
                <w:lang w:val="uk-UA"/>
              </w:rPr>
              <w:t xml:space="preserve">ДІ: довірчий інтервал; </w:t>
            </w:r>
            <w:r w:rsidRPr="000532E5">
              <w:rPr>
                <w:sz w:val="15"/>
                <w:szCs w:val="15"/>
              </w:rPr>
              <w:t>TP</w:t>
            </w:r>
            <w:r w:rsidRPr="000532E5">
              <w:rPr>
                <w:sz w:val="15"/>
                <w:szCs w:val="15"/>
                <w:lang w:val="uk-UA"/>
              </w:rPr>
              <w:t xml:space="preserve">: істинно  позитивний; </w:t>
            </w:r>
            <w:r w:rsidRPr="000532E5">
              <w:rPr>
                <w:sz w:val="15"/>
                <w:szCs w:val="15"/>
              </w:rPr>
              <w:t>TP</w:t>
            </w:r>
            <w:r w:rsidRPr="000532E5">
              <w:rPr>
                <w:sz w:val="15"/>
                <w:szCs w:val="15"/>
                <w:lang w:val="uk-UA"/>
              </w:rPr>
              <w:t>+</w:t>
            </w:r>
            <w:r w:rsidRPr="000532E5">
              <w:rPr>
                <w:sz w:val="15"/>
                <w:szCs w:val="15"/>
              </w:rPr>
              <w:t>FN</w:t>
            </w:r>
            <w:r w:rsidRPr="000532E5">
              <w:rPr>
                <w:sz w:val="15"/>
                <w:szCs w:val="15"/>
                <w:lang w:val="uk-UA"/>
              </w:rPr>
              <w:t xml:space="preserve">: істинно позитивний + хибнонегатиний; </w:t>
            </w:r>
            <w:r w:rsidRPr="000532E5">
              <w:rPr>
                <w:sz w:val="15"/>
                <w:szCs w:val="15"/>
              </w:rPr>
              <w:t>Test</w:t>
            </w:r>
            <w:r w:rsidRPr="000532E5">
              <w:rPr>
                <w:sz w:val="15"/>
                <w:szCs w:val="15"/>
                <w:lang w:val="uk-UA"/>
              </w:rPr>
              <w:t>=</w:t>
            </w:r>
            <w:r w:rsidRPr="000532E5">
              <w:rPr>
                <w:sz w:val="15"/>
                <w:szCs w:val="15"/>
              </w:rPr>
              <w:t>DST</w:t>
            </w:r>
            <w:r w:rsidRPr="000532E5">
              <w:rPr>
                <w:sz w:val="15"/>
                <w:szCs w:val="15"/>
                <w:lang w:val="uk-UA"/>
              </w:rPr>
              <w:t xml:space="preserve"> (</w:t>
            </w:r>
            <w:r w:rsidRPr="000532E5">
              <w:rPr>
                <w:sz w:val="15"/>
                <w:szCs w:val="15"/>
              </w:rPr>
              <w:t>any</w:t>
            </w:r>
            <w:r w:rsidRPr="000532E5">
              <w:rPr>
                <w:sz w:val="15"/>
                <w:szCs w:val="15"/>
                <w:lang w:val="uk-UA"/>
              </w:rPr>
              <w:t xml:space="preserve"> </w:t>
            </w:r>
            <w:r w:rsidRPr="000532E5">
              <w:rPr>
                <w:sz w:val="15"/>
                <w:szCs w:val="15"/>
              </w:rPr>
              <w:t>induration</w:t>
            </w:r>
            <w:r w:rsidRPr="000532E5">
              <w:rPr>
                <w:sz w:val="15"/>
                <w:szCs w:val="15"/>
                <w:lang w:val="uk-UA"/>
              </w:rPr>
              <w:t xml:space="preserve"> </w:t>
            </w:r>
            <w:r w:rsidRPr="000532E5">
              <w:rPr>
                <w:sz w:val="15"/>
                <w:szCs w:val="15"/>
              </w:rPr>
              <w:t>size</w:t>
            </w:r>
            <w:r w:rsidRPr="000532E5">
              <w:rPr>
                <w:sz w:val="15"/>
                <w:szCs w:val="15"/>
                <w:lang w:val="uk-UA"/>
              </w:rPr>
              <w:t xml:space="preserve">): ТМЧ (будь-який розмір ущільнення); </w:t>
            </w:r>
            <w:r w:rsidRPr="000532E5">
              <w:rPr>
                <w:sz w:val="15"/>
                <w:szCs w:val="15"/>
              </w:rPr>
              <w:t>Test</w:t>
            </w:r>
            <w:r w:rsidRPr="000532E5">
              <w:rPr>
                <w:sz w:val="15"/>
                <w:szCs w:val="15"/>
                <w:lang w:val="uk-UA"/>
              </w:rPr>
              <w:t>=</w:t>
            </w:r>
            <w:r w:rsidRPr="000532E5">
              <w:rPr>
                <w:sz w:val="15"/>
                <w:szCs w:val="15"/>
              </w:rPr>
              <w:t>DST</w:t>
            </w:r>
            <w:r w:rsidRPr="000532E5">
              <w:rPr>
                <w:sz w:val="15"/>
                <w:szCs w:val="15"/>
                <w:lang w:val="uk-UA"/>
              </w:rPr>
              <w:t xml:space="preserve"> (</w:t>
            </w:r>
            <w:r w:rsidRPr="000532E5">
              <w:rPr>
                <w:sz w:val="15"/>
                <w:szCs w:val="15"/>
              </w:rPr>
              <w:t>induration</w:t>
            </w:r>
            <w:r w:rsidRPr="000532E5">
              <w:rPr>
                <w:sz w:val="15"/>
                <w:szCs w:val="15"/>
                <w:lang w:val="uk-UA"/>
              </w:rPr>
              <w:t xml:space="preserve"> ˃=5 </w:t>
            </w:r>
            <w:r w:rsidRPr="000532E5">
              <w:rPr>
                <w:sz w:val="15"/>
                <w:szCs w:val="15"/>
              </w:rPr>
              <w:t>mm</w:t>
            </w:r>
            <w:r w:rsidRPr="000532E5">
              <w:rPr>
                <w:sz w:val="15"/>
                <w:szCs w:val="15"/>
                <w:lang w:val="uk-UA"/>
              </w:rPr>
              <w:t xml:space="preserve">): ТМЧ (ущільнення ˃=5 мм);  </w:t>
            </w:r>
            <w:r w:rsidRPr="000532E5">
              <w:rPr>
                <w:sz w:val="15"/>
                <w:szCs w:val="15"/>
              </w:rPr>
              <w:t>Test</w:t>
            </w:r>
            <w:r w:rsidRPr="000532E5">
              <w:rPr>
                <w:sz w:val="15"/>
                <w:szCs w:val="15"/>
                <w:lang w:val="uk-UA"/>
              </w:rPr>
              <w:t>=</w:t>
            </w:r>
            <w:r w:rsidRPr="000532E5">
              <w:rPr>
                <w:sz w:val="15"/>
                <w:szCs w:val="15"/>
              </w:rPr>
              <w:t>C</w:t>
            </w:r>
            <w:r w:rsidRPr="000532E5">
              <w:rPr>
                <w:sz w:val="15"/>
                <w:szCs w:val="15"/>
                <w:lang w:val="uk-UA"/>
              </w:rPr>
              <w:t>-</w:t>
            </w:r>
            <w:r w:rsidRPr="000532E5">
              <w:rPr>
                <w:sz w:val="15"/>
                <w:szCs w:val="15"/>
              </w:rPr>
              <w:t>TB</w:t>
            </w:r>
            <w:r w:rsidRPr="000532E5">
              <w:rPr>
                <w:sz w:val="15"/>
                <w:szCs w:val="15"/>
                <w:lang w:val="uk-UA"/>
              </w:rPr>
              <w:t xml:space="preserve"> (</w:t>
            </w:r>
            <w:r w:rsidRPr="000532E5">
              <w:rPr>
                <w:sz w:val="15"/>
                <w:szCs w:val="15"/>
              </w:rPr>
              <w:t>induration</w:t>
            </w:r>
            <w:r w:rsidRPr="000532E5">
              <w:rPr>
                <w:sz w:val="15"/>
                <w:szCs w:val="15"/>
                <w:lang w:val="uk-UA"/>
              </w:rPr>
              <w:t xml:space="preserve"> ˃=5 </w:t>
            </w:r>
            <w:r w:rsidRPr="000532E5">
              <w:rPr>
                <w:sz w:val="15"/>
                <w:szCs w:val="15"/>
              </w:rPr>
              <w:t>mm</w:t>
            </w:r>
            <w:r w:rsidRPr="000532E5">
              <w:rPr>
                <w:sz w:val="15"/>
                <w:szCs w:val="15"/>
                <w:lang w:val="uk-UA"/>
              </w:rPr>
              <w:t xml:space="preserve">): </w:t>
            </w:r>
            <w:r w:rsidR="009F4A98" w:rsidRPr="000532E5">
              <w:rPr>
                <w:sz w:val="15"/>
                <w:szCs w:val="15"/>
                <w:lang w:val="uk-UA"/>
              </w:rPr>
              <w:t xml:space="preserve">тест С-ТБ (ущільнення ˃=5 мм); </w:t>
            </w:r>
            <w:r w:rsidRPr="000532E5">
              <w:rPr>
                <w:sz w:val="15"/>
                <w:szCs w:val="15"/>
              </w:rPr>
              <w:t>Test</w:t>
            </w:r>
            <w:r w:rsidRPr="000532E5">
              <w:rPr>
                <w:sz w:val="15"/>
                <w:szCs w:val="15"/>
                <w:lang w:val="uk-UA"/>
              </w:rPr>
              <w:t>=</w:t>
            </w:r>
            <w:r w:rsidRPr="000532E5">
              <w:rPr>
                <w:sz w:val="15"/>
                <w:szCs w:val="15"/>
              </w:rPr>
              <w:t>C</w:t>
            </w:r>
            <w:r w:rsidRPr="000532E5">
              <w:rPr>
                <w:sz w:val="15"/>
                <w:szCs w:val="15"/>
                <w:lang w:val="uk-UA"/>
              </w:rPr>
              <w:t>-</w:t>
            </w:r>
            <w:r w:rsidRPr="000532E5">
              <w:rPr>
                <w:sz w:val="15"/>
                <w:szCs w:val="15"/>
              </w:rPr>
              <w:t>TST</w:t>
            </w:r>
            <w:r w:rsidRPr="000532E5">
              <w:rPr>
                <w:sz w:val="15"/>
                <w:szCs w:val="15"/>
                <w:lang w:val="uk-UA"/>
              </w:rPr>
              <w:t xml:space="preserve">: </w:t>
            </w:r>
            <w:r w:rsidR="009F4A98" w:rsidRPr="000532E5">
              <w:rPr>
                <w:sz w:val="15"/>
                <w:szCs w:val="15"/>
                <w:lang w:val="uk-UA"/>
              </w:rPr>
              <w:t xml:space="preserve">тест </w:t>
            </w:r>
            <w:r w:rsidR="009F4A98" w:rsidRPr="000532E5">
              <w:rPr>
                <w:sz w:val="15"/>
                <w:szCs w:val="15"/>
              </w:rPr>
              <w:t>C</w:t>
            </w:r>
            <w:r w:rsidR="009F4A98" w:rsidRPr="000532E5">
              <w:rPr>
                <w:sz w:val="15"/>
                <w:szCs w:val="15"/>
                <w:lang w:val="uk-UA"/>
              </w:rPr>
              <w:t>-</w:t>
            </w:r>
            <w:r w:rsidR="009F4A98" w:rsidRPr="000532E5">
              <w:rPr>
                <w:sz w:val="15"/>
                <w:szCs w:val="15"/>
              </w:rPr>
              <w:t>TST</w:t>
            </w:r>
            <w:r w:rsidR="009F4A98" w:rsidRPr="000532E5">
              <w:rPr>
                <w:sz w:val="15"/>
                <w:szCs w:val="15"/>
                <w:lang w:val="uk-UA"/>
              </w:rPr>
              <w:t xml:space="preserve"> (ущільнення ˃=5 мм)</w:t>
            </w:r>
            <w:r w:rsidRPr="000532E5">
              <w:rPr>
                <w:sz w:val="15"/>
                <w:szCs w:val="15"/>
                <w:lang w:val="uk-UA"/>
              </w:rPr>
              <w:t xml:space="preserve">; </w:t>
            </w:r>
            <w:r w:rsidRPr="000532E5">
              <w:rPr>
                <w:sz w:val="15"/>
                <w:szCs w:val="15"/>
              </w:rPr>
              <w:t>Random</w:t>
            </w:r>
            <w:r w:rsidRPr="000532E5">
              <w:rPr>
                <w:sz w:val="15"/>
                <w:szCs w:val="15"/>
                <w:lang w:val="uk-UA"/>
              </w:rPr>
              <w:t xml:space="preserve"> </w:t>
            </w:r>
            <w:r w:rsidRPr="000532E5">
              <w:rPr>
                <w:sz w:val="15"/>
                <w:szCs w:val="15"/>
              </w:rPr>
              <w:t>affects</w:t>
            </w:r>
            <w:r w:rsidRPr="000532E5">
              <w:rPr>
                <w:sz w:val="15"/>
                <w:szCs w:val="15"/>
                <w:lang w:val="uk-UA"/>
              </w:rPr>
              <w:t xml:space="preserve"> </w:t>
            </w:r>
            <w:r w:rsidRPr="000532E5">
              <w:rPr>
                <w:sz w:val="15"/>
                <w:szCs w:val="15"/>
              </w:rPr>
              <w:t>model</w:t>
            </w:r>
            <w:r w:rsidRPr="000532E5">
              <w:rPr>
                <w:sz w:val="15"/>
                <w:szCs w:val="15"/>
                <w:lang w:val="uk-UA"/>
              </w:rPr>
              <w:t xml:space="preserve">: модель випадкових ефектів; </w:t>
            </w:r>
            <w:r w:rsidRPr="000532E5">
              <w:rPr>
                <w:sz w:val="15"/>
                <w:szCs w:val="15"/>
              </w:rPr>
              <w:t>Heterogeneity</w:t>
            </w:r>
            <w:r w:rsidRPr="000532E5">
              <w:rPr>
                <w:sz w:val="15"/>
                <w:szCs w:val="15"/>
                <w:lang w:val="uk-UA"/>
              </w:rPr>
              <w:t xml:space="preserve">: неоднорідність; </w:t>
            </w:r>
            <w:r w:rsidRPr="000532E5">
              <w:rPr>
                <w:sz w:val="15"/>
                <w:szCs w:val="15"/>
              </w:rPr>
              <w:t>Residual</w:t>
            </w:r>
            <w:r w:rsidRPr="000532E5">
              <w:rPr>
                <w:sz w:val="15"/>
                <w:szCs w:val="15"/>
                <w:lang w:val="uk-UA"/>
              </w:rPr>
              <w:t xml:space="preserve"> </w:t>
            </w:r>
            <w:r w:rsidRPr="000532E5">
              <w:rPr>
                <w:sz w:val="15"/>
                <w:szCs w:val="15"/>
              </w:rPr>
              <w:t>henerogeneity</w:t>
            </w:r>
            <w:r w:rsidRPr="000532E5">
              <w:rPr>
                <w:sz w:val="15"/>
                <w:szCs w:val="15"/>
                <w:lang w:val="uk-UA"/>
              </w:rPr>
              <w:t>:</w:t>
            </w:r>
            <w:r w:rsidR="009F4A98" w:rsidRPr="000532E5">
              <w:rPr>
                <w:sz w:val="15"/>
                <w:szCs w:val="15"/>
                <w:lang w:val="uk-UA"/>
              </w:rPr>
              <w:t xml:space="preserve"> залишкова неоднорідність</w:t>
            </w:r>
          </w:p>
          <w:p w14:paraId="3F2C1066" w14:textId="77777777" w:rsidR="00905C92" w:rsidRPr="00246FF7" w:rsidRDefault="00905C92">
            <w:pPr>
              <w:pStyle w:val="a3"/>
              <w:spacing w:before="84"/>
              <w:rPr>
                <w:rFonts w:ascii="Arial"/>
                <w:b/>
                <w:sz w:val="12"/>
                <w:szCs w:val="12"/>
                <w:lang w:val="uk-UA"/>
              </w:rPr>
            </w:pPr>
          </w:p>
        </w:tc>
      </w:tr>
    </w:tbl>
    <w:p w14:paraId="45E5E3BC" w14:textId="21632BB0" w:rsidR="000073C1" w:rsidRDefault="00A13E41" w:rsidP="000073C1">
      <w:pPr>
        <w:pStyle w:val="a3"/>
        <w:spacing w:line="269" w:lineRule="auto"/>
        <w:ind w:left="567" w:right="136"/>
        <w:jc w:val="both"/>
        <w:rPr>
          <w:spacing w:val="-2"/>
          <w:sz w:val="20"/>
          <w:szCs w:val="20"/>
          <w:lang w:val="uk-UA"/>
        </w:rPr>
      </w:pPr>
      <w:r w:rsidRPr="00A13E41">
        <w:rPr>
          <w:sz w:val="20"/>
          <w:szCs w:val="20"/>
          <w:lang w:val="uk-UA"/>
        </w:rPr>
        <w:t xml:space="preserve">Об'єднана чутливість у 17 дослідженнях, представлених на </w:t>
      </w:r>
      <w:r w:rsidRPr="000532E5">
        <w:rPr>
          <w:b/>
          <w:bCs/>
          <w:sz w:val="20"/>
          <w:szCs w:val="20"/>
          <w:lang w:val="uk-UA"/>
        </w:rPr>
        <w:t>Рис. 3.1.1.2</w:t>
      </w:r>
      <w:r w:rsidRPr="00A13E41">
        <w:rPr>
          <w:sz w:val="20"/>
          <w:szCs w:val="20"/>
          <w:lang w:val="uk-UA"/>
        </w:rPr>
        <w:t xml:space="preserve">, серед учасників, які були ВІЛ-негативними або мали невідомий ВІЛ-статус, становила 76,0% (95% ДІ: 70,3–80,8%). Оцінки чутливості були нижчими в дослідженнях з використанням Діаскінтесту (будь-який розмір </w:t>
      </w:r>
      <w:r w:rsidR="00CE4B93" w:rsidRPr="00A13E41">
        <w:rPr>
          <w:sz w:val="20"/>
          <w:szCs w:val="20"/>
          <w:lang w:val="uk-UA"/>
        </w:rPr>
        <w:t>ущільнення</w:t>
      </w:r>
      <w:r w:rsidRPr="00A13E41">
        <w:rPr>
          <w:sz w:val="20"/>
          <w:szCs w:val="20"/>
          <w:lang w:val="uk-UA"/>
        </w:rPr>
        <w:t xml:space="preserve">). Причина цього є неясною; це може відображати різні досліджувані популяції або якість дослідження. У результаті, достовірність доказів була знижена на один рівень через неузгодженість </w:t>
      </w:r>
      <w:r w:rsidR="00246FF7">
        <w:rPr>
          <w:sz w:val="20"/>
          <w:szCs w:val="20"/>
          <w:lang w:val="uk-UA"/>
        </w:rPr>
        <w:t xml:space="preserve"> </w:t>
      </w:r>
      <w:r w:rsidR="00246FF7" w:rsidRPr="00A13E41">
        <w:rPr>
          <w:sz w:val="20"/>
          <w:szCs w:val="20"/>
          <w:lang w:val="uk-UA"/>
        </w:rPr>
        <w:t xml:space="preserve">результатів між </w:t>
      </w:r>
      <w:r w:rsidR="000073C1">
        <w:rPr>
          <w:sz w:val="20"/>
          <w:szCs w:val="20"/>
          <w:lang w:val="uk-UA"/>
        </w:rPr>
        <w:t xml:space="preserve"> </w:t>
      </w:r>
      <w:r w:rsidR="000073C1" w:rsidRPr="00A13E41">
        <w:rPr>
          <w:sz w:val="20"/>
          <w:szCs w:val="20"/>
          <w:lang w:val="uk-UA"/>
        </w:rPr>
        <w:t>дослідженнями та на один рівень через неточність. Отже, достовірність доказів вважалася дуже низькою.</w:t>
      </w:r>
      <w:r w:rsidR="000073C1" w:rsidRPr="009F4A98">
        <w:rPr>
          <w:spacing w:val="-7"/>
          <w:sz w:val="20"/>
          <w:szCs w:val="20"/>
          <w:lang w:val="uk-UA"/>
        </w:rPr>
        <w:t xml:space="preserve"> </w:t>
      </w:r>
      <w:r w:rsidR="000073C1" w:rsidRPr="00A13E41">
        <w:rPr>
          <w:spacing w:val="-2"/>
          <w:sz w:val="20"/>
          <w:szCs w:val="20"/>
          <w:lang w:val="uk-UA"/>
        </w:rPr>
        <w:t>Незважаючи на рекомендацію виробника використовувати ущільнення</w:t>
      </w:r>
      <w:r w:rsidR="000073C1">
        <w:rPr>
          <w:spacing w:val="-2"/>
          <w:sz w:val="20"/>
          <w:szCs w:val="20"/>
          <w:lang w:val="uk-UA"/>
        </w:rPr>
        <w:t xml:space="preserve"> </w:t>
      </w:r>
      <w:r w:rsidR="000073C1" w:rsidRPr="00A13E41">
        <w:rPr>
          <w:spacing w:val="-2"/>
          <w:sz w:val="20"/>
          <w:szCs w:val="20"/>
          <w:lang w:val="uk-UA"/>
        </w:rPr>
        <w:t>будь-якого розміру</w:t>
      </w:r>
      <w:r w:rsidR="000073C1">
        <w:rPr>
          <w:spacing w:val="-2"/>
          <w:sz w:val="20"/>
          <w:szCs w:val="20"/>
          <w:lang w:val="uk-UA"/>
        </w:rPr>
        <w:t xml:space="preserve">  в </w:t>
      </w:r>
      <w:r w:rsidR="000073C1" w:rsidRPr="00A13E41">
        <w:rPr>
          <w:spacing w:val="-2"/>
          <w:sz w:val="20"/>
          <w:szCs w:val="20"/>
          <w:lang w:val="uk-UA"/>
        </w:rPr>
        <w:t xml:space="preserve">якості позитивного результату, чутливість у дослідженнях </w:t>
      </w:r>
      <w:r w:rsidR="000073C1">
        <w:rPr>
          <w:spacing w:val="-2"/>
          <w:sz w:val="20"/>
          <w:szCs w:val="20"/>
          <w:lang w:val="uk-UA"/>
        </w:rPr>
        <w:t>стосовно</w:t>
      </w:r>
      <w:r w:rsidR="000073C1" w:rsidRPr="00A13E41">
        <w:rPr>
          <w:spacing w:val="-2"/>
          <w:sz w:val="20"/>
          <w:szCs w:val="20"/>
          <w:lang w:val="uk-UA"/>
        </w:rPr>
        <w:t xml:space="preserve"> використанням Діаскінтесту з</w:t>
      </w:r>
    </w:p>
    <w:p w14:paraId="7A305057" w14:textId="1F5E8FDF" w:rsidR="00E05B98" w:rsidRPr="009F4A98" w:rsidRDefault="00E05B98" w:rsidP="00246FF7">
      <w:pPr>
        <w:pStyle w:val="a3"/>
        <w:spacing w:line="269" w:lineRule="auto"/>
        <w:ind w:left="567"/>
        <w:jc w:val="both"/>
        <w:rPr>
          <w:sz w:val="20"/>
          <w:szCs w:val="20"/>
          <w:lang w:val="uk-UA"/>
        </w:rPr>
        <w:sectPr w:rsidR="00E05B98" w:rsidRPr="009F4A98" w:rsidSect="00246FF7">
          <w:pgSz w:w="11910" w:h="16840"/>
          <w:pgMar w:top="1320" w:right="853" w:bottom="760" w:left="850" w:header="0" w:footer="573" w:gutter="0"/>
          <w:cols w:space="720"/>
        </w:sectPr>
      </w:pPr>
    </w:p>
    <w:p w14:paraId="1878D5A2" w14:textId="76480D04" w:rsidR="00A13E41" w:rsidRDefault="00A13E41" w:rsidP="00246FF7">
      <w:pPr>
        <w:pStyle w:val="a3"/>
        <w:spacing w:line="269" w:lineRule="auto"/>
        <w:ind w:left="567" w:right="136"/>
        <w:jc w:val="both"/>
        <w:rPr>
          <w:spacing w:val="-2"/>
          <w:sz w:val="20"/>
          <w:szCs w:val="20"/>
          <w:lang w:val="uk-UA"/>
        </w:rPr>
      </w:pPr>
      <w:r w:rsidRPr="00A13E41">
        <w:rPr>
          <w:spacing w:val="-2"/>
          <w:sz w:val="20"/>
          <w:szCs w:val="20"/>
          <w:lang w:val="uk-UA"/>
        </w:rPr>
        <w:lastRenderedPageBreak/>
        <w:t>показником ущільнення розміром принаймні в 5 мм в якості порогового значення була більш наближеною до інших тестів в цьому класі, які всі використовують порогове значення не менше 5 мм.</w:t>
      </w:r>
    </w:p>
    <w:p w14:paraId="752C1443" w14:textId="77777777" w:rsidR="003D28E5" w:rsidRPr="00246FF7" w:rsidRDefault="003D28E5" w:rsidP="00246FF7">
      <w:pPr>
        <w:pStyle w:val="a3"/>
        <w:spacing w:line="269" w:lineRule="auto"/>
        <w:ind w:left="567" w:right="136"/>
        <w:jc w:val="both"/>
        <w:rPr>
          <w:spacing w:val="-2"/>
          <w:sz w:val="10"/>
          <w:szCs w:val="10"/>
          <w:lang w:val="uk-UA"/>
        </w:rPr>
      </w:pPr>
    </w:p>
    <w:p w14:paraId="23461CDA" w14:textId="2826D467" w:rsidR="00146376" w:rsidRDefault="00146376" w:rsidP="00246FF7">
      <w:pPr>
        <w:pStyle w:val="a3"/>
        <w:spacing w:line="269" w:lineRule="auto"/>
        <w:ind w:left="567" w:right="136"/>
        <w:jc w:val="both"/>
        <w:rPr>
          <w:spacing w:val="-2"/>
          <w:sz w:val="20"/>
          <w:szCs w:val="20"/>
          <w:lang w:val="uk-UA"/>
        </w:rPr>
      </w:pPr>
      <w:r w:rsidRPr="00146376">
        <w:rPr>
          <w:spacing w:val="-2"/>
          <w:sz w:val="20"/>
          <w:szCs w:val="20"/>
          <w:lang w:val="uk-UA"/>
        </w:rPr>
        <w:t>Ризик систематичної похибки вважався серйозним через те, що особа володіла знаннями щодо еталонних стандартів при інтерпретації результатів індексних тестів. У більшості досліджень Діаскінтесту відбір учасників та вибір еталонного стандарту були неясними; отже, достовірність доказів була знижена на один рівень через ризик</w:t>
      </w:r>
      <w:r w:rsidR="00C338AE">
        <w:rPr>
          <w:spacing w:val="-2"/>
          <w:sz w:val="20"/>
          <w:szCs w:val="20"/>
          <w:lang w:val="uk-UA"/>
        </w:rPr>
        <w:t>и</w:t>
      </w:r>
      <w:r w:rsidRPr="00146376">
        <w:rPr>
          <w:spacing w:val="-2"/>
          <w:sz w:val="20"/>
          <w:szCs w:val="20"/>
          <w:lang w:val="uk-UA"/>
        </w:rPr>
        <w:t xml:space="preserve"> систематичної похибки. Чутливість варіювала від 55% до 100% (причини такої неоднорідності невідомі); отже, достовірність доказів була знижена на один рівень через неузгодженість результатів між дослідженнями. Таким чином, загальна достовірність доказів була визнана низькою</w:t>
      </w:r>
      <w:r>
        <w:rPr>
          <w:spacing w:val="-2"/>
          <w:sz w:val="20"/>
          <w:szCs w:val="20"/>
          <w:lang w:val="uk-UA"/>
        </w:rPr>
        <w:t>.</w:t>
      </w:r>
    </w:p>
    <w:p w14:paraId="1C7D05F2" w14:textId="56D5BF7E" w:rsidR="00E05B98" w:rsidRPr="00246FF7" w:rsidRDefault="00246FF7">
      <w:pPr>
        <w:pStyle w:val="6"/>
        <w:spacing w:before="248"/>
        <w:jc w:val="both"/>
        <w:rPr>
          <w:sz w:val="21"/>
          <w:szCs w:val="21"/>
          <w:lang w:val="uk-UA"/>
        </w:rPr>
      </w:pPr>
      <w:r w:rsidRPr="00246FF7">
        <w:rPr>
          <w:color w:val="636466"/>
          <w:spacing w:val="-5"/>
          <w:sz w:val="21"/>
          <w:szCs w:val="21"/>
          <w:lang w:val="uk-UA"/>
        </w:rPr>
        <w:t>Рис.</w:t>
      </w:r>
      <w:r w:rsidR="00B01E0C" w:rsidRPr="00246FF7">
        <w:rPr>
          <w:color w:val="636466"/>
          <w:spacing w:val="-5"/>
          <w:sz w:val="21"/>
          <w:szCs w:val="21"/>
          <w:lang w:val="uk-UA"/>
        </w:rPr>
        <w:t xml:space="preserve"> </w:t>
      </w:r>
      <w:r w:rsidR="00B01E0C" w:rsidRPr="00246FF7">
        <w:rPr>
          <w:color w:val="636466"/>
          <w:spacing w:val="-4"/>
          <w:sz w:val="21"/>
          <w:szCs w:val="21"/>
          <w:lang w:val="uk-UA"/>
        </w:rPr>
        <w:t>3.1.1.3</w:t>
      </w:r>
      <w:r w:rsidR="00B01E0C" w:rsidRPr="00246FF7">
        <w:rPr>
          <w:color w:val="636466"/>
          <w:spacing w:val="-5"/>
          <w:sz w:val="21"/>
          <w:szCs w:val="21"/>
          <w:lang w:val="uk-UA"/>
        </w:rPr>
        <w:t xml:space="preserve"> </w:t>
      </w:r>
      <w:r w:rsidR="00DF6F29" w:rsidRPr="00246FF7">
        <w:rPr>
          <w:color w:val="636466"/>
          <w:spacing w:val="-4"/>
          <w:sz w:val="21"/>
          <w:szCs w:val="21"/>
          <w:lang w:val="uk-UA"/>
        </w:rPr>
        <w:t xml:space="preserve">Чутливість тестів </w:t>
      </w:r>
      <w:r w:rsidR="00146376" w:rsidRPr="00246FF7">
        <w:rPr>
          <w:color w:val="636466"/>
          <w:spacing w:val="-4"/>
          <w:sz w:val="21"/>
          <w:szCs w:val="21"/>
          <w:lang w:val="uk-UA"/>
        </w:rPr>
        <w:t xml:space="preserve">ШПТБ </w:t>
      </w:r>
      <w:r w:rsidR="00B01E0C" w:rsidRPr="00246FF7">
        <w:rPr>
          <w:color w:val="636466"/>
          <w:spacing w:val="-4"/>
          <w:sz w:val="21"/>
          <w:szCs w:val="21"/>
          <w:lang w:val="uk-UA"/>
        </w:rPr>
        <w:t xml:space="preserve"> </w:t>
      </w:r>
      <w:r w:rsidR="00DF6F29" w:rsidRPr="00246FF7">
        <w:rPr>
          <w:color w:val="636466"/>
          <w:spacing w:val="-4"/>
          <w:sz w:val="21"/>
          <w:szCs w:val="21"/>
          <w:lang w:val="uk-UA"/>
        </w:rPr>
        <w:t>у ЛЖВ</w:t>
      </w:r>
    </w:p>
    <w:p w14:paraId="0359D402" w14:textId="1FDE9573" w:rsidR="00E05B98" w:rsidRPr="003C6DAE" w:rsidRDefault="00146376">
      <w:pPr>
        <w:pStyle w:val="a3"/>
        <w:spacing w:before="4"/>
        <w:rPr>
          <w:rFonts w:ascii="Arial"/>
          <w:b/>
          <w:sz w:val="18"/>
          <w:lang w:val="uk-UA"/>
        </w:rPr>
      </w:pPr>
      <w:r w:rsidRPr="003C6DAE">
        <w:rPr>
          <w:rFonts w:ascii="Arial"/>
          <w:b/>
          <w:noProof/>
          <w:sz w:val="18"/>
          <w:lang w:val="uk-UA"/>
        </w:rPr>
        <w:drawing>
          <wp:anchor distT="0" distB="0" distL="0" distR="0" simplePos="0" relativeHeight="488066048" behindDoc="1" locked="0" layoutInCell="1" allowOverlap="1" wp14:anchorId="59C36D66" wp14:editId="147B483B">
            <wp:simplePos x="0" y="0"/>
            <wp:positionH relativeFrom="page">
              <wp:posOffset>900430</wp:posOffset>
            </wp:positionH>
            <wp:positionV relativeFrom="paragraph">
              <wp:posOffset>179070</wp:posOffset>
            </wp:positionV>
            <wp:extent cx="5739130" cy="2396490"/>
            <wp:effectExtent l="0" t="0" r="0" b="3810"/>
            <wp:wrapTopAndBottom/>
            <wp:docPr id="3048" name="Image 3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8" name="Image 3048"/>
                    <pic:cNvPicPr/>
                  </pic:nvPicPr>
                  <pic:blipFill>
                    <a:blip r:embed="rId204" cstate="print"/>
                    <a:stretch>
                      <a:fillRect/>
                    </a:stretch>
                  </pic:blipFill>
                  <pic:spPr>
                    <a:xfrm>
                      <a:off x="0" y="0"/>
                      <a:ext cx="5739130" cy="2396490"/>
                    </a:xfrm>
                    <a:prstGeom prst="rect">
                      <a:avLst/>
                    </a:prstGeom>
                  </pic:spPr>
                </pic:pic>
              </a:graphicData>
            </a:graphic>
            <wp14:sizeRelV relativeFrom="margin">
              <wp14:pctHeight>0</wp14:pctHeight>
            </wp14:sizeRelV>
          </wp:anchor>
        </w:drawing>
      </w:r>
    </w:p>
    <w:tbl>
      <w:tblPr>
        <w:tblStyle w:val="ac"/>
        <w:tblW w:w="9639" w:type="dxa"/>
        <w:tblInd w:w="421" w:type="dxa"/>
        <w:tblLook w:val="04A0" w:firstRow="1" w:lastRow="0" w:firstColumn="1" w:lastColumn="0" w:noHBand="0" w:noVBand="1"/>
      </w:tblPr>
      <w:tblGrid>
        <w:gridCol w:w="9639"/>
      </w:tblGrid>
      <w:tr w:rsidR="00246FF7" w:rsidRPr="00D029FF" w14:paraId="0C6156A8" w14:textId="77777777" w:rsidTr="00246FF7">
        <w:tc>
          <w:tcPr>
            <w:tcW w:w="9639" w:type="dxa"/>
            <w:tcBorders>
              <w:top w:val="single" w:sz="4" w:space="0" w:color="auto"/>
              <w:left w:val="nil"/>
              <w:bottom w:val="nil"/>
              <w:right w:val="nil"/>
            </w:tcBorders>
          </w:tcPr>
          <w:p w14:paraId="0DA84B67" w14:textId="0008BFA4" w:rsidR="00246FF7" w:rsidRPr="000073C1" w:rsidRDefault="00246FF7" w:rsidP="00246FF7">
            <w:pPr>
              <w:rPr>
                <w:sz w:val="15"/>
                <w:szCs w:val="15"/>
                <w:lang w:val="uk-UA"/>
              </w:rPr>
            </w:pPr>
            <w:r w:rsidRPr="000073C1">
              <w:rPr>
                <w:b/>
                <w:bCs/>
                <w:sz w:val="15"/>
                <w:szCs w:val="15"/>
                <w:u w:val="single"/>
                <w:lang w:val="uk-UA"/>
              </w:rPr>
              <w:t>Примітки перекладача:</w:t>
            </w:r>
            <w:r w:rsidRPr="000073C1">
              <w:rPr>
                <w:sz w:val="15"/>
                <w:szCs w:val="15"/>
                <w:lang w:val="uk-UA"/>
              </w:rPr>
              <w:t xml:space="preserve">  </w:t>
            </w:r>
            <w:r w:rsidR="000532E5" w:rsidRPr="000073C1">
              <w:rPr>
                <w:sz w:val="15"/>
                <w:szCs w:val="15"/>
                <w:lang w:val="uk-UA"/>
              </w:rPr>
              <w:t xml:space="preserve">ШПТБ: шкірні тести на основі антигену </w:t>
            </w:r>
            <w:r w:rsidR="000532E5" w:rsidRPr="000073C1">
              <w:rPr>
                <w:i/>
                <w:iCs/>
                <w:sz w:val="15"/>
                <w:szCs w:val="15"/>
                <w:lang w:val="uk-UA"/>
              </w:rPr>
              <w:t>Mtb;</w:t>
            </w:r>
            <w:r w:rsidR="000532E5" w:rsidRPr="000073C1">
              <w:rPr>
                <w:color w:val="636466"/>
                <w:spacing w:val="-4"/>
                <w:sz w:val="15"/>
                <w:szCs w:val="15"/>
                <w:lang w:val="uk-UA"/>
              </w:rPr>
              <w:t xml:space="preserve"> </w:t>
            </w:r>
            <w:r w:rsidR="000532E5" w:rsidRPr="000073C1">
              <w:rPr>
                <w:sz w:val="15"/>
                <w:szCs w:val="15"/>
                <w:lang w:val="uk-UA"/>
              </w:rPr>
              <w:t xml:space="preserve">ЛЖВ: люди, які живуть з ВІЛ; </w:t>
            </w:r>
            <w:r w:rsidRPr="000073C1">
              <w:rPr>
                <w:sz w:val="15"/>
                <w:szCs w:val="15"/>
              </w:rPr>
              <w:t>DST</w:t>
            </w:r>
            <w:r w:rsidRPr="000073C1">
              <w:rPr>
                <w:sz w:val="15"/>
                <w:szCs w:val="15"/>
                <w:lang w:val="uk-UA"/>
              </w:rPr>
              <w:t xml:space="preserve">: ТМЧ; </w:t>
            </w:r>
            <w:r w:rsidRPr="000073C1">
              <w:rPr>
                <w:sz w:val="15"/>
                <w:szCs w:val="15"/>
              </w:rPr>
              <w:t>any</w:t>
            </w:r>
            <w:r w:rsidRPr="000073C1">
              <w:rPr>
                <w:sz w:val="15"/>
                <w:szCs w:val="15"/>
                <w:lang w:val="uk-UA"/>
              </w:rPr>
              <w:t xml:space="preserve"> </w:t>
            </w:r>
            <w:r w:rsidRPr="000073C1">
              <w:rPr>
                <w:sz w:val="15"/>
                <w:szCs w:val="15"/>
              </w:rPr>
              <w:t>induration</w:t>
            </w:r>
            <w:r w:rsidRPr="000073C1">
              <w:rPr>
                <w:sz w:val="15"/>
                <w:szCs w:val="15"/>
                <w:lang w:val="uk-UA"/>
              </w:rPr>
              <w:t xml:space="preserve"> </w:t>
            </w:r>
            <w:r w:rsidRPr="000073C1">
              <w:rPr>
                <w:sz w:val="15"/>
                <w:szCs w:val="15"/>
              </w:rPr>
              <w:t>size</w:t>
            </w:r>
            <w:r w:rsidRPr="000073C1">
              <w:rPr>
                <w:sz w:val="15"/>
                <w:szCs w:val="15"/>
                <w:lang w:val="uk-UA"/>
              </w:rPr>
              <w:t xml:space="preserve">: будь-який розмір ущільнення; </w:t>
            </w:r>
            <w:r w:rsidRPr="000073C1">
              <w:rPr>
                <w:sz w:val="15"/>
                <w:szCs w:val="15"/>
              </w:rPr>
              <w:t>Heterogeneity</w:t>
            </w:r>
            <w:r w:rsidRPr="000073C1">
              <w:rPr>
                <w:sz w:val="15"/>
                <w:szCs w:val="15"/>
                <w:lang w:val="uk-UA"/>
              </w:rPr>
              <w:t xml:space="preserve">: неоднорідність; </w:t>
            </w:r>
            <w:r w:rsidRPr="000073C1">
              <w:rPr>
                <w:sz w:val="15"/>
                <w:szCs w:val="15"/>
              </w:rPr>
              <w:t>Random</w:t>
            </w:r>
            <w:r w:rsidRPr="000073C1">
              <w:rPr>
                <w:sz w:val="15"/>
                <w:szCs w:val="15"/>
                <w:lang w:val="uk-UA"/>
              </w:rPr>
              <w:t xml:space="preserve"> </w:t>
            </w:r>
            <w:r w:rsidRPr="000073C1">
              <w:rPr>
                <w:sz w:val="15"/>
                <w:szCs w:val="15"/>
              </w:rPr>
              <w:t>effects</w:t>
            </w:r>
            <w:r w:rsidRPr="000073C1">
              <w:rPr>
                <w:sz w:val="15"/>
                <w:szCs w:val="15"/>
                <w:lang w:val="uk-UA"/>
              </w:rPr>
              <w:t xml:space="preserve"> </w:t>
            </w:r>
            <w:r w:rsidRPr="000073C1">
              <w:rPr>
                <w:sz w:val="15"/>
                <w:szCs w:val="15"/>
              </w:rPr>
              <w:t>model</w:t>
            </w:r>
            <w:r w:rsidRPr="000073C1">
              <w:rPr>
                <w:sz w:val="15"/>
                <w:szCs w:val="15"/>
                <w:lang w:val="uk-UA"/>
              </w:rPr>
              <w:t xml:space="preserve">: модель випадкових ефектів; </w:t>
            </w:r>
            <w:r w:rsidRPr="000073C1">
              <w:rPr>
                <w:sz w:val="15"/>
                <w:szCs w:val="15"/>
              </w:rPr>
              <w:t>Test</w:t>
            </w:r>
            <w:r w:rsidRPr="000073C1">
              <w:rPr>
                <w:sz w:val="15"/>
                <w:szCs w:val="15"/>
                <w:lang w:val="uk-UA"/>
              </w:rPr>
              <w:t xml:space="preserve"> </w:t>
            </w:r>
            <w:r w:rsidRPr="000073C1">
              <w:rPr>
                <w:sz w:val="15"/>
                <w:szCs w:val="15"/>
              </w:rPr>
              <w:t>for</w:t>
            </w:r>
            <w:r w:rsidRPr="000073C1">
              <w:rPr>
                <w:sz w:val="15"/>
                <w:szCs w:val="15"/>
                <w:lang w:val="uk-UA"/>
              </w:rPr>
              <w:t xml:space="preserve"> </w:t>
            </w:r>
            <w:r w:rsidRPr="000073C1">
              <w:rPr>
                <w:sz w:val="15"/>
                <w:szCs w:val="15"/>
              </w:rPr>
              <w:t>subgroup</w:t>
            </w:r>
            <w:r w:rsidRPr="000073C1">
              <w:rPr>
                <w:sz w:val="15"/>
                <w:szCs w:val="15"/>
                <w:lang w:val="uk-UA"/>
              </w:rPr>
              <w:t xml:space="preserve"> </w:t>
            </w:r>
            <w:r w:rsidRPr="000073C1">
              <w:rPr>
                <w:sz w:val="15"/>
                <w:szCs w:val="15"/>
              </w:rPr>
              <w:t>differencies</w:t>
            </w:r>
            <w:r w:rsidRPr="000073C1">
              <w:rPr>
                <w:sz w:val="15"/>
                <w:szCs w:val="15"/>
                <w:lang w:val="uk-UA"/>
              </w:rPr>
              <w:t>: Дослідження на відмінності у підгрупах</w:t>
            </w:r>
          </w:p>
        </w:tc>
      </w:tr>
    </w:tbl>
    <w:p w14:paraId="34446734" w14:textId="77777777" w:rsidR="00146376" w:rsidRPr="000073C1" w:rsidRDefault="00146376">
      <w:pPr>
        <w:pStyle w:val="a3"/>
        <w:spacing w:line="297" w:lineRule="auto"/>
        <w:ind w:left="567" w:right="140"/>
        <w:jc w:val="both"/>
        <w:rPr>
          <w:sz w:val="14"/>
          <w:szCs w:val="14"/>
          <w:lang w:val="uk-UA"/>
        </w:rPr>
      </w:pPr>
    </w:p>
    <w:p w14:paraId="7B82D470" w14:textId="35D8B035" w:rsidR="00E05B98" w:rsidRDefault="00146376" w:rsidP="00246FF7">
      <w:pPr>
        <w:pStyle w:val="a3"/>
        <w:spacing w:line="269" w:lineRule="auto"/>
        <w:ind w:left="567"/>
        <w:jc w:val="both"/>
        <w:rPr>
          <w:sz w:val="20"/>
          <w:szCs w:val="20"/>
          <w:lang w:val="uk-UA"/>
        </w:rPr>
      </w:pPr>
      <w:r w:rsidRPr="003D28E5">
        <w:rPr>
          <w:sz w:val="20"/>
          <w:szCs w:val="20"/>
          <w:lang w:val="uk-UA"/>
        </w:rPr>
        <w:t xml:space="preserve">До аналізу, представленого на </w:t>
      </w:r>
      <w:r w:rsidRPr="00C338AE">
        <w:rPr>
          <w:b/>
          <w:bCs/>
          <w:sz w:val="20"/>
          <w:szCs w:val="20"/>
          <w:lang w:val="uk-UA"/>
        </w:rPr>
        <w:t>рис. 3.1.1.3</w:t>
      </w:r>
      <w:r w:rsidRPr="003D28E5">
        <w:rPr>
          <w:sz w:val="20"/>
          <w:szCs w:val="20"/>
          <w:lang w:val="uk-UA"/>
        </w:rPr>
        <w:t>, були включені лише дослідження Діаскінтесту та Cy-Tb. Об'єднана чутливість серед ЛЖВ у п'яти дослідженнях становила 63,5% (95% ДІ: 52,6-73,2%). Ризик систематичної похибки вважався серйозним для досліджень Діаскінтесту через те, що при інтерпретації результатів індексних тестів особа, яка проводила дослідження, володіла знаннями про еталонні стандарти; отже, достовірність доказів була знижена на один рівень через ризик систематичної похибки.</w:t>
      </w:r>
      <w:r w:rsidR="00B01E0C" w:rsidRPr="003D28E5">
        <w:rPr>
          <w:sz w:val="20"/>
          <w:szCs w:val="20"/>
          <w:lang w:val="uk-UA"/>
        </w:rPr>
        <w:t xml:space="preserve"> </w:t>
      </w:r>
      <w:r w:rsidR="003D28E5" w:rsidRPr="003D28E5">
        <w:rPr>
          <w:sz w:val="20"/>
          <w:szCs w:val="20"/>
          <w:lang w:val="uk-UA"/>
        </w:rPr>
        <w:t xml:space="preserve">Оцінки чутливості були найнижчими (39,8%) в одному дослідженні, в якому використовували Діаскінтест (будь-який розмір </w:t>
      </w:r>
      <w:r w:rsidR="00CE4B93" w:rsidRPr="003D28E5">
        <w:rPr>
          <w:sz w:val="20"/>
          <w:szCs w:val="20"/>
          <w:lang w:val="uk-UA"/>
        </w:rPr>
        <w:t>ущільнення</w:t>
      </w:r>
      <w:r w:rsidR="003D28E5" w:rsidRPr="003D28E5">
        <w:rPr>
          <w:sz w:val="20"/>
          <w:szCs w:val="20"/>
          <w:lang w:val="uk-UA"/>
        </w:rPr>
        <w:t>). Причина низької чутливості для Діаскінтест</w:t>
      </w:r>
      <w:r w:rsidR="00C338AE">
        <w:rPr>
          <w:sz w:val="20"/>
          <w:szCs w:val="20"/>
          <w:lang w:val="uk-UA"/>
        </w:rPr>
        <w:t>у</w:t>
      </w:r>
      <w:r w:rsidR="003D28E5" w:rsidRPr="003D28E5">
        <w:rPr>
          <w:sz w:val="20"/>
          <w:szCs w:val="20"/>
          <w:lang w:val="uk-UA"/>
        </w:rPr>
        <w:t xml:space="preserve"> (будь-який розмір </w:t>
      </w:r>
      <w:r w:rsidR="00CE4B93" w:rsidRPr="003D28E5">
        <w:rPr>
          <w:sz w:val="20"/>
          <w:szCs w:val="20"/>
          <w:lang w:val="uk-UA"/>
        </w:rPr>
        <w:t>ущільнення</w:t>
      </w:r>
      <w:r w:rsidR="003D28E5" w:rsidRPr="003D28E5">
        <w:rPr>
          <w:sz w:val="20"/>
          <w:szCs w:val="20"/>
          <w:lang w:val="uk-UA"/>
        </w:rPr>
        <w:t>) є неясною, і достовірність доказів була знижена на один рівень через неузгодженість результатів між дослідженнями. Достовірність також була знижена на один рівень через неточність. Таким чином, достовірність доказів була визнана дуже низькою.</w:t>
      </w:r>
    </w:p>
    <w:p w14:paraId="651CD4FB" w14:textId="71D31C5F" w:rsidR="00E05B98" w:rsidRPr="00246FF7" w:rsidRDefault="00DF6F29">
      <w:pPr>
        <w:pStyle w:val="6"/>
        <w:spacing w:before="249"/>
        <w:jc w:val="both"/>
        <w:rPr>
          <w:sz w:val="20"/>
          <w:szCs w:val="20"/>
          <w:lang w:val="uk-UA"/>
        </w:rPr>
      </w:pPr>
      <w:bookmarkStart w:id="99" w:name="_bookmark47"/>
      <w:bookmarkEnd w:id="99"/>
      <w:r w:rsidRPr="00246FF7">
        <w:rPr>
          <w:color w:val="636466"/>
          <w:spacing w:val="-2"/>
          <w:sz w:val="20"/>
          <w:szCs w:val="20"/>
          <w:lang w:val="uk-UA"/>
        </w:rPr>
        <w:t>Рис</w:t>
      </w:r>
      <w:r w:rsidR="00B01E0C" w:rsidRPr="00246FF7">
        <w:rPr>
          <w:color w:val="636466"/>
          <w:spacing w:val="-2"/>
          <w:sz w:val="20"/>
          <w:szCs w:val="20"/>
          <w:lang w:val="uk-UA"/>
        </w:rPr>
        <w:t>.</w:t>
      </w:r>
      <w:r w:rsidR="00B01E0C" w:rsidRPr="00246FF7">
        <w:rPr>
          <w:color w:val="636466"/>
          <w:spacing w:val="-11"/>
          <w:sz w:val="20"/>
          <w:szCs w:val="20"/>
          <w:lang w:val="uk-UA"/>
        </w:rPr>
        <w:t xml:space="preserve"> </w:t>
      </w:r>
      <w:r w:rsidR="00B01E0C" w:rsidRPr="00246FF7">
        <w:rPr>
          <w:color w:val="636466"/>
          <w:spacing w:val="-2"/>
          <w:sz w:val="20"/>
          <w:szCs w:val="20"/>
          <w:lang w:val="uk-UA"/>
        </w:rPr>
        <w:t>3.1.1.4</w:t>
      </w:r>
      <w:r w:rsidR="00B01E0C" w:rsidRPr="00246FF7">
        <w:rPr>
          <w:color w:val="636466"/>
          <w:spacing w:val="-10"/>
          <w:sz w:val="20"/>
          <w:szCs w:val="20"/>
          <w:lang w:val="uk-UA"/>
        </w:rPr>
        <w:t xml:space="preserve"> </w:t>
      </w:r>
      <w:r w:rsidRPr="00246FF7">
        <w:rPr>
          <w:color w:val="636466"/>
          <w:spacing w:val="-10"/>
          <w:sz w:val="20"/>
          <w:szCs w:val="20"/>
          <w:lang w:val="uk-UA"/>
        </w:rPr>
        <w:t xml:space="preserve">Чутливість тестів </w:t>
      </w:r>
      <w:r w:rsidR="00C338AE">
        <w:rPr>
          <w:color w:val="636466"/>
          <w:spacing w:val="-2"/>
          <w:sz w:val="20"/>
          <w:szCs w:val="20"/>
          <w:lang w:val="uk-UA"/>
        </w:rPr>
        <w:t>ШПТБ</w:t>
      </w:r>
      <w:r w:rsidRPr="00246FF7">
        <w:rPr>
          <w:color w:val="636466"/>
          <w:spacing w:val="-2"/>
          <w:sz w:val="20"/>
          <w:szCs w:val="20"/>
          <w:lang w:val="uk-UA"/>
        </w:rPr>
        <w:t xml:space="preserve"> у дітей та підлітків</w:t>
      </w:r>
    </w:p>
    <w:p w14:paraId="1E238A9C" w14:textId="752C6C01" w:rsidR="00E05B98" w:rsidRPr="00246FF7" w:rsidRDefault="00D57A1F">
      <w:pPr>
        <w:pStyle w:val="a3"/>
        <w:spacing w:before="11"/>
        <w:rPr>
          <w:b/>
          <w:bCs/>
          <w:sz w:val="16"/>
          <w:szCs w:val="16"/>
          <w:u w:val="single"/>
          <w:lang w:val="uk-UA"/>
        </w:rPr>
      </w:pPr>
      <w:r w:rsidRPr="00246FF7">
        <w:rPr>
          <w:b/>
          <w:bCs/>
          <w:noProof/>
          <w:sz w:val="16"/>
          <w:szCs w:val="16"/>
          <w:u w:val="single"/>
          <w:lang w:val="uk-UA"/>
        </w:rPr>
        <mc:AlternateContent>
          <mc:Choice Requires="wps">
            <w:drawing>
              <wp:anchor distT="0" distB="0" distL="114300" distR="114300" simplePos="0" relativeHeight="488174080" behindDoc="0" locked="0" layoutInCell="1" allowOverlap="1" wp14:anchorId="76C029C8" wp14:editId="56188E39">
                <wp:simplePos x="0" y="0"/>
                <wp:positionH relativeFrom="column">
                  <wp:posOffset>240289</wp:posOffset>
                </wp:positionH>
                <wp:positionV relativeFrom="paragraph">
                  <wp:posOffset>96520</wp:posOffset>
                </wp:positionV>
                <wp:extent cx="6026150" cy="227667"/>
                <wp:effectExtent l="0" t="0" r="0" b="1270"/>
                <wp:wrapNone/>
                <wp:docPr id="734343167" name="Поле 1923"/>
                <wp:cNvGraphicFramePr/>
                <a:graphic xmlns:a="http://schemas.openxmlformats.org/drawingml/2006/main">
                  <a:graphicData uri="http://schemas.microsoft.com/office/word/2010/wordprocessingShape">
                    <wps:wsp>
                      <wps:cNvSpPr txBox="1"/>
                      <wps:spPr>
                        <a:xfrm>
                          <a:off x="0" y="0"/>
                          <a:ext cx="6026150" cy="227667"/>
                        </a:xfrm>
                        <a:prstGeom prst="rect">
                          <a:avLst/>
                        </a:prstGeom>
                        <a:solidFill>
                          <a:schemeClr val="bg1"/>
                        </a:solidFill>
                        <a:ln w="6350">
                          <a:noFill/>
                        </a:ln>
                      </wps:spPr>
                      <wps:txbx>
                        <w:txbxContent>
                          <w:tbl>
                            <w:tblPr>
                              <w:tblStyle w:val="ac"/>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1104"/>
                              <w:gridCol w:w="1487"/>
                              <w:gridCol w:w="238"/>
                              <w:gridCol w:w="2952"/>
                              <w:gridCol w:w="1276"/>
                            </w:tblGrid>
                            <w:tr w:rsidR="007372B2" w:rsidRPr="00794491" w14:paraId="7922F881" w14:textId="77777777" w:rsidTr="00D57A1F">
                              <w:tc>
                                <w:tcPr>
                                  <w:tcW w:w="2157" w:type="dxa"/>
                                </w:tcPr>
                                <w:p w14:paraId="4A97DF86" w14:textId="77777777" w:rsidR="007372B2" w:rsidRPr="00D57A1F" w:rsidRDefault="007372B2" w:rsidP="003D28E5">
                                  <w:pPr>
                                    <w:rPr>
                                      <w:rFonts w:ascii="Arial" w:hAnsi="Arial" w:cs="Arial"/>
                                      <w:b/>
                                      <w:bCs/>
                                      <w:sz w:val="16"/>
                                      <w:szCs w:val="16"/>
                                      <w:lang w:val="uk-UA"/>
                                    </w:rPr>
                                  </w:pPr>
                                  <w:r w:rsidRPr="00D57A1F">
                                    <w:rPr>
                                      <w:rFonts w:ascii="Arial" w:hAnsi="Arial" w:cs="Arial"/>
                                      <w:b/>
                                      <w:bCs/>
                                      <w:sz w:val="16"/>
                                      <w:szCs w:val="16"/>
                                      <w:lang w:val="uk-UA"/>
                                    </w:rPr>
                                    <w:t>Дослідження</w:t>
                                  </w:r>
                                </w:p>
                              </w:tc>
                              <w:tc>
                                <w:tcPr>
                                  <w:tcW w:w="1104" w:type="dxa"/>
                                </w:tcPr>
                                <w:p w14:paraId="3F66FF88" w14:textId="2E73870B" w:rsidR="007372B2" w:rsidRPr="00D57A1F" w:rsidRDefault="007372B2" w:rsidP="003D28E5">
                                  <w:pPr>
                                    <w:jc w:val="center"/>
                                    <w:rPr>
                                      <w:rFonts w:ascii="Arial" w:hAnsi="Arial" w:cs="Arial"/>
                                      <w:b/>
                                      <w:bCs/>
                                      <w:sz w:val="16"/>
                                      <w:szCs w:val="16"/>
                                    </w:rPr>
                                  </w:pPr>
                                  <w:r w:rsidRPr="00D57A1F">
                                    <w:rPr>
                                      <w:rFonts w:ascii="Arial" w:hAnsi="Arial" w:cs="Arial"/>
                                      <w:b/>
                                      <w:bCs/>
                                      <w:sz w:val="16"/>
                                      <w:szCs w:val="16"/>
                                      <w:lang w:val="uk-UA"/>
                                    </w:rPr>
                                    <w:t xml:space="preserve">    </w:t>
                                  </w:r>
                                  <w:r w:rsidRPr="00D57A1F">
                                    <w:rPr>
                                      <w:rFonts w:ascii="Arial" w:hAnsi="Arial" w:cs="Arial"/>
                                      <w:b/>
                                      <w:bCs/>
                                      <w:sz w:val="16"/>
                                      <w:szCs w:val="16"/>
                                    </w:rPr>
                                    <w:t>TP</w:t>
                                  </w:r>
                                </w:p>
                              </w:tc>
                              <w:tc>
                                <w:tcPr>
                                  <w:tcW w:w="1487" w:type="dxa"/>
                                </w:tcPr>
                                <w:p w14:paraId="6D65D4CD" w14:textId="6BB90EA3" w:rsidR="007372B2" w:rsidRPr="00D57A1F" w:rsidRDefault="007372B2" w:rsidP="003D28E5">
                                  <w:pPr>
                                    <w:jc w:val="center"/>
                                    <w:rPr>
                                      <w:rFonts w:ascii="Arial" w:hAnsi="Arial" w:cs="Arial"/>
                                      <w:b/>
                                      <w:bCs/>
                                      <w:sz w:val="16"/>
                                      <w:szCs w:val="16"/>
                                    </w:rPr>
                                  </w:pPr>
                                  <w:r w:rsidRPr="00D57A1F">
                                    <w:rPr>
                                      <w:rFonts w:ascii="Arial" w:hAnsi="Arial" w:cs="Arial"/>
                                      <w:b/>
                                      <w:bCs/>
                                      <w:sz w:val="16"/>
                                      <w:szCs w:val="16"/>
                                      <w:lang w:val="uk-UA"/>
                                    </w:rPr>
                                    <w:t xml:space="preserve">   </w:t>
                                  </w:r>
                                  <w:r>
                                    <w:rPr>
                                      <w:rFonts w:ascii="Arial" w:hAnsi="Arial" w:cs="Arial"/>
                                      <w:b/>
                                      <w:bCs/>
                                      <w:sz w:val="16"/>
                                      <w:szCs w:val="16"/>
                                      <w:lang w:val="uk-UA"/>
                                    </w:rPr>
                                    <w:t xml:space="preserve">    </w:t>
                                  </w:r>
                                  <w:r w:rsidRPr="00D57A1F">
                                    <w:rPr>
                                      <w:rFonts w:ascii="Arial" w:hAnsi="Arial" w:cs="Arial"/>
                                      <w:b/>
                                      <w:bCs/>
                                      <w:sz w:val="16"/>
                                      <w:szCs w:val="16"/>
                                    </w:rPr>
                                    <w:t>TP+FN</w:t>
                                  </w:r>
                                </w:p>
                              </w:tc>
                              <w:tc>
                                <w:tcPr>
                                  <w:tcW w:w="238" w:type="dxa"/>
                                </w:tcPr>
                                <w:p w14:paraId="76A1B8DA" w14:textId="77777777" w:rsidR="007372B2" w:rsidRPr="00D57A1F" w:rsidRDefault="007372B2" w:rsidP="003D28E5">
                                  <w:pPr>
                                    <w:rPr>
                                      <w:rFonts w:ascii="Arial" w:hAnsi="Arial" w:cs="Arial"/>
                                      <w:b/>
                                      <w:bCs/>
                                      <w:sz w:val="16"/>
                                      <w:szCs w:val="16"/>
                                      <w:lang w:val="uk-UA"/>
                                    </w:rPr>
                                  </w:pPr>
                                </w:p>
                              </w:tc>
                              <w:tc>
                                <w:tcPr>
                                  <w:tcW w:w="2952" w:type="dxa"/>
                                </w:tcPr>
                                <w:p w14:paraId="353D711E" w14:textId="77777777" w:rsidR="007372B2" w:rsidRPr="00D57A1F" w:rsidRDefault="007372B2" w:rsidP="00D57A1F">
                                  <w:pPr>
                                    <w:jc w:val="right"/>
                                    <w:rPr>
                                      <w:rFonts w:ascii="Arial" w:hAnsi="Arial" w:cs="Arial"/>
                                      <w:b/>
                                      <w:bCs/>
                                      <w:sz w:val="16"/>
                                      <w:szCs w:val="16"/>
                                      <w:lang w:val="uk-UA"/>
                                    </w:rPr>
                                  </w:pPr>
                                  <w:r w:rsidRPr="00D57A1F">
                                    <w:rPr>
                                      <w:rFonts w:ascii="Arial" w:hAnsi="Arial" w:cs="Arial"/>
                                      <w:b/>
                                      <w:bCs/>
                                      <w:sz w:val="16"/>
                                      <w:szCs w:val="16"/>
                                      <w:lang w:val="uk-UA"/>
                                    </w:rPr>
                                    <w:t>Чутливість (%)</w:t>
                                  </w:r>
                                </w:p>
                              </w:tc>
                              <w:tc>
                                <w:tcPr>
                                  <w:tcW w:w="1276" w:type="dxa"/>
                                </w:tcPr>
                                <w:p w14:paraId="1129515C" w14:textId="3F88EDCD" w:rsidR="007372B2" w:rsidRPr="00D57A1F" w:rsidRDefault="007372B2" w:rsidP="003D28E5">
                                  <w:pPr>
                                    <w:rPr>
                                      <w:rFonts w:ascii="Arial" w:hAnsi="Arial" w:cs="Arial"/>
                                      <w:b/>
                                      <w:bCs/>
                                      <w:sz w:val="16"/>
                                      <w:szCs w:val="16"/>
                                      <w:lang w:val="uk-UA"/>
                                    </w:rPr>
                                  </w:pPr>
                                  <w:r w:rsidRPr="00D57A1F">
                                    <w:rPr>
                                      <w:rFonts w:ascii="Arial" w:hAnsi="Arial" w:cs="Arial"/>
                                      <w:b/>
                                      <w:bCs/>
                                      <w:sz w:val="16"/>
                                      <w:szCs w:val="16"/>
                                      <w:lang w:val="uk-UA"/>
                                    </w:rPr>
                                    <w:t xml:space="preserve">         95%  ДІ</w:t>
                                  </w:r>
                                </w:p>
                              </w:tc>
                            </w:tr>
                          </w:tbl>
                          <w:p w14:paraId="09667891" w14:textId="77777777" w:rsidR="007372B2" w:rsidRDefault="007372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029C8" id="Поле 1923" o:spid="_x0000_s1192" type="#_x0000_t202" style="position:absolute;margin-left:18.9pt;margin-top:7.6pt;width:474.5pt;height:17.95pt;z-index:4881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" fillcolor="white [3212]" stroked="f" strokeweight=".5pt">
                <v:textbox>
                  <w:txbxContent>
                    <w:tbl>
                      <w:tblPr>
                        <w:tblStyle w:val="ac"/>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1104"/>
                        <w:gridCol w:w="1487"/>
                        <w:gridCol w:w="238"/>
                        <w:gridCol w:w="2952"/>
                        <w:gridCol w:w="1276"/>
                      </w:tblGrid>
                      <w:tr w:rsidR="007372B2" w:rsidRPr="00794491" w14:paraId="7922F881" w14:textId="77777777" w:rsidTr="00D57A1F">
                        <w:tc>
                          <w:tcPr>
                            <w:tcW w:w="2157" w:type="dxa"/>
                          </w:tcPr>
                          <w:p w14:paraId="4A97DF86" w14:textId="77777777" w:rsidR="007372B2" w:rsidRPr="00D57A1F" w:rsidRDefault="007372B2" w:rsidP="003D28E5">
                            <w:pPr>
                              <w:rPr>
                                <w:rFonts w:ascii="Arial" w:hAnsi="Arial" w:cs="Arial"/>
                                <w:b/>
                                <w:bCs/>
                                <w:sz w:val="16"/>
                                <w:szCs w:val="16"/>
                                <w:lang w:val="uk-UA"/>
                              </w:rPr>
                            </w:pPr>
                            <w:r w:rsidRPr="00D57A1F">
                              <w:rPr>
                                <w:rFonts w:ascii="Arial" w:hAnsi="Arial" w:cs="Arial"/>
                                <w:b/>
                                <w:bCs/>
                                <w:sz w:val="16"/>
                                <w:szCs w:val="16"/>
                                <w:lang w:val="uk-UA"/>
                              </w:rPr>
                              <w:t>Дослідження</w:t>
                            </w:r>
                          </w:p>
                        </w:tc>
                        <w:tc>
                          <w:tcPr>
                            <w:tcW w:w="1104" w:type="dxa"/>
                          </w:tcPr>
                          <w:p w14:paraId="3F66FF88" w14:textId="2E73870B" w:rsidR="007372B2" w:rsidRPr="00D57A1F" w:rsidRDefault="007372B2" w:rsidP="003D28E5">
                            <w:pPr>
                              <w:jc w:val="center"/>
                              <w:rPr>
                                <w:rFonts w:ascii="Arial" w:hAnsi="Arial" w:cs="Arial"/>
                                <w:b/>
                                <w:bCs/>
                                <w:sz w:val="16"/>
                                <w:szCs w:val="16"/>
                              </w:rPr>
                            </w:pPr>
                            <w:r w:rsidRPr="00D57A1F">
                              <w:rPr>
                                <w:rFonts w:ascii="Arial" w:hAnsi="Arial" w:cs="Arial"/>
                                <w:b/>
                                <w:bCs/>
                                <w:sz w:val="16"/>
                                <w:szCs w:val="16"/>
                                <w:lang w:val="uk-UA"/>
                              </w:rPr>
                              <w:t xml:space="preserve">    </w:t>
                            </w:r>
                            <w:r w:rsidRPr="00D57A1F">
                              <w:rPr>
                                <w:rFonts w:ascii="Arial" w:hAnsi="Arial" w:cs="Arial"/>
                                <w:b/>
                                <w:bCs/>
                                <w:sz w:val="16"/>
                                <w:szCs w:val="16"/>
                              </w:rPr>
                              <w:t>TP</w:t>
                            </w:r>
                          </w:p>
                        </w:tc>
                        <w:tc>
                          <w:tcPr>
                            <w:tcW w:w="1487" w:type="dxa"/>
                          </w:tcPr>
                          <w:p w14:paraId="6D65D4CD" w14:textId="6BB90EA3" w:rsidR="007372B2" w:rsidRPr="00D57A1F" w:rsidRDefault="007372B2" w:rsidP="003D28E5">
                            <w:pPr>
                              <w:jc w:val="center"/>
                              <w:rPr>
                                <w:rFonts w:ascii="Arial" w:hAnsi="Arial" w:cs="Arial"/>
                                <w:b/>
                                <w:bCs/>
                                <w:sz w:val="16"/>
                                <w:szCs w:val="16"/>
                              </w:rPr>
                            </w:pPr>
                            <w:r w:rsidRPr="00D57A1F">
                              <w:rPr>
                                <w:rFonts w:ascii="Arial" w:hAnsi="Arial" w:cs="Arial"/>
                                <w:b/>
                                <w:bCs/>
                                <w:sz w:val="16"/>
                                <w:szCs w:val="16"/>
                                <w:lang w:val="uk-UA"/>
                              </w:rPr>
                              <w:t xml:space="preserve">   </w:t>
                            </w:r>
                            <w:r>
                              <w:rPr>
                                <w:rFonts w:ascii="Arial" w:hAnsi="Arial" w:cs="Arial"/>
                                <w:b/>
                                <w:bCs/>
                                <w:sz w:val="16"/>
                                <w:szCs w:val="16"/>
                                <w:lang w:val="uk-UA"/>
                              </w:rPr>
                              <w:t xml:space="preserve">    </w:t>
                            </w:r>
                            <w:r w:rsidRPr="00D57A1F">
                              <w:rPr>
                                <w:rFonts w:ascii="Arial" w:hAnsi="Arial" w:cs="Arial"/>
                                <w:b/>
                                <w:bCs/>
                                <w:sz w:val="16"/>
                                <w:szCs w:val="16"/>
                              </w:rPr>
                              <w:t>TP+FN</w:t>
                            </w:r>
                          </w:p>
                        </w:tc>
                        <w:tc>
                          <w:tcPr>
                            <w:tcW w:w="238" w:type="dxa"/>
                          </w:tcPr>
                          <w:p w14:paraId="76A1B8DA" w14:textId="77777777" w:rsidR="007372B2" w:rsidRPr="00D57A1F" w:rsidRDefault="007372B2" w:rsidP="003D28E5">
                            <w:pPr>
                              <w:rPr>
                                <w:rFonts w:ascii="Arial" w:hAnsi="Arial" w:cs="Arial"/>
                                <w:b/>
                                <w:bCs/>
                                <w:sz w:val="16"/>
                                <w:szCs w:val="16"/>
                                <w:lang w:val="uk-UA"/>
                              </w:rPr>
                            </w:pPr>
                          </w:p>
                        </w:tc>
                        <w:tc>
                          <w:tcPr>
                            <w:tcW w:w="2952" w:type="dxa"/>
                          </w:tcPr>
                          <w:p w14:paraId="353D711E" w14:textId="77777777" w:rsidR="007372B2" w:rsidRPr="00D57A1F" w:rsidRDefault="007372B2" w:rsidP="00D57A1F">
                            <w:pPr>
                              <w:jc w:val="right"/>
                              <w:rPr>
                                <w:rFonts w:ascii="Arial" w:hAnsi="Arial" w:cs="Arial"/>
                                <w:b/>
                                <w:bCs/>
                                <w:sz w:val="16"/>
                                <w:szCs w:val="16"/>
                                <w:lang w:val="uk-UA"/>
                              </w:rPr>
                            </w:pPr>
                            <w:r w:rsidRPr="00D57A1F">
                              <w:rPr>
                                <w:rFonts w:ascii="Arial" w:hAnsi="Arial" w:cs="Arial"/>
                                <w:b/>
                                <w:bCs/>
                                <w:sz w:val="16"/>
                                <w:szCs w:val="16"/>
                                <w:lang w:val="uk-UA"/>
                              </w:rPr>
                              <w:t>Чутливість (%)</w:t>
                            </w:r>
                          </w:p>
                        </w:tc>
                        <w:tc>
                          <w:tcPr>
                            <w:tcW w:w="1276" w:type="dxa"/>
                          </w:tcPr>
                          <w:p w14:paraId="1129515C" w14:textId="3F88EDCD" w:rsidR="007372B2" w:rsidRPr="00D57A1F" w:rsidRDefault="007372B2" w:rsidP="003D28E5">
                            <w:pPr>
                              <w:rPr>
                                <w:rFonts w:ascii="Arial" w:hAnsi="Arial" w:cs="Arial"/>
                                <w:b/>
                                <w:bCs/>
                                <w:sz w:val="16"/>
                                <w:szCs w:val="16"/>
                                <w:lang w:val="uk-UA"/>
                              </w:rPr>
                            </w:pPr>
                            <w:r w:rsidRPr="00D57A1F">
                              <w:rPr>
                                <w:rFonts w:ascii="Arial" w:hAnsi="Arial" w:cs="Arial"/>
                                <w:b/>
                                <w:bCs/>
                                <w:sz w:val="16"/>
                                <w:szCs w:val="16"/>
                                <w:lang w:val="uk-UA"/>
                              </w:rPr>
                              <w:t xml:space="preserve">         95%  ДІ</w:t>
                            </w:r>
                          </w:p>
                        </w:tc>
                      </w:tr>
                    </w:tbl>
                    <w:p w14:paraId="09667891" w14:textId="77777777" w:rsidR="007372B2" w:rsidRDefault="007372B2"/>
                  </w:txbxContent>
                </v:textbox>
              </v:shape>
            </w:pict>
          </mc:Fallback>
        </mc:AlternateContent>
      </w:r>
      <w:r w:rsidR="003D28E5" w:rsidRPr="00246FF7">
        <w:rPr>
          <w:b/>
          <w:bCs/>
          <w:noProof/>
          <w:sz w:val="16"/>
          <w:szCs w:val="16"/>
          <w:u w:val="single"/>
          <w:lang w:val="uk-UA"/>
        </w:rPr>
        <w:drawing>
          <wp:anchor distT="0" distB="0" distL="0" distR="0" simplePos="0" relativeHeight="488066560" behindDoc="1" locked="0" layoutInCell="1" allowOverlap="1" wp14:anchorId="389BF800" wp14:editId="706F6410">
            <wp:simplePos x="0" y="0"/>
            <wp:positionH relativeFrom="page">
              <wp:posOffset>900430</wp:posOffset>
            </wp:positionH>
            <wp:positionV relativeFrom="paragraph">
              <wp:posOffset>124460</wp:posOffset>
            </wp:positionV>
            <wp:extent cx="5742305" cy="1586230"/>
            <wp:effectExtent l="0" t="0" r="0" b="0"/>
            <wp:wrapTopAndBottom/>
            <wp:docPr id="3049" name="Image 3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9" name="Image 3049"/>
                    <pic:cNvPicPr/>
                  </pic:nvPicPr>
                  <pic:blipFill>
                    <a:blip r:embed="rId205" cstate="print"/>
                    <a:stretch>
                      <a:fillRect/>
                    </a:stretch>
                  </pic:blipFill>
                  <pic:spPr>
                    <a:xfrm>
                      <a:off x="0" y="0"/>
                      <a:ext cx="5742305" cy="1586230"/>
                    </a:xfrm>
                    <a:prstGeom prst="rect">
                      <a:avLst/>
                    </a:prstGeom>
                  </pic:spPr>
                </pic:pic>
              </a:graphicData>
            </a:graphic>
            <wp14:sizeRelH relativeFrom="margin">
              <wp14:pctWidth>0</wp14:pctWidth>
            </wp14:sizeRelH>
            <wp14:sizeRelV relativeFrom="margin">
              <wp14:pctHeight>0</wp14:pctHeight>
            </wp14:sizeRelV>
          </wp:anchor>
        </w:drawing>
      </w:r>
    </w:p>
    <w:tbl>
      <w:tblPr>
        <w:tblStyle w:val="ac"/>
        <w:tblW w:w="0" w:type="auto"/>
        <w:tblInd w:w="567" w:type="dxa"/>
        <w:tblLook w:val="04A0" w:firstRow="1" w:lastRow="0" w:firstColumn="1" w:lastColumn="0" w:noHBand="0" w:noVBand="1"/>
      </w:tblPr>
      <w:tblGrid>
        <w:gridCol w:w="9356"/>
      </w:tblGrid>
      <w:tr w:rsidR="003D28E5" w:rsidRPr="00D029FF" w14:paraId="14A6F574" w14:textId="77777777" w:rsidTr="000073C1">
        <w:tc>
          <w:tcPr>
            <w:tcW w:w="9356" w:type="dxa"/>
            <w:tcBorders>
              <w:top w:val="single" w:sz="4" w:space="0" w:color="auto"/>
              <w:left w:val="nil"/>
              <w:bottom w:val="nil"/>
              <w:right w:val="nil"/>
            </w:tcBorders>
          </w:tcPr>
          <w:p w14:paraId="6D4778E4" w14:textId="6AACA688" w:rsidR="003D28E5" w:rsidRPr="00CE302F" w:rsidRDefault="003D28E5" w:rsidP="000073C1">
            <w:pPr>
              <w:ind w:right="-245"/>
              <w:rPr>
                <w:sz w:val="16"/>
                <w:szCs w:val="16"/>
                <w:lang w:val="uk-UA"/>
              </w:rPr>
            </w:pPr>
            <w:r w:rsidRPr="00CE302F">
              <w:rPr>
                <w:b/>
                <w:bCs/>
                <w:sz w:val="16"/>
                <w:szCs w:val="16"/>
                <w:u w:val="single"/>
                <w:lang w:val="uk-UA"/>
              </w:rPr>
              <w:t>Примітки перекладача</w:t>
            </w:r>
            <w:r>
              <w:rPr>
                <w:sz w:val="16"/>
                <w:szCs w:val="16"/>
                <w:lang w:val="uk-UA"/>
              </w:rPr>
              <w:t xml:space="preserve">. </w:t>
            </w:r>
            <w:r w:rsidR="000532E5">
              <w:rPr>
                <w:sz w:val="16"/>
                <w:szCs w:val="16"/>
                <w:lang w:val="uk-UA"/>
              </w:rPr>
              <w:t>ШПТБ:</w:t>
            </w:r>
            <w:r w:rsidR="000532E5" w:rsidRPr="000532E5">
              <w:rPr>
                <w:sz w:val="16"/>
                <w:szCs w:val="16"/>
                <w:lang w:val="uk-UA"/>
              </w:rPr>
              <w:t xml:space="preserve"> шкірні тести на основі антигену </w:t>
            </w:r>
            <w:r w:rsidR="000532E5" w:rsidRPr="000532E5">
              <w:rPr>
                <w:i/>
                <w:iCs/>
                <w:sz w:val="16"/>
                <w:szCs w:val="16"/>
                <w:lang w:val="uk-UA"/>
              </w:rPr>
              <w:t>Mtb</w:t>
            </w:r>
            <w:r w:rsidR="000532E5">
              <w:rPr>
                <w:i/>
                <w:iCs/>
                <w:sz w:val="16"/>
                <w:szCs w:val="16"/>
                <w:lang w:val="uk-UA"/>
              </w:rPr>
              <w:t>;</w:t>
            </w:r>
            <w:r>
              <w:rPr>
                <w:sz w:val="16"/>
                <w:szCs w:val="16"/>
                <w:lang w:val="uk-UA"/>
              </w:rPr>
              <w:t xml:space="preserve">ДІ: довірчий інтервал; </w:t>
            </w:r>
            <w:r w:rsidRPr="00226806">
              <w:rPr>
                <w:sz w:val="16"/>
                <w:szCs w:val="16"/>
              </w:rPr>
              <w:t>TP</w:t>
            </w:r>
            <w:r w:rsidRPr="00CE302F">
              <w:rPr>
                <w:sz w:val="16"/>
                <w:szCs w:val="16"/>
                <w:lang w:val="uk-UA"/>
              </w:rPr>
              <w:t xml:space="preserve">: </w:t>
            </w:r>
            <w:r w:rsidRPr="00226806">
              <w:rPr>
                <w:sz w:val="16"/>
                <w:szCs w:val="16"/>
                <w:lang w:val="uk-UA"/>
              </w:rPr>
              <w:t>істинно  позитивний</w:t>
            </w:r>
            <w:r w:rsidR="00C338AE">
              <w:rPr>
                <w:sz w:val="16"/>
                <w:szCs w:val="16"/>
                <w:lang w:val="uk-UA"/>
              </w:rPr>
              <w:t xml:space="preserve"> результат</w:t>
            </w:r>
            <w:r w:rsidRPr="00226806">
              <w:rPr>
                <w:sz w:val="16"/>
                <w:szCs w:val="16"/>
                <w:lang w:val="uk-UA"/>
              </w:rPr>
              <w:t>;</w:t>
            </w:r>
            <w:r w:rsidRPr="00CE302F">
              <w:rPr>
                <w:sz w:val="16"/>
                <w:szCs w:val="16"/>
                <w:lang w:val="uk-UA"/>
              </w:rPr>
              <w:t xml:space="preserve"> </w:t>
            </w:r>
            <w:r w:rsidRPr="00226806">
              <w:rPr>
                <w:sz w:val="16"/>
                <w:szCs w:val="16"/>
              </w:rPr>
              <w:t>TP</w:t>
            </w:r>
            <w:r w:rsidRPr="00CE302F">
              <w:rPr>
                <w:sz w:val="16"/>
                <w:szCs w:val="16"/>
                <w:lang w:val="uk-UA"/>
              </w:rPr>
              <w:t>+</w:t>
            </w:r>
            <w:r w:rsidRPr="00226806">
              <w:rPr>
                <w:sz w:val="16"/>
                <w:szCs w:val="16"/>
              </w:rPr>
              <w:t>FN</w:t>
            </w:r>
            <w:r w:rsidRPr="00CE302F">
              <w:rPr>
                <w:sz w:val="16"/>
                <w:szCs w:val="16"/>
                <w:lang w:val="uk-UA"/>
              </w:rPr>
              <w:t>:</w:t>
            </w:r>
            <w:r w:rsidRPr="00226806">
              <w:rPr>
                <w:sz w:val="16"/>
                <w:szCs w:val="16"/>
                <w:lang w:val="uk-UA"/>
              </w:rPr>
              <w:t xml:space="preserve"> істинно позитивний + хибнонегатиний</w:t>
            </w:r>
            <w:r w:rsidR="00C338AE">
              <w:rPr>
                <w:sz w:val="16"/>
                <w:szCs w:val="16"/>
                <w:lang w:val="uk-UA"/>
              </w:rPr>
              <w:t xml:space="preserve"> результат</w:t>
            </w:r>
            <w:r w:rsidRPr="00226806">
              <w:rPr>
                <w:sz w:val="16"/>
                <w:szCs w:val="16"/>
                <w:lang w:val="uk-UA"/>
              </w:rPr>
              <w:t xml:space="preserve">; </w:t>
            </w:r>
            <w:r>
              <w:rPr>
                <w:sz w:val="16"/>
                <w:szCs w:val="16"/>
              </w:rPr>
              <w:t>Test</w:t>
            </w:r>
            <w:r w:rsidRPr="00226806">
              <w:rPr>
                <w:sz w:val="16"/>
                <w:szCs w:val="16"/>
                <w:lang w:val="uk-UA"/>
              </w:rPr>
              <w:t>=</w:t>
            </w:r>
            <w:r>
              <w:rPr>
                <w:sz w:val="16"/>
                <w:szCs w:val="16"/>
              </w:rPr>
              <w:t>D</w:t>
            </w:r>
            <w:r w:rsidRPr="00226806">
              <w:rPr>
                <w:sz w:val="16"/>
                <w:szCs w:val="16"/>
              </w:rPr>
              <w:t>ST</w:t>
            </w:r>
            <w:r>
              <w:rPr>
                <w:sz w:val="16"/>
                <w:szCs w:val="16"/>
                <w:lang w:val="uk-UA"/>
              </w:rPr>
              <w:t xml:space="preserve">: ТМЧ; </w:t>
            </w:r>
            <w:r w:rsidR="00830059">
              <w:rPr>
                <w:sz w:val="16"/>
                <w:szCs w:val="16"/>
              </w:rPr>
              <w:t>AI</w:t>
            </w:r>
            <w:r w:rsidR="00830059" w:rsidRPr="00830059">
              <w:rPr>
                <w:sz w:val="16"/>
                <w:szCs w:val="16"/>
                <w:lang w:val="uk-UA"/>
              </w:rPr>
              <w:t>: бу</w:t>
            </w:r>
            <w:r w:rsidR="00830059">
              <w:rPr>
                <w:sz w:val="16"/>
                <w:szCs w:val="16"/>
                <w:lang w:val="uk-UA"/>
              </w:rPr>
              <w:t xml:space="preserve">дь-який розмір ущільнення; </w:t>
            </w:r>
            <w:r>
              <w:rPr>
                <w:sz w:val="16"/>
                <w:szCs w:val="16"/>
              </w:rPr>
              <w:t>R</w:t>
            </w:r>
            <w:r w:rsidRPr="00226806">
              <w:rPr>
                <w:sz w:val="16"/>
                <w:szCs w:val="16"/>
              </w:rPr>
              <w:t>andom</w:t>
            </w:r>
            <w:r w:rsidRPr="00226806">
              <w:rPr>
                <w:sz w:val="16"/>
                <w:szCs w:val="16"/>
                <w:lang w:val="uk-UA"/>
              </w:rPr>
              <w:t xml:space="preserve"> </w:t>
            </w:r>
            <w:r w:rsidRPr="00226806">
              <w:rPr>
                <w:sz w:val="16"/>
                <w:szCs w:val="16"/>
              </w:rPr>
              <w:t>affects</w:t>
            </w:r>
            <w:r w:rsidRPr="00226806">
              <w:rPr>
                <w:sz w:val="16"/>
                <w:szCs w:val="16"/>
                <w:lang w:val="uk-UA"/>
              </w:rPr>
              <w:t xml:space="preserve"> </w:t>
            </w:r>
            <w:r w:rsidRPr="00226806">
              <w:rPr>
                <w:sz w:val="16"/>
                <w:szCs w:val="16"/>
              </w:rPr>
              <w:t>model</w:t>
            </w:r>
            <w:r w:rsidRPr="00226806">
              <w:rPr>
                <w:sz w:val="16"/>
                <w:szCs w:val="16"/>
                <w:lang w:val="uk-UA"/>
              </w:rPr>
              <w:t xml:space="preserve">: </w:t>
            </w:r>
            <w:r>
              <w:rPr>
                <w:sz w:val="16"/>
                <w:szCs w:val="16"/>
                <w:lang w:val="uk-UA"/>
              </w:rPr>
              <w:t>модель випадкових ефектів</w:t>
            </w:r>
            <w:r w:rsidRPr="00226806">
              <w:rPr>
                <w:sz w:val="16"/>
                <w:szCs w:val="16"/>
                <w:lang w:val="uk-UA"/>
              </w:rPr>
              <w:t xml:space="preserve">; </w:t>
            </w:r>
            <w:r w:rsidRPr="00226806">
              <w:rPr>
                <w:sz w:val="16"/>
                <w:szCs w:val="16"/>
              </w:rPr>
              <w:t>Heterogeneity</w:t>
            </w:r>
            <w:r w:rsidRPr="00226806">
              <w:rPr>
                <w:sz w:val="16"/>
                <w:szCs w:val="16"/>
                <w:lang w:val="uk-UA"/>
              </w:rPr>
              <w:t xml:space="preserve">: </w:t>
            </w:r>
            <w:r>
              <w:rPr>
                <w:sz w:val="16"/>
                <w:szCs w:val="16"/>
                <w:lang w:val="uk-UA"/>
              </w:rPr>
              <w:t xml:space="preserve">неоднорідність; </w:t>
            </w:r>
            <w:r>
              <w:rPr>
                <w:sz w:val="16"/>
                <w:szCs w:val="16"/>
              </w:rPr>
              <w:t>Test</w:t>
            </w:r>
            <w:r w:rsidRPr="003D28E5">
              <w:rPr>
                <w:sz w:val="16"/>
                <w:szCs w:val="16"/>
                <w:lang w:val="uk-UA"/>
              </w:rPr>
              <w:t xml:space="preserve"> </w:t>
            </w:r>
            <w:r>
              <w:rPr>
                <w:sz w:val="16"/>
                <w:szCs w:val="16"/>
              </w:rPr>
              <w:t>for</w:t>
            </w:r>
            <w:r w:rsidRPr="003D28E5">
              <w:rPr>
                <w:sz w:val="16"/>
                <w:szCs w:val="16"/>
                <w:lang w:val="uk-UA"/>
              </w:rPr>
              <w:t xml:space="preserve"> </w:t>
            </w:r>
            <w:r>
              <w:rPr>
                <w:sz w:val="16"/>
                <w:szCs w:val="16"/>
              </w:rPr>
              <w:t>subgroup</w:t>
            </w:r>
            <w:r w:rsidRPr="003D28E5">
              <w:rPr>
                <w:sz w:val="16"/>
                <w:szCs w:val="16"/>
                <w:lang w:val="uk-UA"/>
              </w:rPr>
              <w:t xml:space="preserve"> </w:t>
            </w:r>
            <w:r>
              <w:rPr>
                <w:sz w:val="16"/>
                <w:szCs w:val="16"/>
              </w:rPr>
              <w:t>differencies</w:t>
            </w:r>
            <w:r w:rsidRPr="003D28E5">
              <w:rPr>
                <w:sz w:val="16"/>
                <w:szCs w:val="16"/>
                <w:lang w:val="uk-UA"/>
              </w:rPr>
              <w:t>:</w:t>
            </w:r>
            <w:r>
              <w:rPr>
                <w:sz w:val="16"/>
                <w:szCs w:val="16"/>
                <w:lang w:val="uk-UA"/>
              </w:rPr>
              <w:t xml:space="preserve"> </w:t>
            </w:r>
            <w:r w:rsidRPr="00226806">
              <w:rPr>
                <w:sz w:val="16"/>
                <w:szCs w:val="16"/>
                <w:lang w:val="uk-UA"/>
              </w:rPr>
              <w:t>Дослідження на відмінності у підгрупах</w:t>
            </w:r>
          </w:p>
          <w:p w14:paraId="7C1A366D" w14:textId="71733F12" w:rsidR="003D28E5" w:rsidRDefault="003D28E5">
            <w:pPr>
              <w:pStyle w:val="a3"/>
              <w:spacing w:before="49" w:line="297" w:lineRule="auto"/>
              <w:ind w:right="136"/>
              <w:jc w:val="both"/>
              <w:rPr>
                <w:lang w:val="uk-UA"/>
              </w:rPr>
            </w:pPr>
          </w:p>
        </w:tc>
      </w:tr>
    </w:tbl>
    <w:p w14:paraId="685CBD24" w14:textId="77777777" w:rsidR="000073C1" w:rsidRDefault="000073C1" w:rsidP="00246FF7">
      <w:pPr>
        <w:pStyle w:val="a3"/>
        <w:spacing w:before="49" w:line="269" w:lineRule="auto"/>
        <w:ind w:left="567"/>
        <w:jc w:val="both"/>
        <w:rPr>
          <w:sz w:val="20"/>
          <w:szCs w:val="20"/>
          <w:lang w:val="uk-UA"/>
        </w:rPr>
      </w:pPr>
    </w:p>
    <w:p w14:paraId="32339BD8" w14:textId="6CD5FD21" w:rsidR="00E05B98" w:rsidRDefault="00830059" w:rsidP="00246FF7">
      <w:pPr>
        <w:pStyle w:val="a3"/>
        <w:spacing w:before="49" w:line="269" w:lineRule="auto"/>
        <w:ind w:left="567"/>
        <w:jc w:val="both"/>
        <w:rPr>
          <w:sz w:val="20"/>
          <w:szCs w:val="20"/>
          <w:lang w:val="uk-UA"/>
        </w:rPr>
      </w:pPr>
      <w:r w:rsidRPr="00830059">
        <w:rPr>
          <w:sz w:val="20"/>
          <w:szCs w:val="20"/>
          <w:lang w:val="uk-UA"/>
        </w:rPr>
        <w:lastRenderedPageBreak/>
        <w:t>Чутливість ШПТБ серед дітей та підлітків показан</w:t>
      </w:r>
      <w:r w:rsidR="00C338AE">
        <w:rPr>
          <w:sz w:val="20"/>
          <w:szCs w:val="20"/>
          <w:lang w:val="uk-UA"/>
        </w:rPr>
        <w:t>о</w:t>
      </w:r>
      <w:r w:rsidRPr="00830059">
        <w:rPr>
          <w:sz w:val="20"/>
          <w:szCs w:val="20"/>
          <w:lang w:val="uk-UA"/>
        </w:rPr>
        <w:t xml:space="preserve"> на </w:t>
      </w:r>
      <w:r w:rsidRPr="00C338AE">
        <w:rPr>
          <w:b/>
          <w:bCs/>
          <w:sz w:val="20"/>
          <w:szCs w:val="20"/>
          <w:lang w:val="uk-UA"/>
        </w:rPr>
        <w:t>рис. 3.1.1.4</w:t>
      </w:r>
      <w:r w:rsidRPr="00830059">
        <w:rPr>
          <w:sz w:val="20"/>
          <w:szCs w:val="20"/>
          <w:lang w:val="uk-UA"/>
        </w:rPr>
        <w:t xml:space="preserve">. Об'єднана чутливість у чотирьох дослідженнях для цього класу тестів становила 97,1% (95% ДІ: 81,9-99,6%). Кількість учасників, включених у цей аналіз, була невеликою - лише 34 учасники в чотирьох дослідженнях; тому, оцінки дослідження були знижені на два рівні за неточність. Таким чином, достовірність доказів була визнана низькою. Для цього аналізу були доступні лише дослідження Діаскінтесту. </w:t>
      </w:r>
      <w:r w:rsidR="00C338AE">
        <w:rPr>
          <w:sz w:val="20"/>
          <w:szCs w:val="20"/>
          <w:lang w:val="uk-UA"/>
        </w:rPr>
        <w:t>Аггербек</w:t>
      </w:r>
      <w:r w:rsidRPr="00830059">
        <w:rPr>
          <w:sz w:val="20"/>
          <w:szCs w:val="20"/>
          <w:lang w:val="uk-UA"/>
        </w:rPr>
        <w:t xml:space="preserve"> (7) оцінив чутливість тесту Cy-Tb у 12 дітей та підлітків з ТБ, з яких лише два були підтверджені бактеріологічно та не були включені в рисунок.</w:t>
      </w:r>
    </w:p>
    <w:p w14:paraId="50A24B96" w14:textId="77777777" w:rsidR="000073C1" w:rsidRDefault="000073C1" w:rsidP="00246FF7">
      <w:pPr>
        <w:pStyle w:val="a3"/>
        <w:spacing w:before="49" w:line="269" w:lineRule="auto"/>
        <w:ind w:left="567"/>
        <w:jc w:val="both"/>
        <w:rPr>
          <w:sz w:val="20"/>
          <w:szCs w:val="20"/>
          <w:lang w:val="uk-UA"/>
        </w:rPr>
      </w:pPr>
    </w:p>
    <w:p w14:paraId="00EE7CE6" w14:textId="5C0A0E18" w:rsidR="00E05B98" w:rsidRPr="00C338AE" w:rsidRDefault="00DF6F29" w:rsidP="00246FF7">
      <w:pPr>
        <w:pStyle w:val="4"/>
        <w:spacing w:before="195" w:line="269" w:lineRule="auto"/>
        <w:rPr>
          <w:sz w:val="26"/>
          <w:szCs w:val="26"/>
          <w:lang w:val="uk-UA"/>
        </w:rPr>
      </w:pPr>
      <w:r w:rsidRPr="00C338AE">
        <w:rPr>
          <w:color w:val="019648"/>
          <w:spacing w:val="-2"/>
          <w:sz w:val="26"/>
          <w:szCs w:val="26"/>
          <w:lang w:val="uk-UA"/>
        </w:rPr>
        <w:t>Специфічність</w:t>
      </w:r>
    </w:p>
    <w:p w14:paraId="583A2559" w14:textId="644E19CF" w:rsidR="00E05B98" w:rsidRDefault="006404C9" w:rsidP="00246FF7">
      <w:pPr>
        <w:pStyle w:val="a3"/>
        <w:spacing w:before="218" w:line="269" w:lineRule="auto"/>
        <w:ind w:left="567"/>
        <w:jc w:val="both"/>
        <w:rPr>
          <w:lang w:val="uk-UA"/>
        </w:rPr>
      </w:pPr>
      <w:r w:rsidRPr="006404C9">
        <w:rPr>
          <w:sz w:val="20"/>
          <w:szCs w:val="20"/>
          <w:lang w:val="uk-UA"/>
        </w:rPr>
        <w:t>Загалом 14 досліджень, в яких приймали участь 3792 особи, надали дані для оцінки специфічності ШПТБ (в тому числі різниці в специфічності порівняно з еталонним тестом); три з них включали 1104 д</w:t>
      </w:r>
      <w:r w:rsidR="00C338AE">
        <w:rPr>
          <w:sz w:val="20"/>
          <w:szCs w:val="20"/>
          <w:lang w:val="uk-UA"/>
        </w:rPr>
        <w:t>итини</w:t>
      </w:r>
      <w:r w:rsidRPr="006404C9">
        <w:rPr>
          <w:sz w:val="20"/>
          <w:szCs w:val="20"/>
          <w:lang w:val="uk-UA"/>
        </w:rPr>
        <w:t xml:space="preserve"> та підлітків, а три - 587 вакцинованих БЦЖ осіб. Специфічність вимірювали у здорових осіб з негативними результатами АВГІ. Різниця в специфічності використовувалася як альтернативний показник специфічності і розраховувалася як різниця у відсотковому співвідношенні негативних результатів між ШПТБ і </w:t>
      </w:r>
      <w:r w:rsidR="00D45FA2">
        <w:rPr>
          <w:sz w:val="20"/>
          <w:szCs w:val="20"/>
          <w:lang w:val="uk-UA"/>
        </w:rPr>
        <w:t>ТШП</w:t>
      </w:r>
      <w:r w:rsidRPr="006404C9">
        <w:rPr>
          <w:sz w:val="20"/>
          <w:szCs w:val="20"/>
          <w:lang w:val="uk-UA"/>
        </w:rPr>
        <w:t xml:space="preserve"> або АВГІ в</w:t>
      </w:r>
      <w:r w:rsidR="00D57A1F">
        <w:rPr>
          <w:sz w:val="20"/>
          <w:szCs w:val="20"/>
          <w:lang w:val="uk-UA"/>
        </w:rPr>
        <w:t xml:space="preserve"> групах</w:t>
      </w:r>
      <w:r w:rsidRPr="006404C9">
        <w:rPr>
          <w:sz w:val="20"/>
          <w:szCs w:val="20"/>
          <w:lang w:val="uk-UA"/>
        </w:rPr>
        <w:t xml:space="preserve"> здоров</w:t>
      </w:r>
      <w:r w:rsidR="00D57A1F">
        <w:rPr>
          <w:sz w:val="20"/>
          <w:szCs w:val="20"/>
          <w:lang w:val="uk-UA"/>
        </w:rPr>
        <w:t xml:space="preserve">ого </w:t>
      </w:r>
      <w:r w:rsidRPr="006404C9">
        <w:rPr>
          <w:sz w:val="20"/>
          <w:szCs w:val="20"/>
          <w:lang w:val="uk-UA"/>
        </w:rPr>
        <w:t>населення</w:t>
      </w:r>
      <w:r w:rsidRPr="006404C9">
        <w:rPr>
          <w:lang w:val="uk-UA"/>
        </w:rPr>
        <w:t>.</w:t>
      </w:r>
    </w:p>
    <w:p w14:paraId="4CF6413F" w14:textId="77777777" w:rsidR="000073C1" w:rsidRPr="000073C1" w:rsidRDefault="000073C1" w:rsidP="00246FF7">
      <w:pPr>
        <w:pStyle w:val="a3"/>
        <w:spacing w:before="218" w:line="269" w:lineRule="auto"/>
        <w:ind w:left="567"/>
        <w:jc w:val="both"/>
        <w:rPr>
          <w:sz w:val="10"/>
          <w:szCs w:val="10"/>
          <w:lang w:val="uk-UA"/>
        </w:rPr>
      </w:pPr>
    </w:p>
    <w:p w14:paraId="49B79E1A" w14:textId="3736AF8A" w:rsidR="00E05B98" w:rsidRPr="006404C9" w:rsidRDefault="00DF6F29">
      <w:pPr>
        <w:pStyle w:val="6"/>
        <w:spacing w:before="247"/>
        <w:rPr>
          <w:sz w:val="22"/>
          <w:szCs w:val="22"/>
          <w:lang w:val="uk-UA"/>
        </w:rPr>
      </w:pPr>
      <w:r w:rsidRPr="006404C9">
        <w:rPr>
          <w:color w:val="636466"/>
          <w:sz w:val="22"/>
          <w:szCs w:val="22"/>
          <w:lang w:val="uk-UA"/>
        </w:rPr>
        <w:t>Рис</w:t>
      </w:r>
      <w:r w:rsidR="00B01E0C" w:rsidRPr="006404C9">
        <w:rPr>
          <w:color w:val="636466"/>
          <w:sz w:val="22"/>
          <w:szCs w:val="22"/>
          <w:lang w:val="uk-UA"/>
        </w:rPr>
        <w:t>.</w:t>
      </w:r>
      <w:r w:rsidR="00B01E0C" w:rsidRPr="006404C9">
        <w:rPr>
          <w:color w:val="636466"/>
          <w:spacing w:val="-4"/>
          <w:sz w:val="22"/>
          <w:szCs w:val="22"/>
          <w:lang w:val="uk-UA"/>
        </w:rPr>
        <w:t xml:space="preserve"> </w:t>
      </w:r>
      <w:r w:rsidR="00B01E0C" w:rsidRPr="006404C9">
        <w:rPr>
          <w:color w:val="636466"/>
          <w:sz w:val="22"/>
          <w:szCs w:val="22"/>
          <w:lang w:val="uk-UA"/>
        </w:rPr>
        <w:t>3.1.1.5</w:t>
      </w:r>
      <w:r w:rsidR="00B01E0C" w:rsidRPr="006404C9">
        <w:rPr>
          <w:color w:val="636466"/>
          <w:spacing w:val="-3"/>
          <w:sz w:val="22"/>
          <w:szCs w:val="22"/>
          <w:lang w:val="uk-UA"/>
        </w:rPr>
        <w:t xml:space="preserve"> </w:t>
      </w:r>
      <w:r w:rsidR="006404C9">
        <w:rPr>
          <w:color w:val="636466"/>
          <w:spacing w:val="-3"/>
          <w:sz w:val="22"/>
          <w:szCs w:val="22"/>
          <w:lang w:val="uk-UA"/>
        </w:rPr>
        <w:t xml:space="preserve">  </w:t>
      </w:r>
      <w:r w:rsidR="006404C9" w:rsidRPr="006404C9">
        <w:rPr>
          <w:color w:val="636466"/>
          <w:sz w:val="22"/>
          <w:szCs w:val="22"/>
          <w:lang w:val="uk-UA"/>
        </w:rPr>
        <w:t xml:space="preserve">Специфічність у здорових осіб з негативними результатами </w:t>
      </w:r>
      <w:r w:rsidR="006404C9">
        <w:rPr>
          <w:color w:val="636466"/>
          <w:sz w:val="22"/>
          <w:szCs w:val="22"/>
          <w:lang w:val="uk-UA"/>
        </w:rPr>
        <w:t>АВГІ</w:t>
      </w:r>
    </w:p>
    <w:p w14:paraId="2439176D" w14:textId="288870A6" w:rsidR="00E05B98" w:rsidRDefault="006404C9">
      <w:pPr>
        <w:pStyle w:val="a3"/>
        <w:spacing w:before="5"/>
        <w:rPr>
          <w:rFonts w:ascii="Arial"/>
          <w:b/>
          <w:noProof/>
          <w:sz w:val="15"/>
          <w:lang w:val="uk-UA"/>
        </w:rPr>
      </w:pPr>
      <w:r>
        <w:rPr>
          <w:rFonts w:ascii="Arial"/>
          <w:b/>
          <w:noProof/>
          <w:sz w:val="14"/>
          <w:lang w:val="uk-UA"/>
        </w:rPr>
        <mc:AlternateContent>
          <mc:Choice Requires="wps">
            <w:drawing>
              <wp:anchor distT="0" distB="0" distL="114300" distR="114300" simplePos="0" relativeHeight="488177152" behindDoc="0" locked="0" layoutInCell="1" allowOverlap="1" wp14:anchorId="56D14975" wp14:editId="6342AB9E">
                <wp:simplePos x="0" y="0"/>
                <wp:positionH relativeFrom="column">
                  <wp:posOffset>105927</wp:posOffset>
                </wp:positionH>
                <wp:positionV relativeFrom="paragraph">
                  <wp:posOffset>111928</wp:posOffset>
                </wp:positionV>
                <wp:extent cx="6049969" cy="277091"/>
                <wp:effectExtent l="0" t="0" r="8255" b="8890"/>
                <wp:wrapNone/>
                <wp:docPr id="1766192236" name="Поле 1923"/>
                <wp:cNvGraphicFramePr/>
                <a:graphic xmlns:a="http://schemas.openxmlformats.org/drawingml/2006/main">
                  <a:graphicData uri="http://schemas.microsoft.com/office/word/2010/wordprocessingShape">
                    <wps:wsp>
                      <wps:cNvSpPr txBox="1"/>
                      <wps:spPr>
                        <a:xfrm>
                          <a:off x="0" y="0"/>
                          <a:ext cx="6049969" cy="277091"/>
                        </a:xfrm>
                        <a:prstGeom prst="rect">
                          <a:avLst/>
                        </a:prstGeom>
                        <a:solidFill>
                          <a:schemeClr val="bg1"/>
                        </a:solidFill>
                        <a:ln w="6350">
                          <a:noFill/>
                        </a:ln>
                      </wps:spPr>
                      <wps:txbx>
                        <w:txbxContent>
                          <w:tbl>
                            <w:tblPr>
                              <w:tblStyle w:val="ac"/>
                              <w:tblW w:w="10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1245"/>
                              <w:gridCol w:w="1487"/>
                              <w:gridCol w:w="238"/>
                              <w:gridCol w:w="3237"/>
                              <w:gridCol w:w="2202"/>
                            </w:tblGrid>
                            <w:tr w:rsidR="007372B2" w:rsidRPr="00794491" w14:paraId="42111DA1" w14:textId="77777777" w:rsidTr="00D57A1F">
                              <w:tc>
                                <w:tcPr>
                                  <w:tcW w:w="2157" w:type="dxa"/>
                                </w:tcPr>
                                <w:p w14:paraId="241D6C2D" w14:textId="47DCBC3F" w:rsidR="007372B2" w:rsidRPr="00D57A1F" w:rsidRDefault="007372B2" w:rsidP="003D28E5">
                                  <w:pPr>
                                    <w:rPr>
                                      <w:rFonts w:ascii="Arial" w:hAnsi="Arial" w:cs="Arial"/>
                                      <w:b/>
                                      <w:bCs/>
                                      <w:sz w:val="16"/>
                                      <w:szCs w:val="16"/>
                                      <w:lang w:val="uk-UA"/>
                                    </w:rPr>
                                  </w:pPr>
                                  <w:r w:rsidRPr="00D57A1F">
                                    <w:rPr>
                                      <w:rFonts w:ascii="Arial" w:hAnsi="Arial" w:cs="Arial"/>
                                      <w:b/>
                                      <w:bCs/>
                                      <w:sz w:val="16"/>
                                      <w:szCs w:val="16"/>
                                      <w:lang w:val="uk-UA"/>
                                    </w:rPr>
                                    <w:t xml:space="preserve">  Дослідження</w:t>
                                  </w:r>
                                </w:p>
                              </w:tc>
                              <w:tc>
                                <w:tcPr>
                                  <w:tcW w:w="1245" w:type="dxa"/>
                                </w:tcPr>
                                <w:p w14:paraId="17CBBE89" w14:textId="68D74FDF" w:rsidR="007372B2" w:rsidRPr="00D57A1F" w:rsidRDefault="007372B2" w:rsidP="003D28E5">
                                  <w:pPr>
                                    <w:jc w:val="center"/>
                                    <w:rPr>
                                      <w:rFonts w:ascii="Arial" w:hAnsi="Arial" w:cs="Arial"/>
                                      <w:b/>
                                      <w:bCs/>
                                      <w:sz w:val="16"/>
                                      <w:szCs w:val="16"/>
                                    </w:rPr>
                                  </w:pPr>
                                  <w:r w:rsidRPr="00D57A1F">
                                    <w:rPr>
                                      <w:rFonts w:ascii="Arial" w:hAnsi="Arial" w:cs="Arial"/>
                                      <w:b/>
                                      <w:bCs/>
                                      <w:sz w:val="16"/>
                                      <w:szCs w:val="16"/>
                                      <w:lang w:val="uk-UA"/>
                                    </w:rPr>
                                    <w:t xml:space="preserve">    </w:t>
                                  </w:r>
                                  <w:r>
                                    <w:rPr>
                                      <w:rFonts w:ascii="Arial" w:hAnsi="Arial" w:cs="Arial"/>
                                      <w:b/>
                                      <w:bCs/>
                                      <w:sz w:val="16"/>
                                      <w:szCs w:val="16"/>
                                      <w:lang w:val="uk-UA"/>
                                    </w:rPr>
                                    <w:t xml:space="preserve">   </w:t>
                                  </w:r>
                                  <w:r w:rsidRPr="00D57A1F">
                                    <w:rPr>
                                      <w:rFonts w:ascii="Arial" w:hAnsi="Arial" w:cs="Arial"/>
                                      <w:b/>
                                      <w:bCs/>
                                      <w:sz w:val="16"/>
                                      <w:szCs w:val="16"/>
                                    </w:rPr>
                                    <w:t>TP</w:t>
                                  </w:r>
                                </w:p>
                              </w:tc>
                              <w:tc>
                                <w:tcPr>
                                  <w:tcW w:w="1487" w:type="dxa"/>
                                </w:tcPr>
                                <w:p w14:paraId="7E594C7B" w14:textId="3976D6B8" w:rsidR="007372B2" w:rsidRPr="00D57A1F" w:rsidRDefault="007372B2" w:rsidP="003D28E5">
                                  <w:pPr>
                                    <w:jc w:val="center"/>
                                    <w:rPr>
                                      <w:rFonts w:ascii="Arial" w:hAnsi="Arial" w:cs="Arial"/>
                                      <w:b/>
                                      <w:bCs/>
                                      <w:sz w:val="16"/>
                                      <w:szCs w:val="16"/>
                                    </w:rPr>
                                  </w:pPr>
                                  <w:r w:rsidRPr="00D57A1F">
                                    <w:rPr>
                                      <w:rFonts w:ascii="Arial" w:hAnsi="Arial" w:cs="Arial"/>
                                      <w:b/>
                                      <w:bCs/>
                                      <w:sz w:val="16"/>
                                      <w:szCs w:val="16"/>
                                      <w:lang w:val="uk-UA"/>
                                    </w:rPr>
                                    <w:t xml:space="preserve">   </w:t>
                                  </w:r>
                                  <w:r>
                                    <w:rPr>
                                      <w:rFonts w:ascii="Arial" w:hAnsi="Arial" w:cs="Arial"/>
                                      <w:b/>
                                      <w:bCs/>
                                      <w:sz w:val="16"/>
                                      <w:szCs w:val="16"/>
                                      <w:lang w:val="uk-UA"/>
                                    </w:rPr>
                                    <w:t xml:space="preserve">    </w:t>
                                  </w:r>
                                  <w:r w:rsidRPr="00D57A1F">
                                    <w:rPr>
                                      <w:rFonts w:ascii="Arial" w:hAnsi="Arial" w:cs="Arial"/>
                                      <w:b/>
                                      <w:bCs/>
                                      <w:sz w:val="16"/>
                                      <w:szCs w:val="16"/>
                                    </w:rPr>
                                    <w:t>TP+FN</w:t>
                                  </w:r>
                                </w:p>
                              </w:tc>
                              <w:tc>
                                <w:tcPr>
                                  <w:tcW w:w="238" w:type="dxa"/>
                                </w:tcPr>
                                <w:p w14:paraId="42D80C29" w14:textId="77777777" w:rsidR="007372B2" w:rsidRPr="00D57A1F" w:rsidRDefault="007372B2" w:rsidP="003D28E5">
                                  <w:pPr>
                                    <w:rPr>
                                      <w:rFonts w:ascii="Arial" w:hAnsi="Arial" w:cs="Arial"/>
                                      <w:b/>
                                      <w:bCs/>
                                      <w:sz w:val="16"/>
                                      <w:szCs w:val="16"/>
                                      <w:lang w:val="uk-UA"/>
                                    </w:rPr>
                                  </w:pPr>
                                </w:p>
                              </w:tc>
                              <w:tc>
                                <w:tcPr>
                                  <w:tcW w:w="3237" w:type="dxa"/>
                                </w:tcPr>
                                <w:p w14:paraId="755755EF" w14:textId="45EDD9F2" w:rsidR="007372B2" w:rsidRPr="00D57A1F" w:rsidRDefault="007372B2" w:rsidP="003D28E5">
                                  <w:pPr>
                                    <w:rPr>
                                      <w:rFonts w:ascii="Arial" w:hAnsi="Arial" w:cs="Arial"/>
                                      <w:b/>
                                      <w:bCs/>
                                      <w:sz w:val="16"/>
                                      <w:szCs w:val="16"/>
                                      <w:lang w:val="uk-UA"/>
                                    </w:rPr>
                                  </w:pPr>
                                  <w:r>
                                    <w:rPr>
                                      <w:rFonts w:ascii="Arial" w:hAnsi="Arial" w:cs="Arial"/>
                                      <w:b/>
                                      <w:bCs/>
                                      <w:sz w:val="16"/>
                                      <w:szCs w:val="16"/>
                                      <w:lang w:val="uk-UA"/>
                                    </w:rPr>
                                    <w:t xml:space="preserve">                                       </w:t>
                                  </w:r>
                                  <w:r w:rsidRPr="00D57A1F">
                                    <w:rPr>
                                      <w:rFonts w:ascii="Arial" w:hAnsi="Arial" w:cs="Arial"/>
                                      <w:b/>
                                      <w:bCs/>
                                      <w:sz w:val="16"/>
                                      <w:szCs w:val="16"/>
                                      <w:lang w:val="uk-UA"/>
                                    </w:rPr>
                                    <w:t>Чутливість (%)</w:t>
                                  </w:r>
                                </w:p>
                              </w:tc>
                              <w:tc>
                                <w:tcPr>
                                  <w:tcW w:w="2202" w:type="dxa"/>
                                </w:tcPr>
                                <w:p w14:paraId="3288B83F" w14:textId="5A232BF1" w:rsidR="007372B2" w:rsidRPr="00D57A1F" w:rsidRDefault="007372B2" w:rsidP="003D28E5">
                                  <w:pPr>
                                    <w:rPr>
                                      <w:rFonts w:ascii="Arial" w:hAnsi="Arial" w:cs="Arial"/>
                                      <w:b/>
                                      <w:bCs/>
                                      <w:sz w:val="16"/>
                                      <w:szCs w:val="16"/>
                                      <w:lang w:val="uk-UA"/>
                                    </w:rPr>
                                  </w:pPr>
                                  <w:r w:rsidRPr="00D57A1F">
                                    <w:rPr>
                                      <w:rFonts w:ascii="Arial" w:hAnsi="Arial" w:cs="Arial"/>
                                      <w:b/>
                                      <w:bCs/>
                                      <w:sz w:val="16"/>
                                      <w:szCs w:val="16"/>
                                      <w:lang w:val="uk-UA"/>
                                    </w:rPr>
                                    <w:t xml:space="preserve"> </w:t>
                                  </w:r>
                                  <w:r>
                                    <w:rPr>
                                      <w:rFonts w:ascii="Arial" w:hAnsi="Arial" w:cs="Arial"/>
                                      <w:b/>
                                      <w:bCs/>
                                      <w:sz w:val="16"/>
                                      <w:szCs w:val="16"/>
                                      <w:lang w:val="uk-UA"/>
                                    </w:rPr>
                                    <w:t xml:space="preserve">   </w:t>
                                  </w:r>
                                  <w:r w:rsidRPr="00D57A1F">
                                    <w:rPr>
                                      <w:rFonts w:ascii="Arial" w:hAnsi="Arial" w:cs="Arial"/>
                                      <w:b/>
                                      <w:bCs/>
                                      <w:sz w:val="16"/>
                                      <w:szCs w:val="16"/>
                                      <w:lang w:val="uk-UA"/>
                                    </w:rPr>
                                    <w:t>95%  ДІ</w:t>
                                  </w:r>
                                </w:p>
                              </w:tc>
                            </w:tr>
                          </w:tbl>
                          <w:p w14:paraId="25AA940A" w14:textId="77777777" w:rsidR="007372B2" w:rsidRDefault="007372B2" w:rsidP="006404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14975" id="_x0000_s1193" type="#_x0000_t202" style="position:absolute;margin-left:8.35pt;margin-top:8.8pt;width:476.4pt;height:21.8pt;z-index:4881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" fillcolor="white [3212]" stroked="f" strokeweight=".5pt">
                <v:textbox>
                  <w:txbxContent>
                    <w:tbl>
                      <w:tblPr>
                        <w:tblStyle w:val="ac"/>
                        <w:tblW w:w="10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1245"/>
                        <w:gridCol w:w="1487"/>
                        <w:gridCol w:w="238"/>
                        <w:gridCol w:w="3237"/>
                        <w:gridCol w:w="2202"/>
                      </w:tblGrid>
                      <w:tr w:rsidR="007372B2" w:rsidRPr="00794491" w14:paraId="42111DA1" w14:textId="77777777" w:rsidTr="00D57A1F">
                        <w:tc>
                          <w:tcPr>
                            <w:tcW w:w="2157" w:type="dxa"/>
                          </w:tcPr>
                          <w:p w14:paraId="241D6C2D" w14:textId="47DCBC3F" w:rsidR="007372B2" w:rsidRPr="00D57A1F" w:rsidRDefault="007372B2" w:rsidP="003D28E5">
                            <w:pPr>
                              <w:rPr>
                                <w:rFonts w:ascii="Arial" w:hAnsi="Arial" w:cs="Arial"/>
                                <w:b/>
                                <w:bCs/>
                                <w:sz w:val="16"/>
                                <w:szCs w:val="16"/>
                                <w:lang w:val="uk-UA"/>
                              </w:rPr>
                            </w:pPr>
                            <w:r w:rsidRPr="00D57A1F">
                              <w:rPr>
                                <w:rFonts w:ascii="Arial" w:hAnsi="Arial" w:cs="Arial"/>
                                <w:b/>
                                <w:bCs/>
                                <w:sz w:val="16"/>
                                <w:szCs w:val="16"/>
                                <w:lang w:val="uk-UA"/>
                              </w:rPr>
                              <w:t xml:space="preserve">  Дослідження</w:t>
                            </w:r>
                          </w:p>
                        </w:tc>
                        <w:tc>
                          <w:tcPr>
                            <w:tcW w:w="1245" w:type="dxa"/>
                          </w:tcPr>
                          <w:p w14:paraId="17CBBE89" w14:textId="68D74FDF" w:rsidR="007372B2" w:rsidRPr="00D57A1F" w:rsidRDefault="007372B2" w:rsidP="003D28E5">
                            <w:pPr>
                              <w:jc w:val="center"/>
                              <w:rPr>
                                <w:rFonts w:ascii="Arial" w:hAnsi="Arial" w:cs="Arial"/>
                                <w:b/>
                                <w:bCs/>
                                <w:sz w:val="16"/>
                                <w:szCs w:val="16"/>
                              </w:rPr>
                            </w:pPr>
                            <w:r w:rsidRPr="00D57A1F">
                              <w:rPr>
                                <w:rFonts w:ascii="Arial" w:hAnsi="Arial" w:cs="Arial"/>
                                <w:b/>
                                <w:bCs/>
                                <w:sz w:val="16"/>
                                <w:szCs w:val="16"/>
                                <w:lang w:val="uk-UA"/>
                              </w:rPr>
                              <w:t xml:space="preserve">    </w:t>
                            </w:r>
                            <w:r>
                              <w:rPr>
                                <w:rFonts w:ascii="Arial" w:hAnsi="Arial" w:cs="Arial"/>
                                <w:b/>
                                <w:bCs/>
                                <w:sz w:val="16"/>
                                <w:szCs w:val="16"/>
                                <w:lang w:val="uk-UA"/>
                              </w:rPr>
                              <w:t xml:space="preserve">   </w:t>
                            </w:r>
                            <w:r w:rsidRPr="00D57A1F">
                              <w:rPr>
                                <w:rFonts w:ascii="Arial" w:hAnsi="Arial" w:cs="Arial"/>
                                <w:b/>
                                <w:bCs/>
                                <w:sz w:val="16"/>
                                <w:szCs w:val="16"/>
                              </w:rPr>
                              <w:t>TP</w:t>
                            </w:r>
                          </w:p>
                        </w:tc>
                        <w:tc>
                          <w:tcPr>
                            <w:tcW w:w="1487" w:type="dxa"/>
                          </w:tcPr>
                          <w:p w14:paraId="7E594C7B" w14:textId="3976D6B8" w:rsidR="007372B2" w:rsidRPr="00D57A1F" w:rsidRDefault="007372B2" w:rsidP="003D28E5">
                            <w:pPr>
                              <w:jc w:val="center"/>
                              <w:rPr>
                                <w:rFonts w:ascii="Arial" w:hAnsi="Arial" w:cs="Arial"/>
                                <w:b/>
                                <w:bCs/>
                                <w:sz w:val="16"/>
                                <w:szCs w:val="16"/>
                              </w:rPr>
                            </w:pPr>
                            <w:r w:rsidRPr="00D57A1F">
                              <w:rPr>
                                <w:rFonts w:ascii="Arial" w:hAnsi="Arial" w:cs="Arial"/>
                                <w:b/>
                                <w:bCs/>
                                <w:sz w:val="16"/>
                                <w:szCs w:val="16"/>
                                <w:lang w:val="uk-UA"/>
                              </w:rPr>
                              <w:t xml:space="preserve">   </w:t>
                            </w:r>
                            <w:r>
                              <w:rPr>
                                <w:rFonts w:ascii="Arial" w:hAnsi="Arial" w:cs="Arial"/>
                                <w:b/>
                                <w:bCs/>
                                <w:sz w:val="16"/>
                                <w:szCs w:val="16"/>
                                <w:lang w:val="uk-UA"/>
                              </w:rPr>
                              <w:t xml:space="preserve">    </w:t>
                            </w:r>
                            <w:r w:rsidRPr="00D57A1F">
                              <w:rPr>
                                <w:rFonts w:ascii="Arial" w:hAnsi="Arial" w:cs="Arial"/>
                                <w:b/>
                                <w:bCs/>
                                <w:sz w:val="16"/>
                                <w:szCs w:val="16"/>
                              </w:rPr>
                              <w:t>TP+FN</w:t>
                            </w:r>
                          </w:p>
                        </w:tc>
                        <w:tc>
                          <w:tcPr>
                            <w:tcW w:w="238" w:type="dxa"/>
                          </w:tcPr>
                          <w:p w14:paraId="42D80C29" w14:textId="77777777" w:rsidR="007372B2" w:rsidRPr="00D57A1F" w:rsidRDefault="007372B2" w:rsidP="003D28E5">
                            <w:pPr>
                              <w:rPr>
                                <w:rFonts w:ascii="Arial" w:hAnsi="Arial" w:cs="Arial"/>
                                <w:b/>
                                <w:bCs/>
                                <w:sz w:val="16"/>
                                <w:szCs w:val="16"/>
                                <w:lang w:val="uk-UA"/>
                              </w:rPr>
                            </w:pPr>
                          </w:p>
                        </w:tc>
                        <w:tc>
                          <w:tcPr>
                            <w:tcW w:w="3237" w:type="dxa"/>
                          </w:tcPr>
                          <w:p w14:paraId="755755EF" w14:textId="45EDD9F2" w:rsidR="007372B2" w:rsidRPr="00D57A1F" w:rsidRDefault="007372B2" w:rsidP="003D28E5">
                            <w:pPr>
                              <w:rPr>
                                <w:rFonts w:ascii="Arial" w:hAnsi="Arial" w:cs="Arial"/>
                                <w:b/>
                                <w:bCs/>
                                <w:sz w:val="16"/>
                                <w:szCs w:val="16"/>
                                <w:lang w:val="uk-UA"/>
                              </w:rPr>
                            </w:pPr>
                            <w:r>
                              <w:rPr>
                                <w:rFonts w:ascii="Arial" w:hAnsi="Arial" w:cs="Arial"/>
                                <w:b/>
                                <w:bCs/>
                                <w:sz w:val="16"/>
                                <w:szCs w:val="16"/>
                                <w:lang w:val="uk-UA"/>
                              </w:rPr>
                              <w:t xml:space="preserve">                                       </w:t>
                            </w:r>
                            <w:r w:rsidRPr="00D57A1F">
                              <w:rPr>
                                <w:rFonts w:ascii="Arial" w:hAnsi="Arial" w:cs="Arial"/>
                                <w:b/>
                                <w:bCs/>
                                <w:sz w:val="16"/>
                                <w:szCs w:val="16"/>
                                <w:lang w:val="uk-UA"/>
                              </w:rPr>
                              <w:t>Чутливість (%)</w:t>
                            </w:r>
                          </w:p>
                        </w:tc>
                        <w:tc>
                          <w:tcPr>
                            <w:tcW w:w="2202" w:type="dxa"/>
                          </w:tcPr>
                          <w:p w14:paraId="3288B83F" w14:textId="5A232BF1" w:rsidR="007372B2" w:rsidRPr="00D57A1F" w:rsidRDefault="007372B2" w:rsidP="003D28E5">
                            <w:pPr>
                              <w:rPr>
                                <w:rFonts w:ascii="Arial" w:hAnsi="Arial" w:cs="Arial"/>
                                <w:b/>
                                <w:bCs/>
                                <w:sz w:val="16"/>
                                <w:szCs w:val="16"/>
                                <w:lang w:val="uk-UA"/>
                              </w:rPr>
                            </w:pPr>
                            <w:r w:rsidRPr="00D57A1F">
                              <w:rPr>
                                <w:rFonts w:ascii="Arial" w:hAnsi="Arial" w:cs="Arial"/>
                                <w:b/>
                                <w:bCs/>
                                <w:sz w:val="16"/>
                                <w:szCs w:val="16"/>
                                <w:lang w:val="uk-UA"/>
                              </w:rPr>
                              <w:t xml:space="preserve"> </w:t>
                            </w:r>
                            <w:r>
                              <w:rPr>
                                <w:rFonts w:ascii="Arial" w:hAnsi="Arial" w:cs="Arial"/>
                                <w:b/>
                                <w:bCs/>
                                <w:sz w:val="16"/>
                                <w:szCs w:val="16"/>
                                <w:lang w:val="uk-UA"/>
                              </w:rPr>
                              <w:t xml:space="preserve">   </w:t>
                            </w:r>
                            <w:r w:rsidRPr="00D57A1F">
                              <w:rPr>
                                <w:rFonts w:ascii="Arial" w:hAnsi="Arial" w:cs="Arial"/>
                                <w:b/>
                                <w:bCs/>
                                <w:sz w:val="16"/>
                                <w:szCs w:val="16"/>
                                <w:lang w:val="uk-UA"/>
                              </w:rPr>
                              <w:t>95%  ДІ</w:t>
                            </w:r>
                          </w:p>
                        </w:tc>
                      </w:tr>
                    </w:tbl>
                    <w:p w14:paraId="25AA940A" w14:textId="77777777" w:rsidR="007372B2" w:rsidRDefault="007372B2" w:rsidP="006404C9"/>
                  </w:txbxContent>
                </v:textbox>
              </v:shape>
            </w:pict>
          </mc:Fallback>
        </mc:AlternateContent>
      </w:r>
    </w:p>
    <w:p w14:paraId="3676421C" w14:textId="3237FA41" w:rsidR="006404C9" w:rsidRDefault="006404C9">
      <w:pPr>
        <w:pStyle w:val="a3"/>
        <w:spacing w:before="5"/>
        <w:rPr>
          <w:rFonts w:ascii="Arial"/>
          <w:b/>
          <w:noProof/>
          <w:sz w:val="15"/>
          <w:lang w:val="uk-UA"/>
        </w:rPr>
      </w:pPr>
    </w:p>
    <w:p w14:paraId="0EB7CD47" w14:textId="084F146A" w:rsidR="006404C9" w:rsidRDefault="006404C9">
      <w:pPr>
        <w:pStyle w:val="a3"/>
        <w:spacing w:before="5"/>
        <w:rPr>
          <w:rFonts w:ascii="Arial"/>
          <w:b/>
          <w:noProof/>
          <w:sz w:val="15"/>
          <w:lang w:val="uk-UA"/>
        </w:rPr>
      </w:pPr>
      <w:r>
        <w:rPr>
          <w:rFonts w:ascii="Arial"/>
          <w:b/>
          <w:noProof/>
          <w:sz w:val="15"/>
          <w:lang w:val="uk-UA"/>
        </w:rPr>
        <mc:AlternateContent>
          <mc:Choice Requires="wps">
            <w:drawing>
              <wp:anchor distT="0" distB="0" distL="114300" distR="114300" simplePos="0" relativeHeight="488175104" behindDoc="0" locked="0" layoutInCell="1" allowOverlap="1" wp14:anchorId="3F9A6635" wp14:editId="646364ED">
                <wp:simplePos x="0" y="0"/>
                <wp:positionH relativeFrom="column">
                  <wp:posOffset>229177</wp:posOffset>
                </wp:positionH>
                <wp:positionV relativeFrom="paragraph">
                  <wp:posOffset>107661</wp:posOffset>
                </wp:positionV>
                <wp:extent cx="6172200" cy="1759528"/>
                <wp:effectExtent l="0" t="0" r="0" b="0"/>
                <wp:wrapNone/>
                <wp:docPr id="747273176" name="Поле 1920"/>
                <wp:cNvGraphicFramePr/>
                <a:graphic xmlns:a="http://schemas.openxmlformats.org/drawingml/2006/main">
                  <a:graphicData uri="http://schemas.microsoft.com/office/word/2010/wordprocessingShape">
                    <wps:wsp>
                      <wps:cNvSpPr txBox="1"/>
                      <wps:spPr>
                        <a:xfrm>
                          <a:off x="0" y="0"/>
                          <a:ext cx="6172200" cy="1759528"/>
                        </a:xfrm>
                        <a:prstGeom prst="rect">
                          <a:avLst/>
                        </a:prstGeom>
                        <a:solidFill>
                          <a:schemeClr val="bg1"/>
                        </a:solidFill>
                        <a:ln w="6350">
                          <a:noFill/>
                        </a:ln>
                      </wps:spPr>
                      <wps:txbx>
                        <w:txbxContent>
                          <w:p w14:paraId="4840753F" w14:textId="7EA6C095" w:rsidR="007372B2" w:rsidRDefault="007372B2">
                            <w:r>
                              <w:rPr>
                                <w:noProof/>
                              </w:rPr>
                              <w:drawing>
                                <wp:inline distT="0" distB="0" distL="0" distR="0" wp14:anchorId="5E371F1F" wp14:editId="74FBC674">
                                  <wp:extent cx="5791200" cy="1703705"/>
                                  <wp:effectExtent l="0" t="0" r="0" b="0"/>
                                  <wp:docPr id="12608459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53207" name=""/>
                                          <pic:cNvPicPr/>
                                        </pic:nvPicPr>
                                        <pic:blipFill>
                                          <a:blip r:embed="rId206"/>
                                          <a:stretch>
                                            <a:fillRect/>
                                          </a:stretch>
                                        </pic:blipFill>
                                        <pic:spPr>
                                          <a:xfrm>
                                            <a:off x="0" y="0"/>
                                            <a:ext cx="5812244" cy="1709896"/>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A6635" id="Поле 1920" o:spid="_x0000_s1194" type="#_x0000_t202" style="position:absolute;margin-left:18.05pt;margin-top:8.5pt;width:486pt;height:138.55pt;z-index:4881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" fillcolor="white [3212]" stroked="f" strokeweight=".5pt">
                <v:textbox>
                  <w:txbxContent>
                    <w:p w14:paraId="4840753F" w14:textId="7EA6C095" w:rsidR="007372B2" w:rsidRDefault="007372B2">
                      <w:r>
                        <w:rPr>
                          <w:noProof/>
                        </w:rPr>
                        <w:drawing>
                          <wp:inline distT="0" distB="0" distL="0" distR="0" wp14:anchorId="5E371F1F" wp14:editId="74FBC674">
                            <wp:extent cx="5791200" cy="1703705"/>
                            <wp:effectExtent l="0" t="0" r="0" b="0"/>
                            <wp:docPr id="12608459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53207" name=""/>
                                    <pic:cNvPicPr/>
                                  </pic:nvPicPr>
                                  <pic:blipFill>
                                    <a:blip r:embed="rId206"/>
                                    <a:stretch>
                                      <a:fillRect/>
                                    </a:stretch>
                                  </pic:blipFill>
                                  <pic:spPr>
                                    <a:xfrm>
                                      <a:off x="0" y="0"/>
                                      <a:ext cx="5812244" cy="1709896"/>
                                    </a:xfrm>
                                    <a:prstGeom prst="rect">
                                      <a:avLst/>
                                    </a:prstGeom>
                                    <a:ln>
                                      <a:noFill/>
                                    </a:ln>
                                  </pic:spPr>
                                </pic:pic>
                              </a:graphicData>
                            </a:graphic>
                          </wp:inline>
                        </w:drawing>
                      </w:r>
                    </w:p>
                  </w:txbxContent>
                </v:textbox>
              </v:shape>
            </w:pict>
          </mc:Fallback>
        </mc:AlternateContent>
      </w:r>
    </w:p>
    <w:p w14:paraId="1CF99AAE" w14:textId="77777777" w:rsidR="006404C9" w:rsidRDefault="006404C9">
      <w:pPr>
        <w:pStyle w:val="a3"/>
        <w:spacing w:before="5"/>
        <w:rPr>
          <w:rFonts w:ascii="Arial"/>
          <w:b/>
          <w:noProof/>
          <w:sz w:val="15"/>
          <w:lang w:val="uk-UA"/>
        </w:rPr>
      </w:pPr>
    </w:p>
    <w:p w14:paraId="29BF81E8" w14:textId="77777777" w:rsidR="006404C9" w:rsidRDefault="006404C9">
      <w:pPr>
        <w:pStyle w:val="a3"/>
        <w:spacing w:before="5"/>
        <w:rPr>
          <w:rFonts w:ascii="Arial"/>
          <w:b/>
          <w:noProof/>
          <w:sz w:val="15"/>
          <w:lang w:val="uk-UA"/>
        </w:rPr>
      </w:pPr>
    </w:p>
    <w:p w14:paraId="75798549" w14:textId="77777777" w:rsidR="006404C9" w:rsidRDefault="006404C9">
      <w:pPr>
        <w:pStyle w:val="a3"/>
        <w:spacing w:before="5"/>
        <w:rPr>
          <w:rFonts w:ascii="Arial"/>
          <w:b/>
          <w:noProof/>
          <w:sz w:val="15"/>
          <w:lang w:val="uk-UA"/>
        </w:rPr>
      </w:pPr>
    </w:p>
    <w:p w14:paraId="2BED6C5F" w14:textId="77777777" w:rsidR="006404C9" w:rsidRDefault="006404C9">
      <w:pPr>
        <w:pStyle w:val="a3"/>
        <w:spacing w:before="5"/>
        <w:rPr>
          <w:rFonts w:ascii="Arial"/>
          <w:b/>
          <w:noProof/>
          <w:sz w:val="15"/>
          <w:lang w:val="uk-UA"/>
        </w:rPr>
      </w:pPr>
    </w:p>
    <w:p w14:paraId="50B1D704" w14:textId="77777777" w:rsidR="006404C9" w:rsidRDefault="006404C9">
      <w:pPr>
        <w:pStyle w:val="a3"/>
        <w:spacing w:before="5"/>
        <w:rPr>
          <w:rFonts w:ascii="Arial"/>
          <w:b/>
          <w:noProof/>
          <w:sz w:val="15"/>
          <w:lang w:val="uk-UA"/>
        </w:rPr>
      </w:pPr>
    </w:p>
    <w:p w14:paraId="00FBE74E" w14:textId="77777777" w:rsidR="006404C9" w:rsidRDefault="006404C9">
      <w:pPr>
        <w:pStyle w:val="a3"/>
        <w:spacing w:before="5"/>
        <w:rPr>
          <w:rFonts w:ascii="Arial"/>
          <w:b/>
          <w:noProof/>
          <w:sz w:val="15"/>
          <w:lang w:val="uk-UA"/>
        </w:rPr>
      </w:pPr>
    </w:p>
    <w:p w14:paraId="2C495980" w14:textId="77777777" w:rsidR="006404C9" w:rsidRDefault="006404C9">
      <w:pPr>
        <w:pStyle w:val="a3"/>
        <w:spacing w:before="5"/>
        <w:rPr>
          <w:rFonts w:ascii="Arial"/>
          <w:b/>
          <w:noProof/>
          <w:sz w:val="15"/>
          <w:lang w:val="uk-UA"/>
        </w:rPr>
      </w:pPr>
    </w:p>
    <w:p w14:paraId="09B46A3B" w14:textId="77777777" w:rsidR="006404C9" w:rsidRDefault="006404C9">
      <w:pPr>
        <w:pStyle w:val="a3"/>
        <w:spacing w:before="5"/>
        <w:rPr>
          <w:rFonts w:ascii="Arial"/>
          <w:b/>
          <w:noProof/>
          <w:sz w:val="15"/>
          <w:lang w:val="uk-UA"/>
        </w:rPr>
      </w:pPr>
    </w:p>
    <w:p w14:paraId="0B009CFA" w14:textId="77777777" w:rsidR="006404C9" w:rsidRDefault="006404C9">
      <w:pPr>
        <w:pStyle w:val="a3"/>
        <w:spacing w:before="5"/>
        <w:rPr>
          <w:rFonts w:ascii="Arial"/>
          <w:b/>
          <w:noProof/>
          <w:sz w:val="15"/>
          <w:lang w:val="uk-UA"/>
        </w:rPr>
      </w:pPr>
    </w:p>
    <w:p w14:paraId="685F3CD9" w14:textId="77777777" w:rsidR="006404C9" w:rsidRPr="003C6DAE" w:rsidRDefault="006404C9">
      <w:pPr>
        <w:pStyle w:val="a3"/>
        <w:spacing w:before="5"/>
        <w:rPr>
          <w:rFonts w:ascii="Arial"/>
          <w:b/>
          <w:sz w:val="15"/>
          <w:lang w:val="uk-UA"/>
        </w:rPr>
      </w:pPr>
    </w:p>
    <w:p w14:paraId="3D446B1E" w14:textId="77777777" w:rsidR="00E05B98" w:rsidRDefault="00E05B98">
      <w:pPr>
        <w:pStyle w:val="a3"/>
        <w:spacing w:before="54"/>
        <w:rPr>
          <w:rFonts w:ascii="Arial"/>
          <w:b/>
          <w:sz w:val="24"/>
          <w:lang w:val="uk-UA"/>
        </w:rPr>
      </w:pPr>
    </w:p>
    <w:p w14:paraId="65616312" w14:textId="77777777" w:rsidR="006404C9" w:rsidRDefault="006404C9">
      <w:pPr>
        <w:pStyle w:val="a3"/>
        <w:spacing w:before="54"/>
        <w:rPr>
          <w:rFonts w:ascii="Arial"/>
          <w:b/>
          <w:sz w:val="24"/>
          <w:lang w:val="uk-UA"/>
        </w:rPr>
      </w:pPr>
    </w:p>
    <w:p w14:paraId="5774B464" w14:textId="77777777" w:rsidR="006404C9" w:rsidRDefault="006404C9">
      <w:pPr>
        <w:pStyle w:val="a3"/>
        <w:spacing w:before="54"/>
        <w:rPr>
          <w:rFonts w:ascii="Arial"/>
          <w:b/>
          <w:sz w:val="24"/>
          <w:lang w:val="uk-UA"/>
        </w:rPr>
      </w:pPr>
    </w:p>
    <w:tbl>
      <w:tblPr>
        <w:tblStyle w:val="ac"/>
        <w:tblW w:w="0" w:type="auto"/>
        <w:tblInd w:w="567" w:type="dxa"/>
        <w:tblLook w:val="04A0" w:firstRow="1" w:lastRow="0" w:firstColumn="1" w:lastColumn="0" w:noHBand="0" w:noVBand="1"/>
      </w:tblPr>
      <w:tblGrid>
        <w:gridCol w:w="9498"/>
      </w:tblGrid>
      <w:tr w:rsidR="00246FF7" w:rsidRPr="00D029FF" w14:paraId="1C967D5C" w14:textId="77777777" w:rsidTr="00246FF7">
        <w:tc>
          <w:tcPr>
            <w:tcW w:w="10055" w:type="dxa"/>
            <w:tcBorders>
              <w:top w:val="single" w:sz="4" w:space="0" w:color="auto"/>
              <w:left w:val="nil"/>
              <w:bottom w:val="nil"/>
              <w:right w:val="nil"/>
            </w:tcBorders>
          </w:tcPr>
          <w:p w14:paraId="483461BD" w14:textId="72F38FD0" w:rsidR="00246FF7" w:rsidRDefault="00246FF7" w:rsidP="00246FF7">
            <w:pPr>
              <w:rPr>
                <w:sz w:val="16"/>
                <w:szCs w:val="16"/>
                <w:lang w:val="uk-UA"/>
              </w:rPr>
            </w:pPr>
            <w:r w:rsidRPr="00CE302F">
              <w:rPr>
                <w:b/>
                <w:bCs/>
                <w:sz w:val="16"/>
                <w:szCs w:val="16"/>
                <w:u w:val="single"/>
                <w:lang w:val="uk-UA"/>
              </w:rPr>
              <w:t>Примітки перекладача</w:t>
            </w:r>
            <w:r>
              <w:rPr>
                <w:sz w:val="16"/>
                <w:szCs w:val="16"/>
                <w:lang w:val="uk-UA"/>
              </w:rPr>
              <w:t xml:space="preserve">. ДІ: довірчий інтервал; </w:t>
            </w:r>
            <w:r w:rsidRPr="00226806">
              <w:rPr>
                <w:sz w:val="16"/>
                <w:szCs w:val="16"/>
              </w:rPr>
              <w:t>TP</w:t>
            </w:r>
            <w:r w:rsidRPr="00CE302F">
              <w:rPr>
                <w:sz w:val="16"/>
                <w:szCs w:val="16"/>
                <w:lang w:val="uk-UA"/>
              </w:rPr>
              <w:t xml:space="preserve">: </w:t>
            </w:r>
            <w:r w:rsidRPr="00226806">
              <w:rPr>
                <w:sz w:val="16"/>
                <w:szCs w:val="16"/>
                <w:lang w:val="uk-UA"/>
              </w:rPr>
              <w:t>істинно  позитивний;</w:t>
            </w:r>
            <w:r w:rsidRPr="00CE302F">
              <w:rPr>
                <w:sz w:val="16"/>
                <w:szCs w:val="16"/>
                <w:lang w:val="uk-UA"/>
              </w:rPr>
              <w:t xml:space="preserve"> </w:t>
            </w:r>
            <w:r w:rsidRPr="00226806">
              <w:rPr>
                <w:sz w:val="16"/>
                <w:szCs w:val="16"/>
              </w:rPr>
              <w:t>TP</w:t>
            </w:r>
            <w:r w:rsidRPr="00CE302F">
              <w:rPr>
                <w:sz w:val="16"/>
                <w:szCs w:val="16"/>
                <w:lang w:val="uk-UA"/>
              </w:rPr>
              <w:t>+</w:t>
            </w:r>
            <w:r w:rsidRPr="00226806">
              <w:rPr>
                <w:sz w:val="16"/>
                <w:szCs w:val="16"/>
              </w:rPr>
              <w:t>FN</w:t>
            </w:r>
            <w:r w:rsidRPr="00CE302F">
              <w:rPr>
                <w:sz w:val="16"/>
                <w:szCs w:val="16"/>
                <w:lang w:val="uk-UA"/>
              </w:rPr>
              <w:t>:</w:t>
            </w:r>
            <w:r w:rsidRPr="00226806">
              <w:rPr>
                <w:sz w:val="16"/>
                <w:szCs w:val="16"/>
                <w:lang w:val="uk-UA"/>
              </w:rPr>
              <w:t xml:space="preserve"> істинно позитивний + хибнонегатиний; </w:t>
            </w:r>
            <w:r>
              <w:rPr>
                <w:sz w:val="16"/>
                <w:szCs w:val="16"/>
              </w:rPr>
              <w:t>D</w:t>
            </w:r>
            <w:r w:rsidRPr="00226806">
              <w:rPr>
                <w:sz w:val="16"/>
                <w:szCs w:val="16"/>
              </w:rPr>
              <w:t>ST</w:t>
            </w:r>
            <w:r>
              <w:rPr>
                <w:sz w:val="16"/>
                <w:szCs w:val="16"/>
                <w:lang w:val="uk-UA"/>
              </w:rPr>
              <w:t>: ТМЧ;</w:t>
            </w:r>
            <w:r w:rsidR="000073C1">
              <w:rPr>
                <w:sz w:val="16"/>
                <w:szCs w:val="16"/>
                <w:lang w:val="uk-UA"/>
              </w:rPr>
              <w:t xml:space="preserve"> </w:t>
            </w:r>
            <w:r>
              <w:rPr>
                <w:sz w:val="16"/>
                <w:szCs w:val="16"/>
              </w:rPr>
              <w:t>QFT</w:t>
            </w:r>
            <w:r w:rsidRPr="00B40C1E">
              <w:rPr>
                <w:sz w:val="16"/>
                <w:szCs w:val="16"/>
                <w:lang w:val="uk-UA"/>
              </w:rPr>
              <w:t xml:space="preserve">:  </w:t>
            </w:r>
            <w:r>
              <w:rPr>
                <w:sz w:val="16"/>
                <w:szCs w:val="16"/>
                <w:lang w:val="uk-UA"/>
              </w:rPr>
              <w:t xml:space="preserve">квантифероновий тест на ТБ; </w:t>
            </w:r>
            <w:r>
              <w:rPr>
                <w:sz w:val="16"/>
                <w:szCs w:val="16"/>
              </w:rPr>
              <w:t>R</w:t>
            </w:r>
            <w:r w:rsidRPr="00226806">
              <w:rPr>
                <w:sz w:val="16"/>
                <w:szCs w:val="16"/>
              </w:rPr>
              <w:t>andom</w:t>
            </w:r>
            <w:r w:rsidRPr="00226806">
              <w:rPr>
                <w:sz w:val="16"/>
                <w:szCs w:val="16"/>
                <w:lang w:val="uk-UA"/>
              </w:rPr>
              <w:t xml:space="preserve"> </w:t>
            </w:r>
            <w:r w:rsidRPr="00226806">
              <w:rPr>
                <w:sz w:val="16"/>
                <w:szCs w:val="16"/>
              </w:rPr>
              <w:t>affects</w:t>
            </w:r>
            <w:r w:rsidRPr="00226806">
              <w:rPr>
                <w:sz w:val="16"/>
                <w:szCs w:val="16"/>
                <w:lang w:val="uk-UA"/>
              </w:rPr>
              <w:t xml:space="preserve"> </w:t>
            </w:r>
            <w:r w:rsidRPr="00226806">
              <w:rPr>
                <w:sz w:val="16"/>
                <w:szCs w:val="16"/>
              </w:rPr>
              <w:t>model</w:t>
            </w:r>
            <w:r w:rsidRPr="00226806">
              <w:rPr>
                <w:sz w:val="16"/>
                <w:szCs w:val="16"/>
                <w:lang w:val="uk-UA"/>
              </w:rPr>
              <w:t xml:space="preserve">: </w:t>
            </w:r>
            <w:r>
              <w:rPr>
                <w:sz w:val="16"/>
                <w:szCs w:val="16"/>
                <w:lang w:val="uk-UA"/>
              </w:rPr>
              <w:t>модель випадкових ефектів</w:t>
            </w:r>
            <w:r w:rsidRPr="00226806">
              <w:rPr>
                <w:sz w:val="16"/>
                <w:szCs w:val="16"/>
                <w:lang w:val="uk-UA"/>
              </w:rPr>
              <w:t xml:space="preserve">; </w:t>
            </w:r>
            <w:r w:rsidRPr="00226806">
              <w:rPr>
                <w:sz w:val="16"/>
                <w:szCs w:val="16"/>
              </w:rPr>
              <w:t>Heterogeneity</w:t>
            </w:r>
            <w:r w:rsidRPr="00226806">
              <w:rPr>
                <w:sz w:val="16"/>
                <w:szCs w:val="16"/>
                <w:lang w:val="uk-UA"/>
              </w:rPr>
              <w:t xml:space="preserve">: </w:t>
            </w:r>
            <w:r>
              <w:rPr>
                <w:sz w:val="16"/>
                <w:szCs w:val="16"/>
                <w:lang w:val="uk-UA"/>
              </w:rPr>
              <w:t xml:space="preserve">неоднорідність; </w:t>
            </w:r>
            <w:r>
              <w:rPr>
                <w:sz w:val="16"/>
                <w:szCs w:val="16"/>
              </w:rPr>
              <w:t>Test</w:t>
            </w:r>
            <w:r w:rsidRPr="003D28E5">
              <w:rPr>
                <w:sz w:val="16"/>
                <w:szCs w:val="16"/>
                <w:lang w:val="uk-UA"/>
              </w:rPr>
              <w:t xml:space="preserve"> </w:t>
            </w:r>
            <w:r>
              <w:rPr>
                <w:sz w:val="16"/>
                <w:szCs w:val="16"/>
              </w:rPr>
              <w:t>for</w:t>
            </w:r>
            <w:r w:rsidRPr="003D28E5">
              <w:rPr>
                <w:sz w:val="16"/>
                <w:szCs w:val="16"/>
                <w:lang w:val="uk-UA"/>
              </w:rPr>
              <w:t xml:space="preserve"> </w:t>
            </w:r>
            <w:r>
              <w:rPr>
                <w:sz w:val="16"/>
                <w:szCs w:val="16"/>
              </w:rPr>
              <w:t>subgroup</w:t>
            </w:r>
            <w:r w:rsidRPr="003D28E5">
              <w:rPr>
                <w:sz w:val="16"/>
                <w:szCs w:val="16"/>
                <w:lang w:val="uk-UA"/>
              </w:rPr>
              <w:t xml:space="preserve"> </w:t>
            </w:r>
            <w:r>
              <w:rPr>
                <w:sz w:val="16"/>
                <w:szCs w:val="16"/>
              </w:rPr>
              <w:t>differencies</w:t>
            </w:r>
            <w:r w:rsidRPr="003D28E5">
              <w:rPr>
                <w:sz w:val="16"/>
                <w:szCs w:val="16"/>
                <w:lang w:val="uk-UA"/>
              </w:rPr>
              <w:t>:</w:t>
            </w:r>
            <w:r>
              <w:rPr>
                <w:sz w:val="16"/>
                <w:szCs w:val="16"/>
                <w:lang w:val="uk-UA"/>
              </w:rPr>
              <w:t xml:space="preserve"> </w:t>
            </w:r>
            <w:r w:rsidRPr="00226806">
              <w:rPr>
                <w:sz w:val="16"/>
                <w:szCs w:val="16"/>
                <w:lang w:val="uk-UA"/>
              </w:rPr>
              <w:t>Дослідження на відмінності у підгрупах</w:t>
            </w:r>
          </w:p>
        </w:tc>
      </w:tr>
    </w:tbl>
    <w:p w14:paraId="0F56D1C6" w14:textId="01DE1A9C" w:rsidR="00B40C1E" w:rsidRPr="00CE302F" w:rsidRDefault="00B40C1E" w:rsidP="00246FF7">
      <w:pPr>
        <w:ind w:left="567"/>
        <w:rPr>
          <w:sz w:val="16"/>
          <w:szCs w:val="16"/>
          <w:lang w:val="uk-UA"/>
        </w:rPr>
      </w:pPr>
    </w:p>
    <w:p w14:paraId="7C4B93F6" w14:textId="77777777" w:rsidR="000073C1" w:rsidRDefault="000073C1" w:rsidP="00246FF7">
      <w:pPr>
        <w:pStyle w:val="a3"/>
        <w:spacing w:before="1" w:line="269" w:lineRule="auto"/>
        <w:ind w:left="567"/>
        <w:jc w:val="both"/>
        <w:rPr>
          <w:sz w:val="20"/>
          <w:szCs w:val="20"/>
          <w:lang w:val="uk-UA"/>
        </w:rPr>
      </w:pPr>
    </w:p>
    <w:p w14:paraId="04CE326C" w14:textId="1E31EC86" w:rsidR="00E05B98" w:rsidRPr="00B40C1E" w:rsidRDefault="003A4DA0" w:rsidP="00246FF7">
      <w:pPr>
        <w:pStyle w:val="a3"/>
        <w:spacing w:before="1" w:line="269" w:lineRule="auto"/>
        <w:ind w:left="567"/>
        <w:jc w:val="both"/>
        <w:rPr>
          <w:sz w:val="20"/>
          <w:szCs w:val="20"/>
          <w:lang w:val="uk-UA"/>
        </w:rPr>
      </w:pPr>
      <w:r w:rsidRPr="003A4DA0">
        <w:rPr>
          <w:sz w:val="20"/>
          <w:szCs w:val="20"/>
          <w:lang w:val="uk-UA"/>
        </w:rPr>
        <w:t xml:space="preserve">Специфічність, оцінена в п'яти дослідженнях, представлених на рис. </w:t>
      </w:r>
      <w:r w:rsidRPr="00D57A1F">
        <w:rPr>
          <w:b/>
          <w:bCs/>
          <w:sz w:val="20"/>
          <w:szCs w:val="20"/>
          <w:lang w:val="uk-UA"/>
        </w:rPr>
        <w:t>3.1.1.5</w:t>
      </w:r>
      <w:r w:rsidRPr="003A4DA0">
        <w:rPr>
          <w:sz w:val="20"/>
          <w:szCs w:val="20"/>
          <w:lang w:val="uk-UA"/>
        </w:rPr>
        <w:t>, була високою для всіх трьох тестів у класі ШПТБ. Для Діаскінтесту вона становила 99,1% (95% ДІ: 93,6-99,9%) порівняно з QFT; для Cy-Tb - 98,0% (95% ДІ: 92,6-99,5%) порівняно з QFT; і для C-TST - 95,5% (95% ДІ: 92,6-97,3%) порівняно з тестом T-Spot. Під час зустрічі ГРН учасники зазначили, що, враховуючи сукупність доказів (які включали дослідження дуже низької якості), загальна достовірність доказів щодо впливу тестів на специфічність була дуже низькою.</w:t>
      </w:r>
    </w:p>
    <w:p w14:paraId="75710883" w14:textId="74360DBF" w:rsidR="00E05B98" w:rsidRDefault="003A4DA0" w:rsidP="00246FF7">
      <w:pPr>
        <w:pStyle w:val="a3"/>
        <w:spacing w:before="176" w:line="269" w:lineRule="auto"/>
        <w:ind w:left="567"/>
        <w:jc w:val="both"/>
        <w:rPr>
          <w:sz w:val="20"/>
          <w:szCs w:val="20"/>
          <w:lang w:val="uk-UA"/>
        </w:rPr>
      </w:pPr>
      <w:r w:rsidRPr="003A4DA0">
        <w:rPr>
          <w:sz w:val="20"/>
          <w:szCs w:val="20"/>
          <w:lang w:val="uk-UA"/>
        </w:rPr>
        <w:t xml:space="preserve">Специфічність у дітей та підлітків (2 дослідження, 176 пацієнтів), визначена в осіб з негативними результатами АВГІ, була високою. Для Діаскінтесту з пороговим значенням не менше 5 мм, специфічність становила 99,1% (95% ДІ: 94,9-99,9%) порівняно з QFT, а для Cy-Tb - 91,4% (95% ДІ: 82,2-96,1%) порівняно з QFT. Специфічність у вакцинованих БЦЖ осіб (3 дослідження, 292 пацієнти), визначена у здорових осіб з негативними результатами АВГІ, також була високою і становила 97-99% (залежно від тесту), з об'єднаним значенням 99,0% (95% ДІ: 96,9-99,7%). Більш детальну інформацію можна знайти у </w:t>
      </w:r>
      <w:r w:rsidRPr="00D57A1F">
        <w:rPr>
          <w:b/>
          <w:bCs/>
          <w:sz w:val="20"/>
          <w:szCs w:val="20"/>
          <w:lang w:val="uk-UA"/>
        </w:rPr>
        <w:t>веб-додатку А</w:t>
      </w:r>
      <w:r w:rsidRPr="003A4DA0">
        <w:rPr>
          <w:sz w:val="20"/>
          <w:szCs w:val="20"/>
          <w:lang w:val="uk-UA"/>
        </w:rPr>
        <w:t>.</w:t>
      </w:r>
    </w:p>
    <w:p w14:paraId="386FE45C" w14:textId="77777777" w:rsidR="00246FF7" w:rsidRDefault="00246FF7" w:rsidP="00246FF7">
      <w:pPr>
        <w:pStyle w:val="a3"/>
        <w:spacing w:before="176" w:line="269" w:lineRule="auto"/>
        <w:ind w:left="567"/>
        <w:jc w:val="both"/>
        <w:rPr>
          <w:sz w:val="20"/>
          <w:szCs w:val="20"/>
          <w:lang w:val="uk-UA"/>
        </w:rPr>
      </w:pPr>
    </w:p>
    <w:p w14:paraId="48DF541F" w14:textId="77777777" w:rsidR="000073C1" w:rsidRDefault="000073C1" w:rsidP="00246FF7">
      <w:pPr>
        <w:pStyle w:val="a3"/>
        <w:spacing w:before="176" w:line="269" w:lineRule="auto"/>
        <w:ind w:left="567"/>
        <w:jc w:val="both"/>
        <w:rPr>
          <w:sz w:val="20"/>
          <w:szCs w:val="20"/>
          <w:lang w:val="uk-UA"/>
        </w:rPr>
      </w:pPr>
    </w:p>
    <w:p w14:paraId="6BEB1C20" w14:textId="77777777" w:rsidR="00246FF7" w:rsidRDefault="00246FF7" w:rsidP="00246FF7">
      <w:pPr>
        <w:pStyle w:val="a3"/>
        <w:spacing w:before="176" w:line="269" w:lineRule="auto"/>
        <w:ind w:left="567"/>
        <w:jc w:val="both"/>
        <w:rPr>
          <w:sz w:val="20"/>
          <w:szCs w:val="20"/>
          <w:lang w:val="uk-UA"/>
        </w:rPr>
      </w:pPr>
    </w:p>
    <w:p w14:paraId="46FEFDDD" w14:textId="77777777" w:rsidR="00246FF7" w:rsidRDefault="00246FF7" w:rsidP="00246FF7">
      <w:pPr>
        <w:pStyle w:val="a3"/>
        <w:spacing w:before="176" w:line="269" w:lineRule="auto"/>
        <w:ind w:left="567"/>
        <w:jc w:val="both"/>
        <w:rPr>
          <w:sz w:val="20"/>
          <w:szCs w:val="20"/>
          <w:lang w:val="uk-UA"/>
        </w:rPr>
      </w:pPr>
    </w:p>
    <w:p w14:paraId="6C5CBC0B" w14:textId="2D5D4FFA" w:rsidR="00E05B98" w:rsidRPr="00D57A1F" w:rsidRDefault="003A4DA0">
      <w:pPr>
        <w:pStyle w:val="6"/>
        <w:jc w:val="both"/>
        <w:rPr>
          <w:sz w:val="22"/>
          <w:szCs w:val="22"/>
          <w:lang w:val="uk-UA"/>
        </w:rPr>
      </w:pPr>
      <w:r w:rsidRPr="00D57A1F">
        <w:rPr>
          <w:color w:val="636466"/>
          <w:spacing w:val="-4"/>
          <w:sz w:val="22"/>
          <w:szCs w:val="22"/>
          <w:lang w:val="uk-UA"/>
        </w:rPr>
        <w:lastRenderedPageBreak/>
        <w:t>Рис</w:t>
      </w:r>
      <w:r w:rsidR="00B01E0C" w:rsidRPr="00D57A1F">
        <w:rPr>
          <w:color w:val="636466"/>
          <w:spacing w:val="-4"/>
          <w:sz w:val="22"/>
          <w:szCs w:val="22"/>
          <w:lang w:val="uk-UA"/>
        </w:rPr>
        <w:t>.</w:t>
      </w:r>
      <w:r w:rsidR="00B01E0C" w:rsidRPr="00D57A1F">
        <w:rPr>
          <w:color w:val="636466"/>
          <w:spacing w:val="-6"/>
          <w:sz w:val="22"/>
          <w:szCs w:val="22"/>
          <w:lang w:val="uk-UA"/>
        </w:rPr>
        <w:t xml:space="preserve"> </w:t>
      </w:r>
      <w:r w:rsidR="00B01E0C" w:rsidRPr="00D57A1F">
        <w:rPr>
          <w:color w:val="636466"/>
          <w:spacing w:val="-4"/>
          <w:sz w:val="22"/>
          <w:szCs w:val="22"/>
          <w:lang w:val="uk-UA"/>
        </w:rPr>
        <w:t>3.1.1.6</w:t>
      </w:r>
      <w:r w:rsidR="00B01E0C" w:rsidRPr="00D57A1F">
        <w:rPr>
          <w:color w:val="636466"/>
          <w:spacing w:val="-5"/>
          <w:sz w:val="22"/>
          <w:szCs w:val="22"/>
          <w:lang w:val="uk-UA"/>
        </w:rPr>
        <w:t xml:space="preserve"> </w:t>
      </w:r>
      <w:r w:rsidRPr="00D57A1F">
        <w:rPr>
          <w:color w:val="636466"/>
          <w:spacing w:val="-5"/>
          <w:sz w:val="22"/>
          <w:szCs w:val="22"/>
          <w:lang w:val="uk-UA"/>
        </w:rPr>
        <w:t xml:space="preserve">  </w:t>
      </w:r>
      <w:r w:rsidR="002F178E">
        <w:rPr>
          <w:color w:val="636466"/>
          <w:spacing w:val="-4"/>
          <w:sz w:val="22"/>
          <w:szCs w:val="22"/>
          <w:lang w:val="uk-UA"/>
        </w:rPr>
        <w:t>Відмінність</w:t>
      </w:r>
      <w:r w:rsidRPr="00D57A1F">
        <w:rPr>
          <w:color w:val="636466"/>
          <w:spacing w:val="-4"/>
          <w:sz w:val="22"/>
          <w:szCs w:val="22"/>
          <w:lang w:val="uk-UA"/>
        </w:rPr>
        <w:t xml:space="preserve"> </w:t>
      </w:r>
      <w:r w:rsidR="002F178E">
        <w:rPr>
          <w:color w:val="636466"/>
          <w:spacing w:val="-4"/>
          <w:sz w:val="22"/>
          <w:szCs w:val="22"/>
          <w:lang w:val="uk-UA"/>
        </w:rPr>
        <w:t>у показниках</w:t>
      </w:r>
      <w:r w:rsidRPr="00D57A1F">
        <w:rPr>
          <w:color w:val="636466"/>
          <w:spacing w:val="-4"/>
          <w:sz w:val="22"/>
          <w:szCs w:val="22"/>
          <w:lang w:val="uk-UA"/>
        </w:rPr>
        <w:t xml:space="preserve"> специфічності – ШПТБ на протива</w:t>
      </w:r>
      <w:r w:rsidR="00D57A1F" w:rsidRPr="00D57A1F">
        <w:rPr>
          <w:color w:val="636466"/>
          <w:spacing w:val="-4"/>
          <w:sz w:val="22"/>
          <w:szCs w:val="22"/>
          <w:lang w:val="uk-UA"/>
        </w:rPr>
        <w:t>г</w:t>
      </w:r>
      <w:r w:rsidRPr="00D57A1F">
        <w:rPr>
          <w:color w:val="636466"/>
          <w:spacing w:val="-4"/>
          <w:sz w:val="22"/>
          <w:szCs w:val="22"/>
          <w:lang w:val="uk-UA"/>
        </w:rPr>
        <w:t xml:space="preserve">у </w:t>
      </w:r>
      <w:r w:rsidR="00D45FA2">
        <w:rPr>
          <w:color w:val="636466"/>
          <w:spacing w:val="-4"/>
          <w:sz w:val="22"/>
          <w:szCs w:val="22"/>
          <w:lang w:val="uk-UA"/>
        </w:rPr>
        <w:t>ТШП</w:t>
      </w:r>
    </w:p>
    <w:p w14:paraId="3CA6DF8B" w14:textId="5A823DCC" w:rsidR="00E05B98" w:rsidRPr="003C6DAE" w:rsidRDefault="00000333">
      <w:pPr>
        <w:pStyle w:val="a3"/>
        <w:spacing w:before="8"/>
        <w:rPr>
          <w:rFonts w:ascii="Arial"/>
          <w:b/>
          <w:sz w:val="17"/>
          <w:lang w:val="uk-UA"/>
        </w:rPr>
      </w:pPr>
      <w:r>
        <w:rPr>
          <w:rFonts w:ascii="Arial"/>
          <w:b/>
          <w:noProof/>
          <w:sz w:val="17"/>
          <w:lang w:val="uk-UA"/>
        </w:rPr>
        <mc:AlternateContent>
          <mc:Choice Requires="wps">
            <w:drawing>
              <wp:anchor distT="0" distB="0" distL="114300" distR="114300" simplePos="0" relativeHeight="488179200" behindDoc="0" locked="0" layoutInCell="1" allowOverlap="1" wp14:anchorId="20E9A370" wp14:editId="3891E710">
                <wp:simplePos x="0" y="0"/>
                <wp:positionH relativeFrom="page">
                  <wp:posOffset>699654</wp:posOffset>
                </wp:positionH>
                <wp:positionV relativeFrom="paragraph">
                  <wp:posOffset>63962</wp:posOffset>
                </wp:positionV>
                <wp:extent cx="6331527" cy="311727"/>
                <wp:effectExtent l="0" t="0" r="0" b="0"/>
                <wp:wrapNone/>
                <wp:docPr id="1594064162" name="Поле 1922"/>
                <wp:cNvGraphicFramePr/>
                <a:graphic xmlns:a="http://schemas.openxmlformats.org/drawingml/2006/main">
                  <a:graphicData uri="http://schemas.microsoft.com/office/word/2010/wordprocessingShape">
                    <wps:wsp>
                      <wps:cNvSpPr txBox="1"/>
                      <wps:spPr>
                        <a:xfrm>
                          <a:off x="0" y="0"/>
                          <a:ext cx="6331527" cy="311727"/>
                        </a:xfrm>
                        <a:prstGeom prst="rect">
                          <a:avLst/>
                        </a:prstGeom>
                        <a:solidFill>
                          <a:schemeClr val="bg1"/>
                        </a:solidFill>
                        <a:ln w="6350">
                          <a:noFill/>
                        </a:ln>
                      </wps:spPr>
                      <wps:txbx>
                        <w:txbxContent>
                          <w:tbl>
                            <w:tblPr>
                              <w:tblStyle w:val="ac"/>
                              <w:tblW w:w="13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820"/>
                              <w:gridCol w:w="4820"/>
                              <w:gridCol w:w="5478"/>
                            </w:tblGrid>
                            <w:tr w:rsidR="007372B2" w:rsidRPr="00794491" w14:paraId="1B3C8224" w14:textId="77777777" w:rsidTr="00000333">
                              <w:tc>
                                <w:tcPr>
                                  <w:tcW w:w="2157" w:type="dxa"/>
                                </w:tcPr>
                                <w:p w14:paraId="1396F403" w14:textId="77777777" w:rsidR="007372B2" w:rsidRPr="00B40C1E" w:rsidRDefault="007372B2" w:rsidP="00B86573">
                                  <w:pPr>
                                    <w:rPr>
                                      <w:rFonts w:ascii="Arial" w:hAnsi="Arial" w:cs="Arial"/>
                                      <w:b/>
                                      <w:bCs/>
                                      <w:sz w:val="17"/>
                                      <w:szCs w:val="17"/>
                                      <w:lang w:val="uk-UA"/>
                                    </w:rPr>
                                  </w:pPr>
                                  <w:r>
                                    <w:rPr>
                                      <w:rFonts w:ascii="Arial" w:hAnsi="Arial" w:cs="Arial"/>
                                      <w:b/>
                                      <w:bCs/>
                                      <w:sz w:val="17"/>
                                      <w:szCs w:val="17"/>
                                      <w:lang w:val="uk-UA"/>
                                    </w:rPr>
                                    <w:t xml:space="preserve">  </w:t>
                                  </w:r>
                                  <w:r w:rsidRPr="00B40C1E">
                                    <w:rPr>
                                      <w:rFonts w:ascii="Arial" w:hAnsi="Arial" w:cs="Arial"/>
                                      <w:b/>
                                      <w:bCs/>
                                      <w:sz w:val="17"/>
                                      <w:szCs w:val="17"/>
                                      <w:lang w:val="uk-UA"/>
                                    </w:rPr>
                                    <w:t>Дослідження</w:t>
                                  </w:r>
                                </w:p>
                              </w:tc>
                              <w:tc>
                                <w:tcPr>
                                  <w:tcW w:w="820" w:type="dxa"/>
                                </w:tcPr>
                                <w:p w14:paraId="2D0E969C" w14:textId="77777777" w:rsidR="007372B2" w:rsidRPr="00B40C1E" w:rsidRDefault="007372B2" w:rsidP="00B86573">
                                  <w:pPr>
                                    <w:rPr>
                                      <w:rFonts w:ascii="Arial" w:hAnsi="Arial" w:cs="Arial"/>
                                      <w:b/>
                                      <w:bCs/>
                                      <w:sz w:val="17"/>
                                      <w:szCs w:val="17"/>
                                      <w:lang w:val="uk-UA"/>
                                    </w:rPr>
                                  </w:pPr>
                                </w:p>
                              </w:tc>
                              <w:tc>
                                <w:tcPr>
                                  <w:tcW w:w="4820" w:type="dxa"/>
                                </w:tcPr>
                                <w:p w14:paraId="23B4BBA9" w14:textId="6EE4D776" w:rsidR="007372B2" w:rsidRPr="00B40C1E" w:rsidRDefault="007372B2" w:rsidP="00B86573">
                                  <w:pPr>
                                    <w:rPr>
                                      <w:rFonts w:ascii="Arial" w:hAnsi="Arial" w:cs="Arial"/>
                                      <w:b/>
                                      <w:bCs/>
                                      <w:sz w:val="17"/>
                                      <w:szCs w:val="17"/>
                                      <w:lang w:val="uk-UA"/>
                                    </w:rPr>
                                  </w:pPr>
                                  <w:r>
                                    <w:rPr>
                                      <w:rFonts w:ascii="Arial" w:hAnsi="Arial" w:cs="Arial"/>
                                      <w:b/>
                                      <w:bCs/>
                                      <w:sz w:val="17"/>
                                      <w:szCs w:val="17"/>
                                      <w:lang w:val="uk-UA"/>
                                    </w:rPr>
                                    <w:t xml:space="preserve">                                                                    Відмінність </w:t>
                                  </w:r>
                                  <w:r w:rsidRPr="00B40C1E">
                                    <w:rPr>
                                      <w:rFonts w:ascii="Arial" w:hAnsi="Arial" w:cs="Arial"/>
                                      <w:b/>
                                      <w:bCs/>
                                      <w:sz w:val="17"/>
                                      <w:szCs w:val="17"/>
                                      <w:lang w:val="uk-UA"/>
                                    </w:rPr>
                                    <w:t>(%)</w:t>
                                  </w:r>
                                </w:p>
                              </w:tc>
                              <w:tc>
                                <w:tcPr>
                                  <w:tcW w:w="5478" w:type="dxa"/>
                                </w:tcPr>
                                <w:p w14:paraId="679005D4" w14:textId="6817FC96" w:rsidR="007372B2" w:rsidRPr="00000333" w:rsidRDefault="007372B2" w:rsidP="00B86573">
                                  <w:pPr>
                                    <w:rPr>
                                      <w:rFonts w:ascii="Arial" w:hAnsi="Arial" w:cs="Arial"/>
                                      <w:b/>
                                      <w:bCs/>
                                      <w:sz w:val="17"/>
                                      <w:szCs w:val="17"/>
                                      <w:lang w:val="uk-UA"/>
                                    </w:rPr>
                                  </w:pPr>
                                  <w:r w:rsidRPr="00B40C1E">
                                    <w:rPr>
                                      <w:rFonts w:ascii="Arial" w:hAnsi="Arial" w:cs="Arial"/>
                                      <w:b/>
                                      <w:bCs/>
                                      <w:sz w:val="17"/>
                                      <w:szCs w:val="17"/>
                                      <w:lang w:val="uk-UA"/>
                                    </w:rPr>
                                    <w:t xml:space="preserve">  95%  ДІ</w:t>
                                  </w:r>
                                  <w:r>
                                    <w:rPr>
                                      <w:rFonts w:ascii="Arial" w:hAnsi="Arial" w:cs="Arial"/>
                                      <w:b/>
                                      <w:bCs/>
                                      <w:sz w:val="17"/>
                                      <w:szCs w:val="17"/>
                                    </w:rPr>
                                    <w:t xml:space="preserve">     </w:t>
                                  </w:r>
                                  <w:r>
                                    <w:rPr>
                                      <w:rFonts w:ascii="Arial" w:hAnsi="Arial" w:cs="Arial"/>
                                      <w:b/>
                                      <w:bCs/>
                                      <w:sz w:val="17"/>
                                      <w:szCs w:val="17"/>
                                      <w:lang w:val="uk-UA"/>
                                    </w:rPr>
                                    <w:t xml:space="preserve">  Ваги</w:t>
                                  </w:r>
                                </w:p>
                              </w:tc>
                            </w:tr>
                          </w:tbl>
                          <w:p w14:paraId="355F0B1F" w14:textId="77777777" w:rsidR="007372B2" w:rsidRDefault="007372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9A370" id="Поле 1922" o:spid="_x0000_s1195" type="#_x0000_t202" style="position:absolute;margin-left:55.1pt;margin-top:5.05pt;width:498.55pt;height:24.55pt;z-index:48817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" fillcolor="white [3212]" stroked="f" strokeweight=".5pt">
                <v:textbox>
                  <w:txbxContent>
                    <w:tbl>
                      <w:tblPr>
                        <w:tblStyle w:val="ac"/>
                        <w:tblW w:w="13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820"/>
                        <w:gridCol w:w="4820"/>
                        <w:gridCol w:w="5478"/>
                      </w:tblGrid>
                      <w:tr w:rsidR="007372B2" w:rsidRPr="00794491" w14:paraId="1B3C8224" w14:textId="77777777" w:rsidTr="00000333">
                        <w:tc>
                          <w:tcPr>
                            <w:tcW w:w="2157" w:type="dxa"/>
                          </w:tcPr>
                          <w:p w14:paraId="1396F403" w14:textId="77777777" w:rsidR="007372B2" w:rsidRPr="00B40C1E" w:rsidRDefault="007372B2" w:rsidP="00B86573">
                            <w:pPr>
                              <w:rPr>
                                <w:rFonts w:ascii="Arial" w:hAnsi="Arial" w:cs="Arial"/>
                                <w:b/>
                                <w:bCs/>
                                <w:sz w:val="17"/>
                                <w:szCs w:val="17"/>
                                <w:lang w:val="uk-UA"/>
                              </w:rPr>
                            </w:pPr>
                            <w:r>
                              <w:rPr>
                                <w:rFonts w:ascii="Arial" w:hAnsi="Arial" w:cs="Arial"/>
                                <w:b/>
                                <w:bCs/>
                                <w:sz w:val="17"/>
                                <w:szCs w:val="17"/>
                                <w:lang w:val="uk-UA"/>
                              </w:rPr>
                              <w:t xml:space="preserve">  </w:t>
                            </w:r>
                            <w:r w:rsidRPr="00B40C1E">
                              <w:rPr>
                                <w:rFonts w:ascii="Arial" w:hAnsi="Arial" w:cs="Arial"/>
                                <w:b/>
                                <w:bCs/>
                                <w:sz w:val="17"/>
                                <w:szCs w:val="17"/>
                                <w:lang w:val="uk-UA"/>
                              </w:rPr>
                              <w:t>Дослідження</w:t>
                            </w:r>
                          </w:p>
                        </w:tc>
                        <w:tc>
                          <w:tcPr>
                            <w:tcW w:w="820" w:type="dxa"/>
                          </w:tcPr>
                          <w:p w14:paraId="2D0E969C" w14:textId="77777777" w:rsidR="007372B2" w:rsidRPr="00B40C1E" w:rsidRDefault="007372B2" w:rsidP="00B86573">
                            <w:pPr>
                              <w:rPr>
                                <w:rFonts w:ascii="Arial" w:hAnsi="Arial" w:cs="Arial"/>
                                <w:b/>
                                <w:bCs/>
                                <w:sz w:val="17"/>
                                <w:szCs w:val="17"/>
                                <w:lang w:val="uk-UA"/>
                              </w:rPr>
                            </w:pPr>
                          </w:p>
                        </w:tc>
                        <w:tc>
                          <w:tcPr>
                            <w:tcW w:w="4820" w:type="dxa"/>
                          </w:tcPr>
                          <w:p w14:paraId="23B4BBA9" w14:textId="6EE4D776" w:rsidR="007372B2" w:rsidRPr="00B40C1E" w:rsidRDefault="007372B2" w:rsidP="00B86573">
                            <w:pPr>
                              <w:rPr>
                                <w:rFonts w:ascii="Arial" w:hAnsi="Arial" w:cs="Arial"/>
                                <w:b/>
                                <w:bCs/>
                                <w:sz w:val="17"/>
                                <w:szCs w:val="17"/>
                                <w:lang w:val="uk-UA"/>
                              </w:rPr>
                            </w:pPr>
                            <w:r>
                              <w:rPr>
                                <w:rFonts w:ascii="Arial" w:hAnsi="Arial" w:cs="Arial"/>
                                <w:b/>
                                <w:bCs/>
                                <w:sz w:val="17"/>
                                <w:szCs w:val="17"/>
                                <w:lang w:val="uk-UA"/>
                              </w:rPr>
                              <w:t xml:space="preserve">                                                                    Відмінність </w:t>
                            </w:r>
                            <w:r w:rsidRPr="00B40C1E">
                              <w:rPr>
                                <w:rFonts w:ascii="Arial" w:hAnsi="Arial" w:cs="Arial"/>
                                <w:b/>
                                <w:bCs/>
                                <w:sz w:val="17"/>
                                <w:szCs w:val="17"/>
                                <w:lang w:val="uk-UA"/>
                              </w:rPr>
                              <w:t>(%)</w:t>
                            </w:r>
                          </w:p>
                        </w:tc>
                        <w:tc>
                          <w:tcPr>
                            <w:tcW w:w="5478" w:type="dxa"/>
                          </w:tcPr>
                          <w:p w14:paraId="679005D4" w14:textId="6817FC96" w:rsidR="007372B2" w:rsidRPr="00000333" w:rsidRDefault="007372B2" w:rsidP="00B86573">
                            <w:pPr>
                              <w:rPr>
                                <w:rFonts w:ascii="Arial" w:hAnsi="Arial" w:cs="Arial"/>
                                <w:b/>
                                <w:bCs/>
                                <w:sz w:val="17"/>
                                <w:szCs w:val="17"/>
                                <w:lang w:val="uk-UA"/>
                              </w:rPr>
                            </w:pPr>
                            <w:r w:rsidRPr="00B40C1E">
                              <w:rPr>
                                <w:rFonts w:ascii="Arial" w:hAnsi="Arial" w:cs="Arial"/>
                                <w:b/>
                                <w:bCs/>
                                <w:sz w:val="17"/>
                                <w:szCs w:val="17"/>
                                <w:lang w:val="uk-UA"/>
                              </w:rPr>
                              <w:t xml:space="preserve">  95%  ДІ</w:t>
                            </w:r>
                            <w:r>
                              <w:rPr>
                                <w:rFonts w:ascii="Arial" w:hAnsi="Arial" w:cs="Arial"/>
                                <w:b/>
                                <w:bCs/>
                                <w:sz w:val="17"/>
                                <w:szCs w:val="17"/>
                              </w:rPr>
                              <w:t xml:space="preserve">     </w:t>
                            </w:r>
                            <w:r>
                              <w:rPr>
                                <w:rFonts w:ascii="Arial" w:hAnsi="Arial" w:cs="Arial"/>
                                <w:b/>
                                <w:bCs/>
                                <w:sz w:val="17"/>
                                <w:szCs w:val="17"/>
                                <w:lang w:val="uk-UA"/>
                              </w:rPr>
                              <w:t xml:space="preserve">  Ваги</w:t>
                            </w:r>
                          </w:p>
                        </w:tc>
                      </w:tr>
                    </w:tbl>
                    <w:p w14:paraId="355F0B1F" w14:textId="77777777" w:rsidR="007372B2" w:rsidRDefault="007372B2"/>
                  </w:txbxContent>
                </v:textbox>
                <w10:wrap anchorx="page"/>
              </v:shape>
            </w:pict>
          </mc:Fallback>
        </mc:AlternateContent>
      </w:r>
      <w:r w:rsidR="00B86573" w:rsidRPr="003C6DAE">
        <w:rPr>
          <w:rFonts w:ascii="Arial"/>
          <w:b/>
          <w:noProof/>
          <w:sz w:val="17"/>
          <w:lang w:val="uk-UA"/>
        </w:rPr>
        <w:drawing>
          <wp:anchor distT="0" distB="0" distL="0" distR="0" simplePos="0" relativeHeight="488067584" behindDoc="1" locked="0" layoutInCell="1" allowOverlap="1" wp14:anchorId="3A38595F" wp14:editId="25A729B5">
            <wp:simplePos x="0" y="0"/>
            <wp:positionH relativeFrom="page">
              <wp:posOffset>900430</wp:posOffset>
            </wp:positionH>
            <wp:positionV relativeFrom="paragraph">
              <wp:posOffset>146685</wp:posOffset>
            </wp:positionV>
            <wp:extent cx="5755005" cy="4218305"/>
            <wp:effectExtent l="0" t="0" r="0" b="0"/>
            <wp:wrapTopAndBottom/>
            <wp:docPr id="3051" name="Image 3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1" name="Image 3051"/>
                    <pic:cNvPicPr/>
                  </pic:nvPicPr>
                  <pic:blipFill>
                    <a:blip r:embed="rId207" cstate="print"/>
                    <a:stretch>
                      <a:fillRect/>
                    </a:stretch>
                  </pic:blipFill>
                  <pic:spPr>
                    <a:xfrm>
                      <a:off x="0" y="0"/>
                      <a:ext cx="5755005" cy="4218305"/>
                    </a:xfrm>
                    <a:prstGeom prst="rect">
                      <a:avLst/>
                    </a:prstGeom>
                  </pic:spPr>
                </pic:pic>
              </a:graphicData>
            </a:graphic>
            <wp14:sizeRelV relativeFrom="margin">
              <wp14:pctHeight>0</wp14:pctHeight>
            </wp14:sizeRelV>
          </wp:anchor>
        </w:drawing>
      </w:r>
      <w:r w:rsidR="00B86573">
        <w:rPr>
          <w:rFonts w:ascii="Arial"/>
          <w:b/>
          <w:noProof/>
          <w:sz w:val="17"/>
          <w:lang w:val="uk-UA"/>
        </w:rPr>
        <mc:AlternateContent>
          <mc:Choice Requires="wps">
            <w:drawing>
              <wp:anchor distT="0" distB="0" distL="114300" distR="114300" simplePos="0" relativeHeight="488178176" behindDoc="0" locked="0" layoutInCell="1" allowOverlap="1" wp14:anchorId="22B28196" wp14:editId="361F7306">
                <wp:simplePos x="0" y="0"/>
                <wp:positionH relativeFrom="column">
                  <wp:posOffset>346941</wp:posOffset>
                </wp:positionH>
                <wp:positionV relativeFrom="paragraph">
                  <wp:posOffset>285635</wp:posOffset>
                </wp:positionV>
                <wp:extent cx="6082030" cy="4128654"/>
                <wp:effectExtent l="0" t="0" r="0" b="5715"/>
                <wp:wrapNone/>
                <wp:docPr id="2064545971" name="Поле 1921"/>
                <wp:cNvGraphicFramePr/>
                <a:graphic xmlns:a="http://schemas.openxmlformats.org/drawingml/2006/main">
                  <a:graphicData uri="http://schemas.microsoft.com/office/word/2010/wordprocessingShape">
                    <wps:wsp>
                      <wps:cNvSpPr txBox="1"/>
                      <wps:spPr>
                        <a:xfrm>
                          <a:off x="0" y="0"/>
                          <a:ext cx="6082030" cy="4128654"/>
                        </a:xfrm>
                        <a:prstGeom prst="rect">
                          <a:avLst/>
                        </a:prstGeom>
                        <a:solidFill>
                          <a:schemeClr val="bg1"/>
                        </a:solidFill>
                        <a:ln w="6350">
                          <a:noFill/>
                        </a:ln>
                      </wps:spPr>
                      <wps:txbx>
                        <w:txbxContent>
                          <w:p w14:paraId="6D47738E" w14:textId="575E867C" w:rsidR="007372B2" w:rsidRDefault="007372B2">
                            <w:r>
                              <w:rPr>
                                <w:noProof/>
                              </w:rPr>
                              <w:drawing>
                                <wp:inline distT="0" distB="0" distL="0" distR="0" wp14:anchorId="605A1970" wp14:editId="7790271C">
                                  <wp:extent cx="5805054" cy="4057015"/>
                                  <wp:effectExtent l="0" t="0" r="5715" b="635"/>
                                  <wp:docPr id="5188189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86878" name=""/>
                                          <pic:cNvPicPr/>
                                        </pic:nvPicPr>
                                        <pic:blipFill>
                                          <a:blip r:embed="rId208"/>
                                          <a:stretch>
                                            <a:fillRect/>
                                          </a:stretch>
                                        </pic:blipFill>
                                        <pic:spPr>
                                          <a:xfrm>
                                            <a:off x="0" y="0"/>
                                            <a:ext cx="5815935" cy="40646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28196" id="Поле 1921" o:spid="_x0000_s1196" type="#_x0000_t202" style="position:absolute;margin-left:27.3pt;margin-top:22.5pt;width:478.9pt;height:325.1pt;z-index:4881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" fillcolor="white [3212]" stroked="f" strokeweight=".5pt">
                <v:textbox>
                  <w:txbxContent>
                    <w:p w14:paraId="6D47738E" w14:textId="575E867C" w:rsidR="007372B2" w:rsidRDefault="007372B2">
                      <w:r>
                        <w:rPr>
                          <w:noProof/>
                        </w:rPr>
                        <w:drawing>
                          <wp:inline distT="0" distB="0" distL="0" distR="0" wp14:anchorId="605A1970" wp14:editId="7790271C">
                            <wp:extent cx="5805054" cy="4057015"/>
                            <wp:effectExtent l="0" t="0" r="5715" b="635"/>
                            <wp:docPr id="5188189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86878" name=""/>
                                    <pic:cNvPicPr/>
                                  </pic:nvPicPr>
                                  <pic:blipFill>
                                    <a:blip r:embed="rId208"/>
                                    <a:stretch>
                                      <a:fillRect/>
                                    </a:stretch>
                                  </pic:blipFill>
                                  <pic:spPr>
                                    <a:xfrm>
                                      <a:off x="0" y="0"/>
                                      <a:ext cx="5815935" cy="4064619"/>
                                    </a:xfrm>
                                    <a:prstGeom prst="rect">
                                      <a:avLst/>
                                    </a:prstGeom>
                                  </pic:spPr>
                                </pic:pic>
                              </a:graphicData>
                            </a:graphic>
                          </wp:inline>
                        </w:drawing>
                      </w:r>
                    </w:p>
                  </w:txbxContent>
                </v:textbox>
              </v:shape>
            </w:pict>
          </mc:Fallback>
        </mc:AlternateContent>
      </w:r>
    </w:p>
    <w:p w14:paraId="68DAA08D" w14:textId="77777777" w:rsidR="00E05B98" w:rsidRPr="003C6DAE" w:rsidRDefault="00E05B98">
      <w:pPr>
        <w:pStyle w:val="a3"/>
        <w:spacing w:before="59"/>
        <w:rPr>
          <w:rFonts w:ascii="Arial"/>
          <w:b/>
          <w:sz w:val="24"/>
          <w:lang w:val="uk-UA"/>
        </w:rPr>
      </w:pPr>
    </w:p>
    <w:tbl>
      <w:tblPr>
        <w:tblStyle w:val="ac"/>
        <w:tblW w:w="0" w:type="auto"/>
        <w:tblInd w:w="709" w:type="dxa"/>
        <w:tblLook w:val="04A0" w:firstRow="1" w:lastRow="0" w:firstColumn="1" w:lastColumn="0" w:noHBand="0" w:noVBand="1"/>
      </w:tblPr>
      <w:tblGrid>
        <w:gridCol w:w="9356"/>
      </w:tblGrid>
      <w:tr w:rsidR="00246FF7" w:rsidRPr="00D029FF" w14:paraId="5AE23F91" w14:textId="77777777" w:rsidTr="0000369C">
        <w:tc>
          <w:tcPr>
            <w:tcW w:w="10055" w:type="dxa"/>
            <w:tcBorders>
              <w:top w:val="single" w:sz="4" w:space="0" w:color="auto"/>
              <w:left w:val="nil"/>
              <w:bottom w:val="nil"/>
              <w:right w:val="nil"/>
            </w:tcBorders>
          </w:tcPr>
          <w:p w14:paraId="20EA62EF" w14:textId="1C7DFF49" w:rsidR="00246FF7" w:rsidRDefault="00246FF7" w:rsidP="00B86573">
            <w:pPr>
              <w:rPr>
                <w:sz w:val="16"/>
                <w:szCs w:val="16"/>
                <w:lang w:val="uk-UA"/>
              </w:rPr>
            </w:pPr>
            <w:r w:rsidRPr="00CE302F">
              <w:rPr>
                <w:b/>
                <w:bCs/>
                <w:sz w:val="16"/>
                <w:szCs w:val="16"/>
                <w:u w:val="single"/>
                <w:lang w:val="uk-UA"/>
              </w:rPr>
              <w:t>Примітки перекладача</w:t>
            </w:r>
            <w:r>
              <w:rPr>
                <w:sz w:val="16"/>
                <w:szCs w:val="16"/>
                <w:lang w:val="uk-UA"/>
              </w:rPr>
              <w:t xml:space="preserve">. ДІ: довірчий інтервал; </w:t>
            </w:r>
            <w:r>
              <w:rPr>
                <w:sz w:val="16"/>
                <w:szCs w:val="16"/>
              </w:rPr>
              <w:t>D</w:t>
            </w:r>
            <w:r w:rsidRPr="00226806">
              <w:rPr>
                <w:sz w:val="16"/>
                <w:szCs w:val="16"/>
              </w:rPr>
              <w:t>ST</w:t>
            </w:r>
            <w:r>
              <w:rPr>
                <w:sz w:val="16"/>
                <w:szCs w:val="16"/>
                <w:lang w:val="uk-UA"/>
              </w:rPr>
              <w:t xml:space="preserve">: ТМЧ; АІ: будь-який розмір ущільнення; </w:t>
            </w:r>
            <w:r>
              <w:rPr>
                <w:sz w:val="16"/>
                <w:szCs w:val="16"/>
              </w:rPr>
              <w:t>TST</w:t>
            </w:r>
            <w:r w:rsidRPr="00B40C1E">
              <w:rPr>
                <w:sz w:val="16"/>
                <w:szCs w:val="16"/>
                <w:lang w:val="uk-UA"/>
              </w:rPr>
              <w:t xml:space="preserve">:  </w:t>
            </w:r>
            <w:r>
              <w:rPr>
                <w:sz w:val="16"/>
                <w:szCs w:val="16"/>
                <w:lang w:val="uk-UA"/>
              </w:rPr>
              <w:t xml:space="preserve">туберкулінова </w:t>
            </w:r>
            <w:r w:rsidR="002B5818">
              <w:rPr>
                <w:sz w:val="16"/>
                <w:szCs w:val="16"/>
                <w:lang w:val="uk-UA"/>
              </w:rPr>
              <w:t xml:space="preserve">шкірна </w:t>
            </w:r>
            <w:r>
              <w:rPr>
                <w:sz w:val="16"/>
                <w:szCs w:val="16"/>
                <w:lang w:val="uk-UA"/>
              </w:rPr>
              <w:t>проба (</w:t>
            </w:r>
            <w:r w:rsidR="00D45FA2">
              <w:rPr>
                <w:sz w:val="16"/>
                <w:szCs w:val="16"/>
                <w:lang w:val="uk-UA"/>
              </w:rPr>
              <w:t>ТШП</w:t>
            </w:r>
            <w:r>
              <w:rPr>
                <w:sz w:val="16"/>
                <w:szCs w:val="16"/>
                <w:lang w:val="uk-UA"/>
              </w:rPr>
              <w:t xml:space="preserve">); </w:t>
            </w:r>
            <w:r>
              <w:rPr>
                <w:sz w:val="16"/>
                <w:szCs w:val="16"/>
              </w:rPr>
              <w:t>R</w:t>
            </w:r>
            <w:r w:rsidRPr="00226806">
              <w:rPr>
                <w:sz w:val="16"/>
                <w:szCs w:val="16"/>
              </w:rPr>
              <w:t>andom</w:t>
            </w:r>
            <w:r w:rsidRPr="00226806">
              <w:rPr>
                <w:sz w:val="16"/>
                <w:szCs w:val="16"/>
                <w:lang w:val="uk-UA"/>
              </w:rPr>
              <w:t xml:space="preserve"> </w:t>
            </w:r>
            <w:r w:rsidRPr="00226806">
              <w:rPr>
                <w:sz w:val="16"/>
                <w:szCs w:val="16"/>
              </w:rPr>
              <w:t>affects</w:t>
            </w:r>
            <w:r w:rsidRPr="00226806">
              <w:rPr>
                <w:sz w:val="16"/>
                <w:szCs w:val="16"/>
                <w:lang w:val="uk-UA"/>
              </w:rPr>
              <w:t xml:space="preserve"> </w:t>
            </w:r>
            <w:r w:rsidRPr="00226806">
              <w:rPr>
                <w:sz w:val="16"/>
                <w:szCs w:val="16"/>
              </w:rPr>
              <w:t>model</w:t>
            </w:r>
            <w:r w:rsidRPr="00226806">
              <w:rPr>
                <w:sz w:val="16"/>
                <w:szCs w:val="16"/>
                <w:lang w:val="uk-UA"/>
              </w:rPr>
              <w:t xml:space="preserve">: </w:t>
            </w:r>
            <w:r>
              <w:rPr>
                <w:sz w:val="16"/>
                <w:szCs w:val="16"/>
                <w:lang w:val="uk-UA"/>
              </w:rPr>
              <w:t>модель випадкових ефектів</w:t>
            </w:r>
            <w:r w:rsidRPr="00226806">
              <w:rPr>
                <w:sz w:val="16"/>
                <w:szCs w:val="16"/>
                <w:lang w:val="uk-UA"/>
              </w:rPr>
              <w:t xml:space="preserve">; </w:t>
            </w:r>
            <w:r w:rsidRPr="00226806">
              <w:rPr>
                <w:sz w:val="16"/>
                <w:szCs w:val="16"/>
              </w:rPr>
              <w:t>Heterogeneity</w:t>
            </w:r>
            <w:r w:rsidRPr="00226806">
              <w:rPr>
                <w:sz w:val="16"/>
                <w:szCs w:val="16"/>
                <w:lang w:val="uk-UA"/>
              </w:rPr>
              <w:t xml:space="preserve">: </w:t>
            </w:r>
            <w:r>
              <w:rPr>
                <w:sz w:val="16"/>
                <w:szCs w:val="16"/>
                <w:lang w:val="uk-UA"/>
              </w:rPr>
              <w:t xml:space="preserve">неоднорідність; </w:t>
            </w:r>
            <w:r>
              <w:rPr>
                <w:sz w:val="16"/>
                <w:szCs w:val="16"/>
              </w:rPr>
              <w:t>Test</w:t>
            </w:r>
            <w:r w:rsidRPr="003D28E5">
              <w:rPr>
                <w:sz w:val="16"/>
                <w:szCs w:val="16"/>
                <w:lang w:val="uk-UA"/>
              </w:rPr>
              <w:t xml:space="preserve"> </w:t>
            </w:r>
            <w:r>
              <w:rPr>
                <w:sz w:val="16"/>
                <w:szCs w:val="16"/>
              </w:rPr>
              <w:t>for</w:t>
            </w:r>
            <w:r w:rsidRPr="003D28E5">
              <w:rPr>
                <w:sz w:val="16"/>
                <w:szCs w:val="16"/>
                <w:lang w:val="uk-UA"/>
              </w:rPr>
              <w:t xml:space="preserve"> </w:t>
            </w:r>
            <w:r>
              <w:rPr>
                <w:sz w:val="16"/>
                <w:szCs w:val="16"/>
              </w:rPr>
              <w:t>subgroup</w:t>
            </w:r>
            <w:r w:rsidRPr="003D28E5">
              <w:rPr>
                <w:sz w:val="16"/>
                <w:szCs w:val="16"/>
                <w:lang w:val="uk-UA"/>
              </w:rPr>
              <w:t xml:space="preserve"> </w:t>
            </w:r>
            <w:r>
              <w:rPr>
                <w:sz w:val="16"/>
                <w:szCs w:val="16"/>
              </w:rPr>
              <w:t>differencies</w:t>
            </w:r>
            <w:r w:rsidRPr="003D28E5">
              <w:rPr>
                <w:sz w:val="16"/>
                <w:szCs w:val="16"/>
                <w:lang w:val="uk-UA"/>
              </w:rPr>
              <w:t>:</w:t>
            </w:r>
            <w:r>
              <w:rPr>
                <w:sz w:val="16"/>
                <w:szCs w:val="16"/>
                <w:lang w:val="uk-UA"/>
              </w:rPr>
              <w:t xml:space="preserve"> </w:t>
            </w:r>
            <w:r w:rsidRPr="00226806">
              <w:rPr>
                <w:sz w:val="16"/>
                <w:szCs w:val="16"/>
                <w:lang w:val="uk-UA"/>
              </w:rPr>
              <w:t>Дослідження на відмінності у підгрупах</w:t>
            </w:r>
          </w:p>
        </w:tc>
      </w:tr>
    </w:tbl>
    <w:p w14:paraId="2BCD9C67" w14:textId="49A9702B" w:rsidR="00B86573" w:rsidRPr="00CE302F" w:rsidRDefault="00B86573" w:rsidP="00B86573">
      <w:pPr>
        <w:ind w:left="709"/>
        <w:rPr>
          <w:sz w:val="16"/>
          <w:szCs w:val="16"/>
          <w:lang w:val="uk-UA"/>
        </w:rPr>
      </w:pPr>
    </w:p>
    <w:p w14:paraId="2C81CB52" w14:textId="77777777" w:rsidR="00B86573" w:rsidRDefault="00B86573">
      <w:pPr>
        <w:pStyle w:val="a3"/>
        <w:spacing w:before="1" w:line="297" w:lineRule="auto"/>
        <w:ind w:left="567" w:right="134"/>
        <w:jc w:val="both"/>
        <w:rPr>
          <w:spacing w:val="-2"/>
          <w:lang w:val="uk-UA"/>
        </w:rPr>
      </w:pPr>
    </w:p>
    <w:p w14:paraId="264E1EE3" w14:textId="105EEAF5" w:rsidR="00E05B98" w:rsidRDefault="009743BA" w:rsidP="0000369C">
      <w:pPr>
        <w:pStyle w:val="a3"/>
        <w:spacing w:before="1" w:line="276" w:lineRule="auto"/>
        <w:ind w:left="567" w:right="136"/>
        <w:jc w:val="both"/>
        <w:rPr>
          <w:sz w:val="20"/>
          <w:szCs w:val="20"/>
          <w:lang w:val="uk-UA"/>
        </w:rPr>
      </w:pPr>
      <w:r w:rsidRPr="00934E8E">
        <w:rPr>
          <w:spacing w:val="-2"/>
          <w:sz w:val="20"/>
          <w:szCs w:val="20"/>
          <w:lang w:val="uk-UA"/>
        </w:rPr>
        <w:t xml:space="preserve">Загальна об'єднана </w:t>
      </w:r>
      <w:r w:rsidR="002B7E68">
        <w:rPr>
          <w:spacing w:val="-2"/>
          <w:sz w:val="20"/>
          <w:szCs w:val="20"/>
          <w:lang w:val="uk-UA"/>
        </w:rPr>
        <w:t>відмінність</w:t>
      </w:r>
      <w:r w:rsidRPr="00934E8E">
        <w:rPr>
          <w:spacing w:val="-2"/>
          <w:sz w:val="20"/>
          <w:szCs w:val="20"/>
          <w:lang w:val="uk-UA"/>
        </w:rPr>
        <w:t xml:space="preserve"> </w:t>
      </w:r>
      <w:r w:rsidR="002B7E68">
        <w:rPr>
          <w:spacing w:val="-2"/>
          <w:sz w:val="20"/>
          <w:szCs w:val="20"/>
          <w:lang w:val="uk-UA"/>
        </w:rPr>
        <w:t>у</w:t>
      </w:r>
      <w:r w:rsidRPr="00934E8E">
        <w:rPr>
          <w:spacing w:val="-2"/>
          <w:sz w:val="20"/>
          <w:szCs w:val="20"/>
          <w:lang w:val="uk-UA"/>
        </w:rPr>
        <w:t xml:space="preserve"> специфічності в 14 дослідженнях (рис. 3.1.1.6), при порівнянні тестів ШПТБ і </w:t>
      </w:r>
      <w:r w:rsidR="00D45FA2">
        <w:rPr>
          <w:spacing w:val="-2"/>
          <w:sz w:val="20"/>
          <w:szCs w:val="20"/>
          <w:lang w:val="uk-UA"/>
        </w:rPr>
        <w:t>ТШП</w:t>
      </w:r>
      <w:r w:rsidRPr="00934E8E">
        <w:rPr>
          <w:spacing w:val="-2"/>
          <w:sz w:val="20"/>
          <w:szCs w:val="20"/>
          <w:lang w:val="uk-UA"/>
        </w:rPr>
        <w:t>, була на 33,5% (95% ДІ: 18,2-48,8%) вищою для тесту ШПТБ. У дослідженнях Діаскінтесту та C-TST, проведених у країнах з високим рівнем захворюваності на ТБ, відмінн</w:t>
      </w:r>
      <w:r w:rsidR="007B6EF8">
        <w:rPr>
          <w:spacing w:val="-2"/>
          <w:sz w:val="20"/>
          <w:szCs w:val="20"/>
          <w:lang w:val="uk-UA"/>
        </w:rPr>
        <w:t>ість</w:t>
      </w:r>
      <w:r w:rsidRPr="00934E8E">
        <w:rPr>
          <w:spacing w:val="-2"/>
          <w:sz w:val="20"/>
          <w:szCs w:val="20"/>
          <w:lang w:val="uk-UA"/>
        </w:rPr>
        <w:t xml:space="preserve"> у специфічності бул</w:t>
      </w:r>
      <w:r w:rsidR="007B6EF8">
        <w:rPr>
          <w:spacing w:val="-2"/>
          <w:sz w:val="20"/>
          <w:szCs w:val="20"/>
          <w:lang w:val="uk-UA"/>
        </w:rPr>
        <w:t>а</w:t>
      </w:r>
      <w:r w:rsidRPr="00934E8E">
        <w:rPr>
          <w:spacing w:val="-2"/>
          <w:sz w:val="20"/>
          <w:szCs w:val="20"/>
          <w:lang w:val="uk-UA"/>
        </w:rPr>
        <w:t xml:space="preserve"> вищ</w:t>
      </w:r>
      <w:r w:rsidR="007B6EF8">
        <w:rPr>
          <w:spacing w:val="-2"/>
          <w:sz w:val="20"/>
          <w:szCs w:val="20"/>
          <w:lang w:val="uk-UA"/>
        </w:rPr>
        <w:t>ою</w:t>
      </w:r>
      <w:r w:rsidRPr="00934E8E">
        <w:rPr>
          <w:spacing w:val="-2"/>
          <w:sz w:val="20"/>
          <w:szCs w:val="20"/>
          <w:lang w:val="uk-UA"/>
        </w:rPr>
        <w:t xml:space="preserve"> для Діаскінтесту порівняно з тестом </w:t>
      </w:r>
      <w:r w:rsidR="00D45FA2">
        <w:rPr>
          <w:spacing w:val="-2"/>
          <w:sz w:val="20"/>
          <w:szCs w:val="20"/>
          <w:lang w:val="uk-UA"/>
        </w:rPr>
        <w:t>ТШП</w:t>
      </w:r>
      <w:r w:rsidRPr="00934E8E">
        <w:rPr>
          <w:spacing w:val="-2"/>
          <w:sz w:val="20"/>
          <w:szCs w:val="20"/>
          <w:lang w:val="uk-UA"/>
        </w:rPr>
        <w:t xml:space="preserve"> (при цьому обидва тести мали порогове значення не менше 5 мм) (57,3%, 95% ДІ: 40,2-74,3%), ніж для Діаскінтесту (з будь-яким розміром ущільнення) порівняно з тестом </w:t>
      </w:r>
      <w:r w:rsidR="00D45FA2">
        <w:rPr>
          <w:spacing w:val="-2"/>
          <w:sz w:val="20"/>
          <w:szCs w:val="20"/>
          <w:lang w:val="uk-UA"/>
        </w:rPr>
        <w:t>ТШП</w:t>
      </w:r>
      <w:r w:rsidRPr="00934E8E">
        <w:rPr>
          <w:spacing w:val="-2"/>
          <w:sz w:val="20"/>
          <w:szCs w:val="20"/>
          <w:lang w:val="uk-UA"/>
        </w:rPr>
        <w:t xml:space="preserve"> з пороговим значенням не менше 5 мм (29,9%, 95% ДІ: -3,66-63,5%).</w:t>
      </w:r>
      <w:r w:rsidR="00B01E0C" w:rsidRPr="00934E8E">
        <w:rPr>
          <w:spacing w:val="-7"/>
          <w:sz w:val="20"/>
          <w:szCs w:val="20"/>
          <w:lang w:val="uk-UA"/>
        </w:rPr>
        <w:t xml:space="preserve"> </w:t>
      </w:r>
      <w:r w:rsidR="00672246" w:rsidRPr="00934E8E">
        <w:rPr>
          <w:sz w:val="20"/>
          <w:szCs w:val="20"/>
          <w:lang w:val="uk-UA"/>
        </w:rPr>
        <w:t xml:space="preserve">Для тесту C-TST порівняно з </w:t>
      </w:r>
      <w:r w:rsidR="00D45FA2">
        <w:rPr>
          <w:sz w:val="20"/>
          <w:szCs w:val="20"/>
          <w:lang w:val="uk-UA"/>
        </w:rPr>
        <w:t>ТШП</w:t>
      </w:r>
      <w:r w:rsidR="00672246" w:rsidRPr="00934E8E">
        <w:rPr>
          <w:sz w:val="20"/>
          <w:szCs w:val="20"/>
          <w:lang w:val="uk-UA"/>
        </w:rPr>
        <w:t xml:space="preserve"> з пороговим знач</w:t>
      </w:r>
      <w:r w:rsidR="007B6EF8">
        <w:rPr>
          <w:sz w:val="20"/>
          <w:szCs w:val="20"/>
          <w:lang w:val="uk-UA"/>
        </w:rPr>
        <w:t>е</w:t>
      </w:r>
      <w:r w:rsidR="00672246" w:rsidRPr="00934E8E">
        <w:rPr>
          <w:sz w:val="20"/>
          <w:szCs w:val="20"/>
          <w:lang w:val="uk-UA"/>
        </w:rPr>
        <w:t xml:space="preserve">нням принаймні 5 мм різниця у специфічності становила 39,9% (95% ДІ: 34,0-45,8%). Натомість, в дослідженнях тесту Cy-Tb, проведених у країнах з низьким рівнем захворюваності на ТБ, різниця показників специфічності між тестом Cy-Tb і тестом </w:t>
      </w:r>
      <w:r w:rsidR="00D45FA2">
        <w:rPr>
          <w:sz w:val="20"/>
          <w:szCs w:val="20"/>
          <w:lang w:val="uk-UA"/>
        </w:rPr>
        <w:t>ТШП</w:t>
      </w:r>
      <w:r w:rsidR="00672246" w:rsidRPr="00934E8E">
        <w:rPr>
          <w:sz w:val="20"/>
          <w:szCs w:val="20"/>
          <w:lang w:val="uk-UA"/>
        </w:rPr>
        <w:t xml:space="preserve"> була менш вираженою, але була більшою при застосуванні тесту </w:t>
      </w:r>
      <w:r w:rsidR="00D45FA2">
        <w:rPr>
          <w:sz w:val="20"/>
          <w:szCs w:val="20"/>
          <w:lang w:val="uk-UA"/>
        </w:rPr>
        <w:t>ТШП</w:t>
      </w:r>
      <w:r w:rsidR="00672246" w:rsidRPr="00934E8E">
        <w:rPr>
          <w:sz w:val="20"/>
          <w:szCs w:val="20"/>
          <w:lang w:val="uk-UA"/>
        </w:rPr>
        <w:t xml:space="preserve"> з пороговим значенням не менше 15 мм (4,61%, 95% ДІ: -28,6-37,9%), ніж для тесту </w:t>
      </w:r>
      <w:r w:rsidR="00D45FA2">
        <w:rPr>
          <w:sz w:val="20"/>
          <w:szCs w:val="20"/>
          <w:lang w:val="uk-UA"/>
        </w:rPr>
        <w:t>ТШП</w:t>
      </w:r>
      <w:r w:rsidR="00672246" w:rsidRPr="00934E8E">
        <w:rPr>
          <w:sz w:val="20"/>
          <w:szCs w:val="20"/>
          <w:lang w:val="uk-UA"/>
        </w:rPr>
        <w:t xml:space="preserve"> з пороговим значенням у 5 або 15 мм (-2,0%, 95% ДІ: -12,3-8,3%).</w:t>
      </w:r>
      <w:r w:rsidR="00B01E0C" w:rsidRPr="00934E8E">
        <w:rPr>
          <w:sz w:val="20"/>
          <w:szCs w:val="20"/>
          <w:lang w:val="uk-UA"/>
        </w:rPr>
        <w:t xml:space="preserve"> </w:t>
      </w:r>
      <w:r w:rsidR="00934E8E" w:rsidRPr="00934E8E">
        <w:rPr>
          <w:sz w:val="20"/>
          <w:szCs w:val="20"/>
          <w:lang w:val="uk-UA"/>
        </w:rPr>
        <w:t xml:space="preserve">Різницю можна пояснити фоновим рівнем БЦЖ у досліджуваних популяціях або використаними пороговими значеннями. На рис. </w:t>
      </w:r>
      <w:r w:rsidR="00934E8E" w:rsidRPr="007B6EF8">
        <w:rPr>
          <w:b/>
          <w:bCs/>
          <w:sz w:val="20"/>
          <w:szCs w:val="20"/>
          <w:lang w:val="uk-UA"/>
        </w:rPr>
        <w:t>3.1.1.7</w:t>
      </w:r>
      <w:r w:rsidR="00934E8E" w:rsidRPr="00934E8E">
        <w:rPr>
          <w:sz w:val="20"/>
          <w:szCs w:val="20"/>
          <w:lang w:val="uk-UA"/>
        </w:rPr>
        <w:t xml:space="preserve"> наведено детальніші дані про специфічність ШПТБ на противагу тесту </w:t>
      </w:r>
      <w:r w:rsidR="00D45FA2">
        <w:rPr>
          <w:sz w:val="20"/>
          <w:szCs w:val="20"/>
          <w:lang w:val="uk-UA"/>
        </w:rPr>
        <w:t>ТШП</w:t>
      </w:r>
      <w:r w:rsidR="00934E8E" w:rsidRPr="00934E8E">
        <w:rPr>
          <w:sz w:val="20"/>
          <w:szCs w:val="20"/>
          <w:lang w:val="uk-UA"/>
        </w:rPr>
        <w:t xml:space="preserve"> у вакцинованих БЦЖ осіб. Загальний ризик систематичної похибки вважався серйозним, оскільки розподіл тестів за групами не був сліпим у жодному з досліджень, окрім </w:t>
      </w:r>
      <w:r w:rsidR="003265C1">
        <w:rPr>
          <w:sz w:val="20"/>
          <w:szCs w:val="20"/>
          <w:lang w:val="uk-UA"/>
        </w:rPr>
        <w:t xml:space="preserve">при </w:t>
      </w:r>
      <w:r w:rsidR="00934E8E" w:rsidRPr="00934E8E">
        <w:rPr>
          <w:sz w:val="20"/>
          <w:szCs w:val="20"/>
          <w:lang w:val="uk-UA"/>
        </w:rPr>
        <w:t>дослідженн</w:t>
      </w:r>
      <w:r w:rsidR="003265C1">
        <w:rPr>
          <w:sz w:val="20"/>
          <w:szCs w:val="20"/>
          <w:lang w:val="uk-UA"/>
        </w:rPr>
        <w:t>і</w:t>
      </w:r>
      <w:r w:rsidR="00934E8E" w:rsidRPr="00934E8E">
        <w:rPr>
          <w:sz w:val="20"/>
          <w:szCs w:val="20"/>
          <w:lang w:val="uk-UA"/>
        </w:rPr>
        <w:t xml:space="preserve"> тесту Cy-Tb.</w:t>
      </w:r>
      <w:r w:rsidR="00B01E0C" w:rsidRPr="00934E8E">
        <w:rPr>
          <w:sz w:val="20"/>
          <w:szCs w:val="20"/>
          <w:lang w:val="uk-UA"/>
        </w:rPr>
        <w:t xml:space="preserve"> </w:t>
      </w:r>
      <w:r w:rsidR="00934E8E" w:rsidRPr="00934E8E">
        <w:rPr>
          <w:sz w:val="20"/>
          <w:szCs w:val="20"/>
          <w:lang w:val="uk-UA"/>
        </w:rPr>
        <w:t>У більшості досліджень Діаскінтесту відбір учасників та діагностика за допомогою еталонного стандарту були нечіткими. Тому достовірність доказів була знижена на один рівень через ризик систематичної похибки. Різниця в специфічності коливалася в діапазоні від -2% до 72%; отже, достовірність доказів була знижена ще на один рівень через неузгодженість</w:t>
      </w:r>
      <w:r w:rsidR="003265C1">
        <w:rPr>
          <w:sz w:val="20"/>
          <w:szCs w:val="20"/>
          <w:lang w:val="uk-UA"/>
        </w:rPr>
        <w:t xml:space="preserve"> результатів між дослідженнями</w:t>
      </w:r>
      <w:r w:rsidR="00934E8E" w:rsidRPr="00934E8E">
        <w:rPr>
          <w:sz w:val="20"/>
          <w:szCs w:val="20"/>
          <w:lang w:val="uk-UA"/>
        </w:rPr>
        <w:t xml:space="preserve">. Отже, достовірність доказів щодо різниці в специфічності між тестами ШПТБ і </w:t>
      </w:r>
      <w:r w:rsidR="00D45FA2">
        <w:rPr>
          <w:sz w:val="20"/>
          <w:szCs w:val="20"/>
          <w:lang w:val="uk-UA"/>
        </w:rPr>
        <w:t>ТШП</w:t>
      </w:r>
      <w:r w:rsidR="00934E8E" w:rsidRPr="00934E8E">
        <w:rPr>
          <w:sz w:val="20"/>
          <w:szCs w:val="20"/>
          <w:lang w:val="uk-UA"/>
        </w:rPr>
        <w:t xml:space="preserve"> була низькою.</w:t>
      </w:r>
    </w:p>
    <w:p w14:paraId="7EE79B05" w14:textId="77777777" w:rsidR="0000369C" w:rsidRDefault="0000369C" w:rsidP="0000369C">
      <w:pPr>
        <w:pStyle w:val="a3"/>
        <w:spacing w:before="1" w:line="276" w:lineRule="auto"/>
        <w:ind w:left="567" w:right="136"/>
        <w:jc w:val="both"/>
        <w:rPr>
          <w:sz w:val="20"/>
          <w:szCs w:val="20"/>
          <w:lang w:val="uk-UA"/>
        </w:rPr>
      </w:pPr>
    </w:p>
    <w:p w14:paraId="40E23868" w14:textId="77777777" w:rsidR="0000369C" w:rsidRPr="00934E8E" w:rsidRDefault="0000369C" w:rsidP="0000369C">
      <w:pPr>
        <w:pStyle w:val="a3"/>
        <w:spacing w:before="1" w:line="276" w:lineRule="auto"/>
        <w:ind w:left="567" w:right="136"/>
        <w:jc w:val="both"/>
        <w:rPr>
          <w:sz w:val="20"/>
          <w:szCs w:val="20"/>
          <w:lang w:val="uk-UA"/>
        </w:rPr>
      </w:pPr>
    </w:p>
    <w:p w14:paraId="7B8A7BB0" w14:textId="77777777" w:rsidR="00934E8E" w:rsidRPr="00934E8E" w:rsidRDefault="00934E8E">
      <w:pPr>
        <w:pStyle w:val="6"/>
        <w:spacing w:line="268" w:lineRule="auto"/>
        <w:rPr>
          <w:color w:val="636466"/>
          <w:spacing w:val="-4"/>
          <w:sz w:val="10"/>
          <w:szCs w:val="10"/>
          <w:lang w:val="uk-UA"/>
        </w:rPr>
      </w:pPr>
      <w:bookmarkStart w:id="100" w:name="_bookmark48"/>
      <w:bookmarkEnd w:id="100"/>
    </w:p>
    <w:p w14:paraId="0C19B4DD" w14:textId="1112DC4E" w:rsidR="00E05B98" w:rsidRPr="0000369C" w:rsidRDefault="00934E8E">
      <w:pPr>
        <w:pStyle w:val="6"/>
        <w:spacing w:line="268" w:lineRule="auto"/>
        <w:rPr>
          <w:color w:val="636466"/>
          <w:spacing w:val="-4"/>
          <w:sz w:val="21"/>
          <w:szCs w:val="21"/>
          <w:lang w:val="uk-UA"/>
        </w:rPr>
      </w:pPr>
      <w:r w:rsidRPr="0000369C">
        <w:rPr>
          <w:color w:val="636466"/>
          <w:spacing w:val="-4"/>
          <w:sz w:val="21"/>
          <w:szCs w:val="21"/>
          <w:lang w:val="uk-UA"/>
        </w:rPr>
        <w:lastRenderedPageBreak/>
        <w:t>Рис</w:t>
      </w:r>
      <w:r w:rsidR="00B01E0C" w:rsidRPr="0000369C">
        <w:rPr>
          <w:color w:val="636466"/>
          <w:spacing w:val="-4"/>
          <w:sz w:val="21"/>
          <w:szCs w:val="21"/>
          <w:lang w:val="uk-UA"/>
        </w:rPr>
        <w:t>.</w:t>
      </w:r>
      <w:r w:rsidR="00B01E0C" w:rsidRPr="0000369C">
        <w:rPr>
          <w:color w:val="636466"/>
          <w:spacing w:val="-11"/>
          <w:sz w:val="21"/>
          <w:szCs w:val="21"/>
          <w:lang w:val="uk-UA"/>
        </w:rPr>
        <w:t xml:space="preserve"> </w:t>
      </w:r>
      <w:r w:rsidR="00B01E0C" w:rsidRPr="0000369C">
        <w:rPr>
          <w:color w:val="636466"/>
          <w:spacing w:val="-4"/>
          <w:sz w:val="21"/>
          <w:szCs w:val="21"/>
          <w:lang w:val="uk-UA"/>
        </w:rPr>
        <w:t>3.1.1.7</w:t>
      </w:r>
      <w:r w:rsidR="00B01E0C" w:rsidRPr="0000369C">
        <w:rPr>
          <w:color w:val="636466"/>
          <w:spacing w:val="-11"/>
          <w:sz w:val="21"/>
          <w:szCs w:val="21"/>
          <w:lang w:val="uk-UA"/>
        </w:rPr>
        <w:t xml:space="preserve"> </w:t>
      </w:r>
      <w:r w:rsidRPr="0000369C">
        <w:rPr>
          <w:color w:val="636466"/>
          <w:spacing w:val="-11"/>
          <w:sz w:val="21"/>
          <w:szCs w:val="21"/>
          <w:lang w:val="uk-UA"/>
        </w:rPr>
        <w:t xml:space="preserve"> </w:t>
      </w:r>
      <w:r w:rsidRPr="0000369C">
        <w:rPr>
          <w:color w:val="636466"/>
          <w:spacing w:val="-4"/>
          <w:sz w:val="21"/>
          <w:szCs w:val="21"/>
          <w:lang w:val="uk-UA"/>
        </w:rPr>
        <w:t xml:space="preserve">Різниця у специфічності – використання тестів ШПТБ на противагу </w:t>
      </w:r>
      <w:r w:rsidR="00D45FA2">
        <w:rPr>
          <w:color w:val="636466"/>
          <w:spacing w:val="-4"/>
          <w:sz w:val="21"/>
          <w:szCs w:val="21"/>
          <w:lang w:val="uk-UA"/>
        </w:rPr>
        <w:t>ТШП</w:t>
      </w:r>
      <w:r w:rsidRPr="0000369C">
        <w:rPr>
          <w:color w:val="636466"/>
          <w:spacing w:val="-4"/>
          <w:sz w:val="21"/>
          <w:szCs w:val="21"/>
          <w:lang w:val="uk-UA"/>
        </w:rPr>
        <w:t xml:space="preserve"> у вакцинованої  БЦЖ</w:t>
      </w:r>
      <w:r w:rsidR="003265C1">
        <w:rPr>
          <w:color w:val="636466"/>
          <w:spacing w:val="-4"/>
          <w:sz w:val="21"/>
          <w:szCs w:val="21"/>
          <w:lang w:val="uk-UA"/>
        </w:rPr>
        <w:t xml:space="preserve"> популяції</w:t>
      </w:r>
    </w:p>
    <w:p w14:paraId="4D1D51DF" w14:textId="77777777" w:rsidR="00934E8E" w:rsidRPr="00000333" w:rsidRDefault="00934E8E">
      <w:pPr>
        <w:pStyle w:val="6"/>
        <w:spacing w:line="268" w:lineRule="auto"/>
        <w:rPr>
          <w:sz w:val="8"/>
          <w:szCs w:val="8"/>
          <w:lang w:val="uk-UA"/>
        </w:rPr>
      </w:pPr>
    </w:p>
    <w:tbl>
      <w:tblPr>
        <w:tblStyle w:val="ac"/>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1625"/>
        <w:gridCol w:w="5999"/>
      </w:tblGrid>
      <w:tr w:rsidR="00000333" w:rsidRPr="00D029FF" w14:paraId="10A479E5" w14:textId="77777777" w:rsidTr="00000333">
        <w:tc>
          <w:tcPr>
            <w:tcW w:w="2157" w:type="dxa"/>
          </w:tcPr>
          <w:p w14:paraId="4970B28C" w14:textId="343CCA66" w:rsidR="00000333" w:rsidRPr="00B40C1E" w:rsidRDefault="00000333" w:rsidP="007372B2">
            <w:pPr>
              <w:rPr>
                <w:rFonts w:ascii="Arial" w:hAnsi="Arial" w:cs="Arial"/>
                <w:b/>
                <w:bCs/>
                <w:sz w:val="17"/>
                <w:szCs w:val="17"/>
                <w:lang w:val="uk-UA"/>
              </w:rPr>
            </w:pPr>
            <w:r>
              <w:rPr>
                <w:rFonts w:ascii="Arial"/>
                <w:b/>
                <w:noProof/>
                <w:sz w:val="17"/>
                <w:lang w:val="uk-UA"/>
              </w:rPr>
              <mc:AlternateContent>
                <mc:Choice Requires="wps">
                  <w:drawing>
                    <wp:anchor distT="0" distB="0" distL="114300" distR="114300" simplePos="0" relativeHeight="488181248" behindDoc="0" locked="0" layoutInCell="1" allowOverlap="1" wp14:anchorId="1B2D7191" wp14:editId="5BAE14A6">
                      <wp:simplePos x="0" y="0"/>
                      <wp:positionH relativeFrom="page">
                        <wp:posOffset>69850</wp:posOffset>
                      </wp:positionH>
                      <wp:positionV relativeFrom="paragraph">
                        <wp:posOffset>2539</wp:posOffset>
                      </wp:positionV>
                      <wp:extent cx="6331527" cy="242455"/>
                      <wp:effectExtent l="0" t="0" r="0" b="5715"/>
                      <wp:wrapNone/>
                      <wp:docPr id="2073849300" name="Поле 1922"/>
                      <wp:cNvGraphicFramePr/>
                      <a:graphic xmlns:a="http://schemas.openxmlformats.org/drawingml/2006/main">
                        <a:graphicData uri="http://schemas.microsoft.com/office/word/2010/wordprocessingShape">
                          <wps:wsp>
                            <wps:cNvSpPr txBox="1"/>
                            <wps:spPr>
                              <a:xfrm>
                                <a:off x="0" y="0"/>
                                <a:ext cx="6331527" cy="242455"/>
                              </a:xfrm>
                              <a:prstGeom prst="rect">
                                <a:avLst/>
                              </a:prstGeom>
                              <a:solidFill>
                                <a:schemeClr val="bg1"/>
                              </a:solidFill>
                              <a:ln w="6350">
                                <a:noFill/>
                              </a:ln>
                            </wps:spPr>
                            <wps:txbx>
                              <w:txbxContent>
                                <w:tbl>
                                  <w:tblPr>
                                    <w:tblStyle w:val="ac"/>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820"/>
                                    <w:gridCol w:w="6662"/>
                                  </w:tblGrid>
                                  <w:tr w:rsidR="007372B2" w:rsidRPr="00794491" w14:paraId="5E788B73" w14:textId="77777777" w:rsidTr="002B7E68">
                                    <w:tc>
                                      <w:tcPr>
                                        <w:tcW w:w="2157" w:type="dxa"/>
                                      </w:tcPr>
                                      <w:p w14:paraId="776127D6" w14:textId="1B4EE3A0" w:rsidR="007372B2" w:rsidRPr="00B40C1E" w:rsidRDefault="007372B2" w:rsidP="00B86573">
                                        <w:pPr>
                                          <w:rPr>
                                            <w:rFonts w:ascii="Arial" w:hAnsi="Arial" w:cs="Arial"/>
                                            <w:b/>
                                            <w:bCs/>
                                            <w:sz w:val="17"/>
                                            <w:szCs w:val="17"/>
                                            <w:lang w:val="uk-UA"/>
                                          </w:rPr>
                                        </w:pPr>
                                        <w:r>
                                          <w:rPr>
                                            <w:rFonts w:ascii="Arial" w:hAnsi="Arial" w:cs="Arial"/>
                                            <w:b/>
                                            <w:bCs/>
                                            <w:sz w:val="17"/>
                                            <w:szCs w:val="17"/>
                                            <w:lang w:val="uk-UA"/>
                                          </w:rPr>
                                          <w:t xml:space="preserve">    </w:t>
                                        </w:r>
                                        <w:r w:rsidRPr="00B40C1E">
                                          <w:rPr>
                                            <w:rFonts w:ascii="Arial" w:hAnsi="Arial" w:cs="Arial"/>
                                            <w:b/>
                                            <w:bCs/>
                                            <w:sz w:val="17"/>
                                            <w:szCs w:val="17"/>
                                            <w:lang w:val="uk-UA"/>
                                          </w:rPr>
                                          <w:t>Дослідження</w:t>
                                        </w:r>
                                      </w:p>
                                    </w:tc>
                                    <w:tc>
                                      <w:tcPr>
                                        <w:tcW w:w="820" w:type="dxa"/>
                                      </w:tcPr>
                                      <w:p w14:paraId="6542330D" w14:textId="77777777" w:rsidR="007372B2" w:rsidRPr="00B40C1E" w:rsidRDefault="007372B2" w:rsidP="00B86573">
                                        <w:pPr>
                                          <w:rPr>
                                            <w:rFonts w:ascii="Arial" w:hAnsi="Arial" w:cs="Arial"/>
                                            <w:b/>
                                            <w:bCs/>
                                            <w:sz w:val="17"/>
                                            <w:szCs w:val="17"/>
                                            <w:lang w:val="uk-UA"/>
                                          </w:rPr>
                                        </w:pPr>
                                      </w:p>
                                    </w:tc>
                                    <w:tc>
                                      <w:tcPr>
                                        <w:tcW w:w="6662" w:type="dxa"/>
                                      </w:tcPr>
                                      <w:p w14:paraId="14175730" w14:textId="0D7A0BD3" w:rsidR="007372B2" w:rsidRPr="00000333" w:rsidRDefault="007372B2" w:rsidP="00B86573">
                                        <w:pPr>
                                          <w:rPr>
                                            <w:rFonts w:ascii="Arial" w:hAnsi="Arial" w:cs="Arial"/>
                                            <w:b/>
                                            <w:bCs/>
                                            <w:sz w:val="17"/>
                                            <w:szCs w:val="17"/>
                                            <w:lang w:val="uk-UA"/>
                                          </w:rPr>
                                        </w:pPr>
                                        <w:r>
                                          <w:rPr>
                                            <w:rFonts w:ascii="Arial" w:hAnsi="Arial" w:cs="Arial"/>
                                            <w:b/>
                                            <w:bCs/>
                                            <w:sz w:val="17"/>
                                            <w:szCs w:val="17"/>
                                            <w:lang w:val="uk-UA"/>
                                          </w:rPr>
                                          <w:t xml:space="preserve">                                                                </w:t>
                                        </w:r>
                                        <w:r>
                                          <w:rPr>
                                            <w:rFonts w:ascii="Arial" w:hAnsi="Arial" w:cs="Arial"/>
                                            <w:b/>
                                            <w:bCs/>
                                            <w:sz w:val="17"/>
                                            <w:szCs w:val="17"/>
                                          </w:rPr>
                                          <w:t xml:space="preserve">     </w:t>
                                        </w:r>
                                        <w:r>
                                          <w:rPr>
                                            <w:rFonts w:ascii="Arial" w:hAnsi="Arial" w:cs="Arial"/>
                                            <w:b/>
                                            <w:bCs/>
                                            <w:sz w:val="17"/>
                                            <w:szCs w:val="17"/>
                                            <w:lang w:val="uk-UA"/>
                                          </w:rPr>
                                          <w:t xml:space="preserve">Відмінність (%)       </w:t>
                                        </w:r>
                                        <w:r w:rsidRPr="00B40C1E">
                                          <w:rPr>
                                            <w:rFonts w:ascii="Arial" w:hAnsi="Arial" w:cs="Arial"/>
                                            <w:b/>
                                            <w:bCs/>
                                            <w:sz w:val="17"/>
                                            <w:szCs w:val="17"/>
                                            <w:lang w:val="uk-UA"/>
                                          </w:rPr>
                                          <w:t>95%  ДІ</w:t>
                                        </w:r>
                                        <w:r>
                                          <w:rPr>
                                            <w:rFonts w:ascii="Arial" w:hAnsi="Arial" w:cs="Arial"/>
                                            <w:b/>
                                            <w:bCs/>
                                            <w:sz w:val="17"/>
                                            <w:szCs w:val="17"/>
                                          </w:rPr>
                                          <w:t xml:space="preserve">   </w:t>
                                        </w:r>
                                        <w:r>
                                          <w:rPr>
                                            <w:rFonts w:ascii="Arial" w:hAnsi="Arial" w:cs="Arial"/>
                                            <w:b/>
                                            <w:bCs/>
                                            <w:sz w:val="17"/>
                                            <w:szCs w:val="17"/>
                                            <w:lang w:val="uk-UA"/>
                                          </w:rPr>
                                          <w:t xml:space="preserve"> Ваги</w:t>
                                        </w:r>
                                      </w:p>
                                    </w:tc>
                                  </w:tr>
                                </w:tbl>
                                <w:p w14:paraId="518AB1C3" w14:textId="77777777" w:rsidR="007372B2" w:rsidRDefault="007372B2" w:rsidP="000003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D7191" id="_x0000_s1197" type="#_x0000_t202" style="position:absolute;margin-left:5.5pt;margin-top:.2pt;width:498.55pt;height:19.1pt;z-index:48818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" fillcolor="white [3212]" stroked="f" strokeweight=".5pt">
                      <v:textbox>
                        <w:txbxContent>
                          <w:tbl>
                            <w:tblPr>
                              <w:tblStyle w:val="ac"/>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820"/>
                              <w:gridCol w:w="6662"/>
                            </w:tblGrid>
                            <w:tr w:rsidR="007372B2" w:rsidRPr="00794491" w14:paraId="5E788B73" w14:textId="77777777" w:rsidTr="002B7E68">
                              <w:tc>
                                <w:tcPr>
                                  <w:tcW w:w="2157" w:type="dxa"/>
                                </w:tcPr>
                                <w:p w14:paraId="776127D6" w14:textId="1B4EE3A0" w:rsidR="007372B2" w:rsidRPr="00B40C1E" w:rsidRDefault="007372B2" w:rsidP="00B86573">
                                  <w:pPr>
                                    <w:rPr>
                                      <w:rFonts w:ascii="Arial" w:hAnsi="Arial" w:cs="Arial"/>
                                      <w:b/>
                                      <w:bCs/>
                                      <w:sz w:val="17"/>
                                      <w:szCs w:val="17"/>
                                      <w:lang w:val="uk-UA"/>
                                    </w:rPr>
                                  </w:pPr>
                                  <w:r>
                                    <w:rPr>
                                      <w:rFonts w:ascii="Arial" w:hAnsi="Arial" w:cs="Arial"/>
                                      <w:b/>
                                      <w:bCs/>
                                      <w:sz w:val="17"/>
                                      <w:szCs w:val="17"/>
                                      <w:lang w:val="uk-UA"/>
                                    </w:rPr>
                                    <w:t xml:space="preserve">    </w:t>
                                  </w:r>
                                  <w:r w:rsidRPr="00B40C1E">
                                    <w:rPr>
                                      <w:rFonts w:ascii="Arial" w:hAnsi="Arial" w:cs="Arial"/>
                                      <w:b/>
                                      <w:bCs/>
                                      <w:sz w:val="17"/>
                                      <w:szCs w:val="17"/>
                                      <w:lang w:val="uk-UA"/>
                                    </w:rPr>
                                    <w:t>Дослідження</w:t>
                                  </w:r>
                                </w:p>
                              </w:tc>
                              <w:tc>
                                <w:tcPr>
                                  <w:tcW w:w="820" w:type="dxa"/>
                                </w:tcPr>
                                <w:p w14:paraId="6542330D" w14:textId="77777777" w:rsidR="007372B2" w:rsidRPr="00B40C1E" w:rsidRDefault="007372B2" w:rsidP="00B86573">
                                  <w:pPr>
                                    <w:rPr>
                                      <w:rFonts w:ascii="Arial" w:hAnsi="Arial" w:cs="Arial"/>
                                      <w:b/>
                                      <w:bCs/>
                                      <w:sz w:val="17"/>
                                      <w:szCs w:val="17"/>
                                      <w:lang w:val="uk-UA"/>
                                    </w:rPr>
                                  </w:pPr>
                                </w:p>
                              </w:tc>
                              <w:tc>
                                <w:tcPr>
                                  <w:tcW w:w="6662" w:type="dxa"/>
                                </w:tcPr>
                                <w:p w14:paraId="14175730" w14:textId="0D7A0BD3" w:rsidR="007372B2" w:rsidRPr="00000333" w:rsidRDefault="007372B2" w:rsidP="00B86573">
                                  <w:pPr>
                                    <w:rPr>
                                      <w:rFonts w:ascii="Arial" w:hAnsi="Arial" w:cs="Arial"/>
                                      <w:b/>
                                      <w:bCs/>
                                      <w:sz w:val="17"/>
                                      <w:szCs w:val="17"/>
                                      <w:lang w:val="uk-UA"/>
                                    </w:rPr>
                                  </w:pPr>
                                  <w:r>
                                    <w:rPr>
                                      <w:rFonts w:ascii="Arial" w:hAnsi="Arial" w:cs="Arial"/>
                                      <w:b/>
                                      <w:bCs/>
                                      <w:sz w:val="17"/>
                                      <w:szCs w:val="17"/>
                                      <w:lang w:val="uk-UA"/>
                                    </w:rPr>
                                    <w:t xml:space="preserve">                                                                </w:t>
                                  </w:r>
                                  <w:r>
                                    <w:rPr>
                                      <w:rFonts w:ascii="Arial" w:hAnsi="Arial" w:cs="Arial"/>
                                      <w:b/>
                                      <w:bCs/>
                                      <w:sz w:val="17"/>
                                      <w:szCs w:val="17"/>
                                    </w:rPr>
                                    <w:t xml:space="preserve">     </w:t>
                                  </w:r>
                                  <w:r>
                                    <w:rPr>
                                      <w:rFonts w:ascii="Arial" w:hAnsi="Arial" w:cs="Arial"/>
                                      <w:b/>
                                      <w:bCs/>
                                      <w:sz w:val="17"/>
                                      <w:szCs w:val="17"/>
                                      <w:lang w:val="uk-UA"/>
                                    </w:rPr>
                                    <w:t xml:space="preserve">Відмінність (%)       </w:t>
                                  </w:r>
                                  <w:r w:rsidRPr="00B40C1E">
                                    <w:rPr>
                                      <w:rFonts w:ascii="Arial" w:hAnsi="Arial" w:cs="Arial"/>
                                      <w:b/>
                                      <w:bCs/>
                                      <w:sz w:val="17"/>
                                      <w:szCs w:val="17"/>
                                      <w:lang w:val="uk-UA"/>
                                    </w:rPr>
                                    <w:t>95%  ДІ</w:t>
                                  </w:r>
                                  <w:r>
                                    <w:rPr>
                                      <w:rFonts w:ascii="Arial" w:hAnsi="Arial" w:cs="Arial"/>
                                      <w:b/>
                                      <w:bCs/>
                                      <w:sz w:val="17"/>
                                      <w:szCs w:val="17"/>
                                    </w:rPr>
                                    <w:t xml:space="preserve">   </w:t>
                                  </w:r>
                                  <w:r>
                                    <w:rPr>
                                      <w:rFonts w:ascii="Arial" w:hAnsi="Arial" w:cs="Arial"/>
                                      <w:b/>
                                      <w:bCs/>
                                      <w:sz w:val="17"/>
                                      <w:szCs w:val="17"/>
                                      <w:lang w:val="uk-UA"/>
                                    </w:rPr>
                                    <w:t xml:space="preserve"> Ваги</w:t>
                                  </w:r>
                                </w:p>
                              </w:tc>
                            </w:tr>
                          </w:tbl>
                          <w:p w14:paraId="518AB1C3" w14:textId="77777777" w:rsidR="007372B2" w:rsidRDefault="007372B2" w:rsidP="00000333"/>
                        </w:txbxContent>
                      </v:textbox>
                      <w10:wrap anchorx="page"/>
                    </v:shape>
                  </w:pict>
                </mc:Fallback>
              </mc:AlternateContent>
            </w:r>
          </w:p>
        </w:tc>
        <w:tc>
          <w:tcPr>
            <w:tcW w:w="1625" w:type="dxa"/>
          </w:tcPr>
          <w:p w14:paraId="30E6FE93" w14:textId="6958A85E" w:rsidR="00000333" w:rsidRPr="00B40C1E" w:rsidRDefault="00000333" w:rsidP="007372B2">
            <w:pPr>
              <w:rPr>
                <w:rFonts w:ascii="Arial" w:hAnsi="Arial" w:cs="Arial"/>
                <w:b/>
                <w:bCs/>
                <w:sz w:val="17"/>
                <w:szCs w:val="17"/>
                <w:lang w:val="uk-UA"/>
              </w:rPr>
            </w:pPr>
          </w:p>
        </w:tc>
        <w:tc>
          <w:tcPr>
            <w:tcW w:w="5999" w:type="dxa"/>
          </w:tcPr>
          <w:p w14:paraId="28C109DF" w14:textId="4B07125F" w:rsidR="00000333" w:rsidRPr="00B40C1E" w:rsidRDefault="00000333" w:rsidP="007372B2">
            <w:pPr>
              <w:rPr>
                <w:rFonts w:ascii="Arial" w:hAnsi="Arial" w:cs="Arial"/>
                <w:b/>
                <w:bCs/>
                <w:sz w:val="17"/>
                <w:szCs w:val="17"/>
                <w:lang w:val="uk-UA"/>
              </w:rPr>
            </w:pPr>
          </w:p>
        </w:tc>
      </w:tr>
    </w:tbl>
    <w:p w14:paraId="1FCBA79E" w14:textId="77777777" w:rsidR="00934E8E" w:rsidRPr="00934E8E" w:rsidRDefault="00934E8E">
      <w:pPr>
        <w:pStyle w:val="6"/>
        <w:spacing w:line="268" w:lineRule="auto"/>
        <w:rPr>
          <w:sz w:val="22"/>
          <w:szCs w:val="22"/>
          <w:lang w:val="uk-UA"/>
        </w:rPr>
      </w:pPr>
    </w:p>
    <w:p w14:paraId="513C3D41" w14:textId="3FF8C22B" w:rsidR="00E05B98" w:rsidRPr="003C6DAE" w:rsidRDefault="00934E8E" w:rsidP="00934E8E">
      <w:pPr>
        <w:pStyle w:val="a3"/>
        <w:ind w:left="567"/>
        <w:rPr>
          <w:rFonts w:ascii="Arial"/>
          <w:b/>
          <w:sz w:val="20"/>
          <w:lang w:val="uk-UA"/>
        </w:rPr>
      </w:pPr>
      <w:r w:rsidRPr="00934E8E">
        <w:rPr>
          <w:rFonts w:ascii="Arial"/>
          <w:b/>
          <w:noProof/>
          <w:sz w:val="20"/>
          <w:lang w:val="uk-UA"/>
        </w:rPr>
        <w:drawing>
          <wp:inline distT="0" distB="0" distL="0" distR="0" wp14:anchorId="453DB07B" wp14:editId="1489B85D">
            <wp:extent cx="5706732" cy="1849582"/>
            <wp:effectExtent l="0" t="0" r="0" b="0"/>
            <wp:docPr id="5924687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68751" name=""/>
                    <pic:cNvPicPr/>
                  </pic:nvPicPr>
                  <pic:blipFill>
                    <a:blip r:embed="rId209"/>
                    <a:stretch>
                      <a:fillRect/>
                    </a:stretch>
                  </pic:blipFill>
                  <pic:spPr>
                    <a:xfrm>
                      <a:off x="0" y="0"/>
                      <a:ext cx="5739720" cy="1860274"/>
                    </a:xfrm>
                    <a:prstGeom prst="rect">
                      <a:avLst/>
                    </a:prstGeom>
                  </pic:spPr>
                </pic:pic>
              </a:graphicData>
            </a:graphic>
          </wp:inline>
        </w:drawing>
      </w:r>
      <w:r w:rsidRPr="00934E8E">
        <w:rPr>
          <w:rFonts w:ascii="Arial"/>
          <w:b/>
          <w:noProof/>
          <w:sz w:val="20"/>
          <w:lang w:val="uk-UA"/>
        </w:rPr>
        <w:t xml:space="preserve"> </w:t>
      </w:r>
    </w:p>
    <w:p w14:paraId="0F06BE95" w14:textId="77777777" w:rsidR="00E05B98" w:rsidRDefault="00E05B98">
      <w:pPr>
        <w:pStyle w:val="a3"/>
        <w:spacing w:before="49"/>
        <w:rPr>
          <w:rFonts w:ascii="Arial"/>
          <w:b/>
          <w:sz w:val="10"/>
          <w:szCs w:val="10"/>
          <w:lang w:val="uk-UA"/>
        </w:rPr>
      </w:pPr>
    </w:p>
    <w:p w14:paraId="16C338DA" w14:textId="77777777" w:rsidR="0000369C" w:rsidRDefault="0000369C">
      <w:pPr>
        <w:pStyle w:val="a3"/>
        <w:spacing w:before="49"/>
        <w:rPr>
          <w:rFonts w:ascii="Arial"/>
          <w:b/>
          <w:sz w:val="10"/>
          <w:szCs w:val="10"/>
          <w:lang w:val="uk-UA"/>
        </w:rPr>
      </w:pPr>
    </w:p>
    <w:p w14:paraId="7FEF623D" w14:textId="77777777" w:rsidR="0000369C" w:rsidRPr="00246FF7" w:rsidRDefault="0000369C">
      <w:pPr>
        <w:pStyle w:val="a3"/>
        <w:spacing w:before="49"/>
        <w:rPr>
          <w:rFonts w:ascii="Arial"/>
          <w:b/>
          <w:sz w:val="10"/>
          <w:szCs w:val="10"/>
          <w:lang w:val="uk-UA"/>
        </w:rPr>
      </w:pPr>
    </w:p>
    <w:tbl>
      <w:tblPr>
        <w:tblStyle w:val="ac"/>
        <w:tblW w:w="0" w:type="auto"/>
        <w:tblInd w:w="567" w:type="dxa"/>
        <w:tblLook w:val="04A0" w:firstRow="1" w:lastRow="0" w:firstColumn="1" w:lastColumn="0" w:noHBand="0" w:noVBand="1"/>
      </w:tblPr>
      <w:tblGrid>
        <w:gridCol w:w="9218"/>
      </w:tblGrid>
      <w:tr w:rsidR="00000333" w:rsidRPr="00D029FF" w14:paraId="57C05353" w14:textId="77777777" w:rsidTr="00BC7198">
        <w:tc>
          <w:tcPr>
            <w:tcW w:w="9218" w:type="dxa"/>
            <w:tcBorders>
              <w:top w:val="single" w:sz="4" w:space="0" w:color="auto"/>
              <w:left w:val="nil"/>
              <w:bottom w:val="nil"/>
              <w:right w:val="nil"/>
            </w:tcBorders>
          </w:tcPr>
          <w:p w14:paraId="1F4AC035" w14:textId="1EB16539" w:rsidR="00000333" w:rsidRPr="00CE302F" w:rsidRDefault="00000333" w:rsidP="00000333">
            <w:pPr>
              <w:ind w:left="-109"/>
              <w:rPr>
                <w:sz w:val="16"/>
                <w:szCs w:val="16"/>
                <w:lang w:val="uk-UA"/>
              </w:rPr>
            </w:pPr>
            <w:r w:rsidRPr="00CE302F">
              <w:rPr>
                <w:b/>
                <w:bCs/>
                <w:sz w:val="16"/>
                <w:szCs w:val="16"/>
                <w:u w:val="single"/>
                <w:lang w:val="uk-UA"/>
              </w:rPr>
              <w:t>Примітки перекладача</w:t>
            </w:r>
            <w:r>
              <w:rPr>
                <w:sz w:val="16"/>
                <w:szCs w:val="16"/>
                <w:lang w:val="uk-UA"/>
              </w:rPr>
              <w:t xml:space="preserve">. ДІ: довірчий інтервал; </w:t>
            </w:r>
            <w:r>
              <w:rPr>
                <w:sz w:val="16"/>
                <w:szCs w:val="16"/>
              </w:rPr>
              <w:t>D</w:t>
            </w:r>
            <w:r w:rsidRPr="00226806">
              <w:rPr>
                <w:sz w:val="16"/>
                <w:szCs w:val="16"/>
              </w:rPr>
              <w:t>ST</w:t>
            </w:r>
            <w:r>
              <w:rPr>
                <w:sz w:val="16"/>
                <w:szCs w:val="16"/>
                <w:lang w:val="uk-UA"/>
              </w:rPr>
              <w:t xml:space="preserve">: ТМЧ; </w:t>
            </w:r>
            <w:r>
              <w:rPr>
                <w:sz w:val="16"/>
                <w:szCs w:val="16"/>
              </w:rPr>
              <w:t>TST</w:t>
            </w:r>
            <w:r w:rsidRPr="00B40C1E">
              <w:rPr>
                <w:sz w:val="16"/>
                <w:szCs w:val="16"/>
                <w:lang w:val="uk-UA"/>
              </w:rPr>
              <w:t xml:space="preserve">: </w:t>
            </w:r>
            <w:r>
              <w:rPr>
                <w:sz w:val="16"/>
                <w:szCs w:val="16"/>
                <w:lang w:val="uk-UA"/>
              </w:rPr>
              <w:t xml:space="preserve">туберкулінова </w:t>
            </w:r>
            <w:r w:rsidR="002B5818">
              <w:rPr>
                <w:sz w:val="16"/>
                <w:szCs w:val="16"/>
                <w:lang w:val="uk-UA"/>
              </w:rPr>
              <w:t xml:space="preserve">шкірна </w:t>
            </w:r>
            <w:r>
              <w:rPr>
                <w:sz w:val="16"/>
                <w:szCs w:val="16"/>
                <w:lang w:val="uk-UA"/>
              </w:rPr>
              <w:t>проба (</w:t>
            </w:r>
            <w:r w:rsidR="00D45FA2">
              <w:rPr>
                <w:sz w:val="16"/>
                <w:szCs w:val="16"/>
                <w:lang w:val="uk-UA"/>
              </w:rPr>
              <w:t>ТШП</w:t>
            </w:r>
            <w:r>
              <w:rPr>
                <w:sz w:val="16"/>
                <w:szCs w:val="16"/>
                <w:lang w:val="uk-UA"/>
              </w:rPr>
              <w:t xml:space="preserve">); </w:t>
            </w:r>
            <w:r>
              <w:rPr>
                <w:sz w:val="16"/>
                <w:szCs w:val="16"/>
              </w:rPr>
              <w:t>R</w:t>
            </w:r>
            <w:r w:rsidRPr="00226806">
              <w:rPr>
                <w:sz w:val="16"/>
                <w:szCs w:val="16"/>
              </w:rPr>
              <w:t>andom</w:t>
            </w:r>
            <w:r w:rsidRPr="00226806">
              <w:rPr>
                <w:sz w:val="16"/>
                <w:szCs w:val="16"/>
                <w:lang w:val="uk-UA"/>
              </w:rPr>
              <w:t xml:space="preserve"> </w:t>
            </w:r>
            <w:r w:rsidRPr="00226806">
              <w:rPr>
                <w:sz w:val="16"/>
                <w:szCs w:val="16"/>
              </w:rPr>
              <w:t>affects</w:t>
            </w:r>
            <w:r w:rsidRPr="00226806">
              <w:rPr>
                <w:sz w:val="16"/>
                <w:szCs w:val="16"/>
                <w:lang w:val="uk-UA"/>
              </w:rPr>
              <w:t xml:space="preserve"> </w:t>
            </w:r>
            <w:r w:rsidRPr="00226806">
              <w:rPr>
                <w:sz w:val="16"/>
                <w:szCs w:val="16"/>
              </w:rPr>
              <w:t>model</w:t>
            </w:r>
            <w:r w:rsidRPr="00226806">
              <w:rPr>
                <w:sz w:val="16"/>
                <w:szCs w:val="16"/>
                <w:lang w:val="uk-UA"/>
              </w:rPr>
              <w:t xml:space="preserve">: </w:t>
            </w:r>
            <w:r>
              <w:rPr>
                <w:sz w:val="16"/>
                <w:szCs w:val="16"/>
                <w:lang w:val="uk-UA"/>
              </w:rPr>
              <w:t>модель випадкових ефектів</w:t>
            </w:r>
            <w:r w:rsidRPr="00226806">
              <w:rPr>
                <w:sz w:val="16"/>
                <w:szCs w:val="16"/>
                <w:lang w:val="uk-UA"/>
              </w:rPr>
              <w:t xml:space="preserve">; </w:t>
            </w:r>
            <w:r w:rsidRPr="00226806">
              <w:rPr>
                <w:sz w:val="16"/>
                <w:szCs w:val="16"/>
              </w:rPr>
              <w:t>Heterogeneity</w:t>
            </w:r>
            <w:r w:rsidRPr="00226806">
              <w:rPr>
                <w:sz w:val="16"/>
                <w:szCs w:val="16"/>
                <w:lang w:val="uk-UA"/>
              </w:rPr>
              <w:t xml:space="preserve">: </w:t>
            </w:r>
            <w:r>
              <w:rPr>
                <w:sz w:val="16"/>
                <w:szCs w:val="16"/>
                <w:lang w:val="uk-UA"/>
              </w:rPr>
              <w:t xml:space="preserve">неоднорідність; </w:t>
            </w:r>
            <w:r>
              <w:rPr>
                <w:sz w:val="16"/>
                <w:szCs w:val="16"/>
              </w:rPr>
              <w:t>Test</w:t>
            </w:r>
            <w:r w:rsidRPr="003D28E5">
              <w:rPr>
                <w:sz w:val="16"/>
                <w:szCs w:val="16"/>
                <w:lang w:val="uk-UA"/>
              </w:rPr>
              <w:t xml:space="preserve"> </w:t>
            </w:r>
            <w:r>
              <w:rPr>
                <w:sz w:val="16"/>
                <w:szCs w:val="16"/>
              </w:rPr>
              <w:t>for</w:t>
            </w:r>
            <w:r w:rsidRPr="003D28E5">
              <w:rPr>
                <w:sz w:val="16"/>
                <w:szCs w:val="16"/>
                <w:lang w:val="uk-UA"/>
              </w:rPr>
              <w:t xml:space="preserve"> </w:t>
            </w:r>
            <w:r>
              <w:rPr>
                <w:sz w:val="16"/>
                <w:szCs w:val="16"/>
              </w:rPr>
              <w:t>subgroup</w:t>
            </w:r>
            <w:r w:rsidRPr="003D28E5">
              <w:rPr>
                <w:sz w:val="16"/>
                <w:szCs w:val="16"/>
                <w:lang w:val="uk-UA"/>
              </w:rPr>
              <w:t xml:space="preserve"> </w:t>
            </w:r>
            <w:r>
              <w:rPr>
                <w:sz w:val="16"/>
                <w:szCs w:val="16"/>
              </w:rPr>
              <w:t>differencies</w:t>
            </w:r>
            <w:r w:rsidRPr="003D28E5">
              <w:rPr>
                <w:sz w:val="16"/>
                <w:szCs w:val="16"/>
                <w:lang w:val="uk-UA"/>
              </w:rPr>
              <w:t>:</w:t>
            </w:r>
            <w:r>
              <w:rPr>
                <w:sz w:val="16"/>
                <w:szCs w:val="16"/>
                <w:lang w:val="uk-UA"/>
              </w:rPr>
              <w:t xml:space="preserve"> </w:t>
            </w:r>
            <w:r w:rsidRPr="00226806">
              <w:rPr>
                <w:sz w:val="16"/>
                <w:szCs w:val="16"/>
                <w:lang w:val="uk-UA"/>
              </w:rPr>
              <w:t>Дослідження на відмінності у підгрупах</w:t>
            </w:r>
          </w:p>
          <w:p w14:paraId="10B7017A" w14:textId="77777777" w:rsidR="0000369C" w:rsidRDefault="0000369C">
            <w:pPr>
              <w:pStyle w:val="a3"/>
              <w:spacing w:line="297" w:lineRule="auto"/>
              <w:ind w:right="137"/>
              <w:jc w:val="both"/>
              <w:rPr>
                <w:w w:val="105"/>
                <w:lang w:val="uk-UA"/>
              </w:rPr>
            </w:pPr>
          </w:p>
        </w:tc>
      </w:tr>
    </w:tbl>
    <w:p w14:paraId="226C25B0" w14:textId="77777777" w:rsidR="0000369C" w:rsidRDefault="0000369C" w:rsidP="0000369C">
      <w:pPr>
        <w:pStyle w:val="a3"/>
        <w:spacing w:line="269" w:lineRule="auto"/>
        <w:ind w:left="567" w:right="136"/>
        <w:jc w:val="both"/>
        <w:rPr>
          <w:w w:val="105"/>
          <w:sz w:val="20"/>
          <w:szCs w:val="20"/>
          <w:lang w:val="uk-UA"/>
        </w:rPr>
      </w:pPr>
    </w:p>
    <w:p w14:paraId="1FF4CE28" w14:textId="27D72DC0" w:rsidR="002B7E68" w:rsidRDefault="00BC7198" w:rsidP="0000369C">
      <w:pPr>
        <w:pStyle w:val="a3"/>
        <w:spacing w:line="276" w:lineRule="auto"/>
        <w:ind w:left="567" w:right="136"/>
        <w:jc w:val="both"/>
        <w:rPr>
          <w:sz w:val="20"/>
          <w:szCs w:val="20"/>
          <w:lang w:val="uk-UA"/>
        </w:rPr>
      </w:pPr>
      <w:r w:rsidRPr="00BC7198">
        <w:rPr>
          <w:w w:val="105"/>
          <w:sz w:val="20"/>
          <w:szCs w:val="20"/>
          <w:lang w:val="uk-UA"/>
        </w:rPr>
        <w:t xml:space="preserve">Два дослідження (три аналізи) надали дані про </w:t>
      </w:r>
      <w:r w:rsidR="002B7E68">
        <w:rPr>
          <w:w w:val="105"/>
          <w:sz w:val="20"/>
          <w:szCs w:val="20"/>
          <w:lang w:val="uk-UA"/>
        </w:rPr>
        <w:t>відмінність</w:t>
      </w:r>
      <w:r w:rsidRPr="00BC7198">
        <w:rPr>
          <w:w w:val="105"/>
          <w:sz w:val="20"/>
          <w:szCs w:val="20"/>
          <w:lang w:val="uk-UA"/>
        </w:rPr>
        <w:t xml:space="preserve"> </w:t>
      </w:r>
      <w:r w:rsidR="002B7E68">
        <w:rPr>
          <w:w w:val="105"/>
          <w:sz w:val="20"/>
          <w:szCs w:val="20"/>
          <w:lang w:val="uk-UA"/>
        </w:rPr>
        <w:t>у</w:t>
      </w:r>
      <w:r w:rsidRPr="00BC7198">
        <w:rPr>
          <w:w w:val="105"/>
          <w:sz w:val="20"/>
          <w:szCs w:val="20"/>
          <w:lang w:val="uk-UA"/>
        </w:rPr>
        <w:t xml:space="preserve"> специфічності тестів у </w:t>
      </w:r>
      <w:r w:rsidR="003265C1">
        <w:rPr>
          <w:w w:val="105"/>
          <w:sz w:val="20"/>
          <w:szCs w:val="20"/>
          <w:lang w:val="uk-UA"/>
        </w:rPr>
        <w:t xml:space="preserve">вакцинованих БЦЖ </w:t>
      </w:r>
      <w:r w:rsidRPr="00BC7198">
        <w:rPr>
          <w:w w:val="105"/>
          <w:sz w:val="20"/>
          <w:szCs w:val="20"/>
          <w:lang w:val="uk-UA"/>
        </w:rPr>
        <w:t xml:space="preserve">популяціях, яка була навіть вищою в цій групі населення, ніж у популяціях, де лише деякі люди отримали щеплення БЦЖ; об'єднана </w:t>
      </w:r>
      <w:r w:rsidR="002B7E68">
        <w:rPr>
          <w:w w:val="105"/>
          <w:sz w:val="20"/>
          <w:szCs w:val="20"/>
          <w:lang w:val="uk-UA"/>
        </w:rPr>
        <w:t>відмінність</w:t>
      </w:r>
      <w:r w:rsidRPr="00BC7198">
        <w:rPr>
          <w:w w:val="105"/>
          <w:sz w:val="20"/>
          <w:szCs w:val="20"/>
          <w:lang w:val="uk-UA"/>
        </w:rPr>
        <w:t xml:space="preserve"> </w:t>
      </w:r>
      <w:r w:rsidR="002B7E68">
        <w:rPr>
          <w:w w:val="105"/>
          <w:sz w:val="20"/>
          <w:szCs w:val="20"/>
          <w:lang w:val="uk-UA"/>
        </w:rPr>
        <w:t>у</w:t>
      </w:r>
      <w:r w:rsidRPr="00BC7198">
        <w:rPr>
          <w:w w:val="105"/>
          <w:sz w:val="20"/>
          <w:szCs w:val="20"/>
          <w:lang w:val="uk-UA"/>
        </w:rPr>
        <w:t xml:space="preserve"> специфічності становила 67,4% (95% ДІ: 24,0-110,7%). Загальний ризик систематичної похибки вважався серйозним, оскільки розподіл тестів за групами не був сліпим; отже, достовірність доказів була знижена на один рівень через ризик систематичної похибки.</w:t>
      </w:r>
      <w:r w:rsidR="00B01E0C" w:rsidRPr="00934E8E">
        <w:rPr>
          <w:sz w:val="20"/>
          <w:szCs w:val="20"/>
          <w:lang w:val="uk-UA"/>
        </w:rPr>
        <w:t xml:space="preserve"> </w:t>
      </w:r>
      <w:r w:rsidR="002B7E68" w:rsidRPr="002B7E68">
        <w:rPr>
          <w:sz w:val="20"/>
          <w:szCs w:val="20"/>
          <w:lang w:val="uk-UA"/>
        </w:rPr>
        <w:t xml:space="preserve">Довірчий інтервал (ДІ) був широким, коливаючись в діапазоні від 24,0% до 110,7%, тому достовірність доказів була знижена ще на один рівень через неточність. Отже, достовірність доказів щодо відмінності в специфічності між тестами ШПТБ і </w:t>
      </w:r>
      <w:r w:rsidR="00D45FA2">
        <w:rPr>
          <w:sz w:val="20"/>
          <w:szCs w:val="20"/>
          <w:lang w:val="uk-UA"/>
        </w:rPr>
        <w:t>ТШП</w:t>
      </w:r>
      <w:r w:rsidR="002B7E68" w:rsidRPr="002B7E68">
        <w:rPr>
          <w:sz w:val="20"/>
          <w:szCs w:val="20"/>
          <w:lang w:val="uk-UA"/>
        </w:rPr>
        <w:t xml:space="preserve"> в популяціях, вакцинованих БЦЖ, була низькою.</w:t>
      </w:r>
    </w:p>
    <w:p w14:paraId="41694E88" w14:textId="77777777" w:rsidR="002B7E68" w:rsidRPr="002B7E68" w:rsidRDefault="002B7E68" w:rsidP="0000369C">
      <w:pPr>
        <w:pStyle w:val="a3"/>
        <w:spacing w:line="269" w:lineRule="auto"/>
        <w:ind w:left="567" w:right="136"/>
        <w:jc w:val="both"/>
        <w:rPr>
          <w:sz w:val="10"/>
          <w:szCs w:val="10"/>
          <w:lang w:val="uk-UA"/>
        </w:rPr>
      </w:pPr>
    </w:p>
    <w:p w14:paraId="33E2F4B0" w14:textId="4F8BAF8A" w:rsidR="00E05B98" w:rsidRPr="003C6DAE" w:rsidRDefault="002B7E68" w:rsidP="0000369C">
      <w:pPr>
        <w:pStyle w:val="a3"/>
        <w:spacing w:line="276" w:lineRule="auto"/>
        <w:ind w:left="567" w:right="136"/>
        <w:jc w:val="both"/>
        <w:rPr>
          <w:lang w:val="uk-UA"/>
        </w:rPr>
      </w:pPr>
      <w:r w:rsidRPr="002B7E68">
        <w:rPr>
          <w:spacing w:val="-2"/>
          <w:sz w:val="20"/>
          <w:szCs w:val="20"/>
          <w:lang w:val="uk-UA"/>
        </w:rPr>
        <w:t>Об'єднана відмінність у специфічності в шести дослідженнях, під час яких порівнювали тести ШПТБ та АВГІ, була низькою і становила 2,3% (95% ДІ: –1,6–6,2%), що означає</w:t>
      </w:r>
      <w:r w:rsidR="003265C1">
        <w:rPr>
          <w:spacing w:val="-2"/>
          <w:sz w:val="20"/>
          <w:szCs w:val="20"/>
          <w:lang w:val="uk-UA"/>
        </w:rPr>
        <w:t xml:space="preserve"> подібність тестів</w:t>
      </w:r>
      <w:r w:rsidRPr="002B7E68">
        <w:rPr>
          <w:spacing w:val="-2"/>
          <w:sz w:val="20"/>
          <w:szCs w:val="20"/>
          <w:lang w:val="uk-UA"/>
        </w:rPr>
        <w:t xml:space="preserve"> ШПТБ до АВГІ з точки зору специфічності.</w:t>
      </w:r>
    </w:p>
    <w:p w14:paraId="24D1C8CC" w14:textId="745DF8AC" w:rsidR="00E05B98" w:rsidRPr="002B7E68" w:rsidRDefault="000844BE">
      <w:pPr>
        <w:pStyle w:val="5"/>
        <w:spacing w:before="200"/>
        <w:rPr>
          <w:sz w:val="26"/>
          <w:szCs w:val="26"/>
          <w:lang w:val="uk-UA"/>
        </w:rPr>
      </w:pPr>
      <w:r>
        <w:rPr>
          <w:color w:val="019648"/>
          <w:spacing w:val="-2"/>
          <w:w w:val="110"/>
          <w:sz w:val="26"/>
          <w:szCs w:val="26"/>
          <w:lang w:val="uk-UA"/>
        </w:rPr>
        <w:t xml:space="preserve">Узгодженість </w:t>
      </w:r>
      <w:r w:rsidR="007F55E0">
        <w:rPr>
          <w:color w:val="019648"/>
          <w:spacing w:val="-2"/>
          <w:w w:val="110"/>
          <w:sz w:val="26"/>
          <w:szCs w:val="26"/>
          <w:lang w:val="uk-UA"/>
        </w:rPr>
        <w:t>результатів</w:t>
      </w:r>
      <w:r w:rsidR="003265C1">
        <w:rPr>
          <w:color w:val="019648"/>
          <w:spacing w:val="-2"/>
          <w:w w:val="110"/>
          <w:sz w:val="26"/>
          <w:szCs w:val="26"/>
          <w:lang w:val="uk-UA"/>
        </w:rPr>
        <w:t xml:space="preserve"> тестів</w:t>
      </w:r>
    </w:p>
    <w:p w14:paraId="2AA48E35" w14:textId="579374E5" w:rsidR="007F55E0" w:rsidRDefault="000844BE" w:rsidP="0000369C">
      <w:pPr>
        <w:pStyle w:val="a3"/>
        <w:spacing w:before="174" w:line="276" w:lineRule="auto"/>
        <w:ind w:left="567" w:right="130"/>
        <w:jc w:val="both"/>
        <w:rPr>
          <w:sz w:val="20"/>
          <w:szCs w:val="20"/>
          <w:lang w:val="uk-UA"/>
        </w:rPr>
      </w:pPr>
      <w:r w:rsidRPr="000844BE">
        <w:rPr>
          <w:spacing w:val="-2"/>
          <w:sz w:val="20"/>
          <w:szCs w:val="20"/>
          <w:lang w:val="uk-UA"/>
        </w:rPr>
        <w:t xml:space="preserve">Загалом було включено 16 досліджень за участю 3198 осіб (з них чотири дослідження включало 1307 учасників віком до 18 років) для оцінки узгодженості </w:t>
      </w:r>
      <w:r w:rsidR="007F55E0">
        <w:rPr>
          <w:spacing w:val="-2"/>
          <w:sz w:val="20"/>
          <w:szCs w:val="20"/>
          <w:lang w:val="uk-UA"/>
        </w:rPr>
        <w:t xml:space="preserve">результатів </w:t>
      </w:r>
      <w:r w:rsidRPr="000844BE">
        <w:rPr>
          <w:spacing w:val="-2"/>
          <w:sz w:val="20"/>
          <w:szCs w:val="20"/>
          <w:lang w:val="uk-UA"/>
        </w:rPr>
        <w:t xml:space="preserve">індексних тестів з тестами порівняння (тест </w:t>
      </w:r>
      <w:r w:rsidR="00D45FA2">
        <w:rPr>
          <w:spacing w:val="-2"/>
          <w:sz w:val="20"/>
          <w:szCs w:val="20"/>
          <w:lang w:val="uk-UA"/>
        </w:rPr>
        <w:t>ТШП</w:t>
      </w:r>
      <w:r w:rsidRPr="000844BE">
        <w:rPr>
          <w:spacing w:val="-2"/>
          <w:sz w:val="20"/>
          <w:szCs w:val="20"/>
          <w:lang w:val="uk-UA"/>
        </w:rPr>
        <w:t xml:space="preserve"> або АВГІ, або обидва). </w:t>
      </w:r>
      <w:r w:rsidR="007F55E0" w:rsidRPr="007F55E0">
        <w:rPr>
          <w:sz w:val="20"/>
          <w:szCs w:val="20"/>
          <w:lang w:val="uk-UA"/>
        </w:rPr>
        <w:t xml:space="preserve">Серед учасників без захворювання на ТБ показник узгодженості </w:t>
      </w:r>
      <w:r w:rsidR="007F55E0">
        <w:rPr>
          <w:sz w:val="20"/>
          <w:szCs w:val="20"/>
          <w:lang w:val="uk-UA"/>
        </w:rPr>
        <w:t xml:space="preserve">результатів </w:t>
      </w:r>
      <w:r w:rsidR="007F55E0" w:rsidRPr="007F55E0">
        <w:rPr>
          <w:sz w:val="20"/>
          <w:szCs w:val="20"/>
          <w:lang w:val="uk-UA"/>
        </w:rPr>
        <w:t>був високим (≥90%) для тесту Cy-Tb та Діаскінтесту (будь-який розмір ущільнення) та індурацією при  Діаскінтесту розміром 5 мм - порівняно з тестом QFT (</w:t>
      </w:r>
      <w:r w:rsidR="007F55E0" w:rsidRPr="003265C1">
        <w:rPr>
          <w:b/>
          <w:bCs/>
          <w:sz w:val="20"/>
          <w:szCs w:val="20"/>
          <w:lang w:val="uk-UA"/>
        </w:rPr>
        <w:t>рис. 3.1.1.8</w:t>
      </w:r>
      <w:r w:rsidR="007F55E0" w:rsidRPr="007F55E0">
        <w:rPr>
          <w:sz w:val="20"/>
          <w:szCs w:val="20"/>
          <w:lang w:val="uk-UA"/>
        </w:rPr>
        <w:t>). Узгодженість була дещо нижчою - 85,5% (95% ДІ: 75,7-91,7%) для C-TST порівняно з T-Spot. В одному дослідженні, в якому оцінювали Діаскінтест з розміром ущільнення не менше 7 мм порівняно з T-Spot, узгодженість була значно нижчою - 60,9% (95% ДІ: 54,3-67,2%).</w:t>
      </w:r>
      <w:r w:rsidR="00B01E0C" w:rsidRPr="002B7E68">
        <w:rPr>
          <w:sz w:val="20"/>
          <w:szCs w:val="20"/>
          <w:lang w:val="uk-UA"/>
        </w:rPr>
        <w:t xml:space="preserve"> </w:t>
      </w:r>
      <w:r w:rsidR="007F55E0" w:rsidRPr="007F55E0">
        <w:rPr>
          <w:sz w:val="20"/>
          <w:szCs w:val="20"/>
          <w:lang w:val="uk-UA"/>
        </w:rPr>
        <w:t>Ризик систематичної похибки бу</w:t>
      </w:r>
      <w:r w:rsidR="003265C1">
        <w:rPr>
          <w:sz w:val="20"/>
          <w:szCs w:val="20"/>
          <w:lang w:val="uk-UA"/>
        </w:rPr>
        <w:t>ло</w:t>
      </w:r>
      <w:r w:rsidR="007F55E0" w:rsidRPr="007F55E0">
        <w:rPr>
          <w:sz w:val="20"/>
          <w:szCs w:val="20"/>
          <w:lang w:val="uk-UA"/>
        </w:rPr>
        <w:t xml:space="preserve"> визнан</w:t>
      </w:r>
      <w:r w:rsidR="003265C1">
        <w:rPr>
          <w:sz w:val="20"/>
          <w:szCs w:val="20"/>
          <w:lang w:val="uk-UA"/>
        </w:rPr>
        <w:t>о</w:t>
      </w:r>
      <w:r w:rsidR="007F55E0" w:rsidRPr="007F55E0">
        <w:rPr>
          <w:sz w:val="20"/>
          <w:szCs w:val="20"/>
          <w:lang w:val="uk-UA"/>
        </w:rPr>
        <w:t xml:space="preserve"> серйозним, оскільки у п'яти дослідженнях розподіл тестів за групами здійснювали без застосування методу засліплення; отже, достовірність доказів була знижена на один рівень через ризик систематичної похибки. Узгодженість між різними тестами і дослідженнями коливалася в межах широкого діапазону  (від 61% до 97%), тому достовірність доказів було знижено на один рівень через невідповідність. У результаті, достовірність доказів щодо узгодженості між тестами ШПТБ і АВГІ була низькою.</w:t>
      </w:r>
      <w:r w:rsidR="007F55E0">
        <w:rPr>
          <w:sz w:val="20"/>
          <w:szCs w:val="20"/>
          <w:lang w:val="uk-UA"/>
        </w:rPr>
        <w:t xml:space="preserve"> </w:t>
      </w:r>
      <w:bookmarkStart w:id="101" w:name="_bookmark49"/>
      <w:bookmarkEnd w:id="101"/>
    </w:p>
    <w:p w14:paraId="31FD3EFB" w14:textId="77777777" w:rsidR="0000369C" w:rsidRDefault="0000369C" w:rsidP="007F55E0">
      <w:pPr>
        <w:pStyle w:val="a3"/>
        <w:spacing w:before="174" w:line="297" w:lineRule="auto"/>
        <w:ind w:left="567" w:right="133"/>
        <w:jc w:val="both"/>
        <w:rPr>
          <w:rFonts w:ascii="Arial" w:hAnsi="Arial" w:cs="Arial"/>
          <w:b/>
          <w:bCs/>
          <w:color w:val="636466"/>
          <w:spacing w:val="-2"/>
          <w:sz w:val="20"/>
          <w:szCs w:val="20"/>
          <w:lang w:val="uk-UA"/>
        </w:rPr>
      </w:pPr>
    </w:p>
    <w:p w14:paraId="73385A62" w14:textId="77777777" w:rsidR="0000369C" w:rsidRDefault="0000369C" w:rsidP="007F55E0">
      <w:pPr>
        <w:pStyle w:val="a3"/>
        <w:spacing w:before="174" w:line="297" w:lineRule="auto"/>
        <w:ind w:left="567" w:right="133"/>
        <w:jc w:val="both"/>
        <w:rPr>
          <w:rFonts w:ascii="Arial" w:hAnsi="Arial" w:cs="Arial"/>
          <w:b/>
          <w:bCs/>
          <w:color w:val="636466"/>
          <w:spacing w:val="-2"/>
          <w:sz w:val="20"/>
          <w:szCs w:val="20"/>
          <w:lang w:val="uk-UA"/>
        </w:rPr>
      </w:pPr>
    </w:p>
    <w:p w14:paraId="45B186EE" w14:textId="77777777" w:rsidR="0000369C" w:rsidRDefault="0000369C" w:rsidP="007F55E0">
      <w:pPr>
        <w:pStyle w:val="a3"/>
        <w:spacing w:before="174" w:line="297" w:lineRule="auto"/>
        <w:ind w:left="567" w:right="133"/>
        <w:jc w:val="both"/>
        <w:rPr>
          <w:rFonts w:ascii="Arial" w:hAnsi="Arial" w:cs="Arial"/>
          <w:b/>
          <w:bCs/>
          <w:color w:val="636466"/>
          <w:spacing w:val="-2"/>
          <w:sz w:val="20"/>
          <w:szCs w:val="20"/>
          <w:lang w:val="uk-UA"/>
        </w:rPr>
      </w:pPr>
    </w:p>
    <w:p w14:paraId="2459DFD9" w14:textId="21519345" w:rsidR="00E05B98" w:rsidRDefault="007F55E0" w:rsidP="007F55E0">
      <w:pPr>
        <w:pStyle w:val="a3"/>
        <w:spacing w:before="174" w:line="297" w:lineRule="auto"/>
        <w:ind w:left="567" w:right="133"/>
        <w:jc w:val="both"/>
        <w:rPr>
          <w:rFonts w:ascii="Arial" w:hAnsi="Arial" w:cs="Arial"/>
          <w:b/>
          <w:bCs/>
          <w:color w:val="636466"/>
          <w:spacing w:val="-2"/>
          <w:sz w:val="20"/>
          <w:szCs w:val="20"/>
          <w:lang w:val="uk-UA"/>
        </w:rPr>
      </w:pPr>
      <w:r>
        <w:rPr>
          <w:rFonts w:ascii="Arial" w:hAnsi="Arial" w:cs="Arial"/>
          <w:b/>
          <w:bCs/>
          <w:color w:val="636466"/>
          <w:spacing w:val="-2"/>
          <w:sz w:val="20"/>
          <w:szCs w:val="20"/>
          <w:lang w:val="uk-UA"/>
        </w:rPr>
        <w:lastRenderedPageBreak/>
        <w:t>Рис</w:t>
      </w:r>
      <w:r w:rsidR="00B01E0C" w:rsidRPr="007F55E0">
        <w:rPr>
          <w:rFonts w:ascii="Arial" w:hAnsi="Arial" w:cs="Arial"/>
          <w:b/>
          <w:bCs/>
          <w:color w:val="636466"/>
          <w:spacing w:val="-2"/>
          <w:sz w:val="20"/>
          <w:szCs w:val="20"/>
          <w:lang w:val="uk-UA"/>
        </w:rPr>
        <w:t>.</w:t>
      </w:r>
      <w:r w:rsidR="00B01E0C" w:rsidRPr="007F55E0">
        <w:rPr>
          <w:rFonts w:ascii="Arial" w:hAnsi="Arial" w:cs="Arial"/>
          <w:b/>
          <w:bCs/>
          <w:color w:val="636466"/>
          <w:spacing w:val="-14"/>
          <w:sz w:val="20"/>
          <w:szCs w:val="20"/>
          <w:lang w:val="uk-UA"/>
        </w:rPr>
        <w:t xml:space="preserve"> </w:t>
      </w:r>
      <w:r w:rsidR="00B01E0C" w:rsidRPr="007F55E0">
        <w:rPr>
          <w:rFonts w:ascii="Arial" w:hAnsi="Arial" w:cs="Arial"/>
          <w:b/>
          <w:bCs/>
          <w:color w:val="636466"/>
          <w:spacing w:val="-2"/>
          <w:sz w:val="20"/>
          <w:szCs w:val="20"/>
          <w:lang w:val="uk-UA"/>
        </w:rPr>
        <w:t>3.1.1.8</w:t>
      </w:r>
      <w:r w:rsidR="00B01E0C" w:rsidRPr="007F55E0">
        <w:rPr>
          <w:rFonts w:ascii="Arial" w:hAnsi="Arial" w:cs="Arial"/>
          <w:b/>
          <w:bCs/>
          <w:color w:val="636466"/>
          <w:spacing w:val="-14"/>
          <w:sz w:val="20"/>
          <w:szCs w:val="20"/>
          <w:lang w:val="uk-UA"/>
        </w:rPr>
        <w:t xml:space="preserve"> </w:t>
      </w:r>
      <w:r>
        <w:rPr>
          <w:rFonts w:ascii="Arial" w:hAnsi="Arial" w:cs="Arial"/>
          <w:b/>
          <w:bCs/>
          <w:color w:val="636466"/>
          <w:spacing w:val="-14"/>
          <w:sz w:val="20"/>
          <w:szCs w:val="20"/>
          <w:lang w:val="uk-UA"/>
        </w:rPr>
        <w:t xml:space="preserve"> </w:t>
      </w:r>
      <w:r w:rsidRPr="007F55E0">
        <w:rPr>
          <w:rFonts w:ascii="Arial" w:hAnsi="Arial" w:cs="Arial"/>
          <w:b/>
          <w:bCs/>
          <w:color w:val="636466"/>
          <w:spacing w:val="-2"/>
          <w:sz w:val="20"/>
          <w:szCs w:val="20"/>
          <w:lang w:val="uk-UA"/>
        </w:rPr>
        <w:t>Узгодженість результатів тестів ШПТБ на противагу АВГІ в усіх дослідженнях, включаючи учасників без активної форми ТБ</w:t>
      </w:r>
    </w:p>
    <w:p w14:paraId="422B2ABB" w14:textId="073EA565" w:rsidR="0065013D" w:rsidRPr="007F55E0" w:rsidRDefault="0065013D" w:rsidP="007F55E0">
      <w:pPr>
        <w:pStyle w:val="a3"/>
        <w:spacing w:before="174" w:line="297" w:lineRule="auto"/>
        <w:ind w:left="567" w:right="133"/>
        <w:jc w:val="both"/>
        <w:rPr>
          <w:rFonts w:ascii="Arial" w:hAnsi="Arial" w:cs="Arial"/>
          <w:b/>
          <w:bCs/>
          <w:sz w:val="20"/>
          <w:szCs w:val="20"/>
          <w:lang w:val="uk-UA"/>
        </w:rPr>
      </w:pPr>
      <w:r>
        <w:rPr>
          <w:noProof/>
        </w:rPr>
        <mc:AlternateContent>
          <mc:Choice Requires="wps">
            <w:drawing>
              <wp:anchor distT="0" distB="0" distL="114300" distR="114300" simplePos="0" relativeHeight="488182272" behindDoc="0" locked="0" layoutInCell="1" allowOverlap="1" wp14:anchorId="07C7EA00" wp14:editId="4E51C4BB">
                <wp:simplePos x="0" y="0"/>
                <wp:positionH relativeFrom="column">
                  <wp:posOffset>291523</wp:posOffset>
                </wp:positionH>
                <wp:positionV relativeFrom="paragraph">
                  <wp:posOffset>116667</wp:posOffset>
                </wp:positionV>
                <wp:extent cx="6234430" cy="297873"/>
                <wp:effectExtent l="0" t="0" r="0" b="6985"/>
                <wp:wrapNone/>
                <wp:docPr id="953023675" name="Поле 1927"/>
                <wp:cNvGraphicFramePr/>
                <a:graphic xmlns:a="http://schemas.openxmlformats.org/drawingml/2006/main">
                  <a:graphicData uri="http://schemas.microsoft.com/office/word/2010/wordprocessingShape">
                    <wps:wsp>
                      <wps:cNvSpPr txBox="1"/>
                      <wps:spPr>
                        <a:xfrm>
                          <a:off x="0" y="0"/>
                          <a:ext cx="6234430" cy="297873"/>
                        </a:xfrm>
                        <a:prstGeom prst="rect">
                          <a:avLst/>
                        </a:prstGeom>
                        <a:solidFill>
                          <a:schemeClr val="bg1"/>
                        </a:solidFill>
                        <a:ln w="6350">
                          <a:noFill/>
                        </a:ln>
                      </wps:spPr>
                      <wps:txbx>
                        <w:txbxContent>
                          <w:tbl>
                            <w:tblPr>
                              <w:tblStyle w:val="ac"/>
                              <w:tblW w:w="10500" w:type="dxa"/>
                              <w:tblInd w:w="-147" w:type="dxa"/>
                              <w:tblLook w:val="04A0" w:firstRow="1" w:lastRow="0" w:firstColumn="1" w:lastColumn="0" w:noHBand="0" w:noVBand="1"/>
                            </w:tblPr>
                            <w:tblGrid>
                              <w:gridCol w:w="2841"/>
                              <w:gridCol w:w="1559"/>
                              <w:gridCol w:w="1134"/>
                              <w:gridCol w:w="3407"/>
                              <w:gridCol w:w="1559"/>
                            </w:tblGrid>
                            <w:tr w:rsidR="007372B2" w14:paraId="7092C18F" w14:textId="1414D7BE" w:rsidTr="006875E3">
                              <w:tc>
                                <w:tcPr>
                                  <w:tcW w:w="2841" w:type="dxa"/>
                                  <w:tcBorders>
                                    <w:top w:val="nil"/>
                                    <w:left w:val="nil"/>
                                    <w:bottom w:val="single" w:sz="4" w:space="0" w:color="auto"/>
                                    <w:right w:val="nil"/>
                                  </w:tcBorders>
                                </w:tcPr>
                                <w:p w14:paraId="5569CF84" w14:textId="665DB4A8" w:rsidR="007372B2" w:rsidRPr="0065013D" w:rsidRDefault="007372B2" w:rsidP="0000369C">
                                  <w:pPr>
                                    <w:pStyle w:val="a3"/>
                                    <w:spacing w:line="276" w:lineRule="auto"/>
                                    <w:ind w:right="139"/>
                                    <w:jc w:val="both"/>
                                    <w:rPr>
                                      <w:rFonts w:asciiTheme="minorHAnsi" w:hAnsiTheme="minorHAnsi" w:cstheme="minorHAnsi"/>
                                      <w:b/>
                                      <w:bCs/>
                                      <w:sz w:val="20"/>
                                      <w:szCs w:val="20"/>
                                      <w:lang w:val="uk-UA"/>
                                    </w:rPr>
                                  </w:pPr>
                                  <w:r w:rsidRPr="0065013D">
                                    <w:rPr>
                                      <w:rFonts w:asciiTheme="minorHAnsi" w:hAnsiTheme="minorHAnsi" w:cstheme="minorHAnsi"/>
                                      <w:b/>
                                      <w:bCs/>
                                      <w:sz w:val="20"/>
                                      <w:szCs w:val="20"/>
                                      <w:lang w:val="uk-UA"/>
                                    </w:rPr>
                                    <w:t>Дослідження</w:t>
                                  </w:r>
                                </w:p>
                              </w:tc>
                              <w:tc>
                                <w:tcPr>
                                  <w:tcW w:w="1559" w:type="dxa"/>
                                  <w:tcBorders>
                                    <w:top w:val="nil"/>
                                    <w:left w:val="nil"/>
                                    <w:bottom w:val="single" w:sz="4" w:space="0" w:color="auto"/>
                                    <w:right w:val="nil"/>
                                  </w:tcBorders>
                                </w:tcPr>
                                <w:p w14:paraId="574ADCCF" w14:textId="4D104936" w:rsidR="007372B2" w:rsidRPr="006875E3" w:rsidRDefault="007372B2" w:rsidP="006875E3">
                                  <w:pPr>
                                    <w:pStyle w:val="a3"/>
                                    <w:spacing w:line="276" w:lineRule="auto"/>
                                    <w:ind w:left="-106" w:right="-251"/>
                                    <w:jc w:val="both"/>
                                    <w:rPr>
                                      <w:rFonts w:asciiTheme="minorHAnsi" w:hAnsiTheme="minorHAnsi" w:cstheme="minorHAnsi"/>
                                      <w:b/>
                                      <w:bCs/>
                                      <w:sz w:val="20"/>
                                      <w:szCs w:val="20"/>
                                      <w:lang w:val="uk-UA"/>
                                    </w:rPr>
                                  </w:pPr>
                                  <w:r>
                                    <w:rPr>
                                      <w:rFonts w:asciiTheme="minorHAnsi" w:hAnsiTheme="minorHAnsi" w:cstheme="minorHAnsi"/>
                                      <w:b/>
                                      <w:bCs/>
                                      <w:sz w:val="20"/>
                                      <w:szCs w:val="20"/>
                                      <w:lang w:val="uk-UA"/>
                                    </w:rPr>
                                    <w:t xml:space="preserve">        </w:t>
                                  </w:r>
                                  <w:r w:rsidR="006875E3">
                                    <w:rPr>
                                      <w:rFonts w:asciiTheme="minorHAnsi" w:hAnsiTheme="minorHAnsi" w:cstheme="minorHAnsi"/>
                                      <w:b/>
                                      <w:bCs/>
                                      <w:sz w:val="20"/>
                                      <w:szCs w:val="20"/>
                                      <w:lang w:val="uk-UA"/>
                                    </w:rPr>
                                    <w:t>Концентрація</w:t>
                                  </w:r>
                                </w:p>
                              </w:tc>
                              <w:tc>
                                <w:tcPr>
                                  <w:tcW w:w="1134" w:type="dxa"/>
                                  <w:tcBorders>
                                    <w:top w:val="nil"/>
                                    <w:left w:val="nil"/>
                                    <w:bottom w:val="single" w:sz="4" w:space="0" w:color="auto"/>
                                    <w:right w:val="nil"/>
                                  </w:tcBorders>
                                </w:tcPr>
                                <w:p w14:paraId="6E05D394" w14:textId="4D4D5FFA" w:rsidR="007372B2" w:rsidRPr="0065013D" w:rsidRDefault="007372B2" w:rsidP="0000369C">
                                  <w:pPr>
                                    <w:pStyle w:val="a3"/>
                                    <w:spacing w:line="276" w:lineRule="auto"/>
                                    <w:ind w:right="139"/>
                                    <w:jc w:val="both"/>
                                    <w:rPr>
                                      <w:rFonts w:asciiTheme="minorHAnsi" w:hAnsiTheme="minorHAnsi" w:cstheme="minorHAnsi"/>
                                      <w:b/>
                                      <w:bCs/>
                                      <w:sz w:val="20"/>
                                      <w:szCs w:val="20"/>
                                      <w:lang w:val="uk-UA"/>
                                    </w:rPr>
                                  </w:pPr>
                                  <w:r w:rsidRPr="0065013D">
                                    <w:rPr>
                                      <w:rFonts w:asciiTheme="minorHAnsi" w:hAnsiTheme="minorHAnsi" w:cstheme="minorHAnsi"/>
                                      <w:b/>
                                      <w:bCs/>
                                      <w:sz w:val="20"/>
                                      <w:szCs w:val="20"/>
                                      <w:lang w:val="uk-UA"/>
                                    </w:rPr>
                                    <w:t>Кількість</w:t>
                                  </w:r>
                                </w:p>
                              </w:tc>
                              <w:tc>
                                <w:tcPr>
                                  <w:tcW w:w="3407" w:type="dxa"/>
                                  <w:tcBorders>
                                    <w:top w:val="nil"/>
                                    <w:left w:val="nil"/>
                                    <w:bottom w:val="single" w:sz="4" w:space="0" w:color="auto"/>
                                    <w:right w:val="nil"/>
                                  </w:tcBorders>
                                </w:tcPr>
                                <w:p w14:paraId="7EA54EEA" w14:textId="035F480E" w:rsidR="007372B2" w:rsidRPr="0065013D" w:rsidRDefault="007372B2" w:rsidP="0065013D">
                                  <w:pPr>
                                    <w:pStyle w:val="a3"/>
                                    <w:spacing w:line="276" w:lineRule="auto"/>
                                    <w:ind w:right="139"/>
                                    <w:jc w:val="right"/>
                                    <w:rPr>
                                      <w:rFonts w:asciiTheme="minorHAnsi" w:hAnsiTheme="minorHAnsi" w:cstheme="minorHAnsi"/>
                                      <w:b/>
                                      <w:bCs/>
                                      <w:sz w:val="20"/>
                                      <w:szCs w:val="20"/>
                                      <w:lang w:val="uk-UA"/>
                                    </w:rPr>
                                  </w:pPr>
                                  <w:r>
                                    <w:rPr>
                                      <w:rFonts w:asciiTheme="minorHAnsi" w:hAnsiTheme="minorHAnsi" w:cstheme="minorHAnsi"/>
                                      <w:b/>
                                      <w:bCs/>
                                      <w:sz w:val="20"/>
                                      <w:szCs w:val="20"/>
                                    </w:rPr>
                                    <w:t xml:space="preserve">    </w:t>
                                  </w:r>
                                  <w:r w:rsidRPr="0065013D">
                                    <w:rPr>
                                      <w:rFonts w:asciiTheme="minorHAnsi" w:hAnsiTheme="minorHAnsi" w:cstheme="minorHAnsi"/>
                                      <w:b/>
                                      <w:bCs/>
                                      <w:sz w:val="20"/>
                                      <w:szCs w:val="20"/>
                                      <w:lang w:val="uk-UA"/>
                                    </w:rPr>
                                    <w:t>Узгодженість (%)</w:t>
                                  </w:r>
                                </w:p>
                              </w:tc>
                              <w:tc>
                                <w:tcPr>
                                  <w:tcW w:w="1559" w:type="dxa"/>
                                  <w:tcBorders>
                                    <w:top w:val="nil"/>
                                    <w:left w:val="nil"/>
                                    <w:bottom w:val="single" w:sz="4" w:space="0" w:color="auto"/>
                                    <w:right w:val="nil"/>
                                  </w:tcBorders>
                                </w:tcPr>
                                <w:p w14:paraId="491E23A0" w14:textId="4950A80D" w:rsidR="007372B2" w:rsidRPr="0065013D" w:rsidRDefault="007372B2" w:rsidP="0065013D">
                                  <w:pPr>
                                    <w:pStyle w:val="a3"/>
                                    <w:spacing w:line="276" w:lineRule="auto"/>
                                    <w:ind w:right="139"/>
                                    <w:rPr>
                                      <w:rFonts w:asciiTheme="minorHAnsi" w:hAnsiTheme="minorHAnsi" w:cstheme="minorHAnsi"/>
                                      <w:b/>
                                      <w:bCs/>
                                      <w:sz w:val="20"/>
                                      <w:szCs w:val="20"/>
                                      <w:lang w:val="uk-UA"/>
                                    </w:rPr>
                                  </w:pPr>
                                  <w:r w:rsidRPr="0065013D">
                                    <w:rPr>
                                      <w:rFonts w:asciiTheme="minorHAnsi" w:hAnsiTheme="minorHAnsi" w:cstheme="minorHAnsi"/>
                                      <w:b/>
                                      <w:bCs/>
                                      <w:sz w:val="20"/>
                                      <w:szCs w:val="20"/>
                                      <w:lang w:val="uk-UA"/>
                                    </w:rPr>
                                    <w:t>95% ДІ</w:t>
                                  </w:r>
                                </w:p>
                              </w:tc>
                            </w:tr>
                          </w:tbl>
                          <w:p w14:paraId="1D51409D" w14:textId="4A7DC134" w:rsidR="007372B2" w:rsidRPr="0000369C" w:rsidRDefault="007372B2">
                            <w:pP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C7EA00" id="Поле 1927" o:spid="_x0000_s1198" type="#_x0000_t202" style="position:absolute;left:0;text-align:left;margin-left:22.95pt;margin-top:9.2pt;width:490.9pt;height:23.45pt;z-index:48818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" fillcolor="white [3212]" stroked="f" strokeweight=".5pt">
                <v:textbox>
                  <w:txbxContent>
                    <w:tbl>
                      <w:tblPr>
                        <w:tblStyle w:val="ac"/>
                        <w:tblW w:w="10500" w:type="dxa"/>
                        <w:tblInd w:w="-147" w:type="dxa"/>
                        <w:tblLook w:val="04A0" w:firstRow="1" w:lastRow="0" w:firstColumn="1" w:lastColumn="0" w:noHBand="0" w:noVBand="1"/>
                      </w:tblPr>
                      <w:tblGrid>
                        <w:gridCol w:w="2841"/>
                        <w:gridCol w:w="1559"/>
                        <w:gridCol w:w="1134"/>
                        <w:gridCol w:w="3407"/>
                        <w:gridCol w:w="1559"/>
                      </w:tblGrid>
                      <w:tr w:rsidR="007372B2" w14:paraId="7092C18F" w14:textId="1414D7BE" w:rsidTr="006875E3">
                        <w:tc>
                          <w:tcPr>
                            <w:tcW w:w="2841" w:type="dxa"/>
                            <w:tcBorders>
                              <w:top w:val="nil"/>
                              <w:left w:val="nil"/>
                              <w:bottom w:val="single" w:sz="4" w:space="0" w:color="auto"/>
                              <w:right w:val="nil"/>
                            </w:tcBorders>
                          </w:tcPr>
                          <w:p w14:paraId="5569CF84" w14:textId="665DB4A8" w:rsidR="007372B2" w:rsidRPr="0065013D" w:rsidRDefault="007372B2" w:rsidP="0000369C">
                            <w:pPr>
                              <w:pStyle w:val="a3"/>
                              <w:spacing w:line="276" w:lineRule="auto"/>
                              <w:ind w:right="139"/>
                              <w:jc w:val="both"/>
                              <w:rPr>
                                <w:rFonts w:asciiTheme="minorHAnsi" w:hAnsiTheme="minorHAnsi" w:cstheme="minorHAnsi"/>
                                <w:b/>
                                <w:bCs/>
                                <w:sz w:val="20"/>
                                <w:szCs w:val="20"/>
                                <w:lang w:val="uk-UA"/>
                              </w:rPr>
                            </w:pPr>
                            <w:r w:rsidRPr="0065013D">
                              <w:rPr>
                                <w:rFonts w:asciiTheme="minorHAnsi" w:hAnsiTheme="minorHAnsi" w:cstheme="minorHAnsi"/>
                                <w:b/>
                                <w:bCs/>
                                <w:sz w:val="20"/>
                                <w:szCs w:val="20"/>
                                <w:lang w:val="uk-UA"/>
                              </w:rPr>
                              <w:t>Дослідження</w:t>
                            </w:r>
                          </w:p>
                        </w:tc>
                        <w:tc>
                          <w:tcPr>
                            <w:tcW w:w="1559" w:type="dxa"/>
                            <w:tcBorders>
                              <w:top w:val="nil"/>
                              <w:left w:val="nil"/>
                              <w:bottom w:val="single" w:sz="4" w:space="0" w:color="auto"/>
                              <w:right w:val="nil"/>
                            </w:tcBorders>
                          </w:tcPr>
                          <w:p w14:paraId="574ADCCF" w14:textId="4D104936" w:rsidR="007372B2" w:rsidRPr="006875E3" w:rsidRDefault="007372B2" w:rsidP="006875E3">
                            <w:pPr>
                              <w:pStyle w:val="a3"/>
                              <w:spacing w:line="276" w:lineRule="auto"/>
                              <w:ind w:left="-106" w:right="-251"/>
                              <w:jc w:val="both"/>
                              <w:rPr>
                                <w:rFonts w:asciiTheme="minorHAnsi" w:hAnsiTheme="minorHAnsi" w:cstheme="minorHAnsi"/>
                                <w:b/>
                                <w:bCs/>
                                <w:sz w:val="20"/>
                                <w:szCs w:val="20"/>
                                <w:lang w:val="uk-UA"/>
                              </w:rPr>
                            </w:pPr>
                            <w:r>
                              <w:rPr>
                                <w:rFonts w:asciiTheme="minorHAnsi" w:hAnsiTheme="minorHAnsi" w:cstheme="minorHAnsi"/>
                                <w:b/>
                                <w:bCs/>
                                <w:sz w:val="20"/>
                                <w:szCs w:val="20"/>
                                <w:lang w:val="uk-UA"/>
                              </w:rPr>
                              <w:t xml:space="preserve">        </w:t>
                            </w:r>
                            <w:r w:rsidR="006875E3">
                              <w:rPr>
                                <w:rFonts w:asciiTheme="minorHAnsi" w:hAnsiTheme="minorHAnsi" w:cstheme="minorHAnsi"/>
                                <w:b/>
                                <w:bCs/>
                                <w:sz w:val="20"/>
                                <w:szCs w:val="20"/>
                                <w:lang w:val="uk-UA"/>
                              </w:rPr>
                              <w:t>Концентрація</w:t>
                            </w:r>
                          </w:p>
                        </w:tc>
                        <w:tc>
                          <w:tcPr>
                            <w:tcW w:w="1134" w:type="dxa"/>
                            <w:tcBorders>
                              <w:top w:val="nil"/>
                              <w:left w:val="nil"/>
                              <w:bottom w:val="single" w:sz="4" w:space="0" w:color="auto"/>
                              <w:right w:val="nil"/>
                            </w:tcBorders>
                          </w:tcPr>
                          <w:p w14:paraId="6E05D394" w14:textId="4D4D5FFA" w:rsidR="007372B2" w:rsidRPr="0065013D" w:rsidRDefault="007372B2" w:rsidP="0000369C">
                            <w:pPr>
                              <w:pStyle w:val="a3"/>
                              <w:spacing w:line="276" w:lineRule="auto"/>
                              <w:ind w:right="139"/>
                              <w:jc w:val="both"/>
                              <w:rPr>
                                <w:rFonts w:asciiTheme="minorHAnsi" w:hAnsiTheme="minorHAnsi" w:cstheme="minorHAnsi"/>
                                <w:b/>
                                <w:bCs/>
                                <w:sz w:val="20"/>
                                <w:szCs w:val="20"/>
                                <w:lang w:val="uk-UA"/>
                              </w:rPr>
                            </w:pPr>
                            <w:r w:rsidRPr="0065013D">
                              <w:rPr>
                                <w:rFonts w:asciiTheme="minorHAnsi" w:hAnsiTheme="minorHAnsi" w:cstheme="minorHAnsi"/>
                                <w:b/>
                                <w:bCs/>
                                <w:sz w:val="20"/>
                                <w:szCs w:val="20"/>
                                <w:lang w:val="uk-UA"/>
                              </w:rPr>
                              <w:t>Кількість</w:t>
                            </w:r>
                          </w:p>
                        </w:tc>
                        <w:tc>
                          <w:tcPr>
                            <w:tcW w:w="3407" w:type="dxa"/>
                            <w:tcBorders>
                              <w:top w:val="nil"/>
                              <w:left w:val="nil"/>
                              <w:bottom w:val="single" w:sz="4" w:space="0" w:color="auto"/>
                              <w:right w:val="nil"/>
                            </w:tcBorders>
                          </w:tcPr>
                          <w:p w14:paraId="7EA54EEA" w14:textId="035F480E" w:rsidR="007372B2" w:rsidRPr="0065013D" w:rsidRDefault="007372B2" w:rsidP="0065013D">
                            <w:pPr>
                              <w:pStyle w:val="a3"/>
                              <w:spacing w:line="276" w:lineRule="auto"/>
                              <w:ind w:right="139"/>
                              <w:jc w:val="right"/>
                              <w:rPr>
                                <w:rFonts w:asciiTheme="minorHAnsi" w:hAnsiTheme="minorHAnsi" w:cstheme="minorHAnsi"/>
                                <w:b/>
                                <w:bCs/>
                                <w:sz w:val="20"/>
                                <w:szCs w:val="20"/>
                                <w:lang w:val="uk-UA"/>
                              </w:rPr>
                            </w:pPr>
                            <w:r>
                              <w:rPr>
                                <w:rFonts w:asciiTheme="minorHAnsi" w:hAnsiTheme="minorHAnsi" w:cstheme="minorHAnsi"/>
                                <w:b/>
                                <w:bCs/>
                                <w:sz w:val="20"/>
                                <w:szCs w:val="20"/>
                              </w:rPr>
                              <w:t xml:space="preserve">    </w:t>
                            </w:r>
                            <w:r w:rsidRPr="0065013D">
                              <w:rPr>
                                <w:rFonts w:asciiTheme="minorHAnsi" w:hAnsiTheme="minorHAnsi" w:cstheme="minorHAnsi"/>
                                <w:b/>
                                <w:bCs/>
                                <w:sz w:val="20"/>
                                <w:szCs w:val="20"/>
                                <w:lang w:val="uk-UA"/>
                              </w:rPr>
                              <w:t>Узгодженість (%)</w:t>
                            </w:r>
                          </w:p>
                        </w:tc>
                        <w:tc>
                          <w:tcPr>
                            <w:tcW w:w="1559" w:type="dxa"/>
                            <w:tcBorders>
                              <w:top w:val="nil"/>
                              <w:left w:val="nil"/>
                              <w:bottom w:val="single" w:sz="4" w:space="0" w:color="auto"/>
                              <w:right w:val="nil"/>
                            </w:tcBorders>
                          </w:tcPr>
                          <w:p w14:paraId="491E23A0" w14:textId="4950A80D" w:rsidR="007372B2" w:rsidRPr="0065013D" w:rsidRDefault="007372B2" w:rsidP="0065013D">
                            <w:pPr>
                              <w:pStyle w:val="a3"/>
                              <w:spacing w:line="276" w:lineRule="auto"/>
                              <w:ind w:right="139"/>
                              <w:rPr>
                                <w:rFonts w:asciiTheme="minorHAnsi" w:hAnsiTheme="minorHAnsi" w:cstheme="minorHAnsi"/>
                                <w:b/>
                                <w:bCs/>
                                <w:sz w:val="20"/>
                                <w:szCs w:val="20"/>
                                <w:lang w:val="uk-UA"/>
                              </w:rPr>
                            </w:pPr>
                            <w:r w:rsidRPr="0065013D">
                              <w:rPr>
                                <w:rFonts w:asciiTheme="minorHAnsi" w:hAnsiTheme="minorHAnsi" w:cstheme="minorHAnsi"/>
                                <w:b/>
                                <w:bCs/>
                                <w:sz w:val="20"/>
                                <w:szCs w:val="20"/>
                                <w:lang w:val="uk-UA"/>
                              </w:rPr>
                              <w:t>95% ДІ</w:t>
                            </w:r>
                          </w:p>
                        </w:tc>
                      </w:tr>
                    </w:tbl>
                    <w:p w14:paraId="1D51409D" w14:textId="4A7DC134" w:rsidR="007372B2" w:rsidRPr="0000369C" w:rsidRDefault="007372B2">
                      <w:pPr>
                        <w:rPr>
                          <w:lang w:val="uk-UA"/>
                        </w:rPr>
                      </w:pPr>
                    </w:p>
                  </w:txbxContent>
                </v:textbox>
              </v:shape>
            </w:pict>
          </mc:Fallback>
        </mc:AlternateContent>
      </w:r>
    </w:p>
    <w:p w14:paraId="26ED3C6F" w14:textId="23EA6764" w:rsidR="00E05B98" w:rsidRPr="003C6DAE" w:rsidRDefault="0000369C" w:rsidP="0000369C">
      <w:pPr>
        <w:pStyle w:val="a3"/>
        <w:spacing w:before="10"/>
        <w:ind w:left="567"/>
        <w:rPr>
          <w:rFonts w:ascii="Arial"/>
          <w:b/>
          <w:sz w:val="15"/>
          <w:lang w:val="uk-UA"/>
        </w:rPr>
      </w:pPr>
      <w:r>
        <w:rPr>
          <w:noProof/>
        </w:rPr>
        <w:drawing>
          <wp:inline distT="0" distB="0" distL="0" distR="0" wp14:anchorId="6932EFAD" wp14:editId="728D2272">
            <wp:extent cx="6053533" cy="3553097"/>
            <wp:effectExtent l="0" t="0" r="4445" b="9525"/>
            <wp:docPr id="762575433" name="Рисунок 1926" descr="Рис. 8. Согласованность результатов TBST и IGRA во всех исследованиях, включая участников без активного туберкул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8. Согласованность результатов TBST и IGRA во всех исследованиях, включая участников без активного туберкулеза."/>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113869" cy="3588511"/>
                    </a:xfrm>
                    <a:prstGeom prst="rect">
                      <a:avLst/>
                    </a:prstGeom>
                    <a:noFill/>
                    <a:ln>
                      <a:noFill/>
                    </a:ln>
                  </pic:spPr>
                </pic:pic>
              </a:graphicData>
            </a:graphic>
          </wp:inline>
        </w:drawing>
      </w:r>
    </w:p>
    <w:p w14:paraId="7634356E" w14:textId="77777777" w:rsidR="00E05B98" w:rsidRPr="003C6DAE" w:rsidRDefault="00E05B98">
      <w:pPr>
        <w:pStyle w:val="a3"/>
        <w:spacing w:before="64"/>
        <w:rPr>
          <w:rFonts w:ascii="Arial"/>
          <w:b/>
          <w:sz w:val="24"/>
          <w:lang w:val="uk-UA"/>
        </w:rPr>
      </w:pPr>
    </w:p>
    <w:tbl>
      <w:tblPr>
        <w:tblStyle w:val="ac"/>
        <w:tblW w:w="9634" w:type="dxa"/>
        <w:tblInd w:w="567" w:type="dxa"/>
        <w:tblLook w:val="04A0" w:firstRow="1" w:lastRow="0" w:firstColumn="1" w:lastColumn="0" w:noHBand="0" w:noVBand="1"/>
      </w:tblPr>
      <w:tblGrid>
        <w:gridCol w:w="9634"/>
      </w:tblGrid>
      <w:tr w:rsidR="00D21735" w:rsidRPr="00D029FF" w14:paraId="28D2AD20" w14:textId="77777777" w:rsidTr="00D21735">
        <w:tc>
          <w:tcPr>
            <w:tcW w:w="9634" w:type="dxa"/>
            <w:tcBorders>
              <w:top w:val="single" w:sz="4" w:space="0" w:color="auto"/>
              <w:left w:val="nil"/>
              <w:bottom w:val="nil"/>
              <w:right w:val="nil"/>
            </w:tcBorders>
          </w:tcPr>
          <w:p w14:paraId="2286CF7D" w14:textId="551D7D2C" w:rsidR="00D21735" w:rsidRPr="002C646E" w:rsidRDefault="00D21735" w:rsidP="002C646E">
            <w:pPr>
              <w:ind w:left="-118"/>
              <w:jc w:val="both"/>
              <w:rPr>
                <w:sz w:val="16"/>
                <w:szCs w:val="16"/>
                <w:lang w:val="uk-UA"/>
              </w:rPr>
            </w:pPr>
            <w:r w:rsidRPr="002C646E">
              <w:rPr>
                <w:b/>
                <w:bCs/>
                <w:sz w:val="16"/>
                <w:szCs w:val="16"/>
                <w:u w:val="single"/>
                <w:lang w:val="uk-UA"/>
              </w:rPr>
              <w:t>Примітки перекладача</w:t>
            </w:r>
            <w:r w:rsidRPr="002C646E">
              <w:rPr>
                <w:sz w:val="16"/>
                <w:szCs w:val="16"/>
                <w:lang w:val="uk-UA"/>
              </w:rPr>
              <w:t xml:space="preserve">. ДІ: довірчий інтервал; </w:t>
            </w:r>
            <w:r w:rsidR="002C646E" w:rsidRPr="002C646E">
              <w:rPr>
                <w:sz w:val="16"/>
                <w:szCs w:val="16"/>
              </w:rPr>
              <w:t>occasional</w:t>
            </w:r>
            <w:r w:rsidR="002C646E" w:rsidRPr="002C646E">
              <w:rPr>
                <w:sz w:val="16"/>
                <w:szCs w:val="16"/>
                <w:lang w:val="uk-UA"/>
              </w:rPr>
              <w:t xml:space="preserve"> </w:t>
            </w:r>
            <w:r w:rsidR="002C646E" w:rsidRPr="002C646E">
              <w:rPr>
                <w:sz w:val="16"/>
                <w:szCs w:val="16"/>
              </w:rPr>
              <w:t>contacts</w:t>
            </w:r>
            <w:r w:rsidR="002C646E" w:rsidRPr="002C646E">
              <w:rPr>
                <w:sz w:val="16"/>
                <w:szCs w:val="16"/>
                <w:lang w:val="uk-UA"/>
              </w:rPr>
              <w:t xml:space="preserve">: епізодичні контакти;  </w:t>
            </w:r>
            <w:r w:rsidR="002C646E" w:rsidRPr="002C646E">
              <w:rPr>
                <w:sz w:val="16"/>
                <w:szCs w:val="16"/>
              </w:rPr>
              <w:t>close</w:t>
            </w:r>
            <w:r w:rsidR="002C646E" w:rsidRPr="002C646E">
              <w:rPr>
                <w:sz w:val="16"/>
                <w:szCs w:val="16"/>
                <w:lang w:val="uk-UA"/>
              </w:rPr>
              <w:t xml:space="preserve"> </w:t>
            </w:r>
            <w:r w:rsidR="002C646E" w:rsidRPr="002C646E">
              <w:rPr>
                <w:sz w:val="16"/>
                <w:szCs w:val="16"/>
              </w:rPr>
              <w:t>contacts</w:t>
            </w:r>
            <w:r w:rsidR="002C646E" w:rsidRPr="002C646E">
              <w:rPr>
                <w:sz w:val="16"/>
                <w:szCs w:val="16"/>
                <w:lang w:val="uk-UA"/>
              </w:rPr>
              <w:t xml:space="preserve">: близькі контакти; </w:t>
            </w:r>
            <w:r w:rsidR="002C646E" w:rsidRPr="002C646E">
              <w:rPr>
                <w:sz w:val="16"/>
                <w:szCs w:val="16"/>
              </w:rPr>
              <w:t>negative</w:t>
            </w:r>
            <w:r w:rsidR="002C646E" w:rsidRPr="002C646E">
              <w:rPr>
                <w:sz w:val="16"/>
                <w:szCs w:val="16"/>
                <w:lang w:val="uk-UA"/>
              </w:rPr>
              <w:t xml:space="preserve"> </w:t>
            </w:r>
            <w:r w:rsidR="002C646E" w:rsidRPr="002C646E">
              <w:rPr>
                <w:sz w:val="16"/>
                <w:szCs w:val="16"/>
              </w:rPr>
              <w:t>controls</w:t>
            </w:r>
            <w:r w:rsidR="002C646E" w:rsidRPr="002C646E">
              <w:rPr>
                <w:sz w:val="16"/>
                <w:szCs w:val="16"/>
                <w:lang w:val="uk-UA"/>
              </w:rPr>
              <w:t xml:space="preserve">: негативні контролі; </w:t>
            </w:r>
            <w:r w:rsidRPr="002C646E">
              <w:rPr>
                <w:sz w:val="16"/>
                <w:szCs w:val="16"/>
              </w:rPr>
              <w:t>DST</w:t>
            </w:r>
            <w:r w:rsidRPr="002C646E">
              <w:rPr>
                <w:sz w:val="16"/>
                <w:szCs w:val="16"/>
                <w:lang w:val="uk-UA"/>
              </w:rPr>
              <w:t>:</w:t>
            </w:r>
            <w:r w:rsidR="002B5A2F">
              <w:rPr>
                <w:sz w:val="16"/>
                <w:szCs w:val="16"/>
                <w:lang w:val="uk-UA"/>
              </w:rPr>
              <w:t xml:space="preserve"> </w:t>
            </w:r>
            <w:r w:rsidRPr="002C646E">
              <w:rPr>
                <w:sz w:val="16"/>
                <w:szCs w:val="16"/>
                <w:lang w:val="uk-UA"/>
              </w:rPr>
              <w:t xml:space="preserve">тест на медикаментозну чутливість (ТМЧ); </w:t>
            </w:r>
            <w:r w:rsidR="002B5A2F">
              <w:rPr>
                <w:sz w:val="16"/>
                <w:szCs w:val="16"/>
                <w:lang w:val="uk-UA"/>
              </w:rPr>
              <w:t>АІ: будь-який розмір ущільнення</w:t>
            </w:r>
            <w:r w:rsidR="002B5A2F" w:rsidRPr="002B5A2F">
              <w:rPr>
                <w:sz w:val="16"/>
                <w:szCs w:val="16"/>
                <w:lang w:val="uk-UA"/>
              </w:rPr>
              <w:t xml:space="preserve">; </w:t>
            </w:r>
            <w:r w:rsidRPr="002C646E">
              <w:rPr>
                <w:sz w:val="16"/>
                <w:szCs w:val="16"/>
              </w:rPr>
              <w:t>QFT</w:t>
            </w:r>
            <w:r w:rsidRPr="002C646E">
              <w:rPr>
                <w:sz w:val="16"/>
                <w:szCs w:val="16"/>
                <w:lang w:val="uk-UA"/>
              </w:rPr>
              <w:t xml:space="preserve">: квантифероновий тест на ТБ; </w:t>
            </w:r>
            <w:r w:rsidRPr="002C646E">
              <w:rPr>
                <w:sz w:val="16"/>
                <w:szCs w:val="16"/>
              </w:rPr>
              <w:t>Random</w:t>
            </w:r>
            <w:r w:rsidRPr="002C646E">
              <w:rPr>
                <w:sz w:val="16"/>
                <w:szCs w:val="16"/>
                <w:lang w:val="uk-UA"/>
              </w:rPr>
              <w:t xml:space="preserve"> </w:t>
            </w:r>
            <w:r w:rsidRPr="002C646E">
              <w:rPr>
                <w:sz w:val="16"/>
                <w:szCs w:val="16"/>
              </w:rPr>
              <w:t>affects</w:t>
            </w:r>
            <w:r w:rsidRPr="002C646E">
              <w:rPr>
                <w:sz w:val="16"/>
                <w:szCs w:val="16"/>
                <w:lang w:val="uk-UA"/>
              </w:rPr>
              <w:t xml:space="preserve"> </w:t>
            </w:r>
            <w:r w:rsidRPr="002C646E">
              <w:rPr>
                <w:sz w:val="16"/>
                <w:szCs w:val="16"/>
              </w:rPr>
              <w:t>model</w:t>
            </w:r>
            <w:r w:rsidRPr="002C646E">
              <w:rPr>
                <w:sz w:val="16"/>
                <w:szCs w:val="16"/>
                <w:lang w:val="uk-UA"/>
              </w:rPr>
              <w:t xml:space="preserve">: модель випадкових ефектів; </w:t>
            </w:r>
            <w:r w:rsidRPr="002C646E">
              <w:rPr>
                <w:sz w:val="16"/>
                <w:szCs w:val="16"/>
              </w:rPr>
              <w:t>Heterogeneity</w:t>
            </w:r>
            <w:r w:rsidRPr="002C646E">
              <w:rPr>
                <w:sz w:val="16"/>
                <w:szCs w:val="16"/>
                <w:lang w:val="uk-UA"/>
              </w:rPr>
              <w:t xml:space="preserve">: неоднорідність; </w:t>
            </w:r>
            <w:r w:rsidR="002B5A2F">
              <w:rPr>
                <w:sz w:val="16"/>
                <w:szCs w:val="16"/>
              </w:rPr>
              <w:t>PTB</w:t>
            </w:r>
            <w:r w:rsidR="002B5A2F" w:rsidRPr="002B5A2F">
              <w:rPr>
                <w:sz w:val="16"/>
                <w:szCs w:val="16"/>
                <w:lang w:val="uk-UA"/>
              </w:rPr>
              <w:t>/</w:t>
            </w:r>
            <w:r w:rsidR="002B5A2F">
              <w:rPr>
                <w:sz w:val="16"/>
                <w:szCs w:val="16"/>
              </w:rPr>
              <w:t>TBI</w:t>
            </w:r>
            <w:r w:rsidR="002B5A2F" w:rsidRPr="002B5A2F">
              <w:rPr>
                <w:sz w:val="16"/>
                <w:szCs w:val="16"/>
                <w:lang w:val="uk-UA"/>
              </w:rPr>
              <w:t xml:space="preserve">: </w:t>
            </w:r>
            <w:r w:rsidR="002B5A2F">
              <w:rPr>
                <w:sz w:val="16"/>
                <w:szCs w:val="16"/>
                <w:lang w:val="uk-UA"/>
              </w:rPr>
              <w:t xml:space="preserve">ТБ легень/інфекція ТБ; </w:t>
            </w:r>
            <w:r w:rsidR="002C646E" w:rsidRPr="002C646E">
              <w:rPr>
                <w:sz w:val="16"/>
                <w:szCs w:val="16"/>
              </w:rPr>
              <w:t>other</w:t>
            </w:r>
            <w:r w:rsidR="002C646E" w:rsidRPr="002C646E">
              <w:rPr>
                <w:sz w:val="16"/>
                <w:szCs w:val="16"/>
                <w:lang w:val="uk-UA"/>
              </w:rPr>
              <w:t xml:space="preserve"> </w:t>
            </w:r>
            <w:r w:rsidR="002C646E" w:rsidRPr="002C646E">
              <w:rPr>
                <w:sz w:val="16"/>
                <w:szCs w:val="16"/>
              </w:rPr>
              <w:t>disease</w:t>
            </w:r>
            <w:r w:rsidR="002C646E" w:rsidRPr="002C646E">
              <w:rPr>
                <w:sz w:val="16"/>
                <w:szCs w:val="16"/>
                <w:lang w:val="uk-UA"/>
              </w:rPr>
              <w:t xml:space="preserve">: </w:t>
            </w:r>
            <w:r w:rsidR="002C646E">
              <w:rPr>
                <w:sz w:val="16"/>
                <w:szCs w:val="16"/>
                <w:lang w:val="uk-UA"/>
              </w:rPr>
              <w:t xml:space="preserve">інше захворювання; </w:t>
            </w:r>
            <w:r w:rsidRPr="002C646E">
              <w:rPr>
                <w:sz w:val="16"/>
                <w:szCs w:val="16"/>
              </w:rPr>
              <w:t>Test</w:t>
            </w:r>
            <w:r w:rsidRPr="002C646E">
              <w:rPr>
                <w:sz w:val="16"/>
                <w:szCs w:val="16"/>
                <w:lang w:val="uk-UA"/>
              </w:rPr>
              <w:t xml:space="preserve"> </w:t>
            </w:r>
            <w:r w:rsidRPr="002C646E">
              <w:rPr>
                <w:sz w:val="16"/>
                <w:szCs w:val="16"/>
              </w:rPr>
              <w:t>for</w:t>
            </w:r>
            <w:r w:rsidRPr="002C646E">
              <w:rPr>
                <w:sz w:val="16"/>
                <w:szCs w:val="16"/>
                <w:lang w:val="uk-UA"/>
              </w:rPr>
              <w:t xml:space="preserve"> </w:t>
            </w:r>
            <w:r w:rsidRPr="002C646E">
              <w:rPr>
                <w:sz w:val="16"/>
                <w:szCs w:val="16"/>
              </w:rPr>
              <w:t>subgroup</w:t>
            </w:r>
            <w:r w:rsidRPr="002C646E">
              <w:rPr>
                <w:sz w:val="16"/>
                <w:szCs w:val="16"/>
                <w:lang w:val="uk-UA"/>
              </w:rPr>
              <w:t xml:space="preserve"> </w:t>
            </w:r>
            <w:r w:rsidRPr="002C646E">
              <w:rPr>
                <w:sz w:val="16"/>
                <w:szCs w:val="16"/>
              </w:rPr>
              <w:t>differencies</w:t>
            </w:r>
            <w:r w:rsidRPr="002C646E">
              <w:rPr>
                <w:sz w:val="16"/>
                <w:szCs w:val="16"/>
                <w:lang w:val="uk-UA"/>
              </w:rPr>
              <w:t>: Дослідження на відмінності у підгрупах</w:t>
            </w:r>
          </w:p>
        </w:tc>
      </w:tr>
    </w:tbl>
    <w:p w14:paraId="770D70EB" w14:textId="77777777" w:rsidR="0000369C" w:rsidRDefault="0000369C" w:rsidP="0000369C">
      <w:pPr>
        <w:pStyle w:val="a3"/>
        <w:spacing w:line="276" w:lineRule="auto"/>
        <w:ind w:left="567" w:right="139"/>
        <w:jc w:val="both"/>
        <w:rPr>
          <w:sz w:val="20"/>
          <w:szCs w:val="20"/>
          <w:lang w:val="uk-UA"/>
        </w:rPr>
      </w:pPr>
    </w:p>
    <w:p w14:paraId="648E80DA" w14:textId="77777777" w:rsidR="0000369C" w:rsidRDefault="0000369C" w:rsidP="0000369C">
      <w:pPr>
        <w:pStyle w:val="a3"/>
        <w:spacing w:line="276" w:lineRule="auto"/>
        <w:ind w:left="567" w:right="139"/>
        <w:jc w:val="both"/>
        <w:rPr>
          <w:sz w:val="20"/>
          <w:szCs w:val="20"/>
          <w:lang w:val="uk-UA"/>
        </w:rPr>
      </w:pPr>
    </w:p>
    <w:p w14:paraId="4BF2A543" w14:textId="155D013A" w:rsidR="00E05B98" w:rsidRPr="0000369C" w:rsidRDefault="00033179" w:rsidP="0000369C">
      <w:pPr>
        <w:pStyle w:val="a3"/>
        <w:spacing w:line="276" w:lineRule="auto"/>
        <w:ind w:left="567" w:right="139"/>
        <w:jc w:val="both"/>
        <w:rPr>
          <w:sz w:val="20"/>
          <w:szCs w:val="20"/>
          <w:lang w:val="uk-UA"/>
        </w:rPr>
      </w:pPr>
      <w:r w:rsidRPr="00033179">
        <w:rPr>
          <w:sz w:val="20"/>
          <w:szCs w:val="20"/>
          <w:lang w:val="uk-UA"/>
        </w:rPr>
        <w:t>Серед учасників із захворюванням на туберкульоз спостерігали високу узгодженість результатів між тестами ШПТБ та АВГІ в якості тесту порівняння (85,7%) (</w:t>
      </w:r>
      <w:r w:rsidRPr="002C646E">
        <w:rPr>
          <w:b/>
          <w:bCs/>
          <w:sz w:val="20"/>
          <w:szCs w:val="20"/>
          <w:lang w:val="uk-UA"/>
        </w:rPr>
        <w:t>рис. 3.1.1.9</w:t>
      </w:r>
      <w:r w:rsidRPr="00033179">
        <w:rPr>
          <w:sz w:val="20"/>
          <w:szCs w:val="20"/>
          <w:lang w:val="uk-UA"/>
        </w:rPr>
        <w:t xml:space="preserve">). Деяка варіабельність </w:t>
      </w:r>
      <w:r w:rsidR="00CE4B93" w:rsidRPr="00033179">
        <w:rPr>
          <w:sz w:val="20"/>
          <w:szCs w:val="20"/>
          <w:lang w:val="uk-UA"/>
        </w:rPr>
        <w:t>узгодженості</w:t>
      </w:r>
      <w:r w:rsidRPr="00033179">
        <w:rPr>
          <w:sz w:val="20"/>
          <w:szCs w:val="20"/>
          <w:lang w:val="uk-UA"/>
        </w:rPr>
        <w:t xml:space="preserve"> результатів спостерігалася між різними тестами: 79,6% (95% ДІ: 76,3-82,6%) для Cy-Tb з розміром ущільнення в 5 мм порівняно з квантифероновим тестом (QFT); 97,3% (95% ДІ: 72,7-99,8%) - для Діаскінтесту (ущільнення будь-якого розміру) порівняно з тестом QFT; і 97,0% (95% ДІ: 92,3- 98,9%) - для ТМЧ з ущільнення розміром в 5 мм порівняно з QFT. Узгодженість була дещо нижчою та становила  85,4% (95% ДІ: 72,4-92,9%) для тесту C-TST порівняно з T-Spot.</w:t>
      </w:r>
      <w:r w:rsidR="00B01E0C" w:rsidRPr="0000369C">
        <w:rPr>
          <w:spacing w:val="-4"/>
          <w:sz w:val="20"/>
          <w:szCs w:val="20"/>
          <w:lang w:val="uk-UA"/>
        </w:rPr>
        <w:t xml:space="preserve"> </w:t>
      </w:r>
      <w:r w:rsidRPr="00033179">
        <w:rPr>
          <w:sz w:val="20"/>
          <w:szCs w:val="20"/>
          <w:lang w:val="uk-UA"/>
        </w:rPr>
        <w:t>Ризик систематичної похибки  вважався серйозним, оскільки в чотирьох дослідженнях розподіл тестів за групами не проводили за методом засліплення; отже, достовірність доказів була знижена на один рівень через ризик систематичної похибки. Узгодженість коливалася в діапазоні від 75% до 100% для різних тестів і досліджень, тому достовірність доказів була знижена на один рівень через неузгодженість результатів між дослідженнями. Загальна достовірність доказів щодо узгодженості результатів між тестами ШПТБ та АВГІ у людей з ТБ, була визнана низькою.</w:t>
      </w:r>
    </w:p>
    <w:p w14:paraId="36BACF2F" w14:textId="77777777" w:rsidR="00E05B98" w:rsidRPr="003C6DAE" w:rsidRDefault="00E05B98">
      <w:pPr>
        <w:pStyle w:val="a3"/>
        <w:spacing w:line="297" w:lineRule="auto"/>
        <w:jc w:val="both"/>
        <w:rPr>
          <w:lang w:val="uk-UA"/>
        </w:rPr>
        <w:sectPr w:rsidR="00E05B98" w:rsidRPr="003C6DAE" w:rsidSect="00246FF7">
          <w:pgSz w:w="11910" w:h="16840"/>
          <w:pgMar w:top="1320" w:right="995" w:bottom="760" w:left="850" w:header="0" w:footer="573" w:gutter="0"/>
          <w:cols w:space="720"/>
        </w:sectPr>
      </w:pPr>
    </w:p>
    <w:p w14:paraId="37AB21BB" w14:textId="6697FCB7" w:rsidR="00E05B98" w:rsidRPr="00033179" w:rsidRDefault="00033179" w:rsidP="00033179">
      <w:pPr>
        <w:tabs>
          <w:tab w:val="left" w:pos="8789"/>
        </w:tabs>
        <w:spacing w:before="46" w:line="268" w:lineRule="auto"/>
        <w:ind w:left="567" w:right="-138"/>
        <w:rPr>
          <w:rFonts w:ascii="Arial"/>
          <w:b/>
          <w:lang w:val="uk-UA"/>
        </w:rPr>
      </w:pPr>
      <w:bookmarkStart w:id="102" w:name="_bookmark50"/>
      <w:bookmarkEnd w:id="102"/>
      <w:r w:rsidRPr="00033179">
        <w:rPr>
          <w:rFonts w:ascii="Arial"/>
          <w:b/>
          <w:color w:val="636466"/>
          <w:spacing w:val="-2"/>
          <w:lang w:val="uk-UA"/>
        </w:rPr>
        <w:lastRenderedPageBreak/>
        <w:t>Рис</w:t>
      </w:r>
      <w:r w:rsidR="00B01E0C" w:rsidRPr="00033179">
        <w:rPr>
          <w:rFonts w:ascii="Arial"/>
          <w:b/>
          <w:color w:val="636466"/>
          <w:spacing w:val="-2"/>
          <w:lang w:val="uk-UA"/>
        </w:rPr>
        <w:t>.</w:t>
      </w:r>
      <w:r w:rsidR="00B01E0C" w:rsidRPr="00033179">
        <w:rPr>
          <w:rFonts w:ascii="Arial"/>
          <w:b/>
          <w:color w:val="636466"/>
          <w:spacing w:val="-10"/>
          <w:lang w:val="uk-UA"/>
        </w:rPr>
        <w:t xml:space="preserve"> </w:t>
      </w:r>
      <w:r w:rsidR="00B01E0C" w:rsidRPr="00033179">
        <w:rPr>
          <w:rFonts w:ascii="Arial"/>
          <w:b/>
          <w:color w:val="636466"/>
          <w:spacing w:val="-2"/>
          <w:lang w:val="uk-UA"/>
        </w:rPr>
        <w:t>3.1.1.9</w:t>
      </w:r>
      <w:r w:rsidR="00B01E0C" w:rsidRPr="00033179">
        <w:rPr>
          <w:rFonts w:ascii="Arial"/>
          <w:b/>
          <w:color w:val="636466"/>
          <w:spacing w:val="-10"/>
          <w:lang w:val="uk-UA"/>
        </w:rPr>
        <w:t xml:space="preserve"> </w:t>
      </w:r>
      <w:r w:rsidRPr="00033179">
        <w:rPr>
          <w:rFonts w:ascii="Arial"/>
          <w:b/>
          <w:color w:val="636466"/>
          <w:spacing w:val="-10"/>
          <w:lang w:val="uk-UA"/>
        </w:rPr>
        <w:t xml:space="preserve"> </w:t>
      </w:r>
      <w:r w:rsidRPr="00033179">
        <w:rPr>
          <w:rFonts w:ascii="Arial"/>
          <w:b/>
          <w:color w:val="636466"/>
          <w:spacing w:val="-2"/>
          <w:lang w:val="uk-UA"/>
        </w:rPr>
        <w:t>Узгодженість</w:t>
      </w:r>
      <w:r w:rsidRPr="00033179">
        <w:rPr>
          <w:rFonts w:ascii="Arial"/>
          <w:b/>
          <w:color w:val="636466"/>
          <w:spacing w:val="-2"/>
          <w:lang w:val="uk-UA"/>
        </w:rPr>
        <w:t xml:space="preserve"> </w:t>
      </w:r>
      <w:r w:rsidRPr="00033179">
        <w:rPr>
          <w:rFonts w:ascii="Arial"/>
          <w:b/>
          <w:color w:val="636466"/>
          <w:spacing w:val="-2"/>
          <w:lang w:val="uk-UA"/>
        </w:rPr>
        <w:t>результатів</w:t>
      </w:r>
      <w:r w:rsidRPr="00033179">
        <w:rPr>
          <w:rFonts w:ascii="Arial"/>
          <w:b/>
          <w:color w:val="636466"/>
          <w:spacing w:val="-2"/>
          <w:lang w:val="uk-UA"/>
        </w:rPr>
        <w:t xml:space="preserve"> </w:t>
      </w:r>
      <w:r w:rsidRPr="00033179">
        <w:rPr>
          <w:rFonts w:ascii="Arial"/>
          <w:b/>
          <w:color w:val="636466"/>
          <w:spacing w:val="-2"/>
          <w:lang w:val="uk-UA"/>
        </w:rPr>
        <w:t>тестів</w:t>
      </w:r>
      <w:r w:rsidRPr="00033179">
        <w:rPr>
          <w:rFonts w:ascii="Arial"/>
          <w:b/>
          <w:color w:val="636466"/>
          <w:spacing w:val="-2"/>
          <w:lang w:val="uk-UA"/>
        </w:rPr>
        <w:t xml:space="preserve"> </w:t>
      </w:r>
      <w:r w:rsidRPr="00033179">
        <w:rPr>
          <w:rFonts w:ascii="Arial"/>
          <w:b/>
          <w:color w:val="636466"/>
          <w:spacing w:val="-2"/>
          <w:lang w:val="uk-UA"/>
        </w:rPr>
        <w:t>ШПТБ</w:t>
      </w:r>
      <w:r w:rsidRPr="00033179">
        <w:rPr>
          <w:rFonts w:ascii="Arial"/>
          <w:b/>
          <w:color w:val="636466"/>
          <w:spacing w:val="-2"/>
          <w:lang w:val="uk-UA"/>
        </w:rPr>
        <w:t xml:space="preserve"> </w:t>
      </w:r>
      <w:r w:rsidRPr="00033179">
        <w:rPr>
          <w:rFonts w:ascii="Arial"/>
          <w:b/>
          <w:color w:val="636466"/>
          <w:spacing w:val="-2"/>
          <w:lang w:val="uk-UA"/>
        </w:rPr>
        <w:t>на</w:t>
      </w:r>
      <w:r w:rsidRPr="00033179">
        <w:rPr>
          <w:rFonts w:ascii="Arial"/>
          <w:b/>
          <w:color w:val="636466"/>
          <w:spacing w:val="-2"/>
          <w:lang w:val="uk-UA"/>
        </w:rPr>
        <w:t xml:space="preserve"> </w:t>
      </w:r>
      <w:r w:rsidRPr="00033179">
        <w:rPr>
          <w:rFonts w:ascii="Arial"/>
          <w:b/>
          <w:color w:val="636466"/>
          <w:spacing w:val="-2"/>
          <w:lang w:val="uk-UA"/>
        </w:rPr>
        <w:t>противагу</w:t>
      </w:r>
      <w:r w:rsidRPr="00033179">
        <w:rPr>
          <w:rFonts w:ascii="Arial"/>
          <w:b/>
          <w:color w:val="636466"/>
          <w:spacing w:val="-2"/>
          <w:lang w:val="uk-UA"/>
        </w:rPr>
        <w:t xml:space="preserve"> </w:t>
      </w:r>
      <w:r w:rsidRPr="00033179">
        <w:rPr>
          <w:rFonts w:ascii="Arial"/>
          <w:b/>
          <w:color w:val="636466"/>
          <w:spacing w:val="-2"/>
          <w:lang w:val="uk-UA"/>
        </w:rPr>
        <w:t>АВГІ</w:t>
      </w:r>
      <w:r w:rsidRPr="00033179">
        <w:rPr>
          <w:rFonts w:ascii="Arial"/>
          <w:b/>
          <w:color w:val="636466"/>
          <w:spacing w:val="-2"/>
          <w:lang w:val="uk-UA"/>
        </w:rPr>
        <w:t xml:space="preserve"> </w:t>
      </w:r>
      <w:r w:rsidRPr="00033179">
        <w:rPr>
          <w:rFonts w:ascii="Arial"/>
          <w:b/>
          <w:color w:val="636466"/>
          <w:spacing w:val="-2"/>
          <w:lang w:val="uk-UA"/>
        </w:rPr>
        <w:t>в</w:t>
      </w:r>
      <w:r w:rsidRPr="00033179">
        <w:rPr>
          <w:rFonts w:ascii="Arial"/>
          <w:b/>
          <w:color w:val="636466"/>
          <w:spacing w:val="-2"/>
          <w:lang w:val="uk-UA"/>
        </w:rPr>
        <w:t xml:space="preserve"> </w:t>
      </w:r>
      <w:r w:rsidRPr="00033179">
        <w:rPr>
          <w:rFonts w:ascii="Arial"/>
          <w:b/>
          <w:color w:val="636466"/>
          <w:spacing w:val="-2"/>
          <w:lang w:val="uk-UA"/>
        </w:rPr>
        <w:t>усіх</w:t>
      </w:r>
      <w:r w:rsidRPr="00033179">
        <w:rPr>
          <w:rFonts w:ascii="Arial"/>
          <w:b/>
          <w:color w:val="636466"/>
          <w:spacing w:val="-2"/>
          <w:lang w:val="uk-UA"/>
        </w:rPr>
        <w:t xml:space="preserve"> </w:t>
      </w:r>
      <w:r w:rsidRPr="00033179">
        <w:rPr>
          <w:rFonts w:ascii="Arial"/>
          <w:b/>
          <w:color w:val="636466"/>
          <w:spacing w:val="-2"/>
          <w:lang w:val="uk-UA"/>
        </w:rPr>
        <w:t>дослідженнях</w:t>
      </w:r>
      <w:r w:rsidRPr="00033179">
        <w:rPr>
          <w:rFonts w:ascii="Arial"/>
          <w:b/>
          <w:color w:val="636466"/>
          <w:spacing w:val="-2"/>
          <w:lang w:val="uk-UA"/>
        </w:rPr>
        <w:t xml:space="preserve">, </w:t>
      </w:r>
      <w:r w:rsidRPr="00033179">
        <w:rPr>
          <w:rFonts w:ascii="Arial"/>
          <w:b/>
          <w:color w:val="636466"/>
          <w:spacing w:val="-2"/>
          <w:lang w:val="uk-UA"/>
        </w:rPr>
        <w:t>включаючи</w:t>
      </w:r>
      <w:r w:rsidRPr="00033179">
        <w:rPr>
          <w:rFonts w:ascii="Arial"/>
          <w:b/>
          <w:color w:val="636466"/>
          <w:spacing w:val="-2"/>
          <w:lang w:val="uk-UA"/>
        </w:rPr>
        <w:t xml:space="preserve"> </w:t>
      </w:r>
      <w:r w:rsidRPr="00033179">
        <w:rPr>
          <w:rFonts w:ascii="Arial"/>
          <w:b/>
          <w:color w:val="636466"/>
          <w:spacing w:val="-2"/>
          <w:lang w:val="uk-UA"/>
        </w:rPr>
        <w:t>людей</w:t>
      </w:r>
      <w:r w:rsidRPr="00033179">
        <w:rPr>
          <w:rFonts w:ascii="Arial"/>
          <w:b/>
          <w:color w:val="636466"/>
          <w:spacing w:val="-2"/>
          <w:lang w:val="uk-UA"/>
        </w:rPr>
        <w:t xml:space="preserve"> </w:t>
      </w:r>
      <w:r w:rsidRPr="00033179">
        <w:rPr>
          <w:rFonts w:ascii="Arial"/>
          <w:b/>
          <w:color w:val="636466"/>
          <w:spacing w:val="-2"/>
          <w:lang w:val="uk-UA"/>
        </w:rPr>
        <w:t>з</w:t>
      </w:r>
      <w:r w:rsidRPr="00033179">
        <w:rPr>
          <w:rFonts w:ascii="Arial"/>
          <w:b/>
          <w:color w:val="636466"/>
          <w:spacing w:val="-2"/>
          <w:lang w:val="uk-UA"/>
        </w:rPr>
        <w:t xml:space="preserve"> </w:t>
      </w:r>
      <w:r w:rsidRPr="00033179">
        <w:rPr>
          <w:rFonts w:ascii="Arial"/>
          <w:b/>
          <w:color w:val="636466"/>
          <w:spacing w:val="-2"/>
          <w:lang w:val="uk-UA"/>
        </w:rPr>
        <w:t>активною</w:t>
      </w:r>
      <w:r w:rsidRPr="00033179">
        <w:rPr>
          <w:rFonts w:ascii="Arial"/>
          <w:b/>
          <w:color w:val="636466"/>
          <w:spacing w:val="-2"/>
          <w:lang w:val="uk-UA"/>
        </w:rPr>
        <w:t xml:space="preserve"> </w:t>
      </w:r>
      <w:r w:rsidRPr="00033179">
        <w:rPr>
          <w:rFonts w:ascii="Arial"/>
          <w:b/>
          <w:color w:val="636466"/>
          <w:spacing w:val="-2"/>
          <w:lang w:val="uk-UA"/>
        </w:rPr>
        <w:t>формою</w:t>
      </w:r>
      <w:r w:rsidRPr="00033179">
        <w:rPr>
          <w:rFonts w:ascii="Arial"/>
          <w:b/>
          <w:color w:val="636466"/>
          <w:spacing w:val="-2"/>
          <w:lang w:val="uk-UA"/>
        </w:rPr>
        <w:t xml:space="preserve"> </w:t>
      </w:r>
      <w:r w:rsidRPr="00033179">
        <w:rPr>
          <w:rFonts w:ascii="Arial"/>
          <w:b/>
          <w:color w:val="636466"/>
          <w:spacing w:val="-2"/>
          <w:lang w:val="uk-UA"/>
        </w:rPr>
        <w:t>ТБ</w:t>
      </w:r>
    </w:p>
    <w:p w14:paraId="3B39CCBD" w14:textId="4813250C" w:rsidR="00E05B98" w:rsidRPr="003C6DAE" w:rsidRDefault="007E0CA5">
      <w:pPr>
        <w:pStyle w:val="a3"/>
        <w:spacing w:before="7"/>
        <w:rPr>
          <w:rFonts w:ascii="Arial"/>
          <w:b/>
          <w:sz w:val="11"/>
          <w:lang w:val="uk-UA"/>
        </w:rPr>
      </w:pPr>
      <w:r>
        <w:rPr>
          <w:rFonts w:ascii="Arial"/>
          <w:b/>
          <w:noProof/>
          <w:sz w:val="11"/>
          <w:lang w:val="uk-UA"/>
        </w:rPr>
        <mc:AlternateContent>
          <mc:Choice Requires="wps">
            <w:drawing>
              <wp:anchor distT="0" distB="0" distL="114300" distR="114300" simplePos="0" relativeHeight="488189440" behindDoc="0" locked="0" layoutInCell="1" allowOverlap="1" wp14:anchorId="21812643" wp14:editId="374AED07">
                <wp:simplePos x="0" y="0"/>
                <wp:positionH relativeFrom="column">
                  <wp:posOffset>323495</wp:posOffset>
                </wp:positionH>
                <wp:positionV relativeFrom="paragraph">
                  <wp:posOffset>3612901</wp:posOffset>
                </wp:positionV>
                <wp:extent cx="6247250" cy="588286"/>
                <wp:effectExtent l="0" t="0" r="1270" b="2540"/>
                <wp:wrapNone/>
                <wp:docPr id="107505182" name="Поле 1934"/>
                <wp:cNvGraphicFramePr/>
                <a:graphic xmlns:a="http://schemas.openxmlformats.org/drawingml/2006/main">
                  <a:graphicData uri="http://schemas.microsoft.com/office/word/2010/wordprocessingShape">
                    <wps:wsp>
                      <wps:cNvSpPr txBox="1"/>
                      <wps:spPr>
                        <a:xfrm>
                          <a:off x="0" y="0"/>
                          <a:ext cx="6247250" cy="588286"/>
                        </a:xfrm>
                        <a:prstGeom prst="rect">
                          <a:avLst/>
                        </a:prstGeom>
                        <a:solidFill>
                          <a:schemeClr val="bg1"/>
                        </a:solidFill>
                        <a:ln w="6350">
                          <a:noFill/>
                        </a:ln>
                      </wps:spPr>
                      <wps:txbx>
                        <w:txbxContent>
                          <w:tbl>
                            <w:tblPr>
                              <w:tblStyle w:val="ac"/>
                              <w:tblW w:w="0" w:type="auto"/>
                              <w:tblLook w:val="04A0" w:firstRow="1" w:lastRow="0" w:firstColumn="1" w:lastColumn="0" w:noHBand="0" w:noVBand="1"/>
                            </w:tblPr>
                            <w:tblGrid>
                              <w:gridCol w:w="9374"/>
                            </w:tblGrid>
                            <w:tr w:rsidR="007372B2" w:rsidRPr="006D3165" w14:paraId="01EA989E" w14:textId="77777777" w:rsidTr="007E0CA5">
                              <w:tc>
                                <w:tcPr>
                                  <w:tcW w:w="9374" w:type="dxa"/>
                                  <w:tcBorders>
                                    <w:top w:val="single" w:sz="4" w:space="0" w:color="auto"/>
                                    <w:left w:val="nil"/>
                                    <w:bottom w:val="nil"/>
                                    <w:right w:val="nil"/>
                                  </w:tcBorders>
                                </w:tcPr>
                                <w:p w14:paraId="6EDA1447" w14:textId="086E0CC8" w:rsidR="007372B2" w:rsidRPr="00CE302F" w:rsidRDefault="007372B2" w:rsidP="007E0CA5">
                                  <w:pPr>
                                    <w:ind w:left="-107"/>
                                    <w:jc w:val="both"/>
                                    <w:rPr>
                                      <w:sz w:val="16"/>
                                      <w:szCs w:val="16"/>
                                      <w:lang w:val="uk-UA"/>
                                    </w:rPr>
                                  </w:pPr>
                                  <w:r w:rsidRPr="00CE302F">
                                    <w:rPr>
                                      <w:b/>
                                      <w:bCs/>
                                      <w:sz w:val="16"/>
                                      <w:szCs w:val="16"/>
                                      <w:u w:val="single"/>
                                      <w:lang w:val="uk-UA"/>
                                    </w:rPr>
                                    <w:t>Примітки перекладача</w:t>
                                  </w:r>
                                  <w:r>
                                    <w:rPr>
                                      <w:sz w:val="16"/>
                                      <w:szCs w:val="16"/>
                                      <w:lang w:val="uk-UA"/>
                                    </w:rPr>
                                    <w:t>. ДІ: довірчий інтервал;</w:t>
                                  </w:r>
                                  <w:r w:rsidRPr="006317A3">
                                    <w:rPr>
                                      <w:sz w:val="16"/>
                                      <w:szCs w:val="16"/>
                                      <w:lang w:val="uk-UA"/>
                                    </w:rPr>
                                    <w:t xml:space="preserve"> </w:t>
                                  </w:r>
                                  <w:r>
                                    <w:rPr>
                                      <w:sz w:val="16"/>
                                      <w:szCs w:val="16"/>
                                    </w:rPr>
                                    <w:t>D</w:t>
                                  </w:r>
                                  <w:r w:rsidRPr="00226806">
                                    <w:rPr>
                                      <w:sz w:val="16"/>
                                      <w:szCs w:val="16"/>
                                    </w:rPr>
                                    <w:t>ST</w:t>
                                  </w:r>
                                  <w:r>
                                    <w:rPr>
                                      <w:sz w:val="16"/>
                                      <w:szCs w:val="16"/>
                                      <w:lang w:val="uk-UA"/>
                                    </w:rPr>
                                    <w:t>:</w:t>
                                  </w:r>
                                  <w:r w:rsidRPr="006317A3">
                                    <w:rPr>
                                      <w:sz w:val="16"/>
                                      <w:szCs w:val="16"/>
                                      <w:lang w:val="uk-UA"/>
                                    </w:rPr>
                                    <w:t xml:space="preserve"> </w:t>
                                  </w:r>
                                  <w:r>
                                    <w:rPr>
                                      <w:sz w:val="16"/>
                                      <w:szCs w:val="16"/>
                                      <w:lang w:val="uk-UA"/>
                                    </w:rPr>
                                    <w:t xml:space="preserve">тест на медикаментозну чутливість </w:t>
                                  </w:r>
                                  <w:r w:rsidRPr="006317A3">
                                    <w:rPr>
                                      <w:sz w:val="16"/>
                                      <w:szCs w:val="16"/>
                                      <w:lang w:val="uk-UA"/>
                                    </w:rPr>
                                    <w:t>(</w:t>
                                  </w:r>
                                  <w:r>
                                    <w:rPr>
                                      <w:sz w:val="16"/>
                                      <w:szCs w:val="16"/>
                                      <w:lang w:val="uk-UA"/>
                                    </w:rPr>
                                    <w:t>ТМЧ); АІ: будь-який розмір ущільнення</w:t>
                                  </w:r>
                                  <w:r w:rsidRPr="000306D7">
                                    <w:rPr>
                                      <w:sz w:val="16"/>
                                      <w:szCs w:val="16"/>
                                      <w:lang w:val="uk-UA"/>
                                    </w:rPr>
                                    <w:t xml:space="preserve"> (</w:t>
                                  </w:r>
                                  <w:r>
                                    <w:rPr>
                                      <w:sz w:val="16"/>
                                      <w:szCs w:val="16"/>
                                      <w:lang w:val="uk-UA"/>
                                    </w:rPr>
                                    <w:t>індурації</w:t>
                                  </w:r>
                                  <w:r w:rsidRPr="000306D7">
                                    <w:rPr>
                                      <w:sz w:val="16"/>
                                      <w:szCs w:val="16"/>
                                      <w:lang w:val="uk-UA"/>
                                    </w:rPr>
                                    <w:t>)</w:t>
                                  </w:r>
                                  <w:r w:rsidRPr="002B5A2F">
                                    <w:rPr>
                                      <w:sz w:val="16"/>
                                      <w:szCs w:val="16"/>
                                      <w:lang w:val="uk-UA"/>
                                    </w:rPr>
                                    <w:t>;</w:t>
                                  </w:r>
                                  <w:r>
                                    <w:rPr>
                                      <w:sz w:val="16"/>
                                      <w:szCs w:val="16"/>
                                      <w:lang w:val="uk-UA"/>
                                    </w:rPr>
                                    <w:t xml:space="preserve"> </w:t>
                                  </w:r>
                                  <w:r>
                                    <w:rPr>
                                      <w:sz w:val="16"/>
                                      <w:szCs w:val="16"/>
                                    </w:rPr>
                                    <w:t>QFT</w:t>
                                  </w:r>
                                  <w:r w:rsidRPr="00B40C1E">
                                    <w:rPr>
                                      <w:sz w:val="16"/>
                                      <w:szCs w:val="16"/>
                                      <w:lang w:val="uk-UA"/>
                                    </w:rPr>
                                    <w:t xml:space="preserve">: </w:t>
                                  </w:r>
                                  <w:r>
                                    <w:rPr>
                                      <w:sz w:val="16"/>
                                      <w:szCs w:val="16"/>
                                      <w:lang w:val="uk-UA"/>
                                    </w:rPr>
                                    <w:t xml:space="preserve">квантифероновий тест на ТБ; </w:t>
                                  </w:r>
                                  <w:r>
                                    <w:rPr>
                                      <w:sz w:val="16"/>
                                      <w:szCs w:val="16"/>
                                    </w:rPr>
                                    <w:t>R</w:t>
                                  </w:r>
                                  <w:r w:rsidRPr="00226806">
                                    <w:rPr>
                                      <w:sz w:val="16"/>
                                      <w:szCs w:val="16"/>
                                    </w:rPr>
                                    <w:t>andom</w:t>
                                  </w:r>
                                  <w:r w:rsidRPr="00226806">
                                    <w:rPr>
                                      <w:sz w:val="16"/>
                                      <w:szCs w:val="16"/>
                                      <w:lang w:val="uk-UA"/>
                                    </w:rPr>
                                    <w:t xml:space="preserve"> </w:t>
                                  </w:r>
                                  <w:r w:rsidRPr="00226806">
                                    <w:rPr>
                                      <w:sz w:val="16"/>
                                      <w:szCs w:val="16"/>
                                    </w:rPr>
                                    <w:t>affects</w:t>
                                  </w:r>
                                  <w:r w:rsidRPr="00226806">
                                    <w:rPr>
                                      <w:sz w:val="16"/>
                                      <w:szCs w:val="16"/>
                                      <w:lang w:val="uk-UA"/>
                                    </w:rPr>
                                    <w:t xml:space="preserve"> </w:t>
                                  </w:r>
                                  <w:r w:rsidRPr="00226806">
                                    <w:rPr>
                                      <w:sz w:val="16"/>
                                      <w:szCs w:val="16"/>
                                    </w:rPr>
                                    <w:t>model</w:t>
                                  </w:r>
                                  <w:r w:rsidRPr="00226806">
                                    <w:rPr>
                                      <w:sz w:val="16"/>
                                      <w:szCs w:val="16"/>
                                      <w:lang w:val="uk-UA"/>
                                    </w:rPr>
                                    <w:t xml:space="preserve">: </w:t>
                                  </w:r>
                                  <w:r>
                                    <w:rPr>
                                      <w:sz w:val="16"/>
                                      <w:szCs w:val="16"/>
                                      <w:lang w:val="uk-UA"/>
                                    </w:rPr>
                                    <w:t>модель випадкових ефектів</w:t>
                                  </w:r>
                                  <w:r w:rsidRPr="00226806">
                                    <w:rPr>
                                      <w:sz w:val="16"/>
                                      <w:szCs w:val="16"/>
                                      <w:lang w:val="uk-UA"/>
                                    </w:rPr>
                                    <w:t xml:space="preserve">; </w:t>
                                  </w:r>
                                  <w:r w:rsidRPr="00226806">
                                    <w:rPr>
                                      <w:sz w:val="16"/>
                                      <w:szCs w:val="16"/>
                                    </w:rPr>
                                    <w:t>Heterogeneity</w:t>
                                  </w:r>
                                  <w:r w:rsidRPr="00226806">
                                    <w:rPr>
                                      <w:sz w:val="16"/>
                                      <w:szCs w:val="16"/>
                                      <w:lang w:val="uk-UA"/>
                                    </w:rPr>
                                    <w:t xml:space="preserve">: </w:t>
                                  </w:r>
                                  <w:r>
                                    <w:rPr>
                                      <w:sz w:val="16"/>
                                      <w:szCs w:val="16"/>
                                      <w:lang w:val="uk-UA"/>
                                    </w:rPr>
                                    <w:t xml:space="preserve">неоднорідність; </w:t>
                                  </w:r>
                                  <w:r>
                                    <w:rPr>
                                      <w:sz w:val="16"/>
                                      <w:szCs w:val="16"/>
                                    </w:rPr>
                                    <w:t>Test</w:t>
                                  </w:r>
                                  <w:r w:rsidRPr="003D28E5">
                                    <w:rPr>
                                      <w:sz w:val="16"/>
                                      <w:szCs w:val="16"/>
                                      <w:lang w:val="uk-UA"/>
                                    </w:rPr>
                                    <w:t xml:space="preserve"> </w:t>
                                  </w:r>
                                  <w:r>
                                    <w:rPr>
                                      <w:sz w:val="16"/>
                                      <w:szCs w:val="16"/>
                                    </w:rPr>
                                    <w:t>for</w:t>
                                  </w:r>
                                  <w:r w:rsidRPr="003D28E5">
                                    <w:rPr>
                                      <w:sz w:val="16"/>
                                      <w:szCs w:val="16"/>
                                      <w:lang w:val="uk-UA"/>
                                    </w:rPr>
                                    <w:t xml:space="preserve"> </w:t>
                                  </w:r>
                                  <w:r>
                                    <w:rPr>
                                      <w:sz w:val="16"/>
                                      <w:szCs w:val="16"/>
                                    </w:rPr>
                                    <w:t>subgroup</w:t>
                                  </w:r>
                                  <w:r w:rsidRPr="003D28E5">
                                    <w:rPr>
                                      <w:sz w:val="16"/>
                                      <w:szCs w:val="16"/>
                                      <w:lang w:val="uk-UA"/>
                                    </w:rPr>
                                    <w:t xml:space="preserve"> </w:t>
                                  </w:r>
                                  <w:r>
                                    <w:rPr>
                                      <w:sz w:val="16"/>
                                      <w:szCs w:val="16"/>
                                    </w:rPr>
                                    <w:t>differencies</w:t>
                                  </w:r>
                                  <w:r w:rsidRPr="003D28E5">
                                    <w:rPr>
                                      <w:sz w:val="16"/>
                                      <w:szCs w:val="16"/>
                                      <w:lang w:val="uk-UA"/>
                                    </w:rPr>
                                    <w:t>:</w:t>
                                  </w:r>
                                  <w:r>
                                    <w:rPr>
                                      <w:sz w:val="16"/>
                                      <w:szCs w:val="16"/>
                                      <w:lang w:val="uk-UA"/>
                                    </w:rPr>
                                    <w:t xml:space="preserve"> </w:t>
                                  </w:r>
                                  <w:r w:rsidRPr="00226806">
                                    <w:rPr>
                                      <w:sz w:val="16"/>
                                      <w:szCs w:val="16"/>
                                      <w:lang w:val="uk-UA"/>
                                    </w:rPr>
                                    <w:t>Дослідження на відмінності у підгрупах</w:t>
                                  </w:r>
                                </w:p>
                                <w:p w14:paraId="65BF9601" w14:textId="77777777" w:rsidR="007372B2" w:rsidRPr="000306D7" w:rsidRDefault="007372B2">
                                  <w:pPr>
                                    <w:rPr>
                                      <w:lang w:val="uk-UA"/>
                                    </w:rPr>
                                  </w:pPr>
                                </w:p>
                              </w:tc>
                            </w:tr>
                          </w:tbl>
                          <w:p w14:paraId="55A68EF0" w14:textId="77777777" w:rsidR="007372B2" w:rsidRPr="000306D7" w:rsidRDefault="007372B2">
                            <w:pP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2643" id="Поле 1934" o:spid="_x0000_s1199" type="#_x0000_t202" style="position:absolute;margin-left:25.45pt;margin-top:284.5pt;width:491.9pt;height:46.3pt;z-index:4881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" fillcolor="white [3212]" stroked="f" strokeweight=".5pt">
                <v:textbox>
                  <w:txbxContent>
                    <w:tbl>
                      <w:tblPr>
                        <w:tblStyle w:val="ac"/>
                        <w:tblW w:w="0" w:type="auto"/>
                        <w:tblLook w:val="04A0" w:firstRow="1" w:lastRow="0" w:firstColumn="1" w:lastColumn="0" w:noHBand="0" w:noVBand="1"/>
                      </w:tblPr>
                      <w:tblGrid>
                        <w:gridCol w:w="9374"/>
                      </w:tblGrid>
                      <w:tr w:rsidR="007372B2" w:rsidRPr="006D3165" w14:paraId="01EA989E" w14:textId="77777777" w:rsidTr="007E0CA5">
                        <w:tc>
                          <w:tcPr>
                            <w:tcW w:w="9374" w:type="dxa"/>
                            <w:tcBorders>
                              <w:top w:val="single" w:sz="4" w:space="0" w:color="auto"/>
                              <w:left w:val="nil"/>
                              <w:bottom w:val="nil"/>
                              <w:right w:val="nil"/>
                            </w:tcBorders>
                          </w:tcPr>
                          <w:p w14:paraId="6EDA1447" w14:textId="086E0CC8" w:rsidR="007372B2" w:rsidRPr="00CE302F" w:rsidRDefault="007372B2" w:rsidP="007E0CA5">
                            <w:pPr>
                              <w:ind w:left="-107"/>
                              <w:jc w:val="both"/>
                              <w:rPr>
                                <w:sz w:val="16"/>
                                <w:szCs w:val="16"/>
                                <w:lang w:val="uk-UA"/>
                              </w:rPr>
                            </w:pPr>
                            <w:r w:rsidRPr="00CE302F">
                              <w:rPr>
                                <w:b/>
                                <w:bCs/>
                                <w:sz w:val="16"/>
                                <w:szCs w:val="16"/>
                                <w:u w:val="single"/>
                                <w:lang w:val="uk-UA"/>
                              </w:rPr>
                              <w:t>Примітки перекладача</w:t>
                            </w:r>
                            <w:r>
                              <w:rPr>
                                <w:sz w:val="16"/>
                                <w:szCs w:val="16"/>
                                <w:lang w:val="uk-UA"/>
                              </w:rPr>
                              <w:t>. ДІ: довірчий інтервал;</w:t>
                            </w:r>
                            <w:r w:rsidRPr="006317A3">
                              <w:rPr>
                                <w:sz w:val="16"/>
                                <w:szCs w:val="16"/>
                                <w:lang w:val="uk-UA"/>
                              </w:rPr>
                              <w:t xml:space="preserve"> </w:t>
                            </w:r>
                            <w:r>
                              <w:rPr>
                                <w:sz w:val="16"/>
                                <w:szCs w:val="16"/>
                              </w:rPr>
                              <w:t>D</w:t>
                            </w:r>
                            <w:r w:rsidRPr="00226806">
                              <w:rPr>
                                <w:sz w:val="16"/>
                                <w:szCs w:val="16"/>
                              </w:rPr>
                              <w:t>ST</w:t>
                            </w:r>
                            <w:r>
                              <w:rPr>
                                <w:sz w:val="16"/>
                                <w:szCs w:val="16"/>
                                <w:lang w:val="uk-UA"/>
                              </w:rPr>
                              <w:t>:</w:t>
                            </w:r>
                            <w:r w:rsidRPr="006317A3">
                              <w:rPr>
                                <w:sz w:val="16"/>
                                <w:szCs w:val="16"/>
                                <w:lang w:val="uk-UA"/>
                              </w:rPr>
                              <w:t xml:space="preserve"> </w:t>
                            </w:r>
                            <w:r>
                              <w:rPr>
                                <w:sz w:val="16"/>
                                <w:szCs w:val="16"/>
                                <w:lang w:val="uk-UA"/>
                              </w:rPr>
                              <w:t xml:space="preserve">тест на медикаментозну чутливість </w:t>
                            </w:r>
                            <w:r w:rsidRPr="006317A3">
                              <w:rPr>
                                <w:sz w:val="16"/>
                                <w:szCs w:val="16"/>
                                <w:lang w:val="uk-UA"/>
                              </w:rPr>
                              <w:t>(</w:t>
                            </w:r>
                            <w:r>
                              <w:rPr>
                                <w:sz w:val="16"/>
                                <w:szCs w:val="16"/>
                                <w:lang w:val="uk-UA"/>
                              </w:rPr>
                              <w:t>ТМЧ); АІ: будь-який розмір ущільнення</w:t>
                            </w:r>
                            <w:r w:rsidRPr="000306D7">
                              <w:rPr>
                                <w:sz w:val="16"/>
                                <w:szCs w:val="16"/>
                                <w:lang w:val="uk-UA"/>
                              </w:rPr>
                              <w:t xml:space="preserve"> (</w:t>
                            </w:r>
                            <w:r>
                              <w:rPr>
                                <w:sz w:val="16"/>
                                <w:szCs w:val="16"/>
                                <w:lang w:val="uk-UA"/>
                              </w:rPr>
                              <w:t>індурації</w:t>
                            </w:r>
                            <w:r w:rsidRPr="000306D7">
                              <w:rPr>
                                <w:sz w:val="16"/>
                                <w:szCs w:val="16"/>
                                <w:lang w:val="uk-UA"/>
                              </w:rPr>
                              <w:t>)</w:t>
                            </w:r>
                            <w:r w:rsidRPr="002B5A2F">
                              <w:rPr>
                                <w:sz w:val="16"/>
                                <w:szCs w:val="16"/>
                                <w:lang w:val="uk-UA"/>
                              </w:rPr>
                              <w:t>;</w:t>
                            </w:r>
                            <w:r>
                              <w:rPr>
                                <w:sz w:val="16"/>
                                <w:szCs w:val="16"/>
                                <w:lang w:val="uk-UA"/>
                              </w:rPr>
                              <w:t xml:space="preserve"> </w:t>
                            </w:r>
                            <w:r>
                              <w:rPr>
                                <w:sz w:val="16"/>
                                <w:szCs w:val="16"/>
                              </w:rPr>
                              <w:t>QFT</w:t>
                            </w:r>
                            <w:r w:rsidRPr="00B40C1E">
                              <w:rPr>
                                <w:sz w:val="16"/>
                                <w:szCs w:val="16"/>
                                <w:lang w:val="uk-UA"/>
                              </w:rPr>
                              <w:t xml:space="preserve">: </w:t>
                            </w:r>
                            <w:r>
                              <w:rPr>
                                <w:sz w:val="16"/>
                                <w:szCs w:val="16"/>
                                <w:lang w:val="uk-UA"/>
                              </w:rPr>
                              <w:t xml:space="preserve">квантифероновий тест на ТБ; </w:t>
                            </w:r>
                            <w:r>
                              <w:rPr>
                                <w:sz w:val="16"/>
                                <w:szCs w:val="16"/>
                              </w:rPr>
                              <w:t>R</w:t>
                            </w:r>
                            <w:r w:rsidRPr="00226806">
                              <w:rPr>
                                <w:sz w:val="16"/>
                                <w:szCs w:val="16"/>
                              </w:rPr>
                              <w:t>andom</w:t>
                            </w:r>
                            <w:r w:rsidRPr="00226806">
                              <w:rPr>
                                <w:sz w:val="16"/>
                                <w:szCs w:val="16"/>
                                <w:lang w:val="uk-UA"/>
                              </w:rPr>
                              <w:t xml:space="preserve"> </w:t>
                            </w:r>
                            <w:r w:rsidRPr="00226806">
                              <w:rPr>
                                <w:sz w:val="16"/>
                                <w:szCs w:val="16"/>
                              </w:rPr>
                              <w:t>affects</w:t>
                            </w:r>
                            <w:r w:rsidRPr="00226806">
                              <w:rPr>
                                <w:sz w:val="16"/>
                                <w:szCs w:val="16"/>
                                <w:lang w:val="uk-UA"/>
                              </w:rPr>
                              <w:t xml:space="preserve"> </w:t>
                            </w:r>
                            <w:r w:rsidRPr="00226806">
                              <w:rPr>
                                <w:sz w:val="16"/>
                                <w:szCs w:val="16"/>
                              </w:rPr>
                              <w:t>model</w:t>
                            </w:r>
                            <w:r w:rsidRPr="00226806">
                              <w:rPr>
                                <w:sz w:val="16"/>
                                <w:szCs w:val="16"/>
                                <w:lang w:val="uk-UA"/>
                              </w:rPr>
                              <w:t xml:space="preserve">: </w:t>
                            </w:r>
                            <w:r>
                              <w:rPr>
                                <w:sz w:val="16"/>
                                <w:szCs w:val="16"/>
                                <w:lang w:val="uk-UA"/>
                              </w:rPr>
                              <w:t>модель випадкових ефектів</w:t>
                            </w:r>
                            <w:r w:rsidRPr="00226806">
                              <w:rPr>
                                <w:sz w:val="16"/>
                                <w:szCs w:val="16"/>
                                <w:lang w:val="uk-UA"/>
                              </w:rPr>
                              <w:t xml:space="preserve">; </w:t>
                            </w:r>
                            <w:r w:rsidRPr="00226806">
                              <w:rPr>
                                <w:sz w:val="16"/>
                                <w:szCs w:val="16"/>
                              </w:rPr>
                              <w:t>Heterogeneity</w:t>
                            </w:r>
                            <w:r w:rsidRPr="00226806">
                              <w:rPr>
                                <w:sz w:val="16"/>
                                <w:szCs w:val="16"/>
                                <w:lang w:val="uk-UA"/>
                              </w:rPr>
                              <w:t xml:space="preserve">: </w:t>
                            </w:r>
                            <w:r>
                              <w:rPr>
                                <w:sz w:val="16"/>
                                <w:szCs w:val="16"/>
                                <w:lang w:val="uk-UA"/>
                              </w:rPr>
                              <w:t xml:space="preserve">неоднорідність; </w:t>
                            </w:r>
                            <w:r>
                              <w:rPr>
                                <w:sz w:val="16"/>
                                <w:szCs w:val="16"/>
                              </w:rPr>
                              <w:t>Test</w:t>
                            </w:r>
                            <w:r w:rsidRPr="003D28E5">
                              <w:rPr>
                                <w:sz w:val="16"/>
                                <w:szCs w:val="16"/>
                                <w:lang w:val="uk-UA"/>
                              </w:rPr>
                              <w:t xml:space="preserve"> </w:t>
                            </w:r>
                            <w:r>
                              <w:rPr>
                                <w:sz w:val="16"/>
                                <w:szCs w:val="16"/>
                              </w:rPr>
                              <w:t>for</w:t>
                            </w:r>
                            <w:r w:rsidRPr="003D28E5">
                              <w:rPr>
                                <w:sz w:val="16"/>
                                <w:szCs w:val="16"/>
                                <w:lang w:val="uk-UA"/>
                              </w:rPr>
                              <w:t xml:space="preserve"> </w:t>
                            </w:r>
                            <w:r>
                              <w:rPr>
                                <w:sz w:val="16"/>
                                <w:szCs w:val="16"/>
                              </w:rPr>
                              <w:t>subgroup</w:t>
                            </w:r>
                            <w:r w:rsidRPr="003D28E5">
                              <w:rPr>
                                <w:sz w:val="16"/>
                                <w:szCs w:val="16"/>
                                <w:lang w:val="uk-UA"/>
                              </w:rPr>
                              <w:t xml:space="preserve"> </w:t>
                            </w:r>
                            <w:r>
                              <w:rPr>
                                <w:sz w:val="16"/>
                                <w:szCs w:val="16"/>
                              </w:rPr>
                              <w:t>differencies</w:t>
                            </w:r>
                            <w:r w:rsidRPr="003D28E5">
                              <w:rPr>
                                <w:sz w:val="16"/>
                                <w:szCs w:val="16"/>
                                <w:lang w:val="uk-UA"/>
                              </w:rPr>
                              <w:t>:</w:t>
                            </w:r>
                            <w:r>
                              <w:rPr>
                                <w:sz w:val="16"/>
                                <w:szCs w:val="16"/>
                                <w:lang w:val="uk-UA"/>
                              </w:rPr>
                              <w:t xml:space="preserve"> </w:t>
                            </w:r>
                            <w:r w:rsidRPr="00226806">
                              <w:rPr>
                                <w:sz w:val="16"/>
                                <w:szCs w:val="16"/>
                                <w:lang w:val="uk-UA"/>
                              </w:rPr>
                              <w:t>Дослідження на відмінності у підгрупах</w:t>
                            </w:r>
                          </w:p>
                          <w:p w14:paraId="65BF9601" w14:textId="77777777" w:rsidR="007372B2" w:rsidRPr="000306D7" w:rsidRDefault="007372B2">
                            <w:pPr>
                              <w:rPr>
                                <w:lang w:val="uk-UA"/>
                              </w:rPr>
                            </w:pPr>
                          </w:p>
                        </w:tc>
                      </w:tr>
                    </w:tbl>
                    <w:p w14:paraId="55A68EF0" w14:textId="77777777" w:rsidR="007372B2" w:rsidRPr="000306D7" w:rsidRDefault="007372B2">
                      <w:pPr>
                        <w:rPr>
                          <w:lang w:val="uk-UA"/>
                        </w:rPr>
                      </w:pPr>
                    </w:p>
                  </w:txbxContent>
                </v:textbox>
              </v:shape>
            </w:pict>
          </mc:Fallback>
        </mc:AlternateContent>
      </w:r>
      <w:r w:rsidR="00D21735">
        <w:rPr>
          <w:rFonts w:ascii="Arial"/>
          <w:b/>
          <w:noProof/>
          <w:sz w:val="11"/>
          <w:lang w:val="uk-UA"/>
        </w:rPr>
        <mc:AlternateContent>
          <mc:Choice Requires="wps">
            <w:drawing>
              <wp:anchor distT="0" distB="0" distL="114300" distR="114300" simplePos="0" relativeHeight="488183296" behindDoc="0" locked="0" layoutInCell="1" allowOverlap="1" wp14:anchorId="54AC2E0A" wp14:editId="79D421F1">
                <wp:simplePos x="0" y="0"/>
                <wp:positionH relativeFrom="column">
                  <wp:posOffset>361861</wp:posOffset>
                </wp:positionH>
                <wp:positionV relativeFrom="paragraph">
                  <wp:posOffset>44823</wp:posOffset>
                </wp:positionV>
                <wp:extent cx="6189345" cy="3670389"/>
                <wp:effectExtent l="0" t="0" r="1905" b="6350"/>
                <wp:wrapNone/>
                <wp:docPr id="1269736786" name="Поле 1928"/>
                <wp:cNvGraphicFramePr/>
                <a:graphic xmlns:a="http://schemas.openxmlformats.org/drawingml/2006/main">
                  <a:graphicData uri="http://schemas.microsoft.com/office/word/2010/wordprocessingShape">
                    <wps:wsp>
                      <wps:cNvSpPr txBox="1"/>
                      <wps:spPr>
                        <a:xfrm>
                          <a:off x="0" y="0"/>
                          <a:ext cx="6189345" cy="3670389"/>
                        </a:xfrm>
                        <a:prstGeom prst="rect">
                          <a:avLst/>
                        </a:prstGeom>
                        <a:solidFill>
                          <a:schemeClr val="bg1"/>
                        </a:solidFill>
                        <a:ln w="6350">
                          <a:noFill/>
                        </a:ln>
                      </wps:spPr>
                      <wps:txbx>
                        <w:txbxContent>
                          <w:p w14:paraId="4998181B" w14:textId="243790A1" w:rsidR="007372B2" w:rsidRDefault="007372B2">
                            <w:r>
                              <w:rPr>
                                <w:noProof/>
                              </w:rPr>
                              <w:drawing>
                                <wp:inline distT="0" distB="0" distL="0" distR="0" wp14:anchorId="393FD260" wp14:editId="28CC175C">
                                  <wp:extent cx="5940403" cy="3488451"/>
                                  <wp:effectExtent l="0" t="0" r="3810" b="0"/>
                                  <wp:docPr id="1016358305"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40403" cy="3488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C2E0A" id="Поле 1928" o:spid="_x0000_s1200" type="#_x0000_t202" style="position:absolute;margin-left:28.5pt;margin-top:3.55pt;width:487.35pt;height:289pt;z-index:4881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" fillcolor="white [3212]" stroked="f" strokeweight=".5pt">
                <v:textbox>
                  <w:txbxContent>
                    <w:p w14:paraId="4998181B" w14:textId="243790A1" w:rsidR="007372B2" w:rsidRDefault="007372B2">
                      <w:r>
                        <w:rPr>
                          <w:noProof/>
                        </w:rPr>
                        <w:drawing>
                          <wp:inline distT="0" distB="0" distL="0" distR="0" wp14:anchorId="393FD260" wp14:editId="28CC175C">
                            <wp:extent cx="5940403" cy="3488451"/>
                            <wp:effectExtent l="0" t="0" r="3810" b="0"/>
                            <wp:docPr id="1016358305"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40403" cy="3488451"/>
                                    </a:xfrm>
                                    <a:prstGeom prst="rect">
                                      <a:avLst/>
                                    </a:prstGeom>
                                    <a:noFill/>
                                    <a:ln>
                                      <a:noFill/>
                                    </a:ln>
                                  </pic:spPr>
                                </pic:pic>
                              </a:graphicData>
                            </a:graphic>
                          </wp:inline>
                        </w:drawing>
                      </w:r>
                    </w:p>
                  </w:txbxContent>
                </v:textbox>
              </v:shape>
            </w:pict>
          </mc:Fallback>
        </mc:AlternateContent>
      </w:r>
      <w:r w:rsidR="00033179">
        <w:rPr>
          <w:rFonts w:ascii="Arial"/>
          <w:b/>
          <w:noProof/>
          <w:sz w:val="11"/>
          <w:lang w:val="uk-UA"/>
        </w:rPr>
        <mc:AlternateContent>
          <mc:Choice Requires="wps">
            <w:drawing>
              <wp:anchor distT="0" distB="0" distL="114300" distR="114300" simplePos="0" relativeHeight="488184320" behindDoc="0" locked="0" layoutInCell="1" allowOverlap="1" wp14:anchorId="2D7DCF64" wp14:editId="607041D0">
                <wp:simplePos x="0" y="0"/>
                <wp:positionH relativeFrom="column">
                  <wp:posOffset>329889</wp:posOffset>
                </wp:positionH>
                <wp:positionV relativeFrom="paragraph">
                  <wp:posOffset>36053</wp:posOffset>
                </wp:positionV>
                <wp:extent cx="6208968" cy="306705"/>
                <wp:effectExtent l="0" t="0" r="1905" b="0"/>
                <wp:wrapNone/>
                <wp:docPr id="1072097404" name="Поле 1930"/>
                <wp:cNvGraphicFramePr/>
                <a:graphic xmlns:a="http://schemas.openxmlformats.org/drawingml/2006/main">
                  <a:graphicData uri="http://schemas.microsoft.com/office/word/2010/wordprocessingShape">
                    <wps:wsp>
                      <wps:cNvSpPr txBox="1"/>
                      <wps:spPr>
                        <a:xfrm>
                          <a:off x="0" y="0"/>
                          <a:ext cx="6208968" cy="306705"/>
                        </a:xfrm>
                        <a:prstGeom prst="rect">
                          <a:avLst/>
                        </a:prstGeom>
                        <a:solidFill>
                          <a:schemeClr val="bg1"/>
                        </a:solidFill>
                        <a:ln w="6350">
                          <a:noFill/>
                        </a:ln>
                      </wps:spPr>
                      <wps:txbx>
                        <w:txbxContent>
                          <w:tbl>
                            <w:tblPr>
                              <w:tblStyle w:val="ac"/>
                              <w:tblW w:w="10070" w:type="dxa"/>
                              <w:tblInd w:w="-147" w:type="dxa"/>
                              <w:tblLook w:val="04A0" w:firstRow="1" w:lastRow="0" w:firstColumn="1" w:lastColumn="0" w:noHBand="0" w:noVBand="1"/>
                            </w:tblPr>
                            <w:tblGrid>
                              <w:gridCol w:w="2856"/>
                              <w:gridCol w:w="1234"/>
                              <w:gridCol w:w="1116"/>
                              <w:gridCol w:w="3379"/>
                              <w:gridCol w:w="1485"/>
                            </w:tblGrid>
                            <w:tr w:rsidR="007372B2" w14:paraId="4B20E70C" w14:textId="77777777" w:rsidTr="002C646E">
                              <w:tc>
                                <w:tcPr>
                                  <w:tcW w:w="2982" w:type="dxa"/>
                                  <w:tcBorders>
                                    <w:top w:val="nil"/>
                                    <w:left w:val="nil"/>
                                    <w:bottom w:val="single" w:sz="4" w:space="0" w:color="auto"/>
                                    <w:right w:val="nil"/>
                                  </w:tcBorders>
                                </w:tcPr>
                                <w:p w14:paraId="2718A367" w14:textId="77777777" w:rsidR="007372B2" w:rsidRPr="002C646E" w:rsidRDefault="007372B2" w:rsidP="00033179">
                                  <w:pPr>
                                    <w:pStyle w:val="a3"/>
                                    <w:spacing w:line="276" w:lineRule="auto"/>
                                    <w:ind w:right="-164"/>
                                    <w:jc w:val="both"/>
                                    <w:rPr>
                                      <w:rFonts w:asciiTheme="minorHAnsi" w:hAnsiTheme="minorHAnsi" w:cstheme="minorHAnsi"/>
                                      <w:b/>
                                      <w:bCs/>
                                      <w:sz w:val="17"/>
                                      <w:szCs w:val="17"/>
                                      <w:lang w:val="uk-UA"/>
                                    </w:rPr>
                                  </w:pPr>
                                  <w:r w:rsidRPr="002C646E">
                                    <w:rPr>
                                      <w:rFonts w:asciiTheme="minorHAnsi" w:hAnsiTheme="minorHAnsi" w:cstheme="minorHAnsi"/>
                                      <w:b/>
                                      <w:bCs/>
                                      <w:sz w:val="17"/>
                                      <w:szCs w:val="17"/>
                                      <w:lang w:val="uk-UA"/>
                                    </w:rPr>
                                    <w:t>Дослідження</w:t>
                                  </w:r>
                                </w:p>
                              </w:tc>
                              <w:tc>
                                <w:tcPr>
                                  <w:tcW w:w="851" w:type="dxa"/>
                                  <w:tcBorders>
                                    <w:top w:val="nil"/>
                                    <w:left w:val="nil"/>
                                    <w:bottom w:val="single" w:sz="4" w:space="0" w:color="auto"/>
                                    <w:right w:val="nil"/>
                                  </w:tcBorders>
                                </w:tcPr>
                                <w:p w14:paraId="77416B0D" w14:textId="317B277B" w:rsidR="007372B2" w:rsidRPr="002C646E" w:rsidRDefault="006875E3" w:rsidP="00033179">
                                  <w:pPr>
                                    <w:pStyle w:val="a3"/>
                                    <w:spacing w:line="276" w:lineRule="auto"/>
                                    <w:ind w:right="-164"/>
                                    <w:jc w:val="both"/>
                                    <w:rPr>
                                      <w:rFonts w:asciiTheme="minorHAnsi" w:hAnsiTheme="minorHAnsi" w:cstheme="minorHAnsi"/>
                                      <w:b/>
                                      <w:bCs/>
                                      <w:sz w:val="17"/>
                                      <w:szCs w:val="17"/>
                                    </w:rPr>
                                  </w:pPr>
                                  <w:r>
                                    <w:rPr>
                                      <w:rFonts w:asciiTheme="minorHAnsi" w:hAnsiTheme="minorHAnsi" w:cstheme="minorHAnsi"/>
                                      <w:b/>
                                      <w:bCs/>
                                      <w:sz w:val="17"/>
                                      <w:szCs w:val="17"/>
                                      <w:lang w:val="uk-UA"/>
                                    </w:rPr>
                                    <w:t>Концентрація</w:t>
                                  </w:r>
                                </w:p>
                              </w:tc>
                              <w:tc>
                                <w:tcPr>
                                  <w:tcW w:w="1134" w:type="dxa"/>
                                  <w:tcBorders>
                                    <w:top w:val="nil"/>
                                    <w:left w:val="nil"/>
                                    <w:bottom w:val="single" w:sz="4" w:space="0" w:color="auto"/>
                                    <w:right w:val="nil"/>
                                  </w:tcBorders>
                                </w:tcPr>
                                <w:p w14:paraId="23B4BA40" w14:textId="5FE1E201" w:rsidR="007372B2" w:rsidRPr="002C646E" w:rsidRDefault="007372B2" w:rsidP="00033179">
                                  <w:pPr>
                                    <w:pStyle w:val="a3"/>
                                    <w:spacing w:line="276" w:lineRule="auto"/>
                                    <w:ind w:right="-164"/>
                                    <w:jc w:val="both"/>
                                    <w:rPr>
                                      <w:rFonts w:asciiTheme="minorHAnsi" w:hAnsiTheme="minorHAnsi" w:cstheme="minorHAnsi"/>
                                      <w:b/>
                                      <w:bCs/>
                                      <w:sz w:val="17"/>
                                      <w:szCs w:val="17"/>
                                      <w:lang w:val="uk-UA"/>
                                    </w:rPr>
                                  </w:pPr>
                                  <w:r>
                                    <w:rPr>
                                      <w:rFonts w:asciiTheme="minorHAnsi" w:hAnsiTheme="minorHAnsi" w:cstheme="minorHAnsi"/>
                                      <w:b/>
                                      <w:bCs/>
                                      <w:sz w:val="17"/>
                                      <w:szCs w:val="17"/>
                                      <w:lang w:val="uk-UA"/>
                                    </w:rPr>
                                    <w:t xml:space="preserve">     </w:t>
                                  </w:r>
                                  <w:r w:rsidRPr="002C646E">
                                    <w:rPr>
                                      <w:rFonts w:asciiTheme="minorHAnsi" w:hAnsiTheme="minorHAnsi" w:cstheme="minorHAnsi"/>
                                      <w:b/>
                                      <w:bCs/>
                                      <w:sz w:val="17"/>
                                      <w:szCs w:val="17"/>
                                      <w:lang w:val="uk-UA"/>
                                    </w:rPr>
                                    <w:t>Кількість</w:t>
                                  </w:r>
                                </w:p>
                              </w:tc>
                              <w:tc>
                                <w:tcPr>
                                  <w:tcW w:w="3544" w:type="dxa"/>
                                  <w:tcBorders>
                                    <w:top w:val="nil"/>
                                    <w:left w:val="nil"/>
                                    <w:bottom w:val="single" w:sz="4" w:space="0" w:color="auto"/>
                                    <w:right w:val="nil"/>
                                  </w:tcBorders>
                                </w:tcPr>
                                <w:p w14:paraId="6759EBB6" w14:textId="750F19C8" w:rsidR="007372B2" w:rsidRPr="002C646E" w:rsidRDefault="007372B2" w:rsidP="00D21735">
                                  <w:pPr>
                                    <w:pStyle w:val="a3"/>
                                    <w:spacing w:line="276" w:lineRule="auto"/>
                                    <w:ind w:right="-164"/>
                                    <w:rPr>
                                      <w:rFonts w:asciiTheme="minorHAnsi" w:hAnsiTheme="minorHAnsi" w:cstheme="minorHAnsi"/>
                                      <w:b/>
                                      <w:bCs/>
                                      <w:sz w:val="17"/>
                                      <w:szCs w:val="17"/>
                                      <w:lang w:val="uk-UA"/>
                                    </w:rPr>
                                  </w:pPr>
                                  <w:r w:rsidRPr="002C646E">
                                    <w:rPr>
                                      <w:rFonts w:asciiTheme="minorHAnsi" w:hAnsiTheme="minorHAnsi" w:cstheme="minorHAnsi"/>
                                      <w:b/>
                                      <w:bCs/>
                                      <w:sz w:val="17"/>
                                      <w:szCs w:val="17"/>
                                      <w:lang w:val="uk-UA"/>
                                    </w:rPr>
                                    <w:t xml:space="preserve">                               </w:t>
                                  </w:r>
                                  <w:r>
                                    <w:rPr>
                                      <w:rFonts w:asciiTheme="minorHAnsi" w:hAnsiTheme="minorHAnsi" w:cstheme="minorHAnsi"/>
                                      <w:b/>
                                      <w:bCs/>
                                      <w:sz w:val="17"/>
                                      <w:szCs w:val="17"/>
                                      <w:lang w:val="uk-UA"/>
                                    </w:rPr>
                                    <w:t xml:space="preserve">                    </w:t>
                                  </w:r>
                                  <w:r w:rsidRPr="002C646E">
                                    <w:rPr>
                                      <w:rFonts w:asciiTheme="minorHAnsi" w:hAnsiTheme="minorHAnsi" w:cstheme="minorHAnsi"/>
                                      <w:b/>
                                      <w:bCs/>
                                      <w:sz w:val="17"/>
                                      <w:szCs w:val="17"/>
                                      <w:lang w:val="uk-UA"/>
                                    </w:rPr>
                                    <w:t>Узгодженість (%)</w:t>
                                  </w:r>
                                </w:p>
                              </w:tc>
                              <w:tc>
                                <w:tcPr>
                                  <w:tcW w:w="1559" w:type="dxa"/>
                                  <w:tcBorders>
                                    <w:top w:val="nil"/>
                                    <w:left w:val="nil"/>
                                    <w:bottom w:val="single" w:sz="4" w:space="0" w:color="auto"/>
                                    <w:right w:val="nil"/>
                                  </w:tcBorders>
                                </w:tcPr>
                                <w:p w14:paraId="7FB48360" w14:textId="7436D7E0" w:rsidR="007372B2" w:rsidRPr="002C646E" w:rsidRDefault="007372B2" w:rsidP="00033179">
                                  <w:pPr>
                                    <w:pStyle w:val="a3"/>
                                    <w:spacing w:line="276" w:lineRule="auto"/>
                                    <w:ind w:right="-164"/>
                                    <w:rPr>
                                      <w:rFonts w:asciiTheme="minorHAnsi" w:hAnsiTheme="minorHAnsi" w:cstheme="minorHAnsi"/>
                                      <w:b/>
                                      <w:bCs/>
                                      <w:sz w:val="17"/>
                                      <w:szCs w:val="17"/>
                                      <w:lang w:val="uk-UA"/>
                                    </w:rPr>
                                  </w:pPr>
                                  <w:r>
                                    <w:rPr>
                                      <w:rFonts w:asciiTheme="minorHAnsi" w:hAnsiTheme="minorHAnsi" w:cstheme="minorHAnsi"/>
                                      <w:b/>
                                      <w:bCs/>
                                      <w:sz w:val="17"/>
                                      <w:szCs w:val="17"/>
                                      <w:lang w:val="uk-UA"/>
                                    </w:rPr>
                                    <w:t xml:space="preserve">          </w:t>
                                  </w:r>
                                  <w:r w:rsidRPr="002C646E">
                                    <w:rPr>
                                      <w:rFonts w:asciiTheme="minorHAnsi" w:hAnsiTheme="minorHAnsi" w:cstheme="minorHAnsi"/>
                                      <w:b/>
                                      <w:bCs/>
                                      <w:sz w:val="17"/>
                                      <w:szCs w:val="17"/>
                                      <w:lang w:val="uk-UA"/>
                                    </w:rPr>
                                    <w:t>95% ДІ</w:t>
                                  </w:r>
                                </w:p>
                              </w:tc>
                            </w:tr>
                          </w:tbl>
                          <w:p w14:paraId="7DD97560" w14:textId="77777777" w:rsidR="007372B2" w:rsidRDefault="007372B2" w:rsidP="00033179">
                            <w:pPr>
                              <w:ind w:right="-16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7DCF64" id="_x0000_s1201" type="#_x0000_t202" style="position:absolute;margin-left:26pt;margin-top:2.85pt;width:488.9pt;height:24.15pt;z-index:48818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" fillcolor="white [3212]" stroked="f" strokeweight=".5pt">
                <v:textbox>
                  <w:txbxContent>
                    <w:tbl>
                      <w:tblPr>
                        <w:tblStyle w:val="ac"/>
                        <w:tblW w:w="10070" w:type="dxa"/>
                        <w:tblInd w:w="-147" w:type="dxa"/>
                        <w:tblLook w:val="04A0" w:firstRow="1" w:lastRow="0" w:firstColumn="1" w:lastColumn="0" w:noHBand="0" w:noVBand="1"/>
                      </w:tblPr>
                      <w:tblGrid>
                        <w:gridCol w:w="2856"/>
                        <w:gridCol w:w="1234"/>
                        <w:gridCol w:w="1116"/>
                        <w:gridCol w:w="3379"/>
                        <w:gridCol w:w="1485"/>
                      </w:tblGrid>
                      <w:tr w:rsidR="007372B2" w14:paraId="4B20E70C" w14:textId="77777777" w:rsidTr="002C646E">
                        <w:tc>
                          <w:tcPr>
                            <w:tcW w:w="2982" w:type="dxa"/>
                            <w:tcBorders>
                              <w:top w:val="nil"/>
                              <w:left w:val="nil"/>
                              <w:bottom w:val="single" w:sz="4" w:space="0" w:color="auto"/>
                              <w:right w:val="nil"/>
                            </w:tcBorders>
                          </w:tcPr>
                          <w:p w14:paraId="2718A367" w14:textId="77777777" w:rsidR="007372B2" w:rsidRPr="002C646E" w:rsidRDefault="007372B2" w:rsidP="00033179">
                            <w:pPr>
                              <w:pStyle w:val="a3"/>
                              <w:spacing w:line="276" w:lineRule="auto"/>
                              <w:ind w:right="-164"/>
                              <w:jc w:val="both"/>
                              <w:rPr>
                                <w:rFonts w:asciiTheme="minorHAnsi" w:hAnsiTheme="minorHAnsi" w:cstheme="minorHAnsi"/>
                                <w:b/>
                                <w:bCs/>
                                <w:sz w:val="17"/>
                                <w:szCs w:val="17"/>
                                <w:lang w:val="uk-UA"/>
                              </w:rPr>
                            </w:pPr>
                            <w:r w:rsidRPr="002C646E">
                              <w:rPr>
                                <w:rFonts w:asciiTheme="minorHAnsi" w:hAnsiTheme="minorHAnsi" w:cstheme="minorHAnsi"/>
                                <w:b/>
                                <w:bCs/>
                                <w:sz w:val="17"/>
                                <w:szCs w:val="17"/>
                                <w:lang w:val="uk-UA"/>
                              </w:rPr>
                              <w:t>Дослідження</w:t>
                            </w:r>
                          </w:p>
                        </w:tc>
                        <w:tc>
                          <w:tcPr>
                            <w:tcW w:w="851" w:type="dxa"/>
                            <w:tcBorders>
                              <w:top w:val="nil"/>
                              <w:left w:val="nil"/>
                              <w:bottom w:val="single" w:sz="4" w:space="0" w:color="auto"/>
                              <w:right w:val="nil"/>
                            </w:tcBorders>
                          </w:tcPr>
                          <w:p w14:paraId="77416B0D" w14:textId="317B277B" w:rsidR="007372B2" w:rsidRPr="002C646E" w:rsidRDefault="006875E3" w:rsidP="00033179">
                            <w:pPr>
                              <w:pStyle w:val="a3"/>
                              <w:spacing w:line="276" w:lineRule="auto"/>
                              <w:ind w:right="-164"/>
                              <w:jc w:val="both"/>
                              <w:rPr>
                                <w:rFonts w:asciiTheme="minorHAnsi" w:hAnsiTheme="minorHAnsi" w:cstheme="minorHAnsi"/>
                                <w:b/>
                                <w:bCs/>
                                <w:sz w:val="17"/>
                                <w:szCs w:val="17"/>
                              </w:rPr>
                            </w:pPr>
                            <w:r>
                              <w:rPr>
                                <w:rFonts w:asciiTheme="minorHAnsi" w:hAnsiTheme="minorHAnsi" w:cstheme="minorHAnsi"/>
                                <w:b/>
                                <w:bCs/>
                                <w:sz w:val="17"/>
                                <w:szCs w:val="17"/>
                                <w:lang w:val="uk-UA"/>
                              </w:rPr>
                              <w:t>Концентрація</w:t>
                            </w:r>
                          </w:p>
                        </w:tc>
                        <w:tc>
                          <w:tcPr>
                            <w:tcW w:w="1134" w:type="dxa"/>
                            <w:tcBorders>
                              <w:top w:val="nil"/>
                              <w:left w:val="nil"/>
                              <w:bottom w:val="single" w:sz="4" w:space="0" w:color="auto"/>
                              <w:right w:val="nil"/>
                            </w:tcBorders>
                          </w:tcPr>
                          <w:p w14:paraId="23B4BA40" w14:textId="5FE1E201" w:rsidR="007372B2" w:rsidRPr="002C646E" w:rsidRDefault="007372B2" w:rsidP="00033179">
                            <w:pPr>
                              <w:pStyle w:val="a3"/>
                              <w:spacing w:line="276" w:lineRule="auto"/>
                              <w:ind w:right="-164"/>
                              <w:jc w:val="both"/>
                              <w:rPr>
                                <w:rFonts w:asciiTheme="minorHAnsi" w:hAnsiTheme="minorHAnsi" w:cstheme="minorHAnsi"/>
                                <w:b/>
                                <w:bCs/>
                                <w:sz w:val="17"/>
                                <w:szCs w:val="17"/>
                                <w:lang w:val="uk-UA"/>
                              </w:rPr>
                            </w:pPr>
                            <w:r>
                              <w:rPr>
                                <w:rFonts w:asciiTheme="minorHAnsi" w:hAnsiTheme="minorHAnsi" w:cstheme="minorHAnsi"/>
                                <w:b/>
                                <w:bCs/>
                                <w:sz w:val="17"/>
                                <w:szCs w:val="17"/>
                                <w:lang w:val="uk-UA"/>
                              </w:rPr>
                              <w:t xml:space="preserve">     </w:t>
                            </w:r>
                            <w:r w:rsidRPr="002C646E">
                              <w:rPr>
                                <w:rFonts w:asciiTheme="minorHAnsi" w:hAnsiTheme="minorHAnsi" w:cstheme="minorHAnsi"/>
                                <w:b/>
                                <w:bCs/>
                                <w:sz w:val="17"/>
                                <w:szCs w:val="17"/>
                                <w:lang w:val="uk-UA"/>
                              </w:rPr>
                              <w:t>Кількість</w:t>
                            </w:r>
                          </w:p>
                        </w:tc>
                        <w:tc>
                          <w:tcPr>
                            <w:tcW w:w="3544" w:type="dxa"/>
                            <w:tcBorders>
                              <w:top w:val="nil"/>
                              <w:left w:val="nil"/>
                              <w:bottom w:val="single" w:sz="4" w:space="0" w:color="auto"/>
                              <w:right w:val="nil"/>
                            </w:tcBorders>
                          </w:tcPr>
                          <w:p w14:paraId="6759EBB6" w14:textId="750F19C8" w:rsidR="007372B2" w:rsidRPr="002C646E" w:rsidRDefault="007372B2" w:rsidP="00D21735">
                            <w:pPr>
                              <w:pStyle w:val="a3"/>
                              <w:spacing w:line="276" w:lineRule="auto"/>
                              <w:ind w:right="-164"/>
                              <w:rPr>
                                <w:rFonts w:asciiTheme="minorHAnsi" w:hAnsiTheme="minorHAnsi" w:cstheme="minorHAnsi"/>
                                <w:b/>
                                <w:bCs/>
                                <w:sz w:val="17"/>
                                <w:szCs w:val="17"/>
                                <w:lang w:val="uk-UA"/>
                              </w:rPr>
                            </w:pPr>
                            <w:r w:rsidRPr="002C646E">
                              <w:rPr>
                                <w:rFonts w:asciiTheme="minorHAnsi" w:hAnsiTheme="minorHAnsi" w:cstheme="minorHAnsi"/>
                                <w:b/>
                                <w:bCs/>
                                <w:sz w:val="17"/>
                                <w:szCs w:val="17"/>
                                <w:lang w:val="uk-UA"/>
                              </w:rPr>
                              <w:t xml:space="preserve">                               </w:t>
                            </w:r>
                            <w:r>
                              <w:rPr>
                                <w:rFonts w:asciiTheme="minorHAnsi" w:hAnsiTheme="minorHAnsi" w:cstheme="minorHAnsi"/>
                                <w:b/>
                                <w:bCs/>
                                <w:sz w:val="17"/>
                                <w:szCs w:val="17"/>
                                <w:lang w:val="uk-UA"/>
                              </w:rPr>
                              <w:t xml:space="preserve">                    </w:t>
                            </w:r>
                            <w:r w:rsidRPr="002C646E">
                              <w:rPr>
                                <w:rFonts w:asciiTheme="minorHAnsi" w:hAnsiTheme="minorHAnsi" w:cstheme="minorHAnsi"/>
                                <w:b/>
                                <w:bCs/>
                                <w:sz w:val="17"/>
                                <w:szCs w:val="17"/>
                                <w:lang w:val="uk-UA"/>
                              </w:rPr>
                              <w:t>Узгодженість (%)</w:t>
                            </w:r>
                          </w:p>
                        </w:tc>
                        <w:tc>
                          <w:tcPr>
                            <w:tcW w:w="1559" w:type="dxa"/>
                            <w:tcBorders>
                              <w:top w:val="nil"/>
                              <w:left w:val="nil"/>
                              <w:bottom w:val="single" w:sz="4" w:space="0" w:color="auto"/>
                              <w:right w:val="nil"/>
                            </w:tcBorders>
                          </w:tcPr>
                          <w:p w14:paraId="7FB48360" w14:textId="7436D7E0" w:rsidR="007372B2" w:rsidRPr="002C646E" w:rsidRDefault="007372B2" w:rsidP="00033179">
                            <w:pPr>
                              <w:pStyle w:val="a3"/>
                              <w:spacing w:line="276" w:lineRule="auto"/>
                              <w:ind w:right="-164"/>
                              <w:rPr>
                                <w:rFonts w:asciiTheme="minorHAnsi" w:hAnsiTheme="minorHAnsi" w:cstheme="minorHAnsi"/>
                                <w:b/>
                                <w:bCs/>
                                <w:sz w:val="17"/>
                                <w:szCs w:val="17"/>
                                <w:lang w:val="uk-UA"/>
                              </w:rPr>
                            </w:pPr>
                            <w:r>
                              <w:rPr>
                                <w:rFonts w:asciiTheme="minorHAnsi" w:hAnsiTheme="minorHAnsi" w:cstheme="minorHAnsi"/>
                                <w:b/>
                                <w:bCs/>
                                <w:sz w:val="17"/>
                                <w:szCs w:val="17"/>
                                <w:lang w:val="uk-UA"/>
                              </w:rPr>
                              <w:t xml:space="preserve">          </w:t>
                            </w:r>
                            <w:r w:rsidRPr="002C646E">
                              <w:rPr>
                                <w:rFonts w:asciiTheme="minorHAnsi" w:hAnsiTheme="minorHAnsi" w:cstheme="minorHAnsi"/>
                                <w:b/>
                                <w:bCs/>
                                <w:sz w:val="17"/>
                                <w:szCs w:val="17"/>
                                <w:lang w:val="uk-UA"/>
                              </w:rPr>
                              <w:t>95% ДІ</w:t>
                            </w:r>
                          </w:p>
                        </w:tc>
                      </w:tr>
                    </w:tbl>
                    <w:p w14:paraId="7DD97560" w14:textId="77777777" w:rsidR="007372B2" w:rsidRDefault="007372B2" w:rsidP="00033179">
                      <w:pPr>
                        <w:ind w:right="-164"/>
                      </w:pPr>
                    </w:p>
                  </w:txbxContent>
                </v:textbox>
              </v:shape>
            </w:pict>
          </mc:Fallback>
        </mc:AlternateContent>
      </w:r>
      <w:r w:rsidR="00B01E0C" w:rsidRPr="003C6DAE">
        <w:rPr>
          <w:rFonts w:ascii="Arial"/>
          <w:b/>
          <w:noProof/>
          <w:sz w:val="11"/>
          <w:lang w:val="uk-UA"/>
        </w:rPr>
        <w:drawing>
          <wp:anchor distT="0" distB="0" distL="0" distR="0" simplePos="0" relativeHeight="488069120" behindDoc="1" locked="0" layoutInCell="1" allowOverlap="1" wp14:anchorId="0C9CD1EE" wp14:editId="772E5845">
            <wp:simplePos x="0" y="0"/>
            <wp:positionH relativeFrom="page">
              <wp:posOffset>900000</wp:posOffset>
            </wp:positionH>
            <wp:positionV relativeFrom="paragraph">
              <wp:posOffset>100340</wp:posOffset>
            </wp:positionV>
            <wp:extent cx="5760163" cy="3648455"/>
            <wp:effectExtent l="0" t="0" r="0" b="0"/>
            <wp:wrapTopAndBottom/>
            <wp:docPr id="3054" name="Image 3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4" name="Image 3054"/>
                    <pic:cNvPicPr/>
                  </pic:nvPicPr>
                  <pic:blipFill>
                    <a:blip r:embed="rId212" cstate="print"/>
                    <a:stretch>
                      <a:fillRect/>
                    </a:stretch>
                  </pic:blipFill>
                  <pic:spPr>
                    <a:xfrm>
                      <a:off x="0" y="0"/>
                      <a:ext cx="5760163" cy="3648455"/>
                    </a:xfrm>
                    <a:prstGeom prst="rect">
                      <a:avLst/>
                    </a:prstGeom>
                  </pic:spPr>
                </pic:pic>
              </a:graphicData>
            </a:graphic>
          </wp:anchor>
        </w:drawing>
      </w:r>
    </w:p>
    <w:p w14:paraId="3FBDB47E" w14:textId="77777777" w:rsidR="007E0CA5" w:rsidRDefault="007E0CA5">
      <w:pPr>
        <w:pStyle w:val="5"/>
        <w:rPr>
          <w:color w:val="019648"/>
          <w:spacing w:val="-2"/>
          <w:w w:val="110"/>
          <w:lang w:val="uk-UA"/>
        </w:rPr>
      </w:pPr>
    </w:p>
    <w:p w14:paraId="0FEAAB3B" w14:textId="77777777" w:rsidR="007E0CA5" w:rsidRDefault="007E0CA5">
      <w:pPr>
        <w:pStyle w:val="5"/>
        <w:rPr>
          <w:color w:val="019648"/>
          <w:spacing w:val="-2"/>
          <w:w w:val="110"/>
          <w:lang w:val="uk-UA"/>
        </w:rPr>
      </w:pPr>
    </w:p>
    <w:p w14:paraId="7851A913" w14:textId="77777777" w:rsidR="007E0CA5" w:rsidRDefault="007E0CA5">
      <w:pPr>
        <w:pStyle w:val="5"/>
        <w:rPr>
          <w:color w:val="019648"/>
          <w:spacing w:val="-2"/>
          <w:w w:val="110"/>
          <w:lang w:val="uk-UA"/>
        </w:rPr>
      </w:pPr>
    </w:p>
    <w:p w14:paraId="751E8DBB" w14:textId="38B7A56A" w:rsidR="00E05B98" w:rsidRPr="000306D7" w:rsidRDefault="00D21735">
      <w:pPr>
        <w:pStyle w:val="5"/>
        <w:rPr>
          <w:sz w:val="26"/>
          <w:szCs w:val="26"/>
          <w:lang w:val="uk-UA"/>
        </w:rPr>
      </w:pPr>
      <w:r w:rsidRPr="000306D7">
        <w:rPr>
          <w:color w:val="019648"/>
          <w:spacing w:val="-2"/>
          <w:w w:val="110"/>
          <w:sz w:val="26"/>
          <w:szCs w:val="26"/>
          <w:lang w:val="uk-UA"/>
        </w:rPr>
        <w:t>Безпека</w:t>
      </w:r>
    </w:p>
    <w:p w14:paraId="30303014" w14:textId="4676EC0D" w:rsidR="00E05B98" w:rsidRPr="00D21735" w:rsidRDefault="00BC7064" w:rsidP="00481181">
      <w:pPr>
        <w:pStyle w:val="a3"/>
        <w:spacing w:before="218" w:line="271" w:lineRule="auto"/>
        <w:ind w:left="567" w:right="133"/>
        <w:jc w:val="both"/>
        <w:rPr>
          <w:sz w:val="20"/>
          <w:szCs w:val="20"/>
          <w:lang w:val="uk-UA"/>
        </w:rPr>
      </w:pPr>
      <w:r w:rsidRPr="00BC7064">
        <w:rPr>
          <w:sz w:val="20"/>
          <w:szCs w:val="20"/>
          <w:lang w:val="uk-UA"/>
        </w:rPr>
        <w:t>Було проведено систематичний огляд досліджень, в яких повідомлялося про результати, що становлять інтерес, включаючи місцеві реакції, тобто реакції у місці введення ін'єкції (ISR) та системні несприятливі події внаслідок  застосування тесту ШПТБ. Пошук досліджень проводили за наступними базами даних від початку її створення до 30 липня 2021 року: Medline, Embase, електронна бібліотека, Китайська база даних біомедичної літератури та Китайська національна база даних інфраструктури знань. З окремими виробниками тестів зв'язувалися на предмет окремого дослідження, а дослідження були визначені шляхом публічного запиту ВООЗ на отримання даних.</w:t>
      </w:r>
      <w:r w:rsidR="00B01E0C" w:rsidRPr="00D21735">
        <w:rPr>
          <w:sz w:val="20"/>
          <w:szCs w:val="20"/>
          <w:lang w:val="uk-UA"/>
        </w:rPr>
        <w:t xml:space="preserve"> </w:t>
      </w:r>
      <w:r w:rsidR="00FC2DE1" w:rsidRPr="00FC2DE1">
        <w:rPr>
          <w:sz w:val="20"/>
          <w:szCs w:val="20"/>
          <w:lang w:val="uk-UA"/>
        </w:rPr>
        <w:t xml:space="preserve">До огляду були включені лонгітюдні дослідження та дослідження «випадок-контроль», в яких повідомлялося про виникнення несприятливих подій у людей при використанні індексних тестів окремо або в порівнянні з визнаними тестами порівняння (наприклад, тести QFT, T-Spot і </w:t>
      </w:r>
      <w:r w:rsidR="00D45FA2">
        <w:rPr>
          <w:sz w:val="20"/>
          <w:szCs w:val="20"/>
          <w:lang w:val="uk-UA"/>
        </w:rPr>
        <w:t>ТШП</w:t>
      </w:r>
      <w:r w:rsidR="00FC2DE1" w:rsidRPr="00FC2DE1">
        <w:rPr>
          <w:sz w:val="20"/>
          <w:szCs w:val="20"/>
          <w:lang w:val="uk-UA"/>
        </w:rPr>
        <w:t>), без мовних обмежень. Скринінг назв і рефератів, а також повних текстів статей та оцінку якості виконували два дослідники шляхом проведення двох паралельних аналізів. Метааналіз проводили, використовуючи моделі випадкових ефектів, а дослідження, які вважалися клінічно однорідними, були об'єднані.</w:t>
      </w:r>
    </w:p>
    <w:p w14:paraId="43B12D88" w14:textId="39A174F1" w:rsidR="00E05B98" w:rsidRPr="00D21735" w:rsidRDefault="00FC2DE1" w:rsidP="00481181">
      <w:pPr>
        <w:pStyle w:val="a3"/>
        <w:spacing w:before="155" w:line="271" w:lineRule="auto"/>
        <w:ind w:left="567" w:right="134"/>
        <w:jc w:val="both"/>
        <w:rPr>
          <w:sz w:val="20"/>
          <w:szCs w:val="20"/>
          <w:lang w:val="uk-UA"/>
        </w:rPr>
      </w:pPr>
      <w:r w:rsidRPr="00FC2DE1">
        <w:rPr>
          <w:sz w:val="20"/>
          <w:szCs w:val="20"/>
          <w:lang w:val="uk-UA"/>
        </w:rPr>
        <w:t>Загалом було виявлено сім досліджень для тесту Cy-Tb, п’ять - для C-TST і 11</w:t>
      </w:r>
      <w:r w:rsidR="000306D7">
        <w:rPr>
          <w:sz w:val="20"/>
          <w:szCs w:val="20"/>
          <w:lang w:val="uk-UA"/>
        </w:rPr>
        <w:t xml:space="preserve"> -</w:t>
      </w:r>
      <w:r w:rsidRPr="00FC2DE1">
        <w:rPr>
          <w:sz w:val="20"/>
          <w:szCs w:val="20"/>
          <w:lang w:val="uk-UA"/>
        </w:rPr>
        <w:t xml:space="preserve"> для Діаскінтесту. Характеристики досліджень були наступними:</w:t>
      </w:r>
    </w:p>
    <w:p w14:paraId="7F2C9212" w14:textId="51C65275" w:rsidR="00E05B98" w:rsidRPr="00D21735" w:rsidRDefault="00481181" w:rsidP="00481181">
      <w:pPr>
        <w:pStyle w:val="a4"/>
        <w:numPr>
          <w:ilvl w:val="0"/>
          <w:numId w:val="7"/>
        </w:numPr>
        <w:tabs>
          <w:tab w:val="left" w:pos="850"/>
        </w:tabs>
        <w:spacing w:before="118" w:line="271" w:lineRule="auto"/>
        <w:ind w:right="134"/>
        <w:rPr>
          <w:sz w:val="20"/>
          <w:szCs w:val="20"/>
          <w:lang w:val="uk-UA"/>
        </w:rPr>
      </w:pPr>
      <w:r w:rsidRPr="00481181">
        <w:rPr>
          <w:sz w:val="20"/>
          <w:szCs w:val="20"/>
          <w:lang w:val="uk-UA"/>
        </w:rPr>
        <w:t xml:space="preserve">Тест Cy-Tb: клінічні випробування - було проведено три дослідження в Південній Африці та чотири в Європі. Більшість учасників були дорослими; в дослідженнях, які проводили в Південній Африці, 20-40% учасників були ЛЖВ. П'ять із семи досліджень включали випадковий розподіл за двома групами - група тесту Cy-Tb та група тесту </w:t>
      </w:r>
      <w:r w:rsidR="00D45FA2">
        <w:rPr>
          <w:sz w:val="20"/>
          <w:szCs w:val="20"/>
          <w:lang w:val="uk-UA"/>
        </w:rPr>
        <w:t>ТШП</w:t>
      </w:r>
      <w:r w:rsidRPr="00481181">
        <w:rPr>
          <w:sz w:val="20"/>
          <w:szCs w:val="20"/>
          <w:lang w:val="uk-UA"/>
        </w:rPr>
        <w:t>, що дозволило порівняти виникнення реакцій в місці введення ін'єкції (ISR). Усі п'ять досліджень були включені в об'єднану оцінку доказів щодо будь-якої реакції в міс</w:t>
      </w:r>
      <w:r w:rsidR="00155373">
        <w:rPr>
          <w:sz w:val="20"/>
          <w:szCs w:val="20"/>
          <w:lang w:val="uk-UA"/>
        </w:rPr>
        <w:t>ц</w:t>
      </w:r>
      <w:r w:rsidRPr="00481181">
        <w:rPr>
          <w:sz w:val="20"/>
          <w:szCs w:val="20"/>
          <w:lang w:val="uk-UA"/>
        </w:rPr>
        <w:t xml:space="preserve">і введення ін'єкції. Лише одне дослідження надало порівняльні дані щодо системних реакцій. Це дослідження також було включено в об'єднану оцінку доказів </w:t>
      </w:r>
      <w:r w:rsidR="006206FB">
        <w:rPr>
          <w:sz w:val="20"/>
          <w:szCs w:val="20"/>
          <w:lang w:val="uk-UA"/>
        </w:rPr>
        <w:t>на предмет</w:t>
      </w:r>
      <w:r w:rsidRPr="00481181">
        <w:rPr>
          <w:sz w:val="20"/>
          <w:szCs w:val="20"/>
          <w:lang w:val="uk-UA"/>
        </w:rPr>
        <w:t xml:space="preserve"> системних реакцій</w:t>
      </w:r>
      <w:r w:rsidR="00B01E0C" w:rsidRPr="00D21735">
        <w:rPr>
          <w:sz w:val="20"/>
          <w:szCs w:val="20"/>
          <w:lang w:val="uk-UA"/>
        </w:rPr>
        <w:t>.</w:t>
      </w:r>
    </w:p>
    <w:p w14:paraId="6BECAA4F" w14:textId="77777777" w:rsidR="00E05B98" w:rsidRPr="00D21735" w:rsidRDefault="00E05B98" w:rsidP="00D21735">
      <w:pPr>
        <w:pStyle w:val="a4"/>
        <w:spacing w:line="276" w:lineRule="auto"/>
        <w:rPr>
          <w:sz w:val="20"/>
          <w:szCs w:val="20"/>
          <w:lang w:val="uk-UA"/>
        </w:rPr>
        <w:sectPr w:rsidR="00E05B98" w:rsidRPr="00D21735" w:rsidSect="00481181">
          <w:pgSz w:w="11910" w:h="16840"/>
          <w:pgMar w:top="1135" w:right="995" w:bottom="760" w:left="850" w:header="0" w:footer="573" w:gutter="0"/>
          <w:cols w:space="720"/>
        </w:sectPr>
      </w:pPr>
    </w:p>
    <w:p w14:paraId="714E7695" w14:textId="7258F1E8" w:rsidR="00E05B98" w:rsidRPr="003C6DAE" w:rsidRDefault="00481181" w:rsidP="00D21735">
      <w:pPr>
        <w:pStyle w:val="a4"/>
        <w:numPr>
          <w:ilvl w:val="0"/>
          <w:numId w:val="7"/>
        </w:numPr>
        <w:tabs>
          <w:tab w:val="left" w:pos="850"/>
        </w:tabs>
        <w:spacing w:before="52" w:line="276" w:lineRule="auto"/>
        <w:ind w:right="140"/>
        <w:rPr>
          <w:lang w:val="uk-UA"/>
        </w:rPr>
      </w:pPr>
      <w:r w:rsidRPr="00481181">
        <w:rPr>
          <w:sz w:val="20"/>
          <w:szCs w:val="20"/>
          <w:lang w:val="uk-UA"/>
        </w:rPr>
        <w:lastRenderedPageBreak/>
        <w:t xml:space="preserve">Тест C-TST: усі п'ять досліджень були проведені в Китаї і включали лише ВІЛ-негативних дорослих. Усі вони включали нерандомізований розподіл тесту C-TST та TST за двома групами; таким чином, жодне дослідження, яке б оцінювало  тест C-TST не було включено до об'єднаної оцінки доказів для будь-якої реакції в місці введення ін'єкції. </w:t>
      </w:r>
      <w:r w:rsidR="006206FB">
        <w:rPr>
          <w:sz w:val="20"/>
          <w:szCs w:val="20"/>
          <w:lang w:val="uk-UA"/>
        </w:rPr>
        <w:t>К</w:t>
      </w:r>
      <w:r w:rsidRPr="00481181">
        <w:rPr>
          <w:sz w:val="20"/>
          <w:szCs w:val="20"/>
          <w:lang w:val="uk-UA"/>
        </w:rPr>
        <w:t>рім того, у доступі не було жодного дослідження, яке б включало будь-які порівняльні дані стосовно системних реакцій</w:t>
      </w:r>
      <w:r w:rsidR="00B01E0C" w:rsidRPr="003C6DAE">
        <w:rPr>
          <w:lang w:val="uk-UA"/>
        </w:rPr>
        <w:t>.</w:t>
      </w:r>
    </w:p>
    <w:p w14:paraId="6A2822E5" w14:textId="1977C02F" w:rsidR="00E05B98" w:rsidRPr="006206FB" w:rsidRDefault="000C0DD2" w:rsidP="00D21735">
      <w:pPr>
        <w:pStyle w:val="a4"/>
        <w:numPr>
          <w:ilvl w:val="0"/>
          <w:numId w:val="7"/>
        </w:numPr>
        <w:tabs>
          <w:tab w:val="left" w:pos="850"/>
        </w:tabs>
        <w:spacing w:before="5" w:line="276" w:lineRule="auto"/>
        <w:ind w:right="130"/>
        <w:rPr>
          <w:sz w:val="20"/>
          <w:szCs w:val="20"/>
          <w:lang w:val="uk-UA"/>
        </w:rPr>
      </w:pPr>
      <w:r w:rsidRPr="006206FB">
        <w:rPr>
          <w:w w:val="105"/>
          <w:sz w:val="20"/>
          <w:szCs w:val="20"/>
          <w:lang w:val="uk-UA"/>
        </w:rPr>
        <w:t xml:space="preserve">Діаскінтест: перехресні дослідження з використанням даних, що збирають постійно, які були проведені переважно в Російській Федерації та одне в Україні та включали різні групи населення (здорові дорослі, діти та підлітки, контакти з пацієнтами з ТБ та випадками ТБ). Два дослідження Діаскінтесту надали зіставні дані про реакції в місці введення ін'єкції (ISR), однак в одному з цих досліджень не було надано інформації про кількість учасників, які зазнали будь-якої </w:t>
      </w:r>
      <w:r w:rsidR="006206FB">
        <w:rPr>
          <w:w w:val="105"/>
          <w:sz w:val="20"/>
          <w:szCs w:val="20"/>
          <w:lang w:val="uk-UA"/>
        </w:rPr>
        <w:t>в місці введення ін’єкції</w:t>
      </w:r>
      <w:r w:rsidRPr="006206FB">
        <w:rPr>
          <w:w w:val="105"/>
          <w:sz w:val="20"/>
          <w:szCs w:val="20"/>
          <w:lang w:val="uk-UA"/>
        </w:rPr>
        <w:t>; таким чином, лише одне дослідження Діаскінтесту було включено до метааналізу.</w:t>
      </w:r>
    </w:p>
    <w:p w14:paraId="20CF9345" w14:textId="77777777" w:rsidR="00E05B98" w:rsidRPr="003C6DAE" w:rsidRDefault="00E05B98">
      <w:pPr>
        <w:pStyle w:val="a3"/>
        <w:spacing w:before="76"/>
        <w:rPr>
          <w:lang w:val="uk-UA"/>
        </w:rPr>
      </w:pPr>
    </w:p>
    <w:p w14:paraId="56517D01" w14:textId="487B4EA4" w:rsidR="00E05B98" w:rsidRPr="000C0DD2" w:rsidRDefault="000C0DD2">
      <w:pPr>
        <w:pStyle w:val="6"/>
        <w:spacing w:before="1"/>
        <w:jc w:val="both"/>
        <w:rPr>
          <w:sz w:val="22"/>
          <w:szCs w:val="22"/>
          <w:lang w:val="uk-UA"/>
        </w:rPr>
      </w:pPr>
      <w:r w:rsidRPr="000C0DD2">
        <w:rPr>
          <w:color w:val="636466"/>
          <w:sz w:val="22"/>
          <w:szCs w:val="22"/>
          <w:lang w:val="uk-UA"/>
        </w:rPr>
        <w:t>Рис.</w:t>
      </w:r>
      <w:r w:rsidR="00B01E0C" w:rsidRPr="000C0DD2">
        <w:rPr>
          <w:color w:val="636466"/>
          <w:spacing w:val="-6"/>
          <w:sz w:val="22"/>
          <w:szCs w:val="22"/>
          <w:lang w:val="uk-UA"/>
        </w:rPr>
        <w:t xml:space="preserve"> </w:t>
      </w:r>
      <w:r w:rsidR="00B01E0C" w:rsidRPr="000C0DD2">
        <w:rPr>
          <w:color w:val="636466"/>
          <w:sz w:val="22"/>
          <w:szCs w:val="22"/>
          <w:lang w:val="uk-UA"/>
        </w:rPr>
        <w:t>3.1.1.10</w:t>
      </w:r>
      <w:r w:rsidR="00B01E0C" w:rsidRPr="000C0DD2">
        <w:rPr>
          <w:color w:val="636466"/>
          <w:spacing w:val="-6"/>
          <w:sz w:val="22"/>
          <w:szCs w:val="22"/>
          <w:lang w:val="uk-UA"/>
        </w:rPr>
        <w:t xml:space="preserve"> </w:t>
      </w:r>
      <w:r w:rsidRPr="000C0DD2">
        <w:rPr>
          <w:color w:val="636466"/>
          <w:spacing w:val="-6"/>
          <w:sz w:val="22"/>
          <w:szCs w:val="22"/>
          <w:lang w:val="uk-UA"/>
        </w:rPr>
        <w:t xml:space="preserve">  </w:t>
      </w:r>
      <w:r w:rsidRPr="000C0DD2">
        <w:rPr>
          <w:color w:val="636466"/>
          <w:sz w:val="22"/>
          <w:szCs w:val="22"/>
          <w:lang w:val="uk-UA"/>
        </w:rPr>
        <w:t>Будь-які реакції у місці введення ін'єкції</w:t>
      </w:r>
    </w:p>
    <w:p w14:paraId="0F357F62" w14:textId="7EB06A8F" w:rsidR="00E05B98" w:rsidRPr="003C6DAE" w:rsidRDefault="008A2182">
      <w:pPr>
        <w:pStyle w:val="a3"/>
        <w:spacing w:before="8"/>
        <w:rPr>
          <w:rFonts w:ascii="Arial"/>
          <w:b/>
          <w:sz w:val="18"/>
          <w:lang w:val="uk-UA"/>
        </w:rPr>
      </w:pPr>
      <w:r>
        <w:rPr>
          <w:rFonts w:ascii="Arial"/>
          <w:b/>
          <w:noProof/>
          <w:sz w:val="18"/>
          <w:lang w:val="uk-UA"/>
        </w:rPr>
        <mc:AlternateContent>
          <mc:Choice Requires="wps">
            <w:drawing>
              <wp:anchor distT="0" distB="0" distL="114300" distR="114300" simplePos="0" relativeHeight="488188416" behindDoc="0" locked="0" layoutInCell="1" allowOverlap="1" wp14:anchorId="5F6009C1" wp14:editId="6BE10941">
                <wp:simplePos x="0" y="0"/>
                <wp:positionH relativeFrom="margin">
                  <wp:posOffset>219710</wp:posOffset>
                </wp:positionH>
                <wp:positionV relativeFrom="paragraph">
                  <wp:posOffset>133350</wp:posOffset>
                </wp:positionV>
                <wp:extent cx="6311265" cy="408940"/>
                <wp:effectExtent l="0" t="0" r="0" b="0"/>
                <wp:wrapNone/>
                <wp:docPr id="1433290483" name="Поле 1933"/>
                <wp:cNvGraphicFramePr/>
                <a:graphic xmlns:a="http://schemas.openxmlformats.org/drawingml/2006/main">
                  <a:graphicData uri="http://schemas.microsoft.com/office/word/2010/wordprocessingShape">
                    <wps:wsp>
                      <wps:cNvSpPr txBox="1"/>
                      <wps:spPr>
                        <a:xfrm>
                          <a:off x="0" y="0"/>
                          <a:ext cx="6311265" cy="408940"/>
                        </a:xfrm>
                        <a:prstGeom prst="rect">
                          <a:avLst/>
                        </a:prstGeom>
                        <a:solidFill>
                          <a:schemeClr val="bg1"/>
                        </a:solidFill>
                        <a:ln w="6350">
                          <a:noFill/>
                        </a:ln>
                      </wps:spPr>
                      <wps:txbx>
                        <w:txbxContent>
                          <w:tbl>
                            <w:tblPr>
                              <w:tblStyle w:val="ac"/>
                              <w:tblW w:w="9986" w:type="dxa"/>
                              <w:tblInd w:w="-14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281"/>
                              <w:gridCol w:w="1276"/>
                              <w:gridCol w:w="2410"/>
                              <w:gridCol w:w="567"/>
                              <w:gridCol w:w="997"/>
                              <w:gridCol w:w="1192"/>
                            </w:tblGrid>
                            <w:tr w:rsidR="007372B2" w14:paraId="5C449337" w14:textId="77777777" w:rsidTr="007E0CA5">
                              <w:tc>
                                <w:tcPr>
                                  <w:tcW w:w="2263" w:type="dxa"/>
                                </w:tcPr>
                                <w:p w14:paraId="526E751D" w14:textId="77777777" w:rsidR="007372B2" w:rsidRPr="008A2182" w:rsidRDefault="007372B2" w:rsidP="008A2182">
                                  <w:pPr>
                                    <w:ind w:left="142"/>
                                    <w:rPr>
                                      <w:rFonts w:asciiTheme="minorHAnsi" w:hAnsiTheme="minorHAnsi" w:cstheme="minorHAnsi"/>
                                      <w:b/>
                                      <w:bCs/>
                                      <w:sz w:val="17"/>
                                      <w:szCs w:val="17"/>
                                      <w:lang w:val="uk-UA"/>
                                    </w:rPr>
                                  </w:pPr>
                                  <w:r w:rsidRPr="008A2182">
                                    <w:rPr>
                                      <w:rFonts w:asciiTheme="minorHAnsi" w:hAnsiTheme="minorHAnsi" w:cstheme="minorHAnsi"/>
                                      <w:b/>
                                      <w:bCs/>
                                      <w:sz w:val="17"/>
                                      <w:szCs w:val="17"/>
                                      <w:lang w:val="uk-UA"/>
                                    </w:rPr>
                                    <w:t>Дослідження</w:t>
                                  </w:r>
                                </w:p>
                              </w:tc>
                              <w:tc>
                                <w:tcPr>
                                  <w:tcW w:w="1281" w:type="dxa"/>
                                </w:tcPr>
                                <w:p w14:paraId="728FB6AB" w14:textId="77777777" w:rsidR="007372B2" w:rsidRPr="008A2182" w:rsidRDefault="007372B2" w:rsidP="008A2182">
                                  <w:pPr>
                                    <w:jc w:val="center"/>
                                    <w:rPr>
                                      <w:rFonts w:asciiTheme="minorHAnsi" w:hAnsiTheme="minorHAnsi" w:cstheme="minorHAnsi"/>
                                      <w:b/>
                                      <w:bCs/>
                                      <w:sz w:val="17"/>
                                      <w:szCs w:val="17"/>
                                      <w:lang w:val="uk-UA"/>
                                    </w:rPr>
                                  </w:pPr>
                                  <w:r>
                                    <w:rPr>
                                      <w:rFonts w:asciiTheme="minorHAnsi" w:hAnsiTheme="minorHAnsi" w:cstheme="minorHAnsi"/>
                                      <w:b/>
                                      <w:bCs/>
                                      <w:sz w:val="17"/>
                                      <w:szCs w:val="17"/>
                                      <w:lang w:val="uk-UA"/>
                                    </w:rPr>
                                    <w:t xml:space="preserve">   </w:t>
                                  </w:r>
                                  <w:r w:rsidRPr="008A2182">
                                    <w:rPr>
                                      <w:rFonts w:asciiTheme="minorHAnsi" w:hAnsiTheme="minorHAnsi" w:cstheme="minorHAnsi"/>
                                      <w:b/>
                                      <w:bCs/>
                                      <w:sz w:val="17"/>
                                      <w:szCs w:val="17"/>
                                      <w:lang w:val="uk-UA"/>
                                    </w:rPr>
                                    <w:t>Тест ШПТБ</w:t>
                                  </w:r>
                                </w:p>
                                <w:p w14:paraId="0E5FB5DC" w14:textId="240755D2" w:rsidR="007372B2" w:rsidRPr="008A2182" w:rsidRDefault="007372B2" w:rsidP="008A2182">
                                  <w:pPr>
                                    <w:rPr>
                                      <w:rFonts w:asciiTheme="minorHAnsi" w:hAnsiTheme="minorHAnsi" w:cstheme="minorHAnsi"/>
                                      <w:b/>
                                      <w:bCs/>
                                      <w:sz w:val="17"/>
                                      <w:szCs w:val="17"/>
                                      <w:lang w:val="uk-UA"/>
                                    </w:rPr>
                                  </w:pPr>
                                  <w:r>
                                    <w:rPr>
                                      <w:rFonts w:asciiTheme="minorHAnsi" w:hAnsiTheme="minorHAnsi" w:cstheme="minorHAnsi"/>
                                      <w:b/>
                                      <w:bCs/>
                                      <w:sz w:val="17"/>
                                      <w:szCs w:val="17"/>
                                      <w:lang w:val="uk-UA"/>
                                    </w:rPr>
                                    <w:t xml:space="preserve">  </w:t>
                                  </w:r>
                                  <w:r w:rsidRPr="008A2182">
                                    <w:rPr>
                                      <w:rFonts w:asciiTheme="minorHAnsi" w:hAnsiTheme="minorHAnsi" w:cstheme="minorHAnsi"/>
                                      <w:b/>
                                      <w:bCs/>
                                      <w:sz w:val="17"/>
                                      <w:szCs w:val="17"/>
                                      <w:lang w:val="uk-UA"/>
                                    </w:rPr>
                                    <w:t>Події   Усього</w:t>
                                  </w:r>
                                </w:p>
                              </w:tc>
                              <w:tc>
                                <w:tcPr>
                                  <w:tcW w:w="1276" w:type="dxa"/>
                                </w:tcPr>
                                <w:p w14:paraId="08D07697" w14:textId="2CDB757E" w:rsidR="007372B2" w:rsidRDefault="007372B2" w:rsidP="008A2182">
                                  <w:pPr>
                                    <w:ind w:left="142"/>
                                    <w:rPr>
                                      <w:rFonts w:asciiTheme="minorHAnsi" w:hAnsiTheme="minorHAnsi" w:cstheme="minorHAnsi"/>
                                      <w:b/>
                                      <w:bCs/>
                                      <w:sz w:val="17"/>
                                      <w:szCs w:val="17"/>
                                      <w:lang w:val="uk-UA"/>
                                    </w:rPr>
                                  </w:pPr>
                                  <w:r>
                                    <w:rPr>
                                      <w:rFonts w:asciiTheme="minorHAnsi" w:hAnsiTheme="minorHAnsi" w:cstheme="minorHAnsi"/>
                                      <w:b/>
                                      <w:bCs/>
                                      <w:sz w:val="17"/>
                                      <w:szCs w:val="17"/>
                                      <w:lang w:val="uk-UA"/>
                                    </w:rPr>
                                    <w:t xml:space="preserve"> Тест ТШП</w:t>
                                  </w:r>
                                </w:p>
                                <w:p w14:paraId="40624523" w14:textId="2CD10F62" w:rsidR="007372B2" w:rsidRPr="008A2182" w:rsidRDefault="007372B2" w:rsidP="008A2182">
                                  <w:pPr>
                                    <w:rPr>
                                      <w:rFonts w:asciiTheme="minorHAnsi" w:hAnsiTheme="minorHAnsi" w:cstheme="minorHAnsi"/>
                                      <w:b/>
                                      <w:bCs/>
                                      <w:sz w:val="17"/>
                                      <w:szCs w:val="17"/>
                                      <w:lang w:val="uk-UA"/>
                                    </w:rPr>
                                  </w:pPr>
                                  <w:r>
                                    <w:rPr>
                                      <w:rFonts w:asciiTheme="minorHAnsi" w:hAnsiTheme="minorHAnsi" w:cstheme="minorHAnsi"/>
                                      <w:b/>
                                      <w:bCs/>
                                      <w:sz w:val="17"/>
                                      <w:szCs w:val="17"/>
                                      <w:lang w:val="uk-UA"/>
                                    </w:rPr>
                                    <w:t xml:space="preserve"> Події   Усього</w:t>
                                  </w:r>
                                </w:p>
                              </w:tc>
                              <w:tc>
                                <w:tcPr>
                                  <w:tcW w:w="2410" w:type="dxa"/>
                                </w:tcPr>
                                <w:p w14:paraId="15033818" w14:textId="77777777" w:rsidR="007372B2" w:rsidRPr="008A2182" w:rsidRDefault="007372B2" w:rsidP="008A2182">
                                  <w:pPr>
                                    <w:ind w:left="142"/>
                                    <w:rPr>
                                      <w:rFonts w:asciiTheme="minorHAnsi" w:hAnsiTheme="minorHAnsi" w:cstheme="minorHAnsi"/>
                                      <w:b/>
                                      <w:bCs/>
                                      <w:sz w:val="17"/>
                                      <w:szCs w:val="17"/>
                                      <w:lang w:val="ru-RU"/>
                                    </w:rPr>
                                  </w:pPr>
                                  <w:r>
                                    <w:rPr>
                                      <w:rFonts w:asciiTheme="minorHAnsi" w:hAnsiTheme="minorHAnsi" w:cstheme="minorHAnsi"/>
                                      <w:b/>
                                      <w:bCs/>
                                      <w:sz w:val="17"/>
                                      <w:szCs w:val="17"/>
                                      <w:lang w:val="ru-RU"/>
                                    </w:rPr>
                                    <w:t>Відношення ризиків (ВР)</w:t>
                                  </w:r>
                                </w:p>
                              </w:tc>
                              <w:tc>
                                <w:tcPr>
                                  <w:tcW w:w="567" w:type="dxa"/>
                                </w:tcPr>
                                <w:p w14:paraId="378BA52B" w14:textId="77777777" w:rsidR="007372B2" w:rsidRPr="008A2182" w:rsidRDefault="007372B2" w:rsidP="008A2182">
                                  <w:pPr>
                                    <w:ind w:left="142"/>
                                    <w:jc w:val="center"/>
                                    <w:rPr>
                                      <w:rFonts w:asciiTheme="minorHAnsi" w:hAnsiTheme="minorHAnsi" w:cstheme="minorHAnsi"/>
                                      <w:b/>
                                      <w:bCs/>
                                      <w:sz w:val="17"/>
                                      <w:szCs w:val="17"/>
                                      <w:lang w:val="uk-UA"/>
                                    </w:rPr>
                                  </w:pPr>
                                  <w:r>
                                    <w:rPr>
                                      <w:rFonts w:asciiTheme="minorHAnsi" w:hAnsiTheme="minorHAnsi" w:cstheme="minorHAnsi"/>
                                      <w:b/>
                                      <w:bCs/>
                                      <w:sz w:val="17"/>
                                      <w:szCs w:val="17"/>
                                      <w:lang w:val="uk-UA"/>
                                    </w:rPr>
                                    <w:t>ВР</w:t>
                                  </w:r>
                                </w:p>
                              </w:tc>
                              <w:tc>
                                <w:tcPr>
                                  <w:tcW w:w="997" w:type="dxa"/>
                                </w:tcPr>
                                <w:p w14:paraId="034C4229" w14:textId="3A6602B7" w:rsidR="007372B2" w:rsidRPr="008A2182" w:rsidRDefault="007372B2" w:rsidP="007E0CA5">
                                  <w:pPr>
                                    <w:jc w:val="right"/>
                                    <w:rPr>
                                      <w:rFonts w:asciiTheme="minorHAnsi" w:hAnsiTheme="minorHAnsi" w:cstheme="minorHAnsi"/>
                                      <w:b/>
                                      <w:bCs/>
                                      <w:sz w:val="17"/>
                                      <w:szCs w:val="17"/>
                                      <w:lang w:val="uk-UA"/>
                                    </w:rPr>
                                  </w:pPr>
                                  <w:r>
                                    <w:rPr>
                                      <w:rFonts w:asciiTheme="minorHAnsi" w:hAnsiTheme="minorHAnsi" w:cstheme="minorHAnsi"/>
                                      <w:b/>
                                      <w:bCs/>
                                      <w:sz w:val="17"/>
                                      <w:szCs w:val="17"/>
                                      <w:lang w:val="uk-UA"/>
                                    </w:rPr>
                                    <w:t>95% ДІ</w:t>
                                  </w:r>
                                </w:p>
                              </w:tc>
                              <w:tc>
                                <w:tcPr>
                                  <w:tcW w:w="1192" w:type="dxa"/>
                                </w:tcPr>
                                <w:p w14:paraId="1F92C2B6" w14:textId="77777777" w:rsidR="007372B2" w:rsidRPr="008A2182" w:rsidRDefault="007372B2" w:rsidP="007E0CA5">
                                  <w:pPr>
                                    <w:ind w:left="142"/>
                                    <w:rPr>
                                      <w:rFonts w:asciiTheme="minorHAnsi" w:hAnsiTheme="minorHAnsi" w:cstheme="minorHAnsi"/>
                                      <w:b/>
                                      <w:bCs/>
                                      <w:sz w:val="18"/>
                                      <w:szCs w:val="18"/>
                                      <w:lang w:val="uk-UA"/>
                                    </w:rPr>
                                  </w:pPr>
                                  <w:r>
                                    <w:rPr>
                                      <w:rFonts w:asciiTheme="minorHAnsi" w:hAnsiTheme="minorHAnsi" w:cstheme="minorHAnsi"/>
                                      <w:b/>
                                      <w:bCs/>
                                      <w:sz w:val="18"/>
                                      <w:szCs w:val="18"/>
                                      <w:lang w:val="uk-UA"/>
                                    </w:rPr>
                                    <w:t>Ваги</w:t>
                                  </w:r>
                                </w:p>
                              </w:tc>
                            </w:tr>
                          </w:tbl>
                          <w:p w14:paraId="4DD08051" w14:textId="77777777" w:rsidR="007372B2" w:rsidRDefault="007372B2" w:rsidP="008A2182">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009C1" id="_x0000_s1202" type="#_x0000_t202" style="position:absolute;margin-left:17.3pt;margin-top:10.5pt;width:496.95pt;height:32.2pt;z-index:48818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" fillcolor="white [3212]" stroked="f" strokeweight=".5pt">
                <v:textbox>
                  <w:txbxContent>
                    <w:tbl>
                      <w:tblPr>
                        <w:tblStyle w:val="ac"/>
                        <w:tblW w:w="9986" w:type="dxa"/>
                        <w:tblInd w:w="-14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281"/>
                        <w:gridCol w:w="1276"/>
                        <w:gridCol w:w="2410"/>
                        <w:gridCol w:w="567"/>
                        <w:gridCol w:w="997"/>
                        <w:gridCol w:w="1192"/>
                      </w:tblGrid>
                      <w:tr w:rsidR="007372B2" w14:paraId="5C449337" w14:textId="77777777" w:rsidTr="007E0CA5">
                        <w:tc>
                          <w:tcPr>
                            <w:tcW w:w="2263" w:type="dxa"/>
                          </w:tcPr>
                          <w:p w14:paraId="526E751D" w14:textId="77777777" w:rsidR="007372B2" w:rsidRPr="008A2182" w:rsidRDefault="007372B2" w:rsidP="008A2182">
                            <w:pPr>
                              <w:ind w:left="142"/>
                              <w:rPr>
                                <w:rFonts w:asciiTheme="minorHAnsi" w:hAnsiTheme="minorHAnsi" w:cstheme="minorHAnsi"/>
                                <w:b/>
                                <w:bCs/>
                                <w:sz w:val="17"/>
                                <w:szCs w:val="17"/>
                                <w:lang w:val="uk-UA"/>
                              </w:rPr>
                            </w:pPr>
                            <w:r w:rsidRPr="008A2182">
                              <w:rPr>
                                <w:rFonts w:asciiTheme="minorHAnsi" w:hAnsiTheme="minorHAnsi" w:cstheme="minorHAnsi"/>
                                <w:b/>
                                <w:bCs/>
                                <w:sz w:val="17"/>
                                <w:szCs w:val="17"/>
                                <w:lang w:val="uk-UA"/>
                              </w:rPr>
                              <w:t>Дослідження</w:t>
                            </w:r>
                          </w:p>
                        </w:tc>
                        <w:tc>
                          <w:tcPr>
                            <w:tcW w:w="1281" w:type="dxa"/>
                          </w:tcPr>
                          <w:p w14:paraId="728FB6AB" w14:textId="77777777" w:rsidR="007372B2" w:rsidRPr="008A2182" w:rsidRDefault="007372B2" w:rsidP="008A2182">
                            <w:pPr>
                              <w:jc w:val="center"/>
                              <w:rPr>
                                <w:rFonts w:asciiTheme="minorHAnsi" w:hAnsiTheme="minorHAnsi" w:cstheme="minorHAnsi"/>
                                <w:b/>
                                <w:bCs/>
                                <w:sz w:val="17"/>
                                <w:szCs w:val="17"/>
                                <w:lang w:val="uk-UA"/>
                              </w:rPr>
                            </w:pPr>
                            <w:r>
                              <w:rPr>
                                <w:rFonts w:asciiTheme="minorHAnsi" w:hAnsiTheme="minorHAnsi" w:cstheme="minorHAnsi"/>
                                <w:b/>
                                <w:bCs/>
                                <w:sz w:val="17"/>
                                <w:szCs w:val="17"/>
                                <w:lang w:val="uk-UA"/>
                              </w:rPr>
                              <w:t xml:space="preserve">   </w:t>
                            </w:r>
                            <w:r w:rsidRPr="008A2182">
                              <w:rPr>
                                <w:rFonts w:asciiTheme="minorHAnsi" w:hAnsiTheme="minorHAnsi" w:cstheme="minorHAnsi"/>
                                <w:b/>
                                <w:bCs/>
                                <w:sz w:val="17"/>
                                <w:szCs w:val="17"/>
                                <w:lang w:val="uk-UA"/>
                              </w:rPr>
                              <w:t>Тест ШПТБ</w:t>
                            </w:r>
                          </w:p>
                          <w:p w14:paraId="0E5FB5DC" w14:textId="240755D2" w:rsidR="007372B2" w:rsidRPr="008A2182" w:rsidRDefault="007372B2" w:rsidP="008A2182">
                            <w:pPr>
                              <w:rPr>
                                <w:rFonts w:asciiTheme="minorHAnsi" w:hAnsiTheme="minorHAnsi" w:cstheme="minorHAnsi"/>
                                <w:b/>
                                <w:bCs/>
                                <w:sz w:val="17"/>
                                <w:szCs w:val="17"/>
                                <w:lang w:val="uk-UA"/>
                              </w:rPr>
                            </w:pPr>
                            <w:r>
                              <w:rPr>
                                <w:rFonts w:asciiTheme="minorHAnsi" w:hAnsiTheme="minorHAnsi" w:cstheme="minorHAnsi"/>
                                <w:b/>
                                <w:bCs/>
                                <w:sz w:val="17"/>
                                <w:szCs w:val="17"/>
                                <w:lang w:val="uk-UA"/>
                              </w:rPr>
                              <w:t xml:space="preserve">  </w:t>
                            </w:r>
                            <w:r w:rsidRPr="008A2182">
                              <w:rPr>
                                <w:rFonts w:asciiTheme="minorHAnsi" w:hAnsiTheme="minorHAnsi" w:cstheme="minorHAnsi"/>
                                <w:b/>
                                <w:bCs/>
                                <w:sz w:val="17"/>
                                <w:szCs w:val="17"/>
                                <w:lang w:val="uk-UA"/>
                              </w:rPr>
                              <w:t>Події   Усього</w:t>
                            </w:r>
                          </w:p>
                        </w:tc>
                        <w:tc>
                          <w:tcPr>
                            <w:tcW w:w="1276" w:type="dxa"/>
                          </w:tcPr>
                          <w:p w14:paraId="08D07697" w14:textId="2CDB757E" w:rsidR="007372B2" w:rsidRDefault="007372B2" w:rsidP="008A2182">
                            <w:pPr>
                              <w:ind w:left="142"/>
                              <w:rPr>
                                <w:rFonts w:asciiTheme="minorHAnsi" w:hAnsiTheme="minorHAnsi" w:cstheme="minorHAnsi"/>
                                <w:b/>
                                <w:bCs/>
                                <w:sz w:val="17"/>
                                <w:szCs w:val="17"/>
                                <w:lang w:val="uk-UA"/>
                              </w:rPr>
                            </w:pPr>
                            <w:r>
                              <w:rPr>
                                <w:rFonts w:asciiTheme="minorHAnsi" w:hAnsiTheme="minorHAnsi" w:cstheme="minorHAnsi"/>
                                <w:b/>
                                <w:bCs/>
                                <w:sz w:val="17"/>
                                <w:szCs w:val="17"/>
                                <w:lang w:val="uk-UA"/>
                              </w:rPr>
                              <w:t xml:space="preserve"> Тест ТШП</w:t>
                            </w:r>
                          </w:p>
                          <w:p w14:paraId="40624523" w14:textId="2CD10F62" w:rsidR="007372B2" w:rsidRPr="008A2182" w:rsidRDefault="007372B2" w:rsidP="008A2182">
                            <w:pPr>
                              <w:rPr>
                                <w:rFonts w:asciiTheme="minorHAnsi" w:hAnsiTheme="minorHAnsi" w:cstheme="minorHAnsi"/>
                                <w:b/>
                                <w:bCs/>
                                <w:sz w:val="17"/>
                                <w:szCs w:val="17"/>
                                <w:lang w:val="uk-UA"/>
                              </w:rPr>
                            </w:pPr>
                            <w:r>
                              <w:rPr>
                                <w:rFonts w:asciiTheme="minorHAnsi" w:hAnsiTheme="minorHAnsi" w:cstheme="minorHAnsi"/>
                                <w:b/>
                                <w:bCs/>
                                <w:sz w:val="17"/>
                                <w:szCs w:val="17"/>
                                <w:lang w:val="uk-UA"/>
                              </w:rPr>
                              <w:t xml:space="preserve"> Події   Усього</w:t>
                            </w:r>
                          </w:p>
                        </w:tc>
                        <w:tc>
                          <w:tcPr>
                            <w:tcW w:w="2410" w:type="dxa"/>
                          </w:tcPr>
                          <w:p w14:paraId="15033818" w14:textId="77777777" w:rsidR="007372B2" w:rsidRPr="008A2182" w:rsidRDefault="007372B2" w:rsidP="008A2182">
                            <w:pPr>
                              <w:ind w:left="142"/>
                              <w:rPr>
                                <w:rFonts w:asciiTheme="minorHAnsi" w:hAnsiTheme="minorHAnsi" w:cstheme="minorHAnsi"/>
                                <w:b/>
                                <w:bCs/>
                                <w:sz w:val="17"/>
                                <w:szCs w:val="17"/>
                                <w:lang w:val="ru-RU"/>
                              </w:rPr>
                            </w:pPr>
                            <w:r>
                              <w:rPr>
                                <w:rFonts w:asciiTheme="minorHAnsi" w:hAnsiTheme="minorHAnsi" w:cstheme="minorHAnsi"/>
                                <w:b/>
                                <w:bCs/>
                                <w:sz w:val="17"/>
                                <w:szCs w:val="17"/>
                                <w:lang w:val="ru-RU"/>
                              </w:rPr>
                              <w:t>Відношення ризиків (ВР)</w:t>
                            </w:r>
                          </w:p>
                        </w:tc>
                        <w:tc>
                          <w:tcPr>
                            <w:tcW w:w="567" w:type="dxa"/>
                          </w:tcPr>
                          <w:p w14:paraId="378BA52B" w14:textId="77777777" w:rsidR="007372B2" w:rsidRPr="008A2182" w:rsidRDefault="007372B2" w:rsidP="008A2182">
                            <w:pPr>
                              <w:ind w:left="142"/>
                              <w:jc w:val="center"/>
                              <w:rPr>
                                <w:rFonts w:asciiTheme="minorHAnsi" w:hAnsiTheme="minorHAnsi" w:cstheme="minorHAnsi"/>
                                <w:b/>
                                <w:bCs/>
                                <w:sz w:val="17"/>
                                <w:szCs w:val="17"/>
                                <w:lang w:val="uk-UA"/>
                              </w:rPr>
                            </w:pPr>
                            <w:r>
                              <w:rPr>
                                <w:rFonts w:asciiTheme="minorHAnsi" w:hAnsiTheme="minorHAnsi" w:cstheme="minorHAnsi"/>
                                <w:b/>
                                <w:bCs/>
                                <w:sz w:val="17"/>
                                <w:szCs w:val="17"/>
                                <w:lang w:val="uk-UA"/>
                              </w:rPr>
                              <w:t>ВР</w:t>
                            </w:r>
                          </w:p>
                        </w:tc>
                        <w:tc>
                          <w:tcPr>
                            <w:tcW w:w="997" w:type="dxa"/>
                          </w:tcPr>
                          <w:p w14:paraId="034C4229" w14:textId="3A6602B7" w:rsidR="007372B2" w:rsidRPr="008A2182" w:rsidRDefault="007372B2" w:rsidP="007E0CA5">
                            <w:pPr>
                              <w:jc w:val="right"/>
                              <w:rPr>
                                <w:rFonts w:asciiTheme="minorHAnsi" w:hAnsiTheme="minorHAnsi" w:cstheme="minorHAnsi"/>
                                <w:b/>
                                <w:bCs/>
                                <w:sz w:val="17"/>
                                <w:szCs w:val="17"/>
                                <w:lang w:val="uk-UA"/>
                              </w:rPr>
                            </w:pPr>
                            <w:r>
                              <w:rPr>
                                <w:rFonts w:asciiTheme="minorHAnsi" w:hAnsiTheme="minorHAnsi" w:cstheme="minorHAnsi"/>
                                <w:b/>
                                <w:bCs/>
                                <w:sz w:val="17"/>
                                <w:szCs w:val="17"/>
                                <w:lang w:val="uk-UA"/>
                              </w:rPr>
                              <w:t>95% ДІ</w:t>
                            </w:r>
                          </w:p>
                        </w:tc>
                        <w:tc>
                          <w:tcPr>
                            <w:tcW w:w="1192" w:type="dxa"/>
                          </w:tcPr>
                          <w:p w14:paraId="1F92C2B6" w14:textId="77777777" w:rsidR="007372B2" w:rsidRPr="008A2182" w:rsidRDefault="007372B2" w:rsidP="007E0CA5">
                            <w:pPr>
                              <w:ind w:left="142"/>
                              <w:rPr>
                                <w:rFonts w:asciiTheme="minorHAnsi" w:hAnsiTheme="minorHAnsi" w:cstheme="minorHAnsi"/>
                                <w:b/>
                                <w:bCs/>
                                <w:sz w:val="18"/>
                                <w:szCs w:val="18"/>
                                <w:lang w:val="uk-UA"/>
                              </w:rPr>
                            </w:pPr>
                            <w:r>
                              <w:rPr>
                                <w:rFonts w:asciiTheme="minorHAnsi" w:hAnsiTheme="minorHAnsi" w:cstheme="minorHAnsi"/>
                                <w:b/>
                                <w:bCs/>
                                <w:sz w:val="18"/>
                                <w:szCs w:val="18"/>
                                <w:lang w:val="uk-UA"/>
                              </w:rPr>
                              <w:t>Ваги</w:t>
                            </w:r>
                          </w:p>
                        </w:tc>
                      </w:tr>
                    </w:tbl>
                    <w:p w14:paraId="4DD08051" w14:textId="77777777" w:rsidR="007372B2" w:rsidRDefault="007372B2" w:rsidP="008A2182">
                      <w:pPr>
                        <w:ind w:left="142"/>
                      </w:pPr>
                    </w:p>
                  </w:txbxContent>
                </v:textbox>
                <w10:wrap anchorx="margin"/>
              </v:shape>
            </w:pict>
          </mc:Fallback>
        </mc:AlternateContent>
      </w:r>
    </w:p>
    <w:p w14:paraId="12649B49" w14:textId="53C3195A" w:rsidR="00E05B98" w:rsidRPr="003C6DAE" w:rsidRDefault="00E05B98">
      <w:pPr>
        <w:pStyle w:val="a3"/>
        <w:spacing w:before="61"/>
        <w:rPr>
          <w:rFonts w:ascii="Arial"/>
          <w:b/>
          <w:sz w:val="24"/>
          <w:lang w:val="uk-UA"/>
        </w:rPr>
      </w:pPr>
    </w:p>
    <w:p w14:paraId="75CAE99E" w14:textId="5124B18C" w:rsidR="000C0DD2" w:rsidRDefault="000C0DD2">
      <w:pPr>
        <w:pStyle w:val="a3"/>
        <w:spacing w:line="295" w:lineRule="auto"/>
        <w:ind w:left="567" w:right="140"/>
        <w:jc w:val="both"/>
        <w:rPr>
          <w:lang w:val="uk-UA"/>
        </w:rPr>
      </w:pPr>
      <w:r>
        <w:rPr>
          <w:noProof/>
          <w:lang w:val="uk-UA"/>
        </w:rPr>
        <mc:AlternateContent>
          <mc:Choice Requires="wps">
            <w:drawing>
              <wp:anchor distT="0" distB="0" distL="114300" distR="114300" simplePos="0" relativeHeight="488185344" behindDoc="0" locked="0" layoutInCell="1" allowOverlap="1" wp14:anchorId="07BC187C" wp14:editId="4E0577B4">
                <wp:simplePos x="0" y="0"/>
                <wp:positionH relativeFrom="margin">
                  <wp:posOffset>221184</wp:posOffset>
                </wp:positionH>
                <wp:positionV relativeFrom="paragraph">
                  <wp:posOffset>52870</wp:posOffset>
                </wp:positionV>
                <wp:extent cx="6253729" cy="2039816"/>
                <wp:effectExtent l="0" t="0" r="0" b="0"/>
                <wp:wrapNone/>
                <wp:docPr id="110691768" name="Поле 1931"/>
                <wp:cNvGraphicFramePr/>
                <a:graphic xmlns:a="http://schemas.openxmlformats.org/drawingml/2006/main">
                  <a:graphicData uri="http://schemas.microsoft.com/office/word/2010/wordprocessingShape">
                    <wps:wsp>
                      <wps:cNvSpPr txBox="1"/>
                      <wps:spPr>
                        <a:xfrm>
                          <a:off x="0" y="0"/>
                          <a:ext cx="6253729" cy="2039816"/>
                        </a:xfrm>
                        <a:prstGeom prst="rect">
                          <a:avLst/>
                        </a:prstGeom>
                        <a:solidFill>
                          <a:schemeClr val="lt1"/>
                        </a:solidFill>
                        <a:ln w="6350">
                          <a:noFill/>
                        </a:ln>
                      </wps:spPr>
                      <wps:txbx>
                        <w:txbxContent>
                          <w:p w14:paraId="0C0C3329" w14:textId="6986FBA6" w:rsidR="007372B2" w:rsidRDefault="007372B2">
                            <w:r>
                              <w:rPr>
                                <w:noProof/>
                              </w:rPr>
                              <w:drawing>
                                <wp:inline distT="0" distB="0" distL="0" distR="0" wp14:anchorId="7A70F774" wp14:editId="1F87223C">
                                  <wp:extent cx="6022975" cy="2071787"/>
                                  <wp:effectExtent l="0" t="0" r="0" b="5080"/>
                                  <wp:docPr id="401077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77168" name=""/>
                                          <pic:cNvPicPr/>
                                        </pic:nvPicPr>
                                        <pic:blipFill>
                                          <a:blip r:embed="rId213"/>
                                          <a:stretch>
                                            <a:fillRect/>
                                          </a:stretch>
                                        </pic:blipFill>
                                        <pic:spPr>
                                          <a:xfrm>
                                            <a:off x="0" y="0"/>
                                            <a:ext cx="6082743" cy="20923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C187C" id="_x0000_s1203" type="#_x0000_t202" style="position:absolute;left:0;text-align:left;margin-left:17.4pt;margin-top:4.15pt;width:492.4pt;height:160.6pt;z-index:48818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" fillcolor="white [3201]" stroked="f" strokeweight=".5pt">
                <v:textbox>
                  <w:txbxContent>
                    <w:p w14:paraId="0C0C3329" w14:textId="6986FBA6" w:rsidR="007372B2" w:rsidRDefault="007372B2">
                      <w:r>
                        <w:rPr>
                          <w:noProof/>
                        </w:rPr>
                        <w:drawing>
                          <wp:inline distT="0" distB="0" distL="0" distR="0" wp14:anchorId="7A70F774" wp14:editId="1F87223C">
                            <wp:extent cx="6022975" cy="2071787"/>
                            <wp:effectExtent l="0" t="0" r="0" b="5080"/>
                            <wp:docPr id="401077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77168" name=""/>
                                    <pic:cNvPicPr/>
                                  </pic:nvPicPr>
                                  <pic:blipFill>
                                    <a:blip r:embed="rId213"/>
                                    <a:stretch>
                                      <a:fillRect/>
                                    </a:stretch>
                                  </pic:blipFill>
                                  <pic:spPr>
                                    <a:xfrm>
                                      <a:off x="0" y="0"/>
                                      <a:ext cx="6082743" cy="2092346"/>
                                    </a:xfrm>
                                    <a:prstGeom prst="rect">
                                      <a:avLst/>
                                    </a:prstGeom>
                                  </pic:spPr>
                                </pic:pic>
                              </a:graphicData>
                            </a:graphic>
                          </wp:inline>
                        </w:drawing>
                      </w:r>
                    </w:p>
                  </w:txbxContent>
                </v:textbox>
                <w10:wrap anchorx="margin"/>
              </v:shape>
            </w:pict>
          </mc:Fallback>
        </mc:AlternateContent>
      </w:r>
    </w:p>
    <w:p w14:paraId="0AEDAA86" w14:textId="77777777" w:rsidR="000C0DD2" w:rsidRDefault="000C0DD2">
      <w:pPr>
        <w:pStyle w:val="a3"/>
        <w:spacing w:line="295" w:lineRule="auto"/>
        <w:ind w:left="567" w:right="140"/>
        <w:jc w:val="both"/>
        <w:rPr>
          <w:lang w:val="uk-UA"/>
        </w:rPr>
      </w:pPr>
    </w:p>
    <w:p w14:paraId="4835D134" w14:textId="77777777" w:rsidR="000C0DD2" w:rsidRDefault="000C0DD2">
      <w:pPr>
        <w:pStyle w:val="a3"/>
        <w:spacing w:line="295" w:lineRule="auto"/>
        <w:ind w:left="567" w:right="140"/>
        <w:jc w:val="both"/>
        <w:rPr>
          <w:lang w:val="uk-UA"/>
        </w:rPr>
      </w:pPr>
    </w:p>
    <w:p w14:paraId="5C441EFD" w14:textId="77777777" w:rsidR="000C0DD2" w:rsidRDefault="000C0DD2">
      <w:pPr>
        <w:pStyle w:val="a3"/>
        <w:spacing w:line="295" w:lineRule="auto"/>
        <w:ind w:left="567" w:right="140"/>
        <w:jc w:val="both"/>
        <w:rPr>
          <w:lang w:val="uk-UA"/>
        </w:rPr>
      </w:pPr>
    </w:p>
    <w:p w14:paraId="229E42E4" w14:textId="77777777" w:rsidR="000C0DD2" w:rsidRDefault="000C0DD2">
      <w:pPr>
        <w:pStyle w:val="a3"/>
        <w:spacing w:line="295" w:lineRule="auto"/>
        <w:ind w:left="567" w:right="140"/>
        <w:jc w:val="both"/>
        <w:rPr>
          <w:lang w:val="uk-UA"/>
        </w:rPr>
      </w:pPr>
    </w:p>
    <w:p w14:paraId="351FE236" w14:textId="77777777" w:rsidR="000C0DD2" w:rsidRDefault="000C0DD2">
      <w:pPr>
        <w:pStyle w:val="a3"/>
        <w:spacing w:line="295" w:lineRule="auto"/>
        <w:ind w:left="567" w:right="140"/>
        <w:jc w:val="both"/>
        <w:rPr>
          <w:lang w:val="uk-UA"/>
        </w:rPr>
      </w:pPr>
    </w:p>
    <w:p w14:paraId="6CAA0A6E" w14:textId="77777777" w:rsidR="000C0DD2" w:rsidRDefault="000C0DD2">
      <w:pPr>
        <w:pStyle w:val="a3"/>
        <w:spacing w:line="295" w:lineRule="auto"/>
        <w:ind w:left="567" w:right="140"/>
        <w:jc w:val="both"/>
        <w:rPr>
          <w:lang w:val="uk-UA"/>
        </w:rPr>
      </w:pPr>
    </w:p>
    <w:p w14:paraId="24999414" w14:textId="77777777" w:rsidR="000C0DD2" w:rsidRDefault="000C0DD2">
      <w:pPr>
        <w:pStyle w:val="a3"/>
        <w:spacing w:line="295" w:lineRule="auto"/>
        <w:ind w:left="567" w:right="140"/>
        <w:jc w:val="both"/>
        <w:rPr>
          <w:lang w:val="uk-UA"/>
        </w:rPr>
      </w:pPr>
    </w:p>
    <w:p w14:paraId="5CAFC74E" w14:textId="77777777" w:rsidR="000C0DD2" w:rsidRDefault="000C0DD2">
      <w:pPr>
        <w:pStyle w:val="a3"/>
        <w:spacing w:line="295" w:lineRule="auto"/>
        <w:ind w:left="567" w:right="140"/>
        <w:jc w:val="both"/>
        <w:rPr>
          <w:lang w:val="uk-UA"/>
        </w:rPr>
      </w:pPr>
    </w:p>
    <w:p w14:paraId="60247F67" w14:textId="77777777" w:rsidR="000C0DD2" w:rsidRDefault="000C0DD2">
      <w:pPr>
        <w:pStyle w:val="a3"/>
        <w:spacing w:line="295" w:lineRule="auto"/>
        <w:ind w:left="567" w:right="140"/>
        <w:jc w:val="both"/>
        <w:rPr>
          <w:lang w:val="uk-UA"/>
        </w:rPr>
      </w:pPr>
    </w:p>
    <w:p w14:paraId="5813A0D6" w14:textId="77777777" w:rsidR="000C0DD2" w:rsidRDefault="000C0DD2">
      <w:pPr>
        <w:pStyle w:val="a3"/>
        <w:spacing w:line="295" w:lineRule="auto"/>
        <w:ind w:left="567" w:right="140"/>
        <w:jc w:val="both"/>
        <w:rPr>
          <w:lang w:val="uk-UA"/>
        </w:rPr>
      </w:pPr>
    </w:p>
    <w:tbl>
      <w:tblPr>
        <w:tblStyle w:val="ac"/>
        <w:tblW w:w="0" w:type="auto"/>
        <w:tblInd w:w="567" w:type="dxa"/>
        <w:tblLook w:val="04A0" w:firstRow="1" w:lastRow="0" w:firstColumn="1" w:lastColumn="0" w:noHBand="0" w:noVBand="1"/>
      </w:tblPr>
      <w:tblGrid>
        <w:gridCol w:w="9488"/>
      </w:tblGrid>
      <w:tr w:rsidR="008A2182" w:rsidRPr="00D029FF" w14:paraId="71F81836" w14:textId="77777777" w:rsidTr="007E0CA5">
        <w:tc>
          <w:tcPr>
            <w:tcW w:w="9488" w:type="dxa"/>
            <w:tcBorders>
              <w:top w:val="single" w:sz="4" w:space="0" w:color="auto"/>
              <w:left w:val="nil"/>
              <w:bottom w:val="nil"/>
              <w:right w:val="nil"/>
            </w:tcBorders>
          </w:tcPr>
          <w:p w14:paraId="013539D4" w14:textId="2BDA15FD" w:rsidR="008A2182" w:rsidRDefault="007E0CA5">
            <w:pPr>
              <w:pStyle w:val="a3"/>
              <w:spacing w:line="295" w:lineRule="auto"/>
              <w:ind w:right="140"/>
              <w:jc w:val="both"/>
              <w:rPr>
                <w:lang w:val="uk-UA"/>
              </w:rPr>
            </w:pPr>
            <w:r w:rsidRPr="00CE302F">
              <w:rPr>
                <w:b/>
                <w:bCs/>
                <w:sz w:val="16"/>
                <w:szCs w:val="16"/>
                <w:u w:val="single"/>
                <w:lang w:val="uk-UA"/>
              </w:rPr>
              <w:t>Примітки перекладача</w:t>
            </w:r>
            <w:r>
              <w:rPr>
                <w:sz w:val="16"/>
                <w:szCs w:val="16"/>
                <w:lang w:val="uk-UA"/>
              </w:rPr>
              <w:t xml:space="preserve">. </w:t>
            </w:r>
            <w:r w:rsidR="004E73CE">
              <w:rPr>
                <w:sz w:val="16"/>
                <w:szCs w:val="16"/>
                <w:lang w:val="uk-UA"/>
              </w:rPr>
              <w:t xml:space="preserve">ШПТБ: шкірні проби на антиген мікобактерій ТБ; </w:t>
            </w:r>
            <w:r w:rsidR="004E73CE" w:rsidRPr="0068607C">
              <w:rPr>
                <w:sz w:val="16"/>
                <w:szCs w:val="16"/>
                <w:lang w:val="uk-UA"/>
              </w:rPr>
              <w:t>ТШП:</w:t>
            </w:r>
            <w:r w:rsidR="004E73CE">
              <w:rPr>
                <w:sz w:val="16"/>
                <w:szCs w:val="16"/>
                <w:lang w:val="uk-UA"/>
              </w:rPr>
              <w:t xml:space="preserve"> туберкулінова шкірна проба; </w:t>
            </w:r>
            <w:r>
              <w:rPr>
                <w:sz w:val="16"/>
                <w:szCs w:val="16"/>
                <w:lang w:val="uk-UA"/>
              </w:rPr>
              <w:t>ДІ: довірчий інтервал;</w:t>
            </w:r>
            <w:r w:rsidR="004E73CE">
              <w:rPr>
                <w:sz w:val="16"/>
                <w:szCs w:val="16"/>
                <w:lang w:val="uk-UA"/>
              </w:rPr>
              <w:t xml:space="preserve"> </w:t>
            </w:r>
            <w:r w:rsidR="004E73CE">
              <w:rPr>
                <w:sz w:val="16"/>
                <w:szCs w:val="16"/>
              </w:rPr>
              <w:t>R</w:t>
            </w:r>
            <w:r w:rsidR="004E73CE" w:rsidRPr="00226806">
              <w:rPr>
                <w:sz w:val="16"/>
                <w:szCs w:val="16"/>
              </w:rPr>
              <w:t>andom</w:t>
            </w:r>
            <w:r w:rsidR="004E73CE" w:rsidRPr="00226806">
              <w:rPr>
                <w:sz w:val="16"/>
                <w:szCs w:val="16"/>
                <w:lang w:val="uk-UA"/>
              </w:rPr>
              <w:t xml:space="preserve"> </w:t>
            </w:r>
            <w:r w:rsidR="004E73CE" w:rsidRPr="00226806">
              <w:rPr>
                <w:sz w:val="16"/>
                <w:szCs w:val="16"/>
              </w:rPr>
              <w:t>affects</w:t>
            </w:r>
            <w:r w:rsidR="004E73CE" w:rsidRPr="00226806">
              <w:rPr>
                <w:sz w:val="16"/>
                <w:szCs w:val="16"/>
                <w:lang w:val="uk-UA"/>
              </w:rPr>
              <w:t xml:space="preserve"> </w:t>
            </w:r>
            <w:r w:rsidR="004E73CE" w:rsidRPr="00226806">
              <w:rPr>
                <w:sz w:val="16"/>
                <w:szCs w:val="16"/>
              </w:rPr>
              <w:t>model</w:t>
            </w:r>
            <w:r w:rsidR="004E73CE" w:rsidRPr="00226806">
              <w:rPr>
                <w:sz w:val="16"/>
                <w:szCs w:val="16"/>
                <w:lang w:val="uk-UA"/>
              </w:rPr>
              <w:t xml:space="preserve">: </w:t>
            </w:r>
            <w:r w:rsidR="004E73CE">
              <w:rPr>
                <w:sz w:val="16"/>
                <w:szCs w:val="16"/>
                <w:lang w:val="uk-UA"/>
              </w:rPr>
              <w:t>модель випадкових ефектів</w:t>
            </w:r>
            <w:r w:rsidR="004E73CE" w:rsidRPr="00226806">
              <w:rPr>
                <w:sz w:val="16"/>
                <w:szCs w:val="16"/>
                <w:lang w:val="uk-UA"/>
              </w:rPr>
              <w:t>;</w:t>
            </w:r>
            <w:r w:rsidR="004E73CE">
              <w:rPr>
                <w:sz w:val="16"/>
                <w:szCs w:val="16"/>
                <w:lang w:val="uk-UA"/>
              </w:rPr>
              <w:t xml:space="preserve"> </w:t>
            </w:r>
            <w:r w:rsidR="004E73CE" w:rsidRPr="00226806">
              <w:rPr>
                <w:sz w:val="16"/>
                <w:szCs w:val="16"/>
              </w:rPr>
              <w:t>Heterogeneity</w:t>
            </w:r>
            <w:r w:rsidR="004E73CE" w:rsidRPr="00226806">
              <w:rPr>
                <w:sz w:val="16"/>
                <w:szCs w:val="16"/>
                <w:lang w:val="uk-UA"/>
              </w:rPr>
              <w:t xml:space="preserve">: </w:t>
            </w:r>
            <w:r w:rsidR="004E73CE">
              <w:rPr>
                <w:sz w:val="16"/>
                <w:szCs w:val="16"/>
                <w:lang w:val="uk-UA"/>
              </w:rPr>
              <w:t xml:space="preserve">неоднорідність; </w:t>
            </w:r>
            <w:r>
              <w:rPr>
                <w:sz w:val="16"/>
                <w:szCs w:val="16"/>
              </w:rPr>
              <w:t>D</w:t>
            </w:r>
            <w:r w:rsidRPr="00226806">
              <w:rPr>
                <w:sz w:val="16"/>
                <w:szCs w:val="16"/>
              </w:rPr>
              <w:t>ST</w:t>
            </w:r>
            <w:r>
              <w:rPr>
                <w:sz w:val="16"/>
                <w:szCs w:val="16"/>
                <w:lang w:val="uk-UA"/>
              </w:rPr>
              <w:t>:</w:t>
            </w:r>
            <w:r w:rsidRPr="006317A3">
              <w:rPr>
                <w:sz w:val="16"/>
                <w:szCs w:val="16"/>
                <w:lang w:val="uk-UA"/>
              </w:rPr>
              <w:t xml:space="preserve"> </w:t>
            </w:r>
            <w:r>
              <w:rPr>
                <w:sz w:val="16"/>
                <w:szCs w:val="16"/>
                <w:lang w:val="uk-UA"/>
              </w:rPr>
              <w:t xml:space="preserve">тест на медикаментозну чутливість </w:t>
            </w:r>
            <w:r w:rsidRPr="006317A3">
              <w:rPr>
                <w:sz w:val="16"/>
                <w:szCs w:val="16"/>
                <w:lang w:val="uk-UA"/>
              </w:rPr>
              <w:t>(</w:t>
            </w:r>
            <w:r>
              <w:rPr>
                <w:sz w:val="16"/>
                <w:szCs w:val="16"/>
                <w:lang w:val="uk-UA"/>
              </w:rPr>
              <w:t xml:space="preserve">ТМЧ); </w:t>
            </w:r>
            <w:r>
              <w:rPr>
                <w:sz w:val="16"/>
                <w:szCs w:val="16"/>
              </w:rPr>
              <w:t>Test</w:t>
            </w:r>
            <w:r w:rsidRPr="003D28E5">
              <w:rPr>
                <w:sz w:val="16"/>
                <w:szCs w:val="16"/>
                <w:lang w:val="uk-UA"/>
              </w:rPr>
              <w:t xml:space="preserve"> </w:t>
            </w:r>
            <w:r>
              <w:rPr>
                <w:sz w:val="16"/>
                <w:szCs w:val="16"/>
              </w:rPr>
              <w:t>for</w:t>
            </w:r>
            <w:r w:rsidRPr="003D28E5">
              <w:rPr>
                <w:sz w:val="16"/>
                <w:szCs w:val="16"/>
                <w:lang w:val="uk-UA"/>
              </w:rPr>
              <w:t xml:space="preserve"> </w:t>
            </w:r>
            <w:r>
              <w:rPr>
                <w:sz w:val="16"/>
                <w:szCs w:val="16"/>
              </w:rPr>
              <w:t>subgroup</w:t>
            </w:r>
            <w:r w:rsidRPr="003D28E5">
              <w:rPr>
                <w:sz w:val="16"/>
                <w:szCs w:val="16"/>
                <w:lang w:val="uk-UA"/>
              </w:rPr>
              <w:t xml:space="preserve"> </w:t>
            </w:r>
            <w:r>
              <w:rPr>
                <w:sz w:val="16"/>
                <w:szCs w:val="16"/>
              </w:rPr>
              <w:t>differencies</w:t>
            </w:r>
            <w:r w:rsidRPr="003D28E5">
              <w:rPr>
                <w:sz w:val="16"/>
                <w:szCs w:val="16"/>
                <w:lang w:val="uk-UA"/>
              </w:rPr>
              <w:t>:</w:t>
            </w:r>
            <w:r>
              <w:rPr>
                <w:sz w:val="16"/>
                <w:szCs w:val="16"/>
                <w:lang w:val="uk-UA"/>
              </w:rPr>
              <w:t xml:space="preserve"> </w:t>
            </w:r>
            <w:r w:rsidRPr="00226806">
              <w:rPr>
                <w:sz w:val="16"/>
                <w:szCs w:val="16"/>
                <w:lang w:val="uk-UA"/>
              </w:rPr>
              <w:t>Дослідження на відмінності у підгрупах</w:t>
            </w:r>
          </w:p>
        </w:tc>
      </w:tr>
    </w:tbl>
    <w:p w14:paraId="31EDFFEB" w14:textId="7F509DC3" w:rsidR="007E0CA5" w:rsidRDefault="004E73CE">
      <w:pPr>
        <w:pStyle w:val="a3"/>
        <w:spacing w:line="295" w:lineRule="auto"/>
        <w:ind w:left="567" w:right="140"/>
        <w:jc w:val="both"/>
        <w:rPr>
          <w:lang w:val="uk-UA"/>
        </w:rPr>
      </w:pPr>
      <w:r>
        <w:rPr>
          <w:lang w:val="uk-UA"/>
        </w:rPr>
        <w:t xml:space="preserve"> </w:t>
      </w:r>
    </w:p>
    <w:p w14:paraId="38A5FA57" w14:textId="2E328AD9" w:rsidR="00E05B98" w:rsidRPr="004E73CE" w:rsidRDefault="005A6569" w:rsidP="004E73CE">
      <w:pPr>
        <w:pStyle w:val="a3"/>
        <w:spacing w:line="276" w:lineRule="auto"/>
        <w:ind w:left="567" w:right="6"/>
        <w:jc w:val="both"/>
        <w:rPr>
          <w:sz w:val="20"/>
          <w:szCs w:val="20"/>
          <w:lang w:val="uk-UA"/>
        </w:rPr>
      </w:pPr>
      <w:r w:rsidRPr="00021FFC">
        <w:rPr>
          <w:sz w:val="20"/>
          <w:szCs w:val="20"/>
          <w:lang w:val="uk-UA"/>
        </w:rPr>
        <w:t>Частка ЛЖВ: Дослідження Аггерб</w:t>
      </w:r>
      <w:r w:rsidR="00021FFC" w:rsidRPr="00021FFC">
        <w:rPr>
          <w:sz w:val="20"/>
          <w:szCs w:val="20"/>
          <w:lang w:val="uk-UA"/>
        </w:rPr>
        <w:t>е</w:t>
      </w:r>
      <w:r w:rsidRPr="00021FFC">
        <w:rPr>
          <w:sz w:val="20"/>
          <w:szCs w:val="20"/>
          <w:lang w:val="uk-UA"/>
        </w:rPr>
        <w:t>ка в 2018 р. (</w:t>
      </w:r>
      <w:r w:rsidRPr="00021FFC">
        <w:rPr>
          <w:i/>
          <w:iCs/>
          <w:sz w:val="20"/>
          <w:szCs w:val="20"/>
          <w:lang w:val="uk-UA"/>
        </w:rPr>
        <w:t>7</w:t>
      </w:r>
      <w:r w:rsidR="00021FFC">
        <w:rPr>
          <w:i/>
          <w:iCs/>
          <w:sz w:val="20"/>
          <w:szCs w:val="20"/>
          <w:lang w:val="uk-UA"/>
        </w:rPr>
        <w:t xml:space="preserve"> </w:t>
      </w:r>
      <w:r w:rsidRPr="00021FFC">
        <w:rPr>
          <w:sz w:val="20"/>
          <w:szCs w:val="20"/>
          <w:lang w:val="uk-UA"/>
        </w:rPr>
        <w:t>) (25%), Аггербека в</w:t>
      </w:r>
      <w:r w:rsidRPr="005A6569">
        <w:rPr>
          <w:sz w:val="20"/>
          <w:szCs w:val="20"/>
          <w:lang w:val="uk-UA"/>
        </w:rPr>
        <w:t xml:space="preserve"> 2019  р.(</w:t>
      </w:r>
      <w:r w:rsidRPr="006206FB">
        <w:rPr>
          <w:i/>
          <w:iCs/>
          <w:sz w:val="20"/>
          <w:szCs w:val="20"/>
          <w:lang w:val="uk-UA"/>
        </w:rPr>
        <w:t>8</w:t>
      </w:r>
      <w:r w:rsidRPr="005A6569">
        <w:rPr>
          <w:sz w:val="20"/>
          <w:szCs w:val="20"/>
          <w:lang w:val="uk-UA"/>
        </w:rPr>
        <w:t xml:space="preserve">) (20%); </w:t>
      </w:r>
      <w:proofErr w:type="spellStart"/>
      <w:r w:rsidRPr="005A6569">
        <w:rPr>
          <w:sz w:val="20"/>
          <w:szCs w:val="20"/>
          <w:lang w:val="uk-UA"/>
        </w:rPr>
        <w:t>Хоффа</w:t>
      </w:r>
      <w:proofErr w:type="spellEnd"/>
      <w:r w:rsidRPr="005A6569">
        <w:rPr>
          <w:sz w:val="20"/>
          <w:szCs w:val="20"/>
          <w:lang w:val="uk-UA"/>
        </w:rPr>
        <w:t xml:space="preserve"> в 2016 р. (</w:t>
      </w:r>
      <w:r w:rsidRPr="006206FB">
        <w:rPr>
          <w:i/>
          <w:iCs/>
          <w:sz w:val="20"/>
          <w:szCs w:val="20"/>
          <w:lang w:val="uk-UA"/>
        </w:rPr>
        <w:t>10</w:t>
      </w:r>
      <w:r w:rsidRPr="005A6569">
        <w:rPr>
          <w:sz w:val="20"/>
          <w:szCs w:val="20"/>
          <w:lang w:val="uk-UA"/>
        </w:rPr>
        <w:t>) (39,5%). Інші дослідження включали ВІЛ-негативних осіб. Дослідження Аггербака в 2018 р. (</w:t>
      </w:r>
      <w:r w:rsidRPr="006206FB">
        <w:rPr>
          <w:i/>
          <w:iCs/>
          <w:sz w:val="20"/>
          <w:szCs w:val="20"/>
          <w:lang w:val="uk-UA"/>
        </w:rPr>
        <w:t>7</w:t>
      </w:r>
      <w:r w:rsidRPr="005A6569">
        <w:rPr>
          <w:sz w:val="20"/>
          <w:szCs w:val="20"/>
          <w:lang w:val="uk-UA"/>
        </w:rPr>
        <w:t xml:space="preserve">) включали дітей віком до 5 років (20%) та віком 5-17 років (31%); дослідження </w:t>
      </w:r>
      <w:proofErr w:type="spellStart"/>
      <w:r w:rsidRPr="005A6569">
        <w:rPr>
          <w:sz w:val="20"/>
          <w:szCs w:val="20"/>
          <w:lang w:val="uk-UA"/>
        </w:rPr>
        <w:t>Рувальда</w:t>
      </w:r>
      <w:proofErr w:type="spellEnd"/>
      <w:r w:rsidRPr="005A6569">
        <w:rPr>
          <w:sz w:val="20"/>
          <w:szCs w:val="20"/>
          <w:lang w:val="uk-UA"/>
        </w:rPr>
        <w:t xml:space="preserve"> в 2017 р. (</w:t>
      </w:r>
      <w:r w:rsidRPr="006206FB">
        <w:rPr>
          <w:i/>
          <w:iCs/>
          <w:sz w:val="20"/>
          <w:szCs w:val="20"/>
          <w:lang w:val="uk-UA"/>
        </w:rPr>
        <w:t>9</w:t>
      </w:r>
      <w:r w:rsidRPr="005A6569">
        <w:rPr>
          <w:sz w:val="20"/>
          <w:szCs w:val="20"/>
          <w:lang w:val="uk-UA"/>
        </w:rPr>
        <w:t xml:space="preserve">) включали дітей віком до 5 років (3,5%) та віком 5-17 років (8,8%). Інші дослідження включали дорослих. Дослідження </w:t>
      </w:r>
      <w:proofErr w:type="spellStart"/>
      <w:r w:rsidRPr="005A6569">
        <w:rPr>
          <w:sz w:val="20"/>
          <w:szCs w:val="20"/>
          <w:lang w:val="uk-UA"/>
        </w:rPr>
        <w:t>Хоффа</w:t>
      </w:r>
      <w:proofErr w:type="spellEnd"/>
      <w:r w:rsidRPr="005A6569">
        <w:rPr>
          <w:sz w:val="20"/>
          <w:szCs w:val="20"/>
          <w:lang w:val="uk-UA"/>
        </w:rPr>
        <w:t xml:space="preserve"> в 2016 р. (</w:t>
      </w:r>
      <w:r w:rsidRPr="006206FB">
        <w:rPr>
          <w:i/>
          <w:iCs/>
          <w:sz w:val="20"/>
          <w:szCs w:val="20"/>
          <w:lang w:val="uk-UA"/>
        </w:rPr>
        <w:t>10</w:t>
      </w:r>
      <w:r w:rsidRPr="005A6569">
        <w:rPr>
          <w:sz w:val="20"/>
          <w:szCs w:val="20"/>
          <w:lang w:val="uk-UA"/>
        </w:rPr>
        <w:t>), Аггербека в 2019 р. (</w:t>
      </w:r>
      <w:r w:rsidRPr="006206FB">
        <w:rPr>
          <w:i/>
          <w:iCs/>
          <w:sz w:val="20"/>
          <w:szCs w:val="20"/>
          <w:lang w:val="uk-UA"/>
        </w:rPr>
        <w:t>8</w:t>
      </w:r>
      <w:r w:rsidRPr="005A6569">
        <w:rPr>
          <w:sz w:val="20"/>
          <w:szCs w:val="20"/>
          <w:lang w:val="uk-UA"/>
        </w:rPr>
        <w:t xml:space="preserve">) та </w:t>
      </w:r>
      <w:proofErr w:type="spellStart"/>
      <w:r w:rsidRPr="005A6569">
        <w:rPr>
          <w:sz w:val="20"/>
          <w:szCs w:val="20"/>
          <w:lang w:val="uk-UA"/>
        </w:rPr>
        <w:t>Стрельцова</w:t>
      </w:r>
      <w:proofErr w:type="spellEnd"/>
      <w:r w:rsidRPr="005A6569">
        <w:rPr>
          <w:sz w:val="20"/>
          <w:szCs w:val="20"/>
          <w:lang w:val="uk-UA"/>
        </w:rPr>
        <w:t xml:space="preserve"> в 2011 р. (</w:t>
      </w:r>
      <w:r w:rsidRPr="006206FB">
        <w:rPr>
          <w:i/>
          <w:iCs/>
          <w:sz w:val="20"/>
          <w:szCs w:val="20"/>
          <w:lang w:val="uk-UA"/>
        </w:rPr>
        <w:t>11</w:t>
      </w:r>
      <w:r w:rsidRPr="005A6569">
        <w:rPr>
          <w:sz w:val="20"/>
          <w:szCs w:val="20"/>
          <w:lang w:val="uk-UA"/>
        </w:rPr>
        <w:t>) включали лише людей з ТБ.</w:t>
      </w:r>
    </w:p>
    <w:p w14:paraId="5281A5A2" w14:textId="5356F80B" w:rsidR="00E05B98" w:rsidRPr="004E73CE" w:rsidRDefault="005A6569" w:rsidP="004E73CE">
      <w:pPr>
        <w:pStyle w:val="a3"/>
        <w:spacing w:before="172" w:line="276" w:lineRule="auto"/>
        <w:ind w:left="567" w:right="6"/>
        <w:jc w:val="both"/>
        <w:rPr>
          <w:sz w:val="20"/>
          <w:szCs w:val="20"/>
          <w:lang w:val="uk-UA"/>
        </w:rPr>
      </w:pPr>
      <w:r w:rsidRPr="005A6569">
        <w:rPr>
          <w:sz w:val="20"/>
          <w:szCs w:val="20"/>
          <w:lang w:val="uk-UA"/>
        </w:rPr>
        <w:t>Об'єднаний ризик будь-якої реакції в місці введення ін'єкції внаслідок використання тесту Cy-Tb (кількість учасників = 2878 осіб, 5 досліджень) та Діаскінтесту (кількість учасників = 53 особи, 1 дослідження), представлен</w:t>
      </w:r>
      <w:r w:rsidR="006206FB">
        <w:rPr>
          <w:sz w:val="20"/>
          <w:szCs w:val="20"/>
          <w:lang w:val="uk-UA"/>
        </w:rPr>
        <w:t>ий</w:t>
      </w:r>
      <w:r w:rsidRPr="005A6569">
        <w:rPr>
          <w:sz w:val="20"/>
          <w:szCs w:val="20"/>
          <w:lang w:val="uk-UA"/>
        </w:rPr>
        <w:t xml:space="preserve"> </w:t>
      </w:r>
      <w:r w:rsidRPr="006206FB">
        <w:rPr>
          <w:b/>
          <w:bCs/>
          <w:sz w:val="20"/>
          <w:szCs w:val="20"/>
          <w:lang w:val="uk-UA"/>
        </w:rPr>
        <w:t>на рис. 3.1.1.10</w:t>
      </w:r>
      <w:r w:rsidRPr="005A6569">
        <w:rPr>
          <w:sz w:val="20"/>
          <w:szCs w:val="20"/>
          <w:lang w:val="uk-UA"/>
        </w:rPr>
        <w:t>, суттєво не відрізнявся від тесту ТШП (відношення ризиків [ВР] 1,09; 95% ДІ: 0,74-1,61). Ризик будь-якої системної реакції можна було аналізувати лише в одному дослідженні (тест Cy-Tb), яке дозволило провести таке порівняння, і суттєво не відрізнялося від тесту ТШП (ВР 0,84; 95% ДІ: 0,60-1,10).</w:t>
      </w:r>
      <w:r w:rsidR="00B01E0C" w:rsidRPr="004E73CE">
        <w:rPr>
          <w:sz w:val="20"/>
          <w:szCs w:val="20"/>
          <w:lang w:val="uk-UA"/>
        </w:rPr>
        <w:t xml:space="preserve"> </w:t>
      </w:r>
      <w:r w:rsidR="00BB0DBC" w:rsidRPr="00BB0DBC">
        <w:rPr>
          <w:sz w:val="20"/>
          <w:szCs w:val="20"/>
          <w:lang w:val="uk-UA"/>
        </w:rPr>
        <w:t>Дослідження Діаскінтесту було визнано таким, що має високий ризик систематичної похибки, тоді як за результатами рандомізованих контрольованих досліджень загальна достовірність доказів для будь-якої ISR  була оцінена як висока. Для будь-яких системних реакцій загальна достовірність доказів була оцінена як помірна через невеликий розмір вибірки та широкий ДІ.</w:t>
      </w:r>
    </w:p>
    <w:p w14:paraId="52BC235F" w14:textId="33A8007C" w:rsidR="00E05B98" w:rsidRPr="004E73CE" w:rsidRDefault="00BB0DBC" w:rsidP="004E73CE">
      <w:pPr>
        <w:pStyle w:val="a3"/>
        <w:spacing w:before="175" w:line="276" w:lineRule="auto"/>
        <w:ind w:left="567" w:right="6"/>
        <w:jc w:val="both"/>
        <w:rPr>
          <w:sz w:val="20"/>
          <w:szCs w:val="20"/>
          <w:lang w:val="uk-UA"/>
        </w:rPr>
      </w:pPr>
      <w:r w:rsidRPr="00BB0DBC">
        <w:rPr>
          <w:w w:val="105"/>
          <w:sz w:val="20"/>
          <w:szCs w:val="20"/>
          <w:lang w:val="uk-UA"/>
        </w:rPr>
        <w:t xml:space="preserve">У відповідь на запит членів ГРН </w:t>
      </w:r>
      <w:r w:rsidR="006206FB">
        <w:rPr>
          <w:w w:val="105"/>
          <w:sz w:val="20"/>
          <w:szCs w:val="20"/>
          <w:lang w:val="uk-UA"/>
        </w:rPr>
        <w:t>представити</w:t>
      </w:r>
      <w:r w:rsidRPr="00BB0DBC">
        <w:rPr>
          <w:w w:val="105"/>
          <w:sz w:val="20"/>
          <w:szCs w:val="20"/>
          <w:lang w:val="uk-UA"/>
        </w:rPr>
        <w:t xml:space="preserve"> дан</w:t>
      </w:r>
      <w:r w:rsidR="006206FB">
        <w:rPr>
          <w:w w:val="105"/>
          <w:sz w:val="20"/>
          <w:szCs w:val="20"/>
          <w:lang w:val="uk-UA"/>
        </w:rPr>
        <w:t>і</w:t>
      </w:r>
      <w:r w:rsidRPr="00BB0DBC">
        <w:rPr>
          <w:w w:val="105"/>
          <w:sz w:val="20"/>
          <w:szCs w:val="20"/>
          <w:lang w:val="uk-UA"/>
        </w:rPr>
        <w:t xml:space="preserve"> стосовно післяреєстраційного нагляду за Діаскінтестом виробник надав наступні дані: у 2019-2021 рр. було проведено понад 55,7 млн діагностичних досліджень Діаскінтесту, при цьому було виявлено 27 випадків серйозних несприятливи</w:t>
      </w:r>
      <w:r w:rsidR="006206FB">
        <w:rPr>
          <w:w w:val="105"/>
          <w:sz w:val="20"/>
          <w:szCs w:val="20"/>
          <w:lang w:val="uk-UA"/>
        </w:rPr>
        <w:t>х</w:t>
      </w:r>
      <w:r w:rsidRPr="00BB0DBC">
        <w:rPr>
          <w:w w:val="105"/>
          <w:sz w:val="20"/>
          <w:szCs w:val="20"/>
          <w:lang w:val="uk-UA"/>
        </w:rPr>
        <w:t xml:space="preserve"> реакцій та 30 випадків несерйозних несприятливих реакцій. На основі сукупності даних ГРН оцінила достовірність доказів як високу.</w:t>
      </w:r>
    </w:p>
    <w:p w14:paraId="16A5E674" w14:textId="77777777" w:rsidR="00E05B98" w:rsidRPr="004E73CE" w:rsidRDefault="00E05B98" w:rsidP="004E73CE">
      <w:pPr>
        <w:pStyle w:val="a3"/>
        <w:spacing w:line="276" w:lineRule="auto"/>
        <w:ind w:right="6"/>
        <w:jc w:val="both"/>
        <w:rPr>
          <w:sz w:val="20"/>
          <w:szCs w:val="20"/>
          <w:lang w:val="uk-UA"/>
        </w:rPr>
        <w:sectPr w:rsidR="00E05B98" w:rsidRPr="004E73CE" w:rsidSect="00D21735">
          <w:pgSz w:w="11910" w:h="16840"/>
          <w:pgMar w:top="1320" w:right="995" w:bottom="760" w:left="850" w:header="0" w:footer="573" w:gutter="0"/>
          <w:cols w:space="720"/>
        </w:sectPr>
      </w:pPr>
    </w:p>
    <w:p w14:paraId="7586BC0A" w14:textId="4A03E9BD" w:rsidR="00E05B98" w:rsidRPr="004E73CE" w:rsidRDefault="00C81390" w:rsidP="004E73CE">
      <w:pPr>
        <w:pStyle w:val="a3"/>
        <w:spacing w:before="52" w:line="276" w:lineRule="auto"/>
        <w:ind w:left="567" w:right="6"/>
        <w:jc w:val="both"/>
        <w:rPr>
          <w:sz w:val="20"/>
          <w:szCs w:val="20"/>
          <w:lang w:val="uk-UA"/>
        </w:rPr>
      </w:pPr>
      <w:r w:rsidRPr="00C81390">
        <w:rPr>
          <w:sz w:val="20"/>
          <w:szCs w:val="20"/>
          <w:lang w:val="uk-UA"/>
        </w:rPr>
        <w:lastRenderedPageBreak/>
        <w:t xml:space="preserve">На основі даних, представлених на зустрічі ГРН, було зроблено висновок, що профіль безпеки нових тестів ШПТБ подібний до профілю безпеки тесту ТШП і асоціюється здебільшого з легкими реакціями в місці введення ін'єкції, такими як свербіж та біль. Проаналізовані дослідження не виявили жодних сигналів з точки зору безпеки, які могли б вплинути на вибір між конкретними тестами ШПТБ і ТШП. Однак група також зазначила, що це </w:t>
      </w:r>
      <w:r w:rsidR="00947DD1">
        <w:rPr>
          <w:sz w:val="20"/>
          <w:szCs w:val="20"/>
          <w:lang w:val="uk-UA"/>
        </w:rPr>
        <w:t xml:space="preserve">не </w:t>
      </w:r>
      <w:r w:rsidRPr="00C81390">
        <w:rPr>
          <w:sz w:val="20"/>
          <w:szCs w:val="20"/>
          <w:lang w:val="uk-UA"/>
        </w:rPr>
        <w:t>бу</w:t>
      </w:r>
      <w:r w:rsidR="006206FB">
        <w:rPr>
          <w:sz w:val="20"/>
          <w:szCs w:val="20"/>
          <w:lang w:val="uk-UA"/>
        </w:rPr>
        <w:t>в</w:t>
      </w:r>
      <w:r w:rsidRPr="00C81390">
        <w:rPr>
          <w:sz w:val="20"/>
          <w:szCs w:val="20"/>
          <w:lang w:val="uk-UA"/>
        </w:rPr>
        <w:t xml:space="preserve"> повний огляд безпеки, який охоплює безпеку продукту, дослідження на тваринах або доклінічні дослідження. Перш ніж впроваджувати будь-який з продуктів ШПТБ, необхідно провести нормативну оцінку безпеки.</w:t>
      </w:r>
    </w:p>
    <w:p w14:paraId="4CE8CBE9" w14:textId="24FA2758" w:rsidR="00E05B98" w:rsidRPr="00947DD1" w:rsidRDefault="00C81390">
      <w:pPr>
        <w:pStyle w:val="5"/>
        <w:spacing w:before="205"/>
        <w:jc w:val="both"/>
        <w:rPr>
          <w:sz w:val="26"/>
          <w:szCs w:val="26"/>
          <w:lang w:val="uk-UA"/>
        </w:rPr>
      </w:pPr>
      <w:r w:rsidRPr="00947DD1">
        <w:rPr>
          <w:color w:val="019648"/>
          <w:w w:val="105"/>
          <w:sz w:val="26"/>
          <w:szCs w:val="26"/>
          <w:lang w:val="uk-UA"/>
        </w:rPr>
        <w:t xml:space="preserve">Аналіз </w:t>
      </w:r>
      <w:r w:rsidR="005878D4">
        <w:rPr>
          <w:color w:val="019648"/>
          <w:w w:val="105"/>
          <w:sz w:val="26"/>
          <w:szCs w:val="26"/>
          <w:lang w:val="uk-UA"/>
        </w:rPr>
        <w:t>ви</w:t>
      </w:r>
      <w:r w:rsidRPr="00947DD1">
        <w:rPr>
          <w:color w:val="019648"/>
          <w:w w:val="105"/>
          <w:sz w:val="26"/>
          <w:szCs w:val="26"/>
          <w:lang w:val="uk-UA"/>
        </w:rPr>
        <w:t xml:space="preserve">трат та ефективності </w:t>
      </w:r>
      <w:r w:rsidR="0068607C">
        <w:rPr>
          <w:color w:val="019648"/>
          <w:w w:val="105"/>
          <w:sz w:val="26"/>
          <w:szCs w:val="26"/>
          <w:lang w:val="uk-UA"/>
        </w:rPr>
        <w:t>ви</w:t>
      </w:r>
      <w:r w:rsidRPr="00947DD1">
        <w:rPr>
          <w:color w:val="019648"/>
          <w:w w:val="105"/>
          <w:sz w:val="26"/>
          <w:szCs w:val="26"/>
          <w:lang w:val="uk-UA"/>
        </w:rPr>
        <w:t>трат</w:t>
      </w:r>
    </w:p>
    <w:p w14:paraId="19E3824A" w14:textId="6549ADA4" w:rsidR="00E05B98" w:rsidRPr="00550D4A" w:rsidRDefault="00550D4A" w:rsidP="00064481">
      <w:pPr>
        <w:pStyle w:val="a3"/>
        <w:spacing w:before="189" w:line="276" w:lineRule="auto"/>
        <w:ind w:left="567"/>
        <w:rPr>
          <w:sz w:val="20"/>
          <w:szCs w:val="20"/>
          <w:lang w:val="uk-UA"/>
        </w:rPr>
      </w:pPr>
      <w:r w:rsidRPr="00550D4A">
        <w:rPr>
          <w:sz w:val="20"/>
          <w:szCs w:val="20"/>
          <w:lang w:val="uk-UA"/>
        </w:rPr>
        <w:t>Було проведено два огляди відповідно до настанов стосовно елементів звітування, яким надається перевага,  для систематичних оглядів і метааналізів» (PRISMA) з метою вивчення витрат та економічної ефективності</w:t>
      </w:r>
      <w:r w:rsidR="00B01E0C" w:rsidRPr="00550D4A">
        <w:rPr>
          <w:sz w:val="20"/>
          <w:szCs w:val="20"/>
          <w:lang w:val="uk-UA"/>
        </w:rPr>
        <w:t>:</w:t>
      </w:r>
    </w:p>
    <w:p w14:paraId="2DD71BD3" w14:textId="77777777" w:rsidR="00550D4A" w:rsidRPr="00550D4A" w:rsidRDefault="00550D4A" w:rsidP="00064481">
      <w:pPr>
        <w:pStyle w:val="a4"/>
        <w:numPr>
          <w:ilvl w:val="0"/>
          <w:numId w:val="7"/>
        </w:numPr>
        <w:tabs>
          <w:tab w:val="left" w:pos="850"/>
        </w:tabs>
        <w:spacing w:line="276" w:lineRule="auto"/>
        <w:rPr>
          <w:spacing w:val="-6"/>
          <w:sz w:val="20"/>
          <w:szCs w:val="20"/>
          <w:lang w:val="uk-UA"/>
        </w:rPr>
      </w:pPr>
      <w:r w:rsidRPr="00550D4A">
        <w:rPr>
          <w:spacing w:val="-6"/>
          <w:sz w:val="20"/>
          <w:szCs w:val="20"/>
          <w:lang w:val="uk-UA"/>
        </w:rPr>
        <w:t>нових  тестів ШПТБ, таких як Діаскінтест, C-TST та Cy-Tb (первинний огляд);   а також</w:t>
      </w:r>
    </w:p>
    <w:p w14:paraId="42A6B6FC" w14:textId="2DA117BA" w:rsidR="00E05B98" w:rsidRPr="00550D4A" w:rsidRDefault="00550D4A" w:rsidP="00064481">
      <w:pPr>
        <w:pStyle w:val="a4"/>
        <w:numPr>
          <w:ilvl w:val="0"/>
          <w:numId w:val="7"/>
        </w:numPr>
        <w:tabs>
          <w:tab w:val="left" w:pos="850"/>
        </w:tabs>
        <w:spacing w:line="276" w:lineRule="auto"/>
        <w:jc w:val="left"/>
        <w:rPr>
          <w:sz w:val="20"/>
          <w:szCs w:val="20"/>
          <w:lang w:val="uk-UA"/>
        </w:rPr>
      </w:pPr>
      <w:r w:rsidRPr="00550D4A">
        <w:rPr>
          <w:spacing w:val="-6"/>
          <w:sz w:val="20"/>
          <w:szCs w:val="20"/>
          <w:lang w:val="uk-UA"/>
        </w:rPr>
        <w:t>тестів ТШП та АВГІ (вторинний огляд).</w:t>
      </w:r>
    </w:p>
    <w:p w14:paraId="10C6A9C8" w14:textId="77777777" w:rsidR="00E05B98" w:rsidRPr="00064481" w:rsidRDefault="00E05B98" w:rsidP="00064481">
      <w:pPr>
        <w:pStyle w:val="a3"/>
        <w:spacing w:before="39" w:line="276" w:lineRule="auto"/>
        <w:rPr>
          <w:sz w:val="10"/>
          <w:szCs w:val="10"/>
          <w:lang w:val="uk-UA"/>
        </w:rPr>
      </w:pPr>
    </w:p>
    <w:p w14:paraId="306C1508" w14:textId="4816716B" w:rsidR="00E05B98" w:rsidRPr="00550D4A" w:rsidRDefault="00CF127F" w:rsidP="00064481">
      <w:pPr>
        <w:pStyle w:val="a3"/>
        <w:spacing w:line="276" w:lineRule="auto"/>
        <w:ind w:left="567" w:right="130"/>
        <w:jc w:val="both"/>
        <w:rPr>
          <w:sz w:val="20"/>
          <w:szCs w:val="20"/>
          <w:lang w:val="uk-UA"/>
        </w:rPr>
      </w:pPr>
      <w:r w:rsidRPr="00CF127F">
        <w:rPr>
          <w:sz w:val="20"/>
          <w:szCs w:val="20"/>
          <w:lang w:val="uk-UA"/>
        </w:rPr>
        <w:t xml:space="preserve">Відбиралися статті, в яких було надано економічні оцінки діагностичних тестів (витрати та економічна ефективність) з точки зору надавачів медичних послуг, та які були пов'язані з інфекцією ТБ у людей. Було проведено аналіз </w:t>
      </w:r>
      <w:r w:rsidR="00CE4B93" w:rsidRPr="00CF127F">
        <w:rPr>
          <w:sz w:val="20"/>
          <w:szCs w:val="20"/>
          <w:lang w:val="uk-UA"/>
        </w:rPr>
        <w:t>статей</w:t>
      </w:r>
      <w:r w:rsidRPr="00CF127F">
        <w:rPr>
          <w:sz w:val="20"/>
          <w:szCs w:val="20"/>
          <w:lang w:val="uk-UA"/>
        </w:rPr>
        <w:t xml:space="preserve">, написаних англійською, китайською або російською мовами та опублікованих в базах даних Medline, OVID, </w:t>
      </w:r>
      <w:proofErr w:type="spellStart"/>
      <w:r w:rsidRPr="00CF127F">
        <w:rPr>
          <w:sz w:val="20"/>
          <w:szCs w:val="20"/>
          <w:lang w:val="uk-UA"/>
        </w:rPr>
        <w:t>Chinese</w:t>
      </w:r>
      <w:proofErr w:type="spellEnd"/>
      <w:r w:rsidRPr="00CF127F">
        <w:rPr>
          <w:sz w:val="20"/>
          <w:szCs w:val="20"/>
          <w:lang w:val="uk-UA"/>
        </w:rPr>
        <w:t xml:space="preserve"> </w:t>
      </w:r>
      <w:proofErr w:type="spellStart"/>
      <w:r w:rsidRPr="00CF127F">
        <w:rPr>
          <w:sz w:val="20"/>
          <w:szCs w:val="20"/>
          <w:lang w:val="uk-UA"/>
        </w:rPr>
        <w:t>Biomedical</w:t>
      </w:r>
      <w:proofErr w:type="spellEnd"/>
      <w:r w:rsidRPr="00CF127F">
        <w:rPr>
          <w:sz w:val="20"/>
          <w:szCs w:val="20"/>
          <w:lang w:val="uk-UA"/>
        </w:rPr>
        <w:t xml:space="preserve"> </w:t>
      </w:r>
      <w:proofErr w:type="spellStart"/>
      <w:r w:rsidRPr="00CF127F">
        <w:rPr>
          <w:sz w:val="20"/>
          <w:szCs w:val="20"/>
          <w:lang w:val="uk-UA"/>
        </w:rPr>
        <w:t>Literature</w:t>
      </w:r>
      <w:proofErr w:type="spellEnd"/>
      <w:r w:rsidRPr="00CF127F">
        <w:rPr>
          <w:sz w:val="20"/>
          <w:szCs w:val="20"/>
          <w:lang w:val="uk-UA"/>
        </w:rPr>
        <w:t xml:space="preserve">, </w:t>
      </w:r>
      <w:proofErr w:type="spellStart"/>
      <w:r w:rsidRPr="00CF127F">
        <w:rPr>
          <w:sz w:val="20"/>
          <w:szCs w:val="20"/>
          <w:lang w:val="uk-UA"/>
        </w:rPr>
        <w:t>China</w:t>
      </w:r>
      <w:proofErr w:type="spellEnd"/>
      <w:r w:rsidRPr="00CF127F">
        <w:rPr>
          <w:sz w:val="20"/>
          <w:szCs w:val="20"/>
          <w:lang w:val="uk-UA"/>
        </w:rPr>
        <w:t xml:space="preserve"> </w:t>
      </w:r>
      <w:proofErr w:type="spellStart"/>
      <w:r w:rsidRPr="00CF127F">
        <w:rPr>
          <w:sz w:val="20"/>
          <w:szCs w:val="20"/>
          <w:lang w:val="uk-UA"/>
        </w:rPr>
        <w:t>National</w:t>
      </w:r>
      <w:proofErr w:type="spellEnd"/>
      <w:r w:rsidRPr="00CF127F">
        <w:rPr>
          <w:sz w:val="20"/>
          <w:szCs w:val="20"/>
          <w:lang w:val="uk-UA"/>
        </w:rPr>
        <w:t xml:space="preserve"> </w:t>
      </w:r>
      <w:proofErr w:type="spellStart"/>
      <w:r w:rsidRPr="00CF127F">
        <w:rPr>
          <w:sz w:val="20"/>
          <w:szCs w:val="20"/>
          <w:lang w:val="uk-UA"/>
        </w:rPr>
        <w:t>Knowledge</w:t>
      </w:r>
      <w:proofErr w:type="spellEnd"/>
      <w:r w:rsidRPr="00CF127F">
        <w:rPr>
          <w:sz w:val="20"/>
          <w:szCs w:val="20"/>
          <w:lang w:val="uk-UA"/>
        </w:rPr>
        <w:t xml:space="preserve"> </w:t>
      </w:r>
      <w:proofErr w:type="spellStart"/>
      <w:r w:rsidRPr="00CF127F">
        <w:rPr>
          <w:sz w:val="20"/>
          <w:szCs w:val="20"/>
          <w:lang w:val="uk-UA"/>
        </w:rPr>
        <w:t>Infrastructure</w:t>
      </w:r>
      <w:proofErr w:type="spellEnd"/>
      <w:r w:rsidRPr="00CF127F">
        <w:rPr>
          <w:sz w:val="20"/>
          <w:szCs w:val="20"/>
          <w:lang w:val="uk-UA"/>
        </w:rPr>
        <w:t xml:space="preserve"> та російських електронних бібліотеках. Якість досліджень оцінювали за допомогою контрольного списку Драммонда (Drummond).</w:t>
      </w:r>
    </w:p>
    <w:p w14:paraId="3D6F904D" w14:textId="559243F3" w:rsidR="00E05B98" w:rsidRPr="00550D4A" w:rsidRDefault="00CF127F" w:rsidP="00064481">
      <w:pPr>
        <w:pStyle w:val="a3"/>
        <w:spacing w:before="147" w:line="276" w:lineRule="auto"/>
        <w:ind w:left="567" w:right="139"/>
        <w:jc w:val="both"/>
        <w:rPr>
          <w:sz w:val="20"/>
          <w:szCs w:val="20"/>
          <w:lang w:val="uk-UA"/>
        </w:rPr>
      </w:pPr>
      <w:r w:rsidRPr="00CF127F">
        <w:rPr>
          <w:sz w:val="20"/>
          <w:szCs w:val="20"/>
          <w:lang w:val="uk-UA"/>
        </w:rPr>
        <w:t>Крім того, для цілей зустрічі ГРН було розроблено модель ланцюга Маркова (марковського процесу) для вивчення економічної ефективності тестів ШПТБ на противагу наявним наразі тестам, ТШП та АВГІ. При моделюванні когорти осіб, які переходять між різними станами та етапами каскаду надання медичної допомоги при ТБ, модель враховувала наступні параметри:</w:t>
      </w:r>
    </w:p>
    <w:p w14:paraId="24357FEE" w14:textId="77777777" w:rsidR="00B91346" w:rsidRPr="00B91346" w:rsidRDefault="00B91346" w:rsidP="00064481">
      <w:pPr>
        <w:pStyle w:val="a4"/>
        <w:numPr>
          <w:ilvl w:val="0"/>
          <w:numId w:val="7"/>
        </w:numPr>
        <w:tabs>
          <w:tab w:val="left" w:pos="850"/>
        </w:tabs>
        <w:spacing w:line="276" w:lineRule="auto"/>
        <w:ind w:right="140"/>
        <w:rPr>
          <w:sz w:val="20"/>
          <w:szCs w:val="20"/>
          <w:lang w:val="uk-UA"/>
        </w:rPr>
      </w:pPr>
      <w:r w:rsidRPr="00B91346">
        <w:rPr>
          <w:sz w:val="20"/>
          <w:szCs w:val="20"/>
          <w:lang w:val="uk-UA"/>
        </w:rPr>
        <w:t>поширеність інфекції ТБ серед осіб, які не мають захворювання на ТБ, у відсотках;</w:t>
      </w:r>
    </w:p>
    <w:p w14:paraId="33798908" w14:textId="563F0B0D" w:rsidR="00B91346" w:rsidRPr="00B91346" w:rsidRDefault="00B91346" w:rsidP="00064481">
      <w:pPr>
        <w:pStyle w:val="a4"/>
        <w:numPr>
          <w:ilvl w:val="0"/>
          <w:numId w:val="7"/>
        </w:numPr>
        <w:tabs>
          <w:tab w:val="left" w:pos="850"/>
        </w:tabs>
        <w:spacing w:line="276" w:lineRule="auto"/>
        <w:ind w:right="140"/>
        <w:rPr>
          <w:sz w:val="20"/>
          <w:szCs w:val="20"/>
          <w:lang w:val="uk-UA"/>
        </w:rPr>
      </w:pPr>
      <w:r w:rsidRPr="00B91346">
        <w:rPr>
          <w:sz w:val="20"/>
          <w:szCs w:val="20"/>
          <w:lang w:val="uk-UA"/>
        </w:rPr>
        <w:t xml:space="preserve">особи, які завершили лікування після його початку після позитивного результату тесту на ТБ, </w:t>
      </w:r>
      <w:r w:rsidR="00947DD1">
        <w:rPr>
          <w:sz w:val="20"/>
          <w:szCs w:val="20"/>
          <w:lang w:val="uk-UA"/>
        </w:rPr>
        <w:t xml:space="preserve">у </w:t>
      </w:r>
      <w:r w:rsidRPr="00B91346">
        <w:rPr>
          <w:sz w:val="20"/>
          <w:szCs w:val="20"/>
          <w:lang w:val="uk-UA"/>
        </w:rPr>
        <w:t>відсот</w:t>
      </w:r>
      <w:r w:rsidR="00947DD1">
        <w:rPr>
          <w:sz w:val="20"/>
          <w:szCs w:val="20"/>
          <w:lang w:val="uk-UA"/>
        </w:rPr>
        <w:t>ках</w:t>
      </w:r>
      <w:r w:rsidRPr="00B91346">
        <w:rPr>
          <w:sz w:val="20"/>
          <w:szCs w:val="20"/>
          <w:lang w:val="uk-UA"/>
        </w:rPr>
        <w:t>;</w:t>
      </w:r>
    </w:p>
    <w:p w14:paraId="588ABAE4" w14:textId="0503491E" w:rsidR="00B91346" w:rsidRPr="00B91346" w:rsidRDefault="00B91346" w:rsidP="00064481">
      <w:pPr>
        <w:pStyle w:val="a4"/>
        <w:numPr>
          <w:ilvl w:val="0"/>
          <w:numId w:val="7"/>
        </w:numPr>
        <w:tabs>
          <w:tab w:val="left" w:pos="850"/>
        </w:tabs>
        <w:spacing w:line="276" w:lineRule="auto"/>
        <w:ind w:right="140"/>
        <w:rPr>
          <w:sz w:val="20"/>
          <w:szCs w:val="20"/>
          <w:lang w:val="uk-UA"/>
        </w:rPr>
      </w:pPr>
      <w:r w:rsidRPr="00B91346">
        <w:rPr>
          <w:sz w:val="20"/>
          <w:szCs w:val="20"/>
          <w:lang w:val="uk-UA"/>
        </w:rPr>
        <w:t xml:space="preserve">особи, які не розпочали лікування після отримання позитивного результату тестування на ТБ, </w:t>
      </w:r>
      <w:r w:rsidR="00947DD1">
        <w:rPr>
          <w:sz w:val="20"/>
          <w:szCs w:val="20"/>
          <w:lang w:val="uk-UA"/>
        </w:rPr>
        <w:t xml:space="preserve">у </w:t>
      </w:r>
      <w:r w:rsidRPr="00B91346">
        <w:rPr>
          <w:sz w:val="20"/>
          <w:szCs w:val="20"/>
          <w:lang w:val="uk-UA"/>
        </w:rPr>
        <w:t>відсот</w:t>
      </w:r>
      <w:r w:rsidR="00947DD1">
        <w:rPr>
          <w:sz w:val="20"/>
          <w:szCs w:val="20"/>
          <w:lang w:val="uk-UA"/>
        </w:rPr>
        <w:t>ках</w:t>
      </w:r>
      <w:r w:rsidRPr="00B91346">
        <w:rPr>
          <w:sz w:val="20"/>
          <w:szCs w:val="20"/>
          <w:lang w:val="uk-UA"/>
        </w:rPr>
        <w:t>;</w:t>
      </w:r>
    </w:p>
    <w:p w14:paraId="09DE609F" w14:textId="14E4B084" w:rsidR="00E05B98" w:rsidRPr="00550D4A" w:rsidRDefault="00B91346" w:rsidP="00064481">
      <w:pPr>
        <w:pStyle w:val="a4"/>
        <w:numPr>
          <w:ilvl w:val="0"/>
          <w:numId w:val="7"/>
        </w:numPr>
        <w:tabs>
          <w:tab w:val="left" w:pos="850"/>
        </w:tabs>
        <w:spacing w:line="276" w:lineRule="auto"/>
        <w:ind w:right="140"/>
        <w:jc w:val="left"/>
        <w:rPr>
          <w:sz w:val="20"/>
          <w:szCs w:val="20"/>
          <w:lang w:val="uk-UA"/>
        </w:rPr>
      </w:pPr>
      <w:r w:rsidRPr="00B91346">
        <w:rPr>
          <w:sz w:val="20"/>
          <w:szCs w:val="20"/>
          <w:lang w:val="uk-UA"/>
        </w:rPr>
        <w:t>особи, які перервали лікування після його початку після отримання позитивного результату тесту на ТБ, відсоток;</w:t>
      </w:r>
    </w:p>
    <w:p w14:paraId="59CD967F" w14:textId="77777777" w:rsidR="00064481" w:rsidRPr="00064481" w:rsidRDefault="00064481" w:rsidP="00064481">
      <w:pPr>
        <w:pStyle w:val="a4"/>
        <w:numPr>
          <w:ilvl w:val="0"/>
          <w:numId w:val="7"/>
        </w:numPr>
        <w:tabs>
          <w:tab w:val="left" w:pos="850"/>
        </w:tabs>
        <w:spacing w:line="276" w:lineRule="auto"/>
        <w:rPr>
          <w:sz w:val="20"/>
          <w:szCs w:val="20"/>
          <w:lang w:val="uk-UA"/>
        </w:rPr>
      </w:pPr>
      <w:r w:rsidRPr="00064481">
        <w:rPr>
          <w:sz w:val="20"/>
          <w:szCs w:val="20"/>
          <w:lang w:val="uk-UA"/>
        </w:rPr>
        <w:t>розвиток ТБ-інфекції до активної форми захворювання на ТБ, ймовірність;</w:t>
      </w:r>
    </w:p>
    <w:p w14:paraId="3F135CC1" w14:textId="77777777" w:rsidR="00064481" w:rsidRPr="00064481" w:rsidRDefault="00064481" w:rsidP="00064481">
      <w:pPr>
        <w:pStyle w:val="a4"/>
        <w:numPr>
          <w:ilvl w:val="0"/>
          <w:numId w:val="7"/>
        </w:numPr>
        <w:tabs>
          <w:tab w:val="left" w:pos="850"/>
        </w:tabs>
        <w:spacing w:line="276" w:lineRule="auto"/>
        <w:rPr>
          <w:sz w:val="20"/>
          <w:szCs w:val="20"/>
          <w:lang w:val="uk-UA"/>
        </w:rPr>
      </w:pPr>
      <w:r w:rsidRPr="00064481">
        <w:rPr>
          <w:sz w:val="20"/>
          <w:szCs w:val="20"/>
          <w:lang w:val="uk-UA"/>
        </w:rPr>
        <w:t>ефективність лікування ТБ-інфекції;</w:t>
      </w:r>
    </w:p>
    <w:p w14:paraId="64DA310D" w14:textId="77777777" w:rsidR="00064481" w:rsidRPr="00064481" w:rsidRDefault="00064481" w:rsidP="00064481">
      <w:pPr>
        <w:pStyle w:val="a4"/>
        <w:numPr>
          <w:ilvl w:val="0"/>
          <w:numId w:val="7"/>
        </w:numPr>
        <w:tabs>
          <w:tab w:val="left" w:pos="850"/>
        </w:tabs>
        <w:spacing w:line="276" w:lineRule="auto"/>
        <w:rPr>
          <w:sz w:val="20"/>
          <w:szCs w:val="20"/>
          <w:lang w:val="uk-UA"/>
        </w:rPr>
      </w:pPr>
      <w:r w:rsidRPr="00064481">
        <w:rPr>
          <w:sz w:val="20"/>
          <w:szCs w:val="20"/>
          <w:lang w:val="uk-UA"/>
        </w:rPr>
        <w:t>охоплення лікуванням осіб з активною формою ТБ;</w:t>
      </w:r>
    </w:p>
    <w:p w14:paraId="2198B0DE" w14:textId="77777777" w:rsidR="00064481" w:rsidRPr="00064481" w:rsidRDefault="00064481" w:rsidP="00064481">
      <w:pPr>
        <w:pStyle w:val="a4"/>
        <w:numPr>
          <w:ilvl w:val="0"/>
          <w:numId w:val="7"/>
        </w:numPr>
        <w:tabs>
          <w:tab w:val="left" w:pos="850"/>
        </w:tabs>
        <w:spacing w:line="276" w:lineRule="auto"/>
        <w:rPr>
          <w:sz w:val="20"/>
          <w:szCs w:val="20"/>
          <w:lang w:val="uk-UA"/>
        </w:rPr>
      </w:pPr>
      <w:r w:rsidRPr="00064481">
        <w:rPr>
          <w:sz w:val="20"/>
          <w:szCs w:val="20"/>
          <w:lang w:val="uk-UA"/>
        </w:rPr>
        <w:t>одужання після активної форми ТБ (проліковані + не проліковані);</w:t>
      </w:r>
    </w:p>
    <w:p w14:paraId="79C5F2C3" w14:textId="6C832738" w:rsidR="00064481" w:rsidRPr="00064481" w:rsidRDefault="00064481" w:rsidP="00064481">
      <w:pPr>
        <w:pStyle w:val="a4"/>
        <w:numPr>
          <w:ilvl w:val="0"/>
          <w:numId w:val="7"/>
        </w:numPr>
        <w:tabs>
          <w:tab w:val="left" w:pos="850"/>
        </w:tabs>
        <w:spacing w:line="276" w:lineRule="auto"/>
        <w:rPr>
          <w:sz w:val="20"/>
          <w:szCs w:val="20"/>
          <w:lang w:val="uk-UA"/>
        </w:rPr>
      </w:pPr>
      <w:r w:rsidRPr="00064481">
        <w:rPr>
          <w:sz w:val="20"/>
          <w:szCs w:val="20"/>
          <w:lang w:val="uk-UA"/>
        </w:rPr>
        <w:t>смерть внаслідок активної форми ТБ (проліковані + не проліковані);</w:t>
      </w:r>
    </w:p>
    <w:p w14:paraId="39FF12EF" w14:textId="7E84776A" w:rsidR="00064481" w:rsidRPr="00064481" w:rsidRDefault="00064481" w:rsidP="00064481">
      <w:pPr>
        <w:pStyle w:val="a4"/>
        <w:numPr>
          <w:ilvl w:val="0"/>
          <w:numId w:val="7"/>
        </w:numPr>
        <w:tabs>
          <w:tab w:val="left" w:pos="850"/>
        </w:tabs>
        <w:spacing w:line="276" w:lineRule="auto"/>
        <w:rPr>
          <w:sz w:val="20"/>
          <w:szCs w:val="20"/>
          <w:lang w:val="uk-UA"/>
        </w:rPr>
      </w:pPr>
      <w:r w:rsidRPr="00064481">
        <w:rPr>
          <w:sz w:val="20"/>
          <w:szCs w:val="20"/>
          <w:lang w:val="uk-UA"/>
        </w:rPr>
        <w:t>ймовірність істинно позитивного результату тесту за наявності у пацієнта ТБ-інфекції (чутливість); та</w:t>
      </w:r>
    </w:p>
    <w:p w14:paraId="0BA42738" w14:textId="3AE62940" w:rsidR="00E05B98" w:rsidRPr="00550D4A" w:rsidRDefault="00064481" w:rsidP="00064481">
      <w:pPr>
        <w:pStyle w:val="a4"/>
        <w:numPr>
          <w:ilvl w:val="0"/>
          <w:numId w:val="7"/>
        </w:numPr>
        <w:tabs>
          <w:tab w:val="left" w:pos="850"/>
        </w:tabs>
        <w:spacing w:line="276" w:lineRule="auto"/>
        <w:jc w:val="left"/>
        <w:rPr>
          <w:sz w:val="20"/>
          <w:szCs w:val="20"/>
          <w:lang w:val="uk-UA"/>
        </w:rPr>
      </w:pPr>
      <w:r w:rsidRPr="00064481">
        <w:rPr>
          <w:sz w:val="20"/>
          <w:szCs w:val="20"/>
          <w:lang w:val="uk-UA"/>
        </w:rPr>
        <w:t>ймовірність істинно негативного результату тесту за відсутності  у пацієнта інфекції ТБ (специфічність).</w:t>
      </w:r>
    </w:p>
    <w:p w14:paraId="3381387B" w14:textId="77777777" w:rsidR="00E05B98" w:rsidRPr="00064481" w:rsidRDefault="00E05B98" w:rsidP="00064481">
      <w:pPr>
        <w:pStyle w:val="a3"/>
        <w:spacing w:before="38" w:line="276" w:lineRule="auto"/>
        <w:rPr>
          <w:sz w:val="10"/>
          <w:szCs w:val="10"/>
          <w:lang w:val="uk-UA"/>
        </w:rPr>
      </w:pPr>
    </w:p>
    <w:p w14:paraId="7F6095CE" w14:textId="1272A23A" w:rsidR="00E05B98" w:rsidRPr="00550D4A" w:rsidRDefault="00064481" w:rsidP="00064481">
      <w:pPr>
        <w:pStyle w:val="a3"/>
        <w:spacing w:line="276" w:lineRule="auto"/>
        <w:ind w:left="567" w:right="139"/>
        <w:jc w:val="both"/>
        <w:rPr>
          <w:sz w:val="20"/>
          <w:szCs w:val="20"/>
          <w:lang w:val="uk-UA"/>
        </w:rPr>
      </w:pPr>
      <w:r w:rsidRPr="00064481">
        <w:rPr>
          <w:sz w:val="20"/>
          <w:szCs w:val="20"/>
          <w:lang w:val="uk-UA"/>
        </w:rPr>
        <w:t xml:space="preserve">Параметри моделі, витрати за одиницю продукції та оцінки точності діагностичних тестів були отримані з літературних джерел, в тому числі зі згаданих вище систематичних оглядів. Ми також зв'язалися з виробниками нових тестів ШПТБ, щоб отримати інформацію про вартість нових тестів. Однак лише компанія </w:t>
      </w:r>
      <w:r w:rsidR="00947DD1">
        <w:rPr>
          <w:sz w:val="20"/>
          <w:szCs w:val="20"/>
          <w:lang w:val="uk-UA"/>
        </w:rPr>
        <w:t>«</w:t>
      </w:r>
      <w:r w:rsidRPr="00064481">
        <w:rPr>
          <w:sz w:val="20"/>
          <w:szCs w:val="20"/>
          <w:lang w:val="uk-UA"/>
        </w:rPr>
        <w:t>Генеріум</w:t>
      </w:r>
      <w:r w:rsidR="00947DD1">
        <w:rPr>
          <w:sz w:val="20"/>
          <w:szCs w:val="20"/>
          <w:lang w:val="uk-UA"/>
        </w:rPr>
        <w:t>»-</w:t>
      </w:r>
      <w:r w:rsidRPr="00064481">
        <w:rPr>
          <w:sz w:val="20"/>
          <w:szCs w:val="20"/>
          <w:lang w:val="uk-UA"/>
        </w:rPr>
        <w:t>виробник Діаскінтесту, надала орієнтовну вартість тесту, включаючи вартість доставки, для різних обсягів поставок. Отже, дослідження моделювання було зосереджен</w:t>
      </w:r>
      <w:r w:rsidR="00947DD1">
        <w:rPr>
          <w:sz w:val="20"/>
          <w:szCs w:val="20"/>
          <w:lang w:val="uk-UA"/>
        </w:rPr>
        <w:t>о</w:t>
      </w:r>
      <w:r w:rsidRPr="00064481">
        <w:rPr>
          <w:sz w:val="20"/>
          <w:szCs w:val="20"/>
          <w:lang w:val="uk-UA"/>
        </w:rPr>
        <w:t xml:space="preserve"> на Діаскінтесті як на представнику класу тестів ШПТБ</w:t>
      </w:r>
      <w:r w:rsidR="00B01E0C" w:rsidRPr="00550D4A">
        <w:rPr>
          <w:sz w:val="20"/>
          <w:szCs w:val="20"/>
          <w:lang w:val="uk-UA"/>
        </w:rPr>
        <w:t>.</w:t>
      </w:r>
    </w:p>
    <w:p w14:paraId="25BC12A0" w14:textId="77777777" w:rsidR="00064481" w:rsidRDefault="00064481" w:rsidP="00064481">
      <w:pPr>
        <w:pStyle w:val="a3"/>
        <w:spacing w:before="178" w:line="276" w:lineRule="auto"/>
        <w:ind w:left="567"/>
        <w:rPr>
          <w:sz w:val="20"/>
          <w:szCs w:val="20"/>
          <w:lang w:val="uk-UA"/>
        </w:rPr>
      </w:pPr>
    </w:p>
    <w:p w14:paraId="563D6563" w14:textId="77777777" w:rsidR="00064481" w:rsidRDefault="00064481" w:rsidP="00064481">
      <w:pPr>
        <w:pStyle w:val="a3"/>
        <w:spacing w:before="178" w:line="276" w:lineRule="auto"/>
        <w:ind w:left="567"/>
        <w:rPr>
          <w:sz w:val="20"/>
          <w:szCs w:val="20"/>
          <w:lang w:val="uk-UA"/>
        </w:rPr>
      </w:pPr>
    </w:p>
    <w:p w14:paraId="0F4D2119" w14:textId="36D69AF5" w:rsidR="00E05B98" w:rsidRPr="00CE4B93" w:rsidRDefault="007379D3" w:rsidP="00603272">
      <w:pPr>
        <w:pStyle w:val="a3"/>
        <w:spacing w:before="178" w:line="276" w:lineRule="auto"/>
        <w:ind w:left="567"/>
        <w:jc w:val="both"/>
        <w:rPr>
          <w:sz w:val="20"/>
          <w:szCs w:val="20"/>
          <w:lang w:val="uk-UA"/>
        </w:rPr>
      </w:pPr>
      <w:r w:rsidRPr="007379D3">
        <w:rPr>
          <w:sz w:val="20"/>
          <w:szCs w:val="20"/>
          <w:lang w:val="uk-UA"/>
        </w:rPr>
        <w:lastRenderedPageBreak/>
        <w:t>Модель була параметризована для трьох країн: Бразилії, Південної Африки та Великої Британії. У цьому аналізі було розглянуто три стратегії тестування: Діаскінтест (індекс</w:t>
      </w:r>
      <w:r w:rsidR="004E70D5">
        <w:rPr>
          <w:sz w:val="20"/>
          <w:szCs w:val="20"/>
          <w:lang w:val="uk-UA"/>
        </w:rPr>
        <w:t>ний тест</w:t>
      </w:r>
      <w:r w:rsidRPr="007379D3">
        <w:rPr>
          <w:sz w:val="20"/>
          <w:szCs w:val="20"/>
          <w:lang w:val="uk-UA"/>
        </w:rPr>
        <w:t>); ШПТ</w:t>
      </w:r>
      <w:r w:rsidR="0068607C">
        <w:rPr>
          <w:sz w:val="20"/>
          <w:szCs w:val="20"/>
          <w:lang w:val="uk-UA"/>
        </w:rPr>
        <w:t>Б</w:t>
      </w:r>
      <w:r w:rsidRPr="007379D3">
        <w:rPr>
          <w:sz w:val="20"/>
          <w:szCs w:val="20"/>
          <w:lang w:val="uk-UA"/>
        </w:rPr>
        <w:t xml:space="preserve">; і </w:t>
      </w:r>
      <w:proofErr w:type="spellStart"/>
      <w:r w:rsidRPr="007379D3">
        <w:rPr>
          <w:sz w:val="20"/>
          <w:szCs w:val="20"/>
          <w:lang w:val="uk-UA"/>
        </w:rPr>
        <w:t>Квант</w:t>
      </w:r>
      <w:r w:rsidR="00CE4B93">
        <w:rPr>
          <w:sz w:val="20"/>
          <w:szCs w:val="20"/>
          <w:lang w:val="uk-UA"/>
        </w:rPr>
        <w:t>и</w:t>
      </w:r>
      <w:r w:rsidRPr="007379D3">
        <w:rPr>
          <w:sz w:val="20"/>
          <w:szCs w:val="20"/>
          <w:lang w:val="uk-UA"/>
        </w:rPr>
        <w:t>ферон</w:t>
      </w:r>
      <w:proofErr w:type="spellEnd"/>
      <w:r w:rsidRPr="007379D3">
        <w:rPr>
          <w:sz w:val="20"/>
          <w:szCs w:val="20"/>
          <w:lang w:val="uk-UA"/>
        </w:rPr>
        <w:t xml:space="preserve">-ТБ АВГІ, Gold In-Tube або Gold Plus (тести </w:t>
      </w:r>
      <w:r w:rsidRPr="00CE4B93">
        <w:rPr>
          <w:sz w:val="20"/>
          <w:szCs w:val="20"/>
          <w:lang w:val="uk-UA"/>
        </w:rPr>
        <w:t>порівняння). Результати, про які повідомлялося, включали вартість одиниці продукту (у доларах США)</w:t>
      </w:r>
      <w:r w:rsidRPr="00CE4B93">
        <w:rPr>
          <w:sz w:val="20"/>
          <w:szCs w:val="20"/>
          <w:vertAlign w:val="superscript"/>
          <w:lang w:val="uk-UA"/>
        </w:rPr>
        <w:t>5</w:t>
      </w:r>
      <w:r w:rsidRPr="00CE4B93">
        <w:rPr>
          <w:sz w:val="20"/>
          <w:szCs w:val="20"/>
          <w:lang w:val="uk-UA"/>
        </w:rPr>
        <w:t xml:space="preserve"> на одного пацієнта, </w:t>
      </w:r>
      <w:r w:rsidR="0068607C" w:rsidRPr="00CE4B93">
        <w:rPr>
          <w:bCs/>
          <w:spacing w:val="-2"/>
          <w:sz w:val="20"/>
          <w:szCs w:val="20"/>
          <w:lang w:val="uk-UA"/>
        </w:rPr>
        <w:t>інкрементний коефіцієнт ефективності витрат</w:t>
      </w:r>
      <w:r w:rsidRPr="00CE4B93">
        <w:rPr>
          <w:sz w:val="20"/>
          <w:szCs w:val="20"/>
          <w:lang w:val="uk-UA"/>
        </w:rPr>
        <w:t xml:space="preserve"> (ICER) та додаткову чисту користь на один рік життя з поправкою на якість (QALY). Витрати на одиницю продукції, що розглядалися в кожній країні, включали вартість тест</w:t>
      </w:r>
      <w:r w:rsidR="004E70D5" w:rsidRPr="00CE4B93">
        <w:rPr>
          <w:sz w:val="20"/>
          <w:szCs w:val="20"/>
          <w:lang w:val="uk-UA"/>
        </w:rPr>
        <w:t>ового набору</w:t>
      </w:r>
      <w:r w:rsidRPr="00CE4B93">
        <w:rPr>
          <w:sz w:val="20"/>
          <w:szCs w:val="20"/>
          <w:lang w:val="uk-UA"/>
        </w:rPr>
        <w:t>, час роботи персоналу, лабораторні витрати та одноразові витрати. Витрати розглядалися з точки зору системи охорони здоров'я і не відображали витрати пацієнта або суспільства.</w:t>
      </w:r>
    </w:p>
    <w:p w14:paraId="083EDC0D" w14:textId="0E5E7BC4" w:rsidR="007379D3" w:rsidRPr="007379D3" w:rsidRDefault="007379D3" w:rsidP="00603272">
      <w:pPr>
        <w:pStyle w:val="a3"/>
        <w:spacing w:before="175" w:line="276" w:lineRule="auto"/>
        <w:ind w:left="567"/>
        <w:jc w:val="both"/>
        <w:rPr>
          <w:sz w:val="20"/>
          <w:szCs w:val="20"/>
          <w:lang w:val="uk-UA"/>
        </w:rPr>
      </w:pPr>
      <w:r w:rsidRPr="00CE4B93">
        <w:rPr>
          <w:sz w:val="20"/>
          <w:szCs w:val="20"/>
          <w:lang w:val="uk-UA"/>
        </w:rPr>
        <w:t>Оскільки була доступна лише інформація про Діаскінтест, було проведено</w:t>
      </w:r>
      <w:r w:rsidRPr="007379D3">
        <w:rPr>
          <w:sz w:val="20"/>
          <w:szCs w:val="20"/>
          <w:lang w:val="uk-UA"/>
        </w:rPr>
        <w:t xml:space="preserve"> однофакторний аналіз чутливості </w:t>
      </w:r>
      <w:r w:rsidR="004E70D5">
        <w:rPr>
          <w:sz w:val="20"/>
          <w:szCs w:val="20"/>
          <w:lang w:val="uk-UA"/>
        </w:rPr>
        <w:t xml:space="preserve">по </w:t>
      </w:r>
      <w:r w:rsidRPr="007379D3">
        <w:rPr>
          <w:sz w:val="20"/>
          <w:szCs w:val="20"/>
          <w:lang w:val="uk-UA"/>
        </w:rPr>
        <w:t>затрат</w:t>
      </w:r>
      <w:r w:rsidR="004E70D5">
        <w:rPr>
          <w:sz w:val="20"/>
          <w:szCs w:val="20"/>
          <w:lang w:val="uk-UA"/>
        </w:rPr>
        <w:t>ам</w:t>
      </w:r>
      <w:r w:rsidRPr="007379D3">
        <w:rPr>
          <w:sz w:val="20"/>
          <w:szCs w:val="20"/>
          <w:lang w:val="uk-UA"/>
        </w:rPr>
        <w:t xml:space="preserve"> на одиницю ШПТБ та порівняння результатів трьох стратегій для визначення можливих максимальних затрат за одиницю нових ШПТБ, щоб стратегія залишалася економічною з точки зору вартості та економічно ефективною, але без зазначення конкретного типу ШПТБ.</w:t>
      </w:r>
    </w:p>
    <w:p w14:paraId="72F9A961" w14:textId="6E8C8A41" w:rsidR="00E05B98" w:rsidRPr="00550D4A" w:rsidRDefault="007379D3" w:rsidP="00603272">
      <w:pPr>
        <w:pStyle w:val="a3"/>
        <w:spacing w:before="175" w:line="276" w:lineRule="auto"/>
        <w:ind w:left="567"/>
        <w:jc w:val="both"/>
        <w:rPr>
          <w:sz w:val="20"/>
          <w:szCs w:val="20"/>
          <w:lang w:val="uk-UA"/>
        </w:rPr>
      </w:pPr>
      <w:r w:rsidRPr="007379D3">
        <w:rPr>
          <w:sz w:val="20"/>
          <w:szCs w:val="20"/>
          <w:lang w:val="uk-UA"/>
        </w:rPr>
        <w:t>Висновки ґрунтувалися на попередньо визначених питаннях дослідження, викладених нижче.</w:t>
      </w:r>
    </w:p>
    <w:p w14:paraId="6EE3EA64" w14:textId="6C24F52E" w:rsidR="00E05B98" w:rsidRPr="003C6DAE" w:rsidRDefault="0028078C" w:rsidP="00603272">
      <w:pPr>
        <w:pStyle w:val="9"/>
        <w:spacing w:before="227"/>
        <w:rPr>
          <w:lang w:val="uk-UA"/>
        </w:rPr>
      </w:pPr>
      <w:r w:rsidRPr="00453661">
        <w:rPr>
          <w:lang w:val="uk-UA"/>
        </w:rPr>
        <w:t>Наскільки великими є потреби в ресурсах (</w:t>
      </w:r>
      <w:r w:rsidR="00021FFC">
        <w:rPr>
          <w:lang w:val="uk-UA"/>
        </w:rPr>
        <w:t>ви</w:t>
      </w:r>
      <w:r w:rsidRPr="00453661">
        <w:rPr>
          <w:lang w:val="uk-UA"/>
        </w:rPr>
        <w:t>трати)?</w:t>
      </w:r>
    </w:p>
    <w:p w14:paraId="38A3FDC8" w14:textId="1C5DDD32" w:rsidR="00E05B98" w:rsidRPr="00064481" w:rsidRDefault="000A10A3" w:rsidP="00603272">
      <w:pPr>
        <w:pStyle w:val="a3"/>
        <w:spacing w:before="231" w:line="276" w:lineRule="auto"/>
        <w:ind w:left="567"/>
        <w:jc w:val="both"/>
        <w:rPr>
          <w:sz w:val="20"/>
          <w:szCs w:val="20"/>
          <w:lang w:val="uk-UA"/>
        </w:rPr>
      </w:pPr>
      <w:r w:rsidRPr="000A10A3">
        <w:rPr>
          <w:spacing w:val="-2"/>
          <w:sz w:val="20"/>
          <w:szCs w:val="20"/>
          <w:lang w:val="uk-UA"/>
        </w:rPr>
        <w:t xml:space="preserve">У восьми дослідженнях, які оцінювали Діаскінтест, вартість одного тесту становила 1,60 дол. В одному дослідженні оцінювали вартість за одиницю з </w:t>
      </w:r>
      <w:r w:rsidR="00CE4B93">
        <w:rPr>
          <w:spacing w:val="-2"/>
          <w:sz w:val="20"/>
          <w:szCs w:val="20"/>
          <w:lang w:val="uk-UA"/>
        </w:rPr>
        <w:t>у</w:t>
      </w:r>
      <w:r w:rsidRPr="000A10A3">
        <w:rPr>
          <w:spacing w:val="-2"/>
          <w:sz w:val="20"/>
          <w:szCs w:val="20"/>
          <w:lang w:val="uk-UA"/>
        </w:rPr>
        <w:t xml:space="preserve">рахуванням часу персоналу, витратних матеріалів та лабораторних витрат, що призвело до вартості </w:t>
      </w:r>
      <w:r w:rsidR="004E70D5">
        <w:rPr>
          <w:spacing w:val="-2"/>
          <w:sz w:val="20"/>
          <w:szCs w:val="20"/>
          <w:lang w:val="uk-UA"/>
        </w:rPr>
        <w:t xml:space="preserve">в </w:t>
      </w:r>
      <w:r w:rsidRPr="000A10A3">
        <w:rPr>
          <w:spacing w:val="-2"/>
          <w:sz w:val="20"/>
          <w:szCs w:val="20"/>
          <w:lang w:val="uk-UA"/>
        </w:rPr>
        <w:t>5,07 доларів США. Це дослідження, використовуючи ті ж самі фактори визначення вартості, також оцін</w:t>
      </w:r>
      <w:r w:rsidR="004E70D5">
        <w:rPr>
          <w:spacing w:val="-2"/>
          <w:sz w:val="20"/>
          <w:szCs w:val="20"/>
          <w:lang w:val="uk-UA"/>
        </w:rPr>
        <w:t>ил</w:t>
      </w:r>
      <w:r w:rsidRPr="000A10A3">
        <w:rPr>
          <w:spacing w:val="-2"/>
          <w:sz w:val="20"/>
          <w:szCs w:val="20"/>
          <w:lang w:val="uk-UA"/>
        </w:rPr>
        <w:t xml:space="preserve">о вартість за одиницю тесту C-TST у  розмірі 9,96 дол. У 29 дослідженнях, пов'язаних з тестами АВГІ або </w:t>
      </w:r>
      <w:r w:rsidR="00D45FA2">
        <w:rPr>
          <w:spacing w:val="-2"/>
          <w:sz w:val="20"/>
          <w:szCs w:val="20"/>
          <w:lang w:val="uk-UA"/>
        </w:rPr>
        <w:t>ТШП</w:t>
      </w:r>
      <w:r w:rsidRPr="000A10A3">
        <w:rPr>
          <w:spacing w:val="-2"/>
          <w:sz w:val="20"/>
          <w:szCs w:val="20"/>
          <w:lang w:val="uk-UA"/>
        </w:rPr>
        <w:t xml:space="preserve"> (або обидва), середня вартість </w:t>
      </w:r>
      <w:r w:rsidR="0068607C">
        <w:rPr>
          <w:spacing w:val="-2"/>
          <w:sz w:val="20"/>
          <w:szCs w:val="20"/>
          <w:lang w:val="uk-UA"/>
        </w:rPr>
        <w:t>ТШП</w:t>
      </w:r>
      <w:r w:rsidRPr="000A10A3">
        <w:rPr>
          <w:spacing w:val="-2"/>
          <w:sz w:val="20"/>
          <w:szCs w:val="20"/>
          <w:lang w:val="uk-UA"/>
        </w:rPr>
        <w:t xml:space="preserve"> становила 37,84 доларів США, а тестів АВГІ - 89,33 доларів США (з урахуванням різних інгредієнтів). </w:t>
      </w:r>
      <w:r w:rsidR="0068607C">
        <w:rPr>
          <w:spacing w:val="-2"/>
          <w:sz w:val="20"/>
          <w:szCs w:val="20"/>
          <w:lang w:val="uk-UA"/>
        </w:rPr>
        <w:t>Е</w:t>
      </w:r>
      <w:r w:rsidRPr="000A10A3">
        <w:rPr>
          <w:spacing w:val="-2"/>
          <w:sz w:val="20"/>
          <w:szCs w:val="20"/>
          <w:lang w:val="uk-UA"/>
        </w:rPr>
        <w:t xml:space="preserve">фективність </w:t>
      </w:r>
      <w:r w:rsidR="0068607C">
        <w:rPr>
          <w:spacing w:val="-2"/>
          <w:sz w:val="20"/>
          <w:szCs w:val="20"/>
          <w:lang w:val="uk-UA"/>
        </w:rPr>
        <w:t xml:space="preserve">витрат на проведення </w:t>
      </w:r>
      <w:r w:rsidRPr="000A10A3">
        <w:rPr>
          <w:spacing w:val="-2"/>
          <w:sz w:val="20"/>
          <w:szCs w:val="20"/>
          <w:lang w:val="uk-UA"/>
        </w:rPr>
        <w:t xml:space="preserve">тестів варіювалася як між групами ризику, так і всередині них, при цьому не було чіткого економічного консенсусу стосовно ефективності </w:t>
      </w:r>
      <w:r w:rsidR="0068607C">
        <w:rPr>
          <w:spacing w:val="-2"/>
          <w:sz w:val="20"/>
          <w:szCs w:val="20"/>
          <w:lang w:val="uk-UA"/>
        </w:rPr>
        <w:t xml:space="preserve">витрат на </w:t>
      </w:r>
      <w:r w:rsidRPr="000A10A3">
        <w:rPr>
          <w:spacing w:val="-2"/>
          <w:sz w:val="20"/>
          <w:szCs w:val="20"/>
          <w:lang w:val="uk-UA"/>
        </w:rPr>
        <w:t>тест</w:t>
      </w:r>
      <w:r w:rsidR="0068607C">
        <w:rPr>
          <w:spacing w:val="-2"/>
          <w:sz w:val="20"/>
          <w:szCs w:val="20"/>
          <w:lang w:val="uk-UA"/>
        </w:rPr>
        <w:t>и, які порівнювали</w:t>
      </w:r>
      <w:r w:rsidRPr="000A10A3">
        <w:rPr>
          <w:spacing w:val="-2"/>
          <w:sz w:val="20"/>
          <w:szCs w:val="20"/>
          <w:lang w:val="uk-UA"/>
        </w:rPr>
        <w:t>.</w:t>
      </w:r>
    </w:p>
    <w:p w14:paraId="064BBA73" w14:textId="73168CA3" w:rsidR="00E05B98" w:rsidRPr="003C6DAE" w:rsidRDefault="000A10A3" w:rsidP="00603272">
      <w:pPr>
        <w:pStyle w:val="9"/>
        <w:spacing w:before="175"/>
        <w:rPr>
          <w:lang w:val="uk-UA"/>
        </w:rPr>
      </w:pPr>
      <w:r w:rsidRPr="000A10A3">
        <w:rPr>
          <w:lang w:val="uk-UA"/>
        </w:rPr>
        <w:t>Якою є достовірність доказів щодо потреб у ресурсах (</w:t>
      </w:r>
      <w:r w:rsidR="00021FFC">
        <w:rPr>
          <w:lang w:val="uk-UA"/>
        </w:rPr>
        <w:t>вит</w:t>
      </w:r>
      <w:r w:rsidRPr="000A10A3">
        <w:rPr>
          <w:lang w:val="uk-UA"/>
        </w:rPr>
        <w:t>рат)?</w:t>
      </w:r>
    </w:p>
    <w:p w14:paraId="5D6FBDFA" w14:textId="72D35738" w:rsidR="000A10A3" w:rsidRDefault="000A10A3" w:rsidP="00603272">
      <w:pPr>
        <w:pStyle w:val="9"/>
        <w:spacing w:before="171" w:line="276" w:lineRule="auto"/>
        <w:rPr>
          <w:rFonts w:ascii="Microsoft Sans Serif" w:eastAsia="Microsoft Sans Serif" w:hAnsi="Microsoft Sans Serif" w:cs="Microsoft Sans Serif"/>
          <w:b w:val="0"/>
          <w:bCs w:val="0"/>
          <w:sz w:val="20"/>
          <w:szCs w:val="20"/>
          <w:lang w:val="uk-UA"/>
        </w:rPr>
      </w:pPr>
      <w:r w:rsidRPr="000A10A3">
        <w:rPr>
          <w:rFonts w:ascii="Microsoft Sans Serif" w:eastAsia="Microsoft Sans Serif" w:hAnsi="Microsoft Sans Serif" w:cs="Microsoft Sans Serif"/>
          <w:b w:val="0"/>
          <w:bCs w:val="0"/>
          <w:sz w:val="20"/>
          <w:szCs w:val="20"/>
          <w:lang w:val="uk-UA"/>
        </w:rPr>
        <w:t xml:space="preserve">На основі оцінки Драммонда, якість досліджень, які оцінювали економічну ефективність тесту C-TST і Діаскінтесту в цьому огляді, викликала занепокоєння; лише одне з восьми досліджень було високої якості. Однак якість досліджень, які оцінювали економічну ефективність тестів </w:t>
      </w:r>
      <w:r w:rsidR="0068607C">
        <w:rPr>
          <w:rFonts w:ascii="Microsoft Sans Serif" w:eastAsia="Microsoft Sans Serif" w:hAnsi="Microsoft Sans Serif" w:cs="Microsoft Sans Serif"/>
          <w:b w:val="0"/>
          <w:bCs w:val="0"/>
          <w:sz w:val="20"/>
          <w:szCs w:val="20"/>
          <w:lang w:val="uk-UA"/>
        </w:rPr>
        <w:t>ТШП</w:t>
      </w:r>
      <w:r w:rsidRPr="000A10A3">
        <w:rPr>
          <w:rFonts w:ascii="Microsoft Sans Serif" w:eastAsia="Microsoft Sans Serif" w:hAnsi="Microsoft Sans Serif" w:cs="Microsoft Sans Serif"/>
          <w:b w:val="0"/>
          <w:bCs w:val="0"/>
          <w:sz w:val="20"/>
          <w:szCs w:val="20"/>
          <w:lang w:val="uk-UA"/>
        </w:rPr>
        <w:t xml:space="preserve"> та АВГІ, була загалом високою.</w:t>
      </w:r>
    </w:p>
    <w:p w14:paraId="079EBC20" w14:textId="7225BE18" w:rsidR="00E05B98" w:rsidRPr="003C6DAE" w:rsidRDefault="000A10A3" w:rsidP="00603272">
      <w:pPr>
        <w:pStyle w:val="9"/>
        <w:spacing w:before="171"/>
        <w:rPr>
          <w:lang w:val="uk-UA"/>
        </w:rPr>
      </w:pPr>
      <w:r w:rsidRPr="000A10A3">
        <w:rPr>
          <w:spacing w:val="-4"/>
          <w:lang w:val="uk-UA"/>
        </w:rPr>
        <w:t>Ефективність</w:t>
      </w:r>
      <w:r w:rsidR="0068607C">
        <w:rPr>
          <w:spacing w:val="-4"/>
          <w:lang w:val="uk-UA"/>
        </w:rPr>
        <w:t xml:space="preserve"> витрат, пов’язан</w:t>
      </w:r>
      <w:r w:rsidR="001F0487">
        <w:rPr>
          <w:spacing w:val="-4"/>
          <w:lang w:val="uk-UA"/>
        </w:rPr>
        <w:t>их</w:t>
      </w:r>
      <w:r w:rsidR="0068607C">
        <w:rPr>
          <w:spacing w:val="-4"/>
          <w:lang w:val="uk-UA"/>
        </w:rPr>
        <w:t xml:space="preserve"> з </w:t>
      </w:r>
      <w:r w:rsidRPr="000A10A3">
        <w:rPr>
          <w:spacing w:val="-4"/>
          <w:lang w:val="uk-UA"/>
        </w:rPr>
        <w:t>інтервенці</w:t>
      </w:r>
      <w:r w:rsidR="0068607C">
        <w:rPr>
          <w:spacing w:val="-4"/>
          <w:lang w:val="uk-UA"/>
        </w:rPr>
        <w:t>єю,</w:t>
      </w:r>
      <w:r w:rsidRPr="000A10A3">
        <w:rPr>
          <w:spacing w:val="-4"/>
          <w:lang w:val="uk-UA"/>
        </w:rPr>
        <w:t xml:space="preserve"> свідчить на користь інтервенції  чи на користь порівняння?</w:t>
      </w:r>
    </w:p>
    <w:p w14:paraId="6FA3BA3D" w14:textId="661571D1" w:rsidR="00E05B98" w:rsidRPr="00064481" w:rsidRDefault="00CE4B93" w:rsidP="00603272">
      <w:pPr>
        <w:pStyle w:val="a3"/>
        <w:spacing w:before="231" w:line="297" w:lineRule="auto"/>
        <w:ind w:left="567"/>
        <w:jc w:val="both"/>
        <w:rPr>
          <w:sz w:val="20"/>
          <w:szCs w:val="20"/>
          <w:lang w:val="uk-UA"/>
        </w:rPr>
      </w:pPr>
      <w:r w:rsidRPr="00781C9C">
        <w:rPr>
          <w:sz w:val="20"/>
          <w:szCs w:val="20"/>
          <w:lang w:val="uk-UA"/>
        </w:rPr>
        <w:t>Ґрунтуючись</w:t>
      </w:r>
      <w:r w:rsidR="00781C9C" w:rsidRPr="00781C9C">
        <w:rPr>
          <w:sz w:val="20"/>
          <w:szCs w:val="20"/>
          <w:lang w:val="uk-UA"/>
        </w:rPr>
        <w:t xml:space="preserve"> на результатах систематичного огляду,  було недостатньо доказів як стосовно вартості, так і стосовно ефективності </w:t>
      </w:r>
      <w:r w:rsidR="0068607C">
        <w:rPr>
          <w:sz w:val="20"/>
          <w:szCs w:val="20"/>
          <w:lang w:val="uk-UA"/>
        </w:rPr>
        <w:t xml:space="preserve">витрат для проведення </w:t>
      </w:r>
      <w:r w:rsidR="00781C9C" w:rsidRPr="00781C9C">
        <w:rPr>
          <w:sz w:val="20"/>
          <w:szCs w:val="20"/>
          <w:lang w:val="uk-UA"/>
        </w:rPr>
        <w:t xml:space="preserve">нових ШПТБ. Якість досліджень викликала занепокоєння відповідно до контрольного списку Драммонда для економічних оцінок. Є потреба в проведенні додаткових високоякісних досліджень, які б враховували різні заклади охорони здоров'я та групи ризику, щоб оцінити ефективність </w:t>
      </w:r>
      <w:r w:rsidR="0068607C">
        <w:rPr>
          <w:sz w:val="20"/>
          <w:szCs w:val="20"/>
          <w:lang w:val="uk-UA"/>
        </w:rPr>
        <w:t xml:space="preserve">витрат </w:t>
      </w:r>
      <w:r w:rsidR="00781C9C" w:rsidRPr="00781C9C">
        <w:rPr>
          <w:sz w:val="20"/>
          <w:szCs w:val="20"/>
          <w:lang w:val="uk-UA"/>
        </w:rPr>
        <w:t>та ймовірний економічний вплив цих тестів.</w:t>
      </w:r>
    </w:p>
    <w:p w14:paraId="772CB336" w14:textId="28901EA3" w:rsidR="00E05B98" w:rsidRPr="00064481" w:rsidRDefault="00D22CB0" w:rsidP="00603272">
      <w:pPr>
        <w:pStyle w:val="a3"/>
        <w:spacing w:before="176" w:line="297" w:lineRule="auto"/>
        <w:ind w:left="567"/>
        <w:jc w:val="both"/>
        <w:rPr>
          <w:sz w:val="20"/>
          <w:szCs w:val="20"/>
          <w:lang w:val="uk-UA"/>
        </w:rPr>
      </w:pPr>
      <w:r w:rsidRPr="00D22CB0">
        <w:rPr>
          <w:sz w:val="20"/>
          <w:szCs w:val="20"/>
          <w:lang w:val="uk-UA"/>
        </w:rPr>
        <w:t>Результати за моделлю ланцюга Маркова, проведеного для цілей зус</w:t>
      </w:r>
      <w:r w:rsidR="00453661">
        <w:rPr>
          <w:sz w:val="20"/>
          <w:szCs w:val="20"/>
          <w:lang w:val="uk-UA"/>
        </w:rPr>
        <w:t>т</w:t>
      </w:r>
      <w:r w:rsidRPr="00D22CB0">
        <w:rPr>
          <w:sz w:val="20"/>
          <w:szCs w:val="20"/>
          <w:lang w:val="uk-UA"/>
        </w:rPr>
        <w:t xml:space="preserve">річі ГРН, показали, що в Бразилії Діаскінтест є </w:t>
      </w:r>
      <w:r w:rsidR="001F0487">
        <w:rPr>
          <w:sz w:val="20"/>
          <w:szCs w:val="20"/>
          <w:lang w:val="uk-UA"/>
        </w:rPr>
        <w:t xml:space="preserve">більш </w:t>
      </w:r>
      <w:r w:rsidRPr="00D22CB0">
        <w:rPr>
          <w:sz w:val="20"/>
          <w:szCs w:val="20"/>
          <w:lang w:val="uk-UA"/>
        </w:rPr>
        <w:t xml:space="preserve">економічно вигідним порівняно з </w:t>
      </w:r>
      <w:r w:rsidR="001F0487">
        <w:rPr>
          <w:sz w:val="20"/>
          <w:szCs w:val="20"/>
          <w:lang w:val="uk-UA"/>
        </w:rPr>
        <w:t>ТШП</w:t>
      </w:r>
      <w:r w:rsidRPr="00D22CB0">
        <w:rPr>
          <w:sz w:val="20"/>
          <w:szCs w:val="20"/>
          <w:lang w:val="uk-UA"/>
        </w:rPr>
        <w:t xml:space="preserve"> та АВГІ. Порівняно з </w:t>
      </w:r>
      <w:r w:rsidR="001F0487">
        <w:rPr>
          <w:sz w:val="20"/>
          <w:szCs w:val="20"/>
          <w:lang w:val="uk-UA"/>
        </w:rPr>
        <w:t>ТШП</w:t>
      </w:r>
      <w:r w:rsidRPr="00D22CB0">
        <w:rPr>
          <w:sz w:val="20"/>
          <w:szCs w:val="20"/>
          <w:lang w:val="uk-UA"/>
        </w:rPr>
        <w:t>, Діаскінтест заощаджує 5,60 доларів США, а додатковий приріст становить 0,02 QALY на пацієнта. Порівняно з АВГІ, Діаскінтест заощаджує 8,40</w:t>
      </w:r>
      <w:r w:rsidR="00603272">
        <w:rPr>
          <w:sz w:val="20"/>
          <w:szCs w:val="20"/>
          <w:lang w:val="uk-UA"/>
        </w:rPr>
        <w:t xml:space="preserve"> дол.</w:t>
      </w:r>
      <w:r w:rsidRPr="00D22CB0">
        <w:rPr>
          <w:sz w:val="20"/>
          <w:szCs w:val="20"/>
          <w:lang w:val="uk-UA"/>
        </w:rPr>
        <w:t xml:space="preserve">, а додатковий приріст </w:t>
      </w:r>
      <w:r w:rsidR="00603272">
        <w:rPr>
          <w:sz w:val="20"/>
          <w:szCs w:val="20"/>
          <w:lang w:val="uk-UA"/>
        </w:rPr>
        <w:t>у</w:t>
      </w:r>
      <w:r w:rsidRPr="00D22CB0">
        <w:rPr>
          <w:sz w:val="20"/>
          <w:szCs w:val="20"/>
          <w:lang w:val="uk-UA"/>
        </w:rPr>
        <w:t xml:space="preserve"> 0,01 </w:t>
      </w:r>
      <w:r w:rsidR="00603272" w:rsidRPr="00D22CB0">
        <w:rPr>
          <w:sz w:val="20"/>
          <w:szCs w:val="20"/>
          <w:lang w:val="uk-UA"/>
        </w:rPr>
        <w:t xml:space="preserve">QALY </w:t>
      </w:r>
      <w:r w:rsidRPr="00D22CB0">
        <w:rPr>
          <w:sz w:val="20"/>
          <w:szCs w:val="20"/>
          <w:lang w:val="uk-UA"/>
        </w:rPr>
        <w:t xml:space="preserve">на пацієнта. У Південній Африці Діаскінтест є більш економічно вигідним, ніж </w:t>
      </w:r>
      <w:r w:rsidR="001F0487">
        <w:rPr>
          <w:sz w:val="20"/>
          <w:szCs w:val="20"/>
          <w:lang w:val="uk-UA"/>
        </w:rPr>
        <w:t>ТШП</w:t>
      </w:r>
      <w:r w:rsidRPr="00D22CB0">
        <w:rPr>
          <w:sz w:val="20"/>
          <w:szCs w:val="20"/>
          <w:lang w:val="uk-UA"/>
        </w:rPr>
        <w:t xml:space="preserve"> або АВГІ.</w:t>
      </w:r>
      <w:r w:rsidR="00B01E0C" w:rsidRPr="00064481">
        <w:rPr>
          <w:sz w:val="20"/>
          <w:szCs w:val="20"/>
          <w:lang w:val="uk-UA"/>
        </w:rPr>
        <w:t xml:space="preserve"> </w:t>
      </w:r>
      <w:r w:rsidR="00603272" w:rsidRPr="00603272">
        <w:rPr>
          <w:sz w:val="20"/>
          <w:szCs w:val="20"/>
          <w:lang w:val="uk-UA"/>
        </w:rPr>
        <w:t xml:space="preserve">Порівняно з </w:t>
      </w:r>
      <w:r w:rsidR="001F0487">
        <w:rPr>
          <w:sz w:val="20"/>
          <w:szCs w:val="20"/>
          <w:lang w:val="uk-UA"/>
        </w:rPr>
        <w:t>ТШП</w:t>
      </w:r>
      <w:r w:rsidR="00603272" w:rsidRPr="00603272">
        <w:rPr>
          <w:sz w:val="20"/>
          <w:szCs w:val="20"/>
          <w:lang w:val="uk-UA"/>
        </w:rPr>
        <w:t xml:space="preserve">, Діаскінтест заощаджує 4,39 дол. з додатковим приростом у 0,02 QALY, а порівняно з АВГІ - 64,41 дол. з додатковим приростом у 0,01 QALY. У Великій Британії Діаскінтест є економічно вигіднішим порівняно з </w:t>
      </w:r>
      <w:r w:rsidR="001F0487">
        <w:rPr>
          <w:sz w:val="20"/>
          <w:szCs w:val="20"/>
          <w:lang w:val="uk-UA"/>
        </w:rPr>
        <w:t>ТШП</w:t>
      </w:r>
      <w:r w:rsidR="00603272" w:rsidRPr="00603272">
        <w:rPr>
          <w:sz w:val="20"/>
          <w:szCs w:val="20"/>
          <w:lang w:val="uk-UA"/>
        </w:rPr>
        <w:t xml:space="preserve">, але не з АВГІ. Порівняно з </w:t>
      </w:r>
      <w:r w:rsidR="001F0487">
        <w:rPr>
          <w:sz w:val="20"/>
          <w:szCs w:val="20"/>
          <w:lang w:val="uk-UA"/>
        </w:rPr>
        <w:t>ТШП</w:t>
      </w:r>
      <w:r w:rsidR="00603272" w:rsidRPr="00603272">
        <w:rPr>
          <w:sz w:val="20"/>
          <w:szCs w:val="20"/>
          <w:lang w:val="uk-UA"/>
        </w:rPr>
        <w:t>, Діаскінтест заощаджує 73,33 дол. США з додатковим приростом у 0,04 QALY; однак, порівняно з АВГІ вартість Діаскінтест збільшилася на 15,80 дол. США, але все одно спостерігався додатковий приріст у 0,03 QALY.</w:t>
      </w:r>
    </w:p>
    <w:p w14:paraId="08E424F8" w14:textId="77777777" w:rsidR="00E05B98" w:rsidRPr="00064481" w:rsidRDefault="00E05B98" w:rsidP="00603272">
      <w:pPr>
        <w:pStyle w:val="a3"/>
        <w:spacing w:line="297" w:lineRule="auto"/>
        <w:jc w:val="both"/>
        <w:rPr>
          <w:sz w:val="20"/>
          <w:szCs w:val="20"/>
          <w:lang w:val="uk-UA"/>
        </w:rPr>
        <w:sectPr w:rsidR="00E05B98" w:rsidRPr="00064481" w:rsidSect="00603272">
          <w:pgSz w:w="11910" w:h="16840"/>
          <w:pgMar w:top="1320" w:right="853" w:bottom="760" w:left="850" w:header="0" w:footer="573" w:gutter="0"/>
          <w:cols w:space="720"/>
        </w:sectPr>
      </w:pPr>
    </w:p>
    <w:p w14:paraId="336AE56F" w14:textId="4C5BCF15" w:rsidR="00E05B98" w:rsidRPr="00064481" w:rsidRDefault="00A3558F" w:rsidP="00603272">
      <w:pPr>
        <w:pStyle w:val="a3"/>
        <w:spacing w:before="52" w:line="297" w:lineRule="auto"/>
        <w:ind w:left="567"/>
        <w:jc w:val="both"/>
        <w:rPr>
          <w:sz w:val="20"/>
          <w:szCs w:val="20"/>
          <w:lang w:val="uk-UA"/>
        </w:rPr>
      </w:pPr>
      <w:r w:rsidRPr="00A3558F">
        <w:rPr>
          <w:sz w:val="20"/>
          <w:szCs w:val="20"/>
          <w:lang w:val="uk-UA"/>
        </w:rPr>
        <w:lastRenderedPageBreak/>
        <w:t xml:space="preserve">Підсумовуючи викладене, результати моделювання та однофакторного аналізу чутливості показують, що в Бразилії та Південній Африці використання Діаскінтесту потенційно заощадить витрати на одного пацієнта і сприятиме більшому покращенню стану здоров'я (показник QALY на пацієнта) порівняно з </w:t>
      </w:r>
      <w:r w:rsidR="001F0487">
        <w:rPr>
          <w:sz w:val="20"/>
          <w:szCs w:val="20"/>
          <w:lang w:val="uk-UA"/>
        </w:rPr>
        <w:t>ТШП</w:t>
      </w:r>
      <w:r w:rsidRPr="00A3558F">
        <w:rPr>
          <w:sz w:val="20"/>
          <w:szCs w:val="20"/>
          <w:lang w:val="uk-UA"/>
        </w:rPr>
        <w:t xml:space="preserve"> та АВГІ. У Сполученому Королівстві Діаскінтест призводить до покращення здоров'я, але є дорожчим з точки зору очікуваних витрат на одного пацієнта, ніж АВГІ. Наші результати також показують, що в Бразилії та Південній Африці впровадження АВГІ є дорожчим, ніж </w:t>
      </w:r>
      <w:r w:rsidR="001F0487">
        <w:rPr>
          <w:sz w:val="20"/>
          <w:szCs w:val="20"/>
          <w:lang w:val="uk-UA"/>
        </w:rPr>
        <w:t>ТШП</w:t>
      </w:r>
      <w:r w:rsidRPr="00A3558F">
        <w:rPr>
          <w:sz w:val="20"/>
          <w:szCs w:val="20"/>
          <w:lang w:val="uk-UA"/>
        </w:rPr>
        <w:t>, але забезпечить покращення стану здоров'я. Однак у Великій Британії АВГІ є дешевшими у впровадженні та більш економічно ефективними, ніж ШПТ</w:t>
      </w:r>
      <w:r w:rsidR="00B01E0C" w:rsidRPr="00064481">
        <w:rPr>
          <w:sz w:val="20"/>
          <w:szCs w:val="20"/>
          <w:lang w:val="uk-UA"/>
        </w:rPr>
        <w:t>.</w:t>
      </w:r>
    </w:p>
    <w:p w14:paraId="26F094AA" w14:textId="3E324E98" w:rsidR="00E05B98" w:rsidRPr="00A3558F" w:rsidRDefault="00A3558F">
      <w:pPr>
        <w:pStyle w:val="5"/>
        <w:spacing w:before="207"/>
        <w:jc w:val="both"/>
        <w:rPr>
          <w:sz w:val="26"/>
          <w:szCs w:val="26"/>
          <w:lang w:val="uk-UA"/>
        </w:rPr>
      </w:pPr>
      <w:r w:rsidRPr="00A3558F">
        <w:rPr>
          <w:color w:val="019648"/>
          <w:spacing w:val="-2"/>
          <w:sz w:val="26"/>
          <w:szCs w:val="26"/>
          <w:lang w:val="uk-UA"/>
        </w:rPr>
        <w:t>Точка зору користувача</w:t>
      </w:r>
    </w:p>
    <w:p w14:paraId="76840037" w14:textId="2790EEE7" w:rsidR="00E05B98" w:rsidRPr="00064481" w:rsidRDefault="00A3558F" w:rsidP="00603272">
      <w:pPr>
        <w:pStyle w:val="a3"/>
        <w:spacing w:before="218" w:line="297" w:lineRule="auto"/>
        <w:ind w:left="567" w:right="1"/>
        <w:jc w:val="both"/>
        <w:rPr>
          <w:sz w:val="20"/>
          <w:szCs w:val="20"/>
          <w:lang w:val="uk-UA"/>
        </w:rPr>
      </w:pPr>
      <w:r w:rsidRPr="00B34125">
        <w:rPr>
          <w:spacing w:val="-2"/>
          <w:sz w:val="20"/>
          <w:szCs w:val="20"/>
          <w:lang w:val="uk-UA"/>
        </w:rPr>
        <w:t>Погляди користувачів</w:t>
      </w:r>
      <w:r w:rsidRPr="00A3558F">
        <w:rPr>
          <w:spacing w:val="-2"/>
          <w:sz w:val="20"/>
          <w:szCs w:val="20"/>
          <w:lang w:val="uk-UA"/>
        </w:rPr>
        <w:t xml:space="preserve"> щодо цінності, можливості реалізації, зручності застосування та прийнятності діагностичних </w:t>
      </w:r>
      <w:r w:rsidR="00B34125">
        <w:rPr>
          <w:spacing w:val="-2"/>
          <w:sz w:val="20"/>
          <w:szCs w:val="20"/>
          <w:lang w:val="uk-UA"/>
        </w:rPr>
        <w:t>методів</w:t>
      </w:r>
      <w:r w:rsidRPr="00A3558F">
        <w:rPr>
          <w:spacing w:val="-2"/>
          <w:sz w:val="20"/>
          <w:szCs w:val="20"/>
          <w:lang w:val="uk-UA"/>
        </w:rPr>
        <w:t xml:space="preserve"> є важливими в процесі впровадження таких технологій. Якщо не враховувати погляди лабораторного персоналу, лікарів, пацієнтів та персоналу протитуберкульозних програм, існують ризик</w:t>
      </w:r>
      <w:r w:rsidR="00B34125">
        <w:rPr>
          <w:spacing w:val="-2"/>
          <w:sz w:val="20"/>
          <w:szCs w:val="20"/>
          <w:lang w:val="uk-UA"/>
        </w:rPr>
        <w:t>и</w:t>
      </w:r>
      <w:r w:rsidRPr="00A3558F">
        <w:rPr>
          <w:spacing w:val="-2"/>
          <w:sz w:val="20"/>
          <w:szCs w:val="20"/>
          <w:lang w:val="uk-UA"/>
        </w:rPr>
        <w:t xml:space="preserve"> того, що технології можуть виявитися недоступними </w:t>
      </w:r>
      <w:r w:rsidR="00B34125">
        <w:rPr>
          <w:spacing w:val="-2"/>
          <w:sz w:val="20"/>
          <w:szCs w:val="20"/>
          <w:lang w:val="uk-UA"/>
        </w:rPr>
        <w:t xml:space="preserve">і такими, що </w:t>
      </w:r>
      <w:r w:rsidRPr="00A3558F">
        <w:rPr>
          <w:spacing w:val="-2"/>
          <w:sz w:val="20"/>
          <w:szCs w:val="20"/>
          <w:lang w:val="uk-UA"/>
        </w:rPr>
        <w:t>недостатньо використову</w:t>
      </w:r>
      <w:r w:rsidR="00B34125">
        <w:rPr>
          <w:spacing w:val="-2"/>
          <w:sz w:val="20"/>
          <w:szCs w:val="20"/>
          <w:lang w:val="uk-UA"/>
        </w:rPr>
        <w:t>ються тими,</w:t>
      </w:r>
      <w:r w:rsidRPr="00A3558F">
        <w:rPr>
          <w:spacing w:val="-2"/>
          <w:sz w:val="20"/>
          <w:szCs w:val="20"/>
          <w:lang w:val="uk-UA"/>
        </w:rPr>
        <w:t xml:space="preserve"> для кого вони призначені.</w:t>
      </w:r>
    </w:p>
    <w:p w14:paraId="4109429B" w14:textId="35783D9B" w:rsidR="00E05B98" w:rsidRPr="00064481" w:rsidRDefault="00ED75BF" w:rsidP="00603272">
      <w:pPr>
        <w:pStyle w:val="a3"/>
        <w:spacing w:before="145"/>
        <w:ind w:left="567" w:right="1"/>
        <w:jc w:val="both"/>
        <w:rPr>
          <w:sz w:val="20"/>
          <w:szCs w:val="20"/>
          <w:lang w:val="uk-UA"/>
        </w:rPr>
      </w:pPr>
      <w:r w:rsidRPr="00ED75BF">
        <w:rPr>
          <w:sz w:val="20"/>
          <w:szCs w:val="20"/>
          <w:lang w:val="uk-UA"/>
        </w:rPr>
        <w:t>Для вирішення питань, пов'язаних з точкою зору користувачів, було проведено наступні активності:</w:t>
      </w:r>
    </w:p>
    <w:p w14:paraId="1B4CFB45" w14:textId="70198006" w:rsidR="00E05B98" w:rsidRPr="00064481" w:rsidRDefault="00ED75BF" w:rsidP="00603272">
      <w:pPr>
        <w:pStyle w:val="a4"/>
        <w:numPr>
          <w:ilvl w:val="0"/>
          <w:numId w:val="7"/>
        </w:numPr>
        <w:tabs>
          <w:tab w:val="left" w:pos="850"/>
        </w:tabs>
        <w:spacing w:before="146" w:line="297" w:lineRule="auto"/>
        <w:ind w:right="1"/>
        <w:rPr>
          <w:sz w:val="20"/>
          <w:szCs w:val="20"/>
          <w:lang w:val="uk-UA"/>
        </w:rPr>
      </w:pPr>
      <w:r w:rsidRPr="00ED75BF">
        <w:rPr>
          <w:sz w:val="20"/>
          <w:szCs w:val="20"/>
          <w:lang w:val="uk-UA"/>
        </w:rPr>
        <w:t>Два систематичні огляди, які синтезували якісні доказ</w:t>
      </w:r>
      <w:r w:rsidR="00B34125">
        <w:rPr>
          <w:sz w:val="20"/>
          <w:szCs w:val="20"/>
          <w:lang w:val="uk-UA"/>
        </w:rPr>
        <w:t>и</w:t>
      </w:r>
      <w:r w:rsidRPr="00ED75BF">
        <w:rPr>
          <w:sz w:val="20"/>
          <w:szCs w:val="20"/>
          <w:lang w:val="uk-UA"/>
        </w:rPr>
        <w:t xml:space="preserve"> досліджень про цінності та уподобання кінцевого користувача стосовно використання конкретних ШПТБ для виявлення ТБ-інфекції порівняно з існуючими тестами (АВГІ та</w:t>
      </w:r>
      <w:r w:rsidR="001F0487">
        <w:rPr>
          <w:sz w:val="20"/>
          <w:szCs w:val="20"/>
          <w:lang w:val="uk-UA"/>
        </w:rPr>
        <w:t xml:space="preserve"> ТШП</w:t>
      </w:r>
      <w:r w:rsidRPr="00ED75BF">
        <w:rPr>
          <w:sz w:val="20"/>
          <w:szCs w:val="20"/>
          <w:lang w:val="uk-UA"/>
        </w:rPr>
        <w:t>). Якість досліджень та достовірність доказів оцінювали відповідно до GRADE-CERQual (впевненість у доказах із оглядів якісних досліджень).</w:t>
      </w:r>
    </w:p>
    <w:p w14:paraId="73503A10" w14:textId="05BA04AE" w:rsidR="00E05B98" w:rsidRPr="00064481" w:rsidRDefault="008F635D" w:rsidP="00603272">
      <w:pPr>
        <w:pStyle w:val="a4"/>
        <w:numPr>
          <w:ilvl w:val="0"/>
          <w:numId w:val="7"/>
        </w:numPr>
        <w:tabs>
          <w:tab w:val="left" w:pos="850"/>
        </w:tabs>
        <w:spacing w:before="5" w:line="297" w:lineRule="auto"/>
        <w:ind w:right="1"/>
        <w:rPr>
          <w:sz w:val="20"/>
          <w:szCs w:val="20"/>
          <w:lang w:val="uk-UA"/>
        </w:rPr>
      </w:pPr>
      <w:r w:rsidRPr="008F635D">
        <w:rPr>
          <w:sz w:val="20"/>
          <w:szCs w:val="20"/>
          <w:lang w:val="uk-UA"/>
        </w:rPr>
        <w:t>Двадцять напівструктурованих інтерв'ю з</w:t>
      </w:r>
      <w:r w:rsidR="00141235">
        <w:rPr>
          <w:sz w:val="20"/>
          <w:szCs w:val="20"/>
          <w:lang w:val="uk-UA"/>
        </w:rPr>
        <w:t>а участю</w:t>
      </w:r>
      <w:r w:rsidRPr="008F635D">
        <w:rPr>
          <w:sz w:val="20"/>
          <w:szCs w:val="20"/>
          <w:lang w:val="uk-UA"/>
        </w:rPr>
        <w:t xml:space="preserve"> широк</w:t>
      </w:r>
      <w:r w:rsidR="00141235">
        <w:rPr>
          <w:sz w:val="20"/>
          <w:szCs w:val="20"/>
          <w:lang w:val="uk-UA"/>
        </w:rPr>
        <w:t>ого</w:t>
      </w:r>
      <w:r w:rsidRPr="008F635D">
        <w:rPr>
          <w:sz w:val="20"/>
          <w:szCs w:val="20"/>
          <w:lang w:val="uk-UA"/>
        </w:rPr>
        <w:t xml:space="preserve"> кол</w:t>
      </w:r>
      <w:r w:rsidR="00141235">
        <w:rPr>
          <w:sz w:val="20"/>
          <w:szCs w:val="20"/>
          <w:lang w:val="uk-UA"/>
        </w:rPr>
        <w:t>а</w:t>
      </w:r>
      <w:r w:rsidRPr="008F635D">
        <w:rPr>
          <w:sz w:val="20"/>
          <w:szCs w:val="20"/>
          <w:lang w:val="uk-UA"/>
        </w:rPr>
        <w:t xml:space="preserve"> клініцистів, співробітників лабораторій, працівників програм та осіб, які живуть з інфекцією ТБ (далі в цьому звіті іменуються як  «споживачі»).</w:t>
      </w:r>
    </w:p>
    <w:p w14:paraId="67D07A43" w14:textId="34FE72AE" w:rsidR="00E05B98" w:rsidRPr="00064481" w:rsidRDefault="00841D7D" w:rsidP="00603272">
      <w:pPr>
        <w:pStyle w:val="a4"/>
        <w:numPr>
          <w:ilvl w:val="0"/>
          <w:numId w:val="7"/>
        </w:numPr>
        <w:tabs>
          <w:tab w:val="left" w:pos="850"/>
        </w:tabs>
        <w:spacing w:before="4" w:line="297" w:lineRule="auto"/>
        <w:ind w:right="1"/>
        <w:rPr>
          <w:sz w:val="20"/>
          <w:szCs w:val="20"/>
          <w:lang w:val="uk-UA"/>
        </w:rPr>
      </w:pPr>
      <w:r w:rsidRPr="00841D7D">
        <w:rPr>
          <w:sz w:val="20"/>
          <w:szCs w:val="20"/>
          <w:lang w:val="uk-UA"/>
        </w:rPr>
        <w:t xml:space="preserve">Дослідження експерименту з дискретним вибором (DCE), що ґрунтується на темах, отриманих із систематичних оглядів та напівструктурованих інтерв'ю. </w:t>
      </w:r>
      <w:r w:rsidR="00141235" w:rsidRPr="00141235">
        <w:rPr>
          <w:sz w:val="20"/>
          <w:szCs w:val="20"/>
          <w:lang w:val="uk-UA"/>
        </w:rPr>
        <w:t>Методологія DCE використовувалася для з'ясування заявлених цінностей та уподобань учасників (кінцевих споживачів) без прямого звернення до них з проханням назвати варіанти, яким вони надають перевагу</w:t>
      </w:r>
      <w:r w:rsidRPr="00841D7D">
        <w:rPr>
          <w:sz w:val="20"/>
          <w:szCs w:val="20"/>
          <w:lang w:val="uk-UA"/>
        </w:rPr>
        <w:t>.</w:t>
      </w:r>
    </w:p>
    <w:p w14:paraId="43EF3F52" w14:textId="1824D0E9" w:rsidR="00E05B98" w:rsidRPr="00064481" w:rsidRDefault="00841D7D" w:rsidP="00603272">
      <w:pPr>
        <w:pStyle w:val="a3"/>
        <w:spacing w:before="231" w:line="297" w:lineRule="auto"/>
        <w:ind w:left="567" w:right="1"/>
        <w:jc w:val="both"/>
        <w:rPr>
          <w:sz w:val="20"/>
          <w:szCs w:val="20"/>
          <w:lang w:val="uk-UA"/>
        </w:rPr>
      </w:pPr>
      <w:r w:rsidRPr="00841D7D">
        <w:rPr>
          <w:sz w:val="20"/>
          <w:szCs w:val="20"/>
          <w:lang w:val="uk-UA"/>
        </w:rPr>
        <w:t>Було виявлено чотири дослідження, які відповідали критеріям включення до обох систематичних оглядів. З</w:t>
      </w:r>
      <w:r w:rsidR="004E4762">
        <w:rPr>
          <w:sz w:val="20"/>
          <w:szCs w:val="20"/>
          <w:lang w:val="uk-UA"/>
        </w:rPr>
        <w:t>а результатами огляду,</w:t>
      </w:r>
      <w:r w:rsidRPr="00841D7D">
        <w:rPr>
          <w:sz w:val="20"/>
          <w:szCs w:val="20"/>
          <w:lang w:val="uk-UA"/>
        </w:rPr>
        <w:t xml:space="preserve"> проведеного по конкретним ШПТБ, було виявлено лише одне джерело даних (з Російської Федерації), яке було отримано в рамках публічного запиту ВООЗ надати дані</w:t>
      </w:r>
      <w:r w:rsidR="004E4762">
        <w:rPr>
          <w:sz w:val="20"/>
          <w:szCs w:val="20"/>
          <w:lang w:val="uk-UA"/>
        </w:rPr>
        <w:t xml:space="preserve"> стосовно</w:t>
      </w:r>
      <w:r w:rsidRPr="00841D7D">
        <w:rPr>
          <w:sz w:val="20"/>
          <w:szCs w:val="20"/>
          <w:lang w:val="uk-UA"/>
        </w:rPr>
        <w:t xml:space="preserve"> можливості реалізації та прийнятності ШПТБ. Учасниками дослідження були батьки дітей та підлітків з туберкульозною інфекцією.</w:t>
      </w:r>
      <w:r w:rsidR="00B01E0C" w:rsidRPr="00064481">
        <w:rPr>
          <w:spacing w:val="-13"/>
          <w:sz w:val="20"/>
          <w:szCs w:val="20"/>
          <w:lang w:val="uk-UA"/>
        </w:rPr>
        <w:t xml:space="preserve"> </w:t>
      </w:r>
      <w:r w:rsidR="00604093" w:rsidRPr="00604093">
        <w:rPr>
          <w:spacing w:val="-2"/>
          <w:sz w:val="20"/>
          <w:szCs w:val="20"/>
          <w:lang w:val="uk-UA"/>
        </w:rPr>
        <w:t xml:space="preserve">Під час огляду нині існуючих АВГІ та </w:t>
      </w:r>
      <w:r w:rsidR="001F0487">
        <w:rPr>
          <w:spacing w:val="-2"/>
          <w:sz w:val="20"/>
          <w:szCs w:val="20"/>
          <w:lang w:val="uk-UA"/>
        </w:rPr>
        <w:t>ТШП</w:t>
      </w:r>
      <w:r w:rsidR="00604093" w:rsidRPr="00604093">
        <w:rPr>
          <w:spacing w:val="-2"/>
          <w:sz w:val="20"/>
          <w:szCs w:val="20"/>
          <w:lang w:val="uk-UA"/>
        </w:rPr>
        <w:t xml:space="preserve"> було виявлено три рецензовані статті, які відповідали критеріям включення; ці три документи були підготовлені в Нідерландах, Південній Африці та Сполучених Штатах Америки (США). </w:t>
      </w:r>
      <w:r w:rsidR="004E4762">
        <w:rPr>
          <w:spacing w:val="-2"/>
          <w:sz w:val="20"/>
          <w:szCs w:val="20"/>
          <w:lang w:val="uk-UA"/>
        </w:rPr>
        <w:t>С</w:t>
      </w:r>
      <w:r w:rsidR="00604093" w:rsidRPr="00604093">
        <w:rPr>
          <w:spacing w:val="-2"/>
          <w:sz w:val="20"/>
          <w:szCs w:val="20"/>
          <w:lang w:val="uk-UA"/>
        </w:rPr>
        <w:t xml:space="preserve">клад учасників </w:t>
      </w:r>
      <w:r w:rsidR="004E4762">
        <w:rPr>
          <w:spacing w:val="-2"/>
          <w:sz w:val="20"/>
          <w:szCs w:val="20"/>
          <w:lang w:val="uk-UA"/>
        </w:rPr>
        <w:t xml:space="preserve">включав </w:t>
      </w:r>
      <w:r w:rsidR="00604093" w:rsidRPr="00604093">
        <w:rPr>
          <w:spacing w:val="-2"/>
          <w:sz w:val="20"/>
          <w:szCs w:val="20"/>
          <w:lang w:val="uk-UA"/>
        </w:rPr>
        <w:t>низку медичних працівників, залучених до сфери надання догляду при ТБ (Нідерланди, Південна Африка та США), а також ЛЖВ (Південна Африка).</w:t>
      </w:r>
      <w:r w:rsidR="00B01E0C" w:rsidRPr="00064481">
        <w:rPr>
          <w:sz w:val="20"/>
          <w:szCs w:val="20"/>
          <w:lang w:val="uk-UA"/>
        </w:rPr>
        <w:t xml:space="preserve"> </w:t>
      </w:r>
      <w:r w:rsidR="005343BB" w:rsidRPr="005343BB">
        <w:rPr>
          <w:sz w:val="20"/>
          <w:szCs w:val="20"/>
          <w:lang w:val="uk-UA"/>
        </w:rPr>
        <w:t>Загальний рівень впевненості в якості доказів, отриманих в ході досліджень, був від низького до помірного за оцінкою GRADE-CERQual, оскільки дані були недостатньо повними, а більшість досліджень містили лише резюме цитат учасників або обмежену кількість прямих цитат. Усі дослідження проводилися із залученням конкретних підгруп (наприклад, ЛЖВ або батьки дітей та підлітків з інфекцією ТБ).</w:t>
      </w:r>
    </w:p>
    <w:p w14:paraId="4C5D049B" w14:textId="5597E952" w:rsidR="00E05B98" w:rsidRPr="00064481" w:rsidRDefault="00BE1978" w:rsidP="00BE1978">
      <w:pPr>
        <w:pStyle w:val="a3"/>
        <w:spacing w:before="185" w:line="276" w:lineRule="auto"/>
        <w:ind w:left="567" w:right="1"/>
        <w:jc w:val="both"/>
        <w:rPr>
          <w:sz w:val="20"/>
          <w:szCs w:val="20"/>
          <w:lang w:val="uk-UA"/>
        </w:rPr>
      </w:pPr>
      <w:r w:rsidRPr="00BE1978">
        <w:rPr>
          <w:sz w:val="20"/>
          <w:szCs w:val="20"/>
          <w:lang w:val="uk-UA"/>
        </w:rPr>
        <w:t xml:space="preserve">Для проведення інтерв'ю з користувачами було відібрано 20 учасників: 13 із них були надавачами медичного догляду при ТБ (8 </w:t>
      </w:r>
      <w:r w:rsidR="004E4762">
        <w:rPr>
          <w:sz w:val="20"/>
          <w:szCs w:val="20"/>
          <w:lang w:val="uk-UA"/>
        </w:rPr>
        <w:t xml:space="preserve">- </w:t>
      </w:r>
      <w:r w:rsidRPr="00BE1978">
        <w:rPr>
          <w:sz w:val="20"/>
          <w:szCs w:val="20"/>
          <w:lang w:val="uk-UA"/>
        </w:rPr>
        <w:t xml:space="preserve">з країн з низьким та середнім рівнем доходу [КНСРД]), та сім - людей, які стикнулися з проблемою захворювання на ТБ (три людини з КНСРД). Серед постачальників медичних </w:t>
      </w:r>
      <w:r w:rsidR="00CE4B93" w:rsidRPr="00BE1978">
        <w:rPr>
          <w:sz w:val="20"/>
          <w:szCs w:val="20"/>
          <w:lang w:val="uk-UA"/>
        </w:rPr>
        <w:t>послуг</w:t>
      </w:r>
      <w:r w:rsidRPr="00BE1978">
        <w:rPr>
          <w:sz w:val="20"/>
          <w:szCs w:val="20"/>
          <w:lang w:val="uk-UA"/>
        </w:rPr>
        <w:t xml:space="preserve"> були керівники програм та особи, які приймають рішення, практикуючі лікарі та захисники в сфері громадського здоров'я, лікарі, дослідники та лаборанти, а також медсестра.</w:t>
      </w:r>
    </w:p>
    <w:p w14:paraId="278683A7" w14:textId="77777777" w:rsidR="00E05B98" w:rsidRPr="00064481" w:rsidRDefault="00E05B98" w:rsidP="00BE1978">
      <w:pPr>
        <w:pStyle w:val="a3"/>
        <w:spacing w:line="276" w:lineRule="auto"/>
        <w:jc w:val="both"/>
        <w:rPr>
          <w:sz w:val="20"/>
          <w:szCs w:val="20"/>
          <w:lang w:val="uk-UA"/>
        </w:rPr>
        <w:sectPr w:rsidR="00E05B98" w:rsidRPr="00064481" w:rsidSect="00603272">
          <w:pgSz w:w="11910" w:h="16840"/>
          <w:pgMar w:top="1320" w:right="853" w:bottom="760" w:left="850" w:header="0" w:footer="573" w:gutter="0"/>
          <w:cols w:space="720"/>
        </w:sectPr>
      </w:pPr>
    </w:p>
    <w:p w14:paraId="4B038997" w14:textId="7A98DEBE" w:rsidR="00BE1978" w:rsidRPr="00BE1978" w:rsidRDefault="00BE1978" w:rsidP="000558C9">
      <w:pPr>
        <w:pStyle w:val="a3"/>
        <w:spacing w:before="175" w:line="276" w:lineRule="auto"/>
        <w:ind w:left="567" w:right="-280"/>
        <w:jc w:val="both"/>
        <w:rPr>
          <w:sz w:val="20"/>
          <w:szCs w:val="20"/>
          <w:lang w:val="uk-UA"/>
        </w:rPr>
      </w:pPr>
      <w:r w:rsidRPr="00BE1978">
        <w:rPr>
          <w:sz w:val="20"/>
          <w:szCs w:val="20"/>
          <w:lang w:val="uk-UA"/>
        </w:rPr>
        <w:lastRenderedPageBreak/>
        <w:t>У рамках DCE</w:t>
      </w:r>
      <w:r w:rsidR="004E4762">
        <w:rPr>
          <w:sz w:val="20"/>
          <w:szCs w:val="20"/>
          <w:lang w:val="uk-UA"/>
        </w:rPr>
        <w:t>,</w:t>
      </w:r>
      <w:r w:rsidRPr="00BE1978">
        <w:rPr>
          <w:sz w:val="20"/>
          <w:szCs w:val="20"/>
          <w:lang w:val="uk-UA"/>
        </w:rPr>
        <w:t xml:space="preserve"> загалом 234 учасники завершили цю активність (186 надавачів медичних послуг і 48 споживачів). Загалом, 59% респондентів були жінками, 56% - </w:t>
      </w:r>
      <w:r w:rsidR="004E4762">
        <w:rPr>
          <w:sz w:val="20"/>
          <w:szCs w:val="20"/>
          <w:lang w:val="uk-UA"/>
        </w:rPr>
        <w:t xml:space="preserve">особи </w:t>
      </w:r>
      <w:r w:rsidRPr="00BE1978">
        <w:rPr>
          <w:sz w:val="20"/>
          <w:szCs w:val="20"/>
          <w:lang w:val="uk-UA"/>
        </w:rPr>
        <w:t xml:space="preserve">віком 36-55 років; основними країнами, в яких проживали респонденти, були Індія (26%), США (16%), Південна Африка (9%), Пакистан (8%) </w:t>
      </w:r>
      <w:r w:rsidR="004E4762">
        <w:rPr>
          <w:sz w:val="20"/>
          <w:szCs w:val="20"/>
          <w:lang w:val="uk-UA"/>
        </w:rPr>
        <w:t>і</w:t>
      </w:r>
      <w:r w:rsidRPr="00BE1978">
        <w:rPr>
          <w:sz w:val="20"/>
          <w:szCs w:val="20"/>
          <w:lang w:val="uk-UA"/>
        </w:rPr>
        <w:t xml:space="preserve"> Зімбабве (7%).</w:t>
      </w:r>
    </w:p>
    <w:p w14:paraId="2AD2AF46" w14:textId="61C249CF" w:rsidR="00E05B98" w:rsidRPr="00064481" w:rsidRDefault="00BE1978" w:rsidP="000558C9">
      <w:pPr>
        <w:pStyle w:val="a3"/>
        <w:spacing w:before="175" w:line="276" w:lineRule="auto"/>
        <w:ind w:left="567" w:right="-280"/>
        <w:jc w:val="both"/>
        <w:rPr>
          <w:sz w:val="20"/>
          <w:szCs w:val="20"/>
          <w:lang w:val="uk-UA"/>
        </w:rPr>
      </w:pPr>
      <w:r w:rsidRPr="00BE1978">
        <w:rPr>
          <w:sz w:val="20"/>
          <w:szCs w:val="20"/>
          <w:lang w:val="uk-UA"/>
        </w:rPr>
        <w:t>Висновки ґрунтувалися на попередньо визначених питаннях дослідження, викладених нижче.</w:t>
      </w:r>
    </w:p>
    <w:p w14:paraId="6F9AC840" w14:textId="17E76B40" w:rsidR="00E05B98" w:rsidRPr="00EB32C7" w:rsidRDefault="00BE1978" w:rsidP="000558C9">
      <w:pPr>
        <w:pStyle w:val="9"/>
        <w:spacing w:before="228" w:line="295" w:lineRule="auto"/>
        <w:ind w:right="-280"/>
        <w:jc w:val="both"/>
        <w:rPr>
          <w:sz w:val="20"/>
          <w:szCs w:val="20"/>
          <w:lang w:val="uk-UA"/>
        </w:rPr>
      </w:pPr>
      <w:r w:rsidRPr="00EB32C7">
        <w:rPr>
          <w:sz w:val="20"/>
          <w:szCs w:val="20"/>
          <w:lang w:val="uk-UA"/>
        </w:rPr>
        <w:t>Чи існує значна невизначеність або мінливість у тому, наскільки кінцеві користувачі цінують основні результати?</w:t>
      </w:r>
    </w:p>
    <w:p w14:paraId="20012574" w14:textId="664D5807" w:rsidR="00E05B98" w:rsidRPr="00064481" w:rsidRDefault="00210C13" w:rsidP="000558C9">
      <w:pPr>
        <w:pStyle w:val="a3"/>
        <w:spacing w:before="171" w:line="297" w:lineRule="auto"/>
        <w:ind w:left="567" w:right="-280"/>
        <w:jc w:val="both"/>
        <w:rPr>
          <w:sz w:val="20"/>
          <w:szCs w:val="20"/>
          <w:lang w:val="uk-UA"/>
        </w:rPr>
      </w:pPr>
      <w:r w:rsidRPr="00210C13">
        <w:rPr>
          <w:spacing w:val="-2"/>
          <w:sz w:val="20"/>
          <w:szCs w:val="20"/>
          <w:lang w:val="uk-UA"/>
        </w:rPr>
        <w:t>Якісні дані систематичних оглядів та інтерв'ю з кінцевими користувачами, а також кількісні дані DCE вказують на те, що споживачі та надавачі медичних послуг мають схожі цінності та уподобання стосовно тестів на</w:t>
      </w:r>
      <w:r w:rsidR="004E4762">
        <w:rPr>
          <w:spacing w:val="-2"/>
          <w:sz w:val="20"/>
          <w:szCs w:val="20"/>
          <w:lang w:val="uk-UA"/>
        </w:rPr>
        <w:t xml:space="preserve"> </w:t>
      </w:r>
      <w:r w:rsidRPr="00210C13">
        <w:rPr>
          <w:spacing w:val="-2"/>
          <w:sz w:val="20"/>
          <w:szCs w:val="20"/>
          <w:lang w:val="uk-UA"/>
        </w:rPr>
        <w:t>ТБ</w:t>
      </w:r>
      <w:r w:rsidR="004E4762">
        <w:rPr>
          <w:spacing w:val="-2"/>
          <w:sz w:val="20"/>
          <w:szCs w:val="20"/>
          <w:lang w:val="uk-UA"/>
        </w:rPr>
        <w:t>-інфекцію</w:t>
      </w:r>
      <w:r w:rsidRPr="00210C13">
        <w:rPr>
          <w:spacing w:val="-2"/>
          <w:sz w:val="20"/>
          <w:szCs w:val="20"/>
          <w:lang w:val="uk-UA"/>
        </w:rPr>
        <w:t>. Ключові цінності для кінцевих користувачів включали точність тесту, зручність, позитивний досвід пацієнта, вартість та вимоги до ресурсів.</w:t>
      </w:r>
      <w:r w:rsidR="00B01E0C" w:rsidRPr="00064481">
        <w:rPr>
          <w:spacing w:val="-1"/>
          <w:sz w:val="20"/>
          <w:szCs w:val="20"/>
          <w:lang w:val="uk-UA"/>
        </w:rPr>
        <w:t xml:space="preserve"> </w:t>
      </w:r>
      <w:r w:rsidR="005469D0" w:rsidRPr="005469D0">
        <w:rPr>
          <w:sz w:val="20"/>
          <w:szCs w:val="20"/>
          <w:lang w:val="uk-UA"/>
        </w:rPr>
        <w:t>Зокрема, кінцеві користувачі цінували тести з високою точністю, такі як ШПТБ та АВГІ (тобто з низьким показником хибнопозитивних та хибнонегативних результатів), оскільки вони знижують ризик</w:t>
      </w:r>
      <w:r w:rsidR="004E4762">
        <w:rPr>
          <w:sz w:val="20"/>
          <w:szCs w:val="20"/>
          <w:lang w:val="uk-UA"/>
        </w:rPr>
        <w:t>и</w:t>
      </w:r>
      <w:r w:rsidR="005469D0" w:rsidRPr="005469D0">
        <w:rPr>
          <w:sz w:val="20"/>
          <w:szCs w:val="20"/>
          <w:lang w:val="uk-UA"/>
        </w:rPr>
        <w:t xml:space="preserve"> подальших наслідків, пов'язаних з хибнопозитивними та хибнонегативними результатами (наприклад, занепокоєння, необхідність проведення додаткового тесту чи непотрібного лікування). Кінцеві користувачі також надавали перевагу тесту, який є зручним в застосуванні та до якого було зручно отримати доступ.</w:t>
      </w:r>
      <w:r w:rsidR="00B01E0C" w:rsidRPr="00064481">
        <w:rPr>
          <w:sz w:val="20"/>
          <w:szCs w:val="20"/>
          <w:lang w:val="uk-UA"/>
        </w:rPr>
        <w:t xml:space="preserve"> </w:t>
      </w:r>
      <w:r w:rsidR="005469D0" w:rsidRPr="005469D0">
        <w:rPr>
          <w:sz w:val="20"/>
          <w:szCs w:val="20"/>
          <w:lang w:val="uk-UA"/>
        </w:rPr>
        <w:t>Це включало оцінку тестів, які мож</w:t>
      </w:r>
      <w:r w:rsidR="001A6A67">
        <w:rPr>
          <w:sz w:val="20"/>
          <w:szCs w:val="20"/>
          <w:lang w:val="uk-UA"/>
        </w:rPr>
        <w:t>на отримати</w:t>
      </w:r>
      <w:r w:rsidR="005469D0" w:rsidRPr="005469D0">
        <w:rPr>
          <w:sz w:val="20"/>
          <w:szCs w:val="20"/>
          <w:lang w:val="uk-UA"/>
        </w:rPr>
        <w:t xml:space="preserve"> на рівні громад</w:t>
      </w:r>
      <w:r w:rsidR="001A6A67">
        <w:rPr>
          <w:sz w:val="20"/>
          <w:szCs w:val="20"/>
          <w:lang w:val="uk-UA"/>
        </w:rPr>
        <w:t>и</w:t>
      </w:r>
      <w:r w:rsidR="005469D0" w:rsidRPr="005469D0">
        <w:rPr>
          <w:sz w:val="20"/>
          <w:szCs w:val="20"/>
          <w:lang w:val="uk-UA"/>
        </w:rPr>
        <w:t xml:space="preserve"> або в закладах з надання первинної меди</w:t>
      </w:r>
      <w:r w:rsidR="001A6A67">
        <w:rPr>
          <w:sz w:val="20"/>
          <w:szCs w:val="20"/>
          <w:lang w:val="uk-UA"/>
        </w:rPr>
        <w:t xml:space="preserve">ко-санітарної </w:t>
      </w:r>
      <w:r w:rsidR="005469D0" w:rsidRPr="005469D0">
        <w:rPr>
          <w:sz w:val="20"/>
          <w:szCs w:val="20"/>
          <w:lang w:val="uk-UA"/>
        </w:rPr>
        <w:t>допомоги, які не потребують подальших візитів для ознайомлення з результатами тесту, та які можна проводити без необхідності розробки додаткових систем або інфраструктури. Ці результати були спочатку визначені на основі тем, що випливають із систематичних оглядів та інтерв'ю з кінцевими користувачами, і були підтверджені отриманими результатами DCE.</w:t>
      </w:r>
    </w:p>
    <w:p w14:paraId="6706A3B0" w14:textId="445A2639" w:rsidR="00E05B98" w:rsidRDefault="009314DC" w:rsidP="000558C9">
      <w:pPr>
        <w:pStyle w:val="a3"/>
        <w:spacing w:before="186" w:line="297" w:lineRule="auto"/>
        <w:ind w:left="567" w:right="-280"/>
        <w:jc w:val="both"/>
        <w:rPr>
          <w:sz w:val="20"/>
          <w:szCs w:val="20"/>
          <w:lang w:val="uk-UA"/>
        </w:rPr>
      </w:pPr>
      <w:r w:rsidRPr="009314DC">
        <w:rPr>
          <w:sz w:val="20"/>
          <w:szCs w:val="20"/>
          <w:lang w:val="uk-UA"/>
        </w:rPr>
        <w:t>На основі якісних даних, отриманих під час  оглядів та інтерв'ю, було встановлено, що всі варіанти тестів на ТБ мають сильні та слабкі сторони з точки зору зручності. Кінцеві користувачі цінували позитивний досвід споживача. Це означало, що перевагу надавали тестам з меншим психологічними ефектами (наприклад, тривожність, стигматизація та стрес) та фізичними наслідками (наприклад, відчуття дискомфорту).</w:t>
      </w:r>
      <w:r w:rsidR="00B01E0C" w:rsidRPr="00064481">
        <w:rPr>
          <w:spacing w:val="-10"/>
          <w:sz w:val="20"/>
          <w:szCs w:val="20"/>
          <w:lang w:val="uk-UA"/>
        </w:rPr>
        <w:t xml:space="preserve"> </w:t>
      </w:r>
      <w:r w:rsidR="00367B75" w:rsidRPr="00367B75">
        <w:rPr>
          <w:sz w:val="20"/>
          <w:szCs w:val="20"/>
          <w:lang w:val="uk-UA"/>
        </w:rPr>
        <w:t xml:space="preserve">Тести, що були більш точними, як правило, асоціювалися з кращим споживчим досвідом, хоча деякі аспекти досвіду споживача були гіршими при використанні шкірних тестів (наприклад, стигма від рубця та відчуття дискомфорту) порівняно з нешкірними тестами. Зазвичай надавали перевагу недорогим тестам через більшу їх доступність в умовах обмежених ресурсів (наприклад, ШПТБ і </w:t>
      </w:r>
      <w:r w:rsidR="001F0487">
        <w:rPr>
          <w:sz w:val="20"/>
          <w:szCs w:val="20"/>
          <w:lang w:val="uk-UA"/>
        </w:rPr>
        <w:t>ТШП</w:t>
      </w:r>
      <w:r w:rsidR="00367B75" w:rsidRPr="00367B75">
        <w:rPr>
          <w:sz w:val="20"/>
          <w:szCs w:val="20"/>
          <w:lang w:val="uk-UA"/>
        </w:rPr>
        <w:t>).</w:t>
      </w:r>
      <w:r w:rsidR="00B01E0C" w:rsidRPr="00064481">
        <w:rPr>
          <w:sz w:val="20"/>
          <w:szCs w:val="20"/>
          <w:lang w:val="uk-UA"/>
        </w:rPr>
        <w:t xml:space="preserve"> </w:t>
      </w:r>
      <w:r w:rsidR="00367B75" w:rsidRPr="00367B75">
        <w:rPr>
          <w:sz w:val="20"/>
          <w:szCs w:val="20"/>
          <w:lang w:val="uk-UA"/>
        </w:rPr>
        <w:t xml:space="preserve">В умовах обмежених ресурсів перевагу надавали тестам з меншими вимогами до ресурсів (наприклад, тести ШПТБ і </w:t>
      </w:r>
      <w:r w:rsidR="001F0487">
        <w:rPr>
          <w:sz w:val="20"/>
          <w:szCs w:val="20"/>
          <w:lang w:val="uk-UA"/>
        </w:rPr>
        <w:t>ТШП</w:t>
      </w:r>
      <w:r w:rsidR="00367B75" w:rsidRPr="00367B75">
        <w:rPr>
          <w:sz w:val="20"/>
          <w:szCs w:val="20"/>
          <w:lang w:val="uk-UA"/>
        </w:rPr>
        <w:t xml:space="preserve">); однак у країнах з високим рівнем доходу цей фактор виявився менш значущим. Кінцеві користувачі надавали перевагу тестам на ТБ, які використовували наявну інфраструктуру в їхніх </w:t>
      </w:r>
      <w:r w:rsidR="00FA1824">
        <w:rPr>
          <w:sz w:val="20"/>
          <w:szCs w:val="20"/>
          <w:lang w:val="uk-UA"/>
        </w:rPr>
        <w:t xml:space="preserve">медичних </w:t>
      </w:r>
      <w:r w:rsidR="00367B75" w:rsidRPr="00367B75">
        <w:rPr>
          <w:sz w:val="20"/>
          <w:szCs w:val="20"/>
          <w:lang w:val="uk-UA"/>
        </w:rPr>
        <w:t>закладах. Дані DCE підтвердили, що важливими перевагами при тестуванні на ТБ для кінцевого споживача є відсутність необхідності особистого візиту до лікаря</w:t>
      </w:r>
      <w:r w:rsidR="00EB32C7">
        <w:rPr>
          <w:sz w:val="20"/>
          <w:szCs w:val="20"/>
          <w:lang w:val="uk-UA"/>
        </w:rPr>
        <w:t xml:space="preserve"> для подальшого спостереження</w:t>
      </w:r>
      <w:r w:rsidR="00367B75" w:rsidRPr="00367B75">
        <w:rPr>
          <w:sz w:val="20"/>
          <w:szCs w:val="20"/>
          <w:lang w:val="uk-UA"/>
        </w:rPr>
        <w:t>, а також відсутність потреби в забезпеченні спеціалізованим персоналом або обладнанням для інтерпретації або проведення тесту.</w:t>
      </w:r>
    </w:p>
    <w:p w14:paraId="04C27AE5" w14:textId="2AD50981" w:rsidR="00E05B98" w:rsidRPr="00EB32C7" w:rsidRDefault="00FA1824" w:rsidP="00EB32C7">
      <w:pPr>
        <w:pStyle w:val="a3"/>
        <w:spacing w:before="186" w:line="297" w:lineRule="auto"/>
        <w:ind w:left="567" w:right="-280"/>
        <w:jc w:val="both"/>
        <w:rPr>
          <w:b/>
          <w:bCs/>
          <w:sz w:val="20"/>
          <w:szCs w:val="20"/>
          <w:lang w:val="uk-UA"/>
        </w:rPr>
      </w:pPr>
      <w:r w:rsidRPr="00FA1824">
        <w:rPr>
          <w:sz w:val="20"/>
          <w:szCs w:val="20"/>
        </w:rPr>
        <w:t> </w:t>
      </w:r>
      <w:r w:rsidR="00020C67" w:rsidRPr="00EB32C7">
        <w:rPr>
          <w:b/>
          <w:bCs/>
          <w:sz w:val="20"/>
          <w:szCs w:val="20"/>
          <w:lang w:val="uk-UA"/>
        </w:rPr>
        <w:t xml:space="preserve">Яким буде вплив на справедливість </w:t>
      </w:r>
      <w:r w:rsidR="007000AF">
        <w:rPr>
          <w:b/>
          <w:bCs/>
          <w:sz w:val="20"/>
          <w:szCs w:val="20"/>
          <w:lang w:val="ru-RU"/>
        </w:rPr>
        <w:t>щодо</w:t>
      </w:r>
      <w:r w:rsidR="00020C67" w:rsidRPr="00EB32C7">
        <w:rPr>
          <w:b/>
          <w:bCs/>
          <w:sz w:val="20"/>
          <w:szCs w:val="20"/>
          <w:lang w:val="uk-UA"/>
        </w:rPr>
        <w:t xml:space="preserve"> здоров'я?</w:t>
      </w:r>
    </w:p>
    <w:p w14:paraId="166A9D23" w14:textId="2FA2C8C0" w:rsidR="000558C9" w:rsidRPr="00CE4B93" w:rsidRDefault="00020C67" w:rsidP="000558C9">
      <w:pPr>
        <w:pStyle w:val="a3"/>
        <w:spacing w:before="231" w:line="297" w:lineRule="auto"/>
        <w:ind w:left="567" w:right="-280"/>
        <w:jc w:val="both"/>
        <w:rPr>
          <w:sz w:val="20"/>
          <w:szCs w:val="20"/>
          <w:lang w:val="uk-UA"/>
        </w:rPr>
      </w:pPr>
      <w:r w:rsidRPr="00CE4B93">
        <w:rPr>
          <w:sz w:val="20"/>
          <w:szCs w:val="20"/>
          <w:lang w:val="uk-UA"/>
        </w:rPr>
        <w:t xml:space="preserve">Якісні дані, отримані під час оглядів та інтерв'ю з кінцевими користувачами вказують на те, що конкретні ШПТБ навряд чи створять будь-які нові проблеми з точки зору дотриманням принципу справедливості. </w:t>
      </w:r>
      <w:r w:rsidR="001F0487" w:rsidRPr="00CE4B93">
        <w:rPr>
          <w:sz w:val="20"/>
          <w:szCs w:val="20"/>
          <w:lang w:val="uk-UA"/>
        </w:rPr>
        <w:t>Швидше за все, ШПТБ покращать рівність у сфері охорони здоров'я завдяки наданню більш точного і недорогого тесту для країн з обмеженими ресурсами, в яких вже використовується ТШП. Більше того, їхня портативність і низька вартість роблять ці тести придатними  для  використання  в процесі реалізації широкомасштабних програм скринінгу в уразливих, важкодоступних громадах</w:t>
      </w:r>
      <w:r w:rsidR="00B01E0C" w:rsidRPr="00CE4B93">
        <w:rPr>
          <w:sz w:val="20"/>
          <w:szCs w:val="20"/>
          <w:lang w:val="uk-UA"/>
        </w:rPr>
        <w:t xml:space="preserve"> </w:t>
      </w:r>
      <w:r w:rsidR="00161314" w:rsidRPr="00CE4B93">
        <w:rPr>
          <w:sz w:val="20"/>
          <w:szCs w:val="20"/>
          <w:lang w:val="uk-UA"/>
        </w:rPr>
        <w:t xml:space="preserve">Однак можливо, що ШПТБ не впливають на справедливість у сфері охорони здоров'я в країнах з обмеженими ресурсами, які ще не використовують </w:t>
      </w:r>
      <w:r w:rsidR="001F0487" w:rsidRPr="00CE4B93">
        <w:rPr>
          <w:sz w:val="20"/>
          <w:szCs w:val="20"/>
          <w:lang w:val="uk-UA"/>
        </w:rPr>
        <w:t>ТШП</w:t>
      </w:r>
      <w:r w:rsidR="00161314" w:rsidRPr="00CE4B93">
        <w:rPr>
          <w:sz w:val="20"/>
          <w:szCs w:val="20"/>
          <w:lang w:val="uk-UA"/>
        </w:rPr>
        <w:t>, оскільки за таких умов існують бар'єри</w:t>
      </w:r>
      <w:r w:rsidR="002B5818" w:rsidRPr="00CE4B93">
        <w:rPr>
          <w:sz w:val="20"/>
          <w:szCs w:val="20"/>
          <w:lang w:val="uk-UA"/>
        </w:rPr>
        <w:t xml:space="preserve">, пов’язані з </w:t>
      </w:r>
      <w:r w:rsidR="00161314" w:rsidRPr="00CE4B93">
        <w:rPr>
          <w:sz w:val="20"/>
          <w:szCs w:val="20"/>
          <w:lang w:val="uk-UA"/>
        </w:rPr>
        <w:t>доступ</w:t>
      </w:r>
      <w:r w:rsidR="002B5818" w:rsidRPr="00CE4B93">
        <w:rPr>
          <w:sz w:val="20"/>
          <w:szCs w:val="20"/>
          <w:lang w:val="uk-UA"/>
        </w:rPr>
        <w:t>ністю</w:t>
      </w:r>
      <w:r w:rsidR="00161314" w:rsidRPr="00CE4B93">
        <w:rPr>
          <w:sz w:val="20"/>
          <w:szCs w:val="20"/>
          <w:lang w:val="uk-UA"/>
        </w:rPr>
        <w:t xml:space="preserve"> шкірних та інших медичних тестів, які необхідно усунути</w:t>
      </w:r>
      <w:r w:rsidR="002B5818" w:rsidRPr="00CE4B93">
        <w:rPr>
          <w:sz w:val="20"/>
          <w:szCs w:val="20"/>
          <w:lang w:val="uk-UA"/>
        </w:rPr>
        <w:t xml:space="preserve"> в першу </w:t>
      </w:r>
      <w:r w:rsidR="00CE4B93" w:rsidRPr="00CE4B93">
        <w:rPr>
          <w:sz w:val="20"/>
          <w:szCs w:val="20"/>
          <w:lang w:val="uk-UA"/>
        </w:rPr>
        <w:t>чергу</w:t>
      </w:r>
      <w:r w:rsidR="002B5818" w:rsidRPr="00CE4B93">
        <w:rPr>
          <w:sz w:val="20"/>
          <w:szCs w:val="20"/>
          <w:lang w:val="uk-UA"/>
        </w:rPr>
        <w:t>,</w:t>
      </w:r>
      <w:r w:rsidR="00161314" w:rsidRPr="00CE4B93">
        <w:rPr>
          <w:sz w:val="20"/>
          <w:szCs w:val="20"/>
          <w:lang w:val="uk-UA"/>
        </w:rPr>
        <w:t xml:space="preserve"> </w:t>
      </w:r>
    </w:p>
    <w:p w14:paraId="1816BC88" w14:textId="2A68187D" w:rsidR="00EB32C7" w:rsidRDefault="00EB32C7" w:rsidP="000558C9">
      <w:pPr>
        <w:pStyle w:val="a3"/>
        <w:spacing w:before="231" w:line="297" w:lineRule="auto"/>
        <w:ind w:left="567" w:right="-280"/>
        <w:jc w:val="both"/>
        <w:rPr>
          <w:sz w:val="20"/>
          <w:szCs w:val="20"/>
          <w:lang w:val="uk-UA"/>
        </w:rPr>
      </w:pPr>
    </w:p>
    <w:p w14:paraId="5B5832DC" w14:textId="7F841F3F" w:rsidR="00E05B98" w:rsidRPr="00064481" w:rsidRDefault="00161314" w:rsidP="00EB32C7">
      <w:pPr>
        <w:pStyle w:val="a3"/>
        <w:spacing w:before="231" w:line="297" w:lineRule="auto"/>
        <w:ind w:left="567" w:right="-280"/>
        <w:jc w:val="both"/>
        <w:rPr>
          <w:sz w:val="20"/>
          <w:szCs w:val="20"/>
          <w:lang w:val="uk-UA"/>
        </w:rPr>
      </w:pPr>
      <w:r w:rsidRPr="00161314">
        <w:rPr>
          <w:sz w:val="20"/>
          <w:szCs w:val="20"/>
          <w:lang w:val="uk-UA"/>
        </w:rPr>
        <w:lastRenderedPageBreak/>
        <w:t xml:space="preserve">незалежно від типу доступного тесту </w:t>
      </w:r>
      <w:r w:rsidR="002B5818">
        <w:rPr>
          <w:sz w:val="20"/>
          <w:szCs w:val="20"/>
          <w:lang w:val="uk-UA"/>
        </w:rPr>
        <w:t>для діагностики</w:t>
      </w:r>
      <w:r w:rsidRPr="00161314">
        <w:rPr>
          <w:sz w:val="20"/>
          <w:szCs w:val="20"/>
          <w:lang w:val="uk-UA"/>
        </w:rPr>
        <w:t xml:space="preserve"> ТБ. </w:t>
      </w:r>
      <w:r w:rsidR="002B5818">
        <w:rPr>
          <w:sz w:val="20"/>
          <w:szCs w:val="20"/>
          <w:lang w:val="uk-UA"/>
        </w:rPr>
        <w:t>З точки зору</w:t>
      </w:r>
      <w:r w:rsidRPr="00161314">
        <w:rPr>
          <w:sz w:val="20"/>
          <w:szCs w:val="20"/>
          <w:lang w:val="uk-UA"/>
        </w:rPr>
        <w:t xml:space="preserve"> доступності тестів,  дані DCE показали, що споживачі надають перевагу тестуванню в громадських установа</w:t>
      </w:r>
      <w:r w:rsidR="00EB32C7">
        <w:rPr>
          <w:sz w:val="20"/>
          <w:szCs w:val="20"/>
          <w:lang w:val="uk-UA"/>
        </w:rPr>
        <w:t>х</w:t>
      </w:r>
      <w:r w:rsidRPr="00161314">
        <w:rPr>
          <w:sz w:val="20"/>
          <w:szCs w:val="20"/>
          <w:lang w:val="uk-UA"/>
        </w:rPr>
        <w:t xml:space="preserve"> та закладах первинної медико-санітарної допомоги порівняно з лікарнями; цей висновок може мати наслідки з точки зору справедливості у сфері охорони здоров'я</w:t>
      </w:r>
      <w:r w:rsidR="00B01E0C" w:rsidRPr="00064481">
        <w:rPr>
          <w:sz w:val="20"/>
          <w:szCs w:val="20"/>
          <w:lang w:val="uk-UA"/>
        </w:rPr>
        <w:t>.</w:t>
      </w:r>
    </w:p>
    <w:p w14:paraId="61A404FA" w14:textId="51ED6D20" w:rsidR="00E05B98" w:rsidRPr="00EB32C7" w:rsidRDefault="00161314" w:rsidP="000558C9">
      <w:pPr>
        <w:pStyle w:val="9"/>
        <w:spacing w:before="172"/>
        <w:ind w:right="-280"/>
        <w:jc w:val="both"/>
        <w:rPr>
          <w:sz w:val="20"/>
          <w:szCs w:val="20"/>
          <w:lang w:val="uk-UA"/>
        </w:rPr>
      </w:pPr>
      <w:r w:rsidRPr="00EB32C7">
        <w:rPr>
          <w:sz w:val="20"/>
          <w:szCs w:val="20"/>
          <w:lang w:val="uk-UA"/>
        </w:rPr>
        <w:t>Чи інтервенція є прийнятною для ключових зацікавлених сторін?</w:t>
      </w:r>
    </w:p>
    <w:p w14:paraId="6C5FC99A" w14:textId="1DCFD518" w:rsidR="00E05B98" w:rsidRPr="00064481" w:rsidRDefault="003E795B" w:rsidP="000558C9">
      <w:pPr>
        <w:pStyle w:val="a3"/>
        <w:spacing w:before="231" w:line="297" w:lineRule="auto"/>
        <w:ind w:left="567" w:right="-280"/>
        <w:jc w:val="both"/>
        <w:rPr>
          <w:sz w:val="20"/>
          <w:szCs w:val="20"/>
          <w:lang w:val="uk-UA"/>
        </w:rPr>
      </w:pPr>
      <w:r w:rsidRPr="003E795B">
        <w:rPr>
          <w:sz w:val="20"/>
          <w:szCs w:val="20"/>
          <w:lang w:val="uk-UA"/>
        </w:rPr>
        <w:t xml:space="preserve">Якісні дані систематичних оглядів та інтерв'ю з кінцевими користувачами свідчать про те, що ШПТБ сприймалися як такі, що мають більшу специфічність та чутливість, ніж </w:t>
      </w:r>
      <w:r w:rsidR="001F0487">
        <w:rPr>
          <w:sz w:val="20"/>
          <w:szCs w:val="20"/>
          <w:lang w:val="uk-UA"/>
        </w:rPr>
        <w:t>ТШП</w:t>
      </w:r>
      <w:r w:rsidRPr="003E795B">
        <w:rPr>
          <w:sz w:val="20"/>
          <w:szCs w:val="20"/>
          <w:lang w:val="uk-UA"/>
        </w:rPr>
        <w:t>. Вищу точність тесту вважали бажаною для уникнення негативних наслідків хибнопозитивних або хибнонегативних результатів. Однак очікувалося, що ШПТБ матимуть багато з тих самих обмежень, що й шкірні тести, з точки зору досвіду пацієнта (наприклад, необхідність повторного візиту до лікаря, відчуття дискомфорту, рубець на руці та прояв стигматизації) порівняно з АВГІ</w:t>
      </w:r>
      <w:r w:rsidR="00B01E0C" w:rsidRPr="00064481">
        <w:rPr>
          <w:sz w:val="20"/>
          <w:szCs w:val="20"/>
          <w:lang w:val="uk-UA"/>
        </w:rPr>
        <w:t>.</w:t>
      </w:r>
      <w:r w:rsidR="00B01E0C" w:rsidRPr="00064481">
        <w:rPr>
          <w:spacing w:val="-3"/>
          <w:sz w:val="20"/>
          <w:szCs w:val="20"/>
          <w:lang w:val="uk-UA"/>
        </w:rPr>
        <w:t xml:space="preserve"> </w:t>
      </w:r>
      <w:r w:rsidR="007C11AF" w:rsidRPr="007C11AF">
        <w:rPr>
          <w:sz w:val="20"/>
          <w:szCs w:val="20"/>
          <w:lang w:val="uk-UA"/>
        </w:rPr>
        <w:t xml:space="preserve">АВГІ вважалися кращим варіантом тестування в країнах, які вже використовують ці тести, оскільки </w:t>
      </w:r>
      <w:r w:rsidR="00BB2A86">
        <w:rPr>
          <w:sz w:val="20"/>
          <w:szCs w:val="20"/>
          <w:lang w:val="uk-UA"/>
        </w:rPr>
        <w:t xml:space="preserve">вже існує </w:t>
      </w:r>
      <w:r w:rsidR="007C11AF" w:rsidRPr="007C11AF">
        <w:rPr>
          <w:sz w:val="20"/>
          <w:szCs w:val="20"/>
          <w:lang w:val="uk-UA"/>
        </w:rPr>
        <w:t xml:space="preserve">необхідна допоміжна інфраструктура, а також тому, що ШПТБ мали б </w:t>
      </w:r>
      <w:r w:rsidR="00CE4B93" w:rsidRPr="007C11AF">
        <w:rPr>
          <w:sz w:val="20"/>
          <w:szCs w:val="20"/>
          <w:lang w:val="uk-UA"/>
        </w:rPr>
        <w:t>співстав</w:t>
      </w:r>
      <w:r w:rsidR="00CE4B93">
        <w:rPr>
          <w:sz w:val="20"/>
          <w:szCs w:val="20"/>
          <w:lang w:val="uk-UA"/>
        </w:rPr>
        <w:t>ну</w:t>
      </w:r>
      <w:r w:rsidR="007C11AF" w:rsidRPr="007C11AF">
        <w:rPr>
          <w:sz w:val="20"/>
          <w:szCs w:val="20"/>
          <w:lang w:val="uk-UA"/>
        </w:rPr>
        <w:t xml:space="preserve"> точність і </w:t>
      </w:r>
      <w:r w:rsidR="0021406D">
        <w:rPr>
          <w:sz w:val="20"/>
          <w:szCs w:val="20"/>
          <w:lang w:val="uk-UA"/>
        </w:rPr>
        <w:t>продуктивність</w:t>
      </w:r>
      <w:r w:rsidR="007C11AF" w:rsidRPr="007C11AF">
        <w:rPr>
          <w:sz w:val="20"/>
          <w:szCs w:val="20"/>
          <w:lang w:val="uk-UA"/>
        </w:rPr>
        <w:t xml:space="preserve">, а отже, не додавали б цінності. </w:t>
      </w:r>
      <w:r w:rsidR="009823FA">
        <w:rPr>
          <w:sz w:val="20"/>
          <w:szCs w:val="20"/>
          <w:lang w:val="uk-UA"/>
        </w:rPr>
        <w:t>Мало місце також зростаюче занепокоєння</w:t>
      </w:r>
      <w:r w:rsidR="007C11AF" w:rsidRPr="007C11AF">
        <w:rPr>
          <w:sz w:val="20"/>
          <w:szCs w:val="20"/>
          <w:lang w:val="uk-UA"/>
        </w:rPr>
        <w:t xml:space="preserve"> стосовно шкірних тестів, оскільки ці тести розглядалися як застаріла, базова технологія, яка може </w:t>
      </w:r>
      <w:r w:rsidR="00F83BAD">
        <w:rPr>
          <w:sz w:val="20"/>
          <w:szCs w:val="20"/>
          <w:lang w:val="uk-UA"/>
        </w:rPr>
        <w:t xml:space="preserve">бути залежна від </w:t>
      </w:r>
      <w:r w:rsidR="007C11AF" w:rsidRPr="007C11AF">
        <w:rPr>
          <w:sz w:val="20"/>
          <w:szCs w:val="20"/>
          <w:lang w:val="uk-UA"/>
        </w:rPr>
        <w:t>ризик</w:t>
      </w:r>
      <w:r w:rsidR="00F83BAD">
        <w:rPr>
          <w:sz w:val="20"/>
          <w:szCs w:val="20"/>
          <w:lang w:val="uk-UA"/>
        </w:rPr>
        <w:t>у</w:t>
      </w:r>
      <w:r w:rsidR="007C11AF" w:rsidRPr="007C11AF">
        <w:rPr>
          <w:sz w:val="20"/>
          <w:szCs w:val="20"/>
          <w:lang w:val="uk-UA"/>
        </w:rPr>
        <w:t xml:space="preserve"> людсько</w:t>
      </w:r>
      <w:r w:rsidR="009823FA">
        <w:rPr>
          <w:sz w:val="20"/>
          <w:szCs w:val="20"/>
          <w:lang w:val="uk-UA"/>
        </w:rPr>
        <w:t>го фактора</w:t>
      </w:r>
      <w:r w:rsidR="007C11AF" w:rsidRPr="007C11AF">
        <w:rPr>
          <w:sz w:val="20"/>
          <w:szCs w:val="20"/>
          <w:lang w:val="uk-UA"/>
        </w:rPr>
        <w:t xml:space="preserve"> та інтерпретації.</w:t>
      </w:r>
      <w:r w:rsidR="00B01E0C" w:rsidRPr="00064481">
        <w:rPr>
          <w:sz w:val="20"/>
          <w:szCs w:val="20"/>
          <w:lang w:val="uk-UA"/>
        </w:rPr>
        <w:t xml:space="preserve"> </w:t>
      </w:r>
      <w:r w:rsidR="00676E2F" w:rsidRPr="00676E2F">
        <w:rPr>
          <w:sz w:val="20"/>
          <w:szCs w:val="20"/>
          <w:lang w:val="uk-UA"/>
        </w:rPr>
        <w:t xml:space="preserve">Пропозиції щодо покращення прийнятності ШПТБ включали ретельне інформування під час впровадження цього тесту та його схвалення зі сторони надавачів медичних  послуг та організацій (наприклад, ВООЗ). Дані DCE показали, що як надавачі  медичних послуг, так і споживачі віддають перевагу тестам, які мінімізують кількість хибнопозитивних і хибнонегативних результатів. </w:t>
      </w:r>
      <w:r w:rsidR="00CE4B93" w:rsidRPr="00676E2F">
        <w:rPr>
          <w:sz w:val="20"/>
          <w:szCs w:val="20"/>
          <w:lang w:val="uk-UA"/>
        </w:rPr>
        <w:t>Експеримент</w:t>
      </w:r>
      <w:r w:rsidR="00676E2F" w:rsidRPr="00676E2F">
        <w:rPr>
          <w:sz w:val="20"/>
          <w:szCs w:val="20"/>
          <w:lang w:val="uk-UA"/>
        </w:rPr>
        <w:t xml:space="preserve"> з дискретним вибором також виявив, що споживачі надають </w:t>
      </w:r>
      <w:r w:rsidR="00F83BAD">
        <w:rPr>
          <w:sz w:val="20"/>
          <w:szCs w:val="20"/>
          <w:lang w:val="uk-UA"/>
        </w:rPr>
        <w:t xml:space="preserve">значну </w:t>
      </w:r>
      <w:r w:rsidR="00676E2F" w:rsidRPr="00676E2F">
        <w:rPr>
          <w:sz w:val="20"/>
          <w:szCs w:val="20"/>
          <w:lang w:val="uk-UA"/>
        </w:rPr>
        <w:t>перевагу тестуванню на рівні громади та у закладах первинної медико-санітарної допомоги порівняно з лікарнями.</w:t>
      </w:r>
    </w:p>
    <w:p w14:paraId="31C61088" w14:textId="4157EB78" w:rsidR="00E05B98" w:rsidRPr="00F83BAD" w:rsidRDefault="00C535B4" w:rsidP="000558C9">
      <w:pPr>
        <w:pStyle w:val="9"/>
        <w:spacing w:before="186"/>
        <w:ind w:right="-280"/>
        <w:jc w:val="both"/>
        <w:rPr>
          <w:sz w:val="20"/>
          <w:szCs w:val="20"/>
          <w:lang w:val="uk-UA"/>
        </w:rPr>
      </w:pPr>
      <w:r w:rsidRPr="00F83BAD">
        <w:rPr>
          <w:sz w:val="20"/>
          <w:szCs w:val="20"/>
          <w:lang w:val="uk-UA"/>
        </w:rPr>
        <w:t>Чи можливо реалізувати інтервенцію?</w:t>
      </w:r>
    </w:p>
    <w:p w14:paraId="1675075A" w14:textId="4BBE54B7" w:rsidR="00E05B98" w:rsidRPr="00064481" w:rsidRDefault="00AD3981" w:rsidP="000558C9">
      <w:pPr>
        <w:pStyle w:val="a3"/>
        <w:spacing w:before="230" w:line="297" w:lineRule="auto"/>
        <w:ind w:left="567" w:right="-280"/>
        <w:jc w:val="both"/>
        <w:rPr>
          <w:sz w:val="20"/>
          <w:szCs w:val="20"/>
          <w:lang w:val="uk-UA"/>
        </w:rPr>
      </w:pPr>
      <w:r w:rsidRPr="00AD3981">
        <w:rPr>
          <w:sz w:val="20"/>
          <w:szCs w:val="20"/>
          <w:lang w:val="uk-UA"/>
        </w:rPr>
        <w:t xml:space="preserve">Результати узагальнення якісних доказів (оглядів та інтерв'ю з кінцевими користувачами) підтверджують можливість використання ШПТБ, але лише в умовах, в яких </w:t>
      </w:r>
      <w:r w:rsidR="002B5818">
        <w:rPr>
          <w:sz w:val="20"/>
          <w:szCs w:val="20"/>
          <w:lang w:val="uk-UA"/>
        </w:rPr>
        <w:t>ТШП</w:t>
      </w:r>
      <w:r w:rsidRPr="00AD3981">
        <w:rPr>
          <w:sz w:val="20"/>
          <w:szCs w:val="20"/>
          <w:lang w:val="uk-UA"/>
        </w:rPr>
        <w:t xml:space="preserve"> вже використовується, та за наявності необхідних ресурсів та навчання кадрів. ШПТБ, ймовірно, є недорогими, </w:t>
      </w:r>
      <w:r w:rsidRPr="002B5818">
        <w:rPr>
          <w:sz w:val="20"/>
          <w:szCs w:val="20"/>
          <w:lang w:val="uk-UA"/>
        </w:rPr>
        <w:t>портативними тестами,</w:t>
      </w:r>
      <w:r w:rsidRPr="00AD3981">
        <w:rPr>
          <w:sz w:val="20"/>
          <w:szCs w:val="20"/>
          <w:lang w:val="uk-UA"/>
        </w:rPr>
        <w:t xml:space="preserve"> які можуть добре підходити для закладів охорони здоров'я з обмеженими ресурсами, </w:t>
      </w:r>
      <w:r w:rsidR="00F83BAD">
        <w:rPr>
          <w:sz w:val="20"/>
          <w:szCs w:val="20"/>
          <w:lang w:val="uk-UA"/>
        </w:rPr>
        <w:t xml:space="preserve">та за відсутності </w:t>
      </w:r>
      <w:r w:rsidRPr="00AD3981">
        <w:rPr>
          <w:sz w:val="20"/>
          <w:szCs w:val="20"/>
          <w:lang w:val="uk-UA"/>
        </w:rPr>
        <w:t>можливості забезпечити виконання АВГІ через більшу їх вартість і ресурси, необхідні для реалізації АВГІ.</w:t>
      </w:r>
      <w:r w:rsidR="00B01E0C" w:rsidRPr="00064481">
        <w:rPr>
          <w:spacing w:val="-5"/>
          <w:sz w:val="20"/>
          <w:szCs w:val="20"/>
          <w:lang w:val="uk-UA"/>
        </w:rPr>
        <w:t xml:space="preserve"> </w:t>
      </w:r>
      <w:r w:rsidR="000558C9" w:rsidRPr="000558C9">
        <w:rPr>
          <w:sz w:val="20"/>
          <w:szCs w:val="20"/>
          <w:lang w:val="uk-UA"/>
        </w:rPr>
        <w:t>Однак, якщо заклади охорони здоров'я вже мають необхідну інфраструктуру для реалізації АВГІ, то це є більш прийнятним варіантом тестування, ніж будь-які шкірні тести, оскільки АВГІ не вимагають повторного візиту для зчитування результату (етап, на якому може бути втрачен</w:t>
      </w:r>
      <w:r w:rsidR="00F83BAD">
        <w:rPr>
          <w:sz w:val="20"/>
          <w:szCs w:val="20"/>
          <w:lang w:val="uk-UA"/>
        </w:rPr>
        <w:t>о</w:t>
      </w:r>
      <w:r w:rsidR="000558C9" w:rsidRPr="000558C9">
        <w:rPr>
          <w:sz w:val="20"/>
          <w:szCs w:val="20"/>
          <w:lang w:val="uk-UA"/>
        </w:rPr>
        <w:t xml:space="preserve"> контакт з пацієнт</w:t>
      </w:r>
      <w:r w:rsidR="00F83BAD">
        <w:rPr>
          <w:sz w:val="20"/>
          <w:szCs w:val="20"/>
          <w:lang w:val="uk-UA"/>
        </w:rPr>
        <w:t>ом</w:t>
      </w:r>
      <w:r w:rsidR="000558C9" w:rsidRPr="000558C9">
        <w:rPr>
          <w:sz w:val="20"/>
          <w:szCs w:val="20"/>
          <w:lang w:val="uk-UA"/>
        </w:rPr>
        <w:t xml:space="preserve"> для подальшого спостереження). Результати DCE показали, що відсутність необхідності особистого подальшого візиту, наявності спеціалізованого персоналу чи обладнання для інтерпретації </w:t>
      </w:r>
      <w:r w:rsidR="00F83BAD">
        <w:rPr>
          <w:sz w:val="20"/>
          <w:szCs w:val="20"/>
          <w:lang w:val="uk-UA"/>
        </w:rPr>
        <w:t xml:space="preserve">результатів </w:t>
      </w:r>
      <w:r w:rsidR="000558C9" w:rsidRPr="000558C9">
        <w:rPr>
          <w:sz w:val="20"/>
          <w:szCs w:val="20"/>
          <w:lang w:val="uk-UA"/>
        </w:rPr>
        <w:t>або проведення тесту є важливими перевагами тестування на ТБ, які могли б вплинути на можливість його реалізації.</w:t>
      </w:r>
      <w:r w:rsidR="00B01E0C" w:rsidRPr="00064481">
        <w:rPr>
          <w:sz w:val="20"/>
          <w:szCs w:val="20"/>
          <w:lang w:val="uk-UA"/>
        </w:rPr>
        <w:t xml:space="preserve"> </w:t>
      </w:r>
      <w:r w:rsidR="000558C9" w:rsidRPr="000558C9">
        <w:rPr>
          <w:w w:val="105"/>
          <w:sz w:val="20"/>
          <w:szCs w:val="20"/>
          <w:lang w:val="uk-UA"/>
        </w:rPr>
        <w:t>Були висловлені деякі припущення, що надавачі медичних послуг надавали перевагу дорожчим тестам (коли їм пропонували вибір на основі гіпотетичної вартості в 50 дол.США порівняно з 25 доларами), хоча вартість тесту була найменш важливим чинником, що визначав вибір тесту.</w:t>
      </w:r>
    </w:p>
    <w:p w14:paraId="22A7C849" w14:textId="5C7CCF9F" w:rsidR="00E05B98" w:rsidRPr="00064481" w:rsidRDefault="000558C9" w:rsidP="000558C9">
      <w:pPr>
        <w:pStyle w:val="5"/>
        <w:spacing w:before="214"/>
        <w:ind w:right="-280"/>
        <w:jc w:val="both"/>
        <w:rPr>
          <w:sz w:val="26"/>
          <w:szCs w:val="26"/>
          <w:lang w:val="uk-UA"/>
        </w:rPr>
      </w:pPr>
      <w:r>
        <w:rPr>
          <w:color w:val="019648"/>
          <w:w w:val="110"/>
          <w:sz w:val="26"/>
          <w:szCs w:val="26"/>
          <w:lang w:val="uk-UA"/>
        </w:rPr>
        <w:t>Міркування щодо реалізації</w:t>
      </w:r>
    </w:p>
    <w:p w14:paraId="19BB6207" w14:textId="417E4A91" w:rsidR="00E05B98" w:rsidRPr="00064481" w:rsidRDefault="000558C9" w:rsidP="000558C9">
      <w:pPr>
        <w:pStyle w:val="a3"/>
        <w:spacing w:before="188"/>
        <w:ind w:left="567" w:right="-280"/>
        <w:jc w:val="both"/>
        <w:rPr>
          <w:sz w:val="20"/>
          <w:szCs w:val="20"/>
          <w:lang w:val="uk-UA"/>
        </w:rPr>
      </w:pPr>
      <w:r w:rsidRPr="000558C9">
        <w:rPr>
          <w:sz w:val="20"/>
          <w:szCs w:val="20"/>
          <w:lang w:val="uk-UA"/>
        </w:rPr>
        <w:t>При реалізації  враховували наступні міркування:</w:t>
      </w:r>
    </w:p>
    <w:p w14:paraId="25EF6931" w14:textId="77777777" w:rsidR="00CC3CED" w:rsidRPr="00CC3CED" w:rsidRDefault="00CC3CED" w:rsidP="00CC3CED">
      <w:pPr>
        <w:pStyle w:val="a4"/>
        <w:numPr>
          <w:ilvl w:val="0"/>
          <w:numId w:val="7"/>
        </w:numPr>
        <w:tabs>
          <w:tab w:val="left" w:pos="850"/>
        </w:tabs>
        <w:spacing w:before="52"/>
        <w:ind w:right="-280"/>
        <w:rPr>
          <w:sz w:val="20"/>
          <w:szCs w:val="20"/>
          <w:lang w:val="uk-UA"/>
        </w:rPr>
      </w:pPr>
      <w:r w:rsidRPr="00CC3CED">
        <w:rPr>
          <w:sz w:val="20"/>
          <w:szCs w:val="20"/>
          <w:lang w:val="uk-UA"/>
        </w:rPr>
        <w:t xml:space="preserve">перед проведенням діагностичних тестів </w:t>
      </w:r>
      <w:r w:rsidRPr="00F83BAD">
        <w:rPr>
          <w:i/>
          <w:iCs/>
          <w:sz w:val="20"/>
          <w:szCs w:val="20"/>
          <w:lang w:val="uk-UA"/>
        </w:rPr>
        <w:t>in vivo</w:t>
      </w:r>
      <w:r w:rsidRPr="00CC3CED">
        <w:rPr>
          <w:sz w:val="20"/>
          <w:szCs w:val="20"/>
          <w:lang w:val="uk-UA"/>
        </w:rPr>
        <w:t xml:space="preserve"> необхідно отримати схвалення від національних регуляторних органів або інших відповідних органів;</w:t>
      </w:r>
    </w:p>
    <w:p w14:paraId="6CA34E05" w14:textId="60B35443" w:rsidR="00CC3CED" w:rsidRPr="00CC3CED" w:rsidRDefault="00CC3CED" w:rsidP="00CC3CED">
      <w:pPr>
        <w:pStyle w:val="a4"/>
        <w:numPr>
          <w:ilvl w:val="0"/>
          <w:numId w:val="7"/>
        </w:numPr>
        <w:tabs>
          <w:tab w:val="left" w:pos="850"/>
        </w:tabs>
        <w:spacing w:before="52"/>
        <w:ind w:right="-280"/>
        <w:rPr>
          <w:sz w:val="20"/>
          <w:szCs w:val="20"/>
          <w:lang w:val="uk-UA"/>
        </w:rPr>
      </w:pPr>
      <w:r w:rsidRPr="00CC3CED">
        <w:rPr>
          <w:sz w:val="20"/>
          <w:szCs w:val="20"/>
          <w:lang w:val="uk-UA"/>
        </w:rPr>
        <w:t xml:space="preserve">необхідна відповідна комунікація щодо нового класу тестів, яка б підкреслювала різницю між тестами </w:t>
      </w:r>
      <w:r w:rsidR="002B5818">
        <w:rPr>
          <w:sz w:val="20"/>
          <w:szCs w:val="20"/>
          <w:lang w:val="uk-UA"/>
        </w:rPr>
        <w:t>методом ТШП</w:t>
      </w:r>
      <w:r w:rsidRPr="00CC3CED">
        <w:rPr>
          <w:sz w:val="20"/>
          <w:szCs w:val="20"/>
          <w:lang w:val="uk-UA"/>
        </w:rPr>
        <w:t xml:space="preserve"> і ШПТБ;</w:t>
      </w:r>
    </w:p>
    <w:p w14:paraId="4FF5121F" w14:textId="516E799C" w:rsidR="00CC3CED" w:rsidRPr="00CC3CED" w:rsidRDefault="00CC3CED" w:rsidP="00CC3CED">
      <w:pPr>
        <w:pStyle w:val="a4"/>
        <w:numPr>
          <w:ilvl w:val="0"/>
          <w:numId w:val="7"/>
        </w:numPr>
        <w:tabs>
          <w:tab w:val="left" w:pos="850"/>
        </w:tabs>
        <w:spacing w:before="52"/>
        <w:ind w:right="-280"/>
        <w:rPr>
          <w:sz w:val="20"/>
          <w:szCs w:val="20"/>
          <w:lang w:val="uk-UA"/>
        </w:rPr>
      </w:pPr>
      <w:r w:rsidRPr="00CC3CED">
        <w:rPr>
          <w:sz w:val="20"/>
          <w:szCs w:val="20"/>
          <w:lang w:val="uk-UA"/>
        </w:rPr>
        <w:t>реалізація ШПТБ вимагає наявності холодового ланцюга;</w:t>
      </w:r>
    </w:p>
    <w:p w14:paraId="47536A93" w14:textId="11D000BA" w:rsidR="00E05B98" w:rsidRDefault="00CC3CED" w:rsidP="00CC3CED">
      <w:pPr>
        <w:pStyle w:val="a4"/>
        <w:numPr>
          <w:ilvl w:val="0"/>
          <w:numId w:val="7"/>
        </w:numPr>
        <w:tabs>
          <w:tab w:val="left" w:pos="850"/>
        </w:tabs>
        <w:spacing w:before="52"/>
        <w:ind w:right="-280"/>
        <w:rPr>
          <w:sz w:val="20"/>
          <w:szCs w:val="20"/>
          <w:lang w:val="uk-UA"/>
        </w:rPr>
      </w:pPr>
      <w:r w:rsidRPr="00CC3CED">
        <w:rPr>
          <w:sz w:val="20"/>
          <w:szCs w:val="20"/>
          <w:lang w:val="uk-UA"/>
        </w:rPr>
        <w:t xml:space="preserve">для проведення </w:t>
      </w:r>
      <w:r w:rsidR="00F83BAD">
        <w:rPr>
          <w:sz w:val="20"/>
          <w:szCs w:val="20"/>
          <w:lang w:val="uk-UA"/>
        </w:rPr>
        <w:t xml:space="preserve">цього класу тестів </w:t>
      </w:r>
      <w:r w:rsidRPr="00CC3CED">
        <w:rPr>
          <w:sz w:val="20"/>
          <w:szCs w:val="20"/>
          <w:lang w:val="uk-UA"/>
        </w:rPr>
        <w:t xml:space="preserve">та інтерпретації </w:t>
      </w:r>
      <w:r w:rsidR="00F83BAD">
        <w:rPr>
          <w:sz w:val="20"/>
          <w:szCs w:val="20"/>
          <w:lang w:val="uk-UA"/>
        </w:rPr>
        <w:t xml:space="preserve">їх результатів </w:t>
      </w:r>
      <w:r w:rsidRPr="00CC3CED">
        <w:rPr>
          <w:sz w:val="20"/>
          <w:szCs w:val="20"/>
          <w:lang w:val="uk-UA"/>
        </w:rPr>
        <w:t>потрібен добре підготовлений кваліфікований персонал;</w:t>
      </w:r>
    </w:p>
    <w:p w14:paraId="040FB10C" w14:textId="77777777" w:rsidR="00CC3CED" w:rsidRDefault="00CC3CED" w:rsidP="00CC3CED">
      <w:pPr>
        <w:pStyle w:val="a4"/>
        <w:tabs>
          <w:tab w:val="left" w:pos="850"/>
        </w:tabs>
        <w:spacing w:before="52"/>
        <w:ind w:right="-280" w:firstLine="0"/>
        <w:rPr>
          <w:sz w:val="20"/>
          <w:szCs w:val="20"/>
          <w:lang w:val="uk-UA"/>
        </w:rPr>
      </w:pPr>
    </w:p>
    <w:p w14:paraId="00627790" w14:textId="77777777" w:rsidR="00CC3CED" w:rsidRPr="00064481" w:rsidRDefault="00CC3CED" w:rsidP="00CC3CED">
      <w:pPr>
        <w:pStyle w:val="a4"/>
        <w:tabs>
          <w:tab w:val="left" w:pos="850"/>
        </w:tabs>
        <w:spacing w:before="52"/>
        <w:ind w:right="-280" w:firstLine="0"/>
        <w:rPr>
          <w:sz w:val="20"/>
          <w:szCs w:val="20"/>
          <w:lang w:val="uk-UA"/>
        </w:rPr>
      </w:pPr>
    </w:p>
    <w:p w14:paraId="7B6B0F96" w14:textId="40047801" w:rsidR="00CC3CED" w:rsidRPr="00CC3CED" w:rsidRDefault="00CC3CED" w:rsidP="002D4164">
      <w:pPr>
        <w:pStyle w:val="a4"/>
        <w:numPr>
          <w:ilvl w:val="0"/>
          <w:numId w:val="7"/>
        </w:numPr>
        <w:tabs>
          <w:tab w:val="left" w:pos="850"/>
        </w:tabs>
        <w:spacing w:before="3" w:line="276" w:lineRule="auto"/>
        <w:ind w:right="-280"/>
        <w:rPr>
          <w:spacing w:val="-2"/>
          <w:w w:val="105"/>
          <w:sz w:val="20"/>
          <w:szCs w:val="20"/>
          <w:lang w:val="uk-UA"/>
        </w:rPr>
      </w:pPr>
      <w:r w:rsidRPr="00CC3CED">
        <w:rPr>
          <w:spacing w:val="-2"/>
          <w:w w:val="105"/>
          <w:sz w:val="20"/>
          <w:szCs w:val="20"/>
          <w:lang w:val="uk-UA"/>
        </w:rPr>
        <w:lastRenderedPageBreak/>
        <w:t>багаторазові флакони вимагатимуть ефективного операційного планування та комплектації партії; тому перевага надається одноразовим флаконам або флаконам з меншою кількістю</w:t>
      </w:r>
      <w:r w:rsidR="00F83BAD">
        <w:rPr>
          <w:spacing w:val="-2"/>
          <w:w w:val="105"/>
          <w:sz w:val="20"/>
          <w:szCs w:val="20"/>
          <w:lang w:val="uk-UA"/>
        </w:rPr>
        <w:t>, що</w:t>
      </w:r>
      <w:r w:rsidRPr="00CC3CED">
        <w:rPr>
          <w:spacing w:val="-2"/>
          <w:w w:val="105"/>
          <w:sz w:val="20"/>
          <w:szCs w:val="20"/>
          <w:lang w:val="uk-UA"/>
        </w:rPr>
        <w:t xml:space="preserve"> </w:t>
      </w:r>
      <w:r w:rsidR="00F83BAD">
        <w:rPr>
          <w:spacing w:val="-2"/>
          <w:w w:val="105"/>
          <w:sz w:val="20"/>
          <w:szCs w:val="20"/>
          <w:lang w:val="uk-UA"/>
        </w:rPr>
        <w:t>відповідає</w:t>
      </w:r>
      <w:r w:rsidRPr="00CC3CED">
        <w:rPr>
          <w:spacing w:val="-2"/>
          <w:w w:val="105"/>
          <w:sz w:val="20"/>
          <w:szCs w:val="20"/>
          <w:lang w:val="uk-UA"/>
        </w:rPr>
        <w:t xml:space="preserve"> щоденним потребам у наявності тестів;</w:t>
      </w:r>
    </w:p>
    <w:p w14:paraId="4D41C8B8" w14:textId="067CA5EB" w:rsidR="00E05B98" w:rsidRPr="00064481" w:rsidRDefault="00CC3CED" w:rsidP="002D4164">
      <w:pPr>
        <w:pStyle w:val="a4"/>
        <w:numPr>
          <w:ilvl w:val="0"/>
          <w:numId w:val="7"/>
        </w:numPr>
        <w:tabs>
          <w:tab w:val="left" w:pos="850"/>
        </w:tabs>
        <w:spacing w:before="3" w:line="276" w:lineRule="auto"/>
        <w:ind w:right="-280"/>
        <w:rPr>
          <w:sz w:val="20"/>
          <w:szCs w:val="20"/>
          <w:lang w:val="uk-UA"/>
        </w:rPr>
      </w:pPr>
      <w:r w:rsidRPr="00CC3CED">
        <w:rPr>
          <w:spacing w:val="-2"/>
          <w:w w:val="105"/>
          <w:sz w:val="20"/>
          <w:szCs w:val="20"/>
          <w:lang w:val="uk-UA"/>
        </w:rPr>
        <w:t>необхідно буде враховувати аспекти закупівлі та управління запас</w:t>
      </w:r>
      <w:r w:rsidR="00F83BAD">
        <w:rPr>
          <w:spacing w:val="-2"/>
          <w:w w:val="105"/>
          <w:sz w:val="20"/>
          <w:szCs w:val="20"/>
          <w:lang w:val="uk-UA"/>
        </w:rPr>
        <w:t>а</w:t>
      </w:r>
      <w:r w:rsidRPr="00CC3CED">
        <w:rPr>
          <w:spacing w:val="-2"/>
          <w:w w:val="105"/>
          <w:sz w:val="20"/>
          <w:szCs w:val="20"/>
          <w:lang w:val="uk-UA"/>
        </w:rPr>
        <w:t>ми, як і під час впровадження будь-якого нового класу тестів;</w:t>
      </w:r>
    </w:p>
    <w:p w14:paraId="3D79470A" w14:textId="233DCE2F" w:rsidR="002D4164" w:rsidRPr="002D4164" w:rsidRDefault="002D4164" w:rsidP="002D4164">
      <w:pPr>
        <w:pStyle w:val="a4"/>
        <w:numPr>
          <w:ilvl w:val="0"/>
          <w:numId w:val="7"/>
        </w:numPr>
        <w:tabs>
          <w:tab w:val="left" w:pos="850"/>
        </w:tabs>
        <w:spacing w:before="2" w:line="276" w:lineRule="auto"/>
        <w:ind w:right="-280"/>
        <w:rPr>
          <w:w w:val="105"/>
          <w:sz w:val="20"/>
          <w:szCs w:val="20"/>
          <w:lang w:val="uk-UA"/>
        </w:rPr>
      </w:pPr>
      <w:r w:rsidRPr="002D4164">
        <w:rPr>
          <w:w w:val="105"/>
          <w:sz w:val="20"/>
          <w:szCs w:val="20"/>
          <w:lang w:val="uk-UA"/>
        </w:rPr>
        <w:t>оскільки зчитування результатів ШПТБ вимагає повторного візит</w:t>
      </w:r>
      <w:r w:rsidR="002139FB">
        <w:rPr>
          <w:w w:val="105"/>
          <w:sz w:val="20"/>
          <w:szCs w:val="20"/>
          <w:lang w:val="uk-UA"/>
        </w:rPr>
        <w:t>у</w:t>
      </w:r>
      <w:r w:rsidRPr="002D4164">
        <w:rPr>
          <w:w w:val="105"/>
          <w:sz w:val="20"/>
          <w:szCs w:val="20"/>
          <w:lang w:val="uk-UA"/>
        </w:rPr>
        <w:t xml:space="preserve"> пацієнта, процес скорочення розриву між постановкою діагнозу та початком лікування потребує посилення, щоб зменшити втрати контактів з пацієнтом для подальшого спостереження;</w:t>
      </w:r>
    </w:p>
    <w:p w14:paraId="70A722AC" w14:textId="0DD1C6D7" w:rsidR="002D4164" w:rsidRPr="002D4164" w:rsidRDefault="002D4164" w:rsidP="002D4164">
      <w:pPr>
        <w:pStyle w:val="a4"/>
        <w:numPr>
          <w:ilvl w:val="0"/>
          <w:numId w:val="7"/>
        </w:numPr>
        <w:tabs>
          <w:tab w:val="left" w:pos="850"/>
        </w:tabs>
        <w:spacing w:before="2" w:line="276" w:lineRule="auto"/>
        <w:ind w:right="-280"/>
        <w:rPr>
          <w:w w:val="105"/>
          <w:sz w:val="20"/>
          <w:szCs w:val="20"/>
          <w:lang w:val="uk-UA"/>
        </w:rPr>
      </w:pPr>
      <w:r w:rsidRPr="002D4164">
        <w:rPr>
          <w:w w:val="105"/>
          <w:sz w:val="20"/>
          <w:szCs w:val="20"/>
          <w:lang w:val="uk-UA"/>
        </w:rPr>
        <w:t>необхідно враховувати доступність на світовому ринку та необхідні обсяги нового класу тестів;  а також</w:t>
      </w:r>
    </w:p>
    <w:p w14:paraId="157CE98F" w14:textId="43C5EF9C" w:rsidR="00E05B98" w:rsidRPr="003C6DAE" w:rsidRDefault="002D4164" w:rsidP="002D4164">
      <w:pPr>
        <w:pStyle w:val="a4"/>
        <w:numPr>
          <w:ilvl w:val="0"/>
          <w:numId w:val="7"/>
        </w:numPr>
        <w:tabs>
          <w:tab w:val="left" w:pos="850"/>
        </w:tabs>
        <w:spacing w:before="2" w:line="276" w:lineRule="auto"/>
        <w:ind w:right="-280"/>
        <w:rPr>
          <w:lang w:val="uk-UA"/>
        </w:rPr>
      </w:pPr>
      <w:r w:rsidRPr="002D4164">
        <w:rPr>
          <w:w w:val="105"/>
          <w:sz w:val="20"/>
          <w:szCs w:val="20"/>
          <w:lang w:val="uk-UA"/>
        </w:rPr>
        <w:t>вимірювання розміру реакції на ШПТБ та інтерпретація результату повинні бути стандартизовані.</w:t>
      </w:r>
    </w:p>
    <w:p w14:paraId="7418D5B5" w14:textId="77777777" w:rsidR="00E05B98" w:rsidRPr="001F170F" w:rsidRDefault="00E05B98" w:rsidP="000558C9">
      <w:pPr>
        <w:pStyle w:val="a3"/>
        <w:spacing w:before="66"/>
        <w:ind w:right="-280"/>
        <w:jc w:val="both"/>
        <w:rPr>
          <w:sz w:val="16"/>
          <w:szCs w:val="16"/>
          <w:lang w:val="uk-UA"/>
        </w:rPr>
      </w:pPr>
    </w:p>
    <w:p w14:paraId="77CB7AE2" w14:textId="3C311E86" w:rsidR="00E05B98" w:rsidRPr="00064481" w:rsidRDefault="002D4164">
      <w:pPr>
        <w:pStyle w:val="5"/>
        <w:jc w:val="both"/>
        <w:rPr>
          <w:sz w:val="26"/>
          <w:szCs w:val="26"/>
          <w:lang w:val="uk-UA"/>
        </w:rPr>
      </w:pPr>
      <w:r>
        <w:rPr>
          <w:color w:val="019648"/>
          <w:w w:val="110"/>
          <w:sz w:val="26"/>
          <w:szCs w:val="26"/>
          <w:lang w:val="uk-UA"/>
        </w:rPr>
        <w:t>Моніторинг і оцінка</w:t>
      </w:r>
    </w:p>
    <w:p w14:paraId="5436334D" w14:textId="3AE67DA6" w:rsidR="00E05B98" w:rsidRPr="00064481" w:rsidRDefault="002D4164">
      <w:pPr>
        <w:pStyle w:val="a3"/>
        <w:spacing w:before="189"/>
        <w:ind w:left="567"/>
        <w:jc w:val="both"/>
        <w:rPr>
          <w:sz w:val="20"/>
          <w:szCs w:val="20"/>
          <w:lang w:val="uk-UA"/>
        </w:rPr>
      </w:pPr>
      <w:r w:rsidRPr="002D4164">
        <w:rPr>
          <w:sz w:val="20"/>
          <w:szCs w:val="20"/>
          <w:lang w:val="uk-UA"/>
        </w:rPr>
        <w:t>Фактори, які потребують моніторингу та оцінки, є наступними</w:t>
      </w:r>
      <w:r w:rsidR="00B01E0C" w:rsidRPr="00064481">
        <w:rPr>
          <w:spacing w:val="-2"/>
          <w:sz w:val="20"/>
          <w:szCs w:val="20"/>
          <w:lang w:val="uk-UA"/>
        </w:rPr>
        <w:t>:</w:t>
      </w:r>
    </w:p>
    <w:p w14:paraId="4F7EDE9A" w14:textId="1E2694ED" w:rsidR="00B545A1" w:rsidRPr="00B545A1" w:rsidRDefault="00B545A1" w:rsidP="00B545A1">
      <w:pPr>
        <w:pStyle w:val="a4"/>
        <w:numPr>
          <w:ilvl w:val="0"/>
          <w:numId w:val="7"/>
        </w:numPr>
        <w:tabs>
          <w:tab w:val="left" w:pos="850"/>
        </w:tabs>
        <w:spacing w:before="4" w:line="297" w:lineRule="auto"/>
        <w:ind w:right="142"/>
        <w:rPr>
          <w:sz w:val="20"/>
          <w:szCs w:val="20"/>
          <w:lang w:val="uk-UA"/>
        </w:rPr>
      </w:pPr>
      <w:r w:rsidRPr="00B545A1">
        <w:rPr>
          <w:sz w:val="20"/>
          <w:szCs w:val="20"/>
          <w:lang w:val="uk-UA"/>
        </w:rPr>
        <w:t xml:space="preserve">моніторинг несприятливих подій є прогалиною </w:t>
      </w:r>
      <w:r w:rsidR="002139FB">
        <w:rPr>
          <w:sz w:val="20"/>
          <w:szCs w:val="20"/>
          <w:lang w:val="uk-UA"/>
        </w:rPr>
        <w:t>при</w:t>
      </w:r>
      <w:r w:rsidRPr="00B545A1">
        <w:rPr>
          <w:sz w:val="20"/>
          <w:szCs w:val="20"/>
          <w:lang w:val="uk-UA"/>
        </w:rPr>
        <w:t xml:space="preserve"> нинішньому застосуванні </w:t>
      </w:r>
      <w:r w:rsidR="002B5818">
        <w:rPr>
          <w:sz w:val="20"/>
          <w:szCs w:val="20"/>
          <w:lang w:val="uk-UA"/>
        </w:rPr>
        <w:t>ТШП</w:t>
      </w:r>
      <w:r w:rsidRPr="00B545A1">
        <w:rPr>
          <w:sz w:val="20"/>
          <w:szCs w:val="20"/>
          <w:lang w:val="uk-UA"/>
        </w:rPr>
        <w:t xml:space="preserve">; таким чином, при </w:t>
      </w:r>
      <w:r w:rsidR="002139FB">
        <w:rPr>
          <w:sz w:val="20"/>
          <w:szCs w:val="20"/>
          <w:lang w:val="uk-UA"/>
        </w:rPr>
        <w:t>реалізації</w:t>
      </w:r>
      <w:r w:rsidRPr="00B545A1">
        <w:rPr>
          <w:sz w:val="20"/>
          <w:szCs w:val="20"/>
          <w:lang w:val="uk-UA"/>
        </w:rPr>
        <w:t xml:space="preserve"> нових тестів необхідно запровадити системи реєстрації результатів несприятливих подій та звітування про них;  а також</w:t>
      </w:r>
    </w:p>
    <w:p w14:paraId="413F7B9D" w14:textId="1A16B974" w:rsidR="00E05B98" w:rsidRPr="00064481" w:rsidRDefault="00B545A1" w:rsidP="00B545A1">
      <w:pPr>
        <w:pStyle w:val="a4"/>
        <w:numPr>
          <w:ilvl w:val="0"/>
          <w:numId w:val="7"/>
        </w:numPr>
        <w:tabs>
          <w:tab w:val="left" w:pos="850"/>
        </w:tabs>
        <w:spacing w:before="4" w:line="297" w:lineRule="auto"/>
        <w:ind w:right="142"/>
        <w:rPr>
          <w:sz w:val="20"/>
          <w:szCs w:val="20"/>
          <w:lang w:val="uk-UA"/>
        </w:rPr>
      </w:pPr>
      <w:r w:rsidRPr="00B545A1">
        <w:rPr>
          <w:sz w:val="20"/>
          <w:szCs w:val="20"/>
          <w:lang w:val="uk-UA"/>
        </w:rPr>
        <w:t>необхідно відстежувати зв'язок між результатами нового класу тестів та кількістю осіб, яким призначено ПЛТ.</w:t>
      </w:r>
    </w:p>
    <w:p w14:paraId="3B760F20" w14:textId="77777777" w:rsidR="00E05B98" w:rsidRPr="001F170F" w:rsidRDefault="00E05B98">
      <w:pPr>
        <w:pStyle w:val="a3"/>
        <w:spacing w:before="7"/>
        <w:rPr>
          <w:sz w:val="16"/>
          <w:szCs w:val="16"/>
          <w:lang w:val="uk-UA"/>
        </w:rPr>
      </w:pPr>
    </w:p>
    <w:p w14:paraId="3B2F1757" w14:textId="3BD2BE28" w:rsidR="00E05B98" w:rsidRPr="00064481" w:rsidRDefault="00B545A1">
      <w:pPr>
        <w:pStyle w:val="5"/>
        <w:jc w:val="both"/>
        <w:rPr>
          <w:sz w:val="26"/>
          <w:szCs w:val="26"/>
          <w:lang w:val="uk-UA"/>
        </w:rPr>
      </w:pPr>
      <w:r>
        <w:rPr>
          <w:color w:val="019648"/>
          <w:w w:val="95"/>
          <w:sz w:val="26"/>
          <w:szCs w:val="26"/>
          <w:lang w:val="uk-UA"/>
        </w:rPr>
        <w:t>Пріоритети досліджень</w:t>
      </w:r>
    </w:p>
    <w:p w14:paraId="189F40D8" w14:textId="33390749" w:rsidR="00E05B98" w:rsidRPr="00064481" w:rsidRDefault="00B545A1">
      <w:pPr>
        <w:pStyle w:val="a3"/>
        <w:spacing w:before="189"/>
        <w:ind w:left="567"/>
        <w:rPr>
          <w:sz w:val="20"/>
          <w:szCs w:val="20"/>
          <w:lang w:val="uk-UA"/>
        </w:rPr>
      </w:pPr>
      <w:r>
        <w:rPr>
          <w:spacing w:val="-4"/>
          <w:sz w:val="20"/>
          <w:szCs w:val="20"/>
          <w:lang w:val="uk-UA"/>
        </w:rPr>
        <w:t>Пріоритети досліджень є наступними:</w:t>
      </w:r>
    </w:p>
    <w:p w14:paraId="552FE27D" w14:textId="77777777" w:rsidR="00B545A1" w:rsidRPr="00B545A1" w:rsidRDefault="00B545A1" w:rsidP="00B545A1">
      <w:pPr>
        <w:pStyle w:val="a4"/>
        <w:numPr>
          <w:ilvl w:val="0"/>
          <w:numId w:val="7"/>
        </w:numPr>
        <w:tabs>
          <w:tab w:val="left" w:pos="850"/>
        </w:tabs>
        <w:spacing w:line="297" w:lineRule="auto"/>
        <w:ind w:right="138"/>
        <w:rPr>
          <w:sz w:val="20"/>
          <w:szCs w:val="20"/>
          <w:lang w:val="uk-UA"/>
        </w:rPr>
      </w:pPr>
      <w:r w:rsidRPr="00B545A1">
        <w:rPr>
          <w:sz w:val="20"/>
          <w:szCs w:val="20"/>
          <w:lang w:val="uk-UA"/>
        </w:rPr>
        <w:t>специфічність Діаскінтесту та C-TST у групах населення з низьким рівнем поширеності ТБ, а також пряме порівняльне дослідження всіх трьох ШПТБ;</w:t>
      </w:r>
    </w:p>
    <w:p w14:paraId="2910B312" w14:textId="3196DFB0" w:rsidR="00B545A1" w:rsidRPr="00B545A1" w:rsidRDefault="00B545A1" w:rsidP="00B545A1">
      <w:pPr>
        <w:pStyle w:val="a4"/>
        <w:numPr>
          <w:ilvl w:val="0"/>
          <w:numId w:val="7"/>
        </w:numPr>
        <w:tabs>
          <w:tab w:val="left" w:pos="850"/>
        </w:tabs>
        <w:spacing w:line="297" w:lineRule="auto"/>
        <w:ind w:right="138"/>
        <w:rPr>
          <w:sz w:val="20"/>
          <w:szCs w:val="20"/>
          <w:lang w:val="uk-UA"/>
        </w:rPr>
      </w:pPr>
      <w:r w:rsidRPr="00B545A1">
        <w:rPr>
          <w:sz w:val="20"/>
          <w:szCs w:val="20"/>
          <w:lang w:val="uk-UA"/>
        </w:rPr>
        <w:t>оцінка бар'єрів</w:t>
      </w:r>
      <w:r w:rsidR="002139FB">
        <w:rPr>
          <w:sz w:val="20"/>
          <w:szCs w:val="20"/>
          <w:lang w:val="uk-UA"/>
        </w:rPr>
        <w:t>, що можуть мати місце при</w:t>
      </w:r>
      <w:r w:rsidRPr="00B545A1">
        <w:rPr>
          <w:sz w:val="20"/>
          <w:szCs w:val="20"/>
          <w:lang w:val="uk-UA"/>
        </w:rPr>
        <w:t xml:space="preserve"> впровадженн</w:t>
      </w:r>
      <w:r w:rsidR="002139FB">
        <w:rPr>
          <w:sz w:val="20"/>
          <w:szCs w:val="20"/>
          <w:lang w:val="uk-UA"/>
        </w:rPr>
        <w:t>і</w:t>
      </w:r>
      <w:r w:rsidRPr="00B545A1">
        <w:rPr>
          <w:sz w:val="20"/>
          <w:szCs w:val="20"/>
          <w:lang w:val="uk-UA"/>
        </w:rPr>
        <w:t xml:space="preserve"> тестів та </w:t>
      </w:r>
      <w:r w:rsidR="002139FB">
        <w:rPr>
          <w:sz w:val="20"/>
          <w:szCs w:val="20"/>
          <w:lang w:val="uk-UA"/>
        </w:rPr>
        <w:t xml:space="preserve">забезпеченні </w:t>
      </w:r>
      <w:r w:rsidRPr="00B545A1">
        <w:rPr>
          <w:sz w:val="20"/>
          <w:szCs w:val="20"/>
          <w:lang w:val="uk-UA"/>
        </w:rPr>
        <w:t>доступу до них пацієнтів;</w:t>
      </w:r>
    </w:p>
    <w:p w14:paraId="73928A50" w14:textId="6E1853B2" w:rsidR="00E05B98" w:rsidRPr="00064481" w:rsidRDefault="00B545A1" w:rsidP="00B545A1">
      <w:pPr>
        <w:pStyle w:val="a4"/>
        <w:numPr>
          <w:ilvl w:val="0"/>
          <w:numId w:val="7"/>
        </w:numPr>
        <w:tabs>
          <w:tab w:val="left" w:pos="850"/>
        </w:tabs>
        <w:spacing w:line="297" w:lineRule="auto"/>
        <w:ind w:right="138"/>
        <w:jc w:val="left"/>
        <w:rPr>
          <w:sz w:val="20"/>
          <w:szCs w:val="20"/>
          <w:lang w:val="uk-UA"/>
        </w:rPr>
      </w:pPr>
      <w:r w:rsidRPr="00B545A1">
        <w:rPr>
          <w:sz w:val="20"/>
          <w:szCs w:val="20"/>
          <w:lang w:val="uk-UA"/>
        </w:rPr>
        <w:t>додаткові дослідження точності тестів у групах високого ризику: діти віком до 5 років, діти (5-10 років) та підлітки (10-18 років), ЛЖВ, ув'язнені та мігранти;</w:t>
      </w:r>
    </w:p>
    <w:p w14:paraId="5B8E0D58" w14:textId="77777777" w:rsidR="001F170F" w:rsidRPr="001F170F" w:rsidRDefault="001F170F" w:rsidP="001F170F">
      <w:pPr>
        <w:pStyle w:val="a4"/>
        <w:numPr>
          <w:ilvl w:val="0"/>
          <w:numId w:val="7"/>
        </w:numPr>
        <w:tabs>
          <w:tab w:val="left" w:pos="850"/>
        </w:tabs>
        <w:rPr>
          <w:sz w:val="20"/>
          <w:szCs w:val="20"/>
          <w:lang w:val="uk-UA"/>
        </w:rPr>
      </w:pPr>
      <w:r w:rsidRPr="001F170F">
        <w:rPr>
          <w:sz w:val="20"/>
          <w:szCs w:val="20"/>
          <w:lang w:val="uk-UA"/>
        </w:rPr>
        <w:t>дослідження з оцінки епідеміологічного та економічного впливу використання ШПТБ при діагностуванні ТБ-інфекції та в каскаді ПЛТ;</w:t>
      </w:r>
    </w:p>
    <w:p w14:paraId="73A2CCB2" w14:textId="7572832E" w:rsidR="001F170F" w:rsidRPr="001F170F" w:rsidRDefault="001F170F" w:rsidP="001F170F">
      <w:pPr>
        <w:pStyle w:val="a4"/>
        <w:numPr>
          <w:ilvl w:val="0"/>
          <w:numId w:val="7"/>
        </w:numPr>
        <w:tabs>
          <w:tab w:val="left" w:pos="850"/>
        </w:tabs>
        <w:rPr>
          <w:sz w:val="20"/>
          <w:szCs w:val="20"/>
          <w:lang w:val="uk-UA"/>
        </w:rPr>
      </w:pPr>
      <w:r w:rsidRPr="001F170F">
        <w:rPr>
          <w:sz w:val="20"/>
          <w:szCs w:val="20"/>
          <w:lang w:val="uk-UA"/>
        </w:rPr>
        <w:t>лонгітюдні дослідження для оцінки прогностичної цінності для виявлення активної форми ТБ порівняно з існуючими тестами;</w:t>
      </w:r>
    </w:p>
    <w:p w14:paraId="4793BFCD" w14:textId="62800196" w:rsidR="001F170F" w:rsidRPr="001F170F" w:rsidRDefault="001F170F" w:rsidP="001F170F">
      <w:pPr>
        <w:pStyle w:val="a4"/>
        <w:numPr>
          <w:ilvl w:val="0"/>
          <w:numId w:val="7"/>
        </w:numPr>
        <w:tabs>
          <w:tab w:val="left" w:pos="850"/>
        </w:tabs>
        <w:rPr>
          <w:sz w:val="20"/>
          <w:szCs w:val="20"/>
          <w:lang w:val="uk-UA"/>
        </w:rPr>
      </w:pPr>
      <w:r w:rsidRPr="001F170F">
        <w:rPr>
          <w:sz w:val="20"/>
          <w:szCs w:val="20"/>
          <w:lang w:val="uk-UA"/>
        </w:rPr>
        <w:t>економічні дослідження (наприклад, вартість та економічна ефективність ШПТБ за різних сценаріїв);  та</w:t>
      </w:r>
    </w:p>
    <w:p w14:paraId="4E818230" w14:textId="4CCCEE3B" w:rsidR="00E05B98" w:rsidRPr="003C6DAE" w:rsidRDefault="001F170F" w:rsidP="001F170F">
      <w:pPr>
        <w:pStyle w:val="a4"/>
        <w:numPr>
          <w:ilvl w:val="0"/>
          <w:numId w:val="7"/>
        </w:numPr>
        <w:tabs>
          <w:tab w:val="left" w:pos="850"/>
        </w:tabs>
        <w:jc w:val="left"/>
        <w:rPr>
          <w:lang w:val="uk-UA"/>
        </w:rPr>
      </w:pPr>
      <w:r w:rsidRPr="001F170F">
        <w:rPr>
          <w:sz w:val="20"/>
          <w:szCs w:val="20"/>
          <w:lang w:val="uk-UA"/>
        </w:rPr>
        <w:t>дослідження, які оцінюють використання цифрових інструментів для зчитування результатів, щоб уникнути повторних візитів пацієнтів до лікаря.</w:t>
      </w:r>
    </w:p>
    <w:p w14:paraId="596C43DA" w14:textId="77777777" w:rsidR="00E05B98" w:rsidRPr="001F170F" w:rsidRDefault="00E05B98">
      <w:pPr>
        <w:pStyle w:val="a3"/>
        <w:spacing w:before="151"/>
        <w:rPr>
          <w:sz w:val="16"/>
          <w:szCs w:val="16"/>
          <w:lang w:val="uk-UA"/>
        </w:rPr>
      </w:pPr>
    </w:p>
    <w:p w14:paraId="2973E8EC" w14:textId="3DA2BD00" w:rsidR="00E05B98" w:rsidRPr="007537CB" w:rsidRDefault="005878D4" w:rsidP="004A2937">
      <w:pPr>
        <w:pStyle w:val="3"/>
        <w:numPr>
          <w:ilvl w:val="1"/>
          <w:numId w:val="31"/>
        </w:numPr>
        <w:tabs>
          <w:tab w:val="left" w:pos="1309"/>
        </w:tabs>
        <w:ind w:right="4" w:firstLine="0"/>
        <w:rPr>
          <w:color w:val="019648"/>
          <w:sz w:val="36"/>
          <w:szCs w:val="36"/>
          <w:lang w:val="uk-UA"/>
        </w:rPr>
      </w:pPr>
      <w:r>
        <w:rPr>
          <w:color w:val="019648"/>
          <w:sz w:val="36"/>
          <w:szCs w:val="36"/>
          <w:lang w:val="uk-UA"/>
        </w:rPr>
        <w:t>Т</w:t>
      </w:r>
      <w:r w:rsidR="007537CB" w:rsidRPr="007537CB">
        <w:rPr>
          <w:color w:val="019648"/>
          <w:sz w:val="36"/>
          <w:szCs w:val="36"/>
          <w:lang w:val="uk-UA"/>
        </w:rPr>
        <w:t>уберкулінов</w:t>
      </w:r>
      <w:r>
        <w:rPr>
          <w:color w:val="019648"/>
          <w:sz w:val="36"/>
          <w:szCs w:val="36"/>
          <w:lang w:val="uk-UA"/>
        </w:rPr>
        <w:t>і</w:t>
      </w:r>
      <w:r w:rsidR="002B5818">
        <w:rPr>
          <w:color w:val="019648"/>
          <w:sz w:val="36"/>
          <w:szCs w:val="36"/>
          <w:lang w:val="uk-UA"/>
        </w:rPr>
        <w:t xml:space="preserve"> шкірн</w:t>
      </w:r>
      <w:r>
        <w:rPr>
          <w:color w:val="019648"/>
          <w:sz w:val="36"/>
          <w:szCs w:val="36"/>
          <w:lang w:val="uk-UA"/>
        </w:rPr>
        <w:t>і</w:t>
      </w:r>
      <w:r w:rsidR="007537CB" w:rsidRPr="007537CB">
        <w:rPr>
          <w:color w:val="019648"/>
          <w:sz w:val="36"/>
          <w:szCs w:val="36"/>
          <w:lang w:val="uk-UA"/>
        </w:rPr>
        <w:t xml:space="preserve"> </w:t>
      </w:r>
      <w:r w:rsidR="002139FB">
        <w:rPr>
          <w:color w:val="019648"/>
          <w:sz w:val="36"/>
          <w:szCs w:val="36"/>
          <w:lang w:val="uk-UA"/>
        </w:rPr>
        <w:t>проб</w:t>
      </w:r>
      <w:r>
        <w:rPr>
          <w:color w:val="019648"/>
          <w:sz w:val="36"/>
          <w:szCs w:val="36"/>
          <w:lang w:val="uk-UA"/>
        </w:rPr>
        <w:t>и</w:t>
      </w:r>
      <w:r w:rsidR="002139FB">
        <w:rPr>
          <w:color w:val="019648"/>
          <w:sz w:val="36"/>
          <w:szCs w:val="36"/>
          <w:lang w:val="uk-UA"/>
        </w:rPr>
        <w:t xml:space="preserve"> </w:t>
      </w:r>
      <w:r w:rsidR="007537CB" w:rsidRPr="007537CB">
        <w:rPr>
          <w:color w:val="019648"/>
          <w:sz w:val="36"/>
          <w:szCs w:val="36"/>
          <w:lang w:val="uk-UA"/>
        </w:rPr>
        <w:t>(</w:t>
      </w:r>
      <w:r w:rsidR="00D45FA2">
        <w:rPr>
          <w:color w:val="019648"/>
          <w:sz w:val="36"/>
          <w:szCs w:val="36"/>
          <w:lang w:val="uk-UA"/>
        </w:rPr>
        <w:t>ТШП</w:t>
      </w:r>
      <w:r w:rsidR="007537CB" w:rsidRPr="007537CB">
        <w:rPr>
          <w:color w:val="019648"/>
          <w:sz w:val="36"/>
          <w:szCs w:val="36"/>
          <w:lang w:val="uk-UA"/>
        </w:rPr>
        <w:t>) та аналіз</w:t>
      </w:r>
      <w:r>
        <w:rPr>
          <w:color w:val="019648"/>
          <w:sz w:val="36"/>
          <w:szCs w:val="36"/>
          <w:lang w:val="uk-UA"/>
        </w:rPr>
        <w:t>и</w:t>
      </w:r>
      <w:r w:rsidR="007537CB" w:rsidRPr="007537CB">
        <w:rPr>
          <w:color w:val="019648"/>
          <w:sz w:val="36"/>
          <w:szCs w:val="36"/>
          <w:lang w:val="uk-UA"/>
        </w:rPr>
        <w:t xml:space="preserve"> </w:t>
      </w:r>
      <w:r w:rsidR="002B5818">
        <w:rPr>
          <w:color w:val="019648"/>
          <w:sz w:val="36"/>
          <w:szCs w:val="36"/>
          <w:lang w:val="uk-UA"/>
        </w:rPr>
        <w:t xml:space="preserve">на </w:t>
      </w:r>
      <w:r w:rsidR="007537CB" w:rsidRPr="007537CB">
        <w:rPr>
          <w:color w:val="019648"/>
          <w:sz w:val="36"/>
          <w:szCs w:val="36"/>
          <w:lang w:val="uk-UA"/>
        </w:rPr>
        <w:t>вивільнення гамма-інтерферону для діагностики інфекції туберкульозу</w:t>
      </w:r>
    </w:p>
    <w:p w14:paraId="5EBB80B2" w14:textId="4C6287CD" w:rsidR="00E05B98" w:rsidRPr="0093770E" w:rsidRDefault="007537CB">
      <w:pPr>
        <w:pStyle w:val="a3"/>
        <w:spacing w:before="172" w:line="297" w:lineRule="auto"/>
        <w:ind w:left="567" w:right="135"/>
        <w:jc w:val="both"/>
        <w:rPr>
          <w:sz w:val="20"/>
          <w:szCs w:val="20"/>
          <w:lang w:val="uk-UA"/>
        </w:rPr>
      </w:pPr>
      <w:r w:rsidRPr="0093770E">
        <w:rPr>
          <w:sz w:val="20"/>
          <w:szCs w:val="20"/>
          <w:lang w:val="uk-UA"/>
        </w:rPr>
        <w:t xml:space="preserve">Тестування на інфекцію ТБ підвищує впевненість у тому, що особи, які планують лікування, отримають від нього користь. Однак, не існує золотого стандарту для діагностики інфекції ТБ. Обидва доступні наразі тести – </w:t>
      </w:r>
      <w:r w:rsidR="00D45FA2">
        <w:rPr>
          <w:sz w:val="20"/>
          <w:szCs w:val="20"/>
          <w:lang w:val="uk-UA"/>
        </w:rPr>
        <w:t>ТШП</w:t>
      </w:r>
      <w:r w:rsidRPr="0093770E">
        <w:rPr>
          <w:sz w:val="20"/>
          <w:szCs w:val="20"/>
          <w:lang w:val="uk-UA"/>
        </w:rPr>
        <w:t xml:space="preserve"> та АВГІ – є непрямими та вимагають компетентної імунної відповіді для виявлення людей, інфікованих туберкульозом. Позитивний результат тестування будь-яким із методів сам по собі не є надійним показником ризику розвитку інфекції до активної форми захворювання. У цьому розділі розглядаються докази та рекомендації щодо тестування на інфекцію ТБ.</w:t>
      </w:r>
    </w:p>
    <w:p w14:paraId="5A451A22" w14:textId="77777777" w:rsidR="00E05B98" w:rsidRPr="003C6DAE" w:rsidRDefault="00E05B98">
      <w:pPr>
        <w:pStyle w:val="a3"/>
        <w:spacing w:line="297" w:lineRule="auto"/>
        <w:jc w:val="both"/>
        <w:rPr>
          <w:lang w:val="uk-UA"/>
        </w:rPr>
        <w:sectPr w:rsidR="00E05B98" w:rsidRPr="003C6DAE">
          <w:pgSz w:w="11910" w:h="16840"/>
          <w:pgMar w:top="1320" w:right="1275" w:bottom="760" w:left="850" w:header="0" w:footer="573" w:gutter="0"/>
          <w:cols w:space="720"/>
        </w:sectPr>
      </w:pPr>
    </w:p>
    <w:p w14:paraId="280872A7" w14:textId="59B430EF" w:rsidR="00E05B98" w:rsidRPr="0093770E" w:rsidRDefault="0093770E">
      <w:pPr>
        <w:pStyle w:val="5"/>
        <w:spacing w:before="45"/>
        <w:rPr>
          <w:sz w:val="26"/>
          <w:szCs w:val="26"/>
          <w:lang w:val="uk-UA"/>
        </w:rPr>
      </w:pPr>
      <w:r>
        <w:rPr>
          <w:color w:val="019648"/>
          <w:spacing w:val="-2"/>
          <w:w w:val="110"/>
          <w:sz w:val="26"/>
          <w:szCs w:val="26"/>
          <w:lang w:val="uk-UA"/>
        </w:rPr>
        <w:lastRenderedPageBreak/>
        <w:t>Рекомендація</w:t>
      </w:r>
    </w:p>
    <w:p w14:paraId="67234483" w14:textId="77777777" w:rsidR="00E05B98" w:rsidRPr="003C6DAE" w:rsidRDefault="00E05B98">
      <w:pPr>
        <w:pStyle w:val="a3"/>
        <w:spacing w:before="10"/>
        <w:rPr>
          <w:sz w:val="16"/>
          <w:lang w:val="uk-UA"/>
        </w:rPr>
      </w:pPr>
    </w:p>
    <w:tbl>
      <w:tblPr>
        <w:tblStyle w:val="TableNormal"/>
        <w:tblW w:w="0" w:type="auto"/>
        <w:tblInd w:w="58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051"/>
      </w:tblGrid>
      <w:tr w:rsidR="00E05B98" w:rsidRPr="00D029FF" w14:paraId="65602FEA" w14:textId="77777777">
        <w:trPr>
          <w:trHeight w:val="1518"/>
        </w:trPr>
        <w:tc>
          <w:tcPr>
            <w:tcW w:w="9051" w:type="dxa"/>
          </w:tcPr>
          <w:p w14:paraId="495CDD1B" w14:textId="13EFBED0" w:rsidR="0093770E" w:rsidRPr="002139FB" w:rsidRDefault="00B01E0C" w:rsidP="0093770E">
            <w:pPr>
              <w:pStyle w:val="TableParagraph"/>
              <w:spacing w:before="168"/>
              <w:ind w:left="680" w:hanging="419"/>
              <w:rPr>
                <w:rFonts w:ascii="Arial"/>
                <w:b/>
                <w:sz w:val="20"/>
                <w:szCs w:val="20"/>
                <w:lang w:val="uk-UA"/>
              </w:rPr>
            </w:pPr>
            <w:r w:rsidRPr="003C6DAE">
              <w:rPr>
                <w:rFonts w:ascii="Arial"/>
                <w:b/>
                <w:lang w:val="uk-UA"/>
              </w:rPr>
              <w:t>19.</w:t>
            </w:r>
            <w:r w:rsidRPr="003C6DAE">
              <w:rPr>
                <w:rFonts w:ascii="Arial"/>
                <w:b/>
                <w:spacing w:val="29"/>
                <w:lang w:val="uk-UA"/>
              </w:rPr>
              <w:t xml:space="preserve"> </w:t>
            </w:r>
            <w:r w:rsidR="0093770E" w:rsidRPr="002139FB">
              <w:rPr>
                <w:rFonts w:ascii="Arial"/>
                <w:b/>
                <w:sz w:val="20"/>
                <w:szCs w:val="20"/>
                <w:lang w:val="uk-UA"/>
              </w:rPr>
              <w:t>Для</w:t>
            </w:r>
            <w:r w:rsidR="0093770E" w:rsidRPr="002139FB">
              <w:rPr>
                <w:rFonts w:ascii="Arial"/>
                <w:b/>
                <w:sz w:val="20"/>
                <w:szCs w:val="20"/>
                <w:lang w:val="uk-UA"/>
              </w:rPr>
              <w:t xml:space="preserve"> </w:t>
            </w:r>
            <w:r w:rsidR="0093770E" w:rsidRPr="002139FB">
              <w:rPr>
                <w:rFonts w:ascii="Arial"/>
                <w:b/>
                <w:sz w:val="20"/>
                <w:szCs w:val="20"/>
                <w:lang w:val="uk-UA"/>
              </w:rPr>
              <w:t>тестування</w:t>
            </w:r>
            <w:r w:rsidR="0093770E" w:rsidRPr="002139FB">
              <w:rPr>
                <w:rFonts w:ascii="Arial"/>
                <w:b/>
                <w:sz w:val="20"/>
                <w:szCs w:val="20"/>
                <w:lang w:val="uk-UA"/>
              </w:rPr>
              <w:t xml:space="preserve"> </w:t>
            </w:r>
            <w:r w:rsidR="0093770E" w:rsidRPr="002139FB">
              <w:rPr>
                <w:rFonts w:ascii="Arial"/>
                <w:b/>
                <w:sz w:val="20"/>
                <w:szCs w:val="20"/>
                <w:lang w:val="uk-UA"/>
              </w:rPr>
              <w:t>на</w:t>
            </w:r>
            <w:r w:rsidR="0093770E" w:rsidRPr="002139FB">
              <w:rPr>
                <w:rFonts w:ascii="Arial"/>
                <w:b/>
                <w:sz w:val="20"/>
                <w:szCs w:val="20"/>
                <w:lang w:val="uk-UA"/>
              </w:rPr>
              <w:t xml:space="preserve"> </w:t>
            </w:r>
            <w:r w:rsidR="0093770E" w:rsidRPr="002139FB">
              <w:rPr>
                <w:rFonts w:ascii="Arial"/>
                <w:b/>
                <w:sz w:val="20"/>
                <w:szCs w:val="20"/>
                <w:lang w:val="uk-UA"/>
              </w:rPr>
              <w:t>інфекцію</w:t>
            </w:r>
            <w:r w:rsidR="0093770E" w:rsidRPr="002139FB">
              <w:rPr>
                <w:rFonts w:ascii="Arial"/>
                <w:b/>
                <w:sz w:val="20"/>
                <w:szCs w:val="20"/>
                <w:lang w:val="uk-UA"/>
              </w:rPr>
              <w:t xml:space="preserve"> </w:t>
            </w:r>
            <w:r w:rsidR="0093770E" w:rsidRPr="002139FB">
              <w:rPr>
                <w:rFonts w:ascii="Arial"/>
                <w:b/>
                <w:sz w:val="20"/>
                <w:szCs w:val="20"/>
                <w:lang w:val="uk-UA"/>
              </w:rPr>
              <w:t>ТБ</w:t>
            </w:r>
            <w:r w:rsidR="0093770E" w:rsidRPr="002139FB">
              <w:rPr>
                <w:rFonts w:ascii="Arial"/>
                <w:b/>
                <w:sz w:val="20"/>
                <w:szCs w:val="20"/>
                <w:lang w:val="uk-UA"/>
              </w:rPr>
              <w:t xml:space="preserve"> </w:t>
            </w:r>
            <w:r w:rsidR="0093770E" w:rsidRPr="002139FB">
              <w:rPr>
                <w:rFonts w:ascii="Arial"/>
                <w:b/>
                <w:sz w:val="20"/>
                <w:szCs w:val="20"/>
                <w:lang w:val="uk-UA"/>
              </w:rPr>
              <w:t>можна</w:t>
            </w:r>
            <w:r w:rsidR="0093770E" w:rsidRPr="002139FB">
              <w:rPr>
                <w:rFonts w:ascii="Arial"/>
                <w:b/>
                <w:sz w:val="20"/>
                <w:szCs w:val="20"/>
                <w:lang w:val="uk-UA"/>
              </w:rPr>
              <w:t xml:space="preserve"> </w:t>
            </w:r>
            <w:r w:rsidR="0093770E" w:rsidRPr="002139FB">
              <w:rPr>
                <w:rFonts w:ascii="Arial"/>
                <w:b/>
                <w:sz w:val="20"/>
                <w:szCs w:val="20"/>
                <w:lang w:val="uk-UA"/>
              </w:rPr>
              <w:t>використовувати</w:t>
            </w:r>
            <w:r w:rsidR="0093770E" w:rsidRPr="002139FB">
              <w:rPr>
                <w:rFonts w:ascii="Arial"/>
                <w:b/>
                <w:sz w:val="20"/>
                <w:szCs w:val="20"/>
                <w:lang w:val="uk-UA"/>
              </w:rPr>
              <w:t xml:space="preserve"> </w:t>
            </w:r>
            <w:r w:rsidR="0093770E" w:rsidRPr="002139FB">
              <w:rPr>
                <w:rFonts w:ascii="Arial"/>
                <w:b/>
                <w:sz w:val="20"/>
                <w:szCs w:val="20"/>
                <w:lang w:val="uk-UA"/>
              </w:rPr>
              <w:t>або</w:t>
            </w:r>
            <w:r w:rsidR="0093770E" w:rsidRPr="002139FB">
              <w:rPr>
                <w:rFonts w:ascii="Arial"/>
                <w:b/>
                <w:sz w:val="20"/>
                <w:szCs w:val="20"/>
                <w:lang w:val="uk-UA"/>
              </w:rPr>
              <w:t xml:space="preserve"> </w:t>
            </w:r>
            <w:r w:rsidR="0093770E" w:rsidRPr="002139FB">
              <w:rPr>
                <w:rFonts w:ascii="Arial"/>
                <w:b/>
                <w:sz w:val="20"/>
                <w:szCs w:val="20"/>
                <w:lang w:val="uk-UA"/>
              </w:rPr>
              <w:t>туберкулінову</w:t>
            </w:r>
            <w:r w:rsidR="0093770E" w:rsidRPr="002139FB">
              <w:rPr>
                <w:rFonts w:ascii="Arial"/>
                <w:b/>
                <w:sz w:val="20"/>
                <w:szCs w:val="20"/>
                <w:lang w:val="uk-UA"/>
              </w:rPr>
              <w:t xml:space="preserve"> </w:t>
            </w:r>
            <w:r w:rsidR="002B5818">
              <w:rPr>
                <w:rFonts w:ascii="Arial"/>
                <w:b/>
                <w:sz w:val="20"/>
                <w:szCs w:val="20"/>
                <w:lang w:val="uk-UA"/>
              </w:rPr>
              <w:t>шкірну</w:t>
            </w:r>
            <w:r w:rsidR="002B5818">
              <w:rPr>
                <w:rFonts w:ascii="Arial"/>
                <w:b/>
                <w:sz w:val="20"/>
                <w:szCs w:val="20"/>
                <w:lang w:val="uk-UA"/>
              </w:rPr>
              <w:t xml:space="preserve"> </w:t>
            </w:r>
            <w:r w:rsidR="0093770E" w:rsidRPr="002139FB">
              <w:rPr>
                <w:rFonts w:ascii="Arial"/>
                <w:b/>
                <w:sz w:val="20"/>
                <w:szCs w:val="20"/>
                <w:lang w:val="uk-UA"/>
              </w:rPr>
              <w:t>пробу</w:t>
            </w:r>
            <w:r w:rsidR="0093770E" w:rsidRPr="002139FB">
              <w:rPr>
                <w:rFonts w:ascii="Arial"/>
                <w:b/>
                <w:sz w:val="20"/>
                <w:szCs w:val="20"/>
                <w:lang w:val="uk-UA"/>
              </w:rPr>
              <w:t xml:space="preserve"> (</w:t>
            </w:r>
            <w:r w:rsidR="00D45FA2">
              <w:rPr>
                <w:rFonts w:ascii="Arial"/>
                <w:b/>
                <w:sz w:val="20"/>
                <w:szCs w:val="20"/>
                <w:lang w:val="uk-UA"/>
              </w:rPr>
              <w:t>ТШП</w:t>
            </w:r>
            <w:r w:rsidR="0093770E" w:rsidRPr="002139FB">
              <w:rPr>
                <w:rFonts w:ascii="Arial"/>
                <w:b/>
                <w:sz w:val="20"/>
                <w:szCs w:val="20"/>
                <w:lang w:val="uk-UA"/>
              </w:rPr>
              <w:t xml:space="preserve">), </w:t>
            </w:r>
            <w:r w:rsidR="0093770E" w:rsidRPr="002139FB">
              <w:rPr>
                <w:rFonts w:ascii="Arial"/>
                <w:b/>
                <w:sz w:val="20"/>
                <w:szCs w:val="20"/>
                <w:lang w:val="uk-UA"/>
              </w:rPr>
              <w:t>або</w:t>
            </w:r>
            <w:r w:rsidR="0093770E" w:rsidRPr="002139FB">
              <w:rPr>
                <w:rFonts w:ascii="Arial"/>
                <w:b/>
                <w:sz w:val="20"/>
                <w:szCs w:val="20"/>
                <w:lang w:val="uk-UA"/>
              </w:rPr>
              <w:t xml:space="preserve"> </w:t>
            </w:r>
            <w:r w:rsidR="0093770E" w:rsidRPr="002139FB">
              <w:rPr>
                <w:rFonts w:ascii="Arial"/>
                <w:b/>
                <w:sz w:val="20"/>
                <w:szCs w:val="20"/>
                <w:lang w:val="uk-UA"/>
              </w:rPr>
              <w:t>аналіз</w:t>
            </w:r>
            <w:r w:rsidR="0093770E" w:rsidRPr="002139FB">
              <w:rPr>
                <w:rFonts w:ascii="Arial"/>
                <w:b/>
                <w:sz w:val="20"/>
                <w:szCs w:val="20"/>
                <w:lang w:val="uk-UA"/>
              </w:rPr>
              <w:t xml:space="preserve"> </w:t>
            </w:r>
            <w:r w:rsidR="0093770E" w:rsidRPr="002139FB">
              <w:rPr>
                <w:rFonts w:ascii="Arial"/>
                <w:b/>
                <w:sz w:val="20"/>
                <w:szCs w:val="20"/>
                <w:lang w:val="uk-UA"/>
              </w:rPr>
              <w:t>на</w:t>
            </w:r>
            <w:r w:rsidR="0093770E" w:rsidRPr="002139FB">
              <w:rPr>
                <w:rFonts w:ascii="Arial"/>
                <w:b/>
                <w:sz w:val="20"/>
                <w:szCs w:val="20"/>
                <w:lang w:val="uk-UA"/>
              </w:rPr>
              <w:t xml:space="preserve"> </w:t>
            </w:r>
            <w:r w:rsidR="0093770E" w:rsidRPr="002139FB">
              <w:rPr>
                <w:rFonts w:ascii="Arial"/>
                <w:b/>
                <w:sz w:val="20"/>
                <w:szCs w:val="20"/>
                <w:lang w:val="uk-UA"/>
              </w:rPr>
              <w:t>вивільнення</w:t>
            </w:r>
            <w:r w:rsidR="0093770E" w:rsidRPr="002139FB">
              <w:rPr>
                <w:rFonts w:ascii="Arial"/>
                <w:b/>
                <w:sz w:val="20"/>
                <w:szCs w:val="20"/>
                <w:lang w:val="uk-UA"/>
              </w:rPr>
              <w:t xml:space="preserve"> </w:t>
            </w:r>
            <w:r w:rsidR="0093770E" w:rsidRPr="002139FB">
              <w:rPr>
                <w:rFonts w:ascii="Arial"/>
                <w:b/>
                <w:sz w:val="20"/>
                <w:szCs w:val="20"/>
                <w:lang w:val="uk-UA"/>
              </w:rPr>
              <w:t>гамма</w:t>
            </w:r>
            <w:r w:rsidR="0093770E" w:rsidRPr="002139FB">
              <w:rPr>
                <w:rFonts w:ascii="Arial"/>
                <w:b/>
                <w:sz w:val="20"/>
                <w:szCs w:val="20"/>
                <w:lang w:val="uk-UA"/>
              </w:rPr>
              <w:t>-</w:t>
            </w:r>
            <w:r w:rsidR="0093770E" w:rsidRPr="002139FB">
              <w:rPr>
                <w:rFonts w:ascii="Arial"/>
                <w:b/>
                <w:sz w:val="20"/>
                <w:szCs w:val="20"/>
                <w:lang w:val="uk-UA"/>
              </w:rPr>
              <w:t>інтерферону</w:t>
            </w:r>
            <w:r w:rsidR="0093770E" w:rsidRPr="002139FB">
              <w:rPr>
                <w:rFonts w:ascii="Arial"/>
                <w:b/>
                <w:sz w:val="20"/>
                <w:szCs w:val="20"/>
                <w:lang w:val="uk-UA"/>
              </w:rPr>
              <w:t xml:space="preserve"> (</w:t>
            </w:r>
            <w:r w:rsidR="0093770E" w:rsidRPr="002139FB">
              <w:rPr>
                <w:rFonts w:ascii="Arial"/>
                <w:b/>
                <w:sz w:val="20"/>
                <w:szCs w:val="20"/>
                <w:lang w:val="uk-UA"/>
              </w:rPr>
              <w:t>АВГІ</w:t>
            </w:r>
            <w:r w:rsidR="0093770E" w:rsidRPr="002139FB">
              <w:rPr>
                <w:rFonts w:ascii="Arial"/>
                <w:b/>
                <w:sz w:val="20"/>
                <w:szCs w:val="20"/>
                <w:lang w:val="uk-UA"/>
              </w:rPr>
              <w:t xml:space="preserve">). </w:t>
            </w:r>
          </w:p>
          <w:p w14:paraId="0988EFB2" w14:textId="1D4A1113" w:rsidR="00E05B98" w:rsidRPr="0093770E" w:rsidRDefault="0093770E" w:rsidP="0093770E">
            <w:pPr>
              <w:pStyle w:val="TableParagraph"/>
              <w:spacing w:before="168"/>
              <w:ind w:left="680" w:hanging="419"/>
              <w:rPr>
                <w:rFonts w:ascii="Arial"/>
                <w:bCs/>
                <w:i/>
                <w:iCs/>
                <w:lang w:val="uk-UA"/>
              </w:rPr>
            </w:pPr>
            <w:r w:rsidRPr="002139FB">
              <w:rPr>
                <w:rFonts w:ascii="Arial"/>
                <w:b/>
                <w:sz w:val="20"/>
                <w:szCs w:val="20"/>
                <w:lang w:val="uk-UA"/>
              </w:rPr>
              <w:t xml:space="preserve">      </w:t>
            </w:r>
            <w:r w:rsidRPr="002139FB">
              <w:rPr>
                <w:rFonts w:ascii="Arial"/>
                <w:bCs/>
                <w:i/>
                <w:iCs/>
                <w:sz w:val="20"/>
                <w:szCs w:val="20"/>
                <w:lang w:val="uk-UA"/>
              </w:rPr>
              <w:t>(</w:t>
            </w:r>
            <w:r w:rsidRPr="002139FB">
              <w:rPr>
                <w:rFonts w:ascii="Arial"/>
                <w:bCs/>
                <w:i/>
                <w:iCs/>
                <w:sz w:val="20"/>
                <w:szCs w:val="20"/>
                <w:lang w:val="uk-UA"/>
              </w:rPr>
              <w:t>Настійна</w:t>
            </w:r>
            <w:r w:rsidRPr="002139FB">
              <w:rPr>
                <w:rFonts w:ascii="Arial"/>
                <w:bCs/>
                <w:i/>
                <w:iCs/>
                <w:sz w:val="20"/>
                <w:szCs w:val="20"/>
                <w:lang w:val="uk-UA"/>
              </w:rPr>
              <w:t xml:space="preserve"> </w:t>
            </w:r>
            <w:r w:rsidRPr="002139FB">
              <w:rPr>
                <w:rFonts w:ascii="Arial"/>
                <w:bCs/>
                <w:i/>
                <w:iCs/>
                <w:sz w:val="20"/>
                <w:szCs w:val="20"/>
                <w:lang w:val="uk-UA"/>
              </w:rPr>
              <w:t>рекомендація</w:t>
            </w:r>
            <w:r w:rsidRPr="002139FB">
              <w:rPr>
                <w:rFonts w:ascii="Arial"/>
                <w:bCs/>
                <w:i/>
                <w:iCs/>
                <w:sz w:val="20"/>
                <w:szCs w:val="20"/>
                <w:lang w:val="uk-UA"/>
              </w:rPr>
              <w:t xml:space="preserve">, </w:t>
            </w:r>
            <w:r w:rsidRPr="002139FB">
              <w:rPr>
                <w:rFonts w:ascii="Arial"/>
                <w:bCs/>
                <w:i/>
                <w:iCs/>
                <w:sz w:val="20"/>
                <w:szCs w:val="20"/>
                <w:lang w:val="uk-UA"/>
              </w:rPr>
              <w:t>дуже</w:t>
            </w:r>
            <w:r w:rsidRPr="002139FB">
              <w:rPr>
                <w:rFonts w:ascii="Arial"/>
                <w:bCs/>
                <w:i/>
                <w:iCs/>
                <w:sz w:val="20"/>
                <w:szCs w:val="20"/>
                <w:lang w:val="uk-UA"/>
              </w:rPr>
              <w:t xml:space="preserve"> </w:t>
            </w:r>
            <w:r w:rsidRPr="002139FB">
              <w:rPr>
                <w:rFonts w:ascii="Arial"/>
                <w:bCs/>
                <w:i/>
                <w:iCs/>
                <w:sz w:val="20"/>
                <w:szCs w:val="20"/>
                <w:lang w:val="uk-UA"/>
              </w:rPr>
              <w:t>низьк</w:t>
            </w:r>
            <w:r w:rsidR="00B9560E">
              <w:rPr>
                <w:rFonts w:ascii="Arial"/>
                <w:bCs/>
                <w:i/>
                <w:iCs/>
                <w:sz w:val="20"/>
                <w:szCs w:val="20"/>
                <w:lang w:val="uk-UA"/>
              </w:rPr>
              <w:t>ий</w:t>
            </w:r>
            <w:r w:rsidR="00B9560E">
              <w:rPr>
                <w:rFonts w:ascii="Arial"/>
                <w:bCs/>
                <w:i/>
                <w:iCs/>
                <w:sz w:val="20"/>
                <w:szCs w:val="20"/>
                <w:lang w:val="uk-UA"/>
              </w:rPr>
              <w:t xml:space="preserve"> </w:t>
            </w:r>
            <w:r w:rsidR="00B9560E">
              <w:rPr>
                <w:rFonts w:ascii="Arial"/>
                <w:bCs/>
                <w:i/>
                <w:iCs/>
                <w:sz w:val="20"/>
                <w:szCs w:val="20"/>
                <w:lang w:val="uk-UA"/>
              </w:rPr>
              <w:t>ступінь</w:t>
            </w:r>
            <w:r w:rsidRPr="002139FB">
              <w:rPr>
                <w:rFonts w:ascii="Arial"/>
                <w:bCs/>
                <w:i/>
                <w:iCs/>
                <w:sz w:val="20"/>
                <w:szCs w:val="20"/>
                <w:lang w:val="uk-UA"/>
              </w:rPr>
              <w:t xml:space="preserve"> </w:t>
            </w:r>
            <w:r w:rsidRPr="002139FB">
              <w:rPr>
                <w:rFonts w:ascii="Arial"/>
                <w:bCs/>
                <w:i/>
                <w:iCs/>
                <w:sz w:val="20"/>
                <w:szCs w:val="20"/>
                <w:lang w:val="uk-UA"/>
              </w:rPr>
              <w:t>достовірн</w:t>
            </w:r>
            <w:r w:rsidR="00B9560E">
              <w:rPr>
                <w:rFonts w:ascii="Arial"/>
                <w:bCs/>
                <w:i/>
                <w:iCs/>
                <w:sz w:val="20"/>
                <w:szCs w:val="20"/>
                <w:lang w:val="uk-UA"/>
              </w:rPr>
              <w:t>ості</w:t>
            </w:r>
            <w:r w:rsidRPr="002139FB">
              <w:rPr>
                <w:rFonts w:ascii="Arial"/>
                <w:bCs/>
                <w:i/>
                <w:iCs/>
                <w:sz w:val="20"/>
                <w:szCs w:val="20"/>
                <w:lang w:val="uk-UA"/>
              </w:rPr>
              <w:t xml:space="preserve"> </w:t>
            </w:r>
            <w:r w:rsidRPr="002139FB">
              <w:rPr>
                <w:rFonts w:ascii="Arial"/>
                <w:bCs/>
                <w:i/>
                <w:iCs/>
                <w:sz w:val="20"/>
                <w:szCs w:val="20"/>
                <w:lang w:val="uk-UA"/>
              </w:rPr>
              <w:t>доказів</w:t>
            </w:r>
            <w:r w:rsidRPr="002139FB">
              <w:rPr>
                <w:rFonts w:ascii="Arial"/>
                <w:bCs/>
                <w:i/>
                <w:iCs/>
                <w:sz w:val="20"/>
                <w:szCs w:val="20"/>
                <w:lang w:val="uk-UA"/>
              </w:rPr>
              <w:t>)</w:t>
            </w:r>
          </w:p>
        </w:tc>
      </w:tr>
    </w:tbl>
    <w:p w14:paraId="361B2350" w14:textId="59B8F4BD" w:rsidR="00E05B98" w:rsidRPr="003C6DAE" w:rsidRDefault="0093770E">
      <w:pPr>
        <w:pStyle w:val="9"/>
        <w:spacing w:before="193"/>
        <w:rPr>
          <w:lang w:val="uk-UA"/>
        </w:rPr>
      </w:pPr>
      <w:r w:rsidRPr="0093770E">
        <w:rPr>
          <w:spacing w:val="-2"/>
          <w:lang w:val="uk-UA"/>
        </w:rPr>
        <w:t>Обґрунтування</w:t>
      </w:r>
    </w:p>
    <w:p w14:paraId="4A267ED7" w14:textId="25F3F7CD" w:rsidR="00E05B98" w:rsidRPr="0093770E" w:rsidRDefault="00A823E9">
      <w:pPr>
        <w:pStyle w:val="a3"/>
        <w:spacing w:before="231" w:line="297" w:lineRule="auto"/>
        <w:ind w:left="567" w:right="139"/>
        <w:jc w:val="both"/>
        <w:rPr>
          <w:sz w:val="20"/>
          <w:szCs w:val="20"/>
          <w:lang w:val="uk-UA"/>
        </w:rPr>
      </w:pPr>
      <w:r w:rsidRPr="00A823E9">
        <w:rPr>
          <w:sz w:val="20"/>
          <w:szCs w:val="20"/>
          <w:lang w:val="uk-UA"/>
        </w:rPr>
        <w:t xml:space="preserve">Систематичний огляд дозволив порівняти прогностичну ефективність АВГІ та </w:t>
      </w:r>
      <w:r w:rsidR="00D45FA2">
        <w:rPr>
          <w:sz w:val="20"/>
          <w:szCs w:val="20"/>
          <w:lang w:val="uk-UA"/>
        </w:rPr>
        <w:t>ТШП</w:t>
      </w:r>
      <w:r w:rsidRPr="00A823E9">
        <w:rPr>
          <w:sz w:val="20"/>
          <w:szCs w:val="20"/>
          <w:lang w:val="uk-UA"/>
        </w:rPr>
        <w:t xml:space="preserve"> для виявлення випадків активної форми ТБ у країнах з </w:t>
      </w:r>
      <w:r w:rsidR="00B9560E">
        <w:rPr>
          <w:sz w:val="20"/>
          <w:szCs w:val="20"/>
          <w:lang w:val="uk-UA"/>
        </w:rPr>
        <w:t xml:space="preserve">показником </w:t>
      </w:r>
      <w:r w:rsidRPr="00A823E9">
        <w:rPr>
          <w:sz w:val="20"/>
          <w:szCs w:val="20"/>
          <w:lang w:val="uk-UA"/>
        </w:rPr>
        <w:t>захворюван</w:t>
      </w:r>
      <w:r w:rsidR="00B9560E">
        <w:rPr>
          <w:sz w:val="20"/>
          <w:szCs w:val="20"/>
          <w:lang w:val="uk-UA"/>
        </w:rPr>
        <w:t>ості</w:t>
      </w:r>
      <w:r w:rsidRPr="00A823E9">
        <w:rPr>
          <w:sz w:val="20"/>
          <w:szCs w:val="20"/>
          <w:lang w:val="uk-UA"/>
        </w:rPr>
        <w:t xml:space="preserve"> на туберкульоз понад 100 випадків на 100 000 населення </w:t>
      </w:r>
      <w:r w:rsidRPr="00A823E9">
        <w:rPr>
          <w:i/>
          <w:iCs/>
          <w:sz w:val="20"/>
          <w:szCs w:val="20"/>
          <w:lang w:val="uk-UA"/>
        </w:rPr>
        <w:t>(12)</w:t>
      </w:r>
      <w:r w:rsidRPr="00A823E9">
        <w:rPr>
          <w:sz w:val="20"/>
          <w:szCs w:val="20"/>
          <w:lang w:val="uk-UA"/>
        </w:rPr>
        <w:t xml:space="preserve">. Були включені лише дослідження, в яких </w:t>
      </w:r>
      <w:r w:rsidR="00D45FA2">
        <w:rPr>
          <w:sz w:val="20"/>
          <w:szCs w:val="20"/>
          <w:lang w:val="uk-UA"/>
        </w:rPr>
        <w:t>ТШП</w:t>
      </w:r>
      <w:r w:rsidRPr="00A823E9">
        <w:rPr>
          <w:sz w:val="20"/>
          <w:szCs w:val="20"/>
          <w:lang w:val="uk-UA"/>
        </w:rPr>
        <w:t xml:space="preserve"> порівнювали з АВГІ в тій самій популяції (тобто дослідження «обличчя до обличчя»). Були оцінені відносні коефіцієнти ризику захворювання на ТБ для людей з позитивним результатом тесту </w:t>
      </w:r>
      <w:r w:rsidR="00D45FA2">
        <w:rPr>
          <w:sz w:val="20"/>
          <w:szCs w:val="20"/>
          <w:lang w:val="uk-UA"/>
        </w:rPr>
        <w:t>ТШП</w:t>
      </w:r>
      <w:r w:rsidRPr="00A823E9">
        <w:rPr>
          <w:sz w:val="20"/>
          <w:szCs w:val="20"/>
          <w:lang w:val="uk-UA"/>
        </w:rPr>
        <w:t xml:space="preserve">  та АВГІ, а також для тих, у кого результати зазначених тестів виявилися негативними.</w:t>
      </w:r>
    </w:p>
    <w:p w14:paraId="41DCE296" w14:textId="50661A39" w:rsidR="00E05B98" w:rsidRPr="0093770E" w:rsidRDefault="00C71A40">
      <w:pPr>
        <w:pStyle w:val="a3"/>
        <w:spacing w:before="171" w:line="297" w:lineRule="auto"/>
        <w:ind w:left="567" w:right="139"/>
        <w:jc w:val="both"/>
        <w:rPr>
          <w:sz w:val="20"/>
          <w:szCs w:val="20"/>
          <w:lang w:val="uk-UA"/>
        </w:rPr>
      </w:pPr>
      <w:r w:rsidRPr="00C71A40">
        <w:rPr>
          <w:sz w:val="20"/>
          <w:szCs w:val="20"/>
          <w:lang w:val="uk-UA"/>
        </w:rPr>
        <w:t xml:space="preserve">Було виявлено п'ять проспективних когортних досліджень із загальною кількістю учасників 7769 осіб. Оцінка об'єднаного відношення ризиків для </w:t>
      </w:r>
      <w:r w:rsidR="00D45FA2">
        <w:rPr>
          <w:sz w:val="20"/>
          <w:szCs w:val="20"/>
          <w:lang w:val="uk-UA"/>
        </w:rPr>
        <w:t>ТШП</w:t>
      </w:r>
      <w:r w:rsidRPr="00C71A40">
        <w:rPr>
          <w:sz w:val="20"/>
          <w:szCs w:val="20"/>
          <w:lang w:val="uk-UA"/>
        </w:rPr>
        <w:t xml:space="preserve"> становила 1,49 (95% ДІ: 0,79–2,80), а для АВГІ – 2,03 (95% ДІ: 1,18–3,50). Хоча оцінка для АВГІ була дещо вищою, ніж для </w:t>
      </w:r>
      <w:r w:rsidR="00D45FA2">
        <w:rPr>
          <w:sz w:val="20"/>
          <w:szCs w:val="20"/>
          <w:lang w:val="uk-UA"/>
        </w:rPr>
        <w:t>ТШП</w:t>
      </w:r>
      <w:r w:rsidRPr="00C71A40">
        <w:rPr>
          <w:sz w:val="20"/>
          <w:szCs w:val="20"/>
          <w:lang w:val="uk-UA"/>
        </w:rPr>
        <w:t xml:space="preserve">, 95% ДІ для оцінок </w:t>
      </w:r>
      <w:r w:rsidR="00D45FA2">
        <w:rPr>
          <w:sz w:val="20"/>
          <w:szCs w:val="20"/>
          <w:lang w:val="uk-UA"/>
        </w:rPr>
        <w:t>ТШП</w:t>
      </w:r>
      <w:r w:rsidRPr="00C71A40">
        <w:rPr>
          <w:sz w:val="20"/>
          <w:szCs w:val="20"/>
          <w:lang w:val="uk-UA"/>
        </w:rPr>
        <w:t xml:space="preserve"> та АВГІ перекривалися та були неточними.</w:t>
      </w:r>
    </w:p>
    <w:p w14:paraId="51ED5E39" w14:textId="4BAAD025" w:rsidR="00E05B98" w:rsidRPr="0093770E" w:rsidRDefault="00FE6590">
      <w:pPr>
        <w:pStyle w:val="a3"/>
        <w:spacing w:before="175" w:line="297" w:lineRule="auto"/>
        <w:ind w:left="567" w:right="133"/>
        <w:jc w:val="both"/>
        <w:rPr>
          <w:sz w:val="20"/>
          <w:szCs w:val="20"/>
          <w:lang w:val="uk-UA"/>
        </w:rPr>
      </w:pPr>
      <w:r w:rsidRPr="00FE6590">
        <w:rPr>
          <w:sz w:val="20"/>
          <w:szCs w:val="20"/>
          <w:lang w:val="uk-UA"/>
        </w:rPr>
        <w:t xml:space="preserve">ГРН дійшла висновку, що порівняння застосування </w:t>
      </w:r>
      <w:r w:rsidR="00D45FA2">
        <w:rPr>
          <w:sz w:val="20"/>
          <w:szCs w:val="20"/>
          <w:lang w:val="uk-UA"/>
        </w:rPr>
        <w:t>ТШП</w:t>
      </w:r>
      <w:r w:rsidRPr="00FE6590">
        <w:rPr>
          <w:sz w:val="20"/>
          <w:szCs w:val="20"/>
          <w:lang w:val="uk-UA"/>
        </w:rPr>
        <w:t xml:space="preserve"> та АВГІ в одній і тій самій популяції не надає переконливих доказів того, що одному тесту слід надавати перевагу над іншим для прогнозування розвитку активної форми захворювання на ТБ. </w:t>
      </w:r>
      <w:r w:rsidR="00D45FA2">
        <w:rPr>
          <w:sz w:val="20"/>
          <w:szCs w:val="20"/>
          <w:lang w:val="uk-UA"/>
        </w:rPr>
        <w:t>ТШП</w:t>
      </w:r>
      <w:r w:rsidRPr="00FE6590">
        <w:rPr>
          <w:sz w:val="20"/>
          <w:szCs w:val="20"/>
          <w:lang w:val="uk-UA"/>
        </w:rPr>
        <w:t xml:space="preserve"> може потребувати значно менших ресурсів, ніж АВГІ, а також практикуючі лікарі можуть більше знати про </w:t>
      </w:r>
      <w:r w:rsidR="00D45FA2">
        <w:rPr>
          <w:sz w:val="20"/>
          <w:szCs w:val="20"/>
          <w:lang w:val="uk-UA"/>
        </w:rPr>
        <w:t>ТШП</w:t>
      </w:r>
      <w:r w:rsidRPr="00FE6590">
        <w:rPr>
          <w:sz w:val="20"/>
          <w:szCs w:val="20"/>
          <w:lang w:val="uk-UA"/>
        </w:rPr>
        <w:t xml:space="preserve"> в країнах з обмеженими ресурсами; однак, періодичн</w:t>
      </w:r>
      <w:r w:rsidR="00B71CA6">
        <w:rPr>
          <w:sz w:val="20"/>
          <w:szCs w:val="20"/>
          <w:lang w:val="uk-UA"/>
        </w:rPr>
        <w:t>і</w:t>
      </w:r>
      <w:r w:rsidRPr="00FE6590">
        <w:rPr>
          <w:sz w:val="20"/>
          <w:szCs w:val="20"/>
          <w:lang w:val="uk-UA"/>
        </w:rPr>
        <w:t xml:space="preserve"> глобальн</w:t>
      </w:r>
      <w:r w:rsidR="00B71CA6">
        <w:rPr>
          <w:sz w:val="20"/>
          <w:szCs w:val="20"/>
          <w:lang w:val="uk-UA"/>
        </w:rPr>
        <w:t>і</w:t>
      </w:r>
      <w:r w:rsidRPr="00FE6590">
        <w:rPr>
          <w:sz w:val="20"/>
          <w:szCs w:val="20"/>
          <w:lang w:val="uk-UA"/>
        </w:rPr>
        <w:t xml:space="preserve"> дефіцит</w:t>
      </w:r>
      <w:r w:rsidR="00B71CA6">
        <w:rPr>
          <w:sz w:val="20"/>
          <w:szCs w:val="20"/>
          <w:lang w:val="uk-UA"/>
        </w:rPr>
        <w:t>и</w:t>
      </w:r>
      <w:r w:rsidRPr="00FE6590">
        <w:rPr>
          <w:sz w:val="20"/>
          <w:szCs w:val="20"/>
          <w:lang w:val="uk-UA"/>
        </w:rPr>
        <w:t xml:space="preserve"> та нестача </w:t>
      </w:r>
      <w:r w:rsidR="00D45FA2">
        <w:rPr>
          <w:sz w:val="20"/>
          <w:szCs w:val="20"/>
          <w:lang w:val="uk-UA"/>
        </w:rPr>
        <w:t>ТШП</w:t>
      </w:r>
      <w:r w:rsidRPr="00FE6590">
        <w:rPr>
          <w:sz w:val="20"/>
          <w:szCs w:val="20"/>
          <w:lang w:val="uk-UA"/>
        </w:rPr>
        <w:t xml:space="preserve"> зменшують перспективи розширення його використання для планомірної реалізації програм ПЛТ. ГРН також зазначила, що </w:t>
      </w:r>
      <w:r w:rsidRPr="002B5818">
        <w:rPr>
          <w:sz w:val="20"/>
          <w:szCs w:val="20"/>
          <w:lang w:val="uk-UA"/>
        </w:rPr>
        <w:t>справедливість</w:t>
      </w:r>
      <w:r w:rsidRPr="00FE6590">
        <w:rPr>
          <w:sz w:val="20"/>
          <w:szCs w:val="20"/>
          <w:lang w:val="uk-UA"/>
        </w:rPr>
        <w:t xml:space="preserve"> та доступ можуть впливати на вибір </w:t>
      </w:r>
      <w:r w:rsidR="00B71CA6">
        <w:rPr>
          <w:sz w:val="20"/>
          <w:szCs w:val="20"/>
          <w:lang w:val="uk-UA"/>
        </w:rPr>
        <w:t xml:space="preserve">тесту </w:t>
      </w:r>
      <w:r w:rsidRPr="00FE6590">
        <w:rPr>
          <w:sz w:val="20"/>
          <w:szCs w:val="20"/>
          <w:lang w:val="uk-UA"/>
        </w:rPr>
        <w:t xml:space="preserve">та </w:t>
      </w:r>
      <w:r w:rsidR="00B71CA6">
        <w:rPr>
          <w:sz w:val="20"/>
          <w:szCs w:val="20"/>
          <w:lang w:val="uk-UA"/>
        </w:rPr>
        <w:t xml:space="preserve">його </w:t>
      </w:r>
      <w:r w:rsidRPr="00FE6590">
        <w:rPr>
          <w:sz w:val="20"/>
          <w:szCs w:val="20"/>
          <w:lang w:val="uk-UA"/>
        </w:rPr>
        <w:t>тип</w:t>
      </w:r>
      <w:r w:rsidR="00B71CA6">
        <w:rPr>
          <w:sz w:val="20"/>
          <w:szCs w:val="20"/>
          <w:lang w:val="uk-UA"/>
        </w:rPr>
        <w:t>у</w:t>
      </w:r>
      <w:r w:rsidR="00B9560E">
        <w:rPr>
          <w:sz w:val="20"/>
          <w:szCs w:val="20"/>
          <w:lang w:val="uk-UA"/>
        </w:rPr>
        <w:t>, який використовують</w:t>
      </w:r>
      <w:r w:rsidRPr="00FE6590">
        <w:rPr>
          <w:sz w:val="20"/>
          <w:szCs w:val="20"/>
          <w:lang w:val="uk-UA"/>
        </w:rPr>
        <w:t>.</w:t>
      </w:r>
      <w:r w:rsidR="00B01E0C" w:rsidRPr="0093770E">
        <w:rPr>
          <w:spacing w:val="-14"/>
          <w:sz w:val="20"/>
          <w:szCs w:val="20"/>
          <w:lang w:val="uk-UA"/>
        </w:rPr>
        <w:t xml:space="preserve"> </w:t>
      </w:r>
      <w:r w:rsidRPr="00FE6590">
        <w:rPr>
          <w:sz w:val="20"/>
          <w:szCs w:val="20"/>
          <w:lang w:val="uk-UA"/>
        </w:rPr>
        <w:t>Уподобання людей, які підлягають тестуванню, і програми залежать від кількох факторів, таких як</w:t>
      </w:r>
      <w:r w:rsidR="00B9560E">
        <w:rPr>
          <w:sz w:val="20"/>
          <w:szCs w:val="20"/>
          <w:lang w:val="uk-UA"/>
        </w:rPr>
        <w:t>:</w:t>
      </w:r>
      <w:r w:rsidRPr="00FE6590">
        <w:rPr>
          <w:sz w:val="20"/>
          <w:szCs w:val="20"/>
          <w:lang w:val="uk-UA"/>
        </w:rPr>
        <w:t xml:space="preserve"> потреба у наявності  належним чином обладнаної лабораторії (наприклад, для виконання АВГІ)</w:t>
      </w:r>
      <w:r w:rsidR="00B9560E">
        <w:rPr>
          <w:sz w:val="20"/>
          <w:szCs w:val="20"/>
          <w:lang w:val="uk-UA"/>
        </w:rPr>
        <w:t>;</w:t>
      </w:r>
      <w:r w:rsidRPr="00FE6590">
        <w:rPr>
          <w:sz w:val="20"/>
          <w:szCs w:val="20"/>
          <w:lang w:val="uk-UA"/>
        </w:rPr>
        <w:t xml:space="preserve"> можливі додаткові витрати для людей, які проходять тестування (наприклад, витрати на </w:t>
      </w:r>
      <w:r w:rsidR="00B71CA6">
        <w:rPr>
          <w:sz w:val="20"/>
          <w:szCs w:val="20"/>
          <w:lang w:val="uk-UA"/>
        </w:rPr>
        <w:t>проїзд</w:t>
      </w:r>
      <w:r w:rsidRPr="00FE6590">
        <w:rPr>
          <w:sz w:val="20"/>
          <w:szCs w:val="20"/>
          <w:lang w:val="uk-UA"/>
        </w:rPr>
        <w:t xml:space="preserve">), а також </w:t>
      </w:r>
      <w:r w:rsidR="00B9560E">
        <w:rPr>
          <w:sz w:val="20"/>
          <w:szCs w:val="20"/>
          <w:lang w:val="uk-UA"/>
        </w:rPr>
        <w:t xml:space="preserve">наявність відповідних </w:t>
      </w:r>
      <w:r w:rsidRPr="00FE6590">
        <w:rPr>
          <w:sz w:val="20"/>
          <w:szCs w:val="20"/>
          <w:lang w:val="uk-UA"/>
        </w:rPr>
        <w:t>програм (наприклад, на інфраструктуру та тестування). ГРН настійно рекомендувала ці два тести як еквівалентні варіанти з відносно подібними перевагами та недоліками.</w:t>
      </w:r>
      <w:r w:rsidR="00B01E0C" w:rsidRPr="0093770E">
        <w:rPr>
          <w:sz w:val="20"/>
          <w:szCs w:val="20"/>
          <w:lang w:val="uk-UA"/>
        </w:rPr>
        <w:t xml:space="preserve"> </w:t>
      </w:r>
      <w:r w:rsidR="00DD7C2D" w:rsidRPr="00DD7C2D">
        <w:rPr>
          <w:sz w:val="20"/>
          <w:szCs w:val="20"/>
          <w:lang w:val="uk-UA"/>
        </w:rPr>
        <w:t>ГРН підкреслила</w:t>
      </w:r>
      <w:r w:rsidR="00B71CA6">
        <w:rPr>
          <w:sz w:val="20"/>
          <w:szCs w:val="20"/>
          <w:lang w:val="uk-UA"/>
        </w:rPr>
        <w:t xml:space="preserve"> необхідність </w:t>
      </w:r>
      <w:r w:rsidR="00CE4B93">
        <w:rPr>
          <w:sz w:val="20"/>
          <w:szCs w:val="20"/>
          <w:lang w:val="uk-UA"/>
        </w:rPr>
        <w:t>термінового</w:t>
      </w:r>
      <w:r w:rsidR="00B71CA6">
        <w:rPr>
          <w:sz w:val="20"/>
          <w:szCs w:val="20"/>
          <w:lang w:val="uk-UA"/>
        </w:rPr>
        <w:t xml:space="preserve"> вирішення питання, пов’язаного з</w:t>
      </w:r>
      <w:r w:rsidR="00DD7C2D" w:rsidRPr="00DD7C2D">
        <w:rPr>
          <w:sz w:val="20"/>
          <w:szCs w:val="20"/>
          <w:lang w:val="uk-UA"/>
        </w:rPr>
        <w:t xml:space="preserve"> глобальни</w:t>
      </w:r>
      <w:r w:rsidR="00B71CA6">
        <w:rPr>
          <w:sz w:val="20"/>
          <w:szCs w:val="20"/>
          <w:lang w:val="uk-UA"/>
        </w:rPr>
        <w:t>м</w:t>
      </w:r>
      <w:r w:rsidR="00DD7C2D" w:rsidRPr="00DD7C2D">
        <w:rPr>
          <w:sz w:val="20"/>
          <w:szCs w:val="20"/>
          <w:lang w:val="uk-UA"/>
        </w:rPr>
        <w:t xml:space="preserve"> дефіцит</w:t>
      </w:r>
      <w:r w:rsidR="00B71CA6">
        <w:rPr>
          <w:sz w:val="20"/>
          <w:szCs w:val="20"/>
          <w:lang w:val="uk-UA"/>
        </w:rPr>
        <w:t>ом</w:t>
      </w:r>
      <w:r w:rsidR="00DD7C2D" w:rsidRPr="00DD7C2D">
        <w:rPr>
          <w:sz w:val="20"/>
          <w:szCs w:val="20"/>
          <w:lang w:val="uk-UA"/>
        </w:rPr>
        <w:t xml:space="preserve"> </w:t>
      </w:r>
      <w:r w:rsidR="00D45FA2">
        <w:rPr>
          <w:sz w:val="20"/>
          <w:szCs w:val="20"/>
          <w:lang w:val="uk-UA"/>
        </w:rPr>
        <w:t>ТШП</w:t>
      </w:r>
      <w:r w:rsidR="00DD7C2D" w:rsidRPr="00DD7C2D">
        <w:rPr>
          <w:sz w:val="20"/>
          <w:szCs w:val="20"/>
          <w:lang w:val="uk-UA"/>
        </w:rPr>
        <w:t xml:space="preserve">, і закликала до збільшення інвестицій в дослідження нових тестів </w:t>
      </w:r>
      <w:r w:rsidR="00297E89">
        <w:rPr>
          <w:sz w:val="20"/>
          <w:szCs w:val="20"/>
          <w:lang w:val="uk-UA"/>
        </w:rPr>
        <w:t xml:space="preserve">для виявлення </w:t>
      </w:r>
      <w:r w:rsidR="00DD7C2D" w:rsidRPr="00DD7C2D">
        <w:rPr>
          <w:sz w:val="20"/>
          <w:szCs w:val="20"/>
          <w:lang w:val="uk-UA"/>
        </w:rPr>
        <w:t>інфекці</w:t>
      </w:r>
      <w:r w:rsidR="00297E89">
        <w:rPr>
          <w:sz w:val="20"/>
          <w:szCs w:val="20"/>
          <w:lang w:val="uk-UA"/>
        </w:rPr>
        <w:t>ї</w:t>
      </w:r>
      <w:r w:rsidR="00DD7C2D" w:rsidRPr="00DD7C2D">
        <w:rPr>
          <w:sz w:val="20"/>
          <w:szCs w:val="20"/>
          <w:lang w:val="uk-UA"/>
        </w:rPr>
        <w:t xml:space="preserve"> ТБ з кращою прогностичною цінністю. ГРН попередила, що недосконале виконання цих тестів може призвести до хибнонегативних результатів, особливо у маленьких дітей та людей з ослабленим імунітетом, таких як ЛЖВ із низькою кількістю CD4. ГРН зазначила важливість тестів для виявлення недавньої конверсії з негативного на позитивний результат, особливо серед людей, які мали контакти з випадками ТБ легень, що є хорошою практикою для початку ПЛТ.</w:t>
      </w:r>
      <w:r w:rsidR="00B01E0C" w:rsidRPr="0093770E">
        <w:rPr>
          <w:spacing w:val="-14"/>
          <w:sz w:val="20"/>
          <w:szCs w:val="20"/>
          <w:lang w:val="uk-UA"/>
        </w:rPr>
        <w:t xml:space="preserve"> </w:t>
      </w:r>
      <w:r w:rsidR="00DD7C2D" w:rsidRPr="00DD7C2D">
        <w:rPr>
          <w:sz w:val="20"/>
          <w:szCs w:val="20"/>
          <w:lang w:val="uk-UA"/>
        </w:rPr>
        <w:t>Тим не менш, недавні дослідження серед медичних працівників у США, які проходили серійне тестування на інфекцію ТБ, показали, що трансформаці</w:t>
      </w:r>
      <w:r w:rsidR="00B71CA6">
        <w:rPr>
          <w:sz w:val="20"/>
          <w:szCs w:val="20"/>
          <w:lang w:val="uk-UA"/>
        </w:rPr>
        <w:t>ї</w:t>
      </w:r>
      <w:r w:rsidR="00DD7C2D" w:rsidRPr="00DD7C2D">
        <w:rPr>
          <w:sz w:val="20"/>
          <w:szCs w:val="20"/>
          <w:lang w:val="uk-UA"/>
        </w:rPr>
        <w:t xml:space="preserve"> негативного результату на позитивний та реверсі</w:t>
      </w:r>
      <w:r w:rsidR="00B71CA6">
        <w:rPr>
          <w:sz w:val="20"/>
          <w:szCs w:val="20"/>
          <w:lang w:val="uk-UA"/>
        </w:rPr>
        <w:t>ї</w:t>
      </w:r>
      <w:r w:rsidR="00DD7C2D" w:rsidRPr="00DD7C2D">
        <w:rPr>
          <w:sz w:val="20"/>
          <w:szCs w:val="20"/>
          <w:lang w:val="uk-UA"/>
        </w:rPr>
        <w:t xml:space="preserve"> з позитивного на негативний результат частіше виявляють за допомогою АВГІ, ніж за допомогою </w:t>
      </w:r>
      <w:r w:rsidR="00D45FA2">
        <w:rPr>
          <w:sz w:val="20"/>
          <w:szCs w:val="20"/>
          <w:lang w:val="uk-UA"/>
        </w:rPr>
        <w:t>ТШП</w:t>
      </w:r>
      <w:r w:rsidR="00DD7C2D" w:rsidRPr="00DD7C2D">
        <w:rPr>
          <w:sz w:val="20"/>
          <w:szCs w:val="20"/>
          <w:lang w:val="uk-UA"/>
        </w:rPr>
        <w:t xml:space="preserve"> </w:t>
      </w:r>
      <w:r w:rsidR="00DD7C2D" w:rsidRPr="00DD7C2D">
        <w:rPr>
          <w:i/>
          <w:iCs/>
          <w:sz w:val="20"/>
          <w:szCs w:val="20"/>
          <w:lang w:val="uk-UA"/>
        </w:rPr>
        <w:t>(13)</w:t>
      </w:r>
      <w:r w:rsidR="00DD7C2D" w:rsidRPr="00DD7C2D">
        <w:rPr>
          <w:sz w:val="20"/>
          <w:szCs w:val="20"/>
          <w:lang w:val="uk-UA"/>
        </w:rPr>
        <w:t>. Таким чином, для інтерпретації результатів серійних тестів на туберкульозну інфекцію все ще необхідно використовувати клінічну оцінку.</w:t>
      </w:r>
    </w:p>
    <w:p w14:paraId="1A44805C" w14:textId="2DAF8EFC" w:rsidR="00E05B98" w:rsidRPr="0093770E" w:rsidRDefault="00DD7C2D">
      <w:pPr>
        <w:pStyle w:val="a3"/>
        <w:spacing w:before="192" w:line="297" w:lineRule="auto"/>
        <w:ind w:left="567" w:right="137"/>
        <w:jc w:val="both"/>
        <w:rPr>
          <w:sz w:val="20"/>
          <w:szCs w:val="20"/>
          <w:lang w:val="uk-UA"/>
        </w:rPr>
      </w:pPr>
      <w:r w:rsidRPr="00DD7C2D">
        <w:rPr>
          <w:sz w:val="20"/>
          <w:szCs w:val="20"/>
          <w:lang w:val="uk-UA"/>
        </w:rPr>
        <w:t>Проаналізовані доказові дані та надані рекомендації застосовні лише для використання двох комерційно доступних АВГІ (QuantiFERON-TB Gold In-Tube та T-Spot.</w:t>
      </w:r>
      <w:r>
        <w:rPr>
          <w:sz w:val="20"/>
          <w:szCs w:val="20"/>
          <w:lang w:val="uk-UA"/>
        </w:rPr>
        <w:t>)</w:t>
      </w:r>
    </w:p>
    <w:p w14:paraId="50FD001E" w14:textId="77777777" w:rsidR="00E05B98" w:rsidRPr="0093770E" w:rsidRDefault="00E05B98">
      <w:pPr>
        <w:pStyle w:val="a3"/>
        <w:spacing w:line="297" w:lineRule="auto"/>
        <w:jc w:val="both"/>
        <w:rPr>
          <w:sz w:val="20"/>
          <w:szCs w:val="20"/>
          <w:lang w:val="uk-UA"/>
        </w:rPr>
        <w:sectPr w:rsidR="00E05B98" w:rsidRPr="0093770E">
          <w:pgSz w:w="11910" w:h="16840"/>
          <w:pgMar w:top="1320" w:right="1275" w:bottom="760" w:left="850" w:header="0" w:footer="573" w:gutter="0"/>
          <w:cols w:space="720"/>
        </w:sectPr>
      </w:pPr>
    </w:p>
    <w:p w14:paraId="14FA6FAB" w14:textId="66131FC9" w:rsidR="00E05B98" w:rsidRPr="00DD7C2D" w:rsidRDefault="00DD7C2D">
      <w:pPr>
        <w:pStyle w:val="5"/>
        <w:spacing w:before="45"/>
        <w:rPr>
          <w:sz w:val="26"/>
          <w:szCs w:val="26"/>
          <w:lang w:val="uk-UA"/>
        </w:rPr>
      </w:pPr>
      <w:r w:rsidRPr="00DD7C2D">
        <w:rPr>
          <w:color w:val="019648"/>
          <w:sz w:val="26"/>
          <w:szCs w:val="26"/>
          <w:lang w:val="uk-UA"/>
        </w:rPr>
        <w:lastRenderedPageBreak/>
        <w:t>Доказова база</w:t>
      </w:r>
    </w:p>
    <w:p w14:paraId="669AB4C2" w14:textId="630DB2A5" w:rsidR="00E05B98" w:rsidRPr="003C6DAE" w:rsidRDefault="00DD7C2D">
      <w:pPr>
        <w:pStyle w:val="9"/>
        <w:spacing w:before="215"/>
        <w:rPr>
          <w:lang w:val="uk-UA"/>
        </w:rPr>
      </w:pPr>
      <w:r w:rsidRPr="00DD7C2D">
        <w:rPr>
          <w:w w:val="90"/>
          <w:lang w:val="uk-UA"/>
        </w:rPr>
        <w:t>Запитання PICO</w:t>
      </w:r>
    </w:p>
    <w:p w14:paraId="581554CF" w14:textId="180C136A" w:rsidR="00E05B98" w:rsidRPr="00D1148C" w:rsidRDefault="00D1148C" w:rsidP="00297E89">
      <w:pPr>
        <w:pStyle w:val="a3"/>
        <w:spacing w:before="231" w:line="276" w:lineRule="auto"/>
        <w:ind w:left="567" w:right="136"/>
        <w:jc w:val="both"/>
        <w:rPr>
          <w:sz w:val="20"/>
          <w:szCs w:val="20"/>
          <w:lang w:val="uk-UA"/>
        </w:rPr>
      </w:pPr>
      <w:r w:rsidRPr="00D1148C">
        <w:rPr>
          <w:spacing w:val="-4"/>
          <w:sz w:val="20"/>
          <w:szCs w:val="20"/>
          <w:lang w:val="uk-UA"/>
        </w:rPr>
        <w:t xml:space="preserve">Чи можна використовувати АВГІ в якості альтернативи </w:t>
      </w:r>
      <w:r w:rsidR="00D45FA2">
        <w:rPr>
          <w:spacing w:val="-4"/>
          <w:sz w:val="20"/>
          <w:szCs w:val="20"/>
          <w:lang w:val="uk-UA"/>
        </w:rPr>
        <w:t>ТШП</w:t>
      </w:r>
      <w:r w:rsidRPr="00D1148C">
        <w:rPr>
          <w:spacing w:val="-4"/>
          <w:sz w:val="20"/>
          <w:szCs w:val="20"/>
          <w:lang w:val="uk-UA"/>
        </w:rPr>
        <w:t xml:space="preserve"> для виявлення осіб з </w:t>
      </w:r>
      <w:r w:rsidR="00297E89">
        <w:rPr>
          <w:spacing w:val="-4"/>
          <w:sz w:val="20"/>
          <w:szCs w:val="20"/>
          <w:lang w:val="uk-UA"/>
        </w:rPr>
        <w:t xml:space="preserve">високим </w:t>
      </w:r>
      <w:r w:rsidRPr="00D1148C">
        <w:rPr>
          <w:spacing w:val="-4"/>
          <w:sz w:val="20"/>
          <w:szCs w:val="20"/>
          <w:lang w:val="uk-UA"/>
        </w:rPr>
        <w:t>ризиком розвитку туберкульозної інфекції до активної форми ТБ в країнах з високим рівнем захворюваності на ТБ?</w:t>
      </w:r>
    </w:p>
    <w:p w14:paraId="45637D57" w14:textId="21CF9684" w:rsidR="00E05B98" w:rsidRPr="003C6DAE" w:rsidRDefault="00D1148C">
      <w:pPr>
        <w:pStyle w:val="9"/>
        <w:spacing w:before="169"/>
        <w:rPr>
          <w:lang w:val="uk-UA"/>
        </w:rPr>
      </w:pPr>
      <w:r>
        <w:rPr>
          <w:lang w:val="uk-UA"/>
        </w:rPr>
        <w:t>Докази ефекту інтервенції</w:t>
      </w:r>
    </w:p>
    <w:p w14:paraId="14CC3AEA" w14:textId="344A3CB8" w:rsidR="00E05B98" w:rsidRPr="00D1148C" w:rsidRDefault="00D1148C" w:rsidP="00297E89">
      <w:pPr>
        <w:pStyle w:val="a3"/>
        <w:spacing w:before="230" w:line="276" w:lineRule="auto"/>
        <w:ind w:left="567" w:right="139"/>
        <w:jc w:val="both"/>
        <w:rPr>
          <w:sz w:val="20"/>
          <w:szCs w:val="20"/>
          <w:lang w:val="uk-UA"/>
        </w:rPr>
      </w:pPr>
      <w:r w:rsidRPr="00D1148C">
        <w:rPr>
          <w:sz w:val="20"/>
          <w:szCs w:val="20"/>
          <w:lang w:val="uk-UA"/>
        </w:rPr>
        <w:t xml:space="preserve">Було виявлено п’ять проспективних когортних досліджень, які включали загалом 7769 учасників; чотири з досліджень були щойно виявлені. Три дослідження були проведені в Південній Африці та два в Індії </w:t>
      </w:r>
      <w:r w:rsidRPr="00D1148C">
        <w:rPr>
          <w:i/>
          <w:iCs/>
          <w:sz w:val="20"/>
          <w:szCs w:val="20"/>
          <w:lang w:val="uk-UA"/>
        </w:rPr>
        <w:t>(14–18)</w:t>
      </w:r>
      <w:r w:rsidRPr="00D1148C">
        <w:rPr>
          <w:sz w:val="20"/>
          <w:szCs w:val="20"/>
          <w:lang w:val="uk-UA"/>
        </w:rPr>
        <w:t>. У дослідженнях брали участь ЛЖВ, вагітні жінки, підлітки, медичні працівники та побутові контакти.</w:t>
      </w:r>
      <w:r w:rsidR="00B01E0C" w:rsidRPr="00D1148C">
        <w:rPr>
          <w:sz w:val="20"/>
          <w:szCs w:val="20"/>
          <w:lang w:val="uk-UA"/>
        </w:rPr>
        <w:t xml:space="preserve"> </w:t>
      </w:r>
      <w:r w:rsidRPr="00D1148C">
        <w:rPr>
          <w:sz w:val="20"/>
          <w:szCs w:val="20"/>
          <w:lang w:val="uk-UA"/>
        </w:rPr>
        <w:t xml:space="preserve">Оцінка об’єднаного показника відношення ризиків для </w:t>
      </w:r>
      <w:r w:rsidR="00D45FA2">
        <w:rPr>
          <w:sz w:val="20"/>
          <w:szCs w:val="20"/>
          <w:lang w:val="uk-UA"/>
        </w:rPr>
        <w:t>ТШП</w:t>
      </w:r>
      <w:r w:rsidRPr="00D1148C">
        <w:rPr>
          <w:sz w:val="20"/>
          <w:szCs w:val="20"/>
          <w:lang w:val="uk-UA"/>
        </w:rPr>
        <w:t xml:space="preserve"> становила 1,49 (95% ДІ: 0,79–2,80), а для </w:t>
      </w:r>
      <w:r w:rsidR="00297E89">
        <w:rPr>
          <w:sz w:val="20"/>
          <w:szCs w:val="20"/>
          <w:lang w:val="uk-UA"/>
        </w:rPr>
        <w:t>АВГІ</w:t>
      </w:r>
      <w:r w:rsidRPr="00D1148C">
        <w:rPr>
          <w:sz w:val="20"/>
          <w:szCs w:val="20"/>
          <w:lang w:val="uk-UA"/>
        </w:rPr>
        <w:t xml:space="preserve"> – 2,03 (95% ДІ: 1,18–3,50). Хоча оцінка для АВГІ була дещо вищою, ніж для </w:t>
      </w:r>
      <w:r w:rsidR="00D45FA2">
        <w:rPr>
          <w:sz w:val="20"/>
          <w:szCs w:val="20"/>
          <w:lang w:val="uk-UA"/>
        </w:rPr>
        <w:t>ТШП</w:t>
      </w:r>
      <w:r w:rsidRPr="00D1148C">
        <w:rPr>
          <w:sz w:val="20"/>
          <w:szCs w:val="20"/>
          <w:lang w:val="uk-UA"/>
        </w:rPr>
        <w:t xml:space="preserve">; 95% ДІ для оцінок </w:t>
      </w:r>
      <w:r w:rsidR="00D45FA2">
        <w:rPr>
          <w:sz w:val="20"/>
          <w:szCs w:val="20"/>
          <w:lang w:val="uk-UA"/>
        </w:rPr>
        <w:t>ТШП</w:t>
      </w:r>
      <w:r w:rsidRPr="00D1148C">
        <w:rPr>
          <w:sz w:val="20"/>
          <w:szCs w:val="20"/>
          <w:lang w:val="uk-UA"/>
        </w:rPr>
        <w:t xml:space="preserve"> та АВГІ перекривалися та були неточними. Крім того, існувала обмежена кількість доказових даних прогностичної корисності тестів у конкретних групах ризику.</w:t>
      </w:r>
    </w:p>
    <w:p w14:paraId="79FCE158" w14:textId="2A189F9C" w:rsidR="00E05B98" w:rsidRPr="003C6DAE" w:rsidRDefault="00A83910" w:rsidP="00297E89">
      <w:pPr>
        <w:pStyle w:val="9"/>
        <w:spacing w:before="172" w:line="276" w:lineRule="auto"/>
        <w:rPr>
          <w:lang w:val="uk-UA"/>
        </w:rPr>
      </w:pPr>
      <w:r w:rsidRPr="00A83910">
        <w:rPr>
          <w:spacing w:val="-2"/>
          <w:lang w:val="uk-UA"/>
        </w:rPr>
        <w:t>Е</w:t>
      </w:r>
      <w:r w:rsidR="00317AC8" w:rsidRPr="00A83910">
        <w:rPr>
          <w:spacing w:val="-2"/>
          <w:lang w:val="uk-UA"/>
        </w:rPr>
        <w:t>фективність</w:t>
      </w:r>
      <w:r w:rsidRPr="00A83910">
        <w:rPr>
          <w:spacing w:val="-2"/>
          <w:lang w:val="uk-UA"/>
        </w:rPr>
        <w:t xml:space="preserve"> витрат</w:t>
      </w:r>
    </w:p>
    <w:p w14:paraId="034BAA28" w14:textId="74BC75AC" w:rsidR="008165BF" w:rsidRDefault="008165BF" w:rsidP="00A83910">
      <w:pPr>
        <w:pStyle w:val="5"/>
        <w:spacing w:before="203" w:line="276" w:lineRule="auto"/>
        <w:jc w:val="both"/>
        <w:rPr>
          <w:sz w:val="20"/>
          <w:szCs w:val="20"/>
          <w:lang w:val="uk-UA"/>
        </w:rPr>
      </w:pPr>
      <w:r w:rsidRPr="008165BF">
        <w:rPr>
          <w:sz w:val="20"/>
          <w:szCs w:val="20"/>
          <w:lang w:val="uk-UA"/>
        </w:rPr>
        <w:t xml:space="preserve">Тестування за допомогою АВГІ є більш дорожчим, ніж </w:t>
      </w:r>
      <w:r w:rsidR="00D45FA2">
        <w:rPr>
          <w:sz w:val="20"/>
          <w:szCs w:val="20"/>
          <w:lang w:val="uk-UA"/>
        </w:rPr>
        <w:t>ТШП</w:t>
      </w:r>
      <w:r w:rsidRPr="008165BF">
        <w:rPr>
          <w:sz w:val="20"/>
          <w:szCs w:val="20"/>
          <w:lang w:val="uk-UA"/>
        </w:rPr>
        <w:t xml:space="preserve">, і вимагає відповідних лабораторних послуг. Тестування </w:t>
      </w:r>
      <w:r w:rsidR="00A83910">
        <w:rPr>
          <w:sz w:val="20"/>
          <w:szCs w:val="20"/>
          <w:lang w:val="uk-UA"/>
        </w:rPr>
        <w:t>методом</w:t>
      </w:r>
      <w:r w:rsidRPr="008165BF">
        <w:rPr>
          <w:sz w:val="20"/>
          <w:szCs w:val="20"/>
          <w:lang w:val="uk-UA"/>
        </w:rPr>
        <w:t xml:space="preserve"> </w:t>
      </w:r>
      <w:r w:rsidR="00D45FA2">
        <w:rPr>
          <w:sz w:val="20"/>
          <w:szCs w:val="20"/>
          <w:lang w:val="uk-UA"/>
        </w:rPr>
        <w:t>ТШП</w:t>
      </w:r>
      <w:r w:rsidRPr="008165BF">
        <w:rPr>
          <w:sz w:val="20"/>
          <w:szCs w:val="20"/>
          <w:lang w:val="uk-UA"/>
        </w:rPr>
        <w:t xml:space="preserve"> є менш витратним і його можна виконувати в польових умовах, але цей тест потребує </w:t>
      </w:r>
      <w:r w:rsidR="00C90034">
        <w:rPr>
          <w:sz w:val="20"/>
          <w:szCs w:val="20"/>
          <w:lang w:val="uk-UA"/>
        </w:rPr>
        <w:t>забезпечення</w:t>
      </w:r>
      <w:r w:rsidRPr="008165BF">
        <w:rPr>
          <w:sz w:val="20"/>
          <w:szCs w:val="20"/>
          <w:lang w:val="uk-UA"/>
        </w:rPr>
        <w:t xml:space="preserve"> холодового ланцюга, здійснення двох візитів до медичного закладу та навчання медичного персоналу щодо виконання внутрішньошкірних ін'єкцій, зчитування </w:t>
      </w:r>
      <w:r w:rsidR="00C90034">
        <w:rPr>
          <w:sz w:val="20"/>
          <w:szCs w:val="20"/>
          <w:lang w:val="uk-UA"/>
        </w:rPr>
        <w:t xml:space="preserve">результатів </w:t>
      </w:r>
      <w:r w:rsidRPr="008165BF">
        <w:rPr>
          <w:sz w:val="20"/>
          <w:szCs w:val="20"/>
          <w:lang w:val="uk-UA"/>
        </w:rPr>
        <w:t xml:space="preserve">та </w:t>
      </w:r>
      <w:r w:rsidR="00C90034">
        <w:rPr>
          <w:sz w:val="20"/>
          <w:szCs w:val="20"/>
          <w:lang w:val="uk-UA"/>
        </w:rPr>
        <w:t xml:space="preserve">їх </w:t>
      </w:r>
      <w:r w:rsidRPr="008165BF">
        <w:rPr>
          <w:sz w:val="20"/>
          <w:szCs w:val="20"/>
          <w:lang w:val="uk-UA"/>
        </w:rPr>
        <w:t xml:space="preserve">інтерпретації. Додаткова економічна ефективність АВГІ та </w:t>
      </w:r>
      <w:r w:rsidR="00D45FA2">
        <w:rPr>
          <w:sz w:val="20"/>
          <w:szCs w:val="20"/>
          <w:lang w:val="uk-UA"/>
        </w:rPr>
        <w:t>ТШП</w:t>
      </w:r>
      <w:r w:rsidRPr="008165BF">
        <w:rPr>
          <w:sz w:val="20"/>
          <w:szCs w:val="20"/>
          <w:lang w:val="uk-UA"/>
        </w:rPr>
        <w:t>, певно, залежить головним чином від їх</w:t>
      </w:r>
      <w:r w:rsidR="00C90034">
        <w:rPr>
          <w:sz w:val="20"/>
          <w:szCs w:val="20"/>
          <w:lang w:val="uk-UA"/>
        </w:rPr>
        <w:t xml:space="preserve"> </w:t>
      </w:r>
      <w:r w:rsidRPr="008165BF">
        <w:rPr>
          <w:sz w:val="20"/>
          <w:szCs w:val="20"/>
          <w:lang w:val="uk-UA"/>
        </w:rPr>
        <w:t>точності.</w:t>
      </w:r>
    </w:p>
    <w:p w14:paraId="30187A75" w14:textId="5CBF12B0" w:rsidR="00E05B98" w:rsidRPr="00D1148C" w:rsidRDefault="008165BF" w:rsidP="00297E89">
      <w:pPr>
        <w:pStyle w:val="5"/>
        <w:spacing w:before="203" w:line="276" w:lineRule="auto"/>
        <w:rPr>
          <w:sz w:val="26"/>
          <w:szCs w:val="26"/>
          <w:lang w:val="uk-UA"/>
        </w:rPr>
      </w:pPr>
      <w:r>
        <w:rPr>
          <w:color w:val="019648"/>
          <w:spacing w:val="-2"/>
          <w:sz w:val="26"/>
          <w:szCs w:val="26"/>
          <w:lang w:val="uk-UA"/>
        </w:rPr>
        <w:t>Точка зору користувача</w:t>
      </w:r>
    </w:p>
    <w:p w14:paraId="361E995F" w14:textId="24AF0E04" w:rsidR="00E05B98" w:rsidRPr="00D1148C" w:rsidRDefault="008165BF" w:rsidP="00297E89">
      <w:pPr>
        <w:pStyle w:val="a3"/>
        <w:spacing w:before="218" w:line="276" w:lineRule="auto"/>
        <w:ind w:left="567" w:right="138"/>
        <w:jc w:val="both"/>
        <w:rPr>
          <w:sz w:val="20"/>
          <w:szCs w:val="20"/>
          <w:lang w:val="uk-UA"/>
        </w:rPr>
      </w:pPr>
      <w:r w:rsidRPr="008165BF">
        <w:rPr>
          <w:spacing w:val="-2"/>
          <w:sz w:val="20"/>
          <w:szCs w:val="20"/>
          <w:lang w:val="uk-UA"/>
        </w:rPr>
        <w:t>Уподобання людей, які проходять тестування, і програми залежать від кількох факторів, таких як потреба в належним чином обладнаній лабораторії (наприклад, для АВГІ) та можливі додаткові витрати для людей, які проходять тест (наприклад, витрати на проїзд), а також програм (наприклад, на інфраструктуру та тестування).</w:t>
      </w:r>
    </w:p>
    <w:p w14:paraId="4EEE9433" w14:textId="7F19E819" w:rsidR="00E05B98" w:rsidRPr="00D1148C" w:rsidRDefault="008165BF" w:rsidP="00297E89">
      <w:pPr>
        <w:pStyle w:val="5"/>
        <w:spacing w:before="202" w:line="276" w:lineRule="auto"/>
        <w:rPr>
          <w:sz w:val="26"/>
          <w:szCs w:val="26"/>
          <w:lang w:val="uk-UA"/>
        </w:rPr>
      </w:pPr>
      <w:r>
        <w:rPr>
          <w:color w:val="019648"/>
          <w:w w:val="110"/>
          <w:sz w:val="26"/>
          <w:szCs w:val="26"/>
          <w:lang w:val="uk-UA"/>
        </w:rPr>
        <w:t>Міркування щодо реалізації</w:t>
      </w:r>
    </w:p>
    <w:p w14:paraId="31B83554" w14:textId="52C1B5C4" w:rsidR="00E05B98" w:rsidRPr="00D1148C" w:rsidRDefault="00827C99" w:rsidP="00297E89">
      <w:pPr>
        <w:pStyle w:val="a3"/>
        <w:spacing w:before="218" w:line="276" w:lineRule="auto"/>
        <w:ind w:left="567" w:right="135"/>
        <w:jc w:val="both"/>
        <w:rPr>
          <w:sz w:val="20"/>
          <w:szCs w:val="20"/>
          <w:lang w:val="uk-UA"/>
        </w:rPr>
      </w:pPr>
      <w:r w:rsidRPr="00827C99">
        <w:rPr>
          <w:w w:val="105"/>
          <w:sz w:val="20"/>
          <w:szCs w:val="20"/>
          <w:lang w:val="uk-UA"/>
        </w:rPr>
        <w:t xml:space="preserve">Там, де це можливо, бажано провести тестування на ТБ для виявлення осіб </w:t>
      </w:r>
      <w:r w:rsidR="00C90034">
        <w:rPr>
          <w:w w:val="105"/>
          <w:sz w:val="20"/>
          <w:szCs w:val="20"/>
          <w:lang w:val="uk-UA"/>
        </w:rPr>
        <w:t xml:space="preserve">з високим </w:t>
      </w:r>
      <w:r w:rsidRPr="00827C99">
        <w:rPr>
          <w:w w:val="105"/>
          <w:sz w:val="20"/>
          <w:szCs w:val="20"/>
          <w:lang w:val="uk-UA"/>
        </w:rPr>
        <w:t xml:space="preserve">ризиком розвитку активної форми ТБ. Однак це не є обов'язковим для ЛЖВ або побутових контактів віком до 5 років. У ВІЛ-негативних побутових контактів віком від 5 років та в інших групах ризику рекомендується тестування на ТБ, але їх недоступність не повинна бути перешкодою для лікування людей, які вважаються групою високого ризику. ГРН зазначила, що наявність і прийнятність з точки зору витрат тестів можуть визначити, який тест на </w:t>
      </w:r>
      <w:r w:rsidR="00C90034">
        <w:rPr>
          <w:w w:val="105"/>
          <w:sz w:val="20"/>
          <w:szCs w:val="20"/>
          <w:lang w:val="uk-UA"/>
        </w:rPr>
        <w:t xml:space="preserve">виявлення </w:t>
      </w:r>
      <w:r w:rsidRPr="00827C99">
        <w:rPr>
          <w:w w:val="105"/>
          <w:sz w:val="20"/>
          <w:szCs w:val="20"/>
          <w:lang w:val="uk-UA"/>
        </w:rPr>
        <w:t>інфекці</w:t>
      </w:r>
      <w:r w:rsidR="00C90034">
        <w:rPr>
          <w:w w:val="105"/>
          <w:sz w:val="20"/>
          <w:szCs w:val="20"/>
          <w:lang w:val="uk-UA"/>
        </w:rPr>
        <w:t>ї</w:t>
      </w:r>
      <w:r w:rsidRPr="00827C99">
        <w:rPr>
          <w:w w:val="105"/>
          <w:sz w:val="20"/>
          <w:szCs w:val="20"/>
          <w:lang w:val="uk-UA"/>
        </w:rPr>
        <w:t xml:space="preserve"> ТБ використовувати. Інші міркування включають структуру системи охорони здоров'я, можливість реалізації  впровадження тестування та вимоги до інфраструктури.</w:t>
      </w:r>
    </w:p>
    <w:p w14:paraId="02E2B854" w14:textId="5042887F" w:rsidR="00E05B98" w:rsidRPr="00A83910" w:rsidRDefault="00AF5D7B" w:rsidP="00297E89">
      <w:pPr>
        <w:pStyle w:val="a3"/>
        <w:spacing w:before="179" w:line="276" w:lineRule="auto"/>
        <w:ind w:left="567" w:right="139"/>
        <w:jc w:val="both"/>
        <w:rPr>
          <w:sz w:val="20"/>
          <w:szCs w:val="20"/>
          <w:lang w:val="uk-UA"/>
        </w:rPr>
      </w:pPr>
      <w:r w:rsidRPr="00AF5D7B">
        <w:rPr>
          <w:sz w:val="20"/>
          <w:szCs w:val="20"/>
          <w:lang w:val="uk-UA"/>
        </w:rPr>
        <w:t xml:space="preserve">При виборі тесту слід враховувати операційні труднощі. Наприклад, АВГІ вимагає флеботомії, що може бути складним завданням, особливо у маленьких дітей; вони також потребують лабораторної інфраструктури, технічного досвіду та дорогого обладнання, а їхня чутливість знижується у дітей віком до 2 років та ЛЖВ. Однак для проведення АВГІ потрібен лише один візит (хоча пацієнтам може знадобитися повторний візит для отримання результату). </w:t>
      </w:r>
      <w:r w:rsidR="00B01E0C" w:rsidRPr="00D1148C">
        <w:rPr>
          <w:spacing w:val="-7"/>
          <w:sz w:val="20"/>
          <w:szCs w:val="20"/>
          <w:lang w:val="uk-UA"/>
        </w:rPr>
        <w:t xml:space="preserve"> </w:t>
      </w:r>
      <w:r w:rsidR="00D45FA2">
        <w:rPr>
          <w:sz w:val="20"/>
          <w:szCs w:val="20"/>
          <w:lang w:val="uk-UA"/>
        </w:rPr>
        <w:t>ТШП</w:t>
      </w:r>
      <w:r w:rsidR="002844CC" w:rsidRPr="002844CC">
        <w:rPr>
          <w:sz w:val="20"/>
          <w:szCs w:val="20"/>
          <w:lang w:val="uk-UA"/>
        </w:rPr>
        <w:t xml:space="preserve"> вимагає забезпечення холодового ланцюга, здійснення двох візитів до лікаря та навчання медичного персоналу  щодо виконання внутрішньошкірних ін’єкцій, зчитув</w:t>
      </w:r>
      <w:r w:rsidR="002844CC" w:rsidRPr="00A83910">
        <w:rPr>
          <w:sz w:val="20"/>
          <w:szCs w:val="20"/>
          <w:lang w:val="uk-UA"/>
        </w:rPr>
        <w:t xml:space="preserve">ання </w:t>
      </w:r>
      <w:r w:rsidR="00C90034" w:rsidRPr="00A83910">
        <w:rPr>
          <w:sz w:val="20"/>
          <w:szCs w:val="20"/>
          <w:lang w:val="uk-UA"/>
        </w:rPr>
        <w:t xml:space="preserve">результатів </w:t>
      </w:r>
      <w:r w:rsidR="002844CC" w:rsidRPr="00A83910">
        <w:rPr>
          <w:sz w:val="20"/>
          <w:szCs w:val="20"/>
          <w:lang w:val="uk-UA"/>
        </w:rPr>
        <w:t xml:space="preserve">та </w:t>
      </w:r>
      <w:r w:rsidR="00C90034" w:rsidRPr="00A83910">
        <w:rPr>
          <w:sz w:val="20"/>
          <w:szCs w:val="20"/>
          <w:lang w:val="uk-UA"/>
        </w:rPr>
        <w:t xml:space="preserve">їх </w:t>
      </w:r>
      <w:r w:rsidR="002844CC" w:rsidRPr="00A83910">
        <w:rPr>
          <w:sz w:val="20"/>
          <w:szCs w:val="20"/>
          <w:lang w:val="uk-UA"/>
        </w:rPr>
        <w:t xml:space="preserve">інтерпретації. </w:t>
      </w:r>
      <w:r w:rsidR="00A83910" w:rsidRPr="00A83910">
        <w:rPr>
          <w:sz w:val="20"/>
          <w:szCs w:val="20"/>
          <w:lang w:val="uk-UA"/>
        </w:rPr>
        <w:t xml:space="preserve">Ще однією практичною перевагою </w:t>
      </w:r>
      <w:r w:rsidR="00A83910">
        <w:rPr>
          <w:lang w:val="uk-UA"/>
        </w:rPr>
        <w:t>АВГІ</w:t>
      </w:r>
      <w:r w:rsidR="00A83910" w:rsidRPr="00A83910">
        <w:rPr>
          <w:sz w:val="20"/>
          <w:szCs w:val="20"/>
          <w:lang w:val="uk-UA"/>
        </w:rPr>
        <w:t xml:space="preserve"> тестів над ТШП  - це нечутливість </w:t>
      </w:r>
      <w:r w:rsidR="00A83910">
        <w:rPr>
          <w:sz w:val="20"/>
          <w:szCs w:val="20"/>
          <w:lang w:val="uk-UA"/>
        </w:rPr>
        <w:t xml:space="preserve">тестів </w:t>
      </w:r>
      <w:r w:rsidR="00A83910">
        <w:rPr>
          <w:lang w:val="uk-UA"/>
        </w:rPr>
        <w:t>АВГІ</w:t>
      </w:r>
      <w:r w:rsidR="00A83910" w:rsidRPr="00A83910">
        <w:rPr>
          <w:sz w:val="20"/>
          <w:szCs w:val="20"/>
          <w:lang w:val="uk-UA"/>
        </w:rPr>
        <w:t xml:space="preserve"> до «реакції ревакцинації», що вимагає застосування двоетапного підходу для ТШП у ситуаціях, коли реактивність на ТШП послаблюється після інфікування.</w:t>
      </w:r>
    </w:p>
    <w:p w14:paraId="4EC615B4" w14:textId="77777777" w:rsidR="00E05B98" w:rsidRPr="00D1148C" w:rsidRDefault="00E05B98">
      <w:pPr>
        <w:pStyle w:val="a3"/>
        <w:spacing w:line="297" w:lineRule="auto"/>
        <w:jc w:val="both"/>
        <w:rPr>
          <w:sz w:val="20"/>
          <w:szCs w:val="20"/>
          <w:lang w:val="uk-UA"/>
        </w:rPr>
        <w:sectPr w:rsidR="00E05B98" w:rsidRPr="00D1148C" w:rsidSect="00297E89">
          <w:pgSz w:w="11910" w:h="16840"/>
          <w:pgMar w:top="993" w:right="1275" w:bottom="760" w:left="850" w:header="0" w:footer="573" w:gutter="0"/>
          <w:cols w:space="720"/>
        </w:sectPr>
      </w:pPr>
    </w:p>
    <w:p w14:paraId="203B7429" w14:textId="722781C2" w:rsidR="00E05B98" w:rsidRPr="00D1148C" w:rsidRDefault="002844CC">
      <w:pPr>
        <w:pStyle w:val="a3"/>
        <w:spacing w:before="52" w:line="297" w:lineRule="auto"/>
        <w:ind w:left="567" w:right="139"/>
        <w:jc w:val="both"/>
        <w:rPr>
          <w:sz w:val="20"/>
          <w:szCs w:val="20"/>
          <w:lang w:val="uk-UA"/>
        </w:rPr>
      </w:pPr>
      <w:bookmarkStart w:id="103" w:name="3.3._TB_skin_tests_and_interferon_gamma_"/>
      <w:bookmarkStart w:id="104" w:name="_bookmark52"/>
      <w:bookmarkEnd w:id="103"/>
      <w:bookmarkEnd w:id="104"/>
      <w:r w:rsidRPr="002844CC">
        <w:rPr>
          <w:sz w:val="20"/>
          <w:szCs w:val="20"/>
          <w:lang w:val="uk-UA"/>
        </w:rPr>
        <w:lastRenderedPageBreak/>
        <w:t xml:space="preserve">Вакцинація БЦЖ відіграє вирішальну роль у зниженні специфічності </w:t>
      </w:r>
      <w:r w:rsidR="00D45FA2">
        <w:rPr>
          <w:sz w:val="20"/>
          <w:szCs w:val="20"/>
          <w:lang w:val="uk-UA"/>
        </w:rPr>
        <w:t>ТШП</w:t>
      </w:r>
      <w:r w:rsidRPr="002844CC">
        <w:rPr>
          <w:sz w:val="20"/>
          <w:szCs w:val="20"/>
          <w:lang w:val="uk-UA"/>
        </w:rPr>
        <w:t xml:space="preserve">, хоча ГРН зазначила, що вплив щеплення БЦЖ на специфічність </w:t>
      </w:r>
      <w:r w:rsidR="00D45FA2">
        <w:rPr>
          <w:sz w:val="20"/>
          <w:szCs w:val="20"/>
          <w:lang w:val="uk-UA"/>
        </w:rPr>
        <w:t>ТШП</w:t>
      </w:r>
      <w:r w:rsidRPr="002844CC">
        <w:rPr>
          <w:sz w:val="20"/>
          <w:szCs w:val="20"/>
          <w:lang w:val="uk-UA"/>
        </w:rPr>
        <w:t xml:space="preserve"> залежить від штаму вакцини, що використовується, віку, в якому вводять вакцину, та кількості введених доз. Коли БЦЖ вводять при народженні, як це відбувається в більшості країн світу, вона має змінний, обмежений вплив на специфічність </w:t>
      </w:r>
      <w:r w:rsidR="00D45FA2">
        <w:rPr>
          <w:sz w:val="20"/>
          <w:szCs w:val="20"/>
          <w:lang w:val="uk-UA"/>
        </w:rPr>
        <w:t>ТШП</w:t>
      </w:r>
      <w:r w:rsidR="00B01E0C" w:rsidRPr="00D1148C">
        <w:rPr>
          <w:sz w:val="20"/>
          <w:szCs w:val="20"/>
          <w:lang w:val="uk-UA"/>
        </w:rPr>
        <w:t xml:space="preserve"> </w:t>
      </w:r>
      <w:r w:rsidR="00B01E0C" w:rsidRPr="00D1148C">
        <w:rPr>
          <w:rFonts w:ascii="Arial"/>
          <w:i/>
          <w:sz w:val="20"/>
          <w:szCs w:val="20"/>
          <w:lang w:val="uk-UA"/>
        </w:rPr>
        <w:t>(19)</w:t>
      </w:r>
      <w:r w:rsidR="00B01E0C" w:rsidRPr="00D1148C">
        <w:rPr>
          <w:sz w:val="20"/>
          <w:szCs w:val="20"/>
          <w:lang w:val="uk-UA"/>
        </w:rPr>
        <w:t>.</w:t>
      </w:r>
    </w:p>
    <w:p w14:paraId="23E4043D" w14:textId="3EC5C81A" w:rsidR="00E05B98" w:rsidRPr="003C6DAE" w:rsidRDefault="002844CC">
      <w:pPr>
        <w:pStyle w:val="a3"/>
        <w:spacing w:before="172" w:line="297" w:lineRule="auto"/>
        <w:ind w:left="567" w:right="139"/>
        <w:jc w:val="both"/>
        <w:rPr>
          <w:lang w:val="uk-UA"/>
        </w:rPr>
      </w:pPr>
      <w:r w:rsidRPr="002844CC">
        <w:rPr>
          <w:sz w:val="20"/>
          <w:szCs w:val="20"/>
          <w:lang w:val="uk-UA"/>
        </w:rPr>
        <w:t>ГРН погодилася</w:t>
      </w:r>
      <w:r w:rsidR="000D4EEE">
        <w:rPr>
          <w:sz w:val="20"/>
          <w:szCs w:val="20"/>
          <w:lang w:val="uk-UA"/>
        </w:rPr>
        <w:t xml:space="preserve"> з тим</w:t>
      </w:r>
      <w:r w:rsidRPr="002844CC">
        <w:rPr>
          <w:sz w:val="20"/>
          <w:szCs w:val="20"/>
          <w:lang w:val="uk-UA"/>
        </w:rPr>
        <w:t xml:space="preserve">, що історія вакцинації БЦЖ має обмежений вплив на інтерпретацію результатів </w:t>
      </w:r>
      <w:r w:rsidR="00D45FA2">
        <w:rPr>
          <w:sz w:val="20"/>
          <w:szCs w:val="20"/>
          <w:lang w:val="uk-UA"/>
        </w:rPr>
        <w:t>ТШП</w:t>
      </w:r>
      <w:r w:rsidRPr="002844CC">
        <w:rPr>
          <w:sz w:val="20"/>
          <w:szCs w:val="20"/>
          <w:lang w:val="uk-UA"/>
        </w:rPr>
        <w:t xml:space="preserve"> у більш пізньому віці; отже, вакцинація БЦЖ не повинна бути визначальним </w:t>
      </w:r>
      <w:r w:rsidR="000D4EEE">
        <w:rPr>
          <w:sz w:val="20"/>
          <w:szCs w:val="20"/>
          <w:lang w:val="uk-UA"/>
        </w:rPr>
        <w:t>фактором</w:t>
      </w:r>
      <w:r w:rsidRPr="002844CC">
        <w:rPr>
          <w:sz w:val="20"/>
          <w:szCs w:val="20"/>
          <w:lang w:val="uk-UA"/>
        </w:rPr>
        <w:t xml:space="preserve"> при виборі тесту. Ні </w:t>
      </w:r>
      <w:r w:rsidR="00D45FA2">
        <w:rPr>
          <w:sz w:val="20"/>
          <w:szCs w:val="20"/>
          <w:lang w:val="uk-UA"/>
        </w:rPr>
        <w:t>ТШП</w:t>
      </w:r>
      <w:r w:rsidRPr="002844CC">
        <w:rPr>
          <w:sz w:val="20"/>
          <w:szCs w:val="20"/>
          <w:lang w:val="uk-UA"/>
        </w:rPr>
        <w:t xml:space="preserve">, ні АВГІ не слід використовувати для діагностики активної форми ТБ; також їх не слід </w:t>
      </w:r>
      <w:r w:rsidR="000D4EEE">
        <w:rPr>
          <w:sz w:val="20"/>
          <w:szCs w:val="20"/>
          <w:lang w:val="uk-UA"/>
        </w:rPr>
        <w:t>застосовувати</w:t>
      </w:r>
      <w:r w:rsidRPr="002844CC">
        <w:rPr>
          <w:sz w:val="20"/>
          <w:szCs w:val="20"/>
          <w:lang w:val="uk-UA"/>
        </w:rPr>
        <w:t xml:space="preserve"> для діагностичного обстеження дорослих з підозрою на активну форму ТБ.</w:t>
      </w:r>
    </w:p>
    <w:p w14:paraId="7D836C9A" w14:textId="6C3F608F" w:rsidR="00E05B98" w:rsidRPr="00D1148C" w:rsidRDefault="002844CC">
      <w:pPr>
        <w:pStyle w:val="5"/>
        <w:spacing w:before="202"/>
        <w:rPr>
          <w:sz w:val="26"/>
          <w:szCs w:val="26"/>
          <w:lang w:val="uk-UA"/>
        </w:rPr>
      </w:pPr>
      <w:r>
        <w:rPr>
          <w:color w:val="019648"/>
          <w:w w:val="95"/>
          <w:sz w:val="26"/>
          <w:szCs w:val="26"/>
          <w:lang w:val="uk-UA"/>
        </w:rPr>
        <w:t>Пріоритети дослідження</w:t>
      </w:r>
    </w:p>
    <w:p w14:paraId="35EA44FC" w14:textId="2B899D31" w:rsidR="00E05B98" w:rsidRPr="00D1148C" w:rsidRDefault="00B203AF">
      <w:pPr>
        <w:pStyle w:val="a3"/>
        <w:spacing w:before="219" w:line="297" w:lineRule="auto"/>
        <w:ind w:left="567" w:right="139"/>
        <w:jc w:val="both"/>
        <w:rPr>
          <w:sz w:val="20"/>
          <w:szCs w:val="20"/>
          <w:lang w:val="uk-UA"/>
        </w:rPr>
      </w:pPr>
      <w:r w:rsidRPr="00B203AF">
        <w:rPr>
          <w:sz w:val="20"/>
          <w:szCs w:val="20"/>
          <w:lang w:val="uk-UA"/>
        </w:rPr>
        <w:t xml:space="preserve">Існує гостра потреба в діагностичних тестах з покращеною ефективністю та прогностичною цінністю щодо розвитку інфекції до активної форми </w:t>
      </w:r>
      <w:r w:rsidR="000D4EEE">
        <w:rPr>
          <w:sz w:val="20"/>
          <w:szCs w:val="20"/>
          <w:lang w:val="uk-UA"/>
        </w:rPr>
        <w:t xml:space="preserve">захворювання на </w:t>
      </w:r>
      <w:r w:rsidRPr="00B203AF">
        <w:rPr>
          <w:sz w:val="20"/>
          <w:szCs w:val="20"/>
          <w:lang w:val="uk-UA"/>
        </w:rPr>
        <w:t xml:space="preserve">ТБ. Крім того, ефективність тестів на туберкульозну інфекцію слід оцінювати в різних групах ризику для того, щоб оцінити повторне зараження та зрозуміти, як найкраще використовувати наявні інструменти в кожній популяції (наприклад, у комбінації або за послідовного використання </w:t>
      </w:r>
      <w:r w:rsidR="00D45FA2">
        <w:rPr>
          <w:sz w:val="20"/>
          <w:szCs w:val="20"/>
          <w:lang w:val="uk-UA"/>
        </w:rPr>
        <w:t>ТШП</w:t>
      </w:r>
      <w:r w:rsidRPr="00B203AF">
        <w:rPr>
          <w:sz w:val="20"/>
          <w:szCs w:val="20"/>
          <w:lang w:val="uk-UA"/>
        </w:rPr>
        <w:t xml:space="preserve"> та АВГІ).</w:t>
      </w:r>
    </w:p>
    <w:p w14:paraId="776546E5" w14:textId="10AA66FA" w:rsidR="00E05B98" w:rsidRPr="00D1148C" w:rsidRDefault="00B203AF">
      <w:pPr>
        <w:pStyle w:val="a3"/>
        <w:spacing w:before="175" w:line="297" w:lineRule="auto"/>
        <w:ind w:left="567" w:right="139"/>
        <w:jc w:val="both"/>
        <w:rPr>
          <w:sz w:val="20"/>
          <w:szCs w:val="20"/>
          <w:lang w:val="uk-UA"/>
        </w:rPr>
      </w:pPr>
      <w:r w:rsidRPr="00B203AF">
        <w:rPr>
          <w:sz w:val="20"/>
          <w:szCs w:val="20"/>
          <w:lang w:val="uk-UA"/>
        </w:rPr>
        <w:t>Синтез даних був структурований навколо попередньо поставленого запитання PICO, як зазначено вище. Див. веб-додаток H для отримання додаткової інформації про синтез та аналіз доказів.</w:t>
      </w:r>
    </w:p>
    <w:p w14:paraId="035DA6BF" w14:textId="77777777" w:rsidR="00E05B98" w:rsidRPr="00D1148C" w:rsidRDefault="00E05B98">
      <w:pPr>
        <w:pStyle w:val="a3"/>
        <w:rPr>
          <w:sz w:val="20"/>
          <w:szCs w:val="20"/>
          <w:lang w:val="uk-UA"/>
        </w:rPr>
      </w:pPr>
    </w:p>
    <w:p w14:paraId="3AD2A210" w14:textId="77777777" w:rsidR="00E05B98" w:rsidRPr="003C6DAE" w:rsidRDefault="00E05B98">
      <w:pPr>
        <w:pStyle w:val="a3"/>
        <w:spacing w:before="13"/>
        <w:rPr>
          <w:lang w:val="uk-UA"/>
        </w:rPr>
      </w:pPr>
    </w:p>
    <w:p w14:paraId="3DA00DE3" w14:textId="4ABD0C24" w:rsidR="00E05B98" w:rsidRPr="000D4EEE" w:rsidRDefault="00A83910" w:rsidP="004A2937">
      <w:pPr>
        <w:pStyle w:val="3"/>
        <w:numPr>
          <w:ilvl w:val="1"/>
          <w:numId w:val="31"/>
        </w:numPr>
        <w:tabs>
          <w:tab w:val="left" w:pos="1300"/>
        </w:tabs>
        <w:ind w:right="142" w:firstLine="0"/>
        <w:rPr>
          <w:color w:val="019648"/>
          <w:sz w:val="36"/>
          <w:szCs w:val="36"/>
          <w:lang w:val="uk-UA"/>
        </w:rPr>
      </w:pPr>
      <w:r>
        <w:rPr>
          <w:color w:val="019648"/>
          <w:w w:val="105"/>
          <w:sz w:val="36"/>
          <w:szCs w:val="36"/>
          <w:lang w:val="uk-UA"/>
        </w:rPr>
        <w:t>Т</w:t>
      </w:r>
      <w:r w:rsidR="000D4EEE" w:rsidRPr="000D4EEE">
        <w:rPr>
          <w:color w:val="019648"/>
          <w:w w:val="105"/>
          <w:sz w:val="36"/>
          <w:szCs w:val="36"/>
          <w:lang w:val="uk-UA"/>
        </w:rPr>
        <w:t xml:space="preserve">уберкулінові </w:t>
      </w:r>
      <w:r>
        <w:rPr>
          <w:color w:val="019648"/>
          <w:w w:val="105"/>
          <w:sz w:val="36"/>
          <w:szCs w:val="36"/>
          <w:lang w:val="uk-UA"/>
        </w:rPr>
        <w:t xml:space="preserve">шкірні </w:t>
      </w:r>
      <w:r w:rsidR="009B6A46" w:rsidRPr="000D4EEE">
        <w:rPr>
          <w:color w:val="019648"/>
          <w:w w:val="105"/>
          <w:sz w:val="36"/>
          <w:szCs w:val="36"/>
          <w:lang w:val="uk-UA"/>
        </w:rPr>
        <w:t xml:space="preserve">проби та аналізи </w:t>
      </w:r>
      <w:r w:rsidR="009B6A46" w:rsidRPr="005878D4">
        <w:rPr>
          <w:color w:val="019648"/>
          <w:w w:val="105"/>
          <w:sz w:val="36"/>
          <w:szCs w:val="36"/>
          <w:lang w:val="uk-UA"/>
        </w:rPr>
        <w:t xml:space="preserve">на </w:t>
      </w:r>
      <w:r w:rsidR="009B6A46" w:rsidRPr="000D4EEE">
        <w:rPr>
          <w:color w:val="019648"/>
          <w:w w:val="105"/>
          <w:sz w:val="36"/>
          <w:szCs w:val="36"/>
          <w:lang w:val="uk-UA"/>
        </w:rPr>
        <w:t xml:space="preserve">вивільнення гамма-інтерферону для діагностики </w:t>
      </w:r>
      <w:r w:rsidR="005878D4">
        <w:rPr>
          <w:color w:val="019648"/>
          <w:w w:val="105"/>
          <w:sz w:val="36"/>
          <w:szCs w:val="36"/>
          <w:lang w:val="uk-UA"/>
        </w:rPr>
        <w:t xml:space="preserve">захворювання на </w:t>
      </w:r>
      <w:r w:rsidR="009B6A46" w:rsidRPr="000D4EEE">
        <w:rPr>
          <w:color w:val="019648"/>
          <w:w w:val="105"/>
          <w:sz w:val="36"/>
          <w:szCs w:val="36"/>
          <w:lang w:val="uk-UA"/>
        </w:rPr>
        <w:t>ТБ</w:t>
      </w:r>
    </w:p>
    <w:p w14:paraId="4041A1A5" w14:textId="0945B227" w:rsidR="00E05B98" w:rsidRPr="000D4EEE" w:rsidRDefault="009B6A46">
      <w:pPr>
        <w:pStyle w:val="5"/>
        <w:spacing w:before="199"/>
        <w:rPr>
          <w:sz w:val="26"/>
          <w:szCs w:val="26"/>
          <w:lang w:val="uk-UA"/>
        </w:rPr>
      </w:pPr>
      <w:r w:rsidRPr="000D4EEE">
        <w:rPr>
          <w:color w:val="019648"/>
          <w:spacing w:val="-2"/>
          <w:w w:val="110"/>
          <w:sz w:val="26"/>
          <w:szCs w:val="26"/>
          <w:lang w:val="uk-UA"/>
        </w:rPr>
        <w:t>Рекомендація</w:t>
      </w:r>
    </w:p>
    <w:p w14:paraId="30E30B29" w14:textId="77777777" w:rsidR="00E05B98" w:rsidRPr="003C6DAE" w:rsidRDefault="00E05B98">
      <w:pPr>
        <w:pStyle w:val="a3"/>
        <w:spacing w:before="10"/>
        <w:rPr>
          <w:sz w:val="16"/>
          <w:lang w:val="uk-UA"/>
        </w:rPr>
      </w:pPr>
    </w:p>
    <w:tbl>
      <w:tblPr>
        <w:tblStyle w:val="TableNormal"/>
        <w:tblW w:w="0" w:type="auto"/>
        <w:tblInd w:w="582" w:type="dxa"/>
        <w:tblBorders>
          <w:top w:val="single" w:sz="6" w:space="0" w:color="009649"/>
          <w:left w:val="single" w:sz="6" w:space="0" w:color="009649"/>
          <w:bottom w:val="single" w:sz="6" w:space="0" w:color="009649"/>
          <w:right w:val="single" w:sz="6" w:space="0" w:color="009649"/>
          <w:insideH w:val="single" w:sz="6" w:space="0" w:color="009649"/>
          <w:insideV w:val="single" w:sz="6" w:space="0" w:color="009649"/>
        </w:tblBorders>
        <w:tblLayout w:type="fixed"/>
        <w:tblLook w:val="01E0" w:firstRow="1" w:lastRow="1" w:firstColumn="1" w:lastColumn="1" w:noHBand="0" w:noVBand="0"/>
      </w:tblPr>
      <w:tblGrid>
        <w:gridCol w:w="9333"/>
      </w:tblGrid>
      <w:tr w:rsidR="00E05B98" w:rsidRPr="003C6DAE" w14:paraId="6D35504C" w14:textId="77777777" w:rsidTr="00327E34">
        <w:trPr>
          <w:trHeight w:val="1558"/>
        </w:trPr>
        <w:tc>
          <w:tcPr>
            <w:tcW w:w="9333" w:type="dxa"/>
          </w:tcPr>
          <w:p w14:paraId="7AD6DD52" w14:textId="66AA1A8C" w:rsidR="009B6A46" w:rsidRPr="00C90646" w:rsidRDefault="00B01E0C" w:rsidP="00327E34">
            <w:pPr>
              <w:pStyle w:val="TableParagraph"/>
              <w:spacing w:before="52"/>
              <w:ind w:left="680" w:right="139" w:hanging="419"/>
              <w:jc w:val="both"/>
              <w:rPr>
                <w:rFonts w:ascii="Arial"/>
                <w:b/>
                <w:sz w:val="20"/>
                <w:szCs w:val="20"/>
                <w:lang w:val="uk-UA"/>
              </w:rPr>
            </w:pPr>
            <w:r w:rsidRPr="00C90646">
              <w:rPr>
                <w:rFonts w:ascii="Arial"/>
                <w:b/>
                <w:sz w:val="20"/>
                <w:szCs w:val="20"/>
                <w:lang w:val="uk-UA"/>
              </w:rPr>
              <w:t xml:space="preserve">20. </w:t>
            </w:r>
            <w:r w:rsidR="00C90646">
              <w:rPr>
                <w:rFonts w:ascii="Arial"/>
                <w:b/>
                <w:sz w:val="20"/>
                <w:szCs w:val="20"/>
                <w:lang w:val="uk-UA"/>
              </w:rPr>
              <w:t xml:space="preserve"> </w:t>
            </w:r>
            <w:r w:rsidR="009B6A46" w:rsidRPr="00C90646">
              <w:rPr>
                <w:rFonts w:ascii="Arial"/>
                <w:b/>
                <w:sz w:val="20"/>
                <w:szCs w:val="20"/>
                <w:lang w:val="uk-UA"/>
              </w:rPr>
              <w:t>Аналіз</w:t>
            </w:r>
            <w:r w:rsidR="009B6A46" w:rsidRPr="00C90646">
              <w:rPr>
                <w:rFonts w:ascii="Arial"/>
                <w:b/>
                <w:sz w:val="20"/>
                <w:szCs w:val="20"/>
                <w:lang w:val="uk-UA"/>
              </w:rPr>
              <w:t xml:space="preserve"> </w:t>
            </w:r>
            <w:r w:rsidR="009B6A46" w:rsidRPr="00C90646">
              <w:rPr>
                <w:rFonts w:ascii="Arial"/>
                <w:b/>
                <w:sz w:val="20"/>
                <w:szCs w:val="20"/>
                <w:lang w:val="uk-UA"/>
              </w:rPr>
              <w:t>на</w:t>
            </w:r>
            <w:r w:rsidR="009B6A46" w:rsidRPr="00C90646">
              <w:rPr>
                <w:rFonts w:ascii="Arial"/>
                <w:b/>
                <w:sz w:val="20"/>
                <w:szCs w:val="20"/>
                <w:lang w:val="uk-UA"/>
              </w:rPr>
              <w:t xml:space="preserve"> </w:t>
            </w:r>
            <w:r w:rsidR="009B6A46" w:rsidRPr="00C90646">
              <w:rPr>
                <w:rFonts w:ascii="Arial"/>
                <w:b/>
                <w:sz w:val="20"/>
                <w:szCs w:val="20"/>
                <w:lang w:val="uk-UA"/>
              </w:rPr>
              <w:t>вивільнення</w:t>
            </w:r>
            <w:r w:rsidR="009B6A46" w:rsidRPr="00C90646">
              <w:rPr>
                <w:rFonts w:ascii="Arial"/>
                <w:b/>
                <w:sz w:val="20"/>
                <w:szCs w:val="20"/>
                <w:lang w:val="uk-UA"/>
              </w:rPr>
              <w:t xml:space="preserve"> </w:t>
            </w:r>
            <w:r w:rsidR="009B6A46" w:rsidRPr="00C90646">
              <w:rPr>
                <w:rFonts w:ascii="Arial"/>
                <w:b/>
                <w:sz w:val="20"/>
                <w:szCs w:val="20"/>
                <w:lang w:val="uk-UA"/>
              </w:rPr>
              <w:t>гамма</w:t>
            </w:r>
            <w:r w:rsidR="009B6A46" w:rsidRPr="00C90646">
              <w:rPr>
                <w:rFonts w:ascii="Arial"/>
                <w:b/>
                <w:sz w:val="20"/>
                <w:szCs w:val="20"/>
                <w:lang w:val="uk-UA"/>
              </w:rPr>
              <w:t>-</w:t>
            </w:r>
            <w:r w:rsidR="009B6A46" w:rsidRPr="00C90646">
              <w:rPr>
                <w:rFonts w:ascii="Arial"/>
                <w:b/>
                <w:sz w:val="20"/>
                <w:szCs w:val="20"/>
                <w:lang w:val="uk-UA"/>
              </w:rPr>
              <w:t>інтерферону</w:t>
            </w:r>
            <w:r w:rsidR="009B6A46" w:rsidRPr="00C90646">
              <w:rPr>
                <w:rFonts w:ascii="Arial"/>
                <w:b/>
                <w:sz w:val="20"/>
                <w:szCs w:val="20"/>
                <w:lang w:val="uk-UA"/>
              </w:rPr>
              <w:t xml:space="preserve"> (</w:t>
            </w:r>
            <w:r w:rsidR="009B6A46" w:rsidRPr="00C90646">
              <w:rPr>
                <w:rFonts w:ascii="Arial"/>
                <w:b/>
                <w:sz w:val="20"/>
                <w:szCs w:val="20"/>
                <w:lang w:val="uk-UA"/>
              </w:rPr>
              <w:t>АВГІ</w:t>
            </w:r>
            <w:r w:rsidR="009B6A46" w:rsidRPr="00C90646">
              <w:rPr>
                <w:rFonts w:ascii="Arial"/>
                <w:b/>
                <w:sz w:val="20"/>
                <w:szCs w:val="20"/>
                <w:lang w:val="uk-UA"/>
              </w:rPr>
              <w:t>) (</w:t>
            </w:r>
            <w:r w:rsidR="009B6A46" w:rsidRPr="00C90646">
              <w:rPr>
                <w:rFonts w:ascii="Arial"/>
                <w:b/>
                <w:sz w:val="20"/>
                <w:szCs w:val="20"/>
                <w:lang w:val="uk-UA"/>
              </w:rPr>
              <w:t>та</w:t>
            </w:r>
            <w:r w:rsidR="009B6A46" w:rsidRPr="00C90646">
              <w:rPr>
                <w:rFonts w:ascii="Arial"/>
                <w:b/>
                <w:sz w:val="20"/>
                <w:szCs w:val="20"/>
                <w:lang w:val="uk-UA"/>
              </w:rPr>
              <w:t xml:space="preserve"> </w:t>
            </w:r>
            <w:r w:rsidR="009B6A46" w:rsidRPr="00C90646">
              <w:rPr>
                <w:rFonts w:ascii="Arial"/>
                <w:b/>
                <w:sz w:val="20"/>
                <w:szCs w:val="20"/>
                <w:lang w:val="uk-UA"/>
              </w:rPr>
              <w:t>туберкулінов</w:t>
            </w:r>
            <w:r w:rsidR="00A83910">
              <w:rPr>
                <w:rFonts w:ascii="Arial"/>
                <w:b/>
                <w:sz w:val="20"/>
                <w:szCs w:val="20"/>
                <w:lang w:val="uk-UA"/>
              </w:rPr>
              <w:t>у</w:t>
            </w:r>
            <w:r w:rsidR="000D4EEE">
              <w:rPr>
                <w:rFonts w:ascii="Arial"/>
                <w:b/>
                <w:sz w:val="20"/>
                <w:szCs w:val="20"/>
                <w:lang w:val="uk-UA"/>
              </w:rPr>
              <w:t xml:space="preserve"> </w:t>
            </w:r>
            <w:r w:rsidR="002B5818">
              <w:rPr>
                <w:rFonts w:ascii="Arial"/>
                <w:b/>
                <w:sz w:val="20"/>
                <w:szCs w:val="20"/>
                <w:lang w:val="uk-UA"/>
              </w:rPr>
              <w:t>шкірн</w:t>
            </w:r>
            <w:r w:rsidR="00A83910">
              <w:rPr>
                <w:rFonts w:ascii="Arial"/>
                <w:b/>
                <w:sz w:val="20"/>
                <w:szCs w:val="20"/>
                <w:lang w:val="uk-UA"/>
              </w:rPr>
              <w:t>у</w:t>
            </w:r>
            <w:r w:rsidR="002B5818">
              <w:rPr>
                <w:rFonts w:ascii="Arial"/>
                <w:b/>
                <w:sz w:val="20"/>
                <w:szCs w:val="20"/>
                <w:lang w:val="uk-UA"/>
              </w:rPr>
              <w:t xml:space="preserve"> </w:t>
            </w:r>
            <w:r w:rsidR="000D4EEE">
              <w:rPr>
                <w:rFonts w:ascii="Arial"/>
                <w:b/>
                <w:sz w:val="20"/>
                <w:szCs w:val="20"/>
                <w:lang w:val="uk-UA"/>
              </w:rPr>
              <w:t>проб</w:t>
            </w:r>
            <w:r w:rsidR="00A83910">
              <w:rPr>
                <w:rFonts w:ascii="Arial"/>
                <w:b/>
                <w:sz w:val="20"/>
                <w:szCs w:val="20"/>
                <w:lang w:val="uk-UA"/>
              </w:rPr>
              <w:t>у</w:t>
            </w:r>
            <w:r w:rsidR="009B6A46" w:rsidRPr="00C90646">
              <w:rPr>
                <w:rFonts w:ascii="Arial"/>
                <w:b/>
                <w:sz w:val="20"/>
                <w:szCs w:val="20"/>
                <w:lang w:val="uk-UA"/>
              </w:rPr>
              <w:t xml:space="preserve"> [</w:t>
            </w:r>
            <w:r w:rsidR="00D45FA2">
              <w:rPr>
                <w:rFonts w:ascii="Arial"/>
                <w:b/>
                <w:sz w:val="20"/>
                <w:szCs w:val="20"/>
                <w:lang w:val="uk-UA"/>
              </w:rPr>
              <w:t>ТШП</w:t>
            </w:r>
            <w:r w:rsidR="009B6A46" w:rsidRPr="00C90646">
              <w:rPr>
                <w:rFonts w:ascii="Arial"/>
                <w:b/>
                <w:sz w:val="20"/>
                <w:szCs w:val="20"/>
                <w:lang w:val="uk-UA"/>
              </w:rPr>
              <w:t xml:space="preserve">]) </w:t>
            </w:r>
            <w:r w:rsidR="009B6A46" w:rsidRPr="00C90646">
              <w:rPr>
                <w:rFonts w:ascii="Arial"/>
                <w:b/>
                <w:sz w:val="20"/>
                <w:szCs w:val="20"/>
                <w:lang w:val="uk-UA"/>
              </w:rPr>
              <w:t>не</w:t>
            </w:r>
            <w:r w:rsidR="009B6A46" w:rsidRPr="00C90646">
              <w:rPr>
                <w:rFonts w:ascii="Arial"/>
                <w:b/>
                <w:sz w:val="20"/>
                <w:szCs w:val="20"/>
                <w:lang w:val="uk-UA"/>
              </w:rPr>
              <w:t xml:space="preserve"> </w:t>
            </w:r>
            <w:r w:rsidR="009B6A46" w:rsidRPr="00C90646">
              <w:rPr>
                <w:rFonts w:ascii="Arial"/>
                <w:b/>
                <w:sz w:val="20"/>
                <w:szCs w:val="20"/>
                <w:lang w:val="uk-UA"/>
              </w:rPr>
              <w:t>слід</w:t>
            </w:r>
            <w:r w:rsidR="009B6A46" w:rsidRPr="00C90646">
              <w:rPr>
                <w:rFonts w:ascii="Arial"/>
                <w:b/>
                <w:sz w:val="20"/>
                <w:szCs w:val="20"/>
                <w:lang w:val="uk-UA"/>
              </w:rPr>
              <w:t xml:space="preserve"> </w:t>
            </w:r>
            <w:r w:rsidR="009B6A46" w:rsidRPr="00C90646">
              <w:rPr>
                <w:rFonts w:ascii="Arial"/>
                <w:b/>
                <w:sz w:val="20"/>
                <w:szCs w:val="20"/>
                <w:lang w:val="uk-UA"/>
              </w:rPr>
              <w:t>використовувати</w:t>
            </w:r>
            <w:r w:rsidR="009B6A46" w:rsidRPr="00C90646">
              <w:rPr>
                <w:rFonts w:ascii="Arial"/>
                <w:b/>
                <w:sz w:val="20"/>
                <w:szCs w:val="20"/>
                <w:lang w:val="uk-UA"/>
              </w:rPr>
              <w:t xml:space="preserve"> </w:t>
            </w:r>
            <w:r w:rsidR="009B6A46" w:rsidRPr="00C90646">
              <w:rPr>
                <w:rFonts w:ascii="Arial"/>
                <w:b/>
                <w:sz w:val="20"/>
                <w:szCs w:val="20"/>
                <w:lang w:val="uk-UA"/>
              </w:rPr>
              <w:t>в</w:t>
            </w:r>
            <w:r w:rsidR="009B6A46" w:rsidRPr="00C90646">
              <w:rPr>
                <w:rFonts w:ascii="Arial"/>
                <w:b/>
                <w:sz w:val="20"/>
                <w:szCs w:val="20"/>
                <w:lang w:val="uk-UA"/>
              </w:rPr>
              <w:t xml:space="preserve"> </w:t>
            </w:r>
            <w:r w:rsidR="009B6A46" w:rsidRPr="00C90646">
              <w:rPr>
                <w:rFonts w:ascii="Arial"/>
                <w:b/>
                <w:sz w:val="20"/>
                <w:szCs w:val="20"/>
                <w:lang w:val="uk-UA"/>
              </w:rPr>
              <w:t>країнах</w:t>
            </w:r>
            <w:r w:rsidR="009B6A46" w:rsidRPr="00C90646">
              <w:rPr>
                <w:rFonts w:ascii="Arial"/>
                <w:b/>
                <w:sz w:val="20"/>
                <w:szCs w:val="20"/>
                <w:lang w:val="uk-UA"/>
              </w:rPr>
              <w:t xml:space="preserve"> </w:t>
            </w:r>
            <w:r w:rsidR="009B6A46" w:rsidRPr="00C90646">
              <w:rPr>
                <w:rFonts w:ascii="Arial"/>
                <w:b/>
                <w:sz w:val="20"/>
                <w:szCs w:val="20"/>
                <w:lang w:val="uk-UA"/>
              </w:rPr>
              <w:t>з</w:t>
            </w:r>
            <w:r w:rsidR="009B6A46" w:rsidRPr="00C90646">
              <w:rPr>
                <w:rFonts w:ascii="Arial"/>
                <w:b/>
                <w:sz w:val="20"/>
                <w:szCs w:val="20"/>
                <w:lang w:val="uk-UA"/>
              </w:rPr>
              <w:t xml:space="preserve"> </w:t>
            </w:r>
            <w:r w:rsidR="009B6A46" w:rsidRPr="00C90646">
              <w:rPr>
                <w:rFonts w:ascii="Arial"/>
                <w:b/>
                <w:sz w:val="20"/>
                <w:szCs w:val="20"/>
                <w:lang w:val="uk-UA"/>
              </w:rPr>
              <w:t>низьким</w:t>
            </w:r>
            <w:r w:rsidR="009B6A46" w:rsidRPr="00C90646">
              <w:rPr>
                <w:rFonts w:ascii="Arial"/>
                <w:b/>
                <w:sz w:val="20"/>
                <w:szCs w:val="20"/>
                <w:lang w:val="uk-UA"/>
              </w:rPr>
              <w:t xml:space="preserve"> </w:t>
            </w:r>
            <w:r w:rsidR="009B6A46" w:rsidRPr="00C90646">
              <w:rPr>
                <w:rFonts w:ascii="Arial"/>
                <w:b/>
                <w:sz w:val="20"/>
                <w:szCs w:val="20"/>
                <w:lang w:val="uk-UA"/>
              </w:rPr>
              <w:t>і</w:t>
            </w:r>
            <w:r w:rsidR="009B6A46" w:rsidRPr="00C90646">
              <w:rPr>
                <w:rFonts w:ascii="Arial"/>
                <w:b/>
                <w:sz w:val="20"/>
                <w:szCs w:val="20"/>
                <w:lang w:val="uk-UA"/>
              </w:rPr>
              <w:t xml:space="preserve"> </w:t>
            </w:r>
            <w:r w:rsidR="009B6A46" w:rsidRPr="00C90646">
              <w:rPr>
                <w:rFonts w:ascii="Arial"/>
                <w:b/>
                <w:sz w:val="20"/>
                <w:szCs w:val="20"/>
                <w:lang w:val="uk-UA"/>
              </w:rPr>
              <w:t>середнім</w:t>
            </w:r>
            <w:r w:rsidR="009B6A46" w:rsidRPr="00C90646">
              <w:rPr>
                <w:rFonts w:ascii="Arial"/>
                <w:b/>
                <w:sz w:val="20"/>
                <w:szCs w:val="20"/>
                <w:lang w:val="uk-UA"/>
              </w:rPr>
              <w:t xml:space="preserve"> </w:t>
            </w:r>
            <w:r w:rsidR="009B6A46" w:rsidRPr="00C90646">
              <w:rPr>
                <w:rFonts w:ascii="Arial"/>
                <w:b/>
                <w:sz w:val="20"/>
                <w:szCs w:val="20"/>
                <w:lang w:val="uk-UA"/>
              </w:rPr>
              <w:t>рівнем</w:t>
            </w:r>
            <w:r w:rsidR="009B6A46" w:rsidRPr="00C90646">
              <w:rPr>
                <w:rFonts w:ascii="Arial"/>
                <w:b/>
                <w:sz w:val="20"/>
                <w:szCs w:val="20"/>
                <w:lang w:val="uk-UA"/>
              </w:rPr>
              <w:t xml:space="preserve"> </w:t>
            </w:r>
            <w:r w:rsidR="009B6A46" w:rsidRPr="00C90646">
              <w:rPr>
                <w:rFonts w:ascii="Arial"/>
                <w:b/>
                <w:sz w:val="20"/>
                <w:szCs w:val="20"/>
                <w:lang w:val="uk-UA"/>
              </w:rPr>
              <w:t>доходу</w:t>
            </w:r>
            <w:r w:rsidR="009B6A46" w:rsidRPr="00C90646">
              <w:rPr>
                <w:rFonts w:ascii="Arial"/>
                <w:b/>
                <w:sz w:val="20"/>
                <w:szCs w:val="20"/>
                <w:lang w:val="uk-UA"/>
              </w:rPr>
              <w:t xml:space="preserve"> </w:t>
            </w:r>
            <w:r w:rsidR="009B6A46" w:rsidRPr="00C90646">
              <w:rPr>
                <w:rFonts w:ascii="Arial"/>
                <w:b/>
                <w:sz w:val="20"/>
                <w:szCs w:val="20"/>
                <w:lang w:val="uk-UA"/>
              </w:rPr>
              <w:t>для</w:t>
            </w:r>
            <w:r w:rsidR="009B6A46" w:rsidRPr="00C90646">
              <w:rPr>
                <w:rFonts w:ascii="Arial"/>
                <w:b/>
                <w:sz w:val="20"/>
                <w:szCs w:val="20"/>
                <w:lang w:val="uk-UA"/>
              </w:rPr>
              <w:t xml:space="preserve"> </w:t>
            </w:r>
            <w:r w:rsidR="009B6A46" w:rsidRPr="00C90646">
              <w:rPr>
                <w:rFonts w:ascii="Arial"/>
                <w:b/>
                <w:sz w:val="20"/>
                <w:szCs w:val="20"/>
                <w:lang w:val="uk-UA"/>
              </w:rPr>
              <w:t>діагностики</w:t>
            </w:r>
            <w:r w:rsidR="009B6A46" w:rsidRPr="00C90646">
              <w:rPr>
                <w:rFonts w:ascii="Arial"/>
                <w:b/>
                <w:sz w:val="20"/>
                <w:szCs w:val="20"/>
                <w:lang w:val="uk-UA"/>
              </w:rPr>
              <w:t xml:space="preserve"> </w:t>
            </w:r>
            <w:r w:rsidR="009B6A46" w:rsidRPr="00C90646">
              <w:rPr>
                <w:rFonts w:ascii="Arial"/>
                <w:b/>
                <w:sz w:val="20"/>
                <w:szCs w:val="20"/>
                <w:lang w:val="uk-UA"/>
              </w:rPr>
              <w:t>легеневого</w:t>
            </w:r>
            <w:r w:rsidR="009B6A46" w:rsidRPr="00C90646">
              <w:rPr>
                <w:rFonts w:ascii="Arial"/>
                <w:b/>
                <w:sz w:val="20"/>
                <w:szCs w:val="20"/>
                <w:lang w:val="uk-UA"/>
              </w:rPr>
              <w:t xml:space="preserve"> </w:t>
            </w:r>
            <w:r w:rsidR="009B6A46" w:rsidRPr="00C90646">
              <w:rPr>
                <w:rFonts w:ascii="Arial"/>
                <w:b/>
                <w:sz w:val="20"/>
                <w:szCs w:val="20"/>
                <w:lang w:val="uk-UA"/>
              </w:rPr>
              <w:t>або</w:t>
            </w:r>
            <w:r w:rsidR="009B6A46" w:rsidRPr="00C90646">
              <w:rPr>
                <w:rFonts w:ascii="Arial"/>
                <w:b/>
                <w:sz w:val="20"/>
                <w:szCs w:val="20"/>
                <w:lang w:val="uk-UA"/>
              </w:rPr>
              <w:t xml:space="preserve"> </w:t>
            </w:r>
            <w:r w:rsidR="009B6A46" w:rsidRPr="00C90646">
              <w:rPr>
                <w:rFonts w:ascii="Arial"/>
                <w:b/>
                <w:sz w:val="20"/>
                <w:szCs w:val="20"/>
                <w:lang w:val="uk-UA"/>
              </w:rPr>
              <w:t>позалегеневого</w:t>
            </w:r>
            <w:r w:rsidR="009B6A46" w:rsidRPr="00C90646">
              <w:rPr>
                <w:rFonts w:ascii="Arial"/>
                <w:b/>
                <w:sz w:val="20"/>
                <w:szCs w:val="20"/>
                <w:lang w:val="uk-UA"/>
              </w:rPr>
              <w:t xml:space="preserve"> </w:t>
            </w:r>
            <w:r w:rsidR="009B6A46" w:rsidRPr="00C90646">
              <w:rPr>
                <w:rFonts w:ascii="Arial"/>
                <w:b/>
                <w:sz w:val="20"/>
                <w:szCs w:val="20"/>
                <w:lang w:val="uk-UA"/>
              </w:rPr>
              <w:t>ТБ</w:t>
            </w:r>
            <w:r w:rsidR="009B6A46" w:rsidRPr="00C90646">
              <w:rPr>
                <w:rFonts w:ascii="Arial"/>
                <w:b/>
                <w:sz w:val="20"/>
                <w:szCs w:val="20"/>
                <w:lang w:val="uk-UA"/>
              </w:rPr>
              <w:t xml:space="preserve">, </w:t>
            </w:r>
            <w:r w:rsidR="009B6A46" w:rsidRPr="00C90646">
              <w:rPr>
                <w:rFonts w:ascii="Arial"/>
                <w:b/>
                <w:sz w:val="20"/>
                <w:szCs w:val="20"/>
                <w:lang w:val="uk-UA"/>
              </w:rPr>
              <w:t>а</w:t>
            </w:r>
            <w:r w:rsidR="009B6A46" w:rsidRPr="00C90646">
              <w:rPr>
                <w:rFonts w:ascii="Arial"/>
                <w:b/>
                <w:sz w:val="20"/>
                <w:szCs w:val="20"/>
                <w:lang w:val="uk-UA"/>
              </w:rPr>
              <w:t xml:space="preserve"> </w:t>
            </w:r>
            <w:r w:rsidR="009B6A46" w:rsidRPr="00C90646">
              <w:rPr>
                <w:rFonts w:ascii="Arial"/>
                <w:b/>
                <w:sz w:val="20"/>
                <w:szCs w:val="20"/>
                <w:lang w:val="uk-UA"/>
              </w:rPr>
              <w:t>також</w:t>
            </w:r>
            <w:r w:rsidR="009B6A46" w:rsidRPr="00C90646">
              <w:rPr>
                <w:rFonts w:ascii="Arial"/>
                <w:b/>
                <w:sz w:val="20"/>
                <w:szCs w:val="20"/>
                <w:lang w:val="uk-UA"/>
              </w:rPr>
              <w:t xml:space="preserve"> </w:t>
            </w:r>
            <w:r w:rsidR="009B6A46" w:rsidRPr="00C90646">
              <w:rPr>
                <w:rFonts w:ascii="Arial"/>
                <w:b/>
                <w:sz w:val="20"/>
                <w:szCs w:val="20"/>
                <w:lang w:val="uk-UA"/>
              </w:rPr>
              <w:t>для</w:t>
            </w:r>
            <w:r w:rsidR="009B6A46" w:rsidRPr="00C90646">
              <w:rPr>
                <w:rFonts w:ascii="Arial"/>
                <w:b/>
                <w:sz w:val="20"/>
                <w:szCs w:val="20"/>
                <w:lang w:val="uk-UA"/>
              </w:rPr>
              <w:t xml:space="preserve"> </w:t>
            </w:r>
            <w:r w:rsidR="009B6A46" w:rsidRPr="00C90646">
              <w:rPr>
                <w:rFonts w:ascii="Arial"/>
                <w:b/>
                <w:sz w:val="20"/>
                <w:szCs w:val="20"/>
                <w:lang w:val="uk-UA"/>
              </w:rPr>
              <w:t>діагностичного</w:t>
            </w:r>
            <w:r w:rsidR="009B6A46" w:rsidRPr="00C90646">
              <w:rPr>
                <w:rFonts w:ascii="Arial"/>
                <w:b/>
                <w:sz w:val="20"/>
                <w:szCs w:val="20"/>
                <w:lang w:val="uk-UA"/>
              </w:rPr>
              <w:t xml:space="preserve"> </w:t>
            </w:r>
            <w:r w:rsidR="009B6A46" w:rsidRPr="00C90646">
              <w:rPr>
                <w:rFonts w:ascii="Arial"/>
                <w:b/>
                <w:sz w:val="20"/>
                <w:szCs w:val="20"/>
                <w:lang w:val="uk-UA"/>
              </w:rPr>
              <w:t>обстеження</w:t>
            </w:r>
            <w:r w:rsidR="009B6A46" w:rsidRPr="00C90646">
              <w:rPr>
                <w:rFonts w:ascii="Arial"/>
                <w:b/>
                <w:sz w:val="20"/>
                <w:szCs w:val="20"/>
                <w:lang w:val="uk-UA"/>
              </w:rPr>
              <w:t xml:space="preserve"> </w:t>
            </w:r>
            <w:r w:rsidR="009B6A46" w:rsidRPr="00C90646">
              <w:rPr>
                <w:rFonts w:ascii="Arial"/>
                <w:b/>
                <w:sz w:val="20"/>
                <w:szCs w:val="20"/>
                <w:lang w:val="uk-UA"/>
              </w:rPr>
              <w:t>дорослих</w:t>
            </w:r>
            <w:r w:rsidR="009B6A46" w:rsidRPr="00C90646">
              <w:rPr>
                <w:rFonts w:ascii="Arial"/>
                <w:b/>
                <w:sz w:val="20"/>
                <w:szCs w:val="20"/>
                <w:lang w:val="uk-UA"/>
              </w:rPr>
              <w:t xml:space="preserve"> (</w:t>
            </w:r>
            <w:r w:rsidR="009B6A46" w:rsidRPr="00C90646">
              <w:rPr>
                <w:rFonts w:ascii="Arial"/>
                <w:b/>
                <w:sz w:val="20"/>
                <w:szCs w:val="20"/>
                <w:lang w:val="uk-UA"/>
              </w:rPr>
              <w:t>включаючи</w:t>
            </w:r>
            <w:r w:rsidR="009B6A46" w:rsidRPr="00C90646">
              <w:rPr>
                <w:rFonts w:ascii="Arial"/>
                <w:b/>
                <w:sz w:val="20"/>
                <w:szCs w:val="20"/>
                <w:lang w:val="uk-UA"/>
              </w:rPr>
              <w:t xml:space="preserve"> </w:t>
            </w:r>
            <w:r w:rsidR="009B6A46" w:rsidRPr="00C90646">
              <w:rPr>
                <w:rFonts w:ascii="Arial"/>
                <w:b/>
                <w:sz w:val="20"/>
                <w:szCs w:val="20"/>
                <w:lang w:val="uk-UA"/>
              </w:rPr>
              <w:t>людей</w:t>
            </w:r>
            <w:r w:rsidR="009B6A46" w:rsidRPr="00C90646">
              <w:rPr>
                <w:rFonts w:ascii="Arial"/>
                <w:b/>
                <w:sz w:val="20"/>
                <w:szCs w:val="20"/>
                <w:lang w:val="uk-UA"/>
              </w:rPr>
              <w:t xml:space="preserve">, </w:t>
            </w:r>
            <w:r w:rsidR="009B6A46" w:rsidRPr="00C90646">
              <w:rPr>
                <w:rFonts w:ascii="Arial"/>
                <w:b/>
                <w:sz w:val="20"/>
                <w:szCs w:val="20"/>
                <w:lang w:val="uk-UA"/>
              </w:rPr>
              <w:t>які</w:t>
            </w:r>
            <w:r w:rsidR="009B6A46" w:rsidRPr="00C90646">
              <w:rPr>
                <w:rFonts w:ascii="Arial"/>
                <w:b/>
                <w:sz w:val="20"/>
                <w:szCs w:val="20"/>
                <w:lang w:val="uk-UA"/>
              </w:rPr>
              <w:t xml:space="preserve"> </w:t>
            </w:r>
            <w:r w:rsidR="009B6A46" w:rsidRPr="00C90646">
              <w:rPr>
                <w:rFonts w:ascii="Arial"/>
                <w:b/>
                <w:sz w:val="20"/>
                <w:szCs w:val="20"/>
                <w:lang w:val="uk-UA"/>
              </w:rPr>
              <w:t>живуть</w:t>
            </w:r>
            <w:r w:rsidR="009B6A46" w:rsidRPr="00C90646">
              <w:rPr>
                <w:rFonts w:ascii="Arial"/>
                <w:b/>
                <w:sz w:val="20"/>
                <w:szCs w:val="20"/>
                <w:lang w:val="uk-UA"/>
              </w:rPr>
              <w:t xml:space="preserve"> </w:t>
            </w:r>
            <w:r w:rsidR="009B6A46" w:rsidRPr="00C90646">
              <w:rPr>
                <w:rFonts w:ascii="Arial"/>
                <w:b/>
                <w:sz w:val="20"/>
                <w:szCs w:val="20"/>
                <w:lang w:val="uk-UA"/>
              </w:rPr>
              <w:t>з</w:t>
            </w:r>
            <w:r w:rsidR="009B6A46" w:rsidRPr="00C90646">
              <w:rPr>
                <w:rFonts w:ascii="Arial"/>
                <w:b/>
                <w:sz w:val="20"/>
                <w:szCs w:val="20"/>
                <w:lang w:val="uk-UA"/>
              </w:rPr>
              <w:t xml:space="preserve"> </w:t>
            </w:r>
            <w:r w:rsidR="009B6A46" w:rsidRPr="00C90646">
              <w:rPr>
                <w:rFonts w:ascii="Arial"/>
                <w:b/>
                <w:sz w:val="20"/>
                <w:szCs w:val="20"/>
                <w:lang w:val="uk-UA"/>
              </w:rPr>
              <w:t>ВІЛ</w:t>
            </w:r>
            <w:r w:rsidR="009B6A46" w:rsidRPr="00C90646">
              <w:rPr>
                <w:rFonts w:ascii="Arial"/>
                <w:b/>
                <w:sz w:val="20"/>
                <w:szCs w:val="20"/>
                <w:lang w:val="uk-UA"/>
              </w:rPr>
              <w:t xml:space="preserve">) </w:t>
            </w:r>
            <w:r w:rsidR="009B6A46" w:rsidRPr="00C90646">
              <w:rPr>
                <w:rFonts w:ascii="Arial"/>
                <w:b/>
                <w:sz w:val="20"/>
                <w:szCs w:val="20"/>
                <w:lang w:val="uk-UA"/>
              </w:rPr>
              <w:t>з</w:t>
            </w:r>
            <w:r w:rsidR="009B6A46" w:rsidRPr="00C90646">
              <w:rPr>
                <w:rFonts w:ascii="Arial"/>
                <w:b/>
                <w:sz w:val="20"/>
                <w:szCs w:val="20"/>
                <w:lang w:val="uk-UA"/>
              </w:rPr>
              <w:t xml:space="preserve"> </w:t>
            </w:r>
            <w:r w:rsidR="009B6A46" w:rsidRPr="00C90646">
              <w:rPr>
                <w:rFonts w:ascii="Arial"/>
                <w:b/>
                <w:sz w:val="20"/>
                <w:szCs w:val="20"/>
                <w:lang w:val="uk-UA"/>
              </w:rPr>
              <w:t>підозрою</w:t>
            </w:r>
            <w:r w:rsidR="009B6A46" w:rsidRPr="00C90646">
              <w:rPr>
                <w:rFonts w:ascii="Arial"/>
                <w:b/>
                <w:sz w:val="20"/>
                <w:szCs w:val="20"/>
                <w:lang w:val="uk-UA"/>
              </w:rPr>
              <w:t xml:space="preserve"> </w:t>
            </w:r>
            <w:r w:rsidR="009B6A46" w:rsidRPr="00C90646">
              <w:rPr>
                <w:rFonts w:ascii="Arial"/>
                <w:b/>
                <w:sz w:val="20"/>
                <w:szCs w:val="20"/>
                <w:lang w:val="uk-UA"/>
              </w:rPr>
              <w:t>на</w:t>
            </w:r>
            <w:r w:rsidR="009B6A46" w:rsidRPr="00C90646">
              <w:rPr>
                <w:rFonts w:ascii="Arial"/>
                <w:b/>
                <w:sz w:val="20"/>
                <w:szCs w:val="20"/>
                <w:lang w:val="uk-UA"/>
              </w:rPr>
              <w:t xml:space="preserve"> </w:t>
            </w:r>
            <w:r w:rsidR="009B6A46" w:rsidRPr="00C90646">
              <w:rPr>
                <w:rFonts w:ascii="Arial"/>
                <w:b/>
                <w:sz w:val="20"/>
                <w:szCs w:val="20"/>
                <w:lang w:val="uk-UA"/>
              </w:rPr>
              <w:t>активну</w:t>
            </w:r>
            <w:r w:rsidR="009B6A46" w:rsidRPr="00C90646">
              <w:rPr>
                <w:rFonts w:ascii="Arial"/>
                <w:b/>
                <w:sz w:val="20"/>
                <w:szCs w:val="20"/>
                <w:lang w:val="uk-UA"/>
              </w:rPr>
              <w:t xml:space="preserve"> </w:t>
            </w:r>
            <w:r w:rsidR="009B6A46" w:rsidRPr="00C90646">
              <w:rPr>
                <w:rFonts w:ascii="Arial"/>
                <w:b/>
                <w:sz w:val="20"/>
                <w:szCs w:val="20"/>
                <w:lang w:val="uk-UA"/>
              </w:rPr>
              <w:t>форму</w:t>
            </w:r>
            <w:r w:rsidR="009B6A46" w:rsidRPr="00C90646">
              <w:rPr>
                <w:rFonts w:ascii="Arial"/>
                <w:b/>
                <w:sz w:val="20"/>
                <w:szCs w:val="20"/>
                <w:lang w:val="uk-UA"/>
              </w:rPr>
              <w:t xml:space="preserve"> </w:t>
            </w:r>
            <w:r w:rsidR="009B6A46" w:rsidRPr="00C90646">
              <w:rPr>
                <w:rFonts w:ascii="Arial"/>
                <w:b/>
                <w:sz w:val="20"/>
                <w:szCs w:val="20"/>
                <w:lang w:val="uk-UA"/>
              </w:rPr>
              <w:t>ТБ</w:t>
            </w:r>
            <w:r w:rsidR="009B6A46" w:rsidRPr="00C90646">
              <w:rPr>
                <w:rFonts w:ascii="Arial"/>
                <w:b/>
                <w:sz w:val="20"/>
                <w:szCs w:val="20"/>
                <w:lang w:val="uk-UA"/>
              </w:rPr>
              <w:t xml:space="preserve"> </w:t>
            </w:r>
            <w:r w:rsidR="009B6A46" w:rsidRPr="00C90646">
              <w:rPr>
                <w:rFonts w:ascii="Arial"/>
                <w:b/>
                <w:sz w:val="20"/>
                <w:szCs w:val="20"/>
                <w:lang w:val="uk-UA"/>
              </w:rPr>
              <w:t>в</w:t>
            </w:r>
            <w:r w:rsidR="009B6A46" w:rsidRPr="00C90646">
              <w:rPr>
                <w:rFonts w:ascii="Arial"/>
                <w:b/>
                <w:sz w:val="20"/>
                <w:szCs w:val="20"/>
                <w:lang w:val="uk-UA"/>
              </w:rPr>
              <w:t xml:space="preserve"> </w:t>
            </w:r>
            <w:r w:rsidR="009B6A46" w:rsidRPr="00C90646">
              <w:rPr>
                <w:rFonts w:ascii="Arial"/>
                <w:b/>
                <w:sz w:val="20"/>
                <w:szCs w:val="20"/>
                <w:lang w:val="uk-UA"/>
              </w:rPr>
              <w:t>цих</w:t>
            </w:r>
            <w:r w:rsidR="009B6A46" w:rsidRPr="00C90646">
              <w:rPr>
                <w:rFonts w:ascii="Arial"/>
                <w:b/>
                <w:sz w:val="20"/>
                <w:szCs w:val="20"/>
                <w:lang w:val="uk-UA"/>
              </w:rPr>
              <w:t xml:space="preserve"> </w:t>
            </w:r>
            <w:r w:rsidR="009B6A46" w:rsidRPr="00C90646">
              <w:rPr>
                <w:rFonts w:ascii="Arial"/>
                <w:b/>
                <w:sz w:val="20"/>
                <w:szCs w:val="20"/>
                <w:lang w:val="uk-UA"/>
              </w:rPr>
              <w:t>країнах</w:t>
            </w:r>
            <w:r w:rsidR="009B6A46" w:rsidRPr="00C90646">
              <w:rPr>
                <w:rFonts w:ascii="Arial"/>
                <w:b/>
                <w:sz w:val="20"/>
                <w:szCs w:val="20"/>
                <w:lang w:val="uk-UA"/>
              </w:rPr>
              <w:t xml:space="preserve">. </w:t>
            </w:r>
          </w:p>
          <w:p w14:paraId="7A175C1A" w14:textId="4AFDC361" w:rsidR="00E05B98" w:rsidRPr="003C6DAE" w:rsidRDefault="00B01E0C" w:rsidP="00327E34">
            <w:pPr>
              <w:pStyle w:val="TableParagraph"/>
              <w:spacing w:before="52"/>
              <w:ind w:left="680" w:right="139"/>
              <w:jc w:val="both"/>
              <w:rPr>
                <w:rFonts w:ascii="Arial"/>
                <w:i/>
                <w:lang w:val="uk-UA"/>
              </w:rPr>
            </w:pPr>
            <w:r w:rsidRPr="00C90646">
              <w:rPr>
                <w:rFonts w:ascii="Arial"/>
                <w:i/>
                <w:sz w:val="20"/>
                <w:szCs w:val="20"/>
                <w:lang w:val="uk-UA"/>
              </w:rPr>
              <w:t>(</w:t>
            </w:r>
            <w:r w:rsidR="009B6A46" w:rsidRPr="00C90646">
              <w:rPr>
                <w:rFonts w:ascii="Arial"/>
                <w:i/>
                <w:sz w:val="20"/>
                <w:szCs w:val="20"/>
                <w:lang w:val="uk-UA"/>
              </w:rPr>
              <w:t>настійна</w:t>
            </w:r>
            <w:r w:rsidR="009B6A46" w:rsidRPr="00C90646">
              <w:rPr>
                <w:rFonts w:ascii="Arial"/>
                <w:i/>
                <w:sz w:val="20"/>
                <w:szCs w:val="20"/>
                <w:lang w:val="uk-UA"/>
              </w:rPr>
              <w:t xml:space="preserve"> </w:t>
            </w:r>
            <w:r w:rsidR="009B6A46" w:rsidRPr="00C90646">
              <w:rPr>
                <w:rFonts w:ascii="Arial"/>
                <w:i/>
                <w:sz w:val="20"/>
                <w:szCs w:val="20"/>
                <w:lang w:val="uk-UA"/>
              </w:rPr>
              <w:t>рекомендація</w:t>
            </w:r>
            <w:r w:rsidRPr="00C90646">
              <w:rPr>
                <w:rFonts w:ascii="Arial"/>
                <w:i/>
                <w:spacing w:val="-2"/>
                <w:sz w:val="20"/>
                <w:szCs w:val="20"/>
                <w:lang w:val="uk-UA"/>
              </w:rPr>
              <w:t>)</w:t>
            </w:r>
          </w:p>
        </w:tc>
      </w:tr>
    </w:tbl>
    <w:p w14:paraId="381E74B5" w14:textId="77777777" w:rsidR="00327E34" w:rsidRDefault="00327E34" w:rsidP="00C90646">
      <w:pPr>
        <w:pStyle w:val="a3"/>
        <w:spacing w:before="175" w:line="297" w:lineRule="auto"/>
        <w:ind w:left="567" w:right="138"/>
        <w:jc w:val="both"/>
        <w:rPr>
          <w:spacing w:val="-2"/>
          <w:sz w:val="20"/>
          <w:szCs w:val="20"/>
          <w:lang w:val="uk-UA"/>
        </w:rPr>
      </w:pPr>
    </w:p>
    <w:p w14:paraId="66BF29F4" w14:textId="1773D2AA" w:rsidR="00E05B98" w:rsidRPr="00C90646" w:rsidRDefault="00C90646" w:rsidP="00327E34">
      <w:pPr>
        <w:pStyle w:val="a3"/>
        <w:spacing w:before="175" w:line="276" w:lineRule="auto"/>
        <w:ind w:left="567" w:right="136"/>
        <w:jc w:val="both"/>
        <w:rPr>
          <w:sz w:val="20"/>
          <w:szCs w:val="20"/>
          <w:lang w:val="uk-UA"/>
        </w:rPr>
        <w:sectPr w:rsidR="00E05B98" w:rsidRPr="00C90646" w:rsidSect="00327E34">
          <w:pgSz w:w="11910" w:h="16840"/>
          <w:pgMar w:top="1320" w:right="995" w:bottom="760" w:left="850" w:header="0" w:footer="573" w:gutter="0"/>
          <w:cols w:space="720"/>
        </w:sectPr>
      </w:pPr>
      <w:r w:rsidRPr="00C90646">
        <w:rPr>
          <w:spacing w:val="-2"/>
          <w:sz w:val="20"/>
          <w:szCs w:val="20"/>
          <w:lang w:val="uk-UA"/>
        </w:rPr>
        <w:t>Група з розробки рекомендацій дійшла висновку, що як чутливість, так і специфічність АВГІ при виявленні активної форми ТБ серед осіб</w:t>
      </w:r>
      <w:r w:rsidR="000D4EEE">
        <w:rPr>
          <w:spacing w:val="-2"/>
          <w:sz w:val="20"/>
          <w:szCs w:val="20"/>
          <w:lang w:val="uk-UA"/>
        </w:rPr>
        <w:t xml:space="preserve"> з підозрою на ТБ</w:t>
      </w:r>
      <w:r w:rsidRPr="00C90646">
        <w:rPr>
          <w:spacing w:val="-2"/>
          <w:sz w:val="20"/>
          <w:szCs w:val="20"/>
          <w:lang w:val="uk-UA"/>
        </w:rPr>
        <w:t xml:space="preserve"> були неоптимальними, а якість доказів була низькою. Члени групи також рекомендували не використовувати ці тести </w:t>
      </w:r>
      <w:r w:rsidR="000D4EEE">
        <w:rPr>
          <w:spacing w:val="-2"/>
          <w:sz w:val="20"/>
          <w:szCs w:val="20"/>
          <w:lang w:val="uk-UA"/>
        </w:rPr>
        <w:t>як заміну</w:t>
      </w:r>
      <w:r w:rsidRPr="00C90646">
        <w:rPr>
          <w:spacing w:val="-2"/>
          <w:sz w:val="20"/>
          <w:szCs w:val="20"/>
          <w:lang w:val="uk-UA"/>
        </w:rPr>
        <w:t xml:space="preserve"> традиційн</w:t>
      </w:r>
      <w:r w:rsidR="000D4EEE">
        <w:rPr>
          <w:spacing w:val="-2"/>
          <w:sz w:val="20"/>
          <w:szCs w:val="20"/>
          <w:lang w:val="uk-UA"/>
        </w:rPr>
        <w:t>ій</w:t>
      </w:r>
      <w:r w:rsidRPr="00C90646">
        <w:rPr>
          <w:spacing w:val="-2"/>
          <w:sz w:val="20"/>
          <w:szCs w:val="20"/>
          <w:lang w:val="uk-UA"/>
        </w:rPr>
        <w:t xml:space="preserve"> мікробіологічн</w:t>
      </w:r>
      <w:r w:rsidR="000D4EEE">
        <w:rPr>
          <w:spacing w:val="-2"/>
          <w:sz w:val="20"/>
          <w:szCs w:val="20"/>
          <w:lang w:val="uk-UA"/>
        </w:rPr>
        <w:t>ій</w:t>
      </w:r>
      <w:r w:rsidRPr="00C90646">
        <w:rPr>
          <w:spacing w:val="-2"/>
          <w:sz w:val="20"/>
          <w:szCs w:val="20"/>
          <w:lang w:val="uk-UA"/>
        </w:rPr>
        <w:t xml:space="preserve"> діагности</w:t>
      </w:r>
      <w:r w:rsidR="000D4EEE">
        <w:rPr>
          <w:spacing w:val="-2"/>
          <w:sz w:val="20"/>
          <w:szCs w:val="20"/>
          <w:lang w:val="uk-UA"/>
        </w:rPr>
        <w:t>ці</w:t>
      </w:r>
      <w:r w:rsidRPr="00C90646">
        <w:rPr>
          <w:spacing w:val="-2"/>
          <w:sz w:val="20"/>
          <w:szCs w:val="20"/>
          <w:lang w:val="uk-UA"/>
        </w:rPr>
        <w:t xml:space="preserve"> легеневого та позалегеневого туберкульозу. Група з розробки настанови зазначила, що наявні докази не підтверджують використання АВГІ або </w:t>
      </w:r>
      <w:r w:rsidR="00D45FA2">
        <w:rPr>
          <w:spacing w:val="-2"/>
          <w:sz w:val="20"/>
          <w:szCs w:val="20"/>
          <w:lang w:val="uk-UA"/>
        </w:rPr>
        <w:t>ТШП</w:t>
      </w:r>
      <w:r w:rsidRPr="00C90646">
        <w:rPr>
          <w:spacing w:val="-2"/>
          <w:sz w:val="20"/>
          <w:szCs w:val="20"/>
          <w:lang w:val="uk-UA"/>
        </w:rPr>
        <w:t xml:space="preserve"> як частини діагностичного обстеження дорослих з підозрою на активну форму ТБ, незалежно від ВІЛ-статусу. У цій рекомендації велике значення приділяється уникненню наслідків непотрібного лікування (через велику кількість хибнопозитивних результатів), враховуючи низьку специфічність АВГІ та </w:t>
      </w:r>
      <w:r w:rsidR="00D45FA2">
        <w:rPr>
          <w:spacing w:val="-2"/>
          <w:sz w:val="20"/>
          <w:szCs w:val="20"/>
          <w:lang w:val="uk-UA"/>
        </w:rPr>
        <w:t>ТШП</w:t>
      </w:r>
      <w:r w:rsidRPr="00C90646">
        <w:rPr>
          <w:spacing w:val="-2"/>
          <w:sz w:val="20"/>
          <w:szCs w:val="20"/>
          <w:lang w:val="uk-UA"/>
        </w:rPr>
        <w:t xml:space="preserve"> </w:t>
      </w:r>
      <w:r w:rsidR="00653A9F">
        <w:rPr>
          <w:spacing w:val="-2"/>
          <w:sz w:val="20"/>
          <w:szCs w:val="20"/>
          <w:lang w:val="uk-UA"/>
        </w:rPr>
        <w:t>за цих умов</w:t>
      </w:r>
      <w:r w:rsidRPr="00C90646">
        <w:rPr>
          <w:spacing w:val="-2"/>
          <w:sz w:val="20"/>
          <w:szCs w:val="20"/>
          <w:lang w:val="uk-UA"/>
        </w:rPr>
        <w:t>.</w:t>
      </w:r>
    </w:p>
    <w:p w14:paraId="4EB956AC" w14:textId="52A0B445" w:rsidR="00E05B98" w:rsidRPr="00653A9F" w:rsidRDefault="00C90646">
      <w:pPr>
        <w:pStyle w:val="5"/>
        <w:spacing w:before="45"/>
        <w:jc w:val="both"/>
        <w:rPr>
          <w:sz w:val="26"/>
          <w:szCs w:val="26"/>
          <w:lang w:val="uk-UA"/>
        </w:rPr>
      </w:pPr>
      <w:r w:rsidRPr="00653A9F">
        <w:rPr>
          <w:color w:val="019648"/>
          <w:sz w:val="26"/>
          <w:szCs w:val="26"/>
          <w:lang w:val="uk-UA"/>
        </w:rPr>
        <w:lastRenderedPageBreak/>
        <w:t>Доказова база</w:t>
      </w:r>
    </w:p>
    <w:p w14:paraId="373EE6F1" w14:textId="3041BAED" w:rsidR="00E05B98" w:rsidRPr="00905D2B" w:rsidRDefault="00653A9F" w:rsidP="00327E34">
      <w:pPr>
        <w:pStyle w:val="a3"/>
        <w:spacing w:before="219" w:line="276" w:lineRule="auto"/>
        <w:ind w:left="567" w:right="-136"/>
        <w:jc w:val="both"/>
        <w:rPr>
          <w:sz w:val="20"/>
          <w:szCs w:val="20"/>
          <w:lang w:val="uk-UA"/>
        </w:rPr>
      </w:pPr>
      <w:r>
        <w:rPr>
          <w:w w:val="105"/>
          <w:sz w:val="20"/>
          <w:szCs w:val="20"/>
          <w:lang w:val="uk-UA"/>
        </w:rPr>
        <w:t>Було використано</w:t>
      </w:r>
      <w:r w:rsidR="00905D2B" w:rsidRPr="00905D2B">
        <w:rPr>
          <w:w w:val="105"/>
          <w:sz w:val="20"/>
          <w:szCs w:val="20"/>
          <w:lang w:val="uk-UA"/>
        </w:rPr>
        <w:t xml:space="preserve"> систематичний, структурований, заснований на фактичних даних процес</w:t>
      </w:r>
      <w:r>
        <w:rPr>
          <w:w w:val="105"/>
          <w:sz w:val="20"/>
          <w:szCs w:val="20"/>
          <w:lang w:val="uk-UA"/>
        </w:rPr>
        <w:t>, д</w:t>
      </w:r>
      <w:r w:rsidRPr="00905D2B">
        <w:rPr>
          <w:w w:val="105"/>
          <w:sz w:val="20"/>
          <w:szCs w:val="20"/>
          <w:lang w:val="uk-UA"/>
        </w:rPr>
        <w:t>ля формування політики у сфері діагностики ТБ</w:t>
      </w:r>
      <w:r w:rsidR="00905D2B" w:rsidRPr="00905D2B">
        <w:rPr>
          <w:w w:val="105"/>
          <w:sz w:val="20"/>
          <w:szCs w:val="20"/>
          <w:lang w:val="uk-UA"/>
        </w:rPr>
        <w:t>. На першому етапі були проведені систематичні огляди та метааналіз наявних даних (опублікованих і неопублікованих) з використанням стандартних методів, придатних для дослідження точності діагностики.</w:t>
      </w:r>
      <w:r w:rsidR="00B01E0C" w:rsidRPr="00905D2B">
        <w:rPr>
          <w:spacing w:val="-5"/>
          <w:w w:val="105"/>
          <w:sz w:val="20"/>
          <w:szCs w:val="20"/>
          <w:lang w:val="uk-UA"/>
        </w:rPr>
        <w:t xml:space="preserve"> </w:t>
      </w:r>
      <w:r w:rsidR="00905D2B" w:rsidRPr="00905D2B">
        <w:rPr>
          <w:w w:val="105"/>
          <w:sz w:val="20"/>
          <w:szCs w:val="20"/>
          <w:lang w:val="uk-UA"/>
        </w:rPr>
        <w:t xml:space="preserve">Другий етап передбачав скликання ГРН для оцінки </w:t>
      </w:r>
      <w:r w:rsidR="004F32E5">
        <w:rPr>
          <w:w w:val="105"/>
          <w:sz w:val="20"/>
          <w:szCs w:val="20"/>
          <w:lang w:val="uk-UA"/>
        </w:rPr>
        <w:t>достовірності</w:t>
      </w:r>
      <w:r w:rsidR="00905D2B" w:rsidRPr="00905D2B">
        <w:rPr>
          <w:w w:val="105"/>
          <w:sz w:val="20"/>
          <w:szCs w:val="20"/>
          <w:lang w:val="uk-UA"/>
        </w:rPr>
        <w:t xml:space="preserve"> доказової бази, оцінки ризиків і переваг застосування АВГІ в країнах з низьким та середнім рівнем доходу та виявлення прогалин, які необхідно усунути в майбутніх дослідженнях. На основі висновків експертної групи на третьому, заключному етапі було розроблено керівні принципи політики ВООЗ</w:t>
      </w:r>
      <w:r w:rsidR="004F32E5">
        <w:rPr>
          <w:w w:val="105"/>
          <w:sz w:val="20"/>
          <w:szCs w:val="20"/>
          <w:lang w:val="uk-UA"/>
        </w:rPr>
        <w:t xml:space="preserve"> </w:t>
      </w:r>
      <w:r w:rsidR="00905D2B" w:rsidRPr="00905D2B">
        <w:rPr>
          <w:w w:val="105"/>
          <w:sz w:val="20"/>
          <w:szCs w:val="20"/>
          <w:lang w:val="uk-UA"/>
        </w:rPr>
        <w:t>з подальшим розповсюдженням їх серед держав-членів ВООЗ для впровадження.</w:t>
      </w:r>
    </w:p>
    <w:p w14:paraId="032E78F5" w14:textId="20FA3E72" w:rsidR="00E05B98" w:rsidRPr="00905D2B" w:rsidRDefault="00DE0D18" w:rsidP="00327E34">
      <w:pPr>
        <w:pStyle w:val="a3"/>
        <w:spacing w:before="180" w:line="276" w:lineRule="auto"/>
        <w:ind w:left="567" w:right="-136"/>
        <w:jc w:val="both"/>
        <w:rPr>
          <w:sz w:val="20"/>
          <w:szCs w:val="20"/>
          <w:lang w:val="uk-UA"/>
        </w:rPr>
      </w:pPr>
      <w:r w:rsidRPr="00DE0D18">
        <w:rPr>
          <w:sz w:val="20"/>
          <w:szCs w:val="20"/>
          <w:lang w:val="uk-UA"/>
        </w:rPr>
        <w:t xml:space="preserve">ГРН використовувала систему GRADE, прийняту ВООЗ для розробки всіх стратегій та настанов. Враховуючи відсутність досліджень, які б оцінювали важливі для пацієнта результати серед осіб з підозрою на ТБ, рандомізованих для лікування за результатами АВГІ, огляди були зосереджені на діагностичній точності АВГІ порівняно з </w:t>
      </w:r>
      <w:r w:rsidR="00D45FA2">
        <w:rPr>
          <w:sz w:val="20"/>
          <w:szCs w:val="20"/>
          <w:lang w:val="uk-UA"/>
        </w:rPr>
        <w:t>ТШП</w:t>
      </w:r>
      <w:r w:rsidRPr="00DE0D18">
        <w:rPr>
          <w:sz w:val="20"/>
          <w:szCs w:val="20"/>
          <w:lang w:val="uk-UA"/>
        </w:rPr>
        <w:t xml:space="preserve"> при виявленні ТБ-інфекції або ТБ-захворювання.</w:t>
      </w:r>
      <w:r w:rsidR="00B01E0C" w:rsidRPr="00905D2B">
        <w:rPr>
          <w:spacing w:val="-6"/>
          <w:sz w:val="20"/>
          <w:szCs w:val="20"/>
          <w:lang w:val="uk-UA"/>
        </w:rPr>
        <w:t xml:space="preserve"> </w:t>
      </w:r>
      <w:r w:rsidRPr="00DE0D18">
        <w:rPr>
          <w:spacing w:val="-6"/>
          <w:sz w:val="20"/>
          <w:szCs w:val="20"/>
          <w:lang w:val="uk-UA"/>
        </w:rPr>
        <w:t xml:space="preserve">Визнаючи, що результати тестів можуть </w:t>
      </w:r>
      <w:r w:rsidR="004F32E5">
        <w:rPr>
          <w:spacing w:val="-6"/>
          <w:sz w:val="20"/>
          <w:szCs w:val="20"/>
          <w:lang w:val="uk-UA"/>
        </w:rPr>
        <w:t xml:space="preserve">бути </w:t>
      </w:r>
      <w:r w:rsidRPr="00DE0D18">
        <w:rPr>
          <w:spacing w:val="-6"/>
          <w:sz w:val="20"/>
          <w:szCs w:val="20"/>
          <w:lang w:val="uk-UA"/>
        </w:rPr>
        <w:t xml:space="preserve">непрямими доказами </w:t>
      </w:r>
      <w:r w:rsidR="004F32E5" w:rsidRPr="004F32E5">
        <w:rPr>
          <w:spacing w:val="-6"/>
          <w:sz w:val="20"/>
          <w:szCs w:val="20"/>
          <w:lang w:val="uk-UA"/>
        </w:rPr>
        <w:t>(</w:t>
      </w:r>
      <w:r w:rsidR="004F32E5">
        <w:rPr>
          <w:spacing w:val="-6"/>
          <w:sz w:val="20"/>
          <w:szCs w:val="20"/>
          <w:lang w:val="uk-UA"/>
        </w:rPr>
        <w:t xml:space="preserve">сурогатними доказами) </w:t>
      </w:r>
      <w:r w:rsidRPr="00DE0D18">
        <w:rPr>
          <w:spacing w:val="-6"/>
          <w:sz w:val="20"/>
          <w:szCs w:val="20"/>
          <w:lang w:val="uk-UA"/>
        </w:rPr>
        <w:t>важливих для пацієнта результатів, ГРН оцінювала точність АВГІ, а також зробила висновки щодо ймовірного впливу цих тестів на результати лікування пацієнтів, відображених хибнонегативними (тобто пропущеними випадками інфікування ТБ) або хибнопозитивними результатами тестів.</w:t>
      </w:r>
    </w:p>
    <w:p w14:paraId="28E2F478" w14:textId="3C5BF08B" w:rsidR="00E05B98" w:rsidRPr="00905D2B" w:rsidRDefault="00DE0D18" w:rsidP="00327E34">
      <w:pPr>
        <w:pStyle w:val="a3"/>
        <w:spacing w:before="178" w:line="276" w:lineRule="auto"/>
        <w:ind w:left="567" w:right="-136"/>
        <w:jc w:val="both"/>
        <w:rPr>
          <w:sz w:val="20"/>
          <w:szCs w:val="20"/>
          <w:lang w:val="uk-UA"/>
        </w:rPr>
      </w:pPr>
      <w:r w:rsidRPr="00DE0D18">
        <w:rPr>
          <w:sz w:val="20"/>
          <w:szCs w:val="20"/>
          <w:lang w:val="uk-UA"/>
        </w:rPr>
        <w:t xml:space="preserve">Систематичні огляди були проведені відповідно до детальних протоколів із заздалегідь визначеними </w:t>
      </w:r>
      <w:r w:rsidR="00120480">
        <w:rPr>
          <w:sz w:val="20"/>
          <w:szCs w:val="20"/>
          <w:lang w:val="uk-UA"/>
        </w:rPr>
        <w:t>за</w:t>
      </w:r>
      <w:r w:rsidRPr="00DE0D18">
        <w:rPr>
          <w:sz w:val="20"/>
          <w:szCs w:val="20"/>
          <w:lang w:val="uk-UA"/>
        </w:rPr>
        <w:t xml:space="preserve">питаннями, що стосувалися окремих тем. Короткий опис методик, </w:t>
      </w:r>
      <w:r w:rsidR="00120480">
        <w:rPr>
          <w:sz w:val="20"/>
          <w:szCs w:val="20"/>
          <w:lang w:val="uk-UA"/>
        </w:rPr>
        <w:t>які</w:t>
      </w:r>
      <w:r w:rsidRPr="00DE0D18">
        <w:rPr>
          <w:sz w:val="20"/>
          <w:szCs w:val="20"/>
          <w:lang w:val="uk-UA"/>
        </w:rPr>
        <w:t xml:space="preserve"> використовували для кожної теми, наведено у відповідних розділах нижче.</w:t>
      </w:r>
    </w:p>
    <w:p w14:paraId="25C9728B" w14:textId="5519665F" w:rsidR="00E05B98" w:rsidRPr="00905D2B" w:rsidRDefault="00DE0D18" w:rsidP="00327E34">
      <w:pPr>
        <w:pStyle w:val="9"/>
        <w:spacing w:before="171" w:line="276" w:lineRule="auto"/>
        <w:ind w:right="-136"/>
        <w:jc w:val="both"/>
        <w:rPr>
          <w:sz w:val="20"/>
          <w:szCs w:val="20"/>
          <w:lang w:val="uk-UA"/>
        </w:rPr>
      </w:pPr>
      <w:r>
        <w:rPr>
          <w:w w:val="90"/>
          <w:sz w:val="20"/>
          <w:szCs w:val="20"/>
          <w:lang w:val="uk-UA"/>
        </w:rPr>
        <w:t xml:space="preserve">Запитання </w:t>
      </w:r>
      <w:r w:rsidR="00B01E0C" w:rsidRPr="00905D2B">
        <w:rPr>
          <w:w w:val="90"/>
          <w:sz w:val="20"/>
          <w:szCs w:val="20"/>
          <w:lang w:val="uk-UA"/>
        </w:rPr>
        <w:t>PICO</w:t>
      </w:r>
      <w:r w:rsidR="00B01E0C" w:rsidRPr="00905D2B">
        <w:rPr>
          <w:spacing w:val="9"/>
          <w:sz w:val="20"/>
          <w:szCs w:val="20"/>
          <w:lang w:val="uk-UA"/>
        </w:rPr>
        <w:t xml:space="preserve"> </w:t>
      </w:r>
    </w:p>
    <w:p w14:paraId="3C3C0BE6" w14:textId="240B8DE4" w:rsidR="00E05B98" w:rsidRPr="00905D2B" w:rsidRDefault="00D57FB5" w:rsidP="00327E34">
      <w:pPr>
        <w:pStyle w:val="a3"/>
        <w:spacing w:before="230" w:line="276" w:lineRule="auto"/>
        <w:ind w:left="567" w:right="-136"/>
        <w:jc w:val="both"/>
        <w:rPr>
          <w:sz w:val="20"/>
          <w:szCs w:val="20"/>
          <w:lang w:val="uk-UA"/>
        </w:rPr>
      </w:pPr>
      <w:r w:rsidRPr="00D57FB5">
        <w:rPr>
          <w:sz w:val="20"/>
          <w:szCs w:val="20"/>
          <w:lang w:val="uk-UA"/>
        </w:rPr>
        <w:t>Яка діагностична точність комерційних АВГІ для виявлення ТБ легень у дорослих з підозрою на легеневий ТБ та для підтверджених випадків ТБ у країнах з низьким та середнім рівнем доходу порівняно з мікробіологічною (бакпосів або мікроскопія мазка) або клінічною діагностикою ТБ легень?</w:t>
      </w:r>
    </w:p>
    <w:p w14:paraId="66A14261" w14:textId="3904F15D" w:rsidR="00E05B98" w:rsidRPr="00905D2B" w:rsidRDefault="00D57FB5" w:rsidP="00327E34">
      <w:pPr>
        <w:pStyle w:val="9"/>
        <w:spacing w:before="170" w:line="276" w:lineRule="auto"/>
        <w:ind w:right="-136"/>
        <w:jc w:val="both"/>
        <w:rPr>
          <w:sz w:val="20"/>
          <w:szCs w:val="20"/>
          <w:lang w:val="uk-UA"/>
        </w:rPr>
      </w:pPr>
      <w:r w:rsidRPr="00D57FB5">
        <w:rPr>
          <w:sz w:val="20"/>
          <w:szCs w:val="20"/>
          <w:lang w:val="uk-UA"/>
        </w:rPr>
        <w:t>Ієрархія еталонних стандартів</w:t>
      </w:r>
    </w:p>
    <w:p w14:paraId="537C7C8C" w14:textId="3E10D1BC" w:rsidR="00E05B98" w:rsidRPr="00353A3B" w:rsidRDefault="00D57FB5" w:rsidP="00327E34">
      <w:pPr>
        <w:pStyle w:val="a3"/>
        <w:spacing w:before="231" w:line="276" w:lineRule="auto"/>
        <w:ind w:left="567" w:right="-136"/>
        <w:jc w:val="both"/>
        <w:rPr>
          <w:spacing w:val="-4"/>
          <w:sz w:val="20"/>
          <w:szCs w:val="20"/>
          <w:lang w:val="uk-UA"/>
        </w:rPr>
      </w:pPr>
      <w:r w:rsidRPr="00D57FB5">
        <w:rPr>
          <w:sz w:val="20"/>
          <w:szCs w:val="20"/>
          <w:lang w:val="uk-UA"/>
        </w:rPr>
        <w:t xml:space="preserve">Проведення досліджень з оцінювання ефективності АВГІ ускладнюється відсутністю золотого стандарту для визначення наявності або відсутності інфекції ТБ. Оскільки точність діагностики інфекції ТБ неможливо оцінити безпосередньо, була розроблена ієрархія еталонних стандартів, яка була попередньо узгоджена з рецензентами систематичного огляду, для оцінки ролі АВГІ в залежності від конкретної </w:t>
      </w:r>
      <w:r w:rsidR="00120480">
        <w:rPr>
          <w:sz w:val="20"/>
          <w:szCs w:val="20"/>
          <w:lang w:val="uk-UA"/>
        </w:rPr>
        <w:t>проблематики</w:t>
      </w:r>
      <w:r w:rsidRPr="00D57FB5">
        <w:rPr>
          <w:sz w:val="20"/>
          <w:szCs w:val="20"/>
          <w:lang w:val="uk-UA"/>
        </w:rPr>
        <w:t xml:space="preserve"> (тобто не всі систематичні огляди обов'язково використовували ієрархію).</w:t>
      </w:r>
      <w:r w:rsidR="00B01E0C" w:rsidRPr="00905D2B">
        <w:rPr>
          <w:spacing w:val="-4"/>
          <w:sz w:val="20"/>
          <w:szCs w:val="20"/>
          <w:lang w:val="uk-UA"/>
        </w:rPr>
        <w:t xml:space="preserve"> </w:t>
      </w:r>
      <w:r w:rsidR="00353A3B" w:rsidRPr="00353A3B">
        <w:rPr>
          <w:spacing w:val="-4"/>
          <w:sz w:val="20"/>
          <w:szCs w:val="20"/>
          <w:lang w:val="uk-UA"/>
        </w:rPr>
        <w:t>Первинні результати були попередньо визначені для кожного систематичного огляду як відповідні; наприклад, прогностична цінність АВГІ щодо розвитку активної форми ТБ, чутливість АВГІ в осіб з підтверджен</w:t>
      </w:r>
      <w:r w:rsidR="00120480">
        <w:rPr>
          <w:spacing w:val="-4"/>
          <w:sz w:val="20"/>
          <w:szCs w:val="20"/>
          <w:lang w:val="uk-UA"/>
        </w:rPr>
        <w:t xml:space="preserve">ою </w:t>
      </w:r>
      <w:r w:rsidR="00353A3B" w:rsidRPr="00353A3B">
        <w:rPr>
          <w:spacing w:val="-4"/>
          <w:sz w:val="20"/>
          <w:szCs w:val="20"/>
          <w:lang w:val="uk-UA"/>
        </w:rPr>
        <w:t xml:space="preserve"> активн</w:t>
      </w:r>
      <w:r w:rsidR="00120480">
        <w:rPr>
          <w:spacing w:val="-4"/>
          <w:sz w:val="20"/>
          <w:szCs w:val="20"/>
          <w:lang w:val="uk-UA"/>
        </w:rPr>
        <w:t>ою формою</w:t>
      </w:r>
      <w:r w:rsidR="00353A3B" w:rsidRPr="00353A3B">
        <w:rPr>
          <w:spacing w:val="-4"/>
          <w:sz w:val="20"/>
          <w:szCs w:val="20"/>
          <w:lang w:val="uk-UA"/>
        </w:rPr>
        <w:t xml:space="preserve"> ТБ на основі результатів бакпосіву (в якості сурогатного еталонного стандарту для ТБ-інфекції) та кореляція між результатами АВГІ та </w:t>
      </w:r>
      <w:r w:rsidR="00D45FA2">
        <w:rPr>
          <w:spacing w:val="-4"/>
          <w:sz w:val="20"/>
          <w:szCs w:val="20"/>
          <w:lang w:val="uk-UA"/>
        </w:rPr>
        <w:t>ТШП</w:t>
      </w:r>
      <w:r w:rsidR="00353A3B" w:rsidRPr="00353A3B">
        <w:rPr>
          <w:spacing w:val="-4"/>
          <w:sz w:val="20"/>
          <w:szCs w:val="20"/>
          <w:lang w:val="uk-UA"/>
        </w:rPr>
        <w:t>.</w:t>
      </w:r>
      <w:r w:rsidR="00B01E0C" w:rsidRPr="00905D2B">
        <w:rPr>
          <w:spacing w:val="-11"/>
          <w:sz w:val="20"/>
          <w:szCs w:val="20"/>
          <w:lang w:val="uk-UA"/>
        </w:rPr>
        <w:t xml:space="preserve"> </w:t>
      </w:r>
      <w:r w:rsidR="00353A3B" w:rsidRPr="00353A3B">
        <w:rPr>
          <w:spacing w:val="-4"/>
          <w:sz w:val="20"/>
          <w:szCs w:val="20"/>
          <w:lang w:val="uk-UA"/>
        </w:rPr>
        <w:t>На додаток до первинних результатів, у відповідних випадках оцінювалися конкретні характеристики АВГІ, які можуть вплинути на їх загальну корисність, наприклад, частка невизначених результатів АВГІ (тобто таких, які неможливо інтерпретувати через високу відповідь IFN-γ в негативному контролі або низьку відповідь IFN-γ в позитивному контролі), вплив імуносупресії, пов'язаної з ВІЛ (тобто кількість клітин CD4+), на ефективність тесту, за можливості, та кореляція результатів АВГІ з градієнтом експозиції (як правило, використовується при дослідженнях контактів і спалахів захворювання).</w:t>
      </w:r>
    </w:p>
    <w:p w14:paraId="69C2E39E" w14:textId="77777777" w:rsidR="00E05B98" w:rsidRPr="00905D2B" w:rsidRDefault="00E05B98" w:rsidP="00327E34">
      <w:pPr>
        <w:pStyle w:val="a3"/>
        <w:spacing w:line="276" w:lineRule="auto"/>
        <w:ind w:right="-136"/>
        <w:jc w:val="both"/>
        <w:rPr>
          <w:sz w:val="20"/>
          <w:szCs w:val="20"/>
          <w:lang w:val="uk-UA"/>
        </w:rPr>
        <w:sectPr w:rsidR="00E05B98" w:rsidRPr="00905D2B">
          <w:pgSz w:w="11910" w:h="16840"/>
          <w:pgMar w:top="1320" w:right="1275" w:bottom="760" w:left="850" w:header="0" w:footer="573" w:gutter="0"/>
          <w:cols w:space="720"/>
        </w:sectPr>
      </w:pPr>
    </w:p>
    <w:p w14:paraId="74A31FA7" w14:textId="627E7664" w:rsidR="00E05B98" w:rsidRPr="00905D2B" w:rsidRDefault="00353A3B" w:rsidP="00327E34">
      <w:pPr>
        <w:pStyle w:val="9"/>
        <w:spacing w:before="49" w:line="276" w:lineRule="auto"/>
        <w:ind w:right="-136"/>
        <w:jc w:val="both"/>
        <w:rPr>
          <w:sz w:val="20"/>
          <w:szCs w:val="20"/>
          <w:lang w:val="uk-UA"/>
        </w:rPr>
      </w:pPr>
      <w:r w:rsidRPr="00353A3B">
        <w:rPr>
          <w:spacing w:val="-2"/>
          <w:sz w:val="20"/>
          <w:szCs w:val="20"/>
          <w:lang w:val="uk-UA"/>
        </w:rPr>
        <w:lastRenderedPageBreak/>
        <w:t>Пошук, вибір та оцінка якості досліджень</w:t>
      </w:r>
    </w:p>
    <w:p w14:paraId="31024227" w14:textId="4E92A66E" w:rsidR="00E05B98" w:rsidRPr="00905D2B" w:rsidRDefault="00F60ECE" w:rsidP="00327E34">
      <w:pPr>
        <w:pStyle w:val="a3"/>
        <w:spacing w:before="231" w:line="276" w:lineRule="auto"/>
        <w:ind w:left="567" w:right="-136"/>
        <w:jc w:val="both"/>
        <w:rPr>
          <w:sz w:val="20"/>
          <w:szCs w:val="20"/>
          <w:lang w:val="uk-UA"/>
        </w:rPr>
      </w:pPr>
      <w:r w:rsidRPr="00F60ECE">
        <w:rPr>
          <w:sz w:val="20"/>
          <w:szCs w:val="20"/>
          <w:lang w:val="uk-UA"/>
        </w:rPr>
        <w:t xml:space="preserve">Усі дослідження з оцінки АВГІ, опубліковані до кінця травня 2010 року, були проаналізовані, використовуючи заздалегідь визначені рядки пошуку даних. На додаток до пошуку в базах даних були переглянуті бібліографії оглядів і настанов, проаналізовано цитування всіх включених досліджень, а також були проведені консультації з експертами в цій галузі та виробниками АВГІ для виявлення додаткових досліджень (опублікованих, неопублікованих і тих, що перебувають на </w:t>
      </w:r>
      <w:r w:rsidR="00CE4B93" w:rsidRPr="00F60ECE">
        <w:rPr>
          <w:sz w:val="20"/>
          <w:szCs w:val="20"/>
          <w:lang w:val="uk-UA"/>
        </w:rPr>
        <w:t>етапі</w:t>
      </w:r>
      <w:r w:rsidRPr="00F60ECE">
        <w:rPr>
          <w:sz w:val="20"/>
          <w:szCs w:val="20"/>
          <w:lang w:val="uk-UA"/>
        </w:rPr>
        <w:t xml:space="preserve"> підготовки).  Було направлено звернення до основних авторів усіх досліджень, включених систематичними рецензентами, з проханням надати відповідну інформацію, яка не була представлена у вихідних публ</w:t>
      </w:r>
      <w:r w:rsidR="00120480">
        <w:rPr>
          <w:sz w:val="20"/>
          <w:szCs w:val="20"/>
          <w:lang w:val="uk-UA"/>
        </w:rPr>
        <w:t>і</w:t>
      </w:r>
      <w:r w:rsidRPr="00F60ECE">
        <w:rPr>
          <w:sz w:val="20"/>
          <w:szCs w:val="20"/>
          <w:lang w:val="uk-UA"/>
        </w:rPr>
        <w:t>каціях.</w:t>
      </w:r>
    </w:p>
    <w:p w14:paraId="3EB0AF01" w14:textId="2FD30ADD" w:rsidR="00E05B98" w:rsidRPr="00905D2B" w:rsidRDefault="00F60ECE" w:rsidP="00327E34">
      <w:pPr>
        <w:pStyle w:val="a3"/>
        <w:spacing w:before="177" w:line="276" w:lineRule="auto"/>
        <w:ind w:left="567" w:right="-136"/>
        <w:jc w:val="both"/>
        <w:rPr>
          <w:sz w:val="20"/>
          <w:szCs w:val="20"/>
          <w:lang w:val="uk-UA"/>
        </w:rPr>
      </w:pPr>
      <w:r w:rsidRPr="00F60ECE">
        <w:rPr>
          <w:sz w:val="20"/>
          <w:szCs w:val="20"/>
          <w:lang w:val="uk-UA"/>
        </w:rPr>
        <w:t xml:space="preserve">Дослідження, які оцінювали ефективність наявних комерційних АВГІ, опубліковані всіма мовами та в усіх країнах з низьким та середнім рівнем доходу, були розглянуті за окремими темами. До цього аналізу були включені лише дослідження, які оцінювали ефективність АВГІ в країнах з низьким та середнім рівнем доходу (КНСРД). Були виключені дослідження, в яких оцінювали некомерційні (тобто власні) АВГІ, АВГІ старого покоління (тобто АВГІ на основі очищеного білкового деривату туберкуліну) та АВГІ, що проводилися на зразках, відмінних </w:t>
      </w:r>
      <w:r w:rsidR="00120480">
        <w:rPr>
          <w:sz w:val="20"/>
          <w:szCs w:val="20"/>
          <w:lang w:val="uk-UA"/>
        </w:rPr>
        <w:t xml:space="preserve">від </w:t>
      </w:r>
      <w:r w:rsidRPr="00F60ECE">
        <w:rPr>
          <w:sz w:val="20"/>
          <w:szCs w:val="20"/>
          <w:lang w:val="uk-UA"/>
        </w:rPr>
        <w:t>крові; дослідження, які були зосереджені на впливі протитуберкульозного лікування на відповідь АВГІ; дослідження, що включали менше 10 осіб; дослідження, в яких повідомлялося про недостатню кількість даних для визначення показників діагностичної точності; а також тези конференцій та листи без оригінальних даних та огляди.</w:t>
      </w:r>
    </w:p>
    <w:p w14:paraId="1B36953A" w14:textId="06D6385D" w:rsidR="00E05B98" w:rsidRPr="00905D2B" w:rsidRDefault="00E330DF" w:rsidP="00327E34">
      <w:pPr>
        <w:pStyle w:val="a3"/>
        <w:spacing w:before="180" w:line="276" w:lineRule="auto"/>
        <w:ind w:left="567" w:right="4"/>
        <w:jc w:val="both"/>
        <w:rPr>
          <w:sz w:val="20"/>
          <w:szCs w:val="20"/>
          <w:lang w:val="uk-UA"/>
        </w:rPr>
      </w:pPr>
      <w:r w:rsidRPr="00E330DF">
        <w:rPr>
          <w:sz w:val="20"/>
          <w:szCs w:val="20"/>
          <w:lang w:val="uk-UA"/>
        </w:rPr>
        <w:t xml:space="preserve">Якість дослідження оцінювали за допомогою відповідних стандартизованих методів, залежно від </w:t>
      </w:r>
      <w:r w:rsidR="00120480">
        <w:rPr>
          <w:sz w:val="20"/>
          <w:szCs w:val="20"/>
          <w:lang w:val="uk-UA"/>
        </w:rPr>
        <w:t>проблематики</w:t>
      </w:r>
      <w:r w:rsidRPr="00E330DF">
        <w:rPr>
          <w:sz w:val="20"/>
          <w:szCs w:val="20"/>
          <w:lang w:val="uk-UA"/>
        </w:rPr>
        <w:t>. Для первинних результатів, орієнтованих на точність тесту, якість оцінювали з використанням підмножини відповідних критеріїв із QUADAS, валідованого інструменту для досліджень діагностичної точності. У дослідженнях прогностичної цінності АВГІ якість оцінювали з допомогою модифікованої версії шкали Ньюкасла-Оттави (NOS) для лонгітюдних або когортних досліджень.</w:t>
      </w:r>
      <w:r w:rsidR="00B01E0C" w:rsidRPr="00905D2B">
        <w:rPr>
          <w:sz w:val="20"/>
          <w:szCs w:val="20"/>
          <w:lang w:val="uk-UA"/>
        </w:rPr>
        <w:t xml:space="preserve"> </w:t>
      </w:r>
      <w:r w:rsidRPr="00E330DF">
        <w:rPr>
          <w:sz w:val="20"/>
          <w:szCs w:val="20"/>
          <w:lang w:val="uk-UA"/>
        </w:rPr>
        <w:t xml:space="preserve">Конфлікти інтересів є відомою проблемою під час проведення досліджень з діагностики ТБ, тому до систематичних оглядів додали пункт </w:t>
      </w:r>
      <w:r w:rsidR="00142AE0">
        <w:rPr>
          <w:sz w:val="20"/>
          <w:szCs w:val="20"/>
          <w:lang w:val="uk-UA"/>
        </w:rPr>
        <w:t xml:space="preserve">компетентності, пов’язаний з </w:t>
      </w:r>
      <w:r w:rsidRPr="00E330DF">
        <w:rPr>
          <w:sz w:val="20"/>
          <w:szCs w:val="20"/>
          <w:lang w:val="uk-UA"/>
        </w:rPr>
        <w:t>участ</w:t>
      </w:r>
      <w:r w:rsidR="00142AE0">
        <w:rPr>
          <w:sz w:val="20"/>
          <w:szCs w:val="20"/>
          <w:lang w:val="uk-UA"/>
        </w:rPr>
        <w:t>ю</w:t>
      </w:r>
      <w:r w:rsidRPr="00E330DF">
        <w:rPr>
          <w:sz w:val="20"/>
          <w:szCs w:val="20"/>
          <w:lang w:val="uk-UA"/>
        </w:rPr>
        <w:t xml:space="preserve"> виробників комерційних тестів в опублікованих дослідженнях; вони також повідомляли, чи були виробники АВГІ залучені до процесу розробки чи проведення кожного дослідження, включаючи донацію тестових матеріалів, надання грошової підтримки, існування робочих або фінансових відносин з авторами дослідження та участь в аналізі даних.</w:t>
      </w:r>
    </w:p>
    <w:p w14:paraId="1807A013" w14:textId="2DE34CD4" w:rsidR="00E05B98" w:rsidRPr="00905D2B" w:rsidRDefault="00E330DF" w:rsidP="00327E34">
      <w:pPr>
        <w:pStyle w:val="9"/>
        <w:spacing w:before="179" w:line="276" w:lineRule="auto"/>
        <w:ind w:right="4"/>
        <w:jc w:val="both"/>
        <w:rPr>
          <w:sz w:val="20"/>
          <w:szCs w:val="20"/>
          <w:lang w:val="uk-UA"/>
        </w:rPr>
      </w:pPr>
      <w:r w:rsidRPr="00E330DF">
        <w:rPr>
          <w:spacing w:val="-2"/>
          <w:sz w:val="20"/>
          <w:szCs w:val="20"/>
          <w:lang w:val="uk-UA"/>
        </w:rPr>
        <w:t xml:space="preserve">Синтез даних </w:t>
      </w:r>
      <w:r>
        <w:rPr>
          <w:spacing w:val="-2"/>
          <w:sz w:val="20"/>
          <w:szCs w:val="20"/>
          <w:lang w:val="uk-UA"/>
        </w:rPr>
        <w:t>і</w:t>
      </w:r>
      <w:r w:rsidRPr="00E330DF">
        <w:rPr>
          <w:spacing w:val="-2"/>
          <w:sz w:val="20"/>
          <w:szCs w:val="20"/>
          <w:lang w:val="uk-UA"/>
        </w:rPr>
        <w:t xml:space="preserve"> метааналіз</w:t>
      </w:r>
    </w:p>
    <w:p w14:paraId="7794AFBF" w14:textId="61A2244E" w:rsidR="00E05B98" w:rsidRPr="00905D2B" w:rsidRDefault="00142AE0" w:rsidP="00327E34">
      <w:pPr>
        <w:pStyle w:val="a3"/>
        <w:spacing w:before="230" w:line="276" w:lineRule="auto"/>
        <w:ind w:left="567" w:right="4"/>
        <w:jc w:val="both"/>
        <w:rPr>
          <w:sz w:val="20"/>
          <w:szCs w:val="20"/>
          <w:lang w:val="uk-UA"/>
        </w:rPr>
      </w:pPr>
      <w:r>
        <w:rPr>
          <w:sz w:val="20"/>
          <w:szCs w:val="20"/>
          <w:lang w:val="uk-UA"/>
        </w:rPr>
        <w:t>С</w:t>
      </w:r>
      <w:r w:rsidR="009452FE" w:rsidRPr="009452FE">
        <w:rPr>
          <w:sz w:val="20"/>
          <w:szCs w:val="20"/>
          <w:lang w:val="uk-UA"/>
        </w:rPr>
        <w:t>тандартизований загальний підхід</w:t>
      </w:r>
      <w:r>
        <w:rPr>
          <w:sz w:val="20"/>
          <w:szCs w:val="20"/>
          <w:lang w:val="uk-UA"/>
        </w:rPr>
        <w:t xml:space="preserve"> був визначений апріорі для кожного систематичного огляду</w:t>
      </w:r>
      <w:r w:rsidR="009452FE" w:rsidRPr="009452FE">
        <w:rPr>
          <w:sz w:val="20"/>
          <w:szCs w:val="20"/>
          <w:lang w:val="uk-UA"/>
        </w:rPr>
        <w:t xml:space="preserve">, щоб врахувати значну неоднорідність результатів, які очікуються між дослідженнями. По-перше, дані були синтезовані окремо для кожного комерційного АВГІ та за класифікацією країн за рівнем доходу </w:t>
      </w:r>
      <w:r w:rsidRPr="009452FE">
        <w:rPr>
          <w:sz w:val="20"/>
          <w:szCs w:val="20"/>
          <w:lang w:val="uk-UA"/>
        </w:rPr>
        <w:t xml:space="preserve">Світового банку </w:t>
      </w:r>
      <w:r w:rsidR="009452FE" w:rsidRPr="009452FE">
        <w:rPr>
          <w:sz w:val="20"/>
          <w:szCs w:val="20"/>
          <w:lang w:val="uk-UA"/>
        </w:rPr>
        <w:t>(країни з низьким і середнім рівнем доходу проти країн з високим рівнем доходу) в якості сурогатного показника захворюваності на туберкульоз.</w:t>
      </w:r>
      <w:r w:rsidR="00B01E0C" w:rsidRPr="00905D2B">
        <w:rPr>
          <w:sz w:val="20"/>
          <w:szCs w:val="20"/>
          <w:lang w:val="uk-UA"/>
        </w:rPr>
        <w:t xml:space="preserve"> </w:t>
      </w:r>
      <w:r w:rsidR="009452FE" w:rsidRPr="009452FE">
        <w:rPr>
          <w:sz w:val="20"/>
          <w:szCs w:val="20"/>
          <w:lang w:val="uk-UA"/>
        </w:rPr>
        <w:t>По-друге, неоднорідність оцінювали візуально за допомогою лісових діаграм, а варіації в результатах дослідження, обумовлених неоднорідністю, були охарактеризовані (статистика I-квадрат) та статистично перевірені (критерій хі-квадрат). По-третє, об'єднані оцінки розраховували за допомогою моделювання випадкових ефектів, яке забезпечує більш консервативні оцінки, ніж моделювання фіксованих ефектів, коли присутня неоднорідність. Для кожного окремого дослідження були оцінені всі результати, для яких були доступні дані.</w:t>
      </w:r>
      <w:r w:rsidR="00B01E0C" w:rsidRPr="00905D2B">
        <w:rPr>
          <w:sz w:val="20"/>
          <w:szCs w:val="20"/>
          <w:lang w:val="uk-UA"/>
        </w:rPr>
        <w:t xml:space="preserve"> </w:t>
      </w:r>
      <w:r w:rsidR="00634B19" w:rsidRPr="00634B19">
        <w:rPr>
          <w:sz w:val="20"/>
          <w:szCs w:val="20"/>
          <w:lang w:val="uk-UA"/>
        </w:rPr>
        <w:t>Спочатку були створені лісові діаграми для відображення оцінок окремих досліджень та їх 95% ДІ. Об'єднані оцінки були розраховані</w:t>
      </w:r>
      <w:r w:rsidR="00355B7B">
        <w:rPr>
          <w:sz w:val="20"/>
          <w:szCs w:val="20"/>
          <w:lang w:val="uk-UA"/>
        </w:rPr>
        <w:t xml:space="preserve"> за наявності принаймні трьох досліджень у</w:t>
      </w:r>
      <w:r w:rsidR="00634B19" w:rsidRPr="00634B19">
        <w:rPr>
          <w:sz w:val="20"/>
          <w:szCs w:val="20"/>
          <w:lang w:val="uk-UA"/>
        </w:rPr>
        <w:t xml:space="preserve"> будь-якій підгрупі, а результати окремих досліджень узагальнювалися, коли було доступно менше чотирьох досліджень. Для аналізу використовували стандартні статистичні пакети.</w:t>
      </w:r>
    </w:p>
    <w:p w14:paraId="1E273118" w14:textId="77777777" w:rsidR="00E05B98" w:rsidRPr="00905D2B" w:rsidRDefault="00E05B98">
      <w:pPr>
        <w:pStyle w:val="a3"/>
        <w:spacing w:line="297" w:lineRule="auto"/>
        <w:jc w:val="both"/>
        <w:rPr>
          <w:sz w:val="20"/>
          <w:szCs w:val="20"/>
          <w:lang w:val="uk-UA"/>
        </w:rPr>
        <w:sectPr w:rsidR="00E05B98" w:rsidRPr="00905D2B">
          <w:pgSz w:w="11910" w:h="16840"/>
          <w:pgMar w:top="1320" w:right="1275" w:bottom="760" w:left="850" w:header="0" w:footer="573" w:gutter="0"/>
          <w:cols w:space="720"/>
        </w:sectPr>
      </w:pPr>
    </w:p>
    <w:p w14:paraId="690E8507" w14:textId="16530EA9" w:rsidR="00634B19" w:rsidRPr="005A7273" w:rsidRDefault="00634B19" w:rsidP="00634B19">
      <w:pPr>
        <w:pStyle w:val="5"/>
        <w:spacing w:before="45"/>
        <w:jc w:val="both"/>
        <w:rPr>
          <w:rFonts w:ascii="Arial" w:hAnsi="Arial" w:cs="Arial"/>
          <w:b/>
          <w:bCs/>
          <w:color w:val="019648"/>
          <w:sz w:val="26"/>
          <w:szCs w:val="26"/>
          <w:lang w:val="uk-UA"/>
        </w:rPr>
      </w:pPr>
      <w:r w:rsidRPr="005A7273">
        <w:rPr>
          <w:rFonts w:ascii="Arial" w:hAnsi="Arial" w:cs="Arial"/>
          <w:b/>
          <w:bCs/>
          <w:color w:val="019648"/>
          <w:sz w:val="26"/>
          <w:szCs w:val="26"/>
          <w:lang w:val="uk-UA"/>
        </w:rPr>
        <w:lastRenderedPageBreak/>
        <w:t>Використання АВГІ при діагностуванні активної форми ТБ</w:t>
      </w:r>
    </w:p>
    <w:p w14:paraId="17B0C3D5" w14:textId="77777777" w:rsidR="00327E34" w:rsidRPr="00327E34" w:rsidRDefault="00327E34" w:rsidP="00327E34">
      <w:pPr>
        <w:pStyle w:val="a3"/>
        <w:spacing w:before="173" w:line="276" w:lineRule="auto"/>
        <w:ind w:left="567" w:right="4"/>
        <w:jc w:val="both"/>
        <w:rPr>
          <w:sz w:val="6"/>
          <w:szCs w:val="6"/>
          <w:lang w:val="uk-UA"/>
        </w:rPr>
      </w:pPr>
    </w:p>
    <w:p w14:paraId="3EF1E824" w14:textId="73B5920C" w:rsidR="00C8434A" w:rsidRPr="00327E34" w:rsidRDefault="00C8434A" w:rsidP="00327E34">
      <w:pPr>
        <w:pStyle w:val="a3"/>
        <w:spacing w:before="173" w:line="276" w:lineRule="auto"/>
        <w:ind w:left="567" w:right="4"/>
        <w:jc w:val="both"/>
        <w:rPr>
          <w:sz w:val="20"/>
          <w:szCs w:val="20"/>
          <w:lang w:val="uk-UA"/>
        </w:rPr>
      </w:pPr>
      <w:r w:rsidRPr="00327E34">
        <w:rPr>
          <w:sz w:val="20"/>
          <w:szCs w:val="20"/>
          <w:lang w:val="uk-UA"/>
        </w:rPr>
        <w:t>Були включені дослідження, в яких оцінювали хід виконання методів тестування, що представляють інтерес, для діагностики ТБ серед дорослих (&gt;15 років) з підозрою на ТБ або людей з туберкульозом у країнах з низьким і середнім рівнем доходу.</w:t>
      </w:r>
    </w:p>
    <w:p w14:paraId="7F3C5662" w14:textId="79BAB91B" w:rsidR="00E05B98" w:rsidRPr="00327E34" w:rsidRDefault="00C8434A" w:rsidP="00327E34">
      <w:pPr>
        <w:pStyle w:val="a3"/>
        <w:spacing w:before="173" w:line="276" w:lineRule="auto"/>
        <w:ind w:left="567" w:right="4"/>
        <w:jc w:val="both"/>
        <w:rPr>
          <w:sz w:val="20"/>
          <w:szCs w:val="20"/>
          <w:lang w:val="uk-UA"/>
        </w:rPr>
      </w:pPr>
      <w:r w:rsidRPr="00327E34">
        <w:rPr>
          <w:sz w:val="20"/>
          <w:szCs w:val="20"/>
          <w:lang w:val="uk-UA"/>
        </w:rPr>
        <w:t>Початковий пошук дав 789 посилань на джерела. Після огляду повного тексту 185 статей, які оцінювали АВГІ для діагностики активної форми ТБ, 22 були визначені як такі, що відповідають критеріям прийнятності, що охоплюють 33 унікальні оцінки одного або кількох АВГІ (далі – дослідження) у 19 опублікованих та трьох неопублікованих звітах. Із 33 досліджень</w:t>
      </w:r>
      <w:r w:rsidR="00355B7B">
        <w:rPr>
          <w:sz w:val="20"/>
          <w:szCs w:val="20"/>
          <w:lang w:val="uk-UA"/>
        </w:rPr>
        <w:t>,</w:t>
      </w:r>
      <w:r w:rsidRPr="00327E34">
        <w:rPr>
          <w:sz w:val="20"/>
          <w:szCs w:val="20"/>
          <w:lang w:val="uk-UA"/>
        </w:rPr>
        <w:t xml:space="preserve"> 10 (30%) </w:t>
      </w:r>
      <w:r w:rsidR="00355B7B">
        <w:rPr>
          <w:sz w:val="20"/>
          <w:szCs w:val="20"/>
          <w:lang w:val="uk-UA"/>
        </w:rPr>
        <w:t xml:space="preserve">- </w:t>
      </w:r>
      <w:r w:rsidRPr="00327E34">
        <w:rPr>
          <w:sz w:val="20"/>
          <w:szCs w:val="20"/>
          <w:lang w:val="uk-UA"/>
        </w:rPr>
        <w:t xml:space="preserve">були </w:t>
      </w:r>
      <w:r w:rsidR="00355B7B">
        <w:rPr>
          <w:sz w:val="20"/>
          <w:szCs w:val="20"/>
          <w:lang w:val="uk-UA"/>
        </w:rPr>
        <w:t>проведені в</w:t>
      </w:r>
      <w:r w:rsidRPr="00327E34">
        <w:rPr>
          <w:sz w:val="20"/>
          <w:szCs w:val="20"/>
          <w:lang w:val="uk-UA"/>
        </w:rPr>
        <w:t xml:space="preserve"> країн</w:t>
      </w:r>
      <w:r w:rsidR="00355B7B">
        <w:rPr>
          <w:sz w:val="20"/>
          <w:szCs w:val="20"/>
          <w:lang w:val="uk-UA"/>
        </w:rPr>
        <w:t>а</w:t>
      </w:r>
      <w:r w:rsidR="00CE4B93">
        <w:rPr>
          <w:sz w:val="20"/>
          <w:szCs w:val="20"/>
          <w:lang w:val="uk-UA"/>
        </w:rPr>
        <w:t>х</w:t>
      </w:r>
      <w:r w:rsidRPr="00327E34">
        <w:rPr>
          <w:sz w:val="20"/>
          <w:szCs w:val="20"/>
          <w:lang w:val="uk-UA"/>
        </w:rPr>
        <w:t xml:space="preserve"> з низьким рівнем доходу, а 23 (70%) – </w:t>
      </w:r>
      <w:r w:rsidR="00355B7B">
        <w:rPr>
          <w:sz w:val="20"/>
          <w:szCs w:val="20"/>
          <w:lang w:val="uk-UA"/>
        </w:rPr>
        <w:t>в</w:t>
      </w:r>
      <w:r w:rsidRPr="00327E34">
        <w:rPr>
          <w:sz w:val="20"/>
          <w:szCs w:val="20"/>
          <w:lang w:val="uk-UA"/>
        </w:rPr>
        <w:t xml:space="preserve"> країн</w:t>
      </w:r>
      <w:r w:rsidR="00355B7B">
        <w:rPr>
          <w:sz w:val="20"/>
          <w:szCs w:val="20"/>
          <w:lang w:val="uk-UA"/>
        </w:rPr>
        <w:t>ах</w:t>
      </w:r>
      <w:r w:rsidRPr="00327E34">
        <w:rPr>
          <w:sz w:val="20"/>
          <w:szCs w:val="20"/>
          <w:lang w:val="uk-UA"/>
        </w:rPr>
        <w:t xml:space="preserve"> із середнім рівнем доходу.</w:t>
      </w:r>
      <w:r w:rsidR="00B01E0C" w:rsidRPr="00327E34">
        <w:rPr>
          <w:sz w:val="20"/>
          <w:szCs w:val="20"/>
          <w:lang w:val="uk-UA"/>
        </w:rPr>
        <w:t xml:space="preserve"> </w:t>
      </w:r>
      <w:r w:rsidR="00A83C08" w:rsidRPr="00327E34">
        <w:rPr>
          <w:sz w:val="20"/>
          <w:szCs w:val="20"/>
          <w:lang w:val="uk-UA"/>
        </w:rPr>
        <w:t>Сімнадцять досліджень (52%) включали ЛЖВ (</w:t>
      </w:r>
      <w:r w:rsidR="00355B7B">
        <w:rPr>
          <w:sz w:val="20"/>
          <w:szCs w:val="20"/>
          <w:lang w:val="uk-UA"/>
        </w:rPr>
        <w:t xml:space="preserve">кількість учасників </w:t>
      </w:r>
      <w:r w:rsidR="00A83C08" w:rsidRPr="00327E34">
        <w:rPr>
          <w:sz w:val="20"/>
          <w:szCs w:val="20"/>
          <w:lang w:val="uk-UA"/>
        </w:rPr>
        <w:t xml:space="preserve">=1057), а 27 досліджень (82%) включали амбулаторних пацієнтів (амбулаторних, а також госпіталізованих пацієнтів). </w:t>
      </w:r>
      <w:r w:rsidR="00355B7B">
        <w:rPr>
          <w:sz w:val="20"/>
          <w:szCs w:val="20"/>
          <w:lang w:val="uk-UA"/>
        </w:rPr>
        <w:t xml:space="preserve">Діагностику методом </w:t>
      </w:r>
      <w:r w:rsidR="00A83C08" w:rsidRPr="00327E34">
        <w:rPr>
          <w:sz w:val="20"/>
          <w:szCs w:val="20"/>
          <w:lang w:val="uk-UA"/>
        </w:rPr>
        <w:t xml:space="preserve">АВГІ проводили у людей з підозрою на активну форму ТБ у 19 дослідженнях (58%) та у людей з відомою активною формою ТБ у 14 дослідженнях (42%). Через зосередження на </w:t>
      </w:r>
      <w:r w:rsidR="00355B7B">
        <w:rPr>
          <w:sz w:val="20"/>
          <w:szCs w:val="20"/>
          <w:lang w:val="uk-UA"/>
        </w:rPr>
        <w:t xml:space="preserve">точності діагностики </w:t>
      </w:r>
      <w:r w:rsidR="00A83C08" w:rsidRPr="00327E34">
        <w:rPr>
          <w:sz w:val="20"/>
          <w:szCs w:val="20"/>
          <w:lang w:val="uk-UA"/>
        </w:rPr>
        <w:t>активної форми ТБ та високій поширеності  інфекції ТБ в країнах з високим тягарем туберкульозу, специфічність АВГІ оцінювали виключно серед досліджень</w:t>
      </w:r>
      <w:r w:rsidR="00355B7B">
        <w:rPr>
          <w:sz w:val="20"/>
          <w:szCs w:val="20"/>
          <w:lang w:val="uk-UA"/>
        </w:rPr>
        <w:t xml:space="preserve"> за участю людей </w:t>
      </w:r>
      <w:r w:rsidR="00A83C08" w:rsidRPr="00327E34">
        <w:rPr>
          <w:sz w:val="20"/>
          <w:szCs w:val="20"/>
          <w:lang w:val="uk-UA"/>
        </w:rPr>
        <w:t xml:space="preserve">з підозрою на ТБ, у яких </w:t>
      </w:r>
      <w:r w:rsidR="00355B7B">
        <w:rPr>
          <w:sz w:val="20"/>
          <w:szCs w:val="20"/>
          <w:lang w:val="uk-UA"/>
        </w:rPr>
        <w:t xml:space="preserve">під час </w:t>
      </w:r>
      <w:r w:rsidR="00A83C08" w:rsidRPr="00327E34">
        <w:rPr>
          <w:sz w:val="20"/>
          <w:szCs w:val="20"/>
          <w:lang w:val="uk-UA"/>
        </w:rPr>
        <w:t>діагностичн</w:t>
      </w:r>
      <w:r w:rsidR="00355B7B">
        <w:rPr>
          <w:sz w:val="20"/>
          <w:szCs w:val="20"/>
          <w:lang w:val="uk-UA"/>
        </w:rPr>
        <w:t>ого</w:t>
      </w:r>
      <w:r w:rsidR="00A83C08" w:rsidRPr="00327E34">
        <w:rPr>
          <w:sz w:val="20"/>
          <w:szCs w:val="20"/>
          <w:lang w:val="uk-UA"/>
        </w:rPr>
        <w:t xml:space="preserve"> обстеження зрештою не </w:t>
      </w:r>
      <w:r w:rsidR="00355B7B">
        <w:rPr>
          <w:sz w:val="20"/>
          <w:szCs w:val="20"/>
          <w:lang w:val="uk-UA"/>
        </w:rPr>
        <w:t xml:space="preserve">було </w:t>
      </w:r>
      <w:r w:rsidR="00A83C08" w:rsidRPr="00327E34">
        <w:rPr>
          <w:sz w:val="20"/>
          <w:szCs w:val="20"/>
          <w:lang w:val="uk-UA"/>
        </w:rPr>
        <w:t>виявило ознак активно</w:t>
      </w:r>
      <w:r w:rsidR="00355B7B">
        <w:rPr>
          <w:sz w:val="20"/>
          <w:szCs w:val="20"/>
          <w:lang w:val="uk-UA"/>
        </w:rPr>
        <w:t xml:space="preserve">ї </w:t>
      </w:r>
      <w:r w:rsidR="00CE4B93">
        <w:rPr>
          <w:sz w:val="20"/>
          <w:szCs w:val="20"/>
          <w:lang w:val="uk-UA"/>
        </w:rPr>
        <w:t>форми</w:t>
      </w:r>
      <w:r w:rsidR="00355B7B">
        <w:rPr>
          <w:sz w:val="20"/>
          <w:szCs w:val="20"/>
          <w:lang w:val="uk-UA"/>
        </w:rPr>
        <w:t xml:space="preserve"> </w:t>
      </w:r>
      <w:r w:rsidR="00A83C08" w:rsidRPr="00327E34">
        <w:rPr>
          <w:sz w:val="20"/>
          <w:szCs w:val="20"/>
          <w:lang w:val="uk-UA"/>
        </w:rPr>
        <w:t>захворювання.</w:t>
      </w:r>
    </w:p>
    <w:p w14:paraId="48CAD9CC" w14:textId="315DD001" w:rsidR="00E05B98" w:rsidRPr="00327E34" w:rsidRDefault="00A83C08" w:rsidP="00327E34">
      <w:pPr>
        <w:pStyle w:val="a3"/>
        <w:spacing w:before="154" w:line="276" w:lineRule="auto"/>
        <w:ind w:left="567" w:right="4"/>
        <w:jc w:val="both"/>
        <w:rPr>
          <w:sz w:val="20"/>
          <w:szCs w:val="20"/>
          <w:lang w:val="uk-UA"/>
        </w:rPr>
      </w:pPr>
      <w:r w:rsidRPr="00327E34">
        <w:rPr>
          <w:sz w:val="20"/>
          <w:szCs w:val="20"/>
          <w:lang w:val="uk-UA"/>
        </w:rPr>
        <w:t>У країнах з низьким і середнім рівнем доходу результати продемонстрували наступне:</w:t>
      </w:r>
    </w:p>
    <w:p w14:paraId="29124C0A" w14:textId="47DB0D81" w:rsidR="00E05B98" w:rsidRPr="00327E34" w:rsidRDefault="0042272C" w:rsidP="00327E34">
      <w:pPr>
        <w:pStyle w:val="a4"/>
        <w:numPr>
          <w:ilvl w:val="0"/>
          <w:numId w:val="6"/>
        </w:numPr>
        <w:tabs>
          <w:tab w:val="left" w:pos="850"/>
        </w:tabs>
        <w:spacing w:before="146" w:line="276" w:lineRule="auto"/>
        <w:ind w:right="4"/>
        <w:rPr>
          <w:sz w:val="20"/>
          <w:szCs w:val="20"/>
          <w:lang w:val="uk-UA"/>
        </w:rPr>
      </w:pPr>
      <w:r w:rsidRPr="00327E34">
        <w:rPr>
          <w:spacing w:val="-2"/>
          <w:sz w:val="20"/>
          <w:szCs w:val="20"/>
          <w:lang w:val="uk-UA"/>
        </w:rPr>
        <w:t>Чутливість АВГІ при виявленні активної форми ТБ серед людей з підозрою на ТБ коливалася від 73% до 83%, а специфічність - від 49% до 58%. Таким чином, можна очікувати, що в середньому кожен четвертий пацієнт з підтвердженою за результатами бакпосіву активною формою ТБ матиме негативний результат АВГІ в КНСРД, що матиме серйозні наслідки для пацієнтів з точки зору захворюваності та смертності.</w:t>
      </w:r>
    </w:p>
    <w:p w14:paraId="3DFBE8CF" w14:textId="78AE71F1" w:rsidR="00E05B98" w:rsidRPr="00327E34" w:rsidRDefault="0042272C" w:rsidP="00327E34">
      <w:pPr>
        <w:pStyle w:val="a4"/>
        <w:numPr>
          <w:ilvl w:val="0"/>
          <w:numId w:val="6"/>
        </w:numPr>
        <w:tabs>
          <w:tab w:val="left" w:pos="850"/>
        </w:tabs>
        <w:spacing w:before="5" w:line="276" w:lineRule="auto"/>
        <w:ind w:right="4"/>
        <w:rPr>
          <w:sz w:val="20"/>
          <w:szCs w:val="20"/>
          <w:lang w:val="uk-UA"/>
        </w:rPr>
      </w:pPr>
      <w:r w:rsidRPr="00327E34">
        <w:rPr>
          <w:sz w:val="20"/>
          <w:szCs w:val="20"/>
          <w:lang w:val="uk-UA"/>
        </w:rPr>
        <w:t>Не було жодних доказів того, що АВГІ мають додаткову цінність, окрім звичайних мікробіологічних тестів для діагностики активної форми ТБ. Серед досліджень, в яких брали участь люди з підозрою на ТБ (тобто пацієнти з діагностичною невизначеністю), обидва АВГІ продемонстрували неоптимальні значення «виключення» для захворювання на туберкульоз.</w:t>
      </w:r>
    </w:p>
    <w:p w14:paraId="08BB3A15" w14:textId="61FBE43D" w:rsidR="00110DB8" w:rsidRPr="00327E34" w:rsidRDefault="00110DB8" w:rsidP="00327E34">
      <w:pPr>
        <w:pStyle w:val="a4"/>
        <w:numPr>
          <w:ilvl w:val="0"/>
          <w:numId w:val="6"/>
        </w:numPr>
        <w:tabs>
          <w:tab w:val="left" w:pos="850"/>
        </w:tabs>
        <w:spacing w:before="2" w:line="276" w:lineRule="auto"/>
        <w:ind w:right="4"/>
        <w:rPr>
          <w:sz w:val="20"/>
          <w:szCs w:val="20"/>
          <w:lang w:val="uk-UA"/>
        </w:rPr>
      </w:pPr>
      <w:r w:rsidRPr="00327E34">
        <w:rPr>
          <w:sz w:val="20"/>
          <w:szCs w:val="20"/>
          <w:lang w:val="uk-UA"/>
        </w:rPr>
        <w:t xml:space="preserve">Незважаючи на обмеженість даних, чутливість обох методів АВГІ була нижчою серед ЛЖВ (приблизно 60–70%), </w:t>
      </w:r>
      <w:r w:rsidR="00706584">
        <w:rPr>
          <w:sz w:val="20"/>
          <w:szCs w:val="20"/>
          <w:lang w:val="uk-UA"/>
        </w:rPr>
        <w:t>дозволяючи</w:t>
      </w:r>
      <w:r w:rsidRPr="00327E34">
        <w:rPr>
          <w:sz w:val="20"/>
          <w:szCs w:val="20"/>
          <w:lang w:val="uk-UA"/>
        </w:rPr>
        <w:t xml:space="preserve"> </w:t>
      </w:r>
      <w:r w:rsidR="00706584">
        <w:rPr>
          <w:sz w:val="20"/>
          <w:szCs w:val="20"/>
          <w:lang w:val="uk-UA"/>
        </w:rPr>
        <w:t xml:space="preserve">зробити </w:t>
      </w:r>
      <w:r w:rsidRPr="00327E34">
        <w:rPr>
          <w:sz w:val="20"/>
          <w:szCs w:val="20"/>
          <w:lang w:val="uk-UA"/>
        </w:rPr>
        <w:t>припу</w:t>
      </w:r>
      <w:r w:rsidR="00706584">
        <w:rPr>
          <w:sz w:val="20"/>
          <w:szCs w:val="20"/>
          <w:lang w:val="uk-UA"/>
        </w:rPr>
        <w:t>щення про те</w:t>
      </w:r>
      <w:r w:rsidRPr="00327E34">
        <w:rPr>
          <w:sz w:val="20"/>
          <w:szCs w:val="20"/>
          <w:lang w:val="uk-UA"/>
        </w:rPr>
        <w:t>, що майже у кожної третьої особи з-поміж ЛЖВ з активною формою ТБ результати АВГІ будуть негативними.</w:t>
      </w:r>
    </w:p>
    <w:p w14:paraId="3AADB65B" w14:textId="305A56FA" w:rsidR="00E05B98" w:rsidRPr="00327E34" w:rsidRDefault="00110DB8" w:rsidP="00327E34">
      <w:pPr>
        <w:pStyle w:val="a4"/>
        <w:numPr>
          <w:ilvl w:val="0"/>
          <w:numId w:val="6"/>
        </w:numPr>
        <w:tabs>
          <w:tab w:val="left" w:pos="850"/>
        </w:tabs>
        <w:spacing w:before="2" w:line="276" w:lineRule="auto"/>
        <w:ind w:right="4"/>
        <w:rPr>
          <w:sz w:val="20"/>
          <w:szCs w:val="20"/>
          <w:lang w:val="uk-UA"/>
        </w:rPr>
      </w:pPr>
      <w:r w:rsidRPr="00327E34">
        <w:rPr>
          <w:sz w:val="20"/>
          <w:szCs w:val="20"/>
          <w:lang w:val="uk-UA"/>
        </w:rPr>
        <w:t xml:space="preserve">Не було переконливих доказів того, що будь-який з двох АВГІ був </w:t>
      </w:r>
      <w:r w:rsidR="00706584">
        <w:rPr>
          <w:sz w:val="20"/>
          <w:szCs w:val="20"/>
          <w:lang w:val="uk-UA"/>
        </w:rPr>
        <w:t xml:space="preserve">більш </w:t>
      </w:r>
      <w:r w:rsidRPr="00327E34">
        <w:rPr>
          <w:sz w:val="20"/>
          <w:szCs w:val="20"/>
          <w:lang w:val="uk-UA"/>
        </w:rPr>
        <w:t>чутлив</w:t>
      </w:r>
      <w:r w:rsidR="00706584">
        <w:rPr>
          <w:sz w:val="20"/>
          <w:szCs w:val="20"/>
          <w:lang w:val="uk-UA"/>
        </w:rPr>
        <w:t>и</w:t>
      </w:r>
      <w:r w:rsidRPr="00327E34">
        <w:rPr>
          <w:sz w:val="20"/>
          <w:szCs w:val="20"/>
          <w:lang w:val="uk-UA"/>
        </w:rPr>
        <w:t xml:space="preserve">м, ніж </w:t>
      </w:r>
      <w:r w:rsidR="00D45FA2">
        <w:rPr>
          <w:sz w:val="20"/>
          <w:szCs w:val="20"/>
          <w:lang w:val="uk-UA"/>
        </w:rPr>
        <w:t>ТШП</w:t>
      </w:r>
      <w:r w:rsidRPr="00327E34">
        <w:rPr>
          <w:sz w:val="20"/>
          <w:szCs w:val="20"/>
          <w:lang w:val="uk-UA"/>
        </w:rPr>
        <w:t>, для діагностики активно</w:t>
      </w:r>
      <w:r w:rsidR="00706584">
        <w:rPr>
          <w:sz w:val="20"/>
          <w:szCs w:val="20"/>
          <w:lang w:val="uk-UA"/>
        </w:rPr>
        <w:t>ї форми ТБ</w:t>
      </w:r>
      <w:r w:rsidRPr="00327E34">
        <w:rPr>
          <w:sz w:val="20"/>
          <w:szCs w:val="20"/>
          <w:lang w:val="uk-UA"/>
        </w:rPr>
        <w:t xml:space="preserve">, хоча порівняння з об'єднаними оцінками чутливості </w:t>
      </w:r>
      <w:r w:rsidR="00D45FA2">
        <w:rPr>
          <w:sz w:val="20"/>
          <w:szCs w:val="20"/>
          <w:lang w:val="uk-UA"/>
        </w:rPr>
        <w:t>ТШП</w:t>
      </w:r>
      <w:r w:rsidRPr="00327E34">
        <w:rPr>
          <w:sz w:val="20"/>
          <w:szCs w:val="20"/>
          <w:lang w:val="uk-UA"/>
        </w:rPr>
        <w:t xml:space="preserve"> було важко інтерпретувати через значну неоднорідність.</w:t>
      </w:r>
    </w:p>
    <w:p w14:paraId="35399CB2" w14:textId="3528B633" w:rsidR="00E05B98" w:rsidRPr="00327E34" w:rsidRDefault="00110DB8" w:rsidP="00327E34">
      <w:pPr>
        <w:pStyle w:val="a4"/>
        <w:numPr>
          <w:ilvl w:val="0"/>
          <w:numId w:val="6"/>
        </w:numPr>
        <w:tabs>
          <w:tab w:val="left" w:pos="850"/>
        </w:tabs>
        <w:spacing w:before="4" w:line="276" w:lineRule="auto"/>
        <w:ind w:right="4"/>
        <w:rPr>
          <w:sz w:val="20"/>
          <w:szCs w:val="20"/>
          <w:lang w:val="uk-UA"/>
        </w:rPr>
      </w:pPr>
      <w:r w:rsidRPr="00327E34">
        <w:rPr>
          <w:sz w:val="20"/>
          <w:szCs w:val="20"/>
          <w:lang w:val="uk-UA"/>
        </w:rPr>
        <w:t xml:space="preserve">Кілька доступних порівнянь між </w:t>
      </w:r>
      <w:r w:rsidR="00706584">
        <w:rPr>
          <w:sz w:val="20"/>
          <w:szCs w:val="20"/>
          <w:lang w:val="uk-UA"/>
        </w:rPr>
        <w:t xml:space="preserve">тестами </w:t>
      </w:r>
      <w:r w:rsidRPr="00327E34">
        <w:rPr>
          <w:sz w:val="20"/>
          <w:szCs w:val="20"/>
          <w:lang w:val="uk-UA"/>
        </w:rPr>
        <w:t>QFT-GIT та T-Spot продемонстрували вищу чутливість платформи T-Spot, хоча ця різниця не досягла статистичної значущості.</w:t>
      </w:r>
    </w:p>
    <w:p w14:paraId="7E3D381F" w14:textId="054B239A" w:rsidR="00E05B98" w:rsidRPr="00327E34" w:rsidRDefault="00110DB8" w:rsidP="00327E34">
      <w:pPr>
        <w:pStyle w:val="a4"/>
        <w:numPr>
          <w:ilvl w:val="0"/>
          <w:numId w:val="6"/>
        </w:numPr>
        <w:tabs>
          <w:tab w:val="left" w:pos="850"/>
        </w:tabs>
        <w:spacing w:before="4" w:line="276" w:lineRule="auto"/>
        <w:ind w:right="4"/>
        <w:rPr>
          <w:sz w:val="20"/>
          <w:szCs w:val="20"/>
          <w:lang w:val="uk-UA"/>
        </w:rPr>
      </w:pPr>
      <w:r w:rsidRPr="00327E34">
        <w:rPr>
          <w:sz w:val="20"/>
          <w:szCs w:val="20"/>
          <w:lang w:val="uk-UA"/>
        </w:rPr>
        <w:t xml:space="preserve">Специфічність обох АВГІ стосовно активної форми ТБ була низькою, незалежно від ВІЛ-статусу, і результати показали, що у кожного другого пацієнта без активної форми ТБ </w:t>
      </w:r>
      <w:r w:rsidR="00706584">
        <w:rPr>
          <w:sz w:val="20"/>
          <w:szCs w:val="20"/>
          <w:lang w:val="uk-UA"/>
        </w:rPr>
        <w:t xml:space="preserve">буде позитивний результат </w:t>
      </w:r>
      <w:r w:rsidRPr="00327E34">
        <w:rPr>
          <w:sz w:val="20"/>
          <w:szCs w:val="20"/>
          <w:lang w:val="uk-UA"/>
        </w:rPr>
        <w:t>АВГІ, що може мати несприятливі наслідки для пацієнтів через непотрібне лікування ТБ та втрачену можливість проведення диференціальної діагностики.</w:t>
      </w:r>
    </w:p>
    <w:p w14:paraId="0D9EE6D7" w14:textId="245BDDF8" w:rsidR="00E05B98" w:rsidRPr="00327E34" w:rsidRDefault="00327E34" w:rsidP="00327E34">
      <w:pPr>
        <w:pStyle w:val="a4"/>
        <w:numPr>
          <w:ilvl w:val="0"/>
          <w:numId w:val="6"/>
        </w:numPr>
        <w:tabs>
          <w:tab w:val="left" w:pos="850"/>
        </w:tabs>
        <w:spacing w:before="5" w:line="276" w:lineRule="auto"/>
        <w:ind w:left="851" w:right="6"/>
        <w:rPr>
          <w:sz w:val="20"/>
          <w:szCs w:val="20"/>
          <w:lang w:val="uk-UA"/>
        </w:rPr>
      </w:pPr>
      <w:r w:rsidRPr="00327E34">
        <w:rPr>
          <w:sz w:val="20"/>
          <w:szCs w:val="20"/>
          <w:lang w:val="uk-UA"/>
        </w:rPr>
        <w:t xml:space="preserve">У двох неопублікованих звітах повідомлялося, </w:t>
      </w:r>
      <w:r w:rsidR="00CE4B93">
        <w:rPr>
          <w:sz w:val="20"/>
          <w:szCs w:val="20"/>
          <w:lang w:val="uk-UA"/>
        </w:rPr>
        <w:t>що</w:t>
      </w:r>
      <w:r w:rsidRPr="00327E34">
        <w:rPr>
          <w:sz w:val="20"/>
          <w:szCs w:val="20"/>
          <w:lang w:val="uk-UA"/>
        </w:rPr>
        <w:t xml:space="preserve"> результати  тестів АВГІ в поєднанні з важливими вихідними характеристиками пацієнта (наприклад, демографічними показниками, симптомами або результатами рентгенографії органів грудної клітки) не мають інкрементної чи додаткової цінності. Таким чином, ці звіти не підтверджують суттєвий внесок АВГІ при діагностуванні на активну форму ТБ, окрім доступних даних про пацієнтів і звичайних тестів.</w:t>
      </w:r>
    </w:p>
    <w:p w14:paraId="240A7709" w14:textId="77777777" w:rsidR="00E05B98" w:rsidRPr="003C6DAE" w:rsidRDefault="00E05B98" w:rsidP="00327E34">
      <w:pPr>
        <w:pStyle w:val="a4"/>
        <w:spacing w:line="276" w:lineRule="auto"/>
        <w:rPr>
          <w:lang w:val="uk-UA"/>
        </w:rPr>
        <w:sectPr w:rsidR="00E05B98" w:rsidRPr="003C6DAE">
          <w:pgSz w:w="11910" w:h="16840"/>
          <w:pgMar w:top="1320" w:right="1275" w:bottom="760" w:left="850" w:header="0" w:footer="573" w:gutter="0"/>
          <w:cols w:space="720"/>
        </w:sectPr>
      </w:pPr>
    </w:p>
    <w:p w14:paraId="40855F33" w14:textId="636E1898" w:rsidR="00E05B98" w:rsidRPr="00327E34" w:rsidRDefault="00327E34" w:rsidP="00327E34">
      <w:pPr>
        <w:pStyle w:val="a4"/>
        <w:numPr>
          <w:ilvl w:val="0"/>
          <w:numId w:val="6"/>
        </w:numPr>
        <w:tabs>
          <w:tab w:val="left" w:pos="850"/>
        </w:tabs>
        <w:spacing w:before="52" w:line="276" w:lineRule="auto"/>
        <w:ind w:right="-136"/>
        <w:rPr>
          <w:sz w:val="20"/>
          <w:szCs w:val="20"/>
          <w:lang w:val="uk-UA"/>
        </w:rPr>
      </w:pPr>
      <w:r w:rsidRPr="00327E34">
        <w:rPr>
          <w:sz w:val="20"/>
          <w:szCs w:val="20"/>
          <w:lang w:val="uk-UA"/>
        </w:rPr>
        <w:lastRenderedPageBreak/>
        <w:t>Систематичний огляд було зосереджено  на використанні АВГІ для діагностики активної форми ТБ легень, враховуючи брак даних щодо позалегеневого туберкульозу; тим не менш, консенсус ГРН полягав у тому, що рекомендації стосовно ТБ легень можна обґрунтовано екстраполювати на позалегеневий туберкульоз.</w:t>
      </w:r>
    </w:p>
    <w:p w14:paraId="57A1F394" w14:textId="5CE90200" w:rsidR="00E05B98" w:rsidRPr="00327E34" w:rsidRDefault="00CD5FDA" w:rsidP="00327E34">
      <w:pPr>
        <w:pStyle w:val="a4"/>
        <w:numPr>
          <w:ilvl w:val="0"/>
          <w:numId w:val="6"/>
        </w:numPr>
        <w:tabs>
          <w:tab w:val="left" w:pos="850"/>
        </w:tabs>
        <w:spacing w:before="4" w:line="276" w:lineRule="auto"/>
        <w:ind w:right="-136"/>
        <w:rPr>
          <w:sz w:val="20"/>
          <w:szCs w:val="20"/>
          <w:lang w:val="uk-UA"/>
        </w:rPr>
      </w:pPr>
      <w:r>
        <w:rPr>
          <w:sz w:val="20"/>
          <w:szCs w:val="20"/>
          <w:lang w:val="uk-UA"/>
        </w:rPr>
        <w:t>Про у</w:t>
      </w:r>
      <w:r w:rsidR="00F07298" w:rsidRPr="00F07298">
        <w:rPr>
          <w:sz w:val="20"/>
          <w:szCs w:val="20"/>
          <w:lang w:val="uk-UA"/>
        </w:rPr>
        <w:t>часть промисловості бул</w:t>
      </w:r>
      <w:r>
        <w:rPr>
          <w:sz w:val="20"/>
          <w:szCs w:val="20"/>
          <w:lang w:val="uk-UA"/>
        </w:rPr>
        <w:t>о</w:t>
      </w:r>
      <w:r w:rsidR="00F07298" w:rsidRPr="00F07298">
        <w:rPr>
          <w:sz w:val="20"/>
          <w:szCs w:val="20"/>
          <w:lang w:val="uk-UA"/>
        </w:rPr>
        <w:t xml:space="preserve"> невідом</w:t>
      </w:r>
      <w:r>
        <w:rPr>
          <w:sz w:val="20"/>
          <w:szCs w:val="20"/>
          <w:lang w:val="uk-UA"/>
        </w:rPr>
        <w:t>о</w:t>
      </w:r>
      <w:r w:rsidR="00F07298" w:rsidRPr="00F07298">
        <w:rPr>
          <w:sz w:val="20"/>
          <w:szCs w:val="20"/>
          <w:lang w:val="uk-UA"/>
        </w:rPr>
        <w:t xml:space="preserve"> </w:t>
      </w:r>
      <w:r>
        <w:rPr>
          <w:sz w:val="20"/>
          <w:szCs w:val="20"/>
          <w:lang w:val="uk-UA"/>
        </w:rPr>
        <w:t>у</w:t>
      </w:r>
      <w:r w:rsidR="00F07298" w:rsidRPr="00F07298">
        <w:rPr>
          <w:sz w:val="20"/>
          <w:szCs w:val="20"/>
          <w:lang w:val="uk-UA"/>
        </w:rPr>
        <w:t xml:space="preserve"> 18% досліджень</w:t>
      </w:r>
      <w:r>
        <w:rPr>
          <w:sz w:val="20"/>
          <w:szCs w:val="20"/>
          <w:lang w:val="uk-UA"/>
        </w:rPr>
        <w:t>,</w:t>
      </w:r>
      <w:r w:rsidR="00F07298" w:rsidRPr="00F07298">
        <w:rPr>
          <w:sz w:val="20"/>
          <w:szCs w:val="20"/>
          <w:lang w:val="uk-UA"/>
        </w:rPr>
        <w:t xml:space="preserve"> </w:t>
      </w:r>
      <w:r>
        <w:rPr>
          <w:sz w:val="20"/>
          <w:szCs w:val="20"/>
          <w:lang w:val="uk-UA"/>
        </w:rPr>
        <w:t>а</w:t>
      </w:r>
      <w:r w:rsidR="00F07298" w:rsidRPr="00F07298">
        <w:rPr>
          <w:sz w:val="20"/>
          <w:szCs w:val="20"/>
          <w:lang w:val="uk-UA"/>
        </w:rPr>
        <w:t xml:space="preserve"> </w:t>
      </w:r>
      <w:r>
        <w:rPr>
          <w:sz w:val="20"/>
          <w:szCs w:val="20"/>
          <w:lang w:val="uk-UA"/>
        </w:rPr>
        <w:t>в</w:t>
      </w:r>
      <w:r w:rsidR="00F07298" w:rsidRPr="00F07298">
        <w:rPr>
          <w:sz w:val="20"/>
          <w:szCs w:val="20"/>
          <w:lang w:val="uk-UA"/>
        </w:rPr>
        <w:t xml:space="preserve"> 27% досліджень</w:t>
      </w:r>
      <w:r>
        <w:rPr>
          <w:sz w:val="20"/>
          <w:szCs w:val="20"/>
          <w:lang w:val="uk-UA"/>
        </w:rPr>
        <w:t xml:space="preserve"> повідомлялося про участь підприємств промисловості</w:t>
      </w:r>
      <w:r w:rsidR="00F07298" w:rsidRPr="00F07298">
        <w:rPr>
          <w:sz w:val="20"/>
          <w:szCs w:val="20"/>
          <w:lang w:val="uk-UA"/>
        </w:rPr>
        <w:t>, включаючи передачу комплектів АВГІ на безоплатній основі, а також робочі або фінансові відносини між авторами та виробниками АВГІ</w:t>
      </w:r>
      <w:r w:rsidR="00B01E0C" w:rsidRPr="00327E34">
        <w:rPr>
          <w:sz w:val="20"/>
          <w:szCs w:val="20"/>
          <w:lang w:val="uk-UA"/>
        </w:rPr>
        <w:t>.</w:t>
      </w:r>
    </w:p>
    <w:p w14:paraId="7B0A5C9D" w14:textId="77777777" w:rsidR="00E05B98" w:rsidRPr="00C82E5E" w:rsidRDefault="00E05B98" w:rsidP="00327E34">
      <w:pPr>
        <w:pStyle w:val="a3"/>
        <w:spacing w:before="9" w:line="276" w:lineRule="auto"/>
        <w:ind w:right="-136"/>
        <w:rPr>
          <w:sz w:val="16"/>
          <w:szCs w:val="16"/>
          <w:lang w:val="uk-UA"/>
        </w:rPr>
      </w:pPr>
    </w:p>
    <w:p w14:paraId="578FE9CC" w14:textId="23567958" w:rsidR="00E05B98" w:rsidRPr="00CD5FDA" w:rsidRDefault="00F07298" w:rsidP="00327E34">
      <w:pPr>
        <w:pStyle w:val="5"/>
        <w:spacing w:line="276" w:lineRule="auto"/>
        <w:ind w:right="-136"/>
        <w:jc w:val="both"/>
        <w:rPr>
          <w:sz w:val="26"/>
          <w:szCs w:val="26"/>
          <w:lang w:val="uk-UA"/>
        </w:rPr>
      </w:pPr>
      <w:r w:rsidRPr="00CD5FDA">
        <w:rPr>
          <w:color w:val="019648"/>
          <w:sz w:val="26"/>
          <w:szCs w:val="26"/>
          <w:lang w:val="uk-UA"/>
        </w:rPr>
        <w:t>Сильні сторони та недоліки доказової бази</w:t>
      </w:r>
    </w:p>
    <w:p w14:paraId="47090D34" w14:textId="2B3E8DC1" w:rsidR="00E05B98" w:rsidRPr="00327E34" w:rsidRDefault="00F07298" w:rsidP="00327E34">
      <w:pPr>
        <w:pStyle w:val="a3"/>
        <w:spacing w:before="188" w:line="276" w:lineRule="auto"/>
        <w:ind w:left="567" w:right="-136"/>
        <w:jc w:val="both"/>
        <w:rPr>
          <w:sz w:val="20"/>
          <w:szCs w:val="20"/>
          <w:lang w:val="uk-UA"/>
        </w:rPr>
      </w:pPr>
      <w:r w:rsidRPr="00F07298">
        <w:rPr>
          <w:sz w:val="20"/>
          <w:szCs w:val="20"/>
          <w:lang w:val="uk-UA"/>
        </w:rPr>
        <w:t>Сильні сторони та недоліки були такими</w:t>
      </w:r>
      <w:r>
        <w:rPr>
          <w:sz w:val="20"/>
          <w:szCs w:val="20"/>
          <w:lang w:val="uk-UA"/>
        </w:rPr>
        <w:t>:</w:t>
      </w:r>
    </w:p>
    <w:p w14:paraId="414C526A" w14:textId="396CD366" w:rsidR="00E05B98" w:rsidRPr="00327E34" w:rsidRDefault="00F07298" w:rsidP="00327E34">
      <w:pPr>
        <w:pStyle w:val="a4"/>
        <w:numPr>
          <w:ilvl w:val="0"/>
          <w:numId w:val="6"/>
        </w:numPr>
        <w:tabs>
          <w:tab w:val="left" w:pos="850"/>
        </w:tabs>
        <w:spacing w:before="146" w:line="276" w:lineRule="auto"/>
        <w:ind w:right="-136"/>
        <w:rPr>
          <w:sz w:val="20"/>
          <w:szCs w:val="20"/>
          <w:lang w:val="uk-UA"/>
        </w:rPr>
      </w:pPr>
      <w:r w:rsidRPr="00F07298">
        <w:rPr>
          <w:w w:val="105"/>
          <w:sz w:val="20"/>
          <w:szCs w:val="20"/>
          <w:lang w:val="uk-UA"/>
        </w:rPr>
        <w:t>Неоднорідність  була суттєвою для первинних результатів чутливості та специфічності. Заходи, що проводилися для мінімізації неоднорідності, включали емпіричне зважування випадкових ефектів, виключення досліджень, що охоплювали менше 10 осіб, які відповідали критеріям проведення обстеження, та окремий синтез даних для АВГІ, що виготовляють на даний час.</w:t>
      </w:r>
    </w:p>
    <w:p w14:paraId="28029423" w14:textId="2A5E2526" w:rsidR="00E05B98" w:rsidRPr="00327E34" w:rsidRDefault="00335514" w:rsidP="00327E34">
      <w:pPr>
        <w:pStyle w:val="a4"/>
        <w:numPr>
          <w:ilvl w:val="0"/>
          <w:numId w:val="6"/>
        </w:numPr>
        <w:tabs>
          <w:tab w:val="left" w:pos="850"/>
        </w:tabs>
        <w:spacing w:before="5" w:line="276" w:lineRule="auto"/>
        <w:ind w:right="-136"/>
        <w:rPr>
          <w:sz w:val="20"/>
          <w:szCs w:val="20"/>
          <w:lang w:val="uk-UA"/>
        </w:rPr>
      </w:pPr>
      <w:r w:rsidRPr="00335514">
        <w:rPr>
          <w:w w:val="105"/>
          <w:sz w:val="20"/>
          <w:szCs w:val="20"/>
          <w:lang w:val="uk-UA"/>
        </w:rPr>
        <w:t xml:space="preserve">Не існує стандартних критеріїв для визначення країн з високим рівнем захворюваності на туберкульоз, а класифікація </w:t>
      </w:r>
      <w:r w:rsidR="00CD5FDA">
        <w:rPr>
          <w:w w:val="105"/>
          <w:sz w:val="20"/>
          <w:szCs w:val="20"/>
          <w:lang w:val="uk-UA"/>
        </w:rPr>
        <w:t xml:space="preserve">країн за рівнем </w:t>
      </w:r>
      <w:r w:rsidRPr="00335514">
        <w:rPr>
          <w:w w:val="105"/>
          <w:sz w:val="20"/>
          <w:szCs w:val="20"/>
          <w:lang w:val="uk-UA"/>
        </w:rPr>
        <w:t xml:space="preserve">доходів Світового банку є недосконалим замінником для національної захворюваності на ТБ; тим не менш, результати принципово не змінилися, коли їх обмежували країнами з довільно обраним річним рівнем захворюваності на туберкульоз, </w:t>
      </w:r>
      <w:r w:rsidR="00CD5FDA">
        <w:rPr>
          <w:w w:val="105"/>
          <w:sz w:val="20"/>
          <w:szCs w:val="20"/>
          <w:lang w:val="uk-UA"/>
        </w:rPr>
        <w:t>який</w:t>
      </w:r>
      <w:r w:rsidRPr="00335514">
        <w:rPr>
          <w:w w:val="105"/>
          <w:sz w:val="20"/>
          <w:szCs w:val="20"/>
          <w:lang w:val="uk-UA"/>
        </w:rPr>
        <w:t xml:space="preserve"> становив принаймні 50 випадків на 100 000 населення.</w:t>
      </w:r>
    </w:p>
    <w:p w14:paraId="05F9BE36" w14:textId="3DE79B69" w:rsidR="00E05B98" w:rsidRPr="00327E34" w:rsidRDefault="00335514" w:rsidP="00327E34">
      <w:pPr>
        <w:pStyle w:val="a4"/>
        <w:numPr>
          <w:ilvl w:val="0"/>
          <w:numId w:val="6"/>
        </w:numPr>
        <w:tabs>
          <w:tab w:val="left" w:pos="850"/>
        </w:tabs>
        <w:spacing w:before="5" w:line="276" w:lineRule="auto"/>
        <w:ind w:right="-136"/>
        <w:rPr>
          <w:sz w:val="20"/>
          <w:szCs w:val="20"/>
          <w:lang w:val="uk-UA"/>
        </w:rPr>
      </w:pPr>
      <w:r w:rsidRPr="00335514">
        <w:rPr>
          <w:w w:val="105"/>
          <w:sz w:val="20"/>
          <w:szCs w:val="20"/>
          <w:lang w:val="uk-UA"/>
        </w:rPr>
        <w:t xml:space="preserve">Можливо, що поточні дослідження були пропущені, незважаючи на систематичний пошук. Також можливо, що дослідження, які виявили низьку ефективність АВГІ, мали меншу ймовірність опублікування. Беручи до уваги відсутність статистичних методів для врахування систематичної похибки  публікацій </w:t>
      </w:r>
      <w:r w:rsidR="00CD5FDA">
        <w:rPr>
          <w:w w:val="105"/>
          <w:sz w:val="20"/>
          <w:szCs w:val="20"/>
          <w:lang w:val="uk-UA"/>
        </w:rPr>
        <w:t>при проведенні</w:t>
      </w:r>
      <w:r w:rsidRPr="00335514">
        <w:rPr>
          <w:w w:val="105"/>
          <w:sz w:val="20"/>
          <w:szCs w:val="20"/>
          <w:lang w:val="uk-UA"/>
        </w:rPr>
        <w:t xml:space="preserve"> діагностичних метааналіз</w:t>
      </w:r>
      <w:r w:rsidR="00CD5FDA">
        <w:rPr>
          <w:w w:val="105"/>
          <w:sz w:val="20"/>
          <w:szCs w:val="20"/>
          <w:lang w:val="uk-UA"/>
        </w:rPr>
        <w:t>ів</w:t>
      </w:r>
      <w:r w:rsidRPr="00335514">
        <w:rPr>
          <w:w w:val="105"/>
          <w:sz w:val="20"/>
          <w:szCs w:val="20"/>
          <w:lang w:val="uk-UA"/>
        </w:rPr>
        <w:t>, було б доцільно припустити певний ступінь завищення оцінок через систематичну похибку</w:t>
      </w:r>
      <w:r w:rsidR="00CD5FDA">
        <w:rPr>
          <w:w w:val="105"/>
          <w:sz w:val="20"/>
          <w:szCs w:val="20"/>
          <w:lang w:val="uk-UA"/>
        </w:rPr>
        <w:t>, пов’язану з</w:t>
      </w:r>
      <w:r w:rsidRPr="00335514">
        <w:rPr>
          <w:w w:val="105"/>
          <w:sz w:val="20"/>
          <w:szCs w:val="20"/>
          <w:lang w:val="uk-UA"/>
        </w:rPr>
        <w:t xml:space="preserve"> публікаці</w:t>
      </w:r>
      <w:r w:rsidR="00CD5FDA">
        <w:rPr>
          <w:w w:val="105"/>
          <w:sz w:val="20"/>
          <w:szCs w:val="20"/>
          <w:lang w:val="uk-UA"/>
        </w:rPr>
        <w:t>єю</w:t>
      </w:r>
      <w:r w:rsidR="00B01E0C" w:rsidRPr="00327E34">
        <w:rPr>
          <w:w w:val="105"/>
          <w:sz w:val="20"/>
          <w:szCs w:val="20"/>
          <w:lang w:val="uk-UA"/>
        </w:rPr>
        <w:t>.</w:t>
      </w:r>
    </w:p>
    <w:p w14:paraId="5902D9A2" w14:textId="735D8789" w:rsidR="00E05B98" w:rsidRPr="00327E34" w:rsidRDefault="00E803F1" w:rsidP="00327E34">
      <w:pPr>
        <w:pStyle w:val="a4"/>
        <w:numPr>
          <w:ilvl w:val="0"/>
          <w:numId w:val="6"/>
        </w:numPr>
        <w:tabs>
          <w:tab w:val="left" w:pos="850"/>
        </w:tabs>
        <w:spacing w:before="7" w:line="276" w:lineRule="auto"/>
        <w:ind w:right="-136"/>
        <w:rPr>
          <w:sz w:val="20"/>
          <w:szCs w:val="20"/>
          <w:lang w:val="uk-UA"/>
        </w:rPr>
      </w:pPr>
      <w:r w:rsidRPr="00E803F1">
        <w:rPr>
          <w:sz w:val="20"/>
          <w:szCs w:val="20"/>
          <w:lang w:val="uk-UA"/>
        </w:rPr>
        <w:t>Систематичний огляд було зосереджено на точності тестів (тобто на чутливості та специфічності) та непрямій оцінці впливу на пацієнта (хибнопозитивні та хибнонегативні результати). Жодне з розглянутих досліджень не надало інформації про важливі для пацієнта результати (тобто не показало, що використання АВГІ в певній ситуації призвело до клінічно значущого покращення догляду за пацієнтами чи результатів). Крім того, не було доступної інформації про цінності та вподобання пацієнтів</w:t>
      </w:r>
      <w:r w:rsidR="00B01E0C" w:rsidRPr="00327E34">
        <w:rPr>
          <w:sz w:val="20"/>
          <w:szCs w:val="20"/>
          <w:lang w:val="uk-UA"/>
        </w:rPr>
        <w:t>.</w:t>
      </w:r>
    </w:p>
    <w:p w14:paraId="5D6408A5" w14:textId="5341035F" w:rsidR="00E05B98" w:rsidRPr="00327E34" w:rsidRDefault="00E803F1" w:rsidP="00327E34">
      <w:pPr>
        <w:pStyle w:val="a3"/>
        <w:spacing w:before="232" w:line="276" w:lineRule="auto"/>
        <w:ind w:left="567" w:right="-136"/>
        <w:jc w:val="both"/>
        <w:rPr>
          <w:sz w:val="20"/>
          <w:szCs w:val="20"/>
          <w:lang w:val="uk-UA"/>
        </w:rPr>
      </w:pPr>
      <w:r w:rsidRPr="00E803F1">
        <w:rPr>
          <w:spacing w:val="-2"/>
          <w:sz w:val="20"/>
          <w:szCs w:val="20"/>
          <w:lang w:val="uk-UA"/>
        </w:rPr>
        <w:t>Синтез даних був структурований навколо попередньо визначеного запитання PICO, як зазначено вище. Веб-додаток I містить додаткову інформацію про синтез та аналіз доказів</w:t>
      </w:r>
      <w:r w:rsidR="00B01E0C" w:rsidRPr="00327E34">
        <w:rPr>
          <w:sz w:val="20"/>
          <w:szCs w:val="20"/>
          <w:lang w:val="uk-UA"/>
        </w:rPr>
        <w:t>.</w:t>
      </w:r>
    </w:p>
    <w:p w14:paraId="61AC9840" w14:textId="3811829F" w:rsidR="00E05B98" w:rsidRPr="00E803F1" w:rsidRDefault="00E803F1" w:rsidP="00C82E5E">
      <w:pPr>
        <w:pStyle w:val="5"/>
        <w:spacing w:before="200"/>
        <w:ind w:right="-136"/>
        <w:rPr>
          <w:sz w:val="26"/>
          <w:szCs w:val="26"/>
          <w:lang w:val="uk-UA"/>
        </w:rPr>
      </w:pPr>
      <w:r w:rsidRPr="00E803F1">
        <w:rPr>
          <w:color w:val="019648"/>
          <w:sz w:val="26"/>
          <w:szCs w:val="26"/>
          <w:lang w:val="uk-UA"/>
        </w:rPr>
        <w:t>Операційні аспекти використання аналізів на вивільнення гамма-інтерферону (АВГІ)</w:t>
      </w:r>
    </w:p>
    <w:p w14:paraId="3559C82F" w14:textId="12CCE894" w:rsidR="00E05B98" w:rsidRPr="00327E34" w:rsidRDefault="00E803F1" w:rsidP="00327E34">
      <w:pPr>
        <w:pStyle w:val="a3"/>
        <w:spacing w:before="189" w:line="276" w:lineRule="auto"/>
        <w:ind w:left="567" w:right="-136"/>
        <w:jc w:val="both"/>
        <w:rPr>
          <w:sz w:val="20"/>
          <w:szCs w:val="20"/>
          <w:lang w:val="uk-UA"/>
        </w:rPr>
      </w:pPr>
      <w:r w:rsidRPr="00E803F1">
        <w:rPr>
          <w:sz w:val="20"/>
          <w:szCs w:val="20"/>
          <w:lang w:val="uk-UA"/>
        </w:rPr>
        <w:t>Операційні аспекти використання АВГІ полягали в наступному:</w:t>
      </w:r>
    </w:p>
    <w:p w14:paraId="4F4C4120" w14:textId="33B8021D" w:rsidR="00C82E5E" w:rsidRPr="00C82E5E" w:rsidRDefault="00C82E5E" w:rsidP="00C82E5E">
      <w:pPr>
        <w:pStyle w:val="a4"/>
        <w:numPr>
          <w:ilvl w:val="0"/>
          <w:numId w:val="6"/>
        </w:numPr>
        <w:tabs>
          <w:tab w:val="left" w:pos="850"/>
        </w:tabs>
        <w:spacing w:before="2" w:line="276" w:lineRule="auto"/>
        <w:ind w:right="-136"/>
        <w:rPr>
          <w:sz w:val="20"/>
          <w:szCs w:val="20"/>
          <w:lang w:val="uk-UA"/>
        </w:rPr>
      </w:pPr>
      <w:r w:rsidRPr="00C82E5E">
        <w:rPr>
          <w:sz w:val="20"/>
          <w:szCs w:val="20"/>
          <w:lang w:val="uk-UA"/>
        </w:rPr>
        <w:t>Про вартість АВГІ згадували в чотирьох дослідженнях</w:t>
      </w:r>
      <w:r w:rsidR="00EC3CEE">
        <w:rPr>
          <w:sz w:val="20"/>
          <w:szCs w:val="20"/>
          <w:lang w:val="uk-UA"/>
        </w:rPr>
        <w:t>;</w:t>
      </w:r>
      <w:r w:rsidRPr="00C82E5E">
        <w:rPr>
          <w:sz w:val="20"/>
          <w:szCs w:val="20"/>
          <w:lang w:val="uk-UA"/>
        </w:rPr>
        <w:t xml:space="preserve"> </w:t>
      </w:r>
      <w:r w:rsidR="00EC3CEE">
        <w:rPr>
          <w:sz w:val="20"/>
          <w:szCs w:val="20"/>
          <w:lang w:val="uk-UA"/>
        </w:rPr>
        <w:t xml:space="preserve">усі ці дослідження </w:t>
      </w:r>
      <w:r w:rsidRPr="00C82E5E">
        <w:rPr>
          <w:sz w:val="20"/>
          <w:szCs w:val="20"/>
          <w:lang w:val="uk-UA"/>
        </w:rPr>
        <w:t xml:space="preserve">містили твердження про те, що ці аналізи </w:t>
      </w:r>
      <w:r w:rsidR="00EC3CEE">
        <w:rPr>
          <w:sz w:val="20"/>
          <w:szCs w:val="20"/>
          <w:lang w:val="uk-UA"/>
        </w:rPr>
        <w:t xml:space="preserve">є </w:t>
      </w:r>
      <w:r w:rsidRPr="00C82E5E">
        <w:rPr>
          <w:sz w:val="20"/>
          <w:szCs w:val="20"/>
          <w:lang w:val="uk-UA"/>
        </w:rPr>
        <w:t>занадто дорог</w:t>
      </w:r>
      <w:r w:rsidR="00EC3CEE">
        <w:rPr>
          <w:sz w:val="20"/>
          <w:szCs w:val="20"/>
          <w:lang w:val="uk-UA"/>
        </w:rPr>
        <w:t>ими</w:t>
      </w:r>
      <w:r w:rsidRPr="00C82E5E">
        <w:rPr>
          <w:sz w:val="20"/>
          <w:szCs w:val="20"/>
          <w:lang w:val="uk-UA"/>
        </w:rPr>
        <w:t>, і що це обмежує їх використання.</w:t>
      </w:r>
    </w:p>
    <w:p w14:paraId="4A5EF38F" w14:textId="5FB3D3CF" w:rsidR="00E05B98" w:rsidRPr="00327E34" w:rsidRDefault="00C82E5E" w:rsidP="00C82E5E">
      <w:pPr>
        <w:pStyle w:val="a4"/>
        <w:numPr>
          <w:ilvl w:val="0"/>
          <w:numId w:val="6"/>
        </w:numPr>
        <w:tabs>
          <w:tab w:val="left" w:pos="850"/>
        </w:tabs>
        <w:spacing w:before="2" w:line="276" w:lineRule="auto"/>
        <w:ind w:right="-136"/>
        <w:rPr>
          <w:sz w:val="20"/>
          <w:szCs w:val="20"/>
          <w:lang w:val="uk-UA"/>
        </w:rPr>
      </w:pPr>
      <w:r w:rsidRPr="00C82E5E">
        <w:rPr>
          <w:sz w:val="20"/>
          <w:szCs w:val="20"/>
          <w:lang w:val="uk-UA"/>
        </w:rPr>
        <w:t>Тільки одне дослідження розглядало відтворюваність T-Spot шляхом оцінки узгодженості між спостерігачами; воно показало відмінну кореляцію. У жодному іншому дослідженні не згадувалося про проблему відтворюваності тесту.</w:t>
      </w:r>
    </w:p>
    <w:p w14:paraId="709E4BC2" w14:textId="0AA0D63C" w:rsidR="00C82E5E" w:rsidRDefault="00C82E5E" w:rsidP="00327E34">
      <w:pPr>
        <w:pStyle w:val="a4"/>
        <w:numPr>
          <w:ilvl w:val="0"/>
          <w:numId w:val="6"/>
        </w:numPr>
        <w:tabs>
          <w:tab w:val="left" w:pos="850"/>
        </w:tabs>
        <w:spacing w:before="6" w:line="276" w:lineRule="auto"/>
        <w:ind w:right="-136" w:hanging="283"/>
        <w:rPr>
          <w:sz w:val="20"/>
          <w:szCs w:val="20"/>
          <w:lang w:val="uk-UA"/>
        </w:rPr>
      </w:pPr>
      <w:r w:rsidRPr="00C82E5E">
        <w:rPr>
          <w:sz w:val="20"/>
          <w:szCs w:val="20"/>
          <w:lang w:val="uk-UA"/>
        </w:rPr>
        <w:t>Дванадцять досліджень повідомляли про прийнят</w:t>
      </w:r>
      <w:r w:rsidR="00EC3CEE">
        <w:rPr>
          <w:sz w:val="20"/>
          <w:szCs w:val="20"/>
          <w:lang w:val="uk-UA"/>
        </w:rPr>
        <w:t>н</w:t>
      </w:r>
      <w:r w:rsidRPr="00C82E5E">
        <w:rPr>
          <w:sz w:val="20"/>
          <w:szCs w:val="20"/>
          <w:lang w:val="uk-UA"/>
        </w:rPr>
        <w:t xml:space="preserve">ий час транспортування зразків до лабораторії, який переважно становив менше 6 годин (тобто в межах лімітованого часу, прийнятого виробниками тестів). В одному дослідженні прийнятний час транспортування становив 16 годин, а в іншому -  24 години. У жодному з них не повідомлялося про вплив часу транспортування (тобто затримки між забором крові та початком дослідження за </w:t>
      </w:r>
      <w:r w:rsidR="00CE4B93" w:rsidRPr="00C82E5E">
        <w:rPr>
          <w:sz w:val="20"/>
          <w:szCs w:val="20"/>
          <w:lang w:val="uk-UA"/>
        </w:rPr>
        <w:t>допомогою</w:t>
      </w:r>
      <w:r w:rsidRPr="00C82E5E">
        <w:rPr>
          <w:sz w:val="20"/>
          <w:szCs w:val="20"/>
          <w:lang w:val="uk-UA"/>
        </w:rPr>
        <w:t xml:space="preserve"> АВГІ) на результати або ефективність тестування АВГІ.</w:t>
      </w:r>
      <w:r>
        <w:rPr>
          <w:sz w:val="20"/>
          <w:szCs w:val="20"/>
          <w:lang w:val="uk-UA"/>
        </w:rPr>
        <w:t xml:space="preserve"> </w:t>
      </w:r>
    </w:p>
    <w:p w14:paraId="56ACBD9B" w14:textId="03CD51AF" w:rsidR="00E05B98" w:rsidRDefault="00C82E5E" w:rsidP="00327E34">
      <w:pPr>
        <w:pStyle w:val="a4"/>
        <w:numPr>
          <w:ilvl w:val="0"/>
          <w:numId w:val="6"/>
        </w:numPr>
        <w:tabs>
          <w:tab w:val="left" w:pos="850"/>
        </w:tabs>
        <w:spacing w:before="6" w:line="276" w:lineRule="auto"/>
        <w:ind w:right="-136" w:hanging="283"/>
        <w:rPr>
          <w:sz w:val="20"/>
          <w:szCs w:val="20"/>
          <w:lang w:val="uk-UA"/>
        </w:rPr>
      </w:pPr>
      <w:r w:rsidRPr="00C82E5E">
        <w:rPr>
          <w:sz w:val="20"/>
          <w:szCs w:val="20"/>
          <w:lang w:val="uk-UA"/>
        </w:rPr>
        <w:t>Жодне дослідження не повідомляло про час від початку забору зразка до отримання результатів АВГІ</w:t>
      </w:r>
      <w:r>
        <w:rPr>
          <w:sz w:val="20"/>
          <w:szCs w:val="20"/>
          <w:lang w:val="uk-UA"/>
        </w:rPr>
        <w:t>.</w:t>
      </w:r>
    </w:p>
    <w:p w14:paraId="47047C31" w14:textId="77777777" w:rsidR="00C82E5E" w:rsidRDefault="00C82E5E" w:rsidP="00C82E5E">
      <w:pPr>
        <w:pStyle w:val="a4"/>
        <w:tabs>
          <w:tab w:val="left" w:pos="850"/>
        </w:tabs>
        <w:spacing w:before="6" w:line="276" w:lineRule="auto"/>
        <w:ind w:right="-136" w:firstLine="0"/>
        <w:rPr>
          <w:sz w:val="20"/>
          <w:szCs w:val="20"/>
          <w:lang w:val="ru-RU"/>
        </w:rPr>
      </w:pPr>
    </w:p>
    <w:p w14:paraId="0FC550D4" w14:textId="77777777" w:rsidR="00EC3CEE" w:rsidRPr="00456254" w:rsidRDefault="00EC3CEE" w:rsidP="00C82E5E">
      <w:pPr>
        <w:pStyle w:val="a4"/>
        <w:tabs>
          <w:tab w:val="left" w:pos="850"/>
        </w:tabs>
        <w:spacing w:before="6" w:line="276" w:lineRule="auto"/>
        <w:ind w:right="-136" w:firstLine="0"/>
        <w:rPr>
          <w:sz w:val="20"/>
          <w:szCs w:val="20"/>
          <w:lang w:val="ru-RU"/>
        </w:rPr>
      </w:pPr>
    </w:p>
    <w:p w14:paraId="231C3976" w14:textId="77777777" w:rsidR="00950912" w:rsidRPr="00950912" w:rsidRDefault="00950912" w:rsidP="00950912">
      <w:pPr>
        <w:pStyle w:val="a4"/>
        <w:numPr>
          <w:ilvl w:val="0"/>
          <w:numId w:val="6"/>
        </w:numPr>
        <w:tabs>
          <w:tab w:val="left" w:pos="850"/>
        </w:tabs>
        <w:spacing w:before="7" w:line="269" w:lineRule="auto"/>
        <w:ind w:right="-136"/>
        <w:rPr>
          <w:sz w:val="20"/>
          <w:szCs w:val="20"/>
          <w:lang w:val="uk-UA"/>
        </w:rPr>
      </w:pPr>
      <w:bookmarkStart w:id="105" w:name="3.4._References"/>
      <w:bookmarkStart w:id="106" w:name="_bookmark53"/>
      <w:bookmarkEnd w:id="105"/>
      <w:bookmarkEnd w:id="106"/>
      <w:r w:rsidRPr="00950912">
        <w:rPr>
          <w:sz w:val="20"/>
          <w:szCs w:val="20"/>
          <w:lang w:val="uk-UA"/>
        </w:rPr>
        <w:lastRenderedPageBreak/>
        <w:t>У чотирьох дослідженнях повідомляли про вплив АВГІ на терапію ТБ. У двох дослідженнях клініцистам повідомляли про результати АВГІ; в одному дослідженні наслідки не обговорювалися, а в іншому дослідженні діти та підлітки з позитивним результатом тесту QFT отримували профілактичну хіміотерапію. У двох інших дослідженнях прокоментували зменшення кількості пацієнтів, яким потрібна профілактична терапія, якби АВГІ були частиною діагностичного алгоритму.</w:t>
      </w:r>
    </w:p>
    <w:p w14:paraId="4E627861" w14:textId="49EAEA5E" w:rsidR="00E05B98" w:rsidRPr="00327E34" w:rsidRDefault="00950912" w:rsidP="00950912">
      <w:pPr>
        <w:pStyle w:val="a4"/>
        <w:numPr>
          <w:ilvl w:val="0"/>
          <w:numId w:val="6"/>
        </w:numPr>
        <w:tabs>
          <w:tab w:val="left" w:pos="850"/>
        </w:tabs>
        <w:spacing w:before="7" w:line="269" w:lineRule="auto"/>
        <w:ind w:right="-136"/>
        <w:rPr>
          <w:sz w:val="20"/>
          <w:szCs w:val="20"/>
          <w:lang w:val="uk-UA"/>
        </w:rPr>
      </w:pPr>
      <w:r w:rsidRPr="00950912">
        <w:rPr>
          <w:sz w:val="20"/>
          <w:szCs w:val="20"/>
          <w:lang w:val="uk-UA"/>
        </w:rPr>
        <w:t>Були виділені наступні аспекти, пов'язані з можливістю реалізації АВГІ:</w:t>
      </w:r>
    </w:p>
    <w:p w14:paraId="3896C4DB" w14:textId="3E10184B" w:rsidR="00657F76" w:rsidRPr="00657F76" w:rsidRDefault="00657F76" w:rsidP="00657F76">
      <w:pPr>
        <w:pStyle w:val="a4"/>
        <w:numPr>
          <w:ilvl w:val="1"/>
          <w:numId w:val="6"/>
        </w:numPr>
        <w:tabs>
          <w:tab w:val="left" w:pos="1227"/>
        </w:tabs>
        <w:spacing w:line="269" w:lineRule="auto"/>
        <w:ind w:right="-136"/>
        <w:rPr>
          <w:sz w:val="20"/>
          <w:szCs w:val="20"/>
          <w:lang w:val="uk-UA"/>
        </w:rPr>
      </w:pPr>
      <w:r w:rsidRPr="00657F76">
        <w:rPr>
          <w:sz w:val="20"/>
          <w:szCs w:val="20"/>
          <w:lang w:val="uk-UA"/>
        </w:rPr>
        <w:t xml:space="preserve">може виникнути проблема щодо наявності необхідної кількості крові; проте в деяких дослідженнях тести проводили з  використанням </w:t>
      </w:r>
      <w:r w:rsidR="001E69A0">
        <w:rPr>
          <w:sz w:val="20"/>
          <w:szCs w:val="20"/>
          <w:lang w:val="uk-UA"/>
        </w:rPr>
        <w:t xml:space="preserve">зразків об’ємом </w:t>
      </w:r>
      <w:r w:rsidRPr="00657F76">
        <w:rPr>
          <w:sz w:val="20"/>
          <w:szCs w:val="20"/>
          <w:lang w:val="uk-UA"/>
        </w:rPr>
        <w:t>менше 2 мл крові (T-Spot);</w:t>
      </w:r>
    </w:p>
    <w:p w14:paraId="0B0ACEEB" w14:textId="53C2480C" w:rsidR="00657F76" w:rsidRPr="00657F76" w:rsidRDefault="00657F76" w:rsidP="00657F76">
      <w:pPr>
        <w:pStyle w:val="a4"/>
        <w:numPr>
          <w:ilvl w:val="1"/>
          <w:numId w:val="6"/>
        </w:numPr>
        <w:tabs>
          <w:tab w:val="left" w:pos="1227"/>
        </w:tabs>
        <w:spacing w:line="269" w:lineRule="auto"/>
        <w:ind w:right="-136"/>
        <w:rPr>
          <w:sz w:val="20"/>
          <w:szCs w:val="20"/>
          <w:lang w:val="uk-UA"/>
        </w:rPr>
      </w:pPr>
      <w:r w:rsidRPr="00657F76">
        <w:rPr>
          <w:sz w:val="20"/>
          <w:szCs w:val="20"/>
          <w:lang w:val="uk-UA"/>
        </w:rPr>
        <w:t>сильна відповідь інтерферону в пробірках негативного контролю (високі фонові результати) при QFT може відображати вплив інших супутніх захворювань;</w:t>
      </w:r>
    </w:p>
    <w:p w14:paraId="38B0BA2E" w14:textId="0605547B" w:rsidR="00657F76" w:rsidRPr="00657F76" w:rsidRDefault="00657F76" w:rsidP="00657F76">
      <w:pPr>
        <w:pStyle w:val="a4"/>
        <w:numPr>
          <w:ilvl w:val="1"/>
          <w:numId w:val="6"/>
        </w:numPr>
        <w:tabs>
          <w:tab w:val="left" w:pos="1227"/>
        </w:tabs>
        <w:spacing w:line="269" w:lineRule="auto"/>
        <w:ind w:right="-136"/>
        <w:rPr>
          <w:sz w:val="20"/>
          <w:szCs w:val="20"/>
          <w:lang w:val="uk-UA"/>
        </w:rPr>
      </w:pPr>
      <w:r w:rsidRPr="00657F76">
        <w:rPr>
          <w:sz w:val="20"/>
          <w:szCs w:val="20"/>
          <w:lang w:val="uk-UA"/>
        </w:rPr>
        <w:t>стандартизація та отримання автоматизованих кількісних результатів повинні зробити АВГІ більш об'єктивними, ніж шкірні туберкулінові проби; та</w:t>
      </w:r>
    </w:p>
    <w:p w14:paraId="0CE46B8C" w14:textId="680274CF" w:rsidR="00E05B98" w:rsidRPr="00327E34" w:rsidRDefault="00657F76" w:rsidP="00657F76">
      <w:pPr>
        <w:pStyle w:val="a4"/>
        <w:numPr>
          <w:ilvl w:val="1"/>
          <w:numId w:val="6"/>
        </w:numPr>
        <w:tabs>
          <w:tab w:val="left" w:pos="1227"/>
        </w:tabs>
        <w:spacing w:before="0" w:line="269" w:lineRule="auto"/>
        <w:ind w:right="-136"/>
        <w:jc w:val="left"/>
        <w:rPr>
          <w:rFonts w:ascii="Trebuchet MS" w:hAnsi="Trebuchet MS"/>
          <w:color w:val="0C8140"/>
          <w:sz w:val="20"/>
          <w:szCs w:val="20"/>
          <w:lang w:val="uk-UA"/>
        </w:rPr>
      </w:pPr>
      <w:r w:rsidRPr="00657F76">
        <w:rPr>
          <w:sz w:val="20"/>
          <w:szCs w:val="20"/>
          <w:lang w:val="uk-UA"/>
        </w:rPr>
        <w:t xml:space="preserve">для проведення дослідження </w:t>
      </w:r>
      <w:r w:rsidR="00E349B3">
        <w:rPr>
          <w:sz w:val="20"/>
          <w:szCs w:val="20"/>
          <w:lang w:val="uk-UA"/>
        </w:rPr>
        <w:t>методом</w:t>
      </w:r>
      <w:r w:rsidRPr="00657F76">
        <w:rPr>
          <w:sz w:val="20"/>
          <w:szCs w:val="20"/>
          <w:lang w:val="uk-UA"/>
        </w:rPr>
        <w:t xml:space="preserve"> АВГІ вимагається наявність добре обладнаної лабораторії, дорогого обладнання та проведення навчання</w:t>
      </w:r>
      <w:r w:rsidR="00E349B3">
        <w:rPr>
          <w:sz w:val="20"/>
          <w:szCs w:val="20"/>
          <w:lang w:val="uk-UA"/>
        </w:rPr>
        <w:t xml:space="preserve"> персоналу</w:t>
      </w:r>
      <w:r w:rsidRPr="00657F76">
        <w:rPr>
          <w:sz w:val="20"/>
          <w:szCs w:val="20"/>
          <w:lang w:val="uk-UA"/>
        </w:rPr>
        <w:t>, що може викликати проблеми</w:t>
      </w:r>
      <w:r>
        <w:rPr>
          <w:sz w:val="20"/>
          <w:szCs w:val="20"/>
          <w:lang w:val="uk-UA"/>
        </w:rPr>
        <w:t>, пов’язані з</w:t>
      </w:r>
      <w:r w:rsidRPr="00657F76">
        <w:rPr>
          <w:sz w:val="20"/>
          <w:szCs w:val="20"/>
          <w:lang w:val="uk-UA"/>
        </w:rPr>
        <w:t xml:space="preserve"> </w:t>
      </w:r>
      <w:r w:rsidR="00CE4B93">
        <w:rPr>
          <w:sz w:val="20"/>
          <w:szCs w:val="20"/>
          <w:lang w:val="uk-UA"/>
        </w:rPr>
        <w:t>л</w:t>
      </w:r>
      <w:r w:rsidR="00CE4B93" w:rsidRPr="00657F76">
        <w:rPr>
          <w:sz w:val="20"/>
          <w:szCs w:val="20"/>
          <w:lang w:val="uk-UA"/>
        </w:rPr>
        <w:t>огістикою</w:t>
      </w:r>
      <w:r w:rsidR="00B01E0C" w:rsidRPr="00327E34">
        <w:rPr>
          <w:sz w:val="20"/>
          <w:szCs w:val="20"/>
          <w:lang w:val="uk-UA"/>
        </w:rPr>
        <w:t>.</w:t>
      </w:r>
    </w:p>
    <w:p w14:paraId="31FE97D4" w14:textId="1AD6EA4F" w:rsidR="00E05B98" w:rsidRPr="00657F76" w:rsidRDefault="00657F76" w:rsidP="00327E34">
      <w:pPr>
        <w:pStyle w:val="5"/>
        <w:spacing w:before="193" w:line="269" w:lineRule="auto"/>
        <w:ind w:right="-136"/>
        <w:jc w:val="both"/>
        <w:rPr>
          <w:sz w:val="26"/>
          <w:szCs w:val="26"/>
          <w:lang w:val="uk-UA"/>
        </w:rPr>
      </w:pPr>
      <w:r w:rsidRPr="00657F76">
        <w:rPr>
          <w:color w:val="019648"/>
          <w:w w:val="95"/>
          <w:sz w:val="26"/>
          <w:szCs w:val="26"/>
          <w:lang w:val="uk-UA"/>
        </w:rPr>
        <w:t>Пріоритети досліджень</w:t>
      </w:r>
    </w:p>
    <w:p w14:paraId="0F135BD0" w14:textId="38E9021F" w:rsidR="00E05B98" w:rsidRPr="00327E34" w:rsidRDefault="007537CB" w:rsidP="00327E34">
      <w:pPr>
        <w:pStyle w:val="a3"/>
        <w:spacing w:before="219" w:line="269" w:lineRule="auto"/>
        <w:ind w:left="567" w:right="-136"/>
        <w:jc w:val="both"/>
        <w:rPr>
          <w:sz w:val="20"/>
          <w:szCs w:val="20"/>
          <w:lang w:val="uk-UA"/>
        </w:rPr>
      </w:pPr>
      <w:r w:rsidRPr="007537CB">
        <w:rPr>
          <w:sz w:val="20"/>
          <w:szCs w:val="20"/>
          <w:lang w:val="uk-UA"/>
        </w:rPr>
        <w:t xml:space="preserve">Настійно рекомендується проводити подальші цільові </w:t>
      </w:r>
      <w:r w:rsidR="00E349B3">
        <w:rPr>
          <w:sz w:val="20"/>
          <w:szCs w:val="20"/>
          <w:lang w:val="uk-UA"/>
        </w:rPr>
        <w:t>д</w:t>
      </w:r>
      <w:r w:rsidRPr="007537CB">
        <w:rPr>
          <w:sz w:val="20"/>
          <w:szCs w:val="20"/>
          <w:lang w:val="uk-UA"/>
        </w:rPr>
        <w:t>ослідження для виявлення АВГІ з покращеною точністю. Такі дослідження повинні базуватися на відповідному дизайні дослідження, включаючи такі принципи якості, як репрезентативні популяції з  підозрою на захворювання, проспективне подальше спостереження та застосування відповідного та чіткого методу засліплення при проведенні дослідження. Також настійно рекомендується, щоб дослідження, які підтверджують принципи, супроводжувалися доказовими даними, отриманими в результаті  проспективно впроваджених і добре спланованих оціночних і демонстраційних досліджень, включаючи оцінку впливу на пацієнтів.</w:t>
      </w:r>
    </w:p>
    <w:p w14:paraId="74B5EC16" w14:textId="77777777" w:rsidR="00E05B98" w:rsidRPr="003C6DAE" w:rsidRDefault="00E05B98" w:rsidP="00327E34">
      <w:pPr>
        <w:pStyle w:val="a3"/>
        <w:spacing w:before="40" w:line="269" w:lineRule="auto"/>
        <w:ind w:right="-136"/>
        <w:rPr>
          <w:lang w:val="uk-UA"/>
        </w:rPr>
      </w:pPr>
    </w:p>
    <w:p w14:paraId="022F0AAC" w14:textId="7F896A73" w:rsidR="00E05B98" w:rsidRPr="007537CB" w:rsidRDefault="007537CB" w:rsidP="004A2937">
      <w:pPr>
        <w:pStyle w:val="3"/>
        <w:numPr>
          <w:ilvl w:val="1"/>
          <w:numId w:val="31"/>
        </w:numPr>
        <w:tabs>
          <w:tab w:val="left" w:pos="1304"/>
        </w:tabs>
        <w:spacing w:line="269" w:lineRule="auto"/>
        <w:ind w:left="1304" w:right="-136" w:hanging="737"/>
        <w:jc w:val="both"/>
        <w:rPr>
          <w:color w:val="019648"/>
          <w:sz w:val="36"/>
          <w:szCs w:val="36"/>
          <w:lang w:val="uk-UA"/>
        </w:rPr>
      </w:pPr>
      <w:r w:rsidRPr="007537CB">
        <w:rPr>
          <w:color w:val="019648"/>
          <w:spacing w:val="-2"/>
          <w:w w:val="105"/>
          <w:sz w:val="36"/>
          <w:szCs w:val="36"/>
          <w:lang w:val="uk-UA"/>
        </w:rPr>
        <w:t>Список літератури</w:t>
      </w:r>
    </w:p>
    <w:p w14:paraId="61B91391" w14:textId="77777777" w:rsidR="00E05B98" w:rsidRPr="00327E34" w:rsidRDefault="00B01E0C" w:rsidP="00327E34">
      <w:pPr>
        <w:pStyle w:val="a4"/>
        <w:numPr>
          <w:ilvl w:val="0"/>
          <w:numId w:val="5"/>
        </w:numPr>
        <w:tabs>
          <w:tab w:val="left" w:pos="927"/>
        </w:tabs>
        <w:spacing w:before="186" w:line="269" w:lineRule="auto"/>
        <w:ind w:right="-136"/>
        <w:rPr>
          <w:sz w:val="20"/>
          <w:szCs w:val="20"/>
          <w:lang w:val="uk-UA"/>
        </w:rPr>
      </w:pPr>
      <w:r w:rsidRPr="00327E34">
        <w:rPr>
          <w:spacing w:val="-4"/>
          <w:sz w:val="20"/>
          <w:szCs w:val="20"/>
          <w:lang w:val="uk-UA"/>
        </w:rPr>
        <w:t xml:space="preserve">Public </w:t>
      </w:r>
      <w:proofErr w:type="spellStart"/>
      <w:r w:rsidRPr="00327E34">
        <w:rPr>
          <w:spacing w:val="-4"/>
          <w:sz w:val="20"/>
          <w:szCs w:val="20"/>
          <w:lang w:val="uk-UA"/>
        </w:rPr>
        <w:t>announcement</w:t>
      </w:r>
      <w:proofErr w:type="spellEnd"/>
      <w:r w:rsidRPr="00327E34">
        <w:rPr>
          <w:spacing w:val="-4"/>
          <w:sz w:val="20"/>
          <w:szCs w:val="20"/>
          <w:lang w:val="uk-UA"/>
        </w:rPr>
        <w:t xml:space="preserve"> to TB in vitro </w:t>
      </w:r>
      <w:proofErr w:type="spellStart"/>
      <w:r w:rsidRPr="00327E34">
        <w:rPr>
          <w:spacing w:val="-4"/>
          <w:sz w:val="20"/>
          <w:szCs w:val="20"/>
          <w:lang w:val="uk-UA"/>
        </w:rPr>
        <w:t>diagnostics</w:t>
      </w:r>
      <w:proofErr w:type="spellEnd"/>
      <w:r w:rsidRPr="00327E34">
        <w:rPr>
          <w:spacing w:val="-4"/>
          <w:sz w:val="20"/>
          <w:szCs w:val="20"/>
          <w:lang w:val="uk-UA"/>
        </w:rPr>
        <w:t xml:space="preserve"> </w:t>
      </w:r>
      <w:proofErr w:type="spellStart"/>
      <w:r w:rsidRPr="00327E34">
        <w:rPr>
          <w:spacing w:val="-4"/>
          <w:sz w:val="20"/>
          <w:szCs w:val="20"/>
          <w:lang w:val="uk-UA"/>
        </w:rPr>
        <w:t>manufacturers</w:t>
      </w:r>
      <w:proofErr w:type="spellEnd"/>
      <w:r w:rsidRPr="00327E34">
        <w:rPr>
          <w:spacing w:val="-4"/>
          <w:sz w:val="20"/>
          <w:szCs w:val="20"/>
          <w:lang w:val="uk-UA"/>
        </w:rPr>
        <w:t xml:space="preserve">, </w:t>
      </w:r>
      <w:proofErr w:type="spellStart"/>
      <w:r w:rsidRPr="00327E34">
        <w:rPr>
          <w:spacing w:val="-4"/>
          <w:sz w:val="20"/>
          <w:szCs w:val="20"/>
          <w:lang w:val="uk-UA"/>
        </w:rPr>
        <w:t>procurement</w:t>
      </w:r>
      <w:proofErr w:type="spellEnd"/>
      <w:r w:rsidRPr="00327E34">
        <w:rPr>
          <w:spacing w:val="-4"/>
          <w:sz w:val="20"/>
          <w:szCs w:val="20"/>
          <w:lang w:val="uk-UA"/>
        </w:rPr>
        <w:t xml:space="preserve"> </w:t>
      </w:r>
      <w:proofErr w:type="spellStart"/>
      <w:r w:rsidRPr="00327E34">
        <w:rPr>
          <w:spacing w:val="-4"/>
          <w:sz w:val="20"/>
          <w:szCs w:val="20"/>
          <w:lang w:val="uk-UA"/>
        </w:rPr>
        <w:t>agencies</w:t>
      </w:r>
      <w:proofErr w:type="spellEnd"/>
      <w:r w:rsidRPr="00327E34">
        <w:rPr>
          <w:spacing w:val="-4"/>
          <w:sz w:val="20"/>
          <w:szCs w:val="20"/>
          <w:lang w:val="uk-UA"/>
        </w:rPr>
        <w:t xml:space="preserve"> and </w:t>
      </w:r>
      <w:proofErr w:type="spellStart"/>
      <w:r w:rsidRPr="00327E34">
        <w:rPr>
          <w:spacing w:val="-4"/>
          <w:sz w:val="20"/>
          <w:szCs w:val="20"/>
          <w:lang w:val="uk-UA"/>
        </w:rPr>
        <w:t>national</w:t>
      </w:r>
      <w:proofErr w:type="spellEnd"/>
      <w:r w:rsidRPr="00327E34">
        <w:rPr>
          <w:spacing w:val="-4"/>
          <w:sz w:val="20"/>
          <w:szCs w:val="20"/>
          <w:lang w:val="uk-UA"/>
        </w:rPr>
        <w:t xml:space="preserve"> TB </w:t>
      </w:r>
      <w:proofErr w:type="spellStart"/>
      <w:r w:rsidRPr="00327E34">
        <w:rPr>
          <w:sz w:val="20"/>
          <w:szCs w:val="20"/>
          <w:lang w:val="uk-UA"/>
        </w:rPr>
        <w:t>programmes</w:t>
      </w:r>
      <w:proofErr w:type="spellEnd"/>
      <w:r w:rsidRPr="00327E34">
        <w:rPr>
          <w:spacing w:val="-7"/>
          <w:sz w:val="20"/>
          <w:szCs w:val="20"/>
          <w:lang w:val="uk-UA"/>
        </w:rPr>
        <w:t xml:space="preserve"> </w:t>
      </w:r>
      <w:r w:rsidRPr="00327E34">
        <w:rPr>
          <w:sz w:val="20"/>
          <w:szCs w:val="20"/>
          <w:lang w:val="uk-UA"/>
        </w:rPr>
        <w:t>on</w:t>
      </w:r>
      <w:r w:rsidRPr="00327E34">
        <w:rPr>
          <w:spacing w:val="-7"/>
          <w:sz w:val="20"/>
          <w:szCs w:val="20"/>
          <w:lang w:val="uk-UA"/>
        </w:rPr>
        <w:t xml:space="preserve"> </w:t>
      </w:r>
      <w:proofErr w:type="spellStart"/>
      <w:r w:rsidRPr="00327E34">
        <w:rPr>
          <w:sz w:val="20"/>
          <w:szCs w:val="20"/>
          <w:lang w:val="uk-UA"/>
        </w:rPr>
        <w:t>inclusion</w:t>
      </w:r>
      <w:proofErr w:type="spellEnd"/>
      <w:r w:rsidRPr="00327E34">
        <w:rPr>
          <w:spacing w:val="-7"/>
          <w:sz w:val="20"/>
          <w:szCs w:val="20"/>
          <w:lang w:val="uk-UA"/>
        </w:rPr>
        <w:t xml:space="preserve"> </w:t>
      </w:r>
      <w:r w:rsidRPr="00327E34">
        <w:rPr>
          <w:sz w:val="20"/>
          <w:szCs w:val="20"/>
          <w:lang w:val="uk-UA"/>
        </w:rPr>
        <w:t>of</w:t>
      </w:r>
      <w:r w:rsidRPr="00327E34">
        <w:rPr>
          <w:spacing w:val="-7"/>
          <w:sz w:val="20"/>
          <w:szCs w:val="20"/>
          <w:lang w:val="uk-UA"/>
        </w:rPr>
        <w:t xml:space="preserve"> </w:t>
      </w:r>
      <w:r w:rsidRPr="00327E34">
        <w:rPr>
          <w:sz w:val="20"/>
          <w:szCs w:val="20"/>
          <w:lang w:val="uk-UA"/>
        </w:rPr>
        <w:t>WHO</w:t>
      </w:r>
      <w:r w:rsidRPr="00327E34">
        <w:rPr>
          <w:spacing w:val="-7"/>
          <w:sz w:val="20"/>
          <w:szCs w:val="20"/>
          <w:lang w:val="uk-UA"/>
        </w:rPr>
        <w:t xml:space="preserve"> </w:t>
      </w:r>
      <w:proofErr w:type="spellStart"/>
      <w:r w:rsidRPr="00327E34">
        <w:rPr>
          <w:sz w:val="20"/>
          <w:szCs w:val="20"/>
          <w:lang w:val="uk-UA"/>
        </w:rPr>
        <w:t>prequalification</w:t>
      </w:r>
      <w:proofErr w:type="spellEnd"/>
      <w:r w:rsidRPr="00327E34">
        <w:rPr>
          <w:spacing w:val="-7"/>
          <w:sz w:val="20"/>
          <w:szCs w:val="20"/>
          <w:lang w:val="uk-UA"/>
        </w:rPr>
        <w:t xml:space="preserve"> </w:t>
      </w:r>
      <w:r w:rsidRPr="00327E34">
        <w:rPr>
          <w:sz w:val="20"/>
          <w:szCs w:val="20"/>
          <w:lang w:val="uk-UA"/>
        </w:rPr>
        <w:t>for</w:t>
      </w:r>
      <w:r w:rsidRPr="00327E34">
        <w:rPr>
          <w:spacing w:val="-7"/>
          <w:sz w:val="20"/>
          <w:szCs w:val="20"/>
          <w:lang w:val="uk-UA"/>
        </w:rPr>
        <w:t xml:space="preserve"> </w:t>
      </w:r>
      <w:r w:rsidRPr="00327E34">
        <w:rPr>
          <w:sz w:val="20"/>
          <w:szCs w:val="20"/>
          <w:lang w:val="uk-UA"/>
        </w:rPr>
        <w:t>TB</w:t>
      </w:r>
      <w:r w:rsidRPr="00327E34">
        <w:rPr>
          <w:spacing w:val="-7"/>
          <w:sz w:val="20"/>
          <w:szCs w:val="20"/>
          <w:lang w:val="uk-UA"/>
        </w:rPr>
        <w:t xml:space="preserve"> </w:t>
      </w:r>
      <w:r w:rsidRPr="00327E34">
        <w:rPr>
          <w:sz w:val="20"/>
          <w:szCs w:val="20"/>
          <w:lang w:val="uk-UA"/>
        </w:rPr>
        <w:t>in</w:t>
      </w:r>
      <w:r w:rsidRPr="00327E34">
        <w:rPr>
          <w:spacing w:val="-7"/>
          <w:sz w:val="20"/>
          <w:szCs w:val="20"/>
          <w:lang w:val="uk-UA"/>
        </w:rPr>
        <w:t xml:space="preserve"> </w:t>
      </w:r>
      <w:r w:rsidRPr="00327E34">
        <w:rPr>
          <w:sz w:val="20"/>
          <w:szCs w:val="20"/>
          <w:lang w:val="uk-UA"/>
        </w:rPr>
        <w:t>vitro</w:t>
      </w:r>
      <w:r w:rsidRPr="00327E34">
        <w:rPr>
          <w:spacing w:val="-7"/>
          <w:sz w:val="20"/>
          <w:szCs w:val="20"/>
          <w:lang w:val="uk-UA"/>
        </w:rPr>
        <w:t xml:space="preserve"> </w:t>
      </w:r>
      <w:proofErr w:type="spellStart"/>
      <w:r w:rsidRPr="00327E34">
        <w:rPr>
          <w:sz w:val="20"/>
          <w:szCs w:val="20"/>
          <w:lang w:val="uk-UA"/>
        </w:rPr>
        <w:t>diagnostics</w:t>
      </w:r>
      <w:proofErr w:type="spellEnd"/>
      <w:r w:rsidRPr="00327E34">
        <w:rPr>
          <w:sz w:val="20"/>
          <w:szCs w:val="20"/>
          <w:lang w:val="uk-UA"/>
        </w:rPr>
        <w:t>.</w:t>
      </w:r>
      <w:r w:rsidRPr="00327E34">
        <w:rPr>
          <w:spacing w:val="-7"/>
          <w:sz w:val="20"/>
          <w:szCs w:val="20"/>
          <w:lang w:val="uk-UA"/>
        </w:rPr>
        <w:t xml:space="preserve"> </w:t>
      </w:r>
      <w:r w:rsidRPr="00327E34">
        <w:rPr>
          <w:sz w:val="20"/>
          <w:szCs w:val="20"/>
          <w:lang w:val="uk-UA"/>
        </w:rPr>
        <w:t>Geneva:</w:t>
      </w:r>
      <w:r w:rsidRPr="00327E34">
        <w:rPr>
          <w:spacing w:val="-7"/>
          <w:sz w:val="20"/>
          <w:szCs w:val="20"/>
          <w:lang w:val="uk-UA"/>
        </w:rPr>
        <w:t xml:space="preserve"> </w:t>
      </w:r>
      <w:proofErr w:type="spellStart"/>
      <w:r w:rsidRPr="00327E34">
        <w:rPr>
          <w:sz w:val="20"/>
          <w:szCs w:val="20"/>
          <w:lang w:val="uk-UA"/>
        </w:rPr>
        <w:t>World</w:t>
      </w:r>
      <w:proofErr w:type="spellEnd"/>
      <w:r w:rsidRPr="00327E34">
        <w:rPr>
          <w:spacing w:val="-7"/>
          <w:sz w:val="20"/>
          <w:szCs w:val="20"/>
          <w:lang w:val="uk-UA"/>
        </w:rPr>
        <w:t xml:space="preserve"> </w:t>
      </w:r>
      <w:r w:rsidRPr="00327E34">
        <w:rPr>
          <w:sz w:val="20"/>
          <w:szCs w:val="20"/>
          <w:lang w:val="uk-UA"/>
        </w:rPr>
        <w:t xml:space="preserve">Health </w:t>
      </w:r>
      <w:proofErr w:type="spellStart"/>
      <w:r w:rsidRPr="00327E34">
        <w:rPr>
          <w:w w:val="105"/>
          <w:sz w:val="20"/>
          <w:szCs w:val="20"/>
          <w:lang w:val="uk-UA"/>
        </w:rPr>
        <w:t>Organization</w:t>
      </w:r>
      <w:proofErr w:type="spellEnd"/>
      <w:r w:rsidRPr="00327E34">
        <w:rPr>
          <w:w w:val="105"/>
          <w:sz w:val="20"/>
          <w:szCs w:val="20"/>
          <w:lang w:val="uk-UA"/>
        </w:rPr>
        <w:t>; 2021 (</w:t>
      </w:r>
      <w:hyperlink r:id="rId214">
        <w:r w:rsidRPr="00327E34">
          <w:rPr>
            <w:color w:val="019648"/>
            <w:w w:val="105"/>
            <w:sz w:val="20"/>
            <w:szCs w:val="20"/>
            <w:lang w:val="uk-UA"/>
          </w:rPr>
          <w:t>https://extranet.who.int/pqweb/sites/default/files/documents/210211_</w:t>
        </w:r>
      </w:hyperlink>
      <w:r w:rsidRPr="00327E34">
        <w:rPr>
          <w:color w:val="019648"/>
          <w:w w:val="105"/>
          <w:sz w:val="20"/>
          <w:szCs w:val="20"/>
          <w:lang w:val="uk-UA"/>
        </w:rPr>
        <w:t xml:space="preserve"> </w:t>
      </w:r>
      <w:hyperlink r:id="rId215">
        <w:r w:rsidRPr="00327E34">
          <w:rPr>
            <w:color w:val="019648"/>
            <w:spacing w:val="-2"/>
            <w:w w:val="105"/>
            <w:sz w:val="20"/>
            <w:szCs w:val="20"/>
            <w:lang w:val="uk-UA"/>
          </w:rPr>
          <w:t>PublicAnnouncement_TB_%20in-vitro-diagnostics.pdf</w:t>
        </w:r>
      </w:hyperlink>
      <w:r w:rsidRPr="00327E34">
        <w:rPr>
          <w:spacing w:val="-2"/>
          <w:w w:val="105"/>
          <w:sz w:val="20"/>
          <w:szCs w:val="20"/>
          <w:lang w:val="uk-UA"/>
        </w:rPr>
        <w:t>).</w:t>
      </w:r>
    </w:p>
    <w:p w14:paraId="14308C87" w14:textId="77777777" w:rsidR="00E05B98" w:rsidRPr="00327E34" w:rsidRDefault="00B01E0C">
      <w:pPr>
        <w:pStyle w:val="a4"/>
        <w:numPr>
          <w:ilvl w:val="0"/>
          <w:numId w:val="5"/>
        </w:numPr>
        <w:tabs>
          <w:tab w:val="left" w:pos="927"/>
        </w:tabs>
        <w:spacing w:before="82" w:line="297" w:lineRule="auto"/>
        <w:ind w:right="136"/>
        <w:rPr>
          <w:sz w:val="20"/>
          <w:szCs w:val="20"/>
          <w:lang w:val="uk-UA"/>
        </w:rPr>
      </w:pPr>
      <w:r w:rsidRPr="00327E34">
        <w:rPr>
          <w:spacing w:val="-4"/>
          <w:sz w:val="20"/>
          <w:szCs w:val="20"/>
          <w:lang w:val="uk-UA"/>
        </w:rPr>
        <w:t>Schünemann</w:t>
      </w:r>
      <w:r w:rsidRPr="00327E34">
        <w:rPr>
          <w:spacing w:val="-10"/>
          <w:sz w:val="20"/>
          <w:szCs w:val="20"/>
          <w:lang w:val="uk-UA"/>
        </w:rPr>
        <w:t xml:space="preserve"> </w:t>
      </w:r>
      <w:r w:rsidRPr="00327E34">
        <w:rPr>
          <w:spacing w:val="-4"/>
          <w:sz w:val="20"/>
          <w:szCs w:val="20"/>
          <w:lang w:val="uk-UA"/>
        </w:rPr>
        <w:t>HJ,</w:t>
      </w:r>
      <w:r w:rsidRPr="00327E34">
        <w:rPr>
          <w:spacing w:val="-9"/>
          <w:sz w:val="20"/>
          <w:szCs w:val="20"/>
          <w:lang w:val="uk-UA"/>
        </w:rPr>
        <w:t xml:space="preserve"> </w:t>
      </w:r>
      <w:proofErr w:type="spellStart"/>
      <w:r w:rsidRPr="00327E34">
        <w:rPr>
          <w:spacing w:val="-4"/>
          <w:sz w:val="20"/>
          <w:szCs w:val="20"/>
          <w:lang w:val="uk-UA"/>
        </w:rPr>
        <w:t>Mustafa</w:t>
      </w:r>
      <w:proofErr w:type="spellEnd"/>
      <w:r w:rsidRPr="00327E34">
        <w:rPr>
          <w:spacing w:val="-9"/>
          <w:sz w:val="20"/>
          <w:szCs w:val="20"/>
          <w:lang w:val="uk-UA"/>
        </w:rPr>
        <w:t xml:space="preserve"> </w:t>
      </w:r>
      <w:r w:rsidRPr="00327E34">
        <w:rPr>
          <w:spacing w:val="-4"/>
          <w:sz w:val="20"/>
          <w:szCs w:val="20"/>
          <w:lang w:val="uk-UA"/>
        </w:rPr>
        <w:t>RA,</w:t>
      </w:r>
      <w:r w:rsidRPr="00327E34">
        <w:rPr>
          <w:spacing w:val="-10"/>
          <w:sz w:val="20"/>
          <w:szCs w:val="20"/>
          <w:lang w:val="uk-UA"/>
        </w:rPr>
        <w:t xml:space="preserve"> </w:t>
      </w:r>
      <w:proofErr w:type="spellStart"/>
      <w:r w:rsidRPr="00327E34">
        <w:rPr>
          <w:spacing w:val="-4"/>
          <w:sz w:val="20"/>
          <w:szCs w:val="20"/>
          <w:lang w:val="uk-UA"/>
        </w:rPr>
        <w:t>Brozek</w:t>
      </w:r>
      <w:proofErr w:type="spellEnd"/>
      <w:r w:rsidRPr="00327E34">
        <w:rPr>
          <w:spacing w:val="-9"/>
          <w:sz w:val="20"/>
          <w:szCs w:val="20"/>
          <w:lang w:val="uk-UA"/>
        </w:rPr>
        <w:t xml:space="preserve"> </w:t>
      </w:r>
      <w:r w:rsidRPr="00327E34">
        <w:rPr>
          <w:spacing w:val="-4"/>
          <w:sz w:val="20"/>
          <w:szCs w:val="20"/>
          <w:lang w:val="uk-UA"/>
        </w:rPr>
        <w:t>J,</w:t>
      </w:r>
      <w:r w:rsidRPr="00327E34">
        <w:rPr>
          <w:spacing w:val="-9"/>
          <w:sz w:val="20"/>
          <w:szCs w:val="20"/>
          <w:lang w:val="uk-UA"/>
        </w:rPr>
        <w:t xml:space="preserve"> </w:t>
      </w:r>
      <w:proofErr w:type="spellStart"/>
      <w:r w:rsidRPr="00327E34">
        <w:rPr>
          <w:spacing w:val="-4"/>
          <w:sz w:val="20"/>
          <w:szCs w:val="20"/>
          <w:lang w:val="uk-UA"/>
        </w:rPr>
        <w:t>Steingart</w:t>
      </w:r>
      <w:proofErr w:type="spellEnd"/>
      <w:r w:rsidRPr="00327E34">
        <w:rPr>
          <w:spacing w:val="-9"/>
          <w:sz w:val="20"/>
          <w:szCs w:val="20"/>
          <w:lang w:val="uk-UA"/>
        </w:rPr>
        <w:t xml:space="preserve"> </w:t>
      </w:r>
      <w:r w:rsidRPr="00327E34">
        <w:rPr>
          <w:spacing w:val="-4"/>
          <w:sz w:val="20"/>
          <w:szCs w:val="20"/>
          <w:lang w:val="uk-UA"/>
        </w:rPr>
        <w:t>KR,</w:t>
      </w:r>
      <w:r w:rsidRPr="00327E34">
        <w:rPr>
          <w:spacing w:val="-10"/>
          <w:sz w:val="20"/>
          <w:szCs w:val="20"/>
          <w:lang w:val="uk-UA"/>
        </w:rPr>
        <w:t xml:space="preserve"> </w:t>
      </w:r>
      <w:proofErr w:type="spellStart"/>
      <w:r w:rsidRPr="00327E34">
        <w:rPr>
          <w:spacing w:val="-4"/>
          <w:sz w:val="20"/>
          <w:szCs w:val="20"/>
          <w:lang w:val="uk-UA"/>
        </w:rPr>
        <w:t>Leeflang</w:t>
      </w:r>
      <w:proofErr w:type="spellEnd"/>
      <w:r w:rsidRPr="00327E34">
        <w:rPr>
          <w:spacing w:val="-9"/>
          <w:sz w:val="20"/>
          <w:szCs w:val="20"/>
          <w:lang w:val="uk-UA"/>
        </w:rPr>
        <w:t xml:space="preserve"> </w:t>
      </w:r>
      <w:r w:rsidRPr="00327E34">
        <w:rPr>
          <w:spacing w:val="-4"/>
          <w:sz w:val="20"/>
          <w:szCs w:val="20"/>
          <w:lang w:val="uk-UA"/>
        </w:rPr>
        <w:t>M,</w:t>
      </w:r>
      <w:r w:rsidRPr="00327E34">
        <w:rPr>
          <w:spacing w:val="-9"/>
          <w:sz w:val="20"/>
          <w:szCs w:val="20"/>
          <w:lang w:val="uk-UA"/>
        </w:rPr>
        <w:t xml:space="preserve"> </w:t>
      </w:r>
      <w:proofErr w:type="spellStart"/>
      <w:r w:rsidRPr="00327E34">
        <w:rPr>
          <w:spacing w:val="-4"/>
          <w:sz w:val="20"/>
          <w:szCs w:val="20"/>
          <w:lang w:val="uk-UA"/>
        </w:rPr>
        <w:t>Murad</w:t>
      </w:r>
      <w:proofErr w:type="spellEnd"/>
      <w:r w:rsidRPr="00327E34">
        <w:rPr>
          <w:spacing w:val="-10"/>
          <w:sz w:val="20"/>
          <w:szCs w:val="20"/>
          <w:lang w:val="uk-UA"/>
        </w:rPr>
        <w:t xml:space="preserve"> </w:t>
      </w:r>
      <w:r w:rsidRPr="00327E34">
        <w:rPr>
          <w:spacing w:val="-4"/>
          <w:sz w:val="20"/>
          <w:szCs w:val="20"/>
          <w:lang w:val="uk-UA"/>
        </w:rPr>
        <w:t>MH</w:t>
      </w:r>
      <w:r w:rsidRPr="00327E34">
        <w:rPr>
          <w:spacing w:val="-9"/>
          <w:sz w:val="20"/>
          <w:szCs w:val="20"/>
          <w:lang w:val="uk-UA"/>
        </w:rPr>
        <w:t xml:space="preserve"> </w:t>
      </w:r>
      <w:r w:rsidRPr="00327E34">
        <w:rPr>
          <w:spacing w:val="-4"/>
          <w:sz w:val="20"/>
          <w:szCs w:val="20"/>
          <w:lang w:val="uk-UA"/>
        </w:rPr>
        <w:t>et</w:t>
      </w:r>
      <w:r w:rsidRPr="00327E34">
        <w:rPr>
          <w:spacing w:val="-9"/>
          <w:sz w:val="20"/>
          <w:szCs w:val="20"/>
          <w:lang w:val="uk-UA"/>
        </w:rPr>
        <w:t xml:space="preserve"> </w:t>
      </w:r>
      <w:proofErr w:type="spellStart"/>
      <w:r w:rsidRPr="00327E34">
        <w:rPr>
          <w:spacing w:val="-4"/>
          <w:sz w:val="20"/>
          <w:szCs w:val="20"/>
          <w:lang w:val="uk-UA"/>
        </w:rPr>
        <w:t>al</w:t>
      </w:r>
      <w:proofErr w:type="spellEnd"/>
      <w:r w:rsidRPr="00327E34">
        <w:rPr>
          <w:spacing w:val="-4"/>
          <w:sz w:val="20"/>
          <w:szCs w:val="20"/>
          <w:lang w:val="uk-UA"/>
        </w:rPr>
        <w:t>.</w:t>
      </w:r>
      <w:r w:rsidRPr="00327E34">
        <w:rPr>
          <w:spacing w:val="-9"/>
          <w:sz w:val="20"/>
          <w:szCs w:val="20"/>
          <w:lang w:val="uk-UA"/>
        </w:rPr>
        <w:t xml:space="preserve"> </w:t>
      </w:r>
      <w:r w:rsidRPr="00327E34">
        <w:rPr>
          <w:spacing w:val="-4"/>
          <w:sz w:val="20"/>
          <w:szCs w:val="20"/>
          <w:lang w:val="uk-UA"/>
        </w:rPr>
        <w:t>GRADE</w:t>
      </w:r>
      <w:r w:rsidRPr="00327E34">
        <w:rPr>
          <w:spacing w:val="-10"/>
          <w:sz w:val="20"/>
          <w:szCs w:val="20"/>
          <w:lang w:val="uk-UA"/>
        </w:rPr>
        <w:t xml:space="preserve"> </w:t>
      </w:r>
      <w:proofErr w:type="spellStart"/>
      <w:r w:rsidRPr="00327E34">
        <w:rPr>
          <w:spacing w:val="-4"/>
          <w:sz w:val="20"/>
          <w:szCs w:val="20"/>
          <w:lang w:val="uk-UA"/>
        </w:rPr>
        <w:t>guidelines</w:t>
      </w:r>
      <w:proofErr w:type="spellEnd"/>
      <w:r w:rsidRPr="00327E34">
        <w:rPr>
          <w:spacing w:val="-4"/>
          <w:sz w:val="20"/>
          <w:szCs w:val="20"/>
          <w:lang w:val="uk-UA"/>
        </w:rPr>
        <w:t xml:space="preserve">: </w:t>
      </w:r>
      <w:r w:rsidRPr="00327E34">
        <w:rPr>
          <w:sz w:val="20"/>
          <w:szCs w:val="20"/>
          <w:lang w:val="uk-UA"/>
        </w:rPr>
        <w:t xml:space="preserve">21 </w:t>
      </w:r>
      <w:proofErr w:type="spellStart"/>
      <w:r w:rsidRPr="00327E34">
        <w:rPr>
          <w:sz w:val="20"/>
          <w:szCs w:val="20"/>
          <w:lang w:val="uk-UA"/>
        </w:rPr>
        <w:t>part</w:t>
      </w:r>
      <w:proofErr w:type="spellEnd"/>
      <w:r w:rsidRPr="00327E34">
        <w:rPr>
          <w:sz w:val="20"/>
          <w:szCs w:val="20"/>
          <w:lang w:val="uk-UA"/>
        </w:rPr>
        <w:t xml:space="preserve"> 2. Test </w:t>
      </w:r>
      <w:proofErr w:type="spellStart"/>
      <w:r w:rsidRPr="00327E34">
        <w:rPr>
          <w:sz w:val="20"/>
          <w:szCs w:val="20"/>
          <w:lang w:val="uk-UA"/>
        </w:rPr>
        <w:t>accuracy</w:t>
      </w:r>
      <w:proofErr w:type="spellEnd"/>
      <w:r w:rsidRPr="00327E34">
        <w:rPr>
          <w:sz w:val="20"/>
          <w:szCs w:val="20"/>
          <w:lang w:val="uk-UA"/>
        </w:rPr>
        <w:t xml:space="preserve">: </w:t>
      </w:r>
      <w:proofErr w:type="spellStart"/>
      <w:r w:rsidRPr="00327E34">
        <w:rPr>
          <w:sz w:val="20"/>
          <w:szCs w:val="20"/>
          <w:lang w:val="uk-UA"/>
        </w:rPr>
        <w:t>inconsistency</w:t>
      </w:r>
      <w:proofErr w:type="spellEnd"/>
      <w:r w:rsidRPr="00327E34">
        <w:rPr>
          <w:sz w:val="20"/>
          <w:szCs w:val="20"/>
          <w:lang w:val="uk-UA"/>
        </w:rPr>
        <w:t xml:space="preserve">, </w:t>
      </w:r>
      <w:proofErr w:type="spellStart"/>
      <w:r w:rsidRPr="00327E34">
        <w:rPr>
          <w:sz w:val="20"/>
          <w:szCs w:val="20"/>
          <w:lang w:val="uk-UA"/>
        </w:rPr>
        <w:t>imprecision</w:t>
      </w:r>
      <w:proofErr w:type="spellEnd"/>
      <w:r w:rsidRPr="00327E34">
        <w:rPr>
          <w:sz w:val="20"/>
          <w:szCs w:val="20"/>
          <w:lang w:val="uk-UA"/>
        </w:rPr>
        <w:t xml:space="preserve">, </w:t>
      </w:r>
      <w:proofErr w:type="spellStart"/>
      <w:r w:rsidRPr="00327E34">
        <w:rPr>
          <w:sz w:val="20"/>
          <w:szCs w:val="20"/>
          <w:lang w:val="uk-UA"/>
        </w:rPr>
        <w:t>publication</w:t>
      </w:r>
      <w:proofErr w:type="spellEnd"/>
      <w:r w:rsidRPr="00327E34">
        <w:rPr>
          <w:sz w:val="20"/>
          <w:szCs w:val="20"/>
          <w:lang w:val="uk-UA"/>
        </w:rPr>
        <w:t xml:space="preserve"> </w:t>
      </w:r>
      <w:proofErr w:type="spellStart"/>
      <w:r w:rsidRPr="00327E34">
        <w:rPr>
          <w:sz w:val="20"/>
          <w:szCs w:val="20"/>
          <w:lang w:val="uk-UA"/>
        </w:rPr>
        <w:t>bias</w:t>
      </w:r>
      <w:proofErr w:type="spellEnd"/>
      <w:r w:rsidRPr="00327E34">
        <w:rPr>
          <w:sz w:val="20"/>
          <w:szCs w:val="20"/>
          <w:lang w:val="uk-UA"/>
        </w:rPr>
        <w:t xml:space="preserve">, and </w:t>
      </w:r>
      <w:proofErr w:type="spellStart"/>
      <w:r w:rsidRPr="00327E34">
        <w:rPr>
          <w:sz w:val="20"/>
          <w:szCs w:val="20"/>
          <w:lang w:val="uk-UA"/>
        </w:rPr>
        <w:t>other</w:t>
      </w:r>
      <w:proofErr w:type="spellEnd"/>
      <w:r w:rsidRPr="00327E34">
        <w:rPr>
          <w:sz w:val="20"/>
          <w:szCs w:val="20"/>
          <w:lang w:val="uk-UA"/>
        </w:rPr>
        <w:t xml:space="preserve"> </w:t>
      </w:r>
      <w:proofErr w:type="spellStart"/>
      <w:r w:rsidRPr="00327E34">
        <w:rPr>
          <w:sz w:val="20"/>
          <w:szCs w:val="20"/>
          <w:lang w:val="uk-UA"/>
        </w:rPr>
        <w:t>domains</w:t>
      </w:r>
      <w:proofErr w:type="spellEnd"/>
      <w:r w:rsidRPr="00327E34">
        <w:rPr>
          <w:sz w:val="20"/>
          <w:szCs w:val="20"/>
          <w:lang w:val="uk-UA"/>
        </w:rPr>
        <w:t xml:space="preserve"> for </w:t>
      </w:r>
      <w:proofErr w:type="spellStart"/>
      <w:r w:rsidRPr="00327E34">
        <w:rPr>
          <w:sz w:val="20"/>
          <w:szCs w:val="20"/>
          <w:lang w:val="uk-UA"/>
        </w:rPr>
        <w:t>rating</w:t>
      </w:r>
      <w:proofErr w:type="spellEnd"/>
      <w:r w:rsidRPr="00327E34">
        <w:rPr>
          <w:sz w:val="20"/>
          <w:szCs w:val="20"/>
          <w:lang w:val="uk-UA"/>
        </w:rPr>
        <w:t xml:space="preserve"> the </w:t>
      </w:r>
      <w:proofErr w:type="spellStart"/>
      <w:r w:rsidRPr="00327E34">
        <w:rPr>
          <w:sz w:val="20"/>
          <w:szCs w:val="20"/>
          <w:lang w:val="uk-UA"/>
        </w:rPr>
        <w:t>certainty</w:t>
      </w:r>
      <w:proofErr w:type="spellEnd"/>
      <w:r w:rsidRPr="00327E34">
        <w:rPr>
          <w:sz w:val="20"/>
          <w:szCs w:val="20"/>
          <w:lang w:val="uk-UA"/>
        </w:rPr>
        <w:t xml:space="preserve"> of </w:t>
      </w:r>
      <w:proofErr w:type="spellStart"/>
      <w:r w:rsidRPr="00327E34">
        <w:rPr>
          <w:sz w:val="20"/>
          <w:szCs w:val="20"/>
          <w:lang w:val="uk-UA"/>
        </w:rPr>
        <w:t>evidence</w:t>
      </w:r>
      <w:proofErr w:type="spellEnd"/>
      <w:r w:rsidRPr="00327E34">
        <w:rPr>
          <w:sz w:val="20"/>
          <w:szCs w:val="20"/>
          <w:lang w:val="uk-UA"/>
        </w:rPr>
        <w:t xml:space="preserve"> and </w:t>
      </w:r>
      <w:proofErr w:type="spellStart"/>
      <w:r w:rsidRPr="00327E34">
        <w:rPr>
          <w:sz w:val="20"/>
          <w:szCs w:val="20"/>
          <w:lang w:val="uk-UA"/>
        </w:rPr>
        <w:t>presenting</w:t>
      </w:r>
      <w:proofErr w:type="spellEnd"/>
      <w:r w:rsidRPr="00327E34">
        <w:rPr>
          <w:sz w:val="20"/>
          <w:szCs w:val="20"/>
          <w:lang w:val="uk-UA"/>
        </w:rPr>
        <w:t xml:space="preserve"> </w:t>
      </w:r>
      <w:proofErr w:type="spellStart"/>
      <w:r w:rsidRPr="00327E34">
        <w:rPr>
          <w:sz w:val="20"/>
          <w:szCs w:val="20"/>
          <w:lang w:val="uk-UA"/>
        </w:rPr>
        <w:t>it</w:t>
      </w:r>
      <w:proofErr w:type="spellEnd"/>
      <w:r w:rsidRPr="00327E34">
        <w:rPr>
          <w:sz w:val="20"/>
          <w:szCs w:val="20"/>
          <w:lang w:val="uk-UA"/>
        </w:rPr>
        <w:t xml:space="preserve"> in </w:t>
      </w:r>
      <w:proofErr w:type="spellStart"/>
      <w:r w:rsidRPr="00327E34">
        <w:rPr>
          <w:sz w:val="20"/>
          <w:szCs w:val="20"/>
          <w:lang w:val="uk-UA"/>
        </w:rPr>
        <w:t>evidence</w:t>
      </w:r>
      <w:proofErr w:type="spellEnd"/>
      <w:r w:rsidRPr="00327E34">
        <w:rPr>
          <w:sz w:val="20"/>
          <w:szCs w:val="20"/>
          <w:lang w:val="uk-UA"/>
        </w:rPr>
        <w:t xml:space="preserve"> </w:t>
      </w:r>
      <w:proofErr w:type="spellStart"/>
      <w:r w:rsidRPr="00327E34">
        <w:rPr>
          <w:sz w:val="20"/>
          <w:szCs w:val="20"/>
          <w:lang w:val="uk-UA"/>
        </w:rPr>
        <w:t>profiles</w:t>
      </w:r>
      <w:proofErr w:type="spellEnd"/>
      <w:r w:rsidRPr="00327E34">
        <w:rPr>
          <w:sz w:val="20"/>
          <w:szCs w:val="20"/>
          <w:lang w:val="uk-UA"/>
        </w:rPr>
        <w:t xml:space="preserve"> and </w:t>
      </w:r>
      <w:proofErr w:type="spellStart"/>
      <w:r w:rsidRPr="00327E34">
        <w:rPr>
          <w:sz w:val="20"/>
          <w:szCs w:val="20"/>
          <w:lang w:val="uk-UA"/>
        </w:rPr>
        <w:t>summary</w:t>
      </w:r>
      <w:proofErr w:type="spellEnd"/>
      <w:r w:rsidRPr="00327E34">
        <w:rPr>
          <w:sz w:val="20"/>
          <w:szCs w:val="20"/>
          <w:lang w:val="uk-UA"/>
        </w:rPr>
        <w:t xml:space="preserve"> of </w:t>
      </w:r>
      <w:proofErr w:type="spellStart"/>
      <w:r w:rsidRPr="00327E34">
        <w:rPr>
          <w:sz w:val="20"/>
          <w:szCs w:val="20"/>
          <w:lang w:val="uk-UA"/>
        </w:rPr>
        <w:t>findings</w:t>
      </w:r>
      <w:proofErr w:type="spellEnd"/>
      <w:r w:rsidRPr="00327E34">
        <w:rPr>
          <w:sz w:val="20"/>
          <w:szCs w:val="20"/>
          <w:lang w:val="uk-UA"/>
        </w:rPr>
        <w:t xml:space="preserve"> </w:t>
      </w:r>
      <w:proofErr w:type="spellStart"/>
      <w:r w:rsidRPr="00327E34">
        <w:rPr>
          <w:sz w:val="20"/>
          <w:szCs w:val="20"/>
          <w:lang w:val="uk-UA"/>
        </w:rPr>
        <w:t>tables</w:t>
      </w:r>
      <w:proofErr w:type="spellEnd"/>
      <w:r w:rsidRPr="00327E34">
        <w:rPr>
          <w:sz w:val="20"/>
          <w:szCs w:val="20"/>
          <w:lang w:val="uk-UA"/>
        </w:rPr>
        <w:t>. J Clin</w:t>
      </w:r>
      <w:r w:rsidRPr="00327E34">
        <w:rPr>
          <w:spacing w:val="31"/>
          <w:sz w:val="20"/>
          <w:szCs w:val="20"/>
          <w:lang w:val="uk-UA"/>
        </w:rPr>
        <w:t xml:space="preserve"> </w:t>
      </w:r>
      <w:proofErr w:type="spellStart"/>
      <w:r w:rsidRPr="00327E34">
        <w:rPr>
          <w:sz w:val="20"/>
          <w:szCs w:val="20"/>
          <w:lang w:val="uk-UA"/>
        </w:rPr>
        <w:t>Epidemiol</w:t>
      </w:r>
      <w:proofErr w:type="spellEnd"/>
      <w:r w:rsidRPr="00327E34">
        <w:rPr>
          <w:sz w:val="20"/>
          <w:szCs w:val="20"/>
          <w:lang w:val="uk-UA"/>
        </w:rPr>
        <w:t>.</w:t>
      </w:r>
      <w:r w:rsidRPr="00327E34">
        <w:rPr>
          <w:spacing w:val="31"/>
          <w:sz w:val="20"/>
          <w:szCs w:val="20"/>
          <w:lang w:val="uk-UA"/>
        </w:rPr>
        <w:t xml:space="preserve"> </w:t>
      </w:r>
      <w:r w:rsidRPr="00327E34">
        <w:rPr>
          <w:sz w:val="20"/>
          <w:szCs w:val="20"/>
          <w:lang w:val="uk-UA"/>
        </w:rPr>
        <w:t>2020;122:142–52</w:t>
      </w:r>
      <w:r w:rsidRPr="00327E34">
        <w:rPr>
          <w:spacing w:val="31"/>
          <w:sz w:val="20"/>
          <w:szCs w:val="20"/>
          <w:lang w:val="uk-UA"/>
        </w:rPr>
        <w:t xml:space="preserve"> </w:t>
      </w:r>
      <w:r w:rsidRPr="00327E34">
        <w:rPr>
          <w:sz w:val="20"/>
          <w:szCs w:val="20"/>
          <w:lang w:val="uk-UA"/>
        </w:rPr>
        <w:t>(</w:t>
      </w:r>
      <w:hyperlink r:id="rId216">
        <w:r w:rsidRPr="00327E34">
          <w:rPr>
            <w:color w:val="019648"/>
            <w:sz w:val="20"/>
            <w:szCs w:val="20"/>
            <w:lang w:val="uk-UA"/>
          </w:rPr>
          <w:t>https://pubmed.ncbi.nlm.nih.gov/32058069/</w:t>
        </w:r>
      </w:hyperlink>
      <w:r w:rsidRPr="00327E34">
        <w:rPr>
          <w:sz w:val="20"/>
          <w:szCs w:val="20"/>
          <w:lang w:val="uk-UA"/>
        </w:rPr>
        <w:t>).</w:t>
      </w:r>
    </w:p>
    <w:p w14:paraId="258BE246" w14:textId="77777777" w:rsidR="00E05B98" w:rsidRPr="00327E34" w:rsidRDefault="00B01E0C">
      <w:pPr>
        <w:pStyle w:val="a4"/>
        <w:numPr>
          <w:ilvl w:val="0"/>
          <w:numId w:val="5"/>
        </w:numPr>
        <w:tabs>
          <w:tab w:val="left" w:pos="927"/>
        </w:tabs>
        <w:spacing w:before="82" w:line="297" w:lineRule="auto"/>
        <w:ind w:right="136"/>
        <w:rPr>
          <w:sz w:val="20"/>
          <w:szCs w:val="20"/>
          <w:lang w:val="uk-UA"/>
        </w:rPr>
      </w:pPr>
      <w:r w:rsidRPr="00327E34">
        <w:rPr>
          <w:spacing w:val="-4"/>
          <w:sz w:val="20"/>
          <w:szCs w:val="20"/>
          <w:lang w:val="uk-UA"/>
        </w:rPr>
        <w:t>Schünemann</w:t>
      </w:r>
      <w:r w:rsidRPr="00327E34">
        <w:rPr>
          <w:spacing w:val="-10"/>
          <w:sz w:val="20"/>
          <w:szCs w:val="20"/>
          <w:lang w:val="uk-UA"/>
        </w:rPr>
        <w:t xml:space="preserve"> </w:t>
      </w:r>
      <w:r w:rsidRPr="00327E34">
        <w:rPr>
          <w:spacing w:val="-4"/>
          <w:sz w:val="20"/>
          <w:szCs w:val="20"/>
          <w:lang w:val="uk-UA"/>
        </w:rPr>
        <w:t>HJ,</w:t>
      </w:r>
      <w:r w:rsidRPr="00327E34">
        <w:rPr>
          <w:spacing w:val="-9"/>
          <w:sz w:val="20"/>
          <w:szCs w:val="20"/>
          <w:lang w:val="uk-UA"/>
        </w:rPr>
        <w:t xml:space="preserve"> </w:t>
      </w:r>
      <w:proofErr w:type="spellStart"/>
      <w:r w:rsidRPr="00327E34">
        <w:rPr>
          <w:spacing w:val="-4"/>
          <w:sz w:val="20"/>
          <w:szCs w:val="20"/>
          <w:lang w:val="uk-UA"/>
        </w:rPr>
        <w:t>Mustafa</w:t>
      </w:r>
      <w:proofErr w:type="spellEnd"/>
      <w:r w:rsidRPr="00327E34">
        <w:rPr>
          <w:spacing w:val="-9"/>
          <w:sz w:val="20"/>
          <w:szCs w:val="20"/>
          <w:lang w:val="uk-UA"/>
        </w:rPr>
        <w:t xml:space="preserve"> </w:t>
      </w:r>
      <w:r w:rsidRPr="00327E34">
        <w:rPr>
          <w:spacing w:val="-4"/>
          <w:sz w:val="20"/>
          <w:szCs w:val="20"/>
          <w:lang w:val="uk-UA"/>
        </w:rPr>
        <w:t>RA,</w:t>
      </w:r>
      <w:r w:rsidRPr="00327E34">
        <w:rPr>
          <w:spacing w:val="-10"/>
          <w:sz w:val="20"/>
          <w:szCs w:val="20"/>
          <w:lang w:val="uk-UA"/>
        </w:rPr>
        <w:t xml:space="preserve"> </w:t>
      </w:r>
      <w:proofErr w:type="spellStart"/>
      <w:r w:rsidRPr="00327E34">
        <w:rPr>
          <w:spacing w:val="-4"/>
          <w:sz w:val="20"/>
          <w:szCs w:val="20"/>
          <w:lang w:val="uk-UA"/>
        </w:rPr>
        <w:t>Brozek</w:t>
      </w:r>
      <w:proofErr w:type="spellEnd"/>
      <w:r w:rsidRPr="00327E34">
        <w:rPr>
          <w:spacing w:val="-9"/>
          <w:sz w:val="20"/>
          <w:szCs w:val="20"/>
          <w:lang w:val="uk-UA"/>
        </w:rPr>
        <w:t xml:space="preserve"> </w:t>
      </w:r>
      <w:r w:rsidRPr="00327E34">
        <w:rPr>
          <w:spacing w:val="-4"/>
          <w:sz w:val="20"/>
          <w:szCs w:val="20"/>
          <w:lang w:val="uk-UA"/>
        </w:rPr>
        <w:t>J,</w:t>
      </w:r>
      <w:r w:rsidRPr="00327E34">
        <w:rPr>
          <w:spacing w:val="-9"/>
          <w:sz w:val="20"/>
          <w:szCs w:val="20"/>
          <w:lang w:val="uk-UA"/>
        </w:rPr>
        <w:t xml:space="preserve"> </w:t>
      </w:r>
      <w:proofErr w:type="spellStart"/>
      <w:r w:rsidRPr="00327E34">
        <w:rPr>
          <w:spacing w:val="-4"/>
          <w:sz w:val="20"/>
          <w:szCs w:val="20"/>
          <w:lang w:val="uk-UA"/>
        </w:rPr>
        <w:t>Steingart</w:t>
      </w:r>
      <w:proofErr w:type="spellEnd"/>
      <w:r w:rsidRPr="00327E34">
        <w:rPr>
          <w:spacing w:val="-9"/>
          <w:sz w:val="20"/>
          <w:szCs w:val="20"/>
          <w:lang w:val="uk-UA"/>
        </w:rPr>
        <w:t xml:space="preserve"> </w:t>
      </w:r>
      <w:r w:rsidRPr="00327E34">
        <w:rPr>
          <w:spacing w:val="-4"/>
          <w:sz w:val="20"/>
          <w:szCs w:val="20"/>
          <w:lang w:val="uk-UA"/>
        </w:rPr>
        <w:t>KR,</w:t>
      </w:r>
      <w:r w:rsidRPr="00327E34">
        <w:rPr>
          <w:spacing w:val="-10"/>
          <w:sz w:val="20"/>
          <w:szCs w:val="20"/>
          <w:lang w:val="uk-UA"/>
        </w:rPr>
        <w:t xml:space="preserve"> </w:t>
      </w:r>
      <w:proofErr w:type="spellStart"/>
      <w:r w:rsidRPr="00327E34">
        <w:rPr>
          <w:spacing w:val="-4"/>
          <w:sz w:val="20"/>
          <w:szCs w:val="20"/>
          <w:lang w:val="uk-UA"/>
        </w:rPr>
        <w:t>Leeflang</w:t>
      </w:r>
      <w:proofErr w:type="spellEnd"/>
      <w:r w:rsidRPr="00327E34">
        <w:rPr>
          <w:spacing w:val="-9"/>
          <w:sz w:val="20"/>
          <w:szCs w:val="20"/>
          <w:lang w:val="uk-UA"/>
        </w:rPr>
        <w:t xml:space="preserve"> </w:t>
      </w:r>
      <w:r w:rsidRPr="00327E34">
        <w:rPr>
          <w:spacing w:val="-4"/>
          <w:sz w:val="20"/>
          <w:szCs w:val="20"/>
          <w:lang w:val="uk-UA"/>
        </w:rPr>
        <w:t>M,</w:t>
      </w:r>
      <w:r w:rsidRPr="00327E34">
        <w:rPr>
          <w:spacing w:val="-9"/>
          <w:sz w:val="20"/>
          <w:szCs w:val="20"/>
          <w:lang w:val="uk-UA"/>
        </w:rPr>
        <w:t xml:space="preserve"> </w:t>
      </w:r>
      <w:proofErr w:type="spellStart"/>
      <w:r w:rsidRPr="00327E34">
        <w:rPr>
          <w:spacing w:val="-4"/>
          <w:sz w:val="20"/>
          <w:szCs w:val="20"/>
          <w:lang w:val="uk-UA"/>
        </w:rPr>
        <w:t>Murad</w:t>
      </w:r>
      <w:proofErr w:type="spellEnd"/>
      <w:r w:rsidRPr="00327E34">
        <w:rPr>
          <w:spacing w:val="-10"/>
          <w:sz w:val="20"/>
          <w:szCs w:val="20"/>
          <w:lang w:val="uk-UA"/>
        </w:rPr>
        <w:t xml:space="preserve"> </w:t>
      </w:r>
      <w:r w:rsidRPr="00327E34">
        <w:rPr>
          <w:spacing w:val="-4"/>
          <w:sz w:val="20"/>
          <w:szCs w:val="20"/>
          <w:lang w:val="uk-UA"/>
        </w:rPr>
        <w:t>MH</w:t>
      </w:r>
      <w:r w:rsidRPr="00327E34">
        <w:rPr>
          <w:spacing w:val="-9"/>
          <w:sz w:val="20"/>
          <w:szCs w:val="20"/>
          <w:lang w:val="uk-UA"/>
        </w:rPr>
        <w:t xml:space="preserve"> </w:t>
      </w:r>
      <w:r w:rsidRPr="00327E34">
        <w:rPr>
          <w:spacing w:val="-4"/>
          <w:sz w:val="20"/>
          <w:szCs w:val="20"/>
          <w:lang w:val="uk-UA"/>
        </w:rPr>
        <w:t>et</w:t>
      </w:r>
      <w:r w:rsidRPr="00327E34">
        <w:rPr>
          <w:spacing w:val="-9"/>
          <w:sz w:val="20"/>
          <w:szCs w:val="20"/>
          <w:lang w:val="uk-UA"/>
        </w:rPr>
        <w:t xml:space="preserve"> </w:t>
      </w:r>
      <w:proofErr w:type="spellStart"/>
      <w:r w:rsidRPr="00327E34">
        <w:rPr>
          <w:spacing w:val="-4"/>
          <w:sz w:val="20"/>
          <w:szCs w:val="20"/>
          <w:lang w:val="uk-UA"/>
        </w:rPr>
        <w:t>al</w:t>
      </w:r>
      <w:proofErr w:type="spellEnd"/>
      <w:r w:rsidRPr="00327E34">
        <w:rPr>
          <w:spacing w:val="-4"/>
          <w:sz w:val="20"/>
          <w:szCs w:val="20"/>
          <w:lang w:val="uk-UA"/>
        </w:rPr>
        <w:t>.</w:t>
      </w:r>
      <w:r w:rsidRPr="00327E34">
        <w:rPr>
          <w:spacing w:val="-9"/>
          <w:sz w:val="20"/>
          <w:szCs w:val="20"/>
          <w:lang w:val="uk-UA"/>
        </w:rPr>
        <w:t xml:space="preserve"> </w:t>
      </w:r>
      <w:r w:rsidRPr="00327E34">
        <w:rPr>
          <w:spacing w:val="-4"/>
          <w:sz w:val="20"/>
          <w:szCs w:val="20"/>
          <w:lang w:val="uk-UA"/>
        </w:rPr>
        <w:t>GRADE</w:t>
      </w:r>
      <w:r w:rsidRPr="00327E34">
        <w:rPr>
          <w:spacing w:val="-10"/>
          <w:sz w:val="20"/>
          <w:szCs w:val="20"/>
          <w:lang w:val="uk-UA"/>
        </w:rPr>
        <w:t xml:space="preserve"> </w:t>
      </w:r>
      <w:proofErr w:type="spellStart"/>
      <w:r w:rsidRPr="00327E34">
        <w:rPr>
          <w:spacing w:val="-4"/>
          <w:sz w:val="20"/>
          <w:szCs w:val="20"/>
          <w:lang w:val="uk-UA"/>
        </w:rPr>
        <w:t>guidelines</w:t>
      </w:r>
      <w:proofErr w:type="spellEnd"/>
      <w:r w:rsidRPr="00327E34">
        <w:rPr>
          <w:spacing w:val="-4"/>
          <w:sz w:val="20"/>
          <w:szCs w:val="20"/>
          <w:lang w:val="uk-UA"/>
        </w:rPr>
        <w:t xml:space="preserve">: </w:t>
      </w:r>
      <w:r w:rsidRPr="00327E34">
        <w:rPr>
          <w:sz w:val="20"/>
          <w:szCs w:val="20"/>
          <w:lang w:val="uk-UA"/>
        </w:rPr>
        <w:t>21</w:t>
      </w:r>
      <w:r w:rsidRPr="00327E34">
        <w:rPr>
          <w:spacing w:val="-14"/>
          <w:sz w:val="20"/>
          <w:szCs w:val="20"/>
          <w:lang w:val="uk-UA"/>
        </w:rPr>
        <w:t xml:space="preserve"> </w:t>
      </w:r>
      <w:proofErr w:type="spellStart"/>
      <w:r w:rsidRPr="00327E34">
        <w:rPr>
          <w:sz w:val="20"/>
          <w:szCs w:val="20"/>
          <w:lang w:val="uk-UA"/>
        </w:rPr>
        <w:t>part</w:t>
      </w:r>
      <w:proofErr w:type="spellEnd"/>
      <w:r w:rsidRPr="00327E34">
        <w:rPr>
          <w:spacing w:val="-13"/>
          <w:sz w:val="20"/>
          <w:szCs w:val="20"/>
          <w:lang w:val="uk-UA"/>
        </w:rPr>
        <w:t xml:space="preserve"> </w:t>
      </w:r>
      <w:r w:rsidRPr="00327E34">
        <w:rPr>
          <w:sz w:val="20"/>
          <w:szCs w:val="20"/>
          <w:lang w:val="uk-UA"/>
        </w:rPr>
        <w:t>1.</w:t>
      </w:r>
      <w:r w:rsidRPr="00327E34">
        <w:rPr>
          <w:spacing w:val="-13"/>
          <w:sz w:val="20"/>
          <w:szCs w:val="20"/>
          <w:lang w:val="uk-UA"/>
        </w:rPr>
        <w:t xml:space="preserve"> </w:t>
      </w:r>
      <w:proofErr w:type="spellStart"/>
      <w:r w:rsidRPr="00327E34">
        <w:rPr>
          <w:sz w:val="20"/>
          <w:szCs w:val="20"/>
          <w:lang w:val="uk-UA"/>
        </w:rPr>
        <w:t>Study</w:t>
      </w:r>
      <w:proofErr w:type="spellEnd"/>
      <w:r w:rsidRPr="00327E34">
        <w:rPr>
          <w:spacing w:val="-14"/>
          <w:sz w:val="20"/>
          <w:szCs w:val="20"/>
          <w:lang w:val="uk-UA"/>
        </w:rPr>
        <w:t xml:space="preserve"> </w:t>
      </w:r>
      <w:proofErr w:type="spellStart"/>
      <w:r w:rsidRPr="00327E34">
        <w:rPr>
          <w:sz w:val="20"/>
          <w:szCs w:val="20"/>
          <w:lang w:val="uk-UA"/>
        </w:rPr>
        <w:t>design</w:t>
      </w:r>
      <w:proofErr w:type="spellEnd"/>
      <w:r w:rsidRPr="00327E34">
        <w:rPr>
          <w:sz w:val="20"/>
          <w:szCs w:val="20"/>
          <w:lang w:val="uk-UA"/>
        </w:rPr>
        <w:t>,</w:t>
      </w:r>
      <w:r w:rsidRPr="00327E34">
        <w:rPr>
          <w:spacing w:val="-13"/>
          <w:sz w:val="20"/>
          <w:szCs w:val="20"/>
          <w:lang w:val="uk-UA"/>
        </w:rPr>
        <w:t xml:space="preserve"> </w:t>
      </w:r>
      <w:proofErr w:type="spellStart"/>
      <w:r w:rsidRPr="00327E34">
        <w:rPr>
          <w:sz w:val="20"/>
          <w:szCs w:val="20"/>
          <w:lang w:val="uk-UA"/>
        </w:rPr>
        <w:t>risk</w:t>
      </w:r>
      <w:proofErr w:type="spellEnd"/>
      <w:r w:rsidRPr="00327E34">
        <w:rPr>
          <w:spacing w:val="-13"/>
          <w:sz w:val="20"/>
          <w:szCs w:val="20"/>
          <w:lang w:val="uk-UA"/>
        </w:rPr>
        <w:t xml:space="preserve"> </w:t>
      </w:r>
      <w:r w:rsidRPr="00327E34">
        <w:rPr>
          <w:sz w:val="20"/>
          <w:szCs w:val="20"/>
          <w:lang w:val="uk-UA"/>
        </w:rPr>
        <w:t>of</w:t>
      </w:r>
      <w:r w:rsidRPr="00327E34">
        <w:rPr>
          <w:spacing w:val="-13"/>
          <w:sz w:val="20"/>
          <w:szCs w:val="20"/>
          <w:lang w:val="uk-UA"/>
        </w:rPr>
        <w:t xml:space="preserve"> </w:t>
      </w:r>
      <w:proofErr w:type="spellStart"/>
      <w:r w:rsidRPr="00327E34">
        <w:rPr>
          <w:sz w:val="20"/>
          <w:szCs w:val="20"/>
          <w:lang w:val="uk-UA"/>
        </w:rPr>
        <w:t>bias</w:t>
      </w:r>
      <w:proofErr w:type="spellEnd"/>
      <w:r w:rsidRPr="00327E34">
        <w:rPr>
          <w:sz w:val="20"/>
          <w:szCs w:val="20"/>
          <w:lang w:val="uk-UA"/>
        </w:rPr>
        <w:t>,</w:t>
      </w:r>
      <w:r w:rsidRPr="00327E34">
        <w:rPr>
          <w:spacing w:val="-14"/>
          <w:sz w:val="20"/>
          <w:szCs w:val="20"/>
          <w:lang w:val="uk-UA"/>
        </w:rPr>
        <w:t xml:space="preserve"> </w:t>
      </w:r>
      <w:r w:rsidRPr="00327E34">
        <w:rPr>
          <w:sz w:val="20"/>
          <w:szCs w:val="20"/>
          <w:lang w:val="uk-UA"/>
        </w:rPr>
        <w:t>and</w:t>
      </w:r>
      <w:r w:rsidRPr="00327E34">
        <w:rPr>
          <w:spacing w:val="-13"/>
          <w:sz w:val="20"/>
          <w:szCs w:val="20"/>
          <w:lang w:val="uk-UA"/>
        </w:rPr>
        <w:t xml:space="preserve"> </w:t>
      </w:r>
      <w:proofErr w:type="spellStart"/>
      <w:r w:rsidRPr="00327E34">
        <w:rPr>
          <w:sz w:val="20"/>
          <w:szCs w:val="20"/>
          <w:lang w:val="uk-UA"/>
        </w:rPr>
        <w:t>indirectness</w:t>
      </w:r>
      <w:proofErr w:type="spellEnd"/>
      <w:r w:rsidRPr="00327E34">
        <w:rPr>
          <w:spacing w:val="-13"/>
          <w:sz w:val="20"/>
          <w:szCs w:val="20"/>
          <w:lang w:val="uk-UA"/>
        </w:rPr>
        <w:t xml:space="preserve"> </w:t>
      </w:r>
      <w:r w:rsidRPr="00327E34">
        <w:rPr>
          <w:sz w:val="20"/>
          <w:szCs w:val="20"/>
          <w:lang w:val="uk-UA"/>
        </w:rPr>
        <w:t>in</w:t>
      </w:r>
      <w:r w:rsidRPr="00327E34">
        <w:rPr>
          <w:spacing w:val="-14"/>
          <w:sz w:val="20"/>
          <w:szCs w:val="20"/>
          <w:lang w:val="uk-UA"/>
        </w:rPr>
        <w:t xml:space="preserve"> </w:t>
      </w:r>
      <w:proofErr w:type="spellStart"/>
      <w:r w:rsidRPr="00327E34">
        <w:rPr>
          <w:sz w:val="20"/>
          <w:szCs w:val="20"/>
          <w:lang w:val="uk-UA"/>
        </w:rPr>
        <w:t>rating</w:t>
      </w:r>
      <w:proofErr w:type="spellEnd"/>
      <w:r w:rsidRPr="00327E34">
        <w:rPr>
          <w:spacing w:val="-13"/>
          <w:sz w:val="20"/>
          <w:szCs w:val="20"/>
          <w:lang w:val="uk-UA"/>
        </w:rPr>
        <w:t xml:space="preserve"> </w:t>
      </w:r>
      <w:r w:rsidRPr="00327E34">
        <w:rPr>
          <w:sz w:val="20"/>
          <w:szCs w:val="20"/>
          <w:lang w:val="uk-UA"/>
        </w:rPr>
        <w:t>the</w:t>
      </w:r>
      <w:r w:rsidRPr="00327E34">
        <w:rPr>
          <w:spacing w:val="-13"/>
          <w:sz w:val="20"/>
          <w:szCs w:val="20"/>
          <w:lang w:val="uk-UA"/>
        </w:rPr>
        <w:t xml:space="preserve"> </w:t>
      </w:r>
      <w:proofErr w:type="spellStart"/>
      <w:r w:rsidRPr="00327E34">
        <w:rPr>
          <w:sz w:val="20"/>
          <w:szCs w:val="20"/>
          <w:lang w:val="uk-UA"/>
        </w:rPr>
        <w:t>certainty</w:t>
      </w:r>
      <w:proofErr w:type="spellEnd"/>
      <w:r w:rsidRPr="00327E34">
        <w:rPr>
          <w:spacing w:val="-13"/>
          <w:sz w:val="20"/>
          <w:szCs w:val="20"/>
          <w:lang w:val="uk-UA"/>
        </w:rPr>
        <w:t xml:space="preserve"> </w:t>
      </w:r>
      <w:proofErr w:type="spellStart"/>
      <w:r w:rsidRPr="00327E34">
        <w:rPr>
          <w:sz w:val="20"/>
          <w:szCs w:val="20"/>
          <w:lang w:val="uk-UA"/>
        </w:rPr>
        <w:t>across</w:t>
      </w:r>
      <w:proofErr w:type="spellEnd"/>
      <w:r w:rsidRPr="00327E34">
        <w:rPr>
          <w:spacing w:val="-14"/>
          <w:sz w:val="20"/>
          <w:szCs w:val="20"/>
          <w:lang w:val="uk-UA"/>
        </w:rPr>
        <w:t xml:space="preserve"> </w:t>
      </w:r>
      <w:r w:rsidRPr="00327E34">
        <w:rPr>
          <w:sz w:val="20"/>
          <w:szCs w:val="20"/>
          <w:lang w:val="uk-UA"/>
        </w:rPr>
        <w:t>a</w:t>
      </w:r>
      <w:r w:rsidRPr="00327E34">
        <w:rPr>
          <w:spacing w:val="-13"/>
          <w:sz w:val="20"/>
          <w:szCs w:val="20"/>
          <w:lang w:val="uk-UA"/>
        </w:rPr>
        <w:t xml:space="preserve"> </w:t>
      </w:r>
      <w:proofErr w:type="spellStart"/>
      <w:r w:rsidRPr="00327E34">
        <w:rPr>
          <w:sz w:val="20"/>
          <w:szCs w:val="20"/>
          <w:lang w:val="uk-UA"/>
        </w:rPr>
        <w:t>body</w:t>
      </w:r>
      <w:proofErr w:type="spellEnd"/>
      <w:r w:rsidRPr="00327E34">
        <w:rPr>
          <w:spacing w:val="-13"/>
          <w:sz w:val="20"/>
          <w:szCs w:val="20"/>
          <w:lang w:val="uk-UA"/>
        </w:rPr>
        <w:t xml:space="preserve"> </w:t>
      </w:r>
      <w:r w:rsidRPr="00327E34">
        <w:rPr>
          <w:sz w:val="20"/>
          <w:szCs w:val="20"/>
          <w:lang w:val="uk-UA"/>
        </w:rPr>
        <w:t>of</w:t>
      </w:r>
      <w:r w:rsidRPr="00327E34">
        <w:rPr>
          <w:spacing w:val="-14"/>
          <w:sz w:val="20"/>
          <w:szCs w:val="20"/>
          <w:lang w:val="uk-UA"/>
        </w:rPr>
        <w:t xml:space="preserve"> </w:t>
      </w:r>
      <w:proofErr w:type="spellStart"/>
      <w:r w:rsidRPr="00327E34">
        <w:rPr>
          <w:sz w:val="20"/>
          <w:szCs w:val="20"/>
          <w:lang w:val="uk-UA"/>
        </w:rPr>
        <w:t>evidence</w:t>
      </w:r>
      <w:proofErr w:type="spellEnd"/>
      <w:r w:rsidRPr="00327E34">
        <w:rPr>
          <w:sz w:val="20"/>
          <w:szCs w:val="20"/>
          <w:lang w:val="uk-UA"/>
        </w:rPr>
        <w:t xml:space="preserve"> for</w:t>
      </w:r>
      <w:r w:rsidRPr="00327E34">
        <w:rPr>
          <w:spacing w:val="-2"/>
          <w:sz w:val="20"/>
          <w:szCs w:val="20"/>
          <w:lang w:val="uk-UA"/>
        </w:rPr>
        <w:t xml:space="preserve"> </w:t>
      </w:r>
      <w:proofErr w:type="spellStart"/>
      <w:r w:rsidRPr="00327E34">
        <w:rPr>
          <w:sz w:val="20"/>
          <w:szCs w:val="20"/>
          <w:lang w:val="uk-UA"/>
        </w:rPr>
        <w:t>test</w:t>
      </w:r>
      <w:proofErr w:type="spellEnd"/>
      <w:r w:rsidRPr="00327E34">
        <w:rPr>
          <w:spacing w:val="-2"/>
          <w:sz w:val="20"/>
          <w:szCs w:val="20"/>
          <w:lang w:val="uk-UA"/>
        </w:rPr>
        <w:t xml:space="preserve"> </w:t>
      </w:r>
      <w:proofErr w:type="spellStart"/>
      <w:r w:rsidRPr="00327E34">
        <w:rPr>
          <w:sz w:val="20"/>
          <w:szCs w:val="20"/>
          <w:lang w:val="uk-UA"/>
        </w:rPr>
        <w:t>accuracy</w:t>
      </w:r>
      <w:proofErr w:type="spellEnd"/>
      <w:r w:rsidRPr="00327E34">
        <w:rPr>
          <w:sz w:val="20"/>
          <w:szCs w:val="20"/>
          <w:lang w:val="uk-UA"/>
        </w:rPr>
        <w:t>.</w:t>
      </w:r>
      <w:r w:rsidRPr="00327E34">
        <w:rPr>
          <w:spacing w:val="-2"/>
          <w:sz w:val="20"/>
          <w:szCs w:val="20"/>
          <w:lang w:val="uk-UA"/>
        </w:rPr>
        <w:t xml:space="preserve"> </w:t>
      </w:r>
      <w:r w:rsidRPr="00327E34">
        <w:rPr>
          <w:sz w:val="20"/>
          <w:szCs w:val="20"/>
          <w:lang w:val="uk-UA"/>
        </w:rPr>
        <w:t>J</w:t>
      </w:r>
      <w:r w:rsidRPr="00327E34">
        <w:rPr>
          <w:spacing w:val="-2"/>
          <w:sz w:val="20"/>
          <w:szCs w:val="20"/>
          <w:lang w:val="uk-UA"/>
        </w:rPr>
        <w:t xml:space="preserve"> </w:t>
      </w:r>
      <w:r w:rsidRPr="00327E34">
        <w:rPr>
          <w:sz w:val="20"/>
          <w:szCs w:val="20"/>
          <w:lang w:val="uk-UA"/>
        </w:rPr>
        <w:t>Clin</w:t>
      </w:r>
      <w:r w:rsidRPr="00327E34">
        <w:rPr>
          <w:spacing w:val="-2"/>
          <w:sz w:val="20"/>
          <w:szCs w:val="20"/>
          <w:lang w:val="uk-UA"/>
        </w:rPr>
        <w:t xml:space="preserve"> </w:t>
      </w:r>
      <w:proofErr w:type="spellStart"/>
      <w:r w:rsidRPr="00327E34">
        <w:rPr>
          <w:sz w:val="20"/>
          <w:szCs w:val="20"/>
          <w:lang w:val="uk-UA"/>
        </w:rPr>
        <w:t>Epidemiol</w:t>
      </w:r>
      <w:proofErr w:type="spellEnd"/>
      <w:r w:rsidRPr="00327E34">
        <w:rPr>
          <w:sz w:val="20"/>
          <w:szCs w:val="20"/>
          <w:lang w:val="uk-UA"/>
        </w:rPr>
        <w:t>.</w:t>
      </w:r>
      <w:r w:rsidRPr="00327E34">
        <w:rPr>
          <w:spacing w:val="-2"/>
          <w:sz w:val="20"/>
          <w:szCs w:val="20"/>
          <w:lang w:val="uk-UA"/>
        </w:rPr>
        <w:t xml:space="preserve"> </w:t>
      </w:r>
      <w:r w:rsidRPr="00327E34">
        <w:rPr>
          <w:sz w:val="20"/>
          <w:szCs w:val="20"/>
          <w:lang w:val="uk-UA"/>
        </w:rPr>
        <w:t>2020;122:129–41</w:t>
      </w:r>
      <w:r w:rsidRPr="00327E34">
        <w:rPr>
          <w:spacing w:val="-2"/>
          <w:sz w:val="20"/>
          <w:szCs w:val="20"/>
          <w:lang w:val="uk-UA"/>
        </w:rPr>
        <w:t xml:space="preserve"> </w:t>
      </w:r>
      <w:r w:rsidRPr="00327E34">
        <w:rPr>
          <w:sz w:val="20"/>
          <w:szCs w:val="20"/>
          <w:lang w:val="uk-UA"/>
        </w:rPr>
        <w:t>(</w:t>
      </w:r>
      <w:hyperlink r:id="rId217">
        <w:r w:rsidRPr="00327E34">
          <w:rPr>
            <w:color w:val="019648"/>
            <w:sz w:val="20"/>
            <w:szCs w:val="20"/>
            <w:lang w:val="uk-UA"/>
          </w:rPr>
          <w:t>https://pubmed.ncbi.nlm.nih.gov/32060007/</w:t>
        </w:r>
      </w:hyperlink>
      <w:r w:rsidRPr="00327E34">
        <w:rPr>
          <w:sz w:val="20"/>
          <w:szCs w:val="20"/>
          <w:lang w:val="uk-UA"/>
        </w:rPr>
        <w:t>).</w:t>
      </w:r>
    </w:p>
    <w:p w14:paraId="027458FF" w14:textId="77777777" w:rsidR="00E05B98" w:rsidRPr="00327E34" w:rsidRDefault="00B01E0C">
      <w:pPr>
        <w:pStyle w:val="a4"/>
        <w:numPr>
          <w:ilvl w:val="0"/>
          <w:numId w:val="5"/>
        </w:numPr>
        <w:tabs>
          <w:tab w:val="left" w:pos="926"/>
        </w:tabs>
        <w:spacing w:before="83"/>
        <w:ind w:left="926" w:hanging="359"/>
        <w:rPr>
          <w:sz w:val="20"/>
          <w:szCs w:val="20"/>
          <w:lang w:val="uk-UA"/>
        </w:rPr>
      </w:pPr>
      <w:proofErr w:type="spellStart"/>
      <w:r w:rsidRPr="00327E34">
        <w:rPr>
          <w:spacing w:val="-2"/>
          <w:sz w:val="20"/>
          <w:szCs w:val="20"/>
          <w:lang w:val="uk-UA"/>
        </w:rPr>
        <w:t>McMaster</w:t>
      </w:r>
      <w:proofErr w:type="spellEnd"/>
      <w:r w:rsidRPr="00327E34">
        <w:rPr>
          <w:spacing w:val="2"/>
          <w:sz w:val="20"/>
          <w:szCs w:val="20"/>
          <w:lang w:val="uk-UA"/>
        </w:rPr>
        <w:t xml:space="preserve"> </w:t>
      </w:r>
      <w:proofErr w:type="spellStart"/>
      <w:r w:rsidRPr="00327E34">
        <w:rPr>
          <w:spacing w:val="-2"/>
          <w:sz w:val="20"/>
          <w:szCs w:val="20"/>
          <w:lang w:val="uk-UA"/>
        </w:rPr>
        <w:t>University</w:t>
      </w:r>
      <w:proofErr w:type="spellEnd"/>
      <w:r w:rsidRPr="00327E34">
        <w:rPr>
          <w:spacing w:val="-2"/>
          <w:sz w:val="20"/>
          <w:szCs w:val="20"/>
          <w:lang w:val="uk-UA"/>
        </w:rPr>
        <w:t>.</w:t>
      </w:r>
      <w:r w:rsidRPr="00327E34">
        <w:rPr>
          <w:spacing w:val="3"/>
          <w:sz w:val="20"/>
          <w:szCs w:val="20"/>
          <w:lang w:val="uk-UA"/>
        </w:rPr>
        <w:t xml:space="preserve"> </w:t>
      </w:r>
      <w:r w:rsidRPr="00327E34">
        <w:rPr>
          <w:spacing w:val="-2"/>
          <w:sz w:val="20"/>
          <w:szCs w:val="20"/>
          <w:lang w:val="uk-UA"/>
        </w:rPr>
        <w:t>GRADEpro</w:t>
      </w:r>
      <w:r w:rsidRPr="00327E34">
        <w:rPr>
          <w:spacing w:val="2"/>
          <w:sz w:val="20"/>
          <w:szCs w:val="20"/>
          <w:lang w:val="uk-UA"/>
        </w:rPr>
        <w:t xml:space="preserve"> </w:t>
      </w:r>
      <w:r w:rsidRPr="00327E34">
        <w:rPr>
          <w:spacing w:val="-2"/>
          <w:sz w:val="20"/>
          <w:szCs w:val="20"/>
          <w:lang w:val="uk-UA"/>
        </w:rPr>
        <w:t>GDT</w:t>
      </w:r>
      <w:r w:rsidRPr="00327E34">
        <w:rPr>
          <w:spacing w:val="3"/>
          <w:sz w:val="20"/>
          <w:szCs w:val="20"/>
          <w:lang w:val="uk-UA"/>
        </w:rPr>
        <w:t xml:space="preserve"> </w:t>
      </w:r>
      <w:r w:rsidRPr="00327E34">
        <w:rPr>
          <w:spacing w:val="-2"/>
          <w:sz w:val="20"/>
          <w:szCs w:val="20"/>
          <w:lang w:val="uk-UA"/>
        </w:rPr>
        <w:t>[</w:t>
      </w:r>
      <w:proofErr w:type="spellStart"/>
      <w:r w:rsidRPr="00327E34">
        <w:rPr>
          <w:spacing w:val="-2"/>
          <w:sz w:val="20"/>
          <w:szCs w:val="20"/>
          <w:lang w:val="uk-UA"/>
        </w:rPr>
        <w:t>website</w:t>
      </w:r>
      <w:proofErr w:type="spellEnd"/>
      <w:r w:rsidRPr="00327E34">
        <w:rPr>
          <w:spacing w:val="-2"/>
          <w:sz w:val="20"/>
          <w:szCs w:val="20"/>
          <w:lang w:val="uk-UA"/>
        </w:rPr>
        <w:t>].</w:t>
      </w:r>
      <w:r w:rsidRPr="00327E34">
        <w:rPr>
          <w:spacing w:val="2"/>
          <w:sz w:val="20"/>
          <w:szCs w:val="20"/>
          <w:lang w:val="uk-UA"/>
        </w:rPr>
        <w:t xml:space="preserve"> </w:t>
      </w:r>
      <w:r w:rsidRPr="00327E34">
        <w:rPr>
          <w:spacing w:val="-2"/>
          <w:sz w:val="20"/>
          <w:szCs w:val="20"/>
          <w:lang w:val="uk-UA"/>
        </w:rPr>
        <w:t>2020</w:t>
      </w:r>
      <w:r w:rsidRPr="00327E34">
        <w:rPr>
          <w:spacing w:val="3"/>
          <w:sz w:val="20"/>
          <w:szCs w:val="20"/>
          <w:lang w:val="uk-UA"/>
        </w:rPr>
        <w:t xml:space="preserve"> </w:t>
      </w:r>
      <w:r w:rsidRPr="00327E34">
        <w:rPr>
          <w:spacing w:val="-2"/>
          <w:sz w:val="20"/>
          <w:szCs w:val="20"/>
          <w:lang w:val="uk-UA"/>
        </w:rPr>
        <w:t>(</w:t>
      </w:r>
      <w:hyperlink r:id="rId218">
        <w:r w:rsidRPr="00327E34">
          <w:rPr>
            <w:color w:val="019648"/>
            <w:spacing w:val="-2"/>
            <w:sz w:val="20"/>
            <w:szCs w:val="20"/>
            <w:lang w:val="uk-UA"/>
          </w:rPr>
          <w:t>https://gradepro.org/</w:t>
        </w:r>
      </w:hyperlink>
      <w:r w:rsidRPr="00327E34">
        <w:rPr>
          <w:spacing w:val="-2"/>
          <w:sz w:val="20"/>
          <w:szCs w:val="20"/>
          <w:lang w:val="uk-UA"/>
        </w:rPr>
        <w:t>).</w:t>
      </w:r>
    </w:p>
    <w:p w14:paraId="4486DFA4" w14:textId="77777777" w:rsidR="00E05B98" w:rsidRPr="00327E34" w:rsidRDefault="00B01E0C">
      <w:pPr>
        <w:pStyle w:val="a4"/>
        <w:numPr>
          <w:ilvl w:val="0"/>
          <w:numId w:val="5"/>
        </w:numPr>
        <w:tabs>
          <w:tab w:val="left" w:pos="927"/>
        </w:tabs>
        <w:spacing w:before="139" w:line="297" w:lineRule="auto"/>
        <w:ind w:right="139"/>
        <w:rPr>
          <w:sz w:val="20"/>
          <w:szCs w:val="20"/>
          <w:lang w:val="uk-UA"/>
        </w:rPr>
      </w:pPr>
      <w:proofErr w:type="spellStart"/>
      <w:r w:rsidRPr="00327E34">
        <w:rPr>
          <w:sz w:val="20"/>
          <w:szCs w:val="20"/>
          <w:lang w:val="uk-UA"/>
        </w:rPr>
        <w:t>Starshinova</w:t>
      </w:r>
      <w:proofErr w:type="spellEnd"/>
      <w:r w:rsidRPr="00327E34">
        <w:rPr>
          <w:spacing w:val="-9"/>
          <w:sz w:val="20"/>
          <w:szCs w:val="20"/>
          <w:lang w:val="uk-UA"/>
        </w:rPr>
        <w:t xml:space="preserve"> </w:t>
      </w:r>
      <w:r w:rsidRPr="00327E34">
        <w:rPr>
          <w:sz w:val="20"/>
          <w:szCs w:val="20"/>
          <w:lang w:val="uk-UA"/>
        </w:rPr>
        <w:t>A,</w:t>
      </w:r>
      <w:r w:rsidRPr="00327E34">
        <w:rPr>
          <w:spacing w:val="-9"/>
          <w:sz w:val="20"/>
          <w:szCs w:val="20"/>
          <w:lang w:val="uk-UA"/>
        </w:rPr>
        <w:t xml:space="preserve"> </w:t>
      </w:r>
      <w:proofErr w:type="spellStart"/>
      <w:r w:rsidRPr="00327E34">
        <w:rPr>
          <w:sz w:val="20"/>
          <w:szCs w:val="20"/>
          <w:lang w:val="uk-UA"/>
        </w:rPr>
        <w:t>Zhuravlev</w:t>
      </w:r>
      <w:proofErr w:type="spellEnd"/>
      <w:r w:rsidRPr="00327E34">
        <w:rPr>
          <w:spacing w:val="-9"/>
          <w:sz w:val="20"/>
          <w:szCs w:val="20"/>
          <w:lang w:val="uk-UA"/>
        </w:rPr>
        <w:t xml:space="preserve"> </w:t>
      </w:r>
      <w:r w:rsidRPr="00327E34">
        <w:rPr>
          <w:sz w:val="20"/>
          <w:szCs w:val="20"/>
          <w:lang w:val="uk-UA"/>
        </w:rPr>
        <w:t>V,</w:t>
      </w:r>
      <w:r w:rsidRPr="00327E34">
        <w:rPr>
          <w:spacing w:val="-9"/>
          <w:sz w:val="20"/>
          <w:szCs w:val="20"/>
          <w:lang w:val="uk-UA"/>
        </w:rPr>
        <w:t xml:space="preserve"> </w:t>
      </w:r>
      <w:proofErr w:type="spellStart"/>
      <w:r w:rsidRPr="00327E34">
        <w:rPr>
          <w:sz w:val="20"/>
          <w:szCs w:val="20"/>
          <w:lang w:val="uk-UA"/>
        </w:rPr>
        <w:t>Dovgaluk</w:t>
      </w:r>
      <w:proofErr w:type="spellEnd"/>
      <w:r w:rsidRPr="00327E34">
        <w:rPr>
          <w:spacing w:val="-9"/>
          <w:sz w:val="20"/>
          <w:szCs w:val="20"/>
          <w:lang w:val="uk-UA"/>
        </w:rPr>
        <w:t xml:space="preserve"> </w:t>
      </w:r>
      <w:r w:rsidRPr="00327E34">
        <w:rPr>
          <w:sz w:val="20"/>
          <w:szCs w:val="20"/>
          <w:lang w:val="uk-UA"/>
        </w:rPr>
        <w:t>I,</w:t>
      </w:r>
      <w:r w:rsidRPr="00327E34">
        <w:rPr>
          <w:spacing w:val="-9"/>
          <w:sz w:val="20"/>
          <w:szCs w:val="20"/>
          <w:lang w:val="uk-UA"/>
        </w:rPr>
        <w:t xml:space="preserve"> </w:t>
      </w:r>
      <w:proofErr w:type="spellStart"/>
      <w:r w:rsidRPr="00327E34">
        <w:rPr>
          <w:sz w:val="20"/>
          <w:szCs w:val="20"/>
          <w:lang w:val="uk-UA"/>
        </w:rPr>
        <w:t>Panteleev</w:t>
      </w:r>
      <w:proofErr w:type="spellEnd"/>
      <w:r w:rsidRPr="00327E34">
        <w:rPr>
          <w:spacing w:val="-9"/>
          <w:sz w:val="20"/>
          <w:szCs w:val="20"/>
          <w:lang w:val="uk-UA"/>
        </w:rPr>
        <w:t xml:space="preserve"> </w:t>
      </w:r>
      <w:r w:rsidRPr="00327E34">
        <w:rPr>
          <w:sz w:val="20"/>
          <w:szCs w:val="20"/>
          <w:lang w:val="uk-UA"/>
        </w:rPr>
        <w:t>A,</w:t>
      </w:r>
      <w:r w:rsidRPr="00327E34">
        <w:rPr>
          <w:spacing w:val="-9"/>
          <w:sz w:val="20"/>
          <w:szCs w:val="20"/>
          <w:lang w:val="uk-UA"/>
        </w:rPr>
        <w:t xml:space="preserve"> </w:t>
      </w:r>
      <w:proofErr w:type="spellStart"/>
      <w:r w:rsidRPr="00327E34">
        <w:rPr>
          <w:sz w:val="20"/>
          <w:szCs w:val="20"/>
          <w:lang w:val="uk-UA"/>
        </w:rPr>
        <w:t>Manina</w:t>
      </w:r>
      <w:proofErr w:type="spellEnd"/>
      <w:r w:rsidRPr="00327E34">
        <w:rPr>
          <w:spacing w:val="-9"/>
          <w:sz w:val="20"/>
          <w:szCs w:val="20"/>
          <w:lang w:val="uk-UA"/>
        </w:rPr>
        <w:t xml:space="preserve"> </w:t>
      </w:r>
      <w:r w:rsidRPr="00327E34">
        <w:rPr>
          <w:sz w:val="20"/>
          <w:szCs w:val="20"/>
          <w:lang w:val="uk-UA"/>
        </w:rPr>
        <w:t>V,</w:t>
      </w:r>
      <w:r w:rsidRPr="00327E34">
        <w:rPr>
          <w:spacing w:val="-9"/>
          <w:sz w:val="20"/>
          <w:szCs w:val="20"/>
          <w:lang w:val="uk-UA"/>
        </w:rPr>
        <w:t xml:space="preserve"> </w:t>
      </w:r>
      <w:proofErr w:type="spellStart"/>
      <w:r w:rsidRPr="00327E34">
        <w:rPr>
          <w:sz w:val="20"/>
          <w:szCs w:val="20"/>
          <w:lang w:val="uk-UA"/>
        </w:rPr>
        <w:t>Zinchenko</w:t>
      </w:r>
      <w:proofErr w:type="spellEnd"/>
      <w:r w:rsidRPr="00327E34">
        <w:rPr>
          <w:spacing w:val="-9"/>
          <w:sz w:val="20"/>
          <w:szCs w:val="20"/>
          <w:lang w:val="uk-UA"/>
        </w:rPr>
        <w:t xml:space="preserve"> </w:t>
      </w:r>
      <w:r w:rsidRPr="00327E34">
        <w:rPr>
          <w:sz w:val="20"/>
          <w:szCs w:val="20"/>
          <w:lang w:val="uk-UA"/>
        </w:rPr>
        <w:t>U</w:t>
      </w:r>
      <w:r w:rsidRPr="00327E34">
        <w:rPr>
          <w:spacing w:val="-9"/>
          <w:sz w:val="20"/>
          <w:szCs w:val="20"/>
          <w:lang w:val="uk-UA"/>
        </w:rPr>
        <w:t xml:space="preserve"> </w:t>
      </w:r>
      <w:r w:rsidRPr="00327E34">
        <w:rPr>
          <w:sz w:val="20"/>
          <w:szCs w:val="20"/>
          <w:lang w:val="uk-UA"/>
        </w:rPr>
        <w:t>et</w:t>
      </w:r>
      <w:r w:rsidRPr="00327E34">
        <w:rPr>
          <w:spacing w:val="-9"/>
          <w:sz w:val="20"/>
          <w:szCs w:val="20"/>
          <w:lang w:val="uk-UA"/>
        </w:rPr>
        <w:t xml:space="preserve"> </w:t>
      </w:r>
      <w:proofErr w:type="spellStart"/>
      <w:r w:rsidRPr="00327E34">
        <w:rPr>
          <w:sz w:val="20"/>
          <w:szCs w:val="20"/>
          <w:lang w:val="uk-UA"/>
        </w:rPr>
        <w:t>al</w:t>
      </w:r>
      <w:proofErr w:type="spellEnd"/>
      <w:r w:rsidRPr="00327E34">
        <w:rPr>
          <w:sz w:val="20"/>
          <w:szCs w:val="20"/>
          <w:lang w:val="uk-UA"/>
        </w:rPr>
        <w:t>.</w:t>
      </w:r>
      <w:r w:rsidRPr="00327E34">
        <w:rPr>
          <w:spacing w:val="-9"/>
          <w:sz w:val="20"/>
          <w:szCs w:val="20"/>
          <w:lang w:val="uk-UA"/>
        </w:rPr>
        <w:t xml:space="preserve"> </w:t>
      </w:r>
      <w:r w:rsidRPr="00327E34">
        <w:rPr>
          <w:sz w:val="20"/>
          <w:szCs w:val="20"/>
          <w:lang w:val="uk-UA"/>
        </w:rPr>
        <w:t>A</w:t>
      </w:r>
      <w:r w:rsidRPr="00327E34">
        <w:rPr>
          <w:spacing w:val="-9"/>
          <w:sz w:val="20"/>
          <w:szCs w:val="20"/>
          <w:lang w:val="uk-UA"/>
        </w:rPr>
        <w:t xml:space="preserve"> </w:t>
      </w:r>
      <w:proofErr w:type="spellStart"/>
      <w:r w:rsidRPr="00327E34">
        <w:rPr>
          <w:sz w:val="20"/>
          <w:szCs w:val="20"/>
          <w:lang w:val="uk-UA"/>
        </w:rPr>
        <w:t>comparison</w:t>
      </w:r>
      <w:proofErr w:type="spellEnd"/>
      <w:r w:rsidRPr="00327E34">
        <w:rPr>
          <w:spacing w:val="-9"/>
          <w:sz w:val="20"/>
          <w:szCs w:val="20"/>
          <w:lang w:val="uk-UA"/>
        </w:rPr>
        <w:t xml:space="preserve"> </w:t>
      </w:r>
      <w:r w:rsidRPr="00327E34">
        <w:rPr>
          <w:sz w:val="20"/>
          <w:szCs w:val="20"/>
          <w:lang w:val="uk-UA"/>
        </w:rPr>
        <w:t xml:space="preserve">of </w:t>
      </w:r>
      <w:proofErr w:type="spellStart"/>
      <w:r w:rsidRPr="00327E34">
        <w:rPr>
          <w:sz w:val="20"/>
          <w:szCs w:val="20"/>
          <w:lang w:val="uk-UA"/>
        </w:rPr>
        <w:t>intradermal</w:t>
      </w:r>
      <w:proofErr w:type="spellEnd"/>
      <w:r w:rsidRPr="00327E34">
        <w:rPr>
          <w:sz w:val="20"/>
          <w:szCs w:val="20"/>
          <w:lang w:val="uk-UA"/>
        </w:rPr>
        <w:t xml:space="preserve"> </w:t>
      </w:r>
      <w:proofErr w:type="spellStart"/>
      <w:r w:rsidRPr="00327E34">
        <w:rPr>
          <w:sz w:val="20"/>
          <w:szCs w:val="20"/>
          <w:lang w:val="uk-UA"/>
        </w:rPr>
        <w:t>test</w:t>
      </w:r>
      <w:proofErr w:type="spellEnd"/>
      <w:r w:rsidRPr="00327E34">
        <w:rPr>
          <w:sz w:val="20"/>
          <w:szCs w:val="20"/>
          <w:lang w:val="uk-UA"/>
        </w:rPr>
        <w:t xml:space="preserve"> with </w:t>
      </w:r>
      <w:proofErr w:type="spellStart"/>
      <w:r w:rsidRPr="00327E34">
        <w:rPr>
          <w:sz w:val="20"/>
          <w:szCs w:val="20"/>
          <w:lang w:val="uk-UA"/>
        </w:rPr>
        <w:t>recombinant</w:t>
      </w:r>
      <w:proofErr w:type="spellEnd"/>
      <w:r w:rsidRPr="00327E34">
        <w:rPr>
          <w:sz w:val="20"/>
          <w:szCs w:val="20"/>
          <w:lang w:val="uk-UA"/>
        </w:rPr>
        <w:t xml:space="preserve"> tuberculosis </w:t>
      </w:r>
      <w:proofErr w:type="spellStart"/>
      <w:r w:rsidRPr="00327E34">
        <w:rPr>
          <w:sz w:val="20"/>
          <w:szCs w:val="20"/>
          <w:lang w:val="uk-UA"/>
        </w:rPr>
        <w:t>allergen</w:t>
      </w:r>
      <w:proofErr w:type="spellEnd"/>
      <w:r w:rsidRPr="00327E34">
        <w:rPr>
          <w:sz w:val="20"/>
          <w:szCs w:val="20"/>
          <w:lang w:val="uk-UA"/>
        </w:rPr>
        <w:t xml:space="preserve"> (</w:t>
      </w:r>
      <w:proofErr w:type="spellStart"/>
      <w:r w:rsidRPr="00327E34">
        <w:rPr>
          <w:sz w:val="20"/>
          <w:szCs w:val="20"/>
          <w:lang w:val="uk-UA"/>
        </w:rPr>
        <w:t>diaskintest</w:t>
      </w:r>
      <w:proofErr w:type="spellEnd"/>
      <w:r w:rsidRPr="00327E34">
        <w:rPr>
          <w:sz w:val="20"/>
          <w:szCs w:val="20"/>
          <w:lang w:val="uk-UA"/>
        </w:rPr>
        <w:t xml:space="preserve">) with </w:t>
      </w:r>
      <w:proofErr w:type="spellStart"/>
      <w:r w:rsidRPr="00327E34">
        <w:rPr>
          <w:sz w:val="20"/>
          <w:szCs w:val="20"/>
          <w:lang w:val="uk-UA"/>
        </w:rPr>
        <w:t>other</w:t>
      </w:r>
      <w:proofErr w:type="spellEnd"/>
      <w:r w:rsidRPr="00327E34">
        <w:rPr>
          <w:sz w:val="20"/>
          <w:szCs w:val="20"/>
          <w:lang w:val="uk-UA"/>
        </w:rPr>
        <w:t xml:space="preserve"> </w:t>
      </w:r>
      <w:proofErr w:type="spellStart"/>
      <w:r w:rsidRPr="00327E34">
        <w:rPr>
          <w:sz w:val="20"/>
          <w:szCs w:val="20"/>
          <w:lang w:val="uk-UA"/>
        </w:rPr>
        <w:t>immunologic</w:t>
      </w:r>
      <w:proofErr w:type="spellEnd"/>
      <w:r w:rsidRPr="00327E34">
        <w:rPr>
          <w:sz w:val="20"/>
          <w:szCs w:val="20"/>
          <w:lang w:val="uk-UA"/>
        </w:rPr>
        <w:t xml:space="preserve"> </w:t>
      </w:r>
      <w:proofErr w:type="spellStart"/>
      <w:r w:rsidRPr="00327E34">
        <w:rPr>
          <w:sz w:val="20"/>
          <w:szCs w:val="20"/>
          <w:lang w:val="uk-UA"/>
        </w:rPr>
        <w:t>tests</w:t>
      </w:r>
      <w:proofErr w:type="spellEnd"/>
      <w:r w:rsidRPr="00327E34">
        <w:rPr>
          <w:spacing w:val="40"/>
          <w:sz w:val="20"/>
          <w:szCs w:val="20"/>
          <w:lang w:val="uk-UA"/>
        </w:rPr>
        <w:t xml:space="preserve"> </w:t>
      </w:r>
      <w:r w:rsidRPr="00327E34">
        <w:rPr>
          <w:sz w:val="20"/>
          <w:szCs w:val="20"/>
          <w:lang w:val="uk-UA"/>
        </w:rPr>
        <w:t xml:space="preserve">in the </w:t>
      </w:r>
      <w:proofErr w:type="spellStart"/>
      <w:r w:rsidRPr="00327E34">
        <w:rPr>
          <w:sz w:val="20"/>
          <w:szCs w:val="20"/>
          <w:lang w:val="uk-UA"/>
        </w:rPr>
        <w:t>diagnosis</w:t>
      </w:r>
      <w:proofErr w:type="spellEnd"/>
      <w:r w:rsidRPr="00327E34">
        <w:rPr>
          <w:sz w:val="20"/>
          <w:szCs w:val="20"/>
          <w:lang w:val="uk-UA"/>
        </w:rPr>
        <w:t xml:space="preserve"> of tuberculosis </w:t>
      </w:r>
      <w:proofErr w:type="spellStart"/>
      <w:r w:rsidRPr="00327E34">
        <w:rPr>
          <w:sz w:val="20"/>
          <w:szCs w:val="20"/>
          <w:lang w:val="uk-UA"/>
        </w:rPr>
        <w:t>infection</w:t>
      </w:r>
      <w:proofErr w:type="spellEnd"/>
      <w:r w:rsidRPr="00327E34">
        <w:rPr>
          <w:sz w:val="20"/>
          <w:szCs w:val="20"/>
          <w:lang w:val="uk-UA"/>
        </w:rPr>
        <w:t xml:space="preserve">. International Journal of </w:t>
      </w:r>
      <w:proofErr w:type="spellStart"/>
      <w:r w:rsidRPr="00327E34">
        <w:rPr>
          <w:sz w:val="20"/>
          <w:szCs w:val="20"/>
          <w:lang w:val="uk-UA"/>
        </w:rPr>
        <w:t>Mycobacteriology</w:t>
      </w:r>
      <w:proofErr w:type="spellEnd"/>
      <w:r w:rsidRPr="00327E34">
        <w:rPr>
          <w:sz w:val="20"/>
          <w:szCs w:val="20"/>
          <w:lang w:val="uk-UA"/>
        </w:rPr>
        <w:t>. 2018;7(1):32.</w:t>
      </w:r>
    </w:p>
    <w:p w14:paraId="053E687B" w14:textId="77777777" w:rsidR="00E05B98" w:rsidRPr="00327E34" w:rsidRDefault="00B01E0C">
      <w:pPr>
        <w:pStyle w:val="a4"/>
        <w:numPr>
          <w:ilvl w:val="0"/>
          <w:numId w:val="5"/>
        </w:numPr>
        <w:tabs>
          <w:tab w:val="left" w:pos="927"/>
        </w:tabs>
        <w:spacing w:before="83" w:line="297" w:lineRule="auto"/>
        <w:ind w:right="140"/>
        <w:rPr>
          <w:sz w:val="20"/>
          <w:szCs w:val="20"/>
          <w:lang w:val="uk-UA"/>
        </w:rPr>
      </w:pPr>
      <w:proofErr w:type="spellStart"/>
      <w:r w:rsidRPr="00327E34">
        <w:rPr>
          <w:spacing w:val="-4"/>
          <w:sz w:val="20"/>
          <w:szCs w:val="20"/>
          <w:lang w:val="uk-UA"/>
        </w:rPr>
        <w:t>Starshinova</w:t>
      </w:r>
      <w:proofErr w:type="spellEnd"/>
      <w:r w:rsidRPr="00327E34">
        <w:rPr>
          <w:spacing w:val="-8"/>
          <w:sz w:val="20"/>
          <w:szCs w:val="20"/>
          <w:lang w:val="uk-UA"/>
        </w:rPr>
        <w:t xml:space="preserve"> </w:t>
      </w:r>
      <w:r w:rsidRPr="00327E34">
        <w:rPr>
          <w:spacing w:val="-4"/>
          <w:sz w:val="20"/>
          <w:szCs w:val="20"/>
          <w:lang w:val="uk-UA"/>
        </w:rPr>
        <w:t>A,</w:t>
      </w:r>
      <w:r w:rsidRPr="00327E34">
        <w:rPr>
          <w:spacing w:val="-8"/>
          <w:sz w:val="20"/>
          <w:szCs w:val="20"/>
          <w:lang w:val="uk-UA"/>
        </w:rPr>
        <w:t xml:space="preserve"> </w:t>
      </w:r>
      <w:proofErr w:type="spellStart"/>
      <w:r w:rsidRPr="00327E34">
        <w:rPr>
          <w:spacing w:val="-4"/>
          <w:sz w:val="20"/>
          <w:szCs w:val="20"/>
          <w:lang w:val="uk-UA"/>
        </w:rPr>
        <w:t>Zinchenko</w:t>
      </w:r>
      <w:proofErr w:type="spellEnd"/>
      <w:r w:rsidRPr="00327E34">
        <w:rPr>
          <w:spacing w:val="-8"/>
          <w:sz w:val="20"/>
          <w:szCs w:val="20"/>
          <w:lang w:val="uk-UA"/>
        </w:rPr>
        <w:t xml:space="preserve"> </w:t>
      </w:r>
      <w:r w:rsidRPr="00327E34">
        <w:rPr>
          <w:spacing w:val="-4"/>
          <w:sz w:val="20"/>
          <w:szCs w:val="20"/>
          <w:lang w:val="uk-UA"/>
        </w:rPr>
        <w:t>Y,</w:t>
      </w:r>
      <w:r w:rsidRPr="00327E34">
        <w:rPr>
          <w:spacing w:val="-8"/>
          <w:sz w:val="20"/>
          <w:szCs w:val="20"/>
          <w:lang w:val="uk-UA"/>
        </w:rPr>
        <w:t xml:space="preserve"> </w:t>
      </w:r>
      <w:proofErr w:type="spellStart"/>
      <w:r w:rsidRPr="00327E34">
        <w:rPr>
          <w:spacing w:val="-4"/>
          <w:sz w:val="20"/>
          <w:szCs w:val="20"/>
          <w:lang w:val="uk-UA"/>
        </w:rPr>
        <w:t>Istomina</w:t>
      </w:r>
      <w:proofErr w:type="spellEnd"/>
      <w:r w:rsidRPr="00327E34">
        <w:rPr>
          <w:spacing w:val="-8"/>
          <w:sz w:val="20"/>
          <w:szCs w:val="20"/>
          <w:lang w:val="uk-UA"/>
        </w:rPr>
        <w:t xml:space="preserve"> </w:t>
      </w:r>
      <w:r w:rsidRPr="00327E34">
        <w:rPr>
          <w:spacing w:val="-4"/>
          <w:sz w:val="20"/>
          <w:szCs w:val="20"/>
          <w:lang w:val="uk-UA"/>
        </w:rPr>
        <w:t>E,</w:t>
      </w:r>
      <w:r w:rsidRPr="00327E34">
        <w:rPr>
          <w:spacing w:val="-8"/>
          <w:sz w:val="20"/>
          <w:szCs w:val="20"/>
          <w:lang w:val="uk-UA"/>
        </w:rPr>
        <w:t xml:space="preserve"> </w:t>
      </w:r>
      <w:proofErr w:type="spellStart"/>
      <w:r w:rsidRPr="00327E34">
        <w:rPr>
          <w:spacing w:val="-4"/>
          <w:sz w:val="20"/>
          <w:szCs w:val="20"/>
          <w:lang w:val="uk-UA"/>
        </w:rPr>
        <w:t>Basantsova</w:t>
      </w:r>
      <w:proofErr w:type="spellEnd"/>
      <w:r w:rsidRPr="00327E34">
        <w:rPr>
          <w:spacing w:val="-8"/>
          <w:sz w:val="20"/>
          <w:szCs w:val="20"/>
          <w:lang w:val="uk-UA"/>
        </w:rPr>
        <w:t xml:space="preserve"> </w:t>
      </w:r>
      <w:r w:rsidRPr="00327E34">
        <w:rPr>
          <w:spacing w:val="-4"/>
          <w:sz w:val="20"/>
          <w:szCs w:val="20"/>
          <w:lang w:val="uk-UA"/>
        </w:rPr>
        <w:t>N,</w:t>
      </w:r>
      <w:r w:rsidRPr="00327E34">
        <w:rPr>
          <w:spacing w:val="-8"/>
          <w:sz w:val="20"/>
          <w:szCs w:val="20"/>
          <w:lang w:val="uk-UA"/>
        </w:rPr>
        <w:t xml:space="preserve"> </w:t>
      </w:r>
      <w:proofErr w:type="spellStart"/>
      <w:r w:rsidRPr="00327E34">
        <w:rPr>
          <w:spacing w:val="-4"/>
          <w:sz w:val="20"/>
          <w:szCs w:val="20"/>
          <w:lang w:val="uk-UA"/>
        </w:rPr>
        <w:t>Filatov</w:t>
      </w:r>
      <w:proofErr w:type="spellEnd"/>
      <w:r w:rsidRPr="00327E34">
        <w:rPr>
          <w:spacing w:val="-8"/>
          <w:sz w:val="20"/>
          <w:szCs w:val="20"/>
          <w:lang w:val="uk-UA"/>
        </w:rPr>
        <w:t xml:space="preserve"> </w:t>
      </w:r>
      <w:r w:rsidRPr="00327E34">
        <w:rPr>
          <w:spacing w:val="-4"/>
          <w:sz w:val="20"/>
          <w:szCs w:val="20"/>
          <w:lang w:val="uk-UA"/>
        </w:rPr>
        <w:t>M,</w:t>
      </w:r>
      <w:r w:rsidRPr="00327E34">
        <w:rPr>
          <w:spacing w:val="-8"/>
          <w:sz w:val="20"/>
          <w:szCs w:val="20"/>
          <w:lang w:val="uk-UA"/>
        </w:rPr>
        <w:t xml:space="preserve"> </w:t>
      </w:r>
      <w:proofErr w:type="spellStart"/>
      <w:r w:rsidRPr="00327E34">
        <w:rPr>
          <w:spacing w:val="-4"/>
          <w:sz w:val="20"/>
          <w:szCs w:val="20"/>
          <w:lang w:val="uk-UA"/>
        </w:rPr>
        <w:t>Belyaeva</w:t>
      </w:r>
      <w:proofErr w:type="spellEnd"/>
      <w:r w:rsidRPr="00327E34">
        <w:rPr>
          <w:spacing w:val="-8"/>
          <w:sz w:val="20"/>
          <w:szCs w:val="20"/>
          <w:lang w:val="uk-UA"/>
        </w:rPr>
        <w:t xml:space="preserve"> </w:t>
      </w:r>
      <w:r w:rsidRPr="00327E34">
        <w:rPr>
          <w:spacing w:val="-4"/>
          <w:sz w:val="20"/>
          <w:szCs w:val="20"/>
          <w:lang w:val="uk-UA"/>
        </w:rPr>
        <w:t>E</w:t>
      </w:r>
      <w:r w:rsidRPr="00327E34">
        <w:rPr>
          <w:spacing w:val="-8"/>
          <w:sz w:val="20"/>
          <w:szCs w:val="20"/>
          <w:lang w:val="uk-UA"/>
        </w:rPr>
        <w:t xml:space="preserve"> </w:t>
      </w:r>
      <w:r w:rsidRPr="00327E34">
        <w:rPr>
          <w:spacing w:val="-4"/>
          <w:sz w:val="20"/>
          <w:szCs w:val="20"/>
          <w:lang w:val="uk-UA"/>
        </w:rPr>
        <w:t>et</w:t>
      </w:r>
      <w:r w:rsidRPr="00327E34">
        <w:rPr>
          <w:spacing w:val="-8"/>
          <w:sz w:val="20"/>
          <w:szCs w:val="20"/>
          <w:lang w:val="uk-UA"/>
        </w:rPr>
        <w:t xml:space="preserve"> </w:t>
      </w:r>
      <w:proofErr w:type="spellStart"/>
      <w:r w:rsidRPr="00327E34">
        <w:rPr>
          <w:spacing w:val="-4"/>
          <w:sz w:val="20"/>
          <w:szCs w:val="20"/>
          <w:lang w:val="uk-UA"/>
        </w:rPr>
        <w:t>al</w:t>
      </w:r>
      <w:proofErr w:type="spellEnd"/>
      <w:r w:rsidRPr="00327E34">
        <w:rPr>
          <w:spacing w:val="-4"/>
          <w:sz w:val="20"/>
          <w:szCs w:val="20"/>
          <w:lang w:val="uk-UA"/>
        </w:rPr>
        <w:t>.</w:t>
      </w:r>
      <w:r w:rsidRPr="00327E34">
        <w:rPr>
          <w:spacing w:val="-8"/>
          <w:sz w:val="20"/>
          <w:szCs w:val="20"/>
          <w:lang w:val="uk-UA"/>
        </w:rPr>
        <w:t xml:space="preserve"> </w:t>
      </w:r>
      <w:r w:rsidRPr="00327E34">
        <w:rPr>
          <w:spacing w:val="-4"/>
          <w:sz w:val="20"/>
          <w:szCs w:val="20"/>
          <w:lang w:val="uk-UA"/>
        </w:rPr>
        <w:t>[</w:t>
      </w:r>
      <w:proofErr w:type="spellStart"/>
      <w:r w:rsidRPr="00327E34">
        <w:rPr>
          <w:spacing w:val="-4"/>
          <w:sz w:val="20"/>
          <w:szCs w:val="20"/>
          <w:lang w:val="uk-UA"/>
        </w:rPr>
        <w:t>Diagnosis</w:t>
      </w:r>
      <w:proofErr w:type="spellEnd"/>
      <w:r w:rsidRPr="00327E34">
        <w:rPr>
          <w:spacing w:val="-8"/>
          <w:sz w:val="20"/>
          <w:szCs w:val="20"/>
          <w:lang w:val="uk-UA"/>
        </w:rPr>
        <w:t xml:space="preserve"> </w:t>
      </w:r>
      <w:r w:rsidRPr="00327E34">
        <w:rPr>
          <w:spacing w:val="-4"/>
          <w:sz w:val="20"/>
          <w:szCs w:val="20"/>
          <w:lang w:val="uk-UA"/>
        </w:rPr>
        <w:t>of</w:t>
      </w:r>
      <w:r w:rsidRPr="00327E34">
        <w:rPr>
          <w:spacing w:val="-8"/>
          <w:sz w:val="20"/>
          <w:szCs w:val="20"/>
          <w:lang w:val="uk-UA"/>
        </w:rPr>
        <w:t xml:space="preserve"> </w:t>
      </w:r>
      <w:proofErr w:type="spellStart"/>
      <w:r w:rsidRPr="00327E34">
        <w:rPr>
          <w:spacing w:val="-4"/>
          <w:sz w:val="20"/>
          <w:szCs w:val="20"/>
          <w:lang w:val="uk-UA"/>
        </w:rPr>
        <w:t>latent</w:t>
      </w:r>
      <w:proofErr w:type="spellEnd"/>
      <w:r w:rsidRPr="00327E34">
        <w:rPr>
          <w:spacing w:val="-4"/>
          <w:sz w:val="20"/>
          <w:szCs w:val="20"/>
          <w:lang w:val="uk-UA"/>
        </w:rPr>
        <w:t xml:space="preserve"> </w:t>
      </w:r>
      <w:r w:rsidRPr="00327E34">
        <w:rPr>
          <w:sz w:val="20"/>
          <w:szCs w:val="20"/>
          <w:lang w:val="uk-UA"/>
        </w:rPr>
        <w:t xml:space="preserve">tuberculosis </w:t>
      </w:r>
      <w:proofErr w:type="spellStart"/>
      <w:r w:rsidRPr="00327E34">
        <w:rPr>
          <w:sz w:val="20"/>
          <w:szCs w:val="20"/>
          <w:lang w:val="uk-UA"/>
        </w:rPr>
        <w:t>infection</w:t>
      </w:r>
      <w:proofErr w:type="spellEnd"/>
      <w:r w:rsidRPr="00327E34">
        <w:rPr>
          <w:sz w:val="20"/>
          <w:szCs w:val="20"/>
          <w:lang w:val="uk-UA"/>
        </w:rPr>
        <w:t xml:space="preserve"> in </w:t>
      </w:r>
      <w:proofErr w:type="spellStart"/>
      <w:r w:rsidRPr="00327E34">
        <w:rPr>
          <w:sz w:val="20"/>
          <w:szCs w:val="20"/>
          <w:lang w:val="uk-UA"/>
        </w:rPr>
        <w:t>personnel</w:t>
      </w:r>
      <w:proofErr w:type="spellEnd"/>
      <w:r w:rsidRPr="00327E34">
        <w:rPr>
          <w:sz w:val="20"/>
          <w:szCs w:val="20"/>
          <w:lang w:val="uk-UA"/>
        </w:rPr>
        <w:t xml:space="preserve"> of </w:t>
      </w:r>
      <w:proofErr w:type="spellStart"/>
      <w:r w:rsidRPr="00327E34">
        <w:rPr>
          <w:sz w:val="20"/>
          <w:szCs w:val="20"/>
          <w:lang w:val="uk-UA"/>
        </w:rPr>
        <w:t>various</w:t>
      </w:r>
      <w:proofErr w:type="spellEnd"/>
      <w:r w:rsidRPr="00327E34">
        <w:rPr>
          <w:sz w:val="20"/>
          <w:szCs w:val="20"/>
          <w:lang w:val="uk-UA"/>
        </w:rPr>
        <w:t xml:space="preserve"> </w:t>
      </w:r>
      <w:proofErr w:type="spellStart"/>
      <w:r w:rsidRPr="00327E34">
        <w:rPr>
          <w:sz w:val="20"/>
          <w:szCs w:val="20"/>
          <w:lang w:val="uk-UA"/>
        </w:rPr>
        <w:t>institutions</w:t>
      </w:r>
      <w:proofErr w:type="spellEnd"/>
      <w:r w:rsidRPr="00327E34">
        <w:rPr>
          <w:sz w:val="20"/>
          <w:szCs w:val="20"/>
          <w:lang w:val="uk-UA"/>
        </w:rPr>
        <w:t xml:space="preserve"> and </w:t>
      </w:r>
      <w:proofErr w:type="spellStart"/>
      <w:r w:rsidRPr="00327E34">
        <w:rPr>
          <w:sz w:val="20"/>
          <w:szCs w:val="20"/>
          <w:lang w:val="uk-UA"/>
        </w:rPr>
        <w:t>determination</w:t>
      </w:r>
      <w:proofErr w:type="spellEnd"/>
      <w:r w:rsidRPr="00327E34">
        <w:rPr>
          <w:sz w:val="20"/>
          <w:szCs w:val="20"/>
          <w:lang w:val="uk-UA"/>
        </w:rPr>
        <w:t xml:space="preserve"> of the </w:t>
      </w:r>
      <w:proofErr w:type="spellStart"/>
      <w:r w:rsidRPr="00327E34">
        <w:rPr>
          <w:sz w:val="20"/>
          <w:szCs w:val="20"/>
          <w:lang w:val="uk-UA"/>
        </w:rPr>
        <w:t>risk</w:t>
      </w:r>
      <w:proofErr w:type="spellEnd"/>
      <w:r w:rsidRPr="00327E34">
        <w:rPr>
          <w:sz w:val="20"/>
          <w:szCs w:val="20"/>
          <w:lang w:val="uk-UA"/>
        </w:rPr>
        <w:t xml:space="preserve"> </w:t>
      </w:r>
      <w:proofErr w:type="spellStart"/>
      <w:r w:rsidRPr="00327E34">
        <w:rPr>
          <w:sz w:val="20"/>
          <w:szCs w:val="20"/>
          <w:lang w:val="uk-UA"/>
        </w:rPr>
        <w:t>group</w:t>
      </w:r>
      <w:proofErr w:type="spellEnd"/>
      <w:r w:rsidRPr="00327E34">
        <w:rPr>
          <w:sz w:val="20"/>
          <w:szCs w:val="20"/>
          <w:lang w:val="uk-UA"/>
        </w:rPr>
        <w:t xml:space="preserve"> for tuberculosis]. </w:t>
      </w:r>
      <w:proofErr w:type="spellStart"/>
      <w:r w:rsidRPr="00327E34">
        <w:rPr>
          <w:sz w:val="20"/>
          <w:szCs w:val="20"/>
          <w:lang w:val="uk-UA"/>
        </w:rPr>
        <w:t>Bioprep</w:t>
      </w:r>
      <w:proofErr w:type="spellEnd"/>
      <w:r w:rsidRPr="00327E34">
        <w:rPr>
          <w:sz w:val="20"/>
          <w:szCs w:val="20"/>
          <w:lang w:val="uk-UA"/>
        </w:rPr>
        <w:t xml:space="preserve"> </w:t>
      </w:r>
      <w:proofErr w:type="spellStart"/>
      <w:r w:rsidRPr="00327E34">
        <w:rPr>
          <w:sz w:val="20"/>
          <w:szCs w:val="20"/>
          <w:lang w:val="uk-UA"/>
        </w:rPr>
        <w:t>Prev</w:t>
      </w:r>
      <w:proofErr w:type="spellEnd"/>
      <w:r w:rsidRPr="00327E34">
        <w:rPr>
          <w:sz w:val="20"/>
          <w:szCs w:val="20"/>
          <w:lang w:val="uk-UA"/>
        </w:rPr>
        <w:t xml:space="preserve"> </w:t>
      </w:r>
      <w:proofErr w:type="spellStart"/>
      <w:r w:rsidRPr="00327E34">
        <w:rPr>
          <w:sz w:val="20"/>
          <w:szCs w:val="20"/>
          <w:lang w:val="uk-UA"/>
        </w:rPr>
        <w:t>Diagnosis</w:t>
      </w:r>
      <w:proofErr w:type="spellEnd"/>
      <w:r w:rsidRPr="00327E34">
        <w:rPr>
          <w:sz w:val="20"/>
          <w:szCs w:val="20"/>
          <w:lang w:val="uk-UA"/>
        </w:rPr>
        <w:t xml:space="preserve">. </w:t>
      </w:r>
      <w:proofErr w:type="spellStart"/>
      <w:r w:rsidRPr="00327E34">
        <w:rPr>
          <w:sz w:val="20"/>
          <w:szCs w:val="20"/>
          <w:lang w:val="uk-UA"/>
        </w:rPr>
        <w:t>Treat</w:t>
      </w:r>
      <w:proofErr w:type="spellEnd"/>
      <w:r w:rsidRPr="00327E34">
        <w:rPr>
          <w:sz w:val="20"/>
          <w:szCs w:val="20"/>
          <w:lang w:val="uk-UA"/>
        </w:rPr>
        <w:t>. 2019;19:178–84.</w:t>
      </w:r>
    </w:p>
    <w:p w14:paraId="463AEF41" w14:textId="77777777" w:rsidR="00E05B98" w:rsidRPr="00327E34" w:rsidRDefault="00B01E0C">
      <w:pPr>
        <w:pStyle w:val="a4"/>
        <w:numPr>
          <w:ilvl w:val="0"/>
          <w:numId w:val="5"/>
        </w:numPr>
        <w:tabs>
          <w:tab w:val="left" w:pos="927"/>
        </w:tabs>
        <w:spacing w:before="83" w:line="297" w:lineRule="auto"/>
        <w:ind w:right="140"/>
        <w:rPr>
          <w:sz w:val="20"/>
          <w:szCs w:val="20"/>
          <w:lang w:val="uk-UA"/>
        </w:rPr>
      </w:pPr>
      <w:proofErr w:type="spellStart"/>
      <w:r w:rsidRPr="00327E34">
        <w:rPr>
          <w:sz w:val="20"/>
          <w:szCs w:val="20"/>
          <w:lang w:val="uk-UA"/>
        </w:rPr>
        <w:t>Aggerbeck</w:t>
      </w:r>
      <w:proofErr w:type="spellEnd"/>
      <w:r w:rsidRPr="00327E34">
        <w:rPr>
          <w:spacing w:val="-3"/>
          <w:sz w:val="20"/>
          <w:szCs w:val="20"/>
          <w:lang w:val="uk-UA"/>
        </w:rPr>
        <w:t xml:space="preserve"> </w:t>
      </w:r>
      <w:r w:rsidRPr="00327E34">
        <w:rPr>
          <w:sz w:val="20"/>
          <w:szCs w:val="20"/>
          <w:lang w:val="uk-UA"/>
        </w:rPr>
        <w:t>H,</w:t>
      </w:r>
      <w:r w:rsidRPr="00327E34">
        <w:rPr>
          <w:spacing w:val="-3"/>
          <w:sz w:val="20"/>
          <w:szCs w:val="20"/>
          <w:lang w:val="uk-UA"/>
        </w:rPr>
        <w:t xml:space="preserve"> </w:t>
      </w:r>
      <w:proofErr w:type="spellStart"/>
      <w:r w:rsidRPr="00327E34">
        <w:rPr>
          <w:sz w:val="20"/>
          <w:szCs w:val="20"/>
          <w:lang w:val="uk-UA"/>
        </w:rPr>
        <w:t>Ruhwald</w:t>
      </w:r>
      <w:proofErr w:type="spellEnd"/>
      <w:r w:rsidRPr="00327E34">
        <w:rPr>
          <w:spacing w:val="-3"/>
          <w:sz w:val="20"/>
          <w:szCs w:val="20"/>
          <w:lang w:val="uk-UA"/>
        </w:rPr>
        <w:t xml:space="preserve"> </w:t>
      </w:r>
      <w:r w:rsidRPr="00327E34">
        <w:rPr>
          <w:sz w:val="20"/>
          <w:szCs w:val="20"/>
          <w:lang w:val="uk-UA"/>
        </w:rPr>
        <w:t>M,</w:t>
      </w:r>
      <w:r w:rsidRPr="00327E34">
        <w:rPr>
          <w:spacing w:val="-3"/>
          <w:sz w:val="20"/>
          <w:szCs w:val="20"/>
          <w:lang w:val="uk-UA"/>
        </w:rPr>
        <w:t xml:space="preserve"> </w:t>
      </w:r>
      <w:proofErr w:type="spellStart"/>
      <w:r w:rsidRPr="00327E34">
        <w:rPr>
          <w:sz w:val="20"/>
          <w:szCs w:val="20"/>
          <w:lang w:val="uk-UA"/>
        </w:rPr>
        <w:t>Hoff</w:t>
      </w:r>
      <w:proofErr w:type="spellEnd"/>
      <w:r w:rsidRPr="00327E34">
        <w:rPr>
          <w:spacing w:val="-3"/>
          <w:sz w:val="20"/>
          <w:szCs w:val="20"/>
          <w:lang w:val="uk-UA"/>
        </w:rPr>
        <w:t xml:space="preserve"> </w:t>
      </w:r>
      <w:r w:rsidRPr="00327E34">
        <w:rPr>
          <w:sz w:val="20"/>
          <w:szCs w:val="20"/>
          <w:lang w:val="uk-UA"/>
        </w:rPr>
        <w:t>ST,</w:t>
      </w:r>
      <w:r w:rsidRPr="00327E34">
        <w:rPr>
          <w:spacing w:val="-3"/>
          <w:sz w:val="20"/>
          <w:szCs w:val="20"/>
          <w:lang w:val="uk-UA"/>
        </w:rPr>
        <w:t xml:space="preserve"> </w:t>
      </w:r>
      <w:proofErr w:type="spellStart"/>
      <w:r w:rsidRPr="00327E34">
        <w:rPr>
          <w:sz w:val="20"/>
          <w:szCs w:val="20"/>
          <w:lang w:val="uk-UA"/>
        </w:rPr>
        <w:t>Borregaard</w:t>
      </w:r>
      <w:proofErr w:type="spellEnd"/>
      <w:r w:rsidRPr="00327E34">
        <w:rPr>
          <w:spacing w:val="-3"/>
          <w:sz w:val="20"/>
          <w:szCs w:val="20"/>
          <w:lang w:val="uk-UA"/>
        </w:rPr>
        <w:t xml:space="preserve"> </w:t>
      </w:r>
      <w:r w:rsidRPr="00327E34">
        <w:rPr>
          <w:sz w:val="20"/>
          <w:szCs w:val="20"/>
          <w:lang w:val="uk-UA"/>
        </w:rPr>
        <w:t>B,</w:t>
      </w:r>
      <w:r w:rsidRPr="00327E34">
        <w:rPr>
          <w:spacing w:val="-3"/>
          <w:sz w:val="20"/>
          <w:szCs w:val="20"/>
          <w:lang w:val="uk-UA"/>
        </w:rPr>
        <w:t xml:space="preserve"> </w:t>
      </w:r>
      <w:proofErr w:type="spellStart"/>
      <w:r w:rsidRPr="00327E34">
        <w:rPr>
          <w:sz w:val="20"/>
          <w:szCs w:val="20"/>
          <w:lang w:val="uk-UA"/>
        </w:rPr>
        <w:t>Hellstrom</w:t>
      </w:r>
      <w:proofErr w:type="spellEnd"/>
      <w:r w:rsidRPr="00327E34">
        <w:rPr>
          <w:spacing w:val="-3"/>
          <w:sz w:val="20"/>
          <w:szCs w:val="20"/>
          <w:lang w:val="uk-UA"/>
        </w:rPr>
        <w:t xml:space="preserve"> </w:t>
      </w:r>
      <w:r w:rsidRPr="00327E34">
        <w:rPr>
          <w:sz w:val="20"/>
          <w:szCs w:val="20"/>
          <w:lang w:val="uk-UA"/>
        </w:rPr>
        <w:t>E,</w:t>
      </w:r>
      <w:r w:rsidRPr="00327E34">
        <w:rPr>
          <w:spacing w:val="-3"/>
          <w:sz w:val="20"/>
          <w:szCs w:val="20"/>
          <w:lang w:val="uk-UA"/>
        </w:rPr>
        <w:t xml:space="preserve"> </w:t>
      </w:r>
      <w:proofErr w:type="spellStart"/>
      <w:r w:rsidRPr="00327E34">
        <w:rPr>
          <w:sz w:val="20"/>
          <w:szCs w:val="20"/>
          <w:lang w:val="uk-UA"/>
        </w:rPr>
        <w:t>Malahleha</w:t>
      </w:r>
      <w:proofErr w:type="spellEnd"/>
      <w:r w:rsidRPr="00327E34">
        <w:rPr>
          <w:spacing w:val="-3"/>
          <w:sz w:val="20"/>
          <w:szCs w:val="20"/>
          <w:lang w:val="uk-UA"/>
        </w:rPr>
        <w:t xml:space="preserve"> </w:t>
      </w:r>
      <w:r w:rsidRPr="00327E34">
        <w:rPr>
          <w:sz w:val="20"/>
          <w:szCs w:val="20"/>
          <w:lang w:val="uk-UA"/>
        </w:rPr>
        <w:t>M</w:t>
      </w:r>
      <w:r w:rsidRPr="00327E34">
        <w:rPr>
          <w:spacing w:val="-3"/>
          <w:sz w:val="20"/>
          <w:szCs w:val="20"/>
          <w:lang w:val="uk-UA"/>
        </w:rPr>
        <w:t xml:space="preserve"> </w:t>
      </w:r>
      <w:r w:rsidRPr="00327E34">
        <w:rPr>
          <w:sz w:val="20"/>
          <w:szCs w:val="20"/>
          <w:lang w:val="uk-UA"/>
        </w:rPr>
        <w:t>et</w:t>
      </w:r>
      <w:r w:rsidRPr="00327E34">
        <w:rPr>
          <w:spacing w:val="-3"/>
          <w:sz w:val="20"/>
          <w:szCs w:val="20"/>
          <w:lang w:val="uk-UA"/>
        </w:rPr>
        <w:t xml:space="preserve"> </w:t>
      </w:r>
      <w:proofErr w:type="spellStart"/>
      <w:r w:rsidRPr="00327E34">
        <w:rPr>
          <w:sz w:val="20"/>
          <w:szCs w:val="20"/>
          <w:lang w:val="uk-UA"/>
        </w:rPr>
        <w:t>al</w:t>
      </w:r>
      <w:proofErr w:type="spellEnd"/>
      <w:r w:rsidRPr="00327E34">
        <w:rPr>
          <w:sz w:val="20"/>
          <w:szCs w:val="20"/>
          <w:lang w:val="uk-UA"/>
        </w:rPr>
        <w:t>.</w:t>
      </w:r>
      <w:r w:rsidRPr="00327E34">
        <w:rPr>
          <w:spacing w:val="-3"/>
          <w:sz w:val="20"/>
          <w:szCs w:val="20"/>
          <w:lang w:val="uk-UA"/>
        </w:rPr>
        <w:t xml:space="preserve"> </w:t>
      </w:r>
      <w:r w:rsidRPr="00327E34">
        <w:rPr>
          <w:sz w:val="20"/>
          <w:szCs w:val="20"/>
          <w:lang w:val="uk-UA"/>
        </w:rPr>
        <w:t>C-</w:t>
      </w:r>
      <w:proofErr w:type="spellStart"/>
      <w:r w:rsidRPr="00327E34">
        <w:rPr>
          <w:sz w:val="20"/>
          <w:szCs w:val="20"/>
          <w:lang w:val="uk-UA"/>
        </w:rPr>
        <w:t>Tb</w:t>
      </w:r>
      <w:proofErr w:type="spellEnd"/>
      <w:r w:rsidRPr="00327E34">
        <w:rPr>
          <w:spacing w:val="-3"/>
          <w:sz w:val="20"/>
          <w:szCs w:val="20"/>
          <w:lang w:val="uk-UA"/>
        </w:rPr>
        <w:t xml:space="preserve"> </w:t>
      </w:r>
      <w:proofErr w:type="spellStart"/>
      <w:r w:rsidRPr="00327E34">
        <w:rPr>
          <w:sz w:val="20"/>
          <w:szCs w:val="20"/>
          <w:lang w:val="uk-UA"/>
        </w:rPr>
        <w:t>skin</w:t>
      </w:r>
      <w:proofErr w:type="spellEnd"/>
      <w:r w:rsidRPr="00327E34">
        <w:rPr>
          <w:spacing w:val="-3"/>
          <w:sz w:val="20"/>
          <w:szCs w:val="20"/>
          <w:lang w:val="uk-UA"/>
        </w:rPr>
        <w:t xml:space="preserve"> </w:t>
      </w:r>
      <w:proofErr w:type="spellStart"/>
      <w:r w:rsidRPr="00327E34">
        <w:rPr>
          <w:sz w:val="20"/>
          <w:szCs w:val="20"/>
          <w:lang w:val="uk-UA"/>
        </w:rPr>
        <w:t>test</w:t>
      </w:r>
      <w:proofErr w:type="spellEnd"/>
      <w:r w:rsidRPr="00327E34">
        <w:rPr>
          <w:spacing w:val="-3"/>
          <w:sz w:val="20"/>
          <w:szCs w:val="20"/>
          <w:lang w:val="uk-UA"/>
        </w:rPr>
        <w:t xml:space="preserve"> </w:t>
      </w:r>
      <w:r w:rsidRPr="00327E34">
        <w:rPr>
          <w:sz w:val="20"/>
          <w:szCs w:val="20"/>
          <w:lang w:val="uk-UA"/>
        </w:rPr>
        <w:t xml:space="preserve">to </w:t>
      </w:r>
      <w:proofErr w:type="spellStart"/>
      <w:r w:rsidRPr="00327E34">
        <w:rPr>
          <w:sz w:val="20"/>
          <w:szCs w:val="20"/>
          <w:lang w:val="uk-UA"/>
        </w:rPr>
        <w:t>diagnose</w:t>
      </w:r>
      <w:proofErr w:type="spellEnd"/>
      <w:r w:rsidRPr="00327E34">
        <w:rPr>
          <w:spacing w:val="-1"/>
          <w:sz w:val="20"/>
          <w:szCs w:val="20"/>
          <w:lang w:val="uk-UA"/>
        </w:rPr>
        <w:t xml:space="preserve"> </w:t>
      </w:r>
      <w:r w:rsidRPr="00327E34">
        <w:rPr>
          <w:sz w:val="20"/>
          <w:szCs w:val="20"/>
          <w:lang w:val="uk-UA"/>
        </w:rPr>
        <w:t>Mycobacterium</w:t>
      </w:r>
      <w:r w:rsidRPr="00327E34">
        <w:rPr>
          <w:spacing w:val="-1"/>
          <w:sz w:val="20"/>
          <w:szCs w:val="20"/>
          <w:lang w:val="uk-UA"/>
        </w:rPr>
        <w:t xml:space="preserve"> </w:t>
      </w:r>
      <w:r w:rsidRPr="00327E34">
        <w:rPr>
          <w:sz w:val="20"/>
          <w:szCs w:val="20"/>
          <w:lang w:val="uk-UA"/>
        </w:rPr>
        <w:t>tuberculosis</w:t>
      </w:r>
      <w:r w:rsidRPr="00327E34">
        <w:rPr>
          <w:spacing w:val="-1"/>
          <w:sz w:val="20"/>
          <w:szCs w:val="20"/>
          <w:lang w:val="uk-UA"/>
        </w:rPr>
        <w:t xml:space="preserve"> </w:t>
      </w:r>
      <w:proofErr w:type="spellStart"/>
      <w:r w:rsidRPr="00327E34">
        <w:rPr>
          <w:sz w:val="20"/>
          <w:szCs w:val="20"/>
          <w:lang w:val="uk-UA"/>
        </w:rPr>
        <w:t>infection</w:t>
      </w:r>
      <w:proofErr w:type="spellEnd"/>
      <w:r w:rsidRPr="00327E34">
        <w:rPr>
          <w:spacing w:val="-1"/>
          <w:sz w:val="20"/>
          <w:szCs w:val="20"/>
          <w:lang w:val="uk-UA"/>
        </w:rPr>
        <w:t xml:space="preserve"> </w:t>
      </w:r>
      <w:r w:rsidRPr="00327E34">
        <w:rPr>
          <w:sz w:val="20"/>
          <w:szCs w:val="20"/>
          <w:lang w:val="uk-UA"/>
        </w:rPr>
        <w:t>in</w:t>
      </w:r>
      <w:r w:rsidRPr="00327E34">
        <w:rPr>
          <w:spacing w:val="-1"/>
          <w:sz w:val="20"/>
          <w:szCs w:val="20"/>
          <w:lang w:val="uk-UA"/>
        </w:rPr>
        <w:t xml:space="preserve"> </w:t>
      </w:r>
      <w:proofErr w:type="spellStart"/>
      <w:r w:rsidRPr="00327E34">
        <w:rPr>
          <w:sz w:val="20"/>
          <w:szCs w:val="20"/>
          <w:lang w:val="uk-UA"/>
        </w:rPr>
        <w:t>children</w:t>
      </w:r>
      <w:proofErr w:type="spellEnd"/>
      <w:r w:rsidRPr="00327E34">
        <w:rPr>
          <w:spacing w:val="-1"/>
          <w:sz w:val="20"/>
          <w:szCs w:val="20"/>
          <w:lang w:val="uk-UA"/>
        </w:rPr>
        <w:t xml:space="preserve"> </w:t>
      </w:r>
      <w:r w:rsidRPr="00327E34">
        <w:rPr>
          <w:sz w:val="20"/>
          <w:szCs w:val="20"/>
          <w:lang w:val="uk-UA"/>
        </w:rPr>
        <w:t>and</w:t>
      </w:r>
      <w:r w:rsidRPr="00327E34">
        <w:rPr>
          <w:spacing w:val="-1"/>
          <w:sz w:val="20"/>
          <w:szCs w:val="20"/>
          <w:lang w:val="uk-UA"/>
        </w:rPr>
        <w:t xml:space="preserve"> </w:t>
      </w:r>
      <w:r w:rsidRPr="00327E34">
        <w:rPr>
          <w:sz w:val="20"/>
          <w:szCs w:val="20"/>
          <w:lang w:val="uk-UA"/>
        </w:rPr>
        <w:t>HIV-</w:t>
      </w:r>
      <w:proofErr w:type="spellStart"/>
      <w:r w:rsidRPr="00327E34">
        <w:rPr>
          <w:sz w:val="20"/>
          <w:szCs w:val="20"/>
          <w:lang w:val="uk-UA"/>
        </w:rPr>
        <w:t>infected</w:t>
      </w:r>
      <w:proofErr w:type="spellEnd"/>
      <w:r w:rsidRPr="00327E34">
        <w:rPr>
          <w:spacing w:val="-1"/>
          <w:sz w:val="20"/>
          <w:szCs w:val="20"/>
          <w:lang w:val="uk-UA"/>
        </w:rPr>
        <w:t xml:space="preserve"> </w:t>
      </w:r>
      <w:proofErr w:type="spellStart"/>
      <w:r w:rsidRPr="00327E34">
        <w:rPr>
          <w:sz w:val="20"/>
          <w:szCs w:val="20"/>
          <w:lang w:val="uk-UA"/>
        </w:rPr>
        <w:t>adults</w:t>
      </w:r>
      <w:proofErr w:type="spellEnd"/>
      <w:r w:rsidRPr="00327E34">
        <w:rPr>
          <w:sz w:val="20"/>
          <w:szCs w:val="20"/>
          <w:lang w:val="uk-UA"/>
        </w:rPr>
        <w:t>:</w:t>
      </w:r>
      <w:r w:rsidRPr="00327E34">
        <w:rPr>
          <w:spacing w:val="-1"/>
          <w:sz w:val="20"/>
          <w:szCs w:val="20"/>
          <w:lang w:val="uk-UA"/>
        </w:rPr>
        <w:t xml:space="preserve"> </w:t>
      </w:r>
      <w:r w:rsidRPr="00327E34">
        <w:rPr>
          <w:sz w:val="20"/>
          <w:szCs w:val="20"/>
          <w:lang w:val="uk-UA"/>
        </w:rPr>
        <w:t>A</w:t>
      </w:r>
      <w:r w:rsidRPr="00327E34">
        <w:rPr>
          <w:spacing w:val="-1"/>
          <w:sz w:val="20"/>
          <w:szCs w:val="20"/>
          <w:lang w:val="uk-UA"/>
        </w:rPr>
        <w:t xml:space="preserve"> </w:t>
      </w:r>
      <w:proofErr w:type="spellStart"/>
      <w:r w:rsidRPr="00327E34">
        <w:rPr>
          <w:sz w:val="20"/>
          <w:szCs w:val="20"/>
          <w:lang w:val="uk-UA"/>
        </w:rPr>
        <w:t>phase</w:t>
      </w:r>
      <w:proofErr w:type="spellEnd"/>
      <w:r w:rsidRPr="00327E34">
        <w:rPr>
          <w:spacing w:val="-1"/>
          <w:sz w:val="20"/>
          <w:szCs w:val="20"/>
          <w:lang w:val="uk-UA"/>
        </w:rPr>
        <w:t xml:space="preserve"> </w:t>
      </w:r>
      <w:r w:rsidRPr="00327E34">
        <w:rPr>
          <w:sz w:val="20"/>
          <w:szCs w:val="20"/>
          <w:lang w:val="uk-UA"/>
        </w:rPr>
        <w:t>3</w:t>
      </w:r>
      <w:r w:rsidRPr="00327E34">
        <w:rPr>
          <w:spacing w:val="-1"/>
          <w:sz w:val="20"/>
          <w:szCs w:val="20"/>
          <w:lang w:val="uk-UA"/>
        </w:rPr>
        <w:t xml:space="preserve"> </w:t>
      </w:r>
      <w:proofErr w:type="spellStart"/>
      <w:r w:rsidRPr="00327E34">
        <w:rPr>
          <w:sz w:val="20"/>
          <w:szCs w:val="20"/>
          <w:lang w:val="uk-UA"/>
        </w:rPr>
        <w:t>trial</w:t>
      </w:r>
      <w:proofErr w:type="spellEnd"/>
      <w:r w:rsidRPr="00327E34">
        <w:rPr>
          <w:sz w:val="20"/>
          <w:szCs w:val="20"/>
          <w:lang w:val="uk-UA"/>
        </w:rPr>
        <w:t>. PLoS</w:t>
      </w:r>
      <w:r w:rsidRPr="00327E34">
        <w:rPr>
          <w:spacing w:val="25"/>
          <w:sz w:val="20"/>
          <w:szCs w:val="20"/>
          <w:lang w:val="uk-UA"/>
        </w:rPr>
        <w:t xml:space="preserve"> </w:t>
      </w:r>
      <w:r w:rsidRPr="00327E34">
        <w:rPr>
          <w:sz w:val="20"/>
          <w:szCs w:val="20"/>
          <w:lang w:val="uk-UA"/>
        </w:rPr>
        <w:t>One.</w:t>
      </w:r>
      <w:r w:rsidRPr="00327E34">
        <w:rPr>
          <w:spacing w:val="25"/>
          <w:sz w:val="20"/>
          <w:szCs w:val="20"/>
          <w:lang w:val="uk-UA"/>
        </w:rPr>
        <w:t xml:space="preserve"> </w:t>
      </w:r>
      <w:r w:rsidRPr="00327E34">
        <w:rPr>
          <w:sz w:val="20"/>
          <w:szCs w:val="20"/>
          <w:lang w:val="uk-UA"/>
        </w:rPr>
        <w:t>2018;13(9):e0204554</w:t>
      </w:r>
      <w:r w:rsidRPr="00327E34">
        <w:rPr>
          <w:spacing w:val="25"/>
          <w:sz w:val="20"/>
          <w:szCs w:val="20"/>
          <w:lang w:val="uk-UA"/>
        </w:rPr>
        <w:t xml:space="preserve"> </w:t>
      </w:r>
      <w:r w:rsidRPr="00327E34">
        <w:rPr>
          <w:sz w:val="20"/>
          <w:szCs w:val="20"/>
          <w:lang w:val="uk-UA"/>
        </w:rPr>
        <w:t>(</w:t>
      </w:r>
      <w:hyperlink r:id="rId219">
        <w:r w:rsidRPr="00327E34">
          <w:rPr>
            <w:color w:val="019648"/>
            <w:sz w:val="20"/>
            <w:szCs w:val="20"/>
            <w:lang w:val="uk-UA"/>
          </w:rPr>
          <w:t>https://www.ncbi.nlm.nih.gov/pubmed/30248152</w:t>
        </w:r>
      </w:hyperlink>
      <w:r w:rsidRPr="00327E34">
        <w:rPr>
          <w:sz w:val="20"/>
          <w:szCs w:val="20"/>
          <w:lang w:val="uk-UA"/>
        </w:rPr>
        <w:t>).</w:t>
      </w:r>
    </w:p>
    <w:p w14:paraId="5DF96FC5" w14:textId="77777777" w:rsidR="00E05B98" w:rsidRPr="00327E34" w:rsidRDefault="00E05B98">
      <w:pPr>
        <w:pStyle w:val="a4"/>
        <w:spacing w:line="297" w:lineRule="auto"/>
        <w:rPr>
          <w:sz w:val="20"/>
          <w:szCs w:val="20"/>
          <w:lang w:val="uk-UA"/>
        </w:rPr>
        <w:sectPr w:rsidR="00E05B98" w:rsidRPr="00327E34" w:rsidSect="00EC3CEE">
          <w:pgSz w:w="11910" w:h="16840"/>
          <w:pgMar w:top="1134" w:right="1275" w:bottom="760" w:left="850" w:header="0" w:footer="573" w:gutter="0"/>
          <w:cols w:space="720"/>
        </w:sectPr>
      </w:pPr>
    </w:p>
    <w:p w14:paraId="4541CCA1" w14:textId="77777777" w:rsidR="00E05B98" w:rsidRPr="00327E34" w:rsidRDefault="00B01E0C">
      <w:pPr>
        <w:pStyle w:val="a4"/>
        <w:numPr>
          <w:ilvl w:val="0"/>
          <w:numId w:val="5"/>
        </w:numPr>
        <w:tabs>
          <w:tab w:val="left" w:pos="927"/>
        </w:tabs>
        <w:spacing w:before="55" w:line="297" w:lineRule="auto"/>
        <w:ind w:right="139"/>
        <w:rPr>
          <w:sz w:val="20"/>
          <w:szCs w:val="20"/>
          <w:lang w:val="uk-UA"/>
        </w:rPr>
      </w:pPr>
      <w:proofErr w:type="spellStart"/>
      <w:r w:rsidRPr="00327E34">
        <w:rPr>
          <w:sz w:val="20"/>
          <w:szCs w:val="20"/>
          <w:lang w:val="uk-UA"/>
        </w:rPr>
        <w:lastRenderedPageBreak/>
        <w:t>Aggerbeck</w:t>
      </w:r>
      <w:proofErr w:type="spellEnd"/>
      <w:r w:rsidRPr="00327E34">
        <w:rPr>
          <w:spacing w:val="-2"/>
          <w:sz w:val="20"/>
          <w:szCs w:val="20"/>
          <w:lang w:val="uk-UA"/>
        </w:rPr>
        <w:t xml:space="preserve"> </w:t>
      </w:r>
      <w:r w:rsidRPr="00327E34">
        <w:rPr>
          <w:sz w:val="20"/>
          <w:szCs w:val="20"/>
          <w:lang w:val="uk-UA"/>
        </w:rPr>
        <w:t>H,</w:t>
      </w:r>
      <w:r w:rsidRPr="00327E34">
        <w:rPr>
          <w:spacing w:val="-2"/>
          <w:sz w:val="20"/>
          <w:szCs w:val="20"/>
          <w:lang w:val="uk-UA"/>
        </w:rPr>
        <w:t xml:space="preserve"> </w:t>
      </w:r>
      <w:proofErr w:type="spellStart"/>
      <w:r w:rsidRPr="00327E34">
        <w:rPr>
          <w:sz w:val="20"/>
          <w:szCs w:val="20"/>
          <w:lang w:val="uk-UA"/>
        </w:rPr>
        <w:t>Ruhwald</w:t>
      </w:r>
      <w:proofErr w:type="spellEnd"/>
      <w:r w:rsidRPr="00327E34">
        <w:rPr>
          <w:spacing w:val="-2"/>
          <w:sz w:val="20"/>
          <w:szCs w:val="20"/>
          <w:lang w:val="uk-UA"/>
        </w:rPr>
        <w:t xml:space="preserve"> </w:t>
      </w:r>
      <w:r w:rsidRPr="00327E34">
        <w:rPr>
          <w:sz w:val="20"/>
          <w:szCs w:val="20"/>
          <w:lang w:val="uk-UA"/>
        </w:rPr>
        <w:t>M,</w:t>
      </w:r>
      <w:r w:rsidRPr="00327E34">
        <w:rPr>
          <w:spacing w:val="-2"/>
          <w:sz w:val="20"/>
          <w:szCs w:val="20"/>
          <w:lang w:val="uk-UA"/>
        </w:rPr>
        <w:t xml:space="preserve"> </w:t>
      </w:r>
      <w:proofErr w:type="spellStart"/>
      <w:r w:rsidRPr="00327E34">
        <w:rPr>
          <w:sz w:val="20"/>
          <w:szCs w:val="20"/>
          <w:lang w:val="uk-UA"/>
        </w:rPr>
        <w:t>Hoff</w:t>
      </w:r>
      <w:proofErr w:type="spellEnd"/>
      <w:r w:rsidRPr="00327E34">
        <w:rPr>
          <w:spacing w:val="-2"/>
          <w:sz w:val="20"/>
          <w:szCs w:val="20"/>
          <w:lang w:val="uk-UA"/>
        </w:rPr>
        <w:t xml:space="preserve"> </w:t>
      </w:r>
      <w:r w:rsidRPr="00327E34">
        <w:rPr>
          <w:sz w:val="20"/>
          <w:szCs w:val="20"/>
          <w:lang w:val="uk-UA"/>
        </w:rPr>
        <w:t>S,</w:t>
      </w:r>
      <w:r w:rsidRPr="00327E34">
        <w:rPr>
          <w:spacing w:val="-2"/>
          <w:sz w:val="20"/>
          <w:szCs w:val="20"/>
          <w:lang w:val="uk-UA"/>
        </w:rPr>
        <w:t xml:space="preserve"> </w:t>
      </w:r>
      <w:proofErr w:type="spellStart"/>
      <w:r w:rsidRPr="00327E34">
        <w:rPr>
          <w:sz w:val="20"/>
          <w:szCs w:val="20"/>
          <w:lang w:val="uk-UA"/>
        </w:rPr>
        <w:t>Tingskov</w:t>
      </w:r>
      <w:proofErr w:type="spellEnd"/>
      <w:r w:rsidRPr="00327E34">
        <w:rPr>
          <w:spacing w:val="-2"/>
          <w:sz w:val="20"/>
          <w:szCs w:val="20"/>
          <w:lang w:val="uk-UA"/>
        </w:rPr>
        <w:t xml:space="preserve"> </w:t>
      </w:r>
      <w:r w:rsidRPr="00327E34">
        <w:rPr>
          <w:sz w:val="20"/>
          <w:szCs w:val="20"/>
          <w:lang w:val="uk-UA"/>
        </w:rPr>
        <w:t>P,</w:t>
      </w:r>
      <w:r w:rsidRPr="00327E34">
        <w:rPr>
          <w:spacing w:val="-2"/>
          <w:sz w:val="20"/>
          <w:szCs w:val="20"/>
          <w:lang w:val="uk-UA"/>
        </w:rPr>
        <w:t xml:space="preserve"> </w:t>
      </w:r>
      <w:proofErr w:type="spellStart"/>
      <w:r w:rsidRPr="00327E34">
        <w:rPr>
          <w:sz w:val="20"/>
          <w:szCs w:val="20"/>
          <w:lang w:val="uk-UA"/>
        </w:rPr>
        <w:t>Hellstrom</w:t>
      </w:r>
      <w:proofErr w:type="spellEnd"/>
      <w:r w:rsidRPr="00327E34">
        <w:rPr>
          <w:spacing w:val="-2"/>
          <w:sz w:val="20"/>
          <w:szCs w:val="20"/>
          <w:lang w:val="uk-UA"/>
        </w:rPr>
        <w:t xml:space="preserve"> </w:t>
      </w:r>
      <w:r w:rsidRPr="00327E34">
        <w:rPr>
          <w:sz w:val="20"/>
          <w:szCs w:val="20"/>
          <w:lang w:val="uk-UA"/>
        </w:rPr>
        <w:t>E,</w:t>
      </w:r>
      <w:r w:rsidRPr="00327E34">
        <w:rPr>
          <w:spacing w:val="-2"/>
          <w:sz w:val="20"/>
          <w:szCs w:val="20"/>
          <w:lang w:val="uk-UA"/>
        </w:rPr>
        <w:t xml:space="preserve"> </w:t>
      </w:r>
      <w:proofErr w:type="spellStart"/>
      <w:r w:rsidRPr="00327E34">
        <w:rPr>
          <w:sz w:val="20"/>
          <w:szCs w:val="20"/>
          <w:lang w:val="uk-UA"/>
        </w:rPr>
        <w:t>Malahleha</w:t>
      </w:r>
      <w:proofErr w:type="spellEnd"/>
      <w:r w:rsidRPr="00327E34">
        <w:rPr>
          <w:spacing w:val="-2"/>
          <w:sz w:val="20"/>
          <w:szCs w:val="20"/>
          <w:lang w:val="uk-UA"/>
        </w:rPr>
        <w:t xml:space="preserve"> </w:t>
      </w:r>
      <w:r w:rsidRPr="00327E34">
        <w:rPr>
          <w:sz w:val="20"/>
          <w:szCs w:val="20"/>
          <w:lang w:val="uk-UA"/>
        </w:rPr>
        <w:t>M</w:t>
      </w:r>
      <w:r w:rsidRPr="00327E34">
        <w:rPr>
          <w:spacing w:val="-2"/>
          <w:sz w:val="20"/>
          <w:szCs w:val="20"/>
          <w:lang w:val="uk-UA"/>
        </w:rPr>
        <w:t xml:space="preserve"> </w:t>
      </w:r>
      <w:r w:rsidRPr="00327E34">
        <w:rPr>
          <w:sz w:val="20"/>
          <w:szCs w:val="20"/>
          <w:lang w:val="uk-UA"/>
        </w:rPr>
        <w:t>et</w:t>
      </w:r>
      <w:r w:rsidRPr="00327E34">
        <w:rPr>
          <w:spacing w:val="-2"/>
          <w:sz w:val="20"/>
          <w:szCs w:val="20"/>
          <w:lang w:val="uk-UA"/>
        </w:rPr>
        <w:t xml:space="preserve"> </w:t>
      </w:r>
      <w:proofErr w:type="spellStart"/>
      <w:r w:rsidRPr="00327E34">
        <w:rPr>
          <w:sz w:val="20"/>
          <w:szCs w:val="20"/>
          <w:lang w:val="uk-UA"/>
        </w:rPr>
        <w:t>al</w:t>
      </w:r>
      <w:proofErr w:type="spellEnd"/>
      <w:r w:rsidRPr="00327E34">
        <w:rPr>
          <w:sz w:val="20"/>
          <w:szCs w:val="20"/>
          <w:lang w:val="uk-UA"/>
        </w:rPr>
        <w:t>.</w:t>
      </w:r>
      <w:r w:rsidRPr="00327E34">
        <w:rPr>
          <w:spacing w:val="-2"/>
          <w:sz w:val="20"/>
          <w:szCs w:val="20"/>
          <w:lang w:val="uk-UA"/>
        </w:rPr>
        <w:t xml:space="preserve"> </w:t>
      </w:r>
      <w:proofErr w:type="spellStart"/>
      <w:r w:rsidRPr="00327E34">
        <w:rPr>
          <w:sz w:val="20"/>
          <w:szCs w:val="20"/>
          <w:lang w:val="uk-UA"/>
        </w:rPr>
        <w:t>Interaction</w:t>
      </w:r>
      <w:proofErr w:type="spellEnd"/>
      <w:r w:rsidRPr="00327E34">
        <w:rPr>
          <w:spacing w:val="-2"/>
          <w:sz w:val="20"/>
          <w:szCs w:val="20"/>
          <w:lang w:val="uk-UA"/>
        </w:rPr>
        <w:t xml:space="preserve"> </w:t>
      </w:r>
      <w:proofErr w:type="spellStart"/>
      <w:r w:rsidRPr="00327E34">
        <w:rPr>
          <w:sz w:val="20"/>
          <w:szCs w:val="20"/>
          <w:lang w:val="uk-UA"/>
        </w:rPr>
        <w:t>between</w:t>
      </w:r>
      <w:proofErr w:type="spellEnd"/>
      <w:r w:rsidRPr="00327E34">
        <w:rPr>
          <w:sz w:val="20"/>
          <w:szCs w:val="20"/>
          <w:lang w:val="uk-UA"/>
        </w:rPr>
        <w:t xml:space="preserve"> C-</w:t>
      </w:r>
      <w:proofErr w:type="spellStart"/>
      <w:r w:rsidRPr="00327E34">
        <w:rPr>
          <w:sz w:val="20"/>
          <w:szCs w:val="20"/>
          <w:lang w:val="uk-UA"/>
        </w:rPr>
        <w:t>Tb</w:t>
      </w:r>
      <w:proofErr w:type="spellEnd"/>
      <w:r w:rsidRPr="00327E34">
        <w:rPr>
          <w:spacing w:val="-12"/>
          <w:sz w:val="20"/>
          <w:szCs w:val="20"/>
          <w:lang w:val="uk-UA"/>
        </w:rPr>
        <w:t xml:space="preserve"> </w:t>
      </w:r>
      <w:r w:rsidRPr="00327E34">
        <w:rPr>
          <w:sz w:val="20"/>
          <w:szCs w:val="20"/>
          <w:lang w:val="uk-UA"/>
        </w:rPr>
        <w:t>and</w:t>
      </w:r>
      <w:r w:rsidRPr="00327E34">
        <w:rPr>
          <w:spacing w:val="-12"/>
          <w:sz w:val="20"/>
          <w:szCs w:val="20"/>
          <w:lang w:val="uk-UA"/>
        </w:rPr>
        <w:t xml:space="preserve"> </w:t>
      </w:r>
      <w:r w:rsidRPr="00327E34">
        <w:rPr>
          <w:sz w:val="20"/>
          <w:szCs w:val="20"/>
          <w:lang w:val="uk-UA"/>
        </w:rPr>
        <w:t>PPD</w:t>
      </w:r>
      <w:r w:rsidRPr="00327E34">
        <w:rPr>
          <w:spacing w:val="-12"/>
          <w:sz w:val="20"/>
          <w:szCs w:val="20"/>
          <w:lang w:val="uk-UA"/>
        </w:rPr>
        <w:t xml:space="preserve"> </w:t>
      </w:r>
      <w:proofErr w:type="spellStart"/>
      <w:r w:rsidRPr="00327E34">
        <w:rPr>
          <w:sz w:val="20"/>
          <w:szCs w:val="20"/>
          <w:lang w:val="uk-UA"/>
        </w:rPr>
        <w:t>given</w:t>
      </w:r>
      <w:proofErr w:type="spellEnd"/>
      <w:r w:rsidRPr="00327E34">
        <w:rPr>
          <w:spacing w:val="-12"/>
          <w:sz w:val="20"/>
          <w:szCs w:val="20"/>
          <w:lang w:val="uk-UA"/>
        </w:rPr>
        <w:t xml:space="preserve"> </w:t>
      </w:r>
      <w:proofErr w:type="spellStart"/>
      <w:r w:rsidRPr="00327E34">
        <w:rPr>
          <w:sz w:val="20"/>
          <w:szCs w:val="20"/>
          <w:lang w:val="uk-UA"/>
        </w:rPr>
        <w:t>concomitantly</w:t>
      </w:r>
      <w:proofErr w:type="spellEnd"/>
      <w:r w:rsidRPr="00327E34">
        <w:rPr>
          <w:spacing w:val="-12"/>
          <w:sz w:val="20"/>
          <w:szCs w:val="20"/>
          <w:lang w:val="uk-UA"/>
        </w:rPr>
        <w:t xml:space="preserve"> </w:t>
      </w:r>
      <w:r w:rsidRPr="00327E34">
        <w:rPr>
          <w:sz w:val="20"/>
          <w:szCs w:val="20"/>
          <w:lang w:val="uk-UA"/>
        </w:rPr>
        <w:t>in</w:t>
      </w:r>
      <w:r w:rsidRPr="00327E34">
        <w:rPr>
          <w:spacing w:val="-12"/>
          <w:sz w:val="20"/>
          <w:szCs w:val="20"/>
          <w:lang w:val="uk-UA"/>
        </w:rPr>
        <w:t xml:space="preserve"> </w:t>
      </w:r>
      <w:r w:rsidRPr="00327E34">
        <w:rPr>
          <w:sz w:val="20"/>
          <w:szCs w:val="20"/>
          <w:lang w:val="uk-UA"/>
        </w:rPr>
        <w:t>a</w:t>
      </w:r>
      <w:r w:rsidRPr="00327E34">
        <w:rPr>
          <w:spacing w:val="-12"/>
          <w:sz w:val="20"/>
          <w:szCs w:val="20"/>
          <w:lang w:val="uk-UA"/>
        </w:rPr>
        <w:t xml:space="preserve"> </w:t>
      </w:r>
      <w:proofErr w:type="spellStart"/>
      <w:r w:rsidRPr="00327E34">
        <w:rPr>
          <w:sz w:val="20"/>
          <w:szCs w:val="20"/>
          <w:lang w:val="uk-UA"/>
        </w:rPr>
        <w:t>split-body</w:t>
      </w:r>
      <w:proofErr w:type="spellEnd"/>
      <w:r w:rsidRPr="00327E34">
        <w:rPr>
          <w:spacing w:val="-12"/>
          <w:sz w:val="20"/>
          <w:szCs w:val="20"/>
          <w:lang w:val="uk-UA"/>
        </w:rPr>
        <w:t xml:space="preserve"> </w:t>
      </w:r>
      <w:proofErr w:type="spellStart"/>
      <w:r w:rsidRPr="00327E34">
        <w:rPr>
          <w:sz w:val="20"/>
          <w:szCs w:val="20"/>
          <w:lang w:val="uk-UA"/>
        </w:rPr>
        <w:t>randomised</w:t>
      </w:r>
      <w:proofErr w:type="spellEnd"/>
      <w:r w:rsidRPr="00327E34">
        <w:rPr>
          <w:spacing w:val="-12"/>
          <w:sz w:val="20"/>
          <w:szCs w:val="20"/>
          <w:lang w:val="uk-UA"/>
        </w:rPr>
        <w:t xml:space="preserve"> </w:t>
      </w:r>
      <w:proofErr w:type="spellStart"/>
      <w:r w:rsidRPr="00327E34">
        <w:rPr>
          <w:sz w:val="20"/>
          <w:szCs w:val="20"/>
          <w:lang w:val="uk-UA"/>
        </w:rPr>
        <w:t>controlled</w:t>
      </w:r>
      <w:proofErr w:type="spellEnd"/>
      <w:r w:rsidRPr="00327E34">
        <w:rPr>
          <w:spacing w:val="-12"/>
          <w:sz w:val="20"/>
          <w:szCs w:val="20"/>
          <w:lang w:val="uk-UA"/>
        </w:rPr>
        <w:t xml:space="preserve"> </w:t>
      </w:r>
      <w:proofErr w:type="spellStart"/>
      <w:r w:rsidRPr="00327E34">
        <w:rPr>
          <w:sz w:val="20"/>
          <w:szCs w:val="20"/>
          <w:lang w:val="uk-UA"/>
        </w:rPr>
        <w:t>trial</w:t>
      </w:r>
      <w:proofErr w:type="spellEnd"/>
      <w:r w:rsidRPr="00327E34">
        <w:rPr>
          <w:sz w:val="20"/>
          <w:szCs w:val="20"/>
          <w:lang w:val="uk-UA"/>
        </w:rPr>
        <w:t>.</w:t>
      </w:r>
      <w:r w:rsidRPr="00327E34">
        <w:rPr>
          <w:spacing w:val="-12"/>
          <w:sz w:val="20"/>
          <w:szCs w:val="20"/>
          <w:lang w:val="uk-UA"/>
        </w:rPr>
        <w:t xml:space="preserve"> </w:t>
      </w:r>
      <w:proofErr w:type="spellStart"/>
      <w:r w:rsidRPr="00327E34">
        <w:rPr>
          <w:sz w:val="20"/>
          <w:szCs w:val="20"/>
          <w:lang w:val="uk-UA"/>
        </w:rPr>
        <w:t>Int</w:t>
      </w:r>
      <w:proofErr w:type="spellEnd"/>
      <w:r w:rsidRPr="00327E34">
        <w:rPr>
          <w:spacing w:val="-12"/>
          <w:sz w:val="20"/>
          <w:szCs w:val="20"/>
          <w:lang w:val="uk-UA"/>
        </w:rPr>
        <w:t xml:space="preserve"> </w:t>
      </w:r>
      <w:r w:rsidRPr="00327E34">
        <w:rPr>
          <w:sz w:val="20"/>
          <w:szCs w:val="20"/>
          <w:lang w:val="uk-UA"/>
        </w:rPr>
        <w:t>J</w:t>
      </w:r>
      <w:r w:rsidRPr="00327E34">
        <w:rPr>
          <w:spacing w:val="-12"/>
          <w:sz w:val="20"/>
          <w:szCs w:val="20"/>
          <w:lang w:val="uk-UA"/>
        </w:rPr>
        <w:t xml:space="preserve"> </w:t>
      </w:r>
      <w:r w:rsidRPr="00327E34">
        <w:rPr>
          <w:sz w:val="20"/>
          <w:szCs w:val="20"/>
          <w:lang w:val="uk-UA"/>
        </w:rPr>
        <w:t>Tuberc</w:t>
      </w:r>
      <w:r w:rsidRPr="00327E34">
        <w:rPr>
          <w:spacing w:val="-12"/>
          <w:sz w:val="20"/>
          <w:szCs w:val="20"/>
          <w:lang w:val="uk-UA"/>
        </w:rPr>
        <w:t xml:space="preserve"> </w:t>
      </w:r>
      <w:proofErr w:type="spellStart"/>
      <w:r w:rsidRPr="00327E34">
        <w:rPr>
          <w:sz w:val="20"/>
          <w:szCs w:val="20"/>
          <w:lang w:val="uk-UA"/>
        </w:rPr>
        <w:t>Lung</w:t>
      </w:r>
      <w:proofErr w:type="spellEnd"/>
      <w:r w:rsidRPr="00327E34">
        <w:rPr>
          <w:spacing w:val="-12"/>
          <w:sz w:val="20"/>
          <w:szCs w:val="20"/>
          <w:lang w:val="uk-UA"/>
        </w:rPr>
        <w:t xml:space="preserve"> </w:t>
      </w:r>
      <w:proofErr w:type="spellStart"/>
      <w:r w:rsidRPr="00327E34">
        <w:rPr>
          <w:sz w:val="20"/>
          <w:szCs w:val="20"/>
          <w:lang w:val="uk-UA"/>
        </w:rPr>
        <w:t>Dis</w:t>
      </w:r>
      <w:proofErr w:type="spellEnd"/>
      <w:r w:rsidRPr="00327E34">
        <w:rPr>
          <w:sz w:val="20"/>
          <w:szCs w:val="20"/>
          <w:lang w:val="uk-UA"/>
        </w:rPr>
        <w:t xml:space="preserve">. </w:t>
      </w:r>
      <w:r w:rsidRPr="00327E34">
        <w:rPr>
          <w:spacing w:val="-2"/>
          <w:sz w:val="20"/>
          <w:szCs w:val="20"/>
          <w:lang w:val="uk-UA"/>
        </w:rPr>
        <w:t>2019;23(1):38–44.</w:t>
      </w:r>
    </w:p>
    <w:p w14:paraId="08542431" w14:textId="77777777" w:rsidR="00E05B98" w:rsidRPr="00327E34" w:rsidRDefault="00B01E0C">
      <w:pPr>
        <w:pStyle w:val="a4"/>
        <w:numPr>
          <w:ilvl w:val="0"/>
          <w:numId w:val="5"/>
        </w:numPr>
        <w:tabs>
          <w:tab w:val="left" w:pos="927"/>
        </w:tabs>
        <w:spacing w:before="83" w:line="297" w:lineRule="auto"/>
        <w:ind w:right="139"/>
        <w:rPr>
          <w:sz w:val="20"/>
          <w:szCs w:val="20"/>
          <w:lang w:val="uk-UA"/>
        </w:rPr>
      </w:pPr>
      <w:proofErr w:type="spellStart"/>
      <w:r w:rsidRPr="00327E34">
        <w:rPr>
          <w:sz w:val="20"/>
          <w:szCs w:val="20"/>
          <w:lang w:val="uk-UA"/>
        </w:rPr>
        <w:t>Ruhwald</w:t>
      </w:r>
      <w:proofErr w:type="spellEnd"/>
      <w:r w:rsidRPr="00327E34">
        <w:rPr>
          <w:spacing w:val="-11"/>
          <w:sz w:val="20"/>
          <w:szCs w:val="20"/>
          <w:lang w:val="uk-UA"/>
        </w:rPr>
        <w:t xml:space="preserve"> </w:t>
      </w:r>
      <w:r w:rsidRPr="00327E34">
        <w:rPr>
          <w:sz w:val="20"/>
          <w:szCs w:val="20"/>
          <w:lang w:val="uk-UA"/>
        </w:rPr>
        <w:t>M,</w:t>
      </w:r>
      <w:r w:rsidRPr="00327E34">
        <w:rPr>
          <w:spacing w:val="-11"/>
          <w:sz w:val="20"/>
          <w:szCs w:val="20"/>
          <w:lang w:val="uk-UA"/>
        </w:rPr>
        <w:t xml:space="preserve"> </w:t>
      </w:r>
      <w:proofErr w:type="spellStart"/>
      <w:r w:rsidRPr="00327E34">
        <w:rPr>
          <w:sz w:val="20"/>
          <w:szCs w:val="20"/>
          <w:lang w:val="uk-UA"/>
        </w:rPr>
        <w:t>Aggerbeck</w:t>
      </w:r>
      <w:proofErr w:type="spellEnd"/>
      <w:r w:rsidRPr="00327E34">
        <w:rPr>
          <w:spacing w:val="-11"/>
          <w:sz w:val="20"/>
          <w:szCs w:val="20"/>
          <w:lang w:val="uk-UA"/>
        </w:rPr>
        <w:t xml:space="preserve"> </w:t>
      </w:r>
      <w:r w:rsidRPr="00327E34">
        <w:rPr>
          <w:sz w:val="20"/>
          <w:szCs w:val="20"/>
          <w:lang w:val="uk-UA"/>
        </w:rPr>
        <w:t>H,</w:t>
      </w:r>
      <w:r w:rsidRPr="00327E34">
        <w:rPr>
          <w:spacing w:val="-11"/>
          <w:sz w:val="20"/>
          <w:szCs w:val="20"/>
          <w:lang w:val="uk-UA"/>
        </w:rPr>
        <w:t xml:space="preserve"> </w:t>
      </w:r>
      <w:proofErr w:type="spellStart"/>
      <w:r w:rsidRPr="00327E34">
        <w:rPr>
          <w:sz w:val="20"/>
          <w:szCs w:val="20"/>
          <w:lang w:val="uk-UA"/>
        </w:rPr>
        <w:t>Gallardo</w:t>
      </w:r>
      <w:proofErr w:type="spellEnd"/>
      <w:r w:rsidRPr="00327E34">
        <w:rPr>
          <w:spacing w:val="-11"/>
          <w:sz w:val="20"/>
          <w:szCs w:val="20"/>
          <w:lang w:val="uk-UA"/>
        </w:rPr>
        <w:t xml:space="preserve"> </w:t>
      </w:r>
      <w:r w:rsidRPr="00327E34">
        <w:rPr>
          <w:sz w:val="20"/>
          <w:szCs w:val="20"/>
          <w:lang w:val="uk-UA"/>
        </w:rPr>
        <w:t>RV,</w:t>
      </w:r>
      <w:r w:rsidRPr="00327E34">
        <w:rPr>
          <w:spacing w:val="-11"/>
          <w:sz w:val="20"/>
          <w:szCs w:val="20"/>
          <w:lang w:val="uk-UA"/>
        </w:rPr>
        <w:t xml:space="preserve"> </w:t>
      </w:r>
      <w:proofErr w:type="spellStart"/>
      <w:r w:rsidRPr="00327E34">
        <w:rPr>
          <w:sz w:val="20"/>
          <w:szCs w:val="20"/>
          <w:lang w:val="uk-UA"/>
        </w:rPr>
        <w:t>Hoff</w:t>
      </w:r>
      <w:proofErr w:type="spellEnd"/>
      <w:r w:rsidRPr="00327E34">
        <w:rPr>
          <w:spacing w:val="-11"/>
          <w:sz w:val="20"/>
          <w:szCs w:val="20"/>
          <w:lang w:val="uk-UA"/>
        </w:rPr>
        <w:t xml:space="preserve"> </w:t>
      </w:r>
      <w:r w:rsidRPr="00327E34">
        <w:rPr>
          <w:sz w:val="20"/>
          <w:szCs w:val="20"/>
          <w:lang w:val="uk-UA"/>
        </w:rPr>
        <w:t>ST,</w:t>
      </w:r>
      <w:r w:rsidRPr="00327E34">
        <w:rPr>
          <w:spacing w:val="-11"/>
          <w:sz w:val="20"/>
          <w:szCs w:val="20"/>
          <w:lang w:val="uk-UA"/>
        </w:rPr>
        <w:t xml:space="preserve"> </w:t>
      </w:r>
      <w:proofErr w:type="spellStart"/>
      <w:r w:rsidRPr="00327E34">
        <w:rPr>
          <w:sz w:val="20"/>
          <w:szCs w:val="20"/>
          <w:lang w:val="uk-UA"/>
        </w:rPr>
        <w:t>Villate</w:t>
      </w:r>
      <w:proofErr w:type="spellEnd"/>
      <w:r w:rsidRPr="00327E34">
        <w:rPr>
          <w:spacing w:val="-11"/>
          <w:sz w:val="20"/>
          <w:szCs w:val="20"/>
          <w:lang w:val="uk-UA"/>
        </w:rPr>
        <w:t xml:space="preserve"> </w:t>
      </w:r>
      <w:r w:rsidRPr="00327E34">
        <w:rPr>
          <w:sz w:val="20"/>
          <w:szCs w:val="20"/>
          <w:lang w:val="uk-UA"/>
        </w:rPr>
        <w:t>JI,</w:t>
      </w:r>
      <w:r w:rsidRPr="00327E34">
        <w:rPr>
          <w:spacing w:val="-11"/>
          <w:sz w:val="20"/>
          <w:szCs w:val="20"/>
          <w:lang w:val="uk-UA"/>
        </w:rPr>
        <w:t xml:space="preserve"> </w:t>
      </w:r>
      <w:proofErr w:type="spellStart"/>
      <w:r w:rsidRPr="00327E34">
        <w:rPr>
          <w:sz w:val="20"/>
          <w:szCs w:val="20"/>
          <w:lang w:val="uk-UA"/>
        </w:rPr>
        <w:t>Borregaard</w:t>
      </w:r>
      <w:proofErr w:type="spellEnd"/>
      <w:r w:rsidRPr="00327E34">
        <w:rPr>
          <w:spacing w:val="-11"/>
          <w:sz w:val="20"/>
          <w:szCs w:val="20"/>
          <w:lang w:val="uk-UA"/>
        </w:rPr>
        <w:t xml:space="preserve"> </w:t>
      </w:r>
      <w:r w:rsidRPr="00327E34">
        <w:rPr>
          <w:sz w:val="20"/>
          <w:szCs w:val="20"/>
          <w:lang w:val="uk-UA"/>
        </w:rPr>
        <w:t>B</w:t>
      </w:r>
      <w:r w:rsidRPr="00327E34">
        <w:rPr>
          <w:spacing w:val="-11"/>
          <w:sz w:val="20"/>
          <w:szCs w:val="20"/>
          <w:lang w:val="uk-UA"/>
        </w:rPr>
        <w:t xml:space="preserve"> </w:t>
      </w:r>
      <w:r w:rsidRPr="00327E34">
        <w:rPr>
          <w:sz w:val="20"/>
          <w:szCs w:val="20"/>
          <w:lang w:val="uk-UA"/>
        </w:rPr>
        <w:t>et</w:t>
      </w:r>
      <w:r w:rsidRPr="00327E34">
        <w:rPr>
          <w:spacing w:val="-11"/>
          <w:sz w:val="20"/>
          <w:szCs w:val="20"/>
          <w:lang w:val="uk-UA"/>
        </w:rPr>
        <w:t xml:space="preserve"> </w:t>
      </w:r>
      <w:proofErr w:type="spellStart"/>
      <w:r w:rsidRPr="00327E34">
        <w:rPr>
          <w:sz w:val="20"/>
          <w:szCs w:val="20"/>
          <w:lang w:val="uk-UA"/>
        </w:rPr>
        <w:t>al</w:t>
      </w:r>
      <w:proofErr w:type="spellEnd"/>
      <w:r w:rsidRPr="00327E34">
        <w:rPr>
          <w:sz w:val="20"/>
          <w:szCs w:val="20"/>
          <w:lang w:val="uk-UA"/>
        </w:rPr>
        <w:t>.</w:t>
      </w:r>
      <w:r w:rsidRPr="00327E34">
        <w:rPr>
          <w:spacing w:val="-11"/>
          <w:sz w:val="20"/>
          <w:szCs w:val="20"/>
          <w:lang w:val="uk-UA"/>
        </w:rPr>
        <w:t xml:space="preserve"> </w:t>
      </w:r>
      <w:r w:rsidRPr="00327E34">
        <w:rPr>
          <w:sz w:val="20"/>
          <w:szCs w:val="20"/>
          <w:lang w:val="uk-UA"/>
        </w:rPr>
        <w:t>Safety</w:t>
      </w:r>
      <w:r w:rsidRPr="00327E34">
        <w:rPr>
          <w:spacing w:val="-11"/>
          <w:sz w:val="20"/>
          <w:szCs w:val="20"/>
          <w:lang w:val="uk-UA"/>
        </w:rPr>
        <w:t xml:space="preserve"> </w:t>
      </w:r>
      <w:r w:rsidRPr="00327E34">
        <w:rPr>
          <w:sz w:val="20"/>
          <w:szCs w:val="20"/>
          <w:lang w:val="uk-UA"/>
        </w:rPr>
        <w:t>and</w:t>
      </w:r>
      <w:r w:rsidRPr="00327E34">
        <w:rPr>
          <w:spacing w:val="-11"/>
          <w:sz w:val="20"/>
          <w:szCs w:val="20"/>
          <w:lang w:val="uk-UA"/>
        </w:rPr>
        <w:t xml:space="preserve"> </w:t>
      </w:r>
      <w:proofErr w:type="spellStart"/>
      <w:r w:rsidRPr="00327E34">
        <w:rPr>
          <w:sz w:val="20"/>
          <w:szCs w:val="20"/>
          <w:lang w:val="uk-UA"/>
        </w:rPr>
        <w:t>efficacy</w:t>
      </w:r>
      <w:proofErr w:type="spellEnd"/>
      <w:r w:rsidRPr="00327E34">
        <w:rPr>
          <w:spacing w:val="-11"/>
          <w:sz w:val="20"/>
          <w:szCs w:val="20"/>
          <w:lang w:val="uk-UA"/>
        </w:rPr>
        <w:t xml:space="preserve"> </w:t>
      </w:r>
      <w:r w:rsidRPr="00327E34">
        <w:rPr>
          <w:sz w:val="20"/>
          <w:szCs w:val="20"/>
          <w:lang w:val="uk-UA"/>
        </w:rPr>
        <w:t>of the C-</w:t>
      </w:r>
      <w:proofErr w:type="spellStart"/>
      <w:r w:rsidRPr="00327E34">
        <w:rPr>
          <w:sz w:val="20"/>
          <w:szCs w:val="20"/>
          <w:lang w:val="uk-UA"/>
        </w:rPr>
        <w:t>Tb</w:t>
      </w:r>
      <w:proofErr w:type="spellEnd"/>
      <w:r w:rsidRPr="00327E34">
        <w:rPr>
          <w:sz w:val="20"/>
          <w:szCs w:val="20"/>
          <w:lang w:val="uk-UA"/>
        </w:rPr>
        <w:t xml:space="preserve"> </w:t>
      </w:r>
      <w:proofErr w:type="spellStart"/>
      <w:r w:rsidRPr="00327E34">
        <w:rPr>
          <w:sz w:val="20"/>
          <w:szCs w:val="20"/>
          <w:lang w:val="uk-UA"/>
        </w:rPr>
        <w:t>skin</w:t>
      </w:r>
      <w:proofErr w:type="spellEnd"/>
      <w:r w:rsidRPr="00327E34">
        <w:rPr>
          <w:sz w:val="20"/>
          <w:szCs w:val="20"/>
          <w:lang w:val="uk-UA"/>
        </w:rPr>
        <w:t xml:space="preserve"> </w:t>
      </w:r>
      <w:proofErr w:type="spellStart"/>
      <w:r w:rsidRPr="00327E34">
        <w:rPr>
          <w:sz w:val="20"/>
          <w:szCs w:val="20"/>
          <w:lang w:val="uk-UA"/>
        </w:rPr>
        <w:t>test</w:t>
      </w:r>
      <w:proofErr w:type="spellEnd"/>
      <w:r w:rsidRPr="00327E34">
        <w:rPr>
          <w:sz w:val="20"/>
          <w:szCs w:val="20"/>
          <w:lang w:val="uk-UA"/>
        </w:rPr>
        <w:t xml:space="preserve"> to </w:t>
      </w:r>
      <w:proofErr w:type="spellStart"/>
      <w:r w:rsidRPr="00327E34">
        <w:rPr>
          <w:sz w:val="20"/>
          <w:szCs w:val="20"/>
          <w:lang w:val="uk-UA"/>
        </w:rPr>
        <w:t>diagnose</w:t>
      </w:r>
      <w:proofErr w:type="spellEnd"/>
      <w:r w:rsidRPr="00327E34">
        <w:rPr>
          <w:sz w:val="20"/>
          <w:szCs w:val="20"/>
          <w:lang w:val="uk-UA"/>
        </w:rPr>
        <w:t xml:space="preserve"> Mycobacterium tuberculosis </w:t>
      </w:r>
      <w:proofErr w:type="spellStart"/>
      <w:r w:rsidRPr="00327E34">
        <w:rPr>
          <w:sz w:val="20"/>
          <w:szCs w:val="20"/>
          <w:lang w:val="uk-UA"/>
        </w:rPr>
        <w:t>infection</w:t>
      </w:r>
      <w:proofErr w:type="spellEnd"/>
      <w:r w:rsidRPr="00327E34">
        <w:rPr>
          <w:sz w:val="20"/>
          <w:szCs w:val="20"/>
          <w:lang w:val="uk-UA"/>
        </w:rPr>
        <w:t xml:space="preserve">, </w:t>
      </w:r>
      <w:proofErr w:type="spellStart"/>
      <w:r w:rsidRPr="00327E34">
        <w:rPr>
          <w:sz w:val="20"/>
          <w:szCs w:val="20"/>
          <w:lang w:val="uk-UA"/>
        </w:rPr>
        <w:t>compared</w:t>
      </w:r>
      <w:proofErr w:type="spellEnd"/>
      <w:r w:rsidRPr="00327E34">
        <w:rPr>
          <w:sz w:val="20"/>
          <w:szCs w:val="20"/>
          <w:lang w:val="uk-UA"/>
        </w:rPr>
        <w:t xml:space="preserve"> with an </w:t>
      </w:r>
      <w:proofErr w:type="spellStart"/>
      <w:r w:rsidRPr="00327E34">
        <w:rPr>
          <w:sz w:val="20"/>
          <w:szCs w:val="20"/>
          <w:lang w:val="uk-UA"/>
        </w:rPr>
        <w:t>interferon</w:t>
      </w:r>
      <w:proofErr w:type="spellEnd"/>
      <w:r w:rsidRPr="00327E34">
        <w:rPr>
          <w:sz w:val="20"/>
          <w:szCs w:val="20"/>
          <w:lang w:val="uk-UA"/>
        </w:rPr>
        <w:t xml:space="preserve"> </w:t>
      </w:r>
      <w:proofErr w:type="spellStart"/>
      <w:r w:rsidRPr="00327E34">
        <w:rPr>
          <w:sz w:val="20"/>
          <w:szCs w:val="20"/>
          <w:lang w:val="uk-UA"/>
        </w:rPr>
        <w:t>gamma</w:t>
      </w:r>
      <w:proofErr w:type="spellEnd"/>
      <w:r w:rsidRPr="00327E34">
        <w:rPr>
          <w:spacing w:val="-2"/>
          <w:sz w:val="20"/>
          <w:szCs w:val="20"/>
          <w:lang w:val="uk-UA"/>
        </w:rPr>
        <w:t xml:space="preserve"> </w:t>
      </w:r>
      <w:proofErr w:type="spellStart"/>
      <w:r w:rsidRPr="00327E34">
        <w:rPr>
          <w:sz w:val="20"/>
          <w:szCs w:val="20"/>
          <w:lang w:val="uk-UA"/>
        </w:rPr>
        <w:t>release</w:t>
      </w:r>
      <w:proofErr w:type="spellEnd"/>
      <w:r w:rsidRPr="00327E34">
        <w:rPr>
          <w:spacing w:val="-2"/>
          <w:sz w:val="20"/>
          <w:szCs w:val="20"/>
          <w:lang w:val="uk-UA"/>
        </w:rPr>
        <w:t xml:space="preserve"> </w:t>
      </w:r>
      <w:r w:rsidRPr="00327E34">
        <w:rPr>
          <w:sz w:val="20"/>
          <w:szCs w:val="20"/>
          <w:lang w:val="uk-UA"/>
        </w:rPr>
        <w:t>assay</w:t>
      </w:r>
      <w:r w:rsidRPr="00327E34">
        <w:rPr>
          <w:spacing w:val="-2"/>
          <w:sz w:val="20"/>
          <w:szCs w:val="20"/>
          <w:lang w:val="uk-UA"/>
        </w:rPr>
        <w:t xml:space="preserve"> </w:t>
      </w:r>
      <w:r w:rsidRPr="00327E34">
        <w:rPr>
          <w:sz w:val="20"/>
          <w:szCs w:val="20"/>
          <w:lang w:val="uk-UA"/>
        </w:rPr>
        <w:t>and</w:t>
      </w:r>
      <w:r w:rsidRPr="00327E34">
        <w:rPr>
          <w:spacing w:val="-2"/>
          <w:sz w:val="20"/>
          <w:szCs w:val="20"/>
          <w:lang w:val="uk-UA"/>
        </w:rPr>
        <w:t xml:space="preserve"> </w:t>
      </w:r>
      <w:r w:rsidRPr="00327E34">
        <w:rPr>
          <w:sz w:val="20"/>
          <w:szCs w:val="20"/>
          <w:lang w:val="uk-UA"/>
        </w:rPr>
        <w:t>the</w:t>
      </w:r>
      <w:r w:rsidRPr="00327E34">
        <w:rPr>
          <w:spacing w:val="-2"/>
          <w:sz w:val="20"/>
          <w:szCs w:val="20"/>
          <w:lang w:val="uk-UA"/>
        </w:rPr>
        <w:t xml:space="preserve"> </w:t>
      </w:r>
      <w:proofErr w:type="spellStart"/>
      <w:r w:rsidRPr="00327E34">
        <w:rPr>
          <w:sz w:val="20"/>
          <w:szCs w:val="20"/>
          <w:lang w:val="uk-UA"/>
        </w:rPr>
        <w:t>tuberculin</w:t>
      </w:r>
      <w:proofErr w:type="spellEnd"/>
      <w:r w:rsidRPr="00327E34">
        <w:rPr>
          <w:spacing w:val="-2"/>
          <w:sz w:val="20"/>
          <w:szCs w:val="20"/>
          <w:lang w:val="uk-UA"/>
        </w:rPr>
        <w:t xml:space="preserve"> </w:t>
      </w:r>
      <w:proofErr w:type="spellStart"/>
      <w:r w:rsidRPr="00327E34">
        <w:rPr>
          <w:sz w:val="20"/>
          <w:szCs w:val="20"/>
          <w:lang w:val="uk-UA"/>
        </w:rPr>
        <w:t>skin</w:t>
      </w:r>
      <w:proofErr w:type="spellEnd"/>
      <w:r w:rsidRPr="00327E34">
        <w:rPr>
          <w:spacing w:val="-2"/>
          <w:sz w:val="20"/>
          <w:szCs w:val="20"/>
          <w:lang w:val="uk-UA"/>
        </w:rPr>
        <w:t xml:space="preserve"> </w:t>
      </w:r>
      <w:proofErr w:type="spellStart"/>
      <w:r w:rsidRPr="00327E34">
        <w:rPr>
          <w:sz w:val="20"/>
          <w:szCs w:val="20"/>
          <w:lang w:val="uk-UA"/>
        </w:rPr>
        <w:t>test</w:t>
      </w:r>
      <w:proofErr w:type="spellEnd"/>
      <w:r w:rsidRPr="00327E34">
        <w:rPr>
          <w:sz w:val="20"/>
          <w:szCs w:val="20"/>
          <w:lang w:val="uk-UA"/>
        </w:rPr>
        <w:t>:</w:t>
      </w:r>
      <w:r w:rsidRPr="00327E34">
        <w:rPr>
          <w:spacing w:val="-2"/>
          <w:sz w:val="20"/>
          <w:szCs w:val="20"/>
          <w:lang w:val="uk-UA"/>
        </w:rPr>
        <w:t xml:space="preserve"> </w:t>
      </w:r>
      <w:r w:rsidRPr="00327E34">
        <w:rPr>
          <w:sz w:val="20"/>
          <w:szCs w:val="20"/>
          <w:lang w:val="uk-UA"/>
        </w:rPr>
        <w:t>a</w:t>
      </w:r>
      <w:r w:rsidRPr="00327E34">
        <w:rPr>
          <w:spacing w:val="-2"/>
          <w:sz w:val="20"/>
          <w:szCs w:val="20"/>
          <w:lang w:val="uk-UA"/>
        </w:rPr>
        <w:t xml:space="preserve"> </w:t>
      </w:r>
      <w:proofErr w:type="spellStart"/>
      <w:r w:rsidRPr="00327E34">
        <w:rPr>
          <w:sz w:val="20"/>
          <w:szCs w:val="20"/>
          <w:lang w:val="uk-UA"/>
        </w:rPr>
        <w:t>phase</w:t>
      </w:r>
      <w:proofErr w:type="spellEnd"/>
      <w:r w:rsidRPr="00327E34">
        <w:rPr>
          <w:spacing w:val="-2"/>
          <w:sz w:val="20"/>
          <w:szCs w:val="20"/>
          <w:lang w:val="uk-UA"/>
        </w:rPr>
        <w:t xml:space="preserve"> </w:t>
      </w:r>
      <w:r w:rsidRPr="00327E34">
        <w:rPr>
          <w:sz w:val="20"/>
          <w:szCs w:val="20"/>
          <w:lang w:val="uk-UA"/>
        </w:rPr>
        <w:t>3,</w:t>
      </w:r>
      <w:r w:rsidRPr="00327E34">
        <w:rPr>
          <w:spacing w:val="-2"/>
          <w:sz w:val="20"/>
          <w:szCs w:val="20"/>
          <w:lang w:val="uk-UA"/>
        </w:rPr>
        <w:t xml:space="preserve"> </w:t>
      </w:r>
      <w:proofErr w:type="spellStart"/>
      <w:r w:rsidRPr="00327E34">
        <w:rPr>
          <w:sz w:val="20"/>
          <w:szCs w:val="20"/>
          <w:lang w:val="uk-UA"/>
        </w:rPr>
        <w:t>double</w:t>
      </w:r>
      <w:proofErr w:type="spellEnd"/>
      <w:r w:rsidRPr="00327E34">
        <w:rPr>
          <w:sz w:val="20"/>
          <w:szCs w:val="20"/>
          <w:lang w:val="uk-UA"/>
        </w:rPr>
        <w:t>-blind,</w:t>
      </w:r>
      <w:r w:rsidRPr="00327E34">
        <w:rPr>
          <w:spacing w:val="-2"/>
          <w:sz w:val="20"/>
          <w:szCs w:val="20"/>
          <w:lang w:val="uk-UA"/>
        </w:rPr>
        <w:t xml:space="preserve"> </w:t>
      </w:r>
      <w:proofErr w:type="spellStart"/>
      <w:r w:rsidRPr="00327E34">
        <w:rPr>
          <w:sz w:val="20"/>
          <w:szCs w:val="20"/>
          <w:lang w:val="uk-UA"/>
        </w:rPr>
        <w:t>randomised</w:t>
      </w:r>
      <w:proofErr w:type="spellEnd"/>
      <w:r w:rsidRPr="00327E34">
        <w:rPr>
          <w:sz w:val="20"/>
          <w:szCs w:val="20"/>
          <w:lang w:val="uk-UA"/>
        </w:rPr>
        <w:t>,</w:t>
      </w:r>
      <w:r w:rsidRPr="00327E34">
        <w:rPr>
          <w:spacing w:val="-2"/>
          <w:sz w:val="20"/>
          <w:szCs w:val="20"/>
          <w:lang w:val="uk-UA"/>
        </w:rPr>
        <w:t xml:space="preserve"> </w:t>
      </w:r>
      <w:proofErr w:type="spellStart"/>
      <w:r w:rsidRPr="00327E34">
        <w:rPr>
          <w:sz w:val="20"/>
          <w:szCs w:val="20"/>
          <w:lang w:val="uk-UA"/>
        </w:rPr>
        <w:t>controlled</w:t>
      </w:r>
      <w:proofErr w:type="spellEnd"/>
      <w:r w:rsidRPr="00327E34">
        <w:rPr>
          <w:sz w:val="20"/>
          <w:szCs w:val="20"/>
          <w:lang w:val="uk-UA"/>
        </w:rPr>
        <w:t xml:space="preserve"> </w:t>
      </w:r>
      <w:proofErr w:type="spellStart"/>
      <w:r w:rsidRPr="00327E34">
        <w:rPr>
          <w:sz w:val="20"/>
          <w:szCs w:val="20"/>
          <w:lang w:val="uk-UA"/>
        </w:rPr>
        <w:t>trial</w:t>
      </w:r>
      <w:proofErr w:type="spellEnd"/>
      <w:r w:rsidRPr="00327E34">
        <w:rPr>
          <w:sz w:val="20"/>
          <w:szCs w:val="20"/>
          <w:lang w:val="uk-UA"/>
        </w:rPr>
        <w:t>.</w:t>
      </w:r>
      <w:r w:rsidRPr="00327E34">
        <w:rPr>
          <w:spacing w:val="31"/>
          <w:sz w:val="20"/>
          <w:szCs w:val="20"/>
          <w:lang w:val="uk-UA"/>
        </w:rPr>
        <w:t xml:space="preserve"> </w:t>
      </w:r>
      <w:proofErr w:type="spellStart"/>
      <w:r w:rsidRPr="00327E34">
        <w:rPr>
          <w:sz w:val="20"/>
          <w:szCs w:val="20"/>
          <w:lang w:val="uk-UA"/>
        </w:rPr>
        <w:t>Lancet</w:t>
      </w:r>
      <w:proofErr w:type="spellEnd"/>
      <w:r w:rsidRPr="00327E34">
        <w:rPr>
          <w:spacing w:val="31"/>
          <w:sz w:val="20"/>
          <w:szCs w:val="20"/>
          <w:lang w:val="uk-UA"/>
        </w:rPr>
        <w:t xml:space="preserve"> </w:t>
      </w:r>
      <w:proofErr w:type="spellStart"/>
      <w:r w:rsidRPr="00327E34">
        <w:rPr>
          <w:sz w:val="20"/>
          <w:szCs w:val="20"/>
          <w:lang w:val="uk-UA"/>
        </w:rPr>
        <w:t>Respir</w:t>
      </w:r>
      <w:proofErr w:type="spellEnd"/>
      <w:r w:rsidRPr="00327E34">
        <w:rPr>
          <w:spacing w:val="31"/>
          <w:sz w:val="20"/>
          <w:szCs w:val="20"/>
          <w:lang w:val="uk-UA"/>
        </w:rPr>
        <w:t xml:space="preserve"> </w:t>
      </w:r>
      <w:r w:rsidRPr="00327E34">
        <w:rPr>
          <w:sz w:val="20"/>
          <w:szCs w:val="20"/>
          <w:lang w:val="uk-UA"/>
        </w:rPr>
        <w:t>Med.</w:t>
      </w:r>
      <w:r w:rsidRPr="00327E34">
        <w:rPr>
          <w:spacing w:val="31"/>
          <w:sz w:val="20"/>
          <w:szCs w:val="20"/>
          <w:lang w:val="uk-UA"/>
        </w:rPr>
        <w:t xml:space="preserve"> </w:t>
      </w:r>
      <w:r w:rsidRPr="00327E34">
        <w:rPr>
          <w:sz w:val="20"/>
          <w:szCs w:val="20"/>
          <w:lang w:val="uk-UA"/>
        </w:rPr>
        <w:t>2017;5(4):259–68</w:t>
      </w:r>
      <w:r w:rsidRPr="00327E34">
        <w:rPr>
          <w:spacing w:val="31"/>
          <w:sz w:val="20"/>
          <w:szCs w:val="20"/>
          <w:lang w:val="uk-UA"/>
        </w:rPr>
        <w:t xml:space="preserve"> </w:t>
      </w:r>
      <w:r w:rsidRPr="00327E34">
        <w:rPr>
          <w:sz w:val="20"/>
          <w:szCs w:val="20"/>
          <w:lang w:val="uk-UA"/>
        </w:rPr>
        <w:t>(</w:t>
      </w:r>
      <w:hyperlink r:id="rId220">
        <w:r w:rsidRPr="00327E34">
          <w:rPr>
            <w:color w:val="019648"/>
            <w:sz w:val="20"/>
            <w:szCs w:val="20"/>
            <w:lang w:val="uk-UA"/>
          </w:rPr>
          <w:t>https://www.ncbi.nlm.nih.gov/pubmed/28159608</w:t>
        </w:r>
      </w:hyperlink>
      <w:r w:rsidRPr="00327E34">
        <w:rPr>
          <w:sz w:val="20"/>
          <w:szCs w:val="20"/>
          <w:lang w:val="uk-UA"/>
        </w:rPr>
        <w:t>).</w:t>
      </w:r>
    </w:p>
    <w:p w14:paraId="1EFD2E44" w14:textId="77777777" w:rsidR="00E05B98" w:rsidRPr="00327E34" w:rsidRDefault="00B01E0C">
      <w:pPr>
        <w:pStyle w:val="a4"/>
        <w:numPr>
          <w:ilvl w:val="0"/>
          <w:numId w:val="5"/>
        </w:numPr>
        <w:tabs>
          <w:tab w:val="left" w:pos="927"/>
        </w:tabs>
        <w:spacing w:before="82" w:line="297" w:lineRule="auto"/>
        <w:ind w:right="140"/>
        <w:rPr>
          <w:sz w:val="20"/>
          <w:szCs w:val="20"/>
          <w:lang w:val="uk-UA"/>
        </w:rPr>
      </w:pPr>
      <w:proofErr w:type="spellStart"/>
      <w:r w:rsidRPr="00327E34">
        <w:rPr>
          <w:sz w:val="20"/>
          <w:szCs w:val="20"/>
          <w:lang w:val="uk-UA"/>
        </w:rPr>
        <w:t>Hoff</w:t>
      </w:r>
      <w:proofErr w:type="spellEnd"/>
      <w:r w:rsidRPr="00327E34">
        <w:rPr>
          <w:spacing w:val="-14"/>
          <w:sz w:val="20"/>
          <w:szCs w:val="20"/>
          <w:lang w:val="uk-UA"/>
        </w:rPr>
        <w:t xml:space="preserve"> </w:t>
      </w:r>
      <w:r w:rsidRPr="00327E34">
        <w:rPr>
          <w:sz w:val="20"/>
          <w:szCs w:val="20"/>
          <w:lang w:val="uk-UA"/>
        </w:rPr>
        <w:t>ST,</w:t>
      </w:r>
      <w:r w:rsidRPr="00327E34">
        <w:rPr>
          <w:spacing w:val="-13"/>
          <w:sz w:val="20"/>
          <w:szCs w:val="20"/>
          <w:lang w:val="uk-UA"/>
        </w:rPr>
        <w:t xml:space="preserve"> </w:t>
      </w:r>
      <w:proofErr w:type="spellStart"/>
      <w:r w:rsidRPr="00327E34">
        <w:rPr>
          <w:sz w:val="20"/>
          <w:szCs w:val="20"/>
          <w:lang w:val="uk-UA"/>
        </w:rPr>
        <w:t>Peter</w:t>
      </w:r>
      <w:proofErr w:type="spellEnd"/>
      <w:r w:rsidRPr="00327E34">
        <w:rPr>
          <w:spacing w:val="-13"/>
          <w:sz w:val="20"/>
          <w:szCs w:val="20"/>
          <w:lang w:val="uk-UA"/>
        </w:rPr>
        <w:t xml:space="preserve"> </w:t>
      </w:r>
      <w:r w:rsidRPr="00327E34">
        <w:rPr>
          <w:sz w:val="20"/>
          <w:szCs w:val="20"/>
          <w:lang w:val="uk-UA"/>
        </w:rPr>
        <w:t>JG,</w:t>
      </w:r>
      <w:r w:rsidRPr="00327E34">
        <w:rPr>
          <w:spacing w:val="-14"/>
          <w:sz w:val="20"/>
          <w:szCs w:val="20"/>
          <w:lang w:val="uk-UA"/>
        </w:rPr>
        <w:t xml:space="preserve"> </w:t>
      </w:r>
      <w:proofErr w:type="spellStart"/>
      <w:r w:rsidRPr="00327E34">
        <w:rPr>
          <w:sz w:val="20"/>
          <w:szCs w:val="20"/>
          <w:lang w:val="uk-UA"/>
        </w:rPr>
        <w:t>Theron</w:t>
      </w:r>
      <w:proofErr w:type="spellEnd"/>
      <w:r w:rsidRPr="00327E34">
        <w:rPr>
          <w:spacing w:val="-13"/>
          <w:sz w:val="20"/>
          <w:szCs w:val="20"/>
          <w:lang w:val="uk-UA"/>
        </w:rPr>
        <w:t xml:space="preserve"> </w:t>
      </w:r>
      <w:r w:rsidRPr="00327E34">
        <w:rPr>
          <w:sz w:val="20"/>
          <w:szCs w:val="20"/>
          <w:lang w:val="uk-UA"/>
        </w:rPr>
        <w:t>G,</w:t>
      </w:r>
      <w:r w:rsidRPr="00327E34">
        <w:rPr>
          <w:spacing w:val="-13"/>
          <w:sz w:val="20"/>
          <w:szCs w:val="20"/>
          <w:lang w:val="uk-UA"/>
        </w:rPr>
        <w:t xml:space="preserve"> </w:t>
      </w:r>
      <w:proofErr w:type="spellStart"/>
      <w:r w:rsidRPr="00327E34">
        <w:rPr>
          <w:sz w:val="20"/>
          <w:szCs w:val="20"/>
          <w:lang w:val="uk-UA"/>
        </w:rPr>
        <w:t>Pascoe</w:t>
      </w:r>
      <w:proofErr w:type="spellEnd"/>
      <w:r w:rsidRPr="00327E34">
        <w:rPr>
          <w:spacing w:val="-13"/>
          <w:sz w:val="20"/>
          <w:szCs w:val="20"/>
          <w:lang w:val="uk-UA"/>
        </w:rPr>
        <w:t xml:space="preserve"> </w:t>
      </w:r>
      <w:r w:rsidRPr="00327E34">
        <w:rPr>
          <w:sz w:val="20"/>
          <w:szCs w:val="20"/>
          <w:lang w:val="uk-UA"/>
        </w:rPr>
        <w:t>M,</w:t>
      </w:r>
      <w:r w:rsidRPr="00327E34">
        <w:rPr>
          <w:spacing w:val="-14"/>
          <w:sz w:val="20"/>
          <w:szCs w:val="20"/>
          <w:lang w:val="uk-UA"/>
        </w:rPr>
        <w:t xml:space="preserve"> </w:t>
      </w:r>
      <w:proofErr w:type="spellStart"/>
      <w:r w:rsidRPr="00327E34">
        <w:rPr>
          <w:sz w:val="20"/>
          <w:szCs w:val="20"/>
          <w:lang w:val="uk-UA"/>
        </w:rPr>
        <w:t>Tingskov</w:t>
      </w:r>
      <w:proofErr w:type="spellEnd"/>
      <w:r w:rsidRPr="00327E34">
        <w:rPr>
          <w:spacing w:val="-13"/>
          <w:sz w:val="20"/>
          <w:szCs w:val="20"/>
          <w:lang w:val="uk-UA"/>
        </w:rPr>
        <w:t xml:space="preserve"> </w:t>
      </w:r>
      <w:r w:rsidRPr="00327E34">
        <w:rPr>
          <w:sz w:val="20"/>
          <w:szCs w:val="20"/>
          <w:lang w:val="uk-UA"/>
        </w:rPr>
        <w:t>PN,</w:t>
      </w:r>
      <w:r w:rsidRPr="00327E34">
        <w:rPr>
          <w:spacing w:val="-13"/>
          <w:sz w:val="20"/>
          <w:szCs w:val="20"/>
          <w:lang w:val="uk-UA"/>
        </w:rPr>
        <w:t xml:space="preserve"> </w:t>
      </w:r>
      <w:proofErr w:type="spellStart"/>
      <w:r w:rsidRPr="00327E34">
        <w:rPr>
          <w:sz w:val="20"/>
          <w:szCs w:val="20"/>
          <w:lang w:val="uk-UA"/>
        </w:rPr>
        <w:t>Aggerbeck</w:t>
      </w:r>
      <w:proofErr w:type="spellEnd"/>
      <w:r w:rsidRPr="00327E34">
        <w:rPr>
          <w:spacing w:val="-14"/>
          <w:sz w:val="20"/>
          <w:szCs w:val="20"/>
          <w:lang w:val="uk-UA"/>
        </w:rPr>
        <w:t xml:space="preserve"> </w:t>
      </w:r>
      <w:r w:rsidRPr="00327E34">
        <w:rPr>
          <w:sz w:val="20"/>
          <w:szCs w:val="20"/>
          <w:lang w:val="uk-UA"/>
        </w:rPr>
        <w:t>H</w:t>
      </w:r>
      <w:r w:rsidRPr="00327E34">
        <w:rPr>
          <w:spacing w:val="-13"/>
          <w:sz w:val="20"/>
          <w:szCs w:val="20"/>
          <w:lang w:val="uk-UA"/>
        </w:rPr>
        <w:t xml:space="preserve"> </w:t>
      </w:r>
      <w:r w:rsidRPr="00327E34">
        <w:rPr>
          <w:sz w:val="20"/>
          <w:szCs w:val="20"/>
          <w:lang w:val="uk-UA"/>
        </w:rPr>
        <w:t>et</w:t>
      </w:r>
      <w:r w:rsidRPr="00327E34">
        <w:rPr>
          <w:spacing w:val="-13"/>
          <w:sz w:val="20"/>
          <w:szCs w:val="20"/>
          <w:lang w:val="uk-UA"/>
        </w:rPr>
        <w:t xml:space="preserve"> </w:t>
      </w:r>
      <w:proofErr w:type="spellStart"/>
      <w:r w:rsidRPr="00327E34">
        <w:rPr>
          <w:sz w:val="20"/>
          <w:szCs w:val="20"/>
          <w:lang w:val="uk-UA"/>
        </w:rPr>
        <w:t>al</w:t>
      </w:r>
      <w:proofErr w:type="spellEnd"/>
      <w:r w:rsidRPr="00327E34">
        <w:rPr>
          <w:sz w:val="20"/>
          <w:szCs w:val="20"/>
          <w:lang w:val="uk-UA"/>
        </w:rPr>
        <w:t>.</w:t>
      </w:r>
      <w:r w:rsidRPr="00327E34">
        <w:rPr>
          <w:spacing w:val="-13"/>
          <w:sz w:val="20"/>
          <w:szCs w:val="20"/>
          <w:lang w:val="uk-UA"/>
        </w:rPr>
        <w:t xml:space="preserve"> </w:t>
      </w:r>
      <w:proofErr w:type="spellStart"/>
      <w:r w:rsidRPr="00327E34">
        <w:rPr>
          <w:sz w:val="20"/>
          <w:szCs w:val="20"/>
          <w:lang w:val="uk-UA"/>
        </w:rPr>
        <w:t>Sensitivity</w:t>
      </w:r>
      <w:proofErr w:type="spellEnd"/>
      <w:r w:rsidRPr="00327E34">
        <w:rPr>
          <w:spacing w:val="-14"/>
          <w:sz w:val="20"/>
          <w:szCs w:val="20"/>
          <w:lang w:val="uk-UA"/>
        </w:rPr>
        <w:t xml:space="preserve"> </w:t>
      </w:r>
      <w:r w:rsidRPr="00327E34">
        <w:rPr>
          <w:sz w:val="20"/>
          <w:szCs w:val="20"/>
          <w:lang w:val="uk-UA"/>
        </w:rPr>
        <w:t>of</w:t>
      </w:r>
      <w:r w:rsidRPr="00327E34">
        <w:rPr>
          <w:spacing w:val="-13"/>
          <w:sz w:val="20"/>
          <w:szCs w:val="20"/>
          <w:lang w:val="uk-UA"/>
        </w:rPr>
        <w:t xml:space="preserve"> </w:t>
      </w:r>
      <w:r w:rsidRPr="00327E34">
        <w:rPr>
          <w:sz w:val="20"/>
          <w:szCs w:val="20"/>
          <w:lang w:val="uk-UA"/>
        </w:rPr>
        <w:t>C-</w:t>
      </w:r>
      <w:proofErr w:type="spellStart"/>
      <w:r w:rsidRPr="00327E34">
        <w:rPr>
          <w:sz w:val="20"/>
          <w:szCs w:val="20"/>
          <w:lang w:val="uk-UA"/>
        </w:rPr>
        <w:t>Tb</w:t>
      </w:r>
      <w:proofErr w:type="spellEnd"/>
      <w:r w:rsidRPr="00327E34">
        <w:rPr>
          <w:sz w:val="20"/>
          <w:szCs w:val="20"/>
          <w:lang w:val="uk-UA"/>
        </w:rPr>
        <w:t>:</w:t>
      </w:r>
      <w:r w:rsidRPr="00327E34">
        <w:rPr>
          <w:spacing w:val="-13"/>
          <w:sz w:val="20"/>
          <w:szCs w:val="20"/>
          <w:lang w:val="uk-UA"/>
        </w:rPr>
        <w:t xml:space="preserve"> </w:t>
      </w:r>
      <w:r w:rsidRPr="00327E34">
        <w:rPr>
          <w:sz w:val="20"/>
          <w:szCs w:val="20"/>
          <w:lang w:val="uk-UA"/>
        </w:rPr>
        <w:t>a</w:t>
      </w:r>
      <w:r w:rsidRPr="00327E34">
        <w:rPr>
          <w:spacing w:val="-14"/>
          <w:sz w:val="20"/>
          <w:szCs w:val="20"/>
          <w:lang w:val="uk-UA"/>
        </w:rPr>
        <w:t xml:space="preserve"> </w:t>
      </w:r>
      <w:proofErr w:type="spellStart"/>
      <w:r w:rsidRPr="00327E34">
        <w:rPr>
          <w:sz w:val="20"/>
          <w:szCs w:val="20"/>
          <w:lang w:val="uk-UA"/>
        </w:rPr>
        <w:t>novel</w:t>
      </w:r>
      <w:proofErr w:type="spellEnd"/>
      <w:r w:rsidRPr="00327E34">
        <w:rPr>
          <w:sz w:val="20"/>
          <w:szCs w:val="20"/>
          <w:lang w:val="uk-UA"/>
        </w:rPr>
        <w:t xml:space="preserve"> RD-1-specific </w:t>
      </w:r>
      <w:proofErr w:type="spellStart"/>
      <w:r w:rsidRPr="00327E34">
        <w:rPr>
          <w:sz w:val="20"/>
          <w:szCs w:val="20"/>
          <w:lang w:val="uk-UA"/>
        </w:rPr>
        <w:t>skin</w:t>
      </w:r>
      <w:proofErr w:type="spellEnd"/>
      <w:r w:rsidRPr="00327E34">
        <w:rPr>
          <w:sz w:val="20"/>
          <w:szCs w:val="20"/>
          <w:lang w:val="uk-UA"/>
        </w:rPr>
        <w:t xml:space="preserve"> </w:t>
      </w:r>
      <w:proofErr w:type="spellStart"/>
      <w:r w:rsidRPr="00327E34">
        <w:rPr>
          <w:sz w:val="20"/>
          <w:szCs w:val="20"/>
          <w:lang w:val="uk-UA"/>
        </w:rPr>
        <w:t>test</w:t>
      </w:r>
      <w:proofErr w:type="spellEnd"/>
      <w:r w:rsidRPr="00327E34">
        <w:rPr>
          <w:sz w:val="20"/>
          <w:szCs w:val="20"/>
          <w:lang w:val="uk-UA"/>
        </w:rPr>
        <w:t xml:space="preserve"> for the </w:t>
      </w:r>
      <w:proofErr w:type="spellStart"/>
      <w:r w:rsidRPr="00327E34">
        <w:rPr>
          <w:sz w:val="20"/>
          <w:szCs w:val="20"/>
          <w:lang w:val="uk-UA"/>
        </w:rPr>
        <w:t>diagnosis</w:t>
      </w:r>
      <w:proofErr w:type="spellEnd"/>
      <w:r w:rsidRPr="00327E34">
        <w:rPr>
          <w:sz w:val="20"/>
          <w:szCs w:val="20"/>
          <w:lang w:val="uk-UA"/>
        </w:rPr>
        <w:t xml:space="preserve"> of tuberculosis </w:t>
      </w:r>
      <w:proofErr w:type="spellStart"/>
      <w:r w:rsidRPr="00327E34">
        <w:rPr>
          <w:sz w:val="20"/>
          <w:szCs w:val="20"/>
          <w:lang w:val="uk-UA"/>
        </w:rPr>
        <w:t>infection</w:t>
      </w:r>
      <w:proofErr w:type="spellEnd"/>
      <w:r w:rsidRPr="00327E34">
        <w:rPr>
          <w:sz w:val="20"/>
          <w:szCs w:val="20"/>
          <w:lang w:val="uk-UA"/>
        </w:rPr>
        <w:t xml:space="preserve">. Eur </w:t>
      </w:r>
      <w:proofErr w:type="spellStart"/>
      <w:r w:rsidRPr="00327E34">
        <w:rPr>
          <w:sz w:val="20"/>
          <w:szCs w:val="20"/>
          <w:lang w:val="uk-UA"/>
        </w:rPr>
        <w:t>Respir</w:t>
      </w:r>
      <w:proofErr w:type="spellEnd"/>
      <w:r w:rsidRPr="00327E34">
        <w:rPr>
          <w:sz w:val="20"/>
          <w:szCs w:val="20"/>
          <w:lang w:val="uk-UA"/>
        </w:rPr>
        <w:t xml:space="preserve"> J. 2016;47(3):919–28 </w:t>
      </w:r>
      <w:r w:rsidRPr="00327E34">
        <w:rPr>
          <w:spacing w:val="-2"/>
          <w:sz w:val="20"/>
          <w:szCs w:val="20"/>
          <w:lang w:val="uk-UA"/>
        </w:rPr>
        <w:t>(</w:t>
      </w:r>
      <w:hyperlink r:id="rId221">
        <w:r w:rsidRPr="00327E34">
          <w:rPr>
            <w:color w:val="019648"/>
            <w:spacing w:val="-2"/>
            <w:sz w:val="20"/>
            <w:szCs w:val="20"/>
            <w:lang w:val="uk-UA"/>
          </w:rPr>
          <w:t>https://www.ncbi.nlm.nih.gov/pubmed/26677940</w:t>
        </w:r>
      </w:hyperlink>
      <w:r w:rsidRPr="00327E34">
        <w:rPr>
          <w:spacing w:val="-2"/>
          <w:sz w:val="20"/>
          <w:szCs w:val="20"/>
          <w:lang w:val="uk-UA"/>
        </w:rPr>
        <w:t>).</w:t>
      </w:r>
    </w:p>
    <w:p w14:paraId="71E49E99" w14:textId="77777777" w:rsidR="00E05B98" w:rsidRPr="00327E34" w:rsidRDefault="00B01E0C">
      <w:pPr>
        <w:pStyle w:val="a4"/>
        <w:numPr>
          <w:ilvl w:val="0"/>
          <w:numId w:val="5"/>
        </w:numPr>
        <w:tabs>
          <w:tab w:val="left" w:pos="927"/>
        </w:tabs>
        <w:spacing w:before="83" w:line="297" w:lineRule="auto"/>
        <w:ind w:right="137"/>
        <w:rPr>
          <w:sz w:val="20"/>
          <w:szCs w:val="20"/>
          <w:lang w:val="uk-UA"/>
        </w:rPr>
      </w:pPr>
      <w:proofErr w:type="spellStart"/>
      <w:r w:rsidRPr="00327E34">
        <w:rPr>
          <w:sz w:val="20"/>
          <w:szCs w:val="20"/>
          <w:lang w:val="uk-UA"/>
        </w:rPr>
        <w:t>Streltsova</w:t>
      </w:r>
      <w:proofErr w:type="spellEnd"/>
      <w:r w:rsidRPr="00327E34">
        <w:rPr>
          <w:sz w:val="20"/>
          <w:szCs w:val="20"/>
          <w:lang w:val="uk-UA"/>
        </w:rPr>
        <w:t xml:space="preserve"> E, </w:t>
      </w:r>
      <w:proofErr w:type="spellStart"/>
      <w:r w:rsidRPr="00327E34">
        <w:rPr>
          <w:sz w:val="20"/>
          <w:szCs w:val="20"/>
          <w:lang w:val="uk-UA"/>
        </w:rPr>
        <w:t>Ryzhkova</w:t>
      </w:r>
      <w:proofErr w:type="spellEnd"/>
      <w:r w:rsidRPr="00327E34">
        <w:rPr>
          <w:sz w:val="20"/>
          <w:szCs w:val="20"/>
          <w:lang w:val="uk-UA"/>
        </w:rPr>
        <w:t xml:space="preserve"> O, </w:t>
      </w:r>
      <w:proofErr w:type="spellStart"/>
      <w:r w:rsidRPr="00327E34">
        <w:rPr>
          <w:sz w:val="20"/>
          <w:szCs w:val="20"/>
          <w:lang w:val="uk-UA"/>
        </w:rPr>
        <w:t>Bespalova</w:t>
      </w:r>
      <w:proofErr w:type="spellEnd"/>
      <w:r w:rsidRPr="00327E34">
        <w:rPr>
          <w:sz w:val="20"/>
          <w:szCs w:val="20"/>
          <w:lang w:val="uk-UA"/>
        </w:rPr>
        <w:t xml:space="preserve"> A. </w:t>
      </w:r>
      <w:proofErr w:type="spellStart"/>
      <w:r w:rsidRPr="00327E34">
        <w:rPr>
          <w:sz w:val="20"/>
          <w:szCs w:val="20"/>
          <w:lang w:val="uk-UA"/>
        </w:rPr>
        <w:t>Comparative</w:t>
      </w:r>
      <w:proofErr w:type="spellEnd"/>
      <w:r w:rsidRPr="00327E34">
        <w:rPr>
          <w:sz w:val="20"/>
          <w:szCs w:val="20"/>
          <w:lang w:val="uk-UA"/>
        </w:rPr>
        <w:t xml:space="preserve"> </w:t>
      </w:r>
      <w:proofErr w:type="spellStart"/>
      <w:r w:rsidRPr="00327E34">
        <w:rPr>
          <w:sz w:val="20"/>
          <w:szCs w:val="20"/>
          <w:lang w:val="uk-UA"/>
        </w:rPr>
        <w:t>clinical</w:t>
      </w:r>
      <w:proofErr w:type="spellEnd"/>
      <w:r w:rsidRPr="00327E34">
        <w:rPr>
          <w:sz w:val="20"/>
          <w:szCs w:val="20"/>
          <w:lang w:val="uk-UA"/>
        </w:rPr>
        <w:t xml:space="preserve"> </w:t>
      </w:r>
      <w:proofErr w:type="spellStart"/>
      <w:r w:rsidRPr="00327E34">
        <w:rPr>
          <w:sz w:val="20"/>
          <w:szCs w:val="20"/>
          <w:lang w:val="uk-UA"/>
        </w:rPr>
        <w:t>studies</w:t>
      </w:r>
      <w:proofErr w:type="spellEnd"/>
      <w:r w:rsidRPr="00327E34">
        <w:rPr>
          <w:sz w:val="20"/>
          <w:szCs w:val="20"/>
          <w:lang w:val="uk-UA"/>
        </w:rPr>
        <w:t xml:space="preserve"> of </w:t>
      </w:r>
      <w:proofErr w:type="spellStart"/>
      <w:r w:rsidRPr="00327E34">
        <w:rPr>
          <w:sz w:val="20"/>
          <w:szCs w:val="20"/>
          <w:lang w:val="uk-UA"/>
        </w:rPr>
        <w:t>skin</w:t>
      </w:r>
      <w:proofErr w:type="spellEnd"/>
      <w:r w:rsidRPr="00327E34">
        <w:rPr>
          <w:sz w:val="20"/>
          <w:szCs w:val="20"/>
          <w:lang w:val="uk-UA"/>
        </w:rPr>
        <w:t xml:space="preserve"> </w:t>
      </w:r>
      <w:proofErr w:type="spellStart"/>
      <w:r w:rsidRPr="00327E34">
        <w:rPr>
          <w:sz w:val="20"/>
          <w:szCs w:val="20"/>
          <w:lang w:val="uk-UA"/>
        </w:rPr>
        <w:t>test</w:t>
      </w:r>
      <w:proofErr w:type="spellEnd"/>
      <w:r w:rsidRPr="00327E34">
        <w:rPr>
          <w:sz w:val="20"/>
          <w:szCs w:val="20"/>
          <w:lang w:val="uk-UA"/>
        </w:rPr>
        <w:t xml:space="preserve"> Diaskintest and </w:t>
      </w:r>
      <w:proofErr w:type="spellStart"/>
      <w:r w:rsidRPr="00327E34">
        <w:rPr>
          <w:sz w:val="20"/>
          <w:szCs w:val="20"/>
          <w:lang w:val="uk-UA"/>
        </w:rPr>
        <w:t>Mantoux</w:t>
      </w:r>
      <w:proofErr w:type="spellEnd"/>
      <w:r w:rsidRPr="00327E34">
        <w:rPr>
          <w:spacing w:val="-11"/>
          <w:sz w:val="20"/>
          <w:szCs w:val="20"/>
          <w:lang w:val="uk-UA"/>
        </w:rPr>
        <w:t xml:space="preserve"> </w:t>
      </w:r>
      <w:proofErr w:type="spellStart"/>
      <w:r w:rsidRPr="00327E34">
        <w:rPr>
          <w:sz w:val="20"/>
          <w:szCs w:val="20"/>
          <w:lang w:val="uk-UA"/>
        </w:rPr>
        <w:t>test</w:t>
      </w:r>
      <w:proofErr w:type="spellEnd"/>
      <w:r w:rsidRPr="00327E34">
        <w:rPr>
          <w:spacing w:val="-11"/>
          <w:sz w:val="20"/>
          <w:szCs w:val="20"/>
          <w:lang w:val="uk-UA"/>
        </w:rPr>
        <w:t xml:space="preserve"> </w:t>
      </w:r>
      <w:r w:rsidRPr="00327E34">
        <w:rPr>
          <w:sz w:val="20"/>
          <w:szCs w:val="20"/>
          <w:lang w:val="uk-UA"/>
        </w:rPr>
        <w:t>in</w:t>
      </w:r>
      <w:r w:rsidRPr="00327E34">
        <w:rPr>
          <w:spacing w:val="-11"/>
          <w:sz w:val="20"/>
          <w:szCs w:val="20"/>
          <w:lang w:val="uk-UA"/>
        </w:rPr>
        <w:t xml:space="preserve"> </w:t>
      </w:r>
      <w:proofErr w:type="spellStart"/>
      <w:r w:rsidRPr="00327E34">
        <w:rPr>
          <w:sz w:val="20"/>
          <w:szCs w:val="20"/>
          <w:lang w:val="uk-UA"/>
        </w:rPr>
        <w:t>patients</w:t>
      </w:r>
      <w:proofErr w:type="spellEnd"/>
      <w:r w:rsidRPr="00327E34">
        <w:rPr>
          <w:spacing w:val="-11"/>
          <w:sz w:val="20"/>
          <w:szCs w:val="20"/>
          <w:lang w:val="uk-UA"/>
        </w:rPr>
        <w:t xml:space="preserve"> </w:t>
      </w:r>
      <w:r w:rsidRPr="00327E34">
        <w:rPr>
          <w:sz w:val="20"/>
          <w:szCs w:val="20"/>
          <w:lang w:val="uk-UA"/>
        </w:rPr>
        <w:t>with</w:t>
      </w:r>
      <w:r w:rsidRPr="00327E34">
        <w:rPr>
          <w:spacing w:val="-11"/>
          <w:sz w:val="20"/>
          <w:szCs w:val="20"/>
          <w:lang w:val="uk-UA"/>
        </w:rPr>
        <w:t xml:space="preserve"> </w:t>
      </w:r>
      <w:proofErr w:type="spellStart"/>
      <w:r w:rsidRPr="00327E34">
        <w:rPr>
          <w:sz w:val="20"/>
          <w:szCs w:val="20"/>
          <w:lang w:val="uk-UA"/>
        </w:rPr>
        <w:t>pulmonary</w:t>
      </w:r>
      <w:proofErr w:type="spellEnd"/>
      <w:r w:rsidRPr="00327E34">
        <w:rPr>
          <w:spacing w:val="-11"/>
          <w:sz w:val="20"/>
          <w:szCs w:val="20"/>
          <w:lang w:val="uk-UA"/>
        </w:rPr>
        <w:t xml:space="preserve"> </w:t>
      </w:r>
      <w:r w:rsidRPr="00327E34">
        <w:rPr>
          <w:sz w:val="20"/>
          <w:szCs w:val="20"/>
          <w:lang w:val="uk-UA"/>
        </w:rPr>
        <w:t>tuberculosis.</w:t>
      </w:r>
      <w:r w:rsidRPr="00327E34">
        <w:rPr>
          <w:spacing w:val="-11"/>
          <w:sz w:val="20"/>
          <w:szCs w:val="20"/>
          <w:lang w:val="uk-UA"/>
        </w:rPr>
        <w:t xml:space="preserve"> </w:t>
      </w:r>
      <w:proofErr w:type="spellStart"/>
      <w:r w:rsidRPr="00327E34">
        <w:rPr>
          <w:sz w:val="20"/>
          <w:szCs w:val="20"/>
          <w:lang w:val="uk-UA"/>
        </w:rPr>
        <w:t>Astrakhan</w:t>
      </w:r>
      <w:proofErr w:type="spellEnd"/>
      <w:r w:rsidRPr="00327E34">
        <w:rPr>
          <w:spacing w:val="-11"/>
          <w:sz w:val="20"/>
          <w:szCs w:val="20"/>
          <w:lang w:val="uk-UA"/>
        </w:rPr>
        <w:t xml:space="preserve"> </w:t>
      </w:r>
      <w:r w:rsidRPr="00327E34">
        <w:rPr>
          <w:sz w:val="20"/>
          <w:szCs w:val="20"/>
          <w:lang w:val="uk-UA"/>
        </w:rPr>
        <w:t>Medical</w:t>
      </w:r>
      <w:r w:rsidRPr="00327E34">
        <w:rPr>
          <w:spacing w:val="-11"/>
          <w:sz w:val="20"/>
          <w:szCs w:val="20"/>
          <w:lang w:val="uk-UA"/>
        </w:rPr>
        <w:t xml:space="preserve"> </w:t>
      </w:r>
      <w:r w:rsidRPr="00327E34">
        <w:rPr>
          <w:sz w:val="20"/>
          <w:szCs w:val="20"/>
          <w:lang w:val="uk-UA"/>
        </w:rPr>
        <w:t>Journal.</w:t>
      </w:r>
      <w:r w:rsidRPr="00327E34">
        <w:rPr>
          <w:spacing w:val="-11"/>
          <w:sz w:val="20"/>
          <w:szCs w:val="20"/>
          <w:lang w:val="uk-UA"/>
        </w:rPr>
        <w:t xml:space="preserve"> </w:t>
      </w:r>
      <w:r w:rsidRPr="00327E34">
        <w:rPr>
          <w:sz w:val="20"/>
          <w:szCs w:val="20"/>
          <w:lang w:val="uk-UA"/>
        </w:rPr>
        <w:t>2011;6(1):265–70.</w:t>
      </w:r>
    </w:p>
    <w:p w14:paraId="6AA540C0" w14:textId="77777777" w:rsidR="00E05B98" w:rsidRPr="00327E34" w:rsidRDefault="00B01E0C">
      <w:pPr>
        <w:pStyle w:val="a4"/>
        <w:numPr>
          <w:ilvl w:val="0"/>
          <w:numId w:val="5"/>
        </w:numPr>
        <w:tabs>
          <w:tab w:val="left" w:pos="927"/>
        </w:tabs>
        <w:spacing w:before="84" w:line="297" w:lineRule="auto"/>
        <w:ind w:right="135"/>
        <w:rPr>
          <w:sz w:val="20"/>
          <w:szCs w:val="20"/>
          <w:lang w:val="uk-UA"/>
        </w:rPr>
      </w:pPr>
      <w:proofErr w:type="spellStart"/>
      <w:r w:rsidRPr="00327E34">
        <w:rPr>
          <w:spacing w:val="-4"/>
          <w:sz w:val="20"/>
          <w:szCs w:val="20"/>
          <w:lang w:val="uk-UA"/>
        </w:rPr>
        <w:t>Rangaka</w:t>
      </w:r>
      <w:proofErr w:type="spellEnd"/>
      <w:r w:rsidRPr="00327E34">
        <w:rPr>
          <w:spacing w:val="-10"/>
          <w:sz w:val="20"/>
          <w:szCs w:val="20"/>
          <w:lang w:val="uk-UA"/>
        </w:rPr>
        <w:t xml:space="preserve"> </w:t>
      </w:r>
      <w:r w:rsidRPr="00327E34">
        <w:rPr>
          <w:spacing w:val="-4"/>
          <w:sz w:val="20"/>
          <w:szCs w:val="20"/>
          <w:lang w:val="uk-UA"/>
        </w:rPr>
        <w:t>MX,</w:t>
      </w:r>
      <w:r w:rsidRPr="00327E34">
        <w:rPr>
          <w:spacing w:val="-9"/>
          <w:sz w:val="20"/>
          <w:szCs w:val="20"/>
          <w:lang w:val="uk-UA"/>
        </w:rPr>
        <w:t xml:space="preserve"> </w:t>
      </w:r>
      <w:proofErr w:type="spellStart"/>
      <w:r w:rsidRPr="00327E34">
        <w:rPr>
          <w:spacing w:val="-4"/>
          <w:sz w:val="20"/>
          <w:szCs w:val="20"/>
          <w:lang w:val="uk-UA"/>
        </w:rPr>
        <w:t>Wilkinson</w:t>
      </w:r>
      <w:proofErr w:type="spellEnd"/>
      <w:r w:rsidRPr="00327E34">
        <w:rPr>
          <w:spacing w:val="-9"/>
          <w:sz w:val="20"/>
          <w:szCs w:val="20"/>
          <w:lang w:val="uk-UA"/>
        </w:rPr>
        <w:t xml:space="preserve"> </w:t>
      </w:r>
      <w:r w:rsidRPr="00327E34">
        <w:rPr>
          <w:spacing w:val="-4"/>
          <w:sz w:val="20"/>
          <w:szCs w:val="20"/>
          <w:lang w:val="uk-UA"/>
        </w:rPr>
        <w:t>KA,</w:t>
      </w:r>
      <w:r w:rsidRPr="00327E34">
        <w:rPr>
          <w:spacing w:val="-10"/>
          <w:sz w:val="20"/>
          <w:szCs w:val="20"/>
          <w:lang w:val="uk-UA"/>
        </w:rPr>
        <w:t xml:space="preserve"> </w:t>
      </w:r>
      <w:proofErr w:type="spellStart"/>
      <w:r w:rsidRPr="00327E34">
        <w:rPr>
          <w:spacing w:val="-4"/>
          <w:sz w:val="20"/>
          <w:szCs w:val="20"/>
          <w:lang w:val="uk-UA"/>
        </w:rPr>
        <w:t>Glynn</w:t>
      </w:r>
      <w:proofErr w:type="spellEnd"/>
      <w:r w:rsidRPr="00327E34">
        <w:rPr>
          <w:spacing w:val="-9"/>
          <w:sz w:val="20"/>
          <w:szCs w:val="20"/>
          <w:lang w:val="uk-UA"/>
        </w:rPr>
        <w:t xml:space="preserve"> </w:t>
      </w:r>
      <w:r w:rsidRPr="00327E34">
        <w:rPr>
          <w:spacing w:val="-4"/>
          <w:sz w:val="20"/>
          <w:szCs w:val="20"/>
          <w:lang w:val="uk-UA"/>
        </w:rPr>
        <w:t>JR,</w:t>
      </w:r>
      <w:r w:rsidRPr="00327E34">
        <w:rPr>
          <w:spacing w:val="-9"/>
          <w:sz w:val="20"/>
          <w:szCs w:val="20"/>
          <w:lang w:val="uk-UA"/>
        </w:rPr>
        <w:t xml:space="preserve"> </w:t>
      </w:r>
      <w:proofErr w:type="spellStart"/>
      <w:r w:rsidRPr="00327E34">
        <w:rPr>
          <w:spacing w:val="-4"/>
          <w:sz w:val="20"/>
          <w:szCs w:val="20"/>
          <w:lang w:val="uk-UA"/>
        </w:rPr>
        <w:t>Ling</w:t>
      </w:r>
      <w:proofErr w:type="spellEnd"/>
      <w:r w:rsidRPr="00327E34">
        <w:rPr>
          <w:spacing w:val="-9"/>
          <w:sz w:val="20"/>
          <w:szCs w:val="20"/>
          <w:lang w:val="uk-UA"/>
        </w:rPr>
        <w:t xml:space="preserve"> </w:t>
      </w:r>
      <w:r w:rsidRPr="00327E34">
        <w:rPr>
          <w:spacing w:val="-4"/>
          <w:sz w:val="20"/>
          <w:szCs w:val="20"/>
          <w:lang w:val="uk-UA"/>
        </w:rPr>
        <w:t>D,</w:t>
      </w:r>
      <w:r w:rsidRPr="00327E34">
        <w:rPr>
          <w:spacing w:val="-10"/>
          <w:sz w:val="20"/>
          <w:szCs w:val="20"/>
          <w:lang w:val="uk-UA"/>
        </w:rPr>
        <w:t xml:space="preserve"> </w:t>
      </w:r>
      <w:proofErr w:type="spellStart"/>
      <w:r w:rsidRPr="00327E34">
        <w:rPr>
          <w:spacing w:val="-4"/>
          <w:sz w:val="20"/>
          <w:szCs w:val="20"/>
          <w:lang w:val="uk-UA"/>
        </w:rPr>
        <w:t>Menzies</w:t>
      </w:r>
      <w:proofErr w:type="spellEnd"/>
      <w:r w:rsidRPr="00327E34">
        <w:rPr>
          <w:spacing w:val="-9"/>
          <w:sz w:val="20"/>
          <w:szCs w:val="20"/>
          <w:lang w:val="uk-UA"/>
        </w:rPr>
        <w:t xml:space="preserve"> </w:t>
      </w:r>
      <w:r w:rsidRPr="00327E34">
        <w:rPr>
          <w:spacing w:val="-4"/>
          <w:sz w:val="20"/>
          <w:szCs w:val="20"/>
          <w:lang w:val="uk-UA"/>
        </w:rPr>
        <w:t>D,</w:t>
      </w:r>
      <w:r w:rsidRPr="00327E34">
        <w:rPr>
          <w:spacing w:val="-9"/>
          <w:sz w:val="20"/>
          <w:szCs w:val="20"/>
          <w:lang w:val="uk-UA"/>
        </w:rPr>
        <w:t xml:space="preserve"> </w:t>
      </w:r>
      <w:proofErr w:type="spellStart"/>
      <w:r w:rsidRPr="00327E34">
        <w:rPr>
          <w:spacing w:val="-4"/>
          <w:sz w:val="20"/>
          <w:szCs w:val="20"/>
          <w:lang w:val="uk-UA"/>
        </w:rPr>
        <w:t>Mwansa-Kambafwile</w:t>
      </w:r>
      <w:proofErr w:type="spellEnd"/>
      <w:r w:rsidRPr="00327E34">
        <w:rPr>
          <w:spacing w:val="-10"/>
          <w:sz w:val="20"/>
          <w:szCs w:val="20"/>
          <w:lang w:val="uk-UA"/>
        </w:rPr>
        <w:t xml:space="preserve"> </w:t>
      </w:r>
      <w:r w:rsidRPr="00327E34">
        <w:rPr>
          <w:spacing w:val="-4"/>
          <w:sz w:val="20"/>
          <w:szCs w:val="20"/>
          <w:lang w:val="uk-UA"/>
        </w:rPr>
        <w:t>J</w:t>
      </w:r>
      <w:r w:rsidRPr="00327E34">
        <w:rPr>
          <w:spacing w:val="-9"/>
          <w:sz w:val="20"/>
          <w:szCs w:val="20"/>
          <w:lang w:val="uk-UA"/>
        </w:rPr>
        <w:t xml:space="preserve"> </w:t>
      </w:r>
      <w:r w:rsidRPr="00327E34">
        <w:rPr>
          <w:spacing w:val="-4"/>
          <w:sz w:val="20"/>
          <w:szCs w:val="20"/>
          <w:lang w:val="uk-UA"/>
        </w:rPr>
        <w:t>et</w:t>
      </w:r>
      <w:r w:rsidRPr="00327E34">
        <w:rPr>
          <w:spacing w:val="-9"/>
          <w:sz w:val="20"/>
          <w:szCs w:val="20"/>
          <w:lang w:val="uk-UA"/>
        </w:rPr>
        <w:t xml:space="preserve"> </w:t>
      </w:r>
      <w:proofErr w:type="spellStart"/>
      <w:r w:rsidRPr="00327E34">
        <w:rPr>
          <w:spacing w:val="-4"/>
          <w:sz w:val="20"/>
          <w:szCs w:val="20"/>
          <w:lang w:val="uk-UA"/>
        </w:rPr>
        <w:t>al</w:t>
      </w:r>
      <w:proofErr w:type="spellEnd"/>
      <w:r w:rsidRPr="00327E34">
        <w:rPr>
          <w:spacing w:val="-4"/>
          <w:sz w:val="20"/>
          <w:szCs w:val="20"/>
          <w:lang w:val="uk-UA"/>
        </w:rPr>
        <w:t>.</w:t>
      </w:r>
      <w:r w:rsidRPr="00327E34">
        <w:rPr>
          <w:spacing w:val="-9"/>
          <w:sz w:val="20"/>
          <w:szCs w:val="20"/>
          <w:lang w:val="uk-UA"/>
        </w:rPr>
        <w:t xml:space="preserve"> </w:t>
      </w:r>
      <w:proofErr w:type="spellStart"/>
      <w:r w:rsidRPr="00327E34">
        <w:rPr>
          <w:spacing w:val="-4"/>
          <w:sz w:val="20"/>
          <w:szCs w:val="20"/>
          <w:lang w:val="uk-UA"/>
        </w:rPr>
        <w:t>Predictive</w:t>
      </w:r>
      <w:proofErr w:type="spellEnd"/>
      <w:r w:rsidRPr="00327E34">
        <w:rPr>
          <w:spacing w:val="-10"/>
          <w:sz w:val="20"/>
          <w:szCs w:val="20"/>
          <w:lang w:val="uk-UA"/>
        </w:rPr>
        <w:t xml:space="preserve"> </w:t>
      </w:r>
      <w:proofErr w:type="spellStart"/>
      <w:r w:rsidRPr="00327E34">
        <w:rPr>
          <w:spacing w:val="-4"/>
          <w:sz w:val="20"/>
          <w:szCs w:val="20"/>
          <w:lang w:val="uk-UA"/>
        </w:rPr>
        <w:t>value</w:t>
      </w:r>
      <w:proofErr w:type="spellEnd"/>
      <w:r w:rsidRPr="00327E34">
        <w:rPr>
          <w:spacing w:val="-4"/>
          <w:sz w:val="20"/>
          <w:szCs w:val="20"/>
          <w:lang w:val="uk-UA"/>
        </w:rPr>
        <w:t xml:space="preserve"> </w:t>
      </w:r>
      <w:r w:rsidRPr="00327E34">
        <w:rPr>
          <w:spacing w:val="-2"/>
          <w:sz w:val="20"/>
          <w:szCs w:val="20"/>
          <w:lang w:val="uk-UA"/>
        </w:rPr>
        <w:t>of</w:t>
      </w:r>
      <w:r w:rsidRPr="00327E34">
        <w:rPr>
          <w:spacing w:val="-10"/>
          <w:sz w:val="20"/>
          <w:szCs w:val="20"/>
          <w:lang w:val="uk-UA"/>
        </w:rPr>
        <w:t xml:space="preserve"> </w:t>
      </w:r>
      <w:proofErr w:type="spellStart"/>
      <w:r w:rsidRPr="00327E34">
        <w:rPr>
          <w:spacing w:val="-2"/>
          <w:sz w:val="20"/>
          <w:szCs w:val="20"/>
          <w:lang w:val="uk-UA"/>
        </w:rPr>
        <w:t>interferon</w:t>
      </w:r>
      <w:proofErr w:type="spellEnd"/>
      <w:r w:rsidRPr="00327E34">
        <w:rPr>
          <w:spacing w:val="-2"/>
          <w:sz w:val="20"/>
          <w:szCs w:val="20"/>
          <w:lang w:val="uk-UA"/>
        </w:rPr>
        <w:t>-y</w:t>
      </w:r>
      <w:r w:rsidRPr="00327E34">
        <w:rPr>
          <w:spacing w:val="-10"/>
          <w:sz w:val="20"/>
          <w:szCs w:val="20"/>
          <w:lang w:val="uk-UA"/>
        </w:rPr>
        <w:t xml:space="preserve"> </w:t>
      </w:r>
      <w:proofErr w:type="spellStart"/>
      <w:r w:rsidRPr="00327E34">
        <w:rPr>
          <w:spacing w:val="-2"/>
          <w:sz w:val="20"/>
          <w:szCs w:val="20"/>
          <w:lang w:val="uk-UA"/>
        </w:rPr>
        <w:t>release</w:t>
      </w:r>
      <w:proofErr w:type="spellEnd"/>
      <w:r w:rsidRPr="00327E34">
        <w:rPr>
          <w:spacing w:val="-10"/>
          <w:sz w:val="20"/>
          <w:szCs w:val="20"/>
          <w:lang w:val="uk-UA"/>
        </w:rPr>
        <w:t xml:space="preserve"> </w:t>
      </w:r>
      <w:proofErr w:type="spellStart"/>
      <w:r w:rsidRPr="00327E34">
        <w:rPr>
          <w:spacing w:val="-2"/>
          <w:sz w:val="20"/>
          <w:szCs w:val="20"/>
          <w:lang w:val="uk-UA"/>
        </w:rPr>
        <w:t>assays</w:t>
      </w:r>
      <w:proofErr w:type="spellEnd"/>
      <w:r w:rsidRPr="00327E34">
        <w:rPr>
          <w:spacing w:val="-10"/>
          <w:sz w:val="20"/>
          <w:szCs w:val="20"/>
          <w:lang w:val="uk-UA"/>
        </w:rPr>
        <w:t xml:space="preserve"> </w:t>
      </w:r>
      <w:r w:rsidRPr="00327E34">
        <w:rPr>
          <w:spacing w:val="-2"/>
          <w:sz w:val="20"/>
          <w:szCs w:val="20"/>
          <w:lang w:val="uk-UA"/>
        </w:rPr>
        <w:t>for</w:t>
      </w:r>
      <w:r w:rsidRPr="00327E34">
        <w:rPr>
          <w:spacing w:val="-10"/>
          <w:sz w:val="20"/>
          <w:szCs w:val="20"/>
          <w:lang w:val="uk-UA"/>
        </w:rPr>
        <w:t xml:space="preserve"> </w:t>
      </w:r>
      <w:proofErr w:type="spellStart"/>
      <w:r w:rsidRPr="00327E34">
        <w:rPr>
          <w:spacing w:val="-2"/>
          <w:sz w:val="20"/>
          <w:szCs w:val="20"/>
          <w:lang w:val="uk-UA"/>
        </w:rPr>
        <w:t>incident</w:t>
      </w:r>
      <w:proofErr w:type="spellEnd"/>
      <w:r w:rsidRPr="00327E34">
        <w:rPr>
          <w:spacing w:val="-10"/>
          <w:sz w:val="20"/>
          <w:szCs w:val="20"/>
          <w:lang w:val="uk-UA"/>
        </w:rPr>
        <w:t xml:space="preserve"> </w:t>
      </w:r>
      <w:proofErr w:type="spellStart"/>
      <w:r w:rsidRPr="00327E34">
        <w:rPr>
          <w:spacing w:val="-2"/>
          <w:sz w:val="20"/>
          <w:szCs w:val="20"/>
          <w:lang w:val="uk-UA"/>
        </w:rPr>
        <w:t>active</w:t>
      </w:r>
      <w:proofErr w:type="spellEnd"/>
      <w:r w:rsidRPr="00327E34">
        <w:rPr>
          <w:spacing w:val="-10"/>
          <w:sz w:val="20"/>
          <w:szCs w:val="20"/>
          <w:lang w:val="uk-UA"/>
        </w:rPr>
        <w:t xml:space="preserve"> </w:t>
      </w:r>
      <w:r w:rsidRPr="00327E34">
        <w:rPr>
          <w:spacing w:val="-2"/>
          <w:sz w:val="20"/>
          <w:szCs w:val="20"/>
          <w:lang w:val="uk-UA"/>
        </w:rPr>
        <w:t>tuberculosis:</w:t>
      </w:r>
      <w:r w:rsidRPr="00327E34">
        <w:rPr>
          <w:spacing w:val="-10"/>
          <w:sz w:val="20"/>
          <w:szCs w:val="20"/>
          <w:lang w:val="uk-UA"/>
        </w:rPr>
        <w:t xml:space="preserve"> </w:t>
      </w:r>
      <w:r w:rsidRPr="00327E34">
        <w:rPr>
          <w:spacing w:val="-2"/>
          <w:sz w:val="20"/>
          <w:szCs w:val="20"/>
          <w:lang w:val="uk-UA"/>
        </w:rPr>
        <w:t>a</w:t>
      </w:r>
      <w:r w:rsidRPr="00327E34">
        <w:rPr>
          <w:spacing w:val="-10"/>
          <w:sz w:val="20"/>
          <w:szCs w:val="20"/>
          <w:lang w:val="uk-UA"/>
        </w:rPr>
        <w:t xml:space="preserve"> </w:t>
      </w:r>
      <w:proofErr w:type="spellStart"/>
      <w:r w:rsidRPr="00327E34">
        <w:rPr>
          <w:spacing w:val="-2"/>
          <w:sz w:val="20"/>
          <w:szCs w:val="20"/>
          <w:lang w:val="uk-UA"/>
        </w:rPr>
        <w:t>systematic</w:t>
      </w:r>
      <w:proofErr w:type="spellEnd"/>
      <w:r w:rsidRPr="00327E34">
        <w:rPr>
          <w:spacing w:val="-10"/>
          <w:sz w:val="20"/>
          <w:szCs w:val="20"/>
          <w:lang w:val="uk-UA"/>
        </w:rPr>
        <w:t xml:space="preserve"> </w:t>
      </w:r>
      <w:proofErr w:type="spellStart"/>
      <w:r w:rsidRPr="00327E34">
        <w:rPr>
          <w:spacing w:val="-2"/>
          <w:sz w:val="20"/>
          <w:szCs w:val="20"/>
          <w:lang w:val="uk-UA"/>
        </w:rPr>
        <w:t>review</w:t>
      </w:r>
      <w:proofErr w:type="spellEnd"/>
      <w:r w:rsidRPr="00327E34">
        <w:rPr>
          <w:spacing w:val="-10"/>
          <w:sz w:val="20"/>
          <w:szCs w:val="20"/>
          <w:lang w:val="uk-UA"/>
        </w:rPr>
        <w:t xml:space="preserve"> </w:t>
      </w:r>
      <w:r w:rsidRPr="00327E34">
        <w:rPr>
          <w:spacing w:val="-2"/>
          <w:sz w:val="20"/>
          <w:szCs w:val="20"/>
          <w:lang w:val="uk-UA"/>
        </w:rPr>
        <w:t>and</w:t>
      </w:r>
      <w:r w:rsidRPr="00327E34">
        <w:rPr>
          <w:spacing w:val="-10"/>
          <w:sz w:val="20"/>
          <w:szCs w:val="20"/>
          <w:lang w:val="uk-UA"/>
        </w:rPr>
        <w:t xml:space="preserve"> </w:t>
      </w:r>
      <w:proofErr w:type="spellStart"/>
      <w:r w:rsidRPr="00327E34">
        <w:rPr>
          <w:spacing w:val="-2"/>
          <w:sz w:val="20"/>
          <w:szCs w:val="20"/>
          <w:lang w:val="uk-UA"/>
        </w:rPr>
        <w:t>meta</w:t>
      </w:r>
      <w:proofErr w:type="spellEnd"/>
      <w:r w:rsidRPr="00327E34">
        <w:rPr>
          <w:spacing w:val="-2"/>
          <w:sz w:val="20"/>
          <w:szCs w:val="20"/>
          <w:lang w:val="uk-UA"/>
        </w:rPr>
        <w:t>-</w:t>
      </w:r>
      <w:r w:rsidRPr="00327E34">
        <w:rPr>
          <w:spacing w:val="-10"/>
          <w:sz w:val="20"/>
          <w:szCs w:val="20"/>
          <w:lang w:val="uk-UA"/>
        </w:rPr>
        <w:t xml:space="preserve"> </w:t>
      </w:r>
      <w:proofErr w:type="spellStart"/>
      <w:r w:rsidRPr="00327E34">
        <w:rPr>
          <w:spacing w:val="-2"/>
          <w:sz w:val="20"/>
          <w:szCs w:val="20"/>
          <w:lang w:val="uk-UA"/>
        </w:rPr>
        <w:t>analysis</w:t>
      </w:r>
      <w:proofErr w:type="spellEnd"/>
      <w:r w:rsidRPr="00327E34">
        <w:rPr>
          <w:spacing w:val="-2"/>
          <w:sz w:val="20"/>
          <w:szCs w:val="20"/>
          <w:lang w:val="uk-UA"/>
        </w:rPr>
        <w:t xml:space="preserve">. </w:t>
      </w:r>
      <w:proofErr w:type="spellStart"/>
      <w:r w:rsidRPr="00327E34">
        <w:rPr>
          <w:sz w:val="20"/>
          <w:szCs w:val="20"/>
          <w:lang w:val="uk-UA"/>
        </w:rPr>
        <w:t>Lancet</w:t>
      </w:r>
      <w:proofErr w:type="spellEnd"/>
      <w:r w:rsidRPr="00327E34">
        <w:rPr>
          <w:spacing w:val="29"/>
          <w:sz w:val="20"/>
          <w:szCs w:val="20"/>
          <w:lang w:val="uk-UA"/>
        </w:rPr>
        <w:t xml:space="preserve"> </w:t>
      </w:r>
      <w:proofErr w:type="spellStart"/>
      <w:r w:rsidRPr="00327E34">
        <w:rPr>
          <w:sz w:val="20"/>
          <w:szCs w:val="20"/>
          <w:lang w:val="uk-UA"/>
        </w:rPr>
        <w:t>Infect</w:t>
      </w:r>
      <w:proofErr w:type="spellEnd"/>
      <w:r w:rsidRPr="00327E34">
        <w:rPr>
          <w:spacing w:val="29"/>
          <w:sz w:val="20"/>
          <w:szCs w:val="20"/>
          <w:lang w:val="uk-UA"/>
        </w:rPr>
        <w:t xml:space="preserve"> </w:t>
      </w:r>
      <w:proofErr w:type="spellStart"/>
      <w:r w:rsidRPr="00327E34">
        <w:rPr>
          <w:sz w:val="20"/>
          <w:szCs w:val="20"/>
          <w:lang w:val="uk-UA"/>
        </w:rPr>
        <w:t>Dis</w:t>
      </w:r>
      <w:proofErr w:type="spellEnd"/>
      <w:r w:rsidRPr="00327E34">
        <w:rPr>
          <w:sz w:val="20"/>
          <w:szCs w:val="20"/>
          <w:lang w:val="uk-UA"/>
        </w:rPr>
        <w:t>.</w:t>
      </w:r>
      <w:r w:rsidRPr="00327E34">
        <w:rPr>
          <w:spacing w:val="29"/>
          <w:sz w:val="20"/>
          <w:szCs w:val="20"/>
          <w:lang w:val="uk-UA"/>
        </w:rPr>
        <w:t xml:space="preserve"> </w:t>
      </w:r>
      <w:r w:rsidRPr="00327E34">
        <w:rPr>
          <w:sz w:val="20"/>
          <w:szCs w:val="20"/>
          <w:lang w:val="uk-UA"/>
        </w:rPr>
        <w:t>2012;12(1):45–55</w:t>
      </w:r>
      <w:r w:rsidRPr="00327E34">
        <w:rPr>
          <w:spacing w:val="29"/>
          <w:sz w:val="20"/>
          <w:szCs w:val="20"/>
          <w:lang w:val="uk-UA"/>
        </w:rPr>
        <w:t xml:space="preserve"> </w:t>
      </w:r>
      <w:r w:rsidRPr="00327E34">
        <w:rPr>
          <w:sz w:val="20"/>
          <w:szCs w:val="20"/>
          <w:lang w:val="uk-UA"/>
        </w:rPr>
        <w:t>(</w:t>
      </w:r>
      <w:hyperlink r:id="rId222">
        <w:r w:rsidRPr="00327E34">
          <w:rPr>
            <w:color w:val="019648"/>
            <w:sz w:val="20"/>
            <w:szCs w:val="20"/>
            <w:lang w:val="uk-UA"/>
          </w:rPr>
          <w:t>https://pubmed.ncbi.nlm.nih.gov/21846592/</w:t>
        </w:r>
      </w:hyperlink>
      <w:r w:rsidRPr="00327E34">
        <w:rPr>
          <w:sz w:val="20"/>
          <w:szCs w:val="20"/>
          <w:lang w:val="uk-UA"/>
        </w:rPr>
        <w:t>).</w:t>
      </w:r>
    </w:p>
    <w:p w14:paraId="60B1F89D" w14:textId="77777777" w:rsidR="00E05B98" w:rsidRPr="00327E34" w:rsidRDefault="00B01E0C">
      <w:pPr>
        <w:pStyle w:val="a4"/>
        <w:numPr>
          <w:ilvl w:val="0"/>
          <w:numId w:val="5"/>
        </w:numPr>
        <w:tabs>
          <w:tab w:val="left" w:pos="927"/>
        </w:tabs>
        <w:spacing w:before="83" w:line="297" w:lineRule="auto"/>
        <w:ind w:right="138"/>
        <w:rPr>
          <w:sz w:val="20"/>
          <w:szCs w:val="20"/>
          <w:lang w:val="uk-UA"/>
        </w:rPr>
      </w:pPr>
      <w:proofErr w:type="spellStart"/>
      <w:r w:rsidRPr="00327E34">
        <w:rPr>
          <w:spacing w:val="-6"/>
          <w:sz w:val="20"/>
          <w:szCs w:val="20"/>
          <w:lang w:val="uk-UA"/>
        </w:rPr>
        <w:t>Dorman</w:t>
      </w:r>
      <w:proofErr w:type="spellEnd"/>
      <w:r w:rsidRPr="00327E34">
        <w:rPr>
          <w:spacing w:val="-7"/>
          <w:sz w:val="20"/>
          <w:szCs w:val="20"/>
          <w:lang w:val="uk-UA"/>
        </w:rPr>
        <w:t xml:space="preserve"> </w:t>
      </w:r>
      <w:r w:rsidRPr="00327E34">
        <w:rPr>
          <w:spacing w:val="-6"/>
          <w:sz w:val="20"/>
          <w:szCs w:val="20"/>
          <w:lang w:val="uk-UA"/>
        </w:rPr>
        <w:t>SE,</w:t>
      </w:r>
      <w:r w:rsidRPr="00327E34">
        <w:rPr>
          <w:spacing w:val="-7"/>
          <w:sz w:val="20"/>
          <w:szCs w:val="20"/>
          <w:lang w:val="uk-UA"/>
        </w:rPr>
        <w:t xml:space="preserve"> </w:t>
      </w:r>
      <w:proofErr w:type="spellStart"/>
      <w:r w:rsidRPr="00327E34">
        <w:rPr>
          <w:spacing w:val="-6"/>
          <w:sz w:val="20"/>
          <w:szCs w:val="20"/>
          <w:lang w:val="uk-UA"/>
        </w:rPr>
        <w:t>Belknap</w:t>
      </w:r>
      <w:proofErr w:type="spellEnd"/>
      <w:r w:rsidRPr="00327E34">
        <w:rPr>
          <w:spacing w:val="-7"/>
          <w:sz w:val="20"/>
          <w:szCs w:val="20"/>
          <w:lang w:val="uk-UA"/>
        </w:rPr>
        <w:t xml:space="preserve"> </w:t>
      </w:r>
      <w:r w:rsidRPr="00327E34">
        <w:rPr>
          <w:spacing w:val="-6"/>
          <w:sz w:val="20"/>
          <w:szCs w:val="20"/>
          <w:lang w:val="uk-UA"/>
        </w:rPr>
        <w:t>R,</w:t>
      </w:r>
      <w:r w:rsidRPr="00327E34">
        <w:rPr>
          <w:spacing w:val="-7"/>
          <w:sz w:val="20"/>
          <w:szCs w:val="20"/>
          <w:lang w:val="uk-UA"/>
        </w:rPr>
        <w:t xml:space="preserve"> </w:t>
      </w:r>
      <w:proofErr w:type="spellStart"/>
      <w:r w:rsidRPr="00327E34">
        <w:rPr>
          <w:spacing w:val="-6"/>
          <w:sz w:val="20"/>
          <w:szCs w:val="20"/>
          <w:lang w:val="uk-UA"/>
        </w:rPr>
        <w:t>Graviss</w:t>
      </w:r>
      <w:proofErr w:type="spellEnd"/>
      <w:r w:rsidRPr="00327E34">
        <w:rPr>
          <w:spacing w:val="-7"/>
          <w:sz w:val="20"/>
          <w:szCs w:val="20"/>
          <w:lang w:val="uk-UA"/>
        </w:rPr>
        <w:t xml:space="preserve"> </w:t>
      </w:r>
      <w:r w:rsidRPr="00327E34">
        <w:rPr>
          <w:spacing w:val="-6"/>
          <w:sz w:val="20"/>
          <w:szCs w:val="20"/>
          <w:lang w:val="uk-UA"/>
        </w:rPr>
        <w:t>EA,</w:t>
      </w:r>
      <w:r w:rsidRPr="00327E34">
        <w:rPr>
          <w:spacing w:val="-7"/>
          <w:sz w:val="20"/>
          <w:szCs w:val="20"/>
          <w:lang w:val="uk-UA"/>
        </w:rPr>
        <w:t xml:space="preserve"> </w:t>
      </w:r>
      <w:proofErr w:type="spellStart"/>
      <w:r w:rsidRPr="00327E34">
        <w:rPr>
          <w:spacing w:val="-6"/>
          <w:sz w:val="20"/>
          <w:szCs w:val="20"/>
          <w:lang w:val="uk-UA"/>
        </w:rPr>
        <w:t>Reves</w:t>
      </w:r>
      <w:proofErr w:type="spellEnd"/>
      <w:r w:rsidRPr="00327E34">
        <w:rPr>
          <w:spacing w:val="-7"/>
          <w:sz w:val="20"/>
          <w:szCs w:val="20"/>
          <w:lang w:val="uk-UA"/>
        </w:rPr>
        <w:t xml:space="preserve"> </w:t>
      </w:r>
      <w:r w:rsidRPr="00327E34">
        <w:rPr>
          <w:spacing w:val="-6"/>
          <w:sz w:val="20"/>
          <w:szCs w:val="20"/>
          <w:lang w:val="uk-UA"/>
        </w:rPr>
        <w:t>R,</w:t>
      </w:r>
      <w:r w:rsidRPr="00327E34">
        <w:rPr>
          <w:spacing w:val="-7"/>
          <w:sz w:val="20"/>
          <w:szCs w:val="20"/>
          <w:lang w:val="uk-UA"/>
        </w:rPr>
        <w:t xml:space="preserve"> </w:t>
      </w:r>
      <w:proofErr w:type="spellStart"/>
      <w:r w:rsidRPr="00327E34">
        <w:rPr>
          <w:spacing w:val="-6"/>
          <w:sz w:val="20"/>
          <w:szCs w:val="20"/>
          <w:lang w:val="uk-UA"/>
        </w:rPr>
        <w:t>Schluger</w:t>
      </w:r>
      <w:proofErr w:type="spellEnd"/>
      <w:r w:rsidRPr="00327E34">
        <w:rPr>
          <w:spacing w:val="-7"/>
          <w:sz w:val="20"/>
          <w:szCs w:val="20"/>
          <w:lang w:val="uk-UA"/>
        </w:rPr>
        <w:t xml:space="preserve"> </w:t>
      </w:r>
      <w:r w:rsidRPr="00327E34">
        <w:rPr>
          <w:spacing w:val="-6"/>
          <w:sz w:val="20"/>
          <w:szCs w:val="20"/>
          <w:lang w:val="uk-UA"/>
        </w:rPr>
        <w:t>N,</w:t>
      </w:r>
      <w:r w:rsidRPr="00327E34">
        <w:rPr>
          <w:spacing w:val="-7"/>
          <w:sz w:val="20"/>
          <w:szCs w:val="20"/>
          <w:lang w:val="uk-UA"/>
        </w:rPr>
        <w:t xml:space="preserve"> </w:t>
      </w:r>
      <w:proofErr w:type="spellStart"/>
      <w:r w:rsidRPr="00327E34">
        <w:rPr>
          <w:spacing w:val="-6"/>
          <w:sz w:val="20"/>
          <w:szCs w:val="20"/>
          <w:lang w:val="uk-UA"/>
        </w:rPr>
        <w:t>Weinfurter</w:t>
      </w:r>
      <w:proofErr w:type="spellEnd"/>
      <w:r w:rsidRPr="00327E34">
        <w:rPr>
          <w:spacing w:val="-7"/>
          <w:sz w:val="20"/>
          <w:szCs w:val="20"/>
          <w:lang w:val="uk-UA"/>
        </w:rPr>
        <w:t xml:space="preserve"> </w:t>
      </w:r>
      <w:r w:rsidRPr="00327E34">
        <w:rPr>
          <w:spacing w:val="-6"/>
          <w:sz w:val="20"/>
          <w:szCs w:val="20"/>
          <w:lang w:val="uk-UA"/>
        </w:rPr>
        <w:t>P</w:t>
      </w:r>
      <w:r w:rsidRPr="00327E34">
        <w:rPr>
          <w:spacing w:val="-7"/>
          <w:sz w:val="20"/>
          <w:szCs w:val="20"/>
          <w:lang w:val="uk-UA"/>
        </w:rPr>
        <w:t xml:space="preserve"> </w:t>
      </w:r>
      <w:r w:rsidRPr="00327E34">
        <w:rPr>
          <w:spacing w:val="-6"/>
          <w:sz w:val="20"/>
          <w:szCs w:val="20"/>
          <w:lang w:val="uk-UA"/>
        </w:rPr>
        <w:t>et</w:t>
      </w:r>
      <w:r w:rsidRPr="00327E34">
        <w:rPr>
          <w:spacing w:val="-7"/>
          <w:sz w:val="20"/>
          <w:szCs w:val="20"/>
          <w:lang w:val="uk-UA"/>
        </w:rPr>
        <w:t xml:space="preserve"> </w:t>
      </w:r>
      <w:proofErr w:type="spellStart"/>
      <w:r w:rsidRPr="00327E34">
        <w:rPr>
          <w:spacing w:val="-6"/>
          <w:sz w:val="20"/>
          <w:szCs w:val="20"/>
          <w:lang w:val="uk-UA"/>
        </w:rPr>
        <w:t>al</w:t>
      </w:r>
      <w:proofErr w:type="spellEnd"/>
      <w:r w:rsidRPr="00327E34">
        <w:rPr>
          <w:spacing w:val="-6"/>
          <w:sz w:val="20"/>
          <w:szCs w:val="20"/>
          <w:lang w:val="uk-UA"/>
        </w:rPr>
        <w:t>.</w:t>
      </w:r>
      <w:r w:rsidRPr="00327E34">
        <w:rPr>
          <w:spacing w:val="-7"/>
          <w:sz w:val="20"/>
          <w:szCs w:val="20"/>
          <w:lang w:val="uk-UA"/>
        </w:rPr>
        <w:t xml:space="preserve"> </w:t>
      </w:r>
      <w:proofErr w:type="spellStart"/>
      <w:r w:rsidRPr="00327E34">
        <w:rPr>
          <w:spacing w:val="-6"/>
          <w:sz w:val="20"/>
          <w:szCs w:val="20"/>
          <w:lang w:val="uk-UA"/>
        </w:rPr>
        <w:t>Interferon</w:t>
      </w:r>
      <w:proofErr w:type="spellEnd"/>
      <w:r w:rsidRPr="00327E34">
        <w:rPr>
          <w:spacing w:val="-6"/>
          <w:sz w:val="20"/>
          <w:szCs w:val="20"/>
          <w:lang w:val="uk-UA"/>
        </w:rPr>
        <w:t>-y</w:t>
      </w:r>
      <w:r w:rsidRPr="00327E34">
        <w:rPr>
          <w:spacing w:val="-7"/>
          <w:sz w:val="20"/>
          <w:szCs w:val="20"/>
          <w:lang w:val="uk-UA"/>
        </w:rPr>
        <w:t xml:space="preserve"> </w:t>
      </w:r>
      <w:proofErr w:type="spellStart"/>
      <w:r w:rsidRPr="00327E34">
        <w:rPr>
          <w:spacing w:val="-6"/>
          <w:sz w:val="20"/>
          <w:szCs w:val="20"/>
          <w:lang w:val="uk-UA"/>
        </w:rPr>
        <w:t>release</w:t>
      </w:r>
      <w:proofErr w:type="spellEnd"/>
      <w:r w:rsidRPr="00327E34">
        <w:rPr>
          <w:spacing w:val="-7"/>
          <w:sz w:val="20"/>
          <w:szCs w:val="20"/>
          <w:lang w:val="uk-UA"/>
        </w:rPr>
        <w:t xml:space="preserve"> </w:t>
      </w:r>
      <w:proofErr w:type="spellStart"/>
      <w:r w:rsidRPr="00327E34">
        <w:rPr>
          <w:spacing w:val="-6"/>
          <w:sz w:val="20"/>
          <w:szCs w:val="20"/>
          <w:lang w:val="uk-UA"/>
        </w:rPr>
        <w:t>assays</w:t>
      </w:r>
      <w:proofErr w:type="spellEnd"/>
      <w:r w:rsidRPr="00327E34">
        <w:rPr>
          <w:spacing w:val="-6"/>
          <w:sz w:val="20"/>
          <w:szCs w:val="20"/>
          <w:lang w:val="uk-UA"/>
        </w:rPr>
        <w:t xml:space="preserve"> </w:t>
      </w:r>
      <w:r w:rsidRPr="00327E34">
        <w:rPr>
          <w:sz w:val="20"/>
          <w:szCs w:val="20"/>
          <w:lang w:val="uk-UA"/>
        </w:rPr>
        <w:t xml:space="preserve">and </w:t>
      </w:r>
      <w:proofErr w:type="spellStart"/>
      <w:r w:rsidRPr="00327E34">
        <w:rPr>
          <w:sz w:val="20"/>
          <w:szCs w:val="20"/>
          <w:lang w:val="uk-UA"/>
        </w:rPr>
        <w:t>tuberculin</w:t>
      </w:r>
      <w:proofErr w:type="spellEnd"/>
      <w:r w:rsidRPr="00327E34">
        <w:rPr>
          <w:sz w:val="20"/>
          <w:szCs w:val="20"/>
          <w:lang w:val="uk-UA"/>
        </w:rPr>
        <w:t xml:space="preserve"> </w:t>
      </w:r>
      <w:proofErr w:type="spellStart"/>
      <w:r w:rsidRPr="00327E34">
        <w:rPr>
          <w:sz w:val="20"/>
          <w:szCs w:val="20"/>
          <w:lang w:val="uk-UA"/>
        </w:rPr>
        <w:t>skin</w:t>
      </w:r>
      <w:proofErr w:type="spellEnd"/>
      <w:r w:rsidRPr="00327E34">
        <w:rPr>
          <w:sz w:val="20"/>
          <w:szCs w:val="20"/>
          <w:lang w:val="uk-UA"/>
        </w:rPr>
        <w:t xml:space="preserve"> </w:t>
      </w:r>
      <w:proofErr w:type="spellStart"/>
      <w:r w:rsidRPr="00327E34">
        <w:rPr>
          <w:sz w:val="20"/>
          <w:szCs w:val="20"/>
          <w:lang w:val="uk-UA"/>
        </w:rPr>
        <w:t>testing</w:t>
      </w:r>
      <w:proofErr w:type="spellEnd"/>
      <w:r w:rsidRPr="00327E34">
        <w:rPr>
          <w:sz w:val="20"/>
          <w:szCs w:val="20"/>
          <w:lang w:val="uk-UA"/>
        </w:rPr>
        <w:t xml:space="preserve"> for </w:t>
      </w:r>
      <w:proofErr w:type="spellStart"/>
      <w:r w:rsidRPr="00327E34">
        <w:rPr>
          <w:sz w:val="20"/>
          <w:szCs w:val="20"/>
          <w:lang w:val="uk-UA"/>
        </w:rPr>
        <w:t>diagnosis</w:t>
      </w:r>
      <w:proofErr w:type="spellEnd"/>
      <w:r w:rsidRPr="00327E34">
        <w:rPr>
          <w:sz w:val="20"/>
          <w:szCs w:val="20"/>
          <w:lang w:val="uk-UA"/>
        </w:rPr>
        <w:t xml:space="preserve"> of </w:t>
      </w:r>
      <w:proofErr w:type="spellStart"/>
      <w:r w:rsidRPr="00327E34">
        <w:rPr>
          <w:sz w:val="20"/>
          <w:szCs w:val="20"/>
          <w:lang w:val="uk-UA"/>
        </w:rPr>
        <w:t>latent</w:t>
      </w:r>
      <w:proofErr w:type="spellEnd"/>
      <w:r w:rsidRPr="00327E34">
        <w:rPr>
          <w:sz w:val="20"/>
          <w:szCs w:val="20"/>
          <w:lang w:val="uk-UA"/>
        </w:rPr>
        <w:t xml:space="preserve"> tuberculosis </w:t>
      </w:r>
      <w:proofErr w:type="spellStart"/>
      <w:r w:rsidRPr="00327E34">
        <w:rPr>
          <w:sz w:val="20"/>
          <w:szCs w:val="20"/>
          <w:lang w:val="uk-UA"/>
        </w:rPr>
        <w:t>infection</w:t>
      </w:r>
      <w:proofErr w:type="spellEnd"/>
      <w:r w:rsidRPr="00327E34">
        <w:rPr>
          <w:sz w:val="20"/>
          <w:szCs w:val="20"/>
          <w:lang w:val="uk-UA"/>
        </w:rPr>
        <w:t xml:space="preserve"> in </w:t>
      </w:r>
      <w:proofErr w:type="spellStart"/>
      <w:r w:rsidRPr="00327E34">
        <w:rPr>
          <w:sz w:val="20"/>
          <w:szCs w:val="20"/>
          <w:lang w:val="uk-UA"/>
        </w:rPr>
        <w:t>healthcare</w:t>
      </w:r>
      <w:proofErr w:type="spellEnd"/>
      <w:r w:rsidRPr="00327E34">
        <w:rPr>
          <w:sz w:val="20"/>
          <w:szCs w:val="20"/>
          <w:lang w:val="uk-UA"/>
        </w:rPr>
        <w:t xml:space="preserve"> </w:t>
      </w:r>
      <w:proofErr w:type="spellStart"/>
      <w:r w:rsidRPr="00327E34">
        <w:rPr>
          <w:sz w:val="20"/>
          <w:szCs w:val="20"/>
          <w:lang w:val="uk-UA"/>
        </w:rPr>
        <w:t>workers</w:t>
      </w:r>
      <w:proofErr w:type="spellEnd"/>
      <w:r w:rsidRPr="00327E34">
        <w:rPr>
          <w:sz w:val="20"/>
          <w:szCs w:val="20"/>
          <w:lang w:val="uk-UA"/>
        </w:rPr>
        <w:t xml:space="preserve"> in</w:t>
      </w:r>
      <w:r w:rsidRPr="00327E34">
        <w:rPr>
          <w:spacing w:val="80"/>
          <w:w w:val="150"/>
          <w:sz w:val="20"/>
          <w:szCs w:val="20"/>
          <w:lang w:val="uk-UA"/>
        </w:rPr>
        <w:t xml:space="preserve"> </w:t>
      </w:r>
      <w:r w:rsidRPr="00327E34">
        <w:rPr>
          <w:sz w:val="20"/>
          <w:szCs w:val="20"/>
          <w:lang w:val="uk-UA"/>
        </w:rPr>
        <w:t xml:space="preserve">the </w:t>
      </w:r>
      <w:proofErr w:type="spellStart"/>
      <w:r w:rsidRPr="00327E34">
        <w:rPr>
          <w:sz w:val="20"/>
          <w:szCs w:val="20"/>
          <w:lang w:val="uk-UA"/>
        </w:rPr>
        <w:t>United</w:t>
      </w:r>
      <w:proofErr w:type="spellEnd"/>
      <w:r w:rsidRPr="00327E34">
        <w:rPr>
          <w:sz w:val="20"/>
          <w:szCs w:val="20"/>
          <w:lang w:val="uk-UA"/>
        </w:rPr>
        <w:t xml:space="preserve"> </w:t>
      </w:r>
      <w:proofErr w:type="spellStart"/>
      <w:r w:rsidRPr="00327E34">
        <w:rPr>
          <w:sz w:val="20"/>
          <w:szCs w:val="20"/>
          <w:lang w:val="uk-UA"/>
        </w:rPr>
        <w:t>States</w:t>
      </w:r>
      <w:proofErr w:type="spellEnd"/>
      <w:r w:rsidRPr="00327E34">
        <w:rPr>
          <w:sz w:val="20"/>
          <w:szCs w:val="20"/>
          <w:lang w:val="uk-UA"/>
        </w:rPr>
        <w:t xml:space="preserve">. Am J </w:t>
      </w:r>
      <w:proofErr w:type="spellStart"/>
      <w:r w:rsidRPr="00327E34">
        <w:rPr>
          <w:sz w:val="20"/>
          <w:szCs w:val="20"/>
          <w:lang w:val="uk-UA"/>
        </w:rPr>
        <w:t>Respir</w:t>
      </w:r>
      <w:proofErr w:type="spellEnd"/>
      <w:r w:rsidRPr="00327E34">
        <w:rPr>
          <w:sz w:val="20"/>
          <w:szCs w:val="20"/>
          <w:lang w:val="uk-UA"/>
        </w:rPr>
        <w:t xml:space="preserve"> </w:t>
      </w:r>
      <w:proofErr w:type="spellStart"/>
      <w:r w:rsidRPr="00327E34">
        <w:rPr>
          <w:sz w:val="20"/>
          <w:szCs w:val="20"/>
          <w:lang w:val="uk-UA"/>
        </w:rPr>
        <w:t>Crit</w:t>
      </w:r>
      <w:proofErr w:type="spellEnd"/>
      <w:r w:rsidRPr="00327E34">
        <w:rPr>
          <w:sz w:val="20"/>
          <w:szCs w:val="20"/>
          <w:lang w:val="uk-UA"/>
        </w:rPr>
        <w:t xml:space="preserve"> Care Med. 2014;189(1):77–87 (</w:t>
      </w:r>
      <w:hyperlink r:id="rId223">
        <w:r w:rsidRPr="00327E34">
          <w:rPr>
            <w:color w:val="019648"/>
            <w:sz w:val="20"/>
            <w:szCs w:val="20"/>
            <w:lang w:val="uk-UA"/>
          </w:rPr>
          <w:t>https://pubmed.ncbi.nlm.nih.</w:t>
        </w:r>
      </w:hyperlink>
      <w:r w:rsidRPr="00327E34">
        <w:rPr>
          <w:color w:val="019648"/>
          <w:sz w:val="20"/>
          <w:szCs w:val="20"/>
          <w:lang w:val="uk-UA"/>
        </w:rPr>
        <w:t xml:space="preserve"> </w:t>
      </w:r>
      <w:hyperlink r:id="rId224">
        <w:r w:rsidRPr="00327E34">
          <w:rPr>
            <w:color w:val="019648"/>
            <w:spacing w:val="-2"/>
            <w:sz w:val="20"/>
            <w:szCs w:val="20"/>
            <w:lang w:val="uk-UA"/>
          </w:rPr>
          <w:t>gov/24299555/</w:t>
        </w:r>
      </w:hyperlink>
      <w:r w:rsidRPr="00327E34">
        <w:rPr>
          <w:spacing w:val="-2"/>
          <w:sz w:val="20"/>
          <w:szCs w:val="20"/>
          <w:lang w:val="uk-UA"/>
        </w:rPr>
        <w:t>).</w:t>
      </w:r>
    </w:p>
    <w:p w14:paraId="269B8A56" w14:textId="77777777" w:rsidR="00E05B98" w:rsidRPr="00327E34" w:rsidRDefault="00B01E0C">
      <w:pPr>
        <w:pStyle w:val="a4"/>
        <w:numPr>
          <w:ilvl w:val="0"/>
          <w:numId w:val="5"/>
        </w:numPr>
        <w:tabs>
          <w:tab w:val="left" w:pos="927"/>
        </w:tabs>
        <w:spacing w:before="82" w:line="297" w:lineRule="auto"/>
        <w:ind w:right="139"/>
        <w:rPr>
          <w:sz w:val="20"/>
          <w:szCs w:val="20"/>
          <w:lang w:val="uk-UA"/>
        </w:rPr>
      </w:pPr>
      <w:proofErr w:type="spellStart"/>
      <w:r w:rsidRPr="00327E34">
        <w:rPr>
          <w:sz w:val="20"/>
          <w:szCs w:val="20"/>
          <w:lang w:val="uk-UA"/>
        </w:rPr>
        <w:t>Rangaka</w:t>
      </w:r>
      <w:proofErr w:type="spellEnd"/>
      <w:r w:rsidRPr="00327E34">
        <w:rPr>
          <w:sz w:val="20"/>
          <w:szCs w:val="20"/>
          <w:lang w:val="uk-UA"/>
        </w:rPr>
        <w:t xml:space="preserve"> MX, </w:t>
      </w:r>
      <w:proofErr w:type="spellStart"/>
      <w:r w:rsidRPr="00327E34">
        <w:rPr>
          <w:sz w:val="20"/>
          <w:szCs w:val="20"/>
          <w:lang w:val="uk-UA"/>
        </w:rPr>
        <w:t>Wilkinson</w:t>
      </w:r>
      <w:proofErr w:type="spellEnd"/>
      <w:r w:rsidRPr="00327E34">
        <w:rPr>
          <w:sz w:val="20"/>
          <w:szCs w:val="20"/>
          <w:lang w:val="uk-UA"/>
        </w:rPr>
        <w:t xml:space="preserve"> RJ, </w:t>
      </w:r>
      <w:proofErr w:type="spellStart"/>
      <w:r w:rsidRPr="00327E34">
        <w:rPr>
          <w:sz w:val="20"/>
          <w:szCs w:val="20"/>
          <w:lang w:val="uk-UA"/>
        </w:rPr>
        <w:t>Boulle</w:t>
      </w:r>
      <w:proofErr w:type="spellEnd"/>
      <w:r w:rsidRPr="00327E34">
        <w:rPr>
          <w:sz w:val="20"/>
          <w:szCs w:val="20"/>
          <w:lang w:val="uk-UA"/>
        </w:rPr>
        <w:t xml:space="preserve"> A, </w:t>
      </w:r>
      <w:proofErr w:type="spellStart"/>
      <w:r w:rsidRPr="00327E34">
        <w:rPr>
          <w:sz w:val="20"/>
          <w:szCs w:val="20"/>
          <w:lang w:val="uk-UA"/>
        </w:rPr>
        <w:t>Glynn</w:t>
      </w:r>
      <w:proofErr w:type="spellEnd"/>
      <w:r w:rsidRPr="00327E34">
        <w:rPr>
          <w:sz w:val="20"/>
          <w:szCs w:val="20"/>
          <w:lang w:val="uk-UA"/>
        </w:rPr>
        <w:t xml:space="preserve"> JR, </w:t>
      </w:r>
      <w:proofErr w:type="spellStart"/>
      <w:r w:rsidRPr="00327E34">
        <w:rPr>
          <w:sz w:val="20"/>
          <w:szCs w:val="20"/>
          <w:lang w:val="uk-UA"/>
        </w:rPr>
        <w:t>Fielding</w:t>
      </w:r>
      <w:proofErr w:type="spellEnd"/>
      <w:r w:rsidRPr="00327E34">
        <w:rPr>
          <w:sz w:val="20"/>
          <w:szCs w:val="20"/>
          <w:lang w:val="uk-UA"/>
        </w:rPr>
        <w:t xml:space="preserve"> K, van </w:t>
      </w:r>
      <w:proofErr w:type="spellStart"/>
      <w:r w:rsidRPr="00327E34">
        <w:rPr>
          <w:sz w:val="20"/>
          <w:szCs w:val="20"/>
          <w:lang w:val="uk-UA"/>
        </w:rPr>
        <w:t>Cutsem</w:t>
      </w:r>
      <w:proofErr w:type="spellEnd"/>
      <w:r w:rsidRPr="00327E34">
        <w:rPr>
          <w:sz w:val="20"/>
          <w:szCs w:val="20"/>
          <w:lang w:val="uk-UA"/>
        </w:rPr>
        <w:t xml:space="preserve"> G et </w:t>
      </w:r>
      <w:proofErr w:type="spellStart"/>
      <w:r w:rsidRPr="00327E34">
        <w:rPr>
          <w:sz w:val="20"/>
          <w:szCs w:val="20"/>
          <w:lang w:val="uk-UA"/>
        </w:rPr>
        <w:t>al</w:t>
      </w:r>
      <w:proofErr w:type="spellEnd"/>
      <w:r w:rsidRPr="00327E34">
        <w:rPr>
          <w:sz w:val="20"/>
          <w:szCs w:val="20"/>
          <w:lang w:val="uk-UA"/>
        </w:rPr>
        <w:t xml:space="preserve">. </w:t>
      </w:r>
      <w:proofErr w:type="spellStart"/>
      <w:r w:rsidRPr="00327E34">
        <w:rPr>
          <w:sz w:val="20"/>
          <w:szCs w:val="20"/>
          <w:lang w:val="uk-UA"/>
        </w:rPr>
        <w:t>Isoniazid</w:t>
      </w:r>
      <w:proofErr w:type="spellEnd"/>
      <w:r w:rsidRPr="00327E34">
        <w:rPr>
          <w:sz w:val="20"/>
          <w:szCs w:val="20"/>
          <w:lang w:val="uk-UA"/>
        </w:rPr>
        <w:t xml:space="preserve"> plus </w:t>
      </w:r>
      <w:proofErr w:type="spellStart"/>
      <w:r w:rsidRPr="00327E34">
        <w:rPr>
          <w:sz w:val="20"/>
          <w:szCs w:val="20"/>
          <w:lang w:val="uk-UA"/>
        </w:rPr>
        <w:t>antiretroviral</w:t>
      </w:r>
      <w:proofErr w:type="spellEnd"/>
      <w:r w:rsidRPr="00327E34">
        <w:rPr>
          <w:sz w:val="20"/>
          <w:szCs w:val="20"/>
          <w:lang w:val="uk-UA"/>
        </w:rPr>
        <w:t xml:space="preserve"> therapy to </w:t>
      </w:r>
      <w:proofErr w:type="spellStart"/>
      <w:r w:rsidRPr="00327E34">
        <w:rPr>
          <w:sz w:val="20"/>
          <w:szCs w:val="20"/>
          <w:lang w:val="uk-UA"/>
        </w:rPr>
        <w:t>prevent</w:t>
      </w:r>
      <w:proofErr w:type="spellEnd"/>
      <w:r w:rsidRPr="00327E34">
        <w:rPr>
          <w:sz w:val="20"/>
          <w:szCs w:val="20"/>
          <w:lang w:val="uk-UA"/>
        </w:rPr>
        <w:t xml:space="preserve"> tuberculosis: a </w:t>
      </w:r>
      <w:proofErr w:type="spellStart"/>
      <w:r w:rsidRPr="00327E34">
        <w:rPr>
          <w:sz w:val="20"/>
          <w:szCs w:val="20"/>
          <w:lang w:val="uk-UA"/>
        </w:rPr>
        <w:t>randomised</w:t>
      </w:r>
      <w:proofErr w:type="spellEnd"/>
      <w:r w:rsidRPr="00327E34">
        <w:rPr>
          <w:sz w:val="20"/>
          <w:szCs w:val="20"/>
          <w:lang w:val="uk-UA"/>
        </w:rPr>
        <w:t xml:space="preserve"> </w:t>
      </w:r>
      <w:proofErr w:type="spellStart"/>
      <w:r w:rsidRPr="00327E34">
        <w:rPr>
          <w:sz w:val="20"/>
          <w:szCs w:val="20"/>
          <w:lang w:val="uk-UA"/>
        </w:rPr>
        <w:t>double</w:t>
      </w:r>
      <w:proofErr w:type="spellEnd"/>
      <w:r w:rsidRPr="00327E34">
        <w:rPr>
          <w:sz w:val="20"/>
          <w:szCs w:val="20"/>
          <w:lang w:val="uk-UA"/>
        </w:rPr>
        <w:t xml:space="preserve">-blind, </w:t>
      </w:r>
      <w:proofErr w:type="spellStart"/>
      <w:r w:rsidRPr="00327E34">
        <w:rPr>
          <w:sz w:val="20"/>
          <w:szCs w:val="20"/>
          <w:lang w:val="uk-UA"/>
        </w:rPr>
        <w:t>placebo-controlled</w:t>
      </w:r>
      <w:proofErr w:type="spellEnd"/>
      <w:r w:rsidRPr="00327E34">
        <w:rPr>
          <w:sz w:val="20"/>
          <w:szCs w:val="20"/>
          <w:lang w:val="uk-UA"/>
        </w:rPr>
        <w:t xml:space="preserve"> </w:t>
      </w:r>
      <w:proofErr w:type="spellStart"/>
      <w:r w:rsidRPr="00327E34">
        <w:rPr>
          <w:sz w:val="20"/>
          <w:szCs w:val="20"/>
          <w:lang w:val="uk-UA"/>
        </w:rPr>
        <w:t>trial</w:t>
      </w:r>
      <w:proofErr w:type="spellEnd"/>
      <w:r w:rsidRPr="00327E34">
        <w:rPr>
          <w:sz w:val="20"/>
          <w:szCs w:val="20"/>
          <w:lang w:val="uk-UA"/>
        </w:rPr>
        <w:t xml:space="preserve">. </w:t>
      </w:r>
      <w:proofErr w:type="spellStart"/>
      <w:r w:rsidRPr="00327E34">
        <w:rPr>
          <w:sz w:val="20"/>
          <w:szCs w:val="20"/>
          <w:lang w:val="uk-UA"/>
        </w:rPr>
        <w:t>Lancet</w:t>
      </w:r>
      <w:proofErr w:type="spellEnd"/>
      <w:r w:rsidRPr="00327E34">
        <w:rPr>
          <w:sz w:val="20"/>
          <w:szCs w:val="20"/>
          <w:lang w:val="uk-UA"/>
        </w:rPr>
        <w:t>.</w:t>
      </w:r>
      <w:r w:rsidRPr="00327E34">
        <w:rPr>
          <w:spacing w:val="47"/>
          <w:sz w:val="20"/>
          <w:szCs w:val="20"/>
          <w:lang w:val="uk-UA"/>
        </w:rPr>
        <w:t xml:space="preserve"> </w:t>
      </w:r>
      <w:r w:rsidRPr="00327E34">
        <w:rPr>
          <w:sz w:val="20"/>
          <w:szCs w:val="20"/>
          <w:lang w:val="uk-UA"/>
        </w:rPr>
        <w:t>2014;384(9944):682–90</w:t>
      </w:r>
      <w:r w:rsidRPr="00327E34">
        <w:rPr>
          <w:spacing w:val="48"/>
          <w:sz w:val="20"/>
          <w:szCs w:val="20"/>
          <w:lang w:val="uk-UA"/>
        </w:rPr>
        <w:t xml:space="preserve"> </w:t>
      </w:r>
      <w:r w:rsidRPr="00327E34">
        <w:rPr>
          <w:sz w:val="20"/>
          <w:szCs w:val="20"/>
          <w:lang w:val="uk-UA"/>
        </w:rPr>
        <w:t>(</w:t>
      </w:r>
      <w:hyperlink r:id="rId225">
        <w:r w:rsidRPr="00327E34">
          <w:rPr>
            <w:color w:val="019648"/>
            <w:sz w:val="20"/>
            <w:szCs w:val="20"/>
            <w:lang w:val="uk-UA"/>
          </w:rPr>
          <w:t>https://pubmed.ncbi.nlm.nih.gov/24835842/</w:t>
        </w:r>
      </w:hyperlink>
      <w:r w:rsidRPr="00327E34">
        <w:rPr>
          <w:sz w:val="20"/>
          <w:szCs w:val="20"/>
          <w:lang w:val="uk-UA"/>
        </w:rPr>
        <w:t>).</w:t>
      </w:r>
    </w:p>
    <w:p w14:paraId="3816BCEA" w14:textId="77777777" w:rsidR="00E05B98" w:rsidRPr="00327E34" w:rsidRDefault="00B01E0C">
      <w:pPr>
        <w:pStyle w:val="a4"/>
        <w:numPr>
          <w:ilvl w:val="0"/>
          <w:numId w:val="5"/>
        </w:numPr>
        <w:tabs>
          <w:tab w:val="left" w:pos="927"/>
        </w:tabs>
        <w:spacing w:before="83" w:line="297" w:lineRule="auto"/>
        <w:ind w:right="139"/>
        <w:rPr>
          <w:sz w:val="20"/>
          <w:szCs w:val="20"/>
          <w:lang w:val="uk-UA"/>
        </w:rPr>
      </w:pPr>
      <w:proofErr w:type="spellStart"/>
      <w:r w:rsidRPr="00327E34">
        <w:rPr>
          <w:sz w:val="20"/>
          <w:szCs w:val="20"/>
          <w:lang w:val="uk-UA"/>
        </w:rPr>
        <w:t>Mahomed</w:t>
      </w:r>
      <w:proofErr w:type="spellEnd"/>
      <w:r w:rsidRPr="00327E34">
        <w:rPr>
          <w:spacing w:val="-13"/>
          <w:sz w:val="20"/>
          <w:szCs w:val="20"/>
          <w:lang w:val="uk-UA"/>
        </w:rPr>
        <w:t xml:space="preserve"> </w:t>
      </w:r>
      <w:r w:rsidRPr="00327E34">
        <w:rPr>
          <w:sz w:val="20"/>
          <w:szCs w:val="20"/>
          <w:lang w:val="uk-UA"/>
        </w:rPr>
        <w:t>H,</w:t>
      </w:r>
      <w:r w:rsidRPr="00327E34">
        <w:rPr>
          <w:spacing w:val="-13"/>
          <w:sz w:val="20"/>
          <w:szCs w:val="20"/>
          <w:lang w:val="uk-UA"/>
        </w:rPr>
        <w:t xml:space="preserve"> </w:t>
      </w:r>
      <w:proofErr w:type="spellStart"/>
      <w:r w:rsidRPr="00327E34">
        <w:rPr>
          <w:sz w:val="20"/>
          <w:szCs w:val="20"/>
          <w:lang w:val="uk-UA"/>
        </w:rPr>
        <w:t>Hawkridge</w:t>
      </w:r>
      <w:proofErr w:type="spellEnd"/>
      <w:r w:rsidRPr="00327E34">
        <w:rPr>
          <w:spacing w:val="-13"/>
          <w:sz w:val="20"/>
          <w:szCs w:val="20"/>
          <w:lang w:val="uk-UA"/>
        </w:rPr>
        <w:t xml:space="preserve"> </w:t>
      </w:r>
      <w:r w:rsidRPr="00327E34">
        <w:rPr>
          <w:sz w:val="20"/>
          <w:szCs w:val="20"/>
          <w:lang w:val="uk-UA"/>
        </w:rPr>
        <w:t>T,</w:t>
      </w:r>
      <w:r w:rsidRPr="00327E34">
        <w:rPr>
          <w:spacing w:val="-13"/>
          <w:sz w:val="20"/>
          <w:szCs w:val="20"/>
          <w:lang w:val="uk-UA"/>
        </w:rPr>
        <w:t xml:space="preserve"> </w:t>
      </w:r>
      <w:proofErr w:type="spellStart"/>
      <w:r w:rsidRPr="00327E34">
        <w:rPr>
          <w:sz w:val="20"/>
          <w:szCs w:val="20"/>
          <w:lang w:val="uk-UA"/>
        </w:rPr>
        <w:t>Verver</w:t>
      </w:r>
      <w:proofErr w:type="spellEnd"/>
      <w:r w:rsidRPr="00327E34">
        <w:rPr>
          <w:spacing w:val="-13"/>
          <w:sz w:val="20"/>
          <w:szCs w:val="20"/>
          <w:lang w:val="uk-UA"/>
        </w:rPr>
        <w:t xml:space="preserve"> </w:t>
      </w:r>
      <w:r w:rsidRPr="00327E34">
        <w:rPr>
          <w:sz w:val="20"/>
          <w:szCs w:val="20"/>
          <w:lang w:val="uk-UA"/>
        </w:rPr>
        <w:t>S,</w:t>
      </w:r>
      <w:r w:rsidRPr="00327E34">
        <w:rPr>
          <w:spacing w:val="-13"/>
          <w:sz w:val="20"/>
          <w:szCs w:val="20"/>
          <w:lang w:val="uk-UA"/>
        </w:rPr>
        <w:t xml:space="preserve"> </w:t>
      </w:r>
      <w:r w:rsidRPr="00327E34">
        <w:rPr>
          <w:sz w:val="20"/>
          <w:szCs w:val="20"/>
          <w:lang w:val="uk-UA"/>
        </w:rPr>
        <w:t>Abrahams</w:t>
      </w:r>
      <w:r w:rsidRPr="00327E34">
        <w:rPr>
          <w:spacing w:val="-13"/>
          <w:sz w:val="20"/>
          <w:szCs w:val="20"/>
          <w:lang w:val="uk-UA"/>
        </w:rPr>
        <w:t xml:space="preserve"> </w:t>
      </w:r>
      <w:r w:rsidRPr="00327E34">
        <w:rPr>
          <w:sz w:val="20"/>
          <w:szCs w:val="20"/>
          <w:lang w:val="uk-UA"/>
        </w:rPr>
        <w:t>D,</w:t>
      </w:r>
      <w:r w:rsidRPr="00327E34">
        <w:rPr>
          <w:spacing w:val="-13"/>
          <w:sz w:val="20"/>
          <w:szCs w:val="20"/>
          <w:lang w:val="uk-UA"/>
        </w:rPr>
        <w:t xml:space="preserve"> </w:t>
      </w:r>
      <w:proofErr w:type="spellStart"/>
      <w:r w:rsidRPr="00327E34">
        <w:rPr>
          <w:sz w:val="20"/>
          <w:szCs w:val="20"/>
          <w:lang w:val="uk-UA"/>
        </w:rPr>
        <w:t>Geiter</w:t>
      </w:r>
      <w:proofErr w:type="spellEnd"/>
      <w:r w:rsidRPr="00327E34">
        <w:rPr>
          <w:spacing w:val="-13"/>
          <w:sz w:val="20"/>
          <w:szCs w:val="20"/>
          <w:lang w:val="uk-UA"/>
        </w:rPr>
        <w:t xml:space="preserve"> </w:t>
      </w:r>
      <w:r w:rsidRPr="00327E34">
        <w:rPr>
          <w:sz w:val="20"/>
          <w:szCs w:val="20"/>
          <w:lang w:val="uk-UA"/>
        </w:rPr>
        <w:t>L,</w:t>
      </w:r>
      <w:r w:rsidRPr="00327E34">
        <w:rPr>
          <w:spacing w:val="-13"/>
          <w:sz w:val="20"/>
          <w:szCs w:val="20"/>
          <w:lang w:val="uk-UA"/>
        </w:rPr>
        <w:t xml:space="preserve"> </w:t>
      </w:r>
      <w:proofErr w:type="spellStart"/>
      <w:r w:rsidRPr="00327E34">
        <w:rPr>
          <w:sz w:val="20"/>
          <w:szCs w:val="20"/>
          <w:lang w:val="uk-UA"/>
        </w:rPr>
        <w:t>Hatherill</w:t>
      </w:r>
      <w:proofErr w:type="spellEnd"/>
      <w:r w:rsidRPr="00327E34">
        <w:rPr>
          <w:spacing w:val="-13"/>
          <w:sz w:val="20"/>
          <w:szCs w:val="20"/>
          <w:lang w:val="uk-UA"/>
        </w:rPr>
        <w:t xml:space="preserve"> </w:t>
      </w:r>
      <w:r w:rsidRPr="00327E34">
        <w:rPr>
          <w:sz w:val="20"/>
          <w:szCs w:val="20"/>
          <w:lang w:val="uk-UA"/>
        </w:rPr>
        <w:t>M</w:t>
      </w:r>
      <w:r w:rsidRPr="00327E34">
        <w:rPr>
          <w:spacing w:val="-13"/>
          <w:sz w:val="20"/>
          <w:szCs w:val="20"/>
          <w:lang w:val="uk-UA"/>
        </w:rPr>
        <w:t xml:space="preserve"> </w:t>
      </w:r>
      <w:r w:rsidRPr="00327E34">
        <w:rPr>
          <w:sz w:val="20"/>
          <w:szCs w:val="20"/>
          <w:lang w:val="uk-UA"/>
        </w:rPr>
        <w:t>et</w:t>
      </w:r>
      <w:r w:rsidRPr="00327E34">
        <w:rPr>
          <w:spacing w:val="-13"/>
          <w:sz w:val="20"/>
          <w:szCs w:val="20"/>
          <w:lang w:val="uk-UA"/>
        </w:rPr>
        <w:t xml:space="preserve"> </w:t>
      </w:r>
      <w:proofErr w:type="spellStart"/>
      <w:r w:rsidRPr="00327E34">
        <w:rPr>
          <w:sz w:val="20"/>
          <w:szCs w:val="20"/>
          <w:lang w:val="uk-UA"/>
        </w:rPr>
        <w:t>al</w:t>
      </w:r>
      <w:proofErr w:type="spellEnd"/>
      <w:r w:rsidRPr="00327E34">
        <w:rPr>
          <w:sz w:val="20"/>
          <w:szCs w:val="20"/>
          <w:lang w:val="uk-UA"/>
        </w:rPr>
        <w:t>.</w:t>
      </w:r>
      <w:r w:rsidRPr="00327E34">
        <w:rPr>
          <w:spacing w:val="-13"/>
          <w:sz w:val="20"/>
          <w:szCs w:val="20"/>
          <w:lang w:val="uk-UA"/>
        </w:rPr>
        <w:t xml:space="preserve"> </w:t>
      </w:r>
      <w:r w:rsidRPr="00327E34">
        <w:rPr>
          <w:sz w:val="20"/>
          <w:szCs w:val="20"/>
          <w:lang w:val="uk-UA"/>
        </w:rPr>
        <w:t>The</w:t>
      </w:r>
      <w:r w:rsidRPr="00327E34">
        <w:rPr>
          <w:spacing w:val="-13"/>
          <w:sz w:val="20"/>
          <w:szCs w:val="20"/>
          <w:lang w:val="uk-UA"/>
        </w:rPr>
        <w:t xml:space="preserve"> </w:t>
      </w:r>
      <w:proofErr w:type="spellStart"/>
      <w:r w:rsidRPr="00327E34">
        <w:rPr>
          <w:sz w:val="20"/>
          <w:szCs w:val="20"/>
          <w:lang w:val="uk-UA"/>
        </w:rPr>
        <w:t>tuberculin</w:t>
      </w:r>
      <w:proofErr w:type="spellEnd"/>
      <w:r w:rsidRPr="00327E34">
        <w:rPr>
          <w:spacing w:val="-13"/>
          <w:sz w:val="20"/>
          <w:szCs w:val="20"/>
          <w:lang w:val="uk-UA"/>
        </w:rPr>
        <w:t xml:space="preserve"> </w:t>
      </w:r>
      <w:proofErr w:type="spellStart"/>
      <w:r w:rsidRPr="00327E34">
        <w:rPr>
          <w:sz w:val="20"/>
          <w:szCs w:val="20"/>
          <w:lang w:val="uk-UA"/>
        </w:rPr>
        <w:t>skin</w:t>
      </w:r>
      <w:proofErr w:type="spellEnd"/>
      <w:r w:rsidRPr="00327E34">
        <w:rPr>
          <w:spacing w:val="-13"/>
          <w:sz w:val="20"/>
          <w:szCs w:val="20"/>
          <w:lang w:val="uk-UA"/>
        </w:rPr>
        <w:t xml:space="preserve"> </w:t>
      </w:r>
      <w:proofErr w:type="spellStart"/>
      <w:r w:rsidRPr="00327E34">
        <w:rPr>
          <w:sz w:val="20"/>
          <w:szCs w:val="20"/>
          <w:lang w:val="uk-UA"/>
        </w:rPr>
        <w:t>test</w:t>
      </w:r>
      <w:proofErr w:type="spellEnd"/>
      <w:r w:rsidRPr="00327E34">
        <w:rPr>
          <w:sz w:val="20"/>
          <w:szCs w:val="20"/>
          <w:lang w:val="uk-UA"/>
        </w:rPr>
        <w:t xml:space="preserve"> </w:t>
      </w:r>
      <w:proofErr w:type="spellStart"/>
      <w:r w:rsidRPr="00327E34">
        <w:rPr>
          <w:sz w:val="20"/>
          <w:szCs w:val="20"/>
          <w:lang w:val="uk-UA"/>
        </w:rPr>
        <w:t>versus</w:t>
      </w:r>
      <w:proofErr w:type="spellEnd"/>
      <w:r w:rsidRPr="00327E34">
        <w:rPr>
          <w:spacing w:val="-4"/>
          <w:sz w:val="20"/>
          <w:szCs w:val="20"/>
          <w:lang w:val="uk-UA"/>
        </w:rPr>
        <w:t xml:space="preserve"> </w:t>
      </w:r>
      <w:r w:rsidRPr="00327E34">
        <w:rPr>
          <w:sz w:val="20"/>
          <w:szCs w:val="20"/>
          <w:lang w:val="uk-UA"/>
        </w:rPr>
        <w:t>QuantiFERON</w:t>
      </w:r>
      <w:r w:rsidRPr="00327E34">
        <w:rPr>
          <w:spacing w:val="-4"/>
          <w:sz w:val="20"/>
          <w:szCs w:val="20"/>
          <w:lang w:val="uk-UA"/>
        </w:rPr>
        <w:t xml:space="preserve"> </w:t>
      </w:r>
      <w:r w:rsidRPr="00327E34">
        <w:rPr>
          <w:sz w:val="20"/>
          <w:szCs w:val="20"/>
          <w:lang w:val="uk-UA"/>
        </w:rPr>
        <w:t>TB</w:t>
      </w:r>
      <w:r w:rsidRPr="00327E34">
        <w:rPr>
          <w:spacing w:val="-4"/>
          <w:sz w:val="20"/>
          <w:szCs w:val="20"/>
          <w:lang w:val="uk-UA"/>
        </w:rPr>
        <w:t xml:space="preserve"> </w:t>
      </w:r>
      <w:r w:rsidRPr="00327E34">
        <w:rPr>
          <w:sz w:val="20"/>
          <w:szCs w:val="20"/>
          <w:lang w:val="uk-UA"/>
        </w:rPr>
        <w:t>Gold®</w:t>
      </w:r>
      <w:r w:rsidRPr="00327E34">
        <w:rPr>
          <w:spacing w:val="-4"/>
          <w:sz w:val="20"/>
          <w:szCs w:val="20"/>
          <w:lang w:val="uk-UA"/>
        </w:rPr>
        <w:t xml:space="preserve"> </w:t>
      </w:r>
      <w:r w:rsidRPr="00327E34">
        <w:rPr>
          <w:sz w:val="20"/>
          <w:szCs w:val="20"/>
          <w:lang w:val="uk-UA"/>
        </w:rPr>
        <w:t>in</w:t>
      </w:r>
      <w:r w:rsidRPr="00327E34">
        <w:rPr>
          <w:spacing w:val="-4"/>
          <w:sz w:val="20"/>
          <w:szCs w:val="20"/>
          <w:lang w:val="uk-UA"/>
        </w:rPr>
        <w:t xml:space="preserve"> </w:t>
      </w:r>
      <w:proofErr w:type="spellStart"/>
      <w:r w:rsidRPr="00327E34">
        <w:rPr>
          <w:sz w:val="20"/>
          <w:szCs w:val="20"/>
          <w:lang w:val="uk-UA"/>
        </w:rPr>
        <w:t>predicting</w:t>
      </w:r>
      <w:proofErr w:type="spellEnd"/>
      <w:r w:rsidRPr="00327E34">
        <w:rPr>
          <w:spacing w:val="-4"/>
          <w:sz w:val="20"/>
          <w:szCs w:val="20"/>
          <w:lang w:val="uk-UA"/>
        </w:rPr>
        <w:t xml:space="preserve"> </w:t>
      </w:r>
      <w:r w:rsidRPr="00327E34">
        <w:rPr>
          <w:sz w:val="20"/>
          <w:szCs w:val="20"/>
          <w:lang w:val="uk-UA"/>
        </w:rPr>
        <w:t>tuberculosis</w:t>
      </w:r>
      <w:r w:rsidRPr="00327E34">
        <w:rPr>
          <w:spacing w:val="-4"/>
          <w:sz w:val="20"/>
          <w:szCs w:val="20"/>
          <w:lang w:val="uk-UA"/>
        </w:rPr>
        <w:t xml:space="preserve"> </w:t>
      </w:r>
      <w:proofErr w:type="spellStart"/>
      <w:r w:rsidRPr="00327E34">
        <w:rPr>
          <w:sz w:val="20"/>
          <w:szCs w:val="20"/>
          <w:lang w:val="uk-UA"/>
        </w:rPr>
        <w:t>disease</w:t>
      </w:r>
      <w:proofErr w:type="spellEnd"/>
      <w:r w:rsidRPr="00327E34">
        <w:rPr>
          <w:spacing w:val="-4"/>
          <w:sz w:val="20"/>
          <w:szCs w:val="20"/>
          <w:lang w:val="uk-UA"/>
        </w:rPr>
        <w:t xml:space="preserve"> </w:t>
      </w:r>
      <w:r w:rsidRPr="00327E34">
        <w:rPr>
          <w:sz w:val="20"/>
          <w:szCs w:val="20"/>
          <w:lang w:val="uk-UA"/>
        </w:rPr>
        <w:t>in</w:t>
      </w:r>
      <w:r w:rsidRPr="00327E34">
        <w:rPr>
          <w:spacing w:val="-4"/>
          <w:sz w:val="20"/>
          <w:szCs w:val="20"/>
          <w:lang w:val="uk-UA"/>
        </w:rPr>
        <w:t xml:space="preserve"> </w:t>
      </w:r>
      <w:r w:rsidRPr="00327E34">
        <w:rPr>
          <w:sz w:val="20"/>
          <w:szCs w:val="20"/>
          <w:lang w:val="uk-UA"/>
        </w:rPr>
        <w:t>an</w:t>
      </w:r>
      <w:r w:rsidRPr="00327E34">
        <w:rPr>
          <w:spacing w:val="-4"/>
          <w:sz w:val="20"/>
          <w:szCs w:val="20"/>
          <w:lang w:val="uk-UA"/>
        </w:rPr>
        <w:t xml:space="preserve"> </w:t>
      </w:r>
      <w:proofErr w:type="spellStart"/>
      <w:r w:rsidRPr="00327E34">
        <w:rPr>
          <w:sz w:val="20"/>
          <w:szCs w:val="20"/>
          <w:lang w:val="uk-UA"/>
        </w:rPr>
        <w:t>adolescent</w:t>
      </w:r>
      <w:proofErr w:type="spellEnd"/>
      <w:r w:rsidRPr="00327E34">
        <w:rPr>
          <w:spacing w:val="-4"/>
          <w:sz w:val="20"/>
          <w:szCs w:val="20"/>
          <w:lang w:val="uk-UA"/>
        </w:rPr>
        <w:t xml:space="preserve"> </w:t>
      </w:r>
      <w:proofErr w:type="spellStart"/>
      <w:r w:rsidRPr="00327E34">
        <w:rPr>
          <w:sz w:val="20"/>
          <w:szCs w:val="20"/>
          <w:lang w:val="uk-UA"/>
        </w:rPr>
        <w:t>cohort</w:t>
      </w:r>
      <w:proofErr w:type="spellEnd"/>
      <w:r w:rsidRPr="00327E34">
        <w:rPr>
          <w:spacing w:val="-4"/>
          <w:sz w:val="20"/>
          <w:szCs w:val="20"/>
          <w:lang w:val="uk-UA"/>
        </w:rPr>
        <w:t xml:space="preserve"> </w:t>
      </w:r>
      <w:proofErr w:type="spellStart"/>
      <w:r w:rsidRPr="00327E34">
        <w:rPr>
          <w:sz w:val="20"/>
          <w:szCs w:val="20"/>
          <w:lang w:val="uk-UA"/>
        </w:rPr>
        <w:t>study</w:t>
      </w:r>
      <w:proofErr w:type="spellEnd"/>
      <w:r w:rsidRPr="00327E34">
        <w:rPr>
          <w:spacing w:val="-4"/>
          <w:sz w:val="20"/>
          <w:szCs w:val="20"/>
          <w:lang w:val="uk-UA"/>
        </w:rPr>
        <w:t xml:space="preserve"> </w:t>
      </w:r>
      <w:r w:rsidRPr="00327E34">
        <w:rPr>
          <w:sz w:val="20"/>
          <w:szCs w:val="20"/>
          <w:lang w:val="uk-UA"/>
        </w:rPr>
        <w:t xml:space="preserve">in </w:t>
      </w:r>
      <w:proofErr w:type="spellStart"/>
      <w:r w:rsidRPr="00327E34">
        <w:rPr>
          <w:sz w:val="20"/>
          <w:szCs w:val="20"/>
          <w:lang w:val="uk-UA"/>
        </w:rPr>
        <w:t>South</w:t>
      </w:r>
      <w:proofErr w:type="spellEnd"/>
      <w:r w:rsidRPr="00327E34">
        <w:rPr>
          <w:sz w:val="20"/>
          <w:szCs w:val="20"/>
          <w:lang w:val="uk-UA"/>
        </w:rPr>
        <w:t xml:space="preserve"> </w:t>
      </w:r>
      <w:proofErr w:type="spellStart"/>
      <w:r w:rsidRPr="00327E34">
        <w:rPr>
          <w:sz w:val="20"/>
          <w:szCs w:val="20"/>
          <w:lang w:val="uk-UA"/>
        </w:rPr>
        <w:t>Africa</w:t>
      </w:r>
      <w:proofErr w:type="spellEnd"/>
      <w:r w:rsidRPr="00327E34">
        <w:rPr>
          <w:sz w:val="20"/>
          <w:szCs w:val="20"/>
          <w:lang w:val="uk-UA"/>
        </w:rPr>
        <w:t>. PLoS One. 2011;6(3):e17984 (</w:t>
      </w:r>
      <w:hyperlink r:id="rId226">
        <w:r w:rsidRPr="00327E34">
          <w:rPr>
            <w:color w:val="019648"/>
            <w:sz w:val="20"/>
            <w:szCs w:val="20"/>
            <w:lang w:val="uk-UA"/>
          </w:rPr>
          <w:t>https://pubmed.ncbi.nlm.nih.gov/21479236/</w:t>
        </w:r>
      </w:hyperlink>
      <w:r w:rsidRPr="00327E34">
        <w:rPr>
          <w:sz w:val="20"/>
          <w:szCs w:val="20"/>
          <w:lang w:val="uk-UA"/>
        </w:rPr>
        <w:t>).</w:t>
      </w:r>
    </w:p>
    <w:p w14:paraId="5B5A3546" w14:textId="77777777" w:rsidR="00E05B98" w:rsidRPr="00327E34" w:rsidRDefault="00B01E0C">
      <w:pPr>
        <w:pStyle w:val="a4"/>
        <w:numPr>
          <w:ilvl w:val="0"/>
          <w:numId w:val="5"/>
        </w:numPr>
        <w:tabs>
          <w:tab w:val="left" w:pos="927"/>
        </w:tabs>
        <w:spacing w:before="83" w:line="295" w:lineRule="auto"/>
        <w:ind w:right="138"/>
        <w:rPr>
          <w:sz w:val="20"/>
          <w:szCs w:val="20"/>
          <w:lang w:val="uk-UA"/>
        </w:rPr>
      </w:pPr>
      <w:proofErr w:type="spellStart"/>
      <w:r w:rsidRPr="00327E34">
        <w:rPr>
          <w:sz w:val="20"/>
          <w:szCs w:val="20"/>
          <w:lang w:val="uk-UA"/>
        </w:rPr>
        <w:t>Mathad</w:t>
      </w:r>
      <w:proofErr w:type="spellEnd"/>
      <w:r w:rsidRPr="00327E34">
        <w:rPr>
          <w:sz w:val="20"/>
          <w:szCs w:val="20"/>
          <w:lang w:val="uk-UA"/>
        </w:rPr>
        <w:t xml:space="preserve"> JS, </w:t>
      </w:r>
      <w:proofErr w:type="spellStart"/>
      <w:r w:rsidRPr="00327E34">
        <w:rPr>
          <w:sz w:val="20"/>
          <w:szCs w:val="20"/>
          <w:lang w:val="uk-UA"/>
        </w:rPr>
        <w:t>Bhosale</w:t>
      </w:r>
      <w:proofErr w:type="spellEnd"/>
      <w:r w:rsidRPr="00327E34">
        <w:rPr>
          <w:sz w:val="20"/>
          <w:szCs w:val="20"/>
          <w:lang w:val="uk-UA"/>
        </w:rPr>
        <w:t xml:space="preserve"> R, </w:t>
      </w:r>
      <w:proofErr w:type="spellStart"/>
      <w:r w:rsidRPr="00327E34">
        <w:rPr>
          <w:sz w:val="20"/>
          <w:szCs w:val="20"/>
          <w:lang w:val="uk-UA"/>
        </w:rPr>
        <w:t>Balasubramanian</w:t>
      </w:r>
      <w:proofErr w:type="spellEnd"/>
      <w:r w:rsidRPr="00327E34">
        <w:rPr>
          <w:sz w:val="20"/>
          <w:szCs w:val="20"/>
          <w:lang w:val="uk-UA"/>
        </w:rPr>
        <w:t xml:space="preserve"> U, </w:t>
      </w:r>
      <w:proofErr w:type="spellStart"/>
      <w:r w:rsidRPr="00327E34">
        <w:rPr>
          <w:sz w:val="20"/>
          <w:szCs w:val="20"/>
          <w:lang w:val="uk-UA"/>
        </w:rPr>
        <w:t>Kanade</w:t>
      </w:r>
      <w:proofErr w:type="spellEnd"/>
      <w:r w:rsidRPr="00327E34">
        <w:rPr>
          <w:sz w:val="20"/>
          <w:szCs w:val="20"/>
          <w:lang w:val="uk-UA"/>
        </w:rPr>
        <w:t xml:space="preserve"> S, </w:t>
      </w:r>
      <w:proofErr w:type="spellStart"/>
      <w:r w:rsidRPr="00327E34">
        <w:rPr>
          <w:sz w:val="20"/>
          <w:szCs w:val="20"/>
          <w:lang w:val="uk-UA"/>
        </w:rPr>
        <w:t>Mave</w:t>
      </w:r>
      <w:proofErr w:type="spellEnd"/>
      <w:r w:rsidRPr="00327E34">
        <w:rPr>
          <w:sz w:val="20"/>
          <w:szCs w:val="20"/>
          <w:lang w:val="uk-UA"/>
        </w:rPr>
        <w:t xml:space="preserve"> V, </w:t>
      </w:r>
      <w:proofErr w:type="spellStart"/>
      <w:r w:rsidRPr="00327E34">
        <w:rPr>
          <w:sz w:val="20"/>
          <w:szCs w:val="20"/>
          <w:lang w:val="uk-UA"/>
        </w:rPr>
        <w:t>Suryavanshi</w:t>
      </w:r>
      <w:proofErr w:type="spellEnd"/>
      <w:r w:rsidRPr="00327E34">
        <w:rPr>
          <w:sz w:val="20"/>
          <w:szCs w:val="20"/>
          <w:lang w:val="uk-UA"/>
        </w:rPr>
        <w:t xml:space="preserve"> N et </w:t>
      </w:r>
      <w:proofErr w:type="spellStart"/>
      <w:r w:rsidRPr="00327E34">
        <w:rPr>
          <w:sz w:val="20"/>
          <w:szCs w:val="20"/>
          <w:lang w:val="uk-UA"/>
        </w:rPr>
        <w:t>al</w:t>
      </w:r>
      <w:proofErr w:type="spellEnd"/>
      <w:r w:rsidRPr="00327E34">
        <w:rPr>
          <w:sz w:val="20"/>
          <w:szCs w:val="20"/>
          <w:lang w:val="uk-UA"/>
        </w:rPr>
        <w:t xml:space="preserve">. </w:t>
      </w:r>
      <w:proofErr w:type="spellStart"/>
      <w:r w:rsidRPr="00327E34">
        <w:rPr>
          <w:sz w:val="20"/>
          <w:szCs w:val="20"/>
          <w:lang w:val="uk-UA"/>
        </w:rPr>
        <w:t>Quantitative</w:t>
      </w:r>
      <w:proofErr w:type="spellEnd"/>
      <w:r w:rsidRPr="00327E34">
        <w:rPr>
          <w:sz w:val="20"/>
          <w:szCs w:val="20"/>
          <w:lang w:val="uk-UA"/>
        </w:rPr>
        <w:t xml:space="preserve"> IFN-</w:t>
      </w:r>
      <w:r w:rsidRPr="00327E34">
        <w:rPr>
          <w:rFonts w:ascii="Times New Roman" w:hAnsi="Times New Roman"/>
          <w:sz w:val="20"/>
          <w:szCs w:val="20"/>
          <w:lang w:val="uk-UA"/>
        </w:rPr>
        <w:t xml:space="preserve">γ </w:t>
      </w:r>
      <w:r w:rsidRPr="00327E34">
        <w:rPr>
          <w:sz w:val="20"/>
          <w:szCs w:val="20"/>
          <w:lang w:val="uk-UA"/>
        </w:rPr>
        <w:t xml:space="preserve">and IL-2 </w:t>
      </w:r>
      <w:proofErr w:type="spellStart"/>
      <w:r w:rsidRPr="00327E34">
        <w:rPr>
          <w:sz w:val="20"/>
          <w:szCs w:val="20"/>
          <w:lang w:val="uk-UA"/>
        </w:rPr>
        <w:t>response</w:t>
      </w:r>
      <w:proofErr w:type="spellEnd"/>
      <w:r w:rsidRPr="00327E34">
        <w:rPr>
          <w:sz w:val="20"/>
          <w:szCs w:val="20"/>
          <w:lang w:val="uk-UA"/>
        </w:rPr>
        <w:t xml:space="preserve"> </w:t>
      </w:r>
      <w:proofErr w:type="spellStart"/>
      <w:r w:rsidRPr="00327E34">
        <w:rPr>
          <w:sz w:val="20"/>
          <w:szCs w:val="20"/>
          <w:lang w:val="uk-UA"/>
        </w:rPr>
        <w:t>associated</w:t>
      </w:r>
      <w:proofErr w:type="spellEnd"/>
      <w:r w:rsidRPr="00327E34">
        <w:rPr>
          <w:sz w:val="20"/>
          <w:szCs w:val="20"/>
          <w:lang w:val="uk-UA"/>
        </w:rPr>
        <w:t xml:space="preserve"> with </w:t>
      </w:r>
      <w:proofErr w:type="spellStart"/>
      <w:r w:rsidRPr="00327E34">
        <w:rPr>
          <w:sz w:val="20"/>
          <w:szCs w:val="20"/>
          <w:lang w:val="uk-UA"/>
        </w:rPr>
        <w:t>latent</w:t>
      </w:r>
      <w:proofErr w:type="spellEnd"/>
      <w:r w:rsidRPr="00327E34">
        <w:rPr>
          <w:sz w:val="20"/>
          <w:szCs w:val="20"/>
          <w:lang w:val="uk-UA"/>
        </w:rPr>
        <w:t xml:space="preserve"> tuberculosis </w:t>
      </w:r>
      <w:proofErr w:type="spellStart"/>
      <w:r w:rsidRPr="00327E34">
        <w:rPr>
          <w:sz w:val="20"/>
          <w:szCs w:val="20"/>
          <w:lang w:val="uk-UA"/>
        </w:rPr>
        <w:t>test</w:t>
      </w:r>
      <w:proofErr w:type="spellEnd"/>
      <w:r w:rsidRPr="00327E34">
        <w:rPr>
          <w:sz w:val="20"/>
          <w:szCs w:val="20"/>
          <w:lang w:val="uk-UA"/>
        </w:rPr>
        <w:t xml:space="preserve"> </w:t>
      </w:r>
      <w:proofErr w:type="spellStart"/>
      <w:r w:rsidRPr="00327E34">
        <w:rPr>
          <w:sz w:val="20"/>
          <w:szCs w:val="20"/>
          <w:lang w:val="uk-UA"/>
        </w:rPr>
        <w:t>discordance</w:t>
      </w:r>
      <w:proofErr w:type="spellEnd"/>
      <w:r w:rsidRPr="00327E34">
        <w:rPr>
          <w:sz w:val="20"/>
          <w:szCs w:val="20"/>
          <w:lang w:val="uk-UA"/>
        </w:rPr>
        <w:t xml:space="preserve"> in HIV-</w:t>
      </w:r>
      <w:proofErr w:type="spellStart"/>
      <w:r w:rsidRPr="00327E34">
        <w:rPr>
          <w:sz w:val="20"/>
          <w:szCs w:val="20"/>
          <w:lang w:val="uk-UA"/>
        </w:rPr>
        <w:t>infected</w:t>
      </w:r>
      <w:proofErr w:type="spellEnd"/>
      <w:r w:rsidRPr="00327E34">
        <w:rPr>
          <w:sz w:val="20"/>
          <w:szCs w:val="20"/>
          <w:lang w:val="uk-UA"/>
        </w:rPr>
        <w:t xml:space="preserve"> </w:t>
      </w:r>
      <w:proofErr w:type="spellStart"/>
      <w:r w:rsidRPr="00327E34">
        <w:rPr>
          <w:sz w:val="20"/>
          <w:szCs w:val="20"/>
          <w:lang w:val="uk-UA"/>
        </w:rPr>
        <w:t>pregnant</w:t>
      </w:r>
      <w:proofErr w:type="spellEnd"/>
      <w:r w:rsidRPr="00327E34">
        <w:rPr>
          <w:sz w:val="20"/>
          <w:szCs w:val="20"/>
          <w:lang w:val="uk-UA"/>
        </w:rPr>
        <w:t xml:space="preserve"> women. Am J </w:t>
      </w:r>
      <w:proofErr w:type="spellStart"/>
      <w:r w:rsidRPr="00327E34">
        <w:rPr>
          <w:sz w:val="20"/>
          <w:szCs w:val="20"/>
          <w:lang w:val="uk-UA"/>
        </w:rPr>
        <w:t>Respir</w:t>
      </w:r>
      <w:proofErr w:type="spellEnd"/>
      <w:r w:rsidRPr="00327E34">
        <w:rPr>
          <w:sz w:val="20"/>
          <w:szCs w:val="20"/>
          <w:lang w:val="uk-UA"/>
        </w:rPr>
        <w:t xml:space="preserve"> </w:t>
      </w:r>
      <w:proofErr w:type="spellStart"/>
      <w:r w:rsidRPr="00327E34">
        <w:rPr>
          <w:sz w:val="20"/>
          <w:szCs w:val="20"/>
          <w:lang w:val="uk-UA"/>
        </w:rPr>
        <w:t>Crit</w:t>
      </w:r>
      <w:proofErr w:type="spellEnd"/>
      <w:r w:rsidRPr="00327E34">
        <w:rPr>
          <w:sz w:val="20"/>
          <w:szCs w:val="20"/>
          <w:lang w:val="uk-UA"/>
        </w:rPr>
        <w:t xml:space="preserve"> Care Med. 2016;193(12):1421–8 (</w:t>
      </w:r>
      <w:hyperlink r:id="rId227">
        <w:r w:rsidRPr="00327E34">
          <w:rPr>
            <w:color w:val="019648"/>
            <w:sz w:val="20"/>
            <w:szCs w:val="20"/>
            <w:lang w:val="uk-UA"/>
          </w:rPr>
          <w:t>https://pubmed.ncbi.nlm.nih.</w:t>
        </w:r>
      </w:hyperlink>
      <w:r w:rsidRPr="00327E34">
        <w:rPr>
          <w:color w:val="019648"/>
          <w:sz w:val="20"/>
          <w:szCs w:val="20"/>
          <w:lang w:val="uk-UA"/>
        </w:rPr>
        <w:t xml:space="preserve"> </w:t>
      </w:r>
      <w:hyperlink r:id="rId228">
        <w:r w:rsidRPr="00327E34">
          <w:rPr>
            <w:color w:val="019648"/>
            <w:spacing w:val="-2"/>
            <w:sz w:val="20"/>
            <w:szCs w:val="20"/>
            <w:lang w:val="uk-UA"/>
          </w:rPr>
          <w:t>gov/26765255/</w:t>
        </w:r>
      </w:hyperlink>
      <w:r w:rsidRPr="00327E34">
        <w:rPr>
          <w:spacing w:val="-2"/>
          <w:sz w:val="20"/>
          <w:szCs w:val="20"/>
          <w:lang w:val="uk-UA"/>
        </w:rPr>
        <w:t>).</w:t>
      </w:r>
    </w:p>
    <w:p w14:paraId="2EBA9739" w14:textId="77777777" w:rsidR="00E05B98" w:rsidRPr="00327E34" w:rsidRDefault="00B01E0C">
      <w:pPr>
        <w:pStyle w:val="a4"/>
        <w:numPr>
          <w:ilvl w:val="0"/>
          <w:numId w:val="5"/>
        </w:numPr>
        <w:tabs>
          <w:tab w:val="left" w:pos="927"/>
        </w:tabs>
        <w:spacing w:before="87" w:line="297" w:lineRule="auto"/>
        <w:ind w:right="134"/>
        <w:rPr>
          <w:sz w:val="20"/>
          <w:szCs w:val="20"/>
          <w:lang w:val="uk-UA"/>
        </w:rPr>
      </w:pPr>
      <w:proofErr w:type="spellStart"/>
      <w:r w:rsidRPr="00327E34">
        <w:rPr>
          <w:sz w:val="20"/>
          <w:szCs w:val="20"/>
          <w:lang w:val="uk-UA"/>
        </w:rPr>
        <w:t>McCarthy</w:t>
      </w:r>
      <w:proofErr w:type="spellEnd"/>
      <w:r w:rsidRPr="00327E34">
        <w:rPr>
          <w:sz w:val="20"/>
          <w:szCs w:val="20"/>
          <w:lang w:val="uk-UA"/>
        </w:rPr>
        <w:t xml:space="preserve"> KM, </w:t>
      </w:r>
      <w:proofErr w:type="spellStart"/>
      <w:r w:rsidRPr="00327E34">
        <w:rPr>
          <w:sz w:val="20"/>
          <w:szCs w:val="20"/>
          <w:lang w:val="uk-UA"/>
        </w:rPr>
        <w:t>Scott</w:t>
      </w:r>
      <w:proofErr w:type="spellEnd"/>
      <w:r w:rsidRPr="00327E34">
        <w:rPr>
          <w:sz w:val="20"/>
          <w:szCs w:val="20"/>
          <w:lang w:val="uk-UA"/>
        </w:rPr>
        <w:t xml:space="preserve"> LE, </w:t>
      </w:r>
      <w:proofErr w:type="spellStart"/>
      <w:r w:rsidRPr="00327E34">
        <w:rPr>
          <w:sz w:val="20"/>
          <w:szCs w:val="20"/>
          <w:lang w:val="uk-UA"/>
        </w:rPr>
        <w:t>Gous</w:t>
      </w:r>
      <w:proofErr w:type="spellEnd"/>
      <w:r w:rsidRPr="00327E34">
        <w:rPr>
          <w:sz w:val="20"/>
          <w:szCs w:val="20"/>
          <w:lang w:val="uk-UA"/>
        </w:rPr>
        <w:t xml:space="preserve"> N, </w:t>
      </w:r>
      <w:proofErr w:type="spellStart"/>
      <w:r w:rsidRPr="00327E34">
        <w:rPr>
          <w:sz w:val="20"/>
          <w:szCs w:val="20"/>
          <w:lang w:val="uk-UA"/>
        </w:rPr>
        <w:t>Tellie</w:t>
      </w:r>
      <w:proofErr w:type="spellEnd"/>
      <w:r w:rsidRPr="00327E34">
        <w:rPr>
          <w:sz w:val="20"/>
          <w:szCs w:val="20"/>
          <w:lang w:val="uk-UA"/>
        </w:rPr>
        <w:t xml:space="preserve"> M, </w:t>
      </w:r>
      <w:proofErr w:type="spellStart"/>
      <w:r w:rsidRPr="00327E34">
        <w:rPr>
          <w:sz w:val="20"/>
          <w:szCs w:val="20"/>
          <w:lang w:val="uk-UA"/>
        </w:rPr>
        <w:t>Venter</w:t>
      </w:r>
      <w:proofErr w:type="spellEnd"/>
      <w:r w:rsidRPr="00327E34">
        <w:rPr>
          <w:sz w:val="20"/>
          <w:szCs w:val="20"/>
          <w:lang w:val="uk-UA"/>
        </w:rPr>
        <w:t xml:space="preserve"> WD, </w:t>
      </w:r>
      <w:proofErr w:type="spellStart"/>
      <w:r w:rsidRPr="00327E34">
        <w:rPr>
          <w:sz w:val="20"/>
          <w:szCs w:val="20"/>
          <w:lang w:val="uk-UA"/>
        </w:rPr>
        <w:t>Stevens</w:t>
      </w:r>
      <w:proofErr w:type="spellEnd"/>
      <w:r w:rsidRPr="00327E34">
        <w:rPr>
          <w:sz w:val="20"/>
          <w:szCs w:val="20"/>
          <w:lang w:val="uk-UA"/>
        </w:rPr>
        <w:t xml:space="preserve"> WS et </w:t>
      </w:r>
      <w:proofErr w:type="spellStart"/>
      <w:r w:rsidRPr="00327E34">
        <w:rPr>
          <w:sz w:val="20"/>
          <w:szCs w:val="20"/>
          <w:lang w:val="uk-UA"/>
        </w:rPr>
        <w:t>al</w:t>
      </w:r>
      <w:proofErr w:type="spellEnd"/>
      <w:r w:rsidRPr="00327E34">
        <w:rPr>
          <w:sz w:val="20"/>
          <w:szCs w:val="20"/>
          <w:lang w:val="uk-UA"/>
        </w:rPr>
        <w:t xml:space="preserve">. </w:t>
      </w:r>
      <w:proofErr w:type="spellStart"/>
      <w:r w:rsidRPr="00327E34">
        <w:rPr>
          <w:sz w:val="20"/>
          <w:szCs w:val="20"/>
          <w:lang w:val="uk-UA"/>
        </w:rPr>
        <w:t>High</w:t>
      </w:r>
      <w:proofErr w:type="spellEnd"/>
      <w:r w:rsidRPr="00327E34">
        <w:rPr>
          <w:sz w:val="20"/>
          <w:szCs w:val="20"/>
          <w:lang w:val="uk-UA"/>
        </w:rPr>
        <w:t xml:space="preserve"> </w:t>
      </w:r>
      <w:proofErr w:type="spellStart"/>
      <w:r w:rsidRPr="00327E34">
        <w:rPr>
          <w:sz w:val="20"/>
          <w:szCs w:val="20"/>
          <w:lang w:val="uk-UA"/>
        </w:rPr>
        <w:t>incidence</w:t>
      </w:r>
      <w:proofErr w:type="spellEnd"/>
      <w:r w:rsidRPr="00327E34">
        <w:rPr>
          <w:sz w:val="20"/>
          <w:szCs w:val="20"/>
          <w:lang w:val="uk-UA"/>
        </w:rPr>
        <w:t xml:space="preserve"> of </w:t>
      </w:r>
      <w:proofErr w:type="spellStart"/>
      <w:r w:rsidRPr="00327E34">
        <w:rPr>
          <w:sz w:val="20"/>
          <w:szCs w:val="20"/>
          <w:lang w:val="uk-UA"/>
        </w:rPr>
        <w:t>latent</w:t>
      </w:r>
      <w:proofErr w:type="spellEnd"/>
      <w:r w:rsidRPr="00327E34">
        <w:rPr>
          <w:sz w:val="20"/>
          <w:szCs w:val="20"/>
          <w:lang w:val="uk-UA"/>
        </w:rPr>
        <w:t xml:space="preserve"> </w:t>
      </w:r>
      <w:proofErr w:type="spellStart"/>
      <w:r w:rsidRPr="00327E34">
        <w:rPr>
          <w:sz w:val="20"/>
          <w:szCs w:val="20"/>
          <w:lang w:val="uk-UA"/>
        </w:rPr>
        <w:t>tuberculous</w:t>
      </w:r>
      <w:proofErr w:type="spellEnd"/>
      <w:r w:rsidRPr="00327E34">
        <w:rPr>
          <w:sz w:val="20"/>
          <w:szCs w:val="20"/>
          <w:lang w:val="uk-UA"/>
        </w:rPr>
        <w:t xml:space="preserve"> </w:t>
      </w:r>
      <w:proofErr w:type="spellStart"/>
      <w:r w:rsidRPr="00327E34">
        <w:rPr>
          <w:sz w:val="20"/>
          <w:szCs w:val="20"/>
          <w:lang w:val="uk-UA"/>
        </w:rPr>
        <w:t>infection</w:t>
      </w:r>
      <w:proofErr w:type="spellEnd"/>
      <w:r w:rsidRPr="00327E34">
        <w:rPr>
          <w:sz w:val="20"/>
          <w:szCs w:val="20"/>
          <w:lang w:val="uk-UA"/>
        </w:rPr>
        <w:t xml:space="preserve"> </w:t>
      </w:r>
      <w:proofErr w:type="spellStart"/>
      <w:r w:rsidRPr="00327E34">
        <w:rPr>
          <w:sz w:val="20"/>
          <w:szCs w:val="20"/>
          <w:lang w:val="uk-UA"/>
        </w:rPr>
        <w:t>among</w:t>
      </w:r>
      <w:proofErr w:type="spellEnd"/>
      <w:r w:rsidRPr="00327E34">
        <w:rPr>
          <w:sz w:val="20"/>
          <w:szCs w:val="20"/>
          <w:lang w:val="uk-UA"/>
        </w:rPr>
        <w:t xml:space="preserve"> </w:t>
      </w:r>
      <w:proofErr w:type="spellStart"/>
      <w:r w:rsidRPr="00327E34">
        <w:rPr>
          <w:sz w:val="20"/>
          <w:szCs w:val="20"/>
          <w:lang w:val="uk-UA"/>
        </w:rPr>
        <w:t>South</w:t>
      </w:r>
      <w:proofErr w:type="spellEnd"/>
      <w:r w:rsidRPr="00327E34">
        <w:rPr>
          <w:sz w:val="20"/>
          <w:szCs w:val="20"/>
          <w:lang w:val="uk-UA"/>
        </w:rPr>
        <w:t xml:space="preserve"> </w:t>
      </w:r>
      <w:proofErr w:type="spellStart"/>
      <w:r w:rsidRPr="00327E34">
        <w:rPr>
          <w:sz w:val="20"/>
          <w:szCs w:val="20"/>
          <w:lang w:val="uk-UA"/>
        </w:rPr>
        <w:t>African</w:t>
      </w:r>
      <w:proofErr w:type="spellEnd"/>
      <w:r w:rsidRPr="00327E34">
        <w:rPr>
          <w:sz w:val="20"/>
          <w:szCs w:val="20"/>
          <w:lang w:val="uk-UA"/>
        </w:rPr>
        <w:t xml:space="preserve"> </w:t>
      </w:r>
      <w:proofErr w:type="spellStart"/>
      <w:r w:rsidRPr="00327E34">
        <w:rPr>
          <w:sz w:val="20"/>
          <w:szCs w:val="20"/>
          <w:lang w:val="uk-UA"/>
        </w:rPr>
        <w:t>health</w:t>
      </w:r>
      <w:proofErr w:type="spellEnd"/>
      <w:r w:rsidRPr="00327E34">
        <w:rPr>
          <w:sz w:val="20"/>
          <w:szCs w:val="20"/>
          <w:lang w:val="uk-UA"/>
        </w:rPr>
        <w:t xml:space="preserve"> </w:t>
      </w:r>
      <w:proofErr w:type="spellStart"/>
      <w:r w:rsidRPr="00327E34">
        <w:rPr>
          <w:sz w:val="20"/>
          <w:szCs w:val="20"/>
          <w:lang w:val="uk-UA"/>
        </w:rPr>
        <w:t>workers</w:t>
      </w:r>
      <w:proofErr w:type="spellEnd"/>
      <w:r w:rsidRPr="00327E34">
        <w:rPr>
          <w:sz w:val="20"/>
          <w:szCs w:val="20"/>
          <w:lang w:val="uk-UA"/>
        </w:rPr>
        <w:t xml:space="preserve">: an </w:t>
      </w:r>
      <w:proofErr w:type="spellStart"/>
      <w:r w:rsidRPr="00327E34">
        <w:rPr>
          <w:sz w:val="20"/>
          <w:szCs w:val="20"/>
          <w:lang w:val="uk-UA"/>
        </w:rPr>
        <w:t>urgent</w:t>
      </w:r>
      <w:proofErr w:type="spellEnd"/>
      <w:r w:rsidRPr="00327E34">
        <w:rPr>
          <w:sz w:val="20"/>
          <w:szCs w:val="20"/>
          <w:lang w:val="uk-UA"/>
        </w:rPr>
        <w:t xml:space="preserve"> </w:t>
      </w:r>
      <w:proofErr w:type="spellStart"/>
      <w:r w:rsidRPr="00327E34">
        <w:rPr>
          <w:sz w:val="20"/>
          <w:szCs w:val="20"/>
          <w:lang w:val="uk-UA"/>
        </w:rPr>
        <w:t>call</w:t>
      </w:r>
      <w:proofErr w:type="spellEnd"/>
      <w:r w:rsidRPr="00327E34">
        <w:rPr>
          <w:sz w:val="20"/>
          <w:szCs w:val="20"/>
          <w:lang w:val="uk-UA"/>
        </w:rPr>
        <w:t xml:space="preserve"> for </w:t>
      </w:r>
      <w:proofErr w:type="spellStart"/>
      <w:r w:rsidRPr="00327E34">
        <w:rPr>
          <w:sz w:val="20"/>
          <w:szCs w:val="20"/>
          <w:lang w:val="uk-UA"/>
        </w:rPr>
        <w:t>action</w:t>
      </w:r>
      <w:proofErr w:type="spellEnd"/>
      <w:r w:rsidRPr="00327E34">
        <w:rPr>
          <w:sz w:val="20"/>
          <w:szCs w:val="20"/>
          <w:lang w:val="uk-UA"/>
        </w:rPr>
        <w:t xml:space="preserve">. </w:t>
      </w:r>
      <w:proofErr w:type="spellStart"/>
      <w:r w:rsidRPr="00327E34">
        <w:rPr>
          <w:sz w:val="20"/>
          <w:szCs w:val="20"/>
          <w:lang w:val="uk-UA"/>
        </w:rPr>
        <w:t>Int</w:t>
      </w:r>
      <w:proofErr w:type="spellEnd"/>
      <w:r w:rsidRPr="00327E34">
        <w:rPr>
          <w:sz w:val="20"/>
          <w:szCs w:val="20"/>
          <w:lang w:val="uk-UA"/>
        </w:rPr>
        <w:t xml:space="preserve"> J Tuberc </w:t>
      </w:r>
      <w:proofErr w:type="spellStart"/>
      <w:r w:rsidRPr="00327E34">
        <w:rPr>
          <w:sz w:val="20"/>
          <w:szCs w:val="20"/>
          <w:lang w:val="uk-UA"/>
        </w:rPr>
        <w:t>Lung</w:t>
      </w:r>
      <w:proofErr w:type="spellEnd"/>
      <w:r w:rsidRPr="00327E34">
        <w:rPr>
          <w:spacing w:val="25"/>
          <w:sz w:val="20"/>
          <w:szCs w:val="20"/>
          <w:lang w:val="uk-UA"/>
        </w:rPr>
        <w:t xml:space="preserve"> </w:t>
      </w:r>
      <w:proofErr w:type="spellStart"/>
      <w:r w:rsidRPr="00327E34">
        <w:rPr>
          <w:sz w:val="20"/>
          <w:szCs w:val="20"/>
          <w:lang w:val="uk-UA"/>
        </w:rPr>
        <w:t>Dis</w:t>
      </w:r>
      <w:proofErr w:type="spellEnd"/>
      <w:r w:rsidRPr="00327E34">
        <w:rPr>
          <w:sz w:val="20"/>
          <w:szCs w:val="20"/>
          <w:lang w:val="uk-UA"/>
        </w:rPr>
        <w:t>.</w:t>
      </w:r>
      <w:r w:rsidRPr="00327E34">
        <w:rPr>
          <w:spacing w:val="25"/>
          <w:sz w:val="20"/>
          <w:szCs w:val="20"/>
          <w:lang w:val="uk-UA"/>
        </w:rPr>
        <w:t xml:space="preserve"> </w:t>
      </w:r>
      <w:r w:rsidRPr="00327E34">
        <w:rPr>
          <w:sz w:val="20"/>
          <w:szCs w:val="20"/>
          <w:lang w:val="uk-UA"/>
        </w:rPr>
        <w:t>2015;19(6):647–53</w:t>
      </w:r>
      <w:r w:rsidRPr="00327E34">
        <w:rPr>
          <w:spacing w:val="25"/>
          <w:sz w:val="20"/>
          <w:szCs w:val="20"/>
          <w:lang w:val="uk-UA"/>
        </w:rPr>
        <w:t xml:space="preserve"> </w:t>
      </w:r>
      <w:r w:rsidRPr="00327E34">
        <w:rPr>
          <w:sz w:val="20"/>
          <w:szCs w:val="20"/>
          <w:lang w:val="uk-UA"/>
        </w:rPr>
        <w:t>(</w:t>
      </w:r>
      <w:hyperlink r:id="rId229">
        <w:r w:rsidRPr="00327E34">
          <w:rPr>
            <w:color w:val="019648"/>
            <w:sz w:val="20"/>
            <w:szCs w:val="20"/>
            <w:lang w:val="uk-UA"/>
          </w:rPr>
          <w:t>https://pubmed.ncbi.nlm.nih.gov/25946353/</w:t>
        </w:r>
      </w:hyperlink>
      <w:r w:rsidRPr="00327E34">
        <w:rPr>
          <w:sz w:val="20"/>
          <w:szCs w:val="20"/>
          <w:lang w:val="uk-UA"/>
        </w:rPr>
        <w:t>).</w:t>
      </w:r>
    </w:p>
    <w:p w14:paraId="4748228C" w14:textId="77777777" w:rsidR="00E05B98" w:rsidRPr="00327E34" w:rsidRDefault="00B01E0C">
      <w:pPr>
        <w:pStyle w:val="a4"/>
        <w:numPr>
          <w:ilvl w:val="0"/>
          <w:numId w:val="5"/>
        </w:numPr>
        <w:tabs>
          <w:tab w:val="left" w:pos="927"/>
        </w:tabs>
        <w:spacing w:before="83" w:line="297" w:lineRule="auto"/>
        <w:ind w:right="141"/>
        <w:rPr>
          <w:sz w:val="20"/>
          <w:szCs w:val="20"/>
          <w:lang w:val="uk-UA"/>
        </w:rPr>
      </w:pPr>
      <w:proofErr w:type="spellStart"/>
      <w:r w:rsidRPr="00327E34">
        <w:rPr>
          <w:spacing w:val="-8"/>
          <w:sz w:val="20"/>
          <w:szCs w:val="20"/>
          <w:lang w:val="uk-UA"/>
        </w:rPr>
        <w:t>Sharma</w:t>
      </w:r>
      <w:proofErr w:type="spellEnd"/>
      <w:r w:rsidRPr="00327E34">
        <w:rPr>
          <w:sz w:val="20"/>
          <w:szCs w:val="20"/>
          <w:lang w:val="uk-UA"/>
        </w:rPr>
        <w:t xml:space="preserve"> </w:t>
      </w:r>
      <w:r w:rsidRPr="00327E34">
        <w:rPr>
          <w:spacing w:val="-8"/>
          <w:sz w:val="20"/>
          <w:szCs w:val="20"/>
          <w:lang w:val="uk-UA"/>
        </w:rPr>
        <w:t>SK,</w:t>
      </w:r>
      <w:r w:rsidRPr="00327E34">
        <w:rPr>
          <w:sz w:val="20"/>
          <w:szCs w:val="20"/>
          <w:lang w:val="uk-UA"/>
        </w:rPr>
        <w:t xml:space="preserve"> </w:t>
      </w:r>
      <w:proofErr w:type="spellStart"/>
      <w:r w:rsidRPr="00327E34">
        <w:rPr>
          <w:spacing w:val="-8"/>
          <w:sz w:val="20"/>
          <w:szCs w:val="20"/>
          <w:lang w:val="uk-UA"/>
        </w:rPr>
        <w:t>Vashishtha</w:t>
      </w:r>
      <w:proofErr w:type="spellEnd"/>
      <w:r w:rsidRPr="00327E34">
        <w:rPr>
          <w:sz w:val="20"/>
          <w:szCs w:val="20"/>
          <w:lang w:val="uk-UA"/>
        </w:rPr>
        <w:t xml:space="preserve"> </w:t>
      </w:r>
      <w:r w:rsidRPr="00327E34">
        <w:rPr>
          <w:spacing w:val="-8"/>
          <w:sz w:val="20"/>
          <w:szCs w:val="20"/>
          <w:lang w:val="uk-UA"/>
        </w:rPr>
        <w:t>R,</w:t>
      </w:r>
      <w:r w:rsidRPr="00327E34">
        <w:rPr>
          <w:sz w:val="20"/>
          <w:szCs w:val="20"/>
          <w:lang w:val="uk-UA"/>
        </w:rPr>
        <w:t xml:space="preserve"> </w:t>
      </w:r>
      <w:proofErr w:type="spellStart"/>
      <w:r w:rsidRPr="00327E34">
        <w:rPr>
          <w:spacing w:val="-8"/>
          <w:sz w:val="20"/>
          <w:szCs w:val="20"/>
          <w:lang w:val="uk-UA"/>
        </w:rPr>
        <w:t>Chauhan</w:t>
      </w:r>
      <w:proofErr w:type="spellEnd"/>
      <w:r w:rsidRPr="00327E34">
        <w:rPr>
          <w:sz w:val="20"/>
          <w:szCs w:val="20"/>
          <w:lang w:val="uk-UA"/>
        </w:rPr>
        <w:t xml:space="preserve"> </w:t>
      </w:r>
      <w:r w:rsidRPr="00327E34">
        <w:rPr>
          <w:spacing w:val="-8"/>
          <w:sz w:val="20"/>
          <w:szCs w:val="20"/>
          <w:lang w:val="uk-UA"/>
        </w:rPr>
        <w:t>LS,</w:t>
      </w:r>
      <w:r w:rsidRPr="00327E34">
        <w:rPr>
          <w:sz w:val="20"/>
          <w:szCs w:val="20"/>
          <w:lang w:val="uk-UA"/>
        </w:rPr>
        <w:t xml:space="preserve"> </w:t>
      </w:r>
      <w:proofErr w:type="spellStart"/>
      <w:r w:rsidRPr="00327E34">
        <w:rPr>
          <w:spacing w:val="-8"/>
          <w:sz w:val="20"/>
          <w:szCs w:val="20"/>
          <w:lang w:val="uk-UA"/>
        </w:rPr>
        <w:t>Sreenivas</w:t>
      </w:r>
      <w:proofErr w:type="spellEnd"/>
      <w:r w:rsidRPr="00327E34">
        <w:rPr>
          <w:sz w:val="20"/>
          <w:szCs w:val="20"/>
          <w:lang w:val="uk-UA"/>
        </w:rPr>
        <w:t xml:space="preserve"> </w:t>
      </w:r>
      <w:r w:rsidRPr="00327E34">
        <w:rPr>
          <w:spacing w:val="-8"/>
          <w:sz w:val="20"/>
          <w:szCs w:val="20"/>
          <w:lang w:val="uk-UA"/>
        </w:rPr>
        <w:t>V,</w:t>
      </w:r>
      <w:r w:rsidRPr="00327E34">
        <w:rPr>
          <w:sz w:val="20"/>
          <w:szCs w:val="20"/>
          <w:lang w:val="uk-UA"/>
        </w:rPr>
        <w:t xml:space="preserve"> </w:t>
      </w:r>
      <w:proofErr w:type="spellStart"/>
      <w:r w:rsidRPr="00327E34">
        <w:rPr>
          <w:spacing w:val="-8"/>
          <w:sz w:val="20"/>
          <w:szCs w:val="20"/>
          <w:lang w:val="uk-UA"/>
        </w:rPr>
        <w:t>Seth</w:t>
      </w:r>
      <w:proofErr w:type="spellEnd"/>
      <w:r w:rsidRPr="00327E34">
        <w:rPr>
          <w:sz w:val="20"/>
          <w:szCs w:val="20"/>
          <w:lang w:val="uk-UA"/>
        </w:rPr>
        <w:t xml:space="preserve"> </w:t>
      </w:r>
      <w:r w:rsidRPr="00327E34">
        <w:rPr>
          <w:spacing w:val="-8"/>
          <w:sz w:val="20"/>
          <w:szCs w:val="20"/>
          <w:lang w:val="uk-UA"/>
        </w:rPr>
        <w:t>D.</w:t>
      </w:r>
      <w:r w:rsidRPr="00327E34">
        <w:rPr>
          <w:sz w:val="20"/>
          <w:szCs w:val="20"/>
          <w:lang w:val="uk-UA"/>
        </w:rPr>
        <w:t xml:space="preserve"> </w:t>
      </w:r>
      <w:proofErr w:type="spellStart"/>
      <w:r w:rsidRPr="00327E34">
        <w:rPr>
          <w:spacing w:val="-8"/>
          <w:sz w:val="20"/>
          <w:szCs w:val="20"/>
          <w:lang w:val="uk-UA"/>
        </w:rPr>
        <w:t>Comparison</w:t>
      </w:r>
      <w:proofErr w:type="spellEnd"/>
      <w:r w:rsidRPr="00327E34">
        <w:rPr>
          <w:sz w:val="20"/>
          <w:szCs w:val="20"/>
          <w:lang w:val="uk-UA"/>
        </w:rPr>
        <w:t xml:space="preserve"> </w:t>
      </w:r>
      <w:r w:rsidRPr="00327E34">
        <w:rPr>
          <w:spacing w:val="-8"/>
          <w:sz w:val="20"/>
          <w:szCs w:val="20"/>
          <w:lang w:val="uk-UA"/>
        </w:rPr>
        <w:t>of</w:t>
      </w:r>
      <w:r w:rsidRPr="00327E34">
        <w:rPr>
          <w:sz w:val="20"/>
          <w:szCs w:val="20"/>
          <w:lang w:val="uk-UA"/>
        </w:rPr>
        <w:t xml:space="preserve"> </w:t>
      </w:r>
      <w:r w:rsidRPr="00327E34">
        <w:rPr>
          <w:spacing w:val="-8"/>
          <w:sz w:val="20"/>
          <w:szCs w:val="20"/>
          <w:lang w:val="uk-UA"/>
        </w:rPr>
        <w:t>TST</w:t>
      </w:r>
      <w:r w:rsidRPr="00327E34">
        <w:rPr>
          <w:sz w:val="20"/>
          <w:szCs w:val="20"/>
          <w:lang w:val="uk-UA"/>
        </w:rPr>
        <w:t xml:space="preserve"> </w:t>
      </w:r>
      <w:r w:rsidRPr="00327E34">
        <w:rPr>
          <w:spacing w:val="-8"/>
          <w:sz w:val="20"/>
          <w:szCs w:val="20"/>
          <w:lang w:val="uk-UA"/>
        </w:rPr>
        <w:t>and</w:t>
      </w:r>
      <w:r w:rsidRPr="00327E34">
        <w:rPr>
          <w:sz w:val="20"/>
          <w:szCs w:val="20"/>
          <w:lang w:val="uk-UA"/>
        </w:rPr>
        <w:t xml:space="preserve"> </w:t>
      </w:r>
      <w:r w:rsidRPr="00327E34">
        <w:rPr>
          <w:spacing w:val="-8"/>
          <w:sz w:val="20"/>
          <w:szCs w:val="20"/>
          <w:lang w:val="uk-UA"/>
        </w:rPr>
        <w:t>IGRA</w:t>
      </w:r>
      <w:r w:rsidRPr="00327E34">
        <w:rPr>
          <w:sz w:val="20"/>
          <w:szCs w:val="20"/>
          <w:lang w:val="uk-UA"/>
        </w:rPr>
        <w:t xml:space="preserve"> </w:t>
      </w:r>
      <w:r w:rsidRPr="00327E34">
        <w:rPr>
          <w:spacing w:val="-8"/>
          <w:sz w:val="20"/>
          <w:szCs w:val="20"/>
          <w:lang w:val="uk-UA"/>
        </w:rPr>
        <w:t>in</w:t>
      </w:r>
      <w:r w:rsidRPr="00327E34">
        <w:rPr>
          <w:sz w:val="20"/>
          <w:szCs w:val="20"/>
          <w:lang w:val="uk-UA"/>
        </w:rPr>
        <w:t xml:space="preserve"> </w:t>
      </w:r>
      <w:proofErr w:type="spellStart"/>
      <w:r w:rsidRPr="00327E34">
        <w:rPr>
          <w:spacing w:val="-8"/>
          <w:sz w:val="20"/>
          <w:szCs w:val="20"/>
          <w:lang w:val="uk-UA"/>
        </w:rPr>
        <w:t>diagnosis</w:t>
      </w:r>
      <w:proofErr w:type="spellEnd"/>
      <w:r w:rsidRPr="00327E34">
        <w:rPr>
          <w:spacing w:val="-8"/>
          <w:sz w:val="20"/>
          <w:szCs w:val="20"/>
          <w:lang w:val="uk-UA"/>
        </w:rPr>
        <w:t xml:space="preserve"> </w:t>
      </w:r>
      <w:r w:rsidRPr="00327E34">
        <w:rPr>
          <w:sz w:val="20"/>
          <w:szCs w:val="20"/>
          <w:lang w:val="uk-UA"/>
        </w:rPr>
        <w:t>of</w:t>
      </w:r>
      <w:r w:rsidRPr="00327E34">
        <w:rPr>
          <w:spacing w:val="-14"/>
          <w:sz w:val="20"/>
          <w:szCs w:val="20"/>
          <w:lang w:val="uk-UA"/>
        </w:rPr>
        <w:t xml:space="preserve"> </w:t>
      </w:r>
      <w:proofErr w:type="spellStart"/>
      <w:r w:rsidRPr="00327E34">
        <w:rPr>
          <w:sz w:val="20"/>
          <w:szCs w:val="20"/>
          <w:lang w:val="uk-UA"/>
        </w:rPr>
        <w:t>latent</w:t>
      </w:r>
      <w:proofErr w:type="spellEnd"/>
      <w:r w:rsidRPr="00327E34">
        <w:rPr>
          <w:spacing w:val="-13"/>
          <w:sz w:val="20"/>
          <w:szCs w:val="20"/>
          <w:lang w:val="uk-UA"/>
        </w:rPr>
        <w:t xml:space="preserve"> </w:t>
      </w:r>
      <w:r w:rsidRPr="00327E34">
        <w:rPr>
          <w:sz w:val="20"/>
          <w:szCs w:val="20"/>
          <w:lang w:val="uk-UA"/>
        </w:rPr>
        <w:t>tuberculosis</w:t>
      </w:r>
      <w:r w:rsidRPr="00327E34">
        <w:rPr>
          <w:spacing w:val="-13"/>
          <w:sz w:val="20"/>
          <w:szCs w:val="20"/>
          <w:lang w:val="uk-UA"/>
        </w:rPr>
        <w:t xml:space="preserve"> </w:t>
      </w:r>
      <w:proofErr w:type="spellStart"/>
      <w:r w:rsidRPr="00327E34">
        <w:rPr>
          <w:sz w:val="20"/>
          <w:szCs w:val="20"/>
          <w:lang w:val="uk-UA"/>
        </w:rPr>
        <w:t>infection</w:t>
      </w:r>
      <w:proofErr w:type="spellEnd"/>
      <w:r w:rsidRPr="00327E34">
        <w:rPr>
          <w:spacing w:val="-14"/>
          <w:sz w:val="20"/>
          <w:szCs w:val="20"/>
          <w:lang w:val="uk-UA"/>
        </w:rPr>
        <w:t xml:space="preserve"> </w:t>
      </w:r>
      <w:r w:rsidRPr="00327E34">
        <w:rPr>
          <w:sz w:val="20"/>
          <w:szCs w:val="20"/>
          <w:lang w:val="uk-UA"/>
        </w:rPr>
        <w:t>in</w:t>
      </w:r>
      <w:r w:rsidRPr="00327E34">
        <w:rPr>
          <w:spacing w:val="-13"/>
          <w:sz w:val="20"/>
          <w:szCs w:val="20"/>
          <w:lang w:val="uk-UA"/>
        </w:rPr>
        <w:t xml:space="preserve"> </w:t>
      </w:r>
      <w:r w:rsidRPr="00327E34">
        <w:rPr>
          <w:sz w:val="20"/>
          <w:szCs w:val="20"/>
          <w:lang w:val="uk-UA"/>
        </w:rPr>
        <w:t>a</w:t>
      </w:r>
      <w:r w:rsidRPr="00327E34">
        <w:rPr>
          <w:spacing w:val="-13"/>
          <w:sz w:val="20"/>
          <w:szCs w:val="20"/>
          <w:lang w:val="uk-UA"/>
        </w:rPr>
        <w:t xml:space="preserve"> </w:t>
      </w:r>
      <w:proofErr w:type="spellStart"/>
      <w:r w:rsidRPr="00327E34">
        <w:rPr>
          <w:sz w:val="20"/>
          <w:szCs w:val="20"/>
          <w:lang w:val="uk-UA"/>
        </w:rPr>
        <w:t>high</w:t>
      </w:r>
      <w:proofErr w:type="spellEnd"/>
      <w:r w:rsidRPr="00327E34">
        <w:rPr>
          <w:spacing w:val="-13"/>
          <w:sz w:val="20"/>
          <w:szCs w:val="20"/>
          <w:lang w:val="uk-UA"/>
        </w:rPr>
        <w:t xml:space="preserve"> </w:t>
      </w:r>
      <w:r w:rsidRPr="00327E34">
        <w:rPr>
          <w:sz w:val="20"/>
          <w:szCs w:val="20"/>
          <w:lang w:val="uk-UA"/>
        </w:rPr>
        <w:t>TB-</w:t>
      </w:r>
      <w:proofErr w:type="spellStart"/>
      <w:r w:rsidRPr="00327E34">
        <w:rPr>
          <w:sz w:val="20"/>
          <w:szCs w:val="20"/>
          <w:lang w:val="uk-UA"/>
        </w:rPr>
        <w:t>burden</w:t>
      </w:r>
      <w:proofErr w:type="spellEnd"/>
      <w:r w:rsidRPr="00327E34">
        <w:rPr>
          <w:spacing w:val="-14"/>
          <w:sz w:val="20"/>
          <w:szCs w:val="20"/>
          <w:lang w:val="uk-UA"/>
        </w:rPr>
        <w:t xml:space="preserve"> </w:t>
      </w:r>
      <w:proofErr w:type="spellStart"/>
      <w:r w:rsidRPr="00327E34">
        <w:rPr>
          <w:sz w:val="20"/>
          <w:szCs w:val="20"/>
          <w:lang w:val="uk-UA"/>
        </w:rPr>
        <w:t>setting</w:t>
      </w:r>
      <w:proofErr w:type="spellEnd"/>
      <w:r w:rsidRPr="00327E34">
        <w:rPr>
          <w:sz w:val="20"/>
          <w:szCs w:val="20"/>
          <w:lang w:val="uk-UA"/>
        </w:rPr>
        <w:t>.</w:t>
      </w:r>
      <w:r w:rsidRPr="00327E34">
        <w:rPr>
          <w:spacing w:val="-13"/>
          <w:sz w:val="20"/>
          <w:szCs w:val="20"/>
          <w:lang w:val="uk-UA"/>
        </w:rPr>
        <w:t xml:space="preserve"> </w:t>
      </w:r>
      <w:r w:rsidRPr="00327E34">
        <w:rPr>
          <w:sz w:val="20"/>
          <w:szCs w:val="20"/>
          <w:lang w:val="uk-UA"/>
        </w:rPr>
        <w:t>PLoS</w:t>
      </w:r>
      <w:r w:rsidRPr="00327E34">
        <w:rPr>
          <w:spacing w:val="-13"/>
          <w:sz w:val="20"/>
          <w:szCs w:val="20"/>
          <w:lang w:val="uk-UA"/>
        </w:rPr>
        <w:t xml:space="preserve"> </w:t>
      </w:r>
      <w:r w:rsidRPr="00327E34">
        <w:rPr>
          <w:sz w:val="20"/>
          <w:szCs w:val="20"/>
          <w:lang w:val="uk-UA"/>
        </w:rPr>
        <w:t>One.</w:t>
      </w:r>
      <w:r w:rsidRPr="00327E34">
        <w:rPr>
          <w:spacing w:val="-14"/>
          <w:sz w:val="20"/>
          <w:szCs w:val="20"/>
          <w:lang w:val="uk-UA"/>
        </w:rPr>
        <w:t xml:space="preserve"> </w:t>
      </w:r>
      <w:r w:rsidRPr="00327E34">
        <w:rPr>
          <w:sz w:val="20"/>
          <w:szCs w:val="20"/>
          <w:lang w:val="uk-UA"/>
        </w:rPr>
        <w:t>2017;12(1):e0169539</w:t>
      </w:r>
      <w:r w:rsidRPr="00327E34">
        <w:rPr>
          <w:spacing w:val="-13"/>
          <w:sz w:val="20"/>
          <w:szCs w:val="20"/>
          <w:lang w:val="uk-UA"/>
        </w:rPr>
        <w:t xml:space="preserve"> </w:t>
      </w:r>
      <w:r w:rsidRPr="00327E34">
        <w:rPr>
          <w:sz w:val="20"/>
          <w:szCs w:val="20"/>
          <w:lang w:val="uk-UA"/>
        </w:rPr>
        <w:t>(</w:t>
      </w:r>
      <w:hyperlink r:id="rId230">
        <w:r w:rsidRPr="00327E34">
          <w:rPr>
            <w:color w:val="019648"/>
            <w:sz w:val="20"/>
            <w:szCs w:val="20"/>
            <w:lang w:val="uk-UA"/>
          </w:rPr>
          <w:t>https://</w:t>
        </w:r>
      </w:hyperlink>
      <w:r w:rsidRPr="00327E34">
        <w:rPr>
          <w:color w:val="019648"/>
          <w:sz w:val="20"/>
          <w:szCs w:val="20"/>
          <w:lang w:val="uk-UA"/>
        </w:rPr>
        <w:t xml:space="preserve"> </w:t>
      </w:r>
      <w:hyperlink r:id="rId231">
        <w:r w:rsidRPr="00327E34">
          <w:rPr>
            <w:color w:val="019648"/>
            <w:spacing w:val="-2"/>
            <w:sz w:val="20"/>
            <w:szCs w:val="20"/>
            <w:lang w:val="uk-UA"/>
          </w:rPr>
          <w:t>pubmed.ncbi.nlm.nih.gov/28060926/</w:t>
        </w:r>
      </w:hyperlink>
      <w:r w:rsidRPr="00327E34">
        <w:rPr>
          <w:spacing w:val="-2"/>
          <w:sz w:val="20"/>
          <w:szCs w:val="20"/>
          <w:lang w:val="uk-UA"/>
        </w:rPr>
        <w:t>).</w:t>
      </w:r>
    </w:p>
    <w:p w14:paraId="35624195" w14:textId="77777777" w:rsidR="00E05B98" w:rsidRPr="00327E34" w:rsidRDefault="00B01E0C">
      <w:pPr>
        <w:pStyle w:val="a4"/>
        <w:numPr>
          <w:ilvl w:val="0"/>
          <w:numId w:val="5"/>
        </w:numPr>
        <w:tabs>
          <w:tab w:val="left" w:pos="927"/>
        </w:tabs>
        <w:spacing w:before="83" w:line="297" w:lineRule="auto"/>
        <w:ind w:right="138"/>
        <w:rPr>
          <w:sz w:val="20"/>
          <w:szCs w:val="20"/>
          <w:lang w:val="uk-UA"/>
        </w:rPr>
      </w:pPr>
      <w:proofErr w:type="spellStart"/>
      <w:r w:rsidRPr="00327E34">
        <w:rPr>
          <w:sz w:val="20"/>
          <w:szCs w:val="20"/>
          <w:lang w:val="uk-UA"/>
        </w:rPr>
        <w:t>Zwerling</w:t>
      </w:r>
      <w:proofErr w:type="spellEnd"/>
      <w:r w:rsidRPr="00327E34">
        <w:rPr>
          <w:spacing w:val="-1"/>
          <w:sz w:val="20"/>
          <w:szCs w:val="20"/>
          <w:lang w:val="uk-UA"/>
        </w:rPr>
        <w:t xml:space="preserve"> </w:t>
      </w:r>
      <w:r w:rsidRPr="00327E34">
        <w:rPr>
          <w:sz w:val="20"/>
          <w:szCs w:val="20"/>
          <w:lang w:val="uk-UA"/>
        </w:rPr>
        <w:t>A,</w:t>
      </w:r>
      <w:r w:rsidRPr="00327E34">
        <w:rPr>
          <w:spacing w:val="-1"/>
          <w:sz w:val="20"/>
          <w:szCs w:val="20"/>
          <w:lang w:val="uk-UA"/>
        </w:rPr>
        <w:t xml:space="preserve"> </w:t>
      </w:r>
      <w:r w:rsidRPr="00327E34">
        <w:rPr>
          <w:sz w:val="20"/>
          <w:szCs w:val="20"/>
          <w:lang w:val="uk-UA"/>
        </w:rPr>
        <w:t>Behr</w:t>
      </w:r>
      <w:r w:rsidRPr="00327E34">
        <w:rPr>
          <w:spacing w:val="-1"/>
          <w:sz w:val="20"/>
          <w:szCs w:val="20"/>
          <w:lang w:val="uk-UA"/>
        </w:rPr>
        <w:t xml:space="preserve"> </w:t>
      </w:r>
      <w:r w:rsidRPr="00327E34">
        <w:rPr>
          <w:sz w:val="20"/>
          <w:szCs w:val="20"/>
          <w:lang w:val="uk-UA"/>
        </w:rPr>
        <w:t>MA,</w:t>
      </w:r>
      <w:r w:rsidRPr="00327E34">
        <w:rPr>
          <w:spacing w:val="-1"/>
          <w:sz w:val="20"/>
          <w:szCs w:val="20"/>
          <w:lang w:val="uk-UA"/>
        </w:rPr>
        <w:t xml:space="preserve"> </w:t>
      </w:r>
      <w:proofErr w:type="spellStart"/>
      <w:r w:rsidRPr="00327E34">
        <w:rPr>
          <w:sz w:val="20"/>
          <w:szCs w:val="20"/>
          <w:lang w:val="uk-UA"/>
        </w:rPr>
        <w:t>Verma</w:t>
      </w:r>
      <w:proofErr w:type="spellEnd"/>
      <w:r w:rsidRPr="00327E34">
        <w:rPr>
          <w:spacing w:val="-1"/>
          <w:sz w:val="20"/>
          <w:szCs w:val="20"/>
          <w:lang w:val="uk-UA"/>
        </w:rPr>
        <w:t xml:space="preserve"> </w:t>
      </w:r>
      <w:r w:rsidRPr="00327E34">
        <w:rPr>
          <w:sz w:val="20"/>
          <w:szCs w:val="20"/>
          <w:lang w:val="uk-UA"/>
        </w:rPr>
        <w:t>A,</w:t>
      </w:r>
      <w:r w:rsidRPr="00327E34">
        <w:rPr>
          <w:spacing w:val="-1"/>
          <w:sz w:val="20"/>
          <w:szCs w:val="20"/>
          <w:lang w:val="uk-UA"/>
        </w:rPr>
        <w:t xml:space="preserve"> </w:t>
      </w:r>
      <w:proofErr w:type="spellStart"/>
      <w:r w:rsidRPr="00327E34">
        <w:rPr>
          <w:sz w:val="20"/>
          <w:szCs w:val="20"/>
          <w:lang w:val="uk-UA"/>
        </w:rPr>
        <w:t>Brewer</w:t>
      </w:r>
      <w:proofErr w:type="spellEnd"/>
      <w:r w:rsidRPr="00327E34">
        <w:rPr>
          <w:spacing w:val="-1"/>
          <w:sz w:val="20"/>
          <w:szCs w:val="20"/>
          <w:lang w:val="uk-UA"/>
        </w:rPr>
        <w:t xml:space="preserve"> </w:t>
      </w:r>
      <w:r w:rsidRPr="00327E34">
        <w:rPr>
          <w:sz w:val="20"/>
          <w:szCs w:val="20"/>
          <w:lang w:val="uk-UA"/>
        </w:rPr>
        <w:t>TF,</w:t>
      </w:r>
      <w:r w:rsidRPr="00327E34">
        <w:rPr>
          <w:spacing w:val="-1"/>
          <w:sz w:val="20"/>
          <w:szCs w:val="20"/>
          <w:lang w:val="uk-UA"/>
        </w:rPr>
        <w:t xml:space="preserve"> </w:t>
      </w:r>
      <w:proofErr w:type="spellStart"/>
      <w:r w:rsidRPr="00327E34">
        <w:rPr>
          <w:sz w:val="20"/>
          <w:szCs w:val="20"/>
          <w:lang w:val="uk-UA"/>
        </w:rPr>
        <w:t>Menzies</w:t>
      </w:r>
      <w:proofErr w:type="spellEnd"/>
      <w:r w:rsidRPr="00327E34">
        <w:rPr>
          <w:spacing w:val="-1"/>
          <w:sz w:val="20"/>
          <w:szCs w:val="20"/>
          <w:lang w:val="uk-UA"/>
        </w:rPr>
        <w:t xml:space="preserve"> </w:t>
      </w:r>
      <w:r w:rsidRPr="00327E34">
        <w:rPr>
          <w:sz w:val="20"/>
          <w:szCs w:val="20"/>
          <w:lang w:val="uk-UA"/>
        </w:rPr>
        <w:t>D,</w:t>
      </w:r>
      <w:r w:rsidRPr="00327E34">
        <w:rPr>
          <w:spacing w:val="-1"/>
          <w:sz w:val="20"/>
          <w:szCs w:val="20"/>
          <w:lang w:val="uk-UA"/>
        </w:rPr>
        <w:t xml:space="preserve"> </w:t>
      </w:r>
      <w:proofErr w:type="spellStart"/>
      <w:r w:rsidRPr="00327E34">
        <w:rPr>
          <w:sz w:val="20"/>
          <w:szCs w:val="20"/>
          <w:lang w:val="uk-UA"/>
        </w:rPr>
        <w:t>Pai</w:t>
      </w:r>
      <w:proofErr w:type="spellEnd"/>
      <w:r w:rsidRPr="00327E34">
        <w:rPr>
          <w:spacing w:val="-1"/>
          <w:sz w:val="20"/>
          <w:szCs w:val="20"/>
          <w:lang w:val="uk-UA"/>
        </w:rPr>
        <w:t xml:space="preserve"> </w:t>
      </w:r>
      <w:r w:rsidRPr="00327E34">
        <w:rPr>
          <w:sz w:val="20"/>
          <w:szCs w:val="20"/>
          <w:lang w:val="uk-UA"/>
        </w:rPr>
        <w:t>M.</w:t>
      </w:r>
      <w:r w:rsidRPr="00327E34">
        <w:rPr>
          <w:spacing w:val="-1"/>
          <w:sz w:val="20"/>
          <w:szCs w:val="20"/>
          <w:lang w:val="uk-UA"/>
        </w:rPr>
        <w:t xml:space="preserve"> </w:t>
      </w:r>
      <w:r w:rsidRPr="00327E34">
        <w:rPr>
          <w:sz w:val="20"/>
          <w:szCs w:val="20"/>
          <w:lang w:val="uk-UA"/>
        </w:rPr>
        <w:t>The</w:t>
      </w:r>
      <w:r w:rsidRPr="00327E34">
        <w:rPr>
          <w:spacing w:val="-1"/>
          <w:sz w:val="20"/>
          <w:szCs w:val="20"/>
          <w:lang w:val="uk-UA"/>
        </w:rPr>
        <w:t xml:space="preserve"> </w:t>
      </w:r>
      <w:r w:rsidRPr="00327E34">
        <w:rPr>
          <w:sz w:val="20"/>
          <w:szCs w:val="20"/>
          <w:lang w:val="uk-UA"/>
        </w:rPr>
        <w:t>BCG</w:t>
      </w:r>
      <w:r w:rsidRPr="00327E34">
        <w:rPr>
          <w:spacing w:val="-1"/>
          <w:sz w:val="20"/>
          <w:szCs w:val="20"/>
          <w:lang w:val="uk-UA"/>
        </w:rPr>
        <w:t xml:space="preserve"> </w:t>
      </w:r>
      <w:proofErr w:type="spellStart"/>
      <w:r w:rsidRPr="00327E34">
        <w:rPr>
          <w:sz w:val="20"/>
          <w:szCs w:val="20"/>
          <w:lang w:val="uk-UA"/>
        </w:rPr>
        <w:t>world</w:t>
      </w:r>
      <w:proofErr w:type="spellEnd"/>
      <w:r w:rsidRPr="00327E34">
        <w:rPr>
          <w:spacing w:val="-1"/>
          <w:sz w:val="20"/>
          <w:szCs w:val="20"/>
          <w:lang w:val="uk-UA"/>
        </w:rPr>
        <w:t xml:space="preserve"> </w:t>
      </w:r>
      <w:proofErr w:type="spellStart"/>
      <w:r w:rsidRPr="00327E34">
        <w:rPr>
          <w:sz w:val="20"/>
          <w:szCs w:val="20"/>
          <w:lang w:val="uk-UA"/>
        </w:rPr>
        <w:t>atlas</w:t>
      </w:r>
      <w:proofErr w:type="spellEnd"/>
      <w:r w:rsidRPr="00327E34">
        <w:rPr>
          <w:sz w:val="20"/>
          <w:szCs w:val="20"/>
          <w:lang w:val="uk-UA"/>
        </w:rPr>
        <w:t>:</w:t>
      </w:r>
      <w:r w:rsidRPr="00327E34">
        <w:rPr>
          <w:spacing w:val="-1"/>
          <w:sz w:val="20"/>
          <w:szCs w:val="20"/>
          <w:lang w:val="uk-UA"/>
        </w:rPr>
        <w:t xml:space="preserve"> </w:t>
      </w:r>
      <w:r w:rsidRPr="00327E34">
        <w:rPr>
          <w:sz w:val="20"/>
          <w:szCs w:val="20"/>
          <w:lang w:val="uk-UA"/>
        </w:rPr>
        <w:t>a</w:t>
      </w:r>
      <w:r w:rsidRPr="00327E34">
        <w:rPr>
          <w:spacing w:val="-1"/>
          <w:sz w:val="20"/>
          <w:szCs w:val="20"/>
          <w:lang w:val="uk-UA"/>
        </w:rPr>
        <w:t xml:space="preserve"> </w:t>
      </w:r>
      <w:proofErr w:type="spellStart"/>
      <w:r w:rsidRPr="00327E34">
        <w:rPr>
          <w:sz w:val="20"/>
          <w:szCs w:val="20"/>
          <w:lang w:val="uk-UA"/>
        </w:rPr>
        <w:t>database</w:t>
      </w:r>
      <w:proofErr w:type="spellEnd"/>
      <w:r w:rsidRPr="00327E34">
        <w:rPr>
          <w:spacing w:val="-1"/>
          <w:sz w:val="20"/>
          <w:szCs w:val="20"/>
          <w:lang w:val="uk-UA"/>
        </w:rPr>
        <w:t xml:space="preserve"> </w:t>
      </w:r>
      <w:r w:rsidRPr="00327E34">
        <w:rPr>
          <w:sz w:val="20"/>
          <w:szCs w:val="20"/>
          <w:lang w:val="uk-UA"/>
        </w:rPr>
        <w:t xml:space="preserve">of </w:t>
      </w:r>
      <w:proofErr w:type="spellStart"/>
      <w:r w:rsidRPr="00327E34">
        <w:rPr>
          <w:sz w:val="20"/>
          <w:szCs w:val="20"/>
          <w:lang w:val="uk-UA"/>
        </w:rPr>
        <w:t>global</w:t>
      </w:r>
      <w:proofErr w:type="spellEnd"/>
      <w:r w:rsidRPr="00327E34">
        <w:rPr>
          <w:sz w:val="20"/>
          <w:szCs w:val="20"/>
          <w:lang w:val="uk-UA"/>
        </w:rPr>
        <w:t xml:space="preserve"> BCG </w:t>
      </w:r>
      <w:proofErr w:type="spellStart"/>
      <w:r w:rsidRPr="00327E34">
        <w:rPr>
          <w:sz w:val="20"/>
          <w:szCs w:val="20"/>
          <w:lang w:val="uk-UA"/>
        </w:rPr>
        <w:t>vaccination</w:t>
      </w:r>
      <w:proofErr w:type="spellEnd"/>
      <w:r w:rsidRPr="00327E34">
        <w:rPr>
          <w:sz w:val="20"/>
          <w:szCs w:val="20"/>
          <w:lang w:val="uk-UA"/>
        </w:rPr>
        <w:t xml:space="preserve"> </w:t>
      </w:r>
      <w:proofErr w:type="spellStart"/>
      <w:r w:rsidRPr="00327E34">
        <w:rPr>
          <w:sz w:val="20"/>
          <w:szCs w:val="20"/>
          <w:lang w:val="uk-UA"/>
        </w:rPr>
        <w:t>policies</w:t>
      </w:r>
      <w:proofErr w:type="spellEnd"/>
      <w:r w:rsidRPr="00327E34">
        <w:rPr>
          <w:sz w:val="20"/>
          <w:szCs w:val="20"/>
          <w:lang w:val="uk-UA"/>
        </w:rPr>
        <w:t xml:space="preserve"> and </w:t>
      </w:r>
      <w:proofErr w:type="spellStart"/>
      <w:r w:rsidRPr="00327E34">
        <w:rPr>
          <w:sz w:val="20"/>
          <w:szCs w:val="20"/>
          <w:lang w:val="uk-UA"/>
        </w:rPr>
        <w:t>practices</w:t>
      </w:r>
      <w:proofErr w:type="spellEnd"/>
      <w:r w:rsidRPr="00327E34">
        <w:rPr>
          <w:sz w:val="20"/>
          <w:szCs w:val="20"/>
          <w:lang w:val="uk-UA"/>
        </w:rPr>
        <w:t>. PLoS Med. 2011;8(3):e1001012 (</w:t>
      </w:r>
      <w:hyperlink r:id="rId232">
        <w:r w:rsidRPr="00327E34">
          <w:rPr>
            <w:color w:val="019648"/>
            <w:sz w:val="20"/>
            <w:szCs w:val="20"/>
            <w:lang w:val="uk-UA"/>
          </w:rPr>
          <w:t>https://pubmed.</w:t>
        </w:r>
      </w:hyperlink>
      <w:r w:rsidRPr="00327E34">
        <w:rPr>
          <w:color w:val="019648"/>
          <w:sz w:val="20"/>
          <w:szCs w:val="20"/>
          <w:lang w:val="uk-UA"/>
        </w:rPr>
        <w:t xml:space="preserve"> </w:t>
      </w:r>
      <w:hyperlink r:id="rId233">
        <w:r w:rsidRPr="00327E34">
          <w:rPr>
            <w:color w:val="019648"/>
            <w:spacing w:val="-2"/>
            <w:sz w:val="20"/>
            <w:szCs w:val="20"/>
            <w:lang w:val="uk-UA"/>
          </w:rPr>
          <w:t>ncbi.nlm.nih.gov/21445325/</w:t>
        </w:r>
      </w:hyperlink>
      <w:r w:rsidRPr="00327E34">
        <w:rPr>
          <w:spacing w:val="-2"/>
          <w:sz w:val="20"/>
          <w:szCs w:val="20"/>
          <w:lang w:val="uk-UA"/>
        </w:rPr>
        <w:t>).</w:t>
      </w:r>
    </w:p>
    <w:p w14:paraId="157ABA1D" w14:textId="77777777" w:rsidR="00E05B98" w:rsidRPr="00327E34" w:rsidRDefault="00E05B98">
      <w:pPr>
        <w:pStyle w:val="a4"/>
        <w:spacing w:line="297" w:lineRule="auto"/>
        <w:rPr>
          <w:sz w:val="20"/>
          <w:szCs w:val="20"/>
          <w:lang w:val="uk-UA"/>
        </w:rPr>
        <w:sectPr w:rsidR="00E05B98" w:rsidRPr="00327E34">
          <w:pgSz w:w="11910" w:h="16840"/>
          <w:pgMar w:top="1320" w:right="1275" w:bottom="760" w:left="850" w:header="0" w:footer="573" w:gutter="0"/>
          <w:cols w:space="720"/>
        </w:sectPr>
      </w:pPr>
    </w:p>
    <w:p w14:paraId="20429ADE" w14:textId="77777777" w:rsidR="00E05B98" w:rsidRPr="003C6DAE" w:rsidRDefault="00B01E0C">
      <w:pPr>
        <w:pStyle w:val="a3"/>
        <w:rPr>
          <w:sz w:val="64"/>
          <w:lang w:val="uk-UA"/>
        </w:rPr>
      </w:pPr>
      <w:r w:rsidRPr="003C6DAE">
        <w:rPr>
          <w:noProof/>
          <w:sz w:val="64"/>
          <w:lang w:val="uk-UA"/>
        </w:rPr>
        <w:lastRenderedPageBreak/>
        <w:drawing>
          <wp:anchor distT="0" distB="0" distL="0" distR="0" simplePos="0" relativeHeight="481836544" behindDoc="1" locked="0" layoutInCell="1" allowOverlap="1" wp14:anchorId="237FF662" wp14:editId="2BF227F0">
            <wp:simplePos x="0" y="0"/>
            <wp:positionH relativeFrom="page">
              <wp:posOffset>1365</wp:posOffset>
            </wp:positionH>
            <wp:positionV relativeFrom="page">
              <wp:posOffset>0</wp:posOffset>
            </wp:positionV>
            <wp:extent cx="7558640" cy="1470902"/>
            <wp:effectExtent l="0" t="0" r="0" b="0"/>
            <wp:wrapNone/>
            <wp:docPr id="3059" name="Image 3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9" name="Image 3059"/>
                    <pic:cNvPicPr/>
                  </pic:nvPicPr>
                  <pic:blipFill>
                    <a:blip r:embed="rId31" cstate="print"/>
                    <a:stretch>
                      <a:fillRect/>
                    </a:stretch>
                  </pic:blipFill>
                  <pic:spPr>
                    <a:xfrm>
                      <a:off x="0" y="0"/>
                      <a:ext cx="7558640" cy="1470902"/>
                    </a:xfrm>
                    <a:prstGeom prst="rect">
                      <a:avLst/>
                    </a:prstGeom>
                  </pic:spPr>
                </pic:pic>
              </a:graphicData>
            </a:graphic>
          </wp:anchor>
        </w:drawing>
      </w:r>
    </w:p>
    <w:p w14:paraId="363BF032" w14:textId="77777777" w:rsidR="00E05B98" w:rsidRPr="003C6DAE" w:rsidRDefault="00E05B98">
      <w:pPr>
        <w:pStyle w:val="a3"/>
        <w:rPr>
          <w:sz w:val="64"/>
          <w:lang w:val="uk-UA"/>
        </w:rPr>
      </w:pPr>
    </w:p>
    <w:p w14:paraId="347A74D3" w14:textId="77777777" w:rsidR="00E05B98" w:rsidRPr="003C6DAE" w:rsidRDefault="00E05B98">
      <w:pPr>
        <w:pStyle w:val="a3"/>
        <w:spacing w:before="47"/>
        <w:rPr>
          <w:sz w:val="64"/>
          <w:lang w:val="uk-UA"/>
        </w:rPr>
      </w:pPr>
    </w:p>
    <w:p w14:paraId="58E08124" w14:textId="38A4FF7D" w:rsidR="00E05B98" w:rsidRPr="007826F2" w:rsidRDefault="007826F2" w:rsidP="007000AF">
      <w:pPr>
        <w:pStyle w:val="1"/>
        <w:spacing w:line="254" w:lineRule="auto"/>
        <w:ind w:right="142"/>
        <w:rPr>
          <w:rFonts w:ascii="Arial" w:hAnsi="Arial" w:cs="Arial"/>
          <w:sz w:val="56"/>
          <w:szCs w:val="56"/>
          <w:lang w:val="uk-UA"/>
        </w:rPr>
      </w:pPr>
      <w:bookmarkStart w:id="107" w:name="Annex_1._Guideline_development_methods"/>
      <w:bookmarkStart w:id="108" w:name="_bookmark54"/>
      <w:bookmarkEnd w:id="107"/>
      <w:bookmarkEnd w:id="108"/>
      <w:r w:rsidRPr="007826F2">
        <w:rPr>
          <w:rFonts w:ascii="Arial" w:hAnsi="Arial" w:cs="Arial"/>
          <w:color w:val="019648"/>
          <w:w w:val="105"/>
          <w:sz w:val="56"/>
          <w:szCs w:val="56"/>
          <w:lang w:val="uk-UA"/>
        </w:rPr>
        <w:t>Додаток</w:t>
      </w:r>
      <w:r w:rsidR="00B01E0C" w:rsidRPr="007826F2">
        <w:rPr>
          <w:rFonts w:ascii="Arial" w:hAnsi="Arial" w:cs="Arial"/>
          <w:color w:val="019648"/>
          <w:spacing w:val="-45"/>
          <w:w w:val="105"/>
          <w:sz w:val="56"/>
          <w:szCs w:val="56"/>
          <w:lang w:val="uk-UA"/>
        </w:rPr>
        <w:t xml:space="preserve"> </w:t>
      </w:r>
      <w:r w:rsidR="00B01E0C" w:rsidRPr="007826F2">
        <w:rPr>
          <w:rFonts w:ascii="Arial" w:hAnsi="Arial" w:cs="Arial"/>
          <w:color w:val="019648"/>
          <w:w w:val="105"/>
          <w:sz w:val="56"/>
          <w:szCs w:val="56"/>
          <w:lang w:val="uk-UA"/>
        </w:rPr>
        <w:t>1.</w:t>
      </w:r>
      <w:r w:rsidR="00B01E0C" w:rsidRPr="007826F2">
        <w:rPr>
          <w:rFonts w:ascii="Arial" w:hAnsi="Arial" w:cs="Arial"/>
          <w:color w:val="019648"/>
          <w:spacing w:val="-45"/>
          <w:w w:val="105"/>
          <w:sz w:val="56"/>
          <w:szCs w:val="56"/>
          <w:lang w:val="uk-UA"/>
        </w:rPr>
        <w:t xml:space="preserve"> </w:t>
      </w:r>
      <w:r w:rsidRPr="007826F2">
        <w:rPr>
          <w:rFonts w:ascii="Arial" w:hAnsi="Arial" w:cs="Arial"/>
          <w:color w:val="019648"/>
          <w:spacing w:val="-45"/>
          <w:w w:val="105"/>
          <w:sz w:val="56"/>
          <w:szCs w:val="56"/>
          <w:lang w:val="uk-UA"/>
        </w:rPr>
        <w:t xml:space="preserve">Методи розробки настанов </w:t>
      </w:r>
    </w:p>
    <w:p w14:paraId="37C72EA6" w14:textId="77777777" w:rsidR="00E05B98" w:rsidRPr="003C6DAE" w:rsidRDefault="00E05B98">
      <w:pPr>
        <w:pStyle w:val="a3"/>
        <w:spacing w:before="26"/>
        <w:rPr>
          <w:sz w:val="64"/>
          <w:lang w:val="uk-UA"/>
        </w:rPr>
      </w:pPr>
    </w:p>
    <w:p w14:paraId="6F5577B5" w14:textId="69C0C154" w:rsidR="00E05B98" w:rsidRPr="00B53F8E" w:rsidRDefault="00CC5E84">
      <w:pPr>
        <w:pStyle w:val="5"/>
        <w:rPr>
          <w:sz w:val="26"/>
          <w:szCs w:val="26"/>
          <w:lang w:val="uk-UA"/>
        </w:rPr>
      </w:pPr>
      <w:r w:rsidRPr="00CC5E84">
        <w:rPr>
          <w:color w:val="019648"/>
          <w:sz w:val="26"/>
          <w:szCs w:val="26"/>
          <w:lang w:val="uk-UA"/>
        </w:rPr>
        <w:t xml:space="preserve">Методи, </w:t>
      </w:r>
      <w:r w:rsidR="00E349B3">
        <w:rPr>
          <w:color w:val="019648"/>
          <w:sz w:val="26"/>
          <w:szCs w:val="26"/>
          <w:lang w:val="uk-UA"/>
        </w:rPr>
        <w:t>які</w:t>
      </w:r>
      <w:r w:rsidRPr="00CC5E84">
        <w:rPr>
          <w:color w:val="019648"/>
          <w:sz w:val="26"/>
          <w:szCs w:val="26"/>
          <w:lang w:val="uk-UA"/>
        </w:rPr>
        <w:t xml:space="preserve"> використовуються для розробки настанов</w:t>
      </w:r>
      <w:r>
        <w:rPr>
          <w:color w:val="019648"/>
          <w:sz w:val="26"/>
          <w:szCs w:val="26"/>
          <w:lang w:val="uk-UA"/>
        </w:rPr>
        <w:t xml:space="preserve"> </w:t>
      </w:r>
      <w:r w:rsidRPr="00CC5E84">
        <w:rPr>
          <w:color w:val="019648"/>
          <w:sz w:val="26"/>
          <w:szCs w:val="26"/>
          <w:lang w:val="uk-UA"/>
        </w:rPr>
        <w:t>Всесвітньої організації охорони здоров'я</w:t>
      </w:r>
    </w:p>
    <w:p w14:paraId="3CDE600D" w14:textId="31FAA2F5" w:rsidR="00E05B98" w:rsidRPr="00B53F8E" w:rsidRDefault="00B904F8">
      <w:pPr>
        <w:pStyle w:val="a3"/>
        <w:spacing w:before="219" w:line="297" w:lineRule="auto"/>
        <w:ind w:left="567" w:right="138"/>
        <w:jc w:val="both"/>
        <w:rPr>
          <w:sz w:val="20"/>
          <w:szCs w:val="20"/>
          <w:lang w:val="uk-UA"/>
        </w:rPr>
      </w:pPr>
      <w:r w:rsidRPr="00B904F8">
        <w:rPr>
          <w:sz w:val="20"/>
          <w:szCs w:val="20"/>
          <w:lang w:val="uk-UA"/>
        </w:rPr>
        <w:t xml:space="preserve">Для розробки нових або оновлення існуючих настанов щодо методів та інструментів діагностики туберкульозу (ТБ) Глобальна програма </w:t>
      </w:r>
      <w:r w:rsidR="006B4A58">
        <w:rPr>
          <w:sz w:val="20"/>
          <w:szCs w:val="20"/>
          <w:lang w:val="uk-UA"/>
        </w:rPr>
        <w:t xml:space="preserve">із </w:t>
      </w:r>
      <w:r w:rsidRPr="00B904F8">
        <w:rPr>
          <w:sz w:val="20"/>
          <w:szCs w:val="20"/>
          <w:lang w:val="uk-UA"/>
        </w:rPr>
        <w:t xml:space="preserve">боротьби з туберкульозом Всесвітньої організації охорони здоров'я (ВООЗ) замовляє проведення систематичних оглядів ефективності або використання відповідного інструменту чи методу. Систематичний огляд представляє собою стислий виклад поточної літератури, в якій розглядаються питання точності діагностики або аспектів, пов'язаних з користувачем, для діагностики ТБ або виявлення стійкості до протитуберкульозних препаратів у дорослих або дітей (або у тих </w:t>
      </w:r>
      <w:r w:rsidR="006B4A58">
        <w:rPr>
          <w:sz w:val="20"/>
          <w:szCs w:val="20"/>
          <w:lang w:val="uk-UA"/>
        </w:rPr>
        <w:t>й</w:t>
      </w:r>
      <w:r w:rsidRPr="00B904F8">
        <w:rPr>
          <w:sz w:val="20"/>
          <w:szCs w:val="20"/>
          <w:lang w:val="uk-UA"/>
        </w:rPr>
        <w:t xml:space="preserve"> інших) з ознаками та симптомами ТБ.</w:t>
      </w:r>
    </w:p>
    <w:p w14:paraId="3A17B1F5" w14:textId="2D4112C4" w:rsidR="00E05B98" w:rsidRPr="00B53F8E" w:rsidRDefault="00066F90">
      <w:pPr>
        <w:pStyle w:val="a3"/>
        <w:spacing w:before="177" w:line="297" w:lineRule="auto"/>
        <w:ind w:left="567" w:right="138"/>
        <w:jc w:val="both"/>
        <w:rPr>
          <w:sz w:val="20"/>
          <w:szCs w:val="20"/>
          <w:lang w:val="uk-UA"/>
        </w:rPr>
      </w:pPr>
      <w:r w:rsidRPr="00066F90">
        <w:rPr>
          <w:sz w:val="20"/>
          <w:szCs w:val="20"/>
          <w:lang w:val="uk-UA"/>
        </w:rPr>
        <w:t>Достовірність доказів оцінюється послідовно для задокументованих доказів із застосуванням підходу GRADE (градація оцінки, розробки та а</w:t>
      </w:r>
      <w:r w:rsidR="006B4A58">
        <w:rPr>
          <w:sz w:val="20"/>
          <w:szCs w:val="20"/>
          <w:lang w:val="uk-UA"/>
        </w:rPr>
        <w:t>н</w:t>
      </w:r>
      <w:r w:rsidRPr="00066F90">
        <w:rPr>
          <w:sz w:val="20"/>
          <w:szCs w:val="20"/>
          <w:lang w:val="uk-UA"/>
        </w:rPr>
        <w:t xml:space="preserve">алізу рекомендацій). GRADE дає загальну оцінку якості (або достовірності) доказів і основу для </w:t>
      </w:r>
      <w:r w:rsidR="00141D6F">
        <w:rPr>
          <w:sz w:val="20"/>
          <w:szCs w:val="20"/>
          <w:lang w:val="uk-UA"/>
        </w:rPr>
        <w:t>трансформації</w:t>
      </w:r>
      <w:r w:rsidRPr="00066F90">
        <w:rPr>
          <w:sz w:val="20"/>
          <w:szCs w:val="20"/>
          <w:lang w:val="uk-UA"/>
        </w:rPr>
        <w:t xml:space="preserve"> доказів у рекомендації. Достовірність доказів оцінюється як висока, помірна, низька або дуже низька. Ці чотири категорії означають градієнт довіри до оцінок. Навіть якщо дослідження діагностичної точності має обсерваційний дизайн, воно спочатку буде вважатися доказом високої якості за підходом GRADE</w:t>
      </w:r>
      <w:r w:rsidR="00B01E0C" w:rsidRPr="00B53F8E">
        <w:rPr>
          <w:sz w:val="20"/>
          <w:szCs w:val="20"/>
          <w:lang w:val="uk-UA"/>
        </w:rPr>
        <w:t xml:space="preserve"> </w:t>
      </w:r>
      <w:r w:rsidR="00B01E0C" w:rsidRPr="00B53F8E">
        <w:rPr>
          <w:rFonts w:ascii="Arial"/>
          <w:i/>
          <w:sz w:val="20"/>
          <w:szCs w:val="20"/>
          <w:lang w:val="uk-UA"/>
        </w:rPr>
        <w:t>(1)</w:t>
      </w:r>
      <w:r w:rsidR="00B01E0C" w:rsidRPr="00B53F8E">
        <w:rPr>
          <w:sz w:val="20"/>
          <w:szCs w:val="20"/>
          <w:lang w:val="uk-UA"/>
        </w:rPr>
        <w:t>.</w:t>
      </w:r>
    </w:p>
    <w:p w14:paraId="3A12D8AC" w14:textId="67BFC01D" w:rsidR="00E05B98" w:rsidRPr="00B53F8E" w:rsidRDefault="00051100">
      <w:pPr>
        <w:pStyle w:val="a3"/>
        <w:spacing w:before="174" w:line="297" w:lineRule="auto"/>
        <w:ind w:left="567" w:right="134"/>
        <w:jc w:val="both"/>
        <w:rPr>
          <w:sz w:val="20"/>
          <w:szCs w:val="20"/>
          <w:lang w:val="uk-UA"/>
        </w:rPr>
      </w:pPr>
      <w:r w:rsidRPr="00051100">
        <w:rPr>
          <w:spacing w:val="-4"/>
          <w:sz w:val="20"/>
          <w:szCs w:val="20"/>
          <w:lang w:val="uk-UA"/>
        </w:rPr>
        <w:t>Крім того, Глобальна програма ВООЗ із боротьби з ТБ замовляє систематичні огляди для збору доказів у сфері використання ресурсів (тобто вартості та економічної ефективності), а також поглядів кінцевих споживачів на конкретні діагностичні тести або інтервенції. Цей процес переходу від доказової бази до рекомендацій буде інформувати про такі області, як можливість реалізації, доступність, справедливість та цінності для кінцевого споживача.</w:t>
      </w:r>
    </w:p>
    <w:p w14:paraId="000F2211" w14:textId="6D6CD144" w:rsidR="00E05B98" w:rsidRPr="00B53F8E" w:rsidRDefault="008B24D7">
      <w:pPr>
        <w:pStyle w:val="a3"/>
        <w:spacing w:before="175" w:line="297" w:lineRule="auto"/>
        <w:ind w:left="567" w:right="135"/>
        <w:jc w:val="both"/>
        <w:rPr>
          <w:sz w:val="20"/>
          <w:szCs w:val="20"/>
          <w:lang w:val="uk-UA"/>
        </w:rPr>
      </w:pPr>
      <w:r w:rsidRPr="008B24D7">
        <w:rPr>
          <w:spacing w:val="-2"/>
          <w:sz w:val="20"/>
          <w:szCs w:val="20"/>
          <w:lang w:val="uk-UA"/>
        </w:rPr>
        <w:t>Якщо  систематичні огляди доказових даних недоступні або їх недостатньо, можна змоделювати потенційні подальші наслідки як для точності діагностики, так і для вартості та економічної ефективності. Наприклад, поширеність захворювання, що розглядається, в поєднанні з чутливістю та специфічністю певного тесту можна використовувати для оцінки кількості хибнопозитивних та хибнонегативних результатів у популяції</w:t>
      </w:r>
      <w:r w:rsidR="00B01E0C" w:rsidRPr="00B53F8E">
        <w:rPr>
          <w:sz w:val="20"/>
          <w:szCs w:val="20"/>
          <w:lang w:val="uk-UA"/>
        </w:rPr>
        <w:t xml:space="preserve">. </w:t>
      </w:r>
      <w:r w:rsidR="00430D65" w:rsidRPr="00430D65">
        <w:rPr>
          <w:sz w:val="20"/>
          <w:szCs w:val="20"/>
          <w:lang w:val="uk-UA"/>
        </w:rPr>
        <w:t xml:space="preserve">Аналогічним чином, дані про витрати та співвідношення </w:t>
      </w:r>
      <w:r w:rsidR="00AB60F3">
        <w:rPr>
          <w:sz w:val="20"/>
          <w:szCs w:val="20"/>
          <w:lang w:val="uk-UA"/>
        </w:rPr>
        <w:t>«</w:t>
      </w:r>
      <w:r w:rsidR="00430D65" w:rsidRPr="00430D65">
        <w:rPr>
          <w:sz w:val="20"/>
          <w:szCs w:val="20"/>
          <w:lang w:val="uk-UA"/>
        </w:rPr>
        <w:t>витрати-ефективність</w:t>
      </w:r>
      <w:r w:rsidR="00AB60F3">
        <w:rPr>
          <w:sz w:val="20"/>
          <w:szCs w:val="20"/>
          <w:lang w:val="uk-UA"/>
        </w:rPr>
        <w:t>»</w:t>
      </w:r>
      <w:r w:rsidR="00430D65" w:rsidRPr="00430D65">
        <w:rPr>
          <w:sz w:val="20"/>
          <w:szCs w:val="20"/>
          <w:lang w:val="uk-UA"/>
        </w:rPr>
        <w:t xml:space="preserve"> можуть бути оцінені та змодельовані на основі економічних та епідеміологічних даних. Нарешті, якісні доказові дані стосовно </w:t>
      </w:r>
      <w:r w:rsidR="00F77630">
        <w:rPr>
          <w:sz w:val="20"/>
          <w:szCs w:val="20"/>
          <w:lang w:val="uk-UA"/>
        </w:rPr>
        <w:t>поглядів</w:t>
      </w:r>
      <w:r w:rsidR="00430D65" w:rsidRPr="00430D65">
        <w:rPr>
          <w:sz w:val="20"/>
          <w:szCs w:val="20"/>
          <w:lang w:val="uk-UA"/>
        </w:rPr>
        <w:t xml:space="preserve"> кінцевого користувача </w:t>
      </w:r>
      <w:r w:rsidR="00F77630">
        <w:rPr>
          <w:sz w:val="20"/>
          <w:szCs w:val="20"/>
          <w:lang w:val="uk-UA"/>
        </w:rPr>
        <w:t xml:space="preserve">на </w:t>
      </w:r>
      <w:r w:rsidR="00430D65" w:rsidRPr="00430D65">
        <w:rPr>
          <w:sz w:val="20"/>
          <w:szCs w:val="20"/>
          <w:lang w:val="uk-UA"/>
        </w:rPr>
        <w:t>використання певного тесту можна отримати шляхом проведення інтерв'ю з кінцевими користувачами за недостатньої кількості даних у відкритому доступі.</w:t>
      </w:r>
    </w:p>
    <w:p w14:paraId="5F9AA903" w14:textId="07F4BBBF" w:rsidR="00E05B98" w:rsidRPr="00B53F8E" w:rsidRDefault="00430D65">
      <w:pPr>
        <w:pStyle w:val="a3"/>
        <w:spacing w:before="180" w:line="297" w:lineRule="auto"/>
        <w:ind w:left="567" w:right="134"/>
        <w:jc w:val="both"/>
        <w:rPr>
          <w:sz w:val="20"/>
          <w:szCs w:val="20"/>
          <w:lang w:val="uk-UA"/>
        </w:rPr>
      </w:pPr>
      <w:r w:rsidRPr="00430D65">
        <w:rPr>
          <w:sz w:val="20"/>
          <w:szCs w:val="20"/>
          <w:lang w:val="uk-UA"/>
        </w:rPr>
        <w:t xml:space="preserve">Після проведення систематичного огляду Глобальна програма ВООЗ із боротьби з ТБ скликає засідання Групи з розробки настанов (ГРН) для аналізу зібраних доказів. До складу ГРН входять зовнішні експерти, основним завданням яких є розробка рекомендацій на основі доказів. ГРН також виконує важливе завдання щодо остаточного визначення сфери застосування </w:t>
      </w:r>
      <w:r w:rsidR="00F77630">
        <w:rPr>
          <w:sz w:val="20"/>
          <w:szCs w:val="20"/>
          <w:lang w:val="uk-UA"/>
        </w:rPr>
        <w:t xml:space="preserve">настанови </w:t>
      </w:r>
      <w:r w:rsidRPr="00430D65">
        <w:rPr>
          <w:sz w:val="20"/>
          <w:szCs w:val="20"/>
          <w:lang w:val="uk-UA"/>
        </w:rPr>
        <w:t xml:space="preserve">та ключових </w:t>
      </w:r>
      <w:r w:rsidR="00F77630">
        <w:rPr>
          <w:sz w:val="20"/>
          <w:szCs w:val="20"/>
          <w:lang w:val="uk-UA"/>
        </w:rPr>
        <w:t>за</w:t>
      </w:r>
      <w:r w:rsidRPr="00430D65">
        <w:rPr>
          <w:sz w:val="20"/>
          <w:szCs w:val="20"/>
          <w:lang w:val="uk-UA"/>
        </w:rPr>
        <w:t xml:space="preserve">питань PICO (тобто популяція, інтервенція, </w:t>
      </w:r>
      <w:r>
        <w:rPr>
          <w:sz w:val="20"/>
          <w:szCs w:val="20"/>
          <w:lang w:val="uk-UA"/>
        </w:rPr>
        <w:t>порівняння</w:t>
      </w:r>
      <w:r w:rsidR="00F77630">
        <w:rPr>
          <w:sz w:val="20"/>
          <w:szCs w:val="20"/>
          <w:lang w:val="uk-UA"/>
        </w:rPr>
        <w:t xml:space="preserve"> (компаратор</w:t>
      </w:r>
      <w:r>
        <w:rPr>
          <w:sz w:val="20"/>
          <w:szCs w:val="20"/>
          <w:lang w:val="uk-UA"/>
        </w:rPr>
        <w:t>)</w:t>
      </w:r>
      <w:r w:rsidRPr="00430D65">
        <w:rPr>
          <w:sz w:val="20"/>
          <w:szCs w:val="20"/>
          <w:lang w:val="uk-UA"/>
        </w:rPr>
        <w:t xml:space="preserve"> та результати)</w:t>
      </w:r>
      <w:r w:rsidR="00B01E0C" w:rsidRPr="00B53F8E">
        <w:rPr>
          <w:sz w:val="20"/>
          <w:szCs w:val="20"/>
          <w:lang w:val="uk-UA"/>
        </w:rPr>
        <w:t>.</w:t>
      </w:r>
    </w:p>
    <w:p w14:paraId="4B52B2D4" w14:textId="77777777" w:rsidR="00E05B98" w:rsidRPr="00B53F8E" w:rsidRDefault="00E05B98">
      <w:pPr>
        <w:pStyle w:val="a3"/>
        <w:spacing w:line="297" w:lineRule="auto"/>
        <w:jc w:val="both"/>
        <w:rPr>
          <w:sz w:val="20"/>
          <w:szCs w:val="20"/>
          <w:lang w:val="uk-UA"/>
        </w:rPr>
        <w:sectPr w:rsidR="00E05B98" w:rsidRPr="00B53F8E" w:rsidSect="00B53F8E">
          <w:footerReference w:type="even" r:id="rId234"/>
          <w:footerReference w:type="default" r:id="rId235"/>
          <w:pgSz w:w="11910" w:h="16840"/>
          <w:pgMar w:top="0" w:right="995" w:bottom="760" w:left="850" w:header="0" w:footer="573" w:gutter="0"/>
          <w:pgNumType w:start="149"/>
          <w:cols w:space="720"/>
        </w:sectPr>
      </w:pPr>
    </w:p>
    <w:p w14:paraId="3EA35538" w14:textId="7C60A372" w:rsidR="00E05B98" w:rsidRPr="00B53F8E" w:rsidRDefault="005E0387">
      <w:pPr>
        <w:pStyle w:val="a3"/>
        <w:spacing w:before="52" w:line="297" w:lineRule="auto"/>
        <w:ind w:left="567" w:right="133"/>
        <w:jc w:val="both"/>
        <w:rPr>
          <w:sz w:val="20"/>
          <w:szCs w:val="20"/>
          <w:lang w:val="uk-UA"/>
        </w:rPr>
      </w:pPr>
      <w:r w:rsidRPr="005E0387">
        <w:rPr>
          <w:spacing w:val="-2"/>
          <w:sz w:val="20"/>
          <w:szCs w:val="20"/>
          <w:lang w:val="uk-UA"/>
        </w:rPr>
        <w:lastRenderedPageBreak/>
        <w:t xml:space="preserve">Цю групу слід створити на ранньому етапі процесу розробки настанови, після того, як Керівна група визначить загальну сферу застосування </w:t>
      </w:r>
      <w:r w:rsidR="00F77630">
        <w:rPr>
          <w:spacing w:val="-2"/>
          <w:sz w:val="20"/>
          <w:szCs w:val="20"/>
          <w:lang w:val="uk-UA"/>
        </w:rPr>
        <w:t xml:space="preserve">настанови </w:t>
      </w:r>
      <w:r w:rsidRPr="005E0387">
        <w:rPr>
          <w:spacing w:val="-2"/>
          <w:sz w:val="20"/>
          <w:szCs w:val="20"/>
          <w:lang w:val="uk-UA"/>
        </w:rPr>
        <w:t xml:space="preserve">та цільову авдиторію, а також почне формулювання ключових </w:t>
      </w:r>
      <w:r w:rsidR="00F77630">
        <w:rPr>
          <w:spacing w:val="-2"/>
          <w:sz w:val="20"/>
          <w:szCs w:val="20"/>
          <w:lang w:val="uk-UA"/>
        </w:rPr>
        <w:t>за</w:t>
      </w:r>
      <w:r w:rsidRPr="005E0387">
        <w:rPr>
          <w:spacing w:val="-2"/>
          <w:sz w:val="20"/>
          <w:szCs w:val="20"/>
          <w:lang w:val="uk-UA"/>
        </w:rPr>
        <w:t>питань. До складу ГРН повинні входити відповідні технічні експерти; кінцеві користувачі, такі як керівники програм і медичні працівники, які будуть приймати, адаптувати і впроваджувати настанову; представники груп, на які найбільше вплинуть рекомендації настанови, наприклад, користувачі послуг і представники соціально незахищених груп населення; експерти з оцінки доказів і розробки настанов, заснованих на доказах; а також інші технічні експерти за необхідності (наприклад, економіст з питань охорони здоров'я або експерт з питань справедливості, прав людини та гендеру).</w:t>
      </w:r>
    </w:p>
    <w:p w14:paraId="1B0915E5" w14:textId="3D86A8E6" w:rsidR="00E05B98" w:rsidRPr="00B53F8E" w:rsidRDefault="0017606E">
      <w:pPr>
        <w:pStyle w:val="a3"/>
        <w:spacing w:before="180" w:line="297" w:lineRule="auto"/>
        <w:ind w:left="567" w:right="136"/>
        <w:jc w:val="both"/>
        <w:rPr>
          <w:sz w:val="20"/>
          <w:szCs w:val="20"/>
          <w:lang w:val="uk-UA"/>
        </w:rPr>
      </w:pPr>
      <w:r w:rsidRPr="0017606E">
        <w:rPr>
          <w:spacing w:val="-2"/>
          <w:sz w:val="20"/>
          <w:szCs w:val="20"/>
          <w:lang w:val="uk-UA"/>
        </w:rPr>
        <w:t xml:space="preserve">Процес розробки рекомендацій </w:t>
      </w:r>
      <w:r w:rsidR="00F77630">
        <w:rPr>
          <w:spacing w:val="-2"/>
          <w:sz w:val="20"/>
          <w:szCs w:val="20"/>
          <w:lang w:val="uk-UA"/>
        </w:rPr>
        <w:t>ґ</w:t>
      </w:r>
      <w:r w:rsidRPr="0017606E">
        <w:rPr>
          <w:spacing w:val="-2"/>
          <w:sz w:val="20"/>
          <w:szCs w:val="20"/>
          <w:lang w:val="uk-UA"/>
        </w:rPr>
        <w:t xml:space="preserve">рунтується на консенсусі серед членів ГРН, де це можливо. Якщо не вдається досягти консенсусу, проводиться голосування. Коли проєкт рекомендацій розробляє </w:t>
      </w:r>
      <w:r w:rsidR="00F77630">
        <w:rPr>
          <w:spacing w:val="-2"/>
          <w:sz w:val="20"/>
          <w:szCs w:val="20"/>
          <w:lang w:val="uk-UA"/>
        </w:rPr>
        <w:t>К</w:t>
      </w:r>
      <w:r w:rsidRPr="0017606E">
        <w:rPr>
          <w:spacing w:val="-2"/>
          <w:sz w:val="20"/>
          <w:szCs w:val="20"/>
          <w:lang w:val="uk-UA"/>
        </w:rPr>
        <w:t>ерівни</w:t>
      </w:r>
      <w:r w:rsidR="00F77630">
        <w:rPr>
          <w:spacing w:val="-2"/>
          <w:sz w:val="20"/>
          <w:szCs w:val="20"/>
          <w:lang w:val="uk-UA"/>
        </w:rPr>
        <w:t>й</w:t>
      </w:r>
      <w:r w:rsidRPr="0017606E">
        <w:rPr>
          <w:spacing w:val="-2"/>
          <w:sz w:val="20"/>
          <w:szCs w:val="20"/>
          <w:lang w:val="uk-UA"/>
        </w:rPr>
        <w:t xml:space="preserve"> комітет ВООЗ, спочатку проєкт  розглядають члени ГРН, а згодом Зовнішня група е</w:t>
      </w:r>
      <w:r w:rsidR="00F77630">
        <w:rPr>
          <w:spacing w:val="-2"/>
          <w:sz w:val="20"/>
          <w:szCs w:val="20"/>
          <w:lang w:val="uk-UA"/>
        </w:rPr>
        <w:t>к</w:t>
      </w:r>
      <w:r w:rsidRPr="0017606E">
        <w:rPr>
          <w:spacing w:val="-2"/>
          <w:sz w:val="20"/>
          <w:szCs w:val="20"/>
          <w:lang w:val="uk-UA"/>
        </w:rPr>
        <w:t xml:space="preserve">спертів (ERG). Зовнішня група експертів складається з осіб, зацікавлених у даній </w:t>
      </w:r>
      <w:r w:rsidR="00F77630">
        <w:rPr>
          <w:spacing w:val="-2"/>
          <w:sz w:val="20"/>
          <w:szCs w:val="20"/>
          <w:lang w:val="uk-UA"/>
        </w:rPr>
        <w:t>проблематиці</w:t>
      </w:r>
      <w:r w:rsidRPr="0017606E">
        <w:rPr>
          <w:spacing w:val="-2"/>
          <w:sz w:val="20"/>
          <w:szCs w:val="20"/>
          <w:lang w:val="uk-UA"/>
        </w:rPr>
        <w:t>, і може включати ті ж категорії спеціалістів, що й ГРН. Коли ERG розглядає остаточний варіант настанови, її роль полягає у виявленні будь-яких помилок або відсутніх даних, а також у наданні коментарів стосовно чіткості</w:t>
      </w:r>
      <w:r w:rsidR="00F77630">
        <w:rPr>
          <w:spacing w:val="-2"/>
          <w:sz w:val="20"/>
          <w:szCs w:val="20"/>
          <w:lang w:val="uk-UA"/>
        </w:rPr>
        <w:t xml:space="preserve"> викладу</w:t>
      </w:r>
      <w:r w:rsidRPr="0017606E">
        <w:rPr>
          <w:spacing w:val="-2"/>
          <w:sz w:val="20"/>
          <w:szCs w:val="20"/>
          <w:lang w:val="uk-UA"/>
        </w:rPr>
        <w:t>, умов</w:t>
      </w:r>
      <w:r w:rsidR="00F77630">
        <w:rPr>
          <w:spacing w:val="-2"/>
          <w:sz w:val="20"/>
          <w:szCs w:val="20"/>
          <w:lang w:val="uk-UA"/>
        </w:rPr>
        <w:t xml:space="preserve"> впровадження</w:t>
      </w:r>
      <w:r w:rsidRPr="0017606E">
        <w:rPr>
          <w:spacing w:val="-2"/>
          <w:sz w:val="20"/>
          <w:szCs w:val="20"/>
          <w:lang w:val="uk-UA"/>
        </w:rPr>
        <w:t>,</w:t>
      </w:r>
      <w:r w:rsidR="00F77630">
        <w:rPr>
          <w:spacing w:val="-2"/>
          <w:sz w:val="20"/>
          <w:szCs w:val="20"/>
          <w:lang w:val="uk-UA"/>
        </w:rPr>
        <w:t xml:space="preserve"> </w:t>
      </w:r>
      <w:r w:rsidRPr="0017606E">
        <w:rPr>
          <w:spacing w:val="-2"/>
          <w:sz w:val="20"/>
          <w:szCs w:val="20"/>
          <w:lang w:val="uk-UA"/>
        </w:rPr>
        <w:t xml:space="preserve">конкретних </w:t>
      </w:r>
      <w:r w:rsidR="00F77630">
        <w:rPr>
          <w:spacing w:val="-2"/>
          <w:sz w:val="20"/>
          <w:szCs w:val="20"/>
          <w:lang w:val="uk-UA"/>
        </w:rPr>
        <w:t>питань</w:t>
      </w:r>
      <w:r w:rsidRPr="0017606E">
        <w:rPr>
          <w:spacing w:val="-2"/>
          <w:sz w:val="20"/>
          <w:szCs w:val="20"/>
          <w:lang w:val="uk-UA"/>
        </w:rPr>
        <w:t xml:space="preserve"> і наслідків для реалізації настанови, а не у зміні рекомендацій, сформульованих ГРН</w:t>
      </w:r>
      <w:r w:rsidR="00B01E0C" w:rsidRPr="00B53F8E">
        <w:rPr>
          <w:sz w:val="20"/>
          <w:szCs w:val="20"/>
          <w:lang w:val="uk-UA"/>
        </w:rPr>
        <w:t xml:space="preserve"> </w:t>
      </w:r>
      <w:r w:rsidR="00B01E0C" w:rsidRPr="00B53F8E">
        <w:rPr>
          <w:rFonts w:ascii="Arial" w:hAnsi="Arial"/>
          <w:i/>
          <w:sz w:val="20"/>
          <w:szCs w:val="20"/>
          <w:lang w:val="uk-UA"/>
        </w:rPr>
        <w:t>(2)</w:t>
      </w:r>
      <w:r w:rsidR="00B01E0C" w:rsidRPr="00B53F8E">
        <w:rPr>
          <w:sz w:val="20"/>
          <w:szCs w:val="20"/>
          <w:lang w:val="uk-UA"/>
        </w:rPr>
        <w:t>.</w:t>
      </w:r>
    </w:p>
    <w:p w14:paraId="4699AFC8" w14:textId="28F6A5D8" w:rsidR="00E05B98" w:rsidRPr="00B53F8E" w:rsidRDefault="0017606E">
      <w:pPr>
        <w:pStyle w:val="5"/>
        <w:spacing w:before="203"/>
        <w:jc w:val="both"/>
        <w:rPr>
          <w:sz w:val="26"/>
          <w:szCs w:val="26"/>
          <w:lang w:val="uk-UA"/>
        </w:rPr>
      </w:pPr>
      <w:r>
        <w:rPr>
          <w:color w:val="019648"/>
          <w:w w:val="110"/>
          <w:sz w:val="26"/>
          <w:szCs w:val="26"/>
          <w:lang w:val="uk-UA"/>
        </w:rPr>
        <w:t>Формулювання рекомендацій</w:t>
      </w:r>
    </w:p>
    <w:p w14:paraId="10F97156" w14:textId="2C7D2EB6" w:rsidR="00E05B98" w:rsidRPr="00B53F8E" w:rsidRDefault="00575157" w:rsidP="00B53F8E">
      <w:pPr>
        <w:pStyle w:val="a3"/>
        <w:spacing w:before="218" w:line="297" w:lineRule="auto"/>
        <w:ind w:left="567" w:right="137"/>
        <w:jc w:val="both"/>
        <w:rPr>
          <w:sz w:val="20"/>
          <w:szCs w:val="20"/>
          <w:lang w:val="uk-UA"/>
        </w:rPr>
      </w:pPr>
      <w:r w:rsidRPr="00575157">
        <w:rPr>
          <w:spacing w:val="-6"/>
          <w:sz w:val="20"/>
          <w:szCs w:val="20"/>
          <w:lang w:val="uk-UA"/>
        </w:rPr>
        <w:t>Доказові дані синтезуються та представляються в таблицях доказів GRADE. Концептуальна схема «від доказів до прийняття рішення» (EtD) використовується згодом для полегшення розгляду доказів та розробки рекомендацій у структурований та прозорий спосіб. Зрештою, розробку рекомендацій здійснюють на основі консенсусу серед членів ГРН, де це можливо. Якщо неможливо досягти консенсусу, відбувається голосування. Рішення щодо спрямування та сили рекомендацій також приймаються з використанням концептуальної схеми «від доказів до прийняття рішення»</w:t>
      </w:r>
      <w:r>
        <w:rPr>
          <w:spacing w:val="-6"/>
          <w:sz w:val="20"/>
          <w:szCs w:val="20"/>
          <w:lang w:val="uk-UA"/>
        </w:rPr>
        <w:t>.</w:t>
      </w:r>
    </w:p>
    <w:p w14:paraId="4C7DB660" w14:textId="29578692" w:rsidR="00E05B98" w:rsidRPr="00B53F8E" w:rsidRDefault="00575157" w:rsidP="00B53F8E">
      <w:pPr>
        <w:pStyle w:val="a3"/>
        <w:spacing w:before="148"/>
        <w:ind w:left="567" w:right="137"/>
        <w:jc w:val="both"/>
        <w:rPr>
          <w:sz w:val="20"/>
          <w:szCs w:val="20"/>
          <w:lang w:val="uk-UA"/>
        </w:rPr>
      </w:pPr>
      <w:r w:rsidRPr="00575157">
        <w:rPr>
          <w:sz w:val="20"/>
          <w:szCs w:val="20"/>
          <w:lang w:val="uk-UA"/>
        </w:rPr>
        <w:t>Фактори, що вплинули на спрямованість та силу рекомендації в цій настанові:</w:t>
      </w:r>
    </w:p>
    <w:p w14:paraId="46CDAEDD" w14:textId="77777777" w:rsidR="00575157" w:rsidRPr="00575157" w:rsidRDefault="00575157" w:rsidP="00575157">
      <w:pPr>
        <w:pStyle w:val="a4"/>
        <w:numPr>
          <w:ilvl w:val="0"/>
          <w:numId w:val="4"/>
        </w:numPr>
        <w:tabs>
          <w:tab w:val="left" w:pos="850"/>
        </w:tabs>
        <w:ind w:right="137"/>
        <w:rPr>
          <w:w w:val="105"/>
          <w:sz w:val="20"/>
          <w:szCs w:val="20"/>
          <w:lang w:val="uk-UA"/>
        </w:rPr>
      </w:pPr>
      <w:r w:rsidRPr="00575157">
        <w:rPr>
          <w:w w:val="105"/>
          <w:sz w:val="20"/>
          <w:szCs w:val="20"/>
          <w:lang w:val="uk-UA"/>
        </w:rPr>
        <w:t>пріоритет проблеми;</w:t>
      </w:r>
    </w:p>
    <w:p w14:paraId="5BBA1C11" w14:textId="027816E6" w:rsidR="00575157" w:rsidRPr="00575157" w:rsidRDefault="00575157" w:rsidP="00575157">
      <w:pPr>
        <w:pStyle w:val="a4"/>
        <w:numPr>
          <w:ilvl w:val="0"/>
          <w:numId w:val="4"/>
        </w:numPr>
        <w:tabs>
          <w:tab w:val="left" w:pos="850"/>
        </w:tabs>
        <w:ind w:right="137"/>
        <w:rPr>
          <w:w w:val="105"/>
          <w:sz w:val="20"/>
          <w:szCs w:val="20"/>
          <w:lang w:val="uk-UA"/>
        </w:rPr>
      </w:pPr>
      <w:r w:rsidRPr="00575157">
        <w:rPr>
          <w:w w:val="105"/>
          <w:sz w:val="20"/>
          <w:szCs w:val="20"/>
          <w:lang w:val="uk-UA"/>
        </w:rPr>
        <w:t>точність тесту;</w:t>
      </w:r>
    </w:p>
    <w:p w14:paraId="0DD39278" w14:textId="54132C54" w:rsidR="00575157" w:rsidRPr="00575157" w:rsidRDefault="00575157" w:rsidP="00575157">
      <w:pPr>
        <w:pStyle w:val="a4"/>
        <w:numPr>
          <w:ilvl w:val="0"/>
          <w:numId w:val="4"/>
        </w:numPr>
        <w:tabs>
          <w:tab w:val="left" w:pos="850"/>
        </w:tabs>
        <w:ind w:right="137"/>
        <w:rPr>
          <w:w w:val="105"/>
          <w:sz w:val="20"/>
          <w:szCs w:val="20"/>
          <w:lang w:val="uk-UA"/>
        </w:rPr>
      </w:pPr>
      <w:r w:rsidRPr="00575157">
        <w:rPr>
          <w:w w:val="105"/>
          <w:sz w:val="20"/>
          <w:szCs w:val="20"/>
          <w:lang w:val="uk-UA"/>
        </w:rPr>
        <w:t>баланс між бажаними та небажаними ефектами;</w:t>
      </w:r>
    </w:p>
    <w:p w14:paraId="25377ACC" w14:textId="47933013" w:rsidR="00E05B98" w:rsidRPr="00B53F8E" w:rsidRDefault="00575157" w:rsidP="00575157">
      <w:pPr>
        <w:pStyle w:val="a4"/>
        <w:numPr>
          <w:ilvl w:val="0"/>
          <w:numId w:val="4"/>
        </w:numPr>
        <w:tabs>
          <w:tab w:val="left" w:pos="850"/>
        </w:tabs>
        <w:ind w:right="137"/>
        <w:jc w:val="left"/>
        <w:rPr>
          <w:sz w:val="20"/>
          <w:szCs w:val="20"/>
          <w:lang w:val="uk-UA"/>
        </w:rPr>
      </w:pPr>
      <w:r>
        <w:rPr>
          <w:w w:val="105"/>
          <w:sz w:val="20"/>
          <w:szCs w:val="20"/>
          <w:lang w:val="uk-UA"/>
        </w:rPr>
        <w:t>достовірність</w:t>
      </w:r>
      <w:r w:rsidRPr="00575157">
        <w:rPr>
          <w:w w:val="105"/>
          <w:sz w:val="20"/>
          <w:szCs w:val="20"/>
          <w:lang w:val="uk-UA"/>
        </w:rPr>
        <w:t>:</w:t>
      </w:r>
    </w:p>
    <w:p w14:paraId="5C6EBA0D" w14:textId="1E57FB45" w:rsidR="00E05B98" w:rsidRPr="00B53F8E" w:rsidRDefault="00575157" w:rsidP="00B53F8E">
      <w:pPr>
        <w:pStyle w:val="a4"/>
        <w:numPr>
          <w:ilvl w:val="1"/>
          <w:numId w:val="4"/>
        </w:numPr>
        <w:tabs>
          <w:tab w:val="left" w:pos="1227"/>
        </w:tabs>
        <w:ind w:right="137"/>
        <w:jc w:val="left"/>
        <w:rPr>
          <w:color w:val="0C8140"/>
          <w:sz w:val="20"/>
          <w:szCs w:val="20"/>
          <w:lang w:val="uk-UA"/>
        </w:rPr>
      </w:pPr>
      <w:r>
        <w:rPr>
          <w:sz w:val="20"/>
          <w:szCs w:val="20"/>
          <w:lang w:val="uk-UA"/>
        </w:rPr>
        <w:t>доказових даних щодо точності тесту</w:t>
      </w:r>
      <w:r w:rsidR="00B01E0C" w:rsidRPr="00B53F8E">
        <w:rPr>
          <w:spacing w:val="-2"/>
          <w:sz w:val="20"/>
          <w:szCs w:val="20"/>
          <w:lang w:val="uk-UA"/>
        </w:rPr>
        <w:t>;</w:t>
      </w:r>
    </w:p>
    <w:p w14:paraId="58B973F2" w14:textId="77777777" w:rsidR="00575157" w:rsidRPr="00575157" w:rsidRDefault="00575157" w:rsidP="00575157">
      <w:pPr>
        <w:pStyle w:val="a4"/>
        <w:numPr>
          <w:ilvl w:val="1"/>
          <w:numId w:val="4"/>
        </w:numPr>
        <w:tabs>
          <w:tab w:val="left" w:pos="1227"/>
        </w:tabs>
        <w:spacing w:before="57"/>
        <w:ind w:right="137"/>
        <w:rPr>
          <w:sz w:val="20"/>
          <w:szCs w:val="20"/>
          <w:lang w:val="uk-UA"/>
        </w:rPr>
      </w:pPr>
      <w:r w:rsidRPr="00575157">
        <w:rPr>
          <w:sz w:val="20"/>
          <w:szCs w:val="20"/>
          <w:lang w:val="uk-UA"/>
        </w:rPr>
        <w:t>доказів безпосередньої користі та шкоди застосування тесту;</w:t>
      </w:r>
    </w:p>
    <w:p w14:paraId="5DA1F769" w14:textId="715A7DDB" w:rsidR="00575157" w:rsidRPr="00575157" w:rsidRDefault="00575157" w:rsidP="00575157">
      <w:pPr>
        <w:pStyle w:val="a4"/>
        <w:numPr>
          <w:ilvl w:val="1"/>
          <w:numId w:val="4"/>
        </w:numPr>
        <w:tabs>
          <w:tab w:val="left" w:pos="1227"/>
        </w:tabs>
        <w:spacing w:before="57"/>
        <w:ind w:right="137"/>
        <w:rPr>
          <w:sz w:val="20"/>
          <w:szCs w:val="20"/>
          <w:lang w:val="uk-UA"/>
        </w:rPr>
      </w:pPr>
      <w:r w:rsidRPr="00575157">
        <w:rPr>
          <w:sz w:val="20"/>
          <w:szCs w:val="20"/>
          <w:lang w:val="uk-UA"/>
        </w:rPr>
        <w:t>лікування, виходячи з результатів тестування;</w:t>
      </w:r>
    </w:p>
    <w:p w14:paraId="70857ECD" w14:textId="050B668C" w:rsidR="00E05B98" w:rsidRPr="00B53F8E" w:rsidRDefault="00575157" w:rsidP="00575157">
      <w:pPr>
        <w:pStyle w:val="a4"/>
        <w:numPr>
          <w:ilvl w:val="1"/>
          <w:numId w:val="4"/>
        </w:numPr>
        <w:tabs>
          <w:tab w:val="left" w:pos="1227"/>
        </w:tabs>
        <w:spacing w:before="57"/>
        <w:ind w:right="137"/>
        <w:jc w:val="left"/>
        <w:rPr>
          <w:rFonts w:ascii="Trebuchet MS" w:hAnsi="Trebuchet MS"/>
          <w:color w:val="0C8140"/>
          <w:sz w:val="20"/>
          <w:szCs w:val="20"/>
          <w:lang w:val="uk-UA"/>
        </w:rPr>
      </w:pPr>
      <w:r w:rsidRPr="00575157">
        <w:rPr>
          <w:sz w:val="20"/>
          <w:szCs w:val="20"/>
          <w:lang w:val="uk-UA"/>
        </w:rPr>
        <w:t>зв'язку між результатами тесту та лікуванням;</w:t>
      </w:r>
    </w:p>
    <w:p w14:paraId="36E587F8" w14:textId="77777777" w:rsidR="00AB60F3" w:rsidRPr="00AB60F3" w:rsidRDefault="00AB60F3" w:rsidP="00AB60F3">
      <w:pPr>
        <w:pStyle w:val="a4"/>
        <w:numPr>
          <w:ilvl w:val="0"/>
          <w:numId w:val="4"/>
        </w:numPr>
        <w:tabs>
          <w:tab w:val="left" w:pos="850"/>
        </w:tabs>
        <w:ind w:right="137"/>
        <w:rPr>
          <w:sz w:val="20"/>
          <w:szCs w:val="20"/>
          <w:lang w:val="uk-UA"/>
        </w:rPr>
      </w:pPr>
      <w:r w:rsidRPr="00AB60F3">
        <w:rPr>
          <w:sz w:val="20"/>
          <w:szCs w:val="20"/>
          <w:lang w:val="uk-UA"/>
        </w:rPr>
        <w:t>впевненість у цінностях і вподобаннях, а також їхня мінливість;</w:t>
      </w:r>
    </w:p>
    <w:p w14:paraId="1E9E0DF6" w14:textId="0B81EB95" w:rsidR="00AB60F3" w:rsidRPr="00AB60F3" w:rsidRDefault="00AB60F3" w:rsidP="00AB60F3">
      <w:pPr>
        <w:pStyle w:val="a4"/>
        <w:numPr>
          <w:ilvl w:val="0"/>
          <w:numId w:val="4"/>
        </w:numPr>
        <w:tabs>
          <w:tab w:val="left" w:pos="850"/>
        </w:tabs>
        <w:ind w:right="137"/>
        <w:rPr>
          <w:sz w:val="20"/>
          <w:szCs w:val="20"/>
          <w:lang w:val="uk-UA"/>
        </w:rPr>
      </w:pPr>
      <w:r w:rsidRPr="00AB60F3">
        <w:rPr>
          <w:sz w:val="20"/>
          <w:szCs w:val="20"/>
          <w:lang w:val="uk-UA"/>
        </w:rPr>
        <w:t>потреби в ресурсах;</w:t>
      </w:r>
    </w:p>
    <w:p w14:paraId="308A5A2E" w14:textId="12376004" w:rsidR="00AB60F3" w:rsidRPr="00AB60F3" w:rsidRDefault="00AB60F3" w:rsidP="00AB60F3">
      <w:pPr>
        <w:pStyle w:val="a4"/>
        <w:numPr>
          <w:ilvl w:val="0"/>
          <w:numId w:val="4"/>
        </w:numPr>
        <w:tabs>
          <w:tab w:val="left" w:pos="850"/>
        </w:tabs>
        <w:ind w:right="137"/>
        <w:rPr>
          <w:sz w:val="20"/>
          <w:szCs w:val="20"/>
          <w:lang w:val="uk-UA"/>
        </w:rPr>
      </w:pPr>
      <w:r w:rsidRPr="00AB60F3">
        <w:rPr>
          <w:sz w:val="20"/>
          <w:szCs w:val="20"/>
          <w:lang w:val="uk-UA"/>
        </w:rPr>
        <w:t>економічна ефективність;</w:t>
      </w:r>
    </w:p>
    <w:p w14:paraId="46B258F3" w14:textId="716B255C" w:rsidR="00AB60F3" w:rsidRPr="00AB60F3" w:rsidRDefault="00AB60F3" w:rsidP="00AB60F3">
      <w:pPr>
        <w:pStyle w:val="a4"/>
        <w:numPr>
          <w:ilvl w:val="0"/>
          <w:numId w:val="4"/>
        </w:numPr>
        <w:tabs>
          <w:tab w:val="left" w:pos="850"/>
        </w:tabs>
        <w:ind w:right="137"/>
        <w:rPr>
          <w:sz w:val="20"/>
          <w:szCs w:val="20"/>
          <w:lang w:val="uk-UA"/>
        </w:rPr>
      </w:pPr>
      <w:r w:rsidRPr="00AB60F3">
        <w:rPr>
          <w:sz w:val="20"/>
          <w:szCs w:val="20"/>
          <w:lang w:val="uk-UA"/>
        </w:rPr>
        <w:t>справедливість;</w:t>
      </w:r>
    </w:p>
    <w:p w14:paraId="430B2BA2" w14:textId="36852532" w:rsidR="00AB60F3" w:rsidRPr="00AB60F3" w:rsidRDefault="00AB60F3" w:rsidP="00AB60F3">
      <w:pPr>
        <w:pStyle w:val="a4"/>
        <w:numPr>
          <w:ilvl w:val="0"/>
          <w:numId w:val="4"/>
        </w:numPr>
        <w:tabs>
          <w:tab w:val="left" w:pos="850"/>
        </w:tabs>
        <w:ind w:right="137"/>
        <w:rPr>
          <w:sz w:val="20"/>
          <w:szCs w:val="20"/>
          <w:lang w:val="uk-UA"/>
        </w:rPr>
      </w:pPr>
      <w:r w:rsidRPr="00AB60F3">
        <w:rPr>
          <w:sz w:val="20"/>
          <w:szCs w:val="20"/>
          <w:lang w:val="uk-UA"/>
        </w:rPr>
        <w:t>прийнятність; та</w:t>
      </w:r>
    </w:p>
    <w:p w14:paraId="09A5B8CE" w14:textId="0D7930A1" w:rsidR="00E05B98" w:rsidRPr="00B53F8E" w:rsidRDefault="00AB60F3" w:rsidP="00AB60F3">
      <w:pPr>
        <w:pStyle w:val="a4"/>
        <w:numPr>
          <w:ilvl w:val="0"/>
          <w:numId w:val="4"/>
        </w:numPr>
        <w:tabs>
          <w:tab w:val="left" w:pos="850"/>
        </w:tabs>
        <w:ind w:right="137"/>
        <w:jc w:val="left"/>
        <w:rPr>
          <w:sz w:val="20"/>
          <w:szCs w:val="20"/>
          <w:lang w:val="uk-UA"/>
        </w:rPr>
      </w:pPr>
      <w:r w:rsidRPr="00AB60F3">
        <w:rPr>
          <w:sz w:val="20"/>
          <w:szCs w:val="20"/>
          <w:lang w:val="uk-UA"/>
        </w:rPr>
        <w:t>мо</w:t>
      </w:r>
      <w:r>
        <w:rPr>
          <w:sz w:val="20"/>
          <w:szCs w:val="20"/>
          <w:lang w:val="uk-UA"/>
        </w:rPr>
        <w:t>ж</w:t>
      </w:r>
      <w:r w:rsidRPr="00AB60F3">
        <w:rPr>
          <w:sz w:val="20"/>
          <w:szCs w:val="20"/>
          <w:lang w:val="uk-UA"/>
        </w:rPr>
        <w:t>ливість реалізації</w:t>
      </w:r>
      <w:r w:rsidR="00B01E0C" w:rsidRPr="00B53F8E">
        <w:rPr>
          <w:spacing w:val="-2"/>
          <w:sz w:val="20"/>
          <w:szCs w:val="20"/>
          <w:lang w:val="uk-UA"/>
        </w:rPr>
        <w:t>.</w:t>
      </w:r>
    </w:p>
    <w:p w14:paraId="35AF633B" w14:textId="77777777" w:rsidR="00E05B98" w:rsidRPr="00B53F8E" w:rsidRDefault="00E05B98" w:rsidP="00B53F8E">
      <w:pPr>
        <w:pStyle w:val="a3"/>
        <w:spacing w:before="39"/>
        <w:ind w:right="137"/>
        <w:rPr>
          <w:sz w:val="20"/>
          <w:szCs w:val="20"/>
          <w:lang w:val="uk-UA"/>
        </w:rPr>
      </w:pPr>
    </w:p>
    <w:p w14:paraId="247EACF5" w14:textId="10F5BAEA" w:rsidR="00E05B98" w:rsidRPr="00B53F8E" w:rsidRDefault="00AB60F3" w:rsidP="00B53F8E">
      <w:pPr>
        <w:pStyle w:val="a3"/>
        <w:ind w:left="567" w:right="137"/>
        <w:jc w:val="both"/>
        <w:rPr>
          <w:sz w:val="20"/>
          <w:szCs w:val="20"/>
          <w:lang w:val="uk-UA"/>
        </w:rPr>
      </w:pPr>
      <w:r w:rsidRPr="00AB60F3">
        <w:rPr>
          <w:spacing w:val="-4"/>
          <w:sz w:val="20"/>
          <w:szCs w:val="20"/>
          <w:lang w:val="uk-UA"/>
        </w:rPr>
        <w:t>Ці фактори обговорюються нижче.</w:t>
      </w:r>
    </w:p>
    <w:p w14:paraId="2ABDFEFC" w14:textId="77777777" w:rsidR="00E05B98" w:rsidRPr="00B53F8E" w:rsidRDefault="00E05B98" w:rsidP="00B53F8E">
      <w:pPr>
        <w:pStyle w:val="a3"/>
        <w:ind w:right="137"/>
        <w:jc w:val="both"/>
        <w:rPr>
          <w:sz w:val="20"/>
          <w:szCs w:val="20"/>
          <w:lang w:val="uk-UA"/>
        </w:rPr>
        <w:sectPr w:rsidR="00E05B98" w:rsidRPr="00B53F8E" w:rsidSect="00B53F8E">
          <w:pgSz w:w="11910" w:h="16840"/>
          <w:pgMar w:top="1320" w:right="995" w:bottom="760" w:left="850" w:header="0" w:footer="573" w:gutter="0"/>
          <w:cols w:space="720"/>
        </w:sectPr>
      </w:pPr>
    </w:p>
    <w:p w14:paraId="55EBC411" w14:textId="02FC96EC" w:rsidR="00E05B98" w:rsidRPr="00B53F8E" w:rsidRDefault="0095477B">
      <w:pPr>
        <w:pStyle w:val="5"/>
        <w:spacing w:before="45"/>
        <w:rPr>
          <w:sz w:val="26"/>
          <w:szCs w:val="26"/>
          <w:lang w:val="uk-UA"/>
        </w:rPr>
      </w:pPr>
      <w:r>
        <w:rPr>
          <w:color w:val="019648"/>
          <w:w w:val="110"/>
          <w:sz w:val="26"/>
          <w:szCs w:val="26"/>
          <w:lang w:val="uk-UA"/>
        </w:rPr>
        <w:lastRenderedPageBreak/>
        <w:t>Пріоритетність проблеми</w:t>
      </w:r>
    </w:p>
    <w:p w14:paraId="50CD94B2" w14:textId="17D7A723" w:rsidR="00E05B98" w:rsidRPr="00B53F8E" w:rsidRDefault="0095477B">
      <w:pPr>
        <w:pStyle w:val="a3"/>
        <w:spacing w:before="219" w:line="297" w:lineRule="auto"/>
        <w:ind w:left="567" w:right="135"/>
        <w:jc w:val="both"/>
        <w:rPr>
          <w:sz w:val="20"/>
          <w:szCs w:val="20"/>
          <w:lang w:val="uk-UA"/>
        </w:rPr>
      </w:pPr>
      <w:r w:rsidRPr="0095477B">
        <w:rPr>
          <w:sz w:val="20"/>
          <w:szCs w:val="20"/>
          <w:lang w:val="uk-UA"/>
        </w:rPr>
        <w:t xml:space="preserve">ГРН розглядає, чи є загальні наслідки проблеми (наприклад, ріст захворюваності, смертності та економічні наслідки) </w:t>
      </w:r>
      <w:r w:rsidR="009D3D25">
        <w:rPr>
          <w:sz w:val="20"/>
          <w:szCs w:val="20"/>
          <w:lang w:val="uk-UA"/>
        </w:rPr>
        <w:t>значними</w:t>
      </w:r>
      <w:r w:rsidRPr="0095477B">
        <w:rPr>
          <w:sz w:val="20"/>
          <w:szCs w:val="20"/>
          <w:lang w:val="uk-UA"/>
        </w:rPr>
        <w:t xml:space="preserve"> та </w:t>
      </w:r>
      <w:r w:rsidR="009D3D25">
        <w:rPr>
          <w:sz w:val="20"/>
          <w:szCs w:val="20"/>
          <w:lang w:val="uk-UA"/>
        </w:rPr>
        <w:t xml:space="preserve">потребують </w:t>
      </w:r>
      <w:r w:rsidRPr="0095477B">
        <w:rPr>
          <w:sz w:val="20"/>
          <w:szCs w:val="20"/>
          <w:lang w:val="uk-UA"/>
        </w:rPr>
        <w:t>невідкладн</w:t>
      </w:r>
      <w:r w:rsidR="009D3D25">
        <w:rPr>
          <w:sz w:val="20"/>
          <w:szCs w:val="20"/>
          <w:lang w:val="uk-UA"/>
        </w:rPr>
        <w:t>ого вирішення</w:t>
      </w:r>
      <w:r w:rsidRPr="0095477B">
        <w:rPr>
          <w:sz w:val="20"/>
          <w:szCs w:val="20"/>
          <w:lang w:val="uk-UA"/>
        </w:rPr>
        <w:t xml:space="preserve">. Розглядається глобальна ситуація та аналізуються наявні дані. У більшості випадків проблема має бути серйозною та </w:t>
      </w:r>
      <w:r w:rsidR="009D3D25">
        <w:rPr>
          <w:sz w:val="20"/>
          <w:szCs w:val="20"/>
          <w:lang w:val="uk-UA"/>
        </w:rPr>
        <w:t>нагальною</w:t>
      </w:r>
      <w:r w:rsidRPr="0095477B">
        <w:rPr>
          <w:sz w:val="20"/>
          <w:szCs w:val="20"/>
          <w:lang w:val="uk-UA"/>
        </w:rPr>
        <w:t>, щоб її розглядала ГРН.</w:t>
      </w:r>
    </w:p>
    <w:p w14:paraId="79CE464E" w14:textId="2CC2A16E" w:rsidR="00E05B98" w:rsidRPr="00B53F8E" w:rsidRDefault="0095477B">
      <w:pPr>
        <w:pStyle w:val="5"/>
        <w:spacing w:before="202"/>
        <w:rPr>
          <w:sz w:val="26"/>
          <w:szCs w:val="26"/>
          <w:lang w:val="uk-UA"/>
        </w:rPr>
      </w:pPr>
      <w:r>
        <w:rPr>
          <w:color w:val="019648"/>
          <w:spacing w:val="-5"/>
          <w:sz w:val="26"/>
          <w:szCs w:val="26"/>
          <w:lang w:val="uk-UA"/>
        </w:rPr>
        <w:t>Точність тесту</w:t>
      </w:r>
    </w:p>
    <w:p w14:paraId="796C0FC6" w14:textId="15DDD4E6" w:rsidR="00E05B98" w:rsidRPr="00B53F8E" w:rsidRDefault="009421CC">
      <w:pPr>
        <w:pStyle w:val="a3"/>
        <w:spacing w:before="218" w:line="297" w:lineRule="auto"/>
        <w:ind w:left="567" w:right="138"/>
        <w:jc w:val="both"/>
        <w:rPr>
          <w:sz w:val="20"/>
          <w:szCs w:val="20"/>
          <w:lang w:val="uk-UA"/>
        </w:rPr>
      </w:pPr>
      <w:r w:rsidRPr="009421CC">
        <w:rPr>
          <w:sz w:val="20"/>
          <w:szCs w:val="20"/>
          <w:lang w:val="uk-UA"/>
        </w:rPr>
        <w:t>Оцінюється об'єднана чутливість і специфічність, представлені в профілі доказів GRADE. Бажано</w:t>
      </w:r>
      <w:r>
        <w:rPr>
          <w:sz w:val="20"/>
          <w:szCs w:val="20"/>
          <w:lang w:val="uk-UA"/>
        </w:rPr>
        <w:t>, та якщо це можливо</w:t>
      </w:r>
      <w:r w:rsidRPr="009421CC">
        <w:rPr>
          <w:sz w:val="20"/>
          <w:szCs w:val="20"/>
          <w:lang w:val="uk-UA"/>
        </w:rPr>
        <w:t>, щоб огляд включав дослідження як з мікробіологічними еталонними стандартами (бакпосів), так і з комбінованими еталонними стандартами (наприклад, у дітей та пацієнтів з позалегеневим ТБ).</w:t>
      </w:r>
    </w:p>
    <w:p w14:paraId="41A61F6F" w14:textId="2D5C0C91" w:rsidR="00E05B98" w:rsidRPr="00B53F8E" w:rsidRDefault="009421CC">
      <w:pPr>
        <w:pStyle w:val="5"/>
        <w:spacing w:before="203"/>
        <w:rPr>
          <w:sz w:val="26"/>
          <w:szCs w:val="26"/>
          <w:lang w:val="uk-UA"/>
        </w:rPr>
      </w:pPr>
      <w:r w:rsidRPr="009421CC">
        <w:rPr>
          <w:color w:val="019648"/>
          <w:sz w:val="26"/>
          <w:szCs w:val="26"/>
          <w:lang w:val="uk-UA"/>
        </w:rPr>
        <w:t>Баланс між бажаними та небажаними ефектами</w:t>
      </w:r>
    </w:p>
    <w:p w14:paraId="1D10AC95" w14:textId="63C93F00" w:rsidR="00E05B98" w:rsidRPr="00B53F8E" w:rsidRDefault="007922D1">
      <w:pPr>
        <w:pStyle w:val="a3"/>
        <w:spacing w:before="218" w:line="297" w:lineRule="auto"/>
        <w:ind w:left="567" w:right="136"/>
        <w:jc w:val="both"/>
        <w:rPr>
          <w:sz w:val="20"/>
          <w:szCs w:val="20"/>
          <w:lang w:val="uk-UA"/>
        </w:rPr>
      </w:pPr>
      <w:r w:rsidRPr="007922D1">
        <w:rPr>
          <w:sz w:val="20"/>
          <w:szCs w:val="20"/>
          <w:lang w:val="uk-UA"/>
        </w:rPr>
        <w:t>У рамках цього компонента членів ГРН просять оцінити очікувані користь та шкоду використання відповідного тесту, включаючи безпосередні наслідки тесту (наприклад, переваги, такі як швид</w:t>
      </w:r>
      <w:r w:rsidR="009D3D25">
        <w:rPr>
          <w:sz w:val="20"/>
          <w:szCs w:val="20"/>
          <w:lang w:val="uk-UA"/>
        </w:rPr>
        <w:t xml:space="preserve">кість проведення </w:t>
      </w:r>
      <w:r w:rsidRPr="007922D1">
        <w:rPr>
          <w:sz w:val="20"/>
          <w:szCs w:val="20"/>
          <w:lang w:val="uk-UA"/>
        </w:rPr>
        <w:t>діагностик</w:t>
      </w:r>
      <w:r w:rsidR="009D3D25">
        <w:rPr>
          <w:sz w:val="20"/>
          <w:szCs w:val="20"/>
          <w:lang w:val="uk-UA"/>
        </w:rPr>
        <w:t>и</w:t>
      </w:r>
      <w:r w:rsidRPr="007922D1">
        <w:rPr>
          <w:sz w:val="20"/>
          <w:szCs w:val="20"/>
          <w:lang w:val="uk-UA"/>
        </w:rPr>
        <w:t>, та шкоду, таку як побічні ефекти від проведення тесту). Крім того, необхідно врахувати можливі подальші ефекти тесту; наприклад, наслідки лікування після позитивного діагнозу (одужання або зниження смертності) та наслідки відсутності лікування або подальшого тестування після негативного результату тесту.</w:t>
      </w:r>
      <w:r w:rsidR="00B01E0C" w:rsidRPr="00B53F8E">
        <w:rPr>
          <w:sz w:val="20"/>
          <w:szCs w:val="20"/>
          <w:lang w:val="uk-UA"/>
        </w:rPr>
        <w:t xml:space="preserve"> </w:t>
      </w:r>
      <w:r w:rsidRPr="007922D1">
        <w:rPr>
          <w:sz w:val="20"/>
          <w:szCs w:val="20"/>
          <w:lang w:val="uk-UA"/>
        </w:rPr>
        <w:t>Доказові дані, в ідеалі отримані в процесі систематичних оглядів рандомізованих контрольованих досліджень (РКД) тесту, повинні інформувати ГРН про ці низхідні ефекти. Якщо докази з РКД недоступні, можна використовувати дослідження діагностичної точності. В останньому випадку істинно позитивні та істинно негативні діагностовані випадки приймаються як переваги, тоді як хибно позитивні та хибно негативні випадки розглядаються як шкода.</w:t>
      </w:r>
    </w:p>
    <w:p w14:paraId="23B9A001" w14:textId="1AE98697" w:rsidR="00E05B98" w:rsidRPr="00B53F8E" w:rsidRDefault="007922D1">
      <w:pPr>
        <w:pStyle w:val="5"/>
        <w:spacing w:before="210"/>
        <w:rPr>
          <w:sz w:val="26"/>
          <w:szCs w:val="26"/>
          <w:lang w:val="uk-UA"/>
        </w:rPr>
      </w:pPr>
      <w:r w:rsidRPr="007922D1">
        <w:rPr>
          <w:color w:val="019648"/>
          <w:w w:val="110"/>
          <w:sz w:val="26"/>
          <w:szCs w:val="26"/>
          <w:lang w:val="uk-UA"/>
        </w:rPr>
        <w:t>Достовірність доказів</w:t>
      </w:r>
    </w:p>
    <w:p w14:paraId="233C11F8" w14:textId="2F7ED89E" w:rsidR="00E05B98" w:rsidRPr="00B53F8E" w:rsidRDefault="006E70AB">
      <w:pPr>
        <w:pStyle w:val="a3"/>
        <w:spacing w:before="219" w:line="297" w:lineRule="auto"/>
        <w:ind w:left="567" w:right="139"/>
        <w:jc w:val="both"/>
        <w:rPr>
          <w:sz w:val="20"/>
          <w:szCs w:val="20"/>
          <w:lang w:val="uk-UA"/>
        </w:rPr>
      </w:pPr>
      <w:r w:rsidRPr="006E70AB">
        <w:rPr>
          <w:sz w:val="20"/>
          <w:szCs w:val="20"/>
          <w:lang w:val="uk-UA"/>
        </w:rPr>
        <w:t xml:space="preserve">Достовірність доказів точності тесту оцінюється за шкалою від дуже низької, через низьку та середню, до високої. Достовірність доказів </w:t>
      </w:r>
      <w:r w:rsidR="00CE4B93" w:rsidRPr="006E70AB">
        <w:rPr>
          <w:sz w:val="20"/>
          <w:szCs w:val="20"/>
          <w:lang w:val="uk-UA"/>
        </w:rPr>
        <w:t>безпосередньої</w:t>
      </w:r>
      <w:r w:rsidRPr="006E70AB">
        <w:rPr>
          <w:sz w:val="20"/>
          <w:szCs w:val="20"/>
          <w:lang w:val="uk-UA"/>
        </w:rPr>
        <w:t xml:space="preserve"> користі та шкоди від тесту оцінюється та визначається за шкалою балів аналогічним чином.</w:t>
      </w:r>
    </w:p>
    <w:p w14:paraId="528A1522" w14:textId="26C95E4D" w:rsidR="00E05B98" w:rsidRPr="00B53F8E" w:rsidRDefault="00704697">
      <w:pPr>
        <w:pStyle w:val="5"/>
        <w:spacing w:before="201"/>
        <w:rPr>
          <w:sz w:val="26"/>
          <w:szCs w:val="26"/>
          <w:lang w:val="uk-UA"/>
        </w:rPr>
      </w:pPr>
      <w:r w:rsidRPr="00704697">
        <w:rPr>
          <w:color w:val="019648"/>
          <w:w w:val="110"/>
          <w:sz w:val="26"/>
          <w:szCs w:val="26"/>
          <w:lang w:val="uk-UA"/>
        </w:rPr>
        <w:t>Впевненість щодо ведення пацієнта</w:t>
      </w:r>
      <w:r>
        <w:rPr>
          <w:color w:val="019648"/>
          <w:w w:val="110"/>
          <w:sz w:val="26"/>
          <w:szCs w:val="26"/>
          <w:lang w:val="uk-UA"/>
        </w:rPr>
        <w:t xml:space="preserve"> </w:t>
      </w:r>
    </w:p>
    <w:p w14:paraId="2418845D" w14:textId="77D4229A" w:rsidR="00704697" w:rsidRPr="00704697" w:rsidRDefault="00704697" w:rsidP="00704697">
      <w:pPr>
        <w:pStyle w:val="a3"/>
        <w:spacing w:before="173" w:line="297" w:lineRule="auto"/>
        <w:ind w:left="567" w:right="133"/>
        <w:jc w:val="both"/>
        <w:rPr>
          <w:w w:val="105"/>
          <w:sz w:val="20"/>
          <w:szCs w:val="20"/>
          <w:lang w:val="uk-UA"/>
        </w:rPr>
      </w:pPr>
      <w:r w:rsidRPr="00704697">
        <w:rPr>
          <w:w w:val="105"/>
          <w:sz w:val="20"/>
          <w:szCs w:val="20"/>
          <w:lang w:val="uk-UA"/>
        </w:rPr>
        <w:t xml:space="preserve">Для визначення впевненості в тому, що лікування пацієнта ґрунтується на результатах тесту, ГРН зосереджує увагу на тому, чи </w:t>
      </w:r>
      <w:r w:rsidR="00CE4B93" w:rsidRPr="00704697">
        <w:rPr>
          <w:w w:val="105"/>
          <w:sz w:val="20"/>
          <w:szCs w:val="20"/>
          <w:lang w:val="uk-UA"/>
        </w:rPr>
        <w:t>відрізнялося</w:t>
      </w:r>
      <w:r w:rsidRPr="00704697">
        <w:rPr>
          <w:w w:val="105"/>
          <w:sz w:val="20"/>
          <w:szCs w:val="20"/>
          <w:lang w:val="uk-UA"/>
        </w:rPr>
        <w:t xml:space="preserve"> б лікування, якби воно керуватиметься результатами тестів.</w:t>
      </w:r>
    </w:p>
    <w:p w14:paraId="07BAF618" w14:textId="60D2AA39" w:rsidR="00E05B98" w:rsidRPr="00B53F8E" w:rsidRDefault="00704697" w:rsidP="00704697">
      <w:pPr>
        <w:pStyle w:val="a3"/>
        <w:spacing w:before="173" w:line="297" w:lineRule="auto"/>
        <w:ind w:left="567" w:right="133"/>
        <w:jc w:val="both"/>
        <w:rPr>
          <w:sz w:val="20"/>
          <w:szCs w:val="20"/>
          <w:lang w:val="uk-UA"/>
        </w:rPr>
      </w:pPr>
      <w:r w:rsidRPr="00704697">
        <w:rPr>
          <w:w w:val="105"/>
          <w:sz w:val="20"/>
          <w:szCs w:val="20"/>
          <w:lang w:val="uk-UA"/>
        </w:rPr>
        <w:t>Для впевненості щодо зв'язку між результатами тесту і лікуванням пацієнта Група оцінює, наскільки швидко і ефективно результати тесту можуть бути використані для прийняття управлінських рішень щодо лікування.</w:t>
      </w:r>
      <w:r w:rsidR="00B01E0C" w:rsidRPr="00B53F8E">
        <w:rPr>
          <w:sz w:val="20"/>
          <w:szCs w:val="20"/>
          <w:lang w:val="uk-UA"/>
        </w:rPr>
        <w:t xml:space="preserve"> </w:t>
      </w:r>
    </w:p>
    <w:p w14:paraId="2A7FAD0B" w14:textId="18AD870B" w:rsidR="00E05B98" w:rsidRPr="00B53F8E" w:rsidRDefault="00704697">
      <w:pPr>
        <w:pStyle w:val="5"/>
        <w:spacing w:before="200"/>
        <w:rPr>
          <w:sz w:val="26"/>
          <w:szCs w:val="26"/>
          <w:lang w:val="uk-UA"/>
        </w:rPr>
      </w:pPr>
      <w:r w:rsidRPr="00704697">
        <w:rPr>
          <w:color w:val="019648"/>
          <w:sz w:val="26"/>
          <w:szCs w:val="26"/>
          <w:lang w:val="uk-UA"/>
        </w:rPr>
        <w:t>Впевненість у цінностях і вподобаннях та їх мінливість</w:t>
      </w:r>
    </w:p>
    <w:p w14:paraId="7F1E4CEB" w14:textId="1D442C7E" w:rsidR="00E05B98" w:rsidRPr="00B53F8E" w:rsidRDefault="00A4014D">
      <w:pPr>
        <w:pStyle w:val="a3"/>
        <w:spacing w:before="218" w:line="297" w:lineRule="auto"/>
        <w:ind w:left="567" w:right="139"/>
        <w:jc w:val="both"/>
        <w:rPr>
          <w:sz w:val="20"/>
          <w:szCs w:val="20"/>
          <w:lang w:val="uk-UA"/>
        </w:rPr>
      </w:pPr>
      <w:r w:rsidRPr="00A4014D">
        <w:rPr>
          <w:spacing w:val="-2"/>
          <w:sz w:val="20"/>
          <w:szCs w:val="20"/>
          <w:lang w:val="uk-UA"/>
        </w:rPr>
        <w:t xml:space="preserve">Цінність тесту для покращення діагностики та його вплив на догляд за </w:t>
      </w:r>
      <w:r w:rsidRPr="00EC30CA">
        <w:rPr>
          <w:spacing w:val="-2"/>
          <w:sz w:val="20"/>
          <w:szCs w:val="20"/>
          <w:lang w:val="uk-UA"/>
        </w:rPr>
        <w:t xml:space="preserve">пацієнтами оцінюється та визначається відповідно до шкали балів з допомогою доказів, отриманих в результаті якісних досліджень. Вплив на </w:t>
      </w:r>
      <w:r w:rsidR="00EC30CA" w:rsidRPr="00EC30CA">
        <w:rPr>
          <w:spacing w:val="-2"/>
          <w:sz w:val="20"/>
          <w:szCs w:val="20"/>
          <w:lang w:val="uk-UA"/>
        </w:rPr>
        <w:t xml:space="preserve">представлення повідомлення </w:t>
      </w:r>
      <w:r w:rsidRPr="00EC30CA">
        <w:rPr>
          <w:spacing w:val="-2"/>
          <w:sz w:val="20"/>
          <w:szCs w:val="20"/>
          <w:lang w:val="uk-UA"/>
        </w:rPr>
        <w:t>і, більше того, здатність тесту підвищити рівень реєстрації випадків захворювання також оцінюється і визначається відповідно до шкали балів з урахуванням всього діагностичного каскаду, включаючи, наприклад, питання, пов'язані з можливістю реалізації, частотою використання, довірою персоналу до результатів тесту і часом</w:t>
      </w:r>
      <w:r w:rsidRPr="00A4014D">
        <w:rPr>
          <w:spacing w:val="-2"/>
          <w:sz w:val="20"/>
          <w:szCs w:val="20"/>
          <w:lang w:val="uk-UA"/>
        </w:rPr>
        <w:t xml:space="preserve"> виконання повного процесу дослідження для отримання результатів</w:t>
      </w:r>
      <w:r w:rsidR="00B01E0C" w:rsidRPr="00B53F8E">
        <w:rPr>
          <w:sz w:val="20"/>
          <w:szCs w:val="20"/>
          <w:lang w:val="uk-UA"/>
        </w:rPr>
        <w:t>.</w:t>
      </w:r>
    </w:p>
    <w:p w14:paraId="4879CFFA" w14:textId="77777777" w:rsidR="00E05B98" w:rsidRPr="00B53F8E" w:rsidRDefault="00E05B98">
      <w:pPr>
        <w:pStyle w:val="a3"/>
        <w:spacing w:line="297" w:lineRule="auto"/>
        <w:jc w:val="both"/>
        <w:rPr>
          <w:sz w:val="20"/>
          <w:szCs w:val="20"/>
          <w:lang w:val="uk-UA"/>
        </w:rPr>
        <w:sectPr w:rsidR="00E05B98" w:rsidRPr="00B53F8E" w:rsidSect="00B53F8E">
          <w:footerReference w:type="even" r:id="rId236"/>
          <w:footerReference w:type="default" r:id="rId237"/>
          <w:pgSz w:w="11910" w:h="16840"/>
          <w:pgMar w:top="1320" w:right="1137" w:bottom="760" w:left="850" w:header="0" w:footer="573" w:gutter="0"/>
          <w:pgNumType w:start="151"/>
          <w:cols w:space="720"/>
        </w:sectPr>
      </w:pPr>
    </w:p>
    <w:p w14:paraId="042C865C" w14:textId="442470F4" w:rsidR="00E05B98" w:rsidRDefault="00A4014D">
      <w:pPr>
        <w:pStyle w:val="5"/>
        <w:spacing w:before="45"/>
        <w:rPr>
          <w:color w:val="019648"/>
          <w:spacing w:val="-4"/>
          <w:sz w:val="26"/>
          <w:szCs w:val="26"/>
          <w:lang w:val="uk-UA"/>
        </w:rPr>
      </w:pPr>
      <w:r>
        <w:rPr>
          <w:color w:val="019648"/>
          <w:spacing w:val="-4"/>
          <w:sz w:val="26"/>
          <w:szCs w:val="26"/>
          <w:lang w:val="uk-UA"/>
        </w:rPr>
        <w:lastRenderedPageBreak/>
        <w:t>Потреби в ресурсах</w:t>
      </w:r>
    </w:p>
    <w:p w14:paraId="7333E3E2" w14:textId="77777777" w:rsidR="00A4014D" w:rsidRPr="00A4014D" w:rsidRDefault="00A4014D">
      <w:pPr>
        <w:pStyle w:val="5"/>
        <w:spacing w:before="45"/>
        <w:rPr>
          <w:sz w:val="12"/>
          <w:szCs w:val="12"/>
          <w:lang w:val="uk-UA"/>
        </w:rPr>
      </w:pPr>
    </w:p>
    <w:p w14:paraId="4006C711" w14:textId="4419B179" w:rsidR="00A4014D" w:rsidRPr="00A4014D" w:rsidRDefault="00A4014D" w:rsidP="00A4014D">
      <w:pPr>
        <w:tabs>
          <w:tab w:val="left" w:pos="567"/>
        </w:tabs>
        <w:rPr>
          <w:sz w:val="20"/>
          <w:szCs w:val="20"/>
          <w:lang w:val="uk-UA"/>
        </w:rPr>
      </w:pPr>
      <w:r>
        <w:rPr>
          <w:sz w:val="20"/>
          <w:szCs w:val="20"/>
          <w:lang w:val="uk-UA"/>
        </w:rPr>
        <w:tab/>
      </w:r>
      <w:r w:rsidRPr="00A4014D">
        <w:rPr>
          <w:sz w:val="20"/>
          <w:szCs w:val="20"/>
          <w:lang w:val="uk-UA"/>
        </w:rPr>
        <w:t>Стосовно потреб у ресурсах надаються відповіді на наступні запитання:</w:t>
      </w:r>
    </w:p>
    <w:p w14:paraId="5F0F9DC2" w14:textId="7979A6AA" w:rsidR="00A4014D" w:rsidRPr="00A4014D" w:rsidRDefault="00A4014D" w:rsidP="00A4014D">
      <w:pPr>
        <w:pStyle w:val="a4"/>
        <w:numPr>
          <w:ilvl w:val="0"/>
          <w:numId w:val="4"/>
        </w:numPr>
        <w:tabs>
          <w:tab w:val="left" w:pos="850"/>
        </w:tabs>
        <w:rPr>
          <w:sz w:val="20"/>
          <w:szCs w:val="20"/>
          <w:lang w:val="uk-UA"/>
        </w:rPr>
      </w:pPr>
      <w:r w:rsidRPr="00A4014D">
        <w:rPr>
          <w:sz w:val="20"/>
          <w:szCs w:val="20"/>
          <w:lang w:val="uk-UA"/>
        </w:rPr>
        <w:t>Наскільки великими є потреби в ресурсах для реалізації тесту?</w:t>
      </w:r>
    </w:p>
    <w:p w14:paraId="7523F95C" w14:textId="4AFBB501" w:rsidR="00A4014D" w:rsidRPr="00A4014D" w:rsidRDefault="00A4014D" w:rsidP="00A4014D">
      <w:pPr>
        <w:pStyle w:val="a4"/>
        <w:numPr>
          <w:ilvl w:val="0"/>
          <w:numId w:val="4"/>
        </w:numPr>
        <w:tabs>
          <w:tab w:val="left" w:pos="850"/>
        </w:tabs>
        <w:rPr>
          <w:sz w:val="20"/>
          <w:szCs w:val="20"/>
          <w:lang w:val="uk-UA"/>
        </w:rPr>
      </w:pPr>
      <w:r w:rsidRPr="00A4014D">
        <w:rPr>
          <w:sz w:val="20"/>
          <w:szCs w:val="20"/>
          <w:lang w:val="uk-UA"/>
        </w:rPr>
        <w:t>Яка достовірність доказів щодо потреб у ресурсах?</w:t>
      </w:r>
    </w:p>
    <w:p w14:paraId="01E313F5" w14:textId="76A634D0" w:rsidR="00E05B98" w:rsidRPr="00B53F8E" w:rsidRDefault="00EC30CA" w:rsidP="00A4014D">
      <w:pPr>
        <w:pStyle w:val="a4"/>
        <w:numPr>
          <w:ilvl w:val="0"/>
          <w:numId w:val="4"/>
        </w:numPr>
        <w:tabs>
          <w:tab w:val="left" w:pos="850"/>
        </w:tabs>
        <w:jc w:val="left"/>
        <w:rPr>
          <w:sz w:val="20"/>
          <w:szCs w:val="20"/>
          <w:lang w:val="uk-UA"/>
        </w:rPr>
      </w:pPr>
      <w:r>
        <w:rPr>
          <w:sz w:val="20"/>
          <w:szCs w:val="20"/>
          <w:lang w:val="uk-UA"/>
        </w:rPr>
        <w:t>Е</w:t>
      </w:r>
      <w:r w:rsidR="00A4014D" w:rsidRPr="00A4014D">
        <w:rPr>
          <w:sz w:val="20"/>
          <w:szCs w:val="20"/>
          <w:lang w:val="uk-UA"/>
        </w:rPr>
        <w:t xml:space="preserve">кономічна ефективність інтервенції свідчить на користь інтервенції чи </w:t>
      </w:r>
      <w:r>
        <w:rPr>
          <w:sz w:val="20"/>
          <w:szCs w:val="20"/>
          <w:lang w:val="uk-UA"/>
        </w:rPr>
        <w:t xml:space="preserve">на користь </w:t>
      </w:r>
      <w:r w:rsidR="00A4014D" w:rsidRPr="00A4014D">
        <w:rPr>
          <w:sz w:val="20"/>
          <w:szCs w:val="20"/>
          <w:lang w:val="uk-UA"/>
        </w:rPr>
        <w:t>порівняння?</w:t>
      </w:r>
    </w:p>
    <w:p w14:paraId="7F815D17" w14:textId="77777777" w:rsidR="00E05B98" w:rsidRPr="00B53F8E" w:rsidRDefault="00E05B98">
      <w:pPr>
        <w:pStyle w:val="a3"/>
        <w:spacing w:before="66"/>
        <w:rPr>
          <w:sz w:val="20"/>
          <w:szCs w:val="20"/>
          <w:lang w:val="uk-UA"/>
        </w:rPr>
      </w:pPr>
    </w:p>
    <w:p w14:paraId="20DD3951" w14:textId="3CF6AF15" w:rsidR="00E05B98" w:rsidRPr="00B53F8E" w:rsidRDefault="00A4014D">
      <w:pPr>
        <w:pStyle w:val="5"/>
        <w:rPr>
          <w:sz w:val="26"/>
          <w:szCs w:val="26"/>
          <w:lang w:val="uk-UA"/>
        </w:rPr>
      </w:pPr>
      <w:r w:rsidRPr="00A4014D">
        <w:rPr>
          <w:color w:val="019648"/>
          <w:spacing w:val="-2"/>
          <w:w w:val="110"/>
          <w:sz w:val="26"/>
          <w:szCs w:val="26"/>
          <w:lang w:val="uk-UA"/>
        </w:rPr>
        <w:t>Ефективність</w:t>
      </w:r>
      <w:r w:rsidR="00A83910">
        <w:rPr>
          <w:color w:val="019648"/>
          <w:spacing w:val="-2"/>
          <w:w w:val="110"/>
          <w:sz w:val="26"/>
          <w:szCs w:val="26"/>
          <w:lang w:val="uk-UA"/>
        </w:rPr>
        <w:t xml:space="preserve"> витрат</w:t>
      </w:r>
    </w:p>
    <w:p w14:paraId="61EC8981" w14:textId="25E252A2" w:rsidR="00E05B98" w:rsidRPr="00B53F8E" w:rsidRDefault="00A4014D" w:rsidP="00A4014D">
      <w:pPr>
        <w:pStyle w:val="a3"/>
        <w:spacing w:before="218" w:line="276" w:lineRule="auto"/>
        <w:ind w:left="567"/>
        <w:rPr>
          <w:sz w:val="20"/>
          <w:szCs w:val="20"/>
          <w:lang w:val="uk-UA"/>
        </w:rPr>
      </w:pPr>
      <w:r w:rsidRPr="00A4014D">
        <w:rPr>
          <w:sz w:val="20"/>
          <w:szCs w:val="20"/>
          <w:lang w:val="uk-UA"/>
        </w:rPr>
        <w:t xml:space="preserve">Наявні докази щодо ефективності </w:t>
      </w:r>
      <w:r w:rsidR="00A83910">
        <w:rPr>
          <w:sz w:val="20"/>
          <w:szCs w:val="20"/>
          <w:lang w:val="uk-UA"/>
        </w:rPr>
        <w:t xml:space="preserve">витрат </w:t>
      </w:r>
      <w:r w:rsidRPr="00A4014D">
        <w:rPr>
          <w:sz w:val="20"/>
          <w:szCs w:val="20"/>
          <w:lang w:val="uk-UA"/>
        </w:rPr>
        <w:t>оцінюються та визначаються за шкалою балів.</w:t>
      </w:r>
      <w:r w:rsidR="00B01E0C" w:rsidRPr="00B53F8E">
        <w:rPr>
          <w:spacing w:val="-6"/>
          <w:sz w:val="20"/>
          <w:szCs w:val="20"/>
          <w:lang w:val="uk-UA"/>
        </w:rPr>
        <w:t xml:space="preserve"> </w:t>
      </w:r>
    </w:p>
    <w:p w14:paraId="4A63F2BA" w14:textId="77777777" w:rsidR="00E05B98" w:rsidRPr="00B53F8E" w:rsidRDefault="00E05B98">
      <w:pPr>
        <w:pStyle w:val="a3"/>
        <w:spacing w:before="9"/>
        <w:rPr>
          <w:sz w:val="20"/>
          <w:szCs w:val="20"/>
          <w:lang w:val="uk-UA"/>
        </w:rPr>
      </w:pPr>
    </w:p>
    <w:p w14:paraId="7763B3BE" w14:textId="57A46AC8" w:rsidR="00E05B98" w:rsidRPr="00B53F8E" w:rsidRDefault="00A4014D">
      <w:pPr>
        <w:pStyle w:val="5"/>
        <w:spacing w:before="1"/>
        <w:rPr>
          <w:sz w:val="26"/>
          <w:szCs w:val="26"/>
          <w:lang w:val="uk-UA"/>
        </w:rPr>
      </w:pPr>
      <w:r>
        <w:rPr>
          <w:color w:val="019648"/>
          <w:spacing w:val="-2"/>
          <w:w w:val="110"/>
          <w:sz w:val="26"/>
          <w:szCs w:val="26"/>
          <w:lang w:val="uk-UA"/>
        </w:rPr>
        <w:t>Справедливість</w:t>
      </w:r>
    </w:p>
    <w:p w14:paraId="46F368A0" w14:textId="3E9E2661" w:rsidR="00E05B98" w:rsidRPr="00B53F8E" w:rsidRDefault="008D6FC8">
      <w:pPr>
        <w:pStyle w:val="a3"/>
        <w:spacing w:before="218" w:line="297" w:lineRule="auto"/>
        <w:ind w:left="567" w:right="138"/>
        <w:jc w:val="both"/>
        <w:rPr>
          <w:sz w:val="20"/>
          <w:szCs w:val="20"/>
          <w:lang w:val="uk-UA"/>
        </w:rPr>
      </w:pPr>
      <w:r w:rsidRPr="008D6FC8">
        <w:rPr>
          <w:sz w:val="20"/>
          <w:szCs w:val="20"/>
          <w:lang w:val="uk-UA"/>
        </w:rPr>
        <w:t>Члени ГРН розглядають, чи матиме впровадження інструменту або методу позитивний чи негативний вплив на доступ до медичної допомоги (наприклад, чи буде можливою реалізація тесту на окремих рівнях надання медичної допомоги або шляхом самостійного адміністрування, або, чи існують інші способи зробити інструмент або метод доступним на всіх рівнях системи охорони здоров'я)</w:t>
      </w:r>
      <w:r w:rsidR="00B01E0C" w:rsidRPr="00B53F8E">
        <w:rPr>
          <w:sz w:val="20"/>
          <w:szCs w:val="20"/>
          <w:lang w:val="uk-UA"/>
        </w:rPr>
        <w:t>.</w:t>
      </w:r>
    </w:p>
    <w:p w14:paraId="03018B7C" w14:textId="6CA24FBA" w:rsidR="00E05B98" w:rsidRPr="00B53F8E" w:rsidRDefault="008D6FC8">
      <w:pPr>
        <w:pStyle w:val="5"/>
        <w:spacing w:before="203"/>
        <w:rPr>
          <w:sz w:val="26"/>
          <w:szCs w:val="26"/>
          <w:lang w:val="uk-UA"/>
        </w:rPr>
      </w:pPr>
      <w:r>
        <w:rPr>
          <w:color w:val="019648"/>
          <w:spacing w:val="-2"/>
          <w:w w:val="115"/>
          <w:sz w:val="26"/>
          <w:szCs w:val="26"/>
          <w:lang w:val="uk-UA"/>
        </w:rPr>
        <w:t>Прийнятність</w:t>
      </w:r>
    </w:p>
    <w:p w14:paraId="6D50C0DA" w14:textId="05839410" w:rsidR="00E05B98" w:rsidRPr="00B53F8E" w:rsidRDefault="00281600">
      <w:pPr>
        <w:pStyle w:val="a3"/>
        <w:spacing w:before="218" w:line="297" w:lineRule="auto"/>
        <w:ind w:left="567" w:right="140"/>
        <w:jc w:val="both"/>
        <w:rPr>
          <w:sz w:val="20"/>
          <w:szCs w:val="20"/>
          <w:lang w:val="uk-UA"/>
        </w:rPr>
      </w:pPr>
      <w:r w:rsidRPr="00281600">
        <w:rPr>
          <w:sz w:val="20"/>
          <w:szCs w:val="20"/>
          <w:lang w:val="uk-UA"/>
        </w:rPr>
        <w:t>З точки зору прийнятності, група розглядає, чи буде інструмент або метод прийнятним для всіх зацікавлених сторін, таких як медичні працівники, керівники закладів охорони здоров'я та пацієнти.</w:t>
      </w:r>
    </w:p>
    <w:p w14:paraId="4E035CDD" w14:textId="7688DDBA" w:rsidR="00E05B98" w:rsidRDefault="00281600">
      <w:pPr>
        <w:pStyle w:val="5"/>
        <w:spacing w:before="200"/>
        <w:rPr>
          <w:color w:val="019648"/>
          <w:spacing w:val="-2"/>
          <w:w w:val="110"/>
          <w:sz w:val="26"/>
          <w:szCs w:val="26"/>
          <w:lang w:val="uk-UA"/>
        </w:rPr>
      </w:pPr>
      <w:r>
        <w:rPr>
          <w:color w:val="019648"/>
          <w:spacing w:val="-2"/>
          <w:w w:val="110"/>
          <w:sz w:val="26"/>
          <w:szCs w:val="26"/>
          <w:lang w:val="uk-UA"/>
        </w:rPr>
        <w:t>Можливість реаліз</w:t>
      </w:r>
      <w:r w:rsidR="00A83910">
        <w:rPr>
          <w:color w:val="019648"/>
          <w:spacing w:val="-2"/>
          <w:w w:val="110"/>
          <w:sz w:val="26"/>
          <w:szCs w:val="26"/>
          <w:lang w:val="uk-UA"/>
        </w:rPr>
        <w:t>а</w:t>
      </w:r>
      <w:r>
        <w:rPr>
          <w:color w:val="019648"/>
          <w:spacing w:val="-2"/>
          <w:w w:val="110"/>
          <w:sz w:val="26"/>
          <w:szCs w:val="26"/>
          <w:lang w:val="uk-UA"/>
        </w:rPr>
        <w:t>ції</w:t>
      </w:r>
    </w:p>
    <w:p w14:paraId="2F1C06F9" w14:textId="77777777" w:rsidR="00EC30CA" w:rsidRPr="00EC30CA" w:rsidRDefault="00EC30CA">
      <w:pPr>
        <w:pStyle w:val="5"/>
        <w:spacing w:before="200"/>
        <w:rPr>
          <w:sz w:val="4"/>
          <w:szCs w:val="4"/>
          <w:lang w:val="uk-UA"/>
        </w:rPr>
      </w:pPr>
    </w:p>
    <w:p w14:paraId="660E2FC9" w14:textId="74ED2E5A" w:rsidR="003A7AA8" w:rsidRPr="003A7AA8" w:rsidRDefault="003A7AA8" w:rsidP="003A7AA8">
      <w:pPr>
        <w:spacing w:before="57" w:line="276" w:lineRule="auto"/>
        <w:ind w:left="567"/>
        <w:jc w:val="both"/>
        <w:rPr>
          <w:sz w:val="20"/>
          <w:szCs w:val="20"/>
          <w:lang w:val="uk-UA"/>
        </w:rPr>
      </w:pPr>
      <w:r w:rsidRPr="003A7AA8">
        <w:rPr>
          <w:sz w:val="20"/>
          <w:szCs w:val="20"/>
          <w:lang w:val="uk-UA"/>
        </w:rPr>
        <w:t>ГРН розглядає, наскільки є можливим впровадження  інструмент</w:t>
      </w:r>
      <w:r w:rsidR="00EC30CA">
        <w:rPr>
          <w:sz w:val="20"/>
          <w:szCs w:val="20"/>
          <w:lang w:val="uk-UA"/>
        </w:rPr>
        <w:t>у</w:t>
      </w:r>
      <w:r w:rsidRPr="003A7AA8">
        <w:rPr>
          <w:sz w:val="20"/>
          <w:szCs w:val="20"/>
          <w:lang w:val="uk-UA"/>
        </w:rPr>
        <w:t xml:space="preserve"> </w:t>
      </w:r>
      <w:r w:rsidR="00EC30CA">
        <w:rPr>
          <w:sz w:val="20"/>
          <w:szCs w:val="20"/>
          <w:lang w:val="uk-UA"/>
        </w:rPr>
        <w:t>чи</w:t>
      </w:r>
      <w:r w:rsidRPr="003A7AA8">
        <w:rPr>
          <w:sz w:val="20"/>
          <w:szCs w:val="20"/>
          <w:lang w:val="uk-UA"/>
        </w:rPr>
        <w:t xml:space="preserve"> метод</w:t>
      </w:r>
      <w:r w:rsidR="00EC30CA">
        <w:rPr>
          <w:sz w:val="20"/>
          <w:szCs w:val="20"/>
          <w:lang w:val="uk-UA"/>
        </w:rPr>
        <w:t>у</w:t>
      </w:r>
      <w:r w:rsidRPr="003A7AA8">
        <w:rPr>
          <w:sz w:val="20"/>
          <w:szCs w:val="20"/>
          <w:lang w:val="uk-UA"/>
        </w:rPr>
        <w:t xml:space="preserve"> у різних </w:t>
      </w:r>
      <w:r w:rsidR="00EC30CA">
        <w:rPr>
          <w:sz w:val="20"/>
          <w:szCs w:val="20"/>
          <w:lang w:val="uk-UA"/>
        </w:rPr>
        <w:t>країнах</w:t>
      </w:r>
      <w:r w:rsidRPr="003A7AA8">
        <w:rPr>
          <w:sz w:val="20"/>
          <w:szCs w:val="20"/>
          <w:lang w:val="uk-UA"/>
        </w:rPr>
        <w:t>. П</w:t>
      </w:r>
      <w:r w:rsidR="00EC30CA">
        <w:rPr>
          <w:sz w:val="20"/>
          <w:szCs w:val="20"/>
          <w:lang w:val="uk-UA"/>
        </w:rPr>
        <w:t xml:space="preserve">ід час </w:t>
      </w:r>
      <w:r w:rsidRPr="003A7AA8">
        <w:rPr>
          <w:sz w:val="20"/>
          <w:szCs w:val="20"/>
          <w:lang w:val="uk-UA"/>
        </w:rPr>
        <w:t>остаточн</w:t>
      </w:r>
      <w:r w:rsidR="00EC30CA">
        <w:rPr>
          <w:sz w:val="20"/>
          <w:szCs w:val="20"/>
          <w:lang w:val="uk-UA"/>
        </w:rPr>
        <w:t>ої</w:t>
      </w:r>
      <w:r w:rsidRPr="003A7AA8">
        <w:rPr>
          <w:sz w:val="20"/>
          <w:szCs w:val="20"/>
          <w:lang w:val="uk-UA"/>
        </w:rPr>
        <w:t xml:space="preserve"> оцін</w:t>
      </w:r>
      <w:r w:rsidR="00EC30CA">
        <w:rPr>
          <w:sz w:val="20"/>
          <w:szCs w:val="20"/>
          <w:lang w:val="uk-UA"/>
        </w:rPr>
        <w:t>ки</w:t>
      </w:r>
      <w:r w:rsidRPr="003A7AA8">
        <w:rPr>
          <w:sz w:val="20"/>
          <w:szCs w:val="20"/>
          <w:lang w:val="uk-UA"/>
        </w:rPr>
        <w:t xml:space="preserve"> враховують такі аспекти, як потреба в навчанні та підвищенні кваліфікації</w:t>
      </w:r>
      <w:r w:rsidR="00EC30CA">
        <w:rPr>
          <w:sz w:val="20"/>
          <w:szCs w:val="20"/>
          <w:lang w:val="uk-UA"/>
        </w:rPr>
        <w:t xml:space="preserve"> персоналу</w:t>
      </w:r>
      <w:r w:rsidRPr="003A7AA8">
        <w:rPr>
          <w:sz w:val="20"/>
          <w:szCs w:val="20"/>
          <w:lang w:val="uk-UA"/>
        </w:rPr>
        <w:t>, практичний час, вимоги стосовно біобезпеки, час для отримання результатів, обслуговування та ремонт тестових систем, калібрування та вплив на діагностичні алгоритми.</w:t>
      </w:r>
    </w:p>
    <w:p w14:paraId="13D439D8" w14:textId="405899FE" w:rsidR="00E05B98" w:rsidRPr="00B53F8E" w:rsidRDefault="003A7AA8" w:rsidP="003A7AA8">
      <w:pPr>
        <w:spacing w:before="57" w:line="276" w:lineRule="auto"/>
        <w:ind w:left="567"/>
        <w:jc w:val="both"/>
        <w:rPr>
          <w:sz w:val="20"/>
          <w:szCs w:val="20"/>
          <w:lang w:val="uk-UA"/>
        </w:rPr>
      </w:pPr>
      <w:r w:rsidRPr="003A7AA8">
        <w:rPr>
          <w:sz w:val="20"/>
          <w:szCs w:val="20"/>
          <w:lang w:val="uk-UA"/>
        </w:rPr>
        <w:t xml:space="preserve">Див. </w:t>
      </w:r>
      <w:r w:rsidRPr="003A7AA8">
        <w:rPr>
          <w:b/>
          <w:bCs/>
          <w:sz w:val="20"/>
          <w:szCs w:val="20"/>
          <w:lang w:val="uk-UA"/>
        </w:rPr>
        <w:t>Веб-додаток 3:</w:t>
      </w:r>
      <w:r w:rsidRPr="003A7AA8">
        <w:rPr>
          <w:sz w:val="20"/>
          <w:szCs w:val="20"/>
          <w:lang w:val="uk-UA"/>
        </w:rPr>
        <w:t xml:space="preserve"> </w:t>
      </w:r>
      <w:r w:rsidRPr="003A7AA8">
        <w:rPr>
          <w:i/>
          <w:iCs/>
          <w:sz w:val="20"/>
          <w:szCs w:val="20"/>
          <w:lang w:val="uk-UA"/>
        </w:rPr>
        <w:t xml:space="preserve">«Таблиці переходу від доказів до </w:t>
      </w:r>
      <w:r w:rsidR="00EC30CA">
        <w:rPr>
          <w:i/>
          <w:iCs/>
          <w:sz w:val="20"/>
          <w:szCs w:val="20"/>
          <w:lang w:val="uk-UA"/>
        </w:rPr>
        <w:t xml:space="preserve">прийняття </w:t>
      </w:r>
      <w:r w:rsidRPr="003A7AA8">
        <w:rPr>
          <w:i/>
          <w:iCs/>
          <w:sz w:val="20"/>
          <w:szCs w:val="20"/>
          <w:lang w:val="uk-UA"/>
        </w:rPr>
        <w:t>рішень</w:t>
      </w:r>
      <w:r>
        <w:rPr>
          <w:sz w:val="20"/>
          <w:szCs w:val="20"/>
          <w:lang w:val="uk-UA"/>
        </w:rPr>
        <w:t xml:space="preserve">» </w:t>
      </w:r>
      <w:r w:rsidRPr="003A7AA8">
        <w:rPr>
          <w:sz w:val="20"/>
          <w:szCs w:val="20"/>
          <w:lang w:val="uk-UA"/>
        </w:rPr>
        <w:t>для отримання детальної інформації про перехід від доказів до рекомендацій</w:t>
      </w:r>
      <w:r>
        <w:rPr>
          <w:sz w:val="20"/>
          <w:szCs w:val="20"/>
          <w:lang w:val="uk-UA"/>
        </w:rPr>
        <w:t>.</w:t>
      </w:r>
    </w:p>
    <w:p w14:paraId="4FBBBF60" w14:textId="77777777" w:rsidR="00E05B98" w:rsidRPr="00B53F8E" w:rsidRDefault="00E05B98">
      <w:pPr>
        <w:pStyle w:val="a3"/>
        <w:spacing w:before="87"/>
        <w:rPr>
          <w:sz w:val="20"/>
          <w:szCs w:val="20"/>
          <w:lang w:val="uk-UA"/>
        </w:rPr>
      </w:pPr>
    </w:p>
    <w:p w14:paraId="70A9B0A5" w14:textId="4BD3ABDB" w:rsidR="00E05B98" w:rsidRPr="00B53F8E" w:rsidRDefault="007826F2">
      <w:pPr>
        <w:pStyle w:val="2"/>
        <w:ind w:firstLine="0"/>
        <w:jc w:val="both"/>
        <w:rPr>
          <w:sz w:val="26"/>
          <w:szCs w:val="26"/>
          <w:lang w:val="uk-UA"/>
        </w:rPr>
      </w:pPr>
      <w:r w:rsidRPr="00B53F8E">
        <w:rPr>
          <w:color w:val="019648"/>
          <w:sz w:val="26"/>
          <w:szCs w:val="26"/>
          <w:lang w:val="uk-UA"/>
        </w:rPr>
        <w:t>Список літератури для Додатку</w:t>
      </w:r>
      <w:r w:rsidR="00B01E0C" w:rsidRPr="00B53F8E">
        <w:rPr>
          <w:color w:val="019648"/>
          <w:spacing w:val="-25"/>
          <w:sz w:val="26"/>
          <w:szCs w:val="26"/>
          <w:lang w:val="uk-UA"/>
        </w:rPr>
        <w:t xml:space="preserve"> </w:t>
      </w:r>
      <w:r w:rsidR="00B01E0C" w:rsidRPr="00B53F8E">
        <w:rPr>
          <w:color w:val="019648"/>
          <w:spacing w:val="-10"/>
          <w:sz w:val="26"/>
          <w:szCs w:val="26"/>
          <w:lang w:val="uk-UA"/>
        </w:rPr>
        <w:t>1</w:t>
      </w:r>
    </w:p>
    <w:p w14:paraId="38EAA3ED" w14:textId="77777777" w:rsidR="00E05B98" w:rsidRPr="00B53F8E" w:rsidRDefault="00B01E0C">
      <w:pPr>
        <w:pStyle w:val="a4"/>
        <w:numPr>
          <w:ilvl w:val="0"/>
          <w:numId w:val="3"/>
        </w:numPr>
        <w:tabs>
          <w:tab w:val="left" w:pos="848"/>
          <w:tab w:val="left" w:pos="850"/>
        </w:tabs>
        <w:spacing w:before="197" w:line="297" w:lineRule="auto"/>
        <w:ind w:right="140"/>
        <w:rPr>
          <w:sz w:val="20"/>
          <w:szCs w:val="20"/>
          <w:lang w:val="uk-UA"/>
        </w:rPr>
      </w:pPr>
      <w:r w:rsidRPr="00B53F8E">
        <w:rPr>
          <w:spacing w:val="-4"/>
          <w:sz w:val="20"/>
          <w:szCs w:val="20"/>
          <w:lang w:val="uk-UA"/>
        </w:rPr>
        <w:t>Schünemann</w:t>
      </w:r>
      <w:r w:rsidRPr="00B53F8E">
        <w:rPr>
          <w:spacing w:val="-9"/>
          <w:sz w:val="20"/>
          <w:szCs w:val="20"/>
          <w:lang w:val="uk-UA"/>
        </w:rPr>
        <w:t xml:space="preserve"> </w:t>
      </w:r>
      <w:r w:rsidRPr="00B53F8E">
        <w:rPr>
          <w:spacing w:val="-4"/>
          <w:sz w:val="20"/>
          <w:szCs w:val="20"/>
          <w:lang w:val="uk-UA"/>
        </w:rPr>
        <w:t>HJ,</w:t>
      </w:r>
      <w:r w:rsidRPr="00B53F8E">
        <w:rPr>
          <w:spacing w:val="-9"/>
          <w:sz w:val="20"/>
          <w:szCs w:val="20"/>
          <w:lang w:val="uk-UA"/>
        </w:rPr>
        <w:t xml:space="preserve"> </w:t>
      </w:r>
      <w:proofErr w:type="spellStart"/>
      <w:r w:rsidRPr="00B53F8E">
        <w:rPr>
          <w:spacing w:val="-4"/>
          <w:sz w:val="20"/>
          <w:szCs w:val="20"/>
          <w:lang w:val="uk-UA"/>
        </w:rPr>
        <w:t>Oxman</w:t>
      </w:r>
      <w:proofErr w:type="spellEnd"/>
      <w:r w:rsidRPr="00B53F8E">
        <w:rPr>
          <w:spacing w:val="-9"/>
          <w:sz w:val="20"/>
          <w:szCs w:val="20"/>
          <w:lang w:val="uk-UA"/>
        </w:rPr>
        <w:t xml:space="preserve"> </w:t>
      </w:r>
      <w:r w:rsidRPr="00B53F8E">
        <w:rPr>
          <w:spacing w:val="-4"/>
          <w:sz w:val="20"/>
          <w:szCs w:val="20"/>
          <w:lang w:val="uk-UA"/>
        </w:rPr>
        <w:t>AD,</w:t>
      </w:r>
      <w:r w:rsidRPr="00B53F8E">
        <w:rPr>
          <w:spacing w:val="-9"/>
          <w:sz w:val="20"/>
          <w:szCs w:val="20"/>
          <w:lang w:val="uk-UA"/>
        </w:rPr>
        <w:t xml:space="preserve"> </w:t>
      </w:r>
      <w:proofErr w:type="spellStart"/>
      <w:r w:rsidRPr="00B53F8E">
        <w:rPr>
          <w:spacing w:val="-4"/>
          <w:sz w:val="20"/>
          <w:szCs w:val="20"/>
          <w:lang w:val="uk-UA"/>
        </w:rPr>
        <w:t>Brozek</w:t>
      </w:r>
      <w:proofErr w:type="spellEnd"/>
      <w:r w:rsidRPr="00B53F8E">
        <w:rPr>
          <w:spacing w:val="-9"/>
          <w:sz w:val="20"/>
          <w:szCs w:val="20"/>
          <w:lang w:val="uk-UA"/>
        </w:rPr>
        <w:t xml:space="preserve"> </w:t>
      </w:r>
      <w:r w:rsidRPr="00B53F8E">
        <w:rPr>
          <w:spacing w:val="-4"/>
          <w:sz w:val="20"/>
          <w:szCs w:val="20"/>
          <w:lang w:val="uk-UA"/>
        </w:rPr>
        <w:t>J,</w:t>
      </w:r>
      <w:r w:rsidRPr="00B53F8E">
        <w:rPr>
          <w:spacing w:val="-9"/>
          <w:sz w:val="20"/>
          <w:szCs w:val="20"/>
          <w:lang w:val="uk-UA"/>
        </w:rPr>
        <w:t xml:space="preserve"> </w:t>
      </w:r>
      <w:proofErr w:type="spellStart"/>
      <w:r w:rsidRPr="00B53F8E">
        <w:rPr>
          <w:spacing w:val="-4"/>
          <w:sz w:val="20"/>
          <w:szCs w:val="20"/>
          <w:lang w:val="uk-UA"/>
        </w:rPr>
        <w:t>Glasziou</w:t>
      </w:r>
      <w:proofErr w:type="spellEnd"/>
      <w:r w:rsidRPr="00B53F8E">
        <w:rPr>
          <w:spacing w:val="-9"/>
          <w:sz w:val="20"/>
          <w:szCs w:val="20"/>
          <w:lang w:val="uk-UA"/>
        </w:rPr>
        <w:t xml:space="preserve"> </w:t>
      </w:r>
      <w:r w:rsidRPr="00B53F8E">
        <w:rPr>
          <w:spacing w:val="-4"/>
          <w:sz w:val="20"/>
          <w:szCs w:val="20"/>
          <w:lang w:val="uk-UA"/>
        </w:rPr>
        <w:t>P,</w:t>
      </w:r>
      <w:r w:rsidRPr="00B53F8E">
        <w:rPr>
          <w:spacing w:val="-9"/>
          <w:sz w:val="20"/>
          <w:szCs w:val="20"/>
          <w:lang w:val="uk-UA"/>
        </w:rPr>
        <w:t xml:space="preserve"> </w:t>
      </w:r>
      <w:proofErr w:type="spellStart"/>
      <w:r w:rsidRPr="00B53F8E">
        <w:rPr>
          <w:spacing w:val="-4"/>
          <w:sz w:val="20"/>
          <w:szCs w:val="20"/>
          <w:lang w:val="uk-UA"/>
        </w:rPr>
        <w:t>Jaeschke</w:t>
      </w:r>
      <w:proofErr w:type="spellEnd"/>
      <w:r w:rsidRPr="00B53F8E">
        <w:rPr>
          <w:spacing w:val="-9"/>
          <w:sz w:val="20"/>
          <w:szCs w:val="20"/>
          <w:lang w:val="uk-UA"/>
        </w:rPr>
        <w:t xml:space="preserve"> </w:t>
      </w:r>
      <w:r w:rsidRPr="00B53F8E">
        <w:rPr>
          <w:spacing w:val="-4"/>
          <w:sz w:val="20"/>
          <w:szCs w:val="20"/>
          <w:lang w:val="uk-UA"/>
        </w:rPr>
        <w:t>R,</w:t>
      </w:r>
      <w:r w:rsidRPr="00B53F8E">
        <w:rPr>
          <w:spacing w:val="-9"/>
          <w:sz w:val="20"/>
          <w:szCs w:val="20"/>
          <w:lang w:val="uk-UA"/>
        </w:rPr>
        <w:t xml:space="preserve"> </w:t>
      </w:r>
      <w:proofErr w:type="spellStart"/>
      <w:r w:rsidRPr="00B53F8E">
        <w:rPr>
          <w:spacing w:val="-4"/>
          <w:sz w:val="20"/>
          <w:szCs w:val="20"/>
          <w:lang w:val="uk-UA"/>
        </w:rPr>
        <w:t>Vist</w:t>
      </w:r>
      <w:proofErr w:type="spellEnd"/>
      <w:r w:rsidRPr="00B53F8E">
        <w:rPr>
          <w:spacing w:val="-9"/>
          <w:sz w:val="20"/>
          <w:szCs w:val="20"/>
          <w:lang w:val="uk-UA"/>
        </w:rPr>
        <w:t xml:space="preserve"> </w:t>
      </w:r>
      <w:r w:rsidRPr="00B53F8E">
        <w:rPr>
          <w:spacing w:val="-4"/>
          <w:sz w:val="20"/>
          <w:szCs w:val="20"/>
          <w:lang w:val="uk-UA"/>
        </w:rPr>
        <w:t>GE</w:t>
      </w:r>
      <w:r w:rsidRPr="00B53F8E">
        <w:rPr>
          <w:spacing w:val="-9"/>
          <w:sz w:val="20"/>
          <w:szCs w:val="20"/>
          <w:lang w:val="uk-UA"/>
        </w:rPr>
        <w:t xml:space="preserve"> </w:t>
      </w:r>
      <w:r w:rsidRPr="00B53F8E">
        <w:rPr>
          <w:spacing w:val="-4"/>
          <w:sz w:val="20"/>
          <w:szCs w:val="20"/>
          <w:lang w:val="uk-UA"/>
        </w:rPr>
        <w:t>et</w:t>
      </w:r>
      <w:r w:rsidRPr="00B53F8E">
        <w:rPr>
          <w:spacing w:val="-9"/>
          <w:sz w:val="20"/>
          <w:szCs w:val="20"/>
          <w:lang w:val="uk-UA"/>
        </w:rPr>
        <w:t xml:space="preserve"> </w:t>
      </w:r>
      <w:proofErr w:type="spellStart"/>
      <w:r w:rsidRPr="00B53F8E">
        <w:rPr>
          <w:spacing w:val="-4"/>
          <w:sz w:val="20"/>
          <w:szCs w:val="20"/>
          <w:lang w:val="uk-UA"/>
        </w:rPr>
        <w:t>al</w:t>
      </w:r>
      <w:proofErr w:type="spellEnd"/>
      <w:r w:rsidRPr="00B53F8E">
        <w:rPr>
          <w:spacing w:val="-4"/>
          <w:sz w:val="20"/>
          <w:szCs w:val="20"/>
          <w:lang w:val="uk-UA"/>
        </w:rPr>
        <w:t>.</w:t>
      </w:r>
      <w:r w:rsidRPr="00B53F8E">
        <w:rPr>
          <w:spacing w:val="-9"/>
          <w:sz w:val="20"/>
          <w:szCs w:val="20"/>
          <w:lang w:val="uk-UA"/>
        </w:rPr>
        <w:t xml:space="preserve"> </w:t>
      </w:r>
      <w:proofErr w:type="spellStart"/>
      <w:r w:rsidRPr="00B53F8E">
        <w:rPr>
          <w:spacing w:val="-4"/>
          <w:sz w:val="20"/>
          <w:szCs w:val="20"/>
          <w:lang w:val="uk-UA"/>
        </w:rPr>
        <w:t>Grading</w:t>
      </w:r>
      <w:proofErr w:type="spellEnd"/>
      <w:r w:rsidRPr="00B53F8E">
        <w:rPr>
          <w:spacing w:val="-9"/>
          <w:sz w:val="20"/>
          <w:szCs w:val="20"/>
          <w:lang w:val="uk-UA"/>
        </w:rPr>
        <w:t xml:space="preserve"> </w:t>
      </w:r>
      <w:proofErr w:type="spellStart"/>
      <w:r w:rsidRPr="00B53F8E">
        <w:rPr>
          <w:spacing w:val="-4"/>
          <w:sz w:val="20"/>
          <w:szCs w:val="20"/>
          <w:lang w:val="uk-UA"/>
        </w:rPr>
        <w:t>quality</w:t>
      </w:r>
      <w:proofErr w:type="spellEnd"/>
      <w:r w:rsidRPr="00B53F8E">
        <w:rPr>
          <w:spacing w:val="-4"/>
          <w:sz w:val="20"/>
          <w:szCs w:val="20"/>
          <w:lang w:val="uk-UA"/>
        </w:rPr>
        <w:t xml:space="preserve"> </w:t>
      </w:r>
      <w:r w:rsidRPr="00B53F8E">
        <w:rPr>
          <w:sz w:val="20"/>
          <w:szCs w:val="20"/>
          <w:lang w:val="uk-UA"/>
        </w:rPr>
        <w:t xml:space="preserve">of </w:t>
      </w:r>
      <w:proofErr w:type="spellStart"/>
      <w:r w:rsidRPr="00B53F8E">
        <w:rPr>
          <w:sz w:val="20"/>
          <w:szCs w:val="20"/>
          <w:lang w:val="uk-UA"/>
        </w:rPr>
        <w:t>evidence</w:t>
      </w:r>
      <w:proofErr w:type="spellEnd"/>
      <w:r w:rsidRPr="00B53F8E">
        <w:rPr>
          <w:sz w:val="20"/>
          <w:szCs w:val="20"/>
          <w:lang w:val="uk-UA"/>
        </w:rPr>
        <w:t xml:space="preserve"> and </w:t>
      </w:r>
      <w:proofErr w:type="spellStart"/>
      <w:r w:rsidRPr="00B53F8E">
        <w:rPr>
          <w:sz w:val="20"/>
          <w:szCs w:val="20"/>
          <w:lang w:val="uk-UA"/>
        </w:rPr>
        <w:t>strength</w:t>
      </w:r>
      <w:proofErr w:type="spellEnd"/>
      <w:r w:rsidRPr="00B53F8E">
        <w:rPr>
          <w:sz w:val="20"/>
          <w:szCs w:val="20"/>
          <w:lang w:val="uk-UA"/>
        </w:rPr>
        <w:t xml:space="preserve"> of </w:t>
      </w:r>
      <w:proofErr w:type="spellStart"/>
      <w:r w:rsidRPr="00B53F8E">
        <w:rPr>
          <w:sz w:val="20"/>
          <w:szCs w:val="20"/>
          <w:lang w:val="uk-UA"/>
        </w:rPr>
        <w:t>recommendations</w:t>
      </w:r>
      <w:proofErr w:type="spellEnd"/>
      <w:r w:rsidRPr="00B53F8E">
        <w:rPr>
          <w:sz w:val="20"/>
          <w:szCs w:val="20"/>
          <w:lang w:val="uk-UA"/>
        </w:rPr>
        <w:t xml:space="preserve"> for </w:t>
      </w:r>
      <w:proofErr w:type="spellStart"/>
      <w:r w:rsidRPr="00B53F8E">
        <w:rPr>
          <w:sz w:val="20"/>
          <w:szCs w:val="20"/>
          <w:lang w:val="uk-UA"/>
        </w:rPr>
        <w:t>diagnostic</w:t>
      </w:r>
      <w:proofErr w:type="spellEnd"/>
      <w:r w:rsidRPr="00B53F8E">
        <w:rPr>
          <w:sz w:val="20"/>
          <w:szCs w:val="20"/>
          <w:lang w:val="uk-UA"/>
        </w:rPr>
        <w:t xml:space="preserve"> </w:t>
      </w:r>
      <w:proofErr w:type="spellStart"/>
      <w:r w:rsidRPr="00B53F8E">
        <w:rPr>
          <w:sz w:val="20"/>
          <w:szCs w:val="20"/>
          <w:lang w:val="uk-UA"/>
        </w:rPr>
        <w:t>tests</w:t>
      </w:r>
      <w:proofErr w:type="spellEnd"/>
      <w:r w:rsidRPr="00B53F8E">
        <w:rPr>
          <w:sz w:val="20"/>
          <w:szCs w:val="20"/>
          <w:lang w:val="uk-UA"/>
        </w:rPr>
        <w:t xml:space="preserve"> and </w:t>
      </w:r>
      <w:proofErr w:type="spellStart"/>
      <w:r w:rsidRPr="00B53F8E">
        <w:rPr>
          <w:sz w:val="20"/>
          <w:szCs w:val="20"/>
          <w:lang w:val="uk-UA"/>
        </w:rPr>
        <w:t>strategies</w:t>
      </w:r>
      <w:proofErr w:type="spellEnd"/>
      <w:r w:rsidRPr="00B53F8E">
        <w:rPr>
          <w:sz w:val="20"/>
          <w:szCs w:val="20"/>
          <w:lang w:val="uk-UA"/>
        </w:rPr>
        <w:t>. BMJ. 2008;336:1106–10.</w:t>
      </w:r>
      <w:r w:rsidRPr="00B53F8E">
        <w:rPr>
          <w:spacing w:val="55"/>
          <w:sz w:val="20"/>
          <w:szCs w:val="20"/>
          <w:lang w:val="uk-UA"/>
        </w:rPr>
        <w:t xml:space="preserve"> </w:t>
      </w:r>
      <w:r w:rsidRPr="00B53F8E">
        <w:rPr>
          <w:sz w:val="20"/>
          <w:szCs w:val="20"/>
          <w:lang w:val="uk-UA"/>
        </w:rPr>
        <w:t>doi:</w:t>
      </w:r>
      <w:r w:rsidRPr="00B53F8E">
        <w:rPr>
          <w:spacing w:val="56"/>
          <w:sz w:val="20"/>
          <w:szCs w:val="20"/>
          <w:lang w:val="uk-UA"/>
        </w:rPr>
        <w:t xml:space="preserve"> </w:t>
      </w:r>
      <w:hyperlink r:id="rId238">
        <w:r w:rsidRPr="00B53F8E">
          <w:rPr>
            <w:color w:val="019648"/>
            <w:sz w:val="20"/>
            <w:szCs w:val="20"/>
            <w:lang w:val="uk-UA"/>
          </w:rPr>
          <w:t>https://doi.org/10.1136/bmj.39500.677199.AE</w:t>
        </w:r>
      </w:hyperlink>
      <w:r w:rsidRPr="00B53F8E">
        <w:rPr>
          <w:sz w:val="20"/>
          <w:szCs w:val="20"/>
          <w:lang w:val="uk-UA"/>
        </w:rPr>
        <w:t>.</w:t>
      </w:r>
    </w:p>
    <w:p w14:paraId="1C9F89DA" w14:textId="77777777" w:rsidR="00E05B98" w:rsidRPr="003C6DAE" w:rsidRDefault="00B01E0C">
      <w:pPr>
        <w:pStyle w:val="a4"/>
        <w:numPr>
          <w:ilvl w:val="0"/>
          <w:numId w:val="3"/>
        </w:numPr>
        <w:tabs>
          <w:tab w:val="left" w:pos="848"/>
          <w:tab w:val="left" w:pos="850"/>
        </w:tabs>
        <w:spacing w:before="174" w:line="297" w:lineRule="auto"/>
        <w:ind w:right="140"/>
        <w:rPr>
          <w:lang w:val="uk-UA"/>
        </w:rPr>
      </w:pPr>
      <w:proofErr w:type="spellStart"/>
      <w:r w:rsidRPr="00B53F8E">
        <w:rPr>
          <w:w w:val="105"/>
          <w:sz w:val="20"/>
          <w:szCs w:val="20"/>
          <w:lang w:val="uk-UA"/>
        </w:rPr>
        <w:t>Handbook</w:t>
      </w:r>
      <w:proofErr w:type="spellEnd"/>
      <w:r w:rsidRPr="00B53F8E">
        <w:rPr>
          <w:spacing w:val="-16"/>
          <w:w w:val="105"/>
          <w:sz w:val="20"/>
          <w:szCs w:val="20"/>
          <w:lang w:val="uk-UA"/>
        </w:rPr>
        <w:t xml:space="preserve"> </w:t>
      </w:r>
      <w:r w:rsidRPr="00B53F8E">
        <w:rPr>
          <w:w w:val="105"/>
          <w:sz w:val="20"/>
          <w:szCs w:val="20"/>
          <w:lang w:val="uk-UA"/>
        </w:rPr>
        <w:t>for</w:t>
      </w:r>
      <w:r w:rsidRPr="00B53F8E">
        <w:rPr>
          <w:spacing w:val="-15"/>
          <w:w w:val="105"/>
          <w:sz w:val="20"/>
          <w:szCs w:val="20"/>
          <w:lang w:val="uk-UA"/>
        </w:rPr>
        <w:t xml:space="preserve"> </w:t>
      </w:r>
      <w:proofErr w:type="spellStart"/>
      <w:r w:rsidRPr="00B53F8E">
        <w:rPr>
          <w:w w:val="105"/>
          <w:sz w:val="20"/>
          <w:szCs w:val="20"/>
          <w:lang w:val="uk-UA"/>
        </w:rPr>
        <w:t>guideline</w:t>
      </w:r>
      <w:proofErr w:type="spellEnd"/>
      <w:r w:rsidRPr="00B53F8E">
        <w:rPr>
          <w:spacing w:val="-16"/>
          <w:w w:val="105"/>
          <w:sz w:val="20"/>
          <w:szCs w:val="20"/>
          <w:lang w:val="uk-UA"/>
        </w:rPr>
        <w:t xml:space="preserve"> </w:t>
      </w:r>
      <w:r w:rsidRPr="00B53F8E">
        <w:rPr>
          <w:w w:val="105"/>
          <w:sz w:val="20"/>
          <w:szCs w:val="20"/>
          <w:lang w:val="uk-UA"/>
        </w:rPr>
        <w:t>development</w:t>
      </w:r>
      <w:r w:rsidRPr="00B53F8E">
        <w:rPr>
          <w:spacing w:val="-15"/>
          <w:w w:val="105"/>
          <w:sz w:val="20"/>
          <w:szCs w:val="20"/>
          <w:lang w:val="uk-UA"/>
        </w:rPr>
        <w:t xml:space="preserve"> </w:t>
      </w:r>
      <w:r w:rsidRPr="00B53F8E">
        <w:rPr>
          <w:w w:val="105"/>
          <w:sz w:val="20"/>
          <w:szCs w:val="20"/>
          <w:lang w:val="uk-UA"/>
        </w:rPr>
        <w:t>2nd</w:t>
      </w:r>
      <w:r w:rsidRPr="00B53F8E">
        <w:rPr>
          <w:spacing w:val="-15"/>
          <w:w w:val="105"/>
          <w:sz w:val="20"/>
          <w:szCs w:val="20"/>
          <w:lang w:val="uk-UA"/>
        </w:rPr>
        <w:t xml:space="preserve"> </w:t>
      </w:r>
      <w:proofErr w:type="spellStart"/>
      <w:r w:rsidRPr="00B53F8E">
        <w:rPr>
          <w:w w:val="105"/>
          <w:sz w:val="20"/>
          <w:szCs w:val="20"/>
          <w:lang w:val="uk-UA"/>
        </w:rPr>
        <w:t>ed</w:t>
      </w:r>
      <w:proofErr w:type="spellEnd"/>
      <w:r w:rsidRPr="00B53F8E">
        <w:rPr>
          <w:w w:val="105"/>
          <w:sz w:val="20"/>
          <w:szCs w:val="20"/>
          <w:lang w:val="uk-UA"/>
        </w:rPr>
        <w:t>.</w:t>
      </w:r>
      <w:r w:rsidRPr="00B53F8E">
        <w:rPr>
          <w:spacing w:val="-16"/>
          <w:w w:val="105"/>
          <w:sz w:val="20"/>
          <w:szCs w:val="20"/>
          <w:lang w:val="uk-UA"/>
        </w:rPr>
        <w:t xml:space="preserve"> </w:t>
      </w:r>
      <w:r w:rsidRPr="00B53F8E">
        <w:rPr>
          <w:w w:val="105"/>
          <w:sz w:val="20"/>
          <w:szCs w:val="20"/>
          <w:lang w:val="uk-UA"/>
        </w:rPr>
        <w:t>Geneva:</w:t>
      </w:r>
      <w:r w:rsidRPr="00B53F8E">
        <w:rPr>
          <w:spacing w:val="-15"/>
          <w:w w:val="105"/>
          <w:sz w:val="20"/>
          <w:szCs w:val="20"/>
          <w:lang w:val="uk-UA"/>
        </w:rPr>
        <w:t xml:space="preserve"> </w:t>
      </w:r>
      <w:proofErr w:type="spellStart"/>
      <w:r w:rsidRPr="00B53F8E">
        <w:rPr>
          <w:w w:val="105"/>
          <w:sz w:val="20"/>
          <w:szCs w:val="20"/>
          <w:lang w:val="uk-UA"/>
        </w:rPr>
        <w:t>World</w:t>
      </w:r>
      <w:proofErr w:type="spellEnd"/>
      <w:r w:rsidRPr="00B53F8E">
        <w:rPr>
          <w:spacing w:val="-15"/>
          <w:w w:val="105"/>
          <w:sz w:val="20"/>
          <w:szCs w:val="20"/>
          <w:lang w:val="uk-UA"/>
        </w:rPr>
        <w:t xml:space="preserve"> </w:t>
      </w:r>
      <w:r w:rsidRPr="00B53F8E">
        <w:rPr>
          <w:w w:val="105"/>
          <w:sz w:val="20"/>
          <w:szCs w:val="20"/>
          <w:lang w:val="uk-UA"/>
        </w:rPr>
        <w:t>Health</w:t>
      </w:r>
      <w:r w:rsidRPr="00B53F8E">
        <w:rPr>
          <w:spacing w:val="-16"/>
          <w:w w:val="105"/>
          <w:sz w:val="20"/>
          <w:szCs w:val="20"/>
          <w:lang w:val="uk-UA"/>
        </w:rPr>
        <w:t xml:space="preserve"> </w:t>
      </w:r>
      <w:proofErr w:type="spellStart"/>
      <w:r w:rsidRPr="00B53F8E">
        <w:rPr>
          <w:w w:val="105"/>
          <w:sz w:val="20"/>
          <w:szCs w:val="20"/>
          <w:lang w:val="uk-UA"/>
        </w:rPr>
        <w:t>Organization</w:t>
      </w:r>
      <w:proofErr w:type="spellEnd"/>
      <w:r w:rsidRPr="00B53F8E">
        <w:rPr>
          <w:w w:val="105"/>
          <w:sz w:val="20"/>
          <w:szCs w:val="20"/>
          <w:lang w:val="uk-UA"/>
        </w:rPr>
        <w:t>;</w:t>
      </w:r>
      <w:r w:rsidRPr="00B53F8E">
        <w:rPr>
          <w:spacing w:val="-15"/>
          <w:w w:val="105"/>
          <w:sz w:val="20"/>
          <w:szCs w:val="20"/>
          <w:lang w:val="uk-UA"/>
        </w:rPr>
        <w:t xml:space="preserve"> </w:t>
      </w:r>
      <w:r w:rsidRPr="00B53F8E">
        <w:rPr>
          <w:w w:val="105"/>
          <w:sz w:val="20"/>
          <w:szCs w:val="20"/>
          <w:lang w:val="uk-UA"/>
        </w:rPr>
        <w:t xml:space="preserve">2014 </w:t>
      </w:r>
      <w:r w:rsidRPr="00B53F8E">
        <w:rPr>
          <w:spacing w:val="-2"/>
          <w:w w:val="105"/>
          <w:sz w:val="20"/>
          <w:szCs w:val="20"/>
          <w:lang w:val="uk-UA"/>
        </w:rPr>
        <w:t>(</w:t>
      </w:r>
      <w:hyperlink r:id="rId239">
        <w:r w:rsidRPr="00B53F8E">
          <w:rPr>
            <w:color w:val="019648"/>
            <w:spacing w:val="-2"/>
            <w:w w:val="105"/>
            <w:sz w:val="20"/>
            <w:szCs w:val="20"/>
            <w:lang w:val="uk-UA"/>
          </w:rPr>
          <w:t>https://apps.who.int/iris/handle/10665/145714</w:t>
        </w:r>
      </w:hyperlink>
      <w:r w:rsidRPr="00B53F8E">
        <w:rPr>
          <w:spacing w:val="-2"/>
          <w:w w:val="105"/>
          <w:sz w:val="20"/>
          <w:szCs w:val="20"/>
          <w:lang w:val="uk-UA"/>
        </w:rPr>
        <w:t>).</w:t>
      </w:r>
    </w:p>
    <w:p w14:paraId="2F782000" w14:textId="77777777" w:rsidR="00E05B98" w:rsidRPr="003C6DAE" w:rsidRDefault="00E05B98">
      <w:pPr>
        <w:pStyle w:val="a4"/>
        <w:spacing w:line="297" w:lineRule="auto"/>
        <w:rPr>
          <w:lang w:val="uk-UA"/>
        </w:rPr>
        <w:sectPr w:rsidR="00E05B98" w:rsidRPr="003C6DAE" w:rsidSect="00B53F8E">
          <w:pgSz w:w="11910" w:h="16840"/>
          <w:pgMar w:top="1320" w:right="1137" w:bottom="760" w:left="850" w:header="0" w:footer="573" w:gutter="0"/>
          <w:cols w:space="720"/>
        </w:sectPr>
      </w:pPr>
    </w:p>
    <w:p w14:paraId="2E70757F" w14:textId="77777777" w:rsidR="00E05B98" w:rsidRPr="003C6DAE" w:rsidRDefault="00B01E0C">
      <w:pPr>
        <w:pStyle w:val="a3"/>
        <w:rPr>
          <w:sz w:val="64"/>
          <w:lang w:val="uk-UA"/>
        </w:rPr>
      </w:pPr>
      <w:r w:rsidRPr="003C6DAE">
        <w:rPr>
          <w:noProof/>
          <w:sz w:val="64"/>
          <w:lang w:val="uk-UA"/>
        </w:rPr>
        <w:lastRenderedPageBreak/>
        <w:drawing>
          <wp:anchor distT="0" distB="0" distL="0" distR="0" simplePos="0" relativeHeight="481837056" behindDoc="1" locked="0" layoutInCell="1" allowOverlap="1" wp14:anchorId="687A1A89" wp14:editId="03F2E0A5">
            <wp:simplePos x="0" y="0"/>
            <wp:positionH relativeFrom="page">
              <wp:posOffset>1365</wp:posOffset>
            </wp:positionH>
            <wp:positionV relativeFrom="page">
              <wp:posOffset>0</wp:posOffset>
            </wp:positionV>
            <wp:extent cx="7558640" cy="1470902"/>
            <wp:effectExtent l="0" t="0" r="0" b="0"/>
            <wp:wrapNone/>
            <wp:docPr id="3067" name="Image 3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7" name="Image 3067"/>
                    <pic:cNvPicPr/>
                  </pic:nvPicPr>
                  <pic:blipFill>
                    <a:blip r:embed="rId31" cstate="print"/>
                    <a:stretch>
                      <a:fillRect/>
                    </a:stretch>
                  </pic:blipFill>
                  <pic:spPr>
                    <a:xfrm>
                      <a:off x="0" y="0"/>
                      <a:ext cx="7558640" cy="1470902"/>
                    </a:xfrm>
                    <a:prstGeom prst="rect">
                      <a:avLst/>
                    </a:prstGeom>
                  </pic:spPr>
                </pic:pic>
              </a:graphicData>
            </a:graphic>
          </wp:anchor>
        </w:drawing>
      </w:r>
    </w:p>
    <w:p w14:paraId="2B584648" w14:textId="77777777" w:rsidR="00E05B98" w:rsidRPr="003C6DAE" w:rsidRDefault="00E05B98">
      <w:pPr>
        <w:pStyle w:val="a3"/>
        <w:rPr>
          <w:sz w:val="64"/>
          <w:lang w:val="uk-UA"/>
        </w:rPr>
      </w:pPr>
    </w:p>
    <w:p w14:paraId="748CF405" w14:textId="77777777" w:rsidR="00E05B98" w:rsidRPr="003C6DAE" w:rsidRDefault="00E05B98">
      <w:pPr>
        <w:pStyle w:val="a3"/>
        <w:spacing w:before="47"/>
        <w:rPr>
          <w:sz w:val="64"/>
          <w:lang w:val="uk-UA"/>
        </w:rPr>
      </w:pPr>
    </w:p>
    <w:p w14:paraId="5E7A690A" w14:textId="79C24F6D" w:rsidR="00E05B98" w:rsidRPr="00C141C1" w:rsidRDefault="007826F2" w:rsidP="007A0266">
      <w:pPr>
        <w:pStyle w:val="1"/>
        <w:spacing w:line="254" w:lineRule="auto"/>
        <w:ind w:right="4"/>
        <w:rPr>
          <w:rFonts w:ascii="Arial" w:hAnsi="Arial" w:cs="Arial"/>
          <w:sz w:val="50"/>
          <w:szCs w:val="50"/>
          <w:lang w:val="ru-RU"/>
        </w:rPr>
      </w:pPr>
      <w:bookmarkStart w:id="109" w:name="Annex_2._Conflict_of_interest_assessment"/>
      <w:bookmarkStart w:id="110" w:name="_bookmark55"/>
      <w:bookmarkEnd w:id="109"/>
      <w:bookmarkEnd w:id="110"/>
      <w:r w:rsidRPr="00C141C1">
        <w:rPr>
          <w:rFonts w:ascii="Arial" w:hAnsi="Arial" w:cs="Arial"/>
          <w:color w:val="019648"/>
          <w:spacing w:val="-2"/>
          <w:w w:val="105"/>
          <w:sz w:val="50"/>
          <w:szCs w:val="50"/>
          <w:lang w:val="uk-UA"/>
        </w:rPr>
        <w:t>Додаток</w:t>
      </w:r>
      <w:r w:rsidR="00B01E0C" w:rsidRPr="00C141C1">
        <w:rPr>
          <w:rFonts w:ascii="Arial" w:hAnsi="Arial" w:cs="Arial"/>
          <w:color w:val="019648"/>
          <w:spacing w:val="-43"/>
          <w:w w:val="105"/>
          <w:sz w:val="50"/>
          <w:szCs w:val="50"/>
          <w:lang w:val="uk-UA"/>
        </w:rPr>
        <w:t xml:space="preserve"> </w:t>
      </w:r>
      <w:r w:rsidR="00B01E0C" w:rsidRPr="00C141C1">
        <w:rPr>
          <w:rFonts w:ascii="Arial" w:hAnsi="Arial" w:cs="Arial"/>
          <w:color w:val="019648"/>
          <w:spacing w:val="-2"/>
          <w:w w:val="105"/>
          <w:sz w:val="50"/>
          <w:szCs w:val="50"/>
          <w:lang w:val="uk-UA"/>
        </w:rPr>
        <w:t>2</w:t>
      </w:r>
      <w:r w:rsidR="005A7273">
        <w:rPr>
          <w:rFonts w:ascii="Arial" w:hAnsi="Arial" w:cs="Arial"/>
          <w:color w:val="019648"/>
          <w:spacing w:val="-2"/>
          <w:w w:val="105"/>
          <w:sz w:val="50"/>
          <w:szCs w:val="50"/>
          <w:lang w:val="uk-UA"/>
        </w:rPr>
        <w:t xml:space="preserve">. Заява про конфлікт </w:t>
      </w:r>
      <w:r w:rsidR="0096518E" w:rsidRPr="00C141C1">
        <w:rPr>
          <w:rFonts w:ascii="Arial" w:hAnsi="Arial" w:cs="Arial"/>
          <w:color w:val="019648"/>
          <w:spacing w:val="-2"/>
          <w:w w:val="105"/>
          <w:sz w:val="50"/>
          <w:szCs w:val="50"/>
          <w:lang w:val="uk-UA"/>
        </w:rPr>
        <w:t>інтересів членів Групи з розробки</w:t>
      </w:r>
      <w:r w:rsidR="00C141C1" w:rsidRPr="00C141C1">
        <w:rPr>
          <w:rFonts w:ascii="Arial" w:hAnsi="Arial" w:cs="Arial"/>
          <w:color w:val="019648"/>
          <w:spacing w:val="-2"/>
          <w:w w:val="105"/>
          <w:sz w:val="50"/>
          <w:szCs w:val="50"/>
          <w:lang w:val="uk-UA"/>
        </w:rPr>
        <w:t xml:space="preserve"> </w:t>
      </w:r>
      <w:r w:rsidR="0096518E" w:rsidRPr="00C141C1">
        <w:rPr>
          <w:rFonts w:ascii="Arial" w:hAnsi="Arial" w:cs="Arial"/>
          <w:color w:val="019648"/>
          <w:spacing w:val="-2"/>
          <w:w w:val="105"/>
          <w:sz w:val="50"/>
          <w:szCs w:val="50"/>
          <w:lang w:val="uk-UA"/>
        </w:rPr>
        <w:t>настанов та Групи зовнішн</w:t>
      </w:r>
      <w:r w:rsidR="00A83910" w:rsidRPr="00C141C1">
        <w:rPr>
          <w:rFonts w:ascii="Arial" w:hAnsi="Arial" w:cs="Arial"/>
          <w:color w:val="019648"/>
          <w:spacing w:val="-2"/>
          <w:w w:val="105"/>
          <w:sz w:val="50"/>
          <w:szCs w:val="50"/>
          <w:lang w:val="uk-UA"/>
        </w:rPr>
        <w:t>іх експертів з</w:t>
      </w:r>
      <w:r w:rsidR="0096518E" w:rsidRPr="00C141C1">
        <w:rPr>
          <w:rFonts w:ascii="Arial" w:hAnsi="Arial" w:cs="Arial"/>
          <w:color w:val="019648"/>
          <w:spacing w:val="-2"/>
          <w:w w:val="105"/>
          <w:sz w:val="50"/>
          <w:szCs w:val="50"/>
          <w:lang w:val="uk-UA"/>
        </w:rPr>
        <w:t xml:space="preserve"> огляду</w:t>
      </w:r>
      <w:r w:rsidR="00A83910" w:rsidRPr="00C141C1">
        <w:rPr>
          <w:rFonts w:ascii="Arial" w:hAnsi="Arial" w:cs="Arial"/>
          <w:color w:val="019648"/>
          <w:spacing w:val="-2"/>
          <w:w w:val="105"/>
          <w:sz w:val="50"/>
          <w:szCs w:val="50"/>
          <w:lang w:val="uk-UA"/>
        </w:rPr>
        <w:t xml:space="preserve"> настанов</w:t>
      </w:r>
    </w:p>
    <w:p w14:paraId="191C7CFA" w14:textId="5B52CA79" w:rsidR="00E05B98" w:rsidRPr="0096518E" w:rsidRDefault="0096518E" w:rsidP="00C141C1">
      <w:pPr>
        <w:pStyle w:val="a3"/>
        <w:spacing w:before="724" w:line="298" w:lineRule="auto"/>
        <w:ind w:left="567" w:right="6"/>
        <w:jc w:val="both"/>
        <w:rPr>
          <w:sz w:val="20"/>
          <w:szCs w:val="20"/>
          <w:lang w:val="uk-UA"/>
        </w:rPr>
      </w:pPr>
      <w:r w:rsidRPr="0096518E">
        <w:rPr>
          <w:spacing w:val="-2"/>
          <w:sz w:val="20"/>
          <w:szCs w:val="20"/>
          <w:lang w:val="uk-UA"/>
        </w:rPr>
        <w:t>Перш ніж розглядати питання про членство в групі, кожен кандидат до складу Групи з розробки настанов (ГРН) та Групи зовніш</w:t>
      </w:r>
      <w:r w:rsidR="00C141C1">
        <w:rPr>
          <w:spacing w:val="-2"/>
          <w:sz w:val="20"/>
          <w:szCs w:val="20"/>
          <w:lang w:val="uk-UA"/>
        </w:rPr>
        <w:t>ніх експертів з</w:t>
      </w:r>
      <w:r w:rsidRPr="0096518E">
        <w:rPr>
          <w:spacing w:val="-2"/>
          <w:sz w:val="20"/>
          <w:szCs w:val="20"/>
          <w:lang w:val="uk-UA"/>
        </w:rPr>
        <w:t xml:space="preserve"> огляду </w:t>
      </w:r>
      <w:r w:rsidR="00C141C1">
        <w:rPr>
          <w:spacing w:val="-2"/>
          <w:sz w:val="20"/>
          <w:szCs w:val="20"/>
          <w:lang w:val="uk-UA"/>
        </w:rPr>
        <w:t xml:space="preserve">настанов </w:t>
      </w:r>
      <w:r w:rsidRPr="0096518E">
        <w:rPr>
          <w:spacing w:val="-2"/>
          <w:sz w:val="20"/>
          <w:szCs w:val="20"/>
          <w:lang w:val="uk-UA"/>
        </w:rPr>
        <w:t>мав подати заповнену форму декларації інтересів (DOI). Крім того, бу</w:t>
      </w:r>
      <w:r w:rsidR="007261BD">
        <w:rPr>
          <w:spacing w:val="-2"/>
          <w:sz w:val="20"/>
          <w:szCs w:val="20"/>
          <w:lang w:val="uk-UA"/>
        </w:rPr>
        <w:t>в</w:t>
      </w:r>
      <w:r w:rsidRPr="0096518E">
        <w:rPr>
          <w:spacing w:val="-2"/>
          <w:sz w:val="20"/>
          <w:szCs w:val="20"/>
          <w:lang w:val="uk-UA"/>
        </w:rPr>
        <w:t xml:space="preserve"> проведен</w:t>
      </w:r>
      <w:r w:rsidR="007261BD">
        <w:rPr>
          <w:spacing w:val="-2"/>
          <w:sz w:val="20"/>
          <w:szCs w:val="20"/>
          <w:lang w:val="uk-UA"/>
        </w:rPr>
        <w:t>ий</w:t>
      </w:r>
      <w:r w:rsidRPr="0096518E">
        <w:rPr>
          <w:spacing w:val="-2"/>
          <w:sz w:val="20"/>
          <w:szCs w:val="20"/>
          <w:lang w:val="uk-UA"/>
        </w:rPr>
        <w:t xml:space="preserve"> попередній пошук в Інтернеті з метою виявлення будь-яких очевидних публічних суперечок або інтересів, які можуть призвести до компрометуючих ситуацій для Всесвітньої організації охорони здоров'я (ВООЗ) та відповідного експерта.</w:t>
      </w:r>
    </w:p>
    <w:p w14:paraId="74F33C36" w14:textId="05F37CE0" w:rsidR="00E05B98" w:rsidRPr="0096518E" w:rsidRDefault="00FC5FAE" w:rsidP="00C141C1">
      <w:pPr>
        <w:spacing w:before="176" w:line="298" w:lineRule="auto"/>
        <w:ind w:left="567" w:right="6"/>
        <w:jc w:val="both"/>
        <w:rPr>
          <w:sz w:val="20"/>
          <w:szCs w:val="20"/>
          <w:lang w:val="uk-UA"/>
        </w:rPr>
      </w:pPr>
      <w:r w:rsidRPr="00FC5FAE">
        <w:rPr>
          <w:sz w:val="20"/>
          <w:szCs w:val="20"/>
          <w:lang w:val="uk-UA"/>
        </w:rPr>
        <w:t xml:space="preserve">Члени  керівного комітету вивчили резюме (CV) і декларацію про конфлікт інтересів кандидата, а також інформацію, отриману з Інтернету, щоб визначити, чи існував або міг існувати фактичний або передбачуваний конфлікт інтересів і, якщо так, </w:t>
      </w:r>
      <w:r w:rsidR="007261BD">
        <w:rPr>
          <w:sz w:val="20"/>
          <w:szCs w:val="20"/>
          <w:lang w:val="uk-UA"/>
        </w:rPr>
        <w:t xml:space="preserve">то </w:t>
      </w:r>
      <w:r w:rsidRPr="00FC5FAE">
        <w:rPr>
          <w:sz w:val="20"/>
          <w:szCs w:val="20"/>
          <w:lang w:val="uk-UA"/>
        </w:rPr>
        <w:t xml:space="preserve">чи потрібен був план управління. Цей процес оцінки та отримані в результаті плани управління ґрунтувалися на </w:t>
      </w:r>
      <w:r w:rsidRPr="00FC5FAE">
        <w:rPr>
          <w:i/>
          <w:iCs/>
          <w:sz w:val="20"/>
          <w:szCs w:val="20"/>
          <w:lang w:val="uk-UA"/>
        </w:rPr>
        <w:t>Настановах стосовно декларування інтересів</w:t>
      </w:r>
      <w:r w:rsidRPr="00FC5FAE">
        <w:rPr>
          <w:sz w:val="20"/>
          <w:szCs w:val="20"/>
          <w:lang w:val="uk-UA"/>
        </w:rPr>
        <w:t xml:space="preserve"> (експерти ВООЗ) (</w:t>
      </w:r>
      <w:r w:rsidRPr="00FC5FAE">
        <w:rPr>
          <w:i/>
          <w:iCs/>
          <w:sz w:val="20"/>
          <w:szCs w:val="20"/>
          <w:lang w:val="uk-UA"/>
        </w:rPr>
        <w:t>1</w:t>
      </w:r>
      <w:r w:rsidRPr="00FC5FAE">
        <w:rPr>
          <w:sz w:val="20"/>
          <w:szCs w:val="20"/>
          <w:lang w:val="uk-UA"/>
        </w:rPr>
        <w:t xml:space="preserve">) та </w:t>
      </w:r>
      <w:r w:rsidRPr="00FC5FAE">
        <w:rPr>
          <w:i/>
          <w:iCs/>
          <w:sz w:val="20"/>
          <w:szCs w:val="20"/>
          <w:lang w:val="uk-UA"/>
        </w:rPr>
        <w:t>Керівництві ВООЗ із розробки настанов</w:t>
      </w:r>
      <w:r w:rsidRPr="00FC5FAE">
        <w:rPr>
          <w:sz w:val="20"/>
          <w:szCs w:val="20"/>
          <w:lang w:val="uk-UA"/>
        </w:rPr>
        <w:t xml:space="preserve"> (2-е видання) (</w:t>
      </w:r>
      <w:r w:rsidRPr="00FC5FAE">
        <w:rPr>
          <w:i/>
          <w:iCs/>
          <w:sz w:val="20"/>
          <w:szCs w:val="20"/>
          <w:lang w:val="uk-UA"/>
        </w:rPr>
        <w:t>2</w:t>
      </w:r>
      <w:r w:rsidRPr="00FC5FAE">
        <w:rPr>
          <w:sz w:val="20"/>
          <w:szCs w:val="20"/>
          <w:lang w:val="uk-UA"/>
        </w:rPr>
        <w:t>).</w:t>
      </w:r>
    </w:p>
    <w:p w14:paraId="3259E911" w14:textId="21B01BED" w:rsidR="00E05B98" w:rsidRPr="0096518E" w:rsidRDefault="00FC5FAE" w:rsidP="00C141C1">
      <w:pPr>
        <w:pStyle w:val="a3"/>
        <w:spacing w:before="148" w:line="298" w:lineRule="auto"/>
        <w:ind w:left="567" w:right="6"/>
        <w:jc w:val="both"/>
        <w:rPr>
          <w:sz w:val="20"/>
          <w:szCs w:val="20"/>
          <w:lang w:val="uk-UA"/>
        </w:rPr>
      </w:pPr>
      <w:r w:rsidRPr="00FC5FAE">
        <w:rPr>
          <w:sz w:val="20"/>
          <w:szCs w:val="20"/>
          <w:lang w:val="uk-UA"/>
        </w:rPr>
        <w:t>Були розглянуті як фінансові, так і нефінансові інтереси. «Істотний» конфлікт інтересів включа</w:t>
      </w:r>
      <w:r>
        <w:rPr>
          <w:sz w:val="20"/>
          <w:szCs w:val="20"/>
          <w:lang w:val="uk-UA"/>
        </w:rPr>
        <w:t>в би такі аспекти</w:t>
      </w:r>
      <w:r w:rsidRPr="00FC5FAE">
        <w:rPr>
          <w:sz w:val="20"/>
          <w:szCs w:val="20"/>
          <w:lang w:val="uk-UA"/>
        </w:rPr>
        <w:t>:</w:t>
      </w:r>
    </w:p>
    <w:p w14:paraId="46A15BF2" w14:textId="6DE69B67" w:rsidR="00FC5FAE" w:rsidRPr="00FC5FAE" w:rsidRDefault="00FC5FAE" w:rsidP="00C141C1">
      <w:pPr>
        <w:pStyle w:val="a4"/>
        <w:numPr>
          <w:ilvl w:val="1"/>
          <w:numId w:val="3"/>
        </w:numPr>
        <w:tabs>
          <w:tab w:val="left" w:pos="850"/>
        </w:tabs>
        <w:spacing w:line="298" w:lineRule="auto"/>
        <w:ind w:right="6"/>
        <w:rPr>
          <w:sz w:val="20"/>
          <w:szCs w:val="20"/>
          <w:lang w:val="uk-UA"/>
        </w:rPr>
      </w:pPr>
      <w:r w:rsidRPr="00FC5FAE">
        <w:rPr>
          <w:sz w:val="20"/>
          <w:szCs w:val="20"/>
          <w:lang w:val="uk-UA"/>
        </w:rPr>
        <w:t xml:space="preserve">«інтелектуальна упередженість», коли особа може неодноразово публічно займати таку позицію стосовно питання, </w:t>
      </w:r>
      <w:r w:rsidR="007261BD">
        <w:rPr>
          <w:sz w:val="20"/>
          <w:szCs w:val="20"/>
          <w:lang w:val="uk-UA"/>
        </w:rPr>
        <w:t>що</w:t>
      </w:r>
      <w:r w:rsidRPr="00FC5FAE">
        <w:rPr>
          <w:sz w:val="20"/>
          <w:szCs w:val="20"/>
          <w:lang w:val="uk-UA"/>
        </w:rPr>
        <w:t xml:space="preserve"> розглядається, </w:t>
      </w:r>
      <w:r w:rsidR="007261BD">
        <w:rPr>
          <w:sz w:val="20"/>
          <w:szCs w:val="20"/>
          <w:lang w:val="uk-UA"/>
        </w:rPr>
        <w:t>яка</w:t>
      </w:r>
      <w:r w:rsidRPr="00FC5FAE">
        <w:rPr>
          <w:sz w:val="20"/>
          <w:szCs w:val="20"/>
          <w:lang w:val="uk-UA"/>
        </w:rPr>
        <w:t xml:space="preserve"> може вплинути на об’єктивність і незалежність цієї особи в процесі розробки глобальної політики;</w:t>
      </w:r>
    </w:p>
    <w:p w14:paraId="37511D9E" w14:textId="441B5800" w:rsidR="00FC5FAE" w:rsidRPr="00FC5FAE" w:rsidRDefault="00FC5FAE" w:rsidP="00C141C1">
      <w:pPr>
        <w:pStyle w:val="a4"/>
        <w:numPr>
          <w:ilvl w:val="1"/>
          <w:numId w:val="3"/>
        </w:numPr>
        <w:tabs>
          <w:tab w:val="left" w:pos="850"/>
        </w:tabs>
        <w:spacing w:line="298" w:lineRule="auto"/>
        <w:ind w:right="6"/>
        <w:rPr>
          <w:sz w:val="20"/>
          <w:szCs w:val="20"/>
          <w:lang w:val="uk-UA"/>
        </w:rPr>
      </w:pPr>
      <w:r w:rsidRPr="00FC5FAE">
        <w:rPr>
          <w:sz w:val="20"/>
          <w:szCs w:val="20"/>
          <w:lang w:val="uk-UA"/>
        </w:rPr>
        <w:t>участь у дослідницькій роботі чи публікації матеріалів, пов'язаних з питаннями, що розглядаються;   а також</w:t>
      </w:r>
    </w:p>
    <w:p w14:paraId="7F2516C8" w14:textId="27DCFE05" w:rsidR="00E05B98" w:rsidRPr="0096518E" w:rsidRDefault="00FC5FAE" w:rsidP="00C141C1">
      <w:pPr>
        <w:pStyle w:val="a4"/>
        <w:numPr>
          <w:ilvl w:val="1"/>
          <w:numId w:val="3"/>
        </w:numPr>
        <w:tabs>
          <w:tab w:val="left" w:pos="850"/>
        </w:tabs>
        <w:spacing w:line="298" w:lineRule="auto"/>
        <w:ind w:right="6"/>
        <w:rPr>
          <w:sz w:val="20"/>
          <w:szCs w:val="20"/>
          <w:lang w:val="uk-UA"/>
        </w:rPr>
      </w:pPr>
      <w:r w:rsidRPr="00FC5FAE">
        <w:rPr>
          <w:sz w:val="20"/>
          <w:szCs w:val="20"/>
          <w:lang w:val="uk-UA"/>
        </w:rPr>
        <w:t>фінансовий інтерес понад 5000 доларів США.</w:t>
      </w:r>
    </w:p>
    <w:p w14:paraId="4CE7FF40" w14:textId="77777777" w:rsidR="00E05B98" w:rsidRPr="0096518E" w:rsidRDefault="00E05B98" w:rsidP="00C141C1">
      <w:pPr>
        <w:pStyle w:val="a3"/>
        <w:spacing w:before="38" w:line="298" w:lineRule="auto"/>
        <w:ind w:right="6"/>
        <w:rPr>
          <w:sz w:val="20"/>
          <w:szCs w:val="20"/>
          <w:lang w:val="uk-UA"/>
        </w:rPr>
      </w:pPr>
    </w:p>
    <w:p w14:paraId="3995EB34" w14:textId="77777777" w:rsidR="00852A2D" w:rsidRPr="00852A2D" w:rsidRDefault="00852A2D" w:rsidP="00C141C1">
      <w:pPr>
        <w:pStyle w:val="a3"/>
        <w:spacing w:before="172" w:line="298" w:lineRule="auto"/>
        <w:ind w:left="567" w:right="6"/>
        <w:jc w:val="both"/>
        <w:rPr>
          <w:w w:val="105"/>
          <w:sz w:val="20"/>
          <w:szCs w:val="20"/>
          <w:lang w:val="uk-UA"/>
        </w:rPr>
      </w:pPr>
      <w:r w:rsidRPr="00852A2D">
        <w:rPr>
          <w:w w:val="105"/>
          <w:sz w:val="20"/>
          <w:szCs w:val="20"/>
          <w:lang w:val="uk-UA"/>
        </w:rPr>
        <w:t>Розробники будь-якого аналізу ніколи не беруть участі в процесі розробки політики; це автоматично вважається конфліктом інтересів.</w:t>
      </w:r>
    </w:p>
    <w:p w14:paraId="322AFF3C" w14:textId="7C78DA75" w:rsidR="00E05B98" w:rsidRPr="0096518E" w:rsidRDefault="00852A2D" w:rsidP="00C141C1">
      <w:pPr>
        <w:pStyle w:val="a3"/>
        <w:spacing w:before="172" w:line="298" w:lineRule="auto"/>
        <w:ind w:left="567" w:right="6"/>
        <w:jc w:val="both"/>
        <w:rPr>
          <w:sz w:val="20"/>
          <w:szCs w:val="20"/>
          <w:lang w:val="uk-UA"/>
        </w:rPr>
      </w:pPr>
      <w:r w:rsidRPr="00852A2D">
        <w:rPr>
          <w:w w:val="105"/>
          <w:sz w:val="20"/>
          <w:szCs w:val="20"/>
          <w:lang w:val="uk-UA"/>
        </w:rPr>
        <w:t>Після того, як було встановлено</w:t>
      </w:r>
      <w:r w:rsidR="007261BD">
        <w:rPr>
          <w:w w:val="105"/>
          <w:sz w:val="20"/>
          <w:szCs w:val="20"/>
          <w:lang w:val="uk-UA"/>
        </w:rPr>
        <w:t xml:space="preserve"> відсутність</w:t>
      </w:r>
      <w:r w:rsidRPr="00852A2D">
        <w:rPr>
          <w:w w:val="105"/>
          <w:sz w:val="20"/>
          <w:szCs w:val="20"/>
          <w:lang w:val="uk-UA"/>
        </w:rPr>
        <w:t xml:space="preserve"> конфлікту інтересів</w:t>
      </w:r>
      <w:r w:rsidR="007261BD">
        <w:rPr>
          <w:w w:val="105"/>
          <w:sz w:val="20"/>
          <w:szCs w:val="20"/>
          <w:lang w:val="uk-UA"/>
        </w:rPr>
        <w:t>,</w:t>
      </w:r>
      <w:r w:rsidRPr="00852A2D">
        <w:rPr>
          <w:w w:val="105"/>
          <w:sz w:val="20"/>
          <w:szCs w:val="20"/>
          <w:lang w:val="uk-UA"/>
        </w:rPr>
        <w:t xml:space="preserve"> або будь-який конфлікт інтересів може бути належним чином врегулювано, і було прийнято рішення про призначення кандидата, ім’я та коротка біографія кожного кандидата були опубліковані на веб-сайті ВООЗ принаймні за 14 днів до проведення з</w:t>
      </w:r>
      <w:r w:rsidR="007261BD">
        <w:rPr>
          <w:w w:val="105"/>
          <w:sz w:val="20"/>
          <w:szCs w:val="20"/>
          <w:lang w:val="uk-UA"/>
        </w:rPr>
        <w:t>устрічі</w:t>
      </w:r>
      <w:r w:rsidRPr="00852A2D">
        <w:rPr>
          <w:w w:val="105"/>
          <w:sz w:val="20"/>
          <w:szCs w:val="20"/>
          <w:lang w:val="uk-UA"/>
        </w:rPr>
        <w:t xml:space="preserve"> для публічного повідомлення та надання коментарів.</w:t>
      </w:r>
    </w:p>
    <w:p w14:paraId="368E6EA6" w14:textId="77777777" w:rsidR="00E05B98" w:rsidRPr="003C6DAE" w:rsidRDefault="00E05B98" w:rsidP="00C141C1">
      <w:pPr>
        <w:pStyle w:val="a3"/>
        <w:spacing w:line="298" w:lineRule="auto"/>
        <w:ind w:right="6"/>
        <w:jc w:val="both"/>
        <w:rPr>
          <w:lang w:val="uk-UA"/>
        </w:rPr>
        <w:sectPr w:rsidR="00E05B98" w:rsidRPr="003C6DAE" w:rsidSect="007A0266">
          <w:footerReference w:type="even" r:id="rId240"/>
          <w:footerReference w:type="default" r:id="rId241"/>
          <w:pgSz w:w="11910" w:h="16840"/>
          <w:pgMar w:top="0" w:right="995" w:bottom="760" w:left="850" w:header="0" w:footer="573" w:gutter="0"/>
          <w:pgNumType w:start="153"/>
          <w:cols w:space="720"/>
        </w:sectPr>
      </w:pPr>
    </w:p>
    <w:p w14:paraId="1137A595" w14:textId="100806BC" w:rsidR="00E05B98" w:rsidRPr="00852A2D" w:rsidRDefault="007D1ABB" w:rsidP="007A0266">
      <w:pPr>
        <w:pStyle w:val="a3"/>
        <w:spacing w:before="52" w:line="297" w:lineRule="auto"/>
        <w:ind w:left="567" w:right="4"/>
        <w:jc w:val="both"/>
        <w:rPr>
          <w:sz w:val="20"/>
          <w:szCs w:val="20"/>
          <w:lang w:val="uk-UA"/>
        </w:rPr>
      </w:pPr>
      <w:r w:rsidRPr="007D1ABB">
        <w:rPr>
          <w:sz w:val="20"/>
          <w:szCs w:val="20"/>
          <w:lang w:val="uk-UA"/>
        </w:rPr>
        <w:lastRenderedPageBreak/>
        <w:t>Керівний комітет ВООЗ узагальнює заяви про декларування інтересів  на  початку з</w:t>
      </w:r>
      <w:r w:rsidR="007261BD">
        <w:rPr>
          <w:sz w:val="20"/>
          <w:szCs w:val="20"/>
          <w:lang w:val="uk-UA"/>
        </w:rPr>
        <w:t>устрічі</w:t>
      </w:r>
      <w:r w:rsidRPr="007D1ABB">
        <w:rPr>
          <w:sz w:val="20"/>
          <w:szCs w:val="20"/>
          <w:lang w:val="uk-UA"/>
        </w:rPr>
        <w:t>. Відібраних осіб, які займаються інтелектуальною чи дослідницькою діяльністю, було запрошено в якості технічних консультантів для надання технічної інформації та відповідей на технічні запитання. Ці особи не брали участі в процесі оцінки, розробки та аналізу об</w:t>
      </w:r>
      <w:r w:rsidR="007261BD">
        <w:rPr>
          <w:sz w:val="20"/>
          <w:szCs w:val="20"/>
          <w:lang w:val="uk-UA"/>
        </w:rPr>
        <w:t>ґ</w:t>
      </w:r>
      <w:r w:rsidRPr="007D1ABB">
        <w:rPr>
          <w:sz w:val="20"/>
          <w:szCs w:val="20"/>
          <w:lang w:val="uk-UA"/>
        </w:rPr>
        <w:t>рунтованості рекомендацій (</w:t>
      </w:r>
      <w:r w:rsidR="007261BD">
        <w:rPr>
          <w:sz w:val="20"/>
          <w:szCs w:val="20"/>
          <w:lang w:val="uk-UA"/>
        </w:rPr>
        <w:t xml:space="preserve">підхід </w:t>
      </w:r>
      <w:r w:rsidRPr="007D1ABB">
        <w:rPr>
          <w:sz w:val="20"/>
          <w:szCs w:val="20"/>
          <w:lang w:val="uk-UA"/>
        </w:rPr>
        <w:t>GRADE) і не приймали участі в групових обговореннях під час розробки рекомендацій.</w:t>
      </w:r>
    </w:p>
    <w:p w14:paraId="1ED7FF5A" w14:textId="5F693092" w:rsidR="00E05B98" w:rsidRPr="00401183" w:rsidRDefault="007D1ABB" w:rsidP="007A0266">
      <w:pPr>
        <w:pStyle w:val="6"/>
        <w:spacing w:before="247" w:line="249" w:lineRule="auto"/>
        <w:ind w:right="4"/>
        <w:jc w:val="both"/>
        <w:rPr>
          <w:sz w:val="20"/>
          <w:szCs w:val="20"/>
          <w:lang w:val="uk-UA"/>
        </w:rPr>
      </w:pPr>
      <w:r w:rsidRPr="00401183">
        <w:rPr>
          <w:color w:val="636466"/>
          <w:sz w:val="20"/>
          <w:szCs w:val="20"/>
          <w:lang w:val="uk-UA"/>
        </w:rPr>
        <w:t>Таблиця</w:t>
      </w:r>
      <w:r w:rsidR="00B01E0C" w:rsidRPr="00401183">
        <w:rPr>
          <w:color w:val="636466"/>
          <w:sz w:val="20"/>
          <w:szCs w:val="20"/>
          <w:lang w:val="uk-UA"/>
        </w:rPr>
        <w:t xml:space="preserve"> A.2.1. </w:t>
      </w:r>
      <w:r w:rsidR="001022A6" w:rsidRPr="001022A6">
        <w:rPr>
          <w:color w:val="636466"/>
          <w:sz w:val="20"/>
          <w:szCs w:val="20"/>
          <w:lang w:val="uk-UA"/>
        </w:rPr>
        <w:t>Короткий виклад заяв про декларації інтересів</w:t>
      </w:r>
      <w:r w:rsidR="00C047FB" w:rsidRPr="00401183">
        <w:rPr>
          <w:color w:val="636466"/>
          <w:sz w:val="20"/>
          <w:szCs w:val="20"/>
          <w:lang w:val="uk-UA"/>
        </w:rPr>
        <w:t xml:space="preserve"> членів ГРН: «Молекулярні аналізи, призначені </w:t>
      </w:r>
      <w:r w:rsidR="006632E5">
        <w:rPr>
          <w:color w:val="636466"/>
          <w:sz w:val="20"/>
          <w:szCs w:val="20"/>
          <w:lang w:val="uk-UA"/>
        </w:rPr>
        <w:t>для діагностики ТБ в якості</w:t>
      </w:r>
      <w:r w:rsidR="00C047FB" w:rsidRPr="00401183">
        <w:rPr>
          <w:color w:val="636466"/>
          <w:sz w:val="20"/>
          <w:szCs w:val="20"/>
          <w:lang w:val="uk-UA"/>
        </w:rPr>
        <w:t xml:space="preserve"> початкових </w:t>
      </w:r>
      <w:r w:rsidR="006632E5">
        <w:rPr>
          <w:color w:val="636466"/>
          <w:sz w:val="20"/>
          <w:szCs w:val="20"/>
          <w:lang w:val="uk-UA"/>
        </w:rPr>
        <w:t>тестів</w:t>
      </w:r>
      <w:r w:rsidR="00C047FB" w:rsidRPr="00401183">
        <w:rPr>
          <w:color w:val="636466"/>
          <w:sz w:val="20"/>
          <w:szCs w:val="20"/>
          <w:lang w:val="uk-UA"/>
        </w:rPr>
        <w:t>», 7–18 грудня 2020 р.</w:t>
      </w:r>
    </w:p>
    <w:p w14:paraId="5F6BD857" w14:textId="77777777" w:rsidR="00E05B98" w:rsidRPr="003C6DAE" w:rsidRDefault="00E05B98" w:rsidP="007A0266">
      <w:pPr>
        <w:pStyle w:val="a3"/>
        <w:spacing w:before="5"/>
        <w:ind w:right="4"/>
        <w:rPr>
          <w:rFonts w:ascii="Arial"/>
          <w:b/>
          <w:sz w:val="16"/>
          <w:lang w:val="uk-UA"/>
        </w:rPr>
      </w:pPr>
    </w:p>
    <w:tbl>
      <w:tblPr>
        <w:tblStyle w:val="TableNormal"/>
        <w:tblW w:w="9478" w:type="dxa"/>
        <w:tblInd w:w="57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2164"/>
        <w:gridCol w:w="4762"/>
        <w:gridCol w:w="2552"/>
      </w:tblGrid>
      <w:tr w:rsidR="00E05B98" w:rsidRPr="007A0266" w14:paraId="4E2C7628" w14:textId="77777777" w:rsidTr="007A0266">
        <w:trPr>
          <w:trHeight w:val="428"/>
        </w:trPr>
        <w:tc>
          <w:tcPr>
            <w:tcW w:w="2164" w:type="dxa"/>
            <w:tcBorders>
              <w:right w:val="single" w:sz="6" w:space="0" w:color="019648"/>
            </w:tcBorders>
            <w:shd w:val="clear" w:color="auto" w:fill="62A86B"/>
          </w:tcPr>
          <w:p w14:paraId="475767BC" w14:textId="3968F44A" w:rsidR="00E05B98" w:rsidRPr="003623F6" w:rsidRDefault="00C047FB" w:rsidP="007A0266">
            <w:pPr>
              <w:pStyle w:val="TableParagraph"/>
              <w:spacing w:before="95"/>
              <w:ind w:left="146" w:right="4"/>
              <w:rPr>
                <w:rFonts w:ascii="Arial" w:hAnsi="Arial" w:cs="Arial"/>
                <w:b/>
                <w:sz w:val="18"/>
                <w:szCs w:val="18"/>
                <w:lang w:val="uk-UA"/>
              </w:rPr>
            </w:pPr>
            <w:r w:rsidRPr="003623F6">
              <w:rPr>
                <w:rFonts w:ascii="Arial" w:hAnsi="Arial" w:cs="Arial"/>
                <w:b/>
                <w:color w:val="FFFFFF"/>
                <w:spacing w:val="-9"/>
                <w:sz w:val="18"/>
                <w:szCs w:val="18"/>
                <w:lang w:val="uk-UA"/>
              </w:rPr>
              <w:t>Член ГРН</w:t>
            </w:r>
          </w:p>
        </w:tc>
        <w:tc>
          <w:tcPr>
            <w:tcW w:w="4762" w:type="dxa"/>
            <w:tcBorders>
              <w:left w:val="single" w:sz="6" w:space="0" w:color="019648"/>
              <w:right w:val="single" w:sz="6" w:space="0" w:color="019648"/>
            </w:tcBorders>
            <w:shd w:val="clear" w:color="auto" w:fill="62A86B"/>
          </w:tcPr>
          <w:p w14:paraId="7F3360DF" w14:textId="5B1DD4EC" w:rsidR="00E05B98" w:rsidRPr="003623F6" w:rsidRDefault="00C047FB" w:rsidP="007A0266">
            <w:pPr>
              <w:pStyle w:val="TableParagraph"/>
              <w:spacing w:before="95"/>
              <w:ind w:left="138" w:right="4"/>
              <w:rPr>
                <w:rFonts w:ascii="Arial" w:hAnsi="Arial" w:cs="Arial"/>
                <w:b/>
                <w:sz w:val="18"/>
                <w:szCs w:val="18"/>
                <w:lang w:val="uk-UA"/>
              </w:rPr>
            </w:pPr>
            <w:r w:rsidRPr="003623F6">
              <w:rPr>
                <w:rFonts w:ascii="Arial" w:hAnsi="Arial" w:cs="Arial"/>
                <w:b/>
                <w:color w:val="FFFFFF"/>
                <w:spacing w:val="-2"/>
                <w:sz w:val="18"/>
                <w:szCs w:val="18"/>
                <w:lang w:val="uk-UA"/>
              </w:rPr>
              <w:t>Задекларовані інтереси</w:t>
            </w:r>
          </w:p>
        </w:tc>
        <w:tc>
          <w:tcPr>
            <w:tcW w:w="2552" w:type="dxa"/>
            <w:tcBorders>
              <w:left w:val="single" w:sz="6" w:space="0" w:color="019648"/>
              <w:right w:val="single" w:sz="6" w:space="0" w:color="019648"/>
            </w:tcBorders>
            <w:shd w:val="clear" w:color="auto" w:fill="62A86B"/>
          </w:tcPr>
          <w:p w14:paraId="71185973" w14:textId="774E6B4A" w:rsidR="00E05B98" w:rsidRPr="003623F6" w:rsidRDefault="00C047FB" w:rsidP="007A0266">
            <w:pPr>
              <w:pStyle w:val="TableParagraph"/>
              <w:spacing w:before="95"/>
              <w:ind w:left="139" w:right="4"/>
              <w:rPr>
                <w:rFonts w:ascii="Arial" w:hAnsi="Arial" w:cs="Arial"/>
                <w:b/>
                <w:sz w:val="18"/>
                <w:szCs w:val="18"/>
                <w:lang w:val="uk-UA"/>
              </w:rPr>
            </w:pPr>
            <w:r w:rsidRPr="003623F6">
              <w:rPr>
                <w:rFonts w:ascii="Arial" w:hAnsi="Arial" w:cs="Arial"/>
                <w:b/>
                <w:color w:val="FFFFFF"/>
                <w:spacing w:val="-2"/>
                <w:sz w:val="18"/>
                <w:szCs w:val="18"/>
                <w:lang w:val="uk-UA"/>
              </w:rPr>
              <w:t xml:space="preserve">Висновок </w:t>
            </w:r>
          </w:p>
        </w:tc>
      </w:tr>
      <w:tr w:rsidR="00E05B98" w:rsidRPr="007A0266" w14:paraId="444ACACB" w14:textId="77777777" w:rsidTr="007A0266">
        <w:trPr>
          <w:trHeight w:val="645"/>
        </w:trPr>
        <w:tc>
          <w:tcPr>
            <w:tcW w:w="2164" w:type="dxa"/>
            <w:tcBorders>
              <w:left w:val="nil"/>
              <w:bottom w:val="single" w:sz="6" w:space="0" w:color="019648"/>
              <w:right w:val="nil"/>
            </w:tcBorders>
          </w:tcPr>
          <w:p w14:paraId="1ABDAD3B" w14:textId="24439BB2" w:rsidR="00E05B98" w:rsidRPr="007A0266" w:rsidRDefault="00C047FB" w:rsidP="007A0266">
            <w:pPr>
              <w:pStyle w:val="TableParagraph"/>
              <w:spacing w:before="76" w:line="249" w:lineRule="auto"/>
              <w:ind w:left="133" w:right="4"/>
              <w:rPr>
                <w:sz w:val="18"/>
                <w:szCs w:val="18"/>
                <w:lang w:val="uk-UA"/>
              </w:rPr>
            </w:pPr>
            <w:proofErr w:type="spellStart"/>
            <w:r w:rsidRPr="007A0266">
              <w:rPr>
                <w:spacing w:val="-2"/>
                <w:sz w:val="18"/>
                <w:szCs w:val="18"/>
              </w:rPr>
              <w:t>Хольгер</w:t>
            </w:r>
            <w:proofErr w:type="spellEnd"/>
            <w:r w:rsidRPr="007A0266">
              <w:rPr>
                <w:spacing w:val="-2"/>
                <w:sz w:val="18"/>
                <w:szCs w:val="18"/>
              </w:rPr>
              <w:t xml:space="preserve"> </w:t>
            </w:r>
            <w:proofErr w:type="spellStart"/>
            <w:r w:rsidRPr="007A0266">
              <w:rPr>
                <w:spacing w:val="-2"/>
                <w:sz w:val="18"/>
                <w:szCs w:val="18"/>
              </w:rPr>
              <w:t>Шюнеманн</w:t>
            </w:r>
            <w:proofErr w:type="spellEnd"/>
          </w:p>
        </w:tc>
        <w:tc>
          <w:tcPr>
            <w:tcW w:w="4762" w:type="dxa"/>
            <w:tcBorders>
              <w:left w:val="nil"/>
              <w:bottom w:val="single" w:sz="6" w:space="0" w:color="019648"/>
              <w:right w:val="nil"/>
            </w:tcBorders>
          </w:tcPr>
          <w:p w14:paraId="79AB7BF5" w14:textId="7B44FE90" w:rsidR="00E05B98" w:rsidRPr="00CE4B93" w:rsidRDefault="0029215F" w:rsidP="007A0266">
            <w:pPr>
              <w:pStyle w:val="TableParagraph"/>
              <w:spacing w:before="76"/>
              <w:ind w:right="4"/>
              <w:rPr>
                <w:sz w:val="18"/>
                <w:szCs w:val="18"/>
                <w:lang w:val="uk-UA"/>
              </w:rPr>
            </w:pPr>
            <w:r w:rsidRPr="00CE4B93">
              <w:rPr>
                <w:sz w:val="18"/>
                <w:szCs w:val="18"/>
                <w:lang w:val="uk-UA"/>
              </w:rPr>
              <w:t>Не задекларовано жодного</w:t>
            </w:r>
          </w:p>
        </w:tc>
        <w:tc>
          <w:tcPr>
            <w:tcW w:w="2552" w:type="dxa"/>
            <w:tcBorders>
              <w:left w:val="nil"/>
              <w:bottom w:val="single" w:sz="6" w:space="0" w:color="019648"/>
              <w:right w:val="nil"/>
            </w:tcBorders>
          </w:tcPr>
          <w:p w14:paraId="42BF69CE" w14:textId="424479C9" w:rsidR="00E05B98" w:rsidRPr="007A0266" w:rsidRDefault="004178B8" w:rsidP="007A0266">
            <w:pPr>
              <w:pStyle w:val="TableParagraph"/>
              <w:spacing w:before="76"/>
              <w:ind w:left="124" w:right="4"/>
              <w:rPr>
                <w:sz w:val="18"/>
                <w:szCs w:val="18"/>
                <w:lang w:val="uk-UA"/>
              </w:rPr>
            </w:pPr>
            <w:r w:rsidRPr="007A0266">
              <w:rPr>
                <w:w w:val="105"/>
                <w:sz w:val="18"/>
                <w:szCs w:val="18"/>
                <w:lang w:val="uk-UA"/>
              </w:rPr>
              <w:t>Відсутність конфлікту інтересів</w:t>
            </w:r>
          </w:p>
        </w:tc>
      </w:tr>
      <w:tr w:rsidR="004178B8" w:rsidRPr="007A0266" w14:paraId="3E6FE2F3" w14:textId="77777777" w:rsidTr="007A0266">
        <w:trPr>
          <w:trHeight w:val="647"/>
        </w:trPr>
        <w:tc>
          <w:tcPr>
            <w:tcW w:w="2164" w:type="dxa"/>
            <w:tcBorders>
              <w:top w:val="single" w:sz="6" w:space="0" w:color="019648"/>
              <w:left w:val="nil"/>
              <w:bottom w:val="single" w:sz="6" w:space="0" w:color="019648"/>
              <w:right w:val="nil"/>
            </w:tcBorders>
          </w:tcPr>
          <w:p w14:paraId="0452A81D" w14:textId="2A894B76" w:rsidR="004178B8" w:rsidRPr="007A0266" w:rsidRDefault="004178B8" w:rsidP="007A0266">
            <w:pPr>
              <w:pStyle w:val="TableParagraph"/>
              <w:spacing w:line="249" w:lineRule="auto"/>
              <w:ind w:left="133" w:right="4"/>
              <w:rPr>
                <w:sz w:val="18"/>
                <w:szCs w:val="18"/>
                <w:lang w:val="uk-UA"/>
              </w:rPr>
            </w:pPr>
            <w:proofErr w:type="spellStart"/>
            <w:r w:rsidRPr="007A0266">
              <w:rPr>
                <w:spacing w:val="-4"/>
                <w:sz w:val="18"/>
                <w:szCs w:val="18"/>
              </w:rPr>
              <w:t>Джеремайя</w:t>
            </w:r>
            <w:proofErr w:type="spellEnd"/>
            <w:r w:rsidRPr="007A0266">
              <w:rPr>
                <w:spacing w:val="-4"/>
                <w:sz w:val="18"/>
                <w:szCs w:val="18"/>
              </w:rPr>
              <w:t xml:space="preserve"> </w:t>
            </w:r>
            <w:proofErr w:type="spellStart"/>
            <w:r w:rsidRPr="007A0266">
              <w:rPr>
                <w:spacing w:val="-4"/>
                <w:sz w:val="18"/>
                <w:szCs w:val="18"/>
              </w:rPr>
              <w:t>Чакая</w:t>
            </w:r>
            <w:proofErr w:type="spellEnd"/>
            <w:r w:rsidRPr="007A0266">
              <w:rPr>
                <w:spacing w:val="-4"/>
                <w:sz w:val="18"/>
                <w:szCs w:val="18"/>
              </w:rPr>
              <w:t xml:space="preserve"> </w:t>
            </w:r>
            <w:proofErr w:type="spellStart"/>
            <w:r w:rsidRPr="007A0266">
              <w:rPr>
                <w:spacing w:val="-4"/>
                <w:sz w:val="18"/>
                <w:szCs w:val="18"/>
              </w:rPr>
              <w:t>Мухва</w:t>
            </w:r>
            <w:proofErr w:type="spellEnd"/>
          </w:p>
        </w:tc>
        <w:tc>
          <w:tcPr>
            <w:tcW w:w="4762" w:type="dxa"/>
            <w:tcBorders>
              <w:top w:val="single" w:sz="6" w:space="0" w:color="019648"/>
              <w:left w:val="nil"/>
              <w:bottom w:val="single" w:sz="6" w:space="0" w:color="019648"/>
              <w:right w:val="nil"/>
            </w:tcBorders>
          </w:tcPr>
          <w:p w14:paraId="72081642" w14:textId="69B82DDF" w:rsidR="004178B8" w:rsidRPr="00CE4B93" w:rsidRDefault="004178B8" w:rsidP="007A0266">
            <w:pPr>
              <w:pStyle w:val="TableParagraph"/>
              <w:ind w:right="4"/>
              <w:rPr>
                <w:sz w:val="18"/>
                <w:szCs w:val="18"/>
                <w:lang w:val="uk-UA"/>
              </w:rPr>
            </w:pPr>
            <w:r w:rsidRPr="00CE4B93">
              <w:rPr>
                <w:sz w:val="18"/>
                <w:szCs w:val="18"/>
                <w:lang w:val="uk-UA"/>
              </w:rPr>
              <w:t>Не задекларовано жодного</w:t>
            </w:r>
          </w:p>
        </w:tc>
        <w:tc>
          <w:tcPr>
            <w:tcW w:w="2552" w:type="dxa"/>
            <w:tcBorders>
              <w:top w:val="single" w:sz="6" w:space="0" w:color="019648"/>
              <w:left w:val="nil"/>
              <w:bottom w:val="single" w:sz="6" w:space="0" w:color="019648"/>
              <w:right w:val="nil"/>
            </w:tcBorders>
          </w:tcPr>
          <w:p w14:paraId="3B4AC4E2" w14:textId="133DC1AC" w:rsidR="004178B8" w:rsidRPr="007A0266" w:rsidRDefault="004178B8" w:rsidP="007A0266">
            <w:pPr>
              <w:pStyle w:val="TableParagraph"/>
              <w:ind w:left="124" w:right="4"/>
              <w:rPr>
                <w:sz w:val="18"/>
                <w:szCs w:val="18"/>
                <w:lang w:val="uk-UA"/>
              </w:rPr>
            </w:pPr>
            <w:r w:rsidRPr="007A0266">
              <w:rPr>
                <w:w w:val="105"/>
                <w:sz w:val="18"/>
                <w:szCs w:val="18"/>
                <w:lang w:val="uk-UA"/>
              </w:rPr>
              <w:t>Відсутність конфлікту інтересів</w:t>
            </w:r>
          </w:p>
        </w:tc>
      </w:tr>
      <w:tr w:rsidR="004178B8" w:rsidRPr="007A0266" w14:paraId="7B1D0257" w14:textId="77777777" w:rsidTr="007A0266">
        <w:trPr>
          <w:trHeight w:val="647"/>
        </w:trPr>
        <w:tc>
          <w:tcPr>
            <w:tcW w:w="2164" w:type="dxa"/>
            <w:tcBorders>
              <w:top w:val="single" w:sz="6" w:space="0" w:color="019648"/>
              <w:left w:val="nil"/>
              <w:bottom w:val="single" w:sz="6" w:space="0" w:color="019648"/>
              <w:right w:val="nil"/>
            </w:tcBorders>
          </w:tcPr>
          <w:p w14:paraId="09B31738" w14:textId="1392BECA" w:rsidR="004178B8" w:rsidRPr="007A0266" w:rsidRDefault="004178B8" w:rsidP="007A0266">
            <w:pPr>
              <w:pStyle w:val="TableParagraph"/>
              <w:spacing w:before="11"/>
              <w:ind w:left="133" w:right="4"/>
              <w:rPr>
                <w:sz w:val="18"/>
                <w:szCs w:val="18"/>
                <w:lang w:val="uk-UA"/>
              </w:rPr>
            </w:pPr>
            <w:proofErr w:type="spellStart"/>
            <w:r w:rsidRPr="007A0266">
              <w:rPr>
                <w:spacing w:val="-2"/>
                <w:sz w:val="18"/>
                <w:szCs w:val="18"/>
              </w:rPr>
              <w:t>Ден</w:t>
            </w:r>
            <w:proofErr w:type="spellEnd"/>
            <w:r w:rsidRPr="007A0266">
              <w:rPr>
                <w:spacing w:val="-2"/>
                <w:sz w:val="18"/>
                <w:szCs w:val="18"/>
                <w:lang w:val="uk-UA"/>
              </w:rPr>
              <w:t>і</w:t>
            </w:r>
            <w:r w:rsidRPr="007A0266">
              <w:rPr>
                <w:spacing w:val="-2"/>
                <w:sz w:val="18"/>
                <w:szCs w:val="18"/>
              </w:rPr>
              <w:t xml:space="preserve">з </w:t>
            </w:r>
            <w:proofErr w:type="spellStart"/>
            <w:r w:rsidRPr="007A0266">
              <w:rPr>
                <w:spacing w:val="-2"/>
                <w:sz w:val="18"/>
                <w:szCs w:val="18"/>
              </w:rPr>
              <w:t>Аракак</w:t>
            </w:r>
            <w:proofErr w:type="spellEnd"/>
            <w:r w:rsidRPr="007A0266">
              <w:rPr>
                <w:spacing w:val="-2"/>
                <w:sz w:val="18"/>
                <w:szCs w:val="18"/>
                <w:lang w:val="uk-UA"/>
              </w:rPr>
              <w:t>і</w:t>
            </w:r>
            <w:r w:rsidRPr="007A0266">
              <w:rPr>
                <w:spacing w:val="-2"/>
                <w:sz w:val="18"/>
                <w:szCs w:val="18"/>
              </w:rPr>
              <w:t>-</w:t>
            </w:r>
            <w:proofErr w:type="spellStart"/>
            <w:r w:rsidRPr="007A0266">
              <w:rPr>
                <w:spacing w:val="-2"/>
                <w:sz w:val="18"/>
                <w:szCs w:val="18"/>
              </w:rPr>
              <w:t>Санчес</w:t>
            </w:r>
            <w:proofErr w:type="spellEnd"/>
          </w:p>
        </w:tc>
        <w:tc>
          <w:tcPr>
            <w:tcW w:w="4762" w:type="dxa"/>
            <w:tcBorders>
              <w:top w:val="single" w:sz="6" w:space="0" w:color="019648"/>
              <w:left w:val="nil"/>
              <w:bottom w:val="single" w:sz="6" w:space="0" w:color="019648"/>
              <w:right w:val="nil"/>
            </w:tcBorders>
          </w:tcPr>
          <w:p w14:paraId="368E86FA" w14:textId="3EC39CCE" w:rsidR="004178B8" w:rsidRPr="00CE4B93" w:rsidRDefault="004178B8" w:rsidP="007A0266">
            <w:pPr>
              <w:pStyle w:val="TableParagraph"/>
              <w:ind w:right="4"/>
              <w:rPr>
                <w:sz w:val="18"/>
                <w:szCs w:val="18"/>
                <w:lang w:val="uk-UA"/>
              </w:rPr>
            </w:pPr>
            <w:r w:rsidRPr="00CE4B93">
              <w:rPr>
                <w:sz w:val="18"/>
                <w:szCs w:val="18"/>
                <w:lang w:val="uk-UA"/>
              </w:rPr>
              <w:t>Не задекларовано жодного</w:t>
            </w:r>
          </w:p>
        </w:tc>
        <w:tc>
          <w:tcPr>
            <w:tcW w:w="2552" w:type="dxa"/>
            <w:tcBorders>
              <w:top w:val="single" w:sz="6" w:space="0" w:color="019648"/>
              <w:left w:val="nil"/>
              <w:bottom w:val="single" w:sz="6" w:space="0" w:color="019648"/>
              <w:right w:val="nil"/>
            </w:tcBorders>
          </w:tcPr>
          <w:p w14:paraId="14DCF12D" w14:textId="6411DF63" w:rsidR="004178B8" w:rsidRPr="007A0266" w:rsidRDefault="004178B8" w:rsidP="007A0266">
            <w:pPr>
              <w:pStyle w:val="TableParagraph"/>
              <w:ind w:left="124" w:right="4"/>
              <w:rPr>
                <w:sz w:val="18"/>
                <w:szCs w:val="18"/>
                <w:lang w:val="uk-UA"/>
              </w:rPr>
            </w:pPr>
            <w:r w:rsidRPr="007A0266">
              <w:rPr>
                <w:w w:val="105"/>
                <w:sz w:val="18"/>
                <w:szCs w:val="18"/>
                <w:lang w:val="uk-UA"/>
              </w:rPr>
              <w:t>Відсутність конфлікту інтересів</w:t>
            </w:r>
          </w:p>
        </w:tc>
      </w:tr>
      <w:tr w:rsidR="004178B8" w:rsidRPr="007A0266" w14:paraId="7F353231" w14:textId="77777777" w:rsidTr="007A0266">
        <w:trPr>
          <w:trHeight w:val="387"/>
        </w:trPr>
        <w:tc>
          <w:tcPr>
            <w:tcW w:w="2164" w:type="dxa"/>
            <w:tcBorders>
              <w:top w:val="single" w:sz="6" w:space="0" w:color="019648"/>
              <w:left w:val="nil"/>
              <w:bottom w:val="single" w:sz="6" w:space="0" w:color="019648"/>
              <w:right w:val="nil"/>
            </w:tcBorders>
          </w:tcPr>
          <w:p w14:paraId="22EFD03F" w14:textId="0D374460" w:rsidR="004178B8" w:rsidRPr="007A0266" w:rsidRDefault="004178B8" w:rsidP="007A0266">
            <w:pPr>
              <w:pStyle w:val="TableParagraph"/>
              <w:ind w:left="133" w:right="4"/>
              <w:rPr>
                <w:sz w:val="18"/>
                <w:szCs w:val="18"/>
                <w:lang w:val="uk-UA"/>
              </w:rPr>
            </w:pPr>
            <w:r w:rsidRPr="007A0266">
              <w:rPr>
                <w:sz w:val="18"/>
                <w:szCs w:val="18"/>
              </w:rPr>
              <w:t>Д</w:t>
            </w:r>
            <w:r w:rsidRPr="007A0266">
              <w:rPr>
                <w:sz w:val="18"/>
                <w:szCs w:val="18"/>
                <w:lang w:val="uk-UA"/>
              </w:rPr>
              <w:t>е</w:t>
            </w:r>
            <w:r w:rsidRPr="007A0266">
              <w:rPr>
                <w:sz w:val="18"/>
                <w:szCs w:val="18"/>
              </w:rPr>
              <w:t>в</w:t>
            </w:r>
            <w:r w:rsidRPr="007A0266">
              <w:rPr>
                <w:sz w:val="18"/>
                <w:szCs w:val="18"/>
                <w:lang w:val="uk-UA"/>
              </w:rPr>
              <w:t>і</w:t>
            </w:r>
            <w:r w:rsidRPr="007A0266">
              <w:rPr>
                <w:sz w:val="18"/>
                <w:szCs w:val="18"/>
              </w:rPr>
              <w:t xml:space="preserve">д </w:t>
            </w:r>
            <w:proofErr w:type="spellStart"/>
            <w:r w:rsidRPr="007A0266">
              <w:rPr>
                <w:sz w:val="18"/>
                <w:szCs w:val="18"/>
              </w:rPr>
              <w:t>Бран</w:t>
            </w:r>
            <w:proofErr w:type="spellEnd"/>
            <w:r w:rsidRPr="007A0266">
              <w:rPr>
                <w:sz w:val="18"/>
                <w:szCs w:val="18"/>
                <w:lang w:val="uk-UA"/>
              </w:rPr>
              <w:t>і</w:t>
            </w:r>
            <w:proofErr w:type="spellStart"/>
            <w:r w:rsidRPr="007A0266">
              <w:rPr>
                <w:sz w:val="18"/>
                <w:szCs w:val="18"/>
              </w:rPr>
              <w:t>ган</w:t>
            </w:r>
            <w:proofErr w:type="spellEnd"/>
          </w:p>
        </w:tc>
        <w:tc>
          <w:tcPr>
            <w:tcW w:w="4762" w:type="dxa"/>
            <w:tcBorders>
              <w:top w:val="single" w:sz="6" w:space="0" w:color="019648"/>
              <w:left w:val="nil"/>
              <w:bottom w:val="single" w:sz="6" w:space="0" w:color="019648"/>
              <w:right w:val="nil"/>
            </w:tcBorders>
          </w:tcPr>
          <w:p w14:paraId="6514D87A" w14:textId="0A42D33E" w:rsidR="004178B8" w:rsidRPr="00CE4B93" w:rsidRDefault="004178B8" w:rsidP="007A0266">
            <w:pPr>
              <w:pStyle w:val="TableParagraph"/>
              <w:ind w:right="4"/>
              <w:rPr>
                <w:sz w:val="18"/>
                <w:szCs w:val="18"/>
                <w:lang w:val="uk-UA"/>
              </w:rPr>
            </w:pPr>
            <w:r w:rsidRPr="00CE4B93">
              <w:rPr>
                <w:sz w:val="18"/>
                <w:szCs w:val="18"/>
                <w:lang w:val="uk-UA"/>
              </w:rPr>
              <w:t>Не задекларовано жодного</w:t>
            </w:r>
          </w:p>
        </w:tc>
        <w:tc>
          <w:tcPr>
            <w:tcW w:w="2552" w:type="dxa"/>
            <w:tcBorders>
              <w:top w:val="single" w:sz="6" w:space="0" w:color="019648"/>
              <w:left w:val="nil"/>
              <w:bottom w:val="single" w:sz="6" w:space="0" w:color="019648"/>
              <w:right w:val="nil"/>
            </w:tcBorders>
          </w:tcPr>
          <w:p w14:paraId="6BC1A71F" w14:textId="3543F5FB" w:rsidR="004178B8" w:rsidRPr="007A0266" w:rsidRDefault="004178B8" w:rsidP="007A0266">
            <w:pPr>
              <w:pStyle w:val="TableParagraph"/>
              <w:ind w:left="124" w:right="4"/>
              <w:rPr>
                <w:sz w:val="18"/>
                <w:szCs w:val="18"/>
                <w:lang w:val="uk-UA"/>
              </w:rPr>
            </w:pPr>
            <w:r w:rsidRPr="007A0266">
              <w:rPr>
                <w:w w:val="105"/>
                <w:sz w:val="18"/>
                <w:szCs w:val="18"/>
                <w:lang w:val="uk-UA"/>
              </w:rPr>
              <w:t>Відсутність конфлікту інтересів</w:t>
            </w:r>
          </w:p>
        </w:tc>
      </w:tr>
      <w:tr w:rsidR="00E05B98" w:rsidRPr="00D029FF" w14:paraId="793C688A" w14:textId="77777777" w:rsidTr="007A0266">
        <w:trPr>
          <w:trHeight w:val="2207"/>
        </w:trPr>
        <w:tc>
          <w:tcPr>
            <w:tcW w:w="2164" w:type="dxa"/>
            <w:tcBorders>
              <w:top w:val="single" w:sz="6" w:space="0" w:color="019648"/>
              <w:left w:val="nil"/>
              <w:bottom w:val="single" w:sz="6" w:space="0" w:color="019648"/>
              <w:right w:val="nil"/>
            </w:tcBorders>
          </w:tcPr>
          <w:p w14:paraId="36D36B3A" w14:textId="55D1EF97" w:rsidR="00E05B98" w:rsidRPr="007A0266" w:rsidRDefault="004178B8" w:rsidP="007A0266">
            <w:pPr>
              <w:pStyle w:val="TableParagraph"/>
              <w:ind w:left="133" w:right="4"/>
              <w:rPr>
                <w:sz w:val="18"/>
                <w:szCs w:val="18"/>
                <w:lang w:val="uk-UA"/>
              </w:rPr>
            </w:pPr>
            <w:proofErr w:type="spellStart"/>
            <w:r w:rsidRPr="00C047FB">
              <w:rPr>
                <w:rFonts w:eastAsia="Times New Roman"/>
                <w:color w:val="000000"/>
                <w:sz w:val="18"/>
                <w:szCs w:val="18"/>
                <w:lang w:val="uk-UA" w:eastAsia="uk-UA"/>
              </w:rPr>
              <w:t>Дан</w:t>
            </w:r>
            <w:r w:rsidRPr="007A0266">
              <w:rPr>
                <w:rFonts w:eastAsia="Times New Roman"/>
                <w:color w:val="000000"/>
                <w:sz w:val="18"/>
                <w:szCs w:val="18"/>
                <w:lang w:val="uk-UA" w:eastAsia="uk-UA"/>
              </w:rPr>
              <w:t>іе</w:t>
            </w:r>
            <w:r w:rsidRPr="00C047FB">
              <w:rPr>
                <w:rFonts w:eastAsia="Times New Roman"/>
                <w:color w:val="000000"/>
                <w:sz w:val="18"/>
                <w:szCs w:val="18"/>
                <w:lang w:val="uk-UA" w:eastAsia="uk-UA"/>
              </w:rPr>
              <w:t>ла</w:t>
            </w:r>
            <w:proofErr w:type="spellEnd"/>
            <w:r w:rsidRPr="00C047FB">
              <w:rPr>
                <w:rFonts w:eastAsia="Times New Roman"/>
                <w:color w:val="000000"/>
                <w:sz w:val="18"/>
                <w:szCs w:val="18"/>
                <w:lang w:val="uk-UA" w:eastAsia="uk-UA"/>
              </w:rPr>
              <w:t xml:space="preserve"> </w:t>
            </w:r>
            <w:proofErr w:type="spellStart"/>
            <w:r w:rsidRPr="00C047FB">
              <w:rPr>
                <w:rFonts w:eastAsia="Times New Roman"/>
                <w:color w:val="000000"/>
                <w:sz w:val="18"/>
                <w:szCs w:val="18"/>
                <w:lang w:val="uk-UA" w:eastAsia="uk-UA"/>
              </w:rPr>
              <w:t>Ч</w:t>
            </w:r>
            <w:r w:rsidRPr="007A0266">
              <w:rPr>
                <w:rFonts w:eastAsia="Times New Roman"/>
                <w:color w:val="000000"/>
                <w:sz w:val="18"/>
                <w:szCs w:val="18"/>
                <w:lang w:val="uk-UA" w:eastAsia="uk-UA"/>
              </w:rPr>
              <w:t>і</w:t>
            </w:r>
            <w:r w:rsidRPr="00C047FB">
              <w:rPr>
                <w:rFonts w:eastAsia="Times New Roman"/>
                <w:color w:val="000000"/>
                <w:sz w:val="18"/>
                <w:szCs w:val="18"/>
                <w:lang w:val="uk-UA" w:eastAsia="uk-UA"/>
              </w:rPr>
              <w:t>р</w:t>
            </w:r>
            <w:r w:rsidRPr="007A0266">
              <w:rPr>
                <w:rFonts w:eastAsia="Times New Roman"/>
                <w:color w:val="000000"/>
                <w:sz w:val="18"/>
                <w:szCs w:val="18"/>
                <w:lang w:val="uk-UA" w:eastAsia="uk-UA"/>
              </w:rPr>
              <w:t>і</w:t>
            </w:r>
            <w:r w:rsidRPr="00C047FB">
              <w:rPr>
                <w:rFonts w:eastAsia="Times New Roman"/>
                <w:color w:val="000000"/>
                <w:sz w:val="18"/>
                <w:szCs w:val="18"/>
                <w:lang w:val="uk-UA" w:eastAsia="uk-UA"/>
              </w:rPr>
              <w:t>лло</w:t>
            </w:r>
            <w:proofErr w:type="spellEnd"/>
          </w:p>
        </w:tc>
        <w:tc>
          <w:tcPr>
            <w:tcW w:w="4762" w:type="dxa"/>
            <w:tcBorders>
              <w:top w:val="single" w:sz="6" w:space="0" w:color="019648"/>
              <w:left w:val="nil"/>
              <w:bottom w:val="single" w:sz="6" w:space="0" w:color="019648"/>
              <w:right w:val="nil"/>
            </w:tcBorders>
          </w:tcPr>
          <w:p w14:paraId="19047DC5" w14:textId="20406216" w:rsidR="00E05B98" w:rsidRPr="007A0266" w:rsidRDefault="00F422DE" w:rsidP="007A0266">
            <w:pPr>
              <w:pStyle w:val="TableParagraph"/>
              <w:spacing w:before="5" w:line="249" w:lineRule="auto"/>
              <w:ind w:right="4"/>
              <w:rPr>
                <w:sz w:val="18"/>
                <w:szCs w:val="18"/>
                <w:lang w:val="uk-UA"/>
              </w:rPr>
            </w:pPr>
            <w:r w:rsidRPr="007A0266">
              <w:rPr>
                <w:sz w:val="18"/>
                <w:szCs w:val="18"/>
                <w:lang w:val="uk-UA"/>
              </w:rPr>
              <w:t xml:space="preserve">Оцінка прототипу тесту на виявлення стійкості до широкого спектру </w:t>
            </w:r>
            <w:r w:rsidR="00CE4B93">
              <w:rPr>
                <w:sz w:val="18"/>
                <w:szCs w:val="18"/>
                <w:lang w:val="uk-UA"/>
              </w:rPr>
              <w:t>л</w:t>
            </w:r>
            <w:r w:rsidRPr="007A0266">
              <w:rPr>
                <w:sz w:val="18"/>
                <w:szCs w:val="18"/>
                <w:lang w:val="uk-UA"/>
              </w:rPr>
              <w:t>ікарських препаратів (ШЛС-тест). Проєкт фінансується Cepheid та FIND. Бюджет (дослідницький підрозділ): 14 296 доларів США; 2018. Член Науково-консультативної ради (BIOMERIEUX). Бюджет (власний): 1000 доларів США; 2020–2021. Оцінка стабільності крові для VIDAS (BIOMERIEUX). Бюджет (дослідницький підрозділ): 11 200 доларів США; 2019 р.</w:t>
            </w:r>
          </w:p>
        </w:tc>
        <w:tc>
          <w:tcPr>
            <w:tcW w:w="2552" w:type="dxa"/>
            <w:tcBorders>
              <w:top w:val="single" w:sz="6" w:space="0" w:color="019648"/>
              <w:left w:val="nil"/>
              <w:bottom w:val="single" w:sz="6" w:space="0" w:color="019648"/>
              <w:right w:val="nil"/>
            </w:tcBorders>
          </w:tcPr>
          <w:p w14:paraId="5C59B9DE" w14:textId="006D76D2" w:rsidR="00E05B98" w:rsidRPr="007A0266" w:rsidRDefault="00F422DE" w:rsidP="007A0266">
            <w:pPr>
              <w:pStyle w:val="TableParagraph"/>
              <w:spacing w:line="249" w:lineRule="auto"/>
              <w:ind w:left="124" w:right="4"/>
              <w:rPr>
                <w:sz w:val="18"/>
                <w:szCs w:val="18"/>
                <w:lang w:val="uk-UA"/>
              </w:rPr>
            </w:pPr>
            <w:r w:rsidRPr="007A0266">
              <w:rPr>
                <w:sz w:val="18"/>
                <w:szCs w:val="18"/>
                <w:lang w:val="uk-UA"/>
              </w:rPr>
              <w:t>Значний конфлікт інтересів – виключена з обговорення стосовно автоматизованих ТАНК низької складності</w:t>
            </w:r>
          </w:p>
        </w:tc>
      </w:tr>
      <w:tr w:rsidR="004178B8" w:rsidRPr="007A0266" w14:paraId="7B1E9353" w14:textId="77777777" w:rsidTr="007A0266">
        <w:trPr>
          <w:trHeight w:val="647"/>
        </w:trPr>
        <w:tc>
          <w:tcPr>
            <w:tcW w:w="2164" w:type="dxa"/>
            <w:tcBorders>
              <w:top w:val="single" w:sz="6" w:space="0" w:color="019648"/>
              <w:left w:val="nil"/>
              <w:bottom w:val="single" w:sz="6" w:space="0" w:color="019648"/>
              <w:right w:val="nil"/>
            </w:tcBorders>
          </w:tcPr>
          <w:p w14:paraId="1D836FBE" w14:textId="222EAC12" w:rsidR="004178B8" w:rsidRPr="007A0266" w:rsidRDefault="004178B8" w:rsidP="007A0266">
            <w:pPr>
              <w:pStyle w:val="TableParagraph"/>
              <w:spacing w:line="249" w:lineRule="auto"/>
              <w:ind w:left="133" w:right="4"/>
              <w:rPr>
                <w:sz w:val="18"/>
                <w:szCs w:val="18"/>
                <w:lang w:val="uk-UA"/>
              </w:rPr>
            </w:pPr>
            <w:proofErr w:type="spellStart"/>
            <w:r w:rsidRPr="007A0266">
              <w:rPr>
                <w:sz w:val="18"/>
                <w:szCs w:val="18"/>
              </w:rPr>
              <w:t>Сел</w:t>
            </w:r>
            <w:proofErr w:type="spellEnd"/>
            <w:r w:rsidRPr="007A0266">
              <w:rPr>
                <w:sz w:val="18"/>
                <w:szCs w:val="18"/>
                <w:lang w:val="uk-UA"/>
              </w:rPr>
              <w:t>і</w:t>
            </w:r>
            <w:proofErr w:type="spellStart"/>
            <w:r w:rsidRPr="007A0266">
              <w:rPr>
                <w:sz w:val="18"/>
                <w:szCs w:val="18"/>
              </w:rPr>
              <w:t>на</w:t>
            </w:r>
            <w:proofErr w:type="spellEnd"/>
            <w:r w:rsidRPr="007A0266">
              <w:rPr>
                <w:sz w:val="18"/>
                <w:szCs w:val="18"/>
              </w:rPr>
              <w:t xml:space="preserve"> </w:t>
            </w:r>
            <w:proofErr w:type="spellStart"/>
            <w:r w:rsidRPr="007A0266">
              <w:rPr>
                <w:sz w:val="18"/>
                <w:szCs w:val="18"/>
              </w:rPr>
              <w:t>Анна</w:t>
            </w:r>
            <w:proofErr w:type="spellEnd"/>
            <w:r w:rsidRPr="007A0266">
              <w:rPr>
                <w:sz w:val="18"/>
                <w:szCs w:val="18"/>
              </w:rPr>
              <w:t xml:space="preserve"> </w:t>
            </w:r>
            <w:proofErr w:type="spellStart"/>
            <w:r w:rsidRPr="007A0266">
              <w:rPr>
                <w:sz w:val="18"/>
                <w:szCs w:val="18"/>
              </w:rPr>
              <w:t>Мар</w:t>
            </w:r>
            <w:proofErr w:type="spellEnd"/>
            <w:r w:rsidRPr="007A0266">
              <w:rPr>
                <w:sz w:val="18"/>
                <w:szCs w:val="18"/>
                <w:lang w:val="uk-UA"/>
              </w:rPr>
              <w:t>і</w:t>
            </w:r>
            <w:r w:rsidRPr="007A0266">
              <w:rPr>
                <w:sz w:val="18"/>
                <w:szCs w:val="18"/>
              </w:rPr>
              <w:t>я Гарф</w:t>
            </w:r>
            <w:r w:rsidRPr="007A0266">
              <w:rPr>
                <w:sz w:val="18"/>
                <w:szCs w:val="18"/>
                <w:lang w:val="uk-UA"/>
              </w:rPr>
              <w:t>і</w:t>
            </w:r>
            <w:r w:rsidRPr="007A0266">
              <w:rPr>
                <w:sz w:val="18"/>
                <w:szCs w:val="18"/>
              </w:rPr>
              <w:t>н</w:t>
            </w:r>
          </w:p>
        </w:tc>
        <w:tc>
          <w:tcPr>
            <w:tcW w:w="4762" w:type="dxa"/>
            <w:tcBorders>
              <w:top w:val="single" w:sz="6" w:space="0" w:color="019648"/>
              <w:left w:val="nil"/>
              <w:bottom w:val="single" w:sz="6" w:space="0" w:color="019648"/>
              <w:right w:val="nil"/>
            </w:tcBorders>
          </w:tcPr>
          <w:p w14:paraId="56629E5E" w14:textId="4D8C823E" w:rsidR="004178B8" w:rsidRPr="007A0266" w:rsidRDefault="004178B8" w:rsidP="007A0266">
            <w:pPr>
              <w:pStyle w:val="TableParagraph"/>
              <w:ind w:right="4"/>
              <w:rPr>
                <w:sz w:val="18"/>
                <w:szCs w:val="18"/>
                <w:lang w:val="uk-UA"/>
              </w:rPr>
            </w:pPr>
            <w:r w:rsidRPr="007A0266">
              <w:rPr>
                <w:sz w:val="18"/>
                <w:szCs w:val="18"/>
              </w:rPr>
              <w:t>Не задекларовано жодного</w:t>
            </w:r>
          </w:p>
        </w:tc>
        <w:tc>
          <w:tcPr>
            <w:tcW w:w="2552" w:type="dxa"/>
            <w:tcBorders>
              <w:top w:val="single" w:sz="6" w:space="0" w:color="019648"/>
              <w:left w:val="nil"/>
              <w:bottom w:val="single" w:sz="6" w:space="0" w:color="019648"/>
              <w:right w:val="nil"/>
            </w:tcBorders>
          </w:tcPr>
          <w:p w14:paraId="20626DE4" w14:textId="730C6998" w:rsidR="004178B8" w:rsidRPr="007A0266" w:rsidRDefault="004178B8" w:rsidP="007A0266">
            <w:pPr>
              <w:pStyle w:val="TableParagraph"/>
              <w:ind w:left="124" w:right="4"/>
              <w:rPr>
                <w:sz w:val="18"/>
                <w:szCs w:val="18"/>
                <w:lang w:val="uk-UA"/>
              </w:rPr>
            </w:pPr>
            <w:r w:rsidRPr="007A0266">
              <w:rPr>
                <w:w w:val="105"/>
                <w:sz w:val="18"/>
                <w:szCs w:val="18"/>
                <w:lang w:val="uk-UA"/>
              </w:rPr>
              <w:t>Відсутність конфлікту інтересів</w:t>
            </w:r>
          </w:p>
        </w:tc>
      </w:tr>
      <w:tr w:rsidR="004178B8" w:rsidRPr="007A0266" w14:paraId="75EEBB61" w14:textId="77777777" w:rsidTr="007A0266">
        <w:trPr>
          <w:trHeight w:val="387"/>
        </w:trPr>
        <w:tc>
          <w:tcPr>
            <w:tcW w:w="2164" w:type="dxa"/>
            <w:tcBorders>
              <w:top w:val="single" w:sz="6" w:space="0" w:color="019648"/>
              <w:left w:val="nil"/>
              <w:bottom w:val="single" w:sz="6" w:space="0" w:color="019648"/>
              <w:right w:val="nil"/>
            </w:tcBorders>
          </w:tcPr>
          <w:p w14:paraId="5F06CCA3" w14:textId="5B7B1606" w:rsidR="004178B8" w:rsidRPr="007A0266" w:rsidRDefault="004178B8" w:rsidP="007A0266">
            <w:pPr>
              <w:pStyle w:val="TableParagraph"/>
              <w:ind w:left="133" w:right="4"/>
              <w:rPr>
                <w:sz w:val="18"/>
                <w:szCs w:val="18"/>
                <w:lang w:val="uk-UA"/>
              </w:rPr>
            </w:pPr>
            <w:r w:rsidRPr="007A0266">
              <w:rPr>
                <w:sz w:val="18"/>
                <w:szCs w:val="18"/>
              </w:rPr>
              <w:t>Петра де Хаас</w:t>
            </w:r>
          </w:p>
        </w:tc>
        <w:tc>
          <w:tcPr>
            <w:tcW w:w="4762" w:type="dxa"/>
            <w:tcBorders>
              <w:top w:val="single" w:sz="6" w:space="0" w:color="019648"/>
              <w:left w:val="nil"/>
              <w:bottom w:val="single" w:sz="6" w:space="0" w:color="019648"/>
              <w:right w:val="nil"/>
            </w:tcBorders>
          </w:tcPr>
          <w:p w14:paraId="22E5823A" w14:textId="5B030DD9" w:rsidR="004178B8" w:rsidRPr="007A0266" w:rsidRDefault="004178B8" w:rsidP="007A0266">
            <w:pPr>
              <w:pStyle w:val="TableParagraph"/>
              <w:ind w:right="4"/>
              <w:rPr>
                <w:sz w:val="18"/>
                <w:szCs w:val="18"/>
                <w:lang w:val="uk-UA"/>
              </w:rPr>
            </w:pPr>
            <w:r w:rsidRPr="007A0266">
              <w:rPr>
                <w:sz w:val="18"/>
                <w:szCs w:val="18"/>
              </w:rPr>
              <w:t>Не задекларовано жодного</w:t>
            </w:r>
          </w:p>
        </w:tc>
        <w:tc>
          <w:tcPr>
            <w:tcW w:w="2552" w:type="dxa"/>
            <w:tcBorders>
              <w:top w:val="single" w:sz="6" w:space="0" w:color="019648"/>
              <w:left w:val="nil"/>
              <w:bottom w:val="single" w:sz="6" w:space="0" w:color="019648"/>
              <w:right w:val="nil"/>
            </w:tcBorders>
          </w:tcPr>
          <w:p w14:paraId="59C1ABF5" w14:textId="1AA4EBAC" w:rsidR="004178B8" w:rsidRPr="007A0266" w:rsidRDefault="004178B8" w:rsidP="007A0266">
            <w:pPr>
              <w:pStyle w:val="TableParagraph"/>
              <w:ind w:left="124" w:right="4"/>
              <w:rPr>
                <w:sz w:val="18"/>
                <w:szCs w:val="18"/>
                <w:lang w:val="uk-UA"/>
              </w:rPr>
            </w:pPr>
            <w:r w:rsidRPr="007A0266">
              <w:rPr>
                <w:w w:val="105"/>
                <w:sz w:val="18"/>
                <w:szCs w:val="18"/>
                <w:lang w:val="uk-UA"/>
              </w:rPr>
              <w:t>Відсутність конфлікту інтересів</w:t>
            </w:r>
          </w:p>
        </w:tc>
      </w:tr>
      <w:tr w:rsidR="00E05B98" w:rsidRPr="007A0266" w14:paraId="3ECB9F91" w14:textId="77777777" w:rsidTr="007A0266">
        <w:trPr>
          <w:trHeight w:val="3591"/>
        </w:trPr>
        <w:tc>
          <w:tcPr>
            <w:tcW w:w="2164" w:type="dxa"/>
            <w:tcBorders>
              <w:top w:val="single" w:sz="6" w:space="0" w:color="019648"/>
              <w:left w:val="nil"/>
              <w:bottom w:val="single" w:sz="6" w:space="0" w:color="019648"/>
              <w:right w:val="nil"/>
            </w:tcBorders>
          </w:tcPr>
          <w:p w14:paraId="62976F39" w14:textId="39127275" w:rsidR="00E05B98" w:rsidRPr="007A0266" w:rsidRDefault="00C047FB" w:rsidP="007A0266">
            <w:pPr>
              <w:pStyle w:val="TableParagraph"/>
              <w:ind w:left="133" w:right="4"/>
              <w:rPr>
                <w:sz w:val="18"/>
                <w:szCs w:val="18"/>
                <w:lang w:val="uk-UA"/>
              </w:rPr>
            </w:pPr>
            <w:r w:rsidRPr="007A0266">
              <w:rPr>
                <w:spacing w:val="-4"/>
                <w:sz w:val="18"/>
                <w:szCs w:val="18"/>
              </w:rPr>
              <w:t>Патр</w:t>
            </w:r>
            <w:r w:rsidRPr="007A0266">
              <w:rPr>
                <w:spacing w:val="-4"/>
                <w:sz w:val="18"/>
                <w:szCs w:val="18"/>
                <w:lang w:val="uk-UA"/>
              </w:rPr>
              <w:t>і</w:t>
            </w:r>
            <w:r w:rsidRPr="007A0266">
              <w:rPr>
                <w:spacing w:val="-4"/>
                <w:sz w:val="18"/>
                <w:szCs w:val="18"/>
              </w:rPr>
              <w:t>с</w:t>
            </w:r>
            <w:r w:rsidRPr="007A0266">
              <w:rPr>
                <w:spacing w:val="-4"/>
                <w:sz w:val="18"/>
                <w:szCs w:val="18"/>
                <w:lang w:val="uk-UA"/>
              </w:rPr>
              <w:t>і</w:t>
            </w:r>
            <w:r w:rsidRPr="007A0266">
              <w:rPr>
                <w:spacing w:val="-4"/>
                <w:sz w:val="18"/>
                <w:szCs w:val="18"/>
              </w:rPr>
              <w:t>я Холл</w:t>
            </w:r>
          </w:p>
        </w:tc>
        <w:tc>
          <w:tcPr>
            <w:tcW w:w="4762" w:type="dxa"/>
            <w:tcBorders>
              <w:top w:val="single" w:sz="6" w:space="0" w:color="019648"/>
              <w:left w:val="nil"/>
              <w:bottom w:val="single" w:sz="6" w:space="0" w:color="019648"/>
              <w:right w:val="nil"/>
            </w:tcBorders>
          </w:tcPr>
          <w:p w14:paraId="5A98AA89" w14:textId="77777777" w:rsidR="007A0266" w:rsidRPr="007A0266" w:rsidRDefault="007A0266" w:rsidP="007A0266">
            <w:pPr>
              <w:pStyle w:val="TableParagraph"/>
              <w:spacing w:line="249" w:lineRule="auto"/>
              <w:ind w:right="4"/>
              <w:rPr>
                <w:sz w:val="18"/>
                <w:szCs w:val="18"/>
                <w:lang w:val="uk-UA"/>
              </w:rPr>
            </w:pPr>
            <w:r w:rsidRPr="007A0266">
              <w:rPr>
                <w:sz w:val="18"/>
                <w:szCs w:val="18"/>
                <w:lang w:val="uk-UA"/>
              </w:rPr>
              <w:t>Отримує фінансування від PEPFAR; використовує кошти PEPFAR на закупівлю тестів для діагностики ТБ та витратних матеріалів для діагностики ТБ, ВІЛ у немовлят та тестування на вірусне навантаження ВІЛ у багатьох країнах. Надає технічну інформацію для розробки Операційного керівництва PEPFAR для країн, включаючи інформацію щодо належної закупівлі та використання інструментів та типів тестів для виявлення ТБ і ВІЛ.</w:t>
            </w:r>
          </w:p>
          <w:p w14:paraId="2827AA0C" w14:textId="105C3D80" w:rsidR="00E05B98" w:rsidRPr="007A0266" w:rsidRDefault="007A0266" w:rsidP="007A0266">
            <w:pPr>
              <w:pStyle w:val="TableParagraph"/>
              <w:spacing w:before="9" w:line="249" w:lineRule="auto"/>
              <w:ind w:right="4"/>
              <w:rPr>
                <w:sz w:val="18"/>
                <w:szCs w:val="18"/>
                <w:lang w:val="uk-UA"/>
              </w:rPr>
            </w:pPr>
            <w:r w:rsidRPr="007A0266">
              <w:rPr>
                <w:sz w:val="18"/>
                <w:szCs w:val="18"/>
                <w:lang w:val="uk-UA"/>
              </w:rPr>
              <w:t>Курує глобальну програму перевірки кваліфікації на основі Cepheid GeneXpert та надає технічну допомогу офісам CDC у країнах, яким надає підтримку PEPFAR, та партнерським міністерствам охорони здоров'я щодо вибору та впровадження діагностичних тестів на виявлення ТБ і ВІЛ та ресурсів для тестування.</w:t>
            </w:r>
          </w:p>
        </w:tc>
        <w:tc>
          <w:tcPr>
            <w:tcW w:w="2552" w:type="dxa"/>
            <w:tcBorders>
              <w:top w:val="single" w:sz="6" w:space="0" w:color="019648"/>
              <w:left w:val="nil"/>
              <w:bottom w:val="single" w:sz="6" w:space="0" w:color="019648"/>
              <w:right w:val="nil"/>
            </w:tcBorders>
          </w:tcPr>
          <w:p w14:paraId="14B354DF" w14:textId="59E9FBDB" w:rsidR="00E05B98" w:rsidRPr="007A0266" w:rsidRDefault="004178B8" w:rsidP="007A0266">
            <w:pPr>
              <w:pStyle w:val="TableParagraph"/>
              <w:spacing w:line="249" w:lineRule="auto"/>
              <w:ind w:left="124" w:right="4"/>
              <w:rPr>
                <w:sz w:val="18"/>
                <w:szCs w:val="18"/>
                <w:lang w:val="uk-UA"/>
              </w:rPr>
            </w:pPr>
            <w:r w:rsidRPr="007A0266">
              <w:rPr>
                <w:w w:val="105"/>
                <w:sz w:val="18"/>
                <w:szCs w:val="18"/>
                <w:lang w:val="uk-UA"/>
              </w:rPr>
              <w:t>Незначний конфлікт інтересів</w:t>
            </w:r>
          </w:p>
        </w:tc>
      </w:tr>
      <w:tr w:rsidR="00E05B98" w:rsidRPr="007A0266" w14:paraId="1693725C" w14:textId="77777777" w:rsidTr="007A0266">
        <w:trPr>
          <w:trHeight w:val="387"/>
        </w:trPr>
        <w:tc>
          <w:tcPr>
            <w:tcW w:w="2164" w:type="dxa"/>
            <w:tcBorders>
              <w:top w:val="single" w:sz="6" w:space="0" w:color="019648"/>
              <w:left w:val="nil"/>
              <w:bottom w:val="single" w:sz="6" w:space="0" w:color="019648"/>
              <w:right w:val="nil"/>
            </w:tcBorders>
          </w:tcPr>
          <w:p w14:paraId="24B54C21" w14:textId="0BC22591" w:rsidR="00E05B98" w:rsidRPr="007A0266" w:rsidRDefault="00C047FB" w:rsidP="007A0266">
            <w:pPr>
              <w:pStyle w:val="TableParagraph"/>
              <w:ind w:left="133" w:right="4"/>
              <w:rPr>
                <w:sz w:val="18"/>
                <w:szCs w:val="18"/>
                <w:lang w:val="uk-UA"/>
              </w:rPr>
            </w:pPr>
            <w:proofErr w:type="spellStart"/>
            <w:r w:rsidRPr="007A0266">
              <w:rPr>
                <w:spacing w:val="-2"/>
                <w:sz w:val="18"/>
                <w:szCs w:val="18"/>
              </w:rPr>
              <w:t>Рум</w:t>
            </w:r>
            <w:proofErr w:type="spellEnd"/>
            <w:r w:rsidRPr="007A0266">
              <w:rPr>
                <w:spacing w:val="-2"/>
                <w:sz w:val="18"/>
                <w:szCs w:val="18"/>
                <w:lang w:val="uk-UA"/>
              </w:rPr>
              <w:t>і</w:t>
            </w:r>
            <w:proofErr w:type="spellStart"/>
            <w:r w:rsidRPr="007A0266">
              <w:rPr>
                <w:spacing w:val="-2"/>
                <w:sz w:val="18"/>
                <w:szCs w:val="18"/>
              </w:rPr>
              <w:t>на</w:t>
            </w:r>
            <w:proofErr w:type="spellEnd"/>
            <w:r w:rsidRPr="007A0266">
              <w:rPr>
                <w:spacing w:val="-2"/>
                <w:sz w:val="18"/>
                <w:szCs w:val="18"/>
              </w:rPr>
              <w:t xml:space="preserve"> </w:t>
            </w:r>
            <w:proofErr w:type="spellStart"/>
            <w:r w:rsidRPr="007A0266">
              <w:rPr>
                <w:spacing w:val="-2"/>
                <w:sz w:val="18"/>
                <w:szCs w:val="18"/>
              </w:rPr>
              <w:t>Хасан</w:t>
            </w:r>
            <w:proofErr w:type="spellEnd"/>
          </w:p>
        </w:tc>
        <w:tc>
          <w:tcPr>
            <w:tcW w:w="4762" w:type="dxa"/>
            <w:tcBorders>
              <w:top w:val="single" w:sz="6" w:space="0" w:color="019648"/>
              <w:left w:val="nil"/>
              <w:bottom w:val="single" w:sz="6" w:space="0" w:color="019648"/>
              <w:right w:val="nil"/>
            </w:tcBorders>
          </w:tcPr>
          <w:p w14:paraId="5A364848" w14:textId="4D365C94" w:rsidR="00E05B98" w:rsidRPr="007A0266" w:rsidRDefault="0029215F" w:rsidP="007A0266">
            <w:pPr>
              <w:pStyle w:val="TableParagraph"/>
              <w:ind w:right="4"/>
              <w:rPr>
                <w:sz w:val="18"/>
                <w:szCs w:val="18"/>
                <w:lang w:val="uk-UA"/>
              </w:rPr>
            </w:pPr>
            <w:r w:rsidRPr="007A0266">
              <w:rPr>
                <w:sz w:val="18"/>
                <w:szCs w:val="18"/>
                <w:lang w:val="uk-UA"/>
              </w:rPr>
              <w:t>Не задекларовано жодного</w:t>
            </w:r>
          </w:p>
        </w:tc>
        <w:tc>
          <w:tcPr>
            <w:tcW w:w="2552" w:type="dxa"/>
            <w:tcBorders>
              <w:top w:val="single" w:sz="6" w:space="0" w:color="019648"/>
              <w:left w:val="nil"/>
              <w:bottom w:val="single" w:sz="6" w:space="0" w:color="019648"/>
              <w:right w:val="nil"/>
            </w:tcBorders>
          </w:tcPr>
          <w:p w14:paraId="6F7FD822" w14:textId="32EEA694" w:rsidR="00E05B98" w:rsidRPr="007A0266" w:rsidRDefault="004178B8" w:rsidP="007A0266">
            <w:pPr>
              <w:pStyle w:val="TableParagraph"/>
              <w:ind w:left="124" w:right="4"/>
              <w:rPr>
                <w:sz w:val="18"/>
                <w:szCs w:val="18"/>
                <w:lang w:val="uk-UA"/>
              </w:rPr>
            </w:pPr>
            <w:r w:rsidRPr="007A0266">
              <w:rPr>
                <w:w w:val="105"/>
                <w:sz w:val="18"/>
                <w:szCs w:val="18"/>
                <w:lang w:val="uk-UA"/>
              </w:rPr>
              <w:t>Відсутність конфлікту інтересів</w:t>
            </w:r>
          </w:p>
        </w:tc>
      </w:tr>
    </w:tbl>
    <w:p w14:paraId="3196FD61" w14:textId="77777777" w:rsidR="00E05B98" w:rsidRPr="007A0266" w:rsidRDefault="00E05B98" w:rsidP="007A0266">
      <w:pPr>
        <w:pStyle w:val="TableParagraph"/>
        <w:ind w:right="4"/>
        <w:rPr>
          <w:sz w:val="18"/>
          <w:szCs w:val="18"/>
          <w:lang w:val="uk-UA"/>
        </w:rPr>
        <w:sectPr w:rsidR="00E05B98" w:rsidRPr="007A0266" w:rsidSect="007A0266">
          <w:pgSz w:w="11910" w:h="16840"/>
          <w:pgMar w:top="1320" w:right="995" w:bottom="760" w:left="850" w:header="0" w:footer="573" w:gutter="0"/>
          <w:cols w:space="720"/>
        </w:sectPr>
      </w:pPr>
    </w:p>
    <w:tbl>
      <w:tblPr>
        <w:tblStyle w:val="TableNormal"/>
        <w:tblW w:w="9478" w:type="dxa"/>
        <w:tblInd w:w="57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2164"/>
        <w:gridCol w:w="4535"/>
        <w:gridCol w:w="2779"/>
      </w:tblGrid>
      <w:tr w:rsidR="003623F6" w:rsidRPr="007A0266" w14:paraId="77A9BD2B" w14:textId="77777777" w:rsidTr="007A0266">
        <w:trPr>
          <w:trHeight w:val="428"/>
        </w:trPr>
        <w:tc>
          <w:tcPr>
            <w:tcW w:w="2164" w:type="dxa"/>
            <w:tcBorders>
              <w:right w:val="single" w:sz="6" w:space="0" w:color="019648"/>
            </w:tcBorders>
            <w:shd w:val="clear" w:color="auto" w:fill="62A86B"/>
          </w:tcPr>
          <w:p w14:paraId="0883306F" w14:textId="7DB54676" w:rsidR="003623F6" w:rsidRPr="007A0266" w:rsidRDefault="003623F6" w:rsidP="003623F6">
            <w:pPr>
              <w:pStyle w:val="TableParagraph"/>
              <w:spacing w:before="95"/>
              <w:ind w:left="146" w:right="4"/>
              <w:rPr>
                <w:rFonts w:ascii="Arial"/>
                <w:b/>
                <w:sz w:val="18"/>
                <w:szCs w:val="18"/>
                <w:lang w:val="uk-UA"/>
              </w:rPr>
            </w:pPr>
            <w:r w:rsidRPr="003623F6">
              <w:rPr>
                <w:rFonts w:ascii="Arial" w:hAnsi="Arial" w:cs="Arial"/>
                <w:b/>
                <w:color w:val="FFFFFF"/>
                <w:spacing w:val="-9"/>
                <w:sz w:val="18"/>
                <w:szCs w:val="18"/>
                <w:lang w:val="uk-UA"/>
              </w:rPr>
              <w:lastRenderedPageBreak/>
              <w:t>Член ГРН</w:t>
            </w:r>
          </w:p>
        </w:tc>
        <w:tc>
          <w:tcPr>
            <w:tcW w:w="4535" w:type="dxa"/>
            <w:tcBorders>
              <w:left w:val="single" w:sz="6" w:space="0" w:color="019648"/>
              <w:right w:val="single" w:sz="6" w:space="0" w:color="019648"/>
            </w:tcBorders>
            <w:shd w:val="clear" w:color="auto" w:fill="62A86B"/>
          </w:tcPr>
          <w:p w14:paraId="2BE5BCA9" w14:textId="46A0FCBB" w:rsidR="003623F6" w:rsidRPr="007A0266" w:rsidRDefault="003623F6" w:rsidP="003623F6">
            <w:pPr>
              <w:pStyle w:val="TableParagraph"/>
              <w:spacing w:before="95"/>
              <w:ind w:left="138" w:right="4"/>
              <w:rPr>
                <w:rFonts w:ascii="Arial"/>
                <w:b/>
                <w:sz w:val="18"/>
                <w:szCs w:val="18"/>
                <w:lang w:val="uk-UA"/>
              </w:rPr>
            </w:pPr>
            <w:r w:rsidRPr="003623F6">
              <w:rPr>
                <w:rFonts w:ascii="Arial" w:hAnsi="Arial" w:cs="Arial"/>
                <w:b/>
                <w:color w:val="FFFFFF"/>
                <w:spacing w:val="-2"/>
                <w:sz w:val="18"/>
                <w:szCs w:val="18"/>
                <w:lang w:val="uk-UA"/>
              </w:rPr>
              <w:t>Задекларовані інтереси</w:t>
            </w:r>
          </w:p>
        </w:tc>
        <w:tc>
          <w:tcPr>
            <w:tcW w:w="2779" w:type="dxa"/>
            <w:tcBorders>
              <w:left w:val="single" w:sz="6" w:space="0" w:color="019648"/>
              <w:right w:val="single" w:sz="6" w:space="0" w:color="019648"/>
            </w:tcBorders>
            <w:shd w:val="clear" w:color="auto" w:fill="62A86B"/>
          </w:tcPr>
          <w:p w14:paraId="27836AED" w14:textId="5EF960CB" w:rsidR="003623F6" w:rsidRPr="007A0266" w:rsidRDefault="003623F6" w:rsidP="003623F6">
            <w:pPr>
              <w:pStyle w:val="TableParagraph"/>
              <w:spacing w:before="95"/>
              <w:ind w:left="139" w:right="4"/>
              <w:rPr>
                <w:rFonts w:ascii="Arial"/>
                <w:b/>
                <w:sz w:val="18"/>
                <w:szCs w:val="18"/>
                <w:lang w:val="uk-UA"/>
              </w:rPr>
            </w:pPr>
            <w:r w:rsidRPr="003623F6">
              <w:rPr>
                <w:rFonts w:ascii="Arial" w:hAnsi="Arial" w:cs="Arial"/>
                <w:b/>
                <w:color w:val="FFFFFF"/>
                <w:spacing w:val="-2"/>
                <w:sz w:val="18"/>
                <w:szCs w:val="18"/>
                <w:lang w:val="uk-UA"/>
              </w:rPr>
              <w:t xml:space="preserve">Висновок </w:t>
            </w:r>
          </w:p>
        </w:tc>
      </w:tr>
      <w:tr w:rsidR="00E05B98" w:rsidRPr="007A0266" w14:paraId="7A242A33" w14:textId="77777777" w:rsidTr="007A0266">
        <w:trPr>
          <w:trHeight w:val="385"/>
        </w:trPr>
        <w:tc>
          <w:tcPr>
            <w:tcW w:w="2164" w:type="dxa"/>
            <w:tcBorders>
              <w:left w:val="nil"/>
              <w:bottom w:val="single" w:sz="6" w:space="0" w:color="019648"/>
              <w:right w:val="nil"/>
            </w:tcBorders>
          </w:tcPr>
          <w:p w14:paraId="45CB07DE" w14:textId="7EA81171" w:rsidR="00E05B98" w:rsidRPr="007A0266" w:rsidRDefault="00401183" w:rsidP="007A0266">
            <w:pPr>
              <w:pStyle w:val="TableParagraph"/>
              <w:spacing w:before="76"/>
              <w:ind w:left="133" w:right="4"/>
              <w:rPr>
                <w:sz w:val="18"/>
                <w:szCs w:val="18"/>
                <w:lang w:val="uk-UA"/>
              </w:rPr>
            </w:pPr>
            <w:r>
              <w:rPr>
                <w:spacing w:val="-2"/>
                <w:sz w:val="18"/>
                <w:szCs w:val="18"/>
                <w:lang w:val="uk-UA"/>
              </w:rPr>
              <w:t xml:space="preserve">Ся </w:t>
            </w:r>
            <w:proofErr w:type="spellStart"/>
            <w:r>
              <w:rPr>
                <w:spacing w:val="-2"/>
                <w:sz w:val="18"/>
                <w:szCs w:val="18"/>
                <w:lang w:val="uk-UA"/>
              </w:rPr>
              <w:t>Хуей</w:t>
            </w:r>
            <w:proofErr w:type="spellEnd"/>
          </w:p>
        </w:tc>
        <w:tc>
          <w:tcPr>
            <w:tcW w:w="4535" w:type="dxa"/>
            <w:tcBorders>
              <w:left w:val="nil"/>
              <w:bottom w:val="single" w:sz="6" w:space="0" w:color="019648"/>
              <w:right w:val="nil"/>
            </w:tcBorders>
          </w:tcPr>
          <w:p w14:paraId="18F9A332" w14:textId="324BC638" w:rsidR="00E05B98" w:rsidRPr="007A0266" w:rsidRDefault="0029215F" w:rsidP="007A0266">
            <w:pPr>
              <w:pStyle w:val="TableParagraph"/>
              <w:spacing w:before="76"/>
              <w:ind w:right="4"/>
              <w:rPr>
                <w:sz w:val="18"/>
                <w:szCs w:val="18"/>
                <w:lang w:val="uk-UA"/>
              </w:rPr>
            </w:pPr>
            <w:r w:rsidRPr="007A0266">
              <w:rPr>
                <w:sz w:val="18"/>
                <w:szCs w:val="18"/>
                <w:lang w:val="uk-UA"/>
              </w:rPr>
              <w:t>Не задекларовано жодного</w:t>
            </w:r>
          </w:p>
        </w:tc>
        <w:tc>
          <w:tcPr>
            <w:tcW w:w="2779" w:type="dxa"/>
            <w:tcBorders>
              <w:left w:val="nil"/>
              <w:bottom w:val="single" w:sz="6" w:space="0" w:color="019648"/>
              <w:right w:val="nil"/>
            </w:tcBorders>
          </w:tcPr>
          <w:p w14:paraId="4E1F9AC4" w14:textId="77777777" w:rsidR="00E05B98" w:rsidRDefault="004178B8" w:rsidP="007A0266">
            <w:pPr>
              <w:pStyle w:val="TableParagraph"/>
              <w:spacing w:before="76"/>
              <w:ind w:left="124" w:right="4"/>
              <w:rPr>
                <w:w w:val="105"/>
                <w:sz w:val="18"/>
                <w:szCs w:val="18"/>
                <w:lang w:val="uk-UA"/>
              </w:rPr>
            </w:pPr>
            <w:r w:rsidRPr="007A0266">
              <w:rPr>
                <w:w w:val="105"/>
                <w:sz w:val="18"/>
                <w:szCs w:val="18"/>
                <w:lang w:val="uk-UA"/>
              </w:rPr>
              <w:t>Відсутність конфлікту інтересів</w:t>
            </w:r>
          </w:p>
          <w:p w14:paraId="3BF67CF2" w14:textId="31FB4B4D" w:rsidR="00E8083F" w:rsidRPr="007A0266" w:rsidRDefault="00E8083F" w:rsidP="007A0266">
            <w:pPr>
              <w:pStyle w:val="TableParagraph"/>
              <w:spacing w:before="76"/>
              <w:ind w:left="124" w:right="4"/>
              <w:rPr>
                <w:sz w:val="18"/>
                <w:szCs w:val="18"/>
                <w:lang w:val="uk-UA"/>
              </w:rPr>
            </w:pPr>
          </w:p>
        </w:tc>
      </w:tr>
      <w:tr w:rsidR="00E05B98" w:rsidRPr="00D029FF" w14:paraId="1419A9DD" w14:textId="77777777" w:rsidTr="00A669DB">
        <w:trPr>
          <w:trHeight w:val="2583"/>
        </w:trPr>
        <w:tc>
          <w:tcPr>
            <w:tcW w:w="2164" w:type="dxa"/>
            <w:tcBorders>
              <w:top w:val="single" w:sz="6" w:space="0" w:color="019648"/>
              <w:left w:val="nil"/>
              <w:bottom w:val="single" w:sz="6" w:space="0" w:color="019648"/>
              <w:right w:val="nil"/>
            </w:tcBorders>
          </w:tcPr>
          <w:p w14:paraId="5873E202" w14:textId="47FB7FE9" w:rsidR="00E05B98" w:rsidRPr="007A0266" w:rsidRDefault="00C047FB" w:rsidP="007A0266">
            <w:pPr>
              <w:pStyle w:val="TableParagraph"/>
              <w:ind w:left="133" w:right="4"/>
              <w:rPr>
                <w:sz w:val="18"/>
                <w:szCs w:val="18"/>
                <w:lang w:val="uk-UA"/>
              </w:rPr>
            </w:pPr>
            <w:proofErr w:type="spellStart"/>
            <w:r w:rsidRPr="007A0266">
              <w:rPr>
                <w:spacing w:val="-6"/>
                <w:sz w:val="18"/>
                <w:szCs w:val="18"/>
              </w:rPr>
              <w:t>Фарзана</w:t>
            </w:r>
            <w:proofErr w:type="spellEnd"/>
            <w:r w:rsidRPr="007A0266">
              <w:rPr>
                <w:spacing w:val="-6"/>
                <w:sz w:val="18"/>
                <w:szCs w:val="18"/>
              </w:rPr>
              <w:t xml:space="preserve"> </w:t>
            </w:r>
            <w:r w:rsidRPr="007A0266">
              <w:rPr>
                <w:spacing w:val="-6"/>
                <w:sz w:val="18"/>
                <w:szCs w:val="18"/>
                <w:lang w:val="uk-UA"/>
              </w:rPr>
              <w:t>І</w:t>
            </w:r>
            <w:proofErr w:type="spellStart"/>
            <w:r w:rsidRPr="007A0266">
              <w:rPr>
                <w:spacing w:val="-6"/>
                <w:sz w:val="18"/>
                <w:szCs w:val="18"/>
              </w:rPr>
              <w:t>сма</w:t>
            </w:r>
            <w:proofErr w:type="spellEnd"/>
            <w:r w:rsidRPr="007A0266">
              <w:rPr>
                <w:spacing w:val="-6"/>
                <w:sz w:val="18"/>
                <w:szCs w:val="18"/>
                <w:lang w:val="uk-UA"/>
              </w:rPr>
              <w:t>і</w:t>
            </w:r>
            <w:r w:rsidRPr="007A0266">
              <w:rPr>
                <w:spacing w:val="-6"/>
                <w:sz w:val="18"/>
                <w:szCs w:val="18"/>
              </w:rPr>
              <w:t>л</w:t>
            </w:r>
          </w:p>
        </w:tc>
        <w:tc>
          <w:tcPr>
            <w:tcW w:w="4535" w:type="dxa"/>
            <w:tcBorders>
              <w:top w:val="single" w:sz="6" w:space="0" w:color="019648"/>
              <w:left w:val="nil"/>
              <w:bottom w:val="single" w:sz="6" w:space="0" w:color="019648"/>
              <w:right w:val="nil"/>
            </w:tcBorders>
          </w:tcPr>
          <w:p w14:paraId="035DB597" w14:textId="061B556B" w:rsidR="00E05B98" w:rsidRPr="007A0266" w:rsidRDefault="00A669DB" w:rsidP="007A0266">
            <w:pPr>
              <w:pStyle w:val="TableParagraph"/>
              <w:spacing w:before="6" w:line="249" w:lineRule="auto"/>
              <w:ind w:right="4"/>
              <w:rPr>
                <w:sz w:val="18"/>
                <w:szCs w:val="18"/>
                <w:lang w:val="uk-UA"/>
              </w:rPr>
            </w:pPr>
            <w:r w:rsidRPr="00A669DB">
              <w:rPr>
                <w:sz w:val="18"/>
                <w:szCs w:val="18"/>
                <w:lang w:val="uk-UA"/>
              </w:rPr>
              <w:t xml:space="preserve">Оцінка прототипу тесту на виявлення ШЛС-ТБ (компанії Cepheid). Бюджет (Дослідницький підрозділ): 140 000 доларів США; 2020 р. Нагляд за використанням бедаквіліну та поява стійкості після реєстрації препарату (компанія </w:t>
            </w:r>
            <w:proofErr w:type="spellStart"/>
            <w:r w:rsidRPr="00A669DB">
              <w:rPr>
                <w:sz w:val="18"/>
                <w:szCs w:val="18"/>
                <w:lang w:val="uk-UA"/>
              </w:rPr>
              <w:t>Janssen</w:t>
            </w:r>
            <w:proofErr w:type="spellEnd"/>
            <w:r w:rsidRPr="00A669DB">
              <w:rPr>
                <w:sz w:val="18"/>
                <w:szCs w:val="18"/>
                <w:lang w:val="uk-UA"/>
              </w:rPr>
              <w:t>). Бюджет (дослідницький підрозділ): 300 000 доларів США; процес триває. Латентна ТБ-інфекція у медичних працівників (</w:t>
            </w:r>
            <w:proofErr w:type="spellStart"/>
            <w:r w:rsidRPr="00A669DB">
              <w:rPr>
                <w:sz w:val="18"/>
                <w:szCs w:val="18"/>
                <w:lang w:val="uk-UA"/>
              </w:rPr>
              <w:t>Qiagen</w:t>
            </w:r>
            <w:proofErr w:type="spellEnd"/>
            <w:r w:rsidRPr="00A669DB">
              <w:rPr>
                <w:sz w:val="18"/>
                <w:szCs w:val="18"/>
                <w:lang w:val="uk-UA"/>
              </w:rPr>
              <w:t>). Бюджет (дослідницький підрозділ): витратні матеріали та персонал; процес триває. Спонсорська допомога для участі в конференції IUATLD, Гаага (самостійно); 2018 рік.</w:t>
            </w:r>
          </w:p>
        </w:tc>
        <w:tc>
          <w:tcPr>
            <w:tcW w:w="2779" w:type="dxa"/>
            <w:tcBorders>
              <w:top w:val="single" w:sz="6" w:space="0" w:color="019648"/>
              <w:left w:val="nil"/>
              <w:bottom w:val="single" w:sz="6" w:space="0" w:color="019648"/>
              <w:right w:val="nil"/>
            </w:tcBorders>
          </w:tcPr>
          <w:p w14:paraId="3D0C18A1" w14:textId="615065F3" w:rsidR="00E05B98" w:rsidRPr="007A0266" w:rsidRDefault="00A669DB" w:rsidP="007A0266">
            <w:pPr>
              <w:pStyle w:val="TableParagraph"/>
              <w:spacing w:line="249" w:lineRule="auto"/>
              <w:ind w:left="124" w:right="4"/>
              <w:rPr>
                <w:sz w:val="18"/>
                <w:szCs w:val="18"/>
                <w:lang w:val="uk-UA"/>
              </w:rPr>
            </w:pPr>
            <w:r w:rsidRPr="00A669DB">
              <w:rPr>
                <w:sz w:val="18"/>
                <w:szCs w:val="18"/>
                <w:lang w:val="uk-UA"/>
              </w:rPr>
              <w:t>Значний конфлікт інтересів – виключ</w:t>
            </w:r>
            <w:r>
              <w:rPr>
                <w:sz w:val="18"/>
                <w:szCs w:val="18"/>
                <w:lang w:val="uk-UA"/>
              </w:rPr>
              <w:t>или</w:t>
            </w:r>
            <w:r w:rsidRPr="00A669DB">
              <w:rPr>
                <w:sz w:val="18"/>
                <w:szCs w:val="18"/>
                <w:lang w:val="uk-UA"/>
              </w:rPr>
              <w:t xml:space="preserve"> з процесу обговорення стосовно автоматизованих ТААНК низької складності</w:t>
            </w:r>
          </w:p>
        </w:tc>
      </w:tr>
      <w:tr w:rsidR="00E05B98" w:rsidRPr="00D029FF" w14:paraId="44B4E0FF" w14:textId="77777777" w:rsidTr="007A0266">
        <w:trPr>
          <w:trHeight w:val="2987"/>
        </w:trPr>
        <w:tc>
          <w:tcPr>
            <w:tcW w:w="2164" w:type="dxa"/>
            <w:tcBorders>
              <w:top w:val="single" w:sz="6" w:space="0" w:color="019648"/>
              <w:left w:val="nil"/>
              <w:bottom w:val="single" w:sz="6" w:space="0" w:color="019648"/>
              <w:right w:val="nil"/>
            </w:tcBorders>
          </w:tcPr>
          <w:p w14:paraId="379640CD" w14:textId="75607A1C" w:rsidR="00E05B98" w:rsidRPr="007A0266" w:rsidRDefault="00C047FB" w:rsidP="007A0266">
            <w:pPr>
              <w:pStyle w:val="TableParagraph"/>
              <w:ind w:left="133" w:right="4"/>
              <w:rPr>
                <w:sz w:val="18"/>
                <w:szCs w:val="18"/>
                <w:lang w:val="uk-UA"/>
              </w:rPr>
            </w:pPr>
            <w:proofErr w:type="spellStart"/>
            <w:r w:rsidRPr="007A0266">
              <w:rPr>
                <w:sz w:val="18"/>
                <w:szCs w:val="18"/>
              </w:rPr>
              <w:t>Катар</w:t>
            </w:r>
            <w:proofErr w:type="spellEnd"/>
            <w:r w:rsidRPr="007A0266">
              <w:rPr>
                <w:sz w:val="18"/>
                <w:szCs w:val="18"/>
                <w:lang w:val="uk-UA"/>
              </w:rPr>
              <w:t>і</w:t>
            </w:r>
            <w:proofErr w:type="spellStart"/>
            <w:r w:rsidRPr="007A0266">
              <w:rPr>
                <w:sz w:val="18"/>
                <w:szCs w:val="18"/>
              </w:rPr>
              <w:t>на</w:t>
            </w:r>
            <w:proofErr w:type="spellEnd"/>
            <w:r w:rsidRPr="007A0266">
              <w:rPr>
                <w:sz w:val="18"/>
                <w:szCs w:val="18"/>
              </w:rPr>
              <w:t xml:space="preserve"> </w:t>
            </w:r>
            <w:proofErr w:type="spellStart"/>
            <w:r w:rsidRPr="007A0266">
              <w:rPr>
                <w:sz w:val="18"/>
                <w:szCs w:val="18"/>
              </w:rPr>
              <w:t>Кранцер</w:t>
            </w:r>
            <w:proofErr w:type="spellEnd"/>
          </w:p>
        </w:tc>
        <w:tc>
          <w:tcPr>
            <w:tcW w:w="4535" w:type="dxa"/>
            <w:tcBorders>
              <w:top w:val="single" w:sz="6" w:space="0" w:color="019648"/>
              <w:left w:val="nil"/>
              <w:bottom w:val="single" w:sz="6" w:space="0" w:color="019648"/>
              <w:right w:val="nil"/>
            </w:tcBorders>
          </w:tcPr>
          <w:p w14:paraId="50430C52" w14:textId="77777777" w:rsidR="00E05B98" w:rsidRDefault="009D2A4B" w:rsidP="007A0266">
            <w:pPr>
              <w:pStyle w:val="TableParagraph"/>
              <w:spacing w:before="8" w:line="249" w:lineRule="auto"/>
              <w:ind w:right="4"/>
              <w:rPr>
                <w:w w:val="105"/>
                <w:sz w:val="18"/>
                <w:szCs w:val="18"/>
                <w:lang w:val="uk-UA"/>
              </w:rPr>
            </w:pPr>
            <w:r w:rsidRPr="009D2A4B">
              <w:rPr>
                <w:w w:val="105"/>
                <w:sz w:val="18"/>
                <w:szCs w:val="18"/>
                <w:lang w:val="uk-UA"/>
              </w:rPr>
              <w:t>Програма EDCTP: загальний бюджет становить приблизно 3,2 млн. євро для 6 установ; FIND: дослідження, не пов'язане з туберкульозом (дослідження стійкості до протимікробних препаратів), 21 000 доларів США; американська компанія "Cepheid": дослідження, не пов'язане з туберкульозом (дослідження ІПСШ), нефінансовий внесок у вигляді 3000 картриджів та надання в оренду апарату Xpert; американська компанія "Cepheid": дослідження, пов'язане з ТБ, щодо 3 генних сигнатур, внесок (негрошовий) у вигляді 3500 картриджів та надання в оренду апарату Xpert; компанія "Roche": витратні матеріали для валідаційного дослідження у 2015–2016 роках.</w:t>
            </w:r>
          </w:p>
          <w:p w14:paraId="448BF054" w14:textId="04CEC339" w:rsidR="00E8083F" w:rsidRPr="007A0266" w:rsidRDefault="00E8083F" w:rsidP="007A0266">
            <w:pPr>
              <w:pStyle w:val="TableParagraph"/>
              <w:spacing w:before="8" w:line="249" w:lineRule="auto"/>
              <w:ind w:right="4"/>
              <w:rPr>
                <w:sz w:val="18"/>
                <w:szCs w:val="18"/>
                <w:lang w:val="uk-UA"/>
              </w:rPr>
            </w:pPr>
          </w:p>
        </w:tc>
        <w:tc>
          <w:tcPr>
            <w:tcW w:w="2779" w:type="dxa"/>
            <w:tcBorders>
              <w:top w:val="single" w:sz="6" w:space="0" w:color="019648"/>
              <w:left w:val="nil"/>
              <w:bottom w:val="single" w:sz="6" w:space="0" w:color="019648"/>
              <w:right w:val="nil"/>
            </w:tcBorders>
          </w:tcPr>
          <w:p w14:paraId="6C103457" w14:textId="4A41D120" w:rsidR="00E05B98" w:rsidRPr="007A0266" w:rsidRDefault="009D2A4B" w:rsidP="007A0266">
            <w:pPr>
              <w:pStyle w:val="TableParagraph"/>
              <w:spacing w:before="4" w:line="249" w:lineRule="auto"/>
              <w:ind w:left="124" w:right="4"/>
              <w:rPr>
                <w:sz w:val="18"/>
                <w:szCs w:val="18"/>
                <w:lang w:val="uk-UA"/>
              </w:rPr>
            </w:pPr>
            <w:r w:rsidRPr="009D2A4B">
              <w:rPr>
                <w:sz w:val="18"/>
                <w:szCs w:val="18"/>
                <w:lang w:val="uk-UA"/>
              </w:rPr>
              <w:t>Значний конфлікт інтересів – виключен</w:t>
            </w:r>
            <w:r>
              <w:rPr>
                <w:sz w:val="18"/>
                <w:szCs w:val="18"/>
                <w:lang w:val="uk-UA"/>
              </w:rPr>
              <w:t>а</w:t>
            </w:r>
            <w:r w:rsidRPr="009D2A4B">
              <w:rPr>
                <w:sz w:val="18"/>
                <w:szCs w:val="18"/>
                <w:lang w:val="uk-UA"/>
              </w:rPr>
              <w:t xml:space="preserve"> з процесу обговорення стосовно автоматизованих ТАНК помірної складності</w:t>
            </w:r>
          </w:p>
        </w:tc>
      </w:tr>
      <w:tr w:rsidR="004178B8" w:rsidRPr="007A0266" w14:paraId="1FA8E199" w14:textId="77777777" w:rsidTr="007A0266">
        <w:trPr>
          <w:trHeight w:val="387"/>
        </w:trPr>
        <w:tc>
          <w:tcPr>
            <w:tcW w:w="2164" w:type="dxa"/>
            <w:tcBorders>
              <w:top w:val="single" w:sz="6" w:space="0" w:color="019648"/>
              <w:left w:val="nil"/>
              <w:bottom w:val="single" w:sz="6" w:space="0" w:color="019648"/>
              <w:right w:val="nil"/>
            </w:tcBorders>
          </w:tcPr>
          <w:p w14:paraId="6A2865FC" w14:textId="7E2E9484" w:rsidR="004178B8" w:rsidRPr="007A0266" w:rsidRDefault="004178B8" w:rsidP="007A0266">
            <w:pPr>
              <w:pStyle w:val="TableParagraph"/>
              <w:ind w:left="133" w:right="4"/>
              <w:rPr>
                <w:sz w:val="18"/>
                <w:szCs w:val="18"/>
                <w:lang w:val="uk-UA"/>
              </w:rPr>
            </w:pPr>
            <w:proofErr w:type="spellStart"/>
            <w:r w:rsidRPr="007A0266">
              <w:rPr>
                <w:w w:val="90"/>
                <w:sz w:val="18"/>
                <w:szCs w:val="18"/>
              </w:rPr>
              <w:t>Блесс</w:t>
            </w:r>
            <w:proofErr w:type="spellEnd"/>
            <w:r w:rsidRPr="007A0266">
              <w:rPr>
                <w:w w:val="90"/>
                <w:sz w:val="18"/>
                <w:szCs w:val="18"/>
                <w:lang w:val="uk-UA"/>
              </w:rPr>
              <w:t>і</w:t>
            </w:r>
            <w:proofErr w:type="spellStart"/>
            <w:r w:rsidRPr="007A0266">
              <w:rPr>
                <w:w w:val="90"/>
                <w:sz w:val="18"/>
                <w:szCs w:val="18"/>
              </w:rPr>
              <w:t>на</w:t>
            </w:r>
            <w:proofErr w:type="spellEnd"/>
            <w:r w:rsidRPr="007A0266">
              <w:rPr>
                <w:w w:val="90"/>
                <w:sz w:val="18"/>
                <w:szCs w:val="18"/>
              </w:rPr>
              <w:t xml:space="preserve"> </w:t>
            </w:r>
            <w:proofErr w:type="spellStart"/>
            <w:r w:rsidRPr="007A0266">
              <w:rPr>
                <w:w w:val="90"/>
                <w:sz w:val="18"/>
                <w:szCs w:val="18"/>
              </w:rPr>
              <w:t>Кумар</w:t>
            </w:r>
            <w:proofErr w:type="spellEnd"/>
          </w:p>
        </w:tc>
        <w:tc>
          <w:tcPr>
            <w:tcW w:w="4535" w:type="dxa"/>
            <w:tcBorders>
              <w:top w:val="single" w:sz="6" w:space="0" w:color="019648"/>
              <w:left w:val="nil"/>
              <w:bottom w:val="single" w:sz="6" w:space="0" w:color="019648"/>
              <w:right w:val="nil"/>
            </w:tcBorders>
          </w:tcPr>
          <w:p w14:paraId="2ADD5C19" w14:textId="2B908727" w:rsidR="004178B8" w:rsidRPr="00EB6C68" w:rsidRDefault="004178B8" w:rsidP="007A0266">
            <w:pPr>
              <w:pStyle w:val="TableParagraph"/>
              <w:ind w:right="4"/>
              <w:rPr>
                <w:sz w:val="18"/>
                <w:szCs w:val="18"/>
                <w:lang w:val="uk-UA"/>
              </w:rPr>
            </w:pPr>
            <w:r w:rsidRPr="00EB6C68">
              <w:rPr>
                <w:sz w:val="18"/>
                <w:szCs w:val="18"/>
                <w:lang w:val="uk-UA"/>
              </w:rPr>
              <w:t>Не задекларовано жодного</w:t>
            </w:r>
          </w:p>
        </w:tc>
        <w:tc>
          <w:tcPr>
            <w:tcW w:w="2779" w:type="dxa"/>
            <w:tcBorders>
              <w:top w:val="single" w:sz="6" w:space="0" w:color="019648"/>
              <w:left w:val="nil"/>
              <w:bottom w:val="single" w:sz="6" w:space="0" w:color="019648"/>
              <w:right w:val="nil"/>
            </w:tcBorders>
          </w:tcPr>
          <w:p w14:paraId="092305F9" w14:textId="4083F032" w:rsidR="004178B8" w:rsidRPr="00EB6C68" w:rsidRDefault="004178B8" w:rsidP="007A0266">
            <w:pPr>
              <w:pStyle w:val="TableParagraph"/>
              <w:ind w:left="124" w:right="4"/>
              <w:rPr>
                <w:sz w:val="18"/>
                <w:szCs w:val="18"/>
                <w:lang w:val="uk-UA"/>
              </w:rPr>
            </w:pPr>
            <w:r w:rsidRPr="00EB6C68">
              <w:rPr>
                <w:w w:val="105"/>
                <w:sz w:val="18"/>
                <w:szCs w:val="18"/>
                <w:lang w:val="uk-UA"/>
              </w:rPr>
              <w:t>Відсутність конфлікту інтересів</w:t>
            </w:r>
          </w:p>
        </w:tc>
      </w:tr>
      <w:tr w:rsidR="004178B8" w:rsidRPr="007A0266" w14:paraId="44647C2E" w14:textId="77777777" w:rsidTr="007A0266">
        <w:trPr>
          <w:trHeight w:val="647"/>
        </w:trPr>
        <w:tc>
          <w:tcPr>
            <w:tcW w:w="2164" w:type="dxa"/>
            <w:tcBorders>
              <w:top w:val="single" w:sz="6" w:space="0" w:color="019648"/>
              <w:left w:val="nil"/>
              <w:bottom w:val="single" w:sz="6" w:space="0" w:color="019648"/>
              <w:right w:val="nil"/>
            </w:tcBorders>
          </w:tcPr>
          <w:p w14:paraId="2CE370A4" w14:textId="188579FF" w:rsidR="004178B8" w:rsidRPr="007A0266" w:rsidRDefault="004178B8" w:rsidP="007A0266">
            <w:pPr>
              <w:pStyle w:val="TableParagraph"/>
              <w:spacing w:line="249" w:lineRule="auto"/>
              <w:ind w:left="133" w:right="4"/>
              <w:rPr>
                <w:sz w:val="18"/>
                <w:szCs w:val="18"/>
                <w:lang w:val="uk-UA"/>
              </w:rPr>
            </w:pPr>
            <w:proofErr w:type="spellStart"/>
            <w:r w:rsidRPr="007A0266">
              <w:rPr>
                <w:spacing w:val="-2"/>
                <w:sz w:val="18"/>
                <w:szCs w:val="18"/>
              </w:rPr>
              <w:t>Нагал</w:t>
            </w:r>
            <w:proofErr w:type="spellEnd"/>
            <w:r w:rsidRPr="007A0266">
              <w:rPr>
                <w:spacing w:val="-2"/>
                <w:sz w:val="18"/>
                <w:szCs w:val="18"/>
                <w:lang w:val="uk-UA"/>
              </w:rPr>
              <w:t>і</w:t>
            </w:r>
            <w:proofErr w:type="spellStart"/>
            <w:r w:rsidRPr="007A0266">
              <w:rPr>
                <w:spacing w:val="-2"/>
                <w:sz w:val="18"/>
                <w:szCs w:val="18"/>
              </w:rPr>
              <w:t>несваран</w:t>
            </w:r>
            <w:proofErr w:type="spellEnd"/>
            <w:r w:rsidRPr="007A0266">
              <w:rPr>
                <w:spacing w:val="-2"/>
                <w:sz w:val="18"/>
                <w:szCs w:val="18"/>
              </w:rPr>
              <w:t xml:space="preserve"> </w:t>
            </w:r>
            <w:proofErr w:type="spellStart"/>
            <w:r w:rsidRPr="007A0266">
              <w:rPr>
                <w:spacing w:val="-2"/>
                <w:sz w:val="18"/>
                <w:szCs w:val="18"/>
              </w:rPr>
              <w:t>Кумарасам</w:t>
            </w:r>
            <w:proofErr w:type="spellEnd"/>
            <w:r w:rsidRPr="007A0266">
              <w:rPr>
                <w:spacing w:val="-2"/>
                <w:sz w:val="18"/>
                <w:szCs w:val="18"/>
                <w:lang w:val="uk-UA"/>
              </w:rPr>
              <w:t>і</w:t>
            </w:r>
          </w:p>
        </w:tc>
        <w:tc>
          <w:tcPr>
            <w:tcW w:w="4535" w:type="dxa"/>
            <w:tcBorders>
              <w:top w:val="single" w:sz="6" w:space="0" w:color="019648"/>
              <w:left w:val="nil"/>
              <w:bottom w:val="single" w:sz="6" w:space="0" w:color="019648"/>
              <w:right w:val="nil"/>
            </w:tcBorders>
          </w:tcPr>
          <w:p w14:paraId="2C65170D" w14:textId="54105972" w:rsidR="004178B8" w:rsidRPr="00EB6C68" w:rsidRDefault="004178B8" w:rsidP="007A0266">
            <w:pPr>
              <w:pStyle w:val="TableParagraph"/>
              <w:ind w:right="4"/>
              <w:rPr>
                <w:sz w:val="18"/>
                <w:szCs w:val="18"/>
                <w:lang w:val="uk-UA"/>
              </w:rPr>
            </w:pPr>
            <w:r w:rsidRPr="00EB6C68">
              <w:rPr>
                <w:sz w:val="18"/>
                <w:szCs w:val="18"/>
                <w:lang w:val="uk-UA"/>
              </w:rPr>
              <w:t>Не задекларовано жодного</w:t>
            </w:r>
          </w:p>
        </w:tc>
        <w:tc>
          <w:tcPr>
            <w:tcW w:w="2779" w:type="dxa"/>
            <w:tcBorders>
              <w:top w:val="single" w:sz="6" w:space="0" w:color="019648"/>
              <w:left w:val="nil"/>
              <w:bottom w:val="single" w:sz="6" w:space="0" w:color="019648"/>
              <w:right w:val="nil"/>
            </w:tcBorders>
          </w:tcPr>
          <w:p w14:paraId="3D320E89" w14:textId="14BBB1E3" w:rsidR="004178B8" w:rsidRPr="00EB6C68" w:rsidRDefault="004178B8" w:rsidP="007A0266">
            <w:pPr>
              <w:pStyle w:val="TableParagraph"/>
              <w:ind w:left="124" w:right="4"/>
              <w:rPr>
                <w:sz w:val="18"/>
                <w:szCs w:val="18"/>
                <w:lang w:val="uk-UA"/>
              </w:rPr>
            </w:pPr>
            <w:r w:rsidRPr="00EB6C68">
              <w:rPr>
                <w:w w:val="105"/>
                <w:sz w:val="18"/>
                <w:szCs w:val="18"/>
                <w:lang w:val="uk-UA"/>
              </w:rPr>
              <w:t>Відсутність конфлікту інтересів</w:t>
            </w:r>
          </w:p>
        </w:tc>
      </w:tr>
      <w:tr w:rsidR="004178B8" w:rsidRPr="007A0266" w14:paraId="584D0A91" w14:textId="77777777" w:rsidTr="007A0266">
        <w:trPr>
          <w:trHeight w:val="387"/>
        </w:trPr>
        <w:tc>
          <w:tcPr>
            <w:tcW w:w="2164" w:type="dxa"/>
            <w:tcBorders>
              <w:top w:val="single" w:sz="6" w:space="0" w:color="019648"/>
              <w:left w:val="nil"/>
              <w:bottom w:val="single" w:sz="6" w:space="0" w:color="019648"/>
              <w:right w:val="nil"/>
            </w:tcBorders>
          </w:tcPr>
          <w:p w14:paraId="5DFCC574" w14:textId="1FFF32D1" w:rsidR="004178B8" w:rsidRPr="007A0266" w:rsidRDefault="004178B8" w:rsidP="007A0266">
            <w:pPr>
              <w:pStyle w:val="TableParagraph"/>
              <w:ind w:left="133" w:right="4"/>
              <w:rPr>
                <w:sz w:val="18"/>
                <w:szCs w:val="18"/>
                <w:lang w:val="uk-UA"/>
              </w:rPr>
            </w:pPr>
            <w:r w:rsidRPr="007A0266">
              <w:rPr>
                <w:sz w:val="18"/>
                <w:szCs w:val="18"/>
              </w:rPr>
              <w:t>Л</w:t>
            </w:r>
            <w:r w:rsidRPr="007A0266">
              <w:rPr>
                <w:sz w:val="18"/>
                <w:szCs w:val="18"/>
                <w:lang w:val="uk-UA"/>
              </w:rPr>
              <w:t>і</w:t>
            </w:r>
            <w:proofErr w:type="spellStart"/>
            <w:r w:rsidRPr="007A0266">
              <w:rPr>
                <w:sz w:val="18"/>
                <w:szCs w:val="18"/>
              </w:rPr>
              <w:t>нд</w:t>
            </w:r>
            <w:proofErr w:type="spellEnd"/>
            <w:r w:rsidRPr="007A0266">
              <w:rPr>
                <w:sz w:val="18"/>
                <w:szCs w:val="18"/>
                <w:lang w:val="uk-UA"/>
              </w:rPr>
              <w:t>і</w:t>
            </w:r>
            <w:proofErr w:type="spellStart"/>
            <w:r w:rsidRPr="007A0266">
              <w:rPr>
                <w:sz w:val="18"/>
                <w:szCs w:val="18"/>
              </w:rPr>
              <w:t>ве</w:t>
            </w:r>
            <w:proofErr w:type="spellEnd"/>
            <w:r w:rsidRPr="007A0266">
              <w:rPr>
                <w:sz w:val="18"/>
                <w:szCs w:val="18"/>
              </w:rPr>
              <w:t xml:space="preserve"> </w:t>
            </w:r>
            <w:proofErr w:type="spellStart"/>
            <w:r w:rsidRPr="007A0266">
              <w:rPr>
                <w:sz w:val="18"/>
                <w:szCs w:val="18"/>
              </w:rPr>
              <w:t>Мвус</w:t>
            </w:r>
            <w:proofErr w:type="spellEnd"/>
            <w:r w:rsidRPr="007A0266">
              <w:rPr>
                <w:sz w:val="18"/>
                <w:szCs w:val="18"/>
                <w:lang w:val="uk-UA"/>
              </w:rPr>
              <w:t>і</w:t>
            </w:r>
          </w:p>
        </w:tc>
        <w:tc>
          <w:tcPr>
            <w:tcW w:w="4535" w:type="dxa"/>
            <w:tcBorders>
              <w:top w:val="single" w:sz="6" w:space="0" w:color="019648"/>
              <w:left w:val="nil"/>
              <w:bottom w:val="single" w:sz="6" w:space="0" w:color="019648"/>
              <w:right w:val="nil"/>
            </w:tcBorders>
          </w:tcPr>
          <w:p w14:paraId="452FDDB0" w14:textId="63343E2B" w:rsidR="004178B8" w:rsidRPr="00EB6C68" w:rsidRDefault="004178B8" w:rsidP="007A0266">
            <w:pPr>
              <w:pStyle w:val="TableParagraph"/>
              <w:ind w:right="4"/>
              <w:rPr>
                <w:sz w:val="18"/>
                <w:szCs w:val="18"/>
                <w:lang w:val="uk-UA"/>
              </w:rPr>
            </w:pPr>
            <w:r w:rsidRPr="00EB6C68">
              <w:rPr>
                <w:sz w:val="18"/>
                <w:szCs w:val="18"/>
                <w:lang w:val="uk-UA"/>
              </w:rPr>
              <w:t>Не задекларовано жодного</w:t>
            </w:r>
          </w:p>
        </w:tc>
        <w:tc>
          <w:tcPr>
            <w:tcW w:w="2779" w:type="dxa"/>
            <w:tcBorders>
              <w:top w:val="single" w:sz="6" w:space="0" w:color="019648"/>
              <w:left w:val="nil"/>
              <w:bottom w:val="single" w:sz="6" w:space="0" w:color="019648"/>
              <w:right w:val="nil"/>
            </w:tcBorders>
          </w:tcPr>
          <w:p w14:paraId="58588E04" w14:textId="514A6FA3" w:rsidR="004178B8" w:rsidRPr="00EB6C68" w:rsidRDefault="004178B8" w:rsidP="007A0266">
            <w:pPr>
              <w:pStyle w:val="TableParagraph"/>
              <w:ind w:left="124" w:right="4"/>
              <w:rPr>
                <w:sz w:val="18"/>
                <w:szCs w:val="18"/>
                <w:lang w:val="uk-UA"/>
              </w:rPr>
            </w:pPr>
            <w:r w:rsidRPr="00EB6C68">
              <w:rPr>
                <w:w w:val="105"/>
                <w:sz w:val="18"/>
                <w:szCs w:val="18"/>
                <w:lang w:val="uk-UA"/>
              </w:rPr>
              <w:t>Відсутність конфлікту інтересів</w:t>
            </w:r>
          </w:p>
        </w:tc>
      </w:tr>
      <w:tr w:rsidR="004178B8" w:rsidRPr="007A0266" w14:paraId="7D845F33" w14:textId="77777777" w:rsidTr="007A0266">
        <w:trPr>
          <w:trHeight w:val="647"/>
        </w:trPr>
        <w:tc>
          <w:tcPr>
            <w:tcW w:w="2164" w:type="dxa"/>
            <w:tcBorders>
              <w:top w:val="single" w:sz="6" w:space="0" w:color="019648"/>
              <w:left w:val="nil"/>
              <w:bottom w:val="single" w:sz="6" w:space="0" w:color="019648"/>
              <w:right w:val="nil"/>
            </w:tcBorders>
          </w:tcPr>
          <w:p w14:paraId="1E9B31B9" w14:textId="5251EAE3" w:rsidR="004178B8" w:rsidRPr="007A0266" w:rsidRDefault="004178B8" w:rsidP="007A0266">
            <w:pPr>
              <w:pStyle w:val="TableParagraph"/>
              <w:spacing w:line="249" w:lineRule="auto"/>
              <w:ind w:left="133" w:right="4"/>
              <w:rPr>
                <w:sz w:val="18"/>
                <w:szCs w:val="18"/>
                <w:lang w:val="uk-UA"/>
              </w:rPr>
            </w:pPr>
            <w:r w:rsidRPr="007A0266">
              <w:rPr>
                <w:sz w:val="18"/>
                <w:szCs w:val="18"/>
              </w:rPr>
              <w:t>В</w:t>
            </w:r>
            <w:r w:rsidRPr="007A0266">
              <w:rPr>
                <w:sz w:val="18"/>
                <w:szCs w:val="18"/>
                <w:lang w:val="uk-UA"/>
              </w:rPr>
              <w:t>’є</w:t>
            </w:r>
            <w:r w:rsidRPr="007A0266">
              <w:rPr>
                <w:sz w:val="18"/>
                <w:szCs w:val="18"/>
              </w:rPr>
              <w:t xml:space="preserve">т </w:t>
            </w:r>
            <w:proofErr w:type="spellStart"/>
            <w:r w:rsidRPr="007A0266">
              <w:rPr>
                <w:sz w:val="18"/>
                <w:szCs w:val="18"/>
              </w:rPr>
              <w:t>Нхунг</w:t>
            </w:r>
            <w:proofErr w:type="spellEnd"/>
            <w:r w:rsidRPr="007A0266">
              <w:rPr>
                <w:sz w:val="18"/>
                <w:szCs w:val="18"/>
              </w:rPr>
              <w:t xml:space="preserve"> </w:t>
            </w:r>
            <w:proofErr w:type="spellStart"/>
            <w:r w:rsidRPr="007A0266">
              <w:rPr>
                <w:sz w:val="18"/>
                <w:szCs w:val="18"/>
              </w:rPr>
              <w:t>Нгуен</w:t>
            </w:r>
            <w:proofErr w:type="spellEnd"/>
          </w:p>
        </w:tc>
        <w:tc>
          <w:tcPr>
            <w:tcW w:w="4535" w:type="dxa"/>
            <w:tcBorders>
              <w:top w:val="single" w:sz="6" w:space="0" w:color="019648"/>
              <w:left w:val="nil"/>
              <w:bottom w:val="single" w:sz="6" w:space="0" w:color="019648"/>
              <w:right w:val="nil"/>
            </w:tcBorders>
          </w:tcPr>
          <w:p w14:paraId="42CF3FE7" w14:textId="06F64311" w:rsidR="004178B8" w:rsidRPr="00EB6C68" w:rsidRDefault="004178B8" w:rsidP="007A0266">
            <w:pPr>
              <w:pStyle w:val="TableParagraph"/>
              <w:ind w:right="4"/>
              <w:rPr>
                <w:sz w:val="18"/>
                <w:szCs w:val="18"/>
                <w:lang w:val="uk-UA"/>
              </w:rPr>
            </w:pPr>
            <w:r w:rsidRPr="00EB6C68">
              <w:rPr>
                <w:sz w:val="18"/>
                <w:szCs w:val="18"/>
                <w:lang w:val="uk-UA"/>
              </w:rPr>
              <w:t>Не задекларовано жодного</w:t>
            </w:r>
          </w:p>
        </w:tc>
        <w:tc>
          <w:tcPr>
            <w:tcW w:w="2779" w:type="dxa"/>
            <w:tcBorders>
              <w:top w:val="single" w:sz="6" w:space="0" w:color="019648"/>
              <w:left w:val="nil"/>
              <w:bottom w:val="single" w:sz="6" w:space="0" w:color="019648"/>
              <w:right w:val="nil"/>
            </w:tcBorders>
          </w:tcPr>
          <w:p w14:paraId="23D35584" w14:textId="1A484896" w:rsidR="004178B8" w:rsidRPr="00EB6C68" w:rsidRDefault="004178B8" w:rsidP="007A0266">
            <w:pPr>
              <w:pStyle w:val="TableParagraph"/>
              <w:ind w:left="124" w:right="4"/>
              <w:rPr>
                <w:sz w:val="18"/>
                <w:szCs w:val="18"/>
                <w:lang w:val="uk-UA"/>
              </w:rPr>
            </w:pPr>
            <w:r w:rsidRPr="00EB6C68">
              <w:rPr>
                <w:w w:val="105"/>
                <w:sz w:val="18"/>
                <w:szCs w:val="18"/>
                <w:lang w:val="uk-UA"/>
              </w:rPr>
              <w:t>Відсутність конфлікту інтересів</w:t>
            </w:r>
          </w:p>
        </w:tc>
      </w:tr>
      <w:tr w:rsidR="009D2A4B" w:rsidRPr="00D029FF" w14:paraId="7A61259D" w14:textId="77777777" w:rsidTr="007A0266">
        <w:trPr>
          <w:trHeight w:val="647"/>
        </w:trPr>
        <w:tc>
          <w:tcPr>
            <w:tcW w:w="2164" w:type="dxa"/>
            <w:tcBorders>
              <w:top w:val="single" w:sz="6" w:space="0" w:color="019648"/>
              <w:left w:val="nil"/>
              <w:bottom w:val="single" w:sz="6" w:space="0" w:color="019648"/>
              <w:right w:val="nil"/>
            </w:tcBorders>
          </w:tcPr>
          <w:p w14:paraId="25EA85D8" w14:textId="1675CEAE" w:rsidR="009D2A4B" w:rsidRPr="007A0266" w:rsidRDefault="009D2A4B" w:rsidP="007A0266">
            <w:pPr>
              <w:pStyle w:val="TableParagraph"/>
              <w:spacing w:line="249" w:lineRule="auto"/>
              <w:ind w:left="133" w:right="4"/>
              <w:rPr>
                <w:sz w:val="18"/>
                <w:szCs w:val="18"/>
              </w:rPr>
            </w:pPr>
            <w:proofErr w:type="spellStart"/>
            <w:r w:rsidRPr="007A0266">
              <w:rPr>
                <w:sz w:val="18"/>
                <w:szCs w:val="18"/>
              </w:rPr>
              <w:t>Марк</w:t>
            </w:r>
            <w:proofErr w:type="spellEnd"/>
            <w:r w:rsidRPr="007A0266">
              <w:rPr>
                <w:sz w:val="18"/>
                <w:szCs w:val="18"/>
              </w:rPr>
              <w:t xml:space="preserve"> Н</w:t>
            </w:r>
            <w:r w:rsidRPr="007A0266">
              <w:rPr>
                <w:sz w:val="18"/>
                <w:szCs w:val="18"/>
                <w:lang w:val="uk-UA"/>
              </w:rPr>
              <w:t>і</w:t>
            </w:r>
            <w:proofErr w:type="spellStart"/>
            <w:r w:rsidRPr="007A0266">
              <w:rPr>
                <w:sz w:val="18"/>
                <w:szCs w:val="18"/>
              </w:rPr>
              <w:t>кол</w:t>
            </w:r>
            <w:proofErr w:type="spellEnd"/>
          </w:p>
        </w:tc>
        <w:tc>
          <w:tcPr>
            <w:tcW w:w="4535" w:type="dxa"/>
            <w:tcBorders>
              <w:top w:val="single" w:sz="6" w:space="0" w:color="019648"/>
              <w:left w:val="nil"/>
              <w:bottom w:val="single" w:sz="6" w:space="0" w:color="019648"/>
              <w:right w:val="nil"/>
            </w:tcBorders>
          </w:tcPr>
          <w:p w14:paraId="7F2DBEC2" w14:textId="3CEF55F9" w:rsidR="00953F61" w:rsidRPr="00EB6C68" w:rsidRDefault="00953F61" w:rsidP="00953F61">
            <w:pPr>
              <w:pStyle w:val="TableParagraph"/>
              <w:ind w:right="4"/>
              <w:rPr>
                <w:sz w:val="18"/>
                <w:szCs w:val="18"/>
                <w:lang w:val="uk-UA"/>
              </w:rPr>
            </w:pPr>
            <w:r w:rsidRPr="00EB6C68">
              <w:rPr>
                <w:sz w:val="18"/>
                <w:szCs w:val="18"/>
                <w:lang w:val="uk-UA"/>
              </w:rPr>
              <w:t>Установа отримала грант на фінансування досліджень широкого спектру нових діагностичних методів лікування ТБ, в т.ч. ТАНК (серед інших, BD MAX™, один з тестів, що цікавлять безпосередньо</w:t>
            </w:r>
            <w:r w:rsidR="00F63D88" w:rsidRPr="00EB6C68">
              <w:rPr>
                <w:sz w:val="18"/>
                <w:szCs w:val="18"/>
                <w:lang w:val="uk-UA"/>
              </w:rPr>
              <w:t xml:space="preserve"> </w:t>
            </w:r>
            <w:r w:rsidRPr="00EB6C68">
              <w:rPr>
                <w:sz w:val="18"/>
                <w:szCs w:val="18"/>
                <w:lang w:val="uk-UA"/>
              </w:rPr>
              <w:t>ГРН. Фонд Гейтса; Національні інститути охорони здоров'я США (NIH); Незалежний міжнародний благодійний фонд "</w:t>
            </w:r>
            <w:proofErr w:type="spellStart"/>
            <w:r w:rsidRPr="00EB6C68">
              <w:rPr>
                <w:sz w:val="18"/>
                <w:szCs w:val="18"/>
                <w:lang w:val="uk-UA"/>
              </w:rPr>
              <w:t>Wellcome</w:t>
            </w:r>
            <w:proofErr w:type="spellEnd"/>
            <w:r w:rsidRPr="00EB6C68">
              <w:rPr>
                <w:sz w:val="18"/>
                <w:szCs w:val="18"/>
                <w:lang w:val="uk-UA"/>
              </w:rPr>
              <w:t xml:space="preserve"> </w:t>
            </w:r>
            <w:proofErr w:type="spellStart"/>
            <w:r w:rsidRPr="00EB6C68">
              <w:rPr>
                <w:sz w:val="18"/>
                <w:szCs w:val="18"/>
                <w:lang w:val="uk-UA"/>
              </w:rPr>
              <w:t>Trust</w:t>
            </w:r>
            <w:proofErr w:type="spellEnd"/>
            <w:r w:rsidRPr="00EB6C68">
              <w:rPr>
                <w:sz w:val="18"/>
                <w:szCs w:val="18"/>
                <w:lang w:val="uk-UA"/>
              </w:rPr>
              <w:t>"; FIND. Роботодавець (Університет) отримав фінансування.</w:t>
            </w:r>
          </w:p>
          <w:p w14:paraId="293DBB0A" w14:textId="77777777" w:rsidR="009D2A4B" w:rsidRPr="00EB6C68" w:rsidRDefault="00953F61" w:rsidP="00953F61">
            <w:pPr>
              <w:pStyle w:val="TableParagraph"/>
              <w:ind w:right="4"/>
              <w:rPr>
                <w:sz w:val="18"/>
                <w:szCs w:val="18"/>
                <w:lang w:val="uk-UA"/>
              </w:rPr>
            </w:pPr>
            <w:r w:rsidRPr="00EB6C68">
              <w:rPr>
                <w:sz w:val="18"/>
                <w:szCs w:val="18"/>
                <w:lang w:val="uk-UA"/>
              </w:rPr>
              <w:t xml:space="preserve">Значне фінансування (кілька мільйонів доларів США). Поточне фінансування від FIND, NIH; спільна участь у розгляді патенту на новий метод вилучення та очищення ДНК зі зразків мокротиння (не пов'язано з жодним комерційним тестом на ТБ або не використовується ним). Патент належить чинному </w:t>
            </w:r>
            <w:proofErr w:type="spellStart"/>
            <w:r w:rsidRPr="00EB6C68">
              <w:rPr>
                <w:sz w:val="18"/>
                <w:szCs w:val="18"/>
                <w:lang w:val="uk-UA"/>
              </w:rPr>
              <w:t>влалснику</w:t>
            </w:r>
            <w:proofErr w:type="spellEnd"/>
            <w:r w:rsidRPr="00EB6C68">
              <w:rPr>
                <w:sz w:val="18"/>
                <w:szCs w:val="18"/>
                <w:lang w:val="uk-UA"/>
              </w:rPr>
              <w:t>. Наразі не має комерційної цінності.</w:t>
            </w:r>
          </w:p>
          <w:p w14:paraId="311D81F7" w14:textId="18FC1772" w:rsidR="00E8083F" w:rsidRPr="00EB6C68" w:rsidRDefault="00E8083F" w:rsidP="00953F61">
            <w:pPr>
              <w:pStyle w:val="TableParagraph"/>
              <w:ind w:right="4"/>
              <w:rPr>
                <w:sz w:val="18"/>
                <w:szCs w:val="18"/>
                <w:lang w:val="uk-UA"/>
              </w:rPr>
            </w:pPr>
          </w:p>
        </w:tc>
        <w:tc>
          <w:tcPr>
            <w:tcW w:w="2779" w:type="dxa"/>
            <w:tcBorders>
              <w:top w:val="single" w:sz="6" w:space="0" w:color="019648"/>
              <w:left w:val="nil"/>
              <w:bottom w:val="single" w:sz="6" w:space="0" w:color="019648"/>
              <w:right w:val="nil"/>
            </w:tcBorders>
          </w:tcPr>
          <w:p w14:paraId="540FBA0B" w14:textId="0F6BF384" w:rsidR="009D2A4B" w:rsidRPr="00EB6C68" w:rsidRDefault="003623F6" w:rsidP="007A0266">
            <w:pPr>
              <w:pStyle w:val="TableParagraph"/>
              <w:ind w:left="124" w:right="4"/>
              <w:rPr>
                <w:w w:val="105"/>
                <w:sz w:val="18"/>
                <w:szCs w:val="18"/>
                <w:lang w:val="uk-UA"/>
              </w:rPr>
            </w:pPr>
            <w:r w:rsidRPr="00EB6C68">
              <w:rPr>
                <w:w w:val="105"/>
                <w:sz w:val="18"/>
                <w:szCs w:val="18"/>
                <w:lang w:val="uk-UA"/>
              </w:rPr>
              <w:t>Значний конфлікт інтересів - виключається з процесу обговорення стосовно автоматизованих ТАНК  помірної складності</w:t>
            </w:r>
          </w:p>
        </w:tc>
      </w:tr>
    </w:tbl>
    <w:p w14:paraId="3F7C6887" w14:textId="77777777" w:rsidR="00E05B98" w:rsidRPr="007A0266" w:rsidRDefault="00E05B98" w:rsidP="007A0266">
      <w:pPr>
        <w:pStyle w:val="TableParagraph"/>
        <w:spacing w:line="249" w:lineRule="auto"/>
        <w:ind w:right="4"/>
        <w:rPr>
          <w:sz w:val="18"/>
          <w:szCs w:val="18"/>
          <w:lang w:val="uk-UA"/>
        </w:rPr>
        <w:sectPr w:rsidR="00E05B98" w:rsidRPr="007A0266" w:rsidSect="00E8083F">
          <w:footerReference w:type="even" r:id="rId242"/>
          <w:footerReference w:type="default" r:id="rId243"/>
          <w:pgSz w:w="11910" w:h="16840"/>
          <w:pgMar w:top="1560" w:right="995" w:bottom="1418" w:left="850" w:header="0" w:footer="573" w:gutter="0"/>
          <w:pgNumType w:start="155"/>
          <w:cols w:space="720"/>
        </w:sectPr>
      </w:pPr>
    </w:p>
    <w:tbl>
      <w:tblPr>
        <w:tblStyle w:val="TableNormal"/>
        <w:tblW w:w="9478" w:type="dxa"/>
        <w:tblInd w:w="57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2164"/>
        <w:gridCol w:w="4535"/>
        <w:gridCol w:w="2779"/>
      </w:tblGrid>
      <w:tr w:rsidR="003623F6" w:rsidRPr="007A0266" w14:paraId="6EAB2C3C" w14:textId="77777777" w:rsidTr="003623F6">
        <w:trPr>
          <w:trHeight w:val="428"/>
        </w:trPr>
        <w:tc>
          <w:tcPr>
            <w:tcW w:w="2164" w:type="dxa"/>
            <w:tcBorders>
              <w:right w:val="single" w:sz="6" w:space="0" w:color="019648"/>
            </w:tcBorders>
            <w:shd w:val="clear" w:color="auto" w:fill="62A86B"/>
          </w:tcPr>
          <w:p w14:paraId="22C2E2E1" w14:textId="21A49A7C" w:rsidR="003623F6" w:rsidRPr="007A0266" w:rsidRDefault="003623F6" w:rsidP="003623F6">
            <w:pPr>
              <w:pStyle w:val="TableParagraph"/>
              <w:spacing w:before="95"/>
              <w:ind w:left="145" w:right="4"/>
              <w:rPr>
                <w:rFonts w:ascii="Arial"/>
                <w:b/>
                <w:sz w:val="18"/>
                <w:szCs w:val="18"/>
                <w:lang w:val="uk-UA"/>
              </w:rPr>
            </w:pPr>
            <w:r w:rsidRPr="003623F6">
              <w:rPr>
                <w:rFonts w:ascii="Arial" w:hAnsi="Arial" w:cs="Arial"/>
                <w:b/>
                <w:color w:val="FFFFFF"/>
                <w:spacing w:val="-9"/>
                <w:sz w:val="18"/>
                <w:szCs w:val="18"/>
                <w:lang w:val="uk-UA"/>
              </w:rPr>
              <w:lastRenderedPageBreak/>
              <w:t>Член ГРН</w:t>
            </w:r>
          </w:p>
        </w:tc>
        <w:tc>
          <w:tcPr>
            <w:tcW w:w="4535" w:type="dxa"/>
            <w:tcBorders>
              <w:left w:val="single" w:sz="6" w:space="0" w:color="019648"/>
              <w:right w:val="single" w:sz="6" w:space="0" w:color="019648"/>
            </w:tcBorders>
            <w:shd w:val="clear" w:color="auto" w:fill="62A86B"/>
          </w:tcPr>
          <w:p w14:paraId="2986916E" w14:textId="70B8315E" w:rsidR="003623F6" w:rsidRPr="007A0266" w:rsidRDefault="003623F6" w:rsidP="003623F6">
            <w:pPr>
              <w:pStyle w:val="TableParagraph"/>
              <w:spacing w:before="95"/>
              <w:ind w:left="138" w:right="4"/>
              <w:rPr>
                <w:rFonts w:ascii="Arial"/>
                <w:b/>
                <w:sz w:val="18"/>
                <w:szCs w:val="18"/>
                <w:lang w:val="uk-UA"/>
              </w:rPr>
            </w:pPr>
            <w:r w:rsidRPr="003623F6">
              <w:rPr>
                <w:rFonts w:ascii="Arial" w:hAnsi="Arial" w:cs="Arial"/>
                <w:b/>
                <w:color w:val="FFFFFF"/>
                <w:spacing w:val="-2"/>
                <w:sz w:val="18"/>
                <w:szCs w:val="18"/>
                <w:lang w:val="uk-UA"/>
              </w:rPr>
              <w:t>Задекларовані інтереси</w:t>
            </w:r>
          </w:p>
        </w:tc>
        <w:tc>
          <w:tcPr>
            <w:tcW w:w="2779" w:type="dxa"/>
            <w:tcBorders>
              <w:left w:val="single" w:sz="6" w:space="0" w:color="019648"/>
              <w:right w:val="single" w:sz="6" w:space="0" w:color="019648"/>
            </w:tcBorders>
            <w:shd w:val="clear" w:color="auto" w:fill="62A86B"/>
          </w:tcPr>
          <w:p w14:paraId="2A85EB93" w14:textId="0054FB3F" w:rsidR="003623F6" w:rsidRPr="007A0266" w:rsidRDefault="003623F6" w:rsidP="003623F6">
            <w:pPr>
              <w:pStyle w:val="TableParagraph"/>
              <w:spacing w:before="95"/>
              <w:ind w:left="139" w:right="4"/>
              <w:rPr>
                <w:rFonts w:ascii="Arial"/>
                <w:b/>
                <w:sz w:val="18"/>
                <w:szCs w:val="18"/>
                <w:lang w:val="uk-UA"/>
              </w:rPr>
            </w:pPr>
            <w:r w:rsidRPr="003623F6">
              <w:rPr>
                <w:rFonts w:ascii="Arial" w:hAnsi="Arial" w:cs="Arial"/>
                <w:b/>
                <w:color w:val="FFFFFF"/>
                <w:spacing w:val="-2"/>
                <w:sz w:val="18"/>
                <w:szCs w:val="18"/>
                <w:lang w:val="uk-UA"/>
              </w:rPr>
              <w:t xml:space="preserve">Висновок </w:t>
            </w:r>
          </w:p>
        </w:tc>
      </w:tr>
      <w:tr w:rsidR="00E05B98" w:rsidRPr="00D029FF" w14:paraId="7DDC7E95" w14:textId="77777777" w:rsidTr="003623F6">
        <w:trPr>
          <w:trHeight w:val="2372"/>
        </w:trPr>
        <w:tc>
          <w:tcPr>
            <w:tcW w:w="2164" w:type="dxa"/>
            <w:tcBorders>
              <w:left w:val="nil"/>
              <w:bottom w:val="single" w:sz="6" w:space="0" w:color="019648"/>
              <w:right w:val="nil"/>
            </w:tcBorders>
          </w:tcPr>
          <w:p w14:paraId="37CCDEBA" w14:textId="3B5AFEDC" w:rsidR="00E05B98" w:rsidRPr="003623F6" w:rsidRDefault="0029215F" w:rsidP="007A0266">
            <w:pPr>
              <w:pStyle w:val="TableParagraph"/>
              <w:spacing w:before="76"/>
              <w:ind w:left="133" w:right="4"/>
              <w:rPr>
                <w:sz w:val="18"/>
                <w:szCs w:val="18"/>
                <w:lang w:val="uk-UA"/>
              </w:rPr>
            </w:pPr>
            <w:r w:rsidRPr="003623F6">
              <w:rPr>
                <w:spacing w:val="-5"/>
                <w:sz w:val="18"/>
                <w:szCs w:val="18"/>
              </w:rPr>
              <w:t>Л</w:t>
            </w:r>
            <w:r w:rsidRPr="003623F6">
              <w:rPr>
                <w:spacing w:val="-5"/>
                <w:sz w:val="18"/>
                <w:szCs w:val="18"/>
                <w:lang w:val="uk-UA"/>
              </w:rPr>
              <w:t>і</w:t>
            </w:r>
            <w:r w:rsidRPr="003623F6">
              <w:rPr>
                <w:spacing w:val="-5"/>
                <w:sz w:val="18"/>
                <w:szCs w:val="18"/>
              </w:rPr>
              <w:t>н Р</w:t>
            </w:r>
            <w:r w:rsidRPr="003623F6">
              <w:rPr>
                <w:spacing w:val="-5"/>
                <w:sz w:val="18"/>
                <w:szCs w:val="18"/>
                <w:lang w:val="uk-UA"/>
              </w:rPr>
              <w:t>і</w:t>
            </w:r>
            <w:proofErr w:type="spellStart"/>
            <w:r w:rsidRPr="003623F6">
              <w:rPr>
                <w:spacing w:val="-5"/>
                <w:sz w:val="18"/>
                <w:szCs w:val="18"/>
              </w:rPr>
              <w:t>гоутс</w:t>
            </w:r>
            <w:proofErr w:type="spellEnd"/>
          </w:p>
        </w:tc>
        <w:tc>
          <w:tcPr>
            <w:tcW w:w="4535" w:type="dxa"/>
            <w:tcBorders>
              <w:left w:val="nil"/>
              <w:bottom w:val="single" w:sz="6" w:space="0" w:color="019648"/>
              <w:right w:val="nil"/>
            </w:tcBorders>
          </w:tcPr>
          <w:p w14:paraId="343B268B" w14:textId="509387DE" w:rsidR="00E05B98" w:rsidRPr="003623F6" w:rsidRDefault="00CF130E" w:rsidP="007A0266">
            <w:pPr>
              <w:pStyle w:val="TableParagraph"/>
              <w:spacing w:before="9" w:line="249" w:lineRule="auto"/>
              <w:ind w:right="4"/>
              <w:rPr>
                <w:sz w:val="18"/>
                <w:szCs w:val="18"/>
                <w:lang w:val="uk-UA"/>
              </w:rPr>
            </w:pPr>
            <w:r w:rsidRPr="00CF130E">
              <w:rPr>
                <w:w w:val="105"/>
                <w:sz w:val="18"/>
                <w:szCs w:val="18"/>
                <w:lang w:val="uk-UA"/>
              </w:rPr>
              <w:t>Підтримка досліджень: дослідницький підрозділ отримав фінансову підтримку через FIND для координації та участі в багатоцентровому оцінюванні Genoscholar PZA-LPA (технологія на основі зворотної гібридизації для виявлення стійкості до піразинаміду (PZA) при ТБ). Частина цього фінансування надійшла від компанії "Nipro". Нематеріальна винагорода: дослідницький підрозділ отримав набори Genoscholar PZA-LPA для проведення оцінювання тесту (багатоцентрове дослідження через FIND плюс додаткова  поточна оцінка в підрозділі)</w:t>
            </w:r>
            <w:r w:rsidR="00B01E0C" w:rsidRPr="003623F6">
              <w:rPr>
                <w:w w:val="105"/>
                <w:sz w:val="18"/>
                <w:szCs w:val="18"/>
                <w:lang w:val="uk-UA"/>
              </w:rPr>
              <w:t>.</w:t>
            </w:r>
          </w:p>
        </w:tc>
        <w:tc>
          <w:tcPr>
            <w:tcW w:w="2779" w:type="dxa"/>
            <w:tcBorders>
              <w:left w:val="nil"/>
              <w:bottom w:val="single" w:sz="6" w:space="0" w:color="019648"/>
              <w:right w:val="nil"/>
            </w:tcBorders>
          </w:tcPr>
          <w:p w14:paraId="5C427DAF" w14:textId="1022E9E8" w:rsidR="00E05B98" w:rsidRPr="003623F6" w:rsidRDefault="00CF130E" w:rsidP="007A0266">
            <w:pPr>
              <w:pStyle w:val="TableParagraph"/>
              <w:spacing w:before="76" w:line="249" w:lineRule="auto"/>
              <w:ind w:left="124" w:right="4"/>
              <w:rPr>
                <w:sz w:val="18"/>
                <w:szCs w:val="18"/>
                <w:lang w:val="uk-UA"/>
              </w:rPr>
            </w:pPr>
            <w:r w:rsidRPr="00CF130E">
              <w:rPr>
                <w:w w:val="105"/>
                <w:sz w:val="18"/>
                <w:szCs w:val="18"/>
                <w:lang w:val="uk-UA"/>
              </w:rPr>
              <w:t>Значний конфлікт інтересів – виключено з процесу обговорення стосовно використання ТАНК високої складності  на основі гібридизації</w:t>
            </w:r>
          </w:p>
        </w:tc>
      </w:tr>
      <w:tr w:rsidR="00E05B98" w:rsidRPr="003623F6" w14:paraId="782356D3" w14:textId="77777777" w:rsidTr="003623F6">
        <w:trPr>
          <w:trHeight w:val="1427"/>
        </w:trPr>
        <w:tc>
          <w:tcPr>
            <w:tcW w:w="2164" w:type="dxa"/>
            <w:tcBorders>
              <w:top w:val="single" w:sz="6" w:space="0" w:color="019648"/>
              <w:left w:val="nil"/>
              <w:bottom w:val="single" w:sz="6" w:space="0" w:color="019648"/>
              <w:right w:val="nil"/>
            </w:tcBorders>
          </w:tcPr>
          <w:p w14:paraId="0EF11C6F" w14:textId="6BCAF381" w:rsidR="00E05B98" w:rsidRPr="003623F6" w:rsidRDefault="0029215F" w:rsidP="007A0266">
            <w:pPr>
              <w:pStyle w:val="TableParagraph"/>
              <w:ind w:left="133" w:right="4"/>
              <w:rPr>
                <w:sz w:val="18"/>
                <w:szCs w:val="18"/>
                <w:lang w:val="uk-UA"/>
              </w:rPr>
            </w:pPr>
            <w:proofErr w:type="spellStart"/>
            <w:r w:rsidRPr="003623F6">
              <w:rPr>
                <w:spacing w:val="-4"/>
                <w:sz w:val="18"/>
                <w:szCs w:val="18"/>
              </w:rPr>
              <w:t>Томас</w:t>
            </w:r>
            <w:proofErr w:type="spellEnd"/>
            <w:r w:rsidRPr="003623F6">
              <w:rPr>
                <w:spacing w:val="-4"/>
                <w:sz w:val="18"/>
                <w:szCs w:val="18"/>
              </w:rPr>
              <w:t xml:space="preserve"> Ш</w:t>
            </w:r>
            <w:r w:rsidR="001E18F2">
              <w:rPr>
                <w:spacing w:val="-4"/>
                <w:sz w:val="18"/>
                <w:szCs w:val="18"/>
                <w:lang w:val="uk-UA"/>
              </w:rPr>
              <w:t>и</w:t>
            </w:r>
            <w:proofErr w:type="spellStart"/>
            <w:r w:rsidRPr="003623F6">
              <w:rPr>
                <w:spacing w:val="-4"/>
                <w:sz w:val="18"/>
                <w:szCs w:val="18"/>
              </w:rPr>
              <w:t>нн</w:t>
            </w:r>
            <w:proofErr w:type="spellEnd"/>
            <w:r w:rsidR="001E18F2">
              <w:rPr>
                <w:spacing w:val="-4"/>
                <w:sz w:val="18"/>
                <w:szCs w:val="18"/>
                <w:lang w:val="uk-UA"/>
              </w:rPr>
              <w:t>и</w:t>
            </w:r>
            <w:r w:rsidRPr="003623F6">
              <w:rPr>
                <w:spacing w:val="-4"/>
                <w:sz w:val="18"/>
                <w:szCs w:val="18"/>
              </w:rPr>
              <w:t>к</w:t>
            </w:r>
          </w:p>
        </w:tc>
        <w:tc>
          <w:tcPr>
            <w:tcW w:w="4535" w:type="dxa"/>
            <w:tcBorders>
              <w:top w:val="single" w:sz="6" w:space="0" w:color="019648"/>
              <w:left w:val="nil"/>
              <w:bottom w:val="single" w:sz="6" w:space="0" w:color="019648"/>
              <w:right w:val="nil"/>
            </w:tcBorders>
          </w:tcPr>
          <w:p w14:paraId="52DC7D01" w14:textId="2FB2741A" w:rsidR="00E05B98" w:rsidRPr="003623F6" w:rsidRDefault="00CF130E" w:rsidP="007A0266">
            <w:pPr>
              <w:pStyle w:val="TableParagraph"/>
              <w:spacing w:line="249" w:lineRule="auto"/>
              <w:ind w:right="4"/>
              <w:rPr>
                <w:sz w:val="18"/>
                <w:szCs w:val="18"/>
                <w:lang w:val="uk-UA"/>
              </w:rPr>
            </w:pPr>
            <w:r w:rsidRPr="00CF130E">
              <w:rPr>
                <w:w w:val="105"/>
                <w:sz w:val="18"/>
                <w:szCs w:val="18"/>
                <w:lang w:val="uk-UA"/>
              </w:rPr>
              <w:t>В якості незалежного консультанта отримував контракти та підтримку на відрядження від ВООЗ, FIND та USAID для виконання роботи, пов'язаної зі зміцненням лабораторій та розробкою глобальних керівних документів; процес триває.</w:t>
            </w:r>
          </w:p>
        </w:tc>
        <w:tc>
          <w:tcPr>
            <w:tcW w:w="2779" w:type="dxa"/>
            <w:tcBorders>
              <w:top w:val="single" w:sz="6" w:space="0" w:color="019648"/>
              <w:left w:val="nil"/>
              <w:bottom w:val="single" w:sz="6" w:space="0" w:color="019648"/>
              <w:right w:val="nil"/>
            </w:tcBorders>
          </w:tcPr>
          <w:p w14:paraId="6FB46F6B" w14:textId="7A01A980" w:rsidR="00E05B98" w:rsidRPr="003623F6" w:rsidRDefault="004178B8" w:rsidP="007A0266">
            <w:pPr>
              <w:pStyle w:val="TableParagraph"/>
              <w:spacing w:line="249" w:lineRule="auto"/>
              <w:ind w:left="124" w:right="4"/>
              <w:rPr>
                <w:sz w:val="18"/>
                <w:szCs w:val="18"/>
                <w:lang w:val="uk-UA"/>
              </w:rPr>
            </w:pPr>
            <w:r w:rsidRPr="003623F6">
              <w:rPr>
                <w:w w:val="105"/>
                <w:sz w:val="18"/>
                <w:szCs w:val="18"/>
                <w:lang w:val="uk-UA"/>
              </w:rPr>
              <w:t>Незначний конфлікт інтересів</w:t>
            </w:r>
          </w:p>
        </w:tc>
      </w:tr>
      <w:tr w:rsidR="004178B8" w:rsidRPr="003623F6" w14:paraId="64B8D558" w14:textId="77777777" w:rsidTr="003623F6">
        <w:trPr>
          <w:trHeight w:val="387"/>
        </w:trPr>
        <w:tc>
          <w:tcPr>
            <w:tcW w:w="2164" w:type="dxa"/>
            <w:tcBorders>
              <w:top w:val="single" w:sz="6" w:space="0" w:color="019648"/>
              <w:left w:val="nil"/>
              <w:bottom w:val="single" w:sz="6" w:space="0" w:color="019648"/>
              <w:right w:val="nil"/>
            </w:tcBorders>
          </w:tcPr>
          <w:p w14:paraId="7EC6DFB3" w14:textId="42D81734" w:rsidR="004178B8" w:rsidRPr="003623F6" w:rsidRDefault="004178B8" w:rsidP="007A0266">
            <w:pPr>
              <w:pStyle w:val="TableParagraph"/>
              <w:ind w:left="133" w:right="4"/>
              <w:rPr>
                <w:sz w:val="18"/>
                <w:szCs w:val="18"/>
                <w:lang w:val="uk-UA"/>
              </w:rPr>
            </w:pPr>
            <w:proofErr w:type="spellStart"/>
            <w:r w:rsidRPr="003623F6">
              <w:rPr>
                <w:sz w:val="18"/>
                <w:szCs w:val="18"/>
              </w:rPr>
              <w:t>Ходжун</w:t>
            </w:r>
            <w:proofErr w:type="spellEnd"/>
            <w:r w:rsidRPr="003623F6">
              <w:rPr>
                <w:sz w:val="18"/>
                <w:szCs w:val="18"/>
              </w:rPr>
              <w:t xml:space="preserve"> </w:t>
            </w:r>
            <w:proofErr w:type="spellStart"/>
            <w:r w:rsidRPr="003623F6">
              <w:rPr>
                <w:sz w:val="18"/>
                <w:szCs w:val="18"/>
              </w:rPr>
              <w:t>Сон</w:t>
            </w:r>
            <w:proofErr w:type="spellEnd"/>
          </w:p>
        </w:tc>
        <w:tc>
          <w:tcPr>
            <w:tcW w:w="4535" w:type="dxa"/>
            <w:tcBorders>
              <w:top w:val="single" w:sz="6" w:space="0" w:color="019648"/>
              <w:left w:val="nil"/>
              <w:bottom w:val="single" w:sz="6" w:space="0" w:color="019648"/>
              <w:right w:val="nil"/>
            </w:tcBorders>
          </w:tcPr>
          <w:p w14:paraId="2E80CA64" w14:textId="42FF2119" w:rsidR="004178B8" w:rsidRPr="003623F6" w:rsidRDefault="004178B8" w:rsidP="007A0266">
            <w:pPr>
              <w:pStyle w:val="TableParagraph"/>
              <w:ind w:right="4"/>
              <w:rPr>
                <w:sz w:val="18"/>
                <w:szCs w:val="18"/>
                <w:lang w:val="uk-UA"/>
              </w:rPr>
            </w:pPr>
            <w:r w:rsidRPr="003623F6">
              <w:rPr>
                <w:sz w:val="18"/>
                <w:szCs w:val="18"/>
              </w:rPr>
              <w:t>Не задекларовано жодного</w:t>
            </w:r>
          </w:p>
        </w:tc>
        <w:tc>
          <w:tcPr>
            <w:tcW w:w="2779" w:type="dxa"/>
            <w:tcBorders>
              <w:top w:val="single" w:sz="6" w:space="0" w:color="019648"/>
              <w:left w:val="nil"/>
              <w:bottom w:val="single" w:sz="6" w:space="0" w:color="019648"/>
              <w:right w:val="nil"/>
            </w:tcBorders>
          </w:tcPr>
          <w:p w14:paraId="1DE13B9E" w14:textId="2B3814D0" w:rsidR="004178B8" w:rsidRPr="003623F6" w:rsidRDefault="004178B8" w:rsidP="007A0266">
            <w:pPr>
              <w:pStyle w:val="TableParagraph"/>
              <w:ind w:left="124" w:right="4"/>
              <w:rPr>
                <w:sz w:val="18"/>
                <w:szCs w:val="18"/>
                <w:lang w:val="uk-UA"/>
              </w:rPr>
            </w:pPr>
            <w:r w:rsidRPr="003623F6">
              <w:rPr>
                <w:w w:val="105"/>
                <w:sz w:val="18"/>
                <w:szCs w:val="18"/>
                <w:lang w:val="uk-UA"/>
              </w:rPr>
              <w:t>Відсутність конфлікту інтересів</w:t>
            </w:r>
          </w:p>
        </w:tc>
      </w:tr>
      <w:tr w:rsidR="004178B8" w:rsidRPr="003623F6" w14:paraId="06B68E83" w14:textId="77777777" w:rsidTr="003623F6">
        <w:trPr>
          <w:trHeight w:val="387"/>
        </w:trPr>
        <w:tc>
          <w:tcPr>
            <w:tcW w:w="2164" w:type="dxa"/>
            <w:tcBorders>
              <w:top w:val="single" w:sz="6" w:space="0" w:color="019648"/>
              <w:left w:val="nil"/>
              <w:bottom w:val="single" w:sz="6" w:space="0" w:color="019648"/>
              <w:right w:val="nil"/>
            </w:tcBorders>
          </w:tcPr>
          <w:p w14:paraId="21DD6C9C" w14:textId="33581CDB" w:rsidR="004178B8" w:rsidRPr="003623F6" w:rsidRDefault="004178B8" w:rsidP="004178B8">
            <w:pPr>
              <w:pStyle w:val="TableParagraph"/>
              <w:ind w:left="133"/>
              <w:rPr>
                <w:sz w:val="18"/>
                <w:szCs w:val="18"/>
                <w:lang w:val="uk-UA"/>
              </w:rPr>
            </w:pPr>
            <w:proofErr w:type="spellStart"/>
            <w:r w:rsidRPr="003623F6">
              <w:rPr>
                <w:spacing w:val="-5"/>
                <w:sz w:val="18"/>
                <w:szCs w:val="18"/>
              </w:rPr>
              <w:t>Саб</w:t>
            </w:r>
            <w:proofErr w:type="spellEnd"/>
            <w:r w:rsidRPr="003623F6">
              <w:rPr>
                <w:spacing w:val="-5"/>
                <w:sz w:val="18"/>
                <w:szCs w:val="18"/>
                <w:lang w:val="uk-UA"/>
              </w:rPr>
              <w:t>і</w:t>
            </w:r>
            <w:proofErr w:type="spellStart"/>
            <w:r w:rsidRPr="003623F6">
              <w:rPr>
                <w:spacing w:val="-5"/>
                <w:sz w:val="18"/>
                <w:szCs w:val="18"/>
              </w:rPr>
              <w:t>ра</w:t>
            </w:r>
            <w:proofErr w:type="spellEnd"/>
            <w:r w:rsidRPr="003623F6">
              <w:rPr>
                <w:spacing w:val="-5"/>
                <w:sz w:val="18"/>
                <w:szCs w:val="18"/>
              </w:rPr>
              <w:t xml:space="preserve"> </w:t>
            </w:r>
            <w:proofErr w:type="spellStart"/>
            <w:r w:rsidRPr="003623F6">
              <w:rPr>
                <w:spacing w:val="-5"/>
                <w:sz w:val="18"/>
                <w:szCs w:val="18"/>
              </w:rPr>
              <w:t>Тахс</w:t>
            </w:r>
            <w:proofErr w:type="spellEnd"/>
            <w:r w:rsidRPr="003623F6">
              <w:rPr>
                <w:spacing w:val="-5"/>
                <w:sz w:val="18"/>
                <w:szCs w:val="18"/>
                <w:lang w:val="uk-UA"/>
              </w:rPr>
              <w:t>і</w:t>
            </w:r>
            <w:r w:rsidRPr="003623F6">
              <w:rPr>
                <w:spacing w:val="-5"/>
                <w:sz w:val="18"/>
                <w:szCs w:val="18"/>
              </w:rPr>
              <w:t>н</w:t>
            </w:r>
          </w:p>
        </w:tc>
        <w:tc>
          <w:tcPr>
            <w:tcW w:w="4535" w:type="dxa"/>
            <w:tcBorders>
              <w:top w:val="single" w:sz="6" w:space="0" w:color="019648"/>
              <w:left w:val="nil"/>
              <w:bottom w:val="single" w:sz="6" w:space="0" w:color="019648"/>
              <w:right w:val="nil"/>
            </w:tcBorders>
          </w:tcPr>
          <w:p w14:paraId="469C55C4" w14:textId="7D7AB920"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779" w:type="dxa"/>
            <w:tcBorders>
              <w:top w:val="single" w:sz="6" w:space="0" w:color="019648"/>
              <w:left w:val="nil"/>
              <w:bottom w:val="single" w:sz="6" w:space="0" w:color="019648"/>
              <w:right w:val="nil"/>
            </w:tcBorders>
          </w:tcPr>
          <w:p w14:paraId="769329C6" w14:textId="421FE30F" w:rsidR="004178B8" w:rsidRPr="003623F6" w:rsidRDefault="004178B8" w:rsidP="004178B8">
            <w:pPr>
              <w:pStyle w:val="TableParagraph"/>
              <w:ind w:left="124"/>
              <w:rPr>
                <w:sz w:val="18"/>
                <w:szCs w:val="18"/>
                <w:lang w:val="uk-UA"/>
              </w:rPr>
            </w:pPr>
            <w:r w:rsidRPr="003623F6">
              <w:rPr>
                <w:w w:val="105"/>
                <w:sz w:val="18"/>
                <w:szCs w:val="18"/>
                <w:lang w:val="uk-UA"/>
              </w:rPr>
              <w:t>Відсутність конфлікту інтересів</w:t>
            </w:r>
          </w:p>
        </w:tc>
      </w:tr>
      <w:tr w:rsidR="00E05B98" w:rsidRPr="00D029FF" w14:paraId="54668F29" w14:textId="77777777" w:rsidTr="00640DB5">
        <w:trPr>
          <w:trHeight w:val="2961"/>
        </w:trPr>
        <w:tc>
          <w:tcPr>
            <w:tcW w:w="2164" w:type="dxa"/>
            <w:tcBorders>
              <w:top w:val="single" w:sz="6" w:space="0" w:color="019648"/>
              <w:left w:val="nil"/>
              <w:bottom w:val="single" w:sz="6" w:space="0" w:color="019648"/>
              <w:right w:val="nil"/>
            </w:tcBorders>
          </w:tcPr>
          <w:p w14:paraId="2485FB8D" w14:textId="48289E31" w:rsidR="00E05B98" w:rsidRPr="003623F6" w:rsidRDefault="0029215F">
            <w:pPr>
              <w:pStyle w:val="TableParagraph"/>
              <w:spacing w:line="249" w:lineRule="auto"/>
              <w:ind w:left="133" w:right="249"/>
              <w:rPr>
                <w:sz w:val="18"/>
                <w:szCs w:val="18"/>
                <w:lang w:val="ru-RU"/>
              </w:rPr>
            </w:pPr>
            <w:proofErr w:type="spellStart"/>
            <w:r w:rsidRPr="003623F6">
              <w:rPr>
                <w:spacing w:val="-6"/>
                <w:sz w:val="18"/>
                <w:szCs w:val="18"/>
                <w:lang w:val="ru-RU"/>
              </w:rPr>
              <w:t>Еціо</w:t>
            </w:r>
            <w:proofErr w:type="spellEnd"/>
            <w:r w:rsidRPr="003623F6">
              <w:rPr>
                <w:spacing w:val="-6"/>
                <w:sz w:val="18"/>
                <w:szCs w:val="18"/>
                <w:lang w:val="ru-RU"/>
              </w:rPr>
              <w:t xml:space="preserve"> Тавора </w:t>
            </w:r>
            <w:proofErr w:type="spellStart"/>
            <w:r w:rsidRPr="003623F6">
              <w:rPr>
                <w:spacing w:val="-6"/>
                <w:sz w:val="18"/>
                <w:szCs w:val="18"/>
                <w:lang w:val="ru-RU"/>
              </w:rPr>
              <w:t>дос</w:t>
            </w:r>
            <w:proofErr w:type="spellEnd"/>
            <w:r w:rsidRPr="003623F6">
              <w:rPr>
                <w:spacing w:val="-6"/>
                <w:sz w:val="18"/>
                <w:szCs w:val="18"/>
                <w:lang w:val="ru-RU"/>
              </w:rPr>
              <w:t xml:space="preserve"> Сантос </w:t>
            </w:r>
            <w:proofErr w:type="spellStart"/>
            <w:r w:rsidRPr="003623F6">
              <w:rPr>
                <w:spacing w:val="-6"/>
                <w:sz w:val="18"/>
                <w:szCs w:val="18"/>
                <w:lang w:val="ru-RU"/>
              </w:rPr>
              <w:t>Фільо</w:t>
            </w:r>
            <w:proofErr w:type="spellEnd"/>
          </w:p>
        </w:tc>
        <w:tc>
          <w:tcPr>
            <w:tcW w:w="4535" w:type="dxa"/>
            <w:tcBorders>
              <w:top w:val="single" w:sz="6" w:space="0" w:color="019648"/>
              <w:left w:val="nil"/>
              <w:bottom w:val="single" w:sz="6" w:space="0" w:color="019648"/>
              <w:right w:val="nil"/>
            </w:tcBorders>
          </w:tcPr>
          <w:p w14:paraId="5CB7AA2A" w14:textId="0ACBA91C" w:rsidR="00E05B98" w:rsidRPr="003623F6" w:rsidRDefault="00640DB5">
            <w:pPr>
              <w:pStyle w:val="TableParagraph"/>
              <w:spacing w:before="5" w:line="249" w:lineRule="auto"/>
              <w:ind w:right="113"/>
              <w:rPr>
                <w:sz w:val="18"/>
                <w:szCs w:val="18"/>
                <w:lang w:val="uk-UA"/>
              </w:rPr>
            </w:pPr>
            <w:r w:rsidRPr="00640DB5">
              <w:rPr>
                <w:sz w:val="18"/>
                <w:szCs w:val="18"/>
                <w:lang w:val="uk-UA"/>
              </w:rPr>
              <w:t>Координував діяльність громадських консультативних рад щодо дослідження PROVE-IT (грант TREAT-TB, Союз/USAID) у Бразилії (REDE-TB) з 2010 по 2015 рік. Наразі, як зацікавлена ​​сторона (не як член дослідницької групи, а як координатор громадської консультативної ради інших досліджень), відстежує реалізацію дослідження валідації Truenat у Бразилії, серед інших досліджень в рамках співпраці БРІКС. Має намір продовжити дослідження, врегулювавши питання створення системи нагляду громадських консультативних рад та аналізу протоколів у Бразилії та інших країнах-партнерах.</w:t>
            </w:r>
          </w:p>
        </w:tc>
        <w:tc>
          <w:tcPr>
            <w:tcW w:w="2779" w:type="dxa"/>
            <w:tcBorders>
              <w:top w:val="single" w:sz="6" w:space="0" w:color="019648"/>
              <w:left w:val="nil"/>
              <w:bottom w:val="single" w:sz="6" w:space="0" w:color="019648"/>
              <w:right w:val="nil"/>
            </w:tcBorders>
          </w:tcPr>
          <w:p w14:paraId="081623C2" w14:textId="2D834815" w:rsidR="00E05B98" w:rsidRPr="003623F6" w:rsidRDefault="00640DB5">
            <w:pPr>
              <w:pStyle w:val="TableParagraph"/>
              <w:spacing w:before="3" w:line="249" w:lineRule="auto"/>
              <w:ind w:left="124"/>
              <w:rPr>
                <w:sz w:val="18"/>
                <w:szCs w:val="18"/>
                <w:lang w:val="uk-UA"/>
              </w:rPr>
            </w:pPr>
            <w:r w:rsidRPr="00640DB5">
              <w:rPr>
                <w:w w:val="105"/>
                <w:sz w:val="18"/>
                <w:szCs w:val="18"/>
                <w:lang w:val="uk-UA"/>
              </w:rPr>
              <w:t>Значний конфлікт інтересів, виявлений при оцінці Molbio Truenat – виключено з процесу обговорення стосовно тесту Truenat виробництва Molbio</w:t>
            </w:r>
          </w:p>
        </w:tc>
      </w:tr>
      <w:tr w:rsidR="00E05B98" w:rsidRPr="003623F6" w14:paraId="5EED3508" w14:textId="77777777" w:rsidTr="003623F6">
        <w:trPr>
          <w:trHeight w:val="1947"/>
        </w:trPr>
        <w:tc>
          <w:tcPr>
            <w:tcW w:w="2164" w:type="dxa"/>
            <w:tcBorders>
              <w:top w:val="single" w:sz="6" w:space="0" w:color="019648"/>
              <w:left w:val="nil"/>
              <w:bottom w:val="single" w:sz="6" w:space="0" w:color="019648"/>
              <w:right w:val="nil"/>
            </w:tcBorders>
          </w:tcPr>
          <w:p w14:paraId="7D8EEEE2" w14:textId="0D42F550" w:rsidR="00E05B98" w:rsidRPr="003623F6" w:rsidRDefault="0029215F">
            <w:pPr>
              <w:pStyle w:val="TableParagraph"/>
              <w:ind w:left="133"/>
              <w:rPr>
                <w:sz w:val="18"/>
                <w:szCs w:val="18"/>
                <w:lang w:val="uk-UA"/>
              </w:rPr>
            </w:pPr>
            <w:r w:rsidRPr="003623F6">
              <w:rPr>
                <w:spacing w:val="-4"/>
                <w:sz w:val="18"/>
                <w:szCs w:val="18"/>
              </w:rPr>
              <w:t>К</w:t>
            </w:r>
            <w:r w:rsidRPr="003623F6">
              <w:rPr>
                <w:spacing w:val="-4"/>
                <w:sz w:val="18"/>
                <w:szCs w:val="18"/>
                <w:lang w:val="uk-UA"/>
              </w:rPr>
              <w:t>е</w:t>
            </w:r>
            <w:proofErr w:type="spellStart"/>
            <w:r w:rsidRPr="003623F6">
              <w:rPr>
                <w:spacing w:val="-4"/>
                <w:sz w:val="18"/>
                <w:szCs w:val="18"/>
              </w:rPr>
              <w:t>рр</w:t>
            </w:r>
            <w:proofErr w:type="spellEnd"/>
            <w:r w:rsidRPr="003623F6">
              <w:rPr>
                <w:spacing w:val="-4"/>
                <w:sz w:val="18"/>
                <w:szCs w:val="18"/>
                <w:lang w:val="uk-UA"/>
              </w:rPr>
              <w:t>і</w:t>
            </w:r>
            <w:r w:rsidRPr="003623F6">
              <w:rPr>
                <w:spacing w:val="-4"/>
                <w:sz w:val="18"/>
                <w:szCs w:val="18"/>
              </w:rPr>
              <w:t xml:space="preserve"> </w:t>
            </w:r>
            <w:proofErr w:type="spellStart"/>
            <w:r w:rsidRPr="003623F6">
              <w:rPr>
                <w:spacing w:val="-4"/>
                <w:sz w:val="18"/>
                <w:szCs w:val="18"/>
              </w:rPr>
              <w:t>Тюдор</w:t>
            </w:r>
            <w:proofErr w:type="spellEnd"/>
          </w:p>
        </w:tc>
        <w:tc>
          <w:tcPr>
            <w:tcW w:w="4535" w:type="dxa"/>
            <w:tcBorders>
              <w:top w:val="single" w:sz="6" w:space="0" w:color="019648"/>
              <w:left w:val="nil"/>
              <w:bottom w:val="single" w:sz="6" w:space="0" w:color="019648"/>
              <w:right w:val="nil"/>
            </w:tcBorders>
          </w:tcPr>
          <w:p w14:paraId="59F7ED00" w14:textId="77777777" w:rsidR="00640DB5" w:rsidRPr="00640DB5" w:rsidRDefault="00640DB5" w:rsidP="00640DB5">
            <w:pPr>
              <w:pStyle w:val="TableParagraph"/>
              <w:spacing w:line="249" w:lineRule="auto"/>
              <w:rPr>
                <w:sz w:val="18"/>
                <w:szCs w:val="18"/>
                <w:lang w:val="uk-UA"/>
              </w:rPr>
            </w:pPr>
            <w:r w:rsidRPr="00640DB5">
              <w:rPr>
                <w:sz w:val="18"/>
                <w:szCs w:val="18"/>
                <w:lang w:val="uk-UA"/>
              </w:rPr>
              <w:t>Робота (з січня 2015 року) в Міжнародній раді медсестер, проєкт боротьби з ТБ якої отримав фінансування від Фонду Елі Ліллі – Партнерство Ліллі з боротьби з МЛС-ТБ.</w:t>
            </w:r>
          </w:p>
          <w:p w14:paraId="1C586DA4" w14:textId="174BFED5" w:rsidR="00E05B98" w:rsidRPr="003623F6" w:rsidRDefault="00640DB5" w:rsidP="00640DB5">
            <w:pPr>
              <w:pStyle w:val="TableParagraph"/>
              <w:spacing w:before="4" w:line="249" w:lineRule="auto"/>
              <w:ind w:right="177"/>
              <w:jc w:val="both"/>
              <w:rPr>
                <w:sz w:val="18"/>
                <w:szCs w:val="18"/>
                <w:lang w:val="uk-UA"/>
              </w:rPr>
            </w:pPr>
            <w:r w:rsidRPr="00640DB5">
              <w:rPr>
                <w:sz w:val="18"/>
                <w:szCs w:val="18"/>
                <w:lang w:val="uk-UA"/>
              </w:rPr>
              <w:t>Отримане фінансування становило приблизно 1 мільйон доларів США з 2013 по 2019 рік. Поточний період фінансування на 2019 рік становить приблизно 100 000 доларів США.</w:t>
            </w:r>
          </w:p>
        </w:tc>
        <w:tc>
          <w:tcPr>
            <w:tcW w:w="2779" w:type="dxa"/>
            <w:tcBorders>
              <w:top w:val="single" w:sz="6" w:space="0" w:color="019648"/>
              <w:left w:val="nil"/>
              <w:bottom w:val="single" w:sz="6" w:space="0" w:color="019648"/>
              <w:right w:val="nil"/>
            </w:tcBorders>
          </w:tcPr>
          <w:p w14:paraId="0772ECA5" w14:textId="755B4668" w:rsidR="00E05B98" w:rsidRPr="003623F6" w:rsidRDefault="004178B8" w:rsidP="004178B8">
            <w:pPr>
              <w:pStyle w:val="TableParagraph"/>
              <w:spacing w:line="249" w:lineRule="auto"/>
              <w:ind w:left="124" w:right="30"/>
              <w:rPr>
                <w:sz w:val="18"/>
                <w:szCs w:val="18"/>
                <w:lang w:val="uk-UA"/>
              </w:rPr>
            </w:pPr>
            <w:r w:rsidRPr="003623F6">
              <w:rPr>
                <w:w w:val="105"/>
                <w:sz w:val="18"/>
                <w:szCs w:val="18"/>
                <w:lang w:val="uk-UA"/>
              </w:rPr>
              <w:t>Незначний конфлікт інтересів</w:t>
            </w:r>
          </w:p>
        </w:tc>
      </w:tr>
      <w:tr w:rsidR="00E05B98" w:rsidRPr="003623F6" w14:paraId="79DF923F" w14:textId="77777777" w:rsidTr="003623F6">
        <w:trPr>
          <w:trHeight w:val="387"/>
        </w:trPr>
        <w:tc>
          <w:tcPr>
            <w:tcW w:w="2164" w:type="dxa"/>
            <w:tcBorders>
              <w:top w:val="single" w:sz="6" w:space="0" w:color="019648"/>
              <w:left w:val="nil"/>
              <w:bottom w:val="single" w:sz="6" w:space="0" w:color="019648"/>
              <w:right w:val="nil"/>
            </w:tcBorders>
          </w:tcPr>
          <w:p w14:paraId="4D184B7F" w14:textId="71AAE323" w:rsidR="00E05B98" w:rsidRPr="003623F6" w:rsidRDefault="0029215F">
            <w:pPr>
              <w:pStyle w:val="TableParagraph"/>
              <w:ind w:left="133"/>
              <w:rPr>
                <w:sz w:val="18"/>
                <w:szCs w:val="18"/>
                <w:lang w:val="uk-UA"/>
              </w:rPr>
            </w:pPr>
            <w:r w:rsidRPr="003623F6">
              <w:rPr>
                <w:sz w:val="18"/>
                <w:szCs w:val="18"/>
              </w:rPr>
              <w:t>Д</w:t>
            </w:r>
            <w:r w:rsidRPr="003623F6">
              <w:rPr>
                <w:sz w:val="18"/>
                <w:szCs w:val="18"/>
                <w:lang w:val="uk-UA"/>
              </w:rPr>
              <w:t>і</w:t>
            </w:r>
            <w:proofErr w:type="spellStart"/>
            <w:r w:rsidRPr="003623F6">
              <w:rPr>
                <w:sz w:val="18"/>
                <w:szCs w:val="18"/>
              </w:rPr>
              <w:t>ана</w:t>
            </w:r>
            <w:proofErr w:type="spellEnd"/>
            <w:r w:rsidRPr="003623F6">
              <w:rPr>
                <w:sz w:val="18"/>
                <w:szCs w:val="18"/>
              </w:rPr>
              <w:t xml:space="preserve"> </w:t>
            </w:r>
            <w:proofErr w:type="spellStart"/>
            <w:r w:rsidRPr="003623F6">
              <w:rPr>
                <w:sz w:val="18"/>
                <w:szCs w:val="18"/>
              </w:rPr>
              <w:t>Вахрушева</w:t>
            </w:r>
            <w:proofErr w:type="spellEnd"/>
          </w:p>
        </w:tc>
        <w:tc>
          <w:tcPr>
            <w:tcW w:w="4535" w:type="dxa"/>
            <w:tcBorders>
              <w:top w:val="single" w:sz="6" w:space="0" w:color="019648"/>
              <w:left w:val="nil"/>
              <w:bottom w:val="single" w:sz="6" w:space="0" w:color="019648"/>
              <w:right w:val="nil"/>
            </w:tcBorders>
          </w:tcPr>
          <w:p w14:paraId="38152DF0" w14:textId="4956858A" w:rsidR="00E05B98" w:rsidRPr="003623F6" w:rsidRDefault="0029215F">
            <w:pPr>
              <w:pStyle w:val="TableParagraph"/>
              <w:rPr>
                <w:sz w:val="18"/>
                <w:szCs w:val="18"/>
                <w:lang w:val="uk-UA"/>
              </w:rPr>
            </w:pPr>
            <w:r w:rsidRPr="003623F6">
              <w:rPr>
                <w:sz w:val="18"/>
                <w:szCs w:val="18"/>
                <w:lang w:val="uk-UA"/>
              </w:rPr>
              <w:t>Не задекларовано жодного</w:t>
            </w:r>
          </w:p>
        </w:tc>
        <w:tc>
          <w:tcPr>
            <w:tcW w:w="2779" w:type="dxa"/>
            <w:tcBorders>
              <w:top w:val="single" w:sz="6" w:space="0" w:color="019648"/>
              <w:left w:val="nil"/>
              <w:bottom w:val="single" w:sz="6" w:space="0" w:color="019648"/>
              <w:right w:val="nil"/>
            </w:tcBorders>
          </w:tcPr>
          <w:p w14:paraId="1F90321F" w14:textId="0034F532" w:rsidR="00E05B98" w:rsidRPr="003623F6" w:rsidRDefault="004178B8">
            <w:pPr>
              <w:pStyle w:val="TableParagraph"/>
              <w:ind w:left="124"/>
              <w:rPr>
                <w:sz w:val="18"/>
                <w:szCs w:val="18"/>
                <w:lang w:val="uk-UA"/>
              </w:rPr>
            </w:pPr>
            <w:r w:rsidRPr="003623F6">
              <w:rPr>
                <w:w w:val="105"/>
                <w:sz w:val="18"/>
                <w:szCs w:val="18"/>
                <w:lang w:val="uk-UA"/>
              </w:rPr>
              <w:t>Відсутність конфлікту інтересів</w:t>
            </w:r>
          </w:p>
        </w:tc>
      </w:tr>
    </w:tbl>
    <w:p w14:paraId="10FA6391" w14:textId="77777777" w:rsidR="00E05B98" w:rsidRPr="003623F6" w:rsidRDefault="00E05B98">
      <w:pPr>
        <w:pStyle w:val="TableParagraph"/>
        <w:rPr>
          <w:sz w:val="18"/>
          <w:szCs w:val="18"/>
          <w:lang w:val="uk-UA"/>
        </w:rPr>
        <w:sectPr w:rsidR="00E05B98" w:rsidRPr="003623F6" w:rsidSect="007A0266">
          <w:type w:val="continuous"/>
          <w:pgSz w:w="11910" w:h="16840"/>
          <w:pgMar w:top="1380" w:right="995" w:bottom="760" w:left="850" w:header="0" w:footer="573" w:gutter="0"/>
          <w:cols w:space="720"/>
        </w:sectPr>
      </w:pPr>
    </w:p>
    <w:tbl>
      <w:tblPr>
        <w:tblStyle w:val="TableNormal"/>
        <w:tblW w:w="0" w:type="auto"/>
        <w:tblInd w:w="582"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2159"/>
        <w:gridCol w:w="4535"/>
        <w:gridCol w:w="2384"/>
      </w:tblGrid>
      <w:tr w:rsidR="003623F6" w:rsidRPr="003623F6" w14:paraId="3CBD33D0" w14:textId="77777777">
        <w:trPr>
          <w:trHeight w:val="428"/>
        </w:trPr>
        <w:tc>
          <w:tcPr>
            <w:tcW w:w="2159" w:type="dxa"/>
            <w:tcBorders>
              <w:right w:val="single" w:sz="6" w:space="0" w:color="019648"/>
            </w:tcBorders>
            <w:shd w:val="clear" w:color="auto" w:fill="62A86B"/>
          </w:tcPr>
          <w:p w14:paraId="70CA5BB5" w14:textId="6EFD77E6" w:rsidR="003623F6" w:rsidRPr="003623F6" w:rsidRDefault="003623F6" w:rsidP="003623F6">
            <w:pPr>
              <w:pStyle w:val="TableParagraph"/>
              <w:spacing w:before="95"/>
              <w:ind w:left="141"/>
              <w:rPr>
                <w:rFonts w:ascii="Arial"/>
                <w:b/>
                <w:sz w:val="18"/>
                <w:szCs w:val="18"/>
                <w:lang w:val="uk-UA"/>
              </w:rPr>
            </w:pPr>
            <w:r w:rsidRPr="003623F6">
              <w:rPr>
                <w:rFonts w:ascii="Arial" w:hAnsi="Arial" w:cs="Arial"/>
                <w:b/>
                <w:color w:val="FFFFFF"/>
                <w:spacing w:val="-9"/>
                <w:sz w:val="18"/>
                <w:szCs w:val="18"/>
                <w:lang w:val="uk-UA"/>
              </w:rPr>
              <w:lastRenderedPageBreak/>
              <w:t>Член ГРН</w:t>
            </w:r>
          </w:p>
        </w:tc>
        <w:tc>
          <w:tcPr>
            <w:tcW w:w="4535" w:type="dxa"/>
            <w:tcBorders>
              <w:left w:val="single" w:sz="6" w:space="0" w:color="019648"/>
              <w:right w:val="single" w:sz="6" w:space="0" w:color="019648"/>
            </w:tcBorders>
            <w:shd w:val="clear" w:color="auto" w:fill="62A86B"/>
          </w:tcPr>
          <w:p w14:paraId="1E2D2B23" w14:textId="11944068" w:rsidR="003623F6" w:rsidRPr="003623F6" w:rsidRDefault="003623F6" w:rsidP="003623F6">
            <w:pPr>
              <w:pStyle w:val="TableParagraph"/>
              <w:spacing w:before="95"/>
              <w:ind w:left="138"/>
              <w:rPr>
                <w:rFonts w:ascii="Arial"/>
                <w:b/>
                <w:sz w:val="18"/>
                <w:szCs w:val="18"/>
                <w:lang w:val="uk-UA"/>
              </w:rPr>
            </w:pPr>
            <w:r w:rsidRPr="003623F6">
              <w:rPr>
                <w:rFonts w:ascii="Arial" w:hAnsi="Arial" w:cs="Arial"/>
                <w:b/>
                <w:color w:val="FFFFFF"/>
                <w:spacing w:val="-2"/>
                <w:sz w:val="18"/>
                <w:szCs w:val="18"/>
                <w:lang w:val="uk-UA"/>
              </w:rPr>
              <w:t>Задекларовані інтереси</w:t>
            </w:r>
          </w:p>
        </w:tc>
        <w:tc>
          <w:tcPr>
            <w:tcW w:w="2384" w:type="dxa"/>
            <w:tcBorders>
              <w:left w:val="single" w:sz="6" w:space="0" w:color="019648"/>
              <w:right w:val="single" w:sz="6" w:space="0" w:color="019648"/>
            </w:tcBorders>
            <w:shd w:val="clear" w:color="auto" w:fill="62A86B"/>
          </w:tcPr>
          <w:p w14:paraId="45DCA545" w14:textId="26FC249C" w:rsidR="003623F6" w:rsidRPr="003623F6" w:rsidRDefault="003623F6" w:rsidP="003623F6">
            <w:pPr>
              <w:pStyle w:val="TableParagraph"/>
              <w:spacing w:before="95"/>
              <w:ind w:left="139"/>
              <w:rPr>
                <w:rFonts w:ascii="Arial"/>
                <w:b/>
                <w:sz w:val="18"/>
                <w:szCs w:val="18"/>
                <w:lang w:val="uk-UA"/>
              </w:rPr>
            </w:pPr>
            <w:r w:rsidRPr="003623F6">
              <w:rPr>
                <w:rFonts w:ascii="Arial" w:hAnsi="Arial" w:cs="Arial"/>
                <w:b/>
                <w:color w:val="FFFFFF"/>
                <w:spacing w:val="-2"/>
                <w:sz w:val="18"/>
                <w:szCs w:val="18"/>
                <w:lang w:val="uk-UA"/>
              </w:rPr>
              <w:t xml:space="preserve">Висновок </w:t>
            </w:r>
          </w:p>
        </w:tc>
      </w:tr>
      <w:tr w:rsidR="00E05B98" w:rsidRPr="003623F6" w14:paraId="08860F4D" w14:textId="77777777">
        <w:trPr>
          <w:trHeight w:val="2465"/>
        </w:trPr>
        <w:tc>
          <w:tcPr>
            <w:tcW w:w="2159" w:type="dxa"/>
            <w:tcBorders>
              <w:left w:val="nil"/>
              <w:bottom w:val="single" w:sz="6" w:space="0" w:color="019648"/>
              <w:right w:val="nil"/>
            </w:tcBorders>
          </w:tcPr>
          <w:p w14:paraId="4179940B" w14:textId="02E86044" w:rsidR="00E05B98" w:rsidRPr="003623F6" w:rsidRDefault="0029215F">
            <w:pPr>
              <w:pStyle w:val="TableParagraph"/>
              <w:spacing w:before="76"/>
              <w:ind w:left="128"/>
              <w:rPr>
                <w:sz w:val="18"/>
                <w:szCs w:val="18"/>
                <w:lang w:val="uk-UA"/>
              </w:rPr>
            </w:pPr>
            <w:r w:rsidRPr="003623F6">
              <w:rPr>
                <w:spacing w:val="-2"/>
                <w:sz w:val="18"/>
                <w:szCs w:val="18"/>
                <w:lang w:val="uk-UA"/>
              </w:rPr>
              <w:t>Е</w:t>
            </w:r>
            <w:r w:rsidRPr="003623F6">
              <w:rPr>
                <w:spacing w:val="-2"/>
                <w:sz w:val="18"/>
                <w:szCs w:val="18"/>
              </w:rPr>
              <w:t>л</w:t>
            </w:r>
            <w:r w:rsidRPr="003623F6">
              <w:rPr>
                <w:spacing w:val="-2"/>
                <w:sz w:val="18"/>
                <w:szCs w:val="18"/>
                <w:lang w:val="uk-UA"/>
              </w:rPr>
              <w:t>і</w:t>
            </w:r>
            <w:proofErr w:type="spellStart"/>
            <w:r w:rsidRPr="003623F6">
              <w:rPr>
                <w:spacing w:val="-2"/>
                <w:sz w:val="18"/>
                <w:szCs w:val="18"/>
              </w:rPr>
              <w:t>забетта</w:t>
            </w:r>
            <w:proofErr w:type="spellEnd"/>
            <w:r w:rsidRPr="003623F6">
              <w:rPr>
                <w:spacing w:val="-2"/>
                <w:sz w:val="18"/>
                <w:szCs w:val="18"/>
              </w:rPr>
              <w:t xml:space="preserve"> </w:t>
            </w:r>
            <w:proofErr w:type="spellStart"/>
            <w:r w:rsidRPr="003623F6">
              <w:rPr>
                <w:spacing w:val="-2"/>
                <w:sz w:val="18"/>
                <w:szCs w:val="18"/>
              </w:rPr>
              <w:t>Уолтерс</w:t>
            </w:r>
            <w:proofErr w:type="spellEnd"/>
          </w:p>
        </w:tc>
        <w:tc>
          <w:tcPr>
            <w:tcW w:w="4535" w:type="dxa"/>
            <w:tcBorders>
              <w:left w:val="nil"/>
              <w:bottom w:val="single" w:sz="6" w:space="0" w:color="019648"/>
              <w:right w:val="nil"/>
            </w:tcBorders>
          </w:tcPr>
          <w:p w14:paraId="3B6AC17C" w14:textId="0A3E17E3" w:rsidR="00F63D88" w:rsidRPr="00F63D88" w:rsidRDefault="00F63D88" w:rsidP="00F63D88">
            <w:pPr>
              <w:pStyle w:val="TableParagraph"/>
              <w:spacing w:before="76" w:line="249" w:lineRule="auto"/>
              <w:ind w:right="202"/>
              <w:rPr>
                <w:sz w:val="18"/>
                <w:szCs w:val="18"/>
                <w:lang w:val="uk-UA"/>
              </w:rPr>
            </w:pPr>
            <w:r w:rsidRPr="00F63D88">
              <w:rPr>
                <w:sz w:val="18"/>
                <w:szCs w:val="18"/>
                <w:lang w:val="uk-UA"/>
              </w:rPr>
              <w:t>Отримувач</w:t>
            </w:r>
            <w:r>
              <w:rPr>
                <w:sz w:val="18"/>
                <w:szCs w:val="18"/>
                <w:lang w:val="uk-UA"/>
              </w:rPr>
              <w:t>ка</w:t>
            </w:r>
            <w:r w:rsidRPr="00F63D88">
              <w:rPr>
                <w:sz w:val="18"/>
                <w:szCs w:val="18"/>
                <w:lang w:val="uk-UA"/>
              </w:rPr>
              <w:t xml:space="preserve"> грантів та стипендії на дисертаційне дослідження, яке включало роботу над GeneXpert MTB/RIF для діагностики інтраторакального туберкульозу у дітей. Грант (2012–2015 рр.) та стипендія (2015–2018 рр.) Південноафриканської ради медичних досліджень. Південноафриканський національний дослідницький фонд.</w:t>
            </w:r>
          </w:p>
          <w:p w14:paraId="2ED30598" w14:textId="257ADF5F" w:rsidR="00E05B98" w:rsidRPr="003623F6" w:rsidRDefault="00F63D88" w:rsidP="00F63D88">
            <w:pPr>
              <w:pStyle w:val="TableParagraph"/>
              <w:spacing w:before="8" w:line="249" w:lineRule="auto"/>
              <w:rPr>
                <w:sz w:val="18"/>
                <w:szCs w:val="18"/>
                <w:lang w:val="uk-UA"/>
              </w:rPr>
            </w:pPr>
            <w:r w:rsidRPr="00F63D88">
              <w:rPr>
                <w:sz w:val="18"/>
                <w:szCs w:val="18"/>
                <w:lang w:val="uk-UA"/>
              </w:rPr>
              <w:t>FIND. TBTC (CDC); (Дослідницький підрозділ): 4,2 млн. рандів; 90 000 доларів США; 2012–2018 рр.</w:t>
            </w:r>
          </w:p>
        </w:tc>
        <w:tc>
          <w:tcPr>
            <w:tcW w:w="2384" w:type="dxa"/>
            <w:tcBorders>
              <w:left w:val="nil"/>
              <w:bottom w:val="single" w:sz="6" w:space="0" w:color="019648"/>
              <w:right w:val="nil"/>
            </w:tcBorders>
          </w:tcPr>
          <w:p w14:paraId="708A665E" w14:textId="29F19EE2" w:rsidR="00E05B98" w:rsidRPr="003623F6" w:rsidRDefault="004178B8" w:rsidP="004178B8">
            <w:pPr>
              <w:pStyle w:val="TableParagraph"/>
              <w:spacing w:before="76" w:line="249" w:lineRule="auto"/>
              <w:ind w:left="124" w:right="30"/>
              <w:rPr>
                <w:sz w:val="18"/>
                <w:szCs w:val="18"/>
                <w:lang w:val="uk-UA"/>
              </w:rPr>
            </w:pPr>
            <w:r w:rsidRPr="003623F6">
              <w:rPr>
                <w:w w:val="105"/>
                <w:sz w:val="18"/>
                <w:szCs w:val="18"/>
                <w:lang w:val="uk-UA"/>
              </w:rPr>
              <w:t>Незначний конфлікт інтересів</w:t>
            </w:r>
          </w:p>
        </w:tc>
      </w:tr>
    </w:tbl>
    <w:p w14:paraId="1A05A6DC" w14:textId="33D25391" w:rsidR="00E05B98" w:rsidRPr="003623F6" w:rsidRDefault="00F63D88">
      <w:pPr>
        <w:spacing w:before="160" w:line="254" w:lineRule="auto"/>
        <w:ind w:left="567" w:right="139"/>
        <w:jc w:val="both"/>
        <w:rPr>
          <w:sz w:val="18"/>
          <w:szCs w:val="18"/>
          <w:lang w:val="uk-UA"/>
        </w:rPr>
      </w:pPr>
      <w:r w:rsidRPr="00F63D88">
        <w:rPr>
          <w:spacing w:val="-2"/>
          <w:sz w:val="18"/>
          <w:szCs w:val="18"/>
          <w:lang w:val="uk-UA"/>
        </w:rPr>
        <w:t xml:space="preserve">СНІД: синдром набутого імунодефіциту; БРІКС: Бразилія, Росія, Індія, Китай та Південна Африка; CDC: Центри контролю та профілактики захворювань; ДНК: дезоксирибонуклеїнова кислота; EDCTP: </w:t>
      </w:r>
      <w:r w:rsidR="00401183" w:rsidRPr="00401183">
        <w:rPr>
          <w:spacing w:val="-2"/>
          <w:sz w:val="18"/>
          <w:szCs w:val="18"/>
          <w:lang w:val="uk-UA"/>
        </w:rPr>
        <w:t>Партнерство європейських країн та країн, що розвиваються з проведення клінічних досліджень</w:t>
      </w:r>
      <w:r w:rsidRPr="00F63D88">
        <w:rPr>
          <w:spacing w:val="-2"/>
          <w:sz w:val="18"/>
          <w:szCs w:val="18"/>
          <w:lang w:val="uk-UA"/>
        </w:rPr>
        <w:t xml:space="preserve">; FIND: Фонд інноваційних нових діагностичних засобів; ГРН: Група з розробки настанов; ВІЛ: вірус імунодефіциту людини; IUATLD: Міжнародний союз боротьби з ТБ та захворюваннями легень; МЛС-TБ: туберкульоз з множинною лікарською стійкістю; ТАНК: тест на ампліфікацію нуклеїнових кислот; NIH: Національні інститути охорони здоров'я США; PEPFAR: Надзвичайний план президента США з боротьби зі СНІДом; ІПСШ: інфекції, що передаються статевим шляхом; ТБ: туберкульоз; TBTC: Консорціум </w:t>
      </w:r>
      <w:r>
        <w:rPr>
          <w:spacing w:val="-2"/>
          <w:sz w:val="18"/>
          <w:szCs w:val="18"/>
          <w:lang w:val="uk-UA"/>
        </w:rPr>
        <w:t xml:space="preserve">з досліджень у сфері </w:t>
      </w:r>
      <w:r w:rsidRPr="00F63D88">
        <w:rPr>
          <w:spacing w:val="-2"/>
          <w:sz w:val="18"/>
          <w:szCs w:val="18"/>
          <w:lang w:val="uk-UA"/>
        </w:rPr>
        <w:t>туберкульозу; USAID: Агентство США з міжнародного розвитку; ВООЗ: Всесвітня організація охорони здоров'я; ШЛС: ТБ з широкою лікарською стійкістю.</w:t>
      </w:r>
    </w:p>
    <w:p w14:paraId="65DF0E00" w14:textId="77777777" w:rsidR="00E05B98" w:rsidRPr="003623F6" w:rsidRDefault="00E05B98">
      <w:pPr>
        <w:pStyle w:val="a3"/>
        <w:rPr>
          <w:sz w:val="18"/>
          <w:szCs w:val="18"/>
          <w:lang w:val="uk-UA"/>
        </w:rPr>
      </w:pPr>
    </w:p>
    <w:p w14:paraId="39290C2A" w14:textId="77777777" w:rsidR="00E05B98" w:rsidRPr="003623F6" w:rsidRDefault="00E05B98">
      <w:pPr>
        <w:pStyle w:val="a3"/>
        <w:spacing w:before="2"/>
        <w:rPr>
          <w:sz w:val="18"/>
          <w:szCs w:val="18"/>
          <w:lang w:val="uk-UA"/>
        </w:rPr>
      </w:pPr>
    </w:p>
    <w:p w14:paraId="76C46BE4" w14:textId="184EAEB3" w:rsidR="00E05B98" w:rsidRPr="00E8083F" w:rsidRDefault="00E8083F">
      <w:pPr>
        <w:pStyle w:val="6"/>
        <w:spacing w:before="0" w:line="249" w:lineRule="auto"/>
        <w:ind w:right="139"/>
        <w:jc w:val="both"/>
        <w:rPr>
          <w:sz w:val="20"/>
          <w:szCs w:val="20"/>
          <w:lang w:val="uk-UA"/>
        </w:rPr>
      </w:pPr>
      <w:r>
        <w:rPr>
          <w:color w:val="636466"/>
          <w:sz w:val="20"/>
          <w:szCs w:val="20"/>
          <w:lang w:val="uk-UA"/>
        </w:rPr>
        <w:t>Таблиця</w:t>
      </w:r>
      <w:r w:rsidR="00B01E0C" w:rsidRPr="00E8083F">
        <w:rPr>
          <w:color w:val="636466"/>
          <w:sz w:val="20"/>
          <w:szCs w:val="20"/>
          <w:lang w:val="uk-UA"/>
        </w:rPr>
        <w:t xml:space="preserve"> A.2.2. </w:t>
      </w:r>
      <w:r w:rsidR="001022A6" w:rsidRPr="001022A6">
        <w:rPr>
          <w:color w:val="636466"/>
          <w:sz w:val="20"/>
          <w:szCs w:val="20"/>
          <w:lang w:val="uk-UA"/>
        </w:rPr>
        <w:t>Короткий виклад заяв про декларації інтересів</w:t>
      </w:r>
      <w:r w:rsidRPr="00E8083F">
        <w:rPr>
          <w:color w:val="636466"/>
          <w:sz w:val="20"/>
          <w:szCs w:val="20"/>
          <w:lang w:val="uk-UA"/>
        </w:rPr>
        <w:t xml:space="preserve"> членів ERG: «Молекулярні аналізи, призначені </w:t>
      </w:r>
      <w:r w:rsidR="006632E5">
        <w:rPr>
          <w:color w:val="636466"/>
          <w:sz w:val="20"/>
          <w:szCs w:val="20"/>
          <w:lang w:val="uk-UA"/>
        </w:rPr>
        <w:t>для діагностики ТБ в якості</w:t>
      </w:r>
      <w:r>
        <w:rPr>
          <w:color w:val="636466"/>
          <w:sz w:val="20"/>
          <w:szCs w:val="20"/>
          <w:lang w:val="uk-UA"/>
        </w:rPr>
        <w:t xml:space="preserve"> </w:t>
      </w:r>
      <w:r w:rsidRPr="00E8083F">
        <w:rPr>
          <w:color w:val="636466"/>
          <w:sz w:val="20"/>
          <w:szCs w:val="20"/>
          <w:lang w:val="uk-UA"/>
        </w:rPr>
        <w:t xml:space="preserve">первинних </w:t>
      </w:r>
      <w:r>
        <w:rPr>
          <w:color w:val="636466"/>
          <w:sz w:val="20"/>
          <w:szCs w:val="20"/>
          <w:lang w:val="uk-UA"/>
        </w:rPr>
        <w:t>тестів</w:t>
      </w:r>
      <w:r w:rsidRPr="00E8083F">
        <w:rPr>
          <w:color w:val="636466"/>
          <w:sz w:val="20"/>
          <w:szCs w:val="20"/>
          <w:lang w:val="uk-UA"/>
        </w:rPr>
        <w:t>», 7–18 грудня 2020 р.</w:t>
      </w:r>
    </w:p>
    <w:p w14:paraId="686BF25A" w14:textId="77777777" w:rsidR="00E05B98" w:rsidRPr="003623F6" w:rsidRDefault="00E05B98">
      <w:pPr>
        <w:pStyle w:val="a3"/>
        <w:spacing w:before="5" w:after="1"/>
        <w:rPr>
          <w:rFonts w:ascii="Arial"/>
          <w:b/>
          <w:sz w:val="18"/>
          <w:szCs w:val="18"/>
          <w:lang w:val="uk-UA"/>
        </w:rPr>
      </w:pPr>
    </w:p>
    <w:tbl>
      <w:tblPr>
        <w:tblStyle w:val="TableNormal"/>
        <w:tblW w:w="0" w:type="auto"/>
        <w:tblInd w:w="57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2164"/>
        <w:gridCol w:w="4535"/>
        <w:gridCol w:w="2387"/>
      </w:tblGrid>
      <w:tr w:rsidR="003623F6" w:rsidRPr="003623F6" w14:paraId="32542ED5" w14:textId="77777777">
        <w:trPr>
          <w:trHeight w:val="430"/>
        </w:trPr>
        <w:tc>
          <w:tcPr>
            <w:tcW w:w="2164" w:type="dxa"/>
            <w:tcBorders>
              <w:bottom w:val="single" w:sz="6" w:space="0" w:color="019648"/>
              <w:right w:val="single" w:sz="6" w:space="0" w:color="019648"/>
            </w:tcBorders>
            <w:shd w:val="clear" w:color="auto" w:fill="62A86B"/>
          </w:tcPr>
          <w:p w14:paraId="103D4F86" w14:textId="546F7899" w:rsidR="003623F6" w:rsidRPr="003623F6" w:rsidRDefault="003623F6" w:rsidP="003623F6">
            <w:pPr>
              <w:pStyle w:val="TableParagraph"/>
              <w:spacing w:before="95"/>
              <w:ind w:left="145"/>
              <w:rPr>
                <w:rFonts w:ascii="Arial"/>
                <w:b/>
                <w:sz w:val="18"/>
                <w:szCs w:val="18"/>
                <w:lang w:val="uk-UA"/>
              </w:rPr>
            </w:pPr>
            <w:r w:rsidRPr="003623F6">
              <w:rPr>
                <w:rFonts w:ascii="Arial" w:hAnsi="Arial" w:cs="Arial"/>
                <w:b/>
                <w:color w:val="FFFFFF"/>
                <w:spacing w:val="-9"/>
                <w:sz w:val="18"/>
                <w:szCs w:val="18"/>
                <w:lang w:val="uk-UA"/>
              </w:rPr>
              <w:t>Член ГРН</w:t>
            </w:r>
          </w:p>
        </w:tc>
        <w:tc>
          <w:tcPr>
            <w:tcW w:w="4535" w:type="dxa"/>
            <w:tcBorders>
              <w:left w:val="single" w:sz="6" w:space="0" w:color="019648"/>
              <w:bottom w:val="single" w:sz="6" w:space="0" w:color="019648"/>
              <w:right w:val="single" w:sz="6" w:space="0" w:color="019648"/>
            </w:tcBorders>
            <w:shd w:val="clear" w:color="auto" w:fill="62A86B"/>
          </w:tcPr>
          <w:p w14:paraId="1B207F94" w14:textId="660E408B" w:rsidR="003623F6" w:rsidRPr="003623F6" w:rsidRDefault="003623F6" w:rsidP="003623F6">
            <w:pPr>
              <w:pStyle w:val="TableParagraph"/>
              <w:spacing w:before="95"/>
              <w:ind w:left="138"/>
              <w:rPr>
                <w:rFonts w:ascii="Arial"/>
                <w:b/>
                <w:sz w:val="18"/>
                <w:szCs w:val="18"/>
                <w:lang w:val="uk-UA"/>
              </w:rPr>
            </w:pPr>
            <w:r w:rsidRPr="003623F6">
              <w:rPr>
                <w:rFonts w:ascii="Arial" w:hAnsi="Arial" w:cs="Arial"/>
                <w:b/>
                <w:color w:val="FFFFFF"/>
                <w:spacing w:val="-2"/>
                <w:sz w:val="18"/>
                <w:szCs w:val="18"/>
                <w:lang w:val="uk-UA"/>
              </w:rPr>
              <w:t>Задекларовані інтереси</w:t>
            </w:r>
          </w:p>
        </w:tc>
        <w:tc>
          <w:tcPr>
            <w:tcW w:w="2387" w:type="dxa"/>
            <w:tcBorders>
              <w:left w:val="single" w:sz="6" w:space="0" w:color="019648"/>
              <w:bottom w:val="single" w:sz="6" w:space="0" w:color="019648"/>
              <w:right w:val="single" w:sz="6" w:space="0" w:color="019648"/>
            </w:tcBorders>
            <w:shd w:val="clear" w:color="auto" w:fill="62A86B"/>
          </w:tcPr>
          <w:p w14:paraId="48CB1793" w14:textId="5DB99DFB" w:rsidR="003623F6" w:rsidRPr="003623F6" w:rsidRDefault="003623F6" w:rsidP="003623F6">
            <w:pPr>
              <w:pStyle w:val="TableParagraph"/>
              <w:spacing w:before="95"/>
              <w:ind w:left="139"/>
              <w:rPr>
                <w:rFonts w:ascii="Arial"/>
                <w:b/>
                <w:sz w:val="18"/>
                <w:szCs w:val="18"/>
                <w:lang w:val="uk-UA"/>
              </w:rPr>
            </w:pPr>
            <w:r w:rsidRPr="003623F6">
              <w:rPr>
                <w:rFonts w:ascii="Arial" w:hAnsi="Arial" w:cs="Arial"/>
                <w:b/>
                <w:color w:val="FFFFFF"/>
                <w:spacing w:val="-2"/>
                <w:sz w:val="18"/>
                <w:szCs w:val="18"/>
                <w:lang w:val="uk-UA"/>
              </w:rPr>
              <w:t xml:space="preserve">Висновок </w:t>
            </w:r>
          </w:p>
        </w:tc>
      </w:tr>
      <w:tr w:rsidR="004178B8" w:rsidRPr="003623F6" w14:paraId="6F9FD843" w14:textId="77777777">
        <w:trPr>
          <w:trHeight w:val="387"/>
        </w:trPr>
        <w:tc>
          <w:tcPr>
            <w:tcW w:w="2164" w:type="dxa"/>
            <w:tcBorders>
              <w:top w:val="single" w:sz="6" w:space="0" w:color="019648"/>
              <w:left w:val="nil"/>
              <w:bottom w:val="single" w:sz="6" w:space="0" w:color="019648"/>
              <w:right w:val="nil"/>
            </w:tcBorders>
          </w:tcPr>
          <w:p w14:paraId="62955F58" w14:textId="41CEF855" w:rsidR="004178B8" w:rsidRPr="003623F6" w:rsidRDefault="00401183" w:rsidP="004178B8">
            <w:pPr>
              <w:pStyle w:val="TableParagraph"/>
              <w:ind w:left="133"/>
              <w:rPr>
                <w:sz w:val="18"/>
                <w:szCs w:val="18"/>
                <w:lang w:val="uk-UA"/>
              </w:rPr>
            </w:pPr>
            <w:proofErr w:type="spellStart"/>
            <w:r w:rsidRPr="006632E5">
              <w:rPr>
                <w:spacing w:val="-2"/>
                <w:sz w:val="18"/>
                <w:szCs w:val="18"/>
                <w:lang w:val="uk-UA"/>
              </w:rPr>
              <w:t>Люсілен</w:t>
            </w:r>
            <w:proofErr w:type="spellEnd"/>
            <w:r w:rsidRPr="006632E5">
              <w:rPr>
                <w:spacing w:val="-2"/>
                <w:sz w:val="18"/>
                <w:szCs w:val="18"/>
                <w:lang w:val="uk-UA"/>
              </w:rPr>
              <w:t xml:space="preserve"> </w:t>
            </w:r>
            <w:proofErr w:type="spellStart"/>
            <w:r w:rsidRPr="006632E5">
              <w:rPr>
                <w:spacing w:val="-2"/>
                <w:sz w:val="18"/>
                <w:szCs w:val="18"/>
                <w:lang w:val="uk-UA"/>
              </w:rPr>
              <w:t>Ферра</w:t>
            </w:r>
            <w:r w:rsidR="006632E5" w:rsidRPr="006632E5">
              <w:rPr>
                <w:spacing w:val="-2"/>
                <w:sz w:val="18"/>
                <w:szCs w:val="18"/>
                <w:lang w:val="uk-UA"/>
              </w:rPr>
              <w:t>з</w:t>
            </w:r>
            <w:r w:rsidRPr="006632E5">
              <w:rPr>
                <w:spacing w:val="-2"/>
                <w:sz w:val="18"/>
                <w:szCs w:val="18"/>
                <w:lang w:val="uk-UA"/>
              </w:rPr>
              <w:t>олі</w:t>
            </w:r>
            <w:proofErr w:type="spellEnd"/>
          </w:p>
        </w:tc>
        <w:tc>
          <w:tcPr>
            <w:tcW w:w="4535" w:type="dxa"/>
            <w:tcBorders>
              <w:top w:val="single" w:sz="6" w:space="0" w:color="019648"/>
              <w:left w:val="nil"/>
              <w:bottom w:val="single" w:sz="6" w:space="0" w:color="019648"/>
              <w:right w:val="nil"/>
            </w:tcBorders>
          </w:tcPr>
          <w:p w14:paraId="17779521" w14:textId="7BE4F469"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87" w:type="dxa"/>
            <w:tcBorders>
              <w:top w:val="single" w:sz="6" w:space="0" w:color="019648"/>
              <w:left w:val="nil"/>
              <w:bottom w:val="single" w:sz="6" w:space="0" w:color="019648"/>
              <w:right w:val="nil"/>
            </w:tcBorders>
          </w:tcPr>
          <w:p w14:paraId="61A0C484" w14:textId="14EFFBA2" w:rsidR="004178B8" w:rsidRPr="003623F6" w:rsidRDefault="004178B8" w:rsidP="004178B8">
            <w:pPr>
              <w:pStyle w:val="TableParagraph"/>
              <w:rPr>
                <w:sz w:val="18"/>
                <w:szCs w:val="18"/>
                <w:lang w:val="uk-UA"/>
              </w:rPr>
            </w:pPr>
            <w:r w:rsidRPr="003623F6">
              <w:rPr>
                <w:w w:val="105"/>
                <w:sz w:val="18"/>
                <w:szCs w:val="18"/>
                <w:lang w:val="uk-UA"/>
              </w:rPr>
              <w:t>Відсутність конфлікту інтересів</w:t>
            </w:r>
          </w:p>
        </w:tc>
      </w:tr>
      <w:tr w:rsidR="004178B8" w:rsidRPr="003623F6" w14:paraId="00B8B380" w14:textId="77777777">
        <w:trPr>
          <w:trHeight w:val="647"/>
        </w:trPr>
        <w:tc>
          <w:tcPr>
            <w:tcW w:w="2164" w:type="dxa"/>
            <w:tcBorders>
              <w:top w:val="single" w:sz="6" w:space="0" w:color="019648"/>
              <w:left w:val="nil"/>
              <w:bottom w:val="single" w:sz="6" w:space="0" w:color="019648"/>
              <w:right w:val="nil"/>
            </w:tcBorders>
          </w:tcPr>
          <w:p w14:paraId="62387A26" w14:textId="7B7975AF" w:rsidR="004178B8" w:rsidRPr="003623F6" w:rsidRDefault="00401183" w:rsidP="004178B8">
            <w:pPr>
              <w:pStyle w:val="TableParagraph"/>
              <w:spacing w:line="249" w:lineRule="auto"/>
              <w:ind w:left="133" w:right="249"/>
              <w:rPr>
                <w:sz w:val="18"/>
                <w:szCs w:val="18"/>
                <w:lang w:val="uk-UA"/>
              </w:rPr>
            </w:pPr>
            <w:r>
              <w:rPr>
                <w:sz w:val="18"/>
                <w:szCs w:val="18"/>
                <w:lang w:val="uk-UA"/>
              </w:rPr>
              <w:t xml:space="preserve">Ален </w:t>
            </w:r>
            <w:proofErr w:type="spellStart"/>
            <w:r>
              <w:rPr>
                <w:sz w:val="18"/>
                <w:szCs w:val="18"/>
                <w:lang w:val="uk-UA"/>
              </w:rPr>
              <w:t>Умубейї</w:t>
            </w:r>
            <w:proofErr w:type="spellEnd"/>
            <w:r>
              <w:rPr>
                <w:sz w:val="18"/>
                <w:szCs w:val="18"/>
                <w:lang w:val="uk-UA"/>
              </w:rPr>
              <w:t xml:space="preserve"> </w:t>
            </w:r>
            <w:proofErr w:type="spellStart"/>
            <w:r>
              <w:rPr>
                <w:sz w:val="18"/>
                <w:szCs w:val="18"/>
                <w:lang w:val="uk-UA"/>
              </w:rPr>
              <w:t>Ньярухіріра</w:t>
            </w:r>
            <w:proofErr w:type="spellEnd"/>
          </w:p>
        </w:tc>
        <w:tc>
          <w:tcPr>
            <w:tcW w:w="4535" w:type="dxa"/>
            <w:tcBorders>
              <w:top w:val="single" w:sz="6" w:space="0" w:color="019648"/>
              <w:left w:val="nil"/>
              <w:bottom w:val="single" w:sz="6" w:space="0" w:color="019648"/>
              <w:right w:val="nil"/>
            </w:tcBorders>
          </w:tcPr>
          <w:p w14:paraId="2BB2EEBB" w14:textId="11C1DA72"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87" w:type="dxa"/>
            <w:tcBorders>
              <w:top w:val="single" w:sz="6" w:space="0" w:color="019648"/>
              <w:left w:val="nil"/>
              <w:bottom w:val="single" w:sz="6" w:space="0" w:color="019648"/>
              <w:right w:val="nil"/>
            </w:tcBorders>
          </w:tcPr>
          <w:p w14:paraId="0A7D3721" w14:textId="55203B8B" w:rsidR="004178B8" w:rsidRPr="003623F6" w:rsidRDefault="004178B8" w:rsidP="004178B8">
            <w:pPr>
              <w:pStyle w:val="TableParagraph"/>
              <w:rPr>
                <w:sz w:val="18"/>
                <w:szCs w:val="18"/>
                <w:lang w:val="uk-UA"/>
              </w:rPr>
            </w:pPr>
            <w:r w:rsidRPr="003623F6">
              <w:rPr>
                <w:w w:val="105"/>
                <w:sz w:val="18"/>
                <w:szCs w:val="18"/>
                <w:lang w:val="uk-UA"/>
              </w:rPr>
              <w:t>Відсутність конфлікту інтересів</w:t>
            </w:r>
          </w:p>
        </w:tc>
      </w:tr>
      <w:tr w:rsidR="00E05B98" w:rsidRPr="00D029FF" w14:paraId="0940FA20" w14:textId="77777777" w:rsidTr="00995EF8">
        <w:trPr>
          <w:trHeight w:val="2073"/>
        </w:trPr>
        <w:tc>
          <w:tcPr>
            <w:tcW w:w="2164" w:type="dxa"/>
            <w:tcBorders>
              <w:top w:val="single" w:sz="6" w:space="0" w:color="019648"/>
              <w:left w:val="nil"/>
              <w:bottom w:val="single" w:sz="6" w:space="0" w:color="019648"/>
              <w:right w:val="nil"/>
            </w:tcBorders>
          </w:tcPr>
          <w:p w14:paraId="48CAE60E" w14:textId="0D34F5A8" w:rsidR="00E05B98" w:rsidRPr="003623F6" w:rsidRDefault="00401183">
            <w:pPr>
              <w:pStyle w:val="TableParagraph"/>
              <w:ind w:left="133"/>
              <w:rPr>
                <w:sz w:val="18"/>
                <w:szCs w:val="18"/>
                <w:lang w:val="uk-UA"/>
              </w:rPr>
            </w:pPr>
            <w:r>
              <w:rPr>
                <w:w w:val="90"/>
                <w:sz w:val="18"/>
                <w:szCs w:val="18"/>
                <w:lang w:val="uk-UA"/>
              </w:rPr>
              <w:t xml:space="preserve">Еліза </w:t>
            </w:r>
            <w:proofErr w:type="spellStart"/>
            <w:r>
              <w:rPr>
                <w:w w:val="90"/>
                <w:sz w:val="18"/>
                <w:szCs w:val="18"/>
                <w:lang w:val="uk-UA"/>
              </w:rPr>
              <w:t>Тальяні</w:t>
            </w:r>
            <w:proofErr w:type="spellEnd"/>
          </w:p>
        </w:tc>
        <w:tc>
          <w:tcPr>
            <w:tcW w:w="4535" w:type="dxa"/>
            <w:tcBorders>
              <w:top w:val="single" w:sz="6" w:space="0" w:color="019648"/>
              <w:left w:val="nil"/>
              <w:bottom w:val="single" w:sz="6" w:space="0" w:color="019648"/>
              <w:right w:val="nil"/>
            </w:tcBorders>
          </w:tcPr>
          <w:p w14:paraId="6160C81E" w14:textId="4009DBE4" w:rsidR="00995EF8" w:rsidRPr="00995EF8" w:rsidRDefault="00995EF8" w:rsidP="00995EF8">
            <w:pPr>
              <w:pStyle w:val="TableParagraph"/>
              <w:spacing w:line="249" w:lineRule="auto"/>
              <w:ind w:right="113"/>
              <w:rPr>
                <w:sz w:val="18"/>
                <w:szCs w:val="18"/>
                <w:lang w:val="uk-UA"/>
              </w:rPr>
            </w:pPr>
            <w:r w:rsidRPr="00995EF8">
              <w:rPr>
                <w:sz w:val="18"/>
                <w:szCs w:val="18"/>
                <w:lang w:val="uk-UA"/>
              </w:rPr>
              <w:t>Участь у роботі експертної групи ВООЗ з діагностики 15-го раунду; зокрема, залучен</w:t>
            </w:r>
            <w:r w:rsidR="0057728C">
              <w:rPr>
                <w:sz w:val="18"/>
                <w:szCs w:val="18"/>
                <w:lang w:val="uk-UA"/>
              </w:rPr>
              <w:t>а</w:t>
            </w:r>
            <w:r w:rsidRPr="00995EF8">
              <w:rPr>
                <w:sz w:val="18"/>
                <w:szCs w:val="18"/>
                <w:lang w:val="uk-UA"/>
              </w:rPr>
              <w:t xml:space="preserve"> до оцінки платформи BD MAX; 5940 євро. Підрозділ у </w:t>
            </w:r>
            <w:r w:rsidRPr="00F77588">
              <w:rPr>
                <w:sz w:val="18"/>
                <w:szCs w:val="18"/>
                <w:lang w:val="uk-UA"/>
              </w:rPr>
              <w:t>Сан-</w:t>
            </w:r>
            <w:proofErr w:type="spellStart"/>
            <w:r w:rsidRPr="00F77588">
              <w:rPr>
                <w:sz w:val="18"/>
                <w:szCs w:val="18"/>
                <w:lang w:val="uk-UA"/>
              </w:rPr>
              <w:t>Раффаел</w:t>
            </w:r>
            <w:r w:rsidR="00F77588" w:rsidRPr="00F77588">
              <w:rPr>
                <w:sz w:val="18"/>
                <w:szCs w:val="18"/>
                <w:lang w:val="uk-UA"/>
              </w:rPr>
              <w:t>е</w:t>
            </w:r>
            <w:proofErr w:type="spellEnd"/>
            <w:r w:rsidRPr="00F77588">
              <w:rPr>
                <w:sz w:val="18"/>
                <w:szCs w:val="18"/>
                <w:lang w:val="uk-UA"/>
              </w:rPr>
              <w:t xml:space="preserve"> отрима</w:t>
            </w:r>
            <w:r w:rsidR="00F77588" w:rsidRPr="00F77588">
              <w:rPr>
                <w:sz w:val="18"/>
                <w:szCs w:val="18"/>
                <w:lang w:val="uk-UA"/>
              </w:rPr>
              <w:t>в</w:t>
            </w:r>
            <w:r w:rsidRPr="00F77588">
              <w:rPr>
                <w:sz w:val="18"/>
                <w:szCs w:val="18"/>
                <w:lang w:val="uk-UA"/>
              </w:rPr>
              <w:t xml:space="preserve"> фінансування в рамках гранту</w:t>
            </w:r>
            <w:r w:rsidRPr="00995EF8">
              <w:rPr>
                <w:sz w:val="18"/>
                <w:szCs w:val="18"/>
                <w:lang w:val="uk-UA"/>
              </w:rPr>
              <w:t xml:space="preserve"> EDCTP (TB-CAPT) для FIND.</w:t>
            </w:r>
          </w:p>
          <w:p w14:paraId="32F1F4E4" w14:textId="483C9B7C" w:rsidR="00E05B98" w:rsidRPr="003623F6" w:rsidRDefault="00F77588" w:rsidP="00995EF8">
            <w:pPr>
              <w:pStyle w:val="TableParagraph"/>
              <w:spacing w:before="5" w:line="249" w:lineRule="auto"/>
              <w:ind w:right="202"/>
              <w:rPr>
                <w:sz w:val="18"/>
                <w:szCs w:val="18"/>
                <w:lang w:val="uk-UA"/>
              </w:rPr>
            </w:pPr>
            <w:r>
              <w:rPr>
                <w:sz w:val="18"/>
                <w:szCs w:val="18"/>
                <w:lang w:val="uk-UA"/>
              </w:rPr>
              <w:t>С</w:t>
            </w:r>
            <w:r w:rsidR="00995EF8" w:rsidRPr="00995EF8">
              <w:rPr>
                <w:sz w:val="18"/>
                <w:szCs w:val="18"/>
                <w:lang w:val="uk-UA"/>
              </w:rPr>
              <w:t>півпрац</w:t>
            </w:r>
            <w:r>
              <w:rPr>
                <w:sz w:val="18"/>
                <w:szCs w:val="18"/>
                <w:lang w:val="uk-UA"/>
              </w:rPr>
              <w:t>я</w:t>
            </w:r>
            <w:r w:rsidR="00995EF8" w:rsidRPr="00995EF8">
              <w:rPr>
                <w:sz w:val="18"/>
                <w:szCs w:val="18"/>
                <w:lang w:val="uk-UA"/>
              </w:rPr>
              <w:t xml:space="preserve"> з FIND у багатоцентровому клінічному дослідженні для оцінки ефективності аналізу Xpert MTB/XDR.</w:t>
            </w:r>
          </w:p>
        </w:tc>
        <w:tc>
          <w:tcPr>
            <w:tcW w:w="2387" w:type="dxa"/>
            <w:tcBorders>
              <w:top w:val="single" w:sz="6" w:space="0" w:color="019648"/>
              <w:left w:val="nil"/>
              <w:bottom w:val="single" w:sz="6" w:space="0" w:color="019648"/>
              <w:right w:val="nil"/>
            </w:tcBorders>
          </w:tcPr>
          <w:p w14:paraId="238D92AF" w14:textId="3C7E825F" w:rsidR="00E05B98" w:rsidRPr="003623F6" w:rsidRDefault="00995EF8">
            <w:pPr>
              <w:pStyle w:val="TableParagraph"/>
              <w:spacing w:before="5" w:line="249" w:lineRule="auto"/>
              <w:rPr>
                <w:sz w:val="18"/>
                <w:szCs w:val="18"/>
                <w:lang w:val="uk-UA"/>
              </w:rPr>
            </w:pPr>
            <w:r w:rsidRPr="00995EF8">
              <w:rPr>
                <w:spacing w:val="-2"/>
                <w:w w:val="105"/>
                <w:sz w:val="18"/>
                <w:szCs w:val="18"/>
                <w:lang w:val="uk-UA"/>
              </w:rPr>
              <w:t>Незначний конфлікт інтересів для зовнішнього рецензента. Управління потенційним конфліктом інтересів шляхом інтерпретації коментарів у контексті конфлікту інтересів</w:t>
            </w:r>
          </w:p>
        </w:tc>
      </w:tr>
      <w:tr w:rsidR="004178B8" w:rsidRPr="003623F6" w14:paraId="01A6B972" w14:textId="77777777">
        <w:trPr>
          <w:trHeight w:val="387"/>
        </w:trPr>
        <w:tc>
          <w:tcPr>
            <w:tcW w:w="2164" w:type="dxa"/>
            <w:tcBorders>
              <w:top w:val="single" w:sz="6" w:space="0" w:color="019648"/>
              <w:left w:val="nil"/>
              <w:bottom w:val="single" w:sz="6" w:space="0" w:color="019648"/>
              <w:right w:val="nil"/>
            </w:tcBorders>
          </w:tcPr>
          <w:p w14:paraId="1CC85A18" w14:textId="1F73FA85" w:rsidR="004178B8" w:rsidRPr="003623F6" w:rsidRDefault="00401183" w:rsidP="004178B8">
            <w:pPr>
              <w:pStyle w:val="TableParagraph"/>
              <w:ind w:left="133"/>
              <w:rPr>
                <w:sz w:val="18"/>
                <w:szCs w:val="18"/>
                <w:lang w:val="uk-UA"/>
              </w:rPr>
            </w:pPr>
            <w:r>
              <w:rPr>
                <w:w w:val="90"/>
                <w:sz w:val="18"/>
                <w:szCs w:val="18"/>
                <w:lang w:val="uk-UA"/>
              </w:rPr>
              <w:t xml:space="preserve">Френсіс </w:t>
            </w:r>
            <w:proofErr w:type="spellStart"/>
            <w:r>
              <w:rPr>
                <w:w w:val="90"/>
                <w:sz w:val="18"/>
                <w:szCs w:val="18"/>
                <w:lang w:val="uk-UA"/>
              </w:rPr>
              <w:t>Варен</w:t>
            </w:r>
            <w:proofErr w:type="spellEnd"/>
          </w:p>
        </w:tc>
        <w:tc>
          <w:tcPr>
            <w:tcW w:w="4535" w:type="dxa"/>
            <w:tcBorders>
              <w:top w:val="single" w:sz="6" w:space="0" w:color="019648"/>
              <w:left w:val="nil"/>
              <w:bottom w:val="single" w:sz="6" w:space="0" w:color="019648"/>
              <w:right w:val="nil"/>
            </w:tcBorders>
          </w:tcPr>
          <w:p w14:paraId="4D351499" w14:textId="1DEEAB0B"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87" w:type="dxa"/>
            <w:tcBorders>
              <w:top w:val="single" w:sz="6" w:space="0" w:color="019648"/>
              <w:left w:val="nil"/>
              <w:bottom w:val="single" w:sz="6" w:space="0" w:color="019648"/>
              <w:right w:val="nil"/>
            </w:tcBorders>
          </w:tcPr>
          <w:p w14:paraId="08640F2C" w14:textId="35FDE071" w:rsidR="004178B8" w:rsidRPr="003623F6" w:rsidRDefault="004178B8" w:rsidP="004178B8">
            <w:pPr>
              <w:pStyle w:val="TableParagraph"/>
              <w:rPr>
                <w:sz w:val="18"/>
                <w:szCs w:val="18"/>
                <w:lang w:val="uk-UA"/>
              </w:rPr>
            </w:pPr>
            <w:r w:rsidRPr="003623F6">
              <w:rPr>
                <w:w w:val="105"/>
                <w:sz w:val="18"/>
                <w:szCs w:val="18"/>
                <w:lang w:val="uk-UA"/>
              </w:rPr>
              <w:t>Відсутність конфлікту інтересів</w:t>
            </w:r>
          </w:p>
        </w:tc>
      </w:tr>
      <w:tr w:rsidR="004178B8" w:rsidRPr="003623F6" w14:paraId="6F799564" w14:textId="77777777">
        <w:trPr>
          <w:trHeight w:val="387"/>
        </w:trPr>
        <w:tc>
          <w:tcPr>
            <w:tcW w:w="2164" w:type="dxa"/>
            <w:tcBorders>
              <w:top w:val="single" w:sz="6" w:space="0" w:color="019648"/>
              <w:left w:val="nil"/>
              <w:bottom w:val="single" w:sz="6" w:space="0" w:color="019648"/>
              <w:right w:val="nil"/>
            </w:tcBorders>
          </w:tcPr>
          <w:p w14:paraId="7424EF33" w14:textId="6B181393" w:rsidR="004178B8" w:rsidRPr="003623F6" w:rsidRDefault="00401183" w:rsidP="004178B8">
            <w:pPr>
              <w:pStyle w:val="TableParagraph"/>
              <w:ind w:left="133"/>
              <w:rPr>
                <w:sz w:val="18"/>
                <w:szCs w:val="18"/>
                <w:lang w:val="uk-UA"/>
              </w:rPr>
            </w:pPr>
            <w:r>
              <w:rPr>
                <w:sz w:val="18"/>
                <w:szCs w:val="18"/>
                <w:lang w:val="uk-UA"/>
              </w:rPr>
              <w:t xml:space="preserve">Данило </w:t>
            </w:r>
            <w:proofErr w:type="spellStart"/>
            <w:r>
              <w:rPr>
                <w:sz w:val="18"/>
                <w:szCs w:val="18"/>
                <w:lang w:val="uk-UA"/>
              </w:rPr>
              <w:t>Зіменков</w:t>
            </w:r>
            <w:proofErr w:type="spellEnd"/>
          </w:p>
        </w:tc>
        <w:tc>
          <w:tcPr>
            <w:tcW w:w="4535" w:type="dxa"/>
            <w:tcBorders>
              <w:top w:val="single" w:sz="6" w:space="0" w:color="019648"/>
              <w:left w:val="nil"/>
              <w:bottom w:val="single" w:sz="6" w:space="0" w:color="019648"/>
              <w:right w:val="nil"/>
            </w:tcBorders>
          </w:tcPr>
          <w:p w14:paraId="47F97ED9" w14:textId="59C71049"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87" w:type="dxa"/>
            <w:tcBorders>
              <w:top w:val="single" w:sz="6" w:space="0" w:color="019648"/>
              <w:left w:val="nil"/>
              <w:bottom w:val="single" w:sz="6" w:space="0" w:color="019648"/>
              <w:right w:val="nil"/>
            </w:tcBorders>
          </w:tcPr>
          <w:p w14:paraId="498431DC" w14:textId="50E76136" w:rsidR="004178B8" w:rsidRPr="003623F6" w:rsidRDefault="004178B8" w:rsidP="004178B8">
            <w:pPr>
              <w:pStyle w:val="TableParagraph"/>
              <w:rPr>
                <w:sz w:val="18"/>
                <w:szCs w:val="18"/>
                <w:lang w:val="uk-UA"/>
              </w:rPr>
            </w:pPr>
            <w:r w:rsidRPr="003623F6">
              <w:rPr>
                <w:w w:val="105"/>
                <w:sz w:val="18"/>
                <w:szCs w:val="18"/>
                <w:lang w:val="uk-UA"/>
              </w:rPr>
              <w:t>Відсутність конфлікту інтересів</w:t>
            </w:r>
          </w:p>
        </w:tc>
      </w:tr>
    </w:tbl>
    <w:p w14:paraId="266520AE" w14:textId="75E974E3" w:rsidR="00E05B98" w:rsidRPr="003623F6" w:rsidRDefault="00401183">
      <w:pPr>
        <w:spacing w:before="258" w:line="254" w:lineRule="auto"/>
        <w:ind w:left="567" w:right="140"/>
        <w:jc w:val="both"/>
        <w:rPr>
          <w:sz w:val="18"/>
          <w:szCs w:val="18"/>
          <w:lang w:val="uk-UA"/>
        </w:rPr>
      </w:pPr>
      <w:r w:rsidRPr="00401183">
        <w:rPr>
          <w:sz w:val="18"/>
          <w:szCs w:val="18"/>
          <w:lang w:val="uk-UA"/>
        </w:rPr>
        <w:t xml:space="preserve">EDCTP: Партнерство європейських країн та країн, що розвиваються з проведення клінічних досліджень; </w:t>
      </w:r>
      <w:r w:rsidRPr="00EB6C68">
        <w:rPr>
          <w:sz w:val="18"/>
          <w:szCs w:val="18"/>
          <w:lang w:val="uk-UA"/>
        </w:rPr>
        <w:t>ERG</w:t>
      </w:r>
      <w:r w:rsidRPr="00401183">
        <w:rPr>
          <w:sz w:val="18"/>
          <w:szCs w:val="18"/>
          <w:lang w:val="uk-UA"/>
        </w:rPr>
        <w:t xml:space="preserve">: Група </w:t>
      </w:r>
      <w:r w:rsidR="00EB6C68" w:rsidRPr="00401183">
        <w:rPr>
          <w:sz w:val="18"/>
          <w:szCs w:val="18"/>
          <w:lang w:val="uk-UA"/>
        </w:rPr>
        <w:t>зовнішніх</w:t>
      </w:r>
      <w:r w:rsidRPr="00401183">
        <w:rPr>
          <w:sz w:val="18"/>
          <w:szCs w:val="18"/>
          <w:lang w:val="uk-UA"/>
        </w:rPr>
        <w:t xml:space="preserve"> експертів</w:t>
      </w:r>
      <w:r w:rsidR="00EB6C68">
        <w:rPr>
          <w:sz w:val="18"/>
          <w:szCs w:val="18"/>
          <w:lang w:val="uk-UA"/>
        </w:rPr>
        <w:t xml:space="preserve"> з огляду настанов</w:t>
      </w:r>
      <w:r w:rsidRPr="00401183">
        <w:rPr>
          <w:sz w:val="18"/>
          <w:szCs w:val="18"/>
          <w:lang w:val="uk-UA"/>
        </w:rPr>
        <w:t>; FIND: Фонд інноваційних нових діагностичних засобів; ВООЗ: Всесвітня організація охорони здоров'я.</w:t>
      </w:r>
    </w:p>
    <w:p w14:paraId="10A376B9" w14:textId="77777777" w:rsidR="00E05B98" w:rsidRPr="003623F6" w:rsidRDefault="00E05B98">
      <w:pPr>
        <w:spacing w:line="254" w:lineRule="auto"/>
        <w:jc w:val="both"/>
        <w:rPr>
          <w:sz w:val="18"/>
          <w:szCs w:val="18"/>
          <w:lang w:val="uk-UA"/>
        </w:rPr>
        <w:sectPr w:rsidR="00E05B98" w:rsidRPr="003623F6">
          <w:pgSz w:w="11910" w:h="16840"/>
          <w:pgMar w:top="1380" w:right="1275" w:bottom="760" w:left="850" w:header="0" w:footer="573" w:gutter="0"/>
          <w:cols w:space="720"/>
        </w:sectPr>
      </w:pPr>
    </w:p>
    <w:p w14:paraId="6A0E63EE" w14:textId="0EA53509" w:rsidR="00E05B98" w:rsidRPr="00401183" w:rsidRDefault="00401183">
      <w:pPr>
        <w:pStyle w:val="6"/>
        <w:spacing w:line="249" w:lineRule="auto"/>
        <w:rPr>
          <w:sz w:val="20"/>
          <w:szCs w:val="20"/>
          <w:lang w:val="uk-UA"/>
        </w:rPr>
      </w:pPr>
      <w:r>
        <w:rPr>
          <w:color w:val="636466"/>
          <w:sz w:val="20"/>
          <w:szCs w:val="20"/>
          <w:lang w:val="uk-UA"/>
        </w:rPr>
        <w:lastRenderedPageBreak/>
        <w:t>Таблиця</w:t>
      </w:r>
      <w:r w:rsidR="00B01E0C" w:rsidRPr="00401183">
        <w:rPr>
          <w:color w:val="636466"/>
          <w:sz w:val="20"/>
          <w:szCs w:val="20"/>
          <w:lang w:val="uk-UA"/>
        </w:rPr>
        <w:t xml:space="preserve"> A.2.3. </w:t>
      </w:r>
      <w:r w:rsidR="001022A6" w:rsidRPr="001022A6">
        <w:rPr>
          <w:color w:val="636466"/>
          <w:sz w:val="20"/>
          <w:szCs w:val="20"/>
          <w:lang w:val="uk-UA"/>
        </w:rPr>
        <w:t>Короткий виклад заяв про декларації інтересів</w:t>
      </w:r>
      <w:r w:rsidR="00887A0B" w:rsidRPr="00887A0B">
        <w:rPr>
          <w:color w:val="636466"/>
          <w:sz w:val="20"/>
          <w:szCs w:val="20"/>
          <w:lang w:val="uk-UA"/>
        </w:rPr>
        <w:t xml:space="preserve"> членів ГРН: «</w:t>
      </w:r>
      <w:r w:rsidR="008A2EFE">
        <w:rPr>
          <w:color w:val="636466"/>
          <w:sz w:val="20"/>
          <w:szCs w:val="20"/>
          <w:lang w:val="uk-UA"/>
        </w:rPr>
        <w:t>Таргетне</w:t>
      </w:r>
      <w:r w:rsidR="00887A0B" w:rsidRPr="00887A0B">
        <w:rPr>
          <w:color w:val="636466"/>
          <w:sz w:val="20"/>
          <w:szCs w:val="20"/>
          <w:lang w:val="uk-UA"/>
        </w:rPr>
        <w:t xml:space="preserve"> секвенування наступного покоління»</w:t>
      </w:r>
      <w:r w:rsidR="00F77588">
        <w:rPr>
          <w:color w:val="636466"/>
          <w:sz w:val="20"/>
          <w:szCs w:val="20"/>
          <w:lang w:val="uk-UA"/>
        </w:rPr>
        <w:t>,</w:t>
      </w:r>
      <w:r w:rsidR="00887A0B" w:rsidRPr="00887A0B">
        <w:rPr>
          <w:color w:val="636466"/>
          <w:sz w:val="20"/>
          <w:szCs w:val="20"/>
          <w:lang w:val="uk-UA"/>
        </w:rPr>
        <w:t xml:space="preserve"> 2–5 травня 2023 р.</w:t>
      </w:r>
    </w:p>
    <w:p w14:paraId="451CA1AA" w14:textId="77777777" w:rsidR="00E05B98" w:rsidRPr="003623F6" w:rsidRDefault="00E05B98">
      <w:pPr>
        <w:pStyle w:val="a3"/>
        <w:spacing w:before="5"/>
        <w:rPr>
          <w:rFonts w:ascii="Arial"/>
          <w:b/>
          <w:sz w:val="18"/>
          <w:szCs w:val="18"/>
          <w:lang w:val="uk-UA"/>
        </w:rPr>
      </w:pPr>
    </w:p>
    <w:tbl>
      <w:tblPr>
        <w:tblStyle w:val="TableNormal"/>
        <w:tblW w:w="0" w:type="auto"/>
        <w:tblInd w:w="57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2164"/>
        <w:gridCol w:w="4535"/>
        <w:gridCol w:w="2371"/>
      </w:tblGrid>
      <w:tr w:rsidR="003623F6" w:rsidRPr="003623F6" w14:paraId="0C02905C" w14:textId="77777777">
        <w:trPr>
          <w:trHeight w:val="428"/>
        </w:trPr>
        <w:tc>
          <w:tcPr>
            <w:tcW w:w="2164" w:type="dxa"/>
            <w:tcBorders>
              <w:right w:val="single" w:sz="6" w:space="0" w:color="019648"/>
            </w:tcBorders>
            <w:shd w:val="clear" w:color="auto" w:fill="62A86B"/>
          </w:tcPr>
          <w:p w14:paraId="7672C86D" w14:textId="7E76FC4A" w:rsidR="003623F6" w:rsidRPr="003623F6" w:rsidRDefault="003623F6" w:rsidP="003623F6">
            <w:pPr>
              <w:pStyle w:val="TableParagraph"/>
              <w:spacing w:before="95"/>
              <w:ind w:left="146"/>
              <w:rPr>
                <w:rFonts w:ascii="Arial"/>
                <w:b/>
                <w:sz w:val="18"/>
                <w:szCs w:val="18"/>
                <w:lang w:val="uk-UA"/>
              </w:rPr>
            </w:pPr>
            <w:r w:rsidRPr="003623F6">
              <w:rPr>
                <w:rFonts w:ascii="Arial" w:hAnsi="Arial" w:cs="Arial"/>
                <w:b/>
                <w:color w:val="FFFFFF"/>
                <w:spacing w:val="-9"/>
                <w:sz w:val="18"/>
                <w:szCs w:val="18"/>
                <w:lang w:val="uk-UA"/>
              </w:rPr>
              <w:t>Член ГРН</w:t>
            </w:r>
          </w:p>
        </w:tc>
        <w:tc>
          <w:tcPr>
            <w:tcW w:w="4535" w:type="dxa"/>
            <w:tcBorders>
              <w:left w:val="single" w:sz="6" w:space="0" w:color="019648"/>
              <w:right w:val="single" w:sz="6" w:space="0" w:color="019648"/>
            </w:tcBorders>
            <w:shd w:val="clear" w:color="auto" w:fill="62A86B"/>
          </w:tcPr>
          <w:p w14:paraId="2C7FFD5A" w14:textId="2DDD72E0" w:rsidR="003623F6" w:rsidRPr="003623F6" w:rsidRDefault="003623F6" w:rsidP="003623F6">
            <w:pPr>
              <w:pStyle w:val="TableParagraph"/>
              <w:spacing w:before="95"/>
              <w:ind w:left="138"/>
              <w:rPr>
                <w:rFonts w:ascii="Arial"/>
                <w:b/>
                <w:sz w:val="18"/>
                <w:szCs w:val="18"/>
                <w:lang w:val="uk-UA"/>
              </w:rPr>
            </w:pPr>
            <w:r w:rsidRPr="003623F6">
              <w:rPr>
                <w:rFonts w:ascii="Arial" w:hAnsi="Arial" w:cs="Arial"/>
                <w:b/>
                <w:color w:val="FFFFFF"/>
                <w:spacing w:val="-2"/>
                <w:sz w:val="18"/>
                <w:szCs w:val="18"/>
                <w:lang w:val="uk-UA"/>
              </w:rPr>
              <w:t>Задекларовані інтереси</w:t>
            </w:r>
          </w:p>
        </w:tc>
        <w:tc>
          <w:tcPr>
            <w:tcW w:w="2371" w:type="dxa"/>
            <w:tcBorders>
              <w:left w:val="single" w:sz="6" w:space="0" w:color="019648"/>
              <w:right w:val="single" w:sz="6" w:space="0" w:color="019648"/>
            </w:tcBorders>
            <w:shd w:val="clear" w:color="auto" w:fill="62A86B"/>
          </w:tcPr>
          <w:p w14:paraId="452733FF" w14:textId="6B5E21DA" w:rsidR="003623F6" w:rsidRPr="003623F6" w:rsidRDefault="003623F6" w:rsidP="003623F6">
            <w:pPr>
              <w:pStyle w:val="TableParagraph"/>
              <w:spacing w:before="95"/>
              <w:ind w:left="139"/>
              <w:rPr>
                <w:rFonts w:ascii="Arial"/>
                <w:b/>
                <w:sz w:val="18"/>
                <w:szCs w:val="18"/>
                <w:lang w:val="uk-UA"/>
              </w:rPr>
            </w:pPr>
            <w:r w:rsidRPr="003623F6">
              <w:rPr>
                <w:rFonts w:ascii="Arial" w:hAnsi="Arial" w:cs="Arial"/>
                <w:b/>
                <w:color w:val="FFFFFF"/>
                <w:spacing w:val="-2"/>
                <w:sz w:val="18"/>
                <w:szCs w:val="18"/>
                <w:lang w:val="uk-UA"/>
              </w:rPr>
              <w:t xml:space="preserve">Висновок </w:t>
            </w:r>
          </w:p>
        </w:tc>
      </w:tr>
      <w:tr w:rsidR="00E05B98" w:rsidRPr="003623F6" w14:paraId="1FF4233F" w14:textId="77777777">
        <w:trPr>
          <w:trHeight w:val="3505"/>
        </w:trPr>
        <w:tc>
          <w:tcPr>
            <w:tcW w:w="2164" w:type="dxa"/>
            <w:tcBorders>
              <w:left w:val="nil"/>
              <w:bottom w:val="single" w:sz="6" w:space="0" w:color="019648"/>
              <w:right w:val="nil"/>
            </w:tcBorders>
          </w:tcPr>
          <w:p w14:paraId="5968E147" w14:textId="360E3F86" w:rsidR="00E05B98" w:rsidRPr="003623F6" w:rsidRDefault="00887A0B">
            <w:pPr>
              <w:pStyle w:val="TableParagraph"/>
              <w:spacing w:before="76" w:line="249" w:lineRule="auto"/>
              <w:ind w:left="133" w:right="249"/>
              <w:rPr>
                <w:sz w:val="18"/>
                <w:szCs w:val="18"/>
                <w:lang w:val="uk-UA"/>
              </w:rPr>
            </w:pPr>
            <w:proofErr w:type="spellStart"/>
            <w:r>
              <w:rPr>
                <w:spacing w:val="-2"/>
                <w:w w:val="105"/>
                <w:sz w:val="18"/>
                <w:szCs w:val="18"/>
                <w:lang w:val="uk-UA"/>
              </w:rPr>
              <w:t>Німалан</w:t>
            </w:r>
            <w:proofErr w:type="spellEnd"/>
            <w:r>
              <w:rPr>
                <w:spacing w:val="-2"/>
                <w:w w:val="105"/>
                <w:sz w:val="18"/>
                <w:szCs w:val="18"/>
                <w:lang w:val="uk-UA"/>
              </w:rPr>
              <w:t xml:space="preserve"> </w:t>
            </w:r>
            <w:proofErr w:type="spellStart"/>
            <w:r>
              <w:rPr>
                <w:spacing w:val="-2"/>
                <w:w w:val="105"/>
                <w:sz w:val="18"/>
                <w:szCs w:val="18"/>
                <w:lang w:val="uk-UA"/>
              </w:rPr>
              <w:t>Арінамінпатхі</w:t>
            </w:r>
            <w:proofErr w:type="spellEnd"/>
          </w:p>
        </w:tc>
        <w:tc>
          <w:tcPr>
            <w:tcW w:w="4535" w:type="dxa"/>
            <w:tcBorders>
              <w:left w:val="nil"/>
              <w:bottom w:val="single" w:sz="6" w:space="0" w:color="019648"/>
              <w:right w:val="nil"/>
            </w:tcBorders>
          </w:tcPr>
          <w:p w14:paraId="2797420D" w14:textId="21431085" w:rsidR="00E05B98" w:rsidRPr="003623F6" w:rsidRDefault="00995EF8">
            <w:pPr>
              <w:pStyle w:val="TableParagraph"/>
              <w:spacing w:before="76" w:line="249" w:lineRule="auto"/>
              <w:ind w:right="203"/>
              <w:rPr>
                <w:sz w:val="18"/>
                <w:szCs w:val="18"/>
                <w:lang w:val="uk-UA"/>
              </w:rPr>
            </w:pPr>
            <w:r w:rsidRPr="00995EF8">
              <w:rPr>
                <w:sz w:val="18"/>
                <w:szCs w:val="18"/>
                <w:lang w:val="uk-UA"/>
              </w:rPr>
              <w:t>Робота: Імперський коледж Лондона. Надання консультацій: Глобальний фонд, ВООЗ, Регіональне бюро ВООЗ для Південно-Східної Азії, Ініціатива Клінтона щодо доступу до охорони здоров'я, Копенгагенський консенсус, Партнерство «Зупинити туберкульоз», USAID. Надання підтримки досліджень: Фонд Гейтса, CDC США, USAID, Рада медичних досліджень Сполученого Королівства. Член різних експертних консультативних органів, найбільш релевантними для цієї роботи є регіональний Комітет «Зелене світло» для регіону країн Південно-Східної Азії ВООЗ та Стратегічна і технічна консультативна група ВООЗ з питань ТБ (STAG-TB).</w:t>
            </w:r>
          </w:p>
        </w:tc>
        <w:tc>
          <w:tcPr>
            <w:tcW w:w="2371" w:type="dxa"/>
            <w:tcBorders>
              <w:left w:val="nil"/>
              <w:bottom w:val="single" w:sz="6" w:space="0" w:color="019648"/>
              <w:right w:val="nil"/>
            </w:tcBorders>
          </w:tcPr>
          <w:p w14:paraId="70CDBDB8" w14:textId="795CA41E" w:rsidR="00E05B98" w:rsidRPr="003623F6" w:rsidRDefault="004178B8" w:rsidP="004178B8">
            <w:pPr>
              <w:pStyle w:val="TableParagraph"/>
              <w:spacing w:before="76" w:line="249" w:lineRule="auto"/>
              <w:ind w:left="124" w:right="156"/>
              <w:rPr>
                <w:sz w:val="18"/>
                <w:szCs w:val="18"/>
                <w:lang w:val="uk-UA"/>
              </w:rPr>
            </w:pPr>
            <w:r w:rsidRPr="003623F6">
              <w:rPr>
                <w:w w:val="105"/>
                <w:sz w:val="18"/>
                <w:szCs w:val="18"/>
                <w:lang w:val="uk-UA"/>
              </w:rPr>
              <w:t>Незначний конфлікт інтересів</w:t>
            </w:r>
          </w:p>
        </w:tc>
      </w:tr>
      <w:tr w:rsidR="00E05B98" w:rsidRPr="003623F6" w14:paraId="1071711A" w14:textId="77777777">
        <w:trPr>
          <w:trHeight w:val="387"/>
        </w:trPr>
        <w:tc>
          <w:tcPr>
            <w:tcW w:w="2164" w:type="dxa"/>
            <w:tcBorders>
              <w:top w:val="single" w:sz="6" w:space="0" w:color="019648"/>
              <w:left w:val="nil"/>
              <w:bottom w:val="single" w:sz="6" w:space="0" w:color="019648"/>
              <w:right w:val="nil"/>
            </w:tcBorders>
          </w:tcPr>
          <w:p w14:paraId="73F8F4D6" w14:textId="6F2F36A6" w:rsidR="00E05B98" w:rsidRPr="003623F6" w:rsidRDefault="00887A0B">
            <w:pPr>
              <w:pStyle w:val="TableParagraph"/>
              <w:ind w:left="133"/>
              <w:rPr>
                <w:sz w:val="18"/>
                <w:szCs w:val="18"/>
                <w:lang w:val="uk-UA"/>
              </w:rPr>
            </w:pPr>
            <w:r>
              <w:rPr>
                <w:sz w:val="18"/>
                <w:szCs w:val="18"/>
                <w:lang w:val="uk-UA"/>
              </w:rPr>
              <w:t xml:space="preserve">Девід </w:t>
            </w:r>
            <w:proofErr w:type="spellStart"/>
            <w:r>
              <w:rPr>
                <w:sz w:val="18"/>
                <w:szCs w:val="18"/>
                <w:lang w:val="uk-UA"/>
              </w:rPr>
              <w:t>Браніган</w:t>
            </w:r>
            <w:proofErr w:type="spellEnd"/>
          </w:p>
        </w:tc>
        <w:tc>
          <w:tcPr>
            <w:tcW w:w="4535" w:type="dxa"/>
            <w:tcBorders>
              <w:top w:val="single" w:sz="6" w:space="0" w:color="019648"/>
              <w:left w:val="nil"/>
              <w:bottom w:val="single" w:sz="6" w:space="0" w:color="019648"/>
              <w:right w:val="nil"/>
            </w:tcBorders>
          </w:tcPr>
          <w:p w14:paraId="30D5A47D" w14:textId="7C74F064" w:rsidR="00E05B98" w:rsidRPr="003623F6" w:rsidRDefault="0029215F">
            <w:pPr>
              <w:pStyle w:val="TableParagraph"/>
              <w:rPr>
                <w:sz w:val="18"/>
                <w:szCs w:val="18"/>
                <w:lang w:val="uk-UA"/>
              </w:rPr>
            </w:pPr>
            <w:r w:rsidRPr="003623F6">
              <w:rPr>
                <w:sz w:val="18"/>
                <w:szCs w:val="18"/>
                <w:lang w:val="uk-UA"/>
              </w:rPr>
              <w:t>Не задекларовано жодного</w:t>
            </w:r>
          </w:p>
        </w:tc>
        <w:tc>
          <w:tcPr>
            <w:tcW w:w="2371" w:type="dxa"/>
            <w:tcBorders>
              <w:top w:val="single" w:sz="6" w:space="0" w:color="019648"/>
              <w:left w:val="nil"/>
              <w:bottom w:val="single" w:sz="6" w:space="0" w:color="019648"/>
              <w:right w:val="nil"/>
            </w:tcBorders>
          </w:tcPr>
          <w:p w14:paraId="0F1414DF" w14:textId="43D69B0A" w:rsidR="00E05B98" w:rsidRPr="003623F6" w:rsidRDefault="004178B8">
            <w:pPr>
              <w:pStyle w:val="TableParagraph"/>
              <w:ind w:left="124"/>
              <w:rPr>
                <w:sz w:val="18"/>
                <w:szCs w:val="18"/>
                <w:lang w:val="uk-UA"/>
              </w:rPr>
            </w:pPr>
            <w:r w:rsidRPr="003623F6">
              <w:rPr>
                <w:w w:val="105"/>
                <w:sz w:val="18"/>
                <w:szCs w:val="18"/>
                <w:lang w:val="uk-UA"/>
              </w:rPr>
              <w:t>Відсутність конфлікту інтересів</w:t>
            </w:r>
          </w:p>
        </w:tc>
      </w:tr>
      <w:tr w:rsidR="004178B8" w:rsidRPr="003623F6" w14:paraId="2E82E57C" w14:textId="77777777">
        <w:trPr>
          <w:trHeight w:val="3247"/>
        </w:trPr>
        <w:tc>
          <w:tcPr>
            <w:tcW w:w="2164" w:type="dxa"/>
            <w:tcBorders>
              <w:top w:val="single" w:sz="6" w:space="0" w:color="019648"/>
              <w:left w:val="nil"/>
              <w:bottom w:val="single" w:sz="6" w:space="0" w:color="019648"/>
              <w:right w:val="nil"/>
            </w:tcBorders>
          </w:tcPr>
          <w:p w14:paraId="6B0CADDC" w14:textId="15BE1E2A" w:rsidR="004178B8" w:rsidRPr="003623F6" w:rsidRDefault="00887A0B" w:rsidP="004178B8">
            <w:pPr>
              <w:pStyle w:val="TableParagraph"/>
              <w:ind w:left="133"/>
              <w:rPr>
                <w:sz w:val="18"/>
                <w:szCs w:val="18"/>
                <w:lang w:val="uk-UA"/>
              </w:rPr>
            </w:pPr>
            <w:proofErr w:type="spellStart"/>
            <w:r>
              <w:rPr>
                <w:spacing w:val="-2"/>
                <w:sz w:val="18"/>
                <w:szCs w:val="18"/>
                <w:lang w:val="uk-UA"/>
              </w:rPr>
              <w:t>Даніела</w:t>
            </w:r>
            <w:proofErr w:type="spellEnd"/>
            <w:r>
              <w:rPr>
                <w:spacing w:val="-2"/>
                <w:sz w:val="18"/>
                <w:szCs w:val="18"/>
                <w:lang w:val="uk-UA"/>
              </w:rPr>
              <w:t xml:space="preserve"> </w:t>
            </w:r>
            <w:proofErr w:type="spellStart"/>
            <w:r>
              <w:rPr>
                <w:spacing w:val="-2"/>
                <w:sz w:val="18"/>
                <w:szCs w:val="18"/>
                <w:lang w:val="uk-UA"/>
              </w:rPr>
              <w:t>Чірілло</w:t>
            </w:r>
            <w:proofErr w:type="spellEnd"/>
          </w:p>
        </w:tc>
        <w:tc>
          <w:tcPr>
            <w:tcW w:w="4535" w:type="dxa"/>
            <w:tcBorders>
              <w:top w:val="single" w:sz="6" w:space="0" w:color="019648"/>
              <w:left w:val="nil"/>
              <w:bottom w:val="single" w:sz="6" w:space="0" w:color="019648"/>
              <w:right w:val="nil"/>
            </w:tcBorders>
          </w:tcPr>
          <w:p w14:paraId="45A5BC4E" w14:textId="77777777" w:rsidR="00C67F7A" w:rsidRPr="00C67F7A" w:rsidRDefault="00C67F7A" w:rsidP="00C67F7A">
            <w:pPr>
              <w:pStyle w:val="TableParagraph"/>
              <w:spacing w:line="249" w:lineRule="auto"/>
              <w:ind w:right="113"/>
              <w:rPr>
                <w:w w:val="105"/>
                <w:sz w:val="18"/>
                <w:szCs w:val="18"/>
                <w:lang w:val="uk-UA"/>
              </w:rPr>
            </w:pPr>
            <w:r w:rsidRPr="00C67F7A">
              <w:rPr>
                <w:w w:val="105"/>
                <w:sz w:val="18"/>
                <w:szCs w:val="18"/>
                <w:lang w:val="uk-UA"/>
              </w:rPr>
              <w:t xml:space="preserve">Підтримка досліджень, включаючи наступне: IMI Unite4TB, в  тому числі координація робочого плану з мікробіології для клінічних випробувань, моніторинг сайтів випробувань та повторне тестування (триває); EUCAST, координація роботи над стандартним протоколом для різних протитуберкульозних препаратів із залученням референс-лабораторій (процес триває); TB </w:t>
            </w:r>
            <w:proofErr w:type="spellStart"/>
            <w:r w:rsidRPr="00C67F7A">
              <w:rPr>
                <w:w w:val="105"/>
                <w:sz w:val="18"/>
                <w:szCs w:val="18"/>
                <w:lang w:val="uk-UA"/>
              </w:rPr>
              <w:t>Alliance</w:t>
            </w:r>
            <w:proofErr w:type="spellEnd"/>
            <w:r w:rsidRPr="00C67F7A">
              <w:rPr>
                <w:w w:val="105"/>
                <w:sz w:val="18"/>
                <w:szCs w:val="18"/>
                <w:lang w:val="uk-UA"/>
              </w:rPr>
              <w:t xml:space="preserve">, необмежений грант за участю декількох партнерів для тестування МІК для </w:t>
            </w:r>
            <w:proofErr w:type="spellStart"/>
            <w:r w:rsidRPr="00C67F7A">
              <w:rPr>
                <w:w w:val="105"/>
                <w:sz w:val="18"/>
                <w:szCs w:val="18"/>
                <w:lang w:val="uk-UA"/>
              </w:rPr>
              <w:t>претоманіду</w:t>
            </w:r>
            <w:proofErr w:type="spellEnd"/>
            <w:r w:rsidRPr="00C67F7A">
              <w:rPr>
                <w:w w:val="105"/>
                <w:sz w:val="18"/>
                <w:szCs w:val="18"/>
                <w:lang w:val="uk-UA"/>
              </w:rPr>
              <w:t xml:space="preserve"> (завершено у 2020 році).</w:t>
            </w:r>
          </w:p>
          <w:p w14:paraId="497DE795" w14:textId="0235C46C" w:rsidR="004178B8" w:rsidRPr="003623F6" w:rsidRDefault="00C67F7A" w:rsidP="00C67F7A">
            <w:pPr>
              <w:pStyle w:val="TableParagraph"/>
              <w:spacing w:before="9" w:line="249" w:lineRule="auto"/>
              <w:ind w:right="546"/>
              <w:jc w:val="both"/>
              <w:rPr>
                <w:sz w:val="18"/>
                <w:szCs w:val="18"/>
                <w:lang w:val="uk-UA"/>
              </w:rPr>
            </w:pPr>
            <w:r w:rsidRPr="00C67F7A">
              <w:rPr>
                <w:w w:val="105"/>
                <w:sz w:val="18"/>
                <w:szCs w:val="18"/>
                <w:lang w:val="uk-UA"/>
              </w:rPr>
              <w:t>Немає досліджень, що оцінюють цільове СНП, немає контрактів, оплачуваних компаніями, пов'язаними з цільовим СНП.</w:t>
            </w:r>
          </w:p>
        </w:tc>
        <w:tc>
          <w:tcPr>
            <w:tcW w:w="2371" w:type="dxa"/>
            <w:tcBorders>
              <w:top w:val="single" w:sz="6" w:space="0" w:color="019648"/>
              <w:left w:val="nil"/>
              <w:bottom w:val="single" w:sz="6" w:space="0" w:color="019648"/>
              <w:right w:val="nil"/>
            </w:tcBorders>
          </w:tcPr>
          <w:p w14:paraId="7E2A0EB3" w14:textId="1E1D230D" w:rsidR="004178B8" w:rsidRPr="003623F6" w:rsidRDefault="004178B8" w:rsidP="004178B8">
            <w:pPr>
              <w:pStyle w:val="TableParagraph"/>
              <w:spacing w:line="249" w:lineRule="auto"/>
              <w:ind w:left="124" w:right="156"/>
              <w:rPr>
                <w:sz w:val="18"/>
                <w:szCs w:val="18"/>
                <w:lang w:val="uk-UA"/>
              </w:rPr>
            </w:pPr>
            <w:r w:rsidRPr="003623F6">
              <w:rPr>
                <w:w w:val="105"/>
                <w:sz w:val="18"/>
                <w:szCs w:val="18"/>
                <w:lang w:val="uk-UA"/>
              </w:rPr>
              <w:t>Незначний конфлікт інтересів</w:t>
            </w:r>
          </w:p>
        </w:tc>
      </w:tr>
      <w:tr w:rsidR="004178B8" w:rsidRPr="003623F6" w14:paraId="021B7A32" w14:textId="77777777" w:rsidTr="00340AF9">
        <w:trPr>
          <w:trHeight w:val="1715"/>
        </w:trPr>
        <w:tc>
          <w:tcPr>
            <w:tcW w:w="2164" w:type="dxa"/>
            <w:tcBorders>
              <w:top w:val="single" w:sz="6" w:space="0" w:color="019648"/>
              <w:left w:val="nil"/>
              <w:bottom w:val="single" w:sz="6" w:space="0" w:color="019648"/>
              <w:right w:val="nil"/>
            </w:tcBorders>
          </w:tcPr>
          <w:p w14:paraId="6EAA94A5" w14:textId="1BEA275F" w:rsidR="004178B8" w:rsidRPr="003623F6" w:rsidRDefault="00887A0B" w:rsidP="004178B8">
            <w:pPr>
              <w:pStyle w:val="TableParagraph"/>
              <w:ind w:left="133"/>
              <w:rPr>
                <w:sz w:val="18"/>
                <w:szCs w:val="18"/>
                <w:lang w:val="uk-UA"/>
              </w:rPr>
            </w:pPr>
            <w:r>
              <w:rPr>
                <w:sz w:val="18"/>
                <w:szCs w:val="18"/>
                <w:lang w:val="uk-UA"/>
              </w:rPr>
              <w:t>Петра де Хаас</w:t>
            </w:r>
          </w:p>
        </w:tc>
        <w:tc>
          <w:tcPr>
            <w:tcW w:w="4535" w:type="dxa"/>
            <w:tcBorders>
              <w:top w:val="single" w:sz="6" w:space="0" w:color="019648"/>
              <w:left w:val="nil"/>
              <w:bottom w:val="single" w:sz="6" w:space="0" w:color="019648"/>
              <w:right w:val="nil"/>
            </w:tcBorders>
          </w:tcPr>
          <w:p w14:paraId="49CDB49E" w14:textId="21ED631A" w:rsidR="004178B8" w:rsidRPr="003623F6" w:rsidRDefault="009D1A93" w:rsidP="004178B8">
            <w:pPr>
              <w:pStyle w:val="TableParagraph"/>
              <w:spacing w:before="3" w:line="249" w:lineRule="auto"/>
              <w:rPr>
                <w:sz w:val="18"/>
                <w:szCs w:val="18"/>
                <w:lang w:val="uk-UA"/>
              </w:rPr>
            </w:pPr>
            <w:r w:rsidRPr="009D1A93">
              <w:rPr>
                <w:sz w:val="18"/>
                <w:szCs w:val="18"/>
                <w:lang w:val="uk-UA"/>
              </w:rPr>
              <w:t xml:space="preserve">Підтримка досліджень, включаючи наступне: фінансування оцінки </w:t>
            </w:r>
            <w:proofErr w:type="spellStart"/>
            <w:r w:rsidRPr="009D1A93">
              <w:rPr>
                <w:sz w:val="18"/>
                <w:szCs w:val="18"/>
                <w:lang w:val="uk-UA"/>
              </w:rPr>
              <w:t>MinION</w:t>
            </w:r>
            <w:proofErr w:type="spellEnd"/>
            <w:r w:rsidRPr="009D1A93">
              <w:rPr>
                <w:sz w:val="18"/>
                <w:szCs w:val="18"/>
                <w:lang w:val="uk-UA"/>
              </w:rPr>
              <w:t xml:space="preserve"> (Оксфордська компанія технологій дослідження </w:t>
            </w:r>
            <w:proofErr w:type="spellStart"/>
            <w:r w:rsidRPr="009D1A93">
              <w:rPr>
                <w:sz w:val="18"/>
                <w:szCs w:val="18"/>
                <w:lang w:val="uk-UA"/>
              </w:rPr>
              <w:t>нанопор</w:t>
            </w:r>
            <w:proofErr w:type="spellEnd"/>
            <w:r w:rsidRPr="009D1A93">
              <w:rPr>
                <w:sz w:val="18"/>
                <w:szCs w:val="18"/>
                <w:lang w:val="uk-UA"/>
              </w:rPr>
              <w:t xml:space="preserve">  - Oxford Nanopore Technologies), 5-річний проєкт KNCV, що фінансується за рахунок національної поштової лотереї, який оцінює впровадження та використання цільового СНП для діагностики багатьох інфекційних захворювань у трьох країнах.</w:t>
            </w:r>
          </w:p>
        </w:tc>
        <w:tc>
          <w:tcPr>
            <w:tcW w:w="2371" w:type="dxa"/>
            <w:tcBorders>
              <w:top w:val="single" w:sz="6" w:space="0" w:color="019648"/>
              <w:left w:val="nil"/>
              <w:bottom w:val="single" w:sz="6" w:space="0" w:color="019648"/>
              <w:right w:val="nil"/>
            </w:tcBorders>
          </w:tcPr>
          <w:p w14:paraId="7396FAAB" w14:textId="61B0D477" w:rsidR="004178B8" w:rsidRPr="003623F6" w:rsidRDefault="004178B8" w:rsidP="004178B8">
            <w:pPr>
              <w:pStyle w:val="TableParagraph"/>
              <w:spacing w:line="249" w:lineRule="auto"/>
              <w:ind w:left="124" w:right="156"/>
              <w:rPr>
                <w:sz w:val="18"/>
                <w:szCs w:val="18"/>
                <w:lang w:val="uk-UA"/>
              </w:rPr>
            </w:pPr>
            <w:r w:rsidRPr="003623F6">
              <w:rPr>
                <w:w w:val="105"/>
                <w:sz w:val="18"/>
                <w:szCs w:val="18"/>
                <w:lang w:val="uk-UA"/>
              </w:rPr>
              <w:t>Незначний конфлікт інтересів</w:t>
            </w:r>
          </w:p>
        </w:tc>
      </w:tr>
      <w:tr w:rsidR="004178B8" w:rsidRPr="003623F6" w14:paraId="5B09B75F" w14:textId="77777777">
        <w:trPr>
          <w:trHeight w:val="1427"/>
        </w:trPr>
        <w:tc>
          <w:tcPr>
            <w:tcW w:w="2164" w:type="dxa"/>
            <w:tcBorders>
              <w:top w:val="single" w:sz="6" w:space="0" w:color="019648"/>
              <w:left w:val="nil"/>
              <w:bottom w:val="single" w:sz="6" w:space="0" w:color="019648"/>
              <w:right w:val="nil"/>
            </w:tcBorders>
          </w:tcPr>
          <w:p w14:paraId="732B7E3E" w14:textId="4F392C73" w:rsidR="004178B8" w:rsidRPr="003623F6" w:rsidRDefault="00887A0B" w:rsidP="004178B8">
            <w:pPr>
              <w:pStyle w:val="TableParagraph"/>
              <w:ind w:left="133"/>
              <w:rPr>
                <w:sz w:val="18"/>
                <w:szCs w:val="18"/>
                <w:lang w:val="uk-UA"/>
              </w:rPr>
            </w:pPr>
            <w:r>
              <w:rPr>
                <w:spacing w:val="-4"/>
                <w:sz w:val="18"/>
                <w:szCs w:val="18"/>
                <w:lang w:val="uk-UA"/>
              </w:rPr>
              <w:t>Патрісія Холл-Ейдсон</w:t>
            </w:r>
          </w:p>
        </w:tc>
        <w:tc>
          <w:tcPr>
            <w:tcW w:w="4535" w:type="dxa"/>
            <w:tcBorders>
              <w:top w:val="single" w:sz="6" w:space="0" w:color="019648"/>
              <w:left w:val="nil"/>
              <w:bottom w:val="single" w:sz="6" w:space="0" w:color="019648"/>
              <w:right w:val="nil"/>
            </w:tcBorders>
          </w:tcPr>
          <w:p w14:paraId="66970590" w14:textId="3437C199" w:rsidR="004178B8" w:rsidRPr="003623F6" w:rsidRDefault="00BE10C2" w:rsidP="004178B8">
            <w:pPr>
              <w:pStyle w:val="TableParagraph"/>
              <w:spacing w:line="249" w:lineRule="auto"/>
              <w:ind w:right="100"/>
              <w:rPr>
                <w:sz w:val="18"/>
                <w:szCs w:val="18"/>
                <w:lang w:val="uk-UA"/>
              </w:rPr>
            </w:pPr>
            <w:r w:rsidRPr="00BE10C2">
              <w:rPr>
                <w:sz w:val="18"/>
                <w:szCs w:val="18"/>
                <w:lang w:val="uk-UA"/>
              </w:rPr>
              <w:t>Працює з Центром контролю та профілактики захворювань США</w:t>
            </w:r>
            <w:r w:rsidR="0057728C">
              <w:rPr>
                <w:sz w:val="18"/>
                <w:szCs w:val="18"/>
                <w:lang w:val="uk-UA"/>
              </w:rPr>
              <w:t>, як</w:t>
            </w:r>
            <w:r w:rsidRPr="00BE10C2">
              <w:rPr>
                <w:sz w:val="18"/>
                <w:szCs w:val="18"/>
                <w:lang w:val="uk-UA"/>
              </w:rPr>
              <w:t xml:space="preserve"> фінансуючої організації, для підтримки досліджень у сфері ТБ та нагляду за реалізацією політики та рекомендацій ВООЗ </w:t>
            </w:r>
            <w:r w:rsidR="0057728C">
              <w:rPr>
                <w:sz w:val="18"/>
                <w:szCs w:val="18"/>
                <w:lang w:val="uk-UA"/>
              </w:rPr>
              <w:t xml:space="preserve">у сфері ТБ </w:t>
            </w:r>
            <w:r w:rsidRPr="00BE10C2">
              <w:rPr>
                <w:sz w:val="18"/>
                <w:szCs w:val="18"/>
                <w:lang w:val="uk-UA"/>
              </w:rPr>
              <w:t>в усьому світі, включаючи використання СНП для цілей епіднагляду.</w:t>
            </w:r>
          </w:p>
        </w:tc>
        <w:tc>
          <w:tcPr>
            <w:tcW w:w="2371" w:type="dxa"/>
            <w:tcBorders>
              <w:top w:val="single" w:sz="6" w:space="0" w:color="019648"/>
              <w:left w:val="nil"/>
              <w:bottom w:val="single" w:sz="6" w:space="0" w:color="019648"/>
              <w:right w:val="nil"/>
            </w:tcBorders>
          </w:tcPr>
          <w:p w14:paraId="4ABD4B97" w14:textId="6FF3E66C" w:rsidR="004178B8" w:rsidRPr="003623F6" w:rsidRDefault="004178B8" w:rsidP="004178B8">
            <w:pPr>
              <w:pStyle w:val="TableParagraph"/>
              <w:spacing w:line="249" w:lineRule="auto"/>
              <w:ind w:left="124" w:right="156"/>
              <w:rPr>
                <w:sz w:val="18"/>
                <w:szCs w:val="18"/>
                <w:lang w:val="uk-UA"/>
              </w:rPr>
            </w:pPr>
            <w:r w:rsidRPr="003623F6">
              <w:rPr>
                <w:w w:val="105"/>
                <w:sz w:val="18"/>
                <w:szCs w:val="18"/>
                <w:lang w:val="uk-UA"/>
              </w:rPr>
              <w:t>Незначний конфлікт інтересів</w:t>
            </w:r>
          </w:p>
        </w:tc>
      </w:tr>
      <w:tr w:rsidR="004178B8" w:rsidRPr="003623F6" w14:paraId="4EC17294" w14:textId="77777777">
        <w:trPr>
          <w:trHeight w:val="387"/>
        </w:trPr>
        <w:tc>
          <w:tcPr>
            <w:tcW w:w="2164" w:type="dxa"/>
            <w:tcBorders>
              <w:top w:val="single" w:sz="6" w:space="0" w:color="019648"/>
              <w:left w:val="nil"/>
              <w:bottom w:val="single" w:sz="6" w:space="0" w:color="019648"/>
              <w:right w:val="nil"/>
            </w:tcBorders>
          </w:tcPr>
          <w:p w14:paraId="1ECC9759" w14:textId="2925C702" w:rsidR="004178B8" w:rsidRPr="003623F6" w:rsidRDefault="00887A0B" w:rsidP="004178B8">
            <w:pPr>
              <w:pStyle w:val="TableParagraph"/>
              <w:ind w:left="133"/>
              <w:rPr>
                <w:sz w:val="18"/>
                <w:szCs w:val="18"/>
                <w:lang w:val="uk-UA"/>
              </w:rPr>
            </w:pPr>
            <w:proofErr w:type="spellStart"/>
            <w:r>
              <w:rPr>
                <w:spacing w:val="-2"/>
                <w:sz w:val="18"/>
                <w:szCs w:val="18"/>
                <w:lang w:val="uk-UA"/>
              </w:rPr>
              <w:t>Руміна</w:t>
            </w:r>
            <w:proofErr w:type="spellEnd"/>
            <w:r>
              <w:rPr>
                <w:spacing w:val="-2"/>
                <w:sz w:val="18"/>
                <w:szCs w:val="18"/>
                <w:lang w:val="uk-UA"/>
              </w:rPr>
              <w:t xml:space="preserve"> Хасан</w:t>
            </w:r>
          </w:p>
        </w:tc>
        <w:tc>
          <w:tcPr>
            <w:tcW w:w="4535" w:type="dxa"/>
            <w:tcBorders>
              <w:top w:val="single" w:sz="6" w:space="0" w:color="019648"/>
              <w:left w:val="nil"/>
              <w:bottom w:val="single" w:sz="6" w:space="0" w:color="019648"/>
              <w:right w:val="nil"/>
            </w:tcBorders>
          </w:tcPr>
          <w:p w14:paraId="29D6F106" w14:textId="28DF8866"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71" w:type="dxa"/>
            <w:tcBorders>
              <w:top w:val="single" w:sz="6" w:space="0" w:color="019648"/>
              <w:left w:val="nil"/>
              <w:bottom w:val="single" w:sz="6" w:space="0" w:color="019648"/>
              <w:right w:val="nil"/>
            </w:tcBorders>
          </w:tcPr>
          <w:p w14:paraId="35E935CB" w14:textId="7E70AF41" w:rsidR="004178B8" w:rsidRPr="003623F6" w:rsidRDefault="004178B8" w:rsidP="004178B8">
            <w:pPr>
              <w:pStyle w:val="TableParagraph"/>
              <w:ind w:left="124"/>
              <w:rPr>
                <w:sz w:val="18"/>
                <w:szCs w:val="18"/>
                <w:lang w:val="uk-UA"/>
              </w:rPr>
            </w:pPr>
            <w:r w:rsidRPr="003623F6">
              <w:rPr>
                <w:w w:val="105"/>
                <w:sz w:val="18"/>
                <w:szCs w:val="18"/>
                <w:lang w:val="uk-UA"/>
              </w:rPr>
              <w:t>Відсутність конфлікту інтересів</w:t>
            </w:r>
          </w:p>
        </w:tc>
      </w:tr>
      <w:tr w:rsidR="004178B8" w:rsidRPr="003623F6" w14:paraId="0D7EA962" w14:textId="77777777">
        <w:trPr>
          <w:trHeight w:val="647"/>
        </w:trPr>
        <w:tc>
          <w:tcPr>
            <w:tcW w:w="2164" w:type="dxa"/>
            <w:tcBorders>
              <w:top w:val="single" w:sz="6" w:space="0" w:color="019648"/>
              <w:left w:val="nil"/>
              <w:bottom w:val="single" w:sz="6" w:space="0" w:color="019648"/>
              <w:right w:val="nil"/>
            </w:tcBorders>
          </w:tcPr>
          <w:p w14:paraId="6E557CB1" w14:textId="699D934A" w:rsidR="004178B8" w:rsidRPr="003623F6" w:rsidRDefault="00887A0B" w:rsidP="004178B8">
            <w:pPr>
              <w:pStyle w:val="TableParagraph"/>
              <w:spacing w:line="249" w:lineRule="auto"/>
              <w:ind w:left="133" w:right="249"/>
              <w:rPr>
                <w:sz w:val="18"/>
                <w:szCs w:val="18"/>
                <w:lang w:val="uk-UA"/>
              </w:rPr>
            </w:pPr>
            <w:proofErr w:type="spellStart"/>
            <w:r>
              <w:rPr>
                <w:spacing w:val="-2"/>
                <w:sz w:val="18"/>
                <w:szCs w:val="18"/>
                <w:lang w:val="uk-UA"/>
              </w:rPr>
              <w:t>Сірінафа</w:t>
            </w:r>
            <w:proofErr w:type="spellEnd"/>
            <w:r>
              <w:rPr>
                <w:spacing w:val="-2"/>
                <w:sz w:val="18"/>
                <w:szCs w:val="18"/>
                <w:lang w:val="uk-UA"/>
              </w:rPr>
              <w:t xml:space="preserve"> </w:t>
            </w:r>
            <w:proofErr w:type="spellStart"/>
            <w:r>
              <w:rPr>
                <w:spacing w:val="-2"/>
                <w:sz w:val="18"/>
                <w:szCs w:val="18"/>
                <w:lang w:val="uk-UA"/>
              </w:rPr>
              <w:t>Джіттімані</w:t>
            </w:r>
            <w:proofErr w:type="spellEnd"/>
          </w:p>
        </w:tc>
        <w:tc>
          <w:tcPr>
            <w:tcW w:w="4535" w:type="dxa"/>
            <w:tcBorders>
              <w:top w:val="single" w:sz="6" w:space="0" w:color="019648"/>
              <w:left w:val="nil"/>
              <w:bottom w:val="single" w:sz="6" w:space="0" w:color="019648"/>
              <w:right w:val="nil"/>
            </w:tcBorders>
          </w:tcPr>
          <w:p w14:paraId="609D85D7" w14:textId="3363F529"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71" w:type="dxa"/>
            <w:tcBorders>
              <w:top w:val="single" w:sz="6" w:space="0" w:color="019648"/>
              <w:left w:val="nil"/>
              <w:bottom w:val="single" w:sz="6" w:space="0" w:color="019648"/>
              <w:right w:val="nil"/>
            </w:tcBorders>
          </w:tcPr>
          <w:p w14:paraId="1624668B" w14:textId="58E48DCC" w:rsidR="004178B8" w:rsidRPr="003623F6" w:rsidRDefault="004178B8" w:rsidP="004178B8">
            <w:pPr>
              <w:pStyle w:val="TableParagraph"/>
              <w:ind w:left="124"/>
              <w:rPr>
                <w:sz w:val="18"/>
                <w:szCs w:val="18"/>
                <w:lang w:val="uk-UA"/>
              </w:rPr>
            </w:pPr>
            <w:r w:rsidRPr="003623F6">
              <w:rPr>
                <w:w w:val="105"/>
                <w:sz w:val="18"/>
                <w:szCs w:val="18"/>
                <w:lang w:val="uk-UA"/>
              </w:rPr>
              <w:t>Відсутність конфлікту інтересів</w:t>
            </w:r>
          </w:p>
        </w:tc>
      </w:tr>
      <w:tr w:rsidR="004178B8" w:rsidRPr="003623F6" w14:paraId="5B5DD28D" w14:textId="77777777">
        <w:trPr>
          <w:trHeight w:val="387"/>
        </w:trPr>
        <w:tc>
          <w:tcPr>
            <w:tcW w:w="2164" w:type="dxa"/>
            <w:tcBorders>
              <w:top w:val="single" w:sz="6" w:space="0" w:color="019648"/>
              <w:left w:val="nil"/>
              <w:bottom w:val="single" w:sz="6" w:space="0" w:color="019648"/>
              <w:right w:val="nil"/>
            </w:tcBorders>
          </w:tcPr>
          <w:p w14:paraId="4F34C1A2" w14:textId="023C6669" w:rsidR="004178B8" w:rsidRPr="003623F6" w:rsidRDefault="0094623E" w:rsidP="004178B8">
            <w:pPr>
              <w:pStyle w:val="TableParagraph"/>
              <w:ind w:left="133"/>
              <w:rPr>
                <w:sz w:val="18"/>
                <w:szCs w:val="18"/>
                <w:lang w:val="uk-UA"/>
              </w:rPr>
            </w:pPr>
            <w:proofErr w:type="spellStart"/>
            <w:r>
              <w:rPr>
                <w:w w:val="105"/>
                <w:sz w:val="18"/>
                <w:szCs w:val="18"/>
                <w:lang w:val="uk-UA"/>
              </w:rPr>
              <w:t>Кобто</w:t>
            </w:r>
            <w:proofErr w:type="spellEnd"/>
            <w:r>
              <w:rPr>
                <w:w w:val="105"/>
                <w:sz w:val="18"/>
                <w:szCs w:val="18"/>
                <w:lang w:val="uk-UA"/>
              </w:rPr>
              <w:t xml:space="preserve"> </w:t>
            </w:r>
            <w:proofErr w:type="spellStart"/>
            <w:r>
              <w:rPr>
                <w:w w:val="105"/>
                <w:sz w:val="18"/>
                <w:szCs w:val="18"/>
                <w:lang w:val="uk-UA"/>
              </w:rPr>
              <w:t>Коура</w:t>
            </w:r>
            <w:proofErr w:type="spellEnd"/>
          </w:p>
        </w:tc>
        <w:tc>
          <w:tcPr>
            <w:tcW w:w="4535" w:type="dxa"/>
            <w:tcBorders>
              <w:top w:val="single" w:sz="6" w:space="0" w:color="019648"/>
              <w:left w:val="nil"/>
              <w:bottom w:val="single" w:sz="6" w:space="0" w:color="019648"/>
              <w:right w:val="nil"/>
            </w:tcBorders>
          </w:tcPr>
          <w:p w14:paraId="35F5440F" w14:textId="2F540CAF"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71" w:type="dxa"/>
            <w:tcBorders>
              <w:top w:val="single" w:sz="6" w:space="0" w:color="019648"/>
              <w:left w:val="nil"/>
              <w:bottom w:val="single" w:sz="6" w:space="0" w:color="019648"/>
              <w:right w:val="nil"/>
            </w:tcBorders>
          </w:tcPr>
          <w:p w14:paraId="1D40D5FB" w14:textId="25A4389E" w:rsidR="004178B8" w:rsidRPr="003623F6" w:rsidRDefault="004178B8" w:rsidP="004178B8">
            <w:pPr>
              <w:pStyle w:val="TableParagraph"/>
              <w:ind w:left="124"/>
              <w:rPr>
                <w:sz w:val="18"/>
                <w:szCs w:val="18"/>
                <w:lang w:val="uk-UA"/>
              </w:rPr>
            </w:pPr>
            <w:r w:rsidRPr="003623F6">
              <w:rPr>
                <w:w w:val="105"/>
                <w:sz w:val="18"/>
                <w:szCs w:val="18"/>
                <w:lang w:val="uk-UA"/>
              </w:rPr>
              <w:t>Відсутність конфлікту інтересів</w:t>
            </w:r>
          </w:p>
        </w:tc>
      </w:tr>
      <w:tr w:rsidR="004178B8" w:rsidRPr="003623F6" w14:paraId="29BEABA9" w14:textId="77777777">
        <w:trPr>
          <w:trHeight w:val="387"/>
        </w:trPr>
        <w:tc>
          <w:tcPr>
            <w:tcW w:w="2164" w:type="dxa"/>
            <w:tcBorders>
              <w:top w:val="single" w:sz="6" w:space="0" w:color="019648"/>
              <w:left w:val="nil"/>
              <w:bottom w:val="single" w:sz="6" w:space="0" w:color="019648"/>
              <w:right w:val="nil"/>
            </w:tcBorders>
          </w:tcPr>
          <w:p w14:paraId="3963594B" w14:textId="14E521D0" w:rsidR="004178B8" w:rsidRPr="003623F6" w:rsidRDefault="0094623E" w:rsidP="004178B8">
            <w:pPr>
              <w:pStyle w:val="TableParagraph"/>
              <w:ind w:left="133"/>
              <w:rPr>
                <w:sz w:val="18"/>
                <w:szCs w:val="18"/>
                <w:lang w:val="uk-UA"/>
              </w:rPr>
            </w:pPr>
            <w:proofErr w:type="spellStart"/>
            <w:r>
              <w:rPr>
                <w:w w:val="90"/>
                <w:sz w:val="18"/>
                <w:szCs w:val="18"/>
                <w:lang w:val="uk-UA"/>
              </w:rPr>
              <w:t>Блессіна</w:t>
            </w:r>
            <w:proofErr w:type="spellEnd"/>
            <w:r>
              <w:rPr>
                <w:w w:val="90"/>
                <w:sz w:val="18"/>
                <w:szCs w:val="18"/>
                <w:lang w:val="uk-UA"/>
              </w:rPr>
              <w:t xml:space="preserve"> Кумар</w:t>
            </w:r>
          </w:p>
        </w:tc>
        <w:tc>
          <w:tcPr>
            <w:tcW w:w="4535" w:type="dxa"/>
            <w:tcBorders>
              <w:top w:val="single" w:sz="6" w:space="0" w:color="019648"/>
              <w:left w:val="nil"/>
              <w:bottom w:val="single" w:sz="6" w:space="0" w:color="019648"/>
              <w:right w:val="nil"/>
            </w:tcBorders>
          </w:tcPr>
          <w:p w14:paraId="33656591" w14:textId="6AEF35BC"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71" w:type="dxa"/>
            <w:tcBorders>
              <w:top w:val="single" w:sz="6" w:space="0" w:color="019648"/>
              <w:left w:val="nil"/>
              <w:bottom w:val="single" w:sz="6" w:space="0" w:color="019648"/>
              <w:right w:val="nil"/>
            </w:tcBorders>
          </w:tcPr>
          <w:p w14:paraId="53F644EA" w14:textId="71FE4EC2" w:rsidR="004178B8" w:rsidRPr="003623F6" w:rsidRDefault="004178B8" w:rsidP="004178B8">
            <w:pPr>
              <w:pStyle w:val="TableParagraph"/>
              <w:ind w:left="124"/>
              <w:rPr>
                <w:sz w:val="18"/>
                <w:szCs w:val="18"/>
                <w:lang w:val="uk-UA"/>
              </w:rPr>
            </w:pPr>
            <w:r w:rsidRPr="003623F6">
              <w:rPr>
                <w:w w:val="105"/>
                <w:sz w:val="18"/>
                <w:szCs w:val="18"/>
                <w:lang w:val="uk-UA"/>
              </w:rPr>
              <w:t>Відсутність конфлікту інтересів</w:t>
            </w:r>
          </w:p>
        </w:tc>
      </w:tr>
    </w:tbl>
    <w:p w14:paraId="12CC4664" w14:textId="77777777" w:rsidR="00E05B98" w:rsidRPr="003623F6" w:rsidRDefault="00E05B98">
      <w:pPr>
        <w:pStyle w:val="TableParagraph"/>
        <w:rPr>
          <w:sz w:val="18"/>
          <w:szCs w:val="18"/>
          <w:lang w:val="uk-UA"/>
        </w:rPr>
        <w:sectPr w:rsidR="00E05B98" w:rsidRPr="003623F6">
          <w:pgSz w:w="11910" w:h="16840"/>
          <w:pgMar w:top="1320" w:right="1275" w:bottom="1312" w:left="850" w:header="0" w:footer="573" w:gutter="0"/>
          <w:cols w:space="720"/>
        </w:sectPr>
      </w:pPr>
    </w:p>
    <w:tbl>
      <w:tblPr>
        <w:tblStyle w:val="TableNormal"/>
        <w:tblW w:w="0" w:type="auto"/>
        <w:tblInd w:w="57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2164"/>
        <w:gridCol w:w="4535"/>
        <w:gridCol w:w="2371"/>
      </w:tblGrid>
      <w:tr w:rsidR="003623F6" w:rsidRPr="003623F6" w14:paraId="6C4910E6" w14:textId="77777777">
        <w:trPr>
          <w:trHeight w:val="428"/>
        </w:trPr>
        <w:tc>
          <w:tcPr>
            <w:tcW w:w="2164" w:type="dxa"/>
            <w:tcBorders>
              <w:right w:val="single" w:sz="6" w:space="0" w:color="019648"/>
            </w:tcBorders>
            <w:shd w:val="clear" w:color="auto" w:fill="62A86B"/>
          </w:tcPr>
          <w:p w14:paraId="41B5358E" w14:textId="3E5EE0E7" w:rsidR="003623F6" w:rsidRPr="003623F6" w:rsidRDefault="003623F6" w:rsidP="003623F6">
            <w:pPr>
              <w:pStyle w:val="TableParagraph"/>
              <w:spacing w:before="95"/>
              <w:ind w:left="146"/>
              <w:rPr>
                <w:rFonts w:ascii="Arial"/>
                <w:b/>
                <w:sz w:val="18"/>
                <w:szCs w:val="18"/>
                <w:lang w:val="uk-UA"/>
              </w:rPr>
            </w:pPr>
            <w:r w:rsidRPr="003623F6">
              <w:rPr>
                <w:rFonts w:ascii="Arial" w:hAnsi="Arial" w:cs="Arial"/>
                <w:b/>
                <w:color w:val="FFFFFF"/>
                <w:spacing w:val="-9"/>
                <w:sz w:val="18"/>
                <w:szCs w:val="18"/>
                <w:lang w:val="uk-UA"/>
              </w:rPr>
              <w:lastRenderedPageBreak/>
              <w:t>Член ГРН</w:t>
            </w:r>
          </w:p>
        </w:tc>
        <w:tc>
          <w:tcPr>
            <w:tcW w:w="4535" w:type="dxa"/>
            <w:tcBorders>
              <w:left w:val="single" w:sz="6" w:space="0" w:color="019648"/>
              <w:right w:val="single" w:sz="6" w:space="0" w:color="019648"/>
            </w:tcBorders>
            <w:shd w:val="clear" w:color="auto" w:fill="62A86B"/>
          </w:tcPr>
          <w:p w14:paraId="5FD47083" w14:textId="2BC4B594" w:rsidR="003623F6" w:rsidRPr="003623F6" w:rsidRDefault="003623F6" w:rsidP="003623F6">
            <w:pPr>
              <w:pStyle w:val="TableParagraph"/>
              <w:spacing w:before="95"/>
              <w:ind w:left="138"/>
              <w:rPr>
                <w:rFonts w:ascii="Arial"/>
                <w:b/>
                <w:sz w:val="18"/>
                <w:szCs w:val="18"/>
                <w:lang w:val="uk-UA"/>
              </w:rPr>
            </w:pPr>
            <w:r w:rsidRPr="003623F6">
              <w:rPr>
                <w:rFonts w:ascii="Arial" w:hAnsi="Arial" w:cs="Arial"/>
                <w:b/>
                <w:color w:val="FFFFFF"/>
                <w:spacing w:val="-2"/>
                <w:sz w:val="18"/>
                <w:szCs w:val="18"/>
                <w:lang w:val="uk-UA"/>
              </w:rPr>
              <w:t>Задекларовані інтереси</w:t>
            </w:r>
          </w:p>
        </w:tc>
        <w:tc>
          <w:tcPr>
            <w:tcW w:w="2371" w:type="dxa"/>
            <w:tcBorders>
              <w:left w:val="single" w:sz="6" w:space="0" w:color="019648"/>
              <w:right w:val="single" w:sz="6" w:space="0" w:color="019648"/>
            </w:tcBorders>
            <w:shd w:val="clear" w:color="auto" w:fill="62A86B"/>
          </w:tcPr>
          <w:p w14:paraId="73ED28F4" w14:textId="4C343165" w:rsidR="003623F6" w:rsidRPr="003623F6" w:rsidRDefault="003623F6" w:rsidP="003623F6">
            <w:pPr>
              <w:pStyle w:val="TableParagraph"/>
              <w:spacing w:before="95"/>
              <w:ind w:left="139"/>
              <w:rPr>
                <w:rFonts w:ascii="Arial"/>
                <w:b/>
                <w:sz w:val="18"/>
                <w:szCs w:val="18"/>
                <w:lang w:val="uk-UA"/>
              </w:rPr>
            </w:pPr>
            <w:r w:rsidRPr="003623F6">
              <w:rPr>
                <w:rFonts w:ascii="Arial" w:hAnsi="Arial" w:cs="Arial"/>
                <w:b/>
                <w:color w:val="FFFFFF"/>
                <w:spacing w:val="-2"/>
                <w:sz w:val="18"/>
                <w:szCs w:val="18"/>
                <w:lang w:val="uk-UA"/>
              </w:rPr>
              <w:t xml:space="preserve">Висновок </w:t>
            </w:r>
          </w:p>
        </w:tc>
      </w:tr>
      <w:tr w:rsidR="004178B8" w:rsidRPr="003623F6" w14:paraId="6AFA0C05" w14:textId="77777777">
        <w:trPr>
          <w:trHeight w:val="645"/>
        </w:trPr>
        <w:tc>
          <w:tcPr>
            <w:tcW w:w="2164" w:type="dxa"/>
            <w:tcBorders>
              <w:left w:val="nil"/>
              <w:bottom w:val="single" w:sz="6" w:space="0" w:color="019648"/>
              <w:right w:val="nil"/>
            </w:tcBorders>
          </w:tcPr>
          <w:p w14:paraId="4A1A35EC" w14:textId="0F0C66EC" w:rsidR="004178B8" w:rsidRPr="003623F6" w:rsidRDefault="0094623E" w:rsidP="004178B8">
            <w:pPr>
              <w:pStyle w:val="TableParagraph"/>
              <w:spacing w:before="76" w:line="249" w:lineRule="auto"/>
              <w:ind w:left="133"/>
              <w:rPr>
                <w:sz w:val="18"/>
                <w:szCs w:val="18"/>
                <w:lang w:val="uk-UA"/>
              </w:rPr>
            </w:pPr>
            <w:r>
              <w:rPr>
                <w:spacing w:val="-2"/>
                <w:sz w:val="18"/>
                <w:szCs w:val="18"/>
                <w:lang w:val="uk-UA"/>
              </w:rPr>
              <w:t xml:space="preserve">Ніколь </w:t>
            </w:r>
            <w:proofErr w:type="spellStart"/>
            <w:r>
              <w:rPr>
                <w:spacing w:val="-2"/>
                <w:sz w:val="18"/>
                <w:szCs w:val="18"/>
                <w:lang w:val="uk-UA"/>
              </w:rPr>
              <w:t>Менезес</w:t>
            </w:r>
            <w:proofErr w:type="spellEnd"/>
            <w:r>
              <w:rPr>
                <w:spacing w:val="-2"/>
                <w:sz w:val="18"/>
                <w:szCs w:val="18"/>
                <w:lang w:val="uk-UA"/>
              </w:rPr>
              <w:t xml:space="preserve"> де </w:t>
            </w:r>
            <w:proofErr w:type="spellStart"/>
            <w:r>
              <w:rPr>
                <w:spacing w:val="-2"/>
                <w:sz w:val="18"/>
                <w:szCs w:val="18"/>
                <w:lang w:val="uk-UA"/>
              </w:rPr>
              <w:t>Соуза</w:t>
            </w:r>
            <w:proofErr w:type="spellEnd"/>
          </w:p>
        </w:tc>
        <w:tc>
          <w:tcPr>
            <w:tcW w:w="4535" w:type="dxa"/>
            <w:tcBorders>
              <w:left w:val="nil"/>
              <w:bottom w:val="single" w:sz="6" w:space="0" w:color="019648"/>
              <w:right w:val="nil"/>
            </w:tcBorders>
          </w:tcPr>
          <w:p w14:paraId="6A938E00" w14:textId="7DBD9B67" w:rsidR="004178B8" w:rsidRPr="003623F6" w:rsidRDefault="004178B8" w:rsidP="004178B8">
            <w:pPr>
              <w:pStyle w:val="TableParagraph"/>
              <w:spacing w:before="76"/>
              <w:rPr>
                <w:sz w:val="18"/>
                <w:szCs w:val="18"/>
                <w:lang w:val="uk-UA"/>
              </w:rPr>
            </w:pPr>
            <w:r w:rsidRPr="003623F6">
              <w:rPr>
                <w:sz w:val="18"/>
                <w:szCs w:val="18"/>
              </w:rPr>
              <w:t>Не задекларовано жодного</w:t>
            </w:r>
          </w:p>
        </w:tc>
        <w:tc>
          <w:tcPr>
            <w:tcW w:w="2371" w:type="dxa"/>
            <w:tcBorders>
              <w:left w:val="nil"/>
              <w:bottom w:val="single" w:sz="6" w:space="0" w:color="019648"/>
              <w:right w:val="nil"/>
            </w:tcBorders>
          </w:tcPr>
          <w:p w14:paraId="39BB8C16" w14:textId="7149499A" w:rsidR="004178B8" w:rsidRPr="003623F6" w:rsidRDefault="004178B8" w:rsidP="004178B8">
            <w:pPr>
              <w:pStyle w:val="TableParagraph"/>
              <w:spacing w:before="76"/>
              <w:ind w:left="124"/>
              <w:rPr>
                <w:sz w:val="18"/>
                <w:szCs w:val="18"/>
                <w:lang w:val="uk-UA"/>
              </w:rPr>
            </w:pPr>
            <w:r w:rsidRPr="003623F6">
              <w:rPr>
                <w:w w:val="105"/>
                <w:sz w:val="18"/>
                <w:szCs w:val="18"/>
                <w:lang w:val="uk-UA"/>
              </w:rPr>
              <w:t>Відсутність конфлікту інтересів</w:t>
            </w:r>
          </w:p>
        </w:tc>
      </w:tr>
      <w:tr w:rsidR="004178B8" w:rsidRPr="003623F6" w14:paraId="0C4BBE90" w14:textId="77777777">
        <w:trPr>
          <w:trHeight w:val="647"/>
        </w:trPr>
        <w:tc>
          <w:tcPr>
            <w:tcW w:w="2164" w:type="dxa"/>
            <w:tcBorders>
              <w:top w:val="single" w:sz="6" w:space="0" w:color="019648"/>
              <w:left w:val="nil"/>
              <w:bottom w:val="single" w:sz="6" w:space="0" w:color="019648"/>
              <w:right w:val="nil"/>
            </w:tcBorders>
          </w:tcPr>
          <w:p w14:paraId="15AC0877" w14:textId="19EEE338" w:rsidR="004178B8" w:rsidRPr="003623F6" w:rsidRDefault="0094623E" w:rsidP="004178B8">
            <w:pPr>
              <w:pStyle w:val="TableParagraph"/>
              <w:spacing w:line="249" w:lineRule="auto"/>
              <w:ind w:left="133" w:right="249"/>
              <w:rPr>
                <w:sz w:val="18"/>
                <w:szCs w:val="18"/>
                <w:lang w:val="uk-UA"/>
              </w:rPr>
            </w:pPr>
            <w:proofErr w:type="spellStart"/>
            <w:r>
              <w:rPr>
                <w:spacing w:val="-4"/>
                <w:sz w:val="18"/>
                <w:szCs w:val="18"/>
                <w:lang w:val="uk-UA"/>
              </w:rPr>
              <w:t>Джеремайя</w:t>
            </w:r>
            <w:proofErr w:type="spellEnd"/>
            <w:r>
              <w:rPr>
                <w:spacing w:val="-4"/>
                <w:sz w:val="18"/>
                <w:szCs w:val="18"/>
                <w:lang w:val="uk-UA"/>
              </w:rPr>
              <w:t xml:space="preserve"> </w:t>
            </w:r>
            <w:proofErr w:type="spellStart"/>
            <w:r>
              <w:rPr>
                <w:spacing w:val="-4"/>
                <w:sz w:val="18"/>
                <w:szCs w:val="18"/>
                <w:lang w:val="uk-UA"/>
              </w:rPr>
              <w:t>Чакая</w:t>
            </w:r>
            <w:proofErr w:type="spellEnd"/>
            <w:r>
              <w:rPr>
                <w:spacing w:val="-4"/>
                <w:sz w:val="18"/>
                <w:szCs w:val="18"/>
                <w:lang w:val="uk-UA"/>
              </w:rPr>
              <w:t xml:space="preserve"> </w:t>
            </w:r>
            <w:proofErr w:type="spellStart"/>
            <w:r>
              <w:rPr>
                <w:spacing w:val="-4"/>
                <w:sz w:val="18"/>
                <w:szCs w:val="18"/>
                <w:lang w:val="uk-UA"/>
              </w:rPr>
              <w:t>Мухва</w:t>
            </w:r>
            <w:proofErr w:type="spellEnd"/>
          </w:p>
        </w:tc>
        <w:tc>
          <w:tcPr>
            <w:tcW w:w="4535" w:type="dxa"/>
            <w:tcBorders>
              <w:top w:val="single" w:sz="6" w:space="0" w:color="019648"/>
              <w:left w:val="nil"/>
              <w:bottom w:val="single" w:sz="6" w:space="0" w:color="019648"/>
              <w:right w:val="nil"/>
            </w:tcBorders>
          </w:tcPr>
          <w:p w14:paraId="03CD7F65" w14:textId="044CAD73"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71" w:type="dxa"/>
            <w:tcBorders>
              <w:top w:val="single" w:sz="6" w:space="0" w:color="019648"/>
              <w:left w:val="nil"/>
              <w:bottom w:val="single" w:sz="6" w:space="0" w:color="019648"/>
              <w:right w:val="nil"/>
            </w:tcBorders>
          </w:tcPr>
          <w:p w14:paraId="7D9D0813" w14:textId="51F4CDD5" w:rsidR="004178B8" w:rsidRPr="003623F6" w:rsidRDefault="004178B8" w:rsidP="004178B8">
            <w:pPr>
              <w:pStyle w:val="TableParagraph"/>
              <w:ind w:left="124"/>
              <w:rPr>
                <w:sz w:val="18"/>
                <w:szCs w:val="18"/>
                <w:lang w:val="uk-UA"/>
              </w:rPr>
            </w:pPr>
            <w:r w:rsidRPr="003623F6">
              <w:rPr>
                <w:w w:val="105"/>
                <w:sz w:val="18"/>
                <w:szCs w:val="18"/>
                <w:lang w:val="uk-UA"/>
              </w:rPr>
              <w:t>Відсутність конфлікту інтересів</w:t>
            </w:r>
          </w:p>
        </w:tc>
      </w:tr>
      <w:tr w:rsidR="004178B8" w:rsidRPr="003623F6" w14:paraId="7FAE8865" w14:textId="77777777">
        <w:trPr>
          <w:trHeight w:val="387"/>
        </w:trPr>
        <w:tc>
          <w:tcPr>
            <w:tcW w:w="2164" w:type="dxa"/>
            <w:tcBorders>
              <w:top w:val="single" w:sz="6" w:space="0" w:color="019648"/>
              <w:left w:val="nil"/>
              <w:bottom w:val="single" w:sz="6" w:space="0" w:color="019648"/>
              <w:right w:val="nil"/>
            </w:tcBorders>
          </w:tcPr>
          <w:p w14:paraId="50DA3EF4" w14:textId="313832DE" w:rsidR="004178B8" w:rsidRPr="003623F6" w:rsidRDefault="0094623E" w:rsidP="004178B8">
            <w:pPr>
              <w:pStyle w:val="TableParagraph"/>
              <w:ind w:left="133"/>
              <w:rPr>
                <w:sz w:val="18"/>
                <w:szCs w:val="18"/>
                <w:lang w:val="uk-UA"/>
              </w:rPr>
            </w:pPr>
            <w:r>
              <w:rPr>
                <w:w w:val="105"/>
                <w:sz w:val="18"/>
                <w:szCs w:val="18"/>
                <w:lang w:val="uk-UA"/>
              </w:rPr>
              <w:t xml:space="preserve">Норберт </w:t>
            </w:r>
            <w:proofErr w:type="spellStart"/>
            <w:r>
              <w:rPr>
                <w:w w:val="105"/>
                <w:sz w:val="18"/>
                <w:szCs w:val="18"/>
                <w:lang w:val="uk-UA"/>
              </w:rPr>
              <w:t>Нджека</w:t>
            </w:r>
            <w:proofErr w:type="spellEnd"/>
          </w:p>
        </w:tc>
        <w:tc>
          <w:tcPr>
            <w:tcW w:w="4535" w:type="dxa"/>
            <w:tcBorders>
              <w:top w:val="single" w:sz="6" w:space="0" w:color="019648"/>
              <w:left w:val="nil"/>
              <w:bottom w:val="single" w:sz="6" w:space="0" w:color="019648"/>
              <w:right w:val="nil"/>
            </w:tcBorders>
          </w:tcPr>
          <w:p w14:paraId="5FADE9A9" w14:textId="76C1A73F"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71" w:type="dxa"/>
            <w:tcBorders>
              <w:top w:val="single" w:sz="6" w:space="0" w:color="019648"/>
              <w:left w:val="nil"/>
              <w:bottom w:val="single" w:sz="6" w:space="0" w:color="019648"/>
              <w:right w:val="nil"/>
            </w:tcBorders>
          </w:tcPr>
          <w:p w14:paraId="2DE9DC20" w14:textId="299A3FB2" w:rsidR="004178B8" w:rsidRPr="003623F6" w:rsidRDefault="004178B8" w:rsidP="004178B8">
            <w:pPr>
              <w:pStyle w:val="TableParagraph"/>
              <w:ind w:left="124"/>
              <w:rPr>
                <w:sz w:val="18"/>
                <w:szCs w:val="18"/>
                <w:lang w:val="uk-UA"/>
              </w:rPr>
            </w:pPr>
            <w:r w:rsidRPr="003623F6">
              <w:rPr>
                <w:w w:val="105"/>
                <w:sz w:val="18"/>
                <w:szCs w:val="18"/>
                <w:lang w:val="uk-UA"/>
              </w:rPr>
              <w:t>Відсутність конфлікту інтересів</w:t>
            </w:r>
          </w:p>
        </w:tc>
      </w:tr>
      <w:tr w:rsidR="004178B8" w:rsidRPr="003623F6" w14:paraId="25A4B4B3" w14:textId="77777777" w:rsidTr="008C0839">
        <w:trPr>
          <w:trHeight w:val="1604"/>
        </w:trPr>
        <w:tc>
          <w:tcPr>
            <w:tcW w:w="2164" w:type="dxa"/>
            <w:tcBorders>
              <w:top w:val="single" w:sz="6" w:space="0" w:color="019648"/>
              <w:left w:val="nil"/>
              <w:bottom w:val="single" w:sz="6" w:space="0" w:color="019648"/>
              <w:right w:val="nil"/>
            </w:tcBorders>
          </w:tcPr>
          <w:p w14:paraId="65B3838C" w14:textId="092567E5" w:rsidR="004178B8" w:rsidRPr="003623F6" w:rsidRDefault="0094623E" w:rsidP="004178B8">
            <w:pPr>
              <w:pStyle w:val="TableParagraph"/>
              <w:ind w:left="133"/>
              <w:rPr>
                <w:sz w:val="18"/>
                <w:szCs w:val="18"/>
                <w:lang w:val="uk-UA"/>
              </w:rPr>
            </w:pPr>
            <w:r>
              <w:rPr>
                <w:sz w:val="18"/>
                <w:szCs w:val="18"/>
                <w:lang w:val="uk-UA"/>
              </w:rPr>
              <w:t xml:space="preserve">Марк </w:t>
            </w:r>
            <w:proofErr w:type="spellStart"/>
            <w:r>
              <w:rPr>
                <w:sz w:val="18"/>
                <w:szCs w:val="18"/>
                <w:lang w:val="uk-UA"/>
              </w:rPr>
              <w:t>Нікол</w:t>
            </w:r>
            <w:proofErr w:type="spellEnd"/>
          </w:p>
        </w:tc>
        <w:tc>
          <w:tcPr>
            <w:tcW w:w="4535" w:type="dxa"/>
            <w:tcBorders>
              <w:top w:val="single" w:sz="6" w:space="0" w:color="019648"/>
              <w:left w:val="nil"/>
              <w:bottom w:val="single" w:sz="6" w:space="0" w:color="019648"/>
              <w:right w:val="nil"/>
            </w:tcBorders>
          </w:tcPr>
          <w:p w14:paraId="20410243" w14:textId="31C03FA5" w:rsidR="004178B8" w:rsidRPr="003623F6" w:rsidRDefault="00BE10C2" w:rsidP="004178B8">
            <w:pPr>
              <w:pStyle w:val="TableParagraph"/>
              <w:spacing w:before="2" w:line="249" w:lineRule="auto"/>
              <w:ind w:right="100"/>
              <w:rPr>
                <w:sz w:val="18"/>
                <w:szCs w:val="18"/>
                <w:lang w:val="uk-UA"/>
              </w:rPr>
            </w:pPr>
            <w:r w:rsidRPr="00BE10C2">
              <w:rPr>
                <w:sz w:val="18"/>
                <w:szCs w:val="18"/>
                <w:lang w:val="uk-UA"/>
              </w:rPr>
              <w:t xml:space="preserve">Підтримка досліджень: Роботодавець (Університет Кейптауна, Південна Африка) отримав грант для фінансування проведення досліджень низки нових методів діагностики ТБ у дітей (включаючи Xpert, LAM, </w:t>
            </w:r>
            <w:proofErr w:type="spellStart"/>
            <w:r w:rsidRPr="00BE10C2">
              <w:rPr>
                <w:sz w:val="18"/>
                <w:szCs w:val="18"/>
                <w:lang w:val="uk-UA"/>
              </w:rPr>
              <w:t>RNAseq</w:t>
            </w:r>
            <w:proofErr w:type="spellEnd"/>
            <w:r w:rsidRPr="00BE10C2">
              <w:rPr>
                <w:sz w:val="18"/>
                <w:szCs w:val="18"/>
                <w:lang w:val="uk-UA"/>
              </w:rPr>
              <w:t xml:space="preserve"> та інші). Не передбачено фінансування технологій цільового СНП або їх дослідження.</w:t>
            </w:r>
          </w:p>
        </w:tc>
        <w:tc>
          <w:tcPr>
            <w:tcW w:w="2371" w:type="dxa"/>
            <w:tcBorders>
              <w:top w:val="single" w:sz="6" w:space="0" w:color="019648"/>
              <w:left w:val="nil"/>
              <w:bottom w:val="single" w:sz="6" w:space="0" w:color="019648"/>
              <w:right w:val="nil"/>
            </w:tcBorders>
          </w:tcPr>
          <w:p w14:paraId="79009017" w14:textId="4F685F12" w:rsidR="004178B8" w:rsidRPr="003623F6" w:rsidRDefault="004178B8" w:rsidP="004178B8">
            <w:pPr>
              <w:pStyle w:val="TableParagraph"/>
              <w:spacing w:line="249" w:lineRule="auto"/>
              <w:ind w:left="124" w:right="15"/>
              <w:rPr>
                <w:sz w:val="18"/>
                <w:szCs w:val="18"/>
                <w:lang w:val="uk-UA"/>
              </w:rPr>
            </w:pPr>
            <w:r w:rsidRPr="003623F6">
              <w:rPr>
                <w:w w:val="105"/>
                <w:sz w:val="18"/>
                <w:szCs w:val="18"/>
                <w:lang w:val="uk-UA"/>
              </w:rPr>
              <w:t>Незначний конфлікт інтересів</w:t>
            </w:r>
          </w:p>
        </w:tc>
      </w:tr>
      <w:tr w:rsidR="004178B8" w:rsidRPr="003623F6" w14:paraId="63DBAB95" w14:textId="77777777" w:rsidTr="008C0839">
        <w:trPr>
          <w:trHeight w:val="1402"/>
        </w:trPr>
        <w:tc>
          <w:tcPr>
            <w:tcW w:w="2164" w:type="dxa"/>
            <w:tcBorders>
              <w:top w:val="single" w:sz="6" w:space="0" w:color="019648"/>
              <w:left w:val="nil"/>
              <w:bottom w:val="single" w:sz="6" w:space="0" w:color="019648"/>
              <w:right w:val="nil"/>
            </w:tcBorders>
          </w:tcPr>
          <w:p w14:paraId="3AB4F1B2" w14:textId="070BBF8B" w:rsidR="004178B8" w:rsidRPr="003623F6" w:rsidRDefault="0094623E" w:rsidP="004178B8">
            <w:pPr>
              <w:pStyle w:val="TableParagraph"/>
              <w:ind w:left="133"/>
              <w:rPr>
                <w:sz w:val="18"/>
                <w:szCs w:val="18"/>
                <w:lang w:val="uk-UA"/>
              </w:rPr>
            </w:pPr>
            <w:r>
              <w:rPr>
                <w:spacing w:val="-4"/>
                <w:sz w:val="18"/>
                <w:szCs w:val="18"/>
                <w:lang w:val="uk-UA"/>
              </w:rPr>
              <w:t>Томас Ш</w:t>
            </w:r>
            <w:r w:rsidR="001E18F2">
              <w:rPr>
                <w:spacing w:val="-4"/>
                <w:sz w:val="18"/>
                <w:szCs w:val="18"/>
                <w:lang w:val="uk-UA"/>
              </w:rPr>
              <w:t>и</w:t>
            </w:r>
            <w:r>
              <w:rPr>
                <w:spacing w:val="-4"/>
                <w:sz w:val="18"/>
                <w:szCs w:val="18"/>
                <w:lang w:val="uk-UA"/>
              </w:rPr>
              <w:t>нн</w:t>
            </w:r>
            <w:r w:rsidR="001E18F2">
              <w:rPr>
                <w:spacing w:val="-4"/>
                <w:sz w:val="18"/>
                <w:szCs w:val="18"/>
                <w:lang w:val="uk-UA"/>
              </w:rPr>
              <w:t>и</w:t>
            </w:r>
            <w:r>
              <w:rPr>
                <w:spacing w:val="-4"/>
                <w:sz w:val="18"/>
                <w:szCs w:val="18"/>
                <w:lang w:val="uk-UA"/>
              </w:rPr>
              <w:t>к</w:t>
            </w:r>
          </w:p>
        </w:tc>
        <w:tc>
          <w:tcPr>
            <w:tcW w:w="4535" w:type="dxa"/>
            <w:tcBorders>
              <w:top w:val="single" w:sz="6" w:space="0" w:color="019648"/>
              <w:left w:val="nil"/>
              <w:bottom w:val="single" w:sz="6" w:space="0" w:color="019648"/>
              <w:right w:val="nil"/>
            </w:tcBorders>
          </w:tcPr>
          <w:p w14:paraId="4AA91C1F" w14:textId="53C57AD9" w:rsidR="004178B8" w:rsidRPr="003623F6" w:rsidRDefault="008C0839" w:rsidP="004178B8">
            <w:pPr>
              <w:pStyle w:val="TableParagraph"/>
              <w:spacing w:line="249" w:lineRule="auto"/>
              <w:ind w:right="202"/>
              <w:rPr>
                <w:sz w:val="18"/>
                <w:szCs w:val="18"/>
                <w:lang w:val="uk-UA"/>
              </w:rPr>
            </w:pPr>
            <w:r w:rsidRPr="008C0839">
              <w:rPr>
                <w:w w:val="105"/>
                <w:sz w:val="18"/>
                <w:szCs w:val="18"/>
                <w:lang w:val="uk-UA"/>
              </w:rPr>
              <w:t>Робота в якості консультанта, завдяки якій були отримані контракти та фінансова підтримка відряджень від ВООЗ, FIND та USAID для роботи, пов'язаної зі зміцненням лабораторій та розробкою глобальних керівних документів.</w:t>
            </w:r>
          </w:p>
        </w:tc>
        <w:tc>
          <w:tcPr>
            <w:tcW w:w="2371" w:type="dxa"/>
            <w:tcBorders>
              <w:top w:val="single" w:sz="6" w:space="0" w:color="019648"/>
              <w:left w:val="nil"/>
              <w:bottom w:val="single" w:sz="6" w:space="0" w:color="019648"/>
              <w:right w:val="nil"/>
            </w:tcBorders>
          </w:tcPr>
          <w:p w14:paraId="54A89EA9" w14:textId="0933F02B" w:rsidR="004178B8" w:rsidRPr="003623F6" w:rsidRDefault="004178B8" w:rsidP="004178B8">
            <w:pPr>
              <w:pStyle w:val="TableParagraph"/>
              <w:spacing w:line="249" w:lineRule="auto"/>
              <w:ind w:left="124" w:right="15"/>
              <w:rPr>
                <w:sz w:val="18"/>
                <w:szCs w:val="18"/>
                <w:lang w:val="uk-UA"/>
              </w:rPr>
            </w:pPr>
            <w:r w:rsidRPr="003623F6">
              <w:rPr>
                <w:w w:val="105"/>
                <w:sz w:val="18"/>
                <w:szCs w:val="18"/>
                <w:lang w:val="uk-UA"/>
              </w:rPr>
              <w:t>Незначний конфлікт інтересів</w:t>
            </w:r>
          </w:p>
        </w:tc>
      </w:tr>
      <w:tr w:rsidR="004178B8" w:rsidRPr="003623F6" w14:paraId="0E8BD15A" w14:textId="77777777">
        <w:trPr>
          <w:trHeight w:val="387"/>
        </w:trPr>
        <w:tc>
          <w:tcPr>
            <w:tcW w:w="2164" w:type="dxa"/>
            <w:tcBorders>
              <w:top w:val="single" w:sz="6" w:space="0" w:color="019648"/>
              <w:left w:val="nil"/>
              <w:bottom w:val="single" w:sz="6" w:space="0" w:color="019648"/>
              <w:right w:val="nil"/>
            </w:tcBorders>
          </w:tcPr>
          <w:p w14:paraId="7D526C6F" w14:textId="1F339EC0" w:rsidR="004178B8" w:rsidRPr="003623F6" w:rsidRDefault="0094623E" w:rsidP="004178B8">
            <w:pPr>
              <w:pStyle w:val="TableParagraph"/>
              <w:ind w:left="133"/>
              <w:rPr>
                <w:sz w:val="18"/>
                <w:szCs w:val="18"/>
                <w:lang w:val="uk-UA"/>
              </w:rPr>
            </w:pPr>
            <w:proofErr w:type="spellStart"/>
            <w:r>
              <w:rPr>
                <w:sz w:val="18"/>
                <w:szCs w:val="18"/>
                <w:lang w:val="uk-UA"/>
              </w:rPr>
              <w:t>Ходжун</w:t>
            </w:r>
            <w:proofErr w:type="spellEnd"/>
            <w:r>
              <w:rPr>
                <w:sz w:val="18"/>
                <w:szCs w:val="18"/>
                <w:lang w:val="uk-UA"/>
              </w:rPr>
              <w:t xml:space="preserve"> Сон</w:t>
            </w:r>
          </w:p>
        </w:tc>
        <w:tc>
          <w:tcPr>
            <w:tcW w:w="4535" w:type="dxa"/>
            <w:tcBorders>
              <w:top w:val="single" w:sz="6" w:space="0" w:color="019648"/>
              <w:left w:val="nil"/>
              <w:bottom w:val="single" w:sz="6" w:space="0" w:color="019648"/>
              <w:right w:val="nil"/>
            </w:tcBorders>
          </w:tcPr>
          <w:p w14:paraId="5E16E172" w14:textId="1B595222"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71" w:type="dxa"/>
            <w:tcBorders>
              <w:top w:val="single" w:sz="6" w:space="0" w:color="019648"/>
              <w:left w:val="nil"/>
              <w:bottom w:val="single" w:sz="6" w:space="0" w:color="019648"/>
              <w:right w:val="nil"/>
            </w:tcBorders>
          </w:tcPr>
          <w:p w14:paraId="2ED3CDD3" w14:textId="6A615EAC" w:rsidR="004178B8" w:rsidRPr="003623F6" w:rsidRDefault="004178B8" w:rsidP="004178B8">
            <w:pPr>
              <w:pStyle w:val="TableParagraph"/>
              <w:ind w:left="124"/>
              <w:rPr>
                <w:sz w:val="18"/>
                <w:szCs w:val="18"/>
                <w:lang w:val="uk-UA"/>
              </w:rPr>
            </w:pPr>
            <w:r w:rsidRPr="003623F6">
              <w:rPr>
                <w:w w:val="105"/>
                <w:sz w:val="18"/>
                <w:szCs w:val="18"/>
                <w:lang w:val="uk-UA"/>
              </w:rPr>
              <w:t>Відсутність конфлікту інтересів</w:t>
            </w:r>
          </w:p>
        </w:tc>
      </w:tr>
      <w:tr w:rsidR="004178B8" w:rsidRPr="003623F6" w14:paraId="71F53F43" w14:textId="77777777">
        <w:trPr>
          <w:trHeight w:val="387"/>
        </w:trPr>
        <w:tc>
          <w:tcPr>
            <w:tcW w:w="2164" w:type="dxa"/>
            <w:tcBorders>
              <w:top w:val="single" w:sz="6" w:space="0" w:color="019648"/>
              <w:left w:val="nil"/>
              <w:bottom w:val="single" w:sz="6" w:space="0" w:color="019648"/>
              <w:right w:val="nil"/>
            </w:tcBorders>
          </w:tcPr>
          <w:p w14:paraId="24EB17EE" w14:textId="651925DC" w:rsidR="004178B8" w:rsidRPr="003623F6" w:rsidRDefault="0094623E" w:rsidP="004178B8">
            <w:pPr>
              <w:pStyle w:val="TableParagraph"/>
              <w:ind w:left="133"/>
              <w:rPr>
                <w:sz w:val="18"/>
                <w:szCs w:val="18"/>
                <w:lang w:val="uk-UA"/>
              </w:rPr>
            </w:pPr>
            <w:proofErr w:type="spellStart"/>
            <w:r>
              <w:rPr>
                <w:spacing w:val="-5"/>
                <w:sz w:val="18"/>
                <w:szCs w:val="18"/>
                <w:lang w:val="uk-UA"/>
              </w:rPr>
              <w:t>Сабіра</w:t>
            </w:r>
            <w:proofErr w:type="spellEnd"/>
            <w:r>
              <w:rPr>
                <w:spacing w:val="-5"/>
                <w:sz w:val="18"/>
                <w:szCs w:val="18"/>
                <w:lang w:val="uk-UA"/>
              </w:rPr>
              <w:t xml:space="preserve"> </w:t>
            </w:r>
            <w:proofErr w:type="spellStart"/>
            <w:r>
              <w:rPr>
                <w:spacing w:val="-5"/>
                <w:sz w:val="18"/>
                <w:szCs w:val="18"/>
                <w:lang w:val="uk-UA"/>
              </w:rPr>
              <w:t>Тахсін</w:t>
            </w:r>
            <w:proofErr w:type="spellEnd"/>
          </w:p>
        </w:tc>
        <w:tc>
          <w:tcPr>
            <w:tcW w:w="4535" w:type="dxa"/>
            <w:tcBorders>
              <w:top w:val="single" w:sz="6" w:space="0" w:color="019648"/>
              <w:left w:val="nil"/>
              <w:bottom w:val="single" w:sz="6" w:space="0" w:color="019648"/>
              <w:right w:val="nil"/>
            </w:tcBorders>
          </w:tcPr>
          <w:p w14:paraId="6A01BBB5" w14:textId="30A112F6"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71" w:type="dxa"/>
            <w:tcBorders>
              <w:top w:val="single" w:sz="6" w:space="0" w:color="019648"/>
              <w:left w:val="nil"/>
              <w:bottom w:val="single" w:sz="6" w:space="0" w:color="019648"/>
              <w:right w:val="nil"/>
            </w:tcBorders>
          </w:tcPr>
          <w:p w14:paraId="5F8AFC13" w14:textId="3FB72472" w:rsidR="004178B8" w:rsidRPr="003623F6" w:rsidRDefault="004178B8" w:rsidP="004178B8">
            <w:pPr>
              <w:pStyle w:val="TableParagraph"/>
              <w:ind w:left="124"/>
              <w:rPr>
                <w:sz w:val="18"/>
                <w:szCs w:val="18"/>
                <w:lang w:val="uk-UA"/>
              </w:rPr>
            </w:pPr>
            <w:r w:rsidRPr="003623F6">
              <w:rPr>
                <w:w w:val="105"/>
                <w:sz w:val="18"/>
                <w:szCs w:val="18"/>
                <w:lang w:val="uk-UA"/>
              </w:rPr>
              <w:t>Відсутність конфлікту інтересів</w:t>
            </w:r>
          </w:p>
        </w:tc>
      </w:tr>
      <w:tr w:rsidR="00E05B98" w:rsidRPr="003623F6" w14:paraId="79374749" w14:textId="77777777">
        <w:trPr>
          <w:trHeight w:val="1427"/>
        </w:trPr>
        <w:tc>
          <w:tcPr>
            <w:tcW w:w="2164" w:type="dxa"/>
            <w:tcBorders>
              <w:top w:val="single" w:sz="6" w:space="0" w:color="019648"/>
              <w:left w:val="nil"/>
              <w:bottom w:val="single" w:sz="6" w:space="0" w:color="019648"/>
              <w:right w:val="nil"/>
            </w:tcBorders>
          </w:tcPr>
          <w:p w14:paraId="6888EFCA" w14:textId="78E94111" w:rsidR="00E05B98" w:rsidRPr="003623F6" w:rsidRDefault="0094623E">
            <w:pPr>
              <w:pStyle w:val="TableParagraph"/>
              <w:spacing w:line="249" w:lineRule="auto"/>
              <w:ind w:left="133" w:right="249"/>
              <w:rPr>
                <w:sz w:val="18"/>
                <w:szCs w:val="18"/>
                <w:lang w:val="uk-UA"/>
              </w:rPr>
            </w:pPr>
            <w:proofErr w:type="spellStart"/>
            <w:r>
              <w:rPr>
                <w:spacing w:val="-6"/>
                <w:sz w:val="18"/>
                <w:szCs w:val="18"/>
                <w:lang w:val="uk-UA"/>
              </w:rPr>
              <w:t>Еціо</w:t>
            </w:r>
            <w:proofErr w:type="spellEnd"/>
            <w:r>
              <w:rPr>
                <w:spacing w:val="-6"/>
                <w:sz w:val="18"/>
                <w:szCs w:val="18"/>
                <w:lang w:val="uk-UA"/>
              </w:rPr>
              <w:t xml:space="preserve"> </w:t>
            </w:r>
            <w:proofErr w:type="spellStart"/>
            <w:r>
              <w:rPr>
                <w:spacing w:val="-6"/>
                <w:sz w:val="18"/>
                <w:szCs w:val="18"/>
                <w:lang w:val="uk-UA"/>
              </w:rPr>
              <w:t>Тавора</w:t>
            </w:r>
            <w:proofErr w:type="spellEnd"/>
            <w:r>
              <w:rPr>
                <w:spacing w:val="-6"/>
                <w:sz w:val="18"/>
                <w:szCs w:val="18"/>
                <w:lang w:val="uk-UA"/>
              </w:rPr>
              <w:t xml:space="preserve"> </w:t>
            </w:r>
            <w:proofErr w:type="spellStart"/>
            <w:r>
              <w:rPr>
                <w:spacing w:val="-6"/>
                <w:sz w:val="18"/>
                <w:szCs w:val="18"/>
                <w:lang w:val="uk-UA"/>
              </w:rPr>
              <w:t>дос</w:t>
            </w:r>
            <w:proofErr w:type="spellEnd"/>
            <w:r>
              <w:rPr>
                <w:spacing w:val="-6"/>
                <w:sz w:val="18"/>
                <w:szCs w:val="18"/>
                <w:lang w:val="uk-UA"/>
              </w:rPr>
              <w:t xml:space="preserve"> Сантос</w:t>
            </w:r>
          </w:p>
        </w:tc>
        <w:tc>
          <w:tcPr>
            <w:tcW w:w="4535" w:type="dxa"/>
            <w:tcBorders>
              <w:top w:val="single" w:sz="6" w:space="0" w:color="019648"/>
              <w:left w:val="nil"/>
              <w:bottom w:val="single" w:sz="6" w:space="0" w:color="019648"/>
              <w:right w:val="nil"/>
            </w:tcBorders>
          </w:tcPr>
          <w:p w14:paraId="6863FB5C" w14:textId="2629CA4D" w:rsidR="00E05B98" w:rsidRPr="003623F6" w:rsidRDefault="008C0839">
            <w:pPr>
              <w:pStyle w:val="TableParagraph"/>
              <w:spacing w:line="249" w:lineRule="auto"/>
              <w:rPr>
                <w:sz w:val="18"/>
                <w:szCs w:val="18"/>
                <w:lang w:val="uk-UA"/>
              </w:rPr>
            </w:pPr>
            <w:r w:rsidRPr="008C0839">
              <w:rPr>
                <w:w w:val="105"/>
                <w:sz w:val="18"/>
                <w:szCs w:val="18"/>
                <w:lang w:val="uk-UA"/>
              </w:rPr>
              <w:t>Як правозахисник і дослідник, який працює у сфері залучення громадськості до досліджень і вдосконалення політики, результати цієї роботи можуть потенційно принести користь громаді, з якою він співпрацює.</w:t>
            </w:r>
          </w:p>
        </w:tc>
        <w:tc>
          <w:tcPr>
            <w:tcW w:w="2371" w:type="dxa"/>
            <w:tcBorders>
              <w:top w:val="single" w:sz="6" w:space="0" w:color="019648"/>
              <w:left w:val="nil"/>
              <w:bottom w:val="single" w:sz="6" w:space="0" w:color="019648"/>
              <w:right w:val="nil"/>
            </w:tcBorders>
          </w:tcPr>
          <w:p w14:paraId="5EAEF699" w14:textId="30CE89F4" w:rsidR="00E05B98" w:rsidRPr="003623F6" w:rsidRDefault="004178B8" w:rsidP="004178B8">
            <w:pPr>
              <w:pStyle w:val="TableParagraph"/>
              <w:spacing w:line="249" w:lineRule="auto"/>
              <w:ind w:left="124" w:right="156"/>
              <w:rPr>
                <w:sz w:val="18"/>
                <w:szCs w:val="18"/>
                <w:lang w:val="uk-UA"/>
              </w:rPr>
            </w:pPr>
            <w:r w:rsidRPr="003623F6">
              <w:rPr>
                <w:w w:val="105"/>
                <w:sz w:val="18"/>
                <w:szCs w:val="18"/>
                <w:lang w:val="uk-UA"/>
              </w:rPr>
              <w:t>Незначний конфлікт інтересів</w:t>
            </w:r>
          </w:p>
        </w:tc>
      </w:tr>
      <w:tr w:rsidR="00E05B98" w:rsidRPr="003623F6" w14:paraId="5A716696" w14:textId="77777777">
        <w:trPr>
          <w:trHeight w:val="647"/>
        </w:trPr>
        <w:tc>
          <w:tcPr>
            <w:tcW w:w="2164" w:type="dxa"/>
            <w:tcBorders>
              <w:top w:val="single" w:sz="6" w:space="0" w:color="019648"/>
              <w:left w:val="nil"/>
              <w:bottom w:val="single" w:sz="6" w:space="0" w:color="019648"/>
              <w:right w:val="nil"/>
            </w:tcBorders>
          </w:tcPr>
          <w:p w14:paraId="58B6B773" w14:textId="38CB0C27" w:rsidR="00E05B98" w:rsidRPr="003623F6" w:rsidRDefault="0094623E">
            <w:pPr>
              <w:pStyle w:val="TableParagraph"/>
              <w:spacing w:line="249" w:lineRule="auto"/>
              <w:ind w:left="133" w:right="249"/>
              <w:rPr>
                <w:sz w:val="18"/>
                <w:szCs w:val="18"/>
                <w:lang w:val="uk-UA"/>
              </w:rPr>
            </w:pPr>
            <w:proofErr w:type="spellStart"/>
            <w:r>
              <w:rPr>
                <w:sz w:val="18"/>
                <w:szCs w:val="18"/>
                <w:lang w:val="uk-UA"/>
              </w:rPr>
              <w:t>Нгуен</w:t>
            </w:r>
            <w:proofErr w:type="spellEnd"/>
            <w:r>
              <w:rPr>
                <w:sz w:val="18"/>
                <w:szCs w:val="18"/>
                <w:lang w:val="uk-UA"/>
              </w:rPr>
              <w:t xml:space="preserve"> </w:t>
            </w:r>
            <w:proofErr w:type="spellStart"/>
            <w:r>
              <w:rPr>
                <w:sz w:val="18"/>
                <w:szCs w:val="18"/>
                <w:lang w:val="uk-UA"/>
              </w:rPr>
              <w:t>В</w:t>
            </w:r>
            <w:r w:rsidR="00EB6C68">
              <w:rPr>
                <w:sz w:val="18"/>
                <w:szCs w:val="18"/>
                <w:lang w:val="uk-UA"/>
              </w:rPr>
              <w:t>’</w:t>
            </w:r>
            <w:r>
              <w:rPr>
                <w:sz w:val="18"/>
                <w:szCs w:val="18"/>
                <w:lang w:val="uk-UA"/>
              </w:rPr>
              <w:t>єт</w:t>
            </w:r>
            <w:proofErr w:type="spellEnd"/>
            <w:r>
              <w:rPr>
                <w:sz w:val="18"/>
                <w:szCs w:val="18"/>
                <w:lang w:val="uk-UA"/>
              </w:rPr>
              <w:t xml:space="preserve"> </w:t>
            </w:r>
            <w:proofErr w:type="spellStart"/>
            <w:r>
              <w:rPr>
                <w:sz w:val="18"/>
                <w:szCs w:val="18"/>
                <w:lang w:val="uk-UA"/>
              </w:rPr>
              <w:t>Нхунг</w:t>
            </w:r>
            <w:proofErr w:type="spellEnd"/>
          </w:p>
        </w:tc>
        <w:tc>
          <w:tcPr>
            <w:tcW w:w="4535" w:type="dxa"/>
            <w:tcBorders>
              <w:top w:val="single" w:sz="6" w:space="0" w:color="019648"/>
              <w:left w:val="nil"/>
              <w:bottom w:val="single" w:sz="6" w:space="0" w:color="019648"/>
              <w:right w:val="nil"/>
            </w:tcBorders>
          </w:tcPr>
          <w:p w14:paraId="74A8A166" w14:textId="066893B4" w:rsidR="00E05B98" w:rsidRPr="003623F6" w:rsidRDefault="0029215F">
            <w:pPr>
              <w:pStyle w:val="TableParagraph"/>
              <w:rPr>
                <w:sz w:val="18"/>
                <w:szCs w:val="18"/>
                <w:lang w:val="uk-UA"/>
              </w:rPr>
            </w:pPr>
            <w:r w:rsidRPr="003623F6">
              <w:rPr>
                <w:sz w:val="18"/>
                <w:szCs w:val="18"/>
                <w:lang w:val="uk-UA"/>
              </w:rPr>
              <w:t>Не задекларовано жодного</w:t>
            </w:r>
          </w:p>
        </w:tc>
        <w:tc>
          <w:tcPr>
            <w:tcW w:w="2371" w:type="dxa"/>
            <w:tcBorders>
              <w:top w:val="single" w:sz="6" w:space="0" w:color="019648"/>
              <w:left w:val="nil"/>
              <w:bottom w:val="single" w:sz="6" w:space="0" w:color="019648"/>
              <w:right w:val="nil"/>
            </w:tcBorders>
          </w:tcPr>
          <w:p w14:paraId="0444B21B" w14:textId="7C238510" w:rsidR="00E05B98" w:rsidRPr="003623F6" w:rsidRDefault="004178B8">
            <w:pPr>
              <w:pStyle w:val="TableParagraph"/>
              <w:ind w:left="124"/>
              <w:rPr>
                <w:sz w:val="18"/>
                <w:szCs w:val="18"/>
                <w:lang w:val="uk-UA"/>
              </w:rPr>
            </w:pPr>
            <w:r w:rsidRPr="003623F6">
              <w:rPr>
                <w:w w:val="105"/>
                <w:sz w:val="18"/>
                <w:szCs w:val="18"/>
                <w:lang w:val="uk-UA"/>
              </w:rPr>
              <w:t>Відсутність конфлікту інтересів</w:t>
            </w:r>
          </w:p>
        </w:tc>
      </w:tr>
      <w:tr w:rsidR="00E05B98" w:rsidRPr="003623F6" w14:paraId="4F495903" w14:textId="77777777">
        <w:trPr>
          <w:trHeight w:val="907"/>
        </w:trPr>
        <w:tc>
          <w:tcPr>
            <w:tcW w:w="2164" w:type="dxa"/>
            <w:tcBorders>
              <w:top w:val="single" w:sz="6" w:space="0" w:color="019648"/>
              <w:left w:val="nil"/>
              <w:bottom w:val="single" w:sz="6" w:space="0" w:color="019648"/>
              <w:right w:val="nil"/>
            </w:tcBorders>
          </w:tcPr>
          <w:p w14:paraId="4B796BD9" w14:textId="505ABF08" w:rsidR="00E05B98" w:rsidRPr="003623F6" w:rsidRDefault="0094623E">
            <w:pPr>
              <w:pStyle w:val="TableParagraph"/>
              <w:ind w:left="133"/>
              <w:rPr>
                <w:sz w:val="18"/>
                <w:szCs w:val="18"/>
                <w:lang w:val="uk-UA"/>
              </w:rPr>
            </w:pPr>
            <w:proofErr w:type="spellStart"/>
            <w:r>
              <w:rPr>
                <w:spacing w:val="-2"/>
                <w:sz w:val="18"/>
                <w:szCs w:val="18"/>
                <w:lang w:val="uk-UA"/>
              </w:rPr>
              <w:t>Елізабетта</w:t>
            </w:r>
            <w:proofErr w:type="spellEnd"/>
            <w:r>
              <w:rPr>
                <w:spacing w:val="-2"/>
                <w:sz w:val="18"/>
                <w:szCs w:val="18"/>
                <w:lang w:val="uk-UA"/>
              </w:rPr>
              <w:t xml:space="preserve"> </w:t>
            </w:r>
            <w:proofErr w:type="spellStart"/>
            <w:r>
              <w:rPr>
                <w:spacing w:val="-2"/>
                <w:sz w:val="18"/>
                <w:szCs w:val="18"/>
                <w:lang w:val="uk-UA"/>
              </w:rPr>
              <w:t>Уолтерс</w:t>
            </w:r>
            <w:proofErr w:type="spellEnd"/>
          </w:p>
        </w:tc>
        <w:tc>
          <w:tcPr>
            <w:tcW w:w="4535" w:type="dxa"/>
            <w:tcBorders>
              <w:top w:val="single" w:sz="6" w:space="0" w:color="019648"/>
              <w:left w:val="nil"/>
              <w:bottom w:val="single" w:sz="6" w:space="0" w:color="019648"/>
              <w:right w:val="nil"/>
            </w:tcBorders>
          </w:tcPr>
          <w:p w14:paraId="0C2B3821" w14:textId="22CE31A9" w:rsidR="00E05B98" w:rsidRPr="003623F6" w:rsidRDefault="008C0839">
            <w:pPr>
              <w:pStyle w:val="TableParagraph"/>
              <w:spacing w:line="249" w:lineRule="auto"/>
              <w:ind w:right="284"/>
              <w:rPr>
                <w:sz w:val="18"/>
                <w:szCs w:val="18"/>
                <w:lang w:val="uk-UA"/>
              </w:rPr>
            </w:pPr>
            <w:r w:rsidRPr="008C0839">
              <w:rPr>
                <w:sz w:val="18"/>
                <w:szCs w:val="18"/>
                <w:lang w:val="uk-UA"/>
              </w:rPr>
              <w:t xml:space="preserve">Робота: Університет </w:t>
            </w:r>
            <w:proofErr w:type="spellStart"/>
            <w:r w:rsidRPr="008C0839">
              <w:rPr>
                <w:sz w:val="18"/>
                <w:szCs w:val="18"/>
                <w:lang w:val="uk-UA"/>
              </w:rPr>
              <w:t>Стелленбоша</w:t>
            </w:r>
            <w:proofErr w:type="spellEnd"/>
            <w:r w:rsidRPr="008C0839">
              <w:rPr>
                <w:sz w:val="18"/>
                <w:szCs w:val="18"/>
                <w:lang w:val="uk-UA"/>
              </w:rPr>
              <w:t>, Південна Африка, немає досліджень, які б оцінювали або використовували технології цільового СНП</w:t>
            </w:r>
          </w:p>
        </w:tc>
        <w:tc>
          <w:tcPr>
            <w:tcW w:w="2371" w:type="dxa"/>
            <w:tcBorders>
              <w:top w:val="single" w:sz="6" w:space="0" w:color="019648"/>
              <w:left w:val="nil"/>
              <w:bottom w:val="single" w:sz="6" w:space="0" w:color="019648"/>
              <w:right w:val="nil"/>
            </w:tcBorders>
          </w:tcPr>
          <w:p w14:paraId="71150AB9" w14:textId="39B0302D" w:rsidR="00E05B98" w:rsidRPr="003623F6" w:rsidRDefault="004178B8" w:rsidP="004178B8">
            <w:pPr>
              <w:pStyle w:val="TableParagraph"/>
              <w:spacing w:line="249" w:lineRule="auto"/>
              <w:ind w:left="124" w:right="15"/>
              <w:rPr>
                <w:sz w:val="18"/>
                <w:szCs w:val="18"/>
                <w:lang w:val="uk-UA"/>
              </w:rPr>
            </w:pPr>
            <w:r w:rsidRPr="003623F6">
              <w:rPr>
                <w:w w:val="105"/>
                <w:sz w:val="18"/>
                <w:szCs w:val="18"/>
                <w:lang w:val="uk-UA"/>
              </w:rPr>
              <w:t>Незначний конфлікт інтересів</w:t>
            </w:r>
          </w:p>
        </w:tc>
      </w:tr>
      <w:tr w:rsidR="00E05B98" w:rsidRPr="003623F6" w14:paraId="07D092D2" w14:textId="77777777">
        <w:trPr>
          <w:trHeight w:val="387"/>
        </w:trPr>
        <w:tc>
          <w:tcPr>
            <w:tcW w:w="2164" w:type="dxa"/>
            <w:tcBorders>
              <w:top w:val="single" w:sz="6" w:space="0" w:color="019648"/>
              <w:left w:val="nil"/>
              <w:bottom w:val="single" w:sz="6" w:space="0" w:color="019648"/>
              <w:right w:val="nil"/>
            </w:tcBorders>
          </w:tcPr>
          <w:p w14:paraId="4BE8A108" w14:textId="28C0E0D0" w:rsidR="00E05B98" w:rsidRPr="003623F6" w:rsidRDefault="0094623E">
            <w:pPr>
              <w:pStyle w:val="TableParagraph"/>
              <w:ind w:left="133"/>
              <w:rPr>
                <w:sz w:val="18"/>
                <w:szCs w:val="18"/>
                <w:lang w:val="uk-UA"/>
              </w:rPr>
            </w:pPr>
            <w:proofErr w:type="spellStart"/>
            <w:r>
              <w:rPr>
                <w:sz w:val="18"/>
                <w:szCs w:val="18"/>
                <w:lang w:val="uk-UA"/>
              </w:rPr>
              <w:t>Яньлінь</w:t>
            </w:r>
            <w:proofErr w:type="spellEnd"/>
            <w:r>
              <w:rPr>
                <w:sz w:val="18"/>
                <w:szCs w:val="18"/>
                <w:lang w:val="uk-UA"/>
              </w:rPr>
              <w:t xml:space="preserve"> </w:t>
            </w:r>
            <w:proofErr w:type="spellStart"/>
            <w:r>
              <w:rPr>
                <w:sz w:val="18"/>
                <w:szCs w:val="18"/>
                <w:lang w:val="uk-UA"/>
              </w:rPr>
              <w:t>Чжао</w:t>
            </w:r>
            <w:proofErr w:type="spellEnd"/>
          </w:p>
        </w:tc>
        <w:tc>
          <w:tcPr>
            <w:tcW w:w="4535" w:type="dxa"/>
            <w:tcBorders>
              <w:top w:val="single" w:sz="6" w:space="0" w:color="019648"/>
              <w:left w:val="nil"/>
              <w:bottom w:val="single" w:sz="6" w:space="0" w:color="019648"/>
              <w:right w:val="nil"/>
            </w:tcBorders>
          </w:tcPr>
          <w:p w14:paraId="36767AB0" w14:textId="44403435" w:rsidR="00E05B98" w:rsidRPr="003623F6" w:rsidRDefault="0029215F">
            <w:pPr>
              <w:pStyle w:val="TableParagraph"/>
              <w:rPr>
                <w:sz w:val="18"/>
                <w:szCs w:val="18"/>
                <w:lang w:val="uk-UA"/>
              </w:rPr>
            </w:pPr>
            <w:r w:rsidRPr="003623F6">
              <w:rPr>
                <w:sz w:val="18"/>
                <w:szCs w:val="18"/>
                <w:lang w:val="uk-UA"/>
              </w:rPr>
              <w:t>Не задекларовано жодного</w:t>
            </w:r>
          </w:p>
        </w:tc>
        <w:tc>
          <w:tcPr>
            <w:tcW w:w="2371" w:type="dxa"/>
            <w:tcBorders>
              <w:top w:val="single" w:sz="6" w:space="0" w:color="019648"/>
              <w:left w:val="nil"/>
              <w:bottom w:val="single" w:sz="6" w:space="0" w:color="019648"/>
              <w:right w:val="nil"/>
            </w:tcBorders>
          </w:tcPr>
          <w:p w14:paraId="7A4D700D" w14:textId="224E83B0" w:rsidR="00E05B98" w:rsidRPr="003623F6" w:rsidRDefault="004178B8">
            <w:pPr>
              <w:pStyle w:val="TableParagraph"/>
              <w:ind w:left="124"/>
              <w:rPr>
                <w:sz w:val="18"/>
                <w:szCs w:val="18"/>
                <w:lang w:val="uk-UA"/>
              </w:rPr>
            </w:pPr>
            <w:r w:rsidRPr="003623F6">
              <w:rPr>
                <w:w w:val="105"/>
                <w:sz w:val="18"/>
                <w:szCs w:val="18"/>
                <w:lang w:val="uk-UA"/>
              </w:rPr>
              <w:t>Відсутність конфлікту інтересів</w:t>
            </w:r>
          </w:p>
        </w:tc>
      </w:tr>
    </w:tbl>
    <w:p w14:paraId="679D2B93" w14:textId="77777777" w:rsidR="00E05B98" w:rsidRPr="003623F6" w:rsidRDefault="00E05B98">
      <w:pPr>
        <w:pStyle w:val="a3"/>
        <w:spacing w:before="74"/>
        <w:rPr>
          <w:rFonts w:ascii="Arial"/>
          <w:b/>
          <w:sz w:val="18"/>
          <w:szCs w:val="18"/>
          <w:lang w:val="uk-UA"/>
        </w:rPr>
      </w:pPr>
    </w:p>
    <w:p w14:paraId="139D8377" w14:textId="3AF78946" w:rsidR="00E05B98" w:rsidRPr="003623F6" w:rsidRDefault="00BA55DB">
      <w:pPr>
        <w:spacing w:line="254" w:lineRule="auto"/>
        <w:ind w:left="567" w:right="139"/>
        <w:jc w:val="both"/>
        <w:rPr>
          <w:sz w:val="18"/>
          <w:szCs w:val="18"/>
          <w:lang w:val="uk-UA"/>
        </w:rPr>
      </w:pPr>
      <w:r w:rsidRPr="00BA55DB">
        <w:rPr>
          <w:w w:val="105"/>
          <w:sz w:val="18"/>
          <w:szCs w:val="18"/>
          <w:lang w:val="uk-UA"/>
        </w:rPr>
        <w:t>EUCAST: Європейський комітет з тестування чутливості до протимікробних препаратів; FIND: Фонд інноваційних нових методів діагностики; ГРН: Група з розробки настанов; Глобальний фонд: Глобальний фонд для боротьби зі СНІДом, туберкульозом та малярією; IMI: Ініціатива з інноваційних лікарських засобів; LAM: тест на ліпоарабіноманнановий антиген; СНП: секвенування наступного покоління; ТБ: туберкульоз; Велика Британія: Сполучене Королівство Великої Британії та Північної Ірландії; USAID: Агентство США з міжнародного розвитку; US CDC: Центри з контролю та профілактики захворювань США; ВООЗ: Всесвітня організація охорони здоров'я.</w:t>
      </w:r>
    </w:p>
    <w:p w14:paraId="1CC936A3" w14:textId="77777777" w:rsidR="00E05B98" w:rsidRPr="003623F6" w:rsidRDefault="00E05B98">
      <w:pPr>
        <w:spacing w:line="254" w:lineRule="auto"/>
        <w:jc w:val="both"/>
        <w:rPr>
          <w:sz w:val="18"/>
          <w:szCs w:val="18"/>
          <w:lang w:val="uk-UA"/>
        </w:rPr>
        <w:sectPr w:rsidR="00E05B98" w:rsidRPr="003623F6">
          <w:type w:val="continuous"/>
          <w:pgSz w:w="11910" w:h="16840"/>
          <w:pgMar w:top="1380" w:right="1275" w:bottom="760" w:left="850" w:header="0" w:footer="573" w:gutter="0"/>
          <w:cols w:space="720"/>
        </w:sectPr>
      </w:pPr>
    </w:p>
    <w:p w14:paraId="6E41CCD9" w14:textId="0F01372F" w:rsidR="00E05B98" w:rsidRPr="00BA55DB" w:rsidRDefault="00BA55DB">
      <w:pPr>
        <w:pStyle w:val="6"/>
        <w:spacing w:line="249" w:lineRule="auto"/>
        <w:ind w:right="141"/>
        <w:jc w:val="both"/>
        <w:rPr>
          <w:sz w:val="20"/>
          <w:szCs w:val="20"/>
          <w:lang w:val="uk-UA"/>
        </w:rPr>
      </w:pPr>
      <w:r>
        <w:rPr>
          <w:color w:val="636466"/>
          <w:sz w:val="20"/>
          <w:szCs w:val="20"/>
          <w:lang w:val="uk-UA"/>
        </w:rPr>
        <w:lastRenderedPageBreak/>
        <w:t>Таблиця</w:t>
      </w:r>
      <w:r w:rsidR="00B01E0C" w:rsidRPr="00BA55DB">
        <w:rPr>
          <w:color w:val="636466"/>
          <w:sz w:val="20"/>
          <w:szCs w:val="20"/>
          <w:lang w:val="uk-UA"/>
        </w:rPr>
        <w:t xml:space="preserve"> A.2.4. </w:t>
      </w:r>
      <w:r w:rsidR="001022A6" w:rsidRPr="001022A6">
        <w:rPr>
          <w:color w:val="636466"/>
          <w:sz w:val="20"/>
          <w:szCs w:val="20"/>
          <w:lang w:val="uk-UA"/>
        </w:rPr>
        <w:t>Короткий виклад заяв про декларації інтересів</w:t>
      </w:r>
      <w:r w:rsidRPr="00BA55DB">
        <w:rPr>
          <w:color w:val="636466"/>
          <w:sz w:val="20"/>
          <w:szCs w:val="20"/>
          <w:lang w:val="uk-UA"/>
        </w:rPr>
        <w:t xml:space="preserve"> членів </w:t>
      </w:r>
      <w:r w:rsidR="00C141C1">
        <w:rPr>
          <w:color w:val="636466"/>
          <w:sz w:val="20"/>
          <w:szCs w:val="20"/>
          <w:lang w:val="uk-UA"/>
        </w:rPr>
        <w:t>Групи зовнішніх експертів з огляду настанов</w:t>
      </w:r>
      <w:r w:rsidRPr="00BA55DB">
        <w:rPr>
          <w:color w:val="636466"/>
          <w:sz w:val="20"/>
          <w:szCs w:val="20"/>
          <w:lang w:val="uk-UA"/>
        </w:rPr>
        <w:t>: «</w:t>
      </w:r>
      <w:r w:rsidR="008A2EFE">
        <w:rPr>
          <w:color w:val="636466"/>
          <w:sz w:val="20"/>
          <w:szCs w:val="20"/>
          <w:lang w:val="uk-UA"/>
        </w:rPr>
        <w:t>Таргетне</w:t>
      </w:r>
      <w:r w:rsidRPr="00BA55DB">
        <w:rPr>
          <w:color w:val="636466"/>
          <w:sz w:val="20"/>
          <w:szCs w:val="20"/>
          <w:lang w:val="uk-UA"/>
        </w:rPr>
        <w:t xml:space="preserve"> секвенування наступного покоління»</w:t>
      </w:r>
      <w:r w:rsidR="00D23BEF">
        <w:rPr>
          <w:color w:val="636466"/>
          <w:sz w:val="20"/>
          <w:szCs w:val="20"/>
          <w:lang w:val="uk-UA"/>
        </w:rPr>
        <w:t>,</w:t>
      </w:r>
      <w:r w:rsidRPr="00BA55DB">
        <w:rPr>
          <w:color w:val="636466"/>
          <w:sz w:val="20"/>
          <w:szCs w:val="20"/>
          <w:lang w:val="uk-UA"/>
        </w:rPr>
        <w:t xml:space="preserve"> 2–5 </w:t>
      </w:r>
      <w:r w:rsidR="00AB60F3">
        <w:rPr>
          <w:color w:val="636466"/>
          <w:sz w:val="20"/>
          <w:szCs w:val="20"/>
          <w:lang w:val="uk-UA"/>
        </w:rPr>
        <w:t>травня</w:t>
      </w:r>
      <w:r w:rsidRPr="00BA55DB">
        <w:rPr>
          <w:color w:val="636466"/>
          <w:sz w:val="20"/>
          <w:szCs w:val="20"/>
          <w:lang w:val="uk-UA"/>
        </w:rPr>
        <w:t xml:space="preserve"> 2023 </w:t>
      </w:r>
      <w:r w:rsidR="00F77588">
        <w:rPr>
          <w:color w:val="636466"/>
          <w:sz w:val="20"/>
          <w:szCs w:val="20"/>
          <w:lang w:val="uk-UA"/>
        </w:rPr>
        <w:t>р</w:t>
      </w:r>
      <w:r w:rsidRPr="00BA55DB">
        <w:rPr>
          <w:color w:val="636466"/>
          <w:sz w:val="20"/>
          <w:szCs w:val="20"/>
          <w:lang w:val="uk-UA"/>
        </w:rPr>
        <w:t>.</w:t>
      </w:r>
    </w:p>
    <w:p w14:paraId="6D5CA587" w14:textId="77777777" w:rsidR="00E05B98" w:rsidRPr="003623F6" w:rsidRDefault="00E05B98">
      <w:pPr>
        <w:pStyle w:val="a3"/>
        <w:spacing w:before="5"/>
        <w:rPr>
          <w:rFonts w:ascii="Arial"/>
          <w:b/>
          <w:sz w:val="18"/>
          <w:szCs w:val="18"/>
          <w:lang w:val="uk-UA"/>
        </w:rPr>
      </w:pPr>
    </w:p>
    <w:tbl>
      <w:tblPr>
        <w:tblStyle w:val="TableNormal"/>
        <w:tblW w:w="0" w:type="auto"/>
        <w:tblInd w:w="57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2164"/>
        <w:gridCol w:w="4535"/>
        <w:gridCol w:w="2388"/>
      </w:tblGrid>
      <w:tr w:rsidR="003623F6" w:rsidRPr="003623F6" w14:paraId="2AA39A48" w14:textId="77777777">
        <w:trPr>
          <w:trHeight w:val="430"/>
        </w:trPr>
        <w:tc>
          <w:tcPr>
            <w:tcW w:w="2164" w:type="dxa"/>
            <w:tcBorders>
              <w:bottom w:val="single" w:sz="6" w:space="0" w:color="019648"/>
              <w:right w:val="single" w:sz="6" w:space="0" w:color="019648"/>
            </w:tcBorders>
            <w:shd w:val="clear" w:color="auto" w:fill="62A86B"/>
          </w:tcPr>
          <w:p w14:paraId="16472042" w14:textId="1026A9DD" w:rsidR="003623F6" w:rsidRPr="003623F6" w:rsidRDefault="003623F6" w:rsidP="003623F6">
            <w:pPr>
              <w:pStyle w:val="TableParagraph"/>
              <w:spacing w:before="95"/>
              <w:ind w:left="145"/>
              <w:rPr>
                <w:rFonts w:ascii="Arial"/>
                <w:b/>
                <w:sz w:val="18"/>
                <w:szCs w:val="18"/>
                <w:lang w:val="uk-UA"/>
              </w:rPr>
            </w:pPr>
            <w:r w:rsidRPr="003623F6">
              <w:rPr>
                <w:rFonts w:ascii="Arial" w:hAnsi="Arial" w:cs="Arial"/>
                <w:b/>
                <w:color w:val="FFFFFF"/>
                <w:spacing w:val="-9"/>
                <w:sz w:val="18"/>
                <w:szCs w:val="18"/>
                <w:lang w:val="uk-UA"/>
              </w:rPr>
              <w:t>Член ГРН</w:t>
            </w:r>
          </w:p>
        </w:tc>
        <w:tc>
          <w:tcPr>
            <w:tcW w:w="4535" w:type="dxa"/>
            <w:tcBorders>
              <w:left w:val="single" w:sz="6" w:space="0" w:color="019648"/>
              <w:bottom w:val="single" w:sz="6" w:space="0" w:color="019648"/>
              <w:right w:val="single" w:sz="6" w:space="0" w:color="019648"/>
            </w:tcBorders>
            <w:shd w:val="clear" w:color="auto" w:fill="62A86B"/>
          </w:tcPr>
          <w:p w14:paraId="41AD5353" w14:textId="1AD1A789" w:rsidR="003623F6" w:rsidRPr="003623F6" w:rsidRDefault="003623F6" w:rsidP="003623F6">
            <w:pPr>
              <w:pStyle w:val="TableParagraph"/>
              <w:spacing w:before="95"/>
              <w:ind w:left="138"/>
              <w:rPr>
                <w:rFonts w:ascii="Arial"/>
                <w:b/>
                <w:sz w:val="18"/>
                <w:szCs w:val="18"/>
                <w:lang w:val="uk-UA"/>
              </w:rPr>
            </w:pPr>
            <w:r w:rsidRPr="003623F6">
              <w:rPr>
                <w:rFonts w:ascii="Arial" w:hAnsi="Arial" w:cs="Arial"/>
                <w:b/>
                <w:color w:val="FFFFFF"/>
                <w:spacing w:val="-2"/>
                <w:sz w:val="18"/>
                <w:szCs w:val="18"/>
                <w:lang w:val="uk-UA"/>
              </w:rPr>
              <w:t>Задекларовані інтереси</w:t>
            </w:r>
          </w:p>
        </w:tc>
        <w:tc>
          <w:tcPr>
            <w:tcW w:w="2388" w:type="dxa"/>
            <w:tcBorders>
              <w:left w:val="single" w:sz="6" w:space="0" w:color="019648"/>
              <w:bottom w:val="single" w:sz="6" w:space="0" w:color="019648"/>
              <w:right w:val="single" w:sz="6" w:space="0" w:color="019648"/>
            </w:tcBorders>
            <w:shd w:val="clear" w:color="auto" w:fill="62A86B"/>
          </w:tcPr>
          <w:p w14:paraId="31627EB4" w14:textId="583E891D" w:rsidR="003623F6" w:rsidRPr="003623F6" w:rsidRDefault="003623F6" w:rsidP="003623F6">
            <w:pPr>
              <w:pStyle w:val="TableParagraph"/>
              <w:spacing w:before="95"/>
              <w:ind w:left="139"/>
              <w:rPr>
                <w:rFonts w:ascii="Arial"/>
                <w:b/>
                <w:sz w:val="18"/>
                <w:szCs w:val="18"/>
                <w:lang w:val="uk-UA"/>
              </w:rPr>
            </w:pPr>
            <w:r w:rsidRPr="003623F6">
              <w:rPr>
                <w:rFonts w:ascii="Arial" w:hAnsi="Arial" w:cs="Arial"/>
                <w:b/>
                <w:color w:val="FFFFFF"/>
                <w:spacing w:val="-2"/>
                <w:sz w:val="18"/>
                <w:szCs w:val="18"/>
                <w:lang w:val="uk-UA"/>
              </w:rPr>
              <w:t xml:space="preserve">Висновок </w:t>
            </w:r>
          </w:p>
        </w:tc>
      </w:tr>
      <w:tr w:rsidR="00E05B98" w:rsidRPr="003623F6" w14:paraId="6C36EC08" w14:textId="77777777">
        <w:trPr>
          <w:trHeight w:val="647"/>
        </w:trPr>
        <w:tc>
          <w:tcPr>
            <w:tcW w:w="2164" w:type="dxa"/>
            <w:tcBorders>
              <w:top w:val="single" w:sz="6" w:space="0" w:color="019648"/>
              <w:left w:val="nil"/>
              <w:bottom w:val="single" w:sz="6" w:space="0" w:color="019648"/>
              <w:right w:val="nil"/>
            </w:tcBorders>
          </w:tcPr>
          <w:p w14:paraId="61627C4B" w14:textId="51314B0A" w:rsidR="00E05B98" w:rsidRPr="003623F6" w:rsidRDefault="0094623E">
            <w:pPr>
              <w:pStyle w:val="TableParagraph"/>
              <w:spacing w:line="249" w:lineRule="auto"/>
              <w:ind w:left="133" w:right="249"/>
              <w:rPr>
                <w:sz w:val="18"/>
                <w:szCs w:val="18"/>
                <w:lang w:val="uk-UA"/>
              </w:rPr>
            </w:pPr>
            <w:proofErr w:type="spellStart"/>
            <w:r>
              <w:rPr>
                <w:spacing w:val="-2"/>
                <w:sz w:val="18"/>
                <w:szCs w:val="18"/>
                <w:lang w:val="uk-UA"/>
              </w:rPr>
              <w:t>Нагалінесваран</w:t>
            </w:r>
            <w:proofErr w:type="spellEnd"/>
            <w:r>
              <w:rPr>
                <w:spacing w:val="-2"/>
                <w:sz w:val="18"/>
                <w:szCs w:val="18"/>
                <w:lang w:val="uk-UA"/>
              </w:rPr>
              <w:t xml:space="preserve"> </w:t>
            </w:r>
            <w:proofErr w:type="spellStart"/>
            <w:r>
              <w:rPr>
                <w:spacing w:val="-2"/>
                <w:sz w:val="18"/>
                <w:szCs w:val="18"/>
                <w:lang w:val="uk-UA"/>
              </w:rPr>
              <w:t>Кумарасамі</w:t>
            </w:r>
            <w:proofErr w:type="spellEnd"/>
          </w:p>
        </w:tc>
        <w:tc>
          <w:tcPr>
            <w:tcW w:w="4535" w:type="dxa"/>
            <w:tcBorders>
              <w:top w:val="single" w:sz="6" w:space="0" w:color="019648"/>
              <w:left w:val="nil"/>
              <w:bottom w:val="single" w:sz="6" w:space="0" w:color="019648"/>
              <w:right w:val="nil"/>
            </w:tcBorders>
          </w:tcPr>
          <w:p w14:paraId="1A4735AC" w14:textId="64EA37AF" w:rsidR="00E05B98" w:rsidRPr="003623F6" w:rsidRDefault="0029215F">
            <w:pPr>
              <w:pStyle w:val="TableParagraph"/>
              <w:rPr>
                <w:sz w:val="18"/>
                <w:szCs w:val="18"/>
                <w:lang w:val="uk-UA"/>
              </w:rPr>
            </w:pPr>
            <w:r w:rsidRPr="003623F6">
              <w:rPr>
                <w:spacing w:val="-4"/>
                <w:sz w:val="18"/>
                <w:szCs w:val="18"/>
                <w:lang w:val="uk-UA"/>
              </w:rPr>
              <w:t>Відсутні</w:t>
            </w:r>
          </w:p>
        </w:tc>
        <w:tc>
          <w:tcPr>
            <w:tcW w:w="2388" w:type="dxa"/>
            <w:tcBorders>
              <w:top w:val="single" w:sz="6" w:space="0" w:color="019648"/>
              <w:left w:val="nil"/>
              <w:bottom w:val="single" w:sz="6" w:space="0" w:color="019648"/>
              <w:right w:val="nil"/>
            </w:tcBorders>
          </w:tcPr>
          <w:p w14:paraId="38E2B498" w14:textId="124347ED" w:rsidR="00E05B98" w:rsidRPr="003623F6" w:rsidRDefault="004178B8">
            <w:pPr>
              <w:pStyle w:val="TableParagraph"/>
              <w:rPr>
                <w:sz w:val="18"/>
                <w:szCs w:val="18"/>
                <w:lang w:val="uk-UA"/>
              </w:rPr>
            </w:pPr>
            <w:r w:rsidRPr="003623F6">
              <w:rPr>
                <w:w w:val="105"/>
                <w:sz w:val="18"/>
                <w:szCs w:val="18"/>
                <w:lang w:val="uk-UA"/>
              </w:rPr>
              <w:t>Відсутність конфлікту інтересів</w:t>
            </w:r>
          </w:p>
        </w:tc>
      </w:tr>
      <w:tr w:rsidR="00E05B98" w:rsidRPr="003623F6" w14:paraId="07CF7BB4" w14:textId="77777777">
        <w:trPr>
          <w:trHeight w:val="647"/>
        </w:trPr>
        <w:tc>
          <w:tcPr>
            <w:tcW w:w="2164" w:type="dxa"/>
            <w:tcBorders>
              <w:top w:val="single" w:sz="6" w:space="0" w:color="019648"/>
              <w:left w:val="nil"/>
              <w:bottom w:val="single" w:sz="6" w:space="0" w:color="019648"/>
              <w:right w:val="nil"/>
            </w:tcBorders>
          </w:tcPr>
          <w:p w14:paraId="1209CD52" w14:textId="6A40DF3E" w:rsidR="00E05B98" w:rsidRPr="003623F6" w:rsidRDefault="0094623E">
            <w:pPr>
              <w:pStyle w:val="TableParagraph"/>
              <w:ind w:left="133"/>
              <w:rPr>
                <w:sz w:val="18"/>
                <w:szCs w:val="18"/>
                <w:lang w:val="uk-UA"/>
              </w:rPr>
            </w:pPr>
            <w:r>
              <w:rPr>
                <w:sz w:val="18"/>
                <w:szCs w:val="18"/>
                <w:lang w:val="uk-UA"/>
              </w:rPr>
              <w:t xml:space="preserve">Катаріна </w:t>
            </w:r>
            <w:proofErr w:type="spellStart"/>
            <w:r>
              <w:rPr>
                <w:sz w:val="18"/>
                <w:szCs w:val="18"/>
                <w:lang w:val="uk-UA"/>
              </w:rPr>
              <w:t>Кранцер</w:t>
            </w:r>
            <w:proofErr w:type="spellEnd"/>
          </w:p>
        </w:tc>
        <w:tc>
          <w:tcPr>
            <w:tcW w:w="4535" w:type="dxa"/>
            <w:tcBorders>
              <w:top w:val="single" w:sz="6" w:space="0" w:color="019648"/>
              <w:left w:val="nil"/>
              <w:bottom w:val="single" w:sz="6" w:space="0" w:color="019648"/>
              <w:right w:val="nil"/>
            </w:tcBorders>
          </w:tcPr>
          <w:p w14:paraId="1D16712C" w14:textId="0BE3137C" w:rsidR="00E05B98" w:rsidRPr="003623F6" w:rsidRDefault="00BA55DB">
            <w:pPr>
              <w:pStyle w:val="TableParagraph"/>
              <w:spacing w:line="249" w:lineRule="auto"/>
              <w:ind w:right="202"/>
              <w:rPr>
                <w:sz w:val="18"/>
                <w:szCs w:val="18"/>
                <w:lang w:val="uk-UA"/>
              </w:rPr>
            </w:pPr>
            <w:r w:rsidRPr="00BA55DB">
              <w:rPr>
                <w:sz w:val="18"/>
                <w:szCs w:val="18"/>
                <w:lang w:val="uk-UA"/>
              </w:rPr>
              <w:t>Робота в LSHTM; підтримка досліджень від EDCTP.</w:t>
            </w:r>
          </w:p>
        </w:tc>
        <w:tc>
          <w:tcPr>
            <w:tcW w:w="2388" w:type="dxa"/>
            <w:tcBorders>
              <w:top w:val="single" w:sz="6" w:space="0" w:color="019648"/>
              <w:left w:val="nil"/>
              <w:bottom w:val="single" w:sz="6" w:space="0" w:color="019648"/>
              <w:right w:val="nil"/>
            </w:tcBorders>
          </w:tcPr>
          <w:p w14:paraId="0100692C" w14:textId="7F84F9D4" w:rsidR="00E05B98" w:rsidRPr="003623F6" w:rsidRDefault="004178B8" w:rsidP="004178B8">
            <w:pPr>
              <w:pStyle w:val="TableParagraph"/>
              <w:spacing w:line="249" w:lineRule="auto"/>
              <w:ind w:right="30"/>
              <w:rPr>
                <w:sz w:val="18"/>
                <w:szCs w:val="18"/>
                <w:lang w:val="uk-UA"/>
              </w:rPr>
            </w:pPr>
            <w:r w:rsidRPr="003623F6">
              <w:rPr>
                <w:w w:val="105"/>
                <w:sz w:val="18"/>
                <w:szCs w:val="18"/>
                <w:lang w:val="uk-UA"/>
              </w:rPr>
              <w:t>Незначний конфлікт інтересів</w:t>
            </w:r>
          </w:p>
        </w:tc>
      </w:tr>
      <w:tr w:rsidR="00E05B98" w:rsidRPr="003623F6" w14:paraId="5226B8AF" w14:textId="77777777">
        <w:trPr>
          <w:trHeight w:val="1687"/>
        </w:trPr>
        <w:tc>
          <w:tcPr>
            <w:tcW w:w="2164" w:type="dxa"/>
            <w:tcBorders>
              <w:top w:val="single" w:sz="6" w:space="0" w:color="019648"/>
              <w:left w:val="nil"/>
              <w:bottom w:val="single" w:sz="6" w:space="0" w:color="019648"/>
              <w:right w:val="nil"/>
            </w:tcBorders>
          </w:tcPr>
          <w:p w14:paraId="3DC95D24" w14:textId="087AF635" w:rsidR="00E05B98" w:rsidRPr="003623F6" w:rsidRDefault="0094623E">
            <w:pPr>
              <w:pStyle w:val="TableParagraph"/>
              <w:ind w:left="133"/>
              <w:rPr>
                <w:sz w:val="18"/>
                <w:szCs w:val="18"/>
                <w:lang w:val="uk-UA"/>
              </w:rPr>
            </w:pPr>
            <w:proofErr w:type="spellStart"/>
            <w:r>
              <w:rPr>
                <w:spacing w:val="-6"/>
                <w:sz w:val="18"/>
                <w:szCs w:val="18"/>
                <w:lang w:val="uk-UA"/>
              </w:rPr>
              <w:t>Фарзана</w:t>
            </w:r>
            <w:proofErr w:type="spellEnd"/>
            <w:r>
              <w:rPr>
                <w:spacing w:val="-6"/>
                <w:sz w:val="18"/>
                <w:szCs w:val="18"/>
                <w:lang w:val="uk-UA"/>
              </w:rPr>
              <w:t xml:space="preserve"> </w:t>
            </w:r>
            <w:proofErr w:type="spellStart"/>
            <w:r>
              <w:rPr>
                <w:spacing w:val="-6"/>
                <w:sz w:val="18"/>
                <w:szCs w:val="18"/>
                <w:lang w:val="uk-UA"/>
              </w:rPr>
              <w:t>Ісмаіл</w:t>
            </w:r>
            <w:proofErr w:type="spellEnd"/>
          </w:p>
        </w:tc>
        <w:tc>
          <w:tcPr>
            <w:tcW w:w="4535" w:type="dxa"/>
            <w:tcBorders>
              <w:top w:val="single" w:sz="6" w:space="0" w:color="019648"/>
              <w:left w:val="nil"/>
              <w:bottom w:val="single" w:sz="6" w:space="0" w:color="019648"/>
              <w:right w:val="nil"/>
            </w:tcBorders>
          </w:tcPr>
          <w:p w14:paraId="71070E9F" w14:textId="4E796E3D" w:rsidR="00E05B98" w:rsidRPr="003623F6" w:rsidRDefault="00E303CF">
            <w:pPr>
              <w:pStyle w:val="TableParagraph"/>
              <w:spacing w:line="249" w:lineRule="auto"/>
              <w:ind w:right="438"/>
              <w:rPr>
                <w:sz w:val="18"/>
                <w:szCs w:val="18"/>
                <w:lang w:val="uk-UA"/>
              </w:rPr>
            </w:pPr>
            <w:r w:rsidRPr="00E303CF">
              <w:rPr>
                <w:sz w:val="18"/>
                <w:szCs w:val="18"/>
                <w:lang w:val="uk-UA"/>
              </w:rPr>
              <w:t>Підтримка досліджень: підрозділ з досліджень був включений в число сайтів для проведення багатоцентрового клінічного дослідження FIND для оцінки ефективності наскрізних цільових рішень СНП без культивування для діагностики лікарсько-стійкого туберкульозу.</w:t>
            </w:r>
          </w:p>
        </w:tc>
        <w:tc>
          <w:tcPr>
            <w:tcW w:w="2388" w:type="dxa"/>
            <w:tcBorders>
              <w:top w:val="single" w:sz="6" w:space="0" w:color="019648"/>
              <w:left w:val="nil"/>
              <w:bottom w:val="single" w:sz="6" w:space="0" w:color="019648"/>
              <w:right w:val="nil"/>
            </w:tcBorders>
          </w:tcPr>
          <w:p w14:paraId="36C8D882" w14:textId="41EF9EA2" w:rsidR="00E05B98" w:rsidRPr="003623F6" w:rsidRDefault="004178B8" w:rsidP="004178B8">
            <w:pPr>
              <w:pStyle w:val="TableParagraph"/>
              <w:spacing w:line="249" w:lineRule="auto"/>
              <w:ind w:right="30"/>
              <w:rPr>
                <w:sz w:val="18"/>
                <w:szCs w:val="18"/>
                <w:lang w:val="uk-UA"/>
              </w:rPr>
            </w:pPr>
            <w:r w:rsidRPr="003623F6">
              <w:rPr>
                <w:w w:val="105"/>
                <w:sz w:val="18"/>
                <w:szCs w:val="18"/>
                <w:lang w:val="uk-UA"/>
              </w:rPr>
              <w:t>Незначний конфлікт інтересів</w:t>
            </w:r>
          </w:p>
        </w:tc>
      </w:tr>
      <w:tr w:rsidR="00E05B98" w:rsidRPr="003623F6" w14:paraId="063EBC37" w14:textId="77777777">
        <w:trPr>
          <w:trHeight w:val="387"/>
        </w:trPr>
        <w:tc>
          <w:tcPr>
            <w:tcW w:w="2164" w:type="dxa"/>
            <w:tcBorders>
              <w:top w:val="single" w:sz="6" w:space="0" w:color="019648"/>
              <w:left w:val="nil"/>
              <w:bottom w:val="single" w:sz="6" w:space="0" w:color="019648"/>
              <w:right w:val="nil"/>
            </w:tcBorders>
          </w:tcPr>
          <w:p w14:paraId="3287FA07" w14:textId="5D0D416E" w:rsidR="00E05B98" w:rsidRPr="003623F6" w:rsidRDefault="0094623E">
            <w:pPr>
              <w:pStyle w:val="TableParagraph"/>
              <w:ind w:left="133"/>
              <w:rPr>
                <w:sz w:val="18"/>
                <w:szCs w:val="18"/>
                <w:lang w:val="uk-UA"/>
              </w:rPr>
            </w:pPr>
            <w:proofErr w:type="spellStart"/>
            <w:r>
              <w:rPr>
                <w:w w:val="105"/>
                <w:sz w:val="18"/>
                <w:szCs w:val="18"/>
                <w:lang w:val="uk-UA"/>
              </w:rPr>
              <w:t>Мітарай</w:t>
            </w:r>
            <w:proofErr w:type="spellEnd"/>
            <w:r>
              <w:rPr>
                <w:w w:val="105"/>
                <w:sz w:val="18"/>
                <w:szCs w:val="18"/>
                <w:lang w:val="uk-UA"/>
              </w:rPr>
              <w:t xml:space="preserve"> </w:t>
            </w:r>
            <w:proofErr w:type="spellStart"/>
            <w:r>
              <w:rPr>
                <w:w w:val="105"/>
                <w:sz w:val="18"/>
                <w:szCs w:val="18"/>
                <w:lang w:val="uk-UA"/>
              </w:rPr>
              <w:t>Сатоші</w:t>
            </w:r>
            <w:proofErr w:type="spellEnd"/>
          </w:p>
        </w:tc>
        <w:tc>
          <w:tcPr>
            <w:tcW w:w="4535" w:type="dxa"/>
            <w:tcBorders>
              <w:top w:val="single" w:sz="6" w:space="0" w:color="019648"/>
              <w:left w:val="nil"/>
              <w:bottom w:val="single" w:sz="6" w:space="0" w:color="019648"/>
              <w:right w:val="nil"/>
            </w:tcBorders>
          </w:tcPr>
          <w:p w14:paraId="258F99F7" w14:textId="7C5CCE7A" w:rsidR="00E05B98" w:rsidRPr="003623F6" w:rsidRDefault="0029215F">
            <w:pPr>
              <w:pStyle w:val="TableParagraph"/>
              <w:rPr>
                <w:sz w:val="18"/>
                <w:szCs w:val="18"/>
                <w:lang w:val="uk-UA"/>
              </w:rPr>
            </w:pPr>
            <w:r w:rsidRPr="003623F6">
              <w:rPr>
                <w:spacing w:val="-4"/>
                <w:sz w:val="18"/>
                <w:szCs w:val="18"/>
                <w:lang w:val="uk-UA"/>
              </w:rPr>
              <w:t>Відсутні</w:t>
            </w:r>
          </w:p>
        </w:tc>
        <w:tc>
          <w:tcPr>
            <w:tcW w:w="2388" w:type="dxa"/>
            <w:tcBorders>
              <w:top w:val="single" w:sz="6" w:space="0" w:color="019648"/>
              <w:left w:val="nil"/>
              <w:bottom w:val="single" w:sz="6" w:space="0" w:color="019648"/>
              <w:right w:val="nil"/>
            </w:tcBorders>
          </w:tcPr>
          <w:p w14:paraId="11124DC8" w14:textId="6BCA0D29" w:rsidR="00E05B98" w:rsidRPr="003623F6" w:rsidRDefault="004178B8">
            <w:pPr>
              <w:pStyle w:val="TableParagraph"/>
              <w:rPr>
                <w:sz w:val="18"/>
                <w:szCs w:val="18"/>
                <w:lang w:val="uk-UA"/>
              </w:rPr>
            </w:pPr>
            <w:r w:rsidRPr="003623F6">
              <w:rPr>
                <w:w w:val="105"/>
                <w:sz w:val="18"/>
                <w:szCs w:val="18"/>
                <w:lang w:val="uk-UA"/>
              </w:rPr>
              <w:t>Відсутність конфлікту інтересів</w:t>
            </w:r>
          </w:p>
        </w:tc>
      </w:tr>
      <w:tr w:rsidR="00E05B98" w:rsidRPr="003623F6" w14:paraId="4CACEB1B" w14:textId="77777777">
        <w:trPr>
          <w:trHeight w:val="907"/>
        </w:trPr>
        <w:tc>
          <w:tcPr>
            <w:tcW w:w="2164" w:type="dxa"/>
            <w:tcBorders>
              <w:top w:val="single" w:sz="6" w:space="0" w:color="019648"/>
              <w:left w:val="nil"/>
              <w:bottom w:val="single" w:sz="6" w:space="0" w:color="019648"/>
              <w:right w:val="nil"/>
            </w:tcBorders>
          </w:tcPr>
          <w:p w14:paraId="2FC73331" w14:textId="0EEF40C1" w:rsidR="00E05B98" w:rsidRPr="003623F6" w:rsidRDefault="0094623E">
            <w:pPr>
              <w:pStyle w:val="TableParagraph"/>
              <w:ind w:left="133"/>
              <w:rPr>
                <w:sz w:val="18"/>
                <w:szCs w:val="18"/>
                <w:lang w:val="uk-UA"/>
              </w:rPr>
            </w:pPr>
            <w:r>
              <w:rPr>
                <w:spacing w:val="-2"/>
                <w:sz w:val="18"/>
                <w:szCs w:val="18"/>
                <w:lang w:val="uk-UA"/>
              </w:rPr>
              <w:t xml:space="preserve">Джон </w:t>
            </w:r>
            <w:proofErr w:type="spellStart"/>
            <w:r>
              <w:rPr>
                <w:spacing w:val="-2"/>
                <w:sz w:val="18"/>
                <w:szCs w:val="18"/>
                <w:lang w:val="uk-UA"/>
              </w:rPr>
              <w:t>Меткалф</w:t>
            </w:r>
            <w:proofErr w:type="spellEnd"/>
          </w:p>
        </w:tc>
        <w:tc>
          <w:tcPr>
            <w:tcW w:w="4535" w:type="dxa"/>
            <w:tcBorders>
              <w:top w:val="single" w:sz="6" w:space="0" w:color="019648"/>
              <w:left w:val="nil"/>
              <w:bottom w:val="single" w:sz="6" w:space="0" w:color="019648"/>
              <w:right w:val="nil"/>
            </w:tcBorders>
          </w:tcPr>
          <w:p w14:paraId="0803B4E6" w14:textId="0E76D9E4" w:rsidR="00E05B98" w:rsidRPr="003623F6" w:rsidRDefault="00037095">
            <w:pPr>
              <w:pStyle w:val="TableParagraph"/>
              <w:spacing w:line="249" w:lineRule="auto"/>
              <w:ind w:right="136"/>
              <w:rPr>
                <w:sz w:val="18"/>
                <w:szCs w:val="18"/>
                <w:lang w:val="uk-UA"/>
              </w:rPr>
            </w:pPr>
            <w:r w:rsidRPr="00037095">
              <w:rPr>
                <w:sz w:val="18"/>
                <w:szCs w:val="18"/>
                <w:lang w:val="uk-UA"/>
              </w:rPr>
              <w:t xml:space="preserve">Підтримка досліджень від NIH; заявка на патент під назвою «Методи отримання кільцевих </w:t>
            </w:r>
            <w:proofErr w:type="spellStart"/>
            <w:r w:rsidRPr="00037095">
              <w:rPr>
                <w:sz w:val="18"/>
                <w:szCs w:val="18"/>
                <w:lang w:val="uk-UA"/>
              </w:rPr>
              <w:t>дезоксирибонуклеїнових</w:t>
            </w:r>
            <w:proofErr w:type="spellEnd"/>
            <w:r w:rsidRPr="00037095">
              <w:rPr>
                <w:sz w:val="18"/>
                <w:szCs w:val="18"/>
                <w:lang w:val="uk-UA"/>
              </w:rPr>
              <w:t xml:space="preserve"> кислот (ДНК із замкнутою структурою)».</w:t>
            </w:r>
          </w:p>
        </w:tc>
        <w:tc>
          <w:tcPr>
            <w:tcW w:w="2388" w:type="dxa"/>
            <w:tcBorders>
              <w:top w:val="single" w:sz="6" w:space="0" w:color="019648"/>
              <w:left w:val="nil"/>
              <w:bottom w:val="single" w:sz="6" w:space="0" w:color="019648"/>
              <w:right w:val="nil"/>
            </w:tcBorders>
          </w:tcPr>
          <w:p w14:paraId="113F83B8" w14:textId="37A1E4B0" w:rsidR="00E05B98" w:rsidRPr="003623F6" w:rsidRDefault="004178B8" w:rsidP="004178B8">
            <w:pPr>
              <w:pStyle w:val="TableParagraph"/>
              <w:spacing w:line="249" w:lineRule="auto"/>
              <w:ind w:right="30"/>
              <w:rPr>
                <w:sz w:val="18"/>
                <w:szCs w:val="18"/>
                <w:lang w:val="uk-UA"/>
              </w:rPr>
            </w:pPr>
            <w:r w:rsidRPr="003623F6">
              <w:rPr>
                <w:w w:val="105"/>
                <w:sz w:val="18"/>
                <w:szCs w:val="18"/>
                <w:lang w:val="uk-UA"/>
              </w:rPr>
              <w:t>Незначний конфлікт інтересів</w:t>
            </w:r>
          </w:p>
        </w:tc>
      </w:tr>
    </w:tbl>
    <w:p w14:paraId="20C44CAB" w14:textId="3E911529" w:rsidR="00E05B98" w:rsidRPr="003623F6" w:rsidRDefault="009B78BD">
      <w:pPr>
        <w:spacing w:before="144" w:line="254" w:lineRule="auto"/>
        <w:ind w:left="567" w:right="140"/>
        <w:jc w:val="both"/>
        <w:rPr>
          <w:sz w:val="18"/>
          <w:szCs w:val="18"/>
          <w:lang w:val="uk-UA"/>
        </w:rPr>
      </w:pPr>
      <w:r w:rsidRPr="009B78BD">
        <w:rPr>
          <w:sz w:val="18"/>
          <w:szCs w:val="18"/>
          <w:lang w:val="uk-UA"/>
        </w:rPr>
        <w:t>EDCTP: Партнерство європейських країн та країн, що розвиваються, у сфері клінічних досліджень; ERG: Група зовнішніх експертів; FIND: Фонд інноваційних нових методів  діагностики; LSHTM: Лондонська школа гігієни та тропічної медицини; СНП: секвенування наступного покоління; NIH: Національні інститути охорони здоров'я США; TB: туберкульоз.</w:t>
      </w:r>
    </w:p>
    <w:p w14:paraId="25BDF824" w14:textId="77777777" w:rsidR="00E05B98" w:rsidRPr="003623F6" w:rsidRDefault="00E05B98">
      <w:pPr>
        <w:pStyle w:val="a3"/>
        <w:rPr>
          <w:sz w:val="18"/>
          <w:szCs w:val="18"/>
          <w:lang w:val="uk-UA"/>
        </w:rPr>
      </w:pPr>
    </w:p>
    <w:p w14:paraId="03E54384" w14:textId="77777777" w:rsidR="00E05B98" w:rsidRPr="003623F6" w:rsidRDefault="00E05B98">
      <w:pPr>
        <w:pStyle w:val="a3"/>
        <w:spacing w:before="2"/>
        <w:rPr>
          <w:sz w:val="18"/>
          <w:szCs w:val="18"/>
          <w:lang w:val="uk-UA"/>
        </w:rPr>
      </w:pPr>
    </w:p>
    <w:p w14:paraId="0D5BC88B" w14:textId="576F4C50" w:rsidR="00E05B98" w:rsidRPr="009B78BD" w:rsidRDefault="00B01E0C" w:rsidP="00F77588">
      <w:pPr>
        <w:spacing w:before="1" w:line="249" w:lineRule="auto"/>
        <w:ind w:left="567" w:right="1280"/>
        <w:jc w:val="both"/>
        <w:rPr>
          <w:rFonts w:ascii="Arial" w:hAnsi="Arial"/>
          <w:b/>
          <w:sz w:val="20"/>
          <w:szCs w:val="20"/>
          <w:lang w:val="uk-UA"/>
        </w:rPr>
      </w:pPr>
      <w:r w:rsidRPr="009B78BD">
        <w:rPr>
          <w:rFonts w:ascii="Arial" w:hAnsi="Arial"/>
          <w:b/>
          <w:noProof/>
          <w:sz w:val="20"/>
          <w:szCs w:val="20"/>
          <w:lang w:val="uk-UA"/>
        </w:rPr>
        <mc:AlternateContent>
          <mc:Choice Requires="wpg">
            <w:drawing>
              <wp:anchor distT="0" distB="0" distL="0" distR="0" simplePos="0" relativeHeight="16211968" behindDoc="0" locked="0" layoutInCell="1" allowOverlap="1" wp14:anchorId="02C29F69" wp14:editId="6574A05D">
                <wp:simplePos x="0" y="0"/>
                <wp:positionH relativeFrom="page">
                  <wp:posOffset>6144458</wp:posOffset>
                </wp:positionH>
                <wp:positionV relativeFrom="paragraph">
                  <wp:posOffset>39236</wp:posOffset>
                </wp:positionV>
                <wp:extent cx="515620" cy="245745"/>
                <wp:effectExtent l="0" t="0" r="0" b="0"/>
                <wp:wrapNone/>
                <wp:docPr id="3072" name="Group 3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620" cy="245745"/>
                          <a:chOff x="0" y="0"/>
                          <a:chExt cx="515620" cy="245745"/>
                        </a:xfrm>
                      </wpg:grpSpPr>
                      <wps:wsp>
                        <wps:cNvPr id="3073" name="Graphic 3073"/>
                        <wps:cNvSpPr/>
                        <wps:spPr>
                          <a:xfrm>
                            <a:off x="0" y="0"/>
                            <a:ext cx="515620" cy="245745"/>
                          </a:xfrm>
                          <a:custGeom>
                            <a:avLst/>
                            <a:gdLst/>
                            <a:ahLst/>
                            <a:cxnLst/>
                            <a:rect l="l" t="t" r="r" b="b"/>
                            <a:pathLst>
                              <a:path w="515620" h="245745">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a:prstTxWarp prst="textNoShape">
                            <a:avLst/>
                          </a:prstTxWarp>
                          <a:noAutofit/>
                        </wps:bodyPr>
                      </wps:wsp>
                      <wps:wsp>
                        <wps:cNvPr id="3074" name="Textbox 3074"/>
                        <wps:cNvSpPr txBox="1"/>
                        <wps:spPr>
                          <a:xfrm>
                            <a:off x="0" y="0"/>
                            <a:ext cx="515620" cy="245745"/>
                          </a:xfrm>
                          <a:prstGeom prst="rect">
                            <a:avLst/>
                          </a:prstGeom>
                        </wps:spPr>
                        <wps:txbx>
                          <w:txbxContent>
                            <w:p w14:paraId="2748B299" w14:textId="259765C6" w:rsidR="007372B2" w:rsidRPr="00340AF9" w:rsidRDefault="007372B2">
                              <w:pPr>
                                <w:spacing w:before="89"/>
                                <w:ind w:left="169"/>
                                <w:rPr>
                                  <w:sz w:val="20"/>
                                  <w:lang w:val="uk-UA"/>
                                </w:rPr>
                              </w:pPr>
                              <w:r>
                                <w:rPr>
                                  <w:color w:val="FFFFFF"/>
                                  <w:spacing w:val="-5"/>
                                  <w:sz w:val="20"/>
                                  <w:lang w:val="uk-UA"/>
                                </w:rPr>
                                <w:t>НОВЕ</w:t>
                              </w:r>
                            </w:p>
                          </w:txbxContent>
                        </wps:txbx>
                        <wps:bodyPr wrap="square" lIns="0" tIns="0" rIns="0" bIns="0" rtlCol="0">
                          <a:noAutofit/>
                        </wps:bodyPr>
                      </wps:wsp>
                    </wpg:wgp>
                  </a:graphicData>
                </a:graphic>
              </wp:anchor>
            </w:drawing>
          </mc:Choice>
          <mc:Fallback>
            <w:pict>
              <v:group w14:anchorId="02C29F69" id="Group 3072" o:spid="_x0000_s1204" style="position:absolute;left:0;text-align:left;margin-left:483.8pt;margin-top:3.1pt;width:40.6pt;height:19.35pt;z-index:16211968;mso-wrap-distance-left:0;mso-wrap-distance-right:0;mso-position-horizontal-relative:page;mso-position-vertical-relative:text" coordsize="51562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">
                <v:shape id="Graphic 3073" o:spid="_x0000_s1205" style="position:absolute;width:515620;height:245745;visibility:visible;mso-wrap-style:square;v-text-anchor:top" coordsize="51562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" path="m515543,l,,,122796r9650,47797l35966,209626r39032,26316l122796,245592r269951,l440545,235942r39032,-26316l505893,170593r9650,-47797l515543,xe" fillcolor="#0c8140" stroked="f">
                  <v:path arrowok="t"/>
                </v:shape>
                <v:shape id="Textbox 3074" o:spid="_x0000_s1206" type="#_x0000_t202" style="position:absolute;width:515620;height:245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" filled="f" stroked="f">
                  <v:textbox inset="0,0,0,0">
                    <w:txbxContent>
                      <w:p w14:paraId="2748B299" w14:textId="259765C6" w:rsidR="007372B2" w:rsidRPr="00340AF9" w:rsidRDefault="007372B2">
                        <w:pPr>
                          <w:spacing w:before="89"/>
                          <w:ind w:left="169"/>
                          <w:rPr>
                            <w:sz w:val="20"/>
                            <w:lang w:val="uk-UA"/>
                          </w:rPr>
                        </w:pPr>
                        <w:r>
                          <w:rPr>
                            <w:color w:val="FFFFFF"/>
                            <w:spacing w:val="-5"/>
                            <w:sz w:val="20"/>
                            <w:lang w:val="uk-UA"/>
                          </w:rPr>
                          <w:t>НОВЕ</w:t>
                        </w:r>
                      </w:p>
                    </w:txbxContent>
                  </v:textbox>
                </v:shape>
                <w10:wrap anchorx="page"/>
              </v:group>
            </w:pict>
          </mc:Fallback>
        </mc:AlternateContent>
      </w:r>
      <w:r w:rsidR="009B78BD" w:rsidRPr="009B78BD">
        <w:rPr>
          <w:rFonts w:ascii="Arial" w:hAnsi="Arial"/>
          <w:b/>
          <w:color w:val="636466"/>
          <w:sz w:val="20"/>
          <w:szCs w:val="20"/>
          <w:lang w:val="uk-UA"/>
        </w:rPr>
        <w:t xml:space="preserve">Таблиця A.2.4. </w:t>
      </w:r>
      <w:r w:rsidR="001022A6" w:rsidRPr="001022A6">
        <w:rPr>
          <w:rFonts w:ascii="Arial" w:hAnsi="Arial"/>
          <w:b/>
          <w:color w:val="636466"/>
          <w:sz w:val="20"/>
          <w:szCs w:val="20"/>
          <w:lang w:val="uk-UA"/>
        </w:rPr>
        <w:t>Короткий виклад заяв про декларації інтересів</w:t>
      </w:r>
      <w:r w:rsidR="009B78BD" w:rsidRPr="009B78BD">
        <w:rPr>
          <w:rFonts w:ascii="Arial" w:hAnsi="Arial"/>
          <w:b/>
          <w:color w:val="636466"/>
          <w:sz w:val="20"/>
          <w:szCs w:val="20"/>
          <w:lang w:val="uk-UA"/>
        </w:rPr>
        <w:t xml:space="preserve"> членів ГРН: «Тестування </w:t>
      </w:r>
      <w:r w:rsidR="006632E5">
        <w:rPr>
          <w:rFonts w:ascii="Arial" w:hAnsi="Arial"/>
          <w:b/>
          <w:color w:val="636466"/>
          <w:sz w:val="20"/>
          <w:szCs w:val="20"/>
          <w:lang w:val="uk-UA"/>
        </w:rPr>
        <w:t xml:space="preserve">методом </w:t>
      </w:r>
      <w:r w:rsidR="009B78BD" w:rsidRPr="009B78BD">
        <w:rPr>
          <w:rFonts w:ascii="Arial" w:hAnsi="Arial"/>
          <w:b/>
          <w:color w:val="636466"/>
          <w:sz w:val="20"/>
          <w:szCs w:val="20"/>
          <w:lang w:val="uk-UA"/>
        </w:rPr>
        <w:t>ампліфікаці</w:t>
      </w:r>
      <w:r w:rsidR="006632E5">
        <w:rPr>
          <w:rFonts w:ascii="Arial" w:hAnsi="Arial"/>
          <w:b/>
          <w:color w:val="636466"/>
          <w:sz w:val="20"/>
          <w:szCs w:val="20"/>
          <w:lang w:val="uk-UA"/>
        </w:rPr>
        <w:t>ї</w:t>
      </w:r>
      <w:r w:rsidR="009B78BD" w:rsidRPr="009B78BD">
        <w:rPr>
          <w:rFonts w:ascii="Arial" w:hAnsi="Arial"/>
          <w:b/>
          <w:color w:val="636466"/>
          <w:sz w:val="20"/>
          <w:szCs w:val="20"/>
          <w:lang w:val="uk-UA"/>
        </w:rPr>
        <w:t xml:space="preserve"> нуклеїнових кислот низької складності </w:t>
      </w:r>
      <w:r w:rsidR="006632E5">
        <w:rPr>
          <w:rFonts w:ascii="Arial" w:hAnsi="Arial"/>
          <w:b/>
          <w:color w:val="636466"/>
          <w:sz w:val="20"/>
          <w:szCs w:val="20"/>
          <w:lang w:val="uk-UA"/>
        </w:rPr>
        <w:t xml:space="preserve">(ТАНК-НС) </w:t>
      </w:r>
      <w:r w:rsidR="009B78BD" w:rsidRPr="009B78BD">
        <w:rPr>
          <w:rFonts w:ascii="Arial" w:hAnsi="Arial"/>
          <w:b/>
          <w:color w:val="636466"/>
          <w:sz w:val="20"/>
          <w:szCs w:val="20"/>
          <w:lang w:val="uk-UA"/>
        </w:rPr>
        <w:t>для виявлення ТБ та стійкості до рифампіцину»</w:t>
      </w:r>
      <w:r w:rsidR="00D23BEF">
        <w:rPr>
          <w:rFonts w:ascii="Arial" w:hAnsi="Arial"/>
          <w:b/>
          <w:color w:val="636466"/>
          <w:sz w:val="20"/>
          <w:szCs w:val="20"/>
          <w:lang w:val="uk-UA"/>
        </w:rPr>
        <w:t>,</w:t>
      </w:r>
      <w:r w:rsidR="009B78BD" w:rsidRPr="009B78BD">
        <w:rPr>
          <w:rFonts w:ascii="Arial" w:hAnsi="Arial"/>
          <w:b/>
          <w:color w:val="636466"/>
          <w:sz w:val="20"/>
          <w:szCs w:val="20"/>
          <w:lang w:val="uk-UA"/>
        </w:rPr>
        <w:t xml:space="preserve"> 6-10 травня 2024 р.</w:t>
      </w:r>
    </w:p>
    <w:p w14:paraId="152928B5" w14:textId="77777777" w:rsidR="00E05B98" w:rsidRPr="003623F6" w:rsidRDefault="00E05B98">
      <w:pPr>
        <w:pStyle w:val="a3"/>
        <w:spacing w:before="6"/>
        <w:rPr>
          <w:rFonts w:ascii="Arial"/>
          <w:b/>
          <w:sz w:val="18"/>
          <w:szCs w:val="18"/>
          <w:lang w:val="uk-UA"/>
        </w:rPr>
      </w:pPr>
    </w:p>
    <w:tbl>
      <w:tblPr>
        <w:tblStyle w:val="TableNormal"/>
        <w:tblW w:w="0" w:type="auto"/>
        <w:tblInd w:w="57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2164"/>
        <w:gridCol w:w="4535"/>
        <w:gridCol w:w="2388"/>
      </w:tblGrid>
      <w:tr w:rsidR="003623F6" w:rsidRPr="003623F6" w14:paraId="49F00D31" w14:textId="77777777">
        <w:trPr>
          <w:trHeight w:val="428"/>
        </w:trPr>
        <w:tc>
          <w:tcPr>
            <w:tcW w:w="2164" w:type="dxa"/>
            <w:tcBorders>
              <w:right w:val="single" w:sz="6" w:space="0" w:color="019648"/>
            </w:tcBorders>
            <w:shd w:val="clear" w:color="auto" w:fill="62A86B"/>
          </w:tcPr>
          <w:p w14:paraId="670B61AC" w14:textId="515FF146" w:rsidR="003623F6" w:rsidRPr="003623F6" w:rsidRDefault="003623F6" w:rsidP="003623F6">
            <w:pPr>
              <w:pStyle w:val="TableParagraph"/>
              <w:spacing w:before="95"/>
              <w:ind w:left="146"/>
              <w:rPr>
                <w:rFonts w:ascii="Arial"/>
                <w:b/>
                <w:sz w:val="18"/>
                <w:szCs w:val="18"/>
                <w:lang w:val="uk-UA"/>
              </w:rPr>
            </w:pPr>
            <w:r w:rsidRPr="003623F6">
              <w:rPr>
                <w:rFonts w:ascii="Arial" w:hAnsi="Arial" w:cs="Arial"/>
                <w:b/>
                <w:color w:val="FFFFFF"/>
                <w:spacing w:val="-9"/>
                <w:sz w:val="18"/>
                <w:szCs w:val="18"/>
                <w:lang w:val="uk-UA"/>
              </w:rPr>
              <w:t>Член ГРН</w:t>
            </w:r>
          </w:p>
        </w:tc>
        <w:tc>
          <w:tcPr>
            <w:tcW w:w="4535" w:type="dxa"/>
            <w:tcBorders>
              <w:left w:val="single" w:sz="6" w:space="0" w:color="019648"/>
              <w:right w:val="single" w:sz="6" w:space="0" w:color="019648"/>
            </w:tcBorders>
            <w:shd w:val="clear" w:color="auto" w:fill="62A86B"/>
          </w:tcPr>
          <w:p w14:paraId="3AAEECFC" w14:textId="74DEF8A7" w:rsidR="003623F6" w:rsidRPr="003623F6" w:rsidRDefault="003623F6" w:rsidP="003623F6">
            <w:pPr>
              <w:pStyle w:val="TableParagraph"/>
              <w:spacing w:before="95"/>
              <w:ind w:left="138"/>
              <w:rPr>
                <w:rFonts w:ascii="Arial"/>
                <w:b/>
                <w:sz w:val="18"/>
                <w:szCs w:val="18"/>
                <w:lang w:val="uk-UA"/>
              </w:rPr>
            </w:pPr>
            <w:r w:rsidRPr="003623F6">
              <w:rPr>
                <w:rFonts w:ascii="Arial" w:hAnsi="Arial" w:cs="Arial"/>
                <w:b/>
                <w:color w:val="FFFFFF"/>
                <w:spacing w:val="-2"/>
                <w:sz w:val="18"/>
                <w:szCs w:val="18"/>
                <w:lang w:val="uk-UA"/>
              </w:rPr>
              <w:t>Задекларовані інтереси</w:t>
            </w:r>
          </w:p>
        </w:tc>
        <w:tc>
          <w:tcPr>
            <w:tcW w:w="2388" w:type="dxa"/>
            <w:tcBorders>
              <w:left w:val="single" w:sz="6" w:space="0" w:color="019648"/>
              <w:right w:val="single" w:sz="6" w:space="0" w:color="019648"/>
            </w:tcBorders>
            <w:shd w:val="clear" w:color="auto" w:fill="62A86B"/>
          </w:tcPr>
          <w:p w14:paraId="63C64FCB" w14:textId="05250186" w:rsidR="003623F6" w:rsidRPr="003623F6" w:rsidRDefault="003623F6" w:rsidP="003623F6">
            <w:pPr>
              <w:pStyle w:val="TableParagraph"/>
              <w:spacing w:before="95"/>
              <w:ind w:left="139"/>
              <w:rPr>
                <w:rFonts w:ascii="Arial"/>
                <w:b/>
                <w:sz w:val="18"/>
                <w:szCs w:val="18"/>
                <w:lang w:val="uk-UA"/>
              </w:rPr>
            </w:pPr>
            <w:r w:rsidRPr="003623F6">
              <w:rPr>
                <w:rFonts w:ascii="Arial" w:hAnsi="Arial" w:cs="Arial"/>
                <w:b/>
                <w:color w:val="FFFFFF"/>
                <w:spacing w:val="-2"/>
                <w:sz w:val="18"/>
                <w:szCs w:val="18"/>
                <w:lang w:val="uk-UA"/>
              </w:rPr>
              <w:t xml:space="preserve">Висновок </w:t>
            </w:r>
          </w:p>
        </w:tc>
      </w:tr>
      <w:tr w:rsidR="004178B8" w:rsidRPr="003623F6" w14:paraId="16C9F5A3" w14:textId="77777777">
        <w:trPr>
          <w:trHeight w:val="385"/>
        </w:trPr>
        <w:tc>
          <w:tcPr>
            <w:tcW w:w="2164" w:type="dxa"/>
            <w:tcBorders>
              <w:left w:val="nil"/>
              <w:bottom w:val="single" w:sz="6" w:space="0" w:color="019648"/>
              <w:right w:val="nil"/>
            </w:tcBorders>
          </w:tcPr>
          <w:p w14:paraId="1936E09A" w14:textId="1E7C1AB9" w:rsidR="004178B8" w:rsidRPr="003623F6" w:rsidRDefault="0094623E" w:rsidP="004178B8">
            <w:pPr>
              <w:pStyle w:val="TableParagraph"/>
              <w:spacing w:before="76"/>
              <w:ind w:left="133"/>
              <w:rPr>
                <w:sz w:val="18"/>
                <w:szCs w:val="18"/>
                <w:lang w:val="uk-UA"/>
              </w:rPr>
            </w:pPr>
            <w:r>
              <w:rPr>
                <w:sz w:val="18"/>
                <w:szCs w:val="18"/>
                <w:lang w:val="uk-UA"/>
              </w:rPr>
              <w:t xml:space="preserve">Девід </w:t>
            </w:r>
            <w:proofErr w:type="spellStart"/>
            <w:r>
              <w:rPr>
                <w:sz w:val="18"/>
                <w:szCs w:val="18"/>
                <w:lang w:val="uk-UA"/>
              </w:rPr>
              <w:t>Браніган</w:t>
            </w:r>
            <w:proofErr w:type="spellEnd"/>
          </w:p>
        </w:tc>
        <w:tc>
          <w:tcPr>
            <w:tcW w:w="4535" w:type="dxa"/>
            <w:tcBorders>
              <w:left w:val="nil"/>
              <w:bottom w:val="single" w:sz="6" w:space="0" w:color="019648"/>
              <w:right w:val="nil"/>
            </w:tcBorders>
          </w:tcPr>
          <w:p w14:paraId="69533894" w14:textId="1E4E39AF" w:rsidR="004178B8" w:rsidRPr="003623F6" w:rsidRDefault="004178B8" w:rsidP="004178B8">
            <w:pPr>
              <w:pStyle w:val="TableParagraph"/>
              <w:spacing w:before="76"/>
              <w:rPr>
                <w:sz w:val="18"/>
                <w:szCs w:val="18"/>
                <w:lang w:val="uk-UA"/>
              </w:rPr>
            </w:pPr>
            <w:r w:rsidRPr="003623F6">
              <w:rPr>
                <w:sz w:val="18"/>
                <w:szCs w:val="18"/>
              </w:rPr>
              <w:t>Не задекларовано жодного</w:t>
            </w:r>
          </w:p>
        </w:tc>
        <w:tc>
          <w:tcPr>
            <w:tcW w:w="2388" w:type="dxa"/>
            <w:tcBorders>
              <w:left w:val="nil"/>
              <w:bottom w:val="single" w:sz="6" w:space="0" w:color="019648"/>
              <w:right w:val="nil"/>
            </w:tcBorders>
          </w:tcPr>
          <w:p w14:paraId="38AE6E4B" w14:textId="558FA984" w:rsidR="004178B8" w:rsidRPr="003623F6" w:rsidRDefault="004178B8" w:rsidP="004178B8">
            <w:pPr>
              <w:pStyle w:val="TableParagraph"/>
              <w:spacing w:before="76"/>
              <w:ind w:left="124"/>
              <w:rPr>
                <w:sz w:val="18"/>
                <w:szCs w:val="18"/>
                <w:lang w:val="uk-UA"/>
              </w:rPr>
            </w:pPr>
            <w:r w:rsidRPr="003623F6">
              <w:rPr>
                <w:sz w:val="18"/>
                <w:szCs w:val="18"/>
              </w:rPr>
              <w:t>Відсутність конфлікту інтересів</w:t>
            </w:r>
          </w:p>
        </w:tc>
      </w:tr>
      <w:tr w:rsidR="004178B8" w:rsidRPr="003623F6" w14:paraId="29A5852A" w14:textId="77777777" w:rsidTr="00340AF9">
        <w:trPr>
          <w:trHeight w:val="510"/>
        </w:trPr>
        <w:tc>
          <w:tcPr>
            <w:tcW w:w="2164" w:type="dxa"/>
            <w:tcBorders>
              <w:top w:val="single" w:sz="6" w:space="0" w:color="019648"/>
              <w:left w:val="nil"/>
              <w:bottom w:val="single" w:sz="6" w:space="0" w:color="019648"/>
              <w:right w:val="nil"/>
            </w:tcBorders>
          </w:tcPr>
          <w:p w14:paraId="5CE11F24" w14:textId="7979CEC9" w:rsidR="004178B8" w:rsidRPr="003623F6" w:rsidRDefault="0094623E" w:rsidP="004178B8">
            <w:pPr>
              <w:pStyle w:val="TableParagraph"/>
              <w:spacing w:line="249" w:lineRule="auto"/>
              <w:ind w:left="133"/>
              <w:rPr>
                <w:sz w:val="18"/>
                <w:szCs w:val="18"/>
                <w:lang w:val="uk-UA"/>
              </w:rPr>
            </w:pPr>
            <w:proofErr w:type="spellStart"/>
            <w:r>
              <w:rPr>
                <w:spacing w:val="-4"/>
                <w:sz w:val="18"/>
                <w:szCs w:val="18"/>
                <w:lang w:val="uk-UA"/>
              </w:rPr>
              <w:t>Джеремайя</w:t>
            </w:r>
            <w:proofErr w:type="spellEnd"/>
            <w:r>
              <w:rPr>
                <w:spacing w:val="-4"/>
                <w:sz w:val="18"/>
                <w:szCs w:val="18"/>
                <w:lang w:val="uk-UA"/>
              </w:rPr>
              <w:t xml:space="preserve"> </w:t>
            </w:r>
            <w:proofErr w:type="spellStart"/>
            <w:r>
              <w:rPr>
                <w:spacing w:val="-4"/>
                <w:sz w:val="18"/>
                <w:szCs w:val="18"/>
                <w:lang w:val="uk-UA"/>
              </w:rPr>
              <w:t>Чакая</w:t>
            </w:r>
            <w:proofErr w:type="spellEnd"/>
            <w:r>
              <w:rPr>
                <w:spacing w:val="-4"/>
                <w:sz w:val="18"/>
                <w:szCs w:val="18"/>
                <w:lang w:val="uk-UA"/>
              </w:rPr>
              <w:t xml:space="preserve"> </w:t>
            </w:r>
            <w:proofErr w:type="spellStart"/>
            <w:r>
              <w:rPr>
                <w:spacing w:val="-4"/>
                <w:sz w:val="18"/>
                <w:szCs w:val="18"/>
                <w:lang w:val="uk-UA"/>
              </w:rPr>
              <w:t>Мухва</w:t>
            </w:r>
            <w:proofErr w:type="spellEnd"/>
          </w:p>
        </w:tc>
        <w:tc>
          <w:tcPr>
            <w:tcW w:w="4535" w:type="dxa"/>
            <w:tcBorders>
              <w:top w:val="single" w:sz="6" w:space="0" w:color="019648"/>
              <w:left w:val="nil"/>
              <w:bottom w:val="single" w:sz="6" w:space="0" w:color="019648"/>
              <w:right w:val="nil"/>
            </w:tcBorders>
          </w:tcPr>
          <w:p w14:paraId="4374995F" w14:textId="55D19100"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88" w:type="dxa"/>
            <w:tcBorders>
              <w:top w:val="single" w:sz="6" w:space="0" w:color="019648"/>
              <w:left w:val="nil"/>
              <w:bottom w:val="single" w:sz="6" w:space="0" w:color="019648"/>
              <w:right w:val="nil"/>
            </w:tcBorders>
          </w:tcPr>
          <w:p w14:paraId="6B2C9D90" w14:textId="218DD627" w:rsidR="004178B8" w:rsidRPr="003623F6" w:rsidRDefault="004178B8" w:rsidP="004178B8">
            <w:pPr>
              <w:pStyle w:val="TableParagraph"/>
              <w:ind w:left="124"/>
              <w:rPr>
                <w:sz w:val="18"/>
                <w:szCs w:val="18"/>
                <w:lang w:val="uk-UA"/>
              </w:rPr>
            </w:pPr>
            <w:r w:rsidRPr="003623F6">
              <w:rPr>
                <w:sz w:val="18"/>
                <w:szCs w:val="18"/>
              </w:rPr>
              <w:t>Відсутність конфлікту інтересів</w:t>
            </w:r>
          </w:p>
        </w:tc>
      </w:tr>
      <w:tr w:rsidR="004178B8" w:rsidRPr="003623F6" w14:paraId="31D138F2" w14:textId="77777777" w:rsidTr="00340AF9">
        <w:trPr>
          <w:trHeight w:val="559"/>
        </w:trPr>
        <w:tc>
          <w:tcPr>
            <w:tcW w:w="2164" w:type="dxa"/>
            <w:tcBorders>
              <w:top w:val="single" w:sz="6" w:space="0" w:color="019648"/>
              <w:left w:val="nil"/>
              <w:bottom w:val="single" w:sz="6" w:space="0" w:color="019648"/>
              <w:right w:val="nil"/>
            </w:tcBorders>
          </w:tcPr>
          <w:p w14:paraId="4DC20C27" w14:textId="1D3ED3CE" w:rsidR="0094623E" w:rsidRPr="0094623E" w:rsidRDefault="0094623E" w:rsidP="0094623E">
            <w:pPr>
              <w:pStyle w:val="TableParagraph"/>
              <w:spacing w:line="249" w:lineRule="auto"/>
              <w:ind w:left="133" w:right="581"/>
              <w:rPr>
                <w:b/>
                <w:bCs/>
                <w:spacing w:val="-2"/>
                <w:sz w:val="18"/>
                <w:szCs w:val="18"/>
                <w:lang w:val="uk-UA"/>
              </w:rPr>
            </w:pPr>
            <w:proofErr w:type="spellStart"/>
            <w:r>
              <w:rPr>
                <w:spacing w:val="-2"/>
                <w:sz w:val="18"/>
                <w:szCs w:val="18"/>
                <w:lang w:val="uk-UA"/>
              </w:rPr>
              <w:t>Чамреун</w:t>
            </w:r>
            <w:proofErr w:type="spellEnd"/>
            <w:r>
              <w:rPr>
                <w:spacing w:val="-2"/>
                <w:sz w:val="18"/>
                <w:szCs w:val="18"/>
                <w:lang w:val="uk-UA"/>
              </w:rPr>
              <w:t xml:space="preserve"> Сок Чуб</w:t>
            </w:r>
          </w:p>
          <w:p w14:paraId="4DF26CCE" w14:textId="28590BB0" w:rsidR="004178B8" w:rsidRPr="003623F6" w:rsidRDefault="004178B8" w:rsidP="004178B8">
            <w:pPr>
              <w:pStyle w:val="TableParagraph"/>
              <w:spacing w:line="249" w:lineRule="auto"/>
              <w:ind w:left="133" w:right="581"/>
              <w:rPr>
                <w:sz w:val="18"/>
                <w:szCs w:val="18"/>
                <w:lang w:val="uk-UA"/>
              </w:rPr>
            </w:pPr>
          </w:p>
        </w:tc>
        <w:tc>
          <w:tcPr>
            <w:tcW w:w="4535" w:type="dxa"/>
            <w:tcBorders>
              <w:top w:val="single" w:sz="6" w:space="0" w:color="019648"/>
              <w:left w:val="nil"/>
              <w:bottom w:val="single" w:sz="6" w:space="0" w:color="019648"/>
              <w:right w:val="nil"/>
            </w:tcBorders>
          </w:tcPr>
          <w:p w14:paraId="6844FECA" w14:textId="21468507"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88" w:type="dxa"/>
            <w:tcBorders>
              <w:top w:val="single" w:sz="6" w:space="0" w:color="019648"/>
              <w:left w:val="nil"/>
              <w:bottom w:val="single" w:sz="6" w:space="0" w:color="019648"/>
              <w:right w:val="nil"/>
            </w:tcBorders>
          </w:tcPr>
          <w:p w14:paraId="39EF7110" w14:textId="7011F4BC" w:rsidR="004178B8" w:rsidRPr="003623F6" w:rsidRDefault="004178B8" w:rsidP="004178B8">
            <w:pPr>
              <w:pStyle w:val="TableParagraph"/>
              <w:ind w:left="124"/>
              <w:rPr>
                <w:sz w:val="18"/>
                <w:szCs w:val="18"/>
                <w:lang w:val="uk-UA"/>
              </w:rPr>
            </w:pPr>
            <w:r w:rsidRPr="003623F6">
              <w:rPr>
                <w:sz w:val="18"/>
                <w:szCs w:val="18"/>
              </w:rPr>
              <w:t>Відсутність конфлікту інтересів</w:t>
            </w:r>
          </w:p>
        </w:tc>
      </w:tr>
      <w:tr w:rsidR="004178B8" w:rsidRPr="003623F6" w14:paraId="432DD1FE" w14:textId="77777777">
        <w:trPr>
          <w:trHeight w:val="387"/>
        </w:trPr>
        <w:tc>
          <w:tcPr>
            <w:tcW w:w="2164" w:type="dxa"/>
            <w:tcBorders>
              <w:top w:val="single" w:sz="6" w:space="0" w:color="019648"/>
              <w:left w:val="nil"/>
              <w:bottom w:val="single" w:sz="6" w:space="0" w:color="019648"/>
              <w:right w:val="nil"/>
            </w:tcBorders>
          </w:tcPr>
          <w:p w14:paraId="4282765A" w14:textId="4C60ACFD" w:rsidR="004178B8" w:rsidRPr="003623F6" w:rsidRDefault="0094623E" w:rsidP="004178B8">
            <w:pPr>
              <w:pStyle w:val="TableParagraph"/>
              <w:ind w:left="133"/>
              <w:rPr>
                <w:sz w:val="18"/>
                <w:szCs w:val="18"/>
                <w:lang w:val="uk-UA"/>
              </w:rPr>
            </w:pPr>
            <w:proofErr w:type="spellStart"/>
            <w:r>
              <w:rPr>
                <w:sz w:val="18"/>
                <w:szCs w:val="18"/>
                <w:lang w:val="uk-UA"/>
              </w:rPr>
              <w:t>Кертрін</w:t>
            </w:r>
            <w:proofErr w:type="spellEnd"/>
            <w:r>
              <w:rPr>
                <w:sz w:val="18"/>
                <w:szCs w:val="18"/>
                <w:lang w:val="uk-UA"/>
              </w:rPr>
              <w:t xml:space="preserve"> </w:t>
            </w:r>
            <w:proofErr w:type="spellStart"/>
            <w:r>
              <w:rPr>
                <w:sz w:val="18"/>
                <w:szCs w:val="18"/>
                <w:lang w:val="uk-UA"/>
              </w:rPr>
              <w:t>Філдінг</w:t>
            </w:r>
            <w:proofErr w:type="spellEnd"/>
          </w:p>
        </w:tc>
        <w:tc>
          <w:tcPr>
            <w:tcW w:w="4535" w:type="dxa"/>
            <w:tcBorders>
              <w:top w:val="single" w:sz="6" w:space="0" w:color="019648"/>
              <w:left w:val="nil"/>
              <w:bottom w:val="single" w:sz="6" w:space="0" w:color="019648"/>
              <w:right w:val="nil"/>
            </w:tcBorders>
          </w:tcPr>
          <w:p w14:paraId="22033DC1" w14:textId="677A4333"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88" w:type="dxa"/>
            <w:tcBorders>
              <w:top w:val="single" w:sz="6" w:space="0" w:color="019648"/>
              <w:left w:val="nil"/>
              <w:bottom w:val="single" w:sz="6" w:space="0" w:color="019648"/>
              <w:right w:val="nil"/>
            </w:tcBorders>
          </w:tcPr>
          <w:p w14:paraId="7164CD88" w14:textId="5C8CA1B4" w:rsidR="004178B8" w:rsidRPr="003623F6" w:rsidRDefault="004178B8" w:rsidP="004178B8">
            <w:pPr>
              <w:pStyle w:val="TableParagraph"/>
              <w:ind w:left="124"/>
              <w:rPr>
                <w:sz w:val="18"/>
                <w:szCs w:val="18"/>
                <w:lang w:val="uk-UA"/>
              </w:rPr>
            </w:pPr>
            <w:r w:rsidRPr="003623F6">
              <w:rPr>
                <w:sz w:val="18"/>
                <w:szCs w:val="18"/>
              </w:rPr>
              <w:t>Відсутність конфлікту інтересів</w:t>
            </w:r>
          </w:p>
        </w:tc>
      </w:tr>
      <w:tr w:rsidR="004178B8" w:rsidRPr="003623F6" w14:paraId="32F7CCA0" w14:textId="77777777">
        <w:trPr>
          <w:trHeight w:val="387"/>
        </w:trPr>
        <w:tc>
          <w:tcPr>
            <w:tcW w:w="2164" w:type="dxa"/>
            <w:tcBorders>
              <w:top w:val="single" w:sz="6" w:space="0" w:color="019648"/>
              <w:left w:val="nil"/>
              <w:bottom w:val="single" w:sz="6" w:space="0" w:color="019648"/>
              <w:right w:val="nil"/>
            </w:tcBorders>
          </w:tcPr>
          <w:p w14:paraId="4FDDD337" w14:textId="14A55DC7" w:rsidR="004178B8" w:rsidRPr="003623F6" w:rsidRDefault="0094623E" w:rsidP="004178B8">
            <w:pPr>
              <w:pStyle w:val="TableParagraph"/>
              <w:ind w:left="133"/>
              <w:rPr>
                <w:sz w:val="18"/>
                <w:szCs w:val="18"/>
                <w:lang w:val="uk-UA"/>
              </w:rPr>
            </w:pPr>
            <w:proofErr w:type="spellStart"/>
            <w:r>
              <w:rPr>
                <w:spacing w:val="-2"/>
                <w:sz w:val="18"/>
                <w:szCs w:val="18"/>
                <w:lang w:val="uk-UA"/>
              </w:rPr>
              <w:t>Руміна</w:t>
            </w:r>
            <w:proofErr w:type="spellEnd"/>
            <w:r>
              <w:rPr>
                <w:spacing w:val="-2"/>
                <w:sz w:val="18"/>
                <w:szCs w:val="18"/>
                <w:lang w:val="uk-UA"/>
              </w:rPr>
              <w:t xml:space="preserve"> Хасан</w:t>
            </w:r>
          </w:p>
        </w:tc>
        <w:tc>
          <w:tcPr>
            <w:tcW w:w="4535" w:type="dxa"/>
            <w:tcBorders>
              <w:top w:val="single" w:sz="6" w:space="0" w:color="019648"/>
              <w:left w:val="nil"/>
              <w:bottom w:val="single" w:sz="6" w:space="0" w:color="019648"/>
              <w:right w:val="nil"/>
            </w:tcBorders>
          </w:tcPr>
          <w:p w14:paraId="0BFCCBEF" w14:textId="7D90937A"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88" w:type="dxa"/>
            <w:tcBorders>
              <w:top w:val="single" w:sz="6" w:space="0" w:color="019648"/>
              <w:left w:val="nil"/>
              <w:bottom w:val="single" w:sz="6" w:space="0" w:color="019648"/>
              <w:right w:val="nil"/>
            </w:tcBorders>
          </w:tcPr>
          <w:p w14:paraId="7C285953" w14:textId="7EEA304F" w:rsidR="004178B8" w:rsidRPr="003623F6" w:rsidRDefault="004178B8" w:rsidP="004178B8">
            <w:pPr>
              <w:pStyle w:val="TableParagraph"/>
              <w:ind w:left="124"/>
              <w:rPr>
                <w:sz w:val="18"/>
                <w:szCs w:val="18"/>
                <w:lang w:val="uk-UA"/>
              </w:rPr>
            </w:pPr>
            <w:r w:rsidRPr="003623F6">
              <w:rPr>
                <w:sz w:val="18"/>
                <w:szCs w:val="18"/>
              </w:rPr>
              <w:t>Відсутність конфлікту інтересів</w:t>
            </w:r>
          </w:p>
        </w:tc>
      </w:tr>
      <w:tr w:rsidR="004178B8" w:rsidRPr="003623F6" w14:paraId="50D5A5C8" w14:textId="77777777" w:rsidTr="00340AF9">
        <w:trPr>
          <w:trHeight w:val="525"/>
        </w:trPr>
        <w:tc>
          <w:tcPr>
            <w:tcW w:w="2164" w:type="dxa"/>
            <w:tcBorders>
              <w:top w:val="single" w:sz="6" w:space="0" w:color="019648"/>
              <w:left w:val="nil"/>
              <w:bottom w:val="single" w:sz="6" w:space="0" w:color="019648"/>
              <w:right w:val="nil"/>
            </w:tcBorders>
          </w:tcPr>
          <w:p w14:paraId="6771D92F" w14:textId="42E8A445" w:rsidR="004178B8" w:rsidRPr="003623F6" w:rsidRDefault="0094623E" w:rsidP="004178B8">
            <w:pPr>
              <w:pStyle w:val="TableParagraph"/>
              <w:spacing w:line="249" w:lineRule="auto"/>
              <w:ind w:left="133" w:right="249"/>
              <w:rPr>
                <w:sz w:val="18"/>
                <w:szCs w:val="18"/>
                <w:lang w:val="uk-UA"/>
              </w:rPr>
            </w:pPr>
            <w:proofErr w:type="spellStart"/>
            <w:r w:rsidRPr="0094623E">
              <w:rPr>
                <w:spacing w:val="-2"/>
                <w:sz w:val="18"/>
                <w:szCs w:val="18"/>
              </w:rPr>
              <w:t>Кобто</w:t>
            </w:r>
            <w:proofErr w:type="spellEnd"/>
            <w:r w:rsidRPr="0094623E">
              <w:rPr>
                <w:spacing w:val="-2"/>
                <w:sz w:val="18"/>
                <w:szCs w:val="18"/>
              </w:rPr>
              <w:t xml:space="preserve"> Г</w:t>
            </w:r>
            <w:r>
              <w:rPr>
                <w:spacing w:val="-2"/>
                <w:sz w:val="18"/>
                <w:szCs w:val="18"/>
                <w:lang w:val="uk-UA"/>
              </w:rPr>
              <w:t>і</w:t>
            </w:r>
            <w:proofErr w:type="spellStart"/>
            <w:r w:rsidRPr="0094623E">
              <w:rPr>
                <w:spacing w:val="-2"/>
                <w:sz w:val="18"/>
                <w:szCs w:val="18"/>
              </w:rPr>
              <w:t>слен</w:t>
            </w:r>
            <w:proofErr w:type="spellEnd"/>
            <w:r w:rsidRPr="0094623E">
              <w:rPr>
                <w:spacing w:val="-2"/>
                <w:sz w:val="18"/>
                <w:szCs w:val="18"/>
              </w:rPr>
              <w:t xml:space="preserve"> </w:t>
            </w:r>
            <w:proofErr w:type="spellStart"/>
            <w:r w:rsidRPr="0094623E">
              <w:rPr>
                <w:spacing w:val="-2"/>
                <w:sz w:val="18"/>
                <w:szCs w:val="18"/>
              </w:rPr>
              <w:t>Коура</w:t>
            </w:r>
            <w:proofErr w:type="spellEnd"/>
          </w:p>
        </w:tc>
        <w:tc>
          <w:tcPr>
            <w:tcW w:w="4535" w:type="dxa"/>
            <w:tcBorders>
              <w:top w:val="single" w:sz="6" w:space="0" w:color="019648"/>
              <w:left w:val="nil"/>
              <w:bottom w:val="single" w:sz="6" w:space="0" w:color="019648"/>
              <w:right w:val="nil"/>
            </w:tcBorders>
          </w:tcPr>
          <w:p w14:paraId="15A5CFB8" w14:textId="1BBC880C"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88" w:type="dxa"/>
            <w:tcBorders>
              <w:top w:val="single" w:sz="6" w:space="0" w:color="019648"/>
              <w:left w:val="nil"/>
              <w:bottom w:val="single" w:sz="6" w:space="0" w:color="019648"/>
              <w:right w:val="nil"/>
            </w:tcBorders>
          </w:tcPr>
          <w:p w14:paraId="151E920C" w14:textId="7C77329D" w:rsidR="004178B8" w:rsidRPr="003623F6" w:rsidRDefault="004178B8" w:rsidP="004178B8">
            <w:pPr>
              <w:pStyle w:val="TableParagraph"/>
              <w:ind w:left="124"/>
              <w:rPr>
                <w:sz w:val="18"/>
                <w:szCs w:val="18"/>
                <w:lang w:val="uk-UA"/>
              </w:rPr>
            </w:pPr>
            <w:r w:rsidRPr="003623F6">
              <w:rPr>
                <w:sz w:val="18"/>
                <w:szCs w:val="18"/>
              </w:rPr>
              <w:t>Відсутність конфлікту інтересів</w:t>
            </w:r>
          </w:p>
        </w:tc>
      </w:tr>
      <w:tr w:rsidR="004178B8" w:rsidRPr="003623F6" w14:paraId="6738BD0B" w14:textId="77777777" w:rsidTr="00340AF9">
        <w:trPr>
          <w:trHeight w:val="405"/>
        </w:trPr>
        <w:tc>
          <w:tcPr>
            <w:tcW w:w="2164" w:type="dxa"/>
            <w:tcBorders>
              <w:top w:val="single" w:sz="6" w:space="0" w:color="019648"/>
              <w:left w:val="nil"/>
              <w:bottom w:val="single" w:sz="6" w:space="0" w:color="019648"/>
              <w:right w:val="nil"/>
            </w:tcBorders>
          </w:tcPr>
          <w:p w14:paraId="263EF60A" w14:textId="6117FCAD" w:rsidR="00BD397B" w:rsidRPr="00BD397B" w:rsidRDefault="00BD397B" w:rsidP="00BD397B">
            <w:pPr>
              <w:pStyle w:val="TableParagraph"/>
              <w:spacing w:line="249" w:lineRule="auto"/>
              <w:ind w:left="133" w:right="249"/>
              <w:rPr>
                <w:spacing w:val="-2"/>
                <w:sz w:val="18"/>
                <w:szCs w:val="18"/>
                <w:lang w:val="uk-UA"/>
              </w:rPr>
            </w:pPr>
            <w:r w:rsidRPr="00BD397B">
              <w:rPr>
                <w:spacing w:val="-2"/>
                <w:sz w:val="18"/>
                <w:szCs w:val="18"/>
                <w:lang w:val="uk-UA"/>
              </w:rPr>
              <w:t>Андр</w:t>
            </w:r>
            <w:r>
              <w:rPr>
                <w:spacing w:val="-2"/>
                <w:sz w:val="18"/>
                <w:szCs w:val="18"/>
                <w:lang w:val="uk-UA"/>
              </w:rPr>
              <w:t>ій</w:t>
            </w:r>
            <w:r w:rsidRPr="00BD397B">
              <w:rPr>
                <w:spacing w:val="-2"/>
                <w:sz w:val="18"/>
                <w:szCs w:val="18"/>
                <w:lang w:val="uk-UA"/>
              </w:rPr>
              <w:t xml:space="preserve"> </w:t>
            </w:r>
            <w:proofErr w:type="spellStart"/>
            <w:r w:rsidRPr="00BD397B">
              <w:rPr>
                <w:spacing w:val="-2"/>
                <w:sz w:val="18"/>
                <w:szCs w:val="18"/>
                <w:lang w:val="uk-UA"/>
              </w:rPr>
              <w:t>Мар</w:t>
            </w:r>
            <w:r>
              <w:rPr>
                <w:spacing w:val="-2"/>
                <w:sz w:val="18"/>
                <w:szCs w:val="18"/>
                <w:lang w:val="uk-UA"/>
              </w:rPr>
              <w:t>’</w:t>
            </w:r>
            <w:r w:rsidRPr="00BD397B">
              <w:rPr>
                <w:spacing w:val="-2"/>
                <w:sz w:val="18"/>
                <w:szCs w:val="18"/>
                <w:lang w:val="uk-UA"/>
              </w:rPr>
              <w:t>янд</w:t>
            </w:r>
            <w:r>
              <w:rPr>
                <w:spacing w:val="-2"/>
                <w:sz w:val="18"/>
                <w:szCs w:val="18"/>
                <w:lang w:val="uk-UA"/>
              </w:rPr>
              <w:t>и</w:t>
            </w:r>
            <w:r w:rsidRPr="00BD397B">
              <w:rPr>
                <w:spacing w:val="-2"/>
                <w:sz w:val="18"/>
                <w:szCs w:val="18"/>
                <w:lang w:val="uk-UA"/>
              </w:rPr>
              <w:t>шев</w:t>
            </w:r>
            <w:proofErr w:type="spellEnd"/>
          </w:p>
          <w:p w14:paraId="2F45D82D" w14:textId="0BF08C31" w:rsidR="004178B8" w:rsidRPr="003623F6" w:rsidRDefault="004178B8" w:rsidP="004178B8">
            <w:pPr>
              <w:pStyle w:val="TableParagraph"/>
              <w:spacing w:line="249" w:lineRule="auto"/>
              <w:ind w:left="133" w:right="249"/>
              <w:rPr>
                <w:sz w:val="18"/>
                <w:szCs w:val="18"/>
                <w:lang w:val="uk-UA"/>
              </w:rPr>
            </w:pPr>
          </w:p>
        </w:tc>
        <w:tc>
          <w:tcPr>
            <w:tcW w:w="4535" w:type="dxa"/>
            <w:tcBorders>
              <w:top w:val="single" w:sz="6" w:space="0" w:color="019648"/>
              <w:left w:val="nil"/>
              <w:bottom w:val="single" w:sz="6" w:space="0" w:color="019648"/>
              <w:right w:val="nil"/>
            </w:tcBorders>
          </w:tcPr>
          <w:p w14:paraId="25830D1E" w14:textId="04DC7860"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88" w:type="dxa"/>
            <w:tcBorders>
              <w:top w:val="single" w:sz="6" w:space="0" w:color="019648"/>
              <w:left w:val="nil"/>
              <w:bottom w:val="single" w:sz="6" w:space="0" w:color="019648"/>
              <w:right w:val="nil"/>
            </w:tcBorders>
          </w:tcPr>
          <w:p w14:paraId="2F9AF86A" w14:textId="68729F19" w:rsidR="004178B8" w:rsidRPr="003623F6" w:rsidRDefault="004178B8" w:rsidP="004178B8">
            <w:pPr>
              <w:pStyle w:val="TableParagraph"/>
              <w:ind w:left="124"/>
              <w:rPr>
                <w:sz w:val="18"/>
                <w:szCs w:val="18"/>
                <w:lang w:val="uk-UA"/>
              </w:rPr>
            </w:pPr>
            <w:r w:rsidRPr="003623F6">
              <w:rPr>
                <w:sz w:val="18"/>
                <w:szCs w:val="18"/>
              </w:rPr>
              <w:t>Відсутність конфлікту інтересів</w:t>
            </w:r>
          </w:p>
        </w:tc>
      </w:tr>
      <w:tr w:rsidR="004178B8" w:rsidRPr="003623F6" w14:paraId="4563D69A" w14:textId="77777777">
        <w:trPr>
          <w:trHeight w:val="387"/>
        </w:trPr>
        <w:tc>
          <w:tcPr>
            <w:tcW w:w="2164" w:type="dxa"/>
            <w:tcBorders>
              <w:top w:val="single" w:sz="6" w:space="0" w:color="019648"/>
              <w:left w:val="nil"/>
              <w:bottom w:val="single" w:sz="6" w:space="0" w:color="019648"/>
              <w:right w:val="nil"/>
            </w:tcBorders>
          </w:tcPr>
          <w:p w14:paraId="06B9343A" w14:textId="7DFBCC0A" w:rsidR="004178B8" w:rsidRPr="003623F6" w:rsidRDefault="00BD397B" w:rsidP="004178B8">
            <w:pPr>
              <w:pStyle w:val="TableParagraph"/>
              <w:ind w:left="133"/>
              <w:rPr>
                <w:sz w:val="18"/>
                <w:szCs w:val="18"/>
                <w:lang w:val="uk-UA"/>
              </w:rPr>
            </w:pPr>
            <w:proofErr w:type="spellStart"/>
            <w:r w:rsidRPr="00BD397B">
              <w:rPr>
                <w:w w:val="105"/>
                <w:sz w:val="18"/>
                <w:szCs w:val="18"/>
              </w:rPr>
              <w:t>Норберт</w:t>
            </w:r>
            <w:proofErr w:type="spellEnd"/>
            <w:r w:rsidRPr="00BD397B">
              <w:rPr>
                <w:w w:val="105"/>
                <w:sz w:val="18"/>
                <w:szCs w:val="18"/>
              </w:rPr>
              <w:t xml:space="preserve"> </w:t>
            </w:r>
            <w:proofErr w:type="spellStart"/>
            <w:r w:rsidRPr="00BD397B">
              <w:rPr>
                <w:w w:val="105"/>
                <w:sz w:val="18"/>
                <w:szCs w:val="18"/>
              </w:rPr>
              <w:t>Нджека</w:t>
            </w:r>
            <w:proofErr w:type="spellEnd"/>
          </w:p>
        </w:tc>
        <w:tc>
          <w:tcPr>
            <w:tcW w:w="4535" w:type="dxa"/>
            <w:tcBorders>
              <w:top w:val="single" w:sz="6" w:space="0" w:color="019648"/>
              <w:left w:val="nil"/>
              <w:bottom w:val="single" w:sz="6" w:space="0" w:color="019648"/>
              <w:right w:val="nil"/>
            </w:tcBorders>
          </w:tcPr>
          <w:p w14:paraId="0A1557C3" w14:textId="1865D32B"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88" w:type="dxa"/>
            <w:tcBorders>
              <w:top w:val="single" w:sz="6" w:space="0" w:color="019648"/>
              <w:left w:val="nil"/>
              <w:bottom w:val="single" w:sz="6" w:space="0" w:color="019648"/>
              <w:right w:val="nil"/>
            </w:tcBorders>
          </w:tcPr>
          <w:p w14:paraId="6FD47A47" w14:textId="2C8A777B" w:rsidR="004178B8" w:rsidRPr="003623F6" w:rsidRDefault="004178B8" w:rsidP="004178B8">
            <w:pPr>
              <w:pStyle w:val="TableParagraph"/>
              <w:ind w:left="124"/>
              <w:rPr>
                <w:sz w:val="18"/>
                <w:szCs w:val="18"/>
                <w:lang w:val="uk-UA"/>
              </w:rPr>
            </w:pPr>
            <w:r w:rsidRPr="003623F6">
              <w:rPr>
                <w:sz w:val="18"/>
                <w:szCs w:val="18"/>
              </w:rPr>
              <w:t>Відсутність конфлікту інтересів</w:t>
            </w:r>
          </w:p>
        </w:tc>
      </w:tr>
      <w:tr w:rsidR="004178B8" w:rsidRPr="003623F6" w14:paraId="4D093D46" w14:textId="77777777">
        <w:trPr>
          <w:trHeight w:val="387"/>
        </w:trPr>
        <w:tc>
          <w:tcPr>
            <w:tcW w:w="2164" w:type="dxa"/>
            <w:tcBorders>
              <w:top w:val="single" w:sz="6" w:space="0" w:color="019648"/>
              <w:left w:val="nil"/>
              <w:bottom w:val="single" w:sz="6" w:space="0" w:color="019648"/>
              <w:right w:val="nil"/>
            </w:tcBorders>
          </w:tcPr>
          <w:p w14:paraId="222C9F80" w14:textId="6CAF5E72" w:rsidR="004178B8" w:rsidRPr="003623F6" w:rsidRDefault="0094623E" w:rsidP="004178B8">
            <w:pPr>
              <w:pStyle w:val="TableParagraph"/>
              <w:ind w:left="133"/>
              <w:rPr>
                <w:sz w:val="18"/>
                <w:szCs w:val="18"/>
                <w:lang w:val="uk-UA"/>
              </w:rPr>
            </w:pPr>
            <w:r>
              <w:rPr>
                <w:spacing w:val="-4"/>
                <w:sz w:val="18"/>
                <w:szCs w:val="18"/>
                <w:lang w:val="uk-UA"/>
              </w:rPr>
              <w:t>Томас Ш</w:t>
            </w:r>
            <w:r w:rsidR="001E18F2">
              <w:rPr>
                <w:spacing w:val="-4"/>
                <w:sz w:val="18"/>
                <w:szCs w:val="18"/>
                <w:lang w:val="uk-UA"/>
              </w:rPr>
              <w:t>и</w:t>
            </w:r>
            <w:r>
              <w:rPr>
                <w:spacing w:val="-4"/>
                <w:sz w:val="18"/>
                <w:szCs w:val="18"/>
                <w:lang w:val="uk-UA"/>
              </w:rPr>
              <w:t>нн</w:t>
            </w:r>
            <w:r w:rsidR="001E18F2">
              <w:rPr>
                <w:spacing w:val="-4"/>
                <w:sz w:val="18"/>
                <w:szCs w:val="18"/>
                <w:lang w:val="uk-UA"/>
              </w:rPr>
              <w:t>и</w:t>
            </w:r>
            <w:r>
              <w:rPr>
                <w:spacing w:val="-4"/>
                <w:sz w:val="18"/>
                <w:szCs w:val="18"/>
                <w:lang w:val="uk-UA"/>
              </w:rPr>
              <w:t>к</w:t>
            </w:r>
          </w:p>
        </w:tc>
        <w:tc>
          <w:tcPr>
            <w:tcW w:w="4535" w:type="dxa"/>
            <w:tcBorders>
              <w:top w:val="single" w:sz="6" w:space="0" w:color="019648"/>
              <w:left w:val="nil"/>
              <w:bottom w:val="single" w:sz="6" w:space="0" w:color="019648"/>
              <w:right w:val="nil"/>
            </w:tcBorders>
          </w:tcPr>
          <w:p w14:paraId="24EFA4E7" w14:textId="0E449E54"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88" w:type="dxa"/>
            <w:tcBorders>
              <w:top w:val="single" w:sz="6" w:space="0" w:color="019648"/>
              <w:left w:val="nil"/>
              <w:bottom w:val="single" w:sz="6" w:space="0" w:color="019648"/>
              <w:right w:val="nil"/>
            </w:tcBorders>
          </w:tcPr>
          <w:p w14:paraId="1895FCA0" w14:textId="13C3B43F" w:rsidR="004178B8" w:rsidRPr="003623F6" w:rsidRDefault="004178B8" w:rsidP="004178B8">
            <w:pPr>
              <w:pStyle w:val="TableParagraph"/>
              <w:ind w:left="124"/>
              <w:rPr>
                <w:sz w:val="18"/>
                <w:szCs w:val="18"/>
                <w:lang w:val="uk-UA"/>
              </w:rPr>
            </w:pPr>
            <w:r w:rsidRPr="003623F6">
              <w:rPr>
                <w:sz w:val="18"/>
                <w:szCs w:val="18"/>
              </w:rPr>
              <w:t>Відсутність конфлікту інтересів</w:t>
            </w:r>
          </w:p>
        </w:tc>
      </w:tr>
      <w:tr w:rsidR="004178B8" w:rsidRPr="003623F6" w14:paraId="7018443E" w14:textId="77777777">
        <w:trPr>
          <w:trHeight w:val="387"/>
        </w:trPr>
        <w:tc>
          <w:tcPr>
            <w:tcW w:w="2164" w:type="dxa"/>
            <w:tcBorders>
              <w:top w:val="single" w:sz="6" w:space="0" w:color="019648"/>
              <w:left w:val="nil"/>
              <w:bottom w:val="single" w:sz="6" w:space="0" w:color="019648"/>
              <w:right w:val="nil"/>
            </w:tcBorders>
          </w:tcPr>
          <w:p w14:paraId="76807447" w14:textId="3953A90E" w:rsidR="004178B8" w:rsidRPr="003623F6" w:rsidRDefault="0094623E" w:rsidP="004178B8">
            <w:pPr>
              <w:pStyle w:val="TableParagraph"/>
              <w:ind w:left="133"/>
              <w:rPr>
                <w:sz w:val="18"/>
                <w:szCs w:val="18"/>
                <w:lang w:val="uk-UA"/>
              </w:rPr>
            </w:pPr>
            <w:proofErr w:type="spellStart"/>
            <w:r>
              <w:rPr>
                <w:sz w:val="18"/>
                <w:szCs w:val="18"/>
                <w:lang w:val="uk-UA"/>
              </w:rPr>
              <w:t>Ходжун</w:t>
            </w:r>
            <w:proofErr w:type="spellEnd"/>
            <w:r>
              <w:rPr>
                <w:sz w:val="18"/>
                <w:szCs w:val="18"/>
                <w:lang w:val="uk-UA"/>
              </w:rPr>
              <w:t xml:space="preserve"> Сон</w:t>
            </w:r>
          </w:p>
        </w:tc>
        <w:tc>
          <w:tcPr>
            <w:tcW w:w="4535" w:type="dxa"/>
            <w:tcBorders>
              <w:top w:val="single" w:sz="6" w:space="0" w:color="019648"/>
              <w:left w:val="nil"/>
              <w:bottom w:val="single" w:sz="6" w:space="0" w:color="019648"/>
              <w:right w:val="nil"/>
            </w:tcBorders>
          </w:tcPr>
          <w:p w14:paraId="38F9BD6E" w14:textId="752E38E1"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88" w:type="dxa"/>
            <w:tcBorders>
              <w:top w:val="single" w:sz="6" w:space="0" w:color="019648"/>
              <w:left w:val="nil"/>
              <w:bottom w:val="single" w:sz="6" w:space="0" w:color="019648"/>
              <w:right w:val="nil"/>
            </w:tcBorders>
          </w:tcPr>
          <w:p w14:paraId="5FE505B1" w14:textId="080D0955" w:rsidR="004178B8" w:rsidRPr="003623F6" w:rsidRDefault="004178B8" w:rsidP="004178B8">
            <w:pPr>
              <w:pStyle w:val="TableParagraph"/>
              <w:ind w:left="124"/>
              <w:rPr>
                <w:sz w:val="18"/>
                <w:szCs w:val="18"/>
                <w:lang w:val="uk-UA"/>
              </w:rPr>
            </w:pPr>
            <w:r w:rsidRPr="003623F6">
              <w:rPr>
                <w:sz w:val="18"/>
                <w:szCs w:val="18"/>
              </w:rPr>
              <w:t>Відсутність конфлікту інтересів</w:t>
            </w:r>
          </w:p>
        </w:tc>
      </w:tr>
      <w:tr w:rsidR="004178B8" w:rsidRPr="003623F6" w14:paraId="7ED9BA04" w14:textId="77777777">
        <w:trPr>
          <w:trHeight w:val="387"/>
        </w:trPr>
        <w:tc>
          <w:tcPr>
            <w:tcW w:w="2164" w:type="dxa"/>
            <w:tcBorders>
              <w:top w:val="single" w:sz="6" w:space="0" w:color="019648"/>
              <w:left w:val="nil"/>
              <w:bottom w:val="single" w:sz="6" w:space="0" w:color="019648"/>
              <w:right w:val="nil"/>
            </w:tcBorders>
          </w:tcPr>
          <w:p w14:paraId="6DFF02C5" w14:textId="15AFE264" w:rsidR="004178B8" w:rsidRPr="003623F6" w:rsidRDefault="0094623E" w:rsidP="004178B8">
            <w:pPr>
              <w:pStyle w:val="TableParagraph"/>
              <w:ind w:left="133"/>
              <w:rPr>
                <w:sz w:val="18"/>
                <w:szCs w:val="18"/>
                <w:lang w:val="uk-UA"/>
              </w:rPr>
            </w:pPr>
            <w:proofErr w:type="spellStart"/>
            <w:r>
              <w:rPr>
                <w:spacing w:val="-5"/>
                <w:sz w:val="18"/>
                <w:szCs w:val="18"/>
                <w:lang w:val="uk-UA"/>
              </w:rPr>
              <w:t>Сабіра</w:t>
            </w:r>
            <w:proofErr w:type="spellEnd"/>
            <w:r>
              <w:rPr>
                <w:spacing w:val="-5"/>
                <w:sz w:val="18"/>
                <w:szCs w:val="18"/>
                <w:lang w:val="uk-UA"/>
              </w:rPr>
              <w:t xml:space="preserve"> </w:t>
            </w:r>
            <w:proofErr w:type="spellStart"/>
            <w:r>
              <w:rPr>
                <w:spacing w:val="-5"/>
                <w:sz w:val="18"/>
                <w:szCs w:val="18"/>
                <w:lang w:val="uk-UA"/>
              </w:rPr>
              <w:t>Тахсін</w:t>
            </w:r>
            <w:proofErr w:type="spellEnd"/>
          </w:p>
        </w:tc>
        <w:tc>
          <w:tcPr>
            <w:tcW w:w="4535" w:type="dxa"/>
            <w:tcBorders>
              <w:top w:val="single" w:sz="6" w:space="0" w:color="019648"/>
              <w:left w:val="nil"/>
              <w:bottom w:val="single" w:sz="6" w:space="0" w:color="019648"/>
              <w:right w:val="nil"/>
            </w:tcBorders>
          </w:tcPr>
          <w:p w14:paraId="6B1A3055" w14:textId="511DF782" w:rsidR="004178B8" w:rsidRPr="003623F6" w:rsidRDefault="004178B8" w:rsidP="004178B8">
            <w:pPr>
              <w:pStyle w:val="TableParagraph"/>
              <w:rPr>
                <w:sz w:val="18"/>
                <w:szCs w:val="18"/>
                <w:lang w:val="uk-UA"/>
              </w:rPr>
            </w:pPr>
            <w:r w:rsidRPr="003623F6">
              <w:rPr>
                <w:sz w:val="18"/>
                <w:szCs w:val="18"/>
              </w:rPr>
              <w:t>Не задекларовано жодного</w:t>
            </w:r>
          </w:p>
        </w:tc>
        <w:tc>
          <w:tcPr>
            <w:tcW w:w="2388" w:type="dxa"/>
            <w:tcBorders>
              <w:top w:val="single" w:sz="6" w:space="0" w:color="019648"/>
              <w:left w:val="nil"/>
              <w:bottom w:val="single" w:sz="6" w:space="0" w:color="019648"/>
              <w:right w:val="nil"/>
            </w:tcBorders>
          </w:tcPr>
          <w:p w14:paraId="66BD14F4" w14:textId="6229DD9E" w:rsidR="004178B8" w:rsidRPr="003623F6" w:rsidRDefault="004178B8" w:rsidP="004178B8">
            <w:pPr>
              <w:pStyle w:val="TableParagraph"/>
              <w:ind w:left="124"/>
              <w:rPr>
                <w:sz w:val="18"/>
                <w:szCs w:val="18"/>
                <w:lang w:val="uk-UA"/>
              </w:rPr>
            </w:pPr>
            <w:r w:rsidRPr="003623F6">
              <w:rPr>
                <w:sz w:val="18"/>
                <w:szCs w:val="18"/>
              </w:rPr>
              <w:t>Відсутність конфлікту інтересів</w:t>
            </w:r>
          </w:p>
        </w:tc>
      </w:tr>
    </w:tbl>
    <w:p w14:paraId="01C22272" w14:textId="77777777" w:rsidR="00E05B98" w:rsidRPr="003623F6" w:rsidRDefault="00E05B98">
      <w:pPr>
        <w:pStyle w:val="TableParagraph"/>
        <w:rPr>
          <w:sz w:val="18"/>
          <w:szCs w:val="18"/>
          <w:lang w:val="uk-UA"/>
        </w:rPr>
        <w:sectPr w:rsidR="00E05B98" w:rsidRPr="003623F6" w:rsidSect="00340AF9">
          <w:pgSz w:w="11910" w:h="16840"/>
          <w:pgMar w:top="993" w:right="1275" w:bottom="1276" w:left="850" w:header="0" w:footer="573" w:gutter="0"/>
          <w:cols w:space="720"/>
        </w:sectPr>
      </w:pPr>
    </w:p>
    <w:tbl>
      <w:tblPr>
        <w:tblStyle w:val="TableNormal"/>
        <w:tblW w:w="0" w:type="auto"/>
        <w:tblInd w:w="57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2164"/>
        <w:gridCol w:w="4535"/>
        <w:gridCol w:w="2388"/>
      </w:tblGrid>
      <w:tr w:rsidR="003623F6" w:rsidRPr="003623F6" w14:paraId="0C9588C5" w14:textId="77777777">
        <w:trPr>
          <w:trHeight w:val="428"/>
        </w:trPr>
        <w:tc>
          <w:tcPr>
            <w:tcW w:w="2164" w:type="dxa"/>
            <w:tcBorders>
              <w:right w:val="single" w:sz="6" w:space="0" w:color="019648"/>
            </w:tcBorders>
            <w:shd w:val="clear" w:color="auto" w:fill="62A86B"/>
          </w:tcPr>
          <w:p w14:paraId="0FB00D9D" w14:textId="7C98926B" w:rsidR="003623F6" w:rsidRPr="003623F6" w:rsidRDefault="003623F6" w:rsidP="003623F6">
            <w:pPr>
              <w:pStyle w:val="TableParagraph"/>
              <w:spacing w:before="95"/>
              <w:ind w:left="146"/>
              <w:rPr>
                <w:rFonts w:ascii="Arial"/>
                <w:b/>
                <w:sz w:val="18"/>
                <w:szCs w:val="18"/>
                <w:lang w:val="uk-UA"/>
              </w:rPr>
            </w:pPr>
            <w:r w:rsidRPr="003623F6">
              <w:rPr>
                <w:rFonts w:ascii="Arial" w:hAnsi="Arial" w:cs="Arial"/>
                <w:b/>
                <w:color w:val="FFFFFF"/>
                <w:spacing w:val="-9"/>
                <w:sz w:val="18"/>
                <w:szCs w:val="18"/>
                <w:lang w:val="uk-UA"/>
              </w:rPr>
              <w:lastRenderedPageBreak/>
              <w:t>Член ГРН</w:t>
            </w:r>
          </w:p>
        </w:tc>
        <w:tc>
          <w:tcPr>
            <w:tcW w:w="4535" w:type="dxa"/>
            <w:tcBorders>
              <w:left w:val="single" w:sz="6" w:space="0" w:color="019648"/>
              <w:right w:val="single" w:sz="6" w:space="0" w:color="019648"/>
            </w:tcBorders>
            <w:shd w:val="clear" w:color="auto" w:fill="62A86B"/>
          </w:tcPr>
          <w:p w14:paraId="7006FB3A" w14:textId="2A94C57E" w:rsidR="003623F6" w:rsidRPr="003623F6" w:rsidRDefault="003623F6" w:rsidP="003623F6">
            <w:pPr>
              <w:pStyle w:val="TableParagraph"/>
              <w:spacing w:before="95"/>
              <w:ind w:left="138"/>
              <w:rPr>
                <w:rFonts w:ascii="Arial"/>
                <w:b/>
                <w:sz w:val="18"/>
                <w:szCs w:val="18"/>
                <w:lang w:val="uk-UA"/>
              </w:rPr>
            </w:pPr>
            <w:r w:rsidRPr="003623F6">
              <w:rPr>
                <w:rFonts w:ascii="Arial" w:hAnsi="Arial" w:cs="Arial"/>
                <w:b/>
                <w:color w:val="FFFFFF"/>
                <w:spacing w:val="-2"/>
                <w:sz w:val="18"/>
                <w:szCs w:val="18"/>
                <w:lang w:val="uk-UA"/>
              </w:rPr>
              <w:t>Задекларовані інтереси</w:t>
            </w:r>
          </w:p>
        </w:tc>
        <w:tc>
          <w:tcPr>
            <w:tcW w:w="2388" w:type="dxa"/>
            <w:tcBorders>
              <w:left w:val="single" w:sz="6" w:space="0" w:color="019648"/>
              <w:right w:val="single" w:sz="6" w:space="0" w:color="019648"/>
            </w:tcBorders>
            <w:shd w:val="clear" w:color="auto" w:fill="62A86B"/>
          </w:tcPr>
          <w:p w14:paraId="56E0E3F1" w14:textId="6B174FEB" w:rsidR="003623F6" w:rsidRPr="003623F6" w:rsidRDefault="003623F6" w:rsidP="003623F6">
            <w:pPr>
              <w:pStyle w:val="TableParagraph"/>
              <w:spacing w:before="95"/>
              <w:ind w:left="139"/>
              <w:rPr>
                <w:rFonts w:ascii="Arial"/>
                <w:b/>
                <w:sz w:val="18"/>
                <w:szCs w:val="18"/>
                <w:lang w:val="uk-UA"/>
              </w:rPr>
            </w:pPr>
            <w:r w:rsidRPr="003623F6">
              <w:rPr>
                <w:rFonts w:ascii="Arial" w:hAnsi="Arial" w:cs="Arial"/>
                <w:b/>
                <w:color w:val="FFFFFF"/>
                <w:spacing w:val="-2"/>
                <w:sz w:val="18"/>
                <w:szCs w:val="18"/>
                <w:lang w:val="uk-UA"/>
              </w:rPr>
              <w:t xml:space="preserve">Висновок </w:t>
            </w:r>
          </w:p>
        </w:tc>
      </w:tr>
      <w:tr w:rsidR="0029215F" w:rsidRPr="003623F6" w14:paraId="0165CC3B" w14:textId="77777777">
        <w:trPr>
          <w:trHeight w:val="385"/>
        </w:trPr>
        <w:tc>
          <w:tcPr>
            <w:tcW w:w="2164" w:type="dxa"/>
            <w:tcBorders>
              <w:left w:val="nil"/>
              <w:bottom w:val="single" w:sz="6" w:space="0" w:color="019648"/>
              <w:right w:val="nil"/>
            </w:tcBorders>
          </w:tcPr>
          <w:p w14:paraId="5FAC967A" w14:textId="390D8E6C" w:rsidR="0029215F" w:rsidRPr="003623F6" w:rsidRDefault="0094623E" w:rsidP="0029215F">
            <w:pPr>
              <w:pStyle w:val="TableParagraph"/>
              <w:spacing w:before="76"/>
              <w:ind w:left="133"/>
              <w:rPr>
                <w:sz w:val="18"/>
                <w:szCs w:val="18"/>
                <w:lang w:val="uk-UA"/>
              </w:rPr>
            </w:pPr>
            <w:r>
              <w:rPr>
                <w:sz w:val="18"/>
                <w:szCs w:val="18"/>
                <w:lang w:val="uk-UA"/>
              </w:rPr>
              <w:t xml:space="preserve">Тімоті </w:t>
            </w:r>
            <w:proofErr w:type="spellStart"/>
            <w:r>
              <w:rPr>
                <w:sz w:val="18"/>
                <w:szCs w:val="18"/>
                <w:lang w:val="uk-UA"/>
              </w:rPr>
              <w:t>Уолкер</w:t>
            </w:r>
            <w:proofErr w:type="spellEnd"/>
          </w:p>
        </w:tc>
        <w:tc>
          <w:tcPr>
            <w:tcW w:w="4535" w:type="dxa"/>
            <w:tcBorders>
              <w:left w:val="nil"/>
              <w:bottom w:val="single" w:sz="6" w:space="0" w:color="019648"/>
              <w:right w:val="nil"/>
            </w:tcBorders>
          </w:tcPr>
          <w:p w14:paraId="7B15A6E6" w14:textId="6AF0BBF6" w:rsidR="0029215F" w:rsidRPr="003623F6" w:rsidRDefault="0029215F" w:rsidP="0029215F">
            <w:pPr>
              <w:pStyle w:val="TableParagraph"/>
              <w:spacing w:before="76"/>
              <w:rPr>
                <w:sz w:val="18"/>
                <w:szCs w:val="18"/>
                <w:lang w:val="uk-UA"/>
              </w:rPr>
            </w:pPr>
            <w:r w:rsidRPr="003623F6">
              <w:rPr>
                <w:sz w:val="18"/>
                <w:szCs w:val="18"/>
              </w:rPr>
              <w:t>Не задекларовано жодного</w:t>
            </w:r>
          </w:p>
        </w:tc>
        <w:tc>
          <w:tcPr>
            <w:tcW w:w="2388" w:type="dxa"/>
            <w:tcBorders>
              <w:left w:val="nil"/>
              <w:bottom w:val="single" w:sz="6" w:space="0" w:color="019648"/>
              <w:right w:val="nil"/>
            </w:tcBorders>
          </w:tcPr>
          <w:p w14:paraId="08B0CAEE" w14:textId="18040E2E" w:rsidR="0029215F" w:rsidRPr="003623F6" w:rsidRDefault="0029215F" w:rsidP="0029215F">
            <w:pPr>
              <w:pStyle w:val="TableParagraph"/>
              <w:spacing w:before="76"/>
              <w:ind w:left="124"/>
              <w:rPr>
                <w:sz w:val="18"/>
                <w:szCs w:val="18"/>
                <w:lang w:val="uk-UA"/>
              </w:rPr>
            </w:pPr>
            <w:r w:rsidRPr="003623F6">
              <w:rPr>
                <w:sz w:val="18"/>
                <w:szCs w:val="18"/>
              </w:rPr>
              <w:t>Відсутність конфлікту інтересів</w:t>
            </w:r>
          </w:p>
        </w:tc>
      </w:tr>
      <w:tr w:rsidR="0029215F" w:rsidRPr="003623F6" w14:paraId="6B61565D" w14:textId="77777777">
        <w:trPr>
          <w:trHeight w:val="387"/>
        </w:trPr>
        <w:tc>
          <w:tcPr>
            <w:tcW w:w="2164" w:type="dxa"/>
            <w:tcBorders>
              <w:top w:val="single" w:sz="6" w:space="0" w:color="019648"/>
              <w:left w:val="nil"/>
              <w:bottom w:val="single" w:sz="6" w:space="0" w:color="019648"/>
              <w:right w:val="nil"/>
            </w:tcBorders>
          </w:tcPr>
          <w:p w14:paraId="395896A7" w14:textId="219F5B51" w:rsidR="0029215F" w:rsidRPr="003623F6" w:rsidRDefault="00BD397B" w:rsidP="0029215F">
            <w:pPr>
              <w:pStyle w:val="TableParagraph"/>
              <w:ind w:left="133"/>
              <w:rPr>
                <w:sz w:val="18"/>
                <w:szCs w:val="18"/>
                <w:lang w:val="uk-UA"/>
              </w:rPr>
            </w:pPr>
            <w:proofErr w:type="spellStart"/>
            <w:r>
              <w:rPr>
                <w:sz w:val="18"/>
                <w:szCs w:val="18"/>
                <w:lang w:val="uk-UA"/>
              </w:rPr>
              <w:t>Оу</w:t>
            </w:r>
            <w:proofErr w:type="spellEnd"/>
            <w:r>
              <w:rPr>
                <w:sz w:val="18"/>
                <w:szCs w:val="18"/>
                <w:lang w:val="uk-UA"/>
              </w:rPr>
              <w:t xml:space="preserve"> </w:t>
            </w:r>
            <w:proofErr w:type="spellStart"/>
            <w:r>
              <w:rPr>
                <w:sz w:val="18"/>
                <w:szCs w:val="18"/>
                <w:lang w:val="uk-UA"/>
              </w:rPr>
              <w:t>Січао</w:t>
            </w:r>
            <w:proofErr w:type="spellEnd"/>
          </w:p>
        </w:tc>
        <w:tc>
          <w:tcPr>
            <w:tcW w:w="4535" w:type="dxa"/>
            <w:tcBorders>
              <w:top w:val="single" w:sz="6" w:space="0" w:color="019648"/>
              <w:left w:val="nil"/>
              <w:bottom w:val="single" w:sz="6" w:space="0" w:color="019648"/>
              <w:right w:val="nil"/>
            </w:tcBorders>
          </w:tcPr>
          <w:p w14:paraId="16984662" w14:textId="15C17596" w:rsidR="0029215F" w:rsidRPr="003623F6" w:rsidRDefault="0029215F" w:rsidP="0029215F">
            <w:pPr>
              <w:pStyle w:val="TableParagraph"/>
              <w:rPr>
                <w:sz w:val="18"/>
                <w:szCs w:val="18"/>
                <w:lang w:val="uk-UA"/>
              </w:rPr>
            </w:pPr>
            <w:r w:rsidRPr="003623F6">
              <w:rPr>
                <w:sz w:val="18"/>
                <w:szCs w:val="18"/>
              </w:rPr>
              <w:t>Не задекларовано жодного</w:t>
            </w:r>
          </w:p>
        </w:tc>
        <w:tc>
          <w:tcPr>
            <w:tcW w:w="2388" w:type="dxa"/>
            <w:tcBorders>
              <w:top w:val="single" w:sz="6" w:space="0" w:color="019648"/>
              <w:left w:val="nil"/>
              <w:bottom w:val="single" w:sz="6" w:space="0" w:color="019648"/>
              <w:right w:val="nil"/>
            </w:tcBorders>
          </w:tcPr>
          <w:p w14:paraId="6AD0E801" w14:textId="265E0C91" w:rsidR="0029215F" w:rsidRPr="003623F6" w:rsidRDefault="0029215F" w:rsidP="0029215F">
            <w:pPr>
              <w:pStyle w:val="TableParagraph"/>
              <w:ind w:left="124"/>
              <w:rPr>
                <w:sz w:val="18"/>
                <w:szCs w:val="18"/>
                <w:lang w:val="uk-UA"/>
              </w:rPr>
            </w:pPr>
            <w:r w:rsidRPr="003623F6">
              <w:rPr>
                <w:sz w:val="18"/>
                <w:szCs w:val="18"/>
              </w:rPr>
              <w:t>Відсутність конфлікту інтересів</w:t>
            </w:r>
          </w:p>
        </w:tc>
      </w:tr>
      <w:tr w:rsidR="00E05B98" w:rsidRPr="003623F6" w14:paraId="425297C8" w14:textId="77777777" w:rsidTr="00340AF9">
        <w:trPr>
          <w:trHeight w:val="804"/>
        </w:trPr>
        <w:tc>
          <w:tcPr>
            <w:tcW w:w="2164" w:type="dxa"/>
            <w:tcBorders>
              <w:top w:val="single" w:sz="6" w:space="0" w:color="019648"/>
              <w:left w:val="nil"/>
              <w:bottom w:val="single" w:sz="6" w:space="0" w:color="019648"/>
              <w:right w:val="nil"/>
            </w:tcBorders>
          </w:tcPr>
          <w:p w14:paraId="103B0C20" w14:textId="597819EF" w:rsidR="00E05B98" w:rsidRPr="003623F6" w:rsidRDefault="0094623E">
            <w:pPr>
              <w:pStyle w:val="TableParagraph"/>
              <w:ind w:left="133"/>
              <w:rPr>
                <w:sz w:val="18"/>
                <w:szCs w:val="18"/>
                <w:lang w:val="uk-UA"/>
              </w:rPr>
            </w:pPr>
            <w:proofErr w:type="spellStart"/>
            <w:r>
              <w:rPr>
                <w:spacing w:val="-2"/>
                <w:sz w:val="18"/>
                <w:szCs w:val="18"/>
                <w:lang w:val="uk-UA"/>
              </w:rPr>
              <w:t>Даніела</w:t>
            </w:r>
            <w:proofErr w:type="spellEnd"/>
            <w:r>
              <w:rPr>
                <w:spacing w:val="-2"/>
                <w:sz w:val="18"/>
                <w:szCs w:val="18"/>
                <w:lang w:val="uk-UA"/>
              </w:rPr>
              <w:t xml:space="preserve"> </w:t>
            </w:r>
            <w:proofErr w:type="spellStart"/>
            <w:r>
              <w:rPr>
                <w:spacing w:val="-2"/>
                <w:sz w:val="18"/>
                <w:szCs w:val="18"/>
                <w:lang w:val="uk-UA"/>
              </w:rPr>
              <w:t>Чірілло</w:t>
            </w:r>
            <w:proofErr w:type="spellEnd"/>
          </w:p>
        </w:tc>
        <w:tc>
          <w:tcPr>
            <w:tcW w:w="4535" w:type="dxa"/>
            <w:tcBorders>
              <w:top w:val="single" w:sz="6" w:space="0" w:color="019648"/>
              <w:left w:val="nil"/>
              <w:bottom w:val="single" w:sz="6" w:space="0" w:color="019648"/>
              <w:right w:val="nil"/>
            </w:tcBorders>
          </w:tcPr>
          <w:p w14:paraId="444CCF1D" w14:textId="78C47E1C" w:rsidR="00E05B98" w:rsidRPr="003623F6" w:rsidRDefault="009B78BD">
            <w:pPr>
              <w:pStyle w:val="TableParagraph"/>
              <w:spacing w:line="249" w:lineRule="auto"/>
              <w:rPr>
                <w:sz w:val="18"/>
                <w:szCs w:val="18"/>
                <w:lang w:val="uk-UA"/>
              </w:rPr>
            </w:pPr>
            <w:r w:rsidRPr="009B78BD">
              <w:rPr>
                <w:w w:val="105"/>
                <w:sz w:val="18"/>
                <w:szCs w:val="18"/>
                <w:lang w:val="uk-UA"/>
              </w:rPr>
              <w:t>Валідація стандартного методу визначення МІК (компанії BD/</w:t>
            </w:r>
            <w:proofErr w:type="spellStart"/>
            <w:r w:rsidRPr="009B78BD">
              <w:rPr>
                <w:w w:val="105"/>
                <w:sz w:val="18"/>
                <w:szCs w:val="18"/>
                <w:lang w:val="uk-UA"/>
              </w:rPr>
              <w:t>Jannsen</w:t>
            </w:r>
            <w:proofErr w:type="spellEnd"/>
            <w:r w:rsidRPr="009B78BD">
              <w:rPr>
                <w:w w:val="105"/>
                <w:sz w:val="18"/>
                <w:szCs w:val="18"/>
                <w:lang w:val="uk-UA"/>
              </w:rPr>
              <w:t>) для дослідницького підрозділу припинена у 2023 році</w:t>
            </w:r>
          </w:p>
        </w:tc>
        <w:tc>
          <w:tcPr>
            <w:tcW w:w="2388" w:type="dxa"/>
            <w:tcBorders>
              <w:top w:val="single" w:sz="6" w:space="0" w:color="019648"/>
              <w:left w:val="nil"/>
              <w:bottom w:val="single" w:sz="6" w:space="0" w:color="019648"/>
              <w:right w:val="nil"/>
            </w:tcBorders>
          </w:tcPr>
          <w:p w14:paraId="51B25ACF" w14:textId="56BC557E" w:rsidR="00E05B98" w:rsidRPr="003623F6" w:rsidRDefault="0029215F" w:rsidP="0029215F">
            <w:pPr>
              <w:pStyle w:val="TableParagraph"/>
              <w:spacing w:line="249" w:lineRule="auto"/>
              <w:ind w:left="124"/>
              <w:rPr>
                <w:sz w:val="18"/>
                <w:szCs w:val="18"/>
                <w:lang w:val="uk-UA"/>
              </w:rPr>
            </w:pPr>
            <w:r w:rsidRPr="003623F6">
              <w:rPr>
                <w:w w:val="105"/>
                <w:sz w:val="18"/>
                <w:szCs w:val="18"/>
                <w:lang w:val="uk-UA"/>
              </w:rPr>
              <w:t>Незначний конфлікт інтересів</w:t>
            </w:r>
          </w:p>
        </w:tc>
      </w:tr>
      <w:tr w:rsidR="0029215F" w:rsidRPr="003623F6" w14:paraId="56853053" w14:textId="77777777">
        <w:trPr>
          <w:trHeight w:val="2377"/>
        </w:trPr>
        <w:tc>
          <w:tcPr>
            <w:tcW w:w="2164" w:type="dxa"/>
            <w:tcBorders>
              <w:top w:val="single" w:sz="6" w:space="0" w:color="019648"/>
              <w:left w:val="nil"/>
              <w:bottom w:val="single" w:sz="6" w:space="0" w:color="019648"/>
              <w:right w:val="nil"/>
            </w:tcBorders>
          </w:tcPr>
          <w:p w14:paraId="7595B2AA" w14:textId="7C8B682D" w:rsidR="0029215F" w:rsidRPr="003623F6" w:rsidRDefault="00BD397B" w:rsidP="0029215F">
            <w:pPr>
              <w:pStyle w:val="TableParagraph"/>
              <w:ind w:left="133"/>
              <w:rPr>
                <w:sz w:val="18"/>
                <w:szCs w:val="18"/>
                <w:lang w:val="uk-UA"/>
              </w:rPr>
            </w:pPr>
            <w:proofErr w:type="spellStart"/>
            <w:r w:rsidRPr="00BD397B">
              <w:rPr>
                <w:sz w:val="18"/>
                <w:szCs w:val="18"/>
              </w:rPr>
              <w:t>Кертан</w:t>
            </w:r>
            <w:proofErr w:type="spellEnd"/>
            <w:r w:rsidRPr="00BD397B">
              <w:rPr>
                <w:sz w:val="18"/>
                <w:szCs w:val="18"/>
              </w:rPr>
              <w:t xml:space="preserve"> </w:t>
            </w:r>
            <w:proofErr w:type="spellStart"/>
            <w:r w:rsidRPr="00BD397B">
              <w:rPr>
                <w:sz w:val="18"/>
                <w:szCs w:val="18"/>
              </w:rPr>
              <w:t>Дхеда</w:t>
            </w:r>
            <w:proofErr w:type="spellEnd"/>
          </w:p>
        </w:tc>
        <w:tc>
          <w:tcPr>
            <w:tcW w:w="4535" w:type="dxa"/>
            <w:tcBorders>
              <w:top w:val="single" w:sz="6" w:space="0" w:color="019648"/>
              <w:left w:val="nil"/>
              <w:bottom w:val="single" w:sz="6" w:space="0" w:color="019648"/>
              <w:right w:val="nil"/>
            </w:tcBorders>
          </w:tcPr>
          <w:p w14:paraId="02223821" w14:textId="6F584EF1" w:rsidR="00581DCF" w:rsidRPr="00581DCF" w:rsidRDefault="00581DCF" w:rsidP="00581DCF">
            <w:pPr>
              <w:pStyle w:val="TableParagraph"/>
              <w:spacing w:line="249" w:lineRule="auto"/>
              <w:rPr>
                <w:sz w:val="18"/>
                <w:szCs w:val="18"/>
                <w:lang w:val="uk-UA"/>
              </w:rPr>
            </w:pPr>
            <w:r w:rsidRPr="00D23BEF">
              <w:rPr>
                <w:sz w:val="18"/>
                <w:szCs w:val="18"/>
                <w:lang w:val="uk-UA"/>
              </w:rPr>
              <w:t xml:space="preserve">Грант на проведення досліджень з оцінки </w:t>
            </w:r>
            <w:proofErr w:type="spellStart"/>
            <w:r w:rsidRPr="00D23BEF">
              <w:rPr>
                <w:sz w:val="18"/>
                <w:szCs w:val="18"/>
                <w:lang w:val="uk-UA"/>
              </w:rPr>
              <w:t>транскриптомно</w:t>
            </w:r>
            <w:r w:rsidR="00D23BEF" w:rsidRPr="00D23BEF">
              <w:rPr>
                <w:sz w:val="18"/>
                <w:szCs w:val="18"/>
                <w:lang w:val="uk-UA"/>
              </w:rPr>
              <w:t>ї</w:t>
            </w:r>
            <w:proofErr w:type="spellEnd"/>
            <w:r w:rsidR="00D23BEF" w:rsidRPr="00D23BEF">
              <w:rPr>
                <w:sz w:val="18"/>
                <w:szCs w:val="18"/>
                <w:lang w:val="uk-UA"/>
              </w:rPr>
              <w:t xml:space="preserve"> сигнатури </w:t>
            </w:r>
            <w:r w:rsidRPr="00D23BEF">
              <w:rPr>
                <w:sz w:val="18"/>
                <w:szCs w:val="18"/>
                <w:lang w:val="uk-UA"/>
              </w:rPr>
              <w:t xml:space="preserve">для </w:t>
            </w:r>
            <w:proofErr w:type="spellStart"/>
            <w:r w:rsidRPr="00D23BEF">
              <w:rPr>
                <w:sz w:val="18"/>
                <w:szCs w:val="18"/>
                <w:lang w:val="uk-UA"/>
              </w:rPr>
              <w:t>BioMerieux</w:t>
            </w:r>
            <w:proofErr w:type="spellEnd"/>
            <w:r w:rsidRPr="00581DCF">
              <w:rPr>
                <w:sz w:val="18"/>
                <w:szCs w:val="18"/>
                <w:lang w:val="uk-UA"/>
              </w:rPr>
              <w:t xml:space="preserve"> (грант надано Інституту легень Університету Кейптауна);</w:t>
            </w:r>
          </w:p>
          <w:p w14:paraId="75D0004F" w14:textId="77777777" w:rsidR="00581DCF" w:rsidRPr="00581DCF" w:rsidRDefault="00581DCF" w:rsidP="00581DCF">
            <w:pPr>
              <w:pStyle w:val="TableParagraph"/>
              <w:spacing w:line="249" w:lineRule="auto"/>
              <w:rPr>
                <w:sz w:val="18"/>
                <w:szCs w:val="18"/>
                <w:lang w:val="uk-UA"/>
              </w:rPr>
            </w:pPr>
            <w:r w:rsidRPr="00581DCF">
              <w:rPr>
                <w:sz w:val="18"/>
                <w:szCs w:val="18"/>
                <w:lang w:val="uk-UA"/>
              </w:rPr>
              <w:t xml:space="preserve">Гонорари за участь у роботі бюро доповідачів/лекторів або за проведення тренінгів від </w:t>
            </w:r>
            <w:proofErr w:type="spellStart"/>
            <w:r w:rsidRPr="00581DCF">
              <w:rPr>
                <w:sz w:val="18"/>
                <w:szCs w:val="18"/>
                <w:lang w:val="uk-UA"/>
              </w:rPr>
              <w:t>Otsuka</w:t>
            </w:r>
            <w:proofErr w:type="spellEnd"/>
            <w:r w:rsidRPr="00581DCF">
              <w:rPr>
                <w:sz w:val="18"/>
                <w:szCs w:val="18"/>
                <w:lang w:val="uk-UA"/>
              </w:rPr>
              <w:t xml:space="preserve"> TB Drug;</w:t>
            </w:r>
          </w:p>
          <w:p w14:paraId="68E654F1" w14:textId="7C5310C6" w:rsidR="0029215F" w:rsidRPr="003623F6" w:rsidRDefault="00581DCF" w:rsidP="00581DCF">
            <w:pPr>
              <w:pStyle w:val="TableParagraph"/>
              <w:spacing w:before="87" w:line="249" w:lineRule="auto"/>
              <w:ind w:right="267"/>
              <w:jc w:val="both"/>
              <w:rPr>
                <w:sz w:val="18"/>
                <w:szCs w:val="18"/>
                <w:lang w:val="uk-UA"/>
              </w:rPr>
            </w:pPr>
            <w:r w:rsidRPr="00581DCF">
              <w:rPr>
                <w:sz w:val="18"/>
                <w:szCs w:val="18"/>
                <w:lang w:val="uk-UA"/>
              </w:rPr>
              <w:t>Гонорар за участь в роботі бюро доповідачів (Африканське товариство лабораторної медицини) від компані</w:t>
            </w:r>
            <w:r w:rsidR="00996ECD">
              <w:rPr>
                <w:sz w:val="18"/>
                <w:szCs w:val="18"/>
                <w:lang w:val="uk-UA"/>
              </w:rPr>
              <w:t>ї</w:t>
            </w:r>
            <w:r w:rsidRPr="00581DCF">
              <w:rPr>
                <w:sz w:val="18"/>
                <w:szCs w:val="18"/>
                <w:lang w:val="uk-UA"/>
              </w:rPr>
              <w:t xml:space="preserve"> Cepheid - 1200 доларів США.</w:t>
            </w:r>
          </w:p>
        </w:tc>
        <w:tc>
          <w:tcPr>
            <w:tcW w:w="2388" w:type="dxa"/>
            <w:tcBorders>
              <w:top w:val="single" w:sz="6" w:space="0" w:color="019648"/>
              <w:left w:val="nil"/>
              <w:bottom w:val="single" w:sz="6" w:space="0" w:color="019648"/>
              <w:right w:val="nil"/>
            </w:tcBorders>
          </w:tcPr>
          <w:p w14:paraId="675582BB" w14:textId="5BD5D337" w:rsidR="0029215F" w:rsidRPr="003623F6" w:rsidRDefault="0029215F" w:rsidP="0029215F">
            <w:pPr>
              <w:pStyle w:val="TableParagraph"/>
              <w:spacing w:line="249" w:lineRule="auto"/>
              <w:ind w:left="124" w:right="30"/>
              <w:rPr>
                <w:sz w:val="18"/>
                <w:szCs w:val="18"/>
                <w:lang w:val="uk-UA"/>
              </w:rPr>
            </w:pPr>
            <w:r w:rsidRPr="003623F6">
              <w:rPr>
                <w:sz w:val="18"/>
                <w:szCs w:val="18"/>
              </w:rPr>
              <w:t>Незначний конфлікт інтересів</w:t>
            </w:r>
          </w:p>
        </w:tc>
      </w:tr>
      <w:tr w:rsidR="0029215F" w:rsidRPr="003623F6" w14:paraId="27075B13" w14:textId="77777777" w:rsidTr="00340AF9">
        <w:trPr>
          <w:trHeight w:val="3259"/>
        </w:trPr>
        <w:tc>
          <w:tcPr>
            <w:tcW w:w="2164" w:type="dxa"/>
            <w:tcBorders>
              <w:top w:val="single" w:sz="6" w:space="0" w:color="019648"/>
              <w:left w:val="nil"/>
              <w:bottom w:val="single" w:sz="6" w:space="0" w:color="019648"/>
              <w:right w:val="nil"/>
            </w:tcBorders>
          </w:tcPr>
          <w:p w14:paraId="4E9BCBAD" w14:textId="78BDE74C" w:rsidR="0029215F" w:rsidRPr="00BD397B" w:rsidRDefault="00BD397B" w:rsidP="0029215F">
            <w:pPr>
              <w:pStyle w:val="TableParagraph"/>
              <w:ind w:left="133"/>
              <w:rPr>
                <w:sz w:val="18"/>
                <w:szCs w:val="18"/>
                <w:lang w:val="uk-UA"/>
              </w:rPr>
            </w:pPr>
            <w:r w:rsidRPr="00BD397B">
              <w:rPr>
                <w:spacing w:val="-4"/>
                <w:sz w:val="18"/>
                <w:szCs w:val="18"/>
              </w:rPr>
              <w:t>Патр</w:t>
            </w:r>
            <w:r>
              <w:rPr>
                <w:spacing w:val="-4"/>
                <w:sz w:val="18"/>
                <w:szCs w:val="18"/>
                <w:lang w:val="uk-UA"/>
              </w:rPr>
              <w:t>і</w:t>
            </w:r>
            <w:r w:rsidRPr="00BD397B">
              <w:rPr>
                <w:spacing w:val="-4"/>
                <w:sz w:val="18"/>
                <w:szCs w:val="18"/>
              </w:rPr>
              <w:t>с</w:t>
            </w:r>
            <w:r>
              <w:rPr>
                <w:spacing w:val="-4"/>
                <w:sz w:val="18"/>
                <w:szCs w:val="18"/>
                <w:lang w:val="uk-UA"/>
              </w:rPr>
              <w:t>і</w:t>
            </w:r>
            <w:r w:rsidRPr="00BD397B">
              <w:rPr>
                <w:spacing w:val="-4"/>
                <w:sz w:val="18"/>
                <w:szCs w:val="18"/>
              </w:rPr>
              <w:t>я Холл-</w:t>
            </w:r>
            <w:r>
              <w:rPr>
                <w:spacing w:val="-4"/>
                <w:sz w:val="18"/>
                <w:szCs w:val="18"/>
                <w:lang w:val="uk-UA"/>
              </w:rPr>
              <w:t>Е</w:t>
            </w:r>
            <w:proofErr w:type="spellStart"/>
            <w:r w:rsidRPr="00BD397B">
              <w:rPr>
                <w:spacing w:val="-4"/>
                <w:sz w:val="18"/>
                <w:szCs w:val="18"/>
              </w:rPr>
              <w:t>йдсон</w:t>
            </w:r>
            <w:proofErr w:type="spellEnd"/>
          </w:p>
        </w:tc>
        <w:tc>
          <w:tcPr>
            <w:tcW w:w="4535" w:type="dxa"/>
            <w:tcBorders>
              <w:top w:val="single" w:sz="6" w:space="0" w:color="019648"/>
              <w:left w:val="nil"/>
              <w:bottom w:val="single" w:sz="6" w:space="0" w:color="019648"/>
              <w:right w:val="nil"/>
            </w:tcBorders>
          </w:tcPr>
          <w:p w14:paraId="5CCE2924" w14:textId="77777777" w:rsidR="00340AF9" w:rsidRPr="00340AF9" w:rsidRDefault="00340AF9" w:rsidP="00340AF9">
            <w:pPr>
              <w:pStyle w:val="TableParagraph"/>
              <w:spacing w:line="249" w:lineRule="auto"/>
              <w:rPr>
                <w:w w:val="105"/>
                <w:sz w:val="18"/>
                <w:szCs w:val="18"/>
                <w:lang w:val="uk-UA"/>
              </w:rPr>
            </w:pPr>
            <w:r w:rsidRPr="00340AF9">
              <w:rPr>
                <w:w w:val="105"/>
                <w:sz w:val="18"/>
                <w:szCs w:val="18"/>
                <w:lang w:val="uk-UA"/>
              </w:rPr>
              <w:t>Усі транспортні витрати, пов'язані з відвідуванням зустрічі, були профінансовані CDC США.</w:t>
            </w:r>
          </w:p>
          <w:p w14:paraId="473A3D6A" w14:textId="6C0D3B71" w:rsidR="0029215F" w:rsidRPr="003623F6" w:rsidRDefault="00340AF9" w:rsidP="00340AF9">
            <w:pPr>
              <w:pStyle w:val="TableParagraph"/>
              <w:spacing w:before="3" w:line="249" w:lineRule="auto"/>
              <w:ind w:right="148"/>
              <w:rPr>
                <w:sz w:val="18"/>
                <w:szCs w:val="18"/>
                <w:lang w:val="uk-UA"/>
              </w:rPr>
            </w:pPr>
            <w:r w:rsidRPr="00340AF9">
              <w:rPr>
                <w:w w:val="105"/>
                <w:sz w:val="18"/>
                <w:szCs w:val="18"/>
                <w:lang w:val="uk-UA"/>
              </w:rPr>
              <w:t>Працює та отримує заробітну плату в рамках Надзвичайного плану Президента США з боротьби зі СНІДом, глобальної програми в галузі охорони здоров'я, яка рекомендує, закуповує та надає віртуальну та локальну технічну допомогу щодо автоматизованих тестів на ампліфікацію нуклеїнових кислот низької складності (та інших тестів на ТБ) у країнах з низьким, помірним та високим тягарем епідемії, щоб допомогти у виявленні випадків ТБ серед дітей, підлітків та дорослих, які живуть з ВІЛ.</w:t>
            </w:r>
          </w:p>
        </w:tc>
        <w:tc>
          <w:tcPr>
            <w:tcW w:w="2388" w:type="dxa"/>
            <w:tcBorders>
              <w:top w:val="single" w:sz="6" w:space="0" w:color="019648"/>
              <w:left w:val="nil"/>
              <w:bottom w:val="single" w:sz="6" w:space="0" w:color="019648"/>
              <w:right w:val="nil"/>
            </w:tcBorders>
          </w:tcPr>
          <w:p w14:paraId="2052E426" w14:textId="7B1F6AF8" w:rsidR="0029215F" w:rsidRPr="003623F6" w:rsidRDefault="0029215F" w:rsidP="0029215F">
            <w:pPr>
              <w:pStyle w:val="TableParagraph"/>
              <w:spacing w:line="249" w:lineRule="auto"/>
              <w:ind w:left="124" w:right="30"/>
              <w:rPr>
                <w:sz w:val="18"/>
                <w:szCs w:val="18"/>
                <w:lang w:val="uk-UA"/>
              </w:rPr>
            </w:pPr>
            <w:r w:rsidRPr="003623F6">
              <w:rPr>
                <w:sz w:val="18"/>
                <w:szCs w:val="18"/>
              </w:rPr>
              <w:t>Незначний конфлікт інтересів</w:t>
            </w:r>
          </w:p>
        </w:tc>
      </w:tr>
      <w:tr w:rsidR="0029215F" w:rsidRPr="003623F6" w14:paraId="1FA175E6" w14:textId="77777777">
        <w:trPr>
          <w:trHeight w:val="647"/>
        </w:trPr>
        <w:tc>
          <w:tcPr>
            <w:tcW w:w="2164" w:type="dxa"/>
            <w:tcBorders>
              <w:top w:val="single" w:sz="6" w:space="0" w:color="019648"/>
              <w:left w:val="nil"/>
              <w:bottom w:val="single" w:sz="6" w:space="0" w:color="019648"/>
              <w:right w:val="nil"/>
            </w:tcBorders>
          </w:tcPr>
          <w:p w14:paraId="7016B383" w14:textId="6CE21E83" w:rsidR="00BD397B" w:rsidRPr="00BD397B" w:rsidRDefault="00BD397B" w:rsidP="00BD397B">
            <w:pPr>
              <w:pStyle w:val="TableParagraph"/>
              <w:ind w:left="133"/>
              <w:rPr>
                <w:spacing w:val="-2"/>
                <w:sz w:val="18"/>
                <w:szCs w:val="18"/>
                <w:lang w:val="uk-UA"/>
              </w:rPr>
            </w:pPr>
            <w:proofErr w:type="spellStart"/>
            <w:r w:rsidRPr="00BD397B">
              <w:rPr>
                <w:spacing w:val="-2"/>
                <w:sz w:val="18"/>
                <w:szCs w:val="18"/>
                <w:lang w:val="uk-UA"/>
              </w:rPr>
              <w:t>С</w:t>
            </w:r>
            <w:r>
              <w:rPr>
                <w:spacing w:val="-2"/>
                <w:sz w:val="18"/>
                <w:szCs w:val="18"/>
                <w:lang w:val="uk-UA"/>
              </w:rPr>
              <w:t>і</w:t>
            </w:r>
            <w:r w:rsidRPr="00BD397B">
              <w:rPr>
                <w:spacing w:val="-2"/>
                <w:sz w:val="18"/>
                <w:szCs w:val="18"/>
                <w:lang w:val="uk-UA"/>
              </w:rPr>
              <w:t>р</w:t>
            </w:r>
            <w:r>
              <w:rPr>
                <w:spacing w:val="-2"/>
                <w:sz w:val="18"/>
                <w:szCs w:val="18"/>
                <w:lang w:val="uk-UA"/>
              </w:rPr>
              <w:t>і</w:t>
            </w:r>
            <w:r w:rsidRPr="00BD397B">
              <w:rPr>
                <w:spacing w:val="-2"/>
                <w:sz w:val="18"/>
                <w:szCs w:val="18"/>
                <w:lang w:val="uk-UA"/>
              </w:rPr>
              <w:t>наф</w:t>
            </w:r>
            <w:r>
              <w:rPr>
                <w:spacing w:val="-2"/>
                <w:sz w:val="18"/>
                <w:szCs w:val="18"/>
                <w:lang w:val="uk-UA"/>
              </w:rPr>
              <w:t>а</w:t>
            </w:r>
            <w:proofErr w:type="spellEnd"/>
            <w:r w:rsidRPr="00BD397B">
              <w:rPr>
                <w:spacing w:val="-2"/>
                <w:sz w:val="18"/>
                <w:szCs w:val="18"/>
                <w:lang w:val="uk-UA"/>
              </w:rPr>
              <w:t xml:space="preserve"> </w:t>
            </w:r>
            <w:proofErr w:type="spellStart"/>
            <w:r w:rsidRPr="00BD397B">
              <w:rPr>
                <w:spacing w:val="-2"/>
                <w:sz w:val="18"/>
                <w:szCs w:val="18"/>
                <w:lang w:val="uk-UA"/>
              </w:rPr>
              <w:t>Дж</w:t>
            </w:r>
            <w:r>
              <w:rPr>
                <w:spacing w:val="-2"/>
                <w:sz w:val="18"/>
                <w:szCs w:val="18"/>
                <w:lang w:val="uk-UA"/>
              </w:rPr>
              <w:t>і</w:t>
            </w:r>
            <w:r w:rsidRPr="00BD397B">
              <w:rPr>
                <w:spacing w:val="-2"/>
                <w:sz w:val="18"/>
                <w:szCs w:val="18"/>
                <w:lang w:val="uk-UA"/>
              </w:rPr>
              <w:t>тт</w:t>
            </w:r>
            <w:r>
              <w:rPr>
                <w:spacing w:val="-2"/>
                <w:sz w:val="18"/>
                <w:szCs w:val="18"/>
                <w:lang w:val="uk-UA"/>
              </w:rPr>
              <w:t>і</w:t>
            </w:r>
            <w:r w:rsidRPr="00BD397B">
              <w:rPr>
                <w:spacing w:val="-2"/>
                <w:sz w:val="18"/>
                <w:szCs w:val="18"/>
                <w:lang w:val="uk-UA"/>
              </w:rPr>
              <w:t>ман</w:t>
            </w:r>
            <w:r>
              <w:rPr>
                <w:spacing w:val="-2"/>
                <w:sz w:val="18"/>
                <w:szCs w:val="18"/>
                <w:lang w:val="uk-UA"/>
              </w:rPr>
              <w:t>і</w:t>
            </w:r>
            <w:proofErr w:type="spellEnd"/>
          </w:p>
          <w:p w14:paraId="603DB680" w14:textId="31F195B0" w:rsidR="0029215F" w:rsidRPr="003623F6" w:rsidRDefault="0029215F" w:rsidP="0029215F">
            <w:pPr>
              <w:pStyle w:val="TableParagraph"/>
              <w:ind w:left="133"/>
              <w:rPr>
                <w:sz w:val="18"/>
                <w:szCs w:val="18"/>
                <w:lang w:val="uk-UA"/>
              </w:rPr>
            </w:pPr>
          </w:p>
        </w:tc>
        <w:tc>
          <w:tcPr>
            <w:tcW w:w="4535" w:type="dxa"/>
            <w:tcBorders>
              <w:top w:val="single" w:sz="6" w:space="0" w:color="019648"/>
              <w:left w:val="nil"/>
              <w:bottom w:val="single" w:sz="6" w:space="0" w:color="019648"/>
              <w:right w:val="nil"/>
            </w:tcBorders>
          </w:tcPr>
          <w:p w14:paraId="3A8F3B18" w14:textId="4AD52AB2" w:rsidR="0029215F" w:rsidRPr="003623F6" w:rsidRDefault="00340AF9" w:rsidP="0029215F">
            <w:pPr>
              <w:pStyle w:val="TableParagraph"/>
              <w:spacing w:line="249" w:lineRule="auto"/>
              <w:rPr>
                <w:sz w:val="18"/>
                <w:szCs w:val="18"/>
                <w:lang w:val="uk-UA"/>
              </w:rPr>
            </w:pPr>
            <w:r w:rsidRPr="00340AF9">
              <w:rPr>
                <w:w w:val="105"/>
                <w:sz w:val="18"/>
                <w:szCs w:val="18"/>
                <w:lang w:val="uk-UA"/>
              </w:rPr>
              <w:t xml:space="preserve">Консультації щодо координаційного механізму </w:t>
            </w:r>
            <w:r w:rsidRPr="00C141C1">
              <w:rPr>
                <w:w w:val="105"/>
                <w:sz w:val="18"/>
                <w:szCs w:val="18"/>
                <w:lang w:val="uk-UA"/>
              </w:rPr>
              <w:t>GFATM в</w:t>
            </w:r>
            <w:r w:rsidRPr="00340AF9">
              <w:rPr>
                <w:w w:val="105"/>
                <w:sz w:val="18"/>
                <w:szCs w:val="18"/>
                <w:lang w:val="uk-UA"/>
              </w:rPr>
              <w:t xml:space="preserve"> Таїланді</w:t>
            </w:r>
          </w:p>
        </w:tc>
        <w:tc>
          <w:tcPr>
            <w:tcW w:w="2388" w:type="dxa"/>
            <w:tcBorders>
              <w:top w:val="single" w:sz="6" w:space="0" w:color="019648"/>
              <w:left w:val="nil"/>
              <w:bottom w:val="single" w:sz="6" w:space="0" w:color="019648"/>
              <w:right w:val="nil"/>
            </w:tcBorders>
          </w:tcPr>
          <w:p w14:paraId="23DAE575" w14:textId="44726D5C" w:rsidR="0029215F" w:rsidRPr="003623F6" w:rsidRDefault="0029215F" w:rsidP="0029215F">
            <w:pPr>
              <w:pStyle w:val="TableParagraph"/>
              <w:spacing w:line="249" w:lineRule="auto"/>
              <w:ind w:left="124" w:right="171"/>
              <w:rPr>
                <w:sz w:val="18"/>
                <w:szCs w:val="18"/>
                <w:lang w:val="uk-UA"/>
              </w:rPr>
            </w:pPr>
            <w:r w:rsidRPr="003623F6">
              <w:rPr>
                <w:sz w:val="18"/>
                <w:szCs w:val="18"/>
              </w:rPr>
              <w:t>Незначний конфлікт інтересів</w:t>
            </w:r>
          </w:p>
        </w:tc>
      </w:tr>
      <w:tr w:rsidR="0029215F" w:rsidRPr="003623F6" w14:paraId="442EEF23" w14:textId="77777777" w:rsidTr="00340AF9">
        <w:trPr>
          <w:trHeight w:val="1032"/>
        </w:trPr>
        <w:tc>
          <w:tcPr>
            <w:tcW w:w="2164" w:type="dxa"/>
            <w:tcBorders>
              <w:top w:val="single" w:sz="6" w:space="0" w:color="019648"/>
              <w:left w:val="nil"/>
              <w:bottom w:val="single" w:sz="6" w:space="0" w:color="019648"/>
              <w:right w:val="nil"/>
            </w:tcBorders>
          </w:tcPr>
          <w:p w14:paraId="1034BB78" w14:textId="56D06437" w:rsidR="0029215F" w:rsidRPr="003623F6" w:rsidRDefault="00BD397B" w:rsidP="0029215F">
            <w:pPr>
              <w:pStyle w:val="TableParagraph"/>
              <w:ind w:left="133"/>
              <w:rPr>
                <w:sz w:val="18"/>
                <w:szCs w:val="18"/>
                <w:lang w:val="uk-UA"/>
              </w:rPr>
            </w:pPr>
            <w:r>
              <w:rPr>
                <w:sz w:val="18"/>
                <w:szCs w:val="18"/>
                <w:lang w:val="uk-UA"/>
              </w:rPr>
              <w:t xml:space="preserve">Катаріна </w:t>
            </w:r>
            <w:proofErr w:type="spellStart"/>
            <w:r>
              <w:rPr>
                <w:sz w:val="18"/>
                <w:szCs w:val="18"/>
                <w:lang w:val="uk-UA"/>
              </w:rPr>
              <w:t>Кранцер</w:t>
            </w:r>
            <w:proofErr w:type="spellEnd"/>
          </w:p>
        </w:tc>
        <w:tc>
          <w:tcPr>
            <w:tcW w:w="4535" w:type="dxa"/>
            <w:tcBorders>
              <w:top w:val="single" w:sz="6" w:space="0" w:color="019648"/>
              <w:left w:val="nil"/>
              <w:bottom w:val="single" w:sz="6" w:space="0" w:color="019648"/>
              <w:right w:val="nil"/>
            </w:tcBorders>
          </w:tcPr>
          <w:p w14:paraId="1F9B6187" w14:textId="19C6674A" w:rsidR="0029215F" w:rsidRPr="003623F6" w:rsidRDefault="00340AF9" w:rsidP="0029215F">
            <w:pPr>
              <w:pStyle w:val="TableParagraph"/>
              <w:spacing w:before="0"/>
              <w:rPr>
                <w:sz w:val="18"/>
                <w:szCs w:val="18"/>
                <w:lang w:val="uk-UA"/>
              </w:rPr>
            </w:pPr>
            <w:r w:rsidRPr="00340AF9">
              <w:rPr>
                <w:sz w:val="18"/>
                <w:szCs w:val="18"/>
                <w:lang w:val="uk-UA"/>
              </w:rPr>
              <w:t xml:space="preserve">Робота в  LSHTM; консультації щодо використання </w:t>
            </w:r>
            <w:proofErr w:type="spellStart"/>
            <w:r w:rsidRPr="00340AF9">
              <w:rPr>
                <w:sz w:val="18"/>
                <w:szCs w:val="18"/>
                <w:lang w:val="uk-UA"/>
              </w:rPr>
              <w:t>претоманіду</w:t>
            </w:r>
            <w:proofErr w:type="spellEnd"/>
            <w:r w:rsidRPr="00340AF9">
              <w:rPr>
                <w:sz w:val="18"/>
                <w:szCs w:val="18"/>
                <w:lang w:val="uk-UA"/>
              </w:rPr>
              <w:t xml:space="preserve"> для ВООЗ; дослідницький грант від EDCTP: ERASE-TB. Внесок у натуральній формі від компаній Cepheid, SD-</w:t>
            </w:r>
            <w:proofErr w:type="spellStart"/>
            <w:r w:rsidRPr="00340AF9">
              <w:rPr>
                <w:sz w:val="18"/>
                <w:szCs w:val="18"/>
                <w:lang w:val="uk-UA"/>
              </w:rPr>
              <w:t>Biosensor</w:t>
            </w:r>
            <w:proofErr w:type="spellEnd"/>
            <w:r w:rsidRPr="00340AF9">
              <w:rPr>
                <w:sz w:val="18"/>
                <w:szCs w:val="18"/>
                <w:lang w:val="uk-UA"/>
              </w:rPr>
              <w:t xml:space="preserve"> для дослідження "ERASE-TB".</w:t>
            </w:r>
          </w:p>
        </w:tc>
        <w:tc>
          <w:tcPr>
            <w:tcW w:w="2388" w:type="dxa"/>
            <w:tcBorders>
              <w:top w:val="single" w:sz="6" w:space="0" w:color="019648"/>
              <w:left w:val="nil"/>
              <w:bottom w:val="single" w:sz="6" w:space="0" w:color="019648"/>
              <w:right w:val="nil"/>
            </w:tcBorders>
          </w:tcPr>
          <w:p w14:paraId="26F9473E" w14:textId="708387D3" w:rsidR="0029215F" w:rsidRPr="003623F6" w:rsidRDefault="0029215F" w:rsidP="0029215F">
            <w:pPr>
              <w:pStyle w:val="TableParagraph"/>
              <w:spacing w:line="249" w:lineRule="auto"/>
              <w:ind w:left="124" w:right="171"/>
              <w:rPr>
                <w:sz w:val="18"/>
                <w:szCs w:val="18"/>
                <w:lang w:val="uk-UA"/>
              </w:rPr>
            </w:pPr>
            <w:r w:rsidRPr="003623F6">
              <w:rPr>
                <w:sz w:val="18"/>
                <w:szCs w:val="18"/>
              </w:rPr>
              <w:t>Незначний конфлікт інтересів</w:t>
            </w:r>
          </w:p>
        </w:tc>
      </w:tr>
      <w:tr w:rsidR="0029215F" w:rsidRPr="003623F6" w14:paraId="7CF6B7F0" w14:textId="77777777" w:rsidTr="00340AF9">
        <w:trPr>
          <w:trHeight w:val="1544"/>
        </w:trPr>
        <w:tc>
          <w:tcPr>
            <w:tcW w:w="2164" w:type="dxa"/>
            <w:tcBorders>
              <w:top w:val="single" w:sz="6" w:space="0" w:color="019648"/>
              <w:left w:val="nil"/>
              <w:bottom w:val="single" w:sz="6" w:space="0" w:color="019648"/>
              <w:right w:val="nil"/>
            </w:tcBorders>
          </w:tcPr>
          <w:p w14:paraId="1DE09F20" w14:textId="21898E22" w:rsidR="00BD397B" w:rsidRPr="00BD397B" w:rsidRDefault="00BD397B" w:rsidP="00BD397B">
            <w:pPr>
              <w:pStyle w:val="TableParagraph"/>
              <w:spacing w:line="249" w:lineRule="auto"/>
              <w:ind w:left="133" w:right="249"/>
              <w:rPr>
                <w:sz w:val="18"/>
                <w:szCs w:val="18"/>
                <w:lang w:val="uk-UA"/>
              </w:rPr>
            </w:pPr>
            <w:r w:rsidRPr="00BD397B">
              <w:rPr>
                <w:sz w:val="18"/>
                <w:szCs w:val="18"/>
                <w:lang w:val="uk-UA"/>
              </w:rPr>
              <w:t>Шах</w:t>
            </w:r>
            <w:r>
              <w:rPr>
                <w:sz w:val="18"/>
                <w:szCs w:val="18"/>
                <w:lang w:val="uk-UA"/>
              </w:rPr>
              <w:t>і</w:t>
            </w:r>
            <w:r w:rsidRPr="00BD397B">
              <w:rPr>
                <w:sz w:val="18"/>
                <w:szCs w:val="18"/>
                <w:lang w:val="uk-UA"/>
              </w:rPr>
              <w:t>д Валл</w:t>
            </w:r>
            <w:r>
              <w:rPr>
                <w:sz w:val="18"/>
                <w:szCs w:val="18"/>
                <w:lang w:val="uk-UA"/>
              </w:rPr>
              <w:t>і</w:t>
            </w:r>
            <w:r w:rsidRPr="00BD397B">
              <w:rPr>
                <w:sz w:val="18"/>
                <w:szCs w:val="18"/>
                <w:lang w:val="uk-UA"/>
              </w:rPr>
              <w:t xml:space="preserve"> Омар</w:t>
            </w:r>
          </w:p>
          <w:p w14:paraId="5798F4D8" w14:textId="77777777" w:rsidR="00BD397B" w:rsidRPr="003623F6" w:rsidRDefault="00BD397B" w:rsidP="0029215F">
            <w:pPr>
              <w:pStyle w:val="TableParagraph"/>
              <w:spacing w:line="249" w:lineRule="auto"/>
              <w:ind w:left="133" w:right="249"/>
              <w:rPr>
                <w:sz w:val="18"/>
                <w:szCs w:val="18"/>
                <w:lang w:val="uk-UA"/>
              </w:rPr>
            </w:pPr>
          </w:p>
        </w:tc>
        <w:tc>
          <w:tcPr>
            <w:tcW w:w="4535" w:type="dxa"/>
            <w:tcBorders>
              <w:top w:val="single" w:sz="6" w:space="0" w:color="019648"/>
              <w:left w:val="nil"/>
              <w:bottom w:val="single" w:sz="6" w:space="0" w:color="019648"/>
              <w:right w:val="nil"/>
            </w:tcBorders>
          </w:tcPr>
          <w:p w14:paraId="2884129C" w14:textId="77777777" w:rsidR="00BF6470" w:rsidRPr="00EB6C68" w:rsidRDefault="00BF6470" w:rsidP="00BF6470">
            <w:pPr>
              <w:pStyle w:val="TableParagraph"/>
              <w:spacing w:line="249" w:lineRule="auto"/>
              <w:rPr>
                <w:sz w:val="18"/>
                <w:szCs w:val="18"/>
                <w:lang w:val="uk-UA"/>
              </w:rPr>
            </w:pPr>
            <w:r w:rsidRPr="00EB6C68">
              <w:rPr>
                <w:sz w:val="18"/>
                <w:szCs w:val="18"/>
                <w:lang w:val="uk-UA"/>
              </w:rPr>
              <w:t>Клінічне оцінювання аналізу Xpert MTB/RIF з використанням GeneXpert OMNI;</w:t>
            </w:r>
          </w:p>
          <w:p w14:paraId="6DCAC33C" w14:textId="77777777" w:rsidR="00BF6470" w:rsidRPr="00EB6C68" w:rsidRDefault="00BF6470" w:rsidP="00BF6470">
            <w:pPr>
              <w:pStyle w:val="TableParagraph"/>
              <w:spacing w:line="249" w:lineRule="auto"/>
              <w:rPr>
                <w:sz w:val="18"/>
                <w:szCs w:val="18"/>
                <w:lang w:val="uk-UA"/>
              </w:rPr>
            </w:pPr>
            <w:r w:rsidRPr="00EB6C68">
              <w:rPr>
                <w:sz w:val="18"/>
                <w:szCs w:val="18"/>
                <w:lang w:val="uk-UA"/>
              </w:rPr>
              <w:t>Клінічне оцінювання тесту Xpert® MTB/XDR;</w:t>
            </w:r>
          </w:p>
          <w:p w14:paraId="6B319E84" w14:textId="67AE878D" w:rsidR="0029215F" w:rsidRPr="00D23BEF" w:rsidRDefault="00C141C1" w:rsidP="00BF6470">
            <w:pPr>
              <w:pStyle w:val="TableParagraph"/>
              <w:spacing w:before="87" w:line="249" w:lineRule="auto"/>
              <w:rPr>
                <w:sz w:val="18"/>
                <w:szCs w:val="18"/>
                <w:lang w:val="uk-UA"/>
              </w:rPr>
            </w:pPr>
            <w:r w:rsidRPr="00EB6C68">
              <w:rPr>
                <w:sz w:val="18"/>
                <w:szCs w:val="18"/>
                <w:lang w:val="uk-UA"/>
              </w:rPr>
              <w:t xml:space="preserve">Порівняльна оцінка тесту на антиоксидантний фермент каталази А (CAT-A) за допомогою Xpert MTB/RIF Ultra на противагу наявному на ринку тесту Xpert MTB/RIF Ultra V2 (компанії «Cepheid»), </w:t>
            </w:r>
            <w:r w:rsidR="00EB6C68" w:rsidRPr="00EB6C68">
              <w:rPr>
                <w:sz w:val="18"/>
                <w:szCs w:val="18"/>
                <w:lang w:val="uk-UA"/>
              </w:rPr>
              <w:t>вартість</w:t>
            </w:r>
            <w:r w:rsidRPr="00EB6C68">
              <w:rPr>
                <w:sz w:val="18"/>
                <w:szCs w:val="18"/>
                <w:lang w:val="uk-UA"/>
              </w:rPr>
              <w:t xml:space="preserve"> - 66 390 доларів США, для підрозділу з досліджень, припинено у 2023 році.</w:t>
            </w:r>
          </w:p>
        </w:tc>
        <w:tc>
          <w:tcPr>
            <w:tcW w:w="2388" w:type="dxa"/>
            <w:tcBorders>
              <w:top w:val="single" w:sz="6" w:space="0" w:color="019648"/>
              <w:left w:val="nil"/>
              <w:bottom w:val="single" w:sz="6" w:space="0" w:color="019648"/>
              <w:right w:val="nil"/>
            </w:tcBorders>
          </w:tcPr>
          <w:p w14:paraId="699B1161" w14:textId="4168AF1A" w:rsidR="0029215F" w:rsidRPr="003623F6" w:rsidRDefault="0029215F" w:rsidP="0029215F">
            <w:pPr>
              <w:pStyle w:val="TableParagraph"/>
              <w:spacing w:line="249" w:lineRule="auto"/>
              <w:ind w:left="124" w:right="171"/>
              <w:rPr>
                <w:sz w:val="18"/>
                <w:szCs w:val="18"/>
                <w:lang w:val="uk-UA"/>
              </w:rPr>
            </w:pPr>
            <w:r w:rsidRPr="003623F6">
              <w:rPr>
                <w:sz w:val="18"/>
                <w:szCs w:val="18"/>
              </w:rPr>
              <w:t>Незначний конфлікт інтересів</w:t>
            </w:r>
          </w:p>
        </w:tc>
      </w:tr>
    </w:tbl>
    <w:p w14:paraId="1FFB5C23" w14:textId="5AC2577B" w:rsidR="00E05B98" w:rsidRPr="003C6DAE" w:rsidRDefault="00996ECD">
      <w:pPr>
        <w:pStyle w:val="TableParagraph"/>
        <w:spacing w:line="249" w:lineRule="auto"/>
        <w:rPr>
          <w:lang w:val="uk-UA"/>
        </w:rPr>
        <w:sectPr w:rsidR="00E05B98" w:rsidRPr="003C6DAE">
          <w:type w:val="continuous"/>
          <w:pgSz w:w="11910" w:h="16840"/>
          <w:pgMar w:top="1380" w:right="1275" w:bottom="760" w:left="850" w:header="0" w:footer="573" w:gutter="0"/>
          <w:cols w:space="720"/>
        </w:sectPr>
      </w:pPr>
      <w:r>
        <w:rPr>
          <w:noProof/>
          <w:lang w:val="uk-UA"/>
        </w:rPr>
        <mc:AlternateContent>
          <mc:Choice Requires="wps">
            <w:drawing>
              <wp:anchor distT="0" distB="0" distL="114300" distR="114300" simplePos="0" relativeHeight="488194560" behindDoc="0" locked="0" layoutInCell="1" allowOverlap="1" wp14:anchorId="6CA2F38E" wp14:editId="6CB05EF1">
                <wp:simplePos x="0" y="0"/>
                <wp:positionH relativeFrom="column">
                  <wp:posOffset>311072</wp:posOffset>
                </wp:positionH>
                <wp:positionV relativeFrom="paragraph">
                  <wp:posOffset>254311</wp:posOffset>
                </wp:positionV>
                <wp:extent cx="6027575" cy="675536"/>
                <wp:effectExtent l="0" t="0" r="0" b="0"/>
                <wp:wrapNone/>
                <wp:docPr id="1083937107" name="Поле 1934"/>
                <wp:cNvGraphicFramePr/>
                <a:graphic xmlns:a="http://schemas.openxmlformats.org/drawingml/2006/main">
                  <a:graphicData uri="http://schemas.microsoft.com/office/word/2010/wordprocessingShape">
                    <wps:wsp>
                      <wps:cNvSpPr txBox="1"/>
                      <wps:spPr>
                        <a:xfrm>
                          <a:off x="0" y="0"/>
                          <a:ext cx="6027575" cy="675536"/>
                        </a:xfrm>
                        <a:prstGeom prst="rect">
                          <a:avLst/>
                        </a:prstGeom>
                        <a:solidFill>
                          <a:schemeClr val="lt1"/>
                        </a:solidFill>
                        <a:ln w="6350">
                          <a:noFill/>
                        </a:ln>
                      </wps:spPr>
                      <wps:txbx>
                        <w:txbxContent>
                          <w:p w14:paraId="4859689C" w14:textId="3A9DD56A" w:rsidR="007372B2" w:rsidRPr="001165A1" w:rsidRDefault="007372B2">
                            <w:pPr>
                              <w:rPr>
                                <w:sz w:val="16"/>
                                <w:szCs w:val="16"/>
                              </w:rPr>
                            </w:pPr>
                            <w:r w:rsidRPr="00487EF0">
                              <w:rPr>
                                <w:w w:val="105"/>
                                <w:sz w:val="16"/>
                                <w:szCs w:val="16"/>
                                <w:lang w:val="uk-UA"/>
                              </w:rPr>
                              <w:t xml:space="preserve">GFATM: Глобальний фонд для боротьби зі СНІДом, туберкульозом і малярією; </w:t>
                            </w:r>
                            <w:r w:rsidRPr="00487EF0">
                              <w:rPr>
                                <w:sz w:val="16"/>
                                <w:szCs w:val="16"/>
                                <w:lang w:val="uk-UA"/>
                              </w:rPr>
                              <w:t>LSHTM: Лондонська школа гігієни та тропічної медицини; EDCTP: Партнерство європейських країн та країн, що розвиваються, у сфері клінічних досліджень; ERASE-TB:</w:t>
                            </w:r>
                            <w:r>
                              <w:rPr>
                                <w:sz w:val="16"/>
                                <w:szCs w:val="16"/>
                                <w:lang w:val="uk-UA"/>
                              </w:rPr>
                              <w:t xml:space="preserve">  </w:t>
                            </w:r>
                            <w:r w:rsidRPr="00A20240">
                              <w:rPr>
                                <w:sz w:val="16"/>
                                <w:szCs w:val="16"/>
                                <w:lang w:val="uk-UA"/>
                              </w:rPr>
                              <w:t>Рання оцінка ризику ТБ у контактних осіб за допомогою нових діагностичних тестів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2F38E" id="_x0000_s1207" type="#_x0000_t202" style="position:absolute;left:0;text-align:left;margin-left:24.5pt;margin-top:20pt;width:474.6pt;height:53.2pt;z-index:4881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" fillcolor="white [3201]" stroked="f" strokeweight=".5pt">
                <v:textbox>
                  <w:txbxContent>
                    <w:p w14:paraId="4859689C" w14:textId="3A9DD56A" w:rsidR="007372B2" w:rsidRPr="001165A1" w:rsidRDefault="007372B2">
                      <w:pPr>
                        <w:rPr>
                          <w:sz w:val="16"/>
                          <w:szCs w:val="16"/>
                        </w:rPr>
                      </w:pPr>
                      <w:r w:rsidRPr="00487EF0">
                        <w:rPr>
                          <w:w w:val="105"/>
                          <w:sz w:val="16"/>
                          <w:szCs w:val="16"/>
                          <w:lang w:val="uk-UA"/>
                        </w:rPr>
                        <w:t xml:space="preserve">GFATM: Глобальний фонд для боротьби зі СНІДом, туберкульозом і малярією; </w:t>
                      </w:r>
                      <w:r w:rsidRPr="00487EF0">
                        <w:rPr>
                          <w:sz w:val="16"/>
                          <w:szCs w:val="16"/>
                          <w:lang w:val="uk-UA"/>
                        </w:rPr>
                        <w:t>LSHTM: Лондонська школа гігієни та тропічної медицини; EDCTP: Партнерство європейських країн та країн, що розвиваються, у сфері клінічних досліджень; ERASE-TB:</w:t>
                      </w:r>
                      <w:r>
                        <w:rPr>
                          <w:sz w:val="16"/>
                          <w:szCs w:val="16"/>
                          <w:lang w:val="uk-UA"/>
                        </w:rPr>
                        <w:t xml:space="preserve">  </w:t>
                      </w:r>
                      <w:r w:rsidRPr="00A20240">
                        <w:rPr>
                          <w:sz w:val="16"/>
                          <w:szCs w:val="16"/>
                          <w:lang w:val="uk-UA"/>
                        </w:rPr>
                        <w:t>Рання оцінка ризику ТБ у контактних осіб за допомогою нових діагностичних тестів</w:t>
                      </w:r>
                    </w:p>
                  </w:txbxContent>
                </v:textbox>
              </v:shape>
            </w:pict>
          </mc:Fallback>
        </mc:AlternateContent>
      </w:r>
    </w:p>
    <w:p w14:paraId="090A7E90" w14:textId="733A5F82" w:rsidR="00E05B98" w:rsidRPr="003C6DAE" w:rsidRDefault="007826F2">
      <w:pPr>
        <w:pStyle w:val="3"/>
        <w:spacing w:before="33"/>
        <w:rPr>
          <w:lang w:val="uk-UA"/>
        </w:rPr>
      </w:pPr>
      <w:r>
        <w:rPr>
          <w:color w:val="019648"/>
          <w:lang w:val="uk-UA"/>
        </w:rPr>
        <w:lastRenderedPageBreak/>
        <w:t>Список літератури до Додатку</w:t>
      </w:r>
      <w:r w:rsidR="00B01E0C" w:rsidRPr="003C6DAE">
        <w:rPr>
          <w:color w:val="019648"/>
          <w:spacing w:val="35"/>
          <w:lang w:val="uk-UA"/>
        </w:rPr>
        <w:t xml:space="preserve"> </w:t>
      </w:r>
      <w:r w:rsidR="00B01E0C" w:rsidRPr="003C6DAE">
        <w:rPr>
          <w:color w:val="019648"/>
          <w:spacing w:val="-10"/>
          <w:lang w:val="uk-UA"/>
        </w:rPr>
        <w:t>2</w:t>
      </w:r>
    </w:p>
    <w:p w14:paraId="72A6179A" w14:textId="77777777" w:rsidR="00E05B98" w:rsidRPr="003C6DAE" w:rsidRDefault="00B01E0C">
      <w:pPr>
        <w:pStyle w:val="a4"/>
        <w:numPr>
          <w:ilvl w:val="0"/>
          <w:numId w:val="2"/>
        </w:numPr>
        <w:tabs>
          <w:tab w:val="left" w:pos="927"/>
        </w:tabs>
        <w:spacing w:before="186" w:line="297" w:lineRule="auto"/>
        <w:ind w:right="140"/>
        <w:rPr>
          <w:sz w:val="20"/>
          <w:lang w:val="uk-UA"/>
        </w:rPr>
      </w:pPr>
      <w:proofErr w:type="spellStart"/>
      <w:r w:rsidRPr="003C6DAE">
        <w:rPr>
          <w:w w:val="105"/>
          <w:sz w:val="20"/>
          <w:lang w:val="uk-UA"/>
        </w:rPr>
        <w:t>Declaration</w:t>
      </w:r>
      <w:proofErr w:type="spellEnd"/>
      <w:r w:rsidRPr="003C6DAE">
        <w:rPr>
          <w:spacing w:val="-9"/>
          <w:w w:val="105"/>
          <w:sz w:val="20"/>
          <w:lang w:val="uk-UA"/>
        </w:rPr>
        <w:t xml:space="preserve"> </w:t>
      </w:r>
      <w:r w:rsidRPr="003C6DAE">
        <w:rPr>
          <w:w w:val="105"/>
          <w:sz w:val="20"/>
          <w:lang w:val="uk-UA"/>
        </w:rPr>
        <w:t>of</w:t>
      </w:r>
      <w:r w:rsidRPr="003C6DAE">
        <w:rPr>
          <w:spacing w:val="-9"/>
          <w:w w:val="105"/>
          <w:sz w:val="20"/>
          <w:lang w:val="uk-UA"/>
        </w:rPr>
        <w:t xml:space="preserve"> </w:t>
      </w:r>
      <w:proofErr w:type="spellStart"/>
      <w:r w:rsidRPr="003C6DAE">
        <w:rPr>
          <w:w w:val="105"/>
          <w:sz w:val="20"/>
          <w:lang w:val="uk-UA"/>
        </w:rPr>
        <w:t>interests</w:t>
      </w:r>
      <w:proofErr w:type="spellEnd"/>
      <w:r w:rsidRPr="003C6DAE">
        <w:rPr>
          <w:spacing w:val="-9"/>
          <w:w w:val="105"/>
          <w:sz w:val="20"/>
          <w:lang w:val="uk-UA"/>
        </w:rPr>
        <w:t xml:space="preserve"> </w:t>
      </w:r>
      <w:r w:rsidRPr="003C6DAE">
        <w:rPr>
          <w:w w:val="105"/>
          <w:sz w:val="20"/>
          <w:lang w:val="uk-UA"/>
        </w:rPr>
        <w:t>[</w:t>
      </w:r>
      <w:proofErr w:type="spellStart"/>
      <w:r w:rsidRPr="003C6DAE">
        <w:rPr>
          <w:w w:val="105"/>
          <w:sz w:val="20"/>
          <w:lang w:val="uk-UA"/>
        </w:rPr>
        <w:t>website</w:t>
      </w:r>
      <w:proofErr w:type="spellEnd"/>
      <w:r w:rsidRPr="003C6DAE">
        <w:rPr>
          <w:w w:val="105"/>
          <w:sz w:val="20"/>
          <w:lang w:val="uk-UA"/>
        </w:rPr>
        <w:t>].</w:t>
      </w:r>
      <w:r w:rsidRPr="003C6DAE">
        <w:rPr>
          <w:spacing w:val="-9"/>
          <w:w w:val="105"/>
          <w:sz w:val="20"/>
          <w:lang w:val="uk-UA"/>
        </w:rPr>
        <w:t xml:space="preserve"> </w:t>
      </w:r>
      <w:r w:rsidRPr="003C6DAE">
        <w:rPr>
          <w:w w:val="105"/>
          <w:sz w:val="20"/>
          <w:lang w:val="uk-UA"/>
        </w:rPr>
        <w:t>Geneva:</w:t>
      </w:r>
      <w:r w:rsidRPr="003C6DAE">
        <w:rPr>
          <w:spacing w:val="-9"/>
          <w:w w:val="105"/>
          <w:sz w:val="20"/>
          <w:lang w:val="uk-UA"/>
        </w:rPr>
        <w:t xml:space="preserve"> </w:t>
      </w:r>
      <w:proofErr w:type="spellStart"/>
      <w:r w:rsidRPr="003C6DAE">
        <w:rPr>
          <w:w w:val="105"/>
          <w:sz w:val="20"/>
          <w:lang w:val="uk-UA"/>
        </w:rPr>
        <w:t>World</w:t>
      </w:r>
      <w:proofErr w:type="spellEnd"/>
      <w:r w:rsidRPr="003C6DAE">
        <w:rPr>
          <w:spacing w:val="-9"/>
          <w:w w:val="105"/>
          <w:sz w:val="20"/>
          <w:lang w:val="uk-UA"/>
        </w:rPr>
        <w:t xml:space="preserve"> </w:t>
      </w:r>
      <w:r w:rsidRPr="003C6DAE">
        <w:rPr>
          <w:w w:val="105"/>
          <w:sz w:val="20"/>
          <w:lang w:val="uk-UA"/>
        </w:rPr>
        <w:t>Health</w:t>
      </w:r>
      <w:r w:rsidRPr="003C6DAE">
        <w:rPr>
          <w:spacing w:val="-9"/>
          <w:w w:val="105"/>
          <w:sz w:val="20"/>
          <w:lang w:val="uk-UA"/>
        </w:rPr>
        <w:t xml:space="preserve"> </w:t>
      </w:r>
      <w:proofErr w:type="spellStart"/>
      <w:r w:rsidRPr="003C6DAE">
        <w:rPr>
          <w:w w:val="105"/>
          <w:sz w:val="20"/>
          <w:lang w:val="uk-UA"/>
        </w:rPr>
        <w:t>Organization</w:t>
      </w:r>
      <w:proofErr w:type="spellEnd"/>
      <w:r w:rsidRPr="003C6DAE">
        <w:rPr>
          <w:w w:val="105"/>
          <w:sz w:val="20"/>
          <w:lang w:val="uk-UA"/>
        </w:rPr>
        <w:t>;</w:t>
      </w:r>
      <w:r w:rsidRPr="003C6DAE">
        <w:rPr>
          <w:spacing w:val="-9"/>
          <w:w w:val="105"/>
          <w:sz w:val="20"/>
          <w:lang w:val="uk-UA"/>
        </w:rPr>
        <w:t xml:space="preserve"> </w:t>
      </w:r>
      <w:r w:rsidRPr="003C6DAE">
        <w:rPr>
          <w:w w:val="105"/>
          <w:sz w:val="20"/>
          <w:lang w:val="uk-UA"/>
        </w:rPr>
        <w:t>2023</w:t>
      </w:r>
      <w:r w:rsidRPr="003C6DAE">
        <w:rPr>
          <w:spacing w:val="-9"/>
          <w:w w:val="105"/>
          <w:sz w:val="20"/>
          <w:lang w:val="uk-UA"/>
        </w:rPr>
        <w:t xml:space="preserve"> </w:t>
      </w:r>
      <w:r w:rsidRPr="003C6DAE">
        <w:rPr>
          <w:w w:val="105"/>
          <w:sz w:val="20"/>
          <w:lang w:val="uk-UA"/>
        </w:rPr>
        <w:t>(</w:t>
      </w:r>
      <w:hyperlink r:id="rId244">
        <w:r w:rsidRPr="003C6DAE">
          <w:rPr>
            <w:color w:val="019648"/>
            <w:w w:val="105"/>
            <w:sz w:val="20"/>
            <w:lang w:val="uk-UA"/>
          </w:rPr>
          <w:t>https://www.who.</w:t>
        </w:r>
      </w:hyperlink>
      <w:r w:rsidRPr="003C6DAE">
        <w:rPr>
          <w:color w:val="019648"/>
          <w:w w:val="105"/>
          <w:sz w:val="20"/>
          <w:lang w:val="uk-UA"/>
        </w:rPr>
        <w:t xml:space="preserve"> </w:t>
      </w:r>
      <w:hyperlink r:id="rId245">
        <w:proofErr w:type="spellStart"/>
        <w:r w:rsidRPr="003C6DAE">
          <w:rPr>
            <w:color w:val="019648"/>
            <w:spacing w:val="-2"/>
            <w:w w:val="105"/>
            <w:sz w:val="20"/>
            <w:lang w:val="uk-UA"/>
          </w:rPr>
          <w:t>int</w:t>
        </w:r>
        <w:proofErr w:type="spellEnd"/>
        <w:r w:rsidRPr="003C6DAE">
          <w:rPr>
            <w:color w:val="019648"/>
            <w:spacing w:val="-2"/>
            <w:w w:val="105"/>
            <w:sz w:val="20"/>
            <w:lang w:val="uk-UA"/>
          </w:rPr>
          <w:t>/</w:t>
        </w:r>
        <w:proofErr w:type="spellStart"/>
        <w:r w:rsidRPr="003C6DAE">
          <w:rPr>
            <w:color w:val="019648"/>
            <w:spacing w:val="-2"/>
            <w:w w:val="105"/>
            <w:sz w:val="20"/>
            <w:lang w:val="uk-UA"/>
          </w:rPr>
          <w:t>about</w:t>
        </w:r>
        <w:proofErr w:type="spellEnd"/>
        <w:r w:rsidRPr="003C6DAE">
          <w:rPr>
            <w:color w:val="019648"/>
            <w:spacing w:val="-2"/>
            <w:w w:val="105"/>
            <w:sz w:val="20"/>
            <w:lang w:val="uk-UA"/>
          </w:rPr>
          <w:t>/</w:t>
        </w:r>
        <w:proofErr w:type="spellStart"/>
        <w:r w:rsidRPr="003C6DAE">
          <w:rPr>
            <w:color w:val="019648"/>
            <w:spacing w:val="-2"/>
            <w:w w:val="105"/>
            <w:sz w:val="20"/>
            <w:lang w:val="uk-UA"/>
          </w:rPr>
          <w:t>ethics</w:t>
        </w:r>
        <w:proofErr w:type="spellEnd"/>
        <w:r w:rsidRPr="003C6DAE">
          <w:rPr>
            <w:color w:val="019648"/>
            <w:spacing w:val="-2"/>
            <w:w w:val="105"/>
            <w:sz w:val="20"/>
            <w:lang w:val="uk-UA"/>
          </w:rPr>
          <w:t>/</w:t>
        </w:r>
        <w:proofErr w:type="spellStart"/>
        <w:r w:rsidRPr="003C6DAE">
          <w:rPr>
            <w:color w:val="019648"/>
            <w:spacing w:val="-2"/>
            <w:w w:val="105"/>
            <w:sz w:val="20"/>
            <w:lang w:val="uk-UA"/>
          </w:rPr>
          <w:t>declarations</w:t>
        </w:r>
        <w:proofErr w:type="spellEnd"/>
        <w:r w:rsidRPr="003C6DAE">
          <w:rPr>
            <w:color w:val="019648"/>
            <w:spacing w:val="-2"/>
            <w:w w:val="105"/>
            <w:sz w:val="20"/>
            <w:lang w:val="uk-UA"/>
          </w:rPr>
          <w:t>-of-</w:t>
        </w:r>
        <w:proofErr w:type="spellStart"/>
        <w:r w:rsidRPr="003C6DAE">
          <w:rPr>
            <w:color w:val="019648"/>
            <w:spacing w:val="-2"/>
            <w:w w:val="105"/>
            <w:sz w:val="20"/>
            <w:lang w:val="uk-UA"/>
          </w:rPr>
          <w:t>interest</w:t>
        </w:r>
        <w:proofErr w:type="spellEnd"/>
      </w:hyperlink>
      <w:r w:rsidRPr="003C6DAE">
        <w:rPr>
          <w:spacing w:val="-2"/>
          <w:w w:val="105"/>
          <w:sz w:val="20"/>
          <w:lang w:val="uk-UA"/>
        </w:rPr>
        <w:t>).</w:t>
      </w:r>
    </w:p>
    <w:p w14:paraId="68E45F1C" w14:textId="77777777" w:rsidR="00E05B98" w:rsidRPr="003C6DAE" w:rsidRDefault="00B01E0C">
      <w:pPr>
        <w:pStyle w:val="a4"/>
        <w:numPr>
          <w:ilvl w:val="0"/>
          <w:numId w:val="2"/>
        </w:numPr>
        <w:tabs>
          <w:tab w:val="left" w:pos="927"/>
        </w:tabs>
        <w:spacing w:before="83" w:line="297" w:lineRule="auto"/>
        <w:ind w:right="140"/>
        <w:rPr>
          <w:sz w:val="20"/>
          <w:lang w:val="uk-UA"/>
        </w:rPr>
      </w:pPr>
      <w:proofErr w:type="spellStart"/>
      <w:r w:rsidRPr="003C6DAE">
        <w:rPr>
          <w:spacing w:val="-2"/>
          <w:w w:val="105"/>
          <w:sz w:val="20"/>
          <w:lang w:val="uk-UA"/>
        </w:rPr>
        <w:t>Handbook</w:t>
      </w:r>
      <w:proofErr w:type="spellEnd"/>
      <w:r w:rsidRPr="003C6DAE">
        <w:rPr>
          <w:spacing w:val="-4"/>
          <w:w w:val="105"/>
          <w:sz w:val="20"/>
          <w:lang w:val="uk-UA"/>
        </w:rPr>
        <w:t xml:space="preserve"> </w:t>
      </w:r>
      <w:r w:rsidRPr="003C6DAE">
        <w:rPr>
          <w:spacing w:val="-2"/>
          <w:w w:val="105"/>
          <w:sz w:val="20"/>
          <w:lang w:val="uk-UA"/>
        </w:rPr>
        <w:t>for</w:t>
      </w:r>
      <w:r w:rsidRPr="003C6DAE">
        <w:rPr>
          <w:spacing w:val="-4"/>
          <w:w w:val="105"/>
          <w:sz w:val="20"/>
          <w:lang w:val="uk-UA"/>
        </w:rPr>
        <w:t xml:space="preserve"> </w:t>
      </w:r>
      <w:proofErr w:type="spellStart"/>
      <w:r w:rsidRPr="003C6DAE">
        <w:rPr>
          <w:spacing w:val="-2"/>
          <w:w w:val="105"/>
          <w:sz w:val="20"/>
          <w:lang w:val="uk-UA"/>
        </w:rPr>
        <w:t>guideline</w:t>
      </w:r>
      <w:proofErr w:type="spellEnd"/>
      <w:r w:rsidRPr="003C6DAE">
        <w:rPr>
          <w:spacing w:val="-4"/>
          <w:w w:val="105"/>
          <w:sz w:val="20"/>
          <w:lang w:val="uk-UA"/>
        </w:rPr>
        <w:t xml:space="preserve"> </w:t>
      </w:r>
      <w:r w:rsidRPr="003C6DAE">
        <w:rPr>
          <w:spacing w:val="-2"/>
          <w:w w:val="105"/>
          <w:sz w:val="20"/>
          <w:lang w:val="uk-UA"/>
        </w:rPr>
        <w:t>development</w:t>
      </w:r>
      <w:r w:rsidRPr="003C6DAE">
        <w:rPr>
          <w:spacing w:val="-4"/>
          <w:w w:val="105"/>
          <w:sz w:val="20"/>
          <w:lang w:val="uk-UA"/>
        </w:rPr>
        <w:t xml:space="preserve"> </w:t>
      </w:r>
      <w:r w:rsidRPr="003C6DAE">
        <w:rPr>
          <w:spacing w:val="-2"/>
          <w:w w:val="105"/>
          <w:sz w:val="20"/>
          <w:lang w:val="uk-UA"/>
        </w:rPr>
        <w:t>2nd</w:t>
      </w:r>
      <w:r w:rsidRPr="003C6DAE">
        <w:rPr>
          <w:spacing w:val="-4"/>
          <w:w w:val="105"/>
          <w:sz w:val="20"/>
          <w:lang w:val="uk-UA"/>
        </w:rPr>
        <w:t xml:space="preserve"> </w:t>
      </w:r>
      <w:proofErr w:type="spellStart"/>
      <w:r w:rsidRPr="003C6DAE">
        <w:rPr>
          <w:spacing w:val="-2"/>
          <w:w w:val="105"/>
          <w:sz w:val="20"/>
          <w:lang w:val="uk-UA"/>
        </w:rPr>
        <w:t>ed</w:t>
      </w:r>
      <w:proofErr w:type="spellEnd"/>
      <w:r w:rsidRPr="003C6DAE">
        <w:rPr>
          <w:spacing w:val="-2"/>
          <w:w w:val="105"/>
          <w:sz w:val="20"/>
          <w:lang w:val="uk-UA"/>
        </w:rPr>
        <w:t>.</w:t>
      </w:r>
      <w:r w:rsidRPr="003C6DAE">
        <w:rPr>
          <w:spacing w:val="-4"/>
          <w:w w:val="105"/>
          <w:sz w:val="20"/>
          <w:lang w:val="uk-UA"/>
        </w:rPr>
        <w:t xml:space="preserve"> </w:t>
      </w:r>
      <w:r w:rsidRPr="003C6DAE">
        <w:rPr>
          <w:spacing w:val="-2"/>
          <w:w w:val="105"/>
          <w:sz w:val="20"/>
          <w:lang w:val="uk-UA"/>
        </w:rPr>
        <w:t>Geneva:</w:t>
      </w:r>
      <w:r w:rsidRPr="003C6DAE">
        <w:rPr>
          <w:spacing w:val="-4"/>
          <w:w w:val="105"/>
          <w:sz w:val="20"/>
          <w:lang w:val="uk-UA"/>
        </w:rPr>
        <w:t xml:space="preserve"> </w:t>
      </w:r>
      <w:proofErr w:type="spellStart"/>
      <w:r w:rsidRPr="003C6DAE">
        <w:rPr>
          <w:spacing w:val="-2"/>
          <w:w w:val="105"/>
          <w:sz w:val="20"/>
          <w:lang w:val="uk-UA"/>
        </w:rPr>
        <w:t>World</w:t>
      </w:r>
      <w:proofErr w:type="spellEnd"/>
      <w:r w:rsidRPr="003C6DAE">
        <w:rPr>
          <w:spacing w:val="-4"/>
          <w:w w:val="105"/>
          <w:sz w:val="20"/>
          <w:lang w:val="uk-UA"/>
        </w:rPr>
        <w:t xml:space="preserve"> </w:t>
      </w:r>
      <w:r w:rsidRPr="003C6DAE">
        <w:rPr>
          <w:spacing w:val="-2"/>
          <w:w w:val="105"/>
          <w:sz w:val="20"/>
          <w:lang w:val="uk-UA"/>
        </w:rPr>
        <w:t>Health</w:t>
      </w:r>
      <w:r w:rsidRPr="003C6DAE">
        <w:rPr>
          <w:spacing w:val="-4"/>
          <w:w w:val="105"/>
          <w:sz w:val="20"/>
          <w:lang w:val="uk-UA"/>
        </w:rPr>
        <w:t xml:space="preserve"> </w:t>
      </w:r>
      <w:proofErr w:type="spellStart"/>
      <w:r w:rsidRPr="003C6DAE">
        <w:rPr>
          <w:spacing w:val="-2"/>
          <w:w w:val="105"/>
          <w:sz w:val="20"/>
          <w:lang w:val="uk-UA"/>
        </w:rPr>
        <w:t>Organization</w:t>
      </w:r>
      <w:proofErr w:type="spellEnd"/>
      <w:r w:rsidRPr="003C6DAE">
        <w:rPr>
          <w:spacing w:val="-2"/>
          <w:w w:val="105"/>
          <w:sz w:val="20"/>
          <w:lang w:val="uk-UA"/>
        </w:rPr>
        <w:t>;</w:t>
      </w:r>
      <w:r w:rsidRPr="003C6DAE">
        <w:rPr>
          <w:spacing w:val="-4"/>
          <w:w w:val="105"/>
          <w:sz w:val="20"/>
          <w:lang w:val="uk-UA"/>
        </w:rPr>
        <w:t xml:space="preserve"> </w:t>
      </w:r>
      <w:r w:rsidRPr="003C6DAE">
        <w:rPr>
          <w:spacing w:val="-2"/>
          <w:w w:val="105"/>
          <w:sz w:val="20"/>
          <w:lang w:val="uk-UA"/>
        </w:rPr>
        <w:t>2014</w:t>
      </w:r>
      <w:r w:rsidRPr="003C6DAE">
        <w:rPr>
          <w:spacing w:val="-4"/>
          <w:w w:val="105"/>
          <w:sz w:val="20"/>
          <w:lang w:val="uk-UA"/>
        </w:rPr>
        <w:t xml:space="preserve"> </w:t>
      </w:r>
      <w:r w:rsidRPr="003C6DAE">
        <w:rPr>
          <w:spacing w:val="-2"/>
          <w:w w:val="105"/>
          <w:sz w:val="20"/>
          <w:lang w:val="uk-UA"/>
        </w:rPr>
        <w:t>(</w:t>
      </w:r>
      <w:hyperlink r:id="rId246">
        <w:r w:rsidRPr="003C6DAE">
          <w:rPr>
            <w:color w:val="019648"/>
            <w:spacing w:val="-2"/>
            <w:w w:val="105"/>
            <w:sz w:val="20"/>
            <w:lang w:val="uk-UA"/>
          </w:rPr>
          <w:t>https://</w:t>
        </w:r>
      </w:hyperlink>
      <w:r w:rsidRPr="003C6DAE">
        <w:rPr>
          <w:color w:val="019648"/>
          <w:spacing w:val="-2"/>
          <w:w w:val="105"/>
          <w:sz w:val="20"/>
          <w:lang w:val="uk-UA"/>
        </w:rPr>
        <w:t xml:space="preserve"> </w:t>
      </w:r>
      <w:hyperlink r:id="rId247">
        <w:r w:rsidRPr="003C6DAE">
          <w:rPr>
            <w:color w:val="019648"/>
            <w:spacing w:val="-2"/>
            <w:w w:val="105"/>
            <w:sz w:val="20"/>
            <w:lang w:val="uk-UA"/>
          </w:rPr>
          <w:t>apps.who.int/</w:t>
        </w:r>
        <w:proofErr w:type="spellStart"/>
        <w:r w:rsidRPr="003C6DAE">
          <w:rPr>
            <w:color w:val="019648"/>
            <w:spacing w:val="-2"/>
            <w:w w:val="105"/>
            <w:sz w:val="20"/>
            <w:lang w:val="uk-UA"/>
          </w:rPr>
          <w:t>iris</w:t>
        </w:r>
        <w:proofErr w:type="spellEnd"/>
        <w:r w:rsidRPr="003C6DAE">
          <w:rPr>
            <w:color w:val="019648"/>
            <w:spacing w:val="-2"/>
            <w:w w:val="105"/>
            <w:sz w:val="20"/>
            <w:lang w:val="uk-UA"/>
          </w:rPr>
          <w:t>/</w:t>
        </w:r>
        <w:proofErr w:type="spellStart"/>
        <w:r w:rsidRPr="003C6DAE">
          <w:rPr>
            <w:color w:val="019648"/>
            <w:spacing w:val="-2"/>
            <w:w w:val="105"/>
            <w:sz w:val="20"/>
            <w:lang w:val="uk-UA"/>
          </w:rPr>
          <w:t>handle</w:t>
        </w:r>
        <w:proofErr w:type="spellEnd"/>
        <w:r w:rsidRPr="003C6DAE">
          <w:rPr>
            <w:color w:val="019648"/>
            <w:spacing w:val="-2"/>
            <w:w w:val="105"/>
            <w:sz w:val="20"/>
            <w:lang w:val="uk-UA"/>
          </w:rPr>
          <w:t>/10665/145714</w:t>
        </w:r>
      </w:hyperlink>
      <w:r w:rsidRPr="003C6DAE">
        <w:rPr>
          <w:spacing w:val="-2"/>
          <w:w w:val="105"/>
          <w:sz w:val="20"/>
          <w:lang w:val="uk-UA"/>
        </w:rPr>
        <w:t>).</w:t>
      </w:r>
    </w:p>
    <w:p w14:paraId="1C21B23B" w14:textId="77777777" w:rsidR="00E05B98" w:rsidRPr="003C6DAE" w:rsidRDefault="00E05B98">
      <w:pPr>
        <w:pStyle w:val="a4"/>
        <w:spacing w:line="297" w:lineRule="auto"/>
        <w:jc w:val="left"/>
        <w:rPr>
          <w:sz w:val="20"/>
          <w:lang w:val="uk-UA"/>
        </w:rPr>
        <w:sectPr w:rsidR="00E05B98" w:rsidRPr="003C6DAE">
          <w:pgSz w:w="11910" w:h="16840"/>
          <w:pgMar w:top="1320" w:right="1275" w:bottom="760" w:left="850" w:header="0" w:footer="573" w:gutter="0"/>
          <w:cols w:space="720"/>
        </w:sectPr>
      </w:pPr>
    </w:p>
    <w:p w14:paraId="53BF3AFA" w14:textId="77777777" w:rsidR="00E05B98" w:rsidRPr="003C6DAE" w:rsidRDefault="00B01E0C">
      <w:pPr>
        <w:pStyle w:val="a3"/>
        <w:rPr>
          <w:sz w:val="64"/>
          <w:lang w:val="uk-UA"/>
        </w:rPr>
      </w:pPr>
      <w:r w:rsidRPr="003C6DAE">
        <w:rPr>
          <w:noProof/>
          <w:sz w:val="64"/>
          <w:lang w:val="uk-UA"/>
        </w:rPr>
        <w:lastRenderedPageBreak/>
        <w:drawing>
          <wp:anchor distT="0" distB="0" distL="0" distR="0" simplePos="0" relativeHeight="481838080" behindDoc="1" locked="0" layoutInCell="1" allowOverlap="1" wp14:anchorId="275B987E" wp14:editId="17A0C97C">
            <wp:simplePos x="0" y="0"/>
            <wp:positionH relativeFrom="page">
              <wp:posOffset>1365</wp:posOffset>
            </wp:positionH>
            <wp:positionV relativeFrom="page">
              <wp:posOffset>0</wp:posOffset>
            </wp:positionV>
            <wp:extent cx="7558640" cy="1470902"/>
            <wp:effectExtent l="0" t="0" r="0" b="0"/>
            <wp:wrapNone/>
            <wp:docPr id="3078" name="Image 3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8" name="Image 3078"/>
                    <pic:cNvPicPr/>
                  </pic:nvPicPr>
                  <pic:blipFill>
                    <a:blip r:embed="rId31" cstate="print"/>
                    <a:stretch>
                      <a:fillRect/>
                    </a:stretch>
                  </pic:blipFill>
                  <pic:spPr>
                    <a:xfrm>
                      <a:off x="0" y="0"/>
                      <a:ext cx="7558640" cy="1470902"/>
                    </a:xfrm>
                    <a:prstGeom prst="rect">
                      <a:avLst/>
                    </a:prstGeom>
                  </pic:spPr>
                </pic:pic>
              </a:graphicData>
            </a:graphic>
          </wp:anchor>
        </w:drawing>
      </w:r>
    </w:p>
    <w:p w14:paraId="6A4675D7" w14:textId="77777777" w:rsidR="00E05B98" w:rsidRPr="003C6DAE" w:rsidRDefault="00E05B98">
      <w:pPr>
        <w:pStyle w:val="a3"/>
        <w:rPr>
          <w:sz w:val="64"/>
          <w:lang w:val="uk-UA"/>
        </w:rPr>
      </w:pPr>
    </w:p>
    <w:p w14:paraId="2C239DF6" w14:textId="77777777" w:rsidR="00E05B98" w:rsidRPr="003C6DAE" w:rsidRDefault="00E05B98">
      <w:pPr>
        <w:pStyle w:val="a3"/>
        <w:spacing w:before="47"/>
        <w:rPr>
          <w:sz w:val="64"/>
          <w:lang w:val="uk-UA"/>
        </w:rPr>
      </w:pPr>
    </w:p>
    <w:p w14:paraId="6D6FAC93" w14:textId="46F58B04" w:rsidR="00E05B98" w:rsidRPr="007826F2" w:rsidRDefault="007826F2" w:rsidP="003954DE">
      <w:pPr>
        <w:pStyle w:val="1"/>
        <w:spacing w:line="216" w:lineRule="auto"/>
        <w:ind w:right="-138"/>
        <w:rPr>
          <w:rFonts w:ascii="Arial" w:hAnsi="Arial" w:cs="Arial"/>
          <w:sz w:val="56"/>
          <w:szCs w:val="56"/>
          <w:lang w:val="uk-UA"/>
        </w:rPr>
      </w:pPr>
      <w:bookmarkStart w:id="111" w:name="Annex_3._GDG_members_expertise,_region,_"/>
      <w:bookmarkStart w:id="112" w:name="_bookmark56"/>
      <w:bookmarkEnd w:id="111"/>
      <w:bookmarkEnd w:id="112"/>
      <w:r w:rsidRPr="00F77588">
        <w:rPr>
          <w:rFonts w:ascii="Arial" w:hAnsi="Arial" w:cs="Arial"/>
          <w:color w:val="019648"/>
          <w:sz w:val="56"/>
          <w:szCs w:val="56"/>
          <w:lang w:val="uk-UA"/>
        </w:rPr>
        <w:t>Додаток</w:t>
      </w:r>
      <w:r w:rsidR="00B01E0C" w:rsidRPr="00F77588">
        <w:rPr>
          <w:rFonts w:ascii="Arial" w:hAnsi="Arial" w:cs="Arial"/>
          <w:color w:val="019648"/>
          <w:sz w:val="56"/>
          <w:szCs w:val="56"/>
          <w:lang w:val="uk-UA"/>
        </w:rPr>
        <w:t xml:space="preserve"> 3. </w:t>
      </w:r>
      <w:r w:rsidR="002D14D4" w:rsidRPr="00F77588">
        <w:rPr>
          <w:rFonts w:ascii="Arial" w:hAnsi="Arial" w:cs="Arial"/>
          <w:color w:val="019648"/>
          <w:sz w:val="56"/>
          <w:szCs w:val="56"/>
          <w:lang w:val="uk-UA"/>
        </w:rPr>
        <w:t xml:space="preserve">Список членів ГРН із зазначенням </w:t>
      </w:r>
      <w:r w:rsidR="00F77588" w:rsidRPr="00F77588">
        <w:rPr>
          <w:rFonts w:ascii="Arial" w:hAnsi="Arial" w:cs="Arial"/>
          <w:color w:val="019648"/>
          <w:sz w:val="56"/>
          <w:szCs w:val="56"/>
          <w:lang w:val="uk-UA"/>
        </w:rPr>
        <w:t>сфери компетенції</w:t>
      </w:r>
      <w:r w:rsidR="002D14D4" w:rsidRPr="00F77588">
        <w:rPr>
          <w:rFonts w:ascii="Arial" w:hAnsi="Arial" w:cs="Arial"/>
          <w:color w:val="019648"/>
          <w:sz w:val="56"/>
          <w:szCs w:val="56"/>
          <w:lang w:val="uk-UA"/>
        </w:rPr>
        <w:t>, регіону, та гендеру</w:t>
      </w:r>
    </w:p>
    <w:p w14:paraId="703C64CE" w14:textId="77777777" w:rsidR="00E05B98" w:rsidRPr="003954DE" w:rsidRDefault="00E05B98">
      <w:pPr>
        <w:pStyle w:val="a3"/>
        <w:spacing w:before="68"/>
        <w:rPr>
          <w:sz w:val="40"/>
          <w:szCs w:val="40"/>
          <w:lang w:val="uk-UA"/>
        </w:rPr>
      </w:pPr>
    </w:p>
    <w:p w14:paraId="57F43822" w14:textId="5AA8DC69" w:rsidR="00E05B98" w:rsidRPr="003C6DAE" w:rsidRDefault="002D14D4">
      <w:pPr>
        <w:pStyle w:val="6"/>
        <w:spacing w:before="0" w:line="249" w:lineRule="auto"/>
        <w:rPr>
          <w:lang w:val="uk-UA"/>
        </w:rPr>
      </w:pPr>
      <w:r>
        <w:rPr>
          <w:color w:val="636466"/>
          <w:lang w:val="uk-UA"/>
        </w:rPr>
        <w:t>Таблиця</w:t>
      </w:r>
      <w:r w:rsidR="00B01E0C" w:rsidRPr="003C6DAE">
        <w:rPr>
          <w:color w:val="636466"/>
          <w:spacing w:val="-5"/>
          <w:lang w:val="uk-UA"/>
        </w:rPr>
        <w:t xml:space="preserve"> </w:t>
      </w:r>
      <w:r w:rsidR="00B01E0C" w:rsidRPr="003C6DAE">
        <w:rPr>
          <w:color w:val="636466"/>
          <w:lang w:val="uk-UA"/>
        </w:rPr>
        <w:t>A.3.1.</w:t>
      </w:r>
      <w:r w:rsidR="00B01E0C" w:rsidRPr="003C6DAE">
        <w:rPr>
          <w:color w:val="636466"/>
          <w:spacing w:val="-5"/>
          <w:lang w:val="uk-UA"/>
        </w:rPr>
        <w:t xml:space="preserve"> </w:t>
      </w:r>
      <w:r w:rsidRPr="002D14D4">
        <w:rPr>
          <w:color w:val="636466"/>
          <w:lang w:val="uk-UA"/>
        </w:rPr>
        <w:t>Члени групи з розробки настанови: «</w:t>
      </w:r>
      <w:r w:rsidR="008A2EFE">
        <w:rPr>
          <w:color w:val="636466"/>
          <w:lang w:val="uk-UA"/>
        </w:rPr>
        <w:t>Таргетне</w:t>
      </w:r>
      <w:r w:rsidRPr="002D14D4">
        <w:rPr>
          <w:color w:val="636466"/>
          <w:lang w:val="uk-UA"/>
        </w:rPr>
        <w:t xml:space="preserve"> секвенування наступного покоління» 2–5 травня 2023 р.</w:t>
      </w:r>
    </w:p>
    <w:p w14:paraId="4F1A4F96" w14:textId="77777777" w:rsidR="00E05B98" w:rsidRPr="003C6DAE" w:rsidRDefault="00E05B98">
      <w:pPr>
        <w:pStyle w:val="a3"/>
        <w:spacing w:before="5"/>
        <w:rPr>
          <w:rFonts w:ascii="Arial"/>
          <w:b/>
          <w:sz w:val="16"/>
          <w:lang w:val="uk-UA"/>
        </w:rPr>
      </w:pPr>
    </w:p>
    <w:tbl>
      <w:tblPr>
        <w:tblStyle w:val="TableNormal"/>
        <w:tblW w:w="0" w:type="auto"/>
        <w:tblInd w:w="57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2391"/>
        <w:gridCol w:w="3118"/>
        <w:gridCol w:w="2551"/>
        <w:gridCol w:w="1027"/>
      </w:tblGrid>
      <w:tr w:rsidR="00E05B98" w:rsidRPr="003954DE" w14:paraId="223F71A2" w14:textId="77777777" w:rsidTr="00FA7096">
        <w:trPr>
          <w:trHeight w:val="428"/>
        </w:trPr>
        <w:tc>
          <w:tcPr>
            <w:tcW w:w="2391" w:type="dxa"/>
            <w:tcBorders>
              <w:right w:val="single" w:sz="6" w:space="0" w:color="019648"/>
            </w:tcBorders>
            <w:shd w:val="clear" w:color="auto" w:fill="62A86B"/>
          </w:tcPr>
          <w:p w14:paraId="3F6C0229" w14:textId="154A7228" w:rsidR="00E05B98" w:rsidRPr="003954DE" w:rsidRDefault="002D14D4">
            <w:pPr>
              <w:pStyle w:val="TableParagraph"/>
              <w:spacing w:before="95"/>
              <w:ind w:left="146"/>
              <w:rPr>
                <w:rFonts w:ascii="Arial" w:hAnsi="Arial" w:cs="Arial"/>
                <w:b/>
                <w:sz w:val="20"/>
                <w:szCs w:val="20"/>
                <w:lang w:val="uk-UA"/>
              </w:rPr>
            </w:pPr>
            <w:r w:rsidRPr="003954DE">
              <w:rPr>
                <w:rFonts w:ascii="Arial" w:hAnsi="Arial" w:cs="Arial"/>
                <w:b/>
                <w:color w:val="FFFFFF"/>
                <w:spacing w:val="-9"/>
                <w:sz w:val="20"/>
                <w:szCs w:val="20"/>
                <w:lang w:val="uk-UA"/>
              </w:rPr>
              <w:t>Член ГРН</w:t>
            </w:r>
          </w:p>
        </w:tc>
        <w:tc>
          <w:tcPr>
            <w:tcW w:w="3118" w:type="dxa"/>
            <w:tcBorders>
              <w:left w:val="single" w:sz="6" w:space="0" w:color="019648"/>
              <w:right w:val="single" w:sz="6" w:space="0" w:color="019648"/>
            </w:tcBorders>
            <w:shd w:val="clear" w:color="auto" w:fill="62A86B"/>
          </w:tcPr>
          <w:p w14:paraId="2D9BC27A" w14:textId="30D595EC" w:rsidR="00E05B98" w:rsidRPr="0057728C" w:rsidRDefault="00F77588">
            <w:pPr>
              <w:pStyle w:val="TableParagraph"/>
              <w:spacing w:before="95"/>
              <w:ind w:left="138"/>
              <w:rPr>
                <w:rFonts w:ascii="Arial" w:hAnsi="Arial" w:cs="Arial"/>
                <w:b/>
                <w:sz w:val="20"/>
                <w:szCs w:val="20"/>
                <w:lang w:val="uk-UA"/>
              </w:rPr>
            </w:pPr>
            <w:r>
              <w:rPr>
                <w:rFonts w:ascii="Arial" w:hAnsi="Arial" w:cs="Arial"/>
                <w:b/>
                <w:color w:val="FFFFFF"/>
                <w:spacing w:val="-2"/>
                <w:sz w:val="20"/>
                <w:szCs w:val="20"/>
                <w:lang w:val="uk-UA"/>
              </w:rPr>
              <w:t>С</w:t>
            </w:r>
            <w:r w:rsidR="002D14D4" w:rsidRPr="003954DE">
              <w:rPr>
                <w:rFonts w:ascii="Arial" w:hAnsi="Arial" w:cs="Arial"/>
                <w:b/>
                <w:color w:val="FFFFFF"/>
                <w:spacing w:val="-2"/>
                <w:sz w:val="20"/>
                <w:szCs w:val="20"/>
                <w:lang w:val="uk-UA"/>
              </w:rPr>
              <w:t xml:space="preserve">фера </w:t>
            </w:r>
            <w:proofErr w:type="spellStart"/>
            <w:r w:rsidR="002D14D4" w:rsidRPr="003954DE">
              <w:rPr>
                <w:rFonts w:ascii="Arial" w:hAnsi="Arial" w:cs="Arial"/>
                <w:b/>
                <w:color w:val="FFFFFF"/>
                <w:spacing w:val="-2"/>
                <w:sz w:val="20"/>
                <w:szCs w:val="20"/>
                <w:lang w:val="uk-UA"/>
              </w:rPr>
              <w:t>компетен</w:t>
            </w:r>
            <w:r w:rsidR="0057728C">
              <w:rPr>
                <w:rFonts w:ascii="Arial" w:hAnsi="Arial" w:cs="Arial"/>
                <w:b/>
                <w:color w:val="FFFFFF"/>
                <w:spacing w:val="-2"/>
                <w:sz w:val="20"/>
                <w:szCs w:val="20"/>
                <w:lang w:val="ru-RU"/>
              </w:rPr>
              <w:t>ції</w:t>
            </w:r>
            <w:proofErr w:type="spellEnd"/>
          </w:p>
        </w:tc>
        <w:tc>
          <w:tcPr>
            <w:tcW w:w="2551" w:type="dxa"/>
            <w:tcBorders>
              <w:left w:val="single" w:sz="6" w:space="0" w:color="019648"/>
              <w:right w:val="single" w:sz="6" w:space="0" w:color="019648"/>
            </w:tcBorders>
            <w:shd w:val="clear" w:color="auto" w:fill="62A86B"/>
          </w:tcPr>
          <w:p w14:paraId="4B808528" w14:textId="65308170" w:rsidR="00E05B98" w:rsidRPr="003954DE" w:rsidRDefault="002D14D4">
            <w:pPr>
              <w:pStyle w:val="TableParagraph"/>
              <w:spacing w:before="95"/>
              <w:ind w:left="138"/>
              <w:rPr>
                <w:rFonts w:ascii="Arial" w:hAnsi="Arial" w:cs="Arial"/>
                <w:b/>
                <w:sz w:val="20"/>
                <w:szCs w:val="20"/>
                <w:lang w:val="uk-UA"/>
              </w:rPr>
            </w:pPr>
            <w:r w:rsidRPr="003954DE">
              <w:rPr>
                <w:rFonts w:ascii="Arial" w:hAnsi="Arial" w:cs="Arial"/>
                <w:b/>
                <w:color w:val="FFFFFF"/>
                <w:w w:val="105"/>
                <w:sz w:val="20"/>
                <w:szCs w:val="20"/>
                <w:lang w:val="uk-UA"/>
              </w:rPr>
              <w:t>Регіон ВООЗ</w:t>
            </w:r>
          </w:p>
        </w:tc>
        <w:tc>
          <w:tcPr>
            <w:tcW w:w="1027" w:type="dxa"/>
            <w:tcBorders>
              <w:left w:val="single" w:sz="6" w:space="0" w:color="019648"/>
              <w:right w:val="single" w:sz="6" w:space="0" w:color="019648"/>
            </w:tcBorders>
            <w:shd w:val="clear" w:color="auto" w:fill="62A86B"/>
          </w:tcPr>
          <w:p w14:paraId="1C812A46" w14:textId="12974170" w:rsidR="00E05B98" w:rsidRPr="003954DE" w:rsidRDefault="002D14D4">
            <w:pPr>
              <w:pStyle w:val="TableParagraph"/>
              <w:spacing w:before="95"/>
              <w:ind w:left="139"/>
              <w:rPr>
                <w:rFonts w:ascii="Arial" w:hAnsi="Arial" w:cs="Arial"/>
                <w:b/>
                <w:sz w:val="20"/>
                <w:szCs w:val="20"/>
                <w:lang w:val="uk-UA"/>
              </w:rPr>
            </w:pPr>
            <w:r w:rsidRPr="003954DE">
              <w:rPr>
                <w:rFonts w:ascii="Arial" w:hAnsi="Arial" w:cs="Arial"/>
                <w:b/>
                <w:color w:val="FFFFFF"/>
                <w:spacing w:val="-2"/>
                <w:sz w:val="20"/>
                <w:szCs w:val="20"/>
                <w:lang w:val="uk-UA"/>
              </w:rPr>
              <w:t>Гендер</w:t>
            </w:r>
          </w:p>
        </w:tc>
      </w:tr>
      <w:tr w:rsidR="00E05B98" w:rsidRPr="003954DE" w14:paraId="5D615B74" w14:textId="77777777" w:rsidTr="00FA7096">
        <w:trPr>
          <w:trHeight w:val="645"/>
        </w:trPr>
        <w:tc>
          <w:tcPr>
            <w:tcW w:w="2391" w:type="dxa"/>
            <w:tcBorders>
              <w:left w:val="nil"/>
              <w:bottom w:val="single" w:sz="6" w:space="0" w:color="019648"/>
              <w:right w:val="nil"/>
            </w:tcBorders>
          </w:tcPr>
          <w:p w14:paraId="76F72226" w14:textId="6E04F3C4" w:rsidR="00E05B98" w:rsidRPr="003954DE" w:rsidRDefault="002D14D4">
            <w:pPr>
              <w:pStyle w:val="TableParagraph"/>
              <w:spacing w:before="76" w:line="249" w:lineRule="auto"/>
              <w:ind w:left="133" w:right="115"/>
              <w:rPr>
                <w:sz w:val="20"/>
                <w:szCs w:val="20"/>
                <w:lang w:val="uk-UA"/>
              </w:rPr>
            </w:pPr>
            <w:proofErr w:type="spellStart"/>
            <w:r w:rsidRPr="003954DE">
              <w:rPr>
                <w:spacing w:val="-2"/>
                <w:w w:val="105"/>
                <w:sz w:val="20"/>
                <w:szCs w:val="20"/>
                <w:lang w:val="uk-UA"/>
              </w:rPr>
              <w:t>Німалан</w:t>
            </w:r>
            <w:proofErr w:type="spellEnd"/>
            <w:r w:rsidRPr="003954DE">
              <w:rPr>
                <w:spacing w:val="-2"/>
                <w:w w:val="105"/>
                <w:sz w:val="20"/>
                <w:szCs w:val="20"/>
                <w:lang w:val="uk-UA"/>
              </w:rPr>
              <w:t xml:space="preserve"> </w:t>
            </w:r>
            <w:proofErr w:type="spellStart"/>
            <w:r w:rsidRPr="003954DE">
              <w:rPr>
                <w:spacing w:val="-2"/>
                <w:w w:val="105"/>
                <w:sz w:val="20"/>
                <w:szCs w:val="20"/>
                <w:lang w:val="uk-UA"/>
              </w:rPr>
              <w:t>Арінамінпатхі</w:t>
            </w:r>
            <w:proofErr w:type="spellEnd"/>
          </w:p>
        </w:tc>
        <w:tc>
          <w:tcPr>
            <w:tcW w:w="3118" w:type="dxa"/>
            <w:tcBorders>
              <w:left w:val="nil"/>
              <w:bottom w:val="single" w:sz="6" w:space="0" w:color="019648"/>
              <w:right w:val="nil"/>
            </w:tcBorders>
          </w:tcPr>
          <w:p w14:paraId="01E604E5" w14:textId="7E0E71F4" w:rsidR="00E05B98" w:rsidRPr="003954DE" w:rsidRDefault="00EB6C68">
            <w:pPr>
              <w:pStyle w:val="TableParagraph"/>
              <w:spacing w:before="76"/>
              <w:rPr>
                <w:sz w:val="20"/>
                <w:szCs w:val="20"/>
                <w:lang w:val="uk-UA"/>
              </w:rPr>
            </w:pPr>
            <w:r w:rsidRPr="003954DE">
              <w:rPr>
                <w:sz w:val="20"/>
                <w:szCs w:val="20"/>
                <w:lang w:val="uk-UA"/>
              </w:rPr>
              <w:t>Моделювання</w:t>
            </w:r>
            <w:r w:rsidR="002D14D4" w:rsidRPr="003954DE">
              <w:rPr>
                <w:sz w:val="20"/>
                <w:szCs w:val="20"/>
                <w:lang w:val="uk-UA"/>
              </w:rPr>
              <w:t xml:space="preserve"> епідеміології ТБ</w:t>
            </w:r>
          </w:p>
        </w:tc>
        <w:tc>
          <w:tcPr>
            <w:tcW w:w="2551" w:type="dxa"/>
            <w:tcBorders>
              <w:left w:val="nil"/>
              <w:bottom w:val="single" w:sz="6" w:space="0" w:color="019648"/>
              <w:right w:val="nil"/>
            </w:tcBorders>
          </w:tcPr>
          <w:p w14:paraId="705666AF" w14:textId="3E84669A" w:rsidR="00E05B98" w:rsidRPr="003954DE" w:rsidRDefault="002D14D4">
            <w:pPr>
              <w:pStyle w:val="TableParagraph"/>
              <w:spacing w:before="76"/>
              <w:rPr>
                <w:sz w:val="20"/>
                <w:szCs w:val="20"/>
                <w:lang w:val="uk-UA"/>
              </w:rPr>
            </w:pPr>
            <w:r w:rsidRPr="003954DE">
              <w:rPr>
                <w:spacing w:val="-2"/>
                <w:sz w:val="20"/>
                <w:szCs w:val="20"/>
                <w:lang w:val="uk-UA"/>
              </w:rPr>
              <w:t>Європейський регіон</w:t>
            </w:r>
          </w:p>
        </w:tc>
        <w:tc>
          <w:tcPr>
            <w:tcW w:w="1027" w:type="dxa"/>
            <w:tcBorders>
              <w:left w:val="nil"/>
              <w:bottom w:val="single" w:sz="6" w:space="0" w:color="019648"/>
              <w:right w:val="nil"/>
            </w:tcBorders>
          </w:tcPr>
          <w:p w14:paraId="3DAE28D5" w14:textId="7AEAFE81" w:rsidR="00E05B98" w:rsidRPr="003954DE" w:rsidRDefault="002D14D4">
            <w:pPr>
              <w:pStyle w:val="TableParagraph"/>
              <w:spacing w:before="76"/>
              <w:ind w:left="124"/>
              <w:rPr>
                <w:sz w:val="20"/>
                <w:szCs w:val="20"/>
                <w:lang w:val="uk-UA"/>
              </w:rPr>
            </w:pPr>
            <w:r w:rsidRPr="003954DE">
              <w:rPr>
                <w:spacing w:val="-10"/>
                <w:w w:val="110"/>
                <w:sz w:val="20"/>
                <w:szCs w:val="20"/>
                <w:lang w:val="uk-UA"/>
              </w:rPr>
              <w:t>Ч</w:t>
            </w:r>
          </w:p>
        </w:tc>
      </w:tr>
      <w:tr w:rsidR="00E05B98" w:rsidRPr="003954DE" w14:paraId="2361A3F7" w14:textId="77777777" w:rsidTr="00FA7096">
        <w:trPr>
          <w:trHeight w:val="907"/>
        </w:trPr>
        <w:tc>
          <w:tcPr>
            <w:tcW w:w="2391" w:type="dxa"/>
            <w:tcBorders>
              <w:top w:val="single" w:sz="6" w:space="0" w:color="019648"/>
              <w:left w:val="nil"/>
              <w:bottom w:val="single" w:sz="6" w:space="0" w:color="019648"/>
              <w:right w:val="nil"/>
            </w:tcBorders>
          </w:tcPr>
          <w:p w14:paraId="7AFE5671" w14:textId="7DA6F748" w:rsidR="00E05B98" w:rsidRPr="003954DE" w:rsidRDefault="00FA7096">
            <w:pPr>
              <w:pStyle w:val="TableParagraph"/>
              <w:ind w:left="133"/>
              <w:rPr>
                <w:sz w:val="20"/>
                <w:szCs w:val="20"/>
                <w:lang w:val="uk-UA"/>
              </w:rPr>
            </w:pPr>
            <w:r w:rsidRPr="003954DE">
              <w:rPr>
                <w:sz w:val="20"/>
                <w:szCs w:val="20"/>
                <w:lang w:val="uk-UA"/>
              </w:rPr>
              <w:t xml:space="preserve">Девід </w:t>
            </w:r>
            <w:proofErr w:type="spellStart"/>
            <w:r w:rsidRPr="003954DE">
              <w:rPr>
                <w:sz w:val="20"/>
                <w:szCs w:val="20"/>
                <w:lang w:val="uk-UA"/>
              </w:rPr>
              <w:t>Браніган</w:t>
            </w:r>
            <w:proofErr w:type="spellEnd"/>
          </w:p>
        </w:tc>
        <w:tc>
          <w:tcPr>
            <w:tcW w:w="3118" w:type="dxa"/>
            <w:tcBorders>
              <w:top w:val="single" w:sz="6" w:space="0" w:color="019648"/>
              <w:left w:val="nil"/>
              <w:bottom w:val="single" w:sz="6" w:space="0" w:color="019648"/>
              <w:right w:val="nil"/>
            </w:tcBorders>
          </w:tcPr>
          <w:p w14:paraId="0A471D12" w14:textId="4815714E" w:rsidR="00E05B98" w:rsidRPr="003954DE" w:rsidRDefault="00342073">
            <w:pPr>
              <w:pStyle w:val="TableParagraph"/>
              <w:spacing w:line="249" w:lineRule="auto"/>
              <w:ind w:right="127"/>
              <w:rPr>
                <w:sz w:val="20"/>
                <w:szCs w:val="20"/>
                <w:lang w:val="uk-UA"/>
              </w:rPr>
            </w:pPr>
            <w:r w:rsidRPr="003954DE">
              <w:rPr>
                <w:sz w:val="20"/>
                <w:szCs w:val="20"/>
                <w:lang w:val="uk-UA"/>
              </w:rPr>
              <w:t>Права пацієнтів</w:t>
            </w:r>
            <w:r w:rsidR="00B01E0C" w:rsidRPr="003954DE">
              <w:rPr>
                <w:sz w:val="20"/>
                <w:szCs w:val="20"/>
                <w:lang w:val="uk-UA"/>
              </w:rPr>
              <w:t xml:space="preserve">; </w:t>
            </w:r>
            <w:r w:rsidRPr="003954DE">
              <w:rPr>
                <w:sz w:val="20"/>
                <w:szCs w:val="20"/>
                <w:lang w:val="uk-UA"/>
              </w:rPr>
              <w:t>Надання догляду на рівні громади</w:t>
            </w:r>
            <w:r w:rsidR="00B01E0C" w:rsidRPr="003954DE">
              <w:rPr>
                <w:sz w:val="20"/>
                <w:szCs w:val="20"/>
                <w:lang w:val="uk-UA"/>
              </w:rPr>
              <w:t xml:space="preserve">; </w:t>
            </w:r>
            <w:r w:rsidRPr="003954DE">
              <w:rPr>
                <w:sz w:val="20"/>
                <w:szCs w:val="20"/>
                <w:lang w:val="uk-UA"/>
              </w:rPr>
              <w:t>виявлення та діагностика ТБ</w:t>
            </w:r>
          </w:p>
        </w:tc>
        <w:tc>
          <w:tcPr>
            <w:tcW w:w="2551" w:type="dxa"/>
            <w:tcBorders>
              <w:top w:val="single" w:sz="6" w:space="0" w:color="019648"/>
              <w:left w:val="nil"/>
              <w:bottom w:val="single" w:sz="6" w:space="0" w:color="019648"/>
              <w:right w:val="nil"/>
            </w:tcBorders>
          </w:tcPr>
          <w:p w14:paraId="6533044B" w14:textId="26267C97" w:rsidR="00E05B98" w:rsidRPr="003954DE" w:rsidRDefault="002D14D4">
            <w:pPr>
              <w:pStyle w:val="TableParagraph"/>
              <w:spacing w:line="249" w:lineRule="auto"/>
              <w:rPr>
                <w:sz w:val="20"/>
                <w:szCs w:val="20"/>
                <w:lang w:val="uk-UA"/>
              </w:rPr>
            </w:pPr>
            <w:r w:rsidRPr="003954DE">
              <w:rPr>
                <w:spacing w:val="-4"/>
                <w:w w:val="105"/>
                <w:sz w:val="20"/>
                <w:szCs w:val="20"/>
                <w:lang w:val="uk-UA"/>
              </w:rPr>
              <w:t>Регіон країн Америки</w:t>
            </w:r>
          </w:p>
        </w:tc>
        <w:tc>
          <w:tcPr>
            <w:tcW w:w="1027" w:type="dxa"/>
            <w:tcBorders>
              <w:top w:val="single" w:sz="6" w:space="0" w:color="019648"/>
              <w:left w:val="nil"/>
              <w:bottom w:val="single" w:sz="6" w:space="0" w:color="019648"/>
              <w:right w:val="nil"/>
            </w:tcBorders>
          </w:tcPr>
          <w:p w14:paraId="71389965" w14:textId="4231E6FE" w:rsidR="00E05B98" w:rsidRPr="003954DE" w:rsidRDefault="002D14D4">
            <w:pPr>
              <w:pStyle w:val="TableParagraph"/>
              <w:ind w:left="124"/>
              <w:rPr>
                <w:sz w:val="20"/>
                <w:szCs w:val="20"/>
                <w:lang w:val="uk-UA"/>
              </w:rPr>
            </w:pPr>
            <w:r w:rsidRPr="003954DE">
              <w:rPr>
                <w:spacing w:val="-10"/>
                <w:w w:val="110"/>
                <w:sz w:val="20"/>
                <w:szCs w:val="20"/>
                <w:lang w:val="uk-UA"/>
              </w:rPr>
              <w:t>Ч</w:t>
            </w:r>
          </w:p>
        </w:tc>
      </w:tr>
      <w:tr w:rsidR="002D14D4" w:rsidRPr="003954DE" w14:paraId="50E4B243" w14:textId="77777777" w:rsidTr="00FA7096">
        <w:trPr>
          <w:trHeight w:val="387"/>
        </w:trPr>
        <w:tc>
          <w:tcPr>
            <w:tcW w:w="2391" w:type="dxa"/>
            <w:tcBorders>
              <w:top w:val="single" w:sz="6" w:space="0" w:color="019648"/>
              <w:left w:val="nil"/>
              <w:bottom w:val="single" w:sz="6" w:space="0" w:color="019648"/>
              <w:right w:val="nil"/>
            </w:tcBorders>
          </w:tcPr>
          <w:p w14:paraId="73DC0056" w14:textId="16FB28F8" w:rsidR="002D14D4" w:rsidRPr="003954DE" w:rsidRDefault="00FA7096" w:rsidP="002D14D4">
            <w:pPr>
              <w:pStyle w:val="TableParagraph"/>
              <w:ind w:left="133"/>
              <w:rPr>
                <w:sz w:val="20"/>
                <w:szCs w:val="20"/>
                <w:lang w:val="uk-UA"/>
              </w:rPr>
            </w:pPr>
            <w:proofErr w:type="spellStart"/>
            <w:r w:rsidRPr="003954DE">
              <w:rPr>
                <w:spacing w:val="-2"/>
                <w:sz w:val="20"/>
                <w:szCs w:val="20"/>
                <w:lang w:val="uk-UA"/>
              </w:rPr>
              <w:t>Даніела</w:t>
            </w:r>
            <w:proofErr w:type="spellEnd"/>
            <w:r w:rsidRPr="003954DE">
              <w:rPr>
                <w:spacing w:val="-2"/>
                <w:sz w:val="20"/>
                <w:szCs w:val="20"/>
                <w:lang w:val="uk-UA"/>
              </w:rPr>
              <w:t xml:space="preserve"> </w:t>
            </w:r>
            <w:proofErr w:type="spellStart"/>
            <w:r w:rsidRPr="003954DE">
              <w:rPr>
                <w:spacing w:val="-2"/>
                <w:sz w:val="20"/>
                <w:szCs w:val="20"/>
                <w:lang w:val="uk-UA"/>
              </w:rPr>
              <w:t>Чірілло</w:t>
            </w:r>
            <w:proofErr w:type="spellEnd"/>
          </w:p>
        </w:tc>
        <w:tc>
          <w:tcPr>
            <w:tcW w:w="3118" w:type="dxa"/>
            <w:tcBorders>
              <w:top w:val="single" w:sz="6" w:space="0" w:color="019648"/>
              <w:left w:val="nil"/>
              <w:bottom w:val="single" w:sz="6" w:space="0" w:color="019648"/>
              <w:right w:val="nil"/>
            </w:tcBorders>
          </w:tcPr>
          <w:p w14:paraId="5A05D9A1" w14:textId="60FFCE59" w:rsidR="002D14D4" w:rsidRPr="003954DE" w:rsidRDefault="00342073" w:rsidP="002D14D4">
            <w:pPr>
              <w:pStyle w:val="TableParagraph"/>
              <w:rPr>
                <w:sz w:val="20"/>
                <w:szCs w:val="20"/>
                <w:lang w:val="uk-UA"/>
              </w:rPr>
            </w:pPr>
            <w:r w:rsidRPr="003954DE">
              <w:rPr>
                <w:sz w:val="20"/>
                <w:szCs w:val="20"/>
                <w:lang w:val="uk-UA"/>
              </w:rPr>
              <w:t>Лабораторна діагностика ТБ</w:t>
            </w:r>
          </w:p>
        </w:tc>
        <w:tc>
          <w:tcPr>
            <w:tcW w:w="2551" w:type="dxa"/>
            <w:tcBorders>
              <w:top w:val="single" w:sz="6" w:space="0" w:color="019648"/>
              <w:left w:val="nil"/>
              <w:bottom w:val="single" w:sz="6" w:space="0" w:color="019648"/>
              <w:right w:val="nil"/>
            </w:tcBorders>
          </w:tcPr>
          <w:p w14:paraId="2D7ACF07" w14:textId="25F35CFF" w:rsidR="002D14D4" w:rsidRPr="003954DE" w:rsidRDefault="002D14D4" w:rsidP="002D14D4">
            <w:pPr>
              <w:pStyle w:val="TableParagraph"/>
              <w:rPr>
                <w:sz w:val="20"/>
                <w:szCs w:val="20"/>
                <w:lang w:val="uk-UA"/>
              </w:rPr>
            </w:pPr>
            <w:r w:rsidRPr="003954DE">
              <w:rPr>
                <w:spacing w:val="-2"/>
                <w:sz w:val="20"/>
                <w:szCs w:val="20"/>
                <w:lang w:val="uk-UA"/>
              </w:rPr>
              <w:t>Європейський регіон</w:t>
            </w:r>
          </w:p>
        </w:tc>
        <w:tc>
          <w:tcPr>
            <w:tcW w:w="1027" w:type="dxa"/>
            <w:tcBorders>
              <w:top w:val="single" w:sz="6" w:space="0" w:color="019648"/>
              <w:left w:val="nil"/>
              <w:bottom w:val="single" w:sz="6" w:space="0" w:color="019648"/>
              <w:right w:val="nil"/>
            </w:tcBorders>
          </w:tcPr>
          <w:p w14:paraId="5B651BB4" w14:textId="6150B8BE" w:rsidR="002D14D4" w:rsidRPr="003954DE" w:rsidRDefault="008B24D7" w:rsidP="002D14D4">
            <w:pPr>
              <w:pStyle w:val="TableParagraph"/>
              <w:ind w:left="124"/>
              <w:rPr>
                <w:sz w:val="20"/>
                <w:szCs w:val="20"/>
                <w:lang w:val="uk-UA"/>
              </w:rPr>
            </w:pPr>
            <w:r>
              <w:rPr>
                <w:spacing w:val="-10"/>
                <w:w w:val="90"/>
                <w:sz w:val="20"/>
                <w:szCs w:val="20"/>
                <w:lang w:val="uk-UA"/>
              </w:rPr>
              <w:t>Ж</w:t>
            </w:r>
          </w:p>
        </w:tc>
      </w:tr>
      <w:tr w:rsidR="00342073" w:rsidRPr="003954DE" w14:paraId="5B05D17E" w14:textId="77777777" w:rsidTr="00FA7096">
        <w:trPr>
          <w:trHeight w:val="387"/>
        </w:trPr>
        <w:tc>
          <w:tcPr>
            <w:tcW w:w="2391" w:type="dxa"/>
            <w:tcBorders>
              <w:top w:val="single" w:sz="6" w:space="0" w:color="019648"/>
              <w:left w:val="nil"/>
              <w:bottom w:val="single" w:sz="6" w:space="0" w:color="019648"/>
              <w:right w:val="nil"/>
            </w:tcBorders>
          </w:tcPr>
          <w:p w14:paraId="7097A76D" w14:textId="23F63B93" w:rsidR="00342073" w:rsidRPr="003954DE" w:rsidRDefault="00342073" w:rsidP="00342073">
            <w:pPr>
              <w:pStyle w:val="TableParagraph"/>
              <w:ind w:left="133"/>
              <w:rPr>
                <w:sz w:val="20"/>
                <w:szCs w:val="20"/>
                <w:lang w:val="uk-UA"/>
              </w:rPr>
            </w:pPr>
            <w:r w:rsidRPr="003954DE">
              <w:rPr>
                <w:sz w:val="20"/>
                <w:szCs w:val="20"/>
                <w:lang w:val="uk-UA"/>
              </w:rPr>
              <w:t>Петра де Хаас</w:t>
            </w:r>
          </w:p>
        </w:tc>
        <w:tc>
          <w:tcPr>
            <w:tcW w:w="3118" w:type="dxa"/>
            <w:tcBorders>
              <w:top w:val="single" w:sz="6" w:space="0" w:color="019648"/>
              <w:left w:val="nil"/>
              <w:bottom w:val="single" w:sz="6" w:space="0" w:color="019648"/>
              <w:right w:val="nil"/>
            </w:tcBorders>
          </w:tcPr>
          <w:p w14:paraId="04FF00CE" w14:textId="7A3797D8" w:rsidR="00342073" w:rsidRPr="003954DE" w:rsidRDefault="00342073" w:rsidP="00342073">
            <w:pPr>
              <w:pStyle w:val="TableParagraph"/>
              <w:rPr>
                <w:sz w:val="20"/>
                <w:szCs w:val="20"/>
                <w:lang w:val="uk-UA"/>
              </w:rPr>
            </w:pPr>
            <w:r w:rsidRPr="003954DE">
              <w:rPr>
                <w:sz w:val="20"/>
                <w:szCs w:val="20"/>
                <w:lang w:val="uk-UA"/>
              </w:rPr>
              <w:t>Лабораторна діагностика ТБ</w:t>
            </w:r>
          </w:p>
        </w:tc>
        <w:tc>
          <w:tcPr>
            <w:tcW w:w="2551" w:type="dxa"/>
            <w:tcBorders>
              <w:top w:val="single" w:sz="6" w:space="0" w:color="019648"/>
              <w:left w:val="nil"/>
              <w:bottom w:val="single" w:sz="6" w:space="0" w:color="019648"/>
              <w:right w:val="nil"/>
            </w:tcBorders>
          </w:tcPr>
          <w:p w14:paraId="45CE8A38" w14:textId="2A7E77D7" w:rsidR="00342073" w:rsidRPr="003954DE" w:rsidRDefault="00342073" w:rsidP="00342073">
            <w:pPr>
              <w:pStyle w:val="TableParagraph"/>
              <w:rPr>
                <w:sz w:val="20"/>
                <w:szCs w:val="20"/>
                <w:lang w:val="uk-UA"/>
              </w:rPr>
            </w:pPr>
            <w:r w:rsidRPr="003954DE">
              <w:rPr>
                <w:spacing w:val="-2"/>
                <w:sz w:val="20"/>
                <w:szCs w:val="20"/>
                <w:lang w:val="uk-UA"/>
              </w:rPr>
              <w:t>Європейський регіон</w:t>
            </w:r>
          </w:p>
        </w:tc>
        <w:tc>
          <w:tcPr>
            <w:tcW w:w="1027" w:type="dxa"/>
            <w:tcBorders>
              <w:top w:val="single" w:sz="6" w:space="0" w:color="019648"/>
              <w:left w:val="nil"/>
              <w:bottom w:val="single" w:sz="6" w:space="0" w:color="019648"/>
              <w:right w:val="nil"/>
            </w:tcBorders>
          </w:tcPr>
          <w:p w14:paraId="1F9966B4" w14:textId="759B2649" w:rsidR="00342073" w:rsidRPr="003954DE" w:rsidRDefault="00342073" w:rsidP="00342073">
            <w:pPr>
              <w:pStyle w:val="TableParagraph"/>
              <w:ind w:left="124"/>
              <w:rPr>
                <w:sz w:val="20"/>
                <w:szCs w:val="20"/>
                <w:lang w:val="uk-UA"/>
              </w:rPr>
            </w:pPr>
            <w:r w:rsidRPr="003954DE">
              <w:rPr>
                <w:spacing w:val="-10"/>
                <w:w w:val="90"/>
                <w:sz w:val="20"/>
                <w:szCs w:val="20"/>
                <w:lang w:val="uk-UA"/>
              </w:rPr>
              <w:t>Ж</w:t>
            </w:r>
          </w:p>
        </w:tc>
      </w:tr>
      <w:tr w:rsidR="00342073" w:rsidRPr="003954DE" w14:paraId="206BEA47" w14:textId="77777777" w:rsidTr="00FA7096">
        <w:trPr>
          <w:trHeight w:val="647"/>
        </w:trPr>
        <w:tc>
          <w:tcPr>
            <w:tcW w:w="2391" w:type="dxa"/>
            <w:tcBorders>
              <w:top w:val="single" w:sz="6" w:space="0" w:color="019648"/>
              <w:left w:val="nil"/>
              <w:bottom w:val="single" w:sz="6" w:space="0" w:color="019648"/>
              <w:right w:val="nil"/>
            </w:tcBorders>
          </w:tcPr>
          <w:p w14:paraId="0942C144" w14:textId="7AE7CC3D" w:rsidR="00342073" w:rsidRPr="003954DE" w:rsidRDefault="00342073" w:rsidP="00342073">
            <w:pPr>
              <w:pStyle w:val="TableParagraph"/>
              <w:ind w:left="133"/>
              <w:rPr>
                <w:sz w:val="20"/>
                <w:szCs w:val="20"/>
                <w:lang w:val="uk-UA"/>
              </w:rPr>
            </w:pPr>
            <w:r w:rsidRPr="003954DE">
              <w:rPr>
                <w:spacing w:val="-4"/>
                <w:sz w:val="20"/>
                <w:szCs w:val="20"/>
                <w:lang w:val="uk-UA"/>
              </w:rPr>
              <w:t>Патрісія Холл-Ейдсон</w:t>
            </w:r>
          </w:p>
        </w:tc>
        <w:tc>
          <w:tcPr>
            <w:tcW w:w="3118" w:type="dxa"/>
            <w:tcBorders>
              <w:top w:val="single" w:sz="6" w:space="0" w:color="019648"/>
              <w:left w:val="nil"/>
              <w:bottom w:val="single" w:sz="6" w:space="0" w:color="019648"/>
              <w:right w:val="nil"/>
            </w:tcBorders>
          </w:tcPr>
          <w:p w14:paraId="60FD1628" w14:textId="5F51B1AE" w:rsidR="00342073" w:rsidRPr="003954DE" w:rsidRDefault="00342073" w:rsidP="00342073">
            <w:pPr>
              <w:pStyle w:val="TableParagraph"/>
              <w:rPr>
                <w:sz w:val="20"/>
                <w:szCs w:val="20"/>
                <w:lang w:val="uk-UA"/>
              </w:rPr>
            </w:pPr>
            <w:r w:rsidRPr="003954DE">
              <w:rPr>
                <w:sz w:val="20"/>
                <w:szCs w:val="20"/>
                <w:lang w:val="uk-UA"/>
              </w:rPr>
              <w:t>Лабораторна діагностика ТБ</w:t>
            </w:r>
          </w:p>
        </w:tc>
        <w:tc>
          <w:tcPr>
            <w:tcW w:w="2551" w:type="dxa"/>
            <w:tcBorders>
              <w:top w:val="single" w:sz="6" w:space="0" w:color="019648"/>
              <w:left w:val="nil"/>
              <w:bottom w:val="single" w:sz="6" w:space="0" w:color="019648"/>
              <w:right w:val="nil"/>
            </w:tcBorders>
          </w:tcPr>
          <w:p w14:paraId="6847EF2B" w14:textId="2E34B6AE" w:rsidR="00342073" w:rsidRPr="003954DE" w:rsidRDefault="00342073" w:rsidP="00342073">
            <w:pPr>
              <w:pStyle w:val="TableParagraph"/>
              <w:spacing w:line="249" w:lineRule="auto"/>
              <w:rPr>
                <w:sz w:val="20"/>
                <w:szCs w:val="20"/>
                <w:lang w:val="uk-UA"/>
              </w:rPr>
            </w:pPr>
            <w:r w:rsidRPr="003954DE">
              <w:rPr>
                <w:spacing w:val="-4"/>
                <w:w w:val="105"/>
                <w:sz w:val="20"/>
                <w:szCs w:val="20"/>
                <w:lang w:val="uk-UA"/>
              </w:rPr>
              <w:t>Регіон країн Америки</w:t>
            </w:r>
          </w:p>
        </w:tc>
        <w:tc>
          <w:tcPr>
            <w:tcW w:w="1027" w:type="dxa"/>
            <w:tcBorders>
              <w:top w:val="single" w:sz="6" w:space="0" w:color="019648"/>
              <w:left w:val="nil"/>
              <w:bottom w:val="single" w:sz="6" w:space="0" w:color="019648"/>
              <w:right w:val="nil"/>
            </w:tcBorders>
          </w:tcPr>
          <w:p w14:paraId="2AAF4161" w14:textId="384BDFB7" w:rsidR="00342073" w:rsidRPr="003954DE" w:rsidRDefault="00342073" w:rsidP="00342073">
            <w:pPr>
              <w:pStyle w:val="TableParagraph"/>
              <w:ind w:left="124"/>
              <w:rPr>
                <w:sz w:val="20"/>
                <w:szCs w:val="20"/>
                <w:lang w:val="uk-UA"/>
              </w:rPr>
            </w:pPr>
            <w:r w:rsidRPr="003954DE">
              <w:rPr>
                <w:spacing w:val="-10"/>
                <w:w w:val="90"/>
                <w:sz w:val="20"/>
                <w:szCs w:val="20"/>
                <w:lang w:val="uk-UA"/>
              </w:rPr>
              <w:t>Ж</w:t>
            </w:r>
          </w:p>
        </w:tc>
      </w:tr>
      <w:tr w:rsidR="00342073" w:rsidRPr="003954DE" w14:paraId="06C0A9C0" w14:textId="77777777" w:rsidTr="003954DE">
        <w:trPr>
          <w:trHeight w:val="608"/>
        </w:trPr>
        <w:tc>
          <w:tcPr>
            <w:tcW w:w="2391" w:type="dxa"/>
            <w:tcBorders>
              <w:top w:val="single" w:sz="6" w:space="0" w:color="019648"/>
              <w:left w:val="nil"/>
              <w:bottom w:val="single" w:sz="6" w:space="0" w:color="019648"/>
              <w:right w:val="nil"/>
            </w:tcBorders>
          </w:tcPr>
          <w:p w14:paraId="67075692" w14:textId="45B6F529" w:rsidR="00342073" w:rsidRPr="003954DE" w:rsidRDefault="00342073" w:rsidP="00342073">
            <w:pPr>
              <w:pStyle w:val="TableParagraph"/>
              <w:ind w:left="133"/>
              <w:rPr>
                <w:sz w:val="20"/>
                <w:szCs w:val="20"/>
                <w:lang w:val="uk-UA"/>
              </w:rPr>
            </w:pPr>
            <w:proofErr w:type="spellStart"/>
            <w:r w:rsidRPr="003954DE">
              <w:rPr>
                <w:spacing w:val="-2"/>
                <w:sz w:val="20"/>
                <w:szCs w:val="20"/>
                <w:lang w:val="uk-UA"/>
              </w:rPr>
              <w:t>Руміна</w:t>
            </w:r>
            <w:proofErr w:type="spellEnd"/>
            <w:r w:rsidRPr="003954DE">
              <w:rPr>
                <w:spacing w:val="-2"/>
                <w:sz w:val="20"/>
                <w:szCs w:val="20"/>
                <w:lang w:val="uk-UA"/>
              </w:rPr>
              <w:t xml:space="preserve"> Хасан</w:t>
            </w:r>
          </w:p>
        </w:tc>
        <w:tc>
          <w:tcPr>
            <w:tcW w:w="3118" w:type="dxa"/>
            <w:tcBorders>
              <w:top w:val="single" w:sz="6" w:space="0" w:color="019648"/>
              <w:left w:val="nil"/>
              <w:bottom w:val="single" w:sz="6" w:space="0" w:color="019648"/>
              <w:right w:val="nil"/>
            </w:tcBorders>
          </w:tcPr>
          <w:p w14:paraId="1F910265" w14:textId="797EC4DC" w:rsidR="00342073" w:rsidRPr="003954DE" w:rsidRDefault="00342073" w:rsidP="00342073">
            <w:pPr>
              <w:pStyle w:val="TableParagraph"/>
              <w:rPr>
                <w:sz w:val="20"/>
                <w:szCs w:val="20"/>
                <w:lang w:val="uk-UA"/>
              </w:rPr>
            </w:pPr>
            <w:r w:rsidRPr="003954DE">
              <w:rPr>
                <w:sz w:val="20"/>
                <w:szCs w:val="20"/>
                <w:lang w:val="uk-UA"/>
              </w:rPr>
              <w:t>Лабораторна діагностика ТБ</w:t>
            </w:r>
          </w:p>
        </w:tc>
        <w:tc>
          <w:tcPr>
            <w:tcW w:w="2551" w:type="dxa"/>
            <w:tcBorders>
              <w:top w:val="single" w:sz="6" w:space="0" w:color="019648"/>
              <w:left w:val="nil"/>
              <w:bottom w:val="single" w:sz="6" w:space="0" w:color="019648"/>
              <w:right w:val="nil"/>
            </w:tcBorders>
          </w:tcPr>
          <w:p w14:paraId="1915B0FD" w14:textId="6F55F33E" w:rsidR="00342073" w:rsidRPr="003954DE" w:rsidRDefault="00342073" w:rsidP="00342073">
            <w:pPr>
              <w:pStyle w:val="TableParagraph"/>
              <w:spacing w:line="249" w:lineRule="auto"/>
              <w:ind w:right="59"/>
              <w:rPr>
                <w:sz w:val="20"/>
                <w:szCs w:val="20"/>
                <w:lang w:val="uk-UA"/>
              </w:rPr>
            </w:pPr>
            <w:r w:rsidRPr="003954DE">
              <w:rPr>
                <w:spacing w:val="-2"/>
                <w:sz w:val="20"/>
                <w:szCs w:val="20"/>
                <w:lang w:val="uk-UA"/>
              </w:rPr>
              <w:t xml:space="preserve">Східний </w:t>
            </w:r>
            <w:proofErr w:type="spellStart"/>
            <w:r w:rsidRPr="003954DE">
              <w:rPr>
                <w:spacing w:val="-2"/>
                <w:sz w:val="20"/>
                <w:szCs w:val="20"/>
                <w:lang w:val="uk-UA"/>
              </w:rPr>
              <w:t>Середземно</w:t>
            </w:r>
            <w:proofErr w:type="spellEnd"/>
            <w:r w:rsidRPr="003954DE">
              <w:rPr>
                <w:spacing w:val="-2"/>
                <w:sz w:val="20"/>
                <w:szCs w:val="20"/>
                <w:lang w:val="uk-UA"/>
              </w:rPr>
              <w:t>-морський регіон</w:t>
            </w:r>
          </w:p>
        </w:tc>
        <w:tc>
          <w:tcPr>
            <w:tcW w:w="1027" w:type="dxa"/>
            <w:tcBorders>
              <w:top w:val="single" w:sz="6" w:space="0" w:color="019648"/>
              <w:left w:val="nil"/>
              <w:bottom w:val="single" w:sz="6" w:space="0" w:color="019648"/>
              <w:right w:val="nil"/>
            </w:tcBorders>
          </w:tcPr>
          <w:p w14:paraId="70339AA5" w14:textId="0C1437CD" w:rsidR="00342073" w:rsidRPr="003954DE" w:rsidRDefault="00342073" w:rsidP="00342073">
            <w:pPr>
              <w:pStyle w:val="TableParagraph"/>
              <w:ind w:left="124"/>
              <w:rPr>
                <w:sz w:val="20"/>
                <w:szCs w:val="20"/>
                <w:lang w:val="uk-UA"/>
              </w:rPr>
            </w:pPr>
            <w:r w:rsidRPr="003954DE">
              <w:rPr>
                <w:spacing w:val="-10"/>
                <w:w w:val="90"/>
                <w:sz w:val="20"/>
                <w:szCs w:val="20"/>
                <w:lang w:val="uk-UA"/>
              </w:rPr>
              <w:t>Ж</w:t>
            </w:r>
          </w:p>
        </w:tc>
      </w:tr>
      <w:tr w:rsidR="00E05B98" w:rsidRPr="003954DE" w14:paraId="7C24F99E" w14:textId="77777777" w:rsidTr="00FA7096">
        <w:trPr>
          <w:trHeight w:val="647"/>
        </w:trPr>
        <w:tc>
          <w:tcPr>
            <w:tcW w:w="2391" w:type="dxa"/>
            <w:tcBorders>
              <w:top w:val="single" w:sz="6" w:space="0" w:color="019648"/>
              <w:left w:val="nil"/>
              <w:bottom w:val="single" w:sz="6" w:space="0" w:color="019648"/>
              <w:right w:val="nil"/>
            </w:tcBorders>
          </w:tcPr>
          <w:p w14:paraId="283CDD54" w14:textId="776605FB" w:rsidR="00E05B98" w:rsidRPr="003954DE" w:rsidRDefault="00FA7096">
            <w:pPr>
              <w:pStyle w:val="TableParagraph"/>
              <w:ind w:left="133"/>
              <w:rPr>
                <w:sz w:val="20"/>
                <w:szCs w:val="20"/>
                <w:lang w:val="uk-UA"/>
              </w:rPr>
            </w:pPr>
            <w:proofErr w:type="spellStart"/>
            <w:r w:rsidRPr="003954DE">
              <w:rPr>
                <w:spacing w:val="-2"/>
                <w:sz w:val="20"/>
                <w:szCs w:val="20"/>
                <w:lang w:val="uk-UA"/>
              </w:rPr>
              <w:t>Сірінаффа</w:t>
            </w:r>
            <w:proofErr w:type="spellEnd"/>
            <w:r w:rsidRPr="003954DE">
              <w:rPr>
                <w:spacing w:val="-2"/>
                <w:sz w:val="20"/>
                <w:szCs w:val="20"/>
                <w:lang w:val="uk-UA"/>
              </w:rPr>
              <w:t xml:space="preserve"> </w:t>
            </w:r>
            <w:proofErr w:type="spellStart"/>
            <w:r w:rsidRPr="003954DE">
              <w:rPr>
                <w:spacing w:val="-2"/>
                <w:sz w:val="20"/>
                <w:szCs w:val="20"/>
                <w:lang w:val="uk-UA"/>
              </w:rPr>
              <w:t>Джиттімані</w:t>
            </w:r>
            <w:proofErr w:type="spellEnd"/>
          </w:p>
        </w:tc>
        <w:tc>
          <w:tcPr>
            <w:tcW w:w="3118" w:type="dxa"/>
            <w:tcBorders>
              <w:top w:val="single" w:sz="6" w:space="0" w:color="019648"/>
              <w:left w:val="nil"/>
              <w:bottom w:val="single" w:sz="6" w:space="0" w:color="019648"/>
              <w:right w:val="nil"/>
            </w:tcBorders>
          </w:tcPr>
          <w:p w14:paraId="4203AA4B" w14:textId="509CC715" w:rsidR="00E05B98" w:rsidRPr="003954DE" w:rsidRDefault="00E551A6">
            <w:pPr>
              <w:pStyle w:val="TableParagraph"/>
              <w:rPr>
                <w:sz w:val="20"/>
                <w:szCs w:val="20"/>
                <w:lang w:val="uk-UA"/>
              </w:rPr>
            </w:pPr>
            <w:r w:rsidRPr="003954DE">
              <w:rPr>
                <w:spacing w:val="-4"/>
                <w:sz w:val="20"/>
                <w:szCs w:val="20"/>
                <w:lang w:val="uk-UA"/>
              </w:rPr>
              <w:t>Догляд за пацієнтами з ТБ</w:t>
            </w:r>
          </w:p>
        </w:tc>
        <w:tc>
          <w:tcPr>
            <w:tcW w:w="2551" w:type="dxa"/>
            <w:tcBorders>
              <w:top w:val="single" w:sz="6" w:space="0" w:color="019648"/>
              <w:left w:val="nil"/>
              <w:bottom w:val="single" w:sz="6" w:space="0" w:color="019648"/>
              <w:right w:val="nil"/>
            </w:tcBorders>
          </w:tcPr>
          <w:p w14:paraId="21A8E3BA" w14:textId="58B10B24" w:rsidR="00E05B98" w:rsidRPr="003954DE" w:rsidRDefault="00FA7096" w:rsidP="00FA7096">
            <w:pPr>
              <w:pStyle w:val="TableParagraph"/>
              <w:spacing w:line="249" w:lineRule="auto"/>
              <w:ind w:right="59"/>
              <w:rPr>
                <w:sz w:val="20"/>
                <w:szCs w:val="20"/>
                <w:lang w:val="uk-UA"/>
              </w:rPr>
            </w:pPr>
            <w:r w:rsidRPr="003954DE">
              <w:rPr>
                <w:spacing w:val="-2"/>
                <w:sz w:val="20"/>
                <w:szCs w:val="20"/>
                <w:lang w:val="uk-UA"/>
              </w:rPr>
              <w:t>Західний Тихоокеанський регіон</w:t>
            </w:r>
          </w:p>
        </w:tc>
        <w:tc>
          <w:tcPr>
            <w:tcW w:w="1027" w:type="dxa"/>
            <w:tcBorders>
              <w:top w:val="single" w:sz="6" w:space="0" w:color="019648"/>
              <w:left w:val="nil"/>
              <w:bottom w:val="single" w:sz="6" w:space="0" w:color="019648"/>
              <w:right w:val="nil"/>
            </w:tcBorders>
          </w:tcPr>
          <w:p w14:paraId="6735204C" w14:textId="63B7B067" w:rsidR="00E05B98" w:rsidRPr="003954DE" w:rsidRDefault="008B24D7">
            <w:pPr>
              <w:pStyle w:val="TableParagraph"/>
              <w:ind w:left="124"/>
              <w:rPr>
                <w:sz w:val="20"/>
                <w:szCs w:val="20"/>
                <w:lang w:val="uk-UA"/>
              </w:rPr>
            </w:pPr>
            <w:r>
              <w:rPr>
                <w:spacing w:val="-10"/>
                <w:w w:val="90"/>
                <w:sz w:val="20"/>
                <w:szCs w:val="20"/>
                <w:lang w:val="uk-UA"/>
              </w:rPr>
              <w:t>Ж</w:t>
            </w:r>
          </w:p>
        </w:tc>
      </w:tr>
      <w:tr w:rsidR="00E05B98" w:rsidRPr="003954DE" w14:paraId="7218116F" w14:textId="77777777" w:rsidTr="00FA7096">
        <w:trPr>
          <w:trHeight w:val="387"/>
        </w:trPr>
        <w:tc>
          <w:tcPr>
            <w:tcW w:w="2391" w:type="dxa"/>
            <w:tcBorders>
              <w:top w:val="single" w:sz="6" w:space="0" w:color="019648"/>
              <w:left w:val="nil"/>
              <w:bottom w:val="single" w:sz="6" w:space="0" w:color="019648"/>
              <w:right w:val="nil"/>
            </w:tcBorders>
          </w:tcPr>
          <w:p w14:paraId="318925D3" w14:textId="47FC2888" w:rsidR="00E05B98" w:rsidRPr="003954DE" w:rsidRDefault="00FA7096">
            <w:pPr>
              <w:pStyle w:val="TableParagraph"/>
              <w:ind w:left="133"/>
              <w:rPr>
                <w:sz w:val="20"/>
                <w:szCs w:val="20"/>
                <w:lang w:val="uk-UA"/>
              </w:rPr>
            </w:pPr>
            <w:proofErr w:type="spellStart"/>
            <w:r w:rsidRPr="003954DE">
              <w:rPr>
                <w:w w:val="105"/>
                <w:sz w:val="20"/>
                <w:szCs w:val="20"/>
                <w:lang w:val="uk-UA"/>
              </w:rPr>
              <w:t>Кобто</w:t>
            </w:r>
            <w:proofErr w:type="spellEnd"/>
            <w:r w:rsidRPr="003954DE">
              <w:rPr>
                <w:w w:val="105"/>
                <w:sz w:val="20"/>
                <w:szCs w:val="20"/>
                <w:lang w:val="uk-UA"/>
              </w:rPr>
              <w:t xml:space="preserve"> </w:t>
            </w:r>
            <w:proofErr w:type="spellStart"/>
            <w:r w:rsidR="00EB6C68">
              <w:rPr>
                <w:w w:val="105"/>
                <w:sz w:val="20"/>
                <w:szCs w:val="20"/>
                <w:lang w:val="uk-UA"/>
              </w:rPr>
              <w:t>К</w:t>
            </w:r>
            <w:r w:rsidRPr="003954DE">
              <w:rPr>
                <w:w w:val="105"/>
                <w:sz w:val="20"/>
                <w:szCs w:val="20"/>
                <w:lang w:val="uk-UA"/>
              </w:rPr>
              <w:t>оура</w:t>
            </w:r>
            <w:proofErr w:type="spellEnd"/>
          </w:p>
        </w:tc>
        <w:tc>
          <w:tcPr>
            <w:tcW w:w="3118" w:type="dxa"/>
            <w:tcBorders>
              <w:top w:val="single" w:sz="6" w:space="0" w:color="019648"/>
              <w:left w:val="nil"/>
              <w:bottom w:val="single" w:sz="6" w:space="0" w:color="019648"/>
              <w:right w:val="nil"/>
            </w:tcBorders>
          </w:tcPr>
          <w:p w14:paraId="757CDA34" w14:textId="0860C782" w:rsidR="00E05B98" w:rsidRPr="003954DE" w:rsidRDefault="003954DE">
            <w:pPr>
              <w:pStyle w:val="TableParagraph"/>
              <w:rPr>
                <w:sz w:val="20"/>
                <w:szCs w:val="20"/>
                <w:lang w:val="uk-UA"/>
              </w:rPr>
            </w:pPr>
            <w:r w:rsidRPr="003954DE">
              <w:rPr>
                <w:w w:val="85"/>
                <w:sz w:val="20"/>
                <w:szCs w:val="20"/>
                <w:lang w:val="uk-UA"/>
              </w:rPr>
              <w:t>Ліку</w:t>
            </w:r>
            <w:r w:rsidR="00E551A6" w:rsidRPr="003954DE">
              <w:rPr>
                <w:w w:val="85"/>
                <w:sz w:val="20"/>
                <w:szCs w:val="20"/>
                <w:lang w:val="uk-UA"/>
              </w:rPr>
              <w:t>вання ТБ</w:t>
            </w:r>
          </w:p>
        </w:tc>
        <w:tc>
          <w:tcPr>
            <w:tcW w:w="2551" w:type="dxa"/>
            <w:tcBorders>
              <w:top w:val="single" w:sz="6" w:space="0" w:color="019648"/>
              <w:left w:val="nil"/>
              <w:bottom w:val="single" w:sz="6" w:space="0" w:color="019648"/>
              <w:right w:val="nil"/>
            </w:tcBorders>
          </w:tcPr>
          <w:p w14:paraId="51CBF2D4" w14:textId="2E28BE01" w:rsidR="00E05B98" w:rsidRPr="003954DE" w:rsidRDefault="002D14D4">
            <w:pPr>
              <w:pStyle w:val="TableParagraph"/>
              <w:rPr>
                <w:sz w:val="20"/>
                <w:szCs w:val="20"/>
                <w:lang w:val="uk-UA"/>
              </w:rPr>
            </w:pPr>
            <w:r w:rsidRPr="003954DE">
              <w:rPr>
                <w:spacing w:val="-2"/>
                <w:sz w:val="20"/>
                <w:szCs w:val="20"/>
                <w:lang w:val="uk-UA"/>
              </w:rPr>
              <w:t>Європейський регіон</w:t>
            </w:r>
          </w:p>
        </w:tc>
        <w:tc>
          <w:tcPr>
            <w:tcW w:w="1027" w:type="dxa"/>
            <w:tcBorders>
              <w:top w:val="single" w:sz="6" w:space="0" w:color="019648"/>
              <w:left w:val="nil"/>
              <w:bottom w:val="single" w:sz="6" w:space="0" w:color="019648"/>
              <w:right w:val="nil"/>
            </w:tcBorders>
          </w:tcPr>
          <w:p w14:paraId="182F8543" w14:textId="63673C17" w:rsidR="00E05B98" w:rsidRPr="003954DE" w:rsidRDefault="008B24D7">
            <w:pPr>
              <w:pStyle w:val="TableParagraph"/>
              <w:ind w:left="124"/>
              <w:rPr>
                <w:sz w:val="20"/>
                <w:szCs w:val="20"/>
                <w:lang w:val="uk-UA"/>
              </w:rPr>
            </w:pPr>
            <w:r>
              <w:rPr>
                <w:spacing w:val="-10"/>
                <w:w w:val="110"/>
                <w:sz w:val="20"/>
                <w:szCs w:val="20"/>
                <w:lang w:val="uk-UA"/>
              </w:rPr>
              <w:t>Ч</w:t>
            </w:r>
          </w:p>
        </w:tc>
      </w:tr>
      <w:tr w:rsidR="00E05B98" w:rsidRPr="003954DE" w14:paraId="34D89E6C" w14:textId="77777777" w:rsidTr="00FA7096">
        <w:trPr>
          <w:trHeight w:val="647"/>
        </w:trPr>
        <w:tc>
          <w:tcPr>
            <w:tcW w:w="2391" w:type="dxa"/>
            <w:tcBorders>
              <w:top w:val="single" w:sz="6" w:space="0" w:color="019648"/>
              <w:left w:val="nil"/>
              <w:bottom w:val="single" w:sz="6" w:space="0" w:color="019648"/>
              <w:right w:val="nil"/>
            </w:tcBorders>
          </w:tcPr>
          <w:p w14:paraId="2061D513" w14:textId="746A858C" w:rsidR="00E05B98" w:rsidRPr="003954DE" w:rsidRDefault="00FA7096">
            <w:pPr>
              <w:pStyle w:val="TableParagraph"/>
              <w:ind w:left="133"/>
              <w:rPr>
                <w:sz w:val="20"/>
                <w:szCs w:val="20"/>
                <w:lang w:val="uk-UA"/>
              </w:rPr>
            </w:pPr>
            <w:proofErr w:type="spellStart"/>
            <w:r w:rsidRPr="003954DE">
              <w:rPr>
                <w:w w:val="90"/>
                <w:sz w:val="20"/>
                <w:szCs w:val="20"/>
                <w:lang w:val="uk-UA"/>
              </w:rPr>
              <w:t>Блессіна</w:t>
            </w:r>
            <w:proofErr w:type="spellEnd"/>
            <w:r w:rsidRPr="003954DE">
              <w:rPr>
                <w:w w:val="90"/>
                <w:sz w:val="20"/>
                <w:szCs w:val="20"/>
                <w:lang w:val="uk-UA"/>
              </w:rPr>
              <w:t xml:space="preserve"> Кумар</w:t>
            </w:r>
          </w:p>
        </w:tc>
        <w:tc>
          <w:tcPr>
            <w:tcW w:w="3118" w:type="dxa"/>
            <w:tcBorders>
              <w:top w:val="single" w:sz="6" w:space="0" w:color="019648"/>
              <w:left w:val="nil"/>
              <w:bottom w:val="single" w:sz="6" w:space="0" w:color="019648"/>
              <w:right w:val="nil"/>
            </w:tcBorders>
          </w:tcPr>
          <w:p w14:paraId="6437F638" w14:textId="0ED8ADC0" w:rsidR="00E05B98" w:rsidRPr="003954DE" w:rsidRDefault="00E551A6">
            <w:pPr>
              <w:pStyle w:val="TableParagraph"/>
              <w:spacing w:line="249" w:lineRule="auto"/>
              <w:ind w:right="127"/>
              <w:rPr>
                <w:sz w:val="20"/>
                <w:szCs w:val="20"/>
                <w:lang w:val="uk-UA"/>
              </w:rPr>
            </w:pPr>
            <w:r w:rsidRPr="003954DE">
              <w:rPr>
                <w:sz w:val="20"/>
                <w:szCs w:val="20"/>
                <w:lang w:val="uk-UA"/>
              </w:rPr>
              <w:t>Права пацієнтів; Надання догляду на рівні громади</w:t>
            </w:r>
          </w:p>
        </w:tc>
        <w:tc>
          <w:tcPr>
            <w:tcW w:w="2551" w:type="dxa"/>
            <w:tcBorders>
              <w:top w:val="single" w:sz="6" w:space="0" w:color="019648"/>
              <w:left w:val="nil"/>
              <w:bottom w:val="single" w:sz="6" w:space="0" w:color="019648"/>
              <w:right w:val="nil"/>
            </w:tcBorders>
          </w:tcPr>
          <w:p w14:paraId="51EDA4A6" w14:textId="5FEC2E59" w:rsidR="00E05B98" w:rsidRPr="003954DE" w:rsidRDefault="00FA7096" w:rsidP="00FA7096">
            <w:pPr>
              <w:pStyle w:val="TableParagraph"/>
              <w:spacing w:line="249" w:lineRule="auto"/>
              <w:ind w:right="201"/>
              <w:rPr>
                <w:sz w:val="20"/>
                <w:szCs w:val="20"/>
                <w:lang w:val="uk-UA"/>
              </w:rPr>
            </w:pPr>
            <w:r w:rsidRPr="003954DE">
              <w:rPr>
                <w:spacing w:val="-2"/>
                <w:sz w:val="20"/>
                <w:szCs w:val="20"/>
                <w:lang w:val="uk-UA"/>
              </w:rPr>
              <w:t>Регіон Південно-Східної Азії</w:t>
            </w:r>
          </w:p>
        </w:tc>
        <w:tc>
          <w:tcPr>
            <w:tcW w:w="1027" w:type="dxa"/>
            <w:tcBorders>
              <w:top w:val="single" w:sz="6" w:space="0" w:color="019648"/>
              <w:left w:val="nil"/>
              <w:bottom w:val="single" w:sz="6" w:space="0" w:color="019648"/>
              <w:right w:val="nil"/>
            </w:tcBorders>
          </w:tcPr>
          <w:p w14:paraId="24D25A22" w14:textId="6473B2E2" w:rsidR="00E05B98" w:rsidRPr="003954DE" w:rsidRDefault="008B24D7">
            <w:pPr>
              <w:pStyle w:val="TableParagraph"/>
              <w:ind w:left="124"/>
              <w:rPr>
                <w:sz w:val="20"/>
                <w:szCs w:val="20"/>
                <w:lang w:val="uk-UA"/>
              </w:rPr>
            </w:pPr>
            <w:r>
              <w:rPr>
                <w:spacing w:val="-10"/>
                <w:w w:val="90"/>
                <w:sz w:val="20"/>
                <w:szCs w:val="20"/>
                <w:lang w:val="uk-UA"/>
              </w:rPr>
              <w:t>Ж</w:t>
            </w:r>
          </w:p>
        </w:tc>
      </w:tr>
      <w:tr w:rsidR="00E05B98" w:rsidRPr="003954DE" w14:paraId="260BD293" w14:textId="77777777" w:rsidTr="00FA7096">
        <w:trPr>
          <w:trHeight w:val="647"/>
        </w:trPr>
        <w:tc>
          <w:tcPr>
            <w:tcW w:w="2391" w:type="dxa"/>
            <w:tcBorders>
              <w:top w:val="single" w:sz="6" w:space="0" w:color="019648"/>
              <w:left w:val="nil"/>
              <w:bottom w:val="single" w:sz="6" w:space="0" w:color="019648"/>
              <w:right w:val="nil"/>
            </w:tcBorders>
          </w:tcPr>
          <w:p w14:paraId="7542676E" w14:textId="24680F9F" w:rsidR="00E05B98" w:rsidRPr="003954DE" w:rsidRDefault="00FA7096">
            <w:pPr>
              <w:pStyle w:val="TableParagraph"/>
              <w:spacing w:line="249" w:lineRule="auto"/>
              <w:ind w:left="133"/>
              <w:rPr>
                <w:sz w:val="20"/>
                <w:szCs w:val="20"/>
                <w:lang w:val="uk-UA"/>
              </w:rPr>
            </w:pPr>
            <w:r w:rsidRPr="003954DE">
              <w:rPr>
                <w:spacing w:val="-2"/>
                <w:sz w:val="20"/>
                <w:szCs w:val="20"/>
                <w:lang w:val="uk-UA"/>
              </w:rPr>
              <w:t xml:space="preserve">Ніколь </w:t>
            </w:r>
            <w:proofErr w:type="spellStart"/>
            <w:r w:rsidRPr="003954DE">
              <w:rPr>
                <w:spacing w:val="-2"/>
                <w:sz w:val="20"/>
                <w:szCs w:val="20"/>
                <w:lang w:val="uk-UA"/>
              </w:rPr>
              <w:t>Менезес</w:t>
            </w:r>
            <w:proofErr w:type="spellEnd"/>
            <w:r w:rsidRPr="003954DE">
              <w:rPr>
                <w:spacing w:val="-2"/>
                <w:sz w:val="20"/>
                <w:szCs w:val="20"/>
                <w:lang w:val="uk-UA"/>
              </w:rPr>
              <w:t xml:space="preserve"> де </w:t>
            </w:r>
            <w:proofErr w:type="spellStart"/>
            <w:r w:rsidRPr="003954DE">
              <w:rPr>
                <w:spacing w:val="-2"/>
                <w:sz w:val="20"/>
                <w:szCs w:val="20"/>
                <w:lang w:val="uk-UA"/>
              </w:rPr>
              <w:t>Соуза</w:t>
            </w:r>
            <w:proofErr w:type="spellEnd"/>
          </w:p>
        </w:tc>
        <w:tc>
          <w:tcPr>
            <w:tcW w:w="3118" w:type="dxa"/>
            <w:tcBorders>
              <w:top w:val="single" w:sz="6" w:space="0" w:color="019648"/>
              <w:left w:val="nil"/>
              <w:bottom w:val="single" w:sz="6" w:space="0" w:color="019648"/>
              <w:right w:val="nil"/>
            </w:tcBorders>
          </w:tcPr>
          <w:p w14:paraId="0F86CAC5" w14:textId="57FEC04F" w:rsidR="00E05B98" w:rsidRPr="003954DE" w:rsidRDefault="00E551A6">
            <w:pPr>
              <w:pStyle w:val="TableParagraph"/>
              <w:rPr>
                <w:sz w:val="20"/>
                <w:szCs w:val="20"/>
                <w:lang w:val="uk-UA"/>
              </w:rPr>
            </w:pPr>
            <w:r w:rsidRPr="003954DE">
              <w:rPr>
                <w:sz w:val="20"/>
                <w:szCs w:val="20"/>
                <w:lang w:val="uk-UA"/>
              </w:rPr>
              <w:t>Лабораторна діагностика ТБ</w:t>
            </w:r>
          </w:p>
        </w:tc>
        <w:tc>
          <w:tcPr>
            <w:tcW w:w="2551" w:type="dxa"/>
            <w:tcBorders>
              <w:top w:val="single" w:sz="6" w:space="0" w:color="019648"/>
              <w:left w:val="nil"/>
              <w:bottom w:val="single" w:sz="6" w:space="0" w:color="019648"/>
              <w:right w:val="nil"/>
            </w:tcBorders>
          </w:tcPr>
          <w:p w14:paraId="411D98F2" w14:textId="3B13640B" w:rsidR="00E05B98" w:rsidRPr="003954DE" w:rsidRDefault="002D14D4">
            <w:pPr>
              <w:pStyle w:val="TableParagraph"/>
              <w:spacing w:line="249" w:lineRule="auto"/>
              <w:rPr>
                <w:sz w:val="20"/>
                <w:szCs w:val="20"/>
                <w:lang w:val="uk-UA"/>
              </w:rPr>
            </w:pPr>
            <w:r w:rsidRPr="003954DE">
              <w:rPr>
                <w:spacing w:val="-4"/>
                <w:w w:val="105"/>
                <w:sz w:val="20"/>
                <w:szCs w:val="20"/>
                <w:lang w:val="uk-UA"/>
              </w:rPr>
              <w:t>Регіон країн Америки</w:t>
            </w:r>
          </w:p>
        </w:tc>
        <w:tc>
          <w:tcPr>
            <w:tcW w:w="1027" w:type="dxa"/>
            <w:tcBorders>
              <w:top w:val="single" w:sz="6" w:space="0" w:color="019648"/>
              <w:left w:val="nil"/>
              <w:bottom w:val="single" w:sz="6" w:space="0" w:color="019648"/>
              <w:right w:val="nil"/>
            </w:tcBorders>
          </w:tcPr>
          <w:p w14:paraId="27814A4A" w14:textId="04F2856E" w:rsidR="00E05B98" w:rsidRPr="003954DE" w:rsidRDefault="008B24D7">
            <w:pPr>
              <w:pStyle w:val="TableParagraph"/>
              <w:ind w:left="124"/>
              <w:rPr>
                <w:sz w:val="20"/>
                <w:szCs w:val="20"/>
                <w:lang w:val="uk-UA"/>
              </w:rPr>
            </w:pPr>
            <w:r>
              <w:rPr>
                <w:spacing w:val="-10"/>
                <w:w w:val="90"/>
                <w:sz w:val="20"/>
                <w:szCs w:val="20"/>
                <w:lang w:val="uk-UA"/>
              </w:rPr>
              <w:t>Ж</w:t>
            </w:r>
          </w:p>
        </w:tc>
      </w:tr>
      <w:tr w:rsidR="002D14D4" w:rsidRPr="003954DE" w14:paraId="66FF6076" w14:textId="77777777" w:rsidTr="00FA7096">
        <w:trPr>
          <w:trHeight w:val="647"/>
        </w:trPr>
        <w:tc>
          <w:tcPr>
            <w:tcW w:w="2391" w:type="dxa"/>
            <w:tcBorders>
              <w:top w:val="single" w:sz="6" w:space="0" w:color="019648"/>
              <w:left w:val="nil"/>
              <w:bottom w:val="single" w:sz="6" w:space="0" w:color="019648"/>
              <w:right w:val="nil"/>
            </w:tcBorders>
          </w:tcPr>
          <w:p w14:paraId="2E9A1524" w14:textId="28BFF42B" w:rsidR="002D14D4" w:rsidRPr="003954DE" w:rsidRDefault="00181390" w:rsidP="002D14D4">
            <w:pPr>
              <w:pStyle w:val="TableParagraph"/>
              <w:spacing w:line="249" w:lineRule="auto"/>
              <w:ind w:left="133" w:right="476"/>
              <w:rPr>
                <w:sz w:val="20"/>
                <w:szCs w:val="20"/>
                <w:lang w:val="uk-UA"/>
              </w:rPr>
            </w:pPr>
            <w:proofErr w:type="spellStart"/>
            <w:r w:rsidRPr="003954DE">
              <w:rPr>
                <w:spacing w:val="-4"/>
                <w:sz w:val="20"/>
                <w:szCs w:val="20"/>
                <w:lang w:val="uk-UA"/>
              </w:rPr>
              <w:t>Джеремайя</w:t>
            </w:r>
            <w:proofErr w:type="spellEnd"/>
            <w:r w:rsidRPr="003954DE">
              <w:rPr>
                <w:spacing w:val="-4"/>
                <w:sz w:val="20"/>
                <w:szCs w:val="20"/>
                <w:lang w:val="uk-UA"/>
              </w:rPr>
              <w:t xml:space="preserve"> </w:t>
            </w:r>
            <w:proofErr w:type="spellStart"/>
            <w:r w:rsidRPr="003954DE">
              <w:rPr>
                <w:spacing w:val="-4"/>
                <w:sz w:val="20"/>
                <w:szCs w:val="20"/>
                <w:lang w:val="uk-UA"/>
              </w:rPr>
              <w:t>Чакая</w:t>
            </w:r>
            <w:proofErr w:type="spellEnd"/>
            <w:r w:rsidRPr="003954DE">
              <w:rPr>
                <w:spacing w:val="-4"/>
                <w:sz w:val="20"/>
                <w:szCs w:val="20"/>
                <w:lang w:val="uk-UA"/>
              </w:rPr>
              <w:t xml:space="preserve"> </w:t>
            </w:r>
            <w:proofErr w:type="spellStart"/>
            <w:r w:rsidRPr="003954DE">
              <w:rPr>
                <w:spacing w:val="-4"/>
                <w:sz w:val="20"/>
                <w:szCs w:val="20"/>
                <w:lang w:val="uk-UA"/>
              </w:rPr>
              <w:t>Мухва</w:t>
            </w:r>
            <w:proofErr w:type="spellEnd"/>
          </w:p>
        </w:tc>
        <w:tc>
          <w:tcPr>
            <w:tcW w:w="3118" w:type="dxa"/>
            <w:tcBorders>
              <w:top w:val="single" w:sz="6" w:space="0" w:color="019648"/>
              <w:left w:val="nil"/>
              <w:bottom w:val="single" w:sz="6" w:space="0" w:color="019648"/>
              <w:right w:val="nil"/>
            </w:tcBorders>
          </w:tcPr>
          <w:p w14:paraId="6829C158" w14:textId="12630150" w:rsidR="002D14D4" w:rsidRPr="003954DE" w:rsidRDefault="00E551A6" w:rsidP="002D14D4">
            <w:pPr>
              <w:pStyle w:val="TableParagraph"/>
              <w:spacing w:line="249" w:lineRule="auto"/>
              <w:ind w:right="127"/>
              <w:rPr>
                <w:sz w:val="20"/>
                <w:szCs w:val="20"/>
                <w:lang w:val="uk-UA"/>
              </w:rPr>
            </w:pPr>
            <w:r w:rsidRPr="003954DE">
              <w:rPr>
                <w:sz w:val="20"/>
                <w:szCs w:val="20"/>
                <w:lang w:val="uk-UA"/>
              </w:rPr>
              <w:t xml:space="preserve">Виявлення та діагностика ТБ </w:t>
            </w:r>
            <w:r w:rsidR="002D14D4" w:rsidRPr="003954DE">
              <w:rPr>
                <w:sz w:val="20"/>
                <w:szCs w:val="20"/>
                <w:lang w:val="uk-UA"/>
              </w:rPr>
              <w:t xml:space="preserve">/ </w:t>
            </w:r>
            <w:r w:rsidRPr="003954DE">
              <w:rPr>
                <w:sz w:val="20"/>
                <w:szCs w:val="20"/>
                <w:lang w:val="uk-UA"/>
              </w:rPr>
              <w:t>Лікування ТБ</w:t>
            </w:r>
          </w:p>
        </w:tc>
        <w:tc>
          <w:tcPr>
            <w:tcW w:w="2551" w:type="dxa"/>
            <w:tcBorders>
              <w:top w:val="single" w:sz="6" w:space="0" w:color="019648"/>
              <w:left w:val="nil"/>
              <w:bottom w:val="single" w:sz="6" w:space="0" w:color="019648"/>
              <w:right w:val="nil"/>
            </w:tcBorders>
          </w:tcPr>
          <w:p w14:paraId="24EB40CF" w14:textId="0A82B40C" w:rsidR="002D14D4" w:rsidRPr="003954DE" w:rsidRDefault="002D14D4" w:rsidP="002D14D4">
            <w:pPr>
              <w:pStyle w:val="TableParagraph"/>
              <w:rPr>
                <w:sz w:val="20"/>
                <w:szCs w:val="20"/>
                <w:lang w:val="uk-UA"/>
              </w:rPr>
            </w:pPr>
            <w:r w:rsidRPr="003954DE">
              <w:rPr>
                <w:sz w:val="20"/>
                <w:szCs w:val="20"/>
                <w:lang w:val="uk-UA"/>
              </w:rPr>
              <w:t>Регіон країн Африки</w:t>
            </w:r>
          </w:p>
        </w:tc>
        <w:tc>
          <w:tcPr>
            <w:tcW w:w="1027" w:type="dxa"/>
            <w:tcBorders>
              <w:top w:val="single" w:sz="6" w:space="0" w:color="019648"/>
              <w:left w:val="nil"/>
              <w:bottom w:val="single" w:sz="6" w:space="0" w:color="019648"/>
              <w:right w:val="nil"/>
            </w:tcBorders>
          </w:tcPr>
          <w:p w14:paraId="702217FE" w14:textId="71EE6A22" w:rsidR="002D14D4" w:rsidRPr="003954DE" w:rsidRDefault="008B24D7" w:rsidP="002D14D4">
            <w:pPr>
              <w:pStyle w:val="TableParagraph"/>
              <w:ind w:left="124"/>
              <w:rPr>
                <w:sz w:val="20"/>
                <w:szCs w:val="20"/>
                <w:lang w:val="uk-UA"/>
              </w:rPr>
            </w:pPr>
            <w:r>
              <w:rPr>
                <w:spacing w:val="-10"/>
                <w:w w:val="110"/>
                <w:sz w:val="20"/>
                <w:szCs w:val="20"/>
                <w:lang w:val="uk-UA"/>
              </w:rPr>
              <w:t>Ч</w:t>
            </w:r>
          </w:p>
        </w:tc>
      </w:tr>
      <w:tr w:rsidR="002D14D4" w:rsidRPr="003954DE" w14:paraId="1B80757D" w14:textId="77777777" w:rsidTr="00FA7096">
        <w:trPr>
          <w:trHeight w:val="387"/>
        </w:trPr>
        <w:tc>
          <w:tcPr>
            <w:tcW w:w="2391" w:type="dxa"/>
            <w:tcBorders>
              <w:top w:val="single" w:sz="6" w:space="0" w:color="019648"/>
              <w:left w:val="nil"/>
              <w:bottom w:val="single" w:sz="6" w:space="0" w:color="019648"/>
              <w:right w:val="nil"/>
            </w:tcBorders>
          </w:tcPr>
          <w:p w14:paraId="6E246C00" w14:textId="36FF90FE" w:rsidR="002D14D4" w:rsidRPr="003954DE" w:rsidRDefault="00181390" w:rsidP="002D14D4">
            <w:pPr>
              <w:pStyle w:val="TableParagraph"/>
              <w:ind w:left="133"/>
              <w:rPr>
                <w:sz w:val="20"/>
                <w:szCs w:val="20"/>
                <w:lang w:val="uk-UA"/>
              </w:rPr>
            </w:pPr>
            <w:r w:rsidRPr="003954DE">
              <w:rPr>
                <w:w w:val="105"/>
                <w:sz w:val="20"/>
                <w:szCs w:val="20"/>
                <w:lang w:val="uk-UA"/>
              </w:rPr>
              <w:t xml:space="preserve">Норберт </w:t>
            </w:r>
            <w:proofErr w:type="spellStart"/>
            <w:r w:rsidRPr="003954DE">
              <w:rPr>
                <w:w w:val="105"/>
                <w:sz w:val="20"/>
                <w:szCs w:val="20"/>
                <w:lang w:val="uk-UA"/>
              </w:rPr>
              <w:t>Нджека</w:t>
            </w:r>
            <w:proofErr w:type="spellEnd"/>
          </w:p>
        </w:tc>
        <w:tc>
          <w:tcPr>
            <w:tcW w:w="3118" w:type="dxa"/>
            <w:tcBorders>
              <w:top w:val="single" w:sz="6" w:space="0" w:color="019648"/>
              <w:left w:val="nil"/>
              <w:bottom w:val="single" w:sz="6" w:space="0" w:color="019648"/>
              <w:right w:val="nil"/>
            </w:tcBorders>
          </w:tcPr>
          <w:p w14:paraId="065033BD" w14:textId="6E8943D3" w:rsidR="002D14D4" w:rsidRPr="003954DE" w:rsidRDefault="00E551A6" w:rsidP="002D14D4">
            <w:pPr>
              <w:pStyle w:val="TableParagraph"/>
              <w:rPr>
                <w:sz w:val="20"/>
                <w:szCs w:val="20"/>
                <w:lang w:val="uk-UA"/>
              </w:rPr>
            </w:pPr>
            <w:r w:rsidRPr="003954DE">
              <w:rPr>
                <w:w w:val="85"/>
                <w:sz w:val="20"/>
                <w:szCs w:val="20"/>
                <w:lang w:val="uk-UA"/>
              </w:rPr>
              <w:t>Лікування ТБ</w:t>
            </w:r>
          </w:p>
        </w:tc>
        <w:tc>
          <w:tcPr>
            <w:tcW w:w="2551" w:type="dxa"/>
            <w:tcBorders>
              <w:top w:val="single" w:sz="6" w:space="0" w:color="019648"/>
              <w:left w:val="nil"/>
              <w:bottom w:val="single" w:sz="6" w:space="0" w:color="019648"/>
              <w:right w:val="nil"/>
            </w:tcBorders>
          </w:tcPr>
          <w:p w14:paraId="4DDD9753" w14:textId="22B46710" w:rsidR="002D14D4" w:rsidRPr="003954DE" w:rsidRDefault="002D14D4" w:rsidP="002D14D4">
            <w:pPr>
              <w:pStyle w:val="TableParagraph"/>
              <w:rPr>
                <w:sz w:val="20"/>
                <w:szCs w:val="20"/>
                <w:lang w:val="uk-UA"/>
              </w:rPr>
            </w:pPr>
            <w:r w:rsidRPr="003954DE">
              <w:rPr>
                <w:sz w:val="20"/>
                <w:szCs w:val="20"/>
                <w:lang w:val="uk-UA"/>
              </w:rPr>
              <w:t>Регіон країн Африки</w:t>
            </w:r>
          </w:p>
        </w:tc>
        <w:tc>
          <w:tcPr>
            <w:tcW w:w="1027" w:type="dxa"/>
            <w:tcBorders>
              <w:top w:val="single" w:sz="6" w:space="0" w:color="019648"/>
              <w:left w:val="nil"/>
              <w:bottom w:val="single" w:sz="6" w:space="0" w:color="019648"/>
              <w:right w:val="nil"/>
            </w:tcBorders>
          </w:tcPr>
          <w:p w14:paraId="490337CC" w14:textId="2F420520" w:rsidR="002D14D4" w:rsidRPr="003954DE" w:rsidRDefault="008B24D7" w:rsidP="002D14D4">
            <w:pPr>
              <w:pStyle w:val="TableParagraph"/>
              <w:ind w:left="124"/>
              <w:rPr>
                <w:sz w:val="20"/>
                <w:szCs w:val="20"/>
                <w:lang w:val="uk-UA"/>
              </w:rPr>
            </w:pPr>
            <w:r>
              <w:rPr>
                <w:spacing w:val="-10"/>
                <w:w w:val="110"/>
                <w:sz w:val="20"/>
                <w:szCs w:val="20"/>
                <w:lang w:val="uk-UA"/>
              </w:rPr>
              <w:t>Ч</w:t>
            </w:r>
          </w:p>
        </w:tc>
      </w:tr>
      <w:tr w:rsidR="00E05B98" w:rsidRPr="003954DE" w14:paraId="287E6BE5" w14:textId="77777777" w:rsidTr="00FA7096">
        <w:trPr>
          <w:trHeight w:val="647"/>
        </w:trPr>
        <w:tc>
          <w:tcPr>
            <w:tcW w:w="2391" w:type="dxa"/>
            <w:tcBorders>
              <w:top w:val="single" w:sz="6" w:space="0" w:color="019648"/>
              <w:left w:val="nil"/>
              <w:bottom w:val="single" w:sz="6" w:space="0" w:color="019648"/>
              <w:right w:val="nil"/>
            </w:tcBorders>
          </w:tcPr>
          <w:p w14:paraId="2A27F0DD" w14:textId="7761D4A9" w:rsidR="00E05B98" w:rsidRPr="003954DE" w:rsidRDefault="00181390">
            <w:pPr>
              <w:pStyle w:val="TableParagraph"/>
              <w:ind w:left="133"/>
              <w:rPr>
                <w:sz w:val="20"/>
                <w:szCs w:val="20"/>
                <w:lang w:val="uk-UA"/>
              </w:rPr>
            </w:pPr>
            <w:r w:rsidRPr="003954DE">
              <w:rPr>
                <w:sz w:val="20"/>
                <w:szCs w:val="20"/>
                <w:lang w:val="uk-UA"/>
              </w:rPr>
              <w:t xml:space="preserve">Марк </w:t>
            </w:r>
            <w:proofErr w:type="spellStart"/>
            <w:r w:rsidRPr="003954DE">
              <w:rPr>
                <w:sz w:val="20"/>
                <w:szCs w:val="20"/>
                <w:lang w:val="uk-UA"/>
              </w:rPr>
              <w:t>Нікол</w:t>
            </w:r>
            <w:proofErr w:type="spellEnd"/>
          </w:p>
        </w:tc>
        <w:tc>
          <w:tcPr>
            <w:tcW w:w="3118" w:type="dxa"/>
            <w:tcBorders>
              <w:top w:val="single" w:sz="6" w:space="0" w:color="019648"/>
              <w:left w:val="nil"/>
              <w:bottom w:val="single" w:sz="6" w:space="0" w:color="019648"/>
              <w:right w:val="nil"/>
            </w:tcBorders>
          </w:tcPr>
          <w:p w14:paraId="59500774" w14:textId="5A32B5FA" w:rsidR="00E05B98" w:rsidRPr="003954DE" w:rsidRDefault="00E551A6">
            <w:pPr>
              <w:pStyle w:val="TableParagraph"/>
              <w:rPr>
                <w:sz w:val="20"/>
                <w:szCs w:val="20"/>
                <w:lang w:val="uk-UA"/>
              </w:rPr>
            </w:pPr>
            <w:r w:rsidRPr="003954DE">
              <w:rPr>
                <w:spacing w:val="-4"/>
                <w:sz w:val="20"/>
                <w:szCs w:val="20"/>
                <w:lang w:val="uk-UA"/>
              </w:rPr>
              <w:t>Дослідження з діагностики ТБ</w:t>
            </w:r>
          </w:p>
        </w:tc>
        <w:tc>
          <w:tcPr>
            <w:tcW w:w="2551" w:type="dxa"/>
            <w:tcBorders>
              <w:top w:val="single" w:sz="6" w:space="0" w:color="019648"/>
              <w:left w:val="nil"/>
              <w:bottom w:val="single" w:sz="6" w:space="0" w:color="019648"/>
              <w:right w:val="nil"/>
            </w:tcBorders>
          </w:tcPr>
          <w:p w14:paraId="6E3ADDAE" w14:textId="04A8E6CE" w:rsidR="00E05B98" w:rsidRPr="003954DE" w:rsidRDefault="00FA7096" w:rsidP="00FA7096">
            <w:pPr>
              <w:pStyle w:val="TableParagraph"/>
              <w:spacing w:line="249" w:lineRule="auto"/>
              <w:ind w:right="59"/>
              <w:rPr>
                <w:sz w:val="20"/>
                <w:szCs w:val="20"/>
                <w:lang w:val="uk-UA"/>
              </w:rPr>
            </w:pPr>
            <w:r w:rsidRPr="003954DE">
              <w:rPr>
                <w:spacing w:val="-2"/>
                <w:sz w:val="20"/>
                <w:szCs w:val="20"/>
                <w:lang w:val="uk-UA"/>
              </w:rPr>
              <w:t>Західний Тихо-океанський регіон</w:t>
            </w:r>
          </w:p>
        </w:tc>
        <w:tc>
          <w:tcPr>
            <w:tcW w:w="1027" w:type="dxa"/>
            <w:tcBorders>
              <w:top w:val="single" w:sz="6" w:space="0" w:color="019648"/>
              <w:left w:val="nil"/>
              <w:bottom w:val="single" w:sz="6" w:space="0" w:color="019648"/>
              <w:right w:val="nil"/>
            </w:tcBorders>
          </w:tcPr>
          <w:p w14:paraId="635755AB" w14:textId="22A0A400" w:rsidR="00E05B98" w:rsidRPr="003954DE" w:rsidRDefault="008B24D7">
            <w:pPr>
              <w:pStyle w:val="TableParagraph"/>
              <w:ind w:left="124"/>
              <w:rPr>
                <w:sz w:val="20"/>
                <w:szCs w:val="20"/>
                <w:lang w:val="uk-UA"/>
              </w:rPr>
            </w:pPr>
            <w:r>
              <w:rPr>
                <w:spacing w:val="-10"/>
                <w:w w:val="110"/>
                <w:sz w:val="20"/>
                <w:szCs w:val="20"/>
                <w:lang w:val="uk-UA"/>
              </w:rPr>
              <w:t>Ч</w:t>
            </w:r>
          </w:p>
        </w:tc>
      </w:tr>
      <w:tr w:rsidR="00E05B98" w:rsidRPr="003954DE" w14:paraId="58A3A358" w14:textId="77777777" w:rsidTr="00FA7096">
        <w:trPr>
          <w:trHeight w:val="647"/>
        </w:trPr>
        <w:tc>
          <w:tcPr>
            <w:tcW w:w="2391" w:type="dxa"/>
            <w:tcBorders>
              <w:top w:val="single" w:sz="6" w:space="0" w:color="019648"/>
              <w:left w:val="nil"/>
              <w:bottom w:val="single" w:sz="6" w:space="0" w:color="019648"/>
              <w:right w:val="nil"/>
            </w:tcBorders>
          </w:tcPr>
          <w:p w14:paraId="14FE03D0" w14:textId="5BED8985" w:rsidR="00E05B98" w:rsidRPr="003954DE" w:rsidRDefault="006A4596">
            <w:pPr>
              <w:pStyle w:val="TableParagraph"/>
              <w:ind w:left="133"/>
              <w:rPr>
                <w:sz w:val="20"/>
                <w:szCs w:val="20"/>
                <w:lang w:val="uk-UA"/>
              </w:rPr>
            </w:pPr>
            <w:r w:rsidRPr="003954DE">
              <w:rPr>
                <w:spacing w:val="-4"/>
                <w:sz w:val="20"/>
                <w:szCs w:val="20"/>
                <w:lang w:val="uk-UA"/>
              </w:rPr>
              <w:t>Томас Шинник</w:t>
            </w:r>
          </w:p>
        </w:tc>
        <w:tc>
          <w:tcPr>
            <w:tcW w:w="3118" w:type="dxa"/>
            <w:tcBorders>
              <w:top w:val="single" w:sz="6" w:space="0" w:color="019648"/>
              <w:left w:val="nil"/>
              <w:bottom w:val="single" w:sz="6" w:space="0" w:color="019648"/>
              <w:right w:val="nil"/>
            </w:tcBorders>
          </w:tcPr>
          <w:p w14:paraId="6FE5114F" w14:textId="0395A18C" w:rsidR="00E05B98" w:rsidRPr="003954DE" w:rsidRDefault="00E551A6">
            <w:pPr>
              <w:pStyle w:val="TableParagraph"/>
              <w:rPr>
                <w:sz w:val="20"/>
                <w:szCs w:val="20"/>
                <w:lang w:val="uk-UA"/>
              </w:rPr>
            </w:pPr>
            <w:r w:rsidRPr="003954DE">
              <w:rPr>
                <w:sz w:val="20"/>
                <w:szCs w:val="20"/>
                <w:lang w:val="uk-UA"/>
              </w:rPr>
              <w:t>Лабораторна діагностика ТБ</w:t>
            </w:r>
          </w:p>
        </w:tc>
        <w:tc>
          <w:tcPr>
            <w:tcW w:w="2551" w:type="dxa"/>
            <w:tcBorders>
              <w:top w:val="single" w:sz="6" w:space="0" w:color="019648"/>
              <w:left w:val="nil"/>
              <w:bottom w:val="single" w:sz="6" w:space="0" w:color="019648"/>
              <w:right w:val="nil"/>
            </w:tcBorders>
          </w:tcPr>
          <w:p w14:paraId="41D6003B" w14:textId="629E09D7" w:rsidR="00E05B98" w:rsidRPr="003954DE" w:rsidRDefault="002D14D4">
            <w:pPr>
              <w:pStyle w:val="TableParagraph"/>
              <w:spacing w:line="249" w:lineRule="auto"/>
              <w:rPr>
                <w:sz w:val="20"/>
                <w:szCs w:val="20"/>
                <w:lang w:val="uk-UA"/>
              </w:rPr>
            </w:pPr>
            <w:r w:rsidRPr="003954DE">
              <w:rPr>
                <w:spacing w:val="-4"/>
                <w:w w:val="105"/>
                <w:sz w:val="20"/>
                <w:szCs w:val="20"/>
                <w:lang w:val="uk-UA"/>
              </w:rPr>
              <w:t>Регіон країн Америки</w:t>
            </w:r>
          </w:p>
        </w:tc>
        <w:tc>
          <w:tcPr>
            <w:tcW w:w="1027" w:type="dxa"/>
            <w:tcBorders>
              <w:top w:val="single" w:sz="6" w:space="0" w:color="019648"/>
              <w:left w:val="nil"/>
              <w:bottom w:val="single" w:sz="6" w:space="0" w:color="019648"/>
              <w:right w:val="nil"/>
            </w:tcBorders>
          </w:tcPr>
          <w:p w14:paraId="49D3AD14" w14:textId="77DEB557" w:rsidR="00E05B98" w:rsidRPr="003954DE" w:rsidRDefault="008B24D7">
            <w:pPr>
              <w:pStyle w:val="TableParagraph"/>
              <w:ind w:left="124"/>
              <w:rPr>
                <w:sz w:val="20"/>
                <w:szCs w:val="20"/>
                <w:lang w:val="uk-UA"/>
              </w:rPr>
            </w:pPr>
            <w:r>
              <w:rPr>
                <w:spacing w:val="-10"/>
                <w:w w:val="110"/>
                <w:sz w:val="20"/>
                <w:szCs w:val="20"/>
                <w:lang w:val="uk-UA"/>
              </w:rPr>
              <w:t>Ч</w:t>
            </w:r>
          </w:p>
        </w:tc>
      </w:tr>
      <w:tr w:rsidR="00E05B98" w:rsidRPr="003954DE" w14:paraId="565C2F95" w14:textId="77777777" w:rsidTr="00FA7096">
        <w:trPr>
          <w:trHeight w:val="647"/>
        </w:trPr>
        <w:tc>
          <w:tcPr>
            <w:tcW w:w="2391" w:type="dxa"/>
            <w:tcBorders>
              <w:top w:val="single" w:sz="6" w:space="0" w:color="019648"/>
              <w:left w:val="nil"/>
              <w:bottom w:val="single" w:sz="6" w:space="0" w:color="019648"/>
              <w:right w:val="nil"/>
            </w:tcBorders>
          </w:tcPr>
          <w:p w14:paraId="18BE40F6" w14:textId="6DD33A78" w:rsidR="00E05B98" w:rsidRPr="003954DE" w:rsidRDefault="006A4596">
            <w:pPr>
              <w:pStyle w:val="TableParagraph"/>
              <w:ind w:left="133"/>
              <w:rPr>
                <w:sz w:val="20"/>
                <w:szCs w:val="20"/>
                <w:lang w:val="uk-UA"/>
              </w:rPr>
            </w:pPr>
            <w:proofErr w:type="spellStart"/>
            <w:r w:rsidRPr="003954DE">
              <w:rPr>
                <w:sz w:val="20"/>
                <w:szCs w:val="20"/>
                <w:lang w:val="uk-UA"/>
              </w:rPr>
              <w:t>Ходжун</w:t>
            </w:r>
            <w:proofErr w:type="spellEnd"/>
            <w:r w:rsidRPr="003954DE">
              <w:rPr>
                <w:sz w:val="20"/>
                <w:szCs w:val="20"/>
                <w:lang w:val="uk-UA"/>
              </w:rPr>
              <w:t xml:space="preserve"> Сон</w:t>
            </w:r>
          </w:p>
        </w:tc>
        <w:tc>
          <w:tcPr>
            <w:tcW w:w="3118" w:type="dxa"/>
            <w:tcBorders>
              <w:top w:val="single" w:sz="6" w:space="0" w:color="019648"/>
              <w:left w:val="nil"/>
              <w:bottom w:val="single" w:sz="6" w:space="0" w:color="019648"/>
              <w:right w:val="nil"/>
            </w:tcBorders>
          </w:tcPr>
          <w:p w14:paraId="55CED69D" w14:textId="58DFB01F" w:rsidR="00E05B98" w:rsidRPr="003954DE" w:rsidRDefault="00E551A6">
            <w:pPr>
              <w:pStyle w:val="TableParagraph"/>
              <w:rPr>
                <w:sz w:val="20"/>
                <w:szCs w:val="20"/>
                <w:lang w:val="uk-UA"/>
              </w:rPr>
            </w:pPr>
            <w:r w:rsidRPr="003954DE">
              <w:rPr>
                <w:sz w:val="20"/>
                <w:szCs w:val="20"/>
                <w:lang w:val="uk-UA"/>
              </w:rPr>
              <w:t>Питання економіки у сфері охорони здоров’я</w:t>
            </w:r>
          </w:p>
        </w:tc>
        <w:tc>
          <w:tcPr>
            <w:tcW w:w="2551" w:type="dxa"/>
            <w:tcBorders>
              <w:top w:val="single" w:sz="6" w:space="0" w:color="019648"/>
              <w:left w:val="nil"/>
              <w:bottom w:val="single" w:sz="6" w:space="0" w:color="019648"/>
              <w:right w:val="nil"/>
            </w:tcBorders>
          </w:tcPr>
          <w:p w14:paraId="7B0C162E" w14:textId="7C7DE436" w:rsidR="00E05B98" w:rsidRPr="003954DE" w:rsidRDefault="00FA7096" w:rsidP="00FA7096">
            <w:pPr>
              <w:pStyle w:val="TableParagraph"/>
              <w:spacing w:line="249" w:lineRule="auto"/>
              <w:rPr>
                <w:sz w:val="20"/>
                <w:szCs w:val="20"/>
                <w:lang w:val="uk-UA"/>
              </w:rPr>
            </w:pPr>
            <w:r w:rsidRPr="003954DE">
              <w:rPr>
                <w:spacing w:val="-2"/>
                <w:sz w:val="20"/>
                <w:szCs w:val="20"/>
                <w:lang w:val="uk-UA"/>
              </w:rPr>
              <w:t>Західний Тихо-океанський регіон</w:t>
            </w:r>
          </w:p>
        </w:tc>
        <w:tc>
          <w:tcPr>
            <w:tcW w:w="1027" w:type="dxa"/>
            <w:tcBorders>
              <w:top w:val="single" w:sz="6" w:space="0" w:color="019648"/>
              <w:left w:val="nil"/>
              <w:bottom w:val="single" w:sz="6" w:space="0" w:color="019648"/>
              <w:right w:val="nil"/>
            </w:tcBorders>
          </w:tcPr>
          <w:p w14:paraId="19BBD80D" w14:textId="6565D9AA" w:rsidR="00E05B98" w:rsidRPr="003954DE" w:rsidRDefault="008B24D7">
            <w:pPr>
              <w:pStyle w:val="TableParagraph"/>
              <w:ind w:left="124"/>
              <w:rPr>
                <w:sz w:val="20"/>
                <w:szCs w:val="20"/>
                <w:lang w:val="uk-UA"/>
              </w:rPr>
            </w:pPr>
            <w:r>
              <w:rPr>
                <w:spacing w:val="-10"/>
                <w:w w:val="110"/>
                <w:sz w:val="20"/>
                <w:szCs w:val="20"/>
                <w:lang w:val="uk-UA"/>
              </w:rPr>
              <w:t>Ч</w:t>
            </w:r>
          </w:p>
        </w:tc>
      </w:tr>
    </w:tbl>
    <w:p w14:paraId="299A3E33" w14:textId="77777777" w:rsidR="00E05B98" w:rsidRPr="003954DE" w:rsidRDefault="00E05B98">
      <w:pPr>
        <w:pStyle w:val="TableParagraph"/>
        <w:rPr>
          <w:sz w:val="20"/>
          <w:szCs w:val="20"/>
          <w:lang w:val="uk-UA"/>
        </w:rPr>
        <w:sectPr w:rsidR="00E05B98" w:rsidRPr="003954DE" w:rsidSect="003954DE">
          <w:footerReference w:type="even" r:id="rId248"/>
          <w:footerReference w:type="default" r:id="rId249"/>
          <w:pgSz w:w="11910" w:h="16840"/>
          <w:pgMar w:top="0" w:right="995" w:bottom="1438" w:left="850" w:header="0" w:footer="573" w:gutter="0"/>
          <w:pgNumType w:start="163"/>
          <w:cols w:space="720"/>
        </w:sectPr>
      </w:pPr>
    </w:p>
    <w:tbl>
      <w:tblPr>
        <w:tblStyle w:val="TableNormal"/>
        <w:tblW w:w="0" w:type="auto"/>
        <w:tblInd w:w="57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2391"/>
        <w:gridCol w:w="3118"/>
        <w:gridCol w:w="2551"/>
        <w:gridCol w:w="1027"/>
      </w:tblGrid>
      <w:tr w:rsidR="00E05B98" w:rsidRPr="003954DE" w14:paraId="52A88F0F" w14:textId="77777777" w:rsidTr="00FA7096">
        <w:trPr>
          <w:trHeight w:val="428"/>
        </w:trPr>
        <w:tc>
          <w:tcPr>
            <w:tcW w:w="2391" w:type="dxa"/>
            <w:tcBorders>
              <w:right w:val="single" w:sz="6" w:space="0" w:color="019648"/>
            </w:tcBorders>
            <w:shd w:val="clear" w:color="auto" w:fill="62A86B"/>
          </w:tcPr>
          <w:p w14:paraId="1D50E08E" w14:textId="446EC093" w:rsidR="00E05B98" w:rsidRPr="003954DE" w:rsidRDefault="003954DE">
            <w:pPr>
              <w:pStyle w:val="TableParagraph"/>
              <w:spacing w:before="95"/>
              <w:ind w:left="145"/>
              <w:rPr>
                <w:rFonts w:ascii="Arial" w:hAnsi="Arial" w:cs="Arial"/>
                <w:b/>
                <w:sz w:val="20"/>
                <w:szCs w:val="20"/>
                <w:lang w:val="uk-UA"/>
              </w:rPr>
            </w:pPr>
            <w:r w:rsidRPr="003954DE">
              <w:rPr>
                <w:rFonts w:ascii="Arial" w:hAnsi="Arial" w:cs="Arial"/>
                <w:b/>
                <w:color w:val="FFFFFF"/>
                <w:spacing w:val="-9"/>
                <w:sz w:val="20"/>
                <w:szCs w:val="20"/>
                <w:lang w:val="uk-UA"/>
              </w:rPr>
              <w:lastRenderedPageBreak/>
              <w:t>Член ГРН</w:t>
            </w:r>
          </w:p>
        </w:tc>
        <w:tc>
          <w:tcPr>
            <w:tcW w:w="3118" w:type="dxa"/>
            <w:tcBorders>
              <w:left w:val="single" w:sz="6" w:space="0" w:color="019648"/>
              <w:right w:val="single" w:sz="6" w:space="0" w:color="019648"/>
            </w:tcBorders>
            <w:shd w:val="clear" w:color="auto" w:fill="62A86B"/>
          </w:tcPr>
          <w:p w14:paraId="42C359A3" w14:textId="1E9BA8A6" w:rsidR="00E05B98" w:rsidRPr="003954DE" w:rsidRDefault="003954DE">
            <w:pPr>
              <w:pStyle w:val="TableParagraph"/>
              <w:spacing w:before="95"/>
              <w:ind w:left="138"/>
              <w:rPr>
                <w:rFonts w:ascii="Arial" w:hAnsi="Arial" w:cs="Arial"/>
                <w:b/>
                <w:sz w:val="20"/>
                <w:szCs w:val="20"/>
                <w:lang w:val="uk-UA"/>
              </w:rPr>
            </w:pPr>
            <w:r>
              <w:rPr>
                <w:rFonts w:ascii="Arial" w:hAnsi="Arial" w:cs="Arial"/>
                <w:b/>
                <w:color w:val="FFFFFF"/>
                <w:spacing w:val="-2"/>
                <w:sz w:val="20"/>
                <w:szCs w:val="20"/>
                <w:lang w:val="uk-UA"/>
              </w:rPr>
              <w:t>Сфера компетенції</w:t>
            </w:r>
          </w:p>
        </w:tc>
        <w:tc>
          <w:tcPr>
            <w:tcW w:w="2551" w:type="dxa"/>
            <w:tcBorders>
              <w:left w:val="single" w:sz="6" w:space="0" w:color="019648"/>
              <w:right w:val="single" w:sz="6" w:space="0" w:color="019648"/>
            </w:tcBorders>
            <w:shd w:val="clear" w:color="auto" w:fill="62A86B"/>
          </w:tcPr>
          <w:p w14:paraId="5B52A8F1" w14:textId="610F50F5" w:rsidR="00E05B98" w:rsidRPr="003954DE" w:rsidRDefault="003954DE">
            <w:pPr>
              <w:pStyle w:val="TableParagraph"/>
              <w:spacing w:before="95"/>
              <w:ind w:left="138"/>
              <w:rPr>
                <w:rFonts w:ascii="Arial" w:hAnsi="Arial" w:cs="Arial"/>
                <w:b/>
                <w:sz w:val="20"/>
                <w:szCs w:val="20"/>
                <w:lang w:val="uk-UA"/>
              </w:rPr>
            </w:pPr>
            <w:r>
              <w:rPr>
                <w:rFonts w:ascii="Arial" w:hAnsi="Arial" w:cs="Arial"/>
                <w:b/>
                <w:color w:val="FFFFFF"/>
                <w:w w:val="105"/>
                <w:sz w:val="20"/>
                <w:szCs w:val="20"/>
                <w:lang w:val="uk-UA"/>
              </w:rPr>
              <w:t>Регіон ВООЗ</w:t>
            </w:r>
          </w:p>
        </w:tc>
        <w:tc>
          <w:tcPr>
            <w:tcW w:w="1027" w:type="dxa"/>
            <w:tcBorders>
              <w:left w:val="single" w:sz="6" w:space="0" w:color="019648"/>
              <w:right w:val="single" w:sz="6" w:space="0" w:color="019648"/>
            </w:tcBorders>
            <w:shd w:val="clear" w:color="auto" w:fill="62A86B"/>
          </w:tcPr>
          <w:p w14:paraId="0D280084" w14:textId="1704EA22" w:rsidR="00E05B98" w:rsidRPr="003954DE" w:rsidRDefault="003954DE">
            <w:pPr>
              <w:pStyle w:val="TableParagraph"/>
              <w:spacing w:before="95"/>
              <w:ind w:left="138"/>
              <w:rPr>
                <w:rFonts w:ascii="Arial" w:hAnsi="Arial" w:cs="Arial"/>
                <w:b/>
                <w:sz w:val="20"/>
                <w:szCs w:val="20"/>
                <w:lang w:val="uk-UA"/>
              </w:rPr>
            </w:pPr>
            <w:r>
              <w:rPr>
                <w:rFonts w:ascii="Arial" w:hAnsi="Arial" w:cs="Arial"/>
                <w:b/>
                <w:color w:val="FFFFFF"/>
                <w:spacing w:val="-2"/>
                <w:sz w:val="20"/>
                <w:szCs w:val="20"/>
                <w:lang w:val="uk-UA"/>
              </w:rPr>
              <w:t>Гендер</w:t>
            </w:r>
          </w:p>
        </w:tc>
      </w:tr>
      <w:tr w:rsidR="00E05B98" w:rsidRPr="003954DE" w14:paraId="09677B55" w14:textId="77777777" w:rsidTr="00FA7096">
        <w:trPr>
          <w:trHeight w:val="905"/>
        </w:trPr>
        <w:tc>
          <w:tcPr>
            <w:tcW w:w="2391" w:type="dxa"/>
            <w:tcBorders>
              <w:left w:val="nil"/>
              <w:bottom w:val="single" w:sz="6" w:space="0" w:color="019648"/>
              <w:right w:val="nil"/>
            </w:tcBorders>
          </w:tcPr>
          <w:p w14:paraId="27851AC0" w14:textId="7E6ADA95" w:rsidR="00E05B98" w:rsidRPr="003954DE" w:rsidRDefault="006A4596">
            <w:pPr>
              <w:pStyle w:val="TableParagraph"/>
              <w:spacing w:before="76"/>
              <w:ind w:left="133"/>
              <w:rPr>
                <w:sz w:val="20"/>
                <w:szCs w:val="20"/>
                <w:lang w:val="uk-UA"/>
              </w:rPr>
            </w:pPr>
            <w:proofErr w:type="spellStart"/>
            <w:r w:rsidRPr="003954DE">
              <w:rPr>
                <w:spacing w:val="-5"/>
                <w:sz w:val="20"/>
                <w:szCs w:val="20"/>
                <w:lang w:val="uk-UA"/>
              </w:rPr>
              <w:t>Сабіра</w:t>
            </w:r>
            <w:proofErr w:type="spellEnd"/>
            <w:r w:rsidRPr="003954DE">
              <w:rPr>
                <w:spacing w:val="-5"/>
                <w:sz w:val="20"/>
                <w:szCs w:val="20"/>
                <w:lang w:val="uk-UA"/>
              </w:rPr>
              <w:t xml:space="preserve"> </w:t>
            </w:r>
            <w:proofErr w:type="spellStart"/>
            <w:r w:rsidRPr="003954DE">
              <w:rPr>
                <w:spacing w:val="-5"/>
                <w:sz w:val="20"/>
                <w:szCs w:val="20"/>
                <w:lang w:val="uk-UA"/>
              </w:rPr>
              <w:t>Тахсін</w:t>
            </w:r>
            <w:proofErr w:type="spellEnd"/>
          </w:p>
        </w:tc>
        <w:tc>
          <w:tcPr>
            <w:tcW w:w="3118" w:type="dxa"/>
            <w:tcBorders>
              <w:left w:val="nil"/>
              <w:bottom w:val="single" w:sz="6" w:space="0" w:color="019648"/>
              <w:right w:val="nil"/>
            </w:tcBorders>
          </w:tcPr>
          <w:p w14:paraId="38600B98" w14:textId="7E2632D6" w:rsidR="00E05B98" w:rsidRPr="003954DE" w:rsidRDefault="00E551A6">
            <w:pPr>
              <w:pStyle w:val="TableParagraph"/>
              <w:spacing w:before="76"/>
              <w:rPr>
                <w:sz w:val="20"/>
                <w:szCs w:val="20"/>
                <w:lang w:val="uk-UA"/>
              </w:rPr>
            </w:pPr>
            <w:r w:rsidRPr="003954DE">
              <w:rPr>
                <w:sz w:val="20"/>
                <w:szCs w:val="20"/>
                <w:lang w:val="uk-UA"/>
              </w:rPr>
              <w:t>Лабораторна діагностика ТБ</w:t>
            </w:r>
          </w:p>
        </w:tc>
        <w:tc>
          <w:tcPr>
            <w:tcW w:w="2551" w:type="dxa"/>
            <w:tcBorders>
              <w:left w:val="nil"/>
              <w:bottom w:val="single" w:sz="6" w:space="0" w:color="019648"/>
              <w:right w:val="nil"/>
            </w:tcBorders>
          </w:tcPr>
          <w:p w14:paraId="57A9A9DF" w14:textId="569A6D2B" w:rsidR="00E05B98" w:rsidRPr="003954DE" w:rsidRDefault="00FA7096" w:rsidP="00FA7096">
            <w:pPr>
              <w:pStyle w:val="TableParagraph"/>
              <w:spacing w:before="76" w:line="249" w:lineRule="auto"/>
              <w:rPr>
                <w:sz w:val="20"/>
                <w:szCs w:val="20"/>
                <w:lang w:val="uk-UA"/>
              </w:rPr>
            </w:pPr>
            <w:r w:rsidRPr="003954DE">
              <w:rPr>
                <w:spacing w:val="-2"/>
                <w:sz w:val="20"/>
                <w:szCs w:val="20"/>
                <w:lang w:val="uk-UA"/>
              </w:rPr>
              <w:t xml:space="preserve">Східний </w:t>
            </w:r>
            <w:proofErr w:type="spellStart"/>
            <w:r w:rsidRPr="003954DE">
              <w:rPr>
                <w:spacing w:val="-2"/>
                <w:sz w:val="20"/>
                <w:szCs w:val="20"/>
                <w:lang w:val="uk-UA"/>
              </w:rPr>
              <w:t>Середземно</w:t>
            </w:r>
            <w:proofErr w:type="spellEnd"/>
            <w:r w:rsidRPr="003954DE">
              <w:rPr>
                <w:spacing w:val="-2"/>
                <w:sz w:val="20"/>
                <w:szCs w:val="20"/>
                <w:lang w:val="uk-UA"/>
              </w:rPr>
              <w:t>-морський регіон</w:t>
            </w:r>
          </w:p>
        </w:tc>
        <w:tc>
          <w:tcPr>
            <w:tcW w:w="1027" w:type="dxa"/>
            <w:tcBorders>
              <w:left w:val="nil"/>
              <w:bottom w:val="single" w:sz="6" w:space="0" w:color="019648"/>
              <w:right w:val="nil"/>
            </w:tcBorders>
          </w:tcPr>
          <w:p w14:paraId="22E6C02E" w14:textId="62AA2C69" w:rsidR="00E05B98" w:rsidRPr="003954DE" w:rsidRDefault="008B24D7">
            <w:pPr>
              <w:pStyle w:val="TableParagraph"/>
              <w:spacing w:before="76"/>
              <w:rPr>
                <w:sz w:val="20"/>
                <w:szCs w:val="20"/>
                <w:lang w:val="uk-UA"/>
              </w:rPr>
            </w:pPr>
            <w:r>
              <w:rPr>
                <w:spacing w:val="-10"/>
                <w:w w:val="110"/>
                <w:sz w:val="20"/>
                <w:szCs w:val="20"/>
                <w:lang w:val="uk-UA"/>
              </w:rPr>
              <w:t>Ч</w:t>
            </w:r>
          </w:p>
        </w:tc>
      </w:tr>
      <w:tr w:rsidR="008B24D7" w:rsidRPr="003954DE" w14:paraId="3AC46C90" w14:textId="77777777" w:rsidTr="00FA7096">
        <w:trPr>
          <w:trHeight w:val="907"/>
        </w:trPr>
        <w:tc>
          <w:tcPr>
            <w:tcW w:w="2391" w:type="dxa"/>
            <w:tcBorders>
              <w:top w:val="single" w:sz="6" w:space="0" w:color="019648"/>
              <w:left w:val="nil"/>
              <w:bottom w:val="single" w:sz="6" w:space="0" w:color="019648"/>
              <w:right w:val="nil"/>
            </w:tcBorders>
          </w:tcPr>
          <w:p w14:paraId="61F31E74" w14:textId="043639A7" w:rsidR="008B24D7" w:rsidRPr="003954DE" w:rsidRDefault="008B24D7" w:rsidP="008B24D7">
            <w:pPr>
              <w:pStyle w:val="TableParagraph"/>
              <w:spacing w:line="249" w:lineRule="auto"/>
              <w:ind w:left="133" w:right="115"/>
              <w:rPr>
                <w:sz w:val="20"/>
                <w:szCs w:val="20"/>
                <w:lang w:val="uk-UA"/>
              </w:rPr>
            </w:pPr>
            <w:proofErr w:type="spellStart"/>
            <w:r w:rsidRPr="003954DE">
              <w:rPr>
                <w:spacing w:val="-6"/>
                <w:sz w:val="20"/>
                <w:szCs w:val="20"/>
                <w:lang w:val="uk-UA"/>
              </w:rPr>
              <w:t>Еціо</w:t>
            </w:r>
            <w:proofErr w:type="spellEnd"/>
            <w:r w:rsidRPr="003954DE">
              <w:rPr>
                <w:spacing w:val="-6"/>
                <w:sz w:val="20"/>
                <w:szCs w:val="20"/>
                <w:lang w:val="uk-UA"/>
              </w:rPr>
              <w:t xml:space="preserve"> </w:t>
            </w:r>
            <w:proofErr w:type="spellStart"/>
            <w:r w:rsidRPr="003954DE">
              <w:rPr>
                <w:spacing w:val="-6"/>
                <w:sz w:val="20"/>
                <w:szCs w:val="20"/>
                <w:lang w:val="uk-UA"/>
              </w:rPr>
              <w:t>Тавора</w:t>
            </w:r>
            <w:proofErr w:type="spellEnd"/>
            <w:r w:rsidRPr="003954DE">
              <w:rPr>
                <w:spacing w:val="-6"/>
                <w:sz w:val="20"/>
                <w:szCs w:val="20"/>
                <w:lang w:val="uk-UA"/>
              </w:rPr>
              <w:t xml:space="preserve"> </w:t>
            </w:r>
            <w:proofErr w:type="spellStart"/>
            <w:r w:rsidRPr="003954DE">
              <w:rPr>
                <w:spacing w:val="-6"/>
                <w:sz w:val="20"/>
                <w:szCs w:val="20"/>
                <w:lang w:val="uk-UA"/>
              </w:rPr>
              <w:t>дос</w:t>
            </w:r>
            <w:proofErr w:type="spellEnd"/>
            <w:r w:rsidRPr="003954DE">
              <w:rPr>
                <w:spacing w:val="-6"/>
                <w:sz w:val="20"/>
                <w:szCs w:val="20"/>
                <w:lang w:val="uk-UA"/>
              </w:rPr>
              <w:t xml:space="preserve"> Сантос</w:t>
            </w:r>
          </w:p>
        </w:tc>
        <w:tc>
          <w:tcPr>
            <w:tcW w:w="3118" w:type="dxa"/>
            <w:tcBorders>
              <w:top w:val="single" w:sz="6" w:space="0" w:color="019648"/>
              <w:left w:val="nil"/>
              <w:bottom w:val="single" w:sz="6" w:space="0" w:color="019648"/>
              <w:right w:val="nil"/>
            </w:tcBorders>
          </w:tcPr>
          <w:p w14:paraId="46E43948" w14:textId="448F4231" w:rsidR="008B24D7" w:rsidRPr="003954DE" w:rsidRDefault="008B24D7" w:rsidP="008B24D7">
            <w:pPr>
              <w:pStyle w:val="TableParagraph"/>
              <w:spacing w:line="249" w:lineRule="auto"/>
              <w:ind w:right="127"/>
              <w:rPr>
                <w:sz w:val="20"/>
                <w:szCs w:val="20"/>
                <w:lang w:val="uk-UA"/>
              </w:rPr>
            </w:pPr>
            <w:r w:rsidRPr="003954DE">
              <w:rPr>
                <w:sz w:val="20"/>
                <w:szCs w:val="20"/>
                <w:lang w:val="uk-UA"/>
              </w:rPr>
              <w:t>Права пацієнтів; Надання догляду на рівні громади; Виявлення та діагностика ТБ</w:t>
            </w:r>
          </w:p>
        </w:tc>
        <w:tc>
          <w:tcPr>
            <w:tcW w:w="2551" w:type="dxa"/>
            <w:tcBorders>
              <w:top w:val="single" w:sz="6" w:space="0" w:color="019648"/>
              <w:left w:val="nil"/>
              <w:bottom w:val="single" w:sz="6" w:space="0" w:color="019648"/>
              <w:right w:val="nil"/>
            </w:tcBorders>
          </w:tcPr>
          <w:p w14:paraId="3C7663A3" w14:textId="7D5A4D60" w:rsidR="008B24D7" w:rsidRPr="003954DE" w:rsidRDefault="008B24D7" w:rsidP="008B24D7">
            <w:pPr>
              <w:pStyle w:val="TableParagraph"/>
              <w:spacing w:line="249" w:lineRule="auto"/>
              <w:rPr>
                <w:sz w:val="20"/>
                <w:szCs w:val="20"/>
                <w:lang w:val="uk-UA"/>
              </w:rPr>
            </w:pPr>
            <w:r w:rsidRPr="003954DE">
              <w:rPr>
                <w:spacing w:val="-4"/>
                <w:w w:val="105"/>
                <w:sz w:val="20"/>
                <w:szCs w:val="20"/>
                <w:lang w:val="uk-UA"/>
              </w:rPr>
              <w:t>Регіон країн Америки</w:t>
            </w:r>
          </w:p>
        </w:tc>
        <w:tc>
          <w:tcPr>
            <w:tcW w:w="1027" w:type="dxa"/>
            <w:tcBorders>
              <w:top w:val="single" w:sz="6" w:space="0" w:color="019648"/>
              <w:left w:val="nil"/>
              <w:bottom w:val="single" w:sz="6" w:space="0" w:color="019648"/>
              <w:right w:val="nil"/>
            </w:tcBorders>
          </w:tcPr>
          <w:p w14:paraId="24D92DF2" w14:textId="1A3B199C" w:rsidR="008B24D7" w:rsidRPr="003954DE" w:rsidRDefault="008B24D7" w:rsidP="008B24D7">
            <w:pPr>
              <w:pStyle w:val="TableParagraph"/>
              <w:rPr>
                <w:sz w:val="20"/>
                <w:szCs w:val="20"/>
                <w:lang w:val="uk-UA"/>
              </w:rPr>
            </w:pPr>
            <w:r w:rsidRPr="00624A8E">
              <w:rPr>
                <w:spacing w:val="-10"/>
                <w:w w:val="110"/>
                <w:sz w:val="20"/>
                <w:szCs w:val="20"/>
                <w:lang w:val="uk-UA"/>
              </w:rPr>
              <w:t>Ч</w:t>
            </w:r>
          </w:p>
        </w:tc>
      </w:tr>
      <w:tr w:rsidR="008B24D7" w:rsidRPr="003954DE" w14:paraId="4E4E1667" w14:textId="77777777" w:rsidTr="00FA7096">
        <w:trPr>
          <w:trHeight w:val="647"/>
        </w:trPr>
        <w:tc>
          <w:tcPr>
            <w:tcW w:w="2391" w:type="dxa"/>
            <w:tcBorders>
              <w:top w:val="single" w:sz="6" w:space="0" w:color="019648"/>
              <w:left w:val="nil"/>
              <w:bottom w:val="single" w:sz="6" w:space="0" w:color="019648"/>
              <w:right w:val="nil"/>
            </w:tcBorders>
          </w:tcPr>
          <w:p w14:paraId="1C85AD60" w14:textId="2310D3D6" w:rsidR="008B24D7" w:rsidRPr="003954DE" w:rsidRDefault="008B24D7" w:rsidP="008B24D7">
            <w:pPr>
              <w:pStyle w:val="TableParagraph"/>
              <w:ind w:left="133"/>
              <w:rPr>
                <w:sz w:val="20"/>
                <w:szCs w:val="20"/>
                <w:lang w:val="uk-UA"/>
              </w:rPr>
            </w:pPr>
            <w:proofErr w:type="spellStart"/>
            <w:r w:rsidRPr="003954DE">
              <w:rPr>
                <w:sz w:val="20"/>
                <w:szCs w:val="20"/>
                <w:lang w:val="uk-UA"/>
              </w:rPr>
              <w:t>Нгуен</w:t>
            </w:r>
            <w:proofErr w:type="spellEnd"/>
            <w:r w:rsidRPr="003954DE">
              <w:rPr>
                <w:sz w:val="20"/>
                <w:szCs w:val="20"/>
                <w:lang w:val="uk-UA"/>
              </w:rPr>
              <w:t xml:space="preserve"> </w:t>
            </w:r>
            <w:proofErr w:type="spellStart"/>
            <w:r w:rsidRPr="003954DE">
              <w:rPr>
                <w:sz w:val="20"/>
                <w:szCs w:val="20"/>
                <w:lang w:val="uk-UA"/>
              </w:rPr>
              <w:t>В’єт</w:t>
            </w:r>
            <w:proofErr w:type="spellEnd"/>
            <w:r w:rsidRPr="003954DE">
              <w:rPr>
                <w:sz w:val="20"/>
                <w:szCs w:val="20"/>
                <w:lang w:val="uk-UA"/>
              </w:rPr>
              <w:t xml:space="preserve"> </w:t>
            </w:r>
            <w:proofErr w:type="spellStart"/>
            <w:r w:rsidRPr="003954DE">
              <w:rPr>
                <w:sz w:val="20"/>
                <w:szCs w:val="20"/>
                <w:lang w:val="uk-UA"/>
              </w:rPr>
              <w:t>Нхунг</w:t>
            </w:r>
            <w:proofErr w:type="spellEnd"/>
          </w:p>
        </w:tc>
        <w:tc>
          <w:tcPr>
            <w:tcW w:w="3118" w:type="dxa"/>
            <w:tcBorders>
              <w:top w:val="single" w:sz="6" w:space="0" w:color="019648"/>
              <w:left w:val="nil"/>
              <w:bottom w:val="single" w:sz="6" w:space="0" w:color="019648"/>
              <w:right w:val="nil"/>
            </w:tcBorders>
          </w:tcPr>
          <w:p w14:paraId="4F590647" w14:textId="05E6F61E" w:rsidR="008B24D7" w:rsidRPr="003954DE" w:rsidRDefault="008B24D7" w:rsidP="008B24D7">
            <w:pPr>
              <w:pStyle w:val="TableParagraph"/>
              <w:rPr>
                <w:sz w:val="20"/>
                <w:szCs w:val="20"/>
                <w:lang w:val="uk-UA"/>
              </w:rPr>
            </w:pPr>
            <w:r w:rsidRPr="003954DE">
              <w:rPr>
                <w:sz w:val="20"/>
                <w:szCs w:val="20"/>
                <w:lang w:val="uk-UA"/>
              </w:rPr>
              <w:t>Управління програмою боротьби з ТБ</w:t>
            </w:r>
          </w:p>
        </w:tc>
        <w:tc>
          <w:tcPr>
            <w:tcW w:w="2551" w:type="dxa"/>
            <w:tcBorders>
              <w:top w:val="single" w:sz="6" w:space="0" w:color="019648"/>
              <w:left w:val="nil"/>
              <w:bottom w:val="single" w:sz="6" w:space="0" w:color="019648"/>
              <w:right w:val="nil"/>
            </w:tcBorders>
          </w:tcPr>
          <w:p w14:paraId="2552B9CC" w14:textId="7D5AF58A" w:rsidR="008B24D7" w:rsidRPr="003954DE" w:rsidRDefault="008B24D7" w:rsidP="008B24D7">
            <w:pPr>
              <w:pStyle w:val="TableParagraph"/>
              <w:spacing w:line="249" w:lineRule="auto"/>
              <w:ind w:right="59"/>
              <w:rPr>
                <w:sz w:val="20"/>
                <w:szCs w:val="20"/>
                <w:lang w:val="uk-UA"/>
              </w:rPr>
            </w:pPr>
            <w:r w:rsidRPr="003954DE">
              <w:rPr>
                <w:spacing w:val="-2"/>
                <w:sz w:val="20"/>
                <w:szCs w:val="20"/>
                <w:lang w:val="uk-UA"/>
              </w:rPr>
              <w:t>Західний Тихо-океанський регіон</w:t>
            </w:r>
          </w:p>
        </w:tc>
        <w:tc>
          <w:tcPr>
            <w:tcW w:w="1027" w:type="dxa"/>
            <w:tcBorders>
              <w:top w:val="single" w:sz="6" w:space="0" w:color="019648"/>
              <w:left w:val="nil"/>
              <w:bottom w:val="single" w:sz="6" w:space="0" w:color="019648"/>
              <w:right w:val="nil"/>
            </w:tcBorders>
          </w:tcPr>
          <w:p w14:paraId="71AE7F14" w14:textId="3465D871" w:rsidR="008B24D7" w:rsidRPr="003954DE" w:rsidRDefault="008B24D7" w:rsidP="008B24D7">
            <w:pPr>
              <w:pStyle w:val="TableParagraph"/>
              <w:rPr>
                <w:sz w:val="20"/>
                <w:szCs w:val="20"/>
                <w:lang w:val="uk-UA"/>
              </w:rPr>
            </w:pPr>
            <w:r w:rsidRPr="00624A8E">
              <w:rPr>
                <w:spacing w:val="-10"/>
                <w:w w:val="110"/>
                <w:sz w:val="20"/>
                <w:szCs w:val="20"/>
                <w:lang w:val="uk-UA"/>
              </w:rPr>
              <w:t>Ч</w:t>
            </w:r>
          </w:p>
        </w:tc>
      </w:tr>
      <w:tr w:rsidR="008B24D7" w:rsidRPr="003954DE" w14:paraId="278398E7" w14:textId="77777777" w:rsidTr="00FA7096">
        <w:trPr>
          <w:trHeight w:val="647"/>
        </w:trPr>
        <w:tc>
          <w:tcPr>
            <w:tcW w:w="2391" w:type="dxa"/>
            <w:tcBorders>
              <w:top w:val="single" w:sz="6" w:space="0" w:color="019648"/>
              <w:left w:val="nil"/>
              <w:bottom w:val="single" w:sz="6" w:space="0" w:color="019648"/>
              <w:right w:val="nil"/>
            </w:tcBorders>
          </w:tcPr>
          <w:p w14:paraId="24BE5C3D" w14:textId="6A1DC8B0" w:rsidR="008B24D7" w:rsidRPr="003954DE" w:rsidRDefault="008B24D7" w:rsidP="008B24D7">
            <w:pPr>
              <w:pStyle w:val="TableParagraph"/>
              <w:ind w:left="133"/>
              <w:rPr>
                <w:sz w:val="20"/>
                <w:szCs w:val="20"/>
                <w:lang w:val="uk-UA"/>
              </w:rPr>
            </w:pPr>
            <w:proofErr w:type="spellStart"/>
            <w:r w:rsidRPr="003954DE">
              <w:rPr>
                <w:spacing w:val="-2"/>
                <w:sz w:val="20"/>
                <w:szCs w:val="20"/>
                <w:lang w:val="uk-UA"/>
              </w:rPr>
              <w:t>Е</w:t>
            </w:r>
            <w:r w:rsidR="00EB6C68">
              <w:rPr>
                <w:spacing w:val="-2"/>
                <w:sz w:val="20"/>
                <w:szCs w:val="20"/>
                <w:lang w:val="uk-UA"/>
              </w:rPr>
              <w:t>л</w:t>
            </w:r>
            <w:r w:rsidRPr="003954DE">
              <w:rPr>
                <w:spacing w:val="-2"/>
                <w:sz w:val="20"/>
                <w:szCs w:val="20"/>
                <w:lang w:val="uk-UA"/>
              </w:rPr>
              <w:t>ізабетта</w:t>
            </w:r>
            <w:proofErr w:type="spellEnd"/>
            <w:r w:rsidRPr="003954DE">
              <w:rPr>
                <w:spacing w:val="-2"/>
                <w:sz w:val="20"/>
                <w:szCs w:val="20"/>
                <w:lang w:val="uk-UA"/>
              </w:rPr>
              <w:t xml:space="preserve"> </w:t>
            </w:r>
            <w:proofErr w:type="spellStart"/>
            <w:r w:rsidRPr="003954DE">
              <w:rPr>
                <w:spacing w:val="-2"/>
                <w:sz w:val="20"/>
                <w:szCs w:val="20"/>
                <w:lang w:val="uk-UA"/>
              </w:rPr>
              <w:t>Уолтерс</w:t>
            </w:r>
            <w:proofErr w:type="spellEnd"/>
            <w:r w:rsidRPr="003954DE">
              <w:rPr>
                <w:spacing w:val="-8"/>
                <w:sz w:val="20"/>
                <w:szCs w:val="20"/>
                <w:lang w:val="uk-UA"/>
              </w:rPr>
              <w:t xml:space="preserve"> </w:t>
            </w:r>
          </w:p>
        </w:tc>
        <w:tc>
          <w:tcPr>
            <w:tcW w:w="3118" w:type="dxa"/>
            <w:tcBorders>
              <w:top w:val="single" w:sz="6" w:space="0" w:color="019648"/>
              <w:left w:val="nil"/>
              <w:bottom w:val="single" w:sz="6" w:space="0" w:color="019648"/>
              <w:right w:val="nil"/>
            </w:tcBorders>
          </w:tcPr>
          <w:p w14:paraId="35E55C70" w14:textId="41E081BA" w:rsidR="008B24D7" w:rsidRPr="003954DE" w:rsidRDefault="008B24D7" w:rsidP="008B24D7">
            <w:pPr>
              <w:pStyle w:val="TableParagraph"/>
              <w:spacing w:line="249" w:lineRule="auto"/>
              <w:ind w:right="127"/>
              <w:rPr>
                <w:sz w:val="20"/>
                <w:szCs w:val="20"/>
                <w:lang w:val="uk-UA"/>
              </w:rPr>
            </w:pPr>
            <w:r w:rsidRPr="003954DE">
              <w:rPr>
                <w:spacing w:val="-2"/>
                <w:sz w:val="20"/>
                <w:szCs w:val="20"/>
                <w:lang w:val="uk-UA"/>
              </w:rPr>
              <w:t>Діагностика та лікування ТБ у дітей</w:t>
            </w:r>
          </w:p>
        </w:tc>
        <w:tc>
          <w:tcPr>
            <w:tcW w:w="2551" w:type="dxa"/>
            <w:tcBorders>
              <w:top w:val="single" w:sz="6" w:space="0" w:color="019648"/>
              <w:left w:val="nil"/>
              <w:bottom w:val="single" w:sz="6" w:space="0" w:color="019648"/>
              <w:right w:val="nil"/>
            </w:tcBorders>
          </w:tcPr>
          <w:p w14:paraId="3B180B15" w14:textId="73BE62E6" w:rsidR="008B24D7" w:rsidRPr="003954DE" w:rsidRDefault="008B24D7" w:rsidP="008B24D7">
            <w:pPr>
              <w:pStyle w:val="TableParagraph"/>
              <w:rPr>
                <w:sz w:val="20"/>
                <w:szCs w:val="20"/>
                <w:lang w:val="uk-UA"/>
              </w:rPr>
            </w:pPr>
            <w:r w:rsidRPr="003954DE">
              <w:rPr>
                <w:sz w:val="20"/>
                <w:szCs w:val="20"/>
                <w:lang w:val="uk-UA"/>
              </w:rPr>
              <w:t>Регіон країн Африки</w:t>
            </w:r>
          </w:p>
        </w:tc>
        <w:tc>
          <w:tcPr>
            <w:tcW w:w="1027" w:type="dxa"/>
            <w:tcBorders>
              <w:top w:val="single" w:sz="6" w:space="0" w:color="019648"/>
              <w:left w:val="nil"/>
              <w:bottom w:val="single" w:sz="6" w:space="0" w:color="019648"/>
              <w:right w:val="nil"/>
            </w:tcBorders>
          </w:tcPr>
          <w:p w14:paraId="246DE8AA" w14:textId="5B36927C" w:rsidR="008B24D7" w:rsidRPr="003954DE" w:rsidRDefault="008B24D7" w:rsidP="008B24D7">
            <w:pPr>
              <w:pStyle w:val="TableParagraph"/>
              <w:rPr>
                <w:sz w:val="20"/>
                <w:szCs w:val="20"/>
                <w:lang w:val="uk-UA"/>
              </w:rPr>
            </w:pPr>
            <w:r w:rsidRPr="00624A8E">
              <w:rPr>
                <w:spacing w:val="-10"/>
                <w:w w:val="110"/>
                <w:sz w:val="20"/>
                <w:szCs w:val="20"/>
                <w:lang w:val="uk-UA"/>
              </w:rPr>
              <w:t>Ч</w:t>
            </w:r>
          </w:p>
        </w:tc>
      </w:tr>
      <w:tr w:rsidR="008B24D7" w:rsidRPr="003954DE" w14:paraId="735A5EE8" w14:textId="77777777" w:rsidTr="00FA7096">
        <w:trPr>
          <w:trHeight w:val="647"/>
        </w:trPr>
        <w:tc>
          <w:tcPr>
            <w:tcW w:w="2391" w:type="dxa"/>
            <w:tcBorders>
              <w:top w:val="single" w:sz="6" w:space="0" w:color="019648"/>
              <w:left w:val="nil"/>
              <w:bottom w:val="single" w:sz="6" w:space="0" w:color="019648"/>
              <w:right w:val="nil"/>
            </w:tcBorders>
          </w:tcPr>
          <w:p w14:paraId="7E8D92E8" w14:textId="10469620" w:rsidR="008B24D7" w:rsidRPr="003954DE" w:rsidRDefault="008B24D7" w:rsidP="008B24D7">
            <w:pPr>
              <w:pStyle w:val="TableParagraph"/>
              <w:ind w:left="133"/>
              <w:rPr>
                <w:sz w:val="20"/>
                <w:szCs w:val="20"/>
                <w:lang w:val="uk-UA"/>
              </w:rPr>
            </w:pPr>
            <w:proofErr w:type="spellStart"/>
            <w:r w:rsidRPr="003954DE">
              <w:rPr>
                <w:sz w:val="20"/>
                <w:szCs w:val="20"/>
                <w:lang w:val="uk-UA"/>
              </w:rPr>
              <w:t>Яньлінь</w:t>
            </w:r>
            <w:proofErr w:type="spellEnd"/>
            <w:r w:rsidRPr="003954DE">
              <w:rPr>
                <w:sz w:val="20"/>
                <w:szCs w:val="20"/>
                <w:lang w:val="uk-UA"/>
              </w:rPr>
              <w:t xml:space="preserve"> </w:t>
            </w:r>
            <w:proofErr w:type="spellStart"/>
            <w:r w:rsidRPr="003954DE">
              <w:rPr>
                <w:sz w:val="20"/>
                <w:szCs w:val="20"/>
                <w:lang w:val="uk-UA"/>
              </w:rPr>
              <w:t>Чжао</w:t>
            </w:r>
            <w:proofErr w:type="spellEnd"/>
          </w:p>
        </w:tc>
        <w:tc>
          <w:tcPr>
            <w:tcW w:w="3118" w:type="dxa"/>
            <w:tcBorders>
              <w:top w:val="single" w:sz="6" w:space="0" w:color="019648"/>
              <w:left w:val="nil"/>
              <w:bottom w:val="single" w:sz="6" w:space="0" w:color="019648"/>
              <w:right w:val="nil"/>
            </w:tcBorders>
          </w:tcPr>
          <w:p w14:paraId="1849C8F1" w14:textId="790FD353" w:rsidR="008B24D7" w:rsidRPr="003954DE" w:rsidRDefault="008B24D7" w:rsidP="008B24D7">
            <w:pPr>
              <w:pStyle w:val="TableParagraph"/>
              <w:rPr>
                <w:sz w:val="20"/>
                <w:szCs w:val="20"/>
                <w:lang w:val="uk-UA"/>
              </w:rPr>
            </w:pPr>
            <w:r w:rsidRPr="003954DE">
              <w:rPr>
                <w:sz w:val="20"/>
                <w:szCs w:val="20"/>
                <w:lang w:val="uk-UA"/>
              </w:rPr>
              <w:t>Управління програмою боротьби з ТБ</w:t>
            </w:r>
          </w:p>
        </w:tc>
        <w:tc>
          <w:tcPr>
            <w:tcW w:w="2551" w:type="dxa"/>
            <w:tcBorders>
              <w:top w:val="single" w:sz="6" w:space="0" w:color="019648"/>
              <w:left w:val="nil"/>
              <w:bottom w:val="single" w:sz="6" w:space="0" w:color="019648"/>
              <w:right w:val="nil"/>
            </w:tcBorders>
          </w:tcPr>
          <w:p w14:paraId="61AE865D" w14:textId="258AB70E" w:rsidR="008B24D7" w:rsidRPr="003954DE" w:rsidRDefault="008B24D7" w:rsidP="008B24D7">
            <w:pPr>
              <w:pStyle w:val="TableParagraph"/>
              <w:spacing w:line="249" w:lineRule="auto"/>
              <w:ind w:right="201"/>
              <w:rPr>
                <w:sz w:val="20"/>
                <w:szCs w:val="20"/>
                <w:lang w:val="uk-UA"/>
              </w:rPr>
            </w:pPr>
            <w:r w:rsidRPr="003954DE">
              <w:rPr>
                <w:spacing w:val="-2"/>
                <w:sz w:val="20"/>
                <w:szCs w:val="20"/>
                <w:lang w:val="uk-UA"/>
              </w:rPr>
              <w:t>Західний Тихо-океанський регіон</w:t>
            </w:r>
          </w:p>
        </w:tc>
        <w:tc>
          <w:tcPr>
            <w:tcW w:w="1027" w:type="dxa"/>
            <w:tcBorders>
              <w:top w:val="single" w:sz="6" w:space="0" w:color="019648"/>
              <w:left w:val="nil"/>
              <w:bottom w:val="single" w:sz="6" w:space="0" w:color="019648"/>
              <w:right w:val="nil"/>
            </w:tcBorders>
          </w:tcPr>
          <w:p w14:paraId="7F657C31" w14:textId="77005D94" w:rsidR="008B24D7" w:rsidRPr="003954DE" w:rsidRDefault="008B24D7" w:rsidP="008B24D7">
            <w:pPr>
              <w:pStyle w:val="TableParagraph"/>
              <w:rPr>
                <w:sz w:val="20"/>
                <w:szCs w:val="20"/>
                <w:lang w:val="uk-UA"/>
              </w:rPr>
            </w:pPr>
            <w:r w:rsidRPr="00624A8E">
              <w:rPr>
                <w:spacing w:val="-10"/>
                <w:w w:val="110"/>
                <w:sz w:val="20"/>
                <w:szCs w:val="20"/>
                <w:lang w:val="uk-UA"/>
              </w:rPr>
              <w:t>Ч</w:t>
            </w:r>
          </w:p>
        </w:tc>
      </w:tr>
    </w:tbl>
    <w:p w14:paraId="6CF7D4E7" w14:textId="77777777" w:rsidR="00E05B98" w:rsidRPr="003954DE" w:rsidRDefault="00E05B98">
      <w:pPr>
        <w:pStyle w:val="a3"/>
        <w:spacing w:before="69"/>
        <w:rPr>
          <w:rFonts w:ascii="Arial"/>
          <w:b/>
          <w:sz w:val="20"/>
          <w:szCs w:val="20"/>
          <w:lang w:val="uk-UA"/>
        </w:rPr>
      </w:pPr>
    </w:p>
    <w:p w14:paraId="7AAF8E09" w14:textId="46865A34" w:rsidR="00E05B98" w:rsidRPr="00C97E78" w:rsidRDefault="00C97E78">
      <w:pPr>
        <w:ind w:left="567"/>
        <w:jc w:val="both"/>
        <w:rPr>
          <w:sz w:val="18"/>
          <w:szCs w:val="18"/>
          <w:lang w:val="uk-UA"/>
        </w:rPr>
      </w:pPr>
      <w:r w:rsidRPr="00C97E78">
        <w:rPr>
          <w:sz w:val="18"/>
          <w:szCs w:val="18"/>
          <w:lang w:val="uk-UA"/>
        </w:rPr>
        <w:t>ГРН</w:t>
      </w:r>
      <w:r w:rsidR="00B01E0C" w:rsidRPr="00C97E78">
        <w:rPr>
          <w:sz w:val="18"/>
          <w:szCs w:val="18"/>
          <w:lang w:val="uk-UA"/>
        </w:rPr>
        <w:t>:</w:t>
      </w:r>
      <w:r w:rsidR="00B01E0C" w:rsidRPr="00C97E78">
        <w:rPr>
          <w:spacing w:val="-2"/>
          <w:sz w:val="18"/>
          <w:szCs w:val="18"/>
          <w:lang w:val="uk-UA"/>
        </w:rPr>
        <w:t xml:space="preserve"> </w:t>
      </w:r>
      <w:r w:rsidRPr="00C97E78">
        <w:rPr>
          <w:sz w:val="18"/>
          <w:szCs w:val="18"/>
          <w:lang w:val="uk-UA"/>
        </w:rPr>
        <w:t>Група з розробки настанов</w:t>
      </w:r>
      <w:r w:rsidR="00B01E0C" w:rsidRPr="00C97E78">
        <w:rPr>
          <w:sz w:val="18"/>
          <w:szCs w:val="18"/>
          <w:lang w:val="uk-UA"/>
        </w:rPr>
        <w:t>;</w:t>
      </w:r>
      <w:r w:rsidR="00B01E0C" w:rsidRPr="00C97E78">
        <w:rPr>
          <w:spacing w:val="-2"/>
          <w:sz w:val="18"/>
          <w:szCs w:val="18"/>
          <w:lang w:val="uk-UA"/>
        </w:rPr>
        <w:t xml:space="preserve"> </w:t>
      </w:r>
      <w:r w:rsidRPr="00C97E78">
        <w:rPr>
          <w:sz w:val="18"/>
          <w:szCs w:val="18"/>
          <w:lang w:val="uk-UA"/>
        </w:rPr>
        <w:t>ВООЗ</w:t>
      </w:r>
      <w:r w:rsidR="00B01E0C" w:rsidRPr="00C97E78">
        <w:rPr>
          <w:sz w:val="18"/>
          <w:szCs w:val="18"/>
          <w:lang w:val="uk-UA"/>
        </w:rPr>
        <w:t>:</w:t>
      </w:r>
      <w:r w:rsidR="00B01E0C" w:rsidRPr="00C97E78">
        <w:rPr>
          <w:spacing w:val="-2"/>
          <w:sz w:val="18"/>
          <w:szCs w:val="18"/>
          <w:lang w:val="uk-UA"/>
        </w:rPr>
        <w:t xml:space="preserve"> </w:t>
      </w:r>
      <w:r w:rsidRPr="00C97E78">
        <w:rPr>
          <w:sz w:val="18"/>
          <w:szCs w:val="18"/>
          <w:lang w:val="uk-UA"/>
        </w:rPr>
        <w:t>Всесвітня організація охорони здоров’я</w:t>
      </w:r>
    </w:p>
    <w:p w14:paraId="3BE8F3AB" w14:textId="77777777" w:rsidR="00E05B98" w:rsidRPr="003954DE" w:rsidRDefault="00E05B98">
      <w:pPr>
        <w:pStyle w:val="a3"/>
        <w:rPr>
          <w:sz w:val="20"/>
          <w:szCs w:val="20"/>
          <w:lang w:val="uk-UA"/>
        </w:rPr>
      </w:pPr>
    </w:p>
    <w:p w14:paraId="72D8BF75" w14:textId="77777777" w:rsidR="00E05B98" w:rsidRPr="003954DE" w:rsidRDefault="00E05B98">
      <w:pPr>
        <w:pStyle w:val="a3"/>
        <w:spacing w:before="15"/>
        <w:rPr>
          <w:sz w:val="20"/>
          <w:szCs w:val="20"/>
          <w:lang w:val="uk-UA"/>
        </w:rPr>
      </w:pPr>
    </w:p>
    <w:p w14:paraId="0035F1A1" w14:textId="3EEDAD4E" w:rsidR="00E05B98" w:rsidRPr="003954DE" w:rsidRDefault="00B01E0C">
      <w:pPr>
        <w:pStyle w:val="6"/>
        <w:spacing w:before="0" w:line="249" w:lineRule="auto"/>
        <w:ind w:right="1405"/>
        <w:jc w:val="both"/>
        <w:rPr>
          <w:sz w:val="20"/>
          <w:szCs w:val="20"/>
          <w:lang w:val="uk-UA"/>
        </w:rPr>
      </w:pPr>
      <w:r w:rsidRPr="003954DE">
        <w:rPr>
          <w:noProof/>
          <w:sz w:val="20"/>
          <w:szCs w:val="20"/>
          <w:lang w:val="uk-UA"/>
        </w:rPr>
        <mc:AlternateContent>
          <mc:Choice Requires="wpg">
            <w:drawing>
              <wp:anchor distT="0" distB="0" distL="0" distR="0" simplePos="0" relativeHeight="16212992" behindDoc="0" locked="0" layoutInCell="1" allowOverlap="1" wp14:anchorId="1470DAAF" wp14:editId="46390978">
                <wp:simplePos x="0" y="0"/>
                <wp:positionH relativeFrom="page">
                  <wp:posOffset>6144458</wp:posOffset>
                </wp:positionH>
                <wp:positionV relativeFrom="paragraph">
                  <wp:posOffset>28359</wp:posOffset>
                </wp:positionV>
                <wp:extent cx="515620" cy="245745"/>
                <wp:effectExtent l="0" t="0" r="0" b="0"/>
                <wp:wrapNone/>
                <wp:docPr id="3079" name="Group 3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620" cy="245745"/>
                          <a:chOff x="0" y="0"/>
                          <a:chExt cx="515620" cy="245745"/>
                        </a:xfrm>
                      </wpg:grpSpPr>
                      <wps:wsp>
                        <wps:cNvPr id="3080" name="Graphic 3080"/>
                        <wps:cNvSpPr/>
                        <wps:spPr>
                          <a:xfrm>
                            <a:off x="0" y="0"/>
                            <a:ext cx="515620" cy="245745"/>
                          </a:xfrm>
                          <a:custGeom>
                            <a:avLst/>
                            <a:gdLst/>
                            <a:ahLst/>
                            <a:cxnLst/>
                            <a:rect l="l" t="t" r="r" b="b"/>
                            <a:pathLst>
                              <a:path w="515620" h="245745">
                                <a:moveTo>
                                  <a:pt x="515543" y="0"/>
                                </a:moveTo>
                                <a:lnTo>
                                  <a:pt x="0" y="0"/>
                                </a:lnTo>
                                <a:lnTo>
                                  <a:pt x="0" y="122796"/>
                                </a:lnTo>
                                <a:lnTo>
                                  <a:pt x="9650" y="170593"/>
                                </a:lnTo>
                                <a:lnTo>
                                  <a:pt x="35966" y="209626"/>
                                </a:lnTo>
                                <a:lnTo>
                                  <a:pt x="74998" y="235942"/>
                                </a:lnTo>
                                <a:lnTo>
                                  <a:pt x="122796" y="245592"/>
                                </a:lnTo>
                                <a:lnTo>
                                  <a:pt x="392747" y="245592"/>
                                </a:lnTo>
                                <a:lnTo>
                                  <a:pt x="440545" y="235942"/>
                                </a:lnTo>
                                <a:lnTo>
                                  <a:pt x="479577" y="209626"/>
                                </a:lnTo>
                                <a:lnTo>
                                  <a:pt x="505893" y="170593"/>
                                </a:lnTo>
                                <a:lnTo>
                                  <a:pt x="515543" y="122796"/>
                                </a:lnTo>
                                <a:lnTo>
                                  <a:pt x="515543" y="0"/>
                                </a:lnTo>
                                <a:close/>
                              </a:path>
                            </a:pathLst>
                          </a:custGeom>
                          <a:solidFill>
                            <a:srgbClr val="0C8140"/>
                          </a:solidFill>
                        </wps:spPr>
                        <wps:bodyPr wrap="square" lIns="0" tIns="0" rIns="0" bIns="0" rtlCol="0">
                          <a:prstTxWarp prst="textNoShape">
                            <a:avLst/>
                          </a:prstTxWarp>
                          <a:noAutofit/>
                        </wps:bodyPr>
                      </wps:wsp>
                      <wps:wsp>
                        <wps:cNvPr id="3081" name="Textbox 3081"/>
                        <wps:cNvSpPr txBox="1"/>
                        <wps:spPr>
                          <a:xfrm>
                            <a:off x="0" y="0"/>
                            <a:ext cx="515620" cy="245745"/>
                          </a:xfrm>
                          <a:prstGeom prst="rect">
                            <a:avLst/>
                          </a:prstGeom>
                        </wps:spPr>
                        <wps:txbx>
                          <w:txbxContent>
                            <w:p w14:paraId="14F0D2C4" w14:textId="3494D6FE" w:rsidR="007372B2" w:rsidRPr="00C97E78" w:rsidRDefault="007372B2">
                              <w:pPr>
                                <w:spacing w:before="89"/>
                                <w:ind w:left="169"/>
                                <w:rPr>
                                  <w:sz w:val="20"/>
                                  <w:lang w:val="uk-UA"/>
                                </w:rPr>
                              </w:pPr>
                              <w:r>
                                <w:rPr>
                                  <w:color w:val="FFFFFF"/>
                                  <w:spacing w:val="-5"/>
                                  <w:sz w:val="20"/>
                                  <w:lang w:val="uk-UA"/>
                                </w:rPr>
                                <w:t>НОВЕ</w:t>
                              </w:r>
                            </w:p>
                          </w:txbxContent>
                        </wps:txbx>
                        <wps:bodyPr wrap="square" lIns="0" tIns="0" rIns="0" bIns="0" rtlCol="0">
                          <a:noAutofit/>
                        </wps:bodyPr>
                      </wps:wsp>
                    </wpg:wgp>
                  </a:graphicData>
                </a:graphic>
              </wp:anchor>
            </w:drawing>
          </mc:Choice>
          <mc:Fallback>
            <w:pict>
              <v:group w14:anchorId="1470DAAF" id="Group 3079" o:spid="_x0000_s1208" style="position:absolute;left:0;text-align:left;margin-left:483.8pt;margin-top:2.25pt;width:40.6pt;height:19.35pt;z-index:16212992;mso-wrap-distance-left:0;mso-wrap-distance-right:0;mso-position-horizontal-relative:page;mso-position-vertical-relative:text" coordsize="51562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">
                <v:shape id="Graphic 3080" o:spid="_x0000_s1209" style="position:absolute;width:515620;height:245745;visibility:visible;mso-wrap-style:square;v-text-anchor:top" coordsize="51562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" path="m515543,l,,,122796r9650,47797l35966,209626r39032,26316l122796,245592r269951,l440545,235942r39032,-26316l505893,170593r9650,-47797l515543,xe" fillcolor="#0c8140" stroked="f">
                  <v:path arrowok="t"/>
                </v:shape>
                <v:shape id="Textbox 3081" o:spid="_x0000_s1210" type="#_x0000_t202" style="position:absolute;width:515620;height:245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" filled="f" stroked="f">
                  <v:textbox inset="0,0,0,0">
                    <w:txbxContent>
                      <w:p w14:paraId="14F0D2C4" w14:textId="3494D6FE" w:rsidR="007372B2" w:rsidRPr="00C97E78" w:rsidRDefault="007372B2">
                        <w:pPr>
                          <w:spacing w:before="89"/>
                          <w:ind w:left="169"/>
                          <w:rPr>
                            <w:sz w:val="20"/>
                            <w:lang w:val="uk-UA"/>
                          </w:rPr>
                        </w:pPr>
                        <w:r>
                          <w:rPr>
                            <w:color w:val="FFFFFF"/>
                            <w:spacing w:val="-5"/>
                            <w:sz w:val="20"/>
                            <w:lang w:val="uk-UA"/>
                          </w:rPr>
                          <w:t>НОВЕ</w:t>
                        </w:r>
                      </w:p>
                    </w:txbxContent>
                  </v:textbox>
                </v:shape>
                <w10:wrap anchorx="page"/>
              </v:group>
            </w:pict>
          </mc:Fallback>
        </mc:AlternateContent>
      </w:r>
      <w:r w:rsidR="00C97E78">
        <w:rPr>
          <w:color w:val="636466"/>
          <w:sz w:val="20"/>
          <w:szCs w:val="20"/>
          <w:lang w:val="uk-UA"/>
        </w:rPr>
        <w:t>Таблиця</w:t>
      </w:r>
      <w:r w:rsidRPr="003954DE">
        <w:rPr>
          <w:color w:val="636466"/>
          <w:spacing w:val="40"/>
          <w:sz w:val="20"/>
          <w:szCs w:val="20"/>
          <w:lang w:val="uk-UA"/>
        </w:rPr>
        <w:t xml:space="preserve"> </w:t>
      </w:r>
      <w:r w:rsidRPr="003954DE">
        <w:rPr>
          <w:color w:val="636466"/>
          <w:sz w:val="20"/>
          <w:szCs w:val="20"/>
          <w:lang w:val="uk-UA"/>
        </w:rPr>
        <w:t>A.3.2.</w:t>
      </w:r>
      <w:r w:rsidRPr="003954DE">
        <w:rPr>
          <w:color w:val="636466"/>
          <w:spacing w:val="40"/>
          <w:sz w:val="20"/>
          <w:szCs w:val="20"/>
          <w:lang w:val="uk-UA"/>
        </w:rPr>
        <w:t xml:space="preserve"> </w:t>
      </w:r>
      <w:r w:rsidR="00C97E78" w:rsidRPr="00C97E78">
        <w:rPr>
          <w:color w:val="636466"/>
          <w:sz w:val="20"/>
          <w:szCs w:val="20"/>
          <w:lang w:val="uk-UA"/>
        </w:rPr>
        <w:t xml:space="preserve">Резюме </w:t>
      </w:r>
      <w:r w:rsidR="005A7273">
        <w:rPr>
          <w:color w:val="636466"/>
          <w:sz w:val="20"/>
          <w:szCs w:val="20"/>
          <w:lang w:val="uk-UA"/>
        </w:rPr>
        <w:t xml:space="preserve">заяв про </w:t>
      </w:r>
      <w:r w:rsidR="00C97E78" w:rsidRPr="00C97E78">
        <w:rPr>
          <w:color w:val="636466"/>
          <w:sz w:val="20"/>
          <w:szCs w:val="20"/>
          <w:lang w:val="uk-UA"/>
        </w:rPr>
        <w:t>деклараці</w:t>
      </w:r>
      <w:r w:rsidR="005A7273">
        <w:rPr>
          <w:color w:val="636466"/>
          <w:sz w:val="20"/>
          <w:szCs w:val="20"/>
          <w:lang w:val="uk-UA"/>
        </w:rPr>
        <w:t>ю</w:t>
      </w:r>
      <w:r w:rsidR="00C97E78" w:rsidRPr="00C97E78">
        <w:rPr>
          <w:color w:val="636466"/>
          <w:sz w:val="20"/>
          <w:szCs w:val="20"/>
          <w:lang w:val="uk-UA"/>
        </w:rPr>
        <w:t xml:space="preserve"> інтересів </w:t>
      </w:r>
      <w:r w:rsidR="005A7273">
        <w:rPr>
          <w:color w:val="636466"/>
          <w:sz w:val="20"/>
          <w:szCs w:val="20"/>
          <w:lang w:val="uk-UA"/>
        </w:rPr>
        <w:t>членів</w:t>
      </w:r>
      <w:r w:rsidR="00C97E78" w:rsidRPr="00C97E78">
        <w:rPr>
          <w:color w:val="636466"/>
          <w:sz w:val="20"/>
          <w:szCs w:val="20"/>
          <w:lang w:val="uk-UA"/>
        </w:rPr>
        <w:t xml:space="preserve"> ГРН: «Проведення тесту ампліфікаці</w:t>
      </w:r>
      <w:r w:rsidR="00E76A11">
        <w:rPr>
          <w:color w:val="636466"/>
          <w:sz w:val="20"/>
          <w:szCs w:val="20"/>
          <w:lang w:val="uk-UA"/>
        </w:rPr>
        <w:t>ї</w:t>
      </w:r>
      <w:r w:rsidR="00C97E78" w:rsidRPr="00C97E78">
        <w:rPr>
          <w:color w:val="636466"/>
          <w:sz w:val="20"/>
          <w:szCs w:val="20"/>
          <w:lang w:val="uk-UA"/>
        </w:rPr>
        <w:t xml:space="preserve"> нуклеїнових кислот низької складності </w:t>
      </w:r>
      <w:r w:rsidR="00E76A11">
        <w:rPr>
          <w:color w:val="636466"/>
          <w:sz w:val="20"/>
          <w:szCs w:val="20"/>
          <w:lang w:val="uk-UA"/>
        </w:rPr>
        <w:t xml:space="preserve">(ТАНК-НС) </w:t>
      </w:r>
      <w:r w:rsidR="00C97E78" w:rsidRPr="00C97E78">
        <w:rPr>
          <w:color w:val="636466"/>
          <w:sz w:val="20"/>
          <w:szCs w:val="20"/>
          <w:lang w:val="uk-UA"/>
        </w:rPr>
        <w:t>для виявлення ТБ та стійкості до рифампіцину»</w:t>
      </w:r>
      <w:r w:rsidR="005A7273">
        <w:rPr>
          <w:color w:val="636466"/>
          <w:sz w:val="20"/>
          <w:szCs w:val="20"/>
          <w:lang w:val="uk-UA"/>
        </w:rPr>
        <w:t>,</w:t>
      </w:r>
      <w:r w:rsidR="00C97E78" w:rsidRPr="00C97E78">
        <w:rPr>
          <w:color w:val="636466"/>
          <w:sz w:val="20"/>
          <w:szCs w:val="20"/>
          <w:lang w:val="uk-UA"/>
        </w:rPr>
        <w:t xml:space="preserve"> 6–10 травня 2024 року</w:t>
      </w:r>
    </w:p>
    <w:p w14:paraId="3083665C" w14:textId="77777777" w:rsidR="00E05B98" w:rsidRPr="003954DE" w:rsidRDefault="00E05B98">
      <w:pPr>
        <w:pStyle w:val="a3"/>
        <w:spacing w:before="6"/>
        <w:rPr>
          <w:rFonts w:ascii="Arial"/>
          <w:b/>
          <w:sz w:val="20"/>
          <w:szCs w:val="20"/>
          <w:lang w:val="uk-UA"/>
        </w:rPr>
      </w:pPr>
    </w:p>
    <w:tbl>
      <w:tblPr>
        <w:tblStyle w:val="TableNormal"/>
        <w:tblW w:w="9194" w:type="dxa"/>
        <w:tblInd w:w="57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2391"/>
        <w:gridCol w:w="3118"/>
        <w:gridCol w:w="2409"/>
        <w:gridCol w:w="142"/>
        <w:gridCol w:w="1112"/>
        <w:gridCol w:w="22"/>
      </w:tblGrid>
      <w:tr w:rsidR="003954DE" w:rsidRPr="003954DE" w14:paraId="7C9ECF44" w14:textId="77777777" w:rsidTr="007A4BAE">
        <w:trPr>
          <w:trHeight w:val="428"/>
        </w:trPr>
        <w:tc>
          <w:tcPr>
            <w:tcW w:w="2391" w:type="dxa"/>
            <w:tcBorders>
              <w:right w:val="single" w:sz="6" w:space="0" w:color="019648"/>
            </w:tcBorders>
            <w:shd w:val="clear" w:color="auto" w:fill="62A86B"/>
          </w:tcPr>
          <w:p w14:paraId="39C90D73" w14:textId="77777777" w:rsidR="003954DE" w:rsidRPr="003954DE" w:rsidRDefault="003954DE" w:rsidP="007372B2">
            <w:pPr>
              <w:pStyle w:val="TableParagraph"/>
              <w:spacing w:before="95"/>
              <w:ind w:left="145"/>
              <w:rPr>
                <w:rFonts w:ascii="Arial" w:hAnsi="Arial" w:cs="Arial"/>
                <w:b/>
                <w:sz w:val="20"/>
                <w:szCs w:val="20"/>
                <w:lang w:val="uk-UA"/>
              </w:rPr>
            </w:pPr>
            <w:r w:rsidRPr="003954DE">
              <w:rPr>
                <w:rFonts w:ascii="Arial" w:hAnsi="Arial" w:cs="Arial"/>
                <w:b/>
                <w:color w:val="FFFFFF"/>
                <w:spacing w:val="-9"/>
                <w:sz w:val="20"/>
                <w:szCs w:val="20"/>
                <w:lang w:val="uk-UA"/>
              </w:rPr>
              <w:t>Член ГРН</w:t>
            </w:r>
          </w:p>
        </w:tc>
        <w:tc>
          <w:tcPr>
            <w:tcW w:w="3118" w:type="dxa"/>
            <w:tcBorders>
              <w:left w:val="single" w:sz="6" w:space="0" w:color="019648"/>
              <w:right w:val="single" w:sz="6" w:space="0" w:color="019648"/>
            </w:tcBorders>
            <w:shd w:val="clear" w:color="auto" w:fill="62A86B"/>
          </w:tcPr>
          <w:p w14:paraId="7115D881" w14:textId="77777777" w:rsidR="003954DE" w:rsidRPr="003954DE" w:rsidRDefault="003954DE" w:rsidP="007372B2">
            <w:pPr>
              <w:pStyle w:val="TableParagraph"/>
              <w:spacing w:before="95"/>
              <w:ind w:left="138"/>
              <w:rPr>
                <w:rFonts w:ascii="Arial" w:hAnsi="Arial" w:cs="Arial"/>
                <w:b/>
                <w:sz w:val="20"/>
                <w:szCs w:val="20"/>
                <w:lang w:val="uk-UA"/>
              </w:rPr>
            </w:pPr>
            <w:r>
              <w:rPr>
                <w:rFonts w:ascii="Arial" w:hAnsi="Arial" w:cs="Arial"/>
                <w:b/>
                <w:color w:val="FFFFFF"/>
                <w:spacing w:val="-2"/>
                <w:sz w:val="20"/>
                <w:szCs w:val="20"/>
                <w:lang w:val="uk-UA"/>
              </w:rPr>
              <w:t>Сфера компетенції</w:t>
            </w:r>
          </w:p>
        </w:tc>
        <w:tc>
          <w:tcPr>
            <w:tcW w:w="2551" w:type="dxa"/>
            <w:gridSpan w:val="2"/>
            <w:tcBorders>
              <w:left w:val="single" w:sz="6" w:space="0" w:color="019648"/>
              <w:right w:val="single" w:sz="6" w:space="0" w:color="019648"/>
            </w:tcBorders>
            <w:shd w:val="clear" w:color="auto" w:fill="62A86B"/>
          </w:tcPr>
          <w:p w14:paraId="6E1FC3FF" w14:textId="77777777" w:rsidR="003954DE" w:rsidRPr="003954DE" w:rsidRDefault="003954DE" w:rsidP="007372B2">
            <w:pPr>
              <w:pStyle w:val="TableParagraph"/>
              <w:spacing w:before="95"/>
              <w:ind w:left="138"/>
              <w:rPr>
                <w:rFonts w:ascii="Arial" w:hAnsi="Arial" w:cs="Arial"/>
                <w:b/>
                <w:sz w:val="20"/>
                <w:szCs w:val="20"/>
                <w:lang w:val="uk-UA"/>
              </w:rPr>
            </w:pPr>
            <w:r>
              <w:rPr>
                <w:rFonts w:ascii="Arial" w:hAnsi="Arial" w:cs="Arial"/>
                <w:b/>
                <w:color w:val="FFFFFF"/>
                <w:w w:val="105"/>
                <w:sz w:val="20"/>
                <w:szCs w:val="20"/>
                <w:lang w:val="uk-UA"/>
              </w:rPr>
              <w:t>Регіон ВООЗ</w:t>
            </w:r>
          </w:p>
        </w:tc>
        <w:tc>
          <w:tcPr>
            <w:tcW w:w="1134" w:type="dxa"/>
            <w:gridSpan w:val="2"/>
            <w:tcBorders>
              <w:left w:val="single" w:sz="6" w:space="0" w:color="019648"/>
              <w:right w:val="single" w:sz="6" w:space="0" w:color="019648"/>
            </w:tcBorders>
            <w:shd w:val="clear" w:color="auto" w:fill="62A86B"/>
          </w:tcPr>
          <w:p w14:paraId="53AF06A5" w14:textId="77777777" w:rsidR="003954DE" w:rsidRPr="003954DE" w:rsidRDefault="003954DE" w:rsidP="007372B2">
            <w:pPr>
              <w:pStyle w:val="TableParagraph"/>
              <w:spacing w:before="95"/>
              <w:ind w:left="138"/>
              <w:rPr>
                <w:rFonts w:ascii="Arial" w:hAnsi="Arial" w:cs="Arial"/>
                <w:b/>
                <w:sz w:val="20"/>
                <w:szCs w:val="20"/>
                <w:lang w:val="uk-UA"/>
              </w:rPr>
            </w:pPr>
            <w:r>
              <w:rPr>
                <w:rFonts w:ascii="Arial" w:hAnsi="Arial" w:cs="Arial"/>
                <w:b/>
                <w:color w:val="FFFFFF"/>
                <w:spacing w:val="-2"/>
                <w:sz w:val="20"/>
                <w:szCs w:val="20"/>
                <w:lang w:val="uk-UA"/>
              </w:rPr>
              <w:t>Гендер</w:t>
            </w:r>
          </w:p>
        </w:tc>
      </w:tr>
      <w:tr w:rsidR="008B24D7" w:rsidRPr="003954DE" w14:paraId="51246970" w14:textId="77777777" w:rsidTr="007A4BAE">
        <w:trPr>
          <w:gridAfter w:val="1"/>
          <w:wAfter w:w="22" w:type="dxa"/>
          <w:trHeight w:val="905"/>
        </w:trPr>
        <w:tc>
          <w:tcPr>
            <w:tcW w:w="2391" w:type="dxa"/>
            <w:tcBorders>
              <w:left w:val="nil"/>
              <w:bottom w:val="single" w:sz="6" w:space="0" w:color="019648"/>
              <w:right w:val="nil"/>
            </w:tcBorders>
          </w:tcPr>
          <w:p w14:paraId="723AC27B" w14:textId="0775B8BB" w:rsidR="008B24D7" w:rsidRPr="003954DE" w:rsidRDefault="008B24D7" w:rsidP="008B24D7">
            <w:pPr>
              <w:pStyle w:val="TableParagraph"/>
              <w:spacing w:before="76"/>
              <w:ind w:left="133"/>
              <w:rPr>
                <w:sz w:val="20"/>
                <w:szCs w:val="20"/>
                <w:lang w:val="uk-UA"/>
              </w:rPr>
            </w:pPr>
            <w:r w:rsidRPr="003954DE">
              <w:rPr>
                <w:sz w:val="20"/>
                <w:szCs w:val="20"/>
                <w:lang w:val="uk-UA"/>
              </w:rPr>
              <w:t xml:space="preserve">Девід </w:t>
            </w:r>
            <w:proofErr w:type="spellStart"/>
            <w:r w:rsidRPr="003954DE">
              <w:rPr>
                <w:sz w:val="20"/>
                <w:szCs w:val="20"/>
                <w:lang w:val="uk-UA"/>
              </w:rPr>
              <w:t>Бранінган</w:t>
            </w:r>
            <w:proofErr w:type="spellEnd"/>
          </w:p>
        </w:tc>
        <w:tc>
          <w:tcPr>
            <w:tcW w:w="3118" w:type="dxa"/>
            <w:tcBorders>
              <w:left w:val="nil"/>
              <w:bottom w:val="single" w:sz="6" w:space="0" w:color="019648"/>
              <w:right w:val="nil"/>
            </w:tcBorders>
          </w:tcPr>
          <w:p w14:paraId="5343EAE8" w14:textId="541D9C1B" w:rsidR="008B24D7" w:rsidRPr="003954DE" w:rsidRDefault="008B24D7" w:rsidP="008B24D7">
            <w:pPr>
              <w:pStyle w:val="TableParagraph"/>
              <w:spacing w:before="76" w:line="249" w:lineRule="auto"/>
              <w:ind w:right="315"/>
              <w:rPr>
                <w:sz w:val="20"/>
                <w:szCs w:val="20"/>
                <w:lang w:val="uk-UA"/>
              </w:rPr>
            </w:pPr>
            <w:r w:rsidRPr="003954DE">
              <w:rPr>
                <w:sz w:val="20"/>
                <w:szCs w:val="20"/>
                <w:lang w:val="uk-UA"/>
              </w:rPr>
              <w:t xml:space="preserve">Адвокація та захист прав </w:t>
            </w:r>
            <w:r w:rsidR="00EB6C68" w:rsidRPr="003954DE">
              <w:rPr>
                <w:sz w:val="20"/>
                <w:szCs w:val="20"/>
                <w:lang w:val="uk-UA"/>
              </w:rPr>
              <w:t>пацієнта</w:t>
            </w:r>
            <w:r w:rsidRPr="003954DE">
              <w:rPr>
                <w:sz w:val="20"/>
                <w:szCs w:val="20"/>
                <w:lang w:val="uk-UA"/>
              </w:rPr>
              <w:t>;</w:t>
            </w:r>
            <w:r w:rsidRPr="003954DE">
              <w:rPr>
                <w:spacing w:val="-15"/>
                <w:sz w:val="20"/>
                <w:szCs w:val="20"/>
                <w:lang w:val="uk-UA"/>
              </w:rPr>
              <w:t xml:space="preserve"> </w:t>
            </w:r>
            <w:r w:rsidRPr="003954DE">
              <w:rPr>
                <w:sz w:val="20"/>
                <w:szCs w:val="20"/>
                <w:lang w:val="uk-UA"/>
              </w:rPr>
              <w:t>Надання догляду на рівні громади;</w:t>
            </w:r>
            <w:r w:rsidRPr="003954DE">
              <w:rPr>
                <w:spacing w:val="-14"/>
                <w:sz w:val="20"/>
                <w:szCs w:val="20"/>
                <w:lang w:val="uk-UA"/>
              </w:rPr>
              <w:t xml:space="preserve"> </w:t>
            </w:r>
            <w:r w:rsidRPr="003954DE">
              <w:rPr>
                <w:sz w:val="20"/>
                <w:szCs w:val="20"/>
                <w:lang w:val="uk-UA"/>
              </w:rPr>
              <w:t>Виявлення та діагностика ТБ</w:t>
            </w:r>
          </w:p>
        </w:tc>
        <w:tc>
          <w:tcPr>
            <w:tcW w:w="2409" w:type="dxa"/>
            <w:tcBorders>
              <w:left w:val="nil"/>
              <w:bottom w:val="single" w:sz="6" w:space="0" w:color="019648"/>
              <w:right w:val="nil"/>
            </w:tcBorders>
          </w:tcPr>
          <w:p w14:paraId="6F97BACB" w14:textId="0D7D0823" w:rsidR="008B24D7" w:rsidRPr="003954DE" w:rsidRDefault="008B24D7" w:rsidP="008B24D7">
            <w:pPr>
              <w:pStyle w:val="TableParagraph"/>
              <w:spacing w:before="76" w:line="249" w:lineRule="auto"/>
              <w:rPr>
                <w:sz w:val="20"/>
                <w:szCs w:val="20"/>
                <w:lang w:val="uk-UA"/>
              </w:rPr>
            </w:pPr>
            <w:r w:rsidRPr="003954DE">
              <w:rPr>
                <w:spacing w:val="-4"/>
                <w:w w:val="105"/>
                <w:sz w:val="20"/>
                <w:szCs w:val="20"/>
                <w:lang w:val="uk-UA"/>
              </w:rPr>
              <w:t>Регіон країн Америки</w:t>
            </w:r>
          </w:p>
        </w:tc>
        <w:tc>
          <w:tcPr>
            <w:tcW w:w="1254" w:type="dxa"/>
            <w:gridSpan w:val="2"/>
            <w:tcBorders>
              <w:left w:val="nil"/>
              <w:bottom w:val="single" w:sz="6" w:space="0" w:color="019648"/>
              <w:right w:val="nil"/>
            </w:tcBorders>
          </w:tcPr>
          <w:p w14:paraId="2AE5E8E5" w14:textId="79C8D8A4" w:rsidR="008B24D7" w:rsidRPr="003954DE" w:rsidRDefault="008B24D7" w:rsidP="008B24D7">
            <w:pPr>
              <w:pStyle w:val="TableParagraph"/>
              <w:spacing w:before="76"/>
              <w:rPr>
                <w:sz w:val="20"/>
                <w:szCs w:val="20"/>
                <w:lang w:val="uk-UA"/>
              </w:rPr>
            </w:pPr>
            <w:r w:rsidRPr="00893C20">
              <w:rPr>
                <w:spacing w:val="-10"/>
                <w:w w:val="110"/>
                <w:sz w:val="20"/>
                <w:szCs w:val="20"/>
                <w:lang w:val="uk-UA"/>
              </w:rPr>
              <w:t>Ч</w:t>
            </w:r>
          </w:p>
        </w:tc>
      </w:tr>
      <w:tr w:rsidR="008B24D7" w:rsidRPr="003954DE" w14:paraId="33294947" w14:textId="77777777" w:rsidTr="007A4BAE">
        <w:trPr>
          <w:gridAfter w:val="1"/>
          <w:wAfter w:w="22" w:type="dxa"/>
          <w:trHeight w:val="647"/>
        </w:trPr>
        <w:tc>
          <w:tcPr>
            <w:tcW w:w="2391" w:type="dxa"/>
            <w:tcBorders>
              <w:top w:val="single" w:sz="6" w:space="0" w:color="019648"/>
              <w:left w:val="nil"/>
              <w:bottom w:val="single" w:sz="6" w:space="0" w:color="019648"/>
              <w:right w:val="nil"/>
            </w:tcBorders>
          </w:tcPr>
          <w:p w14:paraId="7CEDDC21" w14:textId="33187A96" w:rsidR="008B24D7" w:rsidRPr="003954DE" w:rsidRDefault="008B24D7" w:rsidP="008B24D7">
            <w:pPr>
              <w:pStyle w:val="TableParagraph"/>
              <w:spacing w:line="249" w:lineRule="auto"/>
              <w:ind w:left="133"/>
              <w:rPr>
                <w:sz w:val="20"/>
                <w:szCs w:val="20"/>
                <w:lang w:val="uk-UA"/>
              </w:rPr>
            </w:pPr>
            <w:proofErr w:type="spellStart"/>
            <w:r w:rsidRPr="003954DE">
              <w:rPr>
                <w:spacing w:val="-6"/>
                <w:sz w:val="20"/>
                <w:szCs w:val="20"/>
                <w:lang w:val="uk-UA"/>
              </w:rPr>
              <w:t>Джеремайя</w:t>
            </w:r>
            <w:proofErr w:type="spellEnd"/>
            <w:r w:rsidRPr="003954DE">
              <w:rPr>
                <w:spacing w:val="-6"/>
                <w:sz w:val="20"/>
                <w:szCs w:val="20"/>
                <w:lang w:val="uk-UA"/>
              </w:rPr>
              <w:t xml:space="preserve"> </w:t>
            </w:r>
            <w:proofErr w:type="spellStart"/>
            <w:r w:rsidRPr="003954DE">
              <w:rPr>
                <w:spacing w:val="-6"/>
                <w:sz w:val="20"/>
                <w:szCs w:val="20"/>
                <w:lang w:val="uk-UA"/>
              </w:rPr>
              <w:t>Чакая</w:t>
            </w:r>
            <w:proofErr w:type="spellEnd"/>
            <w:r w:rsidRPr="003954DE">
              <w:rPr>
                <w:spacing w:val="-6"/>
                <w:sz w:val="20"/>
                <w:szCs w:val="20"/>
                <w:lang w:val="uk-UA"/>
              </w:rPr>
              <w:t xml:space="preserve"> </w:t>
            </w:r>
            <w:proofErr w:type="spellStart"/>
            <w:r w:rsidRPr="003954DE">
              <w:rPr>
                <w:spacing w:val="-6"/>
                <w:sz w:val="20"/>
                <w:szCs w:val="20"/>
                <w:lang w:val="uk-UA"/>
              </w:rPr>
              <w:t>Мухва</w:t>
            </w:r>
            <w:proofErr w:type="spellEnd"/>
          </w:p>
        </w:tc>
        <w:tc>
          <w:tcPr>
            <w:tcW w:w="3118" w:type="dxa"/>
            <w:tcBorders>
              <w:top w:val="single" w:sz="6" w:space="0" w:color="019648"/>
              <w:left w:val="nil"/>
              <w:bottom w:val="single" w:sz="6" w:space="0" w:color="019648"/>
              <w:right w:val="nil"/>
            </w:tcBorders>
          </w:tcPr>
          <w:p w14:paraId="4C22D426" w14:textId="4322F419" w:rsidR="008B24D7" w:rsidRPr="003954DE" w:rsidRDefault="008B24D7" w:rsidP="008B24D7">
            <w:pPr>
              <w:pStyle w:val="TableParagraph"/>
              <w:spacing w:line="249" w:lineRule="auto"/>
              <w:ind w:right="127"/>
              <w:rPr>
                <w:sz w:val="20"/>
                <w:szCs w:val="20"/>
                <w:lang w:val="uk-UA"/>
              </w:rPr>
            </w:pPr>
            <w:r w:rsidRPr="003954DE">
              <w:rPr>
                <w:sz w:val="20"/>
                <w:szCs w:val="20"/>
                <w:lang w:val="uk-UA"/>
              </w:rPr>
              <w:t>Виявлення та діагностика ТБ / Лікування ТБ</w:t>
            </w:r>
          </w:p>
        </w:tc>
        <w:tc>
          <w:tcPr>
            <w:tcW w:w="2409" w:type="dxa"/>
            <w:tcBorders>
              <w:top w:val="single" w:sz="6" w:space="0" w:color="019648"/>
              <w:left w:val="nil"/>
              <w:bottom w:val="single" w:sz="6" w:space="0" w:color="019648"/>
              <w:right w:val="nil"/>
            </w:tcBorders>
          </w:tcPr>
          <w:p w14:paraId="6F31A0E0" w14:textId="48526A28" w:rsidR="008B24D7" w:rsidRPr="003954DE" w:rsidRDefault="008B24D7" w:rsidP="008B24D7">
            <w:pPr>
              <w:pStyle w:val="TableParagraph"/>
              <w:rPr>
                <w:sz w:val="20"/>
                <w:szCs w:val="20"/>
                <w:lang w:val="uk-UA"/>
              </w:rPr>
            </w:pPr>
            <w:r w:rsidRPr="003954DE">
              <w:rPr>
                <w:sz w:val="20"/>
                <w:szCs w:val="20"/>
                <w:lang w:val="uk-UA"/>
              </w:rPr>
              <w:t>Регіон країн Африки</w:t>
            </w:r>
          </w:p>
        </w:tc>
        <w:tc>
          <w:tcPr>
            <w:tcW w:w="1254" w:type="dxa"/>
            <w:gridSpan w:val="2"/>
            <w:tcBorders>
              <w:top w:val="single" w:sz="6" w:space="0" w:color="019648"/>
              <w:left w:val="nil"/>
              <w:bottom w:val="single" w:sz="6" w:space="0" w:color="019648"/>
              <w:right w:val="nil"/>
            </w:tcBorders>
          </w:tcPr>
          <w:p w14:paraId="5DF5A0DE" w14:textId="160584F6" w:rsidR="008B24D7" w:rsidRPr="003954DE" w:rsidRDefault="008B24D7" w:rsidP="008B24D7">
            <w:pPr>
              <w:pStyle w:val="TableParagraph"/>
              <w:rPr>
                <w:sz w:val="20"/>
                <w:szCs w:val="20"/>
                <w:lang w:val="uk-UA"/>
              </w:rPr>
            </w:pPr>
            <w:r w:rsidRPr="00893C20">
              <w:rPr>
                <w:spacing w:val="-10"/>
                <w:w w:val="110"/>
                <w:sz w:val="20"/>
                <w:szCs w:val="20"/>
                <w:lang w:val="uk-UA"/>
              </w:rPr>
              <w:t>Ч</w:t>
            </w:r>
          </w:p>
        </w:tc>
      </w:tr>
      <w:tr w:rsidR="008B24D7" w:rsidRPr="003954DE" w14:paraId="73EA3D40" w14:textId="77777777" w:rsidTr="007A4BAE">
        <w:trPr>
          <w:gridAfter w:val="1"/>
          <w:wAfter w:w="22" w:type="dxa"/>
          <w:trHeight w:val="647"/>
        </w:trPr>
        <w:tc>
          <w:tcPr>
            <w:tcW w:w="2391" w:type="dxa"/>
            <w:tcBorders>
              <w:top w:val="single" w:sz="6" w:space="0" w:color="019648"/>
              <w:left w:val="nil"/>
              <w:bottom w:val="single" w:sz="6" w:space="0" w:color="019648"/>
              <w:right w:val="nil"/>
            </w:tcBorders>
          </w:tcPr>
          <w:p w14:paraId="51ED0075" w14:textId="5B35BE27" w:rsidR="008B24D7" w:rsidRPr="003954DE" w:rsidRDefault="008B24D7" w:rsidP="008B24D7">
            <w:pPr>
              <w:pStyle w:val="TableParagraph"/>
              <w:ind w:left="133"/>
              <w:rPr>
                <w:sz w:val="20"/>
                <w:szCs w:val="20"/>
                <w:lang w:val="uk-UA"/>
              </w:rPr>
            </w:pPr>
            <w:proofErr w:type="spellStart"/>
            <w:r w:rsidRPr="003954DE">
              <w:rPr>
                <w:spacing w:val="-2"/>
                <w:sz w:val="20"/>
                <w:szCs w:val="20"/>
                <w:lang w:val="uk-UA"/>
              </w:rPr>
              <w:t>Чамреун</w:t>
            </w:r>
            <w:proofErr w:type="spellEnd"/>
            <w:r w:rsidRPr="003954DE">
              <w:rPr>
                <w:spacing w:val="-2"/>
                <w:sz w:val="20"/>
                <w:szCs w:val="20"/>
                <w:lang w:val="uk-UA"/>
              </w:rPr>
              <w:t xml:space="preserve"> Сок Чуб</w:t>
            </w:r>
          </w:p>
        </w:tc>
        <w:tc>
          <w:tcPr>
            <w:tcW w:w="3118" w:type="dxa"/>
            <w:tcBorders>
              <w:top w:val="single" w:sz="6" w:space="0" w:color="019648"/>
              <w:left w:val="nil"/>
              <w:bottom w:val="single" w:sz="6" w:space="0" w:color="019648"/>
              <w:right w:val="nil"/>
            </w:tcBorders>
          </w:tcPr>
          <w:p w14:paraId="0C377647" w14:textId="34E0CEB1" w:rsidR="008B24D7" w:rsidRPr="003954DE" w:rsidRDefault="008B24D7" w:rsidP="008B24D7">
            <w:pPr>
              <w:pStyle w:val="TableParagraph"/>
              <w:rPr>
                <w:sz w:val="20"/>
                <w:szCs w:val="20"/>
                <w:lang w:val="uk-UA"/>
              </w:rPr>
            </w:pPr>
            <w:r w:rsidRPr="003954DE">
              <w:rPr>
                <w:sz w:val="20"/>
                <w:szCs w:val="20"/>
                <w:lang w:val="uk-UA"/>
              </w:rPr>
              <w:t>Адвокація за захист прав пацієнта</w:t>
            </w:r>
          </w:p>
        </w:tc>
        <w:tc>
          <w:tcPr>
            <w:tcW w:w="2409" w:type="dxa"/>
            <w:tcBorders>
              <w:top w:val="single" w:sz="6" w:space="0" w:color="019648"/>
              <w:left w:val="nil"/>
              <w:bottom w:val="single" w:sz="6" w:space="0" w:color="019648"/>
              <w:right w:val="nil"/>
            </w:tcBorders>
          </w:tcPr>
          <w:p w14:paraId="46C1393D" w14:textId="559D5ABE" w:rsidR="008B24D7" w:rsidRPr="003954DE" w:rsidRDefault="008B24D7" w:rsidP="008B24D7">
            <w:pPr>
              <w:pStyle w:val="TableParagraph"/>
              <w:spacing w:line="249" w:lineRule="auto"/>
              <w:ind w:right="59"/>
              <w:rPr>
                <w:sz w:val="20"/>
                <w:szCs w:val="20"/>
                <w:lang w:val="uk-UA"/>
              </w:rPr>
            </w:pPr>
            <w:r w:rsidRPr="003954DE">
              <w:rPr>
                <w:spacing w:val="-2"/>
                <w:sz w:val="20"/>
                <w:szCs w:val="20"/>
                <w:lang w:val="uk-UA"/>
              </w:rPr>
              <w:t>Західний Тихо-океанський регіон</w:t>
            </w:r>
          </w:p>
        </w:tc>
        <w:tc>
          <w:tcPr>
            <w:tcW w:w="1254" w:type="dxa"/>
            <w:gridSpan w:val="2"/>
            <w:tcBorders>
              <w:top w:val="single" w:sz="6" w:space="0" w:color="019648"/>
              <w:left w:val="nil"/>
              <w:bottom w:val="single" w:sz="6" w:space="0" w:color="019648"/>
              <w:right w:val="nil"/>
            </w:tcBorders>
          </w:tcPr>
          <w:p w14:paraId="7DBDC2E1" w14:textId="32AFE91D" w:rsidR="008B24D7" w:rsidRPr="003954DE" w:rsidRDefault="008B24D7" w:rsidP="008B24D7">
            <w:pPr>
              <w:pStyle w:val="TableParagraph"/>
              <w:rPr>
                <w:sz w:val="20"/>
                <w:szCs w:val="20"/>
                <w:lang w:val="uk-UA"/>
              </w:rPr>
            </w:pPr>
            <w:r w:rsidRPr="00893C20">
              <w:rPr>
                <w:spacing w:val="-10"/>
                <w:w w:val="110"/>
                <w:sz w:val="20"/>
                <w:szCs w:val="20"/>
                <w:lang w:val="uk-UA"/>
              </w:rPr>
              <w:t>Ч</w:t>
            </w:r>
          </w:p>
        </w:tc>
      </w:tr>
      <w:tr w:rsidR="00E05B98" w:rsidRPr="003954DE" w14:paraId="7FCD0CD1" w14:textId="77777777" w:rsidTr="007A4BAE">
        <w:trPr>
          <w:gridAfter w:val="1"/>
          <w:wAfter w:w="22" w:type="dxa"/>
          <w:trHeight w:val="647"/>
        </w:trPr>
        <w:tc>
          <w:tcPr>
            <w:tcW w:w="2391" w:type="dxa"/>
            <w:tcBorders>
              <w:top w:val="single" w:sz="6" w:space="0" w:color="019648"/>
              <w:left w:val="nil"/>
              <w:bottom w:val="single" w:sz="6" w:space="0" w:color="019648"/>
              <w:right w:val="nil"/>
            </w:tcBorders>
          </w:tcPr>
          <w:p w14:paraId="7C3CC8D7" w14:textId="111A5C0C" w:rsidR="00E05B98" w:rsidRPr="003954DE" w:rsidRDefault="003954DE">
            <w:pPr>
              <w:pStyle w:val="TableParagraph"/>
              <w:ind w:left="133"/>
              <w:rPr>
                <w:sz w:val="20"/>
                <w:szCs w:val="20"/>
                <w:lang w:val="uk-UA"/>
              </w:rPr>
            </w:pPr>
            <w:r>
              <w:rPr>
                <w:sz w:val="20"/>
                <w:szCs w:val="20"/>
                <w:lang w:val="uk-UA"/>
              </w:rPr>
              <w:t xml:space="preserve">Кетрін </w:t>
            </w:r>
            <w:proofErr w:type="spellStart"/>
            <w:r>
              <w:rPr>
                <w:sz w:val="20"/>
                <w:szCs w:val="20"/>
                <w:lang w:val="uk-UA"/>
              </w:rPr>
              <w:t>Філдінг</w:t>
            </w:r>
            <w:proofErr w:type="spellEnd"/>
          </w:p>
        </w:tc>
        <w:tc>
          <w:tcPr>
            <w:tcW w:w="3118" w:type="dxa"/>
            <w:tcBorders>
              <w:top w:val="single" w:sz="6" w:space="0" w:color="019648"/>
              <w:left w:val="nil"/>
              <w:bottom w:val="single" w:sz="6" w:space="0" w:color="019648"/>
              <w:right w:val="nil"/>
            </w:tcBorders>
          </w:tcPr>
          <w:p w14:paraId="42F1E567" w14:textId="6ED04044" w:rsidR="00E05B98" w:rsidRPr="003954DE" w:rsidRDefault="006A4596">
            <w:pPr>
              <w:pStyle w:val="TableParagraph"/>
              <w:spacing w:line="249" w:lineRule="auto"/>
              <w:ind w:right="127"/>
              <w:rPr>
                <w:sz w:val="20"/>
                <w:szCs w:val="20"/>
                <w:lang w:val="uk-UA"/>
              </w:rPr>
            </w:pPr>
            <w:r w:rsidRPr="003954DE">
              <w:rPr>
                <w:sz w:val="20"/>
                <w:szCs w:val="20"/>
                <w:lang w:val="uk-UA"/>
              </w:rPr>
              <w:t>Епідеміологія ТБ та аналітика даних</w:t>
            </w:r>
          </w:p>
        </w:tc>
        <w:tc>
          <w:tcPr>
            <w:tcW w:w="2409" w:type="dxa"/>
            <w:tcBorders>
              <w:top w:val="single" w:sz="6" w:space="0" w:color="019648"/>
              <w:left w:val="nil"/>
              <w:bottom w:val="single" w:sz="6" w:space="0" w:color="019648"/>
              <w:right w:val="nil"/>
            </w:tcBorders>
          </w:tcPr>
          <w:p w14:paraId="54FA7FA7" w14:textId="6D0BB8DC" w:rsidR="00E05B98" w:rsidRPr="003954DE" w:rsidRDefault="002D14D4">
            <w:pPr>
              <w:pStyle w:val="TableParagraph"/>
              <w:rPr>
                <w:sz w:val="20"/>
                <w:szCs w:val="20"/>
                <w:lang w:val="uk-UA"/>
              </w:rPr>
            </w:pPr>
            <w:r w:rsidRPr="003954DE">
              <w:rPr>
                <w:spacing w:val="-2"/>
                <w:sz w:val="20"/>
                <w:szCs w:val="20"/>
                <w:lang w:val="uk-UA"/>
              </w:rPr>
              <w:t>Європейський регіон</w:t>
            </w:r>
          </w:p>
        </w:tc>
        <w:tc>
          <w:tcPr>
            <w:tcW w:w="1254" w:type="dxa"/>
            <w:gridSpan w:val="2"/>
            <w:tcBorders>
              <w:top w:val="single" w:sz="6" w:space="0" w:color="019648"/>
              <w:left w:val="nil"/>
              <w:bottom w:val="single" w:sz="6" w:space="0" w:color="019648"/>
              <w:right w:val="nil"/>
            </w:tcBorders>
          </w:tcPr>
          <w:p w14:paraId="28FFFE57" w14:textId="7D42EE10" w:rsidR="00E05B98" w:rsidRPr="003954DE" w:rsidRDefault="008B24D7">
            <w:pPr>
              <w:pStyle w:val="TableParagraph"/>
              <w:rPr>
                <w:sz w:val="20"/>
                <w:szCs w:val="20"/>
                <w:lang w:val="uk-UA"/>
              </w:rPr>
            </w:pPr>
            <w:r>
              <w:rPr>
                <w:spacing w:val="-10"/>
                <w:w w:val="90"/>
                <w:sz w:val="20"/>
                <w:szCs w:val="20"/>
                <w:lang w:val="uk-UA"/>
              </w:rPr>
              <w:t>Ж</w:t>
            </w:r>
          </w:p>
        </w:tc>
      </w:tr>
      <w:tr w:rsidR="00E05B98" w:rsidRPr="003954DE" w14:paraId="5BE59F2C" w14:textId="77777777" w:rsidTr="007A4BAE">
        <w:trPr>
          <w:gridAfter w:val="1"/>
          <w:wAfter w:w="22" w:type="dxa"/>
          <w:trHeight w:val="726"/>
        </w:trPr>
        <w:tc>
          <w:tcPr>
            <w:tcW w:w="2391" w:type="dxa"/>
            <w:tcBorders>
              <w:top w:val="single" w:sz="6" w:space="0" w:color="019648"/>
              <w:left w:val="nil"/>
              <w:bottom w:val="single" w:sz="6" w:space="0" w:color="019648"/>
              <w:right w:val="nil"/>
            </w:tcBorders>
          </w:tcPr>
          <w:p w14:paraId="7871BD7C" w14:textId="71BE71BA" w:rsidR="00E05B98" w:rsidRPr="003954DE" w:rsidRDefault="003954DE">
            <w:pPr>
              <w:pStyle w:val="TableParagraph"/>
              <w:ind w:left="133"/>
              <w:rPr>
                <w:sz w:val="20"/>
                <w:szCs w:val="20"/>
                <w:lang w:val="uk-UA"/>
              </w:rPr>
            </w:pPr>
            <w:proofErr w:type="spellStart"/>
            <w:r w:rsidRPr="003954DE">
              <w:rPr>
                <w:spacing w:val="-2"/>
                <w:sz w:val="20"/>
                <w:szCs w:val="20"/>
                <w:lang w:val="uk-UA"/>
              </w:rPr>
              <w:t>Руміна</w:t>
            </w:r>
            <w:proofErr w:type="spellEnd"/>
            <w:r w:rsidRPr="003954DE">
              <w:rPr>
                <w:spacing w:val="-2"/>
                <w:sz w:val="20"/>
                <w:szCs w:val="20"/>
                <w:lang w:val="uk-UA"/>
              </w:rPr>
              <w:t xml:space="preserve"> Хасан</w:t>
            </w:r>
          </w:p>
        </w:tc>
        <w:tc>
          <w:tcPr>
            <w:tcW w:w="3118" w:type="dxa"/>
            <w:tcBorders>
              <w:top w:val="single" w:sz="6" w:space="0" w:color="019648"/>
              <w:left w:val="nil"/>
              <w:bottom w:val="single" w:sz="6" w:space="0" w:color="019648"/>
              <w:right w:val="nil"/>
            </w:tcBorders>
          </w:tcPr>
          <w:p w14:paraId="3E7F3F26" w14:textId="3113E94E" w:rsidR="00E05B98" w:rsidRPr="003954DE" w:rsidRDefault="006A4596">
            <w:pPr>
              <w:pStyle w:val="TableParagraph"/>
              <w:rPr>
                <w:sz w:val="20"/>
                <w:szCs w:val="20"/>
                <w:lang w:val="uk-UA"/>
              </w:rPr>
            </w:pPr>
            <w:r w:rsidRPr="003954DE">
              <w:rPr>
                <w:sz w:val="20"/>
                <w:szCs w:val="20"/>
                <w:lang w:val="uk-UA"/>
              </w:rPr>
              <w:t>Лабораторна діагностика ТБ</w:t>
            </w:r>
          </w:p>
        </w:tc>
        <w:tc>
          <w:tcPr>
            <w:tcW w:w="2409" w:type="dxa"/>
            <w:tcBorders>
              <w:top w:val="single" w:sz="6" w:space="0" w:color="019648"/>
              <w:left w:val="nil"/>
              <w:bottom w:val="single" w:sz="6" w:space="0" w:color="019648"/>
              <w:right w:val="nil"/>
            </w:tcBorders>
          </w:tcPr>
          <w:p w14:paraId="32A66D72" w14:textId="60C1AE78" w:rsidR="00E05B98" w:rsidRPr="003954DE" w:rsidRDefault="00FA7096" w:rsidP="00FA7096">
            <w:pPr>
              <w:pStyle w:val="TableParagraph"/>
              <w:spacing w:line="249" w:lineRule="auto"/>
              <w:ind w:right="2"/>
              <w:rPr>
                <w:sz w:val="20"/>
                <w:szCs w:val="20"/>
                <w:lang w:val="uk-UA"/>
              </w:rPr>
            </w:pPr>
            <w:r w:rsidRPr="003954DE">
              <w:rPr>
                <w:spacing w:val="-2"/>
                <w:sz w:val="20"/>
                <w:szCs w:val="20"/>
                <w:lang w:val="uk-UA"/>
              </w:rPr>
              <w:t xml:space="preserve">Східний </w:t>
            </w:r>
            <w:proofErr w:type="spellStart"/>
            <w:r w:rsidRPr="003954DE">
              <w:rPr>
                <w:spacing w:val="-2"/>
                <w:sz w:val="20"/>
                <w:szCs w:val="20"/>
                <w:lang w:val="uk-UA"/>
              </w:rPr>
              <w:t>Середземно</w:t>
            </w:r>
            <w:proofErr w:type="spellEnd"/>
            <w:r w:rsidRPr="003954DE">
              <w:rPr>
                <w:spacing w:val="-2"/>
                <w:sz w:val="20"/>
                <w:szCs w:val="20"/>
                <w:lang w:val="uk-UA"/>
              </w:rPr>
              <w:t>-морський регіон</w:t>
            </w:r>
          </w:p>
        </w:tc>
        <w:tc>
          <w:tcPr>
            <w:tcW w:w="1254" w:type="dxa"/>
            <w:gridSpan w:val="2"/>
            <w:tcBorders>
              <w:top w:val="single" w:sz="6" w:space="0" w:color="019648"/>
              <w:left w:val="nil"/>
              <w:bottom w:val="single" w:sz="6" w:space="0" w:color="019648"/>
              <w:right w:val="nil"/>
            </w:tcBorders>
          </w:tcPr>
          <w:p w14:paraId="35C183AF" w14:textId="480494DA" w:rsidR="00E05B98" w:rsidRPr="003954DE" w:rsidRDefault="008B24D7">
            <w:pPr>
              <w:pStyle w:val="TableParagraph"/>
              <w:rPr>
                <w:sz w:val="20"/>
                <w:szCs w:val="20"/>
                <w:lang w:val="uk-UA"/>
              </w:rPr>
            </w:pPr>
            <w:r>
              <w:rPr>
                <w:spacing w:val="-10"/>
                <w:w w:val="90"/>
                <w:sz w:val="20"/>
                <w:szCs w:val="20"/>
                <w:lang w:val="uk-UA"/>
              </w:rPr>
              <w:t>Ж</w:t>
            </w:r>
          </w:p>
        </w:tc>
      </w:tr>
      <w:tr w:rsidR="008B24D7" w:rsidRPr="003954DE" w14:paraId="6C415D2B" w14:textId="77777777" w:rsidTr="007A4BAE">
        <w:trPr>
          <w:gridAfter w:val="1"/>
          <w:wAfter w:w="22" w:type="dxa"/>
          <w:trHeight w:val="387"/>
        </w:trPr>
        <w:tc>
          <w:tcPr>
            <w:tcW w:w="2391" w:type="dxa"/>
            <w:tcBorders>
              <w:top w:val="single" w:sz="6" w:space="0" w:color="019648"/>
              <w:left w:val="nil"/>
              <w:bottom w:val="single" w:sz="6" w:space="0" w:color="019648"/>
              <w:right w:val="nil"/>
            </w:tcBorders>
          </w:tcPr>
          <w:p w14:paraId="13184995" w14:textId="0E63C204" w:rsidR="008B24D7" w:rsidRPr="003954DE" w:rsidRDefault="008B24D7" w:rsidP="008B24D7">
            <w:pPr>
              <w:pStyle w:val="TableParagraph"/>
              <w:ind w:left="133"/>
              <w:rPr>
                <w:sz w:val="20"/>
                <w:szCs w:val="20"/>
                <w:lang w:val="uk-UA"/>
              </w:rPr>
            </w:pPr>
            <w:r w:rsidRPr="003954DE">
              <w:rPr>
                <w:sz w:val="20"/>
                <w:szCs w:val="20"/>
                <w:lang w:val="uk-UA"/>
              </w:rPr>
              <w:t xml:space="preserve">Конто </w:t>
            </w:r>
            <w:proofErr w:type="spellStart"/>
            <w:r w:rsidRPr="003954DE">
              <w:rPr>
                <w:sz w:val="20"/>
                <w:szCs w:val="20"/>
                <w:lang w:val="uk-UA"/>
              </w:rPr>
              <w:t>Гіслейн</w:t>
            </w:r>
            <w:proofErr w:type="spellEnd"/>
            <w:r w:rsidRPr="003954DE">
              <w:rPr>
                <w:sz w:val="20"/>
                <w:szCs w:val="20"/>
                <w:lang w:val="uk-UA"/>
              </w:rPr>
              <w:t xml:space="preserve"> </w:t>
            </w:r>
            <w:proofErr w:type="spellStart"/>
            <w:r w:rsidRPr="003954DE">
              <w:rPr>
                <w:sz w:val="20"/>
                <w:szCs w:val="20"/>
                <w:lang w:val="uk-UA"/>
              </w:rPr>
              <w:t>Коура</w:t>
            </w:r>
            <w:proofErr w:type="spellEnd"/>
          </w:p>
        </w:tc>
        <w:tc>
          <w:tcPr>
            <w:tcW w:w="3118" w:type="dxa"/>
            <w:tcBorders>
              <w:top w:val="single" w:sz="6" w:space="0" w:color="019648"/>
              <w:left w:val="nil"/>
              <w:bottom w:val="single" w:sz="6" w:space="0" w:color="019648"/>
              <w:right w:val="nil"/>
            </w:tcBorders>
          </w:tcPr>
          <w:p w14:paraId="25CB9081" w14:textId="0592C3CA" w:rsidR="008B24D7" w:rsidRPr="003954DE" w:rsidRDefault="008B24D7" w:rsidP="008B24D7">
            <w:pPr>
              <w:pStyle w:val="TableParagraph"/>
              <w:rPr>
                <w:sz w:val="20"/>
                <w:szCs w:val="20"/>
                <w:lang w:val="uk-UA"/>
              </w:rPr>
            </w:pPr>
            <w:r w:rsidRPr="003954DE">
              <w:rPr>
                <w:spacing w:val="-2"/>
                <w:sz w:val="20"/>
                <w:szCs w:val="20"/>
                <w:lang w:val="uk-UA"/>
              </w:rPr>
              <w:t>Лікування ТБ</w:t>
            </w:r>
          </w:p>
        </w:tc>
        <w:tc>
          <w:tcPr>
            <w:tcW w:w="2409" w:type="dxa"/>
            <w:tcBorders>
              <w:top w:val="single" w:sz="6" w:space="0" w:color="019648"/>
              <w:left w:val="nil"/>
              <w:bottom w:val="single" w:sz="6" w:space="0" w:color="019648"/>
              <w:right w:val="nil"/>
            </w:tcBorders>
          </w:tcPr>
          <w:p w14:paraId="0D736142" w14:textId="5908CD1A" w:rsidR="008B24D7" w:rsidRPr="003954DE" w:rsidRDefault="008B24D7" w:rsidP="008B24D7">
            <w:pPr>
              <w:pStyle w:val="TableParagraph"/>
              <w:rPr>
                <w:sz w:val="20"/>
                <w:szCs w:val="20"/>
                <w:lang w:val="uk-UA"/>
              </w:rPr>
            </w:pPr>
            <w:r w:rsidRPr="003954DE">
              <w:rPr>
                <w:spacing w:val="-2"/>
                <w:sz w:val="20"/>
                <w:szCs w:val="20"/>
                <w:lang w:val="uk-UA"/>
              </w:rPr>
              <w:t>Європейський регіон</w:t>
            </w:r>
          </w:p>
        </w:tc>
        <w:tc>
          <w:tcPr>
            <w:tcW w:w="1254" w:type="dxa"/>
            <w:gridSpan w:val="2"/>
            <w:tcBorders>
              <w:top w:val="single" w:sz="6" w:space="0" w:color="019648"/>
              <w:left w:val="nil"/>
              <w:bottom w:val="single" w:sz="6" w:space="0" w:color="019648"/>
              <w:right w:val="nil"/>
            </w:tcBorders>
          </w:tcPr>
          <w:p w14:paraId="1E66E3E4" w14:textId="438875EA" w:rsidR="008B24D7" w:rsidRPr="003954DE" w:rsidRDefault="008B24D7" w:rsidP="008B24D7">
            <w:pPr>
              <w:pStyle w:val="TableParagraph"/>
              <w:rPr>
                <w:sz w:val="20"/>
                <w:szCs w:val="20"/>
                <w:lang w:val="uk-UA"/>
              </w:rPr>
            </w:pPr>
            <w:r w:rsidRPr="00A34290">
              <w:rPr>
                <w:spacing w:val="-10"/>
                <w:w w:val="110"/>
                <w:sz w:val="20"/>
                <w:szCs w:val="20"/>
                <w:lang w:val="uk-UA"/>
              </w:rPr>
              <w:t>Ч</w:t>
            </w:r>
          </w:p>
        </w:tc>
      </w:tr>
      <w:tr w:rsidR="008B24D7" w:rsidRPr="003954DE" w14:paraId="0EC4B757" w14:textId="77777777" w:rsidTr="007A4BAE">
        <w:trPr>
          <w:gridAfter w:val="1"/>
          <w:wAfter w:w="22" w:type="dxa"/>
          <w:trHeight w:val="647"/>
        </w:trPr>
        <w:tc>
          <w:tcPr>
            <w:tcW w:w="2391" w:type="dxa"/>
            <w:tcBorders>
              <w:top w:val="single" w:sz="6" w:space="0" w:color="019648"/>
              <w:left w:val="nil"/>
              <w:bottom w:val="single" w:sz="6" w:space="0" w:color="019648"/>
              <w:right w:val="nil"/>
            </w:tcBorders>
          </w:tcPr>
          <w:p w14:paraId="22A0356E" w14:textId="316AFA6B" w:rsidR="008B24D7" w:rsidRPr="003954DE" w:rsidRDefault="008B24D7" w:rsidP="008B24D7">
            <w:pPr>
              <w:pStyle w:val="TableParagraph"/>
              <w:ind w:left="133"/>
              <w:rPr>
                <w:sz w:val="20"/>
                <w:szCs w:val="20"/>
                <w:lang w:val="uk-UA"/>
              </w:rPr>
            </w:pPr>
            <w:r w:rsidRPr="007A4BAE">
              <w:rPr>
                <w:sz w:val="20"/>
                <w:szCs w:val="20"/>
                <w:lang w:val="uk-UA"/>
              </w:rPr>
              <w:t xml:space="preserve">Андрій </w:t>
            </w:r>
            <w:proofErr w:type="spellStart"/>
            <w:r w:rsidRPr="007A4BAE">
              <w:rPr>
                <w:sz w:val="20"/>
                <w:szCs w:val="20"/>
                <w:lang w:val="uk-UA"/>
              </w:rPr>
              <w:t>Мар'яндишев</w:t>
            </w:r>
            <w:proofErr w:type="spellEnd"/>
          </w:p>
        </w:tc>
        <w:tc>
          <w:tcPr>
            <w:tcW w:w="3118" w:type="dxa"/>
            <w:tcBorders>
              <w:top w:val="single" w:sz="6" w:space="0" w:color="019648"/>
              <w:left w:val="nil"/>
              <w:bottom w:val="single" w:sz="6" w:space="0" w:color="019648"/>
              <w:right w:val="nil"/>
            </w:tcBorders>
          </w:tcPr>
          <w:p w14:paraId="772E8BB5" w14:textId="5D2FA9CF" w:rsidR="008B24D7" w:rsidRPr="003954DE" w:rsidRDefault="008B24D7" w:rsidP="008B24D7">
            <w:pPr>
              <w:pStyle w:val="TableParagraph"/>
              <w:spacing w:line="249" w:lineRule="auto"/>
              <w:ind w:right="127"/>
              <w:rPr>
                <w:sz w:val="20"/>
                <w:szCs w:val="20"/>
                <w:lang w:val="uk-UA"/>
              </w:rPr>
            </w:pPr>
            <w:r w:rsidRPr="003954DE">
              <w:rPr>
                <w:sz w:val="20"/>
                <w:szCs w:val="20"/>
                <w:lang w:val="uk-UA"/>
              </w:rPr>
              <w:t>Клінічне ведення випадків та лікування ТБ</w:t>
            </w:r>
          </w:p>
        </w:tc>
        <w:tc>
          <w:tcPr>
            <w:tcW w:w="2409" w:type="dxa"/>
            <w:tcBorders>
              <w:top w:val="single" w:sz="6" w:space="0" w:color="019648"/>
              <w:left w:val="nil"/>
              <w:bottom w:val="single" w:sz="6" w:space="0" w:color="019648"/>
              <w:right w:val="nil"/>
            </w:tcBorders>
          </w:tcPr>
          <w:p w14:paraId="4FB29B49" w14:textId="49E2767F" w:rsidR="008B24D7" w:rsidRPr="003954DE" w:rsidRDefault="008B24D7" w:rsidP="008B24D7">
            <w:pPr>
              <w:pStyle w:val="TableParagraph"/>
              <w:rPr>
                <w:sz w:val="20"/>
                <w:szCs w:val="20"/>
                <w:lang w:val="uk-UA"/>
              </w:rPr>
            </w:pPr>
            <w:r w:rsidRPr="003954DE">
              <w:rPr>
                <w:spacing w:val="-2"/>
                <w:sz w:val="20"/>
                <w:szCs w:val="20"/>
                <w:lang w:val="uk-UA"/>
              </w:rPr>
              <w:t>Європейський регіон</w:t>
            </w:r>
          </w:p>
        </w:tc>
        <w:tc>
          <w:tcPr>
            <w:tcW w:w="1254" w:type="dxa"/>
            <w:gridSpan w:val="2"/>
            <w:tcBorders>
              <w:top w:val="single" w:sz="6" w:space="0" w:color="019648"/>
              <w:left w:val="nil"/>
              <w:bottom w:val="single" w:sz="6" w:space="0" w:color="019648"/>
              <w:right w:val="nil"/>
            </w:tcBorders>
          </w:tcPr>
          <w:p w14:paraId="11FC152A" w14:textId="27A277D5" w:rsidR="008B24D7" w:rsidRPr="003954DE" w:rsidRDefault="008B24D7" w:rsidP="008B24D7">
            <w:pPr>
              <w:pStyle w:val="TableParagraph"/>
              <w:rPr>
                <w:sz w:val="20"/>
                <w:szCs w:val="20"/>
                <w:lang w:val="uk-UA"/>
              </w:rPr>
            </w:pPr>
            <w:r w:rsidRPr="00A34290">
              <w:rPr>
                <w:spacing w:val="-10"/>
                <w:w w:val="110"/>
                <w:sz w:val="20"/>
                <w:szCs w:val="20"/>
                <w:lang w:val="uk-UA"/>
              </w:rPr>
              <w:t>Ч</w:t>
            </w:r>
          </w:p>
        </w:tc>
      </w:tr>
      <w:tr w:rsidR="008B24D7" w:rsidRPr="003954DE" w14:paraId="524E3994" w14:textId="77777777" w:rsidTr="007A4BAE">
        <w:trPr>
          <w:gridAfter w:val="1"/>
          <w:wAfter w:w="22" w:type="dxa"/>
          <w:trHeight w:val="387"/>
        </w:trPr>
        <w:tc>
          <w:tcPr>
            <w:tcW w:w="2391" w:type="dxa"/>
            <w:tcBorders>
              <w:top w:val="single" w:sz="6" w:space="0" w:color="019648"/>
              <w:left w:val="nil"/>
              <w:bottom w:val="single" w:sz="6" w:space="0" w:color="019648"/>
              <w:right w:val="nil"/>
            </w:tcBorders>
          </w:tcPr>
          <w:p w14:paraId="2BBA383C" w14:textId="18C72BBE" w:rsidR="008B24D7" w:rsidRPr="003954DE" w:rsidRDefault="008B24D7" w:rsidP="008B24D7">
            <w:pPr>
              <w:pStyle w:val="TableParagraph"/>
              <w:ind w:left="133"/>
              <w:rPr>
                <w:sz w:val="20"/>
                <w:szCs w:val="20"/>
                <w:lang w:val="uk-UA"/>
              </w:rPr>
            </w:pPr>
            <w:r w:rsidRPr="003954DE">
              <w:rPr>
                <w:w w:val="105"/>
                <w:sz w:val="20"/>
                <w:szCs w:val="20"/>
                <w:lang w:val="uk-UA"/>
              </w:rPr>
              <w:t xml:space="preserve">Норберт </w:t>
            </w:r>
            <w:proofErr w:type="spellStart"/>
            <w:r w:rsidRPr="003954DE">
              <w:rPr>
                <w:w w:val="105"/>
                <w:sz w:val="20"/>
                <w:szCs w:val="20"/>
                <w:lang w:val="uk-UA"/>
              </w:rPr>
              <w:t>Нджека</w:t>
            </w:r>
            <w:proofErr w:type="spellEnd"/>
          </w:p>
        </w:tc>
        <w:tc>
          <w:tcPr>
            <w:tcW w:w="3118" w:type="dxa"/>
            <w:tcBorders>
              <w:top w:val="single" w:sz="6" w:space="0" w:color="019648"/>
              <w:left w:val="nil"/>
              <w:bottom w:val="single" w:sz="6" w:space="0" w:color="019648"/>
              <w:right w:val="nil"/>
            </w:tcBorders>
          </w:tcPr>
          <w:p w14:paraId="220C0F0B" w14:textId="7FD2838C" w:rsidR="008B24D7" w:rsidRPr="003954DE" w:rsidRDefault="008B24D7" w:rsidP="008B24D7">
            <w:pPr>
              <w:pStyle w:val="TableParagraph"/>
              <w:rPr>
                <w:sz w:val="20"/>
                <w:szCs w:val="20"/>
                <w:lang w:val="uk-UA"/>
              </w:rPr>
            </w:pPr>
            <w:r w:rsidRPr="003954DE">
              <w:rPr>
                <w:sz w:val="20"/>
                <w:szCs w:val="20"/>
                <w:lang w:val="uk-UA"/>
              </w:rPr>
              <w:t>Управління програмою боротьби з ТБ</w:t>
            </w:r>
          </w:p>
        </w:tc>
        <w:tc>
          <w:tcPr>
            <w:tcW w:w="2409" w:type="dxa"/>
            <w:tcBorders>
              <w:top w:val="single" w:sz="6" w:space="0" w:color="019648"/>
              <w:left w:val="nil"/>
              <w:bottom w:val="single" w:sz="6" w:space="0" w:color="019648"/>
              <w:right w:val="nil"/>
            </w:tcBorders>
          </w:tcPr>
          <w:p w14:paraId="43A9EA25" w14:textId="5AE802EB" w:rsidR="008B24D7" w:rsidRPr="003954DE" w:rsidRDefault="008B24D7" w:rsidP="008B24D7">
            <w:pPr>
              <w:pStyle w:val="TableParagraph"/>
              <w:rPr>
                <w:sz w:val="20"/>
                <w:szCs w:val="20"/>
                <w:lang w:val="uk-UA"/>
              </w:rPr>
            </w:pPr>
            <w:r w:rsidRPr="003954DE">
              <w:rPr>
                <w:sz w:val="20"/>
                <w:szCs w:val="20"/>
                <w:lang w:val="uk-UA"/>
              </w:rPr>
              <w:t>Регіон країн Африки</w:t>
            </w:r>
          </w:p>
        </w:tc>
        <w:tc>
          <w:tcPr>
            <w:tcW w:w="1254" w:type="dxa"/>
            <w:gridSpan w:val="2"/>
            <w:tcBorders>
              <w:top w:val="single" w:sz="6" w:space="0" w:color="019648"/>
              <w:left w:val="nil"/>
              <w:bottom w:val="single" w:sz="6" w:space="0" w:color="019648"/>
              <w:right w:val="nil"/>
            </w:tcBorders>
          </w:tcPr>
          <w:p w14:paraId="68885C6A" w14:textId="788E3B2F" w:rsidR="008B24D7" w:rsidRPr="003954DE" w:rsidRDefault="008B24D7" w:rsidP="008B24D7">
            <w:pPr>
              <w:pStyle w:val="TableParagraph"/>
              <w:rPr>
                <w:sz w:val="20"/>
                <w:szCs w:val="20"/>
                <w:lang w:val="uk-UA"/>
              </w:rPr>
            </w:pPr>
            <w:r w:rsidRPr="00A34290">
              <w:rPr>
                <w:spacing w:val="-10"/>
                <w:w w:val="110"/>
                <w:sz w:val="20"/>
                <w:szCs w:val="20"/>
                <w:lang w:val="uk-UA"/>
              </w:rPr>
              <w:t>Ч</w:t>
            </w:r>
          </w:p>
        </w:tc>
      </w:tr>
      <w:tr w:rsidR="008B24D7" w:rsidRPr="003954DE" w14:paraId="06B6C7E2" w14:textId="77777777" w:rsidTr="007A4BAE">
        <w:trPr>
          <w:gridAfter w:val="1"/>
          <w:wAfter w:w="22" w:type="dxa"/>
          <w:trHeight w:val="647"/>
        </w:trPr>
        <w:tc>
          <w:tcPr>
            <w:tcW w:w="2391" w:type="dxa"/>
            <w:tcBorders>
              <w:top w:val="single" w:sz="6" w:space="0" w:color="019648"/>
              <w:left w:val="nil"/>
              <w:bottom w:val="single" w:sz="6" w:space="0" w:color="019648"/>
              <w:right w:val="nil"/>
            </w:tcBorders>
          </w:tcPr>
          <w:p w14:paraId="1E03D243" w14:textId="1D70559C" w:rsidR="008B24D7" w:rsidRPr="003954DE" w:rsidRDefault="008B24D7" w:rsidP="008B24D7">
            <w:pPr>
              <w:pStyle w:val="TableParagraph"/>
              <w:ind w:left="133"/>
              <w:rPr>
                <w:sz w:val="20"/>
                <w:szCs w:val="20"/>
                <w:lang w:val="uk-UA"/>
              </w:rPr>
            </w:pPr>
            <w:r w:rsidRPr="003954DE">
              <w:rPr>
                <w:spacing w:val="-4"/>
                <w:sz w:val="20"/>
                <w:szCs w:val="20"/>
                <w:lang w:val="uk-UA"/>
              </w:rPr>
              <w:t>Томас Шинн</w:t>
            </w:r>
            <w:r w:rsidR="001E18F2">
              <w:rPr>
                <w:spacing w:val="-4"/>
                <w:sz w:val="20"/>
                <w:szCs w:val="20"/>
                <w:lang w:val="uk-UA"/>
              </w:rPr>
              <w:t>и</w:t>
            </w:r>
            <w:r w:rsidRPr="003954DE">
              <w:rPr>
                <w:spacing w:val="-4"/>
                <w:sz w:val="20"/>
                <w:szCs w:val="20"/>
                <w:lang w:val="uk-UA"/>
              </w:rPr>
              <w:t xml:space="preserve">к </w:t>
            </w:r>
          </w:p>
        </w:tc>
        <w:tc>
          <w:tcPr>
            <w:tcW w:w="3118" w:type="dxa"/>
            <w:tcBorders>
              <w:top w:val="single" w:sz="6" w:space="0" w:color="019648"/>
              <w:left w:val="nil"/>
              <w:bottom w:val="single" w:sz="6" w:space="0" w:color="019648"/>
              <w:right w:val="nil"/>
            </w:tcBorders>
          </w:tcPr>
          <w:p w14:paraId="13A6129C" w14:textId="77D7397B" w:rsidR="008B24D7" w:rsidRPr="003954DE" w:rsidRDefault="008B24D7" w:rsidP="008B24D7">
            <w:pPr>
              <w:pStyle w:val="TableParagraph"/>
              <w:rPr>
                <w:sz w:val="20"/>
                <w:szCs w:val="20"/>
                <w:lang w:val="uk-UA"/>
              </w:rPr>
            </w:pPr>
            <w:r w:rsidRPr="003954DE">
              <w:rPr>
                <w:sz w:val="20"/>
                <w:szCs w:val="20"/>
                <w:lang w:val="uk-UA"/>
              </w:rPr>
              <w:t>Лабораторна діагностика ТБ</w:t>
            </w:r>
          </w:p>
        </w:tc>
        <w:tc>
          <w:tcPr>
            <w:tcW w:w="2409" w:type="dxa"/>
            <w:tcBorders>
              <w:top w:val="single" w:sz="6" w:space="0" w:color="019648"/>
              <w:left w:val="nil"/>
              <w:bottom w:val="single" w:sz="6" w:space="0" w:color="019648"/>
              <w:right w:val="nil"/>
            </w:tcBorders>
          </w:tcPr>
          <w:p w14:paraId="65249BF9" w14:textId="7AF12071" w:rsidR="008B24D7" w:rsidRPr="003954DE" w:rsidRDefault="008B24D7" w:rsidP="008B24D7">
            <w:pPr>
              <w:pStyle w:val="TableParagraph"/>
              <w:spacing w:line="249" w:lineRule="auto"/>
              <w:rPr>
                <w:sz w:val="20"/>
                <w:szCs w:val="20"/>
                <w:lang w:val="uk-UA"/>
              </w:rPr>
            </w:pPr>
            <w:r w:rsidRPr="003954DE">
              <w:rPr>
                <w:spacing w:val="-4"/>
                <w:w w:val="105"/>
                <w:sz w:val="20"/>
                <w:szCs w:val="20"/>
                <w:lang w:val="uk-UA"/>
              </w:rPr>
              <w:t>Регіон країн Америки</w:t>
            </w:r>
          </w:p>
        </w:tc>
        <w:tc>
          <w:tcPr>
            <w:tcW w:w="1254" w:type="dxa"/>
            <w:gridSpan w:val="2"/>
            <w:tcBorders>
              <w:top w:val="single" w:sz="6" w:space="0" w:color="019648"/>
              <w:left w:val="nil"/>
              <w:bottom w:val="single" w:sz="6" w:space="0" w:color="019648"/>
              <w:right w:val="nil"/>
            </w:tcBorders>
          </w:tcPr>
          <w:p w14:paraId="48808D3A" w14:textId="1AE074A9" w:rsidR="008B24D7" w:rsidRPr="003954DE" w:rsidRDefault="008B24D7" w:rsidP="008B24D7">
            <w:pPr>
              <w:pStyle w:val="TableParagraph"/>
              <w:rPr>
                <w:sz w:val="20"/>
                <w:szCs w:val="20"/>
                <w:lang w:val="uk-UA"/>
              </w:rPr>
            </w:pPr>
            <w:r w:rsidRPr="00A34290">
              <w:rPr>
                <w:spacing w:val="-10"/>
                <w:w w:val="110"/>
                <w:sz w:val="20"/>
                <w:szCs w:val="20"/>
                <w:lang w:val="uk-UA"/>
              </w:rPr>
              <w:t>Ч</w:t>
            </w:r>
          </w:p>
        </w:tc>
      </w:tr>
      <w:tr w:rsidR="008B24D7" w:rsidRPr="003954DE" w14:paraId="1AF849C1" w14:textId="77777777" w:rsidTr="007A4BAE">
        <w:trPr>
          <w:gridAfter w:val="1"/>
          <w:wAfter w:w="22" w:type="dxa"/>
          <w:trHeight w:val="647"/>
        </w:trPr>
        <w:tc>
          <w:tcPr>
            <w:tcW w:w="2391" w:type="dxa"/>
            <w:tcBorders>
              <w:top w:val="single" w:sz="6" w:space="0" w:color="019648"/>
              <w:left w:val="nil"/>
              <w:bottom w:val="single" w:sz="6" w:space="0" w:color="019648"/>
              <w:right w:val="nil"/>
            </w:tcBorders>
          </w:tcPr>
          <w:p w14:paraId="2D1EEC77" w14:textId="4B537390" w:rsidR="008B24D7" w:rsidRPr="003954DE" w:rsidRDefault="008B24D7" w:rsidP="008B24D7">
            <w:pPr>
              <w:pStyle w:val="TableParagraph"/>
              <w:ind w:left="133"/>
              <w:rPr>
                <w:sz w:val="20"/>
                <w:szCs w:val="20"/>
                <w:lang w:val="uk-UA"/>
              </w:rPr>
            </w:pPr>
            <w:proofErr w:type="spellStart"/>
            <w:r w:rsidRPr="003954DE">
              <w:rPr>
                <w:sz w:val="20"/>
                <w:szCs w:val="20"/>
                <w:lang w:val="uk-UA"/>
              </w:rPr>
              <w:t>Ходжун</w:t>
            </w:r>
            <w:proofErr w:type="spellEnd"/>
            <w:r w:rsidRPr="003954DE">
              <w:rPr>
                <w:sz w:val="20"/>
                <w:szCs w:val="20"/>
                <w:lang w:val="uk-UA"/>
              </w:rPr>
              <w:t xml:space="preserve"> Сон</w:t>
            </w:r>
          </w:p>
        </w:tc>
        <w:tc>
          <w:tcPr>
            <w:tcW w:w="3118" w:type="dxa"/>
            <w:tcBorders>
              <w:top w:val="single" w:sz="6" w:space="0" w:color="019648"/>
              <w:left w:val="nil"/>
              <w:bottom w:val="single" w:sz="6" w:space="0" w:color="019648"/>
              <w:right w:val="nil"/>
            </w:tcBorders>
          </w:tcPr>
          <w:p w14:paraId="16625006" w14:textId="6294ADC4" w:rsidR="008B24D7" w:rsidRPr="003954DE" w:rsidRDefault="008B24D7" w:rsidP="008B24D7">
            <w:pPr>
              <w:pStyle w:val="TableParagraph"/>
              <w:rPr>
                <w:sz w:val="20"/>
                <w:szCs w:val="20"/>
                <w:lang w:val="uk-UA"/>
              </w:rPr>
            </w:pPr>
            <w:r w:rsidRPr="003954DE">
              <w:rPr>
                <w:sz w:val="20"/>
                <w:szCs w:val="20"/>
                <w:lang w:val="uk-UA"/>
              </w:rPr>
              <w:t>Питання економіки у сфера охорони здоров’я</w:t>
            </w:r>
          </w:p>
        </w:tc>
        <w:tc>
          <w:tcPr>
            <w:tcW w:w="2409" w:type="dxa"/>
            <w:tcBorders>
              <w:top w:val="single" w:sz="6" w:space="0" w:color="019648"/>
              <w:left w:val="nil"/>
              <w:bottom w:val="single" w:sz="6" w:space="0" w:color="019648"/>
              <w:right w:val="nil"/>
            </w:tcBorders>
          </w:tcPr>
          <w:p w14:paraId="54A4B1E6" w14:textId="2AE4D05D" w:rsidR="008B24D7" w:rsidRPr="003954DE" w:rsidRDefault="008B24D7" w:rsidP="008B24D7">
            <w:pPr>
              <w:pStyle w:val="TableParagraph"/>
              <w:spacing w:line="249" w:lineRule="auto"/>
              <w:rPr>
                <w:sz w:val="20"/>
                <w:szCs w:val="20"/>
                <w:lang w:val="uk-UA"/>
              </w:rPr>
            </w:pPr>
            <w:r w:rsidRPr="003954DE">
              <w:rPr>
                <w:spacing w:val="-2"/>
                <w:sz w:val="20"/>
                <w:szCs w:val="20"/>
                <w:lang w:val="uk-UA"/>
              </w:rPr>
              <w:t>Західний Тихо-океанський регіон</w:t>
            </w:r>
          </w:p>
        </w:tc>
        <w:tc>
          <w:tcPr>
            <w:tcW w:w="1254" w:type="dxa"/>
            <w:gridSpan w:val="2"/>
            <w:tcBorders>
              <w:top w:val="single" w:sz="6" w:space="0" w:color="019648"/>
              <w:left w:val="nil"/>
              <w:bottom w:val="single" w:sz="6" w:space="0" w:color="019648"/>
              <w:right w:val="nil"/>
            </w:tcBorders>
          </w:tcPr>
          <w:p w14:paraId="4D49957A" w14:textId="7B8D3E7A" w:rsidR="008B24D7" w:rsidRPr="003954DE" w:rsidRDefault="008B24D7" w:rsidP="008B24D7">
            <w:pPr>
              <w:pStyle w:val="TableParagraph"/>
              <w:rPr>
                <w:sz w:val="20"/>
                <w:szCs w:val="20"/>
                <w:lang w:val="uk-UA"/>
              </w:rPr>
            </w:pPr>
            <w:r w:rsidRPr="00A34290">
              <w:rPr>
                <w:spacing w:val="-10"/>
                <w:w w:val="110"/>
                <w:sz w:val="20"/>
                <w:szCs w:val="20"/>
                <w:lang w:val="uk-UA"/>
              </w:rPr>
              <w:t>Ч</w:t>
            </w:r>
          </w:p>
        </w:tc>
      </w:tr>
    </w:tbl>
    <w:p w14:paraId="42324230" w14:textId="77777777" w:rsidR="00E05B98" w:rsidRPr="003954DE" w:rsidRDefault="00E05B98">
      <w:pPr>
        <w:pStyle w:val="TableParagraph"/>
        <w:rPr>
          <w:sz w:val="20"/>
          <w:szCs w:val="20"/>
          <w:lang w:val="uk-UA"/>
        </w:rPr>
        <w:sectPr w:rsidR="00E05B98" w:rsidRPr="003954DE">
          <w:type w:val="continuous"/>
          <w:pgSz w:w="11910" w:h="16840"/>
          <w:pgMar w:top="1380" w:right="1275" w:bottom="760" w:left="850" w:header="0" w:footer="573" w:gutter="0"/>
          <w:cols w:space="720"/>
        </w:sectPr>
      </w:pPr>
    </w:p>
    <w:tbl>
      <w:tblPr>
        <w:tblStyle w:val="TableNormal"/>
        <w:tblW w:w="9336" w:type="dxa"/>
        <w:tblInd w:w="577" w:type="dxa"/>
        <w:tblBorders>
          <w:top w:val="single" w:sz="8" w:space="0" w:color="019648"/>
          <w:left w:val="single" w:sz="8" w:space="0" w:color="019648"/>
          <w:bottom w:val="single" w:sz="8" w:space="0" w:color="019648"/>
          <w:right w:val="single" w:sz="8" w:space="0" w:color="019648"/>
          <w:insideH w:val="single" w:sz="8" w:space="0" w:color="019648"/>
          <w:insideV w:val="single" w:sz="8" w:space="0" w:color="019648"/>
        </w:tblBorders>
        <w:tblLayout w:type="fixed"/>
        <w:tblLook w:val="01E0" w:firstRow="1" w:lastRow="1" w:firstColumn="1" w:lastColumn="1" w:noHBand="0" w:noVBand="0"/>
      </w:tblPr>
      <w:tblGrid>
        <w:gridCol w:w="2391"/>
        <w:gridCol w:w="3118"/>
        <w:gridCol w:w="2551"/>
        <w:gridCol w:w="1254"/>
        <w:gridCol w:w="22"/>
      </w:tblGrid>
      <w:tr w:rsidR="007A4BAE" w:rsidRPr="003954DE" w14:paraId="69C0FF83" w14:textId="77777777" w:rsidTr="007A4BAE">
        <w:trPr>
          <w:trHeight w:val="428"/>
        </w:trPr>
        <w:tc>
          <w:tcPr>
            <w:tcW w:w="2391" w:type="dxa"/>
            <w:tcBorders>
              <w:right w:val="single" w:sz="6" w:space="0" w:color="019648"/>
            </w:tcBorders>
            <w:shd w:val="clear" w:color="auto" w:fill="62A86B"/>
          </w:tcPr>
          <w:p w14:paraId="14BE9F27" w14:textId="77777777" w:rsidR="007A4BAE" w:rsidRPr="003954DE" w:rsidRDefault="007A4BAE" w:rsidP="007372B2">
            <w:pPr>
              <w:pStyle w:val="TableParagraph"/>
              <w:spacing w:before="95"/>
              <w:ind w:left="145"/>
              <w:rPr>
                <w:rFonts w:ascii="Arial" w:hAnsi="Arial" w:cs="Arial"/>
                <w:b/>
                <w:sz w:val="20"/>
                <w:szCs w:val="20"/>
                <w:lang w:val="uk-UA"/>
              </w:rPr>
            </w:pPr>
            <w:r w:rsidRPr="003954DE">
              <w:rPr>
                <w:rFonts w:ascii="Arial" w:hAnsi="Arial" w:cs="Arial"/>
                <w:b/>
                <w:color w:val="FFFFFF"/>
                <w:spacing w:val="-9"/>
                <w:sz w:val="20"/>
                <w:szCs w:val="20"/>
                <w:lang w:val="uk-UA"/>
              </w:rPr>
              <w:lastRenderedPageBreak/>
              <w:t>Член ГРН</w:t>
            </w:r>
          </w:p>
        </w:tc>
        <w:tc>
          <w:tcPr>
            <w:tcW w:w="3118" w:type="dxa"/>
            <w:tcBorders>
              <w:left w:val="single" w:sz="6" w:space="0" w:color="019648"/>
              <w:right w:val="single" w:sz="6" w:space="0" w:color="019648"/>
            </w:tcBorders>
            <w:shd w:val="clear" w:color="auto" w:fill="62A86B"/>
          </w:tcPr>
          <w:p w14:paraId="6FEC6160" w14:textId="77777777" w:rsidR="007A4BAE" w:rsidRPr="003954DE" w:rsidRDefault="007A4BAE" w:rsidP="007372B2">
            <w:pPr>
              <w:pStyle w:val="TableParagraph"/>
              <w:spacing w:before="95"/>
              <w:ind w:left="138"/>
              <w:rPr>
                <w:rFonts w:ascii="Arial" w:hAnsi="Arial" w:cs="Arial"/>
                <w:b/>
                <w:sz w:val="20"/>
                <w:szCs w:val="20"/>
                <w:lang w:val="uk-UA"/>
              </w:rPr>
            </w:pPr>
            <w:r>
              <w:rPr>
                <w:rFonts w:ascii="Arial" w:hAnsi="Arial" w:cs="Arial"/>
                <w:b/>
                <w:color w:val="FFFFFF"/>
                <w:spacing w:val="-2"/>
                <w:sz w:val="20"/>
                <w:szCs w:val="20"/>
                <w:lang w:val="uk-UA"/>
              </w:rPr>
              <w:t>Сфера компетенції</w:t>
            </w:r>
          </w:p>
        </w:tc>
        <w:tc>
          <w:tcPr>
            <w:tcW w:w="2551" w:type="dxa"/>
            <w:tcBorders>
              <w:left w:val="single" w:sz="6" w:space="0" w:color="019648"/>
              <w:right w:val="single" w:sz="6" w:space="0" w:color="019648"/>
            </w:tcBorders>
            <w:shd w:val="clear" w:color="auto" w:fill="62A86B"/>
          </w:tcPr>
          <w:p w14:paraId="5A608148" w14:textId="77777777" w:rsidR="007A4BAE" w:rsidRPr="003954DE" w:rsidRDefault="007A4BAE" w:rsidP="007372B2">
            <w:pPr>
              <w:pStyle w:val="TableParagraph"/>
              <w:spacing w:before="95"/>
              <w:ind w:left="138"/>
              <w:rPr>
                <w:rFonts w:ascii="Arial" w:hAnsi="Arial" w:cs="Arial"/>
                <w:b/>
                <w:sz w:val="20"/>
                <w:szCs w:val="20"/>
                <w:lang w:val="uk-UA"/>
              </w:rPr>
            </w:pPr>
            <w:r>
              <w:rPr>
                <w:rFonts w:ascii="Arial" w:hAnsi="Arial" w:cs="Arial"/>
                <w:b/>
                <w:color w:val="FFFFFF"/>
                <w:w w:val="105"/>
                <w:sz w:val="20"/>
                <w:szCs w:val="20"/>
                <w:lang w:val="uk-UA"/>
              </w:rPr>
              <w:t>Регіон ВООЗ</w:t>
            </w:r>
          </w:p>
        </w:tc>
        <w:tc>
          <w:tcPr>
            <w:tcW w:w="1276" w:type="dxa"/>
            <w:gridSpan w:val="2"/>
            <w:tcBorders>
              <w:left w:val="single" w:sz="6" w:space="0" w:color="019648"/>
              <w:right w:val="single" w:sz="6" w:space="0" w:color="019648"/>
            </w:tcBorders>
            <w:shd w:val="clear" w:color="auto" w:fill="62A86B"/>
          </w:tcPr>
          <w:p w14:paraId="434C8617" w14:textId="77777777" w:rsidR="007A4BAE" w:rsidRPr="003954DE" w:rsidRDefault="007A4BAE" w:rsidP="007372B2">
            <w:pPr>
              <w:pStyle w:val="TableParagraph"/>
              <w:spacing w:before="95"/>
              <w:ind w:left="138"/>
              <w:rPr>
                <w:rFonts w:ascii="Arial" w:hAnsi="Arial" w:cs="Arial"/>
                <w:b/>
                <w:sz w:val="20"/>
                <w:szCs w:val="20"/>
                <w:lang w:val="uk-UA"/>
              </w:rPr>
            </w:pPr>
            <w:r>
              <w:rPr>
                <w:rFonts w:ascii="Arial" w:hAnsi="Arial" w:cs="Arial"/>
                <w:b/>
                <w:color w:val="FFFFFF"/>
                <w:spacing w:val="-2"/>
                <w:sz w:val="20"/>
                <w:szCs w:val="20"/>
                <w:lang w:val="uk-UA"/>
              </w:rPr>
              <w:t>Гендер</w:t>
            </w:r>
          </w:p>
        </w:tc>
      </w:tr>
      <w:tr w:rsidR="008B24D7" w:rsidRPr="003954DE" w14:paraId="42D1F745" w14:textId="77777777" w:rsidTr="007A4BAE">
        <w:trPr>
          <w:gridAfter w:val="1"/>
          <w:wAfter w:w="22" w:type="dxa"/>
          <w:trHeight w:val="905"/>
        </w:trPr>
        <w:tc>
          <w:tcPr>
            <w:tcW w:w="2391" w:type="dxa"/>
            <w:tcBorders>
              <w:left w:val="nil"/>
              <w:bottom w:val="single" w:sz="6" w:space="0" w:color="019648"/>
              <w:right w:val="nil"/>
            </w:tcBorders>
          </w:tcPr>
          <w:p w14:paraId="1FEAC801" w14:textId="53544292" w:rsidR="008B24D7" w:rsidRPr="003954DE" w:rsidRDefault="008B24D7" w:rsidP="008B24D7">
            <w:pPr>
              <w:pStyle w:val="TableParagraph"/>
              <w:spacing w:before="76"/>
              <w:ind w:left="133"/>
              <w:rPr>
                <w:sz w:val="20"/>
                <w:szCs w:val="20"/>
                <w:lang w:val="uk-UA"/>
              </w:rPr>
            </w:pPr>
            <w:proofErr w:type="spellStart"/>
            <w:r w:rsidRPr="003954DE">
              <w:rPr>
                <w:spacing w:val="-5"/>
                <w:sz w:val="20"/>
                <w:szCs w:val="20"/>
                <w:lang w:val="uk-UA"/>
              </w:rPr>
              <w:t>Сабіра</w:t>
            </w:r>
            <w:proofErr w:type="spellEnd"/>
            <w:r w:rsidRPr="003954DE">
              <w:rPr>
                <w:spacing w:val="-5"/>
                <w:sz w:val="20"/>
                <w:szCs w:val="20"/>
                <w:lang w:val="uk-UA"/>
              </w:rPr>
              <w:t xml:space="preserve"> </w:t>
            </w:r>
            <w:proofErr w:type="spellStart"/>
            <w:r w:rsidRPr="003954DE">
              <w:rPr>
                <w:spacing w:val="-5"/>
                <w:sz w:val="20"/>
                <w:szCs w:val="20"/>
                <w:lang w:val="uk-UA"/>
              </w:rPr>
              <w:t>Тахсін</w:t>
            </w:r>
            <w:proofErr w:type="spellEnd"/>
          </w:p>
        </w:tc>
        <w:tc>
          <w:tcPr>
            <w:tcW w:w="3118" w:type="dxa"/>
            <w:tcBorders>
              <w:left w:val="nil"/>
              <w:bottom w:val="single" w:sz="6" w:space="0" w:color="019648"/>
              <w:right w:val="nil"/>
            </w:tcBorders>
          </w:tcPr>
          <w:p w14:paraId="0D07976C" w14:textId="7A6D41C7" w:rsidR="008B24D7" w:rsidRPr="003954DE" w:rsidRDefault="008B24D7" w:rsidP="008B24D7">
            <w:pPr>
              <w:pStyle w:val="TableParagraph"/>
              <w:spacing w:before="76"/>
              <w:rPr>
                <w:sz w:val="20"/>
                <w:szCs w:val="20"/>
                <w:lang w:val="uk-UA"/>
              </w:rPr>
            </w:pPr>
            <w:r w:rsidRPr="003954DE">
              <w:rPr>
                <w:sz w:val="20"/>
                <w:szCs w:val="20"/>
                <w:lang w:val="uk-UA"/>
              </w:rPr>
              <w:t>Лабораторна діагностика ТБ</w:t>
            </w:r>
          </w:p>
        </w:tc>
        <w:tc>
          <w:tcPr>
            <w:tcW w:w="2551" w:type="dxa"/>
            <w:tcBorders>
              <w:left w:val="nil"/>
              <w:bottom w:val="single" w:sz="6" w:space="0" w:color="019648"/>
              <w:right w:val="nil"/>
            </w:tcBorders>
          </w:tcPr>
          <w:p w14:paraId="7748C187" w14:textId="573C5380" w:rsidR="008B24D7" w:rsidRPr="003954DE" w:rsidRDefault="008B24D7" w:rsidP="008B24D7">
            <w:pPr>
              <w:pStyle w:val="TableParagraph"/>
              <w:spacing w:before="76" w:line="249" w:lineRule="auto"/>
              <w:ind w:right="59"/>
              <w:rPr>
                <w:sz w:val="20"/>
                <w:szCs w:val="20"/>
                <w:lang w:val="uk-UA"/>
              </w:rPr>
            </w:pPr>
            <w:r w:rsidRPr="003954DE">
              <w:rPr>
                <w:spacing w:val="-2"/>
                <w:sz w:val="20"/>
                <w:szCs w:val="20"/>
                <w:lang w:val="uk-UA"/>
              </w:rPr>
              <w:t xml:space="preserve">Східний </w:t>
            </w:r>
            <w:proofErr w:type="spellStart"/>
            <w:r w:rsidRPr="003954DE">
              <w:rPr>
                <w:spacing w:val="-2"/>
                <w:sz w:val="20"/>
                <w:szCs w:val="20"/>
                <w:lang w:val="uk-UA"/>
              </w:rPr>
              <w:t>Середземно</w:t>
            </w:r>
            <w:proofErr w:type="spellEnd"/>
            <w:r w:rsidRPr="003954DE">
              <w:rPr>
                <w:spacing w:val="-2"/>
                <w:sz w:val="20"/>
                <w:szCs w:val="20"/>
                <w:lang w:val="uk-UA"/>
              </w:rPr>
              <w:t>-морський регіон</w:t>
            </w:r>
          </w:p>
        </w:tc>
        <w:tc>
          <w:tcPr>
            <w:tcW w:w="1254" w:type="dxa"/>
            <w:tcBorders>
              <w:left w:val="nil"/>
              <w:bottom w:val="single" w:sz="6" w:space="0" w:color="019648"/>
              <w:right w:val="nil"/>
            </w:tcBorders>
          </w:tcPr>
          <w:p w14:paraId="3D355A32" w14:textId="531E1F95" w:rsidR="008B24D7" w:rsidRPr="003954DE" w:rsidRDefault="008B24D7" w:rsidP="008B24D7">
            <w:pPr>
              <w:pStyle w:val="TableParagraph"/>
              <w:spacing w:before="76"/>
              <w:rPr>
                <w:sz w:val="20"/>
                <w:szCs w:val="20"/>
                <w:lang w:val="uk-UA"/>
              </w:rPr>
            </w:pPr>
            <w:r w:rsidRPr="005F223D">
              <w:rPr>
                <w:spacing w:val="-10"/>
                <w:w w:val="110"/>
                <w:sz w:val="20"/>
                <w:szCs w:val="20"/>
                <w:lang w:val="uk-UA"/>
              </w:rPr>
              <w:t>Ч</w:t>
            </w:r>
          </w:p>
        </w:tc>
      </w:tr>
      <w:tr w:rsidR="008B24D7" w:rsidRPr="003954DE" w14:paraId="52F89D52" w14:textId="77777777" w:rsidTr="007A4BAE">
        <w:trPr>
          <w:gridAfter w:val="1"/>
          <w:wAfter w:w="22" w:type="dxa"/>
          <w:trHeight w:val="647"/>
        </w:trPr>
        <w:tc>
          <w:tcPr>
            <w:tcW w:w="2391" w:type="dxa"/>
            <w:tcBorders>
              <w:top w:val="single" w:sz="6" w:space="0" w:color="019648"/>
              <w:left w:val="nil"/>
              <w:bottom w:val="single" w:sz="6" w:space="0" w:color="019648"/>
              <w:right w:val="nil"/>
            </w:tcBorders>
          </w:tcPr>
          <w:p w14:paraId="0C07FA5F" w14:textId="6D19F70C" w:rsidR="008B24D7" w:rsidRPr="003954DE" w:rsidRDefault="008B24D7" w:rsidP="008B24D7">
            <w:pPr>
              <w:pStyle w:val="TableParagraph"/>
              <w:ind w:left="133"/>
              <w:rPr>
                <w:sz w:val="20"/>
                <w:szCs w:val="20"/>
                <w:lang w:val="uk-UA"/>
              </w:rPr>
            </w:pPr>
            <w:r w:rsidRPr="003954DE">
              <w:rPr>
                <w:sz w:val="20"/>
                <w:szCs w:val="20"/>
                <w:lang w:val="uk-UA"/>
              </w:rPr>
              <w:t xml:space="preserve">Тімоті </w:t>
            </w:r>
            <w:proofErr w:type="spellStart"/>
            <w:r w:rsidRPr="003954DE">
              <w:rPr>
                <w:sz w:val="20"/>
                <w:szCs w:val="20"/>
                <w:lang w:val="uk-UA"/>
              </w:rPr>
              <w:t>Уолкер</w:t>
            </w:r>
            <w:proofErr w:type="spellEnd"/>
          </w:p>
        </w:tc>
        <w:tc>
          <w:tcPr>
            <w:tcW w:w="3118" w:type="dxa"/>
            <w:tcBorders>
              <w:top w:val="single" w:sz="6" w:space="0" w:color="019648"/>
              <w:left w:val="nil"/>
              <w:bottom w:val="single" w:sz="6" w:space="0" w:color="019648"/>
              <w:right w:val="nil"/>
            </w:tcBorders>
          </w:tcPr>
          <w:p w14:paraId="291CBBFF" w14:textId="4D88DA9C" w:rsidR="008B24D7" w:rsidRPr="003954DE" w:rsidRDefault="008B24D7" w:rsidP="008B24D7">
            <w:pPr>
              <w:pStyle w:val="TableParagraph"/>
              <w:spacing w:line="249" w:lineRule="auto"/>
              <w:ind w:right="127"/>
              <w:rPr>
                <w:sz w:val="20"/>
                <w:szCs w:val="20"/>
                <w:lang w:val="uk-UA"/>
              </w:rPr>
            </w:pPr>
            <w:r w:rsidRPr="003954DE">
              <w:rPr>
                <w:sz w:val="20"/>
                <w:szCs w:val="20"/>
                <w:lang w:val="uk-UA"/>
              </w:rPr>
              <w:t>Лабораторна діагностика ТБ та лікування ТБ</w:t>
            </w:r>
          </w:p>
        </w:tc>
        <w:tc>
          <w:tcPr>
            <w:tcW w:w="2551" w:type="dxa"/>
            <w:tcBorders>
              <w:top w:val="single" w:sz="6" w:space="0" w:color="019648"/>
              <w:left w:val="nil"/>
              <w:bottom w:val="single" w:sz="6" w:space="0" w:color="019648"/>
              <w:right w:val="nil"/>
            </w:tcBorders>
          </w:tcPr>
          <w:p w14:paraId="4E64E2ED" w14:textId="710DD4FD" w:rsidR="008B24D7" w:rsidRPr="003954DE" w:rsidRDefault="008B24D7" w:rsidP="008B24D7">
            <w:pPr>
              <w:pStyle w:val="TableParagraph"/>
              <w:rPr>
                <w:sz w:val="20"/>
                <w:szCs w:val="20"/>
                <w:lang w:val="uk-UA"/>
              </w:rPr>
            </w:pPr>
            <w:r w:rsidRPr="003954DE">
              <w:rPr>
                <w:spacing w:val="-2"/>
                <w:sz w:val="20"/>
                <w:szCs w:val="20"/>
                <w:lang w:val="uk-UA"/>
              </w:rPr>
              <w:t>Європейський регіон</w:t>
            </w:r>
          </w:p>
        </w:tc>
        <w:tc>
          <w:tcPr>
            <w:tcW w:w="1254" w:type="dxa"/>
            <w:tcBorders>
              <w:top w:val="single" w:sz="6" w:space="0" w:color="019648"/>
              <w:left w:val="nil"/>
              <w:bottom w:val="single" w:sz="6" w:space="0" w:color="019648"/>
              <w:right w:val="nil"/>
            </w:tcBorders>
          </w:tcPr>
          <w:p w14:paraId="0F628E45" w14:textId="4F6D348F" w:rsidR="008B24D7" w:rsidRPr="003954DE" w:rsidRDefault="008B24D7" w:rsidP="008B24D7">
            <w:pPr>
              <w:pStyle w:val="TableParagraph"/>
              <w:rPr>
                <w:sz w:val="20"/>
                <w:szCs w:val="20"/>
                <w:lang w:val="uk-UA"/>
              </w:rPr>
            </w:pPr>
            <w:r w:rsidRPr="005F223D">
              <w:rPr>
                <w:spacing w:val="-10"/>
                <w:w w:val="110"/>
                <w:sz w:val="20"/>
                <w:szCs w:val="20"/>
                <w:lang w:val="uk-UA"/>
              </w:rPr>
              <w:t>Ч</w:t>
            </w:r>
          </w:p>
        </w:tc>
      </w:tr>
      <w:tr w:rsidR="008B24D7" w:rsidRPr="003954DE" w14:paraId="03BB83CB" w14:textId="77777777" w:rsidTr="007A4BAE">
        <w:trPr>
          <w:gridAfter w:val="1"/>
          <w:wAfter w:w="22" w:type="dxa"/>
          <w:trHeight w:val="647"/>
        </w:trPr>
        <w:tc>
          <w:tcPr>
            <w:tcW w:w="2391" w:type="dxa"/>
            <w:tcBorders>
              <w:top w:val="single" w:sz="6" w:space="0" w:color="019648"/>
              <w:left w:val="nil"/>
              <w:bottom w:val="single" w:sz="6" w:space="0" w:color="019648"/>
              <w:right w:val="nil"/>
            </w:tcBorders>
          </w:tcPr>
          <w:p w14:paraId="26B82BBB" w14:textId="390D0F33" w:rsidR="008B24D7" w:rsidRPr="003954DE" w:rsidRDefault="008B24D7" w:rsidP="008B24D7">
            <w:pPr>
              <w:pStyle w:val="TableParagraph"/>
              <w:rPr>
                <w:sz w:val="20"/>
                <w:szCs w:val="20"/>
                <w:lang w:val="uk-UA"/>
              </w:rPr>
            </w:pPr>
            <w:proofErr w:type="spellStart"/>
            <w:r>
              <w:rPr>
                <w:sz w:val="20"/>
                <w:szCs w:val="20"/>
                <w:lang w:val="uk-UA"/>
              </w:rPr>
              <w:t>Оу</w:t>
            </w:r>
            <w:proofErr w:type="spellEnd"/>
            <w:r>
              <w:rPr>
                <w:sz w:val="20"/>
                <w:szCs w:val="20"/>
                <w:lang w:val="uk-UA"/>
              </w:rPr>
              <w:t xml:space="preserve"> </w:t>
            </w:r>
            <w:proofErr w:type="spellStart"/>
            <w:r>
              <w:rPr>
                <w:sz w:val="20"/>
                <w:szCs w:val="20"/>
                <w:lang w:val="uk-UA"/>
              </w:rPr>
              <w:t>Січао</w:t>
            </w:r>
            <w:proofErr w:type="spellEnd"/>
          </w:p>
        </w:tc>
        <w:tc>
          <w:tcPr>
            <w:tcW w:w="3118" w:type="dxa"/>
            <w:tcBorders>
              <w:top w:val="single" w:sz="6" w:space="0" w:color="019648"/>
              <w:left w:val="nil"/>
              <w:bottom w:val="single" w:sz="6" w:space="0" w:color="019648"/>
              <w:right w:val="nil"/>
            </w:tcBorders>
          </w:tcPr>
          <w:p w14:paraId="02726FB7" w14:textId="677B8D10" w:rsidR="008B24D7" w:rsidRPr="003954DE" w:rsidRDefault="008B24D7" w:rsidP="008B24D7">
            <w:pPr>
              <w:pStyle w:val="TableParagraph"/>
              <w:rPr>
                <w:sz w:val="20"/>
                <w:szCs w:val="20"/>
                <w:lang w:val="uk-UA"/>
              </w:rPr>
            </w:pPr>
            <w:r w:rsidRPr="003954DE">
              <w:rPr>
                <w:sz w:val="20"/>
                <w:szCs w:val="20"/>
                <w:lang w:val="uk-UA"/>
              </w:rPr>
              <w:t>Лабораторна діагностика ТБ</w:t>
            </w:r>
          </w:p>
        </w:tc>
        <w:tc>
          <w:tcPr>
            <w:tcW w:w="2551" w:type="dxa"/>
            <w:tcBorders>
              <w:top w:val="single" w:sz="6" w:space="0" w:color="019648"/>
              <w:left w:val="nil"/>
              <w:bottom w:val="single" w:sz="6" w:space="0" w:color="019648"/>
              <w:right w:val="nil"/>
            </w:tcBorders>
          </w:tcPr>
          <w:p w14:paraId="7B347D98" w14:textId="405C358F" w:rsidR="008B24D7" w:rsidRPr="003954DE" w:rsidRDefault="008B24D7" w:rsidP="008B24D7">
            <w:pPr>
              <w:pStyle w:val="TableParagraph"/>
              <w:spacing w:line="249" w:lineRule="auto"/>
              <w:ind w:right="142"/>
              <w:rPr>
                <w:sz w:val="20"/>
                <w:szCs w:val="20"/>
                <w:lang w:val="uk-UA"/>
              </w:rPr>
            </w:pPr>
            <w:r w:rsidRPr="003954DE">
              <w:rPr>
                <w:spacing w:val="-2"/>
                <w:sz w:val="20"/>
                <w:szCs w:val="20"/>
                <w:lang w:val="uk-UA"/>
              </w:rPr>
              <w:t>Західний Тихо-океанський регіон</w:t>
            </w:r>
          </w:p>
        </w:tc>
        <w:tc>
          <w:tcPr>
            <w:tcW w:w="1254" w:type="dxa"/>
            <w:tcBorders>
              <w:top w:val="single" w:sz="6" w:space="0" w:color="019648"/>
              <w:left w:val="nil"/>
              <w:bottom w:val="single" w:sz="6" w:space="0" w:color="019648"/>
              <w:right w:val="nil"/>
            </w:tcBorders>
          </w:tcPr>
          <w:p w14:paraId="27C32051" w14:textId="56F9E2A8" w:rsidR="008B24D7" w:rsidRPr="003954DE" w:rsidRDefault="008B24D7" w:rsidP="008B24D7">
            <w:pPr>
              <w:pStyle w:val="TableParagraph"/>
              <w:rPr>
                <w:sz w:val="20"/>
                <w:szCs w:val="20"/>
                <w:lang w:val="uk-UA"/>
              </w:rPr>
            </w:pPr>
            <w:r w:rsidRPr="005F223D">
              <w:rPr>
                <w:spacing w:val="-10"/>
                <w:w w:val="110"/>
                <w:sz w:val="20"/>
                <w:szCs w:val="20"/>
                <w:lang w:val="uk-UA"/>
              </w:rPr>
              <w:t>Ч</w:t>
            </w:r>
          </w:p>
        </w:tc>
      </w:tr>
      <w:tr w:rsidR="00E05B98" w:rsidRPr="003954DE" w14:paraId="19F1A0C5" w14:textId="77777777" w:rsidTr="007A4BAE">
        <w:trPr>
          <w:gridAfter w:val="1"/>
          <w:wAfter w:w="22" w:type="dxa"/>
          <w:trHeight w:val="387"/>
        </w:trPr>
        <w:tc>
          <w:tcPr>
            <w:tcW w:w="2391" w:type="dxa"/>
            <w:tcBorders>
              <w:top w:val="single" w:sz="6" w:space="0" w:color="019648"/>
              <w:left w:val="nil"/>
              <w:bottom w:val="single" w:sz="6" w:space="0" w:color="019648"/>
              <w:right w:val="nil"/>
            </w:tcBorders>
          </w:tcPr>
          <w:p w14:paraId="4BBBB758" w14:textId="31A99CA5" w:rsidR="00E05B98" w:rsidRPr="003954DE" w:rsidRDefault="003954DE">
            <w:pPr>
              <w:pStyle w:val="TableParagraph"/>
              <w:ind w:left="133"/>
              <w:rPr>
                <w:sz w:val="20"/>
                <w:szCs w:val="20"/>
                <w:lang w:val="uk-UA"/>
              </w:rPr>
            </w:pPr>
            <w:proofErr w:type="spellStart"/>
            <w:r w:rsidRPr="003954DE">
              <w:rPr>
                <w:spacing w:val="-2"/>
                <w:sz w:val="20"/>
                <w:szCs w:val="20"/>
                <w:lang w:val="uk-UA"/>
              </w:rPr>
              <w:t>Даніела</w:t>
            </w:r>
            <w:proofErr w:type="spellEnd"/>
            <w:r w:rsidRPr="003954DE">
              <w:rPr>
                <w:spacing w:val="-2"/>
                <w:sz w:val="20"/>
                <w:szCs w:val="20"/>
                <w:lang w:val="uk-UA"/>
              </w:rPr>
              <w:t xml:space="preserve"> </w:t>
            </w:r>
            <w:proofErr w:type="spellStart"/>
            <w:r w:rsidRPr="003954DE">
              <w:rPr>
                <w:spacing w:val="-2"/>
                <w:sz w:val="20"/>
                <w:szCs w:val="20"/>
                <w:lang w:val="uk-UA"/>
              </w:rPr>
              <w:t>Чірілло</w:t>
            </w:r>
            <w:proofErr w:type="spellEnd"/>
          </w:p>
        </w:tc>
        <w:tc>
          <w:tcPr>
            <w:tcW w:w="3118" w:type="dxa"/>
            <w:tcBorders>
              <w:top w:val="single" w:sz="6" w:space="0" w:color="019648"/>
              <w:left w:val="nil"/>
              <w:bottom w:val="single" w:sz="6" w:space="0" w:color="019648"/>
              <w:right w:val="nil"/>
            </w:tcBorders>
          </w:tcPr>
          <w:p w14:paraId="7B759870" w14:textId="5E13059B" w:rsidR="00E05B98" w:rsidRPr="003954DE" w:rsidRDefault="006A4596">
            <w:pPr>
              <w:pStyle w:val="TableParagraph"/>
              <w:rPr>
                <w:sz w:val="20"/>
                <w:szCs w:val="20"/>
                <w:lang w:val="uk-UA"/>
              </w:rPr>
            </w:pPr>
            <w:r w:rsidRPr="003954DE">
              <w:rPr>
                <w:sz w:val="20"/>
                <w:szCs w:val="20"/>
                <w:lang w:val="uk-UA"/>
              </w:rPr>
              <w:t>Лабораторна діагностика ТБ</w:t>
            </w:r>
          </w:p>
        </w:tc>
        <w:tc>
          <w:tcPr>
            <w:tcW w:w="2551" w:type="dxa"/>
            <w:tcBorders>
              <w:top w:val="single" w:sz="6" w:space="0" w:color="019648"/>
              <w:left w:val="nil"/>
              <w:bottom w:val="single" w:sz="6" w:space="0" w:color="019648"/>
              <w:right w:val="nil"/>
            </w:tcBorders>
          </w:tcPr>
          <w:p w14:paraId="6965E8FC" w14:textId="2CA0CED7" w:rsidR="00E05B98" w:rsidRPr="003954DE" w:rsidRDefault="002D14D4">
            <w:pPr>
              <w:pStyle w:val="TableParagraph"/>
              <w:rPr>
                <w:sz w:val="20"/>
                <w:szCs w:val="20"/>
                <w:lang w:val="uk-UA"/>
              </w:rPr>
            </w:pPr>
            <w:r w:rsidRPr="003954DE">
              <w:rPr>
                <w:spacing w:val="-2"/>
                <w:sz w:val="20"/>
                <w:szCs w:val="20"/>
                <w:lang w:val="uk-UA"/>
              </w:rPr>
              <w:t>Європейський регіон</w:t>
            </w:r>
          </w:p>
        </w:tc>
        <w:tc>
          <w:tcPr>
            <w:tcW w:w="1254" w:type="dxa"/>
            <w:tcBorders>
              <w:top w:val="single" w:sz="6" w:space="0" w:color="019648"/>
              <w:left w:val="nil"/>
              <w:bottom w:val="single" w:sz="6" w:space="0" w:color="019648"/>
              <w:right w:val="nil"/>
            </w:tcBorders>
          </w:tcPr>
          <w:p w14:paraId="05A805C2" w14:textId="52F9352A" w:rsidR="00E05B98" w:rsidRPr="00D029FF" w:rsidRDefault="00D029FF">
            <w:pPr>
              <w:pStyle w:val="TableParagraph"/>
              <w:rPr>
                <w:sz w:val="20"/>
                <w:szCs w:val="20"/>
                <w:lang w:val="uk-UA"/>
              </w:rPr>
            </w:pPr>
            <w:r>
              <w:rPr>
                <w:spacing w:val="-10"/>
                <w:w w:val="90"/>
                <w:sz w:val="20"/>
                <w:szCs w:val="20"/>
                <w:lang w:val="uk-UA"/>
              </w:rPr>
              <w:t>Ж</w:t>
            </w:r>
          </w:p>
        </w:tc>
      </w:tr>
      <w:tr w:rsidR="00E05B98" w:rsidRPr="003954DE" w14:paraId="670C21A3" w14:textId="77777777" w:rsidTr="007A4BAE">
        <w:trPr>
          <w:gridAfter w:val="1"/>
          <w:wAfter w:w="22" w:type="dxa"/>
          <w:trHeight w:val="387"/>
        </w:trPr>
        <w:tc>
          <w:tcPr>
            <w:tcW w:w="2391" w:type="dxa"/>
            <w:tcBorders>
              <w:top w:val="single" w:sz="6" w:space="0" w:color="019648"/>
              <w:left w:val="nil"/>
              <w:bottom w:val="single" w:sz="6" w:space="0" w:color="019648"/>
              <w:right w:val="nil"/>
            </w:tcBorders>
          </w:tcPr>
          <w:p w14:paraId="65B16F5E" w14:textId="1F0942E4" w:rsidR="00E05B98" w:rsidRPr="003954DE" w:rsidRDefault="007A4BAE">
            <w:pPr>
              <w:pStyle w:val="TableParagraph"/>
              <w:ind w:left="133"/>
              <w:rPr>
                <w:sz w:val="20"/>
                <w:szCs w:val="20"/>
                <w:lang w:val="uk-UA"/>
              </w:rPr>
            </w:pPr>
            <w:proofErr w:type="spellStart"/>
            <w:r w:rsidRPr="007A4BAE">
              <w:rPr>
                <w:sz w:val="20"/>
                <w:szCs w:val="20"/>
                <w:lang w:val="uk-UA"/>
              </w:rPr>
              <w:t>К</w:t>
            </w:r>
            <w:r>
              <w:rPr>
                <w:sz w:val="20"/>
                <w:szCs w:val="20"/>
                <w:lang w:val="uk-UA"/>
              </w:rPr>
              <w:t>і</w:t>
            </w:r>
            <w:r w:rsidRPr="007A4BAE">
              <w:rPr>
                <w:sz w:val="20"/>
                <w:szCs w:val="20"/>
                <w:lang w:val="uk-UA"/>
              </w:rPr>
              <w:t>ртан</w:t>
            </w:r>
            <w:proofErr w:type="spellEnd"/>
            <w:r w:rsidRPr="007A4BAE">
              <w:rPr>
                <w:sz w:val="20"/>
                <w:szCs w:val="20"/>
                <w:lang w:val="uk-UA"/>
              </w:rPr>
              <w:t xml:space="preserve"> </w:t>
            </w:r>
            <w:proofErr w:type="spellStart"/>
            <w:r w:rsidRPr="007A4BAE">
              <w:rPr>
                <w:sz w:val="20"/>
                <w:szCs w:val="20"/>
                <w:lang w:val="uk-UA"/>
              </w:rPr>
              <w:t>Дхеда</w:t>
            </w:r>
            <w:proofErr w:type="spellEnd"/>
          </w:p>
        </w:tc>
        <w:tc>
          <w:tcPr>
            <w:tcW w:w="3118" w:type="dxa"/>
            <w:tcBorders>
              <w:top w:val="single" w:sz="6" w:space="0" w:color="019648"/>
              <w:left w:val="nil"/>
              <w:bottom w:val="single" w:sz="6" w:space="0" w:color="019648"/>
              <w:right w:val="nil"/>
            </w:tcBorders>
          </w:tcPr>
          <w:p w14:paraId="630A6621" w14:textId="574E38A9" w:rsidR="00E05B98" w:rsidRPr="003954DE" w:rsidRDefault="006A4596">
            <w:pPr>
              <w:pStyle w:val="TableParagraph"/>
              <w:rPr>
                <w:sz w:val="20"/>
                <w:szCs w:val="20"/>
                <w:lang w:val="uk-UA"/>
              </w:rPr>
            </w:pPr>
            <w:r w:rsidRPr="003954DE">
              <w:rPr>
                <w:spacing w:val="-2"/>
                <w:sz w:val="20"/>
                <w:szCs w:val="20"/>
                <w:lang w:val="uk-UA"/>
              </w:rPr>
              <w:t>Лікування ТБ</w:t>
            </w:r>
          </w:p>
        </w:tc>
        <w:tc>
          <w:tcPr>
            <w:tcW w:w="2551" w:type="dxa"/>
            <w:tcBorders>
              <w:top w:val="single" w:sz="6" w:space="0" w:color="019648"/>
              <w:left w:val="nil"/>
              <w:bottom w:val="single" w:sz="6" w:space="0" w:color="019648"/>
              <w:right w:val="nil"/>
            </w:tcBorders>
          </w:tcPr>
          <w:p w14:paraId="20FCD8EE" w14:textId="58055666" w:rsidR="00E05B98" w:rsidRPr="003954DE" w:rsidRDefault="002D14D4">
            <w:pPr>
              <w:pStyle w:val="TableParagraph"/>
              <w:rPr>
                <w:sz w:val="20"/>
                <w:szCs w:val="20"/>
                <w:lang w:val="uk-UA"/>
              </w:rPr>
            </w:pPr>
            <w:r w:rsidRPr="003954DE">
              <w:rPr>
                <w:sz w:val="20"/>
                <w:szCs w:val="20"/>
                <w:lang w:val="uk-UA"/>
              </w:rPr>
              <w:t>Регіон країн Африки</w:t>
            </w:r>
          </w:p>
        </w:tc>
        <w:tc>
          <w:tcPr>
            <w:tcW w:w="1254" w:type="dxa"/>
            <w:tcBorders>
              <w:top w:val="single" w:sz="6" w:space="0" w:color="019648"/>
              <w:left w:val="nil"/>
              <w:bottom w:val="single" w:sz="6" w:space="0" w:color="019648"/>
              <w:right w:val="nil"/>
            </w:tcBorders>
          </w:tcPr>
          <w:p w14:paraId="1F1AED3E" w14:textId="29F20AFB" w:rsidR="00E05B98" w:rsidRPr="003954DE" w:rsidRDefault="008B24D7">
            <w:pPr>
              <w:pStyle w:val="TableParagraph"/>
              <w:rPr>
                <w:sz w:val="20"/>
                <w:szCs w:val="20"/>
                <w:lang w:val="uk-UA"/>
              </w:rPr>
            </w:pPr>
            <w:r>
              <w:rPr>
                <w:spacing w:val="-10"/>
                <w:w w:val="110"/>
                <w:sz w:val="20"/>
                <w:szCs w:val="20"/>
                <w:lang w:val="uk-UA"/>
              </w:rPr>
              <w:t>Ч</w:t>
            </w:r>
          </w:p>
        </w:tc>
      </w:tr>
      <w:tr w:rsidR="00E05B98" w:rsidRPr="003954DE" w14:paraId="6F301C75" w14:textId="77777777" w:rsidTr="007A4BAE">
        <w:trPr>
          <w:gridAfter w:val="1"/>
          <w:wAfter w:w="22" w:type="dxa"/>
          <w:trHeight w:val="647"/>
        </w:trPr>
        <w:tc>
          <w:tcPr>
            <w:tcW w:w="2391" w:type="dxa"/>
            <w:tcBorders>
              <w:top w:val="single" w:sz="6" w:space="0" w:color="019648"/>
              <w:left w:val="nil"/>
              <w:bottom w:val="single" w:sz="6" w:space="0" w:color="019648"/>
              <w:right w:val="nil"/>
            </w:tcBorders>
          </w:tcPr>
          <w:p w14:paraId="57735A4E" w14:textId="6A9A0541" w:rsidR="00E05B98" w:rsidRPr="003954DE" w:rsidRDefault="003954DE">
            <w:pPr>
              <w:pStyle w:val="TableParagraph"/>
              <w:ind w:left="133"/>
              <w:rPr>
                <w:sz w:val="20"/>
                <w:szCs w:val="20"/>
                <w:lang w:val="uk-UA"/>
              </w:rPr>
            </w:pPr>
            <w:r w:rsidRPr="003954DE">
              <w:rPr>
                <w:spacing w:val="-4"/>
                <w:sz w:val="20"/>
                <w:szCs w:val="20"/>
                <w:lang w:val="uk-UA"/>
              </w:rPr>
              <w:t xml:space="preserve">Патрісія </w:t>
            </w:r>
            <w:proofErr w:type="spellStart"/>
            <w:r w:rsidRPr="003954DE">
              <w:rPr>
                <w:spacing w:val="-4"/>
                <w:sz w:val="20"/>
                <w:szCs w:val="20"/>
                <w:lang w:val="uk-UA"/>
              </w:rPr>
              <w:t>Холд-Ейдсон</w:t>
            </w:r>
            <w:proofErr w:type="spellEnd"/>
          </w:p>
        </w:tc>
        <w:tc>
          <w:tcPr>
            <w:tcW w:w="3118" w:type="dxa"/>
            <w:tcBorders>
              <w:top w:val="single" w:sz="6" w:space="0" w:color="019648"/>
              <w:left w:val="nil"/>
              <w:bottom w:val="single" w:sz="6" w:space="0" w:color="019648"/>
              <w:right w:val="nil"/>
            </w:tcBorders>
          </w:tcPr>
          <w:p w14:paraId="7F5C5858" w14:textId="75300FB0" w:rsidR="00E05B98" w:rsidRPr="003954DE" w:rsidRDefault="006A4596">
            <w:pPr>
              <w:pStyle w:val="TableParagraph"/>
              <w:rPr>
                <w:sz w:val="20"/>
                <w:szCs w:val="20"/>
                <w:lang w:val="uk-UA"/>
              </w:rPr>
            </w:pPr>
            <w:r w:rsidRPr="003954DE">
              <w:rPr>
                <w:sz w:val="20"/>
                <w:szCs w:val="20"/>
                <w:lang w:val="uk-UA"/>
              </w:rPr>
              <w:t>Лабораторна діагностика ТБ</w:t>
            </w:r>
          </w:p>
        </w:tc>
        <w:tc>
          <w:tcPr>
            <w:tcW w:w="2551" w:type="dxa"/>
            <w:tcBorders>
              <w:top w:val="single" w:sz="6" w:space="0" w:color="019648"/>
              <w:left w:val="nil"/>
              <w:bottom w:val="single" w:sz="6" w:space="0" w:color="019648"/>
              <w:right w:val="nil"/>
            </w:tcBorders>
          </w:tcPr>
          <w:p w14:paraId="14B62B65" w14:textId="4FB94116" w:rsidR="00E05B98" w:rsidRPr="003954DE" w:rsidRDefault="002D14D4">
            <w:pPr>
              <w:pStyle w:val="TableParagraph"/>
              <w:spacing w:line="249" w:lineRule="auto"/>
              <w:rPr>
                <w:sz w:val="20"/>
                <w:szCs w:val="20"/>
                <w:lang w:val="uk-UA"/>
              </w:rPr>
            </w:pPr>
            <w:r w:rsidRPr="003954DE">
              <w:rPr>
                <w:spacing w:val="-4"/>
                <w:w w:val="105"/>
                <w:sz w:val="20"/>
                <w:szCs w:val="20"/>
                <w:lang w:val="uk-UA"/>
              </w:rPr>
              <w:t>Регіон країн Америки</w:t>
            </w:r>
          </w:p>
        </w:tc>
        <w:tc>
          <w:tcPr>
            <w:tcW w:w="1254" w:type="dxa"/>
            <w:tcBorders>
              <w:top w:val="single" w:sz="6" w:space="0" w:color="019648"/>
              <w:left w:val="nil"/>
              <w:bottom w:val="single" w:sz="6" w:space="0" w:color="019648"/>
              <w:right w:val="nil"/>
            </w:tcBorders>
          </w:tcPr>
          <w:p w14:paraId="2BAB8C3F" w14:textId="47D59C8D" w:rsidR="00E05B98" w:rsidRPr="003954DE" w:rsidRDefault="008B24D7">
            <w:pPr>
              <w:pStyle w:val="TableParagraph"/>
              <w:rPr>
                <w:sz w:val="20"/>
                <w:szCs w:val="20"/>
                <w:lang w:val="uk-UA"/>
              </w:rPr>
            </w:pPr>
            <w:r>
              <w:rPr>
                <w:spacing w:val="-10"/>
                <w:w w:val="90"/>
                <w:sz w:val="20"/>
                <w:szCs w:val="20"/>
                <w:lang w:val="uk-UA"/>
              </w:rPr>
              <w:t>Ж</w:t>
            </w:r>
          </w:p>
        </w:tc>
      </w:tr>
      <w:tr w:rsidR="00E05B98" w:rsidRPr="003954DE" w14:paraId="7A5EE94B" w14:textId="77777777" w:rsidTr="007A4BAE">
        <w:trPr>
          <w:gridAfter w:val="1"/>
          <w:wAfter w:w="22" w:type="dxa"/>
          <w:trHeight w:val="1167"/>
        </w:trPr>
        <w:tc>
          <w:tcPr>
            <w:tcW w:w="2391" w:type="dxa"/>
            <w:tcBorders>
              <w:top w:val="single" w:sz="6" w:space="0" w:color="019648"/>
              <w:left w:val="nil"/>
              <w:bottom w:val="single" w:sz="6" w:space="0" w:color="019648"/>
              <w:right w:val="nil"/>
            </w:tcBorders>
          </w:tcPr>
          <w:p w14:paraId="5AF66A05" w14:textId="6262D116" w:rsidR="003954DE" w:rsidRPr="003954DE" w:rsidRDefault="003954DE">
            <w:pPr>
              <w:pStyle w:val="TableParagraph"/>
              <w:ind w:left="133"/>
              <w:rPr>
                <w:spacing w:val="-2"/>
                <w:sz w:val="20"/>
                <w:szCs w:val="20"/>
                <w:lang w:val="uk-UA"/>
              </w:rPr>
            </w:pPr>
            <w:proofErr w:type="spellStart"/>
            <w:r w:rsidRPr="003954DE">
              <w:rPr>
                <w:spacing w:val="-2"/>
                <w:sz w:val="20"/>
                <w:szCs w:val="20"/>
                <w:lang w:val="uk-UA"/>
              </w:rPr>
              <w:t>Сірінафа</w:t>
            </w:r>
            <w:proofErr w:type="spellEnd"/>
            <w:r w:rsidRPr="003954DE">
              <w:rPr>
                <w:spacing w:val="-2"/>
                <w:sz w:val="20"/>
                <w:szCs w:val="20"/>
                <w:lang w:val="uk-UA"/>
              </w:rPr>
              <w:t xml:space="preserve"> </w:t>
            </w:r>
            <w:proofErr w:type="spellStart"/>
            <w:r w:rsidRPr="003954DE">
              <w:rPr>
                <w:spacing w:val="-2"/>
                <w:sz w:val="20"/>
                <w:szCs w:val="20"/>
                <w:lang w:val="uk-UA"/>
              </w:rPr>
              <w:t>Дж</w:t>
            </w:r>
            <w:r w:rsidR="007A4BAE">
              <w:rPr>
                <w:spacing w:val="-2"/>
                <w:sz w:val="20"/>
                <w:szCs w:val="20"/>
                <w:lang w:val="uk-UA"/>
              </w:rPr>
              <w:t>і</w:t>
            </w:r>
            <w:r w:rsidRPr="003954DE">
              <w:rPr>
                <w:spacing w:val="-2"/>
                <w:sz w:val="20"/>
                <w:szCs w:val="20"/>
                <w:lang w:val="uk-UA"/>
              </w:rPr>
              <w:t>ттіман</w:t>
            </w:r>
            <w:r w:rsidR="007A4BAE">
              <w:rPr>
                <w:spacing w:val="-2"/>
                <w:sz w:val="20"/>
                <w:szCs w:val="20"/>
                <w:lang w:val="uk-UA"/>
              </w:rPr>
              <w:t>і</w:t>
            </w:r>
            <w:proofErr w:type="spellEnd"/>
          </w:p>
          <w:p w14:paraId="23C0B0F6" w14:textId="63FDC1A4" w:rsidR="00E05B98" w:rsidRPr="003954DE" w:rsidRDefault="00E05B98">
            <w:pPr>
              <w:pStyle w:val="TableParagraph"/>
              <w:ind w:left="133"/>
              <w:rPr>
                <w:sz w:val="20"/>
                <w:szCs w:val="20"/>
                <w:lang w:val="uk-UA"/>
              </w:rPr>
            </w:pPr>
          </w:p>
        </w:tc>
        <w:tc>
          <w:tcPr>
            <w:tcW w:w="3118" w:type="dxa"/>
            <w:tcBorders>
              <w:top w:val="single" w:sz="6" w:space="0" w:color="019648"/>
              <w:left w:val="nil"/>
              <w:bottom w:val="single" w:sz="6" w:space="0" w:color="019648"/>
              <w:right w:val="nil"/>
            </w:tcBorders>
          </w:tcPr>
          <w:p w14:paraId="32519BF8" w14:textId="359746B3" w:rsidR="00E05B98" w:rsidRPr="003954DE" w:rsidRDefault="006A4596">
            <w:pPr>
              <w:pStyle w:val="TableParagraph"/>
              <w:spacing w:line="249" w:lineRule="auto"/>
              <w:ind w:right="127"/>
              <w:rPr>
                <w:sz w:val="20"/>
                <w:szCs w:val="20"/>
                <w:lang w:val="uk-UA"/>
              </w:rPr>
            </w:pPr>
            <w:r w:rsidRPr="003954DE">
              <w:rPr>
                <w:sz w:val="20"/>
                <w:szCs w:val="20"/>
                <w:lang w:val="uk-UA"/>
              </w:rPr>
              <w:t>Адвокація та захист прав пацієнта</w:t>
            </w:r>
            <w:r w:rsidR="00B01E0C" w:rsidRPr="003954DE">
              <w:rPr>
                <w:sz w:val="20"/>
                <w:szCs w:val="20"/>
                <w:lang w:val="uk-UA"/>
              </w:rPr>
              <w:t xml:space="preserve">; </w:t>
            </w:r>
            <w:r w:rsidRPr="003954DE">
              <w:rPr>
                <w:sz w:val="20"/>
                <w:szCs w:val="20"/>
                <w:lang w:val="uk-UA"/>
              </w:rPr>
              <w:t>Надання догляду на рівні громади</w:t>
            </w:r>
            <w:r w:rsidR="00B01E0C" w:rsidRPr="003954DE">
              <w:rPr>
                <w:sz w:val="20"/>
                <w:szCs w:val="20"/>
                <w:lang w:val="uk-UA"/>
              </w:rPr>
              <w:t xml:space="preserve">; </w:t>
            </w:r>
            <w:r w:rsidRPr="003954DE">
              <w:rPr>
                <w:sz w:val="20"/>
                <w:szCs w:val="20"/>
                <w:lang w:val="uk-UA"/>
              </w:rPr>
              <w:t>Управління програмою з охорони здоров’я</w:t>
            </w:r>
            <w:r w:rsidR="00B01E0C" w:rsidRPr="003954DE">
              <w:rPr>
                <w:sz w:val="20"/>
                <w:szCs w:val="20"/>
                <w:lang w:val="uk-UA"/>
              </w:rPr>
              <w:t xml:space="preserve"> </w:t>
            </w:r>
            <w:r w:rsidR="00B01E0C" w:rsidRPr="003954DE">
              <w:rPr>
                <w:spacing w:val="-2"/>
                <w:sz w:val="20"/>
                <w:szCs w:val="20"/>
                <w:lang w:val="uk-UA"/>
              </w:rPr>
              <w:t>(</w:t>
            </w:r>
            <w:r w:rsidRPr="003954DE">
              <w:rPr>
                <w:spacing w:val="-2"/>
                <w:sz w:val="20"/>
                <w:szCs w:val="20"/>
                <w:lang w:val="uk-UA"/>
              </w:rPr>
              <w:t>догляд за пацієнтами</w:t>
            </w:r>
            <w:r w:rsidR="00B01E0C" w:rsidRPr="003954DE">
              <w:rPr>
                <w:spacing w:val="-2"/>
                <w:sz w:val="20"/>
                <w:szCs w:val="20"/>
                <w:lang w:val="uk-UA"/>
              </w:rPr>
              <w:t>)</w:t>
            </w:r>
          </w:p>
        </w:tc>
        <w:tc>
          <w:tcPr>
            <w:tcW w:w="2551" w:type="dxa"/>
            <w:tcBorders>
              <w:top w:val="single" w:sz="6" w:space="0" w:color="019648"/>
              <w:left w:val="nil"/>
              <w:bottom w:val="single" w:sz="6" w:space="0" w:color="019648"/>
              <w:right w:val="nil"/>
            </w:tcBorders>
          </w:tcPr>
          <w:p w14:paraId="7FD94152" w14:textId="694DA819" w:rsidR="00E05B98" w:rsidRPr="003954DE" w:rsidRDefault="002D14D4" w:rsidP="002D14D4">
            <w:pPr>
              <w:pStyle w:val="TableParagraph"/>
              <w:spacing w:line="249" w:lineRule="auto"/>
              <w:ind w:right="201"/>
              <w:rPr>
                <w:sz w:val="20"/>
                <w:szCs w:val="20"/>
                <w:lang w:val="uk-UA"/>
              </w:rPr>
            </w:pPr>
            <w:r w:rsidRPr="003954DE">
              <w:rPr>
                <w:spacing w:val="-2"/>
                <w:sz w:val="20"/>
                <w:szCs w:val="20"/>
                <w:lang w:val="uk-UA"/>
              </w:rPr>
              <w:t>Регіон Південно-Східної Азії</w:t>
            </w:r>
          </w:p>
        </w:tc>
        <w:tc>
          <w:tcPr>
            <w:tcW w:w="1254" w:type="dxa"/>
            <w:tcBorders>
              <w:top w:val="single" w:sz="6" w:space="0" w:color="019648"/>
              <w:left w:val="nil"/>
              <w:bottom w:val="single" w:sz="6" w:space="0" w:color="019648"/>
              <w:right w:val="nil"/>
            </w:tcBorders>
          </w:tcPr>
          <w:p w14:paraId="4CABEAE3" w14:textId="015BD92D" w:rsidR="00E05B98" w:rsidRPr="003954DE" w:rsidRDefault="008B24D7">
            <w:pPr>
              <w:pStyle w:val="TableParagraph"/>
              <w:rPr>
                <w:sz w:val="20"/>
                <w:szCs w:val="20"/>
                <w:lang w:val="uk-UA"/>
              </w:rPr>
            </w:pPr>
            <w:r>
              <w:rPr>
                <w:spacing w:val="-10"/>
                <w:w w:val="90"/>
                <w:sz w:val="20"/>
                <w:szCs w:val="20"/>
                <w:lang w:val="uk-UA"/>
              </w:rPr>
              <w:t>Ж</w:t>
            </w:r>
          </w:p>
        </w:tc>
      </w:tr>
      <w:tr w:rsidR="00E05B98" w:rsidRPr="003954DE" w14:paraId="0D76E279" w14:textId="77777777" w:rsidTr="007A4BAE">
        <w:trPr>
          <w:gridAfter w:val="1"/>
          <w:wAfter w:w="22" w:type="dxa"/>
          <w:trHeight w:val="647"/>
        </w:trPr>
        <w:tc>
          <w:tcPr>
            <w:tcW w:w="2391" w:type="dxa"/>
            <w:tcBorders>
              <w:top w:val="single" w:sz="6" w:space="0" w:color="019648"/>
              <w:left w:val="nil"/>
              <w:bottom w:val="single" w:sz="6" w:space="0" w:color="019648"/>
              <w:right w:val="nil"/>
            </w:tcBorders>
          </w:tcPr>
          <w:p w14:paraId="5E4CA5D8" w14:textId="77777777" w:rsidR="003954DE" w:rsidRPr="003954DE" w:rsidRDefault="003954DE">
            <w:pPr>
              <w:pStyle w:val="TableParagraph"/>
              <w:ind w:left="133"/>
              <w:rPr>
                <w:sz w:val="20"/>
                <w:szCs w:val="20"/>
                <w:lang w:val="uk-UA"/>
              </w:rPr>
            </w:pPr>
            <w:r w:rsidRPr="003954DE">
              <w:rPr>
                <w:sz w:val="20"/>
                <w:szCs w:val="20"/>
                <w:lang w:val="uk-UA"/>
              </w:rPr>
              <w:t xml:space="preserve">Катаріна </w:t>
            </w:r>
            <w:proofErr w:type="spellStart"/>
            <w:r w:rsidRPr="003954DE">
              <w:rPr>
                <w:sz w:val="20"/>
                <w:szCs w:val="20"/>
                <w:lang w:val="uk-UA"/>
              </w:rPr>
              <w:t>Кранцер</w:t>
            </w:r>
            <w:proofErr w:type="spellEnd"/>
          </w:p>
          <w:p w14:paraId="2628D27E" w14:textId="108B090A" w:rsidR="00E05B98" w:rsidRPr="003954DE" w:rsidRDefault="00E05B98">
            <w:pPr>
              <w:pStyle w:val="TableParagraph"/>
              <w:ind w:left="133"/>
              <w:rPr>
                <w:sz w:val="20"/>
                <w:szCs w:val="20"/>
                <w:lang w:val="uk-UA"/>
              </w:rPr>
            </w:pPr>
          </w:p>
        </w:tc>
        <w:tc>
          <w:tcPr>
            <w:tcW w:w="3118" w:type="dxa"/>
            <w:tcBorders>
              <w:top w:val="single" w:sz="6" w:space="0" w:color="019648"/>
              <w:left w:val="nil"/>
              <w:bottom w:val="single" w:sz="6" w:space="0" w:color="019648"/>
              <w:right w:val="nil"/>
            </w:tcBorders>
          </w:tcPr>
          <w:p w14:paraId="071FE326" w14:textId="349FA764" w:rsidR="00E05B98" w:rsidRPr="003954DE" w:rsidRDefault="006A4596">
            <w:pPr>
              <w:pStyle w:val="TableParagraph"/>
              <w:spacing w:line="249" w:lineRule="auto"/>
              <w:ind w:right="127"/>
              <w:rPr>
                <w:sz w:val="20"/>
                <w:szCs w:val="20"/>
                <w:lang w:val="uk-UA"/>
              </w:rPr>
            </w:pPr>
            <w:r w:rsidRPr="003954DE">
              <w:rPr>
                <w:sz w:val="20"/>
                <w:szCs w:val="20"/>
                <w:lang w:val="uk-UA"/>
              </w:rPr>
              <w:t>Епідеміологія ТБ та лікування ТБ</w:t>
            </w:r>
          </w:p>
        </w:tc>
        <w:tc>
          <w:tcPr>
            <w:tcW w:w="2551" w:type="dxa"/>
            <w:tcBorders>
              <w:top w:val="single" w:sz="6" w:space="0" w:color="019648"/>
              <w:left w:val="nil"/>
              <w:bottom w:val="single" w:sz="6" w:space="0" w:color="019648"/>
              <w:right w:val="nil"/>
            </w:tcBorders>
          </w:tcPr>
          <w:p w14:paraId="6D59E532" w14:textId="1E852B10" w:rsidR="00E05B98" w:rsidRPr="003954DE" w:rsidRDefault="002D14D4">
            <w:pPr>
              <w:pStyle w:val="TableParagraph"/>
              <w:rPr>
                <w:sz w:val="20"/>
                <w:szCs w:val="20"/>
                <w:lang w:val="uk-UA"/>
              </w:rPr>
            </w:pPr>
            <w:r w:rsidRPr="003954DE">
              <w:rPr>
                <w:spacing w:val="-2"/>
                <w:sz w:val="20"/>
                <w:szCs w:val="20"/>
                <w:lang w:val="uk-UA"/>
              </w:rPr>
              <w:t>Європейський регіон</w:t>
            </w:r>
          </w:p>
        </w:tc>
        <w:tc>
          <w:tcPr>
            <w:tcW w:w="1254" w:type="dxa"/>
            <w:tcBorders>
              <w:top w:val="single" w:sz="6" w:space="0" w:color="019648"/>
              <w:left w:val="nil"/>
              <w:bottom w:val="single" w:sz="6" w:space="0" w:color="019648"/>
              <w:right w:val="nil"/>
            </w:tcBorders>
          </w:tcPr>
          <w:p w14:paraId="2CBA9871" w14:textId="1CCA8D84" w:rsidR="00E05B98" w:rsidRPr="003954DE" w:rsidRDefault="008B24D7">
            <w:pPr>
              <w:pStyle w:val="TableParagraph"/>
              <w:rPr>
                <w:sz w:val="20"/>
                <w:szCs w:val="20"/>
                <w:lang w:val="uk-UA"/>
              </w:rPr>
            </w:pPr>
            <w:r>
              <w:rPr>
                <w:spacing w:val="-10"/>
                <w:w w:val="90"/>
                <w:sz w:val="20"/>
                <w:szCs w:val="20"/>
                <w:lang w:val="uk-UA"/>
              </w:rPr>
              <w:t>Ж</w:t>
            </w:r>
          </w:p>
        </w:tc>
      </w:tr>
      <w:tr w:rsidR="00E05B98" w:rsidRPr="003954DE" w14:paraId="65FEDBCF" w14:textId="77777777" w:rsidTr="007A4BAE">
        <w:trPr>
          <w:gridAfter w:val="1"/>
          <w:wAfter w:w="22" w:type="dxa"/>
          <w:trHeight w:val="387"/>
        </w:trPr>
        <w:tc>
          <w:tcPr>
            <w:tcW w:w="2391" w:type="dxa"/>
            <w:tcBorders>
              <w:top w:val="single" w:sz="6" w:space="0" w:color="019648"/>
              <w:left w:val="nil"/>
              <w:bottom w:val="single" w:sz="6" w:space="0" w:color="019648"/>
              <w:right w:val="nil"/>
            </w:tcBorders>
          </w:tcPr>
          <w:p w14:paraId="24DAF102" w14:textId="551CCDB2" w:rsidR="00E05B98" w:rsidRPr="003954DE" w:rsidRDefault="007A4BAE">
            <w:pPr>
              <w:pStyle w:val="TableParagraph"/>
              <w:ind w:left="133"/>
              <w:rPr>
                <w:sz w:val="20"/>
                <w:szCs w:val="20"/>
                <w:lang w:val="uk-UA"/>
              </w:rPr>
            </w:pPr>
            <w:r w:rsidRPr="007A4BAE">
              <w:rPr>
                <w:spacing w:val="-4"/>
                <w:sz w:val="20"/>
                <w:szCs w:val="20"/>
                <w:lang w:val="uk-UA"/>
              </w:rPr>
              <w:t>Шахід Валлі Омар</w:t>
            </w:r>
          </w:p>
        </w:tc>
        <w:tc>
          <w:tcPr>
            <w:tcW w:w="3118" w:type="dxa"/>
            <w:tcBorders>
              <w:top w:val="single" w:sz="6" w:space="0" w:color="019648"/>
              <w:left w:val="nil"/>
              <w:bottom w:val="single" w:sz="6" w:space="0" w:color="019648"/>
              <w:right w:val="nil"/>
            </w:tcBorders>
          </w:tcPr>
          <w:p w14:paraId="7E5CA447" w14:textId="5039176B" w:rsidR="00E05B98" w:rsidRPr="003954DE" w:rsidRDefault="006A4596">
            <w:pPr>
              <w:pStyle w:val="TableParagraph"/>
              <w:rPr>
                <w:sz w:val="20"/>
                <w:szCs w:val="20"/>
                <w:lang w:val="uk-UA"/>
              </w:rPr>
            </w:pPr>
            <w:r w:rsidRPr="003954DE">
              <w:rPr>
                <w:sz w:val="20"/>
                <w:szCs w:val="20"/>
                <w:lang w:val="uk-UA"/>
              </w:rPr>
              <w:t>Лабораторна діагностика ТБ</w:t>
            </w:r>
          </w:p>
        </w:tc>
        <w:tc>
          <w:tcPr>
            <w:tcW w:w="2551" w:type="dxa"/>
            <w:tcBorders>
              <w:top w:val="single" w:sz="6" w:space="0" w:color="019648"/>
              <w:left w:val="nil"/>
              <w:bottom w:val="single" w:sz="6" w:space="0" w:color="019648"/>
              <w:right w:val="nil"/>
            </w:tcBorders>
          </w:tcPr>
          <w:p w14:paraId="43172DBB" w14:textId="6C1BF7D5" w:rsidR="00E05B98" w:rsidRPr="003954DE" w:rsidRDefault="002D14D4">
            <w:pPr>
              <w:pStyle w:val="TableParagraph"/>
              <w:rPr>
                <w:sz w:val="20"/>
                <w:szCs w:val="20"/>
                <w:lang w:val="uk-UA"/>
              </w:rPr>
            </w:pPr>
            <w:r w:rsidRPr="003954DE">
              <w:rPr>
                <w:sz w:val="20"/>
                <w:szCs w:val="20"/>
                <w:lang w:val="uk-UA"/>
              </w:rPr>
              <w:t>Регіон країн Африки</w:t>
            </w:r>
          </w:p>
        </w:tc>
        <w:tc>
          <w:tcPr>
            <w:tcW w:w="1254" w:type="dxa"/>
            <w:tcBorders>
              <w:top w:val="single" w:sz="6" w:space="0" w:color="019648"/>
              <w:left w:val="nil"/>
              <w:bottom w:val="single" w:sz="6" w:space="0" w:color="019648"/>
              <w:right w:val="nil"/>
            </w:tcBorders>
          </w:tcPr>
          <w:p w14:paraId="6B42352C" w14:textId="2227FC4C" w:rsidR="00E05B98" w:rsidRPr="003954DE" w:rsidRDefault="008B24D7">
            <w:pPr>
              <w:pStyle w:val="TableParagraph"/>
              <w:rPr>
                <w:sz w:val="20"/>
                <w:szCs w:val="20"/>
                <w:lang w:val="uk-UA"/>
              </w:rPr>
            </w:pPr>
            <w:r>
              <w:rPr>
                <w:spacing w:val="-10"/>
                <w:w w:val="110"/>
                <w:sz w:val="20"/>
                <w:szCs w:val="20"/>
                <w:lang w:val="uk-UA"/>
              </w:rPr>
              <w:t>Ч</w:t>
            </w:r>
          </w:p>
        </w:tc>
      </w:tr>
    </w:tbl>
    <w:p w14:paraId="7D4373BB" w14:textId="77777777" w:rsidR="00E05B98" w:rsidRPr="003954DE" w:rsidRDefault="00E05B98">
      <w:pPr>
        <w:pStyle w:val="TableParagraph"/>
        <w:rPr>
          <w:sz w:val="20"/>
          <w:szCs w:val="20"/>
          <w:lang w:val="uk-UA"/>
        </w:rPr>
        <w:sectPr w:rsidR="00E05B98" w:rsidRPr="003954DE">
          <w:footerReference w:type="default" r:id="rId250"/>
          <w:pgSz w:w="11910" w:h="16840"/>
          <w:pgMar w:top="1380" w:right="1275" w:bottom="760" w:left="850" w:header="0" w:footer="573" w:gutter="0"/>
          <w:pgNumType w:start="165"/>
          <w:cols w:space="720"/>
        </w:sectPr>
      </w:pPr>
    </w:p>
    <w:p w14:paraId="1FBBBD7A" w14:textId="77777777" w:rsidR="00E05B98" w:rsidRPr="003954DE" w:rsidRDefault="00E05B98">
      <w:pPr>
        <w:pStyle w:val="a3"/>
        <w:spacing w:before="4"/>
        <w:rPr>
          <w:rFonts w:ascii="Arial"/>
          <w:b/>
          <w:sz w:val="20"/>
          <w:szCs w:val="20"/>
          <w:lang w:val="uk-UA"/>
        </w:rPr>
      </w:pPr>
    </w:p>
    <w:p w14:paraId="0060C492" w14:textId="77777777" w:rsidR="00E05B98" w:rsidRPr="003954DE" w:rsidRDefault="00E05B98">
      <w:pPr>
        <w:pStyle w:val="a3"/>
        <w:rPr>
          <w:rFonts w:ascii="Arial"/>
          <w:b/>
          <w:sz w:val="20"/>
          <w:szCs w:val="20"/>
          <w:lang w:val="uk-UA"/>
        </w:rPr>
        <w:sectPr w:rsidR="00E05B98" w:rsidRPr="003954DE">
          <w:footerReference w:type="even" r:id="rId251"/>
          <w:pgSz w:w="11910" w:h="16840"/>
          <w:pgMar w:top="1920" w:right="1275" w:bottom="280" w:left="850" w:header="0" w:footer="0" w:gutter="0"/>
          <w:cols w:space="720"/>
        </w:sectPr>
      </w:pPr>
    </w:p>
    <w:p w14:paraId="1B61C0F3" w14:textId="77777777" w:rsidR="00E05B98" w:rsidRPr="003954DE" w:rsidRDefault="00E05B98">
      <w:pPr>
        <w:pStyle w:val="a3"/>
        <w:spacing w:before="4"/>
        <w:rPr>
          <w:rFonts w:ascii="Arial"/>
          <w:b/>
          <w:sz w:val="20"/>
          <w:szCs w:val="20"/>
          <w:lang w:val="uk-UA"/>
        </w:rPr>
      </w:pPr>
    </w:p>
    <w:p w14:paraId="3358B7F2" w14:textId="77777777" w:rsidR="00E05B98" w:rsidRPr="003954DE" w:rsidRDefault="00B01E0C">
      <w:pPr>
        <w:pStyle w:val="a3"/>
        <w:rPr>
          <w:rFonts w:ascii="Arial"/>
          <w:b/>
          <w:sz w:val="20"/>
          <w:szCs w:val="20"/>
          <w:lang w:val="uk-UA"/>
        </w:rPr>
      </w:pPr>
      <w:r w:rsidRPr="003954DE">
        <w:rPr>
          <w:rFonts w:ascii="Arial"/>
          <w:b/>
          <w:noProof/>
          <w:sz w:val="20"/>
          <w:szCs w:val="20"/>
          <w:lang w:val="uk-UA"/>
        </w:rPr>
        <w:drawing>
          <wp:anchor distT="0" distB="0" distL="0" distR="0" simplePos="0" relativeHeight="481839104" behindDoc="1" locked="0" layoutInCell="1" allowOverlap="1" wp14:anchorId="42CB88F2" wp14:editId="0E5E6A56">
            <wp:simplePos x="0" y="0"/>
            <wp:positionH relativeFrom="page">
              <wp:posOffset>0</wp:posOffset>
            </wp:positionH>
            <wp:positionV relativeFrom="page">
              <wp:posOffset>0</wp:posOffset>
            </wp:positionV>
            <wp:extent cx="7560005" cy="10692003"/>
            <wp:effectExtent l="0" t="0" r="0" b="0"/>
            <wp:wrapNone/>
            <wp:docPr id="3084" name="Image 3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4" name="Image 3084"/>
                    <pic:cNvPicPr/>
                  </pic:nvPicPr>
                  <pic:blipFill>
                    <a:blip r:embed="rId252" cstate="print"/>
                    <a:stretch>
                      <a:fillRect/>
                    </a:stretch>
                  </pic:blipFill>
                  <pic:spPr>
                    <a:xfrm>
                      <a:off x="0" y="0"/>
                      <a:ext cx="7560005" cy="10692003"/>
                    </a:xfrm>
                    <a:prstGeom prst="rect">
                      <a:avLst/>
                    </a:prstGeom>
                  </pic:spPr>
                </pic:pic>
              </a:graphicData>
            </a:graphic>
          </wp:anchor>
        </w:drawing>
      </w:r>
    </w:p>
    <w:p w14:paraId="6D9588DE" w14:textId="77777777" w:rsidR="00E05B98" w:rsidRPr="003954DE" w:rsidRDefault="00E05B98">
      <w:pPr>
        <w:pStyle w:val="a3"/>
        <w:rPr>
          <w:rFonts w:ascii="Arial"/>
          <w:b/>
          <w:sz w:val="20"/>
          <w:szCs w:val="20"/>
          <w:lang w:val="uk-UA"/>
        </w:rPr>
      </w:pPr>
    </w:p>
    <w:p w14:paraId="1CB09134" w14:textId="77777777" w:rsidR="00E05B98" w:rsidRPr="003954DE" w:rsidRDefault="00E05B98">
      <w:pPr>
        <w:pStyle w:val="a3"/>
        <w:rPr>
          <w:rFonts w:ascii="Arial"/>
          <w:b/>
          <w:sz w:val="20"/>
          <w:szCs w:val="20"/>
          <w:lang w:val="uk-UA"/>
        </w:rPr>
      </w:pPr>
    </w:p>
    <w:p w14:paraId="3CBF48BD" w14:textId="77777777" w:rsidR="00E05B98" w:rsidRPr="003954DE" w:rsidRDefault="00E05B98">
      <w:pPr>
        <w:pStyle w:val="a3"/>
        <w:rPr>
          <w:rFonts w:ascii="Arial"/>
          <w:b/>
          <w:sz w:val="20"/>
          <w:szCs w:val="20"/>
          <w:lang w:val="uk-UA"/>
        </w:rPr>
      </w:pPr>
    </w:p>
    <w:p w14:paraId="11565421" w14:textId="77777777" w:rsidR="00E05B98" w:rsidRPr="003954DE" w:rsidRDefault="00E05B98">
      <w:pPr>
        <w:pStyle w:val="a3"/>
        <w:rPr>
          <w:rFonts w:ascii="Arial"/>
          <w:b/>
          <w:sz w:val="20"/>
          <w:szCs w:val="20"/>
          <w:lang w:val="uk-UA"/>
        </w:rPr>
      </w:pPr>
    </w:p>
    <w:p w14:paraId="37E624D2" w14:textId="77777777" w:rsidR="00E05B98" w:rsidRPr="003954DE" w:rsidRDefault="00E05B98">
      <w:pPr>
        <w:pStyle w:val="a3"/>
        <w:rPr>
          <w:rFonts w:ascii="Arial"/>
          <w:b/>
          <w:sz w:val="20"/>
          <w:szCs w:val="20"/>
          <w:lang w:val="uk-UA"/>
        </w:rPr>
      </w:pPr>
    </w:p>
    <w:p w14:paraId="131F53EC" w14:textId="77777777" w:rsidR="00E05B98" w:rsidRPr="003C6DAE" w:rsidRDefault="00E05B98">
      <w:pPr>
        <w:pStyle w:val="a3"/>
        <w:rPr>
          <w:rFonts w:ascii="Arial"/>
          <w:b/>
          <w:lang w:val="uk-UA"/>
        </w:rPr>
      </w:pPr>
    </w:p>
    <w:p w14:paraId="33E35116" w14:textId="77777777" w:rsidR="00E05B98" w:rsidRPr="003C6DAE" w:rsidRDefault="00E05B98">
      <w:pPr>
        <w:pStyle w:val="a3"/>
        <w:rPr>
          <w:rFonts w:ascii="Arial"/>
          <w:b/>
          <w:lang w:val="uk-UA"/>
        </w:rPr>
      </w:pPr>
    </w:p>
    <w:p w14:paraId="32AA965B" w14:textId="77777777" w:rsidR="00E05B98" w:rsidRPr="003C6DAE" w:rsidRDefault="00E05B98">
      <w:pPr>
        <w:pStyle w:val="a3"/>
        <w:rPr>
          <w:rFonts w:ascii="Arial"/>
          <w:b/>
          <w:lang w:val="uk-UA"/>
        </w:rPr>
      </w:pPr>
    </w:p>
    <w:p w14:paraId="5556E0F9" w14:textId="77777777" w:rsidR="00E05B98" w:rsidRPr="003C6DAE" w:rsidRDefault="00E05B98">
      <w:pPr>
        <w:pStyle w:val="a3"/>
        <w:rPr>
          <w:rFonts w:ascii="Arial"/>
          <w:b/>
          <w:lang w:val="uk-UA"/>
        </w:rPr>
      </w:pPr>
    </w:p>
    <w:p w14:paraId="010187FA" w14:textId="77777777" w:rsidR="00E05B98" w:rsidRPr="003C6DAE" w:rsidRDefault="00E05B98">
      <w:pPr>
        <w:pStyle w:val="a3"/>
        <w:rPr>
          <w:rFonts w:ascii="Arial"/>
          <w:b/>
          <w:lang w:val="uk-UA"/>
        </w:rPr>
      </w:pPr>
    </w:p>
    <w:p w14:paraId="32CA3B4B" w14:textId="77777777" w:rsidR="00E05B98" w:rsidRPr="003C6DAE" w:rsidRDefault="00E05B98">
      <w:pPr>
        <w:pStyle w:val="a3"/>
        <w:rPr>
          <w:rFonts w:ascii="Arial"/>
          <w:b/>
          <w:lang w:val="uk-UA"/>
        </w:rPr>
      </w:pPr>
    </w:p>
    <w:p w14:paraId="13516BF0" w14:textId="77777777" w:rsidR="00E05B98" w:rsidRPr="003C6DAE" w:rsidRDefault="00E05B98">
      <w:pPr>
        <w:pStyle w:val="a3"/>
        <w:rPr>
          <w:rFonts w:ascii="Arial"/>
          <w:b/>
          <w:lang w:val="uk-UA"/>
        </w:rPr>
      </w:pPr>
    </w:p>
    <w:p w14:paraId="35A6A44D" w14:textId="77777777" w:rsidR="00E05B98" w:rsidRPr="003C6DAE" w:rsidRDefault="00E05B98">
      <w:pPr>
        <w:pStyle w:val="a3"/>
        <w:rPr>
          <w:rFonts w:ascii="Arial"/>
          <w:b/>
          <w:lang w:val="uk-UA"/>
        </w:rPr>
      </w:pPr>
    </w:p>
    <w:p w14:paraId="54F9F274" w14:textId="77777777" w:rsidR="00E05B98" w:rsidRPr="003C6DAE" w:rsidRDefault="00E05B98">
      <w:pPr>
        <w:pStyle w:val="a3"/>
        <w:rPr>
          <w:rFonts w:ascii="Arial"/>
          <w:b/>
          <w:lang w:val="uk-UA"/>
        </w:rPr>
      </w:pPr>
    </w:p>
    <w:p w14:paraId="13D73172" w14:textId="77777777" w:rsidR="00E05B98" w:rsidRPr="003C6DAE" w:rsidRDefault="00E05B98">
      <w:pPr>
        <w:pStyle w:val="a3"/>
        <w:rPr>
          <w:rFonts w:ascii="Arial"/>
          <w:b/>
          <w:lang w:val="uk-UA"/>
        </w:rPr>
      </w:pPr>
    </w:p>
    <w:p w14:paraId="4190AC12" w14:textId="77777777" w:rsidR="00E05B98" w:rsidRPr="003C6DAE" w:rsidRDefault="00E05B98">
      <w:pPr>
        <w:pStyle w:val="a3"/>
        <w:rPr>
          <w:rFonts w:ascii="Arial"/>
          <w:b/>
          <w:lang w:val="uk-UA"/>
        </w:rPr>
      </w:pPr>
    </w:p>
    <w:p w14:paraId="6625F738" w14:textId="77777777" w:rsidR="00E05B98" w:rsidRPr="003C6DAE" w:rsidRDefault="00E05B98">
      <w:pPr>
        <w:pStyle w:val="a3"/>
        <w:rPr>
          <w:rFonts w:ascii="Arial"/>
          <w:b/>
          <w:lang w:val="uk-UA"/>
        </w:rPr>
      </w:pPr>
    </w:p>
    <w:p w14:paraId="598A0086" w14:textId="77777777" w:rsidR="00E05B98" w:rsidRPr="003C6DAE" w:rsidRDefault="00E05B98">
      <w:pPr>
        <w:pStyle w:val="a3"/>
        <w:rPr>
          <w:rFonts w:ascii="Arial"/>
          <w:b/>
          <w:lang w:val="uk-UA"/>
        </w:rPr>
      </w:pPr>
    </w:p>
    <w:p w14:paraId="1E430513" w14:textId="77777777" w:rsidR="00E05B98" w:rsidRPr="003C6DAE" w:rsidRDefault="00E05B98">
      <w:pPr>
        <w:pStyle w:val="a3"/>
        <w:rPr>
          <w:rFonts w:ascii="Arial"/>
          <w:b/>
          <w:lang w:val="uk-UA"/>
        </w:rPr>
      </w:pPr>
    </w:p>
    <w:p w14:paraId="0C266F11" w14:textId="77777777" w:rsidR="00E05B98" w:rsidRPr="003C6DAE" w:rsidRDefault="00E05B98">
      <w:pPr>
        <w:pStyle w:val="a3"/>
        <w:rPr>
          <w:rFonts w:ascii="Arial"/>
          <w:b/>
          <w:lang w:val="uk-UA"/>
        </w:rPr>
      </w:pPr>
    </w:p>
    <w:p w14:paraId="397F8564" w14:textId="77777777" w:rsidR="00E05B98" w:rsidRPr="003C6DAE" w:rsidRDefault="00E05B98">
      <w:pPr>
        <w:pStyle w:val="a3"/>
        <w:rPr>
          <w:rFonts w:ascii="Arial"/>
          <w:b/>
          <w:lang w:val="uk-UA"/>
        </w:rPr>
      </w:pPr>
    </w:p>
    <w:p w14:paraId="6C2D193A" w14:textId="77777777" w:rsidR="00E05B98" w:rsidRPr="003C6DAE" w:rsidRDefault="00E05B98">
      <w:pPr>
        <w:pStyle w:val="a3"/>
        <w:rPr>
          <w:rFonts w:ascii="Arial"/>
          <w:b/>
          <w:lang w:val="uk-UA"/>
        </w:rPr>
      </w:pPr>
    </w:p>
    <w:p w14:paraId="192DC65A" w14:textId="77777777" w:rsidR="00E05B98" w:rsidRPr="003C6DAE" w:rsidRDefault="00E05B98">
      <w:pPr>
        <w:pStyle w:val="a3"/>
        <w:rPr>
          <w:rFonts w:ascii="Arial"/>
          <w:b/>
          <w:lang w:val="uk-UA"/>
        </w:rPr>
      </w:pPr>
    </w:p>
    <w:p w14:paraId="0C1F1CFA" w14:textId="77777777" w:rsidR="00E05B98" w:rsidRPr="003C6DAE" w:rsidRDefault="00E05B98">
      <w:pPr>
        <w:pStyle w:val="a3"/>
        <w:rPr>
          <w:rFonts w:ascii="Arial"/>
          <w:b/>
          <w:lang w:val="uk-UA"/>
        </w:rPr>
      </w:pPr>
    </w:p>
    <w:p w14:paraId="20A751BA" w14:textId="77777777" w:rsidR="00E05B98" w:rsidRPr="003C6DAE" w:rsidRDefault="00E05B98">
      <w:pPr>
        <w:pStyle w:val="a3"/>
        <w:rPr>
          <w:rFonts w:ascii="Arial"/>
          <w:b/>
          <w:lang w:val="uk-UA"/>
        </w:rPr>
      </w:pPr>
    </w:p>
    <w:p w14:paraId="4DF71B2B" w14:textId="77777777" w:rsidR="00E05B98" w:rsidRPr="003C6DAE" w:rsidRDefault="00E05B98">
      <w:pPr>
        <w:pStyle w:val="a3"/>
        <w:rPr>
          <w:rFonts w:ascii="Arial"/>
          <w:b/>
          <w:lang w:val="uk-UA"/>
        </w:rPr>
      </w:pPr>
    </w:p>
    <w:p w14:paraId="1BDA2F38" w14:textId="77777777" w:rsidR="00E05B98" w:rsidRPr="003C6DAE" w:rsidRDefault="00E05B98">
      <w:pPr>
        <w:pStyle w:val="a3"/>
        <w:rPr>
          <w:rFonts w:ascii="Arial"/>
          <w:b/>
          <w:lang w:val="uk-UA"/>
        </w:rPr>
      </w:pPr>
    </w:p>
    <w:p w14:paraId="1C522EB8" w14:textId="77777777" w:rsidR="00E05B98" w:rsidRPr="003C6DAE" w:rsidRDefault="00E05B98">
      <w:pPr>
        <w:pStyle w:val="a3"/>
        <w:rPr>
          <w:rFonts w:ascii="Arial"/>
          <w:b/>
          <w:lang w:val="uk-UA"/>
        </w:rPr>
      </w:pPr>
    </w:p>
    <w:p w14:paraId="17D7053D" w14:textId="77777777" w:rsidR="00E05B98" w:rsidRPr="003C6DAE" w:rsidRDefault="00E05B98">
      <w:pPr>
        <w:pStyle w:val="a3"/>
        <w:rPr>
          <w:rFonts w:ascii="Arial"/>
          <w:b/>
          <w:lang w:val="uk-UA"/>
        </w:rPr>
      </w:pPr>
    </w:p>
    <w:p w14:paraId="2EF0B813" w14:textId="77777777" w:rsidR="00E05B98" w:rsidRPr="003C6DAE" w:rsidRDefault="00E05B98">
      <w:pPr>
        <w:pStyle w:val="a3"/>
        <w:rPr>
          <w:rFonts w:ascii="Arial"/>
          <w:b/>
          <w:lang w:val="uk-UA"/>
        </w:rPr>
      </w:pPr>
    </w:p>
    <w:p w14:paraId="63D26C3E" w14:textId="77777777" w:rsidR="00E05B98" w:rsidRPr="003C6DAE" w:rsidRDefault="00E05B98">
      <w:pPr>
        <w:pStyle w:val="a3"/>
        <w:rPr>
          <w:rFonts w:ascii="Arial"/>
          <w:b/>
          <w:lang w:val="uk-UA"/>
        </w:rPr>
      </w:pPr>
    </w:p>
    <w:p w14:paraId="1A8F8155" w14:textId="77777777" w:rsidR="00E05B98" w:rsidRPr="003C6DAE" w:rsidRDefault="00E05B98">
      <w:pPr>
        <w:pStyle w:val="a3"/>
        <w:rPr>
          <w:rFonts w:ascii="Arial"/>
          <w:b/>
          <w:lang w:val="uk-UA"/>
        </w:rPr>
      </w:pPr>
    </w:p>
    <w:p w14:paraId="0E61688F" w14:textId="77777777" w:rsidR="00E05B98" w:rsidRPr="003C6DAE" w:rsidRDefault="00E05B98">
      <w:pPr>
        <w:pStyle w:val="a3"/>
        <w:rPr>
          <w:rFonts w:ascii="Arial"/>
          <w:b/>
          <w:lang w:val="uk-UA"/>
        </w:rPr>
      </w:pPr>
    </w:p>
    <w:p w14:paraId="49F4DEC9" w14:textId="77777777" w:rsidR="00E05B98" w:rsidRPr="003C6DAE" w:rsidRDefault="00E05B98">
      <w:pPr>
        <w:pStyle w:val="a3"/>
        <w:rPr>
          <w:rFonts w:ascii="Arial"/>
          <w:b/>
          <w:lang w:val="uk-UA"/>
        </w:rPr>
      </w:pPr>
    </w:p>
    <w:p w14:paraId="52139EA2" w14:textId="77777777" w:rsidR="00E05B98" w:rsidRPr="003C6DAE" w:rsidRDefault="00E05B98">
      <w:pPr>
        <w:pStyle w:val="a3"/>
        <w:rPr>
          <w:rFonts w:ascii="Arial"/>
          <w:b/>
          <w:lang w:val="uk-UA"/>
        </w:rPr>
      </w:pPr>
    </w:p>
    <w:p w14:paraId="55B98FFB" w14:textId="77777777" w:rsidR="00E05B98" w:rsidRPr="003C6DAE" w:rsidRDefault="00E05B98">
      <w:pPr>
        <w:pStyle w:val="a3"/>
        <w:rPr>
          <w:rFonts w:ascii="Arial"/>
          <w:b/>
          <w:lang w:val="uk-UA"/>
        </w:rPr>
      </w:pPr>
    </w:p>
    <w:p w14:paraId="4AD575F0" w14:textId="77777777" w:rsidR="00E05B98" w:rsidRPr="003C6DAE" w:rsidRDefault="00E05B98">
      <w:pPr>
        <w:pStyle w:val="a3"/>
        <w:rPr>
          <w:rFonts w:ascii="Arial"/>
          <w:b/>
          <w:lang w:val="uk-UA"/>
        </w:rPr>
      </w:pPr>
    </w:p>
    <w:p w14:paraId="7A1A4549" w14:textId="77777777" w:rsidR="00E05B98" w:rsidRPr="003C6DAE" w:rsidRDefault="00E05B98">
      <w:pPr>
        <w:pStyle w:val="a3"/>
        <w:rPr>
          <w:rFonts w:ascii="Arial"/>
          <w:b/>
          <w:lang w:val="uk-UA"/>
        </w:rPr>
      </w:pPr>
    </w:p>
    <w:p w14:paraId="5CE0FE33" w14:textId="77777777" w:rsidR="00E05B98" w:rsidRPr="003C6DAE" w:rsidRDefault="00E05B98">
      <w:pPr>
        <w:pStyle w:val="a3"/>
        <w:rPr>
          <w:rFonts w:ascii="Arial"/>
          <w:b/>
          <w:lang w:val="uk-UA"/>
        </w:rPr>
      </w:pPr>
    </w:p>
    <w:p w14:paraId="3E84CDF5" w14:textId="77777777" w:rsidR="00E05B98" w:rsidRPr="003C6DAE" w:rsidRDefault="00E05B98">
      <w:pPr>
        <w:pStyle w:val="a3"/>
        <w:rPr>
          <w:rFonts w:ascii="Arial"/>
          <w:b/>
          <w:lang w:val="uk-UA"/>
        </w:rPr>
      </w:pPr>
    </w:p>
    <w:p w14:paraId="07DE0B45" w14:textId="77777777" w:rsidR="00E05B98" w:rsidRPr="003C6DAE" w:rsidRDefault="00E05B98">
      <w:pPr>
        <w:pStyle w:val="a3"/>
        <w:rPr>
          <w:rFonts w:ascii="Arial"/>
          <w:b/>
          <w:lang w:val="uk-UA"/>
        </w:rPr>
      </w:pPr>
    </w:p>
    <w:p w14:paraId="6C6312AE" w14:textId="77777777" w:rsidR="00E05B98" w:rsidRPr="003C6DAE" w:rsidRDefault="00E05B98">
      <w:pPr>
        <w:pStyle w:val="a3"/>
        <w:rPr>
          <w:rFonts w:ascii="Arial"/>
          <w:b/>
          <w:lang w:val="uk-UA"/>
        </w:rPr>
      </w:pPr>
    </w:p>
    <w:p w14:paraId="2FD09B64" w14:textId="77777777" w:rsidR="00E05B98" w:rsidRPr="003C6DAE" w:rsidRDefault="00E05B98">
      <w:pPr>
        <w:pStyle w:val="a3"/>
        <w:rPr>
          <w:rFonts w:ascii="Arial"/>
          <w:b/>
          <w:lang w:val="uk-UA"/>
        </w:rPr>
      </w:pPr>
    </w:p>
    <w:p w14:paraId="70E620AB" w14:textId="77777777" w:rsidR="00E05B98" w:rsidRPr="003C6DAE" w:rsidRDefault="00E05B98">
      <w:pPr>
        <w:pStyle w:val="a3"/>
        <w:rPr>
          <w:rFonts w:ascii="Arial"/>
          <w:b/>
          <w:lang w:val="uk-UA"/>
        </w:rPr>
      </w:pPr>
    </w:p>
    <w:p w14:paraId="47803C0D" w14:textId="77777777" w:rsidR="00E05B98" w:rsidRPr="003C6DAE" w:rsidRDefault="00E05B98">
      <w:pPr>
        <w:pStyle w:val="a3"/>
        <w:rPr>
          <w:rFonts w:ascii="Arial"/>
          <w:b/>
          <w:lang w:val="uk-UA"/>
        </w:rPr>
      </w:pPr>
    </w:p>
    <w:p w14:paraId="1D8CA959" w14:textId="77777777" w:rsidR="00E05B98" w:rsidRPr="003C6DAE" w:rsidRDefault="00E05B98">
      <w:pPr>
        <w:pStyle w:val="a3"/>
        <w:rPr>
          <w:rFonts w:ascii="Arial"/>
          <w:b/>
          <w:lang w:val="uk-UA"/>
        </w:rPr>
      </w:pPr>
    </w:p>
    <w:p w14:paraId="38498104" w14:textId="77777777" w:rsidR="00E05B98" w:rsidRPr="003C6DAE" w:rsidRDefault="00E05B98">
      <w:pPr>
        <w:pStyle w:val="a3"/>
        <w:spacing w:before="24"/>
        <w:rPr>
          <w:rFonts w:ascii="Arial"/>
          <w:b/>
          <w:lang w:val="uk-UA"/>
        </w:rPr>
      </w:pPr>
    </w:p>
    <w:p w14:paraId="76E74D71" w14:textId="64E44302" w:rsidR="00E05B98" w:rsidRPr="003C6DAE" w:rsidRDefault="00E76A11">
      <w:pPr>
        <w:pStyle w:val="a3"/>
        <w:ind w:left="147"/>
        <w:rPr>
          <w:rFonts w:ascii="Trebuchet MS"/>
          <w:lang w:val="uk-UA"/>
        </w:rPr>
      </w:pPr>
      <w:r w:rsidRPr="00E76A11">
        <w:rPr>
          <w:rFonts w:ascii="Trebuchet MS"/>
          <w:color w:val="FFFFFF"/>
          <w:w w:val="90"/>
          <w:lang w:val="uk-UA"/>
        </w:rPr>
        <w:t>Для</w:t>
      </w:r>
      <w:r w:rsidRPr="00E76A11">
        <w:rPr>
          <w:rFonts w:ascii="Trebuchet MS"/>
          <w:color w:val="FFFFFF"/>
          <w:w w:val="90"/>
          <w:lang w:val="uk-UA"/>
        </w:rPr>
        <w:t xml:space="preserve"> </w:t>
      </w:r>
      <w:r w:rsidRPr="00E76A11">
        <w:rPr>
          <w:rFonts w:ascii="Trebuchet MS"/>
          <w:color w:val="FFFFFF"/>
          <w:w w:val="90"/>
          <w:lang w:val="uk-UA"/>
        </w:rPr>
        <w:t>отримання</w:t>
      </w:r>
      <w:r w:rsidRPr="00E76A11">
        <w:rPr>
          <w:rFonts w:ascii="Trebuchet MS"/>
          <w:color w:val="FFFFFF"/>
          <w:w w:val="90"/>
          <w:lang w:val="uk-UA"/>
        </w:rPr>
        <w:t xml:space="preserve"> </w:t>
      </w:r>
      <w:r w:rsidRPr="00E76A11">
        <w:rPr>
          <w:rFonts w:ascii="Trebuchet MS"/>
          <w:color w:val="FFFFFF"/>
          <w:w w:val="90"/>
          <w:lang w:val="uk-UA"/>
        </w:rPr>
        <w:t>додаткової</w:t>
      </w:r>
      <w:r w:rsidRPr="00E76A11">
        <w:rPr>
          <w:rFonts w:ascii="Trebuchet MS"/>
          <w:color w:val="FFFFFF"/>
          <w:w w:val="90"/>
          <w:lang w:val="uk-UA"/>
        </w:rPr>
        <w:t xml:space="preserve"> </w:t>
      </w:r>
      <w:r w:rsidRPr="00E76A11">
        <w:rPr>
          <w:rFonts w:ascii="Trebuchet MS"/>
          <w:color w:val="FFFFFF"/>
          <w:w w:val="90"/>
          <w:lang w:val="uk-UA"/>
        </w:rPr>
        <w:t>інформації</w:t>
      </w:r>
      <w:r w:rsidRPr="00E76A11">
        <w:rPr>
          <w:rFonts w:ascii="Trebuchet MS"/>
          <w:color w:val="FFFFFF"/>
          <w:w w:val="90"/>
          <w:lang w:val="uk-UA"/>
        </w:rPr>
        <w:t xml:space="preserve"> </w:t>
      </w:r>
      <w:r w:rsidRPr="00E76A11">
        <w:rPr>
          <w:rFonts w:ascii="Trebuchet MS"/>
          <w:color w:val="FFFFFF"/>
          <w:w w:val="90"/>
          <w:lang w:val="uk-UA"/>
        </w:rPr>
        <w:t>прохання</w:t>
      </w:r>
      <w:r w:rsidRPr="00E76A11">
        <w:rPr>
          <w:rFonts w:ascii="Trebuchet MS"/>
          <w:color w:val="FFFFFF"/>
          <w:w w:val="90"/>
          <w:lang w:val="uk-UA"/>
        </w:rPr>
        <w:t xml:space="preserve"> </w:t>
      </w:r>
      <w:r w:rsidRPr="00E76A11">
        <w:rPr>
          <w:rFonts w:ascii="Trebuchet MS"/>
          <w:color w:val="FFFFFF"/>
          <w:w w:val="90"/>
          <w:lang w:val="uk-UA"/>
        </w:rPr>
        <w:t>звертатися</w:t>
      </w:r>
      <w:r w:rsidRPr="00E76A11">
        <w:rPr>
          <w:rFonts w:ascii="Trebuchet MS"/>
          <w:color w:val="FFFFFF"/>
          <w:w w:val="90"/>
          <w:lang w:val="uk-UA"/>
        </w:rPr>
        <w:t xml:space="preserve"> </w:t>
      </w:r>
      <w:r w:rsidRPr="00E76A11">
        <w:rPr>
          <w:rFonts w:ascii="Trebuchet MS"/>
          <w:color w:val="FFFFFF"/>
          <w:w w:val="90"/>
          <w:lang w:val="uk-UA"/>
        </w:rPr>
        <w:t>до</w:t>
      </w:r>
      <w:r>
        <w:rPr>
          <w:rFonts w:ascii="Trebuchet MS"/>
          <w:color w:val="FFFFFF"/>
          <w:w w:val="90"/>
          <w:lang w:val="uk-UA"/>
        </w:rPr>
        <w:t>:</w:t>
      </w:r>
    </w:p>
    <w:p w14:paraId="2292E3D6" w14:textId="3F0E2BA9" w:rsidR="00E05B98" w:rsidRPr="003C6DAE" w:rsidRDefault="00E76A11" w:rsidP="00E76A11">
      <w:pPr>
        <w:pStyle w:val="a3"/>
        <w:spacing w:before="153" w:line="307" w:lineRule="auto"/>
        <w:ind w:left="147" w:right="3973"/>
        <w:rPr>
          <w:rFonts w:ascii="Trebuchet MS"/>
          <w:lang w:val="uk-UA"/>
        </w:rPr>
      </w:pPr>
      <w:r w:rsidRPr="00E76A11">
        <w:rPr>
          <w:rFonts w:ascii="Trebuchet MS"/>
          <w:color w:val="FFFFFF"/>
          <w:spacing w:val="-6"/>
          <w:lang w:val="uk-UA"/>
        </w:rPr>
        <w:t>Глобальної</w:t>
      </w:r>
      <w:r w:rsidRPr="00E76A11">
        <w:rPr>
          <w:rFonts w:ascii="Trebuchet MS"/>
          <w:color w:val="FFFFFF"/>
          <w:spacing w:val="-6"/>
          <w:lang w:val="uk-UA"/>
        </w:rPr>
        <w:t xml:space="preserve"> </w:t>
      </w:r>
      <w:r w:rsidRPr="00E76A11">
        <w:rPr>
          <w:rFonts w:ascii="Trebuchet MS"/>
          <w:color w:val="FFFFFF"/>
          <w:spacing w:val="-6"/>
          <w:lang w:val="uk-UA"/>
        </w:rPr>
        <w:t>програми</w:t>
      </w:r>
      <w:r w:rsidRPr="00E76A11">
        <w:rPr>
          <w:rFonts w:ascii="Trebuchet MS"/>
          <w:color w:val="FFFFFF"/>
          <w:spacing w:val="-6"/>
          <w:lang w:val="uk-UA"/>
        </w:rPr>
        <w:t xml:space="preserve"> </w:t>
      </w:r>
      <w:r w:rsidRPr="00E76A11">
        <w:rPr>
          <w:rFonts w:ascii="Trebuchet MS"/>
          <w:color w:val="FFFFFF"/>
          <w:spacing w:val="-6"/>
          <w:lang w:val="uk-UA"/>
        </w:rPr>
        <w:t>з</w:t>
      </w:r>
      <w:r w:rsidRPr="00E76A11">
        <w:rPr>
          <w:rFonts w:ascii="Trebuchet MS"/>
          <w:color w:val="FFFFFF"/>
          <w:spacing w:val="-6"/>
          <w:lang w:val="uk-UA"/>
        </w:rPr>
        <w:t xml:space="preserve"> </w:t>
      </w:r>
      <w:r w:rsidRPr="00E76A11">
        <w:rPr>
          <w:rFonts w:ascii="Trebuchet MS"/>
          <w:color w:val="FFFFFF"/>
          <w:spacing w:val="-6"/>
          <w:lang w:val="uk-UA"/>
        </w:rPr>
        <w:t>туберкульозу</w:t>
      </w:r>
      <w:r w:rsidRPr="00E76A11">
        <w:rPr>
          <w:rFonts w:ascii="Trebuchet MS"/>
          <w:color w:val="FFFFFF"/>
          <w:spacing w:val="-6"/>
          <w:lang w:val="uk-UA"/>
        </w:rPr>
        <w:t xml:space="preserve"> </w:t>
      </w:r>
      <w:r w:rsidRPr="00E76A11">
        <w:rPr>
          <w:rFonts w:ascii="Trebuchet MS"/>
          <w:color w:val="FFFFFF"/>
          <w:spacing w:val="-6"/>
          <w:lang w:val="uk-UA"/>
        </w:rPr>
        <w:t>та</w:t>
      </w:r>
      <w:r w:rsidRPr="00E76A11">
        <w:rPr>
          <w:rFonts w:ascii="Trebuchet MS"/>
          <w:color w:val="FFFFFF"/>
          <w:spacing w:val="-6"/>
          <w:lang w:val="uk-UA"/>
        </w:rPr>
        <w:t xml:space="preserve"> </w:t>
      </w:r>
      <w:r w:rsidRPr="00E76A11">
        <w:rPr>
          <w:rFonts w:ascii="Trebuchet MS"/>
          <w:color w:val="FFFFFF"/>
          <w:spacing w:val="-6"/>
          <w:lang w:val="uk-UA"/>
        </w:rPr>
        <w:t>здоров</w:t>
      </w:r>
      <w:r w:rsidRPr="00E76A11">
        <w:rPr>
          <w:rFonts w:ascii="Trebuchet MS"/>
          <w:color w:val="FFFFFF"/>
          <w:spacing w:val="-6"/>
          <w:lang w:val="uk-UA"/>
        </w:rPr>
        <w:t>'</w:t>
      </w:r>
      <w:r w:rsidRPr="00E76A11">
        <w:rPr>
          <w:rFonts w:ascii="Trebuchet MS"/>
          <w:color w:val="FFFFFF"/>
          <w:spacing w:val="-6"/>
          <w:lang w:val="uk-UA"/>
        </w:rPr>
        <w:t>я</w:t>
      </w:r>
      <w:r>
        <w:rPr>
          <w:rFonts w:ascii="Trebuchet MS"/>
          <w:color w:val="FFFFFF"/>
          <w:spacing w:val="-6"/>
          <w:lang w:val="uk-UA"/>
        </w:rPr>
        <w:t xml:space="preserve"> </w:t>
      </w:r>
      <w:r w:rsidRPr="00E76A11">
        <w:rPr>
          <w:rFonts w:ascii="Trebuchet MS"/>
          <w:color w:val="FFFFFF"/>
          <w:spacing w:val="-6"/>
          <w:lang w:val="uk-UA"/>
        </w:rPr>
        <w:t>легень</w:t>
      </w:r>
      <w:r w:rsidRPr="00E76A11">
        <w:rPr>
          <w:rFonts w:ascii="Trebuchet MS"/>
          <w:color w:val="FFFFFF"/>
          <w:spacing w:val="-6"/>
          <w:lang w:val="uk-UA"/>
        </w:rPr>
        <w:t xml:space="preserve"> </w:t>
      </w:r>
      <w:r w:rsidRPr="00E76A11">
        <w:rPr>
          <w:rFonts w:ascii="Trebuchet MS"/>
          <w:color w:val="FFFFFF"/>
          <w:spacing w:val="-6"/>
          <w:lang w:val="uk-UA"/>
        </w:rPr>
        <w:t>Всесвітньої</w:t>
      </w:r>
      <w:r w:rsidRPr="00E76A11">
        <w:rPr>
          <w:rFonts w:ascii="Trebuchet MS"/>
          <w:color w:val="FFFFFF"/>
          <w:spacing w:val="-6"/>
          <w:lang w:val="uk-UA"/>
        </w:rPr>
        <w:t xml:space="preserve"> </w:t>
      </w:r>
      <w:r w:rsidRPr="00E76A11">
        <w:rPr>
          <w:rFonts w:ascii="Trebuchet MS"/>
          <w:color w:val="FFFFFF"/>
          <w:spacing w:val="-6"/>
          <w:lang w:val="uk-UA"/>
        </w:rPr>
        <w:t>організації</w:t>
      </w:r>
      <w:r w:rsidRPr="00E76A11">
        <w:rPr>
          <w:rFonts w:ascii="Trebuchet MS"/>
          <w:color w:val="FFFFFF"/>
          <w:spacing w:val="-6"/>
          <w:lang w:val="uk-UA"/>
        </w:rPr>
        <w:t xml:space="preserve"> </w:t>
      </w:r>
      <w:r w:rsidRPr="00E76A11">
        <w:rPr>
          <w:rFonts w:ascii="Trebuchet MS"/>
          <w:color w:val="FFFFFF"/>
          <w:spacing w:val="-6"/>
          <w:lang w:val="uk-UA"/>
        </w:rPr>
        <w:t>охорони</w:t>
      </w:r>
      <w:r w:rsidRPr="00E76A11">
        <w:rPr>
          <w:rFonts w:ascii="Trebuchet MS"/>
          <w:color w:val="FFFFFF"/>
          <w:spacing w:val="-6"/>
          <w:lang w:val="uk-UA"/>
        </w:rPr>
        <w:t xml:space="preserve"> </w:t>
      </w:r>
      <w:r w:rsidRPr="00E76A11">
        <w:rPr>
          <w:rFonts w:ascii="Trebuchet MS"/>
          <w:color w:val="FFFFFF"/>
          <w:spacing w:val="-6"/>
          <w:lang w:val="uk-UA"/>
        </w:rPr>
        <w:t>здоров</w:t>
      </w:r>
      <w:r w:rsidRPr="00E76A11">
        <w:rPr>
          <w:rFonts w:ascii="Trebuchet MS"/>
          <w:color w:val="FFFFFF"/>
          <w:spacing w:val="-6"/>
          <w:lang w:val="uk-UA"/>
        </w:rPr>
        <w:t>'</w:t>
      </w:r>
      <w:r w:rsidRPr="00E76A11">
        <w:rPr>
          <w:rFonts w:ascii="Trebuchet MS"/>
          <w:color w:val="FFFFFF"/>
          <w:spacing w:val="-6"/>
          <w:lang w:val="uk-UA"/>
        </w:rPr>
        <w:t>я</w:t>
      </w:r>
    </w:p>
    <w:p w14:paraId="783B3EEA" w14:textId="37733B30" w:rsidR="00E05B98" w:rsidRPr="003C6DAE" w:rsidRDefault="00B01E0C">
      <w:pPr>
        <w:pStyle w:val="a3"/>
        <w:spacing w:before="2" w:line="307" w:lineRule="auto"/>
        <w:ind w:left="147" w:right="4688"/>
        <w:rPr>
          <w:rFonts w:ascii="Trebuchet MS"/>
          <w:lang w:val="uk-UA"/>
        </w:rPr>
      </w:pPr>
      <w:r w:rsidRPr="003C6DAE">
        <w:rPr>
          <w:rFonts w:ascii="Trebuchet MS"/>
          <w:color w:val="FFFFFF"/>
          <w:spacing w:val="-6"/>
          <w:lang w:val="uk-UA"/>
        </w:rPr>
        <w:t>20,</w:t>
      </w:r>
      <w:r w:rsidRPr="003C6DAE">
        <w:rPr>
          <w:rFonts w:ascii="Trebuchet MS"/>
          <w:color w:val="FFFFFF"/>
          <w:spacing w:val="-22"/>
          <w:lang w:val="uk-UA"/>
        </w:rPr>
        <w:t xml:space="preserve"> </w:t>
      </w:r>
      <w:r w:rsidRPr="003C6DAE">
        <w:rPr>
          <w:rFonts w:ascii="Trebuchet MS"/>
          <w:color w:val="FFFFFF"/>
          <w:spacing w:val="-6"/>
          <w:lang w:val="uk-UA"/>
        </w:rPr>
        <w:t>Avenue</w:t>
      </w:r>
      <w:r w:rsidRPr="003C6DAE">
        <w:rPr>
          <w:rFonts w:ascii="Trebuchet MS"/>
          <w:color w:val="FFFFFF"/>
          <w:spacing w:val="-20"/>
          <w:lang w:val="uk-UA"/>
        </w:rPr>
        <w:t xml:space="preserve"> </w:t>
      </w:r>
      <w:r w:rsidRPr="003C6DAE">
        <w:rPr>
          <w:rFonts w:ascii="Trebuchet MS"/>
          <w:color w:val="FFFFFF"/>
          <w:spacing w:val="-6"/>
          <w:lang w:val="uk-UA"/>
        </w:rPr>
        <w:t>Appia</w:t>
      </w:r>
      <w:r w:rsidRPr="003C6DAE">
        <w:rPr>
          <w:rFonts w:ascii="Trebuchet MS"/>
          <w:color w:val="FFFFFF"/>
          <w:spacing w:val="-20"/>
          <w:lang w:val="uk-UA"/>
        </w:rPr>
        <w:t xml:space="preserve"> </w:t>
      </w:r>
      <w:r w:rsidRPr="003C6DAE">
        <w:rPr>
          <w:rFonts w:ascii="Trebuchet MS"/>
          <w:color w:val="FFFFFF"/>
          <w:spacing w:val="-6"/>
          <w:lang w:val="uk-UA"/>
        </w:rPr>
        <w:t>CH-1211</w:t>
      </w:r>
      <w:r w:rsidRPr="003C6DAE">
        <w:rPr>
          <w:rFonts w:ascii="Trebuchet MS"/>
          <w:color w:val="FFFFFF"/>
          <w:spacing w:val="-20"/>
          <w:lang w:val="uk-UA"/>
        </w:rPr>
        <w:t xml:space="preserve"> </w:t>
      </w:r>
      <w:r w:rsidR="00E76A11">
        <w:rPr>
          <w:rFonts w:ascii="Trebuchet MS"/>
          <w:color w:val="FFFFFF"/>
          <w:spacing w:val="-6"/>
          <w:lang w:val="uk-UA"/>
        </w:rPr>
        <w:t>Женева</w:t>
      </w:r>
      <w:r w:rsidRPr="003C6DAE">
        <w:rPr>
          <w:rFonts w:ascii="Trebuchet MS"/>
          <w:color w:val="FFFFFF"/>
          <w:spacing w:val="-20"/>
          <w:lang w:val="uk-UA"/>
        </w:rPr>
        <w:t xml:space="preserve"> </w:t>
      </w:r>
      <w:r w:rsidRPr="003C6DAE">
        <w:rPr>
          <w:rFonts w:ascii="Trebuchet MS"/>
          <w:color w:val="FFFFFF"/>
          <w:spacing w:val="-6"/>
          <w:lang w:val="uk-UA"/>
        </w:rPr>
        <w:t>27</w:t>
      </w:r>
      <w:r w:rsidR="00E76A11">
        <w:rPr>
          <w:rFonts w:ascii="Trebuchet MS"/>
          <w:color w:val="FFFFFF"/>
          <w:spacing w:val="-6"/>
          <w:lang w:val="uk-UA"/>
        </w:rPr>
        <w:t>,</w:t>
      </w:r>
      <w:r w:rsidRPr="003C6DAE">
        <w:rPr>
          <w:rFonts w:ascii="Trebuchet MS"/>
          <w:color w:val="FFFFFF"/>
          <w:spacing w:val="-20"/>
          <w:lang w:val="uk-UA"/>
        </w:rPr>
        <w:t xml:space="preserve"> </w:t>
      </w:r>
      <w:r w:rsidR="00E76A11">
        <w:rPr>
          <w:rFonts w:ascii="Trebuchet MS"/>
          <w:color w:val="FFFFFF"/>
          <w:spacing w:val="-6"/>
          <w:lang w:val="uk-UA"/>
        </w:rPr>
        <w:t>Швейцарія</w:t>
      </w:r>
      <w:r w:rsidR="00E76A11">
        <w:rPr>
          <w:rFonts w:ascii="Trebuchet MS"/>
          <w:color w:val="FFFFFF"/>
          <w:spacing w:val="-6"/>
          <w:lang w:val="uk-UA"/>
        </w:rPr>
        <w:t xml:space="preserve"> </w:t>
      </w:r>
      <w:r w:rsidR="00E76A11">
        <w:rPr>
          <w:rFonts w:ascii="Trebuchet MS"/>
          <w:color w:val="FFFFFF"/>
          <w:spacing w:val="-4"/>
          <w:lang w:val="uk-UA"/>
        </w:rPr>
        <w:t>Веб</w:t>
      </w:r>
      <w:r w:rsidR="00E76A11">
        <w:rPr>
          <w:rFonts w:ascii="Trebuchet MS"/>
          <w:color w:val="FFFFFF"/>
          <w:spacing w:val="-4"/>
          <w:lang w:val="uk-UA"/>
        </w:rPr>
        <w:t>-</w:t>
      </w:r>
      <w:r w:rsidR="00E76A11">
        <w:rPr>
          <w:rFonts w:ascii="Trebuchet MS"/>
          <w:color w:val="FFFFFF"/>
          <w:spacing w:val="-4"/>
          <w:lang w:val="uk-UA"/>
        </w:rPr>
        <w:t>сайт</w:t>
      </w:r>
      <w:r w:rsidRPr="003C6DAE">
        <w:rPr>
          <w:rFonts w:ascii="Trebuchet MS"/>
          <w:color w:val="FFFFFF"/>
          <w:spacing w:val="-4"/>
          <w:lang w:val="uk-UA"/>
        </w:rPr>
        <w:t>:</w:t>
      </w:r>
      <w:r w:rsidRPr="003C6DAE">
        <w:rPr>
          <w:rFonts w:ascii="Trebuchet MS"/>
          <w:color w:val="FFFFFF"/>
          <w:spacing w:val="-20"/>
          <w:lang w:val="uk-UA"/>
        </w:rPr>
        <w:t xml:space="preserve"> </w:t>
      </w:r>
      <w:hyperlink r:id="rId253">
        <w:r w:rsidRPr="003C6DAE">
          <w:rPr>
            <w:rFonts w:ascii="Trebuchet MS"/>
            <w:color w:val="FFFFFF"/>
            <w:spacing w:val="-4"/>
            <w:lang w:val="uk-UA"/>
          </w:rPr>
          <w:t>www.who.int/tb</w:t>
        </w:r>
      </w:hyperlink>
    </w:p>
    <w:sectPr w:rsidR="00E05B98" w:rsidRPr="003C6DAE">
      <w:footerReference w:type="even" r:id="rId254"/>
      <w:pgSz w:w="11910" w:h="16840"/>
      <w:pgMar w:top="1920" w:right="1275" w:bottom="280" w:left="85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75963" w14:textId="77777777" w:rsidR="00A51EA3" w:rsidRDefault="00A51EA3">
      <w:r>
        <w:separator/>
      </w:r>
    </w:p>
  </w:endnote>
  <w:endnote w:type="continuationSeparator" w:id="0">
    <w:p w14:paraId="14A4D6DC" w14:textId="77777777" w:rsidR="00A51EA3" w:rsidRDefault="00A51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3E00A" w14:textId="77777777" w:rsidR="007372B2" w:rsidRDefault="007372B2">
    <w:pPr>
      <w:pStyle w:val="a3"/>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BE79A" w14:textId="77777777" w:rsidR="007372B2" w:rsidRDefault="007372B2">
    <w:pPr>
      <w:pStyle w:val="a3"/>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F3F24" w14:textId="7D8F7EF2" w:rsidR="007372B2" w:rsidRDefault="007372B2">
    <w:pPr>
      <w:pStyle w:val="a3"/>
      <w:spacing w:line="14" w:lineRule="auto"/>
      <w:rPr>
        <w:sz w:val="20"/>
      </w:rPr>
    </w:pPr>
    <w:r>
      <w:rPr>
        <w:noProof/>
        <w:sz w:val="20"/>
      </w:rPr>
      <mc:AlternateContent>
        <mc:Choice Requires="wps">
          <w:drawing>
            <wp:anchor distT="0" distB="0" distL="0" distR="0" simplePos="0" relativeHeight="251648000" behindDoc="1" locked="0" layoutInCell="1" allowOverlap="1" wp14:anchorId="319CA664" wp14:editId="647489E2">
              <wp:simplePos x="0" y="0"/>
              <wp:positionH relativeFrom="page">
                <wp:posOffset>889000</wp:posOffset>
              </wp:positionH>
              <wp:positionV relativeFrom="page">
                <wp:posOffset>10191750</wp:posOffset>
              </wp:positionV>
              <wp:extent cx="3486150" cy="12065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0" cy="120650"/>
                      </a:xfrm>
                      <a:prstGeom prst="rect">
                        <a:avLst/>
                      </a:prstGeom>
                    </wps:spPr>
                    <wps:txbx>
                      <w:txbxContent>
                        <w:p w14:paraId="5D3767CC" w14:textId="77777777" w:rsidR="007372B2" w:rsidRPr="00671EF3" w:rsidRDefault="007372B2" w:rsidP="008566AE">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p w14:paraId="4C9B1181" w14:textId="4EE5B401" w:rsidR="007372B2" w:rsidRPr="008566AE" w:rsidRDefault="007372B2">
                          <w:pPr>
                            <w:ind w:left="20"/>
                            <w:rPr>
                              <w:sz w:val="16"/>
                              <w:lang w:val="ru-RU"/>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19CA664" id="_x0000_t202" coordsize="21600,21600" o:spt="202" path="m,l,21600r21600,l21600,xe">
              <v:stroke joinstyle="miter"/>
              <v:path gradientshapeok="t" o:connecttype="rect"/>
            </v:shapetype>
            <v:shape id="Textbox 166" o:spid="_x0000_s1226" type="#_x0000_t202" style="position:absolute;margin-left:70pt;margin-top:802.5pt;width:274.5pt;height:9.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" filled="f" stroked="f">
              <v:textbox inset="0,0,0,0">
                <w:txbxContent>
                  <w:p w14:paraId="5D3767CC" w14:textId="77777777" w:rsidR="007372B2" w:rsidRPr="00671EF3" w:rsidRDefault="007372B2" w:rsidP="008566AE">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p w14:paraId="4C9B1181" w14:textId="4EE5B401" w:rsidR="007372B2" w:rsidRPr="008566AE" w:rsidRDefault="007372B2">
                    <w:pPr>
                      <w:ind w:left="20"/>
                      <w:rPr>
                        <w:sz w:val="16"/>
                        <w:lang w:val="ru-RU"/>
                      </w:rPr>
                    </w:pPr>
                  </w:p>
                </w:txbxContent>
              </v:textbox>
              <w10:wrap anchorx="page" anchory="page"/>
            </v:shape>
          </w:pict>
        </mc:Fallback>
      </mc:AlternateContent>
    </w:r>
    <w:r>
      <w:rPr>
        <w:noProof/>
        <w:sz w:val="20"/>
      </w:rPr>
      <mc:AlternateContent>
        <mc:Choice Requires="wps">
          <w:drawing>
            <wp:anchor distT="0" distB="0" distL="0" distR="0" simplePos="0" relativeHeight="251646976" behindDoc="1" locked="0" layoutInCell="1" allowOverlap="1" wp14:anchorId="4865B380" wp14:editId="7DEBBF6B">
              <wp:simplePos x="0" y="0"/>
              <wp:positionH relativeFrom="page">
                <wp:posOffset>475823</wp:posOffset>
              </wp:positionH>
              <wp:positionV relativeFrom="page">
                <wp:posOffset>10188662</wp:posOffset>
              </wp:positionV>
              <wp:extent cx="200660" cy="12700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27000"/>
                      </a:xfrm>
                      <a:prstGeom prst="rect">
                        <a:avLst/>
                      </a:prstGeom>
                    </wps:spPr>
                    <wps:txbx>
                      <w:txbxContent>
                        <w:p w14:paraId="18554C8E" w14:textId="77777777" w:rsidR="007372B2" w:rsidRDefault="007372B2">
                          <w:pPr>
                            <w:ind w:left="2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100</w:t>
                          </w:r>
                          <w:r>
                            <w:rPr>
                              <w:color w:val="019648"/>
                              <w:spacing w:val="-5"/>
                              <w:w w:val="105"/>
                              <w:sz w:val="16"/>
                            </w:rPr>
                            <w:fldChar w:fldCharType="end"/>
                          </w:r>
                        </w:p>
                      </w:txbxContent>
                    </wps:txbx>
                    <wps:bodyPr wrap="square" lIns="0" tIns="0" rIns="0" bIns="0" rtlCol="0">
                      <a:noAutofit/>
                    </wps:bodyPr>
                  </wps:wsp>
                </a:graphicData>
              </a:graphic>
            </wp:anchor>
          </w:drawing>
        </mc:Choice>
        <mc:Fallback>
          <w:pict>
            <v:shape w14:anchorId="4865B380" id="Textbox 165" o:spid="_x0000_s1227" type="#_x0000_t202" style="position:absolute;margin-left:37.45pt;margin-top:802.25pt;width:15.8pt;height:10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" filled="f" stroked="f">
              <v:textbox inset="0,0,0,0">
                <w:txbxContent>
                  <w:p w14:paraId="18554C8E" w14:textId="77777777" w:rsidR="007372B2" w:rsidRDefault="007372B2">
                    <w:pPr>
                      <w:ind w:left="2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100</w:t>
                    </w:r>
                    <w:r>
                      <w:rPr>
                        <w:color w:val="019648"/>
                        <w:spacing w:val="-5"/>
                        <w:w w:val="10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99A29" w14:textId="77777777" w:rsidR="007372B2" w:rsidRDefault="007372B2">
    <w:pPr>
      <w:pStyle w:val="a3"/>
      <w:spacing w:line="14" w:lineRule="auto"/>
      <w:rPr>
        <w:sz w:val="20"/>
      </w:rPr>
    </w:pPr>
    <w:r>
      <w:rPr>
        <w:noProof/>
        <w:sz w:val="20"/>
      </w:rPr>
      <mc:AlternateContent>
        <mc:Choice Requires="wps">
          <w:drawing>
            <wp:anchor distT="0" distB="0" distL="0" distR="0" simplePos="0" relativeHeight="251645952" behindDoc="1" locked="0" layoutInCell="1" allowOverlap="1" wp14:anchorId="0741A82C" wp14:editId="7CDD636B">
              <wp:simplePos x="0" y="0"/>
              <wp:positionH relativeFrom="page">
                <wp:posOffset>6916742</wp:posOffset>
              </wp:positionH>
              <wp:positionV relativeFrom="page">
                <wp:posOffset>10188662</wp:posOffset>
              </wp:positionV>
              <wp:extent cx="147320" cy="12700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27000"/>
                      </a:xfrm>
                      <a:prstGeom prst="rect">
                        <a:avLst/>
                      </a:prstGeom>
                    </wps:spPr>
                    <wps:txbx>
                      <w:txbxContent>
                        <w:p w14:paraId="2190A422" w14:textId="77777777" w:rsidR="007372B2" w:rsidRDefault="007372B2">
                          <w:pPr>
                            <w:ind w:left="60"/>
                            <w:rPr>
                              <w:sz w:val="16"/>
                            </w:rPr>
                          </w:pPr>
                          <w:r>
                            <w:rPr>
                              <w:color w:val="019648"/>
                              <w:spacing w:val="-10"/>
                              <w:w w:val="105"/>
                              <w:sz w:val="16"/>
                            </w:rPr>
                            <w:fldChar w:fldCharType="begin"/>
                          </w:r>
                          <w:r>
                            <w:rPr>
                              <w:color w:val="019648"/>
                              <w:spacing w:val="-10"/>
                              <w:w w:val="105"/>
                              <w:sz w:val="16"/>
                            </w:rPr>
                            <w:instrText xml:space="preserve"> PAGE </w:instrText>
                          </w:r>
                          <w:r>
                            <w:rPr>
                              <w:color w:val="019648"/>
                              <w:spacing w:val="-10"/>
                              <w:w w:val="105"/>
                              <w:sz w:val="16"/>
                            </w:rPr>
                            <w:fldChar w:fldCharType="separate"/>
                          </w:r>
                          <w:r>
                            <w:rPr>
                              <w:color w:val="019648"/>
                              <w:spacing w:val="-10"/>
                              <w:w w:val="105"/>
                              <w:sz w:val="16"/>
                            </w:rPr>
                            <w:t>9</w:t>
                          </w:r>
                          <w:r>
                            <w:rPr>
                              <w:color w:val="019648"/>
                              <w:spacing w:val="-10"/>
                              <w:w w:val="105"/>
                              <w:sz w:val="16"/>
                            </w:rPr>
                            <w:fldChar w:fldCharType="end"/>
                          </w:r>
                        </w:p>
                      </w:txbxContent>
                    </wps:txbx>
                    <wps:bodyPr wrap="square" lIns="0" tIns="0" rIns="0" bIns="0" rtlCol="0">
                      <a:noAutofit/>
                    </wps:bodyPr>
                  </wps:wsp>
                </a:graphicData>
              </a:graphic>
            </wp:anchor>
          </w:drawing>
        </mc:Choice>
        <mc:Fallback>
          <w:pict>
            <v:shapetype w14:anchorId="0741A82C" id="_x0000_t202" coordsize="21600,21600" o:spt="202" path="m,l,21600r21600,l21600,xe">
              <v:stroke joinstyle="miter"/>
              <v:path gradientshapeok="t" o:connecttype="rect"/>
            </v:shapetype>
            <v:shape id="Textbox 164" o:spid="_x0000_s1228" type="#_x0000_t202" style="position:absolute;margin-left:544.65pt;margin-top:802.25pt;width:11.6pt;height:10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" filled="f" stroked="f">
              <v:textbox inset="0,0,0,0">
                <w:txbxContent>
                  <w:p w14:paraId="2190A422" w14:textId="77777777" w:rsidR="007372B2" w:rsidRDefault="007372B2">
                    <w:pPr>
                      <w:ind w:left="60"/>
                      <w:rPr>
                        <w:sz w:val="16"/>
                      </w:rPr>
                    </w:pPr>
                    <w:r>
                      <w:rPr>
                        <w:color w:val="019648"/>
                        <w:spacing w:val="-10"/>
                        <w:w w:val="105"/>
                        <w:sz w:val="16"/>
                      </w:rPr>
                      <w:fldChar w:fldCharType="begin"/>
                    </w:r>
                    <w:r>
                      <w:rPr>
                        <w:color w:val="019648"/>
                        <w:spacing w:val="-10"/>
                        <w:w w:val="105"/>
                        <w:sz w:val="16"/>
                      </w:rPr>
                      <w:instrText xml:space="preserve"> PAGE </w:instrText>
                    </w:r>
                    <w:r>
                      <w:rPr>
                        <w:color w:val="019648"/>
                        <w:spacing w:val="-10"/>
                        <w:w w:val="105"/>
                        <w:sz w:val="16"/>
                      </w:rPr>
                      <w:fldChar w:fldCharType="separate"/>
                    </w:r>
                    <w:r>
                      <w:rPr>
                        <w:color w:val="019648"/>
                        <w:spacing w:val="-10"/>
                        <w:w w:val="105"/>
                        <w:sz w:val="16"/>
                      </w:rPr>
                      <w:t>9</w:t>
                    </w:r>
                    <w:r>
                      <w:rPr>
                        <w:color w:val="019648"/>
                        <w:spacing w:val="-10"/>
                        <w:w w:val="10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CB3C6" w14:textId="0759DFFB" w:rsidR="007372B2" w:rsidRDefault="007372B2">
    <w:pPr>
      <w:pStyle w:val="a3"/>
      <w:spacing w:line="14" w:lineRule="auto"/>
      <w:rPr>
        <w:sz w:val="20"/>
      </w:rPr>
    </w:pPr>
    <w:r>
      <w:rPr>
        <w:noProof/>
        <w:sz w:val="20"/>
      </w:rPr>
      <mc:AlternateContent>
        <mc:Choice Requires="wps">
          <w:drawing>
            <wp:anchor distT="0" distB="0" distL="0" distR="0" simplePos="0" relativeHeight="251652096" behindDoc="1" locked="0" layoutInCell="1" allowOverlap="1" wp14:anchorId="4077A7F7" wp14:editId="00691891">
              <wp:simplePos x="0" y="0"/>
              <wp:positionH relativeFrom="page">
                <wp:posOffset>889000</wp:posOffset>
              </wp:positionH>
              <wp:positionV relativeFrom="page">
                <wp:posOffset>10191750</wp:posOffset>
              </wp:positionV>
              <wp:extent cx="3467100" cy="15240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152400"/>
                      </a:xfrm>
                      <a:prstGeom prst="rect">
                        <a:avLst/>
                      </a:prstGeom>
                    </wps:spPr>
                    <wps:txbx>
                      <w:txbxContent>
                        <w:p w14:paraId="548269DA" w14:textId="77777777" w:rsidR="007372B2" w:rsidRPr="00671EF3" w:rsidRDefault="007372B2" w:rsidP="008566AE">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p w14:paraId="4137D163" w14:textId="05060F37" w:rsidR="007372B2" w:rsidRPr="008566AE" w:rsidRDefault="007372B2">
                          <w:pPr>
                            <w:ind w:left="20"/>
                            <w:rPr>
                              <w:sz w:val="16"/>
                              <w:lang w:val="ru-RU"/>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077A7F7" id="_x0000_t202" coordsize="21600,21600" o:spt="202" path="m,l,21600r21600,l21600,xe">
              <v:stroke joinstyle="miter"/>
              <v:path gradientshapeok="t" o:connecttype="rect"/>
            </v:shapetype>
            <v:shape id="Textbox 175" o:spid="_x0000_s1229" type="#_x0000_t202" style="position:absolute;margin-left:70pt;margin-top:802.5pt;width:273pt;height:12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" filled="f" stroked="f">
              <v:textbox inset="0,0,0,0">
                <w:txbxContent>
                  <w:p w14:paraId="548269DA" w14:textId="77777777" w:rsidR="007372B2" w:rsidRPr="00671EF3" w:rsidRDefault="007372B2" w:rsidP="008566AE">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p w14:paraId="4137D163" w14:textId="05060F37" w:rsidR="007372B2" w:rsidRPr="008566AE" w:rsidRDefault="007372B2">
                    <w:pPr>
                      <w:ind w:left="20"/>
                      <w:rPr>
                        <w:sz w:val="16"/>
                        <w:lang w:val="ru-RU"/>
                      </w:rPr>
                    </w:pPr>
                  </w:p>
                </w:txbxContent>
              </v:textbox>
              <w10:wrap anchorx="page" anchory="page"/>
            </v:shape>
          </w:pict>
        </mc:Fallback>
      </mc:AlternateContent>
    </w:r>
    <w:r>
      <w:rPr>
        <w:noProof/>
        <w:sz w:val="20"/>
      </w:rPr>
      <mc:AlternateContent>
        <mc:Choice Requires="wps">
          <w:drawing>
            <wp:anchor distT="0" distB="0" distL="0" distR="0" simplePos="0" relativeHeight="251651072" behindDoc="1" locked="0" layoutInCell="1" allowOverlap="1" wp14:anchorId="543BEBFE" wp14:editId="29075C09">
              <wp:simplePos x="0" y="0"/>
              <wp:positionH relativeFrom="page">
                <wp:posOffset>479582</wp:posOffset>
              </wp:positionH>
              <wp:positionV relativeFrom="page">
                <wp:posOffset>10188662</wp:posOffset>
              </wp:positionV>
              <wp:extent cx="205740" cy="12700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27000"/>
                      </a:xfrm>
                      <a:prstGeom prst="rect">
                        <a:avLst/>
                      </a:prstGeom>
                    </wps:spPr>
                    <wps:txbx>
                      <w:txbxContent>
                        <w:p w14:paraId="21E21164"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12</w:t>
                          </w:r>
                          <w:r>
                            <w:rPr>
                              <w:color w:val="019648"/>
                              <w:spacing w:val="-5"/>
                              <w:w w:val="105"/>
                              <w:sz w:val="16"/>
                            </w:rPr>
                            <w:fldChar w:fldCharType="end"/>
                          </w:r>
                        </w:p>
                      </w:txbxContent>
                    </wps:txbx>
                    <wps:bodyPr wrap="square" lIns="0" tIns="0" rIns="0" bIns="0" rtlCol="0">
                      <a:noAutofit/>
                    </wps:bodyPr>
                  </wps:wsp>
                </a:graphicData>
              </a:graphic>
            </wp:anchor>
          </w:drawing>
        </mc:Choice>
        <mc:Fallback>
          <w:pict>
            <v:shape w14:anchorId="543BEBFE" id="Textbox 174" o:spid="_x0000_s1230" type="#_x0000_t202" style="position:absolute;margin-left:37.75pt;margin-top:802.25pt;width:16.2pt;height:10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" filled="f" stroked="f">
              <v:textbox inset="0,0,0,0">
                <w:txbxContent>
                  <w:p w14:paraId="21E21164"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12</w:t>
                    </w:r>
                    <w:r>
                      <w:rPr>
                        <w:color w:val="019648"/>
                        <w:spacing w:val="-5"/>
                        <w:w w:val="105"/>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4CA85" w14:textId="77777777" w:rsidR="007372B2" w:rsidRDefault="007372B2">
    <w:pPr>
      <w:pStyle w:val="a3"/>
      <w:spacing w:line="14" w:lineRule="auto"/>
      <w:rPr>
        <w:sz w:val="20"/>
      </w:rPr>
    </w:pPr>
    <w:r>
      <w:rPr>
        <w:noProof/>
        <w:sz w:val="20"/>
      </w:rPr>
      <mc:AlternateContent>
        <mc:Choice Requires="wps">
          <w:drawing>
            <wp:anchor distT="0" distB="0" distL="0" distR="0" simplePos="0" relativeHeight="251649024" behindDoc="1" locked="0" layoutInCell="1" allowOverlap="1" wp14:anchorId="7022DC85" wp14:editId="2E704283">
              <wp:simplePos x="0" y="0"/>
              <wp:positionH relativeFrom="page">
                <wp:posOffset>4216400</wp:posOffset>
              </wp:positionH>
              <wp:positionV relativeFrom="page">
                <wp:posOffset>10191750</wp:posOffset>
              </wp:positionV>
              <wp:extent cx="2459355" cy="15875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9355" cy="158750"/>
                      </a:xfrm>
                      <a:prstGeom prst="rect">
                        <a:avLst/>
                      </a:prstGeom>
                    </wps:spPr>
                    <wps:txbx>
                      <w:txbxContent>
                        <w:p w14:paraId="1066929F" w14:textId="40FAFE9C" w:rsidR="007372B2" w:rsidRPr="00CB37A3" w:rsidRDefault="007372B2">
                          <w:pPr>
                            <w:ind w:left="20"/>
                            <w:rPr>
                              <w:sz w:val="16"/>
                              <w:lang w:val="ru-RU"/>
                            </w:rPr>
                          </w:pPr>
                          <w:r w:rsidRPr="00CB37A3">
                            <w:rPr>
                              <w:color w:val="019648"/>
                              <w:sz w:val="16"/>
                              <w:lang w:val="ru-RU"/>
                            </w:rPr>
                            <w:t>2.</w:t>
                          </w:r>
                          <w:r w:rsidRPr="00CB37A3">
                            <w:rPr>
                              <w:color w:val="019648"/>
                              <w:spacing w:val="-8"/>
                              <w:sz w:val="16"/>
                              <w:lang w:val="ru-RU"/>
                            </w:rPr>
                            <w:t xml:space="preserve"> </w:t>
                          </w:r>
                          <w:r w:rsidRPr="00CB37A3">
                            <w:rPr>
                              <w:color w:val="019648"/>
                              <w:sz w:val="16"/>
                              <w:lang w:val="uk-UA"/>
                            </w:rPr>
                            <w:t>Рекомендації з діагностики захворювання на ТБ</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022DC85" id="_x0000_t202" coordsize="21600,21600" o:spt="202" path="m,l,21600r21600,l21600,xe">
              <v:stroke joinstyle="miter"/>
              <v:path gradientshapeok="t" o:connecttype="rect"/>
            </v:shapetype>
            <v:shape id="Textbox 172" o:spid="_x0000_s1231" type="#_x0000_t202" style="position:absolute;margin-left:332pt;margin-top:802.5pt;width:193.65pt;height:12.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" filled="f" stroked="f">
              <v:textbox inset="0,0,0,0">
                <w:txbxContent>
                  <w:p w14:paraId="1066929F" w14:textId="40FAFE9C" w:rsidR="007372B2" w:rsidRPr="00CB37A3" w:rsidRDefault="007372B2">
                    <w:pPr>
                      <w:ind w:left="20"/>
                      <w:rPr>
                        <w:sz w:val="16"/>
                        <w:lang w:val="ru-RU"/>
                      </w:rPr>
                    </w:pPr>
                    <w:r w:rsidRPr="00CB37A3">
                      <w:rPr>
                        <w:color w:val="019648"/>
                        <w:sz w:val="16"/>
                        <w:lang w:val="ru-RU"/>
                      </w:rPr>
                      <w:t>2.</w:t>
                    </w:r>
                    <w:r w:rsidRPr="00CB37A3">
                      <w:rPr>
                        <w:color w:val="019648"/>
                        <w:spacing w:val="-8"/>
                        <w:sz w:val="16"/>
                        <w:lang w:val="ru-RU"/>
                      </w:rPr>
                      <w:t xml:space="preserve"> </w:t>
                    </w:r>
                    <w:r w:rsidRPr="00CB37A3">
                      <w:rPr>
                        <w:color w:val="019648"/>
                        <w:sz w:val="16"/>
                        <w:lang w:val="uk-UA"/>
                      </w:rPr>
                      <w:t>Рекомендації з діагностики захворювання на ТБ</w:t>
                    </w:r>
                  </w:p>
                </w:txbxContent>
              </v:textbox>
              <w10:wrap anchorx="page" anchory="page"/>
            </v:shape>
          </w:pict>
        </mc:Fallback>
      </mc:AlternateContent>
    </w:r>
    <w:r>
      <w:rPr>
        <w:noProof/>
        <w:sz w:val="20"/>
      </w:rPr>
      <mc:AlternateContent>
        <mc:Choice Requires="wps">
          <w:drawing>
            <wp:anchor distT="0" distB="0" distL="0" distR="0" simplePos="0" relativeHeight="251650048" behindDoc="1" locked="0" layoutInCell="1" allowOverlap="1" wp14:anchorId="424A93B0" wp14:editId="4210A499">
              <wp:simplePos x="0" y="0"/>
              <wp:positionH relativeFrom="page">
                <wp:posOffset>6883824</wp:posOffset>
              </wp:positionH>
              <wp:positionV relativeFrom="page">
                <wp:posOffset>10188662</wp:posOffset>
              </wp:positionV>
              <wp:extent cx="200660" cy="12700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27000"/>
                      </a:xfrm>
                      <a:prstGeom prst="rect">
                        <a:avLst/>
                      </a:prstGeom>
                    </wps:spPr>
                    <wps:txbx>
                      <w:txbxContent>
                        <w:p w14:paraId="6D0513D4" w14:textId="77777777" w:rsidR="007372B2" w:rsidRDefault="007372B2">
                          <w:pPr>
                            <w:ind w:left="2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101</w:t>
                          </w:r>
                          <w:r>
                            <w:rPr>
                              <w:color w:val="019648"/>
                              <w:spacing w:val="-5"/>
                              <w:w w:val="105"/>
                              <w:sz w:val="16"/>
                            </w:rPr>
                            <w:fldChar w:fldCharType="end"/>
                          </w:r>
                        </w:p>
                      </w:txbxContent>
                    </wps:txbx>
                    <wps:bodyPr wrap="square" lIns="0" tIns="0" rIns="0" bIns="0" rtlCol="0">
                      <a:noAutofit/>
                    </wps:bodyPr>
                  </wps:wsp>
                </a:graphicData>
              </a:graphic>
            </wp:anchor>
          </w:drawing>
        </mc:Choice>
        <mc:Fallback>
          <w:pict>
            <v:shape w14:anchorId="424A93B0" id="Textbox 173" o:spid="_x0000_s1232" type="#_x0000_t202" style="position:absolute;margin-left:542.05pt;margin-top:802.25pt;width:15.8pt;height:10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" filled="f" stroked="f">
              <v:textbox inset="0,0,0,0">
                <w:txbxContent>
                  <w:p w14:paraId="6D0513D4" w14:textId="77777777" w:rsidR="007372B2" w:rsidRDefault="007372B2">
                    <w:pPr>
                      <w:ind w:left="2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101</w:t>
                    </w:r>
                    <w:r>
                      <w:rPr>
                        <w:color w:val="019648"/>
                        <w:spacing w:val="-5"/>
                        <w:w w:val="105"/>
                        <w:sz w:val="1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72E74" w14:textId="62938A13" w:rsidR="00DE2E3D" w:rsidRDefault="00770751">
    <w:pPr>
      <w:pStyle w:val="a3"/>
      <w:spacing w:line="14" w:lineRule="auto"/>
      <w:rPr>
        <w:sz w:val="20"/>
      </w:rPr>
    </w:pPr>
    <w:r>
      <w:rPr>
        <w:noProof/>
      </w:rPr>
      <mc:AlternateContent>
        <mc:Choice Requires="wps">
          <w:drawing>
            <wp:anchor distT="0" distB="0" distL="114300" distR="114300" simplePos="0" relativeHeight="251680768" behindDoc="1" locked="0" layoutInCell="1" allowOverlap="1" wp14:anchorId="1853B258" wp14:editId="11728965">
              <wp:simplePos x="0" y="0"/>
              <wp:positionH relativeFrom="page">
                <wp:posOffset>476250</wp:posOffset>
              </wp:positionH>
              <wp:positionV relativeFrom="page">
                <wp:posOffset>10172700</wp:posOffset>
              </wp:positionV>
              <wp:extent cx="301625" cy="266700"/>
              <wp:effectExtent l="0" t="0" r="3175" b="0"/>
              <wp:wrapNone/>
              <wp:docPr id="343" name="Поле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84A50" w14:textId="77777777" w:rsidR="00DE2E3D" w:rsidRDefault="00DE2E3D">
                          <w:pPr>
                            <w:spacing w:before="20"/>
                            <w:ind w:left="60"/>
                            <w:rPr>
                              <w:sz w:val="16"/>
                            </w:rPr>
                          </w:pPr>
                          <w:r>
                            <w:fldChar w:fldCharType="begin"/>
                          </w:r>
                          <w:r>
                            <w:rPr>
                              <w:color w:val="019648"/>
                              <w:w w:val="115"/>
                              <w:sz w:val="16"/>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3B258" id="_x0000_t202" coordsize="21600,21600" o:spt="202" path="m,l,21600r21600,l21600,xe">
              <v:stroke joinstyle="miter"/>
              <v:path gradientshapeok="t" o:connecttype="rect"/>
            </v:shapetype>
            <v:shape id="Поле 343" o:spid="_x0000_s1233" type="#_x0000_t202" style="position:absolute;margin-left:37.5pt;margin-top:801pt;width:23.75pt;height:2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" filled="f" stroked="f">
              <v:textbox inset="0,0,0,0">
                <w:txbxContent>
                  <w:p w14:paraId="6FA84A50" w14:textId="77777777" w:rsidR="00DE2E3D" w:rsidRDefault="00DE2E3D">
                    <w:pPr>
                      <w:spacing w:before="20"/>
                      <w:ind w:left="60"/>
                      <w:rPr>
                        <w:sz w:val="16"/>
                      </w:rPr>
                    </w:pPr>
                    <w:r>
                      <w:fldChar w:fldCharType="begin"/>
                    </w:r>
                    <w:r>
                      <w:rPr>
                        <w:color w:val="019648"/>
                        <w:w w:val="115"/>
                        <w:sz w:val="16"/>
                      </w:rPr>
                      <w:instrText xml:space="preserve"> PAGE </w:instrText>
                    </w:r>
                    <w:r>
                      <w:fldChar w:fldCharType="separate"/>
                    </w:r>
                    <w:r>
                      <w:t>12</w:t>
                    </w:r>
                    <w:r>
                      <w:fldChar w:fldCharType="end"/>
                    </w:r>
                  </w:p>
                </w:txbxContent>
              </v:textbox>
              <w10:wrap anchorx="page" anchory="page"/>
            </v:shape>
          </w:pict>
        </mc:Fallback>
      </mc:AlternateContent>
    </w:r>
    <w:r w:rsidR="00DE2E3D">
      <w:rPr>
        <w:noProof/>
      </w:rPr>
      <mc:AlternateContent>
        <mc:Choice Requires="wps">
          <w:drawing>
            <wp:anchor distT="0" distB="0" distL="114300" distR="114300" simplePos="0" relativeHeight="251683840" behindDoc="1" locked="0" layoutInCell="1" allowOverlap="1" wp14:anchorId="00409E98" wp14:editId="670C7573">
              <wp:simplePos x="0" y="0"/>
              <wp:positionH relativeFrom="page">
                <wp:posOffset>990600</wp:posOffset>
              </wp:positionH>
              <wp:positionV relativeFrom="page">
                <wp:posOffset>10172700</wp:posOffset>
              </wp:positionV>
              <wp:extent cx="4019550" cy="165100"/>
              <wp:effectExtent l="0" t="0" r="0" b="6350"/>
              <wp:wrapNone/>
              <wp:docPr id="342" name="Поле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5D6CC" w14:textId="638971E3" w:rsidR="00DE2E3D" w:rsidRPr="006E5AE7" w:rsidRDefault="00DE2E3D" w:rsidP="00DE2E3D">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w:t>
                          </w:r>
                          <w:r w:rsidR="006E5AE7">
                            <w:rPr>
                              <w:color w:val="019648"/>
                              <w:sz w:val="16"/>
                              <w:lang w:val="uk-UA"/>
                            </w:rPr>
                            <w:t>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09E98" id="Поле 342" o:spid="_x0000_s1234" type="#_x0000_t202" style="position:absolute;margin-left:78pt;margin-top:801pt;width:316.5pt;height:1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" filled="f" stroked="f">
              <v:textbox inset="0,0,0,0">
                <w:txbxContent>
                  <w:p w14:paraId="4435D6CC" w14:textId="638971E3" w:rsidR="00DE2E3D" w:rsidRPr="006E5AE7" w:rsidRDefault="00DE2E3D" w:rsidP="00DE2E3D">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w:t>
                    </w:r>
                    <w:r w:rsidR="006E5AE7">
                      <w:rPr>
                        <w:color w:val="019648"/>
                        <w:sz w:val="16"/>
                        <w:lang w:val="uk-UA"/>
                      </w:rPr>
                      <w:t>ня</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B0FC6" w14:textId="7FDE7C15" w:rsidR="00DE2E3D" w:rsidRDefault="00DE2E3D">
    <w:pPr>
      <w:pStyle w:val="a3"/>
      <w:spacing w:line="14" w:lineRule="auto"/>
      <w:rPr>
        <w:sz w:val="20"/>
      </w:rPr>
    </w:pPr>
    <w:r>
      <w:rPr>
        <w:noProof/>
      </w:rPr>
      <mc:AlternateContent>
        <mc:Choice Requires="wps">
          <w:drawing>
            <wp:anchor distT="0" distB="0" distL="114300" distR="114300" simplePos="0" relativeHeight="251681792" behindDoc="1" locked="0" layoutInCell="1" allowOverlap="1" wp14:anchorId="36902282" wp14:editId="154B2A57">
              <wp:simplePos x="0" y="0"/>
              <wp:positionH relativeFrom="page">
                <wp:posOffset>3962400</wp:posOffset>
              </wp:positionH>
              <wp:positionV relativeFrom="page">
                <wp:posOffset>10172700</wp:posOffset>
              </wp:positionV>
              <wp:extent cx="2635250" cy="147320"/>
              <wp:effectExtent l="0" t="0" r="12700" b="5080"/>
              <wp:wrapNone/>
              <wp:docPr id="1612473123" name="Поле 1612473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D3359" w14:textId="6CE4A2CF" w:rsidR="00DE2E3D" w:rsidRPr="00770751" w:rsidRDefault="00DE2E3D">
                          <w:pPr>
                            <w:spacing w:before="20"/>
                            <w:ind w:left="20"/>
                            <w:rPr>
                              <w:sz w:val="16"/>
                              <w:lang w:val="uk-UA"/>
                            </w:rPr>
                          </w:pPr>
                          <w:r>
                            <w:rPr>
                              <w:color w:val="019648"/>
                              <w:w w:val="110"/>
                              <w:sz w:val="16"/>
                            </w:rPr>
                            <w:t xml:space="preserve">2. </w:t>
                          </w:r>
                          <w:proofErr w:type="spellStart"/>
                          <w:r w:rsidRPr="00FC177C">
                            <w:rPr>
                              <w:color w:val="019648"/>
                              <w:w w:val="110"/>
                              <w:sz w:val="16"/>
                            </w:rPr>
                            <w:t>Рекомендації</w:t>
                          </w:r>
                          <w:proofErr w:type="spellEnd"/>
                          <w:r w:rsidRPr="00FC177C">
                            <w:rPr>
                              <w:color w:val="019648"/>
                              <w:w w:val="110"/>
                              <w:sz w:val="16"/>
                            </w:rPr>
                            <w:t xml:space="preserve"> щодо </w:t>
                          </w:r>
                          <w:proofErr w:type="spellStart"/>
                          <w:r w:rsidRPr="00FC177C">
                            <w:rPr>
                              <w:color w:val="019648"/>
                              <w:w w:val="110"/>
                              <w:sz w:val="16"/>
                            </w:rPr>
                            <w:t>діагностики</w:t>
                          </w:r>
                          <w:proofErr w:type="spellEnd"/>
                          <w:r w:rsidRPr="00FC177C">
                            <w:rPr>
                              <w:color w:val="019648"/>
                              <w:w w:val="110"/>
                              <w:sz w:val="16"/>
                            </w:rPr>
                            <w:t xml:space="preserve"> </w:t>
                          </w:r>
                          <w:proofErr w:type="spellStart"/>
                          <w:r w:rsidRPr="00FC177C">
                            <w:rPr>
                              <w:color w:val="019648"/>
                              <w:w w:val="110"/>
                              <w:sz w:val="16"/>
                            </w:rPr>
                            <w:t>туберкульозу</w:t>
                          </w:r>
                          <w:proofErr w:type="spellEnd"/>
                          <w:r w:rsidR="00770751">
                            <w:rPr>
                              <w:color w:val="019648"/>
                              <w:w w:val="110"/>
                              <w:sz w:val="16"/>
                              <w:lang w:val="uk-U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02282" id="_x0000_t202" coordsize="21600,21600" o:spt="202" path="m,l,21600r21600,l21600,xe">
              <v:stroke joinstyle="miter"/>
              <v:path gradientshapeok="t" o:connecttype="rect"/>
            </v:shapetype>
            <v:shape id="Поле 1612473123" o:spid="_x0000_s1235" type="#_x0000_t202" style="position:absolute;margin-left:312pt;margin-top:801pt;width:207.5pt;height:11.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" filled="f" stroked="f">
              <v:textbox inset="0,0,0,0">
                <w:txbxContent>
                  <w:p w14:paraId="057D3359" w14:textId="6CE4A2CF" w:rsidR="00DE2E3D" w:rsidRPr="00770751" w:rsidRDefault="00DE2E3D">
                    <w:pPr>
                      <w:spacing w:before="20"/>
                      <w:ind w:left="20"/>
                      <w:rPr>
                        <w:sz w:val="16"/>
                        <w:lang w:val="uk-UA"/>
                      </w:rPr>
                    </w:pPr>
                    <w:r>
                      <w:rPr>
                        <w:color w:val="019648"/>
                        <w:w w:val="110"/>
                        <w:sz w:val="16"/>
                      </w:rPr>
                      <w:t xml:space="preserve">2. </w:t>
                    </w:r>
                    <w:proofErr w:type="spellStart"/>
                    <w:r w:rsidRPr="00FC177C">
                      <w:rPr>
                        <w:color w:val="019648"/>
                        <w:w w:val="110"/>
                        <w:sz w:val="16"/>
                      </w:rPr>
                      <w:t>Рекомендації</w:t>
                    </w:r>
                    <w:proofErr w:type="spellEnd"/>
                    <w:r w:rsidRPr="00FC177C">
                      <w:rPr>
                        <w:color w:val="019648"/>
                        <w:w w:val="110"/>
                        <w:sz w:val="16"/>
                      </w:rPr>
                      <w:t xml:space="preserve"> щодо </w:t>
                    </w:r>
                    <w:proofErr w:type="spellStart"/>
                    <w:r w:rsidRPr="00FC177C">
                      <w:rPr>
                        <w:color w:val="019648"/>
                        <w:w w:val="110"/>
                        <w:sz w:val="16"/>
                      </w:rPr>
                      <w:t>діагностики</w:t>
                    </w:r>
                    <w:proofErr w:type="spellEnd"/>
                    <w:r w:rsidRPr="00FC177C">
                      <w:rPr>
                        <w:color w:val="019648"/>
                        <w:w w:val="110"/>
                        <w:sz w:val="16"/>
                      </w:rPr>
                      <w:t xml:space="preserve"> </w:t>
                    </w:r>
                    <w:proofErr w:type="spellStart"/>
                    <w:r w:rsidRPr="00FC177C">
                      <w:rPr>
                        <w:color w:val="019648"/>
                        <w:w w:val="110"/>
                        <w:sz w:val="16"/>
                      </w:rPr>
                      <w:t>туберкульозу</w:t>
                    </w:r>
                    <w:proofErr w:type="spellEnd"/>
                    <w:r w:rsidR="00770751">
                      <w:rPr>
                        <w:color w:val="019648"/>
                        <w:w w:val="110"/>
                        <w:sz w:val="16"/>
                        <w:lang w:val="uk-UA"/>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60A8513C" wp14:editId="3441508D">
              <wp:simplePos x="0" y="0"/>
              <wp:positionH relativeFrom="page">
                <wp:posOffset>6858635</wp:posOffset>
              </wp:positionH>
              <wp:positionV relativeFrom="page">
                <wp:posOffset>10172700</wp:posOffset>
              </wp:positionV>
              <wp:extent cx="251460" cy="147320"/>
              <wp:effectExtent l="635" t="0" r="0" b="0"/>
              <wp:wrapNone/>
              <wp:docPr id="340" name="Поле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1377C" w14:textId="77777777" w:rsidR="00DE2E3D" w:rsidRDefault="00DE2E3D">
                          <w:pPr>
                            <w:spacing w:before="20"/>
                            <w:ind w:left="6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8513C" id="Поле 340" o:spid="_x0000_s1236" type="#_x0000_t202" style="position:absolute;margin-left:540.05pt;margin-top:801pt;width:19.8pt;height:11.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" filled="f" stroked="f">
              <v:textbox inset="0,0,0,0">
                <w:txbxContent>
                  <w:p w14:paraId="1D41377C" w14:textId="77777777" w:rsidR="00DE2E3D" w:rsidRDefault="00DE2E3D">
                    <w:pPr>
                      <w:spacing w:before="20"/>
                      <w:ind w:left="60"/>
                      <w:rPr>
                        <w:sz w:val="16"/>
                      </w:rPr>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D8A74" w14:textId="77777777" w:rsidR="007372B2" w:rsidRDefault="007372B2">
    <w:pPr>
      <w:pStyle w:val="a3"/>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B667A" w14:textId="77777777" w:rsidR="007372B2" w:rsidRDefault="007372B2">
    <w:pPr>
      <w:pStyle w:val="a3"/>
      <w:spacing w:line="14" w:lineRule="auto"/>
      <w:rPr>
        <w:sz w:val="20"/>
      </w:rPr>
    </w:pPr>
    <w:r>
      <w:rPr>
        <w:noProof/>
        <w:sz w:val="20"/>
      </w:rPr>
      <mc:AlternateContent>
        <mc:Choice Requires="wps">
          <w:drawing>
            <wp:anchor distT="0" distB="0" distL="0" distR="0" simplePos="0" relativeHeight="251654144" behindDoc="1" locked="0" layoutInCell="1" allowOverlap="1" wp14:anchorId="13875D5F" wp14:editId="4B15CC8B">
              <wp:simplePos x="0" y="0"/>
              <wp:positionH relativeFrom="page">
                <wp:posOffset>450423</wp:posOffset>
              </wp:positionH>
              <wp:positionV relativeFrom="page">
                <wp:posOffset>10188662</wp:posOffset>
              </wp:positionV>
              <wp:extent cx="264160" cy="127000"/>
              <wp:effectExtent l="0" t="0" r="0" b="0"/>
              <wp:wrapNone/>
              <wp:docPr id="3039" name="Textbox 3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27000"/>
                      </a:xfrm>
                      <a:prstGeom prst="rect">
                        <a:avLst/>
                      </a:prstGeom>
                    </wps:spPr>
                    <wps:txbx>
                      <w:txbxContent>
                        <w:p w14:paraId="3B5B21AC"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122</w:t>
                          </w:r>
                          <w:r>
                            <w:rPr>
                              <w:color w:val="019648"/>
                              <w:spacing w:val="-5"/>
                              <w:w w:val="105"/>
                              <w:sz w:val="16"/>
                            </w:rPr>
                            <w:fldChar w:fldCharType="end"/>
                          </w:r>
                        </w:p>
                      </w:txbxContent>
                    </wps:txbx>
                    <wps:bodyPr wrap="square" lIns="0" tIns="0" rIns="0" bIns="0" rtlCol="0">
                      <a:noAutofit/>
                    </wps:bodyPr>
                  </wps:wsp>
                </a:graphicData>
              </a:graphic>
            </wp:anchor>
          </w:drawing>
        </mc:Choice>
        <mc:Fallback>
          <w:pict>
            <v:shapetype w14:anchorId="13875D5F" id="_x0000_t202" coordsize="21600,21600" o:spt="202" path="m,l,21600r21600,l21600,xe">
              <v:stroke joinstyle="miter"/>
              <v:path gradientshapeok="t" o:connecttype="rect"/>
            </v:shapetype>
            <v:shape id="Textbox 3039" o:spid="_x0000_s1237" type="#_x0000_t202" style="position:absolute;margin-left:35.45pt;margin-top:802.25pt;width:20.8pt;height:10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" filled="f" stroked="f">
              <v:textbox inset="0,0,0,0">
                <w:txbxContent>
                  <w:p w14:paraId="3B5B21AC"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122</w:t>
                    </w:r>
                    <w:r>
                      <w:rPr>
                        <w:color w:val="019648"/>
                        <w:spacing w:val="-5"/>
                        <w:w w:val="10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55168" behindDoc="1" locked="0" layoutInCell="1" allowOverlap="1" wp14:anchorId="1E54D1D5" wp14:editId="370289FB">
              <wp:simplePos x="0" y="0"/>
              <wp:positionH relativeFrom="page">
                <wp:posOffset>887299</wp:posOffset>
              </wp:positionH>
              <wp:positionV relativeFrom="page">
                <wp:posOffset>10188662</wp:posOffset>
              </wp:positionV>
              <wp:extent cx="2788285" cy="127000"/>
              <wp:effectExtent l="0" t="0" r="0" b="0"/>
              <wp:wrapNone/>
              <wp:docPr id="3040" name="Textbox 3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285" cy="127000"/>
                      </a:xfrm>
                      <a:prstGeom prst="rect">
                        <a:avLst/>
                      </a:prstGeom>
                    </wps:spPr>
                    <wps:txbx>
                      <w:txbxContent>
                        <w:p w14:paraId="670B9614" w14:textId="77777777" w:rsidR="005878D4" w:rsidRPr="00671EF3" w:rsidRDefault="005878D4" w:rsidP="005878D4">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p w14:paraId="313EF3B1" w14:textId="2FF86370" w:rsidR="007372B2" w:rsidRPr="005878D4" w:rsidRDefault="007372B2">
                          <w:pPr>
                            <w:ind w:left="20"/>
                            <w:rPr>
                              <w:sz w:val="16"/>
                              <w:lang w:val="ru-RU"/>
                            </w:rPr>
                          </w:pPr>
                        </w:p>
                      </w:txbxContent>
                    </wps:txbx>
                    <wps:bodyPr wrap="square" lIns="0" tIns="0" rIns="0" bIns="0" rtlCol="0">
                      <a:noAutofit/>
                    </wps:bodyPr>
                  </wps:wsp>
                </a:graphicData>
              </a:graphic>
            </wp:anchor>
          </w:drawing>
        </mc:Choice>
        <mc:Fallback>
          <w:pict>
            <v:shape w14:anchorId="1E54D1D5" id="Textbox 3040" o:spid="_x0000_s1238" type="#_x0000_t202" style="position:absolute;margin-left:69.85pt;margin-top:802.25pt;width:219.55pt;height:10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" filled="f" stroked="f">
              <v:textbox inset="0,0,0,0">
                <w:txbxContent>
                  <w:p w14:paraId="670B9614" w14:textId="77777777" w:rsidR="005878D4" w:rsidRPr="00671EF3" w:rsidRDefault="005878D4" w:rsidP="005878D4">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p w14:paraId="313EF3B1" w14:textId="2FF86370" w:rsidR="007372B2" w:rsidRPr="005878D4" w:rsidRDefault="007372B2">
                    <w:pPr>
                      <w:ind w:left="20"/>
                      <w:rPr>
                        <w:sz w:val="16"/>
                        <w:lang w:val="ru-RU"/>
                      </w:rPr>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8467E" w14:textId="77777777" w:rsidR="007372B2" w:rsidRDefault="007372B2">
    <w:pPr>
      <w:pStyle w:val="a3"/>
      <w:spacing w:line="14" w:lineRule="auto"/>
      <w:rPr>
        <w:sz w:val="20"/>
      </w:rPr>
    </w:pPr>
    <w:r>
      <w:rPr>
        <w:noProof/>
        <w:sz w:val="20"/>
      </w:rPr>
      <mc:AlternateContent>
        <mc:Choice Requires="wps">
          <w:drawing>
            <wp:anchor distT="0" distB="0" distL="0" distR="0" simplePos="0" relativeHeight="251653120" behindDoc="1" locked="0" layoutInCell="1" allowOverlap="1" wp14:anchorId="77744576" wp14:editId="4299B38E">
              <wp:simplePos x="0" y="0"/>
              <wp:positionH relativeFrom="page">
                <wp:posOffset>6858424</wp:posOffset>
              </wp:positionH>
              <wp:positionV relativeFrom="page">
                <wp:posOffset>10188662</wp:posOffset>
              </wp:positionV>
              <wp:extent cx="264160" cy="127000"/>
              <wp:effectExtent l="0" t="0" r="0" b="0"/>
              <wp:wrapNone/>
              <wp:docPr id="3038" name="Textbox 3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27000"/>
                      </a:xfrm>
                      <a:prstGeom prst="rect">
                        <a:avLst/>
                      </a:prstGeom>
                    </wps:spPr>
                    <wps:txbx>
                      <w:txbxContent>
                        <w:p w14:paraId="67E46D0F"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121</w:t>
                          </w:r>
                          <w:r>
                            <w:rPr>
                              <w:color w:val="019648"/>
                              <w:spacing w:val="-5"/>
                              <w:w w:val="105"/>
                              <w:sz w:val="16"/>
                            </w:rPr>
                            <w:fldChar w:fldCharType="end"/>
                          </w:r>
                        </w:p>
                      </w:txbxContent>
                    </wps:txbx>
                    <wps:bodyPr wrap="square" lIns="0" tIns="0" rIns="0" bIns="0" rtlCol="0">
                      <a:noAutofit/>
                    </wps:bodyPr>
                  </wps:wsp>
                </a:graphicData>
              </a:graphic>
            </wp:anchor>
          </w:drawing>
        </mc:Choice>
        <mc:Fallback>
          <w:pict>
            <v:shapetype w14:anchorId="77744576" id="_x0000_t202" coordsize="21600,21600" o:spt="202" path="m,l,21600r21600,l21600,xe">
              <v:stroke joinstyle="miter"/>
              <v:path gradientshapeok="t" o:connecttype="rect"/>
            </v:shapetype>
            <v:shape id="Textbox 3038" o:spid="_x0000_s1239" type="#_x0000_t202" style="position:absolute;margin-left:540.05pt;margin-top:802.25pt;width:20.8pt;height:10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" filled="f" stroked="f">
              <v:textbox inset="0,0,0,0">
                <w:txbxContent>
                  <w:p w14:paraId="67E46D0F"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121</w:t>
                    </w:r>
                    <w:r>
                      <w:rPr>
                        <w:color w:val="019648"/>
                        <w:spacing w:val="-5"/>
                        <w:w w:val="10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73C58" w14:textId="6BA0718A" w:rsidR="007372B2" w:rsidRDefault="007372B2">
    <w:pPr>
      <w:pStyle w:val="a3"/>
      <w:spacing w:line="14" w:lineRule="auto"/>
      <w:rPr>
        <w:sz w:val="20"/>
      </w:rPr>
    </w:pPr>
    <w:r>
      <w:rPr>
        <w:noProof/>
        <w:sz w:val="20"/>
      </w:rPr>
      <mc:AlternateContent>
        <mc:Choice Requires="wps">
          <w:drawing>
            <wp:anchor distT="0" distB="0" distL="114300" distR="114300" simplePos="0" relativeHeight="251679744" behindDoc="0" locked="0" layoutInCell="1" allowOverlap="1" wp14:anchorId="0530A802" wp14:editId="0CAD2375">
              <wp:simplePos x="0" y="0"/>
              <wp:positionH relativeFrom="column">
                <wp:posOffset>-76200</wp:posOffset>
              </wp:positionH>
              <wp:positionV relativeFrom="paragraph">
                <wp:posOffset>-154940</wp:posOffset>
              </wp:positionV>
              <wp:extent cx="317500" cy="266700"/>
              <wp:effectExtent l="0" t="0" r="6350" b="0"/>
              <wp:wrapNone/>
              <wp:docPr id="669688859" name="Поле 2302"/>
              <wp:cNvGraphicFramePr/>
              <a:graphic xmlns:a="http://schemas.openxmlformats.org/drawingml/2006/main">
                <a:graphicData uri="http://schemas.microsoft.com/office/word/2010/wordprocessingShape">
                  <wps:wsp>
                    <wps:cNvSpPr txBox="1"/>
                    <wps:spPr>
                      <a:xfrm>
                        <a:off x="0" y="0"/>
                        <a:ext cx="317500" cy="266700"/>
                      </a:xfrm>
                      <a:prstGeom prst="rect">
                        <a:avLst/>
                      </a:prstGeom>
                      <a:solidFill>
                        <a:schemeClr val="lt1"/>
                      </a:solidFill>
                      <a:ln w="6350">
                        <a:noFill/>
                      </a:ln>
                    </wps:spPr>
                    <wps:txbx>
                      <w:txbxContent>
                        <w:p w14:paraId="0DBBA9DC" w14:textId="5B5BE098" w:rsidR="007372B2" w:rsidRPr="00EB1EDB" w:rsidRDefault="007372B2">
                          <w:pPr>
                            <w:rPr>
                              <w:color w:val="005E00"/>
                              <w:sz w:val="16"/>
                              <w:szCs w:val="16"/>
                              <w:lang w:val="en-GB"/>
                            </w:rPr>
                          </w:pPr>
                          <w:r w:rsidRPr="00EB1EDB">
                            <w:rPr>
                              <w:color w:val="019648"/>
                              <w:spacing w:val="-2"/>
                              <w:sz w:val="16"/>
                              <w:lang w:val="en-GB"/>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0A802" id="_x0000_t202" coordsize="21600,21600" o:spt="202" path="m,l,21600r21600,l21600,xe">
              <v:stroke joinstyle="miter"/>
              <v:path gradientshapeok="t" o:connecttype="rect"/>
            </v:shapetype>
            <v:shape id="Поле 2302" o:spid="_x0000_s1211" type="#_x0000_t202" style="position:absolute;margin-left:-6pt;margin-top:-12.2pt;width:2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" fillcolor="white [3201]" stroked="f" strokeweight=".5pt">
              <v:textbox>
                <w:txbxContent>
                  <w:p w14:paraId="0DBBA9DC" w14:textId="5B5BE098" w:rsidR="007372B2" w:rsidRPr="00EB1EDB" w:rsidRDefault="007372B2">
                    <w:pPr>
                      <w:rPr>
                        <w:color w:val="005E00"/>
                        <w:sz w:val="16"/>
                        <w:szCs w:val="16"/>
                        <w:lang w:val="en-GB"/>
                      </w:rPr>
                    </w:pPr>
                    <w:r w:rsidRPr="00EB1EDB">
                      <w:rPr>
                        <w:color w:val="019648"/>
                        <w:spacing w:val="-2"/>
                        <w:sz w:val="16"/>
                        <w:lang w:val="en-GB"/>
                      </w:rPr>
                      <w:t>vi</w:t>
                    </w:r>
                  </w:p>
                </w:txbxContent>
              </v:textbox>
            </v:shape>
          </w:pict>
        </mc:Fallback>
      </mc:AlternateContent>
    </w:r>
    <w:r>
      <w:rPr>
        <w:noProof/>
        <w:sz w:val="20"/>
      </w:rPr>
      <mc:AlternateContent>
        <mc:Choice Requires="wps">
          <w:drawing>
            <wp:anchor distT="0" distB="0" distL="0" distR="0" simplePos="0" relativeHeight="251632640" behindDoc="1" locked="0" layoutInCell="1" allowOverlap="1" wp14:anchorId="75C678FE" wp14:editId="73701CE8">
              <wp:simplePos x="0" y="0"/>
              <wp:positionH relativeFrom="page">
                <wp:posOffset>501375</wp:posOffset>
              </wp:positionH>
              <wp:positionV relativeFrom="page">
                <wp:posOffset>10188662</wp:posOffset>
              </wp:positionV>
              <wp:extent cx="187325" cy="12700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 cy="127000"/>
                      </a:xfrm>
                      <a:prstGeom prst="rect">
                        <a:avLst/>
                      </a:prstGeom>
                    </wps:spPr>
                    <wps:txbx>
                      <w:txbxContent>
                        <w:p w14:paraId="1F8659AA" w14:textId="77777777" w:rsidR="007372B2" w:rsidRDefault="007372B2">
                          <w:pPr>
                            <w:ind w:left="20"/>
                            <w:rPr>
                              <w:sz w:val="16"/>
                            </w:rPr>
                          </w:pPr>
                          <w:r>
                            <w:rPr>
                              <w:color w:val="019648"/>
                              <w:spacing w:val="-4"/>
                              <w:sz w:val="16"/>
                            </w:rPr>
                            <w:fldChar w:fldCharType="begin"/>
                          </w:r>
                          <w:r>
                            <w:rPr>
                              <w:color w:val="019648"/>
                              <w:spacing w:val="-4"/>
                              <w:sz w:val="16"/>
                            </w:rPr>
                            <w:instrText xml:space="preserve"> PAGE  \* roman </w:instrText>
                          </w:r>
                          <w:r>
                            <w:rPr>
                              <w:color w:val="019648"/>
                              <w:spacing w:val="-4"/>
                              <w:sz w:val="16"/>
                            </w:rPr>
                            <w:fldChar w:fldCharType="separate"/>
                          </w:r>
                          <w:r>
                            <w:rPr>
                              <w:color w:val="019648"/>
                              <w:spacing w:val="-4"/>
                              <w:sz w:val="16"/>
                            </w:rPr>
                            <w:t>viii</w:t>
                          </w:r>
                          <w:r>
                            <w:rPr>
                              <w:color w:val="019648"/>
                              <w:spacing w:val="-4"/>
                              <w:sz w:val="16"/>
                            </w:rPr>
                            <w:fldChar w:fldCharType="end"/>
                          </w:r>
                        </w:p>
                      </w:txbxContent>
                    </wps:txbx>
                    <wps:bodyPr wrap="square" lIns="0" tIns="0" rIns="0" bIns="0" rtlCol="0">
                      <a:noAutofit/>
                    </wps:bodyPr>
                  </wps:wsp>
                </a:graphicData>
              </a:graphic>
            </wp:anchor>
          </w:drawing>
        </mc:Choice>
        <mc:Fallback>
          <w:pict>
            <v:shape w14:anchorId="75C678FE" id="Textbox 109" o:spid="_x0000_s1212" type="#_x0000_t202" style="position:absolute;margin-left:39.5pt;margin-top:802.25pt;width:14.75pt;height:10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" filled="f" stroked="f">
              <v:textbox inset="0,0,0,0">
                <w:txbxContent>
                  <w:p w14:paraId="1F8659AA" w14:textId="77777777" w:rsidR="007372B2" w:rsidRDefault="007372B2">
                    <w:pPr>
                      <w:ind w:left="20"/>
                      <w:rPr>
                        <w:sz w:val="16"/>
                      </w:rPr>
                    </w:pPr>
                    <w:r>
                      <w:rPr>
                        <w:color w:val="019648"/>
                        <w:spacing w:val="-4"/>
                        <w:sz w:val="16"/>
                      </w:rPr>
                      <w:fldChar w:fldCharType="begin"/>
                    </w:r>
                    <w:r>
                      <w:rPr>
                        <w:color w:val="019648"/>
                        <w:spacing w:val="-4"/>
                        <w:sz w:val="16"/>
                      </w:rPr>
                      <w:instrText xml:space="preserve"> PAGE  \* roman </w:instrText>
                    </w:r>
                    <w:r>
                      <w:rPr>
                        <w:color w:val="019648"/>
                        <w:spacing w:val="-4"/>
                        <w:sz w:val="16"/>
                      </w:rPr>
                      <w:fldChar w:fldCharType="separate"/>
                    </w:r>
                    <w:r>
                      <w:rPr>
                        <w:color w:val="019648"/>
                        <w:spacing w:val="-4"/>
                        <w:sz w:val="16"/>
                      </w:rPr>
                      <w:t>viii</w:t>
                    </w:r>
                    <w:r>
                      <w:rPr>
                        <w:color w:val="019648"/>
                        <w:spacing w:val="-4"/>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33664" behindDoc="1" locked="0" layoutInCell="1" allowOverlap="1" wp14:anchorId="14B24D86" wp14:editId="1754CB46">
              <wp:simplePos x="0" y="0"/>
              <wp:positionH relativeFrom="page">
                <wp:posOffset>887299</wp:posOffset>
              </wp:positionH>
              <wp:positionV relativeFrom="page">
                <wp:posOffset>10188662</wp:posOffset>
              </wp:positionV>
              <wp:extent cx="2788285" cy="12700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285" cy="127000"/>
                      </a:xfrm>
                      <a:prstGeom prst="rect">
                        <a:avLst/>
                      </a:prstGeom>
                    </wps:spPr>
                    <wps:txbx>
                      <w:txbxContent>
                        <w:p w14:paraId="35D2FB5A" w14:textId="77777777" w:rsidR="007372B2" w:rsidRPr="009B5E1D" w:rsidRDefault="007372B2" w:rsidP="009B5E1D">
                          <w:pPr>
                            <w:ind w:left="20"/>
                            <w:rPr>
                              <w:sz w:val="16"/>
                              <w:lang w:val="uk-UA"/>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r w:rsidRPr="009B5E1D">
                            <w:rPr>
                              <w:color w:val="019648"/>
                              <w:spacing w:val="2"/>
                              <w:sz w:val="16"/>
                              <w:lang w:val="uk-UA"/>
                            </w:rPr>
                            <w:t xml:space="preserve"> </w:t>
                          </w:r>
                        </w:p>
                        <w:p w14:paraId="7DBE5355" w14:textId="10E82B54" w:rsidR="007372B2" w:rsidRPr="009B5E1D" w:rsidRDefault="007372B2">
                          <w:pPr>
                            <w:ind w:left="20"/>
                            <w:rPr>
                              <w:sz w:val="16"/>
                              <w:lang w:val="uk-UA"/>
                            </w:rPr>
                          </w:pPr>
                        </w:p>
                      </w:txbxContent>
                    </wps:txbx>
                    <wps:bodyPr wrap="square" lIns="0" tIns="0" rIns="0" bIns="0" rtlCol="0">
                      <a:noAutofit/>
                    </wps:bodyPr>
                  </wps:wsp>
                </a:graphicData>
              </a:graphic>
            </wp:anchor>
          </w:drawing>
        </mc:Choice>
        <mc:Fallback>
          <w:pict>
            <v:shape w14:anchorId="14B24D86" id="Textbox 110" o:spid="_x0000_s1213" type="#_x0000_t202" style="position:absolute;margin-left:69.85pt;margin-top:802.25pt;width:219.55pt;height:10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" filled="f" stroked="f">
              <v:textbox inset="0,0,0,0">
                <w:txbxContent>
                  <w:p w14:paraId="35D2FB5A" w14:textId="77777777" w:rsidR="007372B2" w:rsidRPr="009B5E1D" w:rsidRDefault="007372B2" w:rsidP="009B5E1D">
                    <w:pPr>
                      <w:ind w:left="20"/>
                      <w:rPr>
                        <w:sz w:val="16"/>
                        <w:lang w:val="uk-UA"/>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r w:rsidRPr="009B5E1D">
                      <w:rPr>
                        <w:color w:val="019648"/>
                        <w:spacing w:val="2"/>
                        <w:sz w:val="16"/>
                        <w:lang w:val="uk-UA"/>
                      </w:rPr>
                      <w:t xml:space="preserve"> </w:t>
                    </w:r>
                  </w:p>
                  <w:p w14:paraId="7DBE5355" w14:textId="10E82B54" w:rsidR="007372B2" w:rsidRPr="009B5E1D" w:rsidRDefault="007372B2">
                    <w:pPr>
                      <w:ind w:left="20"/>
                      <w:rPr>
                        <w:sz w:val="16"/>
                        <w:lang w:val="uk-UA"/>
                      </w:rPr>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9E6B0" w14:textId="0AC092DA" w:rsidR="007372B2" w:rsidRDefault="007372B2">
    <w:pPr>
      <w:pStyle w:val="a3"/>
      <w:spacing w:line="14" w:lineRule="auto"/>
      <w:rPr>
        <w:sz w:val="20"/>
      </w:rPr>
    </w:pPr>
    <w:r>
      <w:rPr>
        <w:noProof/>
        <w:sz w:val="20"/>
      </w:rPr>
      <mc:AlternateContent>
        <mc:Choice Requires="wps">
          <w:drawing>
            <wp:anchor distT="0" distB="0" distL="0" distR="0" simplePos="0" relativeHeight="251659264" behindDoc="1" locked="0" layoutInCell="1" allowOverlap="1" wp14:anchorId="4149BA17" wp14:editId="7704760A">
              <wp:simplePos x="0" y="0"/>
              <wp:positionH relativeFrom="page">
                <wp:posOffset>887240</wp:posOffset>
              </wp:positionH>
              <wp:positionV relativeFrom="page">
                <wp:posOffset>10189675</wp:posOffset>
              </wp:positionV>
              <wp:extent cx="3299988" cy="122222"/>
              <wp:effectExtent l="0" t="0" r="0" b="0"/>
              <wp:wrapNone/>
              <wp:docPr id="3045" name="Textbox 3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9988" cy="122222"/>
                      </a:xfrm>
                      <a:prstGeom prst="rect">
                        <a:avLst/>
                      </a:prstGeom>
                    </wps:spPr>
                    <wps:txbx>
                      <w:txbxContent>
                        <w:p w14:paraId="00958001" w14:textId="77777777" w:rsidR="007372B2" w:rsidRPr="00671EF3" w:rsidRDefault="007372B2" w:rsidP="00AB60F3">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p w14:paraId="2FF8A875" w14:textId="0BF63D2C" w:rsidR="007372B2" w:rsidRPr="00AB60F3" w:rsidRDefault="007372B2">
                          <w:pPr>
                            <w:ind w:left="20"/>
                            <w:rPr>
                              <w:sz w:val="16"/>
                              <w:lang w:val="ru-RU"/>
                            </w:rPr>
                          </w:pPr>
                        </w:p>
                      </w:txbxContent>
                    </wps:txbx>
                    <wps:bodyPr wrap="square" lIns="0" tIns="0" rIns="0" bIns="0" rtlCol="0">
                      <a:noAutofit/>
                    </wps:bodyPr>
                  </wps:wsp>
                </a:graphicData>
              </a:graphic>
              <wp14:sizeRelH relativeFrom="margin">
                <wp14:pctWidth>0</wp14:pctWidth>
              </wp14:sizeRelH>
            </wp:anchor>
          </w:drawing>
        </mc:Choice>
        <mc:Fallback>
          <w:pict>
            <v:shapetype w14:anchorId="4149BA17" id="_x0000_t202" coordsize="21600,21600" o:spt="202" path="m,l,21600r21600,l21600,xe">
              <v:stroke joinstyle="miter"/>
              <v:path gradientshapeok="t" o:connecttype="rect"/>
            </v:shapetype>
            <v:shape id="Textbox 3045" o:spid="_x0000_s1240" type="#_x0000_t202" style="position:absolute;margin-left:69.85pt;margin-top:802.35pt;width:259.85pt;height:9.6pt;z-index:-2516572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" filled="f" stroked="f">
              <v:textbox inset="0,0,0,0">
                <w:txbxContent>
                  <w:p w14:paraId="00958001" w14:textId="77777777" w:rsidR="007372B2" w:rsidRPr="00671EF3" w:rsidRDefault="007372B2" w:rsidP="00AB60F3">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p w14:paraId="2FF8A875" w14:textId="0BF63D2C" w:rsidR="007372B2" w:rsidRPr="00AB60F3" w:rsidRDefault="007372B2">
                    <w:pPr>
                      <w:ind w:left="20"/>
                      <w:rPr>
                        <w:sz w:val="16"/>
                        <w:lang w:val="ru-RU"/>
                      </w:rPr>
                    </w:pPr>
                  </w:p>
                </w:txbxContent>
              </v:textbox>
              <w10:wrap anchorx="page" anchory="page"/>
            </v:shape>
          </w:pict>
        </mc:Fallback>
      </mc:AlternateContent>
    </w:r>
    <w:r>
      <w:rPr>
        <w:noProof/>
        <w:sz w:val="20"/>
      </w:rPr>
      <mc:AlternateContent>
        <mc:Choice Requires="wps">
          <w:drawing>
            <wp:anchor distT="0" distB="0" distL="0" distR="0" simplePos="0" relativeHeight="251658240" behindDoc="1" locked="0" layoutInCell="1" allowOverlap="1" wp14:anchorId="1D8A39D0" wp14:editId="177B73E3">
              <wp:simplePos x="0" y="0"/>
              <wp:positionH relativeFrom="page">
                <wp:posOffset>450423</wp:posOffset>
              </wp:positionH>
              <wp:positionV relativeFrom="page">
                <wp:posOffset>10188662</wp:posOffset>
              </wp:positionV>
              <wp:extent cx="264160" cy="127000"/>
              <wp:effectExtent l="0" t="0" r="0" b="0"/>
              <wp:wrapNone/>
              <wp:docPr id="3044" name="Textbox 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27000"/>
                      </a:xfrm>
                      <a:prstGeom prst="rect">
                        <a:avLst/>
                      </a:prstGeom>
                    </wps:spPr>
                    <wps:txbx>
                      <w:txbxContent>
                        <w:p w14:paraId="7DE8FE40"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124</w:t>
                          </w:r>
                          <w:r>
                            <w:rPr>
                              <w:color w:val="019648"/>
                              <w:spacing w:val="-5"/>
                              <w:w w:val="105"/>
                              <w:sz w:val="16"/>
                            </w:rPr>
                            <w:fldChar w:fldCharType="end"/>
                          </w:r>
                        </w:p>
                      </w:txbxContent>
                    </wps:txbx>
                    <wps:bodyPr wrap="square" lIns="0" tIns="0" rIns="0" bIns="0" rtlCol="0">
                      <a:noAutofit/>
                    </wps:bodyPr>
                  </wps:wsp>
                </a:graphicData>
              </a:graphic>
            </wp:anchor>
          </w:drawing>
        </mc:Choice>
        <mc:Fallback>
          <w:pict>
            <v:shape w14:anchorId="1D8A39D0" id="Textbox 3044" o:spid="_x0000_s1241" type="#_x0000_t202" style="position:absolute;margin-left:35.45pt;margin-top:802.25pt;width:20.8pt;height:10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" filled="f" stroked="f">
              <v:textbox inset="0,0,0,0">
                <w:txbxContent>
                  <w:p w14:paraId="7DE8FE40"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124</w:t>
                    </w:r>
                    <w:r>
                      <w:rPr>
                        <w:color w:val="019648"/>
                        <w:spacing w:val="-5"/>
                        <w:w w:val="105"/>
                        <w:sz w:val="16"/>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077C3" w14:textId="77777777" w:rsidR="007372B2" w:rsidRDefault="007372B2">
    <w:pPr>
      <w:pStyle w:val="a3"/>
      <w:spacing w:line="14" w:lineRule="auto"/>
      <w:rPr>
        <w:sz w:val="20"/>
      </w:rPr>
    </w:pPr>
    <w:r>
      <w:rPr>
        <w:noProof/>
        <w:sz w:val="20"/>
      </w:rPr>
      <mc:AlternateContent>
        <mc:Choice Requires="wps">
          <w:drawing>
            <wp:anchor distT="0" distB="0" distL="0" distR="0" simplePos="0" relativeHeight="251656192" behindDoc="1" locked="0" layoutInCell="1" allowOverlap="1" wp14:anchorId="5246584B" wp14:editId="6FB61035">
              <wp:simplePos x="0" y="0"/>
              <wp:positionH relativeFrom="page">
                <wp:posOffset>4402689</wp:posOffset>
              </wp:positionH>
              <wp:positionV relativeFrom="page">
                <wp:posOffset>10188662</wp:posOffset>
              </wp:positionV>
              <wp:extent cx="2270125" cy="127000"/>
              <wp:effectExtent l="0" t="0" r="0" b="0"/>
              <wp:wrapNone/>
              <wp:docPr id="3042" name="Textbox 3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0125" cy="127000"/>
                      </a:xfrm>
                      <a:prstGeom prst="rect">
                        <a:avLst/>
                      </a:prstGeom>
                    </wps:spPr>
                    <wps:txbx>
                      <w:txbxContent>
                        <w:p w14:paraId="41122626" w14:textId="5C409B1E" w:rsidR="007372B2" w:rsidRPr="005878D4" w:rsidRDefault="007372B2">
                          <w:pPr>
                            <w:ind w:left="20"/>
                            <w:rPr>
                              <w:sz w:val="16"/>
                              <w:lang w:val="uk-UA"/>
                            </w:rPr>
                          </w:pPr>
                          <w:r>
                            <w:rPr>
                              <w:color w:val="019648"/>
                              <w:sz w:val="16"/>
                            </w:rPr>
                            <w:t>3.</w:t>
                          </w:r>
                          <w:r>
                            <w:rPr>
                              <w:color w:val="019648"/>
                              <w:spacing w:val="-8"/>
                              <w:sz w:val="16"/>
                            </w:rPr>
                            <w:t xml:space="preserve"> </w:t>
                          </w:r>
                          <w:r w:rsidR="005878D4">
                            <w:rPr>
                              <w:color w:val="019648"/>
                              <w:sz w:val="16"/>
                              <w:lang w:val="uk-UA"/>
                            </w:rPr>
                            <w:t>Рекомендації щодо діагностики інфекції ТБ</w:t>
                          </w:r>
                        </w:p>
                      </w:txbxContent>
                    </wps:txbx>
                    <wps:bodyPr wrap="square" lIns="0" tIns="0" rIns="0" bIns="0" rtlCol="0">
                      <a:noAutofit/>
                    </wps:bodyPr>
                  </wps:wsp>
                </a:graphicData>
              </a:graphic>
            </wp:anchor>
          </w:drawing>
        </mc:Choice>
        <mc:Fallback>
          <w:pict>
            <v:shapetype w14:anchorId="5246584B" id="_x0000_t202" coordsize="21600,21600" o:spt="202" path="m,l,21600r21600,l21600,xe">
              <v:stroke joinstyle="miter"/>
              <v:path gradientshapeok="t" o:connecttype="rect"/>
            </v:shapetype>
            <v:shape id="Textbox 3042" o:spid="_x0000_s1242" type="#_x0000_t202" style="position:absolute;margin-left:346.65pt;margin-top:802.25pt;width:178.75pt;height:10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" filled="f" stroked="f">
              <v:textbox inset="0,0,0,0">
                <w:txbxContent>
                  <w:p w14:paraId="41122626" w14:textId="5C409B1E" w:rsidR="007372B2" w:rsidRPr="005878D4" w:rsidRDefault="007372B2">
                    <w:pPr>
                      <w:ind w:left="20"/>
                      <w:rPr>
                        <w:sz w:val="16"/>
                        <w:lang w:val="uk-UA"/>
                      </w:rPr>
                    </w:pPr>
                    <w:r>
                      <w:rPr>
                        <w:color w:val="019648"/>
                        <w:sz w:val="16"/>
                      </w:rPr>
                      <w:t>3.</w:t>
                    </w:r>
                    <w:r>
                      <w:rPr>
                        <w:color w:val="019648"/>
                        <w:spacing w:val="-8"/>
                        <w:sz w:val="16"/>
                      </w:rPr>
                      <w:t xml:space="preserve"> </w:t>
                    </w:r>
                    <w:r w:rsidR="005878D4">
                      <w:rPr>
                        <w:color w:val="019648"/>
                        <w:sz w:val="16"/>
                        <w:lang w:val="uk-UA"/>
                      </w:rPr>
                      <w:t>Рекомендації щодо діагностики інфекції ТБ</w:t>
                    </w:r>
                  </w:p>
                </w:txbxContent>
              </v:textbox>
              <w10:wrap anchorx="page" anchory="page"/>
            </v:shape>
          </w:pict>
        </mc:Fallback>
      </mc:AlternateContent>
    </w:r>
    <w:r>
      <w:rPr>
        <w:noProof/>
        <w:sz w:val="20"/>
      </w:rPr>
      <mc:AlternateContent>
        <mc:Choice Requires="wps">
          <w:drawing>
            <wp:anchor distT="0" distB="0" distL="0" distR="0" simplePos="0" relativeHeight="251657216" behindDoc="1" locked="0" layoutInCell="1" allowOverlap="1" wp14:anchorId="3698AEBA" wp14:editId="1A73D796">
              <wp:simplePos x="0" y="0"/>
              <wp:positionH relativeFrom="page">
                <wp:posOffset>6858424</wp:posOffset>
              </wp:positionH>
              <wp:positionV relativeFrom="page">
                <wp:posOffset>10188662</wp:posOffset>
              </wp:positionV>
              <wp:extent cx="264160" cy="127000"/>
              <wp:effectExtent l="0" t="0" r="0" b="0"/>
              <wp:wrapNone/>
              <wp:docPr id="3043" name="Textbox 3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27000"/>
                      </a:xfrm>
                      <a:prstGeom prst="rect">
                        <a:avLst/>
                      </a:prstGeom>
                    </wps:spPr>
                    <wps:txbx>
                      <w:txbxContent>
                        <w:p w14:paraId="06C0F86A"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123</w:t>
                          </w:r>
                          <w:r>
                            <w:rPr>
                              <w:color w:val="019648"/>
                              <w:spacing w:val="-5"/>
                              <w:w w:val="105"/>
                              <w:sz w:val="16"/>
                            </w:rPr>
                            <w:fldChar w:fldCharType="end"/>
                          </w:r>
                        </w:p>
                      </w:txbxContent>
                    </wps:txbx>
                    <wps:bodyPr wrap="square" lIns="0" tIns="0" rIns="0" bIns="0" rtlCol="0">
                      <a:noAutofit/>
                    </wps:bodyPr>
                  </wps:wsp>
                </a:graphicData>
              </a:graphic>
            </wp:anchor>
          </w:drawing>
        </mc:Choice>
        <mc:Fallback>
          <w:pict>
            <v:shape w14:anchorId="3698AEBA" id="Textbox 3043" o:spid="_x0000_s1243" type="#_x0000_t202" style="position:absolute;margin-left:540.05pt;margin-top:802.25pt;width:20.8pt;height:10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" filled="f" stroked="f">
              <v:textbox inset="0,0,0,0">
                <w:txbxContent>
                  <w:p w14:paraId="06C0F86A"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123</w:t>
                    </w:r>
                    <w:r>
                      <w:rPr>
                        <w:color w:val="019648"/>
                        <w:spacing w:val="-5"/>
                        <w:w w:val="105"/>
                        <w:sz w:val="16"/>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34CB3" w14:textId="330618E8" w:rsidR="007372B2" w:rsidRDefault="007372B2">
    <w:pPr>
      <w:pStyle w:val="a3"/>
      <w:spacing w:line="14" w:lineRule="auto"/>
      <w:rPr>
        <w:sz w:val="20"/>
      </w:rPr>
    </w:pPr>
    <w:r>
      <w:rPr>
        <w:noProof/>
        <w:sz w:val="20"/>
      </w:rPr>
      <mc:AlternateContent>
        <mc:Choice Requires="wps">
          <w:drawing>
            <wp:anchor distT="0" distB="0" distL="0" distR="0" simplePos="0" relativeHeight="251662336" behindDoc="1" locked="0" layoutInCell="1" allowOverlap="1" wp14:anchorId="143A502D" wp14:editId="53C5A0CC">
              <wp:simplePos x="0" y="0"/>
              <wp:positionH relativeFrom="page">
                <wp:posOffset>887240</wp:posOffset>
              </wp:positionH>
              <wp:positionV relativeFrom="page">
                <wp:posOffset>10189675</wp:posOffset>
              </wp:positionV>
              <wp:extent cx="3476530" cy="122222"/>
              <wp:effectExtent l="0" t="0" r="0" b="0"/>
              <wp:wrapNone/>
              <wp:docPr id="3058" name="Textbox 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6530" cy="122222"/>
                      </a:xfrm>
                      <a:prstGeom prst="rect">
                        <a:avLst/>
                      </a:prstGeom>
                    </wps:spPr>
                    <wps:txbx>
                      <w:txbxContent>
                        <w:p w14:paraId="5DE63113" w14:textId="77777777" w:rsidR="007372B2" w:rsidRPr="00671EF3" w:rsidRDefault="007372B2" w:rsidP="00AB60F3">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p w14:paraId="0486E0D6" w14:textId="5CD7CD27" w:rsidR="007372B2" w:rsidRPr="00AB60F3" w:rsidRDefault="007372B2">
                          <w:pPr>
                            <w:ind w:left="20"/>
                            <w:rPr>
                              <w:sz w:val="16"/>
                              <w:lang w:val="ru-RU"/>
                            </w:rPr>
                          </w:pPr>
                        </w:p>
                      </w:txbxContent>
                    </wps:txbx>
                    <wps:bodyPr wrap="square" lIns="0" tIns="0" rIns="0" bIns="0" rtlCol="0">
                      <a:noAutofit/>
                    </wps:bodyPr>
                  </wps:wsp>
                </a:graphicData>
              </a:graphic>
              <wp14:sizeRelH relativeFrom="margin">
                <wp14:pctWidth>0</wp14:pctWidth>
              </wp14:sizeRelH>
            </wp:anchor>
          </w:drawing>
        </mc:Choice>
        <mc:Fallback>
          <w:pict>
            <v:shapetype w14:anchorId="143A502D" id="_x0000_t202" coordsize="21600,21600" o:spt="202" path="m,l,21600r21600,l21600,xe">
              <v:stroke joinstyle="miter"/>
              <v:path gradientshapeok="t" o:connecttype="rect"/>
            </v:shapetype>
            <v:shape id="Textbox 3058" o:spid="_x0000_s1244" type="#_x0000_t202" style="position:absolute;margin-left:69.85pt;margin-top:802.35pt;width:273.75pt;height:9.6pt;z-index:-2516541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" filled="f" stroked="f">
              <v:textbox inset="0,0,0,0">
                <w:txbxContent>
                  <w:p w14:paraId="5DE63113" w14:textId="77777777" w:rsidR="007372B2" w:rsidRPr="00671EF3" w:rsidRDefault="007372B2" w:rsidP="00AB60F3">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p w14:paraId="0486E0D6" w14:textId="5CD7CD27" w:rsidR="007372B2" w:rsidRPr="00AB60F3" w:rsidRDefault="007372B2">
                    <w:pPr>
                      <w:ind w:left="20"/>
                      <w:rPr>
                        <w:sz w:val="16"/>
                        <w:lang w:val="ru-RU"/>
                      </w:rPr>
                    </w:pPr>
                  </w:p>
                </w:txbxContent>
              </v:textbox>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692249F1" wp14:editId="7754E754">
              <wp:simplePos x="0" y="0"/>
              <wp:positionH relativeFrom="page">
                <wp:posOffset>450423</wp:posOffset>
              </wp:positionH>
              <wp:positionV relativeFrom="page">
                <wp:posOffset>10188662</wp:posOffset>
              </wp:positionV>
              <wp:extent cx="264160" cy="127000"/>
              <wp:effectExtent l="0" t="0" r="0" b="0"/>
              <wp:wrapNone/>
              <wp:docPr id="3057" name="Text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27000"/>
                      </a:xfrm>
                      <a:prstGeom prst="rect">
                        <a:avLst/>
                      </a:prstGeom>
                    </wps:spPr>
                    <wps:txbx>
                      <w:txbxContent>
                        <w:p w14:paraId="36829C30"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150</w:t>
                          </w:r>
                          <w:r>
                            <w:rPr>
                              <w:color w:val="019648"/>
                              <w:spacing w:val="-5"/>
                              <w:w w:val="105"/>
                              <w:sz w:val="16"/>
                            </w:rPr>
                            <w:fldChar w:fldCharType="end"/>
                          </w:r>
                        </w:p>
                      </w:txbxContent>
                    </wps:txbx>
                    <wps:bodyPr wrap="square" lIns="0" tIns="0" rIns="0" bIns="0" rtlCol="0">
                      <a:noAutofit/>
                    </wps:bodyPr>
                  </wps:wsp>
                </a:graphicData>
              </a:graphic>
            </wp:anchor>
          </w:drawing>
        </mc:Choice>
        <mc:Fallback>
          <w:pict>
            <v:shape w14:anchorId="692249F1" id="Textbox 3057" o:spid="_x0000_s1245" type="#_x0000_t202" style="position:absolute;margin-left:35.45pt;margin-top:802.25pt;width:20.8pt;height:10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" filled="f" stroked="f">
              <v:textbox inset="0,0,0,0">
                <w:txbxContent>
                  <w:p w14:paraId="36829C30"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150</w:t>
                    </w:r>
                    <w:r>
                      <w:rPr>
                        <w:color w:val="019648"/>
                        <w:spacing w:val="-5"/>
                        <w:w w:val="105"/>
                        <w:sz w:val="16"/>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A4698" w14:textId="77777777" w:rsidR="007372B2" w:rsidRDefault="007372B2">
    <w:pPr>
      <w:pStyle w:val="a3"/>
      <w:spacing w:line="14" w:lineRule="auto"/>
      <w:rPr>
        <w:sz w:val="20"/>
      </w:rPr>
    </w:pPr>
    <w:r>
      <w:rPr>
        <w:noProof/>
        <w:sz w:val="20"/>
      </w:rPr>
      <mc:AlternateContent>
        <mc:Choice Requires="wps">
          <w:drawing>
            <wp:anchor distT="0" distB="0" distL="0" distR="0" simplePos="0" relativeHeight="251660288" behindDoc="1" locked="0" layoutInCell="1" allowOverlap="1" wp14:anchorId="71D898F6" wp14:editId="1D710862">
              <wp:simplePos x="0" y="0"/>
              <wp:positionH relativeFrom="page">
                <wp:posOffset>6858424</wp:posOffset>
              </wp:positionH>
              <wp:positionV relativeFrom="page">
                <wp:posOffset>10188662</wp:posOffset>
              </wp:positionV>
              <wp:extent cx="264160" cy="127000"/>
              <wp:effectExtent l="0" t="0" r="0" b="0"/>
              <wp:wrapNone/>
              <wp:docPr id="3056" name="Textbox 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27000"/>
                      </a:xfrm>
                      <a:prstGeom prst="rect">
                        <a:avLst/>
                      </a:prstGeom>
                    </wps:spPr>
                    <wps:txbx>
                      <w:txbxContent>
                        <w:p w14:paraId="0958F8AB"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149</w:t>
                          </w:r>
                          <w:r>
                            <w:rPr>
                              <w:color w:val="019648"/>
                              <w:spacing w:val="-5"/>
                              <w:w w:val="105"/>
                              <w:sz w:val="16"/>
                            </w:rPr>
                            <w:fldChar w:fldCharType="end"/>
                          </w:r>
                        </w:p>
                      </w:txbxContent>
                    </wps:txbx>
                    <wps:bodyPr wrap="square" lIns="0" tIns="0" rIns="0" bIns="0" rtlCol="0">
                      <a:noAutofit/>
                    </wps:bodyPr>
                  </wps:wsp>
                </a:graphicData>
              </a:graphic>
            </wp:anchor>
          </w:drawing>
        </mc:Choice>
        <mc:Fallback>
          <w:pict>
            <v:shapetype w14:anchorId="71D898F6" id="_x0000_t202" coordsize="21600,21600" o:spt="202" path="m,l,21600r21600,l21600,xe">
              <v:stroke joinstyle="miter"/>
              <v:path gradientshapeok="t" o:connecttype="rect"/>
            </v:shapetype>
            <v:shape id="Textbox 3056" o:spid="_x0000_s1246" type="#_x0000_t202" style="position:absolute;margin-left:540.05pt;margin-top:802.25pt;width:20.8pt;height:10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" filled="f" stroked="f">
              <v:textbox inset="0,0,0,0">
                <w:txbxContent>
                  <w:p w14:paraId="0958F8AB"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149</w:t>
                    </w:r>
                    <w:r>
                      <w:rPr>
                        <w:color w:val="019648"/>
                        <w:spacing w:val="-5"/>
                        <w:w w:val="105"/>
                        <w:sz w:val="16"/>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C0AF6" w14:textId="0DB7BCEF" w:rsidR="007372B2" w:rsidRDefault="007372B2">
    <w:pPr>
      <w:pStyle w:val="a3"/>
      <w:spacing w:line="14" w:lineRule="auto"/>
      <w:rPr>
        <w:sz w:val="20"/>
      </w:rPr>
    </w:pPr>
    <w:r>
      <w:rPr>
        <w:noProof/>
        <w:sz w:val="20"/>
      </w:rPr>
      <mc:AlternateContent>
        <mc:Choice Requires="wps">
          <w:drawing>
            <wp:anchor distT="0" distB="0" distL="0" distR="0" simplePos="0" relativeHeight="251666432" behindDoc="1" locked="0" layoutInCell="1" allowOverlap="1" wp14:anchorId="0B61FDA9" wp14:editId="13EB6F55">
              <wp:simplePos x="0" y="0"/>
              <wp:positionH relativeFrom="page">
                <wp:posOffset>887240</wp:posOffset>
              </wp:positionH>
              <wp:positionV relativeFrom="page">
                <wp:posOffset>10189675</wp:posOffset>
              </wp:positionV>
              <wp:extent cx="3363362" cy="104115"/>
              <wp:effectExtent l="0" t="0" r="0" b="0"/>
              <wp:wrapNone/>
              <wp:docPr id="3063" name="Textbox 3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3362" cy="104115"/>
                      </a:xfrm>
                      <a:prstGeom prst="rect">
                        <a:avLst/>
                      </a:prstGeom>
                    </wps:spPr>
                    <wps:txbx>
                      <w:txbxContent>
                        <w:p w14:paraId="5868A4DE" w14:textId="77777777" w:rsidR="007372B2" w:rsidRPr="00671EF3" w:rsidRDefault="007372B2" w:rsidP="00AB60F3">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p w14:paraId="20704EEE" w14:textId="0029A341" w:rsidR="007372B2" w:rsidRPr="00AB60F3" w:rsidRDefault="007372B2">
                          <w:pPr>
                            <w:ind w:left="20"/>
                            <w:rPr>
                              <w:sz w:val="16"/>
                              <w:lang w:val="ru-RU"/>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B61FDA9" id="_x0000_t202" coordsize="21600,21600" o:spt="202" path="m,l,21600r21600,l21600,xe">
              <v:stroke joinstyle="miter"/>
              <v:path gradientshapeok="t" o:connecttype="rect"/>
            </v:shapetype>
            <v:shape id="Textbox 3063" o:spid="_x0000_s1247" type="#_x0000_t202" style="position:absolute;margin-left:69.85pt;margin-top:802.35pt;width:264.85pt;height:8.2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" filled="f" stroked="f">
              <v:textbox inset="0,0,0,0">
                <w:txbxContent>
                  <w:p w14:paraId="5868A4DE" w14:textId="77777777" w:rsidR="007372B2" w:rsidRPr="00671EF3" w:rsidRDefault="007372B2" w:rsidP="00AB60F3">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p w14:paraId="20704EEE" w14:textId="0029A341" w:rsidR="007372B2" w:rsidRPr="00AB60F3" w:rsidRDefault="007372B2">
                    <w:pPr>
                      <w:ind w:left="20"/>
                      <w:rPr>
                        <w:sz w:val="16"/>
                        <w:lang w:val="ru-RU"/>
                      </w:rPr>
                    </w:pPr>
                  </w:p>
                </w:txbxContent>
              </v:textbox>
              <w10:wrap anchorx="page" anchory="page"/>
            </v:shape>
          </w:pict>
        </mc:Fallback>
      </mc:AlternateContent>
    </w:r>
    <w:r>
      <w:rPr>
        <w:noProof/>
        <w:sz w:val="20"/>
      </w:rPr>
      <mc:AlternateContent>
        <mc:Choice Requires="wps">
          <w:drawing>
            <wp:anchor distT="0" distB="0" distL="0" distR="0" simplePos="0" relativeHeight="251665408" behindDoc="1" locked="0" layoutInCell="1" allowOverlap="1" wp14:anchorId="145B6A8D" wp14:editId="08A63C7C">
              <wp:simplePos x="0" y="0"/>
              <wp:positionH relativeFrom="page">
                <wp:posOffset>450423</wp:posOffset>
              </wp:positionH>
              <wp:positionV relativeFrom="page">
                <wp:posOffset>10188662</wp:posOffset>
              </wp:positionV>
              <wp:extent cx="264160" cy="127000"/>
              <wp:effectExtent l="0" t="0" r="0" b="0"/>
              <wp:wrapNone/>
              <wp:docPr id="3062" name="Textbox 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27000"/>
                      </a:xfrm>
                      <a:prstGeom prst="rect">
                        <a:avLst/>
                      </a:prstGeom>
                    </wps:spPr>
                    <wps:txbx>
                      <w:txbxContent>
                        <w:p w14:paraId="536D7DFD"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152</w:t>
                          </w:r>
                          <w:r>
                            <w:rPr>
                              <w:color w:val="019648"/>
                              <w:spacing w:val="-5"/>
                              <w:w w:val="105"/>
                              <w:sz w:val="16"/>
                            </w:rPr>
                            <w:fldChar w:fldCharType="end"/>
                          </w:r>
                        </w:p>
                      </w:txbxContent>
                    </wps:txbx>
                    <wps:bodyPr wrap="square" lIns="0" tIns="0" rIns="0" bIns="0" rtlCol="0">
                      <a:noAutofit/>
                    </wps:bodyPr>
                  </wps:wsp>
                </a:graphicData>
              </a:graphic>
            </wp:anchor>
          </w:drawing>
        </mc:Choice>
        <mc:Fallback>
          <w:pict>
            <v:shape w14:anchorId="145B6A8D" id="Textbox 3062" o:spid="_x0000_s1248" type="#_x0000_t202" style="position:absolute;margin-left:35.45pt;margin-top:802.25pt;width:20.8pt;height:10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" filled="f" stroked="f">
              <v:textbox inset="0,0,0,0">
                <w:txbxContent>
                  <w:p w14:paraId="536D7DFD"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152</w:t>
                    </w:r>
                    <w:r>
                      <w:rPr>
                        <w:color w:val="019648"/>
                        <w:spacing w:val="-5"/>
                        <w:w w:val="105"/>
                        <w:sz w:val="16"/>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FB884" w14:textId="77777777" w:rsidR="007372B2" w:rsidRDefault="007372B2">
    <w:pPr>
      <w:pStyle w:val="a3"/>
      <w:spacing w:line="14" w:lineRule="auto"/>
      <w:rPr>
        <w:sz w:val="20"/>
      </w:rPr>
    </w:pPr>
    <w:r>
      <w:rPr>
        <w:noProof/>
        <w:sz w:val="20"/>
      </w:rPr>
      <mc:AlternateContent>
        <mc:Choice Requires="wps">
          <w:drawing>
            <wp:anchor distT="0" distB="0" distL="0" distR="0" simplePos="0" relativeHeight="251663360" behindDoc="1" locked="0" layoutInCell="1" allowOverlap="1" wp14:anchorId="2672FD02" wp14:editId="695F5773">
              <wp:simplePos x="0" y="0"/>
              <wp:positionH relativeFrom="page">
                <wp:posOffset>4653481</wp:posOffset>
              </wp:positionH>
              <wp:positionV relativeFrom="page">
                <wp:posOffset>10189675</wp:posOffset>
              </wp:positionV>
              <wp:extent cx="2018785" cy="122222"/>
              <wp:effectExtent l="0" t="0" r="0" b="0"/>
              <wp:wrapNone/>
              <wp:docPr id="3060" name="Textbox 3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785" cy="122222"/>
                      </a:xfrm>
                      <a:prstGeom prst="rect">
                        <a:avLst/>
                      </a:prstGeom>
                    </wps:spPr>
                    <wps:txbx>
                      <w:txbxContent>
                        <w:p w14:paraId="61CE1C27" w14:textId="15DF85AE" w:rsidR="007372B2" w:rsidRDefault="007372B2">
                          <w:pPr>
                            <w:ind w:left="20"/>
                            <w:rPr>
                              <w:sz w:val="16"/>
                            </w:rPr>
                          </w:pPr>
                          <w:proofErr w:type="spellStart"/>
                          <w:r w:rsidRPr="00AB60F3">
                            <w:rPr>
                              <w:color w:val="019648"/>
                              <w:sz w:val="16"/>
                            </w:rPr>
                            <w:t>Додаток</w:t>
                          </w:r>
                          <w:proofErr w:type="spellEnd"/>
                          <w:r w:rsidRPr="00AB60F3">
                            <w:rPr>
                              <w:color w:val="019648"/>
                              <w:sz w:val="16"/>
                            </w:rPr>
                            <w:t xml:space="preserve"> 1. </w:t>
                          </w:r>
                          <w:proofErr w:type="spellStart"/>
                          <w:r w:rsidRPr="00AB60F3">
                            <w:rPr>
                              <w:color w:val="019648"/>
                              <w:sz w:val="16"/>
                            </w:rPr>
                            <w:t>Методи</w:t>
                          </w:r>
                          <w:proofErr w:type="spellEnd"/>
                          <w:r w:rsidRPr="00AB60F3">
                            <w:rPr>
                              <w:color w:val="019648"/>
                              <w:sz w:val="16"/>
                            </w:rPr>
                            <w:t xml:space="preserve"> </w:t>
                          </w:r>
                          <w:proofErr w:type="spellStart"/>
                          <w:r w:rsidRPr="00AB60F3">
                            <w:rPr>
                              <w:color w:val="019648"/>
                              <w:sz w:val="16"/>
                            </w:rPr>
                            <w:t>розробки</w:t>
                          </w:r>
                          <w:proofErr w:type="spellEnd"/>
                          <w:r w:rsidRPr="00AB60F3">
                            <w:rPr>
                              <w:color w:val="019648"/>
                              <w:sz w:val="16"/>
                            </w:rPr>
                            <w:t xml:space="preserve"> </w:t>
                          </w:r>
                          <w:proofErr w:type="spellStart"/>
                          <w:r w:rsidRPr="00AB60F3">
                            <w:rPr>
                              <w:color w:val="019648"/>
                              <w:sz w:val="16"/>
                            </w:rPr>
                            <w:t>настанов</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672FD02" id="_x0000_t202" coordsize="21600,21600" o:spt="202" path="m,l,21600r21600,l21600,xe">
              <v:stroke joinstyle="miter"/>
              <v:path gradientshapeok="t" o:connecttype="rect"/>
            </v:shapetype>
            <v:shape id="Textbox 3060" o:spid="_x0000_s1249" type="#_x0000_t202" style="position:absolute;margin-left:366.4pt;margin-top:802.35pt;width:158.95pt;height:9.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" filled="f" stroked="f">
              <v:textbox inset="0,0,0,0">
                <w:txbxContent>
                  <w:p w14:paraId="61CE1C27" w14:textId="15DF85AE" w:rsidR="007372B2" w:rsidRDefault="007372B2">
                    <w:pPr>
                      <w:ind w:left="20"/>
                      <w:rPr>
                        <w:sz w:val="16"/>
                      </w:rPr>
                    </w:pPr>
                    <w:proofErr w:type="spellStart"/>
                    <w:r w:rsidRPr="00AB60F3">
                      <w:rPr>
                        <w:color w:val="019648"/>
                        <w:sz w:val="16"/>
                      </w:rPr>
                      <w:t>Додаток</w:t>
                    </w:r>
                    <w:proofErr w:type="spellEnd"/>
                    <w:r w:rsidRPr="00AB60F3">
                      <w:rPr>
                        <w:color w:val="019648"/>
                        <w:sz w:val="16"/>
                      </w:rPr>
                      <w:t xml:space="preserve"> 1. </w:t>
                    </w:r>
                    <w:proofErr w:type="spellStart"/>
                    <w:r w:rsidRPr="00AB60F3">
                      <w:rPr>
                        <w:color w:val="019648"/>
                        <w:sz w:val="16"/>
                      </w:rPr>
                      <w:t>Методи</w:t>
                    </w:r>
                    <w:proofErr w:type="spellEnd"/>
                    <w:r w:rsidRPr="00AB60F3">
                      <w:rPr>
                        <w:color w:val="019648"/>
                        <w:sz w:val="16"/>
                      </w:rPr>
                      <w:t xml:space="preserve"> </w:t>
                    </w:r>
                    <w:proofErr w:type="spellStart"/>
                    <w:r w:rsidRPr="00AB60F3">
                      <w:rPr>
                        <w:color w:val="019648"/>
                        <w:sz w:val="16"/>
                      </w:rPr>
                      <w:t>розробки</w:t>
                    </w:r>
                    <w:proofErr w:type="spellEnd"/>
                    <w:r w:rsidRPr="00AB60F3">
                      <w:rPr>
                        <w:color w:val="019648"/>
                        <w:sz w:val="16"/>
                      </w:rPr>
                      <w:t xml:space="preserve"> </w:t>
                    </w:r>
                    <w:proofErr w:type="spellStart"/>
                    <w:r w:rsidRPr="00AB60F3">
                      <w:rPr>
                        <w:color w:val="019648"/>
                        <w:sz w:val="16"/>
                      </w:rPr>
                      <w:t>настанов</w:t>
                    </w:r>
                    <w:proofErr w:type="spellEnd"/>
                  </w:p>
                </w:txbxContent>
              </v:textbox>
              <w10:wrap anchorx="page" anchory="page"/>
            </v:shape>
          </w:pict>
        </mc:Fallback>
      </mc:AlternateContent>
    </w:r>
    <w:r>
      <w:rPr>
        <w:noProof/>
        <w:sz w:val="20"/>
      </w:rPr>
      <mc:AlternateContent>
        <mc:Choice Requires="wps">
          <w:drawing>
            <wp:anchor distT="0" distB="0" distL="0" distR="0" simplePos="0" relativeHeight="251664384" behindDoc="1" locked="0" layoutInCell="1" allowOverlap="1" wp14:anchorId="352CDE12" wp14:editId="155035C1">
              <wp:simplePos x="0" y="0"/>
              <wp:positionH relativeFrom="page">
                <wp:posOffset>6858424</wp:posOffset>
              </wp:positionH>
              <wp:positionV relativeFrom="page">
                <wp:posOffset>10188662</wp:posOffset>
              </wp:positionV>
              <wp:extent cx="264160" cy="127000"/>
              <wp:effectExtent l="0" t="0" r="0" b="0"/>
              <wp:wrapNone/>
              <wp:docPr id="3061" name="Textbox 3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27000"/>
                      </a:xfrm>
                      <a:prstGeom prst="rect">
                        <a:avLst/>
                      </a:prstGeom>
                    </wps:spPr>
                    <wps:txbx>
                      <w:txbxContent>
                        <w:p w14:paraId="109006BB"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151</w:t>
                          </w:r>
                          <w:r>
                            <w:rPr>
                              <w:color w:val="019648"/>
                              <w:spacing w:val="-5"/>
                              <w:w w:val="105"/>
                              <w:sz w:val="16"/>
                            </w:rPr>
                            <w:fldChar w:fldCharType="end"/>
                          </w:r>
                        </w:p>
                      </w:txbxContent>
                    </wps:txbx>
                    <wps:bodyPr wrap="square" lIns="0" tIns="0" rIns="0" bIns="0" rtlCol="0">
                      <a:noAutofit/>
                    </wps:bodyPr>
                  </wps:wsp>
                </a:graphicData>
              </a:graphic>
            </wp:anchor>
          </w:drawing>
        </mc:Choice>
        <mc:Fallback>
          <w:pict>
            <v:shape w14:anchorId="352CDE12" id="Textbox 3061" o:spid="_x0000_s1250" type="#_x0000_t202" style="position:absolute;margin-left:540.05pt;margin-top:802.25pt;width:20.8pt;height:10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" filled="f" stroked="f">
              <v:textbox inset="0,0,0,0">
                <w:txbxContent>
                  <w:p w14:paraId="109006BB"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151</w:t>
                    </w:r>
                    <w:r>
                      <w:rPr>
                        <w:color w:val="019648"/>
                        <w:spacing w:val="-5"/>
                        <w:w w:val="105"/>
                        <w:sz w:val="16"/>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16E89" w14:textId="3F85841A" w:rsidR="007372B2" w:rsidRDefault="007372B2">
    <w:pPr>
      <w:pStyle w:val="a3"/>
      <w:spacing w:line="14" w:lineRule="auto"/>
      <w:rPr>
        <w:sz w:val="20"/>
      </w:rPr>
    </w:pPr>
    <w:r>
      <w:rPr>
        <w:noProof/>
        <w:sz w:val="20"/>
      </w:rPr>
      <mc:AlternateContent>
        <mc:Choice Requires="wps">
          <w:drawing>
            <wp:anchor distT="0" distB="0" distL="0" distR="0" simplePos="0" relativeHeight="251669504" behindDoc="1" locked="0" layoutInCell="1" allowOverlap="1" wp14:anchorId="0E77189F" wp14:editId="3D15F614">
              <wp:simplePos x="0" y="0"/>
              <wp:positionH relativeFrom="page">
                <wp:posOffset>887240</wp:posOffset>
              </wp:positionH>
              <wp:positionV relativeFrom="page">
                <wp:posOffset>10189675</wp:posOffset>
              </wp:positionV>
              <wp:extent cx="3435790" cy="144856"/>
              <wp:effectExtent l="0" t="0" r="0" b="0"/>
              <wp:wrapNone/>
              <wp:docPr id="3066" name="Textbox 3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790" cy="144856"/>
                      </a:xfrm>
                      <a:prstGeom prst="rect">
                        <a:avLst/>
                      </a:prstGeom>
                    </wps:spPr>
                    <wps:txbx>
                      <w:txbxContent>
                        <w:p w14:paraId="1E0279C7" w14:textId="77777777" w:rsidR="007372B2" w:rsidRPr="00671EF3" w:rsidRDefault="007372B2" w:rsidP="00AB60F3">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p w14:paraId="4C56D5A9" w14:textId="4BEEAA27" w:rsidR="007372B2" w:rsidRPr="00AB60F3" w:rsidRDefault="007372B2">
                          <w:pPr>
                            <w:ind w:left="20"/>
                            <w:rPr>
                              <w:sz w:val="16"/>
                              <w:lang w:val="ru-RU"/>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E77189F" id="_x0000_t202" coordsize="21600,21600" o:spt="202" path="m,l,21600r21600,l21600,xe">
              <v:stroke joinstyle="miter"/>
              <v:path gradientshapeok="t" o:connecttype="rect"/>
            </v:shapetype>
            <v:shape id="Textbox 3066" o:spid="_x0000_s1251" type="#_x0000_t202" style="position:absolute;margin-left:69.85pt;margin-top:802.35pt;width:270.55pt;height:11.4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" filled="f" stroked="f">
              <v:textbox inset="0,0,0,0">
                <w:txbxContent>
                  <w:p w14:paraId="1E0279C7" w14:textId="77777777" w:rsidR="007372B2" w:rsidRPr="00671EF3" w:rsidRDefault="007372B2" w:rsidP="00AB60F3">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p w14:paraId="4C56D5A9" w14:textId="4BEEAA27" w:rsidR="007372B2" w:rsidRPr="00AB60F3" w:rsidRDefault="007372B2">
                    <w:pPr>
                      <w:ind w:left="20"/>
                      <w:rPr>
                        <w:sz w:val="16"/>
                        <w:lang w:val="ru-RU"/>
                      </w:rPr>
                    </w:pPr>
                  </w:p>
                </w:txbxContent>
              </v:textbox>
              <w10:wrap anchorx="page" anchory="page"/>
            </v:shape>
          </w:pict>
        </mc:Fallback>
      </mc:AlternateContent>
    </w:r>
    <w:r>
      <w:rPr>
        <w:noProof/>
        <w:sz w:val="20"/>
      </w:rPr>
      <mc:AlternateContent>
        <mc:Choice Requires="wps">
          <w:drawing>
            <wp:anchor distT="0" distB="0" distL="0" distR="0" simplePos="0" relativeHeight="251668480" behindDoc="1" locked="0" layoutInCell="1" allowOverlap="1" wp14:anchorId="412ADF17" wp14:editId="4B4AED3D">
              <wp:simplePos x="0" y="0"/>
              <wp:positionH relativeFrom="page">
                <wp:posOffset>450423</wp:posOffset>
              </wp:positionH>
              <wp:positionV relativeFrom="page">
                <wp:posOffset>10188662</wp:posOffset>
              </wp:positionV>
              <wp:extent cx="264160" cy="127000"/>
              <wp:effectExtent l="0" t="0" r="0" b="0"/>
              <wp:wrapNone/>
              <wp:docPr id="3065" name="Textbox 3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27000"/>
                      </a:xfrm>
                      <a:prstGeom prst="rect">
                        <a:avLst/>
                      </a:prstGeom>
                    </wps:spPr>
                    <wps:txbx>
                      <w:txbxContent>
                        <w:p w14:paraId="6ED111F1"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154</w:t>
                          </w:r>
                          <w:r>
                            <w:rPr>
                              <w:color w:val="019648"/>
                              <w:spacing w:val="-5"/>
                              <w:w w:val="105"/>
                              <w:sz w:val="16"/>
                            </w:rPr>
                            <w:fldChar w:fldCharType="end"/>
                          </w:r>
                        </w:p>
                      </w:txbxContent>
                    </wps:txbx>
                    <wps:bodyPr wrap="square" lIns="0" tIns="0" rIns="0" bIns="0" rtlCol="0">
                      <a:noAutofit/>
                    </wps:bodyPr>
                  </wps:wsp>
                </a:graphicData>
              </a:graphic>
            </wp:anchor>
          </w:drawing>
        </mc:Choice>
        <mc:Fallback>
          <w:pict>
            <v:shape w14:anchorId="412ADF17" id="Textbox 3065" o:spid="_x0000_s1252" type="#_x0000_t202" style="position:absolute;margin-left:35.45pt;margin-top:802.25pt;width:20.8pt;height:10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" filled="f" stroked="f">
              <v:textbox inset="0,0,0,0">
                <w:txbxContent>
                  <w:p w14:paraId="6ED111F1"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154</w:t>
                    </w:r>
                    <w:r>
                      <w:rPr>
                        <w:color w:val="019648"/>
                        <w:spacing w:val="-5"/>
                        <w:w w:val="105"/>
                        <w:sz w:val="16"/>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69AB8" w14:textId="77777777" w:rsidR="007372B2" w:rsidRDefault="007372B2">
    <w:pPr>
      <w:pStyle w:val="a3"/>
      <w:spacing w:line="14" w:lineRule="auto"/>
      <w:rPr>
        <w:sz w:val="20"/>
      </w:rPr>
    </w:pPr>
    <w:r>
      <w:rPr>
        <w:noProof/>
        <w:sz w:val="20"/>
      </w:rPr>
      <mc:AlternateContent>
        <mc:Choice Requires="wps">
          <w:drawing>
            <wp:anchor distT="0" distB="0" distL="0" distR="0" simplePos="0" relativeHeight="251667456" behindDoc="1" locked="0" layoutInCell="1" allowOverlap="1" wp14:anchorId="16819799" wp14:editId="04A18AAC">
              <wp:simplePos x="0" y="0"/>
              <wp:positionH relativeFrom="page">
                <wp:posOffset>6858424</wp:posOffset>
              </wp:positionH>
              <wp:positionV relativeFrom="page">
                <wp:posOffset>10188662</wp:posOffset>
              </wp:positionV>
              <wp:extent cx="264160" cy="127000"/>
              <wp:effectExtent l="0" t="0" r="0" b="0"/>
              <wp:wrapNone/>
              <wp:docPr id="3064" name="Textbox 3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27000"/>
                      </a:xfrm>
                      <a:prstGeom prst="rect">
                        <a:avLst/>
                      </a:prstGeom>
                    </wps:spPr>
                    <wps:txbx>
                      <w:txbxContent>
                        <w:p w14:paraId="3E5C43F6"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153</w:t>
                          </w:r>
                          <w:r>
                            <w:rPr>
                              <w:color w:val="019648"/>
                              <w:spacing w:val="-5"/>
                              <w:w w:val="105"/>
                              <w:sz w:val="16"/>
                            </w:rPr>
                            <w:fldChar w:fldCharType="end"/>
                          </w:r>
                        </w:p>
                      </w:txbxContent>
                    </wps:txbx>
                    <wps:bodyPr wrap="square" lIns="0" tIns="0" rIns="0" bIns="0" rtlCol="0">
                      <a:noAutofit/>
                    </wps:bodyPr>
                  </wps:wsp>
                </a:graphicData>
              </a:graphic>
            </wp:anchor>
          </w:drawing>
        </mc:Choice>
        <mc:Fallback>
          <w:pict>
            <v:shapetype w14:anchorId="16819799" id="_x0000_t202" coordsize="21600,21600" o:spt="202" path="m,l,21600r21600,l21600,xe">
              <v:stroke joinstyle="miter"/>
              <v:path gradientshapeok="t" o:connecttype="rect"/>
            </v:shapetype>
            <v:shape id="Textbox 3064" o:spid="_x0000_s1253" type="#_x0000_t202" style="position:absolute;margin-left:540.05pt;margin-top:802.25pt;width:20.8pt;height:10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" filled="f" stroked="f">
              <v:textbox inset="0,0,0,0">
                <w:txbxContent>
                  <w:p w14:paraId="3E5C43F6"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153</w:t>
                    </w:r>
                    <w:r>
                      <w:rPr>
                        <w:color w:val="019648"/>
                        <w:spacing w:val="-5"/>
                        <w:w w:val="105"/>
                        <w:sz w:val="16"/>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80B2C" w14:textId="44BCAAD8" w:rsidR="007372B2" w:rsidRDefault="007372B2">
    <w:pPr>
      <w:pStyle w:val="a3"/>
      <w:spacing w:line="14" w:lineRule="auto"/>
      <w:rPr>
        <w:sz w:val="20"/>
      </w:rPr>
    </w:pPr>
    <w:r>
      <w:rPr>
        <w:noProof/>
        <w:sz w:val="20"/>
      </w:rPr>
      <mc:AlternateContent>
        <mc:Choice Requires="wps">
          <w:drawing>
            <wp:anchor distT="0" distB="0" distL="0" distR="0" simplePos="0" relativeHeight="251673600" behindDoc="1" locked="0" layoutInCell="1" allowOverlap="1" wp14:anchorId="0DBE7770" wp14:editId="3A5321EB">
              <wp:simplePos x="0" y="0"/>
              <wp:positionH relativeFrom="page">
                <wp:posOffset>887767</wp:posOffset>
              </wp:positionH>
              <wp:positionV relativeFrom="page">
                <wp:posOffset>10187125</wp:posOffset>
              </wp:positionV>
              <wp:extent cx="3266983" cy="173115"/>
              <wp:effectExtent l="0" t="0" r="0" b="0"/>
              <wp:wrapNone/>
              <wp:docPr id="3071" name="Textbox 3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6983" cy="173115"/>
                      </a:xfrm>
                      <a:prstGeom prst="rect">
                        <a:avLst/>
                      </a:prstGeom>
                    </wps:spPr>
                    <wps:txbx>
                      <w:txbxContent>
                        <w:p w14:paraId="68BB19E6" w14:textId="77777777" w:rsidR="007372B2" w:rsidRPr="009B5E1D" w:rsidRDefault="007372B2" w:rsidP="00EE6B52">
                          <w:pPr>
                            <w:ind w:left="20"/>
                            <w:rPr>
                              <w:sz w:val="16"/>
                              <w:lang w:val="uk-UA"/>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r w:rsidRPr="009B5E1D">
                            <w:rPr>
                              <w:color w:val="019648"/>
                              <w:spacing w:val="2"/>
                              <w:sz w:val="16"/>
                              <w:lang w:val="uk-UA"/>
                            </w:rPr>
                            <w:t xml:space="preserve"> </w:t>
                          </w:r>
                        </w:p>
                        <w:p w14:paraId="01E30CF2" w14:textId="66912165" w:rsidR="007372B2" w:rsidRPr="00EE6B52" w:rsidRDefault="007372B2">
                          <w:pPr>
                            <w:ind w:left="20"/>
                            <w:rPr>
                              <w:sz w:val="16"/>
                              <w:lang w:val="uk-UA"/>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DBE7770" id="_x0000_t202" coordsize="21600,21600" o:spt="202" path="m,l,21600r21600,l21600,xe">
              <v:stroke joinstyle="miter"/>
              <v:path gradientshapeok="t" o:connecttype="rect"/>
            </v:shapetype>
            <v:shape id="Textbox 3071" o:spid="_x0000_s1254" type="#_x0000_t202" style="position:absolute;margin-left:69.9pt;margin-top:802.15pt;width:257.25pt;height:13.6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" filled="f" stroked="f">
              <v:textbox inset="0,0,0,0">
                <w:txbxContent>
                  <w:p w14:paraId="68BB19E6" w14:textId="77777777" w:rsidR="007372B2" w:rsidRPr="009B5E1D" w:rsidRDefault="007372B2" w:rsidP="00EE6B52">
                    <w:pPr>
                      <w:ind w:left="20"/>
                      <w:rPr>
                        <w:sz w:val="16"/>
                        <w:lang w:val="uk-UA"/>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r w:rsidRPr="009B5E1D">
                      <w:rPr>
                        <w:color w:val="019648"/>
                        <w:spacing w:val="2"/>
                        <w:sz w:val="16"/>
                        <w:lang w:val="uk-UA"/>
                      </w:rPr>
                      <w:t xml:space="preserve"> </w:t>
                    </w:r>
                  </w:p>
                  <w:p w14:paraId="01E30CF2" w14:textId="66912165" w:rsidR="007372B2" w:rsidRPr="00EE6B52" w:rsidRDefault="007372B2">
                    <w:pPr>
                      <w:ind w:left="20"/>
                      <w:rPr>
                        <w:sz w:val="16"/>
                        <w:lang w:val="uk-UA"/>
                      </w:rPr>
                    </w:pPr>
                  </w:p>
                </w:txbxContent>
              </v:textbox>
              <w10:wrap anchorx="page" anchory="page"/>
            </v:shape>
          </w:pict>
        </mc:Fallback>
      </mc:AlternateContent>
    </w:r>
    <w:r>
      <w:rPr>
        <w:noProof/>
        <w:sz w:val="20"/>
      </w:rPr>
      <mc:AlternateContent>
        <mc:Choice Requires="wps">
          <w:drawing>
            <wp:anchor distT="0" distB="0" distL="0" distR="0" simplePos="0" relativeHeight="251672576" behindDoc="1" locked="0" layoutInCell="1" allowOverlap="1" wp14:anchorId="4451A3E7" wp14:editId="19C7DF34">
              <wp:simplePos x="0" y="0"/>
              <wp:positionH relativeFrom="page">
                <wp:posOffset>450423</wp:posOffset>
              </wp:positionH>
              <wp:positionV relativeFrom="page">
                <wp:posOffset>10188662</wp:posOffset>
              </wp:positionV>
              <wp:extent cx="264160" cy="127000"/>
              <wp:effectExtent l="0" t="0" r="0" b="0"/>
              <wp:wrapNone/>
              <wp:docPr id="3070" name="Textbox 3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27000"/>
                      </a:xfrm>
                      <a:prstGeom prst="rect">
                        <a:avLst/>
                      </a:prstGeom>
                    </wps:spPr>
                    <wps:txbx>
                      <w:txbxContent>
                        <w:p w14:paraId="09159E63"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156</w:t>
                          </w:r>
                          <w:r>
                            <w:rPr>
                              <w:color w:val="019648"/>
                              <w:spacing w:val="-5"/>
                              <w:w w:val="105"/>
                              <w:sz w:val="16"/>
                            </w:rPr>
                            <w:fldChar w:fldCharType="end"/>
                          </w:r>
                        </w:p>
                      </w:txbxContent>
                    </wps:txbx>
                    <wps:bodyPr wrap="square" lIns="0" tIns="0" rIns="0" bIns="0" rtlCol="0">
                      <a:noAutofit/>
                    </wps:bodyPr>
                  </wps:wsp>
                </a:graphicData>
              </a:graphic>
            </wp:anchor>
          </w:drawing>
        </mc:Choice>
        <mc:Fallback>
          <w:pict>
            <v:shape w14:anchorId="4451A3E7" id="Textbox 3070" o:spid="_x0000_s1255" type="#_x0000_t202" style="position:absolute;margin-left:35.45pt;margin-top:802.25pt;width:20.8pt;height:10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" filled="f" stroked="f">
              <v:textbox inset="0,0,0,0">
                <w:txbxContent>
                  <w:p w14:paraId="09159E63"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156</w:t>
                    </w:r>
                    <w:r>
                      <w:rPr>
                        <w:color w:val="019648"/>
                        <w:spacing w:val="-5"/>
                        <w:w w:val="105"/>
                        <w:sz w:val="16"/>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1BEE7" w14:textId="77777777" w:rsidR="007372B2" w:rsidRDefault="007372B2">
    <w:pPr>
      <w:pStyle w:val="a3"/>
      <w:spacing w:line="14" w:lineRule="auto"/>
      <w:rPr>
        <w:sz w:val="20"/>
      </w:rPr>
    </w:pPr>
    <w:r>
      <w:rPr>
        <w:noProof/>
        <w:sz w:val="20"/>
      </w:rPr>
      <mc:AlternateContent>
        <mc:Choice Requires="wps">
          <w:drawing>
            <wp:anchor distT="0" distB="0" distL="0" distR="0" simplePos="0" relativeHeight="251670528" behindDoc="1" locked="0" layoutInCell="1" allowOverlap="1" wp14:anchorId="050DC9A7" wp14:editId="482701E2">
              <wp:simplePos x="0" y="0"/>
              <wp:positionH relativeFrom="page">
                <wp:posOffset>844550</wp:posOffset>
              </wp:positionH>
              <wp:positionV relativeFrom="page">
                <wp:posOffset>10191750</wp:posOffset>
              </wp:positionV>
              <wp:extent cx="5949950" cy="165100"/>
              <wp:effectExtent l="0" t="0" r="0" b="0"/>
              <wp:wrapNone/>
              <wp:docPr id="3068" name="Textbox 3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0" cy="165100"/>
                      </a:xfrm>
                      <a:prstGeom prst="rect">
                        <a:avLst/>
                      </a:prstGeom>
                    </wps:spPr>
                    <wps:txbx>
                      <w:txbxContent>
                        <w:p w14:paraId="183E8EEA" w14:textId="67DC27E4" w:rsidR="007372B2" w:rsidRPr="00AB60F3" w:rsidRDefault="007372B2" w:rsidP="00C141C1">
                          <w:pPr>
                            <w:ind w:left="20"/>
                            <w:jc w:val="right"/>
                            <w:rPr>
                              <w:sz w:val="16"/>
                              <w:lang w:val="ru-RU"/>
                            </w:rPr>
                          </w:pPr>
                          <w:proofErr w:type="spellStart"/>
                          <w:r w:rsidRPr="00C141C1">
                            <w:rPr>
                              <w:color w:val="019648"/>
                              <w:spacing w:val="-4"/>
                              <w:sz w:val="16"/>
                              <w:lang w:val="ru-RU"/>
                            </w:rPr>
                            <w:t>Додаток</w:t>
                          </w:r>
                          <w:proofErr w:type="spellEnd"/>
                          <w:r w:rsidRPr="00C141C1">
                            <w:rPr>
                              <w:color w:val="019648"/>
                              <w:spacing w:val="-4"/>
                              <w:sz w:val="16"/>
                              <w:lang w:val="ru-RU"/>
                            </w:rPr>
                            <w:t xml:space="preserve"> 2. Оцінка конфлікту інтересів для </w:t>
                          </w:r>
                          <w:proofErr w:type="spellStart"/>
                          <w:r w:rsidRPr="00C141C1">
                            <w:rPr>
                              <w:color w:val="019648"/>
                              <w:spacing w:val="-4"/>
                              <w:sz w:val="16"/>
                              <w:lang w:val="ru-RU"/>
                            </w:rPr>
                            <w:t>членів</w:t>
                          </w:r>
                          <w:proofErr w:type="spellEnd"/>
                          <w:r w:rsidRPr="00C141C1">
                            <w:rPr>
                              <w:color w:val="019648"/>
                              <w:spacing w:val="-4"/>
                              <w:sz w:val="16"/>
                              <w:lang w:val="ru-RU"/>
                            </w:rPr>
                            <w:t xml:space="preserve"> </w:t>
                          </w:r>
                          <w:proofErr w:type="spellStart"/>
                          <w:r w:rsidRPr="00C141C1">
                            <w:rPr>
                              <w:color w:val="019648"/>
                              <w:spacing w:val="-4"/>
                              <w:sz w:val="16"/>
                              <w:lang w:val="ru-RU"/>
                            </w:rPr>
                            <w:t>Групи</w:t>
                          </w:r>
                          <w:proofErr w:type="spellEnd"/>
                          <w:r w:rsidRPr="00C141C1">
                            <w:rPr>
                              <w:color w:val="019648"/>
                              <w:spacing w:val="-4"/>
                              <w:sz w:val="16"/>
                              <w:lang w:val="ru-RU"/>
                            </w:rPr>
                            <w:t xml:space="preserve"> з </w:t>
                          </w:r>
                          <w:proofErr w:type="spellStart"/>
                          <w:r w:rsidRPr="00C141C1">
                            <w:rPr>
                              <w:color w:val="019648"/>
                              <w:spacing w:val="-4"/>
                              <w:sz w:val="16"/>
                              <w:lang w:val="ru-RU"/>
                            </w:rPr>
                            <w:t>розробки</w:t>
                          </w:r>
                          <w:proofErr w:type="spellEnd"/>
                          <w:r w:rsidRPr="00C141C1">
                            <w:rPr>
                              <w:color w:val="019648"/>
                              <w:spacing w:val="-4"/>
                              <w:sz w:val="16"/>
                              <w:lang w:val="ru-RU"/>
                            </w:rPr>
                            <w:t xml:space="preserve"> </w:t>
                          </w:r>
                          <w:proofErr w:type="spellStart"/>
                          <w:r w:rsidRPr="00C141C1">
                            <w:rPr>
                              <w:color w:val="019648"/>
                              <w:spacing w:val="-4"/>
                              <w:sz w:val="16"/>
                              <w:lang w:val="ru-RU"/>
                            </w:rPr>
                            <w:t>настанов</w:t>
                          </w:r>
                          <w:proofErr w:type="spellEnd"/>
                          <w:r w:rsidRPr="00C141C1">
                            <w:rPr>
                              <w:color w:val="019648"/>
                              <w:spacing w:val="-4"/>
                              <w:sz w:val="16"/>
                              <w:lang w:val="ru-RU"/>
                            </w:rPr>
                            <w:t xml:space="preserve"> та </w:t>
                          </w:r>
                          <w:proofErr w:type="spellStart"/>
                          <w:r w:rsidRPr="00C141C1">
                            <w:rPr>
                              <w:color w:val="019648"/>
                              <w:spacing w:val="-4"/>
                              <w:sz w:val="16"/>
                              <w:lang w:val="ru-RU"/>
                            </w:rPr>
                            <w:t>Групи</w:t>
                          </w:r>
                          <w:proofErr w:type="spellEnd"/>
                          <w:r w:rsidRPr="00C141C1">
                            <w:rPr>
                              <w:color w:val="019648"/>
                              <w:spacing w:val="-4"/>
                              <w:sz w:val="16"/>
                              <w:lang w:val="ru-RU"/>
                            </w:rPr>
                            <w:t xml:space="preserve"> </w:t>
                          </w:r>
                          <w:proofErr w:type="spellStart"/>
                          <w:r w:rsidRPr="00C141C1">
                            <w:rPr>
                              <w:color w:val="019648"/>
                              <w:spacing w:val="-4"/>
                              <w:sz w:val="16"/>
                              <w:lang w:val="ru-RU"/>
                            </w:rPr>
                            <w:t>зовнішніх</w:t>
                          </w:r>
                          <w:proofErr w:type="spellEnd"/>
                          <w:r w:rsidRPr="00C141C1">
                            <w:rPr>
                              <w:color w:val="019648"/>
                              <w:spacing w:val="-4"/>
                              <w:sz w:val="16"/>
                              <w:lang w:val="ru-RU"/>
                            </w:rPr>
                            <w:t xml:space="preserve"> </w:t>
                          </w:r>
                          <w:proofErr w:type="spellStart"/>
                          <w:r w:rsidRPr="00C141C1">
                            <w:rPr>
                              <w:color w:val="019648"/>
                              <w:spacing w:val="-4"/>
                              <w:sz w:val="16"/>
                              <w:lang w:val="ru-RU"/>
                            </w:rPr>
                            <w:t>експертів</w:t>
                          </w:r>
                          <w:proofErr w:type="spellEnd"/>
                          <w:r w:rsidRPr="00C141C1">
                            <w:rPr>
                              <w:color w:val="019648"/>
                              <w:spacing w:val="-4"/>
                              <w:sz w:val="16"/>
                              <w:lang w:val="ru-RU"/>
                            </w:rPr>
                            <w:t xml:space="preserve"> з </w:t>
                          </w:r>
                          <w:proofErr w:type="spellStart"/>
                          <w:r w:rsidRPr="00C141C1">
                            <w:rPr>
                              <w:color w:val="019648"/>
                              <w:spacing w:val="-4"/>
                              <w:sz w:val="16"/>
                              <w:lang w:val="ru-RU"/>
                            </w:rPr>
                            <w:t>огляду</w:t>
                          </w:r>
                          <w:proofErr w:type="spellEnd"/>
                          <w:r w:rsidRPr="00C141C1">
                            <w:rPr>
                              <w:color w:val="019648"/>
                              <w:spacing w:val="-4"/>
                              <w:sz w:val="16"/>
                              <w:lang w:val="ru-RU"/>
                            </w:rPr>
                            <w:t xml:space="preserve"> </w:t>
                          </w:r>
                          <w:proofErr w:type="spellStart"/>
                          <w:r w:rsidRPr="00C141C1">
                            <w:rPr>
                              <w:color w:val="019648"/>
                              <w:spacing w:val="-4"/>
                              <w:sz w:val="16"/>
                              <w:lang w:val="ru-RU"/>
                            </w:rPr>
                            <w:t>настанов</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50DC9A7" id="_x0000_t202" coordsize="21600,21600" o:spt="202" path="m,l,21600r21600,l21600,xe">
              <v:stroke joinstyle="miter"/>
              <v:path gradientshapeok="t" o:connecttype="rect"/>
            </v:shapetype>
            <v:shape id="Textbox 3068" o:spid="_x0000_s1256" type="#_x0000_t202" style="position:absolute;margin-left:66.5pt;margin-top:802.5pt;width:468.5pt;height:13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" filled="f" stroked="f">
              <v:textbox inset="0,0,0,0">
                <w:txbxContent>
                  <w:p w14:paraId="183E8EEA" w14:textId="67DC27E4" w:rsidR="007372B2" w:rsidRPr="00AB60F3" w:rsidRDefault="007372B2" w:rsidP="00C141C1">
                    <w:pPr>
                      <w:ind w:left="20"/>
                      <w:jc w:val="right"/>
                      <w:rPr>
                        <w:sz w:val="16"/>
                        <w:lang w:val="ru-RU"/>
                      </w:rPr>
                    </w:pPr>
                    <w:proofErr w:type="spellStart"/>
                    <w:r w:rsidRPr="00C141C1">
                      <w:rPr>
                        <w:color w:val="019648"/>
                        <w:spacing w:val="-4"/>
                        <w:sz w:val="16"/>
                        <w:lang w:val="ru-RU"/>
                      </w:rPr>
                      <w:t>Додаток</w:t>
                    </w:r>
                    <w:proofErr w:type="spellEnd"/>
                    <w:r w:rsidRPr="00C141C1">
                      <w:rPr>
                        <w:color w:val="019648"/>
                        <w:spacing w:val="-4"/>
                        <w:sz w:val="16"/>
                        <w:lang w:val="ru-RU"/>
                      </w:rPr>
                      <w:t xml:space="preserve"> 2. Оцінка конфлікту інтересів для </w:t>
                    </w:r>
                    <w:proofErr w:type="spellStart"/>
                    <w:r w:rsidRPr="00C141C1">
                      <w:rPr>
                        <w:color w:val="019648"/>
                        <w:spacing w:val="-4"/>
                        <w:sz w:val="16"/>
                        <w:lang w:val="ru-RU"/>
                      </w:rPr>
                      <w:t>членів</w:t>
                    </w:r>
                    <w:proofErr w:type="spellEnd"/>
                    <w:r w:rsidRPr="00C141C1">
                      <w:rPr>
                        <w:color w:val="019648"/>
                        <w:spacing w:val="-4"/>
                        <w:sz w:val="16"/>
                        <w:lang w:val="ru-RU"/>
                      </w:rPr>
                      <w:t xml:space="preserve"> </w:t>
                    </w:r>
                    <w:proofErr w:type="spellStart"/>
                    <w:r w:rsidRPr="00C141C1">
                      <w:rPr>
                        <w:color w:val="019648"/>
                        <w:spacing w:val="-4"/>
                        <w:sz w:val="16"/>
                        <w:lang w:val="ru-RU"/>
                      </w:rPr>
                      <w:t>Групи</w:t>
                    </w:r>
                    <w:proofErr w:type="spellEnd"/>
                    <w:r w:rsidRPr="00C141C1">
                      <w:rPr>
                        <w:color w:val="019648"/>
                        <w:spacing w:val="-4"/>
                        <w:sz w:val="16"/>
                        <w:lang w:val="ru-RU"/>
                      </w:rPr>
                      <w:t xml:space="preserve"> з </w:t>
                    </w:r>
                    <w:proofErr w:type="spellStart"/>
                    <w:r w:rsidRPr="00C141C1">
                      <w:rPr>
                        <w:color w:val="019648"/>
                        <w:spacing w:val="-4"/>
                        <w:sz w:val="16"/>
                        <w:lang w:val="ru-RU"/>
                      </w:rPr>
                      <w:t>розробки</w:t>
                    </w:r>
                    <w:proofErr w:type="spellEnd"/>
                    <w:r w:rsidRPr="00C141C1">
                      <w:rPr>
                        <w:color w:val="019648"/>
                        <w:spacing w:val="-4"/>
                        <w:sz w:val="16"/>
                        <w:lang w:val="ru-RU"/>
                      </w:rPr>
                      <w:t xml:space="preserve"> </w:t>
                    </w:r>
                    <w:proofErr w:type="spellStart"/>
                    <w:r w:rsidRPr="00C141C1">
                      <w:rPr>
                        <w:color w:val="019648"/>
                        <w:spacing w:val="-4"/>
                        <w:sz w:val="16"/>
                        <w:lang w:val="ru-RU"/>
                      </w:rPr>
                      <w:t>настанов</w:t>
                    </w:r>
                    <w:proofErr w:type="spellEnd"/>
                    <w:r w:rsidRPr="00C141C1">
                      <w:rPr>
                        <w:color w:val="019648"/>
                        <w:spacing w:val="-4"/>
                        <w:sz w:val="16"/>
                        <w:lang w:val="ru-RU"/>
                      </w:rPr>
                      <w:t xml:space="preserve"> та </w:t>
                    </w:r>
                    <w:proofErr w:type="spellStart"/>
                    <w:r w:rsidRPr="00C141C1">
                      <w:rPr>
                        <w:color w:val="019648"/>
                        <w:spacing w:val="-4"/>
                        <w:sz w:val="16"/>
                        <w:lang w:val="ru-RU"/>
                      </w:rPr>
                      <w:t>Групи</w:t>
                    </w:r>
                    <w:proofErr w:type="spellEnd"/>
                    <w:r w:rsidRPr="00C141C1">
                      <w:rPr>
                        <w:color w:val="019648"/>
                        <w:spacing w:val="-4"/>
                        <w:sz w:val="16"/>
                        <w:lang w:val="ru-RU"/>
                      </w:rPr>
                      <w:t xml:space="preserve"> </w:t>
                    </w:r>
                    <w:proofErr w:type="spellStart"/>
                    <w:r w:rsidRPr="00C141C1">
                      <w:rPr>
                        <w:color w:val="019648"/>
                        <w:spacing w:val="-4"/>
                        <w:sz w:val="16"/>
                        <w:lang w:val="ru-RU"/>
                      </w:rPr>
                      <w:t>зовнішніх</w:t>
                    </w:r>
                    <w:proofErr w:type="spellEnd"/>
                    <w:r w:rsidRPr="00C141C1">
                      <w:rPr>
                        <w:color w:val="019648"/>
                        <w:spacing w:val="-4"/>
                        <w:sz w:val="16"/>
                        <w:lang w:val="ru-RU"/>
                      </w:rPr>
                      <w:t xml:space="preserve"> </w:t>
                    </w:r>
                    <w:proofErr w:type="spellStart"/>
                    <w:r w:rsidRPr="00C141C1">
                      <w:rPr>
                        <w:color w:val="019648"/>
                        <w:spacing w:val="-4"/>
                        <w:sz w:val="16"/>
                        <w:lang w:val="ru-RU"/>
                      </w:rPr>
                      <w:t>експертів</w:t>
                    </w:r>
                    <w:proofErr w:type="spellEnd"/>
                    <w:r w:rsidRPr="00C141C1">
                      <w:rPr>
                        <w:color w:val="019648"/>
                        <w:spacing w:val="-4"/>
                        <w:sz w:val="16"/>
                        <w:lang w:val="ru-RU"/>
                      </w:rPr>
                      <w:t xml:space="preserve"> з </w:t>
                    </w:r>
                    <w:proofErr w:type="spellStart"/>
                    <w:r w:rsidRPr="00C141C1">
                      <w:rPr>
                        <w:color w:val="019648"/>
                        <w:spacing w:val="-4"/>
                        <w:sz w:val="16"/>
                        <w:lang w:val="ru-RU"/>
                      </w:rPr>
                      <w:t>огляду</w:t>
                    </w:r>
                    <w:proofErr w:type="spellEnd"/>
                    <w:r w:rsidRPr="00C141C1">
                      <w:rPr>
                        <w:color w:val="019648"/>
                        <w:spacing w:val="-4"/>
                        <w:sz w:val="16"/>
                        <w:lang w:val="ru-RU"/>
                      </w:rPr>
                      <w:t xml:space="preserve"> </w:t>
                    </w:r>
                    <w:proofErr w:type="spellStart"/>
                    <w:r w:rsidRPr="00C141C1">
                      <w:rPr>
                        <w:color w:val="019648"/>
                        <w:spacing w:val="-4"/>
                        <w:sz w:val="16"/>
                        <w:lang w:val="ru-RU"/>
                      </w:rPr>
                      <w:t>настанов</w:t>
                    </w:r>
                    <w:proofErr w:type="spellEnd"/>
                  </w:p>
                </w:txbxContent>
              </v:textbox>
              <w10:wrap anchorx="page" anchory="page"/>
            </v:shape>
          </w:pict>
        </mc:Fallback>
      </mc:AlternateContent>
    </w:r>
    <w:r>
      <w:rPr>
        <w:noProof/>
        <w:sz w:val="20"/>
      </w:rPr>
      <mc:AlternateContent>
        <mc:Choice Requires="wps">
          <w:drawing>
            <wp:anchor distT="0" distB="0" distL="0" distR="0" simplePos="0" relativeHeight="251671552" behindDoc="1" locked="0" layoutInCell="1" allowOverlap="1" wp14:anchorId="2BE8B3A5" wp14:editId="19407C83">
              <wp:simplePos x="0" y="0"/>
              <wp:positionH relativeFrom="page">
                <wp:posOffset>6858424</wp:posOffset>
              </wp:positionH>
              <wp:positionV relativeFrom="page">
                <wp:posOffset>10188662</wp:posOffset>
              </wp:positionV>
              <wp:extent cx="264160" cy="127000"/>
              <wp:effectExtent l="0" t="0" r="0" b="0"/>
              <wp:wrapNone/>
              <wp:docPr id="3069" name="Textbox 3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27000"/>
                      </a:xfrm>
                      <a:prstGeom prst="rect">
                        <a:avLst/>
                      </a:prstGeom>
                    </wps:spPr>
                    <wps:txbx>
                      <w:txbxContent>
                        <w:p w14:paraId="3B8B03F8"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155</w:t>
                          </w:r>
                          <w:r>
                            <w:rPr>
                              <w:color w:val="019648"/>
                              <w:spacing w:val="-5"/>
                              <w:w w:val="105"/>
                              <w:sz w:val="16"/>
                            </w:rPr>
                            <w:fldChar w:fldCharType="end"/>
                          </w:r>
                        </w:p>
                      </w:txbxContent>
                    </wps:txbx>
                    <wps:bodyPr wrap="square" lIns="0" tIns="0" rIns="0" bIns="0" rtlCol="0">
                      <a:noAutofit/>
                    </wps:bodyPr>
                  </wps:wsp>
                </a:graphicData>
              </a:graphic>
            </wp:anchor>
          </w:drawing>
        </mc:Choice>
        <mc:Fallback>
          <w:pict>
            <v:shape w14:anchorId="2BE8B3A5" id="Textbox 3069" o:spid="_x0000_s1257" type="#_x0000_t202" style="position:absolute;margin-left:540.05pt;margin-top:802.25pt;width:20.8pt;height:10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" filled="f" stroked="f">
              <v:textbox inset="0,0,0,0">
                <w:txbxContent>
                  <w:p w14:paraId="3B8B03F8"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155</w:t>
                    </w:r>
                    <w:r>
                      <w:rPr>
                        <w:color w:val="019648"/>
                        <w:spacing w:val="-5"/>
                        <w:w w:val="10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2263A" w14:textId="77777777" w:rsidR="007372B2" w:rsidRDefault="007372B2">
    <w:pPr>
      <w:pStyle w:val="a3"/>
      <w:spacing w:line="14" w:lineRule="auto"/>
      <w:rPr>
        <w:sz w:val="20"/>
      </w:rPr>
    </w:pPr>
    <w:r>
      <w:rPr>
        <w:noProof/>
        <w:sz w:val="20"/>
      </w:rPr>
      <mc:AlternateContent>
        <mc:Choice Requires="wps">
          <w:drawing>
            <wp:anchor distT="0" distB="0" distL="0" distR="0" simplePos="0" relativeHeight="251631616" behindDoc="1" locked="0" layoutInCell="1" allowOverlap="1" wp14:anchorId="2B06FBBF" wp14:editId="45F49485">
              <wp:simplePos x="0" y="0"/>
              <wp:positionH relativeFrom="page">
                <wp:posOffset>6921872</wp:posOffset>
              </wp:positionH>
              <wp:positionV relativeFrom="page">
                <wp:posOffset>10188662</wp:posOffset>
              </wp:positionV>
              <wp:extent cx="162560" cy="12700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27000"/>
                      </a:xfrm>
                      <a:prstGeom prst="rect">
                        <a:avLst/>
                      </a:prstGeom>
                    </wps:spPr>
                    <wps:txbx>
                      <w:txbxContent>
                        <w:p w14:paraId="4D3B97C8" w14:textId="77777777" w:rsidR="007372B2" w:rsidRPr="00E742CC" w:rsidRDefault="007372B2">
                          <w:pPr>
                            <w:ind w:left="20"/>
                            <w:rPr>
                              <w:sz w:val="16"/>
                              <w:lang w:val="uk-UA"/>
                            </w:rPr>
                          </w:pPr>
                          <w:r>
                            <w:rPr>
                              <w:color w:val="019648"/>
                              <w:spacing w:val="-5"/>
                              <w:sz w:val="16"/>
                            </w:rPr>
                            <w:fldChar w:fldCharType="begin"/>
                          </w:r>
                          <w:r>
                            <w:rPr>
                              <w:color w:val="019648"/>
                              <w:spacing w:val="-5"/>
                              <w:sz w:val="16"/>
                            </w:rPr>
                            <w:instrText xml:space="preserve"> PAGE  \* roman </w:instrText>
                          </w:r>
                          <w:r>
                            <w:rPr>
                              <w:color w:val="019648"/>
                              <w:spacing w:val="-5"/>
                              <w:sz w:val="16"/>
                            </w:rPr>
                            <w:fldChar w:fldCharType="separate"/>
                          </w:r>
                          <w:r>
                            <w:rPr>
                              <w:color w:val="019648"/>
                              <w:spacing w:val="-5"/>
                              <w:sz w:val="16"/>
                            </w:rPr>
                            <w:t>vii</w:t>
                          </w:r>
                          <w:r>
                            <w:rPr>
                              <w:color w:val="019648"/>
                              <w:spacing w:val="-5"/>
                              <w:sz w:val="16"/>
                            </w:rPr>
                            <w:fldChar w:fldCharType="end"/>
                          </w:r>
                        </w:p>
                      </w:txbxContent>
                    </wps:txbx>
                    <wps:bodyPr wrap="square" lIns="0" tIns="0" rIns="0" bIns="0" rtlCol="0">
                      <a:noAutofit/>
                    </wps:bodyPr>
                  </wps:wsp>
                </a:graphicData>
              </a:graphic>
            </wp:anchor>
          </w:drawing>
        </mc:Choice>
        <mc:Fallback>
          <w:pict>
            <v:shapetype w14:anchorId="2B06FBBF" id="_x0000_t202" coordsize="21600,21600" o:spt="202" path="m,l,21600r21600,l21600,xe">
              <v:stroke joinstyle="miter"/>
              <v:path gradientshapeok="t" o:connecttype="rect"/>
            </v:shapetype>
            <v:shape id="Textbox 108" o:spid="_x0000_s1214" type="#_x0000_t202" style="position:absolute;margin-left:545.05pt;margin-top:802.25pt;width:12.8pt;height:10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" filled="f" stroked="f">
              <v:textbox inset="0,0,0,0">
                <w:txbxContent>
                  <w:p w14:paraId="4D3B97C8" w14:textId="77777777" w:rsidR="007372B2" w:rsidRPr="00E742CC" w:rsidRDefault="007372B2">
                    <w:pPr>
                      <w:ind w:left="20"/>
                      <w:rPr>
                        <w:sz w:val="16"/>
                        <w:lang w:val="uk-UA"/>
                      </w:rPr>
                    </w:pPr>
                    <w:r>
                      <w:rPr>
                        <w:color w:val="019648"/>
                        <w:spacing w:val="-5"/>
                        <w:sz w:val="16"/>
                      </w:rPr>
                      <w:fldChar w:fldCharType="begin"/>
                    </w:r>
                    <w:r>
                      <w:rPr>
                        <w:color w:val="019648"/>
                        <w:spacing w:val="-5"/>
                        <w:sz w:val="16"/>
                      </w:rPr>
                      <w:instrText xml:space="preserve"> PAGE  \* roman </w:instrText>
                    </w:r>
                    <w:r>
                      <w:rPr>
                        <w:color w:val="019648"/>
                        <w:spacing w:val="-5"/>
                        <w:sz w:val="16"/>
                      </w:rPr>
                      <w:fldChar w:fldCharType="separate"/>
                    </w:r>
                    <w:r>
                      <w:rPr>
                        <w:color w:val="019648"/>
                        <w:spacing w:val="-5"/>
                        <w:sz w:val="16"/>
                      </w:rPr>
                      <w:t>vii</w:t>
                    </w:r>
                    <w:r>
                      <w:rPr>
                        <w:color w:val="019648"/>
                        <w:spacing w:val="-5"/>
                        <w:sz w:val="16"/>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9B9F5" w14:textId="34CE39EE" w:rsidR="007372B2" w:rsidRDefault="007372B2">
    <w:pPr>
      <w:pStyle w:val="a3"/>
      <w:spacing w:line="14" w:lineRule="auto"/>
      <w:rPr>
        <w:sz w:val="20"/>
      </w:rPr>
    </w:pPr>
    <w:r>
      <w:rPr>
        <w:noProof/>
        <w:sz w:val="20"/>
      </w:rPr>
      <mc:AlternateContent>
        <mc:Choice Requires="wps">
          <w:drawing>
            <wp:anchor distT="0" distB="0" distL="0" distR="0" simplePos="0" relativeHeight="251676672" behindDoc="1" locked="0" layoutInCell="1" allowOverlap="1" wp14:anchorId="0BC5EF98" wp14:editId="5A624DD2">
              <wp:simplePos x="0" y="0"/>
              <wp:positionH relativeFrom="page">
                <wp:posOffset>887767</wp:posOffset>
              </wp:positionH>
              <wp:positionV relativeFrom="page">
                <wp:posOffset>10187126</wp:posOffset>
              </wp:positionV>
              <wp:extent cx="3413464" cy="119849"/>
              <wp:effectExtent l="0" t="0" r="0" b="0"/>
              <wp:wrapNone/>
              <wp:docPr id="3077" name="Textbox 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3464" cy="119849"/>
                      </a:xfrm>
                      <a:prstGeom prst="rect">
                        <a:avLst/>
                      </a:prstGeom>
                    </wps:spPr>
                    <wps:txbx>
                      <w:txbxContent>
                        <w:p w14:paraId="78E35A8E" w14:textId="77777777" w:rsidR="007372B2" w:rsidRPr="009B5E1D" w:rsidRDefault="007372B2" w:rsidP="00EE6B52">
                          <w:pPr>
                            <w:ind w:left="20"/>
                            <w:rPr>
                              <w:sz w:val="16"/>
                              <w:lang w:val="uk-UA"/>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r w:rsidRPr="009B5E1D">
                            <w:rPr>
                              <w:color w:val="019648"/>
                              <w:spacing w:val="2"/>
                              <w:sz w:val="16"/>
                              <w:lang w:val="uk-UA"/>
                            </w:rPr>
                            <w:t xml:space="preserve"> </w:t>
                          </w:r>
                        </w:p>
                        <w:p w14:paraId="0D9DE6AA" w14:textId="0A018F4E" w:rsidR="007372B2" w:rsidRPr="00EE6B52" w:rsidRDefault="007372B2">
                          <w:pPr>
                            <w:ind w:left="20"/>
                            <w:rPr>
                              <w:sz w:val="16"/>
                              <w:lang w:val="uk-UA"/>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BC5EF98" id="_x0000_t202" coordsize="21600,21600" o:spt="202" path="m,l,21600r21600,l21600,xe">
              <v:stroke joinstyle="miter"/>
              <v:path gradientshapeok="t" o:connecttype="rect"/>
            </v:shapetype>
            <v:shape id="Textbox 3077" o:spid="_x0000_s1258" type="#_x0000_t202" style="position:absolute;margin-left:69.9pt;margin-top:802.15pt;width:268.8pt;height:9.4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" filled="f" stroked="f">
              <v:textbox inset="0,0,0,0">
                <w:txbxContent>
                  <w:p w14:paraId="78E35A8E" w14:textId="77777777" w:rsidR="007372B2" w:rsidRPr="009B5E1D" w:rsidRDefault="007372B2" w:rsidP="00EE6B52">
                    <w:pPr>
                      <w:ind w:left="20"/>
                      <w:rPr>
                        <w:sz w:val="16"/>
                        <w:lang w:val="uk-UA"/>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r w:rsidRPr="009B5E1D">
                      <w:rPr>
                        <w:color w:val="019648"/>
                        <w:spacing w:val="2"/>
                        <w:sz w:val="16"/>
                        <w:lang w:val="uk-UA"/>
                      </w:rPr>
                      <w:t xml:space="preserve"> </w:t>
                    </w:r>
                  </w:p>
                  <w:p w14:paraId="0D9DE6AA" w14:textId="0A018F4E" w:rsidR="007372B2" w:rsidRPr="00EE6B52" w:rsidRDefault="007372B2">
                    <w:pPr>
                      <w:ind w:left="20"/>
                      <w:rPr>
                        <w:sz w:val="16"/>
                        <w:lang w:val="uk-UA"/>
                      </w:rPr>
                    </w:pPr>
                  </w:p>
                </w:txbxContent>
              </v:textbox>
              <w10:wrap anchorx="page" anchory="page"/>
            </v:shape>
          </w:pict>
        </mc:Fallback>
      </mc:AlternateContent>
    </w:r>
    <w:r>
      <w:rPr>
        <w:noProof/>
        <w:sz w:val="20"/>
      </w:rPr>
      <mc:AlternateContent>
        <mc:Choice Requires="wps">
          <w:drawing>
            <wp:anchor distT="0" distB="0" distL="0" distR="0" simplePos="0" relativeHeight="251675648" behindDoc="1" locked="0" layoutInCell="1" allowOverlap="1" wp14:anchorId="59F57093" wp14:editId="3F8FD834">
              <wp:simplePos x="0" y="0"/>
              <wp:positionH relativeFrom="page">
                <wp:posOffset>450423</wp:posOffset>
              </wp:positionH>
              <wp:positionV relativeFrom="page">
                <wp:posOffset>10188662</wp:posOffset>
              </wp:positionV>
              <wp:extent cx="264160" cy="127000"/>
              <wp:effectExtent l="0" t="0" r="0" b="0"/>
              <wp:wrapNone/>
              <wp:docPr id="3076" name="Textbox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27000"/>
                      </a:xfrm>
                      <a:prstGeom prst="rect">
                        <a:avLst/>
                      </a:prstGeom>
                    </wps:spPr>
                    <wps:txbx>
                      <w:txbxContent>
                        <w:p w14:paraId="31A11E29"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164</w:t>
                          </w:r>
                          <w:r>
                            <w:rPr>
                              <w:color w:val="019648"/>
                              <w:spacing w:val="-5"/>
                              <w:w w:val="105"/>
                              <w:sz w:val="16"/>
                            </w:rPr>
                            <w:fldChar w:fldCharType="end"/>
                          </w:r>
                        </w:p>
                      </w:txbxContent>
                    </wps:txbx>
                    <wps:bodyPr wrap="square" lIns="0" tIns="0" rIns="0" bIns="0" rtlCol="0">
                      <a:noAutofit/>
                    </wps:bodyPr>
                  </wps:wsp>
                </a:graphicData>
              </a:graphic>
            </wp:anchor>
          </w:drawing>
        </mc:Choice>
        <mc:Fallback>
          <w:pict>
            <v:shape w14:anchorId="59F57093" id="Textbox 3076" o:spid="_x0000_s1259" type="#_x0000_t202" style="position:absolute;margin-left:35.45pt;margin-top:802.25pt;width:20.8pt;height:10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" filled="f" stroked="f">
              <v:textbox inset="0,0,0,0">
                <w:txbxContent>
                  <w:p w14:paraId="31A11E29"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164</w:t>
                    </w:r>
                    <w:r>
                      <w:rPr>
                        <w:color w:val="019648"/>
                        <w:spacing w:val="-5"/>
                        <w:w w:val="105"/>
                        <w:sz w:val="16"/>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E1C2F" w14:textId="77777777" w:rsidR="007372B2" w:rsidRDefault="007372B2">
    <w:pPr>
      <w:pStyle w:val="a3"/>
      <w:spacing w:line="14" w:lineRule="auto"/>
      <w:rPr>
        <w:sz w:val="20"/>
      </w:rPr>
    </w:pPr>
    <w:r>
      <w:rPr>
        <w:noProof/>
        <w:sz w:val="20"/>
      </w:rPr>
      <mc:AlternateContent>
        <mc:Choice Requires="wps">
          <w:drawing>
            <wp:anchor distT="0" distB="0" distL="0" distR="0" simplePos="0" relativeHeight="251674624" behindDoc="1" locked="0" layoutInCell="1" allowOverlap="1" wp14:anchorId="6A6489F5" wp14:editId="2E0D6761">
              <wp:simplePos x="0" y="0"/>
              <wp:positionH relativeFrom="page">
                <wp:posOffset>6858424</wp:posOffset>
              </wp:positionH>
              <wp:positionV relativeFrom="page">
                <wp:posOffset>10188662</wp:posOffset>
              </wp:positionV>
              <wp:extent cx="264160" cy="127000"/>
              <wp:effectExtent l="0" t="0" r="0" b="0"/>
              <wp:wrapNone/>
              <wp:docPr id="3075" name="Textbox 3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27000"/>
                      </a:xfrm>
                      <a:prstGeom prst="rect">
                        <a:avLst/>
                      </a:prstGeom>
                    </wps:spPr>
                    <wps:txbx>
                      <w:txbxContent>
                        <w:p w14:paraId="4F511945"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163</w:t>
                          </w:r>
                          <w:r>
                            <w:rPr>
                              <w:color w:val="019648"/>
                              <w:spacing w:val="-5"/>
                              <w:w w:val="105"/>
                              <w:sz w:val="16"/>
                            </w:rPr>
                            <w:fldChar w:fldCharType="end"/>
                          </w:r>
                        </w:p>
                      </w:txbxContent>
                    </wps:txbx>
                    <wps:bodyPr wrap="square" lIns="0" tIns="0" rIns="0" bIns="0" rtlCol="0">
                      <a:noAutofit/>
                    </wps:bodyPr>
                  </wps:wsp>
                </a:graphicData>
              </a:graphic>
            </wp:anchor>
          </w:drawing>
        </mc:Choice>
        <mc:Fallback>
          <w:pict>
            <v:shapetype w14:anchorId="6A6489F5" id="_x0000_t202" coordsize="21600,21600" o:spt="202" path="m,l,21600r21600,l21600,xe">
              <v:stroke joinstyle="miter"/>
              <v:path gradientshapeok="t" o:connecttype="rect"/>
            </v:shapetype>
            <v:shape id="Textbox 3075" o:spid="_x0000_s1260" type="#_x0000_t202" style="position:absolute;margin-left:540.05pt;margin-top:802.25pt;width:20.8pt;height:10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" filled="f" stroked="f">
              <v:textbox inset="0,0,0,0">
                <w:txbxContent>
                  <w:p w14:paraId="4F511945"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163</w:t>
                    </w:r>
                    <w:r>
                      <w:rPr>
                        <w:color w:val="019648"/>
                        <w:spacing w:val="-5"/>
                        <w:w w:val="105"/>
                        <w:sz w:val="16"/>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E09D1" w14:textId="77777777" w:rsidR="007372B2" w:rsidRDefault="007372B2">
    <w:pPr>
      <w:pStyle w:val="a3"/>
      <w:spacing w:line="14" w:lineRule="auto"/>
      <w:rPr>
        <w:sz w:val="20"/>
      </w:rPr>
    </w:pPr>
    <w:r>
      <w:rPr>
        <w:noProof/>
        <w:sz w:val="20"/>
      </w:rPr>
      <mc:AlternateContent>
        <mc:Choice Requires="wps">
          <w:drawing>
            <wp:anchor distT="0" distB="0" distL="0" distR="0" simplePos="0" relativeHeight="251677696" behindDoc="1" locked="0" layoutInCell="1" allowOverlap="1" wp14:anchorId="5343B2E1" wp14:editId="4A6933FB">
              <wp:simplePos x="0" y="0"/>
              <wp:positionH relativeFrom="page">
                <wp:posOffset>2321511</wp:posOffset>
              </wp:positionH>
              <wp:positionV relativeFrom="page">
                <wp:posOffset>10187126</wp:posOffset>
              </wp:positionV>
              <wp:extent cx="4350027" cy="230820"/>
              <wp:effectExtent l="0" t="0" r="0" b="0"/>
              <wp:wrapNone/>
              <wp:docPr id="3082" name="Textbox 3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0027" cy="230820"/>
                      </a:xfrm>
                      <a:prstGeom prst="rect">
                        <a:avLst/>
                      </a:prstGeom>
                    </wps:spPr>
                    <wps:txbx>
                      <w:txbxContent>
                        <w:p w14:paraId="016C72D5" w14:textId="6175864D" w:rsidR="007372B2" w:rsidRPr="0096518E" w:rsidRDefault="007372B2" w:rsidP="00C97E78">
                          <w:pPr>
                            <w:ind w:left="20"/>
                            <w:jc w:val="right"/>
                            <w:rPr>
                              <w:sz w:val="16"/>
                              <w:lang w:val="ru-RU"/>
                            </w:rPr>
                          </w:pPr>
                          <w:r>
                            <w:rPr>
                              <w:color w:val="019648"/>
                              <w:spacing w:val="-2"/>
                              <w:sz w:val="16"/>
                              <w:lang w:val="uk-UA"/>
                            </w:rPr>
                            <w:t>Додаток</w:t>
                          </w:r>
                          <w:r w:rsidRPr="0096518E">
                            <w:rPr>
                              <w:color w:val="019648"/>
                              <w:sz w:val="16"/>
                              <w:lang w:val="ru-RU"/>
                            </w:rPr>
                            <w:t xml:space="preserve"> </w:t>
                          </w:r>
                          <w:r w:rsidRPr="0096518E">
                            <w:rPr>
                              <w:color w:val="019648"/>
                              <w:spacing w:val="-2"/>
                              <w:sz w:val="16"/>
                              <w:lang w:val="ru-RU"/>
                            </w:rPr>
                            <w:t>3.</w:t>
                          </w:r>
                          <w:r w:rsidRPr="0096518E">
                            <w:rPr>
                              <w:color w:val="019648"/>
                              <w:sz w:val="16"/>
                              <w:lang w:val="ru-RU"/>
                            </w:rPr>
                            <w:t xml:space="preserve"> </w:t>
                          </w:r>
                          <w:r>
                            <w:rPr>
                              <w:color w:val="019648"/>
                              <w:sz w:val="16"/>
                              <w:lang w:val="uk-UA"/>
                            </w:rPr>
                            <w:t>Список членів ГРН</w:t>
                          </w:r>
                          <w:r>
                            <w:rPr>
                              <w:color w:val="019648"/>
                              <w:spacing w:val="-2"/>
                              <w:sz w:val="16"/>
                              <w:lang w:val="uk-UA"/>
                            </w:rPr>
                            <w:t xml:space="preserve"> із зазначенням сфери компетенції, регіону, гендеру</w:t>
                          </w:r>
                          <w:r w:rsidRPr="0096518E">
                            <w:rPr>
                              <w:color w:val="019648"/>
                              <w:sz w:val="16"/>
                              <w:lang w:val="ru-RU"/>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343B2E1" id="_x0000_t202" coordsize="21600,21600" o:spt="202" path="m,l,21600r21600,l21600,xe">
              <v:stroke joinstyle="miter"/>
              <v:path gradientshapeok="t" o:connecttype="rect"/>
            </v:shapetype>
            <v:shape id="Textbox 3082" o:spid="_x0000_s1261" type="#_x0000_t202" style="position:absolute;margin-left:182.8pt;margin-top:802.15pt;width:342.5pt;height:18.1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" filled="f" stroked="f">
              <v:textbox inset="0,0,0,0">
                <w:txbxContent>
                  <w:p w14:paraId="016C72D5" w14:textId="6175864D" w:rsidR="007372B2" w:rsidRPr="0096518E" w:rsidRDefault="007372B2" w:rsidP="00C97E78">
                    <w:pPr>
                      <w:ind w:left="20"/>
                      <w:jc w:val="right"/>
                      <w:rPr>
                        <w:sz w:val="16"/>
                        <w:lang w:val="ru-RU"/>
                      </w:rPr>
                    </w:pPr>
                    <w:r>
                      <w:rPr>
                        <w:color w:val="019648"/>
                        <w:spacing w:val="-2"/>
                        <w:sz w:val="16"/>
                        <w:lang w:val="uk-UA"/>
                      </w:rPr>
                      <w:t>Додаток</w:t>
                    </w:r>
                    <w:r w:rsidRPr="0096518E">
                      <w:rPr>
                        <w:color w:val="019648"/>
                        <w:sz w:val="16"/>
                        <w:lang w:val="ru-RU"/>
                      </w:rPr>
                      <w:t xml:space="preserve"> </w:t>
                    </w:r>
                    <w:r w:rsidRPr="0096518E">
                      <w:rPr>
                        <w:color w:val="019648"/>
                        <w:spacing w:val="-2"/>
                        <w:sz w:val="16"/>
                        <w:lang w:val="ru-RU"/>
                      </w:rPr>
                      <w:t>3.</w:t>
                    </w:r>
                    <w:r w:rsidRPr="0096518E">
                      <w:rPr>
                        <w:color w:val="019648"/>
                        <w:sz w:val="16"/>
                        <w:lang w:val="ru-RU"/>
                      </w:rPr>
                      <w:t xml:space="preserve"> </w:t>
                    </w:r>
                    <w:r>
                      <w:rPr>
                        <w:color w:val="019648"/>
                        <w:sz w:val="16"/>
                        <w:lang w:val="uk-UA"/>
                      </w:rPr>
                      <w:t>Список членів ГРН</w:t>
                    </w:r>
                    <w:r>
                      <w:rPr>
                        <w:color w:val="019648"/>
                        <w:spacing w:val="-2"/>
                        <w:sz w:val="16"/>
                        <w:lang w:val="uk-UA"/>
                      </w:rPr>
                      <w:t xml:space="preserve"> із зазначенням сфери компетенції, регіону, гендеру</w:t>
                    </w:r>
                    <w:r w:rsidRPr="0096518E">
                      <w:rPr>
                        <w:color w:val="019648"/>
                        <w:sz w:val="16"/>
                        <w:lang w:val="ru-RU"/>
                      </w:rPr>
                      <w:t xml:space="preserve"> </w:t>
                    </w:r>
                  </w:p>
                </w:txbxContent>
              </v:textbox>
              <w10:wrap anchorx="page" anchory="page"/>
            </v:shape>
          </w:pict>
        </mc:Fallback>
      </mc:AlternateContent>
    </w:r>
    <w:r>
      <w:rPr>
        <w:noProof/>
        <w:sz w:val="20"/>
      </w:rPr>
      <mc:AlternateContent>
        <mc:Choice Requires="wps">
          <w:drawing>
            <wp:anchor distT="0" distB="0" distL="0" distR="0" simplePos="0" relativeHeight="251678720" behindDoc="1" locked="0" layoutInCell="1" allowOverlap="1" wp14:anchorId="0C49F845" wp14:editId="0CC62864">
              <wp:simplePos x="0" y="0"/>
              <wp:positionH relativeFrom="page">
                <wp:posOffset>6858424</wp:posOffset>
              </wp:positionH>
              <wp:positionV relativeFrom="page">
                <wp:posOffset>10188662</wp:posOffset>
              </wp:positionV>
              <wp:extent cx="264160" cy="127000"/>
              <wp:effectExtent l="0" t="0" r="0" b="0"/>
              <wp:wrapNone/>
              <wp:docPr id="3083" name="Textbox 3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27000"/>
                      </a:xfrm>
                      <a:prstGeom prst="rect">
                        <a:avLst/>
                      </a:prstGeom>
                    </wps:spPr>
                    <wps:txbx>
                      <w:txbxContent>
                        <w:p w14:paraId="57FDF605"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165</w:t>
                          </w:r>
                          <w:r>
                            <w:rPr>
                              <w:color w:val="019648"/>
                              <w:spacing w:val="-5"/>
                              <w:w w:val="105"/>
                              <w:sz w:val="16"/>
                            </w:rPr>
                            <w:fldChar w:fldCharType="end"/>
                          </w:r>
                        </w:p>
                      </w:txbxContent>
                    </wps:txbx>
                    <wps:bodyPr wrap="square" lIns="0" tIns="0" rIns="0" bIns="0" rtlCol="0">
                      <a:noAutofit/>
                    </wps:bodyPr>
                  </wps:wsp>
                </a:graphicData>
              </a:graphic>
            </wp:anchor>
          </w:drawing>
        </mc:Choice>
        <mc:Fallback>
          <w:pict>
            <v:shape w14:anchorId="0C49F845" id="Textbox 3083" o:spid="_x0000_s1262" type="#_x0000_t202" style="position:absolute;margin-left:540.05pt;margin-top:802.25pt;width:20.8pt;height:10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" filled="f" stroked="f">
              <v:textbox inset="0,0,0,0">
                <w:txbxContent>
                  <w:p w14:paraId="57FDF605" w14:textId="77777777" w:rsidR="007372B2" w:rsidRDefault="007372B2">
                    <w:pPr>
                      <w:ind w:left="60"/>
                      <w:rPr>
                        <w:sz w:val="16"/>
                      </w:rPr>
                    </w:pPr>
                    <w:r>
                      <w:rPr>
                        <w:color w:val="019648"/>
                        <w:spacing w:val="-5"/>
                        <w:w w:val="105"/>
                        <w:sz w:val="16"/>
                      </w:rPr>
                      <w:fldChar w:fldCharType="begin"/>
                    </w:r>
                    <w:r>
                      <w:rPr>
                        <w:color w:val="019648"/>
                        <w:spacing w:val="-5"/>
                        <w:w w:val="105"/>
                        <w:sz w:val="16"/>
                      </w:rPr>
                      <w:instrText xml:space="preserve"> PAGE </w:instrText>
                    </w:r>
                    <w:r>
                      <w:rPr>
                        <w:color w:val="019648"/>
                        <w:spacing w:val="-5"/>
                        <w:w w:val="105"/>
                        <w:sz w:val="16"/>
                      </w:rPr>
                      <w:fldChar w:fldCharType="separate"/>
                    </w:r>
                    <w:r>
                      <w:rPr>
                        <w:color w:val="019648"/>
                        <w:spacing w:val="-5"/>
                        <w:w w:val="105"/>
                        <w:sz w:val="16"/>
                      </w:rPr>
                      <w:t>165</w:t>
                    </w:r>
                    <w:r>
                      <w:rPr>
                        <w:color w:val="019648"/>
                        <w:spacing w:val="-5"/>
                        <w:w w:val="105"/>
                        <w:sz w:val="16"/>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1603E" w14:textId="77777777" w:rsidR="007372B2" w:rsidRDefault="007372B2">
    <w:pPr>
      <w:pStyle w:val="a3"/>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575A" w14:textId="77777777" w:rsidR="007372B2" w:rsidRDefault="007372B2">
    <w:pPr>
      <w:pStyle w:val="a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B5A23" w14:textId="3FB86988" w:rsidR="007372B2" w:rsidRDefault="007372B2">
    <w:pPr>
      <w:pStyle w:val="a3"/>
      <w:spacing w:line="14" w:lineRule="auto"/>
      <w:rPr>
        <w:sz w:val="20"/>
      </w:rPr>
    </w:pPr>
    <w:r>
      <w:rPr>
        <w:noProof/>
        <w:sz w:val="20"/>
      </w:rPr>
      <mc:AlternateContent>
        <mc:Choice Requires="wps">
          <w:drawing>
            <wp:anchor distT="0" distB="0" distL="0" distR="0" simplePos="0" relativeHeight="251637760" behindDoc="1" locked="0" layoutInCell="1" allowOverlap="1" wp14:anchorId="53C96F68" wp14:editId="1A409827">
              <wp:simplePos x="0" y="0"/>
              <wp:positionH relativeFrom="page">
                <wp:posOffset>889000</wp:posOffset>
              </wp:positionH>
              <wp:positionV relativeFrom="page">
                <wp:posOffset>10191750</wp:posOffset>
              </wp:positionV>
              <wp:extent cx="4311650" cy="17780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0" cy="177800"/>
                      </a:xfrm>
                      <a:prstGeom prst="rect">
                        <a:avLst/>
                      </a:prstGeom>
                    </wps:spPr>
                    <wps:txbx>
                      <w:txbxContent>
                        <w:p w14:paraId="0679BFA3" w14:textId="20B554A2" w:rsidR="007372B2" w:rsidRPr="009B5E1D" w:rsidRDefault="007372B2">
                          <w:pPr>
                            <w:ind w:left="20"/>
                            <w:rPr>
                              <w:sz w:val="16"/>
                              <w:lang w:val="uk-UA"/>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r w:rsidRPr="009B5E1D">
                            <w:rPr>
                              <w:color w:val="019648"/>
                              <w:spacing w:val="2"/>
                              <w:sz w:val="16"/>
                              <w:lang w:val="uk-UA"/>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3C96F68" id="_x0000_t202" coordsize="21600,21600" o:spt="202" path="m,l,21600r21600,l21600,xe">
              <v:stroke joinstyle="miter"/>
              <v:path gradientshapeok="t" o:connecttype="rect"/>
            </v:shapetype>
            <v:shape id="Textbox 119" o:spid="_x0000_s1215" type="#_x0000_t202" style="position:absolute;margin-left:70pt;margin-top:802.5pt;width:339.5pt;height:14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" filled="f" stroked="f">
              <v:textbox inset="0,0,0,0">
                <w:txbxContent>
                  <w:p w14:paraId="0679BFA3" w14:textId="20B554A2" w:rsidR="007372B2" w:rsidRPr="009B5E1D" w:rsidRDefault="007372B2">
                    <w:pPr>
                      <w:ind w:left="20"/>
                      <w:rPr>
                        <w:sz w:val="16"/>
                        <w:lang w:val="uk-UA"/>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r w:rsidRPr="009B5E1D">
                      <w:rPr>
                        <w:color w:val="019648"/>
                        <w:spacing w:val="2"/>
                        <w:sz w:val="16"/>
                        <w:lang w:val="uk-UA"/>
                      </w:rPr>
                      <w:t xml:space="preserve"> </w:t>
                    </w:r>
                  </w:p>
                </w:txbxContent>
              </v:textbox>
              <w10:wrap anchorx="page" anchory="page"/>
            </v:shape>
          </w:pict>
        </mc:Fallback>
      </mc:AlternateContent>
    </w:r>
    <w:r>
      <w:rPr>
        <w:noProof/>
        <w:sz w:val="20"/>
      </w:rPr>
      <mc:AlternateContent>
        <mc:Choice Requires="wps">
          <w:drawing>
            <wp:anchor distT="0" distB="0" distL="0" distR="0" simplePos="0" relativeHeight="251636736" behindDoc="1" locked="0" layoutInCell="1" allowOverlap="1" wp14:anchorId="52F28CC1" wp14:editId="4D3ED117">
              <wp:simplePos x="0" y="0"/>
              <wp:positionH relativeFrom="page">
                <wp:posOffset>488473</wp:posOffset>
              </wp:positionH>
              <wp:positionV relativeFrom="page">
                <wp:posOffset>10188662</wp:posOffset>
              </wp:positionV>
              <wp:extent cx="187960" cy="12700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27000"/>
                      </a:xfrm>
                      <a:prstGeom prst="rect">
                        <a:avLst/>
                      </a:prstGeom>
                    </wps:spPr>
                    <wps:txbx>
                      <w:txbxContent>
                        <w:p w14:paraId="2320EC21" w14:textId="77777777" w:rsidR="007372B2" w:rsidRDefault="007372B2">
                          <w:pPr>
                            <w:ind w:left="60"/>
                            <w:rPr>
                              <w:sz w:val="16"/>
                            </w:rPr>
                          </w:pPr>
                          <w:r>
                            <w:rPr>
                              <w:color w:val="019648"/>
                              <w:spacing w:val="-5"/>
                              <w:sz w:val="16"/>
                            </w:rPr>
                            <w:fldChar w:fldCharType="begin"/>
                          </w:r>
                          <w:r>
                            <w:rPr>
                              <w:color w:val="019648"/>
                              <w:spacing w:val="-5"/>
                              <w:sz w:val="16"/>
                            </w:rPr>
                            <w:instrText xml:space="preserve"> PAGE  \* roman </w:instrText>
                          </w:r>
                          <w:r>
                            <w:rPr>
                              <w:color w:val="019648"/>
                              <w:spacing w:val="-5"/>
                              <w:sz w:val="16"/>
                            </w:rPr>
                            <w:fldChar w:fldCharType="separate"/>
                          </w:r>
                          <w:r>
                            <w:rPr>
                              <w:color w:val="019648"/>
                              <w:spacing w:val="-5"/>
                              <w:sz w:val="16"/>
                            </w:rPr>
                            <w:t>xii</w:t>
                          </w:r>
                          <w:r>
                            <w:rPr>
                              <w:color w:val="019648"/>
                              <w:spacing w:val="-5"/>
                              <w:sz w:val="16"/>
                            </w:rPr>
                            <w:fldChar w:fldCharType="end"/>
                          </w:r>
                        </w:p>
                      </w:txbxContent>
                    </wps:txbx>
                    <wps:bodyPr wrap="square" lIns="0" tIns="0" rIns="0" bIns="0" rtlCol="0">
                      <a:noAutofit/>
                    </wps:bodyPr>
                  </wps:wsp>
                </a:graphicData>
              </a:graphic>
            </wp:anchor>
          </w:drawing>
        </mc:Choice>
        <mc:Fallback>
          <w:pict>
            <v:shape w14:anchorId="52F28CC1" id="Textbox 118" o:spid="_x0000_s1216" type="#_x0000_t202" style="position:absolute;margin-left:38.45pt;margin-top:802.25pt;width:14.8pt;height:10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" filled="f" stroked="f">
              <v:textbox inset="0,0,0,0">
                <w:txbxContent>
                  <w:p w14:paraId="2320EC21" w14:textId="77777777" w:rsidR="007372B2" w:rsidRDefault="007372B2">
                    <w:pPr>
                      <w:ind w:left="60"/>
                      <w:rPr>
                        <w:sz w:val="16"/>
                      </w:rPr>
                    </w:pPr>
                    <w:r>
                      <w:rPr>
                        <w:color w:val="019648"/>
                        <w:spacing w:val="-5"/>
                        <w:sz w:val="16"/>
                      </w:rPr>
                      <w:fldChar w:fldCharType="begin"/>
                    </w:r>
                    <w:r>
                      <w:rPr>
                        <w:color w:val="019648"/>
                        <w:spacing w:val="-5"/>
                        <w:sz w:val="16"/>
                      </w:rPr>
                      <w:instrText xml:space="preserve"> PAGE  \* roman </w:instrText>
                    </w:r>
                    <w:r>
                      <w:rPr>
                        <w:color w:val="019648"/>
                        <w:spacing w:val="-5"/>
                        <w:sz w:val="16"/>
                      </w:rPr>
                      <w:fldChar w:fldCharType="separate"/>
                    </w:r>
                    <w:r>
                      <w:rPr>
                        <w:color w:val="019648"/>
                        <w:spacing w:val="-5"/>
                        <w:sz w:val="16"/>
                      </w:rPr>
                      <w:t>xii</w:t>
                    </w:r>
                    <w:r>
                      <w:rPr>
                        <w:color w:val="019648"/>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AE706" w14:textId="77777777" w:rsidR="007372B2" w:rsidRDefault="007372B2">
    <w:pPr>
      <w:pStyle w:val="a3"/>
      <w:spacing w:line="14" w:lineRule="auto"/>
      <w:rPr>
        <w:sz w:val="20"/>
      </w:rPr>
    </w:pPr>
    <w:r>
      <w:rPr>
        <w:noProof/>
        <w:sz w:val="20"/>
      </w:rPr>
      <mc:AlternateContent>
        <mc:Choice Requires="wps">
          <w:drawing>
            <wp:anchor distT="0" distB="0" distL="0" distR="0" simplePos="0" relativeHeight="251634688" behindDoc="1" locked="0" layoutInCell="1" allowOverlap="1" wp14:anchorId="7CC38E4D" wp14:editId="75372D5C">
              <wp:simplePos x="0" y="0"/>
              <wp:positionH relativeFrom="page">
                <wp:posOffset>5777312</wp:posOffset>
              </wp:positionH>
              <wp:positionV relativeFrom="page">
                <wp:posOffset>10188662</wp:posOffset>
              </wp:positionV>
              <wp:extent cx="895985" cy="1270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127000"/>
                      </a:xfrm>
                      <a:prstGeom prst="rect">
                        <a:avLst/>
                      </a:prstGeom>
                    </wps:spPr>
                    <wps:txbx>
                      <w:txbxContent>
                        <w:p w14:paraId="71AF086E" w14:textId="77777777" w:rsidR="007372B2" w:rsidRDefault="007372B2">
                          <w:pPr>
                            <w:ind w:left="20"/>
                            <w:rPr>
                              <w:sz w:val="16"/>
                            </w:rPr>
                          </w:pPr>
                          <w:r>
                            <w:rPr>
                              <w:color w:val="019648"/>
                              <w:spacing w:val="-4"/>
                              <w:sz w:val="16"/>
                            </w:rPr>
                            <w:t>Executive</w:t>
                          </w:r>
                          <w:r>
                            <w:rPr>
                              <w:color w:val="019648"/>
                              <w:spacing w:val="2"/>
                              <w:sz w:val="16"/>
                            </w:rPr>
                            <w:t xml:space="preserve"> </w:t>
                          </w:r>
                          <w:r>
                            <w:rPr>
                              <w:color w:val="019648"/>
                              <w:spacing w:val="-2"/>
                              <w:sz w:val="16"/>
                            </w:rPr>
                            <w:t>summary</w:t>
                          </w:r>
                        </w:p>
                      </w:txbxContent>
                    </wps:txbx>
                    <wps:bodyPr wrap="square" lIns="0" tIns="0" rIns="0" bIns="0" rtlCol="0">
                      <a:noAutofit/>
                    </wps:bodyPr>
                  </wps:wsp>
                </a:graphicData>
              </a:graphic>
            </wp:anchor>
          </w:drawing>
        </mc:Choice>
        <mc:Fallback>
          <w:pict>
            <v:shapetype w14:anchorId="7CC38E4D" id="_x0000_t202" coordsize="21600,21600" o:spt="202" path="m,l,21600r21600,l21600,xe">
              <v:stroke joinstyle="miter"/>
              <v:path gradientshapeok="t" o:connecttype="rect"/>
            </v:shapetype>
            <v:shape id="Textbox 116" o:spid="_x0000_s1217" type="#_x0000_t202" style="position:absolute;margin-left:454.9pt;margin-top:802.25pt;width:70.55pt;height:10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" filled="f" stroked="f">
              <v:textbox inset="0,0,0,0">
                <w:txbxContent>
                  <w:p w14:paraId="71AF086E" w14:textId="77777777" w:rsidR="007372B2" w:rsidRDefault="007372B2">
                    <w:pPr>
                      <w:ind w:left="20"/>
                      <w:rPr>
                        <w:sz w:val="16"/>
                      </w:rPr>
                    </w:pPr>
                    <w:r>
                      <w:rPr>
                        <w:color w:val="019648"/>
                        <w:spacing w:val="-4"/>
                        <w:sz w:val="16"/>
                      </w:rPr>
                      <w:t>Executive</w:t>
                    </w:r>
                    <w:r>
                      <w:rPr>
                        <w:color w:val="019648"/>
                        <w:spacing w:val="2"/>
                        <w:sz w:val="16"/>
                      </w:rPr>
                      <w:t xml:space="preserve"> </w:t>
                    </w:r>
                    <w:r>
                      <w:rPr>
                        <w:color w:val="019648"/>
                        <w:spacing w:val="-2"/>
                        <w:sz w:val="16"/>
                      </w:rPr>
                      <w:t>summary</w:t>
                    </w:r>
                  </w:p>
                </w:txbxContent>
              </v:textbox>
              <w10:wrap anchorx="page" anchory="page"/>
            </v:shape>
          </w:pict>
        </mc:Fallback>
      </mc:AlternateContent>
    </w:r>
    <w:r>
      <w:rPr>
        <w:noProof/>
        <w:sz w:val="20"/>
      </w:rPr>
      <mc:AlternateContent>
        <mc:Choice Requires="wps">
          <w:drawing>
            <wp:anchor distT="0" distB="0" distL="0" distR="0" simplePos="0" relativeHeight="251635712" behindDoc="1" locked="0" layoutInCell="1" allowOverlap="1" wp14:anchorId="60D41955" wp14:editId="43DCB5E9">
              <wp:simplePos x="0" y="0"/>
              <wp:positionH relativeFrom="page">
                <wp:posOffset>6908970</wp:posOffset>
              </wp:positionH>
              <wp:positionV relativeFrom="page">
                <wp:posOffset>10188662</wp:posOffset>
              </wp:positionV>
              <wp:extent cx="187960" cy="1270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27000"/>
                      </a:xfrm>
                      <a:prstGeom prst="rect">
                        <a:avLst/>
                      </a:prstGeom>
                    </wps:spPr>
                    <wps:txbx>
                      <w:txbxContent>
                        <w:p w14:paraId="4683E814" w14:textId="77777777" w:rsidR="007372B2" w:rsidRDefault="007372B2">
                          <w:pPr>
                            <w:ind w:left="20"/>
                            <w:rPr>
                              <w:sz w:val="16"/>
                            </w:rPr>
                          </w:pPr>
                          <w:r>
                            <w:rPr>
                              <w:color w:val="019648"/>
                              <w:spacing w:val="-4"/>
                              <w:sz w:val="16"/>
                            </w:rPr>
                            <w:fldChar w:fldCharType="begin"/>
                          </w:r>
                          <w:r>
                            <w:rPr>
                              <w:color w:val="019648"/>
                              <w:spacing w:val="-4"/>
                              <w:sz w:val="16"/>
                            </w:rPr>
                            <w:instrText xml:space="preserve"> PAGE  \* roman </w:instrText>
                          </w:r>
                          <w:r>
                            <w:rPr>
                              <w:color w:val="019648"/>
                              <w:spacing w:val="-4"/>
                              <w:sz w:val="16"/>
                            </w:rPr>
                            <w:fldChar w:fldCharType="separate"/>
                          </w:r>
                          <w:r>
                            <w:rPr>
                              <w:color w:val="019648"/>
                              <w:spacing w:val="-4"/>
                              <w:sz w:val="16"/>
                            </w:rPr>
                            <w:t>xiii</w:t>
                          </w:r>
                          <w:r>
                            <w:rPr>
                              <w:color w:val="019648"/>
                              <w:spacing w:val="-4"/>
                              <w:sz w:val="16"/>
                            </w:rPr>
                            <w:fldChar w:fldCharType="end"/>
                          </w:r>
                        </w:p>
                      </w:txbxContent>
                    </wps:txbx>
                    <wps:bodyPr wrap="square" lIns="0" tIns="0" rIns="0" bIns="0" rtlCol="0">
                      <a:noAutofit/>
                    </wps:bodyPr>
                  </wps:wsp>
                </a:graphicData>
              </a:graphic>
            </wp:anchor>
          </w:drawing>
        </mc:Choice>
        <mc:Fallback>
          <w:pict>
            <v:shape w14:anchorId="60D41955" id="Textbox 117" o:spid="_x0000_s1218" type="#_x0000_t202" style="position:absolute;margin-left:544pt;margin-top:802.25pt;width:14.8pt;height:10pt;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" filled="f" stroked="f">
              <v:textbox inset="0,0,0,0">
                <w:txbxContent>
                  <w:p w14:paraId="4683E814" w14:textId="77777777" w:rsidR="007372B2" w:rsidRDefault="007372B2">
                    <w:pPr>
                      <w:ind w:left="20"/>
                      <w:rPr>
                        <w:sz w:val="16"/>
                      </w:rPr>
                    </w:pPr>
                    <w:r>
                      <w:rPr>
                        <w:color w:val="019648"/>
                        <w:spacing w:val="-4"/>
                        <w:sz w:val="16"/>
                      </w:rPr>
                      <w:fldChar w:fldCharType="begin"/>
                    </w:r>
                    <w:r>
                      <w:rPr>
                        <w:color w:val="019648"/>
                        <w:spacing w:val="-4"/>
                        <w:sz w:val="16"/>
                      </w:rPr>
                      <w:instrText xml:space="preserve"> PAGE  \* roman </w:instrText>
                    </w:r>
                    <w:r>
                      <w:rPr>
                        <w:color w:val="019648"/>
                        <w:spacing w:val="-4"/>
                        <w:sz w:val="16"/>
                      </w:rPr>
                      <w:fldChar w:fldCharType="separate"/>
                    </w:r>
                    <w:r>
                      <w:rPr>
                        <w:color w:val="019648"/>
                        <w:spacing w:val="-4"/>
                        <w:sz w:val="16"/>
                      </w:rPr>
                      <w:t>xiii</w:t>
                    </w:r>
                    <w:r>
                      <w:rPr>
                        <w:color w:val="019648"/>
                        <w:spacing w:val="-4"/>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A9E13" w14:textId="65F010BA" w:rsidR="007372B2" w:rsidRDefault="007372B2">
    <w:pPr>
      <w:pStyle w:val="a3"/>
      <w:spacing w:line="14" w:lineRule="auto"/>
      <w:rPr>
        <w:sz w:val="20"/>
      </w:rPr>
    </w:pPr>
    <w:r>
      <w:rPr>
        <w:noProof/>
        <w:sz w:val="20"/>
      </w:rPr>
      <mc:AlternateContent>
        <mc:Choice Requires="wps">
          <w:drawing>
            <wp:anchor distT="0" distB="0" distL="0" distR="0" simplePos="0" relativeHeight="251640832" behindDoc="1" locked="0" layoutInCell="1" allowOverlap="1" wp14:anchorId="78D6F1C4" wp14:editId="4CEBD45D">
              <wp:simplePos x="0" y="0"/>
              <wp:positionH relativeFrom="page">
                <wp:posOffset>889000</wp:posOffset>
              </wp:positionH>
              <wp:positionV relativeFrom="page">
                <wp:posOffset>10191750</wp:posOffset>
              </wp:positionV>
              <wp:extent cx="3625850" cy="14605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0" cy="146050"/>
                      </a:xfrm>
                      <a:prstGeom prst="rect">
                        <a:avLst/>
                      </a:prstGeom>
                    </wps:spPr>
                    <wps:txbx>
                      <w:txbxContent>
                        <w:p w14:paraId="66CC2FA1" w14:textId="7B0F5569" w:rsidR="007372B2" w:rsidRPr="00671EF3" w:rsidRDefault="007372B2">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8D6F1C4" id="_x0000_t202" coordsize="21600,21600" o:spt="202" path="m,l,21600r21600,l21600,xe">
              <v:stroke joinstyle="miter"/>
              <v:path gradientshapeok="t" o:connecttype="rect"/>
            </v:shapetype>
            <v:shape id="Textbox 156" o:spid="_x0000_s1219" type="#_x0000_t202" style="position:absolute;margin-left:70pt;margin-top:802.5pt;width:285.5pt;height:11.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" filled="f" stroked="f">
              <v:textbox inset="0,0,0,0">
                <w:txbxContent>
                  <w:p w14:paraId="66CC2FA1" w14:textId="7B0F5569" w:rsidR="007372B2" w:rsidRPr="00671EF3" w:rsidRDefault="007372B2">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txbxContent>
              </v:textbox>
              <w10:wrap anchorx="page" anchory="page"/>
            </v:shape>
          </w:pict>
        </mc:Fallback>
      </mc:AlternateContent>
    </w:r>
    <w:r>
      <w:rPr>
        <w:noProof/>
        <w:sz w:val="20"/>
      </w:rPr>
      <mc:AlternateContent>
        <mc:Choice Requires="wps">
          <w:drawing>
            <wp:anchor distT="0" distB="0" distL="0" distR="0" simplePos="0" relativeHeight="251639808" behindDoc="1" locked="0" layoutInCell="1" allowOverlap="1" wp14:anchorId="053B71EE" wp14:editId="4E4CB952">
              <wp:simplePos x="0" y="0"/>
              <wp:positionH relativeFrom="page">
                <wp:posOffset>508741</wp:posOffset>
              </wp:positionH>
              <wp:positionV relativeFrom="page">
                <wp:posOffset>10188662</wp:posOffset>
              </wp:positionV>
              <wp:extent cx="147320" cy="12700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27000"/>
                      </a:xfrm>
                      <a:prstGeom prst="rect">
                        <a:avLst/>
                      </a:prstGeom>
                    </wps:spPr>
                    <wps:txbx>
                      <w:txbxContent>
                        <w:p w14:paraId="2F3D3416" w14:textId="77777777" w:rsidR="007372B2" w:rsidRDefault="007372B2">
                          <w:pPr>
                            <w:ind w:left="60"/>
                            <w:rPr>
                              <w:sz w:val="16"/>
                            </w:rPr>
                          </w:pPr>
                          <w:r>
                            <w:rPr>
                              <w:color w:val="019648"/>
                              <w:spacing w:val="-10"/>
                              <w:w w:val="105"/>
                              <w:sz w:val="16"/>
                            </w:rPr>
                            <w:fldChar w:fldCharType="begin"/>
                          </w:r>
                          <w:r>
                            <w:rPr>
                              <w:color w:val="019648"/>
                              <w:spacing w:val="-10"/>
                              <w:w w:val="105"/>
                              <w:sz w:val="16"/>
                            </w:rPr>
                            <w:instrText xml:space="preserve"> PAGE </w:instrText>
                          </w:r>
                          <w:r>
                            <w:rPr>
                              <w:color w:val="019648"/>
                              <w:spacing w:val="-10"/>
                              <w:w w:val="105"/>
                              <w:sz w:val="16"/>
                            </w:rPr>
                            <w:fldChar w:fldCharType="separate"/>
                          </w:r>
                          <w:r>
                            <w:rPr>
                              <w:color w:val="019648"/>
                              <w:spacing w:val="-10"/>
                              <w:w w:val="105"/>
                              <w:sz w:val="16"/>
                            </w:rPr>
                            <w:t>2</w:t>
                          </w:r>
                          <w:r>
                            <w:rPr>
                              <w:color w:val="019648"/>
                              <w:spacing w:val="-10"/>
                              <w:w w:val="105"/>
                              <w:sz w:val="16"/>
                            </w:rPr>
                            <w:fldChar w:fldCharType="end"/>
                          </w:r>
                        </w:p>
                      </w:txbxContent>
                    </wps:txbx>
                    <wps:bodyPr wrap="square" lIns="0" tIns="0" rIns="0" bIns="0" rtlCol="0">
                      <a:noAutofit/>
                    </wps:bodyPr>
                  </wps:wsp>
                </a:graphicData>
              </a:graphic>
            </wp:anchor>
          </w:drawing>
        </mc:Choice>
        <mc:Fallback>
          <w:pict>
            <v:shape w14:anchorId="053B71EE" id="Textbox 155" o:spid="_x0000_s1220" type="#_x0000_t202" style="position:absolute;margin-left:40.05pt;margin-top:802.25pt;width:11.6pt;height:10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" filled="f" stroked="f">
              <v:textbox inset="0,0,0,0">
                <w:txbxContent>
                  <w:p w14:paraId="2F3D3416" w14:textId="77777777" w:rsidR="007372B2" w:rsidRDefault="007372B2">
                    <w:pPr>
                      <w:ind w:left="60"/>
                      <w:rPr>
                        <w:sz w:val="16"/>
                      </w:rPr>
                    </w:pPr>
                    <w:r>
                      <w:rPr>
                        <w:color w:val="019648"/>
                        <w:spacing w:val="-10"/>
                        <w:w w:val="105"/>
                        <w:sz w:val="16"/>
                      </w:rPr>
                      <w:fldChar w:fldCharType="begin"/>
                    </w:r>
                    <w:r>
                      <w:rPr>
                        <w:color w:val="019648"/>
                        <w:spacing w:val="-10"/>
                        <w:w w:val="105"/>
                        <w:sz w:val="16"/>
                      </w:rPr>
                      <w:instrText xml:space="preserve"> PAGE </w:instrText>
                    </w:r>
                    <w:r>
                      <w:rPr>
                        <w:color w:val="019648"/>
                        <w:spacing w:val="-10"/>
                        <w:w w:val="105"/>
                        <w:sz w:val="16"/>
                      </w:rPr>
                      <w:fldChar w:fldCharType="separate"/>
                    </w:r>
                    <w:r>
                      <w:rPr>
                        <w:color w:val="019648"/>
                        <w:spacing w:val="-10"/>
                        <w:w w:val="105"/>
                        <w:sz w:val="16"/>
                      </w:rPr>
                      <w:t>2</w:t>
                    </w:r>
                    <w:r>
                      <w:rPr>
                        <w:color w:val="019648"/>
                        <w:spacing w:val="-10"/>
                        <w:w w:val="10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7CDC3" w14:textId="77777777" w:rsidR="007372B2" w:rsidRDefault="007372B2">
    <w:pPr>
      <w:pStyle w:val="a3"/>
      <w:spacing w:line="14" w:lineRule="auto"/>
      <w:rPr>
        <w:sz w:val="20"/>
      </w:rPr>
    </w:pPr>
    <w:r>
      <w:rPr>
        <w:noProof/>
        <w:sz w:val="20"/>
      </w:rPr>
      <mc:AlternateContent>
        <mc:Choice Requires="wps">
          <w:drawing>
            <wp:anchor distT="0" distB="0" distL="0" distR="0" simplePos="0" relativeHeight="251638784" behindDoc="1" locked="0" layoutInCell="1" allowOverlap="1" wp14:anchorId="242599B4" wp14:editId="51864217">
              <wp:simplePos x="0" y="0"/>
              <wp:positionH relativeFrom="page">
                <wp:posOffset>6942142</wp:posOffset>
              </wp:positionH>
              <wp:positionV relativeFrom="page">
                <wp:posOffset>10188662</wp:posOffset>
              </wp:positionV>
              <wp:extent cx="83820" cy="12700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27000"/>
                      </a:xfrm>
                      <a:prstGeom prst="rect">
                        <a:avLst/>
                      </a:prstGeom>
                    </wps:spPr>
                    <wps:txbx>
                      <w:txbxContent>
                        <w:p w14:paraId="758A719D" w14:textId="77777777" w:rsidR="007372B2" w:rsidRDefault="007372B2">
                          <w:pPr>
                            <w:ind w:left="20"/>
                            <w:rPr>
                              <w:sz w:val="16"/>
                            </w:rPr>
                          </w:pPr>
                          <w:r>
                            <w:rPr>
                              <w:color w:val="019648"/>
                              <w:spacing w:val="-10"/>
                              <w:w w:val="105"/>
                              <w:sz w:val="16"/>
                            </w:rPr>
                            <w:t>1</w:t>
                          </w:r>
                        </w:p>
                      </w:txbxContent>
                    </wps:txbx>
                    <wps:bodyPr wrap="square" lIns="0" tIns="0" rIns="0" bIns="0" rtlCol="0">
                      <a:noAutofit/>
                    </wps:bodyPr>
                  </wps:wsp>
                </a:graphicData>
              </a:graphic>
            </wp:anchor>
          </w:drawing>
        </mc:Choice>
        <mc:Fallback>
          <w:pict>
            <v:shapetype w14:anchorId="242599B4" id="_x0000_t202" coordsize="21600,21600" o:spt="202" path="m,l,21600r21600,l21600,xe">
              <v:stroke joinstyle="miter"/>
              <v:path gradientshapeok="t" o:connecttype="rect"/>
            </v:shapetype>
            <v:shape id="Textbox 154" o:spid="_x0000_s1221" type="#_x0000_t202" style="position:absolute;margin-left:546.65pt;margin-top:802.25pt;width:6.6pt;height:10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" filled="f" stroked="f">
              <v:textbox inset="0,0,0,0">
                <w:txbxContent>
                  <w:p w14:paraId="758A719D" w14:textId="77777777" w:rsidR="007372B2" w:rsidRDefault="007372B2">
                    <w:pPr>
                      <w:ind w:left="20"/>
                      <w:rPr>
                        <w:sz w:val="16"/>
                      </w:rPr>
                    </w:pPr>
                    <w:r>
                      <w:rPr>
                        <w:color w:val="019648"/>
                        <w:spacing w:val="-10"/>
                        <w:w w:val="105"/>
                        <w:sz w:val="16"/>
                      </w:rPr>
                      <w:t>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2D3CA" w14:textId="570B06A4" w:rsidR="007372B2" w:rsidRDefault="007372B2">
    <w:pPr>
      <w:pStyle w:val="a3"/>
      <w:spacing w:line="14" w:lineRule="auto"/>
      <w:rPr>
        <w:sz w:val="20"/>
      </w:rPr>
    </w:pPr>
    <w:r>
      <w:rPr>
        <w:noProof/>
        <w:sz w:val="20"/>
      </w:rPr>
      <mc:AlternateContent>
        <mc:Choice Requires="wps">
          <w:drawing>
            <wp:anchor distT="0" distB="0" distL="0" distR="0" simplePos="0" relativeHeight="251644928" behindDoc="1" locked="0" layoutInCell="1" allowOverlap="1" wp14:anchorId="0D20E58C" wp14:editId="17F47EF6">
              <wp:simplePos x="0" y="0"/>
              <wp:positionH relativeFrom="page">
                <wp:posOffset>889000</wp:posOffset>
              </wp:positionH>
              <wp:positionV relativeFrom="page">
                <wp:posOffset>10191750</wp:posOffset>
              </wp:positionV>
              <wp:extent cx="3409950" cy="15240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152400"/>
                      </a:xfrm>
                      <a:prstGeom prst="rect">
                        <a:avLst/>
                      </a:prstGeom>
                    </wps:spPr>
                    <wps:txbx>
                      <w:txbxContent>
                        <w:p w14:paraId="18EF6A81" w14:textId="3B0EC2C8" w:rsidR="007372B2" w:rsidRPr="00671EF3" w:rsidRDefault="007372B2">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D20E58C" id="_x0000_t202" coordsize="21600,21600" o:spt="202" path="m,l,21600r21600,l21600,xe">
              <v:stroke joinstyle="miter"/>
              <v:path gradientshapeok="t" o:connecttype="rect"/>
            </v:shapetype>
            <v:shape id="Textbox 161" o:spid="_x0000_s1222" type="#_x0000_t202" style="position:absolute;margin-left:70pt;margin-top:802.5pt;width:268.5pt;height:12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" filled="f" stroked="f">
              <v:textbox inset="0,0,0,0">
                <w:txbxContent>
                  <w:p w14:paraId="18EF6A81" w14:textId="3B0EC2C8" w:rsidR="007372B2" w:rsidRPr="00671EF3" w:rsidRDefault="007372B2">
                    <w:pPr>
                      <w:ind w:left="20"/>
                      <w:rPr>
                        <w:sz w:val="16"/>
                        <w:lang w:val="ru-RU"/>
                      </w:rPr>
                    </w:pPr>
                    <w:r w:rsidRPr="009B5E1D">
                      <w:rPr>
                        <w:color w:val="019648"/>
                        <w:sz w:val="16"/>
                        <w:lang w:val="uk-UA"/>
                      </w:rPr>
                      <w:t xml:space="preserve">Консолідовані </w:t>
                    </w:r>
                    <w:r w:rsidRPr="009B5E1D">
                      <w:rPr>
                        <w:color w:val="FF0000"/>
                        <w:sz w:val="16"/>
                        <w:lang w:val="uk-UA"/>
                      </w:rPr>
                      <w:t>настанови</w:t>
                    </w:r>
                    <w:r w:rsidRPr="009B5E1D">
                      <w:rPr>
                        <w:color w:val="019648"/>
                        <w:sz w:val="16"/>
                        <w:lang w:val="uk-UA"/>
                      </w:rPr>
                      <w:t xml:space="preserve"> ВООЗ з туберкульозу: Четверте видання</w:t>
                    </w:r>
                  </w:p>
                </w:txbxContent>
              </v:textbox>
              <w10:wrap anchorx="page" anchory="page"/>
            </v:shape>
          </w:pict>
        </mc:Fallback>
      </mc:AlternateContent>
    </w:r>
    <w:r>
      <w:rPr>
        <w:noProof/>
        <w:sz w:val="20"/>
      </w:rPr>
      <mc:AlternateContent>
        <mc:Choice Requires="wps">
          <w:drawing>
            <wp:anchor distT="0" distB="0" distL="0" distR="0" simplePos="0" relativeHeight="251643904" behindDoc="1" locked="0" layoutInCell="1" allowOverlap="1" wp14:anchorId="26A252EF" wp14:editId="680228C1">
              <wp:simplePos x="0" y="0"/>
              <wp:positionH relativeFrom="page">
                <wp:posOffset>508741</wp:posOffset>
              </wp:positionH>
              <wp:positionV relativeFrom="page">
                <wp:posOffset>10188662</wp:posOffset>
              </wp:positionV>
              <wp:extent cx="147320" cy="12700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27000"/>
                      </a:xfrm>
                      <a:prstGeom prst="rect">
                        <a:avLst/>
                      </a:prstGeom>
                    </wps:spPr>
                    <wps:txbx>
                      <w:txbxContent>
                        <w:p w14:paraId="15EC9DBD" w14:textId="77777777" w:rsidR="007372B2" w:rsidRDefault="007372B2">
                          <w:pPr>
                            <w:ind w:left="60"/>
                            <w:rPr>
                              <w:sz w:val="16"/>
                            </w:rPr>
                          </w:pPr>
                          <w:r>
                            <w:rPr>
                              <w:color w:val="019648"/>
                              <w:spacing w:val="-10"/>
                              <w:w w:val="105"/>
                              <w:sz w:val="16"/>
                            </w:rPr>
                            <w:fldChar w:fldCharType="begin"/>
                          </w:r>
                          <w:r>
                            <w:rPr>
                              <w:color w:val="019648"/>
                              <w:spacing w:val="-10"/>
                              <w:w w:val="105"/>
                              <w:sz w:val="16"/>
                            </w:rPr>
                            <w:instrText xml:space="preserve"> PAGE </w:instrText>
                          </w:r>
                          <w:r>
                            <w:rPr>
                              <w:color w:val="019648"/>
                              <w:spacing w:val="-10"/>
                              <w:w w:val="105"/>
                              <w:sz w:val="16"/>
                            </w:rPr>
                            <w:fldChar w:fldCharType="separate"/>
                          </w:r>
                          <w:r>
                            <w:rPr>
                              <w:color w:val="019648"/>
                              <w:spacing w:val="-10"/>
                              <w:w w:val="105"/>
                              <w:sz w:val="16"/>
                            </w:rPr>
                            <w:t>4</w:t>
                          </w:r>
                          <w:r>
                            <w:rPr>
                              <w:color w:val="019648"/>
                              <w:spacing w:val="-10"/>
                              <w:w w:val="105"/>
                              <w:sz w:val="16"/>
                            </w:rPr>
                            <w:fldChar w:fldCharType="end"/>
                          </w:r>
                        </w:p>
                      </w:txbxContent>
                    </wps:txbx>
                    <wps:bodyPr wrap="square" lIns="0" tIns="0" rIns="0" bIns="0" rtlCol="0">
                      <a:noAutofit/>
                    </wps:bodyPr>
                  </wps:wsp>
                </a:graphicData>
              </a:graphic>
            </wp:anchor>
          </w:drawing>
        </mc:Choice>
        <mc:Fallback>
          <w:pict>
            <v:shape w14:anchorId="26A252EF" id="Textbox 160" o:spid="_x0000_s1223" type="#_x0000_t202" style="position:absolute;margin-left:40.05pt;margin-top:802.25pt;width:11.6pt;height:10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" filled="f" stroked="f">
              <v:textbox inset="0,0,0,0">
                <w:txbxContent>
                  <w:p w14:paraId="15EC9DBD" w14:textId="77777777" w:rsidR="007372B2" w:rsidRDefault="007372B2">
                    <w:pPr>
                      <w:ind w:left="60"/>
                      <w:rPr>
                        <w:sz w:val="16"/>
                      </w:rPr>
                    </w:pPr>
                    <w:r>
                      <w:rPr>
                        <w:color w:val="019648"/>
                        <w:spacing w:val="-10"/>
                        <w:w w:val="105"/>
                        <w:sz w:val="16"/>
                      </w:rPr>
                      <w:fldChar w:fldCharType="begin"/>
                    </w:r>
                    <w:r>
                      <w:rPr>
                        <w:color w:val="019648"/>
                        <w:spacing w:val="-10"/>
                        <w:w w:val="105"/>
                        <w:sz w:val="16"/>
                      </w:rPr>
                      <w:instrText xml:space="preserve"> PAGE </w:instrText>
                    </w:r>
                    <w:r>
                      <w:rPr>
                        <w:color w:val="019648"/>
                        <w:spacing w:val="-10"/>
                        <w:w w:val="105"/>
                        <w:sz w:val="16"/>
                      </w:rPr>
                      <w:fldChar w:fldCharType="separate"/>
                    </w:r>
                    <w:r>
                      <w:rPr>
                        <w:color w:val="019648"/>
                        <w:spacing w:val="-10"/>
                        <w:w w:val="105"/>
                        <w:sz w:val="16"/>
                      </w:rPr>
                      <w:t>4</w:t>
                    </w:r>
                    <w:r>
                      <w:rPr>
                        <w:color w:val="019648"/>
                        <w:spacing w:val="-10"/>
                        <w:w w:val="10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05D0F" w14:textId="77777777" w:rsidR="007372B2" w:rsidRDefault="007372B2">
    <w:pPr>
      <w:pStyle w:val="a3"/>
      <w:spacing w:line="14" w:lineRule="auto"/>
      <w:rPr>
        <w:sz w:val="20"/>
      </w:rPr>
    </w:pPr>
    <w:r>
      <w:rPr>
        <w:noProof/>
        <w:sz w:val="20"/>
      </w:rPr>
      <mc:AlternateContent>
        <mc:Choice Requires="wps">
          <w:drawing>
            <wp:anchor distT="0" distB="0" distL="0" distR="0" simplePos="0" relativeHeight="251641856" behindDoc="1" locked="0" layoutInCell="1" allowOverlap="1" wp14:anchorId="6B1CC03F" wp14:editId="49081763">
              <wp:simplePos x="0" y="0"/>
              <wp:positionH relativeFrom="page">
                <wp:posOffset>5972485</wp:posOffset>
              </wp:positionH>
              <wp:positionV relativeFrom="page">
                <wp:posOffset>10188662</wp:posOffset>
              </wp:positionV>
              <wp:extent cx="700405" cy="12700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405" cy="127000"/>
                      </a:xfrm>
                      <a:prstGeom prst="rect">
                        <a:avLst/>
                      </a:prstGeom>
                    </wps:spPr>
                    <wps:txbx>
                      <w:txbxContent>
                        <w:p w14:paraId="7C31EF77" w14:textId="3B136D63" w:rsidR="007372B2" w:rsidRPr="00671EF3" w:rsidRDefault="007372B2">
                          <w:pPr>
                            <w:ind w:left="20"/>
                            <w:rPr>
                              <w:sz w:val="16"/>
                              <w:lang w:val="uk-UA"/>
                            </w:rPr>
                          </w:pPr>
                          <w:r>
                            <w:rPr>
                              <w:color w:val="019648"/>
                              <w:spacing w:val="-2"/>
                              <w:sz w:val="16"/>
                            </w:rPr>
                            <w:t>1.</w:t>
                          </w:r>
                          <w:r>
                            <w:rPr>
                              <w:color w:val="019648"/>
                              <w:spacing w:val="-8"/>
                              <w:sz w:val="16"/>
                            </w:rPr>
                            <w:t xml:space="preserve"> </w:t>
                          </w:r>
                          <w:r>
                            <w:rPr>
                              <w:color w:val="019648"/>
                              <w:spacing w:val="-2"/>
                              <w:sz w:val="16"/>
                              <w:lang w:val="uk-UA"/>
                            </w:rPr>
                            <w:t>Вступ</w:t>
                          </w:r>
                        </w:p>
                      </w:txbxContent>
                    </wps:txbx>
                    <wps:bodyPr wrap="square" lIns="0" tIns="0" rIns="0" bIns="0" rtlCol="0">
                      <a:noAutofit/>
                    </wps:bodyPr>
                  </wps:wsp>
                </a:graphicData>
              </a:graphic>
            </wp:anchor>
          </w:drawing>
        </mc:Choice>
        <mc:Fallback>
          <w:pict>
            <v:shapetype w14:anchorId="6B1CC03F" id="_x0000_t202" coordsize="21600,21600" o:spt="202" path="m,l,21600r21600,l21600,xe">
              <v:stroke joinstyle="miter"/>
              <v:path gradientshapeok="t" o:connecttype="rect"/>
            </v:shapetype>
            <v:shape id="Textbox 158" o:spid="_x0000_s1224" type="#_x0000_t202" style="position:absolute;margin-left:470.25pt;margin-top:802.25pt;width:55.15pt;height:10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" filled="f" stroked="f">
              <v:textbox inset="0,0,0,0">
                <w:txbxContent>
                  <w:p w14:paraId="7C31EF77" w14:textId="3B136D63" w:rsidR="007372B2" w:rsidRPr="00671EF3" w:rsidRDefault="007372B2">
                    <w:pPr>
                      <w:ind w:left="20"/>
                      <w:rPr>
                        <w:sz w:val="16"/>
                        <w:lang w:val="uk-UA"/>
                      </w:rPr>
                    </w:pPr>
                    <w:r>
                      <w:rPr>
                        <w:color w:val="019648"/>
                        <w:spacing w:val="-2"/>
                        <w:sz w:val="16"/>
                      </w:rPr>
                      <w:t>1.</w:t>
                    </w:r>
                    <w:r>
                      <w:rPr>
                        <w:color w:val="019648"/>
                        <w:spacing w:val="-8"/>
                        <w:sz w:val="16"/>
                      </w:rPr>
                      <w:t xml:space="preserve"> </w:t>
                    </w:r>
                    <w:r>
                      <w:rPr>
                        <w:color w:val="019648"/>
                        <w:spacing w:val="-2"/>
                        <w:sz w:val="16"/>
                        <w:lang w:val="uk-UA"/>
                      </w:rPr>
                      <w:t>Вступ</w:t>
                    </w:r>
                  </w:p>
                </w:txbxContent>
              </v:textbox>
              <w10:wrap anchorx="page" anchory="page"/>
            </v:shape>
          </w:pict>
        </mc:Fallback>
      </mc:AlternateContent>
    </w:r>
    <w:r>
      <w:rPr>
        <w:noProof/>
        <w:sz w:val="20"/>
      </w:rPr>
      <mc:AlternateContent>
        <mc:Choice Requires="wps">
          <w:drawing>
            <wp:anchor distT="0" distB="0" distL="0" distR="0" simplePos="0" relativeHeight="251642880" behindDoc="1" locked="0" layoutInCell="1" allowOverlap="1" wp14:anchorId="56761D63" wp14:editId="0C523270">
              <wp:simplePos x="0" y="0"/>
              <wp:positionH relativeFrom="page">
                <wp:posOffset>6916742</wp:posOffset>
              </wp:positionH>
              <wp:positionV relativeFrom="page">
                <wp:posOffset>10188662</wp:posOffset>
              </wp:positionV>
              <wp:extent cx="147320" cy="12700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27000"/>
                      </a:xfrm>
                      <a:prstGeom prst="rect">
                        <a:avLst/>
                      </a:prstGeom>
                    </wps:spPr>
                    <wps:txbx>
                      <w:txbxContent>
                        <w:p w14:paraId="3C260A2C" w14:textId="77777777" w:rsidR="007372B2" w:rsidRDefault="007372B2">
                          <w:pPr>
                            <w:ind w:left="60"/>
                            <w:rPr>
                              <w:sz w:val="16"/>
                            </w:rPr>
                          </w:pPr>
                          <w:r>
                            <w:rPr>
                              <w:color w:val="019648"/>
                              <w:spacing w:val="-10"/>
                              <w:w w:val="105"/>
                              <w:sz w:val="16"/>
                            </w:rPr>
                            <w:fldChar w:fldCharType="begin"/>
                          </w:r>
                          <w:r>
                            <w:rPr>
                              <w:color w:val="019648"/>
                              <w:spacing w:val="-10"/>
                              <w:w w:val="105"/>
                              <w:sz w:val="16"/>
                            </w:rPr>
                            <w:instrText xml:space="preserve"> PAGE </w:instrText>
                          </w:r>
                          <w:r>
                            <w:rPr>
                              <w:color w:val="019648"/>
                              <w:spacing w:val="-10"/>
                              <w:w w:val="105"/>
                              <w:sz w:val="16"/>
                            </w:rPr>
                            <w:fldChar w:fldCharType="separate"/>
                          </w:r>
                          <w:r>
                            <w:rPr>
                              <w:color w:val="019648"/>
                              <w:spacing w:val="-10"/>
                              <w:w w:val="105"/>
                              <w:sz w:val="16"/>
                            </w:rPr>
                            <w:t>3</w:t>
                          </w:r>
                          <w:r>
                            <w:rPr>
                              <w:color w:val="019648"/>
                              <w:spacing w:val="-10"/>
                              <w:w w:val="105"/>
                              <w:sz w:val="16"/>
                            </w:rPr>
                            <w:fldChar w:fldCharType="end"/>
                          </w:r>
                        </w:p>
                      </w:txbxContent>
                    </wps:txbx>
                    <wps:bodyPr wrap="square" lIns="0" tIns="0" rIns="0" bIns="0" rtlCol="0">
                      <a:noAutofit/>
                    </wps:bodyPr>
                  </wps:wsp>
                </a:graphicData>
              </a:graphic>
            </wp:anchor>
          </w:drawing>
        </mc:Choice>
        <mc:Fallback>
          <w:pict>
            <v:shape w14:anchorId="56761D63" id="Textbox 159" o:spid="_x0000_s1225" type="#_x0000_t202" style="position:absolute;margin-left:544.65pt;margin-top:802.25pt;width:11.6pt;height:10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" filled="f" stroked="f">
              <v:textbox inset="0,0,0,0">
                <w:txbxContent>
                  <w:p w14:paraId="3C260A2C" w14:textId="77777777" w:rsidR="007372B2" w:rsidRDefault="007372B2">
                    <w:pPr>
                      <w:ind w:left="60"/>
                      <w:rPr>
                        <w:sz w:val="16"/>
                      </w:rPr>
                    </w:pPr>
                    <w:r>
                      <w:rPr>
                        <w:color w:val="019648"/>
                        <w:spacing w:val="-10"/>
                        <w:w w:val="105"/>
                        <w:sz w:val="16"/>
                      </w:rPr>
                      <w:fldChar w:fldCharType="begin"/>
                    </w:r>
                    <w:r>
                      <w:rPr>
                        <w:color w:val="019648"/>
                        <w:spacing w:val="-10"/>
                        <w:w w:val="105"/>
                        <w:sz w:val="16"/>
                      </w:rPr>
                      <w:instrText xml:space="preserve"> PAGE </w:instrText>
                    </w:r>
                    <w:r>
                      <w:rPr>
                        <w:color w:val="019648"/>
                        <w:spacing w:val="-10"/>
                        <w:w w:val="105"/>
                        <w:sz w:val="16"/>
                      </w:rPr>
                      <w:fldChar w:fldCharType="separate"/>
                    </w:r>
                    <w:r>
                      <w:rPr>
                        <w:color w:val="019648"/>
                        <w:spacing w:val="-10"/>
                        <w:w w:val="105"/>
                        <w:sz w:val="16"/>
                      </w:rPr>
                      <w:t>3</w:t>
                    </w:r>
                    <w:r>
                      <w:rPr>
                        <w:color w:val="019648"/>
                        <w:spacing w:val="-10"/>
                        <w:w w:val="10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73801" w14:textId="77777777" w:rsidR="00A51EA3" w:rsidRDefault="00A51EA3">
      <w:r>
        <w:separator/>
      </w:r>
    </w:p>
  </w:footnote>
  <w:footnote w:type="continuationSeparator" w:id="0">
    <w:p w14:paraId="3D66248B" w14:textId="77777777" w:rsidR="00A51EA3" w:rsidRDefault="00A51E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035F"/>
    <w:multiLevelType w:val="hybridMultilevel"/>
    <w:tmpl w:val="F3C8DD38"/>
    <w:lvl w:ilvl="0" w:tplc="664033A0">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1" w:tplc="F3A808AC">
      <w:numFmt w:val="bullet"/>
      <w:lvlText w:val="•"/>
      <w:lvlJc w:val="left"/>
      <w:pPr>
        <w:ind w:left="1752" w:hanging="284"/>
      </w:pPr>
      <w:rPr>
        <w:rFonts w:hint="default"/>
        <w:lang w:val="en-US" w:eastAsia="en-US" w:bidi="ar-SA"/>
      </w:rPr>
    </w:lvl>
    <w:lvl w:ilvl="2" w:tplc="0DD0276E">
      <w:numFmt w:val="bullet"/>
      <w:lvlText w:val="•"/>
      <w:lvlJc w:val="left"/>
      <w:pPr>
        <w:ind w:left="2644" w:hanging="284"/>
      </w:pPr>
      <w:rPr>
        <w:rFonts w:hint="default"/>
        <w:lang w:val="en-US" w:eastAsia="en-US" w:bidi="ar-SA"/>
      </w:rPr>
    </w:lvl>
    <w:lvl w:ilvl="3" w:tplc="034CCBAA">
      <w:numFmt w:val="bullet"/>
      <w:lvlText w:val="•"/>
      <w:lvlJc w:val="left"/>
      <w:pPr>
        <w:ind w:left="3536" w:hanging="284"/>
      </w:pPr>
      <w:rPr>
        <w:rFonts w:hint="default"/>
        <w:lang w:val="en-US" w:eastAsia="en-US" w:bidi="ar-SA"/>
      </w:rPr>
    </w:lvl>
    <w:lvl w:ilvl="4" w:tplc="BA746BB6">
      <w:numFmt w:val="bullet"/>
      <w:lvlText w:val="•"/>
      <w:lvlJc w:val="left"/>
      <w:pPr>
        <w:ind w:left="4428" w:hanging="284"/>
      </w:pPr>
      <w:rPr>
        <w:rFonts w:hint="default"/>
        <w:lang w:val="en-US" w:eastAsia="en-US" w:bidi="ar-SA"/>
      </w:rPr>
    </w:lvl>
    <w:lvl w:ilvl="5" w:tplc="B798C0BC">
      <w:numFmt w:val="bullet"/>
      <w:lvlText w:val="•"/>
      <w:lvlJc w:val="left"/>
      <w:pPr>
        <w:ind w:left="5320" w:hanging="284"/>
      </w:pPr>
      <w:rPr>
        <w:rFonts w:hint="default"/>
        <w:lang w:val="en-US" w:eastAsia="en-US" w:bidi="ar-SA"/>
      </w:rPr>
    </w:lvl>
    <w:lvl w:ilvl="6" w:tplc="A40E5214">
      <w:numFmt w:val="bullet"/>
      <w:lvlText w:val="•"/>
      <w:lvlJc w:val="left"/>
      <w:pPr>
        <w:ind w:left="6212" w:hanging="284"/>
      </w:pPr>
      <w:rPr>
        <w:rFonts w:hint="default"/>
        <w:lang w:val="en-US" w:eastAsia="en-US" w:bidi="ar-SA"/>
      </w:rPr>
    </w:lvl>
    <w:lvl w:ilvl="7" w:tplc="55AC0EFA">
      <w:numFmt w:val="bullet"/>
      <w:lvlText w:val="•"/>
      <w:lvlJc w:val="left"/>
      <w:pPr>
        <w:ind w:left="7104" w:hanging="284"/>
      </w:pPr>
      <w:rPr>
        <w:rFonts w:hint="default"/>
        <w:lang w:val="en-US" w:eastAsia="en-US" w:bidi="ar-SA"/>
      </w:rPr>
    </w:lvl>
    <w:lvl w:ilvl="8" w:tplc="00CAC690">
      <w:numFmt w:val="bullet"/>
      <w:lvlText w:val="•"/>
      <w:lvlJc w:val="left"/>
      <w:pPr>
        <w:ind w:left="7996" w:hanging="284"/>
      </w:pPr>
      <w:rPr>
        <w:rFonts w:hint="default"/>
        <w:lang w:val="en-US" w:eastAsia="en-US" w:bidi="ar-SA"/>
      </w:rPr>
    </w:lvl>
  </w:abstractNum>
  <w:abstractNum w:abstractNumId="1" w15:restartNumberingAfterBreak="0">
    <w:nsid w:val="07130F72"/>
    <w:multiLevelType w:val="hybridMultilevel"/>
    <w:tmpl w:val="92BCCCB2"/>
    <w:lvl w:ilvl="0" w:tplc="5DD07F8A">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1" w:tplc="5D1EA1E0">
      <w:numFmt w:val="bullet"/>
      <w:lvlText w:val="–"/>
      <w:lvlJc w:val="left"/>
      <w:pPr>
        <w:ind w:left="1227" w:hanging="320"/>
      </w:pPr>
      <w:rPr>
        <w:rFonts w:ascii="Microsoft Sans Serif" w:eastAsia="Microsoft Sans Serif" w:hAnsi="Microsoft Sans Serif" w:cs="Microsoft Sans Serif" w:hint="default"/>
        <w:b w:val="0"/>
        <w:bCs w:val="0"/>
        <w:i w:val="0"/>
        <w:iCs w:val="0"/>
        <w:color w:val="0C8140"/>
        <w:spacing w:val="0"/>
        <w:w w:val="170"/>
        <w:sz w:val="22"/>
        <w:szCs w:val="22"/>
        <w:lang w:val="en-US" w:eastAsia="en-US" w:bidi="ar-SA"/>
      </w:rPr>
    </w:lvl>
    <w:lvl w:ilvl="2" w:tplc="BC7A0EEC">
      <w:numFmt w:val="bullet"/>
      <w:lvlText w:val="•"/>
      <w:lvlJc w:val="left"/>
      <w:pPr>
        <w:ind w:left="2171" w:hanging="320"/>
      </w:pPr>
      <w:rPr>
        <w:rFonts w:hint="default"/>
        <w:lang w:val="en-US" w:eastAsia="en-US" w:bidi="ar-SA"/>
      </w:rPr>
    </w:lvl>
    <w:lvl w:ilvl="3" w:tplc="B6045232">
      <w:numFmt w:val="bullet"/>
      <w:lvlText w:val="•"/>
      <w:lvlJc w:val="left"/>
      <w:pPr>
        <w:ind w:left="3122" w:hanging="320"/>
      </w:pPr>
      <w:rPr>
        <w:rFonts w:hint="default"/>
        <w:lang w:val="en-US" w:eastAsia="en-US" w:bidi="ar-SA"/>
      </w:rPr>
    </w:lvl>
    <w:lvl w:ilvl="4" w:tplc="AFE8FE7C">
      <w:numFmt w:val="bullet"/>
      <w:lvlText w:val="•"/>
      <w:lvlJc w:val="left"/>
      <w:pPr>
        <w:ind w:left="4073" w:hanging="320"/>
      </w:pPr>
      <w:rPr>
        <w:rFonts w:hint="default"/>
        <w:lang w:val="en-US" w:eastAsia="en-US" w:bidi="ar-SA"/>
      </w:rPr>
    </w:lvl>
    <w:lvl w:ilvl="5" w:tplc="A838EDA4">
      <w:numFmt w:val="bullet"/>
      <w:lvlText w:val="•"/>
      <w:lvlJc w:val="left"/>
      <w:pPr>
        <w:ind w:left="5024" w:hanging="320"/>
      </w:pPr>
      <w:rPr>
        <w:rFonts w:hint="default"/>
        <w:lang w:val="en-US" w:eastAsia="en-US" w:bidi="ar-SA"/>
      </w:rPr>
    </w:lvl>
    <w:lvl w:ilvl="6" w:tplc="2D8241EA">
      <w:numFmt w:val="bullet"/>
      <w:lvlText w:val="•"/>
      <w:lvlJc w:val="left"/>
      <w:pPr>
        <w:ind w:left="5975" w:hanging="320"/>
      </w:pPr>
      <w:rPr>
        <w:rFonts w:hint="default"/>
        <w:lang w:val="en-US" w:eastAsia="en-US" w:bidi="ar-SA"/>
      </w:rPr>
    </w:lvl>
    <w:lvl w:ilvl="7" w:tplc="29865D66">
      <w:numFmt w:val="bullet"/>
      <w:lvlText w:val="•"/>
      <w:lvlJc w:val="left"/>
      <w:pPr>
        <w:ind w:left="6927" w:hanging="320"/>
      </w:pPr>
      <w:rPr>
        <w:rFonts w:hint="default"/>
        <w:lang w:val="en-US" w:eastAsia="en-US" w:bidi="ar-SA"/>
      </w:rPr>
    </w:lvl>
    <w:lvl w:ilvl="8" w:tplc="812CF74C">
      <w:numFmt w:val="bullet"/>
      <w:lvlText w:val="•"/>
      <w:lvlJc w:val="left"/>
      <w:pPr>
        <w:ind w:left="7878" w:hanging="320"/>
      </w:pPr>
      <w:rPr>
        <w:rFonts w:hint="default"/>
        <w:lang w:val="en-US" w:eastAsia="en-US" w:bidi="ar-SA"/>
      </w:rPr>
    </w:lvl>
  </w:abstractNum>
  <w:abstractNum w:abstractNumId="2" w15:restartNumberingAfterBreak="0">
    <w:nsid w:val="073077BB"/>
    <w:multiLevelType w:val="hybridMultilevel"/>
    <w:tmpl w:val="252EC878"/>
    <w:lvl w:ilvl="0" w:tplc="34A282AA">
      <w:start w:val="1"/>
      <w:numFmt w:val="decimal"/>
      <w:lvlText w:val="%1."/>
      <w:lvlJc w:val="left"/>
      <w:pPr>
        <w:ind w:left="907" w:hanging="397"/>
      </w:pPr>
      <w:rPr>
        <w:rFonts w:ascii="Calibri" w:eastAsia="Calibri" w:hAnsi="Calibri" w:cs="Calibri" w:hint="default"/>
        <w:b/>
        <w:bCs/>
        <w:w w:val="110"/>
        <w:sz w:val="22"/>
        <w:szCs w:val="22"/>
        <w:lang w:val="en-GB" w:eastAsia="en-GB" w:bidi="en-GB"/>
      </w:rPr>
    </w:lvl>
    <w:lvl w:ilvl="1" w:tplc="54CC889E">
      <w:numFmt w:val="bullet"/>
      <w:lvlText w:val="•"/>
      <w:lvlJc w:val="left"/>
      <w:pPr>
        <w:ind w:left="1717" w:hanging="397"/>
      </w:pPr>
      <w:rPr>
        <w:rFonts w:hint="default"/>
        <w:lang w:val="en-GB" w:eastAsia="en-GB" w:bidi="en-GB"/>
      </w:rPr>
    </w:lvl>
    <w:lvl w:ilvl="2" w:tplc="8196DA54">
      <w:numFmt w:val="bullet"/>
      <w:lvlText w:val="•"/>
      <w:lvlJc w:val="left"/>
      <w:pPr>
        <w:ind w:left="2534" w:hanging="397"/>
      </w:pPr>
      <w:rPr>
        <w:rFonts w:hint="default"/>
        <w:lang w:val="en-GB" w:eastAsia="en-GB" w:bidi="en-GB"/>
      </w:rPr>
    </w:lvl>
    <w:lvl w:ilvl="3" w:tplc="6D8C2186">
      <w:numFmt w:val="bullet"/>
      <w:lvlText w:val="•"/>
      <w:lvlJc w:val="left"/>
      <w:pPr>
        <w:ind w:left="3351" w:hanging="397"/>
      </w:pPr>
      <w:rPr>
        <w:rFonts w:hint="default"/>
        <w:lang w:val="en-GB" w:eastAsia="en-GB" w:bidi="en-GB"/>
      </w:rPr>
    </w:lvl>
    <w:lvl w:ilvl="4" w:tplc="769E162C">
      <w:numFmt w:val="bullet"/>
      <w:lvlText w:val="•"/>
      <w:lvlJc w:val="left"/>
      <w:pPr>
        <w:ind w:left="4168" w:hanging="397"/>
      </w:pPr>
      <w:rPr>
        <w:rFonts w:hint="default"/>
        <w:lang w:val="en-GB" w:eastAsia="en-GB" w:bidi="en-GB"/>
      </w:rPr>
    </w:lvl>
    <w:lvl w:ilvl="5" w:tplc="F1C25650">
      <w:numFmt w:val="bullet"/>
      <w:lvlText w:val="•"/>
      <w:lvlJc w:val="left"/>
      <w:pPr>
        <w:ind w:left="4985" w:hanging="397"/>
      </w:pPr>
      <w:rPr>
        <w:rFonts w:hint="default"/>
        <w:lang w:val="en-GB" w:eastAsia="en-GB" w:bidi="en-GB"/>
      </w:rPr>
    </w:lvl>
    <w:lvl w:ilvl="6" w:tplc="B1CA2532">
      <w:numFmt w:val="bullet"/>
      <w:lvlText w:val="•"/>
      <w:lvlJc w:val="left"/>
      <w:pPr>
        <w:ind w:left="5802" w:hanging="397"/>
      </w:pPr>
      <w:rPr>
        <w:rFonts w:hint="default"/>
        <w:lang w:val="en-GB" w:eastAsia="en-GB" w:bidi="en-GB"/>
      </w:rPr>
    </w:lvl>
    <w:lvl w:ilvl="7" w:tplc="52D62AE0">
      <w:numFmt w:val="bullet"/>
      <w:lvlText w:val="•"/>
      <w:lvlJc w:val="left"/>
      <w:pPr>
        <w:ind w:left="6619" w:hanging="397"/>
      </w:pPr>
      <w:rPr>
        <w:rFonts w:hint="default"/>
        <w:lang w:val="en-GB" w:eastAsia="en-GB" w:bidi="en-GB"/>
      </w:rPr>
    </w:lvl>
    <w:lvl w:ilvl="8" w:tplc="3522AF6C">
      <w:numFmt w:val="bullet"/>
      <w:lvlText w:val="•"/>
      <w:lvlJc w:val="left"/>
      <w:pPr>
        <w:ind w:left="7436" w:hanging="397"/>
      </w:pPr>
      <w:rPr>
        <w:rFonts w:hint="default"/>
        <w:lang w:val="en-GB" w:eastAsia="en-GB" w:bidi="en-GB"/>
      </w:rPr>
    </w:lvl>
  </w:abstractNum>
  <w:abstractNum w:abstractNumId="3" w15:restartNumberingAfterBreak="0">
    <w:nsid w:val="0890318A"/>
    <w:multiLevelType w:val="hybridMultilevel"/>
    <w:tmpl w:val="6C9ADE20"/>
    <w:lvl w:ilvl="0" w:tplc="1AA477A2">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1" w:tplc="1F788794">
      <w:numFmt w:val="bullet"/>
      <w:lvlText w:val="•"/>
      <w:lvlJc w:val="left"/>
      <w:pPr>
        <w:ind w:left="1752" w:hanging="284"/>
      </w:pPr>
      <w:rPr>
        <w:rFonts w:hint="default"/>
        <w:lang w:val="en-US" w:eastAsia="en-US" w:bidi="ar-SA"/>
      </w:rPr>
    </w:lvl>
    <w:lvl w:ilvl="2" w:tplc="9ED25206">
      <w:numFmt w:val="bullet"/>
      <w:lvlText w:val="•"/>
      <w:lvlJc w:val="left"/>
      <w:pPr>
        <w:ind w:left="2644" w:hanging="284"/>
      </w:pPr>
      <w:rPr>
        <w:rFonts w:hint="default"/>
        <w:lang w:val="en-US" w:eastAsia="en-US" w:bidi="ar-SA"/>
      </w:rPr>
    </w:lvl>
    <w:lvl w:ilvl="3" w:tplc="1B60A4B0">
      <w:numFmt w:val="bullet"/>
      <w:lvlText w:val="•"/>
      <w:lvlJc w:val="left"/>
      <w:pPr>
        <w:ind w:left="3536" w:hanging="284"/>
      </w:pPr>
      <w:rPr>
        <w:rFonts w:hint="default"/>
        <w:lang w:val="en-US" w:eastAsia="en-US" w:bidi="ar-SA"/>
      </w:rPr>
    </w:lvl>
    <w:lvl w:ilvl="4" w:tplc="642EC2D6">
      <w:numFmt w:val="bullet"/>
      <w:lvlText w:val="•"/>
      <w:lvlJc w:val="left"/>
      <w:pPr>
        <w:ind w:left="4428" w:hanging="284"/>
      </w:pPr>
      <w:rPr>
        <w:rFonts w:hint="default"/>
        <w:lang w:val="en-US" w:eastAsia="en-US" w:bidi="ar-SA"/>
      </w:rPr>
    </w:lvl>
    <w:lvl w:ilvl="5" w:tplc="0DD60680">
      <w:numFmt w:val="bullet"/>
      <w:lvlText w:val="•"/>
      <w:lvlJc w:val="left"/>
      <w:pPr>
        <w:ind w:left="5320" w:hanging="284"/>
      </w:pPr>
      <w:rPr>
        <w:rFonts w:hint="default"/>
        <w:lang w:val="en-US" w:eastAsia="en-US" w:bidi="ar-SA"/>
      </w:rPr>
    </w:lvl>
    <w:lvl w:ilvl="6" w:tplc="C0F282DE">
      <w:numFmt w:val="bullet"/>
      <w:lvlText w:val="•"/>
      <w:lvlJc w:val="left"/>
      <w:pPr>
        <w:ind w:left="6212" w:hanging="284"/>
      </w:pPr>
      <w:rPr>
        <w:rFonts w:hint="default"/>
        <w:lang w:val="en-US" w:eastAsia="en-US" w:bidi="ar-SA"/>
      </w:rPr>
    </w:lvl>
    <w:lvl w:ilvl="7" w:tplc="01103890">
      <w:numFmt w:val="bullet"/>
      <w:lvlText w:val="•"/>
      <w:lvlJc w:val="left"/>
      <w:pPr>
        <w:ind w:left="7104" w:hanging="284"/>
      </w:pPr>
      <w:rPr>
        <w:rFonts w:hint="default"/>
        <w:lang w:val="en-US" w:eastAsia="en-US" w:bidi="ar-SA"/>
      </w:rPr>
    </w:lvl>
    <w:lvl w:ilvl="8" w:tplc="54F46ABC">
      <w:numFmt w:val="bullet"/>
      <w:lvlText w:val="•"/>
      <w:lvlJc w:val="left"/>
      <w:pPr>
        <w:ind w:left="7996" w:hanging="284"/>
      </w:pPr>
      <w:rPr>
        <w:rFonts w:hint="default"/>
        <w:lang w:val="en-US" w:eastAsia="en-US" w:bidi="ar-SA"/>
      </w:rPr>
    </w:lvl>
  </w:abstractNum>
  <w:abstractNum w:abstractNumId="4" w15:restartNumberingAfterBreak="0">
    <w:nsid w:val="0B766966"/>
    <w:multiLevelType w:val="hybridMultilevel"/>
    <w:tmpl w:val="733090C0"/>
    <w:lvl w:ilvl="0" w:tplc="8548A466">
      <w:numFmt w:val="bullet"/>
      <w:lvlText w:val=""/>
      <w:lvlJc w:val="left"/>
      <w:pPr>
        <w:ind w:left="290" w:hanging="171"/>
      </w:pPr>
      <w:rPr>
        <w:rFonts w:ascii="Wingdings" w:eastAsia="Wingdings" w:hAnsi="Wingdings" w:cs="Wingdings" w:hint="default"/>
        <w:b w:val="0"/>
        <w:bCs w:val="0"/>
        <w:i w:val="0"/>
        <w:iCs w:val="0"/>
        <w:spacing w:val="0"/>
        <w:w w:val="100"/>
        <w:sz w:val="22"/>
        <w:szCs w:val="22"/>
        <w:lang w:val="en-US" w:eastAsia="en-US" w:bidi="ar-SA"/>
      </w:rPr>
    </w:lvl>
    <w:lvl w:ilvl="1" w:tplc="52841FEC">
      <w:numFmt w:val="bullet"/>
      <w:lvlText w:val="•"/>
      <w:lvlJc w:val="left"/>
      <w:pPr>
        <w:ind w:left="495" w:hanging="171"/>
      </w:pPr>
      <w:rPr>
        <w:rFonts w:hint="default"/>
        <w:lang w:val="en-US" w:eastAsia="en-US" w:bidi="ar-SA"/>
      </w:rPr>
    </w:lvl>
    <w:lvl w:ilvl="2" w:tplc="F886C93E">
      <w:numFmt w:val="bullet"/>
      <w:lvlText w:val="•"/>
      <w:lvlJc w:val="left"/>
      <w:pPr>
        <w:ind w:left="690" w:hanging="171"/>
      </w:pPr>
      <w:rPr>
        <w:rFonts w:hint="default"/>
        <w:lang w:val="en-US" w:eastAsia="en-US" w:bidi="ar-SA"/>
      </w:rPr>
    </w:lvl>
    <w:lvl w:ilvl="3" w:tplc="E0FE235C">
      <w:numFmt w:val="bullet"/>
      <w:lvlText w:val="•"/>
      <w:lvlJc w:val="left"/>
      <w:pPr>
        <w:ind w:left="885" w:hanging="171"/>
      </w:pPr>
      <w:rPr>
        <w:rFonts w:hint="default"/>
        <w:lang w:val="en-US" w:eastAsia="en-US" w:bidi="ar-SA"/>
      </w:rPr>
    </w:lvl>
    <w:lvl w:ilvl="4" w:tplc="CC766288">
      <w:numFmt w:val="bullet"/>
      <w:lvlText w:val="•"/>
      <w:lvlJc w:val="left"/>
      <w:pPr>
        <w:ind w:left="1080" w:hanging="171"/>
      </w:pPr>
      <w:rPr>
        <w:rFonts w:hint="default"/>
        <w:lang w:val="en-US" w:eastAsia="en-US" w:bidi="ar-SA"/>
      </w:rPr>
    </w:lvl>
    <w:lvl w:ilvl="5" w:tplc="97040884">
      <w:numFmt w:val="bullet"/>
      <w:lvlText w:val="•"/>
      <w:lvlJc w:val="left"/>
      <w:pPr>
        <w:ind w:left="1276" w:hanging="171"/>
      </w:pPr>
      <w:rPr>
        <w:rFonts w:hint="default"/>
        <w:lang w:val="en-US" w:eastAsia="en-US" w:bidi="ar-SA"/>
      </w:rPr>
    </w:lvl>
    <w:lvl w:ilvl="6" w:tplc="2A7C2C0C">
      <w:numFmt w:val="bullet"/>
      <w:lvlText w:val="•"/>
      <w:lvlJc w:val="left"/>
      <w:pPr>
        <w:ind w:left="1471" w:hanging="171"/>
      </w:pPr>
      <w:rPr>
        <w:rFonts w:hint="default"/>
        <w:lang w:val="en-US" w:eastAsia="en-US" w:bidi="ar-SA"/>
      </w:rPr>
    </w:lvl>
    <w:lvl w:ilvl="7" w:tplc="4568F63A">
      <w:numFmt w:val="bullet"/>
      <w:lvlText w:val="•"/>
      <w:lvlJc w:val="left"/>
      <w:pPr>
        <w:ind w:left="1666" w:hanging="171"/>
      </w:pPr>
      <w:rPr>
        <w:rFonts w:hint="default"/>
        <w:lang w:val="en-US" w:eastAsia="en-US" w:bidi="ar-SA"/>
      </w:rPr>
    </w:lvl>
    <w:lvl w:ilvl="8" w:tplc="942018CE">
      <w:numFmt w:val="bullet"/>
      <w:lvlText w:val="•"/>
      <w:lvlJc w:val="left"/>
      <w:pPr>
        <w:ind w:left="1861" w:hanging="171"/>
      </w:pPr>
      <w:rPr>
        <w:rFonts w:hint="default"/>
        <w:lang w:val="en-US" w:eastAsia="en-US" w:bidi="ar-SA"/>
      </w:rPr>
    </w:lvl>
  </w:abstractNum>
  <w:abstractNum w:abstractNumId="5" w15:restartNumberingAfterBreak="0">
    <w:nsid w:val="0BF91225"/>
    <w:multiLevelType w:val="hybridMultilevel"/>
    <w:tmpl w:val="8B6059EE"/>
    <w:lvl w:ilvl="0" w:tplc="78F6EE24">
      <w:numFmt w:val="bullet"/>
      <w:lvlText w:val=""/>
      <w:lvlJc w:val="left"/>
      <w:pPr>
        <w:ind w:left="293" w:hanging="171"/>
      </w:pPr>
      <w:rPr>
        <w:rFonts w:ascii="Wingdings" w:eastAsia="Wingdings" w:hAnsi="Wingdings" w:cs="Wingdings" w:hint="default"/>
        <w:b w:val="0"/>
        <w:bCs w:val="0"/>
        <w:i w:val="0"/>
        <w:iCs w:val="0"/>
        <w:spacing w:val="0"/>
        <w:w w:val="100"/>
        <w:sz w:val="22"/>
        <w:szCs w:val="22"/>
        <w:lang w:val="en-US" w:eastAsia="en-US" w:bidi="ar-SA"/>
      </w:rPr>
    </w:lvl>
    <w:lvl w:ilvl="1" w:tplc="93B2B5C2">
      <w:numFmt w:val="bullet"/>
      <w:lvlText w:val="•"/>
      <w:lvlJc w:val="left"/>
      <w:pPr>
        <w:ind w:left="902" w:hanging="171"/>
      </w:pPr>
      <w:rPr>
        <w:rFonts w:hint="default"/>
        <w:lang w:val="en-US" w:eastAsia="en-US" w:bidi="ar-SA"/>
      </w:rPr>
    </w:lvl>
    <w:lvl w:ilvl="2" w:tplc="66183114">
      <w:numFmt w:val="bullet"/>
      <w:lvlText w:val="•"/>
      <w:lvlJc w:val="left"/>
      <w:pPr>
        <w:ind w:left="1504" w:hanging="171"/>
      </w:pPr>
      <w:rPr>
        <w:rFonts w:hint="default"/>
        <w:lang w:val="en-US" w:eastAsia="en-US" w:bidi="ar-SA"/>
      </w:rPr>
    </w:lvl>
    <w:lvl w:ilvl="3" w:tplc="5734C9A0">
      <w:numFmt w:val="bullet"/>
      <w:lvlText w:val="•"/>
      <w:lvlJc w:val="left"/>
      <w:pPr>
        <w:ind w:left="2106" w:hanging="171"/>
      </w:pPr>
      <w:rPr>
        <w:rFonts w:hint="default"/>
        <w:lang w:val="en-US" w:eastAsia="en-US" w:bidi="ar-SA"/>
      </w:rPr>
    </w:lvl>
    <w:lvl w:ilvl="4" w:tplc="9EF23BC4">
      <w:numFmt w:val="bullet"/>
      <w:lvlText w:val="•"/>
      <w:lvlJc w:val="left"/>
      <w:pPr>
        <w:ind w:left="2708" w:hanging="171"/>
      </w:pPr>
      <w:rPr>
        <w:rFonts w:hint="default"/>
        <w:lang w:val="en-US" w:eastAsia="en-US" w:bidi="ar-SA"/>
      </w:rPr>
    </w:lvl>
    <w:lvl w:ilvl="5" w:tplc="2B10801A">
      <w:numFmt w:val="bullet"/>
      <w:lvlText w:val="•"/>
      <w:lvlJc w:val="left"/>
      <w:pPr>
        <w:ind w:left="3310" w:hanging="171"/>
      </w:pPr>
      <w:rPr>
        <w:rFonts w:hint="default"/>
        <w:lang w:val="en-US" w:eastAsia="en-US" w:bidi="ar-SA"/>
      </w:rPr>
    </w:lvl>
    <w:lvl w:ilvl="6" w:tplc="FCDE5428">
      <w:numFmt w:val="bullet"/>
      <w:lvlText w:val="•"/>
      <w:lvlJc w:val="left"/>
      <w:pPr>
        <w:ind w:left="3912" w:hanging="171"/>
      </w:pPr>
      <w:rPr>
        <w:rFonts w:hint="default"/>
        <w:lang w:val="en-US" w:eastAsia="en-US" w:bidi="ar-SA"/>
      </w:rPr>
    </w:lvl>
    <w:lvl w:ilvl="7" w:tplc="F3EA1D68">
      <w:numFmt w:val="bullet"/>
      <w:lvlText w:val="•"/>
      <w:lvlJc w:val="left"/>
      <w:pPr>
        <w:ind w:left="4514" w:hanging="171"/>
      </w:pPr>
      <w:rPr>
        <w:rFonts w:hint="default"/>
        <w:lang w:val="en-US" w:eastAsia="en-US" w:bidi="ar-SA"/>
      </w:rPr>
    </w:lvl>
    <w:lvl w:ilvl="8" w:tplc="913E7480">
      <w:numFmt w:val="bullet"/>
      <w:lvlText w:val="•"/>
      <w:lvlJc w:val="left"/>
      <w:pPr>
        <w:ind w:left="5116" w:hanging="171"/>
      </w:pPr>
      <w:rPr>
        <w:rFonts w:hint="default"/>
        <w:lang w:val="en-US" w:eastAsia="en-US" w:bidi="ar-SA"/>
      </w:rPr>
    </w:lvl>
  </w:abstractNum>
  <w:abstractNum w:abstractNumId="6" w15:restartNumberingAfterBreak="0">
    <w:nsid w:val="13130475"/>
    <w:multiLevelType w:val="hybridMultilevel"/>
    <w:tmpl w:val="34785C0A"/>
    <w:lvl w:ilvl="0" w:tplc="81704CCC">
      <w:numFmt w:val="bullet"/>
      <w:lvlText w:val="•"/>
      <w:lvlJc w:val="left"/>
      <w:pPr>
        <w:ind w:left="1700" w:hanging="284"/>
      </w:pPr>
      <w:rPr>
        <w:rFonts w:ascii="Calibri" w:eastAsia="Calibri" w:hAnsi="Calibri" w:cs="Calibri" w:hint="default"/>
        <w:color w:val="0C8140"/>
        <w:w w:val="98"/>
        <w:sz w:val="22"/>
        <w:szCs w:val="22"/>
        <w:lang w:val="en-GB" w:eastAsia="en-GB" w:bidi="en-GB"/>
      </w:rPr>
    </w:lvl>
    <w:lvl w:ilvl="1" w:tplc="946426E4">
      <w:numFmt w:val="bullet"/>
      <w:lvlText w:val="–"/>
      <w:lvlJc w:val="left"/>
      <w:pPr>
        <w:ind w:left="2077" w:hanging="320"/>
      </w:pPr>
      <w:rPr>
        <w:rFonts w:ascii="Calibri" w:eastAsia="Calibri" w:hAnsi="Calibri" w:cs="Calibri" w:hint="default"/>
        <w:color w:val="0C8140"/>
        <w:w w:val="100"/>
        <w:sz w:val="22"/>
        <w:szCs w:val="22"/>
        <w:lang w:val="en-GB" w:eastAsia="en-GB" w:bidi="en-GB"/>
      </w:rPr>
    </w:lvl>
    <w:lvl w:ilvl="2" w:tplc="80360BE4">
      <w:numFmt w:val="bullet"/>
      <w:lvlText w:val="•"/>
      <w:lvlJc w:val="left"/>
      <w:pPr>
        <w:ind w:left="3171" w:hanging="320"/>
      </w:pPr>
      <w:rPr>
        <w:rFonts w:hint="default"/>
        <w:lang w:val="en-GB" w:eastAsia="en-GB" w:bidi="en-GB"/>
      </w:rPr>
    </w:lvl>
    <w:lvl w:ilvl="3" w:tplc="8322569E">
      <w:numFmt w:val="bullet"/>
      <w:lvlText w:val="•"/>
      <w:lvlJc w:val="left"/>
      <w:pPr>
        <w:ind w:left="4263" w:hanging="320"/>
      </w:pPr>
      <w:rPr>
        <w:rFonts w:hint="default"/>
        <w:lang w:val="en-GB" w:eastAsia="en-GB" w:bidi="en-GB"/>
      </w:rPr>
    </w:lvl>
    <w:lvl w:ilvl="4" w:tplc="6CDA56E0">
      <w:numFmt w:val="bullet"/>
      <w:lvlText w:val="•"/>
      <w:lvlJc w:val="left"/>
      <w:pPr>
        <w:ind w:left="5355" w:hanging="320"/>
      </w:pPr>
      <w:rPr>
        <w:rFonts w:hint="default"/>
        <w:lang w:val="en-GB" w:eastAsia="en-GB" w:bidi="en-GB"/>
      </w:rPr>
    </w:lvl>
    <w:lvl w:ilvl="5" w:tplc="594E763E">
      <w:numFmt w:val="bullet"/>
      <w:lvlText w:val="•"/>
      <w:lvlJc w:val="left"/>
      <w:pPr>
        <w:ind w:left="6446" w:hanging="320"/>
      </w:pPr>
      <w:rPr>
        <w:rFonts w:hint="default"/>
        <w:lang w:val="en-GB" w:eastAsia="en-GB" w:bidi="en-GB"/>
      </w:rPr>
    </w:lvl>
    <w:lvl w:ilvl="6" w:tplc="B3CAF5F4">
      <w:numFmt w:val="bullet"/>
      <w:lvlText w:val="•"/>
      <w:lvlJc w:val="left"/>
      <w:pPr>
        <w:ind w:left="7538" w:hanging="320"/>
      </w:pPr>
      <w:rPr>
        <w:rFonts w:hint="default"/>
        <w:lang w:val="en-GB" w:eastAsia="en-GB" w:bidi="en-GB"/>
      </w:rPr>
    </w:lvl>
    <w:lvl w:ilvl="7" w:tplc="363C21CC">
      <w:numFmt w:val="bullet"/>
      <w:lvlText w:val="•"/>
      <w:lvlJc w:val="left"/>
      <w:pPr>
        <w:ind w:left="8630" w:hanging="320"/>
      </w:pPr>
      <w:rPr>
        <w:rFonts w:hint="default"/>
        <w:lang w:val="en-GB" w:eastAsia="en-GB" w:bidi="en-GB"/>
      </w:rPr>
    </w:lvl>
    <w:lvl w:ilvl="8" w:tplc="DD4C348E">
      <w:numFmt w:val="bullet"/>
      <w:lvlText w:val="•"/>
      <w:lvlJc w:val="left"/>
      <w:pPr>
        <w:ind w:left="9722" w:hanging="320"/>
      </w:pPr>
      <w:rPr>
        <w:rFonts w:hint="default"/>
        <w:lang w:val="en-GB" w:eastAsia="en-GB" w:bidi="en-GB"/>
      </w:rPr>
    </w:lvl>
  </w:abstractNum>
  <w:abstractNum w:abstractNumId="7" w15:restartNumberingAfterBreak="0">
    <w:nsid w:val="1574302E"/>
    <w:multiLevelType w:val="hybridMultilevel"/>
    <w:tmpl w:val="312A6B8A"/>
    <w:lvl w:ilvl="0" w:tplc="E90AB946">
      <w:numFmt w:val="bullet"/>
      <w:lvlText w:val="•"/>
      <w:lvlJc w:val="left"/>
      <w:pPr>
        <w:ind w:left="1700" w:hanging="284"/>
      </w:pPr>
      <w:rPr>
        <w:rFonts w:ascii="Calibri" w:eastAsia="Calibri" w:hAnsi="Calibri" w:cs="Calibri" w:hint="default"/>
        <w:b/>
        <w:bCs/>
        <w:color w:val="0C8140"/>
        <w:w w:val="100"/>
        <w:sz w:val="22"/>
        <w:szCs w:val="22"/>
        <w:lang w:val="en-GB" w:eastAsia="en-GB" w:bidi="en-GB"/>
      </w:rPr>
    </w:lvl>
    <w:lvl w:ilvl="1" w:tplc="285E1048">
      <w:numFmt w:val="bullet"/>
      <w:lvlText w:val="•"/>
      <w:lvlJc w:val="left"/>
      <w:pPr>
        <w:ind w:left="2720" w:hanging="284"/>
      </w:pPr>
      <w:rPr>
        <w:rFonts w:hint="default"/>
        <w:lang w:val="en-GB" w:eastAsia="en-GB" w:bidi="en-GB"/>
      </w:rPr>
    </w:lvl>
    <w:lvl w:ilvl="2" w:tplc="DC1E0E2A">
      <w:numFmt w:val="bullet"/>
      <w:lvlText w:val="•"/>
      <w:lvlJc w:val="left"/>
      <w:pPr>
        <w:ind w:left="3741" w:hanging="284"/>
      </w:pPr>
      <w:rPr>
        <w:rFonts w:hint="default"/>
        <w:lang w:val="en-GB" w:eastAsia="en-GB" w:bidi="en-GB"/>
      </w:rPr>
    </w:lvl>
    <w:lvl w:ilvl="3" w:tplc="D8468734">
      <w:numFmt w:val="bullet"/>
      <w:lvlText w:val="•"/>
      <w:lvlJc w:val="left"/>
      <w:pPr>
        <w:ind w:left="4761" w:hanging="284"/>
      </w:pPr>
      <w:rPr>
        <w:rFonts w:hint="default"/>
        <w:lang w:val="en-GB" w:eastAsia="en-GB" w:bidi="en-GB"/>
      </w:rPr>
    </w:lvl>
    <w:lvl w:ilvl="4" w:tplc="45F40632">
      <w:numFmt w:val="bullet"/>
      <w:lvlText w:val="•"/>
      <w:lvlJc w:val="left"/>
      <w:pPr>
        <w:ind w:left="5782" w:hanging="284"/>
      </w:pPr>
      <w:rPr>
        <w:rFonts w:hint="default"/>
        <w:lang w:val="en-GB" w:eastAsia="en-GB" w:bidi="en-GB"/>
      </w:rPr>
    </w:lvl>
    <w:lvl w:ilvl="5" w:tplc="019C2E6E">
      <w:numFmt w:val="bullet"/>
      <w:lvlText w:val="•"/>
      <w:lvlJc w:val="left"/>
      <w:pPr>
        <w:ind w:left="6802" w:hanging="284"/>
      </w:pPr>
      <w:rPr>
        <w:rFonts w:hint="default"/>
        <w:lang w:val="en-GB" w:eastAsia="en-GB" w:bidi="en-GB"/>
      </w:rPr>
    </w:lvl>
    <w:lvl w:ilvl="6" w:tplc="82EC0396">
      <w:numFmt w:val="bullet"/>
      <w:lvlText w:val="•"/>
      <w:lvlJc w:val="left"/>
      <w:pPr>
        <w:ind w:left="7823" w:hanging="284"/>
      </w:pPr>
      <w:rPr>
        <w:rFonts w:hint="default"/>
        <w:lang w:val="en-GB" w:eastAsia="en-GB" w:bidi="en-GB"/>
      </w:rPr>
    </w:lvl>
    <w:lvl w:ilvl="7" w:tplc="E1122040">
      <w:numFmt w:val="bullet"/>
      <w:lvlText w:val="•"/>
      <w:lvlJc w:val="left"/>
      <w:pPr>
        <w:ind w:left="8843" w:hanging="284"/>
      </w:pPr>
      <w:rPr>
        <w:rFonts w:hint="default"/>
        <w:lang w:val="en-GB" w:eastAsia="en-GB" w:bidi="en-GB"/>
      </w:rPr>
    </w:lvl>
    <w:lvl w:ilvl="8" w:tplc="94645A76">
      <w:numFmt w:val="bullet"/>
      <w:lvlText w:val="•"/>
      <w:lvlJc w:val="left"/>
      <w:pPr>
        <w:ind w:left="9864" w:hanging="284"/>
      </w:pPr>
      <w:rPr>
        <w:rFonts w:hint="default"/>
        <w:lang w:val="en-GB" w:eastAsia="en-GB" w:bidi="en-GB"/>
      </w:rPr>
    </w:lvl>
  </w:abstractNum>
  <w:abstractNum w:abstractNumId="8" w15:restartNumberingAfterBreak="0">
    <w:nsid w:val="1890087E"/>
    <w:multiLevelType w:val="hybridMultilevel"/>
    <w:tmpl w:val="0E9CF856"/>
    <w:lvl w:ilvl="0" w:tplc="BB9AB006">
      <w:start w:val="1"/>
      <w:numFmt w:val="decimal"/>
      <w:lvlText w:val="%1."/>
      <w:lvlJc w:val="left"/>
      <w:pPr>
        <w:ind w:left="927" w:hanging="360"/>
      </w:pPr>
      <w:rPr>
        <w:rFonts w:ascii="Microsoft Sans Serif" w:eastAsia="Microsoft Sans Serif" w:hAnsi="Microsoft Sans Serif" w:cs="Microsoft Sans Serif" w:hint="default"/>
        <w:b w:val="0"/>
        <w:bCs w:val="0"/>
        <w:i w:val="0"/>
        <w:iCs w:val="0"/>
        <w:spacing w:val="0"/>
        <w:w w:val="96"/>
        <w:sz w:val="20"/>
        <w:szCs w:val="20"/>
        <w:lang w:val="en-US" w:eastAsia="en-US" w:bidi="ar-SA"/>
      </w:rPr>
    </w:lvl>
    <w:lvl w:ilvl="1" w:tplc="58CE69AA">
      <w:numFmt w:val="bullet"/>
      <w:lvlText w:val="•"/>
      <w:lvlJc w:val="left"/>
      <w:pPr>
        <w:ind w:left="1806" w:hanging="360"/>
      </w:pPr>
      <w:rPr>
        <w:rFonts w:hint="default"/>
        <w:lang w:val="en-US" w:eastAsia="en-US" w:bidi="ar-SA"/>
      </w:rPr>
    </w:lvl>
    <w:lvl w:ilvl="2" w:tplc="FD58A480">
      <w:numFmt w:val="bullet"/>
      <w:lvlText w:val="•"/>
      <w:lvlJc w:val="left"/>
      <w:pPr>
        <w:ind w:left="2692" w:hanging="360"/>
      </w:pPr>
      <w:rPr>
        <w:rFonts w:hint="default"/>
        <w:lang w:val="en-US" w:eastAsia="en-US" w:bidi="ar-SA"/>
      </w:rPr>
    </w:lvl>
    <w:lvl w:ilvl="3" w:tplc="68786052">
      <w:numFmt w:val="bullet"/>
      <w:lvlText w:val="•"/>
      <w:lvlJc w:val="left"/>
      <w:pPr>
        <w:ind w:left="3578" w:hanging="360"/>
      </w:pPr>
      <w:rPr>
        <w:rFonts w:hint="default"/>
        <w:lang w:val="en-US" w:eastAsia="en-US" w:bidi="ar-SA"/>
      </w:rPr>
    </w:lvl>
    <w:lvl w:ilvl="4" w:tplc="C1E02662">
      <w:numFmt w:val="bullet"/>
      <w:lvlText w:val="•"/>
      <w:lvlJc w:val="left"/>
      <w:pPr>
        <w:ind w:left="4464" w:hanging="360"/>
      </w:pPr>
      <w:rPr>
        <w:rFonts w:hint="default"/>
        <w:lang w:val="en-US" w:eastAsia="en-US" w:bidi="ar-SA"/>
      </w:rPr>
    </w:lvl>
    <w:lvl w:ilvl="5" w:tplc="FC585A30">
      <w:numFmt w:val="bullet"/>
      <w:lvlText w:val="•"/>
      <w:lvlJc w:val="left"/>
      <w:pPr>
        <w:ind w:left="5350" w:hanging="360"/>
      </w:pPr>
      <w:rPr>
        <w:rFonts w:hint="default"/>
        <w:lang w:val="en-US" w:eastAsia="en-US" w:bidi="ar-SA"/>
      </w:rPr>
    </w:lvl>
    <w:lvl w:ilvl="6" w:tplc="63A8B89A">
      <w:numFmt w:val="bullet"/>
      <w:lvlText w:val="•"/>
      <w:lvlJc w:val="left"/>
      <w:pPr>
        <w:ind w:left="6236" w:hanging="360"/>
      </w:pPr>
      <w:rPr>
        <w:rFonts w:hint="default"/>
        <w:lang w:val="en-US" w:eastAsia="en-US" w:bidi="ar-SA"/>
      </w:rPr>
    </w:lvl>
    <w:lvl w:ilvl="7" w:tplc="92D228D2">
      <w:numFmt w:val="bullet"/>
      <w:lvlText w:val="•"/>
      <w:lvlJc w:val="left"/>
      <w:pPr>
        <w:ind w:left="7122" w:hanging="360"/>
      </w:pPr>
      <w:rPr>
        <w:rFonts w:hint="default"/>
        <w:lang w:val="en-US" w:eastAsia="en-US" w:bidi="ar-SA"/>
      </w:rPr>
    </w:lvl>
    <w:lvl w:ilvl="8" w:tplc="63C0262A">
      <w:numFmt w:val="bullet"/>
      <w:lvlText w:val="•"/>
      <w:lvlJc w:val="left"/>
      <w:pPr>
        <w:ind w:left="8008" w:hanging="360"/>
      </w:pPr>
      <w:rPr>
        <w:rFonts w:hint="default"/>
        <w:lang w:val="en-US" w:eastAsia="en-US" w:bidi="ar-SA"/>
      </w:rPr>
    </w:lvl>
  </w:abstractNum>
  <w:abstractNum w:abstractNumId="9" w15:restartNumberingAfterBreak="0">
    <w:nsid w:val="1B722D29"/>
    <w:multiLevelType w:val="hybridMultilevel"/>
    <w:tmpl w:val="93D6F8F8"/>
    <w:lvl w:ilvl="0" w:tplc="C636B78C">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1" w:tplc="2B96602C">
      <w:numFmt w:val="bullet"/>
      <w:lvlText w:val="•"/>
      <w:lvlJc w:val="left"/>
      <w:pPr>
        <w:ind w:left="1752" w:hanging="284"/>
      </w:pPr>
      <w:rPr>
        <w:rFonts w:hint="default"/>
        <w:lang w:val="en-US" w:eastAsia="en-US" w:bidi="ar-SA"/>
      </w:rPr>
    </w:lvl>
    <w:lvl w:ilvl="2" w:tplc="D4DA52E6">
      <w:numFmt w:val="bullet"/>
      <w:lvlText w:val="•"/>
      <w:lvlJc w:val="left"/>
      <w:pPr>
        <w:ind w:left="2644" w:hanging="284"/>
      </w:pPr>
      <w:rPr>
        <w:rFonts w:hint="default"/>
        <w:lang w:val="en-US" w:eastAsia="en-US" w:bidi="ar-SA"/>
      </w:rPr>
    </w:lvl>
    <w:lvl w:ilvl="3" w:tplc="A8404AD4">
      <w:numFmt w:val="bullet"/>
      <w:lvlText w:val="•"/>
      <w:lvlJc w:val="left"/>
      <w:pPr>
        <w:ind w:left="3536" w:hanging="284"/>
      </w:pPr>
      <w:rPr>
        <w:rFonts w:hint="default"/>
        <w:lang w:val="en-US" w:eastAsia="en-US" w:bidi="ar-SA"/>
      </w:rPr>
    </w:lvl>
    <w:lvl w:ilvl="4" w:tplc="227C72B0">
      <w:numFmt w:val="bullet"/>
      <w:lvlText w:val="•"/>
      <w:lvlJc w:val="left"/>
      <w:pPr>
        <w:ind w:left="4428" w:hanging="284"/>
      </w:pPr>
      <w:rPr>
        <w:rFonts w:hint="default"/>
        <w:lang w:val="en-US" w:eastAsia="en-US" w:bidi="ar-SA"/>
      </w:rPr>
    </w:lvl>
    <w:lvl w:ilvl="5" w:tplc="56D0D216">
      <w:numFmt w:val="bullet"/>
      <w:lvlText w:val="•"/>
      <w:lvlJc w:val="left"/>
      <w:pPr>
        <w:ind w:left="5320" w:hanging="284"/>
      </w:pPr>
      <w:rPr>
        <w:rFonts w:hint="default"/>
        <w:lang w:val="en-US" w:eastAsia="en-US" w:bidi="ar-SA"/>
      </w:rPr>
    </w:lvl>
    <w:lvl w:ilvl="6" w:tplc="16C85B78">
      <w:numFmt w:val="bullet"/>
      <w:lvlText w:val="•"/>
      <w:lvlJc w:val="left"/>
      <w:pPr>
        <w:ind w:left="6212" w:hanging="284"/>
      </w:pPr>
      <w:rPr>
        <w:rFonts w:hint="default"/>
        <w:lang w:val="en-US" w:eastAsia="en-US" w:bidi="ar-SA"/>
      </w:rPr>
    </w:lvl>
    <w:lvl w:ilvl="7" w:tplc="87683A50">
      <w:numFmt w:val="bullet"/>
      <w:lvlText w:val="•"/>
      <w:lvlJc w:val="left"/>
      <w:pPr>
        <w:ind w:left="7104" w:hanging="284"/>
      </w:pPr>
      <w:rPr>
        <w:rFonts w:hint="default"/>
        <w:lang w:val="en-US" w:eastAsia="en-US" w:bidi="ar-SA"/>
      </w:rPr>
    </w:lvl>
    <w:lvl w:ilvl="8" w:tplc="933843C4">
      <w:numFmt w:val="bullet"/>
      <w:lvlText w:val="•"/>
      <w:lvlJc w:val="left"/>
      <w:pPr>
        <w:ind w:left="7996" w:hanging="284"/>
      </w:pPr>
      <w:rPr>
        <w:rFonts w:hint="default"/>
        <w:lang w:val="en-US" w:eastAsia="en-US" w:bidi="ar-SA"/>
      </w:rPr>
    </w:lvl>
  </w:abstractNum>
  <w:abstractNum w:abstractNumId="10" w15:restartNumberingAfterBreak="0">
    <w:nsid w:val="23BF0BB0"/>
    <w:multiLevelType w:val="hybridMultilevel"/>
    <w:tmpl w:val="12745152"/>
    <w:lvl w:ilvl="0" w:tplc="35788670">
      <w:start w:val="1"/>
      <w:numFmt w:val="decimal"/>
      <w:lvlText w:val="%1."/>
      <w:lvlJc w:val="left"/>
      <w:pPr>
        <w:ind w:left="1700" w:hanging="284"/>
      </w:pPr>
      <w:rPr>
        <w:rFonts w:ascii="Calibri" w:eastAsia="Calibri" w:hAnsi="Calibri" w:cs="Calibri" w:hint="default"/>
        <w:w w:val="106"/>
        <w:sz w:val="22"/>
        <w:szCs w:val="22"/>
        <w:lang w:val="en-GB" w:eastAsia="en-GB" w:bidi="en-GB"/>
      </w:rPr>
    </w:lvl>
    <w:lvl w:ilvl="1" w:tplc="F38842B8">
      <w:numFmt w:val="bullet"/>
      <w:lvlText w:val="•"/>
      <w:lvlJc w:val="left"/>
      <w:pPr>
        <w:ind w:left="2720" w:hanging="284"/>
      </w:pPr>
      <w:rPr>
        <w:rFonts w:hint="default"/>
        <w:lang w:val="en-GB" w:eastAsia="en-GB" w:bidi="en-GB"/>
      </w:rPr>
    </w:lvl>
    <w:lvl w:ilvl="2" w:tplc="E71226CA">
      <w:numFmt w:val="bullet"/>
      <w:lvlText w:val="•"/>
      <w:lvlJc w:val="left"/>
      <w:pPr>
        <w:ind w:left="3741" w:hanging="284"/>
      </w:pPr>
      <w:rPr>
        <w:rFonts w:hint="default"/>
        <w:lang w:val="en-GB" w:eastAsia="en-GB" w:bidi="en-GB"/>
      </w:rPr>
    </w:lvl>
    <w:lvl w:ilvl="3" w:tplc="5BE6E74E">
      <w:numFmt w:val="bullet"/>
      <w:lvlText w:val="•"/>
      <w:lvlJc w:val="left"/>
      <w:pPr>
        <w:ind w:left="4761" w:hanging="284"/>
      </w:pPr>
      <w:rPr>
        <w:rFonts w:hint="default"/>
        <w:lang w:val="en-GB" w:eastAsia="en-GB" w:bidi="en-GB"/>
      </w:rPr>
    </w:lvl>
    <w:lvl w:ilvl="4" w:tplc="432AFC7E">
      <w:numFmt w:val="bullet"/>
      <w:lvlText w:val="•"/>
      <w:lvlJc w:val="left"/>
      <w:pPr>
        <w:ind w:left="5782" w:hanging="284"/>
      </w:pPr>
      <w:rPr>
        <w:rFonts w:hint="default"/>
        <w:lang w:val="en-GB" w:eastAsia="en-GB" w:bidi="en-GB"/>
      </w:rPr>
    </w:lvl>
    <w:lvl w:ilvl="5" w:tplc="02BA1C72">
      <w:numFmt w:val="bullet"/>
      <w:lvlText w:val="•"/>
      <w:lvlJc w:val="left"/>
      <w:pPr>
        <w:ind w:left="6802" w:hanging="284"/>
      </w:pPr>
      <w:rPr>
        <w:rFonts w:hint="default"/>
        <w:lang w:val="en-GB" w:eastAsia="en-GB" w:bidi="en-GB"/>
      </w:rPr>
    </w:lvl>
    <w:lvl w:ilvl="6" w:tplc="9A2897FC">
      <w:numFmt w:val="bullet"/>
      <w:lvlText w:val="•"/>
      <w:lvlJc w:val="left"/>
      <w:pPr>
        <w:ind w:left="7823" w:hanging="284"/>
      </w:pPr>
      <w:rPr>
        <w:rFonts w:hint="default"/>
        <w:lang w:val="en-GB" w:eastAsia="en-GB" w:bidi="en-GB"/>
      </w:rPr>
    </w:lvl>
    <w:lvl w:ilvl="7" w:tplc="08060868">
      <w:numFmt w:val="bullet"/>
      <w:lvlText w:val="•"/>
      <w:lvlJc w:val="left"/>
      <w:pPr>
        <w:ind w:left="8843" w:hanging="284"/>
      </w:pPr>
      <w:rPr>
        <w:rFonts w:hint="default"/>
        <w:lang w:val="en-GB" w:eastAsia="en-GB" w:bidi="en-GB"/>
      </w:rPr>
    </w:lvl>
    <w:lvl w:ilvl="8" w:tplc="C70C8F24">
      <w:numFmt w:val="bullet"/>
      <w:lvlText w:val="•"/>
      <w:lvlJc w:val="left"/>
      <w:pPr>
        <w:ind w:left="9864" w:hanging="284"/>
      </w:pPr>
      <w:rPr>
        <w:rFonts w:hint="default"/>
        <w:lang w:val="en-GB" w:eastAsia="en-GB" w:bidi="en-GB"/>
      </w:rPr>
    </w:lvl>
  </w:abstractNum>
  <w:abstractNum w:abstractNumId="11" w15:restartNumberingAfterBreak="0">
    <w:nsid w:val="2737298E"/>
    <w:multiLevelType w:val="hybridMultilevel"/>
    <w:tmpl w:val="D65CFEEE"/>
    <w:lvl w:ilvl="0" w:tplc="A7D40010">
      <w:start w:val="1"/>
      <w:numFmt w:val="decimal"/>
      <w:lvlText w:val="%1."/>
      <w:lvlJc w:val="left"/>
      <w:pPr>
        <w:ind w:left="927" w:hanging="360"/>
      </w:pPr>
      <w:rPr>
        <w:rFonts w:ascii="Microsoft Sans Serif" w:eastAsia="Microsoft Sans Serif" w:hAnsi="Microsoft Sans Serif" w:cs="Microsoft Sans Serif" w:hint="default"/>
        <w:b w:val="0"/>
        <w:bCs w:val="0"/>
        <w:i w:val="0"/>
        <w:iCs w:val="0"/>
        <w:spacing w:val="0"/>
        <w:w w:val="96"/>
        <w:sz w:val="20"/>
        <w:szCs w:val="20"/>
        <w:lang w:val="en-US" w:eastAsia="en-US" w:bidi="ar-SA"/>
      </w:rPr>
    </w:lvl>
    <w:lvl w:ilvl="1" w:tplc="B0B819AA">
      <w:numFmt w:val="bullet"/>
      <w:lvlText w:val="•"/>
      <w:lvlJc w:val="left"/>
      <w:pPr>
        <w:ind w:left="1806" w:hanging="360"/>
      </w:pPr>
      <w:rPr>
        <w:rFonts w:hint="default"/>
        <w:lang w:val="en-US" w:eastAsia="en-US" w:bidi="ar-SA"/>
      </w:rPr>
    </w:lvl>
    <w:lvl w:ilvl="2" w:tplc="D700D270">
      <w:numFmt w:val="bullet"/>
      <w:lvlText w:val="•"/>
      <w:lvlJc w:val="left"/>
      <w:pPr>
        <w:ind w:left="2692" w:hanging="360"/>
      </w:pPr>
      <w:rPr>
        <w:rFonts w:hint="default"/>
        <w:lang w:val="en-US" w:eastAsia="en-US" w:bidi="ar-SA"/>
      </w:rPr>
    </w:lvl>
    <w:lvl w:ilvl="3" w:tplc="9AA8AECE">
      <w:numFmt w:val="bullet"/>
      <w:lvlText w:val="•"/>
      <w:lvlJc w:val="left"/>
      <w:pPr>
        <w:ind w:left="3578" w:hanging="360"/>
      </w:pPr>
      <w:rPr>
        <w:rFonts w:hint="default"/>
        <w:lang w:val="en-US" w:eastAsia="en-US" w:bidi="ar-SA"/>
      </w:rPr>
    </w:lvl>
    <w:lvl w:ilvl="4" w:tplc="C8CCCAE8">
      <w:numFmt w:val="bullet"/>
      <w:lvlText w:val="•"/>
      <w:lvlJc w:val="left"/>
      <w:pPr>
        <w:ind w:left="4464" w:hanging="360"/>
      </w:pPr>
      <w:rPr>
        <w:rFonts w:hint="default"/>
        <w:lang w:val="en-US" w:eastAsia="en-US" w:bidi="ar-SA"/>
      </w:rPr>
    </w:lvl>
    <w:lvl w:ilvl="5" w:tplc="BF3038AA">
      <w:numFmt w:val="bullet"/>
      <w:lvlText w:val="•"/>
      <w:lvlJc w:val="left"/>
      <w:pPr>
        <w:ind w:left="5350" w:hanging="360"/>
      </w:pPr>
      <w:rPr>
        <w:rFonts w:hint="default"/>
        <w:lang w:val="en-US" w:eastAsia="en-US" w:bidi="ar-SA"/>
      </w:rPr>
    </w:lvl>
    <w:lvl w:ilvl="6" w:tplc="3F4EF846">
      <w:numFmt w:val="bullet"/>
      <w:lvlText w:val="•"/>
      <w:lvlJc w:val="left"/>
      <w:pPr>
        <w:ind w:left="6236" w:hanging="360"/>
      </w:pPr>
      <w:rPr>
        <w:rFonts w:hint="default"/>
        <w:lang w:val="en-US" w:eastAsia="en-US" w:bidi="ar-SA"/>
      </w:rPr>
    </w:lvl>
    <w:lvl w:ilvl="7" w:tplc="25523418">
      <w:numFmt w:val="bullet"/>
      <w:lvlText w:val="•"/>
      <w:lvlJc w:val="left"/>
      <w:pPr>
        <w:ind w:left="7122" w:hanging="360"/>
      </w:pPr>
      <w:rPr>
        <w:rFonts w:hint="default"/>
        <w:lang w:val="en-US" w:eastAsia="en-US" w:bidi="ar-SA"/>
      </w:rPr>
    </w:lvl>
    <w:lvl w:ilvl="8" w:tplc="FE8CCEFE">
      <w:numFmt w:val="bullet"/>
      <w:lvlText w:val="•"/>
      <w:lvlJc w:val="left"/>
      <w:pPr>
        <w:ind w:left="8008" w:hanging="360"/>
      </w:pPr>
      <w:rPr>
        <w:rFonts w:hint="default"/>
        <w:lang w:val="en-US" w:eastAsia="en-US" w:bidi="ar-SA"/>
      </w:rPr>
    </w:lvl>
  </w:abstractNum>
  <w:abstractNum w:abstractNumId="12" w15:restartNumberingAfterBreak="0">
    <w:nsid w:val="278D7689"/>
    <w:multiLevelType w:val="hybridMultilevel"/>
    <w:tmpl w:val="6CB6FA9C"/>
    <w:lvl w:ilvl="0" w:tplc="E3CEDF52">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1" w:tplc="DA2C7AF4">
      <w:numFmt w:val="bullet"/>
      <w:lvlText w:val="•"/>
      <w:lvlJc w:val="left"/>
      <w:pPr>
        <w:ind w:left="1752" w:hanging="284"/>
      </w:pPr>
      <w:rPr>
        <w:rFonts w:hint="default"/>
        <w:lang w:val="en-US" w:eastAsia="en-US" w:bidi="ar-SA"/>
      </w:rPr>
    </w:lvl>
    <w:lvl w:ilvl="2" w:tplc="67B8629A">
      <w:numFmt w:val="bullet"/>
      <w:lvlText w:val="•"/>
      <w:lvlJc w:val="left"/>
      <w:pPr>
        <w:ind w:left="2644" w:hanging="284"/>
      </w:pPr>
      <w:rPr>
        <w:rFonts w:hint="default"/>
        <w:lang w:val="en-US" w:eastAsia="en-US" w:bidi="ar-SA"/>
      </w:rPr>
    </w:lvl>
    <w:lvl w:ilvl="3" w:tplc="089CB9F0">
      <w:numFmt w:val="bullet"/>
      <w:lvlText w:val="•"/>
      <w:lvlJc w:val="left"/>
      <w:pPr>
        <w:ind w:left="3536" w:hanging="284"/>
      </w:pPr>
      <w:rPr>
        <w:rFonts w:hint="default"/>
        <w:lang w:val="en-US" w:eastAsia="en-US" w:bidi="ar-SA"/>
      </w:rPr>
    </w:lvl>
    <w:lvl w:ilvl="4" w:tplc="CBAC3A86">
      <w:numFmt w:val="bullet"/>
      <w:lvlText w:val="•"/>
      <w:lvlJc w:val="left"/>
      <w:pPr>
        <w:ind w:left="4428" w:hanging="284"/>
      </w:pPr>
      <w:rPr>
        <w:rFonts w:hint="default"/>
        <w:lang w:val="en-US" w:eastAsia="en-US" w:bidi="ar-SA"/>
      </w:rPr>
    </w:lvl>
    <w:lvl w:ilvl="5" w:tplc="744ACFE2">
      <w:numFmt w:val="bullet"/>
      <w:lvlText w:val="•"/>
      <w:lvlJc w:val="left"/>
      <w:pPr>
        <w:ind w:left="5320" w:hanging="284"/>
      </w:pPr>
      <w:rPr>
        <w:rFonts w:hint="default"/>
        <w:lang w:val="en-US" w:eastAsia="en-US" w:bidi="ar-SA"/>
      </w:rPr>
    </w:lvl>
    <w:lvl w:ilvl="6" w:tplc="A3E283CE">
      <w:numFmt w:val="bullet"/>
      <w:lvlText w:val="•"/>
      <w:lvlJc w:val="left"/>
      <w:pPr>
        <w:ind w:left="6212" w:hanging="284"/>
      </w:pPr>
      <w:rPr>
        <w:rFonts w:hint="default"/>
        <w:lang w:val="en-US" w:eastAsia="en-US" w:bidi="ar-SA"/>
      </w:rPr>
    </w:lvl>
    <w:lvl w:ilvl="7" w:tplc="EDAEF5D0">
      <w:numFmt w:val="bullet"/>
      <w:lvlText w:val="•"/>
      <w:lvlJc w:val="left"/>
      <w:pPr>
        <w:ind w:left="7104" w:hanging="284"/>
      </w:pPr>
      <w:rPr>
        <w:rFonts w:hint="default"/>
        <w:lang w:val="en-US" w:eastAsia="en-US" w:bidi="ar-SA"/>
      </w:rPr>
    </w:lvl>
    <w:lvl w:ilvl="8" w:tplc="EC4CAA1A">
      <w:numFmt w:val="bullet"/>
      <w:lvlText w:val="•"/>
      <w:lvlJc w:val="left"/>
      <w:pPr>
        <w:ind w:left="7996" w:hanging="284"/>
      </w:pPr>
      <w:rPr>
        <w:rFonts w:hint="default"/>
        <w:lang w:val="en-US" w:eastAsia="en-US" w:bidi="ar-SA"/>
      </w:rPr>
    </w:lvl>
  </w:abstractNum>
  <w:abstractNum w:abstractNumId="13" w15:restartNumberingAfterBreak="0">
    <w:nsid w:val="29393895"/>
    <w:multiLevelType w:val="hybridMultilevel"/>
    <w:tmpl w:val="19808596"/>
    <w:lvl w:ilvl="0" w:tplc="329CD0C2">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0"/>
        <w:szCs w:val="20"/>
        <w:lang w:val="en-US" w:eastAsia="en-US" w:bidi="ar-SA"/>
      </w:rPr>
    </w:lvl>
    <w:lvl w:ilvl="1" w:tplc="C852836C">
      <w:numFmt w:val="bullet"/>
      <w:lvlText w:val="–"/>
      <w:lvlJc w:val="left"/>
      <w:pPr>
        <w:ind w:left="1227" w:hanging="320"/>
      </w:pPr>
      <w:rPr>
        <w:rFonts w:ascii="Microsoft Sans Serif" w:eastAsia="Microsoft Sans Serif" w:hAnsi="Microsoft Sans Serif" w:cs="Microsoft Sans Serif" w:hint="default"/>
        <w:spacing w:val="0"/>
        <w:w w:val="170"/>
        <w:lang w:val="en-US" w:eastAsia="en-US" w:bidi="ar-SA"/>
      </w:rPr>
    </w:lvl>
    <w:lvl w:ilvl="2" w:tplc="541E55EC">
      <w:numFmt w:val="bullet"/>
      <w:lvlText w:val="•"/>
      <w:lvlJc w:val="left"/>
      <w:pPr>
        <w:ind w:left="2171" w:hanging="320"/>
      </w:pPr>
      <w:rPr>
        <w:rFonts w:hint="default"/>
        <w:lang w:val="en-US" w:eastAsia="en-US" w:bidi="ar-SA"/>
      </w:rPr>
    </w:lvl>
    <w:lvl w:ilvl="3" w:tplc="B2804F1E">
      <w:numFmt w:val="bullet"/>
      <w:lvlText w:val="•"/>
      <w:lvlJc w:val="left"/>
      <w:pPr>
        <w:ind w:left="3122" w:hanging="320"/>
      </w:pPr>
      <w:rPr>
        <w:rFonts w:hint="default"/>
        <w:lang w:val="en-US" w:eastAsia="en-US" w:bidi="ar-SA"/>
      </w:rPr>
    </w:lvl>
    <w:lvl w:ilvl="4" w:tplc="A1F49382">
      <w:numFmt w:val="bullet"/>
      <w:lvlText w:val="•"/>
      <w:lvlJc w:val="left"/>
      <w:pPr>
        <w:ind w:left="4073" w:hanging="320"/>
      </w:pPr>
      <w:rPr>
        <w:rFonts w:hint="default"/>
        <w:lang w:val="en-US" w:eastAsia="en-US" w:bidi="ar-SA"/>
      </w:rPr>
    </w:lvl>
    <w:lvl w:ilvl="5" w:tplc="65D2BC04">
      <w:numFmt w:val="bullet"/>
      <w:lvlText w:val="•"/>
      <w:lvlJc w:val="left"/>
      <w:pPr>
        <w:ind w:left="5024" w:hanging="320"/>
      </w:pPr>
      <w:rPr>
        <w:rFonts w:hint="default"/>
        <w:lang w:val="en-US" w:eastAsia="en-US" w:bidi="ar-SA"/>
      </w:rPr>
    </w:lvl>
    <w:lvl w:ilvl="6" w:tplc="559A4A3C">
      <w:numFmt w:val="bullet"/>
      <w:lvlText w:val="•"/>
      <w:lvlJc w:val="left"/>
      <w:pPr>
        <w:ind w:left="5975" w:hanging="320"/>
      </w:pPr>
      <w:rPr>
        <w:rFonts w:hint="default"/>
        <w:lang w:val="en-US" w:eastAsia="en-US" w:bidi="ar-SA"/>
      </w:rPr>
    </w:lvl>
    <w:lvl w:ilvl="7" w:tplc="5A40D7B6">
      <w:numFmt w:val="bullet"/>
      <w:lvlText w:val="•"/>
      <w:lvlJc w:val="left"/>
      <w:pPr>
        <w:ind w:left="6927" w:hanging="320"/>
      </w:pPr>
      <w:rPr>
        <w:rFonts w:hint="default"/>
        <w:lang w:val="en-US" w:eastAsia="en-US" w:bidi="ar-SA"/>
      </w:rPr>
    </w:lvl>
    <w:lvl w:ilvl="8" w:tplc="1EC83F6E">
      <w:numFmt w:val="bullet"/>
      <w:lvlText w:val="•"/>
      <w:lvlJc w:val="left"/>
      <w:pPr>
        <w:ind w:left="7878" w:hanging="320"/>
      </w:pPr>
      <w:rPr>
        <w:rFonts w:hint="default"/>
        <w:lang w:val="en-US" w:eastAsia="en-US" w:bidi="ar-SA"/>
      </w:rPr>
    </w:lvl>
  </w:abstractNum>
  <w:abstractNum w:abstractNumId="14" w15:restartNumberingAfterBreak="0">
    <w:nsid w:val="2AE66941"/>
    <w:multiLevelType w:val="hybridMultilevel"/>
    <w:tmpl w:val="7C9CF6A4"/>
    <w:lvl w:ilvl="0" w:tplc="A0F09FC8">
      <w:numFmt w:val="bullet"/>
      <w:lvlText w:val="•"/>
      <w:lvlJc w:val="left"/>
      <w:pPr>
        <w:ind w:left="1700" w:hanging="284"/>
      </w:pPr>
      <w:rPr>
        <w:rFonts w:ascii="Calibri" w:eastAsia="Calibri" w:hAnsi="Calibri" w:cs="Calibri" w:hint="default"/>
        <w:b/>
        <w:bCs/>
        <w:color w:val="0C8140"/>
        <w:w w:val="100"/>
        <w:sz w:val="22"/>
        <w:szCs w:val="22"/>
        <w:lang w:val="en-GB" w:eastAsia="en-GB" w:bidi="en-GB"/>
      </w:rPr>
    </w:lvl>
    <w:lvl w:ilvl="1" w:tplc="3B50D5D6">
      <w:numFmt w:val="bullet"/>
      <w:lvlText w:val="–"/>
      <w:lvlJc w:val="left"/>
      <w:pPr>
        <w:ind w:left="2077" w:hanging="320"/>
      </w:pPr>
      <w:rPr>
        <w:rFonts w:ascii="Calibri" w:eastAsia="Calibri" w:hAnsi="Calibri" w:cs="Calibri" w:hint="default"/>
        <w:color w:val="0C8140"/>
        <w:w w:val="100"/>
        <w:sz w:val="22"/>
        <w:szCs w:val="22"/>
        <w:lang w:val="en-GB" w:eastAsia="en-GB" w:bidi="en-GB"/>
      </w:rPr>
    </w:lvl>
    <w:lvl w:ilvl="2" w:tplc="0ED69DEE">
      <w:numFmt w:val="bullet"/>
      <w:lvlText w:val="•"/>
      <w:lvlJc w:val="left"/>
      <w:pPr>
        <w:ind w:left="3171" w:hanging="320"/>
      </w:pPr>
      <w:rPr>
        <w:rFonts w:hint="default"/>
        <w:lang w:val="en-GB" w:eastAsia="en-GB" w:bidi="en-GB"/>
      </w:rPr>
    </w:lvl>
    <w:lvl w:ilvl="3" w:tplc="43E07DBA">
      <w:numFmt w:val="bullet"/>
      <w:lvlText w:val="•"/>
      <w:lvlJc w:val="left"/>
      <w:pPr>
        <w:ind w:left="4263" w:hanging="320"/>
      </w:pPr>
      <w:rPr>
        <w:rFonts w:hint="default"/>
        <w:lang w:val="en-GB" w:eastAsia="en-GB" w:bidi="en-GB"/>
      </w:rPr>
    </w:lvl>
    <w:lvl w:ilvl="4" w:tplc="ABE0340A">
      <w:numFmt w:val="bullet"/>
      <w:lvlText w:val="•"/>
      <w:lvlJc w:val="left"/>
      <w:pPr>
        <w:ind w:left="5355" w:hanging="320"/>
      </w:pPr>
      <w:rPr>
        <w:rFonts w:hint="default"/>
        <w:lang w:val="en-GB" w:eastAsia="en-GB" w:bidi="en-GB"/>
      </w:rPr>
    </w:lvl>
    <w:lvl w:ilvl="5" w:tplc="CA60618E">
      <w:numFmt w:val="bullet"/>
      <w:lvlText w:val="•"/>
      <w:lvlJc w:val="left"/>
      <w:pPr>
        <w:ind w:left="6446" w:hanging="320"/>
      </w:pPr>
      <w:rPr>
        <w:rFonts w:hint="default"/>
        <w:lang w:val="en-GB" w:eastAsia="en-GB" w:bidi="en-GB"/>
      </w:rPr>
    </w:lvl>
    <w:lvl w:ilvl="6" w:tplc="D81AD740">
      <w:numFmt w:val="bullet"/>
      <w:lvlText w:val="•"/>
      <w:lvlJc w:val="left"/>
      <w:pPr>
        <w:ind w:left="7538" w:hanging="320"/>
      </w:pPr>
      <w:rPr>
        <w:rFonts w:hint="default"/>
        <w:lang w:val="en-GB" w:eastAsia="en-GB" w:bidi="en-GB"/>
      </w:rPr>
    </w:lvl>
    <w:lvl w:ilvl="7" w:tplc="6284B5F0">
      <w:numFmt w:val="bullet"/>
      <w:lvlText w:val="•"/>
      <w:lvlJc w:val="left"/>
      <w:pPr>
        <w:ind w:left="8630" w:hanging="320"/>
      </w:pPr>
      <w:rPr>
        <w:rFonts w:hint="default"/>
        <w:lang w:val="en-GB" w:eastAsia="en-GB" w:bidi="en-GB"/>
      </w:rPr>
    </w:lvl>
    <w:lvl w:ilvl="8" w:tplc="3F005B78">
      <w:numFmt w:val="bullet"/>
      <w:lvlText w:val="•"/>
      <w:lvlJc w:val="left"/>
      <w:pPr>
        <w:ind w:left="9722" w:hanging="320"/>
      </w:pPr>
      <w:rPr>
        <w:rFonts w:hint="default"/>
        <w:lang w:val="en-GB" w:eastAsia="en-GB" w:bidi="en-GB"/>
      </w:rPr>
    </w:lvl>
  </w:abstractNum>
  <w:abstractNum w:abstractNumId="15" w15:restartNumberingAfterBreak="0">
    <w:nsid w:val="2F0B6917"/>
    <w:multiLevelType w:val="hybridMultilevel"/>
    <w:tmpl w:val="D7764A88"/>
    <w:lvl w:ilvl="0" w:tplc="A594AE82">
      <w:numFmt w:val="bullet"/>
      <w:lvlText w:val="•"/>
      <w:lvlJc w:val="left"/>
      <w:pPr>
        <w:ind w:left="1286" w:hanging="360"/>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1" w:tplc="04220003" w:tentative="1">
      <w:start w:val="1"/>
      <w:numFmt w:val="bullet"/>
      <w:lvlText w:val="o"/>
      <w:lvlJc w:val="left"/>
      <w:pPr>
        <w:ind w:left="2006" w:hanging="360"/>
      </w:pPr>
      <w:rPr>
        <w:rFonts w:ascii="Courier New" w:hAnsi="Courier New" w:cs="Courier New" w:hint="default"/>
      </w:rPr>
    </w:lvl>
    <w:lvl w:ilvl="2" w:tplc="04220005" w:tentative="1">
      <w:start w:val="1"/>
      <w:numFmt w:val="bullet"/>
      <w:lvlText w:val=""/>
      <w:lvlJc w:val="left"/>
      <w:pPr>
        <w:ind w:left="2726" w:hanging="360"/>
      </w:pPr>
      <w:rPr>
        <w:rFonts w:ascii="Wingdings" w:hAnsi="Wingdings" w:hint="default"/>
      </w:rPr>
    </w:lvl>
    <w:lvl w:ilvl="3" w:tplc="04220001" w:tentative="1">
      <w:start w:val="1"/>
      <w:numFmt w:val="bullet"/>
      <w:lvlText w:val=""/>
      <w:lvlJc w:val="left"/>
      <w:pPr>
        <w:ind w:left="3446" w:hanging="360"/>
      </w:pPr>
      <w:rPr>
        <w:rFonts w:ascii="Symbol" w:hAnsi="Symbol" w:hint="default"/>
      </w:rPr>
    </w:lvl>
    <w:lvl w:ilvl="4" w:tplc="04220003" w:tentative="1">
      <w:start w:val="1"/>
      <w:numFmt w:val="bullet"/>
      <w:lvlText w:val="o"/>
      <w:lvlJc w:val="left"/>
      <w:pPr>
        <w:ind w:left="4166" w:hanging="360"/>
      </w:pPr>
      <w:rPr>
        <w:rFonts w:ascii="Courier New" w:hAnsi="Courier New" w:cs="Courier New" w:hint="default"/>
      </w:rPr>
    </w:lvl>
    <w:lvl w:ilvl="5" w:tplc="04220005" w:tentative="1">
      <w:start w:val="1"/>
      <w:numFmt w:val="bullet"/>
      <w:lvlText w:val=""/>
      <w:lvlJc w:val="left"/>
      <w:pPr>
        <w:ind w:left="4886" w:hanging="360"/>
      </w:pPr>
      <w:rPr>
        <w:rFonts w:ascii="Wingdings" w:hAnsi="Wingdings" w:hint="default"/>
      </w:rPr>
    </w:lvl>
    <w:lvl w:ilvl="6" w:tplc="04220001" w:tentative="1">
      <w:start w:val="1"/>
      <w:numFmt w:val="bullet"/>
      <w:lvlText w:val=""/>
      <w:lvlJc w:val="left"/>
      <w:pPr>
        <w:ind w:left="5606" w:hanging="360"/>
      </w:pPr>
      <w:rPr>
        <w:rFonts w:ascii="Symbol" w:hAnsi="Symbol" w:hint="default"/>
      </w:rPr>
    </w:lvl>
    <w:lvl w:ilvl="7" w:tplc="04220003" w:tentative="1">
      <w:start w:val="1"/>
      <w:numFmt w:val="bullet"/>
      <w:lvlText w:val="o"/>
      <w:lvlJc w:val="left"/>
      <w:pPr>
        <w:ind w:left="6326" w:hanging="360"/>
      </w:pPr>
      <w:rPr>
        <w:rFonts w:ascii="Courier New" w:hAnsi="Courier New" w:cs="Courier New" w:hint="default"/>
      </w:rPr>
    </w:lvl>
    <w:lvl w:ilvl="8" w:tplc="04220005" w:tentative="1">
      <w:start w:val="1"/>
      <w:numFmt w:val="bullet"/>
      <w:lvlText w:val=""/>
      <w:lvlJc w:val="left"/>
      <w:pPr>
        <w:ind w:left="7046" w:hanging="360"/>
      </w:pPr>
      <w:rPr>
        <w:rFonts w:ascii="Wingdings" w:hAnsi="Wingdings" w:hint="default"/>
      </w:rPr>
    </w:lvl>
  </w:abstractNum>
  <w:abstractNum w:abstractNumId="16" w15:restartNumberingAfterBreak="0">
    <w:nsid w:val="30446E18"/>
    <w:multiLevelType w:val="hybridMultilevel"/>
    <w:tmpl w:val="CC7C3322"/>
    <w:lvl w:ilvl="0" w:tplc="04220001">
      <w:start w:val="1"/>
      <w:numFmt w:val="bullet"/>
      <w:lvlText w:val=""/>
      <w:lvlJc w:val="left"/>
      <w:pPr>
        <w:ind w:left="843" w:hanging="360"/>
      </w:pPr>
      <w:rPr>
        <w:rFonts w:ascii="Symbol" w:hAnsi="Symbol" w:hint="default"/>
      </w:rPr>
    </w:lvl>
    <w:lvl w:ilvl="1" w:tplc="04220003" w:tentative="1">
      <w:start w:val="1"/>
      <w:numFmt w:val="bullet"/>
      <w:lvlText w:val="o"/>
      <w:lvlJc w:val="left"/>
      <w:pPr>
        <w:ind w:left="1563" w:hanging="360"/>
      </w:pPr>
      <w:rPr>
        <w:rFonts w:ascii="Courier New" w:hAnsi="Courier New" w:cs="Courier New" w:hint="default"/>
      </w:rPr>
    </w:lvl>
    <w:lvl w:ilvl="2" w:tplc="04220005" w:tentative="1">
      <w:start w:val="1"/>
      <w:numFmt w:val="bullet"/>
      <w:lvlText w:val=""/>
      <w:lvlJc w:val="left"/>
      <w:pPr>
        <w:ind w:left="2283" w:hanging="360"/>
      </w:pPr>
      <w:rPr>
        <w:rFonts w:ascii="Wingdings" w:hAnsi="Wingdings" w:hint="default"/>
      </w:rPr>
    </w:lvl>
    <w:lvl w:ilvl="3" w:tplc="04220001" w:tentative="1">
      <w:start w:val="1"/>
      <w:numFmt w:val="bullet"/>
      <w:lvlText w:val=""/>
      <w:lvlJc w:val="left"/>
      <w:pPr>
        <w:ind w:left="3003" w:hanging="360"/>
      </w:pPr>
      <w:rPr>
        <w:rFonts w:ascii="Symbol" w:hAnsi="Symbol" w:hint="default"/>
      </w:rPr>
    </w:lvl>
    <w:lvl w:ilvl="4" w:tplc="04220003" w:tentative="1">
      <w:start w:val="1"/>
      <w:numFmt w:val="bullet"/>
      <w:lvlText w:val="o"/>
      <w:lvlJc w:val="left"/>
      <w:pPr>
        <w:ind w:left="3723" w:hanging="360"/>
      </w:pPr>
      <w:rPr>
        <w:rFonts w:ascii="Courier New" w:hAnsi="Courier New" w:cs="Courier New" w:hint="default"/>
      </w:rPr>
    </w:lvl>
    <w:lvl w:ilvl="5" w:tplc="04220005" w:tentative="1">
      <w:start w:val="1"/>
      <w:numFmt w:val="bullet"/>
      <w:lvlText w:val=""/>
      <w:lvlJc w:val="left"/>
      <w:pPr>
        <w:ind w:left="4443" w:hanging="360"/>
      </w:pPr>
      <w:rPr>
        <w:rFonts w:ascii="Wingdings" w:hAnsi="Wingdings" w:hint="default"/>
      </w:rPr>
    </w:lvl>
    <w:lvl w:ilvl="6" w:tplc="04220001" w:tentative="1">
      <w:start w:val="1"/>
      <w:numFmt w:val="bullet"/>
      <w:lvlText w:val=""/>
      <w:lvlJc w:val="left"/>
      <w:pPr>
        <w:ind w:left="5163" w:hanging="360"/>
      </w:pPr>
      <w:rPr>
        <w:rFonts w:ascii="Symbol" w:hAnsi="Symbol" w:hint="default"/>
      </w:rPr>
    </w:lvl>
    <w:lvl w:ilvl="7" w:tplc="04220003" w:tentative="1">
      <w:start w:val="1"/>
      <w:numFmt w:val="bullet"/>
      <w:lvlText w:val="o"/>
      <w:lvlJc w:val="left"/>
      <w:pPr>
        <w:ind w:left="5883" w:hanging="360"/>
      </w:pPr>
      <w:rPr>
        <w:rFonts w:ascii="Courier New" w:hAnsi="Courier New" w:cs="Courier New" w:hint="default"/>
      </w:rPr>
    </w:lvl>
    <w:lvl w:ilvl="8" w:tplc="04220005" w:tentative="1">
      <w:start w:val="1"/>
      <w:numFmt w:val="bullet"/>
      <w:lvlText w:val=""/>
      <w:lvlJc w:val="left"/>
      <w:pPr>
        <w:ind w:left="6603" w:hanging="360"/>
      </w:pPr>
      <w:rPr>
        <w:rFonts w:ascii="Wingdings" w:hAnsi="Wingdings" w:hint="default"/>
      </w:rPr>
    </w:lvl>
  </w:abstractNum>
  <w:abstractNum w:abstractNumId="17" w15:restartNumberingAfterBreak="0">
    <w:nsid w:val="31455472"/>
    <w:multiLevelType w:val="hybridMultilevel"/>
    <w:tmpl w:val="D5E0903C"/>
    <w:lvl w:ilvl="0" w:tplc="F8CEBFC6">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1" w:tplc="B94E91A2">
      <w:numFmt w:val="bullet"/>
      <w:lvlText w:val="•"/>
      <w:lvlJc w:val="left"/>
      <w:pPr>
        <w:ind w:left="1752" w:hanging="284"/>
      </w:pPr>
      <w:rPr>
        <w:rFonts w:hint="default"/>
        <w:lang w:val="en-US" w:eastAsia="en-US" w:bidi="ar-SA"/>
      </w:rPr>
    </w:lvl>
    <w:lvl w:ilvl="2" w:tplc="9A645466">
      <w:numFmt w:val="bullet"/>
      <w:lvlText w:val="•"/>
      <w:lvlJc w:val="left"/>
      <w:pPr>
        <w:ind w:left="2644" w:hanging="284"/>
      </w:pPr>
      <w:rPr>
        <w:rFonts w:hint="default"/>
        <w:lang w:val="en-US" w:eastAsia="en-US" w:bidi="ar-SA"/>
      </w:rPr>
    </w:lvl>
    <w:lvl w:ilvl="3" w:tplc="63C028D6">
      <w:numFmt w:val="bullet"/>
      <w:lvlText w:val="•"/>
      <w:lvlJc w:val="left"/>
      <w:pPr>
        <w:ind w:left="3536" w:hanging="284"/>
      </w:pPr>
      <w:rPr>
        <w:rFonts w:hint="default"/>
        <w:lang w:val="en-US" w:eastAsia="en-US" w:bidi="ar-SA"/>
      </w:rPr>
    </w:lvl>
    <w:lvl w:ilvl="4" w:tplc="DE980564">
      <w:numFmt w:val="bullet"/>
      <w:lvlText w:val="•"/>
      <w:lvlJc w:val="left"/>
      <w:pPr>
        <w:ind w:left="4428" w:hanging="284"/>
      </w:pPr>
      <w:rPr>
        <w:rFonts w:hint="default"/>
        <w:lang w:val="en-US" w:eastAsia="en-US" w:bidi="ar-SA"/>
      </w:rPr>
    </w:lvl>
    <w:lvl w:ilvl="5" w:tplc="28105D08">
      <w:numFmt w:val="bullet"/>
      <w:lvlText w:val="•"/>
      <w:lvlJc w:val="left"/>
      <w:pPr>
        <w:ind w:left="5320" w:hanging="284"/>
      </w:pPr>
      <w:rPr>
        <w:rFonts w:hint="default"/>
        <w:lang w:val="en-US" w:eastAsia="en-US" w:bidi="ar-SA"/>
      </w:rPr>
    </w:lvl>
    <w:lvl w:ilvl="6" w:tplc="62CA608E">
      <w:numFmt w:val="bullet"/>
      <w:lvlText w:val="•"/>
      <w:lvlJc w:val="left"/>
      <w:pPr>
        <w:ind w:left="6212" w:hanging="284"/>
      </w:pPr>
      <w:rPr>
        <w:rFonts w:hint="default"/>
        <w:lang w:val="en-US" w:eastAsia="en-US" w:bidi="ar-SA"/>
      </w:rPr>
    </w:lvl>
    <w:lvl w:ilvl="7" w:tplc="922E8BD6">
      <w:numFmt w:val="bullet"/>
      <w:lvlText w:val="•"/>
      <w:lvlJc w:val="left"/>
      <w:pPr>
        <w:ind w:left="7104" w:hanging="284"/>
      </w:pPr>
      <w:rPr>
        <w:rFonts w:hint="default"/>
        <w:lang w:val="en-US" w:eastAsia="en-US" w:bidi="ar-SA"/>
      </w:rPr>
    </w:lvl>
    <w:lvl w:ilvl="8" w:tplc="105050A2">
      <w:numFmt w:val="bullet"/>
      <w:lvlText w:val="•"/>
      <w:lvlJc w:val="left"/>
      <w:pPr>
        <w:ind w:left="7996" w:hanging="284"/>
      </w:pPr>
      <w:rPr>
        <w:rFonts w:hint="default"/>
        <w:lang w:val="en-US" w:eastAsia="en-US" w:bidi="ar-SA"/>
      </w:rPr>
    </w:lvl>
  </w:abstractNum>
  <w:abstractNum w:abstractNumId="18" w15:restartNumberingAfterBreak="0">
    <w:nsid w:val="33092909"/>
    <w:multiLevelType w:val="hybridMultilevel"/>
    <w:tmpl w:val="EDAA3902"/>
    <w:lvl w:ilvl="0" w:tplc="50680D8E">
      <w:start w:val="1"/>
      <w:numFmt w:val="decimal"/>
      <w:lvlText w:val="%1."/>
      <w:lvlJc w:val="left"/>
      <w:pPr>
        <w:ind w:left="1700" w:hanging="284"/>
      </w:pPr>
      <w:rPr>
        <w:rFonts w:ascii="Calibri" w:eastAsia="Calibri" w:hAnsi="Calibri" w:cs="Calibri" w:hint="default"/>
        <w:w w:val="106"/>
        <w:sz w:val="22"/>
        <w:szCs w:val="22"/>
        <w:lang w:val="en-GB" w:eastAsia="en-GB" w:bidi="en-GB"/>
      </w:rPr>
    </w:lvl>
    <w:lvl w:ilvl="1" w:tplc="4AF4DAE2">
      <w:numFmt w:val="bullet"/>
      <w:lvlText w:val="•"/>
      <w:lvlJc w:val="left"/>
      <w:pPr>
        <w:ind w:left="2720" w:hanging="284"/>
      </w:pPr>
      <w:rPr>
        <w:rFonts w:hint="default"/>
        <w:lang w:val="en-GB" w:eastAsia="en-GB" w:bidi="en-GB"/>
      </w:rPr>
    </w:lvl>
    <w:lvl w:ilvl="2" w:tplc="CCAEC71A">
      <w:numFmt w:val="bullet"/>
      <w:lvlText w:val="•"/>
      <w:lvlJc w:val="left"/>
      <w:pPr>
        <w:ind w:left="3741" w:hanging="284"/>
      </w:pPr>
      <w:rPr>
        <w:rFonts w:hint="default"/>
        <w:lang w:val="en-GB" w:eastAsia="en-GB" w:bidi="en-GB"/>
      </w:rPr>
    </w:lvl>
    <w:lvl w:ilvl="3" w:tplc="BB622E8A">
      <w:numFmt w:val="bullet"/>
      <w:lvlText w:val="•"/>
      <w:lvlJc w:val="left"/>
      <w:pPr>
        <w:ind w:left="4761" w:hanging="284"/>
      </w:pPr>
      <w:rPr>
        <w:rFonts w:hint="default"/>
        <w:lang w:val="en-GB" w:eastAsia="en-GB" w:bidi="en-GB"/>
      </w:rPr>
    </w:lvl>
    <w:lvl w:ilvl="4" w:tplc="B7ACD5FA">
      <w:numFmt w:val="bullet"/>
      <w:lvlText w:val="•"/>
      <w:lvlJc w:val="left"/>
      <w:pPr>
        <w:ind w:left="5782" w:hanging="284"/>
      </w:pPr>
      <w:rPr>
        <w:rFonts w:hint="default"/>
        <w:lang w:val="en-GB" w:eastAsia="en-GB" w:bidi="en-GB"/>
      </w:rPr>
    </w:lvl>
    <w:lvl w:ilvl="5" w:tplc="5F8E2AF6">
      <w:numFmt w:val="bullet"/>
      <w:lvlText w:val="•"/>
      <w:lvlJc w:val="left"/>
      <w:pPr>
        <w:ind w:left="6802" w:hanging="284"/>
      </w:pPr>
      <w:rPr>
        <w:rFonts w:hint="default"/>
        <w:lang w:val="en-GB" w:eastAsia="en-GB" w:bidi="en-GB"/>
      </w:rPr>
    </w:lvl>
    <w:lvl w:ilvl="6" w:tplc="8466CEF0">
      <w:numFmt w:val="bullet"/>
      <w:lvlText w:val="•"/>
      <w:lvlJc w:val="left"/>
      <w:pPr>
        <w:ind w:left="7823" w:hanging="284"/>
      </w:pPr>
      <w:rPr>
        <w:rFonts w:hint="default"/>
        <w:lang w:val="en-GB" w:eastAsia="en-GB" w:bidi="en-GB"/>
      </w:rPr>
    </w:lvl>
    <w:lvl w:ilvl="7" w:tplc="5928AB40">
      <w:numFmt w:val="bullet"/>
      <w:lvlText w:val="•"/>
      <w:lvlJc w:val="left"/>
      <w:pPr>
        <w:ind w:left="8843" w:hanging="284"/>
      </w:pPr>
      <w:rPr>
        <w:rFonts w:hint="default"/>
        <w:lang w:val="en-GB" w:eastAsia="en-GB" w:bidi="en-GB"/>
      </w:rPr>
    </w:lvl>
    <w:lvl w:ilvl="8" w:tplc="2B084128">
      <w:numFmt w:val="bullet"/>
      <w:lvlText w:val="•"/>
      <w:lvlJc w:val="left"/>
      <w:pPr>
        <w:ind w:left="9864" w:hanging="284"/>
      </w:pPr>
      <w:rPr>
        <w:rFonts w:hint="default"/>
        <w:lang w:val="en-GB" w:eastAsia="en-GB" w:bidi="en-GB"/>
      </w:rPr>
    </w:lvl>
  </w:abstractNum>
  <w:abstractNum w:abstractNumId="19" w15:restartNumberingAfterBreak="0">
    <w:nsid w:val="33700BB1"/>
    <w:multiLevelType w:val="hybridMultilevel"/>
    <w:tmpl w:val="591C0590"/>
    <w:lvl w:ilvl="0" w:tplc="C0063E72">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1" w:tplc="02A8374C">
      <w:numFmt w:val="bullet"/>
      <w:lvlText w:val="•"/>
      <w:lvlJc w:val="left"/>
      <w:pPr>
        <w:ind w:left="1752" w:hanging="284"/>
      </w:pPr>
      <w:rPr>
        <w:rFonts w:hint="default"/>
        <w:lang w:val="en-US" w:eastAsia="en-US" w:bidi="ar-SA"/>
      </w:rPr>
    </w:lvl>
    <w:lvl w:ilvl="2" w:tplc="EC10A7A8">
      <w:numFmt w:val="bullet"/>
      <w:lvlText w:val="•"/>
      <w:lvlJc w:val="left"/>
      <w:pPr>
        <w:ind w:left="2644" w:hanging="284"/>
      </w:pPr>
      <w:rPr>
        <w:rFonts w:hint="default"/>
        <w:lang w:val="en-US" w:eastAsia="en-US" w:bidi="ar-SA"/>
      </w:rPr>
    </w:lvl>
    <w:lvl w:ilvl="3" w:tplc="520CFF60">
      <w:numFmt w:val="bullet"/>
      <w:lvlText w:val="•"/>
      <w:lvlJc w:val="left"/>
      <w:pPr>
        <w:ind w:left="3536" w:hanging="284"/>
      </w:pPr>
      <w:rPr>
        <w:rFonts w:hint="default"/>
        <w:lang w:val="en-US" w:eastAsia="en-US" w:bidi="ar-SA"/>
      </w:rPr>
    </w:lvl>
    <w:lvl w:ilvl="4" w:tplc="CCFA2242">
      <w:numFmt w:val="bullet"/>
      <w:lvlText w:val="•"/>
      <w:lvlJc w:val="left"/>
      <w:pPr>
        <w:ind w:left="4428" w:hanging="284"/>
      </w:pPr>
      <w:rPr>
        <w:rFonts w:hint="default"/>
        <w:lang w:val="en-US" w:eastAsia="en-US" w:bidi="ar-SA"/>
      </w:rPr>
    </w:lvl>
    <w:lvl w:ilvl="5" w:tplc="91420FF4">
      <w:numFmt w:val="bullet"/>
      <w:lvlText w:val="•"/>
      <w:lvlJc w:val="left"/>
      <w:pPr>
        <w:ind w:left="5320" w:hanging="284"/>
      </w:pPr>
      <w:rPr>
        <w:rFonts w:hint="default"/>
        <w:lang w:val="en-US" w:eastAsia="en-US" w:bidi="ar-SA"/>
      </w:rPr>
    </w:lvl>
    <w:lvl w:ilvl="6" w:tplc="73BC60F0">
      <w:numFmt w:val="bullet"/>
      <w:lvlText w:val="•"/>
      <w:lvlJc w:val="left"/>
      <w:pPr>
        <w:ind w:left="6212" w:hanging="284"/>
      </w:pPr>
      <w:rPr>
        <w:rFonts w:hint="default"/>
        <w:lang w:val="en-US" w:eastAsia="en-US" w:bidi="ar-SA"/>
      </w:rPr>
    </w:lvl>
    <w:lvl w:ilvl="7" w:tplc="2DE8A246">
      <w:numFmt w:val="bullet"/>
      <w:lvlText w:val="•"/>
      <w:lvlJc w:val="left"/>
      <w:pPr>
        <w:ind w:left="7104" w:hanging="284"/>
      </w:pPr>
      <w:rPr>
        <w:rFonts w:hint="default"/>
        <w:lang w:val="en-US" w:eastAsia="en-US" w:bidi="ar-SA"/>
      </w:rPr>
    </w:lvl>
    <w:lvl w:ilvl="8" w:tplc="C1E63100">
      <w:numFmt w:val="bullet"/>
      <w:lvlText w:val="•"/>
      <w:lvlJc w:val="left"/>
      <w:pPr>
        <w:ind w:left="7996" w:hanging="284"/>
      </w:pPr>
      <w:rPr>
        <w:rFonts w:hint="default"/>
        <w:lang w:val="en-US" w:eastAsia="en-US" w:bidi="ar-SA"/>
      </w:rPr>
    </w:lvl>
  </w:abstractNum>
  <w:abstractNum w:abstractNumId="20" w15:restartNumberingAfterBreak="0">
    <w:nsid w:val="37894653"/>
    <w:multiLevelType w:val="hybridMultilevel"/>
    <w:tmpl w:val="68CE3B38"/>
    <w:lvl w:ilvl="0" w:tplc="1F265FB2">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1" w:tplc="9496A53E">
      <w:numFmt w:val="bullet"/>
      <w:lvlText w:val="•"/>
      <w:lvlJc w:val="left"/>
      <w:pPr>
        <w:ind w:left="1752" w:hanging="284"/>
      </w:pPr>
      <w:rPr>
        <w:rFonts w:hint="default"/>
        <w:lang w:val="en-US" w:eastAsia="en-US" w:bidi="ar-SA"/>
      </w:rPr>
    </w:lvl>
    <w:lvl w:ilvl="2" w:tplc="DB5E681E">
      <w:numFmt w:val="bullet"/>
      <w:lvlText w:val="•"/>
      <w:lvlJc w:val="left"/>
      <w:pPr>
        <w:ind w:left="2644" w:hanging="284"/>
      </w:pPr>
      <w:rPr>
        <w:rFonts w:hint="default"/>
        <w:lang w:val="en-US" w:eastAsia="en-US" w:bidi="ar-SA"/>
      </w:rPr>
    </w:lvl>
    <w:lvl w:ilvl="3" w:tplc="AAD2D30C">
      <w:numFmt w:val="bullet"/>
      <w:lvlText w:val="•"/>
      <w:lvlJc w:val="left"/>
      <w:pPr>
        <w:ind w:left="3536" w:hanging="284"/>
      </w:pPr>
      <w:rPr>
        <w:rFonts w:hint="default"/>
        <w:lang w:val="en-US" w:eastAsia="en-US" w:bidi="ar-SA"/>
      </w:rPr>
    </w:lvl>
    <w:lvl w:ilvl="4" w:tplc="173CD3E8">
      <w:numFmt w:val="bullet"/>
      <w:lvlText w:val="•"/>
      <w:lvlJc w:val="left"/>
      <w:pPr>
        <w:ind w:left="4428" w:hanging="284"/>
      </w:pPr>
      <w:rPr>
        <w:rFonts w:hint="default"/>
        <w:lang w:val="en-US" w:eastAsia="en-US" w:bidi="ar-SA"/>
      </w:rPr>
    </w:lvl>
    <w:lvl w:ilvl="5" w:tplc="E29AEE70">
      <w:numFmt w:val="bullet"/>
      <w:lvlText w:val="•"/>
      <w:lvlJc w:val="left"/>
      <w:pPr>
        <w:ind w:left="5320" w:hanging="284"/>
      </w:pPr>
      <w:rPr>
        <w:rFonts w:hint="default"/>
        <w:lang w:val="en-US" w:eastAsia="en-US" w:bidi="ar-SA"/>
      </w:rPr>
    </w:lvl>
    <w:lvl w:ilvl="6" w:tplc="DF7AD288">
      <w:numFmt w:val="bullet"/>
      <w:lvlText w:val="•"/>
      <w:lvlJc w:val="left"/>
      <w:pPr>
        <w:ind w:left="6212" w:hanging="284"/>
      </w:pPr>
      <w:rPr>
        <w:rFonts w:hint="default"/>
        <w:lang w:val="en-US" w:eastAsia="en-US" w:bidi="ar-SA"/>
      </w:rPr>
    </w:lvl>
    <w:lvl w:ilvl="7" w:tplc="5BFA0E5E">
      <w:numFmt w:val="bullet"/>
      <w:lvlText w:val="•"/>
      <w:lvlJc w:val="left"/>
      <w:pPr>
        <w:ind w:left="7104" w:hanging="284"/>
      </w:pPr>
      <w:rPr>
        <w:rFonts w:hint="default"/>
        <w:lang w:val="en-US" w:eastAsia="en-US" w:bidi="ar-SA"/>
      </w:rPr>
    </w:lvl>
    <w:lvl w:ilvl="8" w:tplc="B33A39F0">
      <w:numFmt w:val="bullet"/>
      <w:lvlText w:val="•"/>
      <w:lvlJc w:val="left"/>
      <w:pPr>
        <w:ind w:left="7996" w:hanging="284"/>
      </w:pPr>
      <w:rPr>
        <w:rFonts w:hint="default"/>
        <w:lang w:val="en-US" w:eastAsia="en-US" w:bidi="ar-SA"/>
      </w:rPr>
    </w:lvl>
  </w:abstractNum>
  <w:abstractNum w:abstractNumId="21" w15:restartNumberingAfterBreak="0">
    <w:nsid w:val="39CB6D41"/>
    <w:multiLevelType w:val="hybridMultilevel"/>
    <w:tmpl w:val="2F16C1BC"/>
    <w:lvl w:ilvl="0" w:tplc="B9847D54">
      <w:numFmt w:val="bullet"/>
      <w:lvlText w:val="•"/>
      <w:lvlJc w:val="left"/>
      <w:pPr>
        <w:ind w:left="1700" w:hanging="284"/>
      </w:pPr>
      <w:rPr>
        <w:rFonts w:ascii="Calibri" w:eastAsia="Calibri" w:hAnsi="Calibri" w:cs="Calibri" w:hint="default"/>
        <w:color w:val="0C8140"/>
        <w:w w:val="98"/>
        <w:sz w:val="22"/>
        <w:szCs w:val="22"/>
        <w:lang w:val="en-GB" w:eastAsia="en-GB" w:bidi="en-GB"/>
      </w:rPr>
    </w:lvl>
    <w:lvl w:ilvl="1" w:tplc="79BA4786">
      <w:numFmt w:val="bullet"/>
      <w:lvlText w:val="–"/>
      <w:lvlJc w:val="left"/>
      <w:pPr>
        <w:ind w:left="2077" w:hanging="320"/>
      </w:pPr>
      <w:rPr>
        <w:rFonts w:ascii="Calibri" w:eastAsia="Calibri" w:hAnsi="Calibri" w:cs="Calibri" w:hint="default"/>
        <w:color w:val="0C8140"/>
        <w:w w:val="96"/>
        <w:sz w:val="22"/>
        <w:szCs w:val="22"/>
        <w:lang w:val="en-GB" w:eastAsia="en-GB" w:bidi="en-GB"/>
      </w:rPr>
    </w:lvl>
    <w:lvl w:ilvl="2" w:tplc="33D6016A">
      <w:numFmt w:val="bullet"/>
      <w:lvlText w:val="•"/>
      <w:lvlJc w:val="left"/>
      <w:pPr>
        <w:ind w:left="3171" w:hanging="320"/>
      </w:pPr>
      <w:rPr>
        <w:rFonts w:hint="default"/>
        <w:lang w:val="en-GB" w:eastAsia="en-GB" w:bidi="en-GB"/>
      </w:rPr>
    </w:lvl>
    <w:lvl w:ilvl="3" w:tplc="AB0451CE">
      <w:numFmt w:val="bullet"/>
      <w:lvlText w:val="•"/>
      <w:lvlJc w:val="left"/>
      <w:pPr>
        <w:ind w:left="4263" w:hanging="320"/>
      </w:pPr>
      <w:rPr>
        <w:rFonts w:hint="default"/>
        <w:lang w:val="en-GB" w:eastAsia="en-GB" w:bidi="en-GB"/>
      </w:rPr>
    </w:lvl>
    <w:lvl w:ilvl="4" w:tplc="9CE0C0BC">
      <w:numFmt w:val="bullet"/>
      <w:lvlText w:val="•"/>
      <w:lvlJc w:val="left"/>
      <w:pPr>
        <w:ind w:left="5355" w:hanging="320"/>
      </w:pPr>
      <w:rPr>
        <w:rFonts w:hint="default"/>
        <w:lang w:val="en-GB" w:eastAsia="en-GB" w:bidi="en-GB"/>
      </w:rPr>
    </w:lvl>
    <w:lvl w:ilvl="5" w:tplc="7A14F296">
      <w:numFmt w:val="bullet"/>
      <w:lvlText w:val="•"/>
      <w:lvlJc w:val="left"/>
      <w:pPr>
        <w:ind w:left="6446" w:hanging="320"/>
      </w:pPr>
      <w:rPr>
        <w:rFonts w:hint="default"/>
        <w:lang w:val="en-GB" w:eastAsia="en-GB" w:bidi="en-GB"/>
      </w:rPr>
    </w:lvl>
    <w:lvl w:ilvl="6" w:tplc="15C2F5A8">
      <w:numFmt w:val="bullet"/>
      <w:lvlText w:val="•"/>
      <w:lvlJc w:val="left"/>
      <w:pPr>
        <w:ind w:left="7538" w:hanging="320"/>
      </w:pPr>
      <w:rPr>
        <w:rFonts w:hint="default"/>
        <w:lang w:val="en-GB" w:eastAsia="en-GB" w:bidi="en-GB"/>
      </w:rPr>
    </w:lvl>
    <w:lvl w:ilvl="7" w:tplc="B2C82202">
      <w:numFmt w:val="bullet"/>
      <w:lvlText w:val="•"/>
      <w:lvlJc w:val="left"/>
      <w:pPr>
        <w:ind w:left="8630" w:hanging="320"/>
      </w:pPr>
      <w:rPr>
        <w:rFonts w:hint="default"/>
        <w:lang w:val="en-GB" w:eastAsia="en-GB" w:bidi="en-GB"/>
      </w:rPr>
    </w:lvl>
    <w:lvl w:ilvl="8" w:tplc="02DC2754">
      <w:numFmt w:val="bullet"/>
      <w:lvlText w:val="•"/>
      <w:lvlJc w:val="left"/>
      <w:pPr>
        <w:ind w:left="9722" w:hanging="320"/>
      </w:pPr>
      <w:rPr>
        <w:rFonts w:hint="default"/>
        <w:lang w:val="en-GB" w:eastAsia="en-GB" w:bidi="en-GB"/>
      </w:rPr>
    </w:lvl>
  </w:abstractNum>
  <w:abstractNum w:abstractNumId="22" w15:restartNumberingAfterBreak="0">
    <w:nsid w:val="3E213FAC"/>
    <w:multiLevelType w:val="multilevel"/>
    <w:tmpl w:val="630651CA"/>
    <w:lvl w:ilvl="0">
      <w:start w:val="1"/>
      <w:numFmt w:val="decimal"/>
      <w:lvlText w:val="%1."/>
      <w:lvlJc w:val="left"/>
      <w:pPr>
        <w:ind w:left="1202" w:hanging="636"/>
      </w:pPr>
      <w:rPr>
        <w:rFonts w:ascii="Microsoft Sans Serif" w:eastAsia="Microsoft Sans Serif" w:hAnsi="Microsoft Sans Serif" w:cs="Microsoft Sans Serif" w:hint="default"/>
        <w:b w:val="0"/>
        <w:bCs w:val="0"/>
        <w:i w:val="0"/>
        <w:iCs w:val="0"/>
        <w:color w:val="019648"/>
        <w:spacing w:val="-37"/>
        <w:w w:val="85"/>
        <w:sz w:val="64"/>
        <w:szCs w:val="64"/>
        <w:lang w:val="en-US" w:eastAsia="en-US" w:bidi="ar-SA"/>
      </w:rPr>
    </w:lvl>
    <w:lvl w:ilvl="1">
      <w:start w:val="1"/>
      <w:numFmt w:val="decimal"/>
      <w:lvlText w:val="%1.%2."/>
      <w:lvlJc w:val="left"/>
      <w:pPr>
        <w:ind w:left="567" w:hanging="681"/>
      </w:pPr>
      <w:rPr>
        <w:rFonts w:hint="default"/>
        <w:spacing w:val="-33"/>
        <w:w w:val="89"/>
        <w:lang w:val="en-US" w:eastAsia="en-US" w:bidi="ar-SA"/>
      </w:rPr>
    </w:lvl>
    <w:lvl w:ilvl="2">
      <w:start w:val="1"/>
      <w:numFmt w:val="decimal"/>
      <w:lvlText w:val="%1.%2.%3"/>
      <w:lvlJc w:val="left"/>
      <w:pPr>
        <w:ind w:left="567" w:hanging="681"/>
      </w:pPr>
      <w:rPr>
        <w:rFonts w:hint="default"/>
        <w:spacing w:val="-24"/>
        <w:w w:val="89"/>
        <w:sz w:val="26"/>
        <w:szCs w:val="26"/>
        <w:lang w:val="uk-UA" w:eastAsia="en-US" w:bidi="ar-SA"/>
      </w:rPr>
    </w:lvl>
    <w:lvl w:ilvl="3">
      <w:numFmt w:val="bullet"/>
      <w:lvlText w:val="•"/>
      <w:lvlJc w:val="left"/>
      <w:pPr>
        <w:ind w:left="850" w:hanging="681"/>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4">
      <w:numFmt w:val="bullet"/>
      <w:lvlText w:val="–"/>
      <w:lvlJc w:val="left"/>
      <w:pPr>
        <w:ind w:left="1227" w:hanging="681"/>
      </w:pPr>
      <w:rPr>
        <w:rFonts w:ascii="Microsoft Sans Serif" w:eastAsia="Microsoft Sans Serif" w:hAnsi="Microsoft Sans Serif" w:cs="Microsoft Sans Serif" w:hint="default"/>
        <w:spacing w:val="0"/>
        <w:w w:val="170"/>
        <w:lang w:val="en-US" w:eastAsia="en-US" w:bidi="ar-SA"/>
      </w:rPr>
    </w:lvl>
    <w:lvl w:ilvl="5">
      <w:numFmt w:val="bullet"/>
      <w:lvlText w:val="•"/>
      <w:lvlJc w:val="left"/>
      <w:pPr>
        <w:ind w:left="1300" w:hanging="681"/>
      </w:pPr>
      <w:rPr>
        <w:rFonts w:hint="default"/>
        <w:lang w:val="en-US" w:eastAsia="en-US" w:bidi="ar-SA"/>
      </w:rPr>
    </w:lvl>
    <w:lvl w:ilvl="6">
      <w:numFmt w:val="bullet"/>
      <w:lvlText w:val="•"/>
      <w:lvlJc w:val="left"/>
      <w:pPr>
        <w:ind w:left="2996" w:hanging="681"/>
      </w:pPr>
      <w:rPr>
        <w:rFonts w:hint="default"/>
        <w:lang w:val="en-US" w:eastAsia="en-US" w:bidi="ar-SA"/>
      </w:rPr>
    </w:lvl>
    <w:lvl w:ilvl="7">
      <w:numFmt w:val="bullet"/>
      <w:lvlText w:val="•"/>
      <w:lvlJc w:val="left"/>
      <w:pPr>
        <w:ind w:left="4692" w:hanging="681"/>
      </w:pPr>
      <w:rPr>
        <w:rFonts w:hint="default"/>
        <w:lang w:val="en-US" w:eastAsia="en-US" w:bidi="ar-SA"/>
      </w:rPr>
    </w:lvl>
    <w:lvl w:ilvl="8">
      <w:numFmt w:val="bullet"/>
      <w:lvlText w:val="•"/>
      <w:lvlJc w:val="left"/>
      <w:pPr>
        <w:ind w:left="6388" w:hanging="681"/>
      </w:pPr>
      <w:rPr>
        <w:rFonts w:hint="default"/>
        <w:lang w:val="en-US" w:eastAsia="en-US" w:bidi="ar-SA"/>
      </w:rPr>
    </w:lvl>
  </w:abstractNum>
  <w:abstractNum w:abstractNumId="23" w15:restartNumberingAfterBreak="0">
    <w:nsid w:val="429646FD"/>
    <w:multiLevelType w:val="hybridMultilevel"/>
    <w:tmpl w:val="3AB24F28"/>
    <w:lvl w:ilvl="0" w:tplc="1BBEB1E2">
      <w:numFmt w:val="bullet"/>
      <w:lvlText w:val="•"/>
      <w:lvlJc w:val="left"/>
      <w:pPr>
        <w:ind w:left="1700" w:hanging="284"/>
      </w:pPr>
      <w:rPr>
        <w:rFonts w:ascii="Calibri" w:eastAsia="Calibri" w:hAnsi="Calibri" w:cs="Calibri" w:hint="default"/>
        <w:color w:val="0C8140"/>
        <w:w w:val="98"/>
        <w:sz w:val="22"/>
        <w:szCs w:val="22"/>
        <w:lang w:val="en-GB" w:eastAsia="en-GB" w:bidi="en-GB"/>
      </w:rPr>
    </w:lvl>
    <w:lvl w:ilvl="1" w:tplc="E2709E02">
      <w:numFmt w:val="bullet"/>
      <w:lvlText w:val="–"/>
      <w:lvlJc w:val="left"/>
      <w:pPr>
        <w:ind w:left="2077" w:hanging="320"/>
      </w:pPr>
      <w:rPr>
        <w:rFonts w:ascii="Calibri" w:eastAsia="Calibri" w:hAnsi="Calibri" w:cs="Calibri" w:hint="default"/>
        <w:color w:val="0C8140"/>
        <w:w w:val="100"/>
        <w:sz w:val="22"/>
        <w:szCs w:val="22"/>
        <w:lang w:val="en-GB" w:eastAsia="en-GB" w:bidi="en-GB"/>
      </w:rPr>
    </w:lvl>
    <w:lvl w:ilvl="2" w:tplc="61C40992">
      <w:numFmt w:val="bullet"/>
      <w:lvlText w:val="•"/>
      <w:lvlJc w:val="left"/>
      <w:pPr>
        <w:ind w:left="3171" w:hanging="320"/>
      </w:pPr>
      <w:rPr>
        <w:rFonts w:hint="default"/>
        <w:lang w:val="en-GB" w:eastAsia="en-GB" w:bidi="en-GB"/>
      </w:rPr>
    </w:lvl>
    <w:lvl w:ilvl="3" w:tplc="A5F2AF08">
      <w:numFmt w:val="bullet"/>
      <w:lvlText w:val="•"/>
      <w:lvlJc w:val="left"/>
      <w:pPr>
        <w:ind w:left="4263" w:hanging="320"/>
      </w:pPr>
      <w:rPr>
        <w:rFonts w:hint="default"/>
        <w:lang w:val="en-GB" w:eastAsia="en-GB" w:bidi="en-GB"/>
      </w:rPr>
    </w:lvl>
    <w:lvl w:ilvl="4" w:tplc="63F414C2">
      <w:numFmt w:val="bullet"/>
      <w:lvlText w:val="•"/>
      <w:lvlJc w:val="left"/>
      <w:pPr>
        <w:ind w:left="5355" w:hanging="320"/>
      </w:pPr>
      <w:rPr>
        <w:rFonts w:hint="default"/>
        <w:lang w:val="en-GB" w:eastAsia="en-GB" w:bidi="en-GB"/>
      </w:rPr>
    </w:lvl>
    <w:lvl w:ilvl="5" w:tplc="C9009A70">
      <w:numFmt w:val="bullet"/>
      <w:lvlText w:val="•"/>
      <w:lvlJc w:val="left"/>
      <w:pPr>
        <w:ind w:left="6446" w:hanging="320"/>
      </w:pPr>
      <w:rPr>
        <w:rFonts w:hint="default"/>
        <w:lang w:val="en-GB" w:eastAsia="en-GB" w:bidi="en-GB"/>
      </w:rPr>
    </w:lvl>
    <w:lvl w:ilvl="6" w:tplc="3390846A">
      <w:numFmt w:val="bullet"/>
      <w:lvlText w:val="•"/>
      <w:lvlJc w:val="left"/>
      <w:pPr>
        <w:ind w:left="7538" w:hanging="320"/>
      </w:pPr>
      <w:rPr>
        <w:rFonts w:hint="default"/>
        <w:lang w:val="en-GB" w:eastAsia="en-GB" w:bidi="en-GB"/>
      </w:rPr>
    </w:lvl>
    <w:lvl w:ilvl="7" w:tplc="76C00442">
      <w:numFmt w:val="bullet"/>
      <w:lvlText w:val="•"/>
      <w:lvlJc w:val="left"/>
      <w:pPr>
        <w:ind w:left="8630" w:hanging="320"/>
      </w:pPr>
      <w:rPr>
        <w:rFonts w:hint="default"/>
        <w:lang w:val="en-GB" w:eastAsia="en-GB" w:bidi="en-GB"/>
      </w:rPr>
    </w:lvl>
    <w:lvl w:ilvl="8" w:tplc="90E0753E">
      <w:numFmt w:val="bullet"/>
      <w:lvlText w:val="•"/>
      <w:lvlJc w:val="left"/>
      <w:pPr>
        <w:ind w:left="9722" w:hanging="320"/>
      </w:pPr>
      <w:rPr>
        <w:rFonts w:hint="default"/>
        <w:lang w:val="en-GB" w:eastAsia="en-GB" w:bidi="en-GB"/>
      </w:rPr>
    </w:lvl>
  </w:abstractNum>
  <w:abstractNum w:abstractNumId="24" w15:restartNumberingAfterBreak="0">
    <w:nsid w:val="447C0C70"/>
    <w:multiLevelType w:val="hybridMultilevel"/>
    <w:tmpl w:val="BCAE08F4"/>
    <w:lvl w:ilvl="0" w:tplc="C6D696BE">
      <w:start w:val="1"/>
      <w:numFmt w:val="decimal"/>
      <w:lvlText w:val="%1."/>
      <w:lvlJc w:val="left"/>
      <w:pPr>
        <w:ind w:left="1700" w:hanging="284"/>
      </w:pPr>
      <w:rPr>
        <w:rFonts w:ascii="Calibri" w:eastAsia="Calibri" w:hAnsi="Calibri" w:cs="Calibri" w:hint="default"/>
        <w:w w:val="106"/>
        <w:sz w:val="22"/>
        <w:szCs w:val="22"/>
        <w:lang w:val="en-GB" w:eastAsia="en-GB" w:bidi="en-GB"/>
      </w:rPr>
    </w:lvl>
    <w:lvl w:ilvl="1" w:tplc="770A1B54">
      <w:numFmt w:val="bullet"/>
      <w:lvlText w:val="–"/>
      <w:lvlJc w:val="left"/>
      <w:pPr>
        <w:ind w:left="2077" w:hanging="320"/>
      </w:pPr>
      <w:rPr>
        <w:rFonts w:ascii="Calibri" w:eastAsia="Calibri" w:hAnsi="Calibri" w:cs="Calibri" w:hint="default"/>
        <w:color w:val="0C8140"/>
        <w:w w:val="100"/>
        <w:sz w:val="22"/>
        <w:szCs w:val="22"/>
        <w:lang w:val="en-GB" w:eastAsia="en-GB" w:bidi="en-GB"/>
      </w:rPr>
    </w:lvl>
    <w:lvl w:ilvl="2" w:tplc="AFCA541C">
      <w:numFmt w:val="bullet"/>
      <w:lvlText w:val="•"/>
      <w:lvlJc w:val="left"/>
      <w:pPr>
        <w:ind w:left="3171" w:hanging="320"/>
      </w:pPr>
      <w:rPr>
        <w:rFonts w:hint="default"/>
        <w:lang w:val="en-GB" w:eastAsia="en-GB" w:bidi="en-GB"/>
      </w:rPr>
    </w:lvl>
    <w:lvl w:ilvl="3" w:tplc="14AEA126">
      <w:numFmt w:val="bullet"/>
      <w:lvlText w:val="•"/>
      <w:lvlJc w:val="left"/>
      <w:pPr>
        <w:ind w:left="4263" w:hanging="320"/>
      </w:pPr>
      <w:rPr>
        <w:rFonts w:hint="default"/>
        <w:lang w:val="en-GB" w:eastAsia="en-GB" w:bidi="en-GB"/>
      </w:rPr>
    </w:lvl>
    <w:lvl w:ilvl="4" w:tplc="B6E60C32">
      <w:numFmt w:val="bullet"/>
      <w:lvlText w:val="•"/>
      <w:lvlJc w:val="left"/>
      <w:pPr>
        <w:ind w:left="5355" w:hanging="320"/>
      </w:pPr>
      <w:rPr>
        <w:rFonts w:hint="default"/>
        <w:lang w:val="en-GB" w:eastAsia="en-GB" w:bidi="en-GB"/>
      </w:rPr>
    </w:lvl>
    <w:lvl w:ilvl="5" w:tplc="2A5C777E">
      <w:numFmt w:val="bullet"/>
      <w:lvlText w:val="•"/>
      <w:lvlJc w:val="left"/>
      <w:pPr>
        <w:ind w:left="6446" w:hanging="320"/>
      </w:pPr>
      <w:rPr>
        <w:rFonts w:hint="default"/>
        <w:lang w:val="en-GB" w:eastAsia="en-GB" w:bidi="en-GB"/>
      </w:rPr>
    </w:lvl>
    <w:lvl w:ilvl="6" w:tplc="921E033E">
      <w:numFmt w:val="bullet"/>
      <w:lvlText w:val="•"/>
      <w:lvlJc w:val="left"/>
      <w:pPr>
        <w:ind w:left="7538" w:hanging="320"/>
      </w:pPr>
      <w:rPr>
        <w:rFonts w:hint="default"/>
        <w:lang w:val="en-GB" w:eastAsia="en-GB" w:bidi="en-GB"/>
      </w:rPr>
    </w:lvl>
    <w:lvl w:ilvl="7" w:tplc="A2CAC23A">
      <w:numFmt w:val="bullet"/>
      <w:lvlText w:val="•"/>
      <w:lvlJc w:val="left"/>
      <w:pPr>
        <w:ind w:left="8630" w:hanging="320"/>
      </w:pPr>
      <w:rPr>
        <w:rFonts w:hint="default"/>
        <w:lang w:val="en-GB" w:eastAsia="en-GB" w:bidi="en-GB"/>
      </w:rPr>
    </w:lvl>
    <w:lvl w:ilvl="8" w:tplc="D1E26A2C">
      <w:numFmt w:val="bullet"/>
      <w:lvlText w:val="•"/>
      <w:lvlJc w:val="left"/>
      <w:pPr>
        <w:ind w:left="9722" w:hanging="320"/>
      </w:pPr>
      <w:rPr>
        <w:rFonts w:hint="default"/>
        <w:lang w:val="en-GB" w:eastAsia="en-GB" w:bidi="en-GB"/>
      </w:rPr>
    </w:lvl>
  </w:abstractNum>
  <w:abstractNum w:abstractNumId="25" w15:restartNumberingAfterBreak="0">
    <w:nsid w:val="482F024B"/>
    <w:multiLevelType w:val="hybridMultilevel"/>
    <w:tmpl w:val="29AACB0A"/>
    <w:lvl w:ilvl="0" w:tplc="D28E3620">
      <w:numFmt w:val="bullet"/>
      <w:lvlText w:val=""/>
      <w:lvlJc w:val="left"/>
      <w:pPr>
        <w:ind w:left="290" w:hanging="171"/>
      </w:pPr>
      <w:rPr>
        <w:rFonts w:ascii="Wingdings" w:eastAsia="Wingdings" w:hAnsi="Wingdings" w:cs="Wingdings" w:hint="default"/>
        <w:b w:val="0"/>
        <w:bCs w:val="0"/>
        <w:i w:val="0"/>
        <w:iCs w:val="0"/>
        <w:spacing w:val="0"/>
        <w:w w:val="100"/>
        <w:sz w:val="22"/>
        <w:szCs w:val="22"/>
        <w:lang w:val="en-US" w:eastAsia="en-US" w:bidi="ar-SA"/>
      </w:rPr>
    </w:lvl>
    <w:lvl w:ilvl="1" w:tplc="EE68C23A">
      <w:numFmt w:val="bullet"/>
      <w:lvlText w:val="•"/>
      <w:lvlJc w:val="left"/>
      <w:pPr>
        <w:ind w:left="432" w:hanging="171"/>
      </w:pPr>
      <w:rPr>
        <w:rFonts w:hint="default"/>
        <w:lang w:val="en-US" w:eastAsia="en-US" w:bidi="ar-SA"/>
      </w:rPr>
    </w:lvl>
    <w:lvl w:ilvl="2" w:tplc="C8E0B2EC">
      <w:numFmt w:val="bullet"/>
      <w:lvlText w:val="•"/>
      <w:lvlJc w:val="left"/>
      <w:pPr>
        <w:ind w:left="564" w:hanging="171"/>
      </w:pPr>
      <w:rPr>
        <w:rFonts w:hint="default"/>
        <w:lang w:val="en-US" w:eastAsia="en-US" w:bidi="ar-SA"/>
      </w:rPr>
    </w:lvl>
    <w:lvl w:ilvl="3" w:tplc="894EE6B2">
      <w:numFmt w:val="bullet"/>
      <w:lvlText w:val="•"/>
      <w:lvlJc w:val="left"/>
      <w:pPr>
        <w:ind w:left="696" w:hanging="171"/>
      </w:pPr>
      <w:rPr>
        <w:rFonts w:hint="default"/>
        <w:lang w:val="en-US" w:eastAsia="en-US" w:bidi="ar-SA"/>
      </w:rPr>
    </w:lvl>
    <w:lvl w:ilvl="4" w:tplc="F07EA32A">
      <w:numFmt w:val="bullet"/>
      <w:lvlText w:val="•"/>
      <w:lvlJc w:val="left"/>
      <w:pPr>
        <w:ind w:left="828" w:hanging="171"/>
      </w:pPr>
      <w:rPr>
        <w:rFonts w:hint="default"/>
        <w:lang w:val="en-US" w:eastAsia="en-US" w:bidi="ar-SA"/>
      </w:rPr>
    </w:lvl>
    <w:lvl w:ilvl="5" w:tplc="2C5C21C2">
      <w:numFmt w:val="bullet"/>
      <w:lvlText w:val="•"/>
      <w:lvlJc w:val="left"/>
      <w:pPr>
        <w:ind w:left="960" w:hanging="171"/>
      </w:pPr>
      <w:rPr>
        <w:rFonts w:hint="default"/>
        <w:lang w:val="en-US" w:eastAsia="en-US" w:bidi="ar-SA"/>
      </w:rPr>
    </w:lvl>
    <w:lvl w:ilvl="6" w:tplc="66204814">
      <w:numFmt w:val="bullet"/>
      <w:lvlText w:val="•"/>
      <w:lvlJc w:val="left"/>
      <w:pPr>
        <w:ind w:left="1092" w:hanging="171"/>
      </w:pPr>
      <w:rPr>
        <w:rFonts w:hint="default"/>
        <w:lang w:val="en-US" w:eastAsia="en-US" w:bidi="ar-SA"/>
      </w:rPr>
    </w:lvl>
    <w:lvl w:ilvl="7" w:tplc="9E78F160">
      <w:numFmt w:val="bullet"/>
      <w:lvlText w:val="•"/>
      <w:lvlJc w:val="left"/>
      <w:pPr>
        <w:ind w:left="1224" w:hanging="171"/>
      </w:pPr>
      <w:rPr>
        <w:rFonts w:hint="default"/>
        <w:lang w:val="en-US" w:eastAsia="en-US" w:bidi="ar-SA"/>
      </w:rPr>
    </w:lvl>
    <w:lvl w:ilvl="8" w:tplc="A2BEFABA">
      <w:numFmt w:val="bullet"/>
      <w:lvlText w:val="•"/>
      <w:lvlJc w:val="left"/>
      <w:pPr>
        <w:ind w:left="1356" w:hanging="171"/>
      </w:pPr>
      <w:rPr>
        <w:rFonts w:hint="default"/>
        <w:lang w:val="en-US" w:eastAsia="en-US" w:bidi="ar-SA"/>
      </w:rPr>
    </w:lvl>
  </w:abstractNum>
  <w:abstractNum w:abstractNumId="26" w15:restartNumberingAfterBreak="0">
    <w:nsid w:val="485116D6"/>
    <w:multiLevelType w:val="hybridMultilevel"/>
    <w:tmpl w:val="AC0CBF58"/>
    <w:lvl w:ilvl="0" w:tplc="2436A868">
      <w:start w:val="1"/>
      <w:numFmt w:val="decimal"/>
      <w:lvlText w:val="%1."/>
      <w:lvlJc w:val="left"/>
      <w:pPr>
        <w:ind w:left="1700" w:hanging="284"/>
      </w:pPr>
      <w:rPr>
        <w:rFonts w:ascii="Calibri" w:eastAsia="Calibri" w:hAnsi="Calibri" w:cs="Calibri" w:hint="default"/>
        <w:b/>
        <w:bCs/>
        <w:w w:val="110"/>
        <w:sz w:val="22"/>
        <w:szCs w:val="22"/>
        <w:lang w:val="en-GB" w:eastAsia="en-GB" w:bidi="en-GB"/>
      </w:rPr>
    </w:lvl>
    <w:lvl w:ilvl="1" w:tplc="1BB68042">
      <w:numFmt w:val="bullet"/>
      <w:lvlText w:val="•"/>
      <w:lvlJc w:val="left"/>
      <w:pPr>
        <w:ind w:left="2720" w:hanging="284"/>
      </w:pPr>
      <w:rPr>
        <w:rFonts w:hint="default"/>
        <w:lang w:val="en-GB" w:eastAsia="en-GB" w:bidi="en-GB"/>
      </w:rPr>
    </w:lvl>
    <w:lvl w:ilvl="2" w:tplc="D320329A">
      <w:numFmt w:val="bullet"/>
      <w:lvlText w:val="•"/>
      <w:lvlJc w:val="left"/>
      <w:pPr>
        <w:ind w:left="3741" w:hanging="284"/>
      </w:pPr>
      <w:rPr>
        <w:rFonts w:hint="default"/>
        <w:lang w:val="en-GB" w:eastAsia="en-GB" w:bidi="en-GB"/>
      </w:rPr>
    </w:lvl>
    <w:lvl w:ilvl="3" w:tplc="CDAE20C2">
      <w:numFmt w:val="bullet"/>
      <w:lvlText w:val="•"/>
      <w:lvlJc w:val="left"/>
      <w:pPr>
        <w:ind w:left="4761" w:hanging="284"/>
      </w:pPr>
      <w:rPr>
        <w:rFonts w:hint="default"/>
        <w:lang w:val="en-GB" w:eastAsia="en-GB" w:bidi="en-GB"/>
      </w:rPr>
    </w:lvl>
    <w:lvl w:ilvl="4" w:tplc="2392F2D6">
      <w:numFmt w:val="bullet"/>
      <w:lvlText w:val="•"/>
      <w:lvlJc w:val="left"/>
      <w:pPr>
        <w:ind w:left="5782" w:hanging="284"/>
      </w:pPr>
      <w:rPr>
        <w:rFonts w:hint="default"/>
        <w:lang w:val="en-GB" w:eastAsia="en-GB" w:bidi="en-GB"/>
      </w:rPr>
    </w:lvl>
    <w:lvl w:ilvl="5" w:tplc="8BBAE85A">
      <w:numFmt w:val="bullet"/>
      <w:lvlText w:val="•"/>
      <w:lvlJc w:val="left"/>
      <w:pPr>
        <w:ind w:left="6802" w:hanging="284"/>
      </w:pPr>
      <w:rPr>
        <w:rFonts w:hint="default"/>
        <w:lang w:val="en-GB" w:eastAsia="en-GB" w:bidi="en-GB"/>
      </w:rPr>
    </w:lvl>
    <w:lvl w:ilvl="6" w:tplc="5CFA7A38">
      <w:numFmt w:val="bullet"/>
      <w:lvlText w:val="•"/>
      <w:lvlJc w:val="left"/>
      <w:pPr>
        <w:ind w:left="7823" w:hanging="284"/>
      </w:pPr>
      <w:rPr>
        <w:rFonts w:hint="default"/>
        <w:lang w:val="en-GB" w:eastAsia="en-GB" w:bidi="en-GB"/>
      </w:rPr>
    </w:lvl>
    <w:lvl w:ilvl="7" w:tplc="5CF23586">
      <w:numFmt w:val="bullet"/>
      <w:lvlText w:val="•"/>
      <w:lvlJc w:val="left"/>
      <w:pPr>
        <w:ind w:left="8843" w:hanging="284"/>
      </w:pPr>
      <w:rPr>
        <w:rFonts w:hint="default"/>
        <w:lang w:val="en-GB" w:eastAsia="en-GB" w:bidi="en-GB"/>
      </w:rPr>
    </w:lvl>
    <w:lvl w:ilvl="8" w:tplc="BB16D838">
      <w:numFmt w:val="bullet"/>
      <w:lvlText w:val="•"/>
      <w:lvlJc w:val="left"/>
      <w:pPr>
        <w:ind w:left="9864" w:hanging="284"/>
      </w:pPr>
      <w:rPr>
        <w:rFonts w:hint="default"/>
        <w:lang w:val="en-GB" w:eastAsia="en-GB" w:bidi="en-GB"/>
      </w:rPr>
    </w:lvl>
  </w:abstractNum>
  <w:abstractNum w:abstractNumId="27" w15:restartNumberingAfterBreak="0">
    <w:nsid w:val="4B0F54D3"/>
    <w:multiLevelType w:val="hybridMultilevel"/>
    <w:tmpl w:val="BCE2D8F2"/>
    <w:lvl w:ilvl="0" w:tplc="6B38A016">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1" w:tplc="D4264908">
      <w:numFmt w:val="bullet"/>
      <w:lvlText w:val="•"/>
      <w:lvlJc w:val="left"/>
      <w:pPr>
        <w:ind w:left="1752" w:hanging="284"/>
      </w:pPr>
      <w:rPr>
        <w:rFonts w:hint="default"/>
        <w:lang w:val="en-US" w:eastAsia="en-US" w:bidi="ar-SA"/>
      </w:rPr>
    </w:lvl>
    <w:lvl w:ilvl="2" w:tplc="495E19A0">
      <w:numFmt w:val="bullet"/>
      <w:lvlText w:val="•"/>
      <w:lvlJc w:val="left"/>
      <w:pPr>
        <w:ind w:left="2644" w:hanging="284"/>
      </w:pPr>
      <w:rPr>
        <w:rFonts w:hint="default"/>
        <w:lang w:val="en-US" w:eastAsia="en-US" w:bidi="ar-SA"/>
      </w:rPr>
    </w:lvl>
    <w:lvl w:ilvl="3" w:tplc="975898E6">
      <w:numFmt w:val="bullet"/>
      <w:lvlText w:val="•"/>
      <w:lvlJc w:val="left"/>
      <w:pPr>
        <w:ind w:left="3536" w:hanging="284"/>
      </w:pPr>
      <w:rPr>
        <w:rFonts w:hint="default"/>
        <w:lang w:val="en-US" w:eastAsia="en-US" w:bidi="ar-SA"/>
      </w:rPr>
    </w:lvl>
    <w:lvl w:ilvl="4" w:tplc="4B542D16">
      <w:numFmt w:val="bullet"/>
      <w:lvlText w:val="•"/>
      <w:lvlJc w:val="left"/>
      <w:pPr>
        <w:ind w:left="4428" w:hanging="284"/>
      </w:pPr>
      <w:rPr>
        <w:rFonts w:hint="default"/>
        <w:lang w:val="en-US" w:eastAsia="en-US" w:bidi="ar-SA"/>
      </w:rPr>
    </w:lvl>
    <w:lvl w:ilvl="5" w:tplc="31ECAD36">
      <w:numFmt w:val="bullet"/>
      <w:lvlText w:val="•"/>
      <w:lvlJc w:val="left"/>
      <w:pPr>
        <w:ind w:left="5320" w:hanging="284"/>
      </w:pPr>
      <w:rPr>
        <w:rFonts w:hint="default"/>
        <w:lang w:val="en-US" w:eastAsia="en-US" w:bidi="ar-SA"/>
      </w:rPr>
    </w:lvl>
    <w:lvl w:ilvl="6" w:tplc="8B0A969C">
      <w:numFmt w:val="bullet"/>
      <w:lvlText w:val="•"/>
      <w:lvlJc w:val="left"/>
      <w:pPr>
        <w:ind w:left="6212" w:hanging="284"/>
      </w:pPr>
      <w:rPr>
        <w:rFonts w:hint="default"/>
        <w:lang w:val="en-US" w:eastAsia="en-US" w:bidi="ar-SA"/>
      </w:rPr>
    </w:lvl>
    <w:lvl w:ilvl="7" w:tplc="50A08CB8">
      <w:numFmt w:val="bullet"/>
      <w:lvlText w:val="•"/>
      <w:lvlJc w:val="left"/>
      <w:pPr>
        <w:ind w:left="7104" w:hanging="284"/>
      </w:pPr>
      <w:rPr>
        <w:rFonts w:hint="default"/>
        <w:lang w:val="en-US" w:eastAsia="en-US" w:bidi="ar-SA"/>
      </w:rPr>
    </w:lvl>
    <w:lvl w:ilvl="8" w:tplc="D81C2C5A">
      <w:numFmt w:val="bullet"/>
      <w:lvlText w:val="•"/>
      <w:lvlJc w:val="left"/>
      <w:pPr>
        <w:ind w:left="7996" w:hanging="284"/>
      </w:pPr>
      <w:rPr>
        <w:rFonts w:hint="default"/>
        <w:lang w:val="en-US" w:eastAsia="en-US" w:bidi="ar-SA"/>
      </w:rPr>
    </w:lvl>
  </w:abstractNum>
  <w:abstractNum w:abstractNumId="28" w15:restartNumberingAfterBreak="0">
    <w:nsid w:val="50D36D57"/>
    <w:multiLevelType w:val="hybridMultilevel"/>
    <w:tmpl w:val="033C6B7E"/>
    <w:lvl w:ilvl="0" w:tplc="57CA7C88">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1" w:tplc="DE32DDF6">
      <w:numFmt w:val="bullet"/>
      <w:lvlText w:val="•"/>
      <w:lvlJc w:val="left"/>
      <w:pPr>
        <w:ind w:left="1752" w:hanging="284"/>
      </w:pPr>
      <w:rPr>
        <w:rFonts w:hint="default"/>
        <w:lang w:val="en-US" w:eastAsia="en-US" w:bidi="ar-SA"/>
      </w:rPr>
    </w:lvl>
    <w:lvl w:ilvl="2" w:tplc="CD80316C">
      <w:numFmt w:val="bullet"/>
      <w:lvlText w:val="•"/>
      <w:lvlJc w:val="left"/>
      <w:pPr>
        <w:ind w:left="2644" w:hanging="284"/>
      </w:pPr>
      <w:rPr>
        <w:rFonts w:hint="default"/>
        <w:lang w:val="en-US" w:eastAsia="en-US" w:bidi="ar-SA"/>
      </w:rPr>
    </w:lvl>
    <w:lvl w:ilvl="3" w:tplc="8124CF58">
      <w:numFmt w:val="bullet"/>
      <w:lvlText w:val="•"/>
      <w:lvlJc w:val="left"/>
      <w:pPr>
        <w:ind w:left="3536" w:hanging="284"/>
      </w:pPr>
      <w:rPr>
        <w:rFonts w:hint="default"/>
        <w:lang w:val="en-US" w:eastAsia="en-US" w:bidi="ar-SA"/>
      </w:rPr>
    </w:lvl>
    <w:lvl w:ilvl="4" w:tplc="1896BA42">
      <w:numFmt w:val="bullet"/>
      <w:lvlText w:val="•"/>
      <w:lvlJc w:val="left"/>
      <w:pPr>
        <w:ind w:left="4428" w:hanging="284"/>
      </w:pPr>
      <w:rPr>
        <w:rFonts w:hint="default"/>
        <w:lang w:val="en-US" w:eastAsia="en-US" w:bidi="ar-SA"/>
      </w:rPr>
    </w:lvl>
    <w:lvl w:ilvl="5" w:tplc="F55A0AE8">
      <w:numFmt w:val="bullet"/>
      <w:lvlText w:val="•"/>
      <w:lvlJc w:val="left"/>
      <w:pPr>
        <w:ind w:left="5320" w:hanging="284"/>
      </w:pPr>
      <w:rPr>
        <w:rFonts w:hint="default"/>
        <w:lang w:val="en-US" w:eastAsia="en-US" w:bidi="ar-SA"/>
      </w:rPr>
    </w:lvl>
    <w:lvl w:ilvl="6" w:tplc="A948C33E">
      <w:numFmt w:val="bullet"/>
      <w:lvlText w:val="•"/>
      <w:lvlJc w:val="left"/>
      <w:pPr>
        <w:ind w:left="6212" w:hanging="284"/>
      </w:pPr>
      <w:rPr>
        <w:rFonts w:hint="default"/>
        <w:lang w:val="en-US" w:eastAsia="en-US" w:bidi="ar-SA"/>
      </w:rPr>
    </w:lvl>
    <w:lvl w:ilvl="7" w:tplc="AE568DC0">
      <w:numFmt w:val="bullet"/>
      <w:lvlText w:val="•"/>
      <w:lvlJc w:val="left"/>
      <w:pPr>
        <w:ind w:left="7104" w:hanging="284"/>
      </w:pPr>
      <w:rPr>
        <w:rFonts w:hint="default"/>
        <w:lang w:val="en-US" w:eastAsia="en-US" w:bidi="ar-SA"/>
      </w:rPr>
    </w:lvl>
    <w:lvl w:ilvl="8" w:tplc="9F3EBDE6">
      <w:numFmt w:val="bullet"/>
      <w:lvlText w:val="•"/>
      <w:lvlJc w:val="left"/>
      <w:pPr>
        <w:ind w:left="7996" w:hanging="284"/>
      </w:pPr>
      <w:rPr>
        <w:rFonts w:hint="default"/>
        <w:lang w:val="en-US" w:eastAsia="en-US" w:bidi="ar-SA"/>
      </w:rPr>
    </w:lvl>
  </w:abstractNum>
  <w:abstractNum w:abstractNumId="29" w15:restartNumberingAfterBreak="0">
    <w:nsid w:val="53407FEE"/>
    <w:multiLevelType w:val="hybridMultilevel"/>
    <w:tmpl w:val="512C9A02"/>
    <w:lvl w:ilvl="0" w:tplc="BFBE8BAC">
      <w:start w:val="1"/>
      <w:numFmt w:val="decimal"/>
      <w:lvlText w:val="%1."/>
      <w:lvlJc w:val="left"/>
      <w:pPr>
        <w:ind w:left="850" w:hanging="284"/>
      </w:pPr>
      <w:rPr>
        <w:rFonts w:ascii="Microsoft Sans Serif" w:eastAsia="Microsoft Sans Serif" w:hAnsi="Microsoft Sans Serif" w:cs="Microsoft Sans Serif" w:hint="default"/>
        <w:b w:val="0"/>
        <w:bCs w:val="0"/>
        <w:i w:val="0"/>
        <w:iCs w:val="0"/>
        <w:spacing w:val="0"/>
        <w:w w:val="96"/>
        <w:sz w:val="22"/>
        <w:szCs w:val="22"/>
        <w:lang w:val="en-US" w:eastAsia="en-US" w:bidi="ar-SA"/>
      </w:rPr>
    </w:lvl>
    <w:lvl w:ilvl="1" w:tplc="E9A03CF8">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2" w:tplc="5352061C">
      <w:numFmt w:val="bullet"/>
      <w:lvlText w:val="•"/>
      <w:lvlJc w:val="left"/>
      <w:pPr>
        <w:ind w:left="2644" w:hanging="284"/>
      </w:pPr>
      <w:rPr>
        <w:rFonts w:hint="default"/>
        <w:lang w:val="en-US" w:eastAsia="en-US" w:bidi="ar-SA"/>
      </w:rPr>
    </w:lvl>
    <w:lvl w:ilvl="3" w:tplc="A490AA02">
      <w:numFmt w:val="bullet"/>
      <w:lvlText w:val="•"/>
      <w:lvlJc w:val="left"/>
      <w:pPr>
        <w:ind w:left="3536" w:hanging="284"/>
      </w:pPr>
      <w:rPr>
        <w:rFonts w:hint="default"/>
        <w:lang w:val="en-US" w:eastAsia="en-US" w:bidi="ar-SA"/>
      </w:rPr>
    </w:lvl>
    <w:lvl w:ilvl="4" w:tplc="A9D8725C">
      <w:numFmt w:val="bullet"/>
      <w:lvlText w:val="•"/>
      <w:lvlJc w:val="left"/>
      <w:pPr>
        <w:ind w:left="4428" w:hanging="284"/>
      </w:pPr>
      <w:rPr>
        <w:rFonts w:hint="default"/>
        <w:lang w:val="en-US" w:eastAsia="en-US" w:bidi="ar-SA"/>
      </w:rPr>
    </w:lvl>
    <w:lvl w:ilvl="5" w:tplc="D50249F6">
      <w:numFmt w:val="bullet"/>
      <w:lvlText w:val="•"/>
      <w:lvlJc w:val="left"/>
      <w:pPr>
        <w:ind w:left="5320" w:hanging="284"/>
      </w:pPr>
      <w:rPr>
        <w:rFonts w:hint="default"/>
        <w:lang w:val="en-US" w:eastAsia="en-US" w:bidi="ar-SA"/>
      </w:rPr>
    </w:lvl>
    <w:lvl w:ilvl="6" w:tplc="BABC6032">
      <w:numFmt w:val="bullet"/>
      <w:lvlText w:val="•"/>
      <w:lvlJc w:val="left"/>
      <w:pPr>
        <w:ind w:left="6212" w:hanging="284"/>
      </w:pPr>
      <w:rPr>
        <w:rFonts w:hint="default"/>
        <w:lang w:val="en-US" w:eastAsia="en-US" w:bidi="ar-SA"/>
      </w:rPr>
    </w:lvl>
    <w:lvl w:ilvl="7" w:tplc="E87214D6">
      <w:numFmt w:val="bullet"/>
      <w:lvlText w:val="•"/>
      <w:lvlJc w:val="left"/>
      <w:pPr>
        <w:ind w:left="7104" w:hanging="284"/>
      </w:pPr>
      <w:rPr>
        <w:rFonts w:hint="default"/>
        <w:lang w:val="en-US" w:eastAsia="en-US" w:bidi="ar-SA"/>
      </w:rPr>
    </w:lvl>
    <w:lvl w:ilvl="8" w:tplc="D6F4F992">
      <w:numFmt w:val="bullet"/>
      <w:lvlText w:val="•"/>
      <w:lvlJc w:val="left"/>
      <w:pPr>
        <w:ind w:left="7996" w:hanging="284"/>
      </w:pPr>
      <w:rPr>
        <w:rFonts w:hint="default"/>
        <w:lang w:val="en-US" w:eastAsia="en-US" w:bidi="ar-SA"/>
      </w:rPr>
    </w:lvl>
  </w:abstractNum>
  <w:abstractNum w:abstractNumId="30" w15:restartNumberingAfterBreak="0">
    <w:nsid w:val="54016859"/>
    <w:multiLevelType w:val="hybridMultilevel"/>
    <w:tmpl w:val="B596ADB4"/>
    <w:lvl w:ilvl="0" w:tplc="3E0483A4">
      <w:numFmt w:val="bullet"/>
      <w:lvlText w:val=""/>
      <w:lvlJc w:val="left"/>
      <w:pPr>
        <w:ind w:left="290" w:hanging="171"/>
      </w:pPr>
      <w:rPr>
        <w:rFonts w:ascii="Wingdings" w:eastAsia="Wingdings" w:hAnsi="Wingdings" w:cs="Wingdings" w:hint="default"/>
        <w:b w:val="0"/>
        <w:bCs w:val="0"/>
        <w:i w:val="0"/>
        <w:iCs w:val="0"/>
        <w:spacing w:val="0"/>
        <w:w w:val="100"/>
        <w:sz w:val="22"/>
        <w:szCs w:val="22"/>
        <w:lang w:val="en-US" w:eastAsia="en-US" w:bidi="ar-SA"/>
      </w:rPr>
    </w:lvl>
    <w:lvl w:ilvl="1" w:tplc="CCA0AF0C">
      <w:numFmt w:val="bullet"/>
      <w:lvlText w:val="–"/>
      <w:lvlJc w:val="left"/>
      <w:pPr>
        <w:ind w:left="500" w:hanging="180"/>
      </w:pPr>
      <w:rPr>
        <w:rFonts w:ascii="Trebuchet MS" w:eastAsia="Trebuchet MS" w:hAnsi="Trebuchet MS" w:cs="Trebuchet MS" w:hint="default"/>
        <w:b w:val="0"/>
        <w:bCs w:val="0"/>
        <w:i w:val="0"/>
        <w:iCs w:val="0"/>
        <w:spacing w:val="0"/>
        <w:w w:val="136"/>
        <w:sz w:val="22"/>
        <w:szCs w:val="22"/>
        <w:lang w:val="en-US" w:eastAsia="en-US" w:bidi="ar-SA"/>
      </w:rPr>
    </w:lvl>
    <w:lvl w:ilvl="2" w:tplc="CA34A140">
      <w:numFmt w:val="bullet"/>
      <w:lvlText w:val="•"/>
      <w:lvlJc w:val="left"/>
      <w:pPr>
        <w:ind w:left="840" w:hanging="180"/>
      </w:pPr>
      <w:rPr>
        <w:rFonts w:hint="default"/>
        <w:lang w:val="en-US" w:eastAsia="en-US" w:bidi="ar-SA"/>
      </w:rPr>
    </w:lvl>
    <w:lvl w:ilvl="3" w:tplc="A2066448">
      <w:numFmt w:val="bullet"/>
      <w:lvlText w:val="•"/>
      <w:lvlJc w:val="left"/>
      <w:pPr>
        <w:ind w:left="1181" w:hanging="180"/>
      </w:pPr>
      <w:rPr>
        <w:rFonts w:hint="default"/>
        <w:lang w:val="en-US" w:eastAsia="en-US" w:bidi="ar-SA"/>
      </w:rPr>
    </w:lvl>
    <w:lvl w:ilvl="4" w:tplc="98D48424">
      <w:numFmt w:val="bullet"/>
      <w:lvlText w:val="•"/>
      <w:lvlJc w:val="left"/>
      <w:pPr>
        <w:ind w:left="1522" w:hanging="180"/>
      </w:pPr>
      <w:rPr>
        <w:rFonts w:hint="default"/>
        <w:lang w:val="en-US" w:eastAsia="en-US" w:bidi="ar-SA"/>
      </w:rPr>
    </w:lvl>
    <w:lvl w:ilvl="5" w:tplc="F710DB82">
      <w:numFmt w:val="bullet"/>
      <w:lvlText w:val="•"/>
      <w:lvlJc w:val="left"/>
      <w:pPr>
        <w:ind w:left="1863" w:hanging="180"/>
      </w:pPr>
      <w:rPr>
        <w:rFonts w:hint="default"/>
        <w:lang w:val="en-US" w:eastAsia="en-US" w:bidi="ar-SA"/>
      </w:rPr>
    </w:lvl>
    <w:lvl w:ilvl="6" w:tplc="AF34E2BA">
      <w:numFmt w:val="bullet"/>
      <w:lvlText w:val="•"/>
      <w:lvlJc w:val="left"/>
      <w:pPr>
        <w:ind w:left="2203" w:hanging="180"/>
      </w:pPr>
      <w:rPr>
        <w:rFonts w:hint="default"/>
        <w:lang w:val="en-US" w:eastAsia="en-US" w:bidi="ar-SA"/>
      </w:rPr>
    </w:lvl>
    <w:lvl w:ilvl="7" w:tplc="A4001050">
      <w:numFmt w:val="bullet"/>
      <w:lvlText w:val="•"/>
      <w:lvlJc w:val="left"/>
      <w:pPr>
        <w:ind w:left="2544" w:hanging="180"/>
      </w:pPr>
      <w:rPr>
        <w:rFonts w:hint="default"/>
        <w:lang w:val="en-US" w:eastAsia="en-US" w:bidi="ar-SA"/>
      </w:rPr>
    </w:lvl>
    <w:lvl w:ilvl="8" w:tplc="09F8ED4A">
      <w:numFmt w:val="bullet"/>
      <w:lvlText w:val="•"/>
      <w:lvlJc w:val="left"/>
      <w:pPr>
        <w:ind w:left="2885" w:hanging="180"/>
      </w:pPr>
      <w:rPr>
        <w:rFonts w:hint="default"/>
        <w:lang w:val="en-US" w:eastAsia="en-US" w:bidi="ar-SA"/>
      </w:rPr>
    </w:lvl>
  </w:abstractNum>
  <w:abstractNum w:abstractNumId="31" w15:restartNumberingAfterBreak="0">
    <w:nsid w:val="547C731E"/>
    <w:multiLevelType w:val="hybridMultilevel"/>
    <w:tmpl w:val="0B728234"/>
    <w:lvl w:ilvl="0" w:tplc="71DC6026">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1" w:tplc="007E242A">
      <w:numFmt w:val="bullet"/>
      <w:lvlText w:val="•"/>
      <w:lvlJc w:val="left"/>
      <w:pPr>
        <w:ind w:left="1752" w:hanging="284"/>
      </w:pPr>
      <w:rPr>
        <w:rFonts w:hint="default"/>
        <w:lang w:val="en-US" w:eastAsia="en-US" w:bidi="ar-SA"/>
      </w:rPr>
    </w:lvl>
    <w:lvl w:ilvl="2" w:tplc="AE769272">
      <w:numFmt w:val="bullet"/>
      <w:lvlText w:val="•"/>
      <w:lvlJc w:val="left"/>
      <w:pPr>
        <w:ind w:left="2644" w:hanging="284"/>
      </w:pPr>
      <w:rPr>
        <w:rFonts w:hint="default"/>
        <w:lang w:val="en-US" w:eastAsia="en-US" w:bidi="ar-SA"/>
      </w:rPr>
    </w:lvl>
    <w:lvl w:ilvl="3" w:tplc="C74E7966">
      <w:numFmt w:val="bullet"/>
      <w:lvlText w:val="•"/>
      <w:lvlJc w:val="left"/>
      <w:pPr>
        <w:ind w:left="3536" w:hanging="284"/>
      </w:pPr>
      <w:rPr>
        <w:rFonts w:hint="default"/>
        <w:lang w:val="en-US" w:eastAsia="en-US" w:bidi="ar-SA"/>
      </w:rPr>
    </w:lvl>
    <w:lvl w:ilvl="4" w:tplc="A3E4D316">
      <w:numFmt w:val="bullet"/>
      <w:lvlText w:val="•"/>
      <w:lvlJc w:val="left"/>
      <w:pPr>
        <w:ind w:left="4428" w:hanging="284"/>
      </w:pPr>
      <w:rPr>
        <w:rFonts w:hint="default"/>
        <w:lang w:val="en-US" w:eastAsia="en-US" w:bidi="ar-SA"/>
      </w:rPr>
    </w:lvl>
    <w:lvl w:ilvl="5" w:tplc="7206C84E">
      <w:numFmt w:val="bullet"/>
      <w:lvlText w:val="•"/>
      <w:lvlJc w:val="left"/>
      <w:pPr>
        <w:ind w:left="5320" w:hanging="284"/>
      </w:pPr>
      <w:rPr>
        <w:rFonts w:hint="default"/>
        <w:lang w:val="en-US" w:eastAsia="en-US" w:bidi="ar-SA"/>
      </w:rPr>
    </w:lvl>
    <w:lvl w:ilvl="6" w:tplc="EB5CAC16">
      <w:numFmt w:val="bullet"/>
      <w:lvlText w:val="•"/>
      <w:lvlJc w:val="left"/>
      <w:pPr>
        <w:ind w:left="6212" w:hanging="284"/>
      </w:pPr>
      <w:rPr>
        <w:rFonts w:hint="default"/>
        <w:lang w:val="en-US" w:eastAsia="en-US" w:bidi="ar-SA"/>
      </w:rPr>
    </w:lvl>
    <w:lvl w:ilvl="7" w:tplc="4194508E">
      <w:numFmt w:val="bullet"/>
      <w:lvlText w:val="•"/>
      <w:lvlJc w:val="left"/>
      <w:pPr>
        <w:ind w:left="7104" w:hanging="284"/>
      </w:pPr>
      <w:rPr>
        <w:rFonts w:hint="default"/>
        <w:lang w:val="en-US" w:eastAsia="en-US" w:bidi="ar-SA"/>
      </w:rPr>
    </w:lvl>
    <w:lvl w:ilvl="8" w:tplc="E7A42C82">
      <w:numFmt w:val="bullet"/>
      <w:lvlText w:val="•"/>
      <w:lvlJc w:val="left"/>
      <w:pPr>
        <w:ind w:left="7996" w:hanging="284"/>
      </w:pPr>
      <w:rPr>
        <w:rFonts w:hint="default"/>
        <w:lang w:val="en-US" w:eastAsia="en-US" w:bidi="ar-SA"/>
      </w:rPr>
    </w:lvl>
  </w:abstractNum>
  <w:abstractNum w:abstractNumId="32" w15:restartNumberingAfterBreak="0">
    <w:nsid w:val="565A7AA4"/>
    <w:multiLevelType w:val="hybridMultilevel"/>
    <w:tmpl w:val="7B9A5F72"/>
    <w:lvl w:ilvl="0" w:tplc="35F2EE10">
      <w:numFmt w:val="bullet"/>
      <w:lvlText w:val="•"/>
      <w:lvlJc w:val="left"/>
      <w:pPr>
        <w:ind w:left="850" w:hanging="284"/>
      </w:pPr>
      <w:rPr>
        <w:rFonts w:ascii="Arial" w:eastAsia="Arial" w:hAnsi="Arial" w:cs="Arial" w:hint="default"/>
        <w:b/>
        <w:bCs/>
        <w:i w:val="0"/>
        <w:iCs w:val="0"/>
        <w:color w:val="0C8140"/>
        <w:spacing w:val="0"/>
        <w:w w:val="141"/>
        <w:sz w:val="22"/>
        <w:szCs w:val="22"/>
        <w:lang w:val="en-US" w:eastAsia="en-US" w:bidi="ar-SA"/>
      </w:rPr>
    </w:lvl>
    <w:lvl w:ilvl="1" w:tplc="8F88CE4A">
      <w:numFmt w:val="bullet"/>
      <w:lvlText w:val="–"/>
      <w:lvlJc w:val="left"/>
      <w:pPr>
        <w:ind w:left="1227" w:hanging="320"/>
      </w:pPr>
      <w:rPr>
        <w:rFonts w:ascii="Microsoft Sans Serif" w:eastAsia="Microsoft Sans Serif" w:hAnsi="Microsoft Sans Serif" w:cs="Microsoft Sans Serif" w:hint="default"/>
        <w:b w:val="0"/>
        <w:bCs w:val="0"/>
        <w:i w:val="0"/>
        <w:iCs w:val="0"/>
        <w:color w:val="0C8140"/>
        <w:spacing w:val="0"/>
        <w:w w:val="170"/>
        <w:sz w:val="22"/>
        <w:szCs w:val="22"/>
        <w:lang w:val="en-US" w:eastAsia="en-US" w:bidi="ar-SA"/>
      </w:rPr>
    </w:lvl>
    <w:lvl w:ilvl="2" w:tplc="7DD61728">
      <w:numFmt w:val="bullet"/>
      <w:lvlText w:val="•"/>
      <w:lvlJc w:val="left"/>
      <w:pPr>
        <w:ind w:left="2171" w:hanging="320"/>
      </w:pPr>
      <w:rPr>
        <w:rFonts w:hint="default"/>
        <w:lang w:val="en-US" w:eastAsia="en-US" w:bidi="ar-SA"/>
      </w:rPr>
    </w:lvl>
    <w:lvl w:ilvl="3" w:tplc="CFD01D8E">
      <w:numFmt w:val="bullet"/>
      <w:lvlText w:val="•"/>
      <w:lvlJc w:val="left"/>
      <w:pPr>
        <w:ind w:left="3122" w:hanging="320"/>
      </w:pPr>
      <w:rPr>
        <w:rFonts w:hint="default"/>
        <w:lang w:val="en-US" w:eastAsia="en-US" w:bidi="ar-SA"/>
      </w:rPr>
    </w:lvl>
    <w:lvl w:ilvl="4" w:tplc="22104AD8">
      <w:numFmt w:val="bullet"/>
      <w:lvlText w:val="•"/>
      <w:lvlJc w:val="left"/>
      <w:pPr>
        <w:ind w:left="4073" w:hanging="320"/>
      </w:pPr>
      <w:rPr>
        <w:rFonts w:hint="default"/>
        <w:lang w:val="en-US" w:eastAsia="en-US" w:bidi="ar-SA"/>
      </w:rPr>
    </w:lvl>
    <w:lvl w:ilvl="5" w:tplc="984C3622">
      <w:numFmt w:val="bullet"/>
      <w:lvlText w:val="•"/>
      <w:lvlJc w:val="left"/>
      <w:pPr>
        <w:ind w:left="5024" w:hanging="320"/>
      </w:pPr>
      <w:rPr>
        <w:rFonts w:hint="default"/>
        <w:lang w:val="en-US" w:eastAsia="en-US" w:bidi="ar-SA"/>
      </w:rPr>
    </w:lvl>
    <w:lvl w:ilvl="6" w:tplc="1B06F496">
      <w:numFmt w:val="bullet"/>
      <w:lvlText w:val="•"/>
      <w:lvlJc w:val="left"/>
      <w:pPr>
        <w:ind w:left="5975" w:hanging="320"/>
      </w:pPr>
      <w:rPr>
        <w:rFonts w:hint="default"/>
        <w:lang w:val="en-US" w:eastAsia="en-US" w:bidi="ar-SA"/>
      </w:rPr>
    </w:lvl>
    <w:lvl w:ilvl="7" w:tplc="E4145422">
      <w:numFmt w:val="bullet"/>
      <w:lvlText w:val="•"/>
      <w:lvlJc w:val="left"/>
      <w:pPr>
        <w:ind w:left="6927" w:hanging="320"/>
      </w:pPr>
      <w:rPr>
        <w:rFonts w:hint="default"/>
        <w:lang w:val="en-US" w:eastAsia="en-US" w:bidi="ar-SA"/>
      </w:rPr>
    </w:lvl>
    <w:lvl w:ilvl="8" w:tplc="2CAAE9E2">
      <w:numFmt w:val="bullet"/>
      <w:lvlText w:val="•"/>
      <w:lvlJc w:val="left"/>
      <w:pPr>
        <w:ind w:left="7878" w:hanging="320"/>
      </w:pPr>
      <w:rPr>
        <w:rFonts w:hint="default"/>
        <w:lang w:val="en-US" w:eastAsia="en-US" w:bidi="ar-SA"/>
      </w:rPr>
    </w:lvl>
  </w:abstractNum>
  <w:abstractNum w:abstractNumId="33" w15:restartNumberingAfterBreak="0">
    <w:nsid w:val="568D32DC"/>
    <w:multiLevelType w:val="hybridMultilevel"/>
    <w:tmpl w:val="9A981E22"/>
    <w:lvl w:ilvl="0" w:tplc="6E02E48A">
      <w:start w:val="1"/>
      <w:numFmt w:val="decimal"/>
      <w:lvlText w:val="%1."/>
      <w:lvlJc w:val="left"/>
      <w:pPr>
        <w:ind w:left="1077" w:hanging="397"/>
      </w:pPr>
      <w:rPr>
        <w:rFonts w:ascii="Microsoft Sans Serif" w:eastAsia="Microsoft Sans Serif" w:hAnsi="Microsoft Sans Serif" w:cs="Microsoft Sans Serif" w:hint="default"/>
        <w:b w:val="0"/>
        <w:bCs w:val="0"/>
        <w:i w:val="0"/>
        <w:iCs w:val="0"/>
        <w:spacing w:val="0"/>
        <w:w w:val="96"/>
        <w:sz w:val="22"/>
        <w:szCs w:val="22"/>
        <w:lang w:val="en-US" w:eastAsia="en-US" w:bidi="ar-SA"/>
      </w:rPr>
    </w:lvl>
    <w:lvl w:ilvl="1" w:tplc="3760B6E6">
      <w:numFmt w:val="bullet"/>
      <w:lvlText w:val="•"/>
      <w:lvlJc w:val="left"/>
      <w:pPr>
        <w:ind w:left="1950" w:hanging="397"/>
      </w:pPr>
      <w:rPr>
        <w:rFonts w:hint="default"/>
        <w:lang w:val="en-US" w:eastAsia="en-US" w:bidi="ar-SA"/>
      </w:rPr>
    </w:lvl>
    <w:lvl w:ilvl="2" w:tplc="46C8F484">
      <w:numFmt w:val="bullet"/>
      <w:lvlText w:val="•"/>
      <w:lvlJc w:val="left"/>
      <w:pPr>
        <w:ind w:left="2820" w:hanging="397"/>
      </w:pPr>
      <w:rPr>
        <w:rFonts w:hint="default"/>
        <w:lang w:val="en-US" w:eastAsia="en-US" w:bidi="ar-SA"/>
      </w:rPr>
    </w:lvl>
    <w:lvl w:ilvl="3" w:tplc="F4B4651C">
      <w:numFmt w:val="bullet"/>
      <w:lvlText w:val="•"/>
      <w:lvlJc w:val="left"/>
      <w:pPr>
        <w:ind w:left="3690" w:hanging="397"/>
      </w:pPr>
      <w:rPr>
        <w:rFonts w:hint="default"/>
        <w:lang w:val="en-US" w:eastAsia="en-US" w:bidi="ar-SA"/>
      </w:rPr>
    </w:lvl>
    <w:lvl w:ilvl="4" w:tplc="5EE63142">
      <w:numFmt w:val="bullet"/>
      <w:lvlText w:val="•"/>
      <w:lvlJc w:val="left"/>
      <w:pPr>
        <w:ind w:left="4560" w:hanging="397"/>
      </w:pPr>
      <w:rPr>
        <w:rFonts w:hint="default"/>
        <w:lang w:val="en-US" w:eastAsia="en-US" w:bidi="ar-SA"/>
      </w:rPr>
    </w:lvl>
    <w:lvl w:ilvl="5" w:tplc="2EF4C73C">
      <w:numFmt w:val="bullet"/>
      <w:lvlText w:val="•"/>
      <w:lvlJc w:val="left"/>
      <w:pPr>
        <w:ind w:left="5430" w:hanging="397"/>
      </w:pPr>
      <w:rPr>
        <w:rFonts w:hint="default"/>
        <w:lang w:val="en-US" w:eastAsia="en-US" w:bidi="ar-SA"/>
      </w:rPr>
    </w:lvl>
    <w:lvl w:ilvl="6" w:tplc="CDEC7400">
      <w:numFmt w:val="bullet"/>
      <w:lvlText w:val="•"/>
      <w:lvlJc w:val="left"/>
      <w:pPr>
        <w:ind w:left="6300" w:hanging="397"/>
      </w:pPr>
      <w:rPr>
        <w:rFonts w:hint="default"/>
        <w:lang w:val="en-US" w:eastAsia="en-US" w:bidi="ar-SA"/>
      </w:rPr>
    </w:lvl>
    <w:lvl w:ilvl="7" w:tplc="9B4402D0">
      <w:numFmt w:val="bullet"/>
      <w:lvlText w:val="•"/>
      <w:lvlJc w:val="left"/>
      <w:pPr>
        <w:ind w:left="7170" w:hanging="397"/>
      </w:pPr>
      <w:rPr>
        <w:rFonts w:hint="default"/>
        <w:lang w:val="en-US" w:eastAsia="en-US" w:bidi="ar-SA"/>
      </w:rPr>
    </w:lvl>
    <w:lvl w:ilvl="8" w:tplc="239C816C">
      <w:numFmt w:val="bullet"/>
      <w:lvlText w:val="•"/>
      <w:lvlJc w:val="left"/>
      <w:pPr>
        <w:ind w:left="8040" w:hanging="397"/>
      </w:pPr>
      <w:rPr>
        <w:rFonts w:hint="default"/>
        <w:lang w:val="en-US" w:eastAsia="en-US" w:bidi="ar-SA"/>
      </w:rPr>
    </w:lvl>
  </w:abstractNum>
  <w:abstractNum w:abstractNumId="34" w15:restartNumberingAfterBreak="0">
    <w:nsid w:val="602A6A61"/>
    <w:multiLevelType w:val="hybridMultilevel"/>
    <w:tmpl w:val="B09268C6"/>
    <w:lvl w:ilvl="0" w:tplc="E5AC7AE4">
      <w:start w:val="1"/>
      <w:numFmt w:val="decimal"/>
      <w:lvlText w:val="%1."/>
      <w:lvlJc w:val="left"/>
      <w:pPr>
        <w:ind w:left="850" w:hanging="284"/>
      </w:pPr>
      <w:rPr>
        <w:rFonts w:ascii="Microsoft Sans Serif" w:eastAsia="Microsoft Sans Serif" w:hAnsi="Microsoft Sans Serif" w:cs="Microsoft Sans Serif" w:hint="default"/>
        <w:b w:val="0"/>
        <w:bCs w:val="0"/>
        <w:i w:val="0"/>
        <w:iCs w:val="0"/>
        <w:spacing w:val="0"/>
        <w:w w:val="96"/>
        <w:sz w:val="22"/>
        <w:szCs w:val="22"/>
        <w:lang w:val="en-US" w:eastAsia="en-US" w:bidi="ar-SA"/>
      </w:rPr>
    </w:lvl>
    <w:lvl w:ilvl="1" w:tplc="EC80AE16">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2" w:tplc="1D664FCA">
      <w:numFmt w:val="bullet"/>
      <w:lvlText w:val="•"/>
      <w:lvlJc w:val="left"/>
      <w:pPr>
        <w:ind w:left="2644" w:hanging="284"/>
      </w:pPr>
      <w:rPr>
        <w:rFonts w:hint="default"/>
        <w:lang w:val="en-US" w:eastAsia="en-US" w:bidi="ar-SA"/>
      </w:rPr>
    </w:lvl>
    <w:lvl w:ilvl="3" w:tplc="56627EEE">
      <w:numFmt w:val="bullet"/>
      <w:lvlText w:val="•"/>
      <w:lvlJc w:val="left"/>
      <w:pPr>
        <w:ind w:left="3536" w:hanging="284"/>
      </w:pPr>
      <w:rPr>
        <w:rFonts w:hint="default"/>
        <w:lang w:val="en-US" w:eastAsia="en-US" w:bidi="ar-SA"/>
      </w:rPr>
    </w:lvl>
    <w:lvl w:ilvl="4" w:tplc="FEFA4398">
      <w:numFmt w:val="bullet"/>
      <w:lvlText w:val="•"/>
      <w:lvlJc w:val="left"/>
      <w:pPr>
        <w:ind w:left="4428" w:hanging="284"/>
      </w:pPr>
      <w:rPr>
        <w:rFonts w:hint="default"/>
        <w:lang w:val="en-US" w:eastAsia="en-US" w:bidi="ar-SA"/>
      </w:rPr>
    </w:lvl>
    <w:lvl w:ilvl="5" w:tplc="8AB608A4">
      <w:numFmt w:val="bullet"/>
      <w:lvlText w:val="•"/>
      <w:lvlJc w:val="left"/>
      <w:pPr>
        <w:ind w:left="5320" w:hanging="284"/>
      </w:pPr>
      <w:rPr>
        <w:rFonts w:hint="default"/>
        <w:lang w:val="en-US" w:eastAsia="en-US" w:bidi="ar-SA"/>
      </w:rPr>
    </w:lvl>
    <w:lvl w:ilvl="6" w:tplc="CBB6B956">
      <w:numFmt w:val="bullet"/>
      <w:lvlText w:val="•"/>
      <w:lvlJc w:val="left"/>
      <w:pPr>
        <w:ind w:left="6212" w:hanging="284"/>
      </w:pPr>
      <w:rPr>
        <w:rFonts w:hint="default"/>
        <w:lang w:val="en-US" w:eastAsia="en-US" w:bidi="ar-SA"/>
      </w:rPr>
    </w:lvl>
    <w:lvl w:ilvl="7" w:tplc="9BC67E06">
      <w:numFmt w:val="bullet"/>
      <w:lvlText w:val="•"/>
      <w:lvlJc w:val="left"/>
      <w:pPr>
        <w:ind w:left="7104" w:hanging="284"/>
      </w:pPr>
      <w:rPr>
        <w:rFonts w:hint="default"/>
        <w:lang w:val="en-US" w:eastAsia="en-US" w:bidi="ar-SA"/>
      </w:rPr>
    </w:lvl>
    <w:lvl w:ilvl="8" w:tplc="0BCE437E">
      <w:numFmt w:val="bullet"/>
      <w:lvlText w:val="•"/>
      <w:lvlJc w:val="left"/>
      <w:pPr>
        <w:ind w:left="7996" w:hanging="284"/>
      </w:pPr>
      <w:rPr>
        <w:rFonts w:hint="default"/>
        <w:lang w:val="en-US" w:eastAsia="en-US" w:bidi="ar-SA"/>
      </w:rPr>
    </w:lvl>
  </w:abstractNum>
  <w:abstractNum w:abstractNumId="35" w15:restartNumberingAfterBreak="0">
    <w:nsid w:val="60FE2A81"/>
    <w:multiLevelType w:val="multilevel"/>
    <w:tmpl w:val="92C61ED4"/>
    <w:lvl w:ilvl="0">
      <w:start w:val="1"/>
      <w:numFmt w:val="decimal"/>
      <w:lvlText w:val="%1"/>
      <w:lvlJc w:val="left"/>
      <w:pPr>
        <w:ind w:left="1242" w:hanging="392"/>
      </w:pPr>
      <w:rPr>
        <w:rFonts w:hint="default"/>
        <w:lang w:val="en-US" w:eastAsia="en-US" w:bidi="ar-SA"/>
      </w:rPr>
    </w:lvl>
    <w:lvl w:ilvl="1">
      <w:start w:val="1"/>
      <w:numFmt w:val="decimal"/>
      <w:lvlText w:val="%1.%2."/>
      <w:lvlJc w:val="left"/>
      <w:pPr>
        <w:ind w:left="1242" w:hanging="392"/>
      </w:pPr>
      <w:rPr>
        <w:rFonts w:ascii="Microsoft Sans Serif" w:eastAsia="Microsoft Sans Serif" w:hAnsi="Microsoft Sans Serif" w:cs="Microsoft Sans Serif" w:hint="default"/>
        <w:b w:val="0"/>
        <w:bCs w:val="0"/>
        <w:i w:val="0"/>
        <w:iCs w:val="0"/>
        <w:spacing w:val="0"/>
        <w:w w:val="97"/>
        <w:sz w:val="21"/>
        <w:szCs w:val="21"/>
        <w:lang w:val="en-US" w:eastAsia="en-US" w:bidi="ar-SA"/>
      </w:rPr>
    </w:lvl>
    <w:lvl w:ilvl="2">
      <w:start w:val="1"/>
      <w:numFmt w:val="decimal"/>
      <w:lvlText w:val="%1.%2.%3"/>
      <w:lvlJc w:val="left"/>
      <w:pPr>
        <w:ind w:left="1760" w:hanging="513"/>
      </w:pPr>
      <w:rPr>
        <w:rFonts w:ascii="Microsoft Sans Serif" w:eastAsia="Microsoft Sans Serif" w:hAnsi="Microsoft Sans Serif" w:cs="Microsoft Sans Serif" w:hint="default"/>
        <w:b w:val="0"/>
        <w:bCs w:val="0"/>
        <w:i w:val="0"/>
        <w:iCs w:val="0"/>
        <w:spacing w:val="0"/>
        <w:w w:val="99"/>
        <w:sz w:val="21"/>
        <w:szCs w:val="21"/>
        <w:lang w:val="en-US" w:eastAsia="en-US" w:bidi="ar-SA"/>
      </w:rPr>
    </w:lvl>
    <w:lvl w:ilvl="3">
      <w:numFmt w:val="bullet"/>
      <w:lvlText w:val="•"/>
      <w:lvlJc w:val="left"/>
      <w:pPr>
        <w:ind w:left="3542" w:hanging="513"/>
      </w:pPr>
      <w:rPr>
        <w:rFonts w:hint="default"/>
        <w:lang w:val="en-US" w:eastAsia="en-US" w:bidi="ar-SA"/>
      </w:rPr>
    </w:lvl>
    <w:lvl w:ilvl="4">
      <w:numFmt w:val="bullet"/>
      <w:lvlText w:val="•"/>
      <w:lvlJc w:val="left"/>
      <w:pPr>
        <w:ind w:left="4433" w:hanging="513"/>
      </w:pPr>
      <w:rPr>
        <w:rFonts w:hint="default"/>
        <w:lang w:val="en-US" w:eastAsia="en-US" w:bidi="ar-SA"/>
      </w:rPr>
    </w:lvl>
    <w:lvl w:ilvl="5">
      <w:numFmt w:val="bullet"/>
      <w:lvlText w:val="•"/>
      <w:lvlJc w:val="left"/>
      <w:pPr>
        <w:ind w:left="5324" w:hanging="513"/>
      </w:pPr>
      <w:rPr>
        <w:rFonts w:hint="default"/>
        <w:lang w:val="en-US" w:eastAsia="en-US" w:bidi="ar-SA"/>
      </w:rPr>
    </w:lvl>
    <w:lvl w:ilvl="6">
      <w:numFmt w:val="bullet"/>
      <w:lvlText w:val="•"/>
      <w:lvlJc w:val="left"/>
      <w:pPr>
        <w:ind w:left="6215" w:hanging="513"/>
      </w:pPr>
      <w:rPr>
        <w:rFonts w:hint="default"/>
        <w:lang w:val="en-US" w:eastAsia="en-US" w:bidi="ar-SA"/>
      </w:rPr>
    </w:lvl>
    <w:lvl w:ilvl="7">
      <w:numFmt w:val="bullet"/>
      <w:lvlText w:val="•"/>
      <w:lvlJc w:val="left"/>
      <w:pPr>
        <w:ind w:left="7107" w:hanging="513"/>
      </w:pPr>
      <w:rPr>
        <w:rFonts w:hint="default"/>
        <w:lang w:val="en-US" w:eastAsia="en-US" w:bidi="ar-SA"/>
      </w:rPr>
    </w:lvl>
    <w:lvl w:ilvl="8">
      <w:numFmt w:val="bullet"/>
      <w:lvlText w:val="•"/>
      <w:lvlJc w:val="left"/>
      <w:pPr>
        <w:ind w:left="7998" w:hanging="513"/>
      </w:pPr>
      <w:rPr>
        <w:rFonts w:hint="default"/>
        <w:lang w:val="en-US" w:eastAsia="en-US" w:bidi="ar-SA"/>
      </w:rPr>
    </w:lvl>
  </w:abstractNum>
  <w:abstractNum w:abstractNumId="36" w15:restartNumberingAfterBreak="0">
    <w:nsid w:val="6100074B"/>
    <w:multiLevelType w:val="hybridMultilevel"/>
    <w:tmpl w:val="1708F342"/>
    <w:lvl w:ilvl="0" w:tplc="C6E26252">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1" w:tplc="83CEEA10">
      <w:numFmt w:val="bullet"/>
      <w:lvlText w:val="•"/>
      <w:lvlJc w:val="left"/>
      <w:pPr>
        <w:ind w:left="1752" w:hanging="284"/>
      </w:pPr>
      <w:rPr>
        <w:rFonts w:hint="default"/>
        <w:lang w:val="en-US" w:eastAsia="en-US" w:bidi="ar-SA"/>
      </w:rPr>
    </w:lvl>
    <w:lvl w:ilvl="2" w:tplc="EC4CA142">
      <w:numFmt w:val="bullet"/>
      <w:lvlText w:val="•"/>
      <w:lvlJc w:val="left"/>
      <w:pPr>
        <w:ind w:left="2644" w:hanging="284"/>
      </w:pPr>
      <w:rPr>
        <w:rFonts w:hint="default"/>
        <w:lang w:val="en-US" w:eastAsia="en-US" w:bidi="ar-SA"/>
      </w:rPr>
    </w:lvl>
    <w:lvl w:ilvl="3" w:tplc="DA604F46">
      <w:numFmt w:val="bullet"/>
      <w:lvlText w:val="•"/>
      <w:lvlJc w:val="left"/>
      <w:pPr>
        <w:ind w:left="3536" w:hanging="284"/>
      </w:pPr>
      <w:rPr>
        <w:rFonts w:hint="default"/>
        <w:lang w:val="en-US" w:eastAsia="en-US" w:bidi="ar-SA"/>
      </w:rPr>
    </w:lvl>
    <w:lvl w:ilvl="4" w:tplc="863896C2">
      <w:numFmt w:val="bullet"/>
      <w:lvlText w:val="•"/>
      <w:lvlJc w:val="left"/>
      <w:pPr>
        <w:ind w:left="4428" w:hanging="284"/>
      </w:pPr>
      <w:rPr>
        <w:rFonts w:hint="default"/>
        <w:lang w:val="en-US" w:eastAsia="en-US" w:bidi="ar-SA"/>
      </w:rPr>
    </w:lvl>
    <w:lvl w:ilvl="5" w:tplc="23B8BAAA">
      <w:numFmt w:val="bullet"/>
      <w:lvlText w:val="•"/>
      <w:lvlJc w:val="left"/>
      <w:pPr>
        <w:ind w:left="5320" w:hanging="284"/>
      </w:pPr>
      <w:rPr>
        <w:rFonts w:hint="default"/>
        <w:lang w:val="en-US" w:eastAsia="en-US" w:bidi="ar-SA"/>
      </w:rPr>
    </w:lvl>
    <w:lvl w:ilvl="6" w:tplc="C63EDC3E">
      <w:numFmt w:val="bullet"/>
      <w:lvlText w:val="•"/>
      <w:lvlJc w:val="left"/>
      <w:pPr>
        <w:ind w:left="6212" w:hanging="284"/>
      </w:pPr>
      <w:rPr>
        <w:rFonts w:hint="default"/>
        <w:lang w:val="en-US" w:eastAsia="en-US" w:bidi="ar-SA"/>
      </w:rPr>
    </w:lvl>
    <w:lvl w:ilvl="7" w:tplc="EBAE16BC">
      <w:numFmt w:val="bullet"/>
      <w:lvlText w:val="•"/>
      <w:lvlJc w:val="left"/>
      <w:pPr>
        <w:ind w:left="7104" w:hanging="284"/>
      </w:pPr>
      <w:rPr>
        <w:rFonts w:hint="default"/>
        <w:lang w:val="en-US" w:eastAsia="en-US" w:bidi="ar-SA"/>
      </w:rPr>
    </w:lvl>
    <w:lvl w:ilvl="8" w:tplc="8814FD76">
      <w:numFmt w:val="bullet"/>
      <w:lvlText w:val="•"/>
      <w:lvlJc w:val="left"/>
      <w:pPr>
        <w:ind w:left="7996" w:hanging="284"/>
      </w:pPr>
      <w:rPr>
        <w:rFonts w:hint="default"/>
        <w:lang w:val="en-US" w:eastAsia="en-US" w:bidi="ar-SA"/>
      </w:rPr>
    </w:lvl>
  </w:abstractNum>
  <w:abstractNum w:abstractNumId="37" w15:restartNumberingAfterBreak="0">
    <w:nsid w:val="63A32199"/>
    <w:multiLevelType w:val="hybridMultilevel"/>
    <w:tmpl w:val="451803E6"/>
    <w:lvl w:ilvl="0" w:tplc="10226300">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1" w:tplc="784A0B9A">
      <w:numFmt w:val="bullet"/>
      <w:lvlText w:val="–"/>
      <w:lvlJc w:val="left"/>
      <w:pPr>
        <w:ind w:left="1227" w:hanging="320"/>
      </w:pPr>
      <w:rPr>
        <w:rFonts w:ascii="Microsoft Sans Serif" w:eastAsia="Microsoft Sans Serif" w:hAnsi="Microsoft Sans Serif" w:cs="Microsoft Sans Serif" w:hint="default"/>
        <w:spacing w:val="0"/>
        <w:w w:val="170"/>
        <w:lang w:val="en-US" w:eastAsia="en-US" w:bidi="ar-SA"/>
      </w:rPr>
    </w:lvl>
    <w:lvl w:ilvl="2" w:tplc="71C40538">
      <w:numFmt w:val="bullet"/>
      <w:lvlText w:val="•"/>
      <w:lvlJc w:val="left"/>
      <w:pPr>
        <w:ind w:left="2171" w:hanging="320"/>
      </w:pPr>
      <w:rPr>
        <w:rFonts w:hint="default"/>
        <w:lang w:val="en-US" w:eastAsia="en-US" w:bidi="ar-SA"/>
      </w:rPr>
    </w:lvl>
    <w:lvl w:ilvl="3" w:tplc="750A9C04">
      <w:numFmt w:val="bullet"/>
      <w:lvlText w:val="•"/>
      <w:lvlJc w:val="left"/>
      <w:pPr>
        <w:ind w:left="3122" w:hanging="320"/>
      </w:pPr>
      <w:rPr>
        <w:rFonts w:hint="default"/>
        <w:lang w:val="en-US" w:eastAsia="en-US" w:bidi="ar-SA"/>
      </w:rPr>
    </w:lvl>
    <w:lvl w:ilvl="4" w:tplc="D6A055D8">
      <w:numFmt w:val="bullet"/>
      <w:lvlText w:val="•"/>
      <w:lvlJc w:val="left"/>
      <w:pPr>
        <w:ind w:left="4073" w:hanging="320"/>
      </w:pPr>
      <w:rPr>
        <w:rFonts w:hint="default"/>
        <w:lang w:val="en-US" w:eastAsia="en-US" w:bidi="ar-SA"/>
      </w:rPr>
    </w:lvl>
    <w:lvl w:ilvl="5" w:tplc="CA4C583A">
      <w:numFmt w:val="bullet"/>
      <w:lvlText w:val="•"/>
      <w:lvlJc w:val="left"/>
      <w:pPr>
        <w:ind w:left="5024" w:hanging="320"/>
      </w:pPr>
      <w:rPr>
        <w:rFonts w:hint="default"/>
        <w:lang w:val="en-US" w:eastAsia="en-US" w:bidi="ar-SA"/>
      </w:rPr>
    </w:lvl>
    <w:lvl w:ilvl="6" w:tplc="0E286CB8">
      <w:numFmt w:val="bullet"/>
      <w:lvlText w:val="•"/>
      <w:lvlJc w:val="left"/>
      <w:pPr>
        <w:ind w:left="5975" w:hanging="320"/>
      </w:pPr>
      <w:rPr>
        <w:rFonts w:hint="default"/>
        <w:lang w:val="en-US" w:eastAsia="en-US" w:bidi="ar-SA"/>
      </w:rPr>
    </w:lvl>
    <w:lvl w:ilvl="7" w:tplc="4E9C04CC">
      <w:numFmt w:val="bullet"/>
      <w:lvlText w:val="•"/>
      <w:lvlJc w:val="left"/>
      <w:pPr>
        <w:ind w:left="6927" w:hanging="320"/>
      </w:pPr>
      <w:rPr>
        <w:rFonts w:hint="default"/>
        <w:lang w:val="en-US" w:eastAsia="en-US" w:bidi="ar-SA"/>
      </w:rPr>
    </w:lvl>
    <w:lvl w:ilvl="8" w:tplc="6F0A3B46">
      <w:numFmt w:val="bullet"/>
      <w:lvlText w:val="•"/>
      <w:lvlJc w:val="left"/>
      <w:pPr>
        <w:ind w:left="7878" w:hanging="320"/>
      </w:pPr>
      <w:rPr>
        <w:rFonts w:hint="default"/>
        <w:lang w:val="en-US" w:eastAsia="en-US" w:bidi="ar-SA"/>
      </w:rPr>
    </w:lvl>
  </w:abstractNum>
  <w:abstractNum w:abstractNumId="38" w15:restartNumberingAfterBreak="0">
    <w:nsid w:val="6620156D"/>
    <w:multiLevelType w:val="hybridMultilevel"/>
    <w:tmpl w:val="58866CA6"/>
    <w:lvl w:ilvl="0" w:tplc="7612060E">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1" w:tplc="B8144798">
      <w:numFmt w:val="bullet"/>
      <w:lvlText w:val="•"/>
      <w:lvlJc w:val="left"/>
      <w:pPr>
        <w:ind w:left="1752" w:hanging="284"/>
      </w:pPr>
      <w:rPr>
        <w:rFonts w:hint="default"/>
        <w:lang w:val="en-US" w:eastAsia="en-US" w:bidi="ar-SA"/>
      </w:rPr>
    </w:lvl>
    <w:lvl w:ilvl="2" w:tplc="283CFB56">
      <w:numFmt w:val="bullet"/>
      <w:lvlText w:val="•"/>
      <w:lvlJc w:val="left"/>
      <w:pPr>
        <w:ind w:left="2644" w:hanging="284"/>
      </w:pPr>
      <w:rPr>
        <w:rFonts w:hint="default"/>
        <w:lang w:val="en-US" w:eastAsia="en-US" w:bidi="ar-SA"/>
      </w:rPr>
    </w:lvl>
    <w:lvl w:ilvl="3" w:tplc="964EA00C">
      <w:numFmt w:val="bullet"/>
      <w:lvlText w:val="•"/>
      <w:lvlJc w:val="left"/>
      <w:pPr>
        <w:ind w:left="3536" w:hanging="284"/>
      </w:pPr>
      <w:rPr>
        <w:rFonts w:hint="default"/>
        <w:lang w:val="en-US" w:eastAsia="en-US" w:bidi="ar-SA"/>
      </w:rPr>
    </w:lvl>
    <w:lvl w:ilvl="4" w:tplc="7DC43520">
      <w:numFmt w:val="bullet"/>
      <w:lvlText w:val="•"/>
      <w:lvlJc w:val="left"/>
      <w:pPr>
        <w:ind w:left="4428" w:hanging="284"/>
      </w:pPr>
      <w:rPr>
        <w:rFonts w:hint="default"/>
        <w:lang w:val="en-US" w:eastAsia="en-US" w:bidi="ar-SA"/>
      </w:rPr>
    </w:lvl>
    <w:lvl w:ilvl="5" w:tplc="7FE4DE46">
      <w:numFmt w:val="bullet"/>
      <w:lvlText w:val="•"/>
      <w:lvlJc w:val="left"/>
      <w:pPr>
        <w:ind w:left="5320" w:hanging="284"/>
      </w:pPr>
      <w:rPr>
        <w:rFonts w:hint="default"/>
        <w:lang w:val="en-US" w:eastAsia="en-US" w:bidi="ar-SA"/>
      </w:rPr>
    </w:lvl>
    <w:lvl w:ilvl="6" w:tplc="D73238D6">
      <w:numFmt w:val="bullet"/>
      <w:lvlText w:val="•"/>
      <w:lvlJc w:val="left"/>
      <w:pPr>
        <w:ind w:left="6212" w:hanging="284"/>
      </w:pPr>
      <w:rPr>
        <w:rFonts w:hint="default"/>
        <w:lang w:val="en-US" w:eastAsia="en-US" w:bidi="ar-SA"/>
      </w:rPr>
    </w:lvl>
    <w:lvl w:ilvl="7" w:tplc="B1663338">
      <w:numFmt w:val="bullet"/>
      <w:lvlText w:val="•"/>
      <w:lvlJc w:val="left"/>
      <w:pPr>
        <w:ind w:left="7104" w:hanging="284"/>
      </w:pPr>
      <w:rPr>
        <w:rFonts w:hint="default"/>
        <w:lang w:val="en-US" w:eastAsia="en-US" w:bidi="ar-SA"/>
      </w:rPr>
    </w:lvl>
    <w:lvl w:ilvl="8" w:tplc="6CD82D82">
      <w:numFmt w:val="bullet"/>
      <w:lvlText w:val="•"/>
      <w:lvlJc w:val="left"/>
      <w:pPr>
        <w:ind w:left="7996" w:hanging="284"/>
      </w:pPr>
      <w:rPr>
        <w:rFonts w:hint="default"/>
        <w:lang w:val="en-US" w:eastAsia="en-US" w:bidi="ar-SA"/>
      </w:rPr>
    </w:lvl>
  </w:abstractNum>
  <w:abstractNum w:abstractNumId="39" w15:restartNumberingAfterBreak="0">
    <w:nsid w:val="66406B20"/>
    <w:multiLevelType w:val="hybridMultilevel"/>
    <w:tmpl w:val="CD8C031C"/>
    <w:lvl w:ilvl="0" w:tplc="A594AE82">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1" w:tplc="53FA0546">
      <w:numFmt w:val="bullet"/>
      <w:lvlText w:val="–"/>
      <w:lvlJc w:val="left"/>
      <w:pPr>
        <w:ind w:left="1227" w:hanging="320"/>
      </w:pPr>
      <w:rPr>
        <w:rFonts w:ascii="Arial MT" w:eastAsia="Arial MT" w:hAnsi="Arial MT" w:cs="Arial MT" w:hint="default"/>
        <w:spacing w:val="0"/>
        <w:w w:val="86"/>
        <w:lang w:val="en-US" w:eastAsia="en-US" w:bidi="ar-SA"/>
      </w:rPr>
    </w:lvl>
    <w:lvl w:ilvl="2" w:tplc="8B1C3242">
      <w:numFmt w:val="bullet"/>
      <w:lvlText w:val="•"/>
      <w:lvlJc w:val="left"/>
      <w:pPr>
        <w:ind w:left="2171" w:hanging="320"/>
      </w:pPr>
      <w:rPr>
        <w:rFonts w:hint="default"/>
        <w:lang w:val="en-US" w:eastAsia="en-US" w:bidi="ar-SA"/>
      </w:rPr>
    </w:lvl>
    <w:lvl w:ilvl="3" w:tplc="61D6E8F8">
      <w:numFmt w:val="bullet"/>
      <w:lvlText w:val="•"/>
      <w:lvlJc w:val="left"/>
      <w:pPr>
        <w:ind w:left="3122" w:hanging="320"/>
      </w:pPr>
      <w:rPr>
        <w:rFonts w:hint="default"/>
        <w:lang w:val="en-US" w:eastAsia="en-US" w:bidi="ar-SA"/>
      </w:rPr>
    </w:lvl>
    <w:lvl w:ilvl="4" w:tplc="01E6302A">
      <w:numFmt w:val="bullet"/>
      <w:lvlText w:val="•"/>
      <w:lvlJc w:val="left"/>
      <w:pPr>
        <w:ind w:left="4073" w:hanging="320"/>
      </w:pPr>
      <w:rPr>
        <w:rFonts w:hint="default"/>
        <w:lang w:val="en-US" w:eastAsia="en-US" w:bidi="ar-SA"/>
      </w:rPr>
    </w:lvl>
    <w:lvl w:ilvl="5" w:tplc="2C1CA0B2">
      <w:numFmt w:val="bullet"/>
      <w:lvlText w:val="•"/>
      <w:lvlJc w:val="left"/>
      <w:pPr>
        <w:ind w:left="5024" w:hanging="320"/>
      </w:pPr>
      <w:rPr>
        <w:rFonts w:hint="default"/>
        <w:lang w:val="en-US" w:eastAsia="en-US" w:bidi="ar-SA"/>
      </w:rPr>
    </w:lvl>
    <w:lvl w:ilvl="6" w:tplc="7122C29C">
      <w:numFmt w:val="bullet"/>
      <w:lvlText w:val="•"/>
      <w:lvlJc w:val="left"/>
      <w:pPr>
        <w:ind w:left="5975" w:hanging="320"/>
      </w:pPr>
      <w:rPr>
        <w:rFonts w:hint="default"/>
        <w:lang w:val="en-US" w:eastAsia="en-US" w:bidi="ar-SA"/>
      </w:rPr>
    </w:lvl>
    <w:lvl w:ilvl="7" w:tplc="8B0A6A12">
      <w:numFmt w:val="bullet"/>
      <w:lvlText w:val="•"/>
      <w:lvlJc w:val="left"/>
      <w:pPr>
        <w:ind w:left="6927" w:hanging="320"/>
      </w:pPr>
      <w:rPr>
        <w:rFonts w:hint="default"/>
        <w:lang w:val="en-US" w:eastAsia="en-US" w:bidi="ar-SA"/>
      </w:rPr>
    </w:lvl>
    <w:lvl w:ilvl="8" w:tplc="979E002C">
      <w:numFmt w:val="bullet"/>
      <w:lvlText w:val="•"/>
      <w:lvlJc w:val="left"/>
      <w:pPr>
        <w:ind w:left="7878" w:hanging="320"/>
      </w:pPr>
      <w:rPr>
        <w:rFonts w:hint="default"/>
        <w:lang w:val="en-US" w:eastAsia="en-US" w:bidi="ar-SA"/>
      </w:rPr>
    </w:lvl>
  </w:abstractNum>
  <w:abstractNum w:abstractNumId="40" w15:restartNumberingAfterBreak="0">
    <w:nsid w:val="67B849E1"/>
    <w:multiLevelType w:val="hybridMultilevel"/>
    <w:tmpl w:val="179ACE96"/>
    <w:lvl w:ilvl="0" w:tplc="CD9C54AE">
      <w:start w:val="1"/>
      <w:numFmt w:val="decimal"/>
      <w:lvlText w:val="%1."/>
      <w:lvlJc w:val="left"/>
      <w:pPr>
        <w:ind w:left="850" w:hanging="284"/>
      </w:pPr>
      <w:rPr>
        <w:rFonts w:ascii="Microsoft Sans Serif" w:eastAsia="Microsoft Sans Serif" w:hAnsi="Microsoft Sans Serif" w:cs="Microsoft Sans Serif" w:hint="default"/>
        <w:b w:val="0"/>
        <w:bCs w:val="0"/>
        <w:i w:val="0"/>
        <w:iCs w:val="0"/>
        <w:spacing w:val="0"/>
        <w:w w:val="96"/>
        <w:sz w:val="22"/>
        <w:szCs w:val="22"/>
        <w:lang w:val="en-US" w:eastAsia="en-US" w:bidi="ar-SA"/>
      </w:rPr>
    </w:lvl>
    <w:lvl w:ilvl="1" w:tplc="EB409890">
      <w:numFmt w:val="bullet"/>
      <w:lvlText w:val="•"/>
      <w:lvlJc w:val="left"/>
      <w:pPr>
        <w:ind w:left="1752" w:hanging="284"/>
      </w:pPr>
      <w:rPr>
        <w:rFonts w:hint="default"/>
        <w:lang w:val="en-US" w:eastAsia="en-US" w:bidi="ar-SA"/>
      </w:rPr>
    </w:lvl>
    <w:lvl w:ilvl="2" w:tplc="7884CB62">
      <w:numFmt w:val="bullet"/>
      <w:lvlText w:val="•"/>
      <w:lvlJc w:val="left"/>
      <w:pPr>
        <w:ind w:left="2644" w:hanging="284"/>
      </w:pPr>
      <w:rPr>
        <w:rFonts w:hint="default"/>
        <w:lang w:val="en-US" w:eastAsia="en-US" w:bidi="ar-SA"/>
      </w:rPr>
    </w:lvl>
    <w:lvl w:ilvl="3" w:tplc="1AFEFFEE">
      <w:numFmt w:val="bullet"/>
      <w:lvlText w:val="•"/>
      <w:lvlJc w:val="left"/>
      <w:pPr>
        <w:ind w:left="3536" w:hanging="284"/>
      </w:pPr>
      <w:rPr>
        <w:rFonts w:hint="default"/>
        <w:lang w:val="en-US" w:eastAsia="en-US" w:bidi="ar-SA"/>
      </w:rPr>
    </w:lvl>
    <w:lvl w:ilvl="4" w:tplc="F36AB280">
      <w:numFmt w:val="bullet"/>
      <w:lvlText w:val="•"/>
      <w:lvlJc w:val="left"/>
      <w:pPr>
        <w:ind w:left="4428" w:hanging="284"/>
      </w:pPr>
      <w:rPr>
        <w:rFonts w:hint="default"/>
        <w:lang w:val="en-US" w:eastAsia="en-US" w:bidi="ar-SA"/>
      </w:rPr>
    </w:lvl>
    <w:lvl w:ilvl="5" w:tplc="68A033E2">
      <w:numFmt w:val="bullet"/>
      <w:lvlText w:val="•"/>
      <w:lvlJc w:val="left"/>
      <w:pPr>
        <w:ind w:left="5320" w:hanging="284"/>
      </w:pPr>
      <w:rPr>
        <w:rFonts w:hint="default"/>
        <w:lang w:val="en-US" w:eastAsia="en-US" w:bidi="ar-SA"/>
      </w:rPr>
    </w:lvl>
    <w:lvl w:ilvl="6" w:tplc="F1A4AA88">
      <w:numFmt w:val="bullet"/>
      <w:lvlText w:val="•"/>
      <w:lvlJc w:val="left"/>
      <w:pPr>
        <w:ind w:left="6212" w:hanging="284"/>
      </w:pPr>
      <w:rPr>
        <w:rFonts w:hint="default"/>
        <w:lang w:val="en-US" w:eastAsia="en-US" w:bidi="ar-SA"/>
      </w:rPr>
    </w:lvl>
    <w:lvl w:ilvl="7" w:tplc="D1821F42">
      <w:numFmt w:val="bullet"/>
      <w:lvlText w:val="•"/>
      <w:lvlJc w:val="left"/>
      <w:pPr>
        <w:ind w:left="7104" w:hanging="284"/>
      </w:pPr>
      <w:rPr>
        <w:rFonts w:hint="default"/>
        <w:lang w:val="en-US" w:eastAsia="en-US" w:bidi="ar-SA"/>
      </w:rPr>
    </w:lvl>
    <w:lvl w:ilvl="8" w:tplc="7DA251B8">
      <w:numFmt w:val="bullet"/>
      <w:lvlText w:val="•"/>
      <w:lvlJc w:val="left"/>
      <w:pPr>
        <w:ind w:left="7996" w:hanging="284"/>
      </w:pPr>
      <w:rPr>
        <w:rFonts w:hint="default"/>
        <w:lang w:val="en-US" w:eastAsia="en-US" w:bidi="ar-SA"/>
      </w:rPr>
    </w:lvl>
  </w:abstractNum>
  <w:abstractNum w:abstractNumId="41" w15:restartNumberingAfterBreak="0">
    <w:nsid w:val="695F3169"/>
    <w:multiLevelType w:val="hybridMultilevel"/>
    <w:tmpl w:val="AA38A322"/>
    <w:lvl w:ilvl="0" w:tplc="E424B64E">
      <w:start w:val="1"/>
      <w:numFmt w:val="decimal"/>
      <w:lvlText w:val="%1."/>
      <w:lvlJc w:val="left"/>
      <w:pPr>
        <w:ind w:left="907" w:hanging="397"/>
      </w:pPr>
      <w:rPr>
        <w:rFonts w:ascii="Calibri" w:eastAsia="Calibri" w:hAnsi="Calibri" w:cs="Calibri" w:hint="default"/>
        <w:w w:val="106"/>
        <w:sz w:val="22"/>
        <w:szCs w:val="22"/>
        <w:lang w:val="en-GB" w:eastAsia="en-GB" w:bidi="en-GB"/>
      </w:rPr>
    </w:lvl>
    <w:lvl w:ilvl="1" w:tplc="43B271AC">
      <w:numFmt w:val="bullet"/>
      <w:lvlText w:val="•"/>
      <w:lvlJc w:val="left"/>
      <w:pPr>
        <w:ind w:left="1717" w:hanging="397"/>
      </w:pPr>
      <w:rPr>
        <w:rFonts w:hint="default"/>
        <w:lang w:val="en-GB" w:eastAsia="en-GB" w:bidi="en-GB"/>
      </w:rPr>
    </w:lvl>
    <w:lvl w:ilvl="2" w:tplc="2DBAA48C">
      <w:numFmt w:val="bullet"/>
      <w:lvlText w:val="•"/>
      <w:lvlJc w:val="left"/>
      <w:pPr>
        <w:ind w:left="2534" w:hanging="397"/>
      </w:pPr>
      <w:rPr>
        <w:rFonts w:hint="default"/>
        <w:lang w:val="en-GB" w:eastAsia="en-GB" w:bidi="en-GB"/>
      </w:rPr>
    </w:lvl>
    <w:lvl w:ilvl="3" w:tplc="20C0E570">
      <w:numFmt w:val="bullet"/>
      <w:lvlText w:val="•"/>
      <w:lvlJc w:val="left"/>
      <w:pPr>
        <w:ind w:left="3351" w:hanging="397"/>
      </w:pPr>
      <w:rPr>
        <w:rFonts w:hint="default"/>
        <w:lang w:val="en-GB" w:eastAsia="en-GB" w:bidi="en-GB"/>
      </w:rPr>
    </w:lvl>
    <w:lvl w:ilvl="4" w:tplc="8ECCA724">
      <w:numFmt w:val="bullet"/>
      <w:lvlText w:val="•"/>
      <w:lvlJc w:val="left"/>
      <w:pPr>
        <w:ind w:left="4168" w:hanging="397"/>
      </w:pPr>
      <w:rPr>
        <w:rFonts w:hint="default"/>
        <w:lang w:val="en-GB" w:eastAsia="en-GB" w:bidi="en-GB"/>
      </w:rPr>
    </w:lvl>
    <w:lvl w:ilvl="5" w:tplc="8AB84388">
      <w:numFmt w:val="bullet"/>
      <w:lvlText w:val="•"/>
      <w:lvlJc w:val="left"/>
      <w:pPr>
        <w:ind w:left="4985" w:hanging="397"/>
      </w:pPr>
      <w:rPr>
        <w:rFonts w:hint="default"/>
        <w:lang w:val="en-GB" w:eastAsia="en-GB" w:bidi="en-GB"/>
      </w:rPr>
    </w:lvl>
    <w:lvl w:ilvl="6" w:tplc="08727DCE">
      <w:numFmt w:val="bullet"/>
      <w:lvlText w:val="•"/>
      <w:lvlJc w:val="left"/>
      <w:pPr>
        <w:ind w:left="5802" w:hanging="397"/>
      </w:pPr>
      <w:rPr>
        <w:rFonts w:hint="default"/>
        <w:lang w:val="en-GB" w:eastAsia="en-GB" w:bidi="en-GB"/>
      </w:rPr>
    </w:lvl>
    <w:lvl w:ilvl="7" w:tplc="DEC270A2">
      <w:numFmt w:val="bullet"/>
      <w:lvlText w:val="•"/>
      <w:lvlJc w:val="left"/>
      <w:pPr>
        <w:ind w:left="6619" w:hanging="397"/>
      </w:pPr>
      <w:rPr>
        <w:rFonts w:hint="default"/>
        <w:lang w:val="en-GB" w:eastAsia="en-GB" w:bidi="en-GB"/>
      </w:rPr>
    </w:lvl>
    <w:lvl w:ilvl="8" w:tplc="6A7EED16">
      <w:numFmt w:val="bullet"/>
      <w:lvlText w:val="•"/>
      <w:lvlJc w:val="left"/>
      <w:pPr>
        <w:ind w:left="7436" w:hanging="397"/>
      </w:pPr>
      <w:rPr>
        <w:rFonts w:hint="default"/>
        <w:lang w:val="en-GB" w:eastAsia="en-GB" w:bidi="en-GB"/>
      </w:rPr>
    </w:lvl>
  </w:abstractNum>
  <w:abstractNum w:abstractNumId="42" w15:restartNumberingAfterBreak="0">
    <w:nsid w:val="6B574949"/>
    <w:multiLevelType w:val="hybridMultilevel"/>
    <w:tmpl w:val="7BFCDE94"/>
    <w:lvl w:ilvl="0" w:tplc="5896C8EA">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1" w:tplc="3C60BFA8">
      <w:numFmt w:val="bullet"/>
      <w:lvlText w:val="–"/>
      <w:lvlJc w:val="left"/>
      <w:pPr>
        <w:ind w:left="1227" w:hanging="320"/>
      </w:pPr>
      <w:rPr>
        <w:rFonts w:ascii="Microsoft Sans Serif" w:eastAsia="Microsoft Sans Serif" w:hAnsi="Microsoft Sans Serif" w:cs="Microsoft Sans Serif" w:hint="default"/>
        <w:spacing w:val="0"/>
        <w:w w:val="170"/>
        <w:lang w:val="en-US" w:eastAsia="en-US" w:bidi="ar-SA"/>
      </w:rPr>
    </w:lvl>
    <w:lvl w:ilvl="2" w:tplc="07AA886A">
      <w:numFmt w:val="bullet"/>
      <w:lvlText w:val="•"/>
      <w:lvlJc w:val="left"/>
      <w:pPr>
        <w:ind w:left="2171" w:hanging="320"/>
      </w:pPr>
      <w:rPr>
        <w:rFonts w:hint="default"/>
        <w:lang w:val="en-US" w:eastAsia="en-US" w:bidi="ar-SA"/>
      </w:rPr>
    </w:lvl>
    <w:lvl w:ilvl="3" w:tplc="E7BE13E4">
      <w:numFmt w:val="bullet"/>
      <w:lvlText w:val="•"/>
      <w:lvlJc w:val="left"/>
      <w:pPr>
        <w:ind w:left="3122" w:hanging="320"/>
      </w:pPr>
      <w:rPr>
        <w:rFonts w:hint="default"/>
        <w:lang w:val="en-US" w:eastAsia="en-US" w:bidi="ar-SA"/>
      </w:rPr>
    </w:lvl>
    <w:lvl w:ilvl="4" w:tplc="8BC8E546">
      <w:numFmt w:val="bullet"/>
      <w:lvlText w:val="•"/>
      <w:lvlJc w:val="left"/>
      <w:pPr>
        <w:ind w:left="4073" w:hanging="320"/>
      </w:pPr>
      <w:rPr>
        <w:rFonts w:hint="default"/>
        <w:lang w:val="en-US" w:eastAsia="en-US" w:bidi="ar-SA"/>
      </w:rPr>
    </w:lvl>
    <w:lvl w:ilvl="5" w:tplc="5EDCA596">
      <w:numFmt w:val="bullet"/>
      <w:lvlText w:val="•"/>
      <w:lvlJc w:val="left"/>
      <w:pPr>
        <w:ind w:left="5024" w:hanging="320"/>
      </w:pPr>
      <w:rPr>
        <w:rFonts w:hint="default"/>
        <w:lang w:val="en-US" w:eastAsia="en-US" w:bidi="ar-SA"/>
      </w:rPr>
    </w:lvl>
    <w:lvl w:ilvl="6" w:tplc="0C8238CC">
      <w:numFmt w:val="bullet"/>
      <w:lvlText w:val="•"/>
      <w:lvlJc w:val="left"/>
      <w:pPr>
        <w:ind w:left="5975" w:hanging="320"/>
      </w:pPr>
      <w:rPr>
        <w:rFonts w:hint="default"/>
        <w:lang w:val="en-US" w:eastAsia="en-US" w:bidi="ar-SA"/>
      </w:rPr>
    </w:lvl>
    <w:lvl w:ilvl="7" w:tplc="5AD4C872">
      <w:numFmt w:val="bullet"/>
      <w:lvlText w:val="•"/>
      <w:lvlJc w:val="left"/>
      <w:pPr>
        <w:ind w:left="6927" w:hanging="320"/>
      </w:pPr>
      <w:rPr>
        <w:rFonts w:hint="default"/>
        <w:lang w:val="en-US" w:eastAsia="en-US" w:bidi="ar-SA"/>
      </w:rPr>
    </w:lvl>
    <w:lvl w:ilvl="8" w:tplc="3EB6334A">
      <w:numFmt w:val="bullet"/>
      <w:lvlText w:val="•"/>
      <w:lvlJc w:val="left"/>
      <w:pPr>
        <w:ind w:left="7878" w:hanging="320"/>
      </w:pPr>
      <w:rPr>
        <w:rFonts w:hint="default"/>
        <w:lang w:val="en-US" w:eastAsia="en-US" w:bidi="ar-SA"/>
      </w:rPr>
    </w:lvl>
  </w:abstractNum>
  <w:abstractNum w:abstractNumId="43" w15:restartNumberingAfterBreak="0">
    <w:nsid w:val="6C012A70"/>
    <w:multiLevelType w:val="hybridMultilevel"/>
    <w:tmpl w:val="AB347744"/>
    <w:lvl w:ilvl="0" w:tplc="F0BCFB62">
      <w:numFmt w:val="bullet"/>
      <w:lvlText w:val="•"/>
      <w:lvlJc w:val="left"/>
      <w:pPr>
        <w:ind w:left="850" w:hanging="284"/>
      </w:pPr>
      <w:rPr>
        <w:rFonts w:ascii="Arial" w:eastAsia="Arial" w:hAnsi="Arial" w:cs="Arial" w:hint="default"/>
        <w:b/>
        <w:bCs/>
        <w:i w:val="0"/>
        <w:iCs w:val="0"/>
        <w:color w:val="0C8140"/>
        <w:spacing w:val="0"/>
        <w:w w:val="142"/>
        <w:sz w:val="22"/>
        <w:szCs w:val="22"/>
        <w:lang w:val="en-US" w:eastAsia="en-US" w:bidi="ar-SA"/>
      </w:rPr>
    </w:lvl>
    <w:lvl w:ilvl="1" w:tplc="762AA220">
      <w:numFmt w:val="bullet"/>
      <w:lvlText w:val="–"/>
      <w:lvlJc w:val="left"/>
      <w:pPr>
        <w:ind w:left="1227" w:hanging="320"/>
      </w:pPr>
      <w:rPr>
        <w:rFonts w:ascii="Microsoft Sans Serif" w:eastAsia="Microsoft Sans Serif" w:hAnsi="Microsoft Sans Serif" w:cs="Microsoft Sans Serif" w:hint="default"/>
        <w:b w:val="0"/>
        <w:bCs w:val="0"/>
        <w:i w:val="0"/>
        <w:iCs w:val="0"/>
        <w:color w:val="0C8140"/>
        <w:spacing w:val="0"/>
        <w:w w:val="170"/>
        <w:sz w:val="22"/>
        <w:szCs w:val="22"/>
        <w:lang w:val="en-US" w:eastAsia="en-US" w:bidi="ar-SA"/>
      </w:rPr>
    </w:lvl>
    <w:lvl w:ilvl="2" w:tplc="1A9AFCAA">
      <w:numFmt w:val="bullet"/>
      <w:lvlText w:val="•"/>
      <w:lvlJc w:val="left"/>
      <w:pPr>
        <w:ind w:left="2171" w:hanging="320"/>
      </w:pPr>
      <w:rPr>
        <w:rFonts w:hint="default"/>
        <w:lang w:val="en-US" w:eastAsia="en-US" w:bidi="ar-SA"/>
      </w:rPr>
    </w:lvl>
    <w:lvl w:ilvl="3" w:tplc="D3480718">
      <w:numFmt w:val="bullet"/>
      <w:lvlText w:val="•"/>
      <w:lvlJc w:val="left"/>
      <w:pPr>
        <w:ind w:left="3122" w:hanging="320"/>
      </w:pPr>
      <w:rPr>
        <w:rFonts w:hint="default"/>
        <w:lang w:val="en-US" w:eastAsia="en-US" w:bidi="ar-SA"/>
      </w:rPr>
    </w:lvl>
    <w:lvl w:ilvl="4" w:tplc="8722BDDC">
      <w:numFmt w:val="bullet"/>
      <w:lvlText w:val="•"/>
      <w:lvlJc w:val="left"/>
      <w:pPr>
        <w:ind w:left="4073" w:hanging="320"/>
      </w:pPr>
      <w:rPr>
        <w:rFonts w:hint="default"/>
        <w:lang w:val="en-US" w:eastAsia="en-US" w:bidi="ar-SA"/>
      </w:rPr>
    </w:lvl>
    <w:lvl w:ilvl="5" w:tplc="59EC098C">
      <w:numFmt w:val="bullet"/>
      <w:lvlText w:val="•"/>
      <w:lvlJc w:val="left"/>
      <w:pPr>
        <w:ind w:left="5024" w:hanging="320"/>
      </w:pPr>
      <w:rPr>
        <w:rFonts w:hint="default"/>
        <w:lang w:val="en-US" w:eastAsia="en-US" w:bidi="ar-SA"/>
      </w:rPr>
    </w:lvl>
    <w:lvl w:ilvl="6" w:tplc="ABB03486">
      <w:numFmt w:val="bullet"/>
      <w:lvlText w:val="•"/>
      <w:lvlJc w:val="left"/>
      <w:pPr>
        <w:ind w:left="5975" w:hanging="320"/>
      </w:pPr>
      <w:rPr>
        <w:rFonts w:hint="default"/>
        <w:lang w:val="en-US" w:eastAsia="en-US" w:bidi="ar-SA"/>
      </w:rPr>
    </w:lvl>
    <w:lvl w:ilvl="7" w:tplc="647ED46E">
      <w:numFmt w:val="bullet"/>
      <w:lvlText w:val="•"/>
      <w:lvlJc w:val="left"/>
      <w:pPr>
        <w:ind w:left="6927" w:hanging="320"/>
      </w:pPr>
      <w:rPr>
        <w:rFonts w:hint="default"/>
        <w:lang w:val="en-US" w:eastAsia="en-US" w:bidi="ar-SA"/>
      </w:rPr>
    </w:lvl>
    <w:lvl w:ilvl="8" w:tplc="22D82200">
      <w:numFmt w:val="bullet"/>
      <w:lvlText w:val="•"/>
      <w:lvlJc w:val="left"/>
      <w:pPr>
        <w:ind w:left="7878" w:hanging="320"/>
      </w:pPr>
      <w:rPr>
        <w:rFonts w:hint="default"/>
        <w:lang w:val="en-US" w:eastAsia="en-US" w:bidi="ar-SA"/>
      </w:rPr>
    </w:lvl>
  </w:abstractNum>
  <w:abstractNum w:abstractNumId="44" w15:restartNumberingAfterBreak="0">
    <w:nsid w:val="6E3D7A89"/>
    <w:multiLevelType w:val="hybridMultilevel"/>
    <w:tmpl w:val="3558E42C"/>
    <w:lvl w:ilvl="0" w:tplc="0930E8B0">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1" w:tplc="4B5EC222">
      <w:numFmt w:val="bullet"/>
      <w:lvlText w:val="•"/>
      <w:lvlJc w:val="left"/>
      <w:pPr>
        <w:ind w:left="1752" w:hanging="284"/>
      </w:pPr>
      <w:rPr>
        <w:rFonts w:hint="default"/>
        <w:lang w:val="en-US" w:eastAsia="en-US" w:bidi="ar-SA"/>
      </w:rPr>
    </w:lvl>
    <w:lvl w:ilvl="2" w:tplc="35CC3254">
      <w:numFmt w:val="bullet"/>
      <w:lvlText w:val="•"/>
      <w:lvlJc w:val="left"/>
      <w:pPr>
        <w:ind w:left="2644" w:hanging="284"/>
      </w:pPr>
      <w:rPr>
        <w:rFonts w:hint="default"/>
        <w:lang w:val="en-US" w:eastAsia="en-US" w:bidi="ar-SA"/>
      </w:rPr>
    </w:lvl>
    <w:lvl w:ilvl="3" w:tplc="32A421A6">
      <w:numFmt w:val="bullet"/>
      <w:lvlText w:val="•"/>
      <w:lvlJc w:val="left"/>
      <w:pPr>
        <w:ind w:left="3536" w:hanging="284"/>
      </w:pPr>
      <w:rPr>
        <w:rFonts w:hint="default"/>
        <w:lang w:val="en-US" w:eastAsia="en-US" w:bidi="ar-SA"/>
      </w:rPr>
    </w:lvl>
    <w:lvl w:ilvl="4" w:tplc="43DE0C88">
      <w:numFmt w:val="bullet"/>
      <w:lvlText w:val="•"/>
      <w:lvlJc w:val="left"/>
      <w:pPr>
        <w:ind w:left="4428" w:hanging="284"/>
      </w:pPr>
      <w:rPr>
        <w:rFonts w:hint="default"/>
        <w:lang w:val="en-US" w:eastAsia="en-US" w:bidi="ar-SA"/>
      </w:rPr>
    </w:lvl>
    <w:lvl w:ilvl="5" w:tplc="1EF892A0">
      <w:numFmt w:val="bullet"/>
      <w:lvlText w:val="•"/>
      <w:lvlJc w:val="left"/>
      <w:pPr>
        <w:ind w:left="5320" w:hanging="284"/>
      </w:pPr>
      <w:rPr>
        <w:rFonts w:hint="default"/>
        <w:lang w:val="en-US" w:eastAsia="en-US" w:bidi="ar-SA"/>
      </w:rPr>
    </w:lvl>
    <w:lvl w:ilvl="6" w:tplc="B1A217C8">
      <w:numFmt w:val="bullet"/>
      <w:lvlText w:val="•"/>
      <w:lvlJc w:val="left"/>
      <w:pPr>
        <w:ind w:left="6212" w:hanging="284"/>
      </w:pPr>
      <w:rPr>
        <w:rFonts w:hint="default"/>
        <w:lang w:val="en-US" w:eastAsia="en-US" w:bidi="ar-SA"/>
      </w:rPr>
    </w:lvl>
    <w:lvl w:ilvl="7" w:tplc="CCDA491A">
      <w:numFmt w:val="bullet"/>
      <w:lvlText w:val="•"/>
      <w:lvlJc w:val="left"/>
      <w:pPr>
        <w:ind w:left="7104" w:hanging="284"/>
      </w:pPr>
      <w:rPr>
        <w:rFonts w:hint="default"/>
        <w:lang w:val="en-US" w:eastAsia="en-US" w:bidi="ar-SA"/>
      </w:rPr>
    </w:lvl>
    <w:lvl w:ilvl="8" w:tplc="E8409540">
      <w:numFmt w:val="bullet"/>
      <w:lvlText w:val="•"/>
      <w:lvlJc w:val="left"/>
      <w:pPr>
        <w:ind w:left="7996" w:hanging="284"/>
      </w:pPr>
      <w:rPr>
        <w:rFonts w:hint="default"/>
        <w:lang w:val="en-US" w:eastAsia="en-US" w:bidi="ar-SA"/>
      </w:rPr>
    </w:lvl>
  </w:abstractNum>
  <w:abstractNum w:abstractNumId="45" w15:restartNumberingAfterBreak="0">
    <w:nsid w:val="6F2F3092"/>
    <w:multiLevelType w:val="multilevel"/>
    <w:tmpl w:val="0696FB9A"/>
    <w:lvl w:ilvl="0">
      <w:start w:val="2"/>
      <w:numFmt w:val="decimal"/>
      <w:lvlText w:val="%1."/>
      <w:lvlJc w:val="left"/>
      <w:pPr>
        <w:ind w:left="832" w:hanging="266"/>
      </w:pPr>
      <w:rPr>
        <w:rFonts w:ascii="Arial" w:eastAsia="Arial" w:hAnsi="Arial" w:cs="Arial" w:hint="default"/>
        <w:b/>
        <w:bCs/>
        <w:i w:val="0"/>
        <w:iCs w:val="0"/>
        <w:color w:val="019648"/>
        <w:spacing w:val="0"/>
        <w:w w:val="102"/>
        <w:sz w:val="24"/>
        <w:szCs w:val="24"/>
        <w:lang w:val="en-US" w:eastAsia="en-US" w:bidi="ar-SA"/>
      </w:rPr>
    </w:lvl>
    <w:lvl w:ilvl="1">
      <w:start w:val="1"/>
      <w:numFmt w:val="decimal"/>
      <w:lvlText w:val="%1.%2."/>
      <w:lvlJc w:val="left"/>
      <w:pPr>
        <w:ind w:left="1242" w:hanging="392"/>
      </w:pPr>
      <w:rPr>
        <w:rFonts w:hint="default"/>
        <w:spacing w:val="0"/>
        <w:w w:val="97"/>
        <w:lang w:val="en-US" w:eastAsia="en-US" w:bidi="ar-SA"/>
      </w:rPr>
    </w:lvl>
    <w:lvl w:ilvl="2">
      <w:start w:val="1"/>
      <w:numFmt w:val="decimal"/>
      <w:lvlText w:val="%1.%2.%3"/>
      <w:lvlJc w:val="left"/>
      <w:pPr>
        <w:ind w:left="3795" w:hanging="392"/>
      </w:pPr>
      <w:rPr>
        <w:rFonts w:ascii="Microsoft Sans Serif" w:eastAsia="Microsoft Sans Serif" w:hAnsi="Microsoft Sans Serif" w:cs="Microsoft Sans Serif" w:hint="default"/>
        <w:b w:val="0"/>
        <w:bCs w:val="0"/>
        <w:i w:val="0"/>
        <w:iCs w:val="0"/>
        <w:spacing w:val="0"/>
        <w:w w:val="99"/>
        <w:sz w:val="20"/>
        <w:szCs w:val="20"/>
        <w:lang w:val="en-US" w:eastAsia="en-US" w:bidi="ar-SA"/>
      </w:rPr>
    </w:lvl>
    <w:lvl w:ilvl="3">
      <w:numFmt w:val="bullet"/>
      <w:lvlText w:val="•"/>
      <w:lvlJc w:val="left"/>
      <w:pPr>
        <w:ind w:left="2762" w:hanging="392"/>
      </w:pPr>
      <w:rPr>
        <w:rFonts w:hint="default"/>
        <w:lang w:val="en-US" w:eastAsia="en-US" w:bidi="ar-SA"/>
      </w:rPr>
    </w:lvl>
    <w:lvl w:ilvl="4">
      <w:numFmt w:val="bullet"/>
      <w:lvlText w:val="•"/>
      <w:lvlJc w:val="left"/>
      <w:pPr>
        <w:ind w:left="3765" w:hanging="392"/>
      </w:pPr>
      <w:rPr>
        <w:rFonts w:hint="default"/>
        <w:lang w:val="en-US" w:eastAsia="en-US" w:bidi="ar-SA"/>
      </w:rPr>
    </w:lvl>
    <w:lvl w:ilvl="5">
      <w:numFmt w:val="bullet"/>
      <w:lvlText w:val="•"/>
      <w:lvlJc w:val="left"/>
      <w:pPr>
        <w:ind w:left="4767" w:hanging="392"/>
      </w:pPr>
      <w:rPr>
        <w:rFonts w:hint="default"/>
        <w:lang w:val="en-US" w:eastAsia="en-US" w:bidi="ar-SA"/>
      </w:rPr>
    </w:lvl>
    <w:lvl w:ilvl="6">
      <w:numFmt w:val="bullet"/>
      <w:lvlText w:val="•"/>
      <w:lvlJc w:val="left"/>
      <w:pPr>
        <w:ind w:left="5770" w:hanging="392"/>
      </w:pPr>
      <w:rPr>
        <w:rFonts w:hint="default"/>
        <w:lang w:val="en-US" w:eastAsia="en-US" w:bidi="ar-SA"/>
      </w:rPr>
    </w:lvl>
    <w:lvl w:ilvl="7">
      <w:numFmt w:val="bullet"/>
      <w:lvlText w:val="•"/>
      <w:lvlJc w:val="left"/>
      <w:pPr>
        <w:ind w:left="6772" w:hanging="392"/>
      </w:pPr>
      <w:rPr>
        <w:rFonts w:hint="default"/>
        <w:lang w:val="en-US" w:eastAsia="en-US" w:bidi="ar-SA"/>
      </w:rPr>
    </w:lvl>
    <w:lvl w:ilvl="8">
      <w:numFmt w:val="bullet"/>
      <w:lvlText w:val="•"/>
      <w:lvlJc w:val="left"/>
      <w:pPr>
        <w:ind w:left="7775" w:hanging="392"/>
      </w:pPr>
      <w:rPr>
        <w:rFonts w:hint="default"/>
        <w:lang w:val="en-US" w:eastAsia="en-US" w:bidi="ar-SA"/>
      </w:rPr>
    </w:lvl>
  </w:abstractNum>
  <w:abstractNum w:abstractNumId="46" w15:restartNumberingAfterBreak="0">
    <w:nsid w:val="730A05ED"/>
    <w:multiLevelType w:val="hybridMultilevel"/>
    <w:tmpl w:val="F918A54C"/>
    <w:lvl w:ilvl="0" w:tplc="064AB1D2">
      <w:start w:val="1"/>
      <w:numFmt w:val="decimal"/>
      <w:lvlText w:val="%1."/>
      <w:lvlJc w:val="left"/>
      <w:pPr>
        <w:ind w:left="927" w:hanging="360"/>
      </w:pPr>
      <w:rPr>
        <w:rFonts w:ascii="Microsoft Sans Serif" w:eastAsia="Microsoft Sans Serif" w:hAnsi="Microsoft Sans Serif" w:cs="Microsoft Sans Serif" w:hint="default"/>
        <w:b w:val="0"/>
        <w:bCs w:val="0"/>
        <w:i w:val="0"/>
        <w:iCs w:val="0"/>
        <w:spacing w:val="0"/>
        <w:w w:val="96"/>
        <w:sz w:val="20"/>
        <w:szCs w:val="20"/>
        <w:lang w:val="en-US" w:eastAsia="en-US" w:bidi="ar-SA"/>
      </w:rPr>
    </w:lvl>
    <w:lvl w:ilvl="1" w:tplc="75023CAA">
      <w:numFmt w:val="bullet"/>
      <w:lvlText w:val="•"/>
      <w:lvlJc w:val="left"/>
      <w:pPr>
        <w:ind w:left="1806" w:hanging="360"/>
      </w:pPr>
      <w:rPr>
        <w:rFonts w:hint="default"/>
        <w:lang w:val="en-US" w:eastAsia="en-US" w:bidi="ar-SA"/>
      </w:rPr>
    </w:lvl>
    <w:lvl w:ilvl="2" w:tplc="AA46BE9E">
      <w:numFmt w:val="bullet"/>
      <w:lvlText w:val="•"/>
      <w:lvlJc w:val="left"/>
      <w:pPr>
        <w:ind w:left="2692" w:hanging="360"/>
      </w:pPr>
      <w:rPr>
        <w:rFonts w:hint="default"/>
        <w:lang w:val="en-US" w:eastAsia="en-US" w:bidi="ar-SA"/>
      </w:rPr>
    </w:lvl>
    <w:lvl w:ilvl="3" w:tplc="5928E2FE">
      <w:numFmt w:val="bullet"/>
      <w:lvlText w:val="•"/>
      <w:lvlJc w:val="left"/>
      <w:pPr>
        <w:ind w:left="3578" w:hanging="360"/>
      </w:pPr>
      <w:rPr>
        <w:rFonts w:hint="default"/>
        <w:lang w:val="en-US" w:eastAsia="en-US" w:bidi="ar-SA"/>
      </w:rPr>
    </w:lvl>
    <w:lvl w:ilvl="4" w:tplc="B11E6A7C">
      <w:numFmt w:val="bullet"/>
      <w:lvlText w:val="•"/>
      <w:lvlJc w:val="left"/>
      <w:pPr>
        <w:ind w:left="4464" w:hanging="360"/>
      </w:pPr>
      <w:rPr>
        <w:rFonts w:hint="default"/>
        <w:lang w:val="en-US" w:eastAsia="en-US" w:bidi="ar-SA"/>
      </w:rPr>
    </w:lvl>
    <w:lvl w:ilvl="5" w:tplc="AB3A5594">
      <w:numFmt w:val="bullet"/>
      <w:lvlText w:val="•"/>
      <w:lvlJc w:val="left"/>
      <w:pPr>
        <w:ind w:left="5350" w:hanging="360"/>
      </w:pPr>
      <w:rPr>
        <w:rFonts w:hint="default"/>
        <w:lang w:val="en-US" w:eastAsia="en-US" w:bidi="ar-SA"/>
      </w:rPr>
    </w:lvl>
    <w:lvl w:ilvl="6" w:tplc="92CE4C72">
      <w:numFmt w:val="bullet"/>
      <w:lvlText w:val="•"/>
      <w:lvlJc w:val="left"/>
      <w:pPr>
        <w:ind w:left="6236" w:hanging="360"/>
      </w:pPr>
      <w:rPr>
        <w:rFonts w:hint="default"/>
        <w:lang w:val="en-US" w:eastAsia="en-US" w:bidi="ar-SA"/>
      </w:rPr>
    </w:lvl>
    <w:lvl w:ilvl="7" w:tplc="08E0D134">
      <w:numFmt w:val="bullet"/>
      <w:lvlText w:val="•"/>
      <w:lvlJc w:val="left"/>
      <w:pPr>
        <w:ind w:left="7122" w:hanging="360"/>
      </w:pPr>
      <w:rPr>
        <w:rFonts w:hint="default"/>
        <w:lang w:val="en-US" w:eastAsia="en-US" w:bidi="ar-SA"/>
      </w:rPr>
    </w:lvl>
    <w:lvl w:ilvl="8" w:tplc="391A2134">
      <w:numFmt w:val="bullet"/>
      <w:lvlText w:val="•"/>
      <w:lvlJc w:val="left"/>
      <w:pPr>
        <w:ind w:left="8008" w:hanging="360"/>
      </w:pPr>
      <w:rPr>
        <w:rFonts w:hint="default"/>
        <w:lang w:val="en-US" w:eastAsia="en-US" w:bidi="ar-SA"/>
      </w:rPr>
    </w:lvl>
  </w:abstractNum>
  <w:abstractNum w:abstractNumId="47" w15:restartNumberingAfterBreak="0">
    <w:nsid w:val="744B2C8A"/>
    <w:multiLevelType w:val="hybridMultilevel"/>
    <w:tmpl w:val="E7E6FF92"/>
    <w:lvl w:ilvl="0" w:tplc="3B28E0FC">
      <w:start w:val="1"/>
      <w:numFmt w:val="decimal"/>
      <w:lvlText w:val="%1."/>
      <w:lvlJc w:val="left"/>
      <w:pPr>
        <w:ind w:left="1700" w:hanging="284"/>
      </w:pPr>
      <w:rPr>
        <w:rFonts w:ascii="Calibri" w:eastAsia="Calibri" w:hAnsi="Calibri" w:cs="Calibri" w:hint="default"/>
        <w:w w:val="106"/>
        <w:sz w:val="22"/>
        <w:szCs w:val="22"/>
        <w:lang w:val="en-GB" w:eastAsia="en-GB" w:bidi="en-GB"/>
      </w:rPr>
    </w:lvl>
    <w:lvl w:ilvl="1" w:tplc="D7F0BDB6">
      <w:numFmt w:val="bullet"/>
      <w:lvlText w:val="•"/>
      <w:lvlJc w:val="left"/>
      <w:pPr>
        <w:ind w:left="2720" w:hanging="284"/>
      </w:pPr>
      <w:rPr>
        <w:rFonts w:hint="default"/>
        <w:lang w:val="en-GB" w:eastAsia="en-GB" w:bidi="en-GB"/>
      </w:rPr>
    </w:lvl>
    <w:lvl w:ilvl="2" w:tplc="68EEEC16">
      <w:numFmt w:val="bullet"/>
      <w:lvlText w:val="•"/>
      <w:lvlJc w:val="left"/>
      <w:pPr>
        <w:ind w:left="3741" w:hanging="284"/>
      </w:pPr>
      <w:rPr>
        <w:rFonts w:hint="default"/>
        <w:lang w:val="en-GB" w:eastAsia="en-GB" w:bidi="en-GB"/>
      </w:rPr>
    </w:lvl>
    <w:lvl w:ilvl="3" w:tplc="CF44F570">
      <w:numFmt w:val="bullet"/>
      <w:lvlText w:val="•"/>
      <w:lvlJc w:val="left"/>
      <w:pPr>
        <w:ind w:left="4761" w:hanging="284"/>
      </w:pPr>
      <w:rPr>
        <w:rFonts w:hint="default"/>
        <w:lang w:val="en-GB" w:eastAsia="en-GB" w:bidi="en-GB"/>
      </w:rPr>
    </w:lvl>
    <w:lvl w:ilvl="4" w:tplc="8E3AED22">
      <w:numFmt w:val="bullet"/>
      <w:lvlText w:val="•"/>
      <w:lvlJc w:val="left"/>
      <w:pPr>
        <w:ind w:left="5782" w:hanging="284"/>
      </w:pPr>
      <w:rPr>
        <w:rFonts w:hint="default"/>
        <w:lang w:val="en-GB" w:eastAsia="en-GB" w:bidi="en-GB"/>
      </w:rPr>
    </w:lvl>
    <w:lvl w:ilvl="5" w:tplc="E3EC8394">
      <w:numFmt w:val="bullet"/>
      <w:lvlText w:val="•"/>
      <w:lvlJc w:val="left"/>
      <w:pPr>
        <w:ind w:left="6802" w:hanging="284"/>
      </w:pPr>
      <w:rPr>
        <w:rFonts w:hint="default"/>
        <w:lang w:val="en-GB" w:eastAsia="en-GB" w:bidi="en-GB"/>
      </w:rPr>
    </w:lvl>
    <w:lvl w:ilvl="6" w:tplc="44E22388">
      <w:numFmt w:val="bullet"/>
      <w:lvlText w:val="•"/>
      <w:lvlJc w:val="left"/>
      <w:pPr>
        <w:ind w:left="7823" w:hanging="284"/>
      </w:pPr>
      <w:rPr>
        <w:rFonts w:hint="default"/>
        <w:lang w:val="en-GB" w:eastAsia="en-GB" w:bidi="en-GB"/>
      </w:rPr>
    </w:lvl>
    <w:lvl w:ilvl="7" w:tplc="733C2348">
      <w:numFmt w:val="bullet"/>
      <w:lvlText w:val="•"/>
      <w:lvlJc w:val="left"/>
      <w:pPr>
        <w:ind w:left="8843" w:hanging="284"/>
      </w:pPr>
      <w:rPr>
        <w:rFonts w:hint="default"/>
        <w:lang w:val="en-GB" w:eastAsia="en-GB" w:bidi="en-GB"/>
      </w:rPr>
    </w:lvl>
    <w:lvl w:ilvl="8" w:tplc="E17AA462">
      <w:numFmt w:val="bullet"/>
      <w:lvlText w:val="•"/>
      <w:lvlJc w:val="left"/>
      <w:pPr>
        <w:ind w:left="9864" w:hanging="284"/>
      </w:pPr>
      <w:rPr>
        <w:rFonts w:hint="default"/>
        <w:lang w:val="en-GB" w:eastAsia="en-GB" w:bidi="en-GB"/>
      </w:rPr>
    </w:lvl>
  </w:abstractNum>
  <w:abstractNum w:abstractNumId="48" w15:restartNumberingAfterBreak="0">
    <w:nsid w:val="755929FB"/>
    <w:multiLevelType w:val="hybridMultilevel"/>
    <w:tmpl w:val="8A56A2F0"/>
    <w:lvl w:ilvl="0" w:tplc="4ED0D8B8">
      <w:start w:val="1"/>
      <w:numFmt w:val="lowerLetter"/>
      <w:lvlText w:val="%1)"/>
      <w:lvlJc w:val="left"/>
      <w:pPr>
        <w:ind w:left="1700" w:hanging="284"/>
      </w:pPr>
      <w:rPr>
        <w:rFonts w:ascii="Calibri" w:eastAsia="Calibri" w:hAnsi="Calibri" w:cs="Calibri" w:hint="default"/>
        <w:w w:val="105"/>
        <w:sz w:val="22"/>
        <w:szCs w:val="22"/>
        <w:lang w:val="en-GB" w:eastAsia="en-GB" w:bidi="en-GB"/>
      </w:rPr>
    </w:lvl>
    <w:lvl w:ilvl="1" w:tplc="BE26397A">
      <w:numFmt w:val="bullet"/>
      <w:lvlText w:val="•"/>
      <w:lvlJc w:val="left"/>
      <w:pPr>
        <w:ind w:left="2720" w:hanging="284"/>
      </w:pPr>
      <w:rPr>
        <w:rFonts w:hint="default"/>
        <w:lang w:val="en-GB" w:eastAsia="en-GB" w:bidi="en-GB"/>
      </w:rPr>
    </w:lvl>
    <w:lvl w:ilvl="2" w:tplc="88BE4848">
      <w:numFmt w:val="bullet"/>
      <w:lvlText w:val="•"/>
      <w:lvlJc w:val="left"/>
      <w:pPr>
        <w:ind w:left="3741" w:hanging="284"/>
      </w:pPr>
      <w:rPr>
        <w:rFonts w:hint="default"/>
        <w:lang w:val="en-GB" w:eastAsia="en-GB" w:bidi="en-GB"/>
      </w:rPr>
    </w:lvl>
    <w:lvl w:ilvl="3" w:tplc="77D23E94">
      <w:numFmt w:val="bullet"/>
      <w:lvlText w:val="•"/>
      <w:lvlJc w:val="left"/>
      <w:pPr>
        <w:ind w:left="4761" w:hanging="284"/>
      </w:pPr>
      <w:rPr>
        <w:rFonts w:hint="default"/>
        <w:lang w:val="en-GB" w:eastAsia="en-GB" w:bidi="en-GB"/>
      </w:rPr>
    </w:lvl>
    <w:lvl w:ilvl="4" w:tplc="3948E13E">
      <w:numFmt w:val="bullet"/>
      <w:lvlText w:val="•"/>
      <w:lvlJc w:val="left"/>
      <w:pPr>
        <w:ind w:left="5782" w:hanging="284"/>
      </w:pPr>
      <w:rPr>
        <w:rFonts w:hint="default"/>
        <w:lang w:val="en-GB" w:eastAsia="en-GB" w:bidi="en-GB"/>
      </w:rPr>
    </w:lvl>
    <w:lvl w:ilvl="5" w:tplc="B126A11A">
      <w:numFmt w:val="bullet"/>
      <w:lvlText w:val="•"/>
      <w:lvlJc w:val="left"/>
      <w:pPr>
        <w:ind w:left="6802" w:hanging="284"/>
      </w:pPr>
      <w:rPr>
        <w:rFonts w:hint="default"/>
        <w:lang w:val="en-GB" w:eastAsia="en-GB" w:bidi="en-GB"/>
      </w:rPr>
    </w:lvl>
    <w:lvl w:ilvl="6" w:tplc="F94A3ED4">
      <w:numFmt w:val="bullet"/>
      <w:lvlText w:val="•"/>
      <w:lvlJc w:val="left"/>
      <w:pPr>
        <w:ind w:left="7823" w:hanging="284"/>
      </w:pPr>
      <w:rPr>
        <w:rFonts w:hint="default"/>
        <w:lang w:val="en-GB" w:eastAsia="en-GB" w:bidi="en-GB"/>
      </w:rPr>
    </w:lvl>
    <w:lvl w:ilvl="7" w:tplc="C86A0222">
      <w:numFmt w:val="bullet"/>
      <w:lvlText w:val="•"/>
      <w:lvlJc w:val="left"/>
      <w:pPr>
        <w:ind w:left="8843" w:hanging="284"/>
      </w:pPr>
      <w:rPr>
        <w:rFonts w:hint="default"/>
        <w:lang w:val="en-GB" w:eastAsia="en-GB" w:bidi="en-GB"/>
      </w:rPr>
    </w:lvl>
    <w:lvl w:ilvl="8" w:tplc="2B688046">
      <w:numFmt w:val="bullet"/>
      <w:lvlText w:val="•"/>
      <w:lvlJc w:val="left"/>
      <w:pPr>
        <w:ind w:left="9864" w:hanging="284"/>
      </w:pPr>
      <w:rPr>
        <w:rFonts w:hint="default"/>
        <w:lang w:val="en-GB" w:eastAsia="en-GB" w:bidi="en-GB"/>
      </w:rPr>
    </w:lvl>
  </w:abstractNum>
  <w:abstractNum w:abstractNumId="49" w15:restartNumberingAfterBreak="0">
    <w:nsid w:val="76CF437F"/>
    <w:multiLevelType w:val="hybridMultilevel"/>
    <w:tmpl w:val="1F460446"/>
    <w:lvl w:ilvl="0" w:tplc="569633E8">
      <w:start w:val="1"/>
      <w:numFmt w:val="decimal"/>
      <w:lvlText w:val="%1."/>
      <w:lvlJc w:val="left"/>
      <w:pPr>
        <w:ind w:left="1700" w:hanging="284"/>
      </w:pPr>
      <w:rPr>
        <w:rFonts w:ascii="Calibri" w:eastAsia="Calibri" w:hAnsi="Calibri" w:cs="Calibri" w:hint="default"/>
        <w:w w:val="106"/>
        <w:sz w:val="22"/>
        <w:szCs w:val="22"/>
        <w:lang w:val="en-GB" w:eastAsia="en-GB" w:bidi="en-GB"/>
      </w:rPr>
    </w:lvl>
    <w:lvl w:ilvl="1" w:tplc="C52E0D68">
      <w:numFmt w:val="bullet"/>
      <w:lvlText w:val="•"/>
      <w:lvlJc w:val="left"/>
      <w:pPr>
        <w:ind w:left="2720" w:hanging="284"/>
      </w:pPr>
      <w:rPr>
        <w:rFonts w:hint="default"/>
        <w:lang w:val="en-GB" w:eastAsia="en-GB" w:bidi="en-GB"/>
      </w:rPr>
    </w:lvl>
    <w:lvl w:ilvl="2" w:tplc="8CF06CE0">
      <w:numFmt w:val="bullet"/>
      <w:lvlText w:val="•"/>
      <w:lvlJc w:val="left"/>
      <w:pPr>
        <w:ind w:left="3741" w:hanging="284"/>
      </w:pPr>
      <w:rPr>
        <w:rFonts w:hint="default"/>
        <w:lang w:val="en-GB" w:eastAsia="en-GB" w:bidi="en-GB"/>
      </w:rPr>
    </w:lvl>
    <w:lvl w:ilvl="3" w:tplc="2990C21C">
      <w:numFmt w:val="bullet"/>
      <w:lvlText w:val="•"/>
      <w:lvlJc w:val="left"/>
      <w:pPr>
        <w:ind w:left="4761" w:hanging="284"/>
      </w:pPr>
      <w:rPr>
        <w:rFonts w:hint="default"/>
        <w:lang w:val="en-GB" w:eastAsia="en-GB" w:bidi="en-GB"/>
      </w:rPr>
    </w:lvl>
    <w:lvl w:ilvl="4" w:tplc="4914E036">
      <w:numFmt w:val="bullet"/>
      <w:lvlText w:val="•"/>
      <w:lvlJc w:val="left"/>
      <w:pPr>
        <w:ind w:left="5782" w:hanging="284"/>
      </w:pPr>
      <w:rPr>
        <w:rFonts w:hint="default"/>
        <w:lang w:val="en-GB" w:eastAsia="en-GB" w:bidi="en-GB"/>
      </w:rPr>
    </w:lvl>
    <w:lvl w:ilvl="5" w:tplc="21E0ED04">
      <w:numFmt w:val="bullet"/>
      <w:lvlText w:val="•"/>
      <w:lvlJc w:val="left"/>
      <w:pPr>
        <w:ind w:left="6802" w:hanging="284"/>
      </w:pPr>
      <w:rPr>
        <w:rFonts w:hint="default"/>
        <w:lang w:val="en-GB" w:eastAsia="en-GB" w:bidi="en-GB"/>
      </w:rPr>
    </w:lvl>
    <w:lvl w:ilvl="6" w:tplc="59E645A8">
      <w:numFmt w:val="bullet"/>
      <w:lvlText w:val="•"/>
      <w:lvlJc w:val="left"/>
      <w:pPr>
        <w:ind w:left="7823" w:hanging="284"/>
      </w:pPr>
      <w:rPr>
        <w:rFonts w:hint="default"/>
        <w:lang w:val="en-GB" w:eastAsia="en-GB" w:bidi="en-GB"/>
      </w:rPr>
    </w:lvl>
    <w:lvl w:ilvl="7" w:tplc="C02AA286">
      <w:numFmt w:val="bullet"/>
      <w:lvlText w:val="•"/>
      <w:lvlJc w:val="left"/>
      <w:pPr>
        <w:ind w:left="8843" w:hanging="284"/>
      </w:pPr>
      <w:rPr>
        <w:rFonts w:hint="default"/>
        <w:lang w:val="en-GB" w:eastAsia="en-GB" w:bidi="en-GB"/>
      </w:rPr>
    </w:lvl>
    <w:lvl w:ilvl="8" w:tplc="7E34F8A8">
      <w:numFmt w:val="bullet"/>
      <w:lvlText w:val="•"/>
      <w:lvlJc w:val="left"/>
      <w:pPr>
        <w:ind w:left="9864" w:hanging="284"/>
      </w:pPr>
      <w:rPr>
        <w:rFonts w:hint="default"/>
        <w:lang w:val="en-GB" w:eastAsia="en-GB" w:bidi="en-GB"/>
      </w:rPr>
    </w:lvl>
  </w:abstractNum>
  <w:abstractNum w:abstractNumId="50" w15:restartNumberingAfterBreak="0">
    <w:nsid w:val="7744454F"/>
    <w:multiLevelType w:val="hybridMultilevel"/>
    <w:tmpl w:val="48E26332"/>
    <w:lvl w:ilvl="0" w:tplc="F9FA7084">
      <w:start w:val="1"/>
      <w:numFmt w:val="decimal"/>
      <w:lvlText w:val="%1."/>
      <w:lvlJc w:val="left"/>
      <w:pPr>
        <w:ind w:left="850" w:hanging="284"/>
      </w:pPr>
      <w:rPr>
        <w:rFonts w:ascii="Arial" w:eastAsia="Arial" w:hAnsi="Arial" w:cs="Arial" w:hint="default"/>
        <w:b/>
        <w:bCs/>
        <w:i w:val="0"/>
        <w:iCs w:val="0"/>
        <w:spacing w:val="0"/>
        <w:w w:val="102"/>
        <w:sz w:val="22"/>
        <w:szCs w:val="22"/>
        <w:lang w:val="en-US" w:eastAsia="en-US" w:bidi="ar-SA"/>
      </w:rPr>
    </w:lvl>
    <w:lvl w:ilvl="1" w:tplc="0980C9A6">
      <w:numFmt w:val="bullet"/>
      <w:lvlText w:val="•"/>
      <w:lvlJc w:val="left"/>
      <w:pPr>
        <w:ind w:left="850" w:hanging="284"/>
      </w:pPr>
      <w:rPr>
        <w:rFonts w:ascii="Microsoft Sans Serif" w:eastAsia="Microsoft Sans Serif" w:hAnsi="Microsoft Sans Serif" w:cs="Microsoft Sans Serif" w:hint="default"/>
        <w:b w:val="0"/>
        <w:bCs w:val="0"/>
        <w:i w:val="0"/>
        <w:iCs w:val="0"/>
        <w:color w:val="0C8140"/>
        <w:spacing w:val="0"/>
        <w:w w:val="140"/>
        <w:sz w:val="22"/>
        <w:szCs w:val="22"/>
        <w:lang w:val="en-US" w:eastAsia="en-US" w:bidi="ar-SA"/>
      </w:rPr>
    </w:lvl>
    <w:lvl w:ilvl="2" w:tplc="976ED342">
      <w:numFmt w:val="bullet"/>
      <w:lvlText w:val="•"/>
      <w:lvlJc w:val="left"/>
      <w:pPr>
        <w:ind w:left="2644" w:hanging="284"/>
      </w:pPr>
      <w:rPr>
        <w:rFonts w:hint="default"/>
        <w:lang w:val="en-US" w:eastAsia="en-US" w:bidi="ar-SA"/>
      </w:rPr>
    </w:lvl>
    <w:lvl w:ilvl="3" w:tplc="1616A708">
      <w:numFmt w:val="bullet"/>
      <w:lvlText w:val="•"/>
      <w:lvlJc w:val="left"/>
      <w:pPr>
        <w:ind w:left="3536" w:hanging="284"/>
      </w:pPr>
      <w:rPr>
        <w:rFonts w:hint="default"/>
        <w:lang w:val="en-US" w:eastAsia="en-US" w:bidi="ar-SA"/>
      </w:rPr>
    </w:lvl>
    <w:lvl w:ilvl="4" w:tplc="6EAC32D8">
      <w:numFmt w:val="bullet"/>
      <w:lvlText w:val="•"/>
      <w:lvlJc w:val="left"/>
      <w:pPr>
        <w:ind w:left="4428" w:hanging="284"/>
      </w:pPr>
      <w:rPr>
        <w:rFonts w:hint="default"/>
        <w:lang w:val="en-US" w:eastAsia="en-US" w:bidi="ar-SA"/>
      </w:rPr>
    </w:lvl>
    <w:lvl w:ilvl="5" w:tplc="F7760B1A">
      <w:numFmt w:val="bullet"/>
      <w:lvlText w:val="•"/>
      <w:lvlJc w:val="left"/>
      <w:pPr>
        <w:ind w:left="5320" w:hanging="284"/>
      </w:pPr>
      <w:rPr>
        <w:rFonts w:hint="default"/>
        <w:lang w:val="en-US" w:eastAsia="en-US" w:bidi="ar-SA"/>
      </w:rPr>
    </w:lvl>
    <w:lvl w:ilvl="6" w:tplc="67A455B2">
      <w:numFmt w:val="bullet"/>
      <w:lvlText w:val="•"/>
      <w:lvlJc w:val="left"/>
      <w:pPr>
        <w:ind w:left="6212" w:hanging="284"/>
      </w:pPr>
      <w:rPr>
        <w:rFonts w:hint="default"/>
        <w:lang w:val="en-US" w:eastAsia="en-US" w:bidi="ar-SA"/>
      </w:rPr>
    </w:lvl>
    <w:lvl w:ilvl="7" w:tplc="FD2AFB60">
      <w:numFmt w:val="bullet"/>
      <w:lvlText w:val="•"/>
      <w:lvlJc w:val="left"/>
      <w:pPr>
        <w:ind w:left="7104" w:hanging="284"/>
      </w:pPr>
      <w:rPr>
        <w:rFonts w:hint="default"/>
        <w:lang w:val="en-US" w:eastAsia="en-US" w:bidi="ar-SA"/>
      </w:rPr>
    </w:lvl>
    <w:lvl w:ilvl="8" w:tplc="25082460">
      <w:numFmt w:val="bullet"/>
      <w:lvlText w:val="•"/>
      <w:lvlJc w:val="left"/>
      <w:pPr>
        <w:ind w:left="7996" w:hanging="284"/>
      </w:pPr>
      <w:rPr>
        <w:rFonts w:hint="default"/>
        <w:lang w:val="en-US" w:eastAsia="en-US" w:bidi="ar-SA"/>
      </w:rPr>
    </w:lvl>
  </w:abstractNum>
  <w:abstractNum w:abstractNumId="51" w15:restartNumberingAfterBreak="0">
    <w:nsid w:val="7C047FD3"/>
    <w:multiLevelType w:val="multilevel"/>
    <w:tmpl w:val="B89E2F9E"/>
    <w:lvl w:ilvl="0">
      <w:start w:val="2"/>
      <w:numFmt w:val="decimal"/>
      <w:lvlText w:val="%1"/>
      <w:lvlJc w:val="left"/>
      <w:pPr>
        <w:ind w:left="2157" w:hanging="741"/>
      </w:pPr>
      <w:rPr>
        <w:rFonts w:hint="default"/>
        <w:lang w:val="en-GB" w:eastAsia="en-GB" w:bidi="en-GB"/>
      </w:rPr>
    </w:lvl>
    <w:lvl w:ilvl="1">
      <w:start w:val="4"/>
      <w:numFmt w:val="decimal"/>
      <w:lvlText w:val="%1.%2"/>
      <w:lvlJc w:val="left"/>
      <w:pPr>
        <w:ind w:left="2157" w:hanging="741"/>
      </w:pPr>
      <w:rPr>
        <w:rFonts w:hint="default"/>
        <w:lang w:val="en-GB" w:eastAsia="en-GB" w:bidi="en-GB"/>
      </w:rPr>
    </w:lvl>
    <w:lvl w:ilvl="2">
      <w:start w:val="2"/>
      <w:numFmt w:val="decimal"/>
      <w:lvlText w:val="%1.%2.%3"/>
      <w:lvlJc w:val="left"/>
      <w:pPr>
        <w:ind w:left="2157" w:hanging="741"/>
      </w:pPr>
      <w:rPr>
        <w:rFonts w:hint="default"/>
        <w:b/>
        <w:bCs/>
        <w:spacing w:val="0"/>
        <w:w w:val="97"/>
        <w:lang w:val="en-GB" w:eastAsia="en-GB" w:bidi="en-GB"/>
      </w:rPr>
    </w:lvl>
    <w:lvl w:ilvl="3">
      <w:numFmt w:val="bullet"/>
      <w:lvlText w:val="•"/>
      <w:lvlJc w:val="left"/>
      <w:pPr>
        <w:ind w:left="5083" w:hanging="741"/>
      </w:pPr>
      <w:rPr>
        <w:rFonts w:hint="default"/>
        <w:lang w:val="en-GB" w:eastAsia="en-GB" w:bidi="en-GB"/>
      </w:rPr>
    </w:lvl>
    <w:lvl w:ilvl="4">
      <w:numFmt w:val="bullet"/>
      <w:lvlText w:val="•"/>
      <w:lvlJc w:val="left"/>
      <w:pPr>
        <w:ind w:left="6058" w:hanging="741"/>
      </w:pPr>
      <w:rPr>
        <w:rFonts w:hint="default"/>
        <w:lang w:val="en-GB" w:eastAsia="en-GB" w:bidi="en-GB"/>
      </w:rPr>
    </w:lvl>
    <w:lvl w:ilvl="5">
      <w:numFmt w:val="bullet"/>
      <w:lvlText w:val="•"/>
      <w:lvlJc w:val="left"/>
      <w:pPr>
        <w:ind w:left="7032" w:hanging="741"/>
      </w:pPr>
      <w:rPr>
        <w:rFonts w:hint="default"/>
        <w:lang w:val="en-GB" w:eastAsia="en-GB" w:bidi="en-GB"/>
      </w:rPr>
    </w:lvl>
    <w:lvl w:ilvl="6">
      <w:numFmt w:val="bullet"/>
      <w:lvlText w:val="•"/>
      <w:lvlJc w:val="left"/>
      <w:pPr>
        <w:ind w:left="8007" w:hanging="741"/>
      </w:pPr>
      <w:rPr>
        <w:rFonts w:hint="default"/>
        <w:lang w:val="en-GB" w:eastAsia="en-GB" w:bidi="en-GB"/>
      </w:rPr>
    </w:lvl>
    <w:lvl w:ilvl="7">
      <w:numFmt w:val="bullet"/>
      <w:lvlText w:val="•"/>
      <w:lvlJc w:val="left"/>
      <w:pPr>
        <w:ind w:left="8981" w:hanging="741"/>
      </w:pPr>
      <w:rPr>
        <w:rFonts w:hint="default"/>
        <w:lang w:val="en-GB" w:eastAsia="en-GB" w:bidi="en-GB"/>
      </w:rPr>
    </w:lvl>
    <w:lvl w:ilvl="8">
      <w:numFmt w:val="bullet"/>
      <w:lvlText w:val="•"/>
      <w:lvlJc w:val="left"/>
      <w:pPr>
        <w:ind w:left="9956" w:hanging="741"/>
      </w:pPr>
      <w:rPr>
        <w:rFonts w:hint="default"/>
        <w:lang w:val="en-GB" w:eastAsia="en-GB" w:bidi="en-GB"/>
      </w:rPr>
    </w:lvl>
  </w:abstractNum>
  <w:num w:numId="1" w16cid:durableId="1872837520">
    <w:abstractNumId w:val="43"/>
  </w:num>
  <w:num w:numId="2" w16cid:durableId="1524443277">
    <w:abstractNumId w:val="11"/>
  </w:num>
  <w:num w:numId="3" w16cid:durableId="370496675">
    <w:abstractNumId w:val="34"/>
  </w:num>
  <w:num w:numId="4" w16cid:durableId="1482497548">
    <w:abstractNumId w:val="37"/>
  </w:num>
  <w:num w:numId="5" w16cid:durableId="178468548">
    <w:abstractNumId w:val="8"/>
  </w:num>
  <w:num w:numId="6" w16cid:durableId="599216959">
    <w:abstractNumId w:val="39"/>
  </w:num>
  <w:num w:numId="7" w16cid:durableId="352532073">
    <w:abstractNumId w:val="3"/>
  </w:num>
  <w:num w:numId="8" w16cid:durableId="1564563471">
    <w:abstractNumId w:val="4"/>
  </w:num>
  <w:num w:numId="9" w16cid:durableId="2030062949">
    <w:abstractNumId w:val="25"/>
  </w:num>
  <w:num w:numId="10" w16cid:durableId="2128624366">
    <w:abstractNumId w:val="30"/>
  </w:num>
  <w:num w:numId="11" w16cid:durableId="923537240">
    <w:abstractNumId w:val="9"/>
  </w:num>
  <w:num w:numId="12" w16cid:durableId="553125228">
    <w:abstractNumId w:val="46"/>
  </w:num>
  <w:num w:numId="13" w16cid:durableId="39283101">
    <w:abstractNumId w:val="50"/>
  </w:num>
  <w:num w:numId="14" w16cid:durableId="814293928">
    <w:abstractNumId w:val="42"/>
  </w:num>
  <w:num w:numId="15" w16cid:durableId="449478561">
    <w:abstractNumId w:val="32"/>
  </w:num>
  <w:num w:numId="16" w16cid:durableId="688683364">
    <w:abstractNumId w:val="1"/>
  </w:num>
  <w:num w:numId="17" w16cid:durableId="378863770">
    <w:abstractNumId w:val="20"/>
  </w:num>
  <w:num w:numId="18" w16cid:durableId="1941178881">
    <w:abstractNumId w:val="29"/>
  </w:num>
  <w:num w:numId="19" w16cid:durableId="418983517">
    <w:abstractNumId w:val="31"/>
  </w:num>
  <w:num w:numId="20" w16cid:durableId="1144202957">
    <w:abstractNumId w:val="44"/>
  </w:num>
  <w:num w:numId="21" w16cid:durableId="1466239598">
    <w:abstractNumId w:val="0"/>
  </w:num>
  <w:num w:numId="22" w16cid:durableId="258099429">
    <w:abstractNumId w:val="17"/>
  </w:num>
  <w:num w:numId="23" w16cid:durableId="1160390760">
    <w:abstractNumId w:val="19"/>
  </w:num>
  <w:num w:numId="24" w16cid:durableId="1717049213">
    <w:abstractNumId w:val="13"/>
  </w:num>
  <w:num w:numId="25" w16cid:durableId="1627614251">
    <w:abstractNumId w:val="36"/>
  </w:num>
  <w:num w:numId="26" w16cid:durableId="585499187">
    <w:abstractNumId w:val="40"/>
  </w:num>
  <w:num w:numId="27" w16cid:durableId="1335034505">
    <w:abstractNumId w:val="38"/>
  </w:num>
  <w:num w:numId="28" w16cid:durableId="1963030629">
    <w:abstractNumId w:val="5"/>
  </w:num>
  <w:num w:numId="29" w16cid:durableId="2090272135">
    <w:abstractNumId w:val="27"/>
  </w:num>
  <w:num w:numId="30" w16cid:durableId="1488286470">
    <w:abstractNumId w:val="12"/>
  </w:num>
  <w:num w:numId="31" w16cid:durableId="578948352">
    <w:abstractNumId w:val="22"/>
  </w:num>
  <w:num w:numId="32" w16cid:durableId="147065009">
    <w:abstractNumId w:val="33"/>
  </w:num>
  <w:num w:numId="33" w16cid:durableId="1593927054">
    <w:abstractNumId w:val="28"/>
  </w:num>
  <w:num w:numId="34" w16cid:durableId="742751976">
    <w:abstractNumId w:val="45"/>
  </w:num>
  <w:num w:numId="35" w16cid:durableId="811410404">
    <w:abstractNumId w:val="35"/>
  </w:num>
  <w:num w:numId="36" w16cid:durableId="238174539">
    <w:abstractNumId w:val="16"/>
  </w:num>
  <w:num w:numId="37" w16cid:durableId="320886500">
    <w:abstractNumId w:val="15"/>
  </w:num>
  <w:num w:numId="38" w16cid:durableId="286201657">
    <w:abstractNumId w:val="10"/>
  </w:num>
  <w:num w:numId="39" w16cid:durableId="1365596771">
    <w:abstractNumId w:val="41"/>
  </w:num>
  <w:num w:numId="40" w16cid:durableId="939919203">
    <w:abstractNumId w:val="49"/>
  </w:num>
  <w:num w:numId="41" w16cid:durableId="622350760">
    <w:abstractNumId w:val="51"/>
  </w:num>
  <w:num w:numId="42" w16cid:durableId="846288721">
    <w:abstractNumId w:val="6"/>
  </w:num>
  <w:num w:numId="43" w16cid:durableId="520241628">
    <w:abstractNumId w:val="2"/>
  </w:num>
  <w:num w:numId="44" w16cid:durableId="2073117777">
    <w:abstractNumId w:val="18"/>
  </w:num>
  <w:num w:numId="45" w16cid:durableId="1759473997">
    <w:abstractNumId w:val="23"/>
  </w:num>
  <w:num w:numId="46" w16cid:durableId="174271203">
    <w:abstractNumId w:val="14"/>
  </w:num>
  <w:num w:numId="47" w16cid:durableId="1089886128">
    <w:abstractNumId w:val="24"/>
  </w:num>
  <w:num w:numId="48" w16cid:durableId="1153329845">
    <w:abstractNumId w:val="48"/>
  </w:num>
  <w:num w:numId="49" w16cid:durableId="2063362580">
    <w:abstractNumId w:val="26"/>
  </w:num>
  <w:num w:numId="50" w16cid:durableId="22873208">
    <w:abstractNumId w:val="21"/>
  </w:num>
  <w:num w:numId="51" w16cid:durableId="376468317">
    <w:abstractNumId w:val="7"/>
  </w:num>
  <w:num w:numId="52" w16cid:durableId="1561207626">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B98"/>
    <w:rsid w:val="00000333"/>
    <w:rsid w:val="0000369C"/>
    <w:rsid w:val="0000617E"/>
    <w:rsid w:val="000073C1"/>
    <w:rsid w:val="0001099E"/>
    <w:rsid w:val="00010C6A"/>
    <w:rsid w:val="00011CD4"/>
    <w:rsid w:val="00014B97"/>
    <w:rsid w:val="00017344"/>
    <w:rsid w:val="00020C67"/>
    <w:rsid w:val="00021FFC"/>
    <w:rsid w:val="0002316C"/>
    <w:rsid w:val="00024F48"/>
    <w:rsid w:val="00025AD2"/>
    <w:rsid w:val="00027C07"/>
    <w:rsid w:val="000306D7"/>
    <w:rsid w:val="000317CC"/>
    <w:rsid w:val="00033179"/>
    <w:rsid w:val="0003476D"/>
    <w:rsid w:val="00035889"/>
    <w:rsid w:val="00035E92"/>
    <w:rsid w:val="00037095"/>
    <w:rsid w:val="00043AEF"/>
    <w:rsid w:val="00045807"/>
    <w:rsid w:val="00046861"/>
    <w:rsid w:val="00047479"/>
    <w:rsid w:val="00051100"/>
    <w:rsid w:val="00051BB6"/>
    <w:rsid w:val="000530D1"/>
    <w:rsid w:val="000532E5"/>
    <w:rsid w:val="00053A28"/>
    <w:rsid w:val="000548D2"/>
    <w:rsid w:val="000556C9"/>
    <w:rsid w:val="000558C9"/>
    <w:rsid w:val="00056D9E"/>
    <w:rsid w:val="0005763B"/>
    <w:rsid w:val="00061F49"/>
    <w:rsid w:val="00064481"/>
    <w:rsid w:val="00064F68"/>
    <w:rsid w:val="00066054"/>
    <w:rsid w:val="00066A42"/>
    <w:rsid w:val="00066F90"/>
    <w:rsid w:val="000676B8"/>
    <w:rsid w:val="00067A3C"/>
    <w:rsid w:val="00070DAF"/>
    <w:rsid w:val="00071025"/>
    <w:rsid w:val="0007103F"/>
    <w:rsid w:val="0007279C"/>
    <w:rsid w:val="0007515E"/>
    <w:rsid w:val="00075682"/>
    <w:rsid w:val="00077409"/>
    <w:rsid w:val="00077D30"/>
    <w:rsid w:val="000844BE"/>
    <w:rsid w:val="00090397"/>
    <w:rsid w:val="00092CFD"/>
    <w:rsid w:val="00096420"/>
    <w:rsid w:val="000969EA"/>
    <w:rsid w:val="000A010E"/>
    <w:rsid w:val="000A10A3"/>
    <w:rsid w:val="000A4CA2"/>
    <w:rsid w:val="000A50CE"/>
    <w:rsid w:val="000B15D8"/>
    <w:rsid w:val="000B7239"/>
    <w:rsid w:val="000C0DD2"/>
    <w:rsid w:val="000C61F3"/>
    <w:rsid w:val="000D39F2"/>
    <w:rsid w:val="000D4EEE"/>
    <w:rsid w:val="000D59E9"/>
    <w:rsid w:val="000D5E66"/>
    <w:rsid w:val="000E1E7C"/>
    <w:rsid w:val="000E211B"/>
    <w:rsid w:val="000E5728"/>
    <w:rsid w:val="000E7CEE"/>
    <w:rsid w:val="000F1069"/>
    <w:rsid w:val="000F1083"/>
    <w:rsid w:val="000F1969"/>
    <w:rsid w:val="000F63AB"/>
    <w:rsid w:val="001022A6"/>
    <w:rsid w:val="00103A54"/>
    <w:rsid w:val="001040E3"/>
    <w:rsid w:val="00110DB8"/>
    <w:rsid w:val="00111114"/>
    <w:rsid w:val="001165A1"/>
    <w:rsid w:val="001178F3"/>
    <w:rsid w:val="00117ED3"/>
    <w:rsid w:val="00120480"/>
    <w:rsid w:val="00133A34"/>
    <w:rsid w:val="00141235"/>
    <w:rsid w:val="00141D6F"/>
    <w:rsid w:val="00142AE0"/>
    <w:rsid w:val="00144823"/>
    <w:rsid w:val="00146376"/>
    <w:rsid w:val="00155373"/>
    <w:rsid w:val="0015544F"/>
    <w:rsid w:val="001558CA"/>
    <w:rsid w:val="00155AAC"/>
    <w:rsid w:val="00161314"/>
    <w:rsid w:val="00162062"/>
    <w:rsid w:val="0016596E"/>
    <w:rsid w:val="00166097"/>
    <w:rsid w:val="001740F6"/>
    <w:rsid w:val="0017456D"/>
    <w:rsid w:val="001751A7"/>
    <w:rsid w:val="0017606E"/>
    <w:rsid w:val="00176989"/>
    <w:rsid w:val="00181390"/>
    <w:rsid w:val="0018596A"/>
    <w:rsid w:val="001917D5"/>
    <w:rsid w:val="00195808"/>
    <w:rsid w:val="00196C79"/>
    <w:rsid w:val="00197E19"/>
    <w:rsid w:val="001A6A67"/>
    <w:rsid w:val="001B1C57"/>
    <w:rsid w:val="001B5658"/>
    <w:rsid w:val="001B7D2E"/>
    <w:rsid w:val="001C4003"/>
    <w:rsid w:val="001D0186"/>
    <w:rsid w:val="001D5E59"/>
    <w:rsid w:val="001D6B19"/>
    <w:rsid w:val="001D7AB4"/>
    <w:rsid w:val="001E18F2"/>
    <w:rsid w:val="001E194D"/>
    <w:rsid w:val="001E37C4"/>
    <w:rsid w:val="001E53C1"/>
    <w:rsid w:val="001E5AF1"/>
    <w:rsid w:val="001E664F"/>
    <w:rsid w:val="001E69A0"/>
    <w:rsid w:val="001E6D4E"/>
    <w:rsid w:val="001E73C1"/>
    <w:rsid w:val="001F0487"/>
    <w:rsid w:val="001F0965"/>
    <w:rsid w:val="001F170F"/>
    <w:rsid w:val="001F7A95"/>
    <w:rsid w:val="00210C13"/>
    <w:rsid w:val="00213507"/>
    <w:rsid w:val="002139FB"/>
    <w:rsid w:val="0021406D"/>
    <w:rsid w:val="0022046E"/>
    <w:rsid w:val="002206B0"/>
    <w:rsid w:val="0022075A"/>
    <w:rsid w:val="002219E5"/>
    <w:rsid w:val="0022223A"/>
    <w:rsid w:val="00226806"/>
    <w:rsid w:val="00227726"/>
    <w:rsid w:val="00231780"/>
    <w:rsid w:val="00231F80"/>
    <w:rsid w:val="0023327E"/>
    <w:rsid w:val="0023341D"/>
    <w:rsid w:val="00236B13"/>
    <w:rsid w:val="002370DE"/>
    <w:rsid w:val="00240046"/>
    <w:rsid w:val="00240EA9"/>
    <w:rsid w:val="00246FF7"/>
    <w:rsid w:val="00264554"/>
    <w:rsid w:val="00264BB7"/>
    <w:rsid w:val="002713E4"/>
    <w:rsid w:val="0028078C"/>
    <w:rsid w:val="002811B9"/>
    <w:rsid w:val="00281600"/>
    <w:rsid w:val="002825D5"/>
    <w:rsid w:val="00282C07"/>
    <w:rsid w:val="00284039"/>
    <w:rsid w:val="002844CC"/>
    <w:rsid w:val="00291E90"/>
    <w:rsid w:val="0029215F"/>
    <w:rsid w:val="00294179"/>
    <w:rsid w:val="00295757"/>
    <w:rsid w:val="00296C95"/>
    <w:rsid w:val="002974B2"/>
    <w:rsid w:val="00297E89"/>
    <w:rsid w:val="002B0686"/>
    <w:rsid w:val="002B5818"/>
    <w:rsid w:val="002B5A2F"/>
    <w:rsid w:val="002B5C59"/>
    <w:rsid w:val="002B7E68"/>
    <w:rsid w:val="002C003A"/>
    <w:rsid w:val="002C1B8A"/>
    <w:rsid w:val="002C3F3A"/>
    <w:rsid w:val="002C440A"/>
    <w:rsid w:val="002C5FCF"/>
    <w:rsid w:val="002C646E"/>
    <w:rsid w:val="002D14D4"/>
    <w:rsid w:val="002D4164"/>
    <w:rsid w:val="002D4B9C"/>
    <w:rsid w:val="002D6DB3"/>
    <w:rsid w:val="002D6E6F"/>
    <w:rsid w:val="002E4FF1"/>
    <w:rsid w:val="002E6852"/>
    <w:rsid w:val="002F0BC9"/>
    <w:rsid w:val="002F178E"/>
    <w:rsid w:val="00303010"/>
    <w:rsid w:val="00304BDE"/>
    <w:rsid w:val="003068C3"/>
    <w:rsid w:val="00312D94"/>
    <w:rsid w:val="00315300"/>
    <w:rsid w:val="0031544C"/>
    <w:rsid w:val="00317AC8"/>
    <w:rsid w:val="00324320"/>
    <w:rsid w:val="003265C1"/>
    <w:rsid w:val="00327345"/>
    <w:rsid w:val="00327693"/>
    <w:rsid w:val="00327E34"/>
    <w:rsid w:val="00331144"/>
    <w:rsid w:val="00331779"/>
    <w:rsid w:val="00335514"/>
    <w:rsid w:val="00340AF9"/>
    <w:rsid w:val="00342073"/>
    <w:rsid w:val="00345B5C"/>
    <w:rsid w:val="003512DC"/>
    <w:rsid w:val="00353A3B"/>
    <w:rsid w:val="00355B7B"/>
    <w:rsid w:val="003568F4"/>
    <w:rsid w:val="003578AF"/>
    <w:rsid w:val="00361B88"/>
    <w:rsid w:val="003623F6"/>
    <w:rsid w:val="00364C92"/>
    <w:rsid w:val="003672BE"/>
    <w:rsid w:val="00367B75"/>
    <w:rsid w:val="00372D96"/>
    <w:rsid w:val="00373835"/>
    <w:rsid w:val="00380B90"/>
    <w:rsid w:val="0038113F"/>
    <w:rsid w:val="003873B7"/>
    <w:rsid w:val="00392DCF"/>
    <w:rsid w:val="003954DE"/>
    <w:rsid w:val="003A33A4"/>
    <w:rsid w:val="003A4DA0"/>
    <w:rsid w:val="003A6DCE"/>
    <w:rsid w:val="003A7AA8"/>
    <w:rsid w:val="003B2827"/>
    <w:rsid w:val="003C51B6"/>
    <w:rsid w:val="003C5BA2"/>
    <w:rsid w:val="003C6DAE"/>
    <w:rsid w:val="003D28E5"/>
    <w:rsid w:val="003E0B85"/>
    <w:rsid w:val="003E1E91"/>
    <w:rsid w:val="003E4529"/>
    <w:rsid w:val="003E795B"/>
    <w:rsid w:val="003F5350"/>
    <w:rsid w:val="00401183"/>
    <w:rsid w:val="00401A50"/>
    <w:rsid w:val="0040267B"/>
    <w:rsid w:val="00404AE9"/>
    <w:rsid w:val="0041509F"/>
    <w:rsid w:val="0041632D"/>
    <w:rsid w:val="004163F7"/>
    <w:rsid w:val="004166BD"/>
    <w:rsid w:val="004178B8"/>
    <w:rsid w:val="00417CEE"/>
    <w:rsid w:val="00421A24"/>
    <w:rsid w:val="0042207F"/>
    <w:rsid w:val="0042272C"/>
    <w:rsid w:val="0042512C"/>
    <w:rsid w:val="0042742C"/>
    <w:rsid w:val="00427BD2"/>
    <w:rsid w:val="00430D65"/>
    <w:rsid w:val="00434724"/>
    <w:rsid w:val="004347D8"/>
    <w:rsid w:val="00443D32"/>
    <w:rsid w:val="0044520C"/>
    <w:rsid w:val="00445662"/>
    <w:rsid w:val="004476DB"/>
    <w:rsid w:val="004511CC"/>
    <w:rsid w:val="00453661"/>
    <w:rsid w:val="00455BB2"/>
    <w:rsid w:val="00456254"/>
    <w:rsid w:val="00456A4B"/>
    <w:rsid w:val="00460CDE"/>
    <w:rsid w:val="00463B08"/>
    <w:rsid w:val="004645F6"/>
    <w:rsid w:val="0046531B"/>
    <w:rsid w:val="00481181"/>
    <w:rsid w:val="004828A2"/>
    <w:rsid w:val="00487EF0"/>
    <w:rsid w:val="00491B90"/>
    <w:rsid w:val="00492A56"/>
    <w:rsid w:val="004935A1"/>
    <w:rsid w:val="00493D92"/>
    <w:rsid w:val="004944DB"/>
    <w:rsid w:val="004972CB"/>
    <w:rsid w:val="004A0023"/>
    <w:rsid w:val="004A00D2"/>
    <w:rsid w:val="004A1565"/>
    <w:rsid w:val="004A2937"/>
    <w:rsid w:val="004A5D0E"/>
    <w:rsid w:val="004A5D79"/>
    <w:rsid w:val="004B4360"/>
    <w:rsid w:val="004B7764"/>
    <w:rsid w:val="004C79ED"/>
    <w:rsid w:val="004D54BB"/>
    <w:rsid w:val="004D5917"/>
    <w:rsid w:val="004E11CC"/>
    <w:rsid w:val="004E168C"/>
    <w:rsid w:val="004E4762"/>
    <w:rsid w:val="004E61DE"/>
    <w:rsid w:val="004E67FE"/>
    <w:rsid w:val="004E684F"/>
    <w:rsid w:val="004E70D5"/>
    <w:rsid w:val="004E73CE"/>
    <w:rsid w:val="004F2FB2"/>
    <w:rsid w:val="004F32E5"/>
    <w:rsid w:val="004F4274"/>
    <w:rsid w:val="004F45C6"/>
    <w:rsid w:val="004F6CAB"/>
    <w:rsid w:val="004F6E51"/>
    <w:rsid w:val="004F72F3"/>
    <w:rsid w:val="004F72F9"/>
    <w:rsid w:val="004F7E90"/>
    <w:rsid w:val="005013D5"/>
    <w:rsid w:val="00501E8E"/>
    <w:rsid w:val="0050463C"/>
    <w:rsid w:val="00504CE7"/>
    <w:rsid w:val="005051CF"/>
    <w:rsid w:val="00505664"/>
    <w:rsid w:val="00505B19"/>
    <w:rsid w:val="00507F6E"/>
    <w:rsid w:val="00511345"/>
    <w:rsid w:val="00512AC8"/>
    <w:rsid w:val="00515717"/>
    <w:rsid w:val="00520A70"/>
    <w:rsid w:val="005229FB"/>
    <w:rsid w:val="00522B8F"/>
    <w:rsid w:val="005240D3"/>
    <w:rsid w:val="005265C4"/>
    <w:rsid w:val="00532C19"/>
    <w:rsid w:val="00533E82"/>
    <w:rsid w:val="005343BB"/>
    <w:rsid w:val="00536455"/>
    <w:rsid w:val="00536505"/>
    <w:rsid w:val="005372A6"/>
    <w:rsid w:val="005406EB"/>
    <w:rsid w:val="0054118C"/>
    <w:rsid w:val="00541333"/>
    <w:rsid w:val="00543705"/>
    <w:rsid w:val="00544DC9"/>
    <w:rsid w:val="0054680F"/>
    <w:rsid w:val="005469D0"/>
    <w:rsid w:val="00550D4A"/>
    <w:rsid w:val="00551235"/>
    <w:rsid w:val="00552341"/>
    <w:rsid w:val="00560048"/>
    <w:rsid w:val="005636E1"/>
    <w:rsid w:val="00565447"/>
    <w:rsid w:val="00575157"/>
    <w:rsid w:val="0057728C"/>
    <w:rsid w:val="005779F1"/>
    <w:rsid w:val="00581DCF"/>
    <w:rsid w:val="00583C29"/>
    <w:rsid w:val="00583F74"/>
    <w:rsid w:val="00584075"/>
    <w:rsid w:val="00584509"/>
    <w:rsid w:val="00585EE5"/>
    <w:rsid w:val="005863CF"/>
    <w:rsid w:val="005878D4"/>
    <w:rsid w:val="00587A05"/>
    <w:rsid w:val="005921CA"/>
    <w:rsid w:val="00592A34"/>
    <w:rsid w:val="0059338B"/>
    <w:rsid w:val="00594913"/>
    <w:rsid w:val="00595B7C"/>
    <w:rsid w:val="005A0F42"/>
    <w:rsid w:val="005A424B"/>
    <w:rsid w:val="005A54B2"/>
    <w:rsid w:val="005A6569"/>
    <w:rsid w:val="005A7273"/>
    <w:rsid w:val="005A7875"/>
    <w:rsid w:val="005B63EA"/>
    <w:rsid w:val="005B6AD1"/>
    <w:rsid w:val="005B6E9D"/>
    <w:rsid w:val="005C3D3A"/>
    <w:rsid w:val="005C4D36"/>
    <w:rsid w:val="005D4FB0"/>
    <w:rsid w:val="005E0387"/>
    <w:rsid w:val="005E2126"/>
    <w:rsid w:val="005E365E"/>
    <w:rsid w:val="005E49CF"/>
    <w:rsid w:val="005E7827"/>
    <w:rsid w:val="005F1A81"/>
    <w:rsid w:val="005F280A"/>
    <w:rsid w:val="005F2C24"/>
    <w:rsid w:val="00603272"/>
    <w:rsid w:val="00603705"/>
    <w:rsid w:val="00604093"/>
    <w:rsid w:val="006046E6"/>
    <w:rsid w:val="0060471E"/>
    <w:rsid w:val="0060588E"/>
    <w:rsid w:val="00611321"/>
    <w:rsid w:val="0061310B"/>
    <w:rsid w:val="006206FB"/>
    <w:rsid w:val="00621CAC"/>
    <w:rsid w:val="00622D0C"/>
    <w:rsid w:val="006277E3"/>
    <w:rsid w:val="00630A1F"/>
    <w:rsid w:val="006317A3"/>
    <w:rsid w:val="00632F27"/>
    <w:rsid w:val="00634275"/>
    <w:rsid w:val="00634B19"/>
    <w:rsid w:val="006404C9"/>
    <w:rsid w:val="00640DB5"/>
    <w:rsid w:val="006418EC"/>
    <w:rsid w:val="00641F4C"/>
    <w:rsid w:val="0064626F"/>
    <w:rsid w:val="0065013D"/>
    <w:rsid w:val="00651C8A"/>
    <w:rsid w:val="0065261F"/>
    <w:rsid w:val="00653A9F"/>
    <w:rsid w:val="00654D8E"/>
    <w:rsid w:val="00656D49"/>
    <w:rsid w:val="00657E6B"/>
    <w:rsid w:val="00657F76"/>
    <w:rsid w:val="00660E02"/>
    <w:rsid w:val="0066218E"/>
    <w:rsid w:val="006632E5"/>
    <w:rsid w:val="00664C04"/>
    <w:rsid w:val="00664FF8"/>
    <w:rsid w:val="00667DAB"/>
    <w:rsid w:val="00670669"/>
    <w:rsid w:val="00671EF3"/>
    <w:rsid w:val="00672246"/>
    <w:rsid w:val="006732C5"/>
    <w:rsid w:val="006743D3"/>
    <w:rsid w:val="0067671C"/>
    <w:rsid w:val="00676E2F"/>
    <w:rsid w:val="00682B66"/>
    <w:rsid w:val="00682CF9"/>
    <w:rsid w:val="00685D26"/>
    <w:rsid w:val="0068607C"/>
    <w:rsid w:val="006875E3"/>
    <w:rsid w:val="0069046D"/>
    <w:rsid w:val="0069056E"/>
    <w:rsid w:val="006A4596"/>
    <w:rsid w:val="006A66B5"/>
    <w:rsid w:val="006A6883"/>
    <w:rsid w:val="006B04BC"/>
    <w:rsid w:val="006B4A58"/>
    <w:rsid w:val="006B6A86"/>
    <w:rsid w:val="006C53CC"/>
    <w:rsid w:val="006D0718"/>
    <w:rsid w:val="006D3165"/>
    <w:rsid w:val="006D55B2"/>
    <w:rsid w:val="006D69A1"/>
    <w:rsid w:val="006E1FDF"/>
    <w:rsid w:val="006E34F8"/>
    <w:rsid w:val="006E5AE7"/>
    <w:rsid w:val="006E5FF6"/>
    <w:rsid w:val="006E70AB"/>
    <w:rsid w:val="006F2570"/>
    <w:rsid w:val="007000AF"/>
    <w:rsid w:val="00701098"/>
    <w:rsid w:val="00703048"/>
    <w:rsid w:val="007033BB"/>
    <w:rsid w:val="00704697"/>
    <w:rsid w:val="00704C90"/>
    <w:rsid w:val="00704CCE"/>
    <w:rsid w:val="00706584"/>
    <w:rsid w:val="007116C7"/>
    <w:rsid w:val="00715FCA"/>
    <w:rsid w:val="00717023"/>
    <w:rsid w:val="007174AC"/>
    <w:rsid w:val="007176DE"/>
    <w:rsid w:val="007261BD"/>
    <w:rsid w:val="007276E6"/>
    <w:rsid w:val="0072784E"/>
    <w:rsid w:val="00732A13"/>
    <w:rsid w:val="00733809"/>
    <w:rsid w:val="00733F91"/>
    <w:rsid w:val="007372B2"/>
    <w:rsid w:val="007379D3"/>
    <w:rsid w:val="007407D5"/>
    <w:rsid w:val="007417D7"/>
    <w:rsid w:val="007444F6"/>
    <w:rsid w:val="00745D3A"/>
    <w:rsid w:val="00750549"/>
    <w:rsid w:val="00751C29"/>
    <w:rsid w:val="007537CB"/>
    <w:rsid w:val="00762212"/>
    <w:rsid w:val="00763037"/>
    <w:rsid w:val="00765D2A"/>
    <w:rsid w:val="00766715"/>
    <w:rsid w:val="00767E2A"/>
    <w:rsid w:val="00770751"/>
    <w:rsid w:val="00772F51"/>
    <w:rsid w:val="00775C99"/>
    <w:rsid w:val="00781C9C"/>
    <w:rsid w:val="007826F2"/>
    <w:rsid w:val="0078360B"/>
    <w:rsid w:val="00783878"/>
    <w:rsid w:val="007864F1"/>
    <w:rsid w:val="007922D1"/>
    <w:rsid w:val="00793D30"/>
    <w:rsid w:val="00794491"/>
    <w:rsid w:val="0079529F"/>
    <w:rsid w:val="007A0266"/>
    <w:rsid w:val="007A21BF"/>
    <w:rsid w:val="007A2732"/>
    <w:rsid w:val="007A276B"/>
    <w:rsid w:val="007A3445"/>
    <w:rsid w:val="007A356A"/>
    <w:rsid w:val="007A4BAE"/>
    <w:rsid w:val="007A7B4E"/>
    <w:rsid w:val="007B2809"/>
    <w:rsid w:val="007B3607"/>
    <w:rsid w:val="007B4203"/>
    <w:rsid w:val="007B6081"/>
    <w:rsid w:val="007B6EF8"/>
    <w:rsid w:val="007C11AF"/>
    <w:rsid w:val="007C1911"/>
    <w:rsid w:val="007C1C79"/>
    <w:rsid w:val="007C2B5C"/>
    <w:rsid w:val="007C495C"/>
    <w:rsid w:val="007D1ABB"/>
    <w:rsid w:val="007D4554"/>
    <w:rsid w:val="007D4CDD"/>
    <w:rsid w:val="007D59FD"/>
    <w:rsid w:val="007D5B6F"/>
    <w:rsid w:val="007D6313"/>
    <w:rsid w:val="007E0CA5"/>
    <w:rsid w:val="007E2847"/>
    <w:rsid w:val="007E3C8F"/>
    <w:rsid w:val="007E45B4"/>
    <w:rsid w:val="007E7276"/>
    <w:rsid w:val="007E7A5E"/>
    <w:rsid w:val="007F1E2B"/>
    <w:rsid w:val="007F4B59"/>
    <w:rsid w:val="007F55E0"/>
    <w:rsid w:val="00800FB6"/>
    <w:rsid w:val="008024F8"/>
    <w:rsid w:val="0080640E"/>
    <w:rsid w:val="00806E74"/>
    <w:rsid w:val="00807F48"/>
    <w:rsid w:val="00813319"/>
    <w:rsid w:val="00815A80"/>
    <w:rsid w:val="008165BF"/>
    <w:rsid w:val="00820C2D"/>
    <w:rsid w:val="00821945"/>
    <w:rsid w:val="00821D59"/>
    <w:rsid w:val="00822D87"/>
    <w:rsid w:val="00825B91"/>
    <w:rsid w:val="00827ABF"/>
    <w:rsid w:val="00827C99"/>
    <w:rsid w:val="00830059"/>
    <w:rsid w:val="00841D7D"/>
    <w:rsid w:val="0084230E"/>
    <w:rsid w:val="00843DDA"/>
    <w:rsid w:val="00845459"/>
    <w:rsid w:val="00852333"/>
    <w:rsid w:val="00852A2D"/>
    <w:rsid w:val="008566AE"/>
    <w:rsid w:val="00861DEF"/>
    <w:rsid w:val="00863F2F"/>
    <w:rsid w:val="00864213"/>
    <w:rsid w:val="00864C25"/>
    <w:rsid w:val="0086622D"/>
    <w:rsid w:val="00873A48"/>
    <w:rsid w:val="00876690"/>
    <w:rsid w:val="00877388"/>
    <w:rsid w:val="0088044B"/>
    <w:rsid w:val="00881EC8"/>
    <w:rsid w:val="0088552A"/>
    <w:rsid w:val="00885BE7"/>
    <w:rsid w:val="00887A0B"/>
    <w:rsid w:val="00890E8A"/>
    <w:rsid w:val="00891DB8"/>
    <w:rsid w:val="008965B7"/>
    <w:rsid w:val="00896A41"/>
    <w:rsid w:val="008A0E77"/>
    <w:rsid w:val="008A1B07"/>
    <w:rsid w:val="008A2182"/>
    <w:rsid w:val="008A2EFE"/>
    <w:rsid w:val="008A2FF8"/>
    <w:rsid w:val="008A42A4"/>
    <w:rsid w:val="008B24D7"/>
    <w:rsid w:val="008B690F"/>
    <w:rsid w:val="008B7FC9"/>
    <w:rsid w:val="008C0839"/>
    <w:rsid w:val="008C19E4"/>
    <w:rsid w:val="008C47A3"/>
    <w:rsid w:val="008D1899"/>
    <w:rsid w:val="008D2647"/>
    <w:rsid w:val="008D2D25"/>
    <w:rsid w:val="008D6FC8"/>
    <w:rsid w:val="008D780D"/>
    <w:rsid w:val="008E0187"/>
    <w:rsid w:val="008E07A7"/>
    <w:rsid w:val="008E78C3"/>
    <w:rsid w:val="008F635D"/>
    <w:rsid w:val="008F67CD"/>
    <w:rsid w:val="009025E4"/>
    <w:rsid w:val="00905C92"/>
    <w:rsid w:val="00905D2B"/>
    <w:rsid w:val="00912D7A"/>
    <w:rsid w:val="0091331B"/>
    <w:rsid w:val="00914FB4"/>
    <w:rsid w:val="00921FC0"/>
    <w:rsid w:val="00924FCA"/>
    <w:rsid w:val="0092710F"/>
    <w:rsid w:val="009314DC"/>
    <w:rsid w:val="00934E8E"/>
    <w:rsid w:val="009376E1"/>
    <w:rsid w:val="0093770E"/>
    <w:rsid w:val="00937D10"/>
    <w:rsid w:val="009405E0"/>
    <w:rsid w:val="009421CC"/>
    <w:rsid w:val="009452FE"/>
    <w:rsid w:val="00945B76"/>
    <w:rsid w:val="0094623E"/>
    <w:rsid w:val="00947DD1"/>
    <w:rsid w:val="00950912"/>
    <w:rsid w:val="009511E1"/>
    <w:rsid w:val="009532DC"/>
    <w:rsid w:val="00953F61"/>
    <w:rsid w:val="0095477B"/>
    <w:rsid w:val="009548E9"/>
    <w:rsid w:val="00954A44"/>
    <w:rsid w:val="00956944"/>
    <w:rsid w:val="00961486"/>
    <w:rsid w:val="0096518E"/>
    <w:rsid w:val="00966CA1"/>
    <w:rsid w:val="009743BA"/>
    <w:rsid w:val="009823FA"/>
    <w:rsid w:val="00982C66"/>
    <w:rsid w:val="0099249B"/>
    <w:rsid w:val="0099259A"/>
    <w:rsid w:val="00993B30"/>
    <w:rsid w:val="00994F51"/>
    <w:rsid w:val="009957C4"/>
    <w:rsid w:val="00995EF8"/>
    <w:rsid w:val="00996ECD"/>
    <w:rsid w:val="009A26DD"/>
    <w:rsid w:val="009A2A6C"/>
    <w:rsid w:val="009A4C50"/>
    <w:rsid w:val="009A68C5"/>
    <w:rsid w:val="009A74A4"/>
    <w:rsid w:val="009A7D60"/>
    <w:rsid w:val="009B4114"/>
    <w:rsid w:val="009B5E1D"/>
    <w:rsid w:val="009B6A46"/>
    <w:rsid w:val="009B78BD"/>
    <w:rsid w:val="009C1494"/>
    <w:rsid w:val="009C2209"/>
    <w:rsid w:val="009C2B41"/>
    <w:rsid w:val="009D0BB5"/>
    <w:rsid w:val="009D173D"/>
    <w:rsid w:val="009D1A93"/>
    <w:rsid w:val="009D22B1"/>
    <w:rsid w:val="009D2A4B"/>
    <w:rsid w:val="009D3D25"/>
    <w:rsid w:val="009D5BE3"/>
    <w:rsid w:val="009E2BF3"/>
    <w:rsid w:val="009E3C05"/>
    <w:rsid w:val="009E4FF5"/>
    <w:rsid w:val="009F1497"/>
    <w:rsid w:val="009F4A98"/>
    <w:rsid w:val="00A00189"/>
    <w:rsid w:val="00A02E2D"/>
    <w:rsid w:val="00A04BC3"/>
    <w:rsid w:val="00A04E69"/>
    <w:rsid w:val="00A07E15"/>
    <w:rsid w:val="00A13E41"/>
    <w:rsid w:val="00A20240"/>
    <w:rsid w:val="00A30C5A"/>
    <w:rsid w:val="00A3261D"/>
    <w:rsid w:val="00A326F0"/>
    <w:rsid w:val="00A33666"/>
    <w:rsid w:val="00A3558F"/>
    <w:rsid w:val="00A3753A"/>
    <w:rsid w:val="00A4014D"/>
    <w:rsid w:val="00A421FB"/>
    <w:rsid w:val="00A51720"/>
    <w:rsid w:val="00A51EA3"/>
    <w:rsid w:val="00A520EF"/>
    <w:rsid w:val="00A54827"/>
    <w:rsid w:val="00A57B86"/>
    <w:rsid w:val="00A615D3"/>
    <w:rsid w:val="00A61BE6"/>
    <w:rsid w:val="00A62B0B"/>
    <w:rsid w:val="00A62F8C"/>
    <w:rsid w:val="00A64106"/>
    <w:rsid w:val="00A6426A"/>
    <w:rsid w:val="00A642CC"/>
    <w:rsid w:val="00A64F62"/>
    <w:rsid w:val="00A669DB"/>
    <w:rsid w:val="00A81DB0"/>
    <w:rsid w:val="00A823E9"/>
    <w:rsid w:val="00A83910"/>
    <w:rsid w:val="00A83C08"/>
    <w:rsid w:val="00A851F2"/>
    <w:rsid w:val="00A86216"/>
    <w:rsid w:val="00A87671"/>
    <w:rsid w:val="00A87AD9"/>
    <w:rsid w:val="00AA57D7"/>
    <w:rsid w:val="00AA6793"/>
    <w:rsid w:val="00AB44E6"/>
    <w:rsid w:val="00AB60F3"/>
    <w:rsid w:val="00AC0AAD"/>
    <w:rsid w:val="00AC2006"/>
    <w:rsid w:val="00AC5753"/>
    <w:rsid w:val="00AC6E4F"/>
    <w:rsid w:val="00AC770C"/>
    <w:rsid w:val="00AC7CD1"/>
    <w:rsid w:val="00AD042A"/>
    <w:rsid w:val="00AD0460"/>
    <w:rsid w:val="00AD07FE"/>
    <w:rsid w:val="00AD3981"/>
    <w:rsid w:val="00AD527D"/>
    <w:rsid w:val="00AD6499"/>
    <w:rsid w:val="00AE3A29"/>
    <w:rsid w:val="00AF59EB"/>
    <w:rsid w:val="00AF5D7B"/>
    <w:rsid w:val="00AF7C0C"/>
    <w:rsid w:val="00B01E0C"/>
    <w:rsid w:val="00B059BA"/>
    <w:rsid w:val="00B05A1E"/>
    <w:rsid w:val="00B06A43"/>
    <w:rsid w:val="00B125A2"/>
    <w:rsid w:val="00B13417"/>
    <w:rsid w:val="00B15971"/>
    <w:rsid w:val="00B16A47"/>
    <w:rsid w:val="00B203AF"/>
    <w:rsid w:val="00B2045E"/>
    <w:rsid w:val="00B20581"/>
    <w:rsid w:val="00B241C4"/>
    <w:rsid w:val="00B25655"/>
    <w:rsid w:val="00B27122"/>
    <w:rsid w:val="00B30329"/>
    <w:rsid w:val="00B30EB4"/>
    <w:rsid w:val="00B32C7B"/>
    <w:rsid w:val="00B34125"/>
    <w:rsid w:val="00B37305"/>
    <w:rsid w:val="00B40394"/>
    <w:rsid w:val="00B40441"/>
    <w:rsid w:val="00B40C1E"/>
    <w:rsid w:val="00B41836"/>
    <w:rsid w:val="00B4238A"/>
    <w:rsid w:val="00B500BB"/>
    <w:rsid w:val="00B51447"/>
    <w:rsid w:val="00B52DB1"/>
    <w:rsid w:val="00B5314F"/>
    <w:rsid w:val="00B53E1F"/>
    <w:rsid w:val="00B53F8E"/>
    <w:rsid w:val="00B545A1"/>
    <w:rsid w:val="00B62B4C"/>
    <w:rsid w:val="00B6485B"/>
    <w:rsid w:val="00B6520C"/>
    <w:rsid w:val="00B67D4E"/>
    <w:rsid w:val="00B71CA6"/>
    <w:rsid w:val="00B74471"/>
    <w:rsid w:val="00B76582"/>
    <w:rsid w:val="00B86573"/>
    <w:rsid w:val="00B90136"/>
    <w:rsid w:val="00B904F8"/>
    <w:rsid w:val="00B90621"/>
    <w:rsid w:val="00B90A18"/>
    <w:rsid w:val="00B91346"/>
    <w:rsid w:val="00B9205B"/>
    <w:rsid w:val="00B94C23"/>
    <w:rsid w:val="00B94CDC"/>
    <w:rsid w:val="00B9560E"/>
    <w:rsid w:val="00BA33D8"/>
    <w:rsid w:val="00BA55DB"/>
    <w:rsid w:val="00BA5D6E"/>
    <w:rsid w:val="00BB0DBC"/>
    <w:rsid w:val="00BB242D"/>
    <w:rsid w:val="00BB2A86"/>
    <w:rsid w:val="00BC07C4"/>
    <w:rsid w:val="00BC7064"/>
    <w:rsid w:val="00BC7198"/>
    <w:rsid w:val="00BD0E22"/>
    <w:rsid w:val="00BD397B"/>
    <w:rsid w:val="00BE10C2"/>
    <w:rsid w:val="00BE1163"/>
    <w:rsid w:val="00BE1978"/>
    <w:rsid w:val="00BE70FF"/>
    <w:rsid w:val="00BF385A"/>
    <w:rsid w:val="00BF6470"/>
    <w:rsid w:val="00C026D7"/>
    <w:rsid w:val="00C02BD4"/>
    <w:rsid w:val="00C034ED"/>
    <w:rsid w:val="00C04348"/>
    <w:rsid w:val="00C047FB"/>
    <w:rsid w:val="00C0689A"/>
    <w:rsid w:val="00C10420"/>
    <w:rsid w:val="00C124DA"/>
    <w:rsid w:val="00C1283C"/>
    <w:rsid w:val="00C131B2"/>
    <w:rsid w:val="00C13E83"/>
    <w:rsid w:val="00C141C1"/>
    <w:rsid w:val="00C226A7"/>
    <w:rsid w:val="00C23E7B"/>
    <w:rsid w:val="00C25215"/>
    <w:rsid w:val="00C25EC7"/>
    <w:rsid w:val="00C338AE"/>
    <w:rsid w:val="00C42EC8"/>
    <w:rsid w:val="00C43926"/>
    <w:rsid w:val="00C44C58"/>
    <w:rsid w:val="00C45799"/>
    <w:rsid w:val="00C458B6"/>
    <w:rsid w:val="00C459C3"/>
    <w:rsid w:val="00C51B32"/>
    <w:rsid w:val="00C52BB3"/>
    <w:rsid w:val="00C535B4"/>
    <w:rsid w:val="00C54239"/>
    <w:rsid w:val="00C57C4F"/>
    <w:rsid w:val="00C608A6"/>
    <w:rsid w:val="00C67C4E"/>
    <w:rsid w:val="00C67F7A"/>
    <w:rsid w:val="00C70392"/>
    <w:rsid w:val="00C70E56"/>
    <w:rsid w:val="00C71A40"/>
    <w:rsid w:val="00C77168"/>
    <w:rsid w:val="00C81390"/>
    <w:rsid w:val="00C82E5E"/>
    <w:rsid w:val="00C8434A"/>
    <w:rsid w:val="00C84D07"/>
    <w:rsid w:val="00C85238"/>
    <w:rsid w:val="00C87CBF"/>
    <w:rsid w:val="00C90034"/>
    <w:rsid w:val="00C90646"/>
    <w:rsid w:val="00C91667"/>
    <w:rsid w:val="00C92044"/>
    <w:rsid w:val="00C9292C"/>
    <w:rsid w:val="00C92D8A"/>
    <w:rsid w:val="00C97E78"/>
    <w:rsid w:val="00CA43FC"/>
    <w:rsid w:val="00CB0367"/>
    <w:rsid w:val="00CB17B7"/>
    <w:rsid w:val="00CB37A3"/>
    <w:rsid w:val="00CC044F"/>
    <w:rsid w:val="00CC3CED"/>
    <w:rsid w:val="00CC5E84"/>
    <w:rsid w:val="00CD0B9F"/>
    <w:rsid w:val="00CD2577"/>
    <w:rsid w:val="00CD3E95"/>
    <w:rsid w:val="00CD5FA5"/>
    <w:rsid w:val="00CD5FDA"/>
    <w:rsid w:val="00CD655F"/>
    <w:rsid w:val="00CD7B14"/>
    <w:rsid w:val="00CE302F"/>
    <w:rsid w:val="00CE4B93"/>
    <w:rsid w:val="00CE6220"/>
    <w:rsid w:val="00CF127F"/>
    <w:rsid w:val="00CF130E"/>
    <w:rsid w:val="00CF3922"/>
    <w:rsid w:val="00CF463F"/>
    <w:rsid w:val="00D000C0"/>
    <w:rsid w:val="00D029FF"/>
    <w:rsid w:val="00D06B1C"/>
    <w:rsid w:val="00D06DF3"/>
    <w:rsid w:val="00D1148C"/>
    <w:rsid w:val="00D11D8C"/>
    <w:rsid w:val="00D210D2"/>
    <w:rsid w:val="00D21735"/>
    <w:rsid w:val="00D21A0C"/>
    <w:rsid w:val="00D22CB0"/>
    <w:rsid w:val="00D23BEF"/>
    <w:rsid w:val="00D2778B"/>
    <w:rsid w:val="00D41B42"/>
    <w:rsid w:val="00D45FA2"/>
    <w:rsid w:val="00D4657C"/>
    <w:rsid w:val="00D518B3"/>
    <w:rsid w:val="00D5200B"/>
    <w:rsid w:val="00D52779"/>
    <w:rsid w:val="00D55058"/>
    <w:rsid w:val="00D5516A"/>
    <w:rsid w:val="00D57A1F"/>
    <w:rsid w:val="00D57FB5"/>
    <w:rsid w:val="00D61C45"/>
    <w:rsid w:val="00D64992"/>
    <w:rsid w:val="00D70499"/>
    <w:rsid w:val="00D71AA3"/>
    <w:rsid w:val="00D72C68"/>
    <w:rsid w:val="00D76EE5"/>
    <w:rsid w:val="00D82162"/>
    <w:rsid w:val="00D8428B"/>
    <w:rsid w:val="00D85DF9"/>
    <w:rsid w:val="00D87309"/>
    <w:rsid w:val="00D87979"/>
    <w:rsid w:val="00D87B5A"/>
    <w:rsid w:val="00D9348B"/>
    <w:rsid w:val="00DA4C7E"/>
    <w:rsid w:val="00DA5793"/>
    <w:rsid w:val="00DA5A55"/>
    <w:rsid w:val="00DB19FE"/>
    <w:rsid w:val="00DB223B"/>
    <w:rsid w:val="00DB46BC"/>
    <w:rsid w:val="00DB4AD8"/>
    <w:rsid w:val="00DB5D23"/>
    <w:rsid w:val="00DC0CCA"/>
    <w:rsid w:val="00DC7817"/>
    <w:rsid w:val="00DD1F21"/>
    <w:rsid w:val="00DD3C0C"/>
    <w:rsid w:val="00DD7C2D"/>
    <w:rsid w:val="00DE0080"/>
    <w:rsid w:val="00DE0D18"/>
    <w:rsid w:val="00DE2E3D"/>
    <w:rsid w:val="00DE5C9A"/>
    <w:rsid w:val="00DF02E2"/>
    <w:rsid w:val="00DF0EAD"/>
    <w:rsid w:val="00DF3719"/>
    <w:rsid w:val="00DF6F0C"/>
    <w:rsid w:val="00DF6F29"/>
    <w:rsid w:val="00E021BB"/>
    <w:rsid w:val="00E05B98"/>
    <w:rsid w:val="00E128E4"/>
    <w:rsid w:val="00E139C9"/>
    <w:rsid w:val="00E13A9B"/>
    <w:rsid w:val="00E17A4F"/>
    <w:rsid w:val="00E22868"/>
    <w:rsid w:val="00E240E4"/>
    <w:rsid w:val="00E26760"/>
    <w:rsid w:val="00E26E6B"/>
    <w:rsid w:val="00E30129"/>
    <w:rsid w:val="00E303CF"/>
    <w:rsid w:val="00E30416"/>
    <w:rsid w:val="00E31B85"/>
    <w:rsid w:val="00E32D88"/>
    <w:rsid w:val="00E330DF"/>
    <w:rsid w:val="00E349B3"/>
    <w:rsid w:val="00E34C4B"/>
    <w:rsid w:val="00E34E5C"/>
    <w:rsid w:val="00E413C0"/>
    <w:rsid w:val="00E45A7D"/>
    <w:rsid w:val="00E46D8B"/>
    <w:rsid w:val="00E5451B"/>
    <w:rsid w:val="00E551A6"/>
    <w:rsid w:val="00E57C06"/>
    <w:rsid w:val="00E6199E"/>
    <w:rsid w:val="00E74047"/>
    <w:rsid w:val="00E742CC"/>
    <w:rsid w:val="00E75E29"/>
    <w:rsid w:val="00E76A11"/>
    <w:rsid w:val="00E76F97"/>
    <w:rsid w:val="00E803F1"/>
    <w:rsid w:val="00E8083F"/>
    <w:rsid w:val="00E816CF"/>
    <w:rsid w:val="00E8576D"/>
    <w:rsid w:val="00E86C0C"/>
    <w:rsid w:val="00E8754E"/>
    <w:rsid w:val="00E91118"/>
    <w:rsid w:val="00E93E3D"/>
    <w:rsid w:val="00E94E99"/>
    <w:rsid w:val="00EA1B77"/>
    <w:rsid w:val="00EA2EF5"/>
    <w:rsid w:val="00EA2F30"/>
    <w:rsid w:val="00EB0537"/>
    <w:rsid w:val="00EB1811"/>
    <w:rsid w:val="00EB1EDB"/>
    <w:rsid w:val="00EB32C7"/>
    <w:rsid w:val="00EB33AF"/>
    <w:rsid w:val="00EB6C68"/>
    <w:rsid w:val="00EB7890"/>
    <w:rsid w:val="00EB7DA8"/>
    <w:rsid w:val="00EC0322"/>
    <w:rsid w:val="00EC1816"/>
    <w:rsid w:val="00EC2651"/>
    <w:rsid w:val="00EC30CA"/>
    <w:rsid w:val="00EC3CEE"/>
    <w:rsid w:val="00EC6BD4"/>
    <w:rsid w:val="00ED0266"/>
    <w:rsid w:val="00ED733F"/>
    <w:rsid w:val="00ED75BF"/>
    <w:rsid w:val="00EE4125"/>
    <w:rsid w:val="00EE54EE"/>
    <w:rsid w:val="00EE6B52"/>
    <w:rsid w:val="00EF544E"/>
    <w:rsid w:val="00F002A9"/>
    <w:rsid w:val="00F04DC9"/>
    <w:rsid w:val="00F064EC"/>
    <w:rsid w:val="00F07298"/>
    <w:rsid w:val="00F10F7B"/>
    <w:rsid w:val="00F142AA"/>
    <w:rsid w:val="00F15A11"/>
    <w:rsid w:val="00F17CDD"/>
    <w:rsid w:val="00F27570"/>
    <w:rsid w:val="00F3183F"/>
    <w:rsid w:val="00F3271F"/>
    <w:rsid w:val="00F32A98"/>
    <w:rsid w:val="00F343CF"/>
    <w:rsid w:val="00F41D36"/>
    <w:rsid w:val="00F422DE"/>
    <w:rsid w:val="00F53F92"/>
    <w:rsid w:val="00F54E75"/>
    <w:rsid w:val="00F5760B"/>
    <w:rsid w:val="00F601DE"/>
    <w:rsid w:val="00F60ECE"/>
    <w:rsid w:val="00F63387"/>
    <w:rsid w:val="00F63518"/>
    <w:rsid w:val="00F63D88"/>
    <w:rsid w:val="00F63F4D"/>
    <w:rsid w:val="00F7148C"/>
    <w:rsid w:val="00F717DD"/>
    <w:rsid w:val="00F730FB"/>
    <w:rsid w:val="00F739A3"/>
    <w:rsid w:val="00F7746C"/>
    <w:rsid w:val="00F77588"/>
    <w:rsid w:val="00F77630"/>
    <w:rsid w:val="00F77CF0"/>
    <w:rsid w:val="00F77D60"/>
    <w:rsid w:val="00F81625"/>
    <w:rsid w:val="00F827CA"/>
    <w:rsid w:val="00F83BAD"/>
    <w:rsid w:val="00F83DA9"/>
    <w:rsid w:val="00F84246"/>
    <w:rsid w:val="00F85740"/>
    <w:rsid w:val="00F8697A"/>
    <w:rsid w:val="00F86A64"/>
    <w:rsid w:val="00F871E4"/>
    <w:rsid w:val="00F87EAF"/>
    <w:rsid w:val="00F90207"/>
    <w:rsid w:val="00F90608"/>
    <w:rsid w:val="00F91005"/>
    <w:rsid w:val="00F91AD3"/>
    <w:rsid w:val="00F925DD"/>
    <w:rsid w:val="00F92EA6"/>
    <w:rsid w:val="00FA1824"/>
    <w:rsid w:val="00FA1C72"/>
    <w:rsid w:val="00FA5D0C"/>
    <w:rsid w:val="00FA7096"/>
    <w:rsid w:val="00FA7B94"/>
    <w:rsid w:val="00FA7E64"/>
    <w:rsid w:val="00FB1A14"/>
    <w:rsid w:val="00FB6915"/>
    <w:rsid w:val="00FC09A9"/>
    <w:rsid w:val="00FC2DE1"/>
    <w:rsid w:val="00FC3E68"/>
    <w:rsid w:val="00FC5FAE"/>
    <w:rsid w:val="00FC64A2"/>
    <w:rsid w:val="00FC792D"/>
    <w:rsid w:val="00FD3547"/>
    <w:rsid w:val="00FD5E4B"/>
    <w:rsid w:val="00FD655A"/>
    <w:rsid w:val="00FE1F6A"/>
    <w:rsid w:val="00FE30C5"/>
    <w:rsid w:val="00FE4DF0"/>
    <w:rsid w:val="00FE4E81"/>
    <w:rsid w:val="00FE4F6D"/>
    <w:rsid w:val="00FE515A"/>
    <w:rsid w:val="00FE6590"/>
    <w:rsid w:val="00FE76F9"/>
    <w:rsid w:val="00FF4A3D"/>
    <w:rsid w:val="00FF766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3C76E"/>
  <w15:docId w15:val="{7119FC17-387F-4B18-B5FF-1E333B923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Microsoft Sans Serif" w:eastAsia="Microsoft Sans Serif" w:hAnsi="Microsoft Sans Serif" w:cs="Microsoft Sans Serif"/>
    </w:rPr>
  </w:style>
  <w:style w:type="paragraph" w:styleId="1">
    <w:name w:val="heading 1"/>
    <w:basedOn w:val="a"/>
    <w:uiPriority w:val="9"/>
    <w:qFormat/>
    <w:pPr>
      <w:ind w:left="567"/>
      <w:outlineLvl w:val="0"/>
    </w:pPr>
    <w:rPr>
      <w:sz w:val="64"/>
      <w:szCs w:val="64"/>
    </w:rPr>
  </w:style>
  <w:style w:type="paragraph" w:styleId="2">
    <w:name w:val="heading 2"/>
    <w:basedOn w:val="a"/>
    <w:uiPriority w:val="9"/>
    <w:unhideWhenUsed/>
    <w:qFormat/>
    <w:pPr>
      <w:ind w:left="567" w:hanging="741"/>
      <w:outlineLvl w:val="1"/>
    </w:pPr>
    <w:rPr>
      <w:rFonts w:ascii="Arial" w:eastAsia="Arial" w:hAnsi="Arial" w:cs="Arial"/>
      <w:b/>
      <w:bCs/>
      <w:sz w:val="38"/>
      <w:szCs w:val="38"/>
    </w:rPr>
  </w:style>
  <w:style w:type="paragraph" w:styleId="3">
    <w:name w:val="heading 3"/>
    <w:basedOn w:val="a"/>
    <w:uiPriority w:val="9"/>
    <w:unhideWhenUsed/>
    <w:qFormat/>
    <w:pPr>
      <w:ind w:left="567"/>
      <w:outlineLvl w:val="2"/>
    </w:pPr>
    <w:rPr>
      <w:sz w:val="38"/>
      <w:szCs w:val="38"/>
    </w:rPr>
  </w:style>
  <w:style w:type="paragraph" w:styleId="4">
    <w:name w:val="heading 4"/>
    <w:basedOn w:val="a"/>
    <w:uiPriority w:val="9"/>
    <w:unhideWhenUsed/>
    <w:qFormat/>
    <w:pPr>
      <w:spacing w:before="41"/>
      <w:ind w:left="567"/>
      <w:outlineLvl w:val="3"/>
    </w:pPr>
    <w:rPr>
      <w:rFonts w:ascii="Arial" w:eastAsia="Arial" w:hAnsi="Arial" w:cs="Arial"/>
      <w:b/>
      <w:bCs/>
      <w:sz w:val="28"/>
      <w:szCs w:val="28"/>
    </w:rPr>
  </w:style>
  <w:style w:type="paragraph" w:styleId="5">
    <w:name w:val="heading 5"/>
    <w:basedOn w:val="a"/>
    <w:uiPriority w:val="9"/>
    <w:unhideWhenUsed/>
    <w:qFormat/>
    <w:pPr>
      <w:ind w:left="567"/>
      <w:outlineLvl w:val="4"/>
    </w:pPr>
    <w:rPr>
      <w:sz w:val="28"/>
      <w:szCs w:val="28"/>
    </w:rPr>
  </w:style>
  <w:style w:type="paragraph" w:styleId="6">
    <w:name w:val="heading 6"/>
    <w:basedOn w:val="a"/>
    <w:link w:val="60"/>
    <w:uiPriority w:val="9"/>
    <w:unhideWhenUsed/>
    <w:qFormat/>
    <w:pPr>
      <w:spacing w:before="46"/>
      <w:ind w:left="567"/>
      <w:outlineLvl w:val="5"/>
    </w:pPr>
    <w:rPr>
      <w:rFonts w:ascii="Arial" w:eastAsia="Arial" w:hAnsi="Arial" w:cs="Arial"/>
      <w:b/>
      <w:bCs/>
      <w:sz w:val="24"/>
      <w:szCs w:val="24"/>
    </w:rPr>
  </w:style>
  <w:style w:type="paragraph" w:styleId="7">
    <w:name w:val="heading 7"/>
    <w:basedOn w:val="a"/>
    <w:link w:val="70"/>
    <w:uiPriority w:val="1"/>
    <w:qFormat/>
    <w:pPr>
      <w:ind w:left="567"/>
      <w:outlineLvl w:val="6"/>
    </w:pPr>
    <w:rPr>
      <w:rFonts w:ascii="Arial" w:eastAsia="Arial" w:hAnsi="Arial" w:cs="Arial"/>
      <w:i/>
      <w:iCs/>
      <w:sz w:val="24"/>
      <w:szCs w:val="24"/>
    </w:rPr>
  </w:style>
  <w:style w:type="paragraph" w:styleId="8">
    <w:name w:val="heading 8"/>
    <w:basedOn w:val="a"/>
    <w:uiPriority w:val="1"/>
    <w:qFormat/>
    <w:pPr>
      <w:ind w:left="1273"/>
      <w:outlineLvl w:val="7"/>
    </w:pPr>
    <w:rPr>
      <w:rFonts w:ascii="Arial" w:eastAsia="Arial" w:hAnsi="Arial" w:cs="Arial"/>
      <w:b/>
      <w:bCs/>
      <w:sz w:val="23"/>
      <w:szCs w:val="23"/>
    </w:rPr>
  </w:style>
  <w:style w:type="paragraph" w:styleId="9">
    <w:name w:val="heading 9"/>
    <w:basedOn w:val="a"/>
    <w:uiPriority w:val="1"/>
    <w:qFormat/>
    <w:pPr>
      <w:ind w:left="567"/>
      <w:outlineLvl w:val="8"/>
    </w:pPr>
    <w:rPr>
      <w:rFonts w:ascii="Arial" w:eastAsia="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04"/>
      <w:ind w:left="567"/>
    </w:pPr>
    <w:rPr>
      <w:rFonts w:ascii="Arial" w:eastAsia="Arial" w:hAnsi="Arial" w:cs="Arial"/>
      <w:b/>
      <w:bCs/>
      <w:sz w:val="24"/>
      <w:szCs w:val="24"/>
    </w:rPr>
  </w:style>
  <w:style w:type="paragraph" w:styleId="20">
    <w:name w:val="toc 2"/>
    <w:basedOn w:val="a"/>
    <w:uiPriority w:val="1"/>
    <w:qFormat/>
    <w:pPr>
      <w:spacing w:before="129"/>
      <w:ind w:left="1240" w:hanging="390"/>
    </w:pPr>
    <w:rPr>
      <w:sz w:val="21"/>
      <w:szCs w:val="21"/>
    </w:rPr>
  </w:style>
  <w:style w:type="paragraph" w:styleId="30">
    <w:name w:val="toc 3"/>
    <w:basedOn w:val="a"/>
    <w:uiPriority w:val="1"/>
    <w:qFormat/>
    <w:pPr>
      <w:spacing w:before="129"/>
      <w:ind w:left="1758" w:hanging="511"/>
    </w:pPr>
    <w:rPr>
      <w:sz w:val="21"/>
      <w:szCs w:val="21"/>
    </w:rPr>
  </w:style>
  <w:style w:type="paragraph" w:styleId="40">
    <w:name w:val="toc 4"/>
    <w:basedOn w:val="a"/>
    <w:uiPriority w:val="1"/>
    <w:qFormat/>
    <w:pPr>
      <w:spacing w:before="72"/>
      <w:ind w:left="1814"/>
    </w:pPr>
    <w:rPr>
      <w:sz w:val="21"/>
      <w:szCs w:val="21"/>
    </w:rPr>
  </w:style>
  <w:style w:type="paragraph" w:styleId="a3">
    <w:name w:val="Body Text"/>
    <w:basedOn w:val="a"/>
    <w:uiPriority w:val="1"/>
    <w:qFormat/>
  </w:style>
  <w:style w:type="paragraph" w:styleId="a4">
    <w:name w:val="List Paragraph"/>
    <w:basedOn w:val="a"/>
    <w:uiPriority w:val="1"/>
    <w:qFormat/>
    <w:pPr>
      <w:spacing w:before="61"/>
      <w:ind w:left="850" w:hanging="284"/>
      <w:jc w:val="both"/>
    </w:pPr>
  </w:style>
  <w:style w:type="paragraph" w:customStyle="1" w:styleId="TableParagraph">
    <w:name w:val="Table Paragraph"/>
    <w:basedOn w:val="a"/>
    <w:uiPriority w:val="1"/>
    <w:qFormat/>
    <w:pPr>
      <w:spacing w:before="79"/>
      <w:ind w:left="123"/>
    </w:pPr>
  </w:style>
  <w:style w:type="character" w:styleId="a5">
    <w:name w:val="Hyperlink"/>
    <w:basedOn w:val="a0"/>
    <w:uiPriority w:val="99"/>
    <w:unhideWhenUsed/>
    <w:rsid w:val="004F2FB2"/>
    <w:rPr>
      <w:color w:val="0000FF" w:themeColor="hyperlink"/>
      <w:u w:val="single"/>
    </w:rPr>
  </w:style>
  <w:style w:type="character" w:styleId="a6">
    <w:name w:val="Unresolved Mention"/>
    <w:basedOn w:val="a0"/>
    <w:uiPriority w:val="99"/>
    <w:semiHidden/>
    <w:unhideWhenUsed/>
    <w:rsid w:val="004F2FB2"/>
    <w:rPr>
      <w:color w:val="605E5C"/>
      <w:shd w:val="clear" w:color="auto" w:fill="E1DFDD"/>
    </w:rPr>
  </w:style>
  <w:style w:type="paragraph" w:styleId="a7">
    <w:name w:val="Normal (Web)"/>
    <w:basedOn w:val="a"/>
    <w:uiPriority w:val="99"/>
    <w:semiHidden/>
    <w:unhideWhenUsed/>
    <w:rsid w:val="00F84246"/>
    <w:rPr>
      <w:rFonts w:ascii="Times New Roman" w:hAnsi="Times New Roman" w:cs="Times New Roman"/>
      <w:sz w:val="24"/>
      <w:szCs w:val="24"/>
    </w:rPr>
  </w:style>
  <w:style w:type="paragraph" w:styleId="a8">
    <w:name w:val="header"/>
    <w:basedOn w:val="a"/>
    <w:link w:val="a9"/>
    <w:uiPriority w:val="99"/>
    <w:unhideWhenUsed/>
    <w:rsid w:val="008E07A7"/>
    <w:pPr>
      <w:tabs>
        <w:tab w:val="center" w:pos="4677"/>
        <w:tab w:val="right" w:pos="9355"/>
      </w:tabs>
    </w:pPr>
  </w:style>
  <w:style w:type="character" w:customStyle="1" w:styleId="a9">
    <w:name w:val="Верхній колонтитул Знак"/>
    <w:basedOn w:val="a0"/>
    <w:link w:val="a8"/>
    <w:uiPriority w:val="99"/>
    <w:rsid w:val="008E07A7"/>
    <w:rPr>
      <w:rFonts w:ascii="Microsoft Sans Serif" w:eastAsia="Microsoft Sans Serif" w:hAnsi="Microsoft Sans Serif" w:cs="Microsoft Sans Serif"/>
    </w:rPr>
  </w:style>
  <w:style w:type="paragraph" w:styleId="aa">
    <w:name w:val="footer"/>
    <w:basedOn w:val="a"/>
    <w:link w:val="ab"/>
    <w:uiPriority w:val="99"/>
    <w:unhideWhenUsed/>
    <w:rsid w:val="008E07A7"/>
    <w:pPr>
      <w:tabs>
        <w:tab w:val="center" w:pos="4677"/>
        <w:tab w:val="right" w:pos="9355"/>
      </w:tabs>
    </w:pPr>
  </w:style>
  <w:style w:type="character" w:customStyle="1" w:styleId="ab">
    <w:name w:val="Нижній колонтитул Знак"/>
    <w:basedOn w:val="a0"/>
    <w:link w:val="aa"/>
    <w:uiPriority w:val="99"/>
    <w:rsid w:val="008E07A7"/>
    <w:rPr>
      <w:rFonts w:ascii="Microsoft Sans Serif" w:eastAsia="Microsoft Sans Serif" w:hAnsi="Microsoft Sans Serif" w:cs="Microsoft Sans Serif"/>
    </w:rPr>
  </w:style>
  <w:style w:type="table" w:styleId="ac">
    <w:name w:val="Table Grid"/>
    <w:basedOn w:val="a1"/>
    <w:uiPriority w:val="39"/>
    <w:rsid w:val="00EA1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682B66"/>
    <w:rPr>
      <w:rFonts w:ascii="Segoe UI" w:hAnsi="Segoe UI" w:cs="Segoe UI"/>
      <w:sz w:val="18"/>
      <w:szCs w:val="18"/>
    </w:rPr>
  </w:style>
  <w:style w:type="character" w:customStyle="1" w:styleId="ae">
    <w:name w:val="Текст у виносці Знак"/>
    <w:basedOn w:val="a0"/>
    <w:link w:val="ad"/>
    <w:uiPriority w:val="99"/>
    <w:semiHidden/>
    <w:rsid w:val="00682B66"/>
    <w:rPr>
      <w:rFonts w:ascii="Segoe UI" w:eastAsia="Microsoft Sans Serif" w:hAnsi="Segoe UI" w:cs="Segoe UI"/>
      <w:sz w:val="18"/>
      <w:szCs w:val="18"/>
    </w:rPr>
  </w:style>
  <w:style w:type="character" w:customStyle="1" w:styleId="60">
    <w:name w:val="Заголовок 6 Знак"/>
    <w:basedOn w:val="a0"/>
    <w:link w:val="6"/>
    <w:uiPriority w:val="9"/>
    <w:rsid w:val="00392DCF"/>
    <w:rPr>
      <w:rFonts w:ascii="Arial" w:eastAsia="Arial" w:hAnsi="Arial" w:cs="Arial"/>
      <w:b/>
      <w:bCs/>
      <w:sz w:val="24"/>
      <w:szCs w:val="24"/>
    </w:rPr>
  </w:style>
  <w:style w:type="character" w:customStyle="1" w:styleId="ng-star-inserted">
    <w:name w:val="ng-star-inserted"/>
    <w:basedOn w:val="a0"/>
    <w:rsid w:val="0001099E"/>
  </w:style>
  <w:style w:type="character" w:customStyle="1" w:styleId="70">
    <w:name w:val="Заголовок 7 Знак"/>
    <w:basedOn w:val="a0"/>
    <w:link w:val="7"/>
    <w:uiPriority w:val="1"/>
    <w:rsid w:val="00FE76F9"/>
    <w:rPr>
      <w:rFonts w:ascii="Arial" w:eastAsia="Arial" w:hAnsi="Arial" w:cs="Arial"/>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7487">
      <w:bodyDiv w:val="1"/>
      <w:marLeft w:val="0"/>
      <w:marRight w:val="0"/>
      <w:marTop w:val="0"/>
      <w:marBottom w:val="0"/>
      <w:divBdr>
        <w:top w:val="none" w:sz="0" w:space="0" w:color="auto"/>
        <w:left w:val="none" w:sz="0" w:space="0" w:color="auto"/>
        <w:bottom w:val="none" w:sz="0" w:space="0" w:color="auto"/>
        <w:right w:val="none" w:sz="0" w:space="0" w:color="auto"/>
      </w:divBdr>
    </w:div>
    <w:div w:id="44451199">
      <w:bodyDiv w:val="1"/>
      <w:marLeft w:val="0"/>
      <w:marRight w:val="0"/>
      <w:marTop w:val="0"/>
      <w:marBottom w:val="0"/>
      <w:divBdr>
        <w:top w:val="none" w:sz="0" w:space="0" w:color="auto"/>
        <w:left w:val="none" w:sz="0" w:space="0" w:color="auto"/>
        <w:bottom w:val="none" w:sz="0" w:space="0" w:color="auto"/>
        <w:right w:val="none" w:sz="0" w:space="0" w:color="auto"/>
      </w:divBdr>
    </w:div>
    <w:div w:id="63644437">
      <w:bodyDiv w:val="1"/>
      <w:marLeft w:val="0"/>
      <w:marRight w:val="0"/>
      <w:marTop w:val="0"/>
      <w:marBottom w:val="0"/>
      <w:divBdr>
        <w:top w:val="none" w:sz="0" w:space="0" w:color="auto"/>
        <w:left w:val="none" w:sz="0" w:space="0" w:color="auto"/>
        <w:bottom w:val="none" w:sz="0" w:space="0" w:color="auto"/>
        <w:right w:val="none" w:sz="0" w:space="0" w:color="auto"/>
      </w:divBdr>
    </w:div>
    <w:div w:id="146481095">
      <w:bodyDiv w:val="1"/>
      <w:marLeft w:val="0"/>
      <w:marRight w:val="0"/>
      <w:marTop w:val="0"/>
      <w:marBottom w:val="0"/>
      <w:divBdr>
        <w:top w:val="none" w:sz="0" w:space="0" w:color="auto"/>
        <w:left w:val="none" w:sz="0" w:space="0" w:color="auto"/>
        <w:bottom w:val="none" w:sz="0" w:space="0" w:color="auto"/>
        <w:right w:val="none" w:sz="0" w:space="0" w:color="auto"/>
      </w:divBdr>
    </w:div>
    <w:div w:id="163979935">
      <w:bodyDiv w:val="1"/>
      <w:marLeft w:val="0"/>
      <w:marRight w:val="0"/>
      <w:marTop w:val="0"/>
      <w:marBottom w:val="0"/>
      <w:divBdr>
        <w:top w:val="none" w:sz="0" w:space="0" w:color="auto"/>
        <w:left w:val="none" w:sz="0" w:space="0" w:color="auto"/>
        <w:bottom w:val="none" w:sz="0" w:space="0" w:color="auto"/>
        <w:right w:val="none" w:sz="0" w:space="0" w:color="auto"/>
      </w:divBdr>
    </w:div>
    <w:div w:id="183638655">
      <w:bodyDiv w:val="1"/>
      <w:marLeft w:val="0"/>
      <w:marRight w:val="0"/>
      <w:marTop w:val="0"/>
      <w:marBottom w:val="0"/>
      <w:divBdr>
        <w:top w:val="none" w:sz="0" w:space="0" w:color="auto"/>
        <w:left w:val="none" w:sz="0" w:space="0" w:color="auto"/>
        <w:bottom w:val="none" w:sz="0" w:space="0" w:color="auto"/>
        <w:right w:val="none" w:sz="0" w:space="0" w:color="auto"/>
      </w:divBdr>
    </w:div>
    <w:div w:id="212733702">
      <w:bodyDiv w:val="1"/>
      <w:marLeft w:val="0"/>
      <w:marRight w:val="0"/>
      <w:marTop w:val="0"/>
      <w:marBottom w:val="0"/>
      <w:divBdr>
        <w:top w:val="none" w:sz="0" w:space="0" w:color="auto"/>
        <w:left w:val="none" w:sz="0" w:space="0" w:color="auto"/>
        <w:bottom w:val="none" w:sz="0" w:space="0" w:color="auto"/>
        <w:right w:val="none" w:sz="0" w:space="0" w:color="auto"/>
      </w:divBdr>
    </w:div>
    <w:div w:id="221450039">
      <w:bodyDiv w:val="1"/>
      <w:marLeft w:val="0"/>
      <w:marRight w:val="0"/>
      <w:marTop w:val="0"/>
      <w:marBottom w:val="0"/>
      <w:divBdr>
        <w:top w:val="none" w:sz="0" w:space="0" w:color="auto"/>
        <w:left w:val="none" w:sz="0" w:space="0" w:color="auto"/>
        <w:bottom w:val="none" w:sz="0" w:space="0" w:color="auto"/>
        <w:right w:val="none" w:sz="0" w:space="0" w:color="auto"/>
      </w:divBdr>
    </w:div>
    <w:div w:id="224338404">
      <w:bodyDiv w:val="1"/>
      <w:marLeft w:val="0"/>
      <w:marRight w:val="0"/>
      <w:marTop w:val="0"/>
      <w:marBottom w:val="0"/>
      <w:divBdr>
        <w:top w:val="none" w:sz="0" w:space="0" w:color="auto"/>
        <w:left w:val="none" w:sz="0" w:space="0" w:color="auto"/>
        <w:bottom w:val="none" w:sz="0" w:space="0" w:color="auto"/>
        <w:right w:val="none" w:sz="0" w:space="0" w:color="auto"/>
      </w:divBdr>
    </w:div>
    <w:div w:id="245461616">
      <w:bodyDiv w:val="1"/>
      <w:marLeft w:val="0"/>
      <w:marRight w:val="0"/>
      <w:marTop w:val="0"/>
      <w:marBottom w:val="0"/>
      <w:divBdr>
        <w:top w:val="none" w:sz="0" w:space="0" w:color="auto"/>
        <w:left w:val="none" w:sz="0" w:space="0" w:color="auto"/>
        <w:bottom w:val="none" w:sz="0" w:space="0" w:color="auto"/>
        <w:right w:val="none" w:sz="0" w:space="0" w:color="auto"/>
      </w:divBdr>
    </w:div>
    <w:div w:id="267584355">
      <w:bodyDiv w:val="1"/>
      <w:marLeft w:val="0"/>
      <w:marRight w:val="0"/>
      <w:marTop w:val="0"/>
      <w:marBottom w:val="0"/>
      <w:divBdr>
        <w:top w:val="none" w:sz="0" w:space="0" w:color="auto"/>
        <w:left w:val="none" w:sz="0" w:space="0" w:color="auto"/>
        <w:bottom w:val="none" w:sz="0" w:space="0" w:color="auto"/>
        <w:right w:val="none" w:sz="0" w:space="0" w:color="auto"/>
      </w:divBdr>
    </w:div>
    <w:div w:id="345600932">
      <w:bodyDiv w:val="1"/>
      <w:marLeft w:val="0"/>
      <w:marRight w:val="0"/>
      <w:marTop w:val="0"/>
      <w:marBottom w:val="0"/>
      <w:divBdr>
        <w:top w:val="none" w:sz="0" w:space="0" w:color="auto"/>
        <w:left w:val="none" w:sz="0" w:space="0" w:color="auto"/>
        <w:bottom w:val="none" w:sz="0" w:space="0" w:color="auto"/>
        <w:right w:val="none" w:sz="0" w:space="0" w:color="auto"/>
      </w:divBdr>
    </w:div>
    <w:div w:id="349914792">
      <w:bodyDiv w:val="1"/>
      <w:marLeft w:val="0"/>
      <w:marRight w:val="0"/>
      <w:marTop w:val="0"/>
      <w:marBottom w:val="0"/>
      <w:divBdr>
        <w:top w:val="none" w:sz="0" w:space="0" w:color="auto"/>
        <w:left w:val="none" w:sz="0" w:space="0" w:color="auto"/>
        <w:bottom w:val="none" w:sz="0" w:space="0" w:color="auto"/>
        <w:right w:val="none" w:sz="0" w:space="0" w:color="auto"/>
      </w:divBdr>
    </w:div>
    <w:div w:id="367417745">
      <w:bodyDiv w:val="1"/>
      <w:marLeft w:val="0"/>
      <w:marRight w:val="0"/>
      <w:marTop w:val="0"/>
      <w:marBottom w:val="0"/>
      <w:divBdr>
        <w:top w:val="none" w:sz="0" w:space="0" w:color="auto"/>
        <w:left w:val="none" w:sz="0" w:space="0" w:color="auto"/>
        <w:bottom w:val="none" w:sz="0" w:space="0" w:color="auto"/>
        <w:right w:val="none" w:sz="0" w:space="0" w:color="auto"/>
      </w:divBdr>
    </w:div>
    <w:div w:id="425661392">
      <w:bodyDiv w:val="1"/>
      <w:marLeft w:val="0"/>
      <w:marRight w:val="0"/>
      <w:marTop w:val="0"/>
      <w:marBottom w:val="0"/>
      <w:divBdr>
        <w:top w:val="none" w:sz="0" w:space="0" w:color="auto"/>
        <w:left w:val="none" w:sz="0" w:space="0" w:color="auto"/>
        <w:bottom w:val="none" w:sz="0" w:space="0" w:color="auto"/>
        <w:right w:val="none" w:sz="0" w:space="0" w:color="auto"/>
      </w:divBdr>
    </w:div>
    <w:div w:id="442772519">
      <w:bodyDiv w:val="1"/>
      <w:marLeft w:val="0"/>
      <w:marRight w:val="0"/>
      <w:marTop w:val="0"/>
      <w:marBottom w:val="0"/>
      <w:divBdr>
        <w:top w:val="none" w:sz="0" w:space="0" w:color="auto"/>
        <w:left w:val="none" w:sz="0" w:space="0" w:color="auto"/>
        <w:bottom w:val="none" w:sz="0" w:space="0" w:color="auto"/>
        <w:right w:val="none" w:sz="0" w:space="0" w:color="auto"/>
      </w:divBdr>
    </w:div>
    <w:div w:id="484277030">
      <w:bodyDiv w:val="1"/>
      <w:marLeft w:val="0"/>
      <w:marRight w:val="0"/>
      <w:marTop w:val="0"/>
      <w:marBottom w:val="0"/>
      <w:divBdr>
        <w:top w:val="none" w:sz="0" w:space="0" w:color="auto"/>
        <w:left w:val="none" w:sz="0" w:space="0" w:color="auto"/>
        <w:bottom w:val="none" w:sz="0" w:space="0" w:color="auto"/>
        <w:right w:val="none" w:sz="0" w:space="0" w:color="auto"/>
      </w:divBdr>
    </w:div>
    <w:div w:id="616185448">
      <w:bodyDiv w:val="1"/>
      <w:marLeft w:val="0"/>
      <w:marRight w:val="0"/>
      <w:marTop w:val="0"/>
      <w:marBottom w:val="0"/>
      <w:divBdr>
        <w:top w:val="none" w:sz="0" w:space="0" w:color="auto"/>
        <w:left w:val="none" w:sz="0" w:space="0" w:color="auto"/>
        <w:bottom w:val="none" w:sz="0" w:space="0" w:color="auto"/>
        <w:right w:val="none" w:sz="0" w:space="0" w:color="auto"/>
      </w:divBdr>
    </w:div>
    <w:div w:id="638612896">
      <w:bodyDiv w:val="1"/>
      <w:marLeft w:val="0"/>
      <w:marRight w:val="0"/>
      <w:marTop w:val="0"/>
      <w:marBottom w:val="0"/>
      <w:divBdr>
        <w:top w:val="none" w:sz="0" w:space="0" w:color="auto"/>
        <w:left w:val="none" w:sz="0" w:space="0" w:color="auto"/>
        <w:bottom w:val="none" w:sz="0" w:space="0" w:color="auto"/>
        <w:right w:val="none" w:sz="0" w:space="0" w:color="auto"/>
      </w:divBdr>
    </w:div>
    <w:div w:id="713702210">
      <w:bodyDiv w:val="1"/>
      <w:marLeft w:val="0"/>
      <w:marRight w:val="0"/>
      <w:marTop w:val="0"/>
      <w:marBottom w:val="0"/>
      <w:divBdr>
        <w:top w:val="none" w:sz="0" w:space="0" w:color="auto"/>
        <w:left w:val="none" w:sz="0" w:space="0" w:color="auto"/>
        <w:bottom w:val="none" w:sz="0" w:space="0" w:color="auto"/>
        <w:right w:val="none" w:sz="0" w:space="0" w:color="auto"/>
      </w:divBdr>
    </w:div>
    <w:div w:id="756630081">
      <w:bodyDiv w:val="1"/>
      <w:marLeft w:val="0"/>
      <w:marRight w:val="0"/>
      <w:marTop w:val="0"/>
      <w:marBottom w:val="0"/>
      <w:divBdr>
        <w:top w:val="none" w:sz="0" w:space="0" w:color="auto"/>
        <w:left w:val="none" w:sz="0" w:space="0" w:color="auto"/>
        <w:bottom w:val="none" w:sz="0" w:space="0" w:color="auto"/>
        <w:right w:val="none" w:sz="0" w:space="0" w:color="auto"/>
      </w:divBdr>
      <w:divsChild>
        <w:div w:id="1092553329">
          <w:marLeft w:val="0"/>
          <w:marRight w:val="0"/>
          <w:marTop w:val="0"/>
          <w:marBottom w:val="0"/>
          <w:divBdr>
            <w:top w:val="none" w:sz="0" w:space="0" w:color="auto"/>
            <w:left w:val="none" w:sz="0" w:space="0" w:color="auto"/>
            <w:bottom w:val="none" w:sz="0" w:space="0" w:color="auto"/>
            <w:right w:val="none" w:sz="0" w:space="0" w:color="auto"/>
          </w:divBdr>
          <w:divsChild>
            <w:div w:id="61120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82386">
      <w:bodyDiv w:val="1"/>
      <w:marLeft w:val="0"/>
      <w:marRight w:val="0"/>
      <w:marTop w:val="0"/>
      <w:marBottom w:val="0"/>
      <w:divBdr>
        <w:top w:val="none" w:sz="0" w:space="0" w:color="auto"/>
        <w:left w:val="none" w:sz="0" w:space="0" w:color="auto"/>
        <w:bottom w:val="none" w:sz="0" w:space="0" w:color="auto"/>
        <w:right w:val="none" w:sz="0" w:space="0" w:color="auto"/>
      </w:divBdr>
    </w:div>
    <w:div w:id="800077877">
      <w:bodyDiv w:val="1"/>
      <w:marLeft w:val="0"/>
      <w:marRight w:val="0"/>
      <w:marTop w:val="0"/>
      <w:marBottom w:val="0"/>
      <w:divBdr>
        <w:top w:val="none" w:sz="0" w:space="0" w:color="auto"/>
        <w:left w:val="none" w:sz="0" w:space="0" w:color="auto"/>
        <w:bottom w:val="none" w:sz="0" w:space="0" w:color="auto"/>
        <w:right w:val="none" w:sz="0" w:space="0" w:color="auto"/>
      </w:divBdr>
    </w:div>
    <w:div w:id="877661581">
      <w:bodyDiv w:val="1"/>
      <w:marLeft w:val="0"/>
      <w:marRight w:val="0"/>
      <w:marTop w:val="0"/>
      <w:marBottom w:val="0"/>
      <w:divBdr>
        <w:top w:val="none" w:sz="0" w:space="0" w:color="auto"/>
        <w:left w:val="none" w:sz="0" w:space="0" w:color="auto"/>
        <w:bottom w:val="none" w:sz="0" w:space="0" w:color="auto"/>
        <w:right w:val="none" w:sz="0" w:space="0" w:color="auto"/>
      </w:divBdr>
    </w:div>
    <w:div w:id="889347664">
      <w:bodyDiv w:val="1"/>
      <w:marLeft w:val="0"/>
      <w:marRight w:val="0"/>
      <w:marTop w:val="0"/>
      <w:marBottom w:val="0"/>
      <w:divBdr>
        <w:top w:val="none" w:sz="0" w:space="0" w:color="auto"/>
        <w:left w:val="none" w:sz="0" w:space="0" w:color="auto"/>
        <w:bottom w:val="none" w:sz="0" w:space="0" w:color="auto"/>
        <w:right w:val="none" w:sz="0" w:space="0" w:color="auto"/>
      </w:divBdr>
    </w:div>
    <w:div w:id="906257480">
      <w:bodyDiv w:val="1"/>
      <w:marLeft w:val="0"/>
      <w:marRight w:val="0"/>
      <w:marTop w:val="0"/>
      <w:marBottom w:val="0"/>
      <w:divBdr>
        <w:top w:val="none" w:sz="0" w:space="0" w:color="auto"/>
        <w:left w:val="none" w:sz="0" w:space="0" w:color="auto"/>
        <w:bottom w:val="none" w:sz="0" w:space="0" w:color="auto"/>
        <w:right w:val="none" w:sz="0" w:space="0" w:color="auto"/>
      </w:divBdr>
    </w:div>
    <w:div w:id="964311587">
      <w:bodyDiv w:val="1"/>
      <w:marLeft w:val="0"/>
      <w:marRight w:val="0"/>
      <w:marTop w:val="0"/>
      <w:marBottom w:val="0"/>
      <w:divBdr>
        <w:top w:val="none" w:sz="0" w:space="0" w:color="auto"/>
        <w:left w:val="none" w:sz="0" w:space="0" w:color="auto"/>
        <w:bottom w:val="none" w:sz="0" w:space="0" w:color="auto"/>
        <w:right w:val="none" w:sz="0" w:space="0" w:color="auto"/>
      </w:divBdr>
    </w:div>
    <w:div w:id="979966027">
      <w:bodyDiv w:val="1"/>
      <w:marLeft w:val="0"/>
      <w:marRight w:val="0"/>
      <w:marTop w:val="0"/>
      <w:marBottom w:val="0"/>
      <w:divBdr>
        <w:top w:val="none" w:sz="0" w:space="0" w:color="auto"/>
        <w:left w:val="none" w:sz="0" w:space="0" w:color="auto"/>
        <w:bottom w:val="none" w:sz="0" w:space="0" w:color="auto"/>
        <w:right w:val="none" w:sz="0" w:space="0" w:color="auto"/>
      </w:divBdr>
    </w:div>
    <w:div w:id="983585006">
      <w:bodyDiv w:val="1"/>
      <w:marLeft w:val="0"/>
      <w:marRight w:val="0"/>
      <w:marTop w:val="0"/>
      <w:marBottom w:val="0"/>
      <w:divBdr>
        <w:top w:val="none" w:sz="0" w:space="0" w:color="auto"/>
        <w:left w:val="none" w:sz="0" w:space="0" w:color="auto"/>
        <w:bottom w:val="none" w:sz="0" w:space="0" w:color="auto"/>
        <w:right w:val="none" w:sz="0" w:space="0" w:color="auto"/>
      </w:divBdr>
    </w:div>
    <w:div w:id="1018845803">
      <w:bodyDiv w:val="1"/>
      <w:marLeft w:val="0"/>
      <w:marRight w:val="0"/>
      <w:marTop w:val="0"/>
      <w:marBottom w:val="0"/>
      <w:divBdr>
        <w:top w:val="none" w:sz="0" w:space="0" w:color="auto"/>
        <w:left w:val="none" w:sz="0" w:space="0" w:color="auto"/>
        <w:bottom w:val="none" w:sz="0" w:space="0" w:color="auto"/>
        <w:right w:val="none" w:sz="0" w:space="0" w:color="auto"/>
      </w:divBdr>
    </w:div>
    <w:div w:id="1025062478">
      <w:bodyDiv w:val="1"/>
      <w:marLeft w:val="0"/>
      <w:marRight w:val="0"/>
      <w:marTop w:val="0"/>
      <w:marBottom w:val="0"/>
      <w:divBdr>
        <w:top w:val="none" w:sz="0" w:space="0" w:color="auto"/>
        <w:left w:val="none" w:sz="0" w:space="0" w:color="auto"/>
        <w:bottom w:val="none" w:sz="0" w:space="0" w:color="auto"/>
        <w:right w:val="none" w:sz="0" w:space="0" w:color="auto"/>
      </w:divBdr>
    </w:div>
    <w:div w:id="1063991773">
      <w:bodyDiv w:val="1"/>
      <w:marLeft w:val="0"/>
      <w:marRight w:val="0"/>
      <w:marTop w:val="0"/>
      <w:marBottom w:val="0"/>
      <w:divBdr>
        <w:top w:val="none" w:sz="0" w:space="0" w:color="auto"/>
        <w:left w:val="none" w:sz="0" w:space="0" w:color="auto"/>
        <w:bottom w:val="none" w:sz="0" w:space="0" w:color="auto"/>
        <w:right w:val="none" w:sz="0" w:space="0" w:color="auto"/>
      </w:divBdr>
    </w:div>
    <w:div w:id="1072117310">
      <w:bodyDiv w:val="1"/>
      <w:marLeft w:val="0"/>
      <w:marRight w:val="0"/>
      <w:marTop w:val="0"/>
      <w:marBottom w:val="0"/>
      <w:divBdr>
        <w:top w:val="none" w:sz="0" w:space="0" w:color="auto"/>
        <w:left w:val="none" w:sz="0" w:space="0" w:color="auto"/>
        <w:bottom w:val="none" w:sz="0" w:space="0" w:color="auto"/>
        <w:right w:val="none" w:sz="0" w:space="0" w:color="auto"/>
      </w:divBdr>
    </w:div>
    <w:div w:id="1121611486">
      <w:bodyDiv w:val="1"/>
      <w:marLeft w:val="0"/>
      <w:marRight w:val="0"/>
      <w:marTop w:val="0"/>
      <w:marBottom w:val="0"/>
      <w:divBdr>
        <w:top w:val="none" w:sz="0" w:space="0" w:color="auto"/>
        <w:left w:val="none" w:sz="0" w:space="0" w:color="auto"/>
        <w:bottom w:val="none" w:sz="0" w:space="0" w:color="auto"/>
        <w:right w:val="none" w:sz="0" w:space="0" w:color="auto"/>
      </w:divBdr>
    </w:div>
    <w:div w:id="1157303057">
      <w:bodyDiv w:val="1"/>
      <w:marLeft w:val="0"/>
      <w:marRight w:val="0"/>
      <w:marTop w:val="0"/>
      <w:marBottom w:val="0"/>
      <w:divBdr>
        <w:top w:val="none" w:sz="0" w:space="0" w:color="auto"/>
        <w:left w:val="none" w:sz="0" w:space="0" w:color="auto"/>
        <w:bottom w:val="none" w:sz="0" w:space="0" w:color="auto"/>
        <w:right w:val="none" w:sz="0" w:space="0" w:color="auto"/>
      </w:divBdr>
    </w:div>
    <w:div w:id="1251426458">
      <w:bodyDiv w:val="1"/>
      <w:marLeft w:val="0"/>
      <w:marRight w:val="0"/>
      <w:marTop w:val="0"/>
      <w:marBottom w:val="0"/>
      <w:divBdr>
        <w:top w:val="none" w:sz="0" w:space="0" w:color="auto"/>
        <w:left w:val="none" w:sz="0" w:space="0" w:color="auto"/>
        <w:bottom w:val="none" w:sz="0" w:space="0" w:color="auto"/>
        <w:right w:val="none" w:sz="0" w:space="0" w:color="auto"/>
      </w:divBdr>
      <w:divsChild>
        <w:div w:id="441152262">
          <w:marLeft w:val="0"/>
          <w:marRight w:val="0"/>
          <w:marTop w:val="0"/>
          <w:marBottom w:val="0"/>
          <w:divBdr>
            <w:top w:val="none" w:sz="0" w:space="0" w:color="auto"/>
            <w:left w:val="none" w:sz="0" w:space="0" w:color="auto"/>
            <w:bottom w:val="none" w:sz="0" w:space="0" w:color="auto"/>
            <w:right w:val="none" w:sz="0" w:space="0" w:color="auto"/>
          </w:divBdr>
          <w:divsChild>
            <w:div w:id="5733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8158">
      <w:bodyDiv w:val="1"/>
      <w:marLeft w:val="0"/>
      <w:marRight w:val="0"/>
      <w:marTop w:val="0"/>
      <w:marBottom w:val="0"/>
      <w:divBdr>
        <w:top w:val="none" w:sz="0" w:space="0" w:color="auto"/>
        <w:left w:val="none" w:sz="0" w:space="0" w:color="auto"/>
        <w:bottom w:val="none" w:sz="0" w:space="0" w:color="auto"/>
        <w:right w:val="none" w:sz="0" w:space="0" w:color="auto"/>
      </w:divBdr>
    </w:div>
    <w:div w:id="1375540811">
      <w:bodyDiv w:val="1"/>
      <w:marLeft w:val="0"/>
      <w:marRight w:val="0"/>
      <w:marTop w:val="0"/>
      <w:marBottom w:val="0"/>
      <w:divBdr>
        <w:top w:val="none" w:sz="0" w:space="0" w:color="auto"/>
        <w:left w:val="none" w:sz="0" w:space="0" w:color="auto"/>
        <w:bottom w:val="none" w:sz="0" w:space="0" w:color="auto"/>
        <w:right w:val="none" w:sz="0" w:space="0" w:color="auto"/>
      </w:divBdr>
    </w:div>
    <w:div w:id="1432509175">
      <w:bodyDiv w:val="1"/>
      <w:marLeft w:val="0"/>
      <w:marRight w:val="0"/>
      <w:marTop w:val="0"/>
      <w:marBottom w:val="0"/>
      <w:divBdr>
        <w:top w:val="none" w:sz="0" w:space="0" w:color="auto"/>
        <w:left w:val="none" w:sz="0" w:space="0" w:color="auto"/>
        <w:bottom w:val="none" w:sz="0" w:space="0" w:color="auto"/>
        <w:right w:val="none" w:sz="0" w:space="0" w:color="auto"/>
      </w:divBdr>
    </w:div>
    <w:div w:id="1466895027">
      <w:bodyDiv w:val="1"/>
      <w:marLeft w:val="0"/>
      <w:marRight w:val="0"/>
      <w:marTop w:val="0"/>
      <w:marBottom w:val="0"/>
      <w:divBdr>
        <w:top w:val="none" w:sz="0" w:space="0" w:color="auto"/>
        <w:left w:val="none" w:sz="0" w:space="0" w:color="auto"/>
        <w:bottom w:val="none" w:sz="0" w:space="0" w:color="auto"/>
        <w:right w:val="none" w:sz="0" w:space="0" w:color="auto"/>
      </w:divBdr>
    </w:div>
    <w:div w:id="1481574812">
      <w:bodyDiv w:val="1"/>
      <w:marLeft w:val="0"/>
      <w:marRight w:val="0"/>
      <w:marTop w:val="0"/>
      <w:marBottom w:val="0"/>
      <w:divBdr>
        <w:top w:val="none" w:sz="0" w:space="0" w:color="auto"/>
        <w:left w:val="none" w:sz="0" w:space="0" w:color="auto"/>
        <w:bottom w:val="none" w:sz="0" w:space="0" w:color="auto"/>
        <w:right w:val="none" w:sz="0" w:space="0" w:color="auto"/>
      </w:divBdr>
    </w:div>
    <w:div w:id="1485318422">
      <w:bodyDiv w:val="1"/>
      <w:marLeft w:val="0"/>
      <w:marRight w:val="0"/>
      <w:marTop w:val="0"/>
      <w:marBottom w:val="0"/>
      <w:divBdr>
        <w:top w:val="none" w:sz="0" w:space="0" w:color="auto"/>
        <w:left w:val="none" w:sz="0" w:space="0" w:color="auto"/>
        <w:bottom w:val="none" w:sz="0" w:space="0" w:color="auto"/>
        <w:right w:val="none" w:sz="0" w:space="0" w:color="auto"/>
      </w:divBdr>
    </w:div>
    <w:div w:id="1572233619">
      <w:bodyDiv w:val="1"/>
      <w:marLeft w:val="0"/>
      <w:marRight w:val="0"/>
      <w:marTop w:val="0"/>
      <w:marBottom w:val="0"/>
      <w:divBdr>
        <w:top w:val="none" w:sz="0" w:space="0" w:color="auto"/>
        <w:left w:val="none" w:sz="0" w:space="0" w:color="auto"/>
        <w:bottom w:val="none" w:sz="0" w:space="0" w:color="auto"/>
        <w:right w:val="none" w:sz="0" w:space="0" w:color="auto"/>
      </w:divBdr>
    </w:div>
    <w:div w:id="1669939674">
      <w:bodyDiv w:val="1"/>
      <w:marLeft w:val="0"/>
      <w:marRight w:val="0"/>
      <w:marTop w:val="0"/>
      <w:marBottom w:val="0"/>
      <w:divBdr>
        <w:top w:val="none" w:sz="0" w:space="0" w:color="auto"/>
        <w:left w:val="none" w:sz="0" w:space="0" w:color="auto"/>
        <w:bottom w:val="none" w:sz="0" w:space="0" w:color="auto"/>
        <w:right w:val="none" w:sz="0" w:space="0" w:color="auto"/>
      </w:divBdr>
    </w:div>
    <w:div w:id="1704676090">
      <w:bodyDiv w:val="1"/>
      <w:marLeft w:val="0"/>
      <w:marRight w:val="0"/>
      <w:marTop w:val="0"/>
      <w:marBottom w:val="0"/>
      <w:divBdr>
        <w:top w:val="none" w:sz="0" w:space="0" w:color="auto"/>
        <w:left w:val="none" w:sz="0" w:space="0" w:color="auto"/>
        <w:bottom w:val="none" w:sz="0" w:space="0" w:color="auto"/>
        <w:right w:val="none" w:sz="0" w:space="0" w:color="auto"/>
      </w:divBdr>
    </w:div>
    <w:div w:id="1756783375">
      <w:bodyDiv w:val="1"/>
      <w:marLeft w:val="0"/>
      <w:marRight w:val="0"/>
      <w:marTop w:val="0"/>
      <w:marBottom w:val="0"/>
      <w:divBdr>
        <w:top w:val="none" w:sz="0" w:space="0" w:color="auto"/>
        <w:left w:val="none" w:sz="0" w:space="0" w:color="auto"/>
        <w:bottom w:val="none" w:sz="0" w:space="0" w:color="auto"/>
        <w:right w:val="none" w:sz="0" w:space="0" w:color="auto"/>
      </w:divBdr>
    </w:div>
    <w:div w:id="1798063151">
      <w:bodyDiv w:val="1"/>
      <w:marLeft w:val="0"/>
      <w:marRight w:val="0"/>
      <w:marTop w:val="0"/>
      <w:marBottom w:val="0"/>
      <w:divBdr>
        <w:top w:val="none" w:sz="0" w:space="0" w:color="auto"/>
        <w:left w:val="none" w:sz="0" w:space="0" w:color="auto"/>
        <w:bottom w:val="none" w:sz="0" w:space="0" w:color="auto"/>
        <w:right w:val="none" w:sz="0" w:space="0" w:color="auto"/>
      </w:divBdr>
    </w:div>
    <w:div w:id="1857841589">
      <w:bodyDiv w:val="1"/>
      <w:marLeft w:val="0"/>
      <w:marRight w:val="0"/>
      <w:marTop w:val="0"/>
      <w:marBottom w:val="0"/>
      <w:divBdr>
        <w:top w:val="none" w:sz="0" w:space="0" w:color="auto"/>
        <w:left w:val="none" w:sz="0" w:space="0" w:color="auto"/>
        <w:bottom w:val="none" w:sz="0" w:space="0" w:color="auto"/>
        <w:right w:val="none" w:sz="0" w:space="0" w:color="auto"/>
      </w:divBdr>
    </w:div>
    <w:div w:id="1966231768">
      <w:bodyDiv w:val="1"/>
      <w:marLeft w:val="0"/>
      <w:marRight w:val="0"/>
      <w:marTop w:val="0"/>
      <w:marBottom w:val="0"/>
      <w:divBdr>
        <w:top w:val="none" w:sz="0" w:space="0" w:color="auto"/>
        <w:left w:val="none" w:sz="0" w:space="0" w:color="auto"/>
        <w:bottom w:val="none" w:sz="0" w:space="0" w:color="auto"/>
        <w:right w:val="none" w:sz="0" w:space="0" w:color="auto"/>
      </w:divBdr>
    </w:div>
    <w:div w:id="1978995165">
      <w:bodyDiv w:val="1"/>
      <w:marLeft w:val="0"/>
      <w:marRight w:val="0"/>
      <w:marTop w:val="0"/>
      <w:marBottom w:val="0"/>
      <w:divBdr>
        <w:top w:val="none" w:sz="0" w:space="0" w:color="auto"/>
        <w:left w:val="none" w:sz="0" w:space="0" w:color="auto"/>
        <w:bottom w:val="none" w:sz="0" w:space="0" w:color="auto"/>
        <w:right w:val="none" w:sz="0" w:space="0" w:color="auto"/>
      </w:divBdr>
    </w:div>
    <w:div w:id="1986667033">
      <w:bodyDiv w:val="1"/>
      <w:marLeft w:val="0"/>
      <w:marRight w:val="0"/>
      <w:marTop w:val="0"/>
      <w:marBottom w:val="0"/>
      <w:divBdr>
        <w:top w:val="none" w:sz="0" w:space="0" w:color="auto"/>
        <w:left w:val="none" w:sz="0" w:space="0" w:color="auto"/>
        <w:bottom w:val="none" w:sz="0" w:space="0" w:color="auto"/>
        <w:right w:val="none" w:sz="0" w:space="0" w:color="auto"/>
      </w:divBdr>
    </w:div>
    <w:div w:id="1996957183">
      <w:bodyDiv w:val="1"/>
      <w:marLeft w:val="0"/>
      <w:marRight w:val="0"/>
      <w:marTop w:val="0"/>
      <w:marBottom w:val="0"/>
      <w:divBdr>
        <w:top w:val="none" w:sz="0" w:space="0" w:color="auto"/>
        <w:left w:val="none" w:sz="0" w:space="0" w:color="auto"/>
        <w:bottom w:val="none" w:sz="0" w:space="0" w:color="auto"/>
        <w:right w:val="none" w:sz="0" w:space="0" w:color="auto"/>
      </w:divBdr>
    </w:div>
    <w:div w:id="2123256308">
      <w:bodyDiv w:val="1"/>
      <w:marLeft w:val="0"/>
      <w:marRight w:val="0"/>
      <w:marTop w:val="0"/>
      <w:marBottom w:val="0"/>
      <w:divBdr>
        <w:top w:val="none" w:sz="0" w:space="0" w:color="auto"/>
        <w:left w:val="none" w:sz="0" w:space="0" w:color="auto"/>
        <w:bottom w:val="none" w:sz="0" w:space="0" w:color="auto"/>
        <w:right w:val="none" w:sz="0" w:space="0" w:color="auto"/>
      </w:divBdr>
    </w:div>
    <w:div w:id="2142068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hyperlink" Target="https://www.who.int/copyright" TargetMode="External"/><Relationship Id="rId42" Type="http://schemas.openxmlformats.org/officeDocument/2006/relationships/footer" Target="footer10.xml"/><Relationship Id="rId63" Type="http://schemas.openxmlformats.org/officeDocument/2006/relationships/image" Target="media/image32.png"/><Relationship Id="rId138" Type="http://schemas.openxmlformats.org/officeDocument/2006/relationships/image" Target="media/image92.png"/><Relationship Id="rId159" Type="http://schemas.openxmlformats.org/officeDocument/2006/relationships/image" Target="media/image112.png"/><Relationship Id="rId170" Type="http://schemas.openxmlformats.org/officeDocument/2006/relationships/image" Target="media/image124.png"/><Relationship Id="rId191" Type="http://schemas.openxmlformats.org/officeDocument/2006/relationships/hyperlink" Target="https://doi.org/10.1186/s12879-018-3013-0" TargetMode="External"/><Relationship Id="rId205" Type="http://schemas.openxmlformats.org/officeDocument/2006/relationships/image" Target="media/image134.png"/><Relationship Id="rId226" Type="http://schemas.openxmlformats.org/officeDocument/2006/relationships/hyperlink" Target="https://pubmed.ncbi.nlm.nih.gov/21479236/" TargetMode="External"/><Relationship Id="rId247" Type="http://schemas.openxmlformats.org/officeDocument/2006/relationships/hyperlink" Target="https://apps.who.int/iris/handle/10665/145714" TargetMode="External"/><Relationship Id="rId107" Type="http://schemas.openxmlformats.org/officeDocument/2006/relationships/footer" Target="footer15.xml"/><Relationship Id="rId11" Type="http://schemas.openxmlformats.org/officeDocument/2006/relationships/image" Target="media/image3.png"/><Relationship Id="rId32" Type="http://schemas.openxmlformats.org/officeDocument/2006/relationships/footer" Target="footer2.xml"/><Relationship Id="rId53" Type="http://schemas.openxmlformats.org/officeDocument/2006/relationships/image" Target="media/image22.png"/><Relationship Id="rId74" Type="http://schemas.openxmlformats.org/officeDocument/2006/relationships/image" Target="media/image43.png"/><Relationship Id="rId128" Type="http://schemas.openxmlformats.org/officeDocument/2006/relationships/image" Target="media/image88.png"/><Relationship Id="rId149" Type="http://schemas.openxmlformats.org/officeDocument/2006/relationships/image" Target="media/image102.png"/><Relationship Id="rId5" Type="http://schemas.openxmlformats.org/officeDocument/2006/relationships/webSettings" Target="webSettings.xml"/><Relationship Id="rId95" Type="http://schemas.openxmlformats.org/officeDocument/2006/relationships/image" Target="media/image57.png"/><Relationship Id="rId160" Type="http://schemas.openxmlformats.org/officeDocument/2006/relationships/image" Target="media/image113.png"/><Relationship Id="rId181" Type="http://schemas.openxmlformats.org/officeDocument/2006/relationships/hyperlink" Target="https://doi.org/10.1016/j.cgh.2018.08.080" TargetMode="External"/><Relationship Id="rId216" Type="http://schemas.openxmlformats.org/officeDocument/2006/relationships/hyperlink" Target="https://pubmed.ncbi.nlm.nih.gov/32058069/" TargetMode="External"/><Relationship Id="rId237" Type="http://schemas.openxmlformats.org/officeDocument/2006/relationships/footer" Target="footer25.xml"/><Relationship Id="rId22" Type="http://schemas.openxmlformats.org/officeDocument/2006/relationships/image" Target="media/image8.png"/><Relationship Id="rId43" Type="http://schemas.openxmlformats.org/officeDocument/2006/relationships/footer" Target="footer11.xml"/><Relationship Id="rId64" Type="http://schemas.openxmlformats.org/officeDocument/2006/relationships/image" Target="media/image33.png"/><Relationship Id="rId118" Type="http://schemas.openxmlformats.org/officeDocument/2006/relationships/image" Target="media/image78.png"/><Relationship Id="rId139" Type="http://schemas.openxmlformats.org/officeDocument/2006/relationships/image" Target="media/image93.png"/><Relationship Id="rId150" Type="http://schemas.openxmlformats.org/officeDocument/2006/relationships/image" Target="media/image103.png"/><Relationship Id="rId171" Type="http://schemas.openxmlformats.org/officeDocument/2006/relationships/image" Target="media/image125.png"/><Relationship Id="rId192" Type="http://schemas.openxmlformats.org/officeDocument/2006/relationships/hyperlink" Target="https://doi.org/10.1186/s12879-018-3013-0" TargetMode="External"/><Relationship Id="rId206" Type="http://schemas.openxmlformats.org/officeDocument/2006/relationships/image" Target="media/image135.png"/><Relationship Id="rId227" Type="http://schemas.openxmlformats.org/officeDocument/2006/relationships/hyperlink" Target="https://pubmed.ncbi.nlm.nih.gov/26765255/" TargetMode="External"/><Relationship Id="rId248" Type="http://schemas.openxmlformats.org/officeDocument/2006/relationships/footer" Target="footer30.xml"/><Relationship Id="rId12" Type="http://schemas.openxmlformats.org/officeDocument/2006/relationships/image" Target="media/image4.png"/><Relationship Id="rId33" Type="http://schemas.openxmlformats.org/officeDocument/2006/relationships/footer" Target="footer3.xml"/><Relationship Id="rId108" Type="http://schemas.openxmlformats.org/officeDocument/2006/relationships/footer" Target="footer16.xml"/><Relationship Id="rId129" Type="http://schemas.openxmlformats.org/officeDocument/2006/relationships/image" Target="media/image89.png"/><Relationship Id="rId54" Type="http://schemas.openxmlformats.org/officeDocument/2006/relationships/image" Target="media/image23.png"/><Relationship Id="rId75" Type="http://schemas.openxmlformats.org/officeDocument/2006/relationships/image" Target="media/image44.png"/><Relationship Id="rId96" Type="http://schemas.openxmlformats.org/officeDocument/2006/relationships/image" Target="media/image58.png"/><Relationship Id="rId140" Type="http://schemas.openxmlformats.org/officeDocument/2006/relationships/image" Target="media/image94.png"/><Relationship Id="rId161" Type="http://schemas.openxmlformats.org/officeDocument/2006/relationships/image" Target="media/image114.png"/><Relationship Id="rId182" Type="http://schemas.openxmlformats.org/officeDocument/2006/relationships/hyperlink" Target="https://doi.org/10.1016/j.jfma.2019.07.011" TargetMode="External"/><Relationship Id="rId217" Type="http://schemas.openxmlformats.org/officeDocument/2006/relationships/hyperlink" Target="https://pubmed.ncbi.nlm.nih.gov/32060007/" TargetMode="External"/><Relationship Id="rId6" Type="http://schemas.openxmlformats.org/officeDocument/2006/relationships/footnotes" Target="footnotes.xml"/><Relationship Id="rId238" Type="http://schemas.openxmlformats.org/officeDocument/2006/relationships/hyperlink" Target="https://doi.org/10.1136/bmj.39500.677199.AE" TargetMode="External"/><Relationship Id="rId23" Type="http://schemas.openxmlformats.org/officeDocument/2006/relationships/image" Target="media/image9.png"/><Relationship Id="rId119" Type="http://schemas.openxmlformats.org/officeDocument/2006/relationships/image" Target="media/image79.png"/><Relationship Id="rId44" Type="http://schemas.openxmlformats.org/officeDocument/2006/relationships/footer" Target="footer12.xml"/><Relationship Id="rId65" Type="http://schemas.openxmlformats.org/officeDocument/2006/relationships/image" Target="media/image34.png"/><Relationship Id="rId151" Type="http://schemas.openxmlformats.org/officeDocument/2006/relationships/image" Target="media/image104.png"/><Relationship Id="rId172" Type="http://schemas.openxmlformats.org/officeDocument/2006/relationships/image" Target="media/image126.png"/><Relationship Id="rId193" Type="http://schemas.openxmlformats.org/officeDocument/2006/relationships/hyperlink" Target="https://doi.org/10.2147/idr.S224518" TargetMode="External"/><Relationship Id="rId207" Type="http://schemas.openxmlformats.org/officeDocument/2006/relationships/image" Target="media/image136.png"/><Relationship Id="rId228" Type="http://schemas.openxmlformats.org/officeDocument/2006/relationships/hyperlink" Target="https://pubmed.ncbi.nlm.nih.gov/26765255/" TargetMode="External"/><Relationship Id="rId249" Type="http://schemas.openxmlformats.org/officeDocument/2006/relationships/footer" Target="footer31.xml"/><Relationship Id="rId13" Type="http://schemas.openxmlformats.org/officeDocument/2006/relationships/image" Target="media/image5.png"/><Relationship Id="rId109" Type="http://schemas.openxmlformats.org/officeDocument/2006/relationships/image" Target="media/image69.jpeg"/><Relationship Id="rId34" Type="http://schemas.openxmlformats.org/officeDocument/2006/relationships/image" Target="media/image17.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59.png"/><Relationship Id="rId120" Type="http://schemas.openxmlformats.org/officeDocument/2006/relationships/image" Target="media/image80.png"/><Relationship Id="rId141" Type="http://schemas.openxmlformats.org/officeDocument/2006/relationships/image" Target="media/image95.png"/><Relationship Id="rId7" Type="http://schemas.openxmlformats.org/officeDocument/2006/relationships/endnotes" Target="endnotes.xml"/><Relationship Id="rId162" Type="http://schemas.openxmlformats.org/officeDocument/2006/relationships/image" Target="media/image115.png"/><Relationship Id="rId183" Type="http://schemas.openxmlformats.org/officeDocument/2006/relationships/hyperlink" Target="https://doi.org/10.1183/13993003.01075-2016" TargetMode="External"/><Relationship Id="rId218" Type="http://schemas.openxmlformats.org/officeDocument/2006/relationships/hyperlink" Target="https://gradepro.org/" TargetMode="External"/><Relationship Id="rId239" Type="http://schemas.openxmlformats.org/officeDocument/2006/relationships/hyperlink" Target="https://apps.who.int/iris/handle/10665/145714" TargetMode="External"/><Relationship Id="rId250" Type="http://schemas.openxmlformats.org/officeDocument/2006/relationships/footer" Target="footer32.xml"/><Relationship Id="rId24" Type="http://schemas.openxmlformats.org/officeDocument/2006/relationships/image" Target="media/image10.png"/><Relationship Id="rId45" Type="http://schemas.openxmlformats.org/officeDocument/2006/relationships/hyperlink" Target="https://www.who.int/publications/i/item/9789240022676" TargetMode="External"/><Relationship Id="rId66" Type="http://schemas.openxmlformats.org/officeDocument/2006/relationships/image" Target="media/image35.png"/><Relationship Id="rId110" Type="http://schemas.openxmlformats.org/officeDocument/2006/relationships/image" Target="media/image70.png"/><Relationship Id="rId152" Type="http://schemas.openxmlformats.org/officeDocument/2006/relationships/image" Target="media/image105.png"/><Relationship Id="rId173" Type="http://schemas.openxmlformats.org/officeDocument/2006/relationships/image" Target="media/image122.png"/><Relationship Id="rId194" Type="http://schemas.openxmlformats.org/officeDocument/2006/relationships/hyperlink" Target="https://gradepro.org/" TargetMode="External"/><Relationship Id="rId208" Type="http://schemas.openxmlformats.org/officeDocument/2006/relationships/image" Target="media/image137.png"/><Relationship Id="rId229" Type="http://schemas.openxmlformats.org/officeDocument/2006/relationships/hyperlink" Target="https://pubmed.ncbi.nlm.nih.gov/25946353/" TargetMode="External"/><Relationship Id="rId240" Type="http://schemas.openxmlformats.org/officeDocument/2006/relationships/footer" Target="footer26.xml"/><Relationship Id="rId14" Type="http://schemas.openxmlformats.org/officeDocument/2006/relationships/image" Target="media/image6.png"/><Relationship Id="rId35" Type="http://schemas.openxmlformats.org/officeDocument/2006/relationships/footer" Target="footer4.xml"/><Relationship Id="rId56" Type="http://schemas.openxmlformats.org/officeDocument/2006/relationships/image" Target="media/image25.png"/><Relationship Id="rId77" Type="http://schemas.openxmlformats.org/officeDocument/2006/relationships/image" Target="media/image46.png"/><Relationship Id="rId100" Type="http://schemas.openxmlformats.org/officeDocument/2006/relationships/image" Target="media/image62.png"/><Relationship Id="rId8" Type="http://schemas.openxmlformats.org/officeDocument/2006/relationships/image" Target="media/image1.png"/><Relationship Id="rId98" Type="http://schemas.openxmlformats.org/officeDocument/2006/relationships/image" Target="media/image60.png"/><Relationship Id="rId121" Type="http://schemas.openxmlformats.org/officeDocument/2006/relationships/image" Target="media/image81.png"/><Relationship Id="rId142" Type="http://schemas.openxmlformats.org/officeDocument/2006/relationships/image" Target="media/image96.png"/><Relationship Id="rId163" Type="http://schemas.openxmlformats.org/officeDocument/2006/relationships/image" Target="media/image116.png"/><Relationship Id="rId184" Type="http://schemas.openxmlformats.org/officeDocument/2006/relationships/hyperlink" Target="https://doi.org/10.1183/13993003.01075-2016" TargetMode="External"/><Relationship Id="rId219" Type="http://schemas.openxmlformats.org/officeDocument/2006/relationships/hyperlink" Target="https://www.ncbi.nlm.nih.gov/pubmed/30248152" TargetMode="External"/><Relationship Id="rId230" Type="http://schemas.openxmlformats.org/officeDocument/2006/relationships/hyperlink" Target="https://pubmed.ncbi.nlm.nih.gov/28060926/" TargetMode="External"/><Relationship Id="rId251" Type="http://schemas.openxmlformats.org/officeDocument/2006/relationships/footer" Target="footer33.xml"/><Relationship Id="rId25" Type="http://schemas.openxmlformats.org/officeDocument/2006/relationships/image" Target="media/image11.png"/><Relationship Id="rId46" Type="http://schemas.openxmlformats.org/officeDocument/2006/relationships/hyperlink" Target="https://www.who.int/publications/i/item/9789240022676" TargetMode="External"/><Relationship Id="rId67" Type="http://schemas.openxmlformats.org/officeDocument/2006/relationships/image" Target="media/image36.png"/><Relationship Id="rId111" Type="http://schemas.openxmlformats.org/officeDocument/2006/relationships/image" Target="media/image71.png"/><Relationship Id="rId153" Type="http://schemas.openxmlformats.org/officeDocument/2006/relationships/image" Target="media/image106.png"/><Relationship Id="rId174" Type="http://schemas.openxmlformats.org/officeDocument/2006/relationships/image" Target="media/image127.png"/><Relationship Id="rId195" Type="http://schemas.openxmlformats.org/officeDocument/2006/relationships/footer" Target="footer17.xml"/><Relationship Id="rId209" Type="http://schemas.openxmlformats.org/officeDocument/2006/relationships/image" Target="media/image138.png"/><Relationship Id="rId220" Type="http://schemas.openxmlformats.org/officeDocument/2006/relationships/hyperlink" Target="https://www.ncbi.nlm.nih.gov/pubmed/28159608" TargetMode="External"/><Relationship Id="rId241" Type="http://schemas.openxmlformats.org/officeDocument/2006/relationships/footer" Target="footer27.xml"/><Relationship Id="rId15" Type="http://schemas.openxmlformats.org/officeDocument/2006/relationships/image" Target="media/image7.png"/><Relationship Id="rId36" Type="http://schemas.openxmlformats.org/officeDocument/2006/relationships/footer" Target="footer5.xml"/><Relationship Id="rId57" Type="http://schemas.openxmlformats.org/officeDocument/2006/relationships/image" Target="media/image26.png"/><Relationship Id="rId106" Type="http://schemas.openxmlformats.org/officeDocument/2006/relationships/image" Target="media/image68.png"/><Relationship Id="rId127" Type="http://schemas.openxmlformats.org/officeDocument/2006/relationships/image" Target="media/image87.png"/><Relationship Id="rId10" Type="http://schemas.openxmlformats.org/officeDocument/2006/relationships/image" Target="media/image2.png"/><Relationship Id="rId31" Type="http://schemas.openxmlformats.org/officeDocument/2006/relationships/image" Target="media/image16.png"/><Relationship Id="rId52" Type="http://schemas.openxmlformats.org/officeDocument/2006/relationships/image" Target="media/image21.png"/><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82.png"/><Relationship Id="rId143" Type="http://schemas.openxmlformats.org/officeDocument/2006/relationships/image" Target="media/image90.png"/><Relationship Id="rId148" Type="http://schemas.openxmlformats.org/officeDocument/2006/relationships/image" Target="media/image101.png"/><Relationship Id="rId164" Type="http://schemas.openxmlformats.org/officeDocument/2006/relationships/image" Target="media/image117.png"/><Relationship Id="rId169" Type="http://schemas.openxmlformats.org/officeDocument/2006/relationships/image" Target="media/image123.png"/><Relationship Id="rId185" Type="http://schemas.openxmlformats.org/officeDocument/2006/relationships/hyperlink" Target="http://www.hain-lifescience.de/uploadfiles/file/produkte/mikrobiologie/mykobakterien/tb_eng.pdf"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apps.who.int/iris/handle/10665/206499" TargetMode="External"/><Relationship Id="rId210" Type="http://schemas.openxmlformats.org/officeDocument/2006/relationships/image" Target="media/image139.jpeg"/><Relationship Id="rId215" Type="http://schemas.openxmlformats.org/officeDocument/2006/relationships/hyperlink" Target="https://extranet.who.int/pqweb/sites/default/files/documents/210211_PublicAnnouncement_TB_%20in-vitro-diagnostics.pdf" TargetMode="External"/><Relationship Id="rId236" Type="http://schemas.openxmlformats.org/officeDocument/2006/relationships/footer" Target="footer24.xml"/><Relationship Id="rId26" Type="http://schemas.openxmlformats.org/officeDocument/2006/relationships/image" Target="media/image12.png"/><Relationship Id="rId231" Type="http://schemas.openxmlformats.org/officeDocument/2006/relationships/hyperlink" Target="https://pubmed.ncbi.nlm.nih.gov/28060926/" TargetMode="External"/><Relationship Id="rId252" Type="http://schemas.openxmlformats.org/officeDocument/2006/relationships/image" Target="media/image143.png"/><Relationship Id="rId47" Type="http://schemas.openxmlformats.org/officeDocument/2006/relationships/footer" Target="footer13.xml"/><Relationship Id="rId68" Type="http://schemas.openxmlformats.org/officeDocument/2006/relationships/image" Target="media/image37.png"/><Relationship Id="rId112" Type="http://schemas.openxmlformats.org/officeDocument/2006/relationships/image" Target="media/image72.png"/><Relationship Id="rId154" Type="http://schemas.openxmlformats.org/officeDocument/2006/relationships/image" Target="media/image107.png"/><Relationship Id="rId175" Type="http://schemas.openxmlformats.org/officeDocument/2006/relationships/image" Target="media/image128.png"/><Relationship Id="rId196" Type="http://schemas.openxmlformats.org/officeDocument/2006/relationships/footer" Target="footer18.xml"/><Relationship Id="rId200" Type="http://schemas.openxmlformats.org/officeDocument/2006/relationships/image" Target="media/image129.png"/><Relationship Id="rId16" Type="http://schemas.openxmlformats.org/officeDocument/2006/relationships/hyperlink" Target="https://creativecommons.org/licenses/by-nc-sa/3.0/igo" TargetMode="External"/><Relationship Id="rId221" Type="http://schemas.openxmlformats.org/officeDocument/2006/relationships/hyperlink" Target="https://www.ncbi.nlm.nih.gov/pubmed/26677940" TargetMode="External"/><Relationship Id="rId242" Type="http://schemas.openxmlformats.org/officeDocument/2006/relationships/footer" Target="footer28.xml"/><Relationship Id="rId37" Type="http://schemas.openxmlformats.org/officeDocument/2006/relationships/footer" Target="footer6.xml"/><Relationship Id="rId58" Type="http://schemas.openxmlformats.org/officeDocument/2006/relationships/image" Target="media/image27.png"/><Relationship Id="rId79" Type="http://schemas.openxmlformats.org/officeDocument/2006/relationships/image" Target="media/image48.png"/><Relationship Id="rId102" Type="http://schemas.openxmlformats.org/officeDocument/2006/relationships/image" Target="media/image64.png"/><Relationship Id="rId123" Type="http://schemas.openxmlformats.org/officeDocument/2006/relationships/image" Target="media/image83.png"/><Relationship Id="rId144" Type="http://schemas.openxmlformats.org/officeDocument/2006/relationships/image" Target="media/image97.png"/><Relationship Id="rId90" Type="http://schemas.openxmlformats.org/officeDocument/2006/relationships/image" Target="media/image53.png"/><Relationship Id="rId165" Type="http://schemas.openxmlformats.org/officeDocument/2006/relationships/image" Target="media/image118.png"/><Relationship Id="rId186" Type="http://schemas.openxmlformats.org/officeDocument/2006/relationships/hyperlink" Target="http://www.hain-lifescience.de/uploadfiles/file/produkte/mikrobiologie/mykobakterien/tb_eng.pdf" TargetMode="External"/><Relationship Id="rId211" Type="http://schemas.openxmlformats.org/officeDocument/2006/relationships/image" Target="media/image140.gif"/><Relationship Id="rId232" Type="http://schemas.openxmlformats.org/officeDocument/2006/relationships/hyperlink" Target="https://pubmed.ncbi.nlm.nih.gov/21445325/" TargetMode="External"/><Relationship Id="rId253" Type="http://schemas.openxmlformats.org/officeDocument/2006/relationships/hyperlink" Target="http://www.who.int/tb" TargetMode="External"/><Relationship Id="rId27" Type="http://schemas.openxmlformats.org/officeDocument/2006/relationships/image" Target="media/image13.png"/><Relationship Id="rId48" Type="http://schemas.openxmlformats.org/officeDocument/2006/relationships/footer" Target="footer14.xml"/><Relationship Id="rId69" Type="http://schemas.openxmlformats.org/officeDocument/2006/relationships/image" Target="media/image38.png"/><Relationship Id="rId113" Type="http://schemas.openxmlformats.org/officeDocument/2006/relationships/image" Target="media/image73.png"/><Relationship Id="rId80" Type="http://schemas.openxmlformats.org/officeDocument/2006/relationships/image" Target="media/image49.png"/><Relationship Id="rId155" Type="http://schemas.openxmlformats.org/officeDocument/2006/relationships/image" Target="media/image108.png"/><Relationship Id="rId176" Type="http://schemas.openxmlformats.org/officeDocument/2006/relationships/hyperlink" Target="https://www.who.int/teams/global-tuberculosis-programme/tb-reports/global-tuberculosis-report-2024" TargetMode="External"/><Relationship Id="rId197" Type="http://schemas.openxmlformats.org/officeDocument/2006/relationships/footer" Target="footer19.xml"/><Relationship Id="rId201" Type="http://schemas.openxmlformats.org/officeDocument/2006/relationships/image" Target="media/image130.png"/><Relationship Id="rId222" Type="http://schemas.openxmlformats.org/officeDocument/2006/relationships/hyperlink" Target="https://pubmed.ncbi.nlm.nih.gov/21846592/" TargetMode="External"/><Relationship Id="rId243" Type="http://schemas.openxmlformats.org/officeDocument/2006/relationships/footer" Target="footer29.xml"/><Relationship Id="rId17" Type="http://schemas.openxmlformats.org/officeDocument/2006/relationships/hyperlink" Target="http://www.wipo.int/amc/en/mediation/rules/" TargetMode="External"/><Relationship Id="rId38" Type="http://schemas.openxmlformats.org/officeDocument/2006/relationships/footer" Target="footer7.xml"/><Relationship Id="rId59" Type="http://schemas.openxmlformats.org/officeDocument/2006/relationships/image" Target="media/image28.png"/><Relationship Id="rId103" Type="http://schemas.openxmlformats.org/officeDocument/2006/relationships/image" Target="media/image65.png"/><Relationship Id="rId124" Type="http://schemas.openxmlformats.org/officeDocument/2006/relationships/image" Target="media/image84.png"/><Relationship Id="rId70" Type="http://schemas.openxmlformats.org/officeDocument/2006/relationships/image" Target="media/image39.png"/><Relationship Id="rId91" Type="http://schemas.openxmlformats.org/officeDocument/2006/relationships/image" Target="media/image52.png"/><Relationship Id="rId145" Type="http://schemas.openxmlformats.org/officeDocument/2006/relationships/image" Target="media/image98.png"/><Relationship Id="rId166" Type="http://schemas.openxmlformats.org/officeDocument/2006/relationships/image" Target="media/image119.png"/><Relationship Id="rId187" Type="http://schemas.openxmlformats.org/officeDocument/2006/relationships/hyperlink" Target="https://doi.org/10.1136/bmj.h5527" TargetMode="External"/><Relationship Id="rId1" Type="http://schemas.openxmlformats.org/officeDocument/2006/relationships/customXml" Target="../customXml/item1.xml"/><Relationship Id="rId212" Type="http://schemas.openxmlformats.org/officeDocument/2006/relationships/image" Target="media/image141.png"/><Relationship Id="rId233" Type="http://schemas.openxmlformats.org/officeDocument/2006/relationships/hyperlink" Target="https://pubmed.ncbi.nlm.nih.gov/21445325/" TargetMode="External"/><Relationship Id="rId254" Type="http://schemas.openxmlformats.org/officeDocument/2006/relationships/footer" Target="footer34.xml"/><Relationship Id="rId28" Type="http://schemas.openxmlformats.org/officeDocument/2006/relationships/image" Target="media/image14.png"/><Relationship Id="rId49" Type="http://schemas.openxmlformats.org/officeDocument/2006/relationships/image" Target="media/image18.png"/><Relationship Id="rId114" Type="http://schemas.openxmlformats.org/officeDocument/2006/relationships/image" Target="media/image74.png"/><Relationship Id="rId60" Type="http://schemas.openxmlformats.org/officeDocument/2006/relationships/image" Target="media/image29.png"/><Relationship Id="rId81" Type="http://schemas.openxmlformats.org/officeDocument/2006/relationships/image" Target="media/image50.png"/><Relationship Id="rId156" Type="http://schemas.openxmlformats.org/officeDocument/2006/relationships/image" Target="media/image109.png"/><Relationship Id="rId177" Type="http://schemas.openxmlformats.org/officeDocument/2006/relationships/hyperlink" Target="https://www.who.int/teams/global-tuberculosis-programme/tb-reports/global-tuberculosis-report-2024" TargetMode="External"/><Relationship Id="rId198" Type="http://schemas.openxmlformats.org/officeDocument/2006/relationships/footer" Target="footer20.xml"/><Relationship Id="rId202" Type="http://schemas.openxmlformats.org/officeDocument/2006/relationships/image" Target="media/image131.gif"/><Relationship Id="rId223" Type="http://schemas.openxmlformats.org/officeDocument/2006/relationships/hyperlink" Target="https://pubmed.ncbi.nlm.nih.gov/24299555/" TargetMode="External"/><Relationship Id="rId244" Type="http://schemas.openxmlformats.org/officeDocument/2006/relationships/hyperlink" Target="https://www.who.int/about/ethics/declarations-of-interest" TargetMode="External"/><Relationship Id="rId18" Type="http://schemas.openxmlformats.org/officeDocument/2006/relationships/hyperlink" Target="https://creativecommons.org/licenses/by-nc-sa/3.0/igo/" TargetMode="External"/><Relationship Id="rId39" Type="http://schemas.openxmlformats.org/officeDocument/2006/relationships/footer" Target="footer8.xml"/><Relationship Id="rId50" Type="http://schemas.openxmlformats.org/officeDocument/2006/relationships/image" Target="media/image19.png"/><Relationship Id="rId104" Type="http://schemas.openxmlformats.org/officeDocument/2006/relationships/image" Target="media/image66.png"/><Relationship Id="rId125" Type="http://schemas.openxmlformats.org/officeDocument/2006/relationships/image" Target="media/image85.png"/><Relationship Id="rId146" Type="http://schemas.openxmlformats.org/officeDocument/2006/relationships/image" Target="media/image99.png"/><Relationship Id="rId167" Type="http://schemas.openxmlformats.org/officeDocument/2006/relationships/image" Target="media/image120.png"/><Relationship Id="rId188" Type="http://schemas.openxmlformats.org/officeDocument/2006/relationships/hyperlink" Target="https://doi.org/10.1136/bmj.h5527" TargetMode="External"/><Relationship Id="rId71" Type="http://schemas.openxmlformats.org/officeDocument/2006/relationships/image" Target="media/image40.png"/><Relationship Id="rId92" Type="http://schemas.openxmlformats.org/officeDocument/2006/relationships/image" Target="media/image55.png"/><Relationship Id="rId213" Type="http://schemas.openxmlformats.org/officeDocument/2006/relationships/image" Target="media/image142.png"/><Relationship Id="rId234" Type="http://schemas.openxmlformats.org/officeDocument/2006/relationships/footer" Target="footer22.xml"/><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fontTable" Target="fontTable.xml"/><Relationship Id="rId40" Type="http://schemas.openxmlformats.org/officeDocument/2006/relationships/footer" Target="footer9.xml"/><Relationship Id="rId115" Type="http://schemas.openxmlformats.org/officeDocument/2006/relationships/image" Target="media/image75.png"/><Relationship Id="rId157" Type="http://schemas.openxmlformats.org/officeDocument/2006/relationships/image" Target="media/image110.png"/><Relationship Id="rId178" Type="http://schemas.openxmlformats.org/officeDocument/2006/relationships/hyperlink" Target="https://digitallibrary.un.org/record/4022582" TargetMode="External"/><Relationship Id="rId61" Type="http://schemas.openxmlformats.org/officeDocument/2006/relationships/image" Target="media/image30.png"/><Relationship Id="rId82" Type="http://schemas.openxmlformats.org/officeDocument/2006/relationships/image" Target="media/image51.png"/><Relationship Id="rId199" Type="http://schemas.openxmlformats.org/officeDocument/2006/relationships/footer" Target="footer21.xml"/><Relationship Id="rId203" Type="http://schemas.openxmlformats.org/officeDocument/2006/relationships/image" Target="media/image132.png"/><Relationship Id="rId19" Type="http://schemas.openxmlformats.org/officeDocument/2006/relationships/hyperlink" Target="https://iris.who.int/" TargetMode="External"/><Relationship Id="rId224" Type="http://schemas.openxmlformats.org/officeDocument/2006/relationships/hyperlink" Target="https://pubmed.ncbi.nlm.nih.gov/24299555/" TargetMode="External"/><Relationship Id="rId245" Type="http://schemas.openxmlformats.org/officeDocument/2006/relationships/hyperlink" Target="https://www.who.int/about/ethics/declarations-of-interest" TargetMode="External"/><Relationship Id="rId30" Type="http://schemas.openxmlformats.org/officeDocument/2006/relationships/hyperlink" Target="https://doi.org/10.2471/B09340%20%20%20%20%20%20%20%20%20%20%20%20%20%20%20%20%20%20%20%20%20%20%20%20%20%20%20%20%20%20%20%20%20&#1042;&#1077;&#1073;-&#1076;&#1086;&#1076;&#1072;&#1090;&#1086;&#1082;%20B.%20&#1057;&#1080;&#1089;&#1090;&#1077;&#1084;&#1072;&#1090;&#1080;&#1095;&#1085;&#1110;%20&#1086;&#1075;&#1083;&#1103;&#1076;&#1080;:%20https://doi.org/10.2471/B09341" TargetMode="External"/><Relationship Id="rId105" Type="http://schemas.openxmlformats.org/officeDocument/2006/relationships/image" Target="media/image67.png"/><Relationship Id="rId126" Type="http://schemas.openxmlformats.org/officeDocument/2006/relationships/image" Target="media/image86.png"/><Relationship Id="rId147" Type="http://schemas.openxmlformats.org/officeDocument/2006/relationships/image" Target="media/image100.png"/><Relationship Id="rId168" Type="http://schemas.openxmlformats.org/officeDocument/2006/relationships/image" Target="media/image121.png"/><Relationship Id="rId51" Type="http://schemas.openxmlformats.org/officeDocument/2006/relationships/image" Target="media/image20.png"/><Relationship Id="rId72" Type="http://schemas.openxmlformats.org/officeDocument/2006/relationships/image" Target="media/image41.png"/><Relationship Id="rId93" Type="http://schemas.openxmlformats.org/officeDocument/2006/relationships/image" Target="media/image54.png"/><Relationship Id="rId189" Type="http://schemas.openxmlformats.org/officeDocument/2006/relationships/hyperlink" Target="https://doi.org/10.1128/jcm.00352-07" TargetMode="External"/><Relationship Id="rId3" Type="http://schemas.openxmlformats.org/officeDocument/2006/relationships/styles" Target="styles.xml"/><Relationship Id="rId214" Type="http://schemas.openxmlformats.org/officeDocument/2006/relationships/hyperlink" Target="https://extranet.who.int/pqweb/sites/default/files/documents/210211_PublicAnnouncement_TB_%20in-vitro-diagnostics.pdf" TargetMode="External"/><Relationship Id="rId235" Type="http://schemas.openxmlformats.org/officeDocument/2006/relationships/footer" Target="footer23.xml"/><Relationship Id="rId256" Type="http://schemas.openxmlformats.org/officeDocument/2006/relationships/theme" Target="theme/theme1.xml"/><Relationship Id="rId116" Type="http://schemas.openxmlformats.org/officeDocument/2006/relationships/image" Target="media/image76.png"/><Relationship Id="rId137" Type="http://schemas.openxmlformats.org/officeDocument/2006/relationships/image" Target="media/image91.png"/><Relationship Id="rId158" Type="http://schemas.openxmlformats.org/officeDocument/2006/relationships/image" Target="media/image111.png"/><Relationship Id="rId20" Type="http://schemas.openxmlformats.org/officeDocument/2006/relationships/hyperlink" Target="https://www.who.int/publications/book-orders" TargetMode="External"/><Relationship Id="rId41" Type="http://schemas.openxmlformats.org/officeDocument/2006/relationships/hyperlink" Target="http://T-SPOT.TB/" TargetMode="External"/><Relationship Id="rId62" Type="http://schemas.openxmlformats.org/officeDocument/2006/relationships/image" Target="media/image31.png"/><Relationship Id="rId179" Type="http://schemas.openxmlformats.org/officeDocument/2006/relationships/hyperlink" Target="https://apps.who.int/iris/handle/10665/206499" TargetMode="External"/><Relationship Id="rId190" Type="http://schemas.openxmlformats.org/officeDocument/2006/relationships/hyperlink" Target="https://doi.org/10.1128/AAC.01003-20" TargetMode="External"/><Relationship Id="rId204" Type="http://schemas.openxmlformats.org/officeDocument/2006/relationships/image" Target="media/image133.png"/><Relationship Id="rId225" Type="http://schemas.openxmlformats.org/officeDocument/2006/relationships/hyperlink" Target="https://pubmed.ncbi.nlm.nih.gov/24835842/" TargetMode="External"/><Relationship Id="rId246" Type="http://schemas.openxmlformats.org/officeDocument/2006/relationships/hyperlink" Target="https://apps.who.int/iris/handle/10665/1457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FEAE0-859F-4230-B0E8-3C5BAB3D7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337612</Words>
  <Characters>192439</Characters>
  <Application>Microsoft Office Word</Application>
  <DocSecurity>0</DocSecurity>
  <Lines>1603</Lines>
  <Paragraphs>1057</Paragraphs>
  <ScaleCrop>false</ScaleCrop>
  <HeadingPairs>
    <vt:vector size="2" baseType="variant">
      <vt:variant>
        <vt:lpstr>Назва</vt:lpstr>
      </vt:variant>
      <vt:variant>
        <vt:i4>1</vt:i4>
      </vt:variant>
    </vt:vector>
  </HeadingPairs>
  <TitlesOfParts>
    <vt:vector size="1" baseType="lpstr">
      <vt:lpstr>WHO consolidated guidelines on tuberculosis. Module 3: diagnosis</vt:lpstr>
    </vt:vector>
  </TitlesOfParts>
  <Company/>
  <LinksUpToDate>false</LinksUpToDate>
  <CharactersWithSpaces>528994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consolidated guidelines on tuberculosis. Module 3: diagnosis</dc:title>
  <dc:creator>WHO</dc:creator>
  <cp:lastModifiedBy>Валентина Антонюк</cp:lastModifiedBy>
  <cp:revision>2</cp:revision>
  <cp:lastPrinted>2025-05-16T06:59:00Z</cp:lastPrinted>
  <dcterms:created xsi:type="dcterms:W3CDTF">2025-05-20T12:17:00Z</dcterms:created>
  <dcterms:modified xsi:type="dcterms:W3CDTF">2025-05-20T12:17:00Z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2025-04-03T00:00:00Z</vt:filetime>
  </property>
  <property fmtid="{D5CDD505-2E9C-101B-9397-08002B2CF9AE}" pid="3" name="Creator">
    <vt:lpwstr>Adobe InDesign 20.1 (Macintosh)</vt:lpwstr>
  </property>
  <property fmtid="{D5CDD505-2E9C-101B-9397-08002B2CF9AE}" pid="4" name="LastSaved">
    <vt:filetime>2025-04-18T00:00:00Z</vt:filetime>
  </property>
  <property fmtid="{D5CDD505-2E9C-101B-9397-08002B2CF9AE}" pid="5" name="Producer">
    <vt:lpwstr>Adobe PDF Library 17.0</vt:lpwstr>
  </property>
</Properties>
</file>